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84" w:lineRule="auto"/>
        <w:rPr/>
      </w:pPr>
      <w:r/>
    </w:p>
    <w:p>
      <w:pPr>
        <w:pStyle w:val="BodyText"/>
        <w:spacing w:line="284" w:lineRule="auto"/>
        <w:rPr/>
      </w:pPr>
      <w:r/>
    </w:p>
    <w:p>
      <w:pPr>
        <w:pStyle w:val="BodyText"/>
        <w:spacing w:line="284" w:lineRule="auto"/>
        <w:rPr/>
      </w:pPr>
      <w:r/>
    </w:p>
    <w:p>
      <w:pPr>
        <w:pStyle w:val="BodyText"/>
        <w:spacing w:line="284" w:lineRule="auto"/>
        <w:rPr/>
      </w:pPr>
      <w:r/>
    </w:p>
    <w:p>
      <w:pPr>
        <w:pStyle w:val="BodyText"/>
        <w:spacing w:line="285" w:lineRule="auto"/>
        <w:rPr/>
      </w:pPr>
      <w:r/>
    </w:p>
    <w:p>
      <w:pPr>
        <w:ind w:left="148"/>
        <w:spacing w:before="152" w:line="223" w:lineRule="auto"/>
        <w:rPr>
          <w:rFonts w:ascii="SimSun" w:hAnsi="SimSun" w:eastAsia="SimSun" w:cs="SimSun"/>
          <w:sz w:val="47"/>
          <w:szCs w:val="47"/>
        </w:rPr>
      </w:pPr>
      <w:r>
        <w:rPr>
          <w:rFonts w:ascii="SimSun" w:hAnsi="SimSun" w:eastAsia="SimSun" w:cs="SimSun"/>
          <w:sz w:val="47"/>
          <w:szCs w:val="47"/>
          <w:b/>
          <w:bCs/>
          <w:spacing w:val="2"/>
        </w:rPr>
        <w:t>内蒙古源浩羊绒制品有限公司废弃物高</w:t>
      </w:r>
    </w:p>
    <w:p>
      <w:pPr>
        <w:ind w:left="2511"/>
        <w:spacing w:before="365" w:line="223" w:lineRule="auto"/>
        <w:rPr>
          <w:rFonts w:ascii="SimSun" w:hAnsi="SimSun" w:eastAsia="SimSun" w:cs="SimSun"/>
          <w:sz w:val="47"/>
          <w:szCs w:val="47"/>
        </w:rPr>
      </w:pPr>
      <w:r>
        <w:rPr>
          <w:rFonts w:ascii="SimSun" w:hAnsi="SimSun" w:eastAsia="SimSun" w:cs="SimSun"/>
          <w:sz w:val="47"/>
          <w:szCs w:val="47"/>
          <w:b/>
          <w:bCs/>
          <w:spacing w:val="2"/>
        </w:rPr>
        <w:t>效循环利用项目</w:t>
      </w:r>
    </w:p>
    <w:p>
      <w:pPr>
        <w:ind w:left="2367"/>
        <w:spacing w:before="370" w:line="222" w:lineRule="auto"/>
        <w:rPr>
          <w:rFonts w:ascii="SimHei" w:hAnsi="SimHei" w:eastAsia="SimHei" w:cs="SimHei"/>
          <w:sz w:val="52"/>
          <w:szCs w:val="52"/>
        </w:rPr>
      </w:pPr>
      <w:r>
        <w:rPr>
          <w:rFonts w:ascii="SimHei" w:hAnsi="SimHei" w:eastAsia="SimHei" w:cs="SimHei"/>
          <w:sz w:val="52"/>
          <w:szCs w:val="52"/>
          <w:spacing w:val="-3"/>
        </w:rPr>
        <w:t>环境影响报告书</w:t>
      </w:r>
    </w:p>
    <w:p>
      <w:pPr>
        <w:ind w:left="3484"/>
        <w:spacing w:before="13" w:line="220" w:lineRule="auto"/>
        <w:rPr>
          <w:rFonts w:ascii="SimSun" w:hAnsi="SimSun" w:eastAsia="SimSun" w:cs="SimSun"/>
          <w:sz w:val="28"/>
          <w:szCs w:val="28"/>
        </w:rPr>
      </w:pPr>
      <w:r>
        <w:rPr>
          <w:rFonts w:ascii="SimSun" w:hAnsi="SimSun" w:eastAsia="SimSun" w:cs="SimSun"/>
          <w:sz w:val="28"/>
          <w:szCs w:val="28"/>
          <w:b/>
          <w:bCs/>
          <w:spacing w:val="-7"/>
        </w:rPr>
        <w:t>（报批版）</w:t>
      </w:r>
    </w:p>
    <w:p>
      <w:pPr>
        <w:pStyle w:val="BodyText"/>
        <w:spacing w:line="242"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ind w:left="2017"/>
        <w:spacing w:before="115" w:line="225" w:lineRule="auto"/>
        <w:rPr>
          <w:rFonts w:ascii="SimSun" w:hAnsi="SimSun" w:eastAsia="SimSun" w:cs="SimSun"/>
          <w:sz w:val="35"/>
          <w:szCs w:val="35"/>
        </w:rPr>
      </w:pPr>
      <w:r>
        <w:rPr>
          <w:rFonts w:ascii="SimSun" w:hAnsi="SimSun" w:eastAsia="SimSun" w:cs="SimSun"/>
          <w:sz w:val="35"/>
          <w:szCs w:val="35"/>
          <w:b/>
          <w:bCs/>
          <w:spacing w:val="-17"/>
        </w:rPr>
        <w:t>内蒙古源浩羊绒制品有限公司</w:t>
      </w:r>
    </w:p>
    <w:p>
      <w:pPr>
        <w:ind w:left="2920"/>
        <w:spacing w:before="274" w:line="225" w:lineRule="auto"/>
        <w:rPr>
          <w:rFonts w:ascii="SimSun" w:hAnsi="SimSun" w:eastAsia="SimSun" w:cs="SimSun"/>
          <w:sz w:val="35"/>
          <w:szCs w:val="35"/>
        </w:rPr>
      </w:pPr>
      <w:r>
        <w:rPr>
          <w:rFonts w:ascii="SimSun" w:hAnsi="SimSun" w:eastAsia="SimSun" w:cs="SimSun"/>
          <w:sz w:val="35"/>
          <w:szCs w:val="35"/>
          <w:b/>
          <w:bCs/>
          <w:spacing w:val="4"/>
        </w:rPr>
        <w:t>二○二五年六月</w:t>
      </w:r>
    </w:p>
    <w:p>
      <w:pPr>
        <w:spacing w:line="225" w:lineRule="auto"/>
        <w:sectPr>
          <w:footerReference w:type="default" r:id="rId1"/>
          <w:pgSz w:w="11907" w:h="16840"/>
          <w:pgMar w:top="1431" w:right="1786" w:bottom="1336" w:left="1786" w:header="0" w:footer="1101" w:gutter="0"/>
        </w:sectPr>
        <w:rPr>
          <w:rFonts w:ascii="SimSun" w:hAnsi="SimSun" w:eastAsia="SimSun" w:cs="SimSun"/>
          <w:sz w:val="35"/>
          <w:szCs w:val="35"/>
        </w:rPr>
      </w:pPr>
    </w:p>
    <w:p>
      <w:pPr>
        <w:spacing w:before="145" w:line="12007" w:lineRule="exact"/>
        <w:rPr/>
      </w:pPr>
      <w:r>
        <w:pict>
          <v:shape id="_x0000_s4" style="position:absolute;margin-left:85.05pt;margin-top:78.87pt;mso-position-vertical-relative:page;mso-position-horizontal-relative:page;width:425.25pt;height:0.75pt;z-index:251658240;" o:allowincell="f" fillcolor="#000000" filled="true" stroked="false" coordsize="8505,15" coordorigin="0,0" path="m,l8505,0l8505,14l0,14l0,0xe"/>
        </w:pict>
      </w:r>
      <w:r>
        <w:rPr>
          <w:position w:val="-240"/>
        </w:rPr>
        <w:drawing>
          <wp:inline distT="0" distB="0" distL="0" distR="0">
            <wp:extent cx="5394959" cy="7624571"/>
            <wp:effectExtent l="0" t="0" r="0" b="0"/>
            <wp:docPr id="2" name="IM 2"/>
            <wp:cNvGraphicFramePr/>
            <a:graphic>
              <a:graphicData uri="http://schemas.openxmlformats.org/drawingml/2006/picture">
                <pic:pic>
                  <pic:nvPicPr>
                    <pic:cNvPr id="2" name="IM 2"/>
                    <pic:cNvPicPr/>
                  </pic:nvPicPr>
                  <pic:blipFill>
                    <a:blip r:embed="rId4"/>
                    <a:stretch>
                      <a:fillRect/>
                    </a:stretch>
                  </pic:blipFill>
                  <pic:spPr>
                    <a:xfrm rot="0">
                      <a:off x="0" y="0"/>
                      <a:ext cx="5394959" cy="7624571"/>
                    </a:xfrm>
                    <a:prstGeom prst="rect">
                      <a:avLst/>
                    </a:prstGeom>
                  </pic:spPr>
                </pic:pic>
              </a:graphicData>
            </a:graphic>
          </wp:inline>
        </w:drawing>
      </w:r>
    </w:p>
    <w:p>
      <w:pPr>
        <w:pStyle w:val="BodyText"/>
        <w:spacing w:line="261" w:lineRule="auto"/>
        <w:rPr/>
      </w:pPr>
      <w:r/>
    </w:p>
    <w:p>
      <w:pPr>
        <w:pStyle w:val="BodyText"/>
        <w:spacing w:line="261" w:lineRule="auto"/>
        <w:rPr/>
      </w:pPr>
      <w:r/>
    </w:p>
    <w:p>
      <w:pPr>
        <w:pStyle w:val="BodyText"/>
        <w:spacing w:line="261" w:lineRule="auto"/>
        <w:rPr/>
      </w:pPr>
      <w:r/>
    </w:p>
    <w:p>
      <w:pPr>
        <w:pStyle w:val="BodyText"/>
        <w:spacing w:line="261" w:lineRule="auto"/>
        <w:rPr/>
      </w:pPr>
      <w:r/>
    </w:p>
    <w:p>
      <w:pPr>
        <w:pStyle w:val="BodyText"/>
        <w:spacing w:line="261" w:lineRule="auto"/>
        <w:rPr/>
      </w:pPr>
      <w:r/>
    </w:p>
    <w:p>
      <w:pPr>
        <w:pStyle w:val="BodyText"/>
        <w:spacing w:line="261" w:lineRule="auto"/>
        <w:rPr/>
      </w:pPr>
      <w:r/>
    </w:p>
    <w:p>
      <w:pPr>
        <w:ind w:right="1"/>
        <w:spacing w:before="61" w:line="221" w:lineRule="auto"/>
        <w:jc w:val="right"/>
        <w:rPr>
          <w:rFonts w:ascii="SimSun" w:hAnsi="SimSun" w:eastAsia="SimSun" w:cs="SimSun"/>
          <w:sz w:val="19"/>
          <w:szCs w:val="19"/>
        </w:rPr>
      </w:pPr>
      <w:r>
        <w:rPr>
          <w:rFonts w:ascii="Times New Roman" w:hAnsi="Times New Roman" w:eastAsia="Times New Roman" w:cs="Times New Roman"/>
          <w:sz w:val="18"/>
          <w:szCs w:val="18"/>
          <w:spacing w:val="8"/>
          <w:position w:val="3"/>
        </w:rPr>
        <w:t>2        </w:t>
      </w:r>
      <w:r>
        <w:rPr>
          <w:rFonts w:ascii="SimSun" w:hAnsi="SimSun" w:eastAsia="SimSun" w:cs="SimSun"/>
          <w:sz w:val="19"/>
          <w:szCs w:val="19"/>
          <w:spacing w:val="8"/>
        </w:rPr>
        <w:t>锡林郭勒盟中安环境技术咨询有限责任公司</w:t>
      </w:r>
    </w:p>
    <w:p>
      <w:pPr>
        <w:spacing w:line="221" w:lineRule="auto"/>
        <w:sectPr>
          <w:headerReference w:type="default" r:id="rId2"/>
          <w:footerReference w:type="default" r:id="rId3"/>
          <w:pgSz w:w="11907" w:h="16840"/>
          <w:pgMar w:top="1567" w:right="1700" w:bottom="400" w:left="1701" w:header="1221" w:footer="0" w:gutter="0"/>
        </w:sectPr>
        <w:rPr>
          <w:rFonts w:ascii="SimSun" w:hAnsi="SimSun" w:eastAsia="SimSun" w:cs="SimSun"/>
          <w:sz w:val="19"/>
          <w:szCs w:val="19"/>
        </w:rPr>
      </w:pPr>
    </w:p>
    <w:sdt>
      <w:sdtPr>
        <w:rPr>
          <w:rFonts w:ascii="SimSun" w:hAnsi="SimSun" w:eastAsia="SimSun" w:cs="SimSun"/>
          <w:sz w:val="30"/>
          <w:szCs w:val="30"/>
        </w:rPr>
        <w:docPartObj>
          <w:docPartGallery w:val="Table of Contents"/>
          <w:docPartUnique/>
        </w:docPartObj>
      </w:sdtPr>
      <w:sdtEndPr>
        <w:rPr>
          <w:rFonts w:ascii="Times New Roman" w:hAnsi="Times New Roman" w:eastAsia="Times New Roman" w:cs="Times New Roman"/>
          <w:sz w:val="20"/>
          <w:szCs w:val="20"/>
        </w:rPr>
      </w:sdtEndPr>
      <w:sdtContent>
        <w:p>
          <w:pPr>
            <w:ind w:left="3720"/>
            <w:spacing w:before="197" w:line="221" w:lineRule="auto"/>
            <w:rPr>
              <w:rFonts w:ascii="SimSun" w:hAnsi="SimSun" w:eastAsia="SimSun" w:cs="SimSun"/>
              <w:sz w:val="30"/>
              <w:szCs w:val="30"/>
            </w:rPr>
          </w:pPr>
          <w:r>
            <w:pict>
              <v:shape id="_x0000_s8" style="position:absolute;margin-left:85.05pt;margin-top:79.11pt;mso-position-vertical-relative:page;mso-position-horizontal-relative:page;width:425.25pt;height:0.75pt;z-index:251660288;" o:allowincell="f" fillcolor="#000000" filled="true" stroked="false" coordsize="8505,15" coordorigin="0,0" path="m,l8505,0l8505,14l0,14l0,0xe"/>
            </w:pict>
          </w:r>
          <w:r>
            <w:rPr>
              <w:rFonts w:ascii="SimSun" w:hAnsi="SimSun" w:eastAsia="SimSun" w:cs="SimSun"/>
              <w:sz w:val="30"/>
              <w:szCs w:val="30"/>
              <w:spacing w:val="-35"/>
            </w:rPr>
            <w:t>目</w:t>
          </w:r>
          <w:r>
            <w:rPr>
              <w:rFonts w:ascii="SimSun" w:hAnsi="SimSun" w:eastAsia="SimSun" w:cs="SimSun"/>
              <w:sz w:val="30"/>
              <w:szCs w:val="30"/>
              <w:spacing w:val="3"/>
            </w:rPr>
            <w:t xml:space="preserve">    </w:t>
          </w:r>
          <w:r>
            <w:rPr>
              <w:rFonts w:ascii="SimSun" w:hAnsi="SimSun" w:eastAsia="SimSun" w:cs="SimSun"/>
              <w:sz w:val="30"/>
              <w:szCs w:val="30"/>
              <w:spacing w:val="-35"/>
            </w:rPr>
            <w:t>录</w:t>
          </w:r>
        </w:p>
        <w:p>
          <w:pPr>
            <w:ind w:left="25"/>
            <w:spacing w:before="209" w:line="193" w:lineRule="auto"/>
            <w:tabs>
              <w:tab w:val="right" w:leader="dot" w:pos="8505"/>
            </w:tabs>
            <w:rPr>
              <w:rFonts w:ascii="Times New Roman" w:hAnsi="Times New Roman" w:eastAsia="Times New Roman" w:cs="Times New Roman"/>
              <w:sz w:val="20"/>
              <w:szCs w:val="20"/>
            </w:rPr>
          </w:pPr>
          <w:hyperlink w:history="true" w:anchor="bookmark1">
            <w:r>
              <w:rPr>
                <w:rFonts w:ascii="Times New Roman" w:hAnsi="Times New Roman" w:eastAsia="Times New Roman" w:cs="Times New Roman"/>
                <w:sz w:val="20"/>
                <w:szCs w:val="20"/>
                <w:spacing w:val="-4"/>
              </w:rPr>
              <w:t>1</w:t>
            </w:r>
            <w:r>
              <w:rPr>
                <w:rFonts w:ascii="Times New Roman" w:hAnsi="Times New Roman" w:eastAsia="Times New Roman" w:cs="Times New Roman"/>
                <w:sz w:val="20"/>
                <w:szCs w:val="20"/>
                <w:spacing w:val="10"/>
              </w:rPr>
              <w:t xml:space="preserve"> </w:t>
            </w:r>
            <w:r>
              <w:rPr>
                <w:rFonts w:ascii="SimSun" w:hAnsi="SimSun" w:eastAsia="SimSun" w:cs="SimSun"/>
                <w:sz w:val="20"/>
                <w:szCs w:val="20"/>
                <w:spacing w:val="-4"/>
              </w:rPr>
              <w:t>概述</w:t>
            </w:r>
            <w:r>
              <w:rPr>
                <w:rFonts w:ascii="SimSun" w:hAnsi="SimSun" w:eastAsia="SimSun" w:cs="SimSun"/>
                <w:sz w:val="20"/>
                <w:szCs w:val="20"/>
                <w:spacing w:val="-57"/>
              </w:rPr>
              <w:t xml:space="preserve"> </w:t>
            </w:r>
            <w:r>
              <w:rPr>
                <w:rFonts w:ascii="SimSun" w:hAnsi="SimSun" w:eastAsia="SimSun" w:cs="SimSun"/>
                <w:sz w:val="20"/>
                <w:szCs w:val="20"/>
              </w:rPr>
              <w:tab/>
            </w:r>
            <w:r>
              <w:rPr>
                <w:rFonts w:ascii="SimSun" w:hAnsi="SimSun" w:eastAsia="SimSun" w:cs="SimSun"/>
                <w:sz w:val="20"/>
                <w:szCs w:val="20"/>
                <w:spacing w:val="-26"/>
              </w:rPr>
              <w:t xml:space="preserve"> </w:t>
            </w:r>
            <w:r>
              <w:rPr>
                <w:rFonts w:ascii="Times New Roman" w:hAnsi="Times New Roman" w:eastAsia="Times New Roman" w:cs="Times New Roman"/>
                <w:sz w:val="20"/>
                <w:szCs w:val="20"/>
                <w:spacing w:val="-20"/>
              </w:rPr>
              <w:t>1</w:t>
            </w:r>
          </w:hyperlink>
        </w:p>
        <w:p>
          <w:pPr>
            <w:ind w:left="505"/>
            <w:spacing w:before="62" w:line="194" w:lineRule="auto"/>
            <w:tabs>
              <w:tab w:val="right" w:leader="dot" w:pos="8505"/>
            </w:tabs>
            <w:rPr>
              <w:rFonts w:ascii="Times New Roman" w:hAnsi="Times New Roman" w:eastAsia="Times New Roman" w:cs="Times New Roman"/>
              <w:sz w:val="20"/>
              <w:szCs w:val="20"/>
            </w:rPr>
          </w:pPr>
          <w:hyperlink w:history="true" w:anchor="bookmark2">
            <w:r>
              <w:rPr>
                <w:rFonts w:ascii="Times New Roman" w:hAnsi="Times New Roman" w:eastAsia="Times New Roman" w:cs="Times New Roman"/>
                <w:sz w:val="20"/>
                <w:szCs w:val="20"/>
                <w:spacing w:val="2"/>
              </w:rPr>
              <w:t>1.1</w:t>
            </w:r>
            <w:r>
              <w:rPr>
                <w:rFonts w:ascii="Times New Roman" w:hAnsi="Times New Roman" w:eastAsia="Times New Roman" w:cs="Times New Roman"/>
                <w:sz w:val="20"/>
                <w:szCs w:val="20"/>
                <w:spacing w:val="13"/>
              </w:rPr>
              <w:t xml:space="preserve"> </w:t>
            </w:r>
            <w:r>
              <w:rPr>
                <w:rFonts w:ascii="SimSun" w:hAnsi="SimSun" w:eastAsia="SimSun" w:cs="SimSun"/>
                <w:sz w:val="20"/>
                <w:szCs w:val="20"/>
                <w:spacing w:val="2"/>
              </w:rPr>
              <w:t>项目由来</w:t>
            </w:r>
            <w:r>
              <w:rPr>
                <w:rFonts w:ascii="SimSun" w:hAnsi="SimSun" w:eastAsia="SimSun" w:cs="SimSun"/>
                <w:sz w:val="20"/>
                <w:szCs w:val="20"/>
                <w:spacing w:val="-57"/>
              </w:rPr>
              <w:t xml:space="preserve"> </w:t>
            </w:r>
            <w:r>
              <w:rPr>
                <w:rFonts w:ascii="SimSun" w:hAnsi="SimSun" w:eastAsia="SimSun" w:cs="SimSun"/>
                <w:sz w:val="20"/>
                <w:szCs w:val="20"/>
              </w:rPr>
              <w:tab/>
            </w:r>
            <w:r>
              <w:rPr>
                <w:rFonts w:ascii="SimSun" w:hAnsi="SimSun" w:eastAsia="SimSun" w:cs="SimSun"/>
                <w:sz w:val="20"/>
                <w:szCs w:val="20"/>
                <w:spacing w:val="-44"/>
              </w:rPr>
              <w:t xml:space="preserve"> </w:t>
            </w:r>
            <w:r>
              <w:rPr>
                <w:rFonts w:ascii="Times New Roman" w:hAnsi="Times New Roman" w:eastAsia="Times New Roman" w:cs="Times New Roman"/>
                <w:sz w:val="20"/>
                <w:szCs w:val="20"/>
                <w:spacing w:val="-20"/>
              </w:rPr>
              <w:t>1</w:t>
            </w:r>
          </w:hyperlink>
        </w:p>
        <w:p>
          <w:pPr>
            <w:ind w:left="505"/>
            <w:spacing w:before="63" w:line="193" w:lineRule="auto"/>
            <w:tabs>
              <w:tab w:val="right" w:leader="dot" w:pos="8505"/>
            </w:tabs>
            <w:rPr>
              <w:rFonts w:ascii="Times New Roman" w:hAnsi="Times New Roman" w:eastAsia="Times New Roman" w:cs="Times New Roman"/>
              <w:sz w:val="20"/>
              <w:szCs w:val="20"/>
            </w:rPr>
          </w:pPr>
          <w:hyperlink w:history="true" w:anchor="bookmark3">
            <w:r>
              <w:rPr>
                <w:rFonts w:ascii="Times New Roman" w:hAnsi="Times New Roman" w:eastAsia="Times New Roman" w:cs="Times New Roman"/>
                <w:sz w:val="20"/>
                <w:szCs w:val="20"/>
                <w:spacing w:val="4"/>
              </w:rPr>
              <w:t>1.2 </w:t>
            </w:r>
            <w:r>
              <w:rPr>
                <w:rFonts w:ascii="SimSun" w:hAnsi="SimSun" w:eastAsia="SimSun" w:cs="SimSun"/>
                <w:sz w:val="20"/>
                <w:szCs w:val="20"/>
                <w:spacing w:val="4"/>
              </w:rPr>
              <w:t>建设项目特点</w:t>
            </w:r>
            <w:r>
              <w:rPr>
                <w:rFonts w:ascii="SimSun" w:hAnsi="SimSun" w:eastAsia="SimSun" w:cs="SimSun"/>
                <w:sz w:val="20"/>
                <w:szCs w:val="20"/>
                <w:spacing w:val="-50"/>
              </w:rPr>
              <w:t xml:space="preserve"> </w:t>
            </w:r>
            <w:r>
              <w:rPr>
                <w:rFonts w:ascii="SimSun" w:hAnsi="SimSun" w:eastAsia="SimSun" w:cs="SimSun"/>
                <w:sz w:val="20"/>
                <w:szCs w:val="20"/>
              </w:rPr>
              <w:tab/>
            </w:r>
            <w:r>
              <w:rPr>
                <w:rFonts w:ascii="SimSun" w:hAnsi="SimSun" w:eastAsia="SimSun" w:cs="SimSun"/>
                <w:sz w:val="20"/>
                <w:szCs w:val="20"/>
                <w:spacing w:val="-69"/>
              </w:rPr>
              <w:t xml:space="preserve"> </w:t>
            </w:r>
            <w:r>
              <w:rPr>
                <w:rFonts w:ascii="Times New Roman" w:hAnsi="Times New Roman" w:eastAsia="Times New Roman" w:cs="Times New Roman"/>
                <w:sz w:val="20"/>
                <w:szCs w:val="20"/>
              </w:rPr>
              <w:t>2</w:t>
            </w:r>
          </w:hyperlink>
        </w:p>
        <w:p>
          <w:pPr>
            <w:ind w:left="505"/>
            <w:spacing w:before="62" w:line="193" w:lineRule="auto"/>
            <w:tabs>
              <w:tab w:val="right" w:leader="dot" w:pos="8505"/>
            </w:tabs>
            <w:rPr>
              <w:rFonts w:ascii="Times New Roman" w:hAnsi="Times New Roman" w:eastAsia="Times New Roman" w:cs="Times New Roman"/>
              <w:sz w:val="20"/>
              <w:szCs w:val="20"/>
            </w:rPr>
          </w:pPr>
          <w:hyperlink w:history="true" w:anchor="bookmark4">
            <w:r>
              <w:rPr>
                <w:rFonts w:ascii="Times New Roman" w:hAnsi="Times New Roman" w:eastAsia="Times New Roman" w:cs="Times New Roman"/>
                <w:sz w:val="20"/>
                <w:szCs w:val="20"/>
                <w:spacing w:val="6"/>
              </w:rPr>
              <w:t>1.3 </w:t>
            </w:r>
            <w:r>
              <w:rPr>
                <w:rFonts w:ascii="SimSun" w:hAnsi="SimSun" w:eastAsia="SimSun" w:cs="SimSun"/>
                <w:sz w:val="20"/>
                <w:szCs w:val="20"/>
                <w:spacing w:val="6"/>
              </w:rPr>
              <w:t>环境影响评价工作过程</w:t>
            </w:r>
            <w:r>
              <w:rPr>
                <w:rFonts w:ascii="SimSun" w:hAnsi="SimSun" w:eastAsia="SimSun" w:cs="SimSun"/>
                <w:sz w:val="20"/>
                <w:szCs w:val="20"/>
                <w:spacing w:val="-54"/>
              </w:rPr>
              <w:t xml:space="preserve"> </w:t>
            </w:r>
            <w:r>
              <w:rPr>
                <w:rFonts w:ascii="SimSun" w:hAnsi="SimSun" w:eastAsia="SimSun" w:cs="SimSun"/>
                <w:sz w:val="20"/>
                <w:szCs w:val="20"/>
              </w:rPr>
              <w:tab/>
            </w:r>
            <w:r>
              <w:rPr>
                <w:rFonts w:ascii="Times New Roman" w:hAnsi="Times New Roman" w:eastAsia="Times New Roman" w:cs="Times New Roman"/>
                <w:sz w:val="20"/>
                <w:szCs w:val="20"/>
                <w:spacing w:val="24"/>
              </w:rPr>
              <w:t>2</w:t>
            </w:r>
          </w:hyperlink>
        </w:p>
        <w:p>
          <w:pPr>
            <w:ind w:left="505"/>
            <w:spacing w:before="62" w:line="194" w:lineRule="auto"/>
            <w:tabs>
              <w:tab w:val="right" w:leader="dot" w:pos="8505"/>
            </w:tabs>
            <w:rPr>
              <w:rFonts w:ascii="Times New Roman" w:hAnsi="Times New Roman" w:eastAsia="Times New Roman" w:cs="Times New Roman"/>
              <w:sz w:val="20"/>
              <w:szCs w:val="20"/>
            </w:rPr>
          </w:pPr>
          <w:hyperlink w:history="true" w:anchor="bookmark5">
            <w:r>
              <w:rPr>
                <w:rFonts w:ascii="Times New Roman" w:hAnsi="Times New Roman" w:eastAsia="Times New Roman" w:cs="Times New Roman"/>
                <w:sz w:val="20"/>
                <w:szCs w:val="20"/>
                <w:spacing w:val="5"/>
              </w:rPr>
              <w:t>1.4 </w:t>
            </w:r>
            <w:r>
              <w:rPr>
                <w:rFonts w:ascii="SimSun" w:hAnsi="SimSun" w:eastAsia="SimSun" w:cs="SimSun"/>
                <w:sz w:val="20"/>
                <w:szCs w:val="20"/>
                <w:spacing w:val="5"/>
              </w:rPr>
              <w:t>分析判定相关情况</w:t>
            </w:r>
            <w:r>
              <w:rPr>
                <w:rFonts w:ascii="SimSun" w:hAnsi="SimSun" w:eastAsia="SimSun" w:cs="SimSun"/>
                <w:sz w:val="20"/>
                <w:szCs w:val="20"/>
                <w:spacing w:val="-50"/>
              </w:rPr>
              <w:t xml:space="preserve"> </w:t>
            </w:r>
            <w:r>
              <w:rPr>
                <w:rFonts w:ascii="SimSun" w:hAnsi="SimSun" w:eastAsia="SimSun" w:cs="SimSun"/>
                <w:sz w:val="20"/>
                <w:szCs w:val="20"/>
              </w:rPr>
              <w:tab/>
            </w:r>
            <w:r>
              <w:rPr>
                <w:rFonts w:ascii="SimSun" w:hAnsi="SimSun" w:eastAsia="SimSun" w:cs="SimSun"/>
                <w:sz w:val="20"/>
                <w:szCs w:val="20"/>
                <w:spacing w:val="-74"/>
              </w:rPr>
              <w:t xml:space="preserve"> </w:t>
            </w:r>
            <w:r>
              <w:rPr>
                <w:rFonts w:ascii="Times New Roman" w:hAnsi="Times New Roman" w:eastAsia="Times New Roman" w:cs="Times New Roman"/>
                <w:sz w:val="20"/>
                <w:szCs w:val="20"/>
                <w:spacing w:val="1"/>
              </w:rPr>
              <w:t>4</w:t>
            </w:r>
          </w:hyperlink>
        </w:p>
        <w:p>
          <w:pPr>
            <w:ind w:left="985"/>
            <w:spacing w:before="63" w:line="193" w:lineRule="auto"/>
            <w:tabs>
              <w:tab w:val="right" w:leader="dot" w:pos="8505"/>
            </w:tabs>
            <w:rPr>
              <w:rFonts w:ascii="Times New Roman" w:hAnsi="Times New Roman" w:eastAsia="Times New Roman" w:cs="Times New Roman"/>
              <w:sz w:val="20"/>
              <w:szCs w:val="20"/>
            </w:rPr>
          </w:pPr>
          <w:hyperlink w:history="true" w:anchor="bookmark6">
            <w:r>
              <w:rPr>
                <w:rFonts w:ascii="Times New Roman" w:hAnsi="Times New Roman" w:eastAsia="Times New Roman" w:cs="Times New Roman"/>
                <w:sz w:val="20"/>
                <w:szCs w:val="20"/>
                <w:spacing w:val="4"/>
              </w:rPr>
              <w:t>1.4.1 </w:t>
            </w:r>
            <w:r>
              <w:rPr>
                <w:rFonts w:ascii="SimSun" w:hAnsi="SimSun" w:eastAsia="SimSun" w:cs="SimSun"/>
                <w:sz w:val="20"/>
                <w:szCs w:val="20"/>
                <w:spacing w:val="4"/>
              </w:rPr>
              <w:t>产业政策符合性</w:t>
            </w:r>
            <w:r>
              <w:rPr>
                <w:rFonts w:ascii="SimSun" w:hAnsi="SimSun" w:eastAsia="SimSun" w:cs="SimSun"/>
                <w:sz w:val="20"/>
                <w:szCs w:val="20"/>
                <w:spacing w:val="-45"/>
              </w:rPr>
              <w:t xml:space="preserve"> </w:t>
            </w:r>
            <w:r>
              <w:rPr>
                <w:rFonts w:ascii="SimSun" w:hAnsi="SimSun" w:eastAsia="SimSun" w:cs="SimSun"/>
                <w:sz w:val="20"/>
                <w:szCs w:val="20"/>
              </w:rPr>
              <w:tab/>
            </w:r>
            <w:r>
              <w:rPr>
                <w:rFonts w:ascii="Times New Roman" w:hAnsi="Times New Roman" w:eastAsia="Times New Roman" w:cs="Times New Roman"/>
                <w:sz w:val="20"/>
                <w:szCs w:val="20"/>
                <w:spacing w:val="17"/>
              </w:rPr>
              <w:t>4</w:t>
            </w:r>
          </w:hyperlink>
        </w:p>
        <w:p>
          <w:pPr>
            <w:ind w:left="985"/>
            <w:spacing w:before="62" w:line="194" w:lineRule="auto"/>
            <w:tabs>
              <w:tab w:val="right" w:leader="dot" w:pos="8505"/>
            </w:tabs>
            <w:rPr>
              <w:rFonts w:ascii="Times New Roman" w:hAnsi="Times New Roman" w:eastAsia="Times New Roman" w:cs="Times New Roman"/>
              <w:sz w:val="20"/>
              <w:szCs w:val="20"/>
            </w:rPr>
          </w:pPr>
          <w:hyperlink w:history="true" w:anchor="bookmark7">
            <w:r>
              <w:rPr>
                <w:rFonts w:ascii="Times New Roman" w:hAnsi="Times New Roman" w:eastAsia="Times New Roman" w:cs="Times New Roman"/>
                <w:sz w:val="20"/>
                <w:szCs w:val="20"/>
                <w:spacing w:val="4"/>
              </w:rPr>
              <w:t>1.4.2 </w:t>
            </w:r>
            <w:r>
              <w:rPr>
                <w:rFonts w:ascii="SimSun" w:hAnsi="SimSun" w:eastAsia="SimSun" w:cs="SimSun"/>
                <w:sz w:val="20"/>
                <w:szCs w:val="20"/>
                <w:spacing w:val="4"/>
              </w:rPr>
              <w:t>规划符合性</w:t>
            </w:r>
            <w:r>
              <w:rPr>
                <w:rFonts w:ascii="SimSun" w:hAnsi="SimSun" w:eastAsia="SimSun" w:cs="SimSun"/>
                <w:sz w:val="20"/>
                <w:szCs w:val="20"/>
                <w:spacing w:val="-57"/>
              </w:rPr>
              <w:t xml:space="preserve"> </w:t>
            </w:r>
            <w:r>
              <w:rPr>
                <w:rFonts w:ascii="SimSun" w:hAnsi="SimSun" w:eastAsia="SimSun" w:cs="SimSun"/>
                <w:sz w:val="20"/>
                <w:szCs w:val="20"/>
              </w:rPr>
              <w:tab/>
            </w:r>
            <w:r>
              <w:rPr>
                <w:rFonts w:ascii="Times New Roman" w:hAnsi="Times New Roman" w:eastAsia="Times New Roman" w:cs="Times New Roman"/>
                <w:sz w:val="20"/>
                <w:szCs w:val="20"/>
                <w:spacing w:val="21"/>
              </w:rPr>
              <w:t>4</w:t>
            </w:r>
          </w:hyperlink>
        </w:p>
        <w:p>
          <w:pPr>
            <w:ind w:left="985"/>
            <w:spacing w:before="63" w:line="193" w:lineRule="auto"/>
            <w:tabs>
              <w:tab w:val="right" w:leader="dot" w:pos="8505"/>
            </w:tabs>
            <w:rPr>
              <w:rFonts w:ascii="Times New Roman" w:hAnsi="Times New Roman" w:eastAsia="Times New Roman" w:cs="Times New Roman"/>
              <w:sz w:val="20"/>
              <w:szCs w:val="20"/>
            </w:rPr>
          </w:pPr>
          <w:hyperlink w:history="true" w:anchor="bookmark8">
            <w:r>
              <w:rPr>
                <w:rFonts w:ascii="Times New Roman" w:hAnsi="Times New Roman" w:eastAsia="Times New Roman" w:cs="Times New Roman"/>
                <w:sz w:val="20"/>
                <w:szCs w:val="20"/>
                <w:spacing w:val="4"/>
              </w:rPr>
              <w:t>1.4.3 </w:t>
            </w:r>
            <w:r>
              <w:rPr>
                <w:rFonts w:ascii="SimSun" w:hAnsi="SimSun" w:eastAsia="SimSun" w:cs="SimSun"/>
                <w:sz w:val="20"/>
                <w:szCs w:val="20"/>
                <w:spacing w:val="4"/>
              </w:rPr>
              <w:t>选址合理性</w:t>
            </w:r>
            <w:r>
              <w:rPr>
                <w:rFonts w:ascii="SimSun" w:hAnsi="SimSun" w:eastAsia="SimSun" w:cs="SimSun"/>
                <w:sz w:val="20"/>
                <w:szCs w:val="20"/>
                <w:spacing w:val="-57"/>
              </w:rPr>
              <w:t xml:space="preserve"> </w:t>
            </w:r>
            <w:r>
              <w:rPr>
                <w:rFonts w:ascii="SimSun" w:hAnsi="SimSun" w:eastAsia="SimSun" w:cs="SimSun"/>
                <w:sz w:val="20"/>
                <w:szCs w:val="20"/>
              </w:rPr>
              <w:tab/>
            </w:r>
            <w:r>
              <w:rPr>
                <w:rFonts w:ascii="Times New Roman" w:hAnsi="Times New Roman" w:eastAsia="Times New Roman" w:cs="Times New Roman"/>
                <w:sz w:val="20"/>
                <w:szCs w:val="20"/>
                <w:spacing w:val="21"/>
              </w:rPr>
              <w:t>6</w:t>
            </w:r>
          </w:hyperlink>
        </w:p>
        <w:p>
          <w:pPr>
            <w:ind w:left="985"/>
            <w:spacing w:before="65" w:line="193" w:lineRule="auto"/>
            <w:tabs>
              <w:tab w:val="right" w:leader="dot" w:pos="8505"/>
            </w:tabs>
            <w:rPr>
              <w:rFonts w:ascii="Times New Roman" w:hAnsi="Times New Roman" w:eastAsia="Times New Roman" w:cs="Times New Roman"/>
              <w:sz w:val="20"/>
              <w:szCs w:val="20"/>
            </w:rPr>
          </w:pPr>
          <w:hyperlink w:history="true" w:anchor="bookmark9">
            <w:r>
              <w:rPr>
                <w:rFonts w:ascii="Times New Roman" w:hAnsi="Times New Roman" w:eastAsia="Times New Roman" w:cs="Times New Roman"/>
                <w:sz w:val="20"/>
                <w:szCs w:val="20"/>
                <w:spacing w:val="4"/>
              </w:rPr>
              <w:t>1.4.4 </w:t>
            </w:r>
            <w:r>
              <w:rPr>
                <w:rFonts w:ascii="SimSun" w:hAnsi="SimSun" w:eastAsia="SimSun" w:cs="SimSun"/>
                <w:sz w:val="20"/>
                <w:szCs w:val="20"/>
                <w:spacing w:val="4"/>
              </w:rPr>
              <w:t>用地符合性分析</w:t>
            </w:r>
            <w:r>
              <w:rPr>
                <w:rFonts w:ascii="SimSun" w:hAnsi="SimSun" w:eastAsia="SimSun" w:cs="SimSun"/>
                <w:sz w:val="20"/>
                <w:szCs w:val="20"/>
                <w:spacing w:val="-45"/>
              </w:rPr>
              <w:t xml:space="preserve"> </w:t>
            </w:r>
            <w:r>
              <w:rPr>
                <w:rFonts w:ascii="SimSun" w:hAnsi="SimSun" w:eastAsia="SimSun" w:cs="SimSun"/>
                <w:sz w:val="20"/>
                <w:szCs w:val="20"/>
              </w:rPr>
              <w:tab/>
            </w:r>
            <w:r>
              <w:rPr>
                <w:rFonts w:ascii="Times New Roman" w:hAnsi="Times New Roman" w:eastAsia="Times New Roman" w:cs="Times New Roman"/>
                <w:sz w:val="20"/>
                <w:szCs w:val="20"/>
                <w:spacing w:val="17"/>
              </w:rPr>
              <w:t>7</w:t>
            </w:r>
          </w:hyperlink>
        </w:p>
        <w:p>
          <w:pPr>
            <w:ind w:left="985"/>
            <w:spacing w:before="62" w:line="194" w:lineRule="auto"/>
            <w:tabs>
              <w:tab w:val="right" w:leader="dot" w:pos="8505"/>
            </w:tabs>
            <w:rPr>
              <w:rFonts w:ascii="Times New Roman" w:hAnsi="Times New Roman" w:eastAsia="Times New Roman" w:cs="Times New Roman"/>
              <w:sz w:val="20"/>
              <w:szCs w:val="20"/>
            </w:rPr>
          </w:pPr>
          <w:hyperlink w:history="true" w:anchor="bookmark10">
            <w:r>
              <w:rPr>
                <w:rFonts w:ascii="Times New Roman" w:hAnsi="Times New Roman" w:eastAsia="Times New Roman" w:cs="Times New Roman"/>
                <w:sz w:val="20"/>
                <w:szCs w:val="20"/>
                <w:spacing w:val="6"/>
              </w:rPr>
              <w:t>1.4.5“</w:t>
            </w:r>
            <w:r>
              <w:rPr>
                <w:rFonts w:ascii="SimSun" w:hAnsi="SimSun" w:eastAsia="SimSun" w:cs="SimSun"/>
                <w:sz w:val="20"/>
                <w:szCs w:val="20"/>
                <w:spacing w:val="6"/>
              </w:rPr>
              <w:t>三线一单</w:t>
            </w:r>
            <w:r>
              <w:rPr>
                <w:rFonts w:ascii="Times New Roman" w:hAnsi="Times New Roman" w:eastAsia="Times New Roman" w:cs="Times New Roman"/>
                <w:sz w:val="20"/>
                <w:szCs w:val="20"/>
                <w:spacing w:val="6"/>
              </w:rPr>
              <w:t>”</w:t>
            </w:r>
            <w:r>
              <w:rPr>
                <w:rFonts w:ascii="SimSun" w:hAnsi="SimSun" w:eastAsia="SimSun" w:cs="SimSun"/>
                <w:sz w:val="20"/>
                <w:szCs w:val="20"/>
                <w:spacing w:val="6"/>
              </w:rPr>
              <w:t>生态环境分区管控符合性</w:t>
            </w:r>
            <w:r>
              <w:rPr>
                <w:rFonts w:ascii="SimSun" w:hAnsi="SimSun" w:eastAsia="SimSun" w:cs="SimSun"/>
                <w:sz w:val="20"/>
                <w:szCs w:val="20"/>
                <w:spacing w:val="-38"/>
              </w:rPr>
              <w:t xml:space="preserve"> </w:t>
            </w:r>
            <w:r>
              <w:rPr>
                <w:rFonts w:ascii="SimSun" w:hAnsi="SimSun" w:eastAsia="SimSun" w:cs="SimSun"/>
                <w:sz w:val="20"/>
                <w:szCs w:val="20"/>
              </w:rPr>
              <w:tab/>
            </w:r>
            <w:r>
              <w:rPr>
                <w:rFonts w:ascii="Times New Roman" w:hAnsi="Times New Roman" w:eastAsia="Times New Roman" w:cs="Times New Roman"/>
                <w:sz w:val="20"/>
                <w:szCs w:val="20"/>
                <w:spacing w:val="22"/>
              </w:rPr>
              <w:t>7</w:t>
            </w:r>
          </w:hyperlink>
        </w:p>
        <w:p>
          <w:pPr>
            <w:ind w:left="985"/>
            <w:spacing w:before="63" w:line="193" w:lineRule="auto"/>
            <w:tabs>
              <w:tab w:val="right" w:leader="dot" w:pos="8505"/>
            </w:tabs>
            <w:rPr>
              <w:rFonts w:ascii="Times New Roman" w:hAnsi="Times New Roman" w:eastAsia="Times New Roman" w:cs="Times New Roman"/>
              <w:sz w:val="20"/>
              <w:szCs w:val="20"/>
            </w:rPr>
          </w:pPr>
          <w:hyperlink w:history="true" w:anchor="bookmark11">
            <w:r>
              <w:rPr>
                <w:rFonts w:ascii="Times New Roman" w:hAnsi="Times New Roman" w:eastAsia="Times New Roman" w:cs="Times New Roman"/>
                <w:sz w:val="20"/>
                <w:szCs w:val="20"/>
                <w:spacing w:val="4"/>
              </w:rPr>
              <w:t>1.4.6 </w:t>
            </w:r>
            <w:r>
              <w:rPr>
                <w:rFonts w:ascii="SimSun" w:hAnsi="SimSun" w:eastAsia="SimSun" w:cs="SimSun"/>
                <w:sz w:val="20"/>
                <w:szCs w:val="20"/>
                <w:spacing w:val="4"/>
              </w:rPr>
              <w:t>其他符合性分析</w:t>
            </w:r>
            <w:r>
              <w:rPr>
                <w:rFonts w:ascii="SimSun" w:hAnsi="SimSun" w:eastAsia="SimSun" w:cs="SimSun"/>
                <w:sz w:val="20"/>
                <w:szCs w:val="20"/>
                <w:spacing w:val="-45"/>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20</w:t>
            </w:r>
          </w:hyperlink>
        </w:p>
        <w:p>
          <w:pPr>
            <w:ind w:left="505"/>
            <w:spacing w:before="63" w:line="193" w:lineRule="auto"/>
            <w:tabs>
              <w:tab w:val="right" w:leader="dot" w:pos="8505"/>
            </w:tabs>
            <w:rPr>
              <w:rFonts w:ascii="Times New Roman" w:hAnsi="Times New Roman" w:eastAsia="Times New Roman" w:cs="Times New Roman"/>
              <w:sz w:val="20"/>
              <w:szCs w:val="20"/>
            </w:rPr>
          </w:pPr>
          <w:hyperlink w:history="true" w:anchor="bookmark12">
            <w:r>
              <w:rPr>
                <w:rFonts w:ascii="Times New Roman" w:hAnsi="Times New Roman" w:eastAsia="Times New Roman" w:cs="Times New Roman"/>
                <w:sz w:val="20"/>
                <w:szCs w:val="20"/>
                <w:spacing w:val="6"/>
              </w:rPr>
              <w:t>1.5 </w:t>
            </w:r>
            <w:r>
              <w:rPr>
                <w:rFonts w:ascii="SimSun" w:hAnsi="SimSun" w:eastAsia="SimSun" w:cs="SimSun"/>
                <w:sz w:val="20"/>
                <w:szCs w:val="20"/>
                <w:spacing w:val="6"/>
              </w:rPr>
              <w:t>主要的环境问题及环境影响</w:t>
            </w:r>
            <w:r>
              <w:rPr>
                <w:rFonts w:ascii="SimSun" w:hAnsi="SimSun" w:eastAsia="SimSun" w:cs="SimSun"/>
                <w:sz w:val="20"/>
                <w:szCs w:val="20"/>
                <w:spacing w:val="-46"/>
              </w:rPr>
              <w:t xml:space="preserve"> </w:t>
            </w:r>
            <w:r>
              <w:rPr>
                <w:rFonts w:ascii="SimSun" w:hAnsi="SimSun" w:eastAsia="SimSun" w:cs="SimSun"/>
                <w:sz w:val="20"/>
                <w:szCs w:val="20"/>
              </w:rPr>
              <w:tab/>
            </w:r>
            <w:r>
              <w:rPr>
                <w:rFonts w:ascii="Times New Roman" w:hAnsi="Times New Roman" w:eastAsia="Times New Roman" w:cs="Times New Roman"/>
                <w:sz w:val="20"/>
                <w:szCs w:val="20"/>
                <w:spacing w:val="12"/>
              </w:rPr>
              <w:t>20</w:t>
            </w:r>
          </w:hyperlink>
        </w:p>
        <w:p>
          <w:pPr>
            <w:ind w:left="505"/>
            <w:spacing w:before="62" w:line="194" w:lineRule="auto"/>
            <w:tabs>
              <w:tab w:val="right" w:leader="dot" w:pos="8505"/>
            </w:tabs>
            <w:rPr>
              <w:rFonts w:ascii="Times New Roman" w:hAnsi="Times New Roman" w:eastAsia="Times New Roman" w:cs="Times New Roman"/>
              <w:sz w:val="20"/>
              <w:szCs w:val="20"/>
            </w:rPr>
          </w:pPr>
          <w:hyperlink w:history="true" w:anchor="bookmark13">
            <w:r>
              <w:rPr>
                <w:rFonts w:ascii="Times New Roman" w:hAnsi="Times New Roman" w:eastAsia="Times New Roman" w:cs="Times New Roman"/>
                <w:sz w:val="20"/>
                <w:szCs w:val="20"/>
                <w:spacing w:val="6"/>
              </w:rPr>
              <w:t>1.6 </w:t>
            </w:r>
            <w:r>
              <w:rPr>
                <w:rFonts w:ascii="SimSun" w:hAnsi="SimSun" w:eastAsia="SimSun" w:cs="SimSun"/>
                <w:sz w:val="20"/>
                <w:szCs w:val="20"/>
                <w:spacing w:val="6"/>
              </w:rPr>
              <w:t>环境影响报告书的主要结论</w:t>
            </w:r>
            <w:r>
              <w:rPr>
                <w:rFonts w:ascii="SimSun" w:hAnsi="SimSun" w:eastAsia="SimSun" w:cs="SimSun"/>
                <w:sz w:val="20"/>
                <w:szCs w:val="20"/>
                <w:spacing w:val="-46"/>
              </w:rPr>
              <w:t xml:space="preserve"> </w:t>
            </w:r>
            <w:r>
              <w:rPr>
                <w:rFonts w:ascii="SimSun" w:hAnsi="SimSun" w:eastAsia="SimSun" w:cs="SimSun"/>
                <w:sz w:val="20"/>
                <w:szCs w:val="20"/>
              </w:rPr>
              <w:tab/>
            </w:r>
            <w:r>
              <w:rPr>
                <w:rFonts w:ascii="Times New Roman" w:hAnsi="Times New Roman" w:eastAsia="Times New Roman" w:cs="Times New Roman"/>
                <w:sz w:val="20"/>
                <w:szCs w:val="20"/>
                <w:spacing w:val="12"/>
              </w:rPr>
              <w:t>21</w:t>
            </w:r>
          </w:hyperlink>
        </w:p>
        <w:p>
          <w:pPr>
            <w:ind w:left="4"/>
            <w:spacing w:before="63" w:line="193" w:lineRule="auto"/>
            <w:tabs>
              <w:tab w:val="right" w:leader="dot" w:pos="8505"/>
            </w:tabs>
            <w:rPr>
              <w:rFonts w:ascii="Times New Roman" w:hAnsi="Times New Roman" w:eastAsia="Times New Roman" w:cs="Times New Roman"/>
              <w:sz w:val="20"/>
              <w:szCs w:val="20"/>
            </w:rPr>
          </w:pPr>
          <w:hyperlink w:history="true" w:anchor="bookmark14">
            <w:r>
              <w:rPr>
                <w:rFonts w:ascii="Times New Roman" w:hAnsi="Times New Roman" w:eastAsia="Times New Roman" w:cs="Times New Roman"/>
                <w:sz w:val="20"/>
                <w:szCs w:val="20"/>
                <w:spacing w:val="1"/>
              </w:rPr>
              <w:t>2</w:t>
            </w:r>
            <w:r>
              <w:rPr>
                <w:rFonts w:ascii="Times New Roman" w:hAnsi="Times New Roman" w:eastAsia="Times New Roman" w:cs="Times New Roman"/>
                <w:sz w:val="20"/>
                <w:szCs w:val="20"/>
                <w:spacing w:val="15"/>
              </w:rPr>
              <w:t xml:space="preserve"> </w:t>
            </w:r>
            <w:r>
              <w:rPr>
                <w:rFonts w:ascii="SimSun" w:hAnsi="SimSun" w:eastAsia="SimSun" w:cs="SimSun"/>
                <w:sz w:val="20"/>
                <w:szCs w:val="20"/>
                <w:spacing w:val="1"/>
              </w:rPr>
              <w:t>总则</w:t>
            </w:r>
            <w:r>
              <w:rPr>
                <w:rFonts w:ascii="SimSun" w:hAnsi="SimSun" w:eastAsia="SimSun" w:cs="SimSun"/>
                <w:sz w:val="20"/>
                <w:szCs w:val="20"/>
                <w:spacing w:val="-57"/>
              </w:rPr>
              <w:t xml:space="preserve"> </w:t>
            </w:r>
            <w:r>
              <w:rPr>
                <w:rFonts w:ascii="SimSun" w:hAnsi="SimSun" w:eastAsia="SimSun" w:cs="SimSun"/>
                <w:sz w:val="20"/>
                <w:szCs w:val="20"/>
              </w:rPr>
              <w:tab/>
            </w:r>
            <w:r>
              <w:rPr>
                <w:rFonts w:ascii="SimSun" w:hAnsi="SimSun" w:eastAsia="SimSun" w:cs="SimSun"/>
                <w:sz w:val="20"/>
                <w:szCs w:val="20"/>
                <w:spacing w:val="-47"/>
              </w:rPr>
              <w:t xml:space="preserve"> </w:t>
            </w:r>
            <w:r>
              <w:rPr>
                <w:rFonts w:ascii="Times New Roman" w:hAnsi="Times New Roman" w:eastAsia="Times New Roman" w:cs="Times New Roman"/>
                <w:sz w:val="20"/>
                <w:szCs w:val="20"/>
                <w:spacing w:val="2"/>
              </w:rPr>
              <w:t>22</w:t>
            </w:r>
          </w:hyperlink>
        </w:p>
        <w:p>
          <w:pPr>
            <w:ind w:left="484"/>
            <w:spacing w:before="62" w:line="193" w:lineRule="auto"/>
            <w:tabs>
              <w:tab w:val="right" w:leader="dot" w:pos="8505"/>
            </w:tabs>
            <w:rPr>
              <w:rFonts w:ascii="Times New Roman" w:hAnsi="Times New Roman" w:eastAsia="Times New Roman" w:cs="Times New Roman"/>
              <w:sz w:val="20"/>
              <w:szCs w:val="20"/>
            </w:rPr>
          </w:pPr>
          <w:hyperlink w:history="true" w:anchor="bookmark15">
            <w:r>
              <w:rPr>
                <w:rFonts w:ascii="Times New Roman" w:hAnsi="Times New Roman" w:eastAsia="Times New Roman" w:cs="Times New Roman"/>
                <w:sz w:val="20"/>
                <w:szCs w:val="20"/>
                <w:spacing w:val="5"/>
              </w:rPr>
              <w:t>2.1 </w:t>
            </w:r>
            <w:r>
              <w:rPr>
                <w:rFonts w:ascii="SimSun" w:hAnsi="SimSun" w:eastAsia="SimSun" w:cs="SimSun"/>
                <w:sz w:val="20"/>
                <w:szCs w:val="20"/>
                <w:spacing w:val="5"/>
              </w:rPr>
              <w:t>编制依据</w:t>
            </w:r>
            <w:r>
              <w:rPr>
                <w:rFonts w:ascii="SimSun" w:hAnsi="SimSun" w:eastAsia="SimSun" w:cs="SimSun"/>
                <w:sz w:val="20"/>
                <w:szCs w:val="20"/>
                <w:spacing w:val="-50"/>
              </w:rPr>
              <w:t xml:space="preserve"> </w:t>
            </w:r>
            <w:r>
              <w:rPr>
                <w:rFonts w:ascii="SimSun" w:hAnsi="SimSun" w:eastAsia="SimSun" w:cs="SimSun"/>
                <w:sz w:val="20"/>
                <w:szCs w:val="20"/>
              </w:rPr>
              <w:tab/>
            </w:r>
            <w:r>
              <w:rPr>
                <w:rFonts w:ascii="SimSun" w:hAnsi="SimSun" w:eastAsia="SimSun" w:cs="SimSun"/>
                <w:sz w:val="20"/>
                <w:szCs w:val="20"/>
                <w:spacing w:val="-65"/>
              </w:rPr>
              <w:t xml:space="preserve"> </w:t>
            </w:r>
            <w:r>
              <w:rPr>
                <w:rFonts w:ascii="Times New Roman" w:hAnsi="Times New Roman" w:eastAsia="Times New Roman" w:cs="Times New Roman"/>
                <w:sz w:val="20"/>
                <w:szCs w:val="20"/>
                <w:spacing w:val="2"/>
              </w:rPr>
              <w:t>22</w:t>
            </w:r>
          </w:hyperlink>
        </w:p>
        <w:p>
          <w:pPr>
            <w:ind w:left="964"/>
            <w:spacing w:before="65" w:line="194" w:lineRule="auto"/>
            <w:tabs>
              <w:tab w:val="right" w:leader="dot" w:pos="8505"/>
            </w:tabs>
            <w:rPr>
              <w:rFonts w:ascii="Times New Roman" w:hAnsi="Times New Roman" w:eastAsia="Times New Roman" w:cs="Times New Roman"/>
              <w:sz w:val="20"/>
              <w:szCs w:val="20"/>
            </w:rPr>
          </w:pPr>
          <w:hyperlink w:history="true" w:anchor="bookmark16">
            <w:r>
              <w:rPr>
                <w:rFonts w:ascii="Times New Roman" w:hAnsi="Times New Roman" w:eastAsia="Times New Roman" w:cs="Times New Roman"/>
                <w:sz w:val="20"/>
                <w:szCs w:val="20"/>
                <w:spacing w:val="5"/>
              </w:rPr>
              <w:t>2.1.1 </w:t>
            </w:r>
            <w:r>
              <w:rPr>
                <w:rFonts w:ascii="SimSun" w:hAnsi="SimSun" w:eastAsia="SimSun" w:cs="SimSun"/>
                <w:sz w:val="20"/>
                <w:szCs w:val="20"/>
                <w:spacing w:val="5"/>
              </w:rPr>
              <w:t>任务依据</w:t>
            </w:r>
            <w:r>
              <w:rPr>
                <w:rFonts w:ascii="SimSun" w:hAnsi="SimSun" w:eastAsia="SimSun" w:cs="SimSun"/>
                <w:sz w:val="20"/>
                <w:szCs w:val="20"/>
                <w:spacing w:val="-54"/>
              </w:rPr>
              <w:t xml:space="preserve"> </w:t>
            </w:r>
            <w:r>
              <w:rPr>
                <w:rFonts w:ascii="SimSun" w:hAnsi="SimSun" w:eastAsia="SimSun" w:cs="SimSun"/>
                <w:sz w:val="20"/>
                <w:szCs w:val="20"/>
              </w:rPr>
              <w:tab/>
            </w:r>
            <w:r>
              <w:rPr>
                <w:rFonts w:ascii="Times New Roman" w:hAnsi="Times New Roman" w:eastAsia="Times New Roman" w:cs="Times New Roman"/>
                <w:sz w:val="20"/>
                <w:szCs w:val="20"/>
                <w:spacing w:val="14"/>
              </w:rPr>
              <w:t>22</w:t>
            </w:r>
          </w:hyperlink>
        </w:p>
        <w:p>
          <w:pPr>
            <w:ind w:left="964"/>
            <w:spacing w:before="61" w:line="193" w:lineRule="auto"/>
            <w:tabs>
              <w:tab w:val="right" w:leader="dot" w:pos="8505"/>
            </w:tabs>
            <w:rPr>
              <w:rFonts w:ascii="Times New Roman" w:hAnsi="Times New Roman" w:eastAsia="Times New Roman" w:cs="Times New Roman"/>
              <w:sz w:val="20"/>
              <w:szCs w:val="20"/>
            </w:rPr>
          </w:pPr>
          <w:hyperlink w:history="true" w:anchor="bookmark17">
            <w:r>
              <w:rPr>
                <w:rFonts w:ascii="Times New Roman" w:hAnsi="Times New Roman" w:eastAsia="Times New Roman" w:cs="Times New Roman"/>
                <w:sz w:val="20"/>
                <w:szCs w:val="20"/>
                <w:spacing w:val="4"/>
              </w:rPr>
              <w:t>2.1.2</w:t>
            </w:r>
            <w:r>
              <w:rPr>
                <w:rFonts w:ascii="Times New Roman" w:hAnsi="Times New Roman" w:eastAsia="Times New Roman" w:cs="Times New Roman"/>
                <w:sz w:val="20"/>
                <w:szCs w:val="20"/>
                <w:spacing w:val="35"/>
                <w:w w:val="101"/>
              </w:rPr>
              <w:t xml:space="preserve"> </w:t>
            </w:r>
            <w:r>
              <w:rPr>
                <w:rFonts w:ascii="SimSun" w:hAnsi="SimSun" w:eastAsia="SimSun" w:cs="SimSun"/>
                <w:sz w:val="20"/>
                <w:szCs w:val="20"/>
                <w:spacing w:val="4"/>
              </w:rPr>
              <w:t>国家法律、法规</w:t>
            </w:r>
            <w:r>
              <w:rPr>
                <w:rFonts w:ascii="SimSun" w:hAnsi="SimSun" w:eastAsia="SimSun" w:cs="SimSun"/>
                <w:sz w:val="20"/>
                <w:szCs w:val="20"/>
                <w:spacing w:val="-57"/>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22</w:t>
            </w:r>
          </w:hyperlink>
        </w:p>
        <w:p>
          <w:pPr>
            <w:ind w:left="964"/>
            <w:spacing w:before="64" w:line="193" w:lineRule="auto"/>
            <w:tabs>
              <w:tab w:val="right" w:leader="dot" w:pos="8505"/>
            </w:tabs>
            <w:rPr>
              <w:rFonts w:ascii="Times New Roman" w:hAnsi="Times New Roman" w:eastAsia="Times New Roman" w:cs="Times New Roman"/>
              <w:sz w:val="20"/>
              <w:szCs w:val="20"/>
            </w:rPr>
          </w:pPr>
          <w:hyperlink w:history="true" w:anchor="bookmark18">
            <w:r>
              <w:rPr>
                <w:rFonts w:ascii="Times New Roman" w:hAnsi="Times New Roman" w:eastAsia="Times New Roman" w:cs="Times New Roman"/>
                <w:sz w:val="20"/>
                <w:szCs w:val="20"/>
                <w:spacing w:val="5"/>
              </w:rPr>
              <w:t>2.1.3 </w:t>
            </w:r>
            <w:r>
              <w:rPr>
                <w:rFonts w:ascii="SimSun" w:hAnsi="SimSun" w:eastAsia="SimSun" w:cs="SimSun"/>
                <w:sz w:val="20"/>
                <w:szCs w:val="20"/>
                <w:spacing w:val="5"/>
              </w:rPr>
              <w:t>部门规章</w:t>
            </w:r>
            <w:r>
              <w:rPr>
                <w:rFonts w:ascii="SimSun" w:hAnsi="SimSun" w:eastAsia="SimSun" w:cs="SimSun"/>
                <w:sz w:val="20"/>
                <w:szCs w:val="20"/>
                <w:spacing w:val="-54"/>
              </w:rPr>
              <w:t xml:space="preserve"> </w:t>
            </w:r>
            <w:r>
              <w:rPr>
                <w:rFonts w:ascii="SimSun" w:hAnsi="SimSun" w:eastAsia="SimSun" w:cs="SimSun"/>
                <w:sz w:val="20"/>
                <w:szCs w:val="20"/>
              </w:rPr>
              <w:tab/>
            </w:r>
            <w:r>
              <w:rPr>
                <w:rFonts w:ascii="Times New Roman" w:hAnsi="Times New Roman" w:eastAsia="Times New Roman" w:cs="Times New Roman"/>
                <w:sz w:val="20"/>
                <w:szCs w:val="20"/>
                <w:spacing w:val="14"/>
              </w:rPr>
              <w:t>23</w:t>
            </w:r>
          </w:hyperlink>
        </w:p>
        <w:p>
          <w:pPr>
            <w:ind w:left="964"/>
            <w:spacing w:before="62" w:line="194" w:lineRule="auto"/>
            <w:tabs>
              <w:tab w:val="right" w:leader="dot" w:pos="8505"/>
            </w:tabs>
            <w:rPr>
              <w:rFonts w:ascii="Times New Roman" w:hAnsi="Times New Roman" w:eastAsia="Times New Roman" w:cs="Times New Roman"/>
              <w:sz w:val="20"/>
              <w:szCs w:val="20"/>
            </w:rPr>
          </w:pPr>
          <w:hyperlink w:history="true" w:anchor="bookmark19">
            <w:r>
              <w:rPr>
                <w:rFonts w:ascii="Times New Roman" w:hAnsi="Times New Roman" w:eastAsia="Times New Roman" w:cs="Times New Roman"/>
                <w:sz w:val="20"/>
                <w:szCs w:val="20"/>
                <w:spacing w:val="6"/>
              </w:rPr>
              <w:t>2.1.4 </w:t>
            </w:r>
            <w:r>
              <w:rPr>
                <w:rFonts w:ascii="SimSun" w:hAnsi="SimSun" w:eastAsia="SimSun" w:cs="SimSun"/>
                <w:sz w:val="20"/>
                <w:szCs w:val="20"/>
                <w:spacing w:val="6"/>
              </w:rPr>
              <w:t>地方性法规及政策</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24</w:t>
            </w:r>
          </w:hyperlink>
        </w:p>
        <w:p>
          <w:pPr>
            <w:ind w:left="964"/>
            <w:spacing w:before="64" w:line="193" w:lineRule="auto"/>
            <w:tabs>
              <w:tab w:val="right" w:leader="dot" w:pos="8505"/>
            </w:tabs>
            <w:rPr>
              <w:rFonts w:ascii="Times New Roman" w:hAnsi="Times New Roman" w:eastAsia="Times New Roman" w:cs="Times New Roman"/>
              <w:sz w:val="20"/>
              <w:szCs w:val="20"/>
            </w:rPr>
          </w:pPr>
          <w:hyperlink w:history="true" w:anchor="bookmark20">
            <w:r>
              <w:rPr>
                <w:rFonts w:ascii="Times New Roman" w:hAnsi="Times New Roman" w:eastAsia="Times New Roman" w:cs="Times New Roman"/>
                <w:sz w:val="20"/>
                <w:szCs w:val="20"/>
                <w:spacing w:val="6"/>
              </w:rPr>
              <w:t>2.1.5 </w:t>
            </w:r>
            <w:r>
              <w:rPr>
                <w:rFonts w:ascii="SimSun" w:hAnsi="SimSun" w:eastAsia="SimSun" w:cs="SimSun"/>
                <w:sz w:val="20"/>
                <w:szCs w:val="20"/>
                <w:spacing w:val="6"/>
              </w:rPr>
              <w:t>编制技术依据</w:t>
            </w:r>
            <w:r>
              <w:rPr>
                <w:rFonts w:ascii="SimSun" w:hAnsi="SimSun" w:eastAsia="SimSun" w:cs="SimSun"/>
                <w:sz w:val="20"/>
                <w:szCs w:val="20"/>
                <w:spacing w:val="-56"/>
              </w:rPr>
              <w:t xml:space="preserve"> </w:t>
            </w:r>
            <w:r>
              <w:rPr>
                <w:rFonts w:ascii="SimSun" w:hAnsi="SimSun" w:eastAsia="SimSun" w:cs="SimSun"/>
                <w:sz w:val="20"/>
                <w:szCs w:val="20"/>
              </w:rPr>
              <w:tab/>
            </w:r>
            <w:r>
              <w:rPr>
                <w:rFonts w:ascii="Times New Roman" w:hAnsi="Times New Roman" w:eastAsia="Times New Roman" w:cs="Times New Roman"/>
                <w:sz w:val="20"/>
                <w:szCs w:val="20"/>
                <w:spacing w:val="12"/>
              </w:rPr>
              <w:t>24</w:t>
            </w:r>
          </w:hyperlink>
        </w:p>
        <w:p>
          <w:pPr>
            <w:ind w:left="964"/>
            <w:spacing w:before="62" w:line="193" w:lineRule="auto"/>
            <w:tabs>
              <w:tab w:val="right" w:leader="dot" w:pos="8505"/>
            </w:tabs>
            <w:rPr>
              <w:rFonts w:ascii="Times New Roman" w:hAnsi="Times New Roman" w:eastAsia="Times New Roman" w:cs="Times New Roman"/>
              <w:sz w:val="20"/>
              <w:szCs w:val="20"/>
            </w:rPr>
          </w:pPr>
          <w:hyperlink w:history="true" w:anchor="bookmark21">
            <w:r>
              <w:rPr>
                <w:rFonts w:ascii="Times New Roman" w:hAnsi="Times New Roman" w:eastAsia="Times New Roman" w:cs="Times New Roman"/>
                <w:sz w:val="20"/>
                <w:szCs w:val="20"/>
                <w:spacing w:val="6"/>
              </w:rPr>
              <w:t>2.1.6 </w:t>
            </w:r>
            <w:r>
              <w:rPr>
                <w:rFonts w:ascii="SimSun" w:hAnsi="SimSun" w:eastAsia="SimSun" w:cs="SimSun"/>
                <w:sz w:val="20"/>
                <w:szCs w:val="20"/>
                <w:spacing w:val="6"/>
              </w:rPr>
              <w:t>相关技术资料</w:t>
            </w:r>
            <w:r>
              <w:rPr>
                <w:rFonts w:ascii="SimSun" w:hAnsi="SimSun" w:eastAsia="SimSun" w:cs="SimSun"/>
                <w:sz w:val="20"/>
                <w:szCs w:val="20"/>
                <w:spacing w:val="-56"/>
              </w:rPr>
              <w:t xml:space="preserve"> </w:t>
            </w:r>
            <w:r>
              <w:rPr>
                <w:rFonts w:ascii="SimSun" w:hAnsi="SimSun" w:eastAsia="SimSun" w:cs="SimSun"/>
                <w:sz w:val="20"/>
                <w:szCs w:val="20"/>
              </w:rPr>
              <w:tab/>
            </w:r>
            <w:r>
              <w:rPr>
                <w:rFonts w:ascii="Times New Roman" w:hAnsi="Times New Roman" w:eastAsia="Times New Roman" w:cs="Times New Roman"/>
                <w:sz w:val="20"/>
                <w:szCs w:val="20"/>
                <w:spacing w:val="12"/>
              </w:rPr>
              <w:t>25</w:t>
            </w:r>
          </w:hyperlink>
        </w:p>
        <w:p>
          <w:pPr>
            <w:ind w:left="484"/>
            <w:spacing w:before="64" w:line="194" w:lineRule="auto"/>
            <w:tabs>
              <w:tab w:val="right" w:leader="dot" w:pos="8505"/>
            </w:tabs>
            <w:rPr>
              <w:rFonts w:ascii="Times New Roman" w:hAnsi="Times New Roman" w:eastAsia="Times New Roman" w:cs="Times New Roman"/>
              <w:sz w:val="20"/>
              <w:szCs w:val="20"/>
            </w:rPr>
          </w:pPr>
          <w:hyperlink w:history="true" w:anchor="bookmark22">
            <w:r>
              <w:rPr>
                <w:rFonts w:ascii="Times New Roman" w:hAnsi="Times New Roman" w:eastAsia="Times New Roman" w:cs="Times New Roman"/>
                <w:sz w:val="20"/>
                <w:szCs w:val="20"/>
                <w:spacing w:val="7"/>
              </w:rPr>
              <w:t>2.2 </w:t>
            </w:r>
            <w:r>
              <w:rPr>
                <w:rFonts w:ascii="SimSun" w:hAnsi="SimSun" w:eastAsia="SimSun" w:cs="SimSun"/>
                <w:sz w:val="20"/>
                <w:szCs w:val="20"/>
                <w:spacing w:val="7"/>
              </w:rPr>
              <w:t>评价目的及指导思想</w:t>
            </w:r>
            <w:r>
              <w:rPr>
                <w:rFonts w:ascii="SimSun" w:hAnsi="SimSun" w:eastAsia="SimSun" w:cs="SimSun"/>
                <w:sz w:val="20"/>
                <w:szCs w:val="20"/>
                <w:spacing w:val="-52"/>
              </w:rPr>
              <w:t xml:space="preserve"> </w:t>
            </w:r>
            <w:r>
              <w:rPr>
                <w:rFonts w:ascii="SimSun" w:hAnsi="SimSun" w:eastAsia="SimSun" w:cs="SimSun"/>
                <w:sz w:val="20"/>
                <w:szCs w:val="20"/>
              </w:rPr>
              <w:tab/>
            </w:r>
            <w:r>
              <w:rPr>
                <w:rFonts w:ascii="SimSun" w:hAnsi="SimSun" w:eastAsia="SimSun" w:cs="SimSun"/>
                <w:sz w:val="20"/>
                <w:szCs w:val="20"/>
                <w:spacing w:val="-74"/>
              </w:rPr>
              <w:t xml:space="preserve"> </w:t>
            </w:r>
            <w:r>
              <w:rPr>
                <w:rFonts w:ascii="Times New Roman" w:hAnsi="Times New Roman" w:eastAsia="Times New Roman" w:cs="Times New Roman"/>
                <w:sz w:val="20"/>
                <w:szCs w:val="20"/>
                <w:spacing w:val="2"/>
              </w:rPr>
              <w:t>25</w:t>
            </w:r>
          </w:hyperlink>
        </w:p>
        <w:p>
          <w:pPr>
            <w:ind w:left="964"/>
            <w:spacing w:before="61" w:line="193" w:lineRule="auto"/>
            <w:tabs>
              <w:tab w:val="right" w:leader="dot" w:pos="8505"/>
            </w:tabs>
            <w:rPr>
              <w:rFonts w:ascii="Times New Roman" w:hAnsi="Times New Roman" w:eastAsia="Times New Roman" w:cs="Times New Roman"/>
              <w:sz w:val="20"/>
              <w:szCs w:val="20"/>
            </w:rPr>
          </w:pPr>
          <w:hyperlink w:history="true" w:anchor="bookmark23">
            <w:r>
              <w:rPr>
                <w:rFonts w:ascii="Times New Roman" w:hAnsi="Times New Roman" w:eastAsia="Times New Roman" w:cs="Times New Roman"/>
                <w:sz w:val="20"/>
                <w:szCs w:val="20"/>
                <w:spacing w:val="5"/>
              </w:rPr>
              <w:t>2.2.1 </w:t>
            </w:r>
            <w:r>
              <w:rPr>
                <w:rFonts w:ascii="SimSun" w:hAnsi="SimSun" w:eastAsia="SimSun" w:cs="SimSun"/>
                <w:sz w:val="20"/>
                <w:szCs w:val="20"/>
                <w:spacing w:val="5"/>
              </w:rPr>
              <w:t>评价目的</w:t>
            </w:r>
            <w:r>
              <w:rPr>
                <w:rFonts w:ascii="SimSun" w:hAnsi="SimSun" w:eastAsia="SimSun" w:cs="SimSun"/>
                <w:sz w:val="20"/>
                <w:szCs w:val="20"/>
                <w:spacing w:val="-54"/>
              </w:rPr>
              <w:t xml:space="preserve"> </w:t>
            </w:r>
            <w:r>
              <w:rPr>
                <w:rFonts w:ascii="SimSun" w:hAnsi="SimSun" w:eastAsia="SimSun" w:cs="SimSun"/>
                <w:sz w:val="20"/>
                <w:szCs w:val="20"/>
              </w:rPr>
              <w:tab/>
            </w:r>
            <w:r>
              <w:rPr>
                <w:rFonts w:ascii="Times New Roman" w:hAnsi="Times New Roman" w:eastAsia="Times New Roman" w:cs="Times New Roman"/>
                <w:sz w:val="20"/>
                <w:szCs w:val="20"/>
                <w:spacing w:val="14"/>
              </w:rPr>
              <w:t>25</w:t>
            </w:r>
          </w:hyperlink>
        </w:p>
        <w:p>
          <w:pPr>
            <w:ind w:left="964"/>
            <w:spacing w:before="65" w:line="193" w:lineRule="auto"/>
            <w:tabs>
              <w:tab w:val="right" w:leader="dot" w:pos="8505"/>
            </w:tabs>
            <w:rPr>
              <w:rFonts w:ascii="Times New Roman" w:hAnsi="Times New Roman" w:eastAsia="Times New Roman" w:cs="Times New Roman"/>
              <w:sz w:val="20"/>
              <w:szCs w:val="20"/>
            </w:rPr>
          </w:pPr>
          <w:hyperlink w:history="true" w:anchor="bookmark24">
            <w:r>
              <w:rPr>
                <w:rFonts w:ascii="Times New Roman" w:hAnsi="Times New Roman" w:eastAsia="Times New Roman" w:cs="Times New Roman"/>
                <w:sz w:val="20"/>
                <w:szCs w:val="20"/>
                <w:spacing w:val="6"/>
              </w:rPr>
              <w:t>2.2.2 </w:t>
            </w:r>
            <w:r>
              <w:rPr>
                <w:rFonts w:ascii="SimSun" w:hAnsi="SimSun" w:eastAsia="SimSun" w:cs="SimSun"/>
                <w:sz w:val="20"/>
                <w:szCs w:val="20"/>
                <w:spacing w:val="6"/>
              </w:rPr>
              <w:t>评价原则及指导思想</w:t>
            </w:r>
            <w:r>
              <w:rPr>
                <w:rFonts w:ascii="SimSun" w:hAnsi="SimSun" w:eastAsia="SimSun" w:cs="SimSun"/>
                <w:sz w:val="20"/>
                <w:szCs w:val="20"/>
                <w:spacing w:val="-43"/>
              </w:rPr>
              <w:t xml:space="preserve"> </w:t>
            </w:r>
            <w:r>
              <w:rPr>
                <w:rFonts w:ascii="SimSun" w:hAnsi="SimSun" w:eastAsia="SimSun" w:cs="SimSun"/>
                <w:sz w:val="20"/>
                <w:szCs w:val="20"/>
              </w:rPr>
              <w:tab/>
            </w:r>
            <w:r>
              <w:rPr>
                <w:rFonts w:ascii="Times New Roman" w:hAnsi="Times New Roman" w:eastAsia="Times New Roman" w:cs="Times New Roman"/>
                <w:sz w:val="20"/>
                <w:szCs w:val="20"/>
                <w:spacing w:val="8"/>
              </w:rPr>
              <w:t>26</w:t>
            </w:r>
          </w:hyperlink>
        </w:p>
        <w:p>
          <w:pPr>
            <w:ind w:left="484"/>
            <w:spacing w:before="62" w:line="194" w:lineRule="auto"/>
            <w:tabs>
              <w:tab w:val="right" w:leader="dot" w:pos="8505"/>
            </w:tabs>
            <w:rPr>
              <w:rFonts w:ascii="Times New Roman" w:hAnsi="Times New Roman" w:eastAsia="Times New Roman" w:cs="Times New Roman"/>
              <w:sz w:val="20"/>
              <w:szCs w:val="20"/>
            </w:rPr>
          </w:pPr>
          <w:hyperlink w:history="true" w:anchor="bookmark25">
            <w:r>
              <w:rPr>
                <w:rFonts w:ascii="Times New Roman" w:hAnsi="Times New Roman" w:eastAsia="Times New Roman" w:cs="Times New Roman"/>
                <w:sz w:val="20"/>
                <w:szCs w:val="20"/>
                <w:spacing w:val="5"/>
              </w:rPr>
              <w:t>2.3 </w:t>
            </w:r>
            <w:r>
              <w:rPr>
                <w:rFonts w:ascii="SimSun" w:hAnsi="SimSun" w:eastAsia="SimSun" w:cs="SimSun"/>
                <w:sz w:val="20"/>
                <w:szCs w:val="20"/>
                <w:spacing w:val="5"/>
              </w:rPr>
              <w:t>评价重点</w:t>
            </w:r>
            <w:r>
              <w:rPr>
                <w:rFonts w:ascii="SimSun" w:hAnsi="SimSun" w:eastAsia="SimSun" w:cs="SimSun"/>
                <w:sz w:val="20"/>
                <w:szCs w:val="20"/>
                <w:spacing w:val="-50"/>
              </w:rPr>
              <w:t xml:space="preserve"> </w:t>
            </w:r>
            <w:r>
              <w:rPr>
                <w:rFonts w:ascii="SimSun" w:hAnsi="SimSun" w:eastAsia="SimSun" w:cs="SimSun"/>
                <w:sz w:val="20"/>
                <w:szCs w:val="20"/>
              </w:rPr>
              <w:tab/>
            </w:r>
            <w:r>
              <w:rPr>
                <w:rFonts w:ascii="SimSun" w:hAnsi="SimSun" w:eastAsia="SimSun" w:cs="SimSun"/>
                <w:sz w:val="20"/>
                <w:szCs w:val="20"/>
                <w:spacing w:val="-65"/>
              </w:rPr>
              <w:t xml:space="preserve"> </w:t>
            </w:r>
            <w:r>
              <w:rPr>
                <w:rFonts w:ascii="Times New Roman" w:hAnsi="Times New Roman" w:eastAsia="Times New Roman" w:cs="Times New Roman"/>
                <w:sz w:val="20"/>
                <w:szCs w:val="20"/>
                <w:spacing w:val="2"/>
              </w:rPr>
              <w:t>26</w:t>
            </w:r>
          </w:hyperlink>
        </w:p>
        <w:p>
          <w:pPr>
            <w:ind w:left="484"/>
            <w:spacing w:before="64" w:line="193" w:lineRule="auto"/>
            <w:tabs>
              <w:tab w:val="right" w:leader="dot" w:pos="8505"/>
            </w:tabs>
            <w:rPr>
              <w:rFonts w:ascii="Times New Roman" w:hAnsi="Times New Roman" w:eastAsia="Times New Roman" w:cs="Times New Roman"/>
              <w:sz w:val="20"/>
              <w:szCs w:val="20"/>
            </w:rPr>
          </w:pPr>
          <w:hyperlink w:history="true" w:anchor="bookmark26">
            <w:r>
              <w:rPr>
                <w:rFonts w:ascii="Times New Roman" w:hAnsi="Times New Roman" w:eastAsia="Times New Roman" w:cs="Times New Roman"/>
                <w:sz w:val="20"/>
                <w:szCs w:val="20"/>
                <w:spacing w:val="7"/>
              </w:rPr>
              <w:t>2.4 </w:t>
            </w:r>
            <w:r>
              <w:rPr>
                <w:rFonts w:ascii="SimSun" w:hAnsi="SimSun" w:eastAsia="SimSun" w:cs="SimSun"/>
                <w:sz w:val="20"/>
                <w:szCs w:val="20"/>
                <w:spacing w:val="7"/>
              </w:rPr>
              <w:t>评价等级及评价范围的确定</w:t>
            </w:r>
            <w:r>
              <w:rPr>
                <w:rFonts w:ascii="SimSun" w:hAnsi="SimSun" w:eastAsia="SimSun" w:cs="SimSun"/>
                <w:sz w:val="20"/>
                <w:szCs w:val="20"/>
                <w:spacing w:val="-42"/>
              </w:rPr>
              <w:t xml:space="preserve"> </w:t>
            </w:r>
            <w:r>
              <w:rPr>
                <w:rFonts w:ascii="SimSun" w:hAnsi="SimSun" w:eastAsia="SimSun" w:cs="SimSun"/>
                <w:sz w:val="20"/>
                <w:szCs w:val="20"/>
              </w:rPr>
              <w:tab/>
            </w:r>
            <w:r>
              <w:rPr>
                <w:rFonts w:ascii="Times New Roman" w:hAnsi="Times New Roman" w:eastAsia="Times New Roman" w:cs="Times New Roman"/>
                <w:sz w:val="20"/>
                <w:szCs w:val="20"/>
                <w:spacing w:val="12"/>
              </w:rPr>
              <w:t>27</w:t>
            </w:r>
          </w:hyperlink>
        </w:p>
        <w:p>
          <w:pPr>
            <w:ind w:left="964"/>
            <w:spacing w:before="62" w:line="193" w:lineRule="auto"/>
            <w:tabs>
              <w:tab w:val="right" w:leader="dot" w:pos="8505"/>
            </w:tabs>
            <w:rPr>
              <w:rFonts w:ascii="Times New Roman" w:hAnsi="Times New Roman" w:eastAsia="Times New Roman" w:cs="Times New Roman"/>
              <w:sz w:val="20"/>
              <w:szCs w:val="20"/>
            </w:rPr>
          </w:pPr>
          <w:hyperlink w:history="true" w:anchor="bookmark27">
            <w:r>
              <w:rPr>
                <w:rFonts w:ascii="Times New Roman" w:hAnsi="Times New Roman" w:eastAsia="Times New Roman" w:cs="Times New Roman"/>
                <w:sz w:val="20"/>
                <w:szCs w:val="20"/>
                <w:spacing w:val="5"/>
              </w:rPr>
              <w:t>2.4.1 </w:t>
            </w:r>
            <w:r>
              <w:rPr>
                <w:rFonts w:ascii="SimSun" w:hAnsi="SimSun" w:eastAsia="SimSun" w:cs="SimSun"/>
                <w:sz w:val="20"/>
                <w:szCs w:val="20"/>
                <w:spacing w:val="5"/>
              </w:rPr>
              <w:t>环境空气</w:t>
            </w:r>
            <w:r>
              <w:rPr>
                <w:rFonts w:ascii="SimSun" w:hAnsi="SimSun" w:eastAsia="SimSun" w:cs="SimSun"/>
                <w:sz w:val="20"/>
                <w:szCs w:val="20"/>
                <w:spacing w:val="-54"/>
              </w:rPr>
              <w:t xml:space="preserve"> </w:t>
            </w:r>
            <w:r>
              <w:rPr>
                <w:rFonts w:ascii="SimSun" w:hAnsi="SimSun" w:eastAsia="SimSun" w:cs="SimSun"/>
                <w:sz w:val="20"/>
                <w:szCs w:val="20"/>
              </w:rPr>
              <w:tab/>
            </w:r>
            <w:r>
              <w:rPr>
                <w:rFonts w:ascii="Times New Roman" w:hAnsi="Times New Roman" w:eastAsia="Times New Roman" w:cs="Times New Roman"/>
                <w:sz w:val="20"/>
                <w:szCs w:val="20"/>
                <w:spacing w:val="14"/>
              </w:rPr>
              <w:t>27</w:t>
            </w:r>
          </w:hyperlink>
        </w:p>
        <w:p>
          <w:pPr>
            <w:ind w:left="964"/>
            <w:spacing w:before="62" w:line="194" w:lineRule="auto"/>
            <w:tabs>
              <w:tab w:val="right" w:leader="dot" w:pos="8505"/>
            </w:tabs>
            <w:rPr>
              <w:rFonts w:ascii="Times New Roman" w:hAnsi="Times New Roman" w:eastAsia="Times New Roman" w:cs="Times New Roman"/>
              <w:sz w:val="20"/>
              <w:szCs w:val="20"/>
            </w:rPr>
          </w:pPr>
          <w:hyperlink w:history="true" w:anchor="bookmark28">
            <w:r>
              <w:rPr>
                <w:rFonts w:ascii="Times New Roman" w:hAnsi="Times New Roman" w:eastAsia="Times New Roman" w:cs="Times New Roman"/>
                <w:sz w:val="20"/>
                <w:szCs w:val="20"/>
                <w:spacing w:val="5"/>
              </w:rPr>
              <w:t>2.4.2 </w:t>
            </w:r>
            <w:r>
              <w:rPr>
                <w:rFonts w:ascii="SimSun" w:hAnsi="SimSun" w:eastAsia="SimSun" w:cs="SimSun"/>
                <w:sz w:val="20"/>
                <w:szCs w:val="20"/>
                <w:spacing w:val="5"/>
              </w:rPr>
              <w:t>地表水环境</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12"/>
              </w:rPr>
              <w:t>29</w:t>
            </w:r>
          </w:hyperlink>
        </w:p>
        <w:p>
          <w:pPr>
            <w:ind w:left="964"/>
            <w:spacing w:before="63" w:line="193" w:lineRule="auto"/>
            <w:tabs>
              <w:tab w:val="right" w:leader="dot" w:pos="8505"/>
            </w:tabs>
            <w:rPr>
              <w:rFonts w:ascii="Times New Roman" w:hAnsi="Times New Roman" w:eastAsia="Times New Roman" w:cs="Times New Roman"/>
              <w:sz w:val="20"/>
              <w:szCs w:val="20"/>
            </w:rPr>
          </w:pPr>
          <w:hyperlink w:history="true" w:anchor="bookmark29">
            <w:r>
              <w:rPr>
                <w:rFonts w:ascii="Times New Roman" w:hAnsi="Times New Roman" w:eastAsia="Times New Roman" w:cs="Times New Roman"/>
                <w:sz w:val="20"/>
                <w:szCs w:val="20"/>
                <w:spacing w:val="5"/>
              </w:rPr>
              <w:t>2.4.3 </w:t>
            </w:r>
            <w:r>
              <w:rPr>
                <w:rFonts w:ascii="SimSun" w:hAnsi="SimSun" w:eastAsia="SimSun" w:cs="SimSun"/>
                <w:sz w:val="20"/>
                <w:szCs w:val="20"/>
                <w:spacing w:val="5"/>
              </w:rPr>
              <w:t>地下水环境</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12"/>
              </w:rPr>
              <w:t>30</w:t>
            </w:r>
          </w:hyperlink>
        </w:p>
        <w:p>
          <w:pPr>
            <w:ind w:left="964"/>
            <w:spacing w:before="62" w:line="193" w:lineRule="auto"/>
            <w:tabs>
              <w:tab w:val="right" w:leader="dot" w:pos="8505"/>
            </w:tabs>
            <w:rPr>
              <w:rFonts w:ascii="Times New Roman" w:hAnsi="Times New Roman" w:eastAsia="Times New Roman" w:cs="Times New Roman"/>
              <w:sz w:val="20"/>
              <w:szCs w:val="20"/>
            </w:rPr>
          </w:pPr>
          <w:hyperlink w:history="true" w:anchor="bookmark30">
            <w:r>
              <w:rPr>
                <w:rFonts w:ascii="Times New Roman" w:hAnsi="Times New Roman" w:eastAsia="Times New Roman" w:cs="Times New Roman"/>
                <w:sz w:val="20"/>
                <w:szCs w:val="20"/>
                <w:spacing w:val="3"/>
              </w:rPr>
              <w:t>2.4.4</w:t>
            </w:r>
            <w:r>
              <w:rPr>
                <w:rFonts w:ascii="Times New Roman" w:hAnsi="Times New Roman" w:eastAsia="Times New Roman" w:cs="Times New Roman"/>
                <w:sz w:val="20"/>
                <w:szCs w:val="20"/>
                <w:spacing w:val="19"/>
                <w:w w:val="101"/>
              </w:rPr>
              <w:t xml:space="preserve"> </w:t>
            </w:r>
            <w:r>
              <w:rPr>
                <w:rFonts w:ascii="SimSun" w:hAnsi="SimSun" w:eastAsia="SimSun" w:cs="SimSun"/>
                <w:sz w:val="20"/>
                <w:szCs w:val="20"/>
                <w:spacing w:val="3"/>
              </w:rPr>
              <w:t>声环境</w:t>
            </w:r>
            <w:r>
              <w:rPr>
                <w:rFonts w:ascii="SimSun" w:hAnsi="SimSun" w:eastAsia="SimSun" w:cs="SimSun"/>
                <w:sz w:val="20"/>
                <w:szCs w:val="20"/>
                <w:spacing w:val="-57"/>
              </w:rPr>
              <w:t xml:space="preserve"> </w:t>
            </w:r>
            <w:r>
              <w:rPr>
                <w:rFonts w:ascii="SimSun" w:hAnsi="SimSun" w:eastAsia="SimSun" w:cs="SimSun"/>
                <w:sz w:val="20"/>
                <w:szCs w:val="20"/>
              </w:rPr>
              <w:tab/>
            </w:r>
            <w:r>
              <w:rPr>
                <w:rFonts w:ascii="Times New Roman" w:hAnsi="Times New Roman" w:eastAsia="Times New Roman" w:cs="Times New Roman"/>
                <w:sz w:val="20"/>
                <w:szCs w:val="20"/>
                <w:spacing w:val="14"/>
              </w:rPr>
              <w:t>31</w:t>
            </w:r>
          </w:hyperlink>
        </w:p>
        <w:p>
          <w:pPr>
            <w:ind w:left="964"/>
            <w:spacing w:before="65" w:line="194" w:lineRule="auto"/>
            <w:tabs>
              <w:tab w:val="right" w:leader="dot" w:pos="8505"/>
            </w:tabs>
            <w:rPr>
              <w:rFonts w:ascii="Times New Roman" w:hAnsi="Times New Roman" w:eastAsia="Times New Roman" w:cs="Times New Roman"/>
              <w:sz w:val="20"/>
              <w:szCs w:val="20"/>
            </w:rPr>
          </w:pPr>
          <w:hyperlink w:history="true" w:anchor="bookmark31">
            <w:r>
              <w:rPr>
                <w:rFonts w:ascii="Times New Roman" w:hAnsi="Times New Roman" w:eastAsia="Times New Roman" w:cs="Times New Roman"/>
                <w:sz w:val="20"/>
                <w:szCs w:val="20"/>
                <w:spacing w:val="5"/>
              </w:rPr>
              <w:t>2.4.5 </w:t>
            </w:r>
            <w:r>
              <w:rPr>
                <w:rFonts w:ascii="SimSun" w:hAnsi="SimSun" w:eastAsia="SimSun" w:cs="SimSun"/>
                <w:sz w:val="20"/>
                <w:szCs w:val="20"/>
                <w:spacing w:val="5"/>
              </w:rPr>
              <w:t>生态环境</w:t>
            </w:r>
            <w:r>
              <w:rPr>
                <w:rFonts w:ascii="SimSun" w:hAnsi="SimSun" w:eastAsia="SimSun" w:cs="SimSun"/>
                <w:sz w:val="20"/>
                <w:szCs w:val="20"/>
                <w:spacing w:val="-54"/>
              </w:rPr>
              <w:t xml:space="preserve"> </w:t>
            </w:r>
            <w:r>
              <w:rPr>
                <w:rFonts w:ascii="SimSun" w:hAnsi="SimSun" w:eastAsia="SimSun" w:cs="SimSun"/>
                <w:sz w:val="20"/>
                <w:szCs w:val="20"/>
              </w:rPr>
              <w:tab/>
            </w:r>
            <w:r>
              <w:rPr>
                <w:rFonts w:ascii="Times New Roman" w:hAnsi="Times New Roman" w:eastAsia="Times New Roman" w:cs="Times New Roman"/>
                <w:sz w:val="20"/>
                <w:szCs w:val="20"/>
                <w:spacing w:val="14"/>
              </w:rPr>
              <w:t>32</w:t>
            </w:r>
          </w:hyperlink>
        </w:p>
        <w:p>
          <w:pPr>
            <w:ind w:left="964"/>
            <w:spacing w:before="63" w:line="193" w:lineRule="auto"/>
            <w:tabs>
              <w:tab w:val="right" w:leader="dot" w:pos="8505"/>
            </w:tabs>
            <w:rPr>
              <w:rFonts w:ascii="Times New Roman" w:hAnsi="Times New Roman" w:eastAsia="Times New Roman" w:cs="Times New Roman"/>
              <w:sz w:val="20"/>
              <w:szCs w:val="20"/>
            </w:rPr>
          </w:pPr>
          <w:hyperlink w:history="true" w:anchor="bookmark32">
            <w:r>
              <w:rPr>
                <w:rFonts w:ascii="Times New Roman" w:hAnsi="Times New Roman" w:eastAsia="Times New Roman" w:cs="Times New Roman"/>
                <w:sz w:val="20"/>
                <w:szCs w:val="20"/>
                <w:spacing w:val="5"/>
              </w:rPr>
              <w:t>2.4.6 </w:t>
            </w:r>
            <w:r>
              <w:rPr>
                <w:rFonts w:ascii="SimSun" w:hAnsi="SimSun" w:eastAsia="SimSun" w:cs="SimSun"/>
                <w:sz w:val="20"/>
                <w:szCs w:val="20"/>
                <w:spacing w:val="5"/>
              </w:rPr>
              <w:t>土壤环境</w:t>
            </w:r>
            <w:r>
              <w:rPr>
                <w:rFonts w:ascii="SimSun" w:hAnsi="SimSun" w:eastAsia="SimSun" w:cs="SimSun"/>
                <w:sz w:val="20"/>
                <w:szCs w:val="20"/>
                <w:spacing w:val="-54"/>
              </w:rPr>
              <w:t xml:space="preserve"> </w:t>
            </w:r>
            <w:r>
              <w:rPr>
                <w:rFonts w:ascii="SimSun" w:hAnsi="SimSun" w:eastAsia="SimSun" w:cs="SimSun"/>
                <w:sz w:val="20"/>
                <w:szCs w:val="20"/>
              </w:rPr>
              <w:tab/>
            </w:r>
            <w:r>
              <w:rPr>
                <w:rFonts w:ascii="Times New Roman" w:hAnsi="Times New Roman" w:eastAsia="Times New Roman" w:cs="Times New Roman"/>
                <w:sz w:val="20"/>
                <w:szCs w:val="20"/>
                <w:spacing w:val="14"/>
              </w:rPr>
              <w:t>32</w:t>
            </w:r>
          </w:hyperlink>
        </w:p>
        <w:p>
          <w:pPr>
            <w:ind w:left="964"/>
            <w:spacing w:before="62" w:line="193" w:lineRule="auto"/>
            <w:tabs>
              <w:tab w:val="right" w:leader="dot" w:pos="8505"/>
            </w:tabs>
            <w:rPr>
              <w:rFonts w:ascii="Times New Roman" w:hAnsi="Times New Roman" w:eastAsia="Times New Roman" w:cs="Times New Roman"/>
              <w:sz w:val="20"/>
              <w:szCs w:val="20"/>
            </w:rPr>
          </w:pPr>
          <w:hyperlink w:history="true" w:anchor="bookmark33">
            <w:r>
              <w:rPr>
                <w:rFonts w:ascii="Times New Roman" w:hAnsi="Times New Roman" w:eastAsia="Times New Roman" w:cs="Times New Roman"/>
                <w:sz w:val="20"/>
                <w:szCs w:val="20"/>
                <w:spacing w:val="5"/>
              </w:rPr>
              <w:t>2.4.7 </w:t>
            </w:r>
            <w:r>
              <w:rPr>
                <w:rFonts w:ascii="SimSun" w:hAnsi="SimSun" w:eastAsia="SimSun" w:cs="SimSun"/>
                <w:sz w:val="20"/>
                <w:szCs w:val="20"/>
                <w:spacing w:val="5"/>
              </w:rPr>
              <w:t>环境风险</w:t>
            </w:r>
            <w:r>
              <w:rPr>
                <w:rFonts w:ascii="SimSun" w:hAnsi="SimSun" w:eastAsia="SimSun" w:cs="SimSun"/>
                <w:sz w:val="20"/>
                <w:szCs w:val="20"/>
                <w:spacing w:val="-54"/>
              </w:rPr>
              <w:t xml:space="preserve"> </w:t>
            </w:r>
            <w:r>
              <w:rPr>
                <w:rFonts w:ascii="SimSun" w:hAnsi="SimSun" w:eastAsia="SimSun" w:cs="SimSun"/>
                <w:sz w:val="20"/>
                <w:szCs w:val="20"/>
              </w:rPr>
              <w:tab/>
            </w:r>
            <w:r>
              <w:rPr>
                <w:rFonts w:ascii="Times New Roman" w:hAnsi="Times New Roman" w:eastAsia="Times New Roman" w:cs="Times New Roman"/>
                <w:sz w:val="20"/>
                <w:szCs w:val="20"/>
                <w:spacing w:val="14"/>
              </w:rPr>
              <w:t>33</w:t>
            </w:r>
          </w:hyperlink>
        </w:p>
        <w:p>
          <w:pPr>
            <w:ind w:left="964"/>
            <w:spacing w:before="62" w:line="194" w:lineRule="auto"/>
            <w:tabs>
              <w:tab w:val="right" w:leader="dot" w:pos="8505"/>
            </w:tabs>
            <w:rPr>
              <w:rFonts w:ascii="Times New Roman" w:hAnsi="Times New Roman" w:eastAsia="Times New Roman" w:cs="Times New Roman"/>
              <w:sz w:val="20"/>
              <w:szCs w:val="20"/>
            </w:rPr>
          </w:pPr>
          <w:hyperlink w:history="true" w:anchor="bookmark34">
            <w:r>
              <w:rPr>
                <w:rFonts w:ascii="Times New Roman" w:hAnsi="Times New Roman" w:eastAsia="Times New Roman" w:cs="Times New Roman"/>
                <w:sz w:val="20"/>
                <w:szCs w:val="20"/>
                <w:spacing w:val="5"/>
              </w:rPr>
              <w:t>2.4.8 </w:t>
            </w:r>
            <w:r>
              <w:rPr>
                <w:rFonts w:ascii="SimSun" w:hAnsi="SimSun" w:eastAsia="SimSun" w:cs="SimSun"/>
                <w:sz w:val="20"/>
                <w:szCs w:val="20"/>
                <w:spacing w:val="5"/>
              </w:rPr>
              <w:t>评价范围</w:t>
            </w:r>
            <w:r>
              <w:rPr>
                <w:rFonts w:ascii="SimSun" w:hAnsi="SimSun" w:eastAsia="SimSun" w:cs="SimSun"/>
                <w:sz w:val="20"/>
                <w:szCs w:val="20"/>
                <w:spacing w:val="-54"/>
              </w:rPr>
              <w:t xml:space="preserve"> </w:t>
            </w:r>
            <w:r>
              <w:rPr>
                <w:rFonts w:ascii="SimSun" w:hAnsi="SimSun" w:eastAsia="SimSun" w:cs="SimSun"/>
                <w:sz w:val="20"/>
                <w:szCs w:val="20"/>
              </w:rPr>
              <w:tab/>
            </w:r>
            <w:r>
              <w:rPr>
                <w:rFonts w:ascii="Times New Roman" w:hAnsi="Times New Roman" w:eastAsia="Times New Roman" w:cs="Times New Roman"/>
                <w:sz w:val="20"/>
                <w:szCs w:val="20"/>
                <w:spacing w:val="14"/>
              </w:rPr>
              <w:t>34</w:t>
            </w:r>
          </w:hyperlink>
        </w:p>
        <w:p>
          <w:pPr>
            <w:ind w:left="484"/>
            <w:spacing w:before="64" w:line="193" w:lineRule="auto"/>
            <w:tabs>
              <w:tab w:val="right" w:leader="dot" w:pos="8505"/>
            </w:tabs>
            <w:rPr>
              <w:rFonts w:ascii="Times New Roman" w:hAnsi="Times New Roman" w:eastAsia="Times New Roman" w:cs="Times New Roman"/>
              <w:sz w:val="20"/>
              <w:szCs w:val="20"/>
            </w:rPr>
          </w:pPr>
          <w:hyperlink w:history="true" w:anchor="bookmark35">
            <w:r>
              <w:rPr>
                <w:rFonts w:ascii="Times New Roman" w:hAnsi="Times New Roman" w:eastAsia="Times New Roman" w:cs="Times New Roman"/>
                <w:sz w:val="20"/>
                <w:szCs w:val="20"/>
                <w:spacing w:val="8"/>
              </w:rPr>
              <w:t>2.5 </w:t>
            </w:r>
            <w:r>
              <w:rPr>
                <w:rFonts w:ascii="SimSun" w:hAnsi="SimSun" w:eastAsia="SimSun" w:cs="SimSun"/>
                <w:sz w:val="20"/>
                <w:szCs w:val="20"/>
                <w:spacing w:val="8"/>
              </w:rPr>
              <w:t>环境影响因子识别和评价因子筛选</w:t>
            </w:r>
            <w:r>
              <w:rPr>
                <w:rFonts w:ascii="SimSun" w:hAnsi="SimSun" w:eastAsia="SimSun" w:cs="SimSun"/>
                <w:sz w:val="20"/>
                <w:szCs w:val="20"/>
                <w:spacing w:val="-53"/>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35</w:t>
            </w:r>
          </w:hyperlink>
        </w:p>
        <w:p>
          <w:pPr>
            <w:ind w:left="964"/>
            <w:spacing w:before="62" w:line="193" w:lineRule="auto"/>
            <w:tabs>
              <w:tab w:val="right" w:leader="dot" w:pos="8505"/>
            </w:tabs>
            <w:rPr>
              <w:rFonts w:ascii="Times New Roman" w:hAnsi="Times New Roman" w:eastAsia="Times New Roman" w:cs="Times New Roman"/>
              <w:sz w:val="20"/>
              <w:szCs w:val="20"/>
            </w:rPr>
          </w:pPr>
          <w:hyperlink w:history="true" w:anchor="bookmark36">
            <w:r>
              <w:rPr>
                <w:rFonts w:ascii="Times New Roman" w:hAnsi="Times New Roman" w:eastAsia="Times New Roman" w:cs="Times New Roman"/>
                <w:sz w:val="20"/>
                <w:szCs w:val="20"/>
                <w:spacing w:val="6"/>
              </w:rPr>
              <w:t>2.5.1 </w:t>
            </w:r>
            <w:r>
              <w:rPr>
                <w:rFonts w:ascii="SimSun" w:hAnsi="SimSun" w:eastAsia="SimSun" w:cs="SimSun"/>
                <w:sz w:val="20"/>
                <w:szCs w:val="20"/>
                <w:spacing w:val="6"/>
              </w:rPr>
              <w:t>工程排污特征分析</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35</w:t>
            </w:r>
          </w:hyperlink>
        </w:p>
        <w:p>
          <w:pPr>
            <w:ind w:left="964"/>
            <w:spacing w:before="64" w:line="194" w:lineRule="auto"/>
            <w:tabs>
              <w:tab w:val="right" w:leader="dot" w:pos="8505"/>
            </w:tabs>
            <w:rPr>
              <w:rFonts w:ascii="Times New Roman" w:hAnsi="Times New Roman" w:eastAsia="Times New Roman" w:cs="Times New Roman"/>
              <w:sz w:val="20"/>
              <w:szCs w:val="20"/>
            </w:rPr>
          </w:pPr>
          <w:hyperlink w:history="true" w:anchor="bookmark37">
            <w:r>
              <w:rPr>
                <w:rFonts w:ascii="Times New Roman" w:hAnsi="Times New Roman" w:eastAsia="Times New Roman" w:cs="Times New Roman"/>
                <w:sz w:val="20"/>
                <w:szCs w:val="20"/>
                <w:spacing w:val="7"/>
              </w:rPr>
              <w:t>2.5.2 </w:t>
            </w:r>
            <w:r>
              <w:rPr>
                <w:rFonts w:ascii="SimSun" w:hAnsi="SimSun" w:eastAsia="SimSun" w:cs="SimSun"/>
                <w:sz w:val="20"/>
                <w:szCs w:val="20"/>
                <w:spacing w:val="7"/>
              </w:rPr>
              <w:t>环境影响评价因子识别</w:t>
            </w:r>
            <w:r>
              <w:rPr>
                <w:rFonts w:ascii="SimSun" w:hAnsi="SimSun" w:eastAsia="SimSun" w:cs="SimSun"/>
                <w:sz w:val="20"/>
                <w:szCs w:val="20"/>
                <w:spacing w:val="-56"/>
              </w:rPr>
              <w:t xml:space="preserve"> </w:t>
            </w:r>
            <w:r>
              <w:rPr>
                <w:rFonts w:ascii="SimSun" w:hAnsi="SimSun" w:eastAsia="SimSun" w:cs="SimSun"/>
                <w:sz w:val="20"/>
                <w:szCs w:val="20"/>
              </w:rPr>
              <w:tab/>
            </w:r>
            <w:r>
              <w:rPr>
                <w:rFonts w:ascii="Times New Roman" w:hAnsi="Times New Roman" w:eastAsia="Times New Roman" w:cs="Times New Roman"/>
                <w:sz w:val="20"/>
                <w:szCs w:val="20"/>
                <w:spacing w:val="8"/>
              </w:rPr>
              <w:t>36</w:t>
            </w:r>
          </w:hyperlink>
        </w:p>
        <w:p>
          <w:pPr>
            <w:ind w:left="964"/>
            <w:spacing w:before="62" w:line="193" w:lineRule="auto"/>
            <w:tabs>
              <w:tab w:val="right" w:leader="dot" w:pos="8505"/>
            </w:tabs>
            <w:rPr>
              <w:rFonts w:ascii="Times New Roman" w:hAnsi="Times New Roman" w:eastAsia="Times New Roman" w:cs="Times New Roman"/>
              <w:sz w:val="20"/>
              <w:szCs w:val="20"/>
            </w:rPr>
          </w:pPr>
          <w:hyperlink w:history="true" w:anchor="bookmark38">
            <w:r>
              <w:rPr>
                <w:rFonts w:ascii="Times New Roman" w:hAnsi="Times New Roman" w:eastAsia="Times New Roman" w:cs="Times New Roman"/>
                <w:sz w:val="20"/>
                <w:szCs w:val="20"/>
                <w:spacing w:val="6"/>
              </w:rPr>
              <w:t>2.5.3 </w:t>
            </w:r>
            <w:r>
              <w:rPr>
                <w:rFonts w:ascii="SimSun" w:hAnsi="SimSun" w:eastAsia="SimSun" w:cs="SimSun"/>
                <w:sz w:val="20"/>
                <w:szCs w:val="20"/>
                <w:spacing w:val="6"/>
              </w:rPr>
              <w:t>评价因子筛选</w:t>
            </w:r>
            <w:r>
              <w:rPr>
                <w:rFonts w:ascii="SimSun" w:hAnsi="SimSun" w:eastAsia="SimSun" w:cs="SimSun"/>
                <w:sz w:val="20"/>
                <w:szCs w:val="20"/>
                <w:spacing w:val="-56"/>
              </w:rPr>
              <w:t xml:space="preserve"> </w:t>
            </w:r>
            <w:r>
              <w:rPr>
                <w:rFonts w:ascii="SimSun" w:hAnsi="SimSun" w:eastAsia="SimSun" w:cs="SimSun"/>
                <w:sz w:val="20"/>
                <w:szCs w:val="20"/>
              </w:rPr>
              <w:tab/>
            </w:r>
            <w:r>
              <w:rPr>
                <w:rFonts w:ascii="Times New Roman" w:hAnsi="Times New Roman" w:eastAsia="Times New Roman" w:cs="Times New Roman"/>
                <w:sz w:val="20"/>
                <w:szCs w:val="20"/>
                <w:spacing w:val="12"/>
              </w:rPr>
              <w:t>37</w:t>
            </w:r>
          </w:hyperlink>
        </w:p>
        <w:p>
          <w:pPr>
            <w:ind w:left="484"/>
            <w:spacing w:before="64" w:line="194" w:lineRule="auto"/>
            <w:tabs>
              <w:tab w:val="right" w:leader="dot" w:pos="8505"/>
            </w:tabs>
            <w:rPr>
              <w:rFonts w:ascii="Times New Roman" w:hAnsi="Times New Roman" w:eastAsia="Times New Roman" w:cs="Times New Roman"/>
              <w:sz w:val="20"/>
              <w:szCs w:val="20"/>
            </w:rPr>
          </w:pPr>
          <w:hyperlink w:history="true" w:anchor="bookmark39">
            <w:r>
              <w:rPr>
                <w:rFonts w:ascii="Times New Roman" w:hAnsi="Times New Roman" w:eastAsia="Times New Roman" w:cs="Times New Roman"/>
                <w:sz w:val="20"/>
                <w:szCs w:val="20"/>
                <w:spacing w:val="5"/>
              </w:rPr>
              <w:t>2.6 </w:t>
            </w:r>
            <w:r>
              <w:rPr>
                <w:rFonts w:ascii="SimSun" w:hAnsi="SimSun" w:eastAsia="SimSun" w:cs="SimSun"/>
                <w:sz w:val="20"/>
                <w:szCs w:val="20"/>
                <w:spacing w:val="5"/>
              </w:rPr>
              <w:t>评价标准</w:t>
            </w:r>
            <w:r>
              <w:rPr>
                <w:rFonts w:ascii="SimSun" w:hAnsi="SimSun" w:eastAsia="SimSun" w:cs="SimSun"/>
                <w:sz w:val="20"/>
                <w:szCs w:val="20"/>
                <w:spacing w:val="-50"/>
              </w:rPr>
              <w:t xml:space="preserve"> </w:t>
            </w:r>
            <w:r>
              <w:rPr>
                <w:rFonts w:ascii="SimSun" w:hAnsi="SimSun" w:eastAsia="SimSun" w:cs="SimSun"/>
                <w:sz w:val="20"/>
                <w:szCs w:val="20"/>
              </w:rPr>
              <w:tab/>
            </w:r>
            <w:r>
              <w:rPr>
                <w:rFonts w:ascii="SimSun" w:hAnsi="SimSun" w:eastAsia="SimSun" w:cs="SimSun"/>
                <w:sz w:val="20"/>
                <w:szCs w:val="20"/>
                <w:spacing w:val="-61"/>
              </w:rPr>
              <w:t xml:space="preserve"> </w:t>
            </w:r>
            <w:r>
              <w:rPr>
                <w:rFonts w:ascii="Times New Roman" w:hAnsi="Times New Roman" w:eastAsia="Times New Roman" w:cs="Times New Roman"/>
                <w:sz w:val="20"/>
                <w:szCs w:val="20"/>
              </w:rPr>
              <w:t>37</w:t>
            </w:r>
          </w:hyperlink>
        </w:p>
        <w:p>
          <w:pPr>
            <w:ind w:left="964"/>
            <w:spacing w:before="61" w:line="193" w:lineRule="auto"/>
            <w:tabs>
              <w:tab w:val="right" w:leader="dot" w:pos="8505"/>
            </w:tabs>
            <w:rPr>
              <w:rFonts w:ascii="Times New Roman" w:hAnsi="Times New Roman" w:eastAsia="Times New Roman" w:cs="Times New Roman"/>
              <w:sz w:val="20"/>
              <w:szCs w:val="20"/>
            </w:rPr>
          </w:pPr>
          <w:hyperlink w:history="true" w:anchor="bookmark40">
            <w:r>
              <w:rPr>
                <w:rFonts w:ascii="Times New Roman" w:hAnsi="Times New Roman" w:eastAsia="Times New Roman" w:cs="Times New Roman"/>
                <w:sz w:val="20"/>
                <w:szCs w:val="20"/>
                <w:spacing w:val="6"/>
              </w:rPr>
              <w:t>2.6.1 </w:t>
            </w:r>
            <w:r>
              <w:rPr>
                <w:rFonts w:ascii="SimSun" w:hAnsi="SimSun" w:eastAsia="SimSun" w:cs="SimSun"/>
                <w:sz w:val="20"/>
                <w:szCs w:val="20"/>
                <w:spacing w:val="6"/>
              </w:rPr>
              <w:t>环境质量标准</w:t>
            </w:r>
            <w:r>
              <w:rPr>
                <w:rFonts w:ascii="SimSun" w:hAnsi="SimSun" w:eastAsia="SimSun" w:cs="SimSun"/>
                <w:sz w:val="20"/>
                <w:szCs w:val="20"/>
                <w:spacing w:val="-56"/>
              </w:rPr>
              <w:t xml:space="preserve"> </w:t>
            </w:r>
            <w:r>
              <w:rPr>
                <w:rFonts w:ascii="SimSun" w:hAnsi="SimSun" w:eastAsia="SimSun" w:cs="SimSun"/>
                <w:sz w:val="20"/>
                <w:szCs w:val="20"/>
              </w:rPr>
              <w:tab/>
            </w:r>
            <w:r>
              <w:rPr>
                <w:rFonts w:ascii="Times New Roman" w:hAnsi="Times New Roman" w:eastAsia="Times New Roman" w:cs="Times New Roman"/>
                <w:sz w:val="20"/>
                <w:szCs w:val="20"/>
                <w:spacing w:val="12"/>
              </w:rPr>
              <w:t>37</w:t>
            </w:r>
          </w:hyperlink>
        </w:p>
        <w:p>
          <w:pPr>
            <w:ind w:left="964"/>
            <w:spacing w:before="65" w:line="193" w:lineRule="auto"/>
            <w:tabs>
              <w:tab w:val="right" w:leader="dot" w:pos="8505"/>
            </w:tabs>
            <w:rPr>
              <w:rFonts w:ascii="Times New Roman" w:hAnsi="Times New Roman" w:eastAsia="Times New Roman" w:cs="Times New Roman"/>
              <w:sz w:val="20"/>
              <w:szCs w:val="20"/>
            </w:rPr>
          </w:pPr>
          <w:hyperlink w:history="true" w:anchor="bookmark41">
            <w:r>
              <w:rPr>
                <w:rFonts w:ascii="Times New Roman" w:hAnsi="Times New Roman" w:eastAsia="Times New Roman" w:cs="Times New Roman"/>
                <w:sz w:val="20"/>
                <w:szCs w:val="20"/>
                <w:spacing w:val="6"/>
              </w:rPr>
              <w:t>2.6.2 </w:t>
            </w:r>
            <w:r>
              <w:rPr>
                <w:rFonts w:ascii="SimSun" w:hAnsi="SimSun" w:eastAsia="SimSun" w:cs="SimSun"/>
                <w:sz w:val="20"/>
                <w:szCs w:val="20"/>
                <w:spacing w:val="6"/>
              </w:rPr>
              <w:t>污染物排放标准</w:t>
            </w:r>
            <w:r>
              <w:rPr>
                <w:rFonts w:ascii="SimSun" w:hAnsi="SimSun" w:eastAsia="SimSun" w:cs="SimSun"/>
                <w:sz w:val="20"/>
                <w:szCs w:val="20"/>
                <w:spacing w:val="-51"/>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40</w:t>
            </w:r>
          </w:hyperlink>
        </w:p>
        <w:p>
          <w:pPr>
            <w:ind w:left="484"/>
            <w:spacing w:before="62" w:line="194" w:lineRule="auto"/>
            <w:tabs>
              <w:tab w:val="right" w:leader="dot" w:pos="8505"/>
            </w:tabs>
            <w:rPr>
              <w:rFonts w:ascii="Times New Roman" w:hAnsi="Times New Roman" w:eastAsia="Times New Roman" w:cs="Times New Roman"/>
              <w:sz w:val="20"/>
              <w:szCs w:val="20"/>
            </w:rPr>
          </w:pPr>
          <w:hyperlink w:history="true" w:anchor="bookmark42">
            <w:r>
              <w:rPr>
                <w:rFonts w:ascii="Times New Roman" w:hAnsi="Times New Roman" w:eastAsia="Times New Roman" w:cs="Times New Roman"/>
                <w:sz w:val="20"/>
                <w:szCs w:val="20"/>
                <w:spacing w:val="6"/>
              </w:rPr>
              <w:t>2.7 </w:t>
            </w:r>
            <w:r>
              <w:rPr>
                <w:rFonts w:ascii="SimSun" w:hAnsi="SimSun" w:eastAsia="SimSun" w:cs="SimSun"/>
                <w:sz w:val="20"/>
                <w:szCs w:val="20"/>
                <w:spacing w:val="6"/>
              </w:rPr>
              <w:t>环境保护目标</w:t>
            </w:r>
            <w:r>
              <w:rPr>
                <w:rFonts w:ascii="SimSun" w:hAnsi="SimSun" w:eastAsia="SimSun" w:cs="SimSun"/>
                <w:sz w:val="20"/>
                <w:szCs w:val="20"/>
                <w:spacing w:val="-50"/>
              </w:rPr>
              <w:t xml:space="preserve"> </w:t>
            </w:r>
            <w:r>
              <w:rPr>
                <w:rFonts w:ascii="SimSun" w:hAnsi="SimSun" w:eastAsia="SimSun" w:cs="SimSun"/>
                <w:sz w:val="20"/>
                <w:szCs w:val="20"/>
              </w:rPr>
              <w:tab/>
            </w:r>
            <w:r>
              <w:rPr>
                <w:rFonts w:ascii="SimSun" w:hAnsi="SimSun" w:eastAsia="SimSun" w:cs="SimSun"/>
                <w:sz w:val="20"/>
                <w:szCs w:val="20"/>
                <w:spacing w:val="-71"/>
              </w:rPr>
              <w:t xml:space="preserve"> </w:t>
            </w:r>
            <w:r>
              <w:rPr>
                <w:rFonts w:ascii="Times New Roman" w:hAnsi="Times New Roman" w:eastAsia="Times New Roman" w:cs="Times New Roman"/>
                <w:sz w:val="20"/>
                <w:szCs w:val="20"/>
                <w:spacing w:val="3"/>
              </w:rPr>
              <w:t>42</w:t>
            </w:r>
          </w:hyperlink>
        </w:p>
        <w:p>
          <w:pPr>
            <w:ind w:left="9"/>
            <w:spacing w:before="63" w:line="193" w:lineRule="auto"/>
            <w:tabs>
              <w:tab w:val="right" w:leader="dot" w:pos="8505"/>
            </w:tabs>
            <w:rPr>
              <w:rFonts w:ascii="Times New Roman" w:hAnsi="Times New Roman" w:eastAsia="Times New Roman" w:cs="Times New Roman"/>
              <w:sz w:val="20"/>
              <w:szCs w:val="20"/>
            </w:rPr>
          </w:pPr>
          <w:hyperlink w:history="true" w:anchor="bookmark43">
            <w:r>
              <w:rPr>
                <w:rFonts w:ascii="Times New Roman" w:hAnsi="Times New Roman" w:eastAsia="Times New Roman" w:cs="Times New Roman"/>
                <w:sz w:val="20"/>
                <w:szCs w:val="20"/>
                <w:spacing w:val="7"/>
              </w:rPr>
              <w:t>3 </w:t>
            </w:r>
            <w:r>
              <w:rPr>
                <w:rFonts w:ascii="SimSun" w:hAnsi="SimSun" w:eastAsia="SimSun" w:cs="SimSun"/>
                <w:sz w:val="20"/>
                <w:szCs w:val="20"/>
                <w:spacing w:val="7"/>
              </w:rPr>
              <w:t>建设项目工程分析</w:t>
            </w:r>
            <w:r>
              <w:rPr>
                <w:rFonts w:ascii="SimSun" w:hAnsi="SimSun" w:eastAsia="SimSun" w:cs="SimSun"/>
                <w:sz w:val="20"/>
                <w:szCs w:val="20"/>
                <w:spacing w:val="-53"/>
              </w:rPr>
              <w:t xml:space="preserve"> </w:t>
            </w:r>
            <w:r>
              <w:rPr>
                <w:rFonts w:ascii="SimSun" w:hAnsi="SimSun" w:eastAsia="SimSun" w:cs="SimSun"/>
                <w:sz w:val="20"/>
                <w:szCs w:val="20"/>
              </w:rPr>
              <w:tab/>
            </w:r>
            <w:r>
              <w:rPr>
                <w:rFonts w:ascii="SimSun" w:hAnsi="SimSun" w:eastAsia="SimSun" w:cs="SimSun"/>
                <w:sz w:val="20"/>
                <w:szCs w:val="20"/>
                <w:spacing w:val="-61"/>
              </w:rPr>
              <w:t xml:space="preserve"> </w:t>
            </w:r>
            <w:r>
              <w:rPr>
                <w:rFonts w:ascii="Times New Roman" w:hAnsi="Times New Roman" w:eastAsia="Times New Roman" w:cs="Times New Roman"/>
                <w:sz w:val="20"/>
                <w:szCs w:val="20"/>
                <w:spacing w:val="3"/>
              </w:rPr>
              <w:t>47</w:t>
            </w:r>
          </w:hyperlink>
        </w:p>
        <w:p>
          <w:pPr>
            <w:ind w:left="489"/>
            <w:spacing w:before="62" w:line="193" w:lineRule="auto"/>
            <w:tabs>
              <w:tab w:val="right" w:leader="dot" w:pos="8505"/>
            </w:tabs>
            <w:rPr>
              <w:rFonts w:ascii="Times New Roman" w:hAnsi="Times New Roman" w:eastAsia="Times New Roman" w:cs="Times New Roman"/>
              <w:sz w:val="20"/>
              <w:szCs w:val="20"/>
            </w:rPr>
          </w:pPr>
          <w:hyperlink w:history="true" w:anchor="bookmark44">
            <w:r>
              <w:rPr>
                <w:rFonts w:ascii="Times New Roman" w:hAnsi="Times New Roman" w:eastAsia="Times New Roman" w:cs="Times New Roman"/>
                <w:sz w:val="20"/>
                <w:szCs w:val="20"/>
                <w:spacing w:val="6"/>
              </w:rPr>
              <w:t>3.1 </w:t>
            </w:r>
            <w:r>
              <w:rPr>
                <w:rFonts w:ascii="SimSun" w:hAnsi="SimSun" w:eastAsia="SimSun" w:cs="SimSun"/>
                <w:sz w:val="20"/>
                <w:szCs w:val="20"/>
                <w:spacing w:val="6"/>
              </w:rPr>
              <w:t>建设项目概况</w:t>
            </w:r>
            <w:r>
              <w:rPr>
                <w:rFonts w:ascii="SimSun" w:hAnsi="SimSun" w:eastAsia="SimSun" w:cs="SimSun"/>
                <w:sz w:val="20"/>
                <w:szCs w:val="20"/>
                <w:spacing w:val="-54"/>
              </w:rPr>
              <w:t xml:space="preserve"> </w:t>
            </w:r>
            <w:r>
              <w:rPr>
                <w:rFonts w:ascii="SimSun" w:hAnsi="SimSun" w:eastAsia="SimSun" w:cs="SimSun"/>
                <w:sz w:val="20"/>
                <w:szCs w:val="20"/>
              </w:rPr>
              <w:tab/>
            </w:r>
            <w:r>
              <w:rPr>
                <w:rFonts w:ascii="SimSun" w:hAnsi="SimSun" w:eastAsia="SimSun" w:cs="SimSun"/>
                <w:sz w:val="20"/>
                <w:szCs w:val="20"/>
                <w:spacing w:val="-71"/>
              </w:rPr>
              <w:t xml:space="preserve"> </w:t>
            </w:r>
            <w:r>
              <w:rPr>
                <w:rFonts w:ascii="Times New Roman" w:hAnsi="Times New Roman" w:eastAsia="Times New Roman" w:cs="Times New Roman"/>
                <w:sz w:val="20"/>
                <w:szCs w:val="20"/>
                <w:spacing w:val="3"/>
              </w:rPr>
              <w:t>47</w:t>
            </w:r>
          </w:hyperlink>
        </w:p>
        <w:p>
          <w:pPr>
            <w:ind w:left="969"/>
            <w:spacing w:before="65" w:line="194" w:lineRule="auto"/>
            <w:tabs>
              <w:tab w:val="right" w:leader="dot" w:pos="8505"/>
            </w:tabs>
            <w:rPr>
              <w:rFonts w:ascii="Times New Roman" w:hAnsi="Times New Roman" w:eastAsia="Times New Roman" w:cs="Times New Roman"/>
              <w:sz w:val="20"/>
              <w:szCs w:val="20"/>
            </w:rPr>
          </w:pPr>
          <w:hyperlink w:history="true" w:anchor="bookmark45">
            <w:r>
              <w:rPr>
                <w:rFonts w:ascii="Times New Roman" w:hAnsi="Times New Roman" w:eastAsia="Times New Roman" w:cs="Times New Roman"/>
                <w:sz w:val="20"/>
                <w:szCs w:val="20"/>
                <w:spacing w:val="5"/>
              </w:rPr>
              <w:t>3.1.1 </w:t>
            </w:r>
            <w:r>
              <w:rPr>
                <w:rFonts w:ascii="SimSun" w:hAnsi="SimSun" w:eastAsia="SimSun" w:cs="SimSun"/>
                <w:sz w:val="20"/>
                <w:szCs w:val="20"/>
                <w:spacing w:val="5"/>
              </w:rPr>
              <w:t>项目基本情况</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12"/>
              </w:rPr>
              <w:t>47</w:t>
            </w:r>
          </w:hyperlink>
        </w:p>
        <w:p>
          <w:pPr>
            <w:ind w:left="969"/>
            <w:spacing w:before="61" w:line="193" w:lineRule="auto"/>
            <w:tabs>
              <w:tab w:val="right" w:leader="dot" w:pos="8505"/>
            </w:tabs>
            <w:rPr>
              <w:rFonts w:ascii="Times New Roman" w:hAnsi="Times New Roman" w:eastAsia="Times New Roman" w:cs="Times New Roman"/>
              <w:sz w:val="20"/>
              <w:szCs w:val="20"/>
            </w:rPr>
          </w:pPr>
          <w:hyperlink w:history="true" w:anchor="bookmark46">
            <w:r>
              <w:rPr>
                <w:rFonts w:ascii="Times New Roman" w:hAnsi="Times New Roman" w:eastAsia="Times New Roman" w:cs="Times New Roman"/>
                <w:sz w:val="20"/>
                <w:szCs w:val="20"/>
                <w:spacing w:val="4"/>
              </w:rPr>
              <w:t>3.1.2 </w:t>
            </w:r>
            <w:r>
              <w:rPr>
                <w:rFonts w:ascii="SimSun" w:hAnsi="SimSun" w:eastAsia="SimSun" w:cs="SimSun"/>
                <w:sz w:val="20"/>
                <w:szCs w:val="20"/>
                <w:spacing w:val="4"/>
              </w:rPr>
              <w:t>建设内容</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14"/>
              </w:rPr>
              <w:t>48</w:t>
            </w:r>
          </w:hyperlink>
        </w:p>
        <w:p>
          <w:pPr>
            <w:ind w:left="969"/>
            <w:spacing w:before="65" w:line="227" w:lineRule="auto"/>
            <w:tabs>
              <w:tab w:val="right" w:leader="dot" w:pos="8505"/>
            </w:tabs>
            <w:rPr>
              <w:rFonts w:ascii="Times New Roman" w:hAnsi="Times New Roman" w:eastAsia="Times New Roman" w:cs="Times New Roman"/>
              <w:sz w:val="20"/>
              <w:szCs w:val="20"/>
            </w:rPr>
          </w:pPr>
          <w:hyperlink w:history="true" w:anchor="bookmark47">
            <w:r>
              <w:rPr>
                <w:rFonts w:ascii="Times New Roman" w:hAnsi="Times New Roman" w:eastAsia="Times New Roman" w:cs="Times New Roman"/>
                <w:sz w:val="20"/>
                <w:szCs w:val="20"/>
                <w:spacing w:val="6"/>
              </w:rPr>
              <w:t>3.1.3 </w:t>
            </w:r>
            <w:r>
              <w:rPr>
                <w:rFonts w:ascii="SimSun" w:hAnsi="SimSun" w:eastAsia="SimSun" w:cs="SimSun"/>
                <w:sz w:val="20"/>
                <w:szCs w:val="20"/>
                <w:spacing w:val="6"/>
              </w:rPr>
              <w:t>选址及平面布局</w:t>
            </w:r>
            <w:r>
              <w:rPr>
                <w:rFonts w:ascii="SimSun" w:hAnsi="SimSun" w:eastAsia="SimSun" w:cs="SimSun"/>
                <w:sz w:val="20"/>
                <w:szCs w:val="20"/>
                <w:spacing w:val="-55"/>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55</w:t>
            </w:r>
          </w:hyperlink>
        </w:p>
      </w:sdtContent>
    </w:sdt>
    <w:p>
      <w:pPr>
        <w:ind w:left="7"/>
        <w:spacing w:before="250" w:line="227" w:lineRule="auto"/>
        <w:rPr>
          <w:rFonts w:ascii="SimSun" w:hAnsi="SimSun" w:eastAsia="SimSun" w:cs="SimSun"/>
          <w:sz w:val="19"/>
          <w:szCs w:val="19"/>
        </w:rPr>
      </w:pPr>
      <w:r>
        <w:pict>
          <v:shape id="_x0000_s10" style="position:absolute;margin-left:159.33pt;margin-top:11.5164pt;mso-position-vertical-relative:text;mso-position-horizontal-relative:text;width:56.6pt;height:13.75pt;z-index:25165926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5"/>
                    </w:rPr>
                    <w:t>任公司</w:t>
                  </w:r>
                  <w:r>
                    <w:rPr>
                      <w:rFonts w:ascii="SimSun" w:hAnsi="SimSun" w:eastAsia="SimSun" w:cs="SimSun"/>
                      <w:sz w:val="19"/>
                      <w:szCs w:val="19"/>
                      <w:spacing w:val="9"/>
                    </w:rPr>
                    <w:t xml:space="preserve">    </w:t>
                  </w:r>
                  <w:r>
                    <w:rPr>
                      <w:rFonts w:ascii="Times New Roman" w:hAnsi="Times New Roman" w:eastAsia="Times New Roman" w:cs="Times New Roman"/>
                      <w:sz w:val="18"/>
                      <w:szCs w:val="18"/>
                      <w:spacing w:val="5"/>
                      <w:position w:val="2"/>
                    </w:rPr>
                    <w:t>3</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5"/>
          <w:pgSz w:w="11907" w:h="16840"/>
          <w:pgMar w:top="1567" w:right="1700" w:bottom="400" w:left="1701" w:header="1221" w:footer="0" w:gutter="0"/>
        </w:sectPr>
        <w:rPr>
          <w:rFonts w:ascii="SimSun" w:hAnsi="SimSun" w:eastAsia="SimSun" w:cs="SimSun"/>
          <w:sz w:val="19"/>
          <w:szCs w:val="19"/>
        </w:rPr>
      </w:pPr>
    </w:p>
    <w:sdt>
      <w:sdtPr>
        <w:rPr>
          <w:rFonts w:ascii="Times New Roman" w:hAnsi="Times New Roman" w:eastAsia="Times New Roman" w:cs="Times New Roman"/>
          <w:sz w:val="20"/>
          <w:szCs w:val="20"/>
        </w:rPr>
        <w:docPartObj>
          <w:docPartGallery w:val="Table of Contents"/>
          <w:docPartUnique/>
        </w:docPartObj>
      </w:sdtPr>
      <w:sdtEndPr>
        <w:rPr>
          <w:rFonts w:ascii="Times New Roman" w:hAnsi="Times New Roman" w:eastAsia="Times New Roman" w:cs="Times New Roman"/>
          <w:sz w:val="20"/>
          <w:szCs w:val="20"/>
        </w:rPr>
      </w:sdtEndPr>
      <w:sdtContent>
        <w:p>
          <w:pPr>
            <w:ind w:left="969"/>
            <w:spacing w:before="178" w:line="193" w:lineRule="auto"/>
            <w:tabs>
              <w:tab w:val="right" w:leader="dot" w:pos="8505"/>
            </w:tabs>
            <w:rPr>
              <w:rFonts w:ascii="Times New Roman" w:hAnsi="Times New Roman" w:eastAsia="Times New Roman" w:cs="Times New Roman"/>
              <w:sz w:val="20"/>
              <w:szCs w:val="20"/>
            </w:rPr>
          </w:pPr>
          <w:r>
            <w:pict>
              <v:shape id="_x0000_s14" style="position:absolute;margin-left:85.05pt;margin-top:78.87pt;mso-position-vertical-relative:page;mso-position-horizontal-relative:page;width:425.25pt;height:0.75pt;z-index:251661312;" o:allowincell="f" fillcolor="#000000" filled="true" stroked="false" coordsize="8505,15" coordorigin="0,0" path="m,l8505,0l8505,14l0,14l0,0xe"/>
            </w:pict>
          </w:r>
          <w:hyperlink w:history="true" w:anchor="bookmark48">
            <w:r>
              <w:rPr>
                <w:rFonts w:ascii="Times New Roman" w:hAnsi="Times New Roman" w:eastAsia="Times New Roman" w:cs="Times New Roman"/>
                <w:sz w:val="20"/>
                <w:szCs w:val="20"/>
                <w:spacing w:val="6"/>
              </w:rPr>
              <w:t>3.1.4 </w:t>
            </w:r>
            <w:r>
              <w:rPr>
                <w:rFonts w:ascii="SimSun" w:hAnsi="SimSun" w:eastAsia="SimSun" w:cs="SimSun"/>
                <w:sz w:val="20"/>
                <w:szCs w:val="20"/>
                <w:spacing w:val="6"/>
              </w:rPr>
              <w:t>产品方案及质量指标</w:t>
            </w:r>
            <w:r>
              <w:rPr>
                <w:rFonts w:ascii="SimSun" w:hAnsi="SimSun" w:eastAsia="SimSun" w:cs="SimSun"/>
                <w:sz w:val="20"/>
                <w:szCs w:val="20"/>
                <w:spacing w:val="-47"/>
              </w:rPr>
              <w:t xml:space="preserve"> </w:t>
            </w:r>
            <w:r>
              <w:rPr>
                <w:rFonts w:ascii="SimSun" w:hAnsi="SimSun" w:eastAsia="SimSun" w:cs="SimSun"/>
                <w:sz w:val="20"/>
                <w:szCs w:val="20"/>
              </w:rPr>
              <w:tab/>
            </w:r>
            <w:r>
              <w:rPr>
                <w:rFonts w:ascii="Times New Roman" w:hAnsi="Times New Roman" w:eastAsia="Times New Roman" w:cs="Times New Roman"/>
                <w:sz w:val="20"/>
                <w:szCs w:val="20"/>
                <w:spacing w:val="8"/>
              </w:rPr>
              <w:t>58</w:t>
            </w:r>
          </w:hyperlink>
        </w:p>
        <w:p>
          <w:pPr>
            <w:ind w:left="969"/>
            <w:spacing w:before="62" w:line="193" w:lineRule="auto"/>
            <w:tabs>
              <w:tab w:val="right" w:leader="dot" w:pos="8505"/>
            </w:tabs>
            <w:rPr>
              <w:rFonts w:ascii="Times New Roman" w:hAnsi="Times New Roman" w:eastAsia="Times New Roman" w:cs="Times New Roman"/>
              <w:sz w:val="20"/>
              <w:szCs w:val="20"/>
            </w:rPr>
          </w:pPr>
          <w:hyperlink w:history="true" w:anchor="bookmark49">
            <w:r>
              <w:rPr>
                <w:rFonts w:ascii="Times New Roman" w:hAnsi="Times New Roman" w:eastAsia="Times New Roman" w:cs="Times New Roman"/>
                <w:sz w:val="20"/>
                <w:szCs w:val="20"/>
                <w:spacing w:val="7"/>
              </w:rPr>
              <w:t>3.1.5 </w:t>
            </w:r>
            <w:r>
              <w:rPr>
                <w:rFonts w:ascii="SimSun" w:hAnsi="SimSun" w:eastAsia="SimSun" w:cs="SimSun"/>
                <w:sz w:val="20"/>
                <w:szCs w:val="20"/>
                <w:spacing w:val="7"/>
              </w:rPr>
              <w:t>沼肥产品质量控制及检测</w:t>
            </w:r>
            <w:r>
              <w:rPr>
                <w:rFonts w:ascii="SimSun" w:hAnsi="SimSun" w:eastAsia="SimSun" w:cs="SimSun"/>
                <w:sz w:val="20"/>
                <w:szCs w:val="20"/>
                <w:spacing w:val="-56"/>
              </w:rPr>
              <w:t xml:space="preserve"> </w:t>
            </w:r>
            <w:r>
              <w:rPr>
                <w:rFonts w:ascii="SimSun" w:hAnsi="SimSun" w:eastAsia="SimSun" w:cs="SimSun"/>
                <w:sz w:val="20"/>
                <w:szCs w:val="20"/>
              </w:rPr>
              <w:tab/>
            </w:r>
            <w:r>
              <w:rPr>
                <w:rFonts w:ascii="Times New Roman" w:hAnsi="Times New Roman" w:eastAsia="Times New Roman" w:cs="Times New Roman"/>
                <w:sz w:val="20"/>
                <w:szCs w:val="20"/>
                <w:spacing w:val="6"/>
              </w:rPr>
              <w:t>60</w:t>
            </w:r>
          </w:hyperlink>
        </w:p>
        <w:p>
          <w:pPr>
            <w:ind w:left="969"/>
            <w:spacing w:before="62" w:line="194" w:lineRule="auto"/>
            <w:tabs>
              <w:tab w:val="right" w:leader="dot" w:pos="8505"/>
            </w:tabs>
            <w:rPr>
              <w:rFonts w:ascii="Times New Roman" w:hAnsi="Times New Roman" w:eastAsia="Times New Roman" w:cs="Times New Roman"/>
              <w:sz w:val="20"/>
              <w:szCs w:val="20"/>
            </w:rPr>
          </w:pPr>
          <w:hyperlink w:history="true" w:anchor="bookmark50">
            <w:r>
              <w:rPr>
                <w:rFonts w:ascii="Times New Roman" w:hAnsi="Times New Roman" w:eastAsia="Times New Roman" w:cs="Times New Roman"/>
                <w:sz w:val="20"/>
                <w:szCs w:val="20"/>
                <w:spacing w:val="6"/>
              </w:rPr>
              <w:t>3.1.6 </w:t>
            </w:r>
            <w:r>
              <w:rPr>
                <w:rFonts w:ascii="SimSun" w:hAnsi="SimSun" w:eastAsia="SimSun" w:cs="SimSun"/>
                <w:sz w:val="20"/>
                <w:szCs w:val="20"/>
                <w:spacing w:val="6"/>
              </w:rPr>
              <w:t>主要原辅材料消耗</w:t>
            </w:r>
            <w:r>
              <w:rPr>
                <w:rFonts w:ascii="SimSun" w:hAnsi="SimSun" w:eastAsia="SimSun" w:cs="SimSun"/>
                <w:sz w:val="20"/>
                <w:szCs w:val="20"/>
                <w:spacing w:val="-52"/>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61</w:t>
            </w:r>
          </w:hyperlink>
        </w:p>
        <w:p>
          <w:pPr>
            <w:ind w:left="969"/>
            <w:spacing w:before="63" w:line="193" w:lineRule="auto"/>
            <w:tabs>
              <w:tab w:val="right" w:leader="dot" w:pos="8505"/>
            </w:tabs>
            <w:rPr>
              <w:rFonts w:ascii="Times New Roman" w:hAnsi="Times New Roman" w:eastAsia="Times New Roman" w:cs="Times New Roman"/>
              <w:sz w:val="20"/>
              <w:szCs w:val="20"/>
            </w:rPr>
          </w:pPr>
          <w:hyperlink w:history="true" w:anchor="bookmark51">
            <w:r>
              <w:rPr>
                <w:rFonts w:ascii="Times New Roman" w:hAnsi="Times New Roman" w:eastAsia="Times New Roman" w:cs="Times New Roman"/>
                <w:sz w:val="20"/>
                <w:szCs w:val="20"/>
                <w:spacing w:val="5"/>
              </w:rPr>
              <w:t>3.1.7 </w:t>
            </w:r>
            <w:r>
              <w:rPr>
                <w:rFonts w:ascii="SimSun" w:hAnsi="SimSun" w:eastAsia="SimSun" w:cs="SimSun"/>
                <w:sz w:val="20"/>
                <w:szCs w:val="20"/>
                <w:spacing w:val="5"/>
              </w:rPr>
              <w:t>主要设备清单</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12"/>
              </w:rPr>
              <w:t>63</w:t>
            </w:r>
          </w:hyperlink>
        </w:p>
        <w:p>
          <w:pPr>
            <w:ind w:left="969"/>
            <w:spacing w:before="62" w:line="193" w:lineRule="auto"/>
            <w:tabs>
              <w:tab w:val="right" w:leader="dot" w:pos="8505"/>
            </w:tabs>
            <w:rPr>
              <w:rFonts w:ascii="Times New Roman" w:hAnsi="Times New Roman" w:eastAsia="Times New Roman" w:cs="Times New Roman"/>
              <w:sz w:val="20"/>
              <w:szCs w:val="20"/>
            </w:rPr>
          </w:pPr>
          <w:hyperlink w:history="true" w:anchor="bookmark52">
            <w:r>
              <w:rPr>
                <w:rFonts w:ascii="Times New Roman" w:hAnsi="Times New Roman" w:eastAsia="Times New Roman" w:cs="Times New Roman"/>
                <w:sz w:val="20"/>
                <w:szCs w:val="20"/>
                <w:spacing w:val="3"/>
              </w:rPr>
              <w:t>3.1.8</w:t>
            </w:r>
            <w:r>
              <w:rPr>
                <w:rFonts w:ascii="Times New Roman" w:hAnsi="Times New Roman" w:eastAsia="Times New Roman" w:cs="Times New Roman"/>
                <w:sz w:val="20"/>
                <w:szCs w:val="20"/>
                <w:spacing w:val="21"/>
                <w:w w:val="101"/>
              </w:rPr>
              <w:t xml:space="preserve"> </w:t>
            </w:r>
            <w:r>
              <w:rPr>
                <w:rFonts w:ascii="SimSun" w:hAnsi="SimSun" w:eastAsia="SimSun" w:cs="SimSun"/>
                <w:sz w:val="20"/>
                <w:szCs w:val="20"/>
                <w:spacing w:val="3"/>
              </w:rPr>
              <w:t>公用工程</w:t>
            </w:r>
            <w:r>
              <w:rPr>
                <w:rFonts w:ascii="SimSun" w:hAnsi="SimSun" w:eastAsia="SimSun" w:cs="SimSun"/>
                <w:sz w:val="20"/>
                <w:szCs w:val="20"/>
                <w:spacing w:val="-57"/>
              </w:rPr>
              <w:t xml:space="preserve"> </w:t>
            </w:r>
            <w:r>
              <w:rPr>
                <w:rFonts w:ascii="SimSun" w:hAnsi="SimSun" w:eastAsia="SimSun" w:cs="SimSun"/>
                <w:sz w:val="20"/>
                <w:szCs w:val="20"/>
              </w:rPr>
              <w:tab/>
            </w:r>
            <w:r>
              <w:rPr>
                <w:rFonts w:ascii="Times New Roman" w:hAnsi="Times New Roman" w:eastAsia="Times New Roman" w:cs="Times New Roman"/>
                <w:sz w:val="20"/>
                <w:szCs w:val="20"/>
                <w:spacing w:val="14"/>
              </w:rPr>
              <w:t>65</w:t>
            </w:r>
          </w:hyperlink>
        </w:p>
        <w:p>
          <w:pPr>
            <w:ind w:left="489"/>
            <w:spacing w:before="64" w:line="194" w:lineRule="auto"/>
            <w:tabs>
              <w:tab w:val="right" w:leader="dot" w:pos="8505"/>
            </w:tabs>
            <w:rPr>
              <w:rFonts w:ascii="Times New Roman" w:hAnsi="Times New Roman" w:eastAsia="Times New Roman" w:cs="Times New Roman"/>
              <w:sz w:val="20"/>
              <w:szCs w:val="20"/>
            </w:rPr>
          </w:pPr>
          <w:hyperlink w:history="true" w:anchor="bookmark53">
            <w:r>
              <w:rPr>
                <w:rFonts w:ascii="Times New Roman" w:hAnsi="Times New Roman" w:eastAsia="Times New Roman" w:cs="Times New Roman"/>
                <w:sz w:val="20"/>
                <w:szCs w:val="20"/>
                <w:spacing w:val="7"/>
              </w:rPr>
              <w:t>3.2 </w:t>
            </w:r>
            <w:r>
              <w:rPr>
                <w:rFonts w:ascii="SimSun" w:hAnsi="SimSun" w:eastAsia="SimSun" w:cs="SimSun"/>
                <w:sz w:val="20"/>
                <w:szCs w:val="20"/>
                <w:spacing w:val="7"/>
              </w:rPr>
              <w:t>生产工艺及产排污分析</w:t>
            </w:r>
            <w:r>
              <w:rPr>
                <w:rFonts w:ascii="SimSun" w:hAnsi="SimSun" w:eastAsia="SimSun" w:cs="SimSun"/>
                <w:sz w:val="20"/>
                <w:szCs w:val="20"/>
                <w:spacing w:val="-52"/>
              </w:rPr>
              <w:t xml:space="preserve"> </w:t>
            </w:r>
            <w:r>
              <w:rPr>
                <w:rFonts w:ascii="SimSun" w:hAnsi="SimSun" w:eastAsia="SimSun" w:cs="SimSun"/>
                <w:sz w:val="20"/>
                <w:szCs w:val="20"/>
              </w:rPr>
              <w:tab/>
            </w:r>
            <w:r>
              <w:rPr>
                <w:rFonts w:ascii="Times New Roman" w:hAnsi="Times New Roman" w:eastAsia="Times New Roman" w:cs="Times New Roman"/>
                <w:sz w:val="20"/>
                <w:szCs w:val="20"/>
                <w:spacing w:val="14"/>
              </w:rPr>
              <w:t>70</w:t>
            </w:r>
          </w:hyperlink>
        </w:p>
        <w:p>
          <w:pPr>
            <w:ind w:left="969"/>
            <w:spacing w:before="61" w:line="193" w:lineRule="auto"/>
            <w:tabs>
              <w:tab w:val="right" w:leader="dot" w:pos="8505"/>
            </w:tabs>
            <w:rPr>
              <w:rFonts w:ascii="Times New Roman" w:hAnsi="Times New Roman" w:eastAsia="Times New Roman" w:cs="Times New Roman"/>
              <w:sz w:val="20"/>
              <w:szCs w:val="20"/>
            </w:rPr>
          </w:pPr>
          <w:hyperlink w:history="true" w:anchor="bookmark54">
            <w:r>
              <w:rPr>
                <w:rFonts w:ascii="Times New Roman" w:hAnsi="Times New Roman" w:eastAsia="Times New Roman" w:cs="Times New Roman"/>
                <w:sz w:val="20"/>
                <w:szCs w:val="20"/>
                <w:spacing w:val="7"/>
              </w:rPr>
              <w:t>3.2.1 </w:t>
            </w:r>
            <w:r>
              <w:rPr>
                <w:rFonts w:ascii="SimSun" w:hAnsi="SimSun" w:eastAsia="SimSun" w:cs="SimSun"/>
                <w:sz w:val="20"/>
                <w:szCs w:val="20"/>
                <w:spacing w:val="7"/>
              </w:rPr>
              <w:t>洗毛生产工艺流程及产污环节分析</w:t>
            </w:r>
            <w:r>
              <w:rPr>
                <w:rFonts w:ascii="SimSun" w:hAnsi="SimSun" w:eastAsia="SimSun" w:cs="SimSun"/>
                <w:sz w:val="20"/>
                <w:szCs w:val="20"/>
                <w:spacing w:val="-44"/>
              </w:rPr>
              <w:t xml:space="preserve"> </w:t>
            </w:r>
            <w:r>
              <w:rPr>
                <w:rFonts w:ascii="SimSun" w:hAnsi="SimSun" w:eastAsia="SimSun" w:cs="SimSun"/>
                <w:sz w:val="20"/>
                <w:szCs w:val="20"/>
              </w:rPr>
              <w:tab/>
            </w:r>
            <w:r>
              <w:rPr>
                <w:rFonts w:ascii="SimSun" w:hAnsi="SimSun" w:eastAsia="SimSun" w:cs="SimSun"/>
                <w:sz w:val="20"/>
                <w:szCs w:val="20"/>
                <w:spacing w:val="-46"/>
              </w:rPr>
              <w:t xml:space="preserve"> </w:t>
            </w:r>
            <w:r>
              <w:rPr>
                <w:rFonts w:ascii="Times New Roman" w:hAnsi="Times New Roman" w:eastAsia="Times New Roman" w:cs="Times New Roman"/>
                <w:sz w:val="20"/>
                <w:szCs w:val="20"/>
                <w:spacing w:val="1"/>
              </w:rPr>
              <w:t>70</w:t>
            </w:r>
          </w:hyperlink>
        </w:p>
        <w:p>
          <w:pPr>
            <w:ind w:left="969"/>
            <w:spacing w:before="64" w:line="193" w:lineRule="auto"/>
            <w:tabs>
              <w:tab w:val="right" w:leader="dot" w:pos="8505"/>
            </w:tabs>
            <w:rPr>
              <w:rFonts w:ascii="Times New Roman" w:hAnsi="Times New Roman" w:eastAsia="Times New Roman" w:cs="Times New Roman"/>
              <w:sz w:val="20"/>
              <w:szCs w:val="20"/>
            </w:rPr>
          </w:pPr>
          <w:hyperlink w:history="true" w:anchor="bookmark55">
            <w:r>
              <w:rPr>
                <w:rFonts w:ascii="Times New Roman" w:hAnsi="Times New Roman" w:eastAsia="Times New Roman" w:cs="Times New Roman"/>
                <w:sz w:val="20"/>
                <w:szCs w:val="20"/>
                <w:spacing w:val="7"/>
              </w:rPr>
              <w:t>3.2.2 </w:t>
            </w:r>
            <w:r>
              <w:rPr>
                <w:rFonts w:ascii="SimSun" w:hAnsi="SimSun" w:eastAsia="SimSun" w:cs="SimSun"/>
                <w:sz w:val="20"/>
                <w:szCs w:val="20"/>
                <w:spacing w:val="7"/>
              </w:rPr>
              <w:t>梳绒生产工艺流程及产污环节分析</w:t>
            </w:r>
            <w:r>
              <w:rPr>
                <w:rFonts w:ascii="SimSun" w:hAnsi="SimSun" w:eastAsia="SimSun" w:cs="SimSun"/>
                <w:sz w:val="20"/>
                <w:szCs w:val="20"/>
                <w:spacing w:val="-44"/>
              </w:rPr>
              <w:t xml:space="preserve"> </w:t>
            </w:r>
            <w:r>
              <w:rPr>
                <w:rFonts w:ascii="SimSun" w:hAnsi="SimSun" w:eastAsia="SimSun" w:cs="SimSun"/>
                <w:sz w:val="20"/>
                <w:szCs w:val="20"/>
              </w:rPr>
              <w:tab/>
            </w:r>
            <w:r>
              <w:rPr>
                <w:rFonts w:ascii="SimSun" w:hAnsi="SimSun" w:eastAsia="SimSun" w:cs="SimSun"/>
                <w:sz w:val="20"/>
                <w:szCs w:val="20"/>
                <w:spacing w:val="-46"/>
              </w:rPr>
              <w:t xml:space="preserve"> </w:t>
            </w:r>
            <w:r>
              <w:rPr>
                <w:rFonts w:ascii="Times New Roman" w:hAnsi="Times New Roman" w:eastAsia="Times New Roman" w:cs="Times New Roman"/>
                <w:sz w:val="20"/>
                <w:szCs w:val="20"/>
                <w:spacing w:val="1"/>
              </w:rPr>
              <w:t>74</w:t>
            </w:r>
          </w:hyperlink>
        </w:p>
        <w:p>
          <w:pPr>
            <w:ind w:left="969"/>
            <w:spacing w:before="62" w:line="194" w:lineRule="auto"/>
            <w:tabs>
              <w:tab w:val="right" w:leader="dot" w:pos="8505"/>
            </w:tabs>
            <w:rPr>
              <w:rFonts w:ascii="Times New Roman" w:hAnsi="Times New Roman" w:eastAsia="Times New Roman" w:cs="Times New Roman"/>
              <w:sz w:val="20"/>
              <w:szCs w:val="20"/>
            </w:rPr>
          </w:pPr>
          <w:hyperlink w:history="true" w:anchor="bookmark56">
            <w:r>
              <w:rPr>
                <w:rFonts w:ascii="Times New Roman" w:hAnsi="Times New Roman" w:eastAsia="Times New Roman" w:cs="Times New Roman"/>
                <w:sz w:val="20"/>
                <w:szCs w:val="20"/>
                <w:spacing w:val="7"/>
              </w:rPr>
              <w:t>3.2.3 </w:t>
            </w:r>
            <w:r>
              <w:rPr>
                <w:rFonts w:ascii="SimSun" w:hAnsi="SimSun" w:eastAsia="SimSun" w:cs="SimSun"/>
                <w:sz w:val="20"/>
                <w:szCs w:val="20"/>
                <w:spacing w:val="7"/>
              </w:rPr>
              <w:t>厌氧发酵装置工艺流程及产污环节分析</w:t>
            </w:r>
            <w:r>
              <w:rPr>
                <w:rFonts w:ascii="SimSun" w:hAnsi="SimSun" w:eastAsia="SimSun" w:cs="SimSun"/>
                <w:sz w:val="20"/>
                <w:szCs w:val="20"/>
                <w:spacing w:val="-38"/>
              </w:rPr>
              <w:t xml:space="preserve"> </w:t>
            </w:r>
            <w:r>
              <w:rPr>
                <w:rFonts w:ascii="SimSun" w:hAnsi="SimSun" w:eastAsia="SimSun" w:cs="SimSun"/>
                <w:sz w:val="20"/>
                <w:szCs w:val="20"/>
              </w:rPr>
              <w:tab/>
            </w:r>
            <w:r>
              <w:rPr>
                <w:rFonts w:ascii="SimSun" w:hAnsi="SimSun" w:eastAsia="SimSun" w:cs="SimSun"/>
                <w:sz w:val="20"/>
                <w:szCs w:val="20"/>
                <w:spacing w:val="-50"/>
              </w:rPr>
              <w:t xml:space="preserve"> </w:t>
            </w:r>
            <w:r>
              <w:rPr>
                <w:rFonts w:ascii="Times New Roman" w:hAnsi="Times New Roman" w:eastAsia="Times New Roman" w:cs="Times New Roman"/>
                <w:sz w:val="20"/>
                <w:szCs w:val="20"/>
                <w:spacing w:val="1"/>
              </w:rPr>
              <w:t>75</w:t>
            </w:r>
          </w:hyperlink>
        </w:p>
        <w:p>
          <w:pPr>
            <w:ind w:left="969"/>
            <w:spacing w:before="63" w:line="193" w:lineRule="auto"/>
            <w:tabs>
              <w:tab w:val="right" w:leader="dot" w:pos="8505"/>
            </w:tabs>
            <w:rPr>
              <w:rFonts w:ascii="Times New Roman" w:hAnsi="Times New Roman" w:eastAsia="Times New Roman" w:cs="Times New Roman"/>
              <w:sz w:val="20"/>
              <w:szCs w:val="20"/>
            </w:rPr>
          </w:pPr>
          <w:hyperlink w:history="true" w:anchor="bookmark57">
            <w:r>
              <w:rPr>
                <w:rFonts w:ascii="Times New Roman" w:hAnsi="Times New Roman" w:eastAsia="Times New Roman" w:cs="Times New Roman"/>
                <w:sz w:val="20"/>
                <w:szCs w:val="20"/>
                <w:spacing w:val="6"/>
              </w:rPr>
              <w:t>3.2.4 </w:t>
            </w:r>
            <w:r>
              <w:rPr>
                <w:rFonts w:ascii="SimSun" w:hAnsi="SimSun" w:eastAsia="SimSun" w:cs="SimSun"/>
                <w:sz w:val="20"/>
                <w:szCs w:val="20"/>
                <w:spacing w:val="6"/>
              </w:rPr>
              <w:t>其他产污环节分析</w:t>
            </w:r>
            <w:r>
              <w:rPr>
                <w:rFonts w:ascii="SimSun" w:hAnsi="SimSun" w:eastAsia="SimSun" w:cs="SimSun"/>
                <w:sz w:val="20"/>
                <w:szCs w:val="20"/>
                <w:spacing w:val="-52"/>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81</w:t>
            </w:r>
          </w:hyperlink>
        </w:p>
        <w:p>
          <w:pPr>
            <w:ind w:left="489"/>
            <w:spacing w:before="62" w:line="193" w:lineRule="auto"/>
            <w:tabs>
              <w:tab w:val="right" w:leader="dot" w:pos="8505"/>
            </w:tabs>
            <w:rPr>
              <w:rFonts w:ascii="Times New Roman" w:hAnsi="Times New Roman" w:eastAsia="Times New Roman" w:cs="Times New Roman"/>
              <w:sz w:val="20"/>
              <w:szCs w:val="20"/>
            </w:rPr>
          </w:pPr>
          <w:hyperlink w:history="true" w:anchor="bookmark58">
            <w:r>
              <w:rPr>
                <w:rFonts w:ascii="Times New Roman" w:hAnsi="Times New Roman" w:eastAsia="Times New Roman" w:cs="Times New Roman"/>
                <w:sz w:val="20"/>
                <w:szCs w:val="20"/>
                <w:spacing w:val="7"/>
              </w:rPr>
              <w:t>3.3 </w:t>
            </w:r>
            <w:r>
              <w:rPr>
                <w:rFonts w:ascii="SimSun" w:hAnsi="SimSun" w:eastAsia="SimSun" w:cs="SimSun"/>
                <w:sz w:val="20"/>
                <w:szCs w:val="20"/>
                <w:spacing w:val="7"/>
              </w:rPr>
              <w:t>主要污染源及污染物治理措施</w:t>
            </w:r>
            <w:r>
              <w:rPr>
                <w:rFonts w:ascii="SimSun" w:hAnsi="SimSun" w:eastAsia="SimSun" w:cs="SimSun"/>
                <w:sz w:val="20"/>
                <w:szCs w:val="20"/>
                <w:spacing w:val="-45"/>
              </w:rPr>
              <w:t xml:space="preserve"> </w:t>
            </w:r>
            <w:r>
              <w:rPr>
                <w:rFonts w:ascii="SimSun" w:hAnsi="SimSun" w:eastAsia="SimSun" w:cs="SimSun"/>
                <w:sz w:val="20"/>
                <w:szCs w:val="20"/>
              </w:rPr>
              <w:tab/>
            </w:r>
            <w:r>
              <w:rPr>
                <w:rFonts w:ascii="Times New Roman" w:hAnsi="Times New Roman" w:eastAsia="Times New Roman" w:cs="Times New Roman"/>
                <w:sz w:val="20"/>
                <w:szCs w:val="20"/>
                <w:spacing w:val="11"/>
              </w:rPr>
              <w:t>84</w:t>
            </w:r>
          </w:hyperlink>
        </w:p>
        <w:p>
          <w:pPr>
            <w:ind w:left="969"/>
            <w:spacing w:before="65" w:line="194" w:lineRule="auto"/>
            <w:tabs>
              <w:tab w:val="right" w:leader="dot" w:pos="8505"/>
            </w:tabs>
            <w:rPr>
              <w:rFonts w:ascii="Times New Roman" w:hAnsi="Times New Roman" w:eastAsia="Times New Roman" w:cs="Times New Roman"/>
              <w:sz w:val="20"/>
              <w:szCs w:val="20"/>
            </w:rPr>
          </w:pPr>
          <w:hyperlink w:history="true" w:anchor="bookmark59">
            <w:r>
              <w:rPr>
                <w:rFonts w:ascii="Times New Roman" w:hAnsi="Times New Roman" w:eastAsia="Times New Roman" w:cs="Times New Roman"/>
                <w:sz w:val="20"/>
                <w:szCs w:val="20"/>
                <w:spacing w:val="7"/>
              </w:rPr>
              <w:t>3.3.1 </w:t>
            </w:r>
            <w:r>
              <w:rPr>
                <w:rFonts w:ascii="SimSun" w:hAnsi="SimSun" w:eastAsia="SimSun" w:cs="SimSun"/>
                <w:sz w:val="20"/>
                <w:szCs w:val="20"/>
                <w:spacing w:val="7"/>
              </w:rPr>
              <w:t>施工期污染来源及治理措施</w:t>
            </w:r>
            <w:r>
              <w:rPr>
                <w:rFonts w:ascii="SimSun" w:hAnsi="SimSun" w:eastAsia="SimSun" w:cs="SimSun"/>
                <w:sz w:val="20"/>
                <w:szCs w:val="20"/>
                <w:spacing w:val="-54"/>
              </w:rPr>
              <w:t xml:space="preserve"> </w:t>
            </w:r>
            <w:r>
              <w:rPr>
                <w:rFonts w:ascii="SimSun" w:hAnsi="SimSun" w:eastAsia="SimSun" w:cs="SimSun"/>
                <w:sz w:val="20"/>
                <w:szCs w:val="20"/>
              </w:rPr>
              <w:tab/>
            </w:r>
            <w:r>
              <w:rPr>
                <w:rFonts w:ascii="Times New Roman" w:hAnsi="Times New Roman" w:eastAsia="Times New Roman" w:cs="Times New Roman"/>
                <w:sz w:val="20"/>
                <w:szCs w:val="20"/>
                <w:spacing w:val="6"/>
              </w:rPr>
              <w:t>84</w:t>
            </w:r>
          </w:hyperlink>
        </w:p>
        <w:p>
          <w:pPr>
            <w:ind w:left="969"/>
            <w:spacing w:before="61" w:line="193" w:lineRule="auto"/>
            <w:tabs>
              <w:tab w:val="right" w:leader="dot" w:pos="8505"/>
            </w:tabs>
            <w:rPr>
              <w:rFonts w:ascii="Times New Roman" w:hAnsi="Times New Roman" w:eastAsia="Times New Roman" w:cs="Times New Roman"/>
              <w:sz w:val="20"/>
              <w:szCs w:val="20"/>
            </w:rPr>
          </w:pPr>
          <w:hyperlink w:history="true" w:anchor="bookmark60">
            <w:r>
              <w:rPr>
                <w:rFonts w:ascii="Times New Roman" w:hAnsi="Times New Roman" w:eastAsia="Times New Roman" w:cs="Times New Roman"/>
                <w:sz w:val="20"/>
                <w:szCs w:val="20"/>
                <w:spacing w:val="7"/>
              </w:rPr>
              <w:t>3.3.2 </w:t>
            </w:r>
            <w:r>
              <w:rPr>
                <w:rFonts w:ascii="SimSun" w:hAnsi="SimSun" w:eastAsia="SimSun" w:cs="SimSun"/>
                <w:sz w:val="20"/>
                <w:szCs w:val="20"/>
                <w:spacing w:val="7"/>
              </w:rPr>
              <w:t>运营期污染来源及治理措施</w:t>
            </w:r>
            <w:r>
              <w:rPr>
                <w:rFonts w:ascii="SimSun" w:hAnsi="SimSun" w:eastAsia="SimSun" w:cs="SimSun"/>
                <w:sz w:val="20"/>
                <w:szCs w:val="20"/>
                <w:spacing w:val="-54"/>
              </w:rPr>
              <w:t xml:space="preserve"> </w:t>
            </w:r>
            <w:r>
              <w:rPr>
                <w:rFonts w:ascii="SimSun" w:hAnsi="SimSun" w:eastAsia="SimSun" w:cs="SimSun"/>
                <w:sz w:val="20"/>
                <w:szCs w:val="20"/>
              </w:rPr>
              <w:tab/>
            </w:r>
            <w:r>
              <w:rPr>
                <w:rFonts w:ascii="Times New Roman" w:hAnsi="Times New Roman" w:eastAsia="Times New Roman" w:cs="Times New Roman"/>
                <w:sz w:val="20"/>
                <w:szCs w:val="20"/>
                <w:spacing w:val="6"/>
              </w:rPr>
              <w:t>85</w:t>
            </w:r>
          </w:hyperlink>
        </w:p>
        <w:p>
          <w:pPr>
            <w:ind w:left="489"/>
            <w:spacing w:before="64" w:line="193" w:lineRule="auto"/>
            <w:tabs>
              <w:tab w:val="right" w:leader="dot" w:pos="8505"/>
            </w:tabs>
            <w:rPr>
              <w:rFonts w:ascii="Times New Roman" w:hAnsi="Times New Roman" w:eastAsia="Times New Roman" w:cs="Times New Roman"/>
              <w:sz w:val="20"/>
              <w:szCs w:val="20"/>
            </w:rPr>
          </w:pPr>
          <w:hyperlink w:history="true" w:anchor="bookmark61">
            <w:r>
              <w:rPr>
                <w:rFonts w:ascii="Times New Roman" w:hAnsi="Times New Roman" w:eastAsia="Times New Roman" w:cs="Times New Roman"/>
                <w:sz w:val="20"/>
                <w:szCs w:val="20"/>
                <w:spacing w:val="5"/>
              </w:rPr>
              <w:t>3.4 </w:t>
            </w:r>
            <w:r>
              <w:rPr>
                <w:rFonts w:ascii="SimSun" w:hAnsi="SimSun" w:eastAsia="SimSun" w:cs="SimSun"/>
                <w:sz w:val="20"/>
                <w:szCs w:val="20"/>
                <w:spacing w:val="5"/>
              </w:rPr>
              <w:t>平衡分析</w:t>
            </w:r>
            <w:r>
              <w:rPr>
                <w:rFonts w:ascii="SimSun" w:hAnsi="SimSun" w:eastAsia="SimSun" w:cs="SimSun"/>
                <w:sz w:val="20"/>
                <w:szCs w:val="20"/>
                <w:spacing w:val="-54"/>
              </w:rPr>
              <w:t xml:space="preserve"> </w:t>
            </w:r>
            <w:r>
              <w:rPr>
                <w:rFonts w:ascii="SimSun" w:hAnsi="SimSun" w:eastAsia="SimSun" w:cs="SimSun"/>
                <w:sz w:val="20"/>
                <w:szCs w:val="20"/>
              </w:rPr>
              <w:tab/>
            </w:r>
            <w:r>
              <w:rPr>
                <w:rFonts w:ascii="SimSun" w:hAnsi="SimSun" w:eastAsia="SimSun" w:cs="SimSun"/>
                <w:sz w:val="20"/>
                <w:szCs w:val="20"/>
                <w:spacing w:val="-57"/>
              </w:rPr>
              <w:t xml:space="preserve"> </w:t>
            </w:r>
            <w:r>
              <w:rPr>
                <w:rFonts w:ascii="Times New Roman" w:hAnsi="Times New Roman" w:eastAsia="Times New Roman" w:cs="Times New Roman"/>
                <w:sz w:val="20"/>
                <w:szCs w:val="20"/>
                <w:spacing w:val="-2"/>
              </w:rPr>
              <w:t>87</w:t>
            </w:r>
          </w:hyperlink>
        </w:p>
        <w:p>
          <w:pPr>
            <w:ind w:left="969"/>
            <w:spacing w:before="62" w:line="194" w:lineRule="auto"/>
            <w:tabs>
              <w:tab w:val="right" w:leader="dot" w:pos="8505"/>
            </w:tabs>
            <w:rPr>
              <w:rFonts w:ascii="Times New Roman" w:hAnsi="Times New Roman" w:eastAsia="Times New Roman" w:cs="Times New Roman"/>
              <w:sz w:val="20"/>
              <w:szCs w:val="20"/>
            </w:rPr>
          </w:pPr>
          <w:hyperlink w:history="true" w:anchor="bookmark62">
            <w:r>
              <w:rPr>
                <w:rFonts w:ascii="Times New Roman" w:hAnsi="Times New Roman" w:eastAsia="Times New Roman" w:cs="Times New Roman"/>
                <w:sz w:val="20"/>
                <w:szCs w:val="20"/>
                <w:spacing w:val="5"/>
              </w:rPr>
              <w:t>3.4.1 </w:t>
            </w:r>
            <w:r>
              <w:rPr>
                <w:rFonts w:ascii="SimSun" w:hAnsi="SimSun" w:eastAsia="SimSun" w:cs="SimSun"/>
                <w:sz w:val="20"/>
                <w:szCs w:val="20"/>
                <w:spacing w:val="5"/>
              </w:rPr>
              <w:t>物料平衡分析</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12"/>
              </w:rPr>
              <w:t>87</w:t>
            </w:r>
          </w:hyperlink>
        </w:p>
        <w:p>
          <w:pPr>
            <w:ind w:left="969"/>
            <w:spacing w:before="64" w:line="193" w:lineRule="auto"/>
            <w:tabs>
              <w:tab w:val="right" w:leader="dot" w:pos="8505"/>
            </w:tabs>
            <w:rPr>
              <w:rFonts w:ascii="Times New Roman" w:hAnsi="Times New Roman" w:eastAsia="Times New Roman" w:cs="Times New Roman"/>
              <w:sz w:val="20"/>
              <w:szCs w:val="20"/>
            </w:rPr>
          </w:pPr>
          <w:hyperlink w:history="true" w:anchor="bookmark63">
            <w:r>
              <w:rPr>
                <w:rFonts w:ascii="Times New Roman" w:hAnsi="Times New Roman" w:eastAsia="Times New Roman" w:cs="Times New Roman"/>
                <w:sz w:val="20"/>
                <w:szCs w:val="20"/>
                <w:spacing w:val="5"/>
              </w:rPr>
              <w:t>3.4.2 </w:t>
            </w:r>
            <w:r>
              <w:rPr>
                <w:rFonts w:ascii="SimSun" w:hAnsi="SimSun" w:eastAsia="SimSun" w:cs="SimSun"/>
                <w:sz w:val="20"/>
                <w:szCs w:val="20"/>
                <w:spacing w:val="5"/>
              </w:rPr>
              <w:t>蒸汽平衡分析</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12"/>
              </w:rPr>
              <w:t>90</w:t>
            </w:r>
          </w:hyperlink>
        </w:p>
        <w:p>
          <w:pPr>
            <w:ind w:left="969"/>
            <w:spacing w:before="62" w:line="193" w:lineRule="auto"/>
            <w:tabs>
              <w:tab w:val="right" w:leader="dot" w:pos="8505"/>
            </w:tabs>
            <w:rPr>
              <w:rFonts w:ascii="Times New Roman" w:hAnsi="Times New Roman" w:eastAsia="Times New Roman" w:cs="Times New Roman"/>
              <w:sz w:val="20"/>
              <w:szCs w:val="20"/>
            </w:rPr>
          </w:pPr>
          <w:hyperlink w:history="true" w:anchor="bookmark64">
            <w:r>
              <w:rPr>
                <w:rFonts w:ascii="Times New Roman" w:hAnsi="Times New Roman" w:eastAsia="Times New Roman" w:cs="Times New Roman"/>
                <w:sz w:val="20"/>
                <w:szCs w:val="20"/>
                <w:spacing w:val="5"/>
              </w:rPr>
              <w:t>3.4.3 </w:t>
            </w:r>
            <w:r>
              <w:rPr>
                <w:rFonts w:ascii="SimSun" w:hAnsi="SimSun" w:eastAsia="SimSun" w:cs="SimSun"/>
                <w:sz w:val="20"/>
                <w:szCs w:val="20"/>
                <w:spacing w:val="5"/>
              </w:rPr>
              <w:t>沼气平衡分析</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12"/>
              </w:rPr>
              <w:t>91</w:t>
            </w:r>
          </w:hyperlink>
        </w:p>
        <w:p>
          <w:pPr>
            <w:ind w:left="489"/>
            <w:spacing w:before="62" w:line="194" w:lineRule="auto"/>
            <w:tabs>
              <w:tab w:val="right" w:leader="dot" w:pos="8505"/>
            </w:tabs>
            <w:rPr>
              <w:rFonts w:ascii="Times New Roman" w:hAnsi="Times New Roman" w:eastAsia="Times New Roman" w:cs="Times New Roman"/>
              <w:sz w:val="20"/>
              <w:szCs w:val="20"/>
            </w:rPr>
          </w:pPr>
          <w:hyperlink w:history="true" w:anchor="bookmark65">
            <w:r>
              <w:rPr>
                <w:rFonts w:ascii="Times New Roman" w:hAnsi="Times New Roman" w:eastAsia="Times New Roman" w:cs="Times New Roman"/>
                <w:sz w:val="20"/>
                <w:szCs w:val="20"/>
                <w:spacing w:val="6"/>
              </w:rPr>
              <w:t>3.5 </w:t>
            </w:r>
            <w:r>
              <w:rPr>
                <w:rFonts w:ascii="SimSun" w:hAnsi="SimSun" w:eastAsia="SimSun" w:cs="SimSun"/>
                <w:sz w:val="20"/>
                <w:szCs w:val="20"/>
                <w:spacing w:val="6"/>
              </w:rPr>
              <w:t>污染源强核算</w:t>
            </w:r>
            <w:r>
              <w:rPr>
                <w:rFonts w:ascii="SimSun" w:hAnsi="SimSun" w:eastAsia="SimSun" w:cs="SimSun"/>
                <w:sz w:val="20"/>
                <w:szCs w:val="20"/>
                <w:spacing w:val="-54"/>
              </w:rPr>
              <w:t xml:space="preserve"> </w:t>
            </w:r>
            <w:r>
              <w:rPr>
                <w:rFonts w:ascii="SimSun" w:hAnsi="SimSun" w:eastAsia="SimSun" w:cs="SimSun"/>
                <w:sz w:val="20"/>
                <w:szCs w:val="20"/>
              </w:rPr>
              <w:tab/>
            </w:r>
            <w:r>
              <w:rPr>
                <w:rFonts w:ascii="SimSun" w:hAnsi="SimSun" w:eastAsia="SimSun" w:cs="SimSun"/>
                <w:sz w:val="20"/>
                <w:szCs w:val="20"/>
                <w:spacing w:val="-65"/>
              </w:rPr>
              <w:t xml:space="preserve"> </w:t>
            </w:r>
            <w:r>
              <w:rPr>
                <w:rFonts w:ascii="Times New Roman" w:hAnsi="Times New Roman" w:eastAsia="Times New Roman" w:cs="Times New Roman"/>
                <w:sz w:val="20"/>
                <w:szCs w:val="20"/>
              </w:rPr>
              <w:t>91</w:t>
            </w:r>
          </w:hyperlink>
        </w:p>
        <w:p>
          <w:pPr>
            <w:ind w:left="969"/>
            <w:spacing w:before="63" w:line="193" w:lineRule="auto"/>
            <w:tabs>
              <w:tab w:val="right" w:leader="dot" w:pos="8505"/>
            </w:tabs>
            <w:rPr>
              <w:rFonts w:ascii="Times New Roman" w:hAnsi="Times New Roman" w:eastAsia="Times New Roman" w:cs="Times New Roman"/>
              <w:sz w:val="20"/>
              <w:szCs w:val="20"/>
            </w:rPr>
          </w:pPr>
          <w:hyperlink w:history="true" w:anchor="bookmark66">
            <w:r>
              <w:rPr>
                <w:rFonts w:ascii="Times New Roman" w:hAnsi="Times New Roman" w:eastAsia="Times New Roman" w:cs="Times New Roman"/>
                <w:sz w:val="20"/>
                <w:szCs w:val="20"/>
                <w:spacing w:val="7"/>
              </w:rPr>
              <w:t>3.5.1 </w:t>
            </w:r>
            <w:r>
              <w:rPr>
                <w:rFonts w:ascii="SimSun" w:hAnsi="SimSun" w:eastAsia="SimSun" w:cs="SimSun"/>
                <w:sz w:val="20"/>
                <w:szCs w:val="20"/>
                <w:spacing w:val="7"/>
              </w:rPr>
              <w:t>正常工况污染物排放分析</w:t>
            </w:r>
            <w:r>
              <w:rPr>
                <w:rFonts w:ascii="SimSun" w:hAnsi="SimSun" w:eastAsia="SimSun" w:cs="SimSun"/>
                <w:sz w:val="20"/>
                <w:szCs w:val="20"/>
                <w:spacing w:val="-56"/>
              </w:rPr>
              <w:t xml:space="preserve"> </w:t>
            </w:r>
            <w:r>
              <w:rPr>
                <w:rFonts w:ascii="SimSun" w:hAnsi="SimSun" w:eastAsia="SimSun" w:cs="SimSun"/>
                <w:sz w:val="20"/>
                <w:szCs w:val="20"/>
              </w:rPr>
              <w:tab/>
            </w:r>
            <w:r>
              <w:rPr>
                <w:rFonts w:ascii="Times New Roman" w:hAnsi="Times New Roman" w:eastAsia="Times New Roman" w:cs="Times New Roman"/>
                <w:sz w:val="20"/>
                <w:szCs w:val="20"/>
                <w:spacing w:val="6"/>
              </w:rPr>
              <w:t>91</w:t>
            </w:r>
          </w:hyperlink>
        </w:p>
        <w:p>
          <w:pPr>
            <w:ind w:left="969"/>
            <w:spacing w:before="63" w:line="193" w:lineRule="auto"/>
            <w:tabs>
              <w:tab w:val="right" w:leader="dot" w:pos="8505"/>
            </w:tabs>
            <w:rPr>
              <w:rFonts w:ascii="Times New Roman" w:hAnsi="Times New Roman" w:eastAsia="Times New Roman" w:cs="Times New Roman"/>
              <w:sz w:val="20"/>
              <w:szCs w:val="20"/>
            </w:rPr>
          </w:pPr>
          <w:hyperlink w:history="true" w:anchor="bookmark67">
            <w:r>
              <w:rPr>
                <w:rFonts w:ascii="Times New Roman" w:hAnsi="Times New Roman" w:eastAsia="Times New Roman" w:cs="Times New Roman"/>
                <w:sz w:val="20"/>
                <w:szCs w:val="20"/>
                <w:spacing w:val="7"/>
              </w:rPr>
              <w:t>3.5.2 </w:t>
            </w:r>
            <w:r>
              <w:rPr>
                <w:rFonts w:ascii="SimSun" w:hAnsi="SimSun" w:eastAsia="SimSun" w:cs="SimSun"/>
                <w:sz w:val="20"/>
                <w:szCs w:val="20"/>
                <w:spacing w:val="7"/>
              </w:rPr>
              <w:t>非正常工况污染物排放分析</w:t>
            </w:r>
            <w:r>
              <w:rPr>
                <w:rFonts w:ascii="SimSun" w:hAnsi="SimSun" w:eastAsia="SimSun" w:cs="SimSun"/>
                <w:sz w:val="20"/>
                <w:szCs w:val="20"/>
                <w:spacing w:val="-54"/>
              </w:rPr>
              <w:t xml:space="preserve"> </w:t>
            </w:r>
            <w:r>
              <w:rPr>
                <w:rFonts w:ascii="SimSun" w:hAnsi="SimSun" w:eastAsia="SimSun" w:cs="SimSun"/>
                <w:sz w:val="20"/>
                <w:szCs w:val="20"/>
              </w:rPr>
              <w:tab/>
            </w:r>
            <w:r>
              <w:rPr>
                <w:rFonts w:ascii="Times New Roman" w:hAnsi="Times New Roman" w:eastAsia="Times New Roman" w:cs="Times New Roman"/>
                <w:sz w:val="20"/>
                <w:szCs w:val="20"/>
                <w:spacing w:val="5"/>
              </w:rPr>
              <w:t>108</w:t>
            </w:r>
          </w:hyperlink>
        </w:p>
        <w:p>
          <w:pPr>
            <w:ind w:left="969"/>
            <w:spacing w:before="64" w:line="194" w:lineRule="auto"/>
            <w:tabs>
              <w:tab w:val="right" w:leader="dot" w:pos="8505"/>
            </w:tabs>
            <w:rPr>
              <w:rFonts w:ascii="Times New Roman" w:hAnsi="Times New Roman" w:eastAsia="Times New Roman" w:cs="Times New Roman"/>
              <w:sz w:val="20"/>
              <w:szCs w:val="20"/>
            </w:rPr>
          </w:pPr>
          <w:hyperlink w:history="true" w:anchor="bookmark68">
            <w:r>
              <w:rPr>
                <w:rFonts w:ascii="Times New Roman" w:hAnsi="Times New Roman" w:eastAsia="Times New Roman" w:cs="Times New Roman"/>
                <w:sz w:val="20"/>
                <w:szCs w:val="20"/>
                <w:spacing w:val="6"/>
              </w:rPr>
              <w:t>3.5.3 </w:t>
            </w:r>
            <w:r>
              <w:rPr>
                <w:rFonts w:ascii="SimSun" w:hAnsi="SimSun" w:eastAsia="SimSun" w:cs="SimSun"/>
                <w:sz w:val="20"/>
                <w:szCs w:val="20"/>
                <w:spacing w:val="6"/>
              </w:rPr>
              <w:t>污染物达标排放分析</w:t>
            </w:r>
            <w:r>
              <w:rPr>
                <w:rFonts w:ascii="SimSun" w:hAnsi="SimSun" w:eastAsia="SimSun" w:cs="SimSun"/>
                <w:sz w:val="20"/>
                <w:szCs w:val="20"/>
                <w:spacing w:val="-47"/>
              </w:rPr>
              <w:t xml:space="preserve"> </w:t>
            </w:r>
            <w:r>
              <w:rPr>
                <w:rFonts w:ascii="SimSun" w:hAnsi="SimSun" w:eastAsia="SimSun" w:cs="SimSun"/>
                <w:sz w:val="20"/>
                <w:szCs w:val="20"/>
              </w:rPr>
              <w:tab/>
            </w:r>
            <w:r>
              <w:rPr>
                <w:rFonts w:ascii="Times New Roman" w:hAnsi="Times New Roman" w:eastAsia="Times New Roman" w:cs="Times New Roman"/>
                <w:sz w:val="20"/>
                <w:szCs w:val="20"/>
                <w:spacing w:val="7"/>
              </w:rPr>
              <w:t>108</w:t>
            </w:r>
          </w:hyperlink>
        </w:p>
        <w:p>
          <w:pPr>
            <w:ind w:left="969"/>
            <w:spacing w:before="64" w:line="193" w:lineRule="auto"/>
            <w:tabs>
              <w:tab w:val="right" w:leader="dot" w:pos="8505"/>
            </w:tabs>
            <w:rPr>
              <w:rFonts w:ascii="Times New Roman" w:hAnsi="Times New Roman" w:eastAsia="Times New Roman" w:cs="Times New Roman"/>
              <w:sz w:val="20"/>
              <w:szCs w:val="20"/>
            </w:rPr>
          </w:pPr>
          <w:hyperlink w:history="true" w:anchor="bookmark69">
            <w:r>
              <w:rPr>
                <w:rFonts w:ascii="Times New Roman" w:hAnsi="Times New Roman" w:eastAsia="Times New Roman" w:cs="Times New Roman"/>
                <w:sz w:val="20"/>
                <w:szCs w:val="20"/>
                <w:spacing w:val="6"/>
              </w:rPr>
              <w:t>3.5.4 </w:t>
            </w:r>
            <w:r>
              <w:rPr>
                <w:rFonts w:ascii="SimSun" w:hAnsi="SimSun" w:eastAsia="SimSun" w:cs="SimSun"/>
                <w:sz w:val="20"/>
                <w:szCs w:val="20"/>
                <w:spacing w:val="6"/>
              </w:rPr>
              <w:t>污染物排放情况</w:t>
            </w:r>
            <w:r>
              <w:rPr>
                <w:rFonts w:ascii="SimSun" w:hAnsi="SimSun" w:eastAsia="SimSun" w:cs="SimSun"/>
                <w:sz w:val="20"/>
                <w:szCs w:val="20"/>
                <w:spacing w:val="-55"/>
              </w:rPr>
              <w:t xml:space="preserve"> </w:t>
            </w:r>
            <w:r>
              <w:rPr>
                <w:rFonts w:ascii="SimSun" w:hAnsi="SimSun" w:eastAsia="SimSun" w:cs="SimSun"/>
                <w:sz w:val="20"/>
                <w:szCs w:val="20"/>
              </w:rPr>
              <w:tab/>
            </w:r>
            <w:r>
              <w:rPr>
                <w:rFonts w:ascii="Times New Roman" w:hAnsi="Times New Roman" w:eastAsia="Times New Roman" w:cs="Times New Roman"/>
                <w:sz w:val="20"/>
                <w:szCs w:val="20"/>
                <w:spacing w:val="8"/>
              </w:rPr>
              <w:t>110</w:t>
            </w:r>
          </w:hyperlink>
        </w:p>
        <w:p>
          <w:pPr>
            <w:ind w:left="489"/>
            <w:spacing w:before="62" w:line="193" w:lineRule="auto"/>
            <w:tabs>
              <w:tab w:val="right" w:leader="dot" w:pos="8505"/>
            </w:tabs>
            <w:rPr>
              <w:rFonts w:ascii="Times New Roman" w:hAnsi="Times New Roman" w:eastAsia="Times New Roman" w:cs="Times New Roman"/>
              <w:sz w:val="20"/>
              <w:szCs w:val="20"/>
            </w:rPr>
          </w:pPr>
          <w:hyperlink w:history="true" w:anchor="bookmark70">
            <w:r>
              <w:rPr>
                <w:rFonts w:ascii="Times New Roman" w:hAnsi="Times New Roman" w:eastAsia="Times New Roman" w:cs="Times New Roman"/>
                <w:sz w:val="20"/>
                <w:szCs w:val="20"/>
                <w:spacing w:val="5"/>
              </w:rPr>
              <w:t>3.6</w:t>
            </w:r>
            <w:r>
              <w:rPr>
                <w:rFonts w:ascii="Times New Roman" w:hAnsi="Times New Roman" w:eastAsia="Times New Roman" w:cs="Times New Roman"/>
                <w:sz w:val="20"/>
                <w:szCs w:val="20"/>
                <w:spacing w:val="17"/>
                <w:w w:val="101"/>
              </w:rPr>
              <w:t xml:space="preserve"> </w:t>
            </w:r>
            <w:r>
              <w:rPr>
                <w:rFonts w:ascii="SimSun" w:hAnsi="SimSun" w:eastAsia="SimSun" w:cs="SimSun"/>
                <w:sz w:val="20"/>
                <w:szCs w:val="20"/>
                <w:spacing w:val="5"/>
              </w:rPr>
              <w:t>总量控制指标</w:t>
            </w:r>
            <w:r>
              <w:rPr>
                <w:rFonts w:ascii="SimSun" w:hAnsi="SimSun" w:eastAsia="SimSun" w:cs="SimSun"/>
                <w:sz w:val="20"/>
                <w:szCs w:val="20"/>
                <w:spacing w:val="-57"/>
              </w:rPr>
              <w:t xml:space="preserve"> </w:t>
            </w:r>
            <w:r>
              <w:rPr>
                <w:rFonts w:ascii="SimSun" w:hAnsi="SimSun" w:eastAsia="SimSun" w:cs="SimSun"/>
                <w:sz w:val="20"/>
                <w:szCs w:val="20"/>
              </w:rPr>
              <w:tab/>
            </w:r>
            <w:r>
              <w:rPr>
                <w:rFonts w:ascii="SimSun" w:hAnsi="SimSun" w:eastAsia="SimSun" w:cs="SimSun"/>
                <w:sz w:val="20"/>
                <w:szCs w:val="20"/>
                <w:spacing w:val="-52"/>
              </w:rPr>
              <w:t xml:space="preserve"> </w:t>
            </w:r>
            <w:r>
              <w:rPr>
                <w:rFonts w:ascii="Times New Roman" w:hAnsi="Times New Roman" w:eastAsia="Times New Roman" w:cs="Times New Roman"/>
                <w:sz w:val="20"/>
                <w:szCs w:val="20"/>
                <w:spacing w:val="-3"/>
              </w:rPr>
              <w:t>110</w:t>
            </w:r>
          </w:hyperlink>
        </w:p>
        <w:p>
          <w:pPr>
            <w:ind w:left="3"/>
            <w:spacing w:before="62" w:line="194" w:lineRule="auto"/>
            <w:tabs>
              <w:tab w:val="right" w:leader="dot" w:pos="8505"/>
            </w:tabs>
            <w:rPr>
              <w:rFonts w:ascii="Times New Roman" w:hAnsi="Times New Roman" w:eastAsia="Times New Roman" w:cs="Times New Roman"/>
              <w:sz w:val="20"/>
              <w:szCs w:val="20"/>
            </w:rPr>
          </w:pPr>
          <w:hyperlink w:history="true" w:anchor="bookmark71">
            <w:r>
              <w:rPr>
                <w:rFonts w:ascii="Times New Roman" w:hAnsi="Times New Roman" w:eastAsia="Times New Roman" w:cs="Times New Roman"/>
                <w:sz w:val="20"/>
                <w:szCs w:val="20"/>
                <w:spacing w:val="8"/>
              </w:rPr>
              <w:t>4 </w:t>
            </w:r>
            <w:r>
              <w:rPr>
                <w:rFonts w:ascii="SimSun" w:hAnsi="SimSun" w:eastAsia="SimSun" w:cs="SimSun"/>
                <w:sz w:val="20"/>
                <w:szCs w:val="20"/>
                <w:spacing w:val="8"/>
              </w:rPr>
              <w:t>环境现状调查与评价</w:t>
            </w:r>
            <w:r>
              <w:rPr>
                <w:rFonts w:ascii="SimSun" w:hAnsi="SimSun" w:eastAsia="SimSun" w:cs="SimSun"/>
                <w:sz w:val="20"/>
                <w:szCs w:val="20"/>
                <w:spacing w:val="-57"/>
              </w:rPr>
              <w:t xml:space="preserve"> </w:t>
            </w:r>
            <w:r>
              <w:rPr>
                <w:rFonts w:ascii="SimSun" w:hAnsi="SimSun" w:eastAsia="SimSun" w:cs="SimSun"/>
                <w:sz w:val="20"/>
                <w:szCs w:val="20"/>
              </w:rPr>
              <w:tab/>
            </w:r>
            <w:r>
              <w:rPr>
                <w:rFonts w:ascii="SimSun" w:hAnsi="SimSun" w:eastAsia="SimSun" w:cs="SimSun"/>
                <w:sz w:val="20"/>
                <w:szCs w:val="20"/>
                <w:spacing w:val="-43"/>
              </w:rPr>
              <w:t xml:space="preserve"> </w:t>
            </w:r>
            <w:r>
              <w:rPr>
                <w:rFonts w:ascii="Times New Roman" w:hAnsi="Times New Roman" w:eastAsia="Times New Roman" w:cs="Times New Roman"/>
                <w:sz w:val="20"/>
                <w:szCs w:val="20"/>
                <w:spacing w:val="-3"/>
              </w:rPr>
              <w:t>111</w:t>
            </w:r>
          </w:hyperlink>
        </w:p>
        <w:p>
          <w:pPr>
            <w:ind w:left="483"/>
            <w:spacing w:before="63" w:line="193" w:lineRule="auto"/>
            <w:tabs>
              <w:tab w:val="right" w:leader="dot" w:pos="8505"/>
            </w:tabs>
            <w:rPr>
              <w:rFonts w:ascii="Times New Roman" w:hAnsi="Times New Roman" w:eastAsia="Times New Roman" w:cs="Times New Roman"/>
              <w:sz w:val="20"/>
              <w:szCs w:val="20"/>
            </w:rPr>
          </w:pPr>
          <w:hyperlink w:history="true" w:anchor="bookmark72">
            <w:r>
              <w:rPr>
                <w:rFonts w:ascii="Times New Roman" w:hAnsi="Times New Roman" w:eastAsia="Times New Roman" w:cs="Times New Roman"/>
                <w:sz w:val="20"/>
                <w:szCs w:val="20"/>
                <w:spacing w:val="5"/>
              </w:rPr>
              <w:t>4.1</w:t>
            </w:r>
            <w:r>
              <w:rPr>
                <w:rFonts w:ascii="Times New Roman" w:hAnsi="Times New Roman" w:eastAsia="Times New Roman" w:cs="Times New Roman"/>
                <w:sz w:val="20"/>
                <w:szCs w:val="20"/>
                <w:spacing w:val="48"/>
                <w:w w:val="101"/>
              </w:rPr>
              <w:t xml:space="preserve"> </w:t>
            </w:r>
            <w:r>
              <w:rPr>
                <w:rFonts w:ascii="SimSun" w:hAnsi="SimSun" w:eastAsia="SimSun" w:cs="SimSun"/>
                <w:sz w:val="20"/>
                <w:szCs w:val="20"/>
                <w:spacing w:val="5"/>
              </w:rPr>
              <w:t>自然环境现状调查与评价</w:t>
            </w:r>
            <w:r>
              <w:rPr>
                <w:rFonts w:ascii="SimSun" w:hAnsi="SimSun" w:eastAsia="SimSun" w:cs="SimSun"/>
                <w:sz w:val="20"/>
                <w:szCs w:val="20"/>
                <w:spacing w:val="-59"/>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111</w:t>
            </w:r>
          </w:hyperlink>
        </w:p>
        <w:p>
          <w:pPr>
            <w:ind w:left="963"/>
            <w:spacing w:before="62" w:line="193" w:lineRule="auto"/>
            <w:tabs>
              <w:tab w:val="right" w:leader="dot" w:pos="8505"/>
            </w:tabs>
            <w:rPr>
              <w:rFonts w:ascii="Times New Roman" w:hAnsi="Times New Roman" w:eastAsia="Times New Roman" w:cs="Times New Roman"/>
              <w:sz w:val="20"/>
              <w:szCs w:val="20"/>
            </w:rPr>
          </w:pPr>
          <w:hyperlink w:history="true" w:anchor="bookmark73">
            <w:r>
              <w:rPr>
                <w:rFonts w:ascii="Times New Roman" w:hAnsi="Times New Roman" w:eastAsia="Times New Roman" w:cs="Times New Roman"/>
                <w:sz w:val="20"/>
                <w:szCs w:val="20"/>
                <w:spacing w:val="5"/>
              </w:rPr>
              <w:t>4.1.1 </w:t>
            </w:r>
            <w:r>
              <w:rPr>
                <w:rFonts w:ascii="SimSun" w:hAnsi="SimSun" w:eastAsia="SimSun" w:cs="SimSun"/>
                <w:sz w:val="20"/>
                <w:szCs w:val="20"/>
                <w:spacing w:val="5"/>
              </w:rPr>
              <w:t>地理位置</w:t>
            </w:r>
            <w:r>
              <w:rPr>
                <w:rFonts w:ascii="SimSun" w:hAnsi="SimSun" w:eastAsia="SimSun" w:cs="SimSun"/>
                <w:sz w:val="20"/>
                <w:szCs w:val="20"/>
                <w:spacing w:val="-53"/>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111</w:t>
            </w:r>
          </w:hyperlink>
        </w:p>
        <w:p>
          <w:pPr>
            <w:ind w:left="963"/>
            <w:spacing w:before="65" w:line="194" w:lineRule="auto"/>
            <w:tabs>
              <w:tab w:val="right" w:leader="dot" w:pos="8505"/>
            </w:tabs>
            <w:rPr>
              <w:rFonts w:ascii="Times New Roman" w:hAnsi="Times New Roman" w:eastAsia="Times New Roman" w:cs="Times New Roman"/>
              <w:sz w:val="20"/>
              <w:szCs w:val="20"/>
            </w:rPr>
          </w:pPr>
          <w:hyperlink w:history="true" w:anchor="bookmark74">
            <w:r>
              <w:rPr>
                <w:rFonts w:ascii="Times New Roman" w:hAnsi="Times New Roman" w:eastAsia="Times New Roman" w:cs="Times New Roman"/>
                <w:sz w:val="20"/>
                <w:szCs w:val="20"/>
                <w:spacing w:val="5"/>
              </w:rPr>
              <w:t>4.1.2 </w:t>
            </w:r>
            <w:r>
              <w:rPr>
                <w:rFonts w:ascii="SimSun" w:hAnsi="SimSun" w:eastAsia="SimSun" w:cs="SimSun"/>
                <w:sz w:val="20"/>
                <w:szCs w:val="20"/>
                <w:spacing w:val="5"/>
              </w:rPr>
              <w:t>地形地貌</w:t>
            </w:r>
            <w:r>
              <w:rPr>
                <w:rFonts w:ascii="SimSun" w:hAnsi="SimSun" w:eastAsia="SimSun" w:cs="SimSun"/>
                <w:sz w:val="20"/>
                <w:szCs w:val="20"/>
                <w:spacing w:val="-53"/>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111</w:t>
            </w:r>
          </w:hyperlink>
        </w:p>
        <w:p>
          <w:pPr>
            <w:ind w:left="963"/>
            <w:spacing w:before="61" w:line="193" w:lineRule="auto"/>
            <w:tabs>
              <w:tab w:val="right" w:leader="dot" w:pos="8505"/>
            </w:tabs>
            <w:rPr>
              <w:rFonts w:ascii="Times New Roman" w:hAnsi="Times New Roman" w:eastAsia="Times New Roman" w:cs="Times New Roman"/>
              <w:sz w:val="20"/>
              <w:szCs w:val="20"/>
            </w:rPr>
          </w:pPr>
          <w:hyperlink w:history="true" w:anchor="bookmark75">
            <w:r>
              <w:rPr>
                <w:rFonts w:ascii="Times New Roman" w:hAnsi="Times New Roman" w:eastAsia="Times New Roman" w:cs="Times New Roman"/>
                <w:sz w:val="20"/>
                <w:szCs w:val="20"/>
                <w:spacing w:val="5"/>
              </w:rPr>
              <w:t>4.1.3 </w:t>
            </w:r>
            <w:r>
              <w:rPr>
                <w:rFonts w:ascii="SimSun" w:hAnsi="SimSun" w:eastAsia="SimSun" w:cs="SimSun"/>
                <w:sz w:val="20"/>
                <w:szCs w:val="20"/>
                <w:spacing w:val="5"/>
              </w:rPr>
              <w:t>地质条件</w:t>
            </w:r>
            <w:r>
              <w:rPr>
                <w:rFonts w:ascii="SimSun" w:hAnsi="SimSun" w:eastAsia="SimSun" w:cs="SimSun"/>
                <w:sz w:val="20"/>
                <w:szCs w:val="20"/>
                <w:spacing w:val="-53"/>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112</w:t>
            </w:r>
          </w:hyperlink>
        </w:p>
        <w:p>
          <w:pPr>
            <w:ind w:left="963"/>
            <w:spacing w:before="64" w:line="193" w:lineRule="auto"/>
            <w:tabs>
              <w:tab w:val="right" w:leader="dot" w:pos="8505"/>
            </w:tabs>
            <w:rPr>
              <w:rFonts w:ascii="Times New Roman" w:hAnsi="Times New Roman" w:eastAsia="Times New Roman" w:cs="Times New Roman"/>
              <w:sz w:val="20"/>
              <w:szCs w:val="20"/>
            </w:rPr>
          </w:pPr>
          <w:hyperlink w:history="true" w:anchor="bookmark76">
            <w:r>
              <w:rPr>
                <w:rFonts w:ascii="Times New Roman" w:hAnsi="Times New Roman" w:eastAsia="Times New Roman" w:cs="Times New Roman"/>
                <w:sz w:val="20"/>
                <w:szCs w:val="20"/>
                <w:spacing w:val="5"/>
              </w:rPr>
              <w:t>4.1.4 </w:t>
            </w:r>
            <w:r>
              <w:rPr>
                <w:rFonts w:ascii="SimSun" w:hAnsi="SimSun" w:eastAsia="SimSun" w:cs="SimSun"/>
                <w:sz w:val="20"/>
                <w:szCs w:val="20"/>
                <w:spacing w:val="5"/>
              </w:rPr>
              <w:t>水文条件</w:t>
            </w:r>
            <w:r>
              <w:rPr>
                <w:rFonts w:ascii="SimSun" w:hAnsi="SimSun" w:eastAsia="SimSun" w:cs="SimSun"/>
                <w:sz w:val="20"/>
                <w:szCs w:val="20"/>
                <w:spacing w:val="-53"/>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112</w:t>
            </w:r>
          </w:hyperlink>
        </w:p>
        <w:p>
          <w:pPr>
            <w:ind w:left="963"/>
            <w:spacing w:before="62" w:line="194" w:lineRule="auto"/>
            <w:tabs>
              <w:tab w:val="right" w:leader="dot" w:pos="8505"/>
            </w:tabs>
            <w:rPr>
              <w:rFonts w:ascii="Times New Roman" w:hAnsi="Times New Roman" w:eastAsia="Times New Roman" w:cs="Times New Roman"/>
              <w:sz w:val="20"/>
              <w:szCs w:val="20"/>
            </w:rPr>
          </w:pPr>
          <w:hyperlink w:history="true" w:anchor="bookmark77">
            <w:r>
              <w:rPr>
                <w:rFonts w:ascii="Times New Roman" w:hAnsi="Times New Roman" w:eastAsia="Times New Roman" w:cs="Times New Roman"/>
                <w:sz w:val="20"/>
                <w:szCs w:val="20"/>
                <w:spacing w:val="5"/>
              </w:rPr>
              <w:t>4.1.5 </w:t>
            </w:r>
            <w:r>
              <w:rPr>
                <w:rFonts w:ascii="SimSun" w:hAnsi="SimSun" w:eastAsia="SimSun" w:cs="SimSun"/>
                <w:sz w:val="20"/>
                <w:szCs w:val="20"/>
                <w:spacing w:val="5"/>
              </w:rPr>
              <w:t>气候气象</w:t>
            </w:r>
            <w:r>
              <w:rPr>
                <w:rFonts w:ascii="SimSun" w:hAnsi="SimSun" w:eastAsia="SimSun" w:cs="SimSun"/>
                <w:sz w:val="20"/>
                <w:szCs w:val="20"/>
                <w:spacing w:val="-53"/>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113</w:t>
            </w:r>
          </w:hyperlink>
        </w:p>
        <w:p>
          <w:pPr>
            <w:ind w:left="963"/>
            <w:spacing w:before="64" w:line="193" w:lineRule="auto"/>
            <w:tabs>
              <w:tab w:val="right" w:leader="dot" w:pos="8505"/>
            </w:tabs>
            <w:rPr>
              <w:rFonts w:ascii="Times New Roman" w:hAnsi="Times New Roman" w:eastAsia="Times New Roman" w:cs="Times New Roman"/>
              <w:sz w:val="20"/>
              <w:szCs w:val="20"/>
            </w:rPr>
          </w:pPr>
          <w:hyperlink w:history="true" w:anchor="bookmark78">
            <w:r>
              <w:rPr>
                <w:rFonts w:ascii="Times New Roman" w:hAnsi="Times New Roman" w:eastAsia="Times New Roman" w:cs="Times New Roman"/>
                <w:sz w:val="20"/>
                <w:szCs w:val="20"/>
                <w:spacing w:val="5"/>
              </w:rPr>
              <w:t>4.1.6 </w:t>
            </w:r>
            <w:r>
              <w:rPr>
                <w:rFonts w:ascii="SimSun" w:hAnsi="SimSun" w:eastAsia="SimSun" w:cs="SimSun"/>
                <w:sz w:val="20"/>
                <w:szCs w:val="20"/>
                <w:spacing w:val="5"/>
              </w:rPr>
              <w:t>动物植被</w:t>
            </w:r>
            <w:r>
              <w:rPr>
                <w:rFonts w:ascii="SimSun" w:hAnsi="SimSun" w:eastAsia="SimSun" w:cs="SimSun"/>
                <w:sz w:val="20"/>
                <w:szCs w:val="20"/>
                <w:spacing w:val="-53"/>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113</w:t>
            </w:r>
          </w:hyperlink>
        </w:p>
        <w:p>
          <w:pPr>
            <w:ind w:left="963"/>
            <w:spacing w:before="62" w:line="194" w:lineRule="auto"/>
            <w:tabs>
              <w:tab w:val="right" w:leader="dot" w:pos="8505"/>
            </w:tabs>
            <w:rPr>
              <w:rFonts w:ascii="Times New Roman" w:hAnsi="Times New Roman" w:eastAsia="Times New Roman" w:cs="Times New Roman"/>
              <w:sz w:val="20"/>
              <w:szCs w:val="20"/>
            </w:rPr>
          </w:pPr>
          <w:hyperlink w:history="true" w:anchor="bookmark79">
            <w:r>
              <w:rPr>
                <w:rFonts w:ascii="Times New Roman" w:hAnsi="Times New Roman" w:eastAsia="Times New Roman" w:cs="Times New Roman"/>
                <w:sz w:val="20"/>
                <w:szCs w:val="20"/>
                <w:spacing w:val="5"/>
              </w:rPr>
              <w:t>4.1.7 </w:t>
            </w:r>
            <w:r>
              <w:rPr>
                <w:rFonts w:ascii="SimSun" w:hAnsi="SimSun" w:eastAsia="SimSun" w:cs="SimSun"/>
                <w:sz w:val="20"/>
                <w:szCs w:val="20"/>
                <w:spacing w:val="5"/>
              </w:rPr>
              <w:t>矿产资源</w:t>
            </w:r>
            <w:r>
              <w:rPr>
                <w:rFonts w:ascii="SimSun" w:hAnsi="SimSun" w:eastAsia="SimSun" w:cs="SimSun"/>
                <w:sz w:val="20"/>
                <w:szCs w:val="20"/>
                <w:spacing w:val="-53"/>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114</w:t>
            </w:r>
          </w:hyperlink>
        </w:p>
        <w:p>
          <w:pPr>
            <w:ind w:left="483"/>
            <w:spacing w:before="63" w:line="193" w:lineRule="auto"/>
            <w:tabs>
              <w:tab w:val="right" w:leader="dot" w:pos="8505"/>
            </w:tabs>
            <w:rPr>
              <w:rFonts w:ascii="Times New Roman" w:hAnsi="Times New Roman" w:eastAsia="Times New Roman" w:cs="Times New Roman"/>
              <w:sz w:val="20"/>
              <w:szCs w:val="20"/>
            </w:rPr>
          </w:pPr>
          <w:hyperlink w:history="true" w:anchor="bookmark80">
            <w:r>
              <w:rPr>
                <w:rFonts w:ascii="Times New Roman" w:hAnsi="Times New Roman" w:eastAsia="Times New Roman" w:cs="Times New Roman"/>
                <w:sz w:val="20"/>
                <w:szCs w:val="20"/>
                <w:spacing w:val="7"/>
              </w:rPr>
              <w:t>4.2 </w:t>
            </w:r>
            <w:r>
              <w:rPr>
                <w:rFonts w:ascii="SimSun" w:hAnsi="SimSun" w:eastAsia="SimSun" w:cs="SimSun"/>
                <w:sz w:val="20"/>
                <w:szCs w:val="20"/>
                <w:spacing w:val="7"/>
              </w:rPr>
              <w:t>环境质量现状调查与评价</w:t>
            </w:r>
            <w:r>
              <w:rPr>
                <w:rFonts w:ascii="SimSun" w:hAnsi="SimSun" w:eastAsia="SimSun" w:cs="SimSun"/>
                <w:sz w:val="20"/>
                <w:szCs w:val="20"/>
                <w:spacing w:val="-45"/>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114</w:t>
            </w:r>
          </w:hyperlink>
        </w:p>
        <w:p>
          <w:pPr>
            <w:ind w:left="963"/>
            <w:spacing w:before="63" w:line="193" w:lineRule="auto"/>
            <w:tabs>
              <w:tab w:val="right" w:leader="dot" w:pos="8505"/>
            </w:tabs>
            <w:rPr>
              <w:rFonts w:ascii="Times New Roman" w:hAnsi="Times New Roman" w:eastAsia="Times New Roman" w:cs="Times New Roman"/>
              <w:sz w:val="20"/>
              <w:szCs w:val="20"/>
            </w:rPr>
          </w:pPr>
          <w:hyperlink w:history="true" w:anchor="bookmark81">
            <w:r>
              <w:rPr>
                <w:rFonts w:ascii="Times New Roman" w:hAnsi="Times New Roman" w:eastAsia="Times New Roman" w:cs="Times New Roman"/>
                <w:sz w:val="20"/>
                <w:szCs w:val="20"/>
                <w:spacing w:val="7"/>
              </w:rPr>
              <w:t>4.2.1 </w:t>
            </w:r>
            <w:r>
              <w:rPr>
                <w:rFonts w:ascii="SimSun" w:hAnsi="SimSun" w:eastAsia="SimSun" w:cs="SimSun"/>
                <w:sz w:val="20"/>
                <w:szCs w:val="20"/>
                <w:spacing w:val="7"/>
              </w:rPr>
              <w:t>大气环境质量现状监测与评价</w:t>
            </w:r>
            <w:r>
              <w:rPr>
                <w:rFonts w:ascii="SimSun" w:hAnsi="SimSun" w:eastAsia="SimSun" w:cs="SimSun"/>
                <w:sz w:val="20"/>
                <w:szCs w:val="20"/>
                <w:spacing w:val="-45"/>
              </w:rPr>
              <w:t xml:space="preserve"> </w:t>
            </w:r>
            <w:r>
              <w:rPr>
                <w:rFonts w:ascii="SimSun" w:hAnsi="SimSun" w:eastAsia="SimSun" w:cs="SimSun"/>
                <w:sz w:val="20"/>
                <w:szCs w:val="20"/>
              </w:rPr>
              <w:tab/>
            </w:r>
            <w:r>
              <w:rPr>
                <w:rFonts w:ascii="SimSun" w:hAnsi="SimSun" w:eastAsia="SimSun" w:cs="SimSun"/>
                <w:sz w:val="20"/>
                <w:szCs w:val="20"/>
                <w:spacing w:val="-27"/>
              </w:rPr>
              <w:t xml:space="preserve"> </w:t>
            </w:r>
            <w:r>
              <w:rPr>
                <w:rFonts w:ascii="Times New Roman" w:hAnsi="Times New Roman" w:eastAsia="Times New Roman" w:cs="Times New Roman"/>
                <w:sz w:val="20"/>
                <w:szCs w:val="20"/>
                <w:spacing w:val="-3"/>
              </w:rPr>
              <w:t>115</w:t>
            </w:r>
          </w:hyperlink>
        </w:p>
        <w:p>
          <w:pPr>
            <w:ind w:left="963"/>
            <w:spacing w:before="64" w:line="194" w:lineRule="auto"/>
            <w:tabs>
              <w:tab w:val="right" w:leader="dot" w:pos="8505"/>
            </w:tabs>
            <w:rPr>
              <w:rFonts w:ascii="Times New Roman" w:hAnsi="Times New Roman" w:eastAsia="Times New Roman" w:cs="Times New Roman"/>
              <w:sz w:val="20"/>
              <w:szCs w:val="20"/>
            </w:rPr>
          </w:pPr>
          <w:hyperlink w:history="true" w:anchor="bookmark82">
            <w:r>
              <w:rPr>
                <w:rFonts w:ascii="Times New Roman" w:hAnsi="Times New Roman" w:eastAsia="Times New Roman" w:cs="Times New Roman"/>
                <w:sz w:val="20"/>
                <w:szCs w:val="20"/>
                <w:spacing w:val="7"/>
              </w:rPr>
              <w:t>4.2.2 </w:t>
            </w:r>
            <w:r>
              <w:rPr>
                <w:rFonts w:ascii="SimSun" w:hAnsi="SimSun" w:eastAsia="SimSun" w:cs="SimSun"/>
                <w:sz w:val="20"/>
                <w:szCs w:val="20"/>
                <w:spacing w:val="7"/>
              </w:rPr>
              <w:t>地下水环境质量现状监测与评价</w:t>
            </w:r>
            <w:r>
              <w:rPr>
                <w:rFonts w:ascii="SimSun" w:hAnsi="SimSun" w:eastAsia="SimSun" w:cs="SimSun"/>
                <w:sz w:val="20"/>
                <w:szCs w:val="20"/>
                <w:spacing w:val="-43"/>
              </w:rPr>
              <w:t xml:space="preserve"> </w:t>
            </w:r>
            <w:r>
              <w:rPr>
                <w:rFonts w:ascii="SimSun" w:hAnsi="SimSun" w:eastAsia="SimSun" w:cs="SimSun"/>
                <w:sz w:val="20"/>
                <w:szCs w:val="20"/>
              </w:rPr>
              <w:tab/>
            </w:r>
            <w:r>
              <w:rPr>
                <w:rFonts w:ascii="SimSun" w:hAnsi="SimSun" w:eastAsia="SimSun" w:cs="SimSun"/>
                <w:sz w:val="20"/>
                <w:szCs w:val="20"/>
                <w:spacing w:val="-28"/>
              </w:rPr>
              <w:t xml:space="preserve"> </w:t>
            </w:r>
            <w:r>
              <w:rPr>
                <w:rFonts w:ascii="Times New Roman" w:hAnsi="Times New Roman" w:eastAsia="Times New Roman" w:cs="Times New Roman"/>
                <w:sz w:val="20"/>
                <w:szCs w:val="20"/>
                <w:spacing w:val="-3"/>
              </w:rPr>
              <w:t>119</w:t>
            </w:r>
          </w:hyperlink>
        </w:p>
        <w:p>
          <w:pPr>
            <w:ind w:left="963"/>
            <w:spacing w:before="61" w:line="193" w:lineRule="auto"/>
            <w:tabs>
              <w:tab w:val="right" w:leader="dot" w:pos="8505"/>
            </w:tabs>
            <w:rPr>
              <w:rFonts w:ascii="Times New Roman" w:hAnsi="Times New Roman" w:eastAsia="Times New Roman" w:cs="Times New Roman"/>
              <w:sz w:val="20"/>
              <w:szCs w:val="20"/>
            </w:rPr>
          </w:pPr>
          <w:hyperlink w:history="true" w:anchor="bookmark83">
            <w:r>
              <w:rPr>
                <w:rFonts w:ascii="Times New Roman" w:hAnsi="Times New Roman" w:eastAsia="Times New Roman" w:cs="Times New Roman"/>
                <w:sz w:val="20"/>
                <w:szCs w:val="20"/>
                <w:spacing w:val="7"/>
              </w:rPr>
              <w:t>4.2.3 </w:t>
            </w:r>
            <w:r>
              <w:rPr>
                <w:rFonts w:ascii="SimSun" w:hAnsi="SimSun" w:eastAsia="SimSun" w:cs="SimSun"/>
                <w:sz w:val="20"/>
                <w:szCs w:val="20"/>
                <w:spacing w:val="7"/>
              </w:rPr>
              <w:t>声环境质量现状监测与评价</w:t>
            </w:r>
            <w:r>
              <w:rPr>
                <w:rFonts w:ascii="SimSun" w:hAnsi="SimSun" w:eastAsia="SimSun" w:cs="SimSun"/>
                <w:sz w:val="20"/>
                <w:szCs w:val="20"/>
                <w:spacing w:val="-49"/>
              </w:rPr>
              <w:t xml:space="preserve"> </w:t>
            </w:r>
            <w:r>
              <w:rPr>
                <w:rFonts w:ascii="SimSun" w:hAnsi="SimSun" w:eastAsia="SimSun" w:cs="SimSun"/>
                <w:sz w:val="20"/>
                <w:szCs w:val="20"/>
              </w:rPr>
              <w:tab/>
            </w:r>
            <w:r>
              <w:rPr>
                <w:rFonts w:ascii="Times New Roman" w:hAnsi="Times New Roman" w:eastAsia="Times New Roman" w:cs="Times New Roman"/>
                <w:sz w:val="20"/>
                <w:szCs w:val="20"/>
                <w:spacing w:val="5"/>
              </w:rPr>
              <w:t>130</w:t>
            </w:r>
          </w:hyperlink>
        </w:p>
        <w:p>
          <w:pPr>
            <w:ind w:left="963"/>
            <w:spacing w:before="65" w:line="193" w:lineRule="auto"/>
            <w:tabs>
              <w:tab w:val="right" w:leader="dot" w:pos="8505"/>
            </w:tabs>
            <w:rPr>
              <w:rFonts w:ascii="Times New Roman" w:hAnsi="Times New Roman" w:eastAsia="Times New Roman" w:cs="Times New Roman"/>
              <w:sz w:val="20"/>
              <w:szCs w:val="20"/>
            </w:rPr>
          </w:pPr>
          <w:hyperlink w:history="true" w:anchor="bookmark84">
            <w:r>
              <w:rPr>
                <w:rFonts w:ascii="Times New Roman" w:hAnsi="Times New Roman" w:eastAsia="Times New Roman" w:cs="Times New Roman"/>
                <w:sz w:val="20"/>
                <w:szCs w:val="20"/>
                <w:spacing w:val="7"/>
              </w:rPr>
              <w:t>4.2.4 </w:t>
            </w:r>
            <w:r>
              <w:rPr>
                <w:rFonts w:ascii="SimSun" w:hAnsi="SimSun" w:eastAsia="SimSun" w:cs="SimSun"/>
                <w:sz w:val="20"/>
                <w:szCs w:val="20"/>
                <w:spacing w:val="7"/>
              </w:rPr>
              <w:t>土壤环境质量现状监测与评价</w:t>
            </w:r>
            <w:r>
              <w:rPr>
                <w:rFonts w:ascii="SimSun" w:hAnsi="SimSun" w:eastAsia="SimSun" w:cs="SimSun"/>
                <w:sz w:val="20"/>
                <w:szCs w:val="20"/>
                <w:spacing w:val="-45"/>
              </w:rPr>
              <w:t xml:space="preserve"> </w:t>
            </w:r>
            <w:r>
              <w:rPr>
                <w:rFonts w:ascii="SimSun" w:hAnsi="SimSun" w:eastAsia="SimSun" w:cs="SimSun"/>
                <w:sz w:val="20"/>
                <w:szCs w:val="20"/>
              </w:rPr>
              <w:tab/>
            </w:r>
            <w:r>
              <w:rPr>
                <w:rFonts w:ascii="SimSun" w:hAnsi="SimSun" w:eastAsia="SimSun" w:cs="SimSun"/>
                <w:sz w:val="20"/>
                <w:szCs w:val="20"/>
                <w:spacing w:val="-27"/>
              </w:rPr>
              <w:t xml:space="preserve"> </w:t>
            </w:r>
            <w:r>
              <w:rPr>
                <w:rFonts w:ascii="Times New Roman" w:hAnsi="Times New Roman" w:eastAsia="Times New Roman" w:cs="Times New Roman"/>
                <w:sz w:val="20"/>
                <w:szCs w:val="20"/>
                <w:spacing w:val="-3"/>
              </w:rPr>
              <w:t>131</w:t>
            </w:r>
          </w:hyperlink>
        </w:p>
        <w:p>
          <w:pPr>
            <w:ind w:left="963"/>
            <w:spacing w:before="62" w:line="194" w:lineRule="auto"/>
            <w:tabs>
              <w:tab w:val="right" w:leader="dot" w:pos="8505"/>
            </w:tabs>
            <w:rPr>
              <w:rFonts w:ascii="Times New Roman" w:hAnsi="Times New Roman" w:eastAsia="Times New Roman" w:cs="Times New Roman"/>
              <w:sz w:val="20"/>
              <w:szCs w:val="20"/>
            </w:rPr>
          </w:pPr>
          <w:hyperlink w:history="true" w:anchor="bookmark85">
            <w:r>
              <w:rPr>
                <w:rFonts w:ascii="Times New Roman" w:hAnsi="Times New Roman" w:eastAsia="Times New Roman" w:cs="Times New Roman"/>
                <w:sz w:val="20"/>
                <w:szCs w:val="20"/>
                <w:spacing w:val="6"/>
              </w:rPr>
              <w:t>4.2.5 </w:t>
            </w:r>
            <w:r>
              <w:rPr>
                <w:rFonts w:ascii="SimSun" w:hAnsi="SimSun" w:eastAsia="SimSun" w:cs="SimSun"/>
                <w:sz w:val="20"/>
                <w:szCs w:val="20"/>
                <w:spacing w:val="6"/>
              </w:rPr>
              <w:t>生态环境现状调查</w:t>
            </w:r>
            <w:r>
              <w:rPr>
                <w:rFonts w:ascii="SimSun" w:hAnsi="SimSun" w:eastAsia="SimSun" w:cs="SimSun"/>
                <w:sz w:val="20"/>
                <w:szCs w:val="20"/>
                <w:spacing w:val="-47"/>
              </w:rPr>
              <w:t xml:space="preserve"> </w:t>
            </w:r>
            <w:r>
              <w:rPr>
                <w:rFonts w:ascii="SimSun" w:hAnsi="SimSun" w:eastAsia="SimSun" w:cs="SimSun"/>
                <w:sz w:val="20"/>
                <w:szCs w:val="20"/>
              </w:rPr>
              <w:tab/>
            </w:r>
            <w:r>
              <w:rPr>
                <w:rFonts w:ascii="Times New Roman" w:hAnsi="Times New Roman" w:eastAsia="Times New Roman" w:cs="Times New Roman"/>
                <w:sz w:val="20"/>
                <w:szCs w:val="20"/>
                <w:spacing w:val="8"/>
              </w:rPr>
              <w:t>139</w:t>
            </w:r>
          </w:hyperlink>
        </w:p>
        <w:p>
          <w:pPr>
            <w:ind w:left="963"/>
            <w:spacing w:before="63" w:line="193" w:lineRule="auto"/>
            <w:tabs>
              <w:tab w:val="right" w:leader="dot" w:pos="8505"/>
            </w:tabs>
            <w:rPr>
              <w:rFonts w:ascii="Times New Roman" w:hAnsi="Times New Roman" w:eastAsia="Times New Roman" w:cs="Times New Roman"/>
              <w:sz w:val="20"/>
              <w:szCs w:val="20"/>
            </w:rPr>
          </w:pPr>
          <w:hyperlink w:history="true" w:anchor="bookmark86">
            <w:r>
              <w:rPr>
                <w:rFonts w:ascii="Times New Roman" w:hAnsi="Times New Roman" w:eastAsia="Times New Roman" w:cs="Times New Roman"/>
                <w:sz w:val="20"/>
                <w:szCs w:val="20"/>
                <w:spacing w:val="7"/>
              </w:rPr>
              <w:t>4.2.6 </w:t>
            </w:r>
            <w:r>
              <w:rPr>
                <w:rFonts w:ascii="SimSun" w:hAnsi="SimSun" w:eastAsia="SimSun" w:cs="SimSun"/>
                <w:sz w:val="20"/>
                <w:szCs w:val="20"/>
                <w:spacing w:val="7"/>
              </w:rPr>
              <w:t>地表水环境现状调查</w:t>
            </w:r>
            <w:r>
              <w:rPr>
                <w:rFonts w:ascii="SimSun" w:hAnsi="SimSun" w:eastAsia="SimSun" w:cs="SimSun"/>
                <w:sz w:val="20"/>
                <w:szCs w:val="20"/>
                <w:spacing w:val="-57"/>
              </w:rPr>
              <w:t xml:space="preserve"> </w:t>
            </w:r>
            <w:r>
              <w:rPr>
                <w:rFonts w:ascii="SimSun" w:hAnsi="SimSun" w:eastAsia="SimSun" w:cs="SimSun"/>
                <w:sz w:val="20"/>
                <w:szCs w:val="20"/>
              </w:rPr>
              <w:tab/>
            </w:r>
            <w:r>
              <w:rPr>
                <w:rFonts w:ascii="Times New Roman" w:hAnsi="Times New Roman" w:eastAsia="Times New Roman" w:cs="Times New Roman"/>
                <w:sz w:val="20"/>
                <w:szCs w:val="20"/>
                <w:spacing w:val="7"/>
              </w:rPr>
              <w:t>148</w:t>
            </w:r>
          </w:hyperlink>
        </w:p>
        <w:p>
          <w:pPr>
            <w:ind w:left="10"/>
            <w:spacing w:before="62" w:line="193" w:lineRule="auto"/>
            <w:tabs>
              <w:tab w:val="right" w:leader="dot" w:pos="8505"/>
            </w:tabs>
            <w:rPr>
              <w:rFonts w:ascii="Times New Roman" w:hAnsi="Times New Roman" w:eastAsia="Times New Roman" w:cs="Times New Roman"/>
              <w:sz w:val="20"/>
              <w:szCs w:val="20"/>
            </w:rPr>
          </w:pPr>
          <w:hyperlink w:history="true" w:anchor="bookmark87">
            <w:r>
              <w:rPr>
                <w:rFonts w:ascii="Times New Roman" w:hAnsi="Times New Roman" w:eastAsia="Times New Roman" w:cs="Times New Roman"/>
                <w:sz w:val="20"/>
                <w:szCs w:val="20"/>
                <w:spacing w:val="7"/>
              </w:rPr>
              <w:t>5 </w:t>
            </w:r>
            <w:r>
              <w:rPr>
                <w:rFonts w:ascii="SimSun" w:hAnsi="SimSun" w:eastAsia="SimSun" w:cs="SimSun"/>
                <w:sz w:val="20"/>
                <w:szCs w:val="20"/>
                <w:spacing w:val="7"/>
              </w:rPr>
              <w:t>环境影响预测与评价</w:t>
            </w:r>
            <w:r>
              <w:rPr>
                <w:rFonts w:ascii="SimSun" w:hAnsi="SimSun" w:eastAsia="SimSun" w:cs="SimSun"/>
                <w:sz w:val="20"/>
                <w:szCs w:val="20"/>
                <w:spacing w:val="-52"/>
              </w:rPr>
              <w:t xml:space="preserve"> </w:t>
            </w:r>
            <w:r>
              <w:rPr>
                <w:rFonts w:ascii="SimSun" w:hAnsi="SimSun" w:eastAsia="SimSun" w:cs="SimSun"/>
                <w:sz w:val="20"/>
                <w:szCs w:val="20"/>
              </w:rPr>
              <w:tab/>
            </w:r>
            <w:r>
              <w:rPr>
                <w:rFonts w:ascii="SimSun" w:hAnsi="SimSun" w:eastAsia="SimSun" w:cs="SimSun"/>
                <w:sz w:val="20"/>
                <w:szCs w:val="20"/>
                <w:spacing w:val="-43"/>
              </w:rPr>
              <w:t xml:space="preserve"> </w:t>
            </w:r>
            <w:r>
              <w:rPr>
                <w:rFonts w:ascii="Times New Roman" w:hAnsi="Times New Roman" w:eastAsia="Times New Roman" w:cs="Times New Roman"/>
                <w:sz w:val="20"/>
                <w:szCs w:val="20"/>
                <w:spacing w:val="-3"/>
              </w:rPr>
              <w:t>150</w:t>
            </w:r>
          </w:hyperlink>
        </w:p>
        <w:p>
          <w:pPr>
            <w:ind w:left="490"/>
            <w:spacing w:before="62" w:line="194" w:lineRule="auto"/>
            <w:tabs>
              <w:tab w:val="right" w:leader="dot" w:pos="8505"/>
            </w:tabs>
            <w:rPr>
              <w:rFonts w:ascii="Times New Roman" w:hAnsi="Times New Roman" w:eastAsia="Times New Roman" w:cs="Times New Roman"/>
              <w:sz w:val="20"/>
              <w:szCs w:val="20"/>
            </w:rPr>
          </w:pPr>
          <w:hyperlink w:history="true" w:anchor="bookmark88">
            <w:r>
              <w:rPr>
                <w:rFonts w:ascii="Times New Roman" w:hAnsi="Times New Roman" w:eastAsia="Times New Roman" w:cs="Times New Roman"/>
                <w:sz w:val="20"/>
                <w:szCs w:val="20"/>
                <w:spacing w:val="7"/>
              </w:rPr>
              <w:t>5.1 </w:t>
            </w:r>
            <w:r>
              <w:rPr>
                <w:rFonts w:ascii="SimSun" w:hAnsi="SimSun" w:eastAsia="SimSun" w:cs="SimSun"/>
                <w:sz w:val="20"/>
                <w:szCs w:val="20"/>
                <w:spacing w:val="7"/>
              </w:rPr>
              <w:t>大气环境影响分析与评价</w:t>
            </w:r>
            <w:r>
              <w:rPr>
                <w:rFonts w:ascii="SimSun" w:hAnsi="SimSun" w:eastAsia="SimSun" w:cs="SimSun"/>
                <w:sz w:val="20"/>
                <w:szCs w:val="20"/>
                <w:spacing w:val="-52"/>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150</w:t>
            </w:r>
          </w:hyperlink>
        </w:p>
        <w:p>
          <w:pPr>
            <w:ind w:left="970"/>
            <w:spacing w:before="64" w:line="193" w:lineRule="auto"/>
            <w:tabs>
              <w:tab w:val="right" w:leader="dot" w:pos="8505"/>
            </w:tabs>
            <w:rPr>
              <w:rFonts w:ascii="Times New Roman" w:hAnsi="Times New Roman" w:eastAsia="Times New Roman" w:cs="Times New Roman"/>
              <w:sz w:val="20"/>
              <w:szCs w:val="20"/>
            </w:rPr>
          </w:pPr>
          <w:hyperlink w:history="true" w:anchor="bookmark89">
            <w:r>
              <w:rPr>
                <w:rFonts w:ascii="Times New Roman" w:hAnsi="Times New Roman" w:eastAsia="Times New Roman" w:cs="Times New Roman"/>
                <w:sz w:val="20"/>
                <w:szCs w:val="20"/>
                <w:spacing w:val="4"/>
              </w:rPr>
              <w:t>5.1.1</w:t>
            </w:r>
            <w:r>
              <w:rPr>
                <w:rFonts w:ascii="Times New Roman" w:hAnsi="Times New Roman" w:eastAsia="Times New Roman" w:cs="Times New Roman"/>
                <w:sz w:val="20"/>
                <w:szCs w:val="20"/>
                <w:spacing w:val="35"/>
              </w:rPr>
              <w:t xml:space="preserve"> </w:t>
            </w:r>
            <w:r>
              <w:rPr>
                <w:rFonts w:ascii="SimSun" w:hAnsi="SimSun" w:eastAsia="SimSun" w:cs="SimSun"/>
                <w:sz w:val="20"/>
                <w:szCs w:val="20"/>
                <w:spacing w:val="4"/>
              </w:rPr>
              <w:t>区域污染气象特征</w:t>
            </w:r>
            <w:r>
              <w:rPr>
                <w:rFonts w:ascii="SimSun" w:hAnsi="SimSun" w:eastAsia="SimSun" w:cs="SimSun"/>
                <w:sz w:val="20"/>
                <w:szCs w:val="20"/>
                <w:spacing w:val="-57"/>
              </w:rPr>
              <w:t xml:space="preserve"> </w:t>
            </w:r>
            <w:r>
              <w:rPr>
                <w:rFonts w:ascii="SimSun" w:hAnsi="SimSun" w:eastAsia="SimSun" w:cs="SimSun"/>
                <w:sz w:val="20"/>
                <w:szCs w:val="20"/>
              </w:rPr>
              <w:tab/>
            </w:r>
            <w:r>
              <w:rPr>
                <w:rFonts w:ascii="Times New Roman" w:hAnsi="Times New Roman" w:eastAsia="Times New Roman" w:cs="Times New Roman"/>
                <w:sz w:val="20"/>
                <w:szCs w:val="20"/>
                <w:spacing w:val="8"/>
              </w:rPr>
              <w:t>150</w:t>
            </w:r>
          </w:hyperlink>
        </w:p>
        <w:p>
          <w:pPr>
            <w:ind w:left="970"/>
            <w:spacing w:before="62" w:line="193" w:lineRule="auto"/>
            <w:tabs>
              <w:tab w:val="right" w:leader="dot" w:pos="8505"/>
            </w:tabs>
            <w:rPr>
              <w:rFonts w:ascii="Times New Roman" w:hAnsi="Times New Roman" w:eastAsia="Times New Roman" w:cs="Times New Roman"/>
              <w:sz w:val="20"/>
              <w:szCs w:val="20"/>
            </w:rPr>
          </w:pPr>
          <w:hyperlink w:history="true" w:anchor="bookmark90">
            <w:r>
              <w:rPr>
                <w:rFonts w:ascii="Times New Roman" w:hAnsi="Times New Roman" w:eastAsia="Times New Roman" w:cs="Times New Roman"/>
                <w:sz w:val="20"/>
                <w:szCs w:val="20"/>
                <w:spacing w:val="7"/>
              </w:rPr>
              <w:t>5.1.2 </w:t>
            </w:r>
            <w:r>
              <w:rPr>
                <w:rFonts w:ascii="SimSun" w:hAnsi="SimSun" w:eastAsia="SimSun" w:cs="SimSun"/>
                <w:sz w:val="20"/>
                <w:szCs w:val="20"/>
                <w:spacing w:val="7"/>
              </w:rPr>
              <w:t>大气环境影响预测与评价</w:t>
            </w:r>
            <w:r>
              <w:rPr>
                <w:rFonts w:ascii="SimSun" w:hAnsi="SimSun" w:eastAsia="SimSun" w:cs="SimSun"/>
                <w:sz w:val="20"/>
                <w:szCs w:val="20"/>
                <w:spacing w:val="-57"/>
              </w:rPr>
              <w:t xml:space="preserve"> </w:t>
            </w:r>
            <w:r>
              <w:rPr>
                <w:rFonts w:ascii="SimSun" w:hAnsi="SimSun" w:eastAsia="SimSun" w:cs="SimSun"/>
                <w:sz w:val="20"/>
                <w:szCs w:val="20"/>
              </w:rPr>
              <w:tab/>
            </w:r>
            <w:r>
              <w:rPr>
                <w:rFonts w:ascii="Times New Roman" w:hAnsi="Times New Roman" w:eastAsia="Times New Roman" w:cs="Times New Roman"/>
                <w:sz w:val="20"/>
                <w:szCs w:val="20"/>
                <w:spacing w:val="5"/>
              </w:rPr>
              <w:t>155</w:t>
            </w:r>
          </w:hyperlink>
        </w:p>
        <w:p>
          <w:pPr>
            <w:ind w:left="970"/>
            <w:spacing w:before="64" w:line="194" w:lineRule="auto"/>
            <w:tabs>
              <w:tab w:val="right" w:leader="dot" w:pos="8505"/>
            </w:tabs>
            <w:rPr>
              <w:rFonts w:ascii="Times New Roman" w:hAnsi="Times New Roman" w:eastAsia="Times New Roman" w:cs="Times New Roman"/>
              <w:sz w:val="20"/>
              <w:szCs w:val="20"/>
            </w:rPr>
          </w:pPr>
          <w:hyperlink w:history="true" w:anchor="bookmark91">
            <w:r>
              <w:rPr>
                <w:rFonts w:ascii="Times New Roman" w:hAnsi="Times New Roman" w:eastAsia="Times New Roman" w:cs="Times New Roman"/>
                <w:sz w:val="20"/>
                <w:szCs w:val="20"/>
                <w:spacing w:val="6"/>
              </w:rPr>
              <w:t>5.1.3 </w:t>
            </w:r>
            <w:r>
              <w:rPr>
                <w:rFonts w:ascii="SimSun" w:hAnsi="SimSun" w:eastAsia="SimSun" w:cs="SimSun"/>
                <w:sz w:val="20"/>
                <w:szCs w:val="20"/>
                <w:spacing w:val="6"/>
              </w:rPr>
              <w:t>大气环境影响自查表</w:t>
            </w:r>
            <w:r>
              <w:rPr>
                <w:rFonts w:ascii="SimSun" w:hAnsi="SimSun" w:eastAsia="SimSun" w:cs="SimSun"/>
                <w:sz w:val="20"/>
                <w:szCs w:val="20"/>
                <w:spacing w:val="-49"/>
              </w:rPr>
              <w:t xml:space="preserve"> </w:t>
            </w:r>
            <w:r>
              <w:rPr>
                <w:rFonts w:ascii="SimSun" w:hAnsi="SimSun" w:eastAsia="SimSun" w:cs="SimSun"/>
                <w:sz w:val="20"/>
                <w:szCs w:val="20"/>
              </w:rPr>
              <w:tab/>
            </w:r>
            <w:r>
              <w:rPr>
                <w:rFonts w:ascii="Times New Roman" w:hAnsi="Times New Roman" w:eastAsia="Times New Roman" w:cs="Times New Roman"/>
                <w:sz w:val="20"/>
                <w:szCs w:val="20"/>
                <w:spacing w:val="7"/>
              </w:rPr>
              <w:t>166</w:t>
            </w:r>
          </w:hyperlink>
        </w:p>
        <w:p>
          <w:pPr>
            <w:ind w:left="490"/>
            <w:spacing w:before="64" w:line="193" w:lineRule="auto"/>
            <w:tabs>
              <w:tab w:val="right" w:leader="dot" w:pos="8505"/>
            </w:tabs>
            <w:rPr>
              <w:rFonts w:ascii="Times New Roman" w:hAnsi="Times New Roman" w:eastAsia="Times New Roman" w:cs="Times New Roman"/>
              <w:sz w:val="20"/>
              <w:szCs w:val="20"/>
            </w:rPr>
          </w:pPr>
          <w:hyperlink w:history="true" w:anchor="bookmark92">
            <w:r>
              <w:rPr>
                <w:rFonts w:ascii="Times New Roman" w:hAnsi="Times New Roman" w:eastAsia="Times New Roman" w:cs="Times New Roman"/>
                <w:sz w:val="20"/>
                <w:szCs w:val="20"/>
                <w:spacing w:val="7"/>
              </w:rPr>
              <w:t>5.2 </w:t>
            </w:r>
            <w:r>
              <w:rPr>
                <w:rFonts w:ascii="SimSun" w:hAnsi="SimSun" w:eastAsia="SimSun" w:cs="SimSun"/>
                <w:sz w:val="20"/>
                <w:szCs w:val="20"/>
                <w:spacing w:val="7"/>
              </w:rPr>
              <w:t>地表水环境影响分析与评价</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167</w:t>
            </w:r>
          </w:hyperlink>
        </w:p>
        <w:p>
          <w:pPr>
            <w:ind w:left="970"/>
            <w:spacing w:before="62" w:line="193" w:lineRule="auto"/>
            <w:tabs>
              <w:tab w:val="right" w:leader="dot" w:pos="8505"/>
            </w:tabs>
            <w:rPr>
              <w:rFonts w:ascii="Times New Roman" w:hAnsi="Times New Roman" w:eastAsia="Times New Roman" w:cs="Times New Roman"/>
              <w:sz w:val="20"/>
              <w:szCs w:val="20"/>
            </w:rPr>
          </w:pPr>
          <w:hyperlink w:history="true" w:anchor="bookmark93">
            <w:r>
              <w:rPr>
                <w:rFonts w:ascii="Times New Roman" w:hAnsi="Times New Roman" w:eastAsia="Times New Roman" w:cs="Times New Roman"/>
                <w:sz w:val="20"/>
                <w:szCs w:val="20"/>
                <w:spacing w:val="5"/>
              </w:rPr>
              <w:t>5.2.1 </w:t>
            </w:r>
            <w:r>
              <w:rPr>
                <w:rFonts w:ascii="SimSun" w:hAnsi="SimSun" w:eastAsia="SimSun" w:cs="SimSun"/>
                <w:sz w:val="20"/>
                <w:szCs w:val="20"/>
                <w:spacing w:val="5"/>
              </w:rPr>
              <w:t>项目排水情况</w:t>
            </w:r>
            <w:r>
              <w:rPr>
                <w:rFonts w:ascii="SimSun" w:hAnsi="SimSun" w:eastAsia="SimSun" w:cs="SimSun"/>
                <w:sz w:val="20"/>
                <w:szCs w:val="20"/>
                <w:spacing w:val="-50"/>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167</w:t>
            </w:r>
          </w:hyperlink>
        </w:p>
        <w:p>
          <w:pPr>
            <w:ind w:left="970"/>
            <w:spacing w:before="62" w:line="194" w:lineRule="auto"/>
            <w:tabs>
              <w:tab w:val="right" w:leader="dot" w:pos="8505"/>
            </w:tabs>
            <w:rPr>
              <w:rFonts w:ascii="Times New Roman" w:hAnsi="Times New Roman" w:eastAsia="Times New Roman" w:cs="Times New Roman"/>
              <w:sz w:val="20"/>
              <w:szCs w:val="20"/>
            </w:rPr>
          </w:pPr>
          <w:hyperlink w:history="true" w:anchor="bookmark94">
            <w:r>
              <w:rPr>
                <w:rFonts w:ascii="Times New Roman" w:hAnsi="Times New Roman" w:eastAsia="Times New Roman" w:cs="Times New Roman"/>
                <w:sz w:val="20"/>
                <w:szCs w:val="20"/>
                <w:spacing w:val="6"/>
              </w:rPr>
              <w:t>5.2.2</w:t>
            </w:r>
            <w:r>
              <w:rPr>
                <w:rFonts w:ascii="Times New Roman" w:hAnsi="Times New Roman" w:eastAsia="Times New Roman" w:cs="Times New Roman"/>
                <w:sz w:val="20"/>
                <w:szCs w:val="20"/>
                <w:spacing w:val="41"/>
              </w:rPr>
              <w:t xml:space="preserve"> </w:t>
            </w:r>
            <w:r>
              <w:rPr>
                <w:rFonts w:ascii="SimSun" w:hAnsi="SimSun" w:eastAsia="SimSun" w:cs="SimSun"/>
                <w:sz w:val="20"/>
                <w:szCs w:val="20"/>
                <w:spacing w:val="6"/>
              </w:rPr>
              <w:t>明安图镇污水处理厂依托可行性分析</w:t>
            </w:r>
            <w:r>
              <w:rPr>
                <w:rFonts w:ascii="SimSun" w:hAnsi="SimSun" w:eastAsia="SimSun" w:cs="SimSun"/>
                <w:sz w:val="20"/>
                <w:szCs w:val="20"/>
                <w:spacing w:val="-57"/>
              </w:rPr>
              <w:t xml:space="preserve"> </w:t>
            </w:r>
            <w:r>
              <w:rPr>
                <w:rFonts w:ascii="SimSun" w:hAnsi="SimSun" w:eastAsia="SimSun" w:cs="SimSun"/>
                <w:sz w:val="20"/>
                <w:szCs w:val="20"/>
              </w:rPr>
              <w:tab/>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3"/>
              </w:rPr>
              <w:t>168</w:t>
            </w:r>
          </w:hyperlink>
        </w:p>
        <w:p>
          <w:pPr>
            <w:ind w:left="970"/>
            <w:spacing w:before="64" w:line="193" w:lineRule="auto"/>
            <w:tabs>
              <w:tab w:val="right" w:leader="dot" w:pos="8505"/>
            </w:tabs>
            <w:rPr>
              <w:rFonts w:ascii="Times New Roman" w:hAnsi="Times New Roman" w:eastAsia="Times New Roman" w:cs="Times New Roman"/>
              <w:sz w:val="20"/>
              <w:szCs w:val="20"/>
            </w:rPr>
          </w:pPr>
          <w:hyperlink w:history="true" w:anchor="bookmark95">
            <w:r>
              <w:rPr>
                <w:rFonts w:ascii="Times New Roman" w:hAnsi="Times New Roman" w:eastAsia="Times New Roman" w:cs="Times New Roman"/>
                <w:sz w:val="20"/>
                <w:szCs w:val="20"/>
                <w:spacing w:val="6"/>
              </w:rPr>
              <w:t>5.2.3 </w:t>
            </w:r>
            <w:r>
              <w:rPr>
                <w:rFonts w:ascii="SimSun" w:hAnsi="SimSun" w:eastAsia="SimSun" w:cs="SimSun"/>
                <w:sz w:val="20"/>
                <w:szCs w:val="20"/>
                <w:spacing w:val="6"/>
              </w:rPr>
              <w:t>事故水池设置情况</w:t>
            </w:r>
            <w:r>
              <w:rPr>
                <w:rFonts w:ascii="SimSun" w:hAnsi="SimSun" w:eastAsia="SimSun" w:cs="SimSun"/>
                <w:sz w:val="20"/>
                <w:szCs w:val="20"/>
                <w:spacing w:val="-54"/>
              </w:rPr>
              <w:t xml:space="preserve"> </w:t>
            </w:r>
            <w:r>
              <w:rPr>
                <w:rFonts w:ascii="SimSun" w:hAnsi="SimSun" w:eastAsia="SimSun" w:cs="SimSun"/>
                <w:sz w:val="20"/>
                <w:szCs w:val="20"/>
              </w:rPr>
              <w:tab/>
            </w:r>
            <w:r>
              <w:rPr>
                <w:rFonts w:ascii="Times New Roman" w:hAnsi="Times New Roman" w:eastAsia="Times New Roman" w:cs="Times New Roman"/>
                <w:sz w:val="20"/>
                <w:szCs w:val="20"/>
                <w:spacing w:val="8"/>
              </w:rPr>
              <w:t>168</w:t>
            </w:r>
          </w:hyperlink>
        </w:p>
        <w:p>
          <w:pPr>
            <w:ind w:left="970"/>
            <w:spacing w:before="62" w:line="226" w:lineRule="auto"/>
            <w:tabs>
              <w:tab w:val="right" w:leader="dot" w:pos="8505"/>
            </w:tabs>
            <w:rPr>
              <w:rFonts w:ascii="Times New Roman" w:hAnsi="Times New Roman" w:eastAsia="Times New Roman" w:cs="Times New Roman"/>
              <w:sz w:val="20"/>
              <w:szCs w:val="20"/>
            </w:rPr>
          </w:pPr>
          <w:hyperlink w:history="true" w:anchor="bookmark96">
            <w:r>
              <w:rPr>
                <w:rFonts w:ascii="Times New Roman" w:hAnsi="Times New Roman" w:eastAsia="Times New Roman" w:cs="Times New Roman"/>
                <w:sz w:val="20"/>
                <w:szCs w:val="20"/>
                <w:spacing w:val="7"/>
              </w:rPr>
              <w:t>5.2.3 </w:t>
            </w:r>
            <w:r>
              <w:rPr>
                <w:rFonts w:ascii="SimSun" w:hAnsi="SimSun" w:eastAsia="SimSun" w:cs="SimSun"/>
                <w:sz w:val="20"/>
                <w:szCs w:val="20"/>
                <w:spacing w:val="7"/>
              </w:rPr>
              <w:t>地表水环境影响评价结论</w:t>
            </w:r>
            <w:r>
              <w:rPr>
                <w:rFonts w:ascii="SimSun" w:hAnsi="SimSun" w:eastAsia="SimSun" w:cs="SimSun"/>
                <w:sz w:val="20"/>
                <w:szCs w:val="20"/>
                <w:spacing w:val="-57"/>
              </w:rPr>
              <w:t xml:space="preserve"> </w:t>
            </w:r>
            <w:r>
              <w:rPr>
                <w:rFonts w:ascii="SimSun" w:hAnsi="SimSun" w:eastAsia="SimSun" w:cs="SimSun"/>
                <w:sz w:val="20"/>
                <w:szCs w:val="20"/>
              </w:rPr>
              <w:tab/>
            </w:r>
            <w:r>
              <w:rPr>
                <w:rFonts w:ascii="Times New Roman" w:hAnsi="Times New Roman" w:eastAsia="Times New Roman" w:cs="Times New Roman"/>
                <w:sz w:val="20"/>
                <w:szCs w:val="20"/>
                <w:spacing w:val="5"/>
              </w:rPr>
              <w:t>169</w:t>
            </w:r>
          </w:hyperlink>
        </w:p>
      </w:sdtContent>
    </w:sdt>
    <w:p>
      <w:pPr>
        <w:spacing w:line="226" w:lineRule="auto"/>
        <w:sectPr>
          <w:headerReference w:type="default" r:id="rId6"/>
          <w:footerReference w:type="default" r:id="rId7"/>
          <w:pgSz w:w="11907" w:h="16840"/>
          <w:pgMar w:top="1567" w:right="1700" w:bottom="1481" w:left="1701" w:header="1221" w:footer="1247" w:gutter="0"/>
        </w:sectPr>
        <w:rPr>
          <w:rFonts w:ascii="Times New Roman" w:hAnsi="Times New Roman" w:eastAsia="Times New Roman" w:cs="Times New Roman"/>
          <w:sz w:val="20"/>
          <w:szCs w:val="20"/>
        </w:rPr>
      </w:pPr>
    </w:p>
    <w:sdt>
      <w:sdtPr>
        <w:rPr>
          <w:rFonts w:ascii="Times New Roman" w:hAnsi="Times New Roman" w:eastAsia="Times New Roman" w:cs="Times New Roman"/>
          <w:sz w:val="20"/>
          <w:szCs w:val="20"/>
        </w:rPr>
        <w:docPartObj>
          <w:docPartGallery w:val="Table of Contents"/>
          <w:docPartUnique/>
        </w:docPartObj>
      </w:sdtPr>
      <w:sdtEndPr>
        <w:rPr>
          <w:rFonts w:ascii="Times New Roman" w:hAnsi="Times New Roman" w:eastAsia="Times New Roman" w:cs="Times New Roman"/>
          <w:sz w:val="20"/>
          <w:szCs w:val="20"/>
        </w:rPr>
      </w:sdtEndPr>
      <w:sdtContent>
        <w:p>
          <w:pPr>
            <w:ind w:left="970"/>
            <w:spacing w:before="182" w:line="193" w:lineRule="auto"/>
            <w:tabs>
              <w:tab w:val="right" w:leader="dot" w:pos="8505"/>
            </w:tabs>
            <w:rPr>
              <w:rFonts w:ascii="Times New Roman" w:hAnsi="Times New Roman" w:eastAsia="Times New Roman" w:cs="Times New Roman"/>
              <w:sz w:val="20"/>
              <w:szCs w:val="20"/>
            </w:rPr>
          </w:pPr>
          <w:r>
            <w:pict>
              <v:shape id="_x0000_s18" style="position:absolute;margin-left:85.05pt;margin-top:79.11pt;mso-position-vertical-relative:page;mso-position-horizontal-relative:page;width:425.25pt;height:0.75pt;z-index:251664384;" o:allowincell="f" fillcolor="#000000" filled="true" stroked="false" coordsize="8505,15" coordorigin="0,0" path="m,l8505,0l8505,14l0,14l0,0xe"/>
            </w:pict>
          </w:r>
          <w:hyperlink w:history="true" w:anchor="bookmark97">
            <w:r>
              <w:rPr>
                <w:rFonts w:ascii="Times New Roman" w:hAnsi="Times New Roman" w:eastAsia="Times New Roman" w:cs="Times New Roman"/>
                <w:sz w:val="20"/>
                <w:szCs w:val="20"/>
                <w:spacing w:val="7"/>
              </w:rPr>
              <w:t>5.2.4 </w:t>
            </w:r>
            <w:r>
              <w:rPr>
                <w:rFonts w:ascii="SimSun" w:hAnsi="SimSun" w:eastAsia="SimSun" w:cs="SimSun"/>
                <w:sz w:val="20"/>
                <w:szCs w:val="20"/>
                <w:spacing w:val="7"/>
              </w:rPr>
              <w:t>地表水环境影响评价自查表</w:t>
            </w:r>
            <w:r>
              <w:rPr>
                <w:rFonts w:ascii="SimSun" w:hAnsi="SimSun" w:eastAsia="SimSun" w:cs="SimSun"/>
                <w:sz w:val="20"/>
                <w:szCs w:val="20"/>
                <w:spacing w:val="-56"/>
              </w:rPr>
              <w:t xml:space="preserve"> </w:t>
            </w:r>
            <w:r>
              <w:rPr>
                <w:rFonts w:ascii="SimSun" w:hAnsi="SimSun" w:eastAsia="SimSun" w:cs="SimSun"/>
                <w:sz w:val="20"/>
                <w:szCs w:val="20"/>
              </w:rPr>
              <w:tab/>
            </w:r>
            <w:r>
              <w:rPr>
                <w:rFonts w:ascii="Times New Roman" w:hAnsi="Times New Roman" w:eastAsia="Times New Roman" w:cs="Times New Roman"/>
                <w:sz w:val="20"/>
                <w:szCs w:val="20"/>
                <w:spacing w:val="5"/>
              </w:rPr>
              <w:t>170</w:t>
            </w:r>
          </w:hyperlink>
        </w:p>
        <w:p>
          <w:pPr>
            <w:ind w:left="490"/>
            <w:spacing w:before="62" w:line="193" w:lineRule="auto"/>
            <w:tabs>
              <w:tab w:val="right" w:leader="dot" w:pos="8505"/>
            </w:tabs>
            <w:rPr>
              <w:rFonts w:ascii="Times New Roman" w:hAnsi="Times New Roman" w:eastAsia="Times New Roman" w:cs="Times New Roman"/>
              <w:sz w:val="20"/>
              <w:szCs w:val="20"/>
            </w:rPr>
          </w:pPr>
          <w:hyperlink w:history="true" w:anchor="bookmark98">
            <w:r>
              <w:rPr>
                <w:rFonts w:ascii="Times New Roman" w:hAnsi="Times New Roman" w:eastAsia="Times New Roman" w:cs="Times New Roman"/>
                <w:sz w:val="20"/>
                <w:szCs w:val="20"/>
                <w:spacing w:val="7"/>
              </w:rPr>
              <w:t>5.3 </w:t>
            </w:r>
            <w:r>
              <w:rPr>
                <w:rFonts w:ascii="SimSun" w:hAnsi="SimSun" w:eastAsia="SimSun" w:cs="SimSun"/>
                <w:sz w:val="20"/>
                <w:szCs w:val="20"/>
                <w:spacing w:val="7"/>
              </w:rPr>
              <w:t>地下水环境影响预测与评价</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171</w:t>
            </w:r>
          </w:hyperlink>
        </w:p>
        <w:p>
          <w:pPr>
            <w:ind w:left="970"/>
            <w:spacing w:before="62" w:line="194" w:lineRule="auto"/>
            <w:tabs>
              <w:tab w:val="right" w:leader="dot" w:pos="8505"/>
            </w:tabs>
            <w:rPr>
              <w:rFonts w:ascii="Times New Roman" w:hAnsi="Times New Roman" w:eastAsia="Times New Roman" w:cs="Times New Roman"/>
              <w:sz w:val="20"/>
              <w:szCs w:val="20"/>
            </w:rPr>
          </w:pPr>
          <w:hyperlink w:history="true" w:anchor="bookmark99">
            <w:r>
              <w:rPr>
                <w:rFonts w:ascii="Times New Roman" w:hAnsi="Times New Roman" w:eastAsia="Times New Roman" w:cs="Times New Roman"/>
                <w:sz w:val="20"/>
                <w:szCs w:val="20"/>
                <w:spacing w:val="5"/>
              </w:rPr>
              <w:t>5.3.1 </w:t>
            </w:r>
            <w:r>
              <w:rPr>
                <w:rFonts w:ascii="SimSun" w:hAnsi="SimSun" w:eastAsia="SimSun" w:cs="SimSun"/>
                <w:sz w:val="20"/>
                <w:szCs w:val="20"/>
                <w:spacing w:val="5"/>
              </w:rPr>
              <w:t>水文地质条件</w:t>
            </w:r>
            <w:r>
              <w:rPr>
                <w:rFonts w:ascii="SimSun" w:hAnsi="SimSun" w:eastAsia="SimSun" w:cs="SimSun"/>
                <w:sz w:val="20"/>
                <w:szCs w:val="20"/>
                <w:spacing w:val="-50"/>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171</w:t>
            </w:r>
          </w:hyperlink>
        </w:p>
        <w:p>
          <w:pPr>
            <w:ind w:left="970"/>
            <w:spacing w:before="63" w:line="193" w:lineRule="auto"/>
            <w:tabs>
              <w:tab w:val="right" w:leader="dot" w:pos="8505"/>
            </w:tabs>
            <w:rPr>
              <w:rFonts w:ascii="Times New Roman" w:hAnsi="Times New Roman" w:eastAsia="Times New Roman" w:cs="Times New Roman"/>
              <w:sz w:val="20"/>
              <w:szCs w:val="20"/>
            </w:rPr>
          </w:pPr>
          <w:hyperlink w:history="true" w:anchor="bookmark100">
            <w:r>
              <w:rPr>
                <w:rFonts w:ascii="Times New Roman" w:hAnsi="Times New Roman" w:eastAsia="Times New Roman" w:cs="Times New Roman"/>
                <w:sz w:val="20"/>
                <w:szCs w:val="20"/>
                <w:spacing w:val="6"/>
              </w:rPr>
              <w:t>5.3.2 </w:t>
            </w:r>
            <w:r>
              <w:rPr>
                <w:rFonts w:ascii="SimSun" w:hAnsi="SimSun" w:eastAsia="SimSun" w:cs="SimSun"/>
                <w:sz w:val="20"/>
                <w:szCs w:val="20"/>
                <w:spacing w:val="6"/>
              </w:rPr>
              <w:t>地下水影响预测与评价</w:t>
            </w:r>
            <w:r>
              <w:rPr>
                <w:rFonts w:ascii="SimSun" w:hAnsi="SimSun" w:eastAsia="SimSun" w:cs="SimSun"/>
                <w:sz w:val="20"/>
                <w:szCs w:val="20"/>
                <w:spacing w:val="-46"/>
              </w:rPr>
              <w:t xml:space="preserve"> </w:t>
            </w:r>
            <w:r>
              <w:rPr>
                <w:rFonts w:ascii="SimSun" w:hAnsi="SimSun" w:eastAsia="SimSun" w:cs="SimSun"/>
                <w:sz w:val="20"/>
                <w:szCs w:val="20"/>
              </w:rPr>
              <w:tab/>
            </w:r>
            <w:r>
              <w:rPr>
                <w:rFonts w:ascii="Times New Roman" w:hAnsi="Times New Roman" w:eastAsia="Times New Roman" w:cs="Times New Roman"/>
                <w:sz w:val="20"/>
                <w:szCs w:val="20"/>
                <w:spacing w:val="6"/>
              </w:rPr>
              <w:t>187</w:t>
            </w:r>
          </w:hyperlink>
        </w:p>
        <w:p>
          <w:pPr>
            <w:ind w:left="490"/>
            <w:spacing w:before="62" w:line="193" w:lineRule="auto"/>
            <w:tabs>
              <w:tab w:val="right" w:leader="dot" w:pos="8505"/>
            </w:tabs>
            <w:rPr>
              <w:rFonts w:ascii="Times New Roman" w:hAnsi="Times New Roman" w:eastAsia="Times New Roman" w:cs="Times New Roman"/>
              <w:sz w:val="20"/>
              <w:szCs w:val="20"/>
            </w:rPr>
          </w:pPr>
          <w:hyperlink w:history="true" w:anchor="bookmark101">
            <w:r>
              <w:rPr>
                <w:rFonts w:ascii="Times New Roman" w:hAnsi="Times New Roman" w:eastAsia="Times New Roman" w:cs="Times New Roman"/>
                <w:sz w:val="20"/>
                <w:szCs w:val="20"/>
                <w:spacing w:val="7"/>
              </w:rPr>
              <w:t>5.4 </w:t>
            </w:r>
            <w:r>
              <w:rPr>
                <w:rFonts w:ascii="SimSun" w:hAnsi="SimSun" w:eastAsia="SimSun" w:cs="SimSun"/>
                <w:sz w:val="20"/>
                <w:szCs w:val="20"/>
                <w:spacing w:val="7"/>
              </w:rPr>
              <w:t>声环境影响预测与评价</w:t>
            </w:r>
            <w:r>
              <w:rPr>
                <w:rFonts w:ascii="SimSun" w:hAnsi="SimSun" w:eastAsia="SimSun" w:cs="SimSun"/>
                <w:sz w:val="20"/>
                <w:szCs w:val="20"/>
                <w:spacing w:val="-54"/>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208</w:t>
            </w:r>
          </w:hyperlink>
        </w:p>
        <w:p>
          <w:pPr>
            <w:ind w:left="970"/>
            <w:spacing w:before="64" w:line="194" w:lineRule="auto"/>
            <w:tabs>
              <w:tab w:val="right" w:leader="dot" w:pos="8505"/>
            </w:tabs>
            <w:rPr>
              <w:rFonts w:ascii="Times New Roman" w:hAnsi="Times New Roman" w:eastAsia="Times New Roman" w:cs="Times New Roman"/>
              <w:sz w:val="20"/>
              <w:szCs w:val="20"/>
            </w:rPr>
          </w:pPr>
          <w:hyperlink w:history="true" w:anchor="bookmark102">
            <w:r>
              <w:rPr>
                <w:rFonts w:ascii="Times New Roman" w:hAnsi="Times New Roman" w:eastAsia="Times New Roman" w:cs="Times New Roman"/>
                <w:sz w:val="20"/>
                <w:szCs w:val="20"/>
                <w:spacing w:val="5"/>
              </w:rPr>
              <w:t>5.4.1 </w:t>
            </w:r>
            <w:r>
              <w:rPr>
                <w:rFonts w:ascii="SimSun" w:hAnsi="SimSun" w:eastAsia="SimSun" w:cs="SimSun"/>
                <w:sz w:val="20"/>
                <w:szCs w:val="20"/>
                <w:spacing w:val="5"/>
              </w:rPr>
              <w:t>主要噪声源强</w:t>
            </w:r>
            <w:r>
              <w:rPr>
                <w:rFonts w:ascii="SimSun" w:hAnsi="SimSun" w:eastAsia="SimSun" w:cs="SimSun"/>
                <w:sz w:val="20"/>
                <w:szCs w:val="20"/>
                <w:spacing w:val="-50"/>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208</w:t>
            </w:r>
          </w:hyperlink>
        </w:p>
        <w:p>
          <w:pPr>
            <w:ind w:left="970"/>
            <w:spacing w:before="63" w:line="193" w:lineRule="auto"/>
            <w:tabs>
              <w:tab w:val="right" w:leader="dot" w:pos="8505"/>
            </w:tabs>
            <w:rPr>
              <w:rFonts w:ascii="Times New Roman" w:hAnsi="Times New Roman" w:eastAsia="Times New Roman" w:cs="Times New Roman"/>
              <w:sz w:val="20"/>
              <w:szCs w:val="20"/>
            </w:rPr>
          </w:pPr>
          <w:hyperlink w:history="true" w:anchor="bookmark103">
            <w:r>
              <w:rPr>
                <w:rFonts w:ascii="Times New Roman" w:hAnsi="Times New Roman" w:eastAsia="Times New Roman" w:cs="Times New Roman"/>
                <w:sz w:val="20"/>
                <w:szCs w:val="20"/>
                <w:spacing w:val="4"/>
              </w:rPr>
              <w:t>5.4.2 </w:t>
            </w:r>
            <w:r>
              <w:rPr>
                <w:rFonts w:ascii="SimSun" w:hAnsi="SimSun" w:eastAsia="SimSun" w:cs="SimSun"/>
                <w:sz w:val="20"/>
                <w:szCs w:val="20"/>
                <w:spacing w:val="4"/>
              </w:rPr>
              <w:t>预测模式</w:t>
            </w:r>
            <w:r>
              <w:rPr>
                <w:rFonts w:ascii="SimSun" w:hAnsi="SimSun" w:eastAsia="SimSun" w:cs="SimSun"/>
                <w:sz w:val="20"/>
                <w:szCs w:val="20"/>
                <w:spacing w:val="-50"/>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208</w:t>
            </w:r>
          </w:hyperlink>
        </w:p>
        <w:p>
          <w:pPr>
            <w:ind w:left="970"/>
            <w:spacing w:before="62" w:line="193" w:lineRule="auto"/>
            <w:tabs>
              <w:tab w:val="right" w:leader="dot" w:pos="8505"/>
            </w:tabs>
            <w:rPr>
              <w:rFonts w:ascii="Times New Roman" w:hAnsi="Times New Roman" w:eastAsia="Times New Roman" w:cs="Times New Roman"/>
              <w:sz w:val="20"/>
              <w:szCs w:val="20"/>
            </w:rPr>
          </w:pPr>
          <w:hyperlink w:history="true" w:anchor="bookmark104">
            <w:r>
              <w:rPr>
                <w:rFonts w:ascii="Times New Roman" w:hAnsi="Times New Roman" w:eastAsia="Times New Roman" w:cs="Times New Roman"/>
                <w:sz w:val="20"/>
                <w:szCs w:val="20"/>
                <w:spacing w:val="4"/>
              </w:rPr>
              <w:t>5.4.3 </w:t>
            </w:r>
            <w:r>
              <w:rPr>
                <w:rFonts w:ascii="SimSun" w:hAnsi="SimSun" w:eastAsia="SimSun" w:cs="SimSun"/>
                <w:sz w:val="20"/>
                <w:szCs w:val="20"/>
                <w:spacing w:val="4"/>
              </w:rPr>
              <w:t>预测结果</w:t>
            </w:r>
            <w:r>
              <w:rPr>
                <w:rFonts w:ascii="SimSun" w:hAnsi="SimSun" w:eastAsia="SimSun" w:cs="SimSun"/>
                <w:sz w:val="20"/>
                <w:szCs w:val="20"/>
                <w:spacing w:val="-50"/>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213</w:t>
            </w:r>
          </w:hyperlink>
        </w:p>
        <w:p>
          <w:pPr>
            <w:ind w:left="970"/>
            <w:spacing w:before="62" w:line="194" w:lineRule="auto"/>
            <w:tabs>
              <w:tab w:val="right" w:leader="dot" w:pos="8505"/>
            </w:tabs>
            <w:rPr>
              <w:rFonts w:ascii="Times New Roman" w:hAnsi="Times New Roman" w:eastAsia="Times New Roman" w:cs="Times New Roman"/>
              <w:sz w:val="20"/>
              <w:szCs w:val="20"/>
            </w:rPr>
          </w:pPr>
          <w:hyperlink w:history="true" w:anchor="bookmark105">
            <w:r>
              <w:rPr>
                <w:rFonts w:ascii="Times New Roman" w:hAnsi="Times New Roman" w:eastAsia="Times New Roman" w:cs="Times New Roman"/>
                <w:sz w:val="20"/>
                <w:szCs w:val="20"/>
                <w:spacing w:val="1"/>
              </w:rPr>
              <w:t>5.4.4</w:t>
            </w:r>
            <w:r>
              <w:rPr>
                <w:rFonts w:ascii="Times New Roman" w:hAnsi="Times New Roman" w:eastAsia="Times New Roman" w:cs="Times New Roman"/>
                <w:sz w:val="20"/>
                <w:szCs w:val="20"/>
                <w:spacing w:val="20"/>
              </w:rPr>
              <w:t xml:space="preserve"> </w:t>
            </w:r>
            <w:r>
              <w:rPr>
                <w:rFonts w:ascii="SimSun" w:hAnsi="SimSun" w:eastAsia="SimSun" w:cs="SimSun"/>
                <w:sz w:val="20"/>
                <w:szCs w:val="20"/>
                <w:spacing w:val="1"/>
              </w:rPr>
              <w:t>小结</w:t>
            </w:r>
            <w:r>
              <w:rPr>
                <w:rFonts w:ascii="SimSun" w:hAnsi="SimSun" w:eastAsia="SimSun" w:cs="SimSun"/>
                <w:sz w:val="20"/>
                <w:szCs w:val="20"/>
                <w:spacing w:val="-57"/>
              </w:rPr>
              <w:t xml:space="preserve"> </w:t>
            </w:r>
            <w:r>
              <w:rPr>
                <w:rFonts w:ascii="SimSun" w:hAnsi="SimSun" w:eastAsia="SimSun" w:cs="SimSun"/>
                <w:sz w:val="20"/>
                <w:szCs w:val="20"/>
              </w:rPr>
              <w:tab/>
            </w:r>
            <w:r>
              <w:rPr>
                <w:rFonts w:ascii="SimSun" w:hAnsi="SimSun" w:eastAsia="SimSun" w:cs="SimSun"/>
                <w:sz w:val="20"/>
                <w:szCs w:val="20"/>
                <w:spacing w:val="-74"/>
              </w:rPr>
              <w:t xml:space="preserve"> </w:t>
            </w:r>
            <w:r>
              <w:rPr>
                <w:rFonts w:ascii="Times New Roman" w:hAnsi="Times New Roman" w:eastAsia="Times New Roman" w:cs="Times New Roman"/>
                <w:sz w:val="20"/>
                <w:szCs w:val="20"/>
                <w:spacing w:val="3"/>
              </w:rPr>
              <w:t>214</w:t>
            </w:r>
          </w:hyperlink>
        </w:p>
        <w:p>
          <w:pPr>
            <w:ind w:left="490"/>
            <w:spacing w:before="64" w:line="193" w:lineRule="auto"/>
            <w:tabs>
              <w:tab w:val="right" w:leader="dot" w:pos="8505"/>
            </w:tabs>
            <w:rPr>
              <w:rFonts w:ascii="Times New Roman" w:hAnsi="Times New Roman" w:eastAsia="Times New Roman" w:cs="Times New Roman"/>
              <w:sz w:val="20"/>
              <w:szCs w:val="20"/>
            </w:rPr>
          </w:pPr>
          <w:hyperlink w:history="true" w:anchor="bookmark106">
            <w:r>
              <w:rPr>
                <w:rFonts w:ascii="Times New Roman" w:hAnsi="Times New Roman" w:eastAsia="Times New Roman" w:cs="Times New Roman"/>
                <w:sz w:val="20"/>
                <w:szCs w:val="20"/>
                <w:spacing w:val="5"/>
              </w:rPr>
              <w:t>5.5</w:t>
            </w:r>
            <w:r>
              <w:rPr>
                <w:rFonts w:ascii="Times New Roman" w:hAnsi="Times New Roman" w:eastAsia="Times New Roman" w:cs="Times New Roman"/>
                <w:sz w:val="20"/>
                <w:szCs w:val="20"/>
                <w:spacing w:val="32"/>
              </w:rPr>
              <w:t xml:space="preserve"> </w:t>
            </w:r>
            <w:r>
              <w:rPr>
                <w:rFonts w:ascii="SimSun" w:hAnsi="SimSun" w:eastAsia="SimSun" w:cs="SimSun"/>
                <w:sz w:val="20"/>
                <w:szCs w:val="20"/>
                <w:spacing w:val="5"/>
              </w:rPr>
              <w:t>固体废弃物影响分析</w:t>
            </w:r>
            <w:r>
              <w:rPr>
                <w:rFonts w:ascii="SimSun" w:hAnsi="SimSun" w:eastAsia="SimSun" w:cs="SimSun"/>
                <w:sz w:val="20"/>
                <w:szCs w:val="20"/>
                <w:spacing w:val="-59"/>
              </w:rPr>
              <w:t xml:space="preserve"> </w:t>
            </w:r>
            <w:r>
              <w:rPr>
                <w:rFonts w:ascii="SimSun" w:hAnsi="SimSun" w:eastAsia="SimSun" w:cs="SimSun"/>
                <w:sz w:val="20"/>
                <w:szCs w:val="20"/>
              </w:rPr>
              <w:tab/>
            </w:r>
            <w:r>
              <w:rPr>
                <w:rFonts w:ascii="Times New Roman" w:hAnsi="Times New Roman" w:eastAsia="Times New Roman" w:cs="Times New Roman"/>
                <w:sz w:val="20"/>
                <w:szCs w:val="20"/>
                <w:spacing w:val="11"/>
              </w:rPr>
              <w:t>215</w:t>
            </w:r>
          </w:hyperlink>
        </w:p>
        <w:p>
          <w:pPr>
            <w:ind w:left="970"/>
            <w:spacing w:before="62" w:line="193" w:lineRule="auto"/>
            <w:tabs>
              <w:tab w:val="right" w:leader="dot" w:pos="8505"/>
            </w:tabs>
            <w:rPr>
              <w:rFonts w:ascii="Times New Roman" w:hAnsi="Times New Roman" w:eastAsia="Times New Roman" w:cs="Times New Roman"/>
              <w:sz w:val="20"/>
              <w:szCs w:val="20"/>
            </w:rPr>
          </w:pPr>
          <w:hyperlink w:history="true" w:anchor="bookmark107">
            <w:r>
              <w:rPr>
                <w:rFonts w:ascii="Times New Roman" w:hAnsi="Times New Roman" w:eastAsia="Times New Roman" w:cs="Times New Roman"/>
                <w:sz w:val="20"/>
                <w:szCs w:val="20"/>
                <w:spacing w:val="6"/>
              </w:rPr>
              <w:t>5.5.1 </w:t>
            </w:r>
            <w:r>
              <w:rPr>
                <w:rFonts w:ascii="SimSun" w:hAnsi="SimSun" w:eastAsia="SimSun" w:cs="SimSun"/>
                <w:sz w:val="20"/>
                <w:szCs w:val="20"/>
                <w:spacing w:val="6"/>
              </w:rPr>
              <w:t>一般固体废物处置措施</w:t>
            </w:r>
            <w:r>
              <w:rPr>
                <w:rFonts w:ascii="SimSun" w:hAnsi="SimSun" w:eastAsia="SimSun" w:cs="SimSun"/>
                <w:sz w:val="20"/>
                <w:szCs w:val="20"/>
                <w:spacing w:val="-46"/>
              </w:rPr>
              <w:t xml:space="preserve"> </w:t>
            </w:r>
            <w:r>
              <w:rPr>
                <w:rFonts w:ascii="SimSun" w:hAnsi="SimSun" w:eastAsia="SimSun" w:cs="SimSun"/>
                <w:sz w:val="20"/>
                <w:szCs w:val="20"/>
              </w:rPr>
              <w:tab/>
            </w:r>
            <w:r>
              <w:rPr>
                <w:rFonts w:ascii="Times New Roman" w:hAnsi="Times New Roman" w:eastAsia="Times New Roman" w:cs="Times New Roman"/>
                <w:sz w:val="20"/>
                <w:szCs w:val="20"/>
                <w:spacing w:val="6"/>
              </w:rPr>
              <w:t>216</w:t>
            </w:r>
          </w:hyperlink>
        </w:p>
        <w:p>
          <w:pPr>
            <w:ind w:left="970"/>
            <w:spacing w:before="64" w:line="194" w:lineRule="auto"/>
            <w:tabs>
              <w:tab w:val="right" w:leader="dot" w:pos="8505"/>
            </w:tabs>
            <w:rPr>
              <w:rFonts w:ascii="Times New Roman" w:hAnsi="Times New Roman" w:eastAsia="Times New Roman" w:cs="Times New Roman"/>
              <w:sz w:val="20"/>
              <w:szCs w:val="20"/>
            </w:rPr>
          </w:pPr>
          <w:hyperlink w:history="true" w:anchor="bookmark108">
            <w:r>
              <w:rPr>
                <w:rFonts w:ascii="Times New Roman" w:hAnsi="Times New Roman" w:eastAsia="Times New Roman" w:cs="Times New Roman"/>
                <w:sz w:val="20"/>
                <w:szCs w:val="20"/>
                <w:spacing w:val="6"/>
              </w:rPr>
              <w:t>5.5.2 </w:t>
            </w:r>
            <w:r>
              <w:rPr>
                <w:rFonts w:ascii="SimSun" w:hAnsi="SimSun" w:eastAsia="SimSun" w:cs="SimSun"/>
                <w:sz w:val="20"/>
                <w:szCs w:val="20"/>
                <w:spacing w:val="6"/>
              </w:rPr>
              <w:t>危险废物治理措施</w:t>
            </w:r>
            <w:r>
              <w:rPr>
                <w:rFonts w:ascii="SimSun" w:hAnsi="SimSun" w:eastAsia="SimSun" w:cs="SimSun"/>
                <w:sz w:val="20"/>
                <w:szCs w:val="20"/>
                <w:spacing w:val="-54"/>
              </w:rPr>
              <w:t xml:space="preserve"> </w:t>
            </w:r>
            <w:r>
              <w:rPr>
                <w:rFonts w:ascii="SimSun" w:hAnsi="SimSun" w:eastAsia="SimSun" w:cs="SimSun"/>
                <w:sz w:val="20"/>
                <w:szCs w:val="20"/>
              </w:rPr>
              <w:tab/>
            </w:r>
            <w:r>
              <w:rPr>
                <w:rFonts w:ascii="Times New Roman" w:hAnsi="Times New Roman" w:eastAsia="Times New Roman" w:cs="Times New Roman"/>
                <w:sz w:val="20"/>
                <w:szCs w:val="20"/>
                <w:spacing w:val="8"/>
              </w:rPr>
              <w:t>217</w:t>
            </w:r>
          </w:hyperlink>
        </w:p>
        <w:p>
          <w:pPr>
            <w:ind w:left="970"/>
            <w:spacing w:before="62" w:line="193" w:lineRule="auto"/>
            <w:tabs>
              <w:tab w:val="right" w:leader="dot" w:pos="8505"/>
            </w:tabs>
            <w:rPr>
              <w:rFonts w:ascii="Times New Roman" w:hAnsi="Times New Roman" w:eastAsia="Times New Roman" w:cs="Times New Roman"/>
              <w:sz w:val="20"/>
              <w:szCs w:val="20"/>
            </w:rPr>
          </w:pPr>
          <w:hyperlink w:history="true" w:anchor="bookmark109">
            <w:r>
              <w:rPr>
                <w:rFonts w:ascii="Times New Roman" w:hAnsi="Times New Roman" w:eastAsia="Times New Roman" w:cs="Times New Roman"/>
                <w:sz w:val="20"/>
                <w:szCs w:val="20"/>
                <w:spacing w:val="6"/>
              </w:rPr>
              <w:t>5.5.3 </w:t>
            </w:r>
            <w:r>
              <w:rPr>
                <w:rFonts w:ascii="SimSun" w:hAnsi="SimSun" w:eastAsia="SimSun" w:cs="SimSun"/>
                <w:sz w:val="20"/>
                <w:szCs w:val="20"/>
                <w:spacing w:val="6"/>
              </w:rPr>
              <w:t>其他固废治理措施</w:t>
            </w:r>
            <w:r>
              <w:rPr>
                <w:rFonts w:ascii="SimSun" w:hAnsi="SimSun" w:eastAsia="SimSun" w:cs="SimSun"/>
                <w:sz w:val="20"/>
                <w:szCs w:val="20"/>
                <w:spacing w:val="-54"/>
              </w:rPr>
              <w:t xml:space="preserve"> </w:t>
            </w:r>
            <w:r>
              <w:rPr>
                <w:rFonts w:ascii="SimSun" w:hAnsi="SimSun" w:eastAsia="SimSun" w:cs="SimSun"/>
                <w:sz w:val="20"/>
                <w:szCs w:val="20"/>
              </w:rPr>
              <w:tab/>
            </w:r>
            <w:r>
              <w:rPr>
                <w:rFonts w:ascii="Times New Roman" w:hAnsi="Times New Roman" w:eastAsia="Times New Roman" w:cs="Times New Roman"/>
                <w:sz w:val="20"/>
                <w:szCs w:val="20"/>
                <w:spacing w:val="8"/>
              </w:rPr>
              <w:t>218</w:t>
            </w:r>
          </w:hyperlink>
        </w:p>
        <w:p>
          <w:pPr>
            <w:ind w:left="970"/>
            <w:spacing w:before="64" w:line="193" w:lineRule="auto"/>
            <w:tabs>
              <w:tab w:val="right" w:leader="dot" w:pos="8505"/>
            </w:tabs>
            <w:rPr>
              <w:rFonts w:ascii="Times New Roman" w:hAnsi="Times New Roman" w:eastAsia="Times New Roman" w:cs="Times New Roman"/>
              <w:sz w:val="20"/>
              <w:szCs w:val="20"/>
            </w:rPr>
          </w:pPr>
          <w:hyperlink w:history="true" w:anchor="bookmark110">
            <w:r>
              <w:rPr>
                <w:rFonts w:ascii="Times New Roman" w:hAnsi="Times New Roman" w:eastAsia="Times New Roman" w:cs="Times New Roman"/>
                <w:sz w:val="20"/>
                <w:szCs w:val="20"/>
                <w:spacing w:val="5"/>
              </w:rPr>
              <w:t>5.5.4 </w:t>
            </w:r>
            <w:r>
              <w:rPr>
                <w:rFonts w:ascii="SimSun" w:hAnsi="SimSun" w:eastAsia="SimSun" w:cs="SimSun"/>
                <w:sz w:val="20"/>
                <w:szCs w:val="20"/>
                <w:spacing w:val="5"/>
              </w:rPr>
              <w:t>环境影响分析</w:t>
            </w:r>
            <w:r>
              <w:rPr>
                <w:rFonts w:ascii="SimSun" w:hAnsi="SimSun" w:eastAsia="SimSun" w:cs="SimSun"/>
                <w:sz w:val="20"/>
                <w:szCs w:val="20"/>
                <w:spacing w:val="-50"/>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218</w:t>
            </w:r>
          </w:hyperlink>
        </w:p>
        <w:p>
          <w:pPr>
            <w:ind w:left="490"/>
            <w:spacing w:before="62" w:line="194" w:lineRule="auto"/>
            <w:tabs>
              <w:tab w:val="right" w:leader="dot" w:pos="8505"/>
            </w:tabs>
            <w:rPr>
              <w:rFonts w:ascii="Times New Roman" w:hAnsi="Times New Roman" w:eastAsia="Times New Roman" w:cs="Times New Roman"/>
              <w:sz w:val="20"/>
              <w:szCs w:val="20"/>
            </w:rPr>
          </w:pPr>
          <w:hyperlink w:history="true" w:anchor="bookmark111">
            <w:r>
              <w:rPr>
                <w:rFonts w:ascii="Times New Roman" w:hAnsi="Times New Roman" w:eastAsia="Times New Roman" w:cs="Times New Roman"/>
                <w:sz w:val="20"/>
                <w:szCs w:val="20"/>
                <w:spacing w:val="6"/>
              </w:rPr>
              <w:t>5.6 </w:t>
            </w:r>
            <w:r>
              <w:rPr>
                <w:rFonts w:ascii="SimSun" w:hAnsi="SimSun" w:eastAsia="SimSun" w:cs="SimSun"/>
                <w:sz w:val="20"/>
                <w:szCs w:val="20"/>
                <w:spacing w:val="6"/>
              </w:rPr>
              <w:t>土壤环境影响分析</w:t>
            </w:r>
            <w:r>
              <w:rPr>
                <w:rFonts w:ascii="SimSun" w:hAnsi="SimSun" w:eastAsia="SimSun" w:cs="SimSun"/>
                <w:sz w:val="20"/>
                <w:szCs w:val="20"/>
                <w:spacing w:val="-48"/>
              </w:rPr>
              <w:t xml:space="preserve"> </w:t>
            </w:r>
            <w:r>
              <w:rPr>
                <w:rFonts w:ascii="SimSun" w:hAnsi="SimSun" w:eastAsia="SimSun" w:cs="SimSun"/>
                <w:sz w:val="20"/>
                <w:szCs w:val="20"/>
              </w:rPr>
              <w:tab/>
            </w:r>
            <w:r>
              <w:rPr>
                <w:rFonts w:ascii="SimSun" w:hAnsi="SimSun" w:eastAsia="SimSun" w:cs="SimSun"/>
                <w:sz w:val="20"/>
                <w:szCs w:val="20"/>
                <w:spacing w:val="-74"/>
              </w:rPr>
              <w:t xml:space="preserve"> </w:t>
            </w:r>
            <w:r>
              <w:rPr>
                <w:rFonts w:ascii="Times New Roman" w:hAnsi="Times New Roman" w:eastAsia="Times New Roman" w:cs="Times New Roman"/>
                <w:sz w:val="20"/>
                <w:szCs w:val="20"/>
                <w:spacing w:val="3"/>
              </w:rPr>
              <w:t>219</w:t>
            </w:r>
          </w:hyperlink>
        </w:p>
        <w:p>
          <w:pPr>
            <w:ind w:left="970"/>
            <w:spacing w:before="64" w:line="193" w:lineRule="auto"/>
            <w:tabs>
              <w:tab w:val="right" w:leader="dot" w:pos="8505"/>
            </w:tabs>
            <w:rPr>
              <w:rFonts w:ascii="Times New Roman" w:hAnsi="Times New Roman" w:eastAsia="Times New Roman" w:cs="Times New Roman"/>
              <w:sz w:val="20"/>
              <w:szCs w:val="20"/>
            </w:rPr>
          </w:pPr>
          <w:hyperlink w:history="true" w:anchor="bookmark112">
            <w:r>
              <w:rPr>
                <w:rFonts w:ascii="Times New Roman" w:hAnsi="Times New Roman" w:eastAsia="Times New Roman" w:cs="Times New Roman"/>
                <w:sz w:val="20"/>
                <w:szCs w:val="20"/>
                <w:spacing w:val="6"/>
              </w:rPr>
              <w:t>5.6.1 </w:t>
            </w:r>
            <w:r>
              <w:rPr>
                <w:rFonts w:ascii="SimSun" w:hAnsi="SimSun" w:eastAsia="SimSun" w:cs="SimSun"/>
                <w:sz w:val="20"/>
                <w:szCs w:val="20"/>
                <w:spacing w:val="6"/>
              </w:rPr>
              <w:t>土壤环境污染途径分析</w:t>
            </w:r>
            <w:r>
              <w:rPr>
                <w:rFonts w:ascii="SimSun" w:hAnsi="SimSun" w:eastAsia="SimSun" w:cs="SimSun"/>
                <w:sz w:val="20"/>
                <w:szCs w:val="20"/>
                <w:spacing w:val="-46"/>
              </w:rPr>
              <w:t xml:space="preserve"> </w:t>
            </w:r>
            <w:r>
              <w:rPr>
                <w:rFonts w:ascii="SimSun" w:hAnsi="SimSun" w:eastAsia="SimSun" w:cs="SimSun"/>
                <w:sz w:val="20"/>
                <w:szCs w:val="20"/>
              </w:rPr>
              <w:tab/>
            </w:r>
            <w:r>
              <w:rPr>
                <w:rFonts w:ascii="Times New Roman" w:hAnsi="Times New Roman" w:eastAsia="Times New Roman" w:cs="Times New Roman"/>
                <w:sz w:val="20"/>
                <w:szCs w:val="20"/>
                <w:spacing w:val="6"/>
              </w:rPr>
              <w:t>219</w:t>
            </w:r>
          </w:hyperlink>
        </w:p>
        <w:p>
          <w:pPr>
            <w:ind w:left="970"/>
            <w:spacing w:before="62" w:line="193" w:lineRule="auto"/>
            <w:tabs>
              <w:tab w:val="right" w:leader="dot" w:pos="8505"/>
            </w:tabs>
            <w:rPr>
              <w:rFonts w:ascii="Times New Roman" w:hAnsi="Times New Roman" w:eastAsia="Times New Roman" w:cs="Times New Roman"/>
              <w:sz w:val="20"/>
              <w:szCs w:val="20"/>
            </w:rPr>
          </w:pPr>
          <w:hyperlink w:history="true" w:anchor="bookmark113">
            <w:r>
              <w:rPr>
                <w:rFonts w:ascii="Times New Roman" w:hAnsi="Times New Roman" w:eastAsia="Times New Roman" w:cs="Times New Roman"/>
                <w:sz w:val="20"/>
                <w:szCs w:val="20"/>
                <w:spacing w:val="6"/>
              </w:rPr>
              <w:t>5.6.2 </w:t>
            </w:r>
            <w:r>
              <w:rPr>
                <w:rFonts w:ascii="SimSun" w:hAnsi="SimSun" w:eastAsia="SimSun" w:cs="SimSun"/>
                <w:sz w:val="20"/>
                <w:szCs w:val="20"/>
                <w:spacing w:val="6"/>
              </w:rPr>
              <w:t>土壤环境影响分析</w:t>
            </w:r>
            <w:r>
              <w:rPr>
                <w:rFonts w:ascii="SimSun" w:hAnsi="SimSun" w:eastAsia="SimSun" w:cs="SimSun"/>
                <w:sz w:val="20"/>
                <w:szCs w:val="20"/>
                <w:spacing w:val="-54"/>
              </w:rPr>
              <w:t xml:space="preserve"> </w:t>
            </w:r>
            <w:r>
              <w:rPr>
                <w:rFonts w:ascii="SimSun" w:hAnsi="SimSun" w:eastAsia="SimSun" w:cs="SimSun"/>
                <w:sz w:val="20"/>
                <w:szCs w:val="20"/>
              </w:rPr>
              <w:tab/>
            </w:r>
            <w:r>
              <w:rPr>
                <w:rFonts w:ascii="Times New Roman" w:hAnsi="Times New Roman" w:eastAsia="Times New Roman" w:cs="Times New Roman"/>
                <w:sz w:val="20"/>
                <w:szCs w:val="20"/>
                <w:spacing w:val="8"/>
              </w:rPr>
              <w:t>220</w:t>
            </w:r>
          </w:hyperlink>
        </w:p>
        <w:p>
          <w:pPr>
            <w:ind w:left="490"/>
            <w:spacing w:before="62" w:line="194" w:lineRule="auto"/>
            <w:tabs>
              <w:tab w:val="right" w:leader="dot" w:pos="8505"/>
            </w:tabs>
            <w:rPr>
              <w:rFonts w:ascii="Times New Roman" w:hAnsi="Times New Roman" w:eastAsia="Times New Roman" w:cs="Times New Roman"/>
              <w:sz w:val="20"/>
              <w:szCs w:val="20"/>
            </w:rPr>
          </w:pPr>
          <w:hyperlink w:history="true" w:anchor="bookmark114">
            <w:r>
              <w:rPr>
                <w:rFonts w:ascii="Times New Roman" w:hAnsi="Times New Roman" w:eastAsia="Times New Roman" w:cs="Times New Roman"/>
                <w:sz w:val="20"/>
                <w:szCs w:val="20"/>
                <w:spacing w:val="6"/>
              </w:rPr>
              <w:t>5.7 </w:t>
            </w:r>
            <w:r>
              <w:rPr>
                <w:rFonts w:ascii="SimSun" w:hAnsi="SimSun" w:eastAsia="SimSun" w:cs="SimSun"/>
                <w:sz w:val="20"/>
                <w:szCs w:val="20"/>
                <w:spacing w:val="6"/>
              </w:rPr>
              <w:t>生态环境影响评价</w:t>
            </w:r>
            <w:r>
              <w:rPr>
                <w:rFonts w:ascii="SimSun" w:hAnsi="SimSun" w:eastAsia="SimSun" w:cs="SimSun"/>
                <w:sz w:val="20"/>
                <w:szCs w:val="20"/>
                <w:spacing w:val="-48"/>
              </w:rPr>
              <w:t xml:space="preserve"> </w:t>
            </w:r>
            <w:r>
              <w:rPr>
                <w:rFonts w:ascii="SimSun" w:hAnsi="SimSun" w:eastAsia="SimSun" w:cs="SimSun"/>
                <w:sz w:val="20"/>
                <w:szCs w:val="20"/>
              </w:rPr>
              <w:tab/>
            </w:r>
            <w:r>
              <w:rPr>
                <w:rFonts w:ascii="SimSun" w:hAnsi="SimSun" w:eastAsia="SimSun" w:cs="SimSun"/>
                <w:sz w:val="20"/>
                <w:szCs w:val="20"/>
                <w:spacing w:val="-74"/>
              </w:rPr>
              <w:t xml:space="preserve"> </w:t>
            </w:r>
            <w:r>
              <w:rPr>
                <w:rFonts w:ascii="Times New Roman" w:hAnsi="Times New Roman" w:eastAsia="Times New Roman" w:cs="Times New Roman"/>
                <w:sz w:val="20"/>
                <w:szCs w:val="20"/>
                <w:spacing w:val="3"/>
              </w:rPr>
              <w:t>227</w:t>
            </w:r>
          </w:hyperlink>
        </w:p>
        <w:p>
          <w:pPr>
            <w:ind w:left="490"/>
            <w:spacing w:before="63" w:line="193" w:lineRule="auto"/>
            <w:tabs>
              <w:tab w:val="right" w:leader="dot" w:pos="8505"/>
            </w:tabs>
            <w:rPr>
              <w:rFonts w:ascii="Times New Roman" w:hAnsi="Times New Roman" w:eastAsia="Times New Roman" w:cs="Times New Roman"/>
              <w:sz w:val="20"/>
              <w:szCs w:val="20"/>
            </w:rPr>
          </w:pPr>
          <w:hyperlink w:history="true" w:anchor="bookmark115">
            <w:r>
              <w:rPr>
                <w:rFonts w:ascii="Times New Roman" w:hAnsi="Times New Roman" w:eastAsia="Times New Roman" w:cs="Times New Roman"/>
                <w:sz w:val="20"/>
                <w:szCs w:val="20"/>
                <w:spacing w:val="7"/>
              </w:rPr>
              <w:t>5.8 </w:t>
            </w:r>
            <w:r>
              <w:rPr>
                <w:rFonts w:ascii="SimSun" w:hAnsi="SimSun" w:eastAsia="SimSun" w:cs="SimSun"/>
                <w:sz w:val="20"/>
                <w:szCs w:val="20"/>
                <w:spacing w:val="7"/>
              </w:rPr>
              <w:t>施工期环境影响分析</w:t>
            </w:r>
            <w:r>
              <w:rPr>
                <w:rFonts w:ascii="SimSun" w:hAnsi="SimSun" w:eastAsia="SimSun" w:cs="SimSun"/>
                <w:sz w:val="20"/>
                <w:szCs w:val="20"/>
                <w:spacing w:val="-58"/>
              </w:rPr>
              <w:t xml:space="preserve"> </w:t>
            </w:r>
            <w:r>
              <w:rPr>
                <w:rFonts w:ascii="SimSun" w:hAnsi="SimSun" w:eastAsia="SimSun" w:cs="SimSun"/>
                <w:sz w:val="20"/>
                <w:szCs w:val="20"/>
              </w:rPr>
              <w:tab/>
            </w:r>
            <w:r>
              <w:rPr>
                <w:rFonts w:ascii="Times New Roman" w:hAnsi="Times New Roman" w:eastAsia="Times New Roman" w:cs="Times New Roman"/>
                <w:sz w:val="20"/>
                <w:szCs w:val="20"/>
                <w:spacing w:val="11"/>
              </w:rPr>
              <w:t>229</w:t>
            </w:r>
          </w:hyperlink>
        </w:p>
        <w:p>
          <w:pPr>
            <w:ind w:left="970"/>
            <w:spacing w:before="65" w:line="193" w:lineRule="auto"/>
            <w:tabs>
              <w:tab w:val="right" w:leader="dot" w:pos="8505"/>
            </w:tabs>
            <w:rPr>
              <w:rFonts w:ascii="Times New Roman" w:hAnsi="Times New Roman" w:eastAsia="Times New Roman" w:cs="Times New Roman"/>
              <w:sz w:val="20"/>
              <w:szCs w:val="20"/>
            </w:rPr>
          </w:pPr>
          <w:hyperlink w:history="true" w:anchor="bookmark116">
            <w:r>
              <w:rPr>
                <w:rFonts w:ascii="Times New Roman" w:hAnsi="Times New Roman" w:eastAsia="Times New Roman" w:cs="Times New Roman"/>
                <w:sz w:val="20"/>
                <w:szCs w:val="20"/>
                <w:spacing w:val="7"/>
              </w:rPr>
              <w:t>5.8.1 </w:t>
            </w:r>
            <w:r>
              <w:rPr>
                <w:rFonts w:ascii="SimSun" w:hAnsi="SimSun" w:eastAsia="SimSun" w:cs="SimSun"/>
                <w:sz w:val="20"/>
                <w:szCs w:val="20"/>
                <w:spacing w:val="7"/>
              </w:rPr>
              <w:t>施工期环境空气影响分析</w:t>
            </w:r>
            <w:r>
              <w:rPr>
                <w:rFonts w:ascii="SimSun" w:hAnsi="SimSun" w:eastAsia="SimSun" w:cs="SimSun"/>
                <w:sz w:val="20"/>
                <w:szCs w:val="20"/>
                <w:spacing w:val="-57"/>
              </w:rPr>
              <w:t xml:space="preserve"> </w:t>
            </w:r>
            <w:r>
              <w:rPr>
                <w:rFonts w:ascii="SimSun" w:hAnsi="SimSun" w:eastAsia="SimSun" w:cs="SimSun"/>
                <w:sz w:val="20"/>
                <w:szCs w:val="20"/>
              </w:rPr>
              <w:tab/>
            </w:r>
            <w:r>
              <w:rPr>
                <w:rFonts w:ascii="Times New Roman" w:hAnsi="Times New Roman" w:eastAsia="Times New Roman" w:cs="Times New Roman"/>
                <w:sz w:val="20"/>
                <w:szCs w:val="20"/>
                <w:spacing w:val="5"/>
              </w:rPr>
              <w:t>229</w:t>
            </w:r>
          </w:hyperlink>
        </w:p>
        <w:p>
          <w:pPr>
            <w:ind w:left="970"/>
            <w:spacing w:before="62" w:line="194" w:lineRule="auto"/>
            <w:tabs>
              <w:tab w:val="right" w:leader="dot" w:pos="8505"/>
            </w:tabs>
            <w:rPr>
              <w:rFonts w:ascii="Times New Roman" w:hAnsi="Times New Roman" w:eastAsia="Times New Roman" w:cs="Times New Roman"/>
              <w:sz w:val="20"/>
              <w:szCs w:val="20"/>
            </w:rPr>
          </w:pPr>
          <w:hyperlink w:history="true" w:anchor="bookmark117">
            <w:r>
              <w:rPr>
                <w:rFonts w:ascii="Times New Roman" w:hAnsi="Times New Roman" w:eastAsia="Times New Roman" w:cs="Times New Roman"/>
                <w:sz w:val="20"/>
                <w:szCs w:val="20"/>
                <w:spacing w:val="6"/>
              </w:rPr>
              <w:t>5.8.2 </w:t>
            </w:r>
            <w:r>
              <w:rPr>
                <w:rFonts w:ascii="SimSun" w:hAnsi="SimSun" w:eastAsia="SimSun" w:cs="SimSun"/>
                <w:sz w:val="20"/>
                <w:szCs w:val="20"/>
                <w:spacing w:val="6"/>
              </w:rPr>
              <w:t>施工期水环境影响分析</w:t>
            </w:r>
            <w:r>
              <w:rPr>
                <w:rFonts w:ascii="SimSun" w:hAnsi="SimSun" w:eastAsia="SimSun" w:cs="SimSun"/>
                <w:sz w:val="20"/>
                <w:szCs w:val="20"/>
                <w:spacing w:val="-46"/>
              </w:rPr>
              <w:t xml:space="preserve"> </w:t>
            </w:r>
            <w:r>
              <w:rPr>
                <w:rFonts w:ascii="SimSun" w:hAnsi="SimSun" w:eastAsia="SimSun" w:cs="SimSun"/>
                <w:sz w:val="20"/>
                <w:szCs w:val="20"/>
              </w:rPr>
              <w:tab/>
            </w:r>
            <w:r>
              <w:rPr>
                <w:rFonts w:ascii="Times New Roman" w:hAnsi="Times New Roman" w:eastAsia="Times New Roman" w:cs="Times New Roman"/>
                <w:sz w:val="20"/>
                <w:szCs w:val="20"/>
                <w:spacing w:val="6"/>
              </w:rPr>
              <w:t>231</w:t>
            </w:r>
          </w:hyperlink>
        </w:p>
        <w:p>
          <w:pPr>
            <w:ind w:left="970"/>
            <w:spacing w:before="63" w:line="193" w:lineRule="auto"/>
            <w:tabs>
              <w:tab w:val="right" w:leader="dot" w:pos="8505"/>
            </w:tabs>
            <w:rPr>
              <w:rFonts w:ascii="Times New Roman" w:hAnsi="Times New Roman" w:eastAsia="Times New Roman" w:cs="Times New Roman"/>
              <w:sz w:val="20"/>
              <w:szCs w:val="20"/>
            </w:rPr>
          </w:pPr>
          <w:hyperlink w:history="true" w:anchor="bookmark118">
            <w:r>
              <w:rPr>
                <w:rFonts w:ascii="Times New Roman" w:hAnsi="Times New Roman" w:eastAsia="Times New Roman" w:cs="Times New Roman"/>
                <w:sz w:val="20"/>
                <w:szCs w:val="20"/>
                <w:spacing w:val="6"/>
              </w:rPr>
              <w:t>5.8.3 </w:t>
            </w:r>
            <w:r>
              <w:rPr>
                <w:rFonts w:ascii="SimSun" w:hAnsi="SimSun" w:eastAsia="SimSun" w:cs="SimSun"/>
                <w:sz w:val="20"/>
                <w:szCs w:val="20"/>
                <w:spacing w:val="6"/>
              </w:rPr>
              <w:t>施工期声环境影响分析</w:t>
            </w:r>
            <w:r>
              <w:rPr>
                <w:rFonts w:ascii="SimSun" w:hAnsi="SimSun" w:eastAsia="SimSun" w:cs="SimSun"/>
                <w:sz w:val="20"/>
                <w:szCs w:val="20"/>
                <w:spacing w:val="-46"/>
              </w:rPr>
              <w:t xml:space="preserve"> </w:t>
            </w:r>
            <w:r>
              <w:rPr>
                <w:rFonts w:ascii="SimSun" w:hAnsi="SimSun" w:eastAsia="SimSun" w:cs="SimSun"/>
                <w:sz w:val="20"/>
                <w:szCs w:val="20"/>
              </w:rPr>
              <w:tab/>
            </w:r>
            <w:r>
              <w:rPr>
                <w:rFonts w:ascii="Times New Roman" w:hAnsi="Times New Roman" w:eastAsia="Times New Roman" w:cs="Times New Roman"/>
                <w:sz w:val="20"/>
                <w:szCs w:val="20"/>
                <w:spacing w:val="6"/>
              </w:rPr>
              <w:t>231</w:t>
            </w:r>
          </w:hyperlink>
        </w:p>
        <w:p>
          <w:pPr>
            <w:ind w:left="970"/>
            <w:spacing w:before="62" w:line="193" w:lineRule="auto"/>
            <w:tabs>
              <w:tab w:val="right" w:leader="dot" w:pos="8505"/>
            </w:tabs>
            <w:rPr>
              <w:rFonts w:ascii="Times New Roman" w:hAnsi="Times New Roman" w:eastAsia="Times New Roman" w:cs="Times New Roman"/>
              <w:sz w:val="20"/>
              <w:szCs w:val="20"/>
            </w:rPr>
          </w:pPr>
          <w:hyperlink w:history="true" w:anchor="bookmark119">
            <w:r>
              <w:rPr>
                <w:rFonts w:ascii="Times New Roman" w:hAnsi="Times New Roman" w:eastAsia="Times New Roman" w:cs="Times New Roman"/>
                <w:sz w:val="20"/>
                <w:szCs w:val="20"/>
                <w:spacing w:val="7"/>
              </w:rPr>
              <w:t>5.8.4 </w:t>
            </w:r>
            <w:r>
              <w:rPr>
                <w:rFonts w:ascii="SimSun" w:hAnsi="SimSun" w:eastAsia="SimSun" w:cs="SimSun"/>
                <w:sz w:val="20"/>
                <w:szCs w:val="20"/>
                <w:spacing w:val="7"/>
              </w:rPr>
              <w:t>施工期固体废物影响分析</w:t>
            </w:r>
            <w:r>
              <w:rPr>
                <w:rFonts w:ascii="SimSun" w:hAnsi="SimSun" w:eastAsia="SimSun" w:cs="SimSun"/>
                <w:sz w:val="20"/>
                <w:szCs w:val="20"/>
                <w:spacing w:val="-57"/>
              </w:rPr>
              <w:t xml:space="preserve"> </w:t>
            </w:r>
            <w:r>
              <w:rPr>
                <w:rFonts w:ascii="SimSun" w:hAnsi="SimSun" w:eastAsia="SimSun" w:cs="SimSun"/>
                <w:sz w:val="20"/>
                <w:szCs w:val="20"/>
              </w:rPr>
              <w:tab/>
            </w:r>
            <w:r>
              <w:rPr>
                <w:rFonts w:ascii="Times New Roman" w:hAnsi="Times New Roman" w:eastAsia="Times New Roman" w:cs="Times New Roman"/>
                <w:sz w:val="20"/>
                <w:szCs w:val="20"/>
                <w:spacing w:val="5"/>
              </w:rPr>
              <w:t>233</w:t>
            </w:r>
          </w:hyperlink>
        </w:p>
        <w:p>
          <w:pPr>
            <w:ind w:left="970"/>
            <w:spacing w:before="62" w:line="194" w:lineRule="auto"/>
            <w:tabs>
              <w:tab w:val="right" w:leader="dot" w:pos="8505"/>
            </w:tabs>
            <w:rPr>
              <w:rFonts w:ascii="Times New Roman" w:hAnsi="Times New Roman" w:eastAsia="Times New Roman" w:cs="Times New Roman"/>
              <w:sz w:val="20"/>
              <w:szCs w:val="20"/>
            </w:rPr>
          </w:pPr>
          <w:hyperlink w:history="true" w:anchor="bookmark120">
            <w:r>
              <w:rPr>
                <w:rFonts w:ascii="Times New Roman" w:hAnsi="Times New Roman" w:eastAsia="Times New Roman" w:cs="Times New Roman"/>
                <w:sz w:val="20"/>
                <w:szCs w:val="20"/>
                <w:spacing w:val="7"/>
              </w:rPr>
              <w:t>5.8.5 </w:t>
            </w:r>
            <w:r>
              <w:rPr>
                <w:rFonts w:ascii="SimSun" w:hAnsi="SimSun" w:eastAsia="SimSun" w:cs="SimSun"/>
                <w:sz w:val="20"/>
                <w:szCs w:val="20"/>
                <w:spacing w:val="7"/>
              </w:rPr>
              <w:t>施工期土壤环境影响分析</w:t>
            </w:r>
            <w:r>
              <w:rPr>
                <w:rFonts w:ascii="SimSun" w:hAnsi="SimSun" w:eastAsia="SimSun" w:cs="SimSun"/>
                <w:sz w:val="20"/>
                <w:szCs w:val="20"/>
                <w:spacing w:val="-57"/>
              </w:rPr>
              <w:t xml:space="preserve"> </w:t>
            </w:r>
            <w:r>
              <w:rPr>
                <w:rFonts w:ascii="SimSun" w:hAnsi="SimSun" w:eastAsia="SimSun" w:cs="SimSun"/>
                <w:sz w:val="20"/>
                <w:szCs w:val="20"/>
              </w:rPr>
              <w:tab/>
            </w:r>
            <w:r>
              <w:rPr>
                <w:rFonts w:ascii="Times New Roman" w:hAnsi="Times New Roman" w:eastAsia="Times New Roman" w:cs="Times New Roman"/>
                <w:sz w:val="20"/>
                <w:szCs w:val="20"/>
                <w:spacing w:val="5"/>
              </w:rPr>
              <w:t>233</w:t>
            </w:r>
          </w:hyperlink>
        </w:p>
        <w:p>
          <w:pPr>
            <w:ind w:left="970"/>
            <w:spacing w:before="64" w:line="193" w:lineRule="auto"/>
            <w:tabs>
              <w:tab w:val="right" w:leader="dot" w:pos="8505"/>
            </w:tabs>
            <w:rPr>
              <w:rFonts w:ascii="Times New Roman" w:hAnsi="Times New Roman" w:eastAsia="Times New Roman" w:cs="Times New Roman"/>
              <w:sz w:val="20"/>
              <w:szCs w:val="20"/>
            </w:rPr>
          </w:pPr>
          <w:hyperlink w:history="true" w:anchor="bookmark121">
            <w:r>
              <w:rPr>
                <w:rFonts w:ascii="Times New Roman" w:hAnsi="Times New Roman" w:eastAsia="Times New Roman" w:cs="Times New Roman"/>
                <w:sz w:val="20"/>
                <w:szCs w:val="20"/>
                <w:spacing w:val="6"/>
              </w:rPr>
              <w:t>5.8.6 </w:t>
            </w:r>
            <w:r>
              <w:rPr>
                <w:rFonts w:ascii="SimSun" w:hAnsi="SimSun" w:eastAsia="SimSun" w:cs="SimSun"/>
                <w:sz w:val="20"/>
                <w:szCs w:val="20"/>
                <w:spacing w:val="6"/>
              </w:rPr>
              <w:t>施工期生态影响分析</w:t>
            </w:r>
            <w:r>
              <w:rPr>
                <w:rFonts w:ascii="SimSun" w:hAnsi="SimSun" w:eastAsia="SimSun" w:cs="SimSun"/>
                <w:sz w:val="20"/>
                <w:szCs w:val="20"/>
                <w:spacing w:val="-49"/>
              </w:rPr>
              <w:t xml:space="preserve"> </w:t>
            </w:r>
            <w:r>
              <w:rPr>
                <w:rFonts w:ascii="SimSun" w:hAnsi="SimSun" w:eastAsia="SimSun" w:cs="SimSun"/>
                <w:sz w:val="20"/>
                <w:szCs w:val="20"/>
              </w:rPr>
              <w:tab/>
            </w:r>
            <w:r>
              <w:rPr>
                <w:rFonts w:ascii="Times New Roman" w:hAnsi="Times New Roman" w:eastAsia="Times New Roman" w:cs="Times New Roman"/>
                <w:sz w:val="20"/>
                <w:szCs w:val="20"/>
                <w:spacing w:val="7"/>
              </w:rPr>
              <w:t>234</w:t>
            </w:r>
          </w:hyperlink>
        </w:p>
        <w:p>
          <w:pPr>
            <w:ind w:left="9"/>
            <w:spacing w:before="62" w:line="193" w:lineRule="auto"/>
            <w:tabs>
              <w:tab w:val="right" w:leader="dot" w:pos="8505"/>
            </w:tabs>
            <w:rPr>
              <w:rFonts w:ascii="Times New Roman" w:hAnsi="Times New Roman" w:eastAsia="Times New Roman" w:cs="Times New Roman"/>
              <w:sz w:val="20"/>
              <w:szCs w:val="20"/>
            </w:rPr>
          </w:pPr>
          <w:hyperlink w:history="true" w:anchor="bookmark122">
            <w:r>
              <w:rPr>
                <w:rFonts w:ascii="Times New Roman" w:hAnsi="Times New Roman" w:eastAsia="Times New Roman" w:cs="Times New Roman"/>
                <w:sz w:val="20"/>
                <w:szCs w:val="20"/>
                <w:spacing w:val="6"/>
              </w:rPr>
              <w:t>6 </w:t>
            </w:r>
            <w:r>
              <w:rPr>
                <w:rFonts w:ascii="SimSun" w:hAnsi="SimSun" w:eastAsia="SimSun" w:cs="SimSun"/>
                <w:sz w:val="20"/>
                <w:szCs w:val="20"/>
                <w:spacing w:val="6"/>
              </w:rPr>
              <w:t>环境风险评价</w:t>
            </w:r>
            <w:r>
              <w:rPr>
                <w:rFonts w:ascii="SimSun" w:hAnsi="SimSun" w:eastAsia="SimSun" w:cs="SimSun"/>
                <w:sz w:val="20"/>
                <w:szCs w:val="20"/>
                <w:spacing w:val="-51"/>
              </w:rPr>
              <w:t xml:space="preserve"> </w:t>
            </w:r>
            <w:r>
              <w:rPr>
                <w:rFonts w:ascii="SimSun" w:hAnsi="SimSun" w:eastAsia="SimSun" w:cs="SimSun"/>
                <w:sz w:val="20"/>
                <w:szCs w:val="20"/>
              </w:rPr>
              <w:tab/>
            </w:r>
            <w:r>
              <w:rPr>
                <w:rFonts w:ascii="SimSun" w:hAnsi="SimSun" w:eastAsia="SimSun" w:cs="SimSun"/>
                <w:sz w:val="20"/>
                <w:szCs w:val="20"/>
                <w:spacing w:val="-56"/>
              </w:rPr>
              <w:t xml:space="preserve"> </w:t>
            </w:r>
            <w:r>
              <w:rPr>
                <w:rFonts w:ascii="Times New Roman" w:hAnsi="Times New Roman" w:eastAsia="Times New Roman" w:cs="Times New Roman"/>
                <w:sz w:val="20"/>
                <w:szCs w:val="20"/>
                <w:spacing w:val="3"/>
              </w:rPr>
              <w:t>236</w:t>
            </w:r>
          </w:hyperlink>
        </w:p>
        <w:p>
          <w:pPr>
            <w:ind w:left="489"/>
            <w:spacing w:before="65" w:line="194" w:lineRule="auto"/>
            <w:tabs>
              <w:tab w:val="right" w:leader="dot" w:pos="8505"/>
            </w:tabs>
            <w:rPr>
              <w:rFonts w:ascii="Times New Roman" w:hAnsi="Times New Roman" w:eastAsia="Times New Roman" w:cs="Times New Roman"/>
              <w:sz w:val="20"/>
              <w:szCs w:val="20"/>
            </w:rPr>
          </w:pPr>
          <w:hyperlink w:history="true" w:anchor="bookmark123">
            <w:r>
              <w:rPr>
                <w:rFonts w:ascii="Times New Roman" w:hAnsi="Times New Roman" w:eastAsia="Times New Roman" w:cs="Times New Roman"/>
                <w:sz w:val="20"/>
                <w:szCs w:val="20"/>
                <w:spacing w:val="5"/>
              </w:rPr>
              <w:t>6.1 </w:t>
            </w:r>
            <w:r>
              <w:rPr>
                <w:rFonts w:ascii="SimSun" w:hAnsi="SimSun" w:eastAsia="SimSun" w:cs="SimSun"/>
                <w:sz w:val="20"/>
                <w:szCs w:val="20"/>
                <w:spacing w:val="5"/>
              </w:rPr>
              <w:t>风险调查</w:t>
            </w:r>
            <w:r>
              <w:rPr>
                <w:rFonts w:ascii="SimSun" w:hAnsi="SimSun" w:eastAsia="SimSun" w:cs="SimSun"/>
                <w:sz w:val="20"/>
                <w:szCs w:val="20"/>
                <w:spacing w:val="-55"/>
              </w:rPr>
              <w:t xml:space="preserve"> </w:t>
            </w:r>
            <w:r>
              <w:rPr>
                <w:rFonts w:ascii="SimSun" w:hAnsi="SimSun" w:eastAsia="SimSun" w:cs="SimSun"/>
                <w:sz w:val="20"/>
                <w:szCs w:val="20"/>
              </w:rPr>
              <w:tab/>
            </w:r>
            <w:r>
              <w:rPr>
                <w:rFonts w:ascii="SimSun" w:hAnsi="SimSun" w:eastAsia="SimSun" w:cs="SimSun"/>
                <w:sz w:val="20"/>
                <w:szCs w:val="20"/>
                <w:spacing w:val="-66"/>
              </w:rPr>
              <w:t xml:space="preserve"> </w:t>
            </w:r>
            <w:r>
              <w:rPr>
                <w:rFonts w:ascii="Times New Roman" w:hAnsi="Times New Roman" w:eastAsia="Times New Roman" w:cs="Times New Roman"/>
                <w:sz w:val="20"/>
                <w:szCs w:val="20"/>
                <w:spacing w:val="3"/>
              </w:rPr>
              <w:t>236</w:t>
            </w:r>
          </w:hyperlink>
        </w:p>
        <w:p>
          <w:pPr>
            <w:ind w:left="969"/>
            <w:spacing w:before="61" w:line="193" w:lineRule="auto"/>
            <w:tabs>
              <w:tab w:val="right" w:leader="dot" w:pos="8505"/>
            </w:tabs>
            <w:rPr>
              <w:rFonts w:ascii="Times New Roman" w:hAnsi="Times New Roman" w:eastAsia="Times New Roman" w:cs="Times New Roman"/>
              <w:sz w:val="20"/>
              <w:szCs w:val="20"/>
            </w:rPr>
          </w:pPr>
          <w:hyperlink w:history="true" w:anchor="bookmark124">
            <w:r>
              <w:rPr>
                <w:rFonts w:ascii="Times New Roman" w:hAnsi="Times New Roman" w:eastAsia="Times New Roman" w:cs="Times New Roman"/>
                <w:sz w:val="20"/>
                <w:szCs w:val="20"/>
                <w:spacing w:val="6"/>
              </w:rPr>
              <w:t>6.1.1 </w:t>
            </w:r>
            <w:r>
              <w:rPr>
                <w:rFonts w:ascii="SimSun" w:hAnsi="SimSun" w:eastAsia="SimSun" w:cs="SimSun"/>
                <w:sz w:val="20"/>
                <w:szCs w:val="20"/>
                <w:spacing w:val="6"/>
              </w:rPr>
              <w:t>建设项目风险源调查</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7"/>
              </w:rPr>
              <w:t>236</w:t>
            </w:r>
          </w:hyperlink>
        </w:p>
        <w:p>
          <w:pPr>
            <w:ind w:left="969"/>
            <w:spacing w:before="64" w:line="193" w:lineRule="auto"/>
            <w:tabs>
              <w:tab w:val="right" w:leader="dot" w:pos="8505"/>
            </w:tabs>
            <w:rPr>
              <w:rFonts w:ascii="Times New Roman" w:hAnsi="Times New Roman" w:eastAsia="Times New Roman" w:cs="Times New Roman"/>
              <w:sz w:val="20"/>
              <w:szCs w:val="20"/>
            </w:rPr>
          </w:pPr>
          <w:hyperlink w:history="true" w:anchor="bookmark125">
            <w:r>
              <w:rPr>
                <w:rFonts w:ascii="Times New Roman" w:hAnsi="Times New Roman" w:eastAsia="Times New Roman" w:cs="Times New Roman"/>
                <w:sz w:val="20"/>
                <w:szCs w:val="20"/>
                <w:spacing w:val="5"/>
              </w:rPr>
              <w:t>6.1.2 </w:t>
            </w:r>
            <w:r>
              <w:rPr>
                <w:rFonts w:ascii="SimSun" w:hAnsi="SimSun" w:eastAsia="SimSun" w:cs="SimSun"/>
                <w:sz w:val="20"/>
                <w:szCs w:val="20"/>
                <w:spacing w:val="5"/>
              </w:rPr>
              <w:t>环境敏感目标</w:t>
            </w:r>
            <w:r>
              <w:rPr>
                <w:rFonts w:ascii="SimSun" w:hAnsi="SimSun" w:eastAsia="SimSun" w:cs="SimSun"/>
                <w:sz w:val="20"/>
                <w:szCs w:val="20"/>
                <w:spacing w:val="-49"/>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239</w:t>
            </w:r>
          </w:hyperlink>
        </w:p>
        <w:p>
          <w:pPr>
            <w:ind w:left="489"/>
            <w:spacing w:before="62" w:line="194" w:lineRule="auto"/>
            <w:tabs>
              <w:tab w:val="right" w:leader="dot" w:pos="8505"/>
            </w:tabs>
            <w:rPr>
              <w:rFonts w:ascii="Times New Roman" w:hAnsi="Times New Roman" w:eastAsia="Times New Roman" w:cs="Times New Roman"/>
              <w:sz w:val="20"/>
              <w:szCs w:val="20"/>
            </w:rPr>
          </w:pPr>
          <w:hyperlink w:history="true" w:anchor="bookmark126">
            <w:r>
              <w:rPr>
                <w:rFonts w:ascii="Times New Roman" w:hAnsi="Times New Roman" w:eastAsia="Times New Roman" w:cs="Times New Roman"/>
                <w:sz w:val="20"/>
                <w:szCs w:val="20"/>
                <w:spacing w:val="6"/>
              </w:rPr>
              <w:t>6.2 </w:t>
            </w:r>
            <w:r>
              <w:rPr>
                <w:rFonts w:ascii="SimSun" w:hAnsi="SimSun" w:eastAsia="SimSun" w:cs="SimSun"/>
                <w:sz w:val="20"/>
                <w:szCs w:val="20"/>
                <w:spacing w:val="6"/>
              </w:rPr>
              <w:t>环境风险潜势初判</w:t>
            </w:r>
            <w:r>
              <w:rPr>
                <w:rFonts w:ascii="SimSun" w:hAnsi="SimSun" w:eastAsia="SimSun" w:cs="SimSun"/>
                <w:sz w:val="20"/>
                <w:szCs w:val="20"/>
                <w:spacing w:val="-47"/>
              </w:rPr>
              <w:t xml:space="preserve"> </w:t>
            </w:r>
            <w:r>
              <w:rPr>
                <w:rFonts w:ascii="SimSun" w:hAnsi="SimSun" w:eastAsia="SimSun" w:cs="SimSun"/>
                <w:sz w:val="20"/>
                <w:szCs w:val="20"/>
              </w:rPr>
              <w:tab/>
            </w:r>
            <w:r>
              <w:rPr>
                <w:rFonts w:ascii="SimSun" w:hAnsi="SimSun" w:eastAsia="SimSun" w:cs="SimSun"/>
                <w:sz w:val="20"/>
                <w:szCs w:val="20"/>
                <w:spacing w:val="-74"/>
              </w:rPr>
              <w:t xml:space="preserve"> </w:t>
            </w:r>
            <w:r>
              <w:rPr>
                <w:rFonts w:ascii="Times New Roman" w:hAnsi="Times New Roman" w:eastAsia="Times New Roman" w:cs="Times New Roman"/>
                <w:sz w:val="20"/>
                <w:szCs w:val="20"/>
                <w:spacing w:val="3"/>
              </w:rPr>
              <w:t>239</w:t>
            </w:r>
          </w:hyperlink>
        </w:p>
        <w:p>
          <w:pPr>
            <w:ind w:left="489"/>
            <w:spacing w:before="64" w:line="193" w:lineRule="auto"/>
            <w:tabs>
              <w:tab w:val="right" w:leader="dot" w:pos="8505"/>
            </w:tabs>
            <w:rPr>
              <w:rFonts w:ascii="Times New Roman" w:hAnsi="Times New Roman" w:eastAsia="Times New Roman" w:cs="Times New Roman"/>
              <w:sz w:val="20"/>
              <w:szCs w:val="20"/>
            </w:rPr>
          </w:pPr>
          <w:hyperlink w:history="true" w:anchor="bookmark127">
            <w:r>
              <w:rPr>
                <w:rFonts w:ascii="Times New Roman" w:hAnsi="Times New Roman" w:eastAsia="Times New Roman" w:cs="Times New Roman"/>
                <w:sz w:val="20"/>
                <w:szCs w:val="20"/>
                <w:spacing w:val="6"/>
              </w:rPr>
              <w:t>6.3 </w:t>
            </w:r>
            <w:r>
              <w:rPr>
                <w:rFonts w:ascii="SimSun" w:hAnsi="SimSun" w:eastAsia="SimSun" w:cs="SimSun"/>
                <w:sz w:val="20"/>
                <w:szCs w:val="20"/>
                <w:spacing w:val="6"/>
              </w:rPr>
              <w:t>环境风险评价等级</w:t>
            </w:r>
            <w:r>
              <w:rPr>
                <w:rFonts w:ascii="SimSun" w:hAnsi="SimSun" w:eastAsia="SimSun" w:cs="SimSun"/>
                <w:sz w:val="20"/>
                <w:szCs w:val="20"/>
                <w:spacing w:val="-47"/>
              </w:rPr>
              <w:t xml:space="preserve"> </w:t>
            </w:r>
            <w:r>
              <w:rPr>
                <w:rFonts w:ascii="SimSun" w:hAnsi="SimSun" w:eastAsia="SimSun" w:cs="SimSun"/>
                <w:sz w:val="20"/>
                <w:szCs w:val="20"/>
              </w:rPr>
              <w:tab/>
            </w:r>
            <w:r>
              <w:rPr>
                <w:rFonts w:ascii="SimSun" w:hAnsi="SimSun" w:eastAsia="SimSun" w:cs="SimSun"/>
                <w:sz w:val="20"/>
                <w:szCs w:val="20"/>
                <w:spacing w:val="-74"/>
              </w:rPr>
              <w:t xml:space="preserve"> </w:t>
            </w:r>
            <w:r>
              <w:rPr>
                <w:rFonts w:ascii="Times New Roman" w:hAnsi="Times New Roman" w:eastAsia="Times New Roman" w:cs="Times New Roman"/>
                <w:sz w:val="20"/>
                <w:szCs w:val="20"/>
                <w:spacing w:val="3"/>
              </w:rPr>
              <w:t>243</w:t>
            </w:r>
          </w:hyperlink>
        </w:p>
        <w:p>
          <w:pPr>
            <w:ind w:left="489"/>
            <w:spacing w:before="62" w:line="194" w:lineRule="auto"/>
            <w:tabs>
              <w:tab w:val="right" w:leader="dot" w:pos="8505"/>
            </w:tabs>
            <w:rPr>
              <w:rFonts w:ascii="Times New Roman" w:hAnsi="Times New Roman" w:eastAsia="Times New Roman" w:cs="Times New Roman"/>
              <w:sz w:val="20"/>
              <w:szCs w:val="20"/>
            </w:rPr>
          </w:pPr>
          <w:hyperlink w:history="true" w:anchor="bookmark128">
            <w:r>
              <w:rPr>
                <w:rFonts w:ascii="Times New Roman" w:hAnsi="Times New Roman" w:eastAsia="Times New Roman" w:cs="Times New Roman"/>
                <w:sz w:val="20"/>
                <w:szCs w:val="20"/>
                <w:spacing w:val="6"/>
              </w:rPr>
              <w:t>6.4 </w:t>
            </w:r>
            <w:r>
              <w:rPr>
                <w:rFonts w:ascii="SimSun" w:hAnsi="SimSun" w:eastAsia="SimSun" w:cs="SimSun"/>
                <w:sz w:val="20"/>
                <w:szCs w:val="20"/>
                <w:spacing w:val="6"/>
              </w:rPr>
              <w:t>环境风险识别</w:t>
            </w:r>
            <w:r>
              <w:rPr>
                <w:rFonts w:ascii="SimSun" w:hAnsi="SimSun" w:eastAsia="SimSun" w:cs="SimSun"/>
                <w:sz w:val="20"/>
                <w:szCs w:val="20"/>
                <w:spacing w:val="-55"/>
              </w:rPr>
              <w:t xml:space="preserve"> </w:t>
            </w:r>
            <w:r>
              <w:rPr>
                <w:rFonts w:ascii="SimSun" w:hAnsi="SimSun" w:eastAsia="SimSun" w:cs="SimSun"/>
                <w:sz w:val="20"/>
                <w:szCs w:val="20"/>
              </w:rPr>
              <w:tab/>
            </w:r>
            <w:r>
              <w:rPr>
                <w:rFonts w:ascii="SimSun" w:hAnsi="SimSun" w:eastAsia="SimSun" w:cs="SimSun"/>
                <w:sz w:val="20"/>
                <w:szCs w:val="20"/>
                <w:spacing w:val="-70"/>
              </w:rPr>
              <w:t xml:space="preserve"> </w:t>
            </w:r>
            <w:r>
              <w:rPr>
                <w:rFonts w:ascii="Times New Roman" w:hAnsi="Times New Roman" w:eastAsia="Times New Roman" w:cs="Times New Roman"/>
                <w:sz w:val="20"/>
                <w:szCs w:val="20"/>
                <w:spacing w:val="3"/>
              </w:rPr>
              <w:t>244</w:t>
            </w:r>
          </w:hyperlink>
        </w:p>
        <w:p>
          <w:pPr>
            <w:ind w:left="969"/>
            <w:spacing w:before="63" w:line="193" w:lineRule="auto"/>
            <w:tabs>
              <w:tab w:val="right" w:leader="dot" w:pos="8505"/>
            </w:tabs>
            <w:rPr>
              <w:rFonts w:ascii="Times New Roman" w:hAnsi="Times New Roman" w:eastAsia="Times New Roman" w:cs="Times New Roman"/>
              <w:sz w:val="20"/>
              <w:szCs w:val="20"/>
            </w:rPr>
          </w:pPr>
          <w:hyperlink w:history="true" w:anchor="bookmark129">
            <w:r>
              <w:rPr>
                <w:rFonts w:ascii="Times New Roman" w:hAnsi="Times New Roman" w:eastAsia="Times New Roman" w:cs="Times New Roman"/>
                <w:sz w:val="20"/>
                <w:szCs w:val="20"/>
                <w:spacing w:val="6"/>
              </w:rPr>
              <w:t>6.4.1 </w:t>
            </w:r>
            <w:r>
              <w:rPr>
                <w:rFonts w:ascii="SimSun" w:hAnsi="SimSun" w:eastAsia="SimSun" w:cs="SimSun"/>
                <w:sz w:val="20"/>
                <w:szCs w:val="20"/>
                <w:spacing w:val="6"/>
              </w:rPr>
              <w:t>物质危险性识别</w:t>
            </w:r>
            <w:r>
              <w:rPr>
                <w:rFonts w:ascii="SimSun" w:hAnsi="SimSun" w:eastAsia="SimSun" w:cs="SimSun"/>
                <w:sz w:val="20"/>
                <w:szCs w:val="20"/>
                <w:spacing w:val="-56"/>
              </w:rPr>
              <w:t xml:space="preserve"> </w:t>
            </w:r>
            <w:r>
              <w:rPr>
                <w:rFonts w:ascii="SimSun" w:hAnsi="SimSun" w:eastAsia="SimSun" w:cs="SimSun"/>
                <w:sz w:val="20"/>
                <w:szCs w:val="20"/>
              </w:rPr>
              <w:tab/>
            </w:r>
            <w:r>
              <w:rPr>
                <w:rFonts w:ascii="Times New Roman" w:hAnsi="Times New Roman" w:eastAsia="Times New Roman" w:cs="Times New Roman"/>
                <w:sz w:val="20"/>
                <w:szCs w:val="20"/>
                <w:spacing w:val="8"/>
              </w:rPr>
              <w:t>244</w:t>
            </w:r>
          </w:hyperlink>
        </w:p>
        <w:p>
          <w:pPr>
            <w:ind w:left="969"/>
            <w:spacing w:before="62" w:line="193" w:lineRule="auto"/>
            <w:tabs>
              <w:tab w:val="right" w:leader="dot" w:pos="8505"/>
            </w:tabs>
            <w:rPr>
              <w:rFonts w:ascii="Times New Roman" w:hAnsi="Times New Roman" w:eastAsia="Times New Roman" w:cs="Times New Roman"/>
              <w:sz w:val="20"/>
              <w:szCs w:val="20"/>
            </w:rPr>
          </w:pPr>
          <w:hyperlink w:history="true" w:anchor="bookmark130">
            <w:r>
              <w:rPr>
                <w:rFonts w:ascii="Times New Roman" w:hAnsi="Times New Roman" w:eastAsia="Times New Roman" w:cs="Times New Roman"/>
                <w:sz w:val="20"/>
                <w:szCs w:val="20"/>
                <w:spacing w:val="6"/>
              </w:rPr>
              <w:t>6.4.2 </w:t>
            </w:r>
            <w:r>
              <w:rPr>
                <w:rFonts w:ascii="SimSun" w:hAnsi="SimSun" w:eastAsia="SimSun" w:cs="SimSun"/>
                <w:sz w:val="20"/>
                <w:szCs w:val="20"/>
                <w:spacing w:val="6"/>
              </w:rPr>
              <w:t>生产过程潜在风险识别</w:t>
            </w:r>
            <w:r>
              <w:rPr>
                <w:rFonts w:ascii="SimSun" w:hAnsi="SimSun" w:eastAsia="SimSun" w:cs="SimSun"/>
                <w:sz w:val="20"/>
                <w:szCs w:val="20"/>
                <w:spacing w:val="-45"/>
              </w:rPr>
              <w:t xml:space="preserve"> </w:t>
            </w:r>
            <w:r>
              <w:rPr>
                <w:rFonts w:ascii="SimSun" w:hAnsi="SimSun" w:eastAsia="SimSun" w:cs="SimSun"/>
                <w:sz w:val="20"/>
                <w:szCs w:val="20"/>
              </w:rPr>
              <w:tab/>
            </w:r>
            <w:r>
              <w:rPr>
                <w:rFonts w:ascii="Times New Roman" w:hAnsi="Times New Roman" w:eastAsia="Times New Roman" w:cs="Times New Roman"/>
                <w:sz w:val="20"/>
                <w:szCs w:val="20"/>
                <w:spacing w:val="6"/>
              </w:rPr>
              <w:t>245</w:t>
            </w:r>
          </w:hyperlink>
        </w:p>
        <w:p>
          <w:pPr>
            <w:ind w:left="969"/>
            <w:spacing w:before="65" w:line="194" w:lineRule="auto"/>
            <w:tabs>
              <w:tab w:val="right" w:leader="dot" w:pos="8505"/>
            </w:tabs>
            <w:rPr>
              <w:rFonts w:ascii="Times New Roman" w:hAnsi="Times New Roman" w:eastAsia="Times New Roman" w:cs="Times New Roman"/>
              <w:sz w:val="20"/>
              <w:szCs w:val="20"/>
            </w:rPr>
          </w:pPr>
          <w:hyperlink w:history="true" w:anchor="bookmark131">
            <w:r>
              <w:rPr>
                <w:rFonts w:ascii="Times New Roman" w:hAnsi="Times New Roman" w:eastAsia="Times New Roman" w:cs="Times New Roman"/>
                <w:sz w:val="20"/>
                <w:szCs w:val="20"/>
                <w:spacing w:val="4"/>
              </w:rPr>
              <w:t>6.4.3</w:t>
            </w:r>
            <w:r>
              <w:rPr>
                <w:rFonts w:ascii="Times New Roman" w:hAnsi="Times New Roman" w:eastAsia="Times New Roman" w:cs="Times New Roman"/>
                <w:sz w:val="20"/>
                <w:szCs w:val="20"/>
                <w:spacing w:val="31"/>
              </w:rPr>
              <w:t xml:space="preserve"> </w:t>
            </w:r>
            <w:r>
              <w:rPr>
                <w:rFonts w:ascii="SimSun" w:hAnsi="SimSun" w:eastAsia="SimSun" w:cs="SimSun"/>
                <w:sz w:val="20"/>
                <w:szCs w:val="20"/>
                <w:spacing w:val="4"/>
              </w:rPr>
              <w:t>向环境转移途径</w:t>
            </w:r>
            <w:r>
              <w:rPr>
                <w:rFonts w:ascii="SimSun" w:hAnsi="SimSun" w:eastAsia="SimSun" w:cs="SimSun"/>
                <w:sz w:val="20"/>
                <w:szCs w:val="20"/>
                <w:spacing w:val="-57"/>
              </w:rPr>
              <w:t xml:space="preserve"> </w:t>
            </w:r>
            <w:r>
              <w:rPr>
                <w:rFonts w:ascii="SimSun" w:hAnsi="SimSun" w:eastAsia="SimSun" w:cs="SimSun"/>
                <w:sz w:val="20"/>
                <w:szCs w:val="20"/>
              </w:rPr>
              <w:tab/>
            </w:r>
            <w:r>
              <w:rPr>
                <w:rFonts w:ascii="Times New Roman" w:hAnsi="Times New Roman" w:eastAsia="Times New Roman" w:cs="Times New Roman"/>
                <w:sz w:val="20"/>
                <w:szCs w:val="20"/>
                <w:spacing w:val="8"/>
              </w:rPr>
              <w:t>246</w:t>
            </w:r>
          </w:hyperlink>
        </w:p>
        <w:p>
          <w:pPr>
            <w:ind w:left="969"/>
            <w:spacing w:before="61" w:line="193" w:lineRule="auto"/>
            <w:tabs>
              <w:tab w:val="right" w:leader="dot" w:pos="8505"/>
            </w:tabs>
            <w:rPr>
              <w:rFonts w:ascii="Times New Roman" w:hAnsi="Times New Roman" w:eastAsia="Times New Roman" w:cs="Times New Roman"/>
              <w:sz w:val="20"/>
              <w:szCs w:val="20"/>
            </w:rPr>
          </w:pPr>
          <w:hyperlink w:history="true" w:anchor="bookmark132">
            <w:r>
              <w:rPr>
                <w:rFonts w:ascii="Times New Roman" w:hAnsi="Times New Roman" w:eastAsia="Times New Roman" w:cs="Times New Roman"/>
                <w:sz w:val="20"/>
                <w:szCs w:val="20"/>
                <w:spacing w:val="6"/>
              </w:rPr>
              <w:t>6.4.4 </w:t>
            </w:r>
            <w:r>
              <w:rPr>
                <w:rFonts w:ascii="SimSun" w:hAnsi="SimSun" w:eastAsia="SimSun" w:cs="SimSun"/>
                <w:sz w:val="20"/>
                <w:szCs w:val="20"/>
                <w:spacing w:val="6"/>
              </w:rPr>
              <w:t>环境风险识别结果</w:t>
            </w:r>
            <w:r>
              <w:rPr>
                <w:rFonts w:ascii="SimSun" w:hAnsi="SimSun" w:eastAsia="SimSun" w:cs="SimSun"/>
                <w:sz w:val="20"/>
                <w:szCs w:val="20"/>
                <w:spacing w:val="-53"/>
              </w:rPr>
              <w:t xml:space="preserve"> </w:t>
            </w:r>
            <w:r>
              <w:rPr>
                <w:rFonts w:ascii="SimSun" w:hAnsi="SimSun" w:eastAsia="SimSun" w:cs="SimSun"/>
                <w:sz w:val="20"/>
                <w:szCs w:val="20"/>
              </w:rPr>
              <w:tab/>
            </w:r>
            <w:r>
              <w:rPr>
                <w:rFonts w:ascii="Times New Roman" w:hAnsi="Times New Roman" w:eastAsia="Times New Roman" w:cs="Times New Roman"/>
                <w:sz w:val="20"/>
                <w:szCs w:val="20"/>
                <w:spacing w:val="8"/>
              </w:rPr>
              <w:t>246</w:t>
            </w:r>
          </w:hyperlink>
        </w:p>
        <w:p>
          <w:pPr>
            <w:ind w:left="489"/>
            <w:spacing w:before="64" w:line="193" w:lineRule="auto"/>
            <w:tabs>
              <w:tab w:val="right" w:leader="dot" w:pos="8505"/>
            </w:tabs>
            <w:rPr>
              <w:rFonts w:ascii="Times New Roman" w:hAnsi="Times New Roman" w:eastAsia="Times New Roman" w:cs="Times New Roman"/>
              <w:sz w:val="20"/>
              <w:szCs w:val="20"/>
            </w:rPr>
          </w:pPr>
          <w:hyperlink w:history="true" w:anchor="bookmark133">
            <w:r>
              <w:rPr>
                <w:rFonts w:ascii="Times New Roman" w:hAnsi="Times New Roman" w:eastAsia="Times New Roman" w:cs="Times New Roman"/>
                <w:sz w:val="20"/>
                <w:szCs w:val="20"/>
                <w:spacing w:val="7"/>
              </w:rPr>
              <w:t>6.5 </w:t>
            </w:r>
            <w:r>
              <w:rPr>
                <w:rFonts w:ascii="SimSun" w:hAnsi="SimSun" w:eastAsia="SimSun" w:cs="SimSun"/>
                <w:sz w:val="20"/>
                <w:szCs w:val="20"/>
                <w:spacing w:val="7"/>
              </w:rPr>
              <w:t>大气环境风险事故影响分析</w:t>
            </w:r>
            <w:r>
              <w:rPr>
                <w:rFonts w:ascii="SimSun" w:hAnsi="SimSun" w:eastAsia="SimSun" w:cs="SimSun"/>
                <w:sz w:val="20"/>
                <w:szCs w:val="20"/>
                <w:spacing w:val="-47"/>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247</w:t>
            </w:r>
          </w:hyperlink>
        </w:p>
        <w:p>
          <w:pPr>
            <w:ind w:left="969"/>
            <w:spacing w:before="63" w:line="194" w:lineRule="auto"/>
            <w:tabs>
              <w:tab w:val="right" w:leader="dot" w:pos="8505"/>
            </w:tabs>
            <w:rPr>
              <w:rFonts w:ascii="Times New Roman" w:hAnsi="Times New Roman" w:eastAsia="Times New Roman" w:cs="Times New Roman"/>
              <w:sz w:val="20"/>
              <w:szCs w:val="20"/>
            </w:rPr>
          </w:pPr>
          <w:hyperlink w:history="true" w:anchor="bookmark134">
            <w:r>
              <w:rPr>
                <w:rFonts w:ascii="Times New Roman" w:hAnsi="Times New Roman" w:eastAsia="Times New Roman" w:cs="Times New Roman"/>
                <w:sz w:val="20"/>
                <w:szCs w:val="20"/>
                <w:spacing w:val="5"/>
              </w:rPr>
              <w:t>6.5.1 </w:t>
            </w:r>
            <w:r>
              <w:rPr>
                <w:rFonts w:ascii="SimSun" w:hAnsi="SimSun" w:eastAsia="SimSun" w:cs="SimSun"/>
                <w:sz w:val="20"/>
                <w:szCs w:val="20"/>
                <w:spacing w:val="5"/>
              </w:rPr>
              <w:t>事故类比调查</w:t>
            </w:r>
            <w:r>
              <w:rPr>
                <w:rFonts w:ascii="SimSun" w:hAnsi="SimSun" w:eastAsia="SimSun" w:cs="SimSun"/>
                <w:sz w:val="20"/>
                <w:szCs w:val="20"/>
                <w:spacing w:val="-49"/>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247</w:t>
            </w:r>
          </w:hyperlink>
        </w:p>
        <w:p>
          <w:pPr>
            <w:ind w:left="969"/>
            <w:spacing w:before="63" w:line="193" w:lineRule="auto"/>
            <w:tabs>
              <w:tab w:val="right" w:leader="dot" w:pos="8505"/>
            </w:tabs>
            <w:rPr>
              <w:rFonts w:ascii="Times New Roman" w:hAnsi="Times New Roman" w:eastAsia="Times New Roman" w:cs="Times New Roman"/>
              <w:sz w:val="20"/>
              <w:szCs w:val="20"/>
            </w:rPr>
          </w:pPr>
          <w:hyperlink w:history="true" w:anchor="bookmark135">
            <w:r>
              <w:rPr>
                <w:rFonts w:ascii="Times New Roman" w:hAnsi="Times New Roman" w:eastAsia="Times New Roman" w:cs="Times New Roman"/>
                <w:sz w:val="20"/>
                <w:szCs w:val="20"/>
                <w:spacing w:val="6"/>
              </w:rPr>
              <w:t>6.5.2 </w:t>
            </w:r>
            <w:r>
              <w:rPr>
                <w:rFonts w:ascii="SimSun" w:hAnsi="SimSun" w:eastAsia="SimSun" w:cs="SimSun"/>
                <w:sz w:val="20"/>
                <w:szCs w:val="20"/>
                <w:spacing w:val="6"/>
              </w:rPr>
              <w:t>大气环境风险影响分析</w:t>
            </w:r>
            <w:r>
              <w:rPr>
                <w:rFonts w:ascii="SimSun" w:hAnsi="SimSun" w:eastAsia="SimSun" w:cs="SimSun"/>
                <w:sz w:val="20"/>
                <w:szCs w:val="20"/>
                <w:spacing w:val="-45"/>
              </w:rPr>
              <w:t xml:space="preserve"> </w:t>
            </w:r>
            <w:r>
              <w:rPr>
                <w:rFonts w:ascii="SimSun" w:hAnsi="SimSun" w:eastAsia="SimSun" w:cs="SimSun"/>
                <w:sz w:val="20"/>
                <w:szCs w:val="20"/>
              </w:rPr>
              <w:tab/>
            </w:r>
            <w:r>
              <w:rPr>
                <w:rFonts w:ascii="Times New Roman" w:hAnsi="Times New Roman" w:eastAsia="Times New Roman" w:cs="Times New Roman"/>
                <w:sz w:val="20"/>
                <w:szCs w:val="20"/>
                <w:spacing w:val="6"/>
              </w:rPr>
              <w:t>250</w:t>
            </w:r>
          </w:hyperlink>
        </w:p>
        <w:p>
          <w:pPr>
            <w:ind w:left="969"/>
            <w:spacing w:before="62" w:line="193" w:lineRule="auto"/>
            <w:tabs>
              <w:tab w:val="right" w:leader="dot" w:pos="8505"/>
            </w:tabs>
            <w:rPr>
              <w:rFonts w:ascii="Times New Roman" w:hAnsi="Times New Roman" w:eastAsia="Times New Roman" w:cs="Times New Roman"/>
              <w:sz w:val="20"/>
              <w:szCs w:val="20"/>
            </w:rPr>
          </w:pPr>
          <w:hyperlink w:history="true" w:anchor="bookmark136">
            <w:r>
              <w:rPr>
                <w:rFonts w:ascii="Times New Roman" w:hAnsi="Times New Roman" w:eastAsia="Times New Roman" w:cs="Times New Roman"/>
                <w:sz w:val="20"/>
                <w:szCs w:val="20"/>
                <w:spacing w:val="7"/>
              </w:rPr>
              <w:t>6.5.3 </w:t>
            </w:r>
            <w:r>
              <w:rPr>
                <w:rFonts w:ascii="SimSun" w:hAnsi="SimSun" w:eastAsia="SimSun" w:cs="SimSun"/>
                <w:sz w:val="20"/>
                <w:szCs w:val="20"/>
                <w:spacing w:val="7"/>
              </w:rPr>
              <w:t>地表水环境风险影响分析</w:t>
            </w:r>
            <w:r>
              <w:rPr>
                <w:rFonts w:ascii="SimSun" w:hAnsi="SimSun" w:eastAsia="SimSun" w:cs="SimSun"/>
                <w:sz w:val="20"/>
                <w:szCs w:val="20"/>
                <w:spacing w:val="-57"/>
              </w:rPr>
              <w:t xml:space="preserve"> </w:t>
            </w:r>
            <w:r>
              <w:rPr>
                <w:rFonts w:ascii="SimSun" w:hAnsi="SimSun" w:eastAsia="SimSun" w:cs="SimSun"/>
                <w:sz w:val="20"/>
                <w:szCs w:val="20"/>
              </w:rPr>
              <w:tab/>
            </w:r>
            <w:r>
              <w:rPr>
                <w:rFonts w:ascii="Times New Roman" w:hAnsi="Times New Roman" w:eastAsia="Times New Roman" w:cs="Times New Roman"/>
                <w:sz w:val="20"/>
                <w:szCs w:val="20"/>
                <w:spacing w:val="5"/>
              </w:rPr>
              <w:t>251</w:t>
            </w:r>
          </w:hyperlink>
        </w:p>
        <w:p>
          <w:pPr>
            <w:ind w:left="969"/>
            <w:spacing w:before="62" w:line="194" w:lineRule="auto"/>
            <w:tabs>
              <w:tab w:val="right" w:leader="dot" w:pos="8505"/>
            </w:tabs>
            <w:rPr>
              <w:rFonts w:ascii="Times New Roman" w:hAnsi="Times New Roman" w:eastAsia="Times New Roman" w:cs="Times New Roman"/>
              <w:sz w:val="20"/>
              <w:szCs w:val="20"/>
            </w:rPr>
          </w:pPr>
          <w:hyperlink w:history="true" w:anchor="bookmark137">
            <w:r>
              <w:rPr>
                <w:rFonts w:ascii="Times New Roman" w:hAnsi="Times New Roman" w:eastAsia="Times New Roman" w:cs="Times New Roman"/>
                <w:sz w:val="20"/>
                <w:szCs w:val="20"/>
                <w:spacing w:val="7"/>
              </w:rPr>
              <w:t>6.5.4 </w:t>
            </w:r>
            <w:r>
              <w:rPr>
                <w:rFonts w:ascii="SimSun" w:hAnsi="SimSun" w:eastAsia="SimSun" w:cs="SimSun"/>
                <w:sz w:val="20"/>
                <w:szCs w:val="20"/>
                <w:spacing w:val="7"/>
              </w:rPr>
              <w:t>地下水环境风险影响预测与评价</w:t>
            </w:r>
            <w:r>
              <w:rPr>
                <w:rFonts w:ascii="SimSun" w:hAnsi="SimSun" w:eastAsia="SimSun" w:cs="SimSun"/>
                <w:sz w:val="20"/>
                <w:szCs w:val="20"/>
                <w:spacing w:val="-49"/>
              </w:rPr>
              <w:t xml:space="preserve"> </w:t>
            </w:r>
            <w:r>
              <w:rPr>
                <w:rFonts w:ascii="SimSun" w:hAnsi="SimSun" w:eastAsia="SimSun" w:cs="SimSun"/>
                <w:sz w:val="20"/>
                <w:szCs w:val="20"/>
              </w:rPr>
              <w:tab/>
            </w:r>
            <w:r>
              <w:rPr>
                <w:rFonts w:ascii="SimSun" w:hAnsi="SimSun" w:eastAsia="SimSun" w:cs="SimSun"/>
                <w:sz w:val="20"/>
                <w:szCs w:val="20"/>
                <w:spacing w:val="-46"/>
              </w:rPr>
              <w:t xml:space="preserve"> </w:t>
            </w:r>
            <w:r>
              <w:rPr>
                <w:rFonts w:ascii="Times New Roman" w:hAnsi="Times New Roman" w:eastAsia="Times New Roman" w:cs="Times New Roman"/>
                <w:sz w:val="20"/>
                <w:szCs w:val="20"/>
                <w:spacing w:val="3"/>
              </w:rPr>
              <w:t>251</w:t>
            </w:r>
          </w:hyperlink>
        </w:p>
        <w:p>
          <w:pPr>
            <w:ind w:left="969"/>
            <w:spacing w:before="64" w:line="193" w:lineRule="auto"/>
            <w:tabs>
              <w:tab w:val="right" w:leader="dot" w:pos="8505"/>
            </w:tabs>
            <w:rPr>
              <w:rFonts w:ascii="Times New Roman" w:hAnsi="Times New Roman" w:eastAsia="Times New Roman" w:cs="Times New Roman"/>
              <w:sz w:val="20"/>
              <w:szCs w:val="20"/>
            </w:rPr>
          </w:pPr>
          <w:hyperlink w:history="true" w:anchor="bookmark138">
            <w:r>
              <w:rPr>
                <w:rFonts w:ascii="Times New Roman" w:hAnsi="Times New Roman" w:eastAsia="Times New Roman" w:cs="Times New Roman"/>
                <w:sz w:val="20"/>
                <w:szCs w:val="20"/>
                <w:spacing w:val="6"/>
              </w:rPr>
              <w:t>6.5.5 </w:t>
            </w:r>
            <w:r>
              <w:rPr>
                <w:rFonts w:ascii="SimSun" w:hAnsi="SimSun" w:eastAsia="SimSun" w:cs="SimSun"/>
                <w:sz w:val="20"/>
                <w:szCs w:val="20"/>
                <w:spacing w:val="6"/>
              </w:rPr>
              <w:t>土壤环境风险影响分析</w:t>
            </w:r>
            <w:r>
              <w:rPr>
                <w:rFonts w:ascii="SimSun" w:hAnsi="SimSun" w:eastAsia="SimSun" w:cs="SimSun"/>
                <w:sz w:val="20"/>
                <w:szCs w:val="20"/>
                <w:spacing w:val="-45"/>
              </w:rPr>
              <w:t xml:space="preserve"> </w:t>
            </w:r>
            <w:r>
              <w:rPr>
                <w:rFonts w:ascii="SimSun" w:hAnsi="SimSun" w:eastAsia="SimSun" w:cs="SimSun"/>
                <w:sz w:val="20"/>
                <w:szCs w:val="20"/>
              </w:rPr>
              <w:tab/>
            </w:r>
            <w:r>
              <w:rPr>
                <w:rFonts w:ascii="Times New Roman" w:hAnsi="Times New Roman" w:eastAsia="Times New Roman" w:cs="Times New Roman"/>
                <w:sz w:val="20"/>
                <w:szCs w:val="20"/>
                <w:spacing w:val="6"/>
              </w:rPr>
              <w:t>252</w:t>
            </w:r>
          </w:hyperlink>
        </w:p>
        <w:p>
          <w:pPr>
            <w:ind w:left="489"/>
            <w:spacing w:before="64" w:line="193" w:lineRule="auto"/>
            <w:tabs>
              <w:tab w:val="right" w:leader="dot" w:pos="8505"/>
            </w:tabs>
            <w:rPr>
              <w:rFonts w:ascii="Times New Roman" w:hAnsi="Times New Roman" w:eastAsia="Times New Roman" w:cs="Times New Roman"/>
              <w:sz w:val="20"/>
              <w:szCs w:val="20"/>
            </w:rPr>
          </w:pPr>
          <w:hyperlink w:history="true" w:anchor="bookmark139">
            <w:r>
              <w:rPr>
                <w:rFonts w:ascii="Times New Roman" w:hAnsi="Times New Roman" w:eastAsia="Times New Roman" w:cs="Times New Roman"/>
                <w:sz w:val="20"/>
                <w:szCs w:val="20"/>
                <w:spacing w:val="7"/>
              </w:rPr>
              <w:t>6.6 </w:t>
            </w:r>
            <w:r>
              <w:rPr>
                <w:rFonts w:ascii="SimSun" w:hAnsi="SimSun" w:eastAsia="SimSun" w:cs="SimSun"/>
                <w:sz w:val="20"/>
                <w:szCs w:val="20"/>
                <w:spacing w:val="7"/>
              </w:rPr>
              <w:t>环境风险防范措施及应急要求</w:t>
            </w:r>
            <w:r>
              <w:rPr>
                <w:rFonts w:ascii="SimSun" w:hAnsi="SimSun" w:eastAsia="SimSun" w:cs="SimSun"/>
                <w:sz w:val="20"/>
                <w:szCs w:val="20"/>
                <w:spacing w:val="-45"/>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252</w:t>
            </w:r>
          </w:hyperlink>
        </w:p>
        <w:p>
          <w:pPr>
            <w:ind w:left="969"/>
            <w:spacing w:before="62" w:line="194" w:lineRule="auto"/>
            <w:tabs>
              <w:tab w:val="right" w:leader="dot" w:pos="8505"/>
            </w:tabs>
            <w:rPr>
              <w:rFonts w:ascii="Times New Roman" w:hAnsi="Times New Roman" w:eastAsia="Times New Roman" w:cs="Times New Roman"/>
              <w:sz w:val="20"/>
              <w:szCs w:val="20"/>
            </w:rPr>
          </w:pPr>
          <w:hyperlink w:history="true" w:anchor="bookmark140">
            <w:r>
              <w:rPr>
                <w:rFonts w:ascii="Times New Roman" w:hAnsi="Times New Roman" w:eastAsia="Times New Roman" w:cs="Times New Roman"/>
                <w:sz w:val="20"/>
                <w:szCs w:val="20"/>
                <w:spacing w:val="4"/>
              </w:rPr>
              <w:t>6.6.1 </w:t>
            </w:r>
            <w:r>
              <w:rPr>
                <w:rFonts w:ascii="SimSun" w:hAnsi="SimSun" w:eastAsia="SimSun" w:cs="SimSun"/>
                <w:sz w:val="20"/>
                <w:szCs w:val="20"/>
                <w:spacing w:val="4"/>
              </w:rPr>
              <w:t>风险管理</w:t>
            </w:r>
            <w:r>
              <w:rPr>
                <w:rFonts w:ascii="SimSun" w:hAnsi="SimSun" w:eastAsia="SimSun" w:cs="SimSun"/>
                <w:sz w:val="20"/>
                <w:szCs w:val="20"/>
                <w:spacing w:val="-49"/>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252</w:t>
            </w:r>
          </w:hyperlink>
        </w:p>
        <w:p>
          <w:pPr>
            <w:ind w:left="969"/>
            <w:spacing w:before="64" w:line="193" w:lineRule="auto"/>
            <w:tabs>
              <w:tab w:val="right" w:leader="dot" w:pos="8505"/>
            </w:tabs>
            <w:rPr>
              <w:rFonts w:ascii="Times New Roman" w:hAnsi="Times New Roman" w:eastAsia="Times New Roman" w:cs="Times New Roman"/>
              <w:sz w:val="20"/>
              <w:szCs w:val="20"/>
            </w:rPr>
          </w:pPr>
          <w:hyperlink w:history="true" w:anchor="bookmark141">
            <w:r>
              <w:rPr>
                <w:rFonts w:ascii="Times New Roman" w:hAnsi="Times New Roman" w:eastAsia="Times New Roman" w:cs="Times New Roman"/>
                <w:sz w:val="20"/>
                <w:szCs w:val="20"/>
                <w:spacing w:val="5"/>
              </w:rPr>
              <w:t>6.6.2</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5"/>
              </w:rPr>
              <w:t>总图布置防范措施</w:t>
            </w:r>
            <w:r>
              <w:rPr>
                <w:rFonts w:ascii="SimSun" w:hAnsi="SimSun" w:eastAsia="SimSun" w:cs="SimSun"/>
                <w:sz w:val="20"/>
                <w:szCs w:val="20"/>
                <w:spacing w:val="-57"/>
              </w:rPr>
              <w:t xml:space="preserve"> </w:t>
            </w:r>
            <w:r>
              <w:rPr>
                <w:rFonts w:ascii="SimSun" w:hAnsi="SimSun" w:eastAsia="SimSun" w:cs="SimSun"/>
                <w:sz w:val="20"/>
                <w:szCs w:val="20"/>
              </w:rPr>
              <w:tab/>
            </w:r>
            <w:r>
              <w:rPr>
                <w:rFonts w:ascii="Times New Roman" w:hAnsi="Times New Roman" w:eastAsia="Times New Roman" w:cs="Times New Roman"/>
                <w:sz w:val="20"/>
                <w:szCs w:val="20"/>
                <w:spacing w:val="8"/>
              </w:rPr>
              <w:t>253</w:t>
            </w:r>
          </w:hyperlink>
        </w:p>
        <w:p>
          <w:pPr>
            <w:ind w:left="969"/>
            <w:spacing w:before="62" w:line="193" w:lineRule="auto"/>
            <w:tabs>
              <w:tab w:val="right" w:leader="dot" w:pos="8505"/>
            </w:tabs>
            <w:rPr>
              <w:rFonts w:ascii="Times New Roman" w:hAnsi="Times New Roman" w:eastAsia="Times New Roman" w:cs="Times New Roman"/>
              <w:sz w:val="20"/>
              <w:szCs w:val="20"/>
            </w:rPr>
          </w:pPr>
          <w:hyperlink w:history="true" w:anchor="bookmark142">
            <w:r>
              <w:rPr>
                <w:rFonts w:ascii="Times New Roman" w:hAnsi="Times New Roman" w:eastAsia="Times New Roman" w:cs="Times New Roman"/>
                <w:sz w:val="20"/>
                <w:szCs w:val="20"/>
                <w:spacing w:val="6"/>
              </w:rPr>
              <w:t>6.6.3 </w:t>
            </w:r>
            <w:r>
              <w:rPr>
                <w:rFonts w:ascii="SimSun" w:hAnsi="SimSun" w:eastAsia="SimSun" w:cs="SimSun"/>
                <w:sz w:val="20"/>
                <w:szCs w:val="20"/>
                <w:spacing w:val="6"/>
              </w:rPr>
              <w:t>装置设备和工艺安全</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7"/>
              </w:rPr>
              <w:t>253</w:t>
            </w:r>
          </w:hyperlink>
        </w:p>
        <w:p>
          <w:pPr>
            <w:ind w:left="969"/>
            <w:spacing w:before="62" w:line="194" w:lineRule="auto"/>
            <w:tabs>
              <w:tab w:val="right" w:leader="dot" w:pos="8505"/>
            </w:tabs>
            <w:rPr>
              <w:rFonts w:ascii="Times New Roman" w:hAnsi="Times New Roman" w:eastAsia="Times New Roman" w:cs="Times New Roman"/>
              <w:sz w:val="20"/>
              <w:szCs w:val="20"/>
            </w:rPr>
          </w:pPr>
          <w:hyperlink w:history="true" w:anchor="bookmark143">
            <w:r>
              <w:rPr>
                <w:rFonts w:ascii="Times New Roman" w:hAnsi="Times New Roman" w:eastAsia="Times New Roman" w:cs="Times New Roman"/>
                <w:sz w:val="20"/>
                <w:szCs w:val="20"/>
                <w:spacing w:val="7"/>
              </w:rPr>
              <w:t>6.6.4 </w:t>
            </w:r>
            <w:r>
              <w:rPr>
                <w:rFonts w:ascii="SimSun" w:hAnsi="SimSun" w:eastAsia="SimSun" w:cs="SimSun"/>
                <w:sz w:val="20"/>
                <w:szCs w:val="20"/>
                <w:spacing w:val="7"/>
              </w:rPr>
              <w:t>危险物质储运操作风险防范措施</w:t>
            </w:r>
            <w:r>
              <w:rPr>
                <w:rFonts w:ascii="SimSun" w:hAnsi="SimSun" w:eastAsia="SimSun" w:cs="SimSun"/>
                <w:sz w:val="20"/>
                <w:szCs w:val="20"/>
                <w:spacing w:val="-49"/>
              </w:rPr>
              <w:t xml:space="preserve"> </w:t>
            </w:r>
            <w:r>
              <w:rPr>
                <w:rFonts w:ascii="SimSun" w:hAnsi="SimSun" w:eastAsia="SimSun" w:cs="SimSun"/>
                <w:sz w:val="20"/>
                <w:szCs w:val="20"/>
              </w:rPr>
              <w:tab/>
            </w:r>
            <w:r>
              <w:rPr>
                <w:rFonts w:ascii="SimSun" w:hAnsi="SimSun" w:eastAsia="SimSun" w:cs="SimSun"/>
                <w:sz w:val="20"/>
                <w:szCs w:val="20"/>
                <w:spacing w:val="-46"/>
              </w:rPr>
              <w:t xml:space="preserve"> </w:t>
            </w:r>
            <w:r>
              <w:rPr>
                <w:rFonts w:ascii="Times New Roman" w:hAnsi="Times New Roman" w:eastAsia="Times New Roman" w:cs="Times New Roman"/>
                <w:sz w:val="20"/>
                <w:szCs w:val="20"/>
                <w:spacing w:val="3"/>
              </w:rPr>
              <w:t>255</w:t>
            </w:r>
          </w:hyperlink>
        </w:p>
        <w:p>
          <w:pPr>
            <w:ind w:left="969"/>
            <w:spacing w:before="63" w:line="193" w:lineRule="auto"/>
            <w:tabs>
              <w:tab w:val="right" w:leader="dot" w:pos="8505"/>
            </w:tabs>
            <w:rPr>
              <w:rFonts w:ascii="Times New Roman" w:hAnsi="Times New Roman" w:eastAsia="Times New Roman" w:cs="Times New Roman"/>
              <w:sz w:val="20"/>
              <w:szCs w:val="20"/>
            </w:rPr>
          </w:pPr>
          <w:hyperlink w:history="true" w:anchor="bookmark144">
            <w:r>
              <w:rPr>
                <w:rFonts w:ascii="Times New Roman" w:hAnsi="Times New Roman" w:eastAsia="Times New Roman" w:cs="Times New Roman"/>
                <w:sz w:val="20"/>
                <w:szCs w:val="20"/>
                <w:spacing w:val="6"/>
              </w:rPr>
              <w:t>6.6.5 </w:t>
            </w:r>
            <w:r>
              <w:rPr>
                <w:rFonts w:ascii="SimSun" w:hAnsi="SimSun" w:eastAsia="SimSun" w:cs="SimSun"/>
                <w:sz w:val="20"/>
                <w:szCs w:val="20"/>
                <w:spacing w:val="6"/>
              </w:rPr>
              <w:t>消防及火灾报警系统</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7"/>
              </w:rPr>
              <w:t>255</w:t>
            </w:r>
          </w:hyperlink>
        </w:p>
        <w:p>
          <w:pPr>
            <w:ind w:left="969"/>
            <w:spacing w:before="62" w:line="228" w:lineRule="auto"/>
            <w:tabs>
              <w:tab w:val="right" w:leader="dot" w:pos="8505"/>
            </w:tabs>
            <w:rPr>
              <w:rFonts w:ascii="Times New Roman" w:hAnsi="Times New Roman" w:eastAsia="Times New Roman" w:cs="Times New Roman"/>
              <w:sz w:val="20"/>
              <w:szCs w:val="20"/>
            </w:rPr>
          </w:pPr>
          <w:hyperlink w:history="true" w:anchor="bookmark145">
            <w:r>
              <w:rPr>
                <w:rFonts w:ascii="Times New Roman" w:hAnsi="Times New Roman" w:eastAsia="Times New Roman" w:cs="Times New Roman"/>
                <w:sz w:val="20"/>
                <w:szCs w:val="20"/>
                <w:spacing w:val="6"/>
              </w:rPr>
              <w:t>6.6.6 </w:t>
            </w:r>
            <w:r>
              <w:rPr>
                <w:rFonts w:ascii="SimSun" w:hAnsi="SimSun" w:eastAsia="SimSun" w:cs="SimSun"/>
                <w:sz w:val="20"/>
                <w:szCs w:val="20"/>
                <w:spacing w:val="6"/>
              </w:rPr>
              <w:t>事故废水风险防范措施</w:t>
            </w:r>
            <w:r>
              <w:rPr>
                <w:rFonts w:ascii="SimSun" w:hAnsi="SimSun" w:eastAsia="SimSun" w:cs="SimSun"/>
                <w:sz w:val="20"/>
                <w:szCs w:val="20"/>
                <w:spacing w:val="-45"/>
              </w:rPr>
              <w:t xml:space="preserve"> </w:t>
            </w:r>
            <w:r>
              <w:rPr>
                <w:rFonts w:ascii="SimSun" w:hAnsi="SimSun" w:eastAsia="SimSun" w:cs="SimSun"/>
                <w:sz w:val="20"/>
                <w:szCs w:val="20"/>
              </w:rPr>
              <w:tab/>
            </w:r>
            <w:r>
              <w:rPr>
                <w:rFonts w:ascii="Times New Roman" w:hAnsi="Times New Roman" w:eastAsia="Times New Roman" w:cs="Times New Roman"/>
                <w:sz w:val="20"/>
                <w:szCs w:val="20"/>
                <w:spacing w:val="6"/>
              </w:rPr>
              <w:t>255</w:t>
            </w:r>
          </w:hyperlink>
        </w:p>
      </w:sdtContent>
    </w:sdt>
    <w:p>
      <w:pPr>
        <w:ind w:left="7"/>
        <w:spacing w:before="291" w:line="227" w:lineRule="auto"/>
        <w:rPr>
          <w:rFonts w:ascii="SimSun" w:hAnsi="SimSun" w:eastAsia="SimSun" w:cs="SimSun"/>
          <w:sz w:val="19"/>
          <w:szCs w:val="19"/>
        </w:rPr>
      </w:pPr>
      <w:r>
        <w:pict>
          <v:shape id="_x0000_s20" style="position:absolute;margin-left:159.33pt;margin-top:13.5173pt;mso-position-vertical-relative:text;mso-position-horizontal-relative:text;width:56.6pt;height:13.75pt;z-index:25166336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5"/>
                    </w:rPr>
                    <w:t>任公司</w:t>
                  </w:r>
                  <w:r>
                    <w:rPr>
                      <w:rFonts w:ascii="SimSun" w:hAnsi="SimSun" w:eastAsia="SimSun" w:cs="SimSun"/>
                      <w:sz w:val="19"/>
                      <w:szCs w:val="19"/>
                      <w:spacing w:val="9"/>
                    </w:rPr>
                    <w:t xml:space="preserve">    </w:t>
                  </w:r>
                  <w:r>
                    <w:rPr>
                      <w:rFonts w:ascii="Times New Roman" w:hAnsi="Times New Roman" w:eastAsia="Times New Roman" w:cs="Times New Roman"/>
                      <w:sz w:val="18"/>
                      <w:szCs w:val="18"/>
                      <w:spacing w:val="5"/>
                      <w:position w:val="2"/>
                    </w:rPr>
                    <w:t>5</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8"/>
          <w:footerReference w:type="default" r:id="rId3"/>
          <w:pgSz w:w="11907" w:h="16840"/>
          <w:pgMar w:top="1567" w:right="1700" w:bottom="400" w:left="1701" w:header="1221" w:footer="0" w:gutter="0"/>
        </w:sectPr>
        <w:rPr>
          <w:rFonts w:ascii="SimSun" w:hAnsi="SimSun" w:eastAsia="SimSun" w:cs="SimSun"/>
          <w:sz w:val="19"/>
          <w:szCs w:val="19"/>
        </w:rPr>
      </w:pPr>
    </w:p>
    <w:sdt>
      <w:sdtPr>
        <w:rPr>
          <w:rFonts w:ascii="Times New Roman" w:hAnsi="Times New Roman" w:eastAsia="Times New Roman" w:cs="Times New Roman"/>
          <w:sz w:val="20"/>
          <w:szCs w:val="20"/>
        </w:rPr>
        <w:docPartObj>
          <w:docPartGallery w:val="Table of Contents"/>
          <w:docPartUnique/>
        </w:docPartObj>
      </w:sdtPr>
      <w:sdtEndPr>
        <w:rPr>
          <w:rFonts w:ascii="Times New Roman" w:hAnsi="Times New Roman" w:eastAsia="Times New Roman" w:cs="Times New Roman"/>
          <w:sz w:val="20"/>
          <w:szCs w:val="20"/>
        </w:rPr>
      </w:sdtEndPr>
      <w:sdtContent>
        <w:p>
          <w:pPr>
            <w:ind w:left="969"/>
            <w:spacing w:before="178" w:line="193" w:lineRule="auto"/>
            <w:tabs>
              <w:tab w:val="right" w:leader="dot" w:pos="8505"/>
            </w:tabs>
            <w:rPr>
              <w:rFonts w:ascii="Times New Roman" w:hAnsi="Times New Roman" w:eastAsia="Times New Roman" w:cs="Times New Roman"/>
              <w:sz w:val="20"/>
              <w:szCs w:val="20"/>
            </w:rPr>
          </w:pPr>
          <w:r>
            <w:pict>
              <v:shape id="_x0000_s22" style="position:absolute;margin-left:85.05pt;margin-top:78.87pt;mso-position-vertical-relative:page;mso-position-horizontal-relative:page;width:425.25pt;height:0.75pt;z-index:251665408;" o:allowincell="f" fillcolor="#000000" filled="true" stroked="false" coordsize="8505,15" coordorigin="0,0" path="m,l8505,0l8505,14l0,14l0,0xe"/>
            </w:pict>
          </w:r>
          <w:hyperlink w:history="true" w:anchor="bookmark146">
            <w:r>
              <w:rPr>
                <w:rFonts w:ascii="Times New Roman" w:hAnsi="Times New Roman" w:eastAsia="Times New Roman" w:cs="Times New Roman"/>
                <w:sz w:val="20"/>
                <w:szCs w:val="20"/>
                <w:spacing w:val="4"/>
              </w:rPr>
              <w:t>6.6.7 </w:t>
            </w:r>
            <w:r>
              <w:rPr>
                <w:rFonts w:ascii="SimSun" w:hAnsi="SimSun" w:eastAsia="SimSun" w:cs="SimSun"/>
                <w:sz w:val="20"/>
                <w:szCs w:val="20"/>
                <w:spacing w:val="4"/>
              </w:rPr>
              <w:t>其他措施</w:t>
            </w:r>
            <w:r>
              <w:rPr>
                <w:rFonts w:ascii="SimSun" w:hAnsi="SimSun" w:eastAsia="SimSun" w:cs="SimSun"/>
                <w:sz w:val="20"/>
                <w:szCs w:val="20"/>
                <w:spacing w:val="-49"/>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257</w:t>
            </w:r>
          </w:hyperlink>
        </w:p>
        <w:p>
          <w:pPr>
            <w:ind w:left="489"/>
            <w:spacing w:before="62" w:line="193" w:lineRule="auto"/>
            <w:tabs>
              <w:tab w:val="right" w:leader="dot" w:pos="8505"/>
            </w:tabs>
            <w:rPr>
              <w:rFonts w:ascii="Times New Roman" w:hAnsi="Times New Roman" w:eastAsia="Times New Roman" w:cs="Times New Roman"/>
              <w:sz w:val="20"/>
              <w:szCs w:val="20"/>
            </w:rPr>
          </w:pPr>
          <w:hyperlink w:history="true" w:anchor="bookmark147">
            <w:r>
              <w:rPr>
                <w:rFonts w:ascii="Times New Roman" w:hAnsi="Times New Roman" w:eastAsia="Times New Roman" w:cs="Times New Roman"/>
                <w:sz w:val="20"/>
                <w:szCs w:val="20"/>
                <w:spacing w:val="6"/>
              </w:rPr>
              <w:t>6.7</w:t>
            </w:r>
            <w:r>
              <w:rPr>
                <w:rFonts w:ascii="Times New Roman" w:hAnsi="Times New Roman" w:eastAsia="Times New Roman" w:cs="Times New Roman"/>
                <w:sz w:val="20"/>
                <w:szCs w:val="20"/>
                <w:spacing w:val="24"/>
              </w:rPr>
              <w:t xml:space="preserve"> </w:t>
            </w:r>
            <w:r>
              <w:rPr>
                <w:rFonts w:ascii="SimSun" w:hAnsi="SimSun" w:eastAsia="SimSun" w:cs="SimSun"/>
                <w:sz w:val="20"/>
                <w:szCs w:val="20"/>
                <w:spacing w:val="6"/>
              </w:rPr>
              <w:t>突发环境事件应急预案</w:t>
            </w:r>
            <w:r>
              <w:rPr>
                <w:rFonts w:ascii="SimSun" w:hAnsi="SimSun" w:eastAsia="SimSun" w:cs="SimSun"/>
                <w:sz w:val="20"/>
                <w:szCs w:val="20"/>
                <w:spacing w:val="-57"/>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258</w:t>
            </w:r>
          </w:hyperlink>
        </w:p>
        <w:p>
          <w:pPr>
            <w:ind w:left="489"/>
            <w:spacing w:before="62" w:line="194" w:lineRule="auto"/>
            <w:tabs>
              <w:tab w:val="right" w:leader="dot" w:pos="8505"/>
            </w:tabs>
            <w:rPr>
              <w:rFonts w:ascii="Times New Roman" w:hAnsi="Times New Roman" w:eastAsia="Times New Roman" w:cs="Times New Roman"/>
              <w:sz w:val="20"/>
              <w:szCs w:val="20"/>
            </w:rPr>
          </w:pPr>
          <w:hyperlink w:history="true" w:anchor="bookmark148">
            <w:r>
              <w:rPr>
                <w:rFonts w:ascii="Times New Roman" w:hAnsi="Times New Roman" w:eastAsia="Times New Roman" w:cs="Times New Roman"/>
                <w:sz w:val="20"/>
                <w:szCs w:val="20"/>
                <w:spacing w:val="6"/>
              </w:rPr>
              <w:t>6.8 </w:t>
            </w:r>
            <w:r>
              <w:rPr>
                <w:rFonts w:ascii="SimSun" w:hAnsi="SimSun" w:eastAsia="SimSun" w:cs="SimSun"/>
                <w:sz w:val="20"/>
                <w:szCs w:val="20"/>
                <w:spacing w:val="6"/>
              </w:rPr>
              <w:t>环境风险分析结论</w:t>
            </w:r>
            <w:r>
              <w:rPr>
                <w:rFonts w:ascii="SimSun" w:hAnsi="SimSun" w:eastAsia="SimSun" w:cs="SimSun"/>
                <w:sz w:val="20"/>
                <w:szCs w:val="20"/>
                <w:spacing w:val="-47"/>
              </w:rPr>
              <w:t xml:space="preserve"> </w:t>
            </w:r>
            <w:r>
              <w:rPr>
                <w:rFonts w:ascii="SimSun" w:hAnsi="SimSun" w:eastAsia="SimSun" w:cs="SimSun"/>
                <w:sz w:val="20"/>
                <w:szCs w:val="20"/>
              </w:rPr>
              <w:tab/>
            </w:r>
            <w:r>
              <w:rPr>
                <w:rFonts w:ascii="SimSun" w:hAnsi="SimSun" w:eastAsia="SimSun" w:cs="SimSun"/>
                <w:sz w:val="20"/>
                <w:szCs w:val="20"/>
                <w:spacing w:val="-74"/>
              </w:rPr>
              <w:t xml:space="preserve"> </w:t>
            </w:r>
            <w:r>
              <w:rPr>
                <w:rFonts w:ascii="Times New Roman" w:hAnsi="Times New Roman" w:eastAsia="Times New Roman" w:cs="Times New Roman"/>
                <w:sz w:val="20"/>
                <w:szCs w:val="20"/>
                <w:spacing w:val="3"/>
              </w:rPr>
              <w:t>258</w:t>
            </w:r>
          </w:hyperlink>
        </w:p>
        <w:p>
          <w:pPr>
            <w:ind w:left="8"/>
            <w:spacing w:before="63" w:line="193" w:lineRule="auto"/>
            <w:tabs>
              <w:tab w:val="right" w:leader="dot" w:pos="8505"/>
            </w:tabs>
            <w:rPr>
              <w:rFonts w:ascii="Times New Roman" w:hAnsi="Times New Roman" w:eastAsia="Times New Roman" w:cs="Times New Roman"/>
              <w:sz w:val="20"/>
              <w:szCs w:val="20"/>
            </w:rPr>
          </w:pPr>
          <w:hyperlink w:history="true" w:anchor="bookmark149">
            <w:r>
              <w:rPr>
                <w:rFonts w:ascii="Times New Roman" w:hAnsi="Times New Roman" w:eastAsia="Times New Roman" w:cs="Times New Roman"/>
                <w:sz w:val="20"/>
                <w:szCs w:val="20"/>
                <w:spacing w:val="8"/>
              </w:rPr>
              <w:t>7 </w:t>
            </w:r>
            <w:r>
              <w:rPr>
                <w:rFonts w:ascii="SimSun" w:hAnsi="SimSun" w:eastAsia="SimSun" w:cs="SimSun"/>
                <w:sz w:val="20"/>
                <w:szCs w:val="20"/>
                <w:spacing w:val="8"/>
              </w:rPr>
              <w:t>环境保护措施及其可行性论证</w:t>
            </w:r>
            <w:r>
              <w:rPr>
                <w:rFonts w:ascii="SimSun" w:hAnsi="SimSun" w:eastAsia="SimSun" w:cs="SimSun"/>
                <w:sz w:val="20"/>
                <w:szCs w:val="20"/>
                <w:spacing w:val="-53"/>
              </w:rPr>
              <w:t xml:space="preserve"> </w:t>
            </w:r>
            <w:r>
              <w:rPr>
                <w:rFonts w:ascii="SimSun" w:hAnsi="SimSun" w:eastAsia="SimSun" w:cs="SimSun"/>
                <w:sz w:val="20"/>
                <w:szCs w:val="20"/>
              </w:rPr>
              <w:tab/>
            </w:r>
            <w:r>
              <w:rPr>
                <w:rFonts w:ascii="SimSun" w:hAnsi="SimSun" w:eastAsia="SimSun" w:cs="SimSun"/>
                <w:sz w:val="20"/>
                <w:szCs w:val="20"/>
                <w:spacing w:val="-69"/>
              </w:rPr>
              <w:t xml:space="preserve"> </w:t>
            </w:r>
            <w:r>
              <w:rPr>
                <w:rFonts w:ascii="Times New Roman" w:hAnsi="Times New Roman" w:eastAsia="Times New Roman" w:cs="Times New Roman"/>
                <w:sz w:val="20"/>
                <w:szCs w:val="20"/>
                <w:spacing w:val="3"/>
              </w:rPr>
              <w:t>261</w:t>
            </w:r>
          </w:hyperlink>
        </w:p>
        <w:p>
          <w:pPr>
            <w:ind w:left="488"/>
            <w:spacing w:before="62" w:line="193" w:lineRule="auto"/>
            <w:tabs>
              <w:tab w:val="right" w:leader="dot" w:pos="8505"/>
            </w:tabs>
            <w:rPr>
              <w:rFonts w:ascii="Times New Roman" w:hAnsi="Times New Roman" w:eastAsia="Times New Roman" w:cs="Times New Roman"/>
              <w:sz w:val="20"/>
              <w:szCs w:val="20"/>
            </w:rPr>
          </w:pPr>
          <w:hyperlink w:history="true" w:anchor="bookmark150">
            <w:r>
              <w:rPr>
                <w:rFonts w:ascii="Times New Roman" w:hAnsi="Times New Roman" w:eastAsia="Times New Roman" w:cs="Times New Roman"/>
                <w:sz w:val="20"/>
                <w:szCs w:val="20"/>
                <w:spacing w:val="8"/>
              </w:rPr>
              <w:t>7.1 </w:t>
            </w:r>
            <w:r>
              <w:rPr>
                <w:rFonts w:ascii="SimSun" w:hAnsi="SimSun" w:eastAsia="SimSun" w:cs="SimSun"/>
                <w:sz w:val="20"/>
                <w:szCs w:val="20"/>
                <w:spacing w:val="8"/>
              </w:rPr>
              <w:t>废气治理措施的经济技术的可行性分析</w:t>
            </w:r>
            <w:r>
              <w:rPr>
                <w:rFonts w:ascii="SimSun" w:hAnsi="SimSun" w:eastAsia="SimSun" w:cs="SimSun"/>
                <w:sz w:val="20"/>
                <w:szCs w:val="20"/>
                <w:spacing w:val="-53"/>
              </w:rPr>
              <w:t xml:space="preserve"> </w:t>
            </w:r>
            <w:r>
              <w:rPr>
                <w:rFonts w:ascii="SimSun" w:hAnsi="SimSun" w:eastAsia="SimSun" w:cs="SimSun"/>
                <w:sz w:val="20"/>
                <w:szCs w:val="20"/>
              </w:rPr>
              <w:tab/>
            </w:r>
            <w:r>
              <w:rPr>
                <w:rFonts w:ascii="Times New Roman" w:hAnsi="Times New Roman" w:eastAsia="Times New Roman" w:cs="Times New Roman"/>
                <w:sz w:val="20"/>
                <w:szCs w:val="20"/>
                <w:spacing w:val="6"/>
              </w:rPr>
              <w:t>261</w:t>
            </w:r>
          </w:hyperlink>
        </w:p>
        <w:p>
          <w:pPr>
            <w:ind w:left="968"/>
            <w:spacing w:before="64" w:line="194" w:lineRule="auto"/>
            <w:tabs>
              <w:tab w:val="right" w:leader="dot" w:pos="8505"/>
            </w:tabs>
            <w:rPr>
              <w:rFonts w:ascii="Times New Roman" w:hAnsi="Times New Roman" w:eastAsia="Times New Roman" w:cs="Times New Roman"/>
              <w:sz w:val="20"/>
              <w:szCs w:val="20"/>
            </w:rPr>
          </w:pPr>
          <w:hyperlink w:history="true" w:anchor="bookmark151">
            <w:r>
              <w:rPr>
                <w:rFonts w:ascii="Times New Roman" w:hAnsi="Times New Roman" w:eastAsia="Times New Roman" w:cs="Times New Roman"/>
                <w:sz w:val="20"/>
                <w:szCs w:val="20"/>
                <w:spacing w:val="6"/>
              </w:rPr>
              <w:t>7.1.1 </w:t>
            </w:r>
            <w:r>
              <w:rPr>
                <w:rFonts w:ascii="SimSun" w:hAnsi="SimSun" w:eastAsia="SimSun" w:cs="SimSun"/>
                <w:sz w:val="20"/>
                <w:szCs w:val="20"/>
                <w:spacing w:val="6"/>
              </w:rPr>
              <w:t>含尘废气治理措施</w:t>
            </w:r>
            <w:r>
              <w:rPr>
                <w:rFonts w:ascii="SimSun" w:hAnsi="SimSun" w:eastAsia="SimSun" w:cs="SimSun"/>
                <w:sz w:val="20"/>
                <w:szCs w:val="20"/>
                <w:spacing w:val="-52"/>
              </w:rPr>
              <w:t xml:space="preserve"> </w:t>
            </w:r>
            <w:r>
              <w:rPr>
                <w:rFonts w:ascii="SimSun" w:hAnsi="SimSun" w:eastAsia="SimSun" w:cs="SimSun"/>
                <w:sz w:val="20"/>
                <w:szCs w:val="20"/>
              </w:rPr>
              <w:tab/>
            </w:r>
            <w:r>
              <w:rPr>
                <w:rFonts w:ascii="Times New Roman" w:hAnsi="Times New Roman" w:eastAsia="Times New Roman" w:cs="Times New Roman"/>
                <w:sz w:val="20"/>
                <w:szCs w:val="20"/>
                <w:spacing w:val="8"/>
              </w:rPr>
              <w:t>261</w:t>
            </w:r>
          </w:hyperlink>
        </w:p>
        <w:p>
          <w:pPr>
            <w:ind w:left="968"/>
            <w:spacing w:before="61" w:line="193" w:lineRule="auto"/>
            <w:tabs>
              <w:tab w:val="right" w:leader="dot" w:pos="8505"/>
            </w:tabs>
            <w:rPr>
              <w:rFonts w:ascii="Times New Roman" w:hAnsi="Times New Roman" w:eastAsia="Times New Roman" w:cs="Times New Roman"/>
              <w:sz w:val="20"/>
              <w:szCs w:val="20"/>
            </w:rPr>
          </w:pPr>
          <w:hyperlink w:history="true" w:anchor="bookmark152">
            <w:r>
              <w:rPr>
                <w:rFonts w:ascii="Times New Roman" w:hAnsi="Times New Roman" w:eastAsia="Times New Roman" w:cs="Times New Roman"/>
                <w:sz w:val="20"/>
                <w:szCs w:val="20"/>
                <w:spacing w:val="6"/>
              </w:rPr>
              <w:t>7.1.2 </w:t>
            </w:r>
            <w:r>
              <w:rPr>
                <w:rFonts w:ascii="SimSun" w:hAnsi="SimSun" w:eastAsia="SimSun" w:cs="SimSun"/>
                <w:sz w:val="20"/>
                <w:szCs w:val="20"/>
                <w:spacing w:val="6"/>
              </w:rPr>
              <w:t>恶臭气体治理措施</w:t>
            </w:r>
            <w:r>
              <w:rPr>
                <w:rFonts w:ascii="SimSun" w:hAnsi="SimSun" w:eastAsia="SimSun" w:cs="SimSun"/>
                <w:sz w:val="20"/>
                <w:szCs w:val="20"/>
                <w:spacing w:val="-52"/>
              </w:rPr>
              <w:t xml:space="preserve"> </w:t>
            </w:r>
            <w:r>
              <w:rPr>
                <w:rFonts w:ascii="SimSun" w:hAnsi="SimSun" w:eastAsia="SimSun" w:cs="SimSun"/>
                <w:sz w:val="20"/>
                <w:szCs w:val="20"/>
              </w:rPr>
              <w:tab/>
            </w:r>
            <w:r>
              <w:rPr>
                <w:rFonts w:ascii="Times New Roman" w:hAnsi="Times New Roman" w:eastAsia="Times New Roman" w:cs="Times New Roman"/>
                <w:sz w:val="20"/>
                <w:szCs w:val="20"/>
                <w:spacing w:val="8"/>
              </w:rPr>
              <w:t>262</w:t>
            </w:r>
          </w:hyperlink>
        </w:p>
        <w:p>
          <w:pPr>
            <w:ind w:left="968"/>
            <w:spacing w:before="64" w:line="193" w:lineRule="auto"/>
            <w:tabs>
              <w:tab w:val="right" w:leader="dot" w:pos="8505"/>
            </w:tabs>
            <w:rPr>
              <w:rFonts w:ascii="Times New Roman" w:hAnsi="Times New Roman" w:eastAsia="Times New Roman" w:cs="Times New Roman"/>
              <w:sz w:val="20"/>
              <w:szCs w:val="20"/>
            </w:rPr>
          </w:pPr>
          <w:hyperlink w:history="true" w:anchor="bookmark153">
            <w:r>
              <w:rPr>
                <w:rFonts w:ascii="Times New Roman" w:hAnsi="Times New Roman" w:eastAsia="Times New Roman" w:cs="Times New Roman"/>
                <w:sz w:val="20"/>
                <w:szCs w:val="20"/>
                <w:spacing w:val="6"/>
              </w:rPr>
              <w:t>7.1.3 </w:t>
            </w:r>
            <w:r>
              <w:rPr>
                <w:rFonts w:ascii="SimSun" w:hAnsi="SimSun" w:eastAsia="SimSun" w:cs="SimSun"/>
                <w:sz w:val="20"/>
                <w:szCs w:val="20"/>
                <w:spacing w:val="6"/>
              </w:rPr>
              <w:t>锅炉烟气治理措施</w:t>
            </w:r>
            <w:r>
              <w:rPr>
                <w:rFonts w:ascii="SimSun" w:hAnsi="SimSun" w:eastAsia="SimSun" w:cs="SimSun"/>
                <w:sz w:val="20"/>
                <w:szCs w:val="20"/>
                <w:spacing w:val="-52"/>
              </w:rPr>
              <w:t xml:space="preserve"> </w:t>
            </w:r>
            <w:r>
              <w:rPr>
                <w:rFonts w:ascii="SimSun" w:hAnsi="SimSun" w:eastAsia="SimSun" w:cs="SimSun"/>
                <w:sz w:val="20"/>
                <w:szCs w:val="20"/>
              </w:rPr>
              <w:tab/>
            </w:r>
            <w:r>
              <w:rPr>
                <w:rFonts w:ascii="Times New Roman" w:hAnsi="Times New Roman" w:eastAsia="Times New Roman" w:cs="Times New Roman"/>
                <w:sz w:val="20"/>
                <w:szCs w:val="20"/>
                <w:spacing w:val="8"/>
              </w:rPr>
              <w:t>263</w:t>
            </w:r>
          </w:hyperlink>
        </w:p>
        <w:p>
          <w:pPr>
            <w:ind w:left="968"/>
            <w:spacing w:before="62" w:line="194" w:lineRule="auto"/>
            <w:tabs>
              <w:tab w:val="right" w:leader="dot" w:pos="8505"/>
            </w:tabs>
            <w:rPr>
              <w:rFonts w:ascii="Times New Roman" w:hAnsi="Times New Roman" w:eastAsia="Times New Roman" w:cs="Times New Roman"/>
              <w:sz w:val="20"/>
              <w:szCs w:val="20"/>
            </w:rPr>
          </w:pPr>
          <w:hyperlink w:history="true" w:anchor="bookmark154">
            <w:r>
              <w:rPr>
                <w:rFonts w:ascii="Times New Roman" w:hAnsi="Times New Roman" w:eastAsia="Times New Roman" w:cs="Times New Roman"/>
                <w:sz w:val="20"/>
                <w:szCs w:val="20"/>
                <w:spacing w:val="7"/>
              </w:rPr>
              <w:t>7.1.4 </w:t>
            </w:r>
            <w:r>
              <w:rPr>
                <w:rFonts w:ascii="SimSun" w:hAnsi="SimSun" w:eastAsia="SimSun" w:cs="SimSun"/>
                <w:sz w:val="20"/>
                <w:szCs w:val="20"/>
                <w:spacing w:val="7"/>
              </w:rPr>
              <w:t>无组织排放污染防治措施</w:t>
            </w:r>
            <w:r>
              <w:rPr>
                <w:rFonts w:ascii="SimSun" w:hAnsi="SimSun" w:eastAsia="SimSun" w:cs="SimSun"/>
                <w:sz w:val="20"/>
                <w:szCs w:val="20"/>
                <w:spacing w:val="-55"/>
              </w:rPr>
              <w:t xml:space="preserve"> </w:t>
            </w:r>
            <w:r>
              <w:rPr>
                <w:rFonts w:ascii="SimSun" w:hAnsi="SimSun" w:eastAsia="SimSun" w:cs="SimSun"/>
                <w:sz w:val="20"/>
                <w:szCs w:val="20"/>
              </w:rPr>
              <w:tab/>
            </w:r>
            <w:r>
              <w:rPr>
                <w:rFonts w:ascii="Times New Roman" w:hAnsi="Times New Roman" w:eastAsia="Times New Roman" w:cs="Times New Roman"/>
                <w:sz w:val="20"/>
                <w:szCs w:val="20"/>
                <w:spacing w:val="5"/>
              </w:rPr>
              <w:t>265</w:t>
            </w:r>
          </w:hyperlink>
        </w:p>
        <w:p>
          <w:pPr>
            <w:ind w:left="488"/>
            <w:spacing w:before="63" w:line="193" w:lineRule="auto"/>
            <w:tabs>
              <w:tab w:val="right" w:leader="dot" w:pos="8505"/>
            </w:tabs>
            <w:rPr>
              <w:rFonts w:ascii="Times New Roman" w:hAnsi="Times New Roman" w:eastAsia="Times New Roman" w:cs="Times New Roman"/>
              <w:sz w:val="20"/>
              <w:szCs w:val="20"/>
            </w:rPr>
          </w:pPr>
          <w:hyperlink w:history="true" w:anchor="bookmark155">
            <w:r>
              <w:rPr>
                <w:rFonts w:ascii="Times New Roman" w:hAnsi="Times New Roman" w:eastAsia="Times New Roman" w:cs="Times New Roman"/>
                <w:sz w:val="20"/>
                <w:szCs w:val="20"/>
                <w:spacing w:val="7"/>
              </w:rPr>
              <w:t>7.2 </w:t>
            </w:r>
            <w:r>
              <w:rPr>
                <w:rFonts w:ascii="SimSun" w:hAnsi="SimSun" w:eastAsia="SimSun" w:cs="SimSun"/>
                <w:sz w:val="20"/>
                <w:szCs w:val="20"/>
                <w:spacing w:val="7"/>
              </w:rPr>
              <w:t>废水治理措施的可行性分析</w:t>
            </w:r>
            <w:r>
              <w:rPr>
                <w:rFonts w:ascii="SimSun" w:hAnsi="SimSun" w:eastAsia="SimSun" w:cs="SimSun"/>
                <w:sz w:val="20"/>
                <w:szCs w:val="20"/>
                <w:spacing w:val="-46"/>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266</w:t>
            </w:r>
          </w:hyperlink>
        </w:p>
        <w:p>
          <w:pPr>
            <w:ind w:left="968"/>
            <w:spacing w:before="62" w:line="193" w:lineRule="auto"/>
            <w:tabs>
              <w:tab w:val="right" w:leader="dot" w:pos="8505"/>
            </w:tabs>
            <w:rPr>
              <w:rFonts w:ascii="Times New Roman" w:hAnsi="Times New Roman" w:eastAsia="Times New Roman" w:cs="Times New Roman"/>
              <w:sz w:val="20"/>
              <w:szCs w:val="20"/>
            </w:rPr>
          </w:pPr>
          <w:hyperlink w:history="true" w:anchor="bookmark156">
            <w:r>
              <w:rPr>
                <w:rFonts w:ascii="Times New Roman" w:hAnsi="Times New Roman" w:eastAsia="Times New Roman" w:cs="Times New Roman"/>
                <w:sz w:val="20"/>
                <w:szCs w:val="20"/>
                <w:spacing w:val="5"/>
              </w:rPr>
              <w:t>7.2.1 </w:t>
            </w:r>
            <w:r>
              <w:rPr>
                <w:rFonts w:ascii="SimSun" w:hAnsi="SimSun" w:eastAsia="SimSun" w:cs="SimSun"/>
                <w:sz w:val="20"/>
                <w:szCs w:val="20"/>
                <w:spacing w:val="5"/>
              </w:rPr>
              <w:t>废水处理措施</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266</w:t>
            </w:r>
          </w:hyperlink>
        </w:p>
        <w:p>
          <w:pPr>
            <w:ind w:left="968"/>
            <w:spacing w:before="65" w:line="194" w:lineRule="auto"/>
            <w:tabs>
              <w:tab w:val="right" w:leader="dot" w:pos="8505"/>
            </w:tabs>
            <w:rPr>
              <w:rFonts w:ascii="Times New Roman" w:hAnsi="Times New Roman" w:eastAsia="Times New Roman" w:cs="Times New Roman"/>
              <w:sz w:val="20"/>
              <w:szCs w:val="20"/>
            </w:rPr>
          </w:pPr>
          <w:hyperlink w:history="true" w:anchor="bookmark157">
            <w:r>
              <w:rPr>
                <w:rFonts w:ascii="Times New Roman" w:hAnsi="Times New Roman" w:eastAsia="Times New Roman" w:cs="Times New Roman"/>
                <w:sz w:val="20"/>
                <w:szCs w:val="20"/>
                <w:spacing w:val="6"/>
              </w:rPr>
              <w:t>7.2.2 </w:t>
            </w:r>
            <w:r>
              <w:rPr>
                <w:rFonts w:ascii="SimSun" w:hAnsi="SimSun" w:eastAsia="SimSun" w:cs="SimSun"/>
                <w:sz w:val="20"/>
                <w:szCs w:val="20"/>
                <w:spacing w:val="6"/>
              </w:rPr>
              <w:t>地下水污染防治措施</w:t>
            </w:r>
            <w:r>
              <w:rPr>
                <w:rFonts w:ascii="SimSun" w:hAnsi="SimSun" w:eastAsia="SimSun" w:cs="SimSun"/>
                <w:sz w:val="20"/>
                <w:szCs w:val="20"/>
                <w:spacing w:val="-46"/>
              </w:rPr>
              <w:t xml:space="preserve"> </w:t>
            </w:r>
            <w:r>
              <w:rPr>
                <w:rFonts w:ascii="SimSun" w:hAnsi="SimSun" w:eastAsia="SimSun" w:cs="SimSun"/>
                <w:sz w:val="20"/>
                <w:szCs w:val="20"/>
              </w:rPr>
              <w:tab/>
            </w:r>
            <w:r>
              <w:rPr>
                <w:rFonts w:ascii="Times New Roman" w:hAnsi="Times New Roman" w:eastAsia="Times New Roman" w:cs="Times New Roman"/>
                <w:sz w:val="20"/>
                <w:szCs w:val="20"/>
                <w:spacing w:val="7"/>
              </w:rPr>
              <w:t>273</w:t>
            </w:r>
          </w:hyperlink>
        </w:p>
        <w:p>
          <w:pPr>
            <w:ind w:left="488"/>
            <w:spacing w:before="61" w:line="193" w:lineRule="auto"/>
            <w:tabs>
              <w:tab w:val="right" w:leader="dot" w:pos="8505"/>
            </w:tabs>
            <w:rPr>
              <w:rFonts w:ascii="Times New Roman" w:hAnsi="Times New Roman" w:eastAsia="Times New Roman" w:cs="Times New Roman"/>
              <w:sz w:val="20"/>
              <w:szCs w:val="20"/>
            </w:rPr>
          </w:pPr>
          <w:hyperlink w:history="true" w:anchor="bookmark158">
            <w:r>
              <w:rPr>
                <w:rFonts w:ascii="Times New Roman" w:hAnsi="Times New Roman" w:eastAsia="Times New Roman" w:cs="Times New Roman"/>
                <w:sz w:val="20"/>
                <w:szCs w:val="20"/>
                <w:spacing w:val="5"/>
              </w:rPr>
              <w:t>7.3</w:t>
            </w:r>
            <w:r>
              <w:rPr>
                <w:rFonts w:ascii="Times New Roman" w:hAnsi="Times New Roman" w:eastAsia="Times New Roman" w:cs="Times New Roman"/>
                <w:sz w:val="20"/>
                <w:szCs w:val="20"/>
                <w:spacing w:val="28"/>
              </w:rPr>
              <w:t xml:space="preserve"> </w:t>
            </w:r>
            <w:r>
              <w:rPr>
                <w:rFonts w:ascii="SimSun" w:hAnsi="SimSun" w:eastAsia="SimSun" w:cs="SimSun"/>
                <w:sz w:val="20"/>
                <w:szCs w:val="20"/>
                <w:spacing w:val="5"/>
              </w:rPr>
              <w:t>噪声治理措施分析</w:t>
            </w:r>
            <w:r>
              <w:rPr>
                <w:rFonts w:ascii="SimSun" w:hAnsi="SimSun" w:eastAsia="SimSun" w:cs="SimSun"/>
                <w:sz w:val="20"/>
                <w:szCs w:val="20"/>
                <w:spacing w:val="-57"/>
              </w:rPr>
              <w:t xml:space="preserve"> </w:t>
            </w:r>
            <w:r>
              <w:rPr>
                <w:rFonts w:ascii="SimSun" w:hAnsi="SimSun" w:eastAsia="SimSun" w:cs="SimSun"/>
                <w:sz w:val="20"/>
                <w:szCs w:val="20"/>
              </w:rPr>
              <w:tab/>
            </w:r>
            <w:r>
              <w:rPr>
                <w:rFonts w:ascii="SimSun" w:hAnsi="SimSun" w:eastAsia="SimSun" w:cs="SimSun"/>
                <w:sz w:val="20"/>
                <w:szCs w:val="20"/>
                <w:spacing w:val="-74"/>
              </w:rPr>
              <w:t xml:space="preserve"> </w:t>
            </w:r>
            <w:r>
              <w:rPr>
                <w:rFonts w:ascii="Times New Roman" w:hAnsi="Times New Roman" w:eastAsia="Times New Roman" w:cs="Times New Roman"/>
                <w:sz w:val="20"/>
                <w:szCs w:val="20"/>
                <w:spacing w:val="3"/>
              </w:rPr>
              <w:t>278</w:t>
            </w:r>
          </w:hyperlink>
        </w:p>
        <w:p>
          <w:pPr>
            <w:ind w:left="488"/>
            <w:spacing w:before="64" w:line="193" w:lineRule="auto"/>
            <w:tabs>
              <w:tab w:val="right" w:leader="dot" w:pos="8505"/>
            </w:tabs>
            <w:rPr>
              <w:rFonts w:ascii="Times New Roman" w:hAnsi="Times New Roman" w:eastAsia="Times New Roman" w:cs="Times New Roman"/>
              <w:sz w:val="20"/>
              <w:szCs w:val="20"/>
            </w:rPr>
          </w:pPr>
          <w:hyperlink w:history="true" w:anchor="bookmark159">
            <w:r>
              <w:rPr>
                <w:rFonts w:ascii="Times New Roman" w:hAnsi="Times New Roman" w:eastAsia="Times New Roman" w:cs="Times New Roman"/>
                <w:sz w:val="20"/>
                <w:szCs w:val="20"/>
                <w:spacing w:val="7"/>
              </w:rPr>
              <w:t>7.4</w:t>
            </w:r>
            <w:r>
              <w:rPr>
                <w:rFonts w:ascii="Times New Roman" w:hAnsi="Times New Roman" w:eastAsia="Times New Roman" w:cs="Times New Roman"/>
                <w:sz w:val="20"/>
                <w:szCs w:val="20"/>
                <w:spacing w:val="28"/>
                <w:w w:val="101"/>
              </w:rPr>
              <w:t xml:space="preserve"> </w:t>
            </w:r>
            <w:r>
              <w:rPr>
                <w:rFonts w:ascii="SimSun" w:hAnsi="SimSun" w:eastAsia="SimSun" w:cs="SimSun"/>
                <w:sz w:val="20"/>
                <w:szCs w:val="20"/>
                <w:spacing w:val="7"/>
              </w:rPr>
              <w:t>固体废物防治对策及其可行性分析</w:t>
            </w:r>
            <w:r>
              <w:rPr>
                <w:rFonts w:ascii="SimSun" w:hAnsi="SimSun" w:eastAsia="SimSun" w:cs="SimSun"/>
                <w:sz w:val="20"/>
                <w:szCs w:val="20"/>
                <w:spacing w:val="-59"/>
              </w:rPr>
              <w:t xml:space="preserve"> </w:t>
            </w:r>
            <w:r>
              <w:rPr>
                <w:rFonts w:ascii="SimSun" w:hAnsi="SimSun" w:eastAsia="SimSun" w:cs="SimSun"/>
                <w:sz w:val="20"/>
                <w:szCs w:val="20"/>
              </w:rPr>
              <w:tab/>
            </w:r>
            <w:r>
              <w:rPr>
                <w:rFonts w:ascii="Times New Roman" w:hAnsi="Times New Roman" w:eastAsia="Times New Roman" w:cs="Times New Roman"/>
                <w:sz w:val="20"/>
                <w:szCs w:val="20"/>
                <w:spacing w:val="7"/>
              </w:rPr>
              <w:t>280</w:t>
            </w:r>
          </w:hyperlink>
        </w:p>
        <w:p>
          <w:pPr>
            <w:ind w:left="968"/>
            <w:spacing w:before="62" w:line="194" w:lineRule="auto"/>
            <w:tabs>
              <w:tab w:val="right" w:leader="dot" w:pos="8505"/>
            </w:tabs>
            <w:rPr>
              <w:rFonts w:ascii="Times New Roman" w:hAnsi="Times New Roman" w:eastAsia="Times New Roman" w:cs="Times New Roman"/>
              <w:sz w:val="20"/>
              <w:szCs w:val="20"/>
            </w:rPr>
          </w:pPr>
          <w:hyperlink w:history="true" w:anchor="bookmark160">
            <w:r>
              <w:rPr>
                <w:rFonts w:ascii="Times New Roman" w:hAnsi="Times New Roman" w:eastAsia="Times New Roman" w:cs="Times New Roman"/>
                <w:sz w:val="20"/>
                <w:szCs w:val="20"/>
                <w:spacing w:val="7"/>
              </w:rPr>
              <w:t>7.4.1 </w:t>
            </w:r>
            <w:r>
              <w:rPr>
                <w:rFonts w:ascii="SimSun" w:hAnsi="SimSun" w:eastAsia="SimSun" w:cs="SimSun"/>
                <w:sz w:val="20"/>
                <w:szCs w:val="20"/>
                <w:spacing w:val="7"/>
              </w:rPr>
              <w:t>一般固体废物处置措施可行性分析</w:t>
            </w:r>
            <w:r>
              <w:rPr>
                <w:rFonts w:ascii="SimSun" w:hAnsi="SimSun" w:eastAsia="SimSun" w:cs="SimSun"/>
                <w:sz w:val="20"/>
                <w:szCs w:val="20"/>
                <w:spacing w:val="-43"/>
              </w:rPr>
              <w:t xml:space="preserve"> </w:t>
            </w:r>
            <w:r>
              <w:rPr>
                <w:rFonts w:ascii="SimSun" w:hAnsi="SimSun" w:eastAsia="SimSun" w:cs="SimSun"/>
                <w:sz w:val="20"/>
                <w:szCs w:val="20"/>
              </w:rPr>
              <w:tab/>
            </w:r>
            <w:r>
              <w:rPr>
                <w:rFonts w:ascii="SimSun" w:hAnsi="SimSun" w:eastAsia="SimSun" w:cs="SimSun"/>
                <w:sz w:val="20"/>
                <w:szCs w:val="20"/>
                <w:spacing w:val="-49"/>
              </w:rPr>
              <w:t xml:space="preserve"> </w:t>
            </w:r>
            <w:r>
              <w:rPr>
                <w:rFonts w:ascii="Times New Roman" w:hAnsi="Times New Roman" w:eastAsia="Times New Roman" w:cs="Times New Roman"/>
                <w:sz w:val="20"/>
                <w:szCs w:val="20"/>
                <w:spacing w:val="3"/>
              </w:rPr>
              <w:t>280</w:t>
            </w:r>
          </w:hyperlink>
        </w:p>
        <w:p>
          <w:pPr>
            <w:ind w:left="968"/>
            <w:spacing w:before="64" w:line="193" w:lineRule="auto"/>
            <w:tabs>
              <w:tab w:val="right" w:leader="dot" w:pos="8505"/>
            </w:tabs>
            <w:rPr>
              <w:rFonts w:ascii="Times New Roman" w:hAnsi="Times New Roman" w:eastAsia="Times New Roman" w:cs="Times New Roman"/>
              <w:sz w:val="20"/>
              <w:szCs w:val="20"/>
            </w:rPr>
          </w:pPr>
          <w:hyperlink w:history="true" w:anchor="bookmark161">
            <w:r>
              <w:rPr>
                <w:rFonts w:ascii="Times New Roman" w:hAnsi="Times New Roman" w:eastAsia="Times New Roman" w:cs="Times New Roman"/>
                <w:sz w:val="20"/>
                <w:szCs w:val="20"/>
                <w:spacing w:val="7"/>
              </w:rPr>
              <w:t>7.4.2 </w:t>
            </w:r>
            <w:r>
              <w:rPr>
                <w:rFonts w:ascii="SimSun" w:hAnsi="SimSun" w:eastAsia="SimSun" w:cs="SimSun"/>
                <w:sz w:val="20"/>
                <w:szCs w:val="20"/>
                <w:spacing w:val="7"/>
              </w:rPr>
              <w:t>危险废物治理措施及可行性分析</w:t>
            </w:r>
            <w:r>
              <w:rPr>
                <w:rFonts w:ascii="SimSun" w:hAnsi="SimSun" w:eastAsia="SimSun" w:cs="SimSun"/>
                <w:sz w:val="20"/>
                <w:szCs w:val="20"/>
                <w:spacing w:val="-48"/>
              </w:rPr>
              <w:t xml:space="preserve"> </w:t>
            </w:r>
            <w:r>
              <w:rPr>
                <w:rFonts w:ascii="SimSun" w:hAnsi="SimSun" w:eastAsia="SimSun" w:cs="SimSun"/>
                <w:sz w:val="20"/>
                <w:szCs w:val="20"/>
              </w:rPr>
              <w:tab/>
            </w:r>
            <w:r>
              <w:rPr>
                <w:rFonts w:ascii="SimSun" w:hAnsi="SimSun" w:eastAsia="SimSun" w:cs="SimSun"/>
                <w:sz w:val="20"/>
                <w:szCs w:val="20"/>
                <w:spacing w:val="-46"/>
              </w:rPr>
              <w:t xml:space="preserve"> </w:t>
            </w:r>
            <w:r>
              <w:rPr>
                <w:rFonts w:ascii="Times New Roman" w:hAnsi="Times New Roman" w:eastAsia="Times New Roman" w:cs="Times New Roman"/>
                <w:sz w:val="20"/>
                <w:szCs w:val="20"/>
                <w:spacing w:val="3"/>
              </w:rPr>
              <w:t>281</w:t>
            </w:r>
          </w:hyperlink>
        </w:p>
        <w:p>
          <w:pPr>
            <w:ind w:left="968"/>
            <w:spacing w:before="62" w:line="193" w:lineRule="auto"/>
            <w:tabs>
              <w:tab w:val="right" w:leader="dot" w:pos="8505"/>
            </w:tabs>
            <w:rPr>
              <w:rFonts w:ascii="Times New Roman" w:hAnsi="Times New Roman" w:eastAsia="Times New Roman" w:cs="Times New Roman"/>
              <w:sz w:val="20"/>
              <w:szCs w:val="20"/>
            </w:rPr>
          </w:pPr>
          <w:hyperlink w:history="true" w:anchor="bookmark162">
            <w:r>
              <w:rPr>
                <w:rFonts w:ascii="Times New Roman" w:hAnsi="Times New Roman" w:eastAsia="Times New Roman" w:cs="Times New Roman"/>
                <w:sz w:val="20"/>
                <w:szCs w:val="20"/>
                <w:spacing w:val="7"/>
              </w:rPr>
              <w:t>7.4.3 </w:t>
            </w:r>
            <w:r>
              <w:rPr>
                <w:rFonts w:ascii="SimSun" w:hAnsi="SimSun" w:eastAsia="SimSun" w:cs="SimSun"/>
                <w:sz w:val="20"/>
                <w:szCs w:val="20"/>
                <w:spacing w:val="7"/>
              </w:rPr>
              <w:t>其他固废治理措施可行性分析</w:t>
            </w:r>
            <w:r>
              <w:rPr>
                <w:rFonts w:ascii="SimSun" w:hAnsi="SimSun" w:eastAsia="SimSun" w:cs="SimSun"/>
                <w:sz w:val="20"/>
                <w:szCs w:val="20"/>
                <w:spacing w:val="-49"/>
              </w:rPr>
              <w:t xml:space="preserve"> </w:t>
            </w:r>
            <w:r>
              <w:rPr>
                <w:rFonts w:ascii="SimSun" w:hAnsi="SimSun" w:eastAsia="SimSun" w:cs="SimSun"/>
                <w:sz w:val="20"/>
                <w:szCs w:val="20"/>
              </w:rPr>
              <w:tab/>
            </w:r>
            <w:r>
              <w:rPr>
                <w:rFonts w:ascii="SimSun" w:hAnsi="SimSun" w:eastAsia="SimSun" w:cs="SimSun"/>
                <w:sz w:val="20"/>
                <w:szCs w:val="20"/>
                <w:spacing w:val="-45"/>
              </w:rPr>
              <w:t xml:space="preserve"> </w:t>
            </w:r>
            <w:r>
              <w:rPr>
                <w:rFonts w:ascii="Times New Roman" w:hAnsi="Times New Roman" w:eastAsia="Times New Roman" w:cs="Times New Roman"/>
                <w:sz w:val="20"/>
                <w:szCs w:val="20"/>
                <w:spacing w:val="3"/>
              </w:rPr>
              <w:t>283</w:t>
            </w:r>
          </w:hyperlink>
        </w:p>
        <w:p>
          <w:pPr>
            <w:ind w:left="488"/>
            <w:spacing w:before="62" w:line="194" w:lineRule="auto"/>
            <w:tabs>
              <w:tab w:val="right" w:leader="dot" w:pos="8505"/>
            </w:tabs>
            <w:rPr>
              <w:rFonts w:ascii="Times New Roman" w:hAnsi="Times New Roman" w:eastAsia="Times New Roman" w:cs="Times New Roman"/>
              <w:sz w:val="20"/>
              <w:szCs w:val="20"/>
            </w:rPr>
          </w:pPr>
          <w:hyperlink w:history="true" w:anchor="bookmark163">
            <w:r>
              <w:rPr>
                <w:rFonts w:ascii="Times New Roman" w:hAnsi="Times New Roman" w:eastAsia="Times New Roman" w:cs="Times New Roman"/>
                <w:sz w:val="20"/>
                <w:szCs w:val="20"/>
                <w:spacing w:val="7"/>
              </w:rPr>
              <w:t>7.5 </w:t>
            </w:r>
            <w:r>
              <w:rPr>
                <w:rFonts w:ascii="SimSun" w:hAnsi="SimSun" w:eastAsia="SimSun" w:cs="SimSun"/>
                <w:sz w:val="20"/>
                <w:szCs w:val="20"/>
                <w:spacing w:val="7"/>
              </w:rPr>
              <w:t>土壤污染防治措施</w:t>
            </w:r>
            <w:r>
              <w:rPr>
                <w:rFonts w:ascii="SimSun" w:hAnsi="SimSun" w:eastAsia="SimSun" w:cs="SimSun"/>
                <w:sz w:val="20"/>
                <w:szCs w:val="20"/>
                <w:spacing w:val="-57"/>
              </w:rPr>
              <w:t xml:space="preserve"> </w:t>
            </w:r>
            <w:r>
              <w:rPr>
                <w:rFonts w:ascii="SimSun" w:hAnsi="SimSun" w:eastAsia="SimSun" w:cs="SimSun"/>
                <w:sz w:val="20"/>
                <w:szCs w:val="20"/>
              </w:rPr>
              <w:tab/>
            </w:r>
            <w:r>
              <w:rPr>
                <w:rFonts w:ascii="SimSun" w:hAnsi="SimSun" w:eastAsia="SimSun" w:cs="SimSun"/>
                <w:sz w:val="20"/>
                <w:szCs w:val="20"/>
                <w:spacing w:val="-74"/>
              </w:rPr>
              <w:t xml:space="preserve"> </w:t>
            </w:r>
            <w:r>
              <w:rPr>
                <w:rFonts w:ascii="Times New Roman" w:hAnsi="Times New Roman" w:eastAsia="Times New Roman" w:cs="Times New Roman"/>
                <w:sz w:val="20"/>
                <w:szCs w:val="20"/>
                <w:spacing w:val="3"/>
              </w:rPr>
              <w:t>283</w:t>
            </w:r>
          </w:hyperlink>
        </w:p>
        <w:p>
          <w:pPr>
            <w:ind w:left="968"/>
            <w:spacing w:before="63" w:line="193" w:lineRule="auto"/>
            <w:tabs>
              <w:tab w:val="right" w:leader="dot" w:pos="8505"/>
            </w:tabs>
            <w:rPr>
              <w:rFonts w:ascii="Times New Roman" w:hAnsi="Times New Roman" w:eastAsia="Times New Roman" w:cs="Times New Roman"/>
              <w:sz w:val="20"/>
              <w:szCs w:val="20"/>
            </w:rPr>
          </w:pPr>
          <w:hyperlink w:history="true" w:anchor="bookmark164">
            <w:r>
              <w:rPr>
                <w:rFonts w:ascii="Times New Roman" w:hAnsi="Times New Roman" w:eastAsia="Times New Roman" w:cs="Times New Roman"/>
                <w:sz w:val="20"/>
                <w:szCs w:val="20"/>
                <w:spacing w:val="5"/>
              </w:rPr>
              <w:t>7.5.1 </w:t>
            </w:r>
            <w:r>
              <w:rPr>
                <w:rFonts w:ascii="SimSun" w:hAnsi="SimSun" w:eastAsia="SimSun" w:cs="SimSun"/>
                <w:sz w:val="20"/>
                <w:szCs w:val="20"/>
                <w:spacing w:val="5"/>
              </w:rPr>
              <w:t>源头控制措施</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283</w:t>
            </w:r>
          </w:hyperlink>
        </w:p>
        <w:p>
          <w:pPr>
            <w:ind w:left="968"/>
            <w:spacing w:before="63" w:line="193" w:lineRule="auto"/>
            <w:tabs>
              <w:tab w:val="right" w:leader="dot" w:pos="8505"/>
            </w:tabs>
            <w:rPr>
              <w:rFonts w:ascii="Times New Roman" w:hAnsi="Times New Roman" w:eastAsia="Times New Roman" w:cs="Times New Roman"/>
              <w:sz w:val="20"/>
              <w:szCs w:val="20"/>
            </w:rPr>
          </w:pPr>
          <w:hyperlink w:history="true" w:anchor="bookmark165">
            <w:r>
              <w:rPr>
                <w:rFonts w:ascii="Times New Roman" w:hAnsi="Times New Roman" w:eastAsia="Times New Roman" w:cs="Times New Roman"/>
                <w:sz w:val="20"/>
                <w:szCs w:val="20"/>
                <w:spacing w:val="5"/>
              </w:rPr>
              <w:t>7.5.2 </w:t>
            </w:r>
            <w:r>
              <w:rPr>
                <w:rFonts w:ascii="SimSun" w:hAnsi="SimSun" w:eastAsia="SimSun" w:cs="SimSun"/>
                <w:sz w:val="20"/>
                <w:szCs w:val="20"/>
                <w:spacing w:val="5"/>
              </w:rPr>
              <w:t>过程防控措施</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283</w:t>
            </w:r>
          </w:hyperlink>
        </w:p>
        <w:p>
          <w:pPr>
            <w:ind w:left="968"/>
            <w:spacing w:before="64" w:line="194" w:lineRule="auto"/>
            <w:tabs>
              <w:tab w:val="right" w:leader="dot" w:pos="8505"/>
            </w:tabs>
            <w:rPr>
              <w:rFonts w:ascii="Times New Roman" w:hAnsi="Times New Roman" w:eastAsia="Times New Roman" w:cs="Times New Roman"/>
              <w:sz w:val="20"/>
              <w:szCs w:val="20"/>
            </w:rPr>
          </w:pPr>
          <w:hyperlink w:history="true" w:anchor="bookmark166">
            <w:r>
              <w:rPr>
                <w:rFonts w:ascii="Times New Roman" w:hAnsi="Times New Roman" w:eastAsia="Times New Roman" w:cs="Times New Roman"/>
                <w:sz w:val="20"/>
                <w:szCs w:val="20"/>
                <w:spacing w:val="5"/>
              </w:rPr>
              <w:t>7.5.3 </w:t>
            </w:r>
            <w:r>
              <w:rPr>
                <w:rFonts w:ascii="SimSun" w:hAnsi="SimSun" w:eastAsia="SimSun" w:cs="SimSun"/>
                <w:sz w:val="20"/>
                <w:szCs w:val="20"/>
                <w:spacing w:val="5"/>
              </w:rPr>
              <w:t>跟踪监测计划</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284</w:t>
            </w:r>
          </w:hyperlink>
        </w:p>
        <w:p>
          <w:pPr>
            <w:ind w:left="488"/>
            <w:spacing w:before="64" w:line="193" w:lineRule="auto"/>
            <w:tabs>
              <w:tab w:val="right" w:leader="dot" w:pos="8505"/>
            </w:tabs>
            <w:rPr>
              <w:rFonts w:ascii="Times New Roman" w:hAnsi="Times New Roman" w:eastAsia="Times New Roman" w:cs="Times New Roman"/>
              <w:sz w:val="20"/>
              <w:szCs w:val="20"/>
            </w:rPr>
          </w:pPr>
          <w:hyperlink w:history="true" w:anchor="bookmark167">
            <w:r>
              <w:rPr>
                <w:rFonts w:ascii="Times New Roman" w:hAnsi="Times New Roman" w:eastAsia="Times New Roman" w:cs="Times New Roman"/>
                <w:sz w:val="20"/>
                <w:szCs w:val="20"/>
                <w:spacing w:val="6"/>
              </w:rPr>
              <w:t>7.6 </w:t>
            </w:r>
            <w:r>
              <w:rPr>
                <w:rFonts w:ascii="SimSun" w:hAnsi="SimSun" w:eastAsia="SimSun" w:cs="SimSun"/>
                <w:sz w:val="20"/>
                <w:szCs w:val="20"/>
                <w:spacing w:val="6"/>
              </w:rPr>
              <w:t>生态保护措施</w:t>
            </w:r>
            <w:r>
              <w:rPr>
                <w:rFonts w:ascii="SimSun" w:hAnsi="SimSun" w:eastAsia="SimSun" w:cs="SimSun"/>
                <w:sz w:val="20"/>
                <w:szCs w:val="20"/>
                <w:spacing w:val="-54"/>
              </w:rPr>
              <w:t xml:space="preserve"> </w:t>
            </w:r>
            <w:r>
              <w:rPr>
                <w:rFonts w:ascii="SimSun" w:hAnsi="SimSun" w:eastAsia="SimSun" w:cs="SimSun"/>
                <w:sz w:val="20"/>
                <w:szCs w:val="20"/>
              </w:rPr>
              <w:tab/>
            </w:r>
            <w:r>
              <w:rPr>
                <w:rFonts w:ascii="SimSun" w:hAnsi="SimSun" w:eastAsia="SimSun" w:cs="SimSun"/>
                <w:sz w:val="20"/>
                <w:szCs w:val="20"/>
                <w:spacing w:val="-70"/>
              </w:rPr>
              <w:t xml:space="preserve"> </w:t>
            </w:r>
            <w:r>
              <w:rPr>
                <w:rFonts w:ascii="Times New Roman" w:hAnsi="Times New Roman" w:eastAsia="Times New Roman" w:cs="Times New Roman"/>
                <w:sz w:val="20"/>
                <w:szCs w:val="20"/>
                <w:spacing w:val="3"/>
              </w:rPr>
              <w:t>285</w:t>
            </w:r>
          </w:hyperlink>
        </w:p>
        <w:p>
          <w:pPr>
            <w:ind w:left="488"/>
            <w:spacing w:before="62" w:line="193" w:lineRule="auto"/>
            <w:tabs>
              <w:tab w:val="right" w:leader="dot" w:pos="8505"/>
            </w:tabs>
            <w:rPr>
              <w:rFonts w:ascii="Times New Roman" w:hAnsi="Times New Roman" w:eastAsia="Times New Roman" w:cs="Times New Roman"/>
              <w:sz w:val="20"/>
              <w:szCs w:val="20"/>
            </w:rPr>
          </w:pPr>
          <w:hyperlink w:history="true" w:anchor="bookmark168">
            <w:r>
              <w:rPr>
                <w:rFonts w:ascii="Times New Roman" w:hAnsi="Times New Roman" w:eastAsia="Times New Roman" w:cs="Times New Roman"/>
                <w:sz w:val="20"/>
                <w:szCs w:val="20"/>
                <w:spacing w:val="7"/>
              </w:rPr>
              <w:t>7.7 </w:t>
            </w:r>
            <w:r>
              <w:rPr>
                <w:rFonts w:ascii="SimSun" w:hAnsi="SimSun" w:eastAsia="SimSun" w:cs="SimSun"/>
                <w:sz w:val="20"/>
                <w:szCs w:val="20"/>
                <w:spacing w:val="7"/>
              </w:rPr>
              <w:t>施工期的环保措施分析</w:t>
            </w:r>
            <w:r>
              <w:rPr>
                <w:rFonts w:ascii="SimSun" w:hAnsi="SimSun" w:eastAsia="SimSun" w:cs="SimSun"/>
                <w:sz w:val="20"/>
                <w:szCs w:val="20"/>
                <w:spacing w:val="-52"/>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286</w:t>
            </w:r>
          </w:hyperlink>
        </w:p>
        <w:p>
          <w:pPr>
            <w:ind w:left="968"/>
            <w:spacing w:before="62" w:line="194" w:lineRule="auto"/>
            <w:tabs>
              <w:tab w:val="right" w:leader="dot" w:pos="8505"/>
            </w:tabs>
            <w:rPr>
              <w:rFonts w:ascii="Times New Roman" w:hAnsi="Times New Roman" w:eastAsia="Times New Roman" w:cs="Times New Roman"/>
              <w:sz w:val="20"/>
              <w:szCs w:val="20"/>
            </w:rPr>
          </w:pPr>
          <w:hyperlink w:history="true" w:anchor="bookmark169">
            <w:r>
              <w:rPr>
                <w:rFonts w:ascii="Times New Roman" w:hAnsi="Times New Roman" w:eastAsia="Times New Roman" w:cs="Times New Roman"/>
                <w:sz w:val="20"/>
                <w:szCs w:val="20"/>
                <w:spacing w:val="6"/>
              </w:rPr>
              <w:t>7.7.1 </w:t>
            </w:r>
            <w:r>
              <w:rPr>
                <w:rFonts w:ascii="SimSun" w:hAnsi="SimSun" w:eastAsia="SimSun" w:cs="SimSun"/>
                <w:sz w:val="20"/>
                <w:szCs w:val="20"/>
                <w:spacing w:val="6"/>
              </w:rPr>
              <w:t>废气防治措施分析</w:t>
            </w:r>
            <w:r>
              <w:rPr>
                <w:rFonts w:ascii="SimSun" w:hAnsi="SimSun" w:eastAsia="SimSun" w:cs="SimSun"/>
                <w:sz w:val="20"/>
                <w:szCs w:val="20"/>
                <w:spacing w:val="-52"/>
              </w:rPr>
              <w:t xml:space="preserve"> </w:t>
            </w:r>
            <w:r>
              <w:rPr>
                <w:rFonts w:ascii="SimSun" w:hAnsi="SimSun" w:eastAsia="SimSun" w:cs="SimSun"/>
                <w:sz w:val="20"/>
                <w:szCs w:val="20"/>
              </w:rPr>
              <w:tab/>
            </w:r>
            <w:r>
              <w:rPr>
                <w:rFonts w:ascii="Times New Roman" w:hAnsi="Times New Roman" w:eastAsia="Times New Roman" w:cs="Times New Roman"/>
                <w:sz w:val="20"/>
                <w:szCs w:val="20"/>
                <w:spacing w:val="8"/>
              </w:rPr>
              <w:t>286</w:t>
            </w:r>
          </w:hyperlink>
        </w:p>
        <w:p>
          <w:pPr>
            <w:ind w:left="968"/>
            <w:spacing w:before="63" w:line="193" w:lineRule="auto"/>
            <w:tabs>
              <w:tab w:val="right" w:leader="dot" w:pos="8505"/>
            </w:tabs>
            <w:rPr>
              <w:rFonts w:ascii="Times New Roman" w:hAnsi="Times New Roman" w:eastAsia="Times New Roman" w:cs="Times New Roman"/>
              <w:sz w:val="20"/>
              <w:szCs w:val="20"/>
            </w:rPr>
          </w:pPr>
          <w:hyperlink w:history="true" w:anchor="bookmark170">
            <w:r>
              <w:rPr>
                <w:rFonts w:ascii="Times New Roman" w:hAnsi="Times New Roman" w:eastAsia="Times New Roman" w:cs="Times New Roman"/>
                <w:sz w:val="20"/>
                <w:szCs w:val="20"/>
                <w:spacing w:val="6"/>
              </w:rPr>
              <w:t>7.7.2 </w:t>
            </w:r>
            <w:r>
              <w:rPr>
                <w:rFonts w:ascii="SimSun" w:hAnsi="SimSun" w:eastAsia="SimSun" w:cs="SimSun"/>
                <w:sz w:val="20"/>
                <w:szCs w:val="20"/>
                <w:spacing w:val="6"/>
              </w:rPr>
              <w:t>废水防治措施分析</w:t>
            </w:r>
            <w:r>
              <w:rPr>
                <w:rFonts w:ascii="SimSun" w:hAnsi="SimSun" w:eastAsia="SimSun" w:cs="SimSun"/>
                <w:sz w:val="20"/>
                <w:szCs w:val="20"/>
                <w:spacing w:val="-52"/>
              </w:rPr>
              <w:t xml:space="preserve"> </w:t>
            </w:r>
            <w:r>
              <w:rPr>
                <w:rFonts w:ascii="SimSun" w:hAnsi="SimSun" w:eastAsia="SimSun" w:cs="SimSun"/>
                <w:sz w:val="20"/>
                <w:szCs w:val="20"/>
              </w:rPr>
              <w:tab/>
            </w:r>
            <w:r>
              <w:rPr>
                <w:rFonts w:ascii="Times New Roman" w:hAnsi="Times New Roman" w:eastAsia="Times New Roman" w:cs="Times New Roman"/>
                <w:sz w:val="20"/>
                <w:szCs w:val="20"/>
                <w:spacing w:val="8"/>
              </w:rPr>
              <w:t>287</w:t>
            </w:r>
          </w:hyperlink>
        </w:p>
        <w:p>
          <w:pPr>
            <w:ind w:left="968"/>
            <w:spacing w:before="62" w:line="193" w:lineRule="auto"/>
            <w:tabs>
              <w:tab w:val="right" w:leader="dot" w:pos="8505"/>
            </w:tabs>
            <w:rPr>
              <w:rFonts w:ascii="Times New Roman" w:hAnsi="Times New Roman" w:eastAsia="Times New Roman" w:cs="Times New Roman"/>
              <w:sz w:val="20"/>
              <w:szCs w:val="20"/>
            </w:rPr>
          </w:pPr>
          <w:hyperlink w:history="true" w:anchor="bookmark171">
            <w:r>
              <w:rPr>
                <w:rFonts w:ascii="Times New Roman" w:hAnsi="Times New Roman" w:eastAsia="Times New Roman" w:cs="Times New Roman"/>
                <w:sz w:val="20"/>
                <w:szCs w:val="20"/>
                <w:spacing w:val="5"/>
              </w:rPr>
              <w:t>7.7.3</w:t>
            </w:r>
            <w:r>
              <w:rPr>
                <w:rFonts w:ascii="Times New Roman" w:hAnsi="Times New Roman" w:eastAsia="Times New Roman" w:cs="Times New Roman"/>
                <w:sz w:val="20"/>
                <w:szCs w:val="20"/>
                <w:spacing w:val="24"/>
              </w:rPr>
              <w:t xml:space="preserve"> </w:t>
            </w:r>
            <w:r>
              <w:rPr>
                <w:rFonts w:ascii="SimSun" w:hAnsi="SimSun" w:eastAsia="SimSun" w:cs="SimSun"/>
                <w:sz w:val="20"/>
                <w:szCs w:val="20"/>
                <w:spacing w:val="5"/>
              </w:rPr>
              <w:t>噪声防治措施分析</w:t>
            </w:r>
            <w:r>
              <w:rPr>
                <w:rFonts w:ascii="SimSun" w:hAnsi="SimSun" w:eastAsia="SimSun" w:cs="SimSun"/>
                <w:sz w:val="20"/>
                <w:szCs w:val="20"/>
                <w:spacing w:val="-57"/>
              </w:rPr>
              <w:t xml:space="preserve"> </w:t>
            </w:r>
            <w:r>
              <w:rPr>
                <w:rFonts w:ascii="SimSun" w:hAnsi="SimSun" w:eastAsia="SimSun" w:cs="SimSun"/>
                <w:sz w:val="20"/>
                <w:szCs w:val="20"/>
              </w:rPr>
              <w:tab/>
            </w:r>
            <w:r>
              <w:rPr>
                <w:rFonts w:ascii="Times New Roman" w:hAnsi="Times New Roman" w:eastAsia="Times New Roman" w:cs="Times New Roman"/>
                <w:sz w:val="20"/>
                <w:szCs w:val="20"/>
                <w:spacing w:val="8"/>
              </w:rPr>
              <w:t>287</w:t>
            </w:r>
          </w:hyperlink>
        </w:p>
        <w:p>
          <w:pPr>
            <w:ind w:left="968"/>
            <w:spacing w:before="65" w:line="194" w:lineRule="auto"/>
            <w:tabs>
              <w:tab w:val="right" w:leader="dot" w:pos="8505"/>
            </w:tabs>
            <w:rPr>
              <w:rFonts w:ascii="Times New Roman" w:hAnsi="Times New Roman" w:eastAsia="Times New Roman" w:cs="Times New Roman"/>
              <w:sz w:val="20"/>
              <w:szCs w:val="20"/>
            </w:rPr>
          </w:pPr>
          <w:hyperlink w:history="true" w:anchor="bookmark172">
            <w:r>
              <w:rPr>
                <w:rFonts w:ascii="Times New Roman" w:hAnsi="Times New Roman" w:eastAsia="Times New Roman" w:cs="Times New Roman"/>
                <w:sz w:val="20"/>
                <w:szCs w:val="20"/>
                <w:spacing w:val="5"/>
              </w:rPr>
              <w:t>7.7.4</w:t>
            </w:r>
            <w:r>
              <w:rPr>
                <w:rFonts w:ascii="Times New Roman" w:hAnsi="Times New Roman" w:eastAsia="Times New Roman" w:cs="Times New Roman"/>
                <w:sz w:val="20"/>
                <w:szCs w:val="20"/>
                <w:spacing w:val="34"/>
              </w:rPr>
              <w:t xml:space="preserve"> </w:t>
            </w:r>
            <w:r>
              <w:rPr>
                <w:rFonts w:ascii="SimSun" w:hAnsi="SimSun" w:eastAsia="SimSun" w:cs="SimSun"/>
                <w:sz w:val="20"/>
                <w:szCs w:val="20"/>
                <w:spacing w:val="5"/>
              </w:rPr>
              <w:t>固体废物处置措施分析</w:t>
            </w:r>
            <w:r>
              <w:rPr>
                <w:rFonts w:ascii="SimSun" w:hAnsi="SimSun" w:eastAsia="SimSun" w:cs="SimSun"/>
                <w:sz w:val="20"/>
                <w:szCs w:val="20"/>
                <w:spacing w:val="-57"/>
              </w:rPr>
              <w:t xml:space="preserve"> </w:t>
            </w:r>
            <w:r>
              <w:rPr>
                <w:rFonts w:ascii="SimSun" w:hAnsi="SimSun" w:eastAsia="SimSun" w:cs="SimSun"/>
                <w:sz w:val="20"/>
                <w:szCs w:val="20"/>
              </w:rPr>
              <w:tab/>
            </w:r>
            <w:r>
              <w:rPr>
                <w:rFonts w:ascii="Times New Roman" w:hAnsi="Times New Roman" w:eastAsia="Times New Roman" w:cs="Times New Roman"/>
                <w:sz w:val="20"/>
                <w:szCs w:val="20"/>
                <w:spacing w:val="6"/>
              </w:rPr>
              <w:t>287</w:t>
            </w:r>
          </w:hyperlink>
        </w:p>
        <w:p>
          <w:pPr>
            <w:ind w:left="968"/>
            <w:spacing w:before="61" w:line="193" w:lineRule="auto"/>
            <w:tabs>
              <w:tab w:val="right" w:leader="dot" w:pos="8505"/>
            </w:tabs>
            <w:rPr>
              <w:rFonts w:ascii="Times New Roman" w:hAnsi="Times New Roman" w:eastAsia="Times New Roman" w:cs="Times New Roman"/>
              <w:sz w:val="20"/>
              <w:szCs w:val="20"/>
            </w:rPr>
          </w:pPr>
          <w:hyperlink w:history="true" w:anchor="bookmark173">
            <w:r>
              <w:rPr>
                <w:rFonts w:ascii="Times New Roman" w:hAnsi="Times New Roman" w:eastAsia="Times New Roman" w:cs="Times New Roman"/>
                <w:sz w:val="20"/>
                <w:szCs w:val="20"/>
                <w:spacing w:val="6"/>
              </w:rPr>
              <w:t>7.7.5 </w:t>
            </w:r>
            <w:r>
              <w:rPr>
                <w:rFonts w:ascii="SimSun" w:hAnsi="SimSun" w:eastAsia="SimSun" w:cs="SimSun"/>
                <w:sz w:val="20"/>
                <w:szCs w:val="20"/>
                <w:spacing w:val="6"/>
              </w:rPr>
              <w:t>土壤环境保护对策分析</w:t>
            </w:r>
            <w:r>
              <w:rPr>
                <w:rFonts w:ascii="SimSun" w:hAnsi="SimSun" w:eastAsia="SimSun" w:cs="SimSun"/>
                <w:sz w:val="20"/>
                <w:szCs w:val="20"/>
                <w:spacing w:val="-44"/>
              </w:rPr>
              <w:t xml:space="preserve"> </w:t>
            </w:r>
            <w:r>
              <w:rPr>
                <w:rFonts w:ascii="SimSun" w:hAnsi="SimSun" w:eastAsia="SimSun" w:cs="SimSun"/>
                <w:sz w:val="20"/>
                <w:szCs w:val="20"/>
              </w:rPr>
              <w:tab/>
            </w:r>
            <w:r>
              <w:rPr>
                <w:rFonts w:ascii="Times New Roman" w:hAnsi="Times New Roman" w:eastAsia="Times New Roman" w:cs="Times New Roman"/>
                <w:sz w:val="20"/>
                <w:szCs w:val="20"/>
                <w:spacing w:val="6"/>
              </w:rPr>
              <w:t>288</w:t>
            </w:r>
          </w:hyperlink>
        </w:p>
        <w:p>
          <w:pPr>
            <w:ind w:left="968"/>
            <w:spacing w:before="64" w:line="193" w:lineRule="auto"/>
            <w:tabs>
              <w:tab w:val="right" w:leader="dot" w:pos="8505"/>
            </w:tabs>
            <w:rPr>
              <w:rFonts w:ascii="Times New Roman" w:hAnsi="Times New Roman" w:eastAsia="Times New Roman" w:cs="Times New Roman"/>
              <w:sz w:val="20"/>
              <w:szCs w:val="20"/>
            </w:rPr>
          </w:pPr>
          <w:hyperlink w:history="true" w:anchor="bookmark174">
            <w:r>
              <w:rPr>
                <w:rFonts w:ascii="Times New Roman" w:hAnsi="Times New Roman" w:eastAsia="Times New Roman" w:cs="Times New Roman"/>
                <w:sz w:val="20"/>
                <w:szCs w:val="20"/>
                <w:spacing w:val="6"/>
              </w:rPr>
              <w:t>7.7.6 </w:t>
            </w:r>
            <w:r>
              <w:rPr>
                <w:rFonts w:ascii="SimSun" w:hAnsi="SimSun" w:eastAsia="SimSun" w:cs="SimSun"/>
                <w:sz w:val="20"/>
                <w:szCs w:val="20"/>
                <w:spacing w:val="6"/>
              </w:rPr>
              <w:t>生态环境保护对策分析</w:t>
            </w:r>
            <w:r>
              <w:rPr>
                <w:rFonts w:ascii="SimSun" w:hAnsi="SimSun" w:eastAsia="SimSun" w:cs="SimSun"/>
                <w:sz w:val="20"/>
                <w:szCs w:val="20"/>
                <w:spacing w:val="-44"/>
              </w:rPr>
              <w:t xml:space="preserve"> </w:t>
            </w:r>
            <w:r>
              <w:rPr>
                <w:rFonts w:ascii="SimSun" w:hAnsi="SimSun" w:eastAsia="SimSun" w:cs="SimSun"/>
                <w:sz w:val="20"/>
                <w:szCs w:val="20"/>
              </w:rPr>
              <w:tab/>
            </w:r>
            <w:r>
              <w:rPr>
                <w:rFonts w:ascii="Times New Roman" w:hAnsi="Times New Roman" w:eastAsia="Times New Roman" w:cs="Times New Roman"/>
                <w:sz w:val="20"/>
                <w:szCs w:val="20"/>
                <w:spacing w:val="6"/>
              </w:rPr>
              <w:t>288</w:t>
            </w:r>
          </w:hyperlink>
        </w:p>
        <w:p>
          <w:pPr>
            <w:ind w:left="488"/>
            <w:spacing w:before="62" w:line="194" w:lineRule="auto"/>
            <w:tabs>
              <w:tab w:val="right" w:leader="dot" w:pos="8505"/>
            </w:tabs>
            <w:rPr>
              <w:rFonts w:ascii="Times New Roman" w:hAnsi="Times New Roman" w:eastAsia="Times New Roman" w:cs="Times New Roman"/>
              <w:sz w:val="20"/>
              <w:szCs w:val="20"/>
            </w:rPr>
          </w:pPr>
          <w:hyperlink w:history="true" w:anchor="bookmark175">
            <w:r>
              <w:rPr>
                <w:rFonts w:ascii="Times New Roman" w:hAnsi="Times New Roman" w:eastAsia="Times New Roman" w:cs="Times New Roman"/>
                <w:sz w:val="20"/>
                <w:szCs w:val="20"/>
                <w:spacing w:val="4"/>
              </w:rPr>
              <w:t>7.8</w:t>
            </w:r>
            <w:r>
              <w:rPr>
                <w:rFonts w:ascii="Times New Roman" w:hAnsi="Times New Roman" w:eastAsia="Times New Roman" w:cs="Times New Roman"/>
                <w:sz w:val="20"/>
                <w:szCs w:val="20"/>
                <w:spacing w:val="15"/>
              </w:rPr>
              <w:t xml:space="preserve"> </w:t>
            </w:r>
            <w:r>
              <w:rPr>
                <w:rFonts w:ascii="SimSun" w:hAnsi="SimSun" w:eastAsia="SimSun" w:cs="SimSun"/>
                <w:sz w:val="20"/>
                <w:szCs w:val="20"/>
                <w:spacing w:val="4"/>
              </w:rPr>
              <w:t>环境管理</w:t>
            </w:r>
            <w:r>
              <w:rPr>
                <w:rFonts w:ascii="SimSun" w:hAnsi="SimSun" w:eastAsia="SimSun" w:cs="SimSun"/>
                <w:sz w:val="20"/>
                <w:szCs w:val="20"/>
                <w:spacing w:val="-57"/>
              </w:rPr>
              <w:t xml:space="preserve"> </w:t>
            </w:r>
            <w:r>
              <w:rPr>
                <w:rFonts w:ascii="SimSun" w:hAnsi="SimSun" w:eastAsia="SimSun" w:cs="SimSun"/>
                <w:sz w:val="20"/>
                <w:szCs w:val="20"/>
              </w:rPr>
              <w:tab/>
            </w:r>
            <w:r>
              <w:rPr>
                <w:rFonts w:ascii="SimSun" w:hAnsi="SimSun" w:eastAsia="SimSun" w:cs="SimSun"/>
                <w:sz w:val="20"/>
                <w:szCs w:val="20"/>
                <w:spacing w:val="-66"/>
              </w:rPr>
              <w:t xml:space="preserve"> </w:t>
            </w:r>
            <w:r>
              <w:rPr>
                <w:rFonts w:ascii="Times New Roman" w:hAnsi="Times New Roman" w:eastAsia="Times New Roman" w:cs="Times New Roman"/>
                <w:sz w:val="20"/>
                <w:szCs w:val="20"/>
                <w:spacing w:val="3"/>
              </w:rPr>
              <w:t>289</w:t>
            </w:r>
          </w:hyperlink>
        </w:p>
        <w:p>
          <w:pPr>
            <w:ind w:left="488"/>
            <w:spacing w:before="64" w:line="193" w:lineRule="auto"/>
            <w:tabs>
              <w:tab w:val="right" w:leader="dot" w:pos="8505"/>
            </w:tabs>
            <w:rPr>
              <w:rFonts w:ascii="Times New Roman" w:hAnsi="Times New Roman" w:eastAsia="Times New Roman" w:cs="Times New Roman"/>
              <w:sz w:val="20"/>
              <w:szCs w:val="20"/>
            </w:rPr>
          </w:pPr>
          <w:hyperlink w:history="true" w:anchor="bookmark176">
            <w:r>
              <w:rPr>
                <w:rFonts w:ascii="Times New Roman" w:hAnsi="Times New Roman" w:eastAsia="Times New Roman" w:cs="Times New Roman"/>
                <w:sz w:val="20"/>
                <w:szCs w:val="20"/>
                <w:spacing w:val="7"/>
              </w:rPr>
              <w:t>7.9 </w:t>
            </w:r>
            <w:r>
              <w:rPr>
                <w:rFonts w:ascii="SimSun" w:hAnsi="SimSun" w:eastAsia="SimSun" w:cs="SimSun"/>
                <w:sz w:val="20"/>
                <w:szCs w:val="20"/>
                <w:spacing w:val="7"/>
              </w:rPr>
              <w:t>环境保护对策措施及验收</w:t>
            </w:r>
            <w:r>
              <w:rPr>
                <w:rFonts w:ascii="SimSun" w:hAnsi="SimSun" w:eastAsia="SimSun" w:cs="SimSun"/>
                <w:sz w:val="20"/>
                <w:szCs w:val="20"/>
                <w:spacing w:val="-50"/>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289</w:t>
            </w:r>
          </w:hyperlink>
        </w:p>
        <w:p>
          <w:pPr>
            <w:ind w:left="13"/>
            <w:spacing w:before="62" w:line="194" w:lineRule="auto"/>
            <w:tabs>
              <w:tab w:val="right" w:leader="dot" w:pos="8505"/>
            </w:tabs>
            <w:rPr>
              <w:rFonts w:ascii="Times New Roman" w:hAnsi="Times New Roman" w:eastAsia="Times New Roman" w:cs="Times New Roman"/>
              <w:sz w:val="20"/>
              <w:szCs w:val="20"/>
            </w:rPr>
          </w:pPr>
          <w:hyperlink w:history="true" w:anchor="bookmark177">
            <w:r>
              <w:rPr>
                <w:rFonts w:ascii="Times New Roman" w:hAnsi="Times New Roman" w:eastAsia="Times New Roman" w:cs="Times New Roman"/>
                <w:sz w:val="20"/>
                <w:szCs w:val="20"/>
                <w:spacing w:val="7"/>
              </w:rPr>
              <w:t>8 </w:t>
            </w:r>
            <w:r>
              <w:rPr>
                <w:rFonts w:ascii="SimSun" w:hAnsi="SimSun" w:eastAsia="SimSun" w:cs="SimSun"/>
                <w:sz w:val="20"/>
                <w:szCs w:val="20"/>
                <w:spacing w:val="7"/>
              </w:rPr>
              <w:t>环境影响经济损益分析</w:t>
            </w:r>
            <w:r>
              <w:rPr>
                <w:rFonts w:ascii="SimSun" w:hAnsi="SimSun" w:eastAsia="SimSun" w:cs="SimSun"/>
                <w:sz w:val="20"/>
                <w:szCs w:val="20"/>
                <w:spacing w:val="-51"/>
              </w:rPr>
              <w:t xml:space="preserve"> </w:t>
            </w:r>
            <w:r>
              <w:rPr>
                <w:rFonts w:ascii="SimSun" w:hAnsi="SimSun" w:eastAsia="SimSun" w:cs="SimSun"/>
                <w:sz w:val="20"/>
                <w:szCs w:val="20"/>
              </w:rPr>
              <w:tab/>
            </w:r>
            <w:r>
              <w:rPr>
                <w:rFonts w:ascii="SimSun" w:hAnsi="SimSun" w:eastAsia="SimSun" w:cs="SimSun"/>
                <w:sz w:val="20"/>
                <w:szCs w:val="20"/>
                <w:spacing w:val="-64"/>
              </w:rPr>
              <w:t xml:space="preserve"> </w:t>
            </w:r>
            <w:r>
              <w:rPr>
                <w:rFonts w:ascii="Times New Roman" w:hAnsi="Times New Roman" w:eastAsia="Times New Roman" w:cs="Times New Roman"/>
                <w:sz w:val="20"/>
                <w:szCs w:val="20"/>
                <w:spacing w:val="3"/>
              </w:rPr>
              <w:t>292</w:t>
            </w:r>
          </w:hyperlink>
        </w:p>
        <w:p>
          <w:pPr>
            <w:ind w:left="493"/>
            <w:spacing w:before="63" w:line="193" w:lineRule="auto"/>
            <w:tabs>
              <w:tab w:val="right" w:leader="dot" w:pos="8505"/>
            </w:tabs>
            <w:rPr>
              <w:rFonts w:ascii="Times New Roman" w:hAnsi="Times New Roman" w:eastAsia="Times New Roman" w:cs="Times New Roman"/>
              <w:sz w:val="20"/>
              <w:szCs w:val="20"/>
            </w:rPr>
          </w:pPr>
          <w:hyperlink w:history="true" w:anchor="bookmark178">
            <w:r>
              <w:rPr>
                <w:rFonts w:ascii="Times New Roman" w:hAnsi="Times New Roman" w:eastAsia="Times New Roman" w:cs="Times New Roman"/>
                <w:sz w:val="20"/>
                <w:szCs w:val="20"/>
                <w:spacing w:val="5"/>
              </w:rPr>
              <w:t>8.1 </w:t>
            </w:r>
            <w:r>
              <w:rPr>
                <w:rFonts w:ascii="SimSun" w:hAnsi="SimSun" w:eastAsia="SimSun" w:cs="SimSun"/>
                <w:sz w:val="20"/>
                <w:szCs w:val="20"/>
                <w:spacing w:val="5"/>
              </w:rPr>
              <w:t>社会效益分析</w:t>
            </w:r>
            <w:r>
              <w:rPr>
                <w:rFonts w:ascii="SimSun" w:hAnsi="SimSun" w:eastAsia="SimSun" w:cs="SimSun"/>
                <w:sz w:val="20"/>
                <w:szCs w:val="20"/>
                <w:spacing w:val="-49"/>
              </w:rPr>
              <w:t xml:space="preserve"> </w:t>
            </w:r>
            <w:r>
              <w:rPr>
                <w:rFonts w:ascii="SimSun" w:hAnsi="SimSun" w:eastAsia="SimSun" w:cs="SimSun"/>
                <w:sz w:val="20"/>
                <w:szCs w:val="20"/>
              </w:rPr>
              <w:tab/>
            </w:r>
            <w:r>
              <w:rPr>
                <w:rFonts w:ascii="SimSun" w:hAnsi="SimSun" w:eastAsia="SimSun" w:cs="SimSun"/>
                <w:sz w:val="20"/>
                <w:szCs w:val="20"/>
                <w:spacing w:val="-70"/>
              </w:rPr>
              <w:t xml:space="preserve"> </w:t>
            </w:r>
            <w:r>
              <w:rPr>
                <w:rFonts w:ascii="Times New Roman" w:hAnsi="Times New Roman" w:eastAsia="Times New Roman" w:cs="Times New Roman"/>
                <w:sz w:val="20"/>
                <w:szCs w:val="20"/>
                <w:spacing w:val="3"/>
              </w:rPr>
              <w:t>292</w:t>
            </w:r>
          </w:hyperlink>
        </w:p>
        <w:p>
          <w:pPr>
            <w:ind w:left="493"/>
            <w:spacing w:before="63" w:line="193" w:lineRule="auto"/>
            <w:tabs>
              <w:tab w:val="right" w:leader="dot" w:pos="8505"/>
            </w:tabs>
            <w:rPr>
              <w:rFonts w:ascii="Times New Roman" w:hAnsi="Times New Roman" w:eastAsia="Times New Roman" w:cs="Times New Roman"/>
              <w:sz w:val="20"/>
              <w:szCs w:val="20"/>
            </w:rPr>
          </w:pPr>
          <w:hyperlink w:history="true" w:anchor="bookmark179">
            <w:r>
              <w:rPr>
                <w:rFonts w:ascii="Times New Roman" w:hAnsi="Times New Roman" w:eastAsia="Times New Roman" w:cs="Times New Roman"/>
                <w:sz w:val="20"/>
                <w:szCs w:val="20"/>
                <w:spacing w:val="5"/>
              </w:rPr>
              <w:t>8.2 </w:t>
            </w:r>
            <w:r>
              <w:rPr>
                <w:rFonts w:ascii="SimSun" w:hAnsi="SimSun" w:eastAsia="SimSun" w:cs="SimSun"/>
                <w:sz w:val="20"/>
                <w:szCs w:val="20"/>
                <w:spacing w:val="5"/>
              </w:rPr>
              <w:t>经济效益分析</w:t>
            </w:r>
            <w:r>
              <w:rPr>
                <w:rFonts w:ascii="SimSun" w:hAnsi="SimSun" w:eastAsia="SimSun" w:cs="SimSun"/>
                <w:sz w:val="20"/>
                <w:szCs w:val="20"/>
                <w:spacing w:val="-49"/>
              </w:rPr>
              <w:t xml:space="preserve"> </w:t>
            </w:r>
            <w:r>
              <w:rPr>
                <w:rFonts w:ascii="SimSun" w:hAnsi="SimSun" w:eastAsia="SimSun" w:cs="SimSun"/>
                <w:sz w:val="20"/>
                <w:szCs w:val="20"/>
              </w:rPr>
              <w:tab/>
            </w:r>
            <w:r>
              <w:rPr>
                <w:rFonts w:ascii="SimSun" w:hAnsi="SimSun" w:eastAsia="SimSun" w:cs="SimSun"/>
                <w:sz w:val="20"/>
                <w:szCs w:val="20"/>
                <w:spacing w:val="-70"/>
              </w:rPr>
              <w:t xml:space="preserve"> </w:t>
            </w:r>
            <w:r>
              <w:rPr>
                <w:rFonts w:ascii="Times New Roman" w:hAnsi="Times New Roman" w:eastAsia="Times New Roman" w:cs="Times New Roman"/>
                <w:sz w:val="20"/>
                <w:szCs w:val="20"/>
                <w:spacing w:val="3"/>
              </w:rPr>
              <w:t>292</w:t>
            </w:r>
          </w:hyperlink>
        </w:p>
        <w:p>
          <w:pPr>
            <w:ind w:left="493"/>
            <w:spacing w:before="64" w:line="194" w:lineRule="auto"/>
            <w:tabs>
              <w:tab w:val="right" w:leader="dot" w:pos="8505"/>
            </w:tabs>
            <w:rPr>
              <w:rFonts w:ascii="Times New Roman" w:hAnsi="Times New Roman" w:eastAsia="Times New Roman" w:cs="Times New Roman"/>
              <w:sz w:val="20"/>
              <w:szCs w:val="20"/>
            </w:rPr>
          </w:pPr>
          <w:hyperlink w:history="true" w:anchor="bookmark180">
            <w:r>
              <w:rPr>
                <w:rFonts w:ascii="Times New Roman" w:hAnsi="Times New Roman" w:eastAsia="Times New Roman" w:cs="Times New Roman"/>
                <w:sz w:val="20"/>
                <w:szCs w:val="20"/>
                <w:spacing w:val="5"/>
              </w:rPr>
              <w:t>8.3 </w:t>
            </w:r>
            <w:r>
              <w:rPr>
                <w:rFonts w:ascii="SimSun" w:hAnsi="SimSun" w:eastAsia="SimSun" w:cs="SimSun"/>
                <w:sz w:val="20"/>
                <w:szCs w:val="20"/>
                <w:spacing w:val="5"/>
              </w:rPr>
              <w:t>环境效益分析</w:t>
            </w:r>
            <w:r>
              <w:rPr>
                <w:rFonts w:ascii="SimSun" w:hAnsi="SimSun" w:eastAsia="SimSun" w:cs="SimSun"/>
                <w:sz w:val="20"/>
                <w:szCs w:val="20"/>
                <w:spacing w:val="-49"/>
              </w:rPr>
              <w:t xml:space="preserve"> </w:t>
            </w:r>
            <w:r>
              <w:rPr>
                <w:rFonts w:ascii="SimSun" w:hAnsi="SimSun" w:eastAsia="SimSun" w:cs="SimSun"/>
                <w:sz w:val="20"/>
                <w:szCs w:val="20"/>
              </w:rPr>
              <w:tab/>
            </w:r>
            <w:r>
              <w:rPr>
                <w:rFonts w:ascii="SimSun" w:hAnsi="SimSun" w:eastAsia="SimSun" w:cs="SimSun"/>
                <w:sz w:val="20"/>
                <w:szCs w:val="20"/>
                <w:spacing w:val="-70"/>
              </w:rPr>
              <w:t xml:space="preserve"> </w:t>
            </w:r>
            <w:r>
              <w:rPr>
                <w:rFonts w:ascii="Times New Roman" w:hAnsi="Times New Roman" w:eastAsia="Times New Roman" w:cs="Times New Roman"/>
                <w:sz w:val="20"/>
                <w:szCs w:val="20"/>
                <w:spacing w:val="3"/>
              </w:rPr>
              <w:t>293</w:t>
            </w:r>
          </w:hyperlink>
        </w:p>
        <w:p>
          <w:pPr>
            <w:ind w:left="973"/>
            <w:spacing w:before="61" w:line="193" w:lineRule="auto"/>
            <w:tabs>
              <w:tab w:val="right" w:leader="dot" w:pos="8505"/>
            </w:tabs>
            <w:rPr>
              <w:rFonts w:ascii="Times New Roman" w:hAnsi="Times New Roman" w:eastAsia="Times New Roman" w:cs="Times New Roman"/>
              <w:sz w:val="20"/>
              <w:szCs w:val="20"/>
            </w:rPr>
          </w:pPr>
          <w:hyperlink w:history="true" w:anchor="bookmark181">
            <w:r>
              <w:rPr>
                <w:rFonts w:ascii="Times New Roman" w:hAnsi="Times New Roman" w:eastAsia="Times New Roman" w:cs="Times New Roman"/>
                <w:sz w:val="20"/>
                <w:szCs w:val="20"/>
                <w:spacing w:val="5"/>
              </w:rPr>
              <w:t>8.3.1 </w:t>
            </w:r>
            <w:r>
              <w:rPr>
                <w:rFonts w:ascii="SimSun" w:hAnsi="SimSun" w:eastAsia="SimSun" w:cs="SimSun"/>
                <w:sz w:val="20"/>
                <w:szCs w:val="20"/>
                <w:spacing w:val="5"/>
              </w:rPr>
              <w:t>环保投资估算</w:t>
            </w:r>
            <w:r>
              <w:rPr>
                <w:rFonts w:ascii="SimSun" w:hAnsi="SimSun" w:eastAsia="SimSun" w:cs="SimSun"/>
                <w:sz w:val="20"/>
                <w:szCs w:val="20"/>
                <w:spacing w:val="-53"/>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293</w:t>
            </w:r>
          </w:hyperlink>
        </w:p>
        <w:p>
          <w:pPr>
            <w:ind w:left="973"/>
            <w:spacing w:before="65" w:line="193" w:lineRule="auto"/>
            <w:tabs>
              <w:tab w:val="right" w:leader="dot" w:pos="8505"/>
            </w:tabs>
            <w:rPr>
              <w:rFonts w:ascii="Times New Roman" w:hAnsi="Times New Roman" w:eastAsia="Times New Roman" w:cs="Times New Roman"/>
              <w:sz w:val="20"/>
              <w:szCs w:val="20"/>
            </w:rPr>
          </w:pPr>
          <w:hyperlink w:history="true" w:anchor="bookmark182">
            <w:r>
              <w:rPr>
                <w:rFonts w:ascii="Times New Roman" w:hAnsi="Times New Roman" w:eastAsia="Times New Roman" w:cs="Times New Roman"/>
                <w:sz w:val="20"/>
                <w:szCs w:val="20"/>
                <w:spacing w:val="5"/>
              </w:rPr>
              <w:t>8.3.2 </w:t>
            </w:r>
            <w:r>
              <w:rPr>
                <w:rFonts w:ascii="SimSun" w:hAnsi="SimSun" w:eastAsia="SimSun" w:cs="SimSun"/>
                <w:sz w:val="20"/>
                <w:szCs w:val="20"/>
                <w:spacing w:val="5"/>
              </w:rPr>
              <w:t>环境效益分析</w:t>
            </w:r>
            <w:r>
              <w:rPr>
                <w:rFonts w:ascii="SimSun" w:hAnsi="SimSun" w:eastAsia="SimSun" w:cs="SimSun"/>
                <w:sz w:val="20"/>
                <w:szCs w:val="20"/>
                <w:spacing w:val="-53"/>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293</w:t>
            </w:r>
          </w:hyperlink>
        </w:p>
        <w:p>
          <w:pPr>
            <w:ind w:left="493"/>
            <w:spacing w:before="62" w:line="194" w:lineRule="auto"/>
            <w:tabs>
              <w:tab w:val="right" w:leader="dot" w:pos="8505"/>
            </w:tabs>
            <w:rPr>
              <w:rFonts w:ascii="Times New Roman" w:hAnsi="Times New Roman" w:eastAsia="Times New Roman" w:cs="Times New Roman"/>
              <w:sz w:val="20"/>
              <w:szCs w:val="20"/>
            </w:rPr>
          </w:pPr>
          <w:hyperlink w:history="true" w:anchor="bookmark183">
            <w:r>
              <w:rPr>
                <w:rFonts w:ascii="Times New Roman" w:hAnsi="Times New Roman" w:eastAsia="Times New Roman" w:cs="Times New Roman"/>
                <w:sz w:val="20"/>
                <w:szCs w:val="20"/>
                <w:spacing w:val="7"/>
              </w:rPr>
              <w:t>8.4 </w:t>
            </w:r>
            <w:r>
              <w:rPr>
                <w:rFonts w:ascii="SimSun" w:hAnsi="SimSun" w:eastAsia="SimSun" w:cs="SimSun"/>
                <w:sz w:val="20"/>
                <w:szCs w:val="20"/>
                <w:spacing w:val="7"/>
              </w:rPr>
              <w:t>环境经济效益综合评述</w:t>
            </w:r>
            <w:r>
              <w:rPr>
                <w:rFonts w:ascii="SimSun" w:hAnsi="SimSun" w:eastAsia="SimSun" w:cs="SimSun"/>
                <w:sz w:val="20"/>
                <w:szCs w:val="20"/>
                <w:spacing w:val="-57"/>
              </w:rPr>
              <w:t xml:space="preserve"> </w:t>
            </w:r>
            <w:r>
              <w:rPr>
                <w:rFonts w:ascii="SimSun" w:hAnsi="SimSun" w:eastAsia="SimSun" w:cs="SimSun"/>
                <w:sz w:val="20"/>
                <w:szCs w:val="20"/>
              </w:rPr>
              <w:tab/>
            </w:r>
            <w:r>
              <w:rPr>
                <w:rFonts w:ascii="Times New Roman" w:hAnsi="Times New Roman" w:eastAsia="Times New Roman" w:cs="Times New Roman"/>
                <w:sz w:val="20"/>
                <w:szCs w:val="20"/>
                <w:spacing w:val="10"/>
              </w:rPr>
              <w:t>293</w:t>
            </w:r>
          </w:hyperlink>
        </w:p>
        <w:p>
          <w:pPr>
            <w:ind w:left="8"/>
            <w:spacing w:before="63" w:line="193" w:lineRule="auto"/>
            <w:tabs>
              <w:tab w:val="right" w:leader="dot" w:pos="8505"/>
            </w:tabs>
            <w:rPr>
              <w:rFonts w:ascii="Times New Roman" w:hAnsi="Times New Roman" w:eastAsia="Times New Roman" w:cs="Times New Roman"/>
              <w:sz w:val="20"/>
              <w:szCs w:val="20"/>
            </w:rPr>
          </w:pPr>
          <w:hyperlink w:history="true" w:anchor="bookmark184">
            <w:r>
              <w:rPr>
                <w:rFonts w:ascii="Times New Roman" w:hAnsi="Times New Roman" w:eastAsia="Times New Roman" w:cs="Times New Roman"/>
                <w:sz w:val="20"/>
                <w:szCs w:val="20"/>
                <w:spacing w:val="7"/>
              </w:rPr>
              <w:t>9 </w:t>
            </w:r>
            <w:r>
              <w:rPr>
                <w:rFonts w:ascii="SimSun" w:hAnsi="SimSun" w:eastAsia="SimSun" w:cs="SimSun"/>
                <w:sz w:val="20"/>
                <w:szCs w:val="20"/>
                <w:spacing w:val="7"/>
              </w:rPr>
              <w:t>环境管理与监测计划</w:t>
            </w:r>
            <w:r>
              <w:rPr>
                <w:rFonts w:ascii="SimSun" w:hAnsi="SimSun" w:eastAsia="SimSun" w:cs="SimSun"/>
                <w:sz w:val="20"/>
                <w:szCs w:val="20"/>
                <w:spacing w:val="-51"/>
              </w:rPr>
              <w:t xml:space="preserve"> </w:t>
            </w:r>
            <w:r>
              <w:rPr>
                <w:rFonts w:ascii="SimSun" w:hAnsi="SimSun" w:eastAsia="SimSun" w:cs="SimSun"/>
                <w:sz w:val="20"/>
                <w:szCs w:val="20"/>
              </w:rPr>
              <w:tab/>
            </w:r>
            <w:r>
              <w:rPr>
                <w:rFonts w:ascii="SimSun" w:hAnsi="SimSun" w:eastAsia="SimSun" w:cs="SimSun"/>
                <w:sz w:val="20"/>
                <w:szCs w:val="20"/>
                <w:spacing w:val="-61"/>
              </w:rPr>
              <w:t xml:space="preserve"> </w:t>
            </w:r>
            <w:r>
              <w:rPr>
                <w:rFonts w:ascii="Times New Roman" w:hAnsi="Times New Roman" w:eastAsia="Times New Roman" w:cs="Times New Roman"/>
                <w:sz w:val="20"/>
                <w:szCs w:val="20"/>
                <w:spacing w:val="3"/>
              </w:rPr>
              <w:t>294</w:t>
            </w:r>
          </w:hyperlink>
        </w:p>
        <w:p>
          <w:pPr>
            <w:ind w:left="488"/>
            <w:spacing w:before="62" w:line="193" w:lineRule="auto"/>
            <w:tabs>
              <w:tab w:val="right" w:leader="dot" w:pos="8505"/>
            </w:tabs>
            <w:rPr>
              <w:rFonts w:ascii="Times New Roman" w:hAnsi="Times New Roman" w:eastAsia="Times New Roman" w:cs="Times New Roman"/>
              <w:sz w:val="20"/>
              <w:szCs w:val="20"/>
            </w:rPr>
          </w:pPr>
          <w:hyperlink w:history="true" w:anchor="bookmark185">
            <w:r>
              <w:rPr>
                <w:rFonts w:ascii="Times New Roman" w:hAnsi="Times New Roman" w:eastAsia="Times New Roman" w:cs="Times New Roman"/>
                <w:sz w:val="20"/>
                <w:szCs w:val="20"/>
                <w:spacing w:val="5"/>
              </w:rPr>
              <w:t>9.1 </w:t>
            </w:r>
            <w:r>
              <w:rPr>
                <w:rFonts w:ascii="SimSun" w:hAnsi="SimSun" w:eastAsia="SimSun" w:cs="SimSun"/>
                <w:sz w:val="20"/>
                <w:szCs w:val="20"/>
                <w:spacing w:val="5"/>
              </w:rPr>
              <w:t>环境管理</w:t>
            </w:r>
            <w:r>
              <w:rPr>
                <w:rFonts w:ascii="SimSun" w:hAnsi="SimSun" w:eastAsia="SimSun" w:cs="SimSun"/>
                <w:sz w:val="20"/>
                <w:szCs w:val="20"/>
                <w:spacing w:val="-54"/>
              </w:rPr>
              <w:t xml:space="preserve"> </w:t>
            </w:r>
            <w:r>
              <w:rPr>
                <w:rFonts w:ascii="SimSun" w:hAnsi="SimSun" w:eastAsia="SimSun" w:cs="SimSun"/>
                <w:sz w:val="20"/>
                <w:szCs w:val="20"/>
              </w:rPr>
              <w:tab/>
            </w:r>
            <w:r>
              <w:rPr>
                <w:rFonts w:ascii="SimSun" w:hAnsi="SimSun" w:eastAsia="SimSun" w:cs="SimSun"/>
                <w:sz w:val="20"/>
                <w:szCs w:val="20"/>
                <w:spacing w:val="-66"/>
              </w:rPr>
              <w:t xml:space="preserve"> </w:t>
            </w:r>
            <w:r>
              <w:rPr>
                <w:rFonts w:ascii="Times New Roman" w:hAnsi="Times New Roman" w:eastAsia="Times New Roman" w:cs="Times New Roman"/>
                <w:sz w:val="20"/>
                <w:szCs w:val="20"/>
                <w:spacing w:val="3"/>
              </w:rPr>
              <w:t>294</w:t>
            </w:r>
          </w:hyperlink>
        </w:p>
        <w:p>
          <w:pPr>
            <w:ind w:left="968"/>
            <w:spacing w:before="62" w:line="194" w:lineRule="auto"/>
            <w:tabs>
              <w:tab w:val="right" w:leader="dot" w:pos="8505"/>
            </w:tabs>
            <w:rPr>
              <w:rFonts w:ascii="Times New Roman" w:hAnsi="Times New Roman" w:eastAsia="Times New Roman" w:cs="Times New Roman"/>
              <w:sz w:val="20"/>
              <w:szCs w:val="20"/>
            </w:rPr>
          </w:pPr>
          <w:hyperlink w:history="true" w:anchor="bookmark186">
            <w:r>
              <w:rPr>
                <w:rFonts w:ascii="Times New Roman" w:hAnsi="Times New Roman" w:eastAsia="Times New Roman" w:cs="Times New Roman"/>
                <w:sz w:val="20"/>
                <w:szCs w:val="20"/>
                <w:spacing w:val="7"/>
              </w:rPr>
              <w:t>9.1.1 </w:t>
            </w:r>
            <w:r>
              <w:rPr>
                <w:rFonts w:ascii="SimSun" w:hAnsi="SimSun" w:eastAsia="SimSun" w:cs="SimSun"/>
                <w:sz w:val="20"/>
                <w:szCs w:val="20"/>
                <w:spacing w:val="7"/>
              </w:rPr>
              <w:t>环境管理制度及组织机构</w:t>
            </w:r>
            <w:r>
              <w:rPr>
                <w:rFonts w:ascii="SimSun" w:hAnsi="SimSun" w:eastAsia="SimSun" w:cs="SimSun"/>
                <w:sz w:val="20"/>
                <w:szCs w:val="20"/>
                <w:spacing w:val="-56"/>
              </w:rPr>
              <w:t xml:space="preserve"> </w:t>
            </w:r>
            <w:r>
              <w:rPr>
                <w:rFonts w:ascii="SimSun" w:hAnsi="SimSun" w:eastAsia="SimSun" w:cs="SimSun"/>
                <w:sz w:val="20"/>
                <w:szCs w:val="20"/>
              </w:rPr>
              <w:tab/>
            </w:r>
            <w:r>
              <w:rPr>
                <w:rFonts w:ascii="Times New Roman" w:hAnsi="Times New Roman" w:eastAsia="Times New Roman" w:cs="Times New Roman"/>
                <w:sz w:val="20"/>
                <w:szCs w:val="20"/>
                <w:spacing w:val="5"/>
              </w:rPr>
              <w:t>294</w:t>
            </w:r>
          </w:hyperlink>
        </w:p>
        <w:p>
          <w:pPr>
            <w:ind w:left="968"/>
            <w:spacing w:before="64" w:line="193" w:lineRule="auto"/>
            <w:tabs>
              <w:tab w:val="right" w:leader="dot" w:pos="8505"/>
            </w:tabs>
            <w:rPr>
              <w:rFonts w:ascii="Times New Roman" w:hAnsi="Times New Roman" w:eastAsia="Times New Roman" w:cs="Times New Roman"/>
              <w:sz w:val="20"/>
              <w:szCs w:val="20"/>
            </w:rPr>
          </w:pPr>
          <w:hyperlink w:history="true" w:anchor="bookmark187">
            <w:r>
              <w:rPr>
                <w:rFonts w:ascii="Times New Roman" w:hAnsi="Times New Roman" w:eastAsia="Times New Roman" w:cs="Times New Roman"/>
                <w:sz w:val="20"/>
                <w:szCs w:val="20"/>
                <w:spacing w:val="5"/>
              </w:rPr>
              <w:t>9.1.2 </w:t>
            </w:r>
            <w:r>
              <w:rPr>
                <w:rFonts w:ascii="SimSun" w:hAnsi="SimSun" w:eastAsia="SimSun" w:cs="SimSun"/>
                <w:sz w:val="20"/>
                <w:szCs w:val="20"/>
                <w:spacing w:val="5"/>
              </w:rPr>
              <w:t>环保竣工验收</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296</w:t>
            </w:r>
          </w:hyperlink>
        </w:p>
        <w:p>
          <w:pPr>
            <w:ind w:left="968"/>
            <w:spacing w:before="62" w:line="193" w:lineRule="auto"/>
            <w:tabs>
              <w:tab w:val="right" w:leader="dot" w:pos="8505"/>
            </w:tabs>
            <w:rPr>
              <w:rFonts w:ascii="Times New Roman" w:hAnsi="Times New Roman" w:eastAsia="Times New Roman" w:cs="Times New Roman"/>
              <w:sz w:val="20"/>
              <w:szCs w:val="20"/>
            </w:rPr>
          </w:pPr>
          <w:hyperlink w:history="true" w:anchor="bookmark188">
            <w:r>
              <w:rPr>
                <w:rFonts w:ascii="Times New Roman" w:hAnsi="Times New Roman" w:eastAsia="Times New Roman" w:cs="Times New Roman"/>
                <w:sz w:val="20"/>
                <w:szCs w:val="20"/>
                <w:spacing w:val="6"/>
              </w:rPr>
              <w:t>9.1.3 </w:t>
            </w:r>
            <w:r>
              <w:rPr>
                <w:rFonts w:ascii="SimSun" w:hAnsi="SimSun" w:eastAsia="SimSun" w:cs="SimSun"/>
                <w:sz w:val="20"/>
                <w:szCs w:val="20"/>
                <w:spacing w:val="6"/>
              </w:rPr>
              <w:t>运营期排污许可管理</w:t>
            </w:r>
            <w:r>
              <w:rPr>
                <w:rFonts w:ascii="SimSun" w:hAnsi="SimSun" w:eastAsia="SimSun" w:cs="SimSun"/>
                <w:sz w:val="20"/>
                <w:szCs w:val="20"/>
                <w:spacing w:val="-47"/>
              </w:rPr>
              <w:t xml:space="preserve"> </w:t>
            </w:r>
            <w:r>
              <w:rPr>
                <w:rFonts w:ascii="SimSun" w:hAnsi="SimSun" w:eastAsia="SimSun" w:cs="SimSun"/>
                <w:sz w:val="20"/>
                <w:szCs w:val="20"/>
              </w:rPr>
              <w:tab/>
            </w:r>
            <w:r>
              <w:rPr>
                <w:rFonts w:ascii="Times New Roman" w:hAnsi="Times New Roman" w:eastAsia="Times New Roman" w:cs="Times New Roman"/>
                <w:sz w:val="20"/>
                <w:szCs w:val="20"/>
                <w:spacing w:val="7"/>
              </w:rPr>
              <w:t>296</w:t>
            </w:r>
          </w:hyperlink>
        </w:p>
        <w:p>
          <w:pPr>
            <w:ind w:left="488"/>
            <w:spacing w:before="64" w:line="194" w:lineRule="auto"/>
            <w:tabs>
              <w:tab w:val="right" w:leader="dot" w:pos="8505"/>
            </w:tabs>
            <w:rPr>
              <w:rFonts w:ascii="Times New Roman" w:hAnsi="Times New Roman" w:eastAsia="Times New Roman" w:cs="Times New Roman"/>
              <w:sz w:val="20"/>
              <w:szCs w:val="20"/>
            </w:rPr>
          </w:pPr>
          <w:hyperlink w:history="true" w:anchor="bookmark189">
            <w:r>
              <w:rPr>
                <w:rFonts w:ascii="Times New Roman" w:hAnsi="Times New Roman" w:eastAsia="Times New Roman" w:cs="Times New Roman"/>
                <w:sz w:val="20"/>
                <w:szCs w:val="20"/>
                <w:spacing w:val="6"/>
              </w:rPr>
              <w:t>9.2 </w:t>
            </w:r>
            <w:r>
              <w:rPr>
                <w:rFonts w:ascii="SimSun" w:hAnsi="SimSun" w:eastAsia="SimSun" w:cs="SimSun"/>
                <w:sz w:val="20"/>
                <w:szCs w:val="20"/>
                <w:spacing w:val="6"/>
              </w:rPr>
              <w:t>环境监测计划</w:t>
            </w:r>
            <w:r>
              <w:rPr>
                <w:rFonts w:ascii="SimSun" w:hAnsi="SimSun" w:eastAsia="SimSun" w:cs="SimSun"/>
                <w:sz w:val="20"/>
                <w:szCs w:val="20"/>
                <w:spacing w:val="-54"/>
              </w:rPr>
              <w:t xml:space="preserve"> </w:t>
            </w:r>
            <w:r>
              <w:rPr>
                <w:rFonts w:ascii="SimSun" w:hAnsi="SimSun" w:eastAsia="SimSun" w:cs="SimSun"/>
                <w:sz w:val="20"/>
                <w:szCs w:val="20"/>
              </w:rPr>
              <w:tab/>
            </w:r>
            <w:r>
              <w:rPr>
                <w:rFonts w:ascii="SimSun" w:hAnsi="SimSun" w:eastAsia="SimSun" w:cs="SimSun"/>
                <w:sz w:val="20"/>
                <w:szCs w:val="20"/>
                <w:spacing w:val="-70"/>
              </w:rPr>
              <w:t xml:space="preserve"> </w:t>
            </w:r>
            <w:r>
              <w:rPr>
                <w:rFonts w:ascii="Times New Roman" w:hAnsi="Times New Roman" w:eastAsia="Times New Roman" w:cs="Times New Roman"/>
                <w:sz w:val="20"/>
                <w:szCs w:val="20"/>
                <w:spacing w:val="3"/>
              </w:rPr>
              <w:t>299</w:t>
            </w:r>
          </w:hyperlink>
        </w:p>
        <w:p>
          <w:pPr>
            <w:ind w:left="968"/>
            <w:spacing w:before="64" w:line="193" w:lineRule="auto"/>
            <w:tabs>
              <w:tab w:val="right" w:leader="dot" w:pos="8505"/>
            </w:tabs>
            <w:rPr>
              <w:rFonts w:ascii="Times New Roman" w:hAnsi="Times New Roman" w:eastAsia="Times New Roman" w:cs="Times New Roman"/>
              <w:sz w:val="20"/>
              <w:szCs w:val="20"/>
            </w:rPr>
          </w:pPr>
          <w:hyperlink w:history="true" w:anchor="bookmark190">
            <w:r>
              <w:rPr>
                <w:rFonts w:ascii="Times New Roman" w:hAnsi="Times New Roman" w:eastAsia="Times New Roman" w:cs="Times New Roman"/>
                <w:sz w:val="20"/>
                <w:szCs w:val="20"/>
                <w:spacing w:val="5"/>
              </w:rPr>
              <w:t>9.2.1 </w:t>
            </w:r>
            <w:r>
              <w:rPr>
                <w:rFonts w:ascii="SimSun" w:hAnsi="SimSun" w:eastAsia="SimSun" w:cs="SimSun"/>
                <w:sz w:val="20"/>
                <w:szCs w:val="20"/>
                <w:spacing w:val="5"/>
              </w:rPr>
              <w:t>废气排放监测</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299</w:t>
            </w:r>
          </w:hyperlink>
        </w:p>
        <w:p>
          <w:pPr>
            <w:ind w:left="968"/>
            <w:spacing w:before="62" w:line="193" w:lineRule="auto"/>
            <w:tabs>
              <w:tab w:val="right" w:leader="dot" w:pos="8505"/>
            </w:tabs>
            <w:rPr>
              <w:rFonts w:ascii="Times New Roman" w:hAnsi="Times New Roman" w:eastAsia="Times New Roman" w:cs="Times New Roman"/>
              <w:sz w:val="20"/>
              <w:szCs w:val="20"/>
            </w:rPr>
          </w:pPr>
          <w:hyperlink w:history="true" w:anchor="bookmark191">
            <w:r>
              <w:rPr>
                <w:rFonts w:ascii="Times New Roman" w:hAnsi="Times New Roman" w:eastAsia="Times New Roman" w:cs="Times New Roman"/>
                <w:sz w:val="20"/>
                <w:szCs w:val="20"/>
                <w:spacing w:val="5"/>
              </w:rPr>
              <w:t>9.2.2 </w:t>
            </w:r>
            <w:r>
              <w:rPr>
                <w:rFonts w:ascii="SimSun" w:hAnsi="SimSun" w:eastAsia="SimSun" w:cs="SimSun"/>
                <w:sz w:val="20"/>
                <w:szCs w:val="20"/>
                <w:spacing w:val="5"/>
              </w:rPr>
              <w:t>废水排放监测</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301</w:t>
            </w:r>
          </w:hyperlink>
        </w:p>
        <w:p>
          <w:pPr>
            <w:ind w:left="968"/>
            <w:spacing w:before="62" w:line="194" w:lineRule="auto"/>
            <w:tabs>
              <w:tab w:val="right" w:leader="dot" w:pos="8505"/>
            </w:tabs>
            <w:rPr>
              <w:rFonts w:ascii="Times New Roman" w:hAnsi="Times New Roman" w:eastAsia="Times New Roman" w:cs="Times New Roman"/>
              <w:sz w:val="20"/>
              <w:szCs w:val="20"/>
            </w:rPr>
          </w:pPr>
          <w:hyperlink w:history="true" w:anchor="bookmark192">
            <w:r>
              <w:rPr>
                <w:rFonts w:ascii="Times New Roman" w:hAnsi="Times New Roman" w:eastAsia="Times New Roman" w:cs="Times New Roman"/>
                <w:sz w:val="20"/>
                <w:szCs w:val="20"/>
                <w:spacing w:val="6"/>
              </w:rPr>
              <w:t>9.2.3 </w:t>
            </w:r>
            <w:r>
              <w:rPr>
                <w:rFonts w:ascii="SimSun" w:hAnsi="SimSun" w:eastAsia="SimSun" w:cs="SimSun"/>
                <w:sz w:val="20"/>
                <w:szCs w:val="20"/>
                <w:spacing w:val="6"/>
              </w:rPr>
              <w:t>厂界环境噪声监测</w:t>
            </w:r>
            <w:r>
              <w:rPr>
                <w:rFonts w:ascii="SimSun" w:hAnsi="SimSun" w:eastAsia="SimSun" w:cs="SimSun"/>
                <w:sz w:val="20"/>
                <w:szCs w:val="20"/>
                <w:spacing w:val="-52"/>
              </w:rPr>
              <w:t xml:space="preserve"> </w:t>
            </w:r>
            <w:r>
              <w:rPr>
                <w:rFonts w:ascii="SimSun" w:hAnsi="SimSun" w:eastAsia="SimSun" w:cs="SimSun"/>
                <w:sz w:val="20"/>
                <w:szCs w:val="20"/>
              </w:rPr>
              <w:tab/>
            </w:r>
            <w:r>
              <w:rPr>
                <w:rFonts w:ascii="Times New Roman" w:hAnsi="Times New Roman" w:eastAsia="Times New Roman" w:cs="Times New Roman"/>
                <w:sz w:val="20"/>
                <w:szCs w:val="20"/>
                <w:spacing w:val="8"/>
              </w:rPr>
              <w:t>301</w:t>
            </w:r>
          </w:hyperlink>
        </w:p>
        <w:p>
          <w:pPr>
            <w:ind w:left="968"/>
            <w:spacing w:before="64" w:line="193" w:lineRule="auto"/>
            <w:tabs>
              <w:tab w:val="right" w:leader="dot" w:pos="8505"/>
            </w:tabs>
            <w:rPr>
              <w:rFonts w:ascii="Times New Roman" w:hAnsi="Times New Roman" w:eastAsia="Times New Roman" w:cs="Times New Roman"/>
              <w:sz w:val="20"/>
              <w:szCs w:val="20"/>
            </w:rPr>
          </w:pPr>
          <w:hyperlink w:history="true" w:anchor="bookmark193">
            <w:r>
              <w:rPr>
                <w:rFonts w:ascii="Times New Roman" w:hAnsi="Times New Roman" w:eastAsia="Times New Roman" w:cs="Times New Roman"/>
                <w:sz w:val="20"/>
                <w:szCs w:val="20"/>
                <w:spacing w:val="5"/>
              </w:rPr>
              <w:t>9.2.4 </w:t>
            </w:r>
            <w:r>
              <w:rPr>
                <w:rFonts w:ascii="SimSun" w:hAnsi="SimSun" w:eastAsia="SimSun" w:cs="SimSun"/>
                <w:sz w:val="20"/>
                <w:szCs w:val="20"/>
                <w:spacing w:val="5"/>
              </w:rPr>
              <w:t>沼肥跟踪检验</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302</w:t>
            </w:r>
          </w:hyperlink>
        </w:p>
        <w:p>
          <w:pPr>
            <w:ind w:left="968"/>
            <w:spacing w:before="62" w:line="228" w:lineRule="auto"/>
            <w:tabs>
              <w:tab w:val="right" w:leader="dot" w:pos="8505"/>
            </w:tabs>
            <w:rPr>
              <w:rFonts w:ascii="Times New Roman" w:hAnsi="Times New Roman" w:eastAsia="Times New Roman" w:cs="Times New Roman"/>
              <w:sz w:val="20"/>
              <w:szCs w:val="20"/>
            </w:rPr>
          </w:pPr>
          <w:hyperlink w:history="true" w:anchor="bookmark194">
            <w:r>
              <w:rPr>
                <w:rFonts w:ascii="Times New Roman" w:hAnsi="Times New Roman" w:eastAsia="Times New Roman" w:cs="Times New Roman"/>
                <w:sz w:val="20"/>
                <w:szCs w:val="20"/>
                <w:spacing w:val="5"/>
              </w:rPr>
              <w:t>9.2.5 </w:t>
            </w:r>
            <w:r>
              <w:rPr>
                <w:rFonts w:ascii="SimSun" w:hAnsi="SimSun" w:eastAsia="SimSun" w:cs="SimSun"/>
                <w:sz w:val="20"/>
                <w:szCs w:val="20"/>
                <w:spacing w:val="5"/>
              </w:rPr>
              <w:t>环境质量监测</w:t>
            </w:r>
            <w:r>
              <w:rPr>
                <w:rFonts w:ascii="SimSun" w:hAnsi="SimSun" w:eastAsia="SimSun" w:cs="SimSun"/>
                <w:sz w:val="20"/>
                <w:szCs w:val="20"/>
                <w:spacing w:val="-48"/>
              </w:rPr>
              <w:t xml:space="preserve"> </w:t>
            </w:r>
            <w:r>
              <w:rPr>
                <w:rFonts w:ascii="SimSun" w:hAnsi="SimSun" w:eastAsia="SimSun" w:cs="SimSun"/>
                <w:sz w:val="20"/>
                <w:szCs w:val="20"/>
              </w:rPr>
              <w:tab/>
            </w:r>
            <w:r>
              <w:rPr>
                <w:rFonts w:ascii="Times New Roman" w:hAnsi="Times New Roman" w:eastAsia="Times New Roman" w:cs="Times New Roman"/>
                <w:sz w:val="20"/>
                <w:szCs w:val="20"/>
                <w:spacing w:val="9"/>
              </w:rPr>
              <w:t>302</w:t>
            </w:r>
          </w:hyperlink>
        </w:p>
      </w:sdtContent>
    </w:sdt>
    <w:p>
      <w:pPr>
        <w:spacing w:line="228" w:lineRule="auto"/>
        <w:sectPr>
          <w:footerReference w:type="default" r:id="rId9"/>
          <w:pgSz w:w="11907" w:h="16840"/>
          <w:pgMar w:top="1567" w:right="1700" w:bottom="1481" w:left="1701" w:header="1221" w:footer="1247" w:gutter="0"/>
        </w:sectPr>
        <w:rPr>
          <w:rFonts w:ascii="Times New Roman" w:hAnsi="Times New Roman" w:eastAsia="Times New Roman" w:cs="Times New Roman"/>
          <w:sz w:val="20"/>
          <w:szCs w:val="20"/>
        </w:rPr>
      </w:pPr>
    </w:p>
    <w:sdt>
      <w:sdtPr>
        <w:rPr>
          <w:rFonts w:ascii="Times New Roman" w:hAnsi="Times New Roman" w:eastAsia="Times New Roman" w:cs="Times New Roman"/>
          <w:sz w:val="20"/>
          <w:szCs w:val="20"/>
        </w:rPr>
        <w:docPartObj>
          <w:docPartGallery w:val="Table of Contents"/>
          <w:docPartUnique/>
        </w:docPartObj>
      </w:sdtPr>
      <w:sdtEndPr>
        <w:rPr>
          <w:rFonts w:ascii="Times New Roman" w:hAnsi="Times New Roman" w:eastAsia="Times New Roman" w:cs="Times New Roman"/>
          <w:sz w:val="20"/>
          <w:szCs w:val="20"/>
        </w:rPr>
      </w:sdtEndPr>
      <w:sdtContent>
        <w:p>
          <w:pPr>
            <w:ind w:left="25"/>
            <w:spacing w:before="182" w:line="193" w:lineRule="auto"/>
            <w:tabs>
              <w:tab w:val="right" w:leader="dot" w:pos="8505"/>
            </w:tabs>
            <w:rPr>
              <w:rFonts w:ascii="Times New Roman" w:hAnsi="Times New Roman" w:eastAsia="Times New Roman" w:cs="Times New Roman"/>
              <w:sz w:val="20"/>
              <w:szCs w:val="20"/>
            </w:rPr>
          </w:pPr>
          <w:r>
            <w:pict>
              <v:shape id="_x0000_s24" style="position:absolute;margin-left:85.05pt;margin-top:79.11pt;mso-position-vertical-relative:page;mso-position-horizontal-relative:page;width:425.25pt;height:0.75pt;z-index:251668480;" o:allowincell="f" fillcolor="#000000" filled="true" stroked="false" coordsize="8505,15" coordorigin="0,0" path="m,l8505,0l8505,14l0,14l0,0xe"/>
            </w:pict>
          </w:r>
          <w:hyperlink w:history="true" w:anchor="bookmark195">
            <w:r>
              <w:rPr>
                <w:rFonts w:ascii="Times New Roman" w:hAnsi="Times New Roman" w:eastAsia="Times New Roman" w:cs="Times New Roman"/>
                <w:sz w:val="20"/>
                <w:szCs w:val="20"/>
                <w:spacing w:val="-4"/>
              </w:rPr>
              <w:t>10</w:t>
            </w:r>
            <w:r>
              <w:rPr>
                <w:rFonts w:ascii="Times New Roman" w:hAnsi="Times New Roman" w:eastAsia="Times New Roman" w:cs="Times New Roman"/>
                <w:sz w:val="20"/>
                <w:szCs w:val="20"/>
                <w:spacing w:val="19"/>
                <w:w w:val="101"/>
              </w:rPr>
              <w:t xml:space="preserve"> </w:t>
            </w:r>
            <w:r>
              <w:rPr>
                <w:rFonts w:ascii="SimSun" w:hAnsi="SimSun" w:eastAsia="SimSun" w:cs="SimSun"/>
                <w:sz w:val="20"/>
                <w:szCs w:val="20"/>
                <w:spacing w:val="-4"/>
              </w:rPr>
              <w:t>结论</w:t>
            </w:r>
            <w:r>
              <w:rPr>
                <w:rFonts w:ascii="SimSun" w:hAnsi="SimSun" w:eastAsia="SimSun" w:cs="SimSun"/>
                <w:sz w:val="20"/>
                <w:szCs w:val="20"/>
                <w:spacing w:val="-57"/>
              </w:rPr>
              <w:t xml:space="preserve"> </w:t>
            </w:r>
            <w:r>
              <w:rPr>
                <w:rFonts w:ascii="SimSun" w:hAnsi="SimSun" w:eastAsia="SimSun" w:cs="SimSun"/>
                <w:sz w:val="20"/>
                <w:szCs w:val="20"/>
              </w:rPr>
              <w:tab/>
            </w:r>
            <w:r>
              <w:rPr>
                <w:rFonts w:ascii="SimSun" w:hAnsi="SimSun" w:eastAsia="SimSun" w:cs="SimSun"/>
                <w:sz w:val="20"/>
                <w:szCs w:val="20"/>
                <w:spacing w:val="-46"/>
              </w:rPr>
              <w:t xml:space="preserve"> </w:t>
            </w:r>
            <w:r>
              <w:rPr>
                <w:rFonts w:ascii="Times New Roman" w:hAnsi="Times New Roman" w:eastAsia="Times New Roman" w:cs="Times New Roman"/>
                <w:sz w:val="20"/>
                <w:szCs w:val="20"/>
                <w:spacing w:val="2"/>
              </w:rPr>
              <w:t>304</w:t>
            </w:r>
          </w:hyperlink>
        </w:p>
        <w:p>
          <w:pPr>
            <w:ind w:left="505"/>
            <w:spacing w:before="62" w:line="193" w:lineRule="auto"/>
            <w:tabs>
              <w:tab w:val="right" w:leader="dot" w:pos="8505"/>
            </w:tabs>
            <w:rPr>
              <w:rFonts w:ascii="Times New Roman" w:hAnsi="Times New Roman" w:eastAsia="Times New Roman" w:cs="Times New Roman"/>
              <w:sz w:val="20"/>
              <w:szCs w:val="20"/>
            </w:rPr>
          </w:pPr>
          <w:hyperlink w:history="true" w:anchor="bookmark196">
            <w:r>
              <w:rPr>
                <w:rFonts w:ascii="Times New Roman" w:hAnsi="Times New Roman" w:eastAsia="Times New Roman" w:cs="Times New Roman"/>
                <w:sz w:val="20"/>
                <w:szCs w:val="20"/>
                <w:spacing w:val="2"/>
              </w:rPr>
              <w:t>10.1</w:t>
            </w:r>
            <w:r>
              <w:rPr>
                <w:rFonts w:ascii="Times New Roman" w:hAnsi="Times New Roman" w:eastAsia="Times New Roman" w:cs="Times New Roman"/>
                <w:sz w:val="20"/>
                <w:szCs w:val="20"/>
                <w:spacing w:val="16"/>
              </w:rPr>
              <w:t xml:space="preserve"> </w:t>
            </w:r>
            <w:r>
              <w:rPr>
                <w:rFonts w:ascii="SimSun" w:hAnsi="SimSun" w:eastAsia="SimSun" w:cs="SimSun"/>
                <w:sz w:val="20"/>
                <w:szCs w:val="20"/>
                <w:spacing w:val="2"/>
              </w:rPr>
              <w:t>项目概况</w:t>
            </w:r>
            <w:r>
              <w:rPr>
                <w:rFonts w:ascii="SimSun" w:hAnsi="SimSun" w:eastAsia="SimSun" w:cs="SimSun"/>
                <w:sz w:val="20"/>
                <w:szCs w:val="20"/>
                <w:spacing w:val="-57"/>
              </w:rPr>
              <w:t xml:space="preserve"> </w:t>
            </w:r>
            <w:r>
              <w:rPr>
                <w:rFonts w:ascii="SimSun" w:hAnsi="SimSun" w:eastAsia="SimSun" w:cs="SimSun"/>
                <w:sz w:val="20"/>
                <w:szCs w:val="20"/>
              </w:rPr>
              <w:tab/>
            </w:r>
            <w:r>
              <w:rPr>
                <w:rFonts w:ascii="SimSun" w:hAnsi="SimSun" w:eastAsia="SimSun" w:cs="SimSun"/>
                <w:sz w:val="20"/>
                <w:szCs w:val="20"/>
                <w:spacing w:val="-65"/>
              </w:rPr>
              <w:t xml:space="preserve"> </w:t>
            </w:r>
            <w:r>
              <w:rPr>
                <w:rFonts w:ascii="Times New Roman" w:hAnsi="Times New Roman" w:eastAsia="Times New Roman" w:cs="Times New Roman"/>
                <w:sz w:val="20"/>
                <w:szCs w:val="20"/>
                <w:spacing w:val="2"/>
              </w:rPr>
              <w:t>304</w:t>
            </w:r>
          </w:hyperlink>
        </w:p>
        <w:p>
          <w:pPr>
            <w:ind w:left="505"/>
            <w:spacing w:before="62" w:line="194" w:lineRule="auto"/>
            <w:tabs>
              <w:tab w:val="right" w:leader="dot" w:pos="8505"/>
            </w:tabs>
            <w:rPr>
              <w:rFonts w:ascii="Times New Roman" w:hAnsi="Times New Roman" w:eastAsia="Times New Roman" w:cs="Times New Roman"/>
              <w:sz w:val="20"/>
              <w:szCs w:val="20"/>
            </w:rPr>
          </w:pPr>
          <w:hyperlink w:history="true" w:anchor="bookmark197">
            <w:r>
              <w:rPr>
                <w:rFonts w:ascii="Times New Roman" w:hAnsi="Times New Roman" w:eastAsia="Times New Roman" w:cs="Times New Roman"/>
                <w:sz w:val="20"/>
                <w:szCs w:val="20"/>
                <w:spacing w:val="7"/>
              </w:rPr>
              <w:t>10.2 </w:t>
            </w:r>
            <w:r>
              <w:rPr>
                <w:rFonts w:ascii="SimSun" w:hAnsi="SimSun" w:eastAsia="SimSun" w:cs="SimSun"/>
                <w:sz w:val="20"/>
                <w:szCs w:val="20"/>
                <w:spacing w:val="7"/>
              </w:rPr>
              <w:t>产业政策符合性及选址合理性分析</w:t>
            </w:r>
            <w:r>
              <w:rPr>
                <w:rFonts w:ascii="SimSun" w:hAnsi="SimSun" w:eastAsia="SimSun" w:cs="SimSun"/>
                <w:sz w:val="20"/>
                <w:szCs w:val="20"/>
                <w:spacing w:val="-56"/>
              </w:rPr>
              <w:t xml:space="preserve"> </w:t>
            </w:r>
            <w:r>
              <w:rPr>
                <w:rFonts w:ascii="SimSun" w:hAnsi="SimSun" w:eastAsia="SimSun" w:cs="SimSun"/>
                <w:sz w:val="20"/>
                <w:szCs w:val="20"/>
              </w:rPr>
              <w:tab/>
            </w:r>
            <w:r>
              <w:rPr>
                <w:rFonts w:ascii="Times New Roman" w:hAnsi="Times New Roman" w:eastAsia="Times New Roman" w:cs="Times New Roman"/>
                <w:sz w:val="20"/>
                <w:szCs w:val="20"/>
                <w:spacing w:val="7"/>
              </w:rPr>
              <w:t>304</w:t>
            </w:r>
          </w:hyperlink>
        </w:p>
        <w:p>
          <w:pPr>
            <w:ind w:left="505"/>
            <w:spacing w:before="63" w:line="193" w:lineRule="auto"/>
            <w:tabs>
              <w:tab w:val="right" w:leader="dot" w:pos="8505"/>
            </w:tabs>
            <w:rPr>
              <w:rFonts w:ascii="Times New Roman" w:hAnsi="Times New Roman" w:eastAsia="Times New Roman" w:cs="Times New Roman"/>
              <w:sz w:val="20"/>
              <w:szCs w:val="20"/>
            </w:rPr>
          </w:pPr>
          <w:hyperlink w:history="true" w:anchor="bookmark198">
            <w:r>
              <w:rPr>
                <w:rFonts w:ascii="Times New Roman" w:hAnsi="Times New Roman" w:eastAsia="Times New Roman" w:cs="Times New Roman"/>
                <w:sz w:val="20"/>
                <w:szCs w:val="20"/>
                <w:spacing w:val="4"/>
              </w:rPr>
              <w:t>10.3 </w:t>
            </w:r>
            <w:r>
              <w:rPr>
                <w:rFonts w:ascii="SimSun" w:hAnsi="SimSun" w:eastAsia="SimSun" w:cs="SimSun"/>
                <w:sz w:val="20"/>
                <w:szCs w:val="20"/>
                <w:spacing w:val="4"/>
              </w:rPr>
              <w:t>环境质量现状</w:t>
            </w:r>
            <w:r>
              <w:rPr>
                <w:rFonts w:ascii="SimSun" w:hAnsi="SimSun" w:eastAsia="SimSun" w:cs="SimSun"/>
                <w:sz w:val="20"/>
                <w:szCs w:val="20"/>
                <w:spacing w:val="-49"/>
              </w:rPr>
              <w:t xml:space="preserve"> </w:t>
            </w:r>
            <w:r>
              <w:rPr>
                <w:rFonts w:ascii="SimSun" w:hAnsi="SimSun" w:eastAsia="SimSun" w:cs="SimSun"/>
                <w:sz w:val="20"/>
                <w:szCs w:val="20"/>
              </w:rPr>
              <w:tab/>
            </w:r>
            <w:r>
              <w:rPr>
                <w:rFonts w:ascii="SimSun" w:hAnsi="SimSun" w:eastAsia="SimSun" w:cs="SimSun"/>
                <w:sz w:val="20"/>
                <w:szCs w:val="20"/>
                <w:spacing w:val="-69"/>
              </w:rPr>
              <w:t xml:space="preserve"> </w:t>
            </w:r>
            <w:r>
              <w:rPr>
                <w:rFonts w:ascii="Times New Roman" w:hAnsi="Times New Roman" w:eastAsia="Times New Roman" w:cs="Times New Roman"/>
                <w:sz w:val="20"/>
                <w:szCs w:val="20"/>
                <w:spacing w:val="2"/>
              </w:rPr>
              <w:t>305</w:t>
            </w:r>
          </w:hyperlink>
        </w:p>
        <w:p>
          <w:pPr>
            <w:ind w:left="505"/>
            <w:spacing w:before="62" w:line="193" w:lineRule="auto"/>
            <w:tabs>
              <w:tab w:val="right" w:leader="dot" w:pos="8505"/>
            </w:tabs>
            <w:rPr>
              <w:rFonts w:ascii="Times New Roman" w:hAnsi="Times New Roman" w:eastAsia="Times New Roman" w:cs="Times New Roman"/>
              <w:sz w:val="20"/>
              <w:szCs w:val="20"/>
            </w:rPr>
          </w:pPr>
          <w:hyperlink w:history="true" w:anchor="bookmark199">
            <w:r>
              <w:rPr>
                <w:rFonts w:ascii="Times New Roman" w:hAnsi="Times New Roman" w:eastAsia="Times New Roman" w:cs="Times New Roman"/>
                <w:sz w:val="20"/>
                <w:szCs w:val="20"/>
                <w:spacing w:val="6"/>
              </w:rPr>
              <w:t>10.4 </w:t>
            </w:r>
            <w:r>
              <w:rPr>
                <w:rFonts w:ascii="SimSun" w:hAnsi="SimSun" w:eastAsia="SimSun" w:cs="SimSun"/>
                <w:sz w:val="20"/>
                <w:szCs w:val="20"/>
                <w:spacing w:val="6"/>
              </w:rPr>
              <w:t>环境影响分析与评价</w:t>
            </w:r>
            <w:r>
              <w:rPr>
                <w:rFonts w:ascii="SimSun" w:hAnsi="SimSun" w:eastAsia="SimSun" w:cs="SimSun"/>
                <w:sz w:val="20"/>
                <w:szCs w:val="20"/>
                <w:spacing w:val="-59"/>
              </w:rPr>
              <w:t xml:space="preserve"> </w:t>
            </w:r>
            <w:r>
              <w:rPr>
                <w:rFonts w:ascii="SimSun" w:hAnsi="SimSun" w:eastAsia="SimSun" w:cs="SimSun"/>
                <w:sz w:val="20"/>
                <w:szCs w:val="20"/>
              </w:rPr>
              <w:tab/>
            </w:r>
            <w:r>
              <w:rPr>
                <w:rFonts w:ascii="Times New Roman" w:hAnsi="Times New Roman" w:eastAsia="Times New Roman" w:cs="Times New Roman"/>
                <w:sz w:val="20"/>
                <w:szCs w:val="20"/>
                <w:spacing w:val="11"/>
              </w:rPr>
              <w:t>306</w:t>
            </w:r>
          </w:hyperlink>
        </w:p>
        <w:p>
          <w:pPr>
            <w:ind w:left="505"/>
            <w:spacing w:before="64" w:line="194" w:lineRule="auto"/>
            <w:tabs>
              <w:tab w:val="right" w:leader="dot" w:pos="8505"/>
            </w:tabs>
            <w:rPr>
              <w:rFonts w:ascii="Times New Roman" w:hAnsi="Times New Roman" w:eastAsia="Times New Roman" w:cs="Times New Roman"/>
              <w:sz w:val="20"/>
              <w:szCs w:val="20"/>
            </w:rPr>
          </w:pPr>
          <w:hyperlink w:history="true" w:anchor="bookmark200">
            <w:r>
              <w:rPr>
                <w:rFonts w:ascii="Times New Roman" w:hAnsi="Times New Roman" w:eastAsia="Times New Roman" w:cs="Times New Roman"/>
                <w:sz w:val="20"/>
                <w:szCs w:val="20"/>
                <w:spacing w:val="4"/>
              </w:rPr>
              <w:t>10.5 </w:t>
            </w:r>
            <w:r>
              <w:rPr>
                <w:rFonts w:ascii="SimSun" w:hAnsi="SimSun" w:eastAsia="SimSun" w:cs="SimSun"/>
                <w:sz w:val="20"/>
                <w:szCs w:val="20"/>
                <w:spacing w:val="4"/>
              </w:rPr>
              <w:t>污染防治措施</w:t>
            </w:r>
            <w:r>
              <w:rPr>
                <w:rFonts w:ascii="SimSun" w:hAnsi="SimSun" w:eastAsia="SimSun" w:cs="SimSun"/>
                <w:sz w:val="20"/>
                <w:szCs w:val="20"/>
                <w:spacing w:val="-49"/>
              </w:rPr>
              <w:t xml:space="preserve"> </w:t>
            </w:r>
            <w:r>
              <w:rPr>
                <w:rFonts w:ascii="SimSun" w:hAnsi="SimSun" w:eastAsia="SimSun" w:cs="SimSun"/>
                <w:sz w:val="20"/>
                <w:szCs w:val="20"/>
              </w:rPr>
              <w:tab/>
            </w:r>
            <w:r>
              <w:rPr>
                <w:rFonts w:ascii="SimSun" w:hAnsi="SimSun" w:eastAsia="SimSun" w:cs="SimSun"/>
                <w:sz w:val="20"/>
                <w:szCs w:val="20"/>
                <w:spacing w:val="-69"/>
              </w:rPr>
              <w:t xml:space="preserve"> </w:t>
            </w:r>
            <w:r>
              <w:rPr>
                <w:rFonts w:ascii="Times New Roman" w:hAnsi="Times New Roman" w:eastAsia="Times New Roman" w:cs="Times New Roman"/>
                <w:sz w:val="20"/>
                <w:szCs w:val="20"/>
                <w:spacing w:val="2"/>
              </w:rPr>
              <w:t>308</w:t>
            </w:r>
          </w:hyperlink>
        </w:p>
        <w:p>
          <w:pPr>
            <w:ind w:left="505"/>
            <w:spacing w:before="63" w:line="193" w:lineRule="auto"/>
            <w:tabs>
              <w:tab w:val="right" w:leader="dot" w:pos="8505"/>
            </w:tabs>
            <w:rPr>
              <w:rFonts w:ascii="Times New Roman" w:hAnsi="Times New Roman" w:eastAsia="Times New Roman" w:cs="Times New Roman"/>
              <w:sz w:val="20"/>
              <w:szCs w:val="20"/>
            </w:rPr>
          </w:pPr>
          <w:hyperlink w:history="true" w:anchor="bookmark201">
            <w:r>
              <w:rPr>
                <w:rFonts w:ascii="Times New Roman" w:hAnsi="Times New Roman" w:eastAsia="Times New Roman" w:cs="Times New Roman"/>
                <w:sz w:val="20"/>
                <w:szCs w:val="20"/>
                <w:spacing w:val="1"/>
              </w:rPr>
              <w:t>10.6</w:t>
            </w:r>
            <w:r>
              <w:rPr>
                <w:rFonts w:ascii="Times New Roman" w:hAnsi="Times New Roman" w:eastAsia="Times New Roman" w:cs="Times New Roman"/>
                <w:sz w:val="20"/>
                <w:szCs w:val="20"/>
                <w:spacing w:val="24"/>
              </w:rPr>
              <w:t xml:space="preserve"> </w:t>
            </w:r>
            <w:r>
              <w:rPr>
                <w:rFonts w:ascii="SimSun" w:hAnsi="SimSun" w:eastAsia="SimSun" w:cs="SimSun"/>
                <w:sz w:val="20"/>
                <w:szCs w:val="20"/>
                <w:spacing w:val="1"/>
              </w:rPr>
              <w:t>总量控制</w:t>
            </w:r>
            <w:r>
              <w:rPr>
                <w:rFonts w:ascii="SimSun" w:hAnsi="SimSun" w:eastAsia="SimSun" w:cs="SimSun"/>
                <w:sz w:val="20"/>
                <w:szCs w:val="20"/>
                <w:spacing w:val="-57"/>
              </w:rPr>
              <w:t xml:space="preserve"> </w:t>
            </w:r>
            <w:r>
              <w:rPr>
                <w:rFonts w:ascii="SimSun" w:hAnsi="SimSun" w:eastAsia="SimSun" w:cs="SimSun"/>
                <w:sz w:val="20"/>
                <w:szCs w:val="20"/>
              </w:rPr>
              <w:tab/>
            </w:r>
            <w:r>
              <w:rPr>
                <w:rFonts w:ascii="SimSun" w:hAnsi="SimSun" w:eastAsia="SimSun" w:cs="SimSun"/>
                <w:sz w:val="20"/>
                <w:szCs w:val="20"/>
                <w:spacing w:val="-65"/>
              </w:rPr>
              <w:t xml:space="preserve"> </w:t>
            </w:r>
            <w:r>
              <w:rPr>
                <w:rFonts w:ascii="Times New Roman" w:hAnsi="Times New Roman" w:eastAsia="Times New Roman" w:cs="Times New Roman"/>
                <w:sz w:val="20"/>
                <w:szCs w:val="20"/>
                <w:spacing w:val="2"/>
              </w:rPr>
              <w:t>309</w:t>
            </w:r>
          </w:hyperlink>
        </w:p>
        <w:p>
          <w:pPr>
            <w:ind w:left="505"/>
            <w:spacing w:before="62" w:line="193" w:lineRule="auto"/>
            <w:tabs>
              <w:tab w:val="right" w:leader="dot" w:pos="8505"/>
            </w:tabs>
            <w:rPr>
              <w:rFonts w:ascii="Times New Roman" w:hAnsi="Times New Roman" w:eastAsia="Times New Roman" w:cs="Times New Roman"/>
              <w:sz w:val="20"/>
              <w:szCs w:val="20"/>
            </w:rPr>
          </w:pPr>
          <w:hyperlink w:history="true" w:anchor="bookmark202">
            <w:r>
              <w:rPr>
                <w:rFonts w:ascii="Times New Roman" w:hAnsi="Times New Roman" w:eastAsia="Times New Roman" w:cs="Times New Roman"/>
                <w:sz w:val="20"/>
                <w:szCs w:val="20"/>
                <w:spacing w:val="1"/>
              </w:rPr>
              <w:t>10.7</w:t>
            </w:r>
            <w:r>
              <w:rPr>
                <w:rFonts w:ascii="Times New Roman" w:hAnsi="Times New Roman" w:eastAsia="Times New Roman" w:cs="Times New Roman"/>
                <w:sz w:val="20"/>
                <w:szCs w:val="20"/>
                <w:spacing w:val="24"/>
              </w:rPr>
              <w:t xml:space="preserve"> </w:t>
            </w:r>
            <w:r>
              <w:rPr>
                <w:rFonts w:ascii="SimSun" w:hAnsi="SimSun" w:eastAsia="SimSun" w:cs="SimSun"/>
                <w:sz w:val="20"/>
                <w:szCs w:val="20"/>
                <w:spacing w:val="1"/>
              </w:rPr>
              <w:t>公众参与</w:t>
            </w:r>
            <w:r>
              <w:rPr>
                <w:rFonts w:ascii="SimSun" w:hAnsi="SimSun" w:eastAsia="SimSun" w:cs="SimSun"/>
                <w:sz w:val="20"/>
                <w:szCs w:val="20"/>
                <w:spacing w:val="-57"/>
              </w:rPr>
              <w:t xml:space="preserve"> </w:t>
            </w:r>
            <w:r>
              <w:rPr>
                <w:rFonts w:ascii="SimSun" w:hAnsi="SimSun" w:eastAsia="SimSun" w:cs="SimSun"/>
                <w:sz w:val="20"/>
                <w:szCs w:val="20"/>
              </w:rPr>
              <w:tab/>
            </w:r>
            <w:r>
              <w:rPr>
                <w:rFonts w:ascii="SimSun" w:hAnsi="SimSun" w:eastAsia="SimSun" w:cs="SimSun"/>
                <w:sz w:val="20"/>
                <w:szCs w:val="20"/>
                <w:spacing w:val="-65"/>
              </w:rPr>
              <w:t xml:space="preserve"> </w:t>
            </w:r>
            <w:r>
              <w:rPr>
                <w:rFonts w:ascii="Times New Roman" w:hAnsi="Times New Roman" w:eastAsia="Times New Roman" w:cs="Times New Roman"/>
                <w:sz w:val="20"/>
                <w:szCs w:val="20"/>
                <w:spacing w:val="2"/>
              </w:rPr>
              <w:t>309</w:t>
            </w:r>
          </w:hyperlink>
        </w:p>
        <w:p>
          <w:pPr>
            <w:ind w:left="505"/>
            <w:spacing w:before="62" w:line="194" w:lineRule="auto"/>
            <w:tabs>
              <w:tab w:val="right" w:leader="dot" w:pos="8505"/>
            </w:tabs>
            <w:rPr>
              <w:rFonts w:ascii="Times New Roman" w:hAnsi="Times New Roman" w:eastAsia="Times New Roman" w:cs="Times New Roman"/>
              <w:sz w:val="20"/>
              <w:szCs w:val="20"/>
            </w:rPr>
          </w:pPr>
          <w:hyperlink w:history="true" w:anchor="bookmark203">
            <w:r>
              <w:rPr>
                <w:rFonts w:ascii="Times New Roman" w:hAnsi="Times New Roman" w:eastAsia="Times New Roman" w:cs="Times New Roman"/>
                <w:sz w:val="20"/>
                <w:szCs w:val="20"/>
                <w:spacing w:val="2"/>
              </w:rPr>
              <w:t>10.8</w:t>
            </w:r>
            <w:r>
              <w:rPr>
                <w:rFonts w:ascii="Times New Roman" w:hAnsi="Times New Roman" w:eastAsia="Times New Roman" w:cs="Times New Roman"/>
                <w:sz w:val="20"/>
                <w:szCs w:val="20"/>
                <w:spacing w:val="16"/>
              </w:rPr>
              <w:t xml:space="preserve"> </w:t>
            </w:r>
            <w:r>
              <w:rPr>
                <w:rFonts w:ascii="SimSun" w:hAnsi="SimSun" w:eastAsia="SimSun" w:cs="SimSun"/>
                <w:sz w:val="20"/>
                <w:szCs w:val="20"/>
                <w:spacing w:val="2"/>
              </w:rPr>
              <w:t>综合结论</w:t>
            </w:r>
            <w:r>
              <w:rPr>
                <w:rFonts w:ascii="SimSun" w:hAnsi="SimSun" w:eastAsia="SimSun" w:cs="SimSun"/>
                <w:sz w:val="20"/>
                <w:szCs w:val="20"/>
                <w:spacing w:val="-57"/>
              </w:rPr>
              <w:t xml:space="preserve"> </w:t>
            </w:r>
            <w:r>
              <w:rPr>
                <w:rFonts w:ascii="SimSun" w:hAnsi="SimSun" w:eastAsia="SimSun" w:cs="SimSun"/>
                <w:sz w:val="20"/>
                <w:szCs w:val="20"/>
              </w:rPr>
              <w:tab/>
            </w:r>
            <w:r>
              <w:rPr>
                <w:rFonts w:ascii="SimSun" w:hAnsi="SimSun" w:eastAsia="SimSun" w:cs="SimSun"/>
                <w:sz w:val="20"/>
                <w:szCs w:val="20"/>
                <w:spacing w:val="-65"/>
              </w:rPr>
              <w:t xml:space="preserve"> </w:t>
            </w:r>
            <w:r>
              <w:rPr>
                <w:rFonts w:ascii="Times New Roman" w:hAnsi="Times New Roman" w:eastAsia="Times New Roman" w:cs="Times New Roman"/>
                <w:sz w:val="20"/>
                <w:szCs w:val="20"/>
                <w:spacing w:val="2"/>
              </w:rPr>
              <w:t>310</w:t>
            </w:r>
          </w:hyperlink>
        </w:p>
        <w:p>
          <w:pPr>
            <w:ind w:left="25"/>
            <w:spacing w:before="64" w:line="193" w:lineRule="auto"/>
            <w:tabs>
              <w:tab w:val="right" w:leader="dot" w:pos="8505"/>
            </w:tabs>
            <w:rPr>
              <w:rFonts w:ascii="Times New Roman" w:hAnsi="Times New Roman" w:eastAsia="Times New Roman" w:cs="Times New Roman"/>
              <w:sz w:val="20"/>
              <w:szCs w:val="20"/>
            </w:rPr>
          </w:pPr>
          <w:hyperlink w:history="true" w:anchor="bookmark204">
            <w:r>
              <w:rPr>
                <w:rFonts w:ascii="SimSun" w:hAnsi="SimSun" w:eastAsia="SimSun" w:cs="SimSun"/>
                <w:sz w:val="20"/>
                <w:szCs w:val="20"/>
                <w:spacing w:val="-3"/>
              </w:rPr>
              <w:t>附图：</w:t>
            </w:r>
            <w:r>
              <w:rPr>
                <w:rFonts w:ascii="SimSun" w:hAnsi="SimSun" w:eastAsia="SimSun" w:cs="SimSun"/>
                <w:sz w:val="20"/>
                <w:szCs w:val="20"/>
                <w:spacing w:val="-47"/>
              </w:rPr>
              <w:t xml:space="preserve"> </w:t>
            </w:r>
            <w:r>
              <w:rPr>
                <w:rFonts w:ascii="SimSun" w:hAnsi="SimSun" w:eastAsia="SimSun" w:cs="SimSun"/>
                <w:sz w:val="20"/>
                <w:szCs w:val="20"/>
              </w:rPr>
              <w:tab/>
            </w:r>
            <w:r>
              <w:rPr>
                <w:rFonts w:ascii="SimSun" w:hAnsi="SimSun" w:eastAsia="SimSun" w:cs="SimSun"/>
                <w:sz w:val="20"/>
                <w:szCs w:val="20"/>
                <w:spacing w:val="-46"/>
              </w:rPr>
              <w:t xml:space="preserve"> </w:t>
            </w:r>
            <w:r>
              <w:rPr>
                <w:rFonts w:ascii="Times New Roman" w:hAnsi="Times New Roman" w:eastAsia="Times New Roman" w:cs="Times New Roman"/>
                <w:sz w:val="20"/>
                <w:szCs w:val="20"/>
                <w:spacing w:val="2"/>
              </w:rPr>
              <w:t>311</w:t>
            </w:r>
          </w:hyperlink>
        </w:p>
        <w:p>
          <w:pPr>
            <w:ind w:left="25"/>
            <w:spacing w:before="62" w:line="193" w:lineRule="auto"/>
            <w:tabs>
              <w:tab w:val="right" w:leader="dot" w:pos="8505"/>
            </w:tabs>
            <w:rPr>
              <w:rFonts w:ascii="Times New Roman" w:hAnsi="Times New Roman" w:eastAsia="Times New Roman" w:cs="Times New Roman"/>
              <w:sz w:val="20"/>
              <w:szCs w:val="20"/>
            </w:rPr>
          </w:pPr>
          <w:hyperlink w:history="true" w:anchor="bookmark205">
            <w:r>
              <w:rPr>
                <w:rFonts w:ascii="SimSun" w:hAnsi="SimSun" w:eastAsia="SimSun" w:cs="SimSun"/>
                <w:sz w:val="20"/>
                <w:szCs w:val="20"/>
                <w:spacing w:val="4"/>
              </w:rPr>
              <w:t>附图</w:t>
            </w:r>
            <w:r>
              <w:rPr>
                <w:rFonts w:ascii="SimSun" w:hAnsi="SimSun" w:eastAsia="SimSun" w:cs="SimSun"/>
                <w:sz w:val="20"/>
                <w:szCs w:val="20"/>
                <w:spacing w:val="-16"/>
              </w:rPr>
              <w:t xml:space="preserve"> </w:t>
            </w:r>
            <w:r>
              <w:rPr>
                <w:rFonts w:ascii="Times New Roman" w:hAnsi="Times New Roman" w:eastAsia="Times New Roman" w:cs="Times New Roman"/>
                <w:sz w:val="20"/>
                <w:szCs w:val="20"/>
                <w:spacing w:val="4"/>
              </w:rPr>
              <w:t>1</w:t>
            </w:r>
            <w:r>
              <w:rPr>
                <w:rFonts w:ascii="SimSun" w:hAnsi="SimSun" w:eastAsia="SimSun" w:cs="SimSun"/>
                <w:sz w:val="20"/>
                <w:szCs w:val="20"/>
                <w:spacing w:val="4"/>
              </w:rPr>
              <w:t>：项目地理位置图</w:t>
            </w:r>
            <w:r>
              <w:rPr>
                <w:rFonts w:ascii="SimSun" w:hAnsi="SimSun" w:eastAsia="SimSun" w:cs="SimSun"/>
                <w:sz w:val="20"/>
                <w:szCs w:val="20"/>
                <w:spacing w:val="-57"/>
              </w:rPr>
              <w:t xml:space="preserve"> </w:t>
            </w:r>
            <w:r>
              <w:rPr>
                <w:rFonts w:ascii="SimSun" w:hAnsi="SimSun" w:eastAsia="SimSun" w:cs="SimSun"/>
                <w:sz w:val="20"/>
                <w:szCs w:val="20"/>
              </w:rPr>
              <w:tab/>
            </w:r>
            <w:r>
              <w:rPr>
                <w:rFonts w:ascii="SimSun" w:hAnsi="SimSun" w:eastAsia="SimSun" w:cs="SimSun"/>
                <w:sz w:val="20"/>
                <w:szCs w:val="20"/>
                <w:spacing w:val="-61"/>
              </w:rPr>
              <w:t xml:space="preserve"> </w:t>
            </w:r>
            <w:r>
              <w:rPr>
                <w:rFonts w:ascii="Times New Roman" w:hAnsi="Times New Roman" w:eastAsia="Times New Roman" w:cs="Times New Roman"/>
                <w:sz w:val="20"/>
                <w:szCs w:val="20"/>
                <w:spacing w:val="2"/>
              </w:rPr>
              <w:t>312</w:t>
            </w:r>
          </w:hyperlink>
        </w:p>
        <w:p>
          <w:pPr>
            <w:ind w:left="25"/>
            <w:spacing w:before="64" w:line="194" w:lineRule="auto"/>
            <w:tabs>
              <w:tab w:val="right" w:leader="dot" w:pos="8505"/>
            </w:tabs>
            <w:rPr>
              <w:rFonts w:ascii="Times New Roman" w:hAnsi="Times New Roman" w:eastAsia="Times New Roman" w:cs="Times New Roman"/>
              <w:sz w:val="20"/>
              <w:szCs w:val="20"/>
            </w:rPr>
          </w:pPr>
          <w:hyperlink w:history="true" w:anchor="bookmark206">
            <w:r>
              <w:rPr>
                <w:rFonts w:ascii="SimSun" w:hAnsi="SimSun" w:eastAsia="SimSun" w:cs="SimSun"/>
                <w:sz w:val="20"/>
                <w:szCs w:val="20"/>
                <w:spacing w:val="6"/>
              </w:rPr>
              <w:t>附图</w:t>
            </w:r>
            <w:r>
              <w:rPr>
                <w:rFonts w:ascii="SimSun" w:hAnsi="SimSun" w:eastAsia="SimSun" w:cs="SimSun"/>
                <w:sz w:val="20"/>
                <w:szCs w:val="20"/>
                <w:spacing w:val="-41"/>
              </w:rPr>
              <w:t xml:space="preserve"> </w:t>
            </w:r>
            <w:r>
              <w:rPr>
                <w:rFonts w:ascii="Times New Roman" w:hAnsi="Times New Roman" w:eastAsia="Times New Roman" w:cs="Times New Roman"/>
                <w:sz w:val="20"/>
                <w:szCs w:val="20"/>
                <w:spacing w:val="6"/>
              </w:rPr>
              <w:t>2</w:t>
            </w:r>
            <w:r>
              <w:rPr>
                <w:rFonts w:ascii="SimSun" w:hAnsi="SimSun" w:eastAsia="SimSun" w:cs="SimSun"/>
                <w:sz w:val="20"/>
                <w:szCs w:val="20"/>
                <w:spacing w:val="6"/>
              </w:rPr>
              <w:t>：声功能区划图</w:t>
            </w:r>
            <w:r>
              <w:rPr>
                <w:rFonts w:ascii="SimSun" w:hAnsi="SimSun" w:eastAsia="SimSun" w:cs="SimSun"/>
                <w:sz w:val="20"/>
                <w:szCs w:val="20"/>
                <w:spacing w:val="-59"/>
              </w:rPr>
              <w:t xml:space="preserve"> </w:t>
            </w:r>
            <w:r>
              <w:rPr>
                <w:rFonts w:ascii="SimSun" w:hAnsi="SimSun" w:eastAsia="SimSun" w:cs="SimSun"/>
                <w:sz w:val="20"/>
                <w:szCs w:val="20"/>
              </w:rPr>
              <w:tab/>
            </w:r>
            <w:r>
              <w:rPr>
                <w:rFonts w:ascii="SimSun" w:hAnsi="SimSun" w:eastAsia="SimSun" w:cs="SimSun"/>
                <w:sz w:val="20"/>
                <w:szCs w:val="20"/>
                <w:spacing w:val="-58"/>
              </w:rPr>
              <w:t xml:space="preserve"> </w:t>
            </w:r>
            <w:r>
              <w:rPr>
                <w:rFonts w:ascii="Times New Roman" w:hAnsi="Times New Roman" w:eastAsia="Times New Roman" w:cs="Times New Roman"/>
                <w:sz w:val="20"/>
                <w:szCs w:val="20"/>
                <w:spacing w:val="2"/>
              </w:rPr>
              <w:t>313</w:t>
            </w:r>
          </w:hyperlink>
        </w:p>
        <w:p>
          <w:pPr>
            <w:ind w:left="25"/>
            <w:spacing w:before="62" w:line="193" w:lineRule="auto"/>
            <w:tabs>
              <w:tab w:val="right" w:leader="dot" w:pos="8505"/>
            </w:tabs>
            <w:rPr>
              <w:rFonts w:ascii="Times New Roman" w:hAnsi="Times New Roman" w:eastAsia="Times New Roman" w:cs="Times New Roman"/>
              <w:sz w:val="20"/>
              <w:szCs w:val="20"/>
            </w:rPr>
          </w:pPr>
          <w:hyperlink w:history="true" w:anchor="bookmark207">
            <w:r>
              <w:rPr>
                <w:rFonts w:ascii="SimSun" w:hAnsi="SimSun" w:eastAsia="SimSun" w:cs="SimSun"/>
                <w:sz w:val="20"/>
                <w:szCs w:val="20"/>
                <w:spacing w:val="-3"/>
              </w:rPr>
              <w:t>附件：</w:t>
            </w:r>
            <w:r>
              <w:rPr>
                <w:rFonts w:ascii="SimSun" w:hAnsi="SimSun" w:eastAsia="SimSun" w:cs="SimSun"/>
                <w:sz w:val="20"/>
                <w:szCs w:val="20"/>
                <w:spacing w:val="-47"/>
              </w:rPr>
              <w:t xml:space="preserve"> </w:t>
            </w:r>
            <w:r>
              <w:rPr>
                <w:rFonts w:ascii="SimSun" w:hAnsi="SimSun" w:eastAsia="SimSun" w:cs="SimSun"/>
                <w:sz w:val="20"/>
                <w:szCs w:val="20"/>
              </w:rPr>
              <w:tab/>
            </w:r>
            <w:r>
              <w:rPr>
                <w:rFonts w:ascii="SimSun" w:hAnsi="SimSun" w:eastAsia="SimSun" w:cs="SimSun"/>
                <w:sz w:val="20"/>
                <w:szCs w:val="20"/>
                <w:spacing w:val="-46"/>
              </w:rPr>
              <w:t xml:space="preserve"> </w:t>
            </w:r>
            <w:r>
              <w:rPr>
                <w:rFonts w:ascii="Times New Roman" w:hAnsi="Times New Roman" w:eastAsia="Times New Roman" w:cs="Times New Roman"/>
                <w:sz w:val="20"/>
                <w:szCs w:val="20"/>
                <w:spacing w:val="2"/>
              </w:rPr>
              <w:t>314</w:t>
            </w:r>
          </w:hyperlink>
        </w:p>
        <w:p>
          <w:pPr>
            <w:ind w:left="25"/>
            <w:spacing w:before="64" w:line="193" w:lineRule="auto"/>
            <w:tabs>
              <w:tab w:val="right" w:leader="dot" w:pos="8505"/>
            </w:tabs>
            <w:rPr>
              <w:rFonts w:ascii="Times New Roman" w:hAnsi="Times New Roman" w:eastAsia="Times New Roman" w:cs="Times New Roman"/>
              <w:sz w:val="20"/>
              <w:szCs w:val="20"/>
            </w:rPr>
          </w:pPr>
          <w:hyperlink w:history="true" w:anchor="bookmark208">
            <w:r>
              <w:rPr>
                <w:rFonts w:ascii="SimSun" w:hAnsi="SimSun" w:eastAsia="SimSun" w:cs="SimSun"/>
                <w:sz w:val="20"/>
                <w:szCs w:val="20"/>
                <w:spacing w:val="3"/>
              </w:rPr>
              <w:t>附件</w:t>
            </w:r>
            <w:r>
              <w:rPr>
                <w:rFonts w:ascii="SimSun" w:hAnsi="SimSun" w:eastAsia="SimSun" w:cs="SimSun"/>
                <w:sz w:val="20"/>
                <w:szCs w:val="20"/>
                <w:spacing w:val="-19"/>
              </w:rPr>
              <w:t xml:space="preserve"> </w:t>
            </w:r>
            <w:r>
              <w:rPr>
                <w:rFonts w:ascii="Times New Roman" w:hAnsi="Times New Roman" w:eastAsia="Times New Roman" w:cs="Times New Roman"/>
                <w:sz w:val="20"/>
                <w:szCs w:val="20"/>
                <w:spacing w:val="3"/>
              </w:rPr>
              <w:t>1</w:t>
            </w:r>
            <w:r>
              <w:rPr>
                <w:rFonts w:ascii="SimSun" w:hAnsi="SimSun" w:eastAsia="SimSun" w:cs="SimSun"/>
                <w:sz w:val="20"/>
                <w:szCs w:val="20"/>
                <w:spacing w:val="3"/>
              </w:rPr>
              <w:t>：环评委托书</w:t>
            </w:r>
            <w:r>
              <w:rPr>
                <w:rFonts w:ascii="SimSun" w:hAnsi="SimSun" w:eastAsia="SimSun" w:cs="SimSun"/>
                <w:sz w:val="20"/>
                <w:szCs w:val="20"/>
                <w:spacing w:val="-57"/>
              </w:rPr>
              <w:t xml:space="preserve"> </w:t>
            </w:r>
            <w:r>
              <w:rPr>
                <w:rFonts w:ascii="SimSun" w:hAnsi="SimSun" w:eastAsia="SimSun" w:cs="SimSun"/>
                <w:sz w:val="20"/>
                <w:szCs w:val="20"/>
              </w:rPr>
              <w:tab/>
            </w:r>
            <w:r>
              <w:rPr>
                <w:rFonts w:ascii="SimSun" w:hAnsi="SimSun" w:eastAsia="SimSun" w:cs="SimSun"/>
                <w:sz w:val="20"/>
                <w:szCs w:val="20"/>
                <w:spacing w:val="-57"/>
              </w:rPr>
              <w:t xml:space="preserve"> </w:t>
            </w:r>
            <w:r>
              <w:rPr>
                <w:rFonts w:ascii="Times New Roman" w:hAnsi="Times New Roman" w:eastAsia="Times New Roman" w:cs="Times New Roman"/>
                <w:sz w:val="20"/>
                <w:szCs w:val="20"/>
                <w:spacing w:val="2"/>
              </w:rPr>
              <w:t>315</w:t>
            </w:r>
          </w:hyperlink>
        </w:p>
        <w:p>
          <w:pPr>
            <w:ind w:left="25"/>
            <w:spacing w:before="62" w:line="194" w:lineRule="auto"/>
            <w:tabs>
              <w:tab w:val="right" w:leader="dot" w:pos="8505"/>
            </w:tabs>
            <w:rPr>
              <w:rFonts w:ascii="Times New Roman" w:hAnsi="Times New Roman" w:eastAsia="Times New Roman" w:cs="Times New Roman"/>
              <w:sz w:val="20"/>
              <w:szCs w:val="20"/>
            </w:rPr>
          </w:pPr>
          <w:hyperlink w:history="true" w:anchor="bookmark209">
            <w:r>
              <w:rPr>
                <w:rFonts w:ascii="SimSun" w:hAnsi="SimSun" w:eastAsia="SimSun" w:cs="SimSun"/>
                <w:sz w:val="20"/>
                <w:szCs w:val="20"/>
                <w:spacing w:val="6"/>
              </w:rPr>
              <w:t>附件</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6"/>
              </w:rPr>
              <w:t>2</w:t>
            </w:r>
            <w:r>
              <w:rPr>
                <w:rFonts w:ascii="SimSun" w:hAnsi="SimSun" w:eastAsia="SimSun" w:cs="SimSun"/>
                <w:sz w:val="20"/>
                <w:szCs w:val="20"/>
                <w:spacing w:val="6"/>
              </w:rPr>
              <w:t>：项目备案告知书</w:t>
            </w:r>
            <w:r>
              <w:rPr>
                <w:rFonts w:ascii="SimSun" w:hAnsi="SimSun" w:eastAsia="SimSun" w:cs="SimSun"/>
                <w:sz w:val="20"/>
                <w:szCs w:val="20"/>
                <w:spacing w:val="-57"/>
              </w:rPr>
              <w:t xml:space="preserve"> </w:t>
            </w:r>
            <w:r>
              <w:rPr>
                <w:rFonts w:ascii="SimSun" w:hAnsi="SimSun" w:eastAsia="SimSun" w:cs="SimSun"/>
                <w:sz w:val="20"/>
                <w:szCs w:val="20"/>
              </w:rPr>
              <w:tab/>
            </w:r>
            <w:r>
              <w:rPr>
                <w:rFonts w:ascii="SimSun" w:hAnsi="SimSun" w:eastAsia="SimSun" w:cs="SimSun"/>
                <w:sz w:val="20"/>
                <w:szCs w:val="20"/>
                <w:spacing w:val="-61"/>
              </w:rPr>
              <w:t xml:space="preserve"> </w:t>
            </w:r>
            <w:r>
              <w:rPr>
                <w:rFonts w:ascii="Times New Roman" w:hAnsi="Times New Roman" w:eastAsia="Times New Roman" w:cs="Times New Roman"/>
                <w:sz w:val="20"/>
                <w:szCs w:val="20"/>
                <w:spacing w:val="2"/>
              </w:rPr>
              <w:t>316</w:t>
            </w:r>
          </w:hyperlink>
        </w:p>
        <w:p>
          <w:pPr>
            <w:ind w:left="25"/>
            <w:spacing w:before="64" w:line="193" w:lineRule="auto"/>
            <w:tabs>
              <w:tab w:val="right" w:leader="dot" w:pos="8505"/>
            </w:tabs>
            <w:rPr>
              <w:rFonts w:ascii="Times New Roman" w:hAnsi="Times New Roman" w:eastAsia="Times New Roman" w:cs="Times New Roman"/>
              <w:sz w:val="20"/>
              <w:szCs w:val="20"/>
            </w:rPr>
          </w:pPr>
          <w:hyperlink w:history="true" w:anchor="bookmark210">
            <w:r>
              <w:rPr>
                <w:rFonts w:ascii="SimSun" w:hAnsi="SimSun" w:eastAsia="SimSun" w:cs="SimSun"/>
                <w:sz w:val="20"/>
                <w:szCs w:val="20"/>
                <w:spacing w:val="4"/>
              </w:rPr>
              <w:t>附件</w:t>
            </w:r>
            <w:r>
              <w:rPr>
                <w:rFonts w:ascii="SimSun" w:hAnsi="SimSun" w:eastAsia="SimSun" w:cs="SimSun"/>
                <w:sz w:val="20"/>
                <w:szCs w:val="20"/>
                <w:spacing w:val="-33"/>
              </w:rPr>
              <w:t xml:space="preserve"> </w:t>
            </w:r>
            <w:r>
              <w:rPr>
                <w:rFonts w:ascii="Times New Roman" w:hAnsi="Times New Roman" w:eastAsia="Times New Roman" w:cs="Times New Roman"/>
                <w:sz w:val="20"/>
                <w:szCs w:val="20"/>
                <w:spacing w:val="4"/>
              </w:rPr>
              <w:t>3</w:t>
            </w:r>
            <w:r>
              <w:rPr>
                <w:rFonts w:ascii="SimSun" w:hAnsi="SimSun" w:eastAsia="SimSun" w:cs="SimSun"/>
                <w:sz w:val="20"/>
                <w:szCs w:val="20"/>
                <w:spacing w:val="4"/>
              </w:rPr>
              <w:t>：土地手续</w:t>
            </w:r>
            <w:r>
              <w:rPr>
                <w:rFonts w:ascii="SimSun" w:hAnsi="SimSun" w:eastAsia="SimSun" w:cs="SimSun"/>
                <w:sz w:val="20"/>
                <w:szCs w:val="20"/>
                <w:spacing w:val="-59"/>
              </w:rPr>
              <w:t xml:space="preserve"> </w:t>
            </w:r>
            <w:r>
              <w:rPr>
                <w:rFonts w:ascii="SimSun" w:hAnsi="SimSun" w:eastAsia="SimSun" w:cs="SimSun"/>
                <w:sz w:val="20"/>
                <w:szCs w:val="20"/>
              </w:rPr>
              <w:tab/>
            </w:r>
            <w:r>
              <w:rPr>
                <w:rFonts w:ascii="SimSun" w:hAnsi="SimSun" w:eastAsia="SimSun" w:cs="SimSun"/>
                <w:sz w:val="20"/>
                <w:szCs w:val="20"/>
                <w:spacing w:val="-54"/>
              </w:rPr>
              <w:t xml:space="preserve"> </w:t>
            </w:r>
            <w:r>
              <w:rPr>
                <w:rFonts w:ascii="Times New Roman" w:hAnsi="Times New Roman" w:eastAsia="Times New Roman" w:cs="Times New Roman"/>
                <w:sz w:val="20"/>
                <w:szCs w:val="20"/>
                <w:spacing w:val="2"/>
              </w:rPr>
              <w:t>317</w:t>
            </w:r>
          </w:hyperlink>
        </w:p>
        <w:p>
          <w:pPr>
            <w:ind w:left="25"/>
            <w:spacing w:before="62" w:line="193" w:lineRule="auto"/>
            <w:tabs>
              <w:tab w:val="right" w:leader="dot" w:pos="8505"/>
            </w:tabs>
            <w:rPr>
              <w:rFonts w:ascii="Times New Roman" w:hAnsi="Times New Roman" w:eastAsia="Times New Roman" w:cs="Times New Roman"/>
              <w:sz w:val="20"/>
              <w:szCs w:val="20"/>
            </w:rPr>
          </w:pPr>
          <w:hyperlink w:history="true" w:anchor="bookmark211">
            <w:r>
              <w:rPr>
                <w:rFonts w:ascii="SimSun" w:hAnsi="SimSun" w:eastAsia="SimSun" w:cs="SimSun"/>
                <w:sz w:val="20"/>
                <w:szCs w:val="20"/>
                <w:spacing w:val="6"/>
              </w:rPr>
              <w:t>附件</w:t>
            </w:r>
            <w:r>
              <w:rPr>
                <w:rFonts w:ascii="SimSun" w:hAnsi="SimSun" w:eastAsia="SimSun" w:cs="SimSun"/>
                <w:sz w:val="20"/>
                <w:szCs w:val="20"/>
                <w:spacing w:val="-41"/>
              </w:rPr>
              <w:t xml:space="preserve"> </w:t>
            </w:r>
            <w:r>
              <w:rPr>
                <w:rFonts w:ascii="Times New Roman" w:hAnsi="Times New Roman" w:eastAsia="Times New Roman" w:cs="Times New Roman"/>
                <w:sz w:val="20"/>
                <w:szCs w:val="20"/>
                <w:spacing w:val="6"/>
              </w:rPr>
              <w:t>4</w:t>
            </w:r>
            <w:r>
              <w:rPr>
                <w:rFonts w:ascii="SimSun" w:hAnsi="SimSun" w:eastAsia="SimSun" w:cs="SimSun"/>
                <w:sz w:val="20"/>
                <w:szCs w:val="20"/>
                <w:spacing w:val="6"/>
              </w:rPr>
              <w:t>：土地租赁协议</w:t>
            </w:r>
            <w:r>
              <w:rPr>
                <w:rFonts w:ascii="SimSun" w:hAnsi="SimSun" w:eastAsia="SimSun" w:cs="SimSun"/>
                <w:sz w:val="20"/>
                <w:szCs w:val="20"/>
                <w:spacing w:val="-59"/>
              </w:rPr>
              <w:t xml:space="preserve"> </w:t>
            </w:r>
            <w:r>
              <w:rPr>
                <w:rFonts w:ascii="SimSun" w:hAnsi="SimSun" w:eastAsia="SimSun" w:cs="SimSun"/>
                <w:sz w:val="20"/>
                <w:szCs w:val="20"/>
              </w:rPr>
              <w:tab/>
            </w:r>
            <w:r>
              <w:rPr>
                <w:rFonts w:ascii="SimSun" w:hAnsi="SimSun" w:eastAsia="SimSun" w:cs="SimSun"/>
                <w:sz w:val="20"/>
                <w:szCs w:val="20"/>
                <w:spacing w:val="-58"/>
              </w:rPr>
              <w:t xml:space="preserve"> </w:t>
            </w:r>
            <w:r>
              <w:rPr>
                <w:rFonts w:ascii="Times New Roman" w:hAnsi="Times New Roman" w:eastAsia="Times New Roman" w:cs="Times New Roman"/>
                <w:sz w:val="20"/>
                <w:szCs w:val="20"/>
                <w:spacing w:val="2"/>
              </w:rPr>
              <w:t>318</w:t>
            </w:r>
          </w:hyperlink>
        </w:p>
        <w:p>
          <w:pPr>
            <w:ind w:left="25"/>
            <w:spacing w:before="62" w:line="194" w:lineRule="auto"/>
            <w:tabs>
              <w:tab w:val="right" w:leader="dot" w:pos="8505"/>
            </w:tabs>
            <w:rPr>
              <w:rFonts w:ascii="Times New Roman" w:hAnsi="Times New Roman" w:eastAsia="Times New Roman" w:cs="Times New Roman"/>
              <w:sz w:val="20"/>
              <w:szCs w:val="20"/>
            </w:rPr>
          </w:pPr>
          <w:hyperlink w:history="true" w:anchor="bookmark212">
            <w:r>
              <w:rPr>
                <w:rFonts w:ascii="SimSun" w:hAnsi="SimSun" w:eastAsia="SimSun" w:cs="SimSun"/>
                <w:sz w:val="20"/>
                <w:szCs w:val="20"/>
                <w:spacing w:val="5"/>
              </w:rPr>
              <w:t>附件</w:t>
            </w:r>
            <w:r>
              <w:rPr>
                <w:rFonts w:ascii="SimSun" w:hAnsi="SimSun" w:eastAsia="SimSun" w:cs="SimSun"/>
                <w:sz w:val="20"/>
                <w:szCs w:val="20"/>
                <w:spacing w:val="-31"/>
              </w:rPr>
              <w:t xml:space="preserve"> </w:t>
            </w:r>
            <w:r>
              <w:rPr>
                <w:rFonts w:ascii="Times New Roman" w:hAnsi="Times New Roman" w:eastAsia="Times New Roman" w:cs="Times New Roman"/>
                <w:sz w:val="20"/>
                <w:szCs w:val="20"/>
                <w:spacing w:val="5"/>
              </w:rPr>
              <w:t>5</w:t>
            </w:r>
            <w:r>
              <w:rPr>
                <w:rFonts w:ascii="SimSun" w:hAnsi="SimSun" w:eastAsia="SimSun" w:cs="SimSun"/>
                <w:sz w:val="20"/>
                <w:szCs w:val="20"/>
                <w:spacing w:val="5"/>
              </w:rPr>
              <w:t>：现状监测报告</w:t>
            </w:r>
            <w:r>
              <w:rPr>
                <w:rFonts w:ascii="SimSun" w:hAnsi="SimSun" w:eastAsia="SimSun" w:cs="SimSun"/>
                <w:sz w:val="20"/>
                <w:szCs w:val="20"/>
                <w:spacing w:val="-59"/>
              </w:rPr>
              <w:t xml:space="preserve"> </w:t>
            </w:r>
            <w:r>
              <w:rPr>
                <w:rFonts w:ascii="SimSun" w:hAnsi="SimSun" w:eastAsia="SimSun" w:cs="SimSun"/>
                <w:sz w:val="20"/>
                <w:szCs w:val="20"/>
              </w:rPr>
              <w:tab/>
            </w:r>
            <w:r>
              <w:rPr>
                <w:rFonts w:ascii="SimSun" w:hAnsi="SimSun" w:eastAsia="SimSun" w:cs="SimSun"/>
                <w:sz w:val="20"/>
                <w:szCs w:val="20"/>
                <w:spacing w:val="-58"/>
              </w:rPr>
              <w:t xml:space="preserve"> </w:t>
            </w:r>
            <w:r>
              <w:rPr>
                <w:rFonts w:ascii="Times New Roman" w:hAnsi="Times New Roman" w:eastAsia="Times New Roman" w:cs="Times New Roman"/>
                <w:sz w:val="20"/>
                <w:szCs w:val="20"/>
                <w:spacing w:val="2"/>
              </w:rPr>
              <w:t>319</w:t>
            </w:r>
          </w:hyperlink>
        </w:p>
        <w:p>
          <w:pPr>
            <w:ind w:left="25"/>
            <w:spacing w:before="64" w:line="226" w:lineRule="auto"/>
            <w:tabs>
              <w:tab w:val="right" w:leader="dot" w:pos="8505"/>
            </w:tabs>
            <w:rPr>
              <w:rFonts w:ascii="Times New Roman" w:hAnsi="Times New Roman" w:eastAsia="Times New Roman" w:cs="Times New Roman"/>
              <w:sz w:val="20"/>
              <w:szCs w:val="20"/>
            </w:rPr>
          </w:pPr>
          <w:hyperlink w:history="true" w:anchor="bookmark213">
            <w:r>
              <w:rPr>
                <w:rFonts w:ascii="SimSun" w:hAnsi="SimSun" w:eastAsia="SimSun" w:cs="SimSun"/>
                <w:sz w:val="20"/>
                <w:szCs w:val="20"/>
                <w:spacing w:val="5"/>
              </w:rPr>
              <w:t>附件</w:t>
            </w:r>
            <w:r>
              <w:rPr>
                <w:rFonts w:ascii="SimSun" w:hAnsi="SimSun" w:eastAsia="SimSun" w:cs="SimSun"/>
                <w:sz w:val="20"/>
                <w:szCs w:val="20"/>
                <w:spacing w:val="-31"/>
              </w:rPr>
              <w:t xml:space="preserve"> </w:t>
            </w:r>
            <w:r>
              <w:rPr>
                <w:rFonts w:ascii="Times New Roman" w:hAnsi="Times New Roman" w:eastAsia="Times New Roman" w:cs="Times New Roman"/>
                <w:sz w:val="20"/>
                <w:szCs w:val="20"/>
                <w:spacing w:val="5"/>
              </w:rPr>
              <w:t>6</w:t>
            </w:r>
            <w:r>
              <w:rPr>
                <w:rFonts w:ascii="SimSun" w:hAnsi="SimSun" w:eastAsia="SimSun" w:cs="SimSun"/>
                <w:sz w:val="20"/>
                <w:szCs w:val="20"/>
                <w:spacing w:val="5"/>
              </w:rPr>
              <w:t>：沼液检测报告</w:t>
            </w:r>
            <w:r>
              <w:rPr>
                <w:rFonts w:ascii="SimSun" w:hAnsi="SimSun" w:eastAsia="SimSun" w:cs="SimSun"/>
                <w:sz w:val="20"/>
                <w:szCs w:val="20"/>
                <w:spacing w:val="-59"/>
              </w:rPr>
              <w:t xml:space="preserve"> </w:t>
            </w:r>
            <w:r>
              <w:rPr>
                <w:rFonts w:ascii="SimSun" w:hAnsi="SimSun" w:eastAsia="SimSun" w:cs="SimSun"/>
                <w:sz w:val="20"/>
                <w:szCs w:val="20"/>
              </w:rPr>
              <w:tab/>
            </w:r>
            <w:r>
              <w:rPr>
                <w:rFonts w:ascii="SimSun" w:hAnsi="SimSun" w:eastAsia="SimSun" w:cs="SimSun"/>
                <w:sz w:val="20"/>
                <w:szCs w:val="20"/>
                <w:spacing w:val="-58"/>
              </w:rPr>
              <w:t xml:space="preserve"> </w:t>
            </w:r>
            <w:r>
              <w:rPr>
                <w:rFonts w:ascii="Times New Roman" w:hAnsi="Times New Roman" w:eastAsia="Times New Roman" w:cs="Times New Roman"/>
                <w:sz w:val="20"/>
                <w:szCs w:val="20"/>
                <w:spacing w:val="2"/>
              </w:rPr>
              <w:t>320</w:t>
            </w:r>
          </w:hyperlink>
        </w:p>
      </w:sdtContent>
    </w:sdt>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ind w:left="7"/>
        <w:spacing w:before="62" w:line="227" w:lineRule="auto"/>
        <w:rPr>
          <w:rFonts w:ascii="SimSun" w:hAnsi="SimSun" w:eastAsia="SimSun" w:cs="SimSun"/>
          <w:sz w:val="19"/>
          <w:szCs w:val="19"/>
        </w:rPr>
      </w:pPr>
      <w:r>
        <w:pict>
          <v:shape id="_x0000_s26" style="position:absolute;margin-left:159.33pt;margin-top:2.10316pt;mso-position-vertical-relative:text;mso-position-horizontal-relative:text;width:56.6pt;height:13.75pt;z-index:25166745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5"/>
                    </w:rPr>
                    <w:t>任公司</w:t>
                  </w:r>
                  <w:r>
                    <w:rPr>
                      <w:rFonts w:ascii="SimSun" w:hAnsi="SimSun" w:eastAsia="SimSun" w:cs="SimSun"/>
                      <w:sz w:val="19"/>
                      <w:szCs w:val="19"/>
                      <w:spacing w:val="9"/>
                    </w:rPr>
                    <w:t xml:space="preserve">    </w:t>
                  </w:r>
                  <w:r>
                    <w:rPr>
                      <w:rFonts w:ascii="Times New Roman" w:hAnsi="Times New Roman" w:eastAsia="Times New Roman" w:cs="Times New Roman"/>
                      <w:sz w:val="18"/>
                      <w:szCs w:val="18"/>
                      <w:spacing w:val="5"/>
                      <w:position w:val="2"/>
                    </w:rPr>
                    <w:t>7</w:t>
                  </w:r>
                </w:p>
              </w:txbxContent>
            </v:textbox>
          </v:shape>
        </w:pict>
      </w:r>
      <w:r>
        <w:rPr>
          <w:rFonts w:ascii="SimSun" w:hAnsi="SimSun" w:eastAsia="SimSun" w:cs="SimSun"/>
          <w:sz w:val="19"/>
          <w:szCs w:val="19"/>
          <w:spacing w:val="9"/>
        </w:rPr>
        <w:t>锡林郭勒盟中安环境技术咨询有限责</w:t>
      </w:r>
    </w:p>
    <w:p>
      <w:pPr>
        <w:spacing w:line="227" w:lineRule="auto"/>
        <w:sectPr>
          <w:footerReference w:type="default" r:id="rId3"/>
          <w:pgSz w:w="11907" w:h="16840"/>
          <w:pgMar w:top="1567" w:right="1700" w:bottom="400" w:left="1701" w:header="1221" w:footer="0" w:gutter="0"/>
        </w:sectPr>
        <w:rPr>
          <w:rFonts w:ascii="SimSun" w:hAnsi="SimSun" w:eastAsia="SimSun" w:cs="SimSun"/>
          <w:sz w:val="19"/>
          <w:szCs w:val="19"/>
        </w:rPr>
      </w:pPr>
    </w:p>
    <w:p>
      <w:pPr>
        <w:pStyle w:val="BodyText"/>
        <w:rPr/>
      </w:pPr>
      <w:r/>
    </w:p>
    <w:p>
      <w:pPr>
        <w:sectPr>
          <w:headerReference w:type="default" r:id="rId10"/>
          <w:pgSz w:w="11907" w:h="16840"/>
          <w:pgMar w:top="0" w:right="0" w:bottom="0" w:left="0" w:header="0" w:footer="0" w:gutter="0"/>
        </w:sectPr>
        <w:rPr/>
      </w:pPr>
    </w:p>
    <w:p>
      <w:pPr>
        <w:ind w:left="42"/>
        <w:spacing w:before="205" w:line="226" w:lineRule="auto"/>
        <w:outlineLvl w:val="0"/>
        <w:rPr>
          <w:rFonts w:ascii="SimHei" w:hAnsi="SimHei" w:eastAsia="SimHei" w:cs="SimHei"/>
          <w:sz w:val="35"/>
          <w:szCs w:val="35"/>
        </w:rPr>
      </w:pPr>
      <w:r>
        <w:pict>
          <v:shape id="_x0000_s30" style="position:absolute;margin-left:85.05pt;margin-top:79.11pt;mso-position-vertical-relative:page;mso-position-horizontal-relative:page;width:425.25pt;height:0.75pt;z-index:251672576;" o:allowincell="f" fillcolor="#000000" filled="true" stroked="false" coordsize="8505,15" coordorigin="0,0" path="m,l8505,0l8505,14l0,14l0,0xe"/>
        </w:pict>
      </w:r>
      <w:bookmarkStart w:name="bookmark1" w:id="1"/>
      <w:bookmarkEnd w:id="1"/>
      <w:bookmarkStart w:name="bookmark2" w:id="2"/>
      <w:bookmarkEnd w:id="2"/>
      <w:r>
        <w:rPr>
          <w:rFonts w:ascii="Times New Roman" w:hAnsi="Times New Roman" w:eastAsia="Times New Roman" w:cs="Times New Roman"/>
          <w:sz w:val="35"/>
          <w:szCs w:val="35"/>
          <w:spacing w:val="-9"/>
        </w:rPr>
        <w:t>1</w:t>
      </w:r>
      <w:r>
        <w:rPr>
          <w:rFonts w:ascii="Times New Roman" w:hAnsi="Times New Roman" w:eastAsia="Times New Roman" w:cs="Times New Roman"/>
          <w:sz w:val="35"/>
          <w:szCs w:val="35"/>
          <w:spacing w:val="11"/>
        </w:rPr>
        <w:t xml:space="preserve"> </w:t>
      </w:r>
      <w:r>
        <w:rPr>
          <w:rFonts w:ascii="SimHei" w:hAnsi="SimHei" w:eastAsia="SimHei" w:cs="SimHei"/>
          <w:sz w:val="35"/>
          <w:szCs w:val="35"/>
          <w:spacing w:val="-9"/>
        </w:rPr>
        <w:t>概述</w:t>
      </w:r>
    </w:p>
    <w:p>
      <w:pPr>
        <w:ind w:left="35"/>
        <w:spacing w:before="262" w:line="222" w:lineRule="auto"/>
        <w:outlineLvl w:val="1"/>
        <w:rPr>
          <w:rFonts w:ascii="SimHei" w:hAnsi="SimHei" w:eastAsia="SimHei" w:cs="SimHei"/>
          <w:sz w:val="30"/>
          <w:szCs w:val="30"/>
        </w:rPr>
      </w:pPr>
      <w:bookmarkStart w:name="bookmark214" w:id="3"/>
      <w:bookmarkEnd w:id="3"/>
      <w:r>
        <w:rPr>
          <w:rFonts w:ascii="Times New Roman" w:hAnsi="Times New Roman" w:eastAsia="Times New Roman" w:cs="Times New Roman"/>
          <w:sz w:val="30"/>
          <w:szCs w:val="30"/>
          <w:spacing w:val="-5"/>
        </w:rPr>
        <w:t>1.1 </w:t>
      </w:r>
      <w:r>
        <w:rPr>
          <w:rFonts w:ascii="SimHei" w:hAnsi="SimHei" w:eastAsia="SimHei" w:cs="SimHei"/>
          <w:sz w:val="30"/>
          <w:szCs w:val="30"/>
          <w:spacing w:val="-5"/>
        </w:rPr>
        <w:t>项目由来</w:t>
      </w:r>
    </w:p>
    <w:p>
      <w:pPr>
        <w:ind w:left="9" w:right="78" w:firstLine="509"/>
        <w:spacing w:before="209" w:line="360" w:lineRule="auto"/>
        <w:rPr>
          <w:rFonts w:ascii="SimSun" w:hAnsi="SimSun" w:eastAsia="SimSun" w:cs="SimSun"/>
          <w:sz w:val="24"/>
          <w:szCs w:val="24"/>
        </w:rPr>
      </w:pPr>
      <w:r>
        <w:rPr>
          <w:rFonts w:ascii="SimSun" w:hAnsi="SimSun" w:eastAsia="SimSun" w:cs="SimSun"/>
          <w:sz w:val="24"/>
          <w:szCs w:val="24"/>
          <w:spacing w:val="-4"/>
        </w:rPr>
        <w:t>内蒙古源浩羊绒制品有限公司成立于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2024 </w:t>
      </w:r>
      <w:r>
        <w:rPr>
          <w:rFonts w:ascii="SimSun" w:hAnsi="SimSun" w:eastAsia="SimSun" w:cs="SimSun"/>
          <w:sz w:val="24"/>
          <w:szCs w:val="24"/>
          <w:spacing w:val="-4"/>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月</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5  </w:t>
      </w:r>
      <w:r>
        <w:rPr>
          <w:rFonts w:ascii="SimSun" w:hAnsi="SimSun" w:eastAsia="SimSun" w:cs="SimSun"/>
          <w:sz w:val="24"/>
          <w:szCs w:val="24"/>
          <w:spacing w:val="-4"/>
        </w:rPr>
        <w:t>日，注册地</w:t>
      </w:r>
      <w:r>
        <w:rPr>
          <w:rFonts w:ascii="SimSun" w:hAnsi="SimSun" w:eastAsia="SimSun" w:cs="SimSun"/>
          <w:sz w:val="24"/>
          <w:szCs w:val="24"/>
          <w:spacing w:val="-5"/>
        </w:rPr>
        <w:t>位于内蒙古自</w:t>
      </w:r>
      <w:r>
        <w:rPr>
          <w:rFonts w:ascii="SimSun" w:hAnsi="SimSun" w:eastAsia="SimSun" w:cs="SimSun"/>
          <w:sz w:val="24"/>
          <w:szCs w:val="24"/>
        </w:rPr>
        <w:t xml:space="preserve"> </w:t>
      </w:r>
      <w:r>
        <w:rPr>
          <w:rFonts w:ascii="SimSun" w:hAnsi="SimSun" w:eastAsia="SimSun" w:cs="SimSun"/>
          <w:sz w:val="24"/>
          <w:szCs w:val="24"/>
          <w:spacing w:val="3"/>
        </w:rPr>
        <w:t>治区锡林郭勒盟正镶白旗明安图镇乌宁巴图西街。经营</w:t>
      </w:r>
      <w:r>
        <w:rPr>
          <w:rFonts w:ascii="SimSun" w:hAnsi="SimSun" w:eastAsia="SimSun" w:cs="SimSun"/>
          <w:sz w:val="24"/>
          <w:szCs w:val="24"/>
          <w:spacing w:val="2"/>
        </w:rPr>
        <w:t>范围包括一般项目：非食</w:t>
      </w:r>
      <w:r>
        <w:rPr>
          <w:rFonts w:ascii="SimSun" w:hAnsi="SimSun" w:eastAsia="SimSun" w:cs="SimSun"/>
          <w:sz w:val="24"/>
          <w:szCs w:val="24"/>
        </w:rPr>
        <w:t xml:space="preserve"> </w:t>
      </w:r>
      <w:r>
        <w:rPr>
          <w:rFonts w:ascii="SimSun" w:hAnsi="SimSun" w:eastAsia="SimSun" w:cs="SimSun"/>
          <w:sz w:val="24"/>
          <w:szCs w:val="24"/>
          <w:spacing w:val="3"/>
        </w:rPr>
        <w:t>用农产品初加工；初级农产品收购；毛皮制品</w:t>
      </w:r>
      <w:r>
        <w:rPr>
          <w:rFonts w:ascii="SimSun" w:hAnsi="SimSun" w:eastAsia="SimSun" w:cs="SimSun"/>
          <w:sz w:val="24"/>
          <w:szCs w:val="24"/>
          <w:spacing w:val="2"/>
        </w:rPr>
        <w:t>加工；纺纱加工；面料纺织加工；</w:t>
      </w:r>
      <w:r>
        <w:rPr>
          <w:rFonts w:ascii="SimSun" w:hAnsi="SimSun" w:eastAsia="SimSun" w:cs="SimSun"/>
          <w:sz w:val="24"/>
          <w:szCs w:val="24"/>
        </w:rPr>
        <w:t xml:space="preserve"> </w:t>
      </w:r>
      <w:r>
        <w:rPr>
          <w:rFonts w:ascii="SimSun" w:hAnsi="SimSun" w:eastAsia="SimSun" w:cs="SimSun"/>
          <w:sz w:val="24"/>
          <w:szCs w:val="24"/>
        </w:rPr>
        <w:t>针纺织品销售；针纺织品及原料销售；肥料销售</w:t>
      </w:r>
      <w:r>
        <w:rPr>
          <w:rFonts w:ascii="SimSun" w:hAnsi="SimSun" w:eastAsia="SimSun" w:cs="SimSun"/>
          <w:sz w:val="24"/>
          <w:szCs w:val="24"/>
          <w:spacing w:val="-1"/>
        </w:rPr>
        <w:t>。许可项目：肥料生产。</w:t>
      </w:r>
    </w:p>
    <w:p>
      <w:pPr>
        <w:ind w:left="12" w:right="78" w:firstLine="480"/>
        <w:spacing w:before="5" w:line="358" w:lineRule="auto"/>
        <w:jc w:val="both"/>
        <w:rPr>
          <w:rFonts w:ascii="SimSun" w:hAnsi="SimSun" w:eastAsia="SimSun" w:cs="SimSun"/>
          <w:sz w:val="24"/>
          <w:szCs w:val="24"/>
        </w:rPr>
      </w:pPr>
      <w:r>
        <w:rPr>
          <w:rFonts w:ascii="SimSun" w:hAnsi="SimSun" w:eastAsia="SimSun" w:cs="SimSun"/>
          <w:sz w:val="24"/>
          <w:szCs w:val="24"/>
          <w:spacing w:val="3"/>
        </w:rPr>
        <w:t>从全球羊毛、羊绒产业生产力布局来看，上游产业基本将产</w:t>
      </w:r>
      <w:r>
        <w:rPr>
          <w:rFonts w:ascii="SimSun" w:hAnsi="SimSun" w:eastAsia="SimSun" w:cs="SimSun"/>
          <w:sz w:val="24"/>
          <w:szCs w:val="24"/>
          <w:spacing w:val="2"/>
        </w:rPr>
        <w:t>能集中在中国，</w:t>
      </w:r>
      <w:r>
        <w:rPr>
          <w:rFonts w:ascii="SimSun" w:hAnsi="SimSun" w:eastAsia="SimSun" w:cs="SimSun"/>
          <w:sz w:val="24"/>
          <w:szCs w:val="24"/>
        </w:rPr>
        <w:t xml:space="preserve"> </w:t>
      </w:r>
      <w:r>
        <w:rPr>
          <w:rFonts w:ascii="SimSun" w:hAnsi="SimSun" w:eastAsia="SimSun" w:cs="SimSun"/>
          <w:sz w:val="24"/>
          <w:szCs w:val="24"/>
          <w:spacing w:val="3"/>
        </w:rPr>
        <w:t>国内羊绒产业的上游环节则集中在原料产地和集中</w:t>
      </w:r>
      <w:r>
        <w:rPr>
          <w:rFonts w:ascii="SimSun" w:hAnsi="SimSun" w:eastAsia="SimSun" w:cs="SimSun"/>
          <w:sz w:val="24"/>
          <w:szCs w:val="24"/>
          <w:spacing w:val="2"/>
        </w:rPr>
        <w:t>交易地区，如宁夏、内蒙、河</w:t>
      </w:r>
      <w:r>
        <w:rPr>
          <w:rFonts w:ascii="SimSun" w:hAnsi="SimSun" w:eastAsia="SimSun" w:cs="SimSun"/>
          <w:sz w:val="24"/>
          <w:szCs w:val="24"/>
        </w:rPr>
        <w:t xml:space="preserve"> </w:t>
      </w:r>
      <w:r>
        <w:rPr>
          <w:rFonts w:ascii="SimSun" w:hAnsi="SimSun" w:eastAsia="SimSun" w:cs="SimSun"/>
          <w:sz w:val="24"/>
          <w:szCs w:val="24"/>
          <w:spacing w:val="3"/>
        </w:rPr>
        <w:t>北和浙江。随着东部地区资源约束驱紧和生产成本</w:t>
      </w:r>
      <w:r>
        <w:rPr>
          <w:rFonts w:ascii="SimSun" w:hAnsi="SimSun" w:eastAsia="SimSun" w:cs="SimSun"/>
          <w:sz w:val="24"/>
          <w:szCs w:val="24"/>
          <w:spacing w:val="2"/>
        </w:rPr>
        <w:t>提高以及高质量羊绒原料稀缺</w:t>
      </w:r>
      <w:r>
        <w:rPr>
          <w:rFonts w:ascii="SimSun" w:hAnsi="SimSun" w:eastAsia="SimSun" w:cs="SimSun"/>
          <w:sz w:val="24"/>
          <w:szCs w:val="24"/>
        </w:rPr>
        <w:t xml:space="preserve"> </w:t>
      </w:r>
      <w:r>
        <w:rPr>
          <w:rFonts w:ascii="SimSun" w:hAnsi="SimSun" w:eastAsia="SimSun" w:cs="SimSun"/>
          <w:sz w:val="24"/>
          <w:szCs w:val="24"/>
          <w:spacing w:val="3"/>
        </w:rPr>
        <w:t>性不断增加，羊绒产业链向中西部羊绒原料产地及</w:t>
      </w:r>
      <w:r>
        <w:rPr>
          <w:rFonts w:ascii="SimSun" w:hAnsi="SimSun" w:eastAsia="SimSun" w:cs="SimSun"/>
          <w:sz w:val="24"/>
          <w:szCs w:val="24"/>
          <w:spacing w:val="2"/>
        </w:rPr>
        <w:t>交易地区集中的趋势越来越明</w:t>
      </w:r>
      <w:r>
        <w:rPr>
          <w:rFonts w:ascii="SimSun" w:hAnsi="SimSun" w:eastAsia="SimSun" w:cs="SimSun"/>
          <w:sz w:val="24"/>
          <w:szCs w:val="24"/>
        </w:rPr>
        <w:t xml:space="preserve"> </w:t>
      </w:r>
      <w:r>
        <w:rPr>
          <w:rFonts w:ascii="SimSun" w:hAnsi="SimSun" w:eastAsia="SimSun" w:cs="SimSun"/>
          <w:sz w:val="24"/>
          <w:szCs w:val="24"/>
          <w:spacing w:val="-7"/>
        </w:rPr>
        <w:t>显。</w:t>
      </w:r>
    </w:p>
    <w:p>
      <w:pPr>
        <w:ind w:left="9" w:right="18" w:firstLine="484"/>
        <w:spacing w:before="1" w:line="359" w:lineRule="auto"/>
        <w:jc w:val="both"/>
        <w:rPr>
          <w:rFonts w:ascii="SimSun" w:hAnsi="SimSun" w:eastAsia="SimSun" w:cs="SimSun"/>
          <w:sz w:val="24"/>
          <w:szCs w:val="24"/>
        </w:rPr>
      </w:pPr>
      <w:r>
        <w:rPr>
          <w:rFonts w:ascii="SimSun" w:hAnsi="SimSun" w:eastAsia="SimSun" w:cs="SimSun"/>
          <w:sz w:val="24"/>
          <w:szCs w:val="24"/>
          <w:spacing w:val="3"/>
        </w:rPr>
        <w:t>正镶白旗位于内蒙古锡林郭勒草原的西南部，是浑善达</w:t>
      </w:r>
      <w:r>
        <w:rPr>
          <w:rFonts w:ascii="SimSun" w:hAnsi="SimSun" w:eastAsia="SimSun" w:cs="SimSun"/>
          <w:sz w:val="24"/>
          <w:szCs w:val="24"/>
          <w:spacing w:val="2"/>
        </w:rPr>
        <w:t>克沙地南缘的典型草</w:t>
      </w:r>
      <w:r>
        <w:rPr>
          <w:rFonts w:ascii="SimSun" w:hAnsi="SimSun" w:eastAsia="SimSun" w:cs="SimSun"/>
          <w:sz w:val="24"/>
          <w:szCs w:val="24"/>
        </w:rPr>
        <w:t xml:space="preserve"> </w:t>
      </w:r>
      <w:r>
        <w:rPr>
          <w:rFonts w:ascii="SimSun" w:hAnsi="SimSun" w:eastAsia="SimSun" w:cs="SimSun"/>
          <w:sz w:val="24"/>
          <w:szCs w:val="24"/>
          <w:spacing w:val="3"/>
        </w:rPr>
        <w:t>原区，是锡林郭勒盟南部重要的新型绿色工业基地、锡</w:t>
      </w:r>
      <w:r>
        <w:rPr>
          <w:rFonts w:ascii="SimSun" w:hAnsi="SimSun" w:eastAsia="SimSun" w:cs="SimSun"/>
          <w:sz w:val="24"/>
          <w:szCs w:val="24"/>
          <w:spacing w:val="2"/>
        </w:rPr>
        <w:t>林郭勒盟南部重要的商贸</w:t>
      </w:r>
      <w:r>
        <w:rPr>
          <w:rFonts w:ascii="SimSun" w:hAnsi="SimSun" w:eastAsia="SimSun" w:cs="SimSun"/>
          <w:sz w:val="24"/>
          <w:szCs w:val="24"/>
        </w:rPr>
        <w:t xml:space="preserve"> </w:t>
      </w:r>
      <w:r>
        <w:rPr>
          <w:rFonts w:ascii="SimSun" w:hAnsi="SimSun" w:eastAsia="SimSun" w:cs="SimSun"/>
          <w:sz w:val="24"/>
          <w:szCs w:val="24"/>
          <w:spacing w:val="-6"/>
        </w:rPr>
        <w:t>物流节点和集散中心、京津地区重要的生态屏障，大牲畜和羊存栏</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29</w:t>
      </w:r>
      <w:r>
        <w:rPr>
          <w:rFonts w:ascii="Times New Roman" w:hAnsi="Times New Roman" w:eastAsia="Times New Roman" w:cs="Times New Roman"/>
          <w:sz w:val="24"/>
          <w:szCs w:val="24"/>
          <w:spacing w:val="-7"/>
        </w:rPr>
        <w:t>.2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7"/>
        </w:rPr>
        <w:t>万只（头</w:t>
      </w:r>
      <w:r>
        <w:rPr>
          <w:rFonts w:ascii="SimSun" w:hAnsi="SimSun" w:eastAsia="SimSun" w:cs="SimSun"/>
          <w:sz w:val="24"/>
          <w:szCs w:val="24"/>
          <w:spacing w:val="-53"/>
          <w:w w:val="85"/>
        </w:rPr>
        <w:t>），</w:t>
      </w:r>
      <w:r>
        <w:rPr>
          <w:rFonts w:ascii="SimSun" w:hAnsi="SimSun" w:eastAsia="SimSun" w:cs="SimSun"/>
          <w:sz w:val="24"/>
          <w:szCs w:val="24"/>
        </w:rPr>
        <w:t xml:space="preserve"> </w:t>
      </w:r>
      <w:r>
        <w:rPr>
          <w:rFonts w:ascii="SimSun" w:hAnsi="SimSun" w:eastAsia="SimSun" w:cs="SimSun"/>
          <w:sz w:val="24"/>
          <w:szCs w:val="24"/>
          <w:spacing w:val="-3"/>
        </w:rPr>
        <w:t>拥有丰富的相关原材料资源，</w:t>
      </w:r>
      <w:r>
        <w:rPr>
          <w:rFonts w:ascii="SimSun" w:hAnsi="SimSun" w:eastAsia="SimSun" w:cs="SimSun"/>
          <w:sz w:val="24"/>
          <w:szCs w:val="24"/>
          <w:spacing w:val="-50"/>
        </w:rPr>
        <w:t xml:space="preserve"> </w:t>
      </w:r>
      <w:r>
        <w:rPr>
          <w:rFonts w:ascii="SimSun" w:hAnsi="SimSun" w:eastAsia="SimSun" w:cs="SimSun"/>
          <w:sz w:val="24"/>
          <w:szCs w:val="24"/>
          <w:spacing w:val="-3"/>
        </w:rPr>
        <w:t>目前尚未得到充分有效的利用。</w:t>
      </w:r>
    </w:p>
    <w:p>
      <w:pPr>
        <w:ind w:left="8" w:right="77" w:firstLine="526"/>
        <w:spacing w:line="359" w:lineRule="auto"/>
        <w:jc w:val="both"/>
        <w:rPr>
          <w:rFonts w:ascii="SimSun" w:hAnsi="SimSun" w:eastAsia="SimSun" w:cs="SimSun"/>
          <w:sz w:val="24"/>
          <w:szCs w:val="24"/>
        </w:rPr>
      </w:pPr>
      <w:r>
        <w:rPr>
          <w:rFonts w:ascii="SimSun" w:hAnsi="SimSun" w:eastAsia="SimSun" w:cs="SimSun"/>
          <w:sz w:val="24"/>
          <w:szCs w:val="24"/>
          <w:spacing w:val="1"/>
        </w:rPr>
        <w:t>目前我国清洗羊毛废水主要处理方式为经污水处理设施处理后排入管网进入</w:t>
      </w:r>
      <w:r>
        <w:rPr>
          <w:rFonts w:ascii="SimSun" w:hAnsi="SimSun" w:eastAsia="SimSun" w:cs="SimSun"/>
          <w:sz w:val="24"/>
          <w:szCs w:val="24"/>
          <w:spacing w:val="16"/>
        </w:rPr>
        <w:t xml:space="preserve"> </w:t>
      </w:r>
      <w:r>
        <w:rPr>
          <w:rFonts w:ascii="SimSun" w:hAnsi="SimSun" w:eastAsia="SimSun" w:cs="SimSun"/>
          <w:sz w:val="24"/>
          <w:szCs w:val="24"/>
          <w:spacing w:val="3"/>
        </w:rPr>
        <w:t>工业废水处理厂，因羊毛清洗废水中含有羊粪等有机</w:t>
      </w:r>
      <w:r>
        <w:rPr>
          <w:rFonts w:ascii="SimSun" w:hAnsi="SimSun" w:eastAsia="SimSun" w:cs="SimSun"/>
          <w:sz w:val="24"/>
          <w:szCs w:val="24"/>
          <w:spacing w:val="2"/>
        </w:rPr>
        <w:t>质，造成了资源浪费。鉴于</w:t>
      </w:r>
      <w:r>
        <w:rPr>
          <w:rFonts w:ascii="SimSun" w:hAnsi="SimSun" w:eastAsia="SimSun" w:cs="SimSun"/>
          <w:sz w:val="24"/>
          <w:szCs w:val="24"/>
        </w:rPr>
        <w:t xml:space="preserve"> </w:t>
      </w:r>
      <w:r>
        <w:rPr>
          <w:rFonts w:ascii="SimSun" w:hAnsi="SimSun" w:eastAsia="SimSun" w:cs="SimSun"/>
          <w:sz w:val="24"/>
          <w:szCs w:val="24"/>
          <w:spacing w:val="1"/>
        </w:rPr>
        <w:t>我国循环经济发展的相关要求，内蒙古源浩羊绒制品有限公司提出建设“</w:t>
      </w:r>
      <w:r>
        <w:rPr>
          <w:rFonts w:ascii="SimSun" w:hAnsi="SimSun" w:eastAsia="SimSun" w:cs="SimSun"/>
          <w:sz w:val="24"/>
          <w:szCs w:val="24"/>
          <w:spacing w:val="-59"/>
        </w:rPr>
        <w:t xml:space="preserve"> </w:t>
      </w:r>
      <w:r>
        <w:rPr>
          <w:rFonts w:ascii="SimSun" w:hAnsi="SimSun" w:eastAsia="SimSun" w:cs="SimSun"/>
          <w:sz w:val="24"/>
          <w:szCs w:val="24"/>
          <w:spacing w:val="1"/>
        </w:rPr>
        <w:t>内蒙古</w:t>
      </w:r>
      <w:r>
        <w:rPr>
          <w:rFonts w:ascii="SimSun" w:hAnsi="SimSun" w:eastAsia="SimSun" w:cs="SimSun"/>
          <w:sz w:val="24"/>
          <w:szCs w:val="24"/>
        </w:rPr>
        <w:t xml:space="preserve"> </w:t>
      </w:r>
      <w:r>
        <w:rPr>
          <w:rFonts w:ascii="SimSun" w:hAnsi="SimSun" w:eastAsia="SimSun" w:cs="SimSun"/>
          <w:sz w:val="24"/>
          <w:szCs w:val="24"/>
          <w:spacing w:val="2"/>
        </w:rPr>
        <w:t>源浩羊绒制品有限公司废弃物高效循环利用项目</w:t>
      </w:r>
      <w:r>
        <w:rPr>
          <w:rFonts w:ascii="SimSun" w:hAnsi="SimSun" w:eastAsia="SimSun" w:cs="SimSun"/>
          <w:sz w:val="24"/>
          <w:szCs w:val="24"/>
          <w:spacing w:val="-88"/>
        </w:rPr>
        <w:t xml:space="preserve"> </w:t>
      </w:r>
      <w:r>
        <w:rPr>
          <w:rFonts w:ascii="SimSun" w:hAnsi="SimSun" w:eastAsia="SimSun" w:cs="SimSun"/>
          <w:sz w:val="24"/>
          <w:szCs w:val="24"/>
          <w:spacing w:val="2"/>
        </w:rPr>
        <w:t>”。发展循</w:t>
      </w:r>
      <w:r>
        <w:rPr>
          <w:rFonts w:ascii="SimSun" w:hAnsi="SimSun" w:eastAsia="SimSun" w:cs="SimSun"/>
          <w:sz w:val="24"/>
          <w:szCs w:val="24"/>
          <w:spacing w:val="1"/>
        </w:rPr>
        <w:t>环经济，推进资源节</w:t>
      </w:r>
      <w:r>
        <w:rPr>
          <w:rFonts w:ascii="SimSun" w:hAnsi="SimSun" w:eastAsia="SimSun" w:cs="SimSun"/>
          <w:sz w:val="24"/>
          <w:szCs w:val="24"/>
        </w:rPr>
        <w:t xml:space="preserve"> </w:t>
      </w:r>
      <w:r>
        <w:rPr>
          <w:rFonts w:ascii="SimSun" w:hAnsi="SimSun" w:eastAsia="SimSun" w:cs="SimSun"/>
          <w:sz w:val="24"/>
          <w:szCs w:val="24"/>
          <w:spacing w:val="3"/>
        </w:rPr>
        <w:t>约集约循环利用，对保障国家资源安全，推动实现碳达峰</w:t>
      </w:r>
      <w:r>
        <w:rPr>
          <w:rFonts w:ascii="SimSun" w:hAnsi="SimSun" w:eastAsia="SimSun" w:cs="SimSun"/>
          <w:sz w:val="24"/>
          <w:szCs w:val="24"/>
          <w:spacing w:val="2"/>
        </w:rPr>
        <w:t>、碳中和，促进生态文</w:t>
      </w:r>
      <w:r>
        <w:rPr>
          <w:rFonts w:ascii="SimSun" w:hAnsi="SimSun" w:eastAsia="SimSun" w:cs="SimSun"/>
          <w:sz w:val="24"/>
          <w:szCs w:val="24"/>
        </w:rPr>
        <w:t xml:space="preserve"> </w:t>
      </w:r>
      <w:r>
        <w:rPr>
          <w:rFonts w:ascii="SimSun" w:hAnsi="SimSun" w:eastAsia="SimSun" w:cs="SimSun"/>
          <w:sz w:val="24"/>
          <w:szCs w:val="24"/>
          <w:spacing w:val="-1"/>
        </w:rPr>
        <w:t>明建设具有十分重要的意义。</w:t>
      </w:r>
    </w:p>
    <w:p>
      <w:pPr>
        <w:ind w:left="5" w:firstLine="480"/>
        <w:spacing w:before="8" w:line="359" w:lineRule="auto"/>
        <w:rPr>
          <w:rFonts w:ascii="SimSun" w:hAnsi="SimSun" w:eastAsia="SimSun" w:cs="SimSun"/>
          <w:sz w:val="24"/>
          <w:szCs w:val="24"/>
        </w:rPr>
      </w:pPr>
      <w:r>
        <w:rPr>
          <w:rFonts w:ascii="Times New Roman" w:hAnsi="Times New Roman" w:eastAsia="Times New Roman" w:cs="Times New Roman"/>
          <w:sz w:val="24"/>
          <w:szCs w:val="24"/>
          <w:spacing w:val="-5"/>
        </w:rPr>
        <w:t>2024 </w:t>
      </w:r>
      <w:r>
        <w:rPr>
          <w:rFonts w:ascii="SimSun" w:hAnsi="SimSun" w:eastAsia="SimSun" w:cs="SimSun"/>
          <w:sz w:val="24"/>
          <w:szCs w:val="24"/>
          <w:spacing w:val="-5"/>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月</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5"/>
        </w:rPr>
        <w:t>5  </w:t>
      </w:r>
      <w:r>
        <w:rPr>
          <w:rFonts w:ascii="SimSun" w:hAnsi="SimSun" w:eastAsia="SimSun" w:cs="SimSun"/>
          <w:sz w:val="24"/>
          <w:szCs w:val="24"/>
          <w:spacing w:val="-5"/>
        </w:rPr>
        <w:t>日，正镶白旗发展和改革委员会出具了《内蒙古源浩羊</w:t>
      </w:r>
      <w:r>
        <w:rPr>
          <w:rFonts w:ascii="SimSun" w:hAnsi="SimSun" w:eastAsia="SimSun" w:cs="SimSun"/>
          <w:sz w:val="24"/>
          <w:szCs w:val="24"/>
          <w:spacing w:val="-6"/>
        </w:rPr>
        <w:t>绒制品</w:t>
      </w:r>
      <w:r>
        <w:rPr>
          <w:rFonts w:ascii="SimSun" w:hAnsi="SimSun" w:eastAsia="SimSun" w:cs="SimSun"/>
          <w:sz w:val="24"/>
          <w:szCs w:val="24"/>
        </w:rPr>
        <w:t xml:space="preserve"> </w:t>
      </w:r>
      <w:r>
        <w:rPr>
          <w:rFonts w:ascii="SimSun" w:hAnsi="SimSun" w:eastAsia="SimSun" w:cs="SimSun"/>
          <w:sz w:val="24"/>
          <w:szCs w:val="24"/>
          <w:spacing w:val="-15"/>
        </w:rPr>
        <w:t>有 限 公</w:t>
      </w:r>
      <w:r>
        <w:rPr>
          <w:rFonts w:ascii="SimSun" w:hAnsi="SimSun" w:eastAsia="SimSun" w:cs="SimSun"/>
          <w:sz w:val="24"/>
          <w:szCs w:val="24"/>
          <w:spacing w:val="-25"/>
        </w:rPr>
        <w:t xml:space="preserve"> </w:t>
      </w:r>
      <w:r>
        <w:rPr>
          <w:rFonts w:ascii="SimSun" w:hAnsi="SimSun" w:eastAsia="SimSun" w:cs="SimSun"/>
          <w:sz w:val="24"/>
          <w:szCs w:val="24"/>
          <w:spacing w:val="-15"/>
        </w:rPr>
        <w:t>司</w:t>
      </w:r>
      <w:r>
        <w:rPr>
          <w:rFonts w:ascii="SimSun" w:hAnsi="SimSun" w:eastAsia="SimSun" w:cs="SimSun"/>
          <w:sz w:val="24"/>
          <w:szCs w:val="24"/>
          <w:spacing w:val="-32"/>
        </w:rPr>
        <w:t xml:space="preserve"> </w:t>
      </w:r>
      <w:r>
        <w:rPr>
          <w:rFonts w:ascii="SimSun" w:hAnsi="SimSun" w:eastAsia="SimSun" w:cs="SimSun"/>
          <w:sz w:val="24"/>
          <w:szCs w:val="24"/>
          <w:spacing w:val="-15"/>
        </w:rPr>
        <w:t>废</w:t>
      </w:r>
      <w:r>
        <w:rPr>
          <w:rFonts w:ascii="SimSun" w:hAnsi="SimSun" w:eastAsia="SimSun" w:cs="SimSun"/>
          <w:sz w:val="24"/>
          <w:szCs w:val="24"/>
          <w:spacing w:val="-30"/>
        </w:rPr>
        <w:t xml:space="preserve"> </w:t>
      </w:r>
      <w:r>
        <w:rPr>
          <w:rFonts w:ascii="SimSun" w:hAnsi="SimSun" w:eastAsia="SimSun" w:cs="SimSun"/>
          <w:sz w:val="24"/>
          <w:szCs w:val="24"/>
          <w:spacing w:val="-15"/>
        </w:rPr>
        <w:t>弃</w:t>
      </w:r>
      <w:r>
        <w:rPr>
          <w:rFonts w:ascii="SimSun" w:hAnsi="SimSun" w:eastAsia="SimSun" w:cs="SimSun"/>
          <w:sz w:val="24"/>
          <w:szCs w:val="24"/>
          <w:spacing w:val="-31"/>
        </w:rPr>
        <w:t xml:space="preserve"> </w:t>
      </w:r>
      <w:r>
        <w:rPr>
          <w:rFonts w:ascii="SimSun" w:hAnsi="SimSun" w:eastAsia="SimSun" w:cs="SimSun"/>
          <w:sz w:val="24"/>
          <w:szCs w:val="24"/>
          <w:spacing w:val="-15"/>
        </w:rPr>
        <w:t>物</w:t>
      </w:r>
      <w:r>
        <w:rPr>
          <w:rFonts w:ascii="SimSun" w:hAnsi="SimSun" w:eastAsia="SimSun" w:cs="SimSun"/>
          <w:sz w:val="24"/>
          <w:szCs w:val="24"/>
          <w:spacing w:val="-28"/>
        </w:rPr>
        <w:t xml:space="preserve"> </w:t>
      </w:r>
      <w:r>
        <w:rPr>
          <w:rFonts w:ascii="SimSun" w:hAnsi="SimSun" w:eastAsia="SimSun" w:cs="SimSun"/>
          <w:sz w:val="24"/>
          <w:szCs w:val="24"/>
          <w:spacing w:val="-15"/>
        </w:rPr>
        <w:t>高</w:t>
      </w:r>
      <w:r>
        <w:rPr>
          <w:rFonts w:ascii="SimSun" w:hAnsi="SimSun" w:eastAsia="SimSun" w:cs="SimSun"/>
          <w:sz w:val="24"/>
          <w:szCs w:val="24"/>
          <w:spacing w:val="-26"/>
        </w:rPr>
        <w:t xml:space="preserve"> </w:t>
      </w:r>
      <w:r>
        <w:rPr>
          <w:rFonts w:ascii="SimSun" w:hAnsi="SimSun" w:eastAsia="SimSun" w:cs="SimSun"/>
          <w:sz w:val="24"/>
          <w:szCs w:val="24"/>
          <w:spacing w:val="-15"/>
        </w:rPr>
        <w:t>效</w:t>
      </w:r>
      <w:r>
        <w:rPr>
          <w:rFonts w:ascii="SimSun" w:hAnsi="SimSun" w:eastAsia="SimSun" w:cs="SimSun"/>
          <w:sz w:val="24"/>
          <w:szCs w:val="24"/>
          <w:spacing w:val="-33"/>
        </w:rPr>
        <w:t xml:space="preserve"> </w:t>
      </w:r>
      <w:r>
        <w:rPr>
          <w:rFonts w:ascii="SimSun" w:hAnsi="SimSun" w:eastAsia="SimSun" w:cs="SimSun"/>
          <w:sz w:val="24"/>
          <w:szCs w:val="24"/>
          <w:spacing w:val="-15"/>
        </w:rPr>
        <w:t>循</w:t>
      </w:r>
      <w:r>
        <w:rPr>
          <w:rFonts w:ascii="SimSun" w:hAnsi="SimSun" w:eastAsia="SimSun" w:cs="SimSun"/>
          <w:sz w:val="24"/>
          <w:szCs w:val="24"/>
          <w:spacing w:val="-32"/>
        </w:rPr>
        <w:t xml:space="preserve"> </w:t>
      </w:r>
      <w:r>
        <w:rPr>
          <w:rFonts w:ascii="SimSun" w:hAnsi="SimSun" w:eastAsia="SimSun" w:cs="SimSun"/>
          <w:sz w:val="24"/>
          <w:szCs w:val="24"/>
          <w:spacing w:val="-15"/>
        </w:rPr>
        <w:t>环</w:t>
      </w:r>
      <w:r>
        <w:rPr>
          <w:rFonts w:ascii="SimSun" w:hAnsi="SimSun" w:eastAsia="SimSun" w:cs="SimSun"/>
          <w:sz w:val="24"/>
          <w:szCs w:val="24"/>
          <w:spacing w:val="-33"/>
        </w:rPr>
        <w:t xml:space="preserve"> </w:t>
      </w:r>
      <w:r>
        <w:rPr>
          <w:rFonts w:ascii="SimSun" w:hAnsi="SimSun" w:eastAsia="SimSun" w:cs="SimSun"/>
          <w:sz w:val="24"/>
          <w:szCs w:val="24"/>
          <w:spacing w:val="-15"/>
        </w:rPr>
        <w:t>利</w:t>
      </w:r>
      <w:r>
        <w:rPr>
          <w:rFonts w:ascii="SimSun" w:hAnsi="SimSun" w:eastAsia="SimSun" w:cs="SimSun"/>
          <w:sz w:val="24"/>
          <w:szCs w:val="24"/>
          <w:spacing w:val="-32"/>
        </w:rPr>
        <w:t xml:space="preserve"> </w:t>
      </w:r>
      <w:r>
        <w:rPr>
          <w:rFonts w:ascii="SimSun" w:hAnsi="SimSun" w:eastAsia="SimSun" w:cs="SimSun"/>
          <w:sz w:val="24"/>
          <w:szCs w:val="24"/>
          <w:spacing w:val="-15"/>
        </w:rPr>
        <w:t>用</w:t>
      </w:r>
      <w:r>
        <w:rPr>
          <w:rFonts w:ascii="SimSun" w:hAnsi="SimSun" w:eastAsia="SimSun" w:cs="SimSun"/>
          <w:sz w:val="24"/>
          <w:szCs w:val="24"/>
          <w:spacing w:val="-27"/>
        </w:rPr>
        <w:t xml:space="preserve"> </w:t>
      </w:r>
      <w:r>
        <w:rPr>
          <w:rFonts w:ascii="SimSun" w:hAnsi="SimSun" w:eastAsia="SimSun" w:cs="SimSun"/>
          <w:sz w:val="24"/>
          <w:szCs w:val="24"/>
          <w:spacing w:val="-15"/>
        </w:rPr>
        <w:t>项 目</w:t>
      </w:r>
      <w:r>
        <w:rPr>
          <w:rFonts w:ascii="SimSun" w:hAnsi="SimSun" w:eastAsia="SimSun" w:cs="SimSun"/>
          <w:sz w:val="24"/>
          <w:szCs w:val="24"/>
          <w:spacing w:val="-29"/>
        </w:rPr>
        <w:t xml:space="preserve"> </w:t>
      </w:r>
      <w:r>
        <w:rPr>
          <w:rFonts w:ascii="SimSun" w:hAnsi="SimSun" w:eastAsia="SimSun" w:cs="SimSun"/>
          <w:sz w:val="24"/>
          <w:szCs w:val="24"/>
          <w:spacing w:val="-15"/>
        </w:rPr>
        <w:t>备</w:t>
      </w:r>
      <w:r>
        <w:rPr>
          <w:rFonts w:ascii="SimSun" w:hAnsi="SimSun" w:eastAsia="SimSun" w:cs="SimSun"/>
          <w:sz w:val="24"/>
          <w:szCs w:val="24"/>
          <w:spacing w:val="-32"/>
        </w:rPr>
        <w:t xml:space="preserve"> </w:t>
      </w:r>
      <w:r>
        <w:rPr>
          <w:rFonts w:ascii="SimSun" w:hAnsi="SimSun" w:eastAsia="SimSun" w:cs="SimSun"/>
          <w:sz w:val="24"/>
          <w:szCs w:val="24"/>
          <w:spacing w:val="-15"/>
        </w:rPr>
        <w:t>案 告</w:t>
      </w:r>
      <w:r>
        <w:rPr>
          <w:rFonts w:ascii="SimSun" w:hAnsi="SimSun" w:eastAsia="SimSun" w:cs="SimSun"/>
          <w:sz w:val="24"/>
          <w:szCs w:val="24"/>
          <w:spacing w:val="-29"/>
        </w:rPr>
        <w:t xml:space="preserve"> </w:t>
      </w:r>
      <w:r>
        <w:rPr>
          <w:rFonts w:ascii="SimSun" w:hAnsi="SimSun" w:eastAsia="SimSun" w:cs="SimSun"/>
          <w:sz w:val="24"/>
          <w:szCs w:val="24"/>
          <w:spacing w:val="-15"/>
        </w:rPr>
        <w:t>知</w:t>
      </w:r>
      <w:r>
        <w:rPr>
          <w:rFonts w:ascii="SimSun" w:hAnsi="SimSun" w:eastAsia="SimSun" w:cs="SimSun"/>
          <w:sz w:val="24"/>
          <w:szCs w:val="24"/>
          <w:spacing w:val="-26"/>
        </w:rPr>
        <w:t xml:space="preserve"> </w:t>
      </w:r>
      <w:r>
        <w:rPr>
          <w:rFonts w:ascii="SimSun" w:hAnsi="SimSun" w:eastAsia="SimSun" w:cs="SimSun"/>
          <w:sz w:val="24"/>
          <w:szCs w:val="24"/>
          <w:spacing w:val="-15"/>
        </w:rPr>
        <w:t>书 》</w:t>
      </w:r>
      <w:r>
        <w:rPr>
          <w:rFonts w:ascii="SimSun" w:hAnsi="SimSun" w:eastAsia="SimSun" w:cs="SimSun"/>
          <w:sz w:val="24"/>
          <w:szCs w:val="24"/>
          <w:spacing w:val="-44"/>
        </w:rPr>
        <w:t xml:space="preserve"> </w:t>
      </w:r>
      <w:r>
        <w:rPr>
          <w:rFonts w:ascii="SimSun" w:hAnsi="SimSun" w:eastAsia="SimSun" w:cs="SimSun"/>
          <w:sz w:val="24"/>
          <w:szCs w:val="24"/>
          <w:spacing w:val="-15"/>
        </w:rPr>
        <w:t>（ 项 目</w:t>
      </w:r>
      <w:r>
        <w:rPr>
          <w:rFonts w:ascii="SimSun" w:hAnsi="SimSun" w:eastAsia="SimSun" w:cs="SimSun"/>
          <w:sz w:val="24"/>
          <w:szCs w:val="24"/>
          <w:spacing w:val="-29"/>
        </w:rPr>
        <w:t xml:space="preserve"> </w:t>
      </w:r>
      <w:r>
        <w:rPr>
          <w:rFonts w:ascii="SimSun" w:hAnsi="SimSun" w:eastAsia="SimSun" w:cs="SimSun"/>
          <w:sz w:val="24"/>
          <w:szCs w:val="24"/>
          <w:spacing w:val="-15"/>
        </w:rPr>
        <w:t>编</w:t>
      </w:r>
      <w:r>
        <w:rPr>
          <w:rFonts w:ascii="SimSun" w:hAnsi="SimSun" w:eastAsia="SimSun" w:cs="SimSun"/>
          <w:sz w:val="24"/>
          <w:szCs w:val="24"/>
          <w:spacing w:val="-28"/>
        </w:rPr>
        <w:t xml:space="preserve"> </w:t>
      </w:r>
      <w:r>
        <w:rPr>
          <w:rFonts w:ascii="SimSun" w:hAnsi="SimSun" w:eastAsia="SimSun" w:cs="SimSun"/>
          <w:sz w:val="24"/>
          <w:szCs w:val="24"/>
          <w:spacing w:val="-15"/>
        </w:rPr>
        <w:t>号</w:t>
      </w:r>
      <w:r>
        <w:rPr>
          <w:rFonts w:ascii="SimSun" w:hAnsi="SimSun" w:eastAsia="SimSun" w:cs="SimSun"/>
          <w:sz w:val="24"/>
          <w:szCs w:val="24"/>
          <w:spacing w:val="-16"/>
        </w:rPr>
        <w:t xml:space="preserve"> ：</w:t>
      </w:r>
      <w:r>
        <w:rPr>
          <w:rFonts w:ascii="SimSun" w:hAnsi="SimSun" w:eastAsia="SimSun" w:cs="SimSun"/>
          <w:sz w:val="24"/>
          <w:szCs w:val="24"/>
        </w:rPr>
        <w:t xml:space="preserve"> </w:t>
      </w:r>
      <w:r>
        <w:rPr>
          <w:rFonts w:ascii="Times New Roman" w:hAnsi="Times New Roman" w:eastAsia="Times New Roman" w:cs="Times New Roman"/>
          <w:sz w:val="24"/>
          <w:szCs w:val="24"/>
          <w:spacing w:val="-2"/>
        </w:rPr>
        <w:t>2412-152529-04-01-7198</w:t>
      </w:r>
      <w:r>
        <w:rPr>
          <w:rFonts w:ascii="Times New Roman" w:hAnsi="Times New Roman" w:eastAsia="Times New Roman" w:cs="Times New Roman"/>
          <w:sz w:val="24"/>
          <w:szCs w:val="24"/>
          <w:spacing w:val="-3"/>
        </w:rPr>
        <w:t>57</w:t>
      </w:r>
      <w:r>
        <w:rPr>
          <w:rFonts w:ascii="SimSun" w:hAnsi="SimSun" w:eastAsia="SimSun" w:cs="SimSun"/>
          <w:sz w:val="24"/>
          <w:szCs w:val="24"/>
          <w:spacing w:val="-17"/>
        </w:rPr>
        <w:t>），</w:t>
      </w:r>
      <w:r>
        <w:rPr>
          <w:rFonts w:ascii="SimSun" w:hAnsi="SimSun" w:eastAsia="SimSun" w:cs="SimSun"/>
          <w:sz w:val="24"/>
          <w:szCs w:val="24"/>
          <w:spacing w:val="-3"/>
        </w:rPr>
        <w:t>主要建设内容：洗毛生产线</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 </w:t>
      </w:r>
      <w:r>
        <w:rPr>
          <w:rFonts w:ascii="SimSun" w:hAnsi="SimSun" w:eastAsia="SimSun" w:cs="SimSun"/>
          <w:sz w:val="24"/>
          <w:szCs w:val="24"/>
          <w:spacing w:val="-3"/>
        </w:rPr>
        <w:t>条、梳绒生产线</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5 </w:t>
      </w:r>
      <w:r>
        <w:rPr>
          <w:rFonts w:ascii="SimSun" w:hAnsi="SimSun" w:eastAsia="SimSun" w:cs="SimSun"/>
          <w:sz w:val="24"/>
          <w:szCs w:val="24"/>
          <w:spacing w:val="-3"/>
        </w:rPr>
        <w:t>条、</w:t>
      </w:r>
      <w:r>
        <w:rPr>
          <w:rFonts w:ascii="SimSun" w:hAnsi="SimSun" w:eastAsia="SimSun" w:cs="SimSun"/>
          <w:sz w:val="24"/>
          <w:szCs w:val="24"/>
        </w:rPr>
        <w:t xml:space="preserve"> </w:t>
      </w:r>
      <w:r>
        <w:rPr>
          <w:rFonts w:ascii="SimSun" w:hAnsi="SimSun" w:eastAsia="SimSun" w:cs="SimSun"/>
          <w:sz w:val="24"/>
          <w:szCs w:val="24"/>
          <w:spacing w:val="-7"/>
        </w:rPr>
        <w:t>厌氧发酵装置</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7"/>
        </w:rPr>
        <w:t>1 </w:t>
      </w:r>
      <w:r>
        <w:rPr>
          <w:rFonts w:ascii="SimSun" w:hAnsi="SimSun" w:eastAsia="SimSun" w:cs="SimSun"/>
          <w:sz w:val="24"/>
          <w:szCs w:val="24"/>
          <w:spacing w:val="-7"/>
        </w:rPr>
        <w:t>套（废水）、沼气锅炉</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28"/>
          <w:w w:val="101"/>
        </w:rPr>
        <w:t xml:space="preserve"> </w:t>
      </w:r>
      <w:r>
        <w:rPr>
          <w:rFonts w:ascii="SimSun" w:hAnsi="SimSun" w:eastAsia="SimSun" w:cs="SimSun"/>
          <w:sz w:val="24"/>
          <w:szCs w:val="24"/>
          <w:spacing w:val="-7"/>
        </w:rPr>
        <w:t>台、生物质锅炉</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7"/>
        </w:rPr>
        <w:t>台、生物质压块设备</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rPr>
        <w:t xml:space="preserve">  </w:t>
      </w:r>
      <w:r>
        <w:rPr>
          <w:rFonts w:ascii="SimSun" w:hAnsi="SimSun" w:eastAsia="SimSun" w:cs="SimSun"/>
          <w:sz w:val="24"/>
          <w:szCs w:val="24"/>
          <w:spacing w:val="1"/>
        </w:rPr>
        <w:t>套、无害化处理设备</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套、有机肥设备</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套及附属设施。针对该项目内蒙古源浩</w:t>
      </w:r>
      <w:r>
        <w:rPr>
          <w:rFonts w:ascii="SimSun" w:hAnsi="SimSun" w:eastAsia="SimSun" w:cs="SimSun"/>
          <w:sz w:val="24"/>
          <w:szCs w:val="24"/>
        </w:rPr>
        <w:t xml:space="preserve"> </w:t>
      </w:r>
      <w:r>
        <w:rPr>
          <w:rFonts w:ascii="SimSun" w:hAnsi="SimSun" w:eastAsia="SimSun" w:cs="SimSun"/>
          <w:sz w:val="24"/>
          <w:szCs w:val="24"/>
        </w:rPr>
        <w:t>羊绒制品有限公司计划分期建设，本次只评价洗毛生产线</w:t>
      </w:r>
      <w:r>
        <w:rPr>
          <w:rFonts w:ascii="SimSun" w:hAnsi="SimSun" w:eastAsia="SimSun" w:cs="SimSun"/>
          <w:sz w:val="24"/>
          <w:szCs w:val="24"/>
          <w:spacing w:val="-55"/>
        </w:rPr>
        <w:t xml:space="preserve"> </w:t>
      </w:r>
      <w:r>
        <w:rPr>
          <w:rFonts w:ascii="Times New Roman" w:hAnsi="Times New Roman" w:eastAsia="Times New Roman" w:cs="Times New Roman"/>
          <w:sz w:val="24"/>
          <w:szCs w:val="24"/>
        </w:rPr>
        <w:t>2 </w:t>
      </w:r>
      <w:r>
        <w:rPr>
          <w:rFonts w:ascii="SimSun" w:hAnsi="SimSun" w:eastAsia="SimSun" w:cs="SimSun"/>
          <w:sz w:val="24"/>
          <w:szCs w:val="24"/>
        </w:rPr>
        <w:t>条、梳</w:t>
      </w:r>
      <w:r>
        <w:rPr>
          <w:rFonts w:ascii="SimSun" w:hAnsi="SimSun" w:eastAsia="SimSun" w:cs="SimSun"/>
          <w:sz w:val="24"/>
          <w:szCs w:val="24"/>
          <w:spacing w:val="-1"/>
        </w:rPr>
        <w:t>绒生产线</w:t>
      </w:r>
      <w:r>
        <w:rPr>
          <w:rFonts w:ascii="Times New Roman" w:hAnsi="Times New Roman" w:eastAsia="Times New Roman" w:cs="Times New Roman"/>
          <w:sz w:val="24"/>
          <w:szCs w:val="24"/>
          <w:spacing w:val="-1"/>
        </w:rPr>
        <w:t>5 </w:t>
      </w:r>
      <w:r>
        <w:rPr>
          <w:rFonts w:ascii="SimSun" w:hAnsi="SimSun" w:eastAsia="SimSun" w:cs="SimSun"/>
          <w:sz w:val="24"/>
          <w:szCs w:val="24"/>
          <w:spacing w:val="-1"/>
        </w:rPr>
        <w:t>条、</w:t>
      </w:r>
      <w:r>
        <w:rPr>
          <w:rFonts w:ascii="SimSun" w:hAnsi="SimSun" w:eastAsia="SimSun" w:cs="SimSun"/>
          <w:sz w:val="24"/>
          <w:szCs w:val="24"/>
        </w:rPr>
        <w:t xml:space="preserve"> </w:t>
      </w:r>
      <w:r>
        <w:rPr>
          <w:rFonts w:ascii="SimSun" w:hAnsi="SimSun" w:eastAsia="SimSun" w:cs="SimSun"/>
          <w:sz w:val="24"/>
          <w:szCs w:val="24"/>
          <w:spacing w:val="-2"/>
        </w:rPr>
        <w:t>废水厌氧发酵装置</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套、沼气锅炉</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台（</w:t>
      </w:r>
      <w:r>
        <w:rPr>
          <w:rFonts w:ascii="Times New Roman" w:hAnsi="Times New Roman" w:eastAsia="Times New Roman" w:cs="Times New Roman"/>
          <w:sz w:val="24"/>
          <w:szCs w:val="24"/>
          <w:spacing w:val="-2"/>
        </w:rPr>
        <w:t>4t/h</w:t>
      </w:r>
      <w:r>
        <w:rPr>
          <w:rFonts w:ascii="SimSun" w:hAnsi="SimSun" w:eastAsia="SimSun" w:cs="SimSun"/>
          <w:sz w:val="24"/>
          <w:szCs w:val="24"/>
          <w:spacing w:val="-2"/>
        </w:rPr>
        <w:t>）、生物质锅炉</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台（</w:t>
      </w:r>
      <w:r>
        <w:rPr>
          <w:rFonts w:ascii="Times New Roman" w:hAnsi="Times New Roman" w:eastAsia="Times New Roman" w:cs="Times New Roman"/>
          <w:sz w:val="24"/>
          <w:szCs w:val="24"/>
          <w:spacing w:val="-2"/>
        </w:rPr>
        <w:t>6t/h</w:t>
      </w:r>
      <w:r>
        <w:rPr>
          <w:rFonts w:ascii="SimSun" w:hAnsi="SimSun" w:eastAsia="SimSun" w:cs="SimSun"/>
          <w:sz w:val="24"/>
          <w:szCs w:val="24"/>
          <w:spacing w:val="-2"/>
        </w:rPr>
        <w:t>）及相关</w:t>
      </w:r>
    </w:p>
    <w:p>
      <w:pPr>
        <w:ind w:left="7"/>
        <w:spacing w:before="176" w:line="227" w:lineRule="auto"/>
        <w:rPr>
          <w:rFonts w:ascii="SimSun" w:hAnsi="SimSun" w:eastAsia="SimSun" w:cs="SimSun"/>
          <w:sz w:val="19"/>
          <w:szCs w:val="19"/>
        </w:rPr>
      </w:pPr>
      <w:r>
        <w:pict>
          <v:shape id="_x0000_s32" style="position:absolute;margin-left:159.33pt;margin-top:7.79509pt;mso-position-vertical-relative:text;mso-position-horizontal-relative:text;width:56.6pt;height:13.75pt;z-index:251671552;" filled="false" stroked="false" type="#_x0000_t202">
            <v:fill on="false"/>
            <v:stroke on="false"/>
            <v:path/>
            <v:imagedata o:title=""/>
            <o:lock v:ext="edit" aspectratio="false"/>
            <v:textbox inset="0mm,0mm,0mm,0mm">
              <w:txbxContent>
                <w:p>
                  <w:pPr>
                    <w:spacing w:before="20" w:line="228" w:lineRule="auto"/>
                    <w:jc w:val="right"/>
                    <w:rPr>
                      <w:rFonts w:ascii="Times New Roman" w:hAnsi="Times New Roman" w:eastAsia="Times New Roman" w:cs="Times New Roman"/>
                      <w:sz w:val="18"/>
                      <w:szCs w:val="18"/>
                    </w:rPr>
                  </w:pPr>
                  <w:r>
                    <w:rPr>
                      <w:rFonts w:ascii="SimSun" w:hAnsi="SimSun" w:eastAsia="SimSun" w:cs="SimSun"/>
                      <w:sz w:val="19"/>
                      <w:szCs w:val="19"/>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position w:val="2"/>
                    </w:rPr>
                    <w:t>1</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1"/>
          <w:pgSz w:w="11907" w:h="16840"/>
          <w:pgMar w:top="1567" w:right="1621" w:bottom="400" w:left="1701" w:header="1221" w:footer="0" w:gutter="0"/>
        </w:sectPr>
        <w:rPr>
          <w:rFonts w:ascii="SimSun" w:hAnsi="SimSun" w:eastAsia="SimSun" w:cs="SimSun"/>
          <w:sz w:val="19"/>
          <w:szCs w:val="19"/>
        </w:rPr>
      </w:pPr>
    </w:p>
    <w:p>
      <w:pPr>
        <w:ind w:left="8"/>
        <w:spacing w:before="181" w:line="359" w:lineRule="auto"/>
        <w:jc w:val="both"/>
        <w:rPr>
          <w:rFonts w:ascii="SimSun" w:hAnsi="SimSun" w:eastAsia="SimSun" w:cs="SimSun"/>
          <w:sz w:val="24"/>
          <w:szCs w:val="24"/>
        </w:rPr>
      </w:pPr>
      <w:r>
        <w:pict>
          <v:shape id="_x0000_s36" style="position:absolute;margin-left:85.05pt;margin-top:78.87pt;mso-position-vertical-relative:page;mso-position-horizontal-relative:page;width:425.25pt;height:0.75pt;z-index:251673600;" o:allowincell="f" fillcolor="#000000" filled="true" stroked="false" coordsize="8505,15" coordorigin="0,0" path="m,l8505,0l8505,14l0,14l0,0xe"/>
        </w:pict>
      </w:r>
      <w:r>
        <w:rPr>
          <w:rFonts w:ascii="SimSun" w:hAnsi="SimSun" w:eastAsia="SimSun" w:cs="SimSun"/>
          <w:sz w:val="24"/>
          <w:szCs w:val="24"/>
          <w:spacing w:val="1"/>
        </w:rPr>
        <w:t>配套设施（以下简称本项目）。生物质压块设备</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套、无害化处理设备</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套、有</w:t>
      </w:r>
      <w:r>
        <w:rPr>
          <w:rFonts w:ascii="SimSun" w:hAnsi="SimSun" w:eastAsia="SimSun" w:cs="SimSun"/>
          <w:sz w:val="24"/>
          <w:szCs w:val="24"/>
        </w:rPr>
        <w:t xml:space="preserve"> </w:t>
      </w:r>
      <w:r>
        <w:rPr>
          <w:rFonts w:ascii="SimSun" w:hAnsi="SimSun" w:eastAsia="SimSun" w:cs="SimSun"/>
          <w:sz w:val="24"/>
          <w:szCs w:val="24"/>
          <w:spacing w:val="2"/>
        </w:rPr>
        <w:t>机肥设备</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套不在本次评价范围内，另行环评（项目名称内</w:t>
      </w:r>
      <w:r>
        <w:rPr>
          <w:rFonts w:ascii="SimSun" w:hAnsi="SimSun" w:eastAsia="SimSun" w:cs="SimSun"/>
          <w:sz w:val="24"/>
          <w:szCs w:val="24"/>
          <w:spacing w:val="1"/>
        </w:rPr>
        <w:t>蒙古源浩羊绒制品有</w:t>
      </w:r>
      <w:r>
        <w:rPr>
          <w:rFonts w:ascii="SimSun" w:hAnsi="SimSun" w:eastAsia="SimSun" w:cs="SimSun"/>
          <w:sz w:val="24"/>
          <w:szCs w:val="24"/>
        </w:rPr>
        <w:t xml:space="preserve"> </w:t>
      </w:r>
      <w:r>
        <w:rPr>
          <w:rFonts w:ascii="SimSun" w:hAnsi="SimSun" w:eastAsia="SimSun" w:cs="SimSun"/>
          <w:sz w:val="24"/>
          <w:szCs w:val="24"/>
          <w:spacing w:val="2"/>
        </w:rPr>
        <w:t>限公司废弃物高效循环利用项目（二期</w:t>
      </w:r>
      <w:r>
        <w:rPr>
          <w:rFonts w:ascii="SimSun" w:hAnsi="SimSun" w:eastAsia="SimSun" w:cs="SimSun"/>
          <w:sz w:val="24"/>
          <w:szCs w:val="24"/>
          <w:spacing w:val="14"/>
        </w:rPr>
        <w:t>），</w:t>
      </w:r>
      <w:r>
        <w:rPr>
          <w:rFonts w:ascii="SimSun" w:hAnsi="SimSun" w:eastAsia="SimSun" w:cs="SimSun"/>
          <w:sz w:val="24"/>
          <w:szCs w:val="24"/>
          <w:spacing w:val="2"/>
        </w:rPr>
        <w:t>报告正在编制，评价内容为生物质压</w:t>
      </w:r>
      <w:r>
        <w:rPr>
          <w:rFonts w:ascii="SimSun" w:hAnsi="SimSun" w:eastAsia="SimSun" w:cs="SimSun"/>
          <w:sz w:val="24"/>
          <w:szCs w:val="24"/>
          <w:spacing w:val="1"/>
        </w:rPr>
        <w:t xml:space="preserve"> </w:t>
      </w:r>
      <w:r>
        <w:rPr>
          <w:rFonts w:ascii="SimSun" w:hAnsi="SimSun" w:eastAsia="SimSun" w:cs="SimSun"/>
          <w:sz w:val="24"/>
          <w:szCs w:val="24"/>
          <w:spacing w:val="-1"/>
        </w:rPr>
        <w:t>块生产线及固体有机肥生产线）。</w:t>
      </w:r>
    </w:p>
    <w:p>
      <w:pPr>
        <w:ind w:left="10" w:firstLine="480"/>
        <w:spacing w:before="3" w:line="359" w:lineRule="auto"/>
        <w:jc w:val="both"/>
        <w:rPr>
          <w:rFonts w:ascii="SimSun" w:hAnsi="SimSun" w:eastAsia="SimSun" w:cs="SimSun"/>
          <w:sz w:val="24"/>
          <w:szCs w:val="24"/>
        </w:rPr>
      </w:pPr>
      <w:r>
        <w:rPr>
          <w:rFonts w:ascii="SimSun" w:hAnsi="SimSun" w:eastAsia="SimSun" w:cs="SimSun"/>
          <w:sz w:val="24"/>
          <w:szCs w:val="24"/>
          <w:spacing w:val="-2"/>
        </w:rPr>
        <w:t>本项目建设洗毛生产线</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 </w:t>
      </w:r>
      <w:r>
        <w:rPr>
          <w:rFonts w:ascii="SimSun" w:hAnsi="SimSun" w:eastAsia="SimSun" w:cs="SimSun"/>
          <w:sz w:val="24"/>
          <w:szCs w:val="24"/>
          <w:spacing w:val="-2"/>
        </w:rPr>
        <w:t>条，建设梳绒生产线</w:t>
      </w:r>
      <w:r>
        <w:rPr>
          <w:rFonts w:ascii="Times New Roman" w:hAnsi="Times New Roman" w:eastAsia="Times New Roman" w:cs="Times New Roman"/>
          <w:sz w:val="24"/>
          <w:szCs w:val="24"/>
          <w:spacing w:val="-2"/>
        </w:rPr>
        <w:t>5 </w:t>
      </w:r>
      <w:r>
        <w:rPr>
          <w:rFonts w:ascii="SimSun" w:hAnsi="SimSun" w:eastAsia="SimSun" w:cs="SimSun"/>
          <w:sz w:val="24"/>
          <w:szCs w:val="24"/>
          <w:spacing w:val="-2"/>
        </w:rPr>
        <w:t>条，年产洗净毛</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3"/>
        </w:rPr>
        <w:t>吨、无</w:t>
      </w:r>
      <w:r>
        <w:rPr>
          <w:rFonts w:ascii="SimSun" w:hAnsi="SimSun" w:eastAsia="SimSun" w:cs="SimSun"/>
          <w:sz w:val="24"/>
          <w:szCs w:val="24"/>
        </w:rPr>
        <w:t xml:space="preserve"> </w:t>
      </w:r>
      <w:r>
        <w:rPr>
          <w:rFonts w:ascii="SimSun" w:hAnsi="SimSun" w:eastAsia="SimSun" w:cs="SimSun"/>
          <w:sz w:val="24"/>
          <w:szCs w:val="24"/>
          <w:spacing w:val="2"/>
        </w:rPr>
        <w:t>毛绒</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300</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2"/>
        </w:rPr>
        <w:t>吨，为纺织产业提供原材料支持，促进</w:t>
      </w:r>
      <w:r>
        <w:rPr>
          <w:rFonts w:ascii="SimSun" w:hAnsi="SimSun" w:eastAsia="SimSun" w:cs="SimSun"/>
          <w:sz w:val="24"/>
          <w:szCs w:val="24"/>
          <w:spacing w:val="1"/>
        </w:rPr>
        <w:t>整个产业链的稳定发展。配套建</w:t>
      </w:r>
      <w:r>
        <w:rPr>
          <w:rFonts w:ascii="SimSun" w:hAnsi="SimSun" w:eastAsia="SimSun" w:cs="SimSun"/>
          <w:sz w:val="24"/>
          <w:szCs w:val="24"/>
        </w:rPr>
        <w:t xml:space="preserve"> </w:t>
      </w:r>
      <w:r>
        <w:rPr>
          <w:rFonts w:ascii="SimSun" w:hAnsi="SimSun" w:eastAsia="SimSun" w:cs="SimSun"/>
          <w:sz w:val="24"/>
          <w:szCs w:val="24"/>
          <w:spacing w:val="2"/>
        </w:rPr>
        <w:t>设</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套厌氧发酵装置，对洗毛车间产生的废水进行资源</w:t>
      </w:r>
      <w:r>
        <w:rPr>
          <w:rFonts w:ascii="SimSun" w:hAnsi="SimSun" w:eastAsia="SimSun" w:cs="SimSun"/>
          <w:sz w:val="24"/>
          <w:szCs w:val="24"/>
          <w:spacing w:val="1"/>
        </w:rPr>
        <w:t>化利用，产生的沼气全部</w:t>
      </w:r>
      <w:r>
        <w:rPr>
          <w:rFonts w:ascii="SimSun" w:hAnsi="SimSun" w:eastAsia="SimSun" w:cs="SimSun"/>
          <w:sz w:val="24"/>
          <w:szCs w:val="24"/>
        </w:rPr>
        <w:t xml:space="preserve"> </w:t>
      </w:r>
      <w:r>
        <w:rPr>
          <w:rFonts w:ascii="SimSun" w:hAnsi="SimSun" w:eastAsia="SimSun" w:cs="SimSun"/>
          <w:sz w:val="24"/>
          <w:szCs w:val="24"/>
          <w:spacing w:val="2"/>
        </w:rPr>
        <w:t>作为本次建设的沼气锅炉燃料，沼渣和沼液作为有机肥还田利用（自用</w:t>
      </w:r>
      <w:r>
        <w:rPr>
          <w:rFonts w:ascii="SimSun" w:hAnsi="SimSun" w:eastAsia="SimSun" w:cs="SimSun"/>
          <w:sz w:val="24"/>
          <w:szCs w:val="24"/>
          <w:spacing w:val="14"/>
        </w:rPr>
        <w:t>），</w:t>
      </w:r>
      <w:r>
        <w:rPr>
          <w:rFonts w:ascii="SimSun" w:hAnsi="SimSun" w:eastAsia="SimSun" w:cs="SimSun"/>
          <w:sz w:val="24"/>
          <w:szCs w:val="24"/>
          <w:spacing w:val="2"/>
        </w:rPr>
        <w:t>不仅</w:t>
      </w:r>
      <w:r>
        <w:rPr>
          <w:rFonts w:ascii="SimSun" w:hAnsi="SimSun" w:eastAsia="SimSun" w:cs="SimSun"/>
          <w:sz w:val="24"/>
          <w:szCs w:val="24"/>
        </w:rPr>
        <w:t xml:space="preserve"> </w:t>
      </w:r>
      <w:r>
        <w:rPr>
          <w:rFonts w:ascii="SimSun" w:hAnsi="SimSun" w:eastAsia="SimSun" w:cs="SimSun"/>
          <w:sz w:val="24"/>
          <w:szCs w:val="24"/>
          <w:spacing w:val="3"/>
        </w:rPr>
        <w:t>为当地能源供应提供了新的途径，还能改善土壤质量，</w:t>
      </w:r>
      <w:r>
        <w:rPr>
          <w:rFonts w:ascii="SimSun" w:hAnsi="SimSun" w:eastAsia="SimSun" w:cs="SimSun"/>
          <w:sz w:val="24"/>
          <w:szCs w:val="24"/>
          <w:spacing w:val="2"/>
        </w:rPr>
        <w:t>推动农业可持续发展，符</w:t>
      </w:r>
      <w:r>
        <w:rPr>
          <w:rFonts w:ascii="SimSun" w:hAnsi="SimSun" w:eastAsia="SimSun" w:cs="SimSun"/>
          <w:sz w:val="24"/>
          <w:szCs w:val="24"/>
        </w:rPr>
        <w:t xml:space="preserve"> </w:t>
      </w:r>
      <w:r>
        <w:rPr>
          <w:rFonts w:ascii="SimSun" w:hAnsi="SimSun" w:eastAsia="SimSun" w:cs="SimSun"/>
          <w:sz w:val="24"/>
          <w:szCs w:val="24"/>
          <w:spacing w:val="-1"/>
        </w:rPr>
        <w:t>合当前产业绿色发展的趋势。</w:t>
      </w:r>
    </w:p>
    <w:p>
      <w:pPr>
        <w:ind w:left="10" w:right="2" w:firstLine="474"/>
        <w:spacing w:before="3" w:line="359" w:lineRule="auto"/>
        <w:jc w:val="both"/>
        <w:rPr>
          <w:rFonts w:ascii="SimSun" w:hAnsi="SimSun" w:eastAsia="SimSun" w:cs="SimSun"/>
          <w:sz w:val="24"/>
          <w:szCs w:val="24"/>
        </w:rPr>
      </w:pPr>
      <w:r>
        <w:rPr>
          <w:rFonts w:ascii="Times New Roman" w:hAnsi="Times New Roman" w:eastAsia="Times New Roman" w:cs="Times New Roman"/>
          <w:sz w:val="24"/>
          <w:szCs w:val="24"/>
          <w:spacing w:val="-3"/>
        </w:rPr>
        <w:t>2024 </w:t>
      </w:r>
      <w:r>
        <w:rPr>
          <w:rFonts w:ascii="SimSun" w:hAnsi="SimSun" w:eastAsia="SimSun" w:cs="SimSun"/>
          <w:sz w:val="24"/>
          <w:szCs w:val="24"/>
          <w:spacing w:val="-3"/>
        </w:rPr>
        <w:t>年</w:t>
      </w:r>
      <w:r>
        <w:rPr>
          <w:rFonts w:ascii="SimSun" w:hAnsi="SimSun" w:eastAsia="SimSun" w:cs="SimSun"/>
          <w:sz w:val="24"/>
          <w:szCs w:val="24"/>
          <w:spacing w:val="-12"/>
        </w:rPr>
        <w:t xml:space="preserve"> </w:t>
      </w:r>
      <w:r>
        <w:rPr>
          <w:rFonts w:ascii="Times New Roman" w:hAnsi="Times New Roman" w:eastAsia="Times New Roman" w:cs="Times New Roman"/>
          <w:sz w:val="24"/>
          <w:szCs w:val="24"/>
          <w:spacing w:val="-3"/>
        </w:rPr>
        <w:t>12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月</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3"/>
        </w:rPr>
        <w:t>18  </w:t>
      </w:r>
      <w:r>
        <w:rPr>
          <w:rFonts w:ascii="SimSun" w:hAnsi="SimSun" w:eastAsia="SimSun" w:cs="SimSun"/>
          <w:sz w:val="24"/>
          <w:szCs w:val="24"/>
          <w:spacing w:val="-3"/>
        </w:rPr>
        <w:t>日，内蒙古源浩羊绒制品有限公司委托锡林郭勒盟中安环境</w:t>
      </w:r>
      <w:r>
        <w:rPr>
          <w:rFonts w:ascii="SimSun" w:hAnsi="SimSun" w:eastAsia="SimSun" w:cs="SimSun"/>
          <w:sz w:val="24"/>
          <w:szCs w:val="24"/>
        </w:rPr>
        <w:t xml:space="preserve"> </w:t>
      </w:r>
      <w:r>
        <w:rPr>
          <w:rFonts w:ascii="SimSun" w:hAnsi="SimSun" w:eastAsia="SimSun" w:cs="SimSun"/>
          <w:sz w:val="24"/>
          <w:szCs w:val="24"/>
          <w:spacing w:val="3"/>
        </w:rPr>
        <w:t>技术咨询有限责任公司负责《内蒙古源浩羊绒制</w:t>
      </w:r>
      <w:r>
        <w:rPr>
          <w:rFonts w:ascii="SimSun" w:hAnsi="SimSun" w:eastAsia="SimSun" w:cs="SimSun"/>
          <w:sz w:val="24"/>
          <w:szCs w:val="24"/>
          <w:spacing w:val="2"/>
        </w:rPr>
        <w:t>品有限公司废弃物高效循环利用</w:t>
      </w:r>
      <w:r>
        <w:rPr>
          <w:rFonts w:ascii="SimSun" w:hAnsi="SimSun" w:eastAsia="SimSun" w:cs="SimSun"/>
          <w:sz w:val="24"/>
          <w:szCs w:val="24"/>
        </w:rPr>
        <w:t xml:space="preserve"> </w:t>
      </w:r>
      <w:r>
        <w:rPr>
          <w:rFonts w:ascii="SimSun" w:hAnsi="SimSun" w:eastAsia="SimSun" w:cs="SimSun"/>
          <w:sz w:val="24"/>
          <w:szCs w:val="24"/>
          <w:spacing w:val="-1"/>
        </w:rPr>
        <w:t>项目环境影响报告书》的编制工作。</w:t>
      </w:r>
    </w:p>
    <w:p>
      <w:pPr>
        <w:ind w:left="35"/>
        <w:spacing w:before="161" w:line="222" w:lineRule="auto"/>
        <w:outlineLvl w:val="1"/>
        <w:rPr>
          <w:rFonts w:ascii="SimHei" w:hAnsi="SimHei" w:eastAsia="SimHei" w:cs="SimHei"/>
          <w:sz w:val="30"/>
          <w:szCs w:val="30"/>
        </w:rPr>
      </w:pPr>
      <w:bookmarkStart w:name="bookmark3" w:id="4"/>
      <w:bookmarkEnd w:id="4"/>
      <w:r>
        <w:rPr>
          <w:rFonts w:ascii="Times New Roman" w:hAnsi="Times New Roman" w:eastAsia="Times New Roman" w:cs="Times New Roman"/>
          <w:sz w:val="30"/>
          <w:szCs w:val="30"/>
          <w:spacing w:val="-4"/>
        </w:rPr>
        <w:t>1.2 </w:t>
      </w:r>
      <w:r>
        <w:rPr>
          <w:rFonts w:ascii="SimHei" w:hAnsi="SimHei" w:eastAsia="SimHei" w:cs="SimHei"/>
          <w:sz w:val="30"/>
          <w:szCs w:val="30"/>
          <w:spacing w:val="-4"/>
        </w:rPr>
        <w:t>建设项目特点</w:t>
      </w:r>
    </w:p>
    <w:p>
      <w:pPr>
        <w:pStyle w:val="BodyText"/>
        <w:spacing w:line="290" w:lineRule="auto"/>
        <w:rPr/>
      </w:pPr>
      <w:r/>
    </w:p>
    <w:p>
      <w:pPr>
        <w:ind w:left="8" w:firstLine="510"/>
        <w:spacing w:before="78" w:line="359" w:lineRule="auto"/>
        <w:jc w:val="both"/>
        <w:rPr>
          <w:rFonts w:ascii="SimSun" w:hAnsi="SimSun" w:eastAsia="SimSun" w:cs="SimSun"/>
          <w:sz w:val="24"/>
          <w:szCs w:val="24"/>
        </w:rPr>
      </w:pPr>
      <w:r>
        <w:rPr>
          <w:rFonts w:ascii="SimSun" w:hAnsi="SimSun" w:eastAsia="SimSun" w:cs="SimSun"/>
          <w:sz w:val="24"/>
          <w:szCs w:val="24"/>
          <w:spacing w:val="2"/>
        </w:rPr>
        <w:t>内蒙古源浩羊绒制品有限公司废弃物高效循环利用项目拟建厂址位于</w:t>
      </w:r>
      <w:r>
        <w:rPr>
          <w:rFonts w:ascii="SimSun" w:hAnsi="SimSun" w:eastAsia="SimSun" w:cs="SimSun"/>
          <w:sz w:val="24"/>
          <w:szCs w:val="24"/>
          <w:spacing w:val="1"/>
        </w:rPr>
        <w:t>内蒙古</w:t>
      </w:r>
      <w:r>
        <w:rPr>
          <w:rFonts w:ascii="SimSun" w:hAnsi="SimSun" w:eastAsia="SimSun" w:cs="SimSun"/>
          <w:sz w:val="24"/>
          <w:szCs w:val="24"/>
        </w:rPr>
        <w:t xml:space="preserve"> </w:t>
      </w:r>
      <w:r>
        <w:rPr>
          <w:rFonts w:ascii="SimSun" w:hAnsi="SimSun" w:eastAsia="SimSun" w:cs="SimSun"/>
          <w:sz w:val="24"/>
          <w:szCs w:val="24"/>
          <w:spacing w:val="2"/>
        </w:rPr>
        <w:t>自治区锡林郭勒盟正镶白旗明安图镇乌宁巴图西街，建设洗毛生产线</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2 </w:t>
      </w:r>
      <w:r>
        <w:rPr>
          <w:rFonts w:ascii="SimSun" w:hAnsi="SimSun" w:eastAsia="SimSun" w:cs="SimSun"/>
          <w:sz w:val="24"/>
          <w:szCs w:val="24"/>
          <w:spacing w:val="2"/>
        </w:rPr>
        <w:t>条（年产</w:t>
      </w:r>
      <w:r>
        <w:rPr>
          <w:rFonts w:ascii="SimSun" w:hAnsi="SimSun" w:eastAsia="SimSun" w:cs="SimSun"/>
          <w:sz w:val="24"/>
          <w:szCs w:val="24"/>
        </w:rPr>
        <w:t xml:space="preserve"> </w:t>
      </w:r>
      <w:r>
        <w:rPr>
          <w:rFonts w:ascii="SimSun" w:hAnsi="SimSun" w:eastAsia="SimSun" w:cs="SimSun"/>
          <w:sz w:val="24"/>
          <w:szCs w:val="24"/>
          <w:spacing w:val="-5"/>
        </w:rPr>
        <w:t>洗净毛</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万吨）、梳绒生产线</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5"/>
        </w:rPr>
        <w:t>5 </w:t>
      </w:r>
      <w:r>
        <w:rPr>
          <w:rFonts w:ascii="SimSun" w:hAnsi="SimSun" w:eastAsia="SimSun" w:cs="SimSun"/>
          <w:sz w:val="24"/>
          <w:szCs w:val="24"/>
          <w:spacing w:val="-5"/>
        </w:rPr>
        <w:t>条（年产无毛绒</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300</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5"/>
        </w:rPr>
        <w:t>吨），配套建设</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 </w:t>
      </w:r>
      <w:r>
        <w:rPr>
          <w:rFonts w:ascii="SimSun" w:hAnsi="SimSun" w:eastAsia="SimSun" w:cs="SimSun"/>
          <w:sz w:val="24"/>
          <w:szCs w:val="24"/>
          <w:spacing w:val="-5"/>
        </w:rPr>
        <w:t>套厌氧发</w:t>
      </w:r>
      <w:r>
        <w:rPr>
          <w:rFonts w:ascii="SimSun" w:hAnsi="SimSun" w:eastAsia="SimSun" w:cs="SimSun"/>
          <w:sz w:val="24"/>
          <w:szCs w:val="24"/>
        </w:rPr>
        <w:t xml:space="preserve"> </w:t>
      </w:r>
      <w:r>
        <w:rPr>
          <w:rFonts w:ascii="SimSun" w:hAnsi="SimSun" w:eastAsia="SimSun" w:cs="SimSun"/>
          <w:sz w:val="24"/>
          <w:szCs w:val="24"/>
          <w:spacing w:val="3"/>
        </w:rPr>
        <w:t>酵装置对洗毛车间产生的废水进行资源化利用，产生的沼</w:t>
      </w:r>
      <w:r>
        <w:rPr>
          <w:rFonts w:ascii="SimSun" w:hAnsi="SimSun" w:eastAsia="SimSun" w:cs="SimSun"/>
          <w:sz w:val="24"/>
          <w:szCs w:val="24"/>
          <w:spacing w:val="2"/>
        </w:rPr>
        <w:t>气全部作为本次建设的</w:t>
      </w:r>
      <w:r>
        <w:rPr>
          <w:rFonts w:ascii="SimSun" w:hAnsi="SimSun" w:eastAsia="SimSun" w:cs="SimSun"/>
          <w:sz w:val="24"/>
          <w:szCs w:val="24"/>
        </w:rPr>
        <w:t xml:space="preserve"> </w:t>
      </w:r>
      <w:r>
        <w:rPr>
          <w:rFonts w:ascii="SimSun" w:hAnsi="SimSun" w:eastAsia="SimSun" w:cs="SimSun"/>
          <w:sz w:val="24"/>
          <w:szCs w:val="24"/>
        </w:rPr>
        <w:t>沼气锅炉燃料，沼渣和沼液作为有机肥产品以及</w:t>
      </w:r>
      <w:r>
        <w:rPr>
          <w:rFonts w:ascii="SimSun" w:hAnsi="SimSun" w:eastAsia="SimSun" w:cs="SimSun"/>
          <w:sz w:val="24"/>
          <w:szCs w:val="24"/>
          <w:spacing w:val="-1"/>
        </w:rPr>
        <w:t>配套建设的公辅设施。</w:t>
      </w:r>
    </w:p>
    <w:p>
      <w:pPr>
        <w:ind w:left="8" w:right="2" w:firstLine="481"/>
        <w:spacing w:before="2" w:line="358" w:lineRule="auto"/>
        <w:jc w:val="both"/>
        <w:rPr>
          <w:rFonts w:ascii="SimSun" w:hAnsi="SimSun" w:eastAsia="SimSun" w:cs="SimSun"/>
          <w:sz w:val="24"/>
          <w:szCs w:val="24"/>
        </w:rPr>
      </w:pPr>
      <w:r>
        <w:rPr>
          <w:rFonts w:ascii="SimSun" w:hAnsi="SimSun" w:eastAsia="SimSun" w:cs="SimSun"/>
          <w:sz w:val="24"/>
          <w:szCs w:val="24"/>
          <w:spacing w:val="3"/>
        </w:rPr>
        <w:t>本项目建设的</w:t>
      </w:r>
      <w:r>
        <w:rPr>
          <w:rFonts w:ascii="Times New Roman" w:hAnsi="Times New Roman" w:eastAsia="Times New Roman" w:cs="Times New Roman"/>
          <w:sz w:val="24"/>
          <w:szCs w:val="24"/>
          <w:spacing w:val="3"/>
        </w:rPr>
        <w:t>1</w:t>
      </w:r>
      <w:r>
        <w:rPr>
          <w:rFonts w:ascii="SimSun" w:hAnsi="SimSun" w:eastAsia="SimSun" w:cs="SimSun"/>
          <w:sz w:val="24"/>
          <w:szCs w:val="24"/>
          <w:spacing w:val="3"/>
        </w:rPr>
        <w:t>套厌氧发酵装置配套处理本项目</w:t>
      </w:r>
      <w:r>
        <w:rPr>
          <w:rFonts w:ascii="Times New Roman" w:hAnsi="Times New Roman" w:eastAsia="Times New Roman" w:cs="Times New Roman"/>
          <w:sz w:val="24"/>
          <w:szCs w:val="24"/>
          <w:spacing w:val="3"/>
        </w:rPr>
        <w:t>2</w:t>
      </w:r>
      <w:r>
        <w:rPr>
          <w:rFonts w:ascii="SimSun" w:hAnsi="SimSun" w:eastAsia="SimSun" w:cs="SimSun"/>
          <w:sz w:val="24"/>
          <w:szCs w:val="24"/>
          <w:spacing w:val="3"/>
        </w:rPr>
        <w:t>条</w:t>
      </w:r>
      <w:r>
        <w:rPr>
          <w:rFonts w:ascii="SimSun" w:hAnsi="SimSun" w:eastAsia="SimSun" w:cs="SimSun"/>
          <w:sz w:val="24"/>
          <w:szCs w:val="24"/>
          <w:spacing w:val="2"/>
        </w:rPr>
        <w:t>洗毛生产线（总生产洗净</w:t>
      </w:r>
      <w:r>
        <w:rPr>
          <w:rFonts w:ascii="SimSun" w:hAnsi="SimSun" w:eastAsia="SimSun" w:cs="SimSun"/>
          <w:sz w:val="24"/>
          <w:szCs w:val="24"/>
        </w:rPr>
        <w:t xml:space="preserve"> </w:t>
      </w:r>
      <w:r>
        <w:rPr>
          <w:rFonts w:ascii="SimSun" w:hAnsi="SimSun" w:eastAsia="SimSun" w:cs="SimSun"/>
          <w:sz w:val="24"/>
          <w:szCs w:val="24"/>
          <w:spacing w:val="-1"/>
        </w:rPr>
        <w:t>毛</w:t>
      </w:r>
      <w:r>
        <w:rPr>
          <w:rFonts w:ascii="Times New Roman" w:hAnsi="Times New Roman" w:eastAsia="Times New Roman" w:cs="Times New Roman"/>
          <w:sz w:val="24"/>
          <w:szCs w:val="24"/>
          <w:spacing w:val="-1"/>
        </w:rPr>
        <w:t>1.8</w:t>
      </w:r>
      <w:r>
        <w:rPr>
          <w:rFonts w:ascii="SimSun" w:hAnsi="SimSun" w:eastAsia="SimSun" w:cs="SimSun"/>
          <w:sz w:val="24"/>
          <w:szCs w:val="24"/>
          <w:spacing w:val="-1"/>
        </w:rPr>
        <w:t>万吨</w:t>
      </w:r>
      <w:r>
        <w:rPr>
          <w:rFonts w:ascii="Times New Roman" w:hAnsi="Times New Roman" w:eastAsia="Times New Roman" w:cs="Times New Roman"/>
          <w:sz w:val="24"/>
          <w:szCs w:val="24"/>
          <w:spacing w:val="-1"/>
        </w:rPr>
        <w:t>/</w:t>
      </w:r>
      <w:r>
        <w:rPr>
          <w:rFonts w:ascii="SimSun" w:hAnsi="SimSun" w:eastAsia="SimSun" w:cs="SimSun"/>
          <w:sz w:val="24"/>
          <w:szCs w:val="24"/>
          <w:spacing w:val="-1"/>
        </w:rPr>
        <w:t>年）产生的废水；本次建设的生物质锅炉和沼气锅炉属于本项目配套设</w:t>
      </w:r>
      <w:r>
        <w:rPr>
          <w:rFonts w:ascii="SimSun" w:hAnsi="SimSun" w:eastAsia="SimSun" w:cs="SimSun"/>
          <w:sz w:val="24"/>
          <w:szCs w:val="24"/>
          <w:spacing w:val="5"/>
        </w:rPr>
        <w:t xml:space="preserve"> </w:t>
      </w:r>
      <w:r>
        <w:rPr>
          <w:rFonts w:ascii="SimSun" w:hAnsi="SimSun" w:eastAsia="SimSun" w:cs="SimSun"/>
          <w:sz w:val="24"/>
          <w:szCs w:val="24"/>
          <w:spacing w:val="-1"/>
        </w:rPr>
        <w:t>施，满足项目生产供汽及采暖用热需求。</w:t>
      </w:r>
    </w:p>
    <w:p>
      <w:pPr>
        <w:ind w:left="15" w:right="45" w:firstLine="475"/>
        <w:spacing w:line="362" w:lineRule="auto"/>
        <w:rPr>
          <w:rFonts w:ascii="SimSun" w:hAnsi="SimSun" w:eastAsia="SimSun" w:cs="SimSun"/>
          <w:sz w:val="24"/>
          <w:szCs w:val="24"/>
        </w:rPr>
      </w:pPr>
      <w:r>
        <w:rPr>
          <w:rFonts w:ascii="SimSun" w:hAnsi="SimSun" w:eastAsia="SimSun" w:cs="SimSun"/>
          <w:sz w:val="24"/>
          <w:szCs w:val="24"/>
          <w:spacing w:val="-1"/>
        </w:rPr>
        <w:t>本项目总投资为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4000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万元，其中建设投资</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3</w:t>
      </w:r>
      <w:r>
        <w:rPr>
          <w:rFonts w:ascii="Times New Roman" w:hAnsi="Times New Roman" w:eastAsia="Times New Roman" w:cs="Times New Roman"/>
          <w:sz w:val="24"/>
          <w:szCs w:val="24"/>
          <w:spacing w:val="-2"/>
        </w:rPr>
        <w:t>646.95</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万元，项目预备费</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248.82</w:t>
      </w:r>
      <w:r>
        <w:rPr>
          <w:rFonts w:ascii="Times New Roman" w:hAnsi="Times New Roman" w:eastAsia="Times New Roman" w:cs="Times New Roman"/>
          <w:sz w:val="24"/>
          <w:szCs w:val="24"/>
        </w:rPr>
        <w:t xml:space="preserve"> </w:t>
      </w:r>
      <w:r>
        <w:rPr>
          <w:rFonts w:ascii="SimSun" w:hAnsi="SimSun" w:eastAsia="SimSun" w:cs="SimSun"/>
          <w:sz w:val="24"/>
          <w:szCs w:val="24"/>
          <w:spacing w:val="-3"/>
        </w:rPr>
        <w:t>万元，流动资金</w:t>
      </w:r>
      <w:r>
        <w:rPr>
          <w:rFonts w:ascii="SimSun" w:hAnsi="SimSun" w:eastAsia="SimSun" w:cs="SimSun"/>
          <w:sz w:val="24"/>
          <w:szCs w:val="24"/>
          <w:spacing w:val="-16"/>
        </w:rPr>
        <w:t xml:space="preserve"> </w:t>
      </w:r>
      <w:r>
        <w:rPr>
          <w:rFonts w:ascii="Times New Roman" w:hAnsi="Times New Roman" w:eastAsia="Times New Roman" w:cs="Times New Roman"/>
          <w:sz w:val="24"/>
          <w:szCs w:val="24"/>
          <w:spacing w:val="-3"/>
        </w:rPr>
        <w:t>104.23</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万元。项目建设期</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24 </w:t>
      </w:r>
      <w:r>
        <w:rPr>
          <w:rFonts w:ascii="SimSun" w:hAnsi="SimSun" w:eastAsia="SimSun" w:cs="SimSun"/>
          <w:sz w:val="24"/>
          <w:szCs w:val="24"/>
          <w:spacing w:val="-3"/>
        </w:rPr>
        <w:t>个月。</w:t>
      </w:r>
    </w:p>
    <w:p>
      <w:pPr>
        <w:ind w:left="35"/>
        <w:spacing w:before="159" w:line="222" w:lineRule="auto"/>
        <w:outlineLvl w:val="1"/>
        <w:rPr>
          <w:rFonts w:ascii="SimHei" w:hAnsi="SimHei" w:eastAsia="SimHei" w:cs="SimHei"/>
          <w:sz w:val="30"/>
          <w:szCs w:val="30"/>
        </w:rPr>
      </w:pPr>
      <w:bookmarkStart w:name="bookmark4" w:id="5"/>
      <w:bookmarkEnd w:id="5"/>
      <w:r>
        <w:rPr>
          <w:rFonts w:ascii="Times New Roman" w:hAnsi="Times New Roman" w:eastAsia="Times New Roman" w:cs="Times New Roman"/>
          <w:sz w:val="30"/>
          <w:szCs w:val="30"/>
          <w:spacing w:val="-3"/>
        </w:rPr>
        <w:t>1.3 </w:t>
      </w:r>
      <w:r>
        <w:rPr>
          <w:rFonts w:ascii="SimHei" w:hAnsi="SimHei" w:eastAsia="SimHei" w:cs="SimHei"/>
          <w:sz w:val="30"/>
          <w:szCs w:val="30"/>
          <w:spacing w:val="-3"/>
        </w:rPr>
        <w:t>环境影响评价工作过程</w:t>
      </w:r>
    </w:p>
    <w:p>
      <w:pPr>
        <w:pStyle w:val="BodyText"/>
        <w:spacing w:line="290" w:lineRule="auto"/>
        <w:rPr/>
      </w:pPr>
      <w:r/>
    </w:p>
    <w:p>
      <w:pPr>
        <w:spacing w:before="78" w:line="218" w:lineRule="auto"/>
        <w:jc w:val="right"/>
        <w:rPr>
          <w:rFonts w:ascii="SimSun" w:hAnsi="SimSun" w:eastAsia="SimSun" w:cs="SimSun"/>
          <w:sz w:val="24"/>
          <w:szCs w:val="24"/>
        </w:rPr>
      </w:pPr>
      <w:r>
        <w:rPr>
          <w:rFonts w:ascii="SimSun" w:hAnsi="SimSun" w:eastAsia="SimSun" w:cs="SimSun"/>
          <w:sz w:val="24"/>
          <w:szCs w:val="24"/>
          <w:spacing w:val="1"/>
        </w:rPr>
        <w:t>根据《中华人民共和国环境影响评价法》（</w:t>
      </w:r>
      <w:r>
        <w:rPr>
          <w:rFonts w:ascii="Times New Roman" w:hAnsi="Times New Roman" w:eastAsia="Times New Roman" w:cs="Times New Roman"/>
          <w:sz w:val="24"/>
          <w:szCs w:val="24"/>
          <w:spacing w:val="1"/>
        </w:rPr>
        <w:t>2018 </w:t>
      </w:r>
      <w:r>
        <w:rPr>
          <w:rFonts w:ascii="SimSun" w:hAnsi="SimSun" w:eastAsia="SimSun" w:cs="SimSun"/>
          <w:sz w:val="24"/>
          <w:szCs w:val="24"/>
          <w:spacing w:val="1"/>
        </w:rPr>
        <w:t>年修订）、《建设项目环境</w:t>
      </w:r>
    </w:p>
    <w:p>
      <w:pPr>
        <w:ind w:left="10"/>
        <w:spacing w:before="185" w:line="219" w:lineRule="auto"/>
        <w:rPr>
          <w:rFonts w:ascii="SimSun" w:hAnsi="SimSun" w:eastAsia="SimSun" w:cs="SimSun"/>
          <w:sz w:val="24"/>
          <w:szCs w:val="24"/>
        </w:rPr>
      </w:pPr>
      <w:r>
        <w:rPr>
          <w:rFonts w:ascii="SimSun" w:hAnsi="SimSun" w:eastAsia="SimSun" w:cs="SimSun"/>
          <w:sz w:val="24"/>
          <w:szCs w:val="24"/>
          <w:spacing w:val="2"/>
        </w:rPr>
        <w:t>保护管理条例》（国务院令第</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682</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2"/>
        </w:rPr>
        <w:t>号）有关规定，内蒙</w:t>
      </w:r>
      <w:r>
        <w:rPr>
          <w:rFonts w:ascii="SimSun" w:hAnsi="SimSun" w:eastAsia="SimSun" w:cs="SimSun"/>
          <w:sz w:val="24"/>
          <w:szCs w:val="24"/>
          <w:spacing w:val="1"/>
        </w:rPr>
        <w:t>古源浩羊绒制品有限公司</w:t>
      </w:r>
    </w:p>
    <w:p>
      <w:pPr>
        <w:pStyle w:val="BodyText"/>
        <w:spacing w:line="263" w:lineRule="auto"/>
        <w:rPr/>
      </w:pPr>
      <w:r/>
    </w:p>
    <w:p>
      <w:pPr>
        <w:ind w:right="2"/>
        <w:spacing w:before="62" w:line="221" w:lineRule="auto"/>
        <w:jc w:val="right"/>
        <w:rPr>
          <w:rFonts w:ascii="SimSun" w:hAnsi="SimSun" w:eastAsia="SimSun" w:cs="SimSun"/>
          <w:sz w:val="19"/>
          <w:szCs w:val="19"/>
        </w:rPr>
      </w:pPr>
      <w:r>
        <w:rPr>
          <w:rFonts w:ascii="Times New Roman" w:hAnsi="Times New Roman" w:eastAsia="Times New Roman" w:cs="Times New Roman"/>
          <w:sz w:val="18"/>
          <w:szCs w:val="18"/>
          <w:spacing w:val="8"/>
          <w:position w:val="3"/>
        </w:rPr>
        <w:t>2        </w:t>
      </w:r>
      <w:r>
        <w:rPr>
          <w:rFonts w:ascii="SimSun" w:hAnsi="SimSun" w:eastAsia="SimSun" w:cs="SimSun"/>
          <w:sz w:val="19"/>
          <w:szCs w:val="19"/>
          <w:spacing w:val="8"/>
        </w:rPr>
        <w:t>锡林郭勒盟中安环境技术咨询有限责任公司</w:t>
      </w:r>
    </w:p>
    <w:p>
      <w:pPr>
        <w:spacing w:line="221" w:lineRule="auto"/>
        <w:sectPr>
          <w:headerReference w:type="default" r:id="rId12"/>
          <w:pgSz w:w="11907" w:h="16840"/>
          <w:pgMar w:top="1567" w:right="1699" w:bottom="400" w:left="1701" w:header="1221" w:footer="0" w:gutter="0"/>
        </w:sectPr>
        <w:rPr>
          <w:rFonts w:ascii="SimSun" w:hAnsi="SimSun" w:eastAsia="SimSun" w:cs="SimSun"/>
          <w:sz w:val="19"/>
          <w:szCs w:val="19"/>
        </w:rPr>
      </w:pPr>
    </w:p>
    <w:p>
      <w:pPr>
        <w:ind w:left="8"/>
        <w:spacing w:before="187" w:line="356" w:lineRule="auto"/>
        <w:rPr>
          <w:rFonts w:ascii="SimSun" w:hAnsi="SimSun" w:eastAsia="SimSun" w:cs="SimSun"/>
          <w:sz w:val="24"/>
          <w:szCs w:val="24"/>
        </w:rPr>
      </w:pPr>
      <w:r>
        <w:pict>
          <v:shape id="_x0000_s40" style="position:absolute;margin-left:85.05pt;margin-top:79.11pt;mso-position-vertical-relative:page;mso-position-horizontal-relative:page;width:425.25pt;height:0.75pt;z-index:251675648;" o:allowincell="f" fillcolor="#000000" filled="true" stroked="false" coordsize="8505,15" coordorigin="0,0" path="m,l8505,0l8505,14l0,14l0,0xe"/>
        </w:pict>
      </w:r>
      <w:r>
        <w:rPr>
          <w:rFonts w:ascii="SimSun" w:hAnsi="SimSun" w:eastAsia="SimSun" w:cs="SimSun"/>
          <w:sz w:val="24"/>
          <w:szCs w:val="24"/>
          <w:spacing w:val="3"/>
        </w:rPr>
        <w:t>废弃物高效循环利用项目需进行环境影响评价，因此</w:t>
      </w:r>
      <w:r>
        <w:rPr>
          <w:rFonts w:ascii="SimSun" w:hAnsi="SimSun" w:eastAsia="SimSun" w:cs="SimSun"/>
          <w:sz w:val="24"/>
          <w:szCs w:val="24"/>
          <w:spacing w:val="2"/>
        </w:rPr>
        <w:t>内蒙古源浩羊绒制品有限公</w:t>
      </w:r>
      <w:r>
        <w:rPr>
          <w:rFonts w:ascii="SimSun" w:hAnsi="SimSun" w:eastAsia="SimSun" w:cs="SimSun"/>
          <w:sz w:val="24"/>
          <w:szCs w:val="24"/>
        </w:rPr>
        <w:t xml:space="preserve">   </w:t>
      </w:r>
      <w:r>
        <w:rPr>
          <w:rFonts w:ascii="SimSun" w:hAnsi="SimSun" w:eastAsia="SimSun" w:cs="SimSun"/>
          <w:sz w:val="24"/>
          <w:szCs w:val="24"/>
          <w:spacing w:val="3"/>
        </w:rPr>
        <w:t>司委托锡林郭勒盟中安环境技术咨询有限责任公司承</w:t>
      </w:r>
      <w:r>
        <w:rPr>
          <w:rFonts w:ascii="SimSun" w:hAnsi="SimSun" w:eastAsia="SimSun" w:cs="SimSun"/>
          <w:sz w:val="24"/>
          <w:szCs w:val="24"/>
          <w:spacing w:val="2"/>
        </w:rPr>
        <w:t>担本项目的环境影响评价工</w:t>
      </w:r>
      <w:r>
        <w:rPr>
          <w:rFonts w:ascii="SimSun" w:hAnsi="SimSun" w:eastAsia="SimSun" w:cs="SimSun"/>
          <w:sz w:val="24"/>
          <w:szCs w:val="24"/>
        </w:rPr>
        <w:t xml:space="preserve">   </w:t>
      </w:r>
      <w:r>
        <w:rPr>
          <w:rFonts w:ascii="SimSun" w:hAnsi="SimSun" w:eastAsia="SimSun" w:cs="SimSun"/>
          <w:sz w:val="24"/>
          <w:szCs w:val="24"/>
          <w:spacing w:val="1"/>
        </w:rPr>
        <w:t>作。根据《建设项目环境影响评价分类管理名录（</w:t>
      </w:r>
      <w:r>
        <w:rPr>
          <w:rFonts w:ascii="Times New Roman" w:hAnsi="Times New Roman" w:eastAsia="Times New Roman" w:cs="Times New Roman"/>
          <w:sz w:val="24"/>
          <w:szCs w:val="24"/>
          <w:spacing w:val="1"/>
        </w:rPr>
        <w:t>2021 </w:t>
      </w:r>
      <w:r>
        <w:rPr>
          <w:rFonts w:ascii="SimSun" w:hAnsi="SimSun" w:eastAsia="SimSun" w:cs="SimSun"/>
          <w:sz w:val="24"/>
          <w:szCs w:val="24"/>
          <w:spacing w:val="1"/>
        </w:rPr>
        <w:t>年版）》，本</w:t>
      </w:r>
      <w:r>
        <w:rPr>
          <w:rFonts w:ascii="SimSun" w:hAnsi="SimSun" w:eastAsia="SimSun" w:cs="SimSun"/>
          <w:sz w:val="24"/>
          <w:szCs w:val="24"/>
        </w:rPr>
        <w:t>项目洗毛及   </w:t>
      </w:r>
      <w:r>
        <w:rPr>
          <w:rFonts w:ascii="SimSun" w:hAnsi="SimSun" w:eastAsia="SimSun" w:cs="SimSun"/>
          <w:sz w:val="24"/>
          <w:szCs w:val="24"/>
          <w:spacing w:val="-2"/>
        </w:rPr>
        <w:t>梳绒生产线属于“十四、纺织业</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2"/>
        </w:rPr>
        <w:t>17</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28 </w:t>
      </w:r>
      <w:r>
        <w:rPr>
          <w:rFonts w:ascii="SimSun" w:hAnsi="SimSun" w:eastAsia="SimSun" w:cs="SimSun"/>
          <w:sz w:val="24"/>
          <w:szCs w:val="24"/>
          <w:spacing w:val="-2"/>
        </w:rPr>
        <w:t>棉纺织及印染精加工</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171</w:t>
      </w:r>
      <w:r>
        <w:rPr>
          <w:rFonts w:ascii="SimSun" w:hAnsi="SimSun" w:eastAsia="SimSun" w:cs="SimSun"/>
          <w:sz w:val="24"/>
          <w:szCs w:val="24"/>
          <w:spacing w:val="-2"/>
        </w:rPr>
        <w:t>；</w:t>
      </w:r>
      <w:r>
        <w:rPr>
          <w:rFonts w:ascii="SimSun" w:hAnsi="SimSun" w:eastAsia="SimSun" w:cs="SimSun"/>
          <w:sz w:val="24"/>
          <w:szCs w:val="24"/>
          <w:b/>
          <w:bCs/>
          <w:spacing w:val="-2"/>
        </w:rPr>
        <w:t>毛纺织及染整</w:t>
      </w:r>
      <w:r>
        <w:rPr>
          <w:rFonts w:ascii="SimSun" w:hAnsi="SimSun" w:eastAsia="SimSun" w:cs="SimSun"/>
          <w:sz w:val="24"/>
          <w:szCs w:val="24"/>
        </w:rPr>
        <w:t xml:space="preserve">   </w:t>
      </w:r>
      <w:r>
        <w:rPr>
          <w:rFonts w:ascii="SimSun" w:hAnsi="SimSun" w:eastAsia="SimSun" w:cs="SimSun"/>
          <w:sz w:val="24"/>
          <w:szCs w:val="24"/>
          <w:b/>
          <w:bCs/>
          <w:spacing w:val="-1"/>
        </w:rPr>
        <w:t>精加工</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1"/>
        </w:rPr>
        <w:t>172</w:t>
      </w:r>
      <w:r>
        <w:rPr>
          <w:rFonts w:ascii="SimSun" w:hAnsi="SimSun" w:eastAsia="SimSun" w:cs="SimSun"/>
          <w:sz w:val="24"/>
          <w:szCs w:val="24"/>
          <w:spacing w:val="-1"/>
        </w:rPr>
        <w:t>；麻纺织及染整精加工</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1"/>
        </w:rPr>
        <w:t>173</w:t>
      </w:r>
      <w:r>
        <w:rPr>
          <w:rFonts w:ascii="SimSun" w:hAnsi="SimSun" w:eastAsia="SimSun" w:cs="SimSun"/>
          <w:sz w:val="24"/>
          <w:szCs w:val="24"/>
          <w:spacing w:val="-1"/>
        </w:rPr>
        <w:t>；丝绢纺织及印染精加工</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17</w:t>
      </w:r>
      <w:r>
        <w:rPr>
          <w:rFonts w:ascii="Times New Roman" w:hAnsi="Times New Roman" w:eastAsia="Times New Roman" w:cs="Times New Roman"/>
          <w:sz w:val="24"/>
          <w:szCs w:val="24"/>
          <w:spacing w:val="-2"/>
        </w:rPr>
        <w:t>4</w:t>
      </w:r>
      <w:r>
        <w:rPr>
          <w:rFonts w:ascii="SimSun" w:hAnsi="SimSun" w:eastAsia="SimSun" w:cs="SimSun"/>
          <w:sz w:val="24"/>
          <w:szCs w:val="24"/>
          <w:spacing w:val="-2"/>
        </w:rPr>
        <w:t>；化纤织造及</w:t>
      </w:r>
      <w:r>
        <w:rPr>
          <w:rFonts w:ascii="SimSun" w:hAnsi="SimSun" w:eastAsia="SimSun" w:cs="SimSun"/>
          <w:sz w:val="24"/>
          <w:szCs w:val="24"/>
        </w:rPr>
        <w:t xml:space="preserve">   </w:t>
      </w:r>
      <w:r>
        <w:rPr>
          <w:rFonts w:ascii="SimSun" w:hAnsi="SimSun" w:eastAsia="SimSun" w:cs="SimSun"/>
          <w:sz w:val="24"/>
          <w:szCs w:val="24"/>
          <w:spacing w:val="-4"/>
        </w:rPr>
        <w:t>印染精加工</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175</w:t>
      </w:r>
      <w:r>
        <w:rPr>
          <w:rFonts w:ascii="SimSun" w:hAnsi="SimSun" w:eastAsia="SimSun" w:cs="SimSun"/>
          <w:sz w:val="24"/>
          <w:szCs w:val="24"/>
          <w:spacing w:val="-4"/>
        </w:rPr>
        <w:t>；针织或钩针编织物及其制品制造</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176</w:t>
      </w:r>
      <w:r>
        <w:rPr>
          <w:rFonts w:ascii="SimSun" w:hAnsi="SimSun" w:eastAsia="SimSun" w:cs="SimSun"/>
          <w:sz w:val="24"/>
          <w:szCs w:val="24"/>
          <w:spacing w:val="-4"/>
        </w:rPr>
        <w:t>；家用</w:t>
      </w:r>
      <w:r>
        <w:rPr>
          <w:rFonts w:ascii="SimSun" w:hAnsi="SimSun" w:eastAsia="SimSun" w:cs="SimSun"/>
          <w:sz w:val="24"/>
          <w:szCs w:val="24"/>
          <w:spacing w:val="-5"/>
        </w:rPr>
        <w:t>纺织制成品制造</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177</w:t>
      </w:r>
      <w:r>
        <w:rPr>
          <w:rFonts w:ascii="SimSun" w:hAnsi="SimSun" w:eastAsia="SimSun" w:cs="SimSun"/>
          <w:sz w:val="24"/>
          <w:szCs w:val="24"/>
          <w:spacing w:val="-5"/>
        </w:rPr>
        <w:t>；</w:t>
      </w:r>
      <w:r>
        <w:rPr>
          <w:rFonts w:ascii="SimSun" w:hAnsi="SimSun" w:eastAsia="SimSun" w:cs="SimSun"/>
          <w:sz w:val="24"/>
          <w:szCs w:val="24"/>
        </w:rPr>
        <w:t xml:space="preserve">  </w:t>
      </w:r>
      <w:r>
        <w:rPr>
          <w:rFonts w:ascii="SimSun" w:hAnsi="SimSun" w:eastAsia="SimSun" w:cs="SimSun"/>
          <w:sz w:val="24"/>
          <w:szCs w:val="24"/>
          <w:spacing w:val="-4"/>
        </w:rPr>
        <w:t>产业用纺织制成品制造</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178</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w:t>
      </w:r>
      <w:r>
        <w:rPr>
          <w:rFonts w:ascii="SimSun" w:hAnsi="SimSun" w:eastAsia="SimSun" w:cs="SimSun"/>
          <w:sz w:val="24"/>
          <w:szCs w:val="24"/>
          <w:b/>
          <w:bCs/>
          <w:spacing w:val="-4"/>
        </w:rPr>
        <w:t>有洗毛</w:t>
      </w:r>
      <w:r>
        <w:rPr>
          <w:rFonts w:ascii="SimSun" w:hAnsi="SimSun" w:eastAsia="SimSun" w:cs="SimSun"/>
          <w:sz w:val="24"/>
          <w:szCs w:val="24"/>
          <w:spacing w:val="-4"/>
        </w:rPr>
        <w:t>、脱胶、缫丝工艺的；染整工艺有前处</w:t>
      </w:r>
      <w:r>
        <w:rPr>
          <w:rFonts w:ascii="SimSun" w:hAnsi="SimSun" w:eastAsia="SimSun" w:cs="SimSun"/>
          <w:sz w:val="24"/>
          <w:szCs w:val="24"/>
          <w:spacing w:val="-5"/>
        </w:rPr>
        <w:t>理、染</w:t>
      </w:r>
      <w:r>
        <w:rPr>
          <w:rFonts w:ascii="SimSun" w:hAnsi="SimSun" w:eastAsia="SimSun" w:cs="SimSun"/>
          <w:sz w:val="24"/>
          <w:szCs w:val="24"/>
        </w:rPr>
        <w:t xml:space="preserve">   </w:t>
      </w:r>
      <w:r>
        <w:rPr>
          <w:rFonts w:ascii="SimSun" w:hAnsi="SimSun" w:eastAsia="SimSun" w:cs="SimSun"/>
          <w:sz w:val="24"/>
          <w:szCs w:val="24"/>
          <w:spacing w:val="-2"/>
        </w:rPr>
        <w:t>色、印花（喷墨印花和数 码印花的除外）工序的；有使用有机溶剂的涂层工艺的</w:t>
      </w:r>
      <w:r>
        <w:rPr>
          <w:rFonts w:ascii="SimSun" w:hAnsi="SimSun" w:eastAsia="SimSun" w:cs="SimSun"/>
          <w:sz w:val="24"/>
          <w:szCs w:val="24"/>
          <w:spacing w:val="-78"/>
        </w:rPr>
        <w:t xml:space="preserve"> </w:t>
      </w:r>
      <w:r>
        <w:rPr>
          <w:rFonts w:ascii="SimSun" w:hAnsi="SimSun" w:eastAsia="SimSun" w:cs="SimSun"/>
          <w:sz w:val="24"/>
          <w:szCs w:val="24"/>
          <w:spacing w:val="-2"/>
        </w:rPr>
        <w:t>”</w:t>
      </w:r>
      <w:r>
        <w:rPr>
          <w:rFonts w:ascii="SimSun" w:hAnsi="SimSun" w:eastAsia="SimSun" w:cs="SimSun"/>
          <w:sz w:val="24"/>
          <w:szCs w:val="24"/>
        </w:rPr>
        <w:t xml:space="preserve"> </w:t>
      </w:r>
      <w:r>
        <w:rPr>
          <w:rFonts w:ascii="SimSun" w:hAnsi="SimSun" w:eastAsia="SimSun" w:cs="SimSun"/>
          <w:sz w:val="24"/>
          <w:szCs w:val="24"/>
          <w:spacing w:val="-1"/>
        </w:rPr>
        <w:t>需编制报告书的类别。因此，本项目需编制环境影响报告书。</w:t>
      </w:r>
    </w:p>
    <w:p>
      <w:pPr>
        <w:ind w:firstLine="667"/>
        <w:spacing w:line="8618" w:lineRule="exact"/>
        <w:rPr/>
      </w:pPr>
      <w:r>
        <w:rPr>
          <w:position w:val="-172"/>
        </w:rPr>
        <w:drawing>
          <wp:inline distT="0" distB="0" distL="0" distR="0">
            <wp:extent cx="4552188" cy="5472683"/>
            <wp:effectExtent l="0" t="0" r="0" b="0"/>
            <wp:docPr id="4" name="IM 4"/>
            <wp:cNvGraphicFramePr/>
            <a:graphic>
              <a:graphicData uri="http://schemas.openxmlformats.org/drawingml/2006/picture">
                <pic:pic>
                  <pic:nvPicPr>
                    <pic:cNvPr id="4" name="IM 4"/>
                    <pic:cNvPicPr/>
                  </pic:nvPicPr>
                  <pic:blipFill>
                    <a:blip r:embed="rId15"/>
                    <a:stretch>
                      <a:fillRect/>
                    </a:stretch>
                  </pic:blipFill>
                  <pic:spPr>
                    <a:xfrm rot="0">
                      <a:off x="0" y="0"/>
                      <a:ext cx="4552188" cy="5472683"/>
                    </a:xfrm>
                    <a:prstGeom prst="rect">
                      <a:avLst/>
                    </a:prstGeom>
                  </pic:spPr>
                </pic:pic>
              </a:graphicData>
            </a:graphic>
          </wp:inline>
        </w:drawing>
      </w:r>
    </w:p>
    <w:p>
      <w:pPr>
        <w:ind w:left="1838"/>
        <w:spacing w:before="195" w:line="218"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36"/>
        </w:rPr>
        <w:t xml:space="preserve"> </w:t>
      </w:r>
      <w:r>
        <w:rPr>
          <w:rFonts w:ascii="Times New Roman" w:hAnsi="Times New Roman" w:eastAsia="Times New Roman" w:cs="Times New Roman"/>
          <w:sz w:val="24"/>
          <w:szCs w:val="24"/>
          <w:b/>
          <w:bCs/>
          <w:spacing w:val="-3"/>
        </w:rPr>
        <w:t>1.3-1        </w:t>
      </w:r>
      <w:r>
        <w:rPr>
          <w:rFonts w:ascii="SimSun" w:hAnsi="SimSun" w:eastAsia="SimSun" w:cs="SimSun"/>
          <w:sz w:val="24"/>
          <w:szCs w:val="24"/>
          <w:b/>
          <w:bCs/>
          <w:spacing w:val="-3"/>
        </w:rPr>
        <w:t>建设项目环境影响评价工作程序图</w:t>
      </w:r>
    </w:p>
    <w:p>
      <w:pPr>
        <w:spacing w:line="218" w:lineRule="auto"/>
        <w:sectPr>
          <w:headerReference w:type="default" r:id="rId13"/>
          <w:footerReference w:type="default" r:id="rId14"/>
          <w:pgSz w:w="11907" w:h="16840"/>
          <w:pgMar w:top="1567" w:right="1467" w:bottom="1481" w:left="1701" w:header="1221" w:footer="1247" w:gutter="0"/>
        </w:sectPr>
        <w:rPr>
          <w:rFonts w:ascii="SimSun" w:hAnsi="SimSun" w:eastAsia="SimSun" w:cs="SimSun"/>
          <w:sz w:val="24"/>
          <w:szCs w:val="24"/>
        </w:rPr>
      </w:pPr>
    </w:p>
    <w:p>
      <w:pPr>
        <w:ind w:left="10" w:right="59" w:firstLine="478"/>
        <w:spacing w:before="184" w:line="359" w:lineRule="auto"/>
        <w:jc w:val="both"/>
        <w:rPr>
          <w:rFonts w:ascii="SimSun" w:hAnsi="SimSun" w:eastAsia="SimSun" w:cs="SimSun"/>
          <w:sz w:val="24"/>
          <w:szCs w:val="24"/>
        </w:rPr>
      </w:pPr>
      <w:r>
        <w:pict>
          <v:shape id="_x0000_s44" style="position:absolute;margin-left:85.05pt;margin-top:78.87pt;mso-position-vertical-relative:page;mso-position-horizontal-relative:page;width:425.25pt;height:0.75pt;z-index:251678720;" o:allowincell="f" fillcolor="#000000" filled="true" stroked="false" coordsize="8505,15" coordorigin="0,0" path="m,l8505,0l8505,14l0,14l0,0xe"/>
        </w:pict>
      </w:r>
      <w:r>
        <w:rPr>
          <w:rFonts w:ascii="SimSun" w:hAnsi="SimSun" w:eastAsia="SimSun" w:cs="SimSun"/>
          <w:sz w:val="24"/>
          <w:szCs w:val="24"/>
          <w:spacing w:val="3"/>
        </w:rPr>
        <w:t>在接受委托后，锡林郭勒盟中安环境技术咨询有限责任公司环</w:t>
      </w:r>
      <w:r>
        <w:rPr>
          <w:rFonts w:ascii="SimSun" w:hAnsi="SimSun" w:eastAsia="SimSun" w:cs="SimSun"/>
          <w:sz w:val="24"/>
          <w:szCs w:val="24"/>
          <w:spacing w:val="2"/>
        </w:rPr>
        <w:t>境影响评价技</w:t>
      </w:r>
      <w:r>
        <w:rPr>
          <w:rFonts w:ascii="SimSun" w:hAnsi="SimSun" w:eastAsia="SimSun" w:cs="SimSun"/>
          <w:sz w:val="24"/>
          <w:szCs w:val="24"/>
        </w:rPr>
        <w:t xml:space="preserve"> </w:t>
      </w:r>
      <w:r>
        <w:rPr>
          <w:rFonts w:ascii="SimSun" w:hAnsi="SimSun" w:eastAsia="SimSun" w:cs="SimSun"/>
          <w:sz w:val="24"/>
          <w:szCs w:val="24"/>
          <w:spacing w:val="3"/>
        </w:rPr>
        <w:t>术人员严格按照国家的有关法规，内蒙古自治区、锡林</w:t>
      </w:r>
      <w:r>
        <w:rPr>
          <w:rFonts w:ascii="SimSun" w:hAnsi="SimSun" w:eastAsia="SimSun" w:cs="SimSun"/>
          <w:sz w:val="24"/>
          <w:szCs w:val="24"/>
          <w:spacing w:val="2"/>
        </w:rPr>
        <w:t>郭勒盟及正镶白旗生态环</w:t>
      </w:r>
      <w:r>
        <w:rPr>
          <w:rFonts w:ascii="SimSun" w:hAnsi="SimSun" w:eastAsia="SimSun" w:cs="SimSun"/>
          <w:sz w:val="24"/>
          <w:szCs w:val="24"/>
        </w:rPr>
        <w:t xml:space="preserve"> </w:t>
      </w:r>
      <w:r>
        <w:rPr>
          <w:rFonts w:ascii="SimSun" w:hAnsi="SimSun" w:eastAsia="SimSun" w:cs="SimSun"/>
          <w:sz w:val="24"/>
          <w:szCs w:val="24"/>
          <w:spacing w:val="3"/>
        </w:rPr>
        <w:t>境部门的相关要求，认真研究该项目的有关文件</w:t>
      </w:r>
      <w:r>
        <w:rPr>
          <w:rFonts w:ascii="SimSun" w:hAnsi="SimSun" w:eastAsia="SimSun" w:cs="SimSun"/>
          <w:sz w:val="24"/>
          <w:szCs w:val="24"/>
          <w:spacing w:val="2"/>
        </w:rPr>
        <w:t>，并进行实地踏勘和调研，收集</w:t>
      </w:r>
      <w:r>
        <w:rPr>
          <w:rFonts w:ascii="SimSun" w:hAnsi="SimSun" w:eastAsia="SimSun" w:cs="SimSun"/>
          <w:sz w:val="24"/>
          <w:szCs w:val="24"/>
        </w:rPr>
        <w:t xml:space="preserve"> </w:t>
      </w:r>
      <w:r>
        <w:rPr>
          <w:rFonts w:ascii="SimSun" w:hAnsi="SimSun" w:eastAsia="SimSun" w:cs="SimSun"/>
          <w:sz w:val="24"/>
          <w:szCs w:val="24"/>
          <w:spacing w:val="3"/>
        </w:rPr>
        <w:t>和核实了有关材料，根据有关工程资料，在现场调查、</w:t>
      </w:r>
      <w:r>
        <w:rPr>
          <w:rFonts w:ascii="SimSun" w:hAnsi="SimSun" w:eastAsia="SimSun" w:cs="SimSun"/>
          <w:sz w:val="24"/>
          <w:szCs w:val="24"/>
          <w:spacing w:val="2"/>
        </w:rPr>
        <w:t>预测计算分析等环节工作</w:t>
      </w:r>
      <w:r>
        <w:rPr>
          <w:rFonts w:ascii="SimSun" w:hAnsi="SimSun" w:eastAsia="SimSun" w:cs="SimSun"/>
          <w:sz w:val="24"/>
          <w:szCs w:val="24"/>
        </w:rPr>
        <w:t xml:space="preserve"> </w:t>
      </w:r>
      <w:r>
        <w:rPr>
          <w:rFonts w:ascii="SimSun" w:hAnsi="SimSun" w:eastAsia="SimSun" w:cs="SimSun"/>
          <w:sz w:val="24"/>
          <w:szCs w:val="24"/>
          <w:spacing w:val="-1"/>
        </w:rPr>
        <w:t>的基础上，编制完成了本报告书。</w:t>
      </w:r>
    </w:p>
    <w:p>
      <w:pPr>
        <w:ind w:left="35"/>
        <w:spacing w:before="163" w:line="222" w:lineRule="auto"/>
        <w:outlineLvl w:val="1"/>
        <w:rPr>
          <w:rFonts w:ascii="SimHei" w:hAnsi="SimHei" w:eastAsia="SimHei" w:cs="SimHei"/>
          <w:sz w:val="30"/>
          <w:szCs w:val="30"/>
        </w:rPr>
      </w:pPr>
      <w:bookmarkStart w:name="bookmark5" w:id="6"/>
      <w:bookmarkEnd w:id="6"/>
      <w:r>
        <w:rPr>
          <w:rFonts w:ascii="Times New Roman" w:hAnsi="Times New Roman" w:eastAsia="Times New Roman" w:cs="Times New Roman"/>
          <w:sz w:val="30"/>
          <w:szCs w:val="30"/>
          <w:spacing w:val="-4"/>
        </w:rPr>
        <w:t>1.4 </w:t>
      </w:r>
      <w:r>
        <w:rPr>
          <w:rFonts w:ascii="SimHei" w:hAnsi="SimHei" w:eastAsia="SimHei" w:cs="SimHei"/>
          <w:sz w:val="30"/>
          <w:szCs w:val="30"/>
          <w:spacing w:val="-4"/>
        </w:rPr>
        <w:t>分析判定相关情况</w:t>
      </w:r>
    </w:p>
    <w:p>
      <w:pPr>
        <w:pStyle w:val="BodyText"/>
        <w:spacing w:line="282" w:lineRule="auto"/>
        <w:rPr/>
      </w:pPr>
      <w:r/>
    </w:p>
    <w:p>
      <w:pPr>
        <w:ind w:left="33"/>
        <w:spacing w:before="91" w:line="222" w:lineRule="auto"/>
        <w:outlineLvl w:val="2"/>
        <w:rPr>
          <w:rFonts w:ascii="SimHei" w:hAnsi="SimHei" w:eastAsia="SimHei" w:cs="SimHei"/>
          <w:sz w:val="28"/>
          <w:szCs w:val="28"/>
        </w:rPr>
      </w:pPr>
      <w:bookmarkStart w:name="bookmark6" w:id="7"/>
      <w:bookmarkEnd w:id="7"/>
      <w:r>
        <w:rPr>
          <w:rFonts w:ascii="Times New Roman" w:hAnsi="Times New Roman" w:eastAsia="Times New Roman" w:cs="Times New Roman"/>
          <w:sz w:val="28"/>
          <w:szCs w:val="28"/>
          <w:spacing w:val="-3"/>
        </w:rPr>
        <w:t>1.4.1 </w:t>
      </w:r>
      <w:r>
        <w:rPr>
          <w:rFonts w:ascii="SimHei" w:hAnsi="SimHei" w:eastAsia="SimHei" w:cs="SimHei"/>
          <w:sz w:val="28"/>
          <w:szCs w:val="28"/>
          <w:spacing w:val="-3"/>
        </w:rPr>
        <w:t>产业政策符合性</w:t>
      </w:r>
    </w:p>
    <w:p>
      <w:pPr>
        <w:pStyle w:val="BodyText"/>
        <w:spacing w:line="280" w:lineRule="auto"/>
        <w:rPr/>
      </w:pPr>
      <w:r/>
    </w:p>
    <w:p>
      <w:pPr>
        <w:ind w:left="5" w:firstLine="484"/>
        <w:spacing w:before="78" w:line="359" w:lineRule="auto"/>
        <w:jc w:val="both"/>
        <w:rPr>
          <w:rFonts w:ascii="SimSun" w:hAnsi="SimSun" w:eastAsia="SimSun" w:cs="SimSun"/>
          <w:sz w:val="24"/>
          <w:szCs w:val="24"/>
        </w:rPr>
      </w:pPr>
      <w:r>
        <w:rPr>
          <w:rFonts w:ascii="SimSun" w:hAnsi="SimSun" w:eastAsia="SimSun" w:cs="SimSun"/>
          <w:sz w:val="24"/>
          <w:szCs w:val="24"/>
          <w:spacing w:val="1"/>
        </w:rPr>
        <w:t>根据《产业结构调整指导目录（</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年本）》，本项目洗毛生产线</w:t>
      </w:r>
      <w:r>
        <w:rPr>
          <w:rFonts w:ascii="SimSun" w:hAnsi="SimSun" w:eastAsia="SimSun" w:cs="SimSun"/>
          <w:sz w:val="24"/>
          <w:szCs w:val="24"/>
        </w:rPr>
        <w:t>洗槽水逆 </w:t>
      </w:r>
      <w:r>
        <w:rPr>
          <w:rFonts w:ascii="SimSun" w:hAnsi="SimSun" w:eastAsia="SimSun" w:cs="SimSun"/>
          <w:sz w:val="24"/>
          <w:szCs w:val="24"/>
          <w:spacing w:val="4"/>
        </w:rPr>
        <w:t>流补水，底部安装循环水自动排污装置，新水用量</w:t>
      </w:r>
      <w:r>
        <w:rPr>
          <w:rFonts w:ascii="SimSun" w:hAnsi="SimSun" w:eastAsia="SimSun" w:cs="SimSun"/>
          <w:sz w:val="24"/>
          <w:szCs w:val="24"/>
          <w:spacing w:val="3"/>
        </w:rPr>
        <w:t>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2.75m</w:t>
      </w:r>
      <w:r>
        <w:rPr>
          <w:rFonts w:ascii="Times New Roman" w:hAnsi="Times New Roman" w:eastAsia="Times New Roman" w:cs="Times New Roman"/>
          <w:sz w:val="15"/>
          <w:szCs w:val="15"/>
          <w:spacing w:val="3"/>
          <w:position w:val="8"/>
        </w:rPr>
        <w:t>3</w:t>
      </w:r>
      <w:r>
        <w:rPr>
          <w:rFonts w:ascii="Times New Roman" w:hAnsi="Times New Roman" w:eastAsia="Times New Roman" w:cs="Times New Roman"/>
          <w:sz w:val="24"/>
          <w:szCs w:val="24"/>
          <w:spacing w:val="3"/>
        </w:rPr>
        <w:t>/t-</w:t>
      </w:r>
      <w:r>
        <w:rPr>
          <w:rFonts w:ascii="SimSun" w:hAnsi="SimSun" w:eastAsia="SimSun" w:cs="SimSun"/>
          <w:sz w:val="24"/>
          <w:szCs w:val="24"/>
          <w:spacing w:val="3"/>
        </w:rPr>
        <w:t>洗净毛（</w:t>
      </w:r>
      <w:r>
        <w:rPr>
          <w:rFonts w:ascii="Times New Roman" w:hAnsi="Times New Roman" w:eastAsia="Times New Roman" w:cs="Times New Roman"/>
          <w:sz w:val="24"/>
          <w:szCs w:val="24"/>
          <w:spacing w:val="3"/>
        </w:rPr>
        <w:t>1.65m</w:t>
      </w:r>
      <w:r>
        <w:rPr>
          <w:rFonts w:ascii="Times New Roman" w:hAnsi="Times New Roman" w:eastAsia="Times New Roman" w:cs="Times New Roman"/>
          <w:sz w:val="15"/>
          <w:szCs w:val="15"/>
          <w:spacing w:val="3"/>
          <w:position w:val="8"/>
        </w:rPr>
        <w:t>3</w:t>
      </w:r>
      <w:r>
        <w:rPr>
          <w:rFonts w:ascii="Times New Roman" w:hAnsi="Times New Roman" w:eastAsia="Times New Roman" w:cs="Times New Roman"/>
          <w:sz w:val="24"/>
          <w:szCs w:val="24"/>
          <w:spacing w:val="3"/>
        </w:rPr>
        <w:t>/t-</w:t>
      </w:r>
      <w:r>
        <w:rPr>
          <w:rFonts w:ascii="Times New Roman" w:hAnsi="Times New Roman" w:eastAsia="Times New Roman" w:cs="Times New Roman"/>
          <w:sz w:val="24"/>
          <w:szCs w:val="24"/>
        </w:rPr>
        <w:t xml:space="preserve">  </w:t>
      </w:r>
      <w:r>
        <w:rPr>
          <w:rFonts w:ascii="SimSun" w:hAnsi="SimSun" w:eastAsia="SimSun" w:cs="SimSun"/>
          <w:sz w:val="24"/>
          <w:szCs w:val="24"/>
          <w:spacing w:val="-2"/>
        </w:rPr>
        <w:t>原毛</w:t>
      </w:r>
      <w:r>
        <w:rPr>
          <w:rFonts w:ascii="SimSun" w:hAnsi="SimSun" w:eastAsia="SimSun" w:cs="SimSun"/>
          <w:sz w:val="24"/>
          <w:szCs w:val="24"/>
          <w:spacing w:val="10"/>
        </w:rPr>
        <w:t>），</w:t>
      </w:r>
      <w:r>
        <w:rPr>
          <w:rFonts w:ascii="SimSun" w:hAnsi="SimSun" w:eastAsia="SimSun" w:cs="SimSun"/>
          <w:sz w:val="24"/>
          <w:szCs w:val="24"/>
          <w:spacing w:val="-2"/>
        </w:rPr>
        <w:t>不属于目录中“第二类 限制类，十三、纺织，</w:t>
      </w:r>
      <w:r>
        <w:rPr>
          <w:rFonts w:ascii="Times New Roman" w:hAnsi="Times New Roman" w:eastAsia="Times New Roman" w:cs="Times New Roman"/>
          <w:sz w:val="24"/>
          <w:szCs w:val="24"/>
          <w:spacing w:val="-2"/>
        </w:rPr>
        <w:t>14</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、吨原毛洗毛用水超过</w:t>
      </w:r>
      <w:r>
        <w:rPr>
          <w:rFonts w:ascii="SimSun" w:hAnsi="SimSun" w:eastAsia="SimSun" w:cs="SimSun"/>
          <w:sz w:val="24"/>
          <w:szCs w:val="24"/>
        </w:rPr>
        <w:t xml:space="preserve"> </w:t>
      </w:r>
      <w:r>
        <w:rPr>
          <w:rFonts w:ascii="Times New Roman" w:hAnsi="Times New Roman" w:eastAsia="Times New Roman" w:cs="Times New Roman"/>
          <w:sz w:val="24"/>
          <w:szCs w:val="24"/>
        </w:rPr>
        <w:t>20</w:t>
      </w:r>
      <w:r>
        <w:rPr>
          <w:rFonts w:ascii="Times New Roman" w:hAnsi="Times New Roman" w:eastAsia="Times New Roman" w:cs="Times New Roman"/>
          <w:sz w:val="24"/>
          <w:szCs w:val="24"/>
          <w:spacing w:val="21"/>
        </w:rPr>
        <w:t xml:space="preserve"> </w:t>
      </w:r>
      <w:r>
        <w:rPr>
          <w:rFonts w:ascii="SimSun" w:hAnsi="SimSun" w:eastAsia="SimSun" w:cs="SimSun"/>
          <w:sz w:val="24"/>
          <w:szCs w:val="24"/>
        </w:rPr>
        <w:t>吨的洗毛工艺与设备</w:t>
      </w:r>
      <w:r>
        <w:rPr>
          <w:rFonts w:ascii="SimSun" w:hAnsi="SimSun" w:eastAsia="SimSun" w:cs="SimSun"/>
          <w:sz w:val="24"/>
          <w:szCs w:val="24"/>
          <w:spacing w:val="-86"/>
        </w:rPr>
        <w:t xml:space="preserve"> </w:t>
      </w:r>
      <w:r>
        <w:rPr>
          <w:rFonts w:ascii="SimSun" w:hAnsi="SimSun" w:eastAsia="SimSun" w:cs="SimSun"/>
          <w:sz w:val="24"/>
          <w:szCs w:val="24"/>
        </w:rPr>
        <w:t>”和淘汰类，属于允</w:t>
      </w:r>
      <w:r>
        <w:rPr>
          <w:rFonts w:ascii="SimSun" w:hAnsi="SimSun" w:eastAsia="SimSun" w:cs="SimSun"/>
          <w:sz w:val="24"/>
          <w:szCs w:val="24"/>
          <w:spacing w:val="-1"/>
        </w:rPr>
        <w:t>许类；梳绒生产线及燃气锅炉建设不</w:t>
      </w:r>
      <w:r>
        <w:rPr>
          <w:rFonts w:ascii="SimSun" w:hAnsi="SimSun" w:eastAsia="SimSun" w:cs="SimSun"/>
          <w:sz w:val="24"/>
          <w:szCs w:val="24"/>
        </w:rPr>
        <w:t xml:space="preserve"> </w:t>
      </w:r>
      <w:r>
        <w:rPr>
          <w:rFonts w:ascii="SimSun" w:hAnsi="SimSun" w:eastAsia="SimSun" w:cs="SimSun"/>
          <w:sz w:val="24"/>
          <w:szCs w:val="24"/>
          <w:spacing w:val="-5"/>
        </w:rPr>
        <w:t>属于目录中的限制类和淘汰类，属于允许类；</w:t>
      </w:r>
      <w:r>
        <w:rPr>
          <w:rFonts w:ascii="SimSun" w:hAnsi="SimSun" w:eastAsia="SimSun" w:cs="SimSun"/>
          <w:sz w:val="24"/>
          <w:szCs w:val="24"/>
          <w:spacing w:val="-6"/>
        </w:rPr>
        <w:t>厌氧发酵装置属于“第一类 鼓励类，</w:t>
      </w:r>
      <w:r>
        <w:rPr>
          <w:rFonts w:ascii="SimSun" w:hAnsi="SimSun" w:eastAsia="SimSun" w:cs="SimSun"/>
          <w:sz w:val="24"/>
          <w:szCs w:val="24"/>
        </w:rPr>
        <w:t xml:space="preserve"> </w:t>
      </w:r>
      <w:r>
        <w:rPr>
          <w:rFonts w:ascii="SimSun" w:hAnsi="SimSun" w:eastAsia="SimSun" w:cs="SimSun"/>
          <w:sz w:val="24"/>
          <w:szCs w:val="24"/>
          <w:spacing w:val="-1"/>
        </w:rPr>
        <w:t>一、农林牧渔业，</w:t>
      </w:r>
      <w:r>
        <w:rPr>
          <w:rFonts w:ascii="Times New Roman" w:hAnsi="Times New Roman" w:eastAsia="Times New Roman" w:cs="Times New Roman"/>
          <w:sz w:val="24"/>
          <w:szCs w:val="24"/>
          <w:spacing w:val="-1"/>
        </w:rPr>
        <w:t>13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、绿色农业</w:t>
      </w:r>
      <w:r>
        <w:rPr>
          <w:rFonts w:ascii="Times New Roman" w:hAnsi="Times New Roman" w:eastAsia="Times New Roman" w:cs="Times New Roman"/>
          <w:sz w:val="24"/>
          <w:szCs w:val="24"/>
          <w:spacing w:val="-1"/>
        </w:rPr>
        <w:t>......</w:t>
      </w:r>
      <w:r>
        <w:rPr>
          <w:rFonts w:ascii="SimSun" w:hAnsi="SimSun" w:eastAsia="SimSun" w:cs="SimSun"/>
          <w:sz w:val="24"/>
          <w:szCs w:val="24"/>
          <w:spacing w:val="-1"/>
        </w:rPr>
        <w:t>有机废弃物无害化、价值化</w:t>
      </w:r>
      <w:r>
        <w:rPr>
          <w:rFonts w:ascii="SimSun" w:hAnsi="SimSun" w:eastAsia="SimSun" w:cs="SimSun"/>
          <w:sz w:val="24"/>
          <w:szCs w:val="24"/>
          <w:spacing w:val="-2"/>
        </w:rPr>
        <w:t>处理及有机肥料产</w:t>
      </w:r>
      <w:r>
        <w:rPr>
          <w:rFonts w:ascii="SimSun" w:hAnsi="SimSun" w:eastAsia="SimSun" w:cs="SimSun"/>
          <w:sz w:val="24"/>
          <w:szCs w:val="24"/>
        </w:rPr>
        <w:t xml:space="preserve"> </w:t>
      </w:r>
      <w:r>
        <w:rPr>
          <w:rFonts w:ascii="SimSun" w:hAnsi="SimSun" w:eastAsia="SimSun" w:cs="SimSun"/>
          <w:sz w:val="24"/>
          <w:szCs w:val="24"/>
          <w:spacing w:val="2"/>
        </w:rPr>
        <w:t>业化技术开发与应用</w:t>
      </w:r>
      <w:r>
        <w:rPr>
          <w:rFonts w:ascii="Times New Roman" w:hAnsi="Times New Roman" w:eastAsia="Times New Roman" w:cs="Times New Roman"/>
          <w:sz w:val="24"/>
          <w:szCs w:val="24"/>
          <w:spacing w:val="2"/>
        </w:rPr>
        <w:t>......17</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、可再生资源</w:t>
      </w:r>
      <w:r>
        <w:rPr>
          <w:rFonts w:ascii="SimSun" w:hAnsi="SimSun" w:eastAsia="SimSun" w:cs="SimSun"/>
          <w:sz w:val="24"/>
          <w:szCs w:val="24"/>
          <w:spacing w:val="1"/>
        </w:rPr>
        <w:t>综合利用</w:t>
      </w:r>
      <w:r>
        <w:rPr>
          <w:rFonts w:ascii="Times New Roman" w:hAnsi="Times New Roman" w:eastAsia="Times New Roman" w:cs="Times New Roman"/>
          <w:sz w:val="24"/>
          <w:szCs w:val="24"/>
          <w:spacing w:val="1"/>
        </w:rPr>
        <w:t>......</w:t>
      </w:r>
      <w:r>
        <w:rPr>
          <w:rFonts w:ascii="SimSun" w:hAnsi="SimSun" w:eastAsia="SimSun" w:cs="SimSun"/>
          <w:sz w:val="24"/>
          <w:szCs w:val="24"/>
          <w:spacing w:val="1"/>
        </w:rPr>
        <w:t>农村可再生资源综合利用开</w:t>
      </w:r>
      <w:r>
        <w:rPr>
          <w:rFonts w:ascii="SimSun" w:hAnsi="SimSun" w:eastAsia="SimSun" w:cs="SimSun"/>
          <w:sz w:val="24"/>
          <w:szCs w:val="24"/>
        </w:rPr>
        <w:t xml:space="preserve"> </w:t>
      </w:r>
      <w:r>
        <w:rPr>
          <w:rFonts w:ascii="SimSun" w:hAnsi="SimSun" w:eastAsia="SimSun" w:cs="SimSun"/>
          <w:sz w:val="24"/>
          <w:szCs w:val="24"/>
          <w:spacing w:val="1"/>
        </w:rPr>
        <w:t>发工程（沼气工程</w:t>
      </w:r>
      <w:r>
        <w:rPr>
          <w:rFonts w:ascii="Times New Roman" w:hAnsi="Times New Roman" w:eastAsia="Times New Roman" w:cs="Times New Roman"/>
          <w:sz w:val="24"/>
          <w:szCs w:val="24"/>
          <w:spacing w:val="1"/>
        </w:rPr>
        <w:t>......</w:t>
      </w:r>
      <w:r>
        <w:rPr>
          <w:rFonts w:ascii="SimSun" w:hAnsi="SimSun" w:eastAsia="SimSun" w:cs="SimSun"/>
          <w:sz w:val="24"/>
          <w:szCs w:val="24"/>
          <w:spacing w:val="1"/>
        </w:rPr>
        <w:t>再生资源综合利用</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8"/>
        </w:rPr>
        <w:t>），</w:t>
      </w:r>
      <w:r>
        <w:rPr>
          <w:rFonts w:ascii="SimSun" w:hAnsi="SimSun" w:eastAsia="SimSun" w:cs="SimSun"/>
          <w:sz w:val="24"/>
          <w:szCs w:val="24"/>
          <w:spacing w:val="1"/>
        </w:rPr>
        <w:t>四十二、环境保护与资源节约综</w:t>
      </w:r>
      <w:r>
        <w:rPr>
          <w:rFonts w:ascii="SimSun" w:hAnsi="SimSun" w:eastAsia="SimSun" w:cs="SimSun"/>
          <w:sz w:val="24"/>
          <w:szCs w:val="24"/>
        </w:rPr>
        <w:t xml:space="preserve"> </w:t>
      </w:r>
      <w:r>
        <w:rPr>
          <w:rFonts w:ascii="SimSun" w:hAnsi="SimSun" w:eastAsia="SimSun" w:cs="SimSun"/>
          <w:sz w:val="24"/>
          <w:szCs w:val="24"/>
          <w:spacing w:val="-2"/>
        </w:rPr>
        <w:t>合利用，</w:t>
      </w:r>
      <w:r>
        <w:rPr>
          <w:rFonts w:ascii="Times New Roman" w:hAnsi="Times New Roman" w:eastAsia="Times New Roman" w:cs="Times New Roman"/>
          <w:sz w:val="24"/>
          <w:szCs w:val="24"/>
          <w:spacing w:val="-2"/>
        </w:rPr>
        <w:t>8</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2"/>
        </w:rPr>
        <w:t>、废弃物循环利用</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2"/>
        </w:rPr>
        <w:t>畜禽粪污</w:t>
      </w:r>
      <w:r>
        <w:rPr>
          <w:rFonts w:ascii="Times New Roman" w:hAnsi="Times New Roman" w:eastAsia="Times New Roman" w:cs="Times New Roman"/>
          <w:sz w:val="24"/>
          <w:szCs w:val="24"/>
          <w:spacing w:val="-2"/>
        </w:rPr>
        <w:t>......</w:t>
      </w:r>
      <w:r>
        <w:rPr>
          <w:rFonts w:ascii="SimSun" w:hAnsi="SimSun" w:eastAsia="SimSun" w:cs="SimSun"/>
          <w:sz w:val="24"/>
          <w:szCs w:val="24"/>
          <w:spacing w:val="-2"/>
        </w:rPr>
        <w:t>等农林废弃物循环利用，生物质能技</w:t>
      </w:r>
      <w:r>
        <w:rPr>
          <w:rFonts w:ascii="SimSun" w:hAnsi="SimSun" w:eastAsia="SimSun" w:cs="SimSun"/>
          <w:sz w:val="24"/>
          <w:szCs w:val="24"/>
        </w:rPr>
        <w:t xml:space="preserve"> </w:t>
      </w:r>
      <w:r>
        <w:rPr>
          <w:rFonts w:ascii="SimSun" w:hAnsi="SimSun" w:eastAsia="SimSun" w:cs="SimSun"/>
          <w:sz w:val="24"/>
          <w:szCs w:val="24"/>
          <w:spacing w:val="-2"/>
        </w:rPr>
        <w:t>术装备（</w:t>
      </w:r>
      <w:r>
        <w:rPr>
          <w:rFonts w:ascii="SimSun" w:hAnsi="SimSun" w:eastAsia="SimSun" w:cs="SimSun"/>
          <w:sz w:val="24"/>
          <w:szCs w:val="24"/>
          <w:spacing w:val="-66"/>
        </w:rPr>
        <w:t xml:space="preserve"> </w:t>
      </w:r>
      <w:r>
        <w:rPr>
          <w:rFonts w:ascii="Times New Roman" w:hAnsi="Times New Roman" w:eastAsia="Times New Roman" w:cs="Times New Roman"/>
          <w:sz w:val="24"/>
          <w:szCs w:val="24"/>
          <w:spacing w:val="-2"/>
        </w:rPr>
        <w:t>......</w:t>
      </w:r>
      <w:r>
        <w:rPr>
          <w:rFonts w:ascii="SimSun" w:hAnsi="SimSun" w:eastAsia="SimSun" w:cs="SimSun"/>
          <w:sz w:val="24"/>
          <w:szCs w:val="24"/>
          <w:spacing w:val="-2"/>
        </w:rPr>
        <w:t>沼气）</w:t>
      </w:r>
      <w:r>
        <w:rPr>
          <w:rFonts w:ascii="SimSun" w:hAnsi="SimSun" w:eastAsia="SimSun" w:cs="SimSun"/>
          <w:sz w:val="24"/>
          <w:szCs w:val="24"/>
          <w:spacing w:val="-81"/>
        </w:rPr>
        <w:t xml:space="preserve"> </w:t>
      </w:r>
      <w:r>
        <w:rPr>
          <w:rFonts w:ascii="SimSun" w:hAnsi="SimSun" w:eastAsia="SimSun" w:cs="SimSun"/>
          <w:sz w:val="24"/>
          <w:szCs w:val="24"/>
          <w:spacing w:val="-2"/>
        </w:rPr>
        <w:t>”；本次建设的生物质锅炉（</w:t>
      </w:r>
      <w:r>
        <w:rPr>
          <w:rFonts w:ascii="Times New Roman" w:hAnsi="Times New Roman" w:eastAsia="Times New Roman" w:cs="Times New Roman"/>
          <w:sz w:val="24"/>
          <w:szCs w:val="24"/>
          <w:spacing w:val="-2"/>
        </w:rPr>
        <w:t>6t/h</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w:t>
      </w:r>
      <w:r>
        <w:rPr>
          <w:rFonts w:ascii="SimSun" w:hAnsi="SimSun" w:eastAsia="SimSun" w:cs="SimSun"/>
          <w:sz w:val="24"/>
          <w:szCs w:val="24"/>
          <w:spacing w:val="-68"/>
        </w:rPr>
        <w:t xml:space="preserve"> </w:t>
      </w:r>
      <w:r>
        <w:rPr>
          <w:rFonts w:ascii="SimSun" w:hAnsi="SimSun" w:eastAsia="SimSun" w:cs="SimSun"/>
          <w:sz w:val="24"/>
          <w:szCs w:val="24"/>
          <w:spacing w:val="-2"/>
        </w:rPr>
        <w:t>自动链条炉</w:t>
      </w:r>
      <w:r>
        <w:rPr>
          <w:rFonts w:ascii="SimSun" w:hAnsi="SimSun" w:eastAsia="SimSun" w:cs="SimSun"/>
          <w:sz w:val="24"/>
          <w:szCs w:val="24"/>
          <w:spacing w:val="-3"/>
        </w:rPr>
        <w:t>排）不属于目</w:t>
      </w:r>
      <w:r>
        <w:rPr>
          <w:rFonts w:ascii="SimSun" w:hAnsi="SimSun" w:eastAsia="SimSun" w:cs="SimSun"/>
          <w:sz w:val="24"/>
          <w:szCs w:val="24"/>
        </w:rPr>
        <w:t xml:space="preserve"> </w:t>
      </w:r>
      <w:r>
        <w:rPr>
          <w:rFonts w:ascii="SimSun" w:hAnsi="SimSun" w:eastAsia="SimSun" w:cs="SimSun"/>
          <w:sz w:val="24"/>
          <w:szCs w:val="24"/>
        </w:rPr>
        <w:t>录中的“第二类</w:t>
      </w:r>
      <w:r>
        <w:rPr>
          <w:rFonts w:ascii="SimSun" w:hAnsi="SimSun" w:eastAsia="SimSun" w:cs="SimSun"/>
          <w:sz w:val="24"/>
          <w:szCs w:val="24"/>
          <w:spacing w:val="41"/>
        </w:rPr>
        <w:t xml:space="preserve"> </w:t>
      </w:r>
      <w:r>
        <w:rPr>
          <w:rFonts w:ascii="SimSun" w:hAnsi="SimSun" w:eastAsia="SimSun" w:cs="SimSun"/>
          <w:sz w:val="24"/>
          <w:szCs w:val="24"/>
        </w:rPr>
        <w:t>限制类，十一、机械，</w:t>
      </w:r>
      <w:r>
        <w:rPr>
          <w:rFonts w:ascii="Times New Roman" w:hAnsi="Times New Roman" w:eastAsia="Times New Roman" w:cs="Times New Roman"/>
          <w:sz w:val="24"/>
          <w:szCs w:val="24"/>
        </w:rPr>
        <w:t>57</w:t>
      </w:r>
      <w:r>
        <w:rPr>
          <w:rFonts w:ascii="Times New Roman" w:hAnsi="Times New Roman" w:eastAsia="Times New Roman" w:cs="Times New Roman"/>
          <w:sz w:val="24"/>
          <w:szCs w:val="24"/>
          <w:spacing w:val="-31"/>
        </w:rPr>
        <w:t xml:space="preserve"> </w:t>
      </w:r>
      <w:r>
        <w:rPr>
          <w:rFonts w:ascii="SimSun" w:hAnsi="SimSun" w:eastAsia="SimSun" w:cs="SimSun"/>
          <w:sz w:val="24"/>
          <w:szCs w:val="24"/>
        </w:rPr>
        <w:t>、每小时</w:t>
      </w:r>
      <w:r>
        <w:rPr>
          <w:rFonts w:ascii="SimSun" w:hAnsi="SimSun" w:eastAsia="SimSun" w:cs="SimSun"/>
          <w:sz w:val="24"/>
          <w:szCs w:val="24"/>
          <w:spacing w:val="-48"/>
        </w:rPr>
        <w:t xml:space="preserve"> </w:t>
      </w:r>
      <w:r>
        <w:rPr>
          <w:rFonts w:ascii="Times New Roman" w:hAnsi="Times New Roman" w:eastAsia="Times New Roman" w:cs="Times New Roman"/>
          <w:sz w:val="24"/>
          <w:szCs w:val="24"/>
        </w:rPr>
        <w:t>35</w:t>
      </w:r>
      <w:r>
        <w:rPr>
          <w:rFonts w:ascii="Times New Roman" w:hAnsi="Times New Roman" w:eastAsia="Times New Roman" w:cs="Times New Roman"/>
          <w:sz w:val="24"/>
          <w:szCs w:val="24"/>
          <w:spacing w:val="17"/>
        </w:rPr>
        <w:t xml:space="preserve"> </w:t>
      </w:r>
      <w:r>
        <w:rPr>
          <w:rFonts w:ascii="SimSun" w:hAnsi="SimSun" w:eastAsia="SimSun" w:cs="SimSun"/>
          <w:sz w:val="24"/>
          <w:szCs w:val="24"/>
        </w:rPr>
        <w:t>蒸吨及以下固定炉排式生 </w:t>
      </w:r>
      <w:r>
        <w:rPr>
          <w:rFonts w:ascii="SimSun" w:hAnsi="SimSun" w:eastAsia="SimSun" w:cs="SimSun"/>
          <w:sz w:val="24"/>
          <w:szCs w:val="24"/>
          <w:spacing w:val="-1"/>
        </w:rPr>
        <w:t>物质锅炉</w:t>
      </w:r>
      <w:r>
        <w:rPr>
          <w:rFonts w:ascii="SimSun" w:hAnsi="SimSun" w:eastAsia="SimSun" w:cs="SimSun"/>
          <w:sz w:val="24"/>
          <w:szCs w:val="24"/>
          <w:spacing w:val="-89"/>
        </w:rPr>
        <w:t xml:space="preserve"> </w:t>
      </w:r>
      <w:r>
        <w:rPr>
          <w:rFonts w:ascii="SimSun" w:hAnsi="SimSun" w:eastAsia="SimSun" w:cs="SimSun"/>
          <w:sz w:val="24"/>
          <w:szCs w:val="24"/>
          <w:spacing w:val="-1"/>
        </w:rPr>
        <w:t>”、“第三类 淘汰类，二、落后产品</w:t>
      </w:r>
      <w:r>
        <w:rPr>
          <w:rFonts w:ascii="SimSun" w:hAnsi="SimSun" w:eastAsia="SimSun" w:cs="SimSun"/>
          <w:sz w:val="24"/>
          <w:szCs w:val="24"/>
          <w:spacing w:val="-25"/>
        </w:rPr>
        <w:t>，（</w:t>
      </w:r>
      <w:r>
        <w:rPr>
          <w:rFonts w:ascii="SimSun" w:hAnsi="SimSun" w:eastAsia="SimSun" w:cs="SimSun"/>
          <w:sz w:val="24"/>
          <w:szCs w:val="24"/>
          <w:spacing w:val="-1"/>
        </w:rPr>
        <w:t>七）机械，</w:t>
      </w:r>
      <w:r>
        <w:rPr>
          <w:rFonts w:ascii="Times New Roman" w:hAnsi="Times New Roman" w:eastAsia="Times New Roman" w:cs="Times New Roman"/>
          <w:sz w:val="24"/>
          <w:szCs w:val="24"/>
          <w:spacing w:val="-1"/>
        </w:rPr>
        <w:t>66</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1"/>
        </w:rPr>
        <w:t>、每小时</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蒸吨</w:t>
      </w:r>
      <w:r>
        <w:rPr>
          <w:rFonts w:ascii="SimSun" w:hAnsi="SimSun" w:eastAsia="SimSun" w:cs="SimSun"/>
          <w:sz w:val="24"/>
          <w:szCs w:val="24"/>
        </w:rPr>
        <w:t xml:space="preserve"> </w:t>
      </w:r>
      <w:r>
        <w:rPr>
          <w:rFonts w:ascii="SimSun" w:hAnsi="SimSun" w:eastAsia="SimSun" w:cs="SimSun"/>
          <w:sz w:val="24"/>
          <w:szCs w:val="24"/>
          <w:spacing w:val="-2"/>
        </w:rPr>
        <w:t>及以下生物质锅炉</w:t>
      </w:r>
      <w:r>
        <w:rPr>
          <w:rFonts w:ascii="SimSun" w:hAnsi="SimSun" w:eastAsia="SimSun" w:cs="SimSun"/>
          <w:sz w:val="24"/>
          <w:szCs w:val="24"/>
          <w:spacing w:val="-79"/>
        </w:rPr>
        <w:t xml:space="preserve"> </w:t>
      </w:r>
      <w:r>
        <w:rPr>
          <w:rFonts w:ascii="SimSun" w:hAnsi="SimSun" w:eastAsia="SimSun" w:cs="SimSun"/>
          <w:sz w:val="24"/>
          <w:szCs w:val="24"/>
          <w:spacing w:val="-2"/>
        </w:rPr>
        <w:t>”。因此，本项目属于允许类项目。</w:t>
      </w:r>
    </w:p>
    <w:p>
      <w:pPr>
        <w:ind w:left="10" w:right="59" w:firstLine="480"/>
        <w:spacing w:before="1" w:line="360" w:lineRule="auto"/>
        <w:jc w:val="both"/>
        <w:rPr>
          <w:rFonts w:ascii="SimSun" w:hAnsi="SimSun" w:eastAsia="SimSun" w:cs="SimSun"/>
          <w:sz w:val="24"/>
          <w:szCs w:val="24"/>
        </w:rPr>
      </w:pPr>
      <w:r>
        <w:rPr>
          <w:rFonts w:ascii="SimSun" w:hAnsi="SimSun" w:eastAsia="SimSun" w:cs="SimSun"/>
          <w:sz w:val="24"/>
          <w:szCs w:val="24"/>
          <w:spacing w:val="-1"/>
        </w:rPr>
        <w:t>本项目于</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
        </w:rPr>
        <w:t>12</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1"/>
        </w:rPr>
        <w:t>月</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5  </w:t>
      </w:r>
      <w:r>
        <w:rPr>
          <w:rFonts w:ascii="SimSun" w:hAnsi="SimSun" w:eastAsia="SimSun" w:cs="SimSun"/>
          <w:sz w:val="24"/>
          <w:szCs w:val="24"/>
          <w:spacing w:val="-1"/>
        </w:rPr>
        <w:t>日取得了正镶白旗发展和改革委员会《项目</w:t>
      </w:r>
      <w:r>
        <w:rPr>
          <w:rFonts w:ascii="SimSun" w:hAnsi="SimSun" w:eastAsia="SimSun" w:cs="SimSun"/>
          <w:sz w:val="24"/>
          <w:szCs w:val="24"/>
          <w:spacing w:val="-2"/>
        </w:rPr>
        <w:t>备案告</w:t>
      </w:r>
      <w:r>
        <w:rPr>
          <w:rFonts w:ascii="SimSun" w:hAnsi="SimSun" w:eastAsia="SimSun" w:cs="SimSun"/>
          <w:sz w:val="24"/>
          <w:szCs w:val="24"/>
        </w:rPr>
        <w:t xml:space="preserve"> </w:t>
      </w:r>
      <w:r>
        <w:rPr>
          <w:rFonts w:ascii="SimSun" w:hAnsi="SimSun" w:eastAsia="SimSun" w:cs="SimSun"/>
          <w:sz w:val="24"/>
          <w:szCs w:val="24"/>
        </w:rPr>
        <w:t>知书》（项目编号：</w:t>
      </w:r>
      <w:r>
        <w:rPr>
          <w:rFonts w:ascii="Times New Roman" w:hAnsi="Times New Roman" w:eastAsia="Times New Roman" w:cs="Times New Roman"/>
          <w:sz w:val="24"/>
          <w:szCs w:val="24"/>
        </w:rPr>
        <w:t>2412-152529-04-01-719857</w:t>
      </w:r>
      <w:r>
        <w:rPr>
          <w:rFonts w:ascii="SimSun" w:hAnsi="SimSun" w:eastAsia="SimSun" w:cs="SimSun"/>
          <w:sz w:val="24"/>
          <w:szCs w:val="24"/>
        </w:rPr>
        <w:t>）备案文件。综上，本项目建设符</w:t>
      </w:r>
      <w:r>
        <w:rPr>
          <w:rFonts w:ascii="SimSun" w:hAnsi="SimSun" w:eastAsia="SimSun" w:cs="SimSun"/>
          <w:sz w:val="24"/>
          <w:szCs w:val="24"/>
          <w:spacing w:val="14"/>
        </w:rPr>
        <w:t xml:space="preserve"> </w:t>
      </w:r>
      <w:r>
        <w:rPr>
          <w:rFonts w:ascii="SimSun" w:hAnsi="SimSun" w:eastAsia="SimSun" w:cs="SimSun"/>
          <w:sz w:val="24"/>
          <w:szCs w:val="24"/>
          <w:spacing w:val="-1"/>
        </w:rPr>
        <w:t>合国家及地方产业政策要求。</w:t>
      </w:r>
    </w:p>
    <w:p>
      <w:pPr>
        <w:ind w:left="33"/>
        <w:spacing w:before="158" w:line="222" w:lineRule="auto"/>
        <w:outlineLvl w:val="2"/>
        <w:rPr>
          <w:rFonts w:ascii="SimHei" w:hAnsi="SimHei" w:eastAsia="SimHei" w:cs="SimHei"/>
          <w:sz w:val="28"/>
          <w:szCs w:val="28"/>
        </w:rPr>
      </w:pPr>
      <w:bookmarkStart w:name="bookmark7" w:id="8"/>
      <w:bookmarkEnd w:id="8"/>
      <w:r>
        <w:rPr>
          <w:rFonts w:ascii="Times New Roman" w:hAnsi="Times New Roman" w:eastAsia="Times New Roman" w:cs="Times New Roman"/>
          <w:sz w:val="28"/>
          <w:szCs w:val="28"/>
          <w:spacing w:val="-3"/>
        </w:rPr>
        <w:t>1.4.2 </w:t>
      </w:r>
      <w:r>
        <w:rPr>
          <w:rFonts w:ascii="SimHei" w:hAnsi="SimHei" w:eastAsia="SimHei" w:cs="SimHei"/>
          <w:sz w:val="28"/>
          <w:szCs w:val="28"/>
          <w:spacing w:val="-3"/>
        </w:rPr>
        <w:t>规划符合性</w:t>
      </w:r>
    </w:p>
    <w:p>
      <w:pPr>
        <w:pStyle w:val="BodyText"/>
        <w:spacing w:line="278" w:lineRule="auto"/>
        <w:rPr/>
      </w:pPr>
      <w:r/>
    </w:p>
    <w:p>
      <w:pPr>
        <w:ind w:left="489" w:right="59" w:firstLine="11"/>
        <w:spacing w:before="78" w:line="36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）与《锡林郭勒盟正镶白旗国土空间总体规划（</w:t>
      </w:r>
      <w:r>
        <w:rPr>
          <w:rFonts w:ascii="Times New Roman" w:hAnsi="Times New Roman" w:eastAsia="Times New Roman" w:cs="Times New Roman"/>
          <w:sz w:val="24"/>
          <w:szCs w:val="24"/>
          <w:spacing w:val="-3"/>
        </w:rPr>
        <w:t>2021-2025</w:t>
      </w:r>
      <w:r>
        <w:rPr>
          <w:rFonts w:ascii="SimSun" w:hAnsi="SimSun" w:eastAsia="SimSun" w:cs="SimSun"/>
          <w:sz w:val="24"/>
          <w:szCs w:val="24"/>
          <w:spacing w:val="-3"/>
        </w:rPr>
        <w:t>）》符合性</w:t>
      </w:r>
      <w:r>
        <w:rPr>
          <w:rFonts w:ascii="SimSun" w:hAnsi="SimSun" w:eastAsia="SimSun" w:cs="SimSun"/>
          <w:sz w:val="24"/>
          <w:szCs w:val="24"/>
          <w:spacing w:val="-4"/>
        </w:rPr>
        <w:t>分析</w:t>
      </w:r>
      <w:r>
        <w:rPr>
          <w:rFonts w:ascii="SimSun" w:hAnsi="SimSun" w:eastAsia="SimSun" w:cs="SimSun"/>
          <w:sz w:val="24"/>
          <w:szCs w:val="24"/>
        </w:rPr>
        <w:t xml:space="preserve"> </w:t>
      </w:r>
      <w:r>
        <w:rPr>
          <w:rFonts w:ascii="SimSun" w:hAnsi="SimSun" w:eastAsia="SimSun" w:cs="SimSun"/>
          <w:sz w:val="24"/>
          <w:szCs w:val="24"/>
        </w:rPr>
        <w:t>根据《锡林郭勒盟正镶白旗国土空间总体规划（</w:t>
      </w:r>
      <w:r>
        <w:rPr>
          <w:rFonts w:ascii="Times New Roman" w:hAnsi="Times New Roman" w:eastAsia="Times New Roman" w:cs="Times New Roman"/>
          <w:sz w:val="24"/>
          <w:szCs w:val="24"/>
        </w:rPr>
        <w:t>2021-2025</w:t>
      </w:r>
      <w:r>
        <w:rPr>
          <w:rFonts w:ascii="SimSun" w:hAnsi="SimSun" w:eastAsia="SimSun" w:cs="SimSun"/>
          <w:sz w:val="24"/>
          <w:szCs w:val="24"/>
        </w:rPr>
        <w:t>）》，正镶白旗以</w:t>
      </w:r>
    </w:p>
    <w:p>
      <w:pPr>
        <w:pStyle w:val="BodyText"/>
        <w:spacing w:line="351" w:lineRule="auto"/>
        <w:rPr/>
      </w:pPr>
      <w:r/>
    </w:p>
    <w:p>
      <w:pPr>
        <w:ind w:left="5312"/>
        <w:spacing w:before="62" w:line="227" w:lineRule="auto"/>
        <w:rPr>
          <w:rFonts w:ascii="SimSun" w:hAnsi="SimSun" w:eastAsia="SimSun" w:cs="SimSun"/>
          <w:sz w:val="19"/>
          <w:szCs w:val="19"/>
        </w:rPr>
      </w:pPr>
      <w:r>
        <w:pict>
          <v:shape id="_x0000_s46" style="position:absolute;margin-left:209.534pt;margin-top:2.09889pt;mso-position-vertical-relative:text;mso-position-horizontal-relative:text;width:56.7pt;height:13.75pt;z-index:251677696;"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4"/>
                      <w:position w:val="2"/>
                    </w:rPr>
                    <w:t>4</w:t>
                  </w:r>
                  <w:r>
                    <w:rPr>
                      <w:rFonts w:ascii="Times New Roman" w:hAnsi="Times New Roman" w:eastAsia="Times New Roman" w:cs="Times New Roman"/>
                      <w:sz w:val="18"/>
                      <w:szCs w:val="18"/>
                      <w:spacing w:val="1"/>
                      <w:position w:val="2"/>
                    </w:rPr>
                    <w:t xml:space="preserve">         </w:t>
                  </w:r>
                  <w:r>
                    <w:rPr>
                      <w:rFonts w:ascii="SimSun" w:hAnsi="SimSun" w:eastAsia="SimSun" w:cs="SimSun"/>
                      <w:sz w:val="19"/>
                      <w:szCs w:val="19"/>
                      <w:spacing w:val="4"/>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16"/>
          <w:footerReference w:type="default" r:id="rId3"/>
          <w:pgSz w:w="11907" w:h="16840"/>
          <w:pgMar w:top="1567" w:right="1640" w:bottom="400" w:left="1701" w:header="1221" w:footer="0" w:gutter="0"/>
        </w:sectPr>
        <w:rPr>
          <w:rFonts w:ascii="SimSun" w:hAnsi="SimSun" w:eastAsia="SimSun" w:cs="SimSun"/>
          <w:sz w:val="19"/>
          <w:szCs w:val="19"/>
        </w:rPr>
      </w:pPr>
    </w:p>
    <w:p>
      <w:pPr>
        <w:ind w:left="10" w:right="77" w:hanging="10"/>
        <w:spacing w:before="188" w:line="359" w:lineRule="auto"/>
        <w:jc w:val="both"/>
        <w:rPr>
          <w:rFonts w:ascii="SimSun" w:hAnsi="SimSun" w:eastAsia="SimSun" w:cs="SimSun"/>
          <w:sz w:val="24"/>
          <w:szCs w:val="24"/>
        </w:rPr>
      </w:pPr>
      <w:r>
        <w:pict>
          <v:shape id="_x0000_s50" style="position:absolute;margin-left:85.05pt;margin-top:79.11pt;mso-position-vertical-relative:page;mso-position-horizontal-relative:page;width:425.25pt;height:0.75pt;z-index:251679744;" o:allowincell="f" fillcolor="#000000" filled="true" stroked="false" coordsize="8505,15" coordorigin="0,0" path="m,l8505,0l8505,14l0,14l0,0xe"/>
        </w:pict>
      </w:r>
      <w:r>
        <w:rPr>
          <w:rFonts w:ascii="SimSun" w:hAnsi="SimSun" w:eastAsia="SimSun" w:cs="SimSun"/>
          <w:sz w:val="24"/>
          <w:szCs w:val="24"/>
          <w:spacing w:val="1"/>
        </w:rPr>
        <w:t>“三区两带，两廊一核</w:t>
      </w:r>
      <w:r>
        <w:rPr>
          <w:rFonts w:ascii="SimSun" w:hAnsi="SimSun" w:eastAsia="SimSun" w:cs="SimSun"/>
          <w:sz w:val="24"/>
          <w:szCs w:val="24"/>
          <w:spacing w:val="-85"/>
        </w:rPr>
        <w:t xml:space="preserve"> </w:t>
      </w:r>
      <w:r>
        <w:rPr>
          <w:rFonts w:ascii="SimSun" w:hAnsi="SimSun" w:eastAsia="SimSun" w:cs="SimSun"/>
          <w:sz w:val="24"/>
          <w:szCs w:val="24"/>
          <w:spacing w:val="1"/>
        </w:rPr>
        <w:t>”为国土空间总体格局。“三区</w:t>
      </w:r>
      <w:r>
        <w:rPr>
          <w:rFonts w:ascii="SimSun" w:hAnsi="SimSun" w:eastAsia="SimSun" w:cs="SimSun"/>
          <w:sz w:val="24"/>
          <w:szCs w:val="24"/>
          <w:spacing w:val="-84"/>
        </w:rPr>
        <w:t xml:space="preserve"> </w:t>
      </w:r>
      <w:r>
        <w:rPr>
          <w:rFonts w:ascii="SimSun" w:hAnsi="SimSun" w:eastAsia="SimSun" w:cs="SimSun"/>
          <w:sz w:val="24"/>
          <w:szCs w:val="24"/>
          <w:spacing w:val="1"/>
        </w:rPr>
        <w:t>”由北至南为防风固沙生</w:t>
      </w:r>
      <w:r>
        <w:rPr>
          <w:rFonts w:ascii="SimSun" w:hAnsi="SimSun" w:eastAsia="SimSun" w:cs="SimSun"/>
          <w:sz w:val="24"/>
          <w:szCs w:val="24"/>
        </w:rPr>
        <w:t xml:space="preserve"> </w:t>
      </w:r>
      <w:r>
        <w:rPr>
          <w:rFonts w:ascii="SimSun" w:hAnsi="SimSun" w:eastAsia="SimSun" w:cs="SimSun"/>
          <w:sz w:val="24"/>
          <w:szCs w:val="24"/>
          <w:spacing w:val="3"/>
        </w:rPr>
        <w:t>态治理区、现代畜牧业与清洁能源联动发展区、农特</w:t>
      </w:r>
      <w:r>
        <w:rPr>
          <w:rFonts w:ascii="SimSun" w:hAnsi="SimSun" w:eastAsia="SimSun" w:cs="SimSun"/>
          <w:sz w:val="24"/>
          <w:szCs w:val="24"/>
          <w:spacing w:val="2"/>
        </w:rPr>
        <w:t>产品种植发展区。本项目位</w:t>
      </w:r>
      <w:r>
        <w:rPr>
          <w:rFonts w:ascii="SimSun" w:hAnsi="SimSun" w:eastAsia="SimSun" w:cs="SimSun"/>
          <w:sz w:val="24"/>
          <w:szCs w:val="24"/>
        </w:rPr>
        <w:t xml:space="preserve"> </w:t>
      </w:r>
      <w:r>
        <w:rPr>
          <w:rFonts w:ascii="SimSun" w:hAnsi="SimSun" w:eastAsia="SimSun" w:cs="SimSun"/>
          <w:sz w:val="24"/>
          <w:szCs w:val="24"/>
          <w:spacing w:val="3"/>
        </w:rPr>
        <w:t>于现代畜牧业与清洁能源联动发展区，该区位于正镶白旗</w:t>
      </w:r>
      <w:r>
        <w:rPr>
          <w:rFonts w:ascii="SimSun" w:hAnsi="SimSun" w:eastAsia="SimSun" w:cs="SimSun"/>
          <w:sz w:val="24"/>
          <w:szCs w:val="24"/>
          <w:spacing w:val="2"/>
        </w:rPr>
        <w:t>中部，包括乌兰察布苏</w:t>
      </w:r>
      <w:r>
        <w:rPr>
          <w:rFonts w:ascii="SimSun" w:hAnsi="SimSun" w:eastAsia="SimSun" w:cs="SimSun"/>
          <w:sz w:val="24"/>
          <w:szCs w:val="24"/>
        </w:rPr>
        <w:t xml:space="preserve"> </w:t>
      </w:r>
      <w:r>
        <w:rPr>
          <w:rFonts w:ascii="SimSun" w:hAnsi="SimSun" w:eastAsia="SimSun" w:cs="SimSun"/>
          <w:sz w:val="24"/>
          <w:szCs w:val="24"/>
          <w:spacing w:val="-1"/>
        </w:rPr>
        <w:t>木和伊和淖尔苏木南部，沿生态红线南缘的</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11 </w:t>
      </w:r>
      <w:r>
        <w:rPr>
          <w:rFonts w:ascii="SimSun" w:hAnsi="SimSun" w:eastAsia="SimSun" w:cs="SimSun"/>
          <w:sz w:val="24"/>
          <w:szCs w:val="24"/>
          <w:spacing w:val="-2"/>
        </w:rPr>
        <w:t>个嘎查村，以及明安图镇和宝拉根</w:t>
      </w:r>
      <w:r>
        <w:rPr>
          <w:rFonts w:ascii="SimSun" w:hAnsi="SimSun" w:eastAsia="SimSun" w:cs="SimSun"/>
          <w:sz w:val="24"/>
          <w:szCs w:val="24"/>
        </w:rPr>
        <w:t xml:space="preserve"> </w:t>
      </w:r>
      <w:r>
        <w:rPr>
          <w:rFonts w:ascii="SimSun" w:hAnsi="SimSun" w:eastAsia="SimSun" w:cs="SimSun"/>
          <w:sz w:val="24"/>
          <w:szCs w:val="24"/>
          <w:spacing w:val="-4"/>
        </w:rPr>
        <w:t>陶海苏木大部分地域，即除去中心城区和内蒙古锡林郭勒承接产业转移开发</w:t>
      </w:r>
      <w:r>
        <w:rPr>
          <w:rFonts w:ascii="SimSun" w:hAnsi="SimSun" w:eastAsia="SimSun" w:cs="SimSun"/>
          <w:sz w:val="24"/>
          <w:szCs w:val="24"/>
          <w:spacing w:val="-5"/>
        </w:rPr>
        <w:t>区（明</w:t>
      </w:r>
      <w:r>
        <w:rPr>
          <w:rFonts w:ascii="SimSun" w:hAnsi="SimSun" w:eastAsia="SimSun" w:cs="SimSun"/>
          <w:sz w:val="24"/>
          <w:szCs w:val="24"/>
        </w:rPr>
        <w:t xml:space="preserve"> </w:t>
      </w:r>
      <w:r>
        <w:rPr>
          <w:rFonts w:ascii="SimSun" w:hAnsi="SimSun" w:eastAsia="SimSun" w:cs="SimSun"/>
          <w:sz w:val="24"/>
          <w:szCs w:val="24"/>
          <w:spacing w:val="3"/>
        </w:rPr>
        <w:t>安图产业园）两个重要点状开发区域。落实正镶白旗全域生</w:t>
      </w:r>
      <w:r>
        <w:rPr>
          <w:rFonts w:ascii="SimSun" w:hAnsi="SimSun" w:eastAsia="SimSun" w:cs="SimSun"/>
          <w:sz w:val="24"/>
          <w:szCs w:val="24"/>
          <w:spacing w:val="2"/>
        </w:rPr>
        <w:t>态安全格局的要求，</w:t>
      </w:r>
      <w:r>
        <w:rPr>
          <w:rFonts w:ascii="SimSun" w:hAnsi="SimSun" w:eastAsia="SimSun" w:cs="SimSun"/>
          <w:sz w:val="24"/>
          <w:szCs w:val="24"/>
        </w:rPr>
        <w:t xml:space="preserve"> </w:t>
      </w:r>
      <w:r>
        <w:rPr>
          <w:rFonts w:ascii="SimSun" w:hAnsi="SimSun" w:eastAsia="SimSun" w:cs="SimSun"/>
          <w:sz w:val="24"/>
          <w:szCs w:val="24"/>
          <w:spacing w:val="3"/>
        </w:rPr>
        <w:t>在生态保护与修复优先的前提下，发展现代畜牧业与清洁</w:t>
      </w:r>
      <w:r>
        <w:rPr>
          <w:rFonts w:ascii="SimSun" w:hAnsi="SimSun" w:eastAsia="SimSun" w:cs="SimSun"/>
          <w:sz w:val="24"/>
          <w:szCs w:val="24"/>
          <w:spacing w:val="2"/>
        </w:rPr>
        <w:t>能源，促进产业联动发</w:t>
      </w:r>
      <w:r>
        <w:rPr>
          <w:rFonts w:ascii="SimSun" w:hAnsi="SimSun" w:eastAsia="SimSun" w:cs="SimSun"/>
          <w:sz w:val="24"/>
          <w:szCs w:val="24"/>
        </w:rPr>
        <w:t xml:space="preserve"> </w:t>
      </w:r>
      <w:r>
        <w:rPr>
          <w:rFonts w:ascii="SimSun" w:hAnsi="SimSun" w:eastAsia="SimSun" w:cs="SimSun"/>
          <w:sz w:val="24"/>
          <w:szCs w:val="24"/>
          <w:spacing w:val="-5"/>
        </w:rPr>
        <w:t>展。</w:t>
      </w:r>
    </w:p>
    <w:p>
      <w:pPr>
        <w:ind w:firstLine="491"/>
        <w:spacing w:before="14" w:line="358" w:lineRule="auto"/>
        <w:jc w:val="both"/>
        <w:rPr>
          <w:rFonts w:ascii="SimSun" w:hAnsi="SimSun" w:eastAsia="SimSun" w:cs="SimSun"/>
          <w:sz w:val="24"/>
          <w:szCs w:val="24"/>
        </w:rPr>
      </w:pPr>
      <w:r>
        <w:rPr>
          <w:rFonts w:ascii="SimSun" w:hAnsi="SimSun" w:eastAsia="SimSun" w:cs="SimSun"/>
          <w:sz w:val="24"/>
          <w:szCs w:val="24"/>
        </w:rPr>
        <w:t>根据《锡林郭勒盟正镶白旗国土空间总体规划（</w:t>
      </w:r>
      <w:r>
        <w:rPr>
          <w:rFonts w:ascii="Times New Roman" w:hAnsi="Times New Roman" w:eastAsia="Times New Roman" w:cs="Times New Roman"/>
          <w:sz w:val="24"/>
          <w:szCs w:val="24"/>
        </w:rPr>
        <w:t>2021-2025</w:t>
      </w:r>
      <w:r>
        <w:rPr>
          <w:rFonts w:ascii="SimSun" w:hAnsi="SimSun" w:eastAsia="SimSun" w:cs="SimSun"/>
          <w:sz w:val="24"/>
          <w:szCs w:val="24"/>
        </w:rPr>
        <w:t>）》，正镶白旗构</w:t>
      </w:r>
      <w:r>
        <w:rPr>
          <w:rFonts w:ascii="SimSun" w:hAnsi="SimSun" w:eastAsia="SimSun" w:cs="SimSun"/>
          <w:sz w:val="24"/>
          <w:szCs w:val="24"/>
          <w:spacing w:val="15"/>
        </w:rPr>
        <w:t xml:space="preserve"> </w:t>
      </w:r>
      <w:r>
        <w:rPr>
          <w:rFonts w:ascii="SimSun" w:hAnsi="SimSun" w:eastAsia="SimSun" w:cs="SimSun"/>
          <w:sz w:val="24"/>
          <w:szCs w:val="24"/>
          <w:spacing w:val="-1"/>
        </w:rPr>
        <w:t>筑“</w:t>
      </w:r>
      <w:r>
        <w:rPr>
          <w:rFonts w:ascii="SimSun" w:hAnsi="SimSun" w:eastAsia="SimSun" w:cs="SimSun"/>
          <w:sz w:val="24"/>
          <w:szCs w:val="24"/>
          <w:spacing w:val="-82"/>
        </w:rPr>
        <w:t xml:space="preserve"> </w:t>
      </w:r>
      <w:r>
        <w:rPr>
          <w:rFonts w:ascii="SimSun" w:hAnsi="SimSun" w:eastAsia="SimSun" w:cs="SimSun"/>
          <w:sz w:val="24"/>
          <w:szCs w:val="24"/>
          <w:spacing w:val="-1"/>
        </w:rPr>
        <w:t>四区两轴，六节点四基地</w:t>
      </w:r>
      <w:r>
        <w:rPr>
          <w:rFonts w:ascii="SimSun" w:hAnsi="SimSun" w:eastAsia="SimSun" w:cs="SimSun"/>
          <w:sz w:val="24"/>
          <w:szCs w:val="24"/>
          <w:spacing w:val="-85"/>
        </w:rPr>
        <w:t xml:space="preserve"> </w:t>
      </w:r>
      <w:r>
        <w:rPr>
          <w:rFonts w:ascii="SimSun" w:hAnsi="SimSun" w:eastAsia="SimSun" w:cs="SimSun"/>
          <w:sz w:val="24"/>
          <w:szCs w:val="24"/>
          <w:spacing w:val="-1"/>
        </w:rPr>
        <w:t>”的产业空间布局结构。“</w:t>
      </w:r>
      <w:r>
        <w:rPr>
          <w:rFonts w:ascii="SimSun" w:hAnsi="SimSun" w:eastAsia="SimSun" w:cs="SimSun"/>
          <w:sz w:val="24"/>
          <w:szCs w:val="24"/>
          <w:spacing w:val="-86"/>
        </w:rPr>
        <w:t xml:space="preserve"> </w:t>
      </w:r>
      <w:r>
        <w:rPr>
          <w:rFonts w:ascii="SimSun" w:hAnsi="SimSun" w:eastAsia="SimSun" w:cs="SimSun"/>
          <w:sz w:val="24"/>
          <w:szCs w:val="24"/>
          <w:spacing w:val="-1"/>
        </w:rPr>
        <w:t>四区</w:t>
      </w:r>
      <w:r>
        <w:rPr>
          <w:rFonts w:ascii="SimSun" w:hAnsi="SimSun" w:eastAsia="SimSun" w:cs="SimSun"/>
          <w:sz w:val="24"/>
          <w:szCs w:val="24"/>
          <w:spacing w:val="-86"/>
        </w:rPr>
        <w:t xml:space="preserve"> </w:t>
      </w:r>
      <w:r>
        <w:rPr>
          <w:rFonts w:ascii="SimSun" w:hAnsi="SimSun" w:eastAsia="SimSun" w:cs="SimSun"/>
          <w:sz w:val="24"/>
          <w:szCs w:val="24"/>
          <w:spacing w:val="-1"/>
        </w:rPr>
        <w:t>”分别为生态保护</w:t>
      </w:r>
      <w:r>
        <w:rPr>
          <w:rFonts w:ascii="SimSun" w:hAnsi="SimSun" w:eastAsia="SimSun" w:cs="SimSun"/>
          <w:sz w:val="24"/>
          <w:szCs w:val="24"/>
        </w:rPr>
        <w:t xml:space="preserve"> </w:t>
      </w:r>
      <w:r>
        <w:rPr>
          <w:rFonts w:ascii="SimSun" w:hAnsi="SimSun" w:eastAsia="SimSun" w:cs="SimSun"/>
          <w:sz w:val="24"/>
          <w:szCs w:val="24"/>
          <w:spacing w:val="3"/>
        </w:rPr>
        <w:t>与精品畜牧业协调发展区、现代畜牧业与清洁能源联动发展区、新兴产业与农畜</w:t>
      </w:r>
      <w:r>
        <w:rPr>
          <w:rFonts w:ascii="SimSun" w:hAnsi="SimSun" w:eastAsia="SimSun" w:cs="SimSun"/>
          <w:sz w:val="24"/>
          <w:szCs w:val="24"/>
          <w:spacing w:val="1"/>
        </w:rPr>
        <w:t xml:space="preserve"> </w:t>
      </w:r>
      <w:r>
        <w:rPr>
          <w:rFonts w:ascii="SimSun" w:hAnsi="SimSun" w:eastAsia="SimSun" w:cs="SimSun"/>
          <w:sz w:val="24"/>
          <w:szCs w:val="24"/>
          <w:spacing w:val="-2"/>
        </w:rPr>
        <w:t>产品精深加工融合发展区、农特产品种植发展</w:t>
      </w:r>
      <w:r>
        <w:rPr>
          <w:rFonts w:ascii="SimSun" w:hAnsi="SimSun" w:eastAsia="SimSun" w:cs="SimSun"/>
          <w:sz w:val="24"/>
          <w:szCs w:val="24"/>
          <w:spacing w:val="-3"/>
        </w:rPr>
        <w:t>区。“两轴</w:t>
      </w:r>
      <w:r>
        <w:rPr>
          <w:rFonts w:ascii="SimSun" w:hAnsi="SimSun" w:eastAsia="SimSun" w:cs="SimSun"/>
          <w:sz w:val="24"/>
          <w:szCs w:val="24"/>
          <w:spacing w:val="-88"/>
        </w:rPr>
        <w:t xml:space="preserve"> </w:t>
      </w:r>
      <w:r>
        <w:rPr>
          <w:rFonts w:ascii="SimSun" w:hAnsi="SimSun" w:eastAsia="SimSun" w:cs="SimSun"/>
          <w:sz w:val="24"/>
          <w:szCs w:val="24"/>
          <w:spacing w:val="-3"/>
        </w:rPr>
        <w:t>”为横向产业发展轴线、</w:t>
      </w:r>
      <w:r>
        <w:rPr>
          <w:rFonts w:ascii="SimSun" w:hAnsi="SimSun" w:eastAsia="SimSun" w:cs="SimSun"/>
          <w:sz w:val="24"/>
          <w:szCs w:val="24"/>
        </w:rPr>
        <w:t xml:space="preserve"> </w:t>
      </w:r>
      <w:r>
        <w:rPr>
          <w:rFonts w:ascii="SimSun" w:hAnsi="SimSun" w:eastAsia="SimSun" w:cs="SimSun"/>
          <w:sz w:val="24"/>
          <w:szCs w:val="24"/>
          <w:spacing w:val="2"/>
        </w:rPr>
        <w:t>纵向产业发展轴线。“六节点</w:t>
      </w:r>
      <w:r>
        <w:rPr>
          <w:rFonts w:ascii="SimSun" w:hAnsi="SimSun" w:eastAsia="SimSun" w:cs="SimSun"/>
          <w:sz w:val="24"/>
          <w:szCs w:val="24"/>
          <w:spacing w:val="-84"/>
        </w:rPr>
        <w:t xml:space="preserve"> </w:t>
      </w:r>
      <w:r>
        <w:rPr>
          <w:rFonts w:ascii="SimSun" w:hAnsi="SimSun" w:eastAsia="SimSun" w:cs="SimSun"/>
          <w:sz w:val="24"/>
          <w:szCs w:val="24"/>
          <w:spacing w:val="2"/>
        </w:rPr>
        <w:t>”为位于中心城区的产业综合服务中心、位于朝格</w:t>
      </w:r>
      <w:r>
        <w:rPr>
          <w:rFonts w:ascii="SimSun" w:hAnsi="SimSun" w:eastAsia="SimSun" w:cs="SimSun"/>
          <w:sz w:val="24"/>
          <w:szCs w:val="24"/>
        </w:rPr>
        <w:t xml:space="preserve"> </w:t>
      </w:r>
      <w:r>
        <w:rPr>
          <w:rFonts w:ascii="SimSun" w:hAnsi="SimSun" w:eastAsia="SimSun" w:cs="SimSun"/>
          <w:sz w:val="24"/>
          <w:szCs w:val="24"/>
          <w:spacing w:val="3"/>
        </w:rPr>
        <w:t>温都产业组成区西侧的绿色畜产品加工交易中心、东侧的能源装备产业中心、内</w:t>
      </w:r>
      <w:r>
        <w:rPr>
          <w:rFonts w:ascii="SimSun" w:hAnsi="SimSun" w:eastAsia="SimSun" w:cs="SimSun"/>
          <w:sz w:val="24"/>
          <w:szCs w:val="24"/>
          <w:spacing w:val="1"/>
        </w:rPr>
        <w:t xml:space="preserve"> </w:t>
      </w:r>
      <w:r>
        <w:rPr>
          <w:rFonts w:ascii="SimSun" w:hAnsi="SimSun" w:eastAsia="SimSun" w:cs="SimSun"/>
          <w:sz w:val="24"/>
          <w:szCs w:val="24"/>
          <w:spacing w:val="3"/>
        </w:rPr>
        <w:t>蒙古锡林郭勒承接产业转移开发区（明安图产业园）的新材料产业中心、位于星</w:t>
      </w:r>
      <w:r>
        <w:rPr>
          <w:rFonts w:ascii="SimSun" w:hAnsi="SimSun" w:eastAsia="SimSun" w:cs="SimSun"/>
          <w:sz w:val="24"/>
          <w:szCs w:val="24"/>
          <w:spacing w:val="1"/>
        </w:rPr>
        <w:t xml:space="preserve"> </w:t>
      </w:r>
      <w:r>
        <w:rPr>
          <w:rFonts w:ascii="SimSun" w:hAnsi="SimSun" w:eastAsia="SimSun" w:cs="SimSun"/>
          <w:sz w:val="24"/>
          <w:szCs w:val="24"/>
          <w:spacing w:val="-2"/>
        </w:rPr>
        <w:t>耀镇镇区的京蒙农业科技中心、位于森金宝拉格嘎查的新能源创新发展先导中心。</w:t>
      </w:r>
      <w:r>
        <w:rPr>
          <w:rFonts w:ascii="SimSun" w:hAnsi="SimSun" w:eastAsia="SimSun" w:cs="SimSun"/>
          <w:sz w:val="24"/>
          <w:szCs w:val="24"/>
          <w:spacing w:val="16"/>
        </w:rPr>
        <w:t xml:space="preserve"> </w:t>
      </w:r>
      <w:r>
        <w:rPr>
          <w:rFonts w:ascii="SimSun" w:hAnsi="SimSun" w:eastAsia="SimSun" w:cs="SimSun"/>
          <w:sz w:val="24"/>
          <w:szCs w:val="24"/>
          <w:spacing w:val="1"/>
        </w:rPr>
        <w:t>“</w:t>
      </w:r>
      <w:r>
        <w:rPr>
          <w:rFonts w:ascii="SimSun" w:hAnsi="SimSun" w:eastAsia="SimSun" w:cs="SimSun"/>
          <w:sz w:val="24"/>
          <w:szCs w:val="24"/>
          <w:spacing w:val="-85"/>
        </w:rPr>
        <w:t xml:space="preserve"> </w:t>
      </w:r>
      <w:r>
        <w:rPr>
          <w:rFonts w:ascii="SimSun" w:hAnsi="SimSun" w:eastAsia="SimSun" w:cs="SimSun"/>
          <w:sz w:val="24"/>
          <w:szCs w:val="24"/>
          <w:spacing w:val="1"/>
        </w:rPr>
        <w:t>四基地</w:t>
      </w:r>
      <w:r>
        <w:rPr>
          <w:rFonts w:ascii="SimSun" w:hAnsi="SimSun" w:eastAsia="SimSun" w:cs="SimSun"/>
          <w:sz w:val="24"/>
          <w:szCs w:val="24"/>
          <w:spacing w:val="-86"/>
        </w:rPr>
        <w:t xml:space="preserve"> </w:t>
      </w:r>
      <w:r>
        <w:rPr>
          <w:rFonts w:ascii="SimSun" w:hAnsi="SimSun" w:eastAsia="SimSun" w:cs="SimSun"/>
          <w:sz w:val="24"/>
          <w:szCs w:val="24"/>
          <w:spacing w:val="1"/>
        </w:rPr>
        <w:t>”为种畜繁育基地、分别位于额里图种畜场、阿贵图嘎查、浩尔钦敖包</w:t>
      </w:r>
      <w:r>
        <w:rPr>
          <w:rFonts w:ascii="SimSun" w:hAnsi="SimSun" w:eastAsia="SimSun" w:cs="SimSun"/>
          <w:sz w:val="24"/>
          <w:szCs w:val="24"/>
        </w:rPr>
        <w:t xml:space="preserve"> </w:t>
      </w:r>
      <w:r>
        <w:rPr>
          <w:rFonts w:ascii="SimSun" w:hAnsi="SimSun" w:eastAsia="SimSun" w:cs="SimSun"/>
          <w:sz w:val="24"/>
          <w:szCs w:val="24"/>
          <w:spacing w:val="1"/>
        </w:rPr>
        <w:t>嘎查、乌兰图嘎嘎查的牛羊繁育基地。本项目位于“</w:t>
      </w:r>
      <w:r>
        <w:rPr>
          <w:rFonts w:ascii="SimSun" w:hAnsi="SimSun" w:eastAsia="SimSun" w:cs="SimSun"/>
          <w:sz w:val="24"/>
          <w:szCs w:val="24"/>
          <w:spacing w:val="-86"/>
        </w:rPr>
        <w:t xml:space="preserve"> </w:t>
      </w:r>
      <w:r>
        <w:rPr>
          <w:rFonts w:ascii="SimSun" w:hAnsi="SimSun" w:eastAsia="SimSun" w:cs="SimSun"/>
          <w:sz w:val="24"/>
          <w:szCs w:val="24"/>
          <w:spacing w:val="1"/>
        </w:rPr>
        <w:t>四区</w:t>
      </w:r>
      <w:r>
        <w:rPr>
          <w:rFonts w:ascii="SimSun" w:hAnsi="SimSun" w:eastAsia="SimSun" w:cs="SimSun"/>
          <w:sz w:val="24"/>
          <w:szCs w:val="24"/>
          <w:spacing w:val="-83"/>
        </w:rPr>
        <w:t xml:space="preserve"> </w:t>
      </w:r>
      <w:r>
        <w:rPr>
          <w:rFonts w:ascii="SimSun" w:hAnsi="SimSun" w:eastAsia="SimSun" w:cs="SimSun"/>
          <w:sz w:val="24"/>
          <w:szCs w:val="24"/>
          <w:spacing w:val="1"/>
        </w:rPr>
        <w:t>”中的新兴产业与</w:t>
      </w:r>
      <w:r>
        <w:rPr>
          <w:rFonts w:ascii="SimSun" w:hAnsi="SimSun" w:eastAsia="SimSun" w:cs="SimSun"/>
          <w:sz w:val="24"/>
          <w:szCs w:val="24"/>
        </w:rPr>
        <w:t>农畜 </w:t>
      </w:r>
      <w:r>
        <w:rPr>
          <w:rFonts w:ascii="SimSun" w:hAnsi="SimSun" w:eastAsia="SimSun" w:cs="SimSun"/>
          <w:sz w:val="24"/>
          <w:szCs w:val="24"/>
        </w:rPr>
        <w:t>产品精深加工融合发展区，为农畜产品中的毛、绒加工。</w:t>
      </w:r>
    </w:p>
    <w:p>
      <w:pPr>
        <w:ind w:left="10" w:right="78" w:firstLine="481"/>
        <w:spacing w:before="1" w:line="361" w:lineRule="auto"/>
        <w:rPr>
          <w:rFonts w:ascii="SimSun" w:hAnsi="SimSun" w:eastAsia="SimSun" w:cs="SimSun"/>
          <w:sz w:val="24"/>
          <w:szCs w:val="24"/>
        </w:rPr>
      </w:pPr>
      <w:r>
        <w:rPr>
          <w:rFonts w:ascii="SimSun" w:hAnsi="SimSun" w:eastAsia="SimSun" w:cs="SimSun"/>
          <w:sz w:val="24"/>
          <w:szCs w:val="24"/>
          <w:spacing w:val="3"/>
        </w:rPr>
        <w:t>本项目为羊毛清洗、梳绒产业，符合《锡林郭勒盟正镶白旗国土</w:t>
      </w:r>
      <w:r>
        <w:rPr>
          <w:rFonts w:ascii="SimSun" w:hAnsi="SimSun" w:eastAsia="SimSun" w:cs="SimSun"/>
          <w:sz w:val="24"/>
          <w:szCs w:val="24"/>
          <w:spacing w:val="2"/>
        </w:rPr>
        <w:t>空间总体规</w:t>
      </w:r>
      <w:r>
        <w:rPr>
          <w:rFonts w:ascii="SimSun" w:hAnsi="SimSun" w:eastAsia="SimSun" w:cs="SimSun"/>
          <w:sz w:val="24"/>
          <w:szCs w:val="24"/>
        </w:rPr>
        <w:t xml:space="preserve"> </w:t>
      </w:r>
      <w:r>
        <w:rPr>
          <w:rFonts w:ascii="SimSun" w:hAnsi="SimSun" w:eastAsia="SimSun" w:cs="SimSun"/>
          <w:sz w:val="24"/>
          <w:szCs w:val="24"/>
        </w:rPr>
        <w:t>划（</w:t>
      </w:r>
      <w:r>
        <w:rPr>
          <w:rFonts w:ascii="Times New Roman" w:hAnsi="Times New Roman" w:eastAsia="Times New Roman" w:cs="Times New Roman"/>
          <w:sz w:val="24"/>
          <w:szCs w:val="24"/>
        </w:rPr>
        <w:t>2021-2025</w:t>
      </w:r>
      <w:r>
        <w:rPr>
          <w:rFonts w:ascii="SimSun" w:hAnsi="SimSun" w:eastAsia="SimSun" w:cs="SimSun"/>
          <w:sz w:val="24"/>
          <w:szCs w:val="24"/>
        </w:rPr>
        <w:t>）》国土空间总体格</w:t>
      </w:r>
      <w:r>
        <w:rPr>
          <w:rFonts w:ascii="SimSun" w:hAnsi="SimSun" w:eastAsia="SimSun" w:cs="SimSun"/>
          <w:sz w:val="24"/>
          <w:szCs w:val="24"/>
          <w:spacing w:val="-1"/>
        </w:rPr>
        <w:t>局和产业空间布局结构。</w:t>
      </w:r>
    </w:p>
    <w:p>
      <w:pPr>
        <w:spacing w:line="361" w:lineRule="auto"/>
        <w:sectPr>
          <w:headerReference w:type="default" r:id="rId17"/>
          <w:footerReference w:type="default" r:id="rId18"/>
          <w:pgSz w:w="11907" w:h="16840"/>
          <w:pgMar w:top="1567" w:right="1621" w:bottom="1481" w:left="1699" w:header="1221" w:footer="1247" w:gutter="0"/>
        </w:sectPr>
        <w:rPr>
          <w:rFonts w:ascii="SimSun" w:hAnsi="SimSun" w:eastAsia="SimSun" w:cs="SimSun"/>
          <w:sz w:val="24"/>
          <w:szCs w:val="24"/>
        </w:rPr>
      </w:pPr>
    </w:p>
    <w:p>
      <w:pPr>
        <w:pStyle w:val="BodyText"/>
        <w:rPr/>
      </w:pPr>
      <w:r>
        <w:pict>
          <v:shape id="_x0000_s52" style="position:absolute;margin-left:0pt;margin-top:0.47998pt;mso-position-vertical-relative:text;mso-position-horizontal-relative:text;width:425.25pt;height:0.75pt;z-index:251683840;" fillcolor="#000000" filled="true" stroked="false" coordsize="8505,15" coordorigin="0,0" path="m,l8505,0l8505,14l0,14l0,0xe"/>
        </w:pict>
      </w:r>
      <w:r>
        <w:drawing>
          <wp:anchor distT="0" distB="0" distL="0" distR="0" simplePos="0" relativeHeight="251681792" behindDoc="1" locked="0" layoutInCell="1" allowOverlap="1">
            <wp:simplePos x="0" y="0"/>
            <wp:positionH relativeFrom="column">
              <wp:posOffset>1904</wp:posOffset>
            </wp:positionH>
            <wp:positionV relativeFrom="paragraph">
              <wp:posOffset>92582</wp:posOffset>
            </wp:positionV>
            <wp:extent cx="5398007" cy="6900671"/>
            <wp:effectExtent l="0" t="0" r="0" b="0"/>
            <wp:wrapNone/>
            <wp:docPr id="6" name="IM 6"/>
            <wp:cNvGraphicFramePr/>
            <a:graphic>
              <a:graphicData uri="http://schemas.openxmlformats.org/drawingml/2006/picture">
                <pic:pic>
                  <pic:nvPicPr>
                    <pic:cNvPr id="6" name="IM 6"/>
                    <pic:cNvPicPr/>
                  </pic:nvPicPr>
                  <pic:blipFill>
                    <a:blip r:embed="rId19"/>
                    <a:stretch>
                      <a:fillRect/>
                    </a:stretch>
                  </pic:blipFill>
                  <pic:spPr>
                    <a:xfrm rot="0">
                      <a:off x="0" y="0"/>
                      <a:ext cx="5398007" cy="6900671"/>
                    </a:xfrm>
                    <a:prstGeom prst="rect">
                      <a:avLst/>
                    </a:prstGeom>
                  </pic:spPr>
                </pic:pic>
              </a:graphicData>
            </a:graphic>
          </wp:anchor>
        </w:drawing>
      </w: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ind w:firstLine="2891"/>
        <w:spacing w:line="1521" w:lineRule="exact"/>
        <w:rPr/>
      </w:pPr>
      <w:r>
        <w:rPr>
          <w:position w:val="-30"/>
        </w:rPr>
        <w:pict>
          <v:group id="_x0000_s54" style="mso-position-vertical-relative:line;mso-position-horizontal-relative:char;width:78.35pt;height:76.05pt;" filled="false" stroked="false" coordsize="1566,1521" coordorigin="0,0">
            <v:shape id="_x0000_s56" style="position:absolute;left:0;top:0;width:1566;height:1521;" filled="false" stroked="false" type="#_x0000_t75">
              <v:imagedata o:title="" r:id="rId20"/>
            </v:shape>
            <v:shape id="_x0000_s58" style="position:absolute;left:-20;top:-20;width:1606;height:1561;" filled="false" stroked="false" type="#_x0000_t202">
              <v:fill on="false"/>
              <v:stroke on="false"/>
              <v:path/>
              <v:imagedata o:title=""/>
              <o:lock v:ext="edit" aspectratio="false"/>
              <v:textbox inset="0mm,0mm,0mm,0mm">
                <w:txbxContent>
                  <w:p>
                    <w:pPr>
                      <w:ind w:left="292"/>
                      <w:spacing w:before="172" w:line="227" w:lineRule="auto"/>
                      <w:rPr>
                        <w:rFonts w:ascii="SimSun" w:hAnsi="SimSun" w:eastAsia="SimSun" w:cs="SimSun"/>
                        <w:sz w:val="20"/>
                        <w:szCs w:val="20"/>
                      </w:rPr>
                    </w:pPr>
                    <w:r>
                      <w:rPr>
                        <w:rFonts w:ascii="SimSun" w:hAnsi="SimSun" w:eastAsia="SimSun" w:cs="SimSun"/>
                        <w:sz w:val="20"/>
                        <w:szCs w:val="20"/>
                        <w:spacing w:val="6"/>
                      </w:rPr>
                      <w:t>本项目</w:t>
                    </w:r>
                  </w:p>
                </w:txbxContent>
              </v:textbox>
            </v:shape>
          </v:group>
        </w:pict>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2" w:lineRule="auto"/>
        <w:rPr/>
      </w:pPr>
      <w:r/>
    </w:p>
    <w:p>
      <w:pPr>
        <w:pStyle w:val="BodyText"/>
        <w:spacing w:line="252" w:lineRule="auto"/>
        <w:rPr/>
      </w:pPr>
      <w:r/>
    </w:p>
    <w:p>
      <w:pPr>
        <w:pStyle w:val="BodyText"/>
        <w:spacing w:line="252" w:lineRule="auto"/>
        <w:rPr/>
      </w:pPr>
      <w:r/>
    </w:p>
    <w:p>
      <w:pPr>
        <w:ind w:left="1775"/>
        <w:spacing w:before="78" w:line="219" w:lineRule="auto"/>
        <w:rPr>
          <w:rFonts w:ascii="SimSun" w:hAnsi="SimSun" w:eastAsia="SimSun" w:cs="SimSun"/>
          <w:sz w:val="24"/>
          <w:szCs w:val="24"/>
        </w:rPr>
      </w:pPr>
      <w:bookmarkStart w:name="bookmark8" w:id="9"/>
      <w:bookmarkEnd w:id="9"/>
      <w:r>
        <w:rPr>
          <w:rFonts w:ascii="SimSun" w:hAnsi="SimSun" w:eastAsia="SimSun" w:cs="SimSun"/>
          <w:sz w:val="24"/>
          <w:szCs w:val="24"/>
          <w:b/>
          <w:bCs/>
          <w:spacing w:val="-3"/>
        </w:rPr>
        <w:t>图</w:t>
      </w:r>
      <w:r>
        <w:rPr>
          <w:rFonts w:ascii="SimSun" w:hAnsi="SimSun" w:eastAsia="SimSun" w:cs="SimSun"/>
          <w:sz w:val="24"/>
          <w:szCs w:val="24"/>
          <w:spacing w:val="-37"/>
        </w:rPr>
        <w:t xml:space="preserve"> </w:t>
      </w:r>
      <w:r>
        <w:rPr>
          <w:rFonts w:ascii="Times New Roman" w:hAnsi="Times New Roman" w:eastAsia="Times New Roman" w:cs="Times New Roman"/>
          <w:sz w:val="24"/>
          <w:szCs w:val="24"/>
          <w:b/>
          <w:bCs/>
          <w:spacing w:val="-3"/>
        </w:rPr>
        <w:t>1.4-1      </w:t>
      </w:r>
      <w:r>
        <w:rPr>
          <w:rFonts w:ascii="SimSun" w:hAnsi="SimSun" w:eastAsia="SimSun" w:cs="SimSun"/>
          <w:sz w:val="24"/>
          <w:szCs w:val="24"/>
          <w:b/>
          <w:bCs/>
          <w:spacing w:val="-3"/>
        </w:rPr>
        <w:t>项目在正镶白旗产业空间布局位置图</w:t>
      </w:r>
    </w:p>
    <w:p>
      <w:pPr>
        <w:pStyle w:val="BodyText"/>
        <w:spacing w:line="252" w:lineRule="auto"/>
        <w:rPr/>
      </w:pPr>
      <w:r/>
    </w:p>
    <w:p>
      <w:pPr>
        <w:ind w:left="33"/>
        <w:spacing w:before="91" w:line="224" w:lineRule="auto"/>
        <w:outlineLvl w:val="2"/>
        <w:rPr>
          <w:rFonts w:ascii="SimHei" w:hAnsi="SimHei" w:eastAsia="SimHei" w:cs="SimHei"/>
          <w:sz w:val="28"/>
          <w:szCs w:val="28"/>
        </w:rPr>
      </w:pPr>
      <w:bookmarkStart w:name="bookmark215" w:id="10"/>
      <w:bookmarkEnd w:id="10"/>
      <w:r>
        <w:rPr>
          <w:rFonts w:ascii="Times New Roman" w:hAnsi="Times New Roman" w:eastAsia="Times New Roman" w:cs="Times New Roman"/>
          <w:sz w:val="28"/>
          <w:szCs w:val="28"/>
          <w:spacing w:val="-3"/>
        </w:rPr>
        <w:t>1.4.3 </w:t>
      </w:r>
      <w:r>
        <w:rPr>
          <w:rFonts w:ascii="SimHei" w:hAnsi="SimHei" w:eastAsia="SimHei" w:cs="SimHei"/>
          <w:sz w:val="28"/>
          <w:szCs w:val="28"/>
          <w:spacing w:val="-3"/>
        </w:rPr>
        <w:t>选址合理性</w:t>
      </w:r>
    </w:p>
    <w:p>
      <w:pPr>
        <w:pStyle w:val="BodyText"/>
        <w:spacing w:line="275" w:lineRule="auto"/>
        <w:rPr/>
      </w:pPr>
      <w:r/>
    </w:p>
    <w:p>
      <w:pPr>
        <w:ind w:left="38" w:firstLine="452"/>
        <w:spacing w:before="78" w:line="362" w:lineRule="auto"/>
        <w:rPr>
          <w:rFonts w:ascii="SimSun" w:hAnsi="SimSun" w:eastAsia="SimSun" w:cs="SimSun"/>
          <w:sz w:val="24"/>
          <w:szCs w:val="24"/>
        </w:rPr>
      </w:pPr>
      <w:r>
        <w:rPr>
          <w:rFonts w:ascii="SimSun" w:hAnsi="SimSun" w:eastAsia="SimSun" w:cs="SimSun"/>
          <w:sz w:val="24"/>
          <w:szCs w:val="24"/>
          <w:spacing w:val="3"/>
        </w:rPr>
        <w:t>本项目位于锡林郭勒盟正镶白旗明安图镇乌宁巴图西街，项目所</w:t>
      </w:r>
      <w:r>
        <w:rPr>
          <w:rFonts w:ascii="SimSun" w:hAnsi="SimSun" w:eastAsia="SimSun" w:cs="SimSun"/>
          <w:sz w:val="24"/>
          <w:szCs w:val="24"/>
          <w:spacing w:val="2"/>
        </w:rPr>
        <w:t>在地满足供</w:t>
      </w:r>
      <w:r>
        <w:rPr>
          <w:rFonts w:ascii="SimSun" w:hAnsi="SimSun" w:eastAsia="SimSun" w:cs="SimSun"/>
          <w:sz w:val="24"/>
          <w:szCs w:val="24"/>
        </w:rPr>
        <w:t xml:space="preserve"> </w:t>
      </w:r>
      <w:r>
        <w:rPr>
          <w:rFonts w:ascii="SimSun" w:hAnsi="SimSun" w:eastAsia="SimSun" w:cs="SimSun"/>
          <w:sz w:val="24"/>
          <w:szCs w:val="24"/>
          <w:spacing w:val="2"/>
        </w:rPr>
        <w:t>电、供水、通讯及运输的要求，且建设条件相对较好；项目选址不涉及自</w:t>
      </w:r>
      <w:r>
        <w:rPr>
          <w:rFonts w:ascii="SimSun" w:hAnsi="SimSun" w:eastAsia="SimSun" w:cs="SimSun"/>
          <w:sz w:val="24"/>
          <w:szCs w:val="24"/>
          <w:spacing w:val="1"/>
        </w:rPr>
        <w:t>然保护</w:t>
      </w:r>
    </w:p>
    <w:p>
      <w:pPr>
        <w:pStyle w:val="BodyText"/>
        <w:spacing w:line="258" w:lineRule="auto"/>
        <w:rPr/>
      </w:pPr>
      <w:r/>
    </w:p>
    <w:p>
      <w:pPr>
        <w:ind w:right="2"/>
        <w:spacing w:before="61" w:line="227" w:lineRule="auto"/>
        <w:jc w:val="right"/>
        <w:rPr>
          <w:rFonts w:ascii="SimSun" w:hAnsi="SimSun" w:eastAsia="SimSun" w:cs="SimSun"/>
          <w:sz w:val="19"/>
          <w:szCs w:val="19"/>
        </w:rPr>
      </w:pPr>
      <w:r>
        <w:pict>
          <v:shape id="_x0000_s60" style="position:absolute;margin-left:209.777pt;margin-top:2.0955pt;mso-position-vertical-relative:text;mso-position-horizontal-relative:text;width:56.45pt;height:13.75pt;z-index:251682816;"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3"/>
                      <w:position w:val="2"/>
                    </w:rPr>
                    <w:t>6</w:t>
                  </w:r>
                  <w:r>
                    <w:rPr>
                      <w:rFonts w:ascii="Times New Roman" w:hAnsi="Times New Roman" w:eastAsia="Times New Roman" w:cs="Times New Roman"/>
                      <w:sz w:val="18"/>
                      <w:szCs w:val="18"/>
                      <w:spacing w:val="1"/>
                      <w:position w:val="2"/>
                    </w:rPr>
                    <w:t xml:space="preserve">         </w:t>
                  </w:r>
                  <w:r>
                    <w:rPr>
                      <w:rFonts w:ascii="SimSun" w:hAnsi="SimSun" w:eastAsia="SimSun" w:cs="SimSun"/>
                      <w:sz w:val="19"/>
                      <w:szCs w:val="19"/>
                      <w:spacing w:val="3"/>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12"/>
          <w:footerReference w:type="default" r:id="rId3"/>
          <w:pgSz w:w="11907" w:h="16840"/>
          <w:pgMar w:top="1567" w:right="1699" w:bottom="400" w:left="1701" w:header="1221" w:footer="0" w:gutter="0"/>
        </w:sectPr>
        <w:rPr>
          <w:rFonts w:ascii="SimSun" w:hAnsi="SimSun" w:eastAsia="SimSun" w:cs="SimSun"/>
          <w:sz w:val="19"/>
          <w:szCs w:val="19"/>
        </w:rPr>
      </w:pPr>
    </w:p>
    <w:p>
      <w:pPr>
        <w:ind w:left="8" w:right="21" w:firstLine="18"/>
        <w:spacing w:before="188" w:line="359" w:lineRule="auto"/>
        <w:jc w:val="both"/>
        <w:rPr>
          <w:rFonts w:ascii="SimSun" w:hAnsi="SimSun" w:eastAsia="SimSun" w:cs="SimSun"/>
          <w:sz w:val="24"/>
          <w:szCs w:val="24"/>
        </w:rPr>
      </w:pPr>
      <w:r>
        <w:pict>
          <v:shape id="_x0000_s62" style="position:absolute;margin-left:85.05pt;margin-top:79.11pt;mso-position-vertical-relative:page;mso-position-horizontal-relative:page;width:425.25pt;height:0.75pt;z-index:251684864;" o:allowincell="f" fillcolor="#000000" filled="true" stroked="false" coordsize="8505,15" coordorigin="0,0" path="m,l8505,0l8505,14l0,14l0,0xe"/>
        </w:pict>
      </w:r>
      <w:r>
        <w:rPr>
          <w:rFonts w:ascii="SimSun" w:hAnsi="SimSun" w:eastAsia="SimSun" w:cs="SimSun"/>
          <w:sz w:val="24"/>
          <w:szCs w:val="24"/>
          <w:spacing w:val="-3"/>
        </w:rPr>
        <w:t>区、风景名胜区、饮用水水源保护区及其他依法划定需要特别保护的环境敏感区；</w:t>
      </w:r>
      <w:r>
        <w:rPr>
          <w:rFonts w:ascii="SimSun" w:hAnsi="SimSun" w:eastAsia="SimSun" w:cs="SimSun"/>
          <w:sz w:val="24"/>
          <w:szCs w:val="24"/>
          <w:spacing w:val="1"/>
        </w:rPr>
        <w:t xml:space="preserve"> </w:t>
      </w:r>
      <w:r>
        <w:rPr>
          <w:rFonts w:ascii="SimSun" w:hAnsi="SimSun" w:eastAsia="SimSun" w:cs="SimSun"/>
          <w:sz w:val="24"/>
          <w:szCs w:val="24"/>
          <w:spacing w:val="3"/>
        </w:rPr>
        <w:t>项目产生的生产废水及冲厕生活污水均进入厌氧发酵装置</w:t>
      </w:r>
      <w:r>
        <w:rPr>
          <w:rFonts w:ascii="SimSun" w:hAnsi="SimSun" w:eastAsia="SimSun" w:cs="SimSun"/>
          <w:sz w:val="24"/>
          <w:szCs w:val="24"/>
          <w:spacing w:val="2"/>
        </w:rPr>
        <w:t>，不外排，洗浴及餐厅</w:t>
      </w:r>
      <w:r>
        <w:rPr>
          <w:rFonts w:ascii="SimSun" w:hAnsi="SimSun" w:eastAsia="SimSun" w:cs="SimSun"/>
          <w:sz w:val="24"/>
          <w:szCs w:val="24"/>
        </w:rPr>
        <w:t xml:space="preserve"> </w:t>
      </w:r>
      <w:r>
        <w:rPr>
          <w:rFonts w:ascii="SimSun" w:hAnsi="SimSun" w:eastAsia="SimSun" w:cs="SimSun"/>
          <w:sz w:val="24"/>
          <w:szCs w:val="24"/>
          <w:spacing w:val="3"/>
        </w:rPr>
        <w:t>废水、锅炉及软化装置排水通过独立管道排入市政污水管</w:t>
      </w:r>
      <w:r>
        <w:rPr>
          <w:rFonts w:ascii="SimSun" w:hAnsi="SimSun" w:eastAsia="SimSun" w:cs="SimSun"/>
          <w:sz w:val="24"/>
          <w:szCs w:val="24"/>
          <w:spacing w:val="2"/>
        </w:rPr>
        <w:t>网，进入明安图污水处</w:t>
      </w:r>
      <w:r>
        <w:rPr>
          <w:rFonts w:ascii="SimSun" w:hAnsi="SimSun" w:eastAsia="SimSun" w:cs="SimSun"/>
          <w:sz w:val="24"/>
          <w:szCs w:val="24"/>
        </w:rPr>
        <w:t xml:space="preserve"> </w:t>
      </w:r>
      <w:r>
        <w:rPr>
          <w:rFonts w:ascii="SimSun" w:hAnsi="SimSun" w:eastAsia="SimSun" w:cs="SimSun"/>
          <w:sz w:val="24"/>
          <w:szCs w:val="24"/>
          <w:spacing w:val="4"/>
        </w:rPr>
        <w:t>理厂，废水均不进入地表水环境，不会对周边</w:t>
      </w:r>
      <w:r>
        <w:rPr>
          <w:rFonts w:ascii="SimSun" w:hAnsi="SimSun" w:eastAsia="SimSun" w:cs="SimSun"/>
          <w:sz w:val="24"/>
          <w:szCs w:val="24"/>
          <w:spacing w:val="3"/>
        </w:rPr>
        <w:t>地表水造成影响；根据现场调查，</w:t>
      </w:r>
      <w:r>
        <w:rPr>
          <w:rFonts w:ascii="SimSun" w:hAnsi="SimSun" w:eastAsia="SimSun" w:cs="SimSun"/>
          <w:sz w:val="24"/>
          <w:szCs w:val="24"/>
        </w:rPr>
        <w:t xml:space="preserve"> </w:t>
      </w:r>
      <w:r>
        <w:rPr>
          <w:rFonts w:ascii="SimSun" w:hAnsi="SimSun" w:eastAsia="SimSun" w:cs="SimSun"/>
          <w:sz w:val="24"/>
          <w:szCs w:val="24"/>
          <w:spacing w:val="-4"/>
        </w:rPr>
        <w:t>距离最近的居民为北侧</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4"/>
        </w:rPr>
        <w:t>180m </w:t>
      </w:r>
      <w:r>
        <w:rPr>
          <w:rFonts w:ascii="SimSun" w:hAnsi="SimSun" w:eastAsia="SimSun" w:cs="SimSun"/>
          <w:sz w:val="24"/>
          <w:szCs w:val="24"/>
          <w:spacing w:val="-4"/>
        </w:rPr>
        <w:t>有</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户散户，本项目运营期在严加管理和措施到位情</w:t>
      </w:r>
      <w:r>
        <w:rPr>
          <w:rFonts w:ascii="SimSun" w:hAnsi="SimSun" w:eastAsia="SimSun" w:cs="SimSun"/>
          <w:sz w:val="24"/>
          <w:szCs w:val="24"/>
        </w:rPr>
        <w:t xml:space="preserve"> </w:t>
      </w:r>
      <w:r>
        <w:rPr>
          <w:rFonts w:ascii="SimSun" w:hAnsi="SimSun" w:eastAsia="SimSun" w:cs="SimSun"/>
          <w:sz w:val="24"/>
          <w:szCs w:val="24"/>
        </w:rPr>
        <w:t>况下，废水、废气、固废及环境风险等对周围环境</w:t>
      </w:r>
      <w:r>
        <w:rPr>
          <w:rFonts w:ascii="SimSun" w:hAnsi="SimSun" w:eastAsia="SimSun" w:cs="SimSun"/>
          <w:sz w:val="24"/>
          <w:szCs w:val="24"/>
          <w:spacing w:val="-1"/>
        </w:rPr>
        <w:t>的影响是可以接受的。</w:t>
      </w:r>
    </w:p>
    <w:p>
      <w:pPr>
        <w:spacing w:line="218" w:lineRule="auto"/>
        <w:jc w:val="right"/>
        <w:rPr>
          <w:rFonts w:ascii="SimSun" w:hAnsi="SimSun" w:eastAsia="SimSun" w:cs="SimSun"/>
          <w:sz w:val="24"/>
          <w:szCs w:val="24"/>
        </w:rPr>
      </w:pPr>
      <w:r>
        <w:rPr>
          <w:rFonts w:ascii="SimSun" w:hAnsi="SimSun" w:eastAsia="SimSun" w:cs="SimSun"/>
          <w:sz w:val="24"/>
          <w:szCs w:val="24"/>
          <w:spacing w:val="-2"/>
        </w:rPr>
        <w:t>综上，本项目在各项环保措施及跟踪监测落实到位的前提下，项目选址可</w:t>
      </w:r>
      <w:r>
        <w:rPr>
          <w:rFonts w:ascii="SimSun" w:hAnsi="SimSun" w:eastAsia="SimSun" w:cs="SimSun"/>
          <w:sz w:val="24"/>
          <w:szCs w:val="24"/>
          <w:spacing w:val="-3"/>
        </w:rPr>
        <w:t>行。</w:t>
      </w:r>
    </w:p>
    <w:p>
      <w:pPr>
        <w:ind w:left="33"/>
        <w:spacing w:before="187" w:line="222" w:lineRule="auto"/>
        <w:outlineLvl w:val="2"/>
        <w:rPr>
          <w:rFonts w:ascii="SimHei" w:hAnsi="SimHei" w:eastAsia="SimHei" w:cs="SimHei"/>
          <w:sz w:val="28"/>
          <w:szCs w:val="28"/>
        </w:rPr>
      </w:pPr>
      <w:bookmarkStart w:name="bookmark9" w:id="11"/>
      <w:bookmarkEnd w:id="11"/>
      <w:r>
        <w:rPr>
          <w:rFonts w:ascii="Times New Roman" w:hAnsi="Times New Roman" w:eastAsia="Times New Roman" w:cs="Times New Roman"/>
          <w:sz w:val="28"/>
          <w:szCs w:val="28"/>
          <w:spacing w:val="-3"/>
        </w:rPr>
        <w:t>1.4.4 </w:t>
      </w:r>
      <w:r>
        <w:rPr>
          <w:rFonts w:ascii="SimHei" w:hAnsi="SimHei" w:eastAsia="SimHei" w:cs="SimHei"/>
          <w:sz w:val="28"/>
          <w:szCs w:val="28"/>
          <w:spacing w:val="-3"/>
        </w:rPr>
        <w:t>用地符合性分析</w:t>
      </w:r>
    </w:p>
    <w:p>
      <w:pPr>
        <w:pStyle w:val="BodyText"/>
        <w:spacing w:line="279" w:lineRule="auto"/>
        <w:rPr/>
      </w:pPr>
      <w:r/>
    </w:p>
    <w:p>
      <w:pPr>
        <w:ind w:left="10" w:right="80" w:firstLine="480"/>
        <w:spacing w:before="78" w:line="385" w:lineRule="auto"/>
        <w:jc w:val="both"/>
        <w:rPr>
          <w:rFonts w:ascii="SimSun" w:hAnsi="SimSun" w:eastAsia="SimSun" w:cs="SimSun"/>
          <w:sz w:val="24"/>
          <w:szCs w:val="24"/>
        </w:rPr>
      </w:pPr>
      <w:r>
        <w:rPr>
          <w:rFonts w:ascii="SimSun" w:hAnsi="SimSun" w:eastAsia="SimSun" w:cs="SimSun"/>
          <w:sz w:val="24"/>
          <w:szCs w:val="24"/>
          <w:spacing w:val="3"/>
        </w:rPr>
        <w:t>本项目位于锡林郭勒明安图镇乌宁巴图西街，包含两个厂</w:t>
      </w:r>
      <w:r>
        <w:rPr>
          <w:rFonts w:ascii="SimSun" w:hAnsi="SimSun" w:eastAsia="SimSun" w:cs="SimSun"/>
          <w:sz w:val="24"/>
          <w:szCs w:val="24"/>
          <w:spacing w:val="2"/>
        </w:rPr>
        <w:t>区，分别为西厂区</w:t>
      </w:r>
      <w:r>
        <w:rPr>
          <w:rFonts w:ascii="SimSun" w:hAnsi="SimSun" w:eastAsia="SimSun" w:cs="SimSun"/>
          <w:sz w:val="24"/>
          <w:szCs w:val="24"/>
        </w:rPr>
        <w:t xml:space="preserve"> </w:t>
      </w:r>
      <w:r>
        <w:rPr>
          <w:rFonts w:ascii="SimSun" w:hAnsi="SimSun" w:eastAsia="SimSun" w:cs="SimSun"/>
          <w:sz w:val="24"/>
          <w:szCs w:val="24"/>
          <w:spacing w:val="-1"/>
        </w:rPr>
        <w:t>和东厂区，两个厂区边界距离</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20m</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1"/>
        </w:rPr>
        <w:t>。东厂区占地面积为</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11703.99m</w:t>
      </w:r>
      <w:r>
        <w:rPr>
          <w:rFonts w:ascii="Times New Roman" w:hAnsi="Times New Roman" w:eastAsia="Times New Roman" w:cs="Times New Roman"/>
          <w:sz w:val="15"/>
          <w:szCs w:val="15"/>
          <w:spacing w:val="-1"/>
          <w:position w:val="8"/>
        </w:rPr>
        <w:t>2</w:t>
      </w:r>
      <w:r>
        <w:rPr>
          <w:rFonts w:ascii="Times New Roman" w:hAnsi="Times New Roman" w:eastAsia="Times New Roman" w:cs="Times New Roman"/>
          <w:sz w:val="15"/>
          <w:szCs w:val="15"/>
          <w:spacing w:val="-8"/>
          <w:position w:val="8"/>
        </w:rPr>
        <w:t xml:space="preserve"> </w:t>
      </w:r>
      <w:r>
        <w:rPr>
          <w:rFonts w:ascii="SimSun" w:hAnsi="SimSun" w:eastAsia="SimSun" w:cs="SimSun"/>
          <w:sz w:val="24"/>
          <w:szCs w:val="24"/>
          <w:spacing w:val="-1"/>
        </w:rPr>
        <w:t>，西厂</w:t>
      </w:r>
      <w:r>
        <w:rPr>
          <w:rFonts w:ascii="SimSun" w:hAnsi="SimSun" w:eastAsia="SimSun" w:cs="SimSun"/>
          <w:sz w:val="24"/>
          <w:szCs w:val="24"/>
          <w:spacing w:val="-2"/>
        </w:rPr>
        <w:t>区占地</w:t>
      </w:r>
      <w:r>
        <w:rPr>
          <w:rFonts w:ascii="SimSun" w:hAnsi="SimSun" w:eastAsia="SimSun" w:cs="SimSun"/>
          <w:sz w:val="24"/>
          <w:szCs w:val="24"/>
        </w:rPr>
        <w:t xml:space="preserve"> </w:t>
      </w:r>
      <w:r>
        <w:rPr>
          <w:rFonts w:ascii="SimSun" w:hAnsi="SimSun" w:eastAsia="SimSun" w:cs="SimSun"/>
          <w:sz w:val="24"/>
          <w:szCs w:val="24"/>
          <w:spacing w:val="-2"/>
        </w:rPr>
        <w:t>面积为</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2"/>
        </w:rPr>
        <w:t>20729.85m</w:t>
      </w:r>
      <w:r>
        <w:rPr>
          <w:rFonts w:ascii="Times New Roman" w:hAnsi="Times New Roman" w:eastAsia="Times New Roman" w:cs="Times New Roman"/>
          <w:sz w:val="15"/>
          <w:szCs w:val="15"/>
          <w:spacing w:val="-2"/>
          <w:position w:val="7"/>
        </w:rPr>
        <w:t>2</w:t>
      </w:r>
      <w:r>
        <w:rPr>
          <w:rFonts w:ascii="Times New Roman" w:hAnsi="Times New Roman" w:eastAsia="Times New Roman" w:cs="Times New Roman"/>
          <w:sz w:val="15"/>
          <w:szCs w:val="15"/>
          <w:spacing w:val="-8"/>
          <w:position w:val="7"/>
        </w:rPr>
        <w:t xml:space="preserve"> </w:t>
      </w:r>
      <w:r>
        <w:rPr>
          <w:rFonts w:ascii="SimSun" w:hAnsi="SimSun" w:eastAsia="SimSun" w:cs="SimSun"/>
          <w:sz w:val="24"/>
          <w:szCs w:val="24"/>
          <w:spacing w:val="-2"/>
        </w:rPr>
        <w:t>，本项目总占地面积为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32433.84m</w:t>
      </w:r>
      <w:r>
        <w:rPr>
          <w:rFonts w:ascii="Times New Roman" w:hAnsi="Times New Roman" w:eastAsia="Times New Roman" w:cs="Times New Roman"/>
          <w:sz w:val="15"/>
          <w:szCs w:val="15"/>
          <w:spacing w:val="-2"/>
          <w:position w:val="7"/>
        </w:rPr>
        <w:t>2</w:t>
      </w:r>
      <w:r>
        <w:rPr>
          <w:rFonts w:ascii="SimSun" w:hAnsi="SimSun" w:eastAsia="SimSun" w:cs="SimSun"/>
          <w:sz w:val="24"/>
          <w:szCs w:val="24"/>
          <w:spacing w:val="-2"/>
        </w:rPr>
        <w:t>。</w:t>
      </w:r>
    </w:p>
    <w:p>
      <w:pPr>
        <w:ind w:left="9" w:right="18" w:firstLine="480"/>
        <w:spacing w:before="4" w:line="384" w:lineRule="auto"/>
        <w:jc w:val="both"/>
        <w:rPr>
          <w:rFonts w:ascii="SimSun" w:hAnsi="SimSun" w:eastAsia="SimSun" w:cs="SimSun"/>
          <w:sz w:val="24"/>
          <w:szCs w:val="24"/>
        </w:rPr>
      </w:pPr>
      <w:r>
        <w:rPr>
          <w:rFonts w:ascii="SimSun" w:hAnsi="SimSun" w:eastAsia="SimSun" w:cs="SimSun"/>
          <w:sz w:val="24"/>
          <w:szCs w:val="24"/>
          <w:spacing w:val="3"/>
        </w:rPr>
        <w:t>本项目西厂区为内蒙古源浩羊绒制品有限公司购买原正镶白旗宏</w:t>
      </w:r>
      <w:r>
        <w:rPr>
          <w:rFonts w:ascii="SimSun" w:hAnsi="SimSun" w:eastAsia="SimSun" w:cs="SimSun"/>
          <w:sz w:val="24"/>
          <w:szCs w:val="24"/>
          <w:spacing w:val="2"/>
        </w:rPr>
        <w:t>业毛纺织有</w:t>
      </w:r>
      <w:r>
        <w:rPr>
          <w:rFonts w:ascii="SimSun" w:hAnsi="SimSun" w:eastAsia="SimSun" w:cs="SimSun"/>
          <w:sz w:val="24"/>
          <w:szCs w:val="24"/>
        </w:rPr>
        <w:t xml:space="preserve"> </w:t>
      </w:r>
      <w:r>
        <w:rPr>
          <w:rFonts w:ascii="SimSun" w:hAnsi="SimSun" w:eastAsia="SimSun" w:cs="SimSun"/>
          <w:sz w:val="24"/>
          <w:szCs w:val="24"/>
        </w:rPr>
        <w:t>限公司闲置厂区，正镶白旗宏业毛纺织有限公司原有设备均要拆除（</w:t>
      </w:r>
      <w:r>
        <w:rPr>
          <w:rFonts w:ascii="SimSun" w:hAnsi="SimSun" w:eastAsia="SimSun" w:cs="SimSun"/>
          <w:sz w:val="24"/>
          <w:szCs w:val="24"/>
          <w:spacing w:val="-28"/>
        </w:rPr>
        <w:t xml:space="preserve"> </w:t>
      </w:r>
      <w:r>
        <w:rPr>
          <w:rFonts w:ascii="SimSun" w:hAnsi="SimSun" w:eastAsia="SimSun" w:cs="SimSun"/>
          <w:sz w:val="24"/>
          <w:szCs w:val="24"/>
        </w:rPr>
        <w:t>目前厂区剩 </w:t>
      </w:r>
      <w:r>
        <w:rPr>
          <w:rFonts w:ascii="SimSun" w:hAnsi="SimSun" w:eastAsia="SimSun" w:cs="SimSun"/>
          <w:sz w:val="24"/>
          <w:szCs w:val="24"/>
          <w:spacing w:val="3"/>
        </w:rPr>
        <w:t>余原宏业一条洗毛线未拆除，待本项目批复后，</w:t>
      </w:r>
      <w:r>
        <w:rPr>
          <w:rFonts w:ascii="SimSun" w:hAnsi="SimSun" w:eastAsia="SimSun" w:cs="SimSun"/>
          <w:sz w:val="24"/>
          <w:szCs w:val="24"/>
          <w:spacing w:val="2"/>
        </w:rPr>
        <w:t>洗毛线将拆除，更换新设备</w:t>
      </w:r>
      <w:r>
        <w:rPr>
          <w:rFonts w:ascii="SimSun" w:hAnsi="SimSun" w:eastAsia="SimSun" w:cs="SimSun"/>
          <w:sz w:val="24"/>
          <w:szCs w:val="24"/>
          <w:spacing w:val="18"/>
        </w:rPr>
        <w:t>），</w:t>
      </w:r>
      <w:r>
        <w:rPr>
          <w:rFonts w:ascii="SimSun" w:hAnsi="SimSun" w:eastAsia="SimSun" w:cs="SimSun"/>
          <w:sz w:val="24"/>
          <w:szCs w:val="24"/>
          <w:spacing w:val="1"/>
        </w:rPr>
        <w:t xml:space="preserve"> </w:t>
      </w:r>
      <w:r>
        <w:rPr>
          <w:rFonts w:ascii="SimSun" w:hAnsi="SimSun" w:eastAsia="SimSun" w:cs="SimSun"/>
          <w:sz w:val="24"/>
          <w:szCs w:val="24"/>
        </w:rPr>
        <w:t>用地类型为工业用地（见附件</w:t>
      </w:r>
      <w:r>
        <w:rPr>
          <w:rFonts w:ascii="Times New Roman" w:hAnsi="Times New Roman" w:eastAsia="Times New Roman" w:cs="Times New Roman"/>
          <w:sz w:val="24"/>
          <w:szCs w:val="24"/>
        </w:rPr>
        <w:t>3</w:t>
      </w:r>
      <w:r>
        <w:rPr>
          <w:rFonts w:ascii="SimSun" w:hAnsi="SimSun" w:eastAsia="SimSun" w:cs="SimSun"/>
          <w:sz w:val="24"/>
          <w:szCs w:val="24"/>
          <w:spacing w:val="-14"/>
        </w:rPr>
        <w:t>）；</w:t>
      </w:r>
      <w:r>
        <w:rPr>
          <w:rFonts w:ascii="SimSun" w:hAnsi="SimSun" w:eastAsia="SimSun" w:cs="SimSun"/>
          <w:sz w:val="24"/>
          <w:szCs w:val="24"/>
        </w:rPr>
        <w:t>东厂区为内蒙古源浩羊绒制品有限公司购买正 </w:t>
      </w:r>
      <w:r>
        <w:rPr>
          <w:rFonts w:ascii="SimSun" w:hAnsi="SimSun" w:eastAsia="SimSun" w:cs="SimSun"/>
          <w:sz w:val="24"/>
          <w:szCs w:val="24"/>
          <w:spacing w:val="-3"/>
        </w:rPr>
        <w:t>镶白旗鸿泰绒毛有限公司</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6200m</w:t>
      </w:r>
      <w:r>
        <w:rPr>
          <w:rFonts w:ascii="Times New Roman" w:hAnsi="Times New Roman" w:eastAsia="Times New Roman" w:cs="Times New Roman"/>
          <w:sz w:val="15"/>
          <w:szCs w:val="15"/>
          <w:spacing w:val="-3"/>
          <w:position w:val="8"/>
        </w:rPr>
        <w:t>2</w:t>
      </w:r>
      <w:r>
        <w:rPr>
          <w:rFonts w:ascii="Times New Roman" w:hAnsi="Times New Roman" w:eastAsia="Times New Roman" w:cs="Times New Roman"/>
          <w:sz w:val="15"/>
          <w:szCs w:val="15"/>
          <w:spacing w:val="12"/>
          <w:w w:val="102"/>
          <w:position w:val="8"/>
        </w:rPr>
        <w:t xml:space="preserve"> </w:t>
      </w:r>
      <w:r>
        <w:rPr>
          <w:rFonts w:ascii="SimSun" w:hAnsi="SimSun" w:eastAsia="SimSun" w:cs="SimSun"/>
          <w:sz w:val="24"/>
          <w:szCs w:val="24"/>
          <w:spacing w:val="-3"/>
        </w:rPr>
        <w:t>和许东亮（原为机动车检车站）</w:t>
      </w:r>
      <w:r>
        <w:rPr>
          <w:rFonts w:ascii="SimSun" w:hAnsi="SimSun" w:eastAsia="SimSun" w:cs="SimSun"/>
          <w:sz w:val="24"/>
          <w:szCs w:val="24"/>
          <w:spacing w:val="-4"/>
        </w:rPr>
        <w:t>个人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5503.99m</w:t>
      </w:r>
      <w:r>
        <w:rPr>
          <w:rFonts w:ascii="Times New Roman" w:hAnsi="Times New Roman" w:eastAsia="Times New Roman" w:cs="Times New Roman"/>
          <w:sz w:val="15"/>
          <w:szCs w:val="15"/>
          <w:spacing w:val="-4"/>
          <w:position w:val="8"/>
        </w:rPr>
        <w:t>2</w:t>
      </w:r>
      <w:r>
        <w:rPr>
          <w:rFonts w:ascii="SimSun" w:hAnsi="SimSun" w:eastAsia="SimSun" w:cs="SimSun"/>
          <w:sz w:val="24"/>
          <w:szCs w:val="24"/>
          <w:spacing w:val="-4"/>
        </w:rPr>
        <w:t>，</w:t>
      </w:r>
      <w:r>
        <w:rPr>
          <w:rFonts w:ascii="SimSun" w:hAnsi="SimSun" w:eastAsia="SimSun" w:cs="SimSun"/>
          <w:sz w:val="24"/>
          <w:szCs w:val="24"/>
        </w:rPr>
        <w:t xml:space="preserve"> </w:t>
      </w:r>
      <w:r>
        <w:rPr>
          <w:rFonts w:ascii="SimSun" w:hAnsi="SimSun" w:eastAsia="SimSun" w:cs="SimSun"/>
          <w:sz w:val="24"/>
          <w:szCs w:val="24"/>
          <w:spacing w:val="1"/>
        </w:rPr>
        <w:t>均为闲置厂区，厂区内原有设备均已拆除，用地类型为工业用地（见附件</w:t>
      </w:r>
      <w:r>
        <w:rPr>
          <w:rFonts w:ascii="Times New Roman" w:hAnsi="Times New Roman" w:eastAsia="Times New Roman" w:cs="Times New Roman"/>
          <w:sz w:val="24"/>
          <w:szCs w:val="24"/>
          <w:spacing w:val="1"/>
        </w:rPr>
        <w:t>3</w:t>
      </w:r>
      <w:r>
        <w:rPr>
          <w:rFonts w:ascii="SimSun" w:hAnsi="SimSun" w:eastAsia="SimSun" w:cs="SimSun"/>
          <w:sz w:val="24"/>
          <w:szCs w:val="24"/>
          <w:spacing w:val="1"/>
        </w:rPr>
        <w:t>）。</w:t>
      </w:r>
    </w:p>
    <w:p>
      <w:pPr>
        <w:ind w:left="489"/>
        <w:spacing w:before="1" w:line="218" w:lineRule="auto"/>
        <w:rPr>
          <w:rFonts w:ascii="SimSun" w:hAnsi="SimSun" w:eastAsia="SimSun" w:cs="SimSun"/>
          <w:sz w:val="24"/>
          <w:szCs w:val="24"/>
        </w:rPr>
      </w:pPr>
      <w:r>
        <w:rPr>
          <w:rFonts w:ascii="SimSun" w:hAnsi="SimSun" w:eastAsia="SimSun" w:cs="SimSun"/>
          <w:sz w:val="24"/>
          <w:szCs w:val="24"/>
          <w:spacing w:val="-1"/>
        </w:rPr>
        <w:t>根据以上分析，本项目占地均为工业用地，用地类型符合。</w:t>
      </w:r>
    </w:p>
    <w:p>
      <w:pPr>
        <w:ind w:left="33"/>
        <w:spacing w:before="218" w:line="220" w:lineRule="auto"/>
        <w:outlineLvl w:val="2"/>
        <w:rPr>
          <w:rFonts w:ascii="SimHei" w:hAnsi="SimHei" w:eastAsia="SimHei" w:cs="SimHei"/>
          <w:sz w:val="28"/>
          <w:szCs w:val="28"/>
        </w:rPr>
      </w:pPr>
      <w:bookmarkStart w:name="bookmark10" w:id="12"/>
      <w:bookmarkEnd w:id="12"/>
      <w:r>
        <w:rPr>
          <w:rFonts w:ascii="Times New Roman" w:hAnsi="Times New Roman" w:eastAsia="Times New Roman" w:cs="Times New Roman"/>
          <w:sz w:val="28"/>
          <w:szCs w:val="28"/>
          <w:spacing w:val="-2"/>
        </w:rPr>
        <w:t>1.4.5“</w:t>
      </w:r>
      <w:r>
        <w:rPr>
          <w:rFonts w:ascii="SimHei" w:hAnsi="SimHei" w:eastAsia="SimHei" w:cs="SimHei"/>
          <w:sz w:val="28"/>
          <w:szCs w:val="28"/>
          <w:spacing w:val="-2"/>
        </w:rPr>
        <w:t>三线一单</w:t>
      </w:r>
      <w:r>
        <w:rPr>
          <w:rFonts w:ascii="Times New Roman" w:hAnsi="Times New Roman" w:eastAsia="Times New Roman" w:cs="Times New Roman"/>
          <w:sz w:val="28"/>
          <w:szCs w:val="28"/>
          <w:spacing w:val="-2"/>
        </w:rPr>
        <w:t>”</w:t>
      </w:r>
      <w:r>
        <w:rPr>
          <w:rFonts w:ascii="SimHei" w:hAnsi="SimHei" w:eastAsia="SimHei" w:cs="SimHei"/>
          <w:sz w:val="28"/>
          <w:szCs w:val="28"/>
          <w:spacing w:val="-2"/>
        </w:rPr>
        <w:t>生态环境分区管控符合性</w:t>
      </w:r>
    </w:p>
    <w:p>
      <w:pPr>
        <w:ind w:left="8" w:right="78" w:firstLine="476"/>
        <w:spacing w:before="207" w:line="359" w:lineRule="auto"/>
        <w:jc w:val="both"/>
        <w:rPr>
          <w:rFonts w:ascii="SimSun" w:hAnsi="SimSun" w:eastAsia="SimSun" w:cs="SimSun"/>
          <w:sz w:val="24"/>
          <w:szCs w:val="24"/>
        </w:rPr>
      </w:pPr>
      <w:r>
        <w:rPr>
          <w:rFonts w:ascii="Times New Roman" w:hAnsi="Times New Roman" w:eastAsia="Times New Roman" w:cs="Times New Roman"/>
          <w:sz w:val="24"/>
          <w:szCs w:val="24"/>
          <w:spacing w:val="3"/>
        </w:rPr>
        <w:t>2021</w:t>
      </w:r>
      <w:r>
        <w:rPr>
          <w:rFonts w:ascii="SimSun" w:hAnsi="SimSun" w:eastAsia="SimSun" w:cs="SimSun"/>
          <w:sz w:val="24"/>
          <w:szCs w:val="24"/>
          <w:spacing w:val="3"/>
        </w:rPr>
        <w:t>年</w:t>
      </w:r>
      <w:r>
        <w:rPr>
          <w:rFonts w:ascii="Times New Roman" w:hAnsi="Times New Roman" w:eastAsia="Times New Roman" w:cs="Times New Roman"/>
          <w:sz w:val="24"/>
          <w:szCs w:val="24"/>
          <w:spacing w:val="3"/>
        </w:rPr>
        <w:t>11</w:t>
      </w:r>
      <w:r>
        <w:rPr>
          <w:rFonts w:ascii="SimSun" w:hAnsi="SimSun" w:eastAsia="SimSun" w:cs="SimSun"/>
          <w:sz w:val="24"/>
          <w:szCs w:val="24"/>
          <w:spacing w:val="3"/>
        </w:rPr>
        <w:t>月</w:t>
      </w:r>
      <w:r>
        <w:rPr>
          <w:rFonts w:ascii="Times New Roman" w:hAnsi="Times New Roman" w:eastAsia="Times New Roman" w:cs="Times New Roman"/>
          <w:sz w:val="24"/>
          <w:szCs w:val="24"/>
          <w:spacing w:val="3"/>
        </w:rPr>
        <w:t>10</w:t>
      </w:r>
      <w:r>
        <w:rPr>
          <w:rFonts w:ascii="SimSun" w:hAnsi="SimSun" w:eastAsia="SimSun" w:cs="SimSun"/>
          <w:sz w:val="24"/>
          <w:szCs w:val="24"/>
          <w:spacing w:val="3"/>
        </w:rPr>
        <w:t>日，锡林郭勒盟行政公署发</w:t>
      </w:r>
      <w:r>
        <w:rPr>
          <w:rFonts w:ascii="SimSun" w:hAnsi="SimSun" w:eastAsia="SimSun" w:cs="SimSun"/>
          <w:sz w:val="24"/>
          <w:szCs w:val="24"/>
          <w:spacing w:val="2"/>
        </w:rPr>
        <w:t>布了《锡林郭勒盟行政公署关于实</w:t>
      </w:r>
      <w:r>
        <w:rPr>
          <w:rFonts w:ascii="SimSun" w:hAnsi="SimSun" w:eastAsia="SimSun" w:cs="SimSun"/>
          <w:sz w:val="24"/>
          <w:szCs w:val="24"/>
        </w:rPr>
        <w:t xml:space="preserve"> </w:t>
      </w:r>
      <w:r>
        <w:rPr>
          <w:rFonts w:ascii="SimSun" w:hAnsi="SimSun" w:eastAsia="SimSun" w:cs="SimSun"/>
          <w:sz w:val="24"/>
          <w:szCs w:val="24"/>
        </w:rPr>
        <w:t>施</w:t>
      </w:r>
      <w:r>
        <w:rPr>
          <w:rFonts w:ascii="Times New Roman" w:hAnsi="Times New Roman" w:eastAsia="Times New Roman" w:cs="Times New Roman"/>
          <w:sz w:val="24"/>
          <w:szCs w:val="24"/>
        </w:rPr>
        <w:t>“</w:t>
      </w:r>
      <w:r>
        <w:rPr>
          <w:rFonts w:ascii="SimSun" w:hAnsi="SimSun" w:eastAsia="SimSun" w:cs="SimSun"/>
          <w:sz w:val="24"/>
          <w:szCs w:val="24"/>
        </w:rPr>
        <w:t>三线一单</w:t>
      </w:r>
      <w:r>
        <w:rPr>
          <w:rFonts w:ascii="Times New Roman" w:hAnsi="Times New Roman" w:eastAsia="Times New Roman" w:cs="Times New Roman"/>
          <w:sz w:val="24"/>
          <w:szCs w:val="24"/>
        </w:rPr>
        <w:t>”</w:t>
      </w:r>
      <w:r>
        <w:rPr>
          <w:rFonts w:ascii="SimSun" w:hAnsi="SimSun" w:eastAsia="SimSun" w:cs="SimSun"/>
          <w:sz w:val="24"/>
          <w:szCs w:val="24"/>
        </w:rPr>
        <w:t>生态环境分区管控的意见》，</w:t>
      </w:r>
      <w:r>
        <w:rPr>
          <w:rFonts w:ascii="Times New Roman" w:hAnsi="Times New Roman" w:eastAsia="Times New Roman" w:cs="Times New Roman"/>
          <w:sz w:val="24"/>
          <w:szCs w:val="24"/>
        </w:rPr>
        <w:t>2024</w:t>
      </w:r>
      <w:r>
        <w:rPr>
          <w:rFonts w:ascii="SimSun" w:hAnsi="SimSun" w:eastAsia="SimSun" w:cs="SimSun"/>
          <w:sz w:val="24"/>
          <w:szCs w:val="24"/>
        </w:rPr>
        <w:t>年</w:t>
      </w:r>
      <w:r>
        <w:rPr>
          <w:rFonts w:ascii="Times New Roman" w:hAnsi="Times New Roman" w:eastAsia="Times New Roman" w:cs="Times New Roman"/>
          <w:sz w:val="24"/>
          <w:szCs w:val="24"/>
        </w:rPr>
        <w:t>1</w:t>
      </w:r>
      <w:r>
        <w:rPr>
          <w:rFonts w:ascii="SimSun" w:hAnsi="SimSun" w:eastAsia="SimSun" w:cs="SimSun"/>
          <w:sz w:val="24"/>
          <w:szCs w:val="24"/>
        </w:rPr>
        <w:t>月</w:t>
      </w:r>
      <w:r>
        <w:rPr>
          <w:rFonts w:ascii="Times New Roman" w:hAnsi="Times New Roman" w:eastAsia="Times New Roman" w:cs="Times New Roman"/>
          <w:sz w:val="24"/>
          <w:szCs w:val="24"/>
        </w:rPr>
        <w:t>31</w:t>
      </w:r>
      <w:r>
        <w:rPr>
          <w:rFonts w:ascii="SimSun" w:hAnsi="SimSun" w:eastAsia="SimSun" w:cs="SimSun"/>
          <w:sz w:val="24"/>
          <w:szCs w:val="24"/>
        </w:rPr>
        <w:t>日，锡林郭勒盟生态环境 </w:t>
      </w:r>
      <w:r>
        <w:rPr>
          <w:rFonts w:ascii="SimSun" w:hAnsi="SimSun" w:eastAsia="SimSun" w:cs="SimSun"/>
          <w:sz w:val="24"/>
          <w:szCs w:val="24"/>
          <w:spacing w:val="3"/>
        </w:rPr>
        <w:t>保护委员会办公室发布了《锡林郭勒盟生态环境保护委员</w:t>
      </w:r>
      <w:r>
        <w:rPr>
          <w:rFonts w:ascii="SimSun" w:hAnsi="SimSun" w:eastAsia="SimSun" w:cs="SimSun"/>
          <w:sz w:val="24"/>
          <w:szCs w:val="24"/>
          <w:spacing w:val="2"/>
        </w:rPr>
        <w:t>会办公室关于印发锡林</w:t>
      </w:r>
      <w:r>
        <w:rPr>
          <w:rFonts w:ascii="SimSun" w:hAnsi="SimSun" w:eastAsia="SimSun" w:cs="SimSun"/>
          <w:sz w:val="24"/>
          <w:szCs w:val="24"/>
        </w:rPr>
        <w:t xml:space="preserve"> </w:t>
      </w:r>
      <w:r>
        <w:rPr>
          <w:rFonts w:ascii="SimSun" w:hAnsi="SimSun" w:eastAsia="SimSun" w:cs="SimSun"/>
          <w:sz w:val="24"/>
          <w:szCs w:val="24"/>
          <w:spacing w:val="3"/>
        </w:rPr>
        <w:t>郭勒盟</w:t>
      </w:r>
      <w:r>
        <w:rPr>
          <w:rFonts w:ascii="Times New Roman" w:hAnsi="Times New Roman" w:eastAsia="Times New Roman" w:cs="Times New Roman"/>
          <w:sz w:val="24"/>
          <w:szCs w:val="24"/>
          <w:spacing w:val="3"/>
        </w:rPr>
        <w:t>“</w:t>
      </w:r>
      <w:r>
        <w:rPr>
          <w:rFonts w:ascii="SimSun" w:hAnsi="SimSun" w:eastAsia="SimSun" w:cs="SimSun"/>
          <w:sz w:val="24"/>
          <w:szCs w:val="24"/>
          <w:spacing w:val="3"/>
        </w:rPr>
        <w:t>三线一单</w:t>
      </w:r>
      <w:r>
        <w:rPr>
          <w:rFonts w:ascii="Times New Roman" w:hAnsi="Times New Roman" w:eastAsia="Times New Roman" w:cs="Times New Roman"/>
          <w:sz w:val="24"/>
          <w:szCs w:val="24"/>
          <w:spacing w:val="3"/>
        </w:rPr>
        <w:t>”</w:t>
      </w:r>
      <w:r>
        <w:rPr>
          <w:rFonts w:ascii="SimSun" w:hAnsi="SimSun" w:eastAsia="SimSun" w:cs="SimSun"/>
          <w:sz w:val="24"/>
          <w:szCs w:val="24"/>
          <w:spacing w:val="3"/>
        </w:rPr>
        <w:t>生态环境分区管控意见修改单和锡林郭勒盟生态环境准入清单</w:t>
      </w:r>
      <w:r>
        <w:rPr>
          <w:rFonts w:ascii="SimSun" w:hAnsi="SimSun" w:eastAsia="SimSun" w:cs="SimSun"/>
          <w:sz w:val="24"/>
          <w:szCs w:val="24"/>
          <w:spacing w:val="12"/>
        </w:rPr>
        <w:t xml:space="preserve"> </w:t>
      </w:r>
      <w:r>
        <w:rPr>
          <w:rFonts w:ascii="SimSun" w:hAnsi="SimSun" w:eastAsia="SimSun" w:cs="SimSun"/>
          <w:sz w:val="24"/>
          <w:szCs w:val="24"/>
          <w:spacing w:val="-1"/>
        </w:rPr>
        <w:t>的通知》（锡环委办发</w:t>
      </w:r>
      <w:r>
        <w:rPr>
          <w:rFonts w:ascii="Times New Roman" w:hAnsi="Times New Roman" w:eastAsia="Times New Roman" w:cs="Times New Roman"/>
          <w:sz w:val="24"/>
          <w:szCs w:val="24"/>
          <w:spacing w:val="-1"/>
        </w:rPr>
        <w:t>[2024]1</w:t>
      </w:r>
      <w:r>
        <w:rPr>
          <w:rFonts w:ascii="SimSun" w:hAnsi="SimSun" w:eastAsia="SimSun" w:cs="SimSun"/>
          <w:sz w:val="24"/>
          <w:szCs w:val="24"/>
          <w:spacing w:val="-1"/>
        </w:rPr>
        <w:t>号）。</w:t>
      </w:r>
    </w:p>
    <w:p>
      <w:pPr>
        <w:ind w:left="16"/>
        <w:spacing w:before="1"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1.4.5.1 </w:t>
      </w:r>
      <w:r>
        <w:rPr>
          <w:rFonts w:ascii="SimSun" w:hAnsi="SimSun" w:eastAsia="SimSun" w:cs="SimSun"/>
          <w:sz w:val="24"/>
          <w:szCs w:val="24"/>
          <w:b/>
          <w:bCs/>
          <w:spacing w:val="-2"/>
        </w:rPr>
        <w:t>生态保护红线相符性</w:t>
      </w:r>
    </w:p>
    <w:p>
      <w:pPr>
        <w:ind w:left="15" w:right="11" w:firstLine="474"/>
        <w:spacing w:before="180" w:line="362" w:lineRule="auto"/>
        <w:rPr>
          <w:rFonts w:ascii="SimSun" w:hAnsi="SimSun" w:eastAsia="SimSun" w:cs="SimSun"/>
          <w:sz w:val="24"/>
          <w:szCs w:val="24"/>
        </w:rPr>
      </w:pPr>
      <w:r>
        <w:rPr>
          <w:rFonts w:ascii="SimSun" w:hAnsi="SimSun" w:eastAsia="SimSun" w:cs="SimSun"/>
          <w:sz w:val="24"/>
          <w:szCs w:val="24"/>
          <w:spacing w:val="-2"/>
        </w:rPr>
        <w:t>根据《锡林郭勒盟行政公署关于实施</w:t>
      </w:r>
      <w:r>
        <w:rPr>
          <w:rFonts w:ascii="Times New Roman" w:hAnsi="Times New Roman" w:eastAsia="Times New Roman" w:cs="Times New Roman"/>
          <w:sz w:val="24"/>
          <w:szCs w:val="24"/>
          <w:spacing w:val="-2"/>
        </w:rPr>
        <w:t>“</w:t>
      </w:r>
      <w:r>
        <w:rPr>
          <w:rFonts w:ascii="SimSun" w:hAnsi="SimSun" w:eastAsia="SimSun" w:cs="SimSun"/>
          <w:sz w:val="24"/>
          <w:szCs w:val="24"/>
          <w:spacing w:val="-2"/>
        </w:rPr>
        <w:t>三线一单</w:t>
      </w:r>
      <w:r>
        <w:rPr>
          <w:rFonts w:ascii="Times New Roman" w:hAnsi="Times New Roman" w:eastAsia="Times New Roman" w:cs="Times New Roman"/>
          <w:sz w:val="24"/>
          <w:szCs w:val="24"/>
          <w:spacing w:val="-2"/>
        </w:rPr>
        <w:t>”</w:t>
      </w:r>
      <w:r>
        <w:rPr>
          <w:rFonts w:ascii="SimSun" w:hAnsi="SimSun" w:eastAsia="SimSun" w:cs="SimSun"/>
          <w:sz w:val="24"/>
          <w:szCs w:val="24"/>
          <w:spacing w:val="-2"/>
        </w:rPr>
        <w:t>生态环境分区管控的意见》、</w:t>
      </w:r>
      <w:r>
        <w:rPr>
          <w:rFonts w:ascii="SimSun" w:hAnsi="SimSun" w:eastAsia="SimSun" w:cs="SimSun"/>
          <w:sz w:val="24"/>
          <w:szCs w:val="24"/>
          <w:spacing w:val="17"/>
        </w:rPr>
        <w:t xml:space="preserve"> </w:t>
      </w:r>
      <w:r>
        <w:rPr>
          <w:rFonts w:ascii="SimSun" w:hAnsi="SimSun" w:eastAsia="SimSun" w:cs="SimSun"/>
          <w:sz w:val="24"/>
          <w:szCs w:val="24"/>
          <w:spacing w:val="3"/>
        </w:rPr>
        <w:t>《锡林郭勒盟生态环境保护委员会办公室关于印发锡林郭勒盟</w:t>
      </w:r>
      <w:r>
        <w:rPr>
          <w:rFonts w:ascii="Times New Roman" w:hAnsi="Times New Roman" w:eastAsia="Times New Roman" w:cs="Times New Roman"/>
          <w:sz w:val="24"/>
          <w:szCs w:val="24"/>
          <w:spacing w:val="3"/>
        </w:rPr>
        <w:t>“</w:t>
      </w:r>
      <w:r>
        <w:rPr>
          <w:rFonts w:ascii="SimSun" w:hAnsi="SimSun" w:eastAsia="SimSun" w:cs="SimSun"/>
          <w:sz w:val="24"/>
          <w:szCs w:val="24"/>
          <w:spacing w:val="3"/>
        </w:rPr>
        <w:t>三线一单</w:t>
      </w:r>
      <w:r>
        <w:rPr>
          <w:rFonts w:ascii="Times New Roman" w:hAnsi="Times New Roman" w:eastAsia="Times New Roman" w:cs="Times New Roman"/>
          <w:sz w:val="24"/>
          <w:szCs w:val="24"/>
          <w:spacing w:val="3"/>
        </w:rPr>
        <w:t>”</w:t>
      </w:r>
      <w:r>
        <w:rPr>
          <w:rFonts w:ascii="SimSun" w:hAnsi="SimSun" w:eastAsia="SimSun" w:cs="SimSun"/>
          <w:sz w:val="24"/>
          <w:szCs w:val="24"/>
          <w:spacing w:val="3"/>
        </w:rPr>
        <w:t>生态环</w:t>
      </w:r>
    </w:p>
    <w:p>
      <w:pPr>
        <w:spacing w:line="362" w:lineRule="auto"/>
        <w:sectPr>
          <w:headerReference w:type="default" r:id="rId11"/>
          <w:footerReference w:type="default" r:id="rId21"/>
          <w:pgSz w:w="11907" w:h="16840"/>
          <w:pgMar w:top="1567" w:right="1621" w:bottom="1481" w:left="1701" w:header="1221" w:footer="1247" w:gutter="0"/>
        </w:sectPr>
        <w:rPr>
          <w:rFonts w:ascii="SimSun" w:hAnsi="SimSun" w:eastAsia="SimSun" w:cs="SimSun"/>
          <w:sz w:val="24"/>
          <w:szCs w:val="24"/>
        </w:rPr>
      </w:pPr>
    </w:p>
    <w:p>
      <w:pPr>
        <w:ind w:left="12" w:right="21" w:hanging="2"/>
        <w:spacing w:before="182" w:line="357" w:lineRule="auto"/>
        <w:jc w:val="both"/>
        <w:rPr>
          <w:rFonts w:ascii="SimSun" w:hAnsi="SimSun" w:eastAsia="SimSun" w:cs="SimSun"/>
          <w:sz w:val="24"/>
          <w:szCs w:val="24"/>
        </w:rPr>
      </w:pPr>
      <w:r>
        <w:pict>
          <v:shape id="_x0000_s64" style="position:absolute;margin-left:85.05pt;margin-top:78.87pt;mso-position-vertical-relative:page;mso-position-horizontal-relative:page;width:425.25pt;height:0.75pt;z-index:251687936;" o:allowincell="f" fillcolor="#000000" filled="true" stroked="false" coordsize="8505,15" coordorigin="0,0" path="m,l8505,0l8505,14l0,14l0,0xe"/>
        </w:pict>
      </w:r>
      <w:r>
        <w:rPr>
          <w:rFonts w:ascii="SimSun" w:hAnsi="SimSun" w:eastAsia="SimSun" w:cs="SimSun"/>
          <w:sz w:val="24"/>
          <w:szCs w:val="24"/>
          <w:spacing w:val="10"/>
        </w:rPr>
        <w:t>境分区管控意见修改单和锡林郭勒盟生态环境准入清单的</w:t>
      </w:r>
      <w:r>
        <w:rPr>
          <w:rFonts w:ascii="SimSun" w:hAnsi="SimSun" w:eastAsia="SimSun" w:cs="SimSun"/>
          <w:sz w:val="24"/>
          <w:szCs w:val="24"/>
          <w:spacing w:val="9"/>
        </w:rPr>
        <w:t>通知》（锡环委办发</w:t>
      </w:r>
      <w:r>
        <w:rPr>
          <w:rFonts w:ascii="SimSun" w:hAnsi="SimSun" w:eastAsia="SimSun" w:cs="SimSun"/>
          <w:sz w:val="24"/>
          <w:szCs w:val="24"/>
        </w:rPr>
        <w:t xml:space="preserve"> </w:t>
      </w:r>
      <w:r>
        <w:rPr>
          <w:rFonts w:ascii="Times New Roman" w:hAnsi="Times New Roman" w:eastAsia="Times New Roman" w:cs="Times New Roman"/>
          <w:sz w:val="24"/>
          <w:szCs w:val="24"/>
          <w:spacing w:val="-3"/>
        </w:rPr>
        <w:t>[2024]1</w:t>
      </w:r>
      <w:r>
        <w:rPr>
          <w:rFonts w:ascii="SimSun" w:hAnsi="SimSun" w:eastAsia="SimSun" w:cs="SimSun"/>
          <w:sz w:val="24"/>
          <w:szCs w:val="24"/>
          <w:spacing w:val="-3"/>
        </w:rPr>
        <w:t>号</w:t>
      </w:r>
      <w:r>
        <w:rPr>
          <w:rFonts w:ascii="SimSun" w:hAnsi="SimSun" w:eastAsia="SimSun" w:cs="SimSun"/>
          <w:sz w:val="24"/>
          <w:szCs w:val="24"/>
          <w:spacing w:val="-40"/>
        </w:rPr>
        <w:t>）：</w:t>
      </w:r>
      <w:r>
        <w:rPr>
          <w:rFonts w:ascii="SimSun" w:hAnsi="SimSun" w:eastAsia="SimSun" w:cs="SimSun"/>
          <w:sz w:val="24"/>
          <w:szCs w:val="24"/>
          <w:spacing w:val="-3"/>
        </w:rPr>
        <w:t>全盟生态保护红线面积</w:t>
      </w:r>
      <w:r>
        <w:rPr>
          <w:rFonts w:ascii="Times New Roman" w:hAnsi="Times New Roman" w:eastAsia="Times New Roman" w:cs="Times New Roman"/>
          <w:sz w:val="24"/>
          <w:szCs w:val="24"/>
          <w:spacing w:val="-3"/>
        </w:rPr>
        <w:t>13003</w:t>
      </w:r>
      <w:r>
        <w:rPr>
          <w:rFonts w:ascii="Times New Roman" w:hAnsi="Times New Roman" w:eastAsia="Times New Roman" w:cs="Times New Roman"/>
          <w:sz w:val="24"/>
          <w:szCs w:val="24"/>
          <w:spacing w:val="-4"/>
        </w:rPr>
        <w:t>4.46</w:t>
      </w:r>
      <w:r>
        <w:rPr>
          <w:rFonts w:ascii="SimSun" w:hAnsi="SimSun" w:eastAsia="SimSun" w:cs="SimSun"/>
          <w:sz w:val="24"/>
          <w:szCs w:val="24"/>
          <w:spacing w:val="-4"/>
        </w:rPr>
        <w:t>平方千米，占全盟总面积的</w:t>
      </w:r>
      <w:r>
        <w:rPr>
          <w:rFonts w:ascii="Times New Roman" w:hAnsi="Times New Roman" w:eastAsia="Times New Roman" w:cs="Times New Roman"/>
          <w:sz w:val="24"/>
          <w:szCs w:val="24"/>
          <w:spacing w:val="-4"/>
        </w:rPr>
        <w:t>64.</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4"/>
        </w:rPr>
        <w:t>17%</w:t>
      </w:r>
      <w:r>
        <w:rPr>
          <w:rFonts w:ascii="SimSun" w:hAnsi="SimSun" w:eastAsia="SimSun" w:cs="SimSun"/>
          <w:sz w:val="24"/>
          <w:szCs w:val="24"/>
          <w:spacing w:val="-4"/>
        </w:rPr>
        <w:t>；</w:t>
      </w:r>
      <w:r>
        <w:rPr>
          <w:rFonts w:ascii="SimSun" w:hAnsi="SimSun" w:eastAsia="SimSun" w:cs="SimSun"/>
          <w:sz w:val="24"/>
          <w:szCs w:val="24"/>
        </w:rPr>
        <w:t xml:space="preserve"> </w:t>
      </w:r>
      <w:r>
        <w:rPr>
          <w:rFonts w:ascii="SimSun" w:hAnsi="SimSun" w:eastAsia="SimSun" w:cs="SimSun"/>
          <w:sz w:val="24"/>
          <w:szCs w:val="24"/>
          <w:spacing w:val="-2"/>
        </w:rPr>
        <w:t>一般生态空间面积</w:t>
      </w:r>
      <w:r>
        <w:rPr>
          <w:rFonts w:ascii="Times New Roman" w:hAnsi="Times New Roman" w:eastAsia="Times New Roman" w:cs="Times New Roman"/>
          <w:sz w:val="24"/>
          <w:szCs w:val="24"/>
          <w:spacing w:val="-2"/>
        </w:rPr>
        <w:t>25142.87</w:t>
      </w:r>
      <w:r>
        <w:rPr>
          <w:rFonts w:ascii="SimSun" w:hAnsi="SimSun" w:eastAsia="SimSun" w:cs="SimSun"/>
          <w:sz w:val="24"/>
          <w:szCs w:val="24"/>
          <w:spacing w:val="-2"/>
        </w:rPr>
        <w:t>平方千米，</w:t>
      </w:r>
      <w:r>
        <w:rPr>
          <w:rFonts w:ascii="SimSun" w:hAnsi="SimSun" w:eastAsia="SimSun" w:cs="SimSun"/>
          <w:sz w:val="24"/>
          <w:szCs w:val="24"/>
          <w:spacing w:val="-65"/>
        </w:rPr>
        <w:t xml:space="preserve"> </w:t>
      </w:r>
      <w:r>
        <w:rPr>
          <w:rFonts w:ascii="SimSun" w:hAnsi="SimSun" w:eastAsia="SimSun" w:cs="SimSun"/>
          <w:sz w:val="24"/>
          <w:szCs w:val="24"/>
          <w:spacing w:val="-2"/>
        </w:rPr>
        <w:t>占全盟总面积的</w:t>
      </w:r>
      <w:r>
        <w:rPr>
          <w:rFonts w:ascii="Times New Roman" w:hAnsi="Times New Roman" w:eastAsia="Times New Roman" w:cs="Times New Roman"/>
          <w:sz w:val="24"/>
          <w:szCs w:val="24"/>
          <w:spacing w:val="-2"/>
        </w:rPr>
        <w:t>12.41%</w:t>
      </w:r>
      <w:r>
        <w:rPr>
          <w:rFonts w:ascii="SimSun" w:hAnsi="SimSun" w:eastAsia="SimSun" w:cs="SimSun"/>
          <w:sz w:val="24"/>
          <w:szCs w:val="24"/>
          <w:spacing w:val="-2"/>
        </w:rPr>
        <w:t>。</w:t>
      </w:r>
    </w:p>
    <w:p>
      <w:pPr>
        <w:ind w:left="8" w:firstLine="481"/>
        <w:spacing w:before="6" w:line="346" w:lineRule="auto"/>
        <w:rPr>
          <w:rFonts w:ascii="SimSun" w:hAnsi="SimSun" w:eastAsia="SimSun" w:cs="SimSun"/>
          <w:sz w:val="24"/>
          <w:szCs w:val="24"/>
        </w:rPr>
      </w:pPr>
      <w:r>
        <w:rPr>
          <w:rFonts w:ascii="SimSun" w:hAnsi="SimSun" w:eastAsia="SimSun" w:cs="SimSun"/>
          <w:sz w:val="24"/>
          <w:szCs w:val="24"/>
          <w:spacing w:val="-2"/>
        </w:rPr>
        <w:t>本项目位于</w:t>
      </w:r>
      <w:r>
        <w:rPr>
          <w:rFonts w:ascii="Times New Roman" w:hAnsi="Times New Roman" w:eastAsia="Times New Roman" w:cs="Times New Roman"/>
          <w:sz w:val="24"/>
          <w:szCs w:val="24"/>
          <w:spacing w:val="-2"/>
        </w:rPr>
        <w:t>2</w:t>
      </w:r>
      <w:r>
        <w:rPr>
          <w:rFonts w:ascii="SimSun" w:hAnsi="SimSun" w:eastAsia="SimSun" w:cs="SimSun"/>
          <w:sz w:val="24"/>
          <w:szCs w:val="24"/>
          <w:spacing w:val="-2"/>
        </w:rPr>
        <w:t>个厂区均位于“正镶白旗城镇开发边界</w:t>
      </w:r>
      <w:r>
        <w:rPr>
          <w:rFonts w:ascii="SimSun" w:hAnsi="SimSun" w:eastAsia="SimSun" w:cs="SimSun"/>
          <w:sz w:val="24"/>
          <w:szCs w:val="24"/>
          <w:spacing w:val="-89"/>
        </w:rPr>
        <w:t xml:space="preserve"> </w:t>
      </w:r>
      <w:r>
        <w:rPr>
          <w:rFonts w:ascii="SimSun" w:hAnsi="SimSun" w:eastAsia="SimSun" w:cs="SimSun"/>
          <w:sz w:val="24"/>
          <w:szCs w:val="24"/>
          <w:spacing w:val="-2"/>
        </w:rPr>
        <w:t>”（重点管控单元</w:t>
      </w:r>
      <w:r>
        <w:rPr>
          <w:rFonts w:ascii="SimSun" w:hAnsi="SimSun" w:eastAsia="SimSun" w:cs="SimSun"/>
          <w:sz w:val="24"/>
          <w:szCs w:val="24"/>
          <w:spacing w:val="2"/>
        </w:rPr>
        <w:t>），</w:t>
      </w:r>
      <w:r>
        <w:rPr>
          <w:rFonts w:ascii="SimSun" w:hAnsi="SimSun" w:eastAsia="SimSun" w:cs="SimSun"/>
          <w:sz w:val="24"/>
          <w:szCs w:val="24"/>
          <w:spacing w:val="-2"/>
        </w:rPr>
        <w:t>编</w:t>
      </w:r>
      <w:r>
        <w:rPr>
          <w:rFonts w:ascii="SimSun" w:hAnsi="SimSun" w:eastAsia="SimSun" w:cs="SimSun"/>
          <w:sz w:val="24"/>
          <w:szCs w:val="24"/>
        </w:rPr>
        <w:t xml:space="preserve"> </w:t>
      </w:r>
      <w:r>
        <w:rPr>
          <w:rFonts w:ascii="SimSun" w:hAnsi="SimSun" w:eastAsia="SimSun" w:cs="SimSun"/>
          <w:sz w:val="24"/>
          <w:szCs w:val="24"/>
          <w:spacing w:val="-2"/>
        </w:rPr>
        <w:t>码为“</w:t>
      </w:r>
      <w:r>
        <w:rPr>
          <w:rFonts w:ascii="Times New Roman" w:hAnsi="Times New Roman" w:eastAsia="Times New Roman" w:cs="Times New Roman"/>
          <w:sz w:val="24"/>
          <w:szCs w:val="24"/>
          <w:spacing w:val="-2"/>
        </w:rPr>
        <w:t>ZH15252920001</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”，不在</w:t>
      </w:r>
      <w:r>
        <w:rPr>
          <w:rFonts w:ascii="SimSun" w:hAnsi="SimSun" w:eastAsia="SimSun" w:cs="SimSun"/>
          <w:sz w:val="24"/>
          <w:szCs w:val="24"/>
          <w:spacing w:val="-3"/>
        </w:rPr>
        <w:t>生态保护红线范围内。查询结果见图</w:t>
      </w:r>
      <w:r>
        <w:rPr>
          <w:rFonts w:ascii="Times New Roman" w:hAnsi="Times New Roman" w:eastAsia="Times New Roman" w:cs="Times New Roman"/>
          <w:sz w:val="24"/>
          <w:szCs w:val="24"/>
          <w:spacing w:val="-3"/>
        </w:rPr>
        <w:t>1.4-3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1.4-4</w:t>
      </w:r>
      <w:r>
        <w:rPr>
          <w:rFonts w:ascii="SimSun" w:hAnsi="SimSun" w:eastAsia="SimSun" w:cs="SimSun"/>
          <w:sz w:val="24"/>
          <w:szCs w:val="24"/>
          <w:spacing w:val="-3"/>
        </w:rPr>
        <w:t>。</w:t>
      </w:r>
    </w:p>
    <w:p>
      <w:pPr>
        <w:spacing w:line="6021" w:lineRule="exact"/>
        <w:rPr/>
      </w:pPr>
      <w:r>
        <w:rPr>
          <w:position w:val="-120"/>
        </w:rPr>
        <w:drawing>
          <wp:inline distT="0" distB="0" distL="0" distR="0">
            <wp:extent cx="5399531" cy="3823715"/>
            <wp:effectExtent l="0" t="0" r="0" b="0"/>
            <wp:docPr id="8" name="IM 8"/>
            <wp:cNvGraphicFramePr/>
            <a:graphic>
              <a:graphicData uri="http://schemas.openxmlformats.org/drawingml/2006/picture">
                <pic:pic>
                  <pic:nvPicPr>
                    <pic:cNvPr id="8" name="IM 8"/>
                    <pic:cNvPicPr/>
                  </pic:nvPicPr>
                  <pic:blipFill>
                    <a:blip r:embed="rId22"/>
                    <a:stretch>
                      <a:fillRect/>
                    </a:stretch>
                  </pic:blipFill>
                  <pic:spPr>
                    <a:xfrm rot="0">
                      <a:off x="0" y="0"/>
                      <a:ext cx="5399531" cy="3823715"/>
                    </a:xfrm>
                    <a:prstGeom prst="rect">
                      <a:avLst/>
                    </a:prstGeom>
                  </pic:spPr>
                </pic:pic>
              </a:graphicData>
            </a:graphic>
          </wp:inline>
        </w:drawing>
      </w:r>
    </w:p>
    <w:p>
      <w:pPr>
        <w:ind w:left="2289"/>
        <w:spacing w:before="192" w:line="219" w:lineRule="auto"/>
        <w:rPr>
          <w:rFonts w:ascii="SimSun" w:hAnsi="SimSun" w:eastAsia="SimSun" w:cs="SimSun"/>
          <w:sz w:val="24"/>
          <w:szCs w:val="24"/>
        </w:rPr>
      </w:pPr>
      <w:r>
        <w:rPr>
          <w:rFonts w:ascii="SimSun" w:hAnsi="SimSun" w:eastAsia="SimSun" w:cs="SimSun"/>
          <w:sz w:val="24"/>
          <w:szCs w:val="24"/>
          <w:b/>
          <w:bCs/>
          <w:spacing w:val="-3"/>
        </w:rPr>
        <w:t>图</w:t>
      </w:r>
      <w:r>
        <w:rPr>
          <w:rFonts w:ascii="Times New Roman" w:hAnsi="Times New Roman" w:eastAsia="Times New Roman" w:cs="Times New Roman"/>
          <w:sz w:val="24"/>
          <w:szCs w:val="24"/>
          <w:b/>
          <w:bCs/>
          <w:spacing w:val="-3"/>
        </w:rPr>
        <w:t>1.4-2      </w:t>
      </w:r>
      <w:r>
        <w:rPr>
          <w:rFonts w:ascii="SimSun" w:hAnsi="SimSun" w:eastAsia="SimSun" w:cs="SimSun"/>
          <w:sz w:val="24"/>
          <w:szCs w:val="24"/>
          <w:b/>
          <w:bCs/>
          <w:spacing w:val="-3"/>
        </w:rPr>
        <w:t>锡林郭勒盟生态保护红线图</w:t>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ind w:left="5312"/>
        <w:spacing w:before="62" w:line="227" w:lineRule="auto"/>
        <w:rPr>
          <w:rFonts w:ascii="SimSun" w:hAnsi="SimSun" w:eastAsia="SimSun" w:cs="SimSun"/>
          <w:sz w:val="19"/>
          <w:szCs w:val="19"/>
        </w:rPr>
      </w:pPr>
      <w:r>
        <w:pict>
          <v:shape id="_x0000_s66" style="position:absolute;margin-left:209.939pt;margin-top:2.12453pt;mso-position-vertical-relative:text;mso-position-horizontal-relative:text;width:56.3pt;height:13.75pt;z-index:251686912;"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1"/>
                      <w:position w:val="2"/>
                    </w:rPr>
                    <w:t>8         </w:t>
                  </w:r>
                  <w:r>
                    <w:rPr>
                      <w:rFonts w:ascii="SimSun" w:hAnsi="SimSun" w:eastAsia="SimSun" w:cs="SimSun"/>
                      <w:sz w:val="19"/>
                      <w:szCs w:val="19"/>
                      <w:spacing w:val="1"/>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footerReference w:type="default" r:id="rId3"/>
          <w:pgSz w:w="11907" w:h="16840"/>
          <w:pgMar w:top="1567" w:right="1621" w:bottom="400" w:left="1701" w:header="1221" w:footer="0" w:gutter="0"/>
        </w:sectPr>
        <w:rPr>
          <w:rFonts w:ascii="SimSun" w:hAnsi="SimSun" w:eastAsia="SimSun" w:cs="SimSun"/>
          <w:sz w:val="19"/>
          <w:szCs w:val="19"/>
        </w:rPr>
      </w:pPr>
    </w:p>
    <w:p>
      <w:pPr>
        <w:pStyle w:val="BodyText"/>
        <w:spacing w:line="247" w:lineRule="auto"/>
        <w:rPr/>
      </w:pPr>
      <w:r>
        <w:pict>
          <v:shape id="_x0000_s70" style="position:absolute;margin-left:0pt;margin-top:0.719971pt;mso-position-vertical-relative:text;mso-position-horizontal-relative:text;width:671.95pt;height:0.75pt;z-index:251689984;" fillcolor="#000000" filled="true" stroked="false" coordsize="13439,15" coordorigin="0,0" path="m,l13438,0l13438,14l0,14l0,0xe"/>
        </w:pict>
      </w:r>
      <w:r>
        <w:drawing>
          <wp:anchor distT="0" distB="0" distL="0" distR="0" simplePos="0" relativeHeight="251688960" behindDoc="1" locked="0" layoutInCell="1" allowOverlap="1">
            <wp:simplePos x="0" y="0"/>
            <wp:positionH relativeFrom="column">
              <wp:posOffset>380</wp:posOffset>
            </wp:positionH>
            <wp:positionV relativeFrom="paragraph">
              <wp:posOffset>95630</wp:posOffset>
            </wp:positionV>
            <wp:extent cx="8528304" cy="4405883"/>
            <wp:effectExtent l="0" t="0" r="0" b="0"/>
            <wp:wrapNone/>
            <wp:docPr id="10" name="IM 10"/>
            <wp:cNvGraphicFramePr/>
            <a:graphic>
              <a:graphicData uri="http://schemas.openxmlformats.org/drawingml/2006/picture">
                <pic:pic>
                  <pic:nvPicPr>
                    <pic:cNvPr id="10" name="IM 10"/>
                    <pic:cNvPicPr/>
                  </pic:nvPicPr>
                  <pic:blipFill>
                    <a:blip r:embed="rId24"/>
                    <a:stretch>
                      <a:fillRect/>
                    </a:stretch>
                  </pic:blipFill>
                  <pic:spPr>
                    <a:xfrm rot="0">
                      <a:off x="0" y="0"/>
                      <a:ext cx="8528304" cy="4405883"/>
                    </a:xfrm>
                    <a:prstGeom prst="rect">
                      <a:avLst/>
                    </a:prstGeom>
                  </pic:spPr>
                </pic:pic>
              </a:graphicData>
            </a:graphic>
          </wp:anchor>
        </w:drawing>
      </w: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8" w:lineRule="auto"/>
        <w:rPr/>
      </w:pPr>
      <w:r/>
    </w:p>
    <w:p>
      <w:pPr>
        <w:pStyle w:val="BodyText"/>
        <w:spacing w:line="248" w:lineRule="auto"/>
        <w:rPr/>
      </w:pPr>
      <w:r/>
    </w:p>
    <w:p>
      <w:pPr>
        <w:ind w:firstLine="4365"/>
        <w:spacing w:line="1179" w:lineRule="exact"/>
        <w:rPr/>
      </w:pPr>
      <w:r>
        <w:rPr>
          <w:position w:val="-23"/>
        </w:rPr>
        <w:pict>
          <v:group id="_x0000_s72" style="mso-position-vertical-relative:line;mso-position-horizontal-relative:char;width:67.35pt;height:59pt;" filled="false" stroked="false" coordsize="1346,1180" coordorigin="0,0">
            <v:shape id="_x0000_s74" style="position:absolute;left:0;top:0;width:1346;height:1180;" filled="false" stroked="false" type="#_x0000_t75">
              <v:imagedata o:title="" r:id="rId25"/>
            </v:shape>
            <v:shape id="_x0000_s76" style="position:absolute;left:-20;top:-20;width:1386;height:1220;" filled="false" stroked="false" type="#_x0000_t202">
              <v:fill on="false"/>
              <v:stroke on="false"/>
              <v:path/>
              <v:imagedata o:title=""/>
              <o:lock v:ext="edit" aspectratio="false"/>
              <v:textbox inset="0mm,0mm,0mm,0mm">
                <w:txbxContent>
                  <w:p>
                    <w:pPr>
                      <w:ind w:left="234"/>
                      <w:spacing w:before="156" w:line="228" w:lineRule="auto"/>
                      <w:rPr>
                        <w:rFonts w:ascii="SimSun" w:hAnsi="SimSun" w:eastAsia="SimSun" w:cs="SimSun"/>
                        <w:sz w:val="20"/>
                        <w:szCs w:val="20"/>
                      </w:rPr>
                    </w:pPr>
                    <w:r>
                      <w:rPr>
                        <w:rFonts w:ascii="SimSun" w:hAnsi="SimSun" w:eastAsia="SimSun" w:cs="SimSun"/>
                        <w:sz w:val="20"/>
                        <w:szCs w:val="20"/>
                        <w:spacing w:val="5"/>
                      </w:rPr>
                      <w:t>西厂区</w:t>
                    </w:r>
                  </w:p>
                </w:txbxContent>
              </v:textbox>
            </v:shape>
          </v:group>
        </w:pict>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ind w:left="3952"/>
        <w:spacing w:before="78" w:line="210" w:lineRule="auto"/>
        <w:rPr>
          <w:rFonts w:ascii="Times New Roman" w:hAnsi="Times New Roman" w:eastAsia="Times New Roman" w:cs="Times New Roman"/>
          <w:sz w:val="24"/>
          <w:szCs w:val="24"/>
        </w:rPr>
      </w:pPr>
      <w:r>
        <w:rPr>
          <w:rFonts w:ascii="SimSun" w:hAnsi="SimSun" w:eastAsia="SimSun" w:cs="SimSun"/>
          <w:sz w:val="24"/>
          <w:szCs w:val="24"/>
          <w:b/>
          <w:bCs/>
          <w:spacing w:val="-2"/>
        </w:rPr>
        <w:t>图</w:t>
      </w:r>
      <w:r>
        <w:rPr>
          <w:rFonts w:ascii="Times New Roman" w:hAnsi="Times New Roman" w:eastAsia="Times New Roman" w:cs="Times New Roman"/>
          <w:sz w:val="24"/>
          <w:szCs w:val="24"/>
          <w:b/>
          <w:bCs/>
          <w:spacing w:val="-2"/>
        </w:rPr>
        <w:t>1.4-3      </w:t>
      </w:r>
      <w:r>
        <w:rPr>
          <w:rFonts w:ascii="SimSun" w:hAnsi="SimSun" w:eastAsia="SimSun" w:cs="SimSun"/>
          <w:sz w:val="24"/>
          <w:szCs w:val="24"/>
          <w:b/>
          <w:bCs/>
          <w:spacing w:val="-2"/>
        </w:rPr>
        <w:t>锡林郭勒盟环境管控单元查询结果</w:t>
      </w:r>
      <w:r>
        <w:rPr>
          <w:rFonts w:ascii="Times New Roman" w:hAnsi="Times New Roman" w:eastAsia="Times New Roman" w:cs="Times New Roman"/>
          <w:sz w:val="24"/>
          <w:szCs w:val="24"/>
          <w:b/>
          <w:bCs/>
          <w:spacing w:val="-2"/>
        </w:rPr>
        <w:t>(</w:t>
      </w:r>
      <w:r>
        <w:rPr>
          <w:rFonts w:ascii="SimSun" w:hAnsi="SimSun" w:eastAsia="SimSun" w:cs="SimSun"/>
          <w:sz w:val="24"/>
          <w:szCs w:val="24"/>
          <w:b/>
          <w:bCs/>
          <w:spacing w:val="-2"/>
        </w:rPr>
        <w:t>西厂区</w:t>
      </w:r>
      <w:r>
        <w:rPr>
          <w:rFonts w:ascii="Times New Roman" w:hAnsi="Times New Roman" w:eastAsia="Times New Roman" w:cs="Times New Roman"/>
          <w:sz w:val="24"/>
          <w:szCs w:val="24"/>
          <w:b/>
          <w:bCs/>
          <w:spacing w:val="-2"/>
        </w:rPr>
        <w:t>)</w:t>
      </w:r>
    </w:p>
    <w:p>
      <w:pPr>
        <w:pStyle w:val="BodyText"/>
        <w:spacing w:line="241"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ind w:left="7"/>
        <w:spacing w:before="62" w:line="221" w:lineRule="auto"/>
        <w:rPr>
          <w:rFonts w:ascii="Times New Roman" w:hAnsi="Times New Roman" w:eastAsia="Times New Roman" w:cs="Times New Roman"/>
          <w:sz w:val="18"/>
          <w:szCs w:val="18"/>
        </w:rPr>
      </w:pPr>
      <w:r>
        <w:rPr>
          <w:rFonts w:ascii="SimSun" w:hAnsi="SimSun" w:eastAsia="SimSun" w:cs="SimSun"/>
          <w:sz w:val="19"/>
          <w:szCs w:val="19"/>
          <w:spacing w:val="9"/>
        </w:rPr>
        <w:t>锡林郭勒盟中安环境技术咨询有限责任公司</w:t>
      </w:r>
      <w:r>
        <w:rPr>
          <w:rFonts w:ascii="SimSun" w:hAnsi="SimSun" w:eastAsia="SimSun" w:cs="SimSun"/>
          <w:sz w:val="19"/>
          <w:szCs w:val="19"/>
          <w:spacing w:val="1"/>
        </w:rPr>
        <w:t xml:space="preserve">                              </w:t>
      </w:r>
      <w:r>
        <w:rPr>
          <w:rFonts w:ascii="Times New Roman" w:hAnsi="Times New Roman" w:eastAsia="Times New Roman" w:cs="Times New Roman"/>
          <w:sz w:val="18"/>
          <w:szCs w:val="18"/>
          <w:spacing w:val="9"/>
          <w:position w:val="3"/>
        </w:rPr>
        <w:t>9</w:t>
      </w:r>
    </w:p>
    <w:p>
      <w:pPr>
        <w:spacing w:line="221" w:lineRule="auto"/>
        <w:sectPr>
          <w:headerReference w:type="default" r:id="rId23"/>
          <w:pgSz w:w="16840" w:h="11907"/>
          <w:pgMar w:top="1567" w:right="1700" w:bottom="400" w:left="1701" w:header="1221" w:footer="0" w:gutter="0"/>
        </w:sectPr>
        <w:rPr>
          <w:rFonts w:ascii="Times New Roman" w:hAnsi="Times New Roman" w:eastAsia="Times New Roman" w:cs="Times New Roman"/>
          <w:sz w:val="18"/>
          <w:szCs w:val="18"/>
        </w:rPr>
      </w:pPr>
    </w:p>
    <w:p>
      <w:pPr>
        <w:pStyle w:val="BodyText"/>
        <w:spacing w:line="263" w:lineRule="auto"/>
        <w:rPr/>
      </w:pPr>
      <w:r>
        <w:pict>
          <v:shape id="_x0000_s78" style="position:absolute;margin-left:0pt;margin-top:0.47998pt;mso-position-vertical-relative:text;mso-position-horizontal-relative:text;width:671.95pt;height:0.75pt;z-index:251693056;" fillcolor="#000000" filled="true" stroked="false" coordsize="13439,15" coordorigin="0,0" path="m,l13438,0l13438,14l0,14l0,0xe"/>
        </w:pict>
      </w:r>
      <w:r>
        <w:drawing>
          <wp:anchor distT="0" distB="0" distL="0" distR="0" simplePos="0" relativeHeight="251692032" behindDoc="1" locked="0" layoutInCell="1" allowOverlap="1">
            <wp:simplePos x="0" y="0"/>
            <wp:positionH relativeFrom="column">
              <wp:posOffset>380</wp:posOffset>
            </wp:positionH>
            <wp:positionV relativeFrom="paragraph">
              <wp:posOffset>92582</wp:posOffset>
            </wp:positionV>
            <wp:extent cx="8528304" cy="4450079"/>
            <wp:effectExtent l="0" t="0" r="0" b="0"/>
            <wp:wrapNone/>
            <wp:docPr id="12" name="IM 12"/>
            <wp:cNvGraphicFramePr/>
            <a:graphic>
              <a:graphicData uri="http://schemas.openxmlformats.org/drawingml/2006/picture">
                <pic:pic>
                  <pic:nvPicPr>
                    <pic:cNvPr id="12" name="IM 12"/>
                    <pic:cNvPicPr/>
                  </pic:nvPicPr>
                  <pic:blipFill>
                    <a:blip r:embed="rId27"/>
                    <a:stretch>
                      <a:fillRect/>
                    </a:stretch>
                  </pic:blipFill>
                  <pic:spPr>
                    <a:xfrm rot="0">
                      <a:off x="0" y="0"/>
                      <a:ext cx="8528304" cy="4450079"/>
                    </a:xfrm>
                    <a:prstGeom prst="rect">
                      <a:avLst/>
                    </a:prstGeom>
                  </pic:spPr>
                </pic:pic>
              </a:graphicData>
            </a:graphic>
          </wp:anchor>
        </w:drawing>
      </w:r>
      <w:r/>
    </w:p>
    <w:p>
      <w:pPr>
        <w:pStyle w:val="BodyText"/>
        <w:spacing w:line="263" w:lineRule="auto"/>
        <w:rPr/>
      </w:pPr>
      <w: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4" w:lineRule="auto"/>
        <w:rPr/>
      </w:pPr>
      <w:r/>
    </w:p>
    <w:p>
      <w:pPr>
        <w:ind w:firstLine="5184"/>
        <w:spacing w:line="1200" w:lineRule="exact"/>
        <w:rPr/>
      </w:pPr>
      <w:r>
        <w:rPr>
          <w:position w:val="-24"/>
        </w:rPr>
        <w:pict>
          <v:group id="_x0000_s80" style="mso-position-vertical-relative:line;mso-position-horizontal-relative:char;width:71.1pt;height:60pt;" filled="false" stroked="false" coordsize="1421,1200" coordorigin="0,0">
            <v:shape id="_x0000_s82" style="position:absolute;left:0;top:0;width:1421;height:1200;" filled="false" stroked="false" type="#_x0000_t75">
              <v:imagedata o:title="" r:id="rId28"/>
            </v:shape>
            <v:shape id="_x0000_s84" style="position:absolute;left:-20;top:-20;width:1461;height:1240;" filled="false" stroked="false" type="#_x0000_t202">
              <v:fill on="false"/>
              <v:stroke on="false"/>
              <v:path/>
              <v:imagedata o:title=""/>
              <o:lock v:ext="edit" aspectratio="false"/>
              <v:textbox inset="0mm,0mm,0mm,0mm">
                <w:txbxContent>
                  <w:p>
                    <w:pPr>
                      <w:ind w:left="235"/>
                      <w:spacing w:before="155" w:line="228" w:lineRule="auto"/>
                      <w:rPr>
                        <w:rFonts w:ascii="SimSun" w:hAnsi="SimSun" w:eastAsia="SimSun" w:cs="SimSun"/>
                        <w:sz w:val="20"/>
                        <w:szCs w:val="20"/>
                      </w:rPr>
                    </w:pPr>
                    <w:r>
                      <w:rPr>
                        <w:rFonts w:ascii="SimSun" w:hAnsi="SimSun" w:eastAsia="SimSun" w:cs="SimSun"/>
                        <w:sz w:val="20"/>
                        <w:szCs w:val="20"/>
                        <w:spacing w:val="4"/>
                      </w:rPr>
                      <w:t>东厂区</w:t>
                    </w:r>
                  </w:p>
                </w:txbxContent>
              </v:textbox>
            </v:shape>
          </v:group>
        </w:pict>
      </w:r>
    </w:p>
    <w:p>
      <w:pPr>
        <w:pStyle w:val="BodyText"/>
        <w:spacing w:line="245"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ind w:left="3791"/>
        <w:spacing w:before="78" w:line="219" w:lineRule="auto"/>
        <w:rPr>
          <w:rFonts w:ascii="SimSun" w:hAnsi="SimSun" w:eastAsia="SimSun" w:cs="SimSun"/>
          <w:sz w:val="24"/>
          <w:szCs w:val="24"/>
        </w:rPr>
      </w:pPr>
      <w:r>
        <w:rPr>
          <w:rFonts w:ascii="SimSun" w:hAnsi="SimSun" w:eastAsia="SimSun" w:cs="SimSun"/>
          <w:sz w:val="24"/>
          <w:szCs w:val="24"/>
          <w:b/>
          <w:bCs/>
          <w:spacing w:val="-2"/>
        </w:rPr>
        <w:t>图</w:t>
      </w:r>
      <w:r>
        <w:rPr>
          <w:rFonts w:ascii="Times New Roman" w:hAnsi="Times New Roman" w:eastAsia="Times New Roman" w:cs="Times New Roman"/>
          <w:sz w:val="24"/>
          <w:szCs w:val="24"/>
          <w:b/>
          <w:bCs/>
          <w:spacing w:val="-2"/>
        </w:rPr>
        <w:t>1.4-4      </w:t>
      </w:r>
      <w:r>
        <w:rPr>
          <w:rFonts w:ascii="SimSun" w:hAnsi="SimSun" w:eastAsia="SimSun" w:cs="SimSun"/>
          <w:sz w:val="24"/>
          <w:szCs w:val="24"/>
          <w:b/>
          <w:bCs/>
          <w:spacing w:val="-2"/>
        </w:rPr>
        <w:t>锡林郭勒盟环境管控单元查询</w:t>
      </w:r>
      <w:r>
        <w:rPr>
          <w:rFonts w:ascii="SimSun" w:hAnsi="SimSun" w:eastAsia="SimSun" w:cs="SimSun"/>
          <w:sz w:val="24"/>
          <w:szCs w:val="24"/>
          <w:b/>
          <w:bCs/>
          <w:spacing w:val="-3"/>
        </w:rPr>
        <w:t>结果（东厂区）</w:t>
      </w:r>
    </w:p>
    <w:p>
      <w:pPr>
        <w:spacing w:line="219" w:lineRule="auto"/>
        <w:sectPr>
          <w:footerReference w:type="default" r:id="rId26"/>
          <w:pgSz w:w="16840" w:h="11907"/>
          <w:pgMar w:top="1567" w:right="1700" w:bottom="1480" w:left="1701" w:header="1221" w:footer="1246" w:gutter="0"/>
        </w:sectPr>
        <w:rPr>
          <w:rFonts w:ascii="SimSun" w:hAnsi="SimSun" w:eastAsia="SimSun" w:cs="SimSun"/>
          <w:sz w:val="24"/>
          <w:szCs w:val="24"/>
        </w:rPr>
      </w:pPr>
    </w:p>
    <w:p>
      <w:pPr>
        <w:ind w:left="16"/>
        <w:spacing w:before="188" w:line="219" w:lineRule="auto"/>
        <w:outlineLvl w:val="3"/>
        <w:rPr>
          <w:rFonts w:ascii="SimSun" w:hAnsi="SimSun" w:eastAsia="SimSun" w:cs="SimSun"/>
          <w:sz w:val="24"/>
          <w:szCs w:val="24"/>
        </w:rPr>
      </w:pPr>
      <w:r>
        <w:pict>
          <v:shape id="_x0000_s86" style="position:absolute;margin-left:85.05pt;margin-top:79.11pt;mso-position-vertical-relative:page;mso-position-horizontal-relative:page;width:425.25pt;height:0.75pt;z-index:251695104;" o:allowincell="f" fillcolor="#000000" filled="true" stroked="false" coordsize="8505,15" coordorigin="0,0" path="m,l8505,0l8505,14l0,14l0,0xe"/>
        </w:pict>
      </w:r>
      <w:r>
        <w:rPr>
          <w:rFonts w:ascii="Times New Roman" w:hAnsi="Times New Roman" w:eastAsia="Times New Roman" w:cs="Times New Roman"/>
          <w:sz w:val="24"/>
          <w:szCs w:val="24"/>
          <w:b/>
          <w:bCs/>
          <w:spacing w:val="-2"/>
        </w:rPr>
        <w:t>1.4.5.2 </w:t>
      </w:r>
      <w:r>
        <w:rPr>
          <w:rFonts w:ascii="SimSun" w:hAnsi="SimSun" w:eastAsia="SimSun" w:cs="SimSun"/>
          <w:sz w:val="24"/>
          <w:szCs w:val="24"/>
          <w:b/>
          <w:bCs/>
          <w:spacing w:val="-2"/>
        </w:rPr>
        <w:t>环境质量底线的相符性</w:t>
      </w:r>
    </w:p>
    <w:p>
      <w:pPr>
        <w:ind w:left="2" w:right="11" w:firstLine="487"/>
        <w:spacing w:before="182" w:line="359" w:lineRule="auto"/>
        <w:jc w:val="both"/>
        <w:rPr>
          <w:rFonts w:ascii="SimSun" w:hAnsi="SimSun" w:eastAsia="SimSun" w:cs="SimSun"/>
          <w:sz w:val="24"/>
          <w:szCs w:val="24"/>
        </w:rPr>
      </w:pPr>
      <w:r>
        <w:rPr>
          <w:rFonts w:ascii="SimSun" w:hAnsi="SimSun" w:eastAsia="SimSun" w:cs="SimSun"/>
          <w:sz w:val="24"/>
          <w:szCs w:val="24"/>
          <w:spacing w:val="-2"/>
        </w:rPr>
        <w:t>根据《锡林郭勒盟行政公署关于实施</w:t>
      </w:r>
      <w:r>
        <w:rPr>
          <w:rFonts w:ascii="Times New Roman" w:hAnsi="Times New Roman" w:eastAsia="Times New Roman" w:cs="Times New Roman"/>
          <w:sz w:val="24"/>
          <w:szCs w:val="24"/>
          <w:spacing w:val="-2"/>
        </w:rPr>
        <w:t>“</w:t>
      </w:r>
      <w:r>
        <w:rPr>
          <w:rFonts w:ascii="SimSun" w:hAnsi="SimSun" w:eastAsia="SimSun" w:cs="SimSun"/>
          <w:sz w:val="24"/>
          <w:szCs w:val="24"/>
          <w:spacing w:val="-2"/>
        </w:rPr>
        <w:t>三线一单</w:t>
      </w:r>
      <w:r>
        <w:rPr>
          <w:rFonts w:ascii="Times New Roman" w:hAnsi="Times New Roman" w:eastAsia="Times New Roman" w:cs="Times New Roman"/>
          <w:sz w:val="24"/>
          <w:szCs w:val="24"/>
          <w:spacing w:val="-2"/>
        </w:rPr>
        <w:t>”</w:t>
      </w:r>
      <w:r>
        <w:rPr>
          <w:rFonts w:ascii="SimSun" w:hAnsi="SimSun" w:eastAsia="SimSun" w:cs="SimSun"/>
          <w:sz w:val="24"/>
          <w:szCs w:val="24"/>
          <w:spacing w:val="-2"/>
        </w:rPr>
        <w:t>生态环境分区管控的意见》、</w:t>
      </w:r>
      <w:r>
        <w:rPr>
          <w:rFonts w:ascii="SimSun" w:hAnsi="SimSun" w:eastAsia="SimSun" w:cs="SimSun"/>
          <w:sz w:val="24"/>
          <w:szCs w:val="24"/>
          <w:spacing w:val="17"/>
        </w:rPr>
        <w:t xml:space="preserve"> </w:t>
      </w:r>
      <w:r>
        <w:rPr>
          <w:rFonts w:ascii="SimSun" w:hAnsi="SimSun" w:eastAsia="SimSun" w:cs="SimSun"/>
          <w:sz w:val="24"/>
          <w:szCs w:val="24"/>
          <w:spacing w:val="3"/>
        </w:rPr>
        <w:t>《锡林郭勒盟生态环境保护委员会办公室关于印发锡林郭勒盟</w:t>
      </w:r>
      <w:r>
        <w:rPr>
          <w:rFonts w:ascii="Times New Roman" w:hAnsi="Times New Roman" w:eastAsia="Times New Roman" w:cs="Times New Roman"/>
          <w:sz w:val="24"/>
          <w:szCs w:val="24"/>
          <w:spacing w:val="3"/>
        </w:rPr>
        <w:t>“</w:t>
      </w:r>
      <w:r>
        <w:rPr>
          <w:rFonts w:ascii="SimSun" w:hAnsi="SimSun" w:eastAsia="SimSun" w:cs="SimSun"/>
          <w:sz w:val="24"/>
          <w:szCs w:val="24"/>
          <w:spacing w:val="3"/>
        </w:rPr>
        <w:t>三线一单</w:t>
      </w:r>
      <w:r>
        <w:rPr>
          <w:rFonts w:ascii="Times New Roman" w:hAnsi="Times New Roman" w:eastAsia="Times New Roman" w:cs="Times New Roman"/>
          <w:sz w:val="24"/>
          <w:szCs w:val="24"/>
          <w:spacing w:val="3"/>
        </w:rPr>
        <w:t>”</w:t>
      </w:r>
      <w:r>
        <w:rPr>
          <w:rFonts w:ascii="SimSun" w:hAnsi="SimSun" w:eastAsia="SimSun" w:cs="SimSun"/>
          <w:sz w:val="24"/>
          <w:szCs w:val="24"/>
          <w:spacing w:val="3"/>
        </w:rPr>
        <w:t>生态环</w:t>
      </w:r>
      <w:r>
        <w:rPr>
          <w:rFonts w:ascii="SimSun" w:hAnsi="SimSun" w:eastAsia="SimSun" w:cs="SimSun"/>
          <w:sz w:val="24"/>
          <w:szCs w:val="24"/>
          <w:spacing w:val="18"/>
        </w:rPr>
        <w:t xml:space="preserve"> </w:t>
      </w:r>
      <w:r>
        <w:rPr>
          <w:rFonts w:ascii="SimSun" w:hAnsi="SimSun" w:eastAsia="SimSun" w:cs="SimSun"/>
          <w:sz w:val="24"/>
          <w:szCs w:val="24"/>
          <w:spacing w:val="10"/>
        </w:rPr>
        <w:t>境分区管控意见修改单和锡林郭勒盟生态环境准入清单的通知》（锡环委办发</w:t>
      </w:r>
      <w:r>
        <w:rPr>
          <w:rFonts w:ascii="SimSun" w:hAnsi="SimSun" w:eastAsia="SimSun" w:cs="SimSun"/>
          <w:sz w:val="24"/>
          <w:szCs w:val="24"/>
        </w:rPr>
        <w:t xml:space="preserve"> </w:t>
      </w:r>
      <w:r>
        <w:rPr>
          <w:rFonts w:ascii="Times New Roman" w:hAnsi="Times New Roman" w:eastAsia="Times New Roman" w:cs="Times New Roman"/>
          <w:sz w:val="24"/>
          <w:szCs w:val="24"/>
          <w:spacing w:val="-1"/>
        </w:rPr>
        <w:t>[2024]1</w:t>
      </w:r>
      <w:r>
        <w:rPr>
          <w:rFonts w:ascii="SimSun" w:hAnsi="SimSun" w:eastAsia="SimSun" w:cs="SimSun"/>
          <w:sz w:val="24"/>
          <w:szCs w:val="24"/>
          <w:spacing w:val="-1"/>
        </w:rPr>
        <w:t>号</w:t>
      </w:r>
      <w:r>
        <w:rPr>
          <w:rFonts w:ascii="SimSun" w:hAnsi="SimSun" w:eastAsia="SimSun" w:cs="SimSun"/>
          <w:sz w:val="24"/>
          <w:szCs w:val="24"/>
          <w:spacing w:val="-2"/>
        </w:rPr>
        <w:t>）：</w:t>
      </w:r>
      <w:r>
        <w:rPr>
          <w:rFonts w:ascii="Times New Roman" w:hAnsi="Times New Roman" w:eastAsia="Times New Roman" w:cs="Times New Roman"/>
          <w:sz w:val="24"/>
          <w:szCs w:val="24"/>
          <w:spacing w:val="-1"/>
        </w:rPr>
        <w:t>2025</w:t>
      </w:r>
      <w:r>
        <w:rPr>
          <w:rFonts w:ascii="SimSun" w:hAnsi="SimSun" w:eastAsia="SimSun" w:cs="SimSun"/>
          <w:sz w:val="24"/>
          <w:szCs w:val="24"/>
          <w:spacing w:val="-1"/>
        </w:rPr>
        <w:t>年锡林郭勒盟</w:t>
      </w:r>
      <w:r>
        <w:rPr>
          <w:rFonts w:ascii="Times New Roman" w:hAnsi="Times New Roman" w:eastAsia="Times New Roman" w:cs="Times New Roman"/>
          <w:sz w:val="24"/>
          <w:szCs w:val="24"/>
          <w:spacing w:val="-1"/>
        </w:rPr>
        <w:t>PM</w:t>
      </w:r>
      <w:r>
        <w:rPr>
          <w:rFonts w:ascii="Times New Roman" w:hAnsi="Times New Roman" w:eastAsia="Times New Roman" w:cs="Times New Roman"/>
          <w:sz w:val="15"/>
          <w:szCs w:val="15"/>
          <w:spacing w:val="-1"/>
          <w:position w:val="-1"/>
        </w:rPr>
        <w:t>2.5</w:t>
      </w:r>
      <w:r>
        <w:rPr>
          <w:rFonts w:ascii="SimSun" w:hAnsi="SimSun" w:eastAsia="SimSun" w:cs="SimSun"/>
          <w:sz w:val="24"/>
          <w:szCs w:val="24"/>
          <w:spacing w:val="-1"/>
        </w:rPr>
        <w:t>浓度目标保持在</w:t>
      </w:r>
      <w:r>
        <w:rPr>
          <w:rFonts w:ascii="Times New Roman" w:hAnsi="Times New Roman" w:eastAsia="Times New Roman" w:cs="Times New Roman"/>
          <w:sz w:val="24"/>
          <w:szCs w:val="24"/>
          <w:spacing w:val="-1"/>
        </w:rPr>
        <w:t>103μg/m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15"/>
          <w:szCs w:val="15"/>
          <w:spacing w:val="-9"/>
          <w:position w:val="8"/>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2035</w:t>
      </w:r>
      <w:r>
        <w:rPr>
          <w:rFonts w:ascii="SimSun" w:hAnsi="SimSun" w:eastAsia="SimSun" w:cs="SimSun"/>
          <w:sz w:val="24"/>
          <w:szCs w:val="24"/>
          <w:spacing w:val="-1"/>
        </w:rPr>
        <w:t>年</w:t>
      </w:r>
      <w:r>
        <w:rPr>
          <w:rFonts w:ascii="Times New Roman" w:hAnsi="Times New Roman" w:eastAsia="Times New Roman" w:cs="Times New Roman"/>
          <w:sz w:val="24"/>
          <w:szCs w:val="24"/>
          <w:spacing w:val="-1"/>
        </w:rPr>
        <w:t>PM</w:t>
      </w:r>
      <w:r>
        <w:rPr>
          <w:rFonts w:ascii="Times New Roman" w:hAnsi="Times New Roman" w:eastAsia="Times New Roman" w:cs="Times New Roman"/>
          <w:sz w:val="15"/>
          <w:szCs w:val="15"/>
          <w:spacing w:val="-1"/>
          <w:position w:val="-1"/>
        </w:rPr>
        <w:t>2.5</w:t>
      </w:r>
      <w:r>
        <w:rPr>
          <w:rFonts w:ascii="SimSun" w:hAnsi="SimSun" w:eastAsia="SimSun" w:cs="SimSun"/>
          <w:sz w:val="24"/>
          <w:szCs w:val="24"/>
          <w:spacing w:val="-1"/>
        </w:rPr>
        <w:t>浓度</w:t>
      </w:r>
      <w:r>
        <w:rPr>
          <w:rFonts w:ascii="SimSun" w:hAnsi="SimSun" w:eastAsia="SimSun" w:cs="SimSun"/>
          <w:sz w:val="24"/>
          <w:szCs w:val="24"/>
        </w:rPr>
        <w:t xml:space="preserve"> </w:t>
      </w:r>
      <w:r>
        <w:rPr>
          <w:rFonts w:ascii="SimSun" w:hAnsi="SimSun" w:eastAsia="SimSun" w:cs="SimSun"/>
          <w:sz w:val="24"/>
          <w:szCs w:val="24"/>
          <w:spacing w:val="-3"/>
        </w:rPr>
        <w:t>目标以自治区下发指标为准；</w:t>
      </w:r>
      <w:r>
        <w:rPr>
          <w:rFonts w:ascii="Times New Roman" w:hAnsi="Times New Roman" w:eastAsia="Times New Roman" w:cs="Times New Roman"/>
          <w:sz w:val="24"/>
          <w:szCs w:val="24"/>
          <w:spacing w:val="-3"/>
        </w:rPr>
        <w:t>2025</w:t>
      </w:r>
      <w:r>
        <w:rPr>
          <w:rFonts w:ascii="SimSun" w:hAnsi="SimSun" w:eastAsia="SimSun" w:cs="SimSun"/>
          <w:sz w:val="24"/>
          <w:szCs w:val="24"/>
          <w:spacing w:val="-3"/>
        </w:rPr>
        <w:t>年，地表水考核断面优良比例达到</w:t>
      </w:r>
      <w:r>
        <w:rPr>
          <w:rFonts w:ascii="Times New Roman" w:hAnsi="Times New Roman" w:eastAsia="Times New Roman" w:cs="Times New Roman"/>
          <w:sz w:val="24"/>
          <w:szCs w:val="24"/>
          <w:spacing w:val="-3"/>
        </w:rPr>
        <w:t>50%</w:t>
      </w:r>
      <w:r>
        <w:rPr>
          <w:rFonts w:ascii="SimSun" w:hAnsi="SimSun" w:eastAsia="SimSun" w:cs="SimSun"/>
          <w:sz w:val="24"/>
          <w:szCs w:val="24"/>
          <w:spacing w:val="-3"/>
        </w:rPr>
        <w:t>，消除劣</w:t>
      </w:r>
      <w:r>
        <w:rPr>
          <w:rFonts w:ascii="SimSun" w:hAnsi="SimSun" w:eastAsia="SimSun" w:cs="SimSun"/>
          <w:sz w:val="24"/>
          <w:szCs w:val="24"/>
          <w:spacing w:val="17"/>
        </w:rPr>
        <w:t xml:space="preserve"> </w:t>
      </w:r>
      <w:r>
        <w:rPr>
          <w:rFonts w:ascii="Times New Roman" w:hAnsi="Times New Roman" w:eastAsia="Times New Roman" w:cs="Times New Roman"/>
          <w:sz w:val="24"/>
          <w:szCs w:val="24"/>
          <w:spacing w:val="-2"/>
        </w:rPr>
        <w:t>V</w:t>
      </w:r>
      <w:r>
        <w:rPr>
          <w:rFonts w:ascii="SimSun" w:hAnsi="SimSun" w:eastAsia="SimSun" w:cs="SimSun"/>
          <w:sz w:val="24"/>
          <w:szCs w:val="24"/>
          <w:spacing w:val="-2"/>
        </w:rPr>
        <w:t>类水体，地市级集中式饮用水水源地水质保持稳定。</w:t>
      </w:r>
      <w:r>
        <w:rPr>
          <w:rFonts w:ascii="Times New Roman" w:hAnsi="Times New Roman" w:eastAsia="Times New Roman" w:cs="Times New Roman"/>
          <w:sz w:val="24"/>
          <w:szCs w:val="24"/>
          <w:spacing w:val="-2"/>
        </w:rPr>
        <w:t>2035</w:t>
      </w:r>
      <w:r>
        <w:rPr>
          <w:rFonts w:ascii="SimSun" w:hAnsi="SimSun" w:eastAsia="SimSun" w:cs="SimSun"/>
          <w:sz w:val="24"/>
          <w:szCs w:val="24"/>
          <w:spacing w:val="-2"/>
        </w:rPr>
        <w:t>年，全盟水生态环境质</w:t>
      </w:r>
      <w:r>
        <w:rPr>
          <w:rFonts w:ascii="SimSun" w:hAnsi="SimSun" w:eastAsia="SimSun" w:cs="SimSun"/>
          <w:sz w:val="24"/>
          <w:szCs w:val="24"/>
          <w:spacing w:val="2"/>
        </w:rPr>
        <w:t xml:space="preserve"> </w:t>
      </w:r>
      <w:r>
        <w:rPr>
          <w:rFonts w:ascii="SimSun" w:hAnsi="SimSun" w:eastAsia="SimSun" w:cs="SimSun"/>
          <w:sz w:val="24"/>
          <w:szCs w:val="24"/>
          <w:spacing w:val="-3"/>
        </w:rPr>
        <w:t>量实现明显好转；到</w:t>
      </w:r>
      <w:r>
        <w:rPr>
          <w:rFonts w:ascii="Times New Roman" w:hAnsi="Times New Roman" w:eastAsia="Times New Roman" w:cs="Times New Roman"/>
          <w:sz w:val="24"/>
          <w:szCs w:val="24"/>
          <w:spacing w:val="-3"/>
        </w:rPr>
        <w:t>2025</w:t>
      </w:r>
      <w:r>
        <w:rPr>
          <w:rFonts w:ascii="SimSun" w:hAnsi="SimSun" w:eastAsia="SimSun" w:cs="SimSun"/>
          <w:sz w:val="24"/>
          <w:szCs w:val="24"/>
          <w:spacing w:val="-3"/>
        </w:rPr>
        <w:t>年，受污染耕地安全利用率达到</w:t>
      </w:r>
      <w:r>
        <w:rPr>
          <w:rFonts w:ascii="Times New Roman" w:hAnsi="Times New Roman" w:eastAsia="Times New Roman" w:cs="Times New Roman"/>
          <w:sz w:val="24"/>
          <w:szCs w:val="24"/>
          <w:spacing w:val="-3"/>
        </w:rPr>
        <w:t>98%</w:t>
      </w:r>
      <w:r>
        <w:rPr>
          <w:rFonts w:ascii="SimSun" w:hAnsi="SimSun" w:eastAsia="SimSun" w:cs="SimSun"/>
          <w:sz w:val="24"/>
          <w:szCs w:val="24"/>
          <w:spacing w:val="-3"/>
        </w:rPr>
        <w:t>，重点建设用地得到</w:t>
      </w:r>
      <w:r>
        <w:rPr>
          <w:rFonts w:ascii="SimSun" w:hAnsi="SimSun" w:eastAsia="SimSun" w:cs="SimSun"/>
          <w:sz w:val="24"/>
          <w:szCs w:val="24"/>
          <w:spacing w:val="17"/>
        </w:rPr>
        <w:t xml:space="preserve"> </w:t>
      </w:r>
      <w:r>
        <w:rPr>
          <w:rFonts w:ascii="SimSun" w:hAnsi="SimSun" w:eastAsia="SimSun" w:cs="SimSun"/>
          <w:sz w:val="24"/>
          <w:szCs w:val="24"/>
          <w:spacing w:val="3"/>
        </w:rPr>
        <w:t>安全利用。到</w:t>
      </w:r>
      <w:r>
        <w:rPr>
          <w:rFonts w:ascii="Times New Roman" w:hAnsi="Times New Roman" w:eastAsia="Times New Roman" w:cs="Times New Roman"/>
          <w:sz w:val="24"/>
          <w:szCs w:val="24"/>
          <w:spacing w:val="3"/>
        </w:rPr>
        <w:t>2030</w:t>
      </w:r>
      <w:r>
        <w:rPr>
          <w:rFonts w:ascii="SimSun" w:hAnsi="SimSun" w:eastAsia="SimSun" w:cs="SimSun"/>
          <w:sz w:val="24"/>
          <w:szCs w:val="24"/>
          <w:spacing w:val="3"/>
        </w:rPr>
        <w:t>年；受污染耕地安全利用率持续稳</w:t>
      </w:r>
      <w:r>
        <w:rPr>
          <w:rFonts w:ascii="SimSun" w:hAnsi="SimSun" w:eastAsia="SimSun" w:cs="SimSun"/>
          <w:sz w:val="24"/>
          <w:szCs w:val="24"/>
          <w:spacing w:val="2"/>
        </w:rPr>
        <w:t>定，重点建设用地得到安全</w:t>
      </w:r>
      <w:r>
        <w:rPr>
          <w:rFonts w:ascii="SimSun" w:hAnsi="SimSun" w:eastAsia="SimSun" w:cs="SimSun"/>
          <w:sz w:val="24"/>
          <w:szCs w:val="24"/>
        </w:rPr>
        <w:t xml:space="preserve"> </w:t>
      </w:r>
      <w:r>
        <w:rPr>
          <w:rFonts w:ascii="SimSun" w:hAnsi="SimSun" w:eastAsia="SimSun" w:cs="SimSun"/>
          <w:sz w:val="24"/>
          <w:szCs w:val="24"/>
          <w:spacing w:val="-1"/>
        </w:rPr>
        <w:t>利用。</w:t>
      </w:r>
    </w:p>
    <w:p>
      <w:pPr>
        <w:ind w:left="5" w:right="18" w:firstLine="488"/>
        <w:spacing w:before="8" w:line="358" w:lineRule="auto"/>
        <w:jc w:val="both"/>
        <w:rPr>
          <w:rFonts w:ascii="SimSun" w:hAnsi="SimSun" w:eastAsia="SimSun" w:cs="SimSun"/>
          <w:sz w:val="24"/>
          <w:szCs w:val="24"/>
        </w:rPr>
      </w:pPr>
      <w:r>
        <w:rPr>
          <w:rFonts w:ascii="SimSun" w:hAnsi="SimSun" w:eastAsia="SimSun" w:cs="SimSun"/>
          <w:sz w:val="24"/>
          <w:szCs w:val="24"/>
          <w:spacing w:val="-1"/>
        </w:rPr>
        <w:t>项目位于内蒙古自治区锡林郭勒盟正镶白旗，评价基准年为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年，根据内</w:t>
      </w:r>
      <w:r>
        <w:rPr>
          <w:rFonts w:ascii="SimSun" w:hAnsi="SimSun" w:eastAsia="SimSun" w:cs="SimSun"/>
          <w:sz w:val="24"/>
          <w:szCs w:val="24"/>
        </w:rPr>
        <w:t xml:space="preserve"> </w:t>
      </w:r>
      <w:r>
        <w:rPr>
          <w:rFonts w:ascii="SimSun" w:hAnsi="SimSun" w:eastAsia="SimSun" w:cs="SimSun"/>
          <w:sz w:val="24"/>
          <w:szCs w:val="24"/>
          <w:spacing w:val="-1"/>
        </w:rPr>
        <w:t>蒙古自治区生态环境厅发布的《内蒙古自治区</w:t>
      </w:r>
      <w:r>
        <w:rPr>
          <w:rFonts w:ascii="SimSun" w:hAnsi="SimSun" w:eastAsia="SimSun" w:cs="SimSun"/>
          <w:sz w:val="24"/>
          <w:szCs w:val="24"/>
          <w:spacing w:val="-2"/>
        </w:rPr>
        <w:t>生态环境状况公报</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2024</w:t>
      </w:r>
      <w:r>
        <w:rPr>
          <w:rFonts w:ascii="SimSun" w:hAnsi="SimSun" w:eastAsia="SimSun" w:cs="SimSun"/>
          <w:sz w:val="24"/>
          <w:szCs w:val="24"/>
          <w:spacing w:val="-2"/>
        </w:rPr>
        <w:t>》，全区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12</w:t>
      </w:r>
      <w:r>
        <w:rPr>
          <w:rFonts w:ascii="Times New Roman" w:hAnsi="Times New Roman" w:eastAsia="Times New Roman" w:cs="Times New Roman"/>
          <w:sz w:val="24"/>
          <w:szCs w:val="24"/>
        </w:rPr>
        <w:t xml:space="preserve">  </w:t>
      </w:r>
      <w:r>
        <w:rPr>
          <w:rFonts w:ascii="SimSun" w:hAnsi="SimSun" w:eastAsia="SimSun" w:cs="SimSun"/>
          <w:sz w:val="24"/>
          <w:szCs w:val="24"/>
          <w:spacing w:val="3"/>
        </w:rPr>
        <w:t>盟市环境空气质量均达标，故项目所在区域为环境空气质量达</w:t>
      </w:r>
      <w:r>
        <w:rPr>
          <w:rFonts w:ascii="SimSun" w:hAnsi="SimSun" w:eastAsia="SimSun" w:cs="SimSun"/>
          <w:sz w:val="24"/>
          <w:szCs w:val="24"/>
          <w:spacing w:val="2"/>
        </w:rPr>
        <w:t>标区；根据现状监</w:t>
      </w:r>
      <w:r>
        <w:rPr>
          <w:rFonts w:ascii="SimSun" w:hAnsi="SimSun" w:eastAsia="SimSun" w:cs="SimSun"/>
          <w:sz w:val="24"/>
          <w:szCs w:val="24"/>
        </w:rPr>
        <w:t xml:space="preserve"> </w:t>
      </w:r>
      <w:r>
        <w:rPr>
          <w:rFonts w:ascii="SimSun" w:hAnsi="SimSun" w:eastAsia="SimSun" w:cs="SimSun"/>
          <w:sz w:val="24"/>
          <w:szCs w:val="24"/>
          <w:spacing w:val="3"/>
        </w:rPr>
        <w:t>测结果，本项目特征因子</w:t>
      </w:r>
      <w:r>
        <w:rPr>
          <w:rFonts w:ascii="SimSun" w:hAnsi="SimSun" w:eastAsia="SimSun" w:cs="SimSun"/>
          <w:sz w:val="24"/>
          <w:szCs w:val="24"/>
          <w:spacing w:val="-48"/>
        </w:rPr>
        <w:t xml:space="preserve"> </w:t>
      </w:r>
      <w:r>
        <w:rPr>
          <w:rFonts w:ascii="Times New Roman" w:hAnsi="Times New Roman" w:eastAsia="Times New Roman" w:cs="Times New Roman"/>
          <w:sz w:val="24"/>
          <w:szCs w:val="24"/>
        </w:rPr>
        <w:t>TSP</w:t>
      </w:r>
      <w:r>
        <w:rPr>
          <w:rFonts w:ascii="Times New Roman" w:hAnsi="Times New Roman" w:eastAsia="Times New Roman" w:cs="Times New Roman"/>
          <w:sz w:val="24"/>
          <w:szCs w:val="24"/>
          <w:spacing w:val="3"/>
        </w:rPr>
        <w:t xml:space="preserve"> </w:t>
      </w:r>
      <w:r>
        <w:rPr>
          <w:rFonts w:ascii="SimSun" w:hAnsi="SimSun" w:eastAsia="SimSun" w:cs="SimSun"/>
          <w:sz w:val="24"/>
          <w:szCs w:val="24"/>
          <w:spacing w:val="3"/>
        </w:rPr>
        <w:t>满足《环境空气质量标准》</w:t>
      </w:r>
      <w:r>
        <w:rPr>
          <w:rFonts w:ascii="SimSun" w:hAnsi="SimSun" w:eastAsia="SimSun" w:cs="SimSun"/>
          <w:sz w:val="24"/>
          <w:szCs w:val="24"/>
          <w:spacing w:val="2"/>
        </w:rPr>
        <w:t>（</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2"/>
        </w:rPr>
        <w:t>3095-2012</w:t>
      </w:r>
      <w:r>
        <w:rPr>
          <w:rFonts w:ascii="SimSun" w:hAnsi="SimSun" w:eastAsia="SimSun" w:cs="SimSun"/>
          <w:sz w:val="24"/>
          <w:szCs w:val="24"/>
          <w:spacing w:val="2"/>
        </w:rPr>
        <w:t>）中二</w:t>
      </w:r>
      <w:r>
        <w:rPr>
          <w:rFonts w:ascii="SimSun" w:hAnsi="SimSun" w:eastAsia="SimSun" w:cs="SimSun"/>
          <w:sz w:val="24"/>
          <w:szCs w:val="24"/>
        </w:rPr>
        <w:t xml:space="preserve"> </w:t>
      </w:r>
      <w:r>
        <w:rPr>
          <w:rFonts w:ascii="SimSun" w:hAnsi="SimSun" w:eastAsia="SimSun" w:cs="SimSun"/>
          <w:sz w:val="24"/>
          <w:szCs w:val="24"/>
          <w:spacing w:val="-5"/>
        </w:rPr>
        <w:t>级标准限值，</w:t>
      </w:r>
      <w:r>
        <w:rPr>
          <w:rFonts w:ascii="Times New Roman" w:hAnsi="Times New Roman" w:eastAsia="Times New Roman" w:cs="Times New Roman"/>
          <w:sz w:val="24"/>
          <w:szCs w:val="24"/>
          <w:spacing w:val="-5"/>
        </w:rPr>
        <w:t>H</w:t>
      </w:r>
      <w:r>
        <w:rPr>
          <w:rFonts w:ascii="Times New Roman" w:hAnsi="Times New Roman" w:eastAsia="Times New Roman" w:cs="Times New Roman"/>
          <w:sz w:val="15"/>
          <w:szCs w:val="15"/>
          <w:spacing w:val="-5"/>
          <w:position w:val="-1"/>
        </w:rPr>
        <w:t>2</w:t>
      </w:r>
      <w:r>
        <w:rPr>
          <w:rFonts w:ascii="Times New Roman" w:hAnsi="Times New Roman" w:eastAsia="Times New Roman" w:cs="Times New Roman"/>
          <w:sz w:val="24"/>
          <w:szCs w:val="24"/>
          <w:spacing w:val="-5"/>
        </w:rPr>
        <w:t>S</w:t>
      </w:r>
      <w:r>
        <w:rPr>
          <w:rFonts w:ascii="SimSun" w:hAnsi="SimSun" w:eastAsia="SimSun" w:cs="SimSun"/>
          <w:sz w:val="24"/>
          <w:szCs w:val="24"/>
          <w:spacing w:val="-5"/>
        </w:rPr>
        <w:t>、</w:t>
      </w:r>
      <w:r>
        <w:rPr>
          <w:rFonts w:ascii="Times New Roman" w:hAnsi="Times New Roman" w:eastAsia="Times New Roman" w:cs="Times New Roman"/>
          <w:sz w:val="24"/>
          <w:szCs w:val="24"/>
          <w:spacing w:val="-5"/>
        </w:rPr>
        <w:t>NH</w:t>
      </w:r>
      <w:r>
        <w:rPr>
          <w:rFonts w:ascii="Times New Roman" w:hAnsi="Times New Roman" w:eastAsia="Times New Roman" w:cs="Times New Roman"/>
          <w:sz w:val="15"/>
          <w:szCs w:val="15"/>
          <w:spacing w:val="-5"/>
          <w:position w:val="-1"/>
        </w:rPr>
        <w:t>3</w:t>
      </w:r>
      <w:r>
        <w:rPr>
          <w:rFonts w:ascii="Times New Roman" w:hAnsi="Times New Roman" w:eastAsia="Times New Roman" w:cs="Times New Roman"/>
          <w:sz w:val="15"/>
          <w:szCs w:val="15"/>
          <w:spacing w:val="29"/>
          <w:position w:val="-1"/>
        </w:rPr>
        <w:t xml:space="preserve"> </w:t>
      </w:r>
      <w:r>
        <w:rPr>
          <w:rFonts w:ascii="SimSun" w:hAnsi="SimSun" w:eastAsia="SimSun" w:cs="SimSun"/>
          <w:sz w:val="24"/>
          <w:szCs w:val="24"/>
          <w:spacing w:val="-5"/>
        </w:rPr>
        <w:t>小时监测值满足《环境影响评价技术导则 大气环境》（</w:t>
      </w:r>
      <w:r>
        <w:rPr>
          <w:rFonts w:ascii="Times New Roman" w:hAnsi="Times New Roman" w:eastAsia="Times New Roman" w:cs="Times New Roman"/>
          <w:sz w:val="24"/>
          <w:szCs w:val="24"/>
          <w:spacing w:val="-5"/>
        </w:rPr>
        <w:t>HJ</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5"/>
        </w:rPr>
        <w:t>2.2-2018</w:t>
      </w:r>
      <w:r>
        <w:rPr>
          <w:rFonts w:ascii="SimSun" w:hAnsi="SimSun" w:eastAsia="SimSun" w:cs="SimSun"/>
          <w:sz w:val="24"/>
          <w:szCs w:val="24"/>
          <w:spacing w:val="-5"/>
        </w:rPr>
        <w:t>）附录</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5"/>
        </w:rPr>
        <w:t>D </w:t>
      </w:r>
      <w:r>
        <w:rPr>
          <w:rFonts w:ascii="SimSun" w:hAnsi="SimSun" w:eastAsia="SimSun" w:cs="SimSun"/>
          <w:sz w:val="24"/>
          <w:szCs w:val="24"/>
          <w:spacing w:val="-5"/>
        </w:rPr>
        <w:t>其他污染物空气质量浓度参考限值表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D.1</w:t>
      </w:r>
      <w:r>
        <w:rPr>
          <w:rFonts w:ascii="SimSun" w:hAnsi="SimSun" w:eastAsia="SimSun" w:cs="SimSun"/>
          <w:sz w:val="24"/>
          <w:szCs w:val="24"/>
          <w:spacing w:val="-5"/>
        </w:rPr>
        <w:t>；臭气浓度无质量标</w:t>
      </w:r>
      <w:r>
        <w:rPr>
          <w:rFonts w:ascii="SimSun" w:hAnsi="SimSun" w:eastAsia="SimSun" w:cs="SimSun"/>
          <w:sz w:val="24"/>
          <w:szCs w:val="24"/>
          <w:spacing w:val="-6"/>
        </w:rPr>
        <w:t>准，</w:t>
      </w:r>
      <w:r>
        <w:rPr>
          <w:rFonts w:ascii="SimSun" w:hAnsi="SimSun" w:eastAsia="SimSun" w:cs="SimSun"/>
          <w:sz w:val="24"/>
          <w:szCs w:val="24"/>
        </w:rPr>
        <w:t xml:space="preserve"> </w:t>
      </w:r>
      <w:r>
        <w:rPr>
          <w:rFonts w:ascii="SimSun" w:hAnsi="SimSun" w:eastAsia="SimSun" w:cs="SimSun"/>
          <w:sz w:val="24"/>
          <w:szCs w:val="24"/>
          <w:spacing w:val="-1"/>
        </w:rPr>
        <w:t>仅作本底值监测。</w:t>
      </w:r>
    </w:p>
    <w:p>
      <w:pPr>
        <w:ind w:left="7" w:firstLine="482"/>
        <w:spacing w:before="16" w:line="364" w:lineRule="auto"/>
        <w:jc w:val="both"/>
        <w:rPr>
          <w:rFonts w:ascii="Times New Roman" w:hAnsi="Times New Roman" w:eastAsia="Times New Roman" w:cs="Times New Roman"/>
          <w:sz w:val="18"/>
          <w:szCs w:val="18"/>
        </w:rPr>
      </w:pPr>
      <w:r>
        <w:rPr>
          <w:rFonts w:ascii="SimSun" w:hAnsi="SimSun" w:eastAsia="SimSun" w:cs="SimSun"/>
          <w:sz w:val="24"/>
          <w:szCs w:val="24"/>
          <w:spacing w:val="3"/>
        </w:rPr>
        <w:t>根据地下水现状监测结果可知，硫酸盐、氯化物、钠、总硬度及溶</w:t>
      </w:r>
      <w:r>
        <w:rPr>
          <w:rFonts w:ascii="SimSun" w:hAnsi="SimSun" w:eastAsia="SimSun" w:cs="SimSun"/>
          <w:sz w:val="24"/>
          <w:szCs w:val="24"/>
          <w:spacing w:val="2"/>
        </w:rPr>
        <w:t>解性总固</w:t>
      </w:r>
      <w:r>
        <w:rPr>
          <w:rFonts w:ascii="SimSun" w:hAnsi="SimSun" w:eastAsia="SimSun" w:cs="SimSun"/>
          <w:sz w:val="24"/>
          <w:szCs w:val="24"/>
        </w:rPr>
        <w:t xml:space="preserve"> </w:t>
      </w:r>
      <w:r>
        <w:rPr>
          <w:rFonts w:ascii="SimSun" w:hAnsi="SimSun" w:eastAsia="SimSun" w:cs="SimSun"/>
          <w:sz w:val="24"/>
          <w:szCs w:val="24"/>
          <w:spacing w:val="-7"/>
        </w:rPr>
        <w:t>体在</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7"/>
        </w:rPr>
        <w:t>S02</w:t>
      </w:r>
      <w:r>
        <w:rPr>
          <w:rFonts w:ascii="SimSun" w:hAnsi="SimSun" w:eastAsia="SimSun" w:cs="SimSun"/>
          <w:sz w:val="24"/>
          <w:szCs w:val="24"/>
          <w:spacing w:val="-7"/>
        </w:rPr>
        <w:t>、</w:t>
      </w:r>
      <w:r>
        <w:rPr>
          <w:rFonts w:ascii="Times New Roman" w:hAnsi="Times New Roman" w:eastAsia="Times New Roman" w:cs="Times New Roman"/>
          <w:sz w:val="24"/>
          <w:szCs w:val="24"/>
          <w:spacing w:val="-7"/>
        </w:rPr>
        <w:t>S03</w:t>
      </w:r>
      <w:r>
        <w:rPr>
          <w:rFonts w:ascii="SimSun" w:hAnsi="SimSun" w:eastAsia="SimSun" w:cs="SimSun"/>
          <w:sz w:val="24"/>
          <w:szCs w:val="24"/>
          <w:spacing w:val="-7"/>
        </w:rPr>
        <w:t>、</w:t>
      </w:r>
      <w:r>
        <w:rPr>
          <w:rFonts w:ascii="Times New Roman" w:hAnsi="Times New Roman" w:eastAsia="Times New Roman" w:cs="Times New Roman"/>
          <w:sz w:val="24"/>
          <w:szCs w:val="24"/>
          <w:spacing w:val="-7"/>
        </w:rPr>
        <w:t>S05</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7"/>
        </w:rPr>
        <w:t>、</w:t>
      </w:r>
      <w:r>
        <w:rPr>
          <w:rFonts w:ascii="Times New Roman" w:hAnsi="Times New Roman" w:eastAsia="Times New Roman" w:cs="Times New Roman"/>
          <w:sz w:val="24"/>
          <w:szCs w:val="24"/>
          <w:spacing w:val="-7"/>
        </w:rPr>
        <w:t>S07 </w:t>
      </w:r>
      <w:r>
        <w:rPr>
          <w:rFonts w:ascii="SimSun" w:hAnsi="SimSun" w:eastAsia="SimSun" w:cs="SimSun"/>
          <w:sz w:val="24"/>
          <w:szCs w:val="24"/>
          <w:spacing w:val="-7"/>
        </w:rPr>
        <w:t>监测点出现超标，氟化物在</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7"/>
        </w:rPr>
        <w:t>S02</w:t>
      </w:r>
      <w:r>
        <w:rPr>
          <w:rFonts w:ascii="SimSun" w:hAnsi="SimSun" w:eastAsia="SimSun" w:cs="SimSun"/>
          <w:sz w:val="24"/>
          <w:szCs w:val="24"/>
          <w:spacing w:val="-7"/>
        </w:rPr>
        <w:t>、</w:t>
      </w:r>
      <w:r>
        <w:rPr>
          <w:rFonts w:ascii="Times New Roman" w:hAnsi="Times New Roman" w:eastAsia="Times New Roman" w:cs="Times New Roman"/>
          <w:sz w:val="24"/>
          <w:szCs w:val="24"/>
          <w:spacing w:val="-7"/>
        </w:rPr>
        <w:t>S03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7"/>
        </w:rPr>
        <w:t>、</w:t>
      </w:r>
      <w:r>
        <w:rPr>
          <w:rFonts w:ascii="Times New Roman" w:hAnsi="Times New Roman" w:eastAsia="Times New Roman" w:cs="Times New Roman"/>
          <w:sz w:val="24"/>
          <w:szCs w:val="24"/>
          <w:spacing w:val="-7"/>
        </w:rPr>
        <w:t>S05</w:t>
      </w:r>
      <w:r>
        <w:rPr>
          <w:rFonts w:ascii="SimSun" w:hAnsi="SimSun" w:eastAsia="SimSun" w:cs="SimSun"/>
          <w:sz w:val="24"/>
          <w:szCs w:val="24"/>
          <w:spacing w:val="-7"/>
        </w:rPr>
        <w:t>、</w:t>
      </w:r>
      <w:r>
        <w:rPr>
          <w:rFonts w:ascii="Times New Roman" w:hAnsi="Times New Roman" w:eastAsia="Times New Roman" w:cs="Times New Roman"/>
          <w:sz w:val="24"/>
          <w:szCs w:val="24"/>
          <w:spacing w:val="-7"/>
        </w:rPr>
        <w:t>S07</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8"/>
        </w:rPr>
        <w:t>、</w:t>
      </w:r>
      <w:r>
        <w:rPr>
          <w:rFonts w:ascii="Times New Roman" w:hAnsi="Times New Roman" w:eastAsia="Times New Roman" w:cs="Times New Roman"/>
          <w:sz w:val="24"/>
          <w:szCs w:val="24"/>
          <w:spacing w:val="-8"/>
        </w:rPr>
        <w:t>S13</w:t>
      </w:r>
      <w:r>
        <w:rPr>
          <w:rFonts w:ascii="SimSun" w:hAnsi="SimSun" w:eastAsia="SimSun" w:cs="SimSun"/>
          <w:sz w:val="24"/>
          <w:szCs w:val="24"/>
          <w:spacing w:val="-8"/>
        </w:rPr>
        <w:t>、</w:t>
      </w:r>
      <w:r>
        <w:rPr>
          <w:rFonts w:ascii="SimSun" w:hAnsi="SimSun" w:eastAsia="SimSun" w:cs="SimSun"/>
          <w:sz w:val="24"/>
          <w:szCs w:val="24"/>
        </w:rPr>
        <w:t xml:space="preserve"> </w:t>
      </w:r>
      <w:r>
        <w:rPr>
          <w:rFonts w:ascii="Times New Roman" w:hAnsi="Times New Roman" w:eastAsia="Times New Roman" w:cs="Times New Roman"/>
          <w:sz w:val="24"/>
          <w:szCs w:val="24"/>
          <w:spacing w:val="-3"/>
        </w:rPr>
        <w:t>S14 </w:t>
      </w:r>
      <w:r>
        <w:rPr>
          <w:rFonts w:ascii="SimSun" w:hAnsi="SimSun" w:eastAsia="SimSun" w:cs="SimSun"/>
          <w:sz w:val="24"/>
          <w:szCs w:val="24"/>
          <w:spacing w:val="-3"/>
        </w:rPr>
        <w:t>监测点出现超标，除以上因子外其余各监测因子标准指数均小于</w:t>
      </w:r>
      <w:r>
        <w:rPr>
          <w:rFonts w:ascii="SimSun" w:hAnsi="SimSun" w:eastAsia="SimSun" w:cs="SimSun"/>
          <w:sz w:val="24"/>
          <w:szCs w:val="24"/>
          <w:spacing w:val="-14"/>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，满足《地</w:t>
      </w:r>
      <w:r>
        <w:rPr>
          <w:rFonts w:ascii="SimSun" w:hAnsi="SimSun" w:eastAsia="SimSun" w:cs="SimSun"/>
          <w:sz w:val="24"/>
          <w:szCs w:val="24"/>
        </w:rPr>
        <w:t xml:space="preserve"> </w:t>
      </w:r>
      <w:r>
        <w:rPr>
          <w:rFonts w:ascii="SimSun" w:hAnsi="SimSun" w:eastAsia="SimSun" w:cs="SimSun"/>
          <w:sz w:val="24"/>
          <w:szCs w:val="24"/>
          <w:spacing w:val="-1"/>
        </w:rPr>
        <w:t>下水质量标准》（</w:t>
      </w:r>
      <w:r>
        <w:rPr>
          <w:rFonts w:ascii="Times New Roman" w:hAnsi="Times New Roman" w:eastAsia="Times New Roman" w:cs="Times New Roman"/>
          <w:sz w:val="24"/>
          <w:szCs w:val="24"/>
          <w:spacing w:val="-1"/>
        </w:rPr>
        <w:t>GB/T14848-2017</w:t>
      </w:r>
      <w:r>
        <w:rPr>
          <w:rFonts w:ascii="SimSun" w:hAnsi="SimSun" w:eastAsia="SimSun" w:cs="SimSun"/>
          <w:sz w:val="24"/>
          <w:szCs w:val="24"/>
          <w:spacing w:val="-1"/>
        </w:rPr>
        <w:t>）中</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III </w:t>
      </w:r>
      <w:r>
        <w:rPr>
          <w:rFonts w:ascii="SimSun" w:hAnsi="SimSun" w:eastAsia="SimSun" w:cs="SimSun"/>
          <w:sz w:val="24"/>
          <w:szCs w:val="24"/>
          <w:spacing w:val="-1"/>
        </w:rPr>
        <w:t>类标准，</w:t>
      </w:r>
      <w:r>
        <w:rPr>
          <w:rFonts w:ascii="SimSun" w:hAnsi="SimSun" w:eastAsia="SimSun" w:cs="SimSun"/>
          <w:sz w:val="24"/>
          <w:szCs w:val="24"/>
          <w:spacing w:val="-2"/>
        </w:rPr>
        <w:t>石油类满足《地表水环境质量</w:t>
      </w:r>
      <w:r>
        <w:rPr>
          <w:rFonts w:ascii="SimSun" w:hAnsi="SimSun" w:eastAsia="SimSun" w:cs="SimSun"/>
          <w:sz w:val="24"/>
          <w:szCs w:val="24"/>
        </w:rPr>
        <w:t xml:space="preserve"> </w:t>
      </w:r>
      <w:r>
        <w:rPr>
          <w:rFonts w:ascii="SimSun" w:hAnsi="SimSun" w:eastAsia="SimSun" w:cs="SimSun"/>
          <w:sz w:val="24"/>
          <w:szCs w:val="24"/>
          <w:spacing w:val="-2"/>
        </w:rPr>
        <w:t>标准》（</w:t>
      </w:r>
      <w:r>
        <w:rPr>
          <w:rFonts w:ascii="Times New Roman" w:hAnsi="Times New Roman" w:eastAsia="Times New Roman" w:cs="Times New Roman"/>
          <w:sz w:val="24"/>
          <w:szCs w:val="24"/>
          <w:spacing w:val="-2"/>
        </w:rPr>
        <w:t>GB3838-2002</w:t>
      </w:r>
      <w:r>
        <w:rPr>
          <w:rFonts w:ascii="SimSun" w:hAnsi="SimSun" w:eastAsia="SimSun" w:cs="SimSun"/>
          <w:sz w:val="24"/>
          <w:szCs w:val="24"/>
          <w:spacing w:val="-2"/>
        </w:rPr>
        <w:t>）中Ⅲ类标准。分析认为上述因子超标主要原因与区域背景</w:t>
      </w:r>
      <w:r>
        <w:rPr>
          <w:rFonts w:ascii="SimSun" w:hAnsi="SimSun" w:eastAsia="SimSun" w:cs="SimSun"/>
          <w:sz w:val="24"/>
          <w:szCs w:val="24"/>
          <w:spacing w:val="3"/>
        </w:rPr>
        <w:t xml:space="preserve"> </w:t>
      </w:r>
      <w:r>
        <w:rPr>
          <w:rFonts w:ascii="SimSun" w:hAnsi="SimSun" w:eastAsia="SimSun" w:cs="SimSun"/>
          <w:sz w:val="24"/>
          <w:szCs w:val="24"/>
          <w:spacing w:val="1"/>
        </w:rPr>
        <w:t>较高有关，根据内蒙古第十地质矿产勘查开发有限责任公司</w:t>
      </w:r>
      <w:r>
        <w:rPr>
          <w:rFonts w:ascii="Times New Roman" w:hAnsi="Times New Roman" w:eastAsia="Times New Roman" w:cs="Times New Roman"/>
          <w:sz w:val="24"/>
          <w:szCs w:val="24"/>
          <w:spacing w:val="1"/>
        </w:rPr>
        <w:t>2022 </w:t>
      </w:r>
      <w:r>
        <w:rPr>
          <w:rFonts w:ascii="SimSun" w:hAnsi="SimSun" w:eastAsia="SimSun" w:cs="SimSun"/>
          <w:sz w:val="24"/>
          <w:szCs w:val="24"/>
          <w:spacing w:val="1"/>
        </w:rPr>
        <w:t>年提交的</w:t>
      </w:r>
      <w:r>
        <w:rPr>
          <w:rFonts w:ascii="SimSun" w:hAnsi="SimSun" w:eastAsia="SimSun" w:cs="SimSun"/>
          <w:sz w:val="24"/>
          <w:szCs w:val="24"/>
        </w:rPr>
        <w:t>《内蒙 </w:t>
      </w:r>
      <w:r>
        <w:rPr>
          <w:rFonts w:ascii="SimSun" w:hAnsi="SimSun" w:eastAsia="SimSun" w:cs="SimSun"/>
          <w:sz w:val="24"/>
          <w:szCs w:val="24"/>
          <w:spacing w:val="3"/>
        </w:rPr>
        <w:t>古自治区正镶白旗中部严重缺水地区人畜饮水找水勘查报告》</w:t>
      </w:r>
      <w:r>
        <w:rPr>
          <w:rFonts w:ascii="SimSun" w:hAnsi="SimSun" w:eastAsia="SimSun" w:cs="SimSun"/>
          <w:sz w:val="24"/>
          <w:szCs w:val="24"/>
          <w:spacing w:val="2"/>
        </w:rPr>
        <w:t>，评价区为低山丘</w:t>
      </w:r>
      <w:r>
        <w:rPr>
          <w:rFonts w:ascii="SimSun" w:hAnsi="SimSun" w:eastAsia="SimSun" w:cs="SimSun"/>
          <w:sz w:val="24"/>
          <w:szCs w:val="24"/>
        </w:rPr>
        <w:t xml:space="preserve"> </w:t>
      </w:r>
      <w:r>
        <w:rPr>
          <w:rFonts w:ascii="SimSun" w:hAnsi="SimSun" w:eastAsia="SimSun" w:cs="SimSun"/>
          <w:sz w:val="24"/>
          <w:szCs w:val="24"/>
          <w:spacing w:val="3"/>
        </w:rPr>
        <w:t>陵区，该区主要由基岩组成，由华力西晚期、燕山早期的花岗</w:t>
      </w:r>
      <w:r>
        <w:rPr>
          <w:rFonts w:ascii="SimSun" w:hAnsi="SimSun" w:eastAsia="SimSun" w:cs="SimSun"/>
          <w:sz w:val="24"/>
          <w:szCs w:val="24"/>
          <w:spacing w:val="2"/>
        </w:rPr>
        <w:t>岩和上侏罗系、下</w:t>
      </w:r>
      <w:r>
        <w:rPr>
          <w:rFonts w:ascii="SimSun" w:hAnsi="SimSun" w:eastAsia="SimSun" w:cs="SimSun"/>
          <w:sz w:val="24"/>
          <w:szCs w:val="24"/>
        </w:rPr>
        <w:t xml:space="preserve"> </w:t>
      </w:r>
      <w:r>
        <w:rPr>
          <w:rFonts w:ascii="SimSun" w:hAnsi="SimSun" w:eastAsia="SimSun" w:cs="SimSun"/>
          <w:sz w:val="24"/>
          <w:szCs w:val="24"/>
          <w:spacing w:val="3"/>
        </w:rPr>
        <w:t>二叠系的凝灰岩、流纹岩、安山岩及太古界的片岩、片麻岩等</w:t>
      </w:r>
      <w:r>
        <w:rPr>
          <w:rFonts w:ascii="SimSun" w:hAnsi="SimSun" w:eastAsia="SimSun" w:cs="SimSun"/>
          <w:sz w:val="24"/>
          <w:szCs w:val="24"/>
          <w:spacing w:val="2"/>
        </w:rPr>
        <w:t>组成。含水岩类划</w:t>
      </w:r>
      <w:r>
        <w:rPr>
          <w:rFonts w:ascii="SimSun" w:hAnsi="SimSun" w:eastAsia="SimSun" w:cs="SimSun"/>
          <w:sz w:val="24"/>
          <w:szCs w:val="24"/>
        </w:rPr>
        <w:t xml:space="preserve"> </w:t>
      </w:r>
      <w:r>
        <w:rPr>
          <w:rFonts w:ascii="SimSun" w:hAnsi="SimSun" w:eastAsia="SimSun" w:cs="SimSun"/>
          <w:sz w:val="24"/>
          <w:szCs w:val="24"/>
          <w:spacing w:val="3"/>
        </w:rPr>
        <w:t>分为第四系松散岩类孔隙潜水、碎屑岩类裂隙孔隙水以及基岩</w:t>
      </w:r>
      <w:r>
        <w:rPr>
          <w:rFonts w:ascii="SimSun" w:hAnsi="SimSun" w:eastAsia="SimSun" w:cs="SimSun"/>
          <w:sz w:val="24"/>
          <w:szCs w:val="24"/>
          <w:spacing w:val="2"/>
        </w:rPr>
        <w:t>裂隙水，本次采样</w:t>
      </w:r>
      <w:r>
        <w:rPr>
          <w:rFonts w:ascii="SimSun" w:hAnsi="SimSun" w:eastAsia="SimSun" w:cs="SimSun"/>
          <w:sz w:val="24"/>
          <w:szCs w:val="24"/>
        </w:rPr>
        <w:t xml:space="preserve"> </w:t>
      </w:r>
      <w:r>
        <w:rPr>
          <w:rFonts w:ascii="SimSun" w:hAnsi="SimSun" w:eastAsia="SimSun" w:cs="SimSun"/>
          <w:sz w:val="24"/>
          <w:szCs w:val="24"/>
          <w:spacing w:val="3"/>
        </w:rPr>
        <w:t>检测的松散岩类孔隙水主要接受大气降水和两侧基岩裂系水径</w:t>
      </w:r>
      <w:r>
        <w:rPr>
          <w:rFonts w:ascii="SimSun" w:hAnsi="SimSun" w:eastAsia="SimSun" w:cs="SimSun"/>
          <w:sz w:val="24"/>
          <w:szCs w:val="24"/>
          <w:spacing w:val="2"/>
        </w:rPr>
        <w:t>流补给，地下水水</w:t>
      </w:r>
      <w:r>
        <w:rPr>
          <w:rFonts w:ascii="SimSun" w:hAnsi="SimSun" w:eastAsia="SimSun" w:cs="SimSun"/>
          <w:sz w:val="24"/>
          <w:szCs w:val="24"/>
        </w:rPr>
        <w:t xml:space="preserve"> </w:t>
      </w:r>
      <w:r>
        <w:rPr>
          <w:rFonts w:ascii="SimSun" w:hAnsi="SimSun" w:eastAsia="SimSun" w:cs="SimSun"/>
          <w:sz w:val="24"/>
          <w:szCs w:val="24"/>
          <w:spacing w:val="3"/>
        </w:rPr>
        <w:t>化学特征受其地形、岩性和气候条件的影响，水化学以溶滤作</w:t>
      </w:r>
      <w:r>
        <w:rPr>
          <w:rFonts w:ascii="SimSun" w:hAnsi="SimSun" w:eastAsia="SimSun" w:cs="SimSun"/>
          <w:sz w:val="24"/>
          <w:szCs w:val="24"/>
          <w:spacing w:val="2"/>
        </w:rPr>
        <w:t>用为主，评价区内</w:t>
      </w:r>
      <w:r>
        <w:rPr>
          <w:rFonts w:ascii="SimSun" w:hAnsi="SimSun" w:eastAsia="SimSun" w:cs="SimSun"/>
          <w:sz w:val="24"/>
          <w:szCs w:val="24"/>
        </w:rPr>
        <w:t xml:space="preserve"> </w:t>
      </w: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4"/>
        </w:rPr>
        <w:t xml:space="preserve">    </w:t>
      </w:r>
      <w:r>
        <w:rPr>
          <w:rFonts w:ascii="Times New Roman" w:hAnsi="Times New Roman" w:eastAsia="Times New Roman" w:cs="Times New Roman"/>
          <w:sz w:val="18"/>
          <w:szCs w:val="18"/>
          <w:spacing w:val="7"/>
          <w:position w:val="2"/>
        </w:rPr>
        <w:t>11</w:t>
      </w:r>
    </w:p>
    <w:p>
      <w:pPr>
        <w:spacing w:line="364" w:lineRule="auto"/>
        <w:sectPr>
          <w:headerReference w:type="default" r:id="rId11"/>
          <w:footerReference w:type="default" r:id="rId3"/>
          <w:pgSz w:w="11907" w:h="16840"/>
          <w:pgMar w:top="1567" w:right="1621" w:bottom="400" w:left="1701" w:header="1221" w:footer="0" w:gutter="0"/>
        </w:sectPr>
        <w:rPr>
          <w:rFonts w:ascii="Times New Roman" w:hAnsi="Times New Roman" w:eastAsia="Times New Roman" w:cs="Times New Roman"/>
          <w:sz w:val="18"/>
          <w:szCs w:val="18"/>
        </w:rPr>
      </w:pPr>
    </w:p>
    <w:p>
      <w:pPr>
        <w:ind w:left="8" w:right="37" w:firstLine="3"/>
        <w:spacing w:before="179" w:line="359" w:lineRule="auto"/>
        <w:jc w:val="both"/>
        <w:rPr>
          <w:rFonts w:ascii="SimSun" w:hAnsi="SimSun" w:eastAsia="SimSun" w:cs="SimSun"/>
          <w:sz w:val="24"/>
          <w:szCs w:val="24"/>
        </w:rPr>
      </w:pPr>
      <w:r>
        <w:pict>
          <v:shape id="_x0000_s90" style="position:absolute;margin-left:85.05pt;margin-top:78.87pt;mso-position-vertical-relative:page;mso-position-horizontal-relative:page;width:425.25pt;height:0.75pt;z-index:251697152;" o:allowincell="f" fillcolor="#000000" filled="true" stroked="false" coordsize="8505,15" coordorigin="0,0" path="m,l8505,0l8505,14l0,14l0,0xe"/>
        </w:pict>
      </w:r>
      <w:r>
        <w:rPr>
          <w:rFonts w:ascii="SimSun" w:hAnsi="SimSun" w:eastAsia="SimSun" w:cs="SimSun"/>
          <w:sz w:val="24"/>
          <w:szCs w:val="24"/>
          <w:spacing w:val="3"/>
        </w:rPr>
        <w:t>溶解性总固体受地貌条件的控制，位于补给径流区</w:t>
      </w:r>
      <w:r>
        <w:rPr>
          <w:rFonts w:ascii="SimSun" w:hAnsi="SimSun" w:eastAsia="SimSun" w:cs="SimSun"/>
          <w:sz w:val="24"/>
          <w:szCs w:val="24"/>
          <w:spacing w:val="2"/>
        </w:rPr>
        <w:t>的低山丘陵区溶解性总固体小</w:t>
      </w:r>
      <w:r>
        <w:rPr>
          <w:rFonts w:ascii="SimSun" w:hAnsi="SimSun" w:eastAsia="SimSun" w:cs="SimSun"/>
          <w:sz w:val="24"/>
          <w:szCs w:val="24"/>
        </w:rPr>
        <w:t xml:space="preserve"> </w:t>
      </w:r>
      <w:r>
        <w:rPr>
          <w:rFonts w:ascii="SimSun" w:hAnsi="SimSun" w:eastAsia="SimSun" w:cs="SimSun"/>
          <w:sz w:val="24"/>
          <w:szCs w:val="24"/>
          <w:spacing w:val="-1"/>
        </w:rPr>
        <w:t>于</w:t>
      </w:r>
      <w:r>
        <w:rPr>
          <w:rFonts w:ascii="SimSun" w:hAnsi="SimSun" w:eastAsia="SimSun" w:cs="SimSun"/>
          <w:sz w:val="24"/>
          <w:szCs w:val="24"/>
          <w:spacing w:val="-19"/>
        </w:rPr>
        <w:t xml:space="preserve"> </w:t>
      </w:r>
      <w:r>
        <w:rPr>
          <w:rFonts w:ascii="Times New Roman" w:hAnsi="Times New Roman" w:eastAsia="Times New Roman" w:cs="Times New Roman"/>
          <w:sz w:val="24"/>
          <w:szCs w:val="24"/>
          <w:spacing w:val="-1"/>
        </w:rPr>
        <w:t>1g/L</w:t>
      </w:r>
      <w:r>
        <w:rPr>
          <w:rFonts w:ascii="SimSun" w:hAnsi="SimSun" w:eastAsia="SimSun" w:cs="SimSun"/>
          <w:sz w:val="24"/>
          <w:szCs w:val="24"/>
          <w:spacing w:val="-1"/>
        </w:rPr>
        <w:t>；径流排泄区的沟谷洼地的溶解性总固体为</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1-3g/L</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1"/>
        </w:rPr>
        <w:t>。地形较高的丘陵区域</w:t>
      </w:r>
      <w:r>
        <w:rPr>
          <w:rFonts w:ascii="SimSun" w:hAnsi="SimSun" w:eastAsia="SimSun" w:cs="SimSun"/>
          <w:sz w:val="24"/>
          <w:szCs w:val="24"/>
        </w:rPr>
        <w:t xml:space="preserve"> </w:t>
      </w:r>
      <w:r>
        <w:rPr>
          <w:rFonts w:ascii="SimSun" w:hAnsi="SimSun" w:eastAsia="SimSun" w:cs="SimSun"/>
          <w:sz w:val="24"/>
          <w:szCs w:val="24"/>
          <w:spacing w:val="-3"/>
        </w:rPr>
        <w:t>水化学类型多为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HCO</w:t>
      </w:r>
      <w:r>
        <w:rPr>
          <w:rFonts w:ascii="Times New Roman" w:hAnsi="Times New Roman" w:eastAsia="Times New Roman" w:cs="Times New Roman"/>
          <w:sz w:val="15"/>
          <w:szCs w:val="15"/>
          <w:spacing w:val="-3"/>
        </w:rPr>
        <w:t>3</w:t>
      </w:r>
      <w:r>
        <w:rPr>
          <w:rFonts w:ascii="Times New Roman" w:hAnsi="Times New Roman" w:eastAsia="Times New Roman" w:cs="Times New Roman"/>
          <w:sz w:val="24"/>
          <w:szCs w:val="24"/>
          <w:spacing w:val="-3"/>
        </w:rPr>
        <w:t>-Ca</w:t>
      </w:r>
      <w:r>
        <w:rPr>
          <w:rFonts w:ascii="SimSun" w:hAnsi="SimSun" w:eastAsia="SimSun" w:cs="SimSun"/>
          <w:sz w:val="24"/>
          <w:szCs w:val="24"/>
          <w:spacing w:val="-3"/>
        </w:rPr>
        <w:t>·</w:t>
      </w:r>
      <w:r>
        <w:rPr>
          <w:rFonts w:ascii="Times New Roman" w:hAnsi="Times New Roman" w:eastAsia="Times New Roman" w:cs="Times New Roman"/>
          <w:sz w:val="24"/>
          <w:szCs w:val="24"/>
          <w:spacing w:val="-3"/>
        </w:rPr>
        <w:t>Mg</w:t>
      </w:r>
      <w:r>
        <w:rPr>
          <w:rFonts w:ascii="Times New Roman" w:hAnsi="Times New Roman" w:eastAsia="Times New Roman" w:cs="Times New Roman"/>
          <w:sz w:val="24"/>
          <w:szCs w:val="24"/>
          <w:spacing w:val="19"/>
          <w:w w:val="101"/>
        </w:rPr>
        <w:t xml:space="preserve"> </w:t>
      </w:r>
      <w:r>
        <w:rPr>
          <w:rFonts w:ascii="SimSun" w:hAnsi="SimSun" w:eastAsia="SimSun" w:cs="SimSun"/>
          <w:sz w:val="24"/>
          <w:szCs w:val="24"/>
          <w:spacing w:val="-3"/>
        </w:rPr>
        <w:t>型或</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3"/>
        </w:rPr>
        <w:t>HCO</w:t>
      </w:r>
      <w:r>
        <w:rPr>
          <w:rFonts w:ascii="Times New Roman" w:hAnsi="Times New Roman" w:eastAsia="Times New Roman" w:cs="Times New Roman"/>
          <w:sz w:val="15"/>
          <w:szCs w:val="15"/>
          <w:spacing w:val="-3"/>
        </w:rPr>
        <w:t>3</w:t>
      </w:r>
      <w:r>
        <w:rPr>
          <w:rFonts w:ascii="Times New Roman" w:hAnsi="Times New Roman" w:eastAsia="Times New Roman" w:cs="Times New Roman"/>
          <w:sz w:val="24"/>
          <w:szCs w:val="24"/>
          <w:spacing w:val="-3"/>
        </w:rPr>
        <w:t>-Ca</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Na</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3"/>
        </w:rPr>
        <w:t>型；丘间洼地的水化学类型多</w:t>
      </w:r>
      <w:r>
        <w:rPr>
          <w:rFonts w:ascii="SimSun" w:hAnsi="SimSun" w:eastAsia="SimSun" w:cs="SimSun"/>
          <w:sz w:val="24"/>
          <w:szCs w:val="24"/>
        </w:rPr>
        <w:t xml:space="preserve"> </w:t>
      </w:r>
      <w:r>
        <w:rPr>
          <w:rFonts w:ascii="SimSun" w:hAnsi="SimSun" w:eastAsia="SimSun" w:cs="SimSun"/>
          <w:sz w:val="24"/>
          <w:szCs w:val="24"/>
          <w:spacing w:val="-2"/>
        </w:rPr>
        <w:t>为</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HCO</w:t>
      </w:r>
      <w:r>
        <w:rPr>
          <w:rFonts w:ascii="Times New Roman" w:hAnsi="Times New Roman" w:eastAsia="Times New Roman" w:cs="Times New Roman"/>
          <w:sz w:val="15"/>
          <w:szCs w:val="15"/>
          <w:spacing w:val="-2"/>
          <w:position w:val="-1"/>
        </w:rPr>
        <w:t>3</w:t>
      </w:r>
      <w:r>
        <w:rPr>
          <w:rFonts w:ascii="Times New Roman" w:hAnsi="Times New Roman" w:eastAsia="Times New Roman" w:cs="Times New Roman"/>
          <w:sz w:val="15"/>
          <w:szCs w:val="15"/>
          <w:spacing w:val="8"/>
          <w:position w:val="-1"/>
        </w:rPr>
        <w:t xml:space="preserve">  </w:t>
      </w:r>
      <w:r>
        <w:rPr>
          <w:rFonts w:ascii="SimSun" w:hAnsi="SimSun" w:eastAsia="SimSun" w:cs="SimSun"/>
          <w:sz w:val="24"/>
          <w:szCs w:val="24"/>
          <w:spacing w:val="-16"/>
        </w:rPr>
        <w:t>·</w:t>
      </w:r>
      <w:r>
        <w:rPr>
          <w:rFonts w:ascii="Times New Roman" w:hAnsi="Times New Roman" w:eastAsia="Times New Roman" w:cs="Times New Roman"/>
          <w:sz w:val="24"/>
          <w:szCs w:val="24"/>
          <w:spacing w:val="-16"/>
        </w:rPr>
        <w:t>Cl-Na</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6"/>
        </w:rPr>
        <w:t>·</w:t>
      </w:r>
      <w:r>
        <w:rPr>
          <w:rFonts w:ascii="Times New Roman" w:hAnsi="Times New Roman" w:eastAsia="Times New Roman" w:cs="Times New Roman"/>
          <w:sz w:val="24"/>
          <w:szCs w:val="24"/>
          <w:spacing w:val="-16"/>
        </w:rPr>
        <w:t>Mg</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6"/>
        </w:rPr>
        <w:t>，局部为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6"/>
        </w:rPr>
        <w:t>HCO</w:t>
      </w:r>
      <w:r>
        <w:rPr>
          <w:rFonts w:ascii="Times New Roman" w:hAnsi="Times New Roman" w:eastAsia="Times New Roman" w:cs="Times New Roman"/>
          <w:sz w:val="15"/>
          <w:szCs w:val="15"/>
          <w:spacing w:val="12"/>
          <w:position w:val="-1"/>
        </w:rPr>
        <w:t>3</w:t>
      </w:r>
      <w:r>
        <w:rPr>
          <w:rFonts w:ascii="Times New Roman" w:hAnsi="Times New Roman" w:eastAsia="Times New Roman" w:cs="Times New Roman"/>
          <w:sz w:val="15"/>
          <w:szCs w:val="15"/>
          <w:spacing w:val="8"/>
          <w:position w:val="-1"/>
        </w:rPr>
        <w:t xml:space="preserve">  </w:t>
      </w:r>
      <w:r>
        <w:rPr>
          <w:rFonts w:ascii="SimSun" w:hAnsi="SimSun" w:eastAsia="SimSun" w:cs="SimSun"/>
          <w:sz w:val="24"/>
          <w:szCs w:val="24"/>
          <w:spacing w:val="-21"/>
        </w:rPr>
        <w:t>·</w:t>
      </w:r>
      <w:r>
        <w:rPr>
          <w:rFonts w:ascii="Times New Roman" w:hAnsi="Times New Roman" w:eastAsia="Times New Roman" w:cs="Times New Roman"/>
          <w:sz w:val="24"/>
          <w:szCs w:val="24"/>
          <w:spacing w:val="-21"/>
        </w:rPr>
        <w:t>Cl-Na</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1"/>
        </w:rPr>
        <w:t>·</w:t>
      </w:r>
      <w:r>
        <w:rPr>
          <w:rFonts w:ascii="Times New Roman" w:hAnsi="Times New Roman" w:eastAsia="Times New Roman" w:cs="Times New Roman"/>
          <w:sz w:val="24"/>
          <w:szCs w:val="24"/>
          <w:spacing w:val="-21"/>
        </w:rPr>
        <w:t>Ca</w:t>
      </w:r>
      <w:r>
        <w:rPr>
          <w:rFonts w:ascii="Times New Roman" w:hAnsi="Times New Roman" w:eastAsia="Times New Roman" w:cs="Times New Roman"/>
          <w:sz w:val="24"/>
          <w:szCs w:val="24"/>
          <w:spacing w:val="11"/>
        </w:rPr>
        <w:t xml:space="preserve"> </w:t>
      </w:r>
      <w:r>
        <w:rPr>
          <w:rFonts w:ascii="SimSun" w:hAnsi="SimSun" w:eastAsia="SimSun" w:cs="SimSun"/>
          <w:sz w:val="24"/>
          <w:szCs w:val="24"/>
          <w:spacing w:val="-21"/>
        </w:rPr>
        <w:t>或</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1"/>
        </w:rPr>
        <w:t>Cl</w:t>
      </w:r>
      <w:r>
        <w:rPr>
          <w:rFonts w:ascii="Times New Roman" w:hAnsi="Times New Roman" w:eastAsia="Times New Roman" w:cs="Times New Roman"/>
          <w:sz w:val="24"/>
          <w:szCs w:val="24"/>
          <w:spacing w:val="30"/>
          <w:w w:val="101"/>
        </w:rPr>
        <w:t xml:space="preserve"> </w:t>
      </w:r>
      <w:r>
        <w:rPr>
          <w:rFonts w:ascii="SimSun" w:hAnsi="SimSun" w:eastAsia="SimSun" w:cs="SimSun"/>
          <w:sz w:val="24"/>
          <w:szCs w:val="24"/>
          <w:spacing w:val="-21"/>
        </w:rPr>
        <w:t>·</w:t>
      </w:r>
      <w:r>
        <w:rPr>
          <w:rFonts w:ascii="Times New Roman" w:hAnsi="Times New Roman" w:eastAsia="Times New Roman" w:cs="Times New Roman"/>
          <w:sz w:val="24"/>
          <w:szCs w:val="24"/>
          <w:spacing w:val="-21"/>
        </w:rPr>
        <w:t>HCO</w:t>
      </w:r>
      <w:r>
        <w:rPr>
          <w:rFonts w:ascii="Times New Roman" w:hAnsi="Times New Roman" w:eastAsia="Times New Roman" w:cs="Times New Roman"/>
          <w:sz w:val="15"/>
          <w:szCs w:val="15"/>
          <w:spacing w:val="6"/>
        </w:rPr>
        <w:t>3</w:t>
      </w:r>
      <w:r>
        <w:rPr>
          <w:rFonts w:ascii="Times New Roman" w:hAnsi="Times New Roman" w:eastAsia="Times New Roman" w:cs="Times New Roman"/>
          <w:sz w:val="24"/>
          <w:szCs w:val="24"/>
          <w:spacing w:val="6"/>
        </w:rPr>
        <w:t>-</w:t>
      </w:r>
      <w:r>
        <w:rPr>
          <w:rFonts w:ascii="Times New Roman" w:hAnsi="Times New Roman" w:eastAsia="Times New Roman" w:cs="Times New Roman"/>
          <w:sz w:val="24"/>
          <w:szCs w:val="24"/>
        </w:rPr>
        <w:t>Na</w:t>
      </w:r>
      <w:r>
        <w:rPr>
          <w:rFonts w:ascii="Times New Roman" w:hAnsi="Times New Roman" w:eastAsia="Times New Roman" w:cs="Times New Roman"/>
          <w:sz w:val="24"/>
          <w:szCs w:val="24"/>
          <w:spacing w:val="33"/>
          <w:w w:val="101"/>
        </w:rPr>
        <w:t xml:space="preserve"> </w:t>
      </w:r>
      <w:r>
        <w:rPr>
          <w:rFonts w:ascii="SimSun" w:hAnsi="SimSun" w:eastAsia="SimSun" w:cs="SimSun"/>
          <w:sz w:val="24"/>
          <w:szCs w:val="24"/>
          <w:spacing w:val="-19"/>
        </w:rPr>
        <w:t>·</w:t>
      </w:r>
      <w:r>
        <w:rPr>
          <w:rFonts w:ascii="Times New Roman" w:hAnsi="Times New Roman" w:eastAsia="Times New Roman" w:cs="Times New Roman"/>
          <w:sz w:val="24"/>
          <w:szCs w:val="24"/>
          <w:spacing w:val="-19"/>
        </w:rPr>
        <w:t>Mg</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19"/>
        </w:rPr>
        <w:t>型；低洼</w:t>
      </w:r>
      <w:r>
        <w:rPr>
          <w:rFonts w:ascii="SimSun" w:hAnsi="SimSun" w:eastAsia="SimSun" w:cs="SimSun"/>
          <w:sz w:val="24"/>
          <w:szCs w:val="24"/>
        </w:rPr>
        <w:t xml:space="preserve"> </w:t>
      </w:r>
      <w:r>
        <w:rPr>
          <w:rFonts w:ascii="SimSun" w:hAnsi="SimSun" w:eastAsia="SimSun" w:cs="SimSun"/>
          <w:sz w:val="24"/>
          <w:szCs w:val="24"/>
          <w:spacing w:val="-5"/>
        </w:rPr>
        <w:t>地的水化学类型为</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5"/>
        </w:rPr>
        <w:t>HCO</w:t>
      </w:r>
      <w:r>
        <w:rPr>
          <w:rFonts w:ascii="Times New Roman" w:hAnsi="Times New Roman" w:eastAsia="Times New Roman" w:cs="Times New Roman"/>
          <w:sz w:val="15"/>
          <w:szCs w:val="15"/>
          <w:spacing w:val="-5"/>
          <w:position w:val="-1"/>
        </w:rPr>
        <w:t>3  </w:t>
      </w:r>
      <w:r>
        <w:rPr>
          <w:rFonts w:ascii="SimSun" w:hAnsi="SimSun" w:eastAsia="SimSun" w:cs="SimSun"/>
          <w:sz w:val="24"/>
          <w:szCs w:val="24"/>
          <w:spacing w:val="-5"/>
        </w:rPr>
        <w:t>·</w:t>
      </w:r>
      <w:r>
        <w:rPr>
          <w:rFonts w:ascii="Times New Roman" w:hAnsi="Times New Roman" w:eastAsia="Times New Roman" w:cs="Times New Roman"/>
          <w:sz w:val="24"/>
          <w:szCs w:val="24"/>
          <w:spacing w:val="-5"/>
        </w:rPr>
        <w:t>SO</w:t>
      </w:r>
      <w:r>
        <w:rPr>
          <w:rFonts w:ascii="Times New Roman" w:hAnsi="Times New Roman" w:eastAsia="Times New Roman" w:cs="Times New Roman"/>
          <w:sz w:val="15"/>
          <w:szCs w:val="15"/>
          <w:spacing w:val="-5"/>
          <w:position w:val="-1"/>
        </w:rPr>
        <w:t>4  </w:t>
      </w:r>
      <w:r>
        <w:rPr>
          <w:rFonts w:ascii="Times New Roman" w:hAnsi="Times New Roman" w:eastAsia="Times New Roman" w:cs="Times New Roman"/>
          <w:sz w:val="24"/>
          <w:szCs w:val="24"/>
          <w:spacing w:val="-5"/>
        </w:rPr>
        <w:t>-Na</w:t>
      </w:r>
      <w:r>
        <w:rPr>
          <w:rFonts w:ascii="Times New Roman" w:hAnsi="Times New Roman" w:eastAsia="Times New Roman" w:cs="Times New Roman"/>
          <w:sz w:val="24"/>
          <w:szCs w:val="24"/>
          <w:spacing w:val="33"/>
          <w:w w:val="101"/>
        </w:rPr>
        <w:t xml:space="preserve"> </w:t>
      </w:r>
      <w:r>
        <w:rPr>
          <w:rFonts w:ascii="SimSun" w:hAnsi="SimSun" w:eastAsia="SimSun" w:cs="SimSun"/>
          <w:sz w:val="24"/>
          <w:szCs w:val="24"/>
          <w:spacing w:val="-21"/>
        </w:rPr>
        <w:t>·</w:t>
      </w:r>
      <w:r>
        <w:rPr>
          <w:rFonts w:ascii="Times New Roman" w:hAnsi="Times New Roman" w:eastAsia="Times New Roman" w:cs="Times New Roman"/>
          <w:sz w:val="24"/>
          <w:szCs w:val="24"/>
          <w:spacing w:val="-21"/>
        </w:rPr>
        <w:t>Mg</w:t>
      </w:r>
      <w:r>
        <w:rPr>
          <w:rFonts w:ascii="Times New Roman" w:hAnsi="Times New Roman" w:eastAsia="Times New Roman" w:cs="Times New Roman"/>
          <w:sz w:val="24"/>
          <w:szCs w:val="24"/>
          <w:spacing w:val="10"/>
        </w:rPr>
        <w:t xml:space="preserve"> </w:t>
      </w:r>
      <w:r>
        <w:rPr>
          <w:rFonts w:ascii="SimSun" w:hAnsi="SimSun" w:eastAsia="SimSun" w:cs="SimSun"/>
          <w:sz w:val="24"/>
          <w:szCs w:val="24"/>
          <w:spacing w:val="-21"/>
        </w:rPr>
        <w:t>和</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1"/>
        </w:rPr>
        <w:t>Cl</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1"/>
        </w:rPr>
        <w:t>·</w:t>
      </w:r>
      <w:r>
        <w:rPr>
          <w:rFonts w:ascii="Times New Roman" w:hAnsi="Times New Roman" w:eastAsia="Times New Roman" w:cs="Times New Roman"/>
          <w:sz w:val="24"/>
          <w:szCs w:val="24"/>
          <w:spacing w:val="-21"/>
        </w:rPr>
        <w:t>SO</w:t>
      </w:r>
      <w:r>
        <w:rPr>
          <w:rFonts w:ascii="Times New Roman" w:hAnsi="Times New Roman" w:eastAsia="Times New Roman" w:cs="Times New Roman"/>
          <w:sz w:val="15"/>
          <w:szCs w:val="15"/>
          <w:spacing w:val="-1"/>
        </w:rPr>
        <w:t>4</w:t>
      </w:r>
      <w:r>
        <w:rPr>
          <w:rFonts w:ascii="Times New Roman" w:hAnsi="Times New Roman" w:eastAsia="Times New Roman" w:cs="Times New Roman"/>
          <w:sz w:val="24"/>
          <w:szCs w:val="24"/>
          <w:spacing w:val="-1"/>
        </w:rPr>
        <w:t>-Na</w:t>
      </w:r>
      <w:r>
        <w:rPr>
          <w:rFonts w:ascii="SimSun" w:hAnsi="SimSun" w:eastAsia="SimSun" w:cs="SimSun"/>
          <w:sz w:val="24"/>
          <w:szCs w:val="24"/>
          <w:spacing w:val="-1"/>
        </w:rPr>
        <w:t>·</w:t>
      </w:r>
      <w:r>
        <w:rPr>
          <w:rFonts w:ascii="Times New Roman" w:hAnsi="Times New Roman" w:eastAsia="Times New Roman" w:cs="Times New Roman"/>
          <w:sz w:val="24"/>
          <w:szCs w:val="24"/>
          <w:spacing w:val="-1"/>
        </w:rPr>
        <w:t>Mg</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1"/>
        </w:rPr>
        <w:t>型。阴离子以</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HCO</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position w:val="-1"/>
        </w:rPr>
        <w:t xml:space="preserve">    </w:t>
      </w:r>
      <w:r>
        <w:rPr>
          <w:rFonts w:ascii="SimSun" w:hAnsi="SimSun" w:eastAsia="SimSun" w:cs="SimSun"/>
          <w:sz w:val="24"/>
          <w:szCs w:val="24"/>
          <w:spacing w:val="-2"/>
        </w:rPr>
        <w:t>和</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2"/>
        </w:rPr>
        <w:t>HCO</w:t>
      </w:r>
      <w:r>
        <w:rPr>
          <w:rFonts w:ascii="Times New Roman" w:hAnsi="Times New Roman" w:eastAsia="Times New Roman" w:cs="Times New Roman"/>
          <w:sz w:val="15"/>
          <w:szCs w:val="15"/>
          <w:spacing w:val="-2"/>
          <w:position w:val="-1"/>
        </w:rPr>
        <w:t>3</w:t>
      </w:r>
      <w:r>
        <w:rPr>
          <w:rFonts w:ascii="Times New Roman" w:hAnsi="Times New Roman" w:eastAsia="Times New Roman" w:cs="Times New Roman"/>
          <w:sz w:val="15"/>
          <w:szCs w:val="15"/>
          <w:spacing w:val="7"/>
          <w:position w:val="-1"/>
        </w:rPr>
        <w:t xml:space="preserve">  </w:t>
      </w:r>
      <w:r>
        <w:rPr>
          <w:rFonts w:ascii="SimSun" w:hAnsi="SimSun" w:eastAsia="SimSun" w:cs="SimSun"/>
          <w:sz w:val="24"/>
          <w:szCs w:val="24"/>
          <w:spacing w:val="-7"/>
        </w:rPr>
        <w:t>·</w:t>
      </w:r>
      <w:r>
        <w:rPr>
          <w:rFonts w:ascii="Times New Roman" w:hAnsi="Times New Roman" w:eastAsia="Times New Roman" w:cs="Times New Roman"/>
          <w:sz w:val="24"/>
          <w:szCs w:val="24"/>
          <w:spacing w:val="-7"/>
        </w:rPr>
        <w:t>Cl</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7"/>
        </w:rPr>
        <w:t>型为主，反映了区域内以溶滤作用为主的特点，并与地貌关系比较密</w:t>
      </w:r>
      <w:r>
        <w:rPr>
          <w:rFonts w:ascii="SimSun" w:hAnsi="SimSun" w:eastAsia="SimSun" w:cs="SimSun"/>
          <w:sz w:val="24"/>
          <w:szCs w:val="24"/>
        </w:rPr>
        <w:t xml:space="preserve"> </w:t>
      </w:r>
      <w:r>
        <w:rPr>
          <w:rFonts w:ascii="SimSun" w:hAnsi="SimSun" w:eastAsia="SimSun" w:cs="SimSun"/>
          <w:sz w:val="24"/>
          <w:szCs w:val="24"/>
          <w:spacing w:val="-4"/>
        </w:rPr>
        <w:t>切。低山丘陵区、丘陵区，多属于</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HCO</w:t>
      </w:r>
      <w:r>
        <w:rPr>
          <w:rFonts w:ascii="Times New Roman" w:hAnsi="Times New Roman" w:eastAsia="Times New Roman" w:cs="Times New Roman"/>
          <w:sz w:val="15"/>
          <w:szCs w:val="15"/>
          <w:spacing w:val="-4"/>
          <w:position w:val="-1"/>
        </w:rPr>
        <w:t>3</w:t>
      </w:r>
      <w:r>
        <w:rPr>
          <w:rFonts w:ascii="Times New Roman" w:hAnsi="Times New Roman" w:eastAsia="Times New Roman" w:cs="Times New Roman"/>
          <w:sz w:val="15"/>
          <w:szCs w:val="15"/>
          <w:spacing w:val="17"/>
          <w:position w:val="-1"/>
        </w:rPr>
        <w:t xml:space="preserve"> </w:t>
      </w:r>
      <w:r>
        <w:rPr>
          <w:rFonts w:ascii="SimSun" w:hAnsi="SimSun" w:eastAsia="SimSun" w:cs="SimSun"/>
          <w:sz w:val="24"/>
          <w:szCs w:val="24"/>
          <w:spacing w:val="-4"/>
        </w:rPr>
        <w:t>型水；丘间洼地多属于</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HCO</w:t>
      </w:r>
      <w:r>
        <w:rPr>
          <w:rFonts w:ascii="Times New Roman" w:hAnsi="Times New Roman" w:eastAsia="Times New Roman" w:cs="Times New Roman"/>
          <w:sz w:val="15"/>
          <w:szCs w:val="15"/>
          <w:spacing w:val="-4"/>
          <w:position w:val="-1"/>
        </w:rPr>
        <w:t>3</w:t>
      </w:r>
      <w:r>
        <w:rPr>
          <w:rFonts w:ascii="Times New Roman" w:hAnsi="Times New Roman" w:eastAsia="Times New Roman" w:cs="Times New Roman"/>
          <w:sz w:val="15"/>
          <w:szCs w:val="15"/>
          <w:spacing w:val="9"/>
          <w:position w:val="-1"/>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Cl</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型水；</w:t>
      </w:r>
      <w:r>
        <w:rPr>
          <w:rFonts w:ascii="SimSun" w:hAnsi="SimSun" w:eastAsia="SimSun" w:cs="SimSun"/>
          <w:sz w:val="24"/>
          <w:szCs w:val="24"/>
        </w:rPr>
        <w:t xml:space="preserve"> </w:t>
      </w:r>
      <w:r>
        <w:rPr>
          <w:rFonts w:ascii="SimSun" w:hAnsi="SimSun" w:eastAsia="SimSun" w:cs="SimSun"/>
          <w:sz w:val="24"/>
          <w:szCs w:val="24"/>
          <w:spacing w:val="-8"/>
        </w:rPr>
        <w:t>局部低洼地带属于</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8"/>
        </w:rPr>
        <w:t>Cl</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8"/>
        </w:rPr>
        <w:t>·</w:t>
      </w:r>
      <w:r>
        <w:rPr>
          <w:rFonts w:ascii="Times New Roman" w:hAnsi="Times New Roman" w:eastAsia="Times New Roman" w:cs="Times New Roman"/>
          <w:sz w:val="24"/>
          <w:szCs w:val="24"/>
          <w:spacing w:val="-8"/>
        </w:rPr>
        <w:t>HCO</w:t>
      </w:r>
      <w:r>
        <w:rPr>
          <w:rFonts w:ascii="Times New Roman" w:hAnsi="Times New Roman" w:eastAsia="Times New Roman" w:cs="Times New Roman"/>
          <w:sz w:val="15"/>
          <w:szCs w:val="15"/>
          <w:spacing w:val="-8"/>
          <w:position w:val="-1"/>
        </w:rPr>
        <w:t>3</w:t>
      </w:r>
      <w:r>
        <w:rPr>
          <w:rFonts w:ascii="Times New Roman" w:hAnsi="Times New Roman" w:eastAsia="Times New Roman" w:cs="Times New Roman"/>
          <w:sz w:val="15"/>
          <w:szCs w:val="15"/>
          <w:spacing w:val="12"/>
          <w:w w:val="101"/>
          <w:position w:val="-1"/>
        </w:rPr>
        <w:t xml:space="preserve"> </w:t>
      </w:r>
      <w:r>
        <w:rPr>
          <w:rFonts w:ascii="SimSun" w:hAnsi="SimSun" w:eastAsia="SimSun" w:cs="SimSun"/>
          <w:sz w:val="24"/>
          <w:szCs w:val="24"/>
          <w:spacing w:val="-8"/>
        </w:rPr>
        <w:t>或</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8"/>
        </w:rPr>
        <w:t>Cl</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7"/>
        </w:rPr>
        <w:t>·</w:t>
      </w:r>
      <w:r>
        <w:rPr>
          <w:rFonts w:ascii="Times New Roman" w:hAnsi="Times New Roman" w:eastAsia="Times New Roman" w:cs="Times New Roman"/>
          <w:sz w:val="24"/>
          <w:szCs w:val="24"/>
          <w:spacing w:val="-37"/>
        </w:rPr>
        <w:t>SO</w:t>
      </w:r>
      <w:r>
        <w:rPr>
          <w:rFonts w:ascii="Times New Roman" w:hAnsi="Times New Roman" w:eastAsia="Times New Roman" w:cs="Times New Roman"/>
          <w:sz w:val="15"/>
          <w:szCs w:val="15"/>
          <w:spacing w:val="-5"/>
          <w:position w:val="-1"/>
        </w:rPr>
        <w:t>4</w:t>
      </w:r>
      <w:r>
        <w:rPr>
          <w:rFonts w:ascii="Times New Roman" w:hAnsi="Times New Roman" w:eastAsia="Times New Roman" w:cs="Times New Roman"/>
          <w:sz w:val="15"/>
          <w:szCs w:val="15"/>
          <w:spacing w:val="19"/>
          <w:position w:val="-1"/>
        </w:rPr>
        <w:t xml:space="preserve"> </w:t>
      </w:r>
      <w:r>
        <w:rPr>
          <w:rFonts w:ascii="SimSun" w:hAnsi="SimSun" w:eastAsia="SimSun" w:cs="SimSun"/>
          <w:sz w:val="24"/>
          <w:szCs w:val="24"/>
          <w:spacing w:val="-5"/>
        </w:rPr>
        <w:t>型水。阳离子以</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5"/>
        </w:rPr>
        <w:t>Na</w:t>
      </w:r>
      <w:r>
        <w:rPr>
          <w:rFonts w:ascii="SimSun" w:hAnsi="SimSun" w:eastAsia="SimSun" w:cs="SimSun"/>
          <w:sz w:val="24"/>
          <w:szCs w:val="24"/>
          <w:spacing w:val="-5"/>
        </w:rPr>
        <w:t>·</w:t>
      </w:r>
      <w:r>
        <w:rPr>
          <w:rFonts w:ascii="Times New Roman" w:hAnsi="Times New Roman" w:eastAsia="Times New Roman" w:cs="Times New Roman"/>
          <w:sz w:val="24"/>
          <w:szCs w:val="24"/>
          <w:spacing w:val="-5"/>
        </w:rPr>
        <w:t>Mg</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5"/>
        </w:rPr>
        <w:t>型水为主，其次</w:t>
      </w:r>
      <w:r>
        <w:rPr>
          <w:rFonts w:ascii="SimSun" w:hAnsi="SimSun" w:eastAsia="SimSun" w:cs="SimSun"/>
          <w:sz w:val="24"/>
          <w:szCs w:val="24"/>
        </w:rPr>
        <w:t xml:space="preserve"> </w:t>
      </w:r>
      <w:r>
        <w:rPr>
          <w:rFonts w:ascii="SimSun" w:hAnsi="SimSun" w:eastAsia="SimSun" w:cs="SimSun"/>
          <w:sz w:val="24"/>
          <w:szCs w:val="24"/>
          <w:spacing w:val="-6"/>
        </w:rPr>
        <w:t>是</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6"/>
        </w:rPr>
        <w:t>Ca</w:t>
      </w:r>
      <w:r>
        <w:rPr>
          <w:rFonts w:ascii="SimSun" w:hAnsi="SimSun" w:eastAsia="SimSun" w:cs="SimSun"/>
          <w:sz w:val="24"/>
          <w:szCs w:val="24"/>
          <w:spacing w:val="-6"/>
        </w:rPr>
        <w:t>·</w:t>
      </w:r>
      <w:r>
        <w:rPr>
          <w:rFonts w:ascii="Times New Roman" w:hAnsi="Times New Roman" w:eastAsia="Times New Roman" w:cs="Times New Roman"/>
          <w:sz w:val="24"/>
          <w:szCs w:val="24"/>
          <w:spacing w:val="-6"/>
        </w:rPr>
        <w:t>Mg </w:t>
      </w:r>
      <w:r>
        <w:rPr>
          <w:rFonts w:ascii="SimSun" w:hAnsi="SimSun" w:eastAsia="SimSun" w:cs="SimSun"/>
          <w:sz w:val="24"/>
          <w:szCs w:val="24"/>
          <w:spacing w:val="-6"/>
        </w:rPr>
        <w:t>或</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6"/>
        </w:rPr>
        <w:t>Ca</w:t>
      </w:r>
      <w:r>
        <w:rPr>
          <w:rFonts w:ascii="Times New Roman" w:hAnsi="Times New Roman" w:eastAsia="Times New Roman" w:cs="Times New Roman"/>
          <w:sz w:val="24"/>
          <w:szCs w:val="24"/>
          <w:spacing w:val="31"/>
          <w:w w:val="101"/>
        </w:rPr>
        <w:t xml:space="preserve"> </w:t>
      </w:r>
      <w:r>
        <w:rPr>
          <w:rFonts w:ascii="SimSun" w:hAnsi="SimSun" w:eastAsia="SimSun" w:cs="SimSun"/>
          <w:sz w:val="24"/>
          <w:szCs w:val="24"/>
          <w:spacing w:val="-6"/>
        </w:rPr>
        <w:t>·</w:t>
      </w:r>
      <w:r>
        <w:rPr>
          <w:rFonts w:ascii="Times New Roman" w:hAnsi="Times New Roman" w:eastAsia="Times New Roman" w:cs="Times New Roman"/>
          <w:sz w:val="24"/>
          <w:szCs w:val="24"/>
          <w:spacing w:val="-6"/>
        </w:rPr>
        <w:t>Na</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6"/>
        </w:rPr>
        <w:t>型水，反映了水化学受岩性的影响。评价区内火山岩和侵入</w:t>
      </w:r>
      <w:r>
        <w:rPr>
          <w:rFonts w:ascii="SimSun" w:hAnsi="SimSun" w:eastAsia="SimSun" w:cs="SimSun"/>
          <w:sz w:val="24"/>
          <w:szCs w:val="24"/>
        </w:rPr>
        <w:t xml:space="preserve"> </w:t>
      </w:r>
      <w:r>
        <w:rPr>
          <w:rFonts w:ascii="SimSun" w:hAnsi="SimSun" w:eastAsia="SimSun" w:cs="SimSun"/>
          <w:sz w:val="24"/>
          <w:szCs w:val="24"/>
          <w:spacing w:val="1"/>
        </w:rPr>
        <w:t>岩较多，地下水溶解火成岩中长石矿物的</w:t>
      </w:r>
      <w:r>
        <w:rPr>
          <w:rFonts w:ascii="SimSun" w:hAnsi="SimSun" w:eastAsia="SimSun" w:cs="SimSun"/>
          <w:sz w:val="24"/>
          <w:szCs w:val="24"/>
          <w:spacing w:val="-63"/>
        </w:rPr>
        <w:t xml:space="preserve"> </w:t>
      </w:r>
      <w:r>
        <w:rPr>
          <w:rFonts w:ascii="Times New Roman" w:hAnsi="Times New Roman" w:eastAsia="Times New Roman" w:cs="Times New Roman"/>
          <w:sz w:val="24"/>
          <w:szCs w:val="24"/>
        </w:rPr>
        <w:t>Na</w:t>
      </w:r>
      <w:r>
        <w:rPr>
          <w:rFonts w:ascii="Times New Roman" w:hAnsi="Times New Roman" w:eastAsia="Times New Roman" w:cs="Times New Roman"/>
          <w:sz w:val="24"/>
          <w:szCs w:val="24"/>
          <w:spacing w:val="1"/>
        </w:rPr>
        <w:t xml:space="preserve"> </w:t>
      </w:r>
      <w:r>
        <w:rPr>
          <w:rFonts w:ascii="SimSun" w:hAnsi="SimSun" w:eastAsia="SimSun" w:cs="SimSun"/>
          <w:sz w:val="24"/>
          <w:szCs w:val="24"/>
        </w:rPr>
        <w:t>离子，因此</w:t>
      </w:r>
      <w:r>
        <w:rPr>
          <w:rFonts w:ascii="SimSun" w:hAnsi="SimSun" w:eastAsia="SimSun" w:cs="SimSun"/>
          <w:sz w:val="24"/>
          <w:szCs w:val="24"/>
          <w:spacing w:val="-60"/>
        </w:rPr>
        <w:t xml:space="preserve"> </w:t>
      </w:r>
      <w:r>
        <w:rPr>
          <w:rFonts w:ascii="Times New Roman" w:hAnsi="Times New Roman" w:eastAsia="Times New Roman" w:cs="Times New Roman"/>
          <w:sz w:val="24"/>
          <w:szCs w:val="24"/>
        </w:rPr>
        <w:t>Na </w:t>
      </w:r>
      <w:r>
        <w:rPr>
          <w:rFonts w:ascii="SimSun" w:hAnsi="SimSun" w:eastAsia="SimSun" w:cs="SimSun"/>
          <w:sz w:val="24"/>
          <w:szCs w:val="24"/>
        </w:rPr>
        <w:t>离子含量较高。区域 </w:t>
      </w:r>
      <w:r>
        <w:rPr>
          <w:rFonts w:ascii="SimSun" w:hAnsi="SimSun" w:eastAsia="SimSun" w:cs="SimSun"/>
          <w:sz w:val="24"/>
          <w:szCs w:val="24"/>
          <w:spacing w:val="3"/>
        </w:rPr>
        <w:t>内燕山侵入岩内有萤石矿脉，地下水溶解了岩石矿脉中的</w:t>
      </w:r>
      <w:r>
        <w:rPr>
          <w:rFonts w:ascii="SimSun" w:hAnsi="SimSun" w:eastAsia="SimSun" w:cs="SimSun"/>
          <w:sz w:val="24"/>
          <w:szCs w:val="24"/>
          <w:spacing w:val="2"/>
        </w:rPr>
        <w:t>氟、钙，使得地下水含</w:t>
      </w:r>
      <w:r>
        <w:rPr>
          <w:rFonts w:ascii="SimSun" w:hAnsi="SimSun" w:eastAsia="SimSun" w:cs="SimSun"/>
          <w:sz w:val="24"/>
          <w:szCs w:val="24"/>
        </w:rPr>
        <w:t xml:space="preserve"> </w:t>
      </w:r>
      <w:r>
        <w:rPr>
          <w:rFonts w:ascii="SimSun" w:hAnsi="SimSun" w:eastAsia="SimSun" w:cs="SimSun"/>
          <w:sz w:val="24"/>
          <w:szCs w:val="24"/>
          <w:spacing w:val="-2"/>
        </w:rPr>
        <w:t>氟、总硬度偏高。根据《正镶白旗地下水（饮用水源</w:t>
      </w:r>
      <w:r>
        <w:rPr>
          <w:rFonts w:ascii="SimSun" w:hAnsi="SimSun" w:eastAsia="SimSun" w:cs="SimSun"/>
          <w:sz w:val="24"/>
          <w:szCs w:val="24"/>
          <w:spacing w:val="-3"/>
        </w:rPr>
        <w:t>）环境本底调查分析报告》，</w:t>
      </w:r>
      <w:r>
        <w:rPr>
          <w:rFonts w:ascii="SimSun" w:hAnsi="SimSun" w:eastAsia="SimSun" w:cs="SimSun"/>
          <w:sz w:val="24"/>
          <w:szCs w:val="24"/>
        </w:rPr>
        <w:t xml:space="preserve"> </w:t>
      </w:r>
      <w:r>
        <w:rPr>
          <w:rFonts w:ascii="SimSun" w:hAnsi="SimSun" w:eastAsia="SimSun" w:cs="SimSun"/>
          <w:sz w:val="24"/>
          <w:szCs w:val="24"/>
          <w:spacing w:val="3"/>
        </w:rPr>
        <w:t>氟化物、钠、氯化物、溶解性总固体为该区域本底值。综上</w:t>
      </w:r>
      <w:r>
        <w:rPr>
          <w:rFonts w:ascii="SimSun" w:hAnsi="SimSun" w:eastAsia="SimSun" w:cs="SimSun"/>
          <w:sz w:val="24"/>
          <w:szCs w:val="24"/>
          <w:spacing w:val="2"/>
        </w:rPr>
        <w:t>所述，评价区内硫酸</w:t>
      </w:r>
      <w:r>
        <w:rPr>
          <w:rFonts w:ascii="SimSun" w:hAnsi="SimSun" w:eastAsia="SimSun" w:cs="SimSun"/>
          <w:sz w:val="24"/>
          <w:szCs w:val="24"/>
        </w:rPr>
        <w:t xml:space="preserve"> </w:t>
      </w:r>
      <w:r>
        <w:rPr>
          <w:rFonts w:ascii="SimSun" w:hAnsi="SimSun" w:eastAsia="SimSun" w:cs="SimSun"/>
          <w:sz w:val="24"/>
          <w:szCs w:val="24"/>
          <w:spacing w:val="3"/>
        </w:rPr>
        <w:t>盐、氯化物、钠、总硬度及溶解性总固体、氟化物等超标</w:t>
      </w:r>
      <w:r>
        <w:rPr>
          <w:rFonts w:ascii="SimSun" w:hAnsi="SimSun" w:eastAsia="SimSun" w:cs="SimSun"/>
          <w:sz w:val="24"/>
          <w:szCs w:val="24"/>
          <w:spacing w:val="2"/>
        </w:rPr>
        <w:t>项目在地下水中的富集</w:t>
      </w:r>
      <w:r>
        <w:rPr>
          <w:rFonts w:ascii="SimSun" w:hAnsi="SimSun" w:eastAsia="SimSun" w:cs="SimSun"/>
          <w:sz w:val="24"/>
          <w:szCs w:val="24"/>
        </w:rPr>
        <w:t xml:space="preserve"> </w:t>
      </w:r>
      <w:r>
        <w:rPr>
          <w:rFonts w:ascii="SimSun" w:hAnsi="SimSun" w:eastAsia="SimSun" w:cs="SimSun"/>
          <w:sz w:val="24"/>
          <w:szCs w:val="24"/>
          <w:spacing w:val="3"/>
        </w:rPr>
        <w:t>是长期地质作用和地球化学演变的结果，其主要受不同的</w:t>
      </w:r>
      <w:r>
        <w:rPr>
          <w:rFonts w:ascii="SimSun" w:hAnsi="SimSun" w:eastAsia="SimSun" w:cs="SimSun"/>
          <w:sz w:val="24"/>
          <w:szCs w:val="24"/>
          <w:spacing w:val="2"/>
        </w:rPr>
        <w:t>气候、地形地貌、岩土</w:t>
      </w:r>
      <w:r>
        <w:rPr>
          <w:rFonts w:ascii="SimSun" w:hAnsi="SimSun" w:eastAsia="SimSun" w:cs="SimSun"/>
          <w:sz w:val="24"/>
          <w:szCs w:val="24"/>
        </w:rPr>
        <w:t xml:space="preserve"> </w:t>
      </w:r>
      <w:r>
        <w:rPr>
          <w:rFonts w:ascii="SimSun" w:hAnsi="SimSun" w:eastAsia="SimSun" w:cs="SimSun"/>
          <w:sz w:val="24"/>
          <w:szCs w:val="24"/>
          <w:spacing w:val="3"/>
        </w:rPr>
        <w:t>类型、水文地质和水文地球化学等自然地理及地质环境因</w:t>
      </w:r>
      <w:r>
        <w:rPr>
          <w:rFonts w:ascii="SimSun" w:hAnsi="SimSun" w:eastAsia="SimSun" w:cs="SimSun"/>
          <w:sz w:val="24"/>
          <w:szCs w:val="24"/>
          <w:spacing w:val="2"/>
        </w:rPr>
        <w:t>素的影响，非人类社会</w:t>
      </w:r>
      <w:r>
        <w:rPr>
          <w:rFonts w:ascii="SimSun" w:hAnsi="SimSun" w:eastAsia="SimSun" w:cs="SimSun"/>
          <w:sz w:val="24"/>
          <w:szCs w:val="24"/>
        </w:rPr>
        <w:t xml:space="preserve"> </w:t>
      </w:r>
      <w:r>
        <w:rPr>
          <w:rFonts w:ascii="SimSun" w:hAnsi="SimSun" w:eastAsia="SimSun" w:cs="SimSun"/>
          <w:sz w:val="24"/>
          <w:szCs w:val="24"/>
          <w:spacing w:val="-2"/>
        </w:rPr>
        <w:t>活动影响。</w:t>
      </w:r>
    </w:p>
    <w:p>
      <w:pPr>
        <w:ind w:left="4" w:right="99" w:firstLine="486"/>
        <w:spacing w:before="3" w:line="354" w:lineRule="auto"/>
        <w:jc w:val="both"/>
        <w:rPr>
          <w:rFonts w:ascii="SimSun" w:hAnsi="SimSun" w:eastAsia="SimSun" w:cs="SimSun"/>
          <w:sz w:val="24"/>
          <w:szCs w:val="24"/>
        </w:rPr>
      </w:pPr>
      <w:r>
        <w:rPr>
          <w:rFonts w:ascii="SimSun" w:hAnsi="SimSun" w:eastAsia="SimSun" w:cs="SimSun"/>
          <w:sz w:val="24"/>
          <w:szCs w:val="24"/>
          <w:spacing w:val="10"/>
        </w:rPr>
        <w:t>本项</w:t>
      </w:r>
      <w:r>
        <w:rPr>
          <w:rFonts w:ascii="SimSun" w:hAnsi="SimSun" w:eastAsia="SimSun" w:cs="SimSun"/>
          <w:sz w:val="24"/>
          <w:szCs w:val="24"/>
          <w:spacing w:val="-46"/>
        </w:rPr>
        <w:t xml:space="preserve"> </w:t>
      </w:r>
      <w:r>
        <w:rPr>
          <w:rFonts w:ascii="SimSun" w:hAnsi="SimSun" w:eastAsia="SimSun" w:cs="SimSun"/>
          <w:sz w:val="24"/>
          <w:szCs w:val="24"/>
          <w:spacing w:val="10"/>
        </w:rPr>
        <w:t>目厂界声环境质量监测点的噪声值昼间在</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0"/>
        </w:rPr>
        <w:t>50~54</w:t>
      </w:r>
      <w:r>
        <w:rPr>
          <w:rFonts w:ascii="Times New Roman" w:hAnsi="Times New Roman" w:eastAsia="Times New Roman" w:cs="Times New Roman"/>
          <w:sz w:val="24"/>
          <w:szCs w:val="24"/>
        </w:rPr>
        <w:t>dB</w:t>
      </w:r>
      <w:r>
        <w:rPr>
          <w:rFonts w:ascii="Times New Roman" w:hAnsi="Times New Roman" w:eastAsia="Times New Roman" w:cs="Times New Roman"/>
          <w:sz w:val="24"/>
          <w:szCs w:val="24"/>
          <w:spacing w:val="10"/>
        </w:rPr>
        <w:t>(A)</w:t>
      </w:r>
      <w:r>
        <w:rPr>
          <w:rFonts w:ascii="SimSun" w:hAnsi="SimSun" w:eastAsia="SimSun" w:cs="SimSun"/>
          <w:sz w:val="24"/>
          <w:szCs w:val="24"/>
          <w:spacing w:val="10"/>
        </w:rPr>
        <w:t>之</w:t>
      </w:r>
      <w:r>
        <w:rPr>
          <w:rFonts w:ascii="SimSun" w:hAnsi="SimSun" w:eastAsia="SimSun" w:cs="SimSun"/>
          <w:sz w:val="24"/>
          <w:szCs w:val="24"/>
          <w:spacing w:val="9"/>
        </w:rPr>
        <w:t>间</w:t>
      </w:r>
      <w:r>
        <w:rPr>
          <w:rFonts w:ascii="SimSun" w:hAnsi="SimSun" w:eastAsia="SimSun" w:cs="SimSun"/>
          <w:sz w:val="24"/>
          <w:szCs w:val="24"/>
          <w:spacing w:val="-72"/>
        </w:rPr>
        <w:t xml:space="preserve"> </w:t>
      </w:r>
      <w:r>
        <w:rPr>
          <w:rFonts w:ascii="SimSun" w:hAnsi="SimSun" w:eastAsia="SimSun" w:cs="SimSun"/>
          <w:sz w:val="24"/>
          <w:szCs w:val="24"/>
          <w:spacing w:val="9"/>
        </w:rPr>
        <w:t>，夜间在</w:t>
      </w:r>
      <w:r>
        <w:rPr>
          <w:rFonts w:ascii="SimSun" w:hAnsi="SimSun" w:eastAsia="SimSun" w:cs="SimSun"/>
          <w:sz w:val="24"/>
          <w:szCs w:val="24"/>
        </w:rPr>
        <w:t xml:space="preserve"> </w:t>
      </w:r>
      <w:r>
        <w:rPr>
          <w:rFonts w:ascii="Times New Roman" w:hAnsi="Times New Roman" w:eastAsia="Times New Roman" w:cs="Times New Roman"/>
          <w:sz w:val="24"/>
          <w:szCs w:val="24"/>
          <w:spacing w:val="3"/>
        </w:rPr>
        <w:t>41~44</w:t>
      </w:r>
      <w:r>
        <w:rPr>
          <w:rFonts w:ascii="Times New Roman" w:hAnsi="Times New Roman" w:eastAsia="Times New Roman" w:cs="Times New Roman"/>
          <w:sz w:val="24"/>
          <w:szCs w:val="24"/>
        </w:rPr>
        <w:t>dB</w:t>
      </w:r>
      <w:r>
        <w:rPr>
          <w:rFonts w:ascii="Times New Roman" w:hAnsi="Times New Roman" w:eastAsia="Times New Roman" w:cs="Times New Roman"/>
          <w:sz w:val="24"/>
          <w:szCs w:val="24"/>
          <w:spacing w:val="3"/>
        </w:rPr>
        <w:t>(A)</w:t>
      </w:r>
      <w:r>
        <w:rPr>
          <w:rFonts w:ascii="SimSun" w:hAnsi="SimSun" w:eastAsia="SimSun" w:cs="SimSun"/>
          <w:sz w:val="24"/>
          <w:szCs w:val="24"/>
          <w:spacing w:val="3"/>
        </w:rPr>
        <w:t>之间，检测值能够满足《声环境质量标准》（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3"/>
        </w:rPr>
        <w:t>3096-2008</w:t>
      </w:r>
      <w:r>
        <w:rPr>
          <w:rFonts w:ascii="SimSun" w:hAnsi="SimSun" w:eastAsia="SimSun" w:cs="SimSun"/>
          <w:sz w:val="24"/>
          <w:szCs w:val="24"/>
          <w:spacing w:val="3"/>
        </w:rPr>
        <w:t>）</w:t>
      </w:r>
      <w:r>
        <w:rPr>
          <w:rFonts w:ascii="SimSun" w:hAnsi="SimSun" w:eastAsia="SimSun" w:cs="SimSun"/>
          <w:sz w:val="24"/>
          <w:szCs w:val="24"/>
          <w:spacing w:val="-54"/>
        </w:rPr>
        <w:t xml:space="preserve"> </w:t>
      </w:r>
      <w:r>
        <w:rPr>
          <w:rFonts w:ascii="SimSun" w:hAnsi="SimSun" w:eastAsia="SimSun" w:cs="SimSun"/>
          <w:sz w:val="24"/>
          <w:szCs w:val="24"/>
          <w:spacing w:val="3"/>
        </w:rPr>
        <w:t>中的</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rPr>
        <w:t xml:space="preserve"> </w:t>
      </w:r>
      <w:r>
        <w:rPr>
          <w:rFonts w:ascii="SimSun" w:hAnsi="SimSun" w:eastAsia="SimSun" w:cs="SimSun"/>
          <w:sz w:val="24"/>
          <w:szCs w:val="24"/>
          <w:spacing w:val="-1"/>
        </w:rPr>
        <w:t>类标准限值。</w:t>
      </w:r>
    </w:p>
    <w:p>
      <w:pPr>
        <w:ind w:left="8" w:firstLine="481"/>
        <w:spacing w:before="21" w:line="359" w:lineRule="auto"/>
        <w:jc w:val="both"/>
        <w:rPr>
          <w:rFonts w:ascii="SimSun" w:hAnsi="SimSun" w:eastAsia="SimSun" w:cs="SimSun"/>
          <w:sz w:val="24"/>
          <w:szCs w:val="24"/>
        </w:rPr>
      </w:pPr>
      <w:r>
        <w:rPr>
          <w:rFonts w:ascii="SimSun" w:hAnsi="SimSun" w:eastAsia="SimSun" w:cs="SimSun"/>
          <w:sz w:val="24"/>
          <w:szCs w:val="24"/>
          <w:spacing w:val="-1"/>
        </w:rPr>
        <w:t>本项目各土壤环境质量现状各监测点的监测指标均满足《土壤环境质量 建设</w:t>
      </w:r>
      <w:r>
        <w:rPr>
          <w:rFonts w:ascii="SimSun" w:hAnsi="SimSun" w:eastAsia="SimSun" w:cs="SimSun"/>
          <w:sz w:val="24"/>
          <w:szCs w:val="24"/>
          <w:spacing w:val="5"/>
        </w:rPr>
        <w:t xml:space="preserve"> </w:t>
      </w:r>
      <w:r>
        <w:rPr>
          <w:rFonts w:ascii="SimSun" w:hAnsi="SimSun" w:eastAsia="SimSun" w:cs="SimSun"/>
          <w:sz w:val="24"/>
          <w:szCs w:val="24"/>
        </w:rPr>
        <w:t>用地土壤污染风险管控标准》（</w:t>
      </w:r>
      <w:r>
        <w:rPr>
          <w:rFonts w:ascii="Times New Roman" w:hAnsi="Times New Roman" w:eastAsia="Times New Roman" w:cs="Times New Roman"/>
          <w:sz w:val="24"/>
          <w:szCs w:val="24"/>
        </w:rPr>
        <w:t>GB 3660</w:t>
      </w:r>
      <w:r>
        <w:rPr>
          <w:rFonts w:ascii="Times New Roman" w:hAnsi="Times New Roman" w:eastAsia="Times New Roman" w:cs="Times New Roman"/>
          <w:sz w:val="24"/>
          <w:szCs w:val="24"/>
          <w:spacing w:val="-1"/>
        </w:rPr>
        <w:t>0-2018</w:t>
      </w:r>
      <w:r>
        <w:rPr>
          <w:rFonts w:ascii="SimSun" w:hAnsi="SimSun" w:eastAsia="SimSun" w:cs="SimSun"/>
          <w:sz w:val="24"/>
          <w:szCs w:val="24"/>
          <w:spacing w:val="-1"/>
        </w:rPr>
        <w:t>）表</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第二类用地筛选值标</w:t>
      </w:r>
      <w:r>
        <w:rPr>
          <w:rFonts w:ascii="SimSun" w:hAnsi="SimSun" w:eastAsia="SimSun" w:cs="SimSun"/>
          <w:sz w:val="24"/>
          <w:szCs w:val="24"/>
        </w:rPr>
        <w:t xml:space="preserve"> </w:t>
      </w:r>
      <w:r>
        <w:rPr>
          <w:rFonts w:ascii="SimSun" w:hAnsi="SimSun" w:eastAsia="SimSun" w:cs="SimSun"/>
          <w:sz w:val="24"/>
          <w:szCs w:val="24"/>
          <w:spacing w:val="-3"/>
        </w:rPr>
        <w:t>准以及《土壤质量标准 农用地土壤污染风险管控标准》（试行</w:t>
      </w:r>
      <w:r>
        <w:rPr>
          <w:rFonts w:ascii="SimSun" w:hAnsi="SimSun" w:eastAsia="SimSun" w:cs="SimSun"/>
          <w:sz w:val="24"/>
          <w:szCs w:val="24"/>
          <w:spacing w:val="-49"/>
        </w:rPr>
        <w:t>）（</w:t>
      </w:r>
      <w:r>
        <w:rPr>
          <w:rFonts w:ascii="Times New Roman" w:hAnsi="Times New Roman" w:eastAsia="Times New Roman" w:cs="Times New Roman"/>
          <w:sz w:val="24"/>
          <w:szCs w:val="24"/>
          <w:spacing w:val="-3"/>
        </w:rPr>
        <w:t>GB15618-2018</w:t>
      </w:r>
      <w:r>
        <w:rPr>
          <w:rFonts w:ascii="SimSun" w:hAnsi="SimSun" w:eastAsia="SimSun" w:cs="SimSun"/>
          <w:sz w:val="24"/>
          <w:szCs w:val="24"/>
          <w:spacing w:val="-3"/>
        </w:rPr>
        <w:t>）</w:t>
      </w:r>
      <w:r>
        <w:rPr>
          <w:rFonts w:ascii="SimSun" w:hAnsi="SimSun" w:eastAsia="SimSun" w:cs="SimSun"/>
          <w:sz w:val="24"/>
          <w:szCs w:val="24"/>
        </w:rPr>
        <w:t xml:space="preserve"> </w:t>
      </w:r>
      <w:r>
        <w:rPr>
          <w:rFonts w:ascii="SimSun" w:hAnsi="SimSun" w:eastAsia="SimSun" w:cs="SimSun"/>
          <w:sz w:val="24"/>
          <w:szCs w:val="24"/>
          <w:spacing w:val="-4"/>
        </w:rPr>
        <w:t>表</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农用地筛选值标准。</w:t>
      </w:r>
    </w:p>
    <w:p>
      <w:pPr>
        <w:ind w:left="9" w:right="96" w:firstLine="480"/>
        <w:spacing w:before="5" w:line="359" w:lineRule="auto"/>
        <w:jc w:val="both"/>
        <w:rPr>
          <w:rFonts w:ascii="SimSun" w:hAnsi="SimSun" w:eastAsia="SimSun" w:cs="SimSun"/>
          <w:sz w:val="24"/>
          <w:szCs w:val="24"/>
        </w:rPr>
      </w:pPr>
      <w:r>
        <w:rPr>
          <w:rFonts w:ascii="SimSun" w:hAnsi="SimSun" w:eastAsia="SimSun" w:cs="SimSun"/>
          <w:sz w:val="24"/>
          <w:szCs w:val="24"/>
          <w:spacing w:val="3"/>
        </w:rPr>
        <w:t>本项目主要大气污染物为颗粒物、二氧化硫、氮氧化物、硫化氢</w:t>
      </w:r>
      <w:r>
        <w:rPr>
          <w:rFonts w:ascii="SimSun" w:hAnsi="SimSun" w:eastAsia="SimSun" w:cs="SimSun"/>
          <w:sz w:val="24"/>
          <w:szCs w:val="24"/>
          <w:spacing w:val="2"/>
        </w:rPr>
        <w:t>、氨、臭气</w:t>
      </w:r>
      <w:r>
        <w:rPr>
          <w:rFonts w:ascii="SimSun" w:hAnsi="SimSun" w:eastAsia="SimSun" w:cs="SimSun"/>
          <w:sz w:val="24"/>
          <w:szCs w:val="24"/>
        </w:rPr>
        <w:t xml:space="preserve"> </w:t>
      </w:r>
      <w:r>
        <w:rPr>
          <w:rFonts w:ascii="SimSun" w:hAnsi="SimSun" w:eastAsia="SimSun" w:cs="SimSun"/>
          <w:sz w:val="24"/>
          <w:szCs w:val="24"/>
          <w:spacing w:val="3"/>
        </w:rPr>
        <w:t>浓度等，经采取相应治理措施后可达标排放；运营</w:t>
      </w:r>
      <w:r>
        <w:rPr>
          <w:rFonts w:ascii="SimSun" w:hAnsi="SimSun" w:eastAsia="SimSun" w:cs="SimSun"/>
          <w:sz w:val="24"/>
          <w:szCs w:val="24"/>
          <w:spacing w:val="2"/>
        </w:rPr>
        <w:t>期生产废水全部综合利用，生</w:t>
      </w:r>
      <w:r>
        <w:rPr>
          <w:rFonts w:ascii="SimSun" w:hAnsi="SimSun" w:eastAsia="SimSun" w:cs="SimSun"/>
          <w:sz w:val="24"/>
          <w:szCs w:val="24"/>
        </w:rPr>
        <w:t xml:space="preserve"> </w:t>
      </w:r>
      <w:r>
        <w:rPr>
          <w:rFonts w:ascii="SimSun" w:hAnsi="SimSun" w:eastAsia="SimSun" w:cs="SimSun"/>
          <w:sz w:val="24"/>
          <w:szCs w:val="24"/>
          <w:spacing w:val="3"/>
        </w:rPr>
        <w:t>活污水中冲厕废水送往厌氧发酵装置；洗浴和食堂废水</w:t>
      </w:r>
      <w:r>
        <w:rPr>
          <w:rFonts w:ascii="SimSun" w:hAnsi="SimSun" w:eastAsia="SimSun" w:cs="SimSun"/>
          <w:sz w:val="24"/>
          <w:szCs w:val="24"/>
          <w:spacing w:val="2"/>
        </w:rPr>
        <w:t>通过单独管道排入市政污</w:t>
      </w:r>
      <w:r>
        <w:rPr>
          <w:rFonts w:ascii="SimSun" w:hAnsi="SimSun" w:eastAsia="SimSun" w:cs="SimSun"/>
          <w:sz w:val="24"/>
          <w:szCs w:val="24"/>
        </w:rPr>
        <w:t xml:space="preserve"> </w:t>
      </w:r>
      <w:r>
        <w:rPr>
          <w:rFonts w:ascii="SimSun" w:hAnsi="SimSun" w:eastAsia="SimSun" w:cs="SimSun"/>
          <w:sz w:val="24"/>
          <w:szCs w:val="24"/>
          <w:spacing w:val="3"/>
        </w:rPr>
        <w:t>水管网，进入明安图镇污水处理厂；一般固体废物</w:t>
      </w:r>
      <w:r>
        <w:rPr>
          <w:rFonts w:ascii="SimSun" w:hAnsi="SimSun" w:eastAsia="SimSun" w:cs="SimSun"/>
          <w:sz w:val="24"/>
          <w:szCs w:val="24"/>
          <w:spacing w:val="2"/>
        </w:rPr>
        <w:t>全部进行综合利用、由生产厂</w:t>
      </w:r>
      <w:r>
        <w:rPr>
          <w:rFonts w:ascii="SimSun" w:hAnsi="SimSun" w:eastAsia="SimSun" w:cs="SimSun"/>
          <w:sz w:val="24"/>
          <w:szCs w:val="24"/>
        </w:rPr>
        <w:t xml:space="preserve"> </w:t>
      </w:r>
      <w:r>
        <w:rPr>
          <w:rFonts w:ascii="SimSun" w:hAnsi="SimSun" w:eastAsia="SimSun" w:cs="SimSun"/>
          <w:sz w:val="24"/>
          <w:szCs w:val="24"/>
        </w:rPr>
        <w:t>家回收；危险废物委托有资质单位处理；生活</w:t>
      </w:r>
      <w:r>
        <w:rPr>
          <w:rFonts w:ascii="SimSun" w:hAnsi="SimSun" w:eastAsia="SimSun" w:cs="SimSun"/>
          <w:sz w:val="24"/>
          <w:szCs w:val="24"/>
          <w:spacing w:val="-1"/>
        </w:rPr>
        <w:t>垃圾委托环卫部门清理。</w:t>
      </w:r>
    </w:p>
    <w:p>
      <w:pPr>
        <w:spacing w:line="359" w:lineRule="auto"/>
        <w:sectPr>
          <w:headerReference w:type="default" r:id="rId29"/>
          <w:footerReference w:type="default" r:id="rId30"/>
          <w:pgSz w:w="11907" w:h="16840"/>
          <w:pgMar w:top="1567" w:right="1603" w:bottom="1481" w:left="1701" w:header="1221" w:footer="1247" w:gutter="0"/>
        </w:sectPr>
        <w:rPr>
          <w:rFonts w:ascii="SimSun" w:hAnsi="SimSun" w:eastAsia="SimSun" w:cs="SimSun"/>
          <w:sz w:val="24"/>
          <w:szCs w:val="24"/>
        </w:rPr>
      </w:pPr>
    </w:p>
    <w:p>
      <w:pPr>
        <w:ind w:left="13" w:right="80" w:firstLine="479"/>
        <w:spacing w:before="188" w:line="358" w:lineRule="auto"/>
        <w:rPr>
          <w:rFonts w:ascii="SimSun" w:hAnsi="SimSun" w:eastAsia="SimSun" w:cs="SimSun"/>
          <w:sz w:val="24"/>
          <w:szCs w:val="24"/>
        </w:rPr>
      </w:pPr>
      <w:r>
        <w:pict>
          <v:shape id="_x0000_s92" style="position:absolute;margin-left:85.05pt;margin-top:79.11pt;mso-position-vertical-relative:page;mso-position-horizontal-relative:page;width:425.25pt;height:0.75pt;z-index:251700224;" o:allowincell="f" fillcolor="#000000" filled="true" stroked="false" coordsize="8505,15" coordorigin="0,0" path="m,l8505,0l8505,14l0,14l0,0xe"/>
        </w:pict>
      </w:r>
      <w:r>
        <w:rPr>
          <w:rFonts w:ascii="SimSun" w:hAnsi="SimSun" w:eastAsia="SimSun" w:cs="SimSun"/>
          <w:sz w:val="24"/>
          <w:szCs w:val="24"/>
          <w:spacing w:val="-4"/>
        </w:rPr>
        <w:t>综上，项目的</w:t>
      </w:r>
      <w:r>
        <w:rPr>
          <w:rFonts w:ascii="Times New Roman" w:hAnsi="Times New Roman" w:eastAsia="Times New Roman" w:cs="Times New Roman"/>
          <w:sz w:val="24"/>
          <w:szCs w:val="24"/>
          <w:spacing w:val="-4"/>
        </w:rPr>
        <w:t>“</w:t>
      </w:r>
      <w:r>
        <w:rPr>
          <w:rFonts w:ascii="SimSun" w:hAnsi="SimSun" w:eastAsia="SimSun" w:cs="SimSun"/>
          <w:sz w:val="24"/>
          <w:szCs w:val="24"/>
          <w:spacing w:val="-4"/>
        </w:rPr>
        <w:t>三废</w:t>
      </w:r>
      <w:r>
        <w:rPr>
          <w:rFonts w:ascii="Times New Roman" w:hAnsi="Times New Roman" w:eastAsia="Times New Roman" w:cs="Times New Roman"/>
          <w:sz w:val="24"/>
          <w:szCs w:val="24"/>
          <w:spacing w:val="-4"/>
        </w:rPr>
        <w:t>”</w:t>
      </w:r>
      <w:r>
        <w:rPr>
          <w:rFonts w:ascii="SimSun" w:hAnsi="SimSun" w:eastAsia="SimSun" w:cs="SimSun"/>
          <w:sz w:val="24"/>
          <w:szCs w:val="24"/>
          <w:spacing w:val="-4"/>
        </w:rPr>
        <w:t>均得到合理处置，各污染物达标排放，因此本项目的建设</w:t>
      </w:r>
      <w:r>
        <w:rPr>
          <w:rFonts w:ascii="SimSun" w:hAnsi="SimSun" w:eastAsia="SimSun" w:cs="SimSun"/>
          <w:sz w:val="24"/>
          <w:szCs w:val="24"/>
          <w:spacing w:val="16"/>
        </w:rPr>
        <w:t xml:space="preserve"> </w:t>
      </w:r>
      <w:r>
        <w:rPr>
          <w:rFonts w:ascii="SimSun" w:hAnsi="SimSun" w:eastAsia="SimSun" w:cs="SimSun"/>
          <w:sz w:val="24"/>
          <w:szCs w:val="24"/>
          <w:spacing w:val="-1"/>
        </w:rPr>
        <w:t>不会对当地环境质量底线造成冲击。</w:t>
      </w:r>
    </w:p>
    <w:p>
      <w:pPr>
        <w:ind w:left="16"/>
        <w:spacing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4"/>
        </w:rPr>
        <w:t>1.4.5.3</w:t>
      </w:r>
      <w:r>
        <w:rPr>
          <w:rFonts w:ascii="Times New Roman" w:hAnsi="Times New Roman" w:eastAsia="Times New Roman" w:cs="Times New Roman"/>
          <w:sz w:val="24"/>
          <w:szCs w:val="24"/>
          <w:b/>
          <w:bCs/>
          <w:spacing w:val="31"/>
          <w:w w:val="101"/>
        </w:rPr>
        <w:t xml:space="preserve"> </w:t>
      </w:r>
      <w:r>
        <w:rPr>
          <w:rFonts w:ascii="SimSun" w:hAnsi="SimSun" w:eastAsia="SimSun" w:cs="SimSun"/>
          <w:sz w:val="24"/>
          <w:szCs w:val="24"/>
          <w:b/>
          <w:bCs/>
          <w:spacing w:val="-4"/>
        </w:rPr>
        <w:t>资源利用上线相符性</w:t>
      </w:r>
    </w:p>
    <w:p>
      <w:pPr>
        <w:ind w:left="5" w:right="18" w:firstLine="480"/>
        <w:spacing w:before="183" w:line="359" w:lineRule="auto"/>
        <w:jc w:val="both"/>
        <w:rPr>
          <w:rFonts w:ascii="SimSun" w:hAnsi="SimSun" w:eastAsia="SimSun" w:cs="SimSun"/>
          <w:sz w:val="24"/>
          <w:szCs w:val="24"/>
        </w:rPr>
      </w:pPr>
      <w:r>
        <w:rPr>
          <w:rFonts w:ascii="Times New Roman" w:hAnsi="Times New Roman" w:eastAsia="Times New Roman" w:cs="Times New Roman"/>
          <w:sz w:val="24"/>
          <w:szCs w:val="24"/>
          <w:spacing w:val="-1"/>
        </w:rPr>
        <w:t>2015</w:t>
      </w:r>
      <w:r>
        <w:rPr>
          <w:rFonts w:ascii="SimSun" w:hAnsi="SimSun" w:eastAsia="SimSun" w:cs="SimSun"/>
          <w:sz w:val="24"/>
          <w:szCs w:val="24"/>
          <w:spacing w:val="-1"/>
        </w:rPr>
        <w:t>年、</w:t>
      </w:r>
      <w:r>
        <w:rPr>
          <w:rFonts w:ascii="Times New Roman" w:hAnsi="Times New Roman" w:eastAsia="Times New Roman" w:cs="Times New Roman"/>
          <w:sz w:val="24"/>
          <w:szCs w:val="24"/>
          <w:spacing w:val="-1"/>
        </w:rPr>
        <w:t>2020</w:t>
      </w:r>
      <w:r>
        <w:rPr>
          <w:rFonts w:ascii="SimSun" w:hAnsi="SimSun" w:eastAsia="SimSun" w:cs="SimSun"/>
          <w:sz w:val="24"/>
          <w:szCs w:val="24"/>
          <w:spacing w:val="-1"/>
        </w:rPr>
        <w:t>年和</w:t>
      </w:r>
      <w:r>
        <w:rPr>
          <w:rFonts w:ascii="Times New Roman" w:hAnsi="Times New Roman" w:eastAsia="Times New Roman" w:cs="Times New Roman"/>
          <w:sz w:val="24"/>
          <w:szCs w:val="24"/>
          <w:spacing w:val="-1"/>
        </w:rPr>
        <w:t>2030</w:t>
      </w:r>
      <w:r>
        <w:rPr>
          <w:rFonts w:ascii="SimSun" w:hAnsi="SimSun" w:eastAsia="SimSun" w:cs="SimSun"/>
          <w:sz w:val="24"/>
          <w:szCs w:val="24"/>
          <w:spacing w:val="-1"/>
        </w:rPr>
        <w:t>年锡林郭勒盟用水总量红线控制目标分别为</w:t>
      </w:r>
      <w:r>
        <w:rPr>
          <w:rFonts w:ascii="Times New Roman" w:hAnsi="Times New Roman" w:eastAsia="Times New Roman" w:cs="Times New Roman"/>
          <w:sz w:val="24"/>
          <w:szCs w:val="24"/>
          <w:spacing w:val="-1"/>
        </w:rPr>
        <w:t>6.95</w:t>
      </w:r>
      <w:r>
        <w:rPr>
          <w:rFonts w:ascii="SimSun" w:hAnsi="SimSun" w:eastAsia="SimSun" w:cs="SimSun"/>
          <w:sz w:val="24"/>
          <w:szCs w:val="24"/>
          <w:spacing w:val="-1"/>
        </w:rPr>
        <w:t>亿</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8"/>
        </w:rPr>
        <w:t>3</w:t>
      </w:r>
      <w:r>
        <w:rPr>
          <w:rFonts w:ascii="SimSun" w:hAnsi="SimSun" w:eastAsia="SimSun" w:cs="SimSun"/>
          <w:sz w:val="24"/>
          <w:szCs w:val="24"/>
          <w:spacing w:val="-1"/>
        </w:rPr>
        <w:t>、</w:t>
      </w:r>
      <w:r>
        <w:rPr>
          <w:rFonts w:ascii="SimSun" w:hAnsi="SimSun" w:eastAsia="SimSun" w:cs="SimSun"/>
          <w:sz w:val="24"/>
          <w:szCs w:val="24"/>
        </w:rPr>
        <w:t xml:space="preserve"> </w:t>
      </w:r>
      <w:r>
        <w:rPr>
          <w:rFonts w:ascii="Times New Roman" w:hAnsi="Times New Roman" w:eastAsia="Times New Roman" w:cs="Times New Roman"/>
          <w:sz w:val="24"/>
          <w:szCs w:val="24"/>
        </w:rPr>
        <w:t>8.08</w:t>
      </w:r>
      <w:r>
        <w:rPr>
          <w:rFonts w:ascii="SimSun" w:hAnsi="SimSun" w:eastAsia="SimSun" w:cs="SimSun"/>
          <w:sz w:val="24"/>
          <w:szCs w:val="24"/>
        </w:rPr>
        <w:t>亿</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7"/>
        </w:rPr>
        <w:t>3</w:t>
      </w:r>
      <w:r>
        <w:rPr>
          <w:rFonts w:ascii="SimSun" w:hAnsi="SimSun" w:eastAsia="SimSun" w:cs="SimSun"/>
          <w:sz w:val="24"/>
          <w:szCs w:val="24"/>
        </w:rPr>
        <w:t>和</w:t>
      </w:r>
      <w:r>
        <w:rPr>
          <w:rFonts w:ascii="Times New Roman" w:hAnsi="Times New Roman" w:eastAsia="Times New Roman" w:cs="Times New Roman"/>
          <w:sz w:val="24"/>
          <w:szCs w:val="24"/>
        </w:rPr>
        <w:t>8.37</w:t>
      </w:r>
      <w:r>
        <w:rPr>
          <w:rFonts w:ascii="SimSun" w:hAnsi="SimSun" w:eastAsia="SimSun" w:cs="SimSun"/>
          <w:sz w:val="24"/>
          <w:szCs w:val="24"/>
        </w:rPr>
        <w:t>亿</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7"/>
        </w:rPr>
        <w:t>3</w:t>
      </w:r>
      <w:r>
        <w:rPr>
          <w:rFonts w:ascii="SimSun" w:hAnsi="SimSun" w:eastAsia="SimSun" w:cs="SimSun"/>
          <w:sz w:val="24"/>
          <w:szCs w:val="24"/>
        </w:rPr>
        <w:t>，</w:t>
      </w:r>
      <w:r>
        <w:rPr>
          <w:rFonts w:ascii="Times New Roman" w:hAnsi="Times New Roman" w:eastAsia="Times New Roman" w:cs="Times New Roman"/>
          <w:sz w:val="24"/>
          <w:szCs w:val="24"/>
        </w:rPr>
        <w:t>2025</w:t>
      </w:r>
      <w:r>
        <w:rPr>
          <w:rFonts w:ascii="SimSun" w:hAnsi="SimSun" w:eastAsia="SimSun" w:cs="SimSun"/>
          <w:sz w:val="24"/>
          <w:szCs w:val="24"/>
        </w:rPr>
        <w:t>年</w:t>
      </w:r>
      <w:r>
        <w:rPr>
          <w:rFonts w:ascii="SimSun" w:hAnsi="SimSun" w:eastAsia="SimSun" w:cs="SimSun"/>
          <w:sz w:val="24"/>
          <w:szCs w:val="24"/>
          <w:spacing w:val="-1"/>
        </w:rPr>
        <w:t>用水总量控制指标为</w:t>
      </w:r>
      <w:r>
        <w:rPr>
          <w:rFonts w:ascii="Times New Roman" w:hAnsi="Times New Roman" w:eastAsia="Times New Roman" w:cs="Times New Roman"/>
          <w:sz w:val="24"/>
          <w:szCs w:val="24"/>
          <w:spacing w:val="-1"/>
        </w:rPr>
        <w:t>4.73</w:t>
      </w:r>
      <w:r>
        <w:rPr>
          <w:rFonts w:ascii="SimSun" w:hAnsi="SimSun" w:eastAsia="SimSun" w:cs="SimSun"/>
          <w:sz w:val="24"/>
          <w:szCs w:val="24"/>
          <w:spacing w:val="-1"/>
        </w:rPr>
        <w:t>亿</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7"/>
        </w:rPr>
        <w:t>3</w:t>
      </w:r>
      <w:r>
        <w:rPr>
          <w:rFonts w:ascii="SimSun" w:hAnsi="SimSun" w:eastAsia="SimSun" w:cs="SimSun"/>
          <w:sz w:val="24"/>
          <w:szCs w:val="24"/>
          <w:spacing w:val="-1"/>
        </w:rPr>
        <w:t>。</w:t>
      </w:r>
      <w:r>
        <w:rPr>
          <w:rFonts w:ascii="Times New Roman" w:hAnsi="Times New Roman" w:eastAsia="Times New Roman" w:cs="Times New Roman"/>
          <w:sz w:val="24"/>
          <w:szCs w:val="24"/>
          <w:spacing w:val="-1"/>
        </w:rPr>
        <w:t>2025</w:t>
      </w:r>
      <w:r>
        <w:rPr>
          <w:rFonts w:ascii="SimSun" w:hAnsi="SimSun" w:eastAsia="SimSun" w:cs="SimSun"/>
          <w:sz w:val="24"/>
          <w:szCs w:val="24"/>
          <w:spacing w:val="-1"/>
        </w:rPr>
        <w:t>年包括万元</w:t>
      </w:r>
      <w:r>
        <w:rPr>
          <w:rFonts w:ascii="Times New Roman" w:hAnsi="Times New Roman" w:eastAsia="Times New Roman" w:cs="Times New Roman"/>
          <w:sz w:val="24"/>
          <w:szCs w:val="24"/>
          <w:spacing w:val="-1"/>
        </w:rPr>
        <w:t>GDP</w:t>
      </w:r>
      <w:r>
        <w:rPr>
          <w:rFonts w:ascii="Times New Roman" w:hAnsi="Times New Roman" w:eastAsia="Times New Roman" w:cs="Times New Roman"/>
          <w:sz w:val="24"/>
          <w:szCs w:val="24"/>
        </w:rPr>
        <w:t xml:space="preserve">  </w:t>
      </w:r>
      <w:r>
        <w:rPr>
          <w:rFonts w:ascii="SimSun" w:hAnsi="SimSun" w:eastAsia="SimSun" w:cs="SimSun"/>
          <w:sz w:val="24"/>
          <w:szCs w:val="24"/>
          <w:spacing w:val="-1"/>
        </w:rPr>
        <w:t>用水量较</w:t>
      </w:r>
      <w:r>
        <w:rPr>
          <w:rFonts w:ascii="Times New Roman" w:hAnsi="Times New Roman" w:eastAsia="Times New Roman" w:cs="Times New Roman"/>
          <w:sz w:val="24"/>
          <w:szCs w:val="24"/>
          <w:spacing w:val="-1"/>
        </w:rPr>
        <w:t>2020</w:t>
      </w:r>
      <w:r>
        <w:rPr>
          <w:rFonts w:ascii="SimSun" w:hAnsi="SimSun" w:eastAsia="SimSun" w:cs="SimSun"/>
          <w:sz w:val="24"/>
          <w:szCs w:val="24"/>
          <w:spacing w:val="-1"/>
        </w:rPr>
        <w:t>年下降</w:t>
      </w:r>
      <w:r>
        <w:rPr>
          <w:rFonts w:ascii="Times New Roman" w:hAnsi="Times New Roman" w:eastAsia="Times New Roman" w:cs="Times New Roman"/>
          <w:sz w:val="24"/>
          <w:szCs w:val="24"/>
          <w:spacing w:val="-1"/>
        </w:rPr>
        <w:t>5.2%</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1"/>
        </w:rPr>
        <w:t>、万元工业增加值用水量较</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spacing w:val="-2"/>
        </w:rPr>
        <w:t>020</w:t>
      </w:r>
      <w:r>
        <w:rPr>
          <w:rFonts w:ascii="SimSun" w:hAnsi="SimSun" w:eastAsia="SimSun" w:cs="SimSun"/>
          <w:sz w:val="24"/>
          <w:szCs w:val="24"/>
          <w:spacing w:val="-2"/>
        </w:rPr>
        <w:t>年下降</w:t>
      </w:r>
      <w:r>
        <w:rPr>
          <w:rFonts w:ascii="Times New Roman" w:hAnsi="Times New Roman" w:eastAsia="Times New Roman" w:cs="Times New Roman"/>
          <w:sz w:val="24"/>
          <w:szCs w:val="24"/>
          <w:spacing w:val="-2"/>
        </w:rPr>
        <w:t>5%</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、灌溉水有效</w:t>
      </w:r>
      <w:r>
        <w:rPr>
          <w:rFonts w:ascii="SimSun" w:hAnsi="SimSun" w:eastAsia="SimSun" w:cs="SimSun"/>
          <w:sz w:val="24"/>
          <w:szCs w:val="24"/>
        </w:rPr>
        <w:t xml:space="preserve"> </w:t>
      </w:r>
      <w:r>
        <w:rPr>
          <w:rFonts w:ascii="SimSun" w:hAnsi="SimSun" w:eastAsia="SimSun" w:cs="SimSun"/>
          <w:sz w:val="24"/>
          <w:szCs w:val="24"/>
          <w:spacing w:val="-1"/>
        </w:rPr>
        <w:t>利用系数</w:t>
      </w:r>
      <w:r>
        <w:rPr>
          <w:rFonts w:ascii="Times New Roman" w:hAnsi="Times New Roman" w:eastAsia="Times New Roman" w:cs="Times New Roman"/>
          <w:sz w:val="24"/>
          <w:szCs w:val="24"/>
          <w:spacing w:val="-1"/>
        </w:rPr>
        <w:t>0.765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。到</w:t>
      </w:r>
      <w:r>
        <w:rPr>
          <w:rFonts w:ascii="Times New Roman" w:hAnsi="Times New Roman" w:eastAsia="Times New Roman" w:cs="Times New Roman"/>
          <w:sz w:val="24"/>
          <w:szCs w:val="24"/>
          <w:spacing w:val="-1"/>
        </w:rPr>
        <w:t>2035</w:t>
      </w:r>
      <w:r>
        <w:rPr>
          <w:rFonts w:ascii="SimSun" w:hAnsi="SimSun" w:eastAsia="SimSun" w:cs="SimSun"/>
          <w:sz w:val="24"/>
          <w:szCs w:val="24"/>
          <w:spacing w:val="-1"/>
        </w:rPr>
        <w:t>年生态保护红线面积不低于</w:t>
      </w:r>
      <w:r>
        <w:rPr>
          <w:rFonts w:ascii="Times New Roman" w:hAnsi="Times New Roman" w:eastAsia="Times New Roman" w:cs="Times New Roman"/>
          <w:sz w:val="24"/>
          <w:szCs w:val="24"/>
          <w:spacing w:val="-1"/>
        </w:rPr>
        <w:t>130034.47m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
        </w:rPr>
        <w:t>，林地保有量不低</w:t>
      </w:r>
      <w:r>
        <w:rPr>
          <w:rFonts w:ascii="SimSun" w:hAnsi="SimSun" w:eastAsia="SimSun" w:cs="SimSun"/>
          <w:sz w:val="24"/>
          <w:szCs w:val="24"/>
        </w:rPr>
        <w:t xml:space="preserve"> </w:t>
      </w:r>
      <w:r>
        <w:rPr>
          <w:rFonts w:ascii="SimSun" w:hAnsi="SimSun" w:eastAsia="SimSun" w:cs="SimSun"/>
          <w:sz w:val="24"/>
          <w:szCs w:val="24"/>
          <w:spacing w:val="-6"/>
        </w:rPr>
        <w:t>于</w:t>
      </w:r>
      <w:r>
        <w:rPr>
          <w:rFonts w:ascii="Times New Roman" w:hAnsi="Times New Roman" w:eastAsia="Times New Roman" w:cs="Times New Roman"/>
          <w:sz w:val="24"/>
          <w:szCs w:val="24"/>
          <w:spacing w:val="-6"/>
        </w:rPr>
        <w:t>115.05</w:t>
      </w:r>
      <w:r>
        <w:rPr>
          <w:rFonts w:ascii="SimSun" w:hAnsi="SimSun" w:eastAsia="SimSun" w:cs="SimSun"/>
          <w:sz w:val="24"/>
          <w:szCs w:val="24"/>
          <w:spacing w:val="-6"/>
        </w:rPr>
        <w:t>万</w:t>
      </w:r>
      <w:r>
        <w:rPr>
          <w:rFonts w:ascii="Times New Roman" w:hAnsi="Times New Roman" w:eastAsia="Times New Roman" w:cs="Times New Roman"/>
          <w:sz w:val="24"/>
          <w:szCs w:val="24"/>
          <w:spacing w:val="-6"/>
        </w:rPr>
        <w:t>hm</w:t>
      </w:r>
      <w:r>
        <w:rPr>
          <w:rFonts w:ascii="Times New Roman" w:hAnsi="Times New Roman" w:eastAsia="Times New Roman" w:cs="Times New Roman"/>
          <w:sz w:val="15"/>
          <w:szCs w:val="15"/>
          <w:spacing w:val="-6"/>
          <w:position w:val="7"/>
        </w:rPr>
        <w:t>2</w:t>
      </w:r>
      <w:r>
        <w:rPr>
          <w:rFonts w:ascii="SimSun" w:hAnsi="SimSun" w:eastAsia="SimSun" w:cs="SimSun"/>
          <w:sz w:val="24"/>
          <w:szCs w:val="24"/>
          <w:spacing w:val="-6"/>
        </w:rPr>
        <w:t>，基本草原面积不低于</w:t>
      </w:r>
      <w:r>
        <w:rPr>
          <w:rFonts w:ascii="Times New Roman" w:hAnsi="Times New Roman" w:eastAsia="Times New Roman" w:cs="Times New Roman"/>
          <w:sz w:val="24"/>
          <w:szCs w:val="24"/>
          <w:spacing w:val="-6"/>
        </w:rPr>
        <w:t>24384.84</w:t>
      </w:r>
      <w:r>
        <w:rPr>
          <w:rFonts w:ascii="SimSun" w:hAnsi="SimSun" w:eastAsia="SimSun" w:cs="SimSun"/>
          <w:sz w:val="24"/>
          <w:szCs w:val="24"/>
          <w:spacing w:val="-6"/>
        </w:rPr>
        <w:t>万亩</w:t>
      </w:r>
      <w:r>
        <w:rPr>
          <w:rFonts w:ascii="SimSun" w:hAnsi="SimSun" w:eastAsia="SimSun" w:cs="SimSun"/>
          <w:sz w:val="24"/>
          <w:szCs w:val="24"/>
          <w:spacing w:val="-7"/>
        </w:rPr>
        <w:t>，耕地保有量保持在</w:t>
      </w:r>
      <w:r>
        <w:rPr>
          <w:rFonts w:ascii="Times New Roman" w:hAnsi="Times New Roman" w:eastAsia="Times New Roman" w:cs="Times New Roman"/>
          <w:sz w:val="24"/>
          <w:szCs w:val="24"/>
          <w:spacing w:val="-7"/>
        </w:rPr>
        <w:t>461.</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7"/>
        </w:rPr>
        <w:t>17</w:t>
      </w:r>
      <w:r>
        <w:rPr>
          <w:rFonts w:ascii="SimSun" w:hAnsi="SimSun" w:eastAsia="SimSun" w:cs="SimSun"/>
          <w:sz w:val="24"/>
          <w:szCs w:val="24"/>
          <w:spacing w:val="-7"/>
        </w:rPr>
        <w:t>万亩，</w:t>
      </w:r>
      <w:r>
        <w:rPr>
          <w:rFonts w:ascii="SimSun" w:hAnsi="SimSun" w:eastAsia="SimSun" w:cs="SimSun"/>
          <w:sz w:val="24"/>
          <w:szCs w:val="24"/>
        </w:rPr>
        <w:t xml:space="preserve"> </w:t>
      </w:r>
      <w:r>
        <w:rPr>
          <w:rFonts w:ascii="SimSun" w:hAnsi="SimSun" w:eastAsia="SimSun" w:cs="SimSun"/>
          <w:sz w:val="24"/>
          <w:szCs w:val="24"/>
          <w:spacing w:val="-1"/>
        </w:rPr>
        <w:t>永久基本农田保护面积保持在</w:t>
      </w:r>
      <w:r>
        <w:rPr>
          <w:rFonts w:ascii="Times New Roman" w:hAnsi="Times New Roman" w:eastAsia="Times New Roman" w:cs="Times New Roman"/>
          <w:sz w:val="24"/>
          <w:szCs w:val="24"/>
          <w:spacing w:val="-1"/>
        </w:rPr>
        <w:t>289.21</w:t>
      </w:r>
      <w:r>
        <w:rPr>
          <w:rFonts w:ascii="SimSun" w:hAnsi="SimSun" w:eastAsia="SimSun" w:cs="SimSun"/>
          <w:sz w:val="24"/>
          <w:szCs w:val="24"/>
          <w:spacing w:val="-1"/>
        </w:rPr>
        <w:t>万</w:t>
      </w:r>
      <w:r>
        <w:rPr>
          <w:rFonts w:ascii="Times New Roman" w:hAnsi="Times New Roman" w:eastAsia="Times New Roman" w:cs="Times New Roman"/>
          <w:sz w:val="24"/>
          <w:szCs w:val="24"/>
          <w:spacing w:val="-1"/>
        </w:rPr>
        <w:t>hm</w:t>
      </w:r>
      <w:r>
        <w:rPr>
          <w:rFonts w:ascii="Times New Roman" w:hAnsi="Times New Roman" w:eastAsia="Times New Roman" w:cs="Times New Roman"/>
          <w:sz w:val="15"/>
          <w:szCs w:val="15"/>
          <w:spacing w:val="-1"/>
          <w:position w:val="8"/>
        </w:rPr>
        <w:t>2</w:t>
      </w:r>
      <w:r>
        <w:rPr>
          <w:rFonts w:ascii="SimSun" w:hAnsi="SimSun" w:eastAsia="SimSun" w:cs="SimSun"/>
          <w:sz w:val="24"/>
          <w:szCs w:val="24"/>
          <w:spacing w:val="-2"/>
        </w:rPr>
        <w:t>，新增国土修复面积达</w:t>
      </w:r>
      <w:r>
        <w:rPr>
          <w:rFonts w:ascii="Times New Roman" w:hAnsi="Times New Roman" w:eastAsia="Times New Roman" w:cs="Times New Roman"/>
          <w:sz w:val="24"/>
          <w:szCs w:val="24"/>
          <w:spacing w:val="-2"/>
        </w:rPr>
        <w:t>351.38</w:t>
      </w:r>
      <w:r>
        <w:rPr>
          <w:rFonts w:ascii="SimSun" w:hAnsi="SimSun" w:eastAsia="SimSun" w:cs="SimSun"/>
          <w:sz w:val="24"/>
          <w:szCs w:val="24"/>
          <w:spacing w:val="-2"/>
        </w:rPr>
        <w:t>万</w:t>
      </w:r>
      <w:r>
        <w:rPr>
          <w:rFonts w:ascii="Times New Roman" w:hAnsi="Times New Roman" w:eastAsia="Times New Roman" w:cs="Times New Roman"/>
          <w:sz w:val="24"/>
          <w:szCs w:val="24"/>
          <w:spacing w:val="-2"/>
        </w:rPr>
        <w:t>hm</w:t>
      </w:r>
      <w:r>
        <w:rPr>
          <w:rFonts w:ascii="Times New Roman" w:hAnsi="Times New Roman" w:eastAsia="Times New Roman" w:cs="Times New Roman"/>
          <w:sz w:val="15"/>
          <w:szCs w:val="15"/>
          <w:spacing w:val="-2"/>
          <w:position w:val="8"/>
        </w:rPr>
        <w:t>2</w:t>
      </w:r>
      <w:r>
        <w:rPr>
          <w:rFonts w:ascii="SimSun" w:hAnsi="SimSun" w:eastAsia="SimSun" w:cs="SimSun"/>
          <w:sz w:val="24"/>
          <w:szCs w:val="24"/>
          <w:spacing w:val="-2"/>
        </w:rPr>
        <w:t>。到</w:t>
      </w:r>
      <w:r>
        <w:rPr>
          <w:rFonts w:ascii="SimSun" w:hAnsi="SimSun" w:eastAsia="SimSun" w:cs="SimSun"/>
          <w:sz w:val="24"/>
          <w:szCs w:val="24"/>
        </w:rPr>
        <w:t xml:space="preserve"> </w:t>
      </w:r>
      <w:r>
        <w:rPr>
          <w:rFonts w:ascii="Times New Roman" w:hAnsi="Times New Roman" w:eastAsia="Times New Roman" w:cs="Times New Roman"/>
          <w:sz w:val="24"/>
          <w:szCs w:val="24"/>
        </w:rPr>
        <w:t>2035</w:t>
      </w:r>
      <w:r>
        <w:rPr>
          <w:rFonts w:ascii="SimSun" w:hAnsi="SimSun" w:eastAsia="SimSun" w:cs="SimSun"/>
          <w:sz w:val="24"/>
          <w:szCs w:val="24"/>
        </w:rPr>
        <w:t>年，全盟国土开发强度控制在</w:t>
      </w:r>
      <w:r>
        <w:rPr>
          <w:rFonts w:ascii="Times New Roman" w:hAnsi="Times New Roman" w:eastAsia="Times New Roman" w:cs="Times New Roman"/>
          <w:sz w:val="24"/>
          <w:szCs w:val="24"/>
        </w:rPr>
        <w:t>0.77%</w:t>
      </w:r>
      <w:r>
        <w:rPr>
          <w:rFonts w:ascii="SimSun" w:hAnsi="SimSun" w:eastAsia="SimSun" w:cs="SimSun"/>
          <w:sz w:val="24"/>
          <w:szCs w:val="24"/>
        </w:rPr>
        <w:t>以内，城乡建设用地总规模控制在</w:t>
      </w:r>
      <w:r>
        <w:rPr>
          <w:rFonts w:ascii="Times New Roman" w:hAnsi="Times New Roman" w:eastAsia="Times New Roman" w:cs="Times New Roman"/>
          <w:sz w:val="24"/>
          <w:szCs w:val="24"/>
        </w:rPr>
        <w:t>660.82</w:t>
      </w:r>
      <w:r>
        <w:rPr>
          <w:rFonts w:ascii="Times New Roman" w:hAnsi="Times New Roman" w:eastAsia="Times New Roman" w:cs="Times New Roman"/>
          <w:sz w:val="24"/>
          <w:szCs w:val="24"/>
          <w:spacing w:val="8"/>
        </w:rPr>
        <w:t xml:space="preserve">  </w:t>
      </w:r>
      <w:r>
        <w:rPr>
          <w:rFonts w:ascii="SimSun" w:hAnsi="SimSun" w:eastAsia="SimSun" w:cs="SimSun"/>
          <w:sz w:val="24"/>
          <w:szCs w:val="24"/>
          <w:spacing w:val="-2"/>
        </w:rPr>
        <w:t>万</w:t>
      </w:r>
      <w:r>
        <w:rPr>
          <w:rFonts w:ascii="Times New Roman" w:hAnsi="Times New Roman" w:eastAsia="Times New Roman" w:cs="Times New Roman"/>
          <w:sz w:val="24"/>
          <w:szCs w:val="24"/>
          <w:spacing w:val="-2"/>
        </w:rPr>
        <w:t>hm</w:t>
      </w:r>
      <w:r>
        <w:rPr>
          <w:rFonts w:ascii="Times New Roman" w:hAnsi="Times New Roman" w:eastAsia="Times New Roman" w:cs="Times New Roman"/>
          <w:sz w:val="15"/>
          <w:szCs w:val="15"/>
          <w:spacing w:val="-2"/>
          <w:position w:val="8"/>
        </w:rPr>
        <w:t>2 </w:t>
      </w:r>
      <w:r>
        <w:rPr>
          <w:rFonts w:ascii="SimSun" w:hAnsi="SimSun" w:eastAsia="SimSun" w:cs="SimSun"/>
          <w:sz w:val="24"/>
          <w:szCs w:val="24"/>
          <w:spacing w:val="-2"/>
        </w:rPr>
        <w:t>；到</w:t>
      </w:r>
      <w:r>
        <w:rPr>
          <w:rFonts w:ascii="Times New Roman" w:hAnsi="Times New Roman" w:eastAsia="Times New Roman" w:cs="Times New Roman"/>
          <w:sz w:val="24"/>
          <w:szCs w:val="24"/>
          <w:spacing w:val="-2"/>
        </w:rPr>
        <w:t>2025</w:t>
      </w:r>
      <w:r>
        <w:rPr>
          <w:rFonts w:ascii="SimSun" w:hAnsi="SimSun" w:eastAsia="SimSun" w:cs="SimSun"/>
          <w:sz w:val="24"/>
          <w:szCs w:val="24"/>
          <w:spacing w:val="-2"/>
        </w:rPr>
        <w:t>年，新能源发电装机容量达到</w:t>
      </w:r>
      <w:r>
        <w:rPr>
          <w:rFonts w:ascii="Times New Roman" w:hAnsi="Times New Roman" w:eastAsia="Times New Roman" w:cs="Times New Roman"/>
          <w:sz w:val="24"/>
          <w:szCs w:val="24"/>
          <w:spacing w:val="-2"/>
        </w:rPr>
        <w:t>2300</w:t>
      </w:r>
      <w:r>
        <w:rPr>
          <w:rFonts w:ascii="SimSun" w:hAnsi="SimSun" w:eastAsia="SimSun" w:cs="SimSun"/>
          <w:sz w:val="24"/>
          <w:szCs w:val="24"/>
          <w:spacing w:val="-2"/>
        </w:rPr>
        <w:t>万千瓦左右，非石化能源消费比</w:t>
      </w:r>
      <w:r>
        <w:rPr>
          <w:rFonts w:ascii="SimSun" w:hAnsi="SimSun" w:eastAsia="SimSun" w:cs="SimSun"/>
          <w:sz w:val="24"/>
          <w:szCs w:val="24"/>
          <w:spacing w:val="1"/>
        </w:rPr>
        <w:t xml:space="preserve"> </w:t>
      </w:r>
      <w:r>
        <w:rPr>
          <w:rFonts w:ascii="SimSun" w:hAnsi="SimSun" w:eastAsia="SimSun" w:cs="SimSun"/>
          <w:sz w:val="24"/>
          <w:szCs w:val="24"/>
          <w:spacing w:val="3"/>
        </w:rPr>
        <w:t>重超过自治区平均水平，全盟单位地区生产总值能源消耗和单位地</w:t>
      </w:r>
      <w:r>
        <w:rPr>
          <w:rFonts w:ascii="SimSun" w:hAnsi="SimSun" w:eastAsia="SimSun" w:cs="SimSun"/>
          <w:sz w:val="24"/>
          <w:szCs w:val="24"/>
          <w:spacing w:val="2"/>
        </w:rPr>
        <w:t>区生产总值二</w:t>
      </w:r>
      <w:r>
        <w:rPr>
          <w:rFonts w:ascii="SimSun" w:hAnsi="SimSun" w:eastAsia="SimSun" w:cs="SimSun"/>
          <w:sz w:val="24"/>
          <w:szCs w:val="24"/>
        </w:rPr>
        <w:t xml:space="preserve"> </w:t>
      </w:r>
      <w:r>
        <w:rPr>
          <w:rFonts w:ascii="SimSun" w:hAnsi="SimSun" w:eastAsia="SimSun" w:cs="SimSun"/>
          <w:sz w:val="24"/>
          <w:szCs w:val="24"/>
          <w:spacing w:val="-1"/>
        </w:rPr>
        <w:t>氧化碳排放下降率完成自治区约束性目标任务。</w:t>
      </w:r>
    </w:p>
    <w:p>
      <w:pPr>
        <w:ind w:left="8" w:right="18" w:firstLine="481"/>
        <w:spacing w:line="359" w:lineRule="auto"/>
        <w:jc w:val="both"/>
        <w:rPr>
          <w:rFonts w:ascii="SimSun" w:hAnsi="SimSun" w:eastAsia="SimSun" w:cs="SimSun"/>
          <w:sz w:val="24"/>
          <w:szCs w:val="24"/>
        </w:rPr>
      </w:pPr>
      <w:r>
        <w:rPr>
          <w:rFonts w:ascii="SimSun" w:hAnsi="SimSun" w:eastAsia="SimSun" w:cs="SimSun"/>
          <w:sz w:val="24"/>
          <w:szCs w:val="24"/>
          <w:spacing w:val="3"/>
        </w:rPr>
        <w:t>本项目所需资源包括用水、电等，由明安图镇基础设施提</w:t>
      </w:r>
      <w:r>
        <w:rPr>
          <w:rFonts w:ascii="SimSun" w:hAnsi="SimSun" w:eastAsia="SimSun" w:cs="SimSun"/>
          <w:sz w:val="24"/>
          <w:szCs w:val="24"/>
          <w:spacing w:val="2"/>
        </w:rPr>
        <w:t>供。生活用水由市</w:t>
      </w:r>
      <w:r>
        <w:rPr>
          <w:rFonts w:ascii="SimSun" w:hAnsi="SimSun" w:eastAsia="SimSun" w:cs="SimSun"/>
          <w:sz w:val="24"/>
          <w:szCs w:val="24"/>
        </w:rPr>
        <w:t xml:space="preserve"> </w:t>
      </w:r>
      <w:r>
        <w:rPr>
          <w:rFonts w:ascii="SimSun" w:hAnsi="SimSun" w:eastAsia="SimSun" w:cs="SimSun"/>
          <w:sz w:val="24"/>
          <w:szCs w:val="24"/>
          <w:spacing w:val="3"/>
        </w:rPr>
        <w:t>政自来水管网提供，生产用水采用明安图镇污水处理</w:t>
      </w:r>
      <w:r>
        <w:rPr>
          <w:rFonts w:ascii="SimSun" w:hAnsi="SimSun" w:eastAsia="SimSun" w:cs="SimSun"/>
          <w:sz w:val="24"/>
          <w:szCs w:val="24"/>
          <w:spacing w:val="2"/>
        </w:rPr>
        <w:t>厂中水；生产生活用热由自</w:t>
      </w:r>
      <w:r>
        <w:rPr>
          <w:rFonts w:ascii="SimSun" w:hAnsi="SimSun" w:eastAsia="SimSun" w:cs="SimSun"/>
          <w:sz w:val="24"/>
          <w:szCs w:val="24"/>
        </w:rPr>
        <w:t xml:space="preserve"> </w:t>
      </w:r>
      <w:r>
        <w:rPr>
          <w:rFonts w:ascii="SimSun" w:hAnsi="SimSun" w:eastAsia="SimSun" w:cs="SimSun"/>
          <w:sz w:val="24"/>
          <w:szCs w:val="24"/>
          <w:spacing w:val="3"/>
        </w:rPr>
        <w:t>建的沼气锅炉和生物质锅炉提供，本项目建成运行后年耗电量为</w:t>
      </w:r>
      <w:r>
        <w:rPr>
          <w:rFonts w:ascii="Times New Roman" w:hAnsi="Times New Roman" w:eastAsia="Times New Roman" w:cs="Times New Roman"/>
          <w:sz w:val="24"/>
          <w:szCs w:val="24"/>
          <w:spacing w:val="2"/>
        </w:rPr>
        <w:t>457.36</w:t>
      </w:r>
      <w:r>
        <w:rPr>
          <w:rFonts w:ascii="SimSun" w:hAnsi="SimSun" w:eastAsia="SimSun" w:cs="SimSun"/>
          <w:sz w:val="24"/>
          <w:szCs w:val="24"/>
          <w:spacing w:val="2"/>
        </w:rPr>
        <w:t>万</w:t>
      </w:r>
      <w:r>
        <w:rPr>
          <w:rFonts w:ascii="Times New Roman" w:hAnsi="Times New Roman" w:eastAsia="Times New Roman" w:cs="Times New Roman"/>
          <w:sz w:val="24"/>
          <w:szCs w:val="24"/>
        </w:rPr>
        <w:t>kW</w:t>
      </w:r>
      <w:r>
        <w:rPr>
          <w:rFonts w:ascii="Times New Roman" w:hAnsi="Times New Roman" w:eastAsia="Times New Roman" w:cs="Times New Roman"/>
          <w:sz w:val="24"/>
          <w:szCs w:val="24"/>
          <w:spacing w:val="2"/>
        </w:rPr>
        <w:t>.h</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w:t>
      </w:r>
      <w:r>
        <w:rPr>
          <w:rFonts w:ascii="SimSun" w:hAnsi="SimSun" w:eastAsia="SimSun" w:cs="SimSun"/>
          <w:sz w:val="24"/>
          <w:szCs w:val="24"/>
        </w:rPr>
        <w:t xml:space="preserve"> </w:t>
      </w:r>
      <w:r>
        <w:rPr>
          <w:rFonts w:ascii="SimSun" w:hAnsi="SimSun" w:eastAsia="SimSun" w:cs="SimSun"/>
          <w:sz w:val="24"/>
          <w:szCs w:val="24"/>
          <w:spacing w:val="3"/>
        </w:rPr>
        <w:t>通过内部管理、设备选择、原辅材料的选用和管理、废物</w:t>
      </w:r>
      <w:r>
        <w:rPr>
          <w:rFonts w:ascii="SimSun" w:hAnsi="SimSun" w:eastAsia="SimSun" w:cs="SimSun"/>
          <w:sz w:val="24"/>
          <w:szCs w:val="24"/>
          <w:spacing w:val="2"/>
        </w:rPr>
        <w:t>回收利用及污染治理等</w:t>
      </w:r>
      <w:r>
        <w:rPr>
          <w:rFonts w:ascii="SimSun" w:hAnsi="SimSun" w:eastAsia="SimSun" w:cs="SimSun"/>
          <w:sz w:val="24"/>
          <w:szCs w:val="24"/>
        </w:rPr>
        <w:t xml:space="preserve"> </w:t>
      </w:r>
      <w:r>
        <w:rPr>
          <w:rFonts w:ascii="SimSun" w:hAnsi="SimSun" w:eastAsia="SimSun" w:cs="SimSun"/>
          <w:sz w:val="24"/>
          <w:szCs w:val="24"/>
          <w:spacing w:val="-3"/>
        </w:rPr>
        <w:t>多方面采取可行的防治措施，以“节能、降耗、减污</w:t>
      </w:r>
      <w:r>
        <w:rPr>
          <w:rFonts w:ascii="SimSun" w:hAnsi="SimSun" w:eastAsia="SimSun" w:cs="SimSun"/>
          <w:sz w:val="24"/>
          <w:szCs w:val="24"/>
          <w:spacing w:val="-88"/>
        </w:rPr>
        <w:t xml:space="preserve"> </w:t>
      </w:r>
      <w:r>
        <w:rPr>
          <w:rFonts w:ascii="SimSun" w:hAnsi="SimSun" w:eastAsia="SimSun" w:cs="SimSun"/>
          <w:sz w:val="24"/>
          <w:szCs w:val="24"/>
          <w:spacing w:val="-3"/>
        </w:rPr>
        <w:t>”为目标</w:t>
      </w:r>
      <w:r>
        <w:rPr>
          <w:rFonts w:ascii="SimSun" w:hAnsi="SimSun" w:eastAsia="SimSun" w:cs="SimSun"/>
          <w:sz w:val="24"/>
          <w:szCs w:val="24"/>
          <w:spacing w:val="-4"/>
        </w:rPr>
        <w:t>，有效地控制污染，</w:t>
      </w:r>
      <w:r>
        <w:rPr>
          <w:rFonts w:ascii="SimSun" w:hAnsi="SimSun" w:eastAsia="SimSun" w:cs="SimSun"/>
          <w:sz w:val="24"/>
          <w:szCs w:val="24"/>
        </w:rPr>
        <w:t xml:space="preserve"> </w:t>
      </w:r>
      <w:r>
        <w:rPr>
          <w:rFonts w:ascii="SimSun" w:hAnsi="SimSun" w:eastAsia="SimSun" w:cs="SimSun"/>
          <w:sz w:val="24"/>
          <w:szCs w:val="24"/>
          <w:spacing w:val="-1"/>
        </w:rPr>
        <w:t>项目的水、电等资源不会突破区域的资源利用上限。</w:t>
      </w:r>
    </w:p>
    <w:p>
      <w:pPr>
        <w:ind w:left="16"/>
        <w:spacing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1.4.5.4 </w:t>
      </w:r>
      <w:r>
        <w:rPr>
          <w:rFonts w:ascii="SimSun" w:hAnsi="SimSun" w:eastAsia="SimSun" w:cs="SimSun"/>
          <w:sz w:val="24"/>
          <w:szCs w:val="24"/>
          <w:b/>
          <w:bCs/>
          <w:spacing w:val="-2"/>
        </w:rPr>
        <w:t>环境准入清单相符性</w:t>
      </w:r>
    </w:p>
    <w:p>
      <w:pPr>
        <w:ind w:left="10" w:firstLine="479"/>
        <w:spacing w:before="183" w:line="360" w:lineRule="auto"/>
        <w:jc w:val="both"/>
        <w:rPr>
          <w:rFonts w:ascii="SimSun" w:hAnsi="SimSun" w:eastAsia="SimSun" w:cs="SimSun"/>
          <w:sz w:val="24"/>
          <w:szCs w:val="24"/>
        </w:rPr>
      </w:pPr>
      <w:r>
        <w:rPr>
          <w:rFonts w:ascii="SimSun" w:hAnsi="SimSun" w:eastAsia="SimSun" w:cs="SimSun"/>
          <w:sz w:val="24"/>
          <w:szCs w:val="24"/>
          <w:spacing w:val="3"/>
        </w:rPr>
        <w:t>根据《锡林郭勒盟生态环境准入清单》中正镶白旗生态环境准入清</w:t>
      </w:r>
      <w:r>
        <w:rPr>
          <w:rFonts w:ascii="SimSun" w:hAnsi="SimSun" w:eastAsia="SimSun" w:cs="SimSun"/>
          <w:sz w:val="24"/>
          <w:szCs w:val="24"/>
          <w:spacing w:val="2"/>
        </w:rPr>
        <w:t>单，本项</w:t>
      </w:r>
      <w:r>
        <w:rPr>
          <w:rFonts w:ascii="SimSun" w:hAnsi="SimSun" w:eastAsia="SimSun" w:cs="SimSun"/>
          <w:sz w:val="24"/>
          <w:szCs w:val="24"/>
        </w:rPr>
        <w:t xml:space="preserve"> </w:t>
      </w:r>
      <w:r>
        <w:rPr>
          <w:rFonts w:ascii="SimSun" w:hAnsi="SimSun" w:eastAsia="SimSun" w:cs="SimSun"/>
          <w:sz w:val="24"/>
          <w:szCs w:val="24"/>
        </w:rPr>
        <w:t>目位于内蒙古锡林郭勒盟正镶白旗，采用“</w:t>
      </w:r>
      <w:r>
        <w:rPr>
          <w:rFonts w:ascii="SimSun" w:hAnsi="SimSun" w:eastAsia="SimSun" w:cs="SimSun"/>
          <w:sz w:val="24"/>
          <w:szCs w:val="24"/>
          <w:spacing w:val="-64"/>
        </w:rPr>
        <w:t xml:space="preserve"> </w:t>
      </w:r>
      <w:r>
        <w:rPr>
          <w:rFonts w:ascii="SimSun" w:hAnsi="SimSun" w:eastAsia="SimSun" w:cs="SimSun"/>
          <w:sz w:val="24"/>
          <w:szCs w:val="24"/>
        </w:rPr>
        <w:t>内蒙古自治区‘三线一单</w:t>
      </w:r>
      <w:r>
        <w:rPr>
          <w:rFonts w:ascii="SimSun" w:hAnsi="SimSun" w:eastAsia="SimSun" w:cs="SimSun"/>
          <w:sz w:val="24"/>
          <w:szCs w:val="24"/>
          <w:spacing w:val="-85"/>
        </w:rPr>
        <w:t xml:space="preserve"> </w:t>
      </w:r>
      <w:r>
        <w:rPr>
          <w:rFonts w:ascii="SimSun" w:hAnsi="SimSun" w:eastAsia="SimSun" w:cs="SimSun"/>
          <w:sz w:val="24"/>
          <w:szCs w:val="24"/>
        </w:rPr>
        <w:t>’公众端应 </w:t>
      </w:r>
      <w:r>
        <w:rPr>
          <w:rFonts w:ascii="SimSun" w:hAnsi="SimSun" w:eastAsia="SimSun" w:cs="SimSun"/>
          <w:sz w:val="24"/>
          <w:szCs w:val="24"/>
          <w:spacing w:val="-2"/>
        </w:rPr>
        <w:t>用平台</w:t>
      </w:r>
      <w:r>
        <w:rPr>
          <w:rFonts w:ascii="SimSun" w:hAnsi="SimSun" w:eastAsia="SimSun" w:cs="SimSun"/>
          <w:sz w:val="24"/>
          <w:szCs w:val="24"/>
          <w:spacing w:val="-77"/>
        </w:rPr>
        <w:t xml:space="preserve"> </w:t>
      </w:r>
      <w:r>
        <w:rPr>
          <w:rFonts w:ascii="SimSun" w:hAnsi="SimSun" w:eastAsia="SimSun" w:cs="SimSun"/>
          <w:sz w:val="24"/>
          <w:szCs w:val="24"/>
          <w:spacing w:val="-2"/>
        </w:rPr>
        <w:t>”导入厂址坐标后，查询结果显示，本项目</w:t>
      </w:r>
      <w:r>
        <w:rPr>
          <w:rFonts w:ascii="Times New Roman" w:hAnsi="Times New Roman" w:eastAsia="Times New Roman" w:cs="Times New Roman"/>
          <w:sz w:val="24"/>
          <w:szCs w:val="24"/>
          <w:spacing w:val="-2"/>
        </w:rPr>
        <w:t>2</w:t>
      </w:r>
      <w:r>
        <w:rPr>
          <w:rFonts w:ascii="SimSun" w:hAnsi="SimSun" w:eastAsia="SimSun" w:cs="SimSun"/>
          <w:sz w:val="24"/>
          <w:szCs w:val="24"/>
          <w:spacing w:val="-2"/>
        </w:rPr>
        <w:t>个厂区均位于“正镶白旗城镇</w:t>
      </w:r>
      <w:r>
        <w:rPr>
          <w:rFonts w:ascii="SimSun" w:hAnsi="SimSun" w:eastAsia="SimSun" w:cs="SimSun"/>
          <w:sz w:val="24"/>
          <w:szCs w:val="24"/>
        </w:rPr>
        <w:t xml:space="preserve"> </w:t>
      </w:r>
      <w:r>
        <w:rPr>
          <w:rFonts w:ascii="SimSun" w:hAnsi="SimSun" w:eastAsia="SimSun" w:cs="SimSun"/>
          <w:sz w:val="24"/>
          <w:szCs w:val="24"/>
          <w:spacing w:val="-7"/>
        </w:rPr>
        <w:t>开发边界</w:t>
      </w:r>
      <w:r>
        <w:rPr>
          <w:rFonts w:ascii="SimSun" w:hAnsi="SimSun" w:eastAsia="SimSun" w:cs="SimSun"/>
          <w:sz w:val="24"/>
          <w:szCs w:val="24"/>
          <w:spacing w:val="-88"/>
        </w:rPr>
        <w:t xml:space="preserve"> </w:t>
      </w:r>
      <w:r>
        <w:rPr>
          <w:rFonts w:ascii="SimSun" w:hAnsi="SimSun" w:eastAsia="SimSun" w:cs="SimSun"/>
          <w:sz w:val="24"/>
          <w:szCs w:val="24"/>
          <w:spacing w:val="-7"/>
        </w:rPr>
        <w:t>”（重点管控单元</w:t>
      </w:r>
      <w:r>
        <w:rPr>
          <w:rFonts w:ascii="SimSun" w:hAnsi="SimSun" w:eastAsia="SimSun" w:cs="SimSun"/>
          <w:sz w:val="24"/>
          <w:szCs w:val="24"/>
          <w:spacing w:val="-22"/>
        </w:rPr>
        <w:t>），</w:t>
      </w:r>
      <w:r>
        <w:rPr>
          <w:rFonts w:ascii="SimSun" w:hAnsi="SimSun" w:eastAsia="SimSun" w:cs="SimSun"/>
          <w:sz w:val="24"/>
          <w:szCs w:val="24"/>
          <w:spacing w:val="-7"/>
        </w:rPr>
        <w:t>编码为“</w:t>
      </w:r>
      <w:r>
        <w:rPr>
          <w:rFonts w:ascii="Times New Roman" w:hAnsi="Times New Roman" w:eastAsia="Times New Roman" w:cs="Times New Roman"/>
          <w:sz w:val="24"/>
          <w:szCs w:val="24"/>
          <w:spacing w:val="-7"/>
        </w:rPr>
        <w:t>ZH15252920001</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7"/>
        </w:rPr>
        <w:t>”，分区管控图见图</w:t>
      </w:r>
      <w:r>
        <w:rPr>
          <w:rFonts w:ascii="Times New Roman" w:hAnsi="Times New Roman" w:eastAsia="Times New Roman" w:cs="Times New Roman"/>
          <w:sz w:val="24"/>
          <w:szCs w:val="24"/>
          <w:spacing w:val="-7"/>
        </w:rPr>
        <w:t>1.4-5</w:t>
      </w:r>
      <w:r>
        <w:rPr>
          <w:rFonts w:ascii="SimSun" w:hAnsi="SimSun" w:eastAsia="SimSun" w:cs="SimSun"/>
          <w:sz w:val="24"/>
          <w:szCs w:val="24"/>
          <w:spacing w:val="-7"/>
        </w:rPr>
        <w:t>。</w:t>
      </w:r>
      <w:r>
        <w:rPr>
          <w:rFonts w:ascii="SimSun" w:hAnsi="SimSun" w:eastAsia="SimSun" w:cs="SimSun"/>
          <w:sz w:val="24"/>
          <w:szCs w:val="24"/>
        </w:rPr>
        <w:t xml:space="preserve"> </w:t>
      </w:r>
      <w:r>
        <w:rPr>
          <w:rFonts w:ascii="SimSun" w:hAnsi="SimSun" w:eastAsia="SimSun" w:cs="SimSun"/>
          <w:sz w:val="24"/>
          <w:szCs w:val="24"/>
          <w:spacing w:val="3"/>
        </w:rPr>
        <w:t>本项目建设满足内蒙古空间布局约束、污染物排</w:t>
      </w:r>
      <w:r>
        <w:rPr>
          <w:rFonts w:ascii="SimSun" w:hAnsi="SimSun" w:eastAsia="SimSun" w:cs="SimSun"/>
          <w:sz w:val="24"/>
          <w:szCs w:val="24"/>
          <w:spacing w:val="2"/>
        </w:rPr>
        <w:t>放管控、环境风险防控、资源利</w:t>
      </w:r>
      <w:r>
        <w:rPr>
          <w:rFonts w:ascii="SimSun" w:hAnsi="SimSun" w:eastAsia="SimSun" w:cs="SimSun"/>
          <w:sz w:val="24"/>
          <w:szCs w:val="24"/>
        </w:rPr>
        <w:t xml:space="preserve"> </w:t>
      </w:r>
      <w:r>
        <w:rPr>
          <w:rFonts w:ascii="SimSun" w:hAnsi="SimSun" w:eastAsia="SimSun" w:cs="SimSun"/>
          <w:sz w:val="24"/>
          <w:szCs w:val="24"/>
          <w:spacing w:val="-1"/>
        </w:rPr>
        <w:t>用效率要求，具体分析见表</w:t>
      </w:r>
      <w:r>
        <w:rPr>
          <w:rFonts w:ascii="Times New Roman" w:hAnsi="Times New Roman" w:eastAsia="Times New Roman" w:cs="Times New Roman"/>
          <w:sz w:val="24"/>
          <w:szCs w:val="24"/>
          <w:spacing w:val="-1"/>
        </w:rPr>
        <w:t>1.4-1</w:t>
      </w:r>
      <w:r>
        <w:rPr>
          <w:rFonts w:ascii="SimSun" w:hAnsi="SimSun" w:eastAsia="SimSun" w:cs="SimSun"/>
          <w:sz w:val="24"/>
          <w:szCs w:val="24"/>
          <w:spacing w:val="-1"/>
        </w:rPr>
        <w:t>。</w:t>
      </w:r>
    </w:p>
    <w:p>
      <w:pPr>
        <w:pStyle w:val="BodyText"/>
        <w:spacing w:line="277" w:lineRule="auto"/>
        <w:rPr/>
      </w:pPr>
      <w:r/>
    </w:p>
    <w:p>
      <w:pPr>
        <w:pStyle w:val="BodyText"/>
        <w:spacing w:line="277" w:lineRule="auto"/>
        <w:rPr/>
      </w:pPr>
      <w:r/>
    </w:p>
    <w:p>
      <w:pPr>
        <w:pStyle w:val="BodyText"/>
        <w:spacing w:line="278" w:lineRule="auto"/>
        <w:rPr/>
      </w:pPr>
      <w:r/>
    </w:p>
    <w:p>
      <w:pPr>
        <w:pStyle w:val="BodyText"/>
        <w:spacing w:line="278" w:lineRule="auto"/>
        <w:rPr/>
      </w:pPr>
      <w:r/>
    </w:p>
    <w:p>
      <w:pPr>
        <w:pStyle w:val="BodyText"/>
        <w:spacing w:line="278" w:lineRule="auto"/>
        <w:rPr/>
      </w:pPr>
      <w:r/>
    </w:p>
    <w:p>
      <w:pPr>
        <w:ind w:left="7"/>
        <w:spacing w:before="62" w:line="227" w:lineRule="auto"/>
        <w:rPr>
          <w:rFonts w:ascii="SimSun" w:hAnsi="SimSun" w:eastAsia="SimSun" w:cs="SimSun"/>
          <w:sz w:val="19"/>
          <w:szCs w:val="19"/>
        </w:rPr>
      </w:pPr>
      <w:r>
        <w:pict>
          <v:shape id="_x0000_s94" style="position:absolute;margin-left:159.33pt;margin-top:2.12843pt;mso-position-vertical-relative:text;mso-position-horizontal-relative:text;width:58.85pt;height:13.75pt;z-index:25169920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rPr>
                    <w:t>任公司    </w:t>
                  </w:r>
                  <w:r>
                    <w:rPr>
                      <w:rFonts w:ascii="Times New Roman" w:hAnsi="Times New Roman" w:eastAsia="Times New Roman" w:cs="Times New Roman"/>
                      <w:sz w:val="18"/>
                      <w:szCs w:val="18"/>
                      <w:position w:val="2"/>
                    </w:rPr>
                    <w:t>13</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1"/>
          <w:footerReference w:type="default" r:id="rId3"/>
          <w:pgSz w:w="11907" w:h="16840"/>
          <w:pgMar w:top="1567" w:right="1621" w:bottom="400" w:left="1701" w:header="1221" w:footer="0" w:gutter="0"/>
        </w:sectPr>
        <w:rPr>
          <w:rFonts w:ascii="SimSun" w:hAnsi="SimSun" w:eastAsia="SimSun" w:cs="SimSun"/>
          <w:sz w:val="19"/>
          <w:szCs w:val="19"/>
        </w:rPr>
      </w:pPr>
    </w:p>
    <w:p>
      <w:pPr>
        <w:spacing w:before="145" w:line="6012" w:lineRule="exact"/>
        <w:rPr/>
      </w:pPr>
      <w:r>
        <w:pict>
          <v:shape id="_x0000_s96" style="position:absolute;margin-left:85.05pt;margin-top:78.87pt;mso-position-vertical-relative:page;mso-position-horizontal-relative:page;width:425.25pt;height:0.75pt;z-index:251702272;" o:allowincell="f" fillcolor="#000000" filled="true" stroked="false" coordsize="8505,15" coordorigin="0,0" path="m,l8505,0l8505,14l0,14l0,0xe"/>
        </w:pict>
      </w:r>
      <w:r>
        <w:rPr>
          <w:position w:val="-120"/>
        </w:rPr>
        <w:drawing>
          <wp:inline distT="0" distB="0" distL="0" distR="0">
            <wp:extent cx="5399531" cy="3817620"/>
            <wp:effectExtent l="0" t="0" r="0" b="0"/>
            <wp:docPr id="14" name="IM 14"/>
            <wp:cNvGraphicFramePr/>
            <a:graphic>
              <a:graphicData uri="http://schemas.openxmlformats.org/drawingml/2006/picture">
                <pic:pic>
                  <pic:nvPicPr>
                    <pic:cNvPr id="14" name="IM 14"/>
                    <pic:cNvPicPr/>
                  </pic:nvPicPr>
                  <pic:blipFill>
                    <a:blip r:embed="rId31"/>
                    <a:stretch>
                      <a:fillRect/>
                    </a:stretch>
                  </pic:blipFill>
                  <pic:spPr>
                    <a:xfrm rot="0">
                      <a:off x="0" y="0"/>
                      <a:ext cx="5399531" cy="3817620"/>
                    </a:xfrm>
                    <a:prstGeom prst="rect">
                      <a:avLst/>
                    </a:prstGeom>
                  </pic:spPr>
                </pic:pic>
              </a:graphicData>
            </a:graphic>
          </wp:inline>
        </w:drawing>
      </w:r>
    </w:p>
    <w:p>
      <w:pPr>
        <w:ind w:left="2289"/>
        <w:spacing w:before="211" w:line="219" w:lineRule="auto"/>
        <w:rPr>
          <w:rFonts w:ascii="SimSun" w:hAnsi="SimSun" w:eastAsia="SimSun" w:cs="SimSun"/>
          <w:sz w:val="24"/>
          <w:szCs w:val="24"/>
        </w:rPr>
      </w:pPr>
      <w:r>
        <w:rPr>
          <w:rFonts w:ascii="SimSun" w:hAnsi="SimSun" w:eastAsia="SimSun" w:cs="SimSun"/>
          <w:sz w:val="24"/>
          <w:szCs w:val="24"/>
          <w:b/>
          <w:bCs/>
          <w:spacing w:val="-3"/>
        </w:rPr>
        <w:t>图</w:t>
      </w:r>
      <w:r>
        <w:rPr>
          <w:rFonts w:ascii="Times New Roman" w:hAnsi="Times New Roman" w:eastAsia="Times New Roman" w:cs="Times New Roman"/>
          <w:sz w:val="24"/>
          <w:szCs w:val="24"/>
          <w:b/>
          <w:bCs/>
          <w:spacing w:val="-3"/>
        </w:rPr>
        <w:t>1.4-5      </w:t>
      </w:r>
      <w:r>
        <w:rPr>
          <w:rFonts w:ascii="SimSun" w:hAnsi="SimSun" w:eastAsia="SimSun" w:cs="SimSun"/>
          <w:sz w:val="24"/>
          <w:szCs w:val="24"/>
          <w:b/>
          <w:bCs/>
          <w:spacing w:val="-3"/>
        </w:rPr>
        <w:t>锡林郭勒盟环境管控单元图</w:t>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ind w:right="1"/>
        <w:spacing w:before="61" w:line="227" w:lineRule="auto"/>
        <w:jc w:val="right"/>
        <w:rPr>
          <w:rFonts w:ascii="SimSun" w:hAnsi="SimSun" w:eastAsia="SimSun" w:cs="SimSun"/>
          <w:sz w:val="19"/>
          <w:szCs w:val="19"/>
        </w:rPr>
      </w:pPr>
      <w:r>
        <w:pict>
          <v:shape id="_x0000_s98" style="position:absolute;margin-left:208.162pt;margin-top:2.09294pt;mso-position-vertical-relative:text;mso-position-horizontal-relative:text;width:58.1pt;height:13.75pt;z-index:251701248;"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position w:val="2"/>
                    </w:rPr>
                    <w:t>14        </w:t>
                  </w:r>
                  <w:r>
                    <w:rPr>
                      <w:rFonts w:ascii="SimSun" w:hAnsi="SimSun" w:eastAsia="SimSun" w:cs="SimSun"/>
                      <w:sz w:val="19"/>
                      <w:szCs w:val="19"/>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2"/>
          <w:pgSz w:w="11907" w:h="16840"/>
          <w:pgMar w:top="1567" w:right="1700" w:bottom="400" w:left="1701" w:header="1221" w:footer="0" w:gutter="0"/>
        </w:sectPr>
        <w:rPr>
          <w:rFonts w:ascii="SimSun" w:hAnsi="SimSun" w:eastAsia="SimSun" w:cs="SimSun"/>
          <w:sz w:val="19"/>
          <w:szCs w:val="19"/>
        </w:rPr>
      </w:pPr>
    </w:p>
    <w:p>
      <w:pPr>
        <w:ind w:left="990"/>
        <w:spacing w:before="183" w:line="221" w:lineRule="auto"/>
        <w:rPr>
          <w:rFonts w:ascii="SimSun" w:hAnsi="SimSun" w:eastAsia="SimSun" w:cs="SimSun"/>
          <w:sz w:val="20"/>
          <w:szCs w:val="20"/>
        </w:rPr>
      </w:pPr>
      <w:r>
        <w:pict>
          <v:shape id="_x0000_s102" style="position:absolute;margin-left:85.05pt;margin-top:79.11pt;mso-position-vertical-relative:page;mso-position-horizontal-relative:page;width:671.95pt;height:0.75pt;z-index:251703296;" o:allowincell="f" fillcolor="#000000" filled="true" stroked="false" coordsize="13439,15" coordorigin="0,0" path="m,l13438,0l13438,14l0,14l0,0xe"/>
        </w:pict>
      </w:r>
      <w:r>
        <w:rPr>
          <w:rFonts w:ascii="SimSun" w:hAnsi="SimSun" w:eastAsia="SimSun" w:cs="SimSun"/>
          <w:sz w:val="20"/>
          <w:szCs w:val="20"/>
          <w:b/>
          <w:bCs/>
          <w:spacing w:val="7"/>
        </w:rPr>
        <w:t>表</w:t>
      </w:r>
      <w:r>
        <w:rPr>
          <w:rFonts w:ascii="Times New Roman" w:hAnsi="Times New Roman" w:eastAsia="Times New Roman" w:cs="Times New Roman"/>
          <w:sz w:val="20"/>
          <w:szCs w:val="20"/>
          <w:b/>
          <w:bCs/>
          <w:spacing w:val="7"/>
        </w:rPr>
        <w:t>1.4-1      </w:t>
      </w:r>
      <w:r>
        <w:rPr>
          <w:rFonts w:ascii="SimSun" w:hAnsi="SimSun" w:eastAsia="SimSun" w:cs="SimSun"/>
          <w:sz w:val="20"/>
          <w:szCs w:val="20"/>
          <w:b/>
          <w:bCs/>
          <w:spacing w:val="7"/>
        </w:rPr>
        <w:t>与内蒙古锡林郭勒盟正镶白旗管控要求分析（正镶白旗城镇开发边界</w:t>
      </w:r>
      <w:r>
        <w:rPr>
          <w:rFonts w:ascii="Times New Roman" w:hAnsi="Times New Roman" w:eastAsia="Times New Roman" w:cs="Times New Roman"/>
          <w:sz w:val="20"/>
          <w:szCs w:val="20"/>
          <w:b/>
          <w:bCs/>
          <w:spacing w:val="7"/>
        </w:rPr>
        <w:t>-</w:t>
      </w:r>
      <w:r>
        <w:rPr>
          <w:rFonts w:ascii="SimSun" w:hAnsi="SimSun" w:eastAsia="SimSun" w:cs="SimSun"/>
          <w:sz w:val="20"/>
          <w:szCs w:val="20"/>
          <w:b/>
          <w:bCs/>
          <w:spacing w:val="7"/>
        </w:rPr>
        <w:t>重点管控单元，编码为“</w:t>
      </w:r>
      <w:r>
        <w:rPr>
          <w:rFonts w:ascii="Times New Roman" w:hAnsi="Times New Roman" w:eastAsia="Times New Roman" w:cs="Times New Roman"/>
          <w:sz w:val="20"/>
          <w:szCs w:val="20"/>
          <w:b/>
          <w:bCs/>
        </w:rPr>
        <w:t>ZH</w:t>
      </w:r>
      <w:r>
        <w:rPr>
          <w:rFonts w:ascii="Times New Roman" w:hAnsi="Times New Roman" w:eastAsia="Times New Roman" w:cs="Times New Roman"/>
          <w:sz w:val="20"/>
          <w:szCs w:val="20"/>
          <w:b/>
          <w:bCs/>
          <w:spacing w:val="7"/>
        </w:rPr>
        <w:t>15252920001</w:t>
      </w:r>
      <w:r>
        <w:rPr>
          <w:rFonts w:ascii="Times New Roman" w:hAnsi="Times New Roman" w:eastAsia="Times New Roman" w:cs="Times New Roman"/>
          <w:sz w:val="20"/>
          <w:szCs w:val="20"/>
          <w:b/>
          <w:bCs/>
          <w:spacing w:val="-15"/>
        </w:rPr>
        <w:t xml:space="preserve"> </w:t>
      </w:r>
      <w:r>
        <w:rPr>
          <w:rFonts w:ascii="SimSun" w:hAnsi="SimSun" w:eastAsia="SimSun" w:cs="SimSun"/>
          <w:sz w:val="20"/>
          <w:szCs w:val="20"/>
          <w:b/>
          <w:bCs/>
          <w:spacing w:val="7"/>
        </w:rPr>
        <w:t>”）</w:t>
      </w:r>
    </w:p>
    <w:tbl>
      <w:tblPr>
        <w:tblStyle w:val="TableNormal"/>
        <w:tblW w:w="1351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25"/>
        <w:gridCol w:w="8320"/>
        <w:gridCol w:w="3494"/>
        <w:gridCol w:w="780"/>
      </w:tblGrid>
      <w:tr>
        <w:trPr>
          <w:trHeight w:val="282" w:hRule="atLeast"/>
        </w:trPr>
        <w:tc>
          <w:tcPr>
            <w:tcW w:w="925" w:type="dxa"/>
            <w:vAlign w:val="top"/>
          </w:tcPr>
          <w:p>
            <w:pPr>
              <w:pStyle w:val="TableText"/>
              <w:ind w:left="261"/>
              <w:spacing w:before="35" w:line="218" w:lineRule="auto"/>
              <w:rPr/>
            </w:pPr>
            <w:r>
              <w:rPr>
                <w:spacing w:val="3"/>
              </w:rPr>
              <w:t>类别</w:t>
            </w:r>
          </w:p>
        </w:tc>
        <w:tc>
          <w:tcPr>
            <w:tcW w:w="8320" w:type="dxa"/>
            <w:vAlign w:val="top"/>
          </w:tcPr>
          <w:p>
            <w:pPr>
              <w:pStyle w:val="TableText"/>
              <w:ind w:left="3757"/>
              <w:spacing w:before="35" w:line="218" w:lineRule="auto"/>
              <w:rPr/>
            </w:pPr>
            <w:r>
              <w:rPr>
                <w:spacing w:val="3"/>
              </w:rPr>
              <w:t>管控要求</w:t>
            </w:r>
          </w:p>
        </w:tc>
        <w:tc>
          <w:tcPr>
            <w:tcW w:w="3494" w:type="dxa"/>
            <w:vAlign w:val="top"/>
          </w:tcPr>
          <w:p>
            <w:pPr>
              <w:pStyle w:val="TableText"/>
              <w:ind w:left="1238"/>
              <w:spacing w:before="35" w:line="218" w:lineRule="auto"/>
              <w:rPr/>
            </w:pPr>
            <w:r>
              <w:rPr>
                <w:spacing w:val="4"/>
              </w:rPr>
              <w:t>本项目情况</w:t>
            </w:r>
          </w:p>
        </w:tc>
        <w:tc>
          <w:tcPr>
            <w:tcW w:w="780" w:type="dxa"/>
            <w:vAlign w:val="top"/>
          </w:tcPr>
          <w:p>
            <w:pPr>
              <w:pStyle w:val="TableText"/>
              <w:ind w:left="87"/>
              <w:spacing w:before="35" w:line="218" w:lineRule="auto"/>
              <w:rPr/>
            </w:pPr>
            <w:r>
              <w:rPr>
                <w:spacing w:val="3"/>
              </w:rPr>
              <w:t>符合性</w:t>
            </w:r>
          </w:p>
        </w:tc>
      </w:tr>
      <w:tr>
        <w:trPr>
          <w:trHeight w:val="277" w:hRule="atLeast"/>
        </w:trPr>
        <w:tc>
          <w:tcPr>
            <w:tcW w:w="13519" w:type="dxa"/>
            <w:vAlign w:val="top"/>
            <w:gridSpan w:val="4"/>
          </w:tcPr>
          <w:p>
            <w:pPr>
              <w:pStyle w:val="TableText"/>
              <w:ind w:left="17"/>
              <w:spacing w:before="31" w:line="217" w:lineRule="auto"/>
              <w:rPr/>
            </w:pPr>
            <w:r>
              <w:rPr>
                <w:b/>
                <w:bCs/>
                <w:spacing w:val="6"/>
              </w:rPr>
              <w:t>一、正镶白旗城镇开发边界（重点管控单元</w:t>
            </w:r>
            <w:r>
              <w:rPr>
                <w:b/>
                <w:bCs/>
                <w:spacing w:val="10"/>
              </w:rPr>
              <w:t>），</w:t>
            </w:r>
            <w:r>
              <w:rPr>
                <w:b/>
                <w:bCs/>
                <w:spacing w:val="6"/>
              </w:rPr>
              <w:t>编码为“</w:t>
            </w:r>
            <w:r>
              <w:rPr>
                <w:rFonts w:ascii="Times New Roman" w:hAnsi="Times New Roman" w:eastAsia="Times New Roman" w:cs="Times New Roman"/>
                <w:b/>
                <w:bCs/>
              </w:rPr>
              <w:t>ZH</w:t>
            </w:r>
            <w:r>
              <w:rPr>
                <w:rFonts w:ascii="Times New Roman" w:hAnsi="Times New Roman" w:eastAsia="Times New Roman" w:cs="Times New Roman"/>
                <w:b/>
                <w:bCs/>
                <w:spacing w:val="6"/>
              </w:rPr>
              <w:t>15252920001</w:t>
            </w:r>
            <w:r>
              <w:rPr>
                <w:rFonts w:ascii="Times New Roman" w:hAnsi="Times New Roman" w:eastAsia="Times New Roman" w:cs="Times New Roman"/>
                <w:b/>
                <w:bCs/>
                <w:spacing w:val="-28"/>
              </w:rPr>
              <w:t xml:space="preserve"> </w:t>
            </w:r>
            <w:r>
              <w:rPr>
                <w:b/>
                <w:bCs/>
                <w:spacing w:val="6"/>
              </w:rPr>
              <w:t>”</w:t>
            </w:r>
          </w:p>
        </w:tc>
      </w:tr>
      <w:tr>
        <w:trPr>
          <w:trHeight w:val="7629" w:hRule="atLeast"/>
        </w:trPr>
        <w:tc>
          <w:tcPr>
            <w:tcW w:w="925" w:type="dxa"/>
            <w:vAlign w:val="top"/>
          </w:tcPr>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pStyle w:val="TableText"/>
              <w:ind w:left="61"/>
              <w:spacing w:before="65" w:line="227" w:lineRule="auto"/>
              <w:rPr/>
            </w:pPr>
            <w:r>
              <w:rPr>
                <w:spacing w:val="2"/>
              </w:rPr>
              <w:t>空间布局</w:t>
            </w:r>
          </w:p>
          <w:p>
            <w:pPr>
              <w:pStyle w:val="TableText"/>
              <w:ind w:left="266"/>
              <w:spacing w:before="24" w:line="228" w:lineRule="auto"/>
              <w:rPr/>
            </w:pPr>
            <w:r>
              <w:rPr>
                <w:spacing w:val="1"/>
              </w:rPr>
              <w:t>约束</w:t>
            </w:r>
          </w:p>
        </w:tc>
        <w:tc>
          <w:tcPr>
            <w:tcW w:w="8320" w:type="dxa"/>
            <w:vAlign w:val="top"/>
          </w:tcPr>
          <w:p>
            <w:pPr>
              <w:pStyle w:val="TableText"/>
              <w:ind w:left="18"/>
              <w:spacing w:before="33" w:line="227" w:lineRule="auto"/>
              <w:rPr/>
            </w:pPr>
            <w:r>
              <w:rPr>
                <w:spacing w:val="5"/>
              </w:rPr>
              <w:t>（</w:t>
            </w:r>
            <w:r>
              <w:rPr>
                <w:rFonts w:ascii="Times New Roman" w:hAnsi="Times New Roman" w:eastAsia="Times New Roman" w:cs="Times New Roman"/>
                <w:spacing w:val="5"/>
              </w:rPr>
              <w:t>1</w:t>
            </w:r>
            <w:r>
              <w:rPr>
                <w:spacing w:val="5"/>
              </w:rPr>
              <w:t>）执行锡林郭勒盟总体准入要求第一条关于空间布局约束的准入要求，如下：</w:t>
            </w:r>
          </w:p>
          <w:p>
            <w:pPr>
              <w:pStyle w:val="TableText"/>
              <w:ind w:left="8" w:hanging="1"/>
              <w:spacing w:before="25" w:line="239" w:lineRule="auto"/>
              <w:rPr/>
            </w:pPr>
            <w:r>
              <w:rPr>
                <w:spacing w:val="8"/>
              </w:rPr>
              <w:t>①禁止布局现有化工园区以外新的化工园区。禁止在海河流</w:t>
            </w:r>
            <w:r>
              <w:rPr>
                <w:spacing w:val="7"/>
              </w:rPr>
              <w:t>域内蒙古锡林郭勒盟段及主要支</w:t>
            </w:r>
            <w:r>
              <w:rPr/>
              <w:t xml:space="preserve"> </w:t>
            </w:r>
            <w:r>
              <w:rPr>
                <w:spacing w:val="3"/>
              </w:rPr>
              <w:t>流岸线</w:t>
            </w:r>
            <w:r>
              <w:rPr>
                <w:spacing w:val="-21"/>
              </w:rPr>
              <w:t xml:space="preserve"> </w:t>
            </w:r>
            <w:r>
              <w:rPr>
                <w:rFonts w:ascii="Times New Roman" w:hAnsi="Times New Roman" w:eastAsia="Times New Roman" w:cs="Times New Roman"/>
                <w:spacing w:val="3"/>
              </w:rPr>
              <w:t>1</w:t>
            </w:r>
            <w:r>
              <w:rPr>
                <w:rFonts w:ascii="Times New Roman" w:hAnsi="Times New Roman" w:eastAsia="Times New Roman" w:cs="Times New Roman"/>
                <w:spacing w:val="16"/>
              </w:rPr>
              <w:t xml:space="preserve"> </w:t>
            </w:r>
            <w:r>
              <w:rPr>
                <w:spacing w:val="3"/>
              </w:rPr>
              <w:t>公里范围内扩大现有园区的面积。</w:t>
            </w:r>
          </w:p>
          <w:p>
            <w:pPr>
              <w:pStyle w:val="TableText"/>
              <w:ind w:left="6"/>
              <w:spacing w:before="26" w:line="239" w:lineRule="auto"/>
              <w:rPr/>
            </w:pPr>
            <w:r>
              <w:rPr>
                <w:spacing w:val="8"/>
              </w:rPr>
              <w:t>②新（改、扩）建化工项目必须符合规划环评及审查意见相关</w:t>
            </w:r>
            <w:r>
              <w:rPr>
                <w:spacing w:val="7"/>
              </w:rPr>
              <w:t>要求，必须与居民区或城市规</w:t>
            </w:r>
            <w:r>
              <w:rPr/>
              <w:t xml:space="preserve"> </w:t>
            </w:r>
            <w:r>
              <w:rPr>
                <w:spacing w:val="5"/>
              </w:rPr>
              <w:t>划的居住用地保持足够的缓冲距离。</w:t>
            </w:r>
          </w:p>
          <w:p>
            <w:pPr>
              <w:pStyle w:val="TableText"/>
              <w:ind w:left="9" w:right="1" w:hanging="3"/>
              <w:spacing w:before="27" w:line="239" w:lineRule="auto"/>
              <w:rPr/>
            </w:pPr>
            <w:r>
              <w:rPr>
                <w:spacing w:val="8"/>
              </w:rPr>
              <w:t>③严禁水泥、电解铝、平板玻璃等行业新增产能，对确有必</w:t>
            </w:r>
            <w:r>
              <w:rPr>
                <w:spacing w:val="7"/>
              </w:rPr>
              <w:t>要新建的项目实行等量或减量置</w:t>
            </w:r>
            <w:r>
              <w:rPr/>
              <w:t xml:space="preserve"> </w:t>
            </w:r>
            <w:r>
              <w:rPr>
                <w:spacing w:val="-1"/>
              </w:rPr>
              <w:t>换。</w:t>
            </w:r>
          </w:p>
          <w:p>
            <w:pPr>
              <w:pStyle w:val="TableText"/>
              <w:ind w:left="7" w:hanging="1"/>
              <w:spacing w:before="24" w:line="244" w:lineRule="auto"/>
              <w:rPr/>
            </w:pPr>
            <w:r>
              <w:rPr>
                <w:spacing w:val="4"/>
              </w:rPr>
              <w:t>④全盟各旗县市（区）及以上城市建成区基本淘汰每小时</w:t>
            </w:r>
            <w:r>
              <w:rPr>
                <w:spacing w:val="-11"/>
              </w:rPr>
              <w:t xml:space="preserve"> </w:t>
            </w:r>
            <w:r>
              <w:rPr>
                <w:rFonts w:ascii="Times New Roman" w:hAnsi="Times New Roman" w:eastAsia="Times New Roman" w:cs="Times New Roman"/>
                <w:spacing w:val="4"/>
              </w:rPr>
              <w:t>10 </w:t>
            </w:r>
            <w:r>
              <w:rPr>
                <w:spacing w:val="4"/>
              </w:rPr>
              <w:t>蒸吨及以下燃煤锅炉及茶浴炉、</w:t>
            </w:r>
            <w:r>
              <w:rPr/>
              <w:t xml:space="preserve"> </w:t>
            </w:r>
            <w:r>
              <w:rPr>
                <w:spacing w:val="5"/>
              </w:rPr>
              <w:t>经营性炉灶、储粮烘干设备等燃煤设施，原则上不再新建每小时</w:t>
            </w:r>
            <w:r>
              <w:rPr>
                <w:spacing w:val="-42"/>
              </w:rPr>
              <w:t xml:space="preserve"> </w:t>
            </w:r>
            <w:r>
              <w:rPr>
                <w:rFonts w:ascii="Times New Roman" w:hAnsi="Times New Roman" w:eastAsia="Times New Roman" w:cs="Times New Roman"/>
                <w:spacing w:val="5"/>
              </w:rPr>
              <w:t>3</w:t>
            </w:r>
            <w:r>
              <w:rPr>
                <w:rFonts w:ascii="Times New Roman" w:hAnsi="Times New Roman" w:eastAsia="Times New Roman" w:cs="Times New Roman"/>
                <w:spacing w:val="4"/>
              </w:rPr>
              <w:t>5 </w:t>
            </w:r>
            <w:r>
              <w:rPr>
                <w:spacing w:val="4"/>
              </w:rPr>
              <w:t>蒸吨以下的燃煤锅炉，其</w:t>
            </w:r>
            <w:r>
              <w:rPr/>
              <w:t xml:space="preserve"> </w:t>
            </w:r>
            <w:r>
              <w:rPr>
                <w:spacing w:val="4"/>
              </w:rPr>
              <w:t>他地区原则上不再新建每小时</w:t>
            </w:r>
            <w:r>
              <w:rPr>
                <w:spacing w:val="-19"/>
              </w:rPr>
              <w:t xml:space="preserve"> </w:t>
            </w:r>
            <w:r>
              <w:rPr>
                <w:rFonts w:ascii="Times New Roman" w:hAnsi="Times New Roman" w:eastAsia="Times New Roman" w:cs="Times New Roman"/>
                <w:spacing w:val="4"/>
              </w:rPr>
              <w:t>10 </w:t>
            </w:r>
            <w:r>
              <w:rPr>
                <w:spacing w:val="4"/>
              </w:rPr>
              <w:t>蒸吨以下的燃煤锅炉。</w:t>
            </w:r>
          </w:p>
          <w:p>
            <w:pPr>
              <w:pStyle w:val="TableText"/>
              <w:ind w:left="6"/>
              <w:spacing w:before="25" w:line="225" w:lineRule="auto"/>
              <w:rPr/>
            </w:pPr>
            <w:r>
              <w:rPr>
                <w:spacing w:val="5"/>
              </w:rPr>
              <w:t>⑤禁止在城市主导风向上风向新建涉气重污染项目。</w:t>
            </w:r>
          </w:p>
          <w:p>
            <w:pPr>
              <w:pStyle w:val="TableText"/>
              <w:ind w:left="7" w:hanging="1"/>
              <w:spacing w:before="31" w:line="243" w:lineRule="auto"/>
              <w:rPr/>
            </w:pPr>
            <w:r>
              <w:rPr>
                <w:spacing w:val="6"/>
              </w:rPr>
              <w:t>⑥重大项目原则上布局在优化开发区和重点开发区，并符合城乡规划和土地利用总体规划。</w:t>
            </w:r>
            <w:r>
              <w:rPr>
                <w:spacing w:val="18"/>
              </w:rPr>
              <w:t xml:space="preserve"> </w:t>
            </w:r>
            <w:r>
              <w:rPr>
                <w:spacing w:val="3"/>
              </w:rPr>
              <w:t>推进企业向工业集聚区集中，并实施工业集聚区生态</w:t>
            </w:r>
            <w:r>
              <w:rPr>
                <w:spacing w:val="2"/>
              </w:rPr>
              <w:t>化改造。严禁地下水超采区新建高耗水、</w:t>
            </w:r>
            <w:r>
              <w:rPr/>
              <w:t xml:space="preserve"> </w:t>
            </w:r>
            <w:r>
              <w:rPr>
                <w:spacing w:val="4"/>
              </w:rPr>
              <w:t>高污染项目，已建项目要采用先进节水技术，提高用水</w:t>
            </w:r>
            <w:r>
              <w:rPr>
                <w:spacing w:val="3"/>
              </w:rPr>
              <w:t>水平。</w:t>
            </w:r>
          </w:p>
          <w:p>
            <w:pPr>
              <w:pStyle w:val="TableText"/>
              <w:ind w:left="13" w:hanging="7"/>
              <w:spacing w:before="25"/>
              <w:rPr/>
            </w:pPr>
            <w:r>
              <w:rPr>
                <w:spacing w:val="7"/>
              </w:rPr>
              <w:t>⑦新建、改扩建《管控目录》中的“两高</w:t>
            </w:r>
            <w:r>
              <w:rPr>
                <w:spacing w:val="-73"/>
              </w:rPr>
              <w:t xml:space="preserve"> </w:t>
            </w:r>
            <w:r>
              <w:rPr>
                <w:spacing w:val="7"/>
              </w:rPr>
              <w:t>”项目，项目选址必须进园区，工艺技术装备须达</w:t>
            </w:r>
            <w:r>
              <w:rPr/>
              <w:t xml:space="preserve"> </w:t>
            </w:r>
            <w:r>
              <w:rPr>
                <w:spacing w:val="4"/>
              </w:rPr>
              <w:t>到同行业先进水平，符合新增产能管控。</w:t>
            </w:r>
          </w:p>
          <w:p>
            <w:pPr>
              <w:pStyle w:val="TableText"/>
              <w:ind w:left="24" w:right="1" w:hanging="18"/>
              <w:spacing w:before="24" w:line="239" w:lineRule="auto"/>
              <w:rPr/>
            </w:pPr>
            <w:r>
              <w:rPr>
                <w:spacing w:val="8"/>
              </w:rPr>
              <w:t>⑧禁止在燃气管网和集中供热管网覆盖的区域新建、改建、</w:t>
            </w:r>
            <w:r>
              <w:rPr>
                <w:spacing w:val="7"/>
              </w:rPr>
              <w:t>扩建分散燃烧煤炭、重油、渣油</w:t>
            </w:r>
            <w:r>
              <w:rPr/>
              <w:t xml:space="preserve"> </w:t>
            </w:r>
            <w:r>
              <w:rPr>
                <w:spacing w:val="5"/>
              </w:rPr>
              <w:t>的集中供热设施；已建成的不能达标排放的集中供热设施应当在规定的期限内拆除。</w:t>
            </w:r>
          </w:p>
          <w:p>
            <w:pPr>
              <w:pStyle w:val="TableText"/>
              <w:ind w:left="10" w:right="1" w:hanging="4"/>
              <w:spacing w:before="29" w:line="239" w:lineRule="auto"/>
              <w:rPr/>
            </w:pPr>
            <w:r>
              <w:rPr>
                <w:spacing w:val="8"/>
              </w:rPr>
              <w:t>⑨禁止在自然保护区、饮用水水源保护区、风景名胜区等敏</w:t>
            </w:r>
            <w:r>
              <w:rPr>
                <w:spacing w:val="7"/>
              </w:rPr>
              <w:t>感区域内新建、扩建、改建工业</w:t>
            </w:r>
            <w:r>
              <w:rPr/>
              <w:t xml:space="preserve"> </w:t>
            </w:r>
            <w:r>
              <w:rPr>
                <w:spacing w:val="1"/>
              </w:rPr>
              <w:t>炉窑。</w:t>
            </w:r>
          </w:p>
          <w:p>
            <w:pPr>
              <w:pStyle w:val="TableText"/>
              <w:ind w:left="7" w:hanging="1"/>
              <w:spacing w:before="26"/>
              <w:rPr/>
            </w:pPr>
            <w:r>
              <w:rPr>
                <w:spacing w:val="3"/>
              </w:rPr>
              <w:t>⑩禁止在河湖管理范围内向河湖排放、倾倒、处置油类、</w:t>
            </w:r>
            <w:r>
              <w:rPr>
                <w:spacing w:val="2"/>
              </w:rPr>
              <w:t>酸液、碱液或者剧毒废液污染物等；</w:t>
            </w:r>
            <w:r>
              <w:rPr/>
              <w:t xml:space="preserve"> </w:t>
            </w:r>
            <w:r>
              <w:rPr>
                <w:spacing w:val="3"/>
              </w:rPr>
              <w:t>禁止新建、改建、扩建围堤、阻水渠道、阻水道路；</w:t>
            </w:r>
            <w:r>
              <w:rPr>
                <w:spacing w:val="2"/>
              </w:rPr>
              <w:t>禁止弃置、倾倒、堆放、掩埋固体废物。</w:t>
            </w:r>
          </w:p>
          <w:p>
            <w:pPr>
              <w:pStyle w:val="TableText"/>
              <w:ind w:left="8" w:right="1" w:hanging="4"/>
              <w:spacing w:before="24" w:line="239" w:lineRule="auto"/>
              <w:rPr/>
            </w:pPr>
            <w:r>
              <w:rPr>
                <w:rFonts w:ascii="MS PGothic" w:hAnsi="MS PGothic" w:eastAsia="MS PGothic" w:cs="MS PGothic"/>
                <w:spacing w:val="8"/>
              </w:rPr>
              <w:t>⑪</w:t>
            </w:r>
            <w:r>
              <w:rPr>
                <w:spacing w:val="8"/>
              </w:rPr>
              <w:t>禁止在崩塌、滑坡危险区和泥石流易发区从事取土、挖砂、</w:t>
            </w:r>
            <w:r>
              <w:rPr>
                <w:spacing w:val="7"/>
              </w:rPr>
              <w:t>采石等可能造成水土流失的活</w:t>
            </w:r>
            <w:r>
              <w:rPr/>
              <w:t xml:space="preserve"> </w:t>
            </w:r>
            <w:r>
              <w:rPr>
                <w:spacing w:val="5"/>
              </w:rPr>
              <w:t>动。永久基本农田集中区域不得新建可能造成土壤污染的建设项目。</w:t>
            </w:r>
          </w:p>
          <w:p>
            <w:pPr>
              <w:pStyle w:val="TableText"/>
              <w:ind w:left="8" w:hanging="4"/>
              <w:spacing w:before="28" w:line="239" w:lineRule="auto"/>
              <w:rPr/>
            </w:pPr>
            <w:r>
              <w:rPr>
                <w:rFonts w:ascii="MS PGothic" w:hAnsi="MS PGothic" w:eastAsia="MS PGothic" w:cs="MS PGothic"/>
                <w:spacing w:val="7"/>
              </w:rPr>
              <w:t>⑫</w:t>
            </w:r>
            <w:r>
              <w:rPr>
                <w:spacing w:val="7"/>
              </w:rPr>
              <w:t>在饮用水水源准保护区内，禁止下列行为</w:t>
            </w:r>
            <w:r>
              <w:rPr>
                <w:spacing w:val="-5"/>
              </w:rPr>
              <w:t>：（</w:t>
            </w:r>
            <w:r>
              <w:rPr>
                <w:spacing w:val="7"/>
              </w:rPr>
              <w:t>一）新建、扩建化工、生物发酵、电镀、皮</w:t>
            </w:r>
            <w:r>
              <w:rPr>
                <w:spacing w:val="1"/>
              </w:rPr>
              <w:t xml:space="preserve"> </w:t>
            </w:r>
            <w:r>
              <w:rPr>
                <w:spacing w:val="3"/>
              </w:rPr>
              <w:t>革、冶炼、放射性、炼油、炼焦以及其他严重污染水</w:t>
            </w:r>
            <w:r>
              <w:rPr>
                <w:spacing w:val="2"/>
              </w:rPr>
              <w:t>体的建设项目，改建增加排污量的项目；</w:t>
            </w:r>
          </w:p>
          <w:p>
            <w:pPr>
              <w:pStyle w:val="TableText"/>
              <w:ind w:left="8" w:firstLine="10"/>
              <w:spacing w:before="27" w:line="233" w:lineRule="auto"/>
              <w:rPr/>
            </w:pPr>
            <w:r>
              <w:rPr>
                <w:spacing w:val="8"/>
              </w:rPr>
              <w:t>（二）进行可能严重影响饮用水水源水质和水量的矿产勘查、采选等活动</w:t>
            </w:r>
            <w:r>
              <w:rPr>
                <w:spacing w:val="-5"/>
              </w:rPr>
              <w:t>；（</w:t>
            </w:r>
            <w:r>
              <w:rPr>
                <w:spacing w:val="8"/>
              </w:rPr>
              <w:t>三）倾倒、堆</w:t>
            </w:r>
            <w:r>
              <w:rPr>
                <w:spacing w:val="1"/>
              </w:rPr>
              <w:t xml:space="preserve"> </w:t>
            </w:r>
            <w:r>
              <w:rPr>
                <w:spacing w:val="8"/>
              </w:rPr>
              <w:t>放工业废渣、垃圾、粪便以及其他废弃物</w:t>
            </w:r>
            <w:r>
              <w:rPr/>
              <w:t>；（</w:t>
            </w:r>
            <w:r>
              <w:rPr>
                <w:spacing w:val="8"/>
              </w:rPr>
              <w:t>四）破坏水源涵养林、护岸林以及水源保护相</w:t>
            </w:r>
          </w:p>
        </w:tc>
        <w:tc>
          <w:tcPr>
            <w:tcW w:w="3494" w:type="dxa"/>
            <w:vAlign w:val="top"/>
          </w:tcPr>
          <w:p>
            <w:pPr>
              <w:pStyle w:val="TableText"/>
              <w:ind w:left="10" w:firstLine="10"/>
              <w:spacing w:before="33" w:line="243" w:lineRule="auto"/>
              <w:rPr/>
            </w:pPr>
            <w:r>
              <w:rPr>
                <w:spacing w:val="9"/>
              </w:rPr>
              <w:t>（</w:t>
            </w:r>
            <w:r>
              <w:rPr>
                <w:rFonts w:ascii="Times New Roman" w:hAnsi="Times New Roman" w:eastAsia="Times New Roman" w:cs="Times New Roman"/>
                <w:spacing w:val="9"/>
              </w:rPr>
              <w:t>1</w:t>
            </w:r>
            <w:r>
              <w:rPr>
                <w:spacing w:val="9"/>
              </w:rPr>
              <w:t>）项目建设符合锡林郭勒盟总体准</w:t>
            </w:r>
            <w:r>
              <w:rPr>
                <w:spacing w:val="13"/>
              </w:rPr>
              <w:t xml:space="preserve"> </w:t>
            </w:r>
            <w:r>
              <w:rPr>
                <w:spacing w:val="17"/>
              </w:rPr>
              <w:t>入要求第一条关于空间布局约束的准</w:t>
            </w:r>
            <w:r>
              <w:rPr>
                <w:spacing w:val="5"/>
              </w:rPr>
              <w:t xml:space="preserve"> </w:t>
            </w:r>
            <w:r>
              <w:rPr>
                <w:spacing w:val="4"/>
              </w:rPr>
              <w:t>入要求，详细分析如下：</w:t>
            </w:r>
          </w:p>
          <w:p>
            <w:pPr>
              <w:pStyle w:val="TableText"/>
              <w:ind w:left="10"/>
              <w:spacing w:before="26" w:line="225" w:lineRule="auto"/>
              <w:rPr/>
            </w:pPr>
            <w:r>
              <w:rPr>
                <w:spacing w:val="5"/>
              </w:rPr>
              <w:t>①不属于化工园区；</w:t>
            </w:r>
          </w:p>
          <w:p>
            <w:pPr>
              <w:pStyle w:val="TableText"/>
              <w:ind w:left="9"/>
              <w:spacing w:before="27" w:line="225" w:lineRule="auto"/>
              <w:rPr/>
            </w:pPr>
            <w:r>
              <w:rPr>
                <w:spacing w:val="5"/>
              </w:rPr>
              <w:t>②不属于化工项目；</w:t>
            </w:r>
          </w:p>
          <w:p>
            <w:pPr>
              <w:pStyle w:val="TableText"/>
              <w:ind w:left="11" w:right="3" w:hanging="2"/>
              <w:spacing w:before="29" w:line="239" w:lineRule="auto"/>
              <w:rPr/>
            </w:pPr>
            <w:r>
              <w:rPr>
                <w:spacing w:val="4"/>
              </w:rPr>
              <w:t>③不属于水泥、电解铝、平板玻璃等限</w:t>
            </w:r>
            <w:r>
              <w:rPr>
                <w:spacing w:val="7"/>
              </w:rPr>
              <w:t xml:space="preserve"> </w:t>
            </w:r>
            <w:r>
              <w:rPr>
                <w:spacing w:val="6"/>
              </w:rPr>
              <w:t>制产能的行业；</w:t>
            </w:r>
          </w:p>
          <w:p>
            <w:pPr>
              <w:pStyle w:val="TableText"/>
              <w:ind w:left="12" w:right="90" w:hanging="3"/>
              <w:spacing w:before="26" w:line="239" w:lineRule="auto"/>
              <w:rPr/>
            </w:pPr>
            <w:r>
              <w:rPr>
                <w:spacing w:val="1"/>
              </w:rPr>
              <w:t>④新建设</w:t>
            </w:r>
            <w:r>
              <w:rPr>
                <w:spacing w:val="-10"/>
              </w:rPr>
              <w:t xml:space="preserve"> </w:t>
            </w:r>
            <w:r>
              <w:rPr>
                <w:rFonts w:ascii="Times New Roman" w:hAnsi="Times New Roman" w:eastAsia="Times New Roman" w:cs="Times New Roman"/>
                <w:spacing w:val="1"/>
              </w:rPr>
              <w:t>1</w:t>
            </w:r>
            <w:r>
              <w:rPr>
                <w:rFonts w:ascii="Times New Roman" w:hAnsi="Times New Roman" w:eastAsia="Times New Roman" w:cs="Times New Roman"/>
                <w:spacing w:val="29"/>
              </w:rPr>
              <w:t xml:space="preserve"> </w:t>
            </w:r>
            <w:r>
              <w:rPr>
                <w:spacing w:val="1"/>
              </w:rPr>
              <w:t>台</w:t>
            </w:r>
            <w:r>
              <w:rPr>
                <w:spacing w:val="-44"/>
              </w:rPr>
              <w:t xml:space="preserve"> </w:t>
            </w:r>
            <w:r>
              <w:rPr>
                <w:rFonts w:ascii="Times New Roman" w:hAnsi="Times New Roman" w:eastAsia="Times New Roman" w:cs="Times New Roman"/>
                <w:spacing w:val="1"/>
              </w:rPr>
              <w:t>4t/h</w:t>
            </w:r>
            <w:r>
              <w:rPr>
                <w:rFonts w:ascii="Times New Roman" w:hAnsi="Times New Roman" w:eastAsia="Times New Roman" w:cs="Times New Roman"/>
                <w:spacing w:val="16"/>
              </w:rPr>
              <w:t xml:space="preserve"> </w:t>
            </w:r>
            <w:r>
              <w:rPr>
                <w:spacing w:val="1"/>
              </w:rPr>
              <w:t>沼气锅炉</w:t>
            </w:r>
            <w:r>
              <w:rPr>
                <w:rFonts w:ascii="Times New Roman" w:hAnsi="Times New Roman" w:eastAsia="Times New Roman" w:cs="Times New Roman"/>
                <w:spacing w:val="1"/>
              </w:rPr>
              <w:t>+1</w:t>
            </w:r>
            <w:r>
              <w:rPr>
                <w:rFonts w:ascii="Times New Roman" w:hAnsi="Times New Roman" w:eastAsia="Times New Roman" w:cs="Times New Roman"/>
                <w:spacing w:val="28"/>
                <w:w w:val="101"/>
              </w:rPr>
              <w:t xml:space="preserve"> </w:t>
            </w:r>
            <w:r>
              <w:rPr>
                <w:spacing w:val="1"/>
              </w:rPr>
              <w:t>台</w:t>
            </w:r>
            <w:r>
              <w:rPr>
                <w:spacing w:val="-39"/>
              </w:rPr>
              <w:t xml:space="preserve"> </w:t>
            </w:r>
            <w:r>
              <w:rPr>
                <w:rFonts w:ascii="Times New Roman" w:hAnsi="Times New Roman" w:eastAsia="Times New Roman" w:cs="Times New Roman"/>
                <w:spacing w:val="1"/>
              </w:rPr>
              <w:t>6t/h</w:t>
            </w:r>
            <w:r>
              <w:rPr>
                <w:rFonts w:ascii="Times New Roman" w:hAnsi="Times New Roman" w:eastAsia="Times New Roman" w:cs="Times New Roman"/>
              </w:rPr>
              <w:t xml:space="preserve"> </w:t>
            </w:r>
            <w:r>
              <w:rPr>
                <w:spacing w:val="8"/>
              </w:rPr>
              <w:t>生物质锅炉，不属于限制淘汰类别；</w:t>
            </w:r>
          </w:p>
          <w:p>
            <w:pPr>
              <w:pStyle w:val="TableText"/>
              <w:ind w:left="9"/>
              <w:spacing w:before="28" w:line="225" w:lineRule="auto"/>
              <w:rPr/>
            </w:pPr>
            <w:r>
              <w:rPr>
                <w:spacing w:val="6"/>
              </w:rPr>
              <w:t>⑤不属于涉气重污染项目；</w:t>
            </w:r>
          </w:p>
          <w:p>
            <w:pPr>
              <w:pStyle w:val="TableText"/>
              <w:ind w:left="11" w:hanging="2"/>
              <w:spacing w:before="28" w:line="243" w:lineRule="auto"/>
              <w:rPr/>
            </w:pPr>
            <w:r>
              <w:rPr>
                <w:spacing w:val="4"/>
              </w:rPr>
              <w:t>⑥不属于重大项目；选址符合城乡规划</w:t>
            </w:r>
            <w:r>
              <w:rPr>
                <w:spacing w:val="7"/>
              </w:rPr>
              <w:t xml:space="preserve"> </w:t>
            </w:r>
            <w:r>
              <w:rPr>
                <w:spacing w:val="4"/>
              </w:rPr>
              <w:t>和土地利用总体规划；不涉及地下水的</w:t>
            </w:r>
            <w:r>
              <w:rPr>
                <w:spacing w:val="6"/>
              </w:rPr>
              <w:t xml:space="preserve"> </w:t>
            </w:r>
            <w:r>
              <w:rPr>
                <w:spacing w:val="8"/>
              </w:rPr>
              <w:t>开采，并采用节水设计；</w:t>
            </w:r>
          </w:p>
          <w:p>
            <w:pPr>
              <w:pStyle w:val="TableText"/>
              <w:ind w:left="9"/>
              <w:spacing w:before="28" w:line="225" w:lineRule="auto"/>
              <w:rPr/>
            </w:pPr>
            <w:r>
              <w:rPr>
                <w:spacing w:val="5"/>
              </w:rPr>
              <w:t>⑦不属于“两高</w:t>
            </w:r>
            <w:r>
              <w:rPr>
                <w:spacing w:val="-65"/>
              </w:rPr>
              <w:t xml:space="preserve"> </w:t>
            </w:r>
            <w:r>
              <w:rPr>
                <w:spacing w:val="5"/>
              </w:rPr>
              <w:t>”项目；</w:t>
            </w:r>
          </w:p>
          <w:p>
            <w:pPr>
              <w:pStyle w:val="TableText"/>
              <w:ind w:left="11" w:right="3" w:hanging="2"/>
              <w:spacing w:before="25" w:line="244" w:lineRule="auto"/>
              <w:rPr/>
            </w:pPr>
            <w:r>
              <w:rPr>
                <w:spacing w:val="4"/>
              </w:rPr>
              <w:t>⑧厂区周边未建成集中供热设施，项目</w:t>
            </w:r>
            <w:r>
              <w:rPr>
                <w:spacing w:val="7"/>
              </w:rPr>
              <w:t xml:space="preserve"> </w:t>
            </w:r>
            <w:r>
              <w:rPr/>
              <w:t>建设</w:t>
            </w:r>
            <w:r>
              <w:rPr>
                <w:spacing w:val="-3"/>
              </w:rPr>
              <w:t xml:space="preserve"> </w:t>
            </w:r>
            <w:r>
              <w:rPr>
                <w:rFonts w:ascii="Times New Roman" w:hAnsi="Times New Roman" w:eastAsia="Times New Roman" w:cs="Times New Roman"/>
              </w:rPr>
              <w:t>1</w:t>
            </w:r>
            <w:r>
              <w:rPr>
                <w:rFonts w:ascii="Times New Roman" w:hAnsi="Times New Roman" w:eastAsia="Times New Roman" w:cs="Times New Roman"/>
                <w:spacing w:val="28"/>
                <w:w w:val="101"/>
              </w:rPr>
              <w:t xml:space="preserve"> </w:t>
            </w:r>
            <w:r>
              <w:rPr/>
              <w:t>台</w:t>
            </w:r>
            <w:r>
              <w:rPr>
                <w:spacing w:val="-44"/>
              </w:rPr>
              <w:t xml:space="preserve"> </w:t>
            </w:r>
            <w:r>
              <w:rPr>
                <w:rFonts w:ascii="Times New Roman" w:hAnsi="Times New Roman" w:eastAsia="Times New Roman" w:cs="Times New Roman"/>
              </w:rPr>
              <w:t>4t/h</w:t>
            </w:r>
            <w:r>
              <w:rPr>
                <w:rFonts w:ascii="Times New Roman" w:hAnsi="Times New Roman" w:eastAsia="Times New Roman" w:cs="Times New Roman"/>
                <w:spacing w:val="16"/>
              </w:rPr>
              <w:t xml:space="preserve"> </w:t>
            </w:r>
            <w:r>
              <w:rPr/>
              <w:t>沼气锅炉</w:t>
            </w:r>
            <w:r>
              <w:rPr>
                <w:rFonts w:ascii="Times New Roman" w:hAnsi="Times New Roman" w:eastAsia="Times New Roman" w:cs="Times New Roman"/>
              </w:rPr>
              <w:t>+1</w:t>
            </w:r>
            <w:r>
              <w:rPr>
                <w:rFonts w:ascii="Times New Roman" w:hAnsi="Times New Roman" w:eastAsia="Times New Roman" w:cs="Times New Roman"/>
                <w:spacing w:val="28"/>
                <w:w w:val="101"/>
              </w:rPr>
              <w:t xml:space="preserve"> </w:t>
            </w:r>
            <w:r>
              <w:rPr/>
              <w:t>台</w:t>
            </w:r>
            <w:r>
              <w:rPr>
                <w:spacing w:val="-39"/>
              </w:rPr>
              <w:t xml:space="preserve"> </w:t>
            </w:r>
            <w:r>
              <w:rPr>
                <w:rFonts w:ascii="Times New Roman" w:hAnsi="Times New Roman" w:eastAsia="Times New Roman" w:cs="Times New Roman"/>
              </w:rPr>
              <w:t>6t/h</w:t>
            </w:r>
            <w:r>
              <w:rPr>
                <w:rFonts w:ascii="Times New Roman" w:hAnsi="Times New Roman" w:eastAsia="Times New Roman" w:cs="Times New Roman"/>
                <w:spacing w:val="14"/>
                <w:w w:val="101"/>
              </w:rPr>
              <w:t xml:space="preserve"> </w:t>
            </w:r>
            <w:r>
              <w:rPr/>
              <w:t>生物 </w:t>
            </w:r>
            <w:r>
              <w:rPr>
                <w:spacing w:val="8"/>
              </w:rPr>
              <w:t>质锅炉作为生产生活热源；</w:t>
            </w:r>
          </w:p>
          <w:p>
            <w:pPr>
              <w:pStyle w:val="TableText"/>
              <w:ind w:left="11" w:hanging="2"/>
              <w:spacing w:before="25"/>
              <w:rPr/>
            </w:pPr>
            <w:r>
              <w:rPr>
                <w:spacing w:val="4"/>
              </w:rPr>
              <w:t>⑨选址不涉及自然保护区、饮用水水源</w:t>
            </w:r>
            <w:r>
              <w:rPr>
                <w:spacing w:val="9"/>
              </w:rPr>
              <w:t xml:space="preserve"> </w:t>
            </w:r>
            <w:r>
              <w:rPr>
                <w:spacing w:val="8"/>
              </w:rPr>
              <w:t>保护区、风景名胜区等敏感区域；</w:t>
            </w:r>
          </w:p>
          <w:p>
            <w:pPr>
              <w:pStyle w:val="TableText"/>
              <w:ind w:left="14" w:right="125" w:hanging="5"/>
              <w:spacing w:before="26"/>
              <w:rPr/>
            </w:pPr>
            <w:r>
              <w:rPr>
                <w:spacing w:val="9"/>
              </w:rPr>
              <w:t>⑩项目产生的固体废物均得到了合理</w:t>
            </w:r>
            <w:r>
              <w:rPr>
                <w:spacing w:val="8"/>
              </w:rPr>
              <w:t xml:space="preserve"> </w:t>
            </w:r>
            <w:r>
              <w:rPr>
                <w:spacing w:val="7"/>
              </w:rPr>
              <w:t>处置，不涉及所述行为；</w:t>
            </w:r>
          </w:p>
          <w:p>
            <w:pPr>
              <w:pStyle w:val="TableText"/>
              <w:ind w:left="12" w:hanging="5"/>
              <w:spacing w:before="25" w:line="239" w:lineRule="auto"/>
              <w:rPr/>
            </w:pPr>
            <w:r>
              <w:rPr>
                <w:rFonts w:ascii="MS PGothic" w:hAnsi="MS PGothic" w:eastAsia="MS PGothic" w:cs="MS PGothic"/>
                <w:spacing w:val="4"/>
              </w:rPr>
              <w:t>⑪</w:t>
            </w:r>
            <w:r>
              <w:rPr>
                <w:spacing w:val="4"/>
              </w:rPr>
              <w:t>不涉及取土、挖砂、采石等行为，拟</w:t>
            </w:r>
            <w:r>
              <w:rPr>
                <w:spacing w:val="11"/>
              </w:rPr>
              <w:t xml:space="preserve"> </w:t>
            </w:r>
            <w:r>
              <w:rPr>
                <w:spacing w:val="6"/>
              </w:rPr>
              <w:t>建厂址未占用永久基本农田；</w:t>
            </w:r>
          </w:p>
          <w:p>
            <w:pPr>
              <w:pStyle w:val="TableText"/>
              <w:ind w:left="11" w:hanging="4"/>
              <w:spacing w:before="25" w:line="244" w:lineRule="auto"/>
              <w:rPr/>
            </w:pPr>
            <w:r>
              <w:rPr>
                <w:rFonts w:ascii="MS PGothic" w:hAnsi="MS PGothic" w:eastAsia="MS PGothic" w:cs="MS PGothic"/>
                <w:spacing w:val="9"/>
              </w:rPr>
              <w:t>⑫</w:t>
            </w:r>
            <w:r>
              <w:rPr>
                <w:spacing w:val="9"/>
              </w:rPr>
              <w:t>拟建厂址及评价范围内不涉及饮用</w:t>
            </w:r>
            <w:r>
              <w:rPr>
                <w:spacing w:val="5"/>
              </w:rPr>
              <w:t xml:space="preserve">  </w:t>
            </w:r>
            <w:r>
              <w:rPr>
                <w:spacing w:val="4"/>
              </w:rPr>
              <w:t>水水源准保护区、二级保护区及一级保</w:t>
            </w:r>
            <w:r>
              <w:rPr>
                <w:spacing w:val="6"/>
              </w:rPr>
              <w:t xml:space="preserve"> </w:t>
            </w:r>
            <w:r>
              <w:rPr>
                <w:spacing w:val="2"/>
              </w:rPr>
              <w:t>护区。</w:t>
            </w:r>
          </w:p>
          <w:p>
            <w:pPr>
              <w:pStyle w:val="TableText"/>
              <w:ind w:left="12" w:right="154" w:firstLine="9"/>
              <w:spacing w:before="27" w:line="233" w:lineRule="auto"/>
              <w:rPr/>
            </w:pPr>
            <w:r>
              <w:rPr>
                <w:spacing w:val="1"/>
              </w:rPr>
              <w:t>（</w:t>
            </w:r>
            <w:r>
              <w:rPr>
                <w:rFonts w:ascii="Times New Roman" w:hAnsi="Times New Roman" w:eastAsia="Times New Roman" w:cs="Times New Roman"/>
                <w:spacing w:val="1"/>
              </w:rPr>
              <w:t>2</w:t>
            </w:r>
            <w:r>
              <w:rPr>
                <w:spacing w:val="1"/>
              </w:rPr>
              <w:t>）新建设</w:t>
            </w:r>
            <w:r>
              <w:rPr>
                <w:spacing w:val="-10"/>
              </w:rPr>
              <w:t xml:space="preserve"> </w:t>
            </w:r>
            <w:r>
              <w:rPr>
                <w:rFonts w:ascii="Times New Roman" w:hAnsi="Times New Roman" w:eastAsia="Times New Roman" w:cs="Times New Roman"/>
                <w:spacing w:val="1"/>
              </w:rPr>
              <w:t>1</w:t>
            </w:r>
            <w:r>
              <w:rPr>
                <w:rFonts w:ascii="Times New Roman" w:hAnsi="Times New Roman" w:eastAsia="Times New Roman" w:cs="Times New Roman"/>
                <w:spacing w:val="28"/>
                <w:w w:val="101"/>
              </w:rPr>
              <w:t xml:space="preserve"> </w:t>
            </w:r>
            <w:r>
              <w:rPr>
                <w:spacing w:val="1"/>
              </w:rPr>
              <w:t>台</w:t>
            </w:r>
            <w:r>
              <w:rPr>
                <w:spacing w:val="-44"/>
              </w:rPr>
              <w:t xml:space="preserve"> </w:t>
            </w:r>
            <w:r>
              <w:rPr>
                <w:rFonts w:ascii="Times New Roman" w:hAnsi="Times New Roman" w:eastAsia="Times New Roman" w:cs="Times New Roman"/>
                <w:spacing w:val="1"/>
              </w:rPr>
              <w:t>4t/h</w:t>
            </w:r>
            <w:r>
              <w:rPr>
                <w:rFonts w:ascii="Times New Roman" w:hAnsi="Times New Roman" w:eastAsia="Times New Roman" w:cs="Times New Roman"/>
                <w:spacing w:val="16"/>
              </w:rPr>
              <w:t xml:space="preserve"> </w:t>
            </w:r>
            <w:r>
              <w:rPr>
                <w:spacing w:val="1"/>
              </w:rPr>
              <w:t>沼气锅炉</w:t>
            </w:r>
            <w:r>
              <w:rPr>
                <w:rFonts w:ascii="Times New Roman" w:hAnsi="Times New Roman" w:eastAsia="Times New Roman" w:cs="Times New Roman"/>
                <w:spacing w:val="1"/>
              </w:rPr>
              <w:t>+1</w:t>
            </w:r>
            <w:r>
              <w:rPr>
                <w:rFonts w:ascii="Times New Roman" w:hAnsi="Times New Roman" w:eastAsia="Times New Roman" w:cs="Times New Roman"/>
                <w:spacing w:val="28"/>
                <w:w w:val="101"/>
              </w:rPr>
              <w:t xml:space="preserve"> </w:t>
            </w:r>
            <w:r>
              <w:rPr>
                <w:spacing w:val="1"/>
              </w:rPr>
              <w:t>台</w:t>
            </w:r>
            <w:r>
              <w:rPr/>
              <w:t xml:space="preserve"> </w:t>
            </w:r>
            <w:r>
              <w:rPr>
                <w:rFonts w:ascii="Times New Roman" w:hAnsi="Times New Roman" w:eastAsia="Times New Roman" w:cs="Times New Roman"/>
                <w:spacing w:val="7"/>
              </w:rPr>
              <w:t>6t/h </w:t>
            </w:r>
            <w:r>
              <w:rPr>
                <w:spacing w:val="7"/>
              </w:rPr>
              <w:t>生物质锅炉，不属于限制淘汰类</w:t>
            </w:r>
          </w:p>
        </w:tc>
        <w:tc>
          <w:tcPr>
            <w:tcW w:w="780" w:type="dxa"/>
            <w:vAlign w:val="top"/>
          </w:tcPr>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pStyle w:val="TableText"/>
              <w:ind w:left="191"/>
              <w:spacing w:before="65" w:line="228" w:lineRule="auto"/>
              <w:rPr/>
            </w:pPr>
            <w:r>
              <w:rPr>
                <w:spacing w:val="2"/>
              </w:rPr>
              <w:t>符合</w:t>
            </w:r>
          </w:p>
        </w:tc>
      </w:tr>
    </w:tbl>
    <w:p>
      <w:pPr>
        <w:ind w:left="51"/>
        <w:spacing w:before="226" w:line="22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rPr>
        <w:t xml:space="preserve">                              </w:t>
      </w:r>
      <w:r>
        <w:rPr>
          <w:rFonts w:ascii="Times New Roman" w:hAnsi="Times New Roman" w:eastAsia="Times New Roman" w:cs="Times New Roman"/>
          <w:sz w:val="18"/>
          <w:szCs w:val="18"/>
          <w:spacing w:val="7"/>
          <w:position w:val="2"/>
        </w:rPr>
        <w:t>15</w:t>
      </w:r>
    </w:p>
    <w:p>
      <w:pPr>
        <w:spacing w:line="227" w:lineRule="auto"/>
        <w:sectPr>
          <w:headerReference w:type="default" r:id="rId32"/>
          <w:pgSz w:w="16840" w:h="11907"/>
          <w:pgMar w:top="1567" w:right="1658" w:bottom="400" w:left="1657" w:header="1221" w:footer="0" w:gutter="0"/>
        </w:sectPr>
        <w:rPr>
          <w:rFonts w:ascii="Times New Roman" w:hAnsi="Times New Roman" w:eastAsia="Times New Roman" w:cs="Times New Roman"/>
          <w:sz w:val="18"/>
          <w:szCs w:val="18"/>
        </w:rPr>
      </w:pPr>
    </w:p>
    <w:p>
      <w:pPr>
        <w:spacing w:line="146" w:lineRule="exact"/>
        <w:rPr/>
      </w:pPr>
      <w:r>
        <w:pict>
          <v:shape id="_x0000_s104" style="position:absolute;margin-left:85.05pt;margin-top:78.87pt;mso-position-vertical-relative:page;mso-position-horizontal-relative:page;width:671.95pt;height:0.75pt;z-index:251705344;" o:allowincell="f" fillcolor="#000000" filled="true" stroked="false" coordsize="13439,15" coordorigin="0,0" path="m,l13438,0l13438,14l0,14l0,0xe"/>
        </w:pict>
      </w:r>
      <w:r/>
    </w:p>
    <w:tbl>
      <w:tblPr>
        <w:tblStyle w:val="TableNormal"/>
        <w:tblW w:w="1351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25"/>
        <w:gridCol w:w="8320"/>
        <w:gridCol w:w="3494"/>
        <w:gridCol w:w="780"/>
      </w:tblGrid>
      <w:tr>
        <w:trPr>
          <w:trHeight w:val="281" w:hRule="atLeast"/>
        </w:trPr>
        <w:tc>
          <w:tcPr>
            <w:tcW w:w="925" w:type="dxa"/>
            <w:vAlign w:val="top"/>
          </w:tcPr>
          <w:p>
            <w:pPr>
              <w:pStyle w:val="TableText"/>
              <w:ind w:left="261"/>
              <w:spacing w:before="36" w:line="216" w:lineRule="auto"/>
              <w:rPr/>
            </w:pPr>
            <w:r>
              <w:rPr>
                <w:spacing w:val="3"/>
              </w:rPr>
              <w:t>类别</w:t>
            </w:r>
          </w:p>
        </w:tc>
        <w:tc>
          <w:tcPr>
            <w:tcW w:w="8320" w:type="dxa"/>
            <w:vAlign w:val="top"/>
          </w:tcPr>
          <w:p>
            <w:pPr>
              <w:pStyle w:val="TableText"/>
              <w:ind w:left="3757"/>
              <w:spacing w:before="36" w:line="216" w:lineRule="auto"/>
              <w:rPr/>
            </w:pPr>
            <w:r>
              <w:rPr>
                <w:spacing w:val="3"/>
              </w:rPr>
              <w:t>管控要求</w:t>
            </w:r>
          </w:p>
        </w:tc>
        <w:tc>
          <w:tcPr>
            <w:tcW w:w="3494" w:type="dxa"/>
            <w:vAlign w:val="top"/>
          </w:tcPr>
          <w:p>
            <w:pPr>
              <w:pStyle w:val="TableText"/>
              <w:ind w:left="1238"/>
              <w:spacing w:before="36" w:line="216" w:lineRule="auto"/>
              <w:rPr/>
            </w:pPr>
            <w:r>
              <w:rPr>
                <w:spacing w:val="4"/>
              </w:rPr>
              <w:t>本项目情况</w:t>
            </w:r>
          </w:p>
        </w:tc>
        <w:tc>
          <w:tcPr>
            <w:tcW w:w="780" w:type="dxa"/>
            <w:vAlign w:val="top"/>
          </w:tcPr>
          <w:p>
            <w:pPr>
              <w:pStyle w:val="TableText"/>
              <w:ind w:left="87"/>
              <w:spacing w:before="36" w:line="216" w:lineRule="auto"/>
              <w:rPr/>
            </w:pPr>
            <w:r>
              <w:rPr>
                <w:spacing w:val="3"/>
              </w:rPr>
              <w:t>符合性</w:t>
            </w:r>
          </w:p>
        </w:tc>
      </w:tr>
      <w:tr>
        <w:trPr>
          <w:trHeight w:val="278" w:hRule="atLeast"/>
        </w:trPr>
        <w:tc>
          <w:tcPr>
            <w:tcW w:w="13519" w:type="dxa"/>
            <w:vAlign w:val="top"/>
            <w:gridSpan w:val="4"/>
          </w:tcPr>
          <w:p>
            <w:pPr>
              <w:pStyle w:val="TableText"/>
              <w:ind w:left="17"/>
              <w:spacing w:before="31" w:line="218" w:lineRule="auto"/>
              <w:rPr/>
            </w:pPr>
            <w:r>
              <w:rPr>
                <w:b/>
                <w:bCs/>
                <w:spacing w:val="6"/>
              </w:rPr>
              <w:t>一、正镶白旗城镇开发边界（重点管控单元</w:t>
            </w:r>
            <w:r>
              <w:rPr>
                <w:b/>
                <w:bCs/>
                <w:spacing w:val="10"/>
              </w:rPr>
              <w:t>），</w:t>
            </w:r>
            <w:r>
              <w:rPr>
                <w:b/>
                <w:bCs/>
                <w:spacing w:val="6"/>
              </w:rPr>
              <w:t>编码为“</w:t>
            </w:r>
            <w:r>
              <w:rPr>
                <w:rFonts w:ascii="Times New Roman" w:hAnsi="Times New Roman" w:eastAsia="Times New Roman" w:cs="Times New Roman"/>
                <w:b/>
                <w:bCs/>
              </w:rPr>
              <w:t>ZH</w:t>
            </w:r>
            <w:r>
              <w:rPr>
                <w:rFonts w:ascii="Times New Roman" w:hAnsi="Times New Roman" w:eastAsia="Times New Roman" w:cs="Times New Roman"/>
                <w:b/>
                <w:bCs/>
                <w:spacing w:val="6"/>
              </w:rPr>
              <w:t>15252920001</w:t>
            </w:r>
            <w:r>
              <w:rPr>
                <w:rFonts w:ascii="Times New Roman" w:hAnsi="Times New Roman" w:eastAsia="Times New Roman" w:cs="Times New Roman"/>
                <w:b/>
                <w:bCs/>
                <w:spacing w:val="-28"/>
              </w:rPr>
              <w:t xml:space="preserve"> </w:t>
            </w:r>
            <w:r>
              <w:rPr>
                <w:b/>
                <w:bCs/>
                <w:spacing w:val="6"/>
              </w:rPr>
              <w:t>”</w:t>
            </w:r>
          </w:p>
        </w:tc>
      </w:tr>
      <w:tr>
        <w:trPr>
          <w:trHeight w:val="7121" w:hRule="atLeast"/>
        </w:trPr>
        <w:tc>
          <w:tcPr>
            <w:tcW w:w="925" w:type="dxa"/>
            <w:vAlign w:val="top"/>
          </w:tcPr>
          <w:p>
            <w:pPr>
              <w:rPr>
                <w:rFonts w:ascii="Arial"/>
                <w:sz w:val="21"/>
              </w:rPr>
            </w:pPr>
            <w:r/>
          </w:p>
        </w:tc>
        <w:tc>
          <w:tcPr>
            <w:tcW w:w="8320" w:type="dxa"/>
            <w:vAlign w:val="top"/>
          </w:tcPr>
          <w:p>
            <w:pPr>
              <w:pStyle w:val="TableText"/>
              <w:ind w:left="8" w:firstLine="3"/>
              <w:spacing w:before="34" w:line="251" w:lineRule="auto"/>
              <w:rPr/>
            </w:pPr>
            <w:r>
              <w:rPr>
                <w:spacing w:val="8"/>
              </w:rPr>
              <w:t>关植被的活动</w:t>
            </w:r>
            <w:r>
              <w:rPr>
                <w:spacing w:val="-1"/>
              </w:rPr>
              <w:t>；（</w:t>
            </w:r>
            <w:r>
              <w:rPr>
                <w:spacing w:val="8"/>
              </w:rPr>
              <w:t>五）法律、法规规定的其他可能污染饮用水水源的行为。在饮用水水源二</w:t>
            </w:r>
            <w:r>
              <w:rPr/>
              <w:t xml:space="preserve"> </w:t>
            </w:r>
            <w:r>
              <w:rPr>
                <w:spacing w:val="8"/>
              </w:rPr>
              <w:t>级保护区内，除饮用水水源准保护区内禁止的行为外，禁止下列行为</w:t>
            </w:r>
            <w:r>
              <w:rPr>
                <w:spacing w:val="-4"/>
              </w:rPr>
              <w:t>：（</w:t>
            </w:r>
            <w:r>
              <w:rPr>
                <w:spacing w:val="8"/>
              </w:rPr>
              <w:t>一）设置排污口；</w:t>
            </w:r>
            <w:r>
              <w:rPr>
                <w:spacing w:val="1"/>
              </w:rPr>
              <w:t xml:space="preserve"> </w:t>
            </w:r>
            <w:r>
              <w:rPr>
                <w:spacing w:val="8"/>
              </w:rPr>
              <w:t>（二）新建、改建、扩建排放污染物的建设项目或者其他设施</w:t>
            </w:r>
            <w:r>
              <w:rPr/>
              <w:t>；（</w:t>
            </w:r>
            <w:r>
              <w:rPr>
                <w:spacing w:val="8"/>
              </w:rPr>
              <w:t>三）影响水源补给的活动</w:t>
            </w:r>
            <w:r>
              <w:rPr>
                <w:spacing w:val="1"/>
              </w:rPr>
              <w:t xml:space="preserve"> </w:t>
            </w:r>
            <w:r>
              <w:rPr>
                <w:spacing w:val="9"/>
              </w:rPr>
              <w:t>以及与饮用水供水无关的勘查、开采活动</w:t>
            </w:r>
            <w:r>
              <w:rPr>
                <w:spacing w:val="-5"/>
              </w:rPr>
              <w:t>；（</w:t>
            </w:r>
            <w:r>
              <w:rPr>
                <w:spacing w:val="9"/>
              </w:rPr>
              <w:t>四）新建、扩建油库、加油站</w:t>
            </w:r>
            <w:r>
              <w:rPr>
                <w:spacing w:val="-5"/>
              </w:rPr>
              <w:t>；（</w:t>
            </w:r>
            <w:r>
              <w:rPr>
                <w:spacing w:val="9"/>
              </w:rPr>
              <w:t>五）建立火</w:t>
            </w:r>
            <w:r>
              <w:rPr>
                <w:spacing w:val="1"/>
              </w:rPr>
              <w:t xml:space="preserve"> </w:t>
            </w:r>
            <w:r>
              <w:rPr>
                <w:spacing w:val="9"/>
              </w:rPr>
              <w:t>葬场、墓地</w:t>
            </w:r>
            <w:r>
              <w:rPr>
                <w:spacing w:val="-5"/>
              </w:rPr>
              <w:t>；（</w:t>
            </w:r>
            <w:r>
              <w:rPr>
                <w:spacing w:val="9"/>
              </w:rPr>
              <w:t>六）设置畜禽养殖场、养殖小区</w:t>
            </w:r>
            <w:r>
              <w:rPr>
                <w:spacing w:val="-5"/>
              </w:rPr>
              <w:t>；（</w:t>
            </w:r>
            <w:r>
              <w:rPr>
                <w:spacing w:val="9"/>
              </w:rPr>
              <w:t>七）利用未经净化处理达标的污水灌溉</w:t>
            </w:r>
            <w:r>
              <w:rPr>
                <w:spacing w:val="1"/>
              </w:rPr>
              <w:t xml:space="preserve"> </w:t>
            </w:r>
            <w:r>
              <w:rPr>
                <w:spacing w:val="10"/>
              </w:rPr>
              <w:t>农田</w:t>
            </w:r>
            <w:r>
              <w:rPr>
                <w:spacing w:val="-7"/>
              </w:rPr>
              <w:t>；（</w:t>
            </w:r>
            <w:r>
              <w:rPr>
                <w:spacing w:val="10"/>
              </w:rPr>
              <w:t>八）超过标准使用农药、化肥、含磷洗涤剂</w:t>
            </w:r>
            <w:r>
              <w:rPr>
                <w:spacing w:val="-7"/>
              </w:rPr>
              <w:t>；（</w:t>
            </w:r>
            <w:r>
              <w:rPr>
                <w:spacing w:val="10"/>
              </w:rPr>
              <w:t>九</w:t>
            </w:r>
            <w:r>
              <w:rPr>
                <w:spacing w:val="9"/>
              </w:rPr>
              <w:t>）掩埋、弃置动物尸体</w:t>
            </w:r>
            <w:r>
              <w:rPr>
                <w:spacing w:val="-7"/>
              </w:rPr>
              <w:t>；（</w:t>
            </w:r>
            <w:r>
              <w:rPr>
                <w:spacing w:val="9"/>
              </w:rPr>
              <w:t>十）</w:t>
            </w:r>
            <w:r>
              <w:rPr>
                <w:spacing w:val="1"/>
              </w:rPr>
              <w:t xml:space="preserve"> </w:t>
            </w:r>
            <w:r>
              <w:rPr>
                <w:spacing w:val="8"/>
              </w:rPr>
              <w:t>法律、法规规定的其他可能污染饮用水水源的行为。在饮</w:t>
            </w:r>
            <w:r>
              <w:rPr>
                <w:spacing w:val="7"/>
              </w:rPr>
              <w:t>用水水源一级保护区内，除饮用水</w:t>
            </w:r>
            <w:r>
              <w:rPr/>
              <w:t xml:space="preserve"> </w:t>
            </w:r>
            <w:r>
              <w:rPr>
                <w:spacing w:val="8"/>
              </w:rPr>
              <w:t>水源准保护区、二级保护区内禁止的行为外，还禁止下列行为</w:t>
            </w:r>
            <w:r>
              <w:rPr/>
              <w:t>：（</w:t>
            </w:r>
            <w:r>
              <w:rPr>
                <w:spacing w:val="8"/>
              </w:rPr>
              <w:t>一）新建、改建、扩建与</w:t>
            </w:r>
            <w:r>
              <w:rPr>
                <w:spacing w:val="1"/>
              </w:rPr>
              <w:t xml:space="preserve"> </w:t>
            </w:r>
            <w:r>
              <w:rPr>
                <w:spacing w:val="8"/>
              </w:rPr>
              <w:t>供水设施和保护水源无关的建设项目</w:t>
            </w:r>
            <w:r>
              <w:rPr/>
              <w:t>；（</w:t>
            </w:r>
            <w:r>
              <w:rPr>
                <w:spacing w:val="8"/>
              </w:rPr>
              <w:t>二）从事网箱养殖、旅游、游泳、垂钓或者其他可</w:t>
            </w:r>
            <w:r>
              <w:rPr>
                <w:spacing w:val="1"/>
              </w:rPr>
              <w:t xml:space="preserve"> </w:t>
            </w:r>
            <w:r>
              <w:rPr>
                <w:spacing w:val="4"/>
              </w:rPr>
              <w:t>能污染饮用水水体的行为。</w:t>
            </w:r>
          </w:p>
          <w:p>
            <w:pPr>
              <w:pStyle w:val="TableText"/>
              <w:ind w:left="10" w:right="896" w:firstLine="7"/>
              <w:rPr/>
            </w:pPr>
            <w:r>
              <w:rPr>
                <w:spacing w:val="5"/>
              </w:rPr>
              <w:t>（</w:t>
            </w:r>
            <w:r>
              <w:rPr>
                <w:rFonts w:ascii="Times New Roman" w:hAnsi="Times New Roman" w:eastAsia="Times New Roman" w:cs="Times New Roman"/>
                <w:spacing w:val="5"/>
              </w:rPr>
              <w:t>2</w:t>
            </w:r>
            <w:r>
              <w:rPr>
                <w:spacing w:val="5"/>
              </w:rPr>
              <w:t>）旗县（市、区）及以上城市建成区基本淘汰每小</w:t>
            </w:r>
            <w:r>
              <w:rPr>
                <w:spacing w:val="4"/>
              </w:rPr>
              <w:t>时</w:t>
            </w:r>
            <w:r>
              <w:rPr>
                <w:spacing w:val="-27"/>
              </w:rPr>
              <w:t xml:space="preserve"> </w:t>
            </w:r>
            <w:r>
              <w:rPr>
                <w:rFonts w:ascii="Times New Roman" w:hAnsi="Times New Roman" w:eastAsia="Times New Roman" w:cs="Times New Roman"/>
                <w:spacing w:val="4"/>
              </w:rPr>
              <w:t>10 </w:t>
            </w:r>
            <w:r>
              <w:rPr>
                <w:spacing w:val="4"/>
              </w:rPr>
              <w:t>蒸吨及以下燃煤锅炉及</w:t>
            </w:r>
            <w:r>
              <w:rPr/>
              <w:t xml:space="preserve"> </w:t>
            </w:r>
            <w:r>
              <w:rPr>
                <w:spacing w:val="5"/>
              </w:rPr>
              <w:t>茶水炉、经营性炉灶等燃煤设施，不再新建每小时</w:t>
            </w:r>
            <w:r>
              <w:rPr>
                <w:spacing w:val="-39"/>
              </w:rPr>
              <w:t xml:space="preserve"> </w:t>
            </w:r>
            <w:r>
              <w:rPr>
                <w:rFonts w:ascii="Times New Roman" w:hAnsi="Times New Roman" w:eastAsia="Times New Roman" w:cs="Times New Roman"/>
                <w:spacing w:val="5"/>
              </w:rPr>
              <w:t>35 </w:t>
            </w:r>
            <w:r>
              <w:rPr>
                <w:spacing w:val="5"/>
              </w:rPr>
              <w:t>蒸吨以下的燃煤锅炉。</w:t>
            </w:r>
          </w:p>
          <w:p>
            <w:pPr>
              <w:pStyle w:val="TableText"/>
              <w:ind w:left="7" w:right="999" w:firstLine="10"/>
              <w:spacing w:before="24"/>
              <w:rPr/>
            </w:pPr>
            <w:r>
              <w:rPr>
                <w:spacing w:val="5"/>
              </w:rPr>
              <w:t>（</w:t>
            </w:r>
            <w:r>
              <w:rPr>
                <w:rFonts w:ascii="Times New Roman" w:hAnsi="Times New Roman" w:eastAsia="Times New Roman" w:cs="Times New Roman"/>
                <w:spacing w:val="5"/>
              </w:rPr>
              <w:t>3</w:t>
            </w:r>
            <w:r>
              <w:rPr>
                <w:spacing w:val="5"/>
              </w:rPr>
              <w:t>）禁止在城市主导风向上风向新建涉气重污染项目，形成有利于大气污染物扩</w:t>
            </w:r>
            <w:r>
              <w:rPr>
                <w:spacing w:val="15"/>
              </w:rPr>
              <w:t xml:space="preserve"> </w:t>
            </w:r>
            <w:r>
              <w:rPr>
                <w:spacing w:val="4"/>
              </w:rPr>
              <w:t>散的城市空间布局。</w:t>
            </w:r>
          </w:p>
          <w:p>
            <w:pPr>
              <w:pStyle w:val="TableText"/>
              <w:ind w:left="9" w:firstLine="8"/>
              <w:spacing w:before="24"/>
              <w:rPr/>
            </w:pPr>
            <w:r>
              <w:rPr>
                <w:spacing w:val="5"/>
              </w:rPr>
              <w:t>（</w:t>
            </w:r>
            <w:r>
              <w:rPr>
                <w:rFonts w:ascii="Times New Roman" w:hAnsi="Times New Roman" w:eastAsia="Times New Roman" w:cs="Times New Roman"/>
                <w:spacing w:val="5"/>
              </w:rPr>
              <w:t>4</w:t>
            </w:r>
            <w:r>
              <w:rPr>
                <w:spacing w:val="5"/>
              </w:rPr>
              <w:t>）推进城市建成区重污染企业退城入园，对位于城市建成区范围内</w:t>
            </w:r>
            <w:r>
              <w:rPr>
                <w:spacing w:val="4"/>
              </w:rPr>
              <w:t>的污染严重企业，限期</w:t>
            </w:r>
            <w:r>
              <w:rPr/>
              <w:t xml:space="preserve"> </w:t>
            </w:r>
            <w:r>
              <w:rPr>
                <w:spacing w:val="5"/>
              </w:rPr>
              <w:t>完成搬迁、改造，逾期不退城的依法予以停产。</w:t>
            </w:r>
          </w:p>
          <w:p>
            <w:pPr>
              <w:pStyle w:val="TableText"/>
              <w:ind w:left="47" w:right="793" w:hanging="29"/>
              <w:spacing w:before="24" w:line="241" w:lineRule="auto"/>
              <w:rPr/>
            </w:pPr>
            <w:r>
              <w:rPr>
                <w:spacing w:val="5"/>
              </w:rPr>
              <w:t>（</w:t>
            </w:r>
            <w:r>
              <w:rPr>
                <w:rFonts w:ascii="Times New Roman" w:hAnsi="Times New Roman" w:eastAsia="Times New Roman" w:cs="Times New Roman"/>
                <w:spacing w:val="5"/>
              </w:rPr>
              <w:t>5</w:t>
            </w:r>
            <w:r>
              <w:rPr>
                <w:spacing w:val="5"/>
              </w:rPr>
              <w:t>）大气环境受体敏感区内，加大区域大气污染物减排力度，严</w:t>
            </w:r>
            <w:r>
              <w:rPr>
                <w:spacing w:val="4"/>
              </w:rPr>
              <w:t>格控制“两高</w:t>
            </w:r>
            <w:r>
              <w:rPr>
                <w:spacing w:val="-75"/>
              </w:rPr>
              <w:t xml:space="preserve"> </w:t>
            </w:r>
            <w:r>
              <w:rPr>
                <w:spacing w:val="4"/>
              </w:rPr>
              <w:t>”项</w:t>
            </w:r>
            <w:r>
              <w:rPr/>
              <w:t xml:space="preserve"> </w:t>
            </w:r>
            <w:r>
              <w:rPr>
                <w:spacing w:val="-7"/>
              </w:rPr>
              <w:t>目建设。</w:t>
            </w:r>
          </w:p>
          <w:p>
            <w:pPr>
              <w:pStyle w:val="TableText"/>
              <w:ind w:left="9" w:firstLine="8"/>
              <w:spacing w:before="23"/>
              <w:rPr/>
            </w:pPr>
            <w:r>
              <w:rPr>
                <w:spacing w:val="5"/>
              </w:rPr>
              <w:t>（</w:t>
            </w:r>
            <w:r>
              <w:rPr>
                <w:rFonts w:ascii="Times New Roman" w:hAnsi="Times New Roman" w:eastAsia="Times New Roman" w:cs="Times New Roman"/>
                <w:spacing w:val="5"/>
              </w:rPr>
              <w:t>6</w:t>
            </w:r>
            <w:r>
              <w:rPr>
                <w:spacing w:val="5"/>
              </w:rPr>
              <w:t>）禁止不符合园区产业定位及规划环评等要求的项目入园；国家明</w:t>
            </w:r>
            <w:r>
              <w:rPr>
                <w:spacing w:val="4"/>
              </w:rPr>
              <w:t>令淘汰的落后产能和不</w:t>
            </w:r>
            <w:r>
              <w:rPr/>
              <w:t xml:space="preserve"> </w:t>
            </w:r>
            <w:r>
              <w:rPr>
                <w:spacing w:val="5"/>
              </w:rPr>
              <w:t>符合国家产业政策的项目，禁止向工业园区转移。</w:t>
            </w:r>
          </w:p>
          <w:p>
            <w:pPr>
              <w:pStyle w:val="TableText"/>
              <w:ind w:left="8" w:firstLine="9"/>
              <w:spacing w:before="23" w:line="247" w:lineRule="auto"/>
              <w:rPr/>
            </w:pPr>
            <w:r>
              <w:rPr>
                <w:spacing w:val="3"/>
              </w:rPr>
              <w:t>（</w:t>
            </w:r>
            <w:r>
              <w:rPr>
                <w:rFonts w:ascii="Times New Roman" w:hAnsi="Times New Roman" w:eastAsia="Times New Roman" w:cs="Times New Roman"/>
                <w:spacing w:val="3"/>
              </w:rPr>
              <w:t>7</w:t>
            </w:r>
            <w:r>
              <w:rPr>
                <w:spacing w:val="3"/>
              </w:rPr>
              <w:t>）高污染燃料禁燃区范围内禁止新建、改建、扩建燃用高污染燃料的设施；高污染燃料禁</w:t>
            </w:r>
            <w:r>
              <w:rPr>
                <w:spacing w:val="4"/>
              </w:rPr>
              <w:t xml:space="preserve"> </w:t>
            </w:r>
            <w:r>
              <w:rPr>
                <w:spacing w:val="6"/>
              </w:rPr>
              <w:t>燃区范围内禁止销售、燃用高污染燃料，已建成使用高污染燃料设施的工业企业拆</w:t>
            </w:r>
            <w:r>
              <w:rPr>
                <w:spacing w:val="5"/>
              </w:rPr>
              <w:t>除高污染</w:t>
            </w:r>
            <w:r>
              <w:rPr/>
              <w:t xml:space="preserve"> </w:t>
            </w:r>
            <w:r>
              <w:rPr>
                <w:spacing w:val="6"/>
              </w:rPr>
              <w:t>燃料设施或改用天然气、液化气、电等清洁能源，已使用天然气、液化气、电等清</w:t>
            </w:r>
            <w:r>
              <w:rPr>
                <w:spacing w:val="5"/>
              </w:rPr>
              <w:t>洁能源的</w:t>
            </w:r>
            <w:r>
              <w:rPr/>
              <w:t xml:space="preserve"> </w:t>
            </w:r>
            <w:r>
              <w:rPr>
                <w:spacing w:val="6"/>
              </w:rPr>
              <w:t>各类设施严禁改用民用洁净型燃料或生物质成型燃料等燃料。高污染燃料禁燃区范</w:t>
            </w:r>
            <w:r>
              <w:rPr>
                <w:spacing w:val="5"/>
              </w:rPr>
              <w:t>围内居民</w:t>
            </w:r>
            <w:r>
              <w:rPr/>
              <w:t xml:space="preserve"> </w:t>
            </w:r>
            <w:r>
              <w:rPr>
                <w:spacing w:val="3"/>
              </w:rPr>
              <w:t>生活类高污染燃料设施应加快改造，改用电、太阳能</w:t>
            </w:r>
            <w:r>
              <w:rPr>
                <w:spacing w:val="2"/>
              </w:rPr>
              <w:t>、天然气、民用洁净型燃料等清洁能源。</w:t>
            </w:r>
          </w:p>
        </w:tc>
        <w:tc>
          <w:tcPr>
            <w:tcW w:w="3494" w:type="dxa"/>
            <w:vAlign w:val="top"/>
          </w:tcPr>
          <w:p>
            <w:pPr>
              <w:pStyle w:val="TableText"/>
              <w:ind w:left="13"/>
              <w:spacing w:before="32" w:line="228" w:lineRule="auto"/>
              <w:rPr/>
            </w:pPr>
            <w:r>
              <w:rPr>
                <w:spacing w:val="-1"/>
              </w:rPr>
              <w:t>别。</w:t>
            </w:r>
          </w:p>
          <w:p>
            <w:pPr>
              <w:pStyle w:val="TableText"/>
              <w:ind w:left="21"/>
              <w:spacing w:before="24" w:line="228" w:lineRule="auto"/>
              <w:rPr/>
            </w:pPr>
            <w:r>
              <w:rPr>
                <w:spacing w:val="5"/>
              </w:rPr>
              <w:t>（</w:t>
            </w:r>
            <w:r>
              <w:rPr>
                <w:rFonts w:ascii="Times New Roman" w:hAnsi="Times New Roman" w:eastAsia="Times New Roman" w:cs="Times New Roman"/>
                <w:spacing w:val="5"/>
              </w:rPr>
              <w:t>3</w:t>
            </w:r>
            <w:r>
              <w:rPr>
                <w:spacing w:val="5"/>
              </w:rPr>
              <w:t>）不属于涉气重污染项目。</w:t>
            </w:r>
          </w:p>
          <w:p>
            <w:pPr>
              <w:pStyle w:val="TableText"/>
              <w:ind w:left="21"/>
              <w:spacing w:before="24" w:line="228" w:lineRule="auto"/>
              <w:rPr/>
            </w:pPr>
            <w:r>
              <w:rPr>
                <w:spacing w:val="7"/>
              </w:rPr>
              <w:t>（</w:t>
            </w:r>
            <w:r>
              <w:rPr>
                <w:rFonts w:ascii="Times New Roman" w:hAnsi="Times New Roman" w:eastAsia="Times New Roman" w:cs="Times New Roman"/>
                <w:spacing w:val="7"/>
              </w:rPr>
              <w:t>4</w:t>
            </w:r>
            <w:r>
              <w:rPr>
                <w:spacing w:val="7"/>
              </w:rPr>
              <w:t>）不属于重污染企业。</w:t>
            </w:r>
          </w:p>
          <w:p>
            <w:pPr>
              <w:pStyle w:val="TableText"/>
              <w:ind w:left="21"/>
              <w:spacing w:before="25" w:line="228" w:lineRule="auto"/>
              <w:rPr/>
            </w:pPr>
            <w:r>
              <w:rPr>
                <w:spacing w:val="3"/>
              </w:rPr>
              <w:t>（</w:t>
            </w:r>
            <w:r>
              <w:rPr>
                <w:rFonts w:ascii="Times New Roman" w:hAnsi="Times New Roman" w:eastAsia="Times New Roman" w:cs="Times New Roman"/>
                <w:spacing w:val="3"/>
              </w:rPr>
              <w:t>5</w:t>
            </w:r>
            <w:r>
              <w:rPr>
                <w:spacing w:val="3"/>
              </w:rPr>
              <w:t>）不属于两高项目。</w:t>
            </w:r>
          </w:p>
          <w:p>
            <w:pPr>
              <w:pStyle w:val="TableText"/>
              <w:ind w:left="12" w:right="82" w:firstLine="9"/>
              <w:spacing w:before="26" w:line="239" w:lineRule="auto"/>
              <w:rPr/>
            </w:pPr>
            <w:r>
              <w:rPr>
                <w:spacing w:val="5"/>
              </w:rPr>
              <w:t>（</w:t>
            </w:r>
            <w:r>
              <w:rPr>
                <w:rFonts w:ascii="Times New Roman" w:hAnsi="Times New Roman" w:eastAsia="Times New Roman" w:cs="Times New Roman"/>
                <w:spacing w:val="5"/>
              </w:rPr>
              <w:t>6</w:t>
            </w:r>
            <w:r>
              <w:rPr>
                <w:spacing w:val="5"/>
              </w:rPr>
              <w:t>）不属于国家明令淘汰的落后产能</w:t>
            </w:r>
            <w:r>
              <w:rPr/>
              <w:t xml:space="preserve"> </w:t>
            </w:r>
            <w:r>
              <w:rPr>
                <w:spacing w:val="5"/>
              </w:rPr>
              <w:t>和不符合国家产业政策的项目。</w:t>
            </w:r>
          </w:p>
          <w:p>
            <w:pPr>
              <w:pStyle w:val="TableText"/>
              <w:ind w:left="12" w:right="82" w:firstLine="9"/>
              <w:spacing w:before="27" w:line="239" w:lineRule="auto"/>
              <w:rPr/>
            </w:pPr>
            <w:r>
              <w:rPr>
                <w:spacing w:val="5"/>
              </w:rPr>
              <w:t>（</w:t>
            </w:r>
            <w:r>
              <w:rPr>
                <w:rFonts w:ascii="Times New Roman" w:hAnsi="Times New Roman" w:eastAsia="Times New Roman" w:cs="Times New Roman"/>
                <w:spacing w:val="5"/>
              </w:rPr>
              <w:t>7</w:t>
            </w:r>
            <w:r>
              <w:rPr>
                <w:spacing w:val="5"/>
              </w:rPr>
              <w:t>）不属于高污染燃料禁燃区，也不</w:t>
            </w:r>
            <w:r>
              <w:rPr/>
              <w:t xml:space="preserve"> </w:t>
            </w:r>
            <w:r>
              <w:rPr>
                <w:spacing w:val="4"/>
              </w:rPr>
              <w:t>使用高污染燃料。</w:t>
            </w:r>
          </w:p>
        </w:tc>
        <w:tc>
          <w:tcPr>
            <w:tcW w:w="780" w:type="dxa"/>
            <w:vAlign w:val="top"/>
          </w:tcPr>
          <w:p>
            <w:pPr>
              <w:rPr>
                <w:rFonts w:ascii="Arial"/>
                <w:sz w:val="21"/>
              </w:rPr>
            </w:pPr>
            <w:r/>
          </w:p>
        </w:tc>
      </w:tr>
      <w:tr>
        <w:trPr>
          <w:trHeight w:val="551" w:hRule="atLeast"/>
        </w:trPr>
        <w:tc>
          <w:tcPr>
            <w:tcW w:w="925" w:type="dxa"/>
            <w:vAlign w:val="top"/>
          </w:tcPr>
          <w:p>
            <w:pPr>
              <w:pStyle w:val="TableText"/>
              <w:ind w:left="157" w:right="47" w:hanging="101"/>
              <w:spacing w:before="36" w:line="233" w:lineRule="auto"/>
              <w:rPr/>
            </w:pPr>
            <w:r>
              <w:rPr>
                <w:spacing w:val="3"/>
              </w:rPr>
              <w:t>污染物排</w:t>
            </w:r>
            <w:r>
              <w:rPr>
                <w:spacing w:val="2"/>
              </w:rPr>
              <w:t xml:space="preserve"> </w:t>
            </w:r>
            <w:r>
              <w:rPr>
                <w:spacing w:val="4"/>
              </w:rPr>
              <w:t>放管控</w:t>
            </w:r>
          </w:p>
        </w:tc>
        <w:tc>
          <w:tcPr>
            <w:tcW w:w="8320" w:type="dxa"/>
            <w:vAlign w:val="top"/>
          </w:tcPr>
          <w:p>
            <w:pPr>
              <w:pStyle w:val="TableText"/>
              <w:ind w:left="18"/>
              <w:spacing w:before="36" w:line="227" w:lineRule="auto"/>
              <w:rPr/>
            </w:pPr>
            <w:r>
              <w:rPr>
                <w:spacing w:val="5"/>
              </w:rPr>
              <w:t>（</w:t>
            </w:r>
            <w:r>
              <w:rPr>
                <w:rFonts w:ascii="Times New Roman" w:hAnsi="Times New Roman" w:eastAsia="Times New Roman" w:cs="Times New Roman"/>
                <w:spacing w:val="5"/>
              </w:rPr>
              <w:t>1</w:t>
            </w:r>
            <w:r>
              <w:rPr>
                <w:spacing w:val="5"/>
              </w:rPr>
              <w:t>）执行锡林郭勒盟总体准入要求第二条关于污染物排放管控的准入要求，如下：</w:t>
            </w:r>
          </w:p>
          <w:p>
            <w:pPr>
              <w:pStyle w:val="TableText"/>
              <w:spacing w:before="24" w:line="216" w:lineRule="auto"/>
              <w:jc w:val="right"/>
              <w:rPr/>
            </w:pPr>
            <w:r>
              <w:rPr>
                <w:spacing w:val="3"/>
              </w:rPr>
              <w:t>①严格落实污染物排放总量控制制度，把主要污染物排</w:t>
            </w:r>
            <w:r>
              <w:rPr>
                <w:spacing w:val="2"/>
              </w:rPr>
              <w:t>放总量指标作为环评审批的前置条件。</w:t>
            </w:r>
          </w:p>
        </w:tc>
        <w:tc>
          <w:tcPr>
            <w:tcW w:w="3494" w:type="dxa"/>
            <w:vAlign w:val="top"/>
          </w:tcPr>
          <w:p>
            <w:pPr>
              <w:pStyle w:val="TableText"/>
              <w:ind w:left="10" w:right="82" w:firstLine="10"/>
              <w:spacing w:before="36" w:line="233" w:lineRule="auto"/>
              <w:rPr/>
            </w:pPr>
            <w:r>
              <w:rPr>
                <w:spacing w:val="5"/>
              </w:rPr>
              <w:t>（</w:t>
            </w:r>
            <w:r>
              <w:rPr>
                <w:rFonts w:ascii="Times New Roman" w:hAnsi="Times New Roman" w:eastAsia="Times New Roman" w:cs="Times New Roman"/>
                <w:spacing w:val="5"/>
              </w:rPr>
              <w:t>1</w:t>
            </w:r>
            <w:r>
              <w:rPr>
                <w:spacing w:val="5"/>
              </w:rPr>
              <w:t>）项目建设满足锡林郭勒盟总体准</w:t>
            </w:r>
            <w:r>
              <w:rPr/>
              <w:t xml:space="preserve"> </w:t>
            </w:r>
            <w:r>
              <w:rPr>
                <w:spacing w:val="5"/>
              </w:rPr>
              <w:t>入要求第二条关于污染物排放管控的</w:t>
            </w:r>
          </w:p>
        </w:tc>
        <w:tc>
          <w:tcPr>
            <w:tcW w:w="780" w:type="dxa"/>
            <w:vAlign w:val="top"/>
          </w:tcPr>
          <w:p>
            <w:pPr>
              <w:pStyle w:val="TableText"/>
              <w:ind w:left="191"/>
              <w:spacing w:before="170" w:line="228" w:lineRule="auto"/>
              <w:rPr/>
            </w:pPr>
            <w:r>
              <w:rPr>
                <w:spacing w:val="2"/>
              </w:rPr>
              <w:t>符合</w:t>
            </w:r>
          </w:p>
        </w:tc>
      </w:tr>
    </w:tbl>
    <w:p>
      <w:pPr>
        <w:pStyle w:val="BodyText"/>
        <w:rPr/>
      </w:pPr>
      <w:r/>
    </w:p>
    <w:p>
      <w:pPr>
        <w:sectPr>
          <w:footerReference w:type="default" r:id="rId33"/>
          <w:pgSz w:w="16840" w:h="11907"/>
          <w:pgMar w:top="1567" w:right="1658" w:bottom="1480" w:left="1657" w:header="1221" w:footer="1246" w:gutter="0"/>
        </w:sectPr>
        <w:rPr/>
      </w:pPr>
    </w:p>
    <w:p>
      <w:pPr>
        <w:spacing w:line="151" w:lineRule="exact"/>
        <w:rPr/>
      </w:pPr>
      <w:r>
        <w:pict>
          <v:shape id="_x0000_s106" style="position:absolute;margin-left:85.05pt;margin-top:79.11pt;mso-position-vertical-relative:page;mso-position-horizontal-relative:page;width:671.95pt;height:0.75pt;z-index:251707392;" o:allowincell="f" fillcolor="#000000" filled="true" stroked="false" coordsize="13439,15" coordorigin="0,0" path="m,l13438,0l13438,14l0,14l0,0xe"/>
        </w:pict>
      </w:r>
      <w:r/>
    </w:p>
    <w:tbl>
      <w:tblPr>
        <w:tblStyle w:val="TableNormal"/>
        <w:tblW w:w="1351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25"/>
        <w:gridCol w:w="8320"/>
        <w:gridCol w:w="3494"/>
        <w:gridCol w:w="780"/>
      </w:tblGrid>
      <w:tr>
        <w:trPr>
          <w:trHeight w:val="281" w:hRule="atLeast"/>
        </w:trPr>
        <w:tc>
          <w:tcPr>
            <w:tcW w:w="925" w:type="dxa"/>
            <w:vAlign w:val="top"/>
          </w:tcPr>
          <w:p>
            <w:pPr>
              <w:pStyle w:val="TableText"/>
              <w:ind w:left="261"/>
              <w:spacing w:before="36" w:line="216" w:lineRule="auto"/>
              <w:rPr/>
            </w:pPr>
            <w:r>
              <w:rPr>
                <w:spacing w:val="3"/>
              </w:rPr>
              <w:t>类别</w:t>
            </w:r>
          </w:p>
        </w:tc>
        <w:tc>
          <w:tcPr>
            <w:tcW w:w="8320" w:type="dxa"/>
            <w:vAlign w:val="top"/>
          </w:tcPr>
          <w:p>
            <w:pPr>
              <w:pStyle w:val="TableText"/>
              <w:ind w:left="3757"/>
              <w:spacing w:before="36" w:line="216" w:lineRule="auto"/>
              <w:rPr/>
            </w:pPr>
            <w:r>
              <w:rPr>
                <w:spacing w:val="3"/>
              </w:rPr>
              <w:t>管控要求</w:t>
            </w:r>
          </w:p>
        </w:tc>
        <w:tc>
          <w:tcPr>
            <w:tcW w:w="3494" w:type="dxa"/>
            <w:vAlign w:val="top"/>
          </w:tcPr>
          <w:p>
            <w:pPr>
              <w:pStyle w:val="TableText"/>
              <w:ind w:left="1238"/>
              <w:spacing w:before="36" w:line="216" w:lineRule="auto"/>
              <w:rPr/>
            </w:pPr>
            <w:r>
              <w:rPr>
                <w:spacing w:val="4"/>
              </w:rPr>
              <w:t>本项目情况</w:t>
            </w:r>
          </w:p>
        </w:tc>
        <w:tc>
          <w:tcPr>
            <w:tcW w:w="780" w:type="dxa"/>
            <w:vAlign w:val="top"/>
          </w:tcPr>
          <w:p>
            <w:pPr>
              <w:pStyle w:val="TableText"/>
              <w:ind w:left="87"/>
              <w:spacing w:before="36" w:line="216" w:lineRule="auto"/>
              <w:rPr/>
            </w:pPr>
            <w:r>
              <w:rPr>
                <w:spacing w:val="3"/>
              </w:rPr>
              <w:t>符合性</w:t>
            </w:r>
          </w:p>
        </w:tc>
      </w:tr>
      <w:tr>
        <w:trPr>
          <w:trHeight w:val="278" w:hRule="atLeast"/>
        </w:trPr>
        <w:tc>
          <w:tcPr>
            <w:tcW w:w="13519" w:type="dxa"/>
            <w:vAlign w:val="top"/>
            <w:gridSpan w:val="4"/>
          </w:tcPr>
          <w:p>
            <w:pPr>
              <w:pStyle w:val="TableText"/>
              <w:ind w:left="17"/>
              <w:spacing w:before="31" w:line="218" w:lineRule="auto"/>
              <w:rPr/>
            </w:pPr>
            <w:r>
              <w:rPr>
                <w:b/>
                <w:bCs/>
                <w:spacing w:val="6"/>
              </w:rPr>
              <w:t>一、正镶白旗城镇开发边界（重点管控单元</w:t>
            </w:r>
            <w:r>
              <w:rPr>
                <w:b/>
                <w:bCs/>
                <w:spacing w:val="10"/>
              </w:rPr>
              <w:t>），</w:t>
            </w:r>
            <w:r>
              <w:rPr>
                <w:b/>
                <w:bCs/>
                <w:spacing w:val="6"/>
              </w:rPr>
              <w:t>编码为“</w:t>
            </w:r>
            <w:r>
              <w:rPr>
                <w:rFonts w:ascii="Times New Roman" w:hAnsi="Times New Roman" w:eastAsia="Times New Roman" w:cs="Times New Roman"/>
                <w:b/>
                <w:bCs/>
              </w:rPr>
              <w:t>ZH</w:t>
            </w:r>
            <w:r>
              <w:rPr>
                <w:rFonts w:ascii="Times New Roman" w:hAnsi="Times New Roman" w:eastAsia="Times New Roman" w:cs="Times New Roman"/>
                <w:b/>
                <w:bCs/>
                <w:spacing w:val="6"/>
              </w:rPr>
              <w:t>15252920001</w:t>
            </w:r>
            <w:r>
              <w:rPr>
                <w:rFonts w:ascii="Times New Roman" w:hAnsi="Times New Roman" w:eastAsia="Times New Roman" w:cs="Times New Roman"/>
                <w:b/>
                <w:bCs/>
                <w:spacing w:val="-28"/>
              </w:rPr>
              <w:t xml:space="preserve"> </w:t>
            </w:r>
            <w:r>
              <w:rPr>
                <w:b/>
                <w:bCs/>
                <w:spacing w:val="6"/>
              </w:rPr>
              <w:t>”</w:t>
            </w:r>
          </w:p>
        </w:tc>
      </w:tr>
      <w:tr>
        <w:trPr>
          <w:trHeight w:val="7901" w:hRule="atLeast"/>
        </w:trPr>
        <w:tc>
          <w:tcPr>
            <w:tcW w:w="925" w:type="dxa"/>
            <w:vAlign w:val="top"/>
          </w:tcPr>
          <w:p>
            <w:pPr>
              <w:rPr>
                <w:rFonts w:ascii="Arial"/>
                <w:sz w:val="21"/>
              </w:rPr>
            </w:pPr>
            <w:r/>
          </w:p>
        </w:tc>
        <w:tc>
          <w:tcPr>
            <w:tcW w:w="8320" w:type="dxa"/>
            <w:vAlign w:val="top"/>
          </w:tcPr>
          <w:p>
            <w:pPr>
              <w:pStyle w:val="TableText"/>
              <w:ind w:left="7"/>
              <w:spacing w:before="31" w:line="251" w:lineRule="auto"/>
              <w:jc w:val="both"/>
              <w:rPr/>
            </w:pPr>
            <w:r>
              <w:rPr>
                <w:spacing w:val="8"/>
              </w:rPr>
              <w:t>对未完成上一年度主要污染物总量减排目标的地区或企业、</w:t>
            </w:r>
            <w:r>
              <w:rPr>
                <w:spacing w:val="7"/>
              </w:rPr>
              <w:t>环境质量未达到环境功能区划要</w:t>
            </w:r>
            <w:r>
              <w:rPr/>
              <w:t xml:space="preserve"> </w:t>
            </w:r>
            <w:r>
              <w:rPr>
                <w:spacing w:val="8"/>
              </w:rPr>
              <w:t>求、被实施区域限批的地区及未进行排污权交易的工业企</w:t>
            </w:r>
            <w:r>
              <w:rPr>
                <w:spacing w:val="7"/>
              </w:rPr>
              <w:t>业建设项目暂停新增主要污染物排</w:t>
            </w:r>
            <w:r>
              <w:rPr/>
              <w:t xml:space="preserve"> </w:t>
            </w:r>
            <w:r>
              <w:rPr>
                <w:spacing w:val="4"/>
              </w:rPr>
              <w:t>放建设项目的总量审批。</w:t>
            </w:r>
          </w:p>
          <w:p>
            <w:pPr>
              <w:pStyle w:val="TableText"/>
              <w:ind w:left="6"/>
              <w:spacing w:line="225" w:lineRule="auto"/>
              <w:rPr/>
            </w:pPr>
            <w:r>
              <w:rPr>
                <w:spacing w:val="5"/>
              </w:rPr>
              <w:t>②</w:t>
            </w:r>
            <w:r>
              <w:rPr>
                <w:rFonts w:ascii="Times New Roman" w:hAnsi="Times New Roman" w:eastAsia="Times New Roman" w:cs="Times New Roman"/>
                <w:spacing w:val="5"/>
              </w:rPr>
              <w:t>45 </w:t>
            </w:r>
            <w:r>
              <w:rPr>
                <w:spacing w:val="5"/>
              </w:rPr>
              <w:t>米以上高架源纳入自治区重点污染源在线监控并实现与生态环境部门联网。</w:t>
            </w:r>
          </w:p>
          <w:p>
            <w:pPr>
              <w:pStyle w:val="TableText"/>
              <w:ind w:left="8" w:hanging="2"/>
              <w:spacing w:before="30" w:line="239" w:lineRule="auto"/>
              <w:rPr/>
            </w:pPr>
            <w:r>
              <w:rPr>
                <w:spacing w:val="8"/>
              </w:rPr>
              <w:t>③加强矿山开采污染治理。强化矿山开采、储存、装卸、运输</w:t>
            </w:r>
            <w:r>
              <w:rPr>
                <w:spacing w:val="7"/>
              </w:rPr>
              <w:t>过程的污染防治，确保粉尘达</w:t>
            </w:r>
            <w:r>
              <w:rPr/>
              <w:t xml:space="preserve"> </w:t>
            </w:r>
            <w:r>
              <w:rPr>
                <w:spacing w:val="3"/>
              </w:rPr>
              <w:t>标排放。</w:t>
            </w:r>
          </w:p>
          <w:p>
            <w:pPr>
              <w:pStyle w:val="TableText"/>
              <w:ind w:left="6"/>
              <w:spacing w:before="26" w:line="225" w:lineRule="auto"/>
              <w:rPr/>
            </w:pPr>
            <w:r>
              <w:rPr>
                <w:spacing w:val="6"/>
              </w:rPr>
              <w:t>④重点行业粉状物料堆场必须进行全封闭，块状</w:t>
            </w:r>
            <w:r>
              <w:rPr>
                <w:spacing w:val="5"/>
              </w:rPr>
              <w:t>物料必须安装抑尘设施。</w:t>
            </w:r>
          </w:p>
          <w:p>
            <w:pPr>
              <w:pStyle w:val="TableText"/>
              <w:ind w:left="6"/>
              <w:spacing w:before="27" w:line="225" w:lineRule="auto"/>
              <w:rPr/>
            </w:pPr>
            <w:r>
              <w:rPr>
                <w:spacing w:val="5"/>
              </w:rPr>
              <w:t>⑤所有新建城镇污水处理设施要执行一级</w:t>
            </w:r>
            <w:r>
              <w:rPr>
                <w:spacing w:val="-42"/>
              </w:rPr>
              <w:t xml:space="preserve"> </w:t>
            </w:r>
            <w:r>
              <w:rPr>
                <w:rFonts w:ascii="Times New Roman" w:hAnsi="Times New Roman" w:eastAsia="Times New Roman" w:cs="Times New Roman"/>
                <w:spacing w:val="5"/>
              </w:rPr>
              <w:t>A </w:t>
            </w:r>
            <w:r>
              <w:rPr>
                <w:spacing w:val="5"/>
              </w:rPr>
              <w:t>排放标准。</w:t>
            </w:r>
          </w:p>
          <w:p>
            <w:pPr>
              <w:pStyle w:val="TableText"/>
              <w:ind w:left="23" w:right="50" w:hanging="17"/>
              <w:spacing w:before="27"/>
              <w:rPr/>
            </w:pPr>
            <w:r>
              <w:rPr>
                <w:spacing w:val="6"/>
              </w:rPr>
              <w:t>⑥加大对纯凝机组和热电联产机组技术改造力度，加快供热管网建设，推进老旧管网改造，</w:t>
            </w:r>
            <w:r>
              <w:rPr>
                <w:spacing w:val="17"/>
              </w:rPr>
              <w:t xml:space="preserve"> </w:t>
            </w:r>
            <w:r>
              <w:rPr>
                <w:spacing w:val="5"/>
              </w:rPr>
              <w:t>降低系统能耗，充分释放和提高供热能力，淘汰管网覆盖范围内的燃煤锅炉和散煤。</w:t>
            </w:r>
          </w:p>
          <w:p>
            <w:pPr>
              <w:pStyle w:val="TableText"/>
              <w:ind w:left="9" w:hanging="3"/>
              <w:spacing w:before="24"/>
              <w:rPr/>
            </w:pPr>
            <w:r>
              <w:rPr>
                <w:spacing w:val="8"/>
              </w:rPr>
              <w:t>⑦对新发现的小型造纸、制革、印染、染料、炼焦、炼硫、炼</w:t>
            </w:r>
            <w:r>
              <w:rPr>
                <w:spacing w:val="7"/>
              </w:rPr>
              <w:t>砷、炼油、电镀、农药等严重</w:t>
            </w:r>
            <w:r>
              <w:rPr/>
              <w:t xml:space="preserve"> </w:t>
            </w:r>
            <w:r>
              <w:rPr>
                <w:spacing w:val="4"/>
              </w:rPr>
              <w:t>污染水环境的“十小</w:t>
            </w:r>
            <w:r>
              <w:rPr>
                <w:spacing w:val="-72"/>
              </w:rPr>
              <w:t xml:space="preserve"> </w:t>
            </w:r>
            <w:r>
              <w:rPr>
                <w:spacing w:val="4"/>
              </w:rPr>
              <w:t>”企业坚决依法予以取缔。</w:t>
            </w:r>
          </w:p>
          <w:p>
            <w:pPr>
              <w:pStyle w:val="TableText"/>
              <w:ind w:left="6"/>
              <w:spacing w:before="27" w:line="239" w:lineRule="auto"/>
              <w:rPr/>
            </w:pPr>
            <w:r>
              <w:rPr>
                <w:spacing w:val="8"/>
              </w:rPr>
              <w:t>⑧贮存煤炭、煤矸石、煤渣、煤灰等易产生煤尘的物料应当密</w:t>
            </w:r>
            <w:r>
              <w:rPr>
                <w:spacing w:val="7"/>
              </w:rPr>
              <w:t>闭；不能密闭的，应当设置不</w:t>
            </w:r>
            <w:r>
              <w:rPr/>
              <w:t xml:space="preserve"> </w:t>
            </w:r>
            <w:r>
              <w:rPr>
                <w:spacing w:val="5"/>
              </w:rPr>
              <w:t>低于堆放物高度的严密围挡，并采取有效覆盖措施防治煤尘污染。</w:t>
            </w:r>
          </w:p>
          <w:p>
            <w:pPr>
              <w:pStyle w:val="TableText"/>
              <w:ind w:left="7" w:hanging="1"/>
              <w:spacing w:before="25"/>
              <w:rPr/>
            </w:pPr>
            <w:r>
              <w:rPr>
                <w:spacing w:val="8"/>
              </w:rPr>
              <w:t>⑨禁止露天焚烧沥青、油毡、橡胶、塑料、皮革、垃圾以及其</w:t>
            </w:r>
            <w:r>
              <w:rPr>
                <w:spacing w:val="7"/>
              </w:rPr>
              <w:t>他产生有毒有害烟尘和恶臭气</w:t>
            </w:r>
            <w:r>
              <w:rPr/>
              <w:t xml:space="preserve"> </w:t>
            </w:r>
            <w:r>
              <w:rPr>
                <w:spacing w:val="5"/>
              </w:rPr>
              <w:t>体的物质；确需焚烧处理的，应当采用专用焚烧装置。</w:t>
            </w:r>
          </w:p>
          <w:p>
            <w:pPr>
              <w:pStyle w:val="TableText"/>
              <w:ind w:left="11" w:hanging="5"/>
              <w:spacing w:before="26"/>
              <w:rPr/>
            </w:pPr>
            <w:r>
              <w:rPr>
                <w:spacing w:val="8"/>
              </w:rPr>
              <w:t>⑩禁止在居民住宅楼、未配套设立专用烟道的商住综合楼以及</w:t>
            </w:r>
            <w:r>
              <w:rPr>
                <w:spacing w:val="7"/>
              </w:rPr>
              <w:t>商住综合楼内与居住层相邻的</w:t>
            </w:r>
            <w:r>
              <w:rPr/>
              <w:t xml:space="preserve"> </w:t>
            </w:r>
            <w:r>
              <w:rPr>
                <w:spacing w:val="5"/>
              </w:rPr>
              <w:t>商业楼层内新建、改建、扩建产生油烟、异味、废气的餐饮服务项目。</w:t>
            </w:r>
          </w:p>
          <w:p>
            <w:pPr>
              <w:pStyle w:val="TableText"/>
              <w:ind w:left="8" w:right="1" w:hanging="4"/>
              <w:spacing w:before="25"/>
              <w:rPr/>
            </w:pPr>
            <w:r>
              <w:rPr>
                <w:rFonts w:ascii="MS PGothic" w:hAnsi="MS PGothic" w:eastAsia="MS PGothic" w:cs="MS PGothic"/>
                <w:spacing w:val="8"/>
              </w:rPr>
              <w:t>⑩</w:t>
            </w:r>
            <w:r>
              <w:rPr>
                <w:spacing w:val="8"/>
              </w:rPr>
              <w:t>排放工业废水的企业应当采取有效措施，收集和处理产生的</w:t>
            </w:r>
            <w:r>
              <w:rPr>
                <w:spacing w:val="7"/>
              </w:rPr>
              <w:t>全部废水，应当达标排放。含</w:t>
            </w:r>
            <w:r>
              <w:rPr/>
              <w:t xml:space="preserve"> </w:t>
            </w:r>
            <w:r>
              <w:rPr>
                <w:spacing w:val="5"/>
              </w:rPr>
              <w:t>有毒有害水污染物的工业废水应当分类收集和处理，禁止稀释排放。</w:t>
            </w:r>
          </w:p>
          <w:p>
            <w:pPr>
              <w:pStyle w:val="TableText"/>
              <w:ind w:left="8"/>
              <w:spacing w:before="24" w:line="228" w:lineRule="auto"/>
              <w:rPr/>
            </w:pPr>
            <w:r>
              <w:rPr>
                <w:spacing w:val="6"/>
              </w:rPr>
              <w:t>禁止餐饮、洗浴、洗涤、洗车经营者直接向雨水排放系</w:t>
            </w:r>
            <w:r>
              <w:rPr>
                <w:spacing w:val="5"/>
              </w:rPr>
              <w:t>统、河道等外环境排放污水。</w:t>
            </w:r>
          </w:p>
          <w:p>
            <w:pPr>
              <w:pStyle w:val="TableText"/>
              <w:ind w:left="4"/>
              <w:spacing w:before="27" w:line="224" w:lineRule="auto"/>
              <w:rPr/>
            </w:pPr>
            <w:r>
              <w:rPr>
                <w:rFonts w:ascii="MS PGothic" w:hAnsi="MS PGothic" w:eastAsia="MS PGothic" w:cs="MS PGothic"/>
                <w:spacing w:val="5"/>
              </w:rPr>
              <w:t>⑩</w:t>
            </w:r>
            <w:r>
              <w:rPr>
                <w:spacing w:val="5"/>
              </w:rPr>
              <w:t>禁止含酚废水作为煤气水封水、冲渣水。</w:t>
            </w:r>
          </w:p>
          <w:p>
            <w:pPr>
              <w:pStyle w:val="TableText"/>
              <w:ind w:left="4"/>
              <w:spacing w:before="28" w:line="224" w:lineRule="auto"/>
              <w:rPr/>
            </w:pPr>
            <w:r>
              <w:rPr>
                <w:rFonts w:ascii="MS PGothic" w:hAnsi="MS PGothic" w:eastAsia="MS PGothic" w:cs="MS PGothic"/>
                <w:spacing w:val="5"/>
              </w:rPr>
              <w:t>⑧</w:t>
            </w:r>
            <w:r>
              <w:rPr>
                <w:spacing w:val="5"/>
              </w:rPr>
              <w:t>禁止生产、销售、使用不符合国家标准的农用薄膜。</w:t>
            </w:r>
          </w:p>
          <w:p>
            <w:pPr>
              <w:pStyle w:val="TableText"/>
              <w:ind w:left="4"/>
              <w:spacing w:before="29" w:line="224" w:lineRule="auto"/>
              <w:rPr/>
            </w:pPr>
            <w:r>
              <w:rPr>
                <w:rFonts w:ascii="MS PGothic" w:hAnsi="MS PGothic" w:eastAsia="MS PGothic" w:cs="MS PGothic"/>
                <w:spacing w:val="6"/>
              </w:rPr>
              <w:t>⑩</w:t>
            </w:r>
            <w:r>
              <w:rPr>
                <w:spacing w:val="6"/>
              </w:rPr>
              <w:t>禁止将危险废物混入生活垃圾或者其他废</w:t>
            </w:r>
            <w:r>
              <w:rPr>
                <w:spacing w:val="5"/>
              </w:rPr>
              <w:t>物贮存、运输。</w:t>
            </w:r>
          </w:p>
          <w:p>
            <w:pPr>
              <w:pStyle w:val="TableText"/>
              <w:ind w:left="4"/>
              <w:spacing w:before="31" w:line="224" w:lineRule="auto"/>
              <w:rPr/>
            </w:pPr>
            <w:r>
              <w:rPr>
                <w:rFonts w:ascii="MS PGothic" w:hAnsi="MS PGothic" w:eastAsia="MS PGothic" w:cs="MS PGothic"/>
                <w:spacing w:val="6"/>
              </w:rPr>
              <w:t>⑩</w:t>
            </w:r>
            <w:r>
              <w:rPr>
                <w:spacing w:val="6"/>
              </w:rPr>
              <w:t>禁止以任何方式进口固体废物。禁止境外的固体废物进境倾倒、</w:t>
            </w:r>
            <w:r>
              <w:rPr>
                <w:spacing w:val="5"/>
              </w:rPr>
              <w:t>堆放、处置。</w:t>
            </w:r>
          </w:p>
          <w:p>
            <w:pPr>
              <w:pStyle w:val="TableText"/>
              <w:ind w:left="18"/>
              <w:spacing w:before="30" w:line="228" w:lineRule="auto"/>
              <w:rPr/>
            </w:pPr>
            <w:r>
              <w:rPr>
                <w:spacing w:val="5"/>
              </w:rPr>
              <w:t>（</w:t>
            </w:r>
            <w:r>
              <w:rPr>
                <w:rFonts w:ascii="Times New Roman" w:hAnsi="Times New Roman" w:eastAsia="Times New Roman" w:cs="Times New Roman"/>
                <w:spacing w:val="5"/>
              </w:rPr>
              <w:t>2</w:t>
            </w:r>
            <w:r>
              <w:rPr>
                <w:spacing w:val="5"/>
              </w:rPr>
              <w:t>）所有新建城镇污水处理设施要执行一级</w:t>
            </w:r>
            <w:r>
              <w:rPr>
                <w:spacing w:val="-51"/>
              </w:rPr>
              <w:t xml:space="preserve"> </w:t>
            </w:r>
            <w:r>
              <w:rPr>
                <w:rFonts w:ascii="Times New Roman" w:hAnsi="Times New Roman" w:eastAsia="Times New Roman" w:cs="Times New Roman"/>
                <w:spacing w:val="5"/>
              </w:rPr>
              <w:t>A </w:t>
            </w:r>
            <w:r>
              <w:rPr>
                <w:spacing w:val="5"/>
              </w:rPr>
              <w:t>排放</w:t>
            </w:r>
            <w:r>
              <w:rPr>
                <w:spacing w:val="4"/>
              </w:rPr>
              <w:t>标准。</w:t>
            </w:r>
          </w:p>
          <w:p>
            <w:pPr>
              <w:pStyle w:val="TableText"/>
              <w:ind w:left="18"/>
              <w:spacing w:before="24" w:line="228" w:lineRule="auto"/>
              <w:rPr/>
            </w:pPr>
            <w:r>
              <w:rPr>
                <w:spacing w:val="5"/>
              </w:rPr>
              <w:t>（</w:t>
            </w:r>
            <w:r>
              <w:rPr>
                <w:rFonts w:ascii="Times New Roman" w:hAnsi="Times New Roman" w:eastAsia="Times New Roman" w:cs="Times New Roman"/>
                <w:spacing w:val="5"/>
              </w:rPr>
              <w:t>3</w:t>
            </w:r>
            <w:r>
              <w:rPr>
                <w:spacing w:val="5"/>
              </w:rPr>
              <w:t>）新建排放重金属污染物的建设项目全面执行重金属重点污染物排放限值要求。</w:t>
            </w:r>
          </w:p>
          <w:p>
            <w:pPr>
              <w:pStyle w:val="TableText"/>
              <w:ind w:left="10" w:firstLine="7"/>
              <w:spacing w:before="28" w:line="233" w:lineRule="auto"/>
              <w:rPr/>
            </w:pPr>
            <w:r>
              <w:rPr>
                <w:spacing w:val="5"/>
              </w:rPr>
              <w:t>（</w:t>
            </w:r>
            <w:r>
              <w:rPr>
                <w:rFonts w:ascii="Times New Roman" w:hAnsi="Times New Roman" w:eastAsia="Times New Roman" w:cs="Times New Roman"/>
                <w:spacing w:val="5"/>
              </w:rPr>
              <w:t>4</w:t>
            </w:r>
            <w:r>
              <w:rPr>
                <w:spacing w:val="5"/>
              </w:rPr>
              <w:t>）入区企业必须采用先进的、密封性能好的生产设备、化学物料存</w:t>
            </w:r>
            <w:r>
              <w:rPr>
                <w:spacing w:val="4"/>
              </w:rPr>
              <w:t>贮容器和输送管道，最</w:t>
            </w:r>
            <w:r>
              <w:rPr/>
              <w:t xml:space="preserve"> </w:t>
            </w:r>
            <w:r>
              <w:rPr>
                <w:spacing w:val="8"/>
              </w:rPr>
              <w:t>大限度减少无组织废气排放；同时还要采用先进的治</w:t>
            </w:r>
            <w:r>
              <w:rPr>
                <w:spacing w:val="7"/>
              </w:rPr>
              <w:t>理和回收技术，严格按照有关规定，实</w:t>
            </w:r>
          </w:p>
        </w:tc>
        <w:tc>
          <w:tcPr>
            <w:tcW w:w="3494" w:type="dxa"/>
            <w:vAlign w:val="top"/>
          </w:tcPr>
          <w:p>
            <w:pPr>
              <w:pStyle w:val="TableText"/>
              <w:ind w:left="13"/>
              <w:spacing w:before="32" w:line="228" w:lineRule="auto"/>
              <w:rPr/>
            </w:pPr>
            <w:r>
              <w:rPr>
                <w:spacing w:val="4"/>
              </w:rPr>
              <w:t>准入要求，分析如下：</w:t>
            </w:r>
          </w:p>
          <w:p>
            <w:pPr>
              <w:pStyle w:val="TableText"/>
              <w:ind w:left="12" w:right="185" w:hanging="2"/>
              <w:spacing w:before="24"/>
              <w:rPr/>
            </w:pPr>
            <w:r>
              <w:rPr>
                <w:spacing w:val="5"/>
              </w:rPr>
              <w:t>①项目废气排放总量指标污染物按要</w:t>
            </w:r>
            <w:r>
              <w:rPr>
                <w:spacing w:val="11"/>
              </w:rPr>
              <w:t xml:space="preserve"> </w:t>
            </w:r>
            <w:r>
              <w:rPr>
                <w:spacing w:val="4"/>
              </w:rPr>
              <w:t>求进行总量审批；</w:t>
            </w:r>
          </w:p>
          <w:p>
            <w:pPr>
              <w:pStyle w:val="TableText"/>
              <w:ind w:left="9"/>
              <w:spacing w:before="24" w:line="225" w:lineRule="auto"/>
              <w:rPr/>
            </w:pPr>
            <w:r>
              <w:rPr>
                <w:spacing w:val="2"/>
              </w:rPr>
              <w:t>②不涉及</w:t>
            </w:r>
            <w:r>
              <w:rPr>
                <w:spacing w:val="-44"/>
              </w:rPr>
              <w:t xml:space="preserve"> </w:t>
            </w:r>
            <w:r>
              <w:rPr>
                <w:rFonts w:ascii="Times New Roman" w:hAnsi="Times New Roman" w:eastAsia="Times New Roman" w:cs="Times New Roman"/>
                <w:spacing w:val="2"/>
              </w:rPr>
              <w:t>45m</w:t>
            </w:r>
            <w:r>
              <w:rPr>
                <w:rFonts w:ascii="Times New Roman" w:hAnsi="Times New Roman" w:eastAsia="Times New Roman" w:cs="Times New Roman"/>
                <w:spacing w:val="30"/>
                <w:w w:val="101"/>
              </w:rPr>
              <w:t xml:space="preserve"> </w:t>
            </w:r>
            <w:r>
              <w:rPr>
                <w:spacing w:val="2"/>
              </w:rPr>
              <w:t>以上高架源；</w:t>
            </w:r>
          </w:p>
          <w:p>
            <w:pPr>
              <w:pStyle w:val="TableText"/>
              <w:ind w:left="9"/>
              <w:spacing w:before="29" w:line="225" w:lineRule="auto"/>
              <w:rPr/>
            </w:pPr>
            <w:r>
              <w:rPr>
                <w:spacing w:val="5"/>
              </w:rPr>
              <w:t>③不属于矿山开采工程；</w:t>
            </w:r>
          </w:p>
          <w:p>
            <w:pPr>
              <w:pStyle w:val="TableText"/>
              <w:ind w:left="9"/>
              <w:spacing w:before="27" w:line="225" w:lineRule="auto"/>
              <w:rPr/>
            </w:pPr>
            <w:r>
              <w:rPr>
                <w:spacing w:val="4"/>
              </w:rPr>
              <w:t>④按要求实施；</w:t>
            </w:r>
          </w:p>
          <w:p>
            <w:pPr>
              <w:pStyle w:val="TableText"/>
              <w:ind w:left="9"/>
              <w:spacing w:before="30" w:line="225" w:lineRule="auto"/>
              <w:rPr/>
            </w:pPr>
            <w:r>
              <w:rPr>
                <w:spacing w:val="5"/>
              </w:rPr>
              <w:t>⑤不属于新建城镇污水处理设施。</w:t>
            </w:r>
          </w:p>
          <w:p>
            <w:pPr>
              <w:pStyle w:val="TableText"/>
              <w:ind w:left="11" w:right="3" w:hanging="2"/>
              <w:spacing w:before="25" w:line="244" w:lineRule="auto"/>
              <w:rPr/>
            </w:pPr>
            <w:r>
              <w:rPr>
                <w:spacing w:val="4"/>
              </w:rPr>
              <w:t>⑥厂址周边未建成集中供热设施，项目</w:t>
            </w:r>
            <w:r>
              <w:rPr>
                <w:spacing w:val="7"/>
              </w:rPr>
              <w:t xml:space="preserve"> </w:t>
            </w:r>
            <w:r>
              <w:rPr/>
              <w:t>建设</w:t>
            </w:r>
            <w:r>
              <w:rPr>
                <w:spacing w:val="-3"/>
              </w:rPr>
              <w:t xml:space="preserve"> </w:t>
            </w:r>
            <w:r>
              <w:rPr>
                <w:rFonts w:ascii="Times New Roman" w:hAnsi="Times New Roman" w:eastAsia="Times New Roman" w:cs="Times New Roman"/>
              </w:rPr>
              <w:t>1</w:t>
            </w:r>
            <w:r>
              <w:rPr>
                <w:rFonts w:ascii="Times New Roman" w:hAnsi="Times New Roman" w:eastAsia="Times New Roman" w:cs="Times New Roman"/>
                <w:spacing w:val="28"/>
                <w:w w:val="101"/>
              </w:rPr>
              <w:t xml:space="preserve"> </w:t>
            </w:r>
            <w:r>
              <w:rPr/>
              <w:t>台</w:t>
            </w:r>
            <w:r>
              <w:rPr>
                <w:spacing w:val="-44"/>
              </w:rPr>
              <w:t xml:space="preserve"> </w:t>
            </w:r>
            <w:r>
              <w:rPr>
                <w:rFonts w:ascii="Times New Roman" w:hAnsi="Times New Roman" w:eastAsia="Times New Roman" w:cs="Times New Roman"/>
              </w:rPr>
              <w:t>4t/h</w:t>
            </w:r>
            <w:r>
              <w:rPr>
                <w:rFonts w:ascii="Times New Roman" w:hAnsi="Times New Roman" w:eastAsia="Times New Roman" w:cs="Times New Roman"/>
                <w:spacing w:val="16"/>
              </w:rPr>
              <w:t xml:space="preserve"> </w:t>
            </w:r>
            <w:r>
              <w:rPr/>
              <w:t>沼气锅炉</w:t>
            </w:r>
            <w:r>
              <w:rPr>
                <w:rFonts w:ascii="Times New Roman" w:hAnsi="Times New Roman" w:eastAsia="Times New Roman" w:cs="Times New Roman"/>
              </w:rPr>
              <w:t>+1</w:t>
            </w:r>
            <w:r>
              <w:rPr>
                <w:rFonts w:ascii="Times New Roman" w:hAnsi="Times New Roman" w:eastAsia="Times New Roman" w:cs="Times New Roman"/>
                <w:spacing w:val="28"/>
                <w:w w:val="101"/>
              </w:rPr>
              <w:t xml:space="preserve"> </w:t>
            </w:r>
            <w:r>
              <w:rPr/>
              <w:t>台</w:t>
            </w:r>
            <w:r>
              <w:rPr>
                <w:spacing w:val="-39"/>
              </w:rPr>
              <w:t xml:space="preserve"> </w:t>
            </w:r>
            <w:r>
              <w:rPr>
                <w:rFonts w:ascii="Times New Roman" w:hAnsi="Times New Roman" w:eastAsia="Times New Roman" w:cs="Times New Roman"/>
              </w:rPr>
              <w:t>6t/h</w:t>
            </w:r>
            <w:r>
              <w:rPr>
                <w:rFonts w:ascii="Times New Roman" w:hAnsi="Times New Roman" w:eastAsia="Times New Roman" w:cs="Times New Roman"/>
                <w:spacing w:val="14"/>
                <w:w w:val="101"/>
              </w:rPr>
              <w:t xml:space="preserve"> </w:t>
            </w:r>
            <w:r>
              <w:rPr/>
              <w:t>生物 </w:t>
            </w:r>
            <w:r>
              <w:rPr>
                <w:spacing w:val="8"/>
              </w:rPr>
              <w:t>质锅炉作为生产生活热源；</w:t>
            </w:r>
          </w:p>
          <w:p>
            <w:pPr>
              <w:pStyle w:val="TableText"/>
              <w:ind w:left="9" w:right="185"/>
              <w:spacing w:before="25" w:line="246" w:lineRule="auto"/>
              <w:rPr/>
            </w:pPr>
            <w:r>
              <w:rPr>
                <w:spacing w:val="5"/>
              </w:rPr>
              <w:t>⑦不涉及印染；项目不属于“十小企</w:t>
            </w:r>
            <w:r>
              <w:rPr>
                <w:spacing w:val="12"/>
              </w:rPr>
              <w:t xml:space="preserve"> </w:t>
            </w:r>
            <w:r>
              <w:rPr>
                <w:spacing w:val="2"/>
              </w:rPr>
              <w:t>业</w:t>
            </w:r>
            <w:r>
              <w:rPr>
                <w:spacing w:val="-73"/>
              </w:rPr>
              <w:t xml:space="preserve"> </w:t>
            </w:r>
            <w:r>
              <w:rPr>
                <w:spacing w:val="2"/>
              </w:rPr>
              <w:t>”。</w:t>
            </w:r>
          </w:p>
          <w:p>
            <w:pPr>
              <w:pStyle w:val="TableText"/>
              <w:ind w:left="9"/>
              <w:spacing w:before="14" w:line="239" w:lineRule="auto"/>
              <w:rPr/>
            </w:pPr>
            <w:r>
              <w:rPr>
                <w:spacing w:val="4"/>
              </w:rPr>
              <w:t>⑧生物质锅炉草木灰袋装储存，一般固</w:t>
            </w:r>
            <w:r>
              <w:rPr>
                <w:spacing w:val="10"/>
              </w:rPr>
              <w:t xml:space="preserve"> </w:t>
            </w:r>
            <w:r>
              <w:rPr>
                <w:spacing w:val="4"/>
              </w:rPr>
              <w:t>废贮存库全封闭建设；</w:t>
            </w:r>
          </w:p>
          <w:p>
            <w:pPr>
              <w:pStyle w:val="TableText"/>
              <w:ind w:left="9"/>
              <w:spacing w:before="25" w:line="225" w:lineRule="auto"/>
              <w:rPr/>
            </w:pPr>
            <w:r>
              <w:rPr>
                <w:spacing w:val="4"/>
              </w:rPr>
              <w:t>⑨不涉及；</w:t>
            </w:r>
          </w:p>
          <w:p>
            <w:pPr>
              <w:pStyle w:val="TableText"/>
              <w:ind w:left="9"/>
              <w:spacing w:before="30" w:line="225" w:lineRule="auto"/>
              <w:rPr/>
            </w:pPr>
            <w:r>
              <w:rPr>
                <w:spacing w:val="4"/>
              </w:rPr>
              <w:t>⑩不涉及；</w:t>
            </w:r>
          </w:p>
          <w:p>
            <w:pPr>
              <w:pStyle w:val="TableText"/>
              <w:ind w:left="12" w:hanging="5"/>
              <w:spacing w:before="27"/>
              <w:rPr/>
            </w:pPr>
            <w:r>
              <w:rPr>
                <w:rFonts w:ascii="MS PGothic" w:hAnsi="MS PGothic" w:eastAsia="MS PGothic" w:cs="MS PGothic"/>
                <w:spacing w:val="4"/>
              </w:rPr>
              <w:t>⑩</w:t>
            </w:r>
            <w:r>
              <w:rPr>
                <w:spacing w:val="4"/>
              </w:rPr>
              <w:t>生产废水全部综合利用，部分生活污</w:t>
            </w:r>
            <w:r>
              <w:rPr>
                <w:spacing w:val="12"/>
              </w:rPr>
              <w:t xml:space="preserve"> </w:t>
            </w:r>
            <w:r>
              <w:rPr>
                <w:spacing w:val="4"/>
              </w:rPr>
              <w:t>水外排市政污水管网；</w:t>
            </w:r>
          </w:p>
          <w:p>
            <w:pPr>
              <w:pStyle w:val="TableText"/>
              <w:ind w:left="7"/>
              <w:spacing w:before="25" w:line="224" w:lineRule="auto"/>
              <w:rPr/>
            </w:pPr>
            <w:r>
              <w:rPr>
                <w:rFonts w:ascii="MS PGothic" w:hAnsi="MS PGothic" w:eastAsia="MS PGothic" w:cs="MS PGothic"/>
                <w:spacing w:val="5"/>
              </w:rPr>
              <w:t>⑩</w:t>
            </w:r>
            <w:r>
              <w:rPr>
                <w:spacing w:val="5"/>
              </w:rPr>
              <w:t>不涉及；</w:t>
            </w:r>
          </w:p>
          <w:p>
            <w:pPr>
              <w:pStyle w:val="TableText"/>
              <w:ind w:left="7"/>
              <w:spacing w:before="31" w:line="224" w:lineRule="auto"/>
              <w:rPr/>
            </w:pPr>
            <w:r>
              <w:rPr>
                <w:rFonts w:ascii="MS PGothic" w:hAnsi="MS PGothic" w:eastAsia="MS PGothic" w:cs="MS PGothic"/>
                <w:spacing w:val="5"/>
              </w:rPr>
              <w:t>⑧</w:t>
            </w:r>
            <w:r>
              <w:rPr>
                <w:spacing w:val="5"/>
              </w:rPr>
              <w:t>不涉及；</w:t>
            </w:r>
          </w:p>
          <w:p>
            <w:pPr>
              <w:pStyle w:val="TableText"/>
              <w:ind w:left="12" w:right="183" w:hanging="5"/>
              <w:spacing w:before="29"/>
              <w:rPr/>
            </w:pPr>
            <w:r>
              <w:rPr>
                <w:rFonts w:ascii="MS PGothic" w:hAnsi="MS PGothic" w:eastAsia="MS PGothic" w:cs="MS PGothic"/>
                <w:spacing w:val="6"/>
              </w:rPr>
              <w:t>⑩</w:t>
            </w:r>
            <w:r>
              <w:rPr>
                <w:spacing w:val="6"/>
              </w:rPr>
              <w:t>项目产生的危险废物均委托有资质</w:t>
            </w:r>
            <w:r>
              <w:rPr/>
              <w:t xml:space="preserve"> </w:t>
            </w:r>
            <w:r>
              <w:rPr>
                <w:spacing w:val="3"/>
              </w:rPr>
              <w:t>单位处理；</w:t>
            </w:r>
          </w:p>
          <w:p>
            <w:pPr>
              <w:pStyle w:val="TableText"/>
              <w:ind w:left="7"/>
              <w:spacing w:before="24" w:line="224" w:lineRule="auto"/>
              <w:rPr/>
            </w:pPr>
            <w:r>
              <w:rPr>
                <w:rFonts w:ascii="MS PGothic" w:hAnsi="MS PGothic" w:eastAsia="MS PGothic" w:cs="MS PGothic"/>
                <w:spacing w:val="5"/>
              </w:rPr>
              <w:t>⑩</w:t>
            </w:r>
            <w:r>
              <w:rPr>
                <w:spacing w:val="5"/>
              </w:rPr>
              <w:t>不涉及。</w:t>
            </w:r>
          </w:p>
          <w:p>
            <w:pPr>
              <w:pStyle w:val="TableText"/>
              <w:ind w:left="21"/>
              <w:spacing w:before="28" w:line="228" w:lineRule="auto"/>
              <w:rPr/>
            </w:pPr>
            <w:r>
              <w:rPr>
                <w:spacing w:val="4"/>
              </w:rPr>
              <w:t>（</w:t>
            </w:r>
            <w:r>
              <w:rPr>
                <w:rFonts w:ascii="Times New Roman" w:hAnsi="Times New Roman" w:eastAsia="Times New Roman" w:cs="Times New Roman"/>
                <w:spacing w:val="4"/>
              </w:rPr>
              <w:t>2</w:t>
            </w:r>
            <w:r>
              <w:rPr>
                <w:spacing w:val="4"/>
              </w:rPr>
              <w:t>）不属于新建城镇污水处理设施。</w:t>
            </w:r>
          </w:p>
          <w:p>
            <w:pPr>
              <w:pStyle w:val="TableText"/>
              <w:ind w:left="21"/>
              <w:spacing w:before="27" w:line="229" w:lineRule="auto"/>
              <w:rPr/>
            </w:pPr>
            <w:r>
              <w:rPr>
                <w:spacing w:val="4"/>
              </w:rPr>
              <w:t>（</w:t>
            </w:r>
            <w:r>
              <w:rPr>
                <w:rFonts w:ascii="Times New Roman" w:hAnsi="Times New Roman" w:eastAsia="Times New Roman" w:cs="Times New Roman"/>
                <w:spacing w:val="4"/>
              </w:rPr>
              <w:t>3</w:t>
            </w:r>
            <w:r>
              <w:rPr>
                <w:spacing w:val="4"/>
              </w:rPr>
              <w:t>）不涉及重金属排放；</w:t>
            </w:r>
          </w:p>
          <w:p>
            <w:pPr>
              <w:pStyle w:val="TableText"/>
              <w:ind w:left="10" w:right="14" w:firstLine="10"/>
              <w:spacing w:before="25" w:line="239" w:lineRule="auto"/>
              <w:rPr/>
            </w:pPr>
            <w:r>
              <w:rPr>
                <w:spacing w:val="5"/>
              </w:rPr>
              <w:t>（</w:t>
            </w:r>
            <w:r>
              <w:rPr>
                <w:rFonts w:ascii="Times New Roman" w:hAnsi="Times New Roman" w:eastAsia="Times New Roman" w:cs="Times New Roman"/>
                <w:spacing w:val="5"/>
              </w:rPr>
              <w:t>4</w:t>
            </w:r>
            <w:r>
              <w:rPr>
                <w:spacing w:val="5"/>
              </w:rPr>
              <w:t>）不涉及化学物料使用；生产废水</w:t>
            </w:r>
            <w:r>
              <w:rPr/>
              <w:t xml:space="preserve"> </w:t>
            </w:r>
            <w:r>
              <w:rPr>
                <w:spacing w:val="3"/>
              </w:rPr>
              <w:t>采用厌氧发酵装置回收利用，不外排。</w:t>
            </w:r>
          </w:p>
          <w:p>
            <w:pPr>
              <w:pStyle w:val="TableText"/>
              <w:ind w:left="21"/>
              <w:spacing w:before="27" w:line="227" w:lineRule="auto"/>
              <w:rPr/>
            </w:pPr>
            <w:r>
              <w:rPr>
                <w:spacing w:val="4"/>
              </w:rPr>
              <w:t>（</w:t>
            </w:r>
            <w:r>
              <w:rPr>
                <w:rFonts w:ascii="Times New Roman" w:hAnsi="Times New Roman" w:eastAsia="Times New Roman" w:cs="Times New Roman"/>
                <w:spacing w:val="4"/>
              </w:rPr>
              <w:t>5</w:t>
            </w:r>
            <w:r>
              <w:rPr>
                <w:spacing w:val="4"/>
              </w:rPr>
              <w:t>）本项目污染较轻，技术先进。</w:t>
            </w:r>
          </w:p>
          <w:p>
            <w:pPr>
              <w:pStyle w:val="TableText"/>
              <w:ind w:left="21"/>
              <w:spacing w:before="26" w:line="216" w:lineRule="auto"/>
              <w:rPr/>
            </w:pPr>
            <w:r>
              <w:rPr>
                <w:spacing w:val="4"/>
              </w:rPr>
              <w:t>（</w:t>
            </w:r>
            <w:r>
              <w:rPr>
                <w:rFonts w:ascii="Times New Roman" w:hAnsi="Times New Roman" w:eastAsia="Times New Roman" w:cs="Times New Roman"/>
                <w:spacing w:val="4"/>
              </w:rPr>
              <w:t>6</w:t>
            </w:r>
            <w:r>
              <w:rPr>
                <w:spacing w:val="4"/>
              </w:rPr>
              <w:t>）项目污染物均可达标排放。</w:t>
            </w:r>
          </w:p>
        </w:tc>
        <w:tc>
          <w:tcPr>
            <w:tcW w:w="780" w:type="dxa"/>
            <w:vAlign w:val="top"/>
          </w:tcPr>
          <w:p>
            <w:pPr>
              <w:rPr>
                <w:rFonts w:ascii="Arial"/>
                <w:sz w:val="21"/>
              </w:rPr>
            </w:pPr>
            <w:r/>
          </w:p>
        </w:tc>
      </w:tr>
    </w:tbl>
    <w:p>
      <w:pPr>
        <w:pStyle w:val="BodyText"/>
        <w:spacing w:line="216" w:lineRule="exact"/>
        <w:rPr>
          <w:sz w:val="18"/>
        </w:rPr>
      </w:pPr>
      <w:r/>
    </w:p>
    <w:p>
      <w:pPr>
        <w:spacing w:line="216" w:lineRule="exact"/>
        <w:sectPr>
          <w:footerReference w:type="default" r:id="rId34"/>
          <w:pgSz w:w="16840" w:h="11907"/>
          <w:pgMar w:top="1567" w:right="1658" w:bottom="1480" w:left="1657" w:header="1221" w:footer="1246" w:gutter="0"/>
        </w:sectPr>
        <w:rPr>
          <w:sz w:val="18"/>
          <w:szCs w:val="18"/>
        </w:rPr>
      </w:pPr>
    </w:p>
    <w:p>
      <w:pPr>
        <w:spacing w:line="146" w:lineRule="exact"/>
        <w:rPr/>
      </w:pPr>
      <w:r>
        <w:pict>
          <v:shape id="_x0000_s108" style="position:absolute;margin-left:85.05pt;margin-top:78.87pt;mso-position-vertical-relative:page;mso-position-horizontal-relative:page;width:671.95pt;height:0.75pt;z-index:251709440;" o:allowincell="f" fillcolor="#000000" filled="true" stroked="false" coordsize="13439,15" coordorigin="0,0" path="m,l13438,0l13438,14l0,14l0,0xe"/>
        </w:pict>
      </w:r>
      <w:r/>
    </w:p>
    <w:tbl>
      <w:tblPr>
        <w:tblStyle w:val="TableNormal"/>
        <w:tblW w:w="1351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25"/>
        <w:gridCol w:w="8320"/>
        <w:gridCol w:w="3494"/>
        <w:gridCol w:w="780"/>
      </w:tblGrid>
      <w:tr>
        <w:trPr>
          <w:trHeight w:val="281" w:hRule="atLeast"/>
        </w:trPr>
        <w:tc>
          <w:tcPr>
            <w:tcW w:w="925" w:type="dxa"/>
            <w:vAlign w:val="top"/>
          </w:tcPr>
          <w:p>
            <w:pPr>
              <w:pStyle w:val="TableText"/>
              <w:ind w:left="261"/>
              <w:spacing w:before="36" w:line="216" w:lineRule="auto"/>
              <w:rPr/>
            </w:pPr>
            <w:r>
              <w:rPr>
                <w:spacing w:val="3"/>
              </w:rPr>
              <w:t>类别</w:t>
            </w:r>
          </w:p>
        </w:tc>
        <w:tc>
          <w:tcPr>
            <w:tcW w:w="8320" w:type="dxa"/>
            <w:vAlign w:val="top"/>
          </w:tcPr>
          <w:p>
            <w:pPr>
              <w:pStyle w:val="TableText"/>
              <w:ind w:left="3757"/>
              <w:spacing w:before="36" w:line="216" w:lineRule="auto"/>
              <w:rPr/>
            </w:pPr>
            <w:r>
              <w:rPr>
                <w:spacing w:val="3"/>
              </w:rPr>
              <w:t>管控要求</w:t>
            </w:r>
          </w:p>
        </w:tc>
        <w:tc>
          <w:tcPr>
            <w:tcW w:w="3494" w:type="dxa"/>
            <w:vAlign w:val="top"/>
          </w:tcPr>
          <w:p>
            <w:pPr>
              <w:pStyle w:val="TableText"/>
              <w:ind w:left="1238"/>
              <w:spacing w:before="36" w:line="216" w:lineRule="auto"/>
              <w:rPr/>
            </w:pPr>
            <w:r>
              <w:rPr>
                <w:spacing w:val="4"/>
              </w:rPr>
              <w:t>本项目情况</w:t>
            </w:r>
          </w:p>
        </w:tc>
        <w:tc>
          <w:tcPr>
            <w:tcW w:w="780" w:type="dxa"/>
            <w:vAlign w:val="top"/>
          </w:tcPr>
          <w:p>
            <w:pPr>
              <w:pStyle w:val="TableText"/>
              <w:ind w:left="87"/>
              <w:spacing w:before="36" w:line="216" w:lineRule="auto"/>
              <w:rPr/>
            </w:pPr>
            <w:r>
              <w:rPr>
                <w:spacing w:val="3"/>
              </w:rPr>
              <w:t>符合性</w:t>
            </w:r>
          </w:p>
        </w:tc>
      </w:tr>
      <w:tr>
        <w:trPr>
          <w:trHeight w:val="278" w:hRule="atLeast"/>
        </w:trPr>
        <w:tc>
          <w:tcPr>
            <w:tcW w:w="13519" w:type="dxa"/>
            <w:vAlign w:val="top"/>
            <w:gridSpan w:val="4"/>
          </w:tcPr>
          <w:p>
            <w:pPr>
              <w:pStyle w:val="TableText"/>
              <w:ind w:left="17"/>
              <w:spacing w:before="31" w:line="218" w:lineRule="auto"/>
              <w:rPr/>
            </w:pPr>
            <w:r>
              <w:rPr>
                <w:b/>
                <w:bCs/>
                <w:spacing w:val="6"/>
              </w:rPr>
              <w:t>一、正镶白旗城镇开发边界（重点管控单元</w:t>
            </w:r>
            <w:r>
              <w:rPr>
                <w:b/>
                <w:bCs/>
                <w:spacing w:val="10"/>
              </w:rPr>
              <w:t>），</w:t>
            </w:r>
            <w:r>
              <w:rPr>
                <w:b/>
                <w:bCs/>
                <w:spacing w:val="6"/>
              </w:rPr>
              <w:t>编码为“</w:t>
            </w:r>
            <w:r>
              <w:rPr>
                <w:rFonts w:ascii="Times New Roman" w:hAnsi="Times New Roman" w:eastAsia="Times New Roman" w:cs="Times New Roman"/>
                <w:b/>
                <w:bCs/>
              </w:rPr>
              <w:t>ZH</w:t>
            </w:r>
            <w:r>
              <w:rPr>
                <w:rFonts w:ascii="Times New Roman" w:hAnsi="Times New Roman" w:eastAsia="Times New Roman" w:cs="Times New Roman"/>
                <w:b/>
                <w:bCs/>
                <w:spacing w:val="6"/>
              </w:rPr>
              <w:t>15252920001</w:t>
            </w:r>
            <w:r>
              <w:rPr>
                <w:rFonts w:ascii="Times New Roman" w:hAnsi="Times New Roman" w:eastAsia="Times New Roman" w:cs="Times New Roman"/>
                <w:b/>
                <w:bCs/>
                <w:spacing w:val="-28"/>
              </w:rPr>
              <w:t xml:space="preserve"> </w:t>
            </w:r>
            <w:r>
              <w:rPr>
                <w:b/>
                <w:bCs/>
                <w:spacing w:val="6"/>
              </w:rPr>
              <w:t>”</w:t>
            </w:r>
          </w:p>
        </w:tc>
      </w:tr>
      <w:tr>
        <w:trPr>
          <w:trHeight w:val="2182" w:hRule="atLeast"/>
        </w:trPr>
        <w:tc>
          <w:tcPr>
            <w:tcW w:w="925" w:type="dxa"/>
            <w:vAlign w:val="top"/>
          </w:tcPr>
          <w:p>
            <w:pPr>
              <w:rPr>
                <w:rFonts w:ascii="Arial"/>
                <w:sz w:val="21"/>
              </w:rPr>
            </w:pPr>
            <w:r/>
          </w:p>
        </w:tc>
        <w:tc>
          <w:tcPr>
            <w:tcW w:w="8320" w:type="dxa"/>
            <w:vAlign w:val="top"/>
          </w:tcPr>
          <w:p>
            <w:pPr>
              <w:pStyle w:val="TableText"/>
              <w:ind w:left="9"/>
              <w:spacing w:before="32" w:line="228" w:lineRule="auto"/>
              <w:rPr/>
            </w:pPr>
            <w:r>
              <w:rPr>
                <w:spacing w:val="3"/>
              </w:rPr>
              <w:t>现达标排放。</w:t>
            </w:r>
          </w:p>
          <w:p>
            <w:pPr>
              <w:pStyle w:val="TableText"/>
              <w:ind w:left="18"/>
              <w:spacing w:before="23" w:line="228" w:lineRule="auto"/>
              <w:rPr/>
            </w:pPr>
            <w:r>
              <w:rPr>
                <w:spacing w:val="5"/>
              </w:rPr>
              <w:t>（</w:t>
            </w:r>
            <w:r>
              <w:rPr>
                <w:rFonts w:ascii="Times New Roman" w:hAnsi="Times New Roman" w:eastAsia="Times New Roman" w:cs="Times New Roman"/>
                <w:spacing w:val="5"/>
              </w:rPr>
              <w:t>5</w:t>
            </w:r>
            <w:r>
              <w:rPr>
                <w:spacing w:val="5"/>
              </w:rPr>
              <w:t>）优先引进污染轻、技术先进、生产规模大的项目。</w:t>
            </w:r>
          </w:p>
          <w:p>
            <w:pPr>
              <w:pStyle w:val="TableText"/>
              <w:ind w:left="17" w:right="20"/>
              <w:spacing w:before="24"/>
              <w:rPr/>
            </w:pPr>
            <w:r>
              <w:rPr>
                <w:spacing w:val="9"/>
              </w:rPr>
              <w:t>（</w:t>
            </w:r>
            <w:r>
              <w:rPr>
                <w:rFonts w:ascii="Times New Roman" w:hAnsi="Times New Roman" w:eastAsia="Times New Roman" w:cs="Times New Roman"/>
                <w:spacing w:val="9"/>
              </w:rPr>
              <w:t>6</w:t>
            </w:r>
            <w:r>
              <w:rPr>
                <w:spacing w:val="9"/>
              </w:rPr>
              <w:t>）入区企业提出明确的废气污染源治理要求，必须确保其达标排放后才可批准生产。同</w:t>
            </w:r>
            <w:r>
              <w:rPr>
                <w:spacing w:val="15"/>
              </w:rPr>
              <w:t xml:space="preserve"> </w:t>
            </w:r>
            <w:r>
              <w:rPr>
                <w:spacing w:val="8"/>
              </w:rPr>
              <w:t>时确保</w:t>
            </w:r>
            <w:r>
              <w:rPr>
                <w:rFonts w:ascii="Times New Roman" w:hAnsi="Times New Roman" w:eastAsia="Times New Roman" w:cs="Times New Roman"/>
                <w:spacing w:val="8"/>
              </w:rPr>
              <w:t>“</w:t>
            </w:r>
            <w:r>
              <w:rPr>
                <w:spacing w:val="8"/>
              </w:rPr>
              <w:t>三同时</w:t>
            </w:r>
            <w:r>
              <w:rPr>
                <w:rFonts w:ascii="Times New Roman" w:hAnsi="Times New Roman" w:eastAsia="Times New Roman" w:cs="Times New Roman"/>
                <w:spacing w:val="8"/>
              </w:rPr>
              <w:t>”</w:t>
            </w:r>
            <w:r>
              <w:rPr>
                <w:spacing w:val="8"/>
              </w:rPr>
              <w:t>制度的执行，对污染物排放量进行全过程控制。</w:t>
            </w:r>
          </w:p>
          <w:p>
            <w:pPr>
              <w:pStyle w:val="TableText"/>
              <w:ind w:left="18"/>
              <w:spacing w:before="26" w:line="227" w:lineRule="auto"/>
              <w:rPr/>
            </w:pPr>
            <w:r>
              <w:rPr>
                <w:spacing w:val="9"/>
              </w:rPr>
              <w:t>（</w:t>
            </w:r>
            <w:r>
              <w:rPr>
                <w:rFonts w:ascii="Times New Roman" w:hAnsi="Times New Roman" w:eastAsia="Times New Roman" w:cs="Times New Roman"/>
                <w:spacing w:val="9"/>
              </w:rPr>
              <w:t>7</w:t>
            </w:r>
            <w:r>
              <w:rPr>
                <w:spacing w:val="9"/>
              </w:rPr>
              <w:t>）未达到国</w:t>
            </w:r>
            <w:r>
              <w:rPr>
                <w:rFonts w:ascii="Times New Roman" w:hAnsi="Times New Roman" w:eastAsia="Times New Roman" w:cs="Times New Roman"/>
                <w:spacing w:val="9"/>
              </w:rPr>
              <w:t>Ⅳ</w:t>
            </w:r>
            <w:r>
              <w:rPr>
                <w:spacing w:val="9"/>
              </w:rPr>
              <w:t>排放标准限值的货车禁止进入市区</w:t>
            </w:r>
            <w:r>
              <w:rPr>
                <w:rFonts w:ascii="Times New Roman" w:hAnsi="Times New Roman" w:eastAsia="Times New Roman" w:cs="Times New Roman"/>
                <w:spacing w:val="9"/>
              </w:rPr>
              <w:t>“</w:t>
            </w:r>
            <w:r>
              <w:rPr>
                <w:spacing w:val="9"/>
              </w:rPr>
              <w:t>禁限行</w:t>
            </w:r>
            <w:r>
              <w:rPr>
                <w:rFonts w:ascii="Times New Roman" w:hAnsi="Times New Roman" w:eastAsia="Times New Roman" w:cs="Times New Roman"/>
                <w:spacing w:val="8"/>
              </w:rPr>
              <w:t>”</w:t>
            </w:r>
            <w:r>
              <w:rPr>
                <w:spacing w:val="8"/>
              </w:rPr>
              <w:t>区域和路段通行。</w:t>
            </w:r>
          </w:p>
          <w:p>
            <w:pPr>
              <w:pStyle w:val="TableText"/>
              <w:ind w:left="8" w:right="1" w:firstLine="10"/>
              <w:spacing w:before="25"/>
              <w:rPr/>
            </w:pPr>
            <w:r>
              <w:rPr>
                <w:spacing w:val="10"/>
              </w:rPr>
              <w:t>（</w:t>
            </w:r>
            <w:r>
              <w:rPr>
                <w:rFonts w:ascii="Times New Roman" w:hAnsi="Times New Roman" w:eastAsia="Times New Roman" w:cs="Times New Roman"/>
                <w:spacing w:val="10"/>
              </w:rPr>
              <w:t>8</w:t>
            </w:r>
            <w:r>
              <w:rPr>
                <w:spacing w:val="10"/>
              </w:rPr>
              <w:t>）高排放非道路移动机械禁用区范围内禁止使用《非道路移动机械用柴油</w:t>
            </w:r>
            <w:r>
              <w:rPr>
                <w:spacing w:val="9"/>
              </w:rPr>
              <w:t>机排气污染物</w:t>
            </w:r>
            <w:r>
              <w:rPr/>
              <w:t xml:space="preserve"> </w:t>
            </w:r>
            <w:r>
              <w:rPr>
                <w:spacing w:val="9"/>
              </w:rPr>
              <w:t>排放限值及测量方法（中国第</w:t>
            </w:r>
            <w:r>
              <w:rPr>
                <w:rFonts w:ascii="Times New Roman" w:hAnsi="Times New Roman" w:eastAsia="Times New Roman" w:cs="Times New Roman"/>
                <w:spacing w:val="9"/>
              </w:rPr>
              <w:t>Ⅰ</w:t>
            </w:r>
            <w:r>
              <w:rPr>
                <w:rFonts w:ascii="Times New Roman" w:hAnsi="Times New Roman" w:eastAsia="Times New Roman" w:cs="Times New Roman"/>
                <w:spacing w:val="-21"/>
              </w:rPr>
              <w:t xml:space="preserve"> </w:t>
            </w:r>
            <w:r>
              <w:rPr>
                <w:spacing w:val="9"/>
              </w:rPr>
              <w:t>、</w:t>
            </w:r>
            <w:r>
              <w:rPr>
                <w:rFonts w:ascii="Times New Roman" w:hAnsi="Times New Roman" w:eastAsia="Times New Roman" w:cs="Times New Roman"/>
                <w:spacing w:val="9"/>
              </w:rPr>
              <w:t>Ⅱ</w:t>
            </w:r>
            <w:r>
              <w:rPr>
                <w:spacing w:val="9"/>
              </w:rPr>
              <w:t>阶段）》（</w:t>
            </w:r>
            <w:r>
              <w:rPr>
                <w:rFonts w:ascii="Times New Roman" w:hAnsi="Times New Roman" w:eastAsia="Times New Roman" w:cs="Times New Roman"/>
              </w:rPr>
              <w:t>GB</w:t>
            </w:r>
            <w:r>
              <w:rPr>
                <w:rFonts w:ascii="Times New Roman" w:hAnsi="Times New Roman" w:eastAsia="Times New Roman" w:cs="Times New Roman"/>
                <w:spacing w:val="9"/>
              </w:rPr>
              <w:t>20891-2007</w:t>
            </w:r>
            <w:r>
              <w:rPr>
                <w:spacing w:val="9"/>
              </w:rPr>
              <w:t>）</w:t>
            </w:r>
            <w:r>
              <w:rPr>
                <w:spacing w:val="-56"/>
              </w:rPr>
              <w:t xml:space="preserve"> </w:t>
            </w:r>
            <w:r>
              <w:rPr>
                <w:spacing w:val="9"/>
              </w:rPr>
              <w:t>中的国</w:t>
            </w:r>
            <w:r>
              <w:rPr>
                <w:rFonts w:ascii="Times New Roman" w:hAnsi="Times New Roman" w:eastAsia="Times New Roman" w:cs="Times New Roman"/>
                <w:spacing w:val="9"/>
              </w:rPr>
              <w:t>Ⅲ</w:t>
            </w:r>
            <w:r>
              <w:rPr>
                <w:spacing w:val="9"/>
              </w:rPr>
              <w:t>以前标准的非道路</w:t>
            </w:r>
            <w:r>
              <w:rPr/>
              <w:t xml:space="preserve"> </w:t>
            </w:r>
            <w:r>
              <w:rPr>
                <w:spacing w:val="5"/>
              </w:rPr>
              <w:t>移动机械。</w:t>
            </w:r>
          </w:p>
        </w:tc>
        <w:tc>
          <w:tcPr>
            <w:tcW w:w="3494" w:type="dxa"/>
            <w:vAlign w:val="top"/>
          </w:tcPr>
          <w:p>
            <w:pPr>
              <w:pStyle w:val="TableText"/>
              <w:ind w:left="13" w:right="39" w:firstLine="8"/>
              <w:spacing w:before="31" w:line="239" w:lineRule="auto"/>
              <w:rPr/>
            </w:pPr>
            <w:r>
              <w:rPr>
                <w:spacing w:val="6"/>
              </w:rPr>
              <w:t>（</w:t>
            </w:r>
            <w:r>
              <w:rPr>
                <w:rFonts w:ascii="Times New Roman" w:hAnsi="Times New Roman" w:eastAsia="Times New Roman" w:cs="Times New Roman"/>
                <w:spacing w:val="6"/>
              </w:rPr>
              <w:t>7</w:t>
            </w:r>
            <w:r>
              <w:rPr>
                <w:spacing w:val="6"/>
              </w:rPr>
              <w:t>）使用达到国</w:t>
            </w:r>
            <w:r>
              <w:rPr>
                <w:rFonts w:ascii="Times New Roman" w:hAnsi="Times New Roman" w:eastAsia="Times New Roman" w:cs="Times New Roman"/>
                <w:spacing w:val="6"/>
              </w:rPr>
              <w:t>Ⅳ</w:t>
            </w:r>
            <w:r>
              <w:rPr>
                <w:spacing w:val="6"/>
              </w:rPr>
              <w:t>排放标准限值的货</w:t>
            </w:r>
            <w:r>
              <w:rPr>
                <w:spacing w:val="15"/>
              </w:rPr>
              <w:t xml:space="preserve"> </w:t>
            </w:r>
            <w:r>
              <w:rPr>
                <w:spacing w:val="4"/>
              </w:rPr>
              <w:t>车运输。</w:t>
            </w:r>
          </w:p>
          <w:p>
            <w:pPr>
              <w:pStyle w:val="TableText"/>
              <w:ind w:left="21"/>
              <w:spacing w:before="24" w:line="227" w:lineRule="auto"/>
              <w:rPr/>
            </w:pPr>
            <w:r>
              <w:rPr>
                <w:spacing w:val="6"/>
              </w:rPr>
              <w:t>（</w:t>
            </w:r>
            <w:r>
              <w:rPr>
                <w:rFonts w:ascii="Times New Roman" w:hAnsi="Times New Roman" w:eastAsia="Times New Roman" w:cs="Times New Roman"/>
                <w:spacing w:val="6"/>
              </w:rPr>
              <w:t>8</w:t>
            </w:r>
            <w:r>
              <w:rPr>
                <w:spacing w:val="6"/>
              </w:rPr>
              <w:t>）不使用高排放非道路移动机械。</w:t>
            </w:r>
          </w:p>
        </w:tc>
        <w:tc>
          <w:tcPr>
            <w:tcW w:w="780" w:type="dxa"/>
            <w:vAlign w:val="top"/>
          </w:tcPr>
          <w:p>
            <w:pPr>
              <w:rPr>
                <w:rFonts w:ascii="Arial"/>
                <w:sz w:val="21"/>
              </w:rPr>
            </w:pPr>
            <w:r/>
          </w:p>
        </w:tc>
      </w:tr>
      <w:tr>
        <w:trPr>
          <w:trHeight w:val="5451" w:hRule="atLeast"/>
        </w:trPr>
        <w:tc>
          <w:tcPr>
            <w:tcW w:w="925" w:type="dxa"/>
            <w:vAlign w:val="top"/>
          </w:tcPr>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pStyle w:val="TableText"/>
              <w:ind w:left="54"/>
              <w:spacing w:before="65" w:line="228" w:lineRule="auto"/>
              <w:rPr/>
            </w:pPr>
            <w:r>
              <w:rPr>
                <w:spacing w:val="4"/>
              </w:rPr>
              <w:t>环境风险</w:t>
            </w:r>
          </w:p>
          <w:p>
            <w:pPr>
              <w:pStyle w:val="TableText"/>
              <w:ind w:left="274"/>
              <w:spacing w:before="24" w:line="228" w:lineRule="auto"/>
              <w:rPr/>
            </w:pPr>
            <w:r>
              <w:rPr>
                <w:spacing w:val="-3"/>
              </w:rPr>
              <w:t>防控</w:t>
            </w:r>
          </w:p>
        </w:tc>
        <w:tc>
          <w:tcPr>
            <w:tcW w:w="8320" w:type="dxa"/>
            <w:vAlign w:val="top"/>
          </w:tcPr>
          <w:p>
            <w:pPr>
              <w:pStyle w:val="TableText"/>
              <w:ind w:left="18"/>
              <w:spacing w:before="33" w:line="227" w:lineRule="auto"/>
              <w:rPr/>
            </w:pPr>
            <w:r>
              <w:rPr>
                <w:spacing w:val="5"/>
              </w:rPr>
              <w:t>（</w:t>
            </w:r>
            <w:r>
              <w:rPr>
                <w:rFonts w:ascii="Times New Roman" w:hAnsi="Times New Roman" w:eastAsia="Times New Roman" w:cs="Times New Roman"/>
                <w:spacing w:val="5"/>
              </w:rPr>
              <w:t>1</w:t>
            </w:r>
            <w:r>
              <w:rPr>
                <w:spacing w:val="5"/>
              </w:rPr>
              <w:t>）执行锡林郭勒盟总体准入要求第三条关于环境风险防控的准入要求，如下：</w:t>
            </w:r>
          </w:p>
          <w:p>
            <w:pPr>
              <w:pStyle w:val="TableText"/>
              <w:ind w:left="25" w:right="1" w:hanging="18"/>
              <w:spacing w:before="25"/>
              <w:rPr/>
            </w:pPr>
            <w:r>
              <w:rPr>
                <w:spacing w:val="8"/>
              </w:rPr>
              <w:t>①建立重污染天气预警体系。完善重度及以上污染天气的</w:t>
            </w:r>
            <w:r>
              <w:rPr>
                <w:spacing w:val="7"/>
              </w:rPr>
              <w:t>区域联合预警机制，预测到区域将</w:t>
            </w:r>
            <w:r>
              <w:rPr/>
              <w:t xml:space="preserve"> </w:t>
            </w:r>
            <w:r>
              <w:rPr>
                <w:spacing w:val="5"/>
              </w:rPr>
              <w:t>出现大范围重污染天气时，各相关地区按级别启动应急响应措施，实施区域应急联动。</w:t>
            </w:r>
          </w:p>
          <w:p>
            <w:pPr>
              <w:pStyle w:val="TableText"/>
              <w:ind w:left="10" w:right="1" w:hanging="4"/>
              <w:spacing w:before="25"/>
              <w:rPr/>
            </w:pPr>
            <w:r>
              <w:rPr>
                <w:spacing w:val="8"/>
              </w:rPr>
              <w:t>②严格高能耗、高物耗和产能过剩、低水平重复建设项目，</w:t>
            </w:r>
            <w:r>
              <w:rPr>
                <w:spacing w:val="7"/>
              </w:rPr>
              <w:t>以及涉及其他具有重大环境风险</w:t>
            </w:r>
            <w:r>
              <w:rPr/>
              <w:t xml:space="preserve"> </w:t>
            </w:r>
            <w:r>
              <w:rPr>
                <w:spacing w:val="4"/>
              </w:rPr>
              <w:t>建设项目的环评审批。</w:t>
            </w:r>
          </w:p>
          <w:p>
            <w:pPr>
              <w:pStyle w:val="TableText"/>
              <w:ind w:left="6"/>
              <w:spacing w:before="24" w:line="225" w:lineRule="auto"/>
              <w:rPr/>
            </w:pPr>
            <w:r>
              <w:rPr>
                <w:spacing w:val="6"/>
              </w:rPr>
              <w:t>③对高风险化学品生产、使用进行严格限制，</w:t>
            </w:r>
            <w:r>
              <w:rPr>
                <w:spacing w:val="5"/>
              </w:rPr>
              <w:t>并逐步淘汰替代。</w:t>
            </w:r>
          </w:p>
          <w:p>
            <w:pPr>
              <w:pStyle w:val="TableText"/>
              <w:ind w:left="12" w:right="1" w:hanging="6"/>
              <w:spacing w:before="29" w:line="238" w:lineRule="auto"/>
              <w:rPr/>
            </w:pPr>
            <w:r>
              <w:rPr>
                <w:spacing w:val="8"/>
              </w:rPr>
              <w:t>④严格控制有毒有害物质排放，按年度向所在地盟行政公署</w:t>
            </w:r>
            <w:r>
              <w:rPr>
                <w:spacing w:val="7"/>
              </w:rPr>
              <w:t>、设区的市人民政府生态环境主</w:t>
            </w:r>
            <w:r>
              <w:rPr/>
              <w:t xml:space="preserve"> </w:t>
            </w:r>
            <w:r>
              <w:rPr>
                <w:spacing w:val="4"/>
              </w:rPr>
              <w:t>管部门报告排放情况。</w:t>
            </w:r>
          </w:p>
          <w:p>
            <w:pPr>
              <w:pStyle w:val="TableText"/>
              <w:ind w:left="12" w:hanging="6"/>
              <w:spacing w:before="25" w:line="244" w:lineRule="auto"/>
              <w:rPr/>
            </w:pPr>
            <w:r>
              <w:rPr>
                <w:spacing w:val="8"/>
              </w:rPr>
              <w:t>⑤建立并实施土壤污染隐患排查制度，定期对重点区域、</w:t>
            </w:r>
            <w:r>
              <w:rPr>
                <w:spacing w:val="7"/>
              </w:rPr>
              <w:t>重点设施开展隐患排查，发现污染</w:t>
            </w:r>
            <w:r>
              <w:rPr/>
              <w:t xml:space="preserve"> </w:t>
            </w:r>
            <w:r>
              <w:rPr>
                <w:spacing w:val="8"/>
              </w:rPr>
              <w:t>隐患的，应当制定整改方案，采取措施消除隐</w:t>
            </w:r>
            <w:r>
              <w:rPr>
                <w:spacing w:val="7"/>
              </w:rPr>
              <w:t>患，保证持续有效防止有毒有害物质渗漏、流</w:t>
            </w:r>
            <w:r>
              <w:rPr/>
              <w:t xml:space="preserve"> </w:t>
            </w:r>
            <w:r>
              <w:rPr>
                <w:spacing w:val="2"/>
              </w:rPr>
              <w:t>失、扬散。</w:t>
            </w:r>
          </w:p>
          <w:p>
            <w:pPr>
              <w:pStyle w:val="TableText"/>
              <w:ind w:left="19" w:hanging="1"/>
              <w:spacing w:before="28"/>
              <w:rPr/>
            </w:pPr>
            <w:r>
              <w:rPr>
                <w:spacing w:val="5"/>
              </w:rPr>
              <w:t>（</w:t>
            </w:r>
            <w:r>
              <w:rPr>
                <w:rFonts w:ascii="Times New Roman" w:hAnsi="Times New Roman" w:eastAsia="Times New Roman" w:cs="Times New Roman"/>
                <w:spacing w:val="5"/>
              </w:rPr>
              <w:t>2</w:t>
            </w:r>
            <w:r>
              <w:rPr>
                <w:spacing w:val="5"/>
              </w:rPr>
              <w:t>）严格高能耗、高物耗和产能过剩、低水平重复建设项目、以及涉</w:t>
            </w:r>
            <w:r>
              <w:rPr>
                <w:spacing w:val="4"/>
              </w:rPr>
              <w:t>及其他具有重大环境风</w:t>
            </w:r>
            <w:r>
              <w:rPr/>
              <w:t xml:space="preserve"> </w:t>
            </w:r>
            <w:r>
              <w:rPr>
                <w:spacing w:val="3"/>
              </w:rPr>
              <w:t>险建设项目的环评审批。</w:t>
            </w:r>
          </w:p>
          <w:p>
            <w:pPr>
              <w:pStyle w:val="TableText"/>
              <w:ind w:left="8" w:firstLine="9"/>
              <w:spacing w:before="26" w:line="245" w:lineRule="auto"/>
              <w:rPr/>
            </w:pPr>
            <w:r>
              <w:rPr>
                <w:spacing w:val="5"/>
              </w:rPr>
              <w:t>（</w:t>
            </w:r>
            <w:r>
              <w:rPr>
                <w:rFonts w:ascii="Times New Roman" w:hAnsi="Times New Roman" w:eastAsia="Times New Roman" w:cs="Times New Roman"/>
                <w:spacing w:val="5"/>
              </w:rPr>
              <w:t>3</w:t>
            </w:r>
            <w:r>
              <w:rPr>
                <w:spacing w:val="5"/>
              </w:rPr>
              <w:t>）积极推进区域联防联控工作，开展空气质量中长期趋势预测，完</w:t>
            </w:r>
            <w:r>
              <w:rPr>
                <w:spacing w:val="4"/>
              </w:rPr>
              <w:t>善重度及以上污染天气</w:t>
            </w:r>
            <w:r>
              <w:rPr/>
              <w:t xml:space="preserve"> </w:t>
            </w:r>
            <w:r>
              <w:rPr>
                <w:spacing w:val="8"/>
              </w:rPr>
              <w:t>的区域联合预警机制，加强各级环保与气象部门业务合</w:t>
            </w:r>
            <w:r>
              <w:rPr>
                <w:spacing w:val="7"/>
              </w:rPr>
              <w:t>作和信息共享。当预测到区域将出现</w:t>
            </w:r>
            <w:r>
              <w:rPr/>
              <w:t xml:space="preserve"> </w:t>
            </w:r>
            <w:r>
              <w:rPr>
                <w:spacing w:val="8"/>
              </w:rPr>
              <w:t>大范围重污染天气时，统一发布预警信息、各地按级别</w:t>
            </w:r>
            <w:r>
              <w:rPr>
                <w:spacing w:val="7"/>
              </w:rPr>
              <w:t>启动应急响应措施，实施区域应急联</w:t>
            </w:r>
            <w:r>
              <w:rPr/>
              <w:t xml:space="preserve"> </w:t>
            </w:r>
            <w:r>
              <w:rPr>
                <w:spacing w:val="-1"/>
              </w:rPr>
              <w:t>动。</w:t>
            </w:r>
          </w:p>
          <w:p>
            <w:pPr>
              <w:pStyle w:val="TableText"/>
              <w:ind w:left="18"/>
              <w:spacing w:before="25" w:line="228" w:lineRule="auto"/>
              <w:rPr/>
            </w:pPr>
            <w:r>
              <w:rPr>
                <w:spacing w:val="5"/>
              </w:rPr>
              <w:t>（</w:t>
            </w:r>
            <w:r>
              <w:rPr>
                <w:rFonts w:ascii="Times New Roman" w:hAnsi="Times New Roman" w:eastAsia="Times New Roman" w:cs="Times New Roman"/>
                <w:spacing w:val="5"/>
              </w:rPr>
              <w:t>4</w:t>
            </w:r>
            <w:r>
              <w:rPr>
                <w:spacing w:val="5"/>
              </w:rPr>
              <w:t>）园区应建立突发环境事件应急防控体系，增强突发环境事件处置能力。</w:t>
            </w:r>
          </w:p>
          <w:p>
            <w:pPr>
              <w:pStyle w:val="TableText"/>
              <w:ind w:left="13" w:firstLine="5"/>
              <w:spacing w:before="24" w:line="234" w:lineRule="auto"/>
              <w:rPr/>
            </w:pPr>
            <w:r>
              <w:rPr/>
              <w:t>（</w:t>
            </w:r>
            <w:r>
              <w:rPr>
                <w:rFonts w:ascii="Times New Roman" w:hAnsi="Times New Roman" w:eastAsia="Times New Roman" w:cs="Times New Roman"/>
              </w:rPr>
              <w:t>5</w:t>
            </w:r>
            <w:r>
              <w:rPr/>
              <w:t>）严格落实工业集聚区环境风险各项防控措施。对高风险化学品生产、使用进行</w:t>
            </w:r>
            <w:r>
              <w:rPr>
                <w:spacing w:val="-1"/>
              </w:rPr>
              <w:t>严格限制，</w:t>
            </w:r>
            <w:r>
              <w:rPr/>
              <w:t xml:space="preserve"> </w:t>
            </w:r>
            <w:r>
              <w:rPr>
                <w:spacing w:val="2"/>
              </w:rPr>
              <w:t>并逐步淘汰替代。</w:t>
            </w:r>
          </w:p>
        </w:tc>
        <w:tc>
          <w:tcPr>
            <w:tcW w:w="3494" w:type="dxa"/>
            <w:vAlign w:val="top"/>
          </w:tcPr>
          <w:p>
            <w:pPr>
              <w:pStyle w:val="TableText"/>
              <w:ind w:left="10" w:firstLine="1"/>
              <w:spacing w:before="33" w:line="251" w:lineRule="auto"/>
              <w:jc w:val="both"/>
              <w:rPr/>
            </w:pPr>
            <w:r>
              <w:rPr>
                <w:spacing w:val="17"/>
              </w:rPr>
              <w:t>本项目建设符合锡林郭勒盟总体准入</w:t>
            </w:r>
            <w:r>
              <w:rPr>
                <w:spacing w:val="3"/>
              </w:rPr>
              <w:t xml:space="preserve"> </w:t>
            </w:r>
            <w:r>
              <w:rPr>
                <w:spacing w:val="17"/>
              </w:rPr>
              <w:t>要求中第三条关于环境风险防控的准</w:t>
            </w:r>
            <w:r>
              <w:rPr>
                <w:spacing w:val="3"/>
              </w:rPr>
              <w:t xml:space="preserve"> </w:t>
            </w:r>
            <w:r>
              <w:rPr>
                <w:spacing w:val="3"/>
              </w:rPr>
              <w:t>入要求；</w:t>
            </w:r>
          </w:p>
          <w:p>
            <w:pPr>
              <w:pStyle w:val="TableText"/>
              <w:spacing w:line="225" w:lineRule="auto"/>
              <w:jc w:val="right"/>
              <w:rPr/>
            </w:pPr>
            <w:r>
              <w:rPr>
                <w:spacing w:val="2"/>
              </w:rPr>
              <w:t>①企业应急预案与当地应急预案联动；</w:t>
            </w:r>
          </w:p>
          <w:p>
            <w:pPr>
              <w:pStyle w:val="TableText"/>
              <w:ind w:left="9"/>
              <w:spacing w:before="28" w:line="244" w:lineRule="auto"/>
              <w:rPr/>
            </w:pPr>
            <w:r>
              <w:rPr>
                <w:spacing w:val="4"/>
              </w:rPr>
              <w:t>②不属于高能耗、高物耗和产能过剩、</w:t>
            </w:r>
            <w:r>
              <w:rPr>
                <w:spacing w:val="10"/>
              </w:rPr>
              <w:t xml:space="preserve"> </w:t>
            </w:r>
            <w:r>
              <w:rPr>
                <w:spacing w:val="4"/>
              </w:rPr>
              <w:t>低水平重复建设项目，也不属于具有重</w:t>
            </w:r>
            <w:r>
              <w:rPr>
                <w:spacing w:val="9"/>
              </w:rPr>
              <w:t xml:space="preserve"> </w:t>
            </w:r>
            <w:r>
              <w:rPr>
                <w:spacing w:val="4"/>
              </w:rPr>
              <w:t>大环境风险建设项目；</w:t>
            </w:r>
          </w:p>
          <w:p>
            <w:pPr>
              <w:pStyle w:val="TableText"/>
              <w:ind w:left="9"/>
              <w:spacing w:before="24" w:line="225" w:lineRule="auto"/>
              <w:rPr/>
            </w:pPr>
            <w:r>
              <w:rPr>
                <w:spacing w:val="5"/>
              </w:rPr>
              <w:t>③不涉及高风险化学品生产、使用；</w:t>
            </w:r>
          </w:p>
          <w:p>
            <w:pPr>
              <w:pStyle w:val="TableText"/>
              <w:ind w:left="9"/>
              <w:spacing w:before="27" w:line="225" w:lineRule="auto"/>
              <w:rPr/>
            </w:pPr>
            <w:r>
              <w:rPr>
                <w:spacing w:val="4"/>
              </w:rPr>
              <w:t>④按要求实施；</w:t>
            </w:r>
          </w:p>
          <w:p>
            <w:pPr>
              <w:pStyle w:val="TableText"/>
              <w:ind w:left="10" w:hanging="1"/>
              <w:spacing w:before="30" w:line="239" w:lineRule="auto"/>
              <w:rPr/>
            </w:pPr>
            <w:r>
              <w:rPr>
                <w:spacing w:val="4"/>
              </w:rPr>
              <w:t>⑤厂区分区防渗，并制定了运营期的土</w:t>
            </w:r>
            <w:r>
              <w:rPr>
                <w:spacing w:val="10"/>
              </w:rPr>
              <w:t xml:space="preserve"> </w:t>
            </w:r>
            <w:r>
              <w:rPr>
                <w:spacing w:val="3"/>
              </w:rPr>
              <w:t>壤监控计划。</w:t>
            </w:r>
          </w:p>
          <w:p>
            <w:pPr>
              <w:pStyle w:val="TableText"/>
              <w:ind w:left="11" w:firstLine="10"/>
              <w:spacing w:before="26" w:line="244" w:lineRule="auto"/>
              <w:rPr/>
            </w:pPr>
            <w:r>
              <w:rPr>
                <w:spacing w:val="9"/>
              </w:rPr>
              <w:t>（</w:t>
            </w:r>
            <w:r>
              <w:rPr>
                <w:rFonts w:ascii="Times New Roman" w:hAnsi="Times New Roman" w:eastAsia="Times New Roman" w:cs="Times New Roman"/>
                <w:spacing w:val="9"/>
              </w:rPr>
              <w:t>2</w:t>
            </w:r>
            <w:r>
              <w:rPr>
                <w:spacing w:val="9"/>
              </w:rPr>
              <w:t>）不属于高能耗、高物耗和产能过</w:t>
            </w:r>
            <w:r>
              <w:rPr>
                <w:spacing w:val="13"/>
              </w:rPr>
              <w:t xml:space="preserve"> </w:t>
            </w:r>
            <w:r>
              <w:rPr>
                <w:spacing w:val="4"/>
              </w:rPr>
              <w:t>剩、低水平重复建设项目，也不属于具</w:t>
            </w:r>
            <w:r>
              <w:rPr>
                <w:spacing w:val="6"/>
              </w:rPr>
              <w:t xml:space="preserve"> </w:t>
            </w:r>
            <w:r>
              <w:rPr>
                <w:spacing w:val="4"/>
              </w:rPr>
              <w:t>有重大环境风险建设项目。</w:t>
            </w:r>
          </w:p>
          <w:p>
            <w:pPr>
              <w:pStyle w:val="TableText"/>
              <w:ind w:left="13" w:firstLine="8"/>
              <w:spacing w:before="24"/>
              <w:rPr/>
            </w:pPr>
            <w:r>
              <w:rPr>
                <w:spacing w:val="9"/>
              </w:rPr>
              <w:t>（</w:t>
            </w:r>
            <w:r>
              <w:rPr>
                <w:rFonts w:ascii="Times New Roman" w:hAnsi="Times New Roman" w:eastAsia="Times New Roman" w:cs="Times New Roman"/>
                <w:spacing w:val="9"/>
              </w:rPr>
              <w:t>3</w:t>
            </w:r>
            <w:r>
              <w:rPr>
                <w:spacing w:val="9"/>
              </w:rPr>
              <w:t>）项目建成后制定环境风险应急预</w:t>
            </w:r>
            <w:r>
              <w:rPr>
                <w:spacing w:val="13"/>
              </w:rPr>
              <w:t xml:space="preserve"> </w:t>
            </w:r>
            <w:r>
              <w:rPr>
                <w:spacing w:val="4"/>
              </w:rPr>
              <w:t>案并与区域联防联控。</w:t>
            </w:r>
          </w:p>
          <w:p>
            <w:pPr>
              <w:pStyle w:val="TableText"/>
              <w:ind w:left="10" w:firstLine="10"/>
              <w:spacing w:before="25"/>
              <w:rPr/>
            </w:pPr>
            <w:r>
              <w:rPr>
                <w:spacing w:val="9"/>
              </w:rPr>
              <w:t>（</w:t>
            </w:r>
            <w:r>
              <w:rPr>
                <w:rFonts w:ascii="Times New Roman" w:hAnsi="Times New Roman" w:eastAsia="Times New Roman" w:cs="Times New Roman"/>
                <w:spacing w:val="9"/>
              </w:rPr>
              <w:t>4</w:t>
            </w:r>
            <w:r>
              <w:rPr>
                <w:spacing w:val="9"/>
              </w:rPr>
              <w:t>）项目所在区域已建立突发环境事</w:t>
            </w:r>
            <w:r>
              <w:rPr>
                <w:spacing w:val="13"/>
              </w:rPr>
              <w:t xml:space="preserve"> </w:t>
            </w:r>
            <w:r>
              <w:rPr>
                <w:spacing w:val="4"/>
              </w:rPr>
              <w:t>件应急防控体系。</w:t>
            </w:r>
          </w:p>
          <w:p>
            <w:pPr>
              <w:pStyle w:val="TableText"/>
              <w:ind w:left="10" w:firstLine="10"/>
              <w:spacing w:before="24" w:line="234" w:lineRule="auto"/>
              <w:rPr/>
            </w:pPr>
            <w:r>
              <w:rPr>
                <w:spacing w:val="9"/>
              </w:rPr>
              <w:t>（</w:t>
            </w:r>
            <w:r>
              <w:rPr>
                <w:rFonts w:ascii="Times New Roman" w:hAnsi="Times New Roman" w:eastAsia="Times New Roman" w:cs="Times New Roman"/>
                <w:spacing w:val="9"/>
              </w:rPr>
              <w:t>5</w:t>
            </w:r>
            <w:r>
              <w:rPr>
                <w:spacing w:val="9"/>
              </w:rPr>
              <w:t>）项目已指定环境风险各项防控措</w:t>
            </w:r>
            <w:r>
              <w:rPr>
                <w:spacing w:val="13"/>
              </w:rPr>
              <w:t xml:space="preserve"> </w:t>
            </w:r>
            <w:r>
              <w:rPr>
                <w:spacing w:val="4"/>
              </w:rPr>
              <w:t>施。不使用高风险化学品。</w:t>
            </w:r>
          </w:p>
        </w:tc>
        <w:tc>
          <w:tcPr>
            <w:tcW w:w="780" w:type="dxa"/>
            <w:vAlign w:val="top"/>
          </w:tcPr>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pStyle w:val="TableText"/>
              <w:ind w:left="191"/>
              <w:spacing w:before="65" w:line="228" w:lineRule="auto"/>
              <w:rPr/>
            </w:pPr>
            <w:r>
              <w:rPr>
                <w:spacing w:val="2"/>
              </w:rPr>
              <w:t>符合</w:t>
            </w:r>
          </w:p>
        </w:tc>
      </w:tr>
    </w:tbl>
    <w:p>
      <w:pPr>
        <w:pStyle w:val="BodyText"/>
        <w:rPr/>
      </w:pPr>
      <w:r/>
    </w:p>
    <w:p>
      <w:pPr>
        <w:sectPr>
          <w:footerReference w:type="default" r:id="rId35"/>
          <w:pgSz w:w="16840" w:h="11907"/>
          <w:pgMar w:top="1567" w:right="1658" w:bottom="1480" w:left="1657" w:header="1221" w:footer="1246" w:gutter="0"/>
        </w:sectPr>
        <w:rPr/>
      </w:pPr>
    </w:p>
    <w:p>
      <w:pPr>
        <w:spacing w:line="151" w:lineRule="exact"/>
        <w:rPr/>
      </w:pPr>
      <w:r>
        <w:pict>
          <v:shape id="_x0000_s110" style="position:absolute;margin-left:85.05pt;margin-top:79.11pt;mso-position-vertical-relative:page;mso-position-horizontal-relative:page;width:671.95pt;height:0.75pt;z-index:251711488;" o:allowincell="f" fillcolor="#000000" filled="true" stroked="false" coordsize="13439,15" coordorigin="0,0" path="m,l13438,0l13438,14l0,14l0,0xe"/>
        </w:pict>
      </w:r>
      <w:r/>
    </w:p>
    <w:tbl>
      <w:tblPr>
        <w:tblStyle w:val="TableNormal"/>
        <w:tblW w:w="1351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25"/>
        <w:gridCol w:w="8320"/>
        <w:gridCol w:w="3494"/>
        <w:gridCol w:w="780"/>
      </w:tblGrid>
      <w:tr>
        <w:trPr>
          <w:trHeight w:val="281" w:hRule="atLeast"/>
        </w:trPr>
        <w:tc>
          <w:tcPr>
            <w:tcW w:w="925" w:type="dxa"/>
            <w:vAlign w:val="top"/>
          </w:tcPr>
          <w:p>
            <w:pPr>
              <w:pStyle w:val="TableText"/>
              <w:ind w:left="261"/>
              <w:spacing w:before="36" w:line="216" w:lineRule="auto"/>
              <w:rPr/>
            </w:pPr>
            <w:r>
              <w:rPr>
                <w:spacing w:val="3"/>
              </w:rPr>
              <w:t>类别</w:t>
            </w:r>
          </w:p>
        </w:tc>
        <w:tc>
          <w:tcPr>
            <w:tcW w:w="8320" w:type="dxa"/>
            <w:vAlign w:val="top"/>
          </w:tcPr>
          <w:p>
            <w:pPr>
              <w:pStyle w:val="TableText"/>
              <w:ind w:left="3757"/>
              <w:spacing w:before="36" w:line="216" w:lineRule="auto"/>
              <w:rPr/>
            </w:pPr>
            <w:r>
              <w:rPr>
                <w:spacing w:val="3"/>
              </w:rPr>
              <w:t>管控要求</w:t>
            </w:r>
          </w:p>
        </w:tc>
        <w:tc>
          <w:tcPr>
            <w:tcW w:w="3494" w:type="dxa"/>
            <w:vAlign w:val="top"/>
          </w:tcPr>
          <w:p>
            <w:pPr>
              <w:pStyle w:val="TableText"/>
              <w:ind w:left="1238"/>
              <w:spacing w:before="36" w:line="216" w:lineRule="auto"/>
              <w:rPr/>
            </w:pPr>
            <w:r>
              <w:rPr>
                <w:spacing w:val="4"/>
              </w:rPr>
              <w:t>本项目情况</w:t>
            </w:r>
          </w:p>
        </w:tc>
        <w:tc>
          <w:tcPr>
            <w:tcW w:w="780" w:type="dxa"/>
            <w:vAlign w:val="top"/>
          </w:tcPr>
          <w:p>
            <w:pPr>
              <w:pStyle w:val="TableText"/>
              <w:ind w:left="87"/>
              <w:spacing w:before="36" w:line="216" w:lineRule="auto"/>
              <w:rPr/>
            </w:pPr>
            <w:r>
              <w:rPr>
                <w:spacing w:val="3"/>
              </w:rPr>
              <w:t>符合性</w:t>
            </w:r>
          </w:p>
        </w:tc>
      </w:tr>
      <w:tr>
        <w:trPr>
          <w:trHeight w:val="278" w:hRule="atLeast"/>
        </w:trPr>
        <w:tc>
          <w:tcPr>
            <w:tcW w:w="13519" w:type="dxa"/>
            <w:vAlign w:val="top"/>
            <w:gridSpan w:val="4"/>
          </w:tcPr>
          <w:p>
            <w:pPr>
              <w:pStyle w:val="TableText"/>
              <w:ind w:left="17"/>
              <w:spacing w:before="31" w:line="218" w:lineRule="auto"/>
              <w:rPr/>
            </w:pPr>
            <w:r>
              <w:rPr>
                <w:b/>
                <w:bCs/>
                <w:spacing w:val="6"/>
              </w:rPr>
              <w:t>一、正镶白旗城镇开发边界（重点管控单元</w:t>
            </w:r>
            <w:r>
              <w:rPr>
                <w:b/>
                <w:bCs/>
                <w:spacing w:val="10"/>
              </w:rPr>
              <w:t>），</w:t>
            </w:r>
            <w:r>
              <w:rPr>
                <w:b/>
                <w:bCs/>
                <w:spacing w:val="6"/>
              </w:rPr>
              <w:t>编码为“</w:t>
            </w:r>
            <w:r>
              <w:rPr>
                <w:rFonts w:ascii="Times New Roman" w:hAnsi="Times New Roman" w:eastAsia="Times New Roman" w:cs="Times New Roman"/>
                <w:b/>
                <w:bCs/>
              </w:rPr>
              <w:t>ZH</w:t>
            </w:r>
            <w:r>
              <w:rPr>
                <w:rFonts w:ascii="Times New Roman" w:hAnsi="Times New Roman" w:eastAsia="Times New Roman" w:cs="Times New Roman"/>
                <w:b/>
                <w:bCs/>
                <w:spacing w:val="6"/>
              </w:rPr>
              <w:t>15252920001</w:t>
            </w:r>
            <w:r>
              <w:rPr>
                <w:rFonts w:ascii="Times New Roman" w:hAnsi="Times New Roman" w:eastAsia="Times New Roman" w:cs="Times New Roman"/>
                <w:b/>
                <w:bCs/>
                <w:spacing w:val="-28"/>
              </w:rPr>
              <w:t xml:space="preserve"> </w:t>
            </w:r>
            <w:r>
              <w:rPr>
                <w:b/>
                <w:bCs/>
                <w:spacing w:val="6"/>
              </w:rPr>
              <w:t>”</w:t>
            </w:r>
          </w:p>
        </w:tc>
      </w:tr>
      <w:tr>
        <w:trPr>
          <w:trHeight w:val="1093" w:hRule="atLeast"/>
        </w:trPr>
        <w:tc>
          <w:tcPr>
            <w:tcW w:w="925" w:type="dxa"/>
            <w:vAlign w:val="top"/>
          </w:tcPr>
          <w:p>
            <w:pPr>
              <w:rPr>
                <w:rFonts w:ascii="Arial"/>
                <w:sz w:val="21"/>
              </w:rPr>
            </w:pPr>
            <w:r/>
          </w:p>
        </w:tc>
        <w:tc>
          <w:tcPr>
            <w:tcW w:w="8320" w:type="dxa"/>
            <w:vAlign w:val="top"/>
          </w:tcPr>
          <w:p>
            <w:pPr>
              <w:pStyle w:val="TableText"/>
              <w:ind w:left="18"/>
              <w:spacing w:before="31" w:line="228" w:lineRule="auto"/>
              <w:rPr/>
            </w:pPr>
            <w:r>
              <w:rPr>
                <w:spacing w:val="5"/>
              </w:rPr>
              <w:t>（</w:t>
            </w:r>
            <w:r>
              <w:rPr>
                <w:rFonts w:ascii="Times New Roman" w:hAnsi="Times New Roman" w:eastAsia="Times New Roman" w:cs="Times New Roman"/>
                <w:spacing w:val="5"/>
              </w:rPr>
              <w:t>6</w:t>
            </w:r>
            <w:r>
              <w:rPr>
                <w:spacing w:val="5"/>
              </w:rPr>
              <w:t>）开展涉危涉化企业、有风险隐患的渣场等风险排查和整改工作，及时消除隐患。</w:t>
            </w:r>
          </w:p>
          <w:p>
            <w:pPr>
              <w:pStyle w:val="TableText"/>
              <w:spacing w:before="24" w:line="228" w:lineRule="auto"/>
              <w:jc w:val="right"/>
              <w:rPr/>
            </w:pPr>
            <w:r>
              <w:rPr>
                <w:spacing w:val="5"/>
              </w:rPr>
              <w:t>（</w:t>
            </w:r>
            <w:r>
              <w:rPr>
                <w:rFonts w:ascii="Times New Roman" w:hAnsi="Times New Roman" w:eastAsia="Times New Roman" w:cs="Times New Roman"/>
                <w:spacing w:val="5"/>
              </w:rPr>
              <w:t>7</w:t>
            </w:r>
            <w:r>
              <w:rPr>
                <w:spacing w:val="5"/>
              </w:rPr>
              <w:t>）建立完备的事故废水调储系统。厂区分区防渗；建立区域土</w:t>
            </w:r>
            <w:r>
              <w:rPr>
                <w:spacing w:val="4"/>
              </w:rPr>
              <w:t>壤及地下水监测监控体系。</w:t>
            </w:r>
          </w:p>
        </w:tc>
        <w:tc>
          <w:tcPr>
            <w:tcW w:w="3494" w:type="dxa"/>
            <w:vAlign w:val="top"/>
          </w:tcPr>
          <w:p>
            <w:pPr>
              <w:pStyle w:val="TableText"/>
              <w:ind w:left="9" w:firstLine="11"/>
              <w:spacing w:before="31" w:line="239" w:lineRule="auto"/>
              <w:rPr/>
            </w:pPr>
            <w:r>
              <w:rPr>
                <w:spacing w:val="9"/>
              </w:rPr>
              <w:t>（</w:t>
            </w:r>
            <w:r>
              <w:rPr>
                <w:rFonts w:ascii="Times New Roman" w:hAnsi="Times New Roman" w:eastAsia="Times New Roman" w:cs="Times New Roman"/>
                <w:spacing w:val="9"/>
              </w:rPr>
              <w:t>6</w:t>
            </w:r>
            <w:r>
              <w:rPr>
                <w:spacing w:val="9"/>
              </w:rPr>
              <w:t>）本项目为新建项目，项目建成后</w:t>
            </w:r>
            <w:r>
              <w:rPr>
                <w:spacing w:val="13"/>
              </w:rPr>
              <w:t xml:space="preserve"> </w:t>
            </w:r>
            <w:r>
              <w:rPr>
                <w:spacing w:val="5"/>
              </w:rPr>
              <w:t>将定期开展隐患排查。</w:t>
            </w:r>
          </w:p>
          <w:p>
            <w:pPr>
              <w:pStyle w:val="TableText"/>
              <w:ind w:left="13" w:firstLine="7"/>
              <w:spacing w:before="26" w:line="234" w:lineRule="auto"/>
              <w:rPr/>
            </w:pPr>
            <w:r>
              <w:rPr>
                <w:spacing w:val="-2"/>
              </w:rPr>
              <w:t>（</w:t>
            </w:r>
            <w:r>
              <w:rPr>
                <w:rFonts w:ascii="Times New Roman" w:hAnsi="Times New Roman" w:eastAsia="Times New Roman" w:cs="Times New Roman"/>
                <w:spacing w:val="-2"/>
              </w:rPr>
              <w:t>7</w:t>
            </w:r>
            <w:r>
              <w:rPr>
                <w:spacing w:val="-2"/>
              </w:rPr>
              <w:t>）厂区内建设事故水池，分区防渗，</w:t>
            </w:r>
            <w:r>
              <w:rPr>
                <w:spacing w:val="2"/>
              </w:rPr>
              <w:t xml:space="preserve"> </w:t>
            </w:r>
            <w:r>
              <w:rPr>
                <w:spacing w:val="2"/>
              </w:rPr>
              <w:t>建设土壤和地下水监控系统；</w:t>
            </w:r>
          </w:p>
        </w:tc>
        <w:tc>
          <w:tcPr>
            <w:tcW w:w="780" w:type="dxa"/>
            <w:vAlign w:val="top"/>
          </w:tcPr>
          <w:p>
            <w:pPr>
              <w:rPr>
                <w:rFonts w:ascii="Arial"/>
                <w:sz w:val="21"/>
              </w:rPr>
            </w:pPr>
            <w:r/>
          </w:p>
        </w:tc>
      </w:tr>
      <w:tr>
        <w:trPr>
          <w:trHeight w:val="6270" w:hRule="atLeast"/>
        </w:trPr>
        <w:tc>
          <w:tcPr>
            <w:tcW w:w="925" w:type="dxa"/>
            <w:vAlign w:val="top"/>
          </w:tcPr>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pStyle w:val="TableText"/>
              <w:ind w:left="265" w:right="47" w:hanging="202"/>
              <w:spacing w:before="65" w:line="254" w:lineRule="auto"/>
              <w:rPr/>
            </w:pPr>
            <w:r>
              <w:rPr>
                <w:spacing w:val="2"/>
              </w:rPr>
              <w:t>资源利用</w:t>
            </w:r>
            <w:r>
              <w:rPr/>
              <w:t xml:space="preserve"> </w:t>
            </w:r>
            <w:r>
              <w:rPr>
                <w:spacing w:val="1"/>
              </w:rPr>
              <w:t>效率</w:t>
            </w:r>
          </w:p>
        </w:tc>
        <w:tc>
          <w:tcPr>
            <w:tcW w:w="8320" w:type="dxa"/>
            <w:vAlign w:val="top"/>
          </w:tcPr>
          <w:p>
            <w:pPr>
              <w:pStyle w:val="TableText"/>
              <w:ind w:left="18"/>
              <w:spacing w:before="32" w:line="227" w:lineRule="auto"/>
              <w:rPr/>
            </w:pPr>
            <w:r>
              <w:rPr>
                <w:spacing w:val="5"/>
              </w:rPr>
              <w:t>（</w:t>
            </w:r>
            <w:r>
              <w:rPr>
                <w:rFonts w:ascii="Times New Roman" w:hAnsi="Times New Roman" w:eastAsia="Times New Roman" w:cs="Times New Roman"/>
                <w:spacing w:val="5"/>
              </w:rPr>
              <w:t>1</w:t>
            </w:r>
            <w:r>
              <w:rPr>
                <w:spacing w:val="5"/>
              </w:rPr>
              <w:t>）执行锡林郭勒盟总体准入要求中第四条关于资源开发效率的准入要求，如下：</w:t>
            </w:r>
          </w:p>
          <w:p>
            <w:pPr>
              <w:pStyle w:val="TableText"/>
              <w:ind w:left="7" w:right="1"/>
              <w:spacing w:before="26" w:line="244" w:lineRule="auto"/>
              <w:rPr/>
            </w:pPr>
            <w:r>
              <w:rPr>
                <w:spacing w:val="8"/>
              </w:rPr>
              <w:t>①新建、改建、扩建火力发电、钢铁、纺织、造纸、石化</w:t>
            </w:r>
            <w:r>
              <w:rPr>
                <w:spacing w:val="7"/>
              </w:rPr>
              <w:t>和化工等高耗水工业项目禁止取用</w:t>
            </w:r>
            <w:r>
              <w:rPr/>
              <w:t xml:space="preserve"> </w:t>
            </w:r>
            <w:r>
              <w:rPr>
                <w:spacing w:val="8"/>
              </w:rPr>
              <w:t>地下水。已建高耗水工业项目使用地下水的，应当采取</w:t>
            </w:r>
            <w:r>
              <w:rPr>
                <w:spacing w:val="7"/>
              </w:rPr>
              <w:t>节水措施，逐步减少地下水开采量。</w:t>
            </w:r>
            <w:r>
              <w:rPr/>
              <w:t xml:space="preserve"> </w:t>
            </w:r>
            <w:r>
              <w:rPr>
                <w:spacing w:val="5"/>
              </w:rPr>
              <w:t>有条件的，应当将地下水水源替换为非常规水源或者地表水水源。</w:t>
            </w:r>
          </w:p>
          <w:p>
            <w:pPr>
              <w:pStyle w:val="TableText"/>
              <w:ind w:left="6"/>
              <w:spacing w:before="25" w:line="225" w:lineRule="auto"/>
              <w:rPr/>
            </w:pPr>
            <w:r>
              <w:rPr>
                <w:spacing w:val="6"/>
              </w:rPr>
              <w:t>②旗县级人民政府应当对禁采区内已有地下水取水工程予以限期</w:t>
            </w:r>
            <w:r>
              <w:rPr>
                <w:spacing w:val="5"/>
              </w:rPr>
              <w:t>封闭或者停止使用。</w:t>
            </w:r>
          </w:p>
          <w:p>
            <w:pPr>
              <w:pStyle w:val="TableText"/>
              <w:ind w:left="13" w:hanging="7"/>
              <w:spacing w:before="26"/>
              <w:rPr/>
            </w:pPr>
            <w:r>
              <w:rPr>
                <w:spacing w:val="5"/>
              </w:rPr>
              <w:t>③到</w:t>
            </w:r>
            <w:r>
              <w:rPr>
                <w:spacing w:val="-48"/>
              </w:rPr>
              <w:t xml:space="preserve"> </w:t>
            </w:r>
            <w:r>
              <w:rPr>
                <w:rFonts w:ascii="Times New Roman" w:hAnsi="Times New Roman" w:eastAsia="Times New Roman" w:cs="Times New Roman"/>
                <w:spacing w:val="5"/>
              </w:rPr>
              <w:t>2025 </w:t>
            </w:r>
            <w:r>
              <w:rPr>
                <w:spacing w:val="5"/>
              </w:rPr>
              <w:t>年，实现地下水重点用水户监控计量设施全覆盖，加快实行</w:t>
            </w:r>
            <w:r>
              <w:rPr>
                <w:spacing w:val="4"/>
              </w:rPr>
              <w:t>地下水红线管控，锡林</w:t>
            </w:r>
            <w:r>
              <w:rPr/>
              <w:t xml:space="preserve"> </w:t>
            </w:r>
            <w:r>
              <w:rPr>
                <w:spacing w:val="4"/>
              </w:rPr>
              <w:t>郭勒盟年用水总量控制在</w:t>
            </w:r>
            <w:r>
              <w:rPr>
                <w:spacing w:val="-36"/>
              </w:rPr>
              <w:t xml:space="preserve"> </w:t>
            </w:r>
            <w:r>
              <w:rPr>
                <w:rFonts w:ascii="Times New Roman" w:hAnsi="Times New Roman" w:eastAsia="Times New Roman" w:cs="Times New Roman"/>
                <w:spacing w:val="4"/>
              </w:rPr>
              <w:t>8.23 </w:t>
            </w:r>
            <w:r>
              <w:rPr>
                <w:spacing w:val="4"/>
              </w:rPr>
              <w:t>亿立方</w:t>
            </w:r>
            <w:r>
              <w:rPr>
                <w:spacing w:val="3"/>
              </w:rPr>
              <w:t>米以内；</w:t>
            </w:r>
          </w:p>
          <w:p>
            <w:pPr>
              <w:pStyle w:val="TableText"/>
              <w:ind w:left="6"/>
              <w:spacing w:before="25" w:line="225" w:lineRule="auto"/>
              <w:rPr/>
            </w:pPr>
            <w:r>
              <w:rPr>
                <w:spacing w:val="4"/>
              </w:rPr>
              <w:t>④到</w:t>
            </w:r>
            <w:r>
              <w:rPr>
                <w:spacing w:val="-40"/>
              </w:rPr>
              <w:t xml:space="preserve"> </w:t>
            </w:r>
            <w:r>
              <w:rPr>
                <w:rFonts w:ascii="Times New Roman" w:hAnsi="Times New Roman" w:eastAsia="Times New Roman" w:cs="Times New Roman"/>
                <w:spacing w:val="4"/>
              </w:rPr>
              <w:t>2030 </w:t>
            </w:r>
            <w:r>
              <w:rPr>
                <w:spacing w:val="4"/>
              </w:rPr>
              <w:t>年，锡林郭勒盟用水总量控制目标为</w:t>
            </w:r>
            <w:r>
              <w:rPr>
                <w:spacing w:val="-37"/>
              </w:rPr>
              <w:t xml:space="preserve"> </w:t>
            </w:r>
            <w:r>
              <w:rPr>
                <w:rFonts w:ascii="Times New Roman" w:hAnsi="Times New Roman" w:eastAsia="Times New Roman" w:cs="Times New Roman"/>
                <w:spacing w:val="4"/>
              </w:rPr>
              <w:t>8.37 </w:t>
            </w:r>
            <w:r>
              <w:rPr>
                <w:spacing w:val="4"/>
              </w:rPr>
              <w:t>亿立方米。</w:t>
            </w:r>
          </w:p>
          <w:p>
            <w:pPr>
              <w:pStyle w:val="TableText"/>
              <w:ind w:left="7" w:firstLine="10"/>
              <w:spacing w:before="28" w:line="244" w:lineRule="auto"/>
              <w:rPr/>
            </w:pPr>
            <w:r>
              <w:rPr/>
              <w:t>（</w:t>
            </w:r>
            <w:r>
              <w:rPr>
                <w:rFonts w:ascii="Times New Roman" w:hAnsi="Times New Roman" w:eastAsia="Times New Roman" w:cs="Times New Roman"/>
              </w:rPr>
              <w:t>2</w:t>
            </w:r>
            <w:r>
              <w:rPr/>
              <w:t>）严控地下水超采。严格执行《地下水超采区和重要地下水水源地水位与水量双</w:t>
            </w:r>
            <w:r>
              <w:rPr>
                <w:spacing w:val="-1"/>
              </w:rPr>
              <w:t>控方案》，</w:t>
            </w:r>
            <w:r>
              <w:rPr/>
              <w:t xml:space="preserve"> </w:t>
            </w:r>
            <w:r>
              <w:rPr>
                <w:spacing w:val="6"/>
              </w:rPr>
              <w:t>落实压减灌溉面积、节水改造、水源置换及监测等各项</w:t>
            </w:r>
            <w:r>
              <w:rPr>
                <w:spacing w:val="5"/>
              </w:rPr>
              <w:t>措施，超采区内不予审批工农业生产</w:t>
            </w:r>
            <w:r>
              <w:rPr/>
              <w:t xml:space="preserve">  </w:t>
            </w:r>
            <w:r>
              <w:rPr>
                <w:spacing w:val="3"/>
              </w:rPr>
              <w:t>及服务业新增取用地下水。</w:t>
            </w:r>
          </w:p>
          <w:p>
            <w:pPr>
              <w:pStyle w:val="TableText"/>
              <w:ind w:left="6" w:firstLine="11"/>
              <w:spacing w:before="24"/>
              <w:rPr/>
            </w:pPr>
            <w:r>
              <w:rPr>
                <w:spacing w:val="5"/>
              </w:rPr>
              <w:t>（</w:t>
            </w:r>
            <w:r>
              <w:rPr>
                <w:rFonts w:ascii="Times New Roman" w:hAnsi="Times New Roman" w:eastAsia="Times New Roman" w:cs="Times New Roman"/>
                <w:spacing w:val="5"/>
              </w:rPr>
              <w:t>3</w:t>
            </w:r>
            <w:r>
              <w:rPr>
                <w:spacing w:val="5"/>
              </w:rPr>
              <w:t>）加强超采区压采和替代水源建设，确保按治理方案落实压减灌溉</w:t>
            </w:r>
            <w:r>
              <w:rPr>
                <w:spacing w:val="4"/>
              </w:rPr>
              <w:t>面积、节水改造、水源</w:t>
            </w:r>
            <w:r>
              <w:rPr/>
              <w:t xml:space="preserve"> </w:t>
            </w:r>
            <w:r>
              <w:rPr>
                <w:spacing w:val="4"/>
              </w:rPr>
              <w:t>置换及监测等各项措施。</w:t>
            </w:r>
          </w:p>
          <w:p>
            <w:pPr>
              <w:pStyle w:val="TableText"/>
              <w:ind w:left="8" w:firstLine="9"/>
              <w:spacing w:before="24"/>
              <w:rPr/>
            </w:pPr>
            <w:r>
              <w:rPr>
                <w:spacing w:val="4"/>
              </w:rPr>
              <w:t>（</w:t>
            </w:r>
            <w:r>
              <w:rPr>
                <w:rFonts w:ascii="Times New Roman" w:hAnsi="Times New Roman" w:eastAsia="Times New Roman" w:cs="Times New Roman"/>
                <w:spacing w:val="4"/>
              </w:rPr>
              <w:t>4</w:t>
            </w:r>
            <w:r>
              <w:rPr>
                <w:spacing w:val="4"/>
              </w:rPr>
              <w:t>）实行地下水“五控</w:t>
            </w:r>
            <w:r>
              <w:rPr>
                <w:spacing w:val="-69"/>
              </w:rPr>
              <w:t xml:space="preserve"> </w:t>
            </w:r>
            <w:r>
              <w:rPr>
                <w:spacing w:val="4"/>
              </w:rPr>
              <w:t>”制度。“五控”即严格管控地下水开发利用总量、水位、用途、水</w:t>
            </w:r>
            <w:r>
              <w:rPr/>
              <w:t xml:space="preserve"> </w:t>
            </w:r>
            <w:r>
              <w:rPr>
                <w:spacing w:val="4"/>
              </w:rPr>
              <w:t>质及机电井数量。</w:t>
            </w:r>
          </w:p>
          <w:p>
            <w:pPr>
              <w:pStyle w:val="TableText"/>
              <w:ind w:left="10" w:firstLine="7"/>
              <w:spacing w:before="24" w:line="246" w:lineRule="auto"/>
              <w:rPr/>
            </w:pPr>
            <w:r>
              <w:rPr>
                <w:spacing w:val="5"/>
              </w:rPr>
              <w:t>（</w:t>
            </w:r>
            <w:r>
              <w:rPr>
                <w:rFonts w:ascii="Times New Roman" w:hAnsi="Times New Roman" w:eastAsia="Times New Roman" w:cs="Times New Roman"/>
                <w:spacing w:val="5"/>
              </w:rPr>
              <w:t>5</w:t>
            </w:r>
            <w:r>
              <w:rPr>
                <w:spacing w:val="5"/>
              </w:rPr>
              <w:t>）加强城镇节约用水。推广节水器具和节水产品，加强城镇供水管</w:t>
            </w:r>
            <w:r>
              <w:rPr>
                <w:spacing w:val="4"/>
              </w:rPr>
              <w:t>网改造、降低公共供水</w:t>
            </w:r>
            <w:r>
              <w:rPr/>
              <w:t xml:space="preserve"> </w:t>
            </w:r>
            <w:r>
              <w:rPr>
                <w:spacing w:val="8"/>
              </w:rPr>
              <w:t>管网漏损率。推进城镇生活、绿化、水景观及第三产</w:t>
            </w:r>
            <w:r>
              <w:rPr>
                <w:spacing w:val="7"/>
              </w:rPr>
              <w:t>业节水改造。城镇园林绿化要选用节水</w:t>
            </w:r>
            <w:r>
              <w:rPr/>
              <w:t xml:space="preserve"> </w:t>
            </w:r>
            <w:r>
              <w:rPr>
                <w:spacing w:val="8"/>
              </w:rPr>
              <w:t>耐旱型植物，注重雨水的回收利用，提倡使用再生水</w:t>
            </w:r>
            <w:r>
              <w:rPr>
                <w:spacing w:val="7"/>
              </w:rPr>
              <w:t>浇灌，采用微喷、滴灌等节水设施。积</w:t>
            </w:r>
            <w:r>
              <w:rPr/>
              <w:t xml:space="preserve"> </w:t>
            </w:r>
            <w:r>
              <w:rPr>
                <w:spacing w:val="5"/>
              </w:rPr>
              <w:t>极开展公共机构节水型单位创建工作。</w:t>
            </w:r>
          </w:p>
          <w:p>
            <w:pPr>
              <w:pStyle w:val="TableText"/>
              <w:ind w:left="9" w:firstLine="8"/>
              <w:spacing w:before="25" w:line="243" w:lineRule="auto"/>
              <w:rPr/>
            </w:pPr>
            <w:r>
              <w:rPr>
                <w:spacing w:val="4"/>
              </w:rPr>
              <w:t>（</w:t>
            </w:r>
            <w:r>
              <w:rPr>
                <w:rFonts w:ascii="Times New Roman" w:hAnsi="Times New Roman" w:eastAsia="Times New Roman" w:cs="Times New Roman"/>
                <w:spacing w:val="4"/>
              </w:rPr>
              <w:t>6</w:t>
            </w:r>
            <w:r>
              <w:rPr>
                <w:spacing w:val="4"/>
              </w:rPr>
              <w:t>）严格落实节水“三同时</w:t>
            </w:r>
            <w:r>
              <w:rPr>
                <w:spacing w:val="-69"/>
              </w:rPr>
              <w:t xml:space="preserve"> </w:t>
            </w:r>
            <w:r>
              <w:rPr>
                <w:spacing w:val="4"/>
              </w:rPr>
              <w:t>”制度。新建、改建、扩建的高耗水工业项目，禁止擅自使用地</w:t>
            </w:r>
            <w:r>
              <w:rPr/>
              <w:t xml:space="preserve"> </w:t>
            </w:r>
            <w:r>
              <w:rPr>
                <w:spacing w:val="8"/>
              </w:rPr>
              <w:t>下水。已建高耗水工业项目使用地下水的，应当采取节</w:t>
            </w:r>
            <w:r>
              <w:rPr>
                <w:spacing w:val="7"/>
              </w:rPr>
              <w:t>水措施，逐步减少地下水开采量。有</w:t>
            </w:r>
            <w:r>
              <w:rPr/>
              <w:t xml:space="preserve"> </w:t>
            </w:r>
            <w:r>
              <w:rPr>
                <w:spacing w:val="8"/>
              </w:rPr>
              <w:t>条件的，应当将地下水水源替换为非常规水源或者地表</w:t>
            </w:r>
            <w:r>
              <w:rPr>
                <w:spacing w:val="7"/>
              </w:rPr>
              <w:t>水水源。食品、制药等符合取用地下</w:t>
            </w:r>
            <w:r>
              <w:rPr/>
              <w:t xml:space="preserve"> </w:t>
            </w:r>
            <w:r>
              <w:rPr>
                <w:spacing w:val="5"/>
              </w:rPr>
              <w:t>水的项目，须经有管理权限的水行政主管部门批准。</w:t>
            </w:r>
          </w:p>
        </w:tc>
        <w:tc>
          <w:tcPr>
            <w:tcW w:w="3494" w:type="dxa"/>
            <w:vAlign w:val="top"/>
          </w:tcPr>
          <w:p>
            <w:pPr>
              <w:pStyle w:val="TableText"/>
              <w:ind w:left="10" w:firstLine="10"/>
              <w:spacing w:before="303" w:line="244" w:lineRule="auto"/>
              <w:rPr/>
            </w:pPr>
            <w:r>
              <w:rPr>
                <w:spacing w:val="9"/>
              </w:rPr>
              <w:t>（</w:t>
            </w:r>
            <w:r>
              <w:rPr>
                <w:rFonts w:ascii="Times New Roman" w:hAnsi="Times New Roman" w:eastAsia="Times New Roman" w:cs="Times New Roman"/>
                <w:spacing w:val="9"/>
              </w:rPr>
              <w:t>1</w:t>
            </w:r>
            <w:r>
              <w:rPr>
                <w:spacing w:val="9"/>
              </w:rPr>
              <w:t>）项目建设满足锡林郭勒盟总体准</w:t>
            </w:r>
            <w:r>
              <w:rPr>
                <w:spacing w:val="13"/>
              </w:rPr>
              <w:t xml:space="preserve"> </w:t>
            </w:r>
            <w:r>
              <w:rPr>
                <w:spacing w:val="17"/>
              </w:rPr>
              <w:t>入要求中第四条关于资源开发效率的</w:t>
            </w:r>
            <w:r>
              <w:rPr>
                <w:spacing w:val="5"/>
              </w:rPr>
              <w:t xml:space="preserve"> </w:t>
            </w:r>
            <w:r>
              <w:rPr>
                <w:spacing w:val="4"/>
              </w:rPr>
              <w:t>准入要求，分析如下：</w:t>
            </w:r>
          </w:p>
          <w:p>
            <w:pPr>
              <w:pStyle w:val="TableText"/>
              <w:ind w:left="10"/>
              <w:spacing w:before="25" w:line="239" w:lineRule="auto"/>
              <w:rPr/>
            </w:pPr>
            <w:r>
              <w:rPr>
                <w:spacing w:val="4"/>
              </w:rPr>
              <w:t>①不属于所列高耗水工业项目，不取用</w:t>
            </w:r>
            <w:r>
              <w:rPr>
                <w:spacing w:val="9"/>
              </w:rPr>
              <w:t xml:space="preserve"> </w:t>
            </w:r>
            <w:r>
              <w:rPr>
                <w:spacing w:val="4"/>
              </w:rPr>
              <w:t>地下水，采取节水设计；</w:t>
            </w:r>
          </w:p>
          <w:p>
            <w:pPr>
              <w:pStyle w:val="TableText"/>
              <w:ind w:left="9"/>
              <w:spacing w:before="25" w:line="225" w:lineRule="auto"/>
              <w:rPr/>
            </w:pPr>
            <w:r>
              <w:rPr>
                <w:spacing w:val="4"/>
              </w:rPr>
              <w:t>②不开采地下水；</w:t>
            </w:r>
          </w:p>
          <w:p>
            <w:pPr>
              <w:pStyle w:val="TableText"/>
              <w:ind w:left="7" w:firstLine="2"/>
              <w:spacing w:before="30" w:line="243" w:lineRule="auto"/>
              <w:rPr/>
            </w:pPr>
            <w:r>
              <w:rPr>
                <w:spacing w:val="3"/>
              </w:rPr>
              <w:t>③用水由市政供水管网集中供给，水源</w:t>
            </w:r>
            <w:r>
              <w:rPr>
                <w:spacing w:val="13"/>
              </w:rPr>
              <w:t xml:space="preserve"> </w:t>
            </w:r>
            <w:r>
              <w:rPr>
                <w:spacing w:val="16"/>
              </w:rPr>
              <w:t>为明安图镇污水处理厂中水，不超出</w:t>
            </w:r>
            <w:r>
              <w:rPr>
                <w:spacing w:val="8"/>
              </w:rPr>
              <w:t xml:space="preserve"> </w:t>
            </w:r>
            <w:r>
              <w:rPr>
                <w:rFonts w:ascii="Times New Roman" w:hAnsi="Times New Roman" w:eastAsia="Times New Roman" w:cs="Times New Roman"/>
                <w:spacing w:val="1"/>
              </w:rPr>
              <w:t>2025 </w:t>
            </w:r>
            <w:r>
              <w:rPr>
                <w:spacing w:val="1"/>
              </w:rPr>
              <w:t>年锡林郭勒盟用水总量控制指标；</w:t>
            </w:r>
          </w:p>
          <w:p>
            <w:pPr>
              <w:pStyle w:val="TableText"/>
              <w:ind w:left="7" w:firstLine="2"/>
              <w:spacing w:before="26" w:line="243" w:lineRule="auto"/>
              <w:rPr/>
            </w:pPr>
            <w:r>
              <w:rPr>
                <w:spacing w:val="2"/>
              </w:rPr>
              <w:t>④用水由市政供水管网集中供给，水源</w:t>
            </w:r>
            <w:r>
              <w:rPr>
                <w:spacing w:val="12"/>
              </w:rPr>
              <w:t xml:space="preserve"> </w:t>
            </w:r>
            <w:r>
              <w:rPr>
                <w:spacing w:val="15"/>
              </w:rPr>
              <w:t>为明安图镇污水处理厂中水，不超出</w:t>
            </w:r>
            <w:r>
              <w:rPr>
                <w:spacing w:val="6"/>
              </w:rPr>
              <w:t xml:space="preserve"> </w:t>
            </w:r>
            <w:r>
              <w:rPr>
                <w:rFonts w:ascii="Times New Roman" w:hAnsi="Times New Roman" w:eastAsia="Times New Roman" w:cs="Times New Roman"/>
                <w:spacing w:val="1"/>
              </w:rPr>
              <w:t>2030 </w:t>
            </w:r>
            <w:r>
              <w:rPr>
                <w:spacing w:val="1"/>
              </w:rPr>
              <w:t>年锡林郭勒盟用水总量控制指标。</w:t>
            </w:r>
          </w:p>
          <w:p>
            <w:pPr>
              <w:pStyle w:val="TableText"/>
              <w:ind w:left="21"/>
              <w:spacing w:before="27" w:line="227" w:lineRule="auto"/>
              <w:rPr/>
            </w:pPr>
            <w:r>
              <w:rPr>
                <w:spacing w:val="3"/>
              </w:rPr>
              <w:t>（</w:t>
            </w:r>
            <w:r>
              <w:rPr>
                <w:rFonts w:ascii="Times New Roman" w:hAnsi="Times New Roman" w:eastAsia="Times New Roman" w:cs="Times New Roman"/>
                <w:spacing w:val="3"/>
              </w:rPr>
              <w:t>2</w:t>
            </w:r>
            <w:r>
              <w:rPr>
                <w:spacing w:val="3"/>
              </w:rPr>
              <w:t>）不开采地下水。</w:t>
            </w:r>
          </w:p>
          <w:p>
            <w:pPr>
              <w:pStyle w:val="TableText"/>
              <w:ind w:left="13" w:firstLine="7"/>
              <w:spacing w:before="26" w:line="239" w:lineRule="auto"/>
              <w:rPr/>
            </w:pPr>
            <w:r>
              <w:rPr>
                <w:spacing w:val="9"/>
              </w:rPr>
              <w:t>（</w:t>
            </w:r>
            <w:r>
              <w:rPr>
                <w:rFonts w:ascii="Times New Roman" w:hAnsi="Times New Roman" w:eastAsia="Times New Roman" w:cs="Times New Roman"/>
                <w:spacing w:val="9"/>
              </w:rPr>
              <w:t>3</w:t>
            </w:r>
            <w:r>
              <w:rPr>
                <w:spacing w:val="9"/>
              </w:rPr>
              <w:t>）不属于超采区；项目不开采地下</w:t>
            </w:r>
            <w:r>
              <w:rPr>
                <w:spacing w:val="13"/>
              </w:rPr>
              <w:t xml:space="preserve"> </w:t>
            </w:r>
            <w:r>
              <w:rPr>
                <w:spacing w:val="-1"/>
              </w:rPr>
              <w:t>水。</w:t>
            </w:r>
          </w:p>
          <w:p>
            <w:pPr>
              <w:pStyle w:val="TableText"/>
              <w:ind w:left="21"/>
              <w:spacing w:before="26" w:line="228" w:lineRule="auto"/>
              <w:rPr/>
            </w:pPr>
            <w:r>
              <w:rPr>
                <w:spacing w:val="4"/>
              </w:rPr>
              <w:t>（</w:t>
            </w:r>
            <w:r>
              <w:rPr>
                <w:rFonts w:ascii="Times New Roman" w:hAnsi="Times New Roman" w:eastAsia="Times New Roman" w:cs="Times New Roman"/>
                <w:spacing w:val="4"/>
              </w:rPr>
              <w:t>4</w:t>
            </w:r>
            <w:r>
              <w:rPr>
                <w:spacing w:val="4"/>
              </w:rPr>
              <w:t>）不涉及地下水开发利用。</w:t>
            </w:r>
          </w:p>
          <w:p>
            <w:pPr>
              <w:pStyle w:val="TableText"/>
              <w:ind w:left="12" w:firstLine="9"/>
              <w:spacing w:before="26" w:line="244" w:lineRule="auto"/>
              <w:rPr/>
            </w:pPr>
            <w:r>
              <w:rPr>
                <w:spacing w:val="9"/>
              </w:rPr>
              <w:t>（</w:t>
            </w:r>
            <w:r>
              <w:rPr>
                <w:rFonts w:ascii="Times New Roman" w:hAnsi="Times New Roman" w:eastAsia="Times New Roman" w:cs="Times New Roman"/>
                <w:spacing w:val="9"/>
              </w:rPr>
              <w:t>5</w:t>
            </w:r>
            <w:r>
              <w:rPr>
                <w:spacing w:val="9"/>
              </w:rPr>
              <w:t>）生产用水由市政供水管网集中供</w:t>
            </w:r>
            <w:r>
              <w:rPr>
                <w:spacing w:val="13"/>
              </w:rPr>
              <w:t xml:space="preserve"> </w:t>
            </w:r>
            <w:r>
              <w:rPr>
                <w:spacing w:val="4"/>
              </w:rPr>
              <w:t>给，水源为明安图镇污水处理厂中水；</w:t>
            </w:r>
            <w:r>
              <w:rPr>
                <w:spacing w:val="7"/>
              </w:rPr>
              <w:t xml:space="preserve"> </w:t>
            </w:r>
            <w:r>
              <w:rPr>
                <w:spacing w:val="5"/>
              </w:rPr>
              <w:t>生产废水全部综合利用，不外排。</w:t>
            </w:r>
          </w:p>
          <w:p>
            <w:pPr>
              <w:pStyle w:val="TableText"/>
              <w:ind w:left="14" w:firstLine="6"/>
              <w:spacing w:before="24" w:line="239" w:lineRule="auto"/>
              <w:rPr/>
            </w:pPr>
            <w:r>
              <w:rPr>
                <w:spacing w:val="9"/>
              </w:rPr>
              <w:t>（</w:t>
            </w:r>
            <w:r>
              <w:rPr>
                <w:rFonts w:ascii="Times New Roman" w:hAnsi="Times New Roman" w:eastAsia="Times New Roman" w:cs="Times New Roman"/>
                <w:spacing w:val="9"/>
              </w:rPr>
              <w:t>6</w:t>
            </w:r>
            <w:r>
              <w:rPr>
                <w:spacing w:val="9"/>
              </w:rPr>
              <w:t>）项目采用节水设计；项目用水满</w:t>
            </w:r>
            <w:r>
              <w:rPr>
                <w:spacing w:val="13"/>
              </w:rPr>
              <w:t xml:space="preserve"> </w:t>
            </w:r>
            <w:r>
              <w:rPr>
                <w:spacing w:val="4"/>
              </w:rPr>
              <w:t>足内蒙古自治区用水定额标准。</w:t>
            </w:r>
          </w:p>
        </w:tc>
        <w:tc>
          <w:tcPr>
            <w:tcW w:w="780" w:type="dxa"/>
            <w:vAlign w:val="top"/>
          </w:tcPr>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pStyle w:val="TableText"/>
              <w:ind w:left="191"/>
              <w:spacing w:before="65" w:line="228" w:lineRule="auto"/>
              <w:rPr/>
            </w:pPr>
            <w:r>
              <w:rPr>
                <w:spacing w:val="2"/>
              </w:rPr>
              <w:t>符合</w:t>
            </w:r>
          </w:p>
        </w:tc>
      </w:tr>
    </w:tbl>
    <w:p>
      <w:pPr>
        <w:ind w:left="536"/>
        <w:spacing w:before="34" w:line="219" w:lineRule="auto"/>
        <w:rPr>
          <w:rFonts w:ascii="SimSun" w:hAnsi="SimSun" w:eastAsia="SimSun" w:cs="SimSun"/>
          <w:sz w:val="24"/>
          <w:szCs w:val="24"/>
        </w:rPr>
      </w:pPr>
      <w:r>
        <w:rPr>
          <w:rFonts w:ascii="SimSun" w:hAnsi="SimSun" w:eastAsia="SimSun" w:cs="SimSun"/>
          <w:sz w:val="24"/>
          <w:szCs w:val="24"/>
          <w:spacing w:val="-2"/>
        </w:rPr>
        <w:t>综上所述，本项目总体符合“三线一单</w:t>
      </w:r>
      <w:r>
        <w:rPr>
          <w:rFonts w:ascii="SimSun" w:hAnsi="SimSun" w:eastAsia="SimSun" w:cs="SimSun"/>
          <w:sz w:val="24"/>
          <w:szCs w:val="24"/>
          <w:spacing w:val="-86"/>
        </w:rPr>
        <w:t xml:space="preserve"> </w:t>
      </w:r>
      <w:r>
        <w:rPr>
          <w:rFonts w:ascii="SimSun" w:hAnsi="SimSun" w:eastAsia="SimSun" w:cs="SimSun"/>
          <w:sz w:val="24"/>
          <w:szCs w:val="24"/>
          <w:spacing w:val="-2"/>
        </w:rPr>
        <w:t>”的管控要求。</w:t>
      </w:r>
    </w:p>
    <w:p>
      <w:pPr>
        <w:spacing w:line="219" w:lineRule="auto"/>
        <w:sectPr>
          <w:footerReference w:type="default" r:id="rId36"/>
          <w:pgSz w:w="16840" w:h="11907"/>
          <w:pgMar w:top="1567" w:right="1658" w:bottom="1480" w:left="1657" w:header="1221" w:footer="1246" w:gutter="0"/>
        </w:sectPr>
        <w:rPr>
          <w:rFonts w:ascii="SimSun" w:hAnsi="SimSun" w:eastAsia="SimSun" w:cs="SimSun"/>
          <w:sz w:val="24"/>
          <w:szCs w:val="24"/>
        </w:rPr>
      </w:pPr>
    </w:p>
    <w:p>
      <w:pPr>
        <w:pStyle w:val="BodyText"/>
        <w:spacing w:line="252" w:lineRule="auto"/>
        <w:rPr/>
      </w:pPr>
      <w:r>
        <w:pict>
          <v:shape id="_x0000_s112" style="position:absolute;margin-left:0pt;margin-top:0.497925pt;mso-position-vertical-relative:text;mso-position-horizontal-relative:text;width:425.25pt;height:0.75pt;z-index:251713536;" fillcolor="#000000" filled="true" stroked="false" coordsize="8505,15" coordorigin="0,0" path="m,l8505,0l8505,14l0,14l0,0xe"/>
        </w:pict>
      </w:r>
      <w:r/>
    </w:p>
    <w:p>
      <w:pPr>
        <w:ind w:left="33"/>
        <w:spacing w:before="91" w:line="222" w:lineRule="auto"/>
        <w:outlineLvl w:val="2"/>
        <w:rPr>
          <w:rFonts w:ascii="SimHei" w:hAnsi="SimHei" w:eastAsia="SimHei" w:cs="SimHei"/>
          <w:sz w:val="28"/>
          <w:szCs w:val="28"/>
        </w:rPr>
      </w:pPr>
      <w:bookmarkStart w:name="bookmark11" w:id="13"/>
      <w:bookmarkEnd w:id="13"/>
      <w:r>
        <w:rPr>
          <w:rFonts w:ascii="Times New Roman" w:hAnsi="Times New Roman" w:eastAsia="Times New Roman" w:cs="Times New Roman"/>
          <w:sz w:val="28"/>
          <w:szCs w:val="28"/>
          <w:spacing w:val="-3"/>
        </w:rPr>
        <w:t>1.4.6 </w:t>
      </w:r>
      <w:r>
        <w:rPr>
          <w:rFonts w:ascii="SimHei" w:hAnsi="SimHei" w:eastAsia="SimHei" w:cs="SimHei"/>
          <w:sz w:val="28"/>
          <w:szCs w:val="28"/>
          <w:spacing w:val="-3"/>
        </w:rPr>
        <w:t>其他符合性分析</w:t>
      </w:r>
    </w:p>
    <w:p>
      <w:pPr>
        <w:ind w:left="10" w:right="80" w:firstLine="5"/>
        <w:spacing w:before="200" w:line="290" w:lineRule="auto"/>
        <w:outlineLvl w:val="3"/>
        <w:rPr>
          <w:rFonts w:ascii="SimSun" w:hAnsi="SimSun" w:eastAsia="SimSun" w:cs="SimSun"/>
          <w:sz w:val="24"/>
          <w:szCs w:val="24"/>
        </w:rPr>
      </w:pPr>
      <w:r>
        <w:rPr>
          <w:rFonts w:ascii="Times New Roman" w:hAnsi="Times New Roman" w:eastAsia="Times New Roman" w:cs="Times New Roman"/>
          <w:sz w:val="24"/>
          <w:szCs w:val="24"/>
          <w:b/>
          <w:bCs/>
        </w:rPr>
        <w:t>1.4.6.1</w:t>
      </w:r>
      <w:r>
        <w:rPr>
          <w:rFonts w:ascii="Times New Roman" w:hAnsi="Times New Roman" w:eastAsia="Times New Roman" w:cs="Times New Roman"/>
          <w:sz w:val="24"/>
          <w:szCs w:val="24"/>
          <w:b/>
          <w:bCs/>
          <w:spacing w:val="17"/>
        </w:rPr>
        <w:t xml:space="preserve"> </w:t>
      </w:r>
      <w:r>
        <w:rPr>
          <w:rFonts w:ascii="SimSun" w:hAnsi="SimSun" w:eastAsia="SimSun" w:cs="SimSun"/>
          <w:sz w:val="24"/>
          <w:szCs w:val="24"/>
          <w:b/>
          <w:bCs/>
        </w:rPr>
        <w:t>与《关于加强重点行业涉新污染物建设项目环</w:t>
      </w:r>
      <w:r>
        <w:rPr>
          <w:rFonts w:ascii="SimSun" w:hAnsi="SimSun" w:eastAsia="SimSun" w:cs="SimSun"/>
          <w:sz w:val="24"/>
          <w:szCs w:val="24"/>
          <w:b/>
          <w:bCs/>
          <w:spacing w:val="-1"/>
        </w:rPr>
        <w:t>境影响评价工作的意见》符</w:t>
      </w:r>
      <w:r>
        <w:rPr>
          <w:rFonts w:ascii="SimSun" w:hAnsi="SimSun" w:eastAsia="SimSun" w:cs="SimSun"/>
          <w:sz w:val="24"/>
          <w:szCs w:val="24"/>
        </w:rPr>
        <w:t xml:space="preserve"> </w:t>
      </w:r>
      <w:r>
        <w:rPr>
          <w:rFonts w:ascii="SimSun" w:hAnsi="SimSun" w:eastAsia="SimSun" w:cs="SimSun"/>
          <w:sz w:val="24"/>
          <w:szCs w:val="24"/>
          <w:b/>
          <w:bCs/>
          <w:spacing w:val="-8"/>
        </w:rPr>
        <w:t>合性</w:t>
      </w:r>
    </w:p>
    <w:p>
      <w:pPr>
        <w:ind w:left="9" w:firstLine="480"/>
        <w:spacing w:before="181" w:line="359" w:lineRule="auto"/>
        <w:jc w:val="both"/>
        <w:rPr>
          <w:rFonts w:ascii="SimSun" w:hAnsi="SimSun" w:eastAsia="SimSun" w:cs="SimSun"/>
          <w:sz w:val="24"/>
          <w:szCs w:val="24"/>
        </w:rPr>
      </w:pPr>
      <w:r>
        <w:rPr>
          <w:rFonts w:ascii="SimSun" w:hAnsi="SimSun" w:eastAsia="SimSun" w:cs="SimSun"/>
          <w:sz w:val="24"/>
          <w:szCs w:val="24"/>
          <w:spacing w:val="-1"/>
        </w:rPr>
        <w:t>根据</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2025 </w:t>
      </w:r>
      <w:r>
        <w:rPr>
          <w:rFonts w:ascii="SimSun" w:hAnsi="SimSun" w:eastAsia="SimSun" w:cs="SimSun"/>
          <w:sz w:val="24"/>
          <w:szCs w:val="24"/>
          <w:spacing w:val="-1"/>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4</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1"/>
        </w:rPr>
        <w:t>月</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10  </w:t>
      </w:r>
      <w:r>
        <w:rPr>
          <w:rFonts w:ascii="SimSun" w:hAnsi="SimSun" w:eastAsia="SimSun" w:cs="SimSun"/>
          <w:sz w:val="24"/>
          <w:szCs w:val="24"/>
          <w:spacing w:val="-1"/>
        </w:rPr>
        <w:t>日生态环境部发布的《关于加强重点行业涉新污染物建</w:t>
      </w:r>
      <w:r>
        <w:rPr>
          <w:rFonts w:ascii="SimSun" w:hAnsi="SimSun" w:eastAsia="SimSun" w:cs="SimSun"/>
          <w:sz w:val="24"/>
          <w:szCs w:val="24"/>
        </w:rPr>
        <w:t xml:space="preserve"> </w:t>
      </w:r>
      <w:r>
        <w:rPr>
          <w:rFonts w:ascii="SimSun" w:hAnsi="SimSun" w:eastAsia="SimSun" w:cs="SimSun"/>
          <w:sz w:val="24"/>
          <w:szCs w:val="24"/>
          <w:spacing w:val="3"/>
        </w:rPr>
        <w:t>设项目环境影响评价工作的意见》，重点关注重点</w:t>
      </w:r>
      <w:r>
        <w:rPr>
          <w:rFonts w:ascii="SimSun" w:hAnsi="SimSun" w:eastAsia="SimSun" w:cs="SimSun"/>
          <w:sz w:val="24"/>
          <w:szCs w:val="24"/>
          <w:spacing w:val="2"/>
        </w:rPr>
        <w:t>管控新污染物清单、有毒有害</w:t>
      </w:r>
      <w:r>
        <w:rPr>
          <w:rFonts w:ascii="SimSun" w:hAnsi="SimSun" w:eastAsia="SimSun" w:cs="SimSun"/>
          <w:sz w:val="24"/>
          <w:szCs w:val="24"/>
        </w:rPr>
        <w:t xml:space="preserve"> </w:t>
      </w:r>
      <w:r>
        <w:rPr>
          <w:rFonts w:ascii="SimSun" w:hAnsi="SimSun" w:eastAsia="SimSun" w:cs="SimSun"/>
          <w:sz w:val="24"/>
          <w:szCs w:val="24"/>
          <w:spacing w:val="3"/>
        </w:rPr>
        <w:t>污染物名录、优先控制化学品名录以及《关于持久性有</w:t>
      </w:r>
      <w:r>
        <w:rPr>
          <w:rFonts w:ascii="SimSun" w:hAnsi="SimSun" w:eastAsia="SimSun" w:cs="SimSun"/>
          <w:sz w:val="24"/>
          <w:szCs w:val="24"/>
          <w:spacing w:val="2"/>
        </w:rPr>
        <w:t>机污染物的斯德哥尔摩公</w:t>
      </w:r>
      <w:r>
        <w:rPr>
          <w:rFonts w:ascii="SimSun" w:hAnsi="SimSun" w:eastAsia="SimSun" w:cs="SimSun"/>
          <w:sz w:val="24"/>
          <w:szCs w:val="24"/>
        </w:rPr>
        <w:t xml:space="preserve"> </w:t>
      </w:r>
      <w:r>
        <w:rPr>
          <w:rFonts w:ascii="SimSun" w:hAnsi="SimSun" w:eastAsia="SimSun" w:cs="SimSun"/>
          <w:sz w:val="24"/>
          <w:szCs w:val="24"/>
          <w:spacing w:val="-2"/>
        </w:rPr>
        <w:t>约》（简称《斯德哥尔摩公约》）附件中已发布环境质量标准、污染物排放标准、</w:t>
      </w:r>
      <w:r>
        <w:rPr>
          <w:rFonts w:ascii="SimSun" w:hAnsi="SimSun" w:eastAsia="SimSun" w:cs="SimSun"/>
          <w:sz w:val="24"/>
          <w:szCs w:val="24"/>
          <w:spacing w:val="5"/>
        </w:rPr>
        <w:t xml:space="preserve"> </w:t>
      </w:r>
      <w:r>
        <w:rPr>
          <w:rFonts w:ascii="SimSun" w:hAnsi="SimSun" w:eastAsia="SimSun" w:cs="SimSun"/>
          <w:sz w:val="24"/>
          <w:szCs w:val="24"/>
          <w:spacing w:val="3"/>
        </w:rPr>
        <w:t>环境监测方法标准或其他具有污染治理技术的污染物。</w:t>
      </w:r>
      <w:r>
        <w:rPr>
          <w:rFonts w:ascii="SimSun" w:hAnsi="SimSun" w:eastAsia="SimSun" w:cs="SimSun"/>
          <w:sz w:val="24"/>
          <w:szCs w:val="24"/>
          <w:spacing w:val="2"/>
        </w:rPr>
        <w:t>重点关注石化、涂料、纺</w:t>
      </w:r>
      <w:r>
        <w:rPr>
          <w:rFonts w:ascii="SimSun" w:hAnsi="SimSun" w:eastAsia="SimSun" w:cs="SimSun"/>
          <w:sz w:val="24"/>
          <w:szCs w:val="24"/>
        </w:rPr>
        <w:t xml:space="preserve"> </w:t>
      </w:r>
      <w:r>
        <w:rPr>
          <w:rFonts w:ascii="SimSun" w:hAnsi="SimSun" w:eastAsia="SimSun" w:cs="SimSun"/>
          <w:sz w:val="24"/>
          <w:szCs w:val="24"/>
          <w:spacing w:val="3"/>
        </w:rPr>
        <w:t>织印染、橡胶、农药、医药等重点行业建设项目，在建</w:t>
      </w:r>
      <w:r>
        <w:rPr>
          <w:rFonts w:ascii="SimSun" w:hAnsi="SimSun" w:eastAsia="SimSun" w:cs="SimSun"/>
          <w:sz w:val="24"/>
          <w:szCs w:val="24"/>
          <w:spacing w:val="2"/>
        </w:rPr>
        <w:t>设项目环评工作中做好上</w:t>
      </w:r>
      <w:r>
        <w:rPr>
          <w:rFonts w:ascii="SimSun" w:hAnsi="SimSun" w:eastAsia="SimSun" w:cs="SimSun"/>
          <w:sz w:val="24"/>
          <w:szCs w:val="24"/>
        </w:rPr>
        <w:t xml:space="preserve"> </w:t>
      </w:r>
      <w:r>
        <w:rPr>
          <w:rFonts w:ascii="SimSun" w:hAnsi="SimSun" w:eastAsia="SimSun" w:cs="SimSun"/>
          <w:sz w:val="24"/>
          <w:szCs w:val="24"/>
          <w:spacing w:val="3"/>
        </w:rPr>
        <w:t>述新污染物识别，涉及上述新污染物的，执行本意见要求；不涉及新污染物的，</w:t>
      </w:r>
      <w:r>
        <w:rPr>
          <w:rFonts w:ascii="SimSun" w:hAnsi="SimSun" w:eastAsia="SimSun" w:cs="SimSun"/>
          <w:sz w:val="24"/>
          <w:szCs w:val="24"/>
          <w:spacing w:val="16"/>
        </w:rPr>
        <w:t xml:space="preserve"> </w:t>
      </w:r>
      <w:r>
        <w:rPr>
          <w:rFonts w:ascii="SimSun" w:hAnsi="SimSun" w:eastAsia="SimSun" w:cs="SimSun"/>
          <w:sz w:val="24"/>
          <w:szCs w:val="24"/>
          <w:spacing w:val="-2"/>
        </w:rPr>
        <w:t>无需开展相关工作。</w:t>
      </w:r>
    </w:p>
    <w:p>
      <w:pPr>
        <w:ind w:left="8" w:firstLine="480"/>
        <w:spacing w:before="11" w:line="358" w:lineRule="auto"/>
        <w:jc w:val="both"/>
        <w:rPr>
          <w:rFonts w:ascii="SimSun" w:hAnsi="SimSun" w:eastAsia="SimSun" w:cs="SimSun"/>
          <w:sz w:val="24"/>
          <w:szCs w:val="24"/>
        </w:rPr>
      </w:pPr>
      <w:r>
        <w:rPr>
          <w:rFonts w:ascii="SimSun" w:hAnsi="SimSun" w:eastAsia="SimSun" w:cs="SimSun"/>
          <w:sz w:val="24"/>
          <w:szCs w:val="24"/>
          <w:spacing w:val="3"/>
        </w:rPr>
        <w:t>根据《建设项目环境影响评价分类管理名录（</w:t>
      </w:r>
      <w:r>
        <w:rPr>
          <w:rFonts w:ascii="Times New Roman" w:hAnsi="Times New Roman" w:eastAsia="Times New Roman" w:cs="Times New Roman"/>
          <w:sz w:val="24"/>
          <w:szCs w:val="24"/>
          <w:spacing w:val="3"/>
        </w:rPr>
        <w:t>20</w:t>
      </w:r>
      <w:r>
        <w:rPr>
          <w:rFonts w:ascii="Times New Roman" w:hAnsi="Times New Roman" w:eastAsia="Times New Roman" w:cs="Times New Roman"/>
          <w:sz w:val="24"/>
          <w:szCs w:val="24"/>
          <w:spacing w:val="2"/>
        </w:rPr>
        <w:t>21</w:t>
      </w:r>
      <w:r>
        <w:rPr>
          <w:rFonts w:ascii="SimSun" w:hAnsi="SimSun" w:eastAsia="SimSun" w:cs="SimSun"/>
          <w:sz w:val="24"/>
          <w:szCs w:val="24"/>
          <w:spacing w:val="2"/>
        </w:rPr>
        <w:t>年版）》、《国民经济行</w:t>
      </w:r>
      <w:r>
        <w:rPr>
          <w:rFonts w:ascii="SimSun" w:hAnsi="SimSun" w:eastAsia="SimSun" w:cs="SimSun"/>
          <w:sz w:val="24"/>
          <w:szCs w:val="24"/>
        </w:rPr>
        <w:t xml:space="preserve"> </w:t>
      </w:r>
      <w:r>
        <w:rPr>
          <w:rFonts w:ascii="SimSun" w:hAnsi="SimSun" w:eastAsia="SimSun" w:cs="SimSun"/>
          <w:sz w:val="24"/>
          <w:szCs w:val="24"/>
          <w:spacing w:val="-5"/>
        </w:rPr>
        <w:t>业分类》（</w:t>
      </w:r>
      <w:r>
        <w:rPr>
          <w:rFonts w:ascii="Times New Roman" w:hAnsi="Times New Roman" w:eastAsia="Times New Roman" w:cs="Times New Roman"/>
          <w:sz w:val="24"/>
          <w:szCs w:val="24"/>
          <w:spacing w:val="-5"/>
        </w:rPr>
        <w:t>GB/T4754-2017</w:t>
      </w:r>
      <w:r>
        <w:rPr>
          <w:rFonts w:ascii="SimSun" w:hAnsi="SimSun" w:eastAsia="SimSun" w:cs="SimSun"/>
          <w:sz w:val="24"/>
          <w:szCs w:val="24"/>
          <w:spacing w:val="-21"/>
        </w:rPr>
        <w:t>），</w:t>
      </w:r>
      <w:r>
        <w:rPr>
          <w:rFonts w:ascii="SimSun" w:hAnsi="SimSun" w:eastAsia="SimSun" w:cs="SimSun"/>
          <w:sz w:val="24"/>
          <w:szCs w:val="24"/>
          <w:spacing w:val="-5"/>
        </w:rPr>
        <w:t>本项目属于“纺织业</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17</w:t>
      </w:r>
      <w:r>
        <w:rPr>
          <w:rFonts w:ascii="SimSun" w:hAnsi="SimSun" w:eastAsia="SimSun" w:cs="SimSun"/>
          <w:sz w:val="24"/>
          <w:szCs w:val="24"/>
          <w:spacing w:val="-5"/>
        </w:rPr>
        <w:t>，毛</w:t>
      </w:r>
      <w:r>
        <w:rPr>
          <w:rFonts w:ascii="SimSun" w:hAnsi="SimSun" w:eastAsia="SimSun" w:cs="SimSun"/>
          <w:sz w:val="24"/>
          <w:szCs w:val="24"/>
          <w:spacing w:val="-6"/>
        </w:rPr>
        <w:t>纺织及染整精加工</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172</w:t>
      </w:r>
      <w:r>
        <w:rPr>
          <w:rFonts w:ascii="SimSun" w:hAnsi="SimSun" w:eastAsia="SimSun" w:cs="SimSun"/>
          <w:sz w:val="24"/>
          <w:szCs w:val="24"/>
          <w:spacing w:val="-6"/>
        </w:rPr>
        <w:t>，</w:t>
      </w:r>
      <w:r>
        <w:rPr>
          <w:rFonts w:ascii="SimSun" w:hAnsi="SimSun" w:eastAsia="SimSun" w:cs="SimSun"/>
          <w:sz w:val="24"/>
          <w:szCs w:val="24"/>
        </w:rPr>
        <w:t xml:space="preserve"> </w:t>
      </w:r>
      <w:r>
        <w:rPr>
          <w:rFonts w:ascii="SimSun" w:hAnsi="SimSun" w:eastAsia="SimSun" w:cs="SimSun"/>
          <w:sz w:val="24"/>
          <w:szCs w:val="24"/>
          <w:spacing w:val="2"/>
        </w:rPr>
        <w:t>有洗毛工艺</w:t>
      </w:r>
      <w:r>
        <w:rPr>
          <w:rFonts w:ascii="SimSun" w:hAnsi="SimSun" w:eastAsia="SimSun" w:cs="SimSun"/>
          <w:sz w:val="24"/>
          <w:szCs w:val="24"/>
          <w:spacing w:val="-85"/>
        </w:rPr>
        <w:t xml:space="preserve"> </w:t>
      </w:r>
      <w:r>
        <w:rPr>
          <w:rFonts w:ascii="SimSun" w:hAnsi="SimSun" w:eastAsia="SimSun" w:cs="SimSun"/>
          <w:sz w:val="24"/>
          <w:szCs w:val="24"/>
          <w:spacing w:val="2"/>
        </w:rPr>
        <w:t>”，应做好新污染物识别。根据《重点管控新污</w:t>
      </w:r>
      <w:r>
        <w:rPr>
          <w:rFonts w:ascii="SimSun" w:hAnsi="SimSun" w:eastAsia="SimSun" w:cs="SimSun"/>
          <w:sz w:val="24"/>
          <w:szCs w:val="24"/>
          <w:spacing w:val="1"/>
        </w:rPr>
        <w:t>染物清单》、有毒有</w:t>
      </w:r>
      <w:r>
        <w:rPr>
          <w:rFonts w:ascii="SimSun" w:hAnsi="SimSun" w:eastAsia="SimSun" w:cs="SimSun"/>
          <w:sz w:val="24"/>
          <w:szCs w:val="24"/>
        </w:rPr>
        <w:t xml:space="preserve"> </w:t>
      </w:r>
      <w:r>
        <w:rPr>
          <w:rFonts w:ascii="SimSun" w:hAnsi="SimSun" w:eastAsia="SimSun" w:cs="SimSun"/>
          <w:sz w:val="24"/>
          <w:szCs w:val="24"/>
          <w:spacing w:val="3"/>
        </w:rPr>
        <w:t>害污染物名录、优先控制化学品名录、《关于持久性</w:t>
      </w:r>
      <w:r>
        <w:rPr>
          <w:rFonts w:ascii="SimSun" w:hAnsi="SimSun" w:eastAsia="SimSun" w:cs="SimSun"/>
          <w:sz w:val="24"/>
          <w:szCs w:val="24"/>
          <w:spacing w:val="2"/>
        </w:rPr>
        <w:t>有机污染物的斯德哥尔摩公</w:t>
      </w:r>
      <w:r>
        <w:rPr>
          <w:rFonts w:ascii="SimSun" w:hAnsi="SimSun" w:eastAsia="SimSun" w:cs="SimSun"/>
          <w:sz w:val="24"/>
          <w:szCs w:val="24"/>
        </w:rPr>
        <w:t xml:space="preserve"> </w:t>
      </w:r>
      <w:r>
        <w:rPr>
          <w:rFonts w:ascii="SimSun" w:hAnsi="SimSun" w:eastAsia="SimSun" w:cs="SimSun"/>
          <w:sz w:val="24"/>
          <w:szCs w:val="24"/>
        </w:rPr>
        <w:t>约》，新污染物包括全氟辛基磺酸及其盐类和全氟辛基磺酰氟</w:t>
      </w:r>
      <w:r>
        <w:rPr>
          <w:rFonts w:ascii="Times New Roman" w:hAnsi="Times New Roman" w:eastAsia="Times New Roman" w:cs="Times New Roman"/>
          <w:sz w:val="24"/>
          <w:szCs w:val="24"/>
        </w:rPr>
        <w:t>(PFO</w:t>
      </w:r>
      <w:r>
        <w:rPr>
          <w:rFonts w:ascii="Times New Roman" w:hAnsi="Times New Roman" w:eastAsia="Times New Roman" w:cs="Times New Roman"/>
          <w:sz w:val="24"/>
          <w:szCs w:val="24"/>
          <w:spacing w:val="-1"/>
        </w:rPr>
        <w:t>S </w:t>
      </w:r>
      <w:r>
        <w:rPr>
          <w:rFonts w:ascii="SimSun" w:hAnsi="SimSun" w:eastAsia="SimSun" w:cs="SimSun"/>
          <w:sz w:val="24"/>
          <w:szCs w:val="24"/>
          <w:spacing w:val="-1"/>
        </w:rPr>
        <w:t>类</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、全氟辛</w:t>
      </w:r>
      <w:r>
        <w:rPr>
          <w:rFonts w:ascii="SimSun" w:hAnsi="SimSun" w:eastAsia="SimSun" w:cs="SimSun"/>
          <w:sz w:val="24"/>
          <w:szCs w:val="24"/>
        </w:rPr>
        <w:t xml:space="preserve"> </w:t>
      </w:r>
      <w:r>
        <w:rPr>
          <w:rFonts w:ascii="SimSun" w:hAnsi="SimSun" w:eastAsia="SimSun" w:cs="SimSun"/>
          <w:sz w:val="24"/>
          <w:szCs w:val="24"/>
          <w:spacing w:val="-4"/>
        </w:rPr>
        <w:t>酸及其盐类和相关化合物一</w:t>
      </w:r>
      <w:r>
        <w:rPr>
          <w:rFonts w:ascii="Times New Roman" w:hAnsi="Times New Roman" w:eastAsia="Times New Roman" w:cs="Times New Roman"/>
          <w:sz w:val="24"/>
          <w:szCs w:val="24"/>
          <w:spacing w:val="-4"/>
        </w:rPr>
        <w:t>(PFOA </w:t>
      </w:r>
      <w:r>
        <w:rPr>
          <w:rFonts w:ascii="SimSun" w:hAnsi="SimSun" w:eastAsia="SimSun" w:cs="SimSun"/>
          <w:sz w:val="24"/>
          <w:szCs w:val="24"/>
          <w:spacing w:val="-4"/>
        </w:rPr>
        <w:t>类</w:t>
      </w:r>
      <w:r>
        <w:rPr>
          <w:rFonts w:ascii="Times New Roman" w:hAnsi="Times New Roman" w:eastAsia="Times New Roman" w:cs="Times New Roman"/>
          <w:sz w:val="24"/>
          <w:szCs w:val="24"/>
          <w:spacing w:val="-4"/>
        </w:rPr>
        <w:t>)</w:t>
      </w:r>
      <w:r>
        <w:rPr>
          <w:rFonts w:ascii="SimSun" w:hAnsi="SimSun" w:eastAsia="SimSun" w:cs="SimSun"/>
          <w:sz w:val="24"/>
          <w:szCs w:val="24"/>
          <w:spacing w:val="-5"/>
        </w:rPr>
        <w:t>、十溴二苯醚、短链氯化石蜡、六氯丁二烯、</w:t>
      </w:r>
      <w:r>
        <w:rPr>
          <w:rFonts w:ascii="SimSun" w:hAnsi="SimSun" w:eastAsia="SimSun" w:cs="SimSun"/>
          <w:sz w:val="24"/>
          <w:szCs w:val="24"/>
        </w:rPr>
        <w:t xml:space="preserve"> </w:t>
      </w:r>
      <w:r>
        <w:rPr>
          <w:rFonts w:ascii="SimSun" w:hAnsi="SimSun" w:eastAsia="SimSun" w:cs="SimSun"/>
          <w:sz w:val="24"/>
          <w:szCs w:val="24"/>
          <w:spacing w:val="3"/>
        </w:rPr>
        <w:t>五氯苯酚及其盐类和酯类、三氯杀螨醇、全氟己基磺酸及</w:t>
      </w:r>
      <w:r>
        <w:rPr>
          <w:rFonts w:ascii="SimSun" w:hAnsi="SimSun" w:eastAsia="SimSun" w:cs="SimSun"/>
          <w:sz w:val="24"/>
          <w:szCs w:val="24"/>
          <w:spacing w:val="2"/>
        </w:rPr>
        <w:t>其盐类和其相关化合物</w:t>
      </w:r>
      <w:r>
        <w:rPr>
          <w:rFonts w:ascii="SimSun" w:hAnsi="SimSun" w:eastAsia="SimSun" w:cs="SimSun"/>
          <w:sz w:val="24"/>
          <w:szCs w:val="2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rPr>
        <w:t>PFHxS</w:t>
      </w:r>
      <w:r>
        <w:rPr>
          <w:rFonts w:ascii="Times New Roman" w:hAnsi="Times New Roman" w:eastAsia="Times New Roman" w:cs="Times New Roman"/>
          <w:sz w:val="24"/>
          <w:szCs w:val="24"/>
          <w:spacing w:val="2"/>
        </w:rPr>
        <w:t xml:space="preserve"> </w:t>
      </w:r>
      <w:r>
        <w:rPr>
          <w:rFonts w:ascii="SimSun" w:hAnsi="SimSun" w:eastAsia="SimSun" w:cs="SimSun"/>
          <w:sz w:val="24"/>
          <w:szCs w:val="24"/>
          <w:spacing w:val="2"/>
        </w:rPr>
        <w:t>类）、得克隆及其顺式异构体和反式异构体、二氯甲烷、三氯</w:t>
      </w:r>
      <w:r>
        <w:rPr>
          <w:rFonts w:ascii="SimSun" w:hAnsi="SimSun" w:eastAsia="SimSun" w:cs="SimSun"/>
          <w:sz w:val="24"/>
          <w:szCs w:val="24"/>
          <w:spacing w:val="1"/>
        </w:rPr>
        <w:t>甲烷、壬</w:t>
      </w:r>
      <w:r>
        <w:rPr>
          <w:rFonts w:ascii="SimSun" w:hAnsi="SimSun" w:eastAsia="SimSun" w:cs="SimSun"/>
          <w:sz w:val="24"/>
          <w:szCs w:val="24"/>
        </w:rPr>
        <w:t xml:space="preserve"> </w:t>
      </w:r>
      <w:r>
        <w:rPr>
          <w:rFonts w:ascii="SimSun" w:hAnsi="SimSun" w:eastAsia="SimSun" w:cs="SimSun"/>
          <w:sz w:val="24"/>
          <w:szCs w:val="24"/>
          <w:spacing w:val="-1"/>
        </w:rPr>
        <w:t>基酚、抗生素、六溴环十二烷、氯丹、灭蚁灵、六氯苯、滴滴涕、</w:t>
      </w:r>
      <w:r>
        <w:rPr>
          <w:rFonts w:ascii="Times New Roman" w:hAnsi="Times New Roman" w:eastAsia="Times New Roman" w:cs="Times New Roman"/>
          <w:sz w:val="24"/>
          <w:szCs w:val="24"/>
          <w:spacing w:val="-1"/>
        </w:rPr>
        <w:t>α-</w:t>
      </w:r>
      <w:r>
        <w:rPr>
          <w:rFonts w:ascii="SimSun" w:hAnsi="SimSun" w:eastAsia="SimSun" w:cs="SimSun"/>
          <w:sz w:val="24"/>
          <w:szCs w:val="24"/>
          <w:spacing w:val="-1"/>
        </w:rPr>
        <w:t>六氯环己烷、</w:t>
      </w:r>
      <w:r>
        <w:rPr>
          <w:rFonts w:ascii="SimSun" w:hAnsi="SimSun" w:eastAsia="SimSun" w:cs="SimSun"/>
          <w:sz w:val="24"/>
          <w:szCs w:val="24"/>
          <w:spacing w:val="5"/>
        </w:rPr>
        <w:t xml:space="preserve"> </w:t>
      </w:r>
      <w:r>
        <w:rPr>
          <w:rFonts w:ascii="Times New Roman" w:hAnsi="Times New Roman" w:eastAsia="Times New Roman" w:cs="Times New Roman"/>
          <w:sz w:val="24"/>
          <w:szCs w:val="24"/>
        </w:rPr>
        <w:t>β-</w:t>
      </w:r>
      <w:r>
        <w:rPr>
          <w:rFonts w:ascii="SimSun" w:hAnsi="SimSun" w:eastAsia="SimSun" w:cs="SimSun"/>
          <w:sz w:val="24"/>
          <w:szCs w:val="24"/>
        </w:rPr>
        <w:t>六氯环己烷、林丹、硫丹原药及其相关</w:t>
      </w:r>
      <w:r>
        <w:rPr>
          <w:rFonts w:ascii="SimSun" w:hAnsi="SimSun" w:eastAsia="SimSun" w:cs="SimSun"/>
          <w:sz w:val="24"/>
          <w:szCs w:val="24"/>
          <w:spacing w:val="-1"/>
        </w:rPr>
        <w:t>异构体、多氯联苯等。</w:t>
      </w:r>
    </w:p>
    <w:p>
      <w:pPr>
        <w:ind w:left="10" w:right="80" w:firstLine="479"/>
        <w:spacing w:before="4" w:line="362" w:lineRule="auto"/>
        <w:rPr>
          <w:rFonts w:ascii="SimSun" w:hAnsi="SimSun" w:eastAsia="SimSun" w:cs="SimSun"/>
          <w:sz w:val="24"/>
          <w:szCs w:val="24"/>
        </w:rPr>
      </w:pPr>
      <w:r>
        <w:rPr>
          <w:rFonts w:ascii="SimSun" w:hAnsi="SimSun" w:eastAsia="SimSun" w:cs="SimSun"/>
          <w:sz w:val="24"/>
          <w:szCs w:val="24"/>
          <w:spacing w:val="-1"/>
        </w:rPr>
        <w:t>通过对本项目洗涤剂成分名称及</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CAS </w:t>
      </w:r>
      <w:r>
        <w:rPr>
          <w:rFonts w:ascii="SimSun" w:hAnsi="SimSun" w:eastAsia="SimSun" w:cs="SimSun"/>
          <w:sz w:val="24"/>
          <w:szCs w:val="24"/>
          <w:spacing w:val="-1"/>
        </w:rPr>
        <w:t>号与新污染物对比分析，本项目不涉及</w:t>
      </w:r>
      <w:r>
        <w:rPr>
          <w:rFonts w:ascii="SimSun" w:hAnsi="SimSun" w:eastAsia="SimSun" w:cs="SimSun"/>
          <w:sz w:val="24"/>
          <w:szCs w:val="24"/>
        </w:rPr>
        <w:t xml:space="preserve"> </w:t>
      </w:r>
      <w:r>
        <w:rPr>
          <w:rFonts w:ascii="SimSun" w:hAnsi="SimSun" w:eastAsia="SimSun" w:cs="SimSun"/>
          <w:sz w:val="24"/>
          <w:szCs w:val="24"/>
          <w:spacing w:val="-1"/>
        </w:rPr>
        <w:t>新污染物，无需开展相关工作。</w:t>
      </w:r>
    </w:p>
    <w:p>
      <w:pPr>
        <w:ind w:left="35"/>
        <w:spacing w:before="155" w:line="222" w:lineRule="auto"/>
        <w:outlineLvl w:val="1"/>
        <w:rPr>
          <w:rFonts w:ascii="SimHei" w:hAnsi="SimHei" w:eastAsia="SimHei" w:cs="SimHei"/>
          <w:sz w:val="30"/>
          <w:szCs w:val="30"/>
        </w:rPr>
      </w:pPr>
      <w:bookmarkStart w:name="bookmark12" w:id="14"/>
      <w:bookmarkEnd w:id="14"/>
      <w:r>
        <w:rPr>
          <w:rFonts w:ascii="Times New Roman" w:hAnsi="Times New Roman" w:eastAsia="Times New Roman" w:cs="Times New Roman"/>
          <w:sz w:val="30"/>
          <w:szCs w:val="30"/>
          <w:spacing w:val="-3"/>
        </w:rPr>
        <w:t>1.5 </w:t>
      </w:r>
      <w:r>
        <w:rPr>
          <w:rFonts w:ascii="SimHei" w:hAnsi="SimHei" w:eastAsia="SimHei" w:cs="SimHei"/>
          <w:sz w:val="30"/>
          <w:szCs w:val="30"/>
          <w:spacing w:val="-3"/>
        </w:rPr>
        <w:t>主要的环境问题及环境影响</w:t>
      </w:r>
    </w:p>
    <w:p>
      <w:pPr>
        <w:pStyle w:val="BodyText"/>
        <w:spacing w:line="292" w:lineRule="auto"/>
        <w:rPr/>
      </w:pPr>
      <w:r/>
    </w:p>
    <w:p>
      <w:pPr>
        <w:ind w:left="9" w:right="78" w:firstLine="483"/>
        <w:spacing w:before="78" w:line="360" w:lineRule="auto"/>
        <w:jc w:val="both"/>
        <w:rPr>
          <w:rFonts w:ascii="SimSun" w:hAnsi="SimSun" w:eastAsia="SimSun" w:cs="SimSun"/>
          <w:sz w:val="24"/>
          <w:szCs w:val="24"/>
        </w:rPr>
      </w:pPr>
      <w:r>
        <w:rPr>
          <w:rFonts w:ascii="SimSun" w:hAnsi="SimSun" w:eastAsia="SimSun" w:cs="SimSun"/>
          <w:sz w:val="24"/>
          <w:szCs w:val="24"/>
          <w:spacing w:val="3"/>
        </w:rPr>
        <w:t>项目建设施工过程中施工扬尘、物料运输扬尘及施工机械</w:t>
      </w:r>
      <w:r>
        <w:rPr>
          <w:rFonts w:ascii="SimSun" w:hAnsi="SimSun" w:eastAsia="SimSun" w:cs="SimSun"/>
          <w:sz w:val="24"/>
          <w:szCs w:val="24"/>
          <w:spacing w:val="2"/>
        </w:rPr>
        <w:t>产生的尾气对大气</w:t>
      </w:r>
      <w:r>
        <w:rPr>
          <w:rFonts w:ascii="SimSun" w:hAnsi="SimSun" w:eastAsia="SimSun" w:cs="SimSun"/>
          <w:sz w:val="24"/>
          <w:szCs w:val="24"/>
        </w:rPr>
        <w:t xml:space="preserve"> </w:t>
      </w:r>
      <w:r>
        <w:rPr>
          <w:rFonts w:ascii="SimSun" w:hAnsi="SimSun" w:eastAsia="SimSun" w:cs="SimSun"/>
          <w:sz w:val="24"/>
          <w:szCs w:val="24"/>
          <w:spacing w:val="3"/>
        </w:rPr>
        <w:t>环境质量产生的影响；施工噪声、物料运输过程中</w:t>
      </w:r>
      <w:r>
        <w:rPr>
          <w:rFonts w:ascii="SimSun" w:hAnsi="SimSun" w:eastAsia="SimSun" w:cs="SimSun"/>
          <w:sz w:val="24"/>
          <w:szCs w:val="24"/>
          <w:spacing w:val="2"/>
        </w:rPr>
        <w:t>产生的噪声对运输道路及厂址</w:t>
      </w:r>
      <w:r>
        <w:rPr>
          <w:rFonts w:ascii="SimSun" w:hAnsi="SimSun" w:eastAsia="SimSun" w:cs="SimSun"/>
          <w:sz w:val="24"/>
          <w:szCs w:val="24"/>
        </w:rPr>
        <w:t xml:space="preserve"> </w:t>
      </w:r>
      <w:r>
        <w:rPr>
          <w:rFonts w:ascii="SimSun" w:hAnsi="SimSun" w:eastAsia="SimSun" w:cs="SimSun"/>
          <w:sz w:val="24"/>
          <w:szCs w:val="24"/>
          <w:spacing w:val="3"/>
        </w:rPr>
        <w:t>周边居民点的办公生活、休息造成影响；施工废水及施</w:t>
      </w:r>
      <w:r>
        <w:rPr>
          <w:rFonts w:ascii="SimSun" w:hAnsi="SimSun" w:eastAsia="SimSun" w:cs="SimSun"/>
          <w:sz w:val="24"/>
          <w:szCs w:val="24"/>
          <w:spacing w:val="2"/>
        </w:rPr>
        <w:t>工人员产生的生活污水未</w:t>
      </w:r>
    </w:p>
    <w:p>
      <w:pPr>
        <w:pStyle w:val="BodyText"/>
        <w:spacing w:line="272" w:lineRule="auto"/>
        <w:rPr/>
      </w:pPr>
      <w:r/>
    </w:p>
    <w:p>
      <w:pPr>
        <w:ind w:left="4165"/>
        <w:spacing w:before="63" w:line="227" w:lineRule="auto"/>
        <w:rPr>
          <w:rFonts w:ascii="SimSun" w:hAnsi="SimSun" w:eastAsia="SimSun" w:cs="SimSun"/>
          <w:sz w:val="19"/>
          <w:szCs w:val="19"/>
        </w:rPr>
      </w:pPr>
      <w:r>
        <w:rPr>
          <w:rFonts w:ascii="Times New Roman" w:hAnsi="Times New Roman" w:eastAsia="Times New Roman" w:cs="Times New Roman"/>
          <w:sz w:val="18"/>
          <w:szCs w:val="18"/>
          <w:spacing w:val="8"/>
          <w:position w:val="2"/>
        </w:rPr>
        <w:t>20</w:t>
      </w:r>
      <w:r>
        <w:rPr>
          <w:rFonts w:ascii="Times New Roman" w:hAnsi="Times New Roman" w:eastAsia="Times New Roman" w:cs="Times New Roman"/>
          <w:sz w:val="18"/>
          <w:szCs w:val="18"/>
          <w:spacing w:val="2"/>
          <w:position w:val="2"/>
        </w:rPr>
        <w:t xml:space="preserve">        </w:t>
      </w:r>
      <w:r>
        <w:rPr>
          <w:rFonts w:ascii="SimSun" w:hAnsi="SimSun" w:eastAsia="SimSun" w:cs="SimSun"/>
          <w:sz w:val="19"/>
          <w:szCs w:val="19"/>
          <w:spacing w:val="8"/>
        </w:rPr>
        <w:t>锡林郭勒盟中安环境技术咨询有限责任公司</w:t>
      </w:r>
    </w:p>
    <w:p>
      <w:pPr>
        <w:spacing w:line="227" w:lineRule="auto"/>
        <w:sectPr>
          <w:headerReference w:type="default" r:id="rId11"/>
          <w:footerReference w:type="default" r:id="rId3"/>
          <w:pgSz w:w="11907" w:h="16840"/>
          <w:pgMar w:top="1567" w:right="1621" w:bottom="400" w:left="1701" w:header="1221" w:footer="0" w:gutter="0"/>
        </w:sectPr>
        <w:rPr>
          <w:rFonts w:ascii="SimSun" w:hAnsi="SimSun" w:eastAsia="SimSun" w:cs="SimSun"/>
          <w:sz w:val="19"/>
          <w:szCs w:val="19"/>
        </w:rPr>
      </w:pPr>
    </w:p>
    <w:p>
      <w:pPr>
        <w:ind w:left="10" w:right="97"/>
        <w:spacing w:before="188" w:line="358" w:lineRule="auto"/>
        <w:rPr>
          <w:rFonts w:ascii="SimSun" w:hAnsi="SimSun" w:eastAsia="SimSun" w:cs="SimSun"/>
          <w:sz w:val="24"/>
          <w:szCs w:val="24"/>
        </w:rPr>
      </w:pPr>
      <w:r>
        <w:pict>
          <v:shape id="_x0000_s114" style="position:absolute;margin-left:85.05pt;margin-top:79.11pt;mso-position-vertical-relative:page;mso-position-horizontal-relative:page;width:425.25pt;height:0.75pt;z-index:251715584;" o:allowincell="f" fillcolor="#000000" filled="true" stroked="false" coordsize="8505,15" coordorigin="0,0" path="m,l8505,0l8505,14l0,14l0,0xe"/>
        </w:pict>
      </w:r>
      <w:r>
        <w:rPr>
          <w:rFonts w:ascii="SimSun" w:hAnsi="SimSun" w:eastAsia="SimSun" w:cs="SimSun"/>
          <w:sz w:val="24"/>
          <w:szCs w:val="24"/>
          <w:spacing w:val="3"/>
        </w:rPr>
        <w:t>妥善处理对区域水环境产生的影响；土地平整、挖填</w:t>
      </w:r>
      <w:r>
        <w:rPr>
          <w:rFonts w:ascii="SimSun" w:hAnsi="SimSun" w:eastAsia="SimSun" w:cs="SimSun"/>
          <w:sz w:val="24"/>
          <w:szCs w:val="24"/>
          <w:spacing w:val="2"/>
        </w:rPr>
        <w:t>方及临时占地等造成的水土</w:t>
      </w:r>
      <w:r>
        <w:rPr>
          <w:rFonts w:ascii="SimSun" w:hAnsi="SimSun" w:eastAsia="SimSun" w:cs="SimSun"/>
          <w:sz w:val="24"/>
          <w:szCs w:val="24"/>
        </w:rPr>
        <w:t xml:space="preserve"> </w:t>
      </w:r>
      <w:r>
        <w:rPr>
          <w:rFonts w:ascii="SimSun" w:hAnsi="SimSun" w:eastAsia="SimSun" w:cs="SimSun"/>
          <w:sz w:val="24"/>
          <w:szCs w:val="24"/>
          <w:spacing w:val="-1"/>
        </w:rPr>
        <w:t>流失、生物量损失等生态环境影响。</w:t>
      </w:r>
    </w:p>
    <w:p>
      <w:pPr>
        <w:ind w:left="8" w:right="97" w:firstLine="480"/>
        <w:spacing w:before="1" w:line="359" w:lineRule="auto"/>
        <w:jc w:val="both"/>
        <w:rPr>
          <w:rFonts w:ascii="SimSun" w:hAnsi="SimSun" w:eastAsia="SimSun" w:cs="SimSun"/>
          <w:sz w:val="24"/>
          <w:szCs w:val="24"/>
        </w:rPr>
      </w:pPr>
      <w:r>
        <w:rPr>
          <w:rFonts w:ascii="SimSun" w:hAnsi="SimSun" w:eastAsia="SimSun" w:cs="SimSun"/>
          <w:sz w:val="24"/>
          <w:szCs w:val="24"/>
          <w:spacing w:val="3"/>
        </w:rPr>
        <w:t>运营期生产过程中各环节排放废气中的颗粒物、二氧化硫、</w:t>
      </w:r>
      <w:r>
        <w:rPr>
          <w:rFonts w:ascii="SimSun" w:hAnsi="SimSun" w:eastAsia="SimSun" w:cs="SimSun"/>
          <w:sz w:val="24"/>
          <w:szCs w:val="24"/>
          <w:spacing w:val="2"/>
        </w:rPr>
        <w:t>氮氧化物、硫化</w:t>
      </w:r>
      <w:r>
        <w:rPr>
          <w:rFonts w:ascii="SimSun" w:hAnsi="SimSun" w:eastAsia="SimSun" w:cs="SimSun"/>
          <w:sz w:val="24"/>
          <w:szCs w:val="24"/>
        </w:rPr>
        <w:t xml:space="preserve"> </w:t>
      </w:r>
      <w:r>
        <w:rPr>
          <w:rFonts w:ascii="SimSun" w:hAnsi="SimSun" w:eastAsia="SimSun" w:cs="SimSun"/>
          <w:sz w:val="24"/>
          <w:szCs w:val="24"/>
          <w:spacing w:val="3"/>
        </w:rPr>
        <w:t>氢、氨等对环境空气质量的影响；厂区内生产废水因</w:t>
      </w:r>
      <w:r>
        <w:rPr>
          <w:rFonts w:ascii="SimSun" w:hAnsi="SimSun" w:eastAsia="SimSun" w:cs="SimSun"/>
          <w:sz w:val="24"/>
          <w:szCs w:val="24"/>
          <w:spacing w:val="2"/>
        </w:rPr>
        <w:t>防渗层破裂下渗导致的对地</w:t>
      </w:r>
      <w:r>
        <w:rPr>
          <w:rFonts w:ascii="SimSun" w:hAnsi="SimSun" w:eastAsia="SimSun" w:cs="SimSun"/>
          <w:sz w:val="24"/>
          <w:szCs w:val="24"/>
        </w:rPr>
        <w:t xml:space="preserve"> </w:t>
      </w:r>
      <w:r>
        <w:rPr>
          <w:rFonts w:ascii="SimSun" w:hAnsi="SimSun" w:eastAsia="SimSun" w:cs="SimSun"/>
          <w:sz w:val="24"/>
          <w:szCs w:val="24"/>
          <w:spacing w:val="3"/>
        </w:rPr>
        <w:t>下水水质的影响；设备运转噪声、物料运输噪声等对</w:t>
      </w:r>
      <w:r>
        <w:rPr>
          <w:rFonts w:ascii="SimSun" w:hAnsi="SimSun" w:eastAsia="SimSun" w:cs="SimSun"/>
          <w:sz w:val="24"/>
          <w:szCs w:val="24"/>
          <w:spacing w:val="2"/>
        </w:rPr>
        <w:t>周边村庄的影响；产生的工</w:t>
      </w:r>
      <w:r>
        <w:rPr>
          <w:rFonts w:ascii="SimSun" w:hAnsi="SimSun" w:eastAsia="SimSun" w:cs="SimSun"/>
          <w:sz w:val="24"/>
          <w:szCs w:val="24"/>
        </w:rPr>
        <w:t xml:space="preserve"> </w:t>
      </w:r>
      <w:r>
        <w:rPr>
          <w:rFonts w:ascii="SimSun" w:hAnsi="SimSun" w:eastAsia="SimSun" w:cs="SimSun"/>
          <w:sz w:val="24"/>
          <w:szCs w:val="24"/>
          <w:spacing w:val="3"/>
        </w:rPr>
        <w:t>业固废因处置不当对土壤、地下水环境、景观生态环境造</w:t>
      </w:r>
      <w:r>
        <w:rPr>
          <w:rFonts w:ascii="SimSun" w:hAnsi="SimSun" w:eastAsia="SimSun" w:cs="SimSun"/>
          <w:sz w:val="24"/>
          <w:szCs w:val="24"/>
          <w:spacing w:val="2"/>
        </w:rPr>
        <w:t>成的影响；环境风险事</w:t>
      </w:r>
      <w:r>
        <w:rPr>
          <w:rFonts w:ascii="SimSun" w:hAnsi="SimSun" w:eastAsia="SimSun" w:cs="SimSun"/>
          <w:sz w:val="24"/>
          <w:szCs w:val="24"/>
        </w:rPr>
        <w:t xml:space="preserve"> </w:t>
      </w:r>
      <w:r>
        <w:rPr>
          <w:rFonts w:ascii="SimSun" w:hAnsi="SimSun" w:eastAsia="SimSun" w:cs="SimSun"/>
          <w:sz w:val="24"/>
          <w:szCs w:val="24"/>
          <w:spacing w:val="-1"/>
        </w:rPr>
        <w:t>故对大气环境、水环境、土壤环境等造成的污染影响。</w:t>
      </w:r>
    </w:p>
    <w:p>
      <w:pPr>
        <w:ind w:left="489"/>
        <w:spacing w:line="219" w:lineRule="auto"/>
        <w:rPr>
          <w:rFonts w:ascii="SimSun" w:hAnsi="SimSun" w:eastAsia="SimSun" w:cs="SimSun"/>
          <w:sz w:val="24"/>
          <w:szCs w:val="24"/>
        </w:rPr>
      </w:pPr>
      <w:r>
        <w:rPr>
          <w:rFonts w:ascii="SimSun" w:hAnsi="SimSun" w:eastAsia="SimSun" w:cs="SimSun"/>
          <w:sz w:val="24"/>
          <w:szCs w:val="24"/>
          <w:spacing w:val="-1"/>
        </w:rPr>
        <w:t>根据项目的产排污特点，需关注的主要环境问题及环境影响：</w:t>
      </w:r>
    </w:p>
    <w:p>
      <w:pPr>
        <w:ind w:left="10" w:right="99" w:firstLine="490"/>
        <w:spacing w:before="182" w:line="28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）重点关注洗毛、梳绒及厌氧发酵装置等处产生的废气。关注</w:t>
      </w:r>
      <w:r>
        <w:rPr>
          <w:rFonts w:ascii="SimSun" w:hAnsi="SimSun" w:eastAsia="SimSun" w:cs="SimSun"/>
          <w:sz w:val="24"/>
          <w:szCs w:val="24"/>
          <w:spacing w:val="-2"/>
        </w:rPr>
        <w:t>废气污染因</w:t>
      </w:r>
      <w:r>
        <w:rPr>
          <w:rFonts w:ascii="SimSun" w:hAnsi="SimSun" w:eastAsia="SimSun" w:cs="SimSun"/>
          <w:sz w:val="24"/>
          <w:szCs w:val="24"/>
        </w:rPr>
        <w:t xml:space="preserve"> </w:t>
      </w:r>
      <w:r>
        <w:rPr>
          <w:rFonts w:ascii="SimSun" w:hAnsi="SimSun" w:eastAsia="SimSun" w:cs="SimSun"/>
          <w:sz w:val="24"/>
          <w:szCs w:val="24"/>
        </w:rPr>
        <w:t>子、源强及治理措施，评价污染物排放对区域环境</w:t>
      </w:r>
      <w:r>
        <w:rPr>
          <w:rFonts w:ascii="SimSun" w:hAnsi="SimSun" w:eastAsia="SimSun" w:cs="SimSun"/>
          <w:sz w:val="24"/>
          <w:szCs w:val="24"/>
          <w:spacing w:val="-1"/>
        </w:rPr>
        <w:t>和周围敏感点的影响程度。</w:t>
      </w:r>
    </w:p>
    <w:p>
      <w:pPr>
        <w:ind w:left="9" w:firstLine="491"/>
        <w:spacing w:before="186" w:line="331"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）本项目东厂区和西厂区员工洗浴废水通过独立管道系统外排</w:t>
      </w:r>
      <w:r>
        <w:rPr>
          <w:rFonts w:ascii="SimSun" w:hAnsi="SimSun" w:eastAsia="SimSun" w:cs="SimSun"/>
          <w:sz w:val="24"/>
          <w:szCs w:val="24"/>
          <w:spacing w:val="-2"/>
        </w:rPr>
        <w:t>市政污水管</w:t>
      </w:r>
      <w:r>
        <w:rPr>
          <w:rFonts w:ascii="SimSun" w:hAnsi="SimSun" w:eastAsia="SimSun" w:cs="SimSun"/>
          <w:sz w:val="24"/>
          <w:szCs w:val="24"/>
        </w:rPr>
        <w:t xml:space="preserve"> </w:t>
      </w:r>
      <w:r>
        <w:rPr>
          <w:rFonts w:ascii="SimSun" w:hAnsi="SimSun" w:eastAsia="SimSun" w:cs="SimSun"/>
          <w:sz w:val="24"/>
          <w:szCs w:val="24"/>
          <w:spacing w:val="-4"/>
        </w:rPr>
        <w:t>网，进入明安图镇污水处理厂。西厂区冲厕水经独立管道排入化粪池（容积</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4"/>
        </w:rPr>
        <w:t>30m</w:t>
      </w:r>
      <w:r>
        <w:rPr>
          <w:rFonts w:ascii="Times New Roman" w:hAnsi="Times New Roman" w:eastAsia="Times New Roman" w:cs="Times New Roman"/>
          <w:sz w:val="15"/>
          <w:szCs w:val="15"/>
          <w:spacing w:val="-4"/>
          <w:position w:val="8"/>
        </w:rPr>
        <w:t>3</w:t>
      </w:r>
      <w:r>
        <w:rPr>
          <w:rFonts w:ascii="SimSun" w:hAnsi="SimSun" w:eastAsia="SimSun" w:cs="SimSun"/>
          <w:sz w:val="24"/>
          <w:szCs w:val="24"/>
          <w:spacing w:val="-4"/>
        </w:rPr>
        <w:t>）</w:t>
      </w:r>
      <w:r>
        <w:rPr>
          <w:rFonts w:ascii="SimSun" w:hAnsi="SimSun" w:eastAsia="SimSun" w:cs="SimSun"/>
          <w:sz w:val="24"/>
          <w:szCs w:val="24"/>
        </w:rPr>
        <w:t xml:space="preserve"> </w:t>
      </w:r>
      <w:r>
        <w:rPr>
          <w:rFonts w:ascii="SimSun" w:hAnsi="SimSun" w:eastAsia="SimSun" w:cs="SimSun"/>
          <w:sz w:val="24"/>
          <w:szCs w:val="24"/>
          <w:spacing w:val="3"/>
        </w:rPr>
        <w:t>预处理后，输送至厌氧发酵装置。东厂区冲厕水与洗毛</w:t>
      </w:r>
      <w:r>
        <w:rPr>
          <w:rFonts w:ascii="SimSun" w:hAnsi="SimSun" w:eastAsia="SimSun" w:cs="SimSun"/>
          <w:sz w:val="24"/>
          <w:szCs w:val="24"/>
          <w:spacing w:val="2"/>
        </w:rPr>
        <w:t>废水一起进入洗毛废水收</w:t>
      </w:r>
      <w:r>
        <w:rPr>
          <w:rFonts w:ascii="SimSun" w:hAnsi="SimSun" w:eastAsia="SimSun" w:cs="SimSun"/>
          <w:sz w:val="24"/>
          <w:szCs w:val="24"/>
        </w:rPr>
        <w:t xml:space="preserve"> </w:t>
      </w:r>
      <w:r>
        <w:rPr>
          <w:rFonts w:ascii="SimSun" w:hAnsi="SimSun" w:eastAsia="SimSun" w:cs="SimSun"/>
          <w:sz w:val="24"/>
          <w:szCs w:val="24"/>
          <w:spacing w:val="1"/>
        </w:rPr>
        <w:t>集池（</w:t>
      </w:r>
      <w:r>
        <w:rPr>
          <w:rFonts w:ascii="Times New Roman" w:hAnsi="Times New Roman" w:eastAsia="Times New Roman" w:cs="Times New Roman"/>
          <w:sz w:val="24"/>
          <w:szCs w:val="24"/>
          <w:spacing w:val="1"/>
        </w:rPr>
        <w:t>10m</w:t>
      </w:r>
      <w:r>
        <w:rPr>
          <w:rFonts w:ascii="Times New Roman" w:hAnsi="Times New Roman" w:eastAsia="Times New Roman" w:cs="Times New Roman"/>
          <w:sz w:val="15"/>
          <w:szCs w:val="15"/>
          <w:spacing w:val="1"/>
          <w:position w:val="7"/>
        </w:rPr>
        <w:t>3 </w:t>
      </w:r>
      <w:r>
        <w:rPr>
          <w:rFonts w:ascii="SimSun" w:hAnsi="SimSun" w:eastAsia="SimSun" w:cs="SimSun"/>
          <w:sz w:val="24"/>
          <w:szCs w:val="24"/>
          <w:spacing w:val="-2"/>
        </w:rPr>
        <w:t>），</w:t>
      </w:r>
      <w:r>
        <w:rPr>
          <w:rFonts w:ascii="SimSun" w:hAnsi="SimSun" w:eastAsia="SimSun" w:cs="SimSun"/>
          <w:sz w:val="24"/>
          <w:szCs w:val="24"/>
          <w:spacing w:val="1"/>
        </w:rPr>
        <w:t>然后通过管道输送至西厂区厌氧发酵装置。重点关注废水综合利 </w:t>
      </w:r>
      <w:r>
        <w:rPr>
          <w:rFonts w:ascii="SimSun" w:hAnsi="SimSun" w:eastAsia="SimSun" w:cs="SimSun"/>
          <w:sz w:val="24"/>
          <w:szCs w:val="24"/>
          <w:spacing w:val="-2"/>
        </w:rPr>
        <w:t>用的可行性。</w:t>
      </w:r>
    </w:p>
    <w:p>
      <w:pPr>
        <w:ind w:left="11" w:right="99" w:firstLine="489"/>
        <w:spacing w:before="183" w:line="28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）固体废物在厂区内的临时贮存情况、贮存设施的建设情况及</w:t>
      </w:r>
      <w:r>
        <w:rPr>
          <w:rFonts w:ascii="SimSun" w:hAnsi="SimSun" w:eastAsia="SimSun" w:cs="SimSun"/>
          <w:sz w:val="24"/>
          <w:szCs w:val="24"/>
          <w:spacing w:val="-2"/>
        </w:rPr>
        <w:t>处置途径的</w:t>
      </w:r>
      <w:r>
        <w:rPr>
          <w:rFonts w:ascii="SimSun" w:hAnsi="SimSun" w:eastAsia="SimSun" w:cs="SimSun"/>
          <w:sz w:val="24"/>
          <w:szCs w:val="24"/>
        </w:rPr>
        <w:t xml:space="preserve"> </w:t>
      </w:r>
      <w:r>
        <w:rPr>
          <w:rFonts w:ascii="SimSun" w:hAnsi="SimSun" w:eastAsia="SimSun" w:cs="SimSun"/>
          <w:sz w:val="24"/>
          <w:szCs w:val="24"/>
          <w:spacing w:val="-2"/>
        </w:rPr>
        <w:t>可行性论证。</w:t>
      </w:r>
    </w:p>
    <w:p>
      <w:pPr>
        <w:ind w:left="9" w:right="99" w:firstLine="491"/>
        <w:spacing w:before="178" w:line="29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）对可能发生的环境风险事故进行影响预测，提出切实可行的</w:t>
      </w:r>
      <w:r>
        <w:rPr>
          <w:rFonts w:ascii="SimSun" w:hAnsi="SimSun" w:eastAsia="SimSun" w:cs="SimSun"/>
          <w:sz w:val="24"/>
          <w:szCs w:val="24"/>
          <w:spacing w:val="-2"/>
        </w:rPr>
        <w:t>风险防控和</w:t>
      </w:r>
      <w:r>
        <w:rPr>
          <w:rFonts w:ascii="SimSun" w:hAnsi="SimSun" w:eastAsia="SimSun" w:cs="SimSun"/>
          <w:sz w:val="24"/>
          <w:szCs w:val="24"/>
        </w:rPr>
        <w:t xml:space="preserve"> </w:t>
      </w:r>
      <w:r>
        <w:rPr>
          <w:rFonts w:ascii="SimSun" w:hAnsi="SimSun" w:eastAsia="SimSun" w:cs="SimSun"/>
          <w:sz w:val="24"/>
          <w:szCs w:val="24"/>
          <w:spacing w:val="-1"/>
        </w:rPr>
        <w:t>减缓措施及风险应急预案。</w:t>
      </w:r>
    </w:p>
    <w:p>
      <w:pPr>
        <w:pStyle w:val="BodyText"/>
        <w:spacing w:line="247" w:lineRule="auto"/>
        <w:rPr/>
      </w:pPr>
      <w:r/>
    </w:p>
    <w:p>
      <w:pPr>
        <w:ind w:left="35"/>
        <w:spacing w:before="98" w:line="222" w:lineRule="auto"/>
        <w:outlineLvl w:val="1"/>
        <w:rPr>
          <w:rFonts w:ascii="SimHei" w:hAnsi="SimHei" w:eastAsia="SimHei" w:cs="SimHei"/>
          <w:sz w:val="30"/>
          <w:szCs w:val="30"/>
        </w:rPr>
      </w:pPr>
      <w:bookmarkStart w:name="bookmark13" w:id="15"/>
      <w:bookmarkEnd w:id="15"/>
      <w:r>
        <w:rPr>
          <w:rFonts w:ascii="Times New Roman" w:hAnsi="Times New Roman" w:eastAsia="Times New Roman" w:cs="Times New Roman"/>
          <w:sz w:val="30"/>
          <w:szCs w:val="30"/>
          <w:spacing w:val="-3"/>
        </w:rPr>
        <w:t>1.6 </w:t>
      </w:r>
      <w:r>
        <w:rPr>
          <w:rFonts w:ascii="SimHei" w:hAnsi="SimHei" w:eastAsia="SimHei" w:cs="SimHei"/>
          <w:sz w:val="30"/>
          <w:szCs w:val="30"/>
          <w:spacing w:val="-3"/>
        </w:rPr>
        <w:t>环境影响报告书的主要结论</w:t>
      </w:r>
    </w:p>
    <w:p>
      <w:pPr>
        <w:pStyle w:val="BodyText"/>
        <w:spacing w:line="291" w:lineRule="auto"/>
        <w:rPr/>
      </w:pPr>
      <w:r/>
    </w:p>
    <w:p>
      <w:pPr>
        <w:ind w:left="8" w:right="97" w:firstLine="481"/>
        <w:spacing w:before="79" w:line="359" w:lineRule="auto"/>
        <w:jc w:val="both"/>
        <w:rPr>
          <w:rFonts w:ascii="SimSun" w:hAnsi="SimSun" w:eastAsia="SimSun" w:cs="SimSun"/>
          <w:sz w:val="24"/>
          <w:szCs w:val="24"/>
        </w:rPr>
      </w:pPr>
      <w:r>
        <w:rPr>
          <w:rFonts w:ascii="SimSun" w:hAnsi="SimSun" w:eastAsia="SimSun" w:cs="SimSun"/>
          <w:sz w:val="24"/>
          <w:szCs w:val="24"/>
          <w:spacing w:val="3"/>
        </w:rPr>
        <w:t>本项目建设符合相关产业政策、符合锡林郭勒正镶白旗总</w:t>
      </w:r>
      <w:r>
        <w:rPr>
          <w:rFonts w:ascii="SimSun" w:hAnsi="SimSun" w:eastAsia="SimSun" w:cs="SimSun"/>
          <w:sz w:val="24"/>
          <w:szCs w:val="24"/>
          <w:spacing w:val="2"/>
        </w:rPr>
        <w:t>体规划。在设计中</w:t>
      </w:r>
      <w:r>
        <w:rPr>
          <w:rFonts w:ascii="SimSun" w:hAnsi="SimSun" w:eastAsia="SimSun" w:cs="SimSun"/>
          <w:sz w:val="24"/>
          <w:szCs w:val="24"/>
        </w:rPr>
        <w:t xml:space="preserve"> </w:t>
      </w:r>
      <w:r>
        <w:rPr>
          <w:rFonts w:ascii="SimSun" w:hAnsi="SimSun" w:eastAsia="SimSun" w:cs="SimSun"/>
          <w:sz w:val="24"/>
          <w:szCs w:val="24"/>
          <w:spacing w:val="3"/>
        </w:rPr>
        <w:t>采取了清洁生产、节水减排和各项环保措施，项目实施后</w:t>
      </w:r>
      <w:r>
        <w:rPr>
          <w:rFonts w:ascii="SimSun" w:hAnsi="SimSun" w:eastAsia="SimSun" w:cs="SimSun"/>
          <w:sz w:val="24"/>
          <w:szCs w:val="24"/>
          <w:spacing w:val="2"/>
        </w:rPr>
        <w:t>经济效益、社会效益和</w:t>
      </w:r>
      <w:r>
        <w:rPr>
          <w:rFonts w:ascii="SimSun" w:hAnsi="SimSun" w:eastAsia="SimSun" w:cs="SimSun"/>
          <w:sz w:val="24"/>
          <w:szCs w:val="24"/>
        </w:rPr>
        <w:t xml:space="preserve"> </w:t>
      </w:r>
      <w:r>
        <w:rPr>
          <w:rFonts w:ascii="SimSun" w:hAnsi="SimSun" w:eastAsia="SimSun" w:cs="SimSun"/>
          <w:sz w:val="24"/>
          <w:szCs w:val="24"/>
          <w:spacing w:val="3"/>
        </w:rPr>
        <w:t>环境效益明显。项目建设对周围环境敏感目标的影响不大</w:t>
      </w:r>
      <w:r>
        <w:rPr>
          <w:rFonts w:ascii="SimSun" w:hAnsi="SimSun" w:eastAsia="SimSun" w:cs="SimSun"/>
          <w:sz w:val="24"/>
          <w:szCs w:val="24"/>
          <w:spacing w:val="2"/>
        </w:rPr>
        <w:t>，不会改变区域大气环</w:t>
      </w:r>
      <w:r>
        <w:rPr>
          <w:rFonts w:ascii="SimSun" w:hAnsi="SimSun" w:eastAsia="SimSun" w:cs="SimSun"/>
          <w:sz w:val="24"/>
          <w:szCs w:val="24"/>
        </w:rPr>
        <w:t xml:space="preserve"> </w:t>
      </w:r>
      <w:r>
        <w:rPr>
          <w:rFonts w:ascii="SimSun" w:hAnsi="SimSun" w:eastAsia="SimSun" w:cs="SimSun"/>
          <w:sz w:val="24"/>
          <w:szCs w:val="24"/>
          <w:spacing w:val="3"/>
        </w:rPr>
        <w:t>境功能现状，在采取合理可行的防渗措施后对地下水水质</w:t>
      </w:r>
      <w:r>
        <w:rPr>
          <w:rFonts w:ascii="SimSun" w:hAnsi="SimSun" w:eastAsia="SimSun" w:cs="SimSun"/>
          <w:sz w:val="24"/>
          <w:szCs w:val="24"/>
          <w:spacing w:val="2"/>
        </w:rPr>
        <w:t>影响较小，在采取相应</w:t>
      </w:r>
      <w:r>
        <w:rPr>
          <w:rFonts w:ascii="SimSun" w:hAnsi="SimSun" w:eastAsia="SimSun" w:cs="SimSun"/>
          <w:sz w:val="24"/>
          <w:szCs w:val="24"/>
        </w:rPr>
        <w:t xml:space="preserve"> </w:t>
      </w:r>
      <w:r>
        <w:rPr>
          <w:rFonts w:ascii="SimSun" w:hAnsi="SimSun" w:eastAsia="SimSun" w:cs="SimSun"/>
          <w:sz w:val="24"/>
          <w:szCs w:val="24"/>
          <w:spacing w:val="3"/>
        </w:rPr>
        <w:t>环境风险防范和应急管理措施后，环境风险程度处于可接</w:t>
      </w:r>
      <w:r>
        <w:rPr>
          <w:rFonts w:ascii="SimSun" w:hAnsi="SimSun" w:eastAsia="SimSun" w:cs="SimSun"/>
          <w:sz w:val="24"/>
          <w:szCs w:val="24"/>
          <w:spacing w:val="2"/>
        </w:rPr>
        <w:t>受水平。项目建设满足</w:t>
      </w:r>
      <w:r>
        <w:rPr>
          <w:rFonts w:ascii="SimSun" w:hAnsi="SimSun" w:eastAsia="SimSun" w:cs="SimSun"/>
          <w:sz w:val="24"/>
          <w:szCs w:val="24"/>
        </w:rPr>
        <w:t xml:space="preserve"> </w:t>
      </w:r>
      <w:r>
        <w:rPr>
          <w:rFonts w:ascii="SimSun" w:hAnsi="SimSun" w:eastAsia="SimSun" w:cs="SimSun"/>
          <w:sz w:val="24"/>
          <w:szCs w:val="24"/>
        </w:rPr>
        <w:t>当地环境质量底线、资源利用上线、生态保护红线及环</w:t>
      </w:r>
      <w:r>
        <w:rPr>
          <w:rFonts w:ascii="SimSun" w:hAnsi="SimSun" w:eastAsia="SimSun" w:cs="SimSun"/>
          <w:sz w:val="24"/>
          <w:szCs w:val="24"/>
          <w:spacing w:val="-1"/>
        </w:rPr>
        <w:t>境准入清单管控要求。</w:t>
      </w:r>
    </w:p>
    <w:p>
      <w:pPr>
        <w:ind w:left="17" w:right="99" w:firstLine="475"/>
        <w:spacing w:line="360" w:lineRule="auto"/>
        <w:rPr>
          <w:rFonts w:ascii="SimSun" w:hAnsi="SimSun" w:eastAsia="SimSun" w:cs="SimSun"/>
          <w:sz w:val="24"/>
          <w:szCs w:val="24"/>
        </w:rPr>
      </w:pPr>
      <w:r>
        <w:rPr>
          <w:rFonts w:ascii="SimSun" w:hAnsi="SimSun" w:eastAsia="SimSun" w:cs="SimSun"/>
          <w:sz w:val="24"/>
          <w:szCs w:val="24"/>
          <w:spacing w:val="3"/>
        </w:rPr>
        <w:t>综上，项目在落实环境影响报告书提出的环境保护措</w:t>
      </w:r>
      <w:r>
        <w:rPr>
          <w:rFonts w:ascii="SimSun" w:hAnsi="SimSun" w:eastAsia="SimSun" w:cs="SimSun"/>
          <w:sz w:val="24"/>
          <w:szCs w:val="24"/>
          <w:spacing w:val="2"/>
        </w:rPr>
        <w:t>施、环境风险防范及应</w:t>
      </w:r>
      <w:r>
        <w:rPr>
          <w:rFonts w:ascii="SimSun" w:hAnsi="SimSun" w:eastAsia="SimSun" w:cs="SimSun"/>
          <w:sz w:val="24"/>
          <w:szCs w:val="24"/>
        </w:rPr>
        <w:t xml:space="preserve"> </w:t>
      </w:r>
      <w:r>
        <w:rPr>
          <w:rFonts w:ascii="SimSun" w:hAnsi="SimSun" w:eastAsia="SimSun" w:cs="SimSun"/>
          <w:sz w:val="24"/>
          <w:szCs w:val="24"/>
          <w:spacing w:val="-1"/>
        </w:rPr>
        <w:t>急管理措施后，项目的建设具有环境可行性。</w:t>
      </w:r>
    </w:p>
    <w:p>
      <w:pPr>
        <w:spacing w:line="360" w:lineRule="auto"/>
        <w:sectPr>
          <w:headerReference w:type="default" r:id="rId29"/>
          <w:footerReference w:type="default" r:id="rId37"/>
          <w:pgSz w:w="11907" w:h="16840"/>
          <w:pgMar w:top="1567" w:right="1603" w:bottom="1481" w:left="1701" w:header="1221" w:footer="1247" w:gutter="0"/>
        </w:sectPr>
        <w:rPr>
          <w:rFonts w:ascii="SimSun" w:hAnsi="SimSun" w:eastAsia="SimSun" w:cs="SimSun"/>
          <w:sz w:val="24"/>
          <w:szCs w:val="24"/>
        </w:rPr>
      </w:pPr>
    </w:p>
    <w:p>
      <w:pPr>
        <w:ind w:left="8"/>
        <w:spacing w:before="199" w:line="227" w:lineRule="auto"/>
        <w:outlineLvl w:val="0"/>
        <w:rPr>
          <w:rFonts w:ascii="SimHei" w:hAnsi="SimHei" w:eastAsia="SimHei" w:cs="SimHei"/>
          <w:sz w:val="35"/>
          <w:szCs w:val="35"/>
        </w:rPr>
      </w:pPr>
      <w:r>
        <w:pict>
          <v:shape id="_x0000_s118" style="position:absolute;margin-left:85.05pt;margin-top:78.87pt;mso-position-vertical-relative:page;mso-position-horizontal-relative:page;width:425.25pt;height:0.75pt;z-index:251718656;" o:allowincell="f" fillcolor="#000000" filled="true" stroked="false" coordsize="8505,15" coordorigin="0,0" path="m,l8505,0l8505,14l0,14l0,0xe"/>
        </w:pict>
      </w:r>
      <w:bookmarkStart w:name="bookmark14" w:id="16"/>
      <w:bookmarkEnd w:id="16"/>
      <w:bookmarkStart w:name="bookmark15" w:id="17"/>
      <w:bookmarkEnd w:id="17"/>
      <w:bookmarkStart w:name="bookmark16" w:id="18"/>
      <w:bookmarkEnd w:id="18"/>
      <w:r>
        <w:rPr>
          <w:rFonts w:ascii="Times New Roman" w:hAnsi="Times New Roman" w:eastAsia="Times New Roman" w:cs="Times New Roman"/>
          <w:sz w:val="35"/>
          <w:szCs w:val="35"/>
          <w:spacing w:val="-2"/>
        </w:rPr>
        <w:t>2</w:t>
      </w:r>
      <w:r>
        <w:rPr>
          <w:rFonts w:ascii="Times New Roman" w:hAnsi="Times New Roman" w:eastAsia="Times New Roman" w:cs="Times New Roman"/>
          <w:sz w:val="35"/>
          <w:szCs w:val="35"/>
          <w:spacing w:val="23"/>
        </w:rPr>
        <w:t xml:space="preserve"> </w:t>
      </w:r>
      <w:r>
        <w:rPr>
          <w:rFonts w:ascii="SimHei" w:hAnsi="SimHei" w:eastAsia="SimHei" w:cs="SimHei"/>
          <w:sz w:val="35"/>
          <w:szCs w:val="35"/>
          <w:spacing w:val="-2"/>
        </w:rPr>
        <w:t>总则</w:t>
      </w:r>
    </w:p>
    <w:p>
      <w:pPr>
        <w:ind w:left="6"/>
        <w:spacing w:before="261" w:line="221" w:lineRule="auto"/>
        <w:outlineLvl w:val="1"/>
        <w:rPr>
          <w:rFonts w:ascii="SimHei" w:hAnsi="SimHei" w:eastAsia="SimHei" w:cs="SimHei"/>
          <w:sz w:val="30"/>
          <w:szCs w:val="30"/>
        </w:rPr>
      </w:pPr>
      <w:bookmarkStart w:name="bookmark216" w:id="19"/>
      <w:bookmarkEnd w:id="19"/>
      <w:r>
        <w:rPr>
          <w:rFonts w:ascii="Times New Roman" w:hAnsi="Times New Roman" w:eastAsia="Times New Roman" w:cs="Times New Roman"/>
          <w:sz w:val="30"/>
          <w:szCs w:val="30"/>
          <w:spacing w:val="-1"/>
        </w:rPr>
        <w:t>2.1 </w:t>
      </w:r>
      <w:r>
        <w:rPr>
          <w:rFonts w:ascii="SimHei" w:hAnsi="SimHei" w:eastAsia="SimHei" w:cs="SimHei"/>
          <w:sz w:val="30"/>
          <w:szCs w:val="30"/>
          <w:spacing w:val="-1"/>
        </w:rPr>
        <w:t>编制依据</w:t>
      </w:r>
    </w:p>
    <w:p>
      <w:pPr>
        <w:pStyle w:val="BodyText"/>
        <w:spacing w:line="281" w:lineRule="auto"/>
        <w:rPr/>
      </w:pPr>
      <w:r/>
    </w:p>
    <w:p>
      <w:pPr>
        <w:ind w:left="6"/>
        <w:spacing w:before="91" w:line="222" w:lineRule="auto"/>
        <w:outlineLvl w:val="2"/>
        <w:rPr>
          <w:rFonts w:ascii="SimHei" w:hAnsi="SimHei" w:eastAsia="SimHei" w:cs="SimHei"/>
          <w:sz w:val="28"/>
          <w:szCs w:val="28"/>
        </w:rPr>
      </w:pPr>
      <w:bookmarkStart w:name="bookmark217" w:id="20"/>
      <w:bookmarkEnd w:id="20"/>
      <w:r>
        <w:rPr>
          <w:rFonts w:ascii="Times New Roman" w:hAnsi="Times New Roman" w:eastAsia="Times New Roman" w:cs="Times New Roman"/>
          <w:sz w:val="28"/>
          <w:szCs w:val="28"/>
          <w:spacing w:val="-1"/>
        </w:rPr>
        <w:t>2.1.1 </w:t>
      </w:r>
      <w:r>
        <w:rPr>
          <w:rFonts w:ascii="SimHei" w:hAnsi="SimHei" w:eastAsia="SimHei" w:cs="SimHei"/>
          <w:sz w:val="28"/>
          <w:szCs w:val="28"/>
          <w:spacing w:val="-1"/>
        </w:rPr>
        <w:t>任务依据</w:t>
      </w:r>
    </w:p>
    <w:p>
      <w:pPr>
        <w:pStyle w:val="BodyText"/>
        <w:spacing w:line="279" w:lineRule="auto"/>
        <w:rPr/>
      </w:pPr>
      <w:r/>
    </w:p>
    <w:p>
      <w:pPr>
        <w:ind w:left="501"/>
        <w:spacing w:before="78" w:line="218"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1</w:t>
      </w:r>
      <w:r>
        <w:rPr>
          <w:rFonts w:ascii="SimSun" w:hAnsi="SimSun" w:eastAsia="SimSun" w:cs="SimSun"/>
          <w:sz w:val="24"/>
          <w:szCs w:val="24"/>
          <w:spacing w:val="-5"/>
        </w:rPr>
        <w:t>）项目环境影响评价委托书，</w:t>
      </w:r>
      <w:r>
        <w:rPr>
          <w:rFonts w:ascii="Times New Roman" w:hAnsi="Times New Roman" w:eastAsia="Times New Roman" w:cs="Times New Roman"/>
          <w:sz w:val="24"/>
          <w:szCs w:val="24"/>
          <w:spacing w:val="-5"/>
        </w:rPr>
        <w:t>2025 </w:t>
      </w:r>
      <w:r>
        <w:rPr>
          <w:rFonts w:ascii="SimSun" w:hAnsi="SimSun" w:eastAsia="SimSun" w:cs="SimSun"/>
          <w:sz w:val="24"/>
          <w:szCs w:val="24"/>
          <w:spacing w:val="-5"/>
        </w:rPr>
        <w:t>年</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月</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30  </w:t>
      </w:r>
      <w:r>
        <w:rPr>
          <w:rFonts w:ascii="SimSun" w:hAnsi="SimSun" w:eastAsia="SimSun" w:cs="SimSun"/>
          <w:sz w:val="24"/>
          <w:szCs w:val="24"/>
          <w:spacing w:val="-5"/>
        </w:rPr>
        <w:t>日；</w:t>
      </w:r>
    </w:p>
    <w:p>
      <w:pPr>
        <w:ind w:left="8" w:right="58" w:firstLine="492"/>
        <w:spacing w:before="186" w:line="28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）《项目备案告知书》（项目编号</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2412-152</w:t>
      </w:r>
      <w:r>
        <w:rPr>
          <w:rFonts w:ascii="Times New Roman" w:hAnsi="Times New Roman" w:eastAsia="Times New Roman" w:cs="Times New Roman"/>
          <w:sz w:val="24"/>
          <w:szCs w:val="24"/>
        </w:rPr>
        <w:t>529-04-01-719857</w:t>
      </w:r>
      <w:r>
        <w:rPr>
          <w:rFonts w:ascii="SimSun" w:hAnsi="SimSun" w:eastAsia="SimSun" w:cs="SimSun"/>
          <w:sz w:val="24"/>
          <w:szCs w:val="24"/>
          <w:spacing w:val="13"/>
        </w:rPr>
        <w:t>），</w:t>
      </w:r>
      <w:r>
        <w:rPr>
          <w:rFonts w:ascii="SimSun" w:hAnsi="SimSun" w:eastAsia="SimSun" w:cs="SimSun"/>
          <w:sz w:val="24"/>
          <w:szCs w:val="24"/>
        </w:rPr>
        <w:t>正镶白 </w:t>
      </w:r>
      <w:r>
        <w:rPr>
          <w:rFonts w:ascii="SimSun" w:hAnsi="SimSun" w:eastAsia="SimSun" w:cs="SimSun"/>
          <w:sz w:val="24"/>
          <w:szCs w:val="24"/>
          <w:spacing w:val="-5"/>
        </w:rPr>
        <w:t>旗发展和改革委员会，</w:t>
      </w:r>
      <w:r>
        <w:rPr>
          <w:rFonts w:ascii="Times New Roman" w:hAnsi="Times New Roman" w:eastAsia="Times New Roman" w:cs="Times New Roman"/>
          <w:sz w:val="24"/>
          <w:szCs w:val="24"/>
          <w:spacing w:val="-5"/>
        </w:rPr>
        <w:t>2024 </w:t>
      </w:r>
      <w:r>
        <w:rPr>
          <w:rFonts w:ascii="SimSun" w:hAnsi="SimSun" w:eastAsia="SimSun" w:cs="SimSun"/>
          <w:sz w:val="24"/>
          <w:szCs w:val="24"/>
          <w:spacing w:val="-5"/>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12</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月</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6"/>
        </w:rPr>
        <w:t>5  </w:t>
      </w:r>
      <w:r>
        <w:rPr>
          <w:rFonts w:ascii="SimSun" w:hAnsi="SimSun" w:eastAsia="SimSun" w:cs="SimSun"/>
          <w:sz w:val="24"/>
          <w:szCs w:val="24"/>
          <w:spacing w:val="-6"/>
        </w:rPr>
        <w:t>日。</w:t>
      </w:r>
    </w:p>
    <w:p>
      <w:pPr>
        <w:pStyle w:val="BodyText"/>
        <w:spacing w:line="253" w:lineRule="auto"/>
        <w:rPr/>
      </w:pPr>
      <w:r/>
    </w:p>
    <w:p>
      <w:pPr>
        <w:ind w:left="6"/>
        <w:spacing w:before="91" w:line="222" w:lineRule="auto"/>
        <w:outlineLvl w:val="2"/>
        <w:rPr>
          <w:rFonts w:ascii="SimHei" w:hAnsi="SimHei" w:eastAsia="SimHei" w:cs="SimHei"/>
          <w:sz w:val="28"/>
          <w:szCs w:val="28"/>
        </w:rPr>
      </w:pPr>
      <w:bookmarkStart w:name="bookmark17" w:id="21"/>
      <w:bookmarkEnd w:id="21"/>
      <w:r>
        <w:rPr>
          <w:rFonts w:ascii="Times New Roman" w:hAnsi="Times New Roman" w:eastAsia="Times New Roman" w:cs="Times New Roman"/>
          <w:sz w:val="28"/>
          <w:szCs w:val="28"/>
          <w:spacing w:val="-3"/>
        </w:rPr>
        <w:t>2.1.2</w:t>
      </w:r>
      <w:r>
        <w:rPr>
          <w:rFonts w:ascii="Times New Roman" w:hAnsi="Times New Roman" w:eastAsia="Times New Roman" w:cs="Times New Roman"/>
          <w:sz w:val="28"/>
          <w:szCs w:val="28"/>
          <w:spacing w:val="28"/>
          <w:w w:val="101"/>
        </w:rPr>
        <w:t xml:space="preserve"> </w:t>
      </w:r>
      <w:r>
        <w:rPr>
          <w:rFonts w:ascii="SimHei" w:hAnsi="SimHei" w:eastAsia="SimHei" w:cs="SimHei"/>
          <w:sz w:val="28"/>
          <w:szCs w:val="28"/>
          <w:spacing w:val="-3"/>
        </w:rPr>
        <w:t>国家法律、法规</w:t>
      </w:r>
    </w:p>
    <w:p>
      <w:pPr>
        <w:pStyle w:val="BodyText"/>
        <w:spacing w:line="278" w:lineRule="auto"/>
        <w:rPr/>
      </w:pPr>
      <w:r/>
    </w:p>
    <w:p>
      <w:pPr>
        <w:spacing w:before="79" w:line="219" w:lineRule="auto"/>
        <w:jc w:val="right"/>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1</w:t>
      </w:r>
      <w:r>
        <w:rPr>
          <w:rFonts w:ascii="SimSun" w:hAnsi="SimSun" w:eastAsia="SimSun" w:cs="SimSun"/>
          <w:sz w:val="24"/>
          <w:szCs w:val="24"/>
          <w:spacing w:val="-5"/>
        </w:rPr>
        <w:t>）《中华人民共和国环境保护法》（</w:t>
      </w:r>
      <w:r>
        <w:rPr>
          <w:rFonts w:ascii="Times New Roman" w:hAnsi="Times New Roman" w:eastAsia="Times New Roman" w:cs="Times New Roman"/>
          <w:sz w:val="24"/>
          <w:szCs w:val="24"/>
          <w:spacing w:val="-5"/>
        </w:rPr>
        <w:t>20</w:t>
      </w:r>
      <w:r>
        <w:rPr>
          <w:rFonts w:ascii="Times New Roman" w:hAnsi="Times New Roman" w:eastAsia="Times New Roman" w:cs="Times New Roman"/>
          <w:sz w:val="24"/>
          <w:szCs w:val="24"/>
          <w:spacing w:val="-6"/>
        </w:rPr>
        <w:t>14 </w:t>
      </w:r>
      <w:r>
        <w:rPr>
          <w:rFonts w:ascii="SimSun" w:hAnsi="SimSun" w:eastAsia="SimSun" w:cs="SimSun"/>
          <w:sz w:val="24"/>
          <w:szCs w:val="24"/>
          <w:spacing w:val="-6"/>
        </w:rPr>
        <w:t>年修订）</w:t>
      </w:r>
      <w:r>
        <w:rPr>
          <w:rFonts w:ascii="Times New Roman" w:hAnsi="Times New Roman" w:eastAsia="Times New Roman" w:cs="Times New Roman"/>
          <w:sz w:val="24"/>
          <w:szCs w:val="24"/>
          <w:spacing w:val="-6"/>
        </w:rPr>
        <w:t>2015 </w:t>
      </w:r>
      <w:r>
        <w:rPr>
          <w:rFonts w:ascii="SimSun" w:hAnsi="SimSun" w:eastAsia="SimSun" w:cs="SimSun"/>
          <w:sz w:val="24"/>
          <w:szCs w:val="24"/>
          <w:spacing w:val="-6"/>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6"/>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  </w:t>
      </w:r>
      <w:r>
        <w:rPr>
          <w:rFonts w:ascii="SimSun" w:hAnsi="SimSun" w:eastAsia="SimSun" w:cs="SimSun"/>
          <w:sz w:val="24"/>
          <w:szCs w:val="24"/>
          <w:spacing w:val="-6"/>
        </w:rPr>
        <w:t>日施行；</w:t>
      </w:r>
    </w:p>
    <w:p>
      <w:pPr>
        <w:spacing w:before="180" w:line="218" w:lineRule="auto"/>
        <w:jc w:val="right"/>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2</w:t>
      </w:r>
      <w:r>
        <w:rPr>
          <w:rFonts w:ascii="SimSun" w:hAnsi="SimSun" w:eastAsia="SimSun" w:cs="SimSun"/>
          <w:sz w:val="24"/>
          <w:szCs w:val="24"/>
          <w:spacing w:val="-5"/>
        </w:rPr>
        <w:t>）《中华人民共和国环境影响评价法》，</w:t>
      </w:r>
      <w:r>
        <w:rPr>
          <w:rFonts w:ascii="Times New Roman" w:hAnsi="Times New Roman" w:eastAsia="Times New Roman" w:cs="Times New Roman"/>
          <w:sz w:val="24"/>
          <w:szCs w:val="24"/>
          <w:spacing w:val="-5"/>
        </w:rPr>
        <w:t>2018 </w:t>
      </w:r>
      <w:r>
        <w:rPr>
          <w:rFonts w:ascii="SimSun" w:hAnsi="SimSun" w:eastAsia="SimSun" w:cs="SimSun"/>
          <w:sz w:val="24"/>
          <w:szCs w:val="24"/>
          <w:spacing w:val="-5"/>
        </w:rPr>
        <w:t>年</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5"/>
        </w:rPr>
        <w:t>12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29  </w:t>
      </w:r>
      <w:r>
        <w:rPr>
          <w:rFonts w:ascii="SimSun" w:hAnsi="SimSun" w:eastAsia="SimSun" w:cs="SimSun"/>
          <w:sz w:val="24"/>
          <w:szCs w:val="24"/>
          <w:spacing w:val="-5"/>
        </w:rPr>
        <w:t>日修订并实施；</w:t>
      </w:r>
    </w:p>
    <w:p>
      <w:pPr>
        <w:ind w:left="501"/>
        <w:spacing w:before="185"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3</w:t>
      </w:r>
      <w:r>
        <w:rPr>
          <w:rFonts w:ascii="SimSun" w:hAnsi="SimSun" w:eastAsia="SimSun" w:cs="SimSun"/>
          <w:sz w:val="24"/>
          <w:szCs w:val="24"/>
          <w:spacing w:val="-4"/>
        </w:rPr>
        <w:t>）《中华人民共和国大气污染防治法》，</w:t>
      </w:r>
      <w:r>
        <w:rPr>
          <w:rFonts w:ascii="Times New Roman" w:hAnsi="Times New Roman" w:eastAsia="Times New Roman" w:cs="Times New Roman"/>
          <w:sz w:val="24"/>
          <w:szCs w:val="24"/>
          <w:spacing w:val="-4"/>
        </w:rPr>
        <w:t>2018 </w:t>
      </w:r>
      <w:r>
        <w:rPr>
          <w:rFonts w:ascii="SimSun" w:hAnsi="SimSun" w:eastAsia="SimSun" w:cs="SimSun"/>
          <w:sz w:val="24"/>
          <w:szCs w:val="24"/>
          <w:spacing w:val="-4"/>
        </w:rPr>
        <w:t>年</w:t>
      </w:r>
      <w:r>
        <w:rPr>
          <w:rFonts w:ascii="SimSun" w:hAnsi="SimSun" w:eastAsia="SimSun" w:cs="SimSun"/>
          <w:sz w:val="24"/>
          <w:szCs w:val="24"/>
          <w:spacing w:val="-15"/>
        </w:rPr>
        <w:t xml:space="preserve"> </w:t>
      </w:r>
      <w:r>
        <w:rPr>
          <w:rFonts w:ascii="Times New Roman" w:hAnsi="Times New Roman" w:eastAsia="Times New Roman" w:cs="Times New Roman"/>
          <w:sz w:val="24"/>
          <w:szCs w:val="24"/>
          <w:spacing w:val="-4"/>
        </w:rPr>
        <w:t>10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26  </w:t>
      </w:r>
      <w:r>
        <w:rPr>
          <w:rFonts w:ascii="SimSun" w:hAnsi="SimSun" w:eastAsia="SimSun" w:cs="SimSun"/>
          <w:sz w:val="24"/>
          <w:szCs w:val="24"/>
          <w:spacing w:val="-4"/>
        </w:rPr>
        <w:t>日修改；</w:t>
      </w:r>
    </w:p>
    <w:p>
      <w:pPr>
        <w:ind w:left="5" w:right="117" w:firstLine="495"/>
        <w:spacing w:before="180" w:line="29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）《中华人民共和国水污染防治法》，</w:t>
      </w:r>
      <w:r>
        <w:rPr>
          <w:rFonts w:ascii="Times New Roman" w:hAnsi="Times New Roman" w:eastAsia="Times New Roman" w:cs="Times New Roman"/>
          <w:sz w:val="24"/>
          <w:szCs w:val="24"/>
          <w:spacing w:val="-3"/>
        </w:rPr>
        <w:t>2017 </w:t>
      </w:r>
      <w:r>
        <w:rPr>
          <w:rFonts w:ascii="SimSun" w:hAnsi="SimSun" w:eastAsia="SimSun" w:cs="SimSun"/>
          <w:sz w:val="24"/>
          <w:szCs w:val="24"/>
          <w:spacing w:val="-3"/>
        </w:rPr>
        <w:t>年</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6</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4"/>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27  </w:t>
      </w:r>
      <w:r>
        <w:rPr>
          <w:rFonts w:ascii="SimSun" w:hAnsi="SimSun" w:eastAsia="SimSun" w:cs="SimSun"/>
          <w:sz w:val="24"/>
          <w:szCs w:val="24"/>
          <w:spacing w:val="-4"/>
        </w:rPr>
        <w:t>日修改审议通过，</w:t>
      </w:r>
      <w:r>
        <w:rPr>
          <w:rFonts w:ascii="SimSun" w:hAnsi="SimSun" w:eastAsia="SimSun" w:cs="SimSun"/>
          <w:sz w:val="24"/>
          <w:szCs w:val="24"/>
        </w:rPr>
        <w:t xml:space="preserve"> </w:t>
      </w:r>
      <w:r>
        <w:rPr>
          <w:rFonts w:ascii="Times New Roman" w:hAnsi="Times New Roman" w:eastAsia="Times New Roman" w:cs="Times New Roman"/>
          <w:sz w:val="24"/>
          <w:szCs w:val="24"/>
          <w:spacing w:val="-9"/>
        </w:rPr>
        <w:t>2018 </w:t>
      </w:r>
      <w:r>
        <w:rPr>
          <w:rFonts w:ascii="SimSun" w:hAnsi="SimSun" w:eastAsia="SimSun" w:cs="SimSun"/>
          <w:sz w:val="24"/>
          <w:szCs w:val="24"/>
          <w:spacing w:val="-9"/>
        </w:rPr>
        <w:t>年</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9"/>
        </w:rPr>
        <w:t>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9"/>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9"/>
        </w:rPr>
        <w:t>1  </w:t>
      </w:r>
      <w:r>
        <w:rPr>
          <w:rFonts w:ascii="SimSun" w:hAnsi="SimSun" w:eastAsia="SimSun" w:cs="SimSun"/>
          <w:sz w:val="24"/>
          <w:szCs w:val="24"/>
          <w:spacing w:val="-9"/>
        </w:rPr>
        <w:t>日起施行；</w:t>
      </w:r>
    </w:p>
    <w:p>
      <w:pPr>
        <w:ind w:left="9" w:right="58" w:firstLine="491"/>
        <w:spacing w:before="182" w:line="28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5</w:t>
      </w:r>
      <w:r>
        <w:rPr>
          <w:rFonts w:ascii="SimSun" w:hAnsi="SimSun" w:eastAsia="SimSun" w:cs="SimSun"/>
          <w:sz w:val="24"/>
          <w:szCs w:val="24"/>
          <w:spacing w:val="-2"/>
        </w:rPr>
        <w:t>）《中华人民共和国固体废物污染环境防治法》，</w:t>
      </w:r>
      <w:r>
        <w:rPr>
          <w:rFonts w:ascii="Times New Roman" w:hAnsi="Times New Roman" w:eastAsia="Times New Roman" w:cs="Times New Roman"/>
          <w:sz w:val="24"/>
          <w:szCs w:val="24"/>
          <w:spacing w:val="-2"/>
        </w:rPr>
        <w:t>2020 </w:t>
      </w:r>
      <w:r>
        <w:rPr>
          <w:rFonts w:ascii="SimSun" w:hAnsi="SimSun" w:eastAsia="SimSun" w:cs="SimSun"/>
          <w:sz w:val="24"/>
          <w:szCs w:val="24"/>
          <w:spacing w:val="-2"/>
        </w:rPr>
        <w:t>年</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2"/>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29  </w:t>
      </w:r>
      <w:r>
        <w:rPr>
          <w:rFonts w:ascii="SimSun" w:hAnsi="SimSun" w:eastAsia="SimSun" w:cs="SimSun"/>
          <w:sz w:val="24"/>
          <w:szCs w:val="24"/>
          <w:spacing w:val="-2"/>
        </w:rPr>
        <w:t>日修订</w:t>
      </w:r>
      <w:r>
        <w:rPr>
          <w:rFonts w:ascii="SimSun" w:hAnsi="SimSun" w:eastAsia="SimSun" w:cs="SimSun"/>
          <w:sz w:val="24"/>
          <w:szCs w:val="24"/>
        </w:rPr>
        <w:t xml:space="preserve"> </w:t>
      </w:r>
      <w:r>
        <w:rPr>
          <w:rFonts w:ascii="SimSun" w:hAnsi="SimSun" w:eastAsia="SimSun" w:cs="SimSun"/>
          <w:sz w:val="24"/>
          <w:szCs w:val="24"/>
          <w:spacing w:val="-7"/>
        </w:rPr>
        <w:t>通过，</w:t>
      </w:r>
      <w:r>
        <w:rPr>
          <w:rFonts w:ascii="Times New Roman" w:hAnsi="Times New Roman" w:eastAsia="Times New Roman" w:cs="Times New Roman"/>
          <w:sz w:val="24"/>
          <w:szCs w:val="24"/>
          <w:spacing w:val="-7"/>
        </w:rPr>
        <w:t>2020 </w:t>
      </w:r>
      <w:r>
        <w:rPr>
          <w:rFonts w:ascii="SimSun" w:hAnsi="SimSun" w:eastAsia="SimSun" w:cs="SimSun"/>
          <w:sz w:val="24"/>
          <w:szCs w:val="24"/>
          <w:spacing w:val="-7"/>
        </w:rPr>
        <w:t>年</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7"/>
        </w:rPr>
        <w:t>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7"/>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  </w:t>
      </w:r>
      <w:r>
        <w:rPr>
          <w:rFonts w:ascii="SimSun" w:hAnsi="SimSun" w:eastAsia="SimSun" w:cs="SimSun"/>
          <w:sz w:val="24"/>
          <w:szCs w:val="24"/>
          <w:spacing w:val="-7"/>
        </w:rPr>
        <w:t>日起实施；</w:t>
      </w:r>
    </w:p>
    <w:p>
      <w:pPr>
        <w:ind w:left="501"/>
        <w:spacing w:before="184"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6</w:t>
      </w:r>
      <w:r>
        <w:rPr>
          <w:rFonts w:ascii="SimSun" w:hAnsi="SimSun" w:eastAsia="SimSun" w:cs="SimSun"/>
          <w:sz w:val="24"/>
          <w:szCs w:val="24"/>
          <w:spacing w:val="-3"/>
        </w:rPr>
        <w:t>）《中华人民共和国环境噪声污染防治法》，</w:t>
      </w:r>
      <w:r>
        <w:rPr>
          <w:rFonts w:ascii="Times New Roman" w:hAnsi="Times New Roman" w:eastAsia="Times New Roman" w:cs="Times New Roman"/>
          <w:sz w:val="24"/>
          <w:szCs w:val="24"/>
          <w:spacing w:val="-3"/>
        </w:rPr>
        <w:t>2022 </w:t>
      </w:r>
      <w:r>
        <w:rPr>
          <w:rFonts w:ascii="SimSun" w:hAnsi="SimSun" w:eastAsia="SimSun" w:cs="SimSun"/>
          <w:sz w:val="24"/>
          <w:szCs w:val="24"/>
          <w:spacing w:val="-3"/>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月</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5  </w:t>
      </w:r>
      <w:r>
        <w:rPr>
          <w:rFonts w:ascii="SimSun" w:hAnsi="SimSun" w:eastAsia="SimSun" w:cs="SimSun"/>
          <w:sz w:val="24"/>
          <w:szCs w:val="24"/>
          <w:spacing w:val="-4"/>
        </w:rPr>
        <w:t>日实施；</w:t>
      </w:r>
    </w:p>
    <w:p>
      <w:pPr>
        <w:spacing w:before="180" w:line="219" w:lineRule="auto"/>
        <w:jc w:val="right"/>
        <w:rPr>
          <w:rFonts w:ascii="SimSun" w:hAnsi="SimSun" w:eastAsia="SimSun" w:cs="SimSun"/>
          <w:sz w:val="24"/>
          <w:szCs w:val="24"/>
        </w:rPr>
      </w:pPr>
      <w:r>
        <w:rPr>
          <w:rFonts w:ascii="SimSun" w:hAnsi="SimSun" w:eastAsia="SimSun" w:cs="SimSun"/>
          <w:sz w:val="24"/>
          <w:szCs w:val="24"/>
          <w:spacing w:val="-10"/>
        </w:rPr>
        <w:t>（</w:t>
      </w:r>
      <w:r>
        <w:rPr>
          <w:rFonts w:ascii="Times New Roman" w:hAnsi="Times New Roman" w:eastAsia="Times New Roman" w:cs="Times New Roman"/>
          <w:sz w:val="24"/>
          <w:szCs w:val="24"/>
          <w:spacing w:val="-10"/>
        </w:rPr>
        <w:t>7</w:t>
      </w:r>
      <w:r>
        <w:rPr>
          <w:rFonts w:ascii="SimSun" w:hAnsi="SimSun" w:eastAsia="SimSun" w:cs="SimSun"/>
          <w:sz w:val="24"/>
          <w:szCs w:val="24"/>
          <w:spacing w:val="-10"/>
        </w:rPr>
        <w:t>）《中华人民共和国清洁生产促进法（修订）》，</w:t>
      </w:r>
      <w:r>
        <w:rPr>
          <w:rFonts w:ascii="Times New Roman" w:hAnsi="Times New Roman" w:eastAsia="Times New Roman" w:cs="Times New Roman"/>
          <w:sz w:val="24"/>
          <w:szCs w:val="24"/>
          <w:spacing w:val="-10"/>
        </w:rPr>
        <w:t>2012 </w:t>
      </w:r>
      <w:r>
        <w:rPr>
          <w:rFonts w:ascii="SimSun" w:hAnsi="SimSun" w:eastAsia="SimSun" w:cs="SimSun"/>
          <w:sz w:val="24"/>
          <w:szCs w:val="24"/>
          <w:spacing w:val="-10"/>
        </w:rPr>
        <w:t>年</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0"/>
        </w:rPr>
        <w:t>7</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10"/>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0"/>
        </w:rPr>
        <w:t>1  </w:t>
      </w:r>
      <w:r>
        <w:rPr>
          <w:rFonts w:ascii="SimSun" w:hAnsi="SimSun" w:eastAsia="SimSun" w:cs="SimSun"/>
          <w:sz w:val="24"/>
          <w:szCs w:val="24"/>
          <w:spacing w:val="-10"/>
        </w:rPr>
        <w:t>日起施行；</w:t>
      </w:r>
    </w:p>
    <w:p>
      <w:pPr>
        <w:ind w:left="501"/>
        <w:spacing w:before="181"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8</w:t>
      </w:r>
      <w:r>
        <w:rPr>
          <w:rFonts w:ascii="SimSun" w:hAnsi="SimSun" w:eastAsia="SimSun" w:cs="SimSun"/>
          <w:sz w:val="24"/>
          <w:szCs w:val="24"/>
          <w:spacing w:val="-4"/>
        </w:rPr>
        <w:t>）《中华人民共和国节约能源法》，</w:t>
      </w:r>
      <w:r>
        <w:rPr>
          <w:rFonts w:ascii="Times New Roman" w:hAnsi="Times New Roman" w:eastAsia="Times New Roman" w:cs="Times New Roman"/>
          <w:sz w:val="24"/>
          <w:szCs w:val="24"/>
          <w:spacing w:val="-4"/>
        </w:rPr>
        <w:t>2018 </w:t>
      </w:r>
      <w:r>
        <w:rPr>
          <w:rFonts w:ascii="SimSun" w:hAnsi="SimSun" w:eastAsia="SimSun" w:cs="SimSun"/>
          <w:sz w:val="24"/>
          <w:szCs w:val="24"/>
          <w:spacing w:val="-4"/>
        </w:rPr>
        <w:t>年</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4"/>
        </w:rPr>
        <w:t>10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26  </w:t>
      </w:r>
      <w:r>
        <w:rPr>
          <w:rFonts w:ascii="SimSun" w:hAnsi="SimSun" w:eastAsia="SimSun" w:cs="SimSun"/>
          <w:sz w:val="24"/>
          <w:szCs w:val="24"/>
          <w:spacing w:val="-4"/>
        </w:rPr>
        <w:t>日修改；</w:t>
      </w:r>
    </w:p>
    <w:p>
      <w:pPr>
        <w:ind w:left="501"/>
        <w:spacing w:before="184"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9</w:t>
      </w:r>
      <w:r>
        <w:rPr>
          <w:rFonts w:ascii="SimSun" w:hAnsi="SimSun" w:eastAsia="SimSun" w:cs="SimSun"/>
          <w:sz w:val="24"/>
          <w:szCs w:val="24"/>
          <w:spacing w:val="-4"/>
        </w:rPr>
        <w:t>）《中华人民共和国土壤污染防治法》，</w:t>
      </w:r>
      <w:r>
        <w:rPr>
          <w:rFonts w:ascii="Times New Roman" w:hAnsi="Times New Roman" w:eastAsia="Times New Roman" w:cs="Times New Roman"/>
          <w:sz w:val="24"/>
          <w:szCs w:val="24"/>
          <w:spacing w:val="-4"/>
        </w:rPr>
        <w:t>2019 </w:t>
      </w:r>
      <w:r>
        <w:rPr>
          <w:rFonts w:ascii="SimSun" w:hAnsi="SimSun" w:eastAsia="SimSun" w:cs="SimSun"/>
          <w:sz w:val="24"/>
          <w:szCs w:val="24"/>
          <w:spacing w:val="-4"/>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  </w:t>
      </w:r>
      <w:r>
        <w:rPr>
          <w:rFonts w:ascii="SimSun" w:hAnsi="SimSun" w:eastAsia="SimSun" w:cs="SimSun"/>
          <w:sz w:val="24"/>
          <w:szCs w:val="24"/>
          <w:spacing w:val="-5"/>
        </w:rPr>
        <w:t>日起施行；</w:t>
      </w:r>
    </w:p>
    <w:p>
      <w:pPr>
        <w:ind w:left="501"/>
        <w:spacing w:before="183"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10</w:t>
      </w:r>
      <w:r>
        <w:rPr>
          <w:rFonts w:ascii="SimSun" w:hAnsi="SimSun" w:eastAsia="SimSun" w:cs="SimSun"/>
          <w:sz w:val="24"/>
          <w:szCs w:val="24"/>
          <w:spacing w:val="-2"/>
        </w:rPr>
        <w:t>）《中华人民共和国水法》，</w:t>
      </w:r>
      <w:r>
        <w:rPr>
          <w:rFonts w:ascii="Times New Roman" w:hAnsi="Times New Roman" w:eastAsia="Times New Roman" w:cs="Times New Roman"/>
          <w:sz w:val="24"/>
          <w:szCs w:val="24"/>
          <w:spacing w:val="-2"/>
        </w:rPr>
        <w:t>2016 </w:t>
      </w:r>
      <w:r>
        <w:rPr>
          <w:rFonts w:ascii="SimSun" w:hAnsi="SimSun" w:eastAsia="SimSun" w:cs="SimSun"/>
          <w:sz w:val="24"/>
          <w:szCs w:val="24"/>
          <w:spacing w:val="-2"/>
        </w:rPr>
        <w:t>年</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月修订；</w:t>
      </w:r>
    </w:p>
    <w:p>
      <w:pPr>
        <w:ind w:left="501"/>
        <w:spacing w:before="181"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11</w:t>
      </w:r>
      <w:r>
        <w:rPr>
          <w:rFonts w:ascii="SimSun" w:hAnsi="SimSun" w:eastAsia="SimSun" w:cs="SimSun"/>
          <w:sz w:val="24"/>
          <w:szCs w:val="24"/>
          <w:spacing w:val="-4"/>
        </w:rPr>
        <w:t>）《中华人民共和国安全生产法》，</w:t>
      </w:r>
      <w:r>
        <w:rPr>
          <w:rFonts w:ascii="Times New Roman" w:hAnsi="Times New Roman" w:eastAsia="Times New Roman" w:cs="Times New Roman"/>
          <w:sz w:val="24"/>
          <w:szCs w:val="24"/>
          <w:spacing w:val="-4"/>
        </w:rPr>
        <w:t>2021 </w:t>
      </w:r>
      <w:r>
        <w:rPr>
          <w:rFonts w:ascii="SimSun" w:hAnsi="SimSun" w:eastAsia="SimSun" w:cs="SimSun"/>
          <w:sz w:val="24"/>
          <w:szCs w:val="24"/>
          <w:spacing w:val="-4"/>
        </w:rPr>
        <w:t>年</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6</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  </w:t>
      </w:r>
      <w:r>
        <w:rPr>
          <w:rFonts w:ascii="SimSun" w:hAnsi="SimSun" w:eastAsia="SimSun" w:cs="SimSun"/>
          <w:sz w:val="24"/>
          <w:szCs w:val="24"/>
          <w:spacing w:val="-4"/>
        </w:rPr>
        <w:t>日修订；</w:t>
      </w:r>
    </w:p>
    <w:p>
      <w:pPr>
        <w:ind w:left="501"/>
        <w:spacing w:before="182"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12</w:t>
      </w:r>
      <w:r>
        <w:rPr>
          <w:rFonts w:ascii="SimSun" w:hAnsi="SimSun" w:eastAsia="SimSun" w:cs="SimSun"/>
          <w:sz w:val="24"/>
          <w:szCs w:val="24"/>
          <w:spacing w:val="-3"/>
        </w:rPr>
        <w:t>）《中华人民共和国循环经济促进法》，</w:t>
      </w:r>
      <w:r>
        <w:rPr>
          <w:rFonts w:ascii="Times New Roman" w:hAnsi="Times New Roman" w:eastAsia="Times New Roman" w:cs="Times New Roman"/>
          <w:sz w:val="24"/>
          <w:szCs w:val="24"/>
          <w:spacing w:val="-4"/>
        </w:rPr>
        <w:t>2018 </w:t>
      </w:r>
      <w:r>
        <w:rPr>
          <w:rFonts w:ascii="SimSun" w:hAnsi="SimSun" w:eastAsia="SimSun" w:cs="SimSun"/>
          <w:sz w:val="24"/>
          <w:szCs w:val="24"/>
          <w:spacing w:val="-4"/>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26  </w:t>
      </w:r>
      <w:r>
        <w:rPr>
          <w:rFonts w:ascii="SimSun" w:hAnsi="SimSun" w:eastAsia="SimSun" w:cs="SimSun"/>
          <w:sz w:val="24"/>
          <w:szCs w:val="24"/>
          <w:spacing w:val="-4"/>
        </w:rPr>
        <w:t>日修改；</w:t>
      </w:r>
    </w:p>
    <w:p>
      <w:pPr>
        <w:ind w:left="501"/>
        <w:spacing w:before="182"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13</w:t>
      </w:r>
      <w:r>
        <w:rPr>
          <w:rFonts w:ascii="SimSun" w:hAnsi="SimSun" w:eastAsia="SimSun" w:cs="SimSun"/>
          <w:sz w:val="24"/>
          <w:szCs w:val="24"/>
          <w:spacing w:val="-3"/>
        </w:rPr>
        <w:t>）《中华人民共和国城乡规划法》，</w:t>
      </w:r>
      <w:r>
        <w:rPr>
          <w:rFonts w:ascii="Times New Roman" w:hAnsi="Times New Roman" w:eastAsia="Times New Roman" w:cs="Times New Roman"/>
          <w:sz w:val="24"/>
          <w:szCs w:val="24"/>
          <w:spacing w:val="-3"/>
        </w:rPr>
        <w:t>2019 </w:t>
      </w:r>
      <w:r>
        <w:rPr>
          <w:rFonts w:ascii="SimSun" w:hAnsi="SimSun" w:eastAsia="SimSun" w:cs="SimSun"/>
          <w:sz w:val="24"/>
          <w:szCs w:val="24"/>
          <w:spacing w:val="-3"/>
        </w:rPr>
        <w:t>年</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23  </w:t>
      </w:r>
      <w:r>
        <w:rPr>
          <w:rFonts w:ascii="SimSun" w:hAnsi="SimSun" w:eastAsia="SimSun" w:cs="SimSun"/>
          <w:sz w:val="24"/>
          <w:szCs w:val="24"/>
          <w:spacing w:val="-3"/>
        </w:rPr>
        <w:t>日修订；</w:t>
      </w:r>
    </w:p>
    <w:p>
      <w:pPr>
        <w:ind w:left="501"/>
        <w:spacing w:before="183"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14</w:t>
      </w:r>
      <w:r>
        <w:rPr>
          <w:rFonts w:ascii="SimSun" w:hAnsi="SimSun" w:eastAsia="SimSun" w:cs="SimSun"/>
          <w:sz w:val="24"/>
          <w:szCs w:val="24"/>
          <w:spacing w:val="-4"/>
        </w:rPr>
        <w:t>）《中华人民共和国环境保护税法》，</w:t>
      </w:r>
      <w:r>
        <w:rPr>
          <w:rFonts w:ascii="Times New Roman" w:hAnsi="Times New Roman" w:eastAsia="Times New Roman" w:cs="Times New Roman"/>
          <w:sz w:val="24"/>
          <w:szCs w:val="24"/>
          <w:spacing w:val="-4"/>
        </w:rPr>
        <w:t>2018 </w:t>
      </w:r>
      <w:r>
        <w:rPr>
          <w:rFonts w:ascii="SimSun" w:hAnsi="SimSun" w:eastAsia="SimSun" w:cs="SimSun"/>
          <w:sz w:val="24"/>
          <w:szCs w:val="24"/>
          <w:spacing w:val="-4"/>
        </w:rPr>
        <w:t>年</w:t>
      </w:r>
      <w:r>
        <w:rPr>
          <w:rFonts w:ascii="SimSun" w:hAnsi="SimSun" w:eastAsia="SimSun" w:cs="SimSun"/>
          <w:sz w:val="24"/>
          <w:szCs w:val="24"/>
          <w:spacing w:val="-15"/>
        </w:rPr>
        <w:t xml:space="preserve"> </w:t>
      </w:r>
      <w:r>
        <w:rPr>
          <w:rFonts w:ascii="Times New Roman" w:hAnsi="Times New Roman" w:eastAsia="Times New Roman" w:cs="Times New Roman"/>
          <w:sz w:val="24"/>
          <w:szCs w:val="24"/>
          <w:spacing w:val="-4"/>
        </w:rPr>
        <w:t>10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26  </w:t>
      </w:r>
      <w:r>
        <w:rPr>
          <w:rFonts w:ascii="SimSun" w:hAnsi="SimSun" w:eastAsia="SimSun" w:cs="SimSun"/>
          <w:sz w:val="24"/>
          <w:szCs w:val="24"/>
          <w:spacing w:val="-4"/>
        </w:rPr>
        <w:t>日修改；</w:t>
      </w:r>
    </w:p>
    <w:p>
      <w:pPr>
        <w:ind w:left="501"/>
        <w:spacing w:before="181"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15</w:t>
      </w:r>
      <w:r>
        <w:rPr>
          <w:rFonts w:ascii="SimSun" w:hAnsi="SimSun" w:eastAsia="SimSun" w:cs="SimSun"/>
          <w:sz w:val="24"/>
          <w:szCs w:val="24"/>
          <w:spacing w:val="-3"/>
        </w:rPr>
        <w:t>）《中华人民共和国土地管理法》，</w:t>
      </w:r>
      <w:r>
        <w:rPr>
          <w:rFonts w:ascii="Times New Roman" w:hAnsi="Times New Roman" w:eastAsia="Times New Roman" w:cs="Times New Roman"/>
          <w:sz w:val="24"/>
          <w:szCs w:val="24"/>
          <w:spacing w:val="-3"/>
        </w:rPr>
        <w:t>2019</w:t>
      </w:r>
      <w:r>
        <w:rPr>
          <w:rFonts w:ascii="Times New Roman" w:hAnsi="Times New Roman" w:eastAsia="Times New Roman" w:cs="Times New Roman"/>
          <w:sz w:val="24"/>
          <w:szCs w:val="24"/>
          <w:spacing w:val="-4"/>
        </w:rPr>
        <w:t xml:space="preserve"> </w:t>
      </w:r>
      <w:r>
        <w:rPr>
          <w:rFonts w:ascii="SimSun" w:hAnsi="SimSun" w:eastAsia="SimSun" w:cs="SimSun"/>
          <w:sz w:val="24"/>
          <w:szCs w:val="24"/>
          <w:spacing w:val="-4"/>
        </w:rPr>
        <w:t>年</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8</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26  </w:t>
      </w:r>
      <w:r>
        <w:rPr>
          <w:rFonts w:ascii="SimSun" w:hAnsi="SimSun" w:eastAsia="SimSun" w:cs="SimSun"/>
          <w:sz w:val="24"/>
          <w:szCs w:val="24"/>
          <w:spacing w:val="-4"/>
        </w:rPr>
        <w:t>日修订；</w:t>
      </w:r>
    </w:p>
    <w:p>
      <w:pPr>
        <w:ind w:left="15" w:right="102" w:firstLine="485"/>
        <w:spacing w:before="182" w:line="28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16</w:t>
      </w:r>
      <w:r>
        <w:rPr>
          <w:rFonts w:ascii="SimSun" w:hAnsi="SimSun" w:eastAsia="SimSun" w:cs="SimSun"/>
          <w:sz w:val="24"/>
          <w:szCs w:val="24"/>
          <w:spacing w:val="-3"/>
        </w:rPr>
        <w:t>）《中华人民共和国水土保持法》，</w:t>
      </w:r>
      <w:r>
        <w:rPr>
          <w:rFonts w:ascii="Times New Roman" w:hAnsi="Times New Roman" w:eastAsia="Times New Roman" w:cs="Times New Roman"/>
          <w:sz w:val="24"/>
          <w:szCs w:val="24"/>
          <w:spacing w:val="-3"/>
        </w:rPr>
        <w:t>2010 </w:t>
      </w:r>
      <w:r>
        <w:rPr>
          <w:rFonts w:ascii="SimSun" w:hAnsi="SimSun" w:eastAsia="SimSun" w:cs="SimSun"/>
          <w:sz w:val="24"/>
          <w:szCs w:val="24"/>
          <w:spacing w:val="-3"/>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25  </w:t>
      </w:r>
      <w:r>
        <w:rPr>
          <w:rFonts w:ascii="SimSun" w:hAnsi="SimSun" w:eastAsia="SimSun" w:cs="SimSun"/>
          <w:sz w:val="24"/>
          <w:szCs w:val="24"/>
          <w:spacing w:val="-4"/>
        </w:rPr>
        <w:t>日修订，</w:t>
      </w:r>
      <w:r>
        <w:rPr>
          <w:rFonts w:ascii="Times New Roman" w:hAnsi="Times New Roman" w:eastAsia="Times New Roman" w:cs="Times New Roman"/>
          <w:sz w:val="24"/>
          <w:szCs w:val="24"/>
          <w:spacing w:val="-4"/>
        </w:rPr>
        <w:t>2011 </w:t>
      </w:r>
      <w:r>
        <w:rPr>
          <w:rFonts w:ascii="SimSun" w:hAnsi="SimSun" w:eastAsia="SimSun" w:cs="SimSun"/>
          <w:sz w:val="24"/>
          <w:szCs w:val="24"/>
          <w:spacing w:val="-4"/>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rPr>
        <w:t xml:space="preserve"> </w:t>
      </w:r>
      <w:r>
        <w:rPr>
          <w:rFonts w:ascii="SimSun" w:hAnsi="SimSun" w:eastAsia="SimSun" w:cs="SimSun"/>
          <w:sz w:val="24"/>
          <w:szCs w:val="24"/>
          <w:spacing w:val="-14"/>
        </w:rPr>
        <w:t>月</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4"/>
        </w:rPr>
        <w:t>1</w:t>
      </w:r>
      <w:r>
        <w:rPr>
          <w:rFonts w:ascii="Times New Roman" w:hAnsi="Times New Roman" w:eastAsia="Times New Roman" w:cs="Times New Roman"/>
          <w:sz w:val="24"/>
          <w:szCs w:val="24"/>
          <w:spacing w:val="50"/>
          <w:w w:val="101"/>
        </w:rPr>
        <w:t xml:space="preserve"> </w:t>
      </w:r>
      <w:r>
        <w:rPr>
          <w:rFonts w:ascii="SimSun" w:hAnsi="SimSun" w:eastAsia="SimSun" w:cs="SimSun"/>
          <w:sz w:val="24"/>
          <w:szCs w:val="24"/>
          <w:spacing w:val="-14"/>
        </w:rPr>
        <w:t>日起施行；</w:t>
      </w:r>
    </w:p>
    <w:p>
      <w:pPr>
        <w:pStyle w:val="BodyText"/>
        <w:spacing w:line="458" w:lineRule="auto"/>
        <w:rPr/>
      </w:pPr>
      <w:r/>
    </w:p>
    <w:p>
      <w:pPr>
        <w:ind w:left="5312"/>
        <w:spacing w:before="63" w:line="227" w:lineRule="auto"/>
        <w:rPr>
          <w:rFonts w:ascii="SimSun" w:hAnsi="SimSun" w:eastAsia="SimSun" w:cs="SimSun"/>
          <w:sz w:val="19"/>
          <w:szCs w:val="19"/>
        </w:rPr>
      </w:pPr>
      <w:r>
        <w:pict>
          <v:shape id="_x0000_s120" style="position:absolute;margin-left:207.298pt;margin-top:2.12207pt;mso-position-vertical-relative:text;mso-position-horizontal-relative:text;width:58.95pt;height:13.75pt;z-index:251717632;"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4"/>
                      <w:position w:val="2"/>
                    </w:rPr>
                    <w:t>22</w:t>
                  </w:r>
                  <w:r>
                    <w:rPr>
                      <w:rFonts w:ascii="Times New Roman" w:hAnsi="Times New Roman" w:eastAsia="Times New Roman" w:cs="Times New Roman"/>
                      <w:sz w:val="18"/>
                      <w:szCs w:val="18"/>
                      <w:spacing w:val="1"/>
                      <w:position w:val="2"/>
                    </w:rPr>
                    <w:t xml:space="preserve">        </w:t>
                  </w:r>
                  <w:r>
                    <w:rPr>
                      <w:rFonts w:ascii="SimSun" w:hAnsi="SimSun" w:eastAsia="SimSun" w:cs="SimSun"/>
                      <w:sz w:val="19"/>
                      <w:szCs w:val="19"/>
                      <w:spacing w:val="4"/>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38"/>
          <w:footerReference w:type="default" r:id="rId3"/>
          <w:pgSz w:w="11907" w:h="16840"/>
          <w:pgMar w:top="1567" w:right="1643" w:bottom="400" w:left="1701" w:header="1221" w:footer="0" w:gutter="0"/>
        </w:sectPr>
        <w:rPr>
          <w:rFonts w:ascii="SimSun" w:hAnsi="SimSun" w:eastAsia="SimSun" w:cs="SimSun"/>
          <w:sz w:val="19"/>
          <w:szCs w:val="19"/>
        </w:rPr>
      </w:pPr>
    </w:p>
    <w:p>
      <w:pPr>
        <w:ind w:left="501"/>
        <w:spacing w:before="188" w:line="219" w:lineRule="auto"/>
        <w:rPr>
          <w:rFonts w:ascii="SimSun" w:hAnsi="SimSun" w:eastAsia="SimSun" w:cs="SimSun"/>
          <w:sz w:val="24"/>
          <w:szCs w:val="24"/>
        </w:rPr>
      </w:pPr>
      <w:r>
        <w:pict>
          <v:shape id="_x0000_s124" style="position:absolute;margin-left:85.05pt;margin-top:79.11pt;mso-position-vertical-relative:page;mso-position-horizontal-relative:page;width:425.25pt;height:0.75pt;z-index:251720704;" o:allowincell="f" fillcolor="#000000" filled="true" stroked="false" coordsize="8505,15" coordorigin="0,0" path="m,l8505,0l8505,14l0,14l0,0xe"/>
        </w:pict>
      </w:r>
      <w:r>
        <w:rPr>
          <w:rFonts w:ascii="SimSun" w:hAnsi="SimSun" w:eastAsia="SimSun" w:cs="SimSun"/>
          <w:sz w:val="24"/>
          <w:szCs w:val="24"/>
          <w:spacing w:val="-4"/>
        </w:rPr>
        <w:t>（</w:t>
      </w:r>
      <w:r>
        <w:rPr>
          <w:rFonts w:ascii="Times New Roman" w:hAnsi="Times New Roman" w:eastAsia="Times New Roman" w:cs="Times New Roman"/>
          <w:sz w:val="24"/>
          <w:szCs w:val="24"/>
          <w:spacing w:val="-4"/>
        </w:rPr>
        <w:t>17</w:t>
      </w:r>
      <w:r>
        <w:rPr>
          <w:rFonts w:ascii="SimSun" w:hAnsi="SimSun" w:eastAsia="SimSun" w:cs="SimSun"/>
          <w:sz w:val="24"/>
          <w:szCs w:val="24"/>
          <w:spacing w:val="-4"/>
        </w:rPr>
        <w:t>）《中华人民共和国草原法》，</w:t>
      </w:r>
      <w:r>
        <w:rPr>
          <w:rFonts w:ascii="Times New Roman" w:hAnsi="Times New Roman" w:eastAsia="Times New Roman" w:cs="Times New Roman"/>
          <w:sz w:val="24"/>
          <w:szCs w:val="24"/>
          <w:spacing w:val="-4"/>
        </w:rPr>
        <w:t>2016 </w:t>
      </w:r>
      <w:r>
        <w:rPr>
          <w:rFonts w:ascii="SimSun" w:hAnsi="SimSun" w:eastAsia="SimSun" w:cs="SimSun"/>
          <w:sz w:val="24"/>
          <w:szCs w:val="24"/>
          <w:spacing w:val="-4"/>
        </w:rPr>
        <w:t>年</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4"/>
        </w:rPr>
        <w:t>11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月</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7  </w:t>
      </w:r>
      <w:r>
        <w:rPr>
          <w:rFonts w:ascii="SimSun" w:hAnsi="SimSun" w:eastAsia="SimSun" w:cs="SimSun"/>
          <w:sz w:val="24"/>
          <w:szCs w:val="24"/>
          <w:spacing w:val="-4"/>
        </w:rPr>
        <w:t>日修订实施。</w:t>
      </w:r>
    </w:p>
    <w:p>
      <w:pPr>
        <w:pStyle w:val="BodyText"/>
        <w:spacing w:line="249" w:lineRule="auto"/>
        <w:rPr/>
      </w:pPr>
      <w:r/>
    </w:p>
    <w:p>
      <w:pPr>
        <w:ind w:left="6"/>
        <w:spacing w:before="91" w:line="222" w:lineRule="auto"/>
        <w:outlineLvl w:val="2"/>
        <w:rPr>
          <w:rFonts w:ascii="SimHei" w:hAnsi="SimHei" w:eastAsia="SimHei" w:cs="SimHei"/>
          <w:sz w:val="28"/>
          <w:szCs w:val="28"/>
        </w:rPr>
      </w:pPr>
      <w:bookmarkStart w:name="bookmark18" w:id="22"/>
      <w:bookmarkEnd w:id="22"/>
      <w:r>
        <w:rPr>
          <w:rFonts w:ascii="Times New Roman" w:hAnsi="Times New Roman" w:eastAsia="Times New Roman" w:cs="Times New Roman"/>
          <w:sz w:val="28"/>
          <w:szCs w:val="28"/>
          <w:spacing w:val="-3"/>
        </w:rPr>
        <w:t>2.1.3</w:t>
      </w:r>
      <w:r>
        <w:rPr>
          <w:rFonts w:ascii="Times New Roman" w:hAnsi="Times New Roman" w:eastAsia="Times New Roman" w:cs="Times New Roman"/>
          <w:sz w:val="28"/>
          <w:szCs w:val="28"/>
          <w:spacing w:val="19"/>
          <w:w w:val="101"/>
        </w:rPr>
        <w:t xml:space="preserve"> </w:t>
      </w:r>
      <w:r>
        <w:rPr>
          <w:rFonts w:ascii="SimHei" w:hAnsi="SimHei" w:eastAsia="SimHei" w:cs="SimHei"/>
          <w:sz w:val="28"/>
          <w:szCs w:val="28"/>
          <w:spacing w:val="-3"/>
        </w:rPr>
        <w:t>部门规章</w:t>
      </w:r>
    </w:p>
    <w:p>
      <w:pPr>
        <w:pStyle w:val="BodyText"/>
        <w:spacing w:line="277" w:lineRule="auto"/>
        <w:rPr/>
      </w:pPr>
      <w:r/>
    </w:p>
    <w:p>
      <w:pPr>
        <w:ind w:left="28" w:right="56" w:firstLine="472"/>
        <w:spacing w:before="78" w:line="28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）《建设项目环境保护管理条例（修订）》，国务院第</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6</w:t>
      </w:r>
      <w:r>
        <w:rPr>
          <w:rFonts w:ascii="Times New Roman" w:hAnsi="Times New Roman" w:eastAsia="Times New Roman" w:cs="Times New Roman"/>
          <w:sz w:val="24"/>
          <w:szCs w:val="24"/>
          <w:spacing w:val="-4"/>
        </w:rPr>
        <w:t>82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号令，</w:t>
      </w:r>
      <w:r>
        <w:rPr>
          <w:rFonts w:ascii="Times New Roman" w:hAnsi="Times New Roman" w:eastAsia="Times New Roman" w:cs="Times New Roman"/>
          <w:sz w:val="24"/>
          <w:szCs w:val="24"/>
          <w:spacing w:val="-4"/>
        </w:rPr>
        <w:t>2017 </w:t>
      </w:r>
      <w:r>
        <w:rPr>
          <w:rFonts w:ascii="SimSun" w:hAnsi="SimSun" w:eastAsia="SimSun" w:cs="SimSun"/>
          <w:sz w:val="24"/>
          <w:szCs w:val="24"/>
          <w:spacing w:val="-4"/>
        </w:rPr>
        <w:t>年</w:t>
      </w:r>
      <w:r>
        <w:rPr>
          <w:rFonts w:ascii="SimSun" w:hAnsi="SimSun" w:eastAsia="SimSun" w:cs="SimSun"/>
          <w:sz w:val="24"/>
          <w:szCs w:val="24"/>
        </w:rPr>
        <w:t xml:space="preserve"> </w:t>
      </w:r>
      <w:r>
        <w:rPr>
          <w:rFonts w:ascii="Times New Roman" w:hAnsi="Times New Roman" w:eastAsia="Times New Roman" w:cs="Times New Roman"/>
          <w:sz w:val="24"/>
          <w:szCs w:val="24"/>
          <w:spacing w:val="-14"/>
        </w:rPr>
        <w:t>10</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14"/>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4"/>
        </w:rPr>
        <w:t>1</w:t>
      </w:r>
      <w:r>
        <w:rPr>
          <w:rFonts w:ascii="Times New Roman" w:hAnsi="Times New Roman" w:eastAsia="Times New Roman" w:cs="Times New Roman"/>
          <w:sz w:val="24"/>
          <w:szCs w:val="24"/>
          <w:spacing w:val="50"/>
          <w:w w:val="101"/>
        </w:rPr>
        <w:t xml:space="preserve"> </w:t>
      </w:r>
      <w:r>
        <w:rPr>
          <w:rFonts w:ascii="SimSun" w:hAnsi="SimSun" w:eastAsia="SimSun" w:cs="SimSun"/>
          <w:sz w:val="24"/>
          <w:szCs w:val="24"/>
          <w:spacing w:val="-14"/>
        </w:rPr>
        <w:t>日起实施；</w:t>
      </w:r>
    </w:p>
    <w:p>
      <w:pPr>
        <w:ind w:right="39"/>
        <w:spacing w:before="182" w:line="219" w:lineRule="auto"/>
        <w:jc w:val="right"/>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）《排污许可管理条例》（国务院令 第</w:t>
      </w:r>
      <w:r>
        <w:rPr>
          <w:rFonts w:ascii="Times New Roman" w:hAnsi="Times New Roman" w:eastAsia="Times New Roman" w:cs="Times New Roman"/>
          <w:sz w:val="24"/>
          <w:szCs w:val="24"/>
          <w:spacing w:val="-1"/>
        </w:rPr>
        <w:t>736</w:t>
      </w:r>
      <w:r>
        <w:rPr>
          <w:rFonts w:ascii="SimSun" w:hAnsi="SimSun" w:eastAsia="SimSun" w:cs="SimSun"/>
          <w:sz w:val="24"/>
          <w:szCs w:val="24"/>
          <w:spacing w:val="-1"/>
        </w:rPr>
        <w:t>号</w:t>
      </w:r>
      <w:r>
        <w:rPr>
          <w:rFonts w:ascii="SimSun" w:hAnsi="SimSun" w:eastAsia="SimSun" w:cs="SimSun"/>
          <w:sz w:val="24"/>
          <w:szCs w:val="24"/>
          <w:spacing w:val="7"/>
        </w:rPr>
        <w:t>），</w:t>
      </w:r>
      <w:r>
        <w:rPr>
          <w:rFonts w:ascii="Times New Roman" w:hAnsi="Times New Roman" w:eastAsia="Times New Roman" w:cs="Times New Roman"/>
          <w:sz w:val="24"/>
          <w:szCs w:val="24"/>
          <w:spacing w:val="-1"/>
        </w:rPr>
        <w:t>2021</w:t>
      </w:r>
      <w:r>
        <w:rPr>
          <w:rFonts w:ascii="SimSun" w:hAnsi="SimSun" w:eastAsia="SimSun" w:cs="SimSun"/>
          <w:sz w:val="24"/>
          <w:szCs w:val="24"/>
          <w:spacing w:val="-1"/>
        </w:rPr>
        <w:t>年</w:t>
      </w:r>
      <w:r>
        <w:rPr>
          <w:rFonts w:ascii="Times New Roman" w:hAnsi="Times New Roman" w:eastAsia="Times New Roman" w:cs="Times New Roman"/>
          <w:sz w:val="24"/>
          <w:szCs w:val="24"/>
          <w:spacing w:val="-1"/>
        </w:rPr>
        <w:t>3</w:t>
      </w:r>
      <w:r>
        <w:rPr>
          <w:rFonts w:ascii="SimSun" w:hAnsi="SimSun" w:eastAsia="SimSun" w:cs="SimSun"/>
          <w:sz w:val="24"/>
          <w:szCs w:val="24"/>
          <w:spacing w:val="-1"/>
        </w:rPr>
        <w:t>月</w:t>
      </w:r>
      <w:r>
        <w:rPr>
          <w:rFonts w:ascii="Times New Roman" w:hAnsi="Times New Roman" w:eastAsia="Times New Roman" w:cs="Times New Roman"/>
          <w:sz w:val="24"/>
          <w:szCs w:val="24"/>
          <w:spacing w:val="-1"/>
        </w:rPr>
        <w:t>1</w:t>
      </w:r>
      <w:r>
        <w:rPr>
          <w:rFonts w:ascii="SimSun" w:hAnsi="SimSun" w:eastAsia="SimSun" w:cs="SimSun"/>
          <w:sz w:val="24"/>
          <w:szCs w:val="24"/>
          <w:spacing w:val="-1"/>
        </w:rPr>
        <w:t>日起施行；</w:t>
      </w:r>
    </w:p>
    <w:p>
      <w:pPr>
        <w:ind w:left="501"/>
        <w:spacing w:before="184"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3</w:t>
      </w:r>
      <w:r>
        <w:rPr>
          <w:rFonts w:ascii="SimSun" w:hAnsi="SimSun" w:eastAsia="SimSun" w:cs="SimSun"/>
          <w:sz w:val="24"/>
          <w:szCs w:val="24"/>
          <w:spacing w:val="-4"/>
        </w:rPr>
        <w:t>）《国家危险废物名录（</w:t>
      </w:r>
      <w:r>
        <w:rPr>
          <w:rFonts w:ascii="Times New Roman" w:hAnsi="Times New Roman" w:eastAsia="Times New Roman" w:cs="Times New Roman"/>
          <w:sz w:val="24"/>
          <w:szCs w:val="24"/>
          <w:spacing w:val="-4"/>
        </w:rPr>
        <w:t>2025 </w:t>
      </w:r>
      <w:r>
        <w:rPr>
          <w:rFonts w:ascii="SimSun" w:hAnsi="SimSun" w:eastAsia="SimSun" w:cs="SimSun"/>
          <w:sz w:val="24"/>
          <w:szCs w:val="24"/>
          <w:spacing w:val="-4"/>
        </w:rPr>
        <w:t>年版）》，</w:t>
      </w:r>
      <w:r>
        <w:rPr>
          <w:rFonts w:ascii="Times New Roman" w:hAnsi="Times New Roman" w:eastAsia="Times New Roman" w:cs="Times New Roman"/>
          <w:sz w:val="24"/>
          <w:szCs w:val="24"/>
          <w:spacing w:val="-4"/>
        </w:rPr>
        <w:t>2025 </w:t>
      </w:r>
      <w:r>
        <w:rPr>
          <w:rFonts w:ascii="SimSun" w:hAnsi="SimSun" w:eastAsia="SimSun" w:cs="SimSun"/>
          <w:sz w:val="24"/>
          <w:szCs w:val="24"/>
          <w:spacing w:val="-4"/>
        </w:rPr>
        <w:t>年</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日起施行；</w:t>
      </w:r>
    </w:p>
    <w:p>
      <w:pPr>
        <w:ind w:left="501"/>
        <w:spacing w:before="181"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）《固定污染源排污许可分类管理名录（</w:t>
      </w:r>
      <w:r>
        <w:rPr>
          <w:rFonts w:ascii="Times New Roman" w:hAnsi="Times New Roman" w:eastAsia="Times New Roman" w:cs="Times New Roman"/>
          <w:sz w:val="24"/>
          <w:szCs w:val="24"/>
          <w:spacing w:val="-1"/>
        </w:rPr>
        <w:t>2019 </w:t>
      </w:r>
      <w:r>
        <w:rPr>
          <w:rFonts w:ascii="SimSun" w:hAnsi="SimSun" w:eastAsia="SimSun" w:cs="SimSun"/>
          <w:sz w:val="24"/>
          <w:szCs w:val="24"/>
          <w:spacing w:val="-1"/>
        </w:rPr>
        <w:t>年版）》；</w:t>
      </w:r>
    </w:p>
    <w:p>
      <w:pPr>
        <w:ind w:left="15" w:right="56" w:firstLine="485"/>
        <w:spacing w:before="180" w:line="290"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5</w:t>
      </w:r>
      <w:r>
        <w:rPr>
          <w:rFonts w:ascii="SimSun" w:hAnsi="SimSun" w:eastAsia="SimSun" w:cs="SimSun"/>
          <w:sz w:val="24"/>
          <w:szCs w:val="24"/>
        </w:rPr>
        <w:t>）《工矿用地土壤环境管理办法（试行）》（部令 第</w:t>
      </w:r>
      <w:r>
        <w:rPr>
          <w:rFonts w:ascii="SimSun" w:hAnsi="SimSun" w:eastAsia="SimSun" w:cs="SimSun"/>
          <w:sz w:val="24"/>
          <w:szCs w:val="24"/>
          <w:spacing w:val="-48"/>
        </w:rPr>
        <w:t xml:space="preserve"> </w:t>
      </w:r>
      <w:r>
        <w:rPr>
          <w:rFonts w:ascii="Times New Roman" w:hAnsi="Times New Roman" w:eastAsia="Times New Roman" w:cs="Times New Roman"/>
          <w:sz w:val="24"/>
          <w:szCs w:val="24"/>
        </w:rPr>
        <w:t>3</w:t>
      </w:r>
      <w:r>
        <w:rPr>
          <w:rFonts w:ascii="Times New Roman" w:hAnsi="Times New Roman" w:eastAsia="Times New Roman" w:cs="Times New Roman"/>
          <w:sz w:val="24"/>
          <w:szCs w:val="24"/>
          <w:spacing w:val="18"/>
        </w:rPr>
        <w:t xml:space="preserve"> </w:t>
      </w:r>
      <w:r>
        <w:rPr>
          <w:rFonts w:ascii="SimSun" w:hAnsi="SimSun" w:eastAsia="SimSun" w:cs="SimSun"/>
          <w:sz w:val="24"/>
          <w:szCs w:val="24"/>
        </w:rPr>
        <w:t>号</w:t>
      </w:r>
      <w:r>
        <w:rPr>
          <w:rFonts w:ascii="SimSun" w:hAnsi="SimSun" w:eastAsia="SimSun" w:cs="SimSun"/>
          <w:sz w:val="24"/>
          <w:szCs w:val="24"/>
          <w:spacing w:val="17"/>
        </w:rPr>
        <w:t>），</w:t>
      </w:r>
      <w:r>
        <w:rPr>
          <w:rFonts w:ascii="Times New Roman" w:hAnsi="Times New Roman" w:eastAsia="Times New Roman" w:cs="Times New Roman"/>
          <w:sz w:val="24"/>
          <w:szCs w:val="24"/>
        </w:rPr>
        <w:t>2018 </w:t>
      </w:r>
      <w:r>
        <w:rPr>
          <w:rFonts w:ascii="SimSun" w:hAnsi="SimSun" w:eastAsia="SimSun" w:cs="SimSun"/>
          <w:sz w:val="24"/>
          <w:szCs w:val="24"/>
        </w:rPr>
        <w:t>年</w:t>
      </w:r>
      <w:r>
        <w:rPr>
          <w:rFonts w:ascii="SimSun" w:hAnsi="SimSun" w:eastAsia="SimSun" w:cs="SimSun"/>
          <w:sz w:val="24"/>
          <w:szCs w:val="24"/>
          <w:spacing w:val="-43"/>
        </w:rPr>
        <w:t xml:space="preserve"> </w:t>
      </w:r>
      <w:r>
        <w:rPr>
          <w:rFonts w:ascii="Times New Roman" w:hAnsi="Times New Roman" w:eastAsia="Times New Roman" w:cs="Times New Roman"/>
          <w:sz w:val="24"/>
          <w:szCs w:val="24"/>
        </w:rPr>
        <w:t>8 </w:t>
      </w:r>
      <w:r>
        <w:rPr>
          <w:rFonts w:ascii="SimSun" w:hAnsi="SimSun" w:eastAsia="SimSun" w:cs="SimSun"/>
          <w:sz w:val="24"/>
          <w:szCs w:val="24"/>
          <w:spacing w:val="-14"/>
        </w:rPr>
        <w:t>月</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4"/>
        </w:rPr>
        <w:t>1</w:t>
      </w:r>
      <w:r>
        <w:rPr>
          <w:rFonts w:ascii="Times New Roman" w:hAnsi="Times New Roman" w:eastAsia="Times New Roman" w:cs="Times New Roman"/>
          <w:sz w:val="24"/>
          <w:szCs w:val="24"/>
          <w:spacing w:val="50"/>
          <w:w w:val="101"/>
        </w:rPr>
        <w:t xml:space="preserve"> </w:t>
      </w:r>
      <w:r>
        <w:rPr>
          <w:rFonts w:ascii="SimSun" w:hAnsi="SimSun" w:eastAsia="SimSun" w:cs="SimSun"/>
          <w:sz w:val="24"/>
          <w:szCs w:val="24"/>
          <w:spacing w:val="-14"/>
        </w:rPr>
        <w:t>日起施行；</w:t>
      </w:r>
    </w:p>
    <w:p>
      <w:pPr>
        <w:ind w:left="501"/>
        <w:spacing w:before="182"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6</w:t>
      </w:r>
      <w:r>
        <w:rPr>
          <w:rFonts w:ascii="SimSun" w:hAnsi="SimSun" w:eastAsia="SimSun" w:cs="SimSun"/>
          <w:sz w:val="24"/>
          <w:szCs w:val="24"/>
          <w:spacing w:val="-1"/>
        </w:rPr>
        <w:t>）《产业结构调整指导目录（</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年本）》；</w:t>
      </w:r>
    </w:p>
    <w:p>
      <w:pPr>
        <w:ind w:left="9" w:right="56" w:firstLine="491"/>
        <w:spacing w:before="180" w:line="29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7</w:t>
      </w:r>
      <w:r>
        <w:rPr>
          <w:rFonts w:ascii="SimSun" w:hAnsi="SimSun" w:eastAsia="SimSun" w:cs="SimSun"/>
          <w:sz w:val="24"/>
          <w:szCs w:val="24"/>
          <w:spacing w:val="-3"/>
        </w:rPr>
        <w:t>）《西部地区鼓励类产业目录（</w:t>
      </w:r>
      <w:r>
        <w:rPr>
          <w:rFonts w:ascii="Times New Roman" w:hAnsi="Times New Roman" w:eastAsia="Times New Roman" w:cs="Times New Roman"/>
          <w:sz w:val="24"/>
          <w:szCs w:val="24"/>
          <w:spacing w:val="-3"/>
        </w:rPr>
        <w:t>2025 </w:t>
      </w:r>
      <w:r>
        <w:rPr>
          <w:rFonts w:ascii="SimSun" w:hAnsi="SimSun" w:eastAsia="SimSun" w:cs="SimSun"/>
          <w:sz w:val="24"/>
          <w:szCs w:val="24"/>
          <w:spacing w:val="-3"/>
        </w:rPr>
        <w:t>年本）》（国家发展和改革委员会令</w:t>
      </w:r>
      <w:r>
        <w:rPr>
          <w:rFonts w:ascii="SimSun" w:hAnsi="SimSun" w:eastAsia="SimSun" w:cs="SimSun"/>
          <w:sz w:val="24"/>
          <w:szCs w:val="24"/>
          <w:spacing w:val="12"/>
        </w:rPr>
        <w:t xml:space="preserve"> </w:t>
      </w:r>
      <w:r>
        <w:rPr>
          <w:rFonts w:ascii="SimSun" w:hAnsi="SimSun" w:eastAsia="SimSun" w:cs="SimSun"/>
          <w:sz w:val="24"/>
          <w:szCs w:val="24"/>
          <w:spacing w:val="-14"/>
        </w:rPr>
        <w:t>第</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4"/>
        </w:rPr>
        <w:t>15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4"/>
        </w:rPr>
        <w:t>号</w:t>
      </w:r>
      <w:r>
        <w:rPr>
          <w:rFonts w:ascii="SimSun" w:hAnsi="SimSun" w:eastAsia="SimSun" w:cs="SimSun"/>
          <w:sz w:val="24"/>
          <w:szCs w:val="24"/>
          <w:spacing w:val="1"/>
        </w:rPr>
        <w:t>）；</w:t>
      </w:r>
    </w:p>
    <w:p>
      <w:pPr>
        <w:ind w:left="501"/>
        <w:spacing w:before="181"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8</w:t>
      </w:r>
      <w:r>
        <w:rPr>
          <w:rFonts w:ascii="SimSun" w:hAnsi="SimSun" w:eastAsia="SimSun" w:cs="SimSun"/>
          <w:sz w:val="24"/>
          <w:szCs w:val="24"/>
          <w:spacing w:val="-2"/>
        </w:rPr>
        <w:t>）《危险化学品重大危险源辨识》（</w:t>
      </w:r>
      <w:r>
        <w:rPr>
          <w:rFonts w:ascii="Times New Roman" w:hAnsi="Times New Roman" w:eastAsia="Times New Roman" w:cs="Times New Roman"/>
          <w:sz w:val="24"/>
          <w:szCs w:val="24"/>
          <w:spacing w:val="-2"/>
        </w:rPr>
        <w:t>GB</w:t>
      </w:r>
      <w:r>
        <w:rPr>
          <w:rFonts w:ascii="Times New Roman" w:hAnsi="Times New Roman" w:eastAsia="Times New Roman" w:cs="Times New Roman"/>
          <w:sz w:val="24"/>
          <w:szCs w:val="24"/>
          <w:spacing w:val="27"/>
        </w:rPr>
        <w:t xml:space="preserve"> </w:t>
      </w:r>
      <w:r>
        <w:rPr>
          <w:rFonts w:ascii="Times New Roman" w:hAnsi="Times New Roman" w:eastAsia="Times New Roman" w:cs="Times New Roman"/>
          <w:sz w:val="24"/>
          <w:szCs w:val="24"/>
          <w:spacing w:val="-2"/>
        </w:rPr>
        <w:t>18218-2018</w:t>
      </w:r>
      <w:r>
        <w:rPr>
          <w:rFonts w:ascii="SimSun" w:hAnsi="SimSun" w:eastAsia="SimSun" w:cs="SimSun"/>
          <w:sz w:val="24"/>
          <w:szCs w:val="24"/>
          <w:spacing w:val="4"/>
        </w:rPr>
        <w:t>）；</w:t>
      </w:r>
    </w:p>
    <w:p>
      <w:pPr>
        <w:ind w:left="12" w:right="38" w:firstLine="488"/>
        <w:spacing w:before="184" w:line="28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9</w:t>
      </w:r>
      <w:r>
        <w:rPr>
          <w:rFonts w:ascii="SimSun" w:hAnsi="SimSun" w:eastAsia="SimSun" w:cs="SimSun"/>
          <w:sz w:val="24"/>
          <w:szCs w:val="24"/>
          <w:spacing w:val="-2"/>
        </w:rPr>
        <w:t>）《建设项目环境影响评价分类管理名录（</w:t>
      </w:r>
      <w:r>
        <w:rPr>
          <w:rFonts w:ascii="Times New Roman" w:hAnsi="Times New Roman" w:eastAsia="Times New Roman" w:cs="Times New Roman"/>
          <w:sz w:val="24"/>
          <w:szCs w:val="24"/>
          <w:spacing w:val="-2"/>
        </w:rPr>
        <w:t>2021 </w:t>
      </w:r>
      <w:r>
        <w:rPr>
          <w:rFonts w:ascii="SimSun" w:hAnsi="SimSun" w:eastAsia="SimSun" w:cs="SimSun"/>
          <w:sz w:val="24"/>
          <w:szCs w:val="24"/>
          <w:spacing w:val="-2"/>
        </w:rPr>
        <w:t>年版）》</w:t>
      </w:r>
      <w:r>
        <w:rPr>
          <w:rFonts w:ascii="SimSun" w:hAnsi="SimSun" w:eastAsia="SimSun" w:cs="SimSun"/>
          <w:sz w:val="24"/>
          <w:szCs w:val="24"/>
          <w:spacing w:val="-3"/>
        </w:rPr>
        <w:t>（生态环境部，</w:t>
      </w:r>
      <w:r>
        <w:rPr>
          <w:rFonts w:ascii="SimSun" w:hAnsi="SimSun" w:eastAsia="SimSun" w:cs="SimSun"/>
          <w:sz w:val="24"/>
          <w:szCs w:val="24"/>
        </w:rPr>
        <w:t xml:space="preserve"> </w:t>
      </w:r>
      <w:r>
        <w:rPr>
          <w:rFonts w:ascii="SimSun" w:hAnsi="SimSun" w:eastAsia="SimSun" w:cs="SimSun"/>
          <w:sz w:val="24"/>
          <w:szCs w:val="24"/>
          <w:spacing w:val="-9"/>
        </w:rPr>
        <w:t>部令 第</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9"/>
        </w:rPr>
        <w:t>16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9"/>
        </w:rPr>
        <w:t>号</w:t>
      </w:r>
      <w:r>
        <w:rPr>
          <w:rFonts w:ascii="SimSun" w:hAnsi="SimSun" w:eastAsia="SimSun" w:cs="SimSun"/>
          <w:sz w:val="24"/>
          <w:szCs w:val="24"/>
          <w:spacing w:val="9"/>
        </w:rPr>
        <w:t>），</w:t>
      </w:r>
      <w:r>
        <w:rPr>
          <w:rFonts w:ascii="Times New Roman" w:hAnsi="Times New Roman" w:eastAsia="Times New Roman" w:cs="Times New Roman"/>
          <w:sz w:val="24"/>
          <w:szCs w:val="24"/>
          <w:spacing w:val="-9"/>
        </w:rPr>
        <w:t>2021 </w:t>
      </w:r>
      <w:r>
        <w:rPr>
          <w:rFonts w:ascii="SimSun" w:hAnsi="SimSun" w:eastAsia="SimSun" w:cs="SimSun"/>
          <w:sz w:val="24"/>
          <w:szCs w:val="24"/>
          <w:spacing w:val="-9"/>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9"/>
        </w:rPr>
        <w:t>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9"/>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9"/>
        </w:rPr>
        <w:t>1  </w:t>
      </w:r>
      <w:r>
        <w:rPr>
          <w:rFonts w:ascii="SimSun" w:hAnsi="SimSun" w:eastAsia="SimSun" w:cs="SimSun"/>
          <w:sz w:val="24"/>
          <w:szCs w:val="24"/>
          <w:spacing w:val="-9"/>
        </w:rPr>
        <w:t>日起施行；</w:t>
      </w:r>
    </w:p>
    <w:p>
      <w:pPr>
        <w:ind w:left="28" w:right="99" w:firstLine="472"/>
        <w:spacing w:before="183" w:line="28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10</w:t>
      </w:r>
      <w:r>
        <w:rPr>
          <w:rFonts w:ascii="SimSun" w:hAnsi="SimSun" w:eastAsia="SimSun" w:cs="SimSun"/>
          <w:sz w:val="24"/>
          <w:szCs w:val="24"/>
          <w:spacing w:val="-1"/>
        </w:rPr>
        <w:t>）《环境影响评价公众参与办法》（生态环境部</w:t>
      </w:r>
      <w:r>
        <w:rPr>
          <w:rFonts w:ascii="SimSun" w:hAnsi="SimSun" w:eastAsia="SimSun" w:cs="SimSun"/>
          <w:sz w:val="24"/>
          <w:szCs w:val="24"/>
          <w:spacing w:val="-2"/>
        </w:rPr>
        <w:t>令，第</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w:t>
      </w:r>
      <w:r>
        <w:rPr>
          <w:rFonts w:ascii="SimSun" w:hAnsi="SimSun" w:eastAsia="SimSun" w:cs="SimSun"/>
          <w:sz w:val="24"/>
          <w:szCs w:val="24"/>
          <w:spacing w:val="2"/>
        </w:rPr>
        <w:t>），</w:t>
      </w:r>
      <w:r>
        <w:rPr>
          <w:rFonts w:ascii="Times New Roman" w:hAnsi="Times New Roman" w:eastAsia="Times New Roman" w:cs="Times New Roman"/>
          <w:sz w:val="24"/>
          <w:szCs w:val="24"/>
          <w:spacing w:val="-2"/>
        </w:rPr>
        <w:t>2019 </w:t>
      </w:r>
      <w:r>
        <w:rPr>
          <w:rFonts w:ascii="SimSun" w:hAnsi="SimSun" w:eastAsia="SimSun" w:cs="SimSun"/>
          <w:sz w:val="24"/>
          <w:szCs w:val="24"/>
          <w:spacing w:val="-2"/>
        </w:rPr>
        <w:t>年</w:t>
      </w:r>
      <w:r>
        <w:rPr>
          <w:rFonts w:ascii="SimSun" w:hAnsi="SimSun" w:eastAsia="SimSun" w:cs="SimSun"/>
          <w:sz w:val="24"/>
          <w:szCs w:val="24"/>
        </w:rPr>
        <w:t xml:space="preserve"> </w:t>
      </w:r>
      <w:r>
        <w:rPr>
          <w:rFonts w:ascii="Times New Roman" w:hAnsi="Times New Roman" w:eastAsia="Times New Roman" w:cs="Times New Roman"/>
          <w:sz w:val="24"/>
          <w:szCs w:val="24"/>
          <w:spacing w:val="-16"/>
        </w:rPr>
        <w:t>1</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16"/>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6"/>
        </w:rPr>
        <w:t>1</w:t>
      </w:r>
      <w:r>
        <w:rPr>
          <w:rFonts w:ascii="Times New Roman" w:hAnsi="Times New Roman" w:eastAsia="Times New Roman" w:cs="Times New Roman"/>
          <w:sz w:val="24"/>
          <w:szCs w:val="24"/>
          <w:spacing w:val="50"/>
          <w:w w:val="101"/>
        </w:rPr>
        <w:t xml:space="preserve"> </w:t>
      </w:r>
      <w:r>
        <w:rPr>
          <w:rFonts w:ascii="SimSun" w:hAnsi="SimSun" w:eastAsia="SimSun" w:cs="SimSun"/>
          <w:sz w:val="24"/>
          <w:szCs w:val="24"/>
          <w:spacing w:val="-16"/>
        </w:rPr>
        <w:t>日起施行；</w:t>
      </w:r>
    </w:p>
    <w:p>
      <w:pPr>
        <w:ind w:left="13" w:right="56" w:firstLine="487"/>
        <w:spacing w:before="184" w:line="285"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11</w:t>
      </w:r>
      <w:r>
        <w:rPr>
          <w:rFonts w:ascii="SimSun" w:hAnsi="SimSun" w:eastAsia="SimSun" w:cs="SimSun"/>
          <w:sz w:val="24"/>
          <w:szCs w:val="24"/>
          <w:spacing w:val="1"/>
        </w:rPr>
        <w:t>）《关于印发</w:t>
      </w:r>
      <w:r>
        <w:rPr>
          <w:rFonts w:ascii="Times New Roman" w:hAnsi="Times New Roman" w:eastAsia="Times New Roman" w:cs="Times New Roman"/>
          <w:sz w:val="24"/>
          <w:szCs w:val="24"/>
          <w:spacing w:val="1"/>
        </w:rPr>
        <w:t>&lt;</w:t>
      </w:r>
      <w:r>
        <w:rPr>
          <w:rFonts w:ascii="SimSun" w:hAnsi="SimSun" w:eastAsia="SimSun" w:cs="SimSun"/>
          <w:sz w:val="24"/>
          <w:szCs w:val="24"/>
          <w:spacing w:val="1"/>
        </w:rPr>
        <w:t>企业事业单位突发环境事件应急预案备案管理办法</w:t>
      </w:r>
      <w:r>
        <w:rPr>
          <w:rFonts w:ascii="Times New Roman" w:hAnsi="Times New Roman" w:eastAsia="Times New Roman" w:cs="Times New Roman"/>
          <w:sz w:val="24"/>
          <w:szCs w:val="24"/>
          <w:spacing w:val="1"/>
        </w:rPr>
        <w:t>&gt;</w:t>
      </w:r>
      <w:r>
        <w:rPr>
          <w:rFonts w:ascii="SimSun" w:hAnsi="SimSun" w:eastAsia="SimSun" w:cs="SimSun"/>
          <w:sz w:val="24"/>
          <w:szCs w:val="24"/>
          <w:spacing w:val="1"/>
        </w:rPr>
        <w:t>（试</w:t>
      </w:r>
      <w:r>
        <w:rPr>
          <w:rFonts w:ascii="SimSun" w:hAnsi="SimSun" w:eastAsia="SimSun" w:cs="SimSun"/>
          <w:sz w:val="24"/>
          <w:szCs w:val="24"/>
          <w:spacing w:val="15"/>
        </w:rPr>
        <w:t xml:space="preserve"> </w:t>
      </w:r>
      <w:r>
        <w:rPr>
          <w:rFonts w:ascii="SimSun" w:hAnsi="SimSun" w:eastAsia="SimSun" w:cs="SimSun"/>
          <w:sz w:val="24"/>
          <w:szCs w:val="24"/>
          <w:spacing w:val="-3"/>
        </w:rPr>
        <w:t>行）的通知》（环境保护部，环发</w:t>
      </w:r>
      <w:r>
        <w:rPr>
          <w:rFonts w:ascii="Times New Roman" w:hAnsi="Times New Roman" w:eastAsia="Times New Roman" w:cs="Times New Roman"/>
          <w:sz w:val="24"/>
          <w:szCs w:val="24"/>
          <w:spacing w:val="-3"/>
        </w:rPr>
        <w:t>[2015]4 </w:t>
      </w:r>
      <w:r>
        <w:rPr>
          <w:rFonts w:ascii="SimSun" w:hAnsi="SimSun" w:eastAsia="SimSun" w:cs="SimSun"/>
          <w:sz w:val="24"/>
          <w:szCs w:val="24"/>
          <w:spacing w:val="-3"/>
        </w:rPr>
        <w:t>号，</w:t>
      </w:r>
      <w:r>
        <w:rPr>
          <w:rFonts w:ascii="Times New Roman" w:hAnsi="Times New Roman" w:eastAsia="Times New Roman" w:cs="Times New Roman"/>
          <w:sz w:val="24"/>
          <w:szCs w:val="24"/>
          <w:spacing w:val="-3"/>
        </w:rPr>
        <w:t>2015 </w:t>
      </w:r>
      <w:r>
        <w:rPr>
          <w:rFonts w:ascii="SimSun" w:hAnsi="SimSun" w:eastAsia="SimSun" w:cs="SimSun"/>
          <w:sz w:val="24"/>
          <w:szCs w:val="24"/>
          <w:spacing w:val="-3"/>
        </w:rPr>
        <w:t>年</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月</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8  </w:t>
      </w:r>
      <w:r>
        <w:rPr>
          <w:rFonts w:ascii="SimSun" w:hAnsi="SimSun" w:eastAsia="SimSun" w:cs="SimSun"/>
          <w:sz w:val="24"/>
          <w:szCs w:val="24"/>
          <w:spacing w:val="-3"/>
        </w:rPr>
        <w:t>日</w:t>
      </w:r>
      <w:r>
        <w:rPr>
          <w:rFonts w:ascii="SimSun" w:hAnsi="SimSun" w:eastAsia="SimSun" w:cs="SimSun"/>
          <w:sz w:val="24"/>
          <w:szCs w:val="24"/>
          <w:spacing w:val="-12"/>
        </w:rPr>
        <w:t>）；</w:t>
      </w:r>
    </w:p>
    <w:p>
      <w:pPr>
        <w:ind w:left="14" w:right="56" w:firstLine="486"/>
        <w:spacing w:before="192" w:line="285"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12</w:t>
      </w:r>
      <w:r>
        <w:rPr>
          <w:rFonts w:ascii="SimSun" w:hAnsi="SimSun" w:eastAsia="SimSun" w:cs="SimSun"/>
          <w:sz w:val="24"/>
          <w:szCs w:val="24"/>
          <w:spacing w:val="2"/>
        </w:rPr>
        <w:t>）《关于做好环境影响评价制度与排污许可制衔接相关工作的通知》环</w:t>
      </w:r>
      <w:r>
        <w:rPr>
          <w:rFonts w:ascii="SimSun" w:hAnsi="SimSun" w:eastAsia="SimSun" w:cs="SimSun"/>
          <w:sz w:val="24"/>
          <w:szCs w:val="24"/>
          <w:spacing w:val="13"/>
        </w:rPr>
        <w:t xml:space="preserve"> </w:t>
      </w:r>
      <w:r>
        <w:rPr>
          <w:rFonts w:ascii="SimSun" w:hAnsi="SimSun" w:eastAsia="SimSun" w:cs="SimSun"/>
          <w:sz w:val="24"/>
          <w:szCs w:val="24"/>
          <w:spacing w:val="-3"/>
        </w:rPr>
        <w:t>办环评</w:t>
      </w:r>
      <w:r>
        <w:rPr>
          <w:rFonts w:ascii="Times New Roman" w:hAnsi="Times New Roman" w:eastAsia="Times New Roman" w:cs="Times New Roman"/>
          <w:sz w:val="24"/>
          <w:szCs w:val="24"/>
          <w:spacing w:val="-3"/>
        </w:rPr>
        <w:t>[2017]84</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3"/>
        </w:rPr>
        <w:t>号；</w:t>
      </w:r>
    </w:p>
    <w:p>
      <w:pPr>
        <w:ind w:left="11" w:firstLine="489"/>
        <w:spacing w:before="192" w:line="29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13</w:t>
      </w:r>
      <w:r>
        <w:rPr>
          <w:rFonts w:ascii="SimSun" w:hAnsi="SimSun" w:eastAsia="SimSun" w:cs="SimSun"/>
          <w:sz w:val="24"/>
          <w:szCs w:val="24"/>
          <w:spacing w:val="-1"/>
        </w:rPr>
        <w:t>）《关于加强土壤污染防治项目管理的通知》（环办土壤</w:t>
      </w:r>
      <w:r>
        <w:rPr>
          <w:rFonts w:ascii="Times New Roman" w:hAnsi="Times New Roman" w:eastAsia="Times New Roman" w:cs="Times New Roman"/>
          <w:sz w:val="24"/>
          <w:szCs w:val="24"/>
          <w:spacing w:val="-1"/>
        </w:rPr>
        <w:t>[2020]2</w:t>
      </w: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w:t>
      </w:r>
      <w:r>
        <w:rPr>
          <w:rFonts w:ascii="SimSun" w:hAnsi="SimSun" w:eastAsia="SimSun" w:cs="SimSun"/>
          <w:sz w:val="24"/>
          <w:szCs w:val="24"/>
          <w:spacing w:val="-29"/>
        </w:rPr>
        <w:t>），</w:t>
      </w:r>
      <w:r>
        <w:rPr>
          <w:rFonts w:ascii="SimSun" w:hAnsi="SimSun" w:eastAsia="SimSun" w:cs="SimSun"/>
          <w:sz w:val="24"/>
          <w:szCs w:val="24"/>
        </w:rPr>
        <w:t xml:space="preserve"> </w:t>
      </w:r>
      <w:r>
        <w:rPr>
          <w:rFonts w:ascii="SimSun" w:hAnsi="SimSun" w:eastAsia="SimSun" w:cs="SimSun"/>
          <w:sz w:val="24"/>
          <w:szCs w:val="24"/>
          <w:spacing w:val="-5"/>
        </w:rPr>
        <w:t>生态环境部办公厅</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2020 </w:t>
      </w:r>
      <w:r>
        <w:rPr>
          <w:rFonts w:ascii="SimSun" w:hAnsi="SimSun" w:eastAsia="SimSun" w:cs="SimSun"/>
          <w:sz w:val="24"/>
          <w:szCs w:val="24"/>
          <w:spacing w:val="-5"/>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9</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月</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5"/>
        </w:rPr>
        <w:t>8  </w:t>
      </w:r>
      <w:r>
        <w:rPr>
          <w:rFonts w:ascii="SimSun" w:hAnsi="SimSun" w:eastAsia="SimSun" w:cs="SimSun"/>
          <w:sz w:val="24"/>
          <w:szCs w:val="24"/>
          <w:spacing w:val="-5"/>
        </w:rPr>
        <w:t>日印</w:t>
      </w:r>
      <w:r>
        <w:rPr>
          <w:rFonts w:ascii="SimSun" w:hAnsi="SimSun" w:eastAsia="SimSun" w:cs="SimSun"/>
          <w:sz w:val="24"/>
          <w:szCs w:val="24"/>
          <w:spacing w:val="-6"/>
        </w:rPr>
        <w:t>发；</w:t>
      </w:r>
    </w:p>
    <w:p>
      <w:pPr>
        <w:ind w:left="29" w:right="56" w:firstLine="471"/>
        <w:spacing w:before="180" w:line="285"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14</w:t>
      </w:r>
      <w:r>
        <w:rPr>
          <w:rFonts w:ascii="SimSun" w:hAnsi="SimSun" w:eastAsia="SimSun" w:cs="SimSun"/>
          <w:sz w:val="24"/>
          <w:szCs w:val="24"/>
          <w:spacing w:val="-4"/>
        </w:rPr>
        <w:t>）《关于进一步做好建设项目环境保护</w:t>
      </w:r>
      <w:r>
        <w:rPr>
          <w:rFonts w:ascii="Times New Roman" w:hAnsi="Times New Roman" w:eastAsia="Times New Roman" w:cs="Times New Roman"/>
          <w:sz w:val="24"/>
          <w:szCs w:val="24"/>
          <w:spacing w:val="-4"/>
        </w:rPr>
        <w:t>“</w:t>
      </w:r>
      <w:r>
        <w:rPr>
          <w:rFonts w:ascii="SimSun" w:hAnsi="SimSun" w:eastAsia="SimSun" w:cs="SimSun"/>
          <w:sz w:val="24"/>
          <w:szCs w:val="24"/>
          <w:spacing w:val="-4"/>
        </w:rPr>
        <w:t>三同时</w:t>
      </w:r>
      <w:r>
        <w:rPr>
          <w:rFonts w:ascii="Times New Roman" w:hAnsi="Times New Roman" w:eastAsia="Times New Roman" w:cs="Times New Roman"/>
          <w:sz w:val="24"/>
          <w:szCs w:val="24"/>
          <w:spacing w:val="-4"/>
        </w:rPr>
        <w:t>”</w:t>
      </w:r>
      <w:r>
        <w:rPr>
          <w:rFonts w:ascii="SimSun" w:hAnsi="SimSun" w:eastAsia="SimSun" w:cs="SimSun"/>
          <w:sz w:val="24"/>
          <w:szCs w:val="24"/>
          <w:spacing w:val="-4"/>
        </w:rPr>
        <w:t>及自主验收监督检查工作</w:t>
      </w:r>
      <w:r>
        <w:rPr>
          <w:rFonts w:ascii="SimSun" w:hAnsi="SimSun" w:eastAsia="SimSun" w:cs="SimSun"/>
          <w:sz w:val="24"/>
          <w:szCs w:val="24"/>
          <w:spacing w:val="12"/>
        </w:rPr>
        <w:t xml:space="preserve"> </w:t>
      </w:r>
      <w:r>
        <w:rPr>
          <w:rFonts w:ascii="SimSun" w:hAnsi="SimSun" w:eastAsia="SimSun" w:cs="SimSun"/>
          <w:sz w:val="24"/>
          <w:szCs w:val="24"/>
          <w:spacing w:val="-4"/>
        </w:rPr>
        <w:t>的通知》（环办执法</w:t>
      </w:r>
      <w:r>
        <w:rPr>
          <w:rFonts w:ascii="Times New Roman" w:hAnsi="Times New Roman" w:eastAsia="Times New Roman" w:cs="Times New Roman"/>
          <w:sz w:val="24"/>
          <w:szCs w:val="24"/>
          <w:spacing w:val="-4"/>
        </w:rPr>
        <w:t>[2020]11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号</w:t>
      </w:r>
      <w:r>
        <w:rPr>
          <w:rFonts w:ascii="SimSun" w:hAnsi="SimSun" w:eastAsia="SimSun" w:cs="SimSun"/>
          <w:sz w:val="24"/>
          <w:szCs w:val="24"/>
          <w:spacing w:val="12"/>
        </w:rPr>
        <w:t>），</w:t>
      </w:r>
      <w:r>
        <w:rPr>
          <w:rFonts w:ascii="SimSun" w:hAnsi="SimSun" w:eastAsia="SimSun" w:cs="SimSun"/>
          <w:sz w:val="24"/>
          <w:szCs w:val="24"/>
          <w:spacing w:val="-4"/>
        </w:rPr>
        <w:t>生态环境部办公厅</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2020 </w:t>
      </w:r>
      <w:r>
        <w:rPr>
          <w:rFonts w:ascii="SimSun" w:hAnsi="SimSun" w:eastAsia="SimSun" w:cs="SimSun"/>
          <w:sz w:val="24"/>
          <w:szCs w:val="24"/>
          <w:spacing w:val="-4"/>
        </w:rPr>
        <w:t>年</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28  </w:t>
      </w:r>
      <w:r>
        <w:rPr>
          <w:rFonts w:ascii="SimSun" w:hAnsi="SimSun" w:eastAsia="SimSun" w:cs="SimSun"/>
          <w:sz w:val="24"/>
          <w:szCs w:val="24"/>
          <w:spacing w:val="-4"/>
        </w:rPr>
        <w:t>日印发；</w:t>
      </w:r>
    </w:p>
    <w:p>
      <w:pPr>
        <w:ind w:left="501"/>
        <w:spacing w:before="192"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15</w:t>
      </w:r>
      <w:r>
        <w:rPr>
          <w:rFonts w:ascii="SimSun" w:hAnsi="SimSun" w:eastAsia="SimSun" w:cs="SimSun"/>
          <w:sz w:val="24"/>
          <w:szCs w:val="24"/>
          <w:spacing w:val="1"/>
        </w:rPr>
        <w:t>）《关于印发</w:t>
      </w:r>
      <w:r>
        <w:rPr>
          <w:rFonts w:ascii="Times New Roman" w:hAnsi="Times New Roman" w:eastAsia="Times New Roman" w:cs="Times New Roman"/>
          <w:sz w:val="24"/>
          <w:szCs w:val="24"/>
          <w:spacing w:val="1"/>
        </w:rPr>
        <w:t>&lt;</w:t>
      </w:r>
      <w:r>
        <w:rPr>
          <w:rFonts w:ascii="SimSun" w:hAnsi="SimSun" w:eastAsia="SimSun" w:cs="SimSun"/>
          <w:sz w:val="24"/>
          <w:szCs w:val="24"/>
          <w:spacing w:val="1"/>
        </w:rPr>
        <w:t>重点行业挥发性有机</w:t>
      </w:r>
      <w:r>
        <w:rPr>
          <w:rFonts w:ascii="SimSun" w:hAnsi="SimSun" w:eastAsia="SimSun" w:cs="SimSun"/>
          <w:sz w:val="24"/>
          <w:szCs w:val="24"/>
        </w:rPr>
        <w:t>物综合治理方案</w:t>
      </w:r>
      <w:r>
        <w:rPr>
          <w:rFonts w:ascii="Times New Roman" w:hAnsi="Times New Roman" w:eastAsia="Times New Roman" w:cs="Times New Roman"/>
          <w:sz w:val="24"/>
          <w:szCs w:val="24"/>
        </w:rPr>
        <w:t>&gt;</w:t>
      </w:r>
      <w:r>
        <w:rPr>
          <w:rFonts w:ascii="Times New Roman" w:hAnsi="Times New Roman" w:eastAsia="Times New Roman" w:cs="Times New Roman"/>
          <w:sz w:val="24"/>
          <w:szCs w:val="24"/>
          <w:spacing w:val="-27"/>
        </w:rPr>
        <w:t xml:space="preserve"> </w:t>
      </w:r>
      <w:r>
        <w:rPr>
          <w:rFonts w:ascii="SimSun" w:hAnsi="SimSun" w:eastAsia="SimSun" w:cs="SimSun"/>
          <w:sz w:val="24"/>
          <w:szCs w:val="24"/>
        </w:rPr>
        <w:t>的通知》（环大气</w:t>
      </w:r>
    </w:p>
    <w:p>
      <w:pPr>
        <w:ind w:left="20"/>
        <w:spacing w:before="184" w:line="210" w:lineRule="auto"/>
        <w:rPr>
          <w:rFonts w:ascii="SimSun" w:hAnsi="SimSun" w:eastAsia="SimSun" w:cs="SimSun"/>
          <w:sz w:val="24"/>
          <w:szCs w:val="24"/>
        </w:rPr>
      </w:pPr>
      <w:r>
        <w:rPr>
          <w:rFonts w:ascii="Times New Roman" w:hAnsi="Times New Roman" w:eastAsia="Times New Roman" w:cs="Times New Roman"/>
          <w:sz w:val="24"/>
          <w:szCs w:val="24"/>
          <w:spacing w:val="-4"/>
        </w:rPr>
        <w:t>[2019]53</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4"/>
        </w:rPr>
        <w:t>号</w:t>
      </w:r>
      <w:r>
        <w:rPr>
          <w:rFonts w:ascii="SimSun" w:hAnsi="SimSun" w:eastAsia="SimSun" w:cs="SimSun"/>
          <w:sz w:val="24"/>
          <w:szCs w:val="24"/>
        </w:rPr>
        <w:t>）；</w:t>
      </w:r>
    </w:p>
    <w:p>
      <w:pPr>
        <w:ind w:left="7" w:right="56" w:firstLine="493"/>
        <w:spacing w:before="193" w:line="484" w:lineRule="auto"/>
        <w:rPr>
          <w:rFonts w:ascii="SimSun" w:hAnsi="SimSun" w:eastAsia="SimSun" w:cs="SimSun"/>
          <w:sz w:val="19"/>
          <w:szCs w:val="19"/>
        </w:rPr>
      </w:pPr>
      <w:r>
        <w:pict>
          <v:shape id="_x0000_s126" style="position:absolute;margin-left:159.33pt;margin-top:39.0995pt;mso-position-vertical-relative:text;mso-position-horizontal-relative:text;width:58.85pt;height:13.75pt;z-index:25171968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4"/>
                    </w:rPr>
                    <w:t>任公司</w:t>
                  </w:r>
                  <w:r>
                    <w:rPr>
                      <w:rFonts w:ascii="SimSun" w:hAnsi="SimSun" w:eastAsia="SimSun" w:cs="SimSun"/>
                      <w:sz w:val="19"/>
                      <w:szCs w:val="19"/>
                      <w:spacing w:val="27"/>
                    </w:rPr>
                    <w:t xml:space="preserve">   </w:t>
                  </w:r>
                  <w:r>
                    <w:rPr>
                      <w:rFonts w:ascii="Times New Roman" w:hAnsi="Times New Roman" w:eastAsia="Times New Roman" w:cs="Times New Roman"/>
                      <w:sz w:val="18"/>
                      <w:szCs w:val="18"/>
                      <w:spacing w:val="4"/>
                      <w:position w:val="2"/>
                    </w:rPr>
                    <w:t>23</w:t>
                  </w:r>
                </w:p>
              </w:txbxContent>
            </v:textbox>
          </v:shape>
        </w:pict>
      </w:r>
      <w:r>
        <w:rPr>
          <w:rFonts w:ascii="SimSun" w:hAnsi="SimSun" w:eastAsia="SimSun" w:cs="SimSun"/>
          <w:sz w:val="24"/>
          <w:szCs w:val="24"/>
          <w:spacing w:val="-2"/>
        </w:rPr>
        <w:t>（</w:t>
      </w:r>
      <w:r>
        <w:rPr>
          <w:rFonts w:ascii="Times New Roman" w:hAnsi="Times New Roman" w:eastAsia="Times New Roman" w:cs="Times New Roman"/>
          <w:sz w:val="24"/>
          <w:szCs w:val="24"/>
          <w:spacing w:val="-2"/>
        </w:rPr>
        <w:t>16</w:t>
      </w:r>
      <w:r>
        <w:rPr>
          <w:rFonts w:ascii="SimSun" w:hAnsi="SimSun" w:eastAsia="SimSun" w:cs="SimSun"/>
          <w:sz w:val="24"/>
          <w:szCs w:val="24"/>
          <w:spacing w:val="-2"/>
        </w:rPr>
        <w:t>）《中共中央国务院关于深入打好污染防治攻坚战的意见》，</w:t>
      </w:r>
      <w:r>
        <w:rPr>
          <w:rFonts w:ascii="Times New Roman" w:hAnsi="Times New Roman" w:eastAsia="Times New Roman" w:cs="Times New Roman"/>
          <w:sz w:val="24"/>
          <w:szCs w:val="24"/>
          <w:spacing w:val="-2"/>
        </w:rPr>
        <w:t>2021 </w:t>
      </w:r>
      <w:r>
        <w:rPr>
          <w:rFonts w:ascii="SimSun" w:hAnsi="SimSun" w:eastAsia="SimSun" w:cs="SimSun"/>
          <w:sz w:val="24"/>
          <w:szCs w:val="24"/>
          <w:spacing w:val="-2"/>
        </w:rPr>
        <w:t>年</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2"/>
        </w:rPr>
        <w:t>11</w:t>
      </w:r>
      <w:r>
        <w:rPr>
          <w:rFonts w:ascii="Times New Roman" w:hAnsi="Times New Roman" w:eastAsia="Times New Roman" w:cs="Times New Roman"/>
          <w:sz w:val="24"/>
          <w:szCs w:val="24"/>
        </w:rPr>
        <w:t xml:space="preserve"> </w:t>
      </w:r>
      <w:r>
        <w:rPr>
          <w:rFonts w:ascii="SimSun" w:hAnsi="SimSun" w:eastAsia="SimSun" w:cs="SimSun"/>
          <w:sz w:val="19"/>
          <w:szCs w:val="19"/>
          <w:spacing w:val="9"/>
        </w:rPr>
        <w:t>锡林郭勒盟中安环境技术咨询有限责</w:t>
      </w:r>
    </w:p>
    <w:p>
      <w:pPr>
        <w:spacing w:line="484" w:lineRule="auto"/>
        <w:sectPr>
          <w:headerReference w:type="default" r:id="rId39"/>
          <w:pgSz w:w="11907" w:h="16840"/>
          <w:pgMar w:top="1567" w:right="1645" w:bottom="400" w:left="1701" w:header="1221" w:footer="0" w:gutter="0"/>
        </w:sectPr>
        <w:rPr>
          <w:rFonts w:ascii="SimSun" w:hAnsi="SimSun" w:eastAsia="SimSun" w:cs="SimSun"/>
          <w:sz w:val="19"/>
          <w:szCs w:val="19"/>
        </w:rPr>
      </w:pPr>
    </w:p>
    <w:p>
      <w:pPr>
        <w:ind w:left="15"/>
        <w:spacing w:before="183" w:line="219" w:lineRule="auto"/>
        <w:rPr>
          <w:rFonts w:ascii="SimSun" w:hAnsi="SimSun" w:eastAsia="SimSun" w:cs="SimSun"/>
          <w:sz w:val="24"/>
          <w:szCs w:val="24"/>
        </w:rPr>
      </w:pPr>
      <w:r>
        <w:pict>
          <v:shape id="_x0000_s130" style="position:absolute;margin-left:85.05pt;margin-top:78.87pt;mso-position-vertical-relative:page;mso-position-horizontal-relative:page;width:425.25pt;height:0.75pt;z-index:251722752;" o:allowincell="f" fillcolor="#000000" filled="true" stroked="false" coordsize="8505,15" coordorigin="0,0" path="m,l8505,0l8505,14l0,14l0,0xe"/>
        </w:pict>
      </w:r>
      <w:r>
        <w:rPr>
          <w:rFonts w:ascii="SimSun" w:hAnsi="SimSun" w:eastAsia="SimSun" w:cs="SimSun"/>
          <w:sz w:val="24"/>
          <w:szCs w:val="24"/>
          <w:spacing w:val="-14"/>
        </w:rPr>
        <w:t>月</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4"/>
        </w:rPr>
        <w:t>2  </w:t>
      </w:r>
      <w:r>
        <w:rPr>
          <w:rFonts w:ascii="SimSun" w:hAnsi="SimSun" w:eastAsia="SimSun" w:cs="SimSun"/>
          <w:sz w:val="24"/>
          <w:szCs w:val="24"/>
          <w:spacing w:val="-14"/>
        </w:rPr>
        <w:t>日；</w:t>
      </w:r>
    </w:p>
    <w:p>
      <w:pPr>
        <w:ind w:left="501"/>
        <w:spacing w:before="179"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17</w:t>
      </w:r>
      <w:r>
        <w:rPr>
          <w:rFonts w:ascii="SimSun" w:hAnsi="SimSun" w:eastAsia="SimSun" w:cs="SimSun"/>
          <w:sz w:val="24"/>
          <w:szCs w:val="24"/>
          <w:spacing w:val="-3"/>
        </w:rPr>
        <w:t>）《环境保护综合目录（</w:t>
      </w:r>
      <w:r>
        <w:rPr>
          <w:rFonts w:ascii="Times New Roman" w:hAnsi="Times New Roman" w:eastAsia="Times New Roman" w:cs="Times New Roman"/>
          <w:sz w:val="24"/>
          <w:szCs w:val="24"/>
          <w:spacing w:val="-3"/>
        </w:rPr>
        <w:t>2021 </w:t>
      </w:r>
      <w:r>
        <w:rPr>
          <w:rFonts w:ascii="SimSun" w:hAnsi="SimSun" w:eastAsia="SimSun" w:cs="SimSun"/>
          <w:sz w:val="24"/>
          <w:szCs w:val="24"/>
          <w:spacing w:val="-3"/>
        </w:rPr>
        <w:t>年版）》，</w:t>
      </w:r>
      <w:r>
        <w:rPr>
          <w:rFonts w:ascii="Times New Roman" w:hAnsi="Times New Roman" w:eastAsia="Times New Roman" w:cs="Times New Roman"/>
          <w:sz w:val="24"/>
          <w:szCs w:val="24"/>
          <w:spacing w:val="-3"/>
        </w:rPr>
        <w:t>2021 </w:t>
      </w:r>
      <w:r>
        <w:rPr>
          <w:rFonts w:ascii="SimSun" w:hAnsi="SimSun" w:eastAsia="SimSun" w:cs="SimSun"/>
          <w:sz w:val="24"/>
          <w:szCs w:val="24"/>
          <w:spacing w:val="-3"/>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25  </w:t>
      </w:r>
      <w:r>
        <w:rPr>
          <w:rFonts w:ascii="SimSun" w:hAnsi="SimSun" w:eastAsia="SimSun" w:cs="SimSun"/>
          <w:sz w:val="24"/>
          <w:szCs w:val="24"/>
          <w:spacing w:val="-4"/>
        </w:rPr>
        <w:t>日发布。</w:t>
      </w:r>
    </w:p>
    <w:p>
      <w:pPr>
        <w:pStyle w:val="BodyText"/>
        <w:spacing w:line="249" w:lineRule="auto"/>
        <w:rPr/>
      </w:pPr>
      <w:r/>
    </w:p>
    <w:p>
      <w:pPr>
        <w:ind w:left="6"/>
        <w:spacing w:before="91" w:line="222" w:lineRule="auto"/>
        <w:outlineLvl w:val="2"/>
        <w:rPr>
          <w:rFonts w:ascii="SimHei" w:hAnsi="SimHei" w:eastAsia="SimHei" w:cs="SimHei"/>
          <w:sz w:val="28"/>
          <w:szCs w:val="28"/>
        </w:rPr>
      </w:pPr>
      <w:bookmarkStart w:name="bookmark19" w:id="23"/>
      <w:bookmarkEnd w:id="23"/>
      <w:r>
        <w:rPr>
          <w:rFonts w:ascii="Times New Roman" w:hAnsi="Times New Roman" w:eastAsia="Times New Roman" w:cs="Times New Roman"/>
          <w:sz w:val="28"/>
          <w:szCs w:val="28"/>
          <w:spacing w:val="-1"/>
        </w:rPr>
        <w:t>2.1.4 </w:t>
      </w:r>
      <w:r>
        <w:rPr>
          <w:rFonts w:ascii="SimHei" w:hAnsi="SimHei" w:eastAsia="SimHei" w:cs="SimHei"/>
          <w:sz w:val="28"/>
          <w:szCs w:val="28"/>
          <w:spacing w:val="-1"/>
        </w:rPr>
        <w:t>地方性法规及政策</w:t>
      </w:r>
    </w:p>
    <w:p>
      <w:pPr>
        <w:pStyle w:val="BodyText"/>
        <w:spacing w:line="279" w:lineRule="auto"/>
        <w:rPr/>
      </w:pPr>
      <w:r/>
    </w:p>
    <w:p>
      <w:pPr>
        <w:ind w:left="501"/>
        <w:spacing w:before="79"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1</w:t>
      </w:r>
      <w:r>
        <w:rPr>
          <w:rFonts w:ascii="SimSun" w:hAnsi="SimSun" w:eastAsia="SimSun" w:cs="SimSun"/>
          <w:sz w:val="24"/>
          <w:szCs w:val="24"/>
          <w:spacing w:val="-4"/>
        </w:rPr>
        <w:t>）《内蒙古自治区环境保护条例》（</w:t>
      </w:r>
      <w:r>
        <w:rPr>
          <w:rFonts w:ascii="Times New Roman" w:hAnsi="Times New Roman" w:eastAsia="Times New Roman" w:cs="Times New Roman"/>
          <w:sz w:val="24"/>
          <w:szCs w:val="24"/>
          <w:spacing w:val="-4"/>
        </w:rPr>
        <w:t>2018 </w:t>
      </w:r>
      <w:r>
        <w:rPr>
          <w:rFonts w:ascii="SimSun" w:hAnsi="SimSun" w:eastAsia="SimSun" w:cs="SimSun"/>
          <w:sz w:val="24"/>
          <w:szCs w:val="24"/>
          <w:spacing w:val="-4"/>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月</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6  </w:t>
      </w:r>
      <w:r>
        <w:rPr>
          <w:rFonts w:ascii="SimSun" w:hAnsi="SimSun" w:eastAsia="SimSun" w:cs="SimSun"/>
          <w:sz w:val="24"/>
          <w:szCs w:val="24"/>
          <w:spacing w:val="-4"/>
        </w:rPr>
        <w:t>日，第五次修订</w:t>
      </w:r>
      <w:r>
        <w:rPr>
          <w:rFonts w:ascii="SimSun" w:hAnsi="SimSun" w:eastAsia="SimSun" w:cs="SimSun"/>
          <w:sz w:val="24"/>
          <w:szCs w:val="24"/>
          <w:spacing w:val="6"/>
        </w:rPr>
        <w:t>）；</w:t>
      </w:r>
    </w:p>
    <w:p>
      <w:pPr>
        <w:ind w:left="501"/>
        <w:spacing w:before="183"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2</w:t>
      </w:r>
      <w:r>
        <w:rPr>
          <w:rFonts w:ascii="SimSun" w:hAnsi="SimSun" w:eastAsia="SimSun" w:cs="SimSun"/>
          <w:sz w:val="24"/>
          <w:szCs w:val="24"/>
          <w:spacing w:val="-4"/>
        </w:rPr>
        <w:t>）《内蒙古自治区大气污染防治条例》，</w:t>
      </w:r>
      <w:r>
        <w:rPr>
          <w:rFonts w:ascii="Times New Roman" w:hAnsi="Times New Roman" w:eastAsia="Times New Roman" w:cs="Times New Roman"/>
          <w:sz w:val="24"/>
          <w:szCs w:val="24"/>
          <w:spacing w:val="-4"/>
        </w:rPr>
        <w:t>2019 </w:t>
      </w:r>
      <w:r>
        <w:rPr>
          <w:rFonts w:ascii="SimSun" w:hAnsi="SimSun" w:eastAsia="SimSun" w:cs="SimSun"/>
          <w:sz w:val="24"/>
          <w:szCs w:val="24"/>
          <w:spacing w:val="-4"/>
        </w:rPr>
        <w:t>年</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日起施行；</w:t>
      </w:r>
    </w:p>
    <w:p>
      <w:pPr>
        <w:ind w:left="501"/>
        <w:spacing w:before="183"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3</w:t>
      </w:r>
      <w:r>
        <w:rPr>
          <w:rFonts w:ascii="SimSun" w:hAnsi="SimSun" w:eastAsia="SimSun" w:cs="SimSun"/>
          <w:sz w:val="24"/>
          <w:szCs w:val="24"/>
          <w:spacing w:val="-4"/>
        </w:rPr>
        <w:t>）《内蒙古自治区土壤污染防治条例》，</w:t>
      </w:r>
      <w:r>
        <w:rPr>
          <w:rFonts w:ascii="Times New Roman" w:hAnsi="Times New Roman" w:eastAsia="Times New Roman" w:cs="Times New Roman"/>
          <w:sz w:val="24"/>
          <w:szCs w:val="24"/>
          <w:spacing w:val="-4"/>
        </w:rPr>
        <w:t>2021 </w:t>
      </w:r>
      <w:r>
        <w:rPr>
          <w:rFonts w:ascii="SimSun" w:hAnsi="SimSun" w:eastAsia="SimSun" w:cs="SimSun"/>
          <w:sz w:val="24"/>
          <w:szCs w:val="24"/>
          <w:spacing w:val="-4"/>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日起正式施</w:t>
      </w:r>
      <w:r>
        <w:rPr>
          <w:rFonts w:ascii="SimSun" w:hAnsi="SimSun" w:eastAsia="SimSun" w:cs="SimSun"/>
          <w:sz w:val="24"/>
          <w:szCs w:val="24"/>
          <w:spacing w:val="-5"/>
        </w:rPr>
        <w:t>行；</w:t>
      </w:r>
    </w:p>
    <w:p>
      <w:pPr>
        <w:ind w:left="501"/>
        <w:spacing w:before="181"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4</w:t>
      </w:r>
      <w:r>
        <w:rPr>
          <w:rFonts w:ascii="SimSun" w:hAnsi="SimSun" w:eastAsia="SimSun" w:cs="SimSun"/>
          <w:sz w:val="24"/>
          <w:szCs w:val="24"/>
          <w:spacing w:val="-4"/>
        </w:rPr>
        <w:t>）《内蒙古自治区水污染防治条例》，</w:t>
      </w:r>
      <w:r>
        <w:rPr>
          <w:rFonts w:ascii="Times New Roman" w:hAnsi="Times New Roman" w:eastAsia="Times New Roman" w:cs="Times New Roman"/>
          <w:sz w:val="24"/>
          <w:szCs w:val="24"/>
          <w:spacing w:val="-4"/>
        </w:rPr>
        <w:t>20</w:t>
      </w:r>
      <w:r>
        <w:rPr>
          <w:rFonts w:ascii="Times New Roman" w:hAnsi="Times New Roman" w:eastAsia="Times New Roman" w:cs="Times New Roman"/>
          <w:sz w:val="24"/>
          <w:szCs w:val="24"/>
          <w:spacing w:val="-5"/>
        </w:rPr>
        <w:t>20 </w:t>
      </w:r>
      <w:r>
        <w:rPr>
          <w:rFonts w:ascii="SimSun" w:hAnsi="SimSun" w:eastAsia="SimSun" w:cs="SimSun"/>
          <w:sz w:val="24"/>
          <w:szCs w:val="24"/>
          <w:spacing w:val="-5"/>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  </w:t>
      </w:r>
      <w:r>
        <w:rPr>
          <w:rFonts w:ascii="SimSun" w:hAnsi="SimSun" w:eastAsia="SimSun" w:cs="SimSun"/>
          <w:sz w:val="24"/>
          <w:szCs w:val="24"/>
          <w:spacing w:val="-5"/>
        </w:rPr>
        <w:t>日起实施；</w:t>
      </w:r>
    </w:p>
    <w:p>
      <w:pPr>
        <w:ind w:left="501"/>
        <w:spacing w:before="180"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5</w:t>
      </w:r>
      <w:r>
        <w:rPr>
          <w:rFonts w:ascii="SimSun" w:hAnsi="SimSun" w:eastAsia="SimSun" w:cs="SimSun"/>
          <w:sz w:val="24"/>
          <w:szCs w:val="24"/>
          <w:spacing w:val="-2"/>
        </w:rPr>
        <w:t>）《内蒙古生态功能区划》，</w:t>
      </w:r>
      <w:r>
        <w:rPr>
          <w:rFonts w:ascii="Times New Roman" w:hAnsi="Times New Roman" w:eastAsia="Times New Roman" w:cs="Times New Roman"/>
          <w:sz w:val="24"/>
          <w:szCs w:val="24"/>
          <w:spacing w:val="-2"/>
        </w:rPr>
        <w:t>2003 </w:t>
      </w:r>
      <w:r>
        <w:rPr>
          <w:rFonts w:ascii="SimSun" w:hAnsi="SimSun" w:eastAsia="SimSun" w:cs="SimSun"/>
          <w:sz w:val="24"/>
          <w:szCs w:val="24"/>
          <w:spacing w:val="-2"/>
        </w:rPr>
        <w:t>年</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月发布；</w:t>
      </w:r>
    </w:p>
    <w:p>
      <w:pPr>
        <w:ind w:left="501"/>
        <w:spacing w:before="184" w:line="21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6</w:t>
      </w:r>
      <w:r>
        <w:rPr>
          <w:rFonts w:ascii="SimSun" w:hAnsi="SimSun" w:eastAsia="SimSun" w:cs="SimSun"/>
          <w:sz w:val="24"/>
          <w:szCs w:val="24"/>
          <w:spacing w:val="-1"/>
        </w:rPr>
        <w:t>）《内蒙古自治区地表水环境功能区划》（内政字</w:t>
      </w:r>
      <w:r>
        <w:rPr>
          <w:rFonts w:ascii="Times New Roman" w:hAnsi="Times New Roman" w:eastAsia="Times New Roman" w:cs="Times New Roman"/>
          <w:sz w:val="24"/>
          <w:szCs w:val="24"/>
          <w:spacing w:val="-1"/>
        </w:rPr>
        <w:t>[2010]246 </w:t>
      </w:r>
      <w:r>
        <w:rPr>
          <w:rFonts w:ascii="SimSun" w:hAnsi="SimSun" w:eastAsia="SimSun" w:cs="SimSun"/>
          <w:sz w:val="24"/>
          <w:szCs w:val="24"/>
          <w:spacing w:val="-1"/>
        </w:rPr>
        <w:t>号</w:t>
      </w:r>
      <w:r>
        <w:rPr>
          <w:rFonts w:ascii="SimSun" w:hAnsi="SimSun" w:eastAsia="SimSun" w:cs="SimSun"/>
          <w:sz w:val="24"/>
          <w:szCs w:val="24"/>
          <w:spacing w:val="5"/>
        </w:rPr>
        <w:t>）；</w:t>
      </w:r>
    </w:p>
    <w:p>
      <w:pPr>
        <w:ind w:left="9" w:right="105" w:firstLine="491"/>
        <w:spacing w:before="193" w:line="286"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7</w:t>
      </w:r>
      <w:r>
        <w:rPr>
          <w:rFonts w:ascii="SimSun" w:hAnsi="SimSun" w:eastAsia="SimSun" w:cs="SimSun"/>
          <w:sz w:val="24"/>
          <w:szCs w:val="24"/>
          <w:spacing w:val="-1"/>
        </w:rPr>
        <w:t>）《内蒙古自治区生态环境厅关于加强地下水污染防控工作的</w:t>
      </w:r>
      <w:r>
        <w:rPr>
          <w:rFonts w:ascii="SimSun" w:hAnsi="SimSun" w:eastAsia="SimSun" w:cs="SimSun"/>
          <w:sz w:val="24"/>
          <w:szCs w:val="24"/>
          <w:spacing w:val="-2"/>
        </w:rPr>
        <w:t>通知》（内</w:t>
      </w:r>
      <w:r>
        <w:rPr>
          <w:rFonts w:ascii="SimSun" w:hAnsi="SimSun" w:eastAsia="SimSun" w:cs="SimSun"/>
          <w:sz w:val="24"/>
          <w:szCs w:val="24"/>
        </w:rPr>
        <w:t xml:space="preserve"> </w:t>
      </w:r>
      <w:r>
        <w:rPr>
          <w:rFonts w:ascii="SimSun" w:hAnsi="SimSun" w:eastAsia="SimSun" w:cs="SimSun"/>
          <w:sz w:val="24"/>
          <w:szCs w:val="24"/>
          <w:spacing w:val="-1"/>
        </w:rPr>
        <w:t>环办</w:t>
      </w:r>
      <w:r>
        <w:rPr>
          <w:rFonts w:ascii="Times New Roman" w:hAnsi="Times New Roman" w:eastAsia="Times New Roman" w:cs="Times New Roman"/>
          <w:sz w:val="24"/>
          <w:szCs w:val="24"/>
          <w:spacing w:val="-1"/>
        </w:rPr>
        <w:t>[2021]29 </w:t>
      </w:r>
      <w:r>
        <w:rPr>
          <w:rFonts w:ascii="SimSun" w:hAnsi="SimSun" w:eastAsia="SimSun" w:cs="SimSun"/>
          <w:sz w:val="24"/>
          <w:szCs w:val="24"/>
          <w:spacing w:val="-1"/>
        </w:rPr>
        <w:t>号</w:t>
      </w:r>
      <w:r>
        <w:rPr>
          <w:rFonts w:ascii="SimSun" w:hAnsi="SimSun" w:eastAsia="SimSun" w:cs="SimSun"/>
          <w:sz w:val="24"/>
          <w:szCs w:val="24"/>
        </w:rPr>
        <w:t>）；</w:t>
      </w:r>
    </w:p>
    <w:p>
      <w:pPr>
        <w:ind w:left="21" w:firstLine="480"/>
        <w:spacing w:before="192" w:line="285"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8</w:t>
      </w:r>
      <w:r>
        <w:rPr>
          <w:rFonts w:ascii="SimSun" w:hAnsi="SimSun" w:eastAsia="SimSun" w:cs="SimSun"/>
          <w:sz w:val="24"/>
          <w:szCs w:val="24"/>
          <w:spacing w:val="-5"/>
        </w:rPr>
        <w:t>）《内蒙古自治区生态环境厅关于加强建设用地土壤风险管控工作的通知》</w:t>
      </w:r>
      <w:r>
        <w:rPr>
          <w:rFonts w:ascii="SimSun" w:hAnsi="SimSun" w:eastAsia="SimSun" w:cs="SimSun"/>
          <w:sz w:val="24"/>
          <w:szCs w:val="24"/>
          <w:spacing w:val="2"/>
        </w:rPr>
        <w:t xml:space="preserve"> </w:t>
      </w:r>
      <w:r>
        <w:rPr>
          <w:rFonts w:ascii="SimSun" w:hAnsi="SimSun" w:eastAsia="SimSun" w:cs="SimSun"/>
          <w:sz w:val="24"/>
          <w:szCs w:val="24"/>
          <w:spacing w:val="-2"/>
        </w:rPr>
        <w:t>（内环办</w:t>
      </w:r>
      <w:r>
        <w:rPr>
          <w:rFonts w:ascii="Times New Roman" w:hAnsi="Times New Roman" w:eastAsia="Times New Roman" w:cs="Times New Roman"/>
          <w:sz w:val="24"/>
          <w:szCs w:val="24"/>
          <w:spacing w:val="-2"/>
        </w:rPr>
        <w:t>[2021]19 </w:t>
      </w:r>
      <w:r>
        <w:rPr>
          <w:rFonts w:ascii="SimSun" w:hAnsi="SimSun" w:eastAsia="SimSun" w:cs="SimSun"/>
          <w:sz w:val="24"/>
          <w:szCs w:val="24"/>
          <w:spacing w:val="-2"/>
        </w:rPr>
        <w:t>号</w:t>
      </w:r>
      <w:r>
        <w:rPr>
          <w:rFonts w:ascii="SimSun" w:hAnsi="SimSun" w:eastAsia="SimSun" w:cs="SimSun"/>
          <w:sz w:val="24"/>
          <w:szCs w:val="24"/>
          <w:spacing w:val="2"/>
        </w:rPr>
        <w:t>）；</w:t>
      </w:r>
    </w:p>
    <w:p>
      <w:pPr>
        <w:ind w:left="501"/>
        <w:spacing w:before="193"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9</w:t>
      </w:r>
      <w:r>
        <w:rPr>
          <w:rFonts w:ascii="SimSun" w:hAnsi="SimSun" w:eastAsia="SimSun" w:cs="SimSun"/>
          <w:sz w:val="24"/>
          <w:szCs w:val="24"/>
          <w:spacing w:val="-1"/>
        </w:rPr>
        <w:t>）《内蒙古自治区国家重点生态功能区产业准入负面清单（试行）》；</w:t>
      </w:r>
    </w:p>
    <w:p>
      <w:pPr>
        <w:ind w:left="21" w:firstLine="480"/>
        <w:spacing w:before="181" w:line="285" w:lineRule="auto"/>
        <w:rPr>
          <w:rFonts w:ascii="SimSun" w:hAnsi="SimSun" w:eastAsia="SimSun" w:cs="SimSun"/>
          <w:sz w:val="24"/>
          <w:szCs w:val="24"/>
        </w:rPr>
      </w:pPr>
      <w:r>
        <w:rPr>
          <w:rFonts w:ascii="SimSun" w:hAnsi="SimSun" w:eastAsia="SimSun" w:cs="SimSun"/>
          <w:sz w:val="24"/>
          <w:szCs w:val="24"/>
          <w:spacing w:val="-7"/>
        </w:rPr>
        <w:t>（</w:t>
      </w:r>
      <w:r>
        <w:rPr>
          <w:rFonts w:ascii="Times New Roman" w:hAnsi="Times New Roman" w:eastAsia="Times New Roman" w:cs="Times New Roman"/>
          <w:sz w:val="24"/>
          <w:szCs w:val="24"/>
          <w:spacing w:val="-7"/>
        </w:rPr>
        <w:t>10</w:t>
      </w:r>
      <w:r>
        <w:rPr>
          <w:rFonts w:ascii="SimSun" w:hAnsi="SimSun" w:eastAsia="SimSun" w:cs="SimSun"/>
          <w:sz w:val="24"/>
          <w:szCs w:val="24"/>
          <w:spacing w:val="-7"/>
        </w:rPr>
        <w:t>）《内蒙古自治区人民政府关于实施</w:t>
      </w:r>
      <w:r>
        <w:rPr>
          <w:rFonts w:ascii="Times New Roman" w:hAnsi="Times New Roman" w:eastAsia="Times New Roman" w:cs="Times New Roman"/>
          <w:sz w:val="24"/>
          <w:szCs w:val="24"/>
          <w:spacing w:val="-7"/>
        </w:rPr>
        <w:t>“</w:t>
      </w:r>
      <w:r>
        <w:rPr>
          <w:rFonts w:ascii="SimSun" w:hAnsi="SimSun" w:eastAsia="SimSun" w:cs="SimSun"/>
          <w:sz w:val="24"/>
          <w:szCs w:val="24"/>
          <w:spacing w:val="-7"/>
        </w:rPr>
        <w:t>三线一单</w:t>
      </w:r>
      <w:r>
        <w:rPr>
          <w:rFonts w:ascii="Times New Roman" w:hAnsi="Times New Roman" w:eastAsia="Times New Roman" w:cs="Times New Roman"/>
          <w:sz w:val="24"/>
          <w:szCs w:val="24"/>
          <w:spacing w:val="-7"/>
        </w:rPr>
        <w:t>”</w:t>
      </w:r>
      <w:r>
        <w:rPr>
          <w:rFonts w:ascii="SimSun" w:hAnsi="SimSun" w:eastAsia="SimSun" w:cs="SimSun"/>
          <w:sz w:val="24"/>
          <w:szCs w:val="24"/>
          <w:spacing w:val="-7"/>
        </w:rPr>
        <w:t>生态环境</w:t>
      </w:r>
      <w:r>
        <w:rPr>
          <w:rFonts w:ascii="SimSun" w:hAnsi="SimSun" w:eastAsia="SimSun" w:cs="SimSun"/>
          <w:sz w:val="24"/>
          <w:szCs w:val="24"/>
          <w:spacing w:val="-8"/>
        </w:rPr>
        <w:t>分区管控的意见》</w:t>
      </w:r>
      <w:r>
        <w:rPr>
          <w:rFonts w:ascii="SimSun" w:hAnsi="SimSun" w:eastAsia="SimSun" w:cs="SimSun"/>
          <w:sz w:val="24"/>
          <w:szCs w:val="24"/>
        </w:rPr>
        <w:t xml:space="preserve"> </w:t>
      </w:r>
      <w:r>
        <w:rPr>
          <w:rFonts w:ascii="SimSun" w:hAnsi="SimSun" w:eastAsia="SimSun" w:cs="SimSun"/>
          <w:sz w:val="24"/>
          <w:szCs w:val="24"/>
          <w:spacing w:val="-2"/>
        </w:rPr>
        <w:t>（内政发</w:t>
      </w:r>
      <w:r>
        <w:rPr>
          <w:rFonts w:ascii="Times New Roman" w:hAnsi="Times New Roman" w:eastAsia="Times New Roman" w:cs="Times New Roman"/>
          <w:sz w:val="24"/>
          <w:szCs w:val="24"/>
          <w:spacing w:val="-2"/>
        </w:rPr>
        <w:t>[2020]24 </w:t>
      </w:r>
      <w:r>
        <w:rPr>
          <w:rFonts w:ascii="SimSun" w:hAnsi="SimSun" w:eastAsia="SimSun" w:cs="SimSun"/>
          <w:sz w:val="24"/>
          <w:szCs w:val="24"/>
          <w:spacing w:val="-2"/>
        </w:rPr>
        <w:t>号</w:t>
      </w:r>
      <w:r>
        <w:rPr>
          <w:rFonts w:ascii="SimSun" w:hAnsi="SimSun" w:eastAsia="SimSun" w:cs="SimSun"/>
          <w:sz w:val="24"/>
          <w:szCs w:val="24"/>
          <w:spacing w:val="2"/>
        </w:rPr>
        <w:t>）；</w:t>
      </w:r>
    </w:p>
    <w:p>
      <w:pPr>
        <w:ind w:left="501"/>
        <w:spacing w:before="192"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11</w:t>
      </w:r>
      <w:r>
        <w:rPr>
          <w:rFonts w:ascii="SimSun" w:hAnsi="SimSun" w:eastAsia="SimSun" w:cs="SimSun"/>
          <w:sz w:val="24"/>
          <w:szCs w:val="24"/>
          <w:spacing w:val="-4"/>
        </w:rPr>
        <w:t>）《内蒙古自治区</w:t>
      </w:r>
      <w:r>
        <w:rPr>
          <w:rFonts w:ascii="Times New Roman" w:hAnsi="Times New Roman" w:eastAsia="Times New Roman" w:cs="Times New Roman"/>
          <w:sz w:val="24"/>
          <w:szCs w:val="24"/>
          <w:spacing w:val="-4"/>
        </w:rPr>
        <w:t>“</w:t>
      </w:r>
      <w:r>
        <w:rPr>
          <w:rFonts w:ascii="SimSun" w:hAnsi="SimSun" w:eastAsia="SimSun" w:cs="SimSun"/>
          <w:sz w:val="24"/>
          <w:szCs w:val="24"/>
          <w:spacing w:val="-4"/>
        </w:rPr>
        <w:t>十四五</w:t>
      </w:r>
      <w:r>
        <w:rPr>
          <w:rFonts w:ascii="Times New Roman" w:hAnsi="Times New Roman" w:eastAsia="Times New Roman" w:cs="Times New Roman"/>
          <w:sz w:val="24"/>
          <w:szCs w:val="24"/>
          <w:spacing w:val="-4"/>
        </w:rPr>
        <w:t>”</w:t>
      </w:r>
      <w:r>
        <w:rPr>
          <w:rFonts w:ascii="SimSun" w:hAnsi="SimSun" w:eastAsia="SimSun" w:cs="SimSun"/>
          <w:sz w:val="24"/>
          <w:szCs w:val="24"/>
          <w:spacing w:val="-4"/>
        </w:rPr>
        <w:t>生态环境保护规划》，</w:t>
      </w:r>
      <w:r>
        <w:rPr>
          <w:rFonts w:ascii="Times New Roman" w:hAnsi="Times New Roman" w:eastAsia="Times New Roman" w:cs="Times New Roman"/>
          <w:sz w:val="24"/>
          <w:szCs w:val="24"/>
          <w:spacing w:val="-4"/>
        </w:rPr>
        <w:t>2021 </w:t>
      </w:r>
      <w:r>
        <w:rPr>
          <w:rFonts w:ascii="SimSun" w:hAnsi="SimSun" w:eastAsia="SimSun" w:cs="SimSun"/>
          <w:sz w:val="24"/>
          <w:szCs w:val="24"/>
          <w:spacing w:val="-4"/>
        </w:rPr>
        <w:t>年</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4"/>
        </w:rPr>
        <w:t>10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12  </w:t>
      </w:r>
      <w:r>
        <w:rPr>
          <w:rFonts w:ascii="SimSun" w:hAnsi="SimSun" w:eastAsia="SimSun" w:cs="SimSun"/>
          <w:sz w:val="24"/>
          <w:szCs w:val="24"/>
          <w:spacing w:val="-4"/>
        </w:rPr>
        <w:t>日；</w:t>
      </w:r>
    </w:p>
    <w:p>
      <w:pPr>
        <w:ind w:left="12" w:right="105" w:firstLine="488"/>
        <w:spacing w:before="185" w:line="30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12</w:t>
      </w:r>
      <w:r>
        <w:rPr>
          <w:rFonts w:ascii="SimSun" w:hAnsi="SimSun" w:eastAsia="SimSun" w:cs="SimSun"/>
          <w:sz w:val="24"/>
          <w:szCs w:val="24"/>
          <w:spacing w:val="2"/>
        </w:rPr>
        <w:t>）《内蒙古自治区工业和信息化厅发展改革委应急管理厅生态环境厅关</w:t>
      </w:r>
      <w:r>
        <w:rPr>
          <w:rFonts w:ascii="SimSun" w:hAnsi="SimSun" w:eastAsia="SimSun" w:cs="SimSun"/>
          <w:sz w:val="24"/>
          <w:szCs w:val="24"/>
          <w:spacing w:val="13"/>
        </w:rPr>
        <w:t xml:space="preserve"> </w:t>
      </w:r>
      <w:r>
        <w:rPr>
          <w:rFonts w:ascii="SimSun" w:hAnsi="SimSun" w:eastAsia="SimSun" w:cs="SimSun"/>
          <w:sz w:val="24"/>
          <w:szCs w:val="24"/>
          <w:spacing w:val="3"/>
        </w:rPr>
        <w:t>于印发内蒙古自治区进一步规范化工行业项</w:t>
      </w:r>
      <w:r>
        <w:rPr>
          <w:rFonts w:ascii="SimSun" w:hAnsi="SimSun" w:eastAsia="SimSun" w:cs="SimSun"/>
          <w:sz w:val="24"/>
          <w:szCs w:val="24"/>
          <w:spacing w:val="2"/>
        </w:rPr>
        <w:t>目建设若干规定的通知》（内工信原</w:t>
      </w:r>
      <w:r>
        <w:rPr>
          <w:rFonts w:ascii="SimSun" w:hAnsi="SimSun" w:eastAsia="SimSun" w:cs="SimSun"/>
          <w:sz w:val="24"/>
          <w:szCs w:val="24"/>
        </w:rPr>
        <w:t xml:space="preserve"> </w:t>
      </w:r>
      <w:r>
        <w:rPr>
          <w:rFonts w:ascii="SimSun" w:hAnsi="SimSun" w:eastAsia="SimSun" w:cs="SimSun"/>
          <w:sz w:val="24"/>
          <w:szCs w:val="24"/>
          <w:spacing w:val="-2"/>
        </w:rPr>
        <w:t>工字</w:t>
      </w:r>
      <w:r>
        <w:rPr>
          <w:rFonts w:ascii="Times New Roman" w:hAnsi="Times New Roman" w:eastAsia="Times New Roman" w:cs="Times New Roman"/>
          <w:sz w:val="24"/>
          <w:szCs w:val="24"/>
          <w:spacing w:val="-2"/>
        </w:rPr>
        <w:t>[2019]269 </w:t>
      </w:r>
      <w:r>
        <w:rPr>
          <w:rFonts w:ascii="SimSun" w:hAnsi="SimSun" w:eastAsia="SimSun" w:cs="SimSun"/>
          <w:sz w:val="24"/>
          <w:szCs w:val="24"/>
          <w:spacing w:val="-2"/>
        </w:rPr>
        <w:t>号</w:t>
      </w:r>
      <w:r>
        <w:rPr>
          <w:rFonts w:ascii="SimSun" w:hAnsi="SimSun" w:eastAsia="SimSun" w:cs="SimSun"/>
          <w:sz w:val="24"/>
          <w:szCs w:val="24"/>
          <w:spacing w:val="5"/>
        </w:rPr>
        <w:t>）；</w:t>
      </w:r>
    </w:p>
    <w:p>
      <w:pPr>
        <w:ind w:left="12" w:right="103" w:firstLine="488"/>
        <w:spacing w:before="193" w:line="286"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13</w:t>
      </w:r>
      <w:r>
        <w:rPr>
          <w:rFonts w:ascii="SimSun" w:hAnsi="SimSun" w:eastAsia="SimSun" w:cs="SimSun"/>
          <w:sz w:val="24"/>
          <w:szCs w:val="24"/>
          <w:spacing w:val="2"/>
        </w:rPr>
        <w:t>）《内蒙古自治区工业和信息化厅 发展和改革委员会印发</w:t>
      </w:r>
      <w:r>
        <w:rPr>
          <w:rFonts w:ascii="Times New Roman" w:hAnsi="Times New Roman" w:eastAsia="Times New Roman" w:cs="Times New Roman"/>
          <w:sz w:val="24"/>
          <w:szCs w:val="24"/>
          <w:spacing w:val="2"/>
        </w:rPr>
        <w:t>&lt;</w:t>
      </w:r>
      <w:r>
        <w:rPr>
          <w:rFonts w:ascii="SimSun" w:hAnsi="SimSun" w:eastAsia="SimSun" w:cs="SimSun"/>
          <w:sz w:val="24"/>
          <w:szCs w:val="24"/>
          <w:spacing w:val="2"/>
        </w:rPr>
        <w:t>关于提</w:t>
      </w:r>
      <w:r>
        <w:rPr>
          <w:rFonts w:ascii="SimSun" w:hAnsi="SimSun" w:eastAsia="SimSun" w:cs="SimSun"/>
          <w:sz w:val="24"/>
          <w:szCs w:val="24"/>
          <w:spacing w:val="1"/>
        </w:rPr>
        <w:t>高部</w:t>
      </w:r>
      <w:r>
        <w:rPr>
          <w:rFonts w:ascii="SimSun" w:hAnsi="SimSun" w:eastAsia="SimSun" w:cs="SimSun"/>
          <w:sz w:val="24"/>
          <w:szCs w:val="24"/>
        </w:rPr>
        <w:t xml:space="preserve"> </w:t>
      </w:r>
      <w:r>
        <w:rPr>
          <w:rFonts w:ascii="SimSun" w:hAnsi="SimSun" w:eastAsia="SimSun" w:cs="SimSun"/>
          <w:sz w:val="24"/>
          <w:szCs w:val="24"/>
          <w:spacing w:val="-2"/>
        </w:rPr>
        <w:t>分行业建设项目准入条件规定</w:t>
      </w:r>
      <w:r>
        <w:rPr>
          <w:rFonts w:ascii="Times New Roman" w:hAnsi="Times New Roman" w:eastAsia="Times New Roman" w:cs="Times New Roman"/>
          <w:sz w:val="24"/>
          <w:szCs w:val="24"/>
          <w:spacing w:val="-2"/>
        </w:rPr>
        <w:t>&gt;</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的通知》（内工信原工字</w:t>
      </w:r>
      <w:r>
        <w:rPr>
          <w:rFonts w:ascii="Times New Roman" w:hAnsi="Times New Roman" w:eastAsia="Times New Roman" w:cs="Times New Roman"/>
          <w:sz w:val="24"/>
          <w:szCs w:val="24"/>
          <w:spacing w:val="-2"/>
        </w:rPr>
        <w:t>[2019]454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号</w:t>
      </w:r>
      <w:r>
        <w:rPr>
          <w:rFonts w:ascii="SimSun" w:hAnsi="SimSun" w:eastAsia="SimSun" w:cs="SimSun"/>
          <w:sz w:val="24"/>
          <w:szCs w:val="24"/>
          <w:spacing w:val="6"/>
        </w:rPr>
        <w:t>）；</w:t>
      </w:r>
    </w:p>
    <w:p>
      <w:pPr>
        <w:ind w:left="9" w:right="105" w:firstLine="491"/>
        <w:spacing w:before="194" w:line="30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14</w:t>
      </w:r>
      <w:r>
        <w:rPr>
          <w:rFonts w:ascii="SimSun" w:hAnsi="SimSun" w:eastAsia="SimSun" w:cs="SimSun"/>
          <w:sz w:val="24"/>
          <w:szCs w:val="24"/>
          <w:spacing w:val="2"/>
        </w:rPr>
        <w:t>）《锡林郭勒盟生态环境保护委员会办公室关于印发锡林郭勒盟“三线</w:t>
      </w:r>
      <w:r>
        <w:rPr>
          <w:rFonts w:ascii="SimSun" w:hAnsi="SimSun" w:eastAsia="SimSun" w:cs="SimSun"/>
          <w:sz w:val="24"/>
          <w:szCs w:val="24"/>
          <w:spacing w:val="13"/>
        </w:rPr>
        <w:t xml:space="preserve"> </w:t>
      </w:r>
      <w:r>
        <w:rPr>
          <w:rFonts w:ascii="SimSun" w:hAnsi="SimSun" w:eastAsia="SimSun" w:cs="SimSun"/>
          <w:sz w:val="24"/>
          <w:szCs w:val="24"/>
          <w:spacing w:val="-5"/>
        </w:rPr>
        <w:t>一单</w:t>
      </w:r>
      <w:r>
        <w:rPr>
          <w:rFonts w:ascii="SimSun" w:hAnsi="SimSun" w:eastAsia="SimSun" w:cs="SimSun"/>
          <w:sz w:val="24"/>
          <w:szCs w:val="24"/>
          <w:spacing w:val="-88"/>
        </w:rPr>
        <w:t xml:space="preserve"> </w:t>
      </w:r>
      <w:r>
        <w:rPr>
          <w:rFonts w:ascii="SimSun" w:hAnsi="SimSun" w:eastAsia="SimSun" w:cs="SimSun"/>
          <w:sz w:val="24"/>
          <w:szCs w:val="24"/>
          <w:spacing w:val="-5"/>
        </w:rPr>
        <w:t>”生态环境分区管控意见修改单和锡林郭勒盟生态环境准入清单的通知》（锡</w:t>
      </w:r>
      <w:r>
        <w:rPr>
          <w:rFonts w:ascii="SimSun" w:hAnsi="SimSun" w:eastAsia="SimSun" w:cs="SimSun"/>
          <w:sz w:val="24"/>
          <w:szCs w:val="24"/>
        </w:rPr>
        <w:t xml:space="preserve"> </w:t>
      </w:r>
      <w:r>
        <w:rPr>
          <w:rFonts w:ascii="SimSun" w:hAnsi="SimSun" w:eastAsia="SimSun" w:cs="SimSun"/>
          <w:sz w:val="24"/>
          <w:szCs w:val="24"/>
          <w:spacing w:val="-2"/>
        </w:rPr>
        <w:t>环委办发</w:t>
      </w:r>
      <w:r>
        <w:rPr>
          <w:rFonts w:ascii="Times New Roman" w:hAnsi="Times New Roman" w:eastAsia="Times New Roman" w:cs="Times New Roman"/>
          <w:sz w:val="24"/>
          <w:szCs w:val="24"/>
          <w:spacing w:val="-2"/>
        </w:rPr>
        <w:t>[2024]1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号）。</w:t>
      </w:r>
    </w:p>
    <w:p>
      <w:pPr>
        <w:pStyle w:val="BodyText"/>
        <w:spacing w:line="260" w:lineRule="auto"/>
        <w:rPr/>
      </w:pPr>
      <w:r/>
    </w:p>
    <w:p>
      <w:pPr>
        <w:ind w:left="6"/>
        <w:spacing w:before="91" w:line="222" w:lineRule="auto"/>
        <w:outlineLvl w:val="2"/>
        <w:rPr>
          <w:rFonts w:ascii="SimHei" w:hAnsi="SimHei" w:eastAsia="SimHei" w:cs="SimHei"/>
          <w:sz w:val="28"/>
          <w:szCs w:val="28"/>
        </w:rPr>
      </w:pPr>
      <w:bookmarkStart w:name="bookmark20" w:id="24"/>
      <w:bookmarkEnd w:id="24"/>
      <w:r>
        <w:rPr>
          <w:rFonts w:ascii="Times New Roman" w:hAnsi="Times New Roman" w:eastAsia="Times New Roman" w:cs="Times New Roman"/>
          <w:sz w:val="28"/>
          <w:szCs w:val="28"/>
          <w:spacing w:val="-1"/>
        </w:rPr>
        <w:t>2.1.5 </w:t>
      </w:r>
      <w:r>
        <w:rPr>
          <w:rFonts w:ascii="SimHei" w:hAnsi="SimHei" w:eastAsia="SimHei" w:cs="SimHei"/>
          <w:sz w:val="28"/>
          <w:szCs w:val="28"/>
          <w:spacing w:val="-1"/>
        </w:rPr>
        <w:t>编制技术依据</w:t>
      </w:r>
    </w:p>
    <w:p>
      <w:pPr>
        <w:pStyle w:val="BodyText"/>
        <w:spacing w:line="279" w:lineRule="auto"/>
        <w:rPr/>
      </w:pPr>
      <w:r/>
    </w:p>
    <w:p>
      <w:pPr>
        <w:ind w:left="501"/>
        <w:spacing w:before="79" w:line="21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）《建设项目环境影响评价技术导则 总纲》（</w:t>
      </w:r>
      <w:r>
        <w:rPr>
          <w:rFonts w:ascii="Times New Roman" w:hAnsi="Times New Roman" w:eastAsia="Times New Roman" w:cs="Times New Roman"/>
          <w:sz w:val="24"/>
          <w:szCs w:val="24"/>
          <w:spacing w:val="-2"/>
        </w:rPr>
        <w:t>HJ 2.</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2"/>
        </w:rPr>
        <w:t>1-2016</w:t>
      </w:r>
      <w:r>
        <w:rPr>
          <w:rFonts w:ascii="SimSun" w:hAnsi="SimSun" w:eastAsia="SimSun" w:cs="SimSun"/>
          <w:sz w:val="24"/>
          <w:szCs w:val="24"/>
          <w:spacing w:val="8"/>
        </w:rPr>
        <w:t>）；</w:t>
      </w:r>
    </w:p>
    <w:p>
      <w:pPr>
        <w:pStyle w:val="BodyText"/>
        <w:spacing w:line="343" w:lineRule="auto"/>
        <w:rPr/>
      </w:pPr>
      <w:r/>
    </w:p>
    <w:p>
      <w:pPr>
        <w:ind w:left="5312"/>
        <w:spacing w:before="62" w:line="227" w:lineRule="auto"/>
        <w:rPr>
          <w:rFonts w:ascii="SimSun" w:hAnsi="SimSun" w:eastAsia="SimSun" w:cs="SimSun"/>
          <w:sz w:val="19"/>
          <w:szCs w:val="19"/>
        </w:rPr>
      </w:pPr>
      <w:r>
        <w:pict>
          <v:shape id="_x0000_s132" style="position:absolute;margin-left:207.298pt;margin-top:2.12023pt;mso-position-vertical-relative:text;mso-position-horizontal-relative:text;width:58.95pt;height:13.75pt;z-index:251721728;"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4"/>
                      <w:position w:val="2"/>
                    </w:rPr>
                    <w:t>24</w:t>
                  </w:r>
                  <w:r>
                    <w:rPr>
                      <w:rFonts w:ascii="Times New Roman" w:hAnsi="Times New Roman" w:eastAsia="Times New Roman" w:cs="Times New Roman"/>
                      <w:sz w:val="18"/>
                      <w:szCs w:val="18"/>
                      <w:spacing w:val="1"/>
                      <w:position w:val="2"/>
                    </w:rPr>
                    <w:t xml:space="preserve">        </w:t>
                  </w:r>
                  <w:r>
                    <w:rPr>
                      <w:rFonts w:ascii="SimSun" w:hAnsi="SimSun" w:eastAsia="SimSun" w:cs="SimSun"/>
                      <w:sz w:val="19"/>
                      <w:szCs w:val="19"/>
                      <w:spacing w:val="4"/>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40"/>
          <w:pgSz w:w="11907" w:h="16840"/>
          <w:pgMar w:top="1567" w:right="1596" w:bottom="400" w:left="1701" w:header="1221" w:footer="0" w:gutter="0"/>
        </w:sectPr>
        <w:rPr>
          <w:rFonts w:ascii="SimSun" w:hAnsi="SimSun" w:eastAsia="SimSun" w:cs="SimSun"/>
          <w:sz w:val="19"/>
          <w:szCs w:val="19"/>
        </w:rPr>
      </w:pPr>
    </w:p>
    <w:p>
      <w:pPr>
        <w:ind w:left="501"/>
        <w:spacing w:before="187" w:line="218" w:lineRule="auto"/>
        <w:rPr>
          <w:rFonts w:ascii="SimSun" w:hAnsi="SimSun" w:eastAsia="SimSun" w:cs="SimSun"/>
          <w:sz w:val="24"/>
          <w:szCs w:val="24"/>
        </w:rPr>
      </w:pPr>
      <w:r>
        <w:pict>
          <v:shape id="_x0000_s134" style="position:absolute;margin-left:85.05pt;margin-top:79.11pt;mso-position-vertical-relative:page;mso-position-horizontal-relative:page;width:425.25pt;height:0.75pt;z-index:251724800;" o:allowincell="f" fillcolor="#000000" filled="true" stroked="false" coordsize="8505,15" coordorigin="0,0" path="m,l8505,0l8505,14l0,14l0,0xe"/>
        </w:pict>
      </w: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）《环境影响评价技术导则 大气环境》（</w:t>
      </w:r>
      <w:r>
        <w:rPr>
          <w:rFonts w:ascii="Times New Roman" w:hAnsi="Times New Roman" w:eastAsia="Times New Roman" w:cs="Times New Roman"/>
          <w:sz w:val="24"/>
          <w:szCs w:val="24"/>
          <w:spacing w:val="-1"/>
        </w:rPr>
        <w:t>HJ 2.2-2018</w:t>
      </w:r>
      <w:r>
        <w:rPr>
          <w:rFonts w:ascii="SimSun" w:hAnsi="SimSun" w:eastAsia="SimSun" w:cs="SimSun"/>
          <w:sz w:val="24"/>
          <w:szCs w:val="24"/>
          <w:spacing w:val="4"/>
        </w:rPr>
        <w:t>）；</w:t>
      </w:r>
    </w:p>
    <w:p>
      <w:pPr>
        <w:ind w:left="501"/>
        <w:spacing w:before="182"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）《环境影响评价技术导则 地表水环境》（</w:t>
      </w:r>
      <w:r>
        <w:rPr>
          <w:rFonts w:ascii="Times New Roman" w:hAnsi="Times New Roman" w:eastAsia="Times New Roman" w:cs="Times New Roman"/>
          <w:sz w:val="24"/>
          <w:szCs w:val="24"/>
          <w:spacing w:val="-1"/>
        </w:rPr>
        <w:t>HJ 2.3-2018</w:t>
      </w:r>
      <w:r>
        <w:rPr>
          <w:rFonts w:ascii="SimSun" w:hAnsi="SimSun" w:eastAsia="SimSun" w:cs="SimSun"/>
          <w:sz w:val="24"/>
          <w:szCs w:val="24"/>
          <w:spacing w:val="5"/>
        </w:rPr>
        <w:t>）；</w:t>
      </w:r>
    </w:p>
    <w:p>
      <w:pPr>
        <w:ind w:left="501"/>
        <w:spacing w:before="182"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）《环境影响评价技术导则 地下水环境》（</w:t>
      </w:r>
      <w:r>
        <w:rPr>
          <w:rFonts w:ascii="Times New Roman" w:hAnsi="Times New Roman" w:eastAsia="Times New Roman" w:cs="Times New Roman"/>
          <w:sz w:val="24"/>
          <w:szCs w:val="24"/>
          <w:spacing w:val="-1"/>
        </w:rPr>
        <w:t>HJ 610-2016</w:t>
      </w:r>
      <w:r>
        <w:rPr>
          <w:rFonts w:ascii="SimSun" w:hAnsi="SimSun" w:eastAsia="SimSun" w:cs="SimSun"/>
          <w:sz w:val="24"/>
          <w:szCs w:val="24"/>
          <w:spacing w:val="5"/>
        </w:rPr>
        <w:t>）；</w:t>
      </w:r>
    </w:p>
    <w:p>
      <w:pPr>
        <w:ind w:left="501"/>
        <w:spacing w:before="184"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）《环境影响评价技术导则 声环境》（</w:t>
      </w:r>
      <w:r>
        <w:rPr>
          <w:rFonts w:ascii="Times New Roman" w:hAnsi="Times New Roman" w:eastAsia="Times New Roman" w:cs="Times New Roman"/>
          <w:sz w:val="24"/>
          <w:szCs w:val="24"/>
          <w:spacing w:val="-1"/>
        </w:rPr>
        <w:t>HJ 2.4-2021</w:t>
      </w:r>
      <w:r>
        <w:rPr>
          <w:rFonts w:ascii="SimSun" w:hAnsi="SimSun" w:eastAsia="SimSun" w:cs="SimSun"/>
          <w:sz w:val="24"/>
          <w:szCs w:val="24"/>
          <w:spacing w:val="4"/>
        </w:rPr>
        <w:t>）；</w:t>
      </w:r>
    </w:p>
    <w:p>
      <w:pPr>
        <w:ind w:left="501"/>
        <w:spacing w:before="184" w:line="21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6</w:t>
      </w:r>
      <w:r>
        <w:rPr>
          <w:rFonts w:ascii="SimSun" w:hAnsi="SimSun" w:eastAsia="SimSun" w:cs="SimSun"/>
          <w:sz w:val="24"/>
          <w:szCs w:val="24"/>
          <w:spacing w:val="-2"/>
        </w:rPr>
        <w:t>）《环境影响评价技术导则 生态影响》（</w:t>
      </w:r>
      <w:r>
        <w:rPr>
          <w:rFonts w:ascii="Times New Roman" w:hAnsi="Times New Roman" w:eastAsia="Times New Roman" w:cs="Times New Roman"/>
          <w:sz w:val="24"/>
          <w:szCs w:val="24"/>
          <w:spacing w:val="-2"/>
        </w:rPr>
        <w:t>HJ</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2"/>
        </w:rPr>
        <w:t>19-2022</w:t>
      </w:r>
      <w:r>
        <w:rPr>
          <w:rFonts w:ascii="SimSun" w:hAnsi="SimSun" w:eastAsia="SimSun" w:cs="SimSun"/>
          <w:sz w:val="24"/>
          <w:szCs w:val="24"/>
          <w:spacing w:val="4"/>
        </w:rPr>
        <w:t>）；</w:t>
      </w:r>
    </w:p>
    <w:p>
      <w:pPr>
        <w:ind w:left="501"/>
        <w:spacing w:before="182"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7</w:t>
      </w:r>
      <w:r>
        <w:rPr>
          <w:rFonts w:ascii="SimSun" w:hAnsi="SimSun" w:eastAsia="SimSun" w:cs="SimSun"/>
          <w:sz w:val="24"/>
          <w:szCs w:val="24"/>
          <w:spacing w:val="-1"/>
        </w:rPr>
        <w:t>）《环境影响评价技术导则 土壤环境（试行）》（</w:t>
      </w:r>
      <w:r>
        <w:rPr>
          <w:rFonts w:ascii="Times New Roman" w:hAnsi="Times New Roman" w:eastAsia="Times New Roman" w:cs="Times New Roman"/>
          <w:sz w:val="24"/>
          <w:szCs w:val="24"/>
          <w:spacing w:val="-1"/>
        </w:rPr>
        <w:t>HJ 964-2018</w:t>
      </w:r>
      <w:r>
        <w:rPr>
          <w:rFonts w:ascii="SimSun" w:hAnsi="SimSun" w:eastAsia="SimSun" w:cs="SimSun"/>
          <w:sz w:val="24"/>
          <w:szCs w:val="24"/>
          <w:spacing w:val="6"/>
        </w:rPr>
        <w:t>）；</w:t>
      </w:r>
    </w:p>
    <w:p>
      <w:pPr>
        <w:ind w:left="501"/>
        <w:spacing w:before="185" w:line="21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8</w:t>
      </w:r>
      <w:r>
        <w:rPr>
          <w:rFonts w:ascii="SimSun" w:hAnsi="SimSun" w:eastAsia="SimSun" w:cs="SimSun"/>
          <w:sz w:val="24"/>
          <w:szCs w:val="24"/>
          <w:spacing w:val="-2"/>
        </w:rPr>
        <w:t>）《建设项目环境风险评价技术导则》（</w:t>
      </w:r>
      <w:r>
        <w:rPr>
          <w:rFonts w:ascii="Times New Roman" w:hAnsi="Times New Roman" w:eastAsia="Times New Roman" w:cs="Times New Roman"/>
          <w:sz w:val="24"/>
          <w:szCs w:val="24"/>
          <w:spacing w:val="-2"/>
        </w:rPr>
        <w:t>HJ</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2"/>
        </w:rPr>
        <w:t>169-2018</w:t>
      </w:r>
      <w:r>
        <w:rPr>
          <w:rFonts w:ascii="SimSun" w:hAnsi="SimSun" w:eastAsia="SimSun" w:cs="SimSun"/>
          <w:sz w:val="24"/>
          <w:szCs w:val="24"/>
          <w:spacing w:val="4"/>
        </w:rPr>
        <w:t>）；</w:t>
      </w:r>
    </w:p>
    <w:p>
      <w:pPr>
        <w:ind w:left="501"/>
        <w:spacing w:before="182"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9</w:t>
      </w:r>
      <w:r>
        <w:rPr>
          <w:rFonts w:ascii="SimSun" w:hAnsi="SimSun" w:eastAsia="SimSun" w:cs="SimSun"/>
          <w:sz w:val="24"/>
          <w:szCs w:val="24"/>
          <w:spacing w:val="-1"/>
        </w:rPr>
        <w:t>）《纺织染整工业废水治理工程技术规范》（</w:t>
      </w:r>
      <w:r>
        <w:rPr>
          <w:rFonts w:ascii="Times New Roman" w:hAnsi="Times New Roman" w:eastAsia="Times New Roman" w:cs="Times New Roman"/>
          <w:sz w:val="24"/>
          <w:szCs w:val="24"/>
          <w:spacing w:val="-1"/>
        </w:rPr>
        <w:t>HJ 471-2020</w:t>
      </w:r>
      <w:r>
        <w:rPr>
          <w:rFonts w:ascii="SimSun" w:hAnsi="SimSun" w:eastAsia="SimSun" w:cs="SimSun"/>
          <w:sz w:val="24"/>
          <w:szCs w:val="24"/>
          <w:spacing w:val="5"/>
        </w:rPr>
        <w:t>）；</w:t>
      </w:r>
    </w:p>
    <w:p>
      <w:pPr>
        <w:ind w:left="501"/>
        <w:spacing w:before="184"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10</w:t>
      </w:r>
      <w:r>
        <w:rPr>
          <w:rFonts w:ascii="SimSun" w:hAnsi="SimSun" w:eastAsia="SimSun" w:cs="SimSun"/>
          <w:sz w:val="24"/>
          <w:szCs w:val="24"/>
          <w:spacing w:val="-1"/>
        </w:rPr>
        <w:t>）《排污单位自行监测技术指南 总则》（</w:t>
      </w:r>
      <w:r>
        <w:rPr>
          <w:rFonts w:ascii="Times New Roman" w:hAnsi="Times New Roman" w:eastAsia="Times New Roman" w:cs="Times New Roman"/>
          <w:sz w:val="24"/>
          <w:szCs w:val="24"/>
          <w:spacing w:val="-1"/>
        </w:rPr>
        <w:t>HJ819-2017</w:t>
      </w:r>
      <w:r>
        <w:rPr>
          <w:rFonts w:ascii="SimSun" w:hAnsi="SimSun" w:eastAsia="SimSun" w:cs="SimSun"/>
          <w:sz w:val="24"/>
          <w:szCs w:val="24"/>
          <w:spacing w:val="4"/>
        </w:rPr>
        <w:t>）；</w:t>
      </w:r>
    </w:p>
    <w:p>
      <w:pPr>
        <w:ind w:left="501"/>
        <w:spacing w:before="181"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11</w:t>
      </w:r>
      <w:r>
        <w:rPr>
          <w:rFonts w:ascii="SimSun" w:hAnsi="SimSun" w:eastAsia="SimSun" w:cs="SimSun"/>
          <w:sz w:val="24"/>
          <w:szCs w:val="24"/>
          <w:spacing w:val="-1"/>
        </w:rPr>
        <w:t>）《排污单位自行监测技术指南 纺织印染工业》（</w:t>
      </w:r>
      <w:r>
        <w:rPr>
          <w:rFonts w:ascii="Times New Roman" w:hAnsi="Times New Roman" w:eastAsia="Times New Roman" w:cs="Times New Roman"/>
          <w:sz w:val="24"/>
          <w:szCs w:val="24"/>
          <w:spacing w:val="-1"/>
        </w:rPr>
        <w:t>HJ</w:t>
      </w:r>
      <w:r>
        <w:rPr>
          <w:rFonts w:ascii="Times New Roman" w:hAnsi="Times New Roman" w:eastAsia="Times New Roman" w:cs="Times New Roman"/>
          <w:sz w:val="24"/>
          <w:szCs w:val="24"/>
          <w:spacing w:val="15"/>
        </w:rPr>
        <w:t xml:space="preserve"> </w:t>
      </w:r>
      <w:r>
        <w:rPr>
          <w:rFonts w:ascii="Times New Roman" w:hAnsi="Times New Roman" w:eastAsia="Times New Roman" w:cs="Times New Roman"/>
          <w:sz w:val="24"/>
          <w:szCs w:val="24"/>
          <w:spacing w:val="-1"/>
        </w:rPr>
        <w:t>879-20</w:t>
      </w:r>
      <w:r>
        <w:rPr>
          <w:rFonts w:ascii="Times New Roman" w:hAnsi="Times New Roman" w:eastAsia="Times New Roman" w:cs="Times New Roman"/>
          <w:sz w:val="24"/>
          <w:szCs w:val="24"/>
          <w:spacing w:val="-2"/>
        </w:rPr>
        <w:t>17</w:t>
      </w:r>
      <w:r>
        <w:rPr>
          <w:rFonts w:ascii="SimSun" w:hAnsi="SimSun" w:eastAsia="SimSun" w:cs="SimSun"/>
          <w:sz w:val="24"/>
          <w:szCs w:val="24"/>
        </w:rPr>
        <w:t>）；</w:t>
      </w:r>
    </w:p>
    <w:p>
      <w:pPr>
        <w:ind w:left="501"/>
        <w:spacing w:before="183"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12</w:t>
      </w:r>
      <w:r>
        <w:rPr>
          <w:rFonts w:ascii="SimSun" w:hAnsi="SimSun" w:eastAsia="SimSun" w:cs="SimSun"/>
          <w:sz w:val="24"/>
          <w:szCs w:val="24"/>
          <w:spacing w:val="-1"/>
        </w:rPr>
        <w:t>）《污染源源强核算技术指南 准则》（</w:t>
      </w:r>
      <w:r>
        <w:rPr>
          <w:rFonts w:ascii="Times New Roman" w:hAnsi="Times New Roman" w:eastAsia="Times New Roman" w:cs="Times New Roman"/>
          <w:sz w:val="24"/>
          <w:szCs w:val="24"/>
          <w:spacing w:val="-1"/>
        </w:rPr>
        <w:t>HJ</w:t>
      </w:r>
      <w:r>
        <w:rPr>
          <w:rFonts w:ascii="Times New Roman" w:hAnsi="Times New Roman" w:eastAsia="Times New Roman" w:cs="Times New Roman"/>
          <w:sz w:val="24"/>
          <w:szCs w:val="24"/>
          <w:spacing w:val="15"/>
        </w:rPr>
        <w:t xml:space="preserve"> </w:t>
      </w:r>
      <w:r>
        <w:rPr>
          <w:rFonts w:ascii="Times New Roman" w:hAnsi="Times New Roman" w:eastAsia="Times New Roman" w:cs="Times New Roman"/>
          <w:sz w:val="24"/>
          <w:szCs w:val="24"/>
          <w:spacing w:val="-1"/>
        </w:rPr>
        <w:t>8</w:t>
      </w:r>
      <w:r>
        <w:rPr>
          <w:rFonts w:ascii="Times New Roman" w:hAnsi="Times New Roman" w:eastAsia="Times New Roman" w:cs="Times New Roman"/>
          <w:sz w:val="24"/>
          <w:szCs w:val="24"/>
          <w:spacing w:val="-2"/>
        </w:rPr>
        <w:t>84-2018</w:t>
      </w:r>
      <w:r>
        <w:rPr>
          <w:rFonts w:ascii="SimSun" w:hAnsi="SimSun" w:eastAsia="SimSun" w:cs="SimSun"/>
          <w:sz w:val="24"/>
          <w:szCs w:val="24"/>
        </w:rPr>
        <w:t>）；</w:t>
      </w:r>
    </w:p>
    <w:p>
      <w:pPr>
        <w:ind w:left="501"/>
        <w:spacing w:before="181"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13</w:t>
      </w:r>
      <w:r>
        <w:rPr>
          <w:rFonts w:ascii="SimSun" w:hAnsi="SimSun" w:eastAsia="SimSun" w:cs="SimSun"/>
          <w:sz w:val="24"/>
          <w:szCs w:val="24"/>
          <w:spacing w:val="-1"/>
        </w:rPr>
        <w:t>）《污染源源强核算技术指南 纺织印染工业》（</w:t>
      </w:r>
      <w:r>
        <w:rPr>
          <w:rFonts w:ascii="Times New Roman" w:hAnsi="Times New Roman" w:eastAsia="Times New Roman" w:cs="Times New Roman"/>
          <w:sz w:val="24"/>
          <w:szCs w:val="24"/>
          <w:spacing w:val="-1"/>
        </w:rPr>
        <w:t>HJ 990-2018</w:t>
      </w:r>
      <w:r>
        <w:rPr>
          <w:rFonts w:ascii="SimSun" w:hAnsi="SimSun" w:eastAsia="SimSun" w:cs="SimSun"/>
          <w:sz w:val="24"/>
          <w:szCs w:val="24"/>
          <w:spacing w:val="6"/>
        </w:rPr>
        <w:t>）；</w:t>
      </w:r>
    </w:p>
    <w:p>
      <w:pPr>
        <w:ind w:left="501"/>
        <w:spacing w:before="183"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14</w:t>
      </w:r>
      <w:r>
        <w:rPr>
          <w:rFonts w:ascii="SimSun" w:hAnsi="SimSun" w:eastAsia="SimSun" w:cs="SimSun"/>
          <w:sz w:val="24"/>
          <w:szCs w:val="24"/>
          <w:spacing w:val="-1"/>
        </w:rPr>
        <w:t>）《排污许可证申请与核发技术规范》（</w:t>
      </w:r>
      <w:r>
        <w:rPr>
          <w:rFonts w:ascii="Times New Roman" w:hAnsi="Times New Roman" w:eastAsia="Times New Roman" w:cs="Times New Roman"/>
          <w:sz w:val="24"/>
          <w:szCs w:val="24"/>
          <w:spacing w:val="-1"/>
        </w:rPr>
        <w:t>HJ 942-2018</w:t>
      </w:r>
      <w:r>
        <w:rPr>
          <w:rFonts w:ascii="SimSun" w:hAnsi="SimSun" w:eastAsia="SimSun" w:cs="SimSun"/>
          <w:sz w:val="24"/>
          <w:szCs w:val="24"/>
          <w:spacing w:val="4"/>
        </w:rPr>
        <w:t>）；</w:t>
      </w:r>
    </w:p>
    <w:p>
      <w:pPr>
        <w:ind w:right="17"/>
        <w:spacing w:before="181" w:line="219" w:lineRule="auto"/>
        <w:jc w:val="right"/>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15</w:t>
      </w:r>
      <w:r>
        <w:rPr>
          <w:rFonts w:ascii="SimSun" w:hAnsi="SimSun" w:eastAsia="SimSun" w:cs="SimSun"/>
          <w:sz w:val="24"/>
          <w:szCs w:val="24"/>
          <w:spacing w:val="-1"/>
        </w:rPr>
        <w:t>）《排污许可证申请与核发技术规范 纺织印染工业》（</w:t>
      </w:r>
      <w:r>
        <w:rPr>
          <w:rFonts w:ascii="Times New Roman" w:hAnsi="Times New Roman" w:eastAsia="Times New Roman" w:cs="Times New Roman"/>
          <w:sz w:val="24"/>
          <w:szCs w:val="24"/>
          <w:spacing w:val="-1"/>
        </w:rPr>
        <w:t>HJ</w:t>
      </w:r>
      <w:r>
        <w:rPr>
          <w:rFonts w:ascii="Times New Roman" w:hAnsi="Times New Roman" w:eastAsia="Times New Roman" w:cs="Times New Roman"/>
          <w:sz w:val="24"/>
          <w:szCs w:val="24"/>
          <w:spacing w:val="15"/>
        </w:rPr>
        <w:t xml:space="preserve"> </w:t>
      </w:r>
      <w:r>
        <w:rPr>
          <w:rFonts w:ascii="Times New Roman" w:hAnsi="Times New Roman" w:eastAsia="Times New Roman" w:cs="Times New Roman"/>
          <w:sz w:val="24"/>
          <w:szCs w:val="24"/>
          <w:spacing w:val="-1"/>
        </w:rPr>
        <w:t>861-2017</w:t>
      </w:r>
      <w:r>
        <w:rPr>
          <w:rFonts w:ascii="SimSun" w:hAnsi="SimSun" w:eastAsia="SimSun" w:cs="SimSun"/>
          <w:sz w:val="24"/>
          <w:szCs w:val="24"/>
        </w:rPr>
        <w:t>）；</w:t>
      </w:r>
    </w:p>
    <w:p>
      <w:pPr>
        <w:ind w:left="501"/>
        <w:spacing w:before="183"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16</w:t>
      </w:r>
      <w:r>
        <w:rPr>
          <w:rFonts w:ascii="SimSun" w:hAnsi="SimSun" w:eastAsia="SimSun" w:cs="SimSun"/>
          <w:sz w:val="24"/>
          <w:szCs w:val="24"/>
          <w:spacing w:val="-1"/>
        </w:rPr>
        <w:t>）《建设项目危险废物环境影响评价指南》（公告</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201</w:t>
      </w:r>
      <w:r>
        <w:rPr>
          <w:rFonts w:ascii="Times New Roman" w:hAnsi="Times New Roman" w:eastAsia="Times New Roman" w:cs="Times New Roman"/>
          <w:sz w:val="24"/>
          <w:szCs w:val="24"/>
          <w:spacing w:val="-2"/>
        </w:rPr>
        <w:t>7 </w:t>
      </w:r>
      <w:r>
        <w:rPr>
          <w:rFonts w:ascii="SimSun" w:hAnsi="SimSun" w:eastAsia="SimSun" w:cs="SimSun"/>
          <w:sz w:val="24"/>
          <w:szCs w:val="24"/>
          <w:spacing w:val="-2"/>
        </w:rPr>
        <w:t>年第</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w:t>
      </w:r>
    </w:p>
    <w:p>
      <w:pPr>
        <w:pStyle w:val="BodyText"/>
        <w:spacing w:line="254" w:lineRule="auto"/>
        <w:rPr/>
      </w:pPr>
      <w:r/>
    </w:p>
    <w:p>
      <w:pPr>
        <w:ind w:left="6"/>
        <w:spacing w:before="91" w:line="222" w:lineRule="auto"/>
        <w:outlineLvl w:val="2"/>
        <w:rPr>
          <w:rFonts w:ascii="SimHei" w:hAnsi="SimHei" w:eastAsia="SimHei" w:cs="SimHei"/>
          <w:sz w:val="28"/>
          <w:szCs w:val="28"/>
        </w:rPr>
      </w:pPr>
      <w:bookmarkStart w:name="bookmark21" w:id="25"/>
      <w:bookmarkEnd w:id="25"/>
      <w:r>
        <w:rPr>
          <w:rFonts w:ascii="Times New Roman" w:hAnsi="Times New Roman" w:eastAsia="Times New Roman" w:cs="Times New Roman"/>
          <w:sz w:val="28"/>
          <w:szCs w:val="28"/>
          <w:spacing w:val="-1"/>
        </w:rPr>
        <w:t>2.1.6 </w:t>
      </w:r>
      <w:r>
        <w:rPr>
          <w:rFonts w:ascii="SimHei" w:hAnsi="SimHei" w:eastAsia="SimHei" w:cs="SimHei"/>
          <w:sz w:val="28"/>
          <w:szCs w:val="28"/>
          <w:spacing w:val="-1"/>
        </w:rPr>
        <w:t>相关技术资料</w:t>
      </w:r>
    </w:p>
    <w:p>
      <w:pPr>
        <w:pStyle w:val="BodyText"/>
        <w:spacing w:line="275" w:lineRule="auto"/>
        <w:rPr/>
      </w:pPr>
      <w:r/>
    </w:p>
    <w:p>
      <w:pPr>
        <w:ind w:left="15" w:right="78" w:firstLine="485"/>
        <w:spacing w:before="79" w:line="28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1</w:t>
      </w:r>
      <w:r>
        <w:rPr>
          <w:rFonts w:ascii="SimSun" w:hAnsi="SimSun" w:eastAsia="SimSun" w:cs="SimSun"/>
          <w:sz w:val="24"/>
          <w:szCs w:val="24"/>
          <w:spacing w:val="4"/>
        </w:rPr>
        <w:t>）</w:t>
      </w:r>
      <w:r>
        <w:rPr>
          <w:rFonts w:ascii="SimSun" w:hAnsi="SimSun" w:eastAsia="SimSun" w:cs="SimSun"/>
          <w:sz w:val="24"/>
          <w:szCs w:val="24"/>
          <w:spacing w:val="-49"/>
        </w:rPr>
        <w:t xml:space="preserve"> </w:t>
      </w:r>
      <w:r>
        <w:rPr>
          <w:rFonts w:ascii="SimSun" w:hAnsi="SimSun" w:eastAsia="SimSun" w:cs="SimSun"/>
          <w:sz w:val="24"/>
          <w:szCs w:val="24"/>
          <w:spacing w:val="4"/>
        </w:rPr>
        <w:t>内蒙古源浩羊绒制品有限公司废弃物高效循环利用项目可行性研究报</w:t>
      </w:r>
      <w:r>
        <w:rPr>
          <w:rFonts w:ascii="SimSun" w:hAnsi="SimSun" w:eastAsia="SimSun" w:cs="SimSun"/>
          <w:sz w:val="24"/>
          <w:szCs w:val="24"/>
        </w:rPr>
        <w:t xml:space="preserve"> </w:t>
      </w:r>
      <w:r>
        <w:rPr>
          <w:rFonts w:ascii="SimSun" w:hAnsi="SimSun" w:eastAsia="SimSun" w:cs="SimSun"/>
          <w:sz w:val="24"/>
          <w:szCs w:val="24"/>
          <w:spacing w:val="-2"/>
        </w:rPr>
        <w:t>告》，内蒙古源浩羊绒制品有限公司，</w:t>
      </w:r>
      <w:r>
        <w:rPr>
          <w:rFonts w:ascii="Times New Roman" w:hAnsi="Times New Roman" w:eastAsia="Times New Roman" w:cs="Times New Roman"/>
          <w:sz w:val="24"/>
          <w:szCs w:val="24"/>
          <w:spacing w:val="-2"/>
        </w:rPr>
        <w:t>2024</w:t>
      </w:r>
      <w:r>
        <w:rPr>
          <w:rFonts w:ascii="Times New Roman" w:hAnsi="Times New Roman" w:eastAsia="Times New Roman" w:cs="Times New Roman"/>
          <w:sz w:val="24"/>
          <w:szCs w:val="24"/>
          <w:spacing w:val="-3"/>
        </w:rPr>
        <w:t xml:space="preserve"> </w:t>
      </w:r>
      <w:r>
        <w:rPr>
          <w:rFonts w:ascii="SimSun" w:hAnsi="SimSun" w:eastAsia="SimSun" w:cs="SimSun"/>
          <w:sz w:val="24"/>
          <w:szCs w:val="24"/>
          <w:spacing w:val="-3"/>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月；</w:t>
      </w:r>
    </w:p>
    <w:p>
      <w:pPr>
        <w:ind w:left="501"/>
        <w:spacing w:before="182"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）建设单位提供的与建设项目相关数据、文件及图件等。</w:t>
      </w:r>
    </w:p>
    <w:p>
      <w:pPr>
        <w:pStyle w:val="BodyText"/>
        <w:spacing w:line="248" w:lineRule="auto"/>
        <w:rPr/>
      </w:pPr>
      <w:r/>
    </w:p>
    <w:p>
      <w:pPr>
        <w:ind w:left="6"/>
        <w:spacing w:before="98" w:line="222" w:lineRule="auto"/>
        <w:outlineLvl w:val="1"/>
        <w:rPr>
          <w:rFonts w:ascii="SimHei" w:hAnsi="SimHei" w:eastAsia="SimHei" w:cs="SimHei"/>
          <w:sz w:val="30"/>
          <w:szCs w:val="30"/>
        </w:rPr>
      </w:pPr>
      <w:bookmarkStart w:name="bookmark22" w:id="26"/>
      <w:bookmarkEnd w:id="26"/>
      <w:r>
        <w:rPr>
          <w:rFonts w:ascii="Times New Roman" w:hAnsi="Times New Roman" w:eastAsia="Times New Roman" w:cs="Times New Roman"/>
          <w:sz w:val="30"/>
          <w:szCs w:val="30"/>
          <w:spacing w:val="-1"/>
        </w:rPr>
        <w:t>2.2 </w:t>
      </w:r>
      <w:r>
        <w:rPr>
          <w:rFonts w:ascii="SimHei" w:hAnsi="SimHei" w:eastAsia="SimHei" w:cs="SimHei"/>
          <w:sz w:val="30"/>
          <w:szCs w:val="30"/>
          <w:spacing w:val="-1"/>
        </w:rPr>
        <w:t>评价目的及指导思想</w:t>
      </w:r>
    </w:p>
    <w:p>
      <w:pPr>
        <w:pStyle w:val="BodyText"/>
        <w:spacing w:line="283" w:lineRule="auto"/>
        <w:rPr/>
      </w:pPr>
      <w:r/>
    </w:p>
    <w:p>
      <w:pPr>
        <w:ind w:left="6"/>
        <w:spacing w:before="91" w:line="222" w:lineRule="auto"/>
        <w:outlineLvl w:val="2"/>
        <w:rPr>
          <w:rFonts w:ascii="SimHei" w:hAnsi="SimHei" w:eastAsia="SimHei" w:cs="SimHei"/>
          <w:sz w:val="28"/>
          <w:szCs w:val="28"/>
        </w:rPr>
      </w:pPr>
      <w:bookmarkStart w:name="bookmark23" w:id="27"/>
      <w:bookmarkEnd w:id="27"/>
      <w:r>
        <w:rPr>
          <w:rFonts w:ascii="Times New Roman" w:hAnsi="Times New Roman" w:eastAsia="Times New Roman" w:cs="Times New Roman"/>
          <w:sz w:val="28"/>
          <w:szCs w:val="28"/>
          <w:spacing w:val="-1"/>
        </w:rPr>
        <w:t>2.2.1 </w:t>
      </w:r>
      <w:r>
        <w:rPr>
          <w:rFonts w:ascii="SimHei" w:hAnsi="SimHei" w:eastAsia="SimHei" w:cs="SimHei"/>
          <w:sz w:val="28"/>
          <w:szCs w:val="28"/>
          <w:spacing w:val="-1"/>
        </w:rPr>
        <w:t>评价目的</w:t>
      </w:r>
    </w:p>
    <w:p>
      <w:pPr>
        <w:pStyle w:val="BodyText"/>
        <w:spacing w:line="280" w:lineRule="auto"/>
        <w:rPr/>
      </w:pPr>
      <w:r/>
    </w:p>
    <w:p>
      <w:pPr>
        <w:ind w:left="10" w:firstLine="490"/>
        <w:spacing w:before="79" w:line="32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）从本项目的生产工艺、生产规模、环保设施、厂址选择及污</w:t>
      </w:r>
      <w:r>
        <w:rPr>
          <w:rFonts w:ascii="SimSun" w:hAnsi="SimSun" w:eastAsia="SimSun" w:cs="SimSun"/>
          <w:sz w:val="24"/>
          <w:szCs w:val="24"/>
          <w:spacing w:val="-2"/>
        </w:rPr>
        <w:t>染物排放控</w:t>
      </w:r>
      <w:r>
        <w:rPr>
          <w:rFonts w:ascii="SimSun" w:hAnsi="SimSun" w:eastAsia="SimSun" w:cs="SimSun"/>
          <w:sz w:val="24"/>
          <w:szCs w:val="24"/>
        </w:rPr>
        <w:t xml:space="preserve"> </w:t>
      </w:r>
      <w:r>
        <w:rPr>
          <w:rFonts w:ascii="SimSun" w:hAnsi="SimSun" w:eastAsia="SimSun" w:cs="SimSun"/>
          <w:sz w:val="24"/>
          <w:szCs w:val="24"/>
          <w:spacing w:val="-2"/>
        </w:rPr>
        <w:t>制等方面进行分析，并对照国家、自治区相关产业政策，以及当地环境质量底线、</w:t>
      </w:r>
      <w:r>
        <w:rPr>
          <w:rFonts w:ascii="SimSun" w:hAnsi="SimSun" w:eastAsia="SimSun" w:cs="SimSun"/>
          <w:sz w:val="24"/>
          <w:szCs w:val="24"/>
          <w:spacing w:val="4"/>
        </w:rPr>
        <w:t xml:space="preserve"> </w:t>
      </w:r>
      <w:r>
        <w:rPr>
          <w:rFonts w:ascii="SimSun" w:hAnsi="SimSun" w:eastAsia="SimSun" w:cs="SimSun"/>
          <w:sz w:val="24"/>
          <w:szCs w:val="24"/>
          <w:spacing w:val="3"/>
        </w:rPr>
        <w:t>资源利用上线、生态保护红线及环境准入清单，明确回答本项目是否符合国家、</w:t>
      </w:r>
      <w:r>
        <w:rPr>
          <w:rFonts w:ascii="SimSun" w:hAnsi="SimSun" w:eastAsia="SimSun" w:cs="SimSun"/>
          <w:sz w:val="24"/>
          <w:szCs w:val="24"/>
          <w:spacing w:val="15"/>
        </w:rPr>
        <w:t xml:space="preserve"> </w:t>
      </w:r>
      <w:r>
        <w:rPr>
          <w:rFonts w:ascii="SimSun" w:hAnsi="SimSun" w:eastAsia="SimSun" w:cs="SimSun"/>
          <w:sz w:val="24"/>
          <w:szCs w:val="24"/>
          <w:spacing w:val="-1"/>
        </w:rPr>
        <w:t>自治区及当地相关产业政策的要求。</w:t>
      </w:r>
    </w:p>
    <w:p>
      <w:pPr>
        <w:ind w:left="501"/>
        <w:spacing w:before="180"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）通过实地调查，搞清项目所处地区环境特征、环境现状以及</w:t>
      </w:r>
      <w:r>
        <w:rPr>
          <w:rFonts w:ascii="SimSun" w:hAnsi="SimSun" w:eastAsia="SimSun" w:cs="SimSun"/>
          <w:sz w:val="24"/>
          <w:szCs w:val="24"/>
          <w:spacing w:val="-2"/>
        </w:rPr>
        <w:t>污染源分布</w:t>
      </w:r>
    </w:p>
    <w:p>
      <w:pPr>
        <w:pStyle w:val="BodyText"/>
        <w:spacing w:line="265" w:lineRule="auto"/>
        <w:rPr/>
      </w:pPr>
      <w:r/>
    </w:p>
    <w:p>
      <w:pPr>
        <w:pStyle w:val="BodyText"/>
        <w:spacing w:line="266" w:lineRule="auto"/>
        <w:rPr/>
      </w:pPr>
      <w:r/>
    </w:p>
    <w:p>
      <w:pPr>
        <w:ind w:left="7"/>
        <w:spacing w:before="62" w:line="227" w:lineRule="auto"/>
        <w:rPr>
          <w:rFonts w:ascii="SimSun" w:hAnsi="SimSun" w:eastAsia="SimSun" w:cs="SimSun"/>
          <w:sz w:val="19"/>
          <w:szCs w:val="19"/>
        </w:rPr>
      </w:pPr>
      <w:r>
        <w:pict>
          <v:shape id="_x0000_s136" style="position:absolute;margin-left:159.33pt;margin-top:2.09642pt;mso-position-vertical-relative:text;mso-position-horizontal-relative:text;width:58.85pt;height:13.75pt;z-index:25172377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4"/>
                    </w:rPr>
                    <w:t>任公司</w:t>
                  </w:r>
                  <w:r>
                    <w:rPr>
                      <w:rFonts w:ascii="SimSun" w:hAnsi="SimSun" w:eastAsia="SimSun" w:cs="SimSun"/>
                      <w:sz w:val="19"/>
                      <w:szCs w:val="19"/>
                      <w:spacing w:val="27"/>
                    </w:rPr>
                    <w:t xml:space="preserve">   </w:t>
                  </w:r>
                  <w:r>
                    <w:rPr>
                      <w:rFonts w:ascii="Times New Roman" w:hAnsi="Times New Roman" w:eastAsia="Times New Roman" w:cs="Times New Roman"/>
                      <w:sz w:val="18"/>
                      <w:szCs w:val="18"/>
                      <w:spacing w:val="4"/>
                      <w:position w:val="2"/>
                    </w:rPr>
                    <w:t>25</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1"/>
          <w:pgSz w:w="11907" w:h="16840"/>
          <w:pgMar w:top="1567" w:right="1621" w:bottom="400" w:left="1701" w:header="1221" w:footer="0" w:gutter="0"/>
        </w:sectPr>
        <w:rPr>
          <w:rFonts w:ascii="SimSun" w:hAnsi="SimSun" w:eastAsia="SimSun" w:cs="SimSun"/>
          <w:sz w:val="19"/>
          <w:szCs w:val="19"/>
        </w:rPr>
      </w:pPr>
    </w:p>
    <w:p>
      <w:pPr>
        <w:ind w:left="12" w:right="78" w:hanging="3"/>
        <w:spacing w:before="183" w:line="358" w:lineRule="auto"/>
        <w:rPr>
          <w:rFonts w:ascii="SimSun" w:hAnsi="SimSun" w:eastAsia="SimSun" w:cs="SimSun"/>
          <w:sz w:val="24"/>
          <w:szCs w:val="24"/>
        </w:rPr>
      </w:pPr>
      <w:r>
        <w:pict>
          <v:shape id="_x0000_s138" style="position:absolute;margin-left:85.05pt;margin-top:78.87pt;mso-position-vertical-relative:page;mso-position-horizontal-relative:page;width:425.25pt;height:0.75pt;z-index:251726848;" o:allowincell="f" fillcolor="#000000" filled="true" stroked="false" coordsize="8505,15" coordorigin="0,0" path="m,l8505,0l8505,14l0,14l0,0xe"/>
        </w:pict>
      </w:r>
      <w:r>
        <w:rPr>
          <w:rFonts w:ascii="SimSun" w:hAnsi="SimSun" w:eastAsia="SimSun" w:cs="SimSun"/>
          <w:sz w:val="24"/>
          <w:szCs w:val="24"/>
          <w:spacing w:val="3"/>
        </w:rPr>
        <w:t>状况和特征，结合工程排污特点、环境保护措施和污染</w:t>
      </w:r>
      <w:r>
        <w:rPr>
          <w:rFonts w:ascii="SimSun" w:hAnsi="SimSun" w:eastAsia="SimSun" w:cs="SimSun"/>
          <w:sz w:val="24"/>
          <w:szCs w:val="24"/>
          <w:spacing w:val="2"/>
        </w:rPr>
        <w:t>物排放状况，回答工程建</w:t>
      </w:r>
      <w:r>
        <w:rPr>
          <w:rFonts w:ascii="SimSun" w:hAnsi="SimSun" w:eastAsia="SimSun" w:cs="SimSun"/>
          <w:sz w:val="24"/>
          <w:szCs w:val="24"/>
        </w:rPr>
        <w:t xml:space="preserve"> </w:t>
      </w:r>
      <w:r>
        <w:rPr>
          <w:rFonts w:ascii="SimSun" w:hAnsi="SimSun" w:eastAsia="SimSun" w:cs="SimSun"/>
          <w:sz w:val="24"/>
          <w:szCs w:val="24"/>
          <w:spacing w:val="-1"/>
        </w:rPr>
        <w:t>设污染物排放是否超出环境质量底线，分析对当地环境质量的影响程度。</w:t>
      </w:r>
    </w:p>
    <w:p>
      <w:pPr>
        <w:ind w:left="12" w:right="80" w:firstLine="488"/>
        <w:spacing w:before="3" w:line="312"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）本次评价将根据产业政策、评价区环境质量底线要求、生态</w:t>
      </w:r>
      <w:r>
        <w:rPr>
          <w:rFonts w:ascii="SimSun" w:hAnsi="SimSun" w:eastAsia="SimSun" w:cs="SimSun"/>
          <w:sz w:val="24"/>
          <w:szCs w:val="24"/>
          <w:spacing w:val="-2"/>
        </w:rPr>
        <w:t>保护红线、</w:t>
      </w:r>
      <w:r>
        <w:rPr>
          <w:rFonts w:ascii="SimSun" w:hAnsi="SimSun" w:eastAsia="SimSun" w:cs="SimSun"/>
          <w:sz w:val="24"/>
          <w:szCs w:val="24"/>
        </w:rPr>
        <w:t xml:space="preserve"> </w:t>
      </w:r>
      <w:r>
        <w:rPr>
          <w:rFonts w:ascii="SimSun" w:hAnsi="SimSun" w:eastAsia="SimSun" w:cs="SimSun"/>
          <w:sz w:val="24"/>
          <w:szCs w:val="24"/>
          <w:spacing w:val="3"/>
        </w:rPr>
        <w:t>区域城市建设和规划管理部门要求等情况进</w:t>
      </w:r>
      <w:r>
        <w:rPr>
          <w:rFonts w:ascii="SimSun" w:hAnsi="SimSun" w:eastAsia="SimSun" w:cs="SimSun"/>
          <w:sz w:val="24"/>
          <w:szCs w:val="24"/>
          <w:spacing w:val="2"/>
        </w:rPr>
        <w:t>行综合分析，明确回答厂址选择可行</w:t>
      </w:r>
      <w:r>
        <w:rPr>
          <w:rFonts w:ascii="SimSun" w:hAnsi="SimSun" w:eastAsia="SimSun" w:cs="SimSun"/>
          <w:sz w:val="24"/>
          <w:szCs w:val="24"/>
        </w:rPr>
        <w:t xml:space="preserve"> </w:t>
      </w:r>
      <w:r>
        <w:rPr>
          <w:rFonts w:ascii="SimSun" w:hAnsi="SimSun" w:eastAsia="SimSun" w:cs="SimSun"/>
          <w:sz w:val="24"/>
          <w:szCs w:val="24"/>
          <w:spacing w:val="-7"/>
        </w:rPr>
        <w:t>性。</w:t>
      </w:r>
    </w:p>
    <w:p>
      <w:pPr>
        <w:ind w:left="12" w:right="80" w:firstLine="488"/>
        <w:spacing w:before="181" w:line="28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）根据企业对当地公众进行调查结果，了解公众对项目的支持</w:t>
      </w:r>
      <w:r>
        <w:rPr>
          <w:rFonts w:ascii="SimSun" w:hAnsi="SimSun" w:eastAsia="SimSun" w:cs="SimSun"/>
          <w:sz w:val="24"/>
          <w:szCs w:val="24"/>
          <w:spacing w:val="-2"/>
        </w:rPr>
        <w:t>程度，从而</w:t>
      </w:r>
      <w:r>
        <w:rPr>
          <w:rFonts w:ascii="SimSun" w:hAnsi="SimSun" w:eastAsia="SimSun" w:cs="SimSun"/>
          <w:sz w:val="24"/>
          <w:szCs w:val="24"/>
        </w:rPr>
        <w:t xml:space="preserve"> </w:t>
      </w:r>
      <w:r>
        <w:rPr>
          <w:rFonts w:ascii="SimSun" w:hAnsi="SimSun" w:eastAsia="SimSun" w:cs="SimSun"/>
          <w:sz w:val="24"/>
          <w:szCs w:val="24"/>
          <w:spacing w:val="-1"/>
        </w:rPr>
        <w:t>从公众参与的角度为环保主管部门提出管理依据。</w:t>
      </w:r>
    </w:p>
    <w:p>
      <w:pPr>
        <w:ind w:left="9" w:firstLine="491"/>
        <w:spacing w:before="182" w:line="324" w:lineRule="auto"/>
        <w:rPr>
          <w:rFonts w:ascii="SimSun" w:hAnsi="SimSun" w:eastAsia="SimSun" w:cs="SimSun"/>
          <w:sz w:val="24"/>
          <w:szCs w:val="24"/>
        </w:rPr>
      </w:pPr>
      <w:r>
        <w:rPr>
          <w:rFonts w:ascii="SimSun" w:hAnsi="SimSun" w:eastAsia="SimSun" w:cs="SimSun"/>
          <w:sz w:val="24"/>
          <w:szCs w:val="24"/>
          <w:spacing w:val="-6"/>
        </w:rPr>
        <w:t>（</w:t>
      </w:r>
      <w:r>
        <w:rPr>
          <w:rFonts w:ascii="Times New Roman" w:hAnsi="Times New Roman" w:eastAsia="Times New Roman" w:cs="Times New Roman"/>
          <w:sz w:val="24"/>
          <w:szCs w:val="24"/>
          <w:spacing w:val="-6"/>
        </w:rPr>
        <w:t>5</w:t>
      </w:r>
      <w:r>
        <w:rPr>
          <w:rFonts w:ascii="SimSun" w:hAnsi="SimSun" w:eastAsia="SimSun" w:cs="SimSun"/>
          <w:sz w:val="24"/>
          <w:szCs w:val="24"/>
          <w:spacing w:val="-6"/>
        </w:rPr>
        <w:t>）综合产业政策、当地社会经济发展规划、环境质量底线、生态保护红线、</w:t>
      </w:r>
      <w:r>
        <w:rPr>
          <w:rFonts w:ascii="SimSun" w:hAnsi="SimSun" w:eastAsia="SimSun" w:cs="SimSun"/>
          <w:sz w:val="24"/>
          <w:szCs w:val="24"/>
          <w:spacing w:val="11"/>
        </w:rPr>
        <w:t xml:space="preserve"> </w:t>
      </w:r>
      <w:r>
        <w:rPr>
          <w:rFonts w:ascii="SimSun" w:hAnsi="SimSun" w:eastAsia="SimSun" w:cs="SimSun"/>
          <w:sz w:val="24"/>
          <w:szCs w:val="24"/>
          <w:spacing w:val="3"/>
        </w:rPr>
        <w:t>资源利用上线、环境准入清单等部分的分析结论，从环</w:t>
      </w:r>
      <w:r>
        <w:rPr>
          <w:rFonts w:ascii="SimSun" w:hAnsi="SimSun" w:eastAsia="SimSun" w:cs="SimSun"/>
          <w:sz w:val="24"/>
          <w:szCs w:val="24"/>
          <w:spacing w:val="2"/>
        </w:rPr>
        <w:t>保角度明确回答本项目建</w:t>
      </w:r>
      <w:r>
        <w:rPr>
          <w:rFonts w:ascii="SimSun" w:hAnsi="SimSun" w:eastAsia="SimSun" w:cs="SimSun"/>
          <w:sz w:val="24"/>
          <w:szCs w:val="24"/>
        </w:rPr>
        <w:t xml:space="preserve"> </w:t>
      </w:r>
      <w:r>
        <w:rPr>
          <w:rFonts w:ascii="SimSun" w:hAnsi="SimSun" w:eastAsia="SimSun" w:cs="SimSun"/>
          <w:sz w:val="24"/>
          <w:szCs w:val="24"/>
          <w:spacing w:val="3"/>
        </w:rPr>
        <w:t>设的可行性，为项目建设审批、环境保护、工程设计、</w:t>
      </w:r>
      <w:r>
        <w:rPr>
          <w:rFonts w:ascii="SimSun" w:hAnsi="SimSun" w:eastAsia="SimSun" w:cs="SimSun"/>
          <w:sz w:val="24"/>
          <w:szCs w:val="24"/>
          <w:spacing w:val="2"/>
        </w:rPr>
        <w:t>建设管理、生产运行等提</w:t>
      </w:r>
      <w:r>
        <w:rPr>
          <w:rFonts w:ascii="SimSun" w:hAnsi="SimSun" w:eastAsia="SimSun" w:cs="SimSun"/>
          <w:sz w:val="24"/>
          <w:szCs w:val="24"/>
        </w:rPr>
        <w:t xml:space="preserve"> </w:t>
      </w:r>
      <w:r>
        <w:rPr>
          <w:rFonts w:ascii="SimSun" w:hAnsi="SimSun" w:eastAsia="SimSun" w:cs="SimSun"/>
          <w:sz w:val="24"/>
          <w:szCs w:val="24"/>
          <w:spacing w:val="-2"/>
        </w:rPr>
        <w:t>供科学的依据。</w:t>
      </w:r>
    </w:p>
    <w:p>
      <w:pPr>
        <w:pStyle w:val="BodyText"/>
        <w:spacing w:line="250" w:lineRule="auto"/>
        <w:rPr/>
      </w:pPr>
      <w:r/>
    </w:p>
    <w:p>
      <w:pPr>
        <w:ind w:left="6"/>
        <w:spacing w:before="92" w:line="222" w:lineRule="auto"/>
        <w:outlineLvl w:val="2"/>
        <w:rPr>
          <w:rFonts w:ascii="SimHei" w:hAnsi="SimHei" w:eastAsia="SimHei" w:cs="SimHei"/>
          <w:sz w:val="28"/>
          <w:szCs w:val="28"/>
        </w:rPr>
      </w:pPr>
      <w:bookmarkStart w:name="bookmark24" w:id="28"/>
      <w:bookmarkEnd w:id="28"/>
      <w:r>
        <w:rPr>
          <w:rFonts w:ascii="Times New Roman" w:hAnsi="Times New Roman" w:eastAsia="Times New Roman" w:cs="Times New Roman"/>
          <w:sz w:val="28"/>
          <w:szCs w:val="28"/>
          <w:spacing w:val="-1"/>
        </w:rPr>
        <w:t>2.2.2 </w:t>
      </w:r>
      <w:r>
        <w:rPr>
          <w:rFonts w:ascii="SimHei" w:hAnsi="SimHei" w:eastAsia="SimHei" w:cs="SimHei"/>
          <w:sz w:val="28"/>
          <w:szCs w:val="28"/>
          <w:spacing w:val="-1"/>
        </w:rPr>
        <w:t>评价原则及指导思想</w:t>
      </w:r>
    </w:p>
    <w:p>
      <w:pPr>
        <w:pStyle w:val="BodyText"/>
        <w:spacing w:line="278" w:lineRule="auto"/>
        <w:rPr/>
      </w:pPr>
      <w:r/>
    </w:p>
    <w:p>
      <w:pPr>
        <w:ind w:left="498"/>
        <w:spacing w:before="78" w:line="218" w:lineRule="auto"/>
        <w:rPr>
          <w:rFonts w:ascii="SimSun" w:hAnsi="SimSun" w:eastAsia="SimSun" w:cs="SimSun"/>
          <w:sz w:val="24"/>
          <w:szCs w:val="24"/>
        </w:rPr>
      </w:pPr>
      <w:r>
        <w:rPr>
          <w:rFonts w:ascii="SimSun" w:hAnsi="SimSun" w:eastAsia="SimSun" w:cs="SimSun"/>
          <w:sz w:val="24"/>
          <w:szCs w:val="24"/>
          <w:spacing w:val="-1"/>
        </w:rPr>
        <w:t>突出环境影响评价的源头预防作用，坚持保护和改善环境质量。</w:t>
      </w:r>
    </w:p>
    <w:p>
      <w:pPr>
        <w:ind w:left="501"/>
        <w:spacing w:before="185" w:line="218"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）依法评价</w:t>
      </w:r>
    </w:p>
    <w:p>
      <w:pPr>
        <w:ind w:left="9" w:right="18" w:firstLine="485"/>
        <w:spacing w:before="182" w:line="359" w:lineRule="auto"/>
        <w:rPr>
          <w:rFonts w:ascii="SimSun" w:hAnsi="SimSun" w:eastAsia="SimSun" w:cs="SimSun"/>
          <w:sz w:val="24"/>
          <w:szCs w:val="24"/>
        </w:rPr>
      </w:pPr>
      <w:r>
        <w:rPr>
          <w:rFonts w:ascii="SimSun" w:hAnsi="SimSun" w:eastAsia="SimSun" w:cs="SimSun"/>
          <w:sz w:val="24"/>
          <w:szCs w:val="24"/>
          <w:spacing w:val="-3"/>
        </w:rPr>
        <w:t>贯彻执行我国环境保护相关法律法规、标准、政策和规划等，优化项目建设，</w:t>
      </w:r>
      <w:r>
        <w:rPr>
          <w:rFonts w:ascii="SimSun" w:hAnsi="SimSun" w:eastAsia="SimSun" w:cs="SimSun"/>
          <w:sz w:val="24"/>
          <w:szCs w:val="24"/>
          <w:spacing w:val="10"/>
        </w:rPr>
        <w:t xml:space="preserve"> </w:t>
      </w:r>
      <w:r>
        <w:rPr>
          <w:rFonts w:ascii="SimSun" w:hAnsi="SimSun" w:eastAsia="SimSun" w:cs="SimSun"/>
          <w:sz w:val="24"/>
          <w:szCs w:val="24"/>
          <w:spacing w:val="-2"/>
        </w:rPr>
        <w:t>服务环境管理。</w:t>
      </w:r>
    </w:p>
    <w:p>
      <w:pPr>
        <w:ind w:left="501"/>
        <w:spacing w:before="1" w:line="217"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）科学评价</w:t>
      </w:r>
    </w:p>
    <w:p>
      <w:pPr>
        <w:ind w:left="490"/>
        <w:spacing w:before="185" w:line="218" w:lineRule="auto"/>
        <w:rPr>
          <w:rFonts w:ascii="SimSun" w:hAnsi="SimSun" w:eastAsia="SimSun" w:cs="SimSun"/>
          <w:sz w:val="24"/>
          <w:szCs w:val="24"/>
        </w:rPr>
      </w:pPr>
      <w:r>
        <w:rPr>
          <w:rFonts w:ascii="SimSun" w:hAnsi="SimSun" w:eastAsia="SimSun" w:cs="SimSun"/>
          <w:sz w:val="24"/>
          <w:szCs w:val="24"/>
          <w:spacing w:val="-1"/>
        </w:rPr>
        <w:t>规范环境影响评价方法，科学分析项目建设对环境质量的影响。</w:t>
      </w:r>
    </w:p>
    <w:p>
      <w:pPr>
        <w:ind w:left="501"/>
        <w:spacing w:before="182" w:line="223"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）突出重点</w:t>
      </w:r>
    </w:p>
    <w:p>
      <w:pPr>
        <w:ind w:left="8" w:right="78" w:firstLine="480"/>
        <w:spacing w:before="178" w:line="360" w:lineRule="auto"/>
        <w:rPr>
          <w:rFonts w:ascii="SimSun" w:hAnsi="SimSun" w:eastAsia="SimSun" w:cs="SimSun"/>
          <w:sz w:val="24"/>
          <w:szCs w:val="24"/>
        </w:rPr>
      </w:pPr>
      <w:r>
        <w:rPr>
          <w:rFonts w:ascii="SimSun" w:hAnsi="SimSun" w:eastAsia="SimSun" w:cs="SimSun"/>
          <w:sz w:val="24"/>
          <w:szCs w:val="24"/>
          <w:spacing w:val="3"/>
        </w:rPr>
        <w:t>根据建设项目的工程内容及其特点，明确与环境要素间的作用效应</w:t>
      </w:r>
      <w:r>
        <w:rPr>
          <w:rFonts w:ascii="SimSun" w:hAnsi="SimSun" w:eastAsia="SimSun" w:cs="SimSun"/>
          <w:sz w:val="24"/>
          <w:szCs w:val="24"/>
          <w:spacing w:val="2"/>
        </w:rPr>
        <w:t>关系，根</w:t>
      </w:r>
      <w:r>
        <w:rPr>
          <w:rFonts w:ascii="SimSun" w:hAnsi="SimSun" w:eastAsia="SimSun" w:cs="SimSun"/>
          <w:sz w:val="24"/>
          <w:szCs w:val="24"/>
        </w:rPr>
        <w:t xml:space="preserve"> </w:t>
      </w:r>
      <w:r>
        <w:rPr>
          <w:rFonts w:ascii="SimSun" w:hAnsi="SimSun" w:eastAsia="SimSun" w:cs="SimSun"/>
          <w:sz w:val="24"/>
          <w:szCs w:val="24"/>
          <w:spacing w:val="3"/>
        </w:rPr>
        <w:t>据规划环境影响评价结论和审查意见，充分利用符合时效</w:t>
      </w:r>
      <w:r>
        <w:rPr>
          <w:rFonts w:ascii="SimSun" w:hAnsi="SimSun" w:eastAsia="SimSun" w:cs="SimSun"/>
          <w:sz w:val="24"/>
          <w:szCs w:val="24"/>
          <w:spacing w:val="2"/>
        </w:rPr>
        <w:t>的数据资料及成果，对</w:t>
      </w:r>
      <w:r>
        <w:rPr>
          <w:rFonts w:ascii="SimSun" w:hAnsi="SimSun" w:eastAsia="SimSun" w:cs="SimSun"/>
          <w:sz w:val="24"/>
          <w:szCs w:val="24"/>
        </w:rPr>
        <w:t xml:space="preserve"> </w:t>
      </w:r>
      <w:r>
        <w:rPr>
          <w:rFonts w:ascii="SimSun" w:hAnsi="SimSun" w:eastAsia="SimSun" w:cs="SimSun"/>
          <w:sz w:val="24"/>
          <w:szCs w:val="24"/>
          <w:spacing w:val="-1"/>
        </w:rPr>
        <w:t>建设项目主要环境影响予以重点分析和评价。</w:t>
      </w:r>
    </w:p>
    <w:p>
      <w:pPr>
        <w:ind w:left="6"/>
        <w:spacing w:before="162" w:line="222" w:lineRule="auto"/>
        <w:outlineLvl w:val="1"/>
        <w:rPr>
          <w:rFonts w:ascii="SimHei" w:hAnsi="SimHei" w:eastAsia="SimHei" w:cs="SimHei"/>
          <w:sz w:val="30"/>
          <w:szCs w:val="30"/>
        </w:rPr>
      </w:pPr>
      <w:bookmarkStart w:name="bookmark25" w:id="29"/>
      <w:bookmarkEnd w:id="29"/>
      <w:r>
        <w:rPr>
          <w:rFonts w:ascii="Times New Roman" w:hAnsi="Times New Roman" w:eastAsia="Times New Roman" w:cs="Times New Roman"/>
          <w:sz w:val="30"/>
          <w:szCs w:val="30"/>
          <w:spacing w:val="-1"/>
        </w:rPr>
        <w:t>2.3 </w:t>
      </w:r>
      <w:r>
        <w:rPr>
          <w:rFonts w:ascii="SimHei" w:hAnsi="SimHei" w:eastAsia="SimHei" w:cs="SimHei"/>
          <w:sz w:val="30"/>
          <w:szCs w:val="30"/>
          <w:spacing w:val="-1"/>
        </w:rPr>
        <w:t>评价重点</w:t>
      </w:r>
    </w:p>
    <w:p>
      <w:pPr>
        <w:pStyle w:val="BodyText"/>
        <w:spacing w:line="293" w:lineRule="auto"/>
        <w:rPr/>
      </w:pPr>
      <w:r/>
    </w:p>
    <w:p>
      <w:pPr>
        <w:ind w:left="12" w:right="78" w:firstLine="477"/>
        <w:spacing w:before="78" w:line="359" w:lineRule="auto"/>
        <w:jc w:val="both"/>
        <w:rPr>
          <w:rFonts w:ascii="SimSun" w:hAnsi="SimSun" w:eastAsia="SimSun" w:cs="SimSun"/>
          <w:sz w:val="24"/>
          <w:szCs w:val="24"/>
        </w:rPr>
      </w:pPr>
      <w:r>
        <w:rPr>
          <w:rFonts w:ascii="SimSun" w:hAnsi="SimSun" w:eastAsia="SimSun" w:cs="SimSun"/>
          <w:sz w:val="24"/>
          <w:szCs w:val="24"/>
          <w:spacing w:val="3"/>
        </w:rPr>
        <w:t>根据区域环境质量状况和项目的基本情况，确定本评价的工作重点</w:t>
      </w:r>
      <w:r>
        <w:rPr>
          <w:rFonts w:ascii="SimSun" w:hAnsi="SimSun" w:eastAsia="SimSun" w:cs="SimSun"/>
          <w:sz w:val="24"/>
          <w:szCs w:val="24"/>
          <w:spacing w:val="2"/>
        </w:rPr>
        <w:t>是以项目</w:t>
      </w:r>
      <w:r>
        <w:rPr>
          <w:rFonts w:ascii="SimSun" w:hAnsi="SimSun" w:eastAsia="SimSun" w:cs="SimSun"/>
          <w:sz w:val="24"/>
          <w:szCs w:val="24"/>
        </w:rPr>
        <w:t xml:space="preserve"> </w:t>
      </w:r>
      <w:r>
        <w:rPr>
          <w:rFonts w:ascii="SimSun" w:hAnsi="SimSun" w:eastAsia="SimSun" w:cs="SimSun"/>
          <w:sz w:val="24"/>
          <w:szCs w:val="24"/>
          <w:spacing w:val="3"/>
        </w:rPr>
        <w:t>的工程分析、污染防治措施为基础，以大气</w:t>
      </w:r>
      <w:r>
        <w:rPr>
          <w:rFonts w:ascii="SimSun" w:hAnsi="SimSun" w:eastAsia="SimSun" w:cs="SimSun"/>
          <w:sz w:val="24"/>
          <w:szCs w:val="24"/>
          <w:spacing w:val="2"/>
        </w:rPr>
        <w:t>环境、下水环境、土壤环境及环境风</w:t>
      </w:r>
      <w:r>
        <w:rPr>
          <w:rFonts w:ascii="SimSun" w:hAnsi="SimSun" w:eastAsia="SimSun" w:cs="SimSun"/>
          <w:sz w:val="24"/>
          <w:szCs w:val="24"/>
        </w:rPr>
        <w:t xml:space="preserve"> </w:t>
      </w:r>
      <w:r>
        <w:rPr>
          <w:rFonts w:ascii="SimSun" w:hAnsi="SimSun" w:eastAsia="SimSun" w:cs="SimSun"/>
          <w:sz w:val="24"/>
          <w:szCs w:val="24"/>
          <w:spacing w:val="3"/>
        </w:rPr>
        <w:t>险影响评价为评价重点，对地表水水环境、</w:t>
      </w:r>
      <w:r>
        <w:rPr>
          <w:rFonts w:ascii="SimSun" w:hAnsi="SimSun" w:eastAsia="SimSun" w:cs="SimSun"/>
          <w:sz w:val="24"/>
          <w:szCs w:val="24"/>
          <w:spacing w:val="2"/>
        </w:rPr>
        <w:t>声环境、固体废物、生态环境评价作</w:t>
      </w:r>
      <w:r>
        <w:rPr>
          <w:rFonts w:ascii="SimSun" w:hAnsi="SimSun" w:eastAsia="SimSun" w:cs="SimSun"/>
          <w:sz w:val="24"/>
          <w:szCs w:val="24"/>
        </w:rPr>
        <w:t xml:space="preserve"> </w:t>
      </w:r>
      <w:r>
        <w:rPr>
          <w:rFonts w:ascii="SimSun" w:hAnsi="SimSun" w:eastAsia="SimSun" w:cs="SimSun"/>
          <w:sz w:val="24"/>
          <w:szCs w:val="24"/>
          <w:spacing w:val="-2"/>
        </w:rPr>
        <w:t>为要点进行分析评价。</w:t>
      </w:r>
    </w:p>
    <w:p>
      <w:pPr>
        <w:ind w:left="5312"/>
        <w:spacing w:before="182" w:line="227" w:lineRule="auto"/>
        <w:rPr>
          <w:rFonts w:ascii="SimSun" w:hAnsi="SimSun" w:eastAsia="SimSun" w:cs="SimSun"/>
          <w:sz w:val="19"/>
          <w:szCs w:val="19"/>
        </w:rPr>
      </w:pPr>
      <w:r>
        <w:pict>
          <v:shape id="_x0000_s140" style="position:absolute;margin-left:207.298pt;margin-top:8.12333pt;mso-position-vertical-relative:text;mso-position-horizontal-relative:text;width:58.95pt;height:13.75pt;z-index:251725824;"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4"/>
                      <w:position w:val="2"/>
                    </w:rPr>
                    <w:t>26</w:t>
                  </w:r>
                  <w:r>
                    <w:rPr>
                      <w:rFonts w:ascii="Times New Roman" w:hAnsi="Times New Roman" w:eastAsia="Times New Roman" w:cs="Times New Roman"/>
                      <w:sz w:val="18"/>
                      <w:szCs w:val="18"/>
                      <w:spacing w:val="1"/>
                      <w:position w:val="2"/>
                    </w:rPr>
                    <w:t xml:space="preserve">        </w:t>
                  </w:r>
                  <w:r>
                    <w:rPr>
                      <w:rFonts w:ascii="SimSun" w:hAnsi="SimSun" w:eastAsia="SimSun" w:cs="SimSun"/>
                      <w:sz w:val="19"/>
                      <w:szCs w:val="19"/>
                      <w:spacing w:val="4"/>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pgSz w:w="11907" w:h="16840"/>
          <w:pgMar w:top="1567" w:right="1621" w:bottom="400" w:left="1701" w:header="1221" w:footer="0" w:gutter="0"/>
        </w:sectPr>
        <w:rPr>
          <w:rFonts w:ascii="SimSun" w:hAnsi="SimSun" w:eastAsia="SimSun" w:cs="SimSun"/>
          <w:sz w:val="19"/>
          <w:szCs w:val="19"/>
        </w:rPr>
      </w:pPr>
    </w:p>
    <w:p>
      <w:pPr>
        <w:ind w:left="11"/>
        <w:spacing w:before="196" w:line="221" w:lineRule="auto"/>
        <w:outlineLvl w:val="1"/>
        <w:rPr>
          <w:rFonts w:ascii="SimHei" w:hAnsi="SimHei" w:eastAsia="SimHei" w:cs="SimHei"/>
          <w:sz w:val="30"/>
          <w:szCs w:val="30"/>
        </w:rPr>
      </w:pPr>
      <w:r>
        <w:pict>
          <v:shape id="_x0000_s144" style="position:absolute;margin-left:85.05pt;margin-top:79.11pt;mso-position-vertical-relative:page;mso-position-horizontal-relative:page;width:425.25pt;height:0.75pt;z-index:251728896;" o:allowincell="f" fillcolor="#000000" filled="true" stroked="false" coordsize="8505,15" coordorigin="0,0" path="m,l8505,0l8505,14l0,14l0,0xe"/>
        </w:pict>
      </w:r>
      <w:bookmarkStart w:name="bookmark26" w:id="30"/>
      <w:bookmarkEnd w:id="30"/>
      <w:r>
        <w:rPr>
          <w:rFonts w:ascii="Times New Roman" w:hAnsi="Times New Roman" w:eastAsia="Times New Roman" w:cs="Times New Roman"/>
          <w:sz w:val="30"/>
          <w:szCs w:val="30"/>
          <w:spacing w:val="-1"/>
        </w:rPr>
        <w:t>2.4 </w:t>
      </w:r>
      <w:r>
        <w:rPr>
          <w:rFonts w:ascii="SimHei" w:hAnsi="SimHei" w:eastAsia="SimHei" w:cs="SimHei"/>
          <w:sz w:val="30"/>
          <w:szCs w:val="30"/>
          <w:spacing w:val="-1"/>
        </w:rPr>
        <w:t>评价等级及评价范围的确定</w:t>
      </w:r>
    </w:p>
    <w:p>
      <w:pPr>
        <w:pStyle w:val="BodyText"/>
        <w:spacing w:line="285" w:lineRule="auto"/>
        <w:rPr/>
      </w:pPr>
      <w:r/>
    </w:p>
    <w:p>
      <w:pPr>
        <w:ind w:left="11"/>
        <w:spacing w:before="91" w:line="222" w:lineRule="auto"/>
        <w:outlineLvl w:val="2"/>
        <w:rPr>
          <w:rFonts w:ascii="SimHei" w:hAnsi="SimHei" w:eastAsia="SimHei" w:cs="SimHei"/>
          <w:sz w:val="28"/>
          <w:szCs w:val="28"/>
        </w:rPr>
      </w:pPr>
      <w:bookmarkStart w:name="bookmark27" w:id="31"/>
      <w:bookmarkEnd w:id="31"/>
      <w:r>
        <w:rPr>
          <w:rFonts w:ascii="Times New Roman" w:hAnsi="Times New Roman" w:eastAsia="Times New Roman" w:cs="Times New Roman"/>
          <w:sz w:val="28"/>
          <w:szCs w:val="28"/>
          <w:spacing w:val="-1"/>
        </w:rPr>
        <w:t>2.4.1 </w:t>
      </w:r>
      <w:r>
        <w:rPr>
          <w:rFonts w:ascii="SimHei" w:hAnsi="SimHei" w:eastAsia="SimHei" w:cs="SimHei"/>
          <w:sz w:val="28"/>
          <w:szCs w:val="28"/>
          <w:spacing w:val="-1"/>
        </w:rPr>
        <w:t>环境空气</w:t>
      </w:r>
    </w:p>
    <w:p>
      <w:pPr>
        <w:pStyle w:val="BodyText"/>
        <w:spacing w:line="278" w:lineRule="auto"/>
        <w:rPr/>
      </w:pPr>
      <w:r/>
    </w:p>
    <w:p>
      <w:pPr>
        <w:ind w:left="513"/>
        <w:spacing w:before="78" w:line="218" w:lineRule="auto"/>
        <w:rPr>
          <w:rFonts w:ascii="SimSun" w:hAnsi="SimSun" w:eastAsia="SimSun" w:cs="SimSun"/>
          <w:sz w:val="24"/>
          <w:szCs w:val="24"/>
        </w:rPr>
      </w:pP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7"/>
        </w:rPr>
        <w:t>、评价等级划分</w:t>
      </w:r>
    </w:p>
    <w:p>
      <w:pPr>
        <w:ind w:left="13" w:firstLine="480"/>
        <w:spacing w:before="185" w:line="355" w:lineRule="auto"/>
        <w:rPr>
          <w:rFonts w:ascii="SimSun" w:hAnsi="SimSun" w:eastAsia="SimSun" w:cs="SimSun"/>
          <w:sz w:val="24"/>
          <w:szCs w:val="24"/>
        </w:rPr>
      </w:pPr>
      <w:r>
        <w:rPr>
          <w:rFonts w:ascii="SimSun" w:hAnsi="SimSun" w:eastAsia="SimSun" w:cs="SimSun"/>
          <w:sz w:val="24"/>
          <w:szCs w:val="24"/>
          <w:spacing w:val="-3"/>
        </w:rPr>
        <w:t>根据《环境影响评价技术导则 大气环境》（</w:t>
      </w:r>
      <w:r>
        <w:rPr>
          <w:rFonts w:ascii="Times New Roman" w:hAnsi="Times New Roman" w:eastAsia="Times New Roman" w:cs="Times New Roman"/>
          <w:sz w:val="24"/>
          <w:szCs w:val="24"/>
          <w:spacing w:val="-3"/>
        </w:rPr>
        <w:t>HJ2.2-2</w:t>
      </w:r>
      <w:r>
        <w:rPr>
          <w:rFonts w:ascii="Times New Roman" w:hAnsi="Times New Roman" w:eastAsia="Times New Roman" w:cs="Times New Roman"/>
          <w:sz w:val="24"/>
          <w:szCs w:val="24"/>
          <w:spacing w:val="-4"/>
        </w:rPr>
        <w:t>018</w:t>
      </w:r>
      <w:r>
        <w:rPr>
          <w:rFonts w:ascii="SimSun" w:hAnsi="SimSun" w:eastAsia="SimSun" w:cs="SimSun"/>
          <w:sz w:val="24"/>
          <w:szCs w:val="24"/>
          <w:spacing w:val="-4"/>
        </w:rPr>
        <w:t>）评价等级判定要求，</w:t>
      </w:r>
      <w:r>
        <w:rPr>
          <w:rFonts w:ascii="SimSun" w:hAnsi="SimSun" w:eastAsia="SimSun" w:cs="SimSun"/>
          <w:sz w:val="24"/>
          <w:szCs w:val="24"/>
        </w:rPr>
        <w:t xml:space="preserve"> </w:t>
      </w:r>
      <w:r>
        <w:rPr>
          <w:rFonts w:ascii="SimSun" w:hAnsi="SimSun" w:eastAsia="SimSun" w:cs="SimSun"/>
          <w:sz w:val="24"/>
          <w:szCs w:val="24"/>
          <w:spacing w:val="1"/>
        </w:rPr>
        <w:t>选择项目污染源排放的主要污染物及排放参数，采用附录</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A </w:t>
      </w:r>
      <w:r>
        <w:rPr>
          <w:rFonts w:ascii="SimSun" w:hAnsi="SimSun" w:eastAsia="SimSun" w:cs="SimSun"/>
          <w:sz w:val="24"/>
          <w:szCs w:val="24"/>
          <w:spacing w:val="1"/>
        </w:rPr>
        <w:t>推荐模型中估算模型</w:t>
      </w:r>
      <w:r>
        <w:rPr>
          <w:rFonts w:ascii="SimSun" w:hAnsi="SimSun" w:eastAsia="SimSun" w:cs="SimSun"/>
          <w:sz w:val="24"/>
          <w:szCs w:val="2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AERSCREEN</w:t>
      </w:r>
      <w:r>
        <w:rPr>
          <w:rFonts w:ascii="SimSun" w:hAnsi="SimSun" w:eastAsia="SimSun" w:cs="SimSun"/>
          <w:sz w:val="24"/>
          <w:szCs w:val="24"/>
          <w:spacing w:val="-3"/>
        </w:rPr>
        <w:t>）分别计算项目污染源的最大环境影响，然后按照评价工作等级进</w:t>
      </w:r>
      <w:r>
        <w:rPr>
          <w:rFonts w:ascii="SimSun" w:hAnsi="SimSun" w:eastAsia="SimSun" w:cs="SimSun"/>
          <w:sz w:val="24"/>
          <w:szCs w:val="24"/>
          <w:spacing w:val="10"/>
        </w:rPr>
        <w:t xml:space="preserve"> </w:t>
      </w:r>
      <w:r>
        <w:rPr>
          <w:rFonts w:ascii="SimSun" w:hAnsi="SimSun" w:eastAsia="SimSun" w:cs="SimSun"/>
          <w:sz w:val="24"/>
          <w:szCs w:val="24"/>
          <w:spacing w:val="3"/>
        </w:rPr>
        <w:t>行分级。根据项目污染源初步调查结果，分别计算项目排</w:t>
      </w:r>
      <w:r>
        <w:rPr>
          <w:rFonts w:ascii="SimSun" w:hAnsi="SimSun" w:eastAsia="SimSun" w:cs="SimSun"/>
          <w:sz w:val="24"/>
          <w:szCs w:val="24"/>
          <w:spacing w:val="2"/>
        </w:rPr>
        <w:t>放主要污染物的最大地</w:t>
      </w:r>
      <w:r>
        <w:rPr>
          <w:rFonts w:ascii="SimSun" w:hAnsi="SimSun" w:eastAsia="SimSun" w:cs="SimSun"/>
          <w:sz w:val="24"/>
          <w:szCs w:val="24"/>
        </w:rPr>
        <w:t xml:space="preserve"> </w:t>
      </w:r>
      <w:r>
        <w:rPr>
          <w:rFonts w:ascii="SimSun" w:hAnsi="SimSun" w:eastAsia="SimSun" w:cs="SimSun"/>
          <w:sz w:val="24"/>
          <w:szCs w:val="24"/>
          <w:spacing w:val="-1"/>
        </w:rPr>
        <w:t>面空气质量浓度占标率</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P</w:t>
      </w:r>
      <w:r>
        <w:rPr>
          <w:rFonts w:ascii="Times New Roman" w:hAnsi="Times New Roman" w:eastAsia="Times New Roman" w:cs="Times New Roman"/>
          <w:sz w:val="15"/>
          <w:szCs w:val="15"/>
          <w:spacing w:val="-1"/>
          <w:position w:val="-1"/>
        </w:rPr>
        <w:t>i</w:t>
      </w:r>
      <w:r>
        <w:rPr>
          <w:rFonts w:ascii="SimSun" w:hAnsi="SimSun" w:eastAsia="SimSun" w:cs="SimSun"/>
          <w:sz w:val="24"/>
          <w:szCs w:val="24"/>
          <w:spacing w:val="-1"/>
        </w:rPr>
        <w:t>（第</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i </w:t>
      </w:r>
      <w:r>
        <w:rPr>
          <w:rFonts w:ascii="SimSun" w:hAnsi="SimSun" w:eastAsia="SimSun" w:cs="SimSun"/>
          <w:sz w:val="24"/>
          <w:szCs w:val="24"/>
          <w:spacing w:val="-1"/>
        </w:rPr>
        <w:t>个污染物，简称</w:t>
      </w:r>
      <w:r>
        <w:rPr>
          <w:rFonts w:ascii="Times New Roman" w:hAnsi="Times New Roman" w:eastAsia="Times New Roman" w:cs="Times New Roman"/>
          <w:sz w:val="24"/>
          <w:szCs w:val="24"/>
          <w:spacing w:val="-1"/>
        </w:rPr>
        <w:t>“</w:t>
      </w:r>
      <w:r>
        <w:rPr>
          <w:rFonts w:ascii="SimSun" w:hAnsi="SimSun" w:eastAsia="SimSun" w:cs="SimSun"/>
          <w:sz w:val="24"/>
          <w:szCs w:val="24"/>
          <w:spacing w:val="-1"/>
        </w:rPr>
        <w:t>最大浓度占标率</w:t>
      </w:r>
      <w:r>
        <w:rPr>
          <w:rFonts w:ascii="Times New Roman" w:hAnsi="Times New Roman" w:eastAsia="Times New Roman" w:cs="Times New Roman"/>
          <w:sz w:val="24"/>
          <w:szCs w:val="24"/>
          <w:spacing w:val="-1"/>
        </w:rPr>
        <w:t>”</w:t>
      </w:r>
      <w:r>
        <w:rPr>
          <w:rFonts w:ascii="SimSun" w:hAnsi="SimSun" w:eastAsia="SimSun" w:cs="SimSun"/>
          <w:sz w:val="24"/>
          <w:szCs w:val="24"/>
          <w:spacing w:val="4"/>
        </w:rPr>
        <w:t>），</w:t>
      </w:r>
      <w:r>
        <w:rPr>
          <w:rFonts w:ascii="SimSun" w:hAnsi="SimSun" w:eastAsia="SimSun" w:cs="SimSun"/>
          <w:sz w:val="24"/>
          <w:szCs w:val="24"/>
          <w:spacing w:val="-1"/>
        </w:rPr>
        <w:t>及第</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i </w:t>
      </w:r>
      <w:r>
        <w:rPr>
          <w:rFonts w:ascii="SimSun" w:hAnsi="SimSun" w:eastAsia="SimSun" w:cs="SimSun"/>
          <w:sz w:val="24"/>
          <w:szCs w:val="24"/>
          <w:spacing w:val="-1"/>
        </w:rPr>
        <w:t>个污</w:t>
      </w:r>
      <w:r>
        <w:rPr>
          <w:rFonts w:ascii="SimSun" w:hAnsi="SimSun" w:eastAsia="SimSun" w:cs="SimSun"/>
          <w:sz w:val="24"/>
          <w:szCs w:val="24"/>
        </w:rPr>
        <w:t xml:space="preserve"> </w:t>
      </w:r>
      <w:r>
        <w:rPr>
          <w:rFonts w:ascii="SimSun" w:hAnsi="SimSun" w:eastAsia="SimSun" w:cs="SimSun"/>
          <w:sz w:val="24"/>
          <w:szCs w:val="24"/>
          <w:spacing w:val="-1"/>
        </w:rPr>
        <w:t>染物的地面空气质量浓度达到标准限值的</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1"/>
        </w:rPr>
        <w:t>10%</w:t>
      </w:r>
      <w:r>
        <w:rPr>
          <w:rFonts w:ascii="SimSun" w:hAnsi="SimSun" w:eastAsia="SimSun" w:cs="SimSun"/>
          <w:sz w:val="24"/>
          <w:szCs w:val="24"/>
          <w:spacing w:val="-1"/>
        </w:rPr>
        <w:t>时所对应的最远距离</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D</w:t>
      </w:r>
      <w:r>
        <w:rPr>
          <w:rFonts w:ascii="Times New Roman" w:hAnsi="Times New Roman" w:eastAsia="Times New Roman" w:cs="Times New Roman"/>
          <w:sz w:val="15"/>
          <w:szCs w:val="15"/>
          <w:spacing w:val="-1"/>
          <w:position w:val="-1"/>
        </w:rPr>
        <w:t>10% </w:t>
      </w:r>
      <w:r>
        <w:rPr>
          <w:rFonts w:ascii="SimSun" w:hAnsi="SimSun" w:eastAsia="SimSun" w:cs="SimSun"/>
          <w:sz w:val="24"/>
          <w:szCs w:val="24"/>
          <w:spacing w:val="-1"/>
        </w:rPr>
        <w:t>。其中</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P</w:t>
      </w:r>
      <w:r>
        <w:rPr>
          <w:rFonts w:ascii="Times New Roman" w:hAnsi="Times New Roman" w:eastAsia="Times New Roman" w:cs="Times New Roman"/>
          <w:sz w:val="15"/>
          <w:szCs w:val="15"/>
          <w:spacing w:val="-1"/>
          <w:position w:val="-1"/>
        </w:rPr>
        <w:t>i</w:t>
      </w:r>
      <w:r>
        <w:rPr>
          <w:rFonts w:ascii="Times New Roman" w:hAnsi="Times New Roman" w:eastAsia="Times New Roman" w:cs="Times New Roman"/>
          <w:sz w:val="15"/>
          <w:szCs w:val="15"/>
          <w:position w:val="-1"/>
        </w:rPr>
        <w:t xml:space="preserve">   </w:t>
      </w:r>
      <w:r>
        <w:rPr>
          <w:rFonts w:ascii="SimSun" w:hAnsi="SimSun" w:eastAsia="SimSun" w:cs="SimSun"/>
          <w:sz w:val="24"/>
          <w:szCs w:val="24"/>
          <w:spacing w:val="-2"/>
        </w:rPr>
        <w:t>定义公式为：</w:t>
      </w:r>
    </w:p>
    <w:p>
      <w:pPr>
        <w:ind w:firstLine="3415"/>
        <w:spacing w:line="657" w:lineRule="exact"/>
        <w:rPr/>
      </w:pPr>
      <w:r>
        <w:rPr>
          <w:position w:val="-13"/>
        </w:rPr>
        <w:drawing>
          <wp:inline distT="0" distB="0" distL="0" distR="0">
            <wp:extent cx="1062227" cy="417576"/>
            <wp:effectExtent l="0" t="0" r="0" b="0"/>
            <wp:docPr id="16" name="IM 16"/>
            <wp:cNvGraphicFramePr/>
            <a:graphic>
              <a:graphicData uri="http://schemas.openxmlformats.org/drawingml/2006/picture">
                <pic:pic>
                  <pic:nvPicPr>
                    <pic:cNvPr id="16" name="IM 16"/>
                    <pic:cNvPicPr/>
                  </pic:nvPicPr>
                  <pic:blipFill>
                    <a:blip r:embed="rId42"/>
                    <a:stretch>
                      <a:fillRect/>
                    </a:stretch>
                  </pic:blipFill>
                  <pic:spPr>
                    <a:xfrm rot="0">
                      <a:off x="0" y="0"/>
                      <a:ext cx="1062227" cy="417576"/>
                    </a:xfrm>
                    <a:prstGeom prst="rect">
                      <a:avLst/>
                    </a:prstGeom>
                  </pic:spPr>
                </pic:pic>
              </a:graphicData>
            </a:graphic>
          </wp:inline>
        </w:drawing>
      </w:r>
    </w:p>
    <w:p>
      <w:pPr>
        <w:ind w:left="499"/>
        <w:spacing w:before="174" w:line="219"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P</w:t>
      </w:r>
      <w:r>
        <w:rPr>
          <w:rFonts w:ascii="Times New Roman" w:hAnsi="Times New Roman" w:eastAsia="Times New Roman" w:cs="Times New Roman"/>
          <w:sz w:val="15"/>
          <w:szCs w:val="15"/>
          <w:spacing w:val="-1"/>
          <w:position w:val="-1"/>
        </w:rPr>
        <w:t>i-</w:t>
      </w:r>
      <w:r>
        <w:rPr>
          <w:rFonts w:ascii="Times New Roman" w:hAnsi="Times New Roman" w:eastAsia="Times New Roman" w:cs="Times New Roman"/>
          <w:sz w:val="24"/>
          <w:szCs w:val="24"/>
          <w:spacing w:val="-1"/>
        </w:rPr>
        <w:t>—</w:t>
      </w:r>
      <w:r>
        <w:rPr>
          <w:rFonts w:ascii="SimSun" w:hAnsi="SimSun" w:eastAsia="SimSun" w:cs="SimSun"/>
          <w:sz w:val="24"/>
          <w:szCs w:val="24"/>
          <w:spacing w:val="-1"/>
        </w:rPr>
        <w:t>第</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i </w:t>
      </w:r>
      <w:r>
        <w:rPr>
          <w:rFonts w:ascii="SimSun" w:hAnsi="SimSun" w:eastAsia="SimSun" w:cs="SimSun"/>
          <w:sz w:val="24"/>
          <w:szCs w:val="24"/>
          <w:spacing w:val="-1"/>
        </w:rPr>
        <w:t>个污染物的最大地面空气质量浓度占标率，</w:t>
      </w:r>
      <w:r>
        <w:rPr>
          <w:rFonts w:ascii="Times New Roman" w:hAnsi="Times New Roman" w:eastAsia="Times New Roman" w:cs="Times New Roman"/>
          <w:sz w:val="24"/>
          <w:szCs w:val="24"/>
          <w:spacing w:val="-1"/>
        </w:rPr>
        <w:t>%</w:t>
      </w:r>
      <w:r>
        <w:rPr>
          <w:rFonts w:ascii="SimSun" w:hAnsi="SimSun" w:eastAsia="SimSun" w:cs="SimSun"/>
          <w:sz w:val="24"/>
          <w:szCs w:val="24"/>
          <w:spacing w:val="-1"/>
        </w:rPr>
        <w:t>；</w:t>
      </w:r>
    </w:p>
    <w:p>
      <w:pPr>
        <w:ind w:left="19" w:right="61" w:firstLine="1194"/>
        <w:spacing w:before="183" w:line="359" w:lineRule="auto"/>
        <w:rPr>
          <w:rFonts w:ascii="SimSun" w:hAnsi="SimSun" w:eastAsia="SimSun" w:cs="SimSun"/>
          <w:sz w:val="24"/>
          <w:szCs w:val="24"/>
        </w:rPr>
      </w:pPr>
      <w:r>
        <w:rPr>
          <w:rFonts w:ascii="Times New Roman" w:hAnsi="Times New Roman" w:eastAsia="Times New Roman" w:cs="Times New Roman"/>
          <w:sz w:val="24"/>
          <w:szCs w:val="24"/>
          <w:spacing w:val="-2"/>
        </w:rPr>
        <w:t>C</w:t>
      </w:r>
      <w:r>
        <w:rPr>
          <w:rFonts w:ascii="Times New Roman" w:hAnsi="Times New Roman" w:eastAsia="Times New Roman" w:cs="Times New Roman"/>
          <w:sz w:val="15"/>
          <w:szCs w:val="15"/>
          <w:spacing w:val="-2"/>
          <w:position w:val="-1"/>
        </w:rPr>
        <w:t>i</w:t>
      </w:r>
      <w:r>
        <w:rPr>
          <w:rFonts w:ascii="Times New Roman" w:hAnsi="Times New Roman" w:eastAsia="Times New Roman" w:cs="Times New Roman"/>
          <w:sz w:val="24"/>
          <w:szCs w:val="24"/>
          <w:spacing w:val="-2"/>
          <w:position w:val="-1"/>
        </w:rPr>
        <w:t>—  </w:t>
      </w:r>
      <w:r>
        <w:rPr>
          <w:rFonts w:ascii="SimSun" w:hAnsi="SimSun" w:eastAsia="SimSun" w:cs="SimSun"/>
          <w:sz w:val="24"/>
          <w:szCs w:val="24"/>
          <w:spacing w:val="-2"/>
        </w:rPr>
        <w:t>采用估算模型计算出的第</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2"/>
        </w:rPr>
        <w:t>i </w:t>
      </w:r>
      <w:r>
        <w:rPr>
          <w:rFonts w:ascii="SimSun" w:hAnsi="SimSun" w:eastAsia="SimSun" w:cs="SimSun"/>
          <w:sz w:val="24"/>
          <w:szCs w:val="24"/>
          <w:spacing w:val="-2"/>
        </w:rPr>
        <w:t>个污染物的最大</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1h </w:t>
      </w:r>
      <w:r>
        <w:rPr>
          <w:rFonts w:ascii="SimSun" w:hAnsi="SimSun" w:eastAsia="SimSun" w:cs="SimSun"/>
          <w:sz w:val="24"/>
          <w:szCs w:val="24"/>
          <w:spacing w:val="-2"/>
        </w:rPr>
        <w:t>地面空气质量浓度</w:t>
      </w:r>
      <w:r>
        <w:rPr>
          <w:rFonts w:ascii="SimSun" w:hAnsi="SimSun" w:eastAsia="SimSun" w:cs="SimSun"/>
          <w:sz w:val="24"/>
          <w:szCs w:val="24"/>
        </w:rPr>
        <w:t xml:space="preserve"> </w:t>
      </w:r>
      <w:r>
        <w:rPr>
          <w:rFonts w:ascii="Times New Roman" w:hAnsi="Times New Roman" w:eastAsia="Times New Roman" w:cs="Times New Roman"/>
          <w:sz w:val="24"/>
          <w:szCs w:val="24"/>
          <w:spacing w:val="-2"/>
        </w:rPr>
        <w:t>μg/m</w:t>
      </w:r>
      <w:r>
        <w:rPr>
          <w:rFonts w:ascii="Times New Roman" w:hAnsi="Times New Roman" w:eastAsia="Times New Roman" w:cs="Times New Roman"/>
          <w:sz w:val="15"/>
          <w:szCs w:val="15"/>
          <w:spacing w:val="-2"/>
          <w:position w:val="7"/>
        </w:rPr>
        <w:t>3</w:t>
      </w:r>
      <w:r>
        <w:rPr>
          <w:rFonts w:ascii="SimSun" w:hAnsi="SimSun" w:eastAsia="SimSun" w:cs="SimSun"/>
          <w:sz w:val="24"/>
          <w:szCs w:val="24"/>
          <w:spacing w:val="-2"/>
        </w:rPr>
        <w:t>；</w:t>
      </w:r>
    </w:p>
    <w:p>
      <w:pPr>
        <w:ind w:left="13" w:right="59" w:firstLine="1200"/>
        <w:spacing w:before="2" w:line="359" w:lineRule="auto"/>
        <w:jc w:val="both"/>
        <w:rPr>
          <w:rFonts w:ascii="SimSun" w:hAnsi="SimSun" w:eastAsia="SimSun" w:cs="SimSun"/>
          <w:sz w:val="24"/>
          <w:szCs w:val="24"/>
        </w:rPr>
      </w:pPr>
      <w:r>
        <w:rPr>
          <w:rFonts w:ascii="Times New Roman" w:hAnsi="Times New Roman" w:eastAsia="Times New Roman" w:cs="Times New Roman"/>
          <w:sz w:val="24"/>
          <w:szCs w:val="24"/>
          <w:spacing w:val="-3"/>
        </w:rPr>
        <w:t>C</w:t>
      </w:r>
      <w:r>
        <w:rPr>
          <w:rFonts w:ascii="Times New Roman" w:hAnsi="Times New Roman" w:eastAsia="Times New Roman" w:cs="Times New Roman"/>
          <w:sz w:val="15"/>
          <w:szCs w:val="15"/>
          <w:spacing w:val="-3"/>
          <w:position w:val="-1"/>
        </w:rPr>
        <w:t>0i</w:t>
      </w:r>
      <w:r>
        <w:rPr>
          <w:rFonts w:ascii="Times New Roman" w:hAnsi="Times New Roman" w:eastAsia="Times New Roman" w:cs="Times New Roman"/>
          <w:sz w:val="24"/>
          <w:szCs w:val="24"/>
          <w:spacing w:val="-3"/>
        </w:rPr>
        <w:t>—</w:t>
      </w:r>
      <w:r>
        <w:rPr>
          <w:rFonts w:ascii="SimSun" w:hAnsi="SimSun" w:eastAsia="SimSun" w:cs="SimSun"/>
          <w:sz w:val="24"/>
          <w:szCs w:val="24"/>
          <w:spacing w:val="-3"/>
        </w:rPr>
        <w:t>第</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3"/>
        </w:rPr>
        <w:t>i </w:t>
      </w:r>
      <w:r>
        <w:rPr>
          <w:rFonts w:ascii="SimSun" w:hAnsi="SimSun" w:eastAsia="SimSun" w:cs="SimSun"/>
          <w:sz w:val="24"/>
          <w:szCs w:val="24"/>
          <w:spacing w:val="-3"/>
        </w:rPr>
        <w:t>个污染物的环境空气质量标准</w:t>
      </w:r>
      <w:r>
        <w:rPr>
          <w:rFonts w:ascii="Times New Roman" w:hAnsi="Times New Roman" w:eastAsia="Times New Roman" w:cs="Times New Roman"/>
          <w:sz w:val="24"/>
          <w:szCs w:val="24"/>
          <w:spacing w:val="-3"/>
        </w:rPr>
        <w:t>μg/m</w:t>
      </w:r>
      <w:r>
        <w:rPr>
          <w:rFonts w:ascii="Times New Roman" w:hAnsi="Times New Roman" w:eastAsia="Times New Roman" w:cs="Times New Roman"/>
          <w:sz w:val="15"/>
          <w:szCs w:val="15"/>
          <w:spacing w:val="-3"/>
          <w:position w:val="8"/>
        </w:rPr>
        <w:t>3</w:t>
      </w:r>
      <w:r>
        <w:rPr>
          <w:rFonts w:ascii="SimSun" w:hAnsi="SimSun" w:eastAsia="SimSun" w:cs="SimSun"/>
          <w:sz w:val="24"/>
          <w:szCs w:val="24"/>
          <w:spacing w:val="-3"/>
        </w:rPr>
        <w:t>。一般选用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GB3095</w:t>
      </w:r>
      <w:r>
        <w:rPr>
          <w:rFonts w:ascii="Times New Roman" w:hAnsi="Times New Roman" w:eastAsia="Times New Roman" w:cs="Times New Roman"/>
          <w:sz w:val="24"/>
          <w:szCs w:val="24"/>
          <w:spacing w:val="34"/>
          <w:w w:val="101"/>
        </w:rPr>
        <w:t xml:space="preserve"> </w:t>
      </w:r>
      <w:r>
        <w:rPr>
          <w:rFonts w:ascii="SimSun" w:hAnsi="SimSun" w:eastAsia="SimSun" w:cs="SimSun"/>
          <w:sz w:val="24"/>
          <w:szCs w:val="24"/>
          <w:spacing w:val="-3"/>
        </w:rPr>
        <w:t>中</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1h</w:t>
      </w:r>
      <w:r>
        <w:rPr>
          <w:rFonts w:ascii="Times New Roman" w:hAnsi="Times New Roman" w:eastAsia="Times New Roman" w:cs="Times New Roman"/>
          <w:sz w:val="24"/>
          <w:szCs w:val="24"/>
        </w:rPr>
        <w:t xml:space="preserve"> </w:t>
      </w:r>
      <w:r>
        <w:rPr>
          <w:rFonts w:ascii="SimSun" w:hAnsi="SimSun" w:eastAsia="SimSun" w:cs="SimSun"/>
          <w:sz w:val="24"/>
          <w:szCs w:val="24"/>
          <w:spacing w:val="3"/>
        </w:rPr>
        <w:t>平均质量浓度的二级浓度限值，如项目位于一类环境空气</w:t>
      </w:r>
      <w:r>
        <w:rPr>
          <w:rFonts w:ascii="SimSun" w:hAnsi="SimSun" w:eastAsia="SimSun" w:cs="SimSun"/>
          <w:sz w:val="24"/>
          <w:szCs w:val="24"/>
          <w:spacing w:val="2"/>
        </w:rPr>
        <w:t>功能区，应选择一级浓</w:t>
      </w:r>
      <w:r>
        <w:rPr>
          <w:rFonts w:ascii="SimSun" w:hAnsi="SimSun" w:eastAsia="SimSun" w:cs="SimSun"/>
          <w:sz w:val="24"/>
          <w:szCs w:val="24"/>
        </w:rPr>
        <w:t xml:space="preserve"> </w:t>
      </w:r>
      <w:r>
        <w:rPr>
          <w:rFonts w:ascii="SimSun" w:hAnsi="SimSun" w:eastAsia="SimSun" w:cs="SimSun"/>
          <w:sz w:val="24"/>
          <w:szCs w:val="24"/>
        </w:rPr>
        <w:t>度限值；对该标准中未包含的污染物，使用导则</w:t>
      </w:r>
      <w:r>
        <w:rPr>
          <w:rFonts w:ascii="SimSun" w:hAnsi="SimSun" w:eastAsia="SimSun" w:cs="SimSun"/>
          <w:sz w:val="24"/>
          <w:szCs w:val="24"/>
          <w:spacing w:val="-49"/>
        </w:rPr>
        <w:t xml:space="preserve"> </w:t>
      </w:r>
      <w:r>
        <w:rPr>
          <w:rFonts w:ascii="Times New Roman" w:hAnsi="Times New Roman" w:eastAsia="Times New Roman" w:cs="Times New Roman"/>
          <w:sz w:val="24"/>
          <w:szCs w:val="24"/>
        </w:rPr>
        <w:t>5.2 </w:t>
      </w:r>
      <w:r>
        <w:rPr>
          <w:rFonts w:ascii="SimSun" w:hAnsi="SimSun" w:eastAsia="SimSun" w:cs="SimSun"/>
          <w:sz w:val="24"/>
          <w:szCs w:val="24"/>
        </w:rPr>
        <w:t>确定的各评价因子</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1h </w:t>
      </w:r>
      <w:r>
        <w:rPr>
          <w:rFonts w:ascii="SimSun" w:hAnsi="SimSun" w:eastAsia="SimSun" w:cs="SimSun"/>
          <w:sz w:val="24"/>
          <w:szCs w:val="24"/>
          <w:spacing w:val="-1"/>
        </w:rPr>
        <w:t>平均质</w:t>
      </w:r>
      <w:r>
        <w:rPr>
          <w:rFonts w:ascii="SimSun" w:hAnsi="SimSun" w:eastAsia="SimSun" w:cs="SimSun"/>
          <w:sz w:val="24"/>
          <w:szCs w:val="24"/>
        </w:rPr>
        <w:t xml:space="preserve"> </w:t>
      </w:r>
      <w:r>
        <w:rPr>
          <w:rFonts w:ascii="SimSun" w:hAnsi="SimSun" w:eastAsia="SimSun" w:cs="SimSun"/>
          <w:sz w:val="24"/>
          <w:szCs w:val="24"/>
          <w:spacing w:val="-1"/>
        </w:rPr>
        <w:t>量浓度限值。对仅有</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8h </w:t>
      </w:r>
      <w:r>
        <w:rPr>
          <w:rFonts w:ascii="SimSun" w:hAnsi="SimSun" w:eastAsia="SimSun" w:cs="SimSun"/>
          <w:sz w:val="24"/>
          <w:szCs w:val="24"/>
          <w:spacing w:val="-1"/>
        </w:rPr>
        <w:t>平均质量浓度限值、日平均质量浓度限值或年平</w:t>
      </w:r>
      <w:r>
        <w:rPr>
          <w:rFonts w:ascii="SimSun" w:hAnsi="SimSun" w:eastAsia="SimSun" w:cs="SimSun"/>
          <w:sz w:val="24"/>
          <w:szCs w:val="24"/>
          <w:spacing w:val="-2"/>
        </w:rPr>
        <w:t>均质量浓</w:t>
      </w:r>
      <w:r>
        <w:rPr>
          <w:rFonts w:ascii="SimSun" w:hAnsi="SimSun" w:eastAsia="SimSun" w:cs="SimSun"/>
          <w:sz w:val="24"/>
          <w:szCs w:val="24"/>
        </w:rPr>
        <w:t xml:space="preserve"> </w:t>
      </w:r>
      <w:r>
        <w:rPr>
          <w:rFonts w:ascii="SimSun" w:hAnsi="SimSun" w:eastAsia="SimSun" w:cs="SimSun"/>
          <w:sz w:val="24"/>
          <w:szCs w:val="24"/>
          <w:spacing w:val="-1"/>
        </w:rPr>
        <w:t>度限值，可分别按</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倍、</w:t>
      </w:r>
      <w:r>
        <w:rPr>
          <w:rFonts w:ascii="Times New Roman" w:hAnsi="Times New Roman" w:eastAsia="Times New Roman" w:cs="Times New Roman"/>
          <w:sz w:val="24"/>
          <w:szCs w:val="24"/>
          <w:spacing w:val="-1"/>
        </w:rPr>
        <w:t>3 </w:t>
      </w:r>
      <w:r>
        <w:rPr>
          <w:rFonts w:ascii="SimSun" w:hAnsi="SimSun" w:eastAsia="SimSun" w:cs="SimSun"/>
          <w:sz w:val="24"/>
          <w:szCs w:val="24"/>
          <w:spacing w:val="-1"/>
        </w:rPr>
        <w:t>倍、</w:t>
      </w:r>
      <w:r>
        <w:rPr>
          <w:rFonts w:ascii="Times New Roman" w:hAnsi="Times New Roman" w:eastAsia="Times New Roman" w:cs="Times New Roman"/>
          <w:sz w:val="24"/>
          <w:szCs w:val="24"/>
          <w:spacing w:val="-1"/>
        </w:rPr>
        <w:t>6 </w:t>
      </w:r>
      <w:r>
        <w:rPr>
          <w:rFonts w:ascii="SimSun" w:hAnsi="SimSun" w:eastAsia="SimSun" w:cs="SimSun"/>
          <w:sz w:val="24"/>
          <w:szCs w:val="24"/>
          <w:spacing w:val="-1"/>
        </w:rPr>
        <w:t>倍折算为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1h </w:t>
      </w:r>
      <w:r>
        <w:rPr>
          <w:rFonts w:ascii="SimSun" w:hAnsi="SimSun" w:eastAsia="SimSun" w:cs="SimSun"/>
          <w:sz w:val="24"/>
          <w:szCs w:val="24"/>
          <w:spacing w:val="-2"/>
        </w:rPr>
        <w:t>平均质量浓度限值。</w:t>
      </w:r>
    </w:p>
    <w:p>
      <w:pPr>
        <w:ind w:left="22" w:right="61" w:firstLine="471"/>
        <w:spacing w:line="359" w:lineRule="auto"/>
        <w:rPr>
          <w:rFonts w:ascii="SimSun" w:hAnsi="SimSun" w:eastAsia="SimSun" w:cs="SimSun"/>
          <w:sz w:val="24"/>
          <w:szCs w:val="24"/>
        </w:rPr>
      </w:pPr>
      <w:r>
        <w:rPr>
          <w:rFonts w:ascii="SimSun" w:hAnsi="SimSun" w:eastAsia="SimSun" w:cs="SimSun"/>
          <w:sz w:val="24"/>
          <w:szCs w:val="24"/>
          <w:spacing w:val="-4"/>
        </w:rPr>
        <w:t>评价工作等级按表</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4"/>
        </w:rPr>
        <w:t>2.4-1</w:t>
      </w:r>
      <w:r>
        <w:rPr>
          <w:rFonts w:ascii="Times New Roman" w:hAnsi="Times New Roman" w:eastAsia="Times New Roman" w:cs="Times New Roman"/>
          <w:sz w:val="24"/>
          <w:szCs w:val="24"/>
          <w:spacing w:val="29"/>
          <w:w w:val="101"/>
        </w:rPr>
        <w:t xml:space="preserve"> </w:t>
      </w:r>
      <w:r>
        <w:rPr>
          <w:rFonts w:ascii="SimSun" w:hAnsi="SimSun" w:eastAsia="SimSun" w:cs="SimSun"/>
          <w:sz w:val="24"/>
          <w:szCs w:val="24"/>
          <w:spacing w:val="-4"/>
        </w:rPr>
        <w:t>的分级数据进行划分，最大地面浓度占标率</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P</w:t>
      </w:r>
      <w:r>
        <w:rPr>
          <w:rFonts w:ascii="Times New Roman" w:hAnsi="Times New Roman" w:eastAsia="Times New Roman" w:cs="Times New Roman"/>
          <w:sz w:val="15"/>
          <w:szCs w:val="15"/>
          <w:spacing w:val="-4"/>
          <w:position w:val="-1"/>
        </w:rPr>
        <w:t>i</w:t>
      </w:r>
      <w:r>
        <w:rPr>
          <w:rFonts w:ascii="Times New Roman" w:hAnsi="Times New Roman" w:eastAsia="Times New Roman" w:cs="Times New Roman"/>
          <w:sz w:val="15"/>
          <w:szCs w:val="15"/>
          <w:spacing w:val="12"/>
          <w:w w:val="101"/>
          <w:position w:val="-1"/>
        </w:rPr>
        <w:t xml:space="preserve"> </w:t>
      </w:r>
      <w:r>
        <w:rPr>
          <w:rFonts w:ascii="SimSun" w:hAnsi="SimSun" w:eastAsia="SimSun" w:cs="SimSun"/>
          <w:sz w:val="24"/>
          <w:szCs w:val="24"/>
          <w:spacing w:val="-4"/>
        </w:rPr>
        <w:t>按上述</w:t>
      </w:r>
      <w:r>
        <w:rPr>
          <w:rFonts w:ascii="SimSun" w:hAnsi="SimSun" w:eastAsia="SimSun" w:cs="SimSun"/>
          <w:sz w:val="24"/>
          <w:szCs w:val="24"/>
        </w:rPr>
        <w:t xml:space="preserve"> </w:t>
      </w:r>
      <w:r>
        <w:rPr>
          <w:rFonts w:ascii="SimSun" w:hAnsi="SimSun" w:eastAsia="SimSun" w:cs="SimSun"/>
          <w:sz w:val="24"/>
          <w:szCs w:val="24"/>
          <w:spacing w:val="-3"/>
        </w:rPr>
        <w:t>公式计算，如污染物数</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3"/>
        </w:rPr>
        <w:t>i </w:t>
      </w:r>
      <w:r>
        <w:rPr>
          <w:rFonts w:ascii="SimSun" w:hAnsi="SimSun" w:eastAsia="SimSun" w:cs="SimSun"/>
          <w:sz w:val="24"/>
          <w:szCs w:val="24"/>
          <w:spacing w:val="-3"/>
        </w:rPr>
        <w:t>大于</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，取</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P</w:t>
      </w:r>
      <w:r>
        <w:rPr>
          <w:rFonts w:ascii="Times New Roman" w:hAnsi="Times New Roman" w:eastAsia="Times New Roman" w:cs="Times New Roman"/>
          <w:sz w:val="15"/>
          <w:szCs w:val="15"/>
          <w:spacing w:val="-3"/>
          <w:position w:val="-1"/>
        </w:rPr>
        <w:t>i  </w:t>
      </w:r>
      <w:r>
        <w:rPr>
          <w:rFonts w:ascii="SimSun" w:hAnsi="SimSun" w:eastAsia="SimSun" w:cs="SimSun"/>
          <w:sz w:val="24"/>
          <w:szCs w:val="24"/>
          <w:spacing w:val="-3"/>
        </w:rPr>
        <w:t>中最</w:t>
      </w:r>
      <w:r>
        <w:rPr>
          <w:rFonts w:ascii="SimSun" w:hAnsi="SimSun" w:eastAsia="SimSun" w:cs="SimSun"/>
          <w:sz w:val="24"/>
          <w:szCs w:val="24"/>
          <w:spacing w:val="-4"/>
        </w:rPr>
        <w:t>大者（</w:t>
      </w:r>
      <w:r>
        <w:rPr>
          <w:rFonts w:ascii="Times New Roman" w:hAnsi="Times New Roman" w:eastAsia="Times New Roman" w:cs="Times New Roman"/>
          <w:sz w:val="24"/>
          <w:szCs w:val="24"/>
          <w:spacing w:val="-4"/>
        </w:rPr>
        <w:t>P</w:t>
      </w:r>
      <w:r>
        <w:rPr>
          <w:rFonts w:ascii="Times New Roman" w:hAnsi="Times New Roman" w:eastAsia="Times New Roman" w:cs="Times New Roman"/>
          <w:sz w:val="15"/>
          <w:szCs w:val="15"/>
          <w:spacing w:val="-4"/>
          <w:position w:val="-1"/>
        </w:rPr>
        <w:t>max </w:t>
      </w:r>
      <w:r>
        <w:rPr>
          <w:rFonts w:ascii="SimSun" w:hAnsi="SimSun" w:eastAsia="SimSun" w:cs="SimSun"/>
          <w:sz w:val="24"/>
          <w:szCs w:val="24"/>
          <w:spacing w:val="-4"/>
        </w:rPr>
        <w:t>）和其对应的</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D</w:t>
      </w:r>
      <w:r>
        <w:rPr>
          <w:rFonts w:ascii="Times New Roman" w:hAnsi="Times New Roman" w:eastAsia="Times New Roman" w:cs="Times New Roman"/>
          <w:sz w:val="15"/>
          <w:szCs w:val="15"/>
          <w:spacing w:val="-4"/>
          <w:position w:val="-1"/>
        </w:rPr>
        <w:t>10%</w:t>
      </w:r>
      <w:r>
        <w:rPr>
          <w:rFonts w:ascii="SimSun" w:hAnsi="SimSun" w:eastAsia="SimSun" w:cs="SimSun"/>
          <w:sz w:val="24"/>
          <w:szCs w:val="24"/>
          <w:spacing w:val="-4"/>
        </w:rPr>
        <w:t>。</w:t>
      </w:r>
    </w:p>
    <w:p>
      <w:pPr>
        <w:ind w:left="493"/>
        <w:spacing w:before="1" w:line="217" w:lineRule="auto"/>
        <w:rPr>
          <w:rFonts w:ascii="SimSun" w:hAnsi="SimSun" w:eastAsia="SimSun" w:cs="SimSun"/>
          <w:sz w:val="24"/>
          <w:szCs w:val="24"/>
        </w:rPr>
      </w:pPr>
      <w:r>
        <w:rPr>
          <w:rFonts w:ascii="SimSun" w:hAnsi="SimSun" w:eastAsia="SimSun" w:cs="SimSun"/>
          <w:sz w:val="24"/>
          <w:szCs w:val="24"/>
          <w:spacing w:val="-1"/>
        </w:rPr>
        <w:t>评价工作等级划分依据详见表</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2.4-1</w:t>
      </w:r>
      <w:r>
        <w:rPr>
          <w:rFonts w:ascii="SimSun" w:hAnsi="SimSun" w:eastAsia="SimSun" w:cs="SimSun"/>
          <w:sz w:val="24"/>
          <w:szCs w:val="24"/>
          <w:spacing w:val="-1"/>
        </w:rPr>
        <w:t>。</w:t>
      </w:r>
    </w:p>
    <w:p>
      <w:pPr>
        <w:ind w:left="2780"/>
        <w:spacing w:before="183"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2.4-1        </w:t>
      </w:r>
      <w:r>
        <w:rPr>
          <w:rFonts w:ascii="SimSun" w:hAnsi="SimSun" w:eastAsia="SimSun" w:cs="SimSun"/>
          <w:sz w:val="24"/>
          <w:szCs w:val="24"/>
          <w:b/>
          <w:bCs/>
          <w:spacing w:val="-2"/>
        </w:rPr>
        <w:t>评价工作等级表</w:t>
      </w:r>
    </w:p>
    <w:tbl>
      <w:tblPr>
        <w:tblStyle w:val="TableNormal"/>
        <w:tblW w:w="850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806"/>
        <w:gridCol w:w="5703"/>
      </w:tblGrid>
      <w:tr>
        <w:trPr>
          <w:trHeight w:val="280" w:hRule="atLeast"/>
        </w:trPr>
        <w:tc>
          <w:tcPr>
            <w:tcW w:w="2806" w:type="dxa"/>
            <w:vAlign w:val="top"/>
          </w:tcPr>
          <w:p>
            <w:pPr>
              <w:pStyle w:val="TableText"/>
              <w:ind w:left="778"/>
              <w:spacing w:before="36" w:line="216" w:lineRule="auto"/>
              <w:rPr/>
            </w:pPr>
            <w:r>
              <w:rPr>
                <w:spacing w:val="8"/>
              </w:rPr>
              <w:t>评价工作等级</w:t>
            </w:r>
          </w:p>
        </w:tc>
        <w:tc>
          <w:tcPr>
            <w:tcW w:w="5703" w:type="dxa"/>
            <w:vAlign w:val="top"/>
          </w:tcPr>
          <w:p>
            <w:pPr>
              <w:pStyle w:val="TableText"/>
              <w:ind w:left="2016"/>
              <w:spacing w:before="36" w:line="216" w:lineRule="auto"/>
              <w:rPr/>
            </w:pPr>
            <w:r>
              <w:rPr>
                <w:spacing w:val="8"/>
              </w:rPr>
              <w:t>评价工作分级判据</w:t>
            </w:r>
          </w:p>
        </w:tc>
      </w:tr>
      <w:tr>
        <w:trPr>
          <w:trHeight w:val="277" w:hRule="atLeast"/>
        </w:trPr>
        <w:tc>
          <w:tcPr>
            <w:tcW w:w="2806" w:type="dxa"/>
            <w:vAlign w:val="top"/>
          </w:tcPr>
          <w:p>
            <w:pPr>
              <w:pStyle w:val="TableText"/>
              <w:ind w:left="1202"/>
              <w:spacing w:before="34" w:line="215" w:lineRule="auto"/>
              <w:rPr/>
            </w:pPr>
            <w:r>
              <w:rPr>
                <w:spacing w:val="3"/>
              </w:rPr>
              <w:t>一级</w:t>
            </w:r>
          </w:p>
        </w:tc>
        <w:tc>
          <w:tcPr>
            <w:tcW w:w="5703" w:type="dxa"/>
            <w:vAlign w:val="top"/>
          </w:tcPr>
          <w:p>
            <w:pPr>
              <w:ind w:left="2425"/>
              <w:spacing w:before="70" w:line="19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P</w:t>
            </w:r>
            <w:r>
              <w:rPr>
                <w:rFonts w:ascii="Times New Roman" w:hAnsi="Times New Roman" w:eastAsia="Times New Roman" w:cs="Times New Roman"/>
                <w:sz w:val="13"/>
                <w:szCs w:val="13"/>
                <w:position w:val="-1"/>
              </w:rPr>
              <w:t>max</w:t>
            </w:r>
            <w:r>
              <w:rPr>
                <w:rFonts w:ascii="Times New Roman" w:hAnsi="Times New Roman" w:eastAsia="Times New Roman" w:cs="Times New Roman"/>
                <w:sz w:val="20"/>
                <w:szCs w:val="20"/>
                <w:spacing w:val="8"/>
              </w:rPr>
              <w:t>≥10%</w:t>
            </w:r>
          </w:p>
        </w:tc>
      </w:tr>
      <w:tr>
        <w:trPr>
          <w:trHeight w:val="276" w:hRule="atLeast"/>
        </w:trPr>
        <w:tc>
          <w:tcPr>
            <w:tcW w:w="2806" w:type="dxa"/>
            <w:vAlign w:val="top"/>
          </w:tcPr>
          <w:p>
            <w:pPr>
              <w:pStyle w:val="TableText"/>
              <w:ind w:left="1202"/>
              <w:spacing w:before="33" w:line="215" w:lineRule="auto"/>
              <w:rPr/>
            </w:pPr>
            <w:r>
              <w:rPr>
                <w:spacing w:val="3"/>
              </w:rPr>
              <w:t>二级</w:t>
            </w:r>
          </w:p>
        </w:tc>
        <w:tc>
          <w:tcPr>
            <w:tcW w:w="5703" w:type="dxa"/>
            <w:vAlign w:val="top"/>
          </w:tcPr>
          <w:p>
            <w:pPr>
              <w:pStyle w:val="TableText"/>
              <w:ind w:left="2201"/>
              <w:spacing w:before="33" w:line="215" w:lineRule="auto"/>
              <w:rPr>
                <w:rFonts w:ascii="Times New Roman" w:hAnsi="Times New Roman" w:eastAsia="Times New Roman" w:cs="Times New Roman"/>
              </w:rPr>
            </w:pPr>
            <w:r>
              <w:rPr>
                <w:rFonts w:ascii="Times New Roman" w:hAnsi="Times New Roman" w:eastAsia="Times New Roman" w:cs="Times New Roman"/>
                <w:spacing w:val="5"/>
              </w:rPr>
              <w:t>1%≤</w:t>
            </w:r>
            <w:r>
              <w:rPr>
                <w:rFonts w:ascii="Times New Roman" w:hAnsi="Times New Roman" w:eastAsia="Times New Roman" w:cs="Times New Roman"/>
              </w:rPr>
              <w:t>P</w:t>
            </w:r>
            <w:r>
              <w:rPr>
                <w:rFonts w:ascii="Times New Roman" w:hAnsi="Times New Roman" w:eastAsia="Times New Roman" w:cs="Times New Roman"/>
                <w:sz w:val="13"/>
                <w:szCs w:val="13"/>
                <w:position w:val="-1"/>
              </w:rPr>
              <w:t>max</w:t>
            </w:r>
            <w:r>
              <w:rPr>
                <w:spacing w:val="5"/>
              </w:rPr>
              <w:t>＜</w:t>
            </w:r>
            <w:r>
              <w:rPr>
                <w:rFonts w:ascii="Times New Roman" w:hAnsi="Times New Roman" w:eastAsia="Times New Roman" w:cs="Times New Roman"/>
                <w:spacing w:val="5"/>
              </w:rPr>
              <w:t>10%</w:t>
            </w:r>
          </w:p>
        </w:tc>
      </w:tr>
      <w:tr>
        <w:trPr>
          <w:trHeight w:val="281" w:hRule="atLeast"/>
        </w:trPr>
        <w:tc>
          <w:tcPr>
            <w:tcW w:w="2806" w:type="dxa"/>
            <w:vAlign w:val="top"/>
          </w:tcPr>
          <w:p>
            <w:pPr>
              <w:pStyle w:val="TableText"/>
              <w:ind w:left="1198"/>
              <w:spacing w:before="34" w:line="218" w:lineRule="auto"/>
              <w:rPr/>
            </w:pPr>
            <w:r>
              <w:rPr>
                <w:spacing w:val="4"/>
              </w:rPr>
              <w:t>三级</w:t>
            </w:r>
          </w:p>
        </w:tc>
        <w:tc>
          <w:tcPr>
            <w:tcW w:w="5703" w:type="dxa"/>
            <w:vAlign w:val="top"/>
          </w:tcPr>
          <w:p>
            <w:pPr>
              <w:ind w:left="2475"/>
              <w:spacing w:before="70"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P</w:t>
            </w:r>
            <w:r>
              <w:rPr>
                <w:rFonts w:ascii="Times New Roman" w:hAnsi="Times New Roman" w:eastAsia="Times New Roman" w:cs="Times New Roman"/>
                <w:sz w:val="13"/>
                <w:szCs w:val="13"/>
                <w:position w:val="-1"/>
              </w:rPr>
              <w:t>max</w:t>
            </w:r>
            <w:r>
              <w:rPr>
                <w:rFonts w:ascii="Times New Roman" w:hAnsi="Times New Roman" w:eastAsia="Times New Roman" w:cs="Times New Roman"/>
                <w:sz w:val="20"/>
                <w:szCs w:val="20"/>
                <w:spacing w:val="9"/>
              </w:rPr>
              <w:t>&lt;1%</w:t>
            </w:r>
          </w:p>
        </w:tc>
      </w:tr>
    </w:tbl>
    <w:p>
      <w:pPr>
        <w:ind w:left="490"/>
        <w:spacing w:before="36" w:line="218" w:lineRule="auto"/>
        <w:rPr>
          <w:rFonts w:ascii="SimSun" w:hAnsi="SimSun" w:eastAsia="SimSun" w:cs="SimSun"/>
          <w:sz w:val="24"/>
          <w:szCs w:val="24"/>
        </w:rPr>
      </w:pP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4"/>
        </w:rPr>
        <w:t>、估算模型参数设施</w:t>
      </w:r>
    </w:p>
    <w:p>
      <w:pPr>
        <w:ind w:left="12" w:right="61" w:firstLine="482"/>
        <w:spacing w:before="182" w:line="460" w:lineRule="auto"/>
        <w:rPr>
          <w:rFonts w:ascii="SimSun" w:hAnsi="SimSun" w:eastAsia="SimSun" w:cs="SimSun"/>
          <w:sz w:val="19"/>
          <w:szCs w:val="19"/>
        </w:rPr>
      </w:pPr>
      <w:r>
        <w:pict>
          <v:shape id="_x0000_s146" style="position:absolute;margin-left:159.57pt;margin-top:36.9818pt;mso-position-vertical-relative:text;mso-position-horizontal-relative:text;width:58.85pt;height:13.75pt;z-index:251727872;"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4"/>
                    </w:rPr>
                    <w:t>任公司</w:t>
                  </w:r>
                  <w:r>
                    <w:rPr>
                      <w:rFonts w:ascii="SimSun" w:hAnsi="SimSun" w:eastAsia="SimSun" w:cs="SimSun"/>
                      <w:sz w:val="19"/>
                      <w:szCs w:val="19"/>
                      <w:spacing w:val="27"/>
                    </w:rPr>
                    <w:t xml:space="preserve">   </w:t>
                  </w:r>
                  <w:r>
                    <w:rPr>
                      <w:rFonts w:ascii="Times New Roman" w:hAnsi="Times New Roman" w:eastAsia="Times New Roman" w:cs="Times New Roman"/>
                      <w:sz w:val="18"/>
                      <w:szCs w:val="18"/>
                      <w:spacing w:val="4"/>
                      <w:position w:val="2"/>
                    </w:rPr>
                    <w:t>27</w:t>
                  </w:r>
                </w:p>
              </w:txbxContent>
            </v:textbox>
          </v:shape>
        </w:pict>
      </w:r>
      <w:r>
        <w:rPr>
          <w:rFonts w:ascii="SimSun" w:hAnsi="SimSun" w:eastAsia="SimSun" w:cs="SimSun"/>
          <w:sz w:val="24"/>
          <w:szCs w:val="24"/>
          <w:spacing w:val="-3"/>
        </w:rPr>
        <w:t>根据《环境影响评价技术导则 大气环境》（</w:t>
      </w:r>
      <w:r>
        <w:rPr>
          <w:rFonts w:ascii="Times New Roman" w:hAnsi="Times New Roman" w:eastAsia="Times New Roman" w:cs="Times New Roman"/>
          <w:sz w:val="24"/>
          <w:szCs w:val="24"/>
          <w:spacing w:val="-3"/>
        </w:rPr>
        <w:t>HJ2.2-2018</w:t>
      </w:r>
      <w:r>
        <w:rPr>
          <w:rFonts w:ascii="SimSun" w:hAnsi="SimSun" w:eastAsia="SimSun" w:cs="SimSun"/>
          <w:sz w:val="24"/>
          <w:szCs w:val="24"/>
          <w:spacing w:val="-3"/>
        </w:rPr>
        <w:t>）附录</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B.6</w:t>
      </w:r>
      <w:r>
        <w:rPr>
          <w:rFonts w:ascii="SimSun" w:hAnsi="SimSun" w:eastAsia="SimSun" w:cs="SimSun"/>
          <w:sz w:val="24"/>
          <w:szCs w:val="24"/>
          <w:spacing w:val="-3"/>
        </w:rPr>
        <w:t>“当项目周</w:t>
      </w:r>
      <w:r>
        <w:rPr>
          <w:rFonts w:ascii="SimSun" w:hAnsi="SimSun" w:eastAsia="SimSun" w:cs="SimSun"/>
          <w:sz w:val="24"/>
          <w:szCs w:val="24"/>
        </w:rPr>
        <w:t xml:space="preserve"> </w:t>
      </w:r>
      <w:r>
        <w:rPr>
          <w:rFonts w:ascii="SimSun" w:hAnsi="SimSun" w:eastAsia="SimSun" w:cs="SimSun"/>
          <w:sz w:val="19"/>
          <w:szCs w:val="19"/>
          <w:spacing w:val="9"/>
        </w:rPr>
        <w:t>锡林郭勒盟中安环境技术咨询有限责</w:t>
      </w:r>
    </w:p>
    <w:p>
      <w:pPr>
        <w:spacing w:line="460" w:lineRule="auto"/>
        <w:sectPr>
          <w:headerReference w:type="default" r:id="rId41"/>
          <w:pgSz w:w="11907" w:h="16840"/>
          <w:pgMar w:top="1567" w:right="1640" w:bottom="400" w:left="1696" w:header="1221" w:footer="0" w:gutter="0"/>
        </w:sectPr>
        <w:rPr>
          <w:rFonts w:ascii="SimSun" w:hAnsi="SimSun" w:eastAsia="SimSun" w:cs="SimSun"/>
          <w:sz w:val="19"/>
          <w:szCs w:val="19"/>
        </w:rPr>
      </w:pPr>
    </w:p>
    <w:p>
      <w:pPr>
        <w:ind w:left="213" w:right="206"/>
        <w:spacing w:before="182" w:line="359" w:lineRule="auto"/>
        <w:jc w:val="both"/>
        <w:rPr>
          <w:rFonts w:ascii="SimSun" w:hAnsi="SimSun" w:eastAsia="SimSun" w:cs="SimSun"/>
          <w:sz w:val="24"/>
          <w:szCs w:val="24"/>
        </w:rPr>
      </w:pPr>
      <w:r>
        <w:pict>
          <v:shape id="_x0000_s150" style="position:absolute;margin-left:85.05pt;margin-top:78.87pt;mso-position-vertical-relative:page;mso-position-horizontal-relative:page;width:425.25pt;height:0.75pt;z-index:251730944;" o:allowincell="f" fillcolor="#000000" filled="true" stroked="false" coordsize="8505,15" coordorigin="0,0" path="m,l8505,0l8505,14l0,14l0,0xe"/>
        </w:pict>
      </w:r>
      <w:r>
        <w:rPr>
          <w:rFonts w:ascii="SimSun" w:hAnsi="SimSun" w:eastAsia="SimSun" w:cs="SimSun"/>
          <w:sz w:val="24"/>
          <w:szCs w:val="24"/>
        </w:rPr>
        <w:t>边</w:t>
      </w:r>
      <w:r>
        <w:rPr>
          <w:rFonts w:ascii="SimSun" w:hAnsi="SimSun" w:eastAsia="SimSun" w:cs="SimSun"/>
          <w:sz w:val="24"/>
          <w:szCs w:val="24"/>
          <w:spacing w:val="-34"/>
        </w:rPr>
        <w:t xml:space="preserve"> </w:t>
      </w:r>
      <w:r>
        <w:rPr>
          <w:rFonts w:ascii="Times New Roman" w:hAnsi="Times New Roman" w:eastAsia="Times New Roman" w:cs="Times New Roman"/>
          <w:sz w:val="24"/>
          <w:szCs w:val="24"/>
        </w:rPr>
        <w:t>3km </w:t>
      </w:r>
      <w:r>
        <w:rPr>
          <w:rFonts w:ascii="SimSun" w:hAnsi="SimSun" w:eastAsia="SimSun" w:cs="SimSun"/>
          <w:sz w:val="24"/>
          <w:szCs w:val="24"/>
        </w:rPr>
        <w:t>半径范围内一半以上面积属于城市建成区或者规划区时，选择城市，否则 </w:t>
      </w:r>
      <w:r>
        <w:rPr>
          <w:rFonts w:ascii="SimSun" w:hAnsi="SimSun" w:eastAsia="SimSun" w:cs="SimSun"/>
          <w:sz w:val="24"/>
          <w:szCs w:val="24"/>
        </w:rPr>
        <w:t>选择农村</w:t>
      </w:r>
      <w:r>
        <w:rPr>
          <w:rFonts w:ascii="SimSun" w:hAnsi="SimSun" w:eastAsia="SimSun" w:cs="SimSun"/>
          <w:sz w:val="24"/>
          <w:szCs w:val="24"/>
          <w:spacing w:val="-88"/>
        </w:rPr>
        <w:t xml:space="preserve"> </w:t>
      </w:r>
      <w:r>
        <w:rPr>
          <w:rFonts w:ascii="SimSun" w:hAnsi="SimSun" w:eastAsia="SimSun" w:cs="SimSun"/>
          <w:sz w:val="24"/>
          <w:szCs w:val="24"/>
        </w:rPr>
        <w:t>”，本项目周边</w:t>
      </w:r>
      <w:r>
        <w:rPr>
          <w:rFonts w:ascii="SimSun" w:hAnsi="SimSun" w:eastAsia="SimSun" w:cs="SimSun"/>
          <w:sz w:val="24"/>
          <w:szCs w:val="24"/>
          <w:spacing w:val="-47"/>
        </w:rPr>
        <w:t xml:space="preserve"> </w:t>
      </w:r>
      <w:r>
        <w:rPr>
          <w:rFonts w:ascii="Times New Roman" w:hAnsi="Times New Roman" w:eastAsia="Times New Roman" w:cs="Times New Roman"/>
          <w:sz w:val="24"/>
          <w:szCs w:val="24"/>
        </w:rPr>
        <w:t>3km </w:t>
      </w:r>
      <w:r>
        <w:rPr>
          <w:rFonts w:ascii="SimSun" w:hAnsi="SimSun" w:eastAsia="SimSun" w:cs="SimSun"/>
          <w:sz w:val="24"/>
          <w:szCs w:val="24"/>
        </w:rPr>
        <w:t>半径范围</w:t>
      </w:r>
      <w:r>
        <w:rPr>
          <w:rFonts w:ascii="SimSun" w:hAnsi="SimSun" w:eastAsia="SimSun" w:cs="SimSun"/>
          <w:sz w:val="24"/>
          <w:szCs w:val="24"/>
          <w:spacing w:val="-1"/>
        </w:rPr>
        <w:t>内正镶白旗城市建成区面积不足一半。因</w:t>
      </w:r>
      <w:r>
        <w:rPr>
          <w:rFonts w:ascii="SimSun" w:hAnsi="SimSun" w:eastAsia="SimSun" w:cs="SimSun"/>
          <w:sz w:val="24"/>
          <w:szCs w:val="24"/>
        </w:rPr>
        <w:t xml:space="preserve"> </w:t>
      </w:r>
      <w:r>
        <w:rPr>
          <w:rFonts w:ascii="SimSun" w:hAnsi="SimSun" w:eastAsia="SimSun" w:cs="SimSun"/>
          <w:sz w:val="24"/>
          <w:szCs w:val="24"/>
          <w:spacing w:val="-1"/>
        </w:rPr>
        <w:t>此，估算模型城市</w:t>
      </w:r>
      <w:r>
        <w:rPr>
          <w:rFonts w:ascii="Times New Roman" w:hAnsi="Times New Roman" w:eastAsia="Times New Roman" w:cs="Times New Roman"/>
          <w:sz w:val="24"/>
          <w:szCs w:val="24"/>
          <w:spacing w:val="-1"/>
        </w:rPr>
        <w:t>/</w:t>
      </w:r>
      <w:r>
        <w:rPr>
          <w:rFonts w:ascii="SimSun" w:hAnsi="SimSun" w:eastAsia="SimSun" w:cs="SimSun"/>
          <w:sz w:val="24"/>
          <w:szCs w:val="24"/>
          <w:spacing w:val="-1"/>
        </w:rPr>
        <w:t>农村选项选择农村。</w:t>
      </w:r>
    </w:p>
    <w:p>
      <w:pPr>
        <w:ind w:left="687"/>
        <w:spacing w:before="1" w:line="217" w:lineRule="auto"/>
        <w:rPr>
          <w:rFonts w:ascii="SimSun" w:hAnsi="SimSun" w:eastAsia="SimSun" w:cs="SimSun"/>
          <w:sz w:val="24"/>
          <w:szCs w:val="24"/>
        </w:rPr>
      </w:pPr>
      <w:r>
        <w:rPr>
          <w:rFonts w:ascii="Times New Roman" w:hAnsi="Times New Roman" w:eastAsia="Times New Roman" w:cs="Times New Roman"/>
          <w:sz w:val="24"/>
          <w:szCs w:val="24"/>
          <w:spacing w:val="-1"/>
        </w:rPr>
        <w:t>AERSCREEN </w:t>
      </w:r>
      <w:r>
        <w:rPr>
          <w:rFonts w:ascii="SimSun" w:hAnsi="SimSun" w:eastAsia="SimSun" w:cs="SimSun"/>
          <w:sz w:val="24"/>
          <w:szCs w:val="24"/>
          <w:spacing w:val="-1"/>
        </w:rPr>
        <w:t>估算模型参数详见表</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2.4-2</w:t>
      </w:r>
      <w:r>
        <w:rPr>
          <w:rFonts w:ascii="SimSun" w:hAnsi="SimSun" w:eastAsia="SimSun" w:cs="SimSun"/>
          <w:sz w:val="24"/>
          <w:szCs w:val="24"/>
          <w:spacing w:val="-1"/>
        </w:rPr>
        <w:t>。</w:t>
      </w:r>
    </w:p>
    <w:p>
      <w:pPr>
        <w:ind w:left="2210"/>
        <w:spacing w:before="182" w:line="213" w:lineRule="auto"/>
        <w:rPr>
          <w:rFonts w:ascii="SimSun" w:hAnsi="SimSun" w:eastAsia="SimSun" w:cs="SimSun"/>
          <w:sz w:val="24"/>
          <w:szCs w:val="24"/>
        </w:rPr>
      </w:pPr>
      <w:r>
        <w:rPr>
          <w:rFonts w:ascii="SimSun" w:hAnsi="SimSun" w:eastAsia="SimSun" w:cs="SimSun"/>
          <w:sz w:val="24"/>
          <w:szCs w:val="24"/>
          <w:b/>
          <w:bCs/>
          <w:spacing w:val="-1"/>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1"/>
        </w:rPr>
        <w:t>2.4-2        AERSCREEN </w:t>
      </w:r>
      <w:r>
        <w:rPr>
          <w:rFonts w:ascii="SimSun" w:hAnsi="SimSun" w:eastAsia="SimSun" w:cs="SimSun"/>
          <w:sz w:val="24"/>
          <w:szCs w:val="24"/>
          <w:b/>
          <w:bCs/>
          <w:spacing w:val="-1"/>
        </w:rPr>
        <w:t>估算模型参数表</w:t>
      </w:r>
    </w:p>
    <w:tbl>
      <w:tblPr>
        <w:tblStyle w:val="TableNormal"/>
        <w:tblW w:w="8509" w:type="dxa"/>
        <w:tblInd w:w="20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126"/>
        <w:gridCol w:w="4362"/>
        <w:gridCol w:w="2021"/>
      </w:tblGrid>
      <w:tr>
        <w:trPr>
          <w:trHeight w:val="281" w:hRule="atLeast"/>
        </w:trPr>
        <w:tc>
          <w:tcPr>
            <w:tcW w:w="6488" w:type="dxa"/>
            <w:vAlign w:val="top"/>
            <w:gridSpan w:val="2"/>
          </w:tcPr>
          <w:p>
            <w:pPr>
              <w:pStyle w:val="TableText"/>
              <w:ind w:left="3043"/>
              <w:spacing w:before="34" w:line="218" w:lineRule="auto"/>
              <w:rPr/>
            </w:pPr>
            <w:r>
              <w:rPr>
                <w:spacing w:val="3"/>
              </w:rPr>
              <w:t>参数</w:t>
            </w:r>
          </w:p>
        </w:tc>
        <w:tc>
          <w:tcPr>
            <w:tcW w:w="2021" w:type="dxa"/>
            <w:vAlign w:val="top"/>
          </w:tcPr>
          <w:p>
            <w:pPr>
              <w:pStyle w:val="TableText"/>
              <w:ind w:left="809"/>
              <w:spacing w:before="34" w:line="218" w:lineRule="auto"/>
              <w:rPr/>
            </w:pPr>
            <w:r>
              <w:rPr>
                <w:spacing w:val="3"/>
              </w:rPr>
              <w:t>取值</w:t>
            </w:r>
          </w:p>
        </w:tc>
      </w:tr>
      <w:tr>
        <w:trPr>
          <w:trHeight w:val="277" w:hRule="atLeast"/>
        </w:trPr>
        <w:tc>
          <w:tcPr>
            <w:tcW w:w="2126" w:type="dxa"/>
            <w:vAlign w:val="top"/>
            <w:vMerge w:val="restart"/>
            <w:tcBorders>
              <w:bottom w:val="nil"/>
            </w:tcBorders>
          </w:tcPr>
          <w:p>
            <w:pPr>
              <w:pStyle w:val="TableText"/>
              <w:ind w:left="409"/>
              <w:spacing w:before="173" w:line="227" w:lineRule="auto"/>
              <w:rPr/>
            </w:pPr>
            <w:r>
              <w:rPr>
                <w:spacing w:val="7"/>
              </w:rPr>
              <w:t>城市</w:t>
            </w:r>
            <w:r>
              <w:rPr>
                <w:rFonts w:ascii="Times New Roman" w:hAnsi="Times New Roman" w:eastAsia="Times New Roman" w:cs="Times New Roman"/>
                <w:spacing w:val="7"/>
              </w:rPr>
              <w:t>/</w:t>
            </w:r>
            <w:r>
              <w:rPr>
                <w:spacing w:val="7"/>
              </w:rPr>
              <w:t>农村选项</w:t>
            </w:r>
          </w:p>
        </w:tc>
        <w:tc>
          <w:tcPr>
            <w:tcW w:w="4362" w:type="dxa"/>
            <w:vAlign w:val="top"/>
          </w:tcPr>
          <w:p>
            <w:pPr>
              <w:pStyle w:val="TableText"/>
              <w:ind w:left="1736"/>
              <w:spacing w:before="31" w:line="217" w:lineRule="auto"/>
              <w:rPr/>
            </w:pPr>
            <w:r>
              <w:rPr>
                <w:spacing w:val="6"/>
              </w:rPr>
              <w:t>城市</w:t>
            </w:r>
            <w:r>
              <w:rPr>
                <w:rFonts w:ascii="Times New Roman" w:hAnsi="Times New Roman" w:eastAsia="Times New Roman" w:cs="Times New Roman"/>
                <w:spacing w:val="6"/>
              </w:rPr>
              <w:t>/</w:t>
            </w:r>
            <w:r>
              <w:rPr>
                <w:spacing w:val="6"/>
              </w:rPr>
              <w:t>农村</w:t>
            </w:r>
          </w:p>
        </w:tc>
        <w:tc>
          <w:tcPr>
            <w:tcW w:w="2021" w:type="dxa"/>
            <w:vAlign w:val="top"/>
          </w:tcPr>
          <w:p>
            <w:pPr>
              <w:pStyle w:val="TableText"/>
              <w:ind w:left="806"/>
              <w:spacing w:before="31" w:line="217" w:lineRule="auto"/>
              <w:rPr/>
            </w:pPr>
            <w:r>
              <w:rPr>
                <w:spacing w:val="4"/>
              </w:rPr>
              <w:t>农村</w:t>
            </w:r>
          </w:p>
        </w:tc>
      </w:tr>
      <w:tr>
        <w:trPr>
          <w:trHeight w:val="277" w:hRule="atLeast"/>
        </w:trPr>
        <w:tc>
          <w:tcPr>
            <w:tcW w:w="2126" w:type="dxa"/>
            <w:vAlign w:val="top"/>
            <w:vMerge w:val="continue"/>
            <w:tcBorders>
              <w:top w:val="nil"/>
            </w:tcBorders>
          </w:tcPr>
          <w:p>
            <w:pPr>
              <w:rPr>
                <w:rFonts w:ascii="Arial"/>
                <w:sz w:val="21"/>
              </w:rPr>
            </w:pPr>
            <w:r/>
          </w:p>
        </w:tc>
        <w:tc>
          <w:tcPr>
            <w:tcW w:w="4362" w:type="dxa"/>
            <w:vAlign w:val="top"/>
          </w:tcPr>
          <w:p>
            <w:pPr>
              <w:pStyle w:val="TableText"/>
              <w:ind w:left="1138"/>
              <w:spacing w:before="32" w:line="216" w:lineRule="auto"/>
              <w:rPr/>
            </w:pPr>
            <w:r>
              <w:rPr>
                <w:spacing w:val="7"/>
              </w:rPr>
              <w:t>人口数（城市选项时）</w:t>
            </w:r>
          </w:p>
        </w:tc>
        <w:tc>
          <w:tcPr>
            <w:tcW w:w="2021" w:type="dxa"/>
            <w:vAlign w:val="top"/>
          </w:tcPr>
          <w:p>
            <w:pPr>
              <w:ind w:left="979"/>
              <w:spacing w:before="6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277" w:hRule="atLeast"/>
        </w:trPr>
        <w:tc>
          <w:tcPr>
            <w:tcW w:w="6488" w:type="dxa"/>
            <w:vAlign w:val="top"/>
            <w:gridSpan w:val="2"/>
          </w:tcPr>
          <w:p>
            <w:pPr>
              <w:pStyle w:val="TableText"/>
              <w:ind w:left="2624"/>
              <w:spacing w:before="31" w:line="217" w:lineRule="auto"/>
              <w:rPr/>
            </w:pPr>
            <w:r>
              <w:rPr>
                <w:spacing w:val="7"/>
              </w:rPr>
              <w:t>最高环境温度</w:t>
            </w:r>
          </w:p>
        </w:tc>
        <w:tc>
          <w:tcPr>
            <w:tcW w:w="2021" w:type="dxa"/>
            <w:vAlign w:val="top"/>
          </w:tcPr>
          <w:p>
            <w:pPr>
              <w:ind w:left="725"/>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36.3℃</w:t>
            </w:r>
          </w:p>
        </w:tc>
      </w:tr>
      <w:tr>
        <w:trPr>
          <w:trHeight w:val="277" w:hRule="atLeast"/>
        </w:trPr>
        <w:tc>
          <w:tcPr>
            <w:tcW w:w="6488" w:type="dxa"/>
            <w:vAlign w:val="top"/>
            <w:gridSpan w:val="2"/>
          </w:tcPr>
          <w:p>
            <w:pPr>
              <w:pStyle w:val="TableText"/>
              <w:ind w:left="2624"/>
              <w:spacing w:before="32" w:line="216" w:lineRule="auto"/>
              <w:rPr/>
            </w:pPr>
            <w:r>
              <w:rPr>
                <w:spacing w:val="7"/>
              </w:rPr>
              <w:t>最低环境温度</w:t>
            </w:r>
          </w:p>
        </w:tc>
        <w:tc>
          <w:tcPr>
            <w:tcW w:w="2021" w:type="dxa"/>
            <w:vAlign w:val="top"/>
          </w:tcPr>
          <w:p>
            <w:pPr>
              <w:ind w:left="689"/>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-36.8℃</w:t>
            </w:r>
          </w:p>
        </w:tc>
      </w:tr>
      <w:tr>
        <w:trPr>
          <w:trHeight w:val="277" w:hRule="atLeast"/>
        </w:trPr>
        <w:tc>
          <w:tcPr>
            <w:tcW w:w="6488" w:type="dxa"/>
            <w:vAlign w:val="top"/>
            <w:gridSpan w:val="2"/>
          </w:tcPr>
          <w:p>
            <w:pPr>
              <w:pStyle w:val="TableText"/>
              <w:ind w:left="2622"/>
              <w:spacing w:before="34" w:line="215" w:lineRule="auto"/>
              <w:rPr/>
            </w:pPr>
            <w:r>
              <w:rPr>
                <w:spacing w:val="8"/>
              </w:rPr>
              <w:t>土地利用类型</w:t>
            </w:r>
          </w:p>
        </w:tc>
        <w:tc>
          <w:tcPr>
            <w:tcW w:w="2021" w:type="dxa"/>
            <w:vAlign w:val="top"/>
          </w:tcPr>
          <w:p>
            <w:pPr>
              <w:pStyle w:val="TableText"/>
              <w:ind w:left="808"/>
              <w:spacing w:before="34" w:line="215" w:lineRule="auto"/>
              <w:rPr/>
            </w:pPr>
            <w:r>
              <w:rPr>
                <w:spacing w:val="3"/>
              </w:rPr>
              <w:t>草地</w:t>
            </w:r>
          </w:p>
        </w:tc>
      </w:tr>
      <w:tr>
        <w:trPr>
          <w:trHeight w:val="277" w:hRule="atLeast"/>
        </w:trPr>
        <w:tc>
          <w:tcPr>
            <w:tcW w:w="6488" w:type="dxa"/>
            <w:vAlign w:val="top"/>
            <w:gridSpan w:val="2"/>
          </w:tcPr>
          <w:p>
            <w:pPr>
              <w:pStyle w:val="TableText"/>
              <w:ind w:left="2637"/>
              <w:spacing w:before="32" w:line="216" w:lineRule="auto"/>
              <w:rPr/>
            </w:pPr>
            <w:r>
              <w:rPr>
                <w:spacing w:val="5"/>
              </w:rPr>
              <w:t>区域湿度条件</w:t>
            </w:r>
          </w:p>
        </w:tc>
        <w:tc>
          <w:tcPr>
            <w:tcW w:w="2021" w:type="dxa"/>
            <w:vAlign w:val="top"/>
          </w:tcPr>
          <w:p>
            <w:pPr>
              <w:pStyle w:val="TableText"/>
              <w:ind w:left="406"/>
              <w:spacing w:before="32" w:line="216" w:lineRule="auto"/>
              <w:rPr/>
            </w:pPr>
            <w:r>
              <w:rPr>
                <w:spacing w:val="4"/>
              </w:rPr>
              <w:t>中等湿度气候</w:t>
            </w:r>
          </w:p>
        </w:tc>
      </w:tr>
      <w:tr>
        <w:trPr>
          <w:trHeight w:val="277" w:hRule="atLeast"/>
        </w:trPr>
        <w:tc>
          <w:tcPr>
            <w:tcW w:w="2126" w:type="dxa"/>
            <w:vAlign w:val="top"/>
            <w:vMerge w:val="restart"/>
            <w:tcBorders>
              <w:bottom w:val="nil"/>
            </w:tcBorders>
          </w:tcPr>
          <w:p>
            <w:pPr>
              <w:pStyle w:val="TableText"/>
              <w:ind w:left="232"/>
              <w:spacing w:before="173" w:line="227" w:lineRule="auto"/>
              <w:rPr/>
            </w:pPr>
            <w:r>
              <w:rPr>
                <w:spacing w:val="8"/>
              </w:rPr>
              <w:t>是否考虑地形条件</w:t>
            </w:r>
          </w:p>
        </w:tc>
        <w:tc>
          <w:tcPr>
            <w:tcW w:w="4362" w:type="dxa"/>
            <w:vAlign w:val="top"/>
          </w:tcPr>
          <w:p>
            <w:pPr>
              <w:pStyle w:val="TableText"/>
              <w:ind w:left="1765"/>
              <w:spacing w:before="34" w:line="215" w:lineRule="auto"/>
              <w:rPr/>
            </w:pPr>
            <w:r>
              <w:rPr>
                <w:spacing w:val="7"/>
              </w:rPr>
              <w:t>考虑地形</w:t>
            </w:r>
          </w:p>
        </w:tc>
        <w:tc>
          <w:tcPr>
            <w:tcW w:w="2021" w:type="dxa"/>
            <w:vAlign w:val="top"/>
          </w:tcPr>
          <w:p>
            <w:pPr>
              <w:pStyle w:val="TableText"/>
              <w:ind w:left="498"/>
              <w:spacing w:before="34" w:line="215" w:lineRule="auto"/>
              <w:rPr/>
            </w:pPr>
            <w:r>
              <w:rPr>
                <w:rFonts w:ascii="MS UI Gothic" w:hAnsi="MS UI Gothic" w:eastAsia="MS UI Gothic" w:cs="MS UI Gothic"/>
                <w:spacing w:val="-2"/>
              </w:rPr>
              <w:t>☑</w:t>
            </w:r>
            <w:r>
              <w:rPr>
                <w:spacing w:val="-2"/>
              </w:rPr>
              <w:t>是</w:t>
            </w:r>
            <w:r>
              <w:rPr>
                <w:spacing w:val="20"/>
              </w:rPr>
              <w:t xml:space="preserve">  </w:t>
            </w:r>
            <w:r>
              <w:rPr>
                <w:spacing w:val="-2"/>
              </w:rPr>
              <w:t>□否</w:t>
            </w:r>
          </w:p>
        </w:tc>
      </w:tr>
      <w:tr>
        <w:trPr>
          <w:trHeight w:val="277" w:hRule="atLeast"/>
        </w:trPr>
        <w:tc>
          <w:tcPr>
            <w:tcW w:w="2126" w:type="dxa"/>
            <w:vAlign w:val="top"/>
            <w:vMerge w:val="continue"/>
            <w:tcBorders>
              <w:top w:val="nil"/>
            </w:tcBorders>
          </w:tcPr>
          <w:p>
            <w:pPr>
              <w:rPr>
                <w:rFonts w:ascii="Arial"/>
                <w:sz w:val="21"/>
              </w:rPr>
            </w:pPr>
            <w:r/>
          </w:p>
        </w:tc>
        <w:tc>
          <w:tcPr>
            <w:tcW w:w="4362" w:type="dxa"/>
            <w:vAlign w:val="top"/>
          </w:tcPr>
          <w:p>
            <w:pPr>
              <w:pStyle w:val="TableText"/>
              <w:ind w:left="1340"/>
              <w:spacing w:before="35" w:line="214" w:lineRule="auto"/>
              <w:rPr>
                <w:rFonts w:ascii="Times New Roman" w:hAnsi="Times New Roman" w:eastAsia="Times New Roman" w:cs="Times New Roman"/>
              </w:rPr>
            </w:pPr>
            <w:r>
              <w:rPr>
                <w:spacing w:val="7"/>
              </w:rPr>
              <w:t>地形数据分别率</w:t>
            </w:r>
            <w:r>
              <w:rPr>
                <w:rFonts w:ascii="Times New Roman" w:hAnsi="Times New Roman" w:eastAsia="Times New Roman" w:cs="Times New Roman"/>
                <w:spacing w:val="7"/>
              </w:rPr>
              <w:t>/m</w:t>
            </w:r>
          </w:p>
        </w:tc>
        <w:tc>
          <w:tcPr>
            <w:tcW w:w="2021" w:type="dxa"/>
            <w:vAlign w:val="top"/>
          </w:tcPr>
          <w:p>
            <w:pPr>
              <w:ind w:left="91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r>
      <w:tr>
        <w:trPr>
          <w:trHeight w:val="277" w:hRule="atLeast"/>
        </w:trPr>
        <w:tc>
          <w:tcPr>
            <w:tcW w:w="2126" w:type="dxa"/>
            <w:vAlign w:val="top"/>
            <w:vMerge w:val="restart"/>
            <w:tcBorders>
              <w:bottom w:val="nil"/>
            </w:tcBorders>
          </w:tcPr>
          <w:p>
            <w:pPr>
              <w:spacing w:line="250" w:lineRule="auto"/>
              <w:rPr>
                <w:rFonts w:ascii="Arial"/>
                <w:sz w:val="21"/>
              </w:rPr>
            </w:pPr>
            <w:r/>
          </w:p>
          <w:p>
            <w:pPr>
              <w:pStyle w:val="TableText"/>
              <w:ind w:left="232"/>
              <w:spacing w:before="65" w:line="227" w:lineRule="auto"/>
              <w:rPr/>
            </w:pPr>
            <w:r>
              <w:rPr>
                <w:spacing w:val="8"/>
              </w:rPr>
              <w:t>是否考虑岸线熏烟</w:t>
            </w:r>
          </w:p>
        </w:tc>
        <w:tc>
          <w:tcPr>
            <w:tcW w:w="4362" w:type="dxa"/>
            <w:vAlign w:val="top"/>
          </w:tcPr>
          <w:p>
            <w:pPr>
              <w:pStyle w:val="TableText"/>
              <w:ind w:left="1556"/>
              <w:spacing w:before="34" w:line="215" w:lineRule="auto"/>
              <w:rPr/>
            </w:pPr>
            <w:r>
              <w:rPr>
                <w:spacing w:val="8"/>
              </w:rPr>
              <w:t>考虑岸线熏烟</w:t>
            </w:r>
          </w:p>
        </w:tc>
        <w:tc>
          <w:tcPr>
            <w:tcW w:w="2021" w:type="dxa"/>
            <w:vAlign w:val="top"/>
          </w:tcPr>
          <w:p>
            <w:pPr>
              <w:pStyle w:val="TableText"/>
              <w:ind w:left="511"/>
              <w:spacing w:before="34" w:line="215" w:lineRule="auto"/>
              <w:rPr/>
            </w:pPr>
            <w:r>
              <w:rPr>
                <w:spacing w:val="-6"/>
              </w:rPr>
              <w:t>□是</w:t>
            </w:r>
            <w:r>
              <w:rPr>
                <w:spacing w:val="21"/>
              </w:rPr>
              <w:t xml:space="preserve">  </w:t>
            </w:r>
            <w:r>
              <w:rPr>
                <w:spacing w:val="-6"/>
              </w:rPr>
              <w:t>□否</w:t>
            </w:r>
          </w:p>
        </w:tc>
      </w:tr>
      <w:tr>
        <w:trPr>
          <w:trHeight w:val="277" w:hRule="atLeast"/>
        </w:trPr>
        <w:tc>
          <w:tcPr>
            <w:tcW w:w="2126" w:type="dxa"/>
            <w:vAlign w:val="top"/>
            <w:vMerge w:val="continue"/>
            <w:tcBorders>
              <w:top w:val="nil"/>
              <w:bottom w:val="nil"/>
            </w:tcBorders>
          </w:tcPr>
          <w:p>
            <w:pPr>
              <w:rPr>
                <w:rFonts w:ascii="Arial"/>
                <w:sz w:val="21"/>
              </w:rPr>
            </w:pPr>
            <w:r/>
          </w:p>
        </w:tc>
        <w:tc>
          <w:tcPr>
            <w:tcW w:w="4362" w:type="dxa"/>
            <w:vAlign w:val="top"/>
          </w:tcPr>
          <w:p>
            <w:pPr>
              <w:pStyle w:val="TableText"/>
              <w:ind w:left="1604"/>
              <w:spacing w:before="35" w:line="214" w:lineRule="auto"/>
              <w:rPr>
                <w:rFonts w:ascii="Times New Roman" w:hAnsi="Times New Roman" w:eastAsia="Times New Roman" w:cs="Times New Roman"/>
              </w:rPr>
            </w:pPr>
            <w:r>
              <w:rPr>
                <w:spacing w:val="8"/>
              </w:rPr>
              <w:t>岸线距离</w:t>
            </w:r>
            <w:r>
              <w:rPr>
                <w:rFonts w:ascii="Times New Roman" w:hAnsi="Times New Roman" w:eastAsia="Times New Roman" w:cs="Times New Roman"/>
                <w:spacing w:val="8"/>
              </w:rPr>
              <w:t>/</w:t>
            </w:r>
            <w:r>
              <w:rPr>
                <w:rFonts w:ascii="Times New Roman" w:hAnsi="Times New Roman" w:eastAsia="Times New Roman" w:cs="Times New Roman"/>
              </w:rPr>
              <w:t>km</w:t>
            </w:r>
          </w:p>
        </w:tc>
        <w:tc>
          <w:tcPr>
            <w:tcW w:w="2021" w:type="dxa"/>
            <w:vAlign w:val="top"/>
          </w:tcPr>
          <w:p>
            <w:pPr>
              <w:ind w:left="979"/>
              <w:spacing w:before="6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281" w:hRule="atLeast"/>
        </w:trPr>
        <w:tc>
          <w:tcPr>
            <w:tcW w:w="2126" w:type="dxa"/>
            <w:vAlign w:val="top"/>
            <w:vMerge w:val="continue"/>
            <w:tcBorders>
              <w:top w:val="nil"/>
            </w:tcBorders>
          </w:tcPr>
          <w:p>
            <w:pPr>
              <w:rPr>
                <w:rFonts w:ascii="Arial"/>
                <w:sz w:val="21"/>
              </w:rPr>
            </w:pPr>
            <w:r/>
          </w:p>
        </w:tc>
        <w:tc>
          <w:tcPr>
            <w:tcW w:w="4362" w:type="dxa"/>
            <w:vAlign w:val="top"/>
          </w:tcPr>
          <w:p>
            <w:pPr>
              <w:pStyle w:val="TableText"/>
              <w:ind w:left="1667"/>
              <w:spacing w:before="33" w:line="219" w:lineRule="auto"/>
              <w:rPr>
                <w:rFonts w:ascii="Times New Roman" w:hAnsi="Times New Roman" w:eastAsia="Times New Roman" w:cs="Times New Roman"/>
              </w:rPr>
            </w:pPr>
            <w:r>
              <w:rPr>
                <w:spacing w:val="5"/>
              </w:rPr>
              <w:t>岸线方向</w:t>
            </w:r>
            <w:r>
              <w:rPr>
                <w:rFonts w:ascii="Times New Roman" w:hAnsi="Times New Roman" w:eastAsia="Times New Roman" w:cs="Times New Roman"/>
                <w:spacing w:val="5"/>
              </w:rPr>
              <w:t>//°</w:t>
            </w:r>
          </w:p>
        </w:tc>
        <w:tc>
          <w:tcPr>
            <w:tcW w:w="2021" w:type="dxa"/>
            <w:vAlign w:val="top"/>
          </w:tcPr>
          <w:p>
            <w:pPr>
              <w:ind w:left="979"/>
              <w:spacing w:before="6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bl>
    <w:p>
      <w:pPr>
        <w:ind w:left="695"/>
        <w:spacing w:before="35" w:line="220" w:lineRule="auto"/>
        <w:rPr>
          <w:rFonts w:ascii="SimSun" w:hAnsi="SimSun" w:eastAsia="SimSun" w:cs="SimSun"/>
          <w:sz w:val="24"/>
          <w:szCs w:val="24"/>
        </w:rPr>
      </w:pP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、污染源排放源强</w:t>
      </w:r>
    </w:p>
    <w:p>
      <w:pPr>
        <w:ind w:left="695"/>
        <w:spacing w:before="179" w:line="219" w:lineRule="auto"/>
        <w:rPr>
          <w:rFonts w:ascii="SimSun" w:hAnsi="SimSun" w:eastAsia="SimSun" w:cs="SimSun"/>
          <w:sz w:val="24"/>
          <w:szCs w:val="24"/>
        </w:rPr>
      </w:pPr>
      <w:r>
        <w:rPr>
          <w:rFonts w:ascii="SimSun" w:hAnsi="SimSun" w:eastAsia="SimSun" w:cs="SimSun"/>
          <w:sz w:val="24"/>
          <w:szCs w:val="24"/>
          <w:spacing w:val="-1"/>
        </w:rPr>
        <w:t>本项目废气有组织和无组织排放源的源强参数见</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5.1.2.1</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2"/>
        </w:rPr>
        <w:t>章节。</w:t>
      </w:r>
    </w:p>
    <w:p>
      <w:pPr>
        <w:ind w:left="689"/>
        <w:spacing w:before="183" w:line="220" w:lineRule="auto"/>
        <w:rPr>
          <w:rFonts w:ascii="SimSun" w:hAnsi="SimSun" w:eastAsia="SimSun" w:cs="SimSun"/>
          <w:sz w:val="24"/>
          <w:szCs w:val="24"/>
        </w:rPr>
      </w:pPr>
      <w:r>
        <w:rPr>
          <w:rFonts w:ascii="Times New Roman" w:hAnsi="Times New Roman" w:eastAsia="Times New Roman" w:cs="Times New Roman"/>
          <w:sz w:val="24"/>
          <w:szCs w:val="24"/>
          <w:spacing w:val="-5"/>
        </w:rPr>
        <w:t>4</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5"/>
        </w:rPr>
        <w:t>、预测结果</w:t>
      </w:r>
    </w:p>
    <w:p>
      <w:pPr>
        <w:ind w:left="202" w:right="125" w:firstLine="492"/>
        <w:spacing w:before="183" w:line="355" w:lineRule="auto"/>
        <w:rPr>
          <w:rFonts w:ascii="SimSun" w:hAnsi="SimSun" w:eastAsia="SimSun" w:cs="SimSun"/>
          <w:sz w:val="24"/>
          <w:szCs w:val="24"/>
        </w:rPr>
      </w:pPr>
      <w:r>
        <w:rPr>
          <w:rFonts w:ascii="SimSun" w:hAnsi="SimSun" w:eastAsia="SimSun" w:cs="SimSun"/>
          <w:sz w:val="24"/>
          <w:szCs w:val="24"/>
          <w:spacing w:val="-8"/>
        </w:rPr>
        <w:t>通过对项目进行工程分析，主要大气污染物排放来自各环节产生的</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8"/>
        </w:rPr>
        <w:t>PM</w:t>
      </w:r>
      <w:r>
        <w:rPr>
          <w:rFonts w:ascii="Times New Roman" w:hAnsi="Times New Roman" w:eastAsia="Times New Roman" w:cs="Times New Roman"/>
          <w:sz w:val="15"/>
          <w:szCs w:val="15"/>
          <w:spacing w:val="-8"/>
          <w:position w:val="-1"/>
        </w:rPr>
        <w:t>10</w:t>
      </w:r>
      <w:r>
        <w:rPr>
          <w:rFonts w:ascii="SimSun" w:hAnsi="SimSun" w:eastAsia="SimSun" w:cs="SimSun"/>
          <w:sz w:val="24"/>
          <w:szCs w:val="24"/>
          <w:spacing w:val="-8"/>
          <w:position w:val="-1"/>
        </w:rPr>
        <w:t>、</w:t>
      </w:r>
      <w:r>
        <w:rPr>
          <w:rFonts w:ascii="Times New Roman" w:hAnsi="Times New Roman" w:eastAsia="Times New Roman" w:cs="Times New Roman"/>
          <w:sz w:val="24"/>
          <w:szCs w:val="24"/>
          <w:spacing w:val="-8"/>
        </w:rPr>
        <w:t>SO</w:t>
      </w:r>
      <w:r>
        <w:rPr>
          <w:rFonts w:ascii="Times New Roman" w:hAnsi="Times New Roman" w:eastAsia="Times New Roman" w:cs="Times New Roman"/>
          <w:sz w:val="15"/>
          <w:szCs w:val="15"/>
          <w:spacing w:val="-8"/>
          <w:position w:val="-1"/>
        </w:rPr>
        <w:t>2</w:t>
      </w:r>
      <w:r>
        <w:rPr>
          <w:rFonts w:ascii="SimSun" w:hAnsi="SimSun" w:eastAsia="SimSun" w:cs="SimSun"/>
          <w:sz w:val="24"/>
          <w:szCs w:val="24"/>
          <w:spacing w:val="-8"/>
        </w:rPr>
        <w:t>、</w:t>
      </w:r>
      <w:r>
        <w:rPr>
          <w:rFonts w:ascii="SimSun" w:hAnsi="SimSun" w:eastAsia="SimSun" w:cs="SimSun"/>
          <w:sz w:val="24"/>
          <w:szCs w:val="24"/>
        </w:rPr>
        <w:t xml:space="preserve"> </w:t>
      </w:r>
      <w:r>
        <w:rPr>
          <w:rFonts w:ascii="Times New Roman" w:hAnsi="Times New Roman" w:eastAsia="Times New Roman" w:cs="Times New Roman"/>
          <w:sz w:val="24"/>
          <w:szCs w:val="24"/>
          <w:spacing w:val="-2"/>
        </w:rPr>
        <w:t>NO</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NH</w:t>
      </w:r>
      <w:r>
        <w:rPr>
          <w:rFonts w:ascii="Times New Roman" w:hAnsi="Times New Roman" w:eastAsia="Times New Roman" w:cs="Times New Roman"/>
          <w:sz w:val="15"/>
          <w:szCs w:val="15"/>
          <w:spacing w:val="-2"/>
          <w:position w:val="-1"/>
        </w:rPr>
        <w:t>3</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H</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15"/>
          <w:szCs w:val="15"/>
          <w:spacing w:val="-21"/>
          <w:position w:val="-1"/>
        </w:rPr>
        <w:t xml:space="preserve"> </w:t>
      </w:r>
      <w:r>
        <w:rPr>
          <w:rFonts w:ascii="Times New Roman" w:hAnsi="Times New Roman" w:eastAsia="Times New Roman" w:cs="Times New Roman"/>
          <w:sz w:val="24"/>
          <w:szCs w:val="24"/>
          <w:spacing w:val="-2"/>
        </w:rPr>
        <w:t>S</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TSP </w:t>
      </w:r>
      <w:r>
        <w:rPr>
          <w:rFonts w:ascii="SimSun" w:hAnsi="SimSun" w:eastAsia="SimSun" w:cs="SimSun"/>
          <w:sz w:val="24"/>
          <w:szCs w:val="24"/>
          <w:spacing w:val="-2"/>
        </w:rPr>
        <w:t>等，大气环境评价等级估算结</w:t>
      </w:r>
      <w:r>
        <w:rPr>
          <w:rFonts w:ascii="SimSun" w:hAnsi="SimSun" w:eastAsia="SimSun" w:cs="SimSun"/>
          <w:sz w:val="24"/>
          <w:szCs w:val="24"/>
          <w:spacing w:val="-3"/>
        </w:rPr>
        <w:t>果详见表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2.4-3</w:t>
      </w:r>
      <w:r>
        <w:rPr>
          <w:rFonts w:ascii="SimSun" w:hAnsi="SimSun" w:eastAsia="SimSun" w:cs="SimSun"/>
          <w:sz w:val="24"/>
          <w:szCs w:val="24"/>
          <w:spacing w:val="-3"/>
        </w:rPr>
        <w:t>。</w:t>
      </w:r>
    </w:p>
    <w:p>
      <w:pPr>
        <w:ind w:left="2018"/>
        <w:spacing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2.4-3        </w:t>
      </w:r>
      <w:r>
        <w:rPr>
          <w:rFonts w:ascii="SimSun" w:hAnsi="SimSun" w:eastAsia="SimSun" w:cs="SimSun"/>
          <w:sz w:val="24"/>
          <w:szCs w:val="24"/>
          <w:b/>
          <w:bCs/>
          <w:spacing w:val="-2"/>
        </w:rPr>
        <w:t>项目污染物排放源估算结果一览表</w:t>
      </w:r>
    </w:p>
    <w:tbl>
      <w:tblPr>
        <w:tblStyle w:val="TableNormal"/>
        <w:tblW w:w="890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90"/>
        <w:gridCol w:w="2670"/>
        <w:gridCol w:w="1213"/>
        <w:gridCol w:w="1107"/>
        <w:gridCol w:w="1232"/>
        <w:gridCol w:w="889"/>
        <w:gridCol w:w="1108"/>
      </w:tblGrid>
      <w:tr>
        <w:trPr>
          <w:trHeight w:val="865" w:hRule="atLeast"/>
        </w:trPr>
        <w:tc>
          <w:tcPr>
            <w:tcW w:w="3360" w:type="dxa"/>
            <w:vAlign w:val="top"/>
            <w:gridSpan w:val="2"/>
          </w:tcPr>
          <w:p>
            <w:pPr>
              <w:spacing w:line="260" w:lineRule="auto"/>
              <w:rPr>
                <w:rFonts w:ascii="Arial"/>
                <w:sz w:val="21"/>
              </w:rPr>
            </w:pPr>
            <w:r/>
          </w:p>
          <w:p>
            <w:pPr>
              <w:pStyle w:val="TableText"/>
              <w:ind w:left="1371"/>
              <w:spacing w:before="65" w:line="228" w:lineRule="auto"/>
              <w:rPr/>
            </w:pPr>
            <w:r>
              <w:rPr>
                <w:spacing w:val="6"/>
              </w:rPr>
              <w:t>污染源</w:t>
            </w:r>
          </w:p>
        </w:tc>
        <w:tc>
          <w:tcPr>
            <w:tcW w:w="1213" w:type="dxa"/>
            <w:vAlign w:val="top"/>
          </w:tcPr>
          <w:p>
            <w:pPr>
              <w:spacing w:line="260" w:lineRule="auto"/>
              <w:rPr>
                <w:rFonts w:ascii="Arial"/>
                <w:sz w:val="21"/>
              </w:rPr>
            </w:pPr>
            <w:r/>
          </w:p>
          <w:p>
            <w:pPr>
              <w:pStyle w:val="TableText"/>
              <w:ind w:left="193"/>
              <w:spacing w:before="65" w:line="228" w:lineRule="auto"/>
              <w:rPr/>
            </w:pPr>
            <w:r>
              <w:rPr>
                <w:spacing w:val="6"/>
              </w:rPr>
              <w:t>污染因子</w:t>
            </w:r>
          </w:p>
        </w:tc>
        <w:tc>
          <w:tcPr>
            <w:tcW w:w="1107" w:type="dxa"/>
            <w:vAlign w:val="top"/>
          </w:tcPr>
          <w:p>
            <w:pPr>
              <w:pStyle w:val="TableText"/>
              <w:ind w:left="139"/>
              <w:spacing w:before="192" w:line="226" w:lineRule="auto"/>
              <w:rPr/>
            </w:pPr>
            <w:r>
              <w:rPr>
                <w:spacing w:val="7"/>
              </w:rPr>
              <w:t>评价标准</w:t>
            </w:r>
          </w:p>
          <w:p>
            <w:pPr>
              <w:pStyle w:val="TableText"/>
              <w:ind w:left="80"/>
              <w:spacing w:before="26" w:line="221" w:lineRule="auto"/>
              <w:rPr/>
            </w:pPr>
            <w:r>
              <w:rPr>
                <w:spacing w:val="3"/>
              </w:rPr>
              <w:t>（</w:t>
            </w:r>
            <w:r>
              <w:rPr>
                <w:rFonts w:ascii="Times New Roman" w:hAnsi="Times New Roman" w:eastAsia="Times New Roman" w:cs="Times New Roman"/>
              </w:rPr>
              <w:t>mg</w:t>
            </w:r>
            <w:r>
              <w:rPr>
                <w:rFonts w:ascii="Times New Roman" w:hAnsi="Times New Roman" w:eastAsia="Times New Roman" w:cs="Times New Roman"/>
                <w:spacing w:val="3"/>
              </w:rPr>
              <w:t>/m</w:t>
            </w:r>
            <w:r>
              <w:rPr>
                <w:rFonts w:ascii="Times New Roman" w:hAnsi="Times New Roman" w:eastAsia="Times New Roman" w:cs="Times New Roman"/>
                <w:sz w:val="13"/>
                <w:szCs w:val="13"/>
                <w:spacing w:val="3"/>
                <w:position w:val="6"/>
              </w:rPr>
              <w:t>3</w:t>
            </w:r>
            <w:r>
              <w:rPr>
                <w:spacing w:val="3"/>
              </w:rPr>
              <w:t>）</w:t>
            </w:r>
          </w:p>
        </w:tc>
        <w:tc>
          <w:tcPr>
            <w:tcW w:w="1232" w:type="dxa"/>
            <w:vAlign w:val="top"/>
          </w:tcPr>
          <w:p>
            <w:pPr>
              <w:ind w:left="434"/>
              <w:spacing w:before="163"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2"/>
              </w:rPr>
              <w:t>C</w:t>
            </w:r>
            <w:r>
              <w:rPr>
                <w:rFonts w:ascii="Times New Roman" w:hAnsi="Times New Roman" w:eastAsia="Times New Roman" w:cs="Times New Roman"/>
                <w:sz w:val="13"/>
                <w:szCs w:val="13"/>
                <w:spacing w:val="2"/>
                <w:position w:val="-1"/>
              </w:rPr>
              <w:t>max</w:t>
            </w:r>
          </w:p>
          <w:p>
            <w:pPr>
              <w:ind w:left="274"/>
              <w:spacing w:before="28" w:line="21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/m</w:t>
            </w:r>
            <w:r>
              <w:rPr>
                <w:rFonts w:ascii="Times New Roman" w:hAnsi="Times New Roman" w:eastAsia="Times New Roman" w:cs="Times New Roman"/>
                <w:sz w:val="13"/>
                <w:szCs w:val="13"/>
                <w:spacing w:val="4"/>
                <w:position w:val="6"/>
              </w:rPr>
              <w:t>3</w:t>
            </w:r>
            <w:r>
              <w:rPr>
                <w:rFonts w:ascii="Times New Roman" w:hAnsi="Times New Roman" w:eastAsia="Times New Roman" w:cs="Times New Roman"/>
                <w:sz w:val="20"/>
                <w:szCs w:val="20"/>
                <w:spacing w:val="4"/>
              </w:rPr>
              <w:t>)</w:t>
            </w:r>
          </w:p>
        </w:tc>
        <w:tc>
          <w:tcPr>
            <w:tcW w:w="889" w:type="dxa"/>
            <w:vAlign w:val="top"/>
          </w:tcPr>
          <w:p>
            <w:pPr>
              <w:ind w:left="271"/>
              <w:spacing w:before="166"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P</w:t>
            </w:r>
            <w:r>
              <w:rPr>
                <w:rFonts w:ascii="Times New Roman" w:hAnsi="Times New Roman" w:eastAsia="Times New Roman" w:cs="Times New Roman"/>
                <w:sz w:val="13"/>
                <w:szCs w:val="13"/>
                <w:spacing w:val="3"/>
                <w:position w:val="-1"/>
              </w:rPr>
              <w:t>max</w:t>
            </w:r>
          </w:p>
          <w:p>
            <w:pPr>
              <w:ind w:left="295"/>
              <w:spacing w:before="4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108" w:type="dxa"/>
            <w:vAlign w:val="top"/>
          </w:tcPr>
          <w:p>
            <w:pPr>
              <w:spacing w:line="260" w:lineRule="auto"/>
              <w:rPr>
                <w:rFonts w:ascii="Arial"/>
                <w:sz w:val="21"/>
              </w:rPr>
            </w:pPr>
            <w:r/>
          </w:p>
          <w:p>
            <w:pPr>
              <w:pStyle w:val="TableText"/>
              <w:ind w:left="139"/>
              <w:spacing w:before="65" w:line="226" w:lineRule="auto"/>
              <w:rPr/>
            </w:pPr>
            <w:r>
              <w:rPr>
                <w:spacing w:val="7"/>
              </w:rPr>
              <w:t>评价等级</w:t>
            </w:r>
          </w:p>
        </w:tc>
      </w:tr>
      <w:tr>
        <w:trPr>
          <w:trHeight w:val="549" w:hRule="atLeast"/>
        </w:trPr>
        <w:tc>
          <w:tcPr>
            <w:tcW w:w="690" w:type="dxa"/>
            <w:vAlign w:val="top"/>
            <w:vMerge w:val="restart"/>
            <w:tcBorders>
              <w:bottom w:val="nil"/>
            </w:tcBorders>
          </w:tcPr>
          <w:p>
            <w:pPr>
              <w:spacing w:line="249"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pStyle w:val="TableText"/>
              <w:ind w:left="36"/>
              <w:spacing w:before="65" w:line="228" w:lineRule="auto"/>
              <w:rPr/>
            </w:pPr>
            <w:r>
              <w:rPr>
                <w:spacing w:val="6"/>
              </w:rPr>
              <w:t>有组织</w:t>
            </w:r>
          </w:p>
        </w:tc>
        <w:tc>
          <w:tcPr>
            <w:tcW w:w="2670" w:type="dxa"/>
            <w:vAlign w:val="top"/>
          </w:tcPr>
          <w:p>
            <w:pPr>
              <w:pStyle w:val="TableText"/>
              <w:ind w:left="8"/>
              <w:spacing w:before="32" w:line="228" w:lineRule="auto"/>
              <w:rPr/>
            </w:pPr>
            <w:r>
              <w:rPr>
                <w:spacing w:val="3"/>
              </w:rPr>
              <w:t>开松除杂粉尘（东厂区）排气</w:t>
            </w:r>
          </w:p>
          <w:p>
            <w:pPr>
              <w:pStyle w:val="TableText"/>
              <w:ind w:left="901"/>
              <w:spacing w:before="24" w:line="217" w:lineRule="auto"/>
              <w:rPr>
                <w:rFonts w:ascii="Times New Roman" w:hAnsi="Times New Roman" w:eastAsia="Times New Roman" w:cs="Times New Roman"/>
              </w:rPr>
            </w:pPr>
            <w:r>
              <w:rPr>
                <w:spacing w:val="5"/>
              </w:rPr>
              <w:t>筒</w:t>
            </w:r>
            <w:r>
              <w:rPr>
                <w:spacing w:val="-42"/>
              </w:rPr>
              <w:t xml:space="preserve"> </w:t>
            </w:r>
            <w:r>
              <w:rPr>
                <w:rFonts w:ascii="Times New Roman" w:hAnsi="Times New Roman" w:eastAsia="Times New Roman" w:cs="Times New Roman"/>
              </w:rPr>
              <w:t>DA</w:t>
            </w:r>
            <w:r>
              <w:rPr>
                <w:rFonts w:ascii="Times New Roman" w:hAnsi="Times New Roman" w:eastAsia="Times New Roman" w:cs="Times New Roman"/>
                <w:spacing w:val="5"/>
              </w:rPr>
              <w:t>001</w:t>
            </w:r>
          </w:p>
        </w:tc>
        <w:tc>
          <w:tcPr>
            <w:tcW w:w="1213" w:type="dxa"/>
            <w:vAlign w:val="top"/>
          </w:tcPr>
          <w:p>
            <w:pPr>
              <w:ind w:left="386"/>
              <w:spacing w:before="208"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PM</w:t>
            </w:r>
            <w:r>
              <w:rPr>
                <w:rFonts w:ascii="Times New Roman" w:hAnsi="Times New Roman" w:eastAsia="Times New Roman" w:cs="Times New Roman"/>
                <w:sz w:val="13"/>
                <w:szCs w:val="13"/>
                <w:spacing w:val="8"/>
                <w:position w:val="-1"/>
              </w:rPr>
              <w:t>10</w:t>
            </w:r>
          </w:p>
        </w:tc>
        <w:tc>
          <w:tcPr>
            <w:tcW w:w="1107" w:type="dxa"/>
            <w:vAlign w:val="top"/>
          </w:tcPr>
          <w:p>
            <w:pPr>
              <w:ind w:left="374"/>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0.45</w:t>
            </w:r>
          </w:p>
        </w:tc>
        <w:tc>
          <w:tcPr>
            <w:tcW w:w="1232" w:type="dxa"/>
            <w:vAlign w:val="top"/>
          </w:tcPr>
          <w:p>
            <w:pPr>
              <w:ind w:left="240"/>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8.48E-06</w:t>
            </w:r>
          </w:p>
        </w:tc>
        <w:tc>
          <w:tcPr>
            <w:tcW w:w="889" w:type="dxa"/>
            <w:vAlign w:val="top"/>
          </w:tcPr>
          <w:p>
            <w:pPr>
              <w:ind w:left="267"/>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08" w:type="dxa"/>
            <w:vAlign w:val="top"/>
          </w:tcPr>
          <w:p>
            <w:pPr>
              <w:pStyle w:val="TableText"/>
              <w:ind w:left="349"/>
              <w:spacing w:before="166" w:line="230" w:lineRule="auto"/>
              <w:rPr/>
            </w:pPr>
            <w:r>
              <w:rPr>
                <w:spacing w:val="4"/>
              </w:rPr>
              <w:t>三级</w:t>
            </w:r>
          </w:p>
        </w:tc>
      </w:tr>
      <w:tr>
        <w:trPr>
          <w:trHeight w:val="549" w:hRule="atLeast"/>
        </w:trPr>
        <w:tc>
          <w:tcPr>
            <w:tcW w:w="690" w:type="dxa"/>
            <w:vAlign w:val="top"/>
            <w:vMerge w:val="continue"/>
            <w:tcBorders>
              <w:top w:val="nil"/>
              <w:bottom w:val="nil"/>
            </w:tcBorders>
          </w:tcPr>
          <w:p>
            <w:pPr>
              <w:rPr>
                <w:rFonts w:ascii="Arial"/>
                <w:sz w:val="21"/>
              </w:rPr>
            </w:pPr>
            <w:r/>
          </w:p>
        </w:tc>
        <w:tc>
          <w:tcPr>
            <w:tcW w:w="2670" w:type="dxa"/>
            <w:vAlign w:val="top"/>
          </w:tcPr>
          <w:p>
            <w:pPr>
              <w:pStyle w:val="TableText"/>
              <w:ind w:left="8"/>
              <w:spacing w:before="32" w:line="228" w:lineRule="auto"/>
              <w:rPr/>
            </w:pPr>
            <w:r>
              <w:rPr>
                <w:spacing w:val="3"/>
              </w:rPr>
              <w:t>开松除杂粉尘（西厂区）排气</w:t>
            </w:r>
          </w:p>
          <w:p>
            <w:pPr>
              <w:pStyle w:val="TableText"/>
              <w:ind w:left="901"/>
              <w:spacing w:before="24" w:line="217" w:lineRule="auto"/>
              <w:rPr>
                <w:rFonts w:ascii="Times New Roman" w:hAnsi="Times New Roman" w:eastAsia="Times New Roman" w:cs="Times New Roman"/>
              </w:rPr>
            </w:pPr>
            <w:r>
              <w:rPr>
                <w:spacing w:val="5"/>
              </w:rPr>
              <w:t>筒</w:t>
            </w:r>
            <w:r>
              <w:rPr>
                <w:spacing w:val="-42"/>
              </w:rPr>
              <w:t xml:space="preserve"> </w:t>
            </w:r>
            <w:r>
              <w:rPr>
                <w:rFonts w:ascii="Times New Roman" w:hAnsi="Times New Roman" w:eastAsia="Times New Roman" w:cs="Times New Roman"/>
              </w:rPr>
              <w:t>DA</w:t>
            </w:r>
            <w:r>
              <w:rPr>
                <w:rFonts w:ascii="Times New Roman" w:hAnsi="Times New Roman" w:eastAsia="Times New Roman" w:cs="Times New Roman"/>
                <w:spacing w:val="5"/>
              </w:rPr>
              <w:t>002</w:t>
            </w:r>
          </w:p>
        </w:tc>
        <w:tc>
          <w:tcPr>
            <w:tcW w:w="1213" w:type="dxa"/>
            <w:vAlign w:val="top"/>
          </w:tcPr>
          <w:p>
            <w:pPr>
              <w:ind w:left="386"/>
              <w:spacing w:before="206"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PM</w:t>
            </w:r>
            <w:r>
              <w:rPr>
                <w:rFonts w:ascii="Times New Roman" w:hAnsi="Times New Roman" w:eastAsia="Times New Roman" w:cs="Times New Roman"/>
                <w:sz w:val="13"/>
                <w:szCs w:val="13"/>
                <w:spacing w:val="8"/>
                <w:position w:val="-1"/>
              </w:rPr>
              <w:t>10</w:t>
            </w:r>
          </w:p>
        </w:tc>
        <w:tc>
          <w:tcPr>
            <w:tcW w:w="1107" w:type="dxa"/>
            <w:vAlign w:val="top"/>
          </w:tcPr>
          <w:p>
            <w:pPr>
              <w:ind w:left="374"/>
              <w:spacing w:before="2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0.45</w:t>
            </w:r>
          </w:p>
        </w:tc>
        <w:tc>
          <w:tcPr>
            <w:tcW w:w="1232" w:type="dxa"/>
            <w:vAlign w:val="top"/>
          </w:tcPr>
          <w:p>
            <w:pPr>
              <w:ind w:left="240"/>
              <w:spacing w:before="2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8.48E-06</w:t>
            </w:r>
          </w:p>
        </w:tc>
        <w:tc>
          <w:tcPr>
            <w:tcW w:w="889" w:type="dxa"/>
            <w:vAlign w:val="top"/>
          </w:tcPr>
          <w:p>
            <w:pPr>
              <w:ind w:left="267"/>
              <w:spacing w:before="2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08" w:type="dxa"/>
            <w:vAlign w:val="top"/>
          </w:tcPr>
          <w:p>
            <w:pPr>
              <w:pStyle w:val="TableText"/>
              <w:ind w:left="349"/>
              <w:spacing w:before="167" w:line="230" w:lineRule="auto"/>
              <w:rPr/>
            </w:pPr>
            <w:r>
              <w:rPr>
                <w:spacing w:val="4"/>
              </w:rPr>
              <w:t>三级</w:t>
            </w:r>
          </w:p>
        </w:tc>
      </w:tr>
      <w:tr>
        <w:trPr>
          <w:trHeight w:val="277" w:hRule="atLeast"/>
        </w:trPr>
        <w:tc>
          <w:tcPr>
            <w:tcW w:w="690" w:type="dxa"/>
            <w:vAlign w:val="top"/>
            <w:vMerge w:val="continue"/>
            <w:tcBorders>
              <w:top w:val="nil"/>
              <w:bottom w:val="nil"/>
            </w:tcBorders>
          </w:tcPr>
          <w:p>
            <w:pPr>
              <w:rPr>
                <w:rFonts w:ascii="Arial"/>
                <w:sz w:val="21"/>
              </w:rPr>
            </w:pPr>
            <w:r/>
          </w:p>
        </w:tc>
        <w:tc>
          <w:tcPr>
            <w:tcW w:w="2670" w:type="dxa"/>
            <w:vAlign w:val="top"/>
            <w:vMerge w:val="restart"/>
            <w:tcBorders>
              <w:bottom w:val="nil"/>
            </w:tcBorders>
          </w:tcPr>
          <w:p>
            <w:pPr>
              <w:pStyle w:val="TableText"/>
              <w:ind w:left="792" w:right="77" w:hanging="716"/>
              <w:spacing w:before="37" w:line="236" w:lineRule="auto"/>
              <w:rPr>
                <w:rFonts w:ascii="Times New Roman" w:hAnsi="Times New Roman" w:eastAsia="Times New Roman" w:cs="Times New Roman"/>
              </w:rPr>
            </w:pPr>
            <w:r>
              <w:rPr>
                <w:spacing w:val="9"/>
              </w:rPr>
              <w:t>废水收集池等恶臭污气体排</w:t>
            </w:r>
            <w:r>
              <w:rPr>
                <w:spacing w:val="1"/>
              </w:rPr>
              <w:t xml:space="preserve"> </w:t>
            </w:r>
            <w:r>
              <w:rPr>
                <w:spacing w:val="6"/>
              </w:rPr>
              <w:t>气筒</w:t>
            </w:r>
            <w:r>
              <w:rPr>
                <w:spacing w:val="-38"/>
              </w:rPr>
              <w:t xml:space="preserve"> </w:t>
            </w:r>
            <w:r>
              <w:rPr>
                <w:rFonts w:ascii="Times New Roman" w:hAnsi="Times New Roman" w:eastAsia="Times New Roman" w:cs="Times New Roman"/>
              </w:rPr>
              <w:t>DA</w:t>
            </w:r>
            <w:r>
              <w:rPr>
                <w:rFonts w:ascii="Times New Roman" w:hAnsi="Times New Roman" w:eastAsia="Times New Roman" w:cs="Times New Roman"/>
                <w:spacing w:val="6"/>
              </w:rPr>
              <w:t>003</w:t>
            </w:r>
          </w:p>
        </w:tc>
        <w:tc>
          <w:tcPr>
            <w:tcW w:w="1213" w:type="dxa"/>
            <w:vAlign w:val="top"/>
          </w:tcPr>
          <w:p>
            <w:pPr>
              <w:ind w:left="416"/>
              <w:spacing w:before="72"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1107" w:type="dxa"/>
            <w:vAlign w:val="top"/>
          </w:tcPr>
          <w:p>
            <w:pPr>
              <w:ind w:left="42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1232" w:type="dxa"/>
            <w:vAlign w:val="top"/>
          </w:tcPr>
          <w:p>
            <w:pPr>
              <w:ind w:left="23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3.03E-03</w:t>
            </w:r>
          </w:p>
        </w:tc>
        <w:tc>
          <w:tcPr>
            <w:tcW w:w="889" w:type="dxa"/>
            <w:vAlign w:val="top"/>
          </w:tcPr>
          <w:p>
            <w:pPr>
              <w:ind w:left="284"/>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1.51</w:t>
            </w:r>
          </w:p>
        </w:tc>
        <w:tc>
          <w:tcPr>
            <w:tcW w:w="1108" w:type="dxa"/>
            <w:vAlign w:val="top"/>
          </w:tcPr>
          <w:p>
            <w:pPr>
              <w:pStyle w:val="TableText"/>
              <w:ind w:left="352"/>
              <w:spacing w:before="33" w:line="216" w:lineRule="auto"/>
              <w:rPr/>
            </w:pPr>
            <w:r>
              <w:rPr>
                <w:spacing w:val="3"/>
              </w:rPr>
              <w:t>二级</w:t>
            </w:r>
          </w:p>
        </w:tc>
      </w:tr>
      <w:tr>
        <w:trPr>
          <w:trHeight w:val="277" w:hRule="atLeast"/>
        </w:trPr>
        <w:tc>
          <w:tcPr>
            <w:tcW w:w="690" w:type="dxa"/>
            <w:vAlign w:val="top"/>
            <w:vMerge w:val="continue"/>
            <w:tcBorders>
              <w:top w:val="nil"/>
              <w:bottom w:val="nil"/>
            </w:tcBorders>
          </w:tcPr>
          <w:p>
            <w:pPr>
              <w:rPr>
                <w:rFonts w:ascii="Arial"/>
                <w:sz w:val="21"/>
              </w:rPr>
            </w:pPr>
            <w:r/>
          </w:p>
        </w:tc>
        <w:tc>
          <w:tcPr>
            <w:tcW w:w="2670" w:type="dxa"/>
            <w:vAlign w:val="top"/>
            <w:vMerge w:val="continue"/>
            <w:tcBorders>
              <w:top w:val="nil"/>
            </w:tcBorders>
          </w:tcPr>
          <w:p>
            <w:pPr>
              <w:rPr>
                <w:rFonts w:ascii="Arial"/>
                <w:sz w:val="21"/>
              </w:rPr>
            </w:pPr>
            <w:r/>
          </w:p>
        </w:tc>
        <w:tc>
          <w:tcPr>
            <w:tcW w:w="1213" w:type="dxa"/>
            <w:vAlign w:val="top"/>
          </w:tcPr>
          <w:p>
            <w:pPr>
              <w:ind w:left="439"/>
              <w:spacing w:before="67" w:line="20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1107" w:type="dxa"/>
            <w:vAlign w:val="top"/>
          </w:tcPr>
          <w:p>
            <w:pPr>
              <w:ind w:left="37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232" w:type="dxa"/>
            <w:vAlign w:val="top"/>
          </w:tcPr>
          <w:p>
            <w:pPr>
              <w:ind w:left="25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1.81E-04</w:t>
            </w:r>
          </w:p>
        </w:tc>
        <w:tc>
          <w:tcPr>
            <w:tcW w:w="889" w:type="dxa"/>
            <w:vAlign w:val="top"/>
          </w:tcPr>
          <w:p>
            <w:pPr>
              <w:ind w:left="28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1.81</w:t>
            </w:r>
          </w:p>
        </w:tc>
        <w:tc>
          <w:tcPr>
            <w:tcW w:w="1108" w:type="dxa"/>
            <w:vAlign w:val="top"/>
          </w:tcPr>
          <w:p>
            <w:pPr>
              <w:pStyle w:val="TableText"/>
              <w:ind w:left="352"/>
              <w:spacing w:before="31" w:line="217" w:lineRule="auto"/>
              <w:rPr/>
            </w:pPr>
            <w:r>
              <w:rPr>
                <w:spacing w:val="3"/>
              </w:rPr>
              <w:t>二级</w:t>
            </w:r>
          </w:p>
        </w:tc>
      </w:tr>
      <w:tr>
        <w:trPr>
          <w:trHeight w:val="277" w:hRule="atLeast"/>
        </w:trPr>
        <w:tc>
          <w:tcPr>
            <w:tcW w:w="690" w:type="dxa"/>
            <w:vAlign w:val="top"/>
            <w:vMerge w:val="continue"/>
            <w:tcBorders>
              <w:top w:val="nil"/>
              <w:bottom w:val="nil"/>
            </w:tcBorders>
          </w:tcPr>
          <w:p>
            <w:pPr>
              <w:rPr>
                <w:rFonts w:ascii="Arial"/>
                <w:sz w:val="21"/>
              </w:rPr>
            </w:pPr>
            <w:r/>
          </w:p>
        </w:tc>
        <w:tc>
          <w:tcPr>
            <w:tcW w:w="2670" w:type="dxa"/>
            <w:vAlign w:val="top"/>
            <w:vMerge w:val="restart"/>
            <w:tcBorders>
              <w:bottom w:val="nil"/>
            </w:tcBorders>
          </w:tcPr>
          <w:p>
            <w:pPr>
              <w:spacing w:line="249" w:lineRule="auto"/>
              <w:rPr>
                <w:rFonts w:ascii="Arial"/>
                <w:sz w:val="21"/>
              </w:rPr>
            </w:pPr>
            <w:r/>
          </w:p>
          <w:p>
            <w:pPr>
              <w:pStyle w:val="TableText"/>
              <w:ind w:left="273"/>
              <w:spacing w:before="65" w:line="228" w:lineRule="auto"/>
              <w:rPr>
                <w:rFonts w:ascii="Times New Roman" w:hAnsi="Times New Roman" w:eastAsia="Times New Roman" w:cs="Times New Roman"/>
              </w:rPr>
            </w:pPr>
            <w:r>
              <w:rPr>
                <w:spacing w:val="8"/>
              </w:rPr>
              <w:t>沼气锅炉排气筒</w:t>
            </w:r>
            <w:r>
              <w:rPr>
                <w:spacing w:val="-43"/>
              </w:rPr>
              <w:t xml:space="preserve"> </w:t>
            </w:r>
            <w:r>
              <w:rPr>
                <w:rFonts w:ascii="Times New Roman" w:hAnsi="Times New Roman" w:eastAsia="Times New Roman" w:cs="Times New Roman"/>
              </w:rPr>
              <w:t>DA</w:t>
            </w:r>
            <w:r>
              <w:rPr>
                <w:rFonts w:ascii="Times New Roman" w:hAnsi="Times New Roman" w:eastAsia="Times New Roman" w:cs="Times New Roman"/>
                <w:spacing w:val="8"/>
              </w:rPr>
              <w:t>004</w:t>
            </w:r>
          </w:p>
        </w:tc>
        <w:tc>
          <w:tcPr>
            <w:tcW w:w="1213" w:type="dxa"/>
            <w:vAlign w:val="top"/>
          </w:tcPr>
          <w:p>
            <w:pPr>
              <w:ind w:left="386"/>
              <w:spacing w:before="72"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PM</w:t>
            </w:r>
            <w:r>
              <w:rPr>
                <w:rFonts w:ascii="Times New Roman" w:hAnsi="Times New Roman" w:eastAsia="Times New Roman" w:cs="Times New Roman"/>
                <w:sz w:val="13"/>
                <w:szCs w:val="13"/>
                <w:spacing w:val="8"/>
                <w:position w:val="-1"/>
              </w:rPr>
              <w:t>10</w:t>
            </w:r>
          </w:p>
        </w:tc>
        <w:tc>
          <w:tcPr>
            <w:tcW w:w="1107" w:type="dxa"/>
            <w:vAlign w:val="top"/>
          </w:tcPr>
          <w:p>
            <w:pPr>
              <w:ind w:left="374"/>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0.45</w:t>
            </w:r>
          </w:p>
        </w:tc>
        <w:tc>
          <w:tcPr>
            <w:tcW w:w="1232" w:type="dxa"/>
            <w:vAlign w:val="top"/>
          </w:tcPr>
          <w:p>
            <w:pPr>
              <w:ind w:left="23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6.04E-04</w:t>
            </w:r>
          </w:p>
        </w:tc>
        <w:tc>
          <w:tcPr>
            <w:tcW w:w="889" w:type="dxa"/>
            <w:vAlign w:val="top"/>
          </w:tcPr>
          <w:p>
            <w:pPr>
              <w:ind w:left="26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0.13</w:t>
            </w:r>
          </w:p>
        </w:tc>
        <w:tc>
          <w:tcPr>
            <w:tcW w:w="1108" w:type="dxa"/>
            <w:vAlign w:val="top"/>
          </w:tcPr>
          <w:p>
            <w:pPr>
              <w:pStyle w:val="TableText"/>
              <w:ind w:left="349"/>
              <w:spacing w:before="33" w:line="216" w:lineRule="auto"/>
              <w:rPr/>
            </w:pPr>
            <w:r>
              <w:rPr>
                <w:spacing w:val="4"/>
              </w:rPr>
              <w:t>三级</w:t>
            </w:r>
          </w:p>
        </w:tc>
      </w:tr>
      <w:tr>
        <w:trPr>
          <w:trHeight w:val="277" w:hRule="atLeast"/>
        </w:trPr>
        <w:tc>
          <w:tcPr>
            <w:tcW w:w="690" w:type="dxa"/>
            <w:vAlign w:val="top"/>
            <w:vMerge w:val="continue"/>
            <w:tcBorders>
              <w:top w:val="nil"/>
              <w:bottom w:val="nil"/>
            </w:tcBorders>
          </w:tcPr>
          <w:p>
            <w:pPr>
              <w:rPr>
                <w:rFonts w:ascii="Arial"/>
                <w:sz w:val="21"/>
              </w:rPr>
            </w:pPr>
            <w:r/>
          </w:p>
        </w:tc>
        <w:tc>
          <w:tcPr>
            <w:tcW w:w="2670" w:type="dxa"/>
            <w:vAlign w:val="top"/>
            <w:vMerge w:val="continue"/>
            <w:tcBorders>
              <w:top w:val="nil"/>
              <w:bottom w:val="nil"/>
            </w:tcBorders>
          </w:tcPr>
          <w:p>
            <w:pPr>
              <w:rPr>
                <w:rFonts w:ascii="Arial"/>
                <w:sz w:val="21"/>
              </w:rPr>
            </w:pPr>
            <w:r/>
          </w:p>
        </w:tc>
        <w:tc>
          <w:tcPr>
            <w:tcW w:w="1213" w:type="dxa"/>
            <w:vAlign w:val="top"/>
          </w:tcPr>
          <w:p>
            <w:pPr>
              <w:ind w:left="448"/>
              <w:spacing w:before="70"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3"/>
                <w:position w:val="-1"/>
              </w:rPr>
              <w:t>2</w:t>
            </w:r>
          </w:p>
        </w:tc>
        <w:tc>
          <w:tcPr>
            <w:tcW w:w="1107" w:type="dxa"/>
            <w:vAlign w:val="top"/>
          </w:tcPr>
          <w:p>
            <w:pPr>
              <w:ind w:left="42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0.5</w:t>
            </w:r>
          </w:p>
        </w:tc>
        <w:tc>
          <w:tcPr>
            <w:tcW w:w="1232" w:type="dxa"/>
            <w:vAlign w:val="top"/>
          </w:tcPr>
          <w:p>
            <w:pPr>
              <w:ind w:left="25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1.65E-04</w:t>
            </w:r>
          </w:p>
        </w:tc>
        <w:tc>
          <w:tcPr>
            <w:tcW w:w="889" w:type="dxa"/>
            <w:vAlign w:val="top"/>
          </w:tcPr>
          <w:p>
            <w:pPr>
              <w:ind w:left="26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w:t>
            </w:r>
          </w:p>
        </w:tc>
        <w:tc>
          <w:tcPr>
            <w:tcW w:w="1108" w:type="dxa"/>
            <w:vAlign w:val="top"/>
          </w:tcPr>
          <w:p>
            <w:pPr>
              <w:pStyle w:val="TableText"/>
              <w:ind w:left="349"/>
              <w:spacing w:before="35" w:line="214" w:lineRule="auto"/>
              <w:rPr/>
            </w:pPr>
            <w:r>
              <w:rPr>
                <w:spacing w:val="4"/>
              </w:rPr>
              <w:t>三级</w:t>
            </w:r>
          </w:p>
        </w:tc>
      </w:tr>
      <w:tr>
        <w:trPr>
          <w:trHeight w:val="277" w:hRule="atLeast"/>
        </w:trPr>
        <w:tc>
          <w:tcPr>
            <w:tcW w:w="690" w:type="dxa"/>
            <w:vAlign w:val="top"/>
            <w:vMerge w:val="continue"/>
            <w:tcBorders>
              <w:top w:val="nil"/>
              <w:bottom w:val="nil"/>
            </w:tcBorders>
          </w:tcPr>
          <w:p>
            <w:pPr>
              <w:rPr>
                <w:rFonts w:ascii="Arial"/>
                <w:sz w:val="21"/>
              </w:rPr>
            </w:pPr>
            <w:r/>
          </w:p>
        </w:tc>
        <w:tc>
          <w:tcPr>
            <w:tcW w:w="2670" w:type="dxa"/>
            <w:vAlign w:val="top"/>
            <w:vMerge w:val="continue"/>
            <w:tcBorders>
              <w:top w:val="nil"/>
            </w:tcBorders>
          </w:tcPr>
          <w:p>
            <w:pPr>
              <w:rPr>
                <w:rFonts w:ascii="Arial"/>
                <w:sz w:val="21"/>
              </w:rPr>
            </w:pPr>
            <w:r/>
          </w:p>
        </w:tc>
        <w:tc>
          <w:tcPr>
            <w:tcW w:w="1213" w:type="dxa"/>
            <w:vAlign w:val="top"/>
          </w:tcPr>
          <w:p>
            <w:pPr>
              <w:ind w:left="39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NOx</w:t>
            </w:r>
          </w:p>
        </w:tc>
        <w:tc>
          <w:tcPr>
            <w:tcW w:w="1107" w:type="dxa"/>
            <w:vAlign w:val="top"/>
          </w:tcPr>
          <w:p>
            <w:pPr>
              <w:ind w:left="42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1232" w:type="dxa"/>
            <w:vAlign w:val="top"/>
          </w:tcPr>
          <w:p>
            <w:pPr>
              <w:ind w:left="23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4.64E-03</w:t>
            </w:r>
          </w:p>
        </w:tc>
        <w:tc>
          <w:tcPr>
            <w:tcW w:w="889" w:type="dxa"/>
            <w:vAlign w:val="top"/>
          </w:tcPr>
          <w:p>
            <w:pPr>
              <w:ind w:left="264"/>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2.32</w:t>
            </w:r>
          </w:p>
        </w:tc>
        <w:tc>
          <w:tcPr>
            <w:tcW w:w="1108" w:type="dxa"/>
            <w:vAlign w:val="top"/>
          </w:tcPr>
          <w:p>
            <w:pPr>
              <w:pStyle w:val="TableText"/>
              <w:ind w:left="352"/>
              <w:spacing w:before="33" w:line="216" w:lineRule="auto"/>
              <w:rPr/>
            </w:pPr>
            <w:r>
              <w:rPr>
                <w:spacing w:val="3"/>
              </w:rPr>
              <w:t>二级</w:t>
            </w:r>
          </w:p>
        </w:tc>
      </w:tr>
      <w:tr>
        <w:trPr>
          <w:trHeight w:val="278" w:hRule="atLeast"/>
        </w:trPr>
        <w:tc>
          <w:tcPr>
            <w:tcW w:w="690" w:type="dxa"/>
            <w:vAlign w:val="top"/>
            <w:vMerge w:val="continue"/>
            <w:tcBorders>
              <w:top w:val="nil"/>
              <w:bottom w:val="nil"/>
            </w:tcBorders>
          </w:tcPr>
          <w:p>
            <w:pPr>
              <w:rPr>
                <w:rFonts w:ascii="Arial"/>
                <w:sz w:val="21"/>
              </w:rPr>
            </w:pPr>
            <w:r/>
          </w:p>
        </w:tc>
        <w:tc>
          <w:tcPr>
            <w:tcW w:w="2670" w:type="dxa"/>
            <w:vAlign w:val="top"/>
            <w:vMerge w:val="restart"/>
            <w:tcBorders>
              <w:bottom w:val="nil"/>
            </w:tcBorders>
          </w:tcPr>
          <w:p>
            <w:pPr>
              <w:spacing w:line="250" w:lineRule="auto"/>
              <w:rPr>
                <w:rFonts w:ascii="Arial"/>
                <w:sz w:val="21"/>
              </w:rPr>
            </w:pPr>
            <w:r/>
          </w:p>
          <w:p>
            <w:pPr>
              <w:pStyle w:val="TableText"/>
              <w:ind w:left="165"/>
              <w:spacing w:before="65" w:line="228" w:lineRule="auto"/>
              <w:rPr>
                <w:rFonts w:ascii="Times New Roman" w:hAnsi="Times New Roman" w:eastAsia="Times New Roman" w:cs="Times New Roman"/>
              </w:rPr>
            </w:pPr>
            <w:r>
              <w:rPr>
                <w:spacing w:val="8"/>
              </w:rPr>
              <w:t>生物质锅炉排气筒</w:t>
            </w:r>
            <w:r>
              <w:rPr>
                <w:spacing w:val="-40"/>
              </w:rPr>
              <w:t xml:space="preserve"> </w:t>
            </w:r>
            <w:r>
              <w:rPr>
                <w:rFonts w:ascii="Times New Roman" w:hAnsi="Times New Roman" w:eastAsia="Times New Roman" w:cs="Times New Roman"/>
              </w:rPr>
              <w:t>DA</w:t>
            </w:r>
            <w:r>
              <w:rPr>
                <w:rFonts w:ascii="Times New Roman" w:hAnsi="Times New Roman" w:eastAsia="Times New Roman" w:cs="Times New Roman"/>
                <w:spacing w:val="8"/>
              </w:rPr>
              <w:t>005</w:t>
            </w:r>
          </w:p>
        </w:tc>
        <w:tc>
          <w:tcPr>
            <w:tcW w:w="1213" w:type="dxa"/>
            <w:vAlign w:val="top"/>
          </w:tcPr>
          <w:p>
            <w:pPr>
              <w:ind w:left="386"/>
              <w:spacing w:before="73"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PM</w:t>
            </w:r>
            <w:r>
              <w:rPr>
                <w:rFonts w:ascii="Times New Roman" w:hAnsi="Times New Roman" w:eastAsia="Times New Roman" w:cs="Times New Roman"/>
                <w:sz w:val="13"/>
                <w:szCs w:val="13"/>
                <w:spacing w:val="8"/>
                <w:position w:val="-1"/>
              </w:rPr>
              <w:t>10</w:t>
            </w:r>
          </w:p>
        </w:tc>
        <w:tc>
          <w:tcPr>
            <w:tcW w:w="1107" w:type="dxa"/>
            <w:vAlign w:val="top"/>
          </w:tcPr>
          <w:p>
            <w:pPr>
              <w:ind w:left="37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0.45</w:t>
            </w:r>
          </w:p>
        </w:tc>
        <w:tc>
          <w:tcPr>
            <w:tcW w:w="1232" w:type="dxa"/>
            <w:vAlign w:val="top"/>
          </w:tcPr>
          <w:p>
            <w:pPr>
              <w:ind w:left="23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rPr>
              <w:t>14E-05</w:t>
            </w:r>
          </w:p>
        </w:tc>
        <w:tc>
          <w:tcPr>
            <w:tcW w:w="889" w:type="dxa"/>
            <w:vAlign w:val="top"/>
          </w:tcPr>
          <w:p>
            <w:pPr>
              <w:ind w:left="26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c>
          <w:tcPr>
            <w:tcW w:w="1108" w:type="dxa"/>
            <w:vAlign w:val="top"/>
          </w:tcPr>
          <w:p>
            <w:pPr>
              <w:pStyle w:val="TableText"/>
              <w:ind w:left="349"/>
              <w:spacing w:before="35" w:line="215" w:lineRule="auto"/>
              <w:rPr/>
            </w:pPr>
            <w:r>
              <w:rPr>
                <w:spacing w:val="4"/>
              </w:rPr>
              <w:t>三级</w:t>
            </w:r>
          </w:p>
        </w:tc>
      </w:tr>
      <w:tr>
        <w:trPr>
          <w:trHeight w:val="277" w:hRule="atLeast"/>
        </w:trPr>
        <w:tc>
          <w:tcPr>
            <w:tcW w:w="690" w:type="dxa"/>
            <w:vAlign w:val="top"/>
            <w:vMerge w:val="continue"/>
            <w:tcBorders>
              <w:top w:val="nil"/>
              <w:bottom w:val="nil"/>
            </w:tcBorders>
          </w:tcPr>
          <w:p>
            <w:pPr>
              <w:rPr>
                <w:rFonts w:ascii="Arial"/>
                <w:sz w:val="21"/>
              </w:rPr>
            </w:pPr>
            <w:r/>
          </w:p>
        </w:tc>
        <w:tc>
          <w:tcPr>
            <w:tcW w:w="2670" w:type="dxa"/>
            <w:vAlign w:val="top"/>
            <w:vMerge w:val="continue"/>
            <w:tcBorders>
              <w:top w:val="nil"/>
              <w:bottom w:val="nil"/>
            </w:tcBorders>
          </w:tcPr>
          <w:p>
            <w:pPr>
              <w:rPr>
                <w:rFonts w:ascii="Arial"/>
                <w:sz w:val="21"/>
              </w:rPr>
            </w:pPr>
            <w:r/>
          </w:p>
        </w:tc>
        <w:tc>
          <w:tcPr>
            <w:tcW w:w="1213" w:type="dxa"/>
            <w:vAlign w:val="top"/>
          </w:tcPr>
          <w:p>
            <w:pPr>
              <w:ind w:left="448"/>
              <w:spacing w:before="70"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3"/>
                <w:position w:val="-1"/>
              </w:rPr>
              <w:t>2</w:t>
            </w:r>
          </w:p>
        </w:tc>
        <w:tc>
          <w:tcPr>
            <w:tcW w:w="1107" w:type="dxa"/>
            <w:vAlign w:val="top"/>
          </w:tcPr>
          <w:p>
            <w:pPr>
              <w:ind w:left="42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0.5</w:t>
            </w:r>
          </w:p>
        </w:tc>
        <w:tc>
          <w:tcPr>
            <w:tcW w:w="1232" w:type="dxa"/>
            <w:vAlign w:val="top"/>
          </w:tcPr>
          <w:p>
            <w:pPr>
              <w:ind w:left="25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1.45E-02</w:t>
            </w:r>
          </w:p>
        </w:tc>
        <w:tc>
          <w:tcPr>
            <w:tcW w:w="889" w:type="dxa"/>
            <w:vAlign w:val="top"/>
          </w:tcPr>
          <w:p>
            <w:pPr>
              <w:ind w:left="26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2.90</w:t>
            </w:r>
          </w:p>
        </w:tc>
        <w:tc>
          <w:tcPr>
            <w:tcW w:w="1108" w:type="dxa"/>
            <w:vAlign w:val="top"/>
          </w:tcPr>
          <w:p>
            <w:pPr>
              <w:pStyle w:val="TableText"/>
              <w:ind w:left="352"/>
              <w:spacing w:before="35" w:line="214" w:lineRule="auto"/>
              <w:rPr/>
            </w:pPr>
            <w:r>
              <w:rPr>
                <w:spacing w:val="3"/>
              </w:rPr>
              <w:t>二级</w:t>
            </w:r>
          </w:p>
        </w:tc>
      </w:tr>
      <w:tr>
        <w:trPr>
          <w:trHeight w:val="277" w:hRule="atLeast"/>
        </w:trPr>
        <w:tc>
          <w:tcPr>
            <w:tcW w:w="690" w:type="dxa"/>
            <w:vAlign w:val="top"/>
            <w:vMerge w:val="continue"/>
            <w:tcBorders>
              <w:top w:val="nil"/>
            </w:tcBorders>
          </w:tcPr>
          <w:p>
            <w:pPr>
              <w:rPr>
                <w:rFonts w:ascii="Arial"/>
                <w:sz w:val="21"/>
              </w:rPr>
            </w:pPr>
            <w:r/>
          </w:p>
        </w:tc>
        <w:tc>
          <w:tcPr>
            <w:tcW w:w="2670" w:type="dxa"/>
            <w:vAlign w:val="top"/>
            <w:vMerge w:val="continue"/>
            <w:tcBorders>
              <w:top w:val="nil"/>
            </w:tcBorders>
          </w:tcPr>
          <w:p>
            <w:pPr>
              <w:rPr>
                <w:rFonts w:ascii="Arial"/>
                <w:sz w:val="21"/>
              </w:rPr>
            </w:pPr>
            <w:r/>
          </w:p>
        </w:tc>
        <w:tc>
          <w:tcPr>
            <w:tcW w:w="1213" w:type="dxa"/>
            <w:vAlign w:val="top"/>
          </w:tcPr>
          <w:p>
            <w:pPr>
              <w:ind w:left="39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NOx</w:t>
            </w:r>
          </w:p>
        </w:tc>
        <w:tc>
          <w:tcPr>
            <w:tcW w:w="1107" w:type="dxa"/>
            <w:vAlign w:val="top"/>
          </w:tcPr>
          <w:p>
            <w:pPr>
              <w:ind w:left="42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1232" w:type="dxa"/>
            <w:vAlign w:val="top"/>
          </w:tcPr>
          <w:p>
            <w:pPr>
              <w:ind w:left="25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1.01E-02</w:t>
            </w:r>
          </w:p>
        </w:tc>
        <w:tc>
          <w:tcPr>
            <w:tcW w:w="889" w:type="dxa"/>
            <w:vAlign w:val="top"/>
          </w:tcPr>
          <w:p>
            <w:pPr>
              <w:ind w:left="27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5.06</w:t>
            </w:r>
          </w:p>
        </w:tc>
        <w:tc>
          <w:tcPr>
            <w:tcW w:w="1108" w:type="dxa"/>
            <w:vAlign w:val="top"/>
          </w:tcPr>
          <w:p>
            <w:pPr>
              <w:pStyle w:val="TableText"/>
              <w:ind w:left="352"/>
              <w:spacing w:before="34" w:line="215" w:lineRule="auto"/>
              <w:rPr/>
            </w:pPr>
            <w:r>
              <w:rPr>
                <w:spacing w:val="3"/>
              </w:rPr>
              <w:t>二级</w:t>
            </w:r>
          </w:p>
        </w:tc>
      </w:tr>
      <w:tr>
        <w:trPr>
          <w:trHeight w:val="277" w:hRule="atLeast"/>
        </w:trPr>
        <w:tc>
          <w:tcPr>
            <w:tcW w:w="690" w:type="dxa"/>
            <w:vAlign w:val="top"/>
            <w:vMerge w:val="restart"/>
            <w:tcBorders>
              <w:bottom w:val="nil"/>
            </w:tcBorders>
          </w:tcPr>
          <w:p>
            <w:pPr>
              <w:spacing w:line="251" w:lineRule="auto"/>
              <w:rPr>
                <w:rFonts w:ascii="Arial"/>
                <w:sz w:val="21"/>
              </w:rPr>
            </w:pPr>
            <w:r/>
          </w:p>
          <w:p>
            <w:pPr>
              <w:pStyle w:val="TableText"/>
              <w:ind w:left="37"/>
              <w:spacing w:before="65" w:line="228" w:lineRule="auto"/>
              <w:rPr/>
            </w:pPr>
            <w:r>
              <w:rPr>
                <w:spacing w:val="6"/>
              </w:rPr>
              <w:t>无组织</w:t>
            </w:r>
          </w:p>
        </w:tc>
        <w:tc>
          <w:tcPr>
            <w:tcW w:w="2670" w:type="dxa"/>
            <w:vAlign w:val="top"/>
            <w:vMerge w:val="restart"/>
            <w:tcBorders>
              <w:bottom w:val="nil"/>
            </w:tcBorders>
          </w:tcPr>
          <w:p>
            <w:pPr>
              <w:spacing w:line="251" w:lineRule="auto"/>
              <w:rPr>
                <w:rFonts w:ascii="Arial"/>
                <w:sz w:val="21"/>
              </w:rPr>
            </w:pPr>
            <w:r/>
          </w:p>
          <w:p>
            <w:pPr>
              <w:pStyle w:val="TableText"/>
              <w:ind w:left="393"/>
              <w:spacing w:before="65" w:line="228" w:lineRule="auto"/>
              <w:rPr/>
            </w:pPr>
            <w:r>
              <w:rPr>
                <w:spacing w:val="7"/>
              </w:rPr>
              <w:t>洗毛车间（东厂区）</w:t>
            </w:r>
          </w:p>
        </w:tc>
        <w:tc>
          <w:tcPr>
            <w:tcW w:w="1213" w:type="dxa"/>
            <w:vAlign w:val="top"/>
          </w:tcPr>
          <w:p>
            <w:pPr>
              <w:pStyle w:val="TableText"/>
              <w:ind w:left="296"/>
              <w:spacing w:before="35" w:line="214" w:lineRule="auto"/>
              <w:rPr/>
            </w:pPr>
            <w:r>
              <w:rPr>
                <w:spacing w:val="7"/>
              </w:rPr>
              <w:t>颗粒物</w:t>
            </w:r>
          </w:p>
        </w:tc>
        <w:tc>
          <w:tcPr>
            <w:tcW w:w="1107" w:type="dxa"/>
            <w:vAlign w:val="top"/>
          </w:tcPr>
          <w:p>
            <w:pPr>
              <w:ind w:left="42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0.9</w:t>
            </w:r>
          </w:p>
        </w:tc>
        <w:tc>
          <w:tcPr>
            <w:tcW w:w="1232" w:type="dxa"/>
            <w:vAlign w:val="top"/>
          </w:tcPr>
          <w:p>
            <w:pPr>
              <w:ind w:left="211"/>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889" w:type="dxa"/>
            <w:vAlign w:val="top"/>
          </w:tcPr>
          <w:p>
            <w:pPr>
              <w:ind w:left="26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08" w:type="dxa"/>
            <w:vAlign w:val="top"/>
          </w:tcPr>
          <w:p>
            <w:pPr>
              <w:pStyle w:val="TableText"/>
              <w:ind w:left="349"/>
              <w:spacing w:before="35" w:line="214" w:lineRule="auto"/>
              <w:rPr/>
            </w:pPr>
            <w:r>
              <w:rPr>
                <w:spacing w:val="4"/>
              </w:rPr>
              <w:t>三级</w:t>
            </w:r>
          </w:p>
        </w:tc>
      </w:tr>
      <w:tr>
        <w:trPr>
          <w:trHeight w:val="277" w:hRule="atLeast"/>
        </w:trPr>
        <w:tc>
          <w:tcPr>
            <w:tcW w:w="690" w:type="dxa"/>
            <w:vAlign w:val="top"/>
            <w:vMerge w:val="continue"/>
            <w:tcBorders>
              <w:top w:val="nil"/>
              <w:bottom w:val="nil"/>
            </w:tcBorders>
          </w:tcPr>
          <w:p>
            <w:pPr>
              <w:rPr>
                <w:rFonts w:ascii="Arial"/>
                <w:sz w:val="21"/>
              </w:rPr>
            </w:pPr>
            <w:r/>
          </w:p>
        </w:tc>
        <w:tc>
          <w:tcPr>
            <w:tcW w:w="2670" w:type="dxa"/>
            <w:vAlign w:val="top"/>
            <w:vMerge w:val="continue"/>
            <w:tcBorders>
              <w:top w:val="nil"/>
              <w:bottom w:val="nil"/>
            </w:tcBorders>
          </w:tcPr>
          <w:p>
            <w:pPr>
              <w:rPr>
                <w:rFonts w:ascii="Arial"/>
                <w:sz w:val="21"/>
              </w:rPr>
            </w:pPr>
            <w:r/>
          </w:p>
        </w:tc>
        <w:tc>
          <w:tcPr>
            <w:tcW w:w="1213" w:type="dxa"/>
            <w:vAlign w:val="top"/>
          </w:tcPr>
          <w:p>
            <w:pPr>
              <w:ind w:left="416"/>
              <w:spacing w:before="74"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1107" w:type="dxa"/>
            <w:vAlign w:val="top"/>
          </w:tcPr>
          <w:p>
            <w:pPr>
              <w:ind w:left="42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1232" w:type="dxa"/>
            <w:vAlign w:val="top"/>
          </w:tcPr>
          <w:p>
            <w:pPr>
              <w:ind w:left="23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7.29E-05</w:t>
            </w:r>
          </w:p>
        </w:tc>
        <w:tc>
          <w:tcPr>
            <w:tcW w:w="889" w:type="dxa"/>
            <w:vAlign w:val="top"/>
          </w:tcPr>
          <w:p>
            <w:pPr>
              <w:ind w:left="26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0.04</w:t>
            </w:r>
          </w:p>
        </w:tc>
        <w:tc>
          <w:tcPr>
            <w:tcW w:w="1108" w:type="dxa"/>
            <w:vAlign w:val="top"/>
          </w:tcPr>
          <w:p>
            <w:pPr>
              <w:pStyle w:val="TableText"/>
              <w:ind w:left="349"/>
              <w:spacing w:before="36" w:line="213" w:lineRule="auto"/>
              <w:rPr/>
            </w:pPr>
            <w:r>
              <w:rPr>
                <w:spacing w:val="4"/>
              </w:rPr>
              <w:t>三级</w:t>
            </w:r>
          </w:p>
        </w:tc>
      </w:tr>
      <w:tr>
        <w:trPr>
          <w:trHeight w:val="279" w:hRule="atLeast"/>
        </w:trPr>
        <w:tc>
          <w:tcPr>
            <w:tcW w:w="690" w:type="dxa"/>
            <w:vAlign w:val="top"/>
            <w:vMerge w:val="continue"/>
            <w:tcBorders>
              <w:top w:val="nil"/>
            </w:tcBorders>
          </w:tcPr>
          <w:p>
            <w:pPr>
              <w:rPr>
                <w:rFonts w:ascii="Arial"/>
                <w:sz w:val="21"/>
              </w:rPr>
            </w:pPr>
            <w:r/>
          </w:p>
        </w:tc>
        <w:tc>
          <w:tcPr>
            <w:tcW w:w="2670" w:type="dxa"/>
            <w:vAlign w:val="top"/>
            <w:vMerge w:val="continue"/>
            <w:tcBorders>
              <w:top w:val="nil"/>
            </w:tcBorders>
          </w:tcPr>
          <w:p>
            <w:pPr>
              <w:rPr>
                <w:rFonts w:ascii="Arial"/>
                <w:sz w:val="21"/>
              </w:rPr>
            </w:pPr>
            <w:r/>
          </w:p>
        </w:tc>
        <w:tc>
          <w:tcPr>
            <w:tcW w:w="1213" w:type="dxa"/>
            <w:vAlign w:val="top"/>
          </w:tcPr>
          <w:p>
            <w:pPr>
              <w:ind w:left="439"/>
              <w:spacing w:before="73"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1107" w:type="dxa"/>
            <w:vAlign w:val="top"/>
          </w:tcPr>
          <w:p>
            <w:pPr>
              <w:ind w:left="374"/>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232" w:type="dxa"/>
            <w:vAlign w:val="top"/>
          </w:tcPr>
          <w:p>
            <w:pPr>
              <w:ind w:left="230"/>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4.86E-07</w:t>
            </w:r>
          </w:p>
        </w:tc>
        <w:tc>
          <w:tcPr>
            <w:tcW w:w="889" w:type="dxa"/>
            <w:vAlign w:val="top"/>
          </w:tcPr>
          <w:p>
            <w:pPr>
              <w:ind w:left="267"/>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08" w:type="dxa"/>
            <w:vAlign w:val="top"/>
          </w:tcPr>
          <w:p>
            <w:pPr>
              <w:pStyle w:val="TableText"/>
              <w:ind w:left="349"/>
              <w:spacing w:before="37" w:line="214" w:lineRule="auto"/>
              <w:rPr/>
            </w:pPr>
            <w:r>
              <w:rPr>
                <w:spacing w:val="4"/>
              </w:rPr>
              <w:t>三级</w:t>
            </w:r>
          </w:p>
        </w:tc>
      </w:tr>
    </w:tbl>
    <w:p>
      <w:pPr>
        <w:pStyle w:val="BodyText"/>
        <w:spacing w:line="269" w:lineRule="auto"/>
        <w:rPr/>
      </w:pPr>
      <w:r/>
    </w:p>
    <w:p>
      <w:pPr>
        <w:ind w:left="5517"/>
        <w:spacing w:before="62" w:line="227" w:lineRule="auto"/>
        <w:rPr>
          <w:rFonts w:ascii="SimSun" w:hAnsi="SimSun" w:eastAsia="SimSun" w:cs="SimSun"/>
          <w:sz w:val="19"/>
          <w:szCs w:val="19"/>
        </w:rPr>
      </w:pPr>
      <w:r>
        <w:pict>
          <v:shape id="_x0000_s152" style="position:absolute;margin-left:217.538pt;margin-top:2.10801pt;mso-position-vertical-relative:text;mso-position-horizontal-relative:text;width:58.95pt;height:13.75pt;z-index:251729920;"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4"/>
                      <w:position w:val="2"/>
                    </w:rPr>
                    <w:t>28</w:t>
                  </w:r>
                  <w:r>
                    <w:rPr>
                      <w:rFonts w:ascii="Times New Roman" w:hAnsi="Times New Roman" w:eastAsia="Times New Roman" w:cs="Times New Roman"/>
                      <w:sz w:val="18"/>
                      <w:szCs w:val="18"/>
                      <w:spacing w:val="1"/>
                      <w:position w:val="2"/>
                    </w:rPr>
                    <w:t xml:space="preserve">        </w:t>
                  </w:r>
                  <w:r>
                    <w:rPr>
                      <w:rFonts w:ascii="SimSun" w:hAnsi="SimSun" w:eastAsia="SimSun" w:cs="SimSun"/>
                      <w:sz w:val="19"/>
                      <w:szCs w:val="19"/>
                      <w:spacing w:val="4"/>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43"/>
          <w:pgSz w:w="11907" w:h="16840"/>
          <w:pgMar w:top="1567" w:right="1496" w:bottom="400" w:left="1496" w:header="1221" w:footer="0" w:gutter="0"/>
        </w:sectPr>
        <w:rPr>
          <w:rFonts w:ascii="SimSun" w:hAnsi="SimSun" w:eastAsia="SimSun" w:cs="SimSun"/>
          <w:sz w:val="19"/>
          <w:szCs w:val="19"/>
        </w:rPr>
      </w:pPr>
    </w:p>
    <w:p>
      <w:pPr>
        <w:spacing w:line="151" w:lineRule="exact"/>
        <w:rPr/>
      </w:pPr>
      <w:r>
        <w:pict>
          <v:shape id="_x0000_s154" style="position:absolute;margin-left:85.05pt;margin-top:79.11pt;mso-position-vertical-relative:page;mso-position-horizontal-relative:page;width:425.25pt;height:0.75pt;z-index:251732992;" o:allowincell="f" fillcolor="#000000" filled="true" stroked="false" coordsize="8505,15" coordorigin="0,0" path="m,l8505,0l8505,14l0,14l0,0xe"/>
        </w:pict>
      </w:r>
      <w:r/>
    </w:p>
    <w:tbl>
      <w:tblPr>
        <w:tblStyle w:val="TableNormal"/>
        <w:tblW w:w="890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90"/>
        <w:gridCol w:w="2670"/>
        <w:gridCol w:w="1213"/>
        <w:gridCol w:w="1107"/>
        <w:gridCol w:w="1232"/>
        <w:gridCol w:w="889"/>
        <w:gridCol w:w="1108"/>
      </w:tblGrid>
      <w:tr>
        <w:trPr>
          <w:trHeight w:val="281" w:hRule="atLeast"/>
        </w:trPr>
        <w:tc>
          <w:tcPr>
            <w:tcW w:w="690" w:type="dxa"/>
            <w:vAlign w:val="top"/>
            <w:vMerge w:val="restart"/>
            <w:tcBorders>
              <w:bottom w:val="nil"/>
            </w:tcBorders>
          </w:tcPr>
          <w:p>
            <w:pPr>
              <w:rPr>
                <w:rFonts w:ascii="Arial"/>
                <w:sz w:val="21"/>
              </w:rPr>
            </w:pPr>
            <w:r/>
          </w:p>
        </w:tc>
        <w:tc>
          <w:tcPr>
            <w:tcW w:w="2670" w:type="dxa"/>
            <w:vAlign w:val="top"/>
            <w:vMerge w:val="restart"/>
            <w:tcBorders>
              <w:bottom w:val="nil"/>
            </w:tcBorders>
          </w:tcPr>
          <w:p>
            <w:pPr>
              <w:spacing w:line="250" w:lineRule="auto"/>
              <w:rPr>
                <w:rFonts w:ascii="Arial"/>
                <w:sz w:val="21"/>
              </w:rPr>
            </w:pPr>
            <w:r/>
          </w:p>
          <w:p>
            <w:pPr>
              <w:pStyle w:val="TableText"/>
              <w:ind w:left="393"/>
              <w:spacing w:before="65" w:line="228" w:lineRule="auto"/>
              <w:rPr/>
            </w:pPr>
            <w:r>
              <w:rPr>
                <w:spacing w:val="7"/>
              </w:rPr>
              <w:t>洗毛车间（西厂区）</w:t>
            </w:r>
          </w:p>
        </w:tc>
        <w:tc>
          <w:tcPr>
            <w:tcW w:w="1213" w:type="dxa"/>
            <w:vAlign w:val="top"/>
          </w:tcPr>
          <w:p>
            <w:pPr>
              <w:pStyle w:val="TableText"/>
              <w:ind w:left="296"/>
              <w:spacing w:before="36" w:line="216" w:lineRule="auto"/>
              <w:rPr/>
            </w:pPr>
            <w:r>
              <w:rPr>
                <w:spacing w:val="7"/>
              </w:rPr>
              <w:t>颗粒物</w:t>
            </w:r>
          </w:p>
        </w:tc>
        <w:tc>
          <w:tcPr>
            <w:tcW w:w="1107" w:type="dxa"/>
            <w:vAlign w:val="top"/>
          </w:tcPr>
          <w:p>
            <w:pPr>
              <w:ind w:left="427"/>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0.9</w:t>
            </w:r>
          </w:p>
        </w:tc>
        <w:tc>
          <w:tcPr>
            <w:tcW w:w="1232" w:type="dxa"/>
            <w:vAlign w:val="top"/>
          </w:tcPr>
          <w:p>
            <w:pPr>
              <w:ind w:left="211"/>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889" w:type="dxa"/>
            <w:vAlign w:val="top"/>
          </w:tcPr>
          <w:p>
            <w:pPr>
              <w:ind w:left="267"/>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08" w:type="dxa"/>
            <w:vAlign w:val="top"/>
          </w:tcPr>
          <w:p>
            <w:pPr>
              <w:pStyle w:val="TableText"/>
              <w:ind w:left="349"/>
              <w:spacing w:before="36" w:line="216" w:lineRule="auto"/>
              <w:rPr/>
            </w:pPr>
            <w:r>
              <w:rPr>
                <w:spacing w:val="4"/>
              </w:rPr>
              <w:t>三级</w:t>
            </w:r>
          </w:p>
        </w:tc>
      </w:tr>
      <w:tr>
        <w:trPr>
          <w:trHeight w:val="277" w:hRule="atLeast"/>
        </w:trPr>
        <w:tc>
          <w:tcPr>
            <w:tcW w:w="690" w:type="dxa"/>
            <w:vAlign w:val="top"/>
            <w:vMerge w:val="continue"/>
            <w:tcBorders>
              <w:top w:val="nil"/>
              <w:bottom w:val="nil"/>
            </w:tcBorders>
          </w:tcPr>
          <w:p>
            <w:pPr>
              <w:rPr>
                <w:rFonts w:ascii="Arial"/>
                <w:sz w:val="21"/>
              </w:rPr>
            </w:pPr>
            <w:r/>
          </w:p>
        </w:tc>
        <w:tc>
          <w:tcPr>
            <w:tcW w:w="2670" w:type="dxa"/>
            <w:vAlign w:val="top"/>
            <w:vMerge w:val="continue"/>
            <w:tcBorders>
              <w:top w:val="nil"/>
              <w:bottom w:val="nil"/>
            </w:tcBorders>
          </w:tcPr>
          <w:p>
            <w:pPr>
              <w:rPr>
                <w:rFonts w:ascii="Arial"/>
                <w:sz w:val="21"/>
              </w:rPr>
            </w:pPr>
            <w:r/>
          </w:p>
        </w:tc>
        <w:tc>
          <w:tcPr>
            <w:tcW w:w="1213" w:type="dxa"/>
            <w:vAlign w:val="top"/>
          </w:tcPr>
          <w:p>
            <w:pPr>
              <w:ind w:left="416"/>
              <w:spacing w:before="70"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1107" w:type="dxa"/>
            <w:vAlign w:val="top"/>
          </w:tcPr>
          <w:p>
            <w:pPr>
              <w:ind w:left="427"/>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1232" w:type="dxa"/>
            <w:vAlign w:val="top"/>
          </w:tcPr>
          <w:p>
            <w:pPr>
              <w:ind w:left="236"/>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6.61E-05</w:t>
            </w:r>
          </w:p>
        </w:tc>
        <w:tc>
          <w:tcPr>
            <w:tcW w:w="889" w:type="dxa"/>
            <w:vAlign w:val="top"/>
          </w:tcPr>
          <w:p>
            <w:pPr>
              <w:ind w:left="267"/>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w:t>
            </w:r>
          </w:p>
        </w:tc>
        <w:tc>
          <w:tcPr>
            <w:tcW w:w="1108" w:type="dxa"/>
            <w:vAlign w:val="top"/>
          </w:tcPr>
          <w:p>
            <w:pPr>
              <w:pStyle w:val="TableText"/>
              <w:ind w:left="349"/>
              <w:spacing w:before="31" w:line="217" w:lineRule="auto"/>
              <w:rPr/>
            </w:pPr>
            <w:r>
              <w:rPr>
                <w:spacing w:val="4"/>
              </w:rPr>
              <w:t>三级</w:t>
            </w:r>
          </w:p>
        </w:tc>
      </w:tr>
      <w:tr>
        <w:trPr>
          <w:trHeight w:val="277" w:hRule="atLeast"/>
        </w:trPr>
        <w:tc>
          <w:tcPr>
            <w:tcW w:w="690" w:type="dxa"/>
            <w:vAlign w:val="top"/>
            <w:vMerge w:val="continue"/>
            <w:tcBorders>
              <w:top w:val="nil"/>
              <w:bottom w:val="nil"/>
            </w:tcBorders>
          </w:tcPr>
          <w:p>
            <w:pPr>
              <w:rPr>
                <w:rFonts w:ascii="Arial"/>
                <w:sz w:val="21"/>
              </w:rPr>
            </w:pPr>
            <w:r/>
          </w:p>
        </w:tc>
        <w:tc>
          <w:tcPr>
            <w:tcW w:w="2670" w:type="dxa"/>
            <w:vAlign w:val="top"/>
            <w:vMerge w:val="continue"/>
            <w:tcBorders>
              <w:top w:val="nil"/>
            </w:tcBorders>
          </w:tcPr>
          <w:p>
            <w:pPr>
              <w:rPr>
                <w:rFonts w:ascii="Arial"/>
                <w:sz w:val="21"/>
              </w:rPr>
            </w:pPr>
            <w:r/>
          </w:p>
        </w:tc>
        <w:tc>
          <w:tcPr>
            <w:tcW w:w="1213" w:type="dxa"/>
            <w:vAlign w:val="top"/>
          </w:tcPr>
          <w:p>
            <w:pPr>
              <w:ind w:left="439"/>
              <w:spacing w:before="68"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1107" w:type="dxa"/>
            <w:vAlign w:val="top"/>
          </w:tcPr>
          <w:p>
            <w:pPr>
              <w:ind w:left="37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232" w:type="dxa"/>
            <w:vAlign w:val="top"/>
          </w:tcPr>
          <w:p>
            <w:pPr>
              <w:ind w:left="230"/>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4.41E-07</w:t>
            </w:r>
          </w:p>
        </w:tc>
        <w:tc>
          <w:tcPr>
            <w:tcW w:w="889" w:type="dxa"/>
            <w:vAlign w:val="top"/>
          </w:tcPr>
          <w:p>
            <w:pPr>
              <w:ind w:left="26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08" w:type="dxa"/>
            <w:vAlign w:val="top"/>
          </w:tcPr>
          <w:p>
            <w:pPr>
              <w:pStyle w:val="TableText"/>
              <w:ind w:left="349"/>
              <w:spacing w:before="32" w:line="216" w:lineRule="auto"/>
              <w:rPr/>
            </w:pPr>
            <w:r>
              <w:rPr>
                <w:spacing w:val="4"/>
              </w:rPr>
              <w:t>三级</w:t>
            </w:r>
          </w:p>
        </w:tc>
      </w:tr>
      <w:tr>
        <w:trPr>
          <w:trHeight w:val="276" w:hRule="atLeast"/>
        </w:trPr>
        <w:tc>
          <w:tcPr>
            <w:tcW w:w="690" w:type="dxa"/>
            <w:vAlign w:val="top"/>
            <w:vMerge w:val="continue"/>
            <w:tcBorders>
              <w:top w:val="nil"/>
              <w:bottom w:val="nil"/>
            </w:tcBorders>
          </w:tcPr>
          <w:p>
            <w:pPr>
              <w:rPr>
                <w:rFonts w:ascii="Arial"/>
                <w:sz w:val="21"/>
              </w:rPr>
            </w:pPr>
            <w:r/>
          </w:p>
        </w:tc>
        <w:tc>
          <w:tcPr>
            <w:tcW w:w="2670" w:type="dxa"/>
            <w:vAlign w:val="top"/>
          </w:tcPr>
          <w:p>
            <w:pPr>
              <w:pStyle w:val="TableText"/>
              <w:ind w:left="916"/>
              <w:spacing w:before="34" w:line="214" w:lineRule="auto"/>
              <w:rPr/>
            </w:pPr>
            <w:r>
              <w:rPr>
                <w:spacing w:val="7"/>
              </w:rPr>
              <w:t>梳绒车间</w:t>
            </w:r>
          </w:p>
        </w:tc>
        <w:tc>
          <w:tcPr>
            <w:tcW w:w="1213" w:type="dxa"/>
            <w:vAlign w:val="top"/>
          </w:tcPr>
          <w:p>
            <w:pPr>
              <w:pStyle w:val="TableText"/>
              <w:ind w:left="296"/>
              <w:spacing w:before="34" w:line="214" w:lineRule="auto"/>
              <w:rPr/>
            </w:pPr>
            <w:r>
              <w:rPr>
                <w:spacing w:val="7"/>
              </w:rPr>
              <w:t>颗粒物</w:t>
            </w:r>
          </w:p>
        </w:tc>
        <w:tc>
          <w:tcPr>
            <w:tcW w:w="1107" w:type="dxa"/>
            <w:vAlign w:val="top"/>
          </w:tcPr>
          <w:p>
            <w:pPr>
              <w:ind w:left="42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0.9</w:t>
            </w:r>
          </w:p>
        </w:tc>
        <w:tc>
          <w:tcPr>
            <w:tcW w:w="1232" w:type="dxa"/>
            <w:vAlign w:val="top"/>
          </w:tcPr>
          <w:p>
            <w:pPr>
              <w:ind w:left="25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1.63E-03</w:t>
            </w:r>
          </w:p>
        </w:tc>
        <w:tc>
          <w:tcPr>
            <w:tcW w:w="889" w:type="dxa"/>
            <w:vAlign w:val="top"/>
          </w:tcPr>
          <w:p>
            <w:pPr>
              <w:ind w:left="26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0.18</w:t>
            </w:r>
          </w:p>
        </w:tc>
        <w:tc>
          <w:tcPr>
            <w:tcW w:w="1108" w:type="dxa"/>
            <w:vAlign w:val="top"/>
          </w:tcPr>
          <w:p>
            <w:pPr>
              <w:pStyle w:val="TableText"/>
              <w:ind w:left="349"/>
              <w:spacing w:before="34" w:line="214" w:lineRule="auto"/>
              <w:rPr/>
            </w:pPr>
            <w:r>
              <w:rPr>
                <w:spacing w:val="4"/>
              </w:rPr>
              <w:t>三级</w:t>
            </w:r>
          </w:p>
        </w:tc>
      </w:tr>
      <w:tr>
        <w:trPr>
          <w:trHeight w:val="277" w:hRule="atLeast"/>
        </w:trPr>
        <w:tc>
          <w:tcPr>
            <w:tcW w:w="690" w:type="dxa"/>
            <w:vAlign w:val="top"/>
            <w:vMerge w:val="continue"/>
            <w:tcBorders>
              <w:top w:val="nil"/>
              <w:bottom w:val="nil"/>
            </w:tcBorders>
          </w:tcPr>
          <w:p>
            <w:pPr>
              <w:rPr>
                <w:rFonts w:ascii="Arial"/>
                <w:sz w:val="21"/>
              </w:rPr>
            </w:pPr>
            <w:r/>
          </w:p>
        </w:tc>
        <w:tc>
          <w:tcPr>
            <w:tcW w:w="2670" w:type="dxa"/>
            <w:vAlign w:val="top"/>
            <w:vMerge w:val="restart"/>
            <w:tcBorders>
              <w:bottom w:val="nil"/>
            </w:tcBorders>
          </w:tcPr>
          <w:p>
            <w:pPr>
              <w:pStyle w:val="TableText"/>
              <w:ind w:left="709"/>
              <w:spacing w:before="175" w:line="227" w:lineRule="auto"/>
              <w:rPr/>
            </w:pPr>
            <w:r>
              <w:rPr>
                <w:spacing w:val="8"/>
              </w:rPr>
              <w:t>厌氧发酵罐区</w:t>
            </w:r>
          </w:p>
        </w:tc>
        <w:tc>
          <w:tcPr>
            <w:tcW w:w="1213" w:type="dxa"/>
            <w:vAlign w:val="top"/>
          </w:tcPr>
          <w:p>
            <w:pPr>
              <w:ind w:left="416"/>
              <w:spacing w:before="72"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1107" w:type="dxa"/>
            <w:vAlign w:val="top"/>
          </w:tcPr>
          <w:p>
            <w:pPr>
              <w:ind w:left="42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1232" w:type="dxa"/>
            <w:vAlign w:val="top"/>
          </w:tcPr>
          <w:p>
            <w:pPr>
              <w:ind w:left="25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1.21E-04</w:t>
            </w:r>
          </w:p>
        </w:tc>
        <w:tc>
          <w:tcPr>
            <w:tcW w:w="889" w:type="dxa"/>
            <w:vAlign w:val="top"/>
          </w:tcPr>
          <w:p>
            <w:pPr>
              <w:ind w:left="26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1108" w:type="dxa"/>
            <w:vAlign w:val="top"/>
          </w:tcPr>
          <w:p>
            <w:pPr>
              <w:pStyle w:val="TableText"/>
              <w:ind w:left="349"/>
              <w:spacing w:before="34" w:line="215" w:lineRule="auto"/>
              <w:rPr/>
            </w:pPr>
            <w:r>
              <w:rPr>
                <w:spacing w:val="4"/>
              </w:rPr>
              <w:t>三级</w:t>
            </w:r>
          </w:p>
        </w:tc>
      </w:tr>
      <w:tr>
        <w:trPr>
          <w:trHeight w:val="276" w:hRule="atLeast"/>
        </w:trPr>
        <w:tc>
          <w:tcPr>
            <w:tcW w:w="690" w:type="dxa"/>
            <w:vAlign w:val="top"/>
            <w:vMerge w:val="continue"/>
            <w:tcBorders>
              <w:top w:val="nil"/>
              <w:bottom w:val="nil"/>
            </w:tcBorders>
          </w:tcPr>
          <w:p>
            <w:pPr>
              <w:rPr>
                <w:rFonts w:ascii="Arial"/>
                <w:sz w:val="21"/>
              </w:rPr>
            </w:pPr>
            <w:r/>
          </w:p>
        </w:tc>
        <w:tc>
          <w:tcPr>
            <w:tcW w:w="2670" w:type="dxa"/>
            <w:vAlign w:val="top"/>
            <w:vMerge w:val="continue"/>
            <w:tcBorders>
              <w:top w:val="nil"/>
            </w:tcBorders>
          </w:tcPr>
          <w:p>
            <w:pPr>
              <w:rPr>
                <w:rFonts w:ascii="Arial"/>
                <w:sz w:val="21"/>
              </w:rPr>
            </w:pPr>
            <w:r/>
          </w:p>
        </w:tc>
        <w:tc>
          <w:tcPr>
            <w:tcW w:w="1213" w:type="dxa"/>
            <w:vAlign w:val="top"/>
          </w:tcPr>
          <w:p>
            <w:pPr>
              <w:ind w:left="439"/>
              <w:spacing w:before="70"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1107" w:type="dxa"/>
            <w:vAlign w:val="top"/>
          </w:tcPr>
          <w:p>
            <w:pPr>
              <w:ind w:left="37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232" w:type="dxa"/>
            <w:vAlign w:val="top"/>
          </w:tcPr>
          <w:p>
            <w:pPr>
              <w:ind w:left="23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rPr>
              <w:t>11E-06</w:t>
            </w:r>
          </w:p>
        </w:tc>
        <w:tc>
          <w:tcPr>
            <w:tcW w:w="889" w:type="dxa"/>
            <w:vAlign w:val="top"/>
          </w:tcPr>
          <w:p>
            <w:pPr>
              <w:ind w:left="26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0.07</w:t>
            </w:r>
          </w:p>
        </w:tc>
        <w:tc>
          <w:tcPr>
            <w:tcW w:w="1108" w:type="dxa"/>
            <w:vAlign w:val="top"/>
          </w:tcPr>
          <w:p>
            <w:pPr>
              <w:pStyle w:val="TableText"/>
              <w:ind w:left="349"/>
              <w:spacing w:before="35" w:line="213" w:lineRule="auto"/>
              <w:rPr/>
            </w:pPr>
            <w:r>
              <w:rPr>
                <w:spacing w:val="4"/>
              </w:rPr>
              <w:t>三级</w:t>
            </w:r>
          </w:p>
        </w:tc>
      </w:tr>
      <w:tr>
        <w:trPr>
          <w:trHeight w:val="277" w:hRule="atLeast"/>
        </w:trPr>
        <w:tc>
          <w:tcPr>
            <w:tcW w:w="690" w:type="dxa"/>
            <w:vAlign w:val="top"/>
            <w:vMerge w:val="continue"/>
            <w:tcBorders>
              <w:top w:val="nil"/>
              <w:bottom w:val="nil"/>
            </w:tcBorders>
          </w:tcPr>
          <w:p>
            <w:pPr>
              <w:rPr>
                <w:rFonts w:ascii="Arial"/>
                <w:sz w:val="21"/>
              </w:rPr>
            </w:pPr>
            <w:r/>
          </w:p>
        </w:tc>
        <w:tc>
          <w:tcPr>
            <w:tcW w:w="2670" w:type="dxa"/>
            <w:vAlign w:val="top"/>
            <w:vMerge w:val="restart"/>
            <w:tcBorders>
              <w:bottom w:val="nil"/>
            </w:tcBorders>
          </w:tcPr>
          <w:p>
            <w:pPr>
              <w:pStyle w:val="TableText"/>
              <w:ind w:left="818"/>
              <w:spacing w:before="176" w:line="229" w:lineRule="auto"/>
              <w:rPr/>
            </w:pPr>
            <w:r>
              <w:rPr>
                <w:spacing w:val="7"/>
              </w:rPr>
              <w:t>沼渣晾晒区</w:t>
            </w:r>
          </w:p>
        </w:tc>
        <w:tc>
          <w:tcPr>
            <w:tcW w:w="1213" w:type="dxa"/>
            <w:vAlign w:val="top"/>
          </w:tcPr>
          <w:p>
            <w:pPr>
              <w:ind w:left="416"/>
              <w:spacing w:before="75"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1107" w:type="dxa"/>
            <w:vAlign w:val="top"/>
          </w:tcPr>
          <w:p>
            <w:pPr>
              <w:ind w:left="427"/>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1232" w:type="dxa"/>
            <w:vAlign w:val="top"/>
          </w:tcPr>
          <w:p>
            <w:pPr>
              <w:ind w:left="235"/>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7.33E-04</w:t>
            </w:r>
          </w:p>
        </w:tc>
        <w:tc>
          <w:tcPr>
            <w:tcW w:w="889" w:type="dxa"/>
            <w:vAlign w:val="top"/>
          </w:tcPr>
          <w:p>
            <w:pPr>
              <w:ind w:left="267"/>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0.37</w:t>
            </w:r>
          </w:p>
        </w:tc>
        <w:tc>
          <w:tcPr>
            <w:tcW w:w="1108" w:type="dxa"/>
            <w:vAlign w:val="top"/>
          </w:tcPr>
          <w:p>
            <w:pPr>
              <w:pStyle w:val="TableText"/>
              <w:ind w:left="349"/>
              <w:spacing w:before="37" w:line="212" w:lineRule="auto"/>
              <w:rPr/>
            </w:pPr>
            <w:r>
              <w:rPr>
                <w:spacing w:val="4"/>
              </w:rPr>
              <w:t>三级</w:t>
            </w:r>
          </w:p>
        </w:tc>
      </w:tr>
      <w:tr>
        <w:trPr>
          <w:trHeight w:val="282" w:hRule="atLeast"/>
        </w:trPr>
        <w:tc>
          <w:tcPr>
            <w:tcW w:w="690" w:type="dxa"/>
            <w:vAlign w:val="top"/>
            <w:vMerge w:val="continue"/>
            <w:tcBorders>
              <w:top w:val="nil"/>
            </w:tcBorders>
          </w:tcPr>
          <w:p>
            <w:pPr>
              <w:rPr>
                <w:rFonts w:ascii="Arial"/>
                <w:sz w:val="21"/>
              </w:rPr>
            </w:pPr>
            <w:r/>
          </w:p>
        </w:tc>
        <w:tc>
          <w:tcPr>
            <w:tcW w:w="2670" w:type="dxa"/>
            <w:vAlign w:val="top"/>
            <w:vMerge w:val="continue"/>
            <w:tcBorders>
              <w:top w:val="nil"/>
            </w:tcBorders>
          </w:tcPr>
          <w:p>
            <w:pPr>
              <w:rPr>
                <w:rFonts w:ascii="Arial"/>
                <w:sz w:val="21"/>
              </w:rPr>
            </w:pPr>
            <w:r/>
          </w:p>
        </w:tc>
        <w:tc>
          <w:tcPr>
            <w:tcW w:w="1213" w:type="dxa"/>
            <w:vAlign w:val="top"/>
          </w:tcPr>
          <w:p>
            <w:pPr>
              <w:ind w:left="439"/>
              <w:spacing w:before="71"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1107" w:type="dxa"/>
            <w:vAlign w:val="top"/>
          </w:tcPr>
          <w:p>
            <w:pPr>
              <w:ind w:left="37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232" w:type="dxa"/>
            <w:vAlign w:val="top"/>
          </w:tcPr>
          <w:p>
            <w:pPr>
              <w:ind w:left="23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7.33E-05</w:t>
            </w:r>
          </w:p>
        </w:tc>
        <w:tc>
          <w:tcPr>
            <w:tcW w:w="889" w:type="dxa"/>
            <w:vAlign w:val="top"/>
          </w:tcPr>
          <w:p>
            <w:pPr>
              <w:ind w:left="26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0.73</w:t>
            </w:r>
          </w:p>
        </w:tc>
        <w:tc>
          <w:tcPr>
            <w:tcW w:w="1108" w:type="dxa"/>
            <w:vAlign w:val="top"/>
          </w:tcPr>
          <w:p>
            <w:pPr>
              <w:pStyle w:val="TableText"/>
              <w:ind w:left="349"/>
              <w:spacing w:before="35" w:line="218" w:lineRule="auto"/>
              <w:rPr/>
            </w:pPr>
            <w:r>
              <w:rPr>
                <w:spacing w:val="4"/>
              </w:rPr>
              <w:t>三级</w:t>
            </w:r>
          </w:p>
        </w:tc>
      </w:tr>
    </w:tbl>
    <w:p>
      <w:pPr>
        <w:ind w:left="217" w:right="205" w:firstLine="480"/>
        <w:spacing w:before="35" w:line="360" w:lineRule="auto"/>
        <w:jc w:val="both"/>
        <w:rPr>
          <w:rFonts w:ascii="SimSun" w:hAnsi="SimSun" w:eastAsia="SimSun" w:cs="SimSun"/>
          <w:sz w:val="24"/>
          <w:szCs w:val="24"/>
        </w:rPr>
      </w:pPr>
      <w:r>
        <w:rPr>
          <w:rFonts w:ascii="SimSun" w:hAnsi="SimSun" w:eastAsia="SimSun" w:cs="SimSun"/>
          <w:sz w:val="24"/>
          <w:szCs w:val="24"/>
          <w:spacing w:val="-1"/>
        </w:rPr>
        <w:t>项目大气环境评价等级计算结果见表</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2.4-3</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
        </w:rPr>
        <w:t>，由表可知，项目污染源排放估算</w:t>
      </w:r>
      <w:r>
        <w:rPr>
          <w:rFonts w:ascii="SimSun" w:hAnsi="SimSun" w:eastAsia="SimSun" w:cs="SimSun"/>
          <w:sz w:val="24"/>
          <w:szCs w:val="24"/>
        </w:rPr>
        <w:t xml:space="preserve"> </w:t>
      </w:r>
      <w:r>
        <w:rPr>
          <w:rFonts w:ascii="SimSun" w:hAnsi="SimSun" w:eastAsia="SimSun" w:cs="SimSun"/>
          <w:sz w:val="24"/>
          <w:szCs w:val="24"/>
          <w:spacing w:val="-3"/>
        </w:rPr>
        <w:t>占标率最大为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5.06%</w:t>
      </w:r>
      <w:r>
        <w:rPr>
          <w:rFonts w:ascii="SimSun" w:hAnsi="SimSun" w:eastAsia="SimSun" w:cs="SimSun"/>
          <w:sz w:val="24"/>
          <w:szCs w:val="24"/>
          <w:spacing w:val="-3"/>
        </w:rPr>
        <w:t>，为生物质锅炉烟气中的</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3"/>
        </w:rPr>
        <w:t>NO</w:t>
      </w:r>
      <w:r>
        <w:rPr>
          <w:rFonts w:ascii="Times New Roman" w:hAnsi="Times New Roman" w:eastAsia="Times New Roman" w:cs="Times New Roman"/>
          <w:sz w:val="15"/>
          <w:szCs w:val="15"/>
          <w:spacing w:val="-3"/>
          <w:position w:val="-1"/>
        </w:rPr>
        <w:t>x</w:t>
      </w:r>
      <w:r>
        <w:rPr>
          <w:rFonts w:ascii="SimSun" w:hAnsi="SimSun" w:eastAsia="SimSun" w:cs="SimSun"/>
          <w:sz w:val="24"/>
          <w:szCs w:val="24"/>
          <w:spacing w:val="-3"/>
        </w:rPr>
        <w:t>。根据《环境影响评价</w:t>
      </w:r>
      <w:r>
        <w:rPr>
          <w:rFonts w:ascii="SimSun" w:hAnsi="SimSun" w:eastAsia="SimSun" w:cs="SimSun"/>
          <w:sz w:val="24"/>
          <w:szCs w:val="24"/>
          <w:spacing w:val="-4"/>
        </w:rPr>
        <w:t>技术导则</w:t>
      </w:r>
      <w:r>
        <w:rPr>
          <w:rFonts w:ascii="SimSun" w:hAnsi="SimSun" w:eastAsia="SimSun" w:cs="SimSun"/>
          <w:sz w:val="24"/>
          <w:szCs w:val="24"/>
        </w:rPr>
        <w:t xml:space="preserve"> </w:t>
      </w:r>
      <w:r>
        <w:rPr>
          <w:rFonts w:ascii="SimSun" w:hAnsi="SimSun" w:eastAsia="SimSun" w:cs="SimSun"/>
          <w:sz w:val="24"/>
          <w:szCs w:val="24"/>
          <w:spacing w:val="-2"/>
        </w:rPr>
        <w:t>大气环境》（</w:t>
      </w:r>
      <w:r>
        <w:rPr>
          <w:rFonts w:ascii="Times New Roman" w:hAnsi="Times New Roman" w:eastAsia="Times New Roman" w:cs="Times New Roman"/>
          <w:sz w:val="24"/>
          <w:szCs w:val="24"/>
          <w:spacing w:val="-2"/>
        </w:rPr>
        <w:t>HJ2.2-2018</w:t>
      </w:r>
      <w:r>
        <w:rPr>
          <w:rFonts w:ascii="SimSun" w:hAnsi="SimSun" w:eastAsia="SimSun" w:cs="SimSun"/>
          <w:sz w:val="24"/>
          <w:szCs w:val="24"/>
        </w:rPr>
        <w:t>），</w:t>
      </w:r>
      <w:r>
        <w:rPr>
          <w:rFonts w:ascii="SimSun" w:hAnsi="SimSun" w:eastAsia="SimSun" w:cs="SimSun"/>
          <w:sz w:val="24"/>
          <w:szCs w:val="24"/>
          <w:spacing w:val="-2"/>
        </w:rPr>
        <w:t>本项目大气环境评价等级为二级，评价范围以项目区</w:t>
      </w:r>
      <w:r>
        <w:rPr>
          <w:rFonts w:ascii="SimSun" w:hAnsi="SimSun" w:eastAsia="SimSun" w:cs="SimSun"/>
          <w:sz w:val="24"/>
          <w:szCs w:val="24"/>
          <w:spacing w:val="1"/>
        </w:rPr>
        <w:t xml:space="preserve"> </w:t>
      </w:r>
      <w:r>
        <w:rPr>
          <w:rFonts w:ascii="SimSun" w:hAnsi="SimSun" w:eastAsia="SimSun" w:cs="SimSun"/>
          <w:sz w:val="24"/>
          <w:szCs w:val="24"/>
          <w:spacing w:val="2"/>
        </w:rPr>
        <w:t>为中心，外延形成</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w:t>
      </w:r>
      <w:r>
        <w:rPr>
          <w:rFonts w:ascii="Times New Roman" w:hAnsi="Times New Roman" w:eastAsia="Times New Roman" w:cs="Times New Roman"/>
          <w:sz w:val="24"/>
          <w:szCs w:val="24"/>
        </w:rPr>
        <w:t>km</w:t>
      </w:r>
      <w:r>
        <w:rPr>
          <w:rFonts w:ascii="Times New Roman" w:hAnsi="Times New Roman" w:eastAsia="Times New Roman" w:cs="Times New Roman"/>
          <w:sz w:val="24"/>
          <w:szCs w:val="24"/>
          <w:spacing w:val="2"/>
        </w:rPr>
        <w:t>×5</w:t>
      </w:r>
      <w:r>
        <w:rPr>
          <w:rFonts w:ascii="Times New Roman" w:hAnsi="Times New Roman" w:eastAsia="Times New Roman" w:cs="Times New Roman"/>
          <w:sz w:val="24"/>
          <w:szCs w:val="24"/>
        </w:rPr>
        <w:t>km</w:t>
      </w:r>
      <w:r>
        <w:rPr>
          <w:rFonts w:ascii="SimSun" w:hAnsi="SimSun" w:eastAsia="SimSun" w:cs="SimSun"/>
          <w:sz w:val="24"/>
          <w:szCs w:val="24"/>
          <w:spacing w:val="2"/>
        </w:rPr>
        <w:t>矩形区域。</w:t>
      </w:r>
    </w:p>
    <w:p>
      <w:pPr>
        <w:ind w:left="211"/>
        <w:spacing w:before="157" w:line="222" w:lineRule="auto"/>
        <w:outlineLvl w:val="2"/>
        <w:rPr>
          <w:rFonts w:ascii="SimHei" w:hAnsi="SimHei" w:eastAsia="SimHei" w:cs="SimHei"/>
          <w:sz w:val="28"/>
          <w:szCs w:val="28"/>
        </w:rPr>
      </w:pPr>
      <w:bookmarkStart w:name="bookmark28" w:id="32"/>
      <w:bookmarkEnd w:id="32"/>
      <w:r>
        <w:rPr>
          <w:rFonts w:ascii="Times New Roman" w:hAnsi="Times New Roman" w:eastAsia="Times New Roman" w:cs="Times New Roman"/>
          <w:sz w:val="28"/>
          <w:szCs w:val="28"/>
          <w:spacing w:val="-1"/>
        </w:rPr>
        <w:t>2.4.2 </w:t>
      </w:r>
      <w:r>
        <w:rPr>
          <w:rFonts w:ascii="SimHei" w:hAnsi="SimHei" w:eastAsia="SimHei" w:cs="SimHei"/>
          <w:sz w:val="28"/>
          <w:szCs w:val="28"/>
          <w:spacing w:val="-1"/>
        </w:rPr>
        <w:t>地表水环境</w:t>
      </w:r>
    </w:p>
    <w:p>
      <w:pPr>
        <w:pStyle w:val="BodyText"/>
        <w:spacing w:line="278" w:lineRule="auto"/>
        <w:rPr/>
      </w:pPr>
      <w:r/>
    </w:p>
    <w:p>
      <w:pPr>
        <w:ind w:left="214" w:right="206" w:firstLine="480"/>
        <w:spacing w:before="78" w:line="359" w:lineRule="auto"/>
        <w:rPr>
          <w:rFonts w:ascii="SimSun" w:hAnsi="SimSun" w:eastAsia="SimSun" w:cs="SimSun"/>
          <w:sz w:val="24"/>
          <w:szCs w:val="24"/>
        </w:rPr>
      </w:pPr>
      <w:r>
        <w:rPr>
          <w:rFonts w:ascii="SimSun" w:hAnsi="SimSun" w:eastAsia="SimSun" w:cs="SimSun"/>
          <w:sz w:val="24"/>
          <w:szCs w:val="24"/>
          <w:spacing w:val="1"/>
        </w:rPr>
        <w:t>根据《环境影响评价技术导则 地表水环境》（</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1"/>
        </w:rPr>
        <w:t>2.3-2018</w:t>
      </w:r>
      <w:r>
        <w:rPr>
          <w:rFonts w:ascii="SimSun" w:hAnsi="SimSun" w:eastAsia="SimSun" w:cs="SimSun"/>
          <w:sz w:val="24"/>
          <w:szCs w:val="24"/>
          <w:spacing w:val="7"/>
        </w:rPr>
        <w:t>），</w:t>
      </w:r>
      <w:r>
        <w:rPr>
          <w:rFonts w:ascii="SimSun" w:hAnsi="SimSun" w:eastAsia="SimSun" w:cs="SimSun"/>
          <w:sz w:val="24"/>
          <w:szCs w:val="24"/>
          <w:spacing w:val="1"/>
        </w:rPr>
        <w:t>地表</w:t>
      </w:r>
      <w:r>
        <w:rPr>
          <w:rFonts w:ascii="SimSun" w:hAnsi="SimSun" w:eastAsia="SimSun" w:cs="SimSun"/>
          <w:sz w:val="24"/>
          <w:szCs w:val="24"/>
        </w:rPr>
        <w:t>水水污染</w:t>
      </w:r>
      <w:r>
        <w:rPr>
          <w:rFonts w:ascii="SimSun" w:hAnsi="SimSun" w:eastAsia="SimSun" w:cs="SimSun"/>
          <w:sz w:val="24"/>
          <w:szCs w:val="24"/>
          <w:spacing w:val="1"/>
        </w:rPr>
        <w:t xml:space="preserve"> </w:t>
      </w:r>
      <w:r>
        <w:rPr>
          <w:rFonts w:ascii="SimSun" w:hAnsi="SimSun" w:eastAsia="SimSun" w:cs="SimSun"/>
          <w:sz w:val="24"/>
          <w:szCs w:val="24"/>
          <w:spacing w:val="-1"/>
        </w:rPr>
        <w:t>影响型建设项目评价等级判定依据详见表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2.4-4</w:t>
      </w:r>
      <w:r>
        <w:rPr>
          <w:rFonts w:ascii="SimSun" w:hAnsi="SimSun" w:eastAsia="SimSun" w:cs="SimSun"/>
          <w:sz w:val="24"/>
          <w:szCs w:val="24"/>
          <w:spacing w:val="-1"/>
        </w:rPr>
        <w:t>。</w:t>
      </w:r>
    </w:p>
    <w:p>
      <w:pPr>
        <w:ind w:left="1776"/>
        <w:spacing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7"/>
        </w:rPr>
        <w:t xml:space="preserve"> </w:t>
      </w:r>
      <w:r>
        <w:rPr>
          <w:rFonts w:ascii="Times New Roman" w:hAnsi="Times New Roman" w:eastAsia="Times New Roman" w:cs="Times New Roman"/>
          <w:sz w:val="24"/>
          <w:szCs w:val="24"/>
          <w:b/>
          <w:bCs/>
          <w:spacing w:val="-2"/>
        </w:rPr>
        <w:t>2.4-4        </w:t>
      </w:r>
      <w:r>
        <w:rPr>
          <w:rFonts w:ascii="SimSun" w:hAnsi="SimSun" w:eastAsia="SimSun" w:cs="SimSun"/>
          <w:sz w:val="24"/>
          <w:szCs w:val="24"/>
          <w:b/>
          <w:bCs/>
          <w:spacing w:val="-2"/>
        </w:rPr>
        <w:t>水污染影响型建设项目评价等级判定表</w:t>
      </w:r>
    </w:p>
    <w:tbl>
      <w:tblPr>
        <w:tblStyle w:val="TableNormal"/>
        <w:tblW w:w="8560" w:type="dxa"/>
        <w:tblInd w:w="176"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42"/>
        <w:gridCol w:w="1647"/>
        <w:gridCol w:w="5471"/>
      </w:tblGrid>
      <w:tr>
        <w:trPr>
          <w:trHeight w:val="281" w:hRule="atLeast"/>
        </w:trPr>
        <w:tc>
          <w:tcPr>
            <w:tcW w:w="1442" w:type="dxa"/>
            <w:vAlign w:val="top"/>
            <w:vMerge w:val="restart"/>
            <w:tcBorders>
              <w:bottom w:val="nil"/>
            </w:tcBorders>
          </w:tcPr>
          <w:p>
            <w:pPr>
              <w:pStyle w:val="TableText"/>
              <w:ind w:left="304"/>
              <w:spacing w:before="175" w:line="226" w:lineRule="auto"/>
              <w:rPr/>
            </w:pPr>
            <w:r>
              <w:rPr>
                <w:spacing w:val="7"/>
              </w:rPr>
              <w:t>评价等级</w:t>
            </w:r>
          </w:p>
        </w:tc>
        <w:tc>
          <w:tcPr>
            <w:tcW w:w="7118" w:type="dxa"/>
            <w:vAlign w:val="top"/>
            <w:gridSpan w:val="2"/>
          </w:tcPr>
          <w:p>
            <w:pPr>
              <w:pStyle w:val="TableText"/>
              <w:ind w:left="3142"/>
              <w:spacing w:before="35" w:line="217" w:lineRule="auto"/>
              <w:rPr/>
            </w:pPr>
            <w:r>
              <w:rPr>
                <w:spacing w:val="7"/>
              </w:rPr>
              <w:t>判定依据</w:t>
            </w:r>
          </w:p>
        </w:tc>
      </w:tr>
      <w:tr>
        <w:trPr>
          <w:trHeight w:val="277" w:hRule="atLeast"/>
        </w:trPr>
        <w:tc>
          <w:tcPr>
            <w:tcW w:w="1442" w:type="dxa"/>
            <w:vAlign w:val="top"/>
            <w:vMerge w:val="continue"/>
            <w:tcBorders>
              <w:top w:val="nil"/>
            </w:tcBorders>
          </w:tcPr>
          <w:p>
            <w:pPr>
              <w:rPr>
                <w:rFonts w:ascii="Arial"/>
                <w:sz w:val="21"/>
              </w:rPr>
            </w:pPr>
            <w:r/>
          </w:p>
        </w:tc>
        <w:tc>
          <w:tcPr>
            <w:tcW w:w="1647" w:type="dxa"/>
            <w:vAlign w:val="top"/>
          </w:tcPr>
          <w:p>
            <w:pPr>
              <w:pStyle w:val="TableText"/>
              <w:ind w:left="406"/>
              <w:spacing w:before="33" w:line="216" w:lineRule="auto"/>
              <w:rPr/>
            </w:pPr>
            <w:r>
              <w:rPr>
                <w:spacing w:val="7"/>
              </w:rPr>
              <w:t>排放方式</w:t>
            </w:r>
          </w:p>
        </w:tc>
        <w:tc>
          <w:tcPr>
            <w:tcW w:w="5471" w:type="dxa"/>
            <w:vAlign w:val="top"/>
          </w:tcPr>
          <w:p>
            <w:pPr>
              <w:pStyle w:val="TableText"/>
              <w:ind w:left="155"/>
              <w:spacing w:before="33" w:line="216" w:lineRule="auto"/>
              <w:rPr/>
            </w:pPr>
            <w:r>
              <w:rPr>
                <w:spacing w:val="7"/>
              </w:rPr>
              <w:t>废水排放量</w:t>
            </w:r>
            <w:r>
              <w:rPr>
                <w:spacing w:val="-40"/>
              </w:rPr>
              <w:t xml:space="preserve"> </w:t>
            </w:r>
            <w:r>
              <w:rPr>
                <w:rFonts w:ascii="Times New Roman" w:hAnsi="Times New Roman" w:eastAsia="Times New Roman" w:cs="Times New Roman"/>
                <w:spacing w:val="7"/>
              </w:rPr>
              <w:t>Q/</w:t>
            </w:r>
            <w:r>
              <w:rPr>
                <w:spacing w:val="7"/>
              </w:rPr>
              <w:t>（</w:t>
            </w:r>
            <w:r>
              <w:rPr>
                <w:rFonts w:ascii="Times New Roman" w:hAnsi="Times New Roman" w:eastAsia="Times New Roman" w:cs="Times New Roman"/>
                <w:spacing w:val="7"/>
              </w:rPr>
              <w:t>m</w:t>
            </w:r>
            <w:r>
              <w:rPr>
                <w:rFonts w:ascii="Times New Roman" w:hAnsi="Times New Roman" w:eastAsia="Times New Roman" w:cs="Times New Roman"/>
                <w:sz w:val="13"/>
                <w:szCs w:val="13"/>
                <w:spacing w:val="7"/>
                <w:position w:val="6"/>
              </w:rPr>
              <w:t>3</w:t>
            </w:r>
            <w:r>
              <w:rPr>
                <w:rFonts w:ascii="Times New Roman" w:hAnsi="Times New Roman" w:eastAsia="Times New Roman" w:cs="Times New Roman"/>
                <w:spacing w:val="7"/>
              </w:rPr>
              <w:t>/d</w:t>
            </w:r>
            <w:r>
              <w:rPr>
                <w:spacing w:val="17"/>
              </w:rPr>
              <w:t>），</w:t>
            </w:r>
            <w:r>
              <w:rPr>
                <w:spacing w:val="7"/>
              </w:rPr>
              <w:t>水污染物当量数</w:t>
            </w:r>
            <w:r>
              <w:rPr>
                <w:spacing w:val="-45"/>
              </w:rPr>
              <w:t xml:space="preserve"> </w:t>
            </w:r>
            <w:r>
              <w:rPr>
                <w:rFonts w:ascii="Times New Roman" w:hAnsi="Times New Roman" w:eastAsia="Times New Roman" w:cs="Times New Roman"/>
                <w:spacing w:val="6"/>
              </w:rPr>
              <w:t>W/</w:t>
            </w:r>
            <w:r>
              <w:rPr>
                <w:spacing w:val="6"/>
              </w:rPr>
              <w:t>（无量纲）</w:t>
            </w:r>
          </w:p>
        </w:tc>
      </w:tr>
      <w:tr>
        <w:trPr>
          <w:trHeight w:val="276" w:hRule="atLeast"/>
        </w:trPr>
        <w:tc>
          <w:tcPr>
            <w:tcW w:w="1442" w:type="dxa"/>
            <w:vAlign w:val="top"/>
          </w:tcPr>
          <w:p>
            <w:pPr>
              <w:pStyle w:val="TableText"/>
              <w:ind w:left="520"/>
              <w:spacing w:before="31" w:line="216" w:lineRule="auto"/>
              <w:rPr/>
            </w:pPr>
            <w:r>
              <w:rPr>
                <w:spacing w:val="3"/>
              </w:rPr>
              <w:t>一级</w:t>
            </w:r>
          </w:p>
        </w:tc>
        <w:tc>
          <w:tcPr>
            <w:tcW w:w="1647" w:type="dxa"/>
            <w:vAlign w:val="top"/>
          </w:tcPr>
          <w:p>
            <w:pPr>
              <w:pStyle w:val="TableText"/>
              <w:ind w:left="408"/>
              <w:spacing w:before="31" w:line="216" w:lineRule="auto"/>
              <w:rPr/>
            </w:pPr>
            <w:r>
              <w:rPr>
                <w:spacing w:val="6"/>
              </w:rPr>
              <w:t>直接排放</w:t>
            </w:r>
          </w:p>
        </w:tc>
        <w:tc>
          <w:tcPr>
            <w:tcW w:w="5471" w:type="dxa"/>
            <w:vAlign w:val="top"/>
          </w:tcPr>
          <w:p>
            <w:pPr>
              <w:pStyle w:val="TableText"/>
              <w:ind w:left="1713"/>
              <w:spacing w:before="31" w:line="216" w:lineRule="auto"/>
              <w:rPr>
                <w:rFonts w:ascii="Times New Roman" w:hAnsi="Times New Roman" w:eastAsia="Times New Roman" w:cs="Times New Roman"/>
              </w:rPr>
            </w:pPr>
            <w:r>
              <w:rPr>
                <w:rFonts w:ascii="Times New Roman" w:hAnsi="Times New Roman" w:eastAsia="Times New Roman" w:cs="Times New Roman"/>
                <w:spacing w:val="5"/>
              </w:rPr>
              <w:t>Q≥20000 </w:t>
            </w:r>
            <w:r>
              <w:rPr>
                <w:spacing w:val="5"/>
              </w:rPr>
              <w:t>或</w:t>
            </w:r>
            <w:r>
              <w:rPr>
                <w:spacing w:val="-45"/>
              </w:rPr>
              <w:t xml:space="preserve"> </w:t>
            </w:r>
            <w:r>
              <w:rPr>
                <w:rFonts w:ascii="Times New Roman" w:hAnsi="Times New Roman" w:eastAsia="Times New Roman" w:cs="Times New Roman"/>
                <w:spacing w:val="5"/>
              </w:rPr>
              <w:t>W≥600000</w:t>
            </w:r>
          </w:p>
        </w:tc>
      </w:tr>
      <w:tr>
        <w:trPr>
          <w:trHeight w:val="276" w:hRule="atLeast"/>
        </w:trPr>
        <w:tc>
          <w:tcPr>
            <w:tcW w:w="1442" w:type="dxa"/>
            <w:vAlign w:val="top"/>
          </w:tcPr>
          <w:p>
            <w:pPr>
              <w:pStyle w:val="TableText"/>
              <w:ind w:left="520"/>
              <w:spacing w:before="34" w:line="214" w:lineRule="auto"/>
              <w:rPr/>
            </w:pPr>
            <w:r>
              <w:rPr>
                <w:spacing w:val="3"/>
              </w:rPr>
              <w:t>二级</w:t>
            </w:r>
          </w:p>
        </w:tc>
        <w:tc>
          <w:tcPr>
            <w:tcW w:w="1647" w:type="dxa"/>
            <w:vAlign w:val="top"/>
          </w:tcPr>
          <w:p>
            <w:pPr>
              <w:pStyle w:val="TableText"/>
              <w:ind w:left="408"/>
              <w:spacing w:before="34" w:line="214" w:lineRule="auto"/>
              <w:rPr/>
            </w:pPr>
            <w:r>
              <w:rPr>
                <w:spacing w:val="6"/>
              </w:rPr>
              <w:t>直接排放</w:t>
            </w:r>
          </w:p>
        </w:tc>
        <w:tc>
          <w:tcPr>
            <w:tcW w:w="5471" w:type="dxa"/>
            <w:vAlign w:val="top"/>
          </w:tcPr>
          <w:p>
            <w:pPr>
              <w:pStyle w:val="TableText"/>
              <w:ind w:left="2531"/>
              <w:spacing w:before="34" w:line="214" w:lineRule="auto"/>
              <w:rPr/>
            </w:pPr>
            <w:r>
              <w:rPr>
                <w:spacing w:val="4"/>
              </w:rPr>
              <w:t>其他</w:t>
            </w:r>
          </w:p>
        </w:tc>
      </w:tr>
      <w:tr>
        <w:trPr>
          <w:trHeight w:val="277" w:hRule="atLeast"/>
        </w:trPr>
        <w:tc>
          <w:tcPr>
            <w:tcW w:w="1442" w:type="dxa"/>
            <w:vAlign w:val="top"/>
          </w:tcPr>
          <w:p>
            <w:pPr>
              <w:pStyle w:val="TableText"/>
              <w:ind w:left="413"/>
              <w:spacing w:before="34" w:line="215" w:lineRule="auto"/>
              <w:rPr>
                <w:rFonts w:ascii="Times New Roman" w:hAnsi="Times New Roman" w:eastAsia="Times New Roman" w:cs="Times New Roman"/>
              </w:rPr>
            </w:pPr>
            <w:r>
              <w:rPr>
                <w:spacing w:val="4"/>
              </w:rPr>
              <w:t>三级</w:t>
            </w:r>
            <w:r>
              <w:rPr>
                <w:spacing w:val="-42"/>
              </w:rPr>
              <w:t xml:space="preserve"> </w:t>
            </w:r>
            <w:r>
              <w:rPr>
                <w:rFonts w:ascii="Times New Roman" w:hAnsi="Times New Roman" w:eastAsia="Times New Roman" w:cs="Times New Roman"/>
                <w:spacing w:val="4"/>
              </w:rPr>
              <w:t>A</w:t>
            </w:r>
          </w:p>
        </w:tc>
        <w:tc>
          <w:tcPr>
            <w:tcW w:w="1647" w:type="dxa"/>
            <w:vAlign w:val="top"/>
          </w:tcPr>
          <w:p>
            <w:pPr>
              <w:pStyle w:val="TableText"/>
              <w:ind w:left="408"/>
              <w:spacing w:before="34" w:line="215" w:lineRule="auto"/>
              <w:rPr/>
            </w:pPr>
            <w:r>
              <w:rPr>
                <w:spacing w:val="6"/>
              </w:rPr>
              <w:t>直接排放</w:t>
            </w:r>
          </w:p>
        </w:tc>
        <w:tc>
          <w:tcPr>
            <w:tcW w:w="5471" w:type="dxa"/>
            <w:vAlign w:val="top"/>
          </w:tcPr>
          <w:p>
            <w:pPr>
              <w:pStyle w:val="TableText"/>
              <w:ind w:left="1828"/>
              <w:spacing w:before="34" w:line="215" w:lineRule="auto"/>
              <w:rPr>
                <w:rFonts w:ascii="Times New Roman" w:hAnsi="Times New Roman" w:eastAsia="Times New Roman" w:cs="Times New Roman"/>
              </w:rPr>
            </w:pPr>
            <w:r>
              <w:rPr>
                <w:rFonts w:ascii="Times New Roman" w:hAnsi="Times New Roman" w:eastAsia="Times New Roman" w:cs="Times New Roman"/>
                <w:spacing w:val="5"/>
              </w:rPr>
              <w:t>Q</w:t>
            </w:r>
            <w:r>
              <w:rPr>
                <w:spacing w:val="5"/>
              </w:rPr>
              <w:t>＜</w:t>
            </w:r>
            <w:r>
              <w:rPr>
                <w:rFonts w:ascii="Times New Roman" w:hAnsi="Times New Roman" w:eastAsia="Times New Roman" w:cs="Times New Roman"/>
                <w:spacing w:val="5"/>
              </w:rPr>
              <w:t>200 </w:t>
            </w:r>
            <w:r>
              <w:rPr>
                <w:spacing w:val="5"/>
              </w:rPr>
              <w:t>且</w:t>
            </w:r>
            <w:r>
              <w:rPr>
                <w:spacing w:val="-37"/>
              </w:rPr>
              <w:t xml:space="preserve"> </w:t>
            </w:r>
            <w:r>
              <w:rPr>
                <w:rFonts w:ascii="Times New Roman" w:hAnsi="Times New Roman" w:eastAsia="Times New Roman" w:cs="Times New Roman"/>
                <w:spacing w:val="5"/>
              </w:rPr>
              <w:t>W</w:t>
            </w:r>
            <w:r>
              <w:rPr>
                <w:spacing w:val="5"/>
              </w:rPr>
              <w:t>＜</w:t>
            </w:r>
            <w:r>
              <w:rPr>
                <w:rFonts w:ascii="Times New Roman" w:hAnsi="Times New Roman" w:eastAsia="Times New Roman" w:cs="Times New Roman"/>
                <w:spacing w:val="5"/>
              </w:rPr>
              <w:t>6000</w:t>
            </w:r>
          </w:p>
        </w:tc>
      </w:tr>
      <w:tr>
        <w:trPr>
          <w:trHeight w:val="281" w:hRule="atLeast"/>
        </w:trPr>
        <w:tc>
          <w:tcPr>
            <w:tcW w:w="1442" w:type="dxa"/>
            <w:vAlign w:val="top"/>
          </w:tcPr>
          <w:p>
            <w:pPr>
              <w:pStyle w:val="TableText"/>
              <w:ind w:left="420"/>
              <w:spacing w:before="35" w:line="217" w:lineRule="auto"/>
              <w:rPr>
                <w:rFonts w:ascii="Times New Roman" w:hAnsi="Times New Roman" w:eastAsia="Times New Roman" w:cs="Times New Roman"/>
              </w:rPr>
            </w:pPr>
            <w:r>
              <w:rPr>
                <w:spacing w:val="3"/>
              </w:rPr>
              <w:t>三级</w:t>
            </w:r>
            <w:r>
              <w:rPr>
                <w:spacing w:val="-42"/>
              </w:rPr>
              <w:t xml:space="preserve"> </w:t>
            </w:r>
            <w:r>
              <w:rPr>
                <w:rFonts w:ascii="Times New Roman" w:hAnsi="Times New Roman" w:eastAsia="Times New Roman" w:cs="Times New Roman"/>
                <w:spacing w:val="3"/>
              </w:rPr>
              <w:t>B</w:t>
            </w:r>
          </w:p>
        </w:tc>
        <w:tc>
          <w:tcPr>
            <w:tcW w:w="1647" w:type="dxa"/>
            <w:vAlign w:val="top"/>
          </w:tcPr>
          <w:p>
            <w:pPr>
              <w:pStyle w:val="TableText"/>
              <w:ind w:left="423"/>
              <w:spacing w:before="35" w:line="217" w:lineRule="auto"/>
              <w:rPr/>
            </w:pPr>
            <w:r>
              <w:rPr>
                <w:spacing w:val="3"/>
              </w:rPr>
              <w:t>间接排放</w:t>
            </w:r>
          </w:p>
        </w:tc>
        <w:tc>
          <w:tcPr>
            <w:tcW w:w="5471" w:type="dxa"/>
            <w:vAlign w:val="top"/>
          </w:tcPr>
          <w:p>
            <w:pPr>
              <w:ind w:left="2626"/>
              <w:spacing w:before="160"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2"/>
                <w:position w:val="-2"/>
              </w:rPr>
              <w:t>—</w:t>
            </w:r>
          </w:p>
        </w:tc>
      </w:tr>
    </w:tbl>
    <w:p>
      <w:pPr>
        <w:ind w:left="212" w:right="106" w:firstLine="483"/>
        <w:spacing w:before="28" w:line="365" w:lineRule="auto"/>
        <w:jc w:val="both"/>
        <w:rPr>
          <w:rFonts w:ascii="SimSun" w:hAnsi="SimSun" w:eastAsia="SimSun" w:cs="SimSun"/>
          <w:sz w:val="19"/>
          <w:szCs w:val="19"/>
        </w:rPr>
      </w:pPr>
      <w:r>
        <w:pict>
          <v:shape id="_x0000_s156" style="position:absolute;margin-left:169.57pt;margin-top:283.457pt;mso-position-vertical-relative:text;mso-position-horizontal-relative:text;width:58.85pt;height:13.75pt;z-index:251731968;"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4"/>
                    </w:rPr>
                    <w:t>任公司</w:t>
                  </w:r>
                  <w:r>
                    <w:rPr>
                      <w:rFonts w:ascii="SimSun" w:hAnsi="SimSun" w:eastAsia="SimSun" w:cs="SimSun"/>
                      <w:sz w:val="19"/>
                      <w:szCs w:val="19"/>
                      <w:spacing w:val="27"/>
                    </w:rPr>
                    <w:t xml:space="preserve">   </w:t>
                  </w:r>
                  <w:r>
                    <w:rPr>
                      <w:rFonts w:ascii="Times New Roman" w:hAnsi="Times New Roman" w:eastAsia="Times New Roman" w:cs="Times New Roman"/>
                      <w:sz w:val="18"/>
                      <w:szCs w:val="18"/>
                      <w:spacing w:val="4"/>
                      <w:position w:val="2"/>
                    </w:rPr>
                    <w:t>29</w:t>
                  </w:r>
                </w:p>
              </w:txbxContent>
            </v:textbox>
          </v:shape>
        </w:pict>
      </w:r>
      <w:r>
        <w:rPr>
          <w:rFonts w:ascii="SimSun" w:hAnsi="SimSun" w:eastAsia="SimSun" w:cs="SimSun"/>
          <w:sz w:val="24"/>
          <w:szCs w:val="24"/>
        </w:rPr>
        <w:t>本项目洗毛废水、车间地面冲洗水、冲厕废水经废水收集池</w:t>
      </w:r>
      <w:r>
        <w:rPr>
          <w:rFonts w:ascii="SimSun" w:hAnsi="SimSun" w:eastAsia="SimSun" w:cs="SimSun"/>
          <w:sz w:val="24"/>
          <w:szCs w:val="24"/>
          <w:spacing w:val="-1"/>
        </w:rPr>
        <w:t>收集、</w:t>
      </w:r>
      <w:r>
        <w:rPr>
          <w:rFonts w:ascii="Times New Roman" w:hAnsi="Times New Roman" w:eastAsia="Times New Roman" w:cs="Times New Roman"/>
          <w:sz w:val="24"/>
          <w:szCs w:val="24"/>
          <w:spacing w:val="-1"/>
        </w:rPr>
        <w:t>TS </w:t>
      </w:r>
      <w:r>
        <w:rPr>
          <w:rFonts w:ascii="SimSun" w:hAnsi="SimSun" w:eastAsia="SimSun" w:cs="SimSun"/>
          <w:sz w:val="24"/>
          <w:szCs w:val="24"/>
          <w:spacing w:val="-1"/>
        </w:rPr>
        <w:t>调节池</w:t>
      </w:r>
      <w:r>
        <w:rPr>
          <w:rFonts w:ascii="SimSun" w:hAnsi="SimSun" w:eastAsia="SimSun" w:cs="SimSun"/>
          <w:sz w:val="24"/>
          <w:szCs w:val="24"/>
        </w:rPr>
        <w:t xml:space="preserve"> </w:t>
      </w:r>
      <w:r>
        <w:rPr>
          <w:rFonts w:ascii="SimSun" w:hAnsi="SimSun" w:eastAsia="SimSun" w:cs="SimSun"/>
          <w:sz w:val="24"/>
          <w:szCs w:val="24"/>
          <w:spacing w:val="-2"/>
        </w:rPr>
        <w:t>调质后进入厌氧发酵装置，厌氧发酵达到沼肥标准后还田利用（自用</w:t>
      </w:r>
      <w:r>
        <w:rPr>
          <w:rFonts w:ascii="SimSun" w:hAnsi="SimSun" w:eastAsia="SimSun" w:cs="SimSun"/>
          <w:sz w:val="24"/>
          <w:szCs w:val="24"/>
          <w:spacing w:val="11"/>
        </w:rPr>
        <w:t>），</w:t>
      </w:r>
      <w:r>
        <w:rPr>
          <w:rFonts w:ascii="SimSun" w:hAnsi="SimSun" w:eastAsia="SimSun" w:cs="SimSun"/>
          <w:sz w:val="24"/>
          <w:szCs w:val="24"/>
          <w:spacing w:val="-2"/>
        </w:rPr>
        <w:t>不外排；</w:t>
      </w:r>
      <w:r>
        <w:rPr>
          <w:rFonts w:ascii="SimSun" w:hAnsi="SimSun" w:eastAsia="SimSun" w:cs="SimSun"/>
          <w:sz w:val="24"/>
          <w:szCs w:val="24"/>
        </w:rPr>
        <w:t xml:space="preserve"> </w:t>
      </w:r>
      <w:r>
        <w:rPr>
          <w:rFonts w:ascii="SimSun" w:hAnsi="SimSun" w:eastAsia="SimSun" w:cs="SimSun"/>
          <w:sz w:val="24"/>
          <w:szCs w:val="24"/>
          <w:spacing w:val="3"/>
        </w:rPr>
        <w:t>东厂区和西厂区员工洗浴废水通过独立管道系统外排市政污水</w:t>
      </w:r>
      <w:r>
        <w:rPr>
          <w:rFonts w:ascii="SimSun" w:hAnsi="SimSun" w:eastAsia="SimSun" w:cs="SimSun"/>
          <w:sz w:val="24"/>
          <w:szCs w:val="24"/>
          <w:spacing w:val="2"/>
        </w:rPr>
        <w:t>管网，进入明安图</w:t>
      </w:r>
      <w:r>
        <w:rPr>
          <w:rFonts w:ascii="SimSun" w:hAnsi="SimSun" w:eastAsia="SimSun" w:cs="SimSun"/>
          <w:sz w:val="24"/>
          <w:szCs w:val="24"/>
        </w:rPr>
        <w:t xml:space="preserve"> </w:t>
      </w:r>
      <w:r>
        <w:rPr>
          <w:rFonts w:ascii="SimSun" w:hAnsi="SimSun" w:eastAsia="SimSun" w:cs="SimSun"/>
          <w:sz w:val="24"/>
          <w:szCs w:val="24"/>
          <w:spacing w:val="-1"/>
        </w:rPr>
        <w:t>镇污水处理厂。西厂区冲厕水经独立管道排入化粪池（容积</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30m</w:t>
      </w:r>
      <w:r>
        <w:rPr>
          <w:rFonts w:ascii="Times New Roman" w:hAnsi="Times New Roman" w:eastAsia="Times New Roman" w:cs="Times New Roman"/>
          <w:sz w:val="15"/>
          <w:szCs w:val="15"/>
          <w:spacing w:val="-1"/>
          <w:position w:val="8"/>
        </w:rPr>
        <w:t>3 </w:t>
      </w:r>
      <w:r>
        <w:rPr>
          <w:rFonts w:ascii="SimSun" w:hAnsi="SimSun" w:eastAsia="SimSun" w:cs="SimSun"/>
          <w:sz w:val="24"/>
          <w:szCs w:val="24"/>
          <w:spacing w:val="-1"/>
        </w:rPr>
        <w:t>）预处理后，输</w:t>
      </w:r>
      <w:r>
        <w:rPr>
          <w:rFonts w:ascii="SimSun" w:hAnsi="SimSun" w:eastAsia="SimSun" w:cs="SimSun"/>
          <w:sz w:val="24"/>
          <w:szCs w:val="24"/>
        </w:rPr>
        <w:t xml:space="preserve"> </w:t>
      </w:r>
      <w:r>
        <w:rPr>
          <w:rFonts w:ascii="SimSun" w:hAnsi="SimSun" w:eastAsia="SimSun" w:cs="SimSun"/>
          <w:sz w:val="24"/>
          <w:szCs w:val="24"/>
          <w:spacing w:val="-2"/>
        </w:rPr>
        <w:t>送至西厂区废水收集池与洗毛废水混合，然后进入</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TS </w:t>
      </w:r>
      <w:r>
        <w:rPr>
          <w:rFonts w:ascii="SimSun" w:hAnsi="SimSun" w:eastAsia="SimSun" w:cs="SimSun"/>
          <w:sz w:val="24"/>
          <w:szCs w:val="24"/>
          <w:spacing w:val="-2"/>
        </w:rPr>
        <w:t>调节池调质后进入厌氧发酵</w:t>
      </w:r>
      <w:r>
        <w:rPr>
          <w:rFonts w:ascii="SimSun" w:hAnsi="SimSun" w:eastAsia="SimSun" w:cs="SimSun"/>
          <w:sz w:val="24"/>
          <w:szCs w:val="24"/>
        </w:rPr>
        <w:t xml:space="preserve"> </w:t>
      </w:r>
      <w:r>
        <w:rPr>
          <w:rFonts w:ascii="SimSun" w:hAnsi="SimSun" w:eastAsia="SimSun" w:cs="SimSun"/>
          <w:sz w:val="24"/>
          <w:szCs w:val="24"/>
          <w:spacing w:val="3"/>
        </w:rPr>
        <w:t>装置，厌氧发酵达到沼肥标准后还田利用（自用）。东厂</w:t>
      </w:r>
      <w:r>
        <w:rPr>
          <w:rFonts w:ascii="SimSun" w:hAnsi="SimSun" w:eastAsia="SimSun" w:cs="SimSun"/>
          <w:sz w:val="24"/>
          <w:szCs w:val="24"/>
          <w:spacing w:val="2"/>
        </w:rPr>
        <w:t>区冲厕水与洗毛废水一</w:t>
      </w:r>
      <w:r>
        <w:rPr>
          <w:rFonts w:ascii="SimSun" w:hAnsi="SimSun" w:eastAsia="SimSun" w:cs="SimSun"/>
          <w:sz w:val="24"/>
          <w:szCs w:val="24"/>
        </w:rPr>
        <w:t xml:space="preserve"> </w:t>
      </w:r>
      <w:r>
        <w:rPr>
          <w:rFonts w:ascii="SimSun" w:hAnsi="SimSun" w:eastAsia="SimSun" w:cs="SimSun"/>
          <w:sz w:val="24"/>
          <w:szCs w:val="24"/>
          <w:spacing w:val="-1"/>
        </w:rPr>
        <w:t>起进入东厂区洗毛废水收集池（</w:t>
      </w:r>
      <w:r>
        <w:rPr>
          <w:rFonts w:ascii="Times New Roman" w:hAnsi="Times New Roman" w:eastAsia="Times New Roman" w:cs="Times New Roman"/>
          <w:sz w:val="24"/>
          <w:szCs w:val="24"/>
          <w:spacing w:val="-1"/>
        </w:rPr>
        <w:t>10m</w:t>
      </w:r>
      <w:r>
        <w:rPr>
          <w:rFonts w:ascii="Times New Roman" w:hAnsi="Times New Roman" w:eastAsia="Times New Roman" w:cs="Times New Roman"/>
          <w:sz w:val="15"/>
          <w:szCs w:val="15"/>
          <w:spacing w:val="-1"/>
          <w:position w:val="8"/>
        </w:rPr>
        <w:t>3 </w:t>
      </w:r>
      <w:r>
        <w:rPr>
          <w:rFonts w:ascii="SimSun" w:hAnsi="SimSun" w:eastAsia="SimSun" w:cs="SimSun"/>
          <w:sz w:val="24"/>
          <w:szCs w:val="24"/>
          <w:spacing w:val="-26"/>
        </w:rPr>
        <w:t>），</w:t>
      </w:r>
      <w:r>
        <w:rPr>
          <w:rFonts w:ascii="SimSun" w:hAnsi="SimSun" w:eastAsia="SimSun" w:cs="SimSun"/>
          <w:sz w:val="24"/>
          <w:szCs w:val="24"/>
          <w:spacing w:val="-1"/>
        </w:rPr>
        <w:t>然</w:t>
      </w:r>
      <w:r>
        <w:rPr>
          <w:rFonts w:ascii="SimSun" w:hAnsi="SimSun" w:eastAsia="SimSun" w:cs="SimSun"/>
          <w:sz w:val="24"/>
          <w:szCs w:val="24"/>
          <w:spacing w:val="-2"/>
        </w:rPr>
        <w:t>后通过管道输送至西厂区废水收集池，</w:t>
      </w:r>
      <w:r>
        <w:rPr>
          <w:rFonts w:ascii="SimSun" w:hAnsi="SimSun" w:eastAsia="SimSun" w:cs="SimSun"/>
          <w:sz w:val="24"/>
          <w:szCs w:val="24"/>
          <w:spacing w:val="1"/>
        </w:rPr>
        <w:t xml:space="preserve"> </w:t>
      </w:r>
      <w:r>
        <w:rPr>
          <w:rFonts w:ascii="Times New Roman" w:hAnsi="Times New Roman" w:eastAsia="Times New Roman" w:cs="Times New Roman"/>
          <w:sz w:val="24"/>
          <w:szCs w:val="24"/>
          <w:spacing w:val="-4"/>
        </w:rPr>
        <w:t>TS </w:t>
      </w:r>
      <w:r>
        <w:rPr>
          <w:rFonts w:ascii="SimSun" w:hAnsi="SimSun" w:eastAsia="SimSun" w:cs="SimSun"/>
          <w:sz w:val="24"/>
          <w:szCs w:val="24"/>
          <w:spacing w:val="-4"/>
        </w:rPr>
        <w:t>调节池调质后进入厌氧发酵装置，厌氧发酵达到沼肥标准后还田利用（自用）。</w:t>
      </w:r>
      <w:r>
        <w:rPr>
          <w:rFonts w:ascii="SimSun" w:hAnsi="SimSun" w:eastAsia="SimSun" w:cs="SimSun"/>
          <w:sz w:val="24"/>
          <w:szCs w:val="24"/>
          <w:spacing w:val="6"/>
        </w:rPr>
        <w:t xml:space="preserve"> </w:t>
      </w:r>
      <w:r>
        <w:rPr>
          <w:rFonts w:ascii="SimSun" w:hAnsi="SimSun" w:eastAsia="SimSun" w:cs="SimSun"/>
          <w:sz w:val="24"/>
          <w:szCs w:val="24"/>
          <w:spacing w:val="3"/>
        </w:rPr>
        <w:t>锅炉及纯水装置排水通过独立管道系统排入市政污水管网，进</w:t>
      </w:r>
      <w:r>
        <w:rPr>
          <w:rFonts w:ascii="SimSun" w:hAnsi="SimSun" w:eastAsia="SimSun" w:cs="SimSun"/>
          <w:sz w:val="24"/>
          <w:szCs w:val="24"/>
          <w:spacing w:val="2"/>
        </w:rPr>
        <w:t>入明安图镇污水处</w:t>
      </w:r>
      <w:r>
        <w:rPr>
          <w:rFonts w:ascii="SimSun" w:hAnsi="SimSun" w:eastAsia="SimSun" w:cs="SimSun"/>
          <w:sz w:val="24"/>
          <w:szCs w:val="24"/>
        </w:rPr>
        <w:t xml:space="preserve"> </w:t>
      </w:r>
      <w:r>
        <w:rPr>
          <w:rFonts w:ascii="SimSun" w:hAnsi="SimSun" w:eastAsia="SimSun" w:cs="SimSun"/>
          <w:sz w:val="24"/>
          <w:szCs w:val="24"/>
          <w:spacing w:val="-3"/>
        </w:rPr>
        <w:t>理厂，均不直接外排。按照《环境影响评价</w:t>
      </w:r>
      <w:r>
        <w:rPr>
          <w:rFonts w:ascii="SimSun" w:hAnsi="SimSun" w:eastAsia="SimSun" w:cs="SimSun"/>
          <w:sz w:val="24"/>
          <w:szCs w:val="24"/>
          <w:spacing w:val="-4"/>
        </w:rPr>
        <w:t>技术导则 地表水环境》（</w:t>
      </w:r>
      <w:r>
        <w:rPr>
          <w:rFonts w:ascii="Times New Roman" w:hAnsi="Times New Roman" w:eastAsia="Times New Roman" w:cs="Times New Roman"/>
          <w:sz w:val="24"/>
          <w:szCs w:val="24"/>
          <w:spacing w:val="-4"/>
        </w:rPr>
        <w:t>HJ 2.3-2018</w:t>
      </w:r>
      <w:r>
        <w:rPr>
          <w:rFonts w:ascii="SimSun" w:hAnsi="SimSun" w:eastAsia="SimSun" w:cs="SimSun"/>
          <w:sz w:val="24"/>
          <w:szCs w:val="24"/>
          <w:spacing w:val="-4"/>
        </w:rPr>
        <w:t>）</w:t>
      </w:r>
      <w:r>
        <w:rPr>
          <w:rFonts w:ascii="SimSun" w:hAnsi="SimSun" w:eastAsia="SimSun" w:cs="SimSun"/>
          <w:sz w:val="24"/>
          <w:szCs w:val="24"/>
        </w:rPr>
        <w:t xml:space="preserve"> </w:t>
      </w:r>
      <w:r>
        <w:rPr>
          <w:rFonts w:ascii="SimSun" w:hAnsi="SimSun" w:eastAsia="SimSun" w:cs="SimSun"/>
          <w:sz w:val="24"/>
          <w:szCs w:val="24"/>
          <w:spacing w:val="2"/>
        </w:rPr>
        <w:t>表</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水污染影响建设项目评价等级判定依据，本项目地表水环</w:t>
      </w:r>
      <w:r>
        <w:rPr>
          <w:rFonts w:ascii="SimSun" w:hAnsi="SimSun" w:eastAsia="SimSun" w:cs="SimSun"/>
          <w:sz w:val="24"/>
          <w:szCs w:val="24"/>
          <w:spacing w:val="1"/>
        </w:rPr>
        <w:t>境影响评价等级确</w:t>
      </w:r>
      <w:r>
        <w:rPr>
          <w:rFonts w:ascii="SimSun" w:hAnsi="SimSun" w:eastAsia="SimSun" w:cs="SimSun"/>
          <w:sz w:val="24"/>
          <w:szCs w:val="24"/>
        </w:rPr>
        <w:t xml:space="preserve"> </w:t>
      </w:r>
      <w:r>
        <w:rPr>
          <w:rFonts w:ascii="SimSun" w:hAnsi="SimSun" w:eastAsia="SimSun" w:cs="SimSun"/>
          <w:sz w:val="24"/>
          <w:szCs w:val="24"/>
          <w:spacing w:val="-4"/>
        </w:rPr>
        <w:t>定为三级</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B</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4"/>
        </w:rPr>
        <w:t>，只进行简单影响分析，本次对洗毛废水</w:t>
      </w:r>
      <w:r>
        <w:rPr>
          <w:rFonts w:ascii="SimSun" w:hAnsi="SimSun" w:eastAsia="SimSun" w:cs="SimSun"/>
          <w:sz w:val="24"/>
          <w:szCs w:val="24"/>
          <w:spacing w:val="-5"/>
        </w:rPr>
        <w:t>、车间地面冲洗水、冲厕废水</w:t>
      </w:r>
      <w:r>
        <w:rPr>
          <w:rFonts w:ascii="SimSun" w:hAnsi="SimSun" w:eastAsia="SimSun" w:cs="SimSun"/>
          <w:sz w:val="24"/>
          <w:szCs w:val="24"/>
        </w:rPr>
        <w:t xml:space="preserve"> </w:t>
      </w:r>
      <w:r>
        <w:rPr>
          <w:rFonts w:ascii="SimSun" w:hAnsi="SimSun" w:eastAsia="SimSun" w:cs="SimSun"/>
          <w:sz w:val="19"/>
          <w:szCs w:val="19"/>
          <w:spacing w:val="9"/>
        </w:rPr>
        <w:t>锡林郭勒盟中安环境技术咨询有限责</w:t>
      </w:r>
    </w:p>
    <w:p>
      <w:pPr>
        <w:spacing w:line="365" w:lineRule="auto"/>
        <w:sectPr>
          <w:pgSz w:w="11907" w:h="16840"/>
          <w:pgMar w:top="1567" w:right="1496" w:bottom="400" w:left="1496" w:header="1221" w:footer="0" w:gutter="0"/>
        </w:sectPr>
        <w:rPr>
          <w:rFonts w:ascii="SimSun" w:hAnsi="SimSun" w:eastAsia="SimSun" w:cs="SimSun"/>
          <w:sz w:val="19"/>
          <w:szCs w:val="19"/>
        </w:rPr>
      </w:pPr>
    </w:p>
    <w:p>
      <w:pPr>
        <w:ind w:left="22"/>
        <w:spacing w:before="182" w:line="218" w:lineRule="auto"/>
        <w:rPr>
          <w:rFonts w:ascii="SimSun" w:hAnsi="SimSun" w:eastAsia="SimSun" w:cs="SimSun"/>
          <w:sz w:val="24"/>
          <w:szCs w:val="24"/>
        </w:rPr>
      </w:pPr>
      <w:r>
        <w:pict>
          <v:shape id="_x0000_s160" style="position:absolute;margin-left:85.05pt;margin-top:78.87pt;mso-position-vertical-relative:page;mso-position-horizontal-relative:page;width:425.25pt;height:0.75pt;z-index:251735040;" o:allowincell="f" fillcolor="#000000" filled="true" stroked="false" coordsize="8505,15" coordorigin="0,0" path="m,l8505,0l8505,14l0,14l0,0xe"/>
        </w:pict>
      </w:r>
      <w:r>
        <w:rPr>
          <w:rFonts w:ascii="SimSun" w:hAnsi="SimSun" w:eastAsia="SimSun" w:cs="SimSun"/>
          <w:sz w:val="24"/>
          <w:szCs w:val="24"/>
          <w:spacing w:val="-1"/>
        </w:rPr>
        <w:t>综合利用的可行性进行评价。</w:t>
      </w:r>
    </w:p>
    <w:p>
      <w:pPr>
        <w:pStyle w:val="BodyText"/>
        <w:spacing w:line="251" w:lineRule="auto"/>
        <w:rPr/>
      </w:pPr>
      <w:r/>
    </w:p>
    <w:p>
      <w:pPr>
        <w:ind w:left="16"/>
        <w:spacing w:before="91" w:line="222" w:lineRule="auto"/>
        <w:outlineLvl w:val="2"/>
        <w:rPr>
          <w:rFonts w:ascii="SimHei" w:hAnsi="SimHei" w:eastAsia="SimHei" w:cs="SimHei"/>
          <w:sz w:val="28"/>
          <w:szCs w:val="28"/>
        </w:rPr>
      </w:pPr>
      <w:bookmarkStart w:name="bookmark29" w:id="33"/>
      <w:bookmarkEnd w:id="33"/>
      <w:r>
        <w:rPr>
          <w:rFonts w:ascii="Times New Roman" w:hAnsi="Times New Roman" w:eastAsia="Times New Roman" w:cs="Times New Roman"/>
          <w:sz w:val="28"/>
          <w:szCs w:val="28"/>
          <w:spacing w:val="-1"/>
        </w:rPr>
        <w:t>2.4.3 </w:t>
      </w:r>
      <w:r>
        <w:rPr>
          <w:rFonts w:ascii="SimHei" w:hAnsi="SimHei" w:eastAsia="SimHei" w:cs="SimHei"/>
          <w:sz w:val="28"/>
          <w:szCs w:val="28"/>
          <w:spacing w:val="-1"/>
        </w:rPr>
        <w:t>地下水环境</w:t>
      </w:r>
    </w:p>
    <w:p>
      <w:pPr>
        <w:pStyle w:val="BodyText"/>
        <w:spacing w:line="278" w:lineRule="auto"/>
        <w:rPr/>
      </w:pPr>
      <w:r/>
    </w:p>
    <w:p>
      <w:pPr>
        <w:ind w:left="511"/>
        <w:spacing w:before="78"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）行业分类</w:t>
      </w:r>
    </w:p>
    <w:p>
      <w:pPr>
        <w:ind w:left="18" w:right="10" w:firstLine="480"/>
        <w:spacing w:before="182" w:line="359" w:lineRule="auto"/>
        <w:rPr>
          <w:rFonts w:ascii="SimSun" w:hAnsi="SimSun" w:eastAsia="SimSun" w:cs="SimSun"/>
          <w:sz w:val="24"/>
          <w:szCs w:val="24"/>
        </w:rPr>
      </w:pPr>
      <w:r>
        <w:rPr>
          <w:rFonts w:ascii="SimSun" w:hAnsi="SimSun" w:eastAsia="SimSun" w:cs="SimSun"/>
          <w:sz w:val="24"/>
          <w:szCs w:val="24"/>
        </w:rPr>
        <w:t>根据《环境影响评价技术导则 地下水环境》（</w:t>
      </w:r>
      <w:r>
        <w:rPr>
          <w:rFonts w:ascii="Times New Roman" w:hAnsi="Times New Roman" w:eastAsia="Times New Roman" w:cs="Times New Roman"/>
          <w:sz w:val="24"/>
          <w:szCs w:val="24"/>
        </w:rPr>
        <w:t>HJ610 2016</w:t>
      </w:r>
      <w:r>
        <w:rPr>
          <w:rFonts w:ascii="SimSun" w:hAnsi="SimSun" w:eastAsia="SimSun" w:cs="SimSun"/>
          <w:sz w:val="24"/>
          <w:szCs w:val="24"/>
          <w:spacing w:val="5"/>
        </w:rPr>
        <w:t>），</w:t>
      </w:r>
      <w:r>
        <w:rPr>
          <w:rFonts w:ascii="SimSun" w:hAnsi="SimSun" w:eastAsia="SimSun" w:cs="SimSun"/>
          <w:sz w:val="24"/>
          <w:szCs w:val="24"/>
        </w:rPr>
        <w:t>本</w:t>
      </w:r>
      <w:r>
        <w:rPr>
          <w:rFonts w:ascii="SimSun" w:hAnsi="SimSun" w:eastAsia="SimSun" w:cs="SimSun"/>
          <w:sz w:val="24"/>
          <w:szCs w:val="24"/>
          <w:spacing w:val="-1"/>
        </w:rPr>
        <w:t>项目两个厂</w:t>
      </w:r>
      <w:r>
        <w:rPr>
          <w:rFonts w:ascii="SimSun" w:hAnsi="SimSun" w:eastAsia="SimSun" w:cs="SimSun"/>
          <w:sz w:val="24"/>
          <w:szCs w:val="24"/>
          <w:spacing w:val="1"/>
        </w:rPr>
        <w:t xml:space="preserve"> </w:t>
      </w:r>
      <w:r>
        <w:rPr>
          <w:rFonts w:ascii="SimSun" w:hAnsi="SimSun" w:eastAsia="SimSun" w:cs="SimSun"/>
          <w:sz w:val="24"/>
          <w:szCs w:val="24"/>
          <w:spacing w:val="1"/>
        </w:rPr>
        <w:t>区均属于“</w:t>
      </w:r>
      <w:r>
        <w:rPr>
          <w:rFonts w:ascii="Times New Roman" w:hAnsi="Times New Roman" w:eastAsia="Times New Roman" w:cs="Times New Roman"/>
          <w:sz w:val="24"/>
          <w:szCs w:val="24"/>
          <w:spacing w:val="1"/>
        </w:rPr>
        <w:t>O</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1"/>
        </w:rPr>
        <w:t>纺织化纤</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120</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1"/>
        </w:rPr>
        <w:t>纺织品制造，有</w:t>
      </w:r>
      <w:r>
        <w:rPr>
          <w:rFonts w:ascii="SimSun" w:hAnsi="SimSun" w:eastAsia="SimSun" w:cs="SimSun"/>
          <w:sz w:val="24"/>
          <w:szCs w:val="24"/>
          <w:b/>
          <w:bCs/>
          <w:spacing w:val="1"/>
        </w:rPr>
        <w:t>洗毛</w:t>
      </w:r>
      <w:r>
        <w:rPr>
          <w:rFonts w:ascii="SimSun" w:hAnsi="SimSun" w:eastAsia="SimSun" w:cs="SimSun"/>
          <w:sz w:val="24"/>
          <w:szCs w:val="24"/>
          <w:spacing w:val="1"/>
        </w:rPr>
        <w:t>、染整、脱</w:t>
      </w:r>
      <w:r>
        <w:rPr>
          <w:rFonts w:ascii="SimSun" w:hAnsi="SimSun" w:eastAsia="SimSun" w:cs="SimSun"/>
          <w:sz w:val="24"/>
          <w:szCs w:val="24"/>
        </w:rPr>
        <w:t>胶工段的；产生缫丝 </w:t>
      </w:r>
      <w:r>
        <w:rPr>
          <w:rFonts w:ascii="SimSun" w:hAnsi="SimSun" w:eastAsia="SimSun" w:cs="SimSun"/>
          <w:sz w:val="24"/>
          <w:szCs w:val="24"/>
          <w:spacing w:val="-2"/>
        </w:rPr>
        <w:t>废水、精炼废水的</w:t>
      </w:r>
      <w:r>
        <w:rPr>
          <w:rFonts w:ascii="SimSun" w:hAnsi="SimSun" w:eastAsia="SimSun" w:cs="SimSun"/>
          <w:sz w:val="24"/>
          <w:szCs w:val="24"/>
          <w:spacing w:val="-85"/>
        </w:rPr>
        <w:t xml:space="preserve"> </w:t>
      </w:r>
      <w:r>
        <w:rPr>
          <w:rFonts w:ascii="SimSun" w:hAnsi="SimSun" w:eastAsia="SimSun" w:cs="SimSun"/>
          <w:sz w:val="24"/>
          <w:szCs w:val="24"/>
          <w:spacing w:val="-2"/>
        </w:rPr>
        <w:t>”编制报告书类别，属</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I </w:t>
      </w:r>
      <w:r>
        <w:rPr>
          <w:rFonts w:ascii="SimSun" w:hAnsi="SimSun" w:eastAsia="SimSun" w:cs="SimSun"/>
          <w:sz w:val="24"/>
          <w:szCs w:val="24"/>
          <w:spacing w:val="-2"/>
        </w:rPr>
        <w:t>类建设项目。</w:t>
      </w:r>
    </w:p>
    <w:p>
      <w:pPr>
        <w:ind w:left="511"/>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）地下水的敏感程度</w:t>
      </w:r>
    </w:p>
    <w:p>
      <w:pPr>
        <w:ind w:left="20" w:right="11" w:firstLine="479"/>
        <w:spacing w:before="181" w:line="359" w:lineRule="auto"/>
        <w:rPr>
          <w:rFonts w:ascii="SimSun" w:hAnsi="SimSun" w:eastAsia="SimSun" w:cs="SimSun"/>
          <w:sz w:val="24"/>
          <w:szCs w:val="24"/>
        </w:rPr>
      </w:pPr>
      <w:r>
        <w:rPr>
          <w:rFonts w:ascii="SimSun" w:hAnsi="SimSun" w:eastAsia="SimSun" w:cs="SimSun"/>
          <w:sz w:val="24"/>
          <w:szCs w:val="24"/>
        </w:rPr>
        <w:t>根据《环境影响评价技术导则 地下水环境》（</w:t>
      </w:r>
      <w:r>
        <w:rPr>
          <w:rFonts w:ascii="Times New Roman" w:hAnsi="Times New Roman" w:eastAsia="Times New Roman" w:cs="Times New Roman"/>
          <w:sz w:val="24"/>
          <w:szCs w:val="24"/>
        </w:rPr>
        <w:t>HJ610 2016</w:t>
      </w:r>
      <w:r>
        <w:rPr>
          <w:rFonts w:ascii="SimSun" w:hAnsi="SimSun" w:eastAsia="SimSun" w:cs="SimSun"/>
          <w:sz w:val="24"/>
          <w:szCs w:val="24"/>
          <w:spacing w:val="6"/>
        </w:rPr>
        <w:t>），</w:t>
      </w:r>
      <w:r>
        <w:rPr>
          <w:rFonts w:ascii="SimSun" w:hAnsi="SimSun" w:eastAsia="SimSun" w:cs="SimSun"/>
          <w:sz w:val="24"/>
          <w:szCs w:val="24"/>
          <w:spacing w:val="-1"/>
        </w:rPr>
        <w:t>地下水环境敏</w:t>
      </w:r>
      <w:r>
        <w:rPr>
          <w:rFonts w:ascii="SimSun" w:hAnsi="SimSun" w:eastAsia="SimSun" w:cs="SimSun"/>
          <w:sz w:val="24"/>
          <w:szCs w:val="24"/>
        </w:rPr>
        <w:t xml:space="preserve"> </w:t>
      </w:r>
      <w:r>
        <w:rPr>
          <w:rFonts w:ascii="SimSun" w:hAnsi="SimSun" w:eastAsia="SimSun" w:cs="SimSun"/>
          <w:sz w:val="24"/>
          <w:szCs w:val="24"/>
          <w:spacing w:val="-2"/>
        </w:rPr>
        <w:t>感程度分级见表</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2.4-5</w:t>
      </w:r>
      <w:r>
        <w:rPr>
          <w:rFonts w:ascii="SimSun" w:hAnsi="SimSun" w:eastAsia="SimSun" w:cs="SimSun"/>
          <w:sz w:val="24"/>
          <w:szCs w:val="24"/>
          <w:spacing w:val="-2"/>
        </w:rPr>
        <w:t>。</w:t>
      </w:r>
    </w:p>
    <w:p>
      <w:pPr>
        <w:ind w:left="2353"/>
        <w:spacing w:before="1" w:line="213" w:lineRule="auto"/>
        <w:rPr>
          <w:rFonts w:ascii="SimSun" w:hAnsi="SimSun" w:eastAsia="SimSun" w:cs="SimSun"/>
          <w:sz w:val="24"/>
          <w:szCs w:val="24"/>
        </w:rPr>
      </w:pPr>
      <w:r>
        <w:rPr>
          <w:rFonts w:ascii="SimSun" w:hAnsi="SimSun" w:eastAsia="SimSun" w:cs="SimSun"/>
          <w:sz w:val="24"/>
          <w:szCs w:val="24"/>
          <w:b/>
          <w:bCs/>
          <w:spacing w:val="4"/>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4"/>
        </w:rPr>
        <w:t>2.4-5        </w:t>
      </w:r>
      <w:r>
        <w:rPr>
          <w:rFonts w:ascii="SimSun" w:hAnsi="SimSun" w:eastAsia="SimSun" w:cs="SimSun"/>
          <w:sz w:val="24"/>
          <w:szCs w:val="24"/>
          <w:b/>
          <w:bCs/>
          <w:spacing w:val="4"/>
        </w:rPr>
        <w:t>地下水环境敏感程度分</w:t>
      </w:r>
      <w:r>
        <w:rPr>
          <w:rFonts w:ascii="SimSun" w:hAnsi="SimSun" w:eastAsia="SimSun" w:cs="SimSun"/>
          <w:sz w:val="24"/>
          <w:szCs w:val="24"/>
          <w:b/>
          <w:bCs/>
          <w:spacing w:val="3"/>
        </w:rPr>
        <w:t>级表</w:t>
      </w:r>
    </w:p>
    <w:tbl>
      <w:tblPr>
        <w:tblStyle w:val="TableNormal"/>
        <w:tblW w:w="8517" w:type="dxa"/>
        <w:tblInd w:w="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68"/>
        <w:gridCol w:w="7149"/>
      </w:tblGrid>
      <w:tr>
        <w:trPr>
          <w:trHeight w:val="281" w:hRule="atLeast"/>
        </w:trPr>
        <w:tc>
          <w:tcPr>
            <w:tcW w:w="1368" w:type="dxa"/>
            <w:vAlign w:val="top"/>
          </w:tcPr>
          <w:p>
            <w:pPr>
              <w:pStyle w:val="TableText"/>
              <w:ind w:left="270"/>
              <w:spacing w:before="34" w:line="218" w:lineRule="auto"/>
              <w:rPr/>
            </w:pPr>
            <w:r>
              <w:rPr>
                <w:spacing w:val="7"/>
              </w:rPr>
              <w:t>敏感程度</w:t>
            </w:r>
          </w:p>
        </w:tc>
        <w:tc>
          <w:tcPr>
            <w:tcW w:w="7149" w:type="dxa"/>
            <w:vAlign w:val="top"/>
          </w:tcPr>
          <w:p>
            <w:pPr>
              <w:pStyle w:val="TableText"/>
              <w:ind w:left="2633"/>
              <w:spacing w:before="34" w:line="218" w:lineRule="auto"/>
              <w:rPr/>
            </w:pPr>
            <w:r>
              <w:rPr>
                <w:spacing w:val="8"/>
              </w:rPr>
              <w:t>地下水环境敏感特征</w:t>
            </w:r>
          </w:p>
        </w:tc>
      </w:tr>
      <w:tr>
        <w:trPr>
          <w:trHeight w:val="820" w:hRule="atLeast"/>
        </w:trPr>
        <w:tc>
          <w:tcPr>
            <w:tcW w:w="1368" w:type="dxa"/>
            <w:vAlign w:val="top"/>
          </w:tcPr>
          <w:p>
            <w:pPr>
              <w:pStyle w:val="TableText"/>
              <w:ind w:left="481"/>
              <w:spacing w:before="305" w:line="228" w:lineRule="auto"/>
              <w:rPr/>
            </w:pPr>
            <w:r>
              <w:rPr>
                <w:spacing w:val="4"/>
              </w:rPr>
              <w:t>敏感</w:t>
            </w:r>
          </w:p>
        </w:tc>
        <w:tc>
          <w:tcPr>
            <w:tcW w:w="7149" w:type="dxa"/>
            <w:vAlign w:val="top"/>
          </w:tcPr>
          <w:p>
            <w:pPr>
              <w:pStyle w:val="TableText"/>
              <w:ind w:left="9" w:right="4" w:hanging="2"/>
              <w:spacing w:before="33" w:line="239" w:lineRule="auto"/>
              <w:jc w:val="both"/>
              <w:rPr/>
            </w:pPr>
            <w:r>
              <w:rPr>
                <w:spacing w:val="10"/>
              </w:rPr>
              <w:t>集中式饮用水水源（包括已建成的在用、备用、应</w:t>
            </w:r>
            <w:r>
              <w:rPr>
                <w:spacing w:val="9"/>
              </w:rPr>
              <w:t>急水源，在建和规划的饮用</w:t>
            </w:r>
            <w:r>
              <w:rPr/>
              <w:t xml:space="preserve"> </w:t>
            </w:r>
            <w:r>
              <w:rPr>
                <w:spacing w:val="10"/>
              </w:rPr>
              <w:t>水水源）准保护区；除集中式饮用水水源以外的国</w:t>
            </w:r>
            <w:r>
              <w:rPr>
                <w:spacing w:val="9"/>
              </w:rPr>
              <w:t>家或地方政府设定的与地下</w:t>
            </w:r>
            <w:r>
              <w:rPr/>
              <w:t xml:space="preserve"> </w:t>
            </w:r>
            <w:r>
              <w:rPr>
                <w:spacing w:val="9"/>
              </w:rPr>
              <w:t>水环境相关的其他保护区，如热水、矿泉水、温泉等特殊地下水资源保护区。</w:t>
            </w:r>
          </w:p>
        </w:tc>
      </w:tr>
      <w:tr>
        <w:trPr>
          <w:trHeight w:val="1093" w:hRule="atLeast"/>
        </w:trPr>
        <w:tc>
          <w:tcPr>
            <w:tcW w:w="1368" w:type="dxa"/>
            <w:vAlign w:val="top"/>
          </w:tcPr>
          <w:p>
            <w:pPr>
              <w:spacing w:line="375" w:lineRule="auto"/>
              <w:rPr>
                <w:rFonts w:ascii="Arial"/>
                <w:sz w:val="21"/>
              </w:rPr>
            </w:pPr>
            <w:r/>
          </w:p>
          <w:p>
            <w:pPr>
              <w:pStyle w:val="TableText"/>
              <w:ind w:left="374"/>
              <w:spacing w:before="65" w:line="228" w:lineRule="auto"/>
              <w:rPr/>
            </w:pPr>
            <w:r>
              <w:rPr>
                <w:spacing w:val="6"/>
              </w:rPr>
              <w:t>较敏感</w:t>
            </w:r>
          </w:p>
        </w:tc>
        <w:tc>
          <w:tcPr>
            <w:tcW w:w="7149" w:type="dxa"/>
            <w:vAlign w:val="top"/>
          </w:tcPr>
          <w:p>
            <w:pPr>
              <w:pStyle w:val="TableText"/>
              <w:ind w:left="7" w:right="4"/>
              <w:spacing w:before="34" w:line="242" w:lineRule="auto"/>
              <w:jc w:val="both"/>
              <w:rPr/>
            </w:pPr>
            <w:r>
              <w:rPr>
                <w:spacing w:val="10"/>
              </w:rPr>
              <w:t>集中式饮用水水源（包括已建成的在用、备用、应</w:t>
            </w:r>
            <w:r>
              <w:rPr>
                <w:spacing w:val="9"/>
              </w:rPr>
              <w:t>急水源，在建和规划的饮用</w:t>
            </w:r>
            <w:r>
              <w:rPr/>
              <w:t xml:space="preserve"> </w:t>
            </w:r>
            <w:r>
              <w:rPr>
                <w:spacing w:val="10"/>
              </w:rPr>
              <w:t>水水源）准保护区以外的补给径流区；未划定准保护区</w:t>
            </w:r>
            <w:r>
              <w:rPr>
                <w:spacing w:val="9"/>
              </w:rPr>
              <w:t>的集中式饮用水水源，</w:t>
            </w:r>
            <w:r>
              <w:rPr/>
              <w:t xml:space="preserve"> </w:t>
            </w:r>
            <w:r>
              <w:rPr>
                <w:spacing w:val="10"/>
              </w:rPr>
              <w:t>其保护区以外的补给径流区；分散式饮用水水源地；特</w:t>
            </w:r>
            <w:r>
              <w:rPr>
                <w:spacing w:val="9"/>
              </w:rPr>
              <w:t>殊地下水资源（如矿泉</w:t>
            </w:r>
            <w:r>
              <w:rPr/>
              <w:t xml:space="preserve"> </w:t>
            </w:r>
            <w:r>
              <w:rPr>
                <w:spacing w:val="9"/>
              </w:rPr>
              <w:t>水、温泉等）保护区以外的分布区等其他未列入上述敏感分级的环境敏感区。</w:t>
            </w:r>
          </w:p>
        </w:tc>
      </w:tr>
      <w:tr>
        <w:trPr>
          <w:trHeight w:val="281" w:hRule="atLeast"/>
        </w:trPr>
        <w:tc>
          <w:tcPr>
            <w:tcW w:w="1368" w:type="dxa"/>
            <w:vAlign w:val="top"/>
          </w:tcPr>
          <w:p>
            <w:pPr>
              <w:pStyle w:val="TableText"/>
              <w:ind w:left="378"/>
              <w:spacing w:before="35" w:line="217" w:lineRule="auto"/>
              <w:rPr/>
            </w:pPr>
            <w:r>
              <w:rPr>
                <w:spacing w:val="5"/>
              </w:rPr>
              <w:t>不敏感</w:t>
            </w:r>
          </w:p>
        </w:tc>
        <w:tc>
          <w:tcPr>
            <w:tcW w:w="7149" w:type="dxa"/>
            <w:vAlign w:val="top"/>
          </w:tcPr>
          <w:p>
            <w:pPr>
              <w:pStyle w:val="TableText"/>
              <w:ind w:left="2320"/>
              <w:spacing w:before="35" w:line="217" w:lineRule="auto"/>
              <w:rPr/>
            </w:pPr>
            <w:r>
              <w:rPr>
                <w:spacing w:val="8"/>
              </w:rPr>
              <w:t>上述地区之外的其他地区。</w:t>
            </w:r>
          </w:p>
        </w:tc>
      </w:tr>
    </w:tbl>
    <w:p>
      <w:pPr>
        <w:ind w:left="20" w:right="11" w:firstLine="480"/>
        <w:spacing w:before="37" w:line="358" w:lineRule="auto"/>
        <w:rPr>
          <w:rFonts w:ascii="SimSun" w:hAnsi="SimSun" w:eastAsia="SimSun" w:cs="SimSun"/>
          <w:sz w:val="24"/>
          <w:szCs w:val="24"/>
        </w:rPr>
      </w:pPr>
      <w:r>
        <w:rPr>
          <w:rFonts w:ascii="SimSun" w:hAnsi="SimSun" w:eastAsia="SimSun" w:cs="SimSun"/>
          <w:sz w:val="24"/>
          <w:szCs w:val="24"/>
          <w:spacing w:val="3"/>
        </w:rPr>
        <w:t>本项目周边分布有居民分散式饮用水井，因此地下水环境</w:t>
      </w:r>
      <w:r>
        <w:rPr>
          <w:rFonts w:ascii="SimSun" w:hAnsi="SimSun" w:eastAsia="SimSun" w:cs="SimSun"/>
          <w:sz w:val="24"/>
          <w:szCs w:val="24"/>
          <w:spacing w:val="2"/>
        </w:rPr>
        <w:t>敏感程度为“较敏</w:t>
      </w:r>
      <w:r>
        <w:rPr>
          <w:rFonts w:ascii="SimSun" w:hAnsi="SimSun" w:eastAsia="SimSun" w:cs="SimSun"/>
          <w:sz w:val="24"/>
          <w:szCs w:val="24"/>
        </w:rPr>
        <w:t xml:space="preserve"> </w:t>
      </w:r>
      <w:r>
        <w:rPr>
          <w:rFonts w:ascii="SimSun" w:hAnsi="SimSun" w:eastAsia="SimSun" w:cs="SimSun"/>
          <w:sz w:val="24"/>
          <w:szCs w:val="24"/>
          <w:spacing w:val="-4"/>
        </w:rPr>
        <w:t>感</w:t>
      </w:r>
      <w:r>
        <w:rPr>
          <w:rFonts w:ascii="SimSun" w:hAnsi="SimSun" w:eastAsia="SimSun" w:cs="SimSun"/>
          <w:sz w:val="24"/>
          <w:szCs w:val="24"/>
          <w:spacing w:val="-87"/>
        </w:rPr>
        <w:t xml:space="preserve"> </w:t>
      </w:r>
      <w:r>
        <w:rPr>
          <w:rFonts w:ascii="SimSun" w:hAnsi="SimSun" w:eastAsia="SimSun" w:cs="SimSun"/>
          <w:sz w:val="24"/>
          <w:szCs w:val="24"/>
          <w:spacing w:val="-4"/>
        </w:rPr>
        <w:t>”。</w:t>
      </w:r>
    </w:p>
    <w:p>
      <w:pPr>
        <w:ind w:left="511"/>
        <w:spacing w:before="1" w:line="217"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）评价等级判定</w:t>
      </w:r>
    </w:p>
    <w:p>
      <w:pPr>
        <w:ind w:left="32" w:right="11" w:firstLine="467"/>
        <w:spacing w:before="186" w:line="357" w:lineRule="auto"/>
        <w:rPr>
          <w:rFonts w:ascii="SimSun" w:hAnsi="SimSun" w:eastAsia="SimSun" w:cs="SimSun"/>
          <w:sz w:val="24"/>
          <w:szCs w:val="24"/>
        </w:rPr>
      </w:pPr>
      <w:r>
        <w:rPr>
          <w:rFonts w:ascii="SimSun" w:hAnsi="SimSun" w:eastAsia="SimSun" w:cs="SimSun"/>
          <w:sz w:val="24"/>
          <w:szCs w:val="24"/>
        </w:rPr>
        <w:t>根据《环境影响评价技术导则 地下水环境》（</w:t>
      </w:r>
      <w:r>
        <w:rPr>
          <w:rFonts w:ascii="Times New Roman" w:hAnsi="Times New Roman" w:eastAsia="Times New Roman" w:cs="Times New Roman"/>
          <w:sz w:val="24"/>
          <w:szCs w:val="24"/>
        </w:rPr>
        <w:t>HJ610 2016</w:t>
      </w:r>
      <w:r>
        <w:rPr>
          <w:rFonts w:ascii="SimSun" w:hAnsi="SimSun" w:eastAsia="SimSun" w:cs="SimSun"/>
          <w:sz w:val="24"/>
          <w:szCs w:val="24"/>
          <w:spacing w:val="6"/>
        </w:rPr>
        <w:t>），</w:t>
      </w:r>
      <w:r>
        <w:rPr>
          <w:rFonts w:ascii="SimSun" w:hAnsi="SimSun" w:eastAsia="SimSun" w:cs="SimSun"/>
          <w:sz w:val="24"/>
          <w:szCs w:val="24"/>
          <w:spacing w:val="-1"/>
        </w:rPr>
        <w:t>地下水环境影</w:t>
      </w:r>
      <w:r>
        <w:rPr>
          <w:rFonts w:ascii="SimSun" w:hAnsi="SimSun" w:eastAsia="SimSun" w:cs="SimSun"/>
          <w:sz w:val="24"/>
          <w:szCs w:val="24"/>
        </w:rPr>
        <w:t xml:space="preserve"> </w:t>
      </w:r>
      <w:r>
        <w:rPr>
          <w:rFonts w:ascii="SimSun" w:hAnsi="SimSun" w:eastAsia="SimSun" w:cs="SimSun"/>
          <w:sz w:val="24"/>
          <w:szCs w:val="24"/>
          <w:spacing w:val="-2"/>
        </w:rPr>
        <w:t>响评价等级确定见表</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2.4-6</w:t>
      </w:r>
      <w:r>
        <w:rPr>
          <w:rFonts w:ascii="SimSun" w:hAnsi="SimSun" w:eastAsia="SimSun" w:cs="SimSun"/>
          <w:sz w:val="24"/>
          <w:szCs w:val="24"/>
          <w:spacing w:val="-2"/>
        </w:rPr>
        <w:t>。</w:t>
      </w:r>
    </w:p>
    <w:p>
      <w:pPr>
        <w:ind w:left="2285"/>
        <w:spacing w:line="223" w:lineRule="auto"/>
        <w:rPr>
          <w:rFonts w:ascii="SimSun" w:hAnsi="SimSun" w:eastAsia="SimSun" w:cs="SimSun"/>
          <w:sz w:val="20"/>
          <w:szCs w:val="20"/>
        </w:rPr>
      </w:pPr>
      <w:r>
        <w:rPr>
          <w:rFonts w:ascii="SimSun" w:hAnsi="SimSun" w:eastAsia="SimSun" w:cs="SimSun"/>
          <w:sz w:val="20"/>
          <w:szCs w:val="20"/>
          <w:b/>
          <w:bCs/>
          <w:spacing w:val="5"/>
        </w:rPr>
        <w:t>表</w:t>
      </w:r>
      <w:r>
        <w:rPr>
          <w:rFonts w:ascii="SimSun" w:hAnsi="SimSun" w:eastAsia="SimSun" w:cs="SimSun"/>
          <w:sz w:val="20"/>
          <w:szCs w:val="20"/>
          <w:spacing w:val="-22"/>
        </w:rPr>
        <w:t xml:space="preserve"> </w:t>
      </w:r>
      <w:r>
        <w:rPr>
          <w:rFonts w:ascii="Times New Roman" w:hAnsi="Times New Roman" w:eastAsia="Times New Roman" w:cs="Times New Roman"/>
          <w:sz w:val="20"/>
          <w:szCs w:val="20"/>
          <w:b/>
          <w:bCs/>
          <w:spacing w:val="5"/>
        </w:rPr>
        <w:t>2.4-6      </w:t>
      </w:r>
      <w:r>
        <w:rPr>
          <w:rFonts w:ascii="SimSun" w:hAnsi="SimSun" w:eastAsia="SimSun" w:cs="SimSun"/>
          <w:sz w:val="20"/>
          <w:szCs w:val="20"/>
          <w:b/>
          <w:bCs/>
          <w:spacing w:val="5"/>
        </w:rPr>
        <w:t>地下水环境影响评价等级分级表</w:t>
      </w:r>
    </w:p>
    <w:tbl>
      <w:tblPr>
        <w:tblStyle w:val="TableNormal"/>
        <w:tblW w:w="851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986"/>
        <w:gridCol w:w="1996"/>
        <w:gridCol w:w="1800"/>
        <w:gridCol w:w="1737"/>
      </w:tblGrid>
      <w:tr>
        <w:trPr>
          <w:trHeight w:val="281" w:hRule="atLeast"/>
        </w:trPr>
        <w:tc>
          <w:tcPr>
            <w:tcW w:w="2986" w:type="dxa"/>
            <w:vAlign w:val="top"/>
          </w:tcPr>
          <w:p>
            <w:pPr>
              <w:pStyle w:val="TableText"/>
              <w:ind w:left="920"/>
              <w:spacing w:before="35" w:line="217" w:lineRule="auto"/>
              <w:rPr/>
            </w:pPr>
            <w:r>
              <w:rPr>
                <w:spacing w:val="8"/>
              </w:rPr>
              <w:t>环境敏感程度</w:t>
            </w:r>
          </w:p>
        </w:tc>
        <w:tc>
          <w:tcPr>
            <w:tcW w:w="1996" w:type="dxa"/>
            <w:vAlign w:val="top"/>
          </w:tcPr>
          <w:p>
            <w:pPr>
              <w:pStyle w:val="TableText"/>
              <w:ind w:left="624"/>
              <w:spacing w:before="35" w:line="217" w:lineRule="auto"/>
              <w:rPr/>
            </w:pPr>
            <w:r>
              <w:rPr>
                <w:rFonts w:ascii="Times New Roman" w:hAnsi="Times New Roman" w:eastAsia="Times New Roman" w:cs="Times New Roman"/>
                <w:spacing w:val="4"/>
              </w:rPr>
              <w:t>I</w:t>
            </w:r>
            <w:r>
              <w:rPr>
                <w:rFonts w:ascii="Times New Roman" w:hAnsi="Times New Roman" w:eastAsia="Times New Roman" w:cs="Times New Roman"/>
                <w:spacing w:val="12"/>
                <w:w w:val="101"/>
              </w:rPr>
              <w:t xml:space="preserve"> </w:t>
            </w:r>
            <w:r>
              <w:rPr>
                <w:spacing w:val="4"/>
              </w:rPr>
              <w:t>类项目</w:t>
            </w:r>
          </w:p>
        </w:tc>
        <w:tc>
          <w:tcPr>
            <w:tcW w:w="1800" w:type="dxa"/>
            <w:vAlign w:val="top"/>
          </w:tcPr>
          <w:p>
            <w:pPr>
              <w:pStyle w:val="TableText"/>
              <w:ind w:left="491"/>
              <w:spacing w:before="35" w:line="217" w:lineRule="auto"/>
              <w:rPr/>
            </w:pPr>
            <w:r>
              <w:rPr>
                <w:rFonts w:ascii="Times New Roman" w:hAnsi="Times New Roman" w:eastAsia="Times New Roman" w:cs="Times New Roman"/>
              </w:rPr>
              <w:t>II</w:t>
            </w:r>
            <w:r>
              <w:rPr>
                <w:rFonts w:ascii="Times New Roman" w:hAnsi="Times New Roman" w:eastAsia="Times New Roman" w:cs="Times New Roman"/>
                <w:spacing w:val="10"/>
              </w:rPr>
              <w:t xml:space="preserve"> </w:t>
            </w:r>
            <w:r>
              <w:rPr>
                <w:spacing w:val="7"/>
              </w:rPr>
              <w:t>类项目</w:t>
            </w:r>
          </w:p>
        </w:tc>
        <w:tc>
          <w:tcPr>
            <w:tcW w:w="1737" w:type="dxa"/>
            <w:vAlign w:val="top"/>
          </w:tcPr>
          <w:p>
            <w:pPr>
              <w:pStyle w:val="TableText"/>
              <w:ind w:left="423"/>
              <w:spacing w:before="35" w:line="217" w:lineRule="auto"/>
              <w:rPr/>
            </w:pPr>
            <w:r>
              <w:rPr>
                <w:rFonts w:ascii="Times New Roman" w:hAnsi="Times New Roman" w:eastAsia="Times New Roman" w:cs="Times New Roman"/>
              </w:rPr>
              <w:t>III</w:t>
            </w:r>
            <w:r>
              <w:rPr>
                <w:rFonts w:ascii="Times New Roman" w:hAnsi="Times New Roman" w:eastAsia="Times New Roman" w:cs="Times New Roman"/>
                <w:spacing w:val="13"/>
              </w:rPr>
              <w:t xml:space="preserve"> </w:t>
            </w:r>
            <w:r>
              <w:rPr>
                <w:spacing w:val="8"/>
              </w:rPr>
              <w:t>类项目</w:t>
            </w:r>
          </w:p>
        </w:tc>
      </w:tr>
      <w:tr>
        <w:trPr>
          <w:trHeight w:val="276" w:hRule="atLeast"/>
        </w:trPr>
        <w:tc>
          <w:tcPr>
            <w:tcW w:w="2986" w:type="dxa"/>
            <w:vAlign w:val="top"/>
          </w:tcPr>
          <w:p>
            <w:pPr>
              <w:pStyle w:val="TableText"/>
              <w:ind w:left="1288"/>
              <w:spacing w:before="33" w:line="215" w:lineRule="auto"/>
              <w:rPr/>
            </w:pPr>
            <w:r>
              <w:rPr>
                <w:spacing w:val="4"/>
              </w:rPr>
              <w:t>敏感</w:t>
            </w:r>
          </w:p>
        </w:tc>
        <w:tc>
          <w:tcPr>
            <w:tcW w:w="1996" w:type="dxa"/>
            <w:vAlign w:val="top"/>
          </w:tcPr>
          <w:p>
            <w:pPr>
              <w:pStyle w:val="TableText"/>
              <w:ind w:firstLine="889"/>
              <w:spacing w:line="266" w:lineRule="exact"/>
              <w:rPr/>
            </w:pPr>
            <w:r>
              <w:rPr>
                <w:position w:val="-5"/>
              </w:rPr>
              <w:pict>
                <v:shape id="_x0000_s162" style="mso-position-vertical-relative:line;mso-position-horizontal-relative:char;width:10.5pt;height:13.6pt;" fillcolor="#D9D9D9" filled="true" stroked="false" type="#_x0000_t202">
                  <v:fill on="true"/>
                  <v:stroke on="false"/>
                  <v:path/>
                  <v:imagedata o:title=""/>
                  <o:lock v:ext="edit" aspectratio="false"/>
                  <v:textbox inset="0mm,0mm,0mm,0mm">
                    <w:txbxContent>
                      <w:p>
                        <w:pPr>
                          <w:spacing w:before="110" w:line="156" w:lineRule="exact"/>
                          <w:jc w:val="right"/>
                          <w:rPr>
                            <w:rFonts w:ascii="SimSun" w:hAnsi="SimSun" w:eastAsia="SimSun" w:cs="SimSun"/>
                            <w:sz w:val="20"/>
                            <w:szCs w:val="20"/>
                          </w:rPr>
                        </w:pPr>
                        <w:r>
                          <w:rPr>
                            <w:rFonts w:ascii="SimSun" w:hAnsi="SimSun" w:eastAsia="SimSun" w:cs="SimSun"/>
                            <w:sz w:val="20"/>
                            <w:szCs w:val="20"/>
                            <w:spacing w:val="-3"/>
                            <w:position w:val="-4"/>
                          </w:rPr>
                          <w:t>一</w:t>
                        </w:r>
                      </w:p>
                    </w:txbxContent>
                  </v:textbox>
                </v:shape>
              </w:pict>
            </w:r>
          </w:p>
        </w:tc>
        <w:tc>
          <w:tcPr>
            <w:tcW w:w="1800" w:type="dxa"/>
            <w:vAlign w:val="top"/>
          </w:tcPr>
          <w:p>
            <w:pPr>
              <w:pStyle w:val="TableText"/>
              <w:ind w:left="804"/>
              <w:spacing w:before="111" w:line="155" w:lineRule="exact"/>
              <w:rPr/>
            </w:pPr>
            <w:r>
              <w:rPr>
                <w:position w:val="-4"/>
              </w:rPr>
              <w:t>一</w:t>
            </w:r>
          </w:p>
        </w:tc>
        <w:tc>
          <w:tcPr>
            <w:tcW w:w="1737" w:type="dxa"/>
            <w:vAlign w:val="top"/>
          </w:tcPr>
          <w:p>
            <w:pPr>
              <w:pStyle w:val="TableText"/>
              <w:ind w:left="773"/>
              <w:spacing w:before="72" w:line="179" w:lineRule="auto"/>
              <w:rPr/>
            </w:pPr>
            <w:r>
              <w:rPr/>
              <w:t>二</w:t>
            </w:r>
          </w:p>
        </w:tc>
      </w:tr>
      <w:tr>
        <w:trPr>
          <w:trHeight w:val="276" w:hRule="atLeast"/>
        </w:trPr>
        <w:tc>
          <w:tcPr>
            <w:tcW w:w="2986" w:type="dxa"/>
            <w:vAlign w:val="top"/>
          </w:tcPr>
          <w:p>
            <w:pPr>
              <w:pStyle w:val="TableText"/>
              <w:ind w:left="1184"/>
              <w:spacing w:before="33" w:line="215" w:lineRule="auto"/>
              <w:rPr/>
            </w:pPr>
            <w:r>
              <w:rPr>
                <w:spacing w:val="6"/>
              </w:rPr>
              <w:t>较敏感</w:t>
            </w:r>
          </w:p>
        </w:tc>
        <w:tc>
          <w:tcPr>
            <w:tcW w:w="1996" w:type="dxa"/>
            <w:vAlign w:val="top"/>
          </w:tcPr>
          <w:p>
            <w:pPr>
              <w:pStyle w:val="TableText"/>
              <w:ind w:left="902"/>
              <w:spacing w:before="111" w:line="155" w:lineRule="exact"/>
              <w:rPr/>
            </w:pPr>
            <w:r>
              <w:rPr>
                <w:position w:val="-4"/>
              </w:rPr>
              <w:t>一</w:t>
            </w:r>
          </w:p>
        </w:tc>
        <w:tc>
          <w:tcPr>
            <w:tcW w:w="1800" w:type="dxa"/>
            <w:vAlign w:val="top"/>
          </w:tcPr>
          <w:p>
            <w:pPr>
              <w:pStyle w:val="TableText"/>
              <w:ind w:left="804"/>
              <w:spacing w:before="72" w:line="179" w:lineRule="auto"/>
              <w:rPr/>
            </w:pPr>
            <w:r>
              <w:rPr/>
              <w:t>二</w:t>
            </w:r>
          </w:p>
        </w:tc>
        <w:tc>
          <w:tcPr>
            <w:tcW w:w="1737" w:type="dxa"/>
            <w:vAlign w:val="top"/>
          </w:tcPr>
          <w:p>
            <w:pPr>
              <w:pStyle w:val="TableText"/>
              <w:ind w:left="769"/>
              <w:spacing w:before="33" w:line="215" w:lineRule="auto"/>
              <w:rPr/>
            </w:pPr>
            <w:r>
              <w:rPr/>
              <w:t>三</w:t>
            </w:r>
          </w:p>
        </w:tc>
      </w:tr>
      <w:tr>
        <w:trPr>
          <w:trHeight w:val="281" w:hRule="atLeast"/>
        </w:trPr>
        <w:tc>
          <w:tcPr>
            <w:tcW w:w="2986" w:type="dxa"/>
            <w:vAlign w:val="top"/>
          </w:tcPr>
          <w:p>
            <w:pPr>
              <w:pStyle w:val="TableText"/>
              <w:ind w:left="1188"/>
              <w:spacing w:before="35" w:line="217" w:lineRule="auto"/>
              <w:rPr/>
            </w:pPr>
            <w:r>
              <w:rPr>
                <w:spacing w:val="5"/>
              </w:rPr>
              <w:t>不敏感</w:t>
            </w:r>
          </w:p>
        </w:tc>
        <w:tc>
          <w:tcPr>
            <w:tcW w:w="1996" w:type="dxa"/>
            <w:vAlign w:val="top"/>
          </w:tcPr>
          <w:p>
            <w:pPr>
              <w:pStyle w:val="TableText"/>
              <w:ind w:left="902"/>
              <w:spacing w:before="73" w:line="182" w:lineRule="auto"/>
              <w:rPr/>
            </w:pPr>
            <w:r>
              <w:rPr/>
              <w:t>二</w:t>
            </w:r>
          </w:p>
        </w:tc>
        <w:tc>
          <w:tcPr>
            <w:tcW w:w="1800" w:type="dxa"/>
            <w:vAlign w:val="top"/>
          </w:tcPr>
          <w:p>
            <w:pPr>
              <w:pStyle w:val="TableText"/>
              <w:ind w:left="801"/>
              <w:spacing w:before="35" w:line="217" w:lineRule="auto"/>
              <w:rPr/>
            </w:pPr>
            <w:r>
              <w:rPr/>
              <w:t>三</w:t>
            </w:r>
          </w:p>
        </w:tc>
        <w:tc>
          <w:tcPr>
            <w:tcW w:w="1737" w:type="dxa"/>
            <w:vAlign w:val="top"/>
          </w:tcPr>
          <w:p>
            <w:pPr>
              <w:pStyle w:val="TableText"/>
              <w:ind w:left="769"/>
              <w:spacing w:before="35" w:line="217" w:lineRule="auto"/>
              <w:rPr/>
            </w:pPr>
            <w:r>
              <w:rPr/>
              <w:t>三</w:t>
            </w:r>
          </w:p>
        </w:tc>
      </w:tr>
    </w:tbl>
    <w:p>
      <w:pPr>
        <w:ind w:left="19" w:right="10" w:firstLine="482"/>
        <w:spacing w:before="34" w:line="360" w:lineRule="auto"/>
        <w:rPr>
          <w:rFonts w:ascii="SimSun" w:hAnsi="SimSun" w:eastAsia="SimSun" w:cs="SimSun"/>
          <w:sz w:val="24"/>
          <w:szCs w:val="24"/>
        </w:rPr>
      </w:pPr>
      <w:r>
        <w:rPr>
          <w:rFonts w:ascii="SimSun" w:hAnsi="SimSun" w:eastAsia="SimSun" w:cs="SimSun"/>
          <w:sz w:val="24"/>
          <w:szCs w:val="24"/>
          <w:spacing w:val="-4"/>
        </w:rPr>
        <w:t>综上，本项目类别为</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4"/>
        </w:rPr>
        <w:t>I </w:t>
      </w:r>
      <w:r>
        <w:rPr>
          <w:rFonts w:ascii="SimSun" w:hAnsi="SimSun" w:eastAsia="SimSun" w:cs="SimSun"/>
          <w:sz w:val="24"/>
          <w:szCs w:val="24"/>
          <w:spacing w:val="-4"/>
        </w:rPr>
        <w:t>类，地下水环境敏感程度属“较敏感</w:t>
      </w:r>
      <w:r>
        <w:rPr>
          <w:rFonts w:ascii="SimSun" w:hAnsi="SimSun" w:eastAsia="SimSun" w:cs="SimSun"/>
          <w:sz w:val="24"/>
          <w:szCs w:val="24"/>
          <w:spacing w:val="-88"/>
        </w:rPr>
        <w:t xml:space="preserve"> </w:t>
      </w:r>
      <w:r>
        <w:rPr>
          <w:rFonts w:ascii="SimSun" w:hAnsi="SimSun" w:eastAsia="SimSun" w:cs="SimSun"/>
          <w:sz w:val="24"/>
          <w:szCs w:val="24"/>
          <w:spacing w:val="-5"/>
        </w:rPr>
        <w:t>”，因此，地下水</w:t>
      </w:r>
      <w:r>
        <w:rPr>
          <w:rFonts w:ascii="SimSun" w:hAnsi="SimSun" w:eastAsia="SimSun" w:cs="SimSun"/>
          <w:sz w:val="24"/>
          <w:szCs w:val="24"/>
        </w:rPr>
        <w:t xml:space="preserve"> </w:t>
      </w:r>
      <w:r>
        <w:rPr>
          <w:rFonts w:ascii="SimSun" w:hAnsi="SimSun" w:eastAsia="SimSun" w:cs="SimSun"/>
          <w:sz w:val="24"/>
          <w:szCs w:val="24"/>
          <w:spacing w:val="-1"/>
        </w:rPr>
        <w:t>环境影响评价工作级别为一级。</w:t>
      </w:r>
    </w:p>
    <w:p>
      <w:pPr>
        <w:ind w:left="511"/>
        <w:spacing w:before="2" w:line="217"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）地下水评价范围</w:t>
      </w:r>
    </w:p>
    <w:p>
      <w:pPr>
        <w:ind w:left="19" w:right="8" w:firstLine="480"/>
        <w:spacing w:before="183" w:line="361" w:lineRule="auto"/>
        <w:rPr>
          <w:rFonts w:ascii="SimSun" w:hAnsi="SimSun" w:eastAsia="SimSun" w:cs="SimSun"/>
          <w:sz w:val="24"/>
          <w:szCs w:val="24"/>
        </w:rPr>
      </w:pPr>
      <w:r>
        <w:rPr>
          <w:rFonts w:ascii="SimSun" w:hAnsi="SimSun" w:eastAsia="SimSun" w:cs="SimSun"/>
          <w:sz w:val="24"/>
          <w:szCs w:val="24"/>
          <w:spacing w:val="3"/>
        </w:rPr>
        <w:t>本项目所在位置属低山丘陵地貌，地下水径流方向与地形的坡降</w:t>
      </w:r>
      <w:r>
        <w:rPr>
          <w:rFonts w:ascii="SimSun" w:hAnsi="SimSun" w:eastAsia="SimSun" w:cs="SimSun"/>
          <w:sz w:val="24"/>
          <w:szCs w:val="24"/>
          <w:spacing w:val="2"/>
        </w:rPr>
        <w:t>方向基本一</w:t>
      </w:r>
      <w:r>
        <w:rPr>
          <w:rFonts w:ascii="SimSun" w:hAnsi="SimSun" w:eastAsia="SimSun" w:cs="SimSun"/>
          <w:sz w:val="24"/>
          <w:szCs w:val="24"/>
        </w:rPr>
        <w:t xml:space="preserve"> </w:t>
      </w:r>
      <w:r>
        <w:rPr>
          <w:rFonts w:ascii="SimSun" w:hAnsi="SimSun" w:eastAsia="SimSun" w:cs="SimSun"/>
          <w:sz w:val="24"/>
          <w:szCs w:val="24"/>
          <w:spacing w:val="-1"/>
        </w:rPr>
        <w:t>致，由于受到地形控制导致地下水流向多变，根据《环境影响评价技术导则 地下</w:t>
      </w:r>
    </w:p>
    <w:p>
      <w:pPr>
        <w:ind w:right="11"/>
        <w:spacing w:before="118" w:line="227" w:lineRule="auto"/>
        <w:jc w:val="right"/>
        <w:rPr>
          <w:rFonts w:ascii="SimSun" w:hAnsi="SimSun" w:eastAsia="SimSun" w:cs="SimSun"/>
          <w:sz w:val="19"/>
          <w:szCs w:val="19"/>
        </w:rPr>
      </w:pPr>
      <w:r>
        <w:pict>
          <v:shape id="_x0000_s164" style="position:absolute;margin-left:207.968pt;margin-top:4.92188pt;mso-position-vertical-relative:text;mso-position-horizontal-relative:text;width:58.75pt;height:13.75pt;z-index:251734016;"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1"/>
                      <w:position w:val="2"/>
                    </w:rPr>
                    <w:t>30        </w:t>
                  </w:r>
                  <w:r>
                    <w:rPr>
                      <w:rFonts w:ascii="SimSun" w:hAnsi="SimSun" w:eastAsia="SimSun" w:cs="SimSun"/>
                      <w:sz w:val="19"/>
                      <w:szCs w:val="19"/>
                      <w:spacing w:val="1"/>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44"/>
          <w:pgSz w:w="11907" w:h="16840"/>
          <w:pgMar w:top="1567" w:right="1691" w:bottom="400" w:left="1691" w:header="1221" w:footer="0" w:gutter="0"/>
        </w:sectPr>
        <w:rPr>
          <w:rFonts w:ascii="SimSun" w:hAnsi="SimSun" w:eastAsia="SimSun" w:cs="SimSun"/>
          <w:sz w:val="19"/>
          <w:szCs w:val="19"/>
        </w:rPr>
      </w:pPr>
    </w:p>
    <w:p>
      <w:pPr>
        <w:ind w:left="9" w:right="78" w:firstLine="2"/>
        <w:spacing w:before="190" w:line="354" w:lineRule="auto"/>
        <w:jc w:val="both"/>
        <w:rPr>
          <w:rFonts w:ascii="SimSun" w:hAnsi="SimSun" w:eastAsia="SimSun" w:cs="SimSun"/>
          <w:sz w:val="24"/>
          <w:szCs w:val="24"/>
        </w:rPr>
      </w:pPr>
      <w:r>
        <w:pict>
          <v:shape id="_x0000_s166" style="position:absolute;margin-left:85.05pt;margin-top:79.11pt;mso-position-vertical-relative:page;mso-position-horizontal-relative:page;width:425.25pt;height:0.75pt;z-index:251737088;" o:allowincell="f" fillcolor="#000000" filled="true" stroked="false" coordsize="8505,15" coordorigin="0,0" path="m,l8505,0l8505,14l0,14l0,0xe"/>
        </w:pict>
      </w:r>
      <w:r>
        <w:rPr>
          <w:rFonts w:ascii="SimSun" w:hAnsi="SimSun" w:eastAsia="SimSun" w:cs="SimSun"/>
          <w:sz w:val="24"/>
          <w:szCs w:val="24"/>
          <w:spacing w:val="-2"/>
        </w:rPr>
        <w:t>水环境》（</w:t>
      </w:r>
      <w:r>
        <w:rPr>
          <w:rFonts w:ascii="Times New Roman" w:hAnsi="Times New Roman" w:eastAsia="Times New Roman" w:cs="Times New Roman"/>
          <w:sz w:val="24"/>
          <w:szCs w:val="24"/>
          <w:spacing w:val="-2"/>
        </w:rPr>
        <w:t>HJ610-2016</w:t>
      </w:r>
      <w:r>
        <w:rPr>
          <w:rFonts w:ascii="SimSun" w:hAnsi="SimSun" w:eastAsia="SimSun" w:cs="SimSun"/>
          <w:sz w:val="24"/>
          <w:szCs w:val="24"/>
          <w:spacing w:val="-2"/>
        </w:rPr>
        <w:t>）中</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8.2 </w:t>
      </w:r>
      <w:r>
        <w:rPr>
          <w:rFonts w:ascii="SimSun" w:hAnsi="SimSun" w:eastAsia="SimSun" w:cs="SimSun"/>
          <w:sz w:val="24"/>
          <w:szCs w:val="24"/>
          <w:spacing w:val="-2"/>
        </w:rPr>
        <w:t>相关技术要求，本次工作采用自定义</w:t>
      </w:r>
      <w:r>
        <w:rPr>
          <w:rFonts w:ascii="SimSun" w:hAnsi="SimSun" w:eastAsia="SimSun" w:cs="SimSun"/>
          <w:sz w:val="24"/>
          <w:szCs w:val="24"/>
          <w:spacing w:val="-3"/>
        </w:rPr>
        <w:t>法划定地下水</w:t>
      </w:r>
      <w:r>
        <w:rPr>
          <w:rFonts w:ascii="SimSun" w:hAnsi="SimSun" w:eastAsia="SimSun" w:cs="SimSun"/>
          <w:sz w:val="24"/>
          <w:szCs w:val="24"/>
        </w:rPr>
        <w:t xml:space="preserve"> </w:t>
      </w:r>
      <w:r>
        <w:rPr>
          <w:rFonts w:ascii="SimSun" w:hAnsi="SimSun" w:eastAsia="SimSun" w:cs="SimSun"/>
          <w:sz w:val="24"/>
          <w:szCs w:val="24"/>
          <w:spacing w:val="3"/>
        </w:rPr>
        <w:t>调查评价范围，根据项目所在区域地下水流场特征、水</w:t>
      </w:r>
      <w:r>
        <w:rPr>
          <w:rFonts w:ascii="SimSun" w:hAnsi="SimSun" w:eastAsia="SimSun" w:cs="SimSun"/>
          <w:sz w:val="24"/>
          <w:szCs w:val="24"/>
          <w:spacing w:val="2"/>
        </w:rPr>
        <w:t>文地质条件、项目周围的</w:t>
      </w:r>
      <w:r>
        <w:rPr>
          <w:rFonts w:ascii="SimSun" w:hAnsi="SimSun" w:eastAsia="SimSun" w:cs="SimSun"/>
          <w:sz w:val="24"/>
          <w:szCs w:val="24"/>
        </w:rPr>
        <w:t xml:space="preserve"> </w:t>
      </w:r>
      <w:r>
        <w:rPr>
          <w:rFonts w:ascii="SimSun" w:hAnsi="SimSun" w:eastAsia="SimSun" w:cs="SimSun"/>
          <w:sz w:val="24"/>
          <w:szCs w:val="24"/>
          <w:spacing w:val="3"/>
        </w:rPr>
        <w:t>地下水保护目标分布情况，本次综合确定了本次工作地</w:t>
      </w:r>
      <w:r>
        <w:rPr>
          <w:rFonts w:ascii="SimSun" w:hAnsi="SimSun" w:eastAsia="SimSun" w:cs="SimSun"/>
          <w:sz w:val="24"/>
          <w:szCs w:val="24"/>
          <w:spacing w:val="2"/>
        </w:rPr>
        <w:t>下水调查评价范围。具体</w:t>
      </w:r>
      <w:r>
        <w:rPr>
          <w:rFonts w:ascii="SimSun" w:hAnsi="SimSun" w:eastAsia="SimSun" w:cs="SimSun"/>
          <w:sz w:val="24"/>
          <w:szCs w:val="24"/>
        </w:rPr>
        <w:t xml:space="preserve"> </w:t>
      </w:r>
      <w:r>
        <w:rPr>
          <w:rFonts w:ascii="SimSun" w:hAnsi="SimSun" w:eastAsia="SimSun" w:cs="SimSun"/>
          <w:sz w:val="24"/>
          <w:szCs w:val="24"/>
          <w:spacing w:val="3"/>
        </w:rPr>
        <w:t>为：南、北侧以地表分水岭（山脊线）为界，东侧（上</w:t>
      </w:r>
      <w:r>
        <w:rPr>
          <w:rFonts w:ascii="SimSun" w:hAnsi="SimSun" w:eastAsia="SimSun" w:cs="SimSun"/>
          <w:sz w:val="24"/>
          <w:szCs w:val="24"/>
          <w:spacing w:val="2"/>
        </w:rPr>
        <w:t>游）、西侧（下游）以平</w:t>
      </w:r>
      <w:r>
        <w:rPr>
          <w:rFonts w:ascii="SimSun" w:hAnsi="SimSun" w:eastAsia="SimSun" w:cs="SimSun"/>
          <w:sz w:val="24"/>
          <w:szCs w:val="24"/>
        </w:rPr>
        <w:t xml:space="preserve"> </w:t>
      </w:r>
      <w:r>
        <w:rPr>
          <w:rFonts w:ascii="SimSun" w:hAnsi="SimSun" w:eastAsia="SimSun" w:cs="SimSun"/>
          <w:sz w:val="24"/>
          <w:szCs w:val="24"/>
          <w:spacing w:val="-2"/>
        </w:rPr>
        <w:t>行等水位线为界，划定地下水调查评价区面积</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16.7km</w:t>
      </w:r>
      <w:r>
        <w:rPr>
          <w:rFonts w:ascii="Times New Roman" w:hAnsi="Times New Roman" w:eastAsia="Times New Roman" w:cs="Times New Roman"/>
          <w:sz w:val="15"/>
          <w:szCs w:val="15"/>
          <w:spacing w:val="-2"/>
          <w:position w:val="8"/>
        </w:rPr>
        <w:t>2</w:t>
      </w:r>
      <w:r>
        <w:rPr>
          <w:rFonts w:ascii="SimSun" w:hAnsi="SimSun" w:eastAsia="SimSun" w:cs="SimSun"/>
          <w:sz w:val="24"/>
          <w:szCs w:val="24"/>
          <w:spacing w:val="-2"/>
        </w:rPr>
        <w:t>，调查评价区为一个完整的</w:t>
      </w:r>
      <w:r>
        <w:rPr>
          <w:rFonts w:ascii="SimSun" w:hAnsi="SimSun" w:eastAsia="SimSun" w:cs="SimSun"/>
          <w:sz w:val="24"/>
          <w:szCs w:val="24"/>
        </w:rPr>
        <w:t xml:space="preserve"> </w:t>
      </w:r>
      <w:r>
        <w:rPr>
          <w:rFonts w:ascii="SimSun" w:hAnsi="SimSun" w:eastAsia="SimSun" w:cs="SimSun"/>
          <w:sz w:val="24"/>
          <w:szCs w:val="24"/>
          <w:spacing w:val="-1"/>
        </w:rPr>
        <w:t>水文地质单元，满足评价要求。</w:t>
      </w:r>
    </w:p>
    <w:p>
      <w:pPr>
        <w:spacing w:line="7267" w:lineRule="exact"/>
        <w:rPr/>
      </w:pPr>
      <w:r>
        <w:rPr>
          <w:position w:val="-145"/>
        </w:rPr>
        <w:drawing>
          <wp:inline distT="0" distB="0" distL="0" distR="0">
            <wp:extent cx="5396483" cy="4614671"/>
            <wp:effectExtent l="0" t="0" r="0" b="0"/>
            <wp:docPr id="18" name="IM 18"/>
            <wp:cNvGraphicFramePr/>
            <a:graphic>
              <a:graphicData uri="http://schemas.openxmlformats.org/drawingml/2006/picture">
                <pic:pic>
                  <pic:nvPicPr>
                    <pic:cNvPr id="18" name="IM 18"/>
                    <pic:cNvPicPr/>
                  </pic:nvPicPr>
                  <pic:blipFill>
                    <a:blip r:embed="rId45"/>
                    <a:stretch>
                      <a:fillRect/>
                    </a:stretch>
                  </pic:blipFill>
                  <pic:spPr>
                    <a:xfrm rot="0">
                      <a:off x="0" y="0"/>
                      <a:ext cx="5396483" cy="4614671"/>
                    </a:xfrm>
                    <a:prstGeom prst="rect">
                      <a:avLst/>
                    </a:prstGeom>
                  </pic:spPr>
                </pic:pic>
              </a:graphicData>
            </a:graphic>
          </wp:inline>
        </w:drawing>
      </w:r>
    </w:p>
    <w:p>
      <w:pPr>
        <w:ind w:left="2258"/>
        <w:spacing w:before="197" w:line="218" w:lineRule="auto"/>
        <w:rPr>
          <w:rFonts w:ascii="SimSun" w:hAnsi="SimSun" w:eastAsia="SimSun" w:cs="SimSun"/>
          <w:sz w:val="24"/>
          <w:szCs w:val="24"/>
        </w:rPr>
      </w:pPr>
      <w:bookmarkStart w:name="bookmark30" w:id="34"/>
      <w:bookmarkEnd w:id="34"/>
      <w:r>
        <w:rPr>
          <w:rFonts w:ascii="SimSun" w:hAnsi="SimSun" w:eastAsia="SimSun" w:cs="SimSun"/>
          <w:sz w:val="24"/>
          <w:szCs w:val="24"/>
          <w:b/>
          <w:bCs/>
          <w:spacing w:val="-3"/>
        </w:rPr>
        <w:t>图</w:t>
      </w:r>
      <w:r>
        <w:rPr>
          <w:rFonts w:ascii="SimSun" w:hAnsi="SimSun" w:eastAsia="SimSun" w:cs="SimSun"/>
          <w:sz w:val="24"/>
          <w:szCs w:val="24"/>
          <w:spacing w:val="-44"/>
        </w:rPr>
        <w:t xml:space="preserve"> </w:t>
      </w:r>
      <w:r>
        <w:rPr>
          <w:rFonts w:ascii="Times New Roman" w:hAnsi="Times New Roman" w:eastAsia="Times New Roman" w:cs="Times New Roman"/>
          <w:sz w:val="24"/>
          <w:szCs w:val="24"/>
          <w:b/>
          <w:bCs/>
          <w:spacing w:val="-3"/>
        </w:rPr>
        <w:t>2.4-1      </w:t>
      </w:r>
      <w:r>
        <w:rPr>
          <w:rFonts w:ascii="SimSun" w:hAnsi="SimSun" w:eastAsia="SimSun" w:cs="SimSun"/>
          <w:sz w:val="24"/>
          <w:szCs w:val="24"/>
          <w:b/>
          <w:bCs/>
          <w:spacing w:val="-3"/>
        </w:rPr>
        <w:t>地下水环境影响评价范围图</w:t>
      </w:r>
    </w:p>
    <w:p>
      <w:pPr>
        <w:ind w:left="6"/>
        <w:spacing w:before="188" w:line="222" w:lineRule="auto"/>
        <w:outlineLvl w:val="2"/>
        <w:rPr>
          <w:rFonts w:ascii="SimHei" w:hAnsi="SimHei" w:eastAsia="SimHei" w:cs="SimHei"/>
          <w:sz w:val="28"/>
          <w:szCs w:val="28"/>
        </w:rPr>
      </w:pPr>
      <w:bookmarkStart w:name="bookmark218" w:id="35"/>
      <w:bookmarkEnd w:id="35"/>
      <w:r>
        <w:rPr>
          <w:rFonts w:ascii="Times New Roman" w:hAnsi="Times New Roman" w:eastAsia="Times New Roman" w:cs="Times New Roman"/>
          <w:sz w:val="28"/>
          <w:szCs w:val="28"/>
          <w:spacing w:val="-1"/>
        </w:rPr>
        <w:t>2.4.4 </w:t>
      </w:r>
      <w:r>
        <w:rPr>
          <w:rFonts w:ascii="SimHei" w:hAnsi="SimHei" w:eastAsia="SimHei" w:cs="SimHei"/>
          <w:sz w:val="28"/>
          <w:szCs w:val="28"/>
          <w:spacing w:val="-1"/>
        </w:rPr>
        <w:t>声环境</w:t>
      </w:r>
    </w:p>
    <w:p>
      <w:pPr>
        <w:pStyle w:val="BodyText"/>
        <w:spacing w:line="279" w:lineRule="auto"/>
        <w:rPr/>
      </w:pPr>
      <w:r/>
    </w:p>
    <w:p>
      <w:pPr>
        <w:ind w:left="10" w:firstLine="480"/>
        <w:spacing w:before="78" w:line="359" w:lineRule="auto"/>
        <w:jc w:val="both"/>
        <w:rPr>
          <w:rFonts w:ascii="SimSun" w:hAnsi="SimSun" w:eastAsia="SimSun" w:cs="SimSun"/>
          <w:sz w:val="24"/>
          <w:szCs w:val="24"/>
        </w:rPr>
      </w:pPr>
      <w:r>
        <w:rPr>
          <w:rFonts w:ascii="SimSun" w:hAnsi="SimSun" w:eastAsia="SimSun" w:cs="SimSun"/>
          <w:sz w:val="24"/>
          <w:szCs w:val="24"/>
          <w:spacing w:val="-2"/>
        </w:rPr>
        <w:t>本项目厂区位置不在正镶白旗声功能区划范围内（见附图</w:t>
      </w:r>
      <w:r>
        <w:rPr>
          <w:rFonts w:ascii="Times New Roman" w:hAnsi="Times New Roman" w:eastAsia="Times New Roman" w:cs="Times New Roman"/>
          <w:sz w:val="24"/>
          <w:szCs w:val="24"/>
          <w:spacing w:val="-2"/>
        </w:rPr>
        <w:t>2</w:t>
      </w:r>
      <w:r>
        <w:rPr>
          <w:rFonts w:ascii="SimSun" w:hAnsi="SimSun" w:eastAsia="SimSun" w:cs="SimSun"/>
          <w:sz w:val="24"/>
          <w:szCs w:val="24"/>
          <w:spacing w:val="-59"/>
        </w:rPr>
        <w:t>）；</w:t>
      </w:r>
      <w:r>
        <w:rPr>
          <w:rFonts w:ascii="SimSun" w:hAnsi="SimSun" w:eastAsia="SimSun" w:cs="SimSun"/>
          <w:sz w:val="24"/>
          <w:szCs w:val="24"/>
          <w:spacing w:val="-2"/>
        </w:rPr>
        <w:t>项目位</w:t>
      </w:r>
      <w:r>
        <w:rPr>
          <w:rFonts w:ascii="SimSun" w:hAnsi="SimSun" w:eastAsia="SimSun" w:cs="SimSun"/>
          <w:sz w:val="24"/>
          <w:szCs w:val="24"/>
          <w:spacing w:val="-3"/>
        </w:rPr>
        <w:t>于居住、</w:t>
      </w:r>
      <w:r>
        <w:rPr>
          <w:rFonts w:ascii="SimSun" w:hAnsi="SimSun" w:eastAsia="SimSun" w:cs="SimSun"/>
          <w:sz w:val="24"/>
          <w:szCs w:val="24"/>
        </w:rPr>
        <w:t xml:space="preserve"> </w:t>
      </w:r>
      <w:r>
        <w:rPr>
          <w:rFonts w:ascii="SimSun" w:hAnsi="SimSun" w:eastAsia="SimSun" w:cs="SimSun"/>
          <w:sz w:val="24"/>
          <w:szCs w:val="24"/>
          <w:spacing w:val="-2"/>
        </w:rPr>
        <w:t>工业、商业混杂区，根据《声环境质量标准》（</w:t>
      </w:r>
      <w:r>
        <w:rPr>
          <w:rFonts w:ascii="Times New Roman" w:hAnsi="Times New Roman" w:eastAsia="Times New Roman" w:cs="Times New Roman"/>
          <w:sz w:val="24"/>
          <w:szCs w:val="24"/>
          <w:spacing w:val="-2"/>
        </w:rPr>
        <w:t>GB3096-2008</w:t>
      </w:r>
      <w:r>
        <w:rPr>
          <w:rFonts w:ascii="SimSun" w:hAnsi="SimSun" w:eastAsia="SimSun" w:cs="SimSun"/>
          <w:sz w:val="24"/>
          <w:szCs w:val="24"/>
          <w:spacing w:val="-2"/>
        </w:rPr>
        <w:t>）要求，厂界声环境</w:t>
      </w:r>
      <w:r>
        <w:rPr>
          <w:rFonts w:ascii="SimSun" w:hAnsi="SimSun" w:eastAsia="SimSun" w:cs="SimSun"/>
          <w:sz w:val="24"/>
          <w:szCs w:val="24"/>
        </w:rPr>
        <w:t xml:space="preserve"> </w:t>
      </w:r>
      <w:r>
        <w:rPr>
          <w:rFonts w:ascii="SimSun" w:hAnsi="SimSun" w:eastAsia="SimSun" w:cs="SimSun"/>
          <w:sz w:val="24"/>
          <w:szCs w:val="24"/>
        </w:rPr>
        <w:t>质量执行《声环境质量标准》（</w:t>
      </w:r>
      <w:r>
        <w:rPr>
          <w:rFonts w:ascii="Times New Roman" w:hAnsi="Times New Roman" w:eastAsia="Times New Roman" w:cs="Times New Roman"/>
          <w:sz w:val="24"/>
          <w:szCs w:val="24"/>
        </w:rPr>
        <w:t>GB3096</w:t>
      </w:r>
      <w:r>
        <w:rPr>
          <w:rFonts w:ascii="Times New Roman" w:hAnsi="Times New Roman" w:eastAsia="Times New Roman" w:cs="Times New Roman"/>
          <w:sz w:val="24"/>
          <w:szCs w:val="24"/>
          <w:spacing w:val="-1"/>
        </w:rPr>
        <w:t>-2008</w:t>
      </w:r>
      <w:r>
        <w:rPr>
          <w:rFonts w:ascii="SimSun" w:hAnsi="SimSun" w:eastAsia="SimSun" w:cs="SimSun"/>
          <w:sz w:val="24"/>
          <w:szCs w:val="24"/>
          <w:spacing w:val="-1"/>
        </w:rPr>
        <w:t>）</w:t>
      </w:r>
      <w:r>
        <w:rPr>
          <w:rFonts w:ascii="Times New Roman" w:hAnsi="Times New Roman" w:eastAsia="Times New Roman" w:cs="Times New Roman"/>
          <w:sz w:val="24"/>
          <w:szCs w:val="24"/>
          <w:spacing w:val="-1"/>
        </w:rPr>
        <w:t>2 </w:t>
      </w:r>
      <w:r>
        <w:rPr>
          <w:rFonts w:ascii="SimSun" w:hAnsi="SimSun" w:eastAsia="SimSun" w:cs="SimSun"/>
          <w:sz w:val="24"/>
          <w:szCs w:val="24"/>
          <w:spacing w:val="-1"/>
        </w:rPr>
        <w:t>类标准。</w:t>
      </w:r>
    </w:p>
    <w:p>
      <w:pPr>
        <w:ind w:left="489"/>
        <w:spacing w:before="1" w:line="217" w:lineRule="auto"/>
        <w:rPr>
          <w:rFonts w:ascii="SimSun" w:hAnsi="SimSun" w:eastAsia="SimSun" w:cs="SimSun"/>
          <w:sz w:val="24"/>
          <w:szCs w:val="24"/>
        </w:rPr>
      </w:pPr>
      <w:r>
        <w:rPr>
          <w:rFonts w:ascii="SimSun" w:hAnsi="SimSun" w:eastAsia="SimSun" w:cs="SimSun"/>
          <w:sz w:val="24"/>
          <w:szCs w:val="24"/>
          <w:spacing w:val="1"/>
        </w:rPr>
        <w:t>根据《环境影响评价技术导则 声环境》（</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1"/>
        </w:rPr>
        <w:t>2.4-2021</w:t>
      </w:r>
      <w:r>
        <w:rPr>
          <w:rFonts w:ascii="SimSun" w:hAnsi="SimSun" w:eastAsia="SimSun" w:cs="SimSun"/>
          <w:sz w:val="24"/>
          <w:szCs w:val="24"/>
          <w:spacing w:val="7"/>
        </w:rPr>
        <w:t>），</w:t>
      </w:r>
      <w:r>
        <w:rPr>
          <w:rFonts w:ascii="SimSun" w:hAnsi="SimSun" w:eastAsia="SimSun" w:cs="SimSun"/>
          <w:sz w:val="24"/>
          <w:szCs w:val="24"/>
          <w:spacing w:val="1"/>
        </w:rPr>
        <w:t>本项目所</w:t>
      </w:r>
      <w:r>
        <w:rPr>
          <w:rFonts w:ascii="SimSun" w:hAnsi="SimSun" w:eastAsia="SimSun" w:cs="SimSun"/>
          <w:sz w:val="24"/>
          <w:szCs w:val="24"/>
        </w:rPr>
        <w:t>处的声环</w:t>
      </w:r>
    </w:p>
    <w:p>
      <w:pPr>
        <w:pStyle w:val="BodyText"/>
        <w:spacing w:line="458" w:lineRule="auto"/>
        <w:rPr/>
      </w:pPr>
      <w:r/>
    </w:p>
    <w:p>
      <w:pPr>
        <w:ind w:left="7"/>
        <w:spacing w:before="62" w:line="227" w:lineRule="auto"/>
        <w:rPr>
          <w:rFonts w:ascii="SimSun" w:hAnsi="SimSun" w:eastAsia="SimSun" w:cs="SimSun"/>
          <w:sz w:val="19"/>
          <w:szCs w:val="19"/>
        </w:rPr>
      </w:pPr>
      <w:r>
        <w:pict>
          <v:shape id="_x0000_s168" style="position:absolute;margin-left:159.33pt;margin-top:2.09473pt;mso-position-vertical-relative:text;mso-position-horizontal-relative:text;width:58.85pt;height:13.75pt;z-index:25173606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28"/>
                    </w:rPr>
                    <w:t xml:space="preserve">   </w:t>
                  </w:r>
                  <w:r>
                    <w:rPr>
                      <w:rFonts w:ascii="Times New Roman" w:hAnsi="Times New Roman" w:eastAsia="Times New Roman" w:cs="Times New Roman"/>
                      <w:sz w:val="18"/>
                      <w:szCs w:val="18"/>
                      <w:spacing w:val="3"/>
                      <w:position w:val="2"/>
                    </w:rPr>
                    <w:t>31</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1"/>
          <w:pgSz w:w="11907" w:h="16840"/>
          <w:pgMar w:top="1567" w:right="1621" w:bottom="400" w:left="1701" w:header="1221" w:footer="0" w:gutter="0"/>
        </w:sectPr>
        <w:rPr>
          <w:rFonts w:ascii="SimSun" w:hAnsi="SimSun" w:eastAsia="SimSun" w:cs="SimSun"/>
          <w:sz w:val="19"/>
          <w:szCs w:val="19"/>
        </w:rPr>
      </w:pPr>
    </w:p>
    <w:p>
      <w:pPr>
        <w:ind w:left="25" w:right="14"/>
        <w:spacing w:before="185" w:line="359" w:lineRule="auto"/>
        <w:jc w:val="both"/>
        <w:rPr>
          <w:rFonts w:ascii="SimSun" w:hAnsi="SimSun" w:eastAsia="SimSun" w:cs="SimSun"/>
          <w:sz w:val="24"/>
          <w:szCs w:val="24"/>
        </w:rPr>
      </w:pPr>
      <w:r>
        <w:pict>
          <v:shape id="_x0000_s172" style="position:absolute;margin-left:85.05pt;margin-top:78.87pt;mso-position-vertical-relative:page;mso-position-horizontal-relative:page;width:425.25pt;height:0.75pt;z-index:251739136;" o:allowincell="f" fillcolor="#000000" filled="true" stroked="false" coordsize="8505,15" coordorigin="0,0" path="m,l8505,0l8505,14l0,14l0,0xe"/>
        </w:pict>
      </w:r>
      <w:r>
        <w:rPr>
          <w:rFonts w:ascii="SimSun" w:hAnsi="SimSun" w:eastAsia="SimSun" w:cs="SimSun"/>
          <w:sz w:val="24"/>
          <w:szCs w:val="24"/>
          <w:spacing w:val="-3"/>
        </w:rPr>
        <w:t>境功能区为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GB3096 </w:t>
      </w:r>
      <w:r>
        <w:rPr>
          <w:rFonts w:ascii="SimSun" w:hAnsi="SimSun" w:eastAsia="SimSun" w:cs="SimSun"/>
          <w:sz w:val="24"/>
          <w:szCs w:val="24"/>
          <w:spacing w:val="-3"/>
        </w:rPr>
        <w:t>规定的</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 </w:t>
      </w:r>
      <w:r>
        <w:rPr>
          <w:rFonts w:ascii="SimSun" w:hAnsi="SimSun" w:eastAsia="SimSun" w:cs="SimSun"/>
          <w:sz w:val="24"/>
          <w:szCs w:val="24"/>
          <w:spacing w:val="-3"/>
        </w:rPr>
        <w:t>类区，建设项目建</w:t>
      </w:r>
      <w:r>
        <w:rPr>
          <w:rFonts w:ascii="SimSun" w:hAnsi="SimSun" w:eastAsia="SimSun" w:cs="SimSun"/>
          <w:sz w:val="24"/>
          <w:szCs w:val="24"/>
          <w:spacing w:val="-4"/>
        </w:rPr>
        <w:t>设前后评价范围内敏感点目标噪声</w:t>
      </w:r>
      <w:r>
        <w:rPr>
          <w:rFonts w:ascii="SimSun" w:hAnsi="SimSun" w:eastAsia="SimSun" w:cs="SimSun"/>
          <w:sz w:val="24"/>
          <w:szCs w:val="24"/>
        </w:rPr>
        <w:t xml:space="preserve"> </w:t>
      </w:r>
      <w:r>
        <w:rPr>
          <w:rFonts w:ascii="SimSun" w:hAnsi="SimSun" w:eastAsia="SimSun" w:cs="SimSun"/>
          <w:sz w:val="24"/>
          <w:szCs w:val="24"/>
          <w:spacing w:val="-2"/>
        </w:rPr>
        <w:t>级增高量在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3dB</w:t>
      </w:r>
      <w:r>
        <w:rPr>
          <w:rFonts w:ascii="SimSun" w:hAnsi="SimSun" w:eastAsia="SimSun" w:cs="SimSun"/>
          <w:sz w:val="24"/>
          <w:szCs w:val="24"/>
          <w:spacing w:val="-2"/>
        </w:rPr>
        <w:t>（</w:t>
      </w:r>
      <w:r>
        <w:rPr>
          <w:rFonts w:ascii="Times New Roman" w:hAnsi="Times New Roman" w:eastAsia="Times New Roman" w:cs="Times New Roman"/>
          <w:sz w:val="24"/>
          <w:szCs w:val="24"/>
          <w:spacing w:val="-2"/>
        </w:rPr>
        <w:t>A</w:t>
      </w:r>
      <w:r>
        <w:rPr>
          <w:rFonts w:ascii="SimSun" w:hAnsi="SimSun" w:eastAsia="SimSun" w:cs="SimSun"/>
          <w:sz w:val="24"/>
          <w:szCs w:val="24"/>
          <w:spacing w:val="-2"/>
        </w:rPr>
        <w:t>）以下，且受影响人口数量变化不大。根据《环境影响评价技</w:t>
      </w:r>
      <w:r>
        <w:rPr>
          <w:rFonts w:ascii="SimSun" w:hAnsi="SimSun" w:eastAsia="SimSun" w:cs="SimSun"/>
          <w:sz w:val="24"/>
          <w:szCs w:val="24"/>
        </w:rPr>
        <w:t xml:space="preserve"> </w:t>
      </w:r>
      <w:r>
        <w:rPr>
          <w:rFonts w:ascii="SimSun" w:hAnsi="SimSun" w:eastAsia="SimSun" w:cs="SimSun"/>
          <w:sz w:val="24"/>
          <w:szCs w:val="24"/>
          <w:spacing w:val="1"/>
        </w:rPr>
        <w:t>术导则 声环境》（</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1"/>
        </w:rPr>
        <w:t>2.4-2021</w:t>
      </w:r>
      <w:r>
        <w:rPr>
          <w:rFonts w:ascii="SimSun" w:hAnsi="SimSun" w:eastAsia="SimSun" w:cs="SimSun"/>
          <w:sz w:val="24"/>
          <w:szCs w:val="24"/>
          <w:spacing w:val="1"/>
        </w:rPr>
        <w:t>）中评价等级划分规定，确定声环境影响评价工作</w:t>
      </w:r>
      <w:r>
        <w:rPr>
          <w:rFonts w:ascii="SimSun" w:hAnsi="SimSun" w:eastAsia="SimSun" w:cs="SimSun"/>
          <w:sz w:val="24"/>
          <w:szCs w:val="24"/>
          <w:spacing w:val="5"/>
        </w:rPr>
        <w:t xml:space="preserve"> </w:t>
      </w:r>
      <w:r>
        <w:rPr>
          <w:rFonts w:ascii="SimSun" w:hAnsi="SimSun" w:eastAsia="SimSun" w:cs="SimSun"/>
          <w:sz w:val="24"/>
          <w:szCs w:val="24"/>
          <w:spacing w:val="-2"/>
        </w:rPr>
        <w:t>等级为二级，则评价范围为厂界外延</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200m</w:t>
      </w:r>
      <w:r>
        <w:rPr>
          <w:rFonts w:ascii="Times New Roman" w:hAnsi="Times New Roman" w:eastAsia="Times New Roman" w:cs="Times New Roman"/>
          <w:sz w:val="24"/>
          <w:szCs w:val="24"/>
          <w:spacing w:val="25"/>
          <w:w w:val="101"/>
        </w:rPr>
        <w:t xml:space="preserve"> </w:t>
      </w:r>
      <w:r>
        <w:rPr>
          <w:rFonts w:ascii="SimSun" w:hAnsi="SimSun" w:eastAsia="SimSun" w:cs="SimSun"/>
          <w:sz w:val="24"/>
          <w:szCs w:val="24"/>
          <w:spacing w:val="-2"/>
        </w:rPr>
        <w:t>区域。</w:t>
      </w:r>
    </w:p>
    <w:p>
      <w:pPr>
        <w:ind w:left="21"/>
        <w:spacing w:before="160" w:line="222" w:lineRule="auto"/>
        <w:outlineLvl w:val="2"/>
        <w:rPr>
          <w:rFonts w:ascii="SimHei" w:hAnsi="SimHei" w:eastAsia="SimHei" w:cs="SimHei"/>
          <w:sz w:val="28"/>
          <w:szCs w:val="28"/>
        </w:rPr>
      </w:pPr>
      <w:bookmarkStart w:name="bookmark31" w:id="36"/>
      <w:bookmarkEnd w:id="36"/>
      <w:r>
        <w:rPr>
          <w:rFonts w:ascii="Times New Roman" w:hAnsi="Times New Roman" w:eastAsia="Times New Roman" w:cs="Times New Roman"/>
          <w:sz w:val="28"/>
          <w:szCs w:val="28"/>
          <w:spacing w:val="-1"/>
        </w:rPr>
        <w:t>2.4.5 </w:t>
      </w:r>
      <w:r>
        <w:rPr>
          <w:rFonts w:ascii="SimHei" w:hAnsi="SimHei" w:eastAsia="SimHei" w:cs="SimHei"/>
          <w:sz w:val="28"/>
          <w:szCs w:val="28"/>
          <w:spacing w:val="-1"/>
        </w:rPr>
        <w:t>生态环境</w:t>
      </w:r>
    </w:p>
    <w:p>
      <w:pPr>
        <w:ind w:left="24" w:right="14" w:firstLine="480"/>
        <w:spacing w:before="206" w:line="359" w:lineRule="auto"/>
        <w:jc w:val="both"/>
        <w:rPr>
          <w:rFonts w:ascii="SimSun" w:hAnsi="SimSun" w:eastAsia="SimSun" w:cs="SimSun"/>
          <w:sz w:val="24"/>
          <w:szCs w:val="24"/>
        </w:rPr>
      </w:pPr>
      <w:r>
        <w:rPr>
          <w:rFonts w:ascii="SimSun" w:hAnsi="SimSun" w:eastAsia="SimSun" w:cs="SimSun"/>
          <w:sz w:val="24"/>
          <w:szCs w:val="24"/>
          <w:spacing w:val="1"/>
        </w:rPr>
        <w:t>本项目选址不涉及国家公园、</w:t>
      </w:r>
      <w:r>
        <w:rPr>
          <w:rFonts w:ascii="SimSun" w:hAnsi="SimSun" w:eastAsia="SimSun" w:cs="SimSun"/>
          <w:sz w:val="24"/>
          <w:szCs w:val="24"/>
          <w:spacing w:val="-62"/>
        </w:rPr>
        <w:t xml:space="preserve"> </w:t>
      </w:r>
      <w:r>
        <w:rPr>
          <w:rFonts w:ascii="SimSun" w:hAnsi="SimSun" w:eastAsia="SimSun" w:cs="SimSun"/>
          <w:sz w:val="24"/>
          <w:szCs w:val="24"/>
          <w:spacing w:val="1"/>
        </w:rPr>
        <w:t>自然保护区、世界自然遗产、重要生境时；不</w:t>
      </w:r>
      <w:r>
        <w:rPr>
          <w:rFonts w:ascii="SimSun" w:hAnsi="SimSun" w:eastAsia="SimSun" w:cs="SimSun"/>
          <w:sz w:val="24"/>
          <w:szCs w:val="24"/>
        </w:rPr>
        <w:t xml:space="preserve"> </w:t>
      </w:r>
      <w:r>
        <w:rPr>
          <w:rFonts w:ascii="SimSun" w:hAnsi="SimSun" w:eastAsia="SimSun" w:cs="SimSun"/>
          <w:sz w:val="24"/>
          <w:szCs w:val="24"/>
          <w:spacing w:val="3"/>
        </w:rPr>
        <w:t>涉及自然公园、生态保护红线；地表水环境影响不</w:t>
      </w:r>
      <w:r>
        <w:rPr>
          <w:rFonts w:ascii="SimSun" w:hAnsi="SimSun" w:eastAsia="SimSun" w:cs="SimSun"/>
          <w:sz w:val="24"/>
          <w:szCs w:val="24"/>
          <w:spacing w:val="2"/>
        </w:rPr>
        <w:t>属于水文要素影响型，且评价</w:t>
      </w:r>
      <w:r>
        <w:rPr>
          <w:rFonts w:ascii="SimSun" w:hAnsi="SimSun" w:eastAsia="SimSun" w:cs="SimSun"/>
          <w:sz w:val="24"/>
          <w:szCs w:val="24"/>
        </w:rPr>
        <w:t xml:space="preserve"> </w:t>
      </w:r>
      <w:r>
        <w:rPr>
          <w:rFonts w:ascii="SimSun" w:hAnsi="SimSun" w:eastAsia="SimSun" w:cs="SimSun"/>
          <w:sz w:val="24"/>
          <w:szCs w:val="24"/>
          <w:spacing w:val="-2"/>
        </w:rPr>
        <w:t>等级为三级</w:t>
      </w:r>
      <w:r>
        <w:rPr>
          <w:rFonts w:ascii="Times New Roman" w:hAnsi="Times New Roman" w:eastAsia="Times New Roman" w:cs="Times New Roman"/>
          <w:sz w:val="24"/>
          <w:szCs w:val="24"/>
          <w:spacing w:val="-2"/>
        </w:rPr>
        <w:t>B</w:t>
      </w:r>
      <w:r>
        <w:rPr>
          <w:rFonts w:ascii="SimSun" w:hAnsi="SimSun" w:eastAsia="SimSun" w:cs="SimSun"/>
          <w:sz w:val="24"/>
          <w:szCs w:val="24"/>
          <w:spacing w:val="-2"/>
        </w:rPr>
        <w:t>；地下水环境和土壤环境影响评价范围内未分布天然林、公益林、湿</w:t>
      </w:r>
      <w:r>
        <w:rPr>
          <w:rFonts w:ascii="SimSun" w:hAnsi="SimSun" w:eastAsia="SimSun" w:cs="SimSun"/>
          <w:sz w:val="24"/>
          <w:szCs w:val="24"/>
          <w:spacing w:val="4"/>
        </w:rPr>
        <w:t xml:space="preserve"> </w:t>
      </w:r>
      <w:r>
        <w:rPr>
          <w:rFonts w:ascii="SimSun" w:hAnsi="SimSun" w:eastAsia="SimSun" w:cs="SimSun"/>
          <w:sz w:val="24"/>
          <w:szCs w:val="24"/>
          <w:spacing w:val="-1"/>
        </w:rPr>
        <w:t>地等生态保护目标；工程占地小于</w:t>
      </w:r>
      <w:r>
        <w:rPr>
          <w:rFonts w:ascii="Times New Roman" w:hAnsi="Times New Roman" w:eastAsia="Times New Roman" w:cs="Times New Roman"/>
          <w:sz w:val="24"/>
          <w:szCs w:val="24"/>
          <w:spacing w:val="-1"/>
        </w:rPr>
        <w:t>20km</w:t>
      </w:r>
      <w:r>
        <w:rPr>
          <w:rFonts w:ascii="Times New Roman" w:hAnsi="Times New Roman" w:eastAsia="Times New Roman" w:cs="Times New Roman"/>
          <w:sz w:val="15"/>
          <w:szCs w:val="15"/>
          <w:spacing w:val="-1"/>
          <w:position w:val="8"/>
        </w:rPr>
        <w:t>2</w:t>
      </w:r>
      <w:r>
        <w:rPr>
          <w:rFonts w:ascii="SimSun" w:hAnsi="SimSun" w:eastAsia="SimSun" w:cs="SimSun"/>
          <w:sz w:val="24"/>
          <w:szCs w:val="24"/>
          <w:spacing w:val="-1"/>
        </w:rPr>
        <w:t>；本项目选址位</w:t>
      </w:r>
      <w:r>
        <w:rPr>
          <w:rFonts w:ascii="SimSun" w:hAnsi="SimSun" w:eastAsia="SimSun" w:cs="SimSun"/>
          <w:sz w:val="24"/>
          <w:szCs w:val="24"/>
          <w:spacing w:val="-2"/>
        </w:rPr>
        <w:t>于锡林郭勒盟正镶白旗明</w:t>
      </w:r>
      <w:r>
        <w:rPr>
          <w:rFonts w:ascii="SimSun" w:hAnsi="SimSun" w:eastAsia="SimSun" w:cs="SimSun"/>
          <w:sz w:val="24"/>
          <w:szCs w:val="24"/>
        </w:rPr>
        <w:t xml:space="preserve"> </w:t>
      </w:r>
      <w:r>
        <w:rPr>
          <w:rFonts w:ascii="SimSun" w:hAnsi="SimSun" w:eastAsia="SimSun" w:cs="SimSun"/>
          <w:sz w:val="24"/>
          <w:szCs w:val="24"/>
          <w:spacing w:val="3"/>
        </w:rPr>
        <w:t>安图镇乌宁巴图西街，项目属于污染影响类建设项</w:t>
      </w:r>
      <w:r>
        <w:rPr>
          <w:rFonts w:ascii="SimSun" w:hAnsi="SimSun" w:eastAsia="SimSun" w:cs="SimSun"/>
          <w:sz w:val="24"/>
          <w:szCs w:val="24"/>
          <w:spacing w:val="2"/>
        </w:rPr>
        <w:t>目，根据《环境影响评价技术</w:t>
      </w:r>
      <w:r>
        <w:rPr>
          <w:rFonts w:ascii="SimSun" w:hAnsi="SimSun" w:eastAsia="SimSun" w:cs="SimSun"/>
          <w:sz w:val="24"/>
          <w:szCs w:val="24"/>
        </w:rPr>
        <w:t xml:space="preserve"> </w:t>
      </w:r>
      <w:r>
        <w:rPr>
          <w:rFonts w:ascii="SimSun" w:hAnsi="SimSun" w:eastAsia="SimSun" w:cs="SimSun"/>
          <w:sz w:val="24"/>
          <w:szCs w:val="24"/>
          <w:spacing w:val="3"/>
        </w:rPr>
        <w:t>导则 生态影响》（</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3"/>
        </w:rPr>
        <w:t>19-2022</w:t>
      </w:r>
      <w:r>
        <w:rPr>
          <w:rFonts w:ascii="SimSun" w:hAnsi="SimSun" w:eastAsia="SimSun" w:cs="SimSun"/>
          <w:sz w:val="24"/>
          <w:szCs w:val="24"/>
          <w:spacing w:val="3"/>
        </w:rPr>
        <w:t>）中评价等级判定要求，本项目</w:t>
      </w:r>
      <w:r>
        <w:rPr>
          <w:rFonts w:ascii="SimSun" w:hAnsi="SimSun" w:eastAsia="SimSun" w:cs="SimSun"/>
          <w:sz w:val="24"/>
          <w:szCs w:val="24"/>
          <w:spacing w:val="2"/>
        </w:rPr>
        <w:t>生态环境评价等级</w:t>
      </w:r>
      <w:r>
        <w:rPr>
          <w:rFonts w:ascii="SimSun" w:hAnsi="SimSun" w:eastAsia="SimSun" w:cs="SimSun"/>
          <w:sz w:val="24"/>
          <w:szCs w:val="24"/>
        </w:rPr>
        <w:t xml:space="preserve"> </w:t>
      </w:r>
      <w:r>
        <w:rPr>
          <w:rFonts w:ascii="SimSun" w:hAnsi="SimSun" w:eastAsia="SimSun" w:cs="SimSun"/>
          <w:sz w:val="24"/>
          <w:szCs w:val="24"/>
          <w:spacing w:val="-1"/>
        </w:rPr>
        <w:t>为三级，评价范围为厂界外扩</w:t>
      </w:r>
      <w:r>
        <w:rPr>
          <w:rFonts w:ascii="Times New Roman" w:hAnsi="Times New Roman" w:eastAsia="Times New Roman" w:cs="Times New Roman"/>
          <w:sz w:val="24"/>
          <w:szCs w:val="24"/>
          <w:spacing w:val="-1"/>
        </w:rPr>
        <w:t>500m</w:t>
      </w:r>
      <w:r>
        <w:rPr>
          <w:rFonts w:ascii="SimSun" w:hAnsi="SimSun" w:eastAsia="SimSun" w:cs="SimSun"/>
          <w:sz w:val="24"/>
          <w:szCs w:val="24"/>
          <w:spacing w:val="-1"/>
        </w:rPr>
        <w:t>区域。</w:t>
      </w:r>
    </w:p>
    <w:p>
      <w:pPr>
        <w:ind w:left="21"/>
        <w:spacing w:before="157" w:line="222" w:lineRule="auto"/>
        <w:outlineLvl w:val="2"/>
        <w:rPr>
          <w:rFonts w:ascii="SimHei" w:hAnsi="SimHei" w:eastAsia="SimHei" w:cs="SimHei"/>
          <w:sz w:val="28"/>
          <w:szCs w:val="28"/>
        </w:rPr>
      </w:pPr>
      <w:bookmarkStart w:name="bookmark32" w:id="37"/>
      <w:bookmarkEnd w:id="37"/>
      <w:r>
        <w:rPr>
          <w:rFonts w:ascii="Times New Roman" w:hAnsi="Times New Roman" w:eastAsia="Times New Roman" w:cs="Times New Roman"/>
          <w:sz w:val="28"/>
          <w:szCs w:val="28"/>
          <w:spacing w:val="-1"/>
        </w:rPr>
        <w:t>2.4.6 </w:t>
      </w:r>
      <w:r>
        <w:rPr>
          <w:rFonts w:ascii="SimHei" w:hAnsi="SimHei" w:eastAsia="SimHei" w:cs="SimHei"/>
          <w:sz w:val="28"/>
          <w:szCs w:val="28"/>
          <w:spacing w:val="-1"/>
        </w:rPr>
        <w:t>土壤环境</w:t>
      </w:r>
    </w:p>
    <w:p>
      <w:pPr>
        <w:pStyle w:val="BodyText"/>
        <w:spacing w:line="278" w:lineRule="auto"/>
        <w:rPr/>
      </w:pPr>
      <w:r/>
    </w:p>
    <w:p>
      <w:pPr>
        <w:ind w:left="516"/>
        <w:spacing w:before="78"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）行业分类</w:t>
      </w:r>
    </w:p>
    <w:p>
      <w:pPr>
        <w:ind w:left="23" w:right="14" w:firstLine="480"/>
        <w:spacing w:before="178" w:line="360" w:lineRule="auto"/>
        <w:rPr>
          <w:rFonts w:ascii="SimSun" w:hAnsi="SimSun" w:eastAsia="SimSun" w:cs="SimSun"/>
          <w:sz w:val="24"/>
          <w:szCs w:val="24"/>
        </w:rPr>
      </w:pPr>
      <w:r>
        <w:rPr>
          <w:rFonts w:ascii="SimSun" w:hAnsi="SimSun" w:eastAsia="SimSun" w:cs="SimSun"/>
          <w:sz w:val="24"/>
          <w:szCs w:val="24"/>
          <w:spacing w:val="-1"/>
        </w:rPr>
        <w:t>根据《环境影响评价技术导则 土壤环境（试行）》（</w:t>
      </w:r>
      <w:r>
        <w:rPr>
          <w:rFonts w:ascii="Times New Roman" w:hAnsi="Times New Roman" w:eastAsia="Times New Roman" w:cs="Times New Roman"/>
          <w:sz w:val="24"/>
          <w:szCs w:val="24"/>
          <w:spacing w:val="-1"/>
        </w:rPr>
        <w:t>HJ964-2018</w:t>
      </w:r>
      <w:r>
        <w:rPr>
          <w:rFonts w:ascii="SimSun" w:hAnsi="SimSun" w:eastAsia="SimSun" w:cs="SimSun"/>
          <w:sz w:val="24"/>
          <w:szCs w:val="24"/>
          <w:spacing w:val="11"/>
        </w:rPr>
        <w:t>），</w:t>
      </w:r>
      <w:r>
        <w:rPr>
          <w:rFonts w:ascii="SimSun" w:hAnsi="SimSun" w:eastAsia="SimSun" w:cs="SimSun"/>
          <w:sz w:val="24"/>
          <w:szCs w:val="24"/>
          <w:spacing w:val="-1"/>
        </w:rPr>
        <w:t>本项目</w:t>
      </w:r>
      <w:r>
        <w:rPr>
          <w:rFonts w:ascii="SimSun" w:hAnsi="SimSun" w:eastAsia="SimSun" w:cs="SimSun"/>
          <w:sz w:val="24"/>
          <w:szCs w:val="24"/>
          <w:spacing w:val="1"/>
        </w:rPr>
        <w:t xml:space="preserve"> </w:t>
      </w:r>
      <w:r>
        <w:rPr>
          <w:rFonts w:ascii="SimSun" w:hAnsi="SimSun" w:eastAsia="SimSun" w:cs="SimSun"/>
          <w:sz w:val="24"/>
          <w:szCs w:val="24"/>
          <w:spacing w:val="2"/>
        </w:rPr>
        <w:t>属于“制造业，化学纤维制造；</w:t>
      </w:r>
      <w:r>
        <w:rPr>
          <w:rFonts w:ascii="SimSun" w:hAnsi="SimSun" w:eastAsia="SimSun" w:cs="SimSun"/>
          <w:sz w:val="24"/>
          <w:szCs w:val="24"/>
          <w:b/>
          <w:bCs/>
          <w:spacing w:val="2"/>
        </w:rPr>
        <w:t>有洗毛</w:t>
      </w:r>
      <w:r>
        <w:rPr>
          <w:rFonts w:ascii="SimSun" w:hAnsi="SimSun" w:eastAsia="SimSun" w:cs="SimSun"/>
          <w:sz w:val="24"/>
          <w:szCs w:val="24"/>
          <w:spacing w:val="2"/>
        </w:rPr>
        <w:t>、染整、脱胶工段及产生缫丝废水、精炼</w:t>
      </w:r>
      <w:r>
        <w:rPr>
          <w:rFonts w:ascii="SimSun" w:hAnsi="SimSun" w:eastAsia="SimSun" w:cs="SimSun"/>
          <w:sz w:val="24"/>
          <w:szCs w:val="24"/>
          <w:spacing w:val="16"/>
        </w:rPr>
        <w:t xml:space="preserve"> </w:t>
      </w:r>
      <w:r>
        <w:rPr>
          <w:rFonts w:ascii="SimSun" w:hAnsi="SimSun" w:eastAsia="SimSun" w:cs="SimSun"/>
          <w:sz w:val="24"/>
          <w:szCs w:val="24"/>
          <w:spacing w:val="3"/>
        </w:rPr>
        <w:t>废水的纺织品；有湿法印花、染色、水洗工艺的服装</w:t>
      </w:r>
      <w:r>
        <w:rPr>
          <w:rFonts w:ascii="SimSun" w:hAnsi="SimSun" w:eastAsia="SimSun" w:cs="SimSun"/>
          <w:sz w:val="24"/>
          <w:szCs w:val="24"/>
          <w:spacing w:val="2"/>
        </w:rPr>
        <w:t>制造；使用有机溶剂的制鞋</w:t>
      </w:r>
      <w:r>
        <w:rPr>
          <w:rFonts w:ascii="SimSun" w:hAnsi="SimSun" w:eastAsia="SimSun" w:cs="SimSun"/>
          <w:sz w:val="24"/>
          <w:szCs w:val="24"/>
        </w:rPr>
        <w:t xml:space="preserve"> </w:t>
      </w:r>
      <w:r>
        <w:rPr>
          <w:rFonts w:ascii="SimSun" w:hAnsi="SimSun" w:eastAsia="SimSun" w:cs="SimSun"/>
          <w:sz w:val="24"/>
          <w:szCs w:val="24"/>
          <w:spacing w:val="-4"/>
        </w:rPr>
        <w:t>业</w:t>
      </w:r>
      <w:r>
        <w:rPr>
          <w:rFonts w:ascii="SimSun" w:hAnsi="SimSun" w:eastAsia="SimSun" w:cs="SimSun"/>
          <w:sz w:val="24"/>
          <w:szCs w:val="24"/>
          <w:spacing w:val="-87"/>
        </w:rPr>
        <w:t xml:space="preserve"> </w:t>
      </w:r>
      <w:r>
        <w:rPr>
          <w:rFonts w:ascii="SimSun" w:hAnsi="SimSun" w:eastAsia="SimSun" w:cs="SimSun"/>
          <w:sz w:val="24"/>
          <w:szCs w:val="24"/>
          <w:spacing w:val="-4"/>
        </w:rPr>
        <w:t>”，为</w:t>
      </w:r>
      <w:r>
        <w:rPr>
          <w:rFonts w:ascii="Times New Roman" w:hAnsi="Times New Roman" w:eastAsia="Times New Roman" w:cs="Times New Roman"/>
          <w:sz w:val="24"/>
          <w:szCs w:val="24"/>
          <w:spacing w:val="-4"/>
        </w:rPr>
        <w:t>Ⅱ</w:t>
      </w:r>
      <w:r>
        <w:rPr>
          <w:rFonts w:ascii="SimSun" w:hAnsi="SimSun" w:eastAsia="SimSun" w:cs="SimSun"/>
          <w:sz w:val="24"/>
          <w:szCs w:val="24"/>
          <w:spacing w:val="-4"/>
        </w:rPr>
        <w:t>类建设项目。</w:t>
      </w:r>
    </w:p>
    <w:p>
      <w:pPr>
        <w:ind w:left="516"/>
        <w:spacing w:line="219" w:lineRule="auto"/>
        <w:rPr>
          <w:rFonts w:ascii="SimSun" w:hAnsi="SimSun" w:eastAsia="SimSun" w:cs="SimSun"/>
          <w:sz w:val="24"/>
          <w:szCs w:val="24"/>
        </w:rPr>
      </w:pPr>
      <w:r>
        <w:rPr>
          <w:rFonts w:ascii="SimSun" w:hAnsi="SimSun" w:eastAsia="SimSun" w:cs="SimSun"/>
          <w:sz w:val="24"/>
          <w:szCs w:val="24"/>
          <w:spacing w:val="-10"/>
        </w:rPr>
        <w:t>（</w:t>
      </w:r>
      <w:r>
        <w:rPr>
          <w:rFonts w:ascii="Times New Roman" w:hAnsi="Times New Roman" w:eastAsia="Times New Roman" w:cs="Times New Roman"/>
          <w:sz w:val="24"/>
          <w:szCs w:val="24"/>
          <w:spacing w:val="-10"/>
        </w:rPr>
        <w:t>2</w:t>
      </w:r>
      <w:r>
        <w:rPr>
          <w:rFonts w:ascii="SimSun" w:hAnsi="SimSun" w:eastAsia="SimSun" w:cs="SimSun"/>
          <w:sz w:val="24"/>
          <w:szCs w:val="24"/>
          <w:spacing w:val="-10"/>
        </w:rPr>
        <w:t>）</w:t>
      </w:r>
      <w:r>
        <w:rPr>
          <w:rFonts w:ascii="SimSun" w:hAnsi="SimSun" w:eastAsia="SimSun" w:cs="SimSun"/>
          <w:sz w:val="24"/>
          <w:szCs w:val="24"/>
          <w:spacing w:val="-72"/>
        </w:rPr>
        <w:t xml:space="preserve"> </w:t>
      </w:r>
      <w:r>
        <w:rPr>
          <w:rFonts w:ascii="SimSun" w:hAnsi="SimSun" w:eastAsia="SimSun" w:cs="SimSun"/>
          <w:sz w:val="24"/>
          <w:szCs w:val="24"/>
          <w:spacing w:val="-10"/>
        </w:rPr>
        <w:t>占地规模</w:t>
      </w:r>
    </w:p>
    <w:p>
      <w:pPr>
        <w:ind w:left="25" w:right="12" w:firstLine="480"/>
        <w:spacing w:before="180" w:line="360" w:lineRule="auto"/>
        <w:rPr>
          <w:rFonts w:ascii="SimSun" w:hAnsi="SimSun" w:eastAsia="SimSun" w:cs="SimSun"/>
          <w:sz w:val="24"/>
          <w:szCs w:val="24"/>
        </w:rPr>
      </w:pPr>
      <w:r>
        <w:rPr>
          <w:rFonts w:ascii="SimSun" w:hAnsi="SimSun" w:eastAsia="SimSun" w:cs="SimSun"/>
          <w:sz w:val="24"/>
          <w:szCs w:val="24"/>
          <w:spacing w:val="-3"/>
        </w:rPr>
        <w:t>本项目东厂区占地面积为</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17hm</w:t>
      </w:r>
      <w:r>
        <w:rPr>
          <w:rFonts w:ascii="Times New Roman" w:hAnsi="Times New Roman" w:eastAsia="Times New Roman" w:cs="Times New Roman"/>
          <w:sz w:val="15"/>
          <w:szCs w:val="15"/>
          <w:spacing w:val="-3"/>
          <w:position w:val="7"/>
        </w:rPr>
        <w:t>2 </w:t>
      </w:r>
      <w:r>
        <w:rPr>
          <w:rFonts w:ascii="SimSun" w:hAnsi="SimSun" w:eastAsia="SimSun" w:cs="SimSun"/>
          <w:sz w:val="24"/>
          <w:szCs w:val="24"/>
          <w:spacing w:val="-3"/>
        </w:rPr>
        <w:t>，西厂区占地面积为</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4"/>
        </w:rPr>
        <w:t>0729hm</w:t>
      </w:r>
      <w:r>
        <w:rPr>
          <w:rFonts w:ascii="Times New Roman" w:hAnsi="Times New Roman" w:eastAsia="Times New Roman" w:cs="Times New Roman"/>
          <w:sz w:val="15"/>
          <w:szCs w:val="15"/>
          <w:spacing w:val="-4"/>
          <w:position w:val="7"/>
        </w:rPr>
        <w:t>2 </w:t>
      </w:r>
      <w:r>
        <w:rPr>
          <w:rFonts w:ascii="SimSun" w:hAnsi="SimSun" w:eastAsia="SimSun" w:cs="SimSun"/>
          <w:sz w:val="24"/>
          <w:szCs w:val="24"/>
          <w:spacing w:val="-4"/>
        </w:rPr>
        <w:t>，</w:t>
      </w:r>
      <w:r>
        <w:rPr>
          <w:rFonts w:ascii="SimSun" w:hAnsi="SimSun" w:eastAsia="SimSun" w:cs="SimSun"/>
          <w:sz w:val="24"/>
          <w:szCs w:val="24"/>
          <w:spacing w:val="-69"/>
        </w:rPr>
        <w:t xml:space="preserve"> </w:t>
      </w:r>
      <w:r>
        <w:rPr>
          <w:rFonts w:ascii="SimSun" w:hAnsi="SimSun" w:eastAsia="SimSun" w:cs="SimSun"/>
          <w:sz w:val="24"/>
          <w:szCs w:val="24"/>
          <w:spacing w:val="-4"/>
        </w:rPr>
        <w:t>占地面积</w:t>
      </w:r>
      <w:r>
        <w:rPr>
          <w:rFonts w:ascii="SimSun" w:hAnsi="SimSun" w:eastAsia="SimSun" w:cs="SimSun"/>
          <w:sz w:val="24"/>
          <w:szCs w:val="24"/>
        </w:rPr>
        <w:t xml:space="preserve"> </w:t>
      </w:r>
      <w:r>
        <w:rPr>
          <w:rFonts w:ascii="SimSun" w:hAnsi="SimSun" w:eastAsia="SimSun" w:cs="SimSun"/>
          <w:sz w:val="24"/>
          <w:szCs w:val="24"/>
          <w:spacing w:val="-7"/>
        </w:rPr>
        <w:t>均小于</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7"/>
        </w:rPr>
        <w:t>5hm</w:t>
      </w:r>
      <w:r>
        <w:rPr>
          <w:rFonts w:ascii="Times New Roman" w:hAnsi="Times New Roman" w:eastAsia="Times New Roman" w:cs="Times New Roman"/>
          <w:sz w:val="15"/>
          <w:szCs w:val="15"/>
          <w:spacing w:val="-7"/>
          <w:position w:val="8"/>
        </w:rPr>
        <w:t>2 </w:t>
      </w:r>
      <w:r>
        <w:rPr>
          <w:rFonts w:ascii="SimSun" w:hAnsi="SimSun" w:eastAsia="SimSun" w:cs="SimSun"/>
          <w:sz w:val="24"/>
          <w:szCs w:val="24"/>
          <w:spacing w:val="-7"/>
        </w:rPr>
        <w:t>，</w:t>
      </w:r>
      <w:r>
        <w:rPr>
          <w:rFonts w:ascii="SimSun" w:hAnsi="SimSun" w:eastAsia="SimSun" w:cs="SimSun"/>
          <w:sz w:val="24"/>
          <w:szCs w:val="24"/>
          <w:spacing w:val="-71"/>
        </w:rPr>
        <w:t xml:space="preserve"> </w:t>
      </w:r>
      <w:r>
        <w:rPr>
          <w:rFonts w:ascii="SimSun" w:hAnsi="SimSun" w:eastAsia="SimSun" w:cs="SimSun"/>
          <w:sz w:val="24"/>
          <w:szCs w:val="24"/>
          <w:spacing w:val="-7"/>
        </w:rPr>
        <w:t>占地规模为小型。</w:t>
      </w:r>
    </w:p>
    <w:p>
      <w:pPr>
        <w:ind w:left="516"/>
        <w:spacing w:before="1"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）土壤的敏感程度</w:t>
      </w:r>
    </w:p>
    <w:p>
      <w:pPr>
        <w:ind w:left="505"/>
        <w:spacing w:before="180" w:line="219" w:lineRule="auto"/>
        <w:rPr>
          <w:rFonts w:ascii="SimSun" w:hAnsi="SimSun" w:eastAsia="SimSun" w:cs="SimSun"/>
          <w:sz w:val="24"/>
          <w:szCs w:val="24"/>
        </w:rPr>
      </w:pPr>
      <w:r>
        <w:rPr>
          <w:rFonts w:ascii="SimSun" w:hAnsi="SimSun" w:eastAsia="SimSun" w:cs="SimSun"/>
          <w:sz w:val="24"/>
          <w:szCs w:val="24"/>
          <w:spacing w:val="-1"/>
        </w:rPr>
        <w:t>本项目为污染影响型，土壤的敏感程度判别依据见表</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2.4-7</w:t>
      </w:r>
      <w:r>
        <w:rPr>
          <w:rFonts w:ascii="SimSun" w:hAnsi="SimSun" w:eastAsia="SimSun" w:cs="SimSun"/>
          <w:sz w:val="24"/>
          <w:szCs w:val="24"/>
          <w:spacing w:val="-1"/>
        </w:rPr>
        <w:t>。</w:t>
      </w:r>
    </w:p>
    <w:p>
      <w:pPr>
        <w:ind w:left="2248"/>
        <w:spacing w:before="181"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2.4-7      </w:t>
      </w:r>
      <w:r>
        <w:rPr>
          <w:rFonts w:ascii="SimSun" w:hAnsi="SimSun" w:eastAsia="SimSun" w:cs="SimSun"/>
          <w:sz w:val="24"/>
          <w:szCs w:val="24"/>
          <w:b/>
          <w:bCs/>
          <w:spacing w:val="-2"/>
        </w:rPr>
        <w:t>污染影响型敏感程度分级表</w:t>
      </w:r>
    </w:p>
    <w:tbl>
      <w:tblPr>
        <w:tblStyle w:val="TableNormal"/>
        <w:tblW w:w="8528"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39"/>
        <w:gridCol w:w="7089"/>
      </w:tblGrid>
      <w:tr>
        <w:trPr>
          <w:trHeight w:val="281" w:hRule="atLeast"/>
        </w:trPr>
        <w:tc>
          <w:tcPr>
            <w:tcW w:w="1439" w:type="dxa"/>
            <w:vAlign w:val="top"/>
          </w:tcPr>
          <w:p>
            <w:pPr>
              <w:pStyle w:val="TableText"/>
              <w:ind w:left="304"/>
              <w:spacing w:before="37" w:line="216" w:lineRule="auto"/>
              <w:rPr/>
            </w:pPr>
            <w:r>
              <w:rPr>
                <w:spacing w:val="7"/>
              </w:rPr>
              <w:t>敏感程度</w:t>
            </w:r>
          </w:p>
        </w:tc>
        <w:tc>
          <w:tcPr>
            <w:tcW w:w="7089" w:type="dxa"/>
            <w:vAlign w:val="top"/>
          </w:tcPr>
          <w:p>
            <w:pPr>
              <w:pStyle w:val="TableText"/>
              <w:ind w:left="3127"/>
              <w:spacing w:before="37" w:line="216" w:lineRule="auto"/>
              <w:rPr/>
            </w:pPr>
            <w:r>
              <w:rPr>
                <w:spacing w:val="7"/>
              </w:rPr>
              <w:t>判别依据</w:t>
            </w:r>
          </w:p>
        </w:tc>
      </w:tr>
      <w:tr>
        <w:trPr>
          <w:trHeight w:val="548" w:hRule="atLeast"/>
        </w:trPr>
        <w:tc>
          <w:tcPr>
            <w:tcW w:w="1439" w:type="dxa"/>
            <w:vAlign w:val="top"/>
          </w:tcPr>
          <w:p>
            <w:pPr>
              <w:pStyle w:val="TableText"/>
              <w:ind w:left="516"/>
              <w:spacing w:before="166" w:line="228" w:lineRule="auto"/>
              <w:rPr/>
            </w:pPr>
            <w:r>
              <w:rPr>
                <w:spacing w:val="4"/>
              </w:rPr>
              <w:t>敏感</w:t>
            </w:r>
          </w:p>
        </w:tc>
        <w:tc>
          <w:tcPr>
            <w:tcW w:w="7089" w:type="dxa"/>
            <w:vAlign w:val="top"/>
          </w:tcPr>
          <w:p>
            <w:pPr>
              <w:pStyle w:val="TableText"/>
              <w:ind w:left="9" w:firstLine="3"/>
              <w:spacing w:before="33" w:line="233" w:lineRule="auto"/>
              <w:rPr/>
            </w:pPr>
            <w:r>
              <w:rPr>
                <w:spacing w:val="2"/>
              </w:rPr>
              <w:t>建设项目周边存在耕地、园地、牧草地、饮用水水源地或居民区、学校、医院、</w:t>
            </w:r>
            <w:r>
              <w:rPr/>
              <w:t xml:space="preserve"> </w:t>
            </w:r>
            <w:r>
              <w:rPr>
                <w:spacing w:val="7"/>
              </w:rPr>
              <w:t>疗养院、养老院等土壤环境敏感目标的</w:t>
            </w:r>
          </w:p>
        </w:tc>
      </w:tr>
      <w:tr>
        <w:trPr>
          <w:trHeight w:val="276" w:hRule="atLeast"/>
        </w:trPr>
        <w:tc>
          <w:tcPr>
            <w:tcW w:w="1439" w:type="dxa"/>
            <w:vAlign w:val="top"/>
          </w:tcPr>
          <w:p>
            <w:pPr>
              <w:pStyle w:val="TableText"/>
              <w:ind w:left="409"/>
              <w:spacing w:before="34" w:line="214" w:lineRule="auto"/>
              <w:rPr/>
            </w:pPr>
            <w:r>
              <w:rPr>
                <w:spacing w:val="6"/>
              </w:rPr>
              <w:t>较敏感</w:t>
            </w:r>
          </w:p>
        </w:tc>
        <w:tc>
          <w:tcPr>
            <w:tcW w:w="7089" w:type="dxa"/>
            <w:vAlign w:val="top"/>
          </w:tcPr>
          <w:p>
            <w:pPr>
              <w:pStyle w:val="TableText"/>
              <w:ind w:left="12"/>
              <w:spacing w:before="34" w:line="214" w:lineRule="auto"/>
              <w:rPr/>
            </w:pPr>
            <w:r>
              <w:rPr>
                <w:spacing w:val="9"/>
              </w:rPr>
              <w:t>建设项目周边存在其他土壤环境敏感目标</w:t>
            </w:r>
          </w:p>
        </w:tc>
      </w:tr>
      <w:tr>
        <w:trPr>
          <w:trHeight w:val="281" w:hRule="atLeast"/>
        </w:trPr>
        <w:tc>
          <w:tcPr>
            <w:tcW w:w="1439" w:type="dxa"/>
            <w:vAlign w:val="top"/>
          </w:tcPr>
          <w:p>
            <w:pPr>
              <w:pStyle w:val="TableText"/>
              <w:ind w:left="413"/>
              <w:spacing w:before="35" w:line="217" w:lineRule="auto"/>
              <w:rPr/>
            </w:pPr>
            <w:r>
              <w:rPr>
                <w:spacing w:val="5"/>
              </w:rPr>
              <w:t>不敏感</w:t>
            </w:r>
          </w:p>
        </w:tc>
        <w:tc>
          <w:tcPr>
            <w:tcW w:w="7089" w:type="dxa"/>
            <w:vAlign w:val="top"/>
          </w:tcPr>
          <w:p>
            <w:pPr>
              <w:pStyle w:val="TableText"/>
              <w:ind w:left="10"/>
              <w:spacing w:before="35" w:line="217" w:lineRule="auto"/>
              <w:rPr/>
            </w:pPr>
            <w:r>
              <w:rPr>
                <w:spacing w:val="7"/>
              </w:rPr>
              <w:t>其他情况</w:t>
            </w:r>
          </w:p>
        </w:tc>
      </w:tr>
    </w:tbl>
    <w:p>
      <w:pPr>
        <w:ind w:right="12"/>
        <w:spacing w:before="34" w:line="219" w:lineRule="auto"/>
        <w:jc w:val="right"/>
        <w:rPr>
          <w:rFonts w:ascii="SimSun" w:hAnsi="SimSun" w:eastAsia="SimSun" w:cs="SimSun"/>
          <w:sz w:val="24"/>
          <w:szCs w:val="24"/>
        </w:rPr>
      </w:pPr>
      <w:r>
        <w:rPr>
          <w:rFonts w:ascii="SimSun" w:hAnsi="SimSun" w:eastAsia="SimSun" w:cs="SimSun"/>
          <w:sz w:val="24"/>
          <w:szCs w:val="24"/>
          <w:spacing w:val="3"/>
        </w:rPr>
        <w:t>本项目西厂区南侧为天然牧草地，东厂区东南侧有耕地，土壤环</w:t>
      </w:r>
      <w:r>
        <w:rPr>
          <w:rFonts w:ascii="SimSun" w:hAnsi="SimSun" w:eastAsia="SimSun" w:cs="SimSun"/>
          <w:sz w:val="24"/>
          <w:szCs w:val="24"/>
          <w:spacing w:val="2"/>
        </w:rPr>
        <w:t>境敏感程度</w:t>
      </w:r>
    </w:p>
    <w:p>
      <w:pPr>
        <w:ind w:right="15"/>
        <w:spacing w:before="241" w:line="227" w:lineRule="auto"/>
        <w:jc w:val="right"/>
        <w:rPr>
          <w:rFonts w:ascii="SimSun" w:hAnsi="SimSun" w:eastAsia="SimSun" w:cs="SimSun"/>
          <w:sz w:val="19"/>
          <w:szCs w:val="19"/>
        </w:rPr>
      </w:pPr>
      <w:r>
        <w:pict>
          <v:shape id="_x0000_s174" style="position:absolute;margin-left:208.218pt;margin-top:11.0501pt;mso-position-vertical-relative:text;mso-position-horizontal-relative:text;width:58.75pt;height:13.75pt;z-index:251738112;"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1"/>
                      <w:position w:val="2"/>
                    </w:rPr>
                    <w:t>32        </w:t>
                  </w:r>
                  <w:r>
                    <w:rPr>
                      <w:rFonts w:ascii="SimSun" w:hAnsi="SimSun" w:eastAsia="SimSun" w:cs="SimSun"/>
                      <w:sz w:val="19"/>
                      <w:szCs w:val="19"/>
                      <w:spacing w:val="1"/>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46"/>
          <w:pgSz w:w="11907" w:h="16840"/>
          <w:pgMar w:top="1567" w:right="1687" w:bottom="400" w:left="1686" w:header="1221" w:footer="0" w:gutter="0"/>
        </w:sectPr>
        <w:rPr>
          <w:rFonts w:ascii="SimSun" w:hAnsi="SimSun" w:eastAsia="SimSun" w:cs="SimSun"/>
          <w:sz w:val="19"/>
          <w:szCs w:val="19"/>
        </w:rPr>
      </w:pPr>
    </w:p>
    <w:p>
      <w:pPr>
        <w:ind w:left="30"/>
        <w:spacing w:before="188" w:line="219" w:lineRule="auto"/>
        <w:rPr>
          <w:rFonts w:ascii="SimSun" w:hAnsi="SimSun" w:eastAsia="SimSun" w:cs="SimSun"/>
          <w:sz w:val="24"/>
          <w:szCs w:val="24"/>
        </w:rPr>
      </w:pPr>
      <w:r>
        <w:pict>
          <v:shape id="_x0000_s178" style="position:absolute;margin-left:85.05pt;margin-top:79.11pt;mso-position-vertical-relative:page;mso-position-horizontal-relative:page;width:425.25pt;height:0.75pt;z-index:251741184;" o:allowincell="f" fillcolor="#000000" filled="true" stroked="false" coordsize="8505,15" coordorigin="0,0" path="m,l8505,0l8505,14l0,14l0,0xe"/>
        </w:pict>
      </w:r>
      <w:r>
        <w:rPr>
          <w:rFonts w:ascii="SimSun" w:hAnsi="SimSun" w:eastAsia="SimSun" w:cs="SimSun"/>
          <w:sz w:val="24"/>
          <w:szCs w:val="24"/>
          <w:spacing w:val="-2"/>
        </w:rPr>
        <w:t>为“敏感</w:t>
      </w:r>
      <w:r>
        <w:rPr>
          <w:rFonts w:ascii="SimSun" w:hAnsi="SimSun" w:eastAsia="SimSun" w:cs="SimSun"/>
          <w:sz w:val="24"/>
          <w:szCs w:val="24"/>
          <w:spacing w:val="-89"/>
        </w:rPr>
        <w:t xml:space="preserve"> </w:t>
      </w:r>
      <w:r>
        <w:rPr>
          <w:rFonts w:ascii="SimSun" w:hAnsi="SimSun" w:eastAsia="SimSun" w:cs="SimSun"/>
          <w:sz w:val="24"/>
          <w:szCs w:val="24"/>
          <w:spacing w:val="-2"/>
        </w:rPr>
        <w:t>”。</w:t>
      </w:r>
    </w:p>
    <w:p>
      <w:pPr>
        <w:ind w:left="519"/>
        <w:spacing w:before="180" w:line="218"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）评价等级判定</w:t>
      </w:r>
    </w:p>
    <w:p>
      <w:pPr>
        <w:ind w:left="509"/>
        <w:spacing w:before="182" w:line="218" w:lineRule="auto"/>
        <w:rPr>
          <w:rFonts w:ascii="SimSun" w:hAnsi="SimSun" w:eastAsia="SimSun" w:cs="SimSun"/>
          <w:sz w:val="24"/>
          <w:szCs w:val="24"/>
        </w:rPr>
      </w:pPr>
      <w:r>
        <w:rPr>
          <w:rFonts w:ascii="SimSun" w:hAnsi="SimSun" w:eastAsia="SimSun" w:cs="SimSun"/>
          <w:sz w:val="24"/>
          <w:szCs w:val="24"/>
          <w:spacing w:val="-1"/>
        </w:rPr>
        <w:t>污染影响型项目土壤环境影响评价等级确定见表</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2.4-8</w:t>
      </w:r>
      <w:r>
        <w:rPr>
          <w:rFonts w:ascii="SimSun" w:hAnsi="SimSun" w:eastAsia="SimSun" w:cs="SimSun"/>
          <w:sz w:val="24"/>
          <w:szCs w:val="24"/>
          <w:spacing w:val="-1"/>
        </w:rPr>
        <w:t>。</w:t>
      </w:r>
    </w:p>
    <w:p>
      <w:pPr>
        <w:ind w:left="2131"/>
        <w:spacing w:before="185"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2.4-8      </w:t>
      </w:r>
      <w:r>
        <w:rPr>
          <w:rFonts w:ascii="SimSun" w:hAnsi="SimSun" w:eastAsia="SimSun" w:cs="SimSun"/>
          <w:sz w:val="24"/>
          <w:szCs w:val="24"/>
          <w:b/>
          <w:bCs/>
          <w:spacing w:val="-2"/>
        </w:rPr>
        <w:t>土壤环境影响评价等级分级表</w:t>
      </w:r>
    </w:p>
    <w:tbl>
      <w:tblPr>
        <w:tblStyle w:val="TableNormal"/>
        <w:tblW w:w="8519" w:type="dxa"/>
        <w:tblInd w:w="1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35"/>
        <w:gridCol w:w="1138"/>
        <w:gridCol w:w="748"/>
        <w:gridCol w:w="748"/>
        <w:gridCol w:w="750"/>
        <w:gridCol w:w="674"/>
        <w:gridCol w:w="652"/>
        <w:gridCol w:w="652"/>
        <w:gridCol w:w="654"/>
        <w:gridCol w:w="655"/>
        <w:gridCol w:w="713"/>
      </w:tblGrid>
      <w:tr>
        <w:trPr>
          <w:trHeight w:val="281" w:hRule="atLeast"/>
        </w:trPr>
        <w:tc>
          <w:tcPr>
            <w:tcW w:w="2273" w:type="dxa"/>
            <w:vAlign w:val="top"/>
            <w:gridSpan w:val="2"/>
          </w:tcPr>
          <w:p>
            <w:pPr>
              <w:pStyle w:val="TableText"/>
              <w:ind w:left="727"/>
              <w:spacing w:before="35" w:line="217" w:lineRule="auto"/>
              <w:rPr/>
            </w:pPr>
            <w:r>
              <w:rPr>
                <w:spacing w:val="6"/>
              </w:rPr>
              <w:t>项目类别</w:t>
            </w:r>
          </w:p>
        </w:tc>
        <w:tc>
          <w:tcPr>
            <w:tcW w:w="2246" w:type="dxa"/>
            <w:vAlign w:val="top"/>
            <w:gridSpan w:val="3"/>
          </w:tcPr>
          <w:p>
            <w:pPr>
              <w:pStyle w:val="TableText"/>
              <w:ind w:left="749"/>
              <w:spacing w:before="35" w:line="217" w:lineRule="auto"/>
              <w:rPr/>
            </w:pPr>
            <w:r>
              <w:rPr>
                <w:rFonts w:ascii="Times New Roman" w:hAnsi="Times New Roman" w:eastAsia="Times New Roman" w:cs="Times New Roman"/>
                <w:spacing w:val="4"/>
              </w:rPr>
              <w:t>I</w:t>
            </w:r>
            <w:r>
              <w:rPr>
                <w:rFonts w:ascii="Times New Roman" w:hAnsi="Times New Roman" w:eastAsia="Times New Roman" w:cs="Times New Roman"/>
                <w:spacing w:val="12"/>
                <w:w w:val="101"/>
              </w:rPr>
              <w:t xml:space="preserve"> </w:t>
            </w:r>
            <w:r>
              <w:rPr>
                <w:spacing w:val="4"/>
              </w:rPr>
              <w:t>类项目</w:t>
            </w:r>
          </w:p>
        </w:tc>
        <w:tc>
          <w:tcPr>
            <w:tcW w:w="1978" w:type="dxa"/>
            <w:vAlign w:val="top"/>
            <w:gridSpan w:val="3"/>
          </w:tcPr>
          <w:p>
            <w:pPr>
              <w:pStyle w:val="TableText"/>
              <w:ind w:left="582"/>
              <w:spacing w:before="35" w:line="217" w:lineRule="auto"/>
              <w:rPr/>
            </w:pPr>
            <w:r>
              <w:rPr>
                <w:rFonts w:ascii="Times New Roman" w:hAnsi="Times New Roman" w:eastAsia="Times New Roman" w:cs="Times New Roman"/>
              </w:rPr>
              <w:t>II</w:t>
            </w:r>
            <w:r>
              <w:rPr>
                <w:rFonts w:ascii="Times New Roman" w:hAnsi="Times New Roman" w:eastAsia="Times New Roman" w:cs="Times New Roman"/>
                <w:spacing w:val="10"/>
              </w:rPr>
              <w:t xml:space="preserve"> </w:t>
            </w:r>
            <w:r>
              <w:rPr>
                <w:spacing w:val="7"/>
              </w:rPr>
              <w:t>类项目</w:t>
            </w:r>
          </w:p>
        </w:tc>
        <w:tc>
          <w:tcPr>
            <w:tcW w:w="2022" w:type="dxa"/>
            <w:vAlign w:val="top"/>
            <w:gridSpan w:val="3"/>
          </w:tcPr>
          <w:p>
            <w:pPr>
              <w:pStyle w:val="TableText"/>
              <w:ind w:left="567"/>
              <w:spacing w:before="35" w:line="217" w:lineRule="auto"/>
              <w:rPr/>
            </w:pPr>
            <w:r>
              <w:rPr>
                <w:rFonts w:ascii="Times New Roman" w:hAnsi="Times New Roman" w:eastAsia="Times New Roman" w:cs="Times New Roman"/>
              </w:rPr>
              <w:t>III</w:t>
            </w:r>
            <w:r>
              <w:rPr>
                <w:rFonts w:ascii="Times New Roman" w:hAnsi="Times New Roman" w:eastAsia="Times New Roman" w:cs="Times New Roman"/>
                <w:spacing w:val="10"/>
              </w:rPr>
              <w:t xml:space="preserve"> </w:t>
            </w:r>
            <w:r>
              <w:rPr>
                <w:spacing w:val="8"/>
              </w:rPr>
              <w:t>类项目</w:t>
            </w:r>
          </w:p>
        </w:tc>
      </w:tr>
      <w:tr>
        <w:trPr>
          <w:trHeight w:val="277" w:hRule="atLeast"/>
        </w:trPr>
        <w:tc>
          <w:tcPr>
            <w:tcW w:w="2273" w:type="dxa"/>
            <w:vAlign w:val="top"/>
            <w:gridSpan w:val="2"/>
          </w:tcPr>
          <w:p>
            <w:pPr>
              <w:pStyle w:val="TableText"/>
              <w:ind w:left="758"/>
              <w:spacing w:before="32" w:line="216" w:lineRule="auto"/>
              <w:rPr/>
            </w:pPr>
            <w:r>
              <w:rPr>
                <w:spacing w:val="-2"/>
              </w:rPr>
              <w:t>占地规模</w:t>
            </w:r>
          </w:p>
        </w:tc>
        <w:tc>
          <w:tcPr>
            <w:tcW w:w="748" w:type="dxa"/>
            <w:vAlign w:val="top"/>
          </w:tcPr>
          <w:p>
            <w:pPr>
              <w:pStyle w:val="TableText"/>
              <w:ind w:left="277"/>
              <w:spacing w:before="32" w:line="216" w:lineRule="auto"/>
              <w:rPr/>
            </w:pPr>
            <w:r>
              <w:rPr/>
              <w:t>大</w:t>
            </w:r>
          </w:p>
        </w:tc>
        <w:tc>
          <w:tcPr>
            <w:tcW w:w="748" w:type="dxa"/>
            <w:vAlign w:val="top"/>
          </w:tcPr>
          <w:p>
            <w:pPr>
              <w:pStyle w:val="TableText"/>
              <w:ind w:left="295"/>
              <w:spacing w:before="32" w:line="216" w:lineRule="auto"/>
              <w:rPr/>
            </w:pPr>
            <w:r>
              <w:rPr/>
              <w:t>中</w:t>
            </w:r>
          </w:p>
        </w:tc>
        <w:tc>
          <w:tcPr>
            <w:tcW w:w="750" w:type="dxa"/>
            <w:vAlign w:val="top"/>
          </w:tcPr>
          <w:p>
            <w:pPr>
              <w:pStyle w:val="TableText"/>
              <w:ind w:left="282"/>
              <w:spacing w:before="32" w:line="216" w:lineRule="auto"/>
              <w:rPr/>
            </w:pPr>
            <w:r>
              <w:rPr/>
              <w:t>小</w:t>
            </w:r>
          </w:p>
        </w:tc>
        <w:tc>
          <w:tcPr>
            <w:tcW w:w="674" w:type="dxa"/>
            <w:vAlign w:val="top"/>
          </w:tcPr>
          <w:p>
            <w:pPr>
              <w:pStyle w:val="TableText"/>
              <w:ind w:left="241"/>
              <w:spacing w:before="32" w:line="216" w:lineRule="auto"/>
              <w:rPr/>
            </w:pPr>
            <w:r>
              <w:rPr/>
              <w:t>大</w:t>
            </w:r>
          </w:p>
        </w:tc>
        <w:tc>
          <w:tcPr>
            <w:tcW w:w="652" w:type="dxa"/>
            <w:vAlign w:val="top"/>
          </w:tcPr>
          <w:p>
            <w:pPr>
              <w:pStyle w:val="TableText"/>
              <w:ind w:left="247"/>
              <w:spacing w:before="32" w:line="216" w:lineRule="auto"/>
              <w:rPr/>
            </w:pPr>
            <w:r>
              <w:rPr/>
              <w:t>中</w:t>
            </w:r>
          </w:p>
        </w:tc>
        <w:tc>
          <w:tcPr>
            <w:tcW w:w="652" w:type="dxa"/>
            <w:vAlign w:val="top"/>
          </w:tcPr>
          <w:p>
            <w:pPr>
              <w:pStyle w:val="TableText"/>
              <w:ind w:left="234"/>
              <w:spacing w:before="32" w:line="216" w:lineRule="auto"/>
              <w:rPr/>
            </w:pPr>
            <w:r>
              <w:rPr/>
              <w:t>小</w:t>
            </w:r>
          </w:p>
        </w:tc>
        <w:tc>
          <w:tcPr>
            <w:tcW w:w="654" w:type="dxa"/>
            <w:vAlign w:val="top"/>
          </w:tcPr>
          <w:p>
            <w:pPr>
              <w:pStyle w:val="TableText"/>
              <w:ind w:left="231"/>
              <w:spacing w:before="32" w:line="216" w:lineRule="auto"/>
              <w:rPr/>
            </w:pPr>
            <w:r>
              <w:rPr/>
              <w:t>大</w:t>
            </w:r>
          </w:p>
        </w:tc>
        <w:tc>
          <w:tcPr>
            <w:tcW w:w="655" w:type="dxa"/>
            <w:vAlign w:val="top"/>
          </w:tcPr>
          <w:p>
            <w:pPr>
              <w:pStyle w:val="TableText"/>
              <w:ind w:left="250"/>
              <w:spacing w:before="32" w:line="216" w:lineRule="auto"/>
              <w:rPr/>
            </w:pPr>
            <w:r>
              <w:rPr/>
              <w:t>中</w:t>
            </w:r>
          </w:p>
        </w:tc>
        <w:tc>
          <w:tcPr>
            <w:tcW w:w="713" w:type="dxa"/>
            <w:vAlign w:val="top"/>
          </w:tcPr>
          <w:p>
            <w:pPr>
              <w:pStyle w:val="TableText"/>
              <w:ind w:left="262"/>
              <w:spacing w:before="32" w:line="216" w:lineRule="auto"/>
              <w:rPr/>
            </w:pPr>
            <w:r>
              <w:rPr/>
              <w:t>小</w:t>
            </w:r>
          </w:p>
        </w:tc>
      </w:tr>
      <w:tr>
        <w:trPr>
          <w:trHeight w:val="276" w:hRule="atLeast"/>
        </w:trPr>
        <w:tc>
          <w:tcPr>
            <w:tcW w:w="1135" w:type="dxa"/>
            <w:vAlign w:val="top"/>
            <w:vMerge w:val="restart"/>
            <w:tcBorders>
              <w:bottom w:val="nil"/>
            </w:tcBorders>
          </w:tcPr>
          <w:p>
            <w:pPr>
              <w:spacing w:line="248" w:lineRule="auto"/>
              <w:rPr>
                <w:rFonts w:ascii="Arial"/>
                <w:sz w:val="21"/>
              </w:rPr>
            </w:pPr>
            <w:r/>
          </w:p>
          <w:p>
            <w:pPr>
              <w:pStyle w:val="TableText"/>
              <w:ind w:left="153"/>
              <w:spacing w:before="65" w:line="228" w:lineRule="auto"/>
              <w:rPr/>
            </w:pPr>
            <w:r>
              <w:rPr>
                <w:spacing w:val="7"/>
              </w:rPr>
              <w:t>敏感程度</w:t>
            </w:r>
          </w:p>
        </w:tc>
        <w:tc>
          <w:tcPr>
            <w:tcW w:w="1138" w:type="dxa"/>
            <w:vAlign w:val="top"/>
          </w:tcPr>
          <w:p>
            <w:pPr>
              <w:pStyle w:val="TableText"/>
              <w:ind w:left="362"/>
              <w:spacing w:before="31" w:line="216" w:lineRule="auto"/>
              <w:rPr/>
            </w:pPr>
            <w:r>
              <w:rPr>
                <w:spacing w:val="4"/>
              </w:rPr>
              <w:t>敏感</w:t>
            </w:r>
          </w:p>
        </w:tc>
        <w:tc>
          <w:tcPr>
            <w:tcW w:w="748" w:type="dxa"/>
            <w:vAlign w:val="top"/>
          </w:tcPr>
          <w:p>
            <w:pPr>
              <w:pStyle w:val="TableText"/>
              <w:ind w:left="172"/>
              <w:spacing w:before="31" w:line="216" w:lineRule="auto"/>
              <w:rPr/>
            </w:pPr>
            <w:r>
              <w:rPr>
                <w:spacing w:val="3"/>
              </w:rPr>
              <w:t>一级</w:t>
            </w:r>
          </w:p>
        </w:tc>
        <w:tc>
          <w:tcPr>
            <w:tcW w:w="748" w:type="dxa"/>
            <w:vAlign w:val="top"/>
          </w:tcPr>
          <w:p>
            <w:pPr>
              <w:pStyle w:val="TableText"/>
              <w:ind w:left="173"/>
              <w:spacing w:before="31" w:line="216" w:lineRule="auto"/>
              <w:rPr/>
            </w:pPr>
            <w:r>
              <w:rPr>
                <w:spacing w:val="3"/>
              </w:rPr>
              <w:t>一级</w:t>
            </w:r>
          </w:p>
        </w:tc>
        <w:tc>
          <w:tcPr>
            <w:tcW w:w="750" w:type="dxa"/>
            <w:vAlign w:val="top"/>
          </w:tcPr>
          <w:p>
            <w:pPr>
              <w:pStyle w:val="TableText"/>
              <w:ind w:left="174"/>
              <w:spacing w:before="31" w:line="216" w:lineRule="auto"/>
              <w:rPr/>
            </w:pPr>
            <w:r>
              <w:rPr>
                <w:spacing w:val="3"/>
              </w:rPr>
              <w:t>一级</w:t>
            </w:r>
          </w:p>
        </w:tc>
        <w:tc>
          <w:tcPr>
            <w:tcW w:w="674" w:type="dxa"/>
            <w:vAlign w:val="top"/>
          </w:tcPr>
          <w:p>
            <w:pPr>
              <w:pStyle w:val="TableText"/>
              <w:ind w:left="137"/>
              <w:spacing w:before="31" w:line="216" w:lineRule="auto"/>
              <w:rPr/>
            </w:pPr>
            <w:r>
              <w:rPr>
                <w:spacing w:val="3"/>
              </w:rPr>
              <w:t>二级</w:t>
            </w:r>
          </w:p>
        </w:tc>
        <w:tc>
          <w:tcPr>
            <w:tcW w:w="652" w:type="dxa"/>
            <w:vAlign w:val="top"/>
          </w:tcPr>
          <w:p>
            <w:pPr>
              <w:pStyle w:val="TableText"/>
              <w:ind w:left="127"/>
              <w:spacing w:before="31" w:line="216" w:lineRule="auto"/>
              <w:rPr/>
            </w:pPr>
            <w:r>
              <w:rPr>
                <w:spacing w:val="3"/>
              </w:rPr>
              <w:t>二级</w:t>
            </w:r>
          </w:p>
        </w:tc>
        <w:tc>
          <w:tcPr>
            <w:tcW w:w="652" w:type="dxa"/>
            <w:vAlign w:val="top"/>
          </w:tcPr>
          <w:p>
            <w:pPr>
              <w:pStyle w:val="TableText"/>
              <w:ind w:left="126"/>
              <w:spacing w:before="31" w:line="216" w:lineRule="auto"/>
              <w:rPr/>
            </w:pPr>
            <w:r>
              <w:rPr>
                <w:shd w:val="clear" w:fill="D9D9D9"/>
                <w:spacing w:val="3"/>
              </w:rPr>
              <w:t>二级</w:t>
            </w:r>
          </w:p>
        </w:tc>
        <w:tc>
          <w:tcPr>
            <w:tcW w:w="654" w:type="dxa"/>
            <w:vAlign w:val="top"/>
          </w:tcPr>
          <w:p>
            <w:pPr>
              <w:pStyle w:val="TableText"/>
              <w:ind w:left="123"/>
              <w:spacing w:before="31" w:line="216" w:lineRule="auto"/>
              <w:rPr/>
            </w:pPr>
            <w:r>
              <w:rPr>
                <w:spacing w:val="4"/>
              </w:rPr>
              <w:t>三级</w:t>
            </w:r>
          </w:p>
        </w:tc>
        <w:tc>
          <w:tcPr>
            <w:tcW w:w="655" w:type="dxa"/>
            <w:vAlign w:val="top"/>
          </w:tcPr>
          <w:p>
            <w:pPr>
              <w:pStyle w:val="TableText"/>
              <w:ind w:left="124"/>
              <w:spacing w:before="31" w:line="216" w:lineRule="auto"/>
              <w:rPr/>
            </w:pPr>
            <w:r>
              <w:rPr>
                <w:spacing w:val="4"/>
              </w:rPr>
              <w:t>三级</w:t>
            </w:r>
          </w:p>
        </w:tc>
        <w:tc>
          <w:tcPr>
            <w:tcW w:w="713" w:type="dxa"/>
            <w:vAlign w:val="top"/>
          </w:tcPr>
          <w:p>
            <w:pPr>
              <w:pStyle w:val="TableText"/>
              <w:ind w:left="151"/>
              <w:spacing w:before="31" w:line="216" w:lineRule="auto"/>
              <w:rPr/>
            </w:pPr>
            <w:r>
              <w:rPr>
                <w:spacing w:val="4"/>
              </w:rPr>
              <w:t>三级</w:t>
            </w:r>
          </w:p>
        </w:tc>
      </w:tr>
      <w:tr>
        <w:trPr>
          <w:trHeight w:val="276" w:hRule="atLeast"/>
        </w:trPr>
        <w:tc>
          <w:tcPr>
            <w:tcW w:w="1135" w:type="dxa"/>
            <w:vAlign w:val="top"/>
            <w:vMerge w:val="continue"/>
            <w:tcBorders>
              <w:top w:val="nil"/>
              <w:bottom w:val="nil"/>
            </w:tcBorders>
          </w:tcPr>
          <w:p>
            <w:pPr>
              <w:rPr>
                <w:rFonts w:ascii="Arial"/>
                <w:sz w:val="21"/>
              </w:rPr>
            </w:pPr>
            <w:r/>
          </w:p>
        </w:tc>
        <w:tc>
          <w:tcPr>
            <w:tcW w:w="1138" w:type="dxa"/>
            <w:vAlign w:val="top"/>
          </w:tcPr>
          <w:p>
            <w:pPr>
              <w:pStyle w:val="TableText"/>
              <w:ind w:left="258"/>
              <w:spacing w:before="34" w:line="214" w:lineRule="auto"/>
              <w:rPr/>
            </w:pPr>
            <w:r>
              <w:rPr>
                <w:spacing w:val="6"/>
              </w:rPr>
              <w:t>较敏感</w:t>
            </w:r>
          </w:p>
        </w:tc>
        <w:tc>
          <w:tcPr>
            <w:tcW w:w="748" w:type="dxa"/>
            <w:vAlign w:val="top"/>
          </w:tcPr>
          <w:p>
            <w:pPr>
              <w:pStyle w:val="TableText"/>
              <w:ind w:left="172"/>
              <w:spacing w:before="34" w:line="214" w:lineRule="auto"/>
              <w:rPr/>
            </w:pPr>
            <w:r>
              <w:rPr>
                <w:spacing w:val="3"/>
              </w:rPr>
              <w:t>一级</w:t>
            </w:r>
          </w:p>
        </w:tc>
        <w:tc>
          <w:tcPr>
            <w:tcW w:w="748" w:type="dxa"/>
            <w:vAlign w:val="top"/>
          </w:tcPr>
          <w:p>
            <w:pPr>
              <w:pStyle w:val="TableText"/>
              <w:ind w:left="173"/>
              <w:spacing w:before="34" w:line="214" w:lineRule="auto"/>
              <w:rPr/>
            </w:pPr>
            <w:r>
              <w:rPr>
                <w:spacing w:val="3"/>
              </w:rPr>
              <w:t>一级</w:t>
            </w:r>
          </w:p>
        </w:tc>
        <w:tc>
          <w:tcPr>
            <w:tcW w:w="750" w:type="dxa"/>
            <w:vAlign w:val="top"/>
          </w:tcPr>
          <w:p>
            <w:pPr>
              <w:pStyle w:val="TableText"/>
              <w:ind w:left="174"/>
              <w:spacing w:before="34" w:line="214" w:lineRule="auto"/>
              <w:rPr/>
            </w:pPr>
            <w:r>
              <w:rPr>
                <w:spacing w:val="3"/>
              </w:rPr>
              <w:t>二级</w:t>
            </w:r>
          </w:p>
        </w:tc>
        <w:tc>
          <w:tcPr>
            <w:tcW w:w="674" w:type="dxa"/>
            <w:vAlign w:val="top"/>
          </w:tcPr>
          <w:p>
            <w:pPr>
              <w:pStyle w:val="TableText"/>
              <w:ind w:left="137"/>
              <w:spacing w:before="34" w:line="214" w:lineRule="auto"/>
              <w:rPr/>
            </w:pPr>
            <w:r>
              <w:rPr>
                <w:spacing w:val="3"/>
              </w:rPr>
              <w:t>二级</w:t>
            </w:r>
          </w:p>
        </w:tc>
        <w:tc>
          <w:tcPr>
            <w:tcW w:w="652" w:type="dxa"/>
            <w:vAlign w:val="top"/>
          </w:tcPr>
          <w:p>
            <w:pPr>
              <w:pStyle w:val="TableText"/>
              <w:ind w:left="127"/>
              <w:spacing w:before="34" w:line="214" w:lineRule="auto"/>
              <w:rPr/>
            </w:pPr>
            <w:r>
              <w:rPr>
                <w:spacing w:val="3"/>
              </w:rPr>
              <w:t>二级</w:t>
            </w:r>
          </w:p>
        </w:tc>
        <w:tc>
          <w:tcPr>
            <w:tcW w:w="652" w:type="dxa"/>
            <w:vAlign w:val="top"/>
          </w:tcPr>
          <w:p>
            <w:pPr>
              <w:pStyle w:val="TableText"/>
              <w:ind w:left="122"/>
              <w:spacing w:before="34" w:line="214" w:lineRule="auto"/>
              <w:rPr/>
            </w:pPr>
            <w:r>
              <w:rPr>
                <w:spacing w:val="4"/>
              </w:rPr>
              <w:t>三级</w:t>
            </w:r>
          </w:p>
        </w:tc>
        <w:tc>
          <w:tcPr>
            <w:tcW w:w="654" w:type="dxa"/>
            <w:vAlign w:val="top"/>
          </w:tcPr>
          <w:p>
            <w:pPr>
              <w:pStyle w:val="TableText"/>
              <w:ind w:left="123"/>
              <w:spacing w:before="34" w:line="214" w:lineRule="auto"/>
              <w:rPr/>
            </w:pPr>
            <w:r>
              <w:rPr>
                <w:spacing w:val="4"/>
              </w:rPr>
              <w:t>三级</w:t>
            </w:r>
          </w:p>
        </w:tc>
        <w:tc>
          <w:tcPr>
            <w:tcW w:w="655" w:type="dxa"/>
            <w:vAlign w:val="top"/>
          </w:tcPr>
          <w:p>
            <w:pPr>
              <w:pStyle w:val="TableText"/>
              <w:ind w:left="124"/>
              <w:spacing w:before="34" w:line="214" w:lineRule="auto"/>
              <w:rPr/>
            </w:pPr>
            <w:r>
              <w:rPr>
                <w:spacing w:val="4"/>
              </w:rPr>
              <w:t>三级</w:t>
            </w:r>
          </w:p>
        </w:tc>
        <w:tc>
          <w:tcPr>
            <w:tcW w:w="713" w:type="dxa"/>
            <w:vAlign w:val="top"/>
          </w:tcPr>
          <w:p>
            <w:pPr>
              <w:ind w:left="247"/>
              <w:spacing w:before="159" w:line="9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2"/>
                <w:position w:val="-2"/>
              </w:rPr>
              <w:t>—</w:t>
            </w:r>
          </w:p>
        </w:tc>
      </w:tr>
      <w:tr>
        <w:trPr>
          <w:trHeight w:val="277" w:hRule="atLeast"/>
        </w:trPr>
        <w:tc>
          <w:tcPr>
            <w:tcW w:w="1135" w:type="dxa"/>
            <w:vAlign w:val="top"/>
            <w:vMerge w:val="continue"/>
            <w:tcBorders>
              <w:top w:val="nil"/>
            </w:tcBorders>
          </w:tcPr>
          <w:p>
            <w:pPr>
              <w:rPr>
                <w:rFonts w:ascii="Arial"/>
                <w:sz w:val="21"/>
              </w:rPr>
            </w:pPr>
            <w:r/>
          </w:p>
        </w:tc>
        <w:tc>
          <w:tcPr>
            <w:tcW w:w="1138" w:type="dxa"/>
            <w:vAlign w:val="top"/>
          </w:tcPr>
          <w:p>
            <w:pPr>
              <w:pStyle w:val="TableText"/>
              <w:ind w:left="261"/>
              <w:spacing w:before="36" w:line="213" w:lineRule="auto"/>
              <w:rPr/>
            </w:pPr>
            <w:r>
              <w:rPr>
                <w:spacing w:val="5"/>
              </w:rPr>
              <w:t>不敏感</w:t>
            </w:r>
          </w:p>
        </w:tc>
        <w:tc>
          <w:tcPr>
            <w:tcW w:w="748" w:type="dxa"/>
            <w:vAlign w:val="top"/>
          </w:tcPr>
          <w:p>
            <w:pPr>
              <w:pStyle w:val="TableText"/>
              <w:ind w:left="172"/>
              <w:spacing w:before="36" w:line="213" w:lineRule="auto"/>
              <w:rPr/>
            </w:pPr>
            <w:r>
              <w:rPr>
                <w:spacing w:val="3"/>
              </w:rPr>
              <w:t>一级</w:t>
            </w:r>
          </w:p>
        </w:tc>
        <w:tc>
          <w:tcPr>
            <w:tcW w:w="748" w:type="dxa"/>
            <w:vAlign w:val="top"/>
          </w:tcPr>
          <w:p>
            <w:pPr>
              <w:pStyle w:val="TableText"/>
              <w:ind w:left="173"/>
              <w:spacing w:before="36" w:line="213" w:lineRule="auto"/>
              <w:rPr/>
            </w:pPr>
            <w:r>
              <w:rPr>
                <w:spacing w:val="3"/>
              </w:rPr>
              <w:t>二级</w:t>
            </w:r>
          </w:p>
        </w:tc>
        <w:tc>
          <w:tcPr>
            <w:tcW w:w="750" w:type="dxa"/>
            <w:vAlign w:val="top"/>
          </w:tcPr>
          <w:p>
            <w:pPr>
              <w:pStyle w:val="TableText"/>
              <w:ind w:left="174"/>
              <w:spacing w:before="36" w:line="213" w:lineRule="auto"/>
              <w:rPr/>
            </w:pPr>
            <w:r>
              <w:rPr>
                <w:spacing w:val="3"/>
              </w:rPr>
              <w:t>二级</w:t>
            </w:r>
          </w:p>
        </w:tc>
        <w:tc>
          <w:tcPr>
            <w:tcW w:w="674" w:type="dxa"/>
            <w:vAlign w:val="top"/>
          </w:tcPr>
          <w:p>
            <w:pPr>
              <w:pStyle w:val="TableText"/>
              <w:ind w:left="137"/>
              <w:spacing w:before="36" w:line="213" w:lineRule="auto"/>
              <w:rPr/>
            </w:pPr>
            <w:r>
              <w:rPr>
                <w:spacing w:val="3"/>
              </w:rPr>
              <w:t>二级</w:t>
            </w:r>
          </w:p>
        </w:tc>
        <w:tc>
          <w:tcPr>
            <w:tcW w:w="652" w:type="dxa"/>
            <w:vAlign w:val="top"/>
          </w:tcPr>
          <w:p>
            <w:pPr>
              <w:pStyle w:val="TableText"/>
              <w:ind w:left="124"/>
              <w:spacing w:before="36" w:line="213" w:lineRule="auto"/>
              <w:rPr/>
            </w:pPr>
            <w:r>
              <w:rPr>
                <w:spacing w:val="4"/>
              </w:rPr>
              <w:t>三级</w:t>
            </w:r>
          </w:p>
        </w:tc>
        <w:tc>
          <w:tcPr>
            <w:tcW w:w="652" w:type="dxa"/>
            <w:vAlign w:val="top"/>
          </w:tcPr>
          <w:p>
            <w:pPr>
              <w:pStyle w:val="TableText"/>
              <w:ind w:left="122"/>
              <w:spacing w:before="36" w:line="213" w:lineRule="auto"/>
              <w:rPr/>
            </w:pPr>
            <w:r>
              <w:rPr>
                <w:spacing w:val="4"/>
              </w:rPr>
              <w:t>三级</w:t>
            </w:r>
          </w:p>
        </w:tc>
        <w:tc>
          <w:tcPr>
            <w:tcW w:w="654" w:type="dxa"/>
            <w:vAlign w:val="top"/>
          </w:tcPr>
          <w:p>
            <w:pPr>
              <w:pStyle w:val="TableText"/>
              <w:ind w:left="123"/>
              <w:spacing w:before="36" w:line="213" w:lineRule="auto"/>
              <w:rPr/>
            </w:pPr>
            <w:r>
              <w:rPr>
                <w:spacing w:val="4"/>
              </w:rPr>
              <w:t>三级</w:t>
            </w:r>
          </w:p>
        </w:tc>
        <w:tc>
          <w:tcPr>
            <w:tcW w:w="655" w:type="dxa"/>
            <w:vAlign w:val="top"/>
          </w:tcPr>
          <w:p>
            <w:pPr>
              <w:ind w:left="220"/>
              <w:spacing w:before="161"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2"/>
                <w:position w:val="-2"/>
              </w:rPr>
              <w:t>—</w:t>
            </w:r>
          </w:p>
        </w:tc>
        <w:tc>
          <w:tcPr>
            <w:tcW w:w="713" w:type="dxa"/>
            <w:vAlign w:val="top"/>
          </w:tcPr>
          <w:p>
            <w:pPr>
              <w:ind w:left="247"/>
              <w:spacing w:before="161"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2"/>
                <w:position w:val="-2"/>
              </w:rPr>
              <w:t>—</w:t>
            </w:r>
          </w:p>
        </w:tc>
      </w:tr>
      <w:tr>
        <w:trPr>
          <w:trHeight w:val="281" w:hRule="atLeast"/>
        </w:trPr>
        <w:tc>
          <w:tcPr>
            <w:tcW w:w="8519" w:type="dxa"/>
            <w:vAlign w:val="top"/>
            <w:gridSpan w:val="11"/>
          </w:tcPr>
          <w:p>
            <w:pPr>
              <w:pStyle w:val="TableText"/>
              <w:ind w:left="13"/>
              <w:spacing w:before="34" w:line="218" w:lineRule="auto"/>
              <w:rPr/>
            </w:pPr>
            <w:r>
              <w:rPr>
                <w:spacing w:val="8"/>
              </w:rPr>
              <w:t>注：</w:t>
            </w:r>
            <w:r>
              <w:rPr>
                <w:rFonts w:ascii="Times New Roman" w:hAnsi="Times New Roman" w:eastAsia="Times New Roman" w:cs="Times New Roman"/>
                <w:spacing w:val="8"/>
              </w:rPr>
              <w:t>“—”</w:t>
            </w:r>
            <w:r>
              <w:rPr>
                <w:spacing w:val="8"/>
              </w:rPr>
              <w:t>表示可不开展土壤环境影响评价工作。</w:t>
            </w:r>
          </w:p>
        </w:tc>
      </w:tr>
    </w:tbl>
    <w:p>
      <w:pPr>
        <w:ind w:left="46" w:right="26" w:firstLine="464"/>
        <w:spacing w:before="36" w:line="359" w:lineRule="auto"/>
        <w:rPr>
          <w:rFonts w:ascii="SimSun" w:hAnsi="SimSun" w:eastAsia="SimSun" w:cs="SimSun"/>
          <w:sz w:val="24"/>
          <w:szCs w:val="24"/>
        </w:rPr>
      </w:pPr>
      <w:r>
        <w:rPr>
          <w:rFonts w:ascii="SimSun" w:hAnsi="SimSun" w:eastAsia="SimSun" w:cs="SimSun"/>
          <w:sz w:val="24"/>
          <w:szCs w:val="24"/>
          <w:spacing w:val="-5"/>
        </w:rPr>
        <w:t>综上，本项目类别为</w:t>
      </w:r>
      <w:r>
        <w:rPr>
          <w:rFonts w:ascii="Times New Roman" w:hAnsi="Times New Roman" w:eastAsia="Times New Roman" w:cs="Times New Roman"/>
          <w:sz w:val="24"/>
          <w:szCs w:val="24"/>
          <w:spacing w:val="-5"/>
        </w:rPr>
        <w:t>Ⅱ</w:t>
      </w:r>
      <w:r>
        <w:rPr>
          <w:rFonts w:ascii="SimSun" w:hAnsi="SimSun" w:eastAsia="SimSun" w:cs="SimSun"/>
          <w:sz w:val="24"/>
          <w:szCs w:val="24"/>
          <w:spacing w:val="-5"/>
        </w:rPr>
        <w:t>类，</w:t>
      </w:r>
      <w:r>
        <w:rPr>
          <w:rFonts w:ascii="SimSun" w:hAnsi="SimSun" w:eastAsia="SimSun" w:cs="SimSun"/>
          <w:sz w:val="24"/>
          <w:szCs w:val="24"/>
          <w:spacing w:val="-56"/>
        </w:rPr>
        <w:t xml:space="preserve"> </w:t>
      </w:r>
      <w:r>
        <w:rPr>
          <w:rFonts w:ascii="SimSun" w:hAnsi="SimSun" w:eastAsia="SimSun" w:cs="SimSun"/>
          <w:sz w:val="24"/>
          <w:szCs w:val="24"/>
          <w:spacing w:val="-5"/>
        </w:rPr>
        <w:t>占地规模为小型，土壤环境敏感程度属“敏感</w:t>
      </w:r>
      <w:r>
        <w:rPr>
          <w:rFonts w:ascii="SimSun" w:hAnsi="SimSun" w:eastAsia="SimSun" w:cs="SimSun"/>
          <w:sz w:val="24"/>
          <w:szCs w:val="24"/>
          <w:spacing w:val="-88"/>
        </w:rPr>
        <w:t xml:space="preserve"> </w:t>
      </w:r>
      <w:r>
        <w:rPr>
          <w:rFonts w:ascii="SimSun" w:hAnsi="SimSun" w:eastAsia="SimSun" w:cs="SimSun"/>
          <w:sz w:val="24"/>
          <w:szCs w:val="24"/>
          <w:spacing w:val="-5"/>
        </w:rPr>
        <w:t>”，</w:t>
      </w:r>
      <w:r>
        <w:rPr>
          <w:rFonts w:ascii="SimSun" w:hAnsi="SimSun" w:eastAsia="SimSun" w:cs="SimSun"/>
          <w:sz w:val="24"/>
          <w:szCs w:val="24"/>
        </w:rPr>
        <w:t xml:space="preserve"> </w:t>
      </w:r>
      <w:r>
        <w:rPr>
          <w:rFonts w:ascii="SimSun" w:hAnsi="SimSun" w:eastAsia="SimSun" w:cs="SimSun"/>
          <w:sz w:val="24"/>
          <w:szCs w:val="24"/>
          <w:spacing w:val="-2"/>
        </w:rPr>
        <w:t>因此，土壤环境影响评价工作级别为二级。</w:t>
      </w:r>
    </w:p>
    <w:p>
      <w:pPr>
        <w:ind w:left="519"/>
        <w:spacing w:before="1" w:line="217"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5</w:t>
      </w:r>
      <w:r>
        <w:rPr>
          <w:rFonts w:ascii="SimSun" w:hAnsi="SimSun" w:eastAsia="SimSun" w:cs="SimSun"/>
          <w:sz w:val="24"/>
          <w:szCs w:val="24"/>
          <w:spacing w:val="-3"/>
        </w:rPr>
        <w:t>）评价范围确定</w:t>
      </w:r>
    </w:p>
    <w:p>
      <w:pPr>
        <w:ind w:left="506"/>
        <w:spacing w:before="182" w:line="218" w:lineRule="auto"/>
        <w:rPr>
          <w:rFonts w:ascii="SimSun" w:hAnsi="SimSun" w:eastAsia="SimSun" w:cs="SimSun"/>
          <w:sz w:val="24"/>
          <w:szCs w:val="24"/>
        </w:rPr>
      </w:pPr>
      <w:r>
        <w:rPr>
          <w:rFonts w:ascii="SimSun" w:hAnsi="SimSun" w:eastAsia="SimSun" w:cs="SimSun"/>
          <w:sz w:val="24"/>
          <w:szCs w:val="24"/>
          <w:spacing w:val="-1"/>
        </w:rPr>
        <w:t>评价范围根据导则中现状调查范围表确定，详见表</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2.4-9</w:t>
      </w:r>
      <w:r>
        <w:rPr>
          <w:rFonts w:ascii="SimSun" w:hAnsi="SimSun" w:eastAsia="SimSun" w:cs="SimSun"/>
          <w:sz w:val="24"/>
          <w:szCs w:val="24"/>
          <w:spacing w:val="-1"/>
        </w:rPr>
        <w:t>。</w:t>
      </w:r>
    </w:p>
    <w:p>
      <w:pPr>
        <w:ind w:left="2973"/>
        <w:spacing w:before="185"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2"/>
        </w:rPr>
        <w:t>2.4-9      </w:t>
      </w:r>
      <w:r>
        <w:rPr>
          <w:rFonts w:ascii="SimSun" w:hAnsi="SimSun" w:eastAsia="SimSun" w:cs="SimSun"/>
          <w:sz w:val="24"/>
          <w:szCs w:val="24"/>
          <w:b/>
          <w:bCs/>
          <w:spacing w:val="-2"/>
        </w:rPr>
        <w:t>现状调查范围</w:t>
      </w:r>
    </w:p>
    <w:tbl>
      <w:tblPr>
        <w:tblStyle w:val="TableNormal"/>
        <w:tblW w:w="853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185"/>
        <w:gridCol w:w="1797"/>
        <w:gridCol w:w="2323"/>
        <w:gridCol w:w="2229"/>
      </w:tblGrid>
      <w:tr>
        <w:trPr>
          <w:trHeight w:val="281" w:hRule="atLeast"/>
        </w:trPr>
        <w:tc>
          <w:tcPr>
            <w:tcW w:w="2185" w:type="dxa"/>
            <w:vAlign w:val="top"/>
            <w:vMerge w:val="restart"/>
            <w:tcBorders>
              <w:bottom w:val="nil"/>
            </w:tcBorders>
          </w:tcPr>
          <w:p>
            <w:pPr>
              <w:pStyle w:val="TableText"/>
              <w:ind w:left="467"/>
              <w:spacing w:before="175" w:line="226" w:lineRule="auto"/>
              <w:rPr/>
            </w:pPr>
            <w:r>
              <w:rPr>
                <w:spacing w:val="8"/>
              </w:rPr>
              <w:t>评价工作等级</w:t>
            </w:r>
          </w:p>
        </w:tc>
        <w:tc>
          <w:tcPr>
            <w:tcW w:w="1797" w:type="dxa"/>
            <w:vAlign w:val="top"/>
            <w:vMerge w:val="restart"/>
            <w:tcBorders>
              <w:bottom w:val="nil"/>
            </w:tcBorders>
          </w:tcPr>
          <w:p>
            <w:pPr>
              <w:pStyle w:val="TableText"/>
              <w:ind w:left="483"/>
              <w:spacing w:before="174" w:line="228" w:lineRule="auto"/>
              <w:rPr/>
            </w:pPr>
            <w:r>
              <w:rPr>
                <w:spacing w:val="7"/>
              </w:rPr>
              <w:t>影响类型</w:t>
            </w:r>
          </w:p>
        </w:tc>
        <w:tc>
          <w:tcPr>
            <w:tcW w:w="4552" w:type="dxa"/>
            <w:vAlign w:val="top"/>
            <w:gridSpan w:val="2"/>
          </w:tcPr>
          <w:p>
            <w:pPr>
              <w:pStyle w:val="TableText"/>
              <w:ind w:left="1806"/>
              <w:spacing w:before="35" w:line="217" w:lineRule="auto"/>
              <w:rPr>
                <w:rFonts w:ascii="Times New Roman" w:hAnsi="Times New Roman" w:eastAsia="Times New Roman" w:cs="Times New Roman"/>
                <w:sz w:val="13"/>
                <w:szCs w:val="13"/>
              </w:rPr>
            </w:pPr>
            <w:r>
              <w:rPr>
                <w:spacing w:val="5"/>
              </w:rPr>
              <w:t>调查范围</w:t>
            </w:r>
            <w:r>
              <w:rPr>
                <w:spacing w:val="-41"/>
              </w:rPr>
              <w:t xml:space="preserve"> </w:t>
            </w:r>
            <w:r>
              <w:rPr>
                <w:rFonts w:ascii="Times New Roman" w:hAnsi="Times New Roman" w:eastAsia="Times New Roman" w:cs="Times New Roman"/>
                <w:sz w:val="13"/>
                <w:szCs w:val="13"/>
                <w:spacing w:val="5"/>
                <w:position w:val="6"/>
              </w:rPr>
              <w:t>a</w:t>
            </w:r>
          </w:p>
        </w:tc>
      </w:tr>
      <w:tr>
        <w:trPr>
          <w:trHeight w:val="276" w:hRule="atLeast"/>
        </w:trPr>
        <w:tc>
          <w:tcPr>
            <w:tcW w:w="2185" w:type="dxa"/>
            <w:vAlign w:val="top"/>
            <w:vMerge w:val="continue"/>
            <w:tcBorders>
              <w:top w:val="nil"/>
            </w:tcBorders>
          </w:tcPr>
          <w:p>
            <w:pPr>
              <w:rPr>
                <w:rFonts w:ascii="Arial"/>
                <w:sz w:val="21"/>
              </w:rPr>
            </w:pPr>
            <w:r/>
          </w:p>
        </w:tc>
        <w:tc>
          <w:tcPr>
            <w:tcW w:w="1797" w:type="dxa"/>
            <w:vAlign w:val="top"/>
            <w:vMerge w:val="continue"/>
            <w:tcBorders>
              <w:top w:val="nil"/>
            </w:tcBorders>
          </w:tcPr>
          <w:p>
            <w:pPr>
              <w:rPr>
                <w:rFonts w:ascii="Arial"/>
                <w:sz w:val="21"/>
              </w:rPr>
            </w:pPr>
            <w:r/>
          </w:p>
        </w:tc>
        <w:tc>
          <w:tcPr>
            <w:tcW w:w="2323" w:type="dxa"/>
            <w:vAlign w:val="top"/>
          </w:tcPr>
          <w:p>
            <w:pPr>
              <w:pStyle w:val="TableText"/>
              <w:ind w:left="600"/>
              <w:spacing w:before="33" w:line="215" w:lineRule="auto"/>
              <w:rPr/>
            </w:pPr>
            <w:r>
              <w:rPr>
                <w:spacing w:val="-1"/>
              </w:rPr>
              <w:t>占地</w:t>
            </w:r>
            <w:r>
              <w:rPr>
                <w:spacing w:val="-48"/>
              </w:rPr>
              <w:t xml:space="preserve"> </w:t>
            </w:r>
            <w:r>
              <w:rPr>
                <w:rFonts w:ascii="Times New Roman" w:hAnsi="Times New Roman" w:eastAsia="Times New Roman" w:cs="Times New Roman"/>
                <w:sz w:val="13"/>
                <w:szCs w:val="13"/>
                <w:spacing w:val="-1"/>
                <w:position w:val="6"/>
              </w:rPr>
              <w:t>b</w:t>
            </w:r>
            <w:r>
              <w:rPr>
                <w:rFonts w:ascii="Times New Roman" w:hAnsi="Times New Roman" w:eastAsia="Times New Roman" w:cs="Times New Roman"/>
                <w:sz w:val="13"/>
                <w:szCs w:val="13"/>
                <w:spacing w:val="15"/>
                <w:w w:val="102"/>
                <w:position w:val="6"/>
              </w:rPr>
              <w:t xml:space="preserve"> </w:t>
            </w:r>
            <w:r>
              <w:rPr>
                <w:spacing w:val="-1"/>
              </w:rPr>
              <w:t>范围内</w:t>
            </w:r>
          </w:p>
        </w:tc>
        <w:tc>
          <w:tcPr>
            <w:tcW w:w="2229" w:type="dxa"/>
            <w:vAlign w:val="top"/>
          </w:tcPr>
          <w:p>
            <w:pPr>
              <w:pStyle w:val="TableText"/>
              <w:ind w:left="629"/>
              <w:spacing w:before="33" w:line="215" w:lineRule="auto"/>
              <w:rPr/>
            </w:pPr>
            <w:r>
              <w:rPr>
                <w:spacing w:val="1"/>
              </w:rPr>
              <w:t>占地范围外</w:t>
            </w:r>
          </w:p>
        </w:tc>
      </w:tr>
      <w:tr>
        <w:trPr>
          <w:trHeight w:val="277" w:hRule="atLeast"/>
        </w:trPr>
        <w:tc>
          <w:tcPr>
            <w:tcW w:w="2185" w:type="dxa"/>
            <w:vAlign w:val="top"/>
          </w:tcPr>
          <w:p>
            <w:pPr>
              <w:pStyle w:val="TableText"/>
              <w:ind w:left="891"/>
              <w:spacing w:before="33" w:line="216" w:lineRule="auto"/>
              <w:rPr/>
            </w:pPr>
            <w:r>
              <w:rPr>
                <w:spacing w:val="3"/>
              </w:rPr>
              <w:t>一级</w:t>
            </w:r>
          </w:p>
        </w:tc>
        <w:tc>
          <w:tcPr>
            <w:tcW w:w="1797" w:type="dxa"/>
            <w:vAlign w:val="top"/>
            <w:vMerge w:val="restart"/>
            <w:tcBorders>
              <w:bottom w:val="nil"/>
            </w:tcBorders>
          </w:tcPr>
          <w:p>
            <w:pPr>
              <w:spacing w:line="250" w:lineRule="auto"/>
              <w:rPr>
                <w:rFonts w:ascii="Arial"/>
                <w:sz w:val="21"/>
              </w:rPr>
            </w:pPr>
            <w:r/>
          </w:p>
          <w:p>
            <w:pPr>
              <w:pStyle w:val="TableText"/>
              <w:ind w:left="379"/>
              <w:spacing w:before="65" w:line="228" w:lineRule="auto"/>
              <w:rPr/>
            </w:pPr>
            <w:r>
              <w:rPr>
                <w:spacing w:val="7"/>
              </w:rPr>
              <w:t>污染影响型</w:t>
            </w:r>
          </w:p>
        </w:tc>
        <w:tc>
          <w:tcPr>
            <w:tcW w:w="2323" w:type="dxa"/>
            <w:vAlign w:val="top"/>
            <w:vMerge w:val="restart"/>
            <w:tcBorders>
              <w:bottom w:val="nil"/>
            </w:tcBorders>
          </w:tcPr>
          <w:p>
            <w:pPr>
              <w:spacing w:line="249" w:lineRule="auto"/>
              <w:rPr>
                <w:rFonts w:ascii="Arial"/>
                <w:sz w:val="21"/>
              </w:rPr>
            </w:pPr>
            <w:r/>
          </w:p>
          <w:p>
            <w:pPr>
              <w:pStyle w:val="TableText"/>
              <w:ind w:left="957"/>
              <w:spacing w:before="65" w:line="228" w:lineRule="auto"/>
              <w:rPr/>
            </w:pPr>
            <w:r>
              <w:rPr>
                <w:spacing w:val="4"/>
              </w:rPr>
              <w:t>全部</w:t>
            </w:r>
          </w:p>
        </w:tc>
        <w:tc>
          <w:tcPr>
            <w:tcW w:w="2229" w:type="dxa"/>
            <w:vAlign w:val="top"/>
          </w:tcPr>
          <w:p>
            <w:pPr>
              <w:pStyle w:val="TableText"/>
              <w:ind w:left="608"/>
              <w:spacing w:before="33" w:line="216" w:lineRule="auto"/>
              <w:rPr/>
            </w:pPr>
            <w:r>
              <w:rPr>
                <w:rFonts w:ascii="Times New Roman" w:hAnsi="Times New Roman" w:eastAsia="Times New Roman" w:cs="Times New Roman"/>
                <w:spacing w:val="1"/>
              </w:rPr>
              <w:t>1</w:t>
            </w:r>
            <w:r>
              <w:rPr>
                <w:rFonts w:ascii="Times New Roman" w:hAnsi="Times New Roman" w:eastAsia="Times New Roman" w:cs="Times New Roman"/>
              </w:rPr>
              <w:t>km</w:t>
            </w:r>
            <w:r>
              <w:rPr>
                <w:rFonts w:ascii="Times New Roman" w:hAnsi="Times New Roman" w:eastAsia="Times New Roman" w:cs="Times New Roman"/>
                <w:spacing w:val="18"/>
                <w:w w:val="101"/>
              </w:rPr>
              <w:t xml:space="preserve"> </w:t>
            </w:r>
            <w:r>
              <w:rPr>
                <w:spacing w:val="1"/>
              </w:rPr>
              <w:t>范围内</w:t>
            </w:r>
          </w:p>
        </w:tc>
      </w:tr>
      <w:tr>
        <w:trPr>
          <w:trHeight w:val="276" w:hRule="atLeast"/>
        </w:trPr>
        <w:tc>
          <w:tcPr>
            <w:tcW w:w="2185" w:type="dxa"/>
            <w:vAlign w:val="top"/>
          </w:tcPr>
          <w:p>
            <w:pPr>
              <w:pStyle w:val="TableText"/>
              <w:ind w:left="891"/>
              <w:spacing w:before="34" w:line="214" w:lineRule="auto"/>
              <w:rPr/>
            </w:pPr>
            <w:r>
              <w:rPr>
                <w:spacing w:val="3"/>
              </w:rPr>
              <w:t>二级</w:t>
            </w:r>
          </w:p>
        </w:tc>
        <w:tc>
          <w:tcPr>
            <w:tcW w:w="1797" w:type="dxa"/>
            <w:vAlign w:val="top"/>
            <w:vMerge w:val="continue"/>
            <w:tcBorders>
              <w:top w:val="nil"/>
              <w:bottom w:val="nil"/>
            </w:tcBorders>
          </w:tcPr>
          <w:p>
            <w:pPr>
              <w:rPr>
                <w:rFonts w:ascii="Arial"/>
                <w:sz w:val="21"/>
              </w:rPr>
            </w:pPr>
            <w:r/>
          </w:p>
        </w:tc>
        <w:tc>
          <w:tcPr>
            <w:tcW w:w="2323" w:type="dxa"/>
            <w:vAlign w:val="top"/>
            <w:vMerge w:val="continue"/>
            <w:tcBorders>
              <w:top w:val="nil"/>
              <w:bottom w:val="nil"/>
            </w:tcBorders>
          </w:tcPr>
          <w:p>
            <w:pPr>
              <w:rPr>
                <w:rFonts w:ascii="Arial"/>
                <w:sz w:val="21"/>
              </w:rPr>
            </w:pPr>
            <w:r/>
          </w:p>
        </w:tc>
        <w:tc>
          <w:tcPr>
            <w:tcW w:w="2229" w:type="dxa"/>
            <w:vAlign w:val="top"/>
          </w:tcPr>
          <w:p>
            <w:pPr>
              <w:pStyle w:val="TableText"/>
              <w:ind w:left="512"/>
              <w:spacing w:before="34" w:line="214" w:lineRule="auto"/>
              <w:rPr/>
            </w:pPr>
            <w:r>
              <w:rPr>
                <w:rFonts w:ascii="Times New Roman" w:hAnsi="Times New Roman" w:eastAsia="Times New Roman" w:cs="Times New Roman"/>
                <w:spacing w:val="5"/>
              </w:rPr>
              <w:t>0.2</w:t>
            </w:r>
            <w:r>
              <w:rPr>
                <w:rFonts w:ascii="Times New Roman" w:hAnsi="Times New Roman" w:eastAsia="Times New Roman" w:cs="Times New Roman"/>
              </w:rPr>
              <w:t>km</w:t>
            </w:r>
            <w:r>
              <w:rPr>
                <w:rFonts w:ascii="Times New Roman" w:hAnsi="Times New Roman" w:eastAsia="Times New Roman" w:cs="Times New Roman"/>
                <w:spacing w:val="18"/>
              </w:rPr>
              <w:t xml:space="preserve"> </w:t>
            </w:r>
            <w:r>
              <w:rPr>
                <w:spacing w:val="5"/>
              </w:rPr>
              <w:t>范围内</w:t>
            </w:r>
          </w:p>
        </w:tc>
      </w:tr>
      <w:tr>
        <w:trPr>
          <w:trHeight w:val="276" w:hRule="atLeast"/>
        </w:trPr>
        <w:tc>
          <w:tcPr>
            <w:tcW w:w="2185" w:type="dxa"/>
            <w:vAlign w:val="top"/>
          </w:tcPr>
          <w:p>
            <w:pPr>
              <w:pStyle w:val="TableText"/>
              <w:ind w:left="887"/>
              <w:spacing w:before="36" w:line="212" w:lineRule="auto"/>
              <w:rPr/>
            </w:pPr>
            <w:r>
              <w:rPr>
                <w:spacing w:val="4"/>
              </w:rPr>
              <w:t>三级</w:t>
            </w:r>
          </w:p>
        </w:tc>
        <w:tc>
          <w:tcPr>
            <w:tcW w:w="1797" w:type="dxa"/>
            <w:vAlign w:val="top"/>
            <w:vMerge w:val="continue"/>
            <w:tcBorders>
              <w:top w:val="nil"/>
            </w:tcBorders>
          </w:tcPr>
          <w:p>
            <w:pPr>
              <w:rPr>
                <w:rFonts w:ascii="Arial"/>
                <w:sz w:val="21"/>
              </w:rPr>
            </w:pPr>
            <w:r/>
          </w:p>
        </w:tc>
        <w:tc>
          <w:tcPr>
            <w:tcW w:w="2323" w:type="dxa"/>
            <w:vAlign w:val="top"/>
            <w:vMerge w:val="continue"/>
            <w:tcBorders>
              <w:top w:val="nil"/>
            </w:tcBorders>
          </w:tcPr>
          <w:p>
            <w:pPr>
              <w:rPr>
                <w:rFonts w:ascii="Arial"/>
                <w:sz w:val="21"/>
              </w:rPr>
            </w:pPr>
            <w:r/>
          </w:p>
        </w:tc>
        <w:tc>
          <w:tcPr>
            <w:tcW w:w="2229" w:type="dxa"/>
            <w:vAlign w:val="top"/>
          </w:tcPr>
          <w:p>
            <w:pPr>
              <w:pStyle w:val="TableText"/>
              <w:ind w:left="459"/>
              <w:spacing w:before="36" w:line="212" w:lineRule="auto"/>
              <w:rPr/>
            </w:pPr>
            <w:r>
              <w:rPr>
                <w:rFonts w:ascii="Times New Roman" w:hAnsi="Times New Roman" w:eastAsia="Times New Roman" w:cs="Times New Roman"/>
                <w:spacing w:val="5"/>
              </w:rPr>
              <w:t>0.05</w:t>
            </w:r>
            <w:r>
              <w:rPr>
                <w:rFonts w:ascii="Times New Roman" w:hAnsi="Times New Roman" w:eastAsia="Times New Roman" w:cs="Times New Roman"/>
              </w:rPr>
              <w:t>km</w:t>
            </w:r>
            <w:r>
              <w:rPr>
                <w:rFonts w:ascii="Times New Roman" w:hAnsi="Times New Roman" w:eastAsia="Times New Roman" w:cs="Times New Roman"/>
                <w:spacing w:val="18"/>
                <w:w w:val="101"/>
              </w:rPr>
              <w:t xml:space="preserve"> </w:t>
            </w:r>
            <w:r>
              <w:rPr>
                <w:spacing w:val="5"/>
              </w:rPr>
              <w:t>范围内</w:t>
            </w:r>
          </w:p>
        </w:tc>
      </w:tr>
      <w:tr>
        <w:trPr>
          <w:trHeight w:val="554" w:hRule="atLeast"/>
        </w:trPr>
        <w:tc>
          <w:tcPr>
            <w:tcW w:w="8534" w:type="dxa"/>
            <w:vAlign w:val="top"/>
            <w:gridSpan w:val="4"/>
          </w:tcPr>
          <w:p>
            <w:pPr>
              <w:pStyle w:val="TableText"/>
              <w:ind w:left="8"/>
              <w:spacing w:before="35" w:line="228" w:lineRule="auto"/>
              <w:rPr/>
            </w:pPr>
            <w:r>
              <w:rPr>
                <w:rFonts w:ascii="Times New Roman" w:hAnsi="Times New Roman" w:eastAsia="Times New Roman" w:cs="Times New Roman"/>
                <w:sz w:val="13"/>
                <w:szCs w:val="13"/>
                <w:spacing w:val="9"/>
              </w:rPr>
              <w:t>a</w:t>
            </w:r>
            <w:r>
              <w:rPr>
                <w:rFonts w:ascii="Times New Roman" w:hAnsi="Times New Roman" w:eastAsia="Times New Roman" w:cs="Times New Roman"/>
                <w:sz w:val="13"/>
                <w:szCs w:val="13"/>
                <w:spacing w:val="13"/>
                <w:w w:val="101"/>
              </w:rPr>
              <w:t xml:space="preserve"> </w:t>
            </w:r>
            <w:r>
              <w:rPr>
                <w:spacing w:val="9"/>
              </w:rPr>
              <w:t>涉及大气沉降途径影响的，可根据主导风向下风向的最大落地浓度适当调</w:t>
            </w:r>
            <w:r>
              <w:rPr>
                <w:spacing w:val="8"/>
              </w:rPr>
              <w:t>整。</w:t>
            </w:r>
          </w:p>
          <w:p>
            <w:pPr>
              <w:pStyle w:val="TableText"/>
              <w:ind w:left="3"/>
              <w:spacing w:before="24" w:line="218" w:lineRule="auto"/>
              <w:rPr/>
            </w:pPr>
            <w:r>
              <w:rPr>
                <w:rFonts w:ascii="Times New Roman" w:hAnsi="Times New Roman" w:eastAsia="Times New Roman" w:cs="Times New Roman"/>
                <w:sz w:val="13"/>
                <w:szCs w:val="13"/>
                <w:spacing w:val="9"/>
                <w:position w:val="6"/>
              </w:rPr>
              <w:t>b </w:t>
            </w:r>
            <w:r>
              <w:rPr>
                <w:spacing w:val="9"/>
              </w:rPr>
              <w:t>矿山类项目指开采区与各场地的占地：改扩建类的指现有工程与拟建工程的占地。</w:t>
            </w:r>
          </w:p>
        </w:tc>
      </w:tr>
    </w:tbl>
    <w:p>
      <w:pPr>
        <w:ind w:left="508"/>
        <w:spacing w:before="35" w:line="218" w:lineRule="auto"/>
        <w:rPr>
          <w:rFonts w:ascii="SimSun" w:hAnsi="SimSun" w:eastAsia="SimSun" w:cs="SimSun"/>
          <w:sz w:val="24"/>
          <w:szCs w:val="24"/>
        </w:rPr>
      </w:pPr>
      <w:r>
        <w:rPr>
          <w:rFonts w:ascii="SimSun" w:hAnsi="SimSun" w:eastAsia="SimSun" w:cs="SimSun"/>
          <w:sz w:val="24"/>
          <w:szCs w:val="24"/>
        </w:rPr>
        <w:t>本项目土壤环境评价等级为二级，评价范围为</w:t>
      </w:r>
      <w:r>
        <w:rPr>
          <w:rFonts w:ascii="SimSun" w:hAnsi="SimSun" w:eastAsia="SimSun" w:cs="SimSun"/>
          <w:sz w:val="24"/>
          <w:szCs w:val="24"/>
          <w:spacing w:val="-1"/>
        </w:rPr>
        <w:t>厂界向外延伸</w:t>
      </w:r>
      <w:r>
        <w:rPr>
          <w:rFonts w:ascii="Times New Roman" w:hAnsi="Times New Roman" w:eastAsia="Times New Roman" w:cs="Times New Roman"/>
          <w:sz w:val="24"/>
          <w:szCs w:val="24"/>
          <w:spacing w:val="-1"/>
        </w:rPr>
        <w:t>0.2km</w:t>
      </w:r>
      <w:r>
        <w:rPr>
          <w:rFonts w:ascii="SimSun" w:hAnsi="SimSun" w:eastAsia="SimSun" w:cs="SimSun"/>
          <w:sz w:val="24"/>
          <w:szCs w:val="24"/>
          <w:spacing w:val="-1"/>
        </w:rPr>
        <w:t>范围。</w:t>
      </w:r>
    </w:p>
    <w:p>
      <w:pPr>
        <w:pStyle w:val="BodyText"/>
        <w:spacing w:line="251" w:lineRule="auto"/>
        <w:rPr/>
      </w:pPr>
      <w:r/>
    </w:p>
    <w:p>
      <w:pPr>
        <w:ind w:left="24"/>
        <w:spacing w:before="92" w:line="222" w:lineRule="auto"/>
        <w:outlineLvl w:val="2"/>
        <w:rPr>
          <w:rFonts w:ascii="SimHei" w:hAnsi="SimHei" w:eastAsia="SimHei" w:cs="SimHei"/>
          <w:sz w:val="28"/>
          <w:szCs w:val="28"/>
        </w:rPr>
      </w:pPr>
      <w:bookmarkStart w:name="bookmark33" w:id="38"/>
      <w:bookmarkEnd w:id="38"/>
      <w:r>
        <w:rPr>
          <w:rFonts w:ascii="Times New Roman" w:hAnsi="Times New Roman" w:eastAsia="Times New Roman" w:cs="Times New Roman"/>
          <w:sz w:val="28"/>
          <w:szCs w:val="28"/>
          <w:spacing w:val="-1"/>
        </w:rPr>
        <w:t>2.4.7 </w:t>
      </w:r>
      <w:r>
        <w:rPr>
          <w:rFonts w:ascii="SimHei" w:hAnsi="SimHei" w:eastAsia="SimHei" w:cs="SimHei"/>
          <w:sz w:val="28"/>
          <w:szCs w:val="28"/>
          <w:spacing w:val="-1"/>
        </w:rPr>
        <w:t>环境风险</w:t>
      </w:r>
    </w:p>
    <w:p>
      <w:pPr>
        <w:pStyle w:val="BodyText"/>
        <w:spacing w:line="279" w:lineRule="auto"/>
        <w:rPr/>
      </w:pPr>
      <w:r/>
    </w:p>
    <w:p>
      <w:pPr>
        <w:ind w:left="33" w:right="15" w:firstLine="474"/>
        <w:spacing w:before="79" w:line="359" w:lineRule="auto"/>
        <w:jc w:val="both"/>
        <w:rPr>
          <w:rFonts w:ascii="SimSun" w:hAnsi="SimSun" w:eastAsia="SimSun" w:cs="SimSun"/>
          <w:sz w:val="24"/>
          <w:szCs w:val="24"/>
        </w:rPr>
      </w:pPr>
      <w:r>
        <w:rPr>
          <w:rFonts w:ascii="SimSun" w:hAnsi="SimSun" w:eastAsia="SimSun" w:cs="SimSun"/>
          <w:sz w:val="24"/>
          <w:szCs w:val="24"/>
          <w:spacing w:val="3"/>
        </w:rPr>
        <w:t>根据建设项目涉及的物质和工艺系统的危险性及其所在地的环境</w:t>
      </w:r>
      <w:r>
        <w:rPr>
          <w:rFonts w:ascii="SimSun" w:hAnsi="SimSun" w:eastAsia="SimSun" w:cs="SimSun"/>
          <w:sz w:val="24"/>
          <w:szCs w:val="24"/>
          <w:spacing w:val="2"/>
        </w:rPr>
        <w:t>敏感程度，</w:t>
      </w:r>
      <w:r>
        <w:rPr>
          <w:rFonts w:ascii="SimSun" w:hAnsi="SimSun" w:eastAsia="SimSun" w:cs="SimSun"/>
          <w:sz w:val="24"/>
          <w:szCs w:val="24"/>
        </w:rPr>
        <w:t xml:space="preserve"> </w:t>
      </w:r>
      <w:r>
        <w:rPr>
          <w:rFonts w:ascii="SimSun" w:hAnsi="SimSun" w:eastAsia="SimSun" w:cs="SimSun"/>
          <w:sz w:val="24"/>
          <w:szCs w:val="24"/>
          <w:spacing w:val="3"/>
        </w:rPr>
        <w:t>结合事故情形下环境影响途径，对建设项目</w:t>
      </w:r>
      <w:r>
        <w:rPr>
          <w:rFonts w:ascii="SimSun" w:hAnsi="SimSun" w:eastAsia="SimSun" w:cs="SimSun"/>
          <w:sz w:val="24"/>
          <w:szCs w:val="24"/>
          <w:spacing w:val="2"/>
        </w:rPr>
        <w:t>潜在环境危害程度进行概化分析，按</w:t>
      </w:r>
      <w:r>
        <w:rPr>
          <w:rFonts w:ascii="SimSun" w:hAnsi="SimSun" w:eastAsia="SimSun" w:cs="SimSun"/>
          <w:sz w:val="24"/>
          <w:szCs w:val="24"/>
        </w:rPr>
        <w:t xml:space="preserve"> </w:t>
      </w:r>
      <w:r>
        <w:rPr>
          <w:rFonts w:ascii="SimSun" w:hAnsi="SimSun" w:eastAsia="SimSun" w:cs="SimSun"/>
          <w:sz w:val="24"/>
          <w:szCs w:val="24"/>
          <w:spacing w:val="-2"/>
        </w:rPr>
        <w:t>照表</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2"/>
        </w:rPr>
        <w:t>2.4-10 </w:t>
      </w:r>
      <w:r>
        <w:rPr>
          <w:rFonts w:ascii="SimSun" w:hAnsi="SimSun" w:eastAsia="SimSun" w:cs="SimSun"/>
          <w:sz w:val="24"/>
          <w:szCs w:val="24"/>
          <w:spacing w:val="-2"/>
        </w:rPr>
        <w:t>确定环境风险潜势。</w:t>
      </w:r>
    </w:p>
    <w:p>
      <w:pPr>
        <w:ind w:left="2191"/>
        <w:spacing w:before="1"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2.4-10      </w:t>
      </w:r>
      <w:r>
        <w:rPr>
          <w:rFonts w:ascii="SimSun" w:hAnsi="SimSun" w:eastAsia="SimSun" w:cs="SimSun"/>
          <w:sz w:val="24"/>
          <w:szCs w:val="24"/>
          <w:b/>
          <w:bCs/>
          <w:spacing w:val="-2"/>
        </w:rPr>
        <w:t>建设项目环境风险潜势划分</w:t>
      </w:r>
    </w:p>
    <w:tbl>
      <w:tblPr>
        <w:tblStyle w:val="TableNormal"/>
        <w:tblW w:w="8517" w:type="dxa"/>
        <w:tblInd w:w="1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049"/>
        <w:gridCol w:w="1354"/>
        <w:gridCol w:w="1702"/>
        <w:gridCol w:w="1702"/>
        <w:gridCol w:w="1710"/>
      </w:tblGrid>
      <w:tr>
        <w:trPr>
          <w:trHeight w:val="281" w:hRule="atLeast"/>
        </w:trPr>
        <w:tc>
          <w:tcPr>
            <w:tcW w:w="2049" w:type="dxa"/>
            <w:vAlign w:val="top"/>
            <w:vMerge w:val="restart"/>
            <w:tcBorders>
              <w:bottom w:val="nil"/>
            </w:tcBorders>
          </w:tcPr>
          <w:p>
            <w:pPr>
              <w:pStyle w:val="TableText"/>
              <w:ind w:left="310"/>
              <w:spacing w:before="174" w:line="228" w:lineRule="auto"/>
              <w:rPr>
                <w:rFonts w:ascii="Times New Roman" w:hAnsi="Times New Roman" w:eastAsia="Times New Roman" w:cs="Times New Roman"/>
              </w:rPr>
            </w:pPr>
            <w:r>
              <w:rPr>
                <w:spacing w:val="7"/>
              </w:rPr>
              <w:t>环境敏感程度</w:t>
            </w:r>
            <w:r>
              <w:rPr>
                <w:spacing w:val="-43"/>
              </w:rPr>
              <w:t xml:space="preserve"> </w:t>
            </w:r>
            <w:r>
              <w:rPr>
                <w:rFonts w:ascii="Times New Roman" w:hAnsi="Times New Roman" w:eastAsia="Times New Roman" w:cs="Times New Roman"/>
                <w:spacing w:val="7"/>
              </w:rPr>
              <w:t>E</w:t>
            </w:r>
          </w:p>
        </w:tc>
        <w:tc>
          <w:tcPr>
            <w:tcW w:w="6468" w:type="dxa"/>
            <w:vAlign w:val="top"/>
            <w:gridSpan w:val="4"/>
          </w:tcPr>
          <w:p>
            <w:pPr>
              <w:pStyle w:val="TableText"/>
              <w:ind w:left="1895"/>
              <w:spacing w:before="34" w:line="218" w:lineRule="auto"/>
              <w:rPr>
                <w:rFonts w:ascii="Times New Roman" w:hAnsi="Times New Roman" w:eastAsia="Times New Roman" w:cs="Times New Roman"/>
              </w:rPr>
            </w:pPr>
            <w:r>
              <w:rPr>
                <w:spacing w:val="8"/>
              </w:rPr>
              <w:t>危险物质及工艺系统危险性</w:t>
            </w:r>
            <w:r>
              <w:rPr>
                <w:spacing w:val="-38"/>
              </w:rPr>
              <w:t xml:space="preserve"> </w:t>
            </w:r>
            <w:r>
              <w:rPr>
                <w:rFonts w:ascii="Times New Roman" w:hAnsi="Times New Roman" w:eastAsia="Times New Roman" w:cs="Times New Roman"/>
                <w:spacing w:val="8"/>
              </w:rPr>
              <w:t>P</w:t>
            </w:r>
          </w:p>
        </w:tc>
      </w:tr>
      <w:tr>
        <w:trPr>
          <w:trHeight w:val="276" w:hRule="atLeast"/>
        </w:trPr>
        <w:tc>
          <w:tcPr>
            <w:tcW w:w="2049" w:type="dxa"/>
            <w:vAlign w:val="top"/>
            <w:vMerge w:val="continue"/>
            <w:tcBorders>
              <w:top w:val="nil"/>
            </w:tcBorders>
          </w:tcPr>
          <w:p>
            <w:pPr>
              <w:rPr>
                <w:rFonts w:ascii="Arial"/>
                <w:sz w:val="21"/>
              </w:rPr>
            </w:pPr>
            <w:r/>
          </w:p>
        </w:tc>
        <w:tc>
          <w:tcPr>
            <w:tcW w:w="1354" w:type="dxa"/>
            <w:vAlign w:val="top"/>
          </w:tcPr>
          <w:p>
            <w:pPr>
              <w:pStyle w:val="TableText"/>
              <w:ind w:left="126"/>
              <w:spacing w:before="32" w:line="216" w:lineRule="auto"/>
              <w:rPr>
                <w:rFonts w:ascii="Times New Roman" w:hAnsi="Times New Roman" w:eastAsia="Times New Roman" w:cs="Times New Roman"/>
              </w:rPr>
            </w:pPr>
            <w:r>
              <w:rPr>
                <w:spacing w:val="5"/>
              </w:rPr>
              <w:t>极度危害</w:t>
            </w:r>
            <w:r>
              <w:rPr>
                <w:spacing w:val="-41"/>
              </w:rPr>
              <w:t xml:space="preserve"> </w:t>
            </w:r>
            <w:r>
              <w:rPr>
                <w:rFonts w:ascii="Times New Roman" w:hAnsi="Times New Roman" w:eastAsia="Times New Roman" w:cs="Times New Roman"/>
                <w:spacing w:val="5"/>
              </w:rPr>
              <w:t>P1</w:t>
            </w:r>
          </w:p>
        </w:tc>
        <w:tc>
          <w:tcPr>
            <w:tcW w:w="1702" w:type="dxa"/>
            <w:vAlign w:val="top"/>
          </w:tcPr>
          <w:p>
            <w:pPr>
              <w:pStyle w:val="TableText"/>
              <w:ind w:left="304"/>
              <w:spacing w:before="32" w:line="216" w:lineRule="auto"/>
              <w:rPr>
                <w:rFonts w:ascii="Times New Roman" w:hAnsi="Times New Roman" w:eastAsia="Times New Roman" w:cs="Times New Roman"/>
              </w:rPr>
            </w:pPr>
            <w:r>
              <w:rPr>
                <w:spacing w:val="4"/>
              </w:rPr>
              <w:t>高度危害</w:t>
            </w:r>
            <w:r>
              <w:rPr>
                <w:spacing w:val="-38"/>
              </w:rPr>
              <w:t xml:space="preserve"> </w:t>
            </w:r>
            <w:r>
              <w:rPr>
                <w:rFonts w:ascii="Times New Roman" w:hAnsi="Times New Roman" w:eastAsia="Times New Roman" w:cs="Times New Roman"/>
                <w:spacing w:val="4"/>
              </w:rPr>
              <w:t>P2</w:t>
            </w:r>
          </w:p>
        </w:tc>
        <w:tc>
          <w:tcPr>
            <w:tcW w:w="1702" w:type="dxa"/>
            <w:vAlign w:val="top"/>
          </w:tcPr>
          <w:p>
            <w:pPr>
              <w:pStyle w:val="TableText"/>
              <w:ind w:left="320"/>
              <w:spacing w:before="32" w:line="216" w:lineRule="auto"/>
              <w:rPr>
                <w:rFonts w:ascii="Times New Roman" w:hAnsi="Times New Roman" w:eastAsia="Times New Roman" w:cs="Times New Roman"/>
              </w:rPr>
            </w:pPr>
            <w:r>
              <w:rPr>
                <w:spacing w:val="2"/>
              </w:rPr>
              <w:t>中度危害</w:t>
            </w:r>
            <w:r>
              <w:rPr>
                <w:spacing w:val="-40"/>
              </w:rPr>
              <w:t xml:space="preserve"> </w:t>
            </w:r>
            <w:r>
              <w:rPr>
                <w:rFonts w:ascii="Times New Roman" w:hAnsi="Times New Roman" w:eastAsia="Times New Roman" w:cs="Times New Roman"/>
                <w:spacing w:val="2"/>
              </w:rPr>
              <w:t>P3</w:t>
            </w:r>
          </w:p>
        </w:tc>
        <w:tc>
          <w:tcPr>
            <w:tcW w:w="1710" w:type="dxa"/>
            <w:vAlign w:val="top"/>
          </w:tcPr>
          <w:p>
            <w:pPr>
              <w:pStyle w:val="TableText"/>
              <w:ind w:left="302"/>
              <w:spacing w:before="32" w:line="216" w:lineRule="auto"/>
              <w:rPr>
                <w:rFonts w:ascii="Times New Roman" w:hAnsi="Times New Roman" w:eastAsia="Times New Roman" w:cs="Times New Roman"/>
              </w:rPr>
            </w:pPr>
            <w:r>
              <w:rPr>
                <w:spacing w:val="5"/>
              </w:rPr>
              <w:t>低度危害</w:t>
            </w:r>
            <w:r>
              <w:rPr>
                <w:spacing w:val="-38"/>
              </w:rPr>
              <w:t xml:space="preserve"> </w:t>
            </w:r>
            <w:r>
              <w:rPr>
                <w:rFonts w:ascii="Times New Roman" w:hAnsi="Times New Roman" w:eastAsia="Times New Roman" w:cs="Times New Roman"/>
                <w:spacing w:val="5"/>
              </w:rPr>
              <w:t>P4</w:t>
            </w:r>
          </w:p>
        </w:tc>
      </w:tr>
      <w:tr>
        <w:trPr>
          <w:trHeight w:val="277" w:hRule="atLeast"/>
        </w:trPr>
        <w:tc>
          <w:tcPr>
            <w:tcW w:w="2049" w:type="dxa"/>
            <w:vAlign w:val="top"/>
          </w:tcPr>
          <w:p>
            <w:pPr>
              <w:pStyle w:val="TableText"/>
              <w:ind w:left="152"/>
              <w:spacing w:before="31" w:line="217" w:lineRule="auto"/>
              <w:rPr>
                <w:rFonts w:ascii="Times New Roman" w:hAnsi="Times New Roman" w:eastAsia="Times New Roman" w:cs="Times New Roman"/>
              </w:rPr>
            </w:pPr>
            <w:r>
              <w:rPr>
                <w:spacing w:val="7"/>
              </w:rPr>
              <w:t>环境高度敏感区</w:t>
            </w:r>
            <w:r>
              <w:rPr>
                <w:spacing w:val="-42"/>
              </w:rPr>
              <w:t xml:space="preserve"> </w:t>
            </w:r>
            <w:r>
              <w:rPr>
                <w:rFonts w:ascii="Times New Roman" w:hAnsi="Times New Roman" w:eastAsia="Times New Roman" w:cs="Times New Roman"/>
                <w:spacing w:val="7"/>
              </w:rPr>
              <w:t>E1</w:t>
            </w:r>
          </w:p>
        </w:tc>
        <w:tc>
          <w:tcPr>
            <w:tcW w:w="1354" w:type="dxa"/>
            <w:vAlign w:val="top"/>
          </w:tcPr>
          <w:p>
            <w:pPr>
              <w:ind w:left="531"/>
              <w:spacing w:before="61"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position w:val="-1"/>
              </w:rPr>
              <w:t>Ⅳ</w:t>
            </w:r>
            <w:r>
              <w:rPr>
                <w:rFonts w:ascii="Times New Roman" w:hAnsi="Times New Roman" w:eastAsia="Times New Roman" w:cs="Times New Roman"/>
                <w:sz w:val="13"/>
                <w:szCs w:val="13"/>
                <w:spacing w:val="3"/>
                <w:position w:val="5"/>
              </w:rPr>
              <w:t>+</w:t>
            </w:r>
          </w:p>
        </w:tc>
        <w:tc>
          <w:tcPr>
            <w:tcW w:w="1702" w:type="dxa"/>
            <w:vAlign w:val="top"/>
          </w:tcPr>
          <w:p>
            <w:pPr>
              <w:ind w:left="742"/>
              <w:spacing w:before="70"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IV</w:t>
            </w:r>
          </w:p>
        </w:tc>
        <w:tc>
          <w:tcPr>
            <w:tcW w:w="1702" w:type="dxa"/>
            <w:vAlign w:val="top"/>
          </w:tcPr>
          <w:p>
            <w:pPr>
              <w:ind w:left="754"/>
              <w:spacing w:before="7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Ⅲ</w:t>
            </w:r>
          </w:p>
        </w:tc>
        <w:tc>
          <w:tcPr>
            <w:tcW w:w="1710" w:type="dxa"/>
            <w:vAlign w:val="top"/>
          </w:tcPr>
          <w:p>
            <w:pPr>
              <w:ind w:left="756"/>
              <w:spacing w:before="7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Ⅲ</w:t>
            </w:r>
          </w:p>
        </w:tc>
      </w:tr>
      <w:tr>
        <w:trPr>
          <w:trHeight w:val="276" w:hRule="atLeast"/>
        </w:trPr>
        <w:tc>
          <w:tcPr>
            <w:tcW w:w="2049" w:type="dxa"/>
            <w:vAlign w:val="top"/>
          </w:tcPr>
          <w:p>
            <w:pPr>
              <w:pStyle w:val="TableText"/>
              <w:ind w:left="152"/>
              <w:spacing w:before="33" w:line="215" w:lineRule="auto"/>
              <w:rPr>
                <w:rFonts w:ascii="Times New Roman" w:hAnsi="Times New Roman" w:eastAsia="Times New Roman" w:cs="Times New Roman"/>
              </w:rPr>
            </w:pPr>
            <w:r>
              <w:rPr>
                <w:spacing w:val="7"/>
              </w:rPr>
              <w:t>环境中度敏感区</w:t>
            </w:r>
            <w:r>
              <w:rPr>
                <w:spacing w:val="-42"/>
              </w:rPr>
              <w:t xml:space="preserve"> </w:t>
            </w:r>
            <w:r>
              <w:rPr>
                <w:rFonts w:ascii="Times New Roman" w:hAnsi="Times New Roman" w:eastAsia="Times New Roman" w:cs="Times New Roman"/>
                <w:spacing w:val="7"/>
              </w:rPr>
              <w:t>E2</w:t>
            </w:r>
          </w:p>
        </w:tc>
        <w:tc>
          <w:tcPr>
            <w:tcW w:w="1354" w:type="dxa"/>
            <w:vAlign w:val="top"/>
          </w:tcPr>
          <w:p>
            <w:pPr>
              <w:ind w:left="567"/>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Ⅳ</w:t>
            </w:r>
          </w:p>
        </w:tc>
        <w:tc>
          <w:tcPr>
            <w:tcW w:w="1702" w:type="dxa"/>
            <w:vAlign w:val="top"/>
          </w:tcPr>
          <w:p>
            <w:pPr>
              <w:ind w:left="754"/>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Ⅲ</w:t>
            </w:r>
          </w:p>
        </w:tc>
        <w:tc>
          <w:tcPr>
            <w:tcW w:w="1702" w:type="dxa"/>
            <w:vAlign w:val="top"/>
          </w:tcPr>
          <w:p>
            <w:pPr>
              <w:ind w:left="754"/>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Ⅲ</w:t>
            </w:r>
          </w:p>
        </w:tc>
        <w:tc>
          <w:tcPr>
            <w:tcW w:w="1710" w:type="dxa"/>
            <w:vAlign w:val="top"/>
          </w:tcPr>
          <w:p>
            <w:pPr>
              <w:ind w:left="789"/>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Ⅱ</w:t>
            </w:r>
          </w:p>
        </w:tc>
      </w:tr>
      <w:tr>
        <w:trPr>
          <w:trHeight w:val="276" w:hRule="atLeast"/>
        </w:trPr>
        <w:tc>
          <w:tcPr>
            <w:tcW w:w="2049" w:type="dxa"/>
            <w:vAlign w:val="top"/>
          </w:tcPr>
          <w:p>
            <w:pPr>
              <w:pStyle w:val="TableText"/>
              <w:ind w:left="152"/>
              <w:spacing w:before="33" w:line="215" w:lineRule="auto"/>
              <w:rPr>
                <w:rFonts w:ascii="Times New Roman" w:hAnsi="Times New Roman" w:eastAsia="Times New Roman" w:cs="Times New Roman"/>
              </w:rPr>
            </w:pPr>
            <w:r>
              <w:rPr>
                <w:spacing w:val="7"/>
              </w:rPr>
              <w:t>环境低度敏感区</w:t>
            </w:r>
            <w:r>
              <w:rPr>
                <w:spacing w:val="-42"/>
              </w:rPr>
              <w:t xml:space="preserve"> </w:t>
            </w:r>
            <w:r>
              <w:rPr>
                <w:rFonts w:ascii="Times New Roman" w:hAnsi="Times New Roman" w:eastAsia="Times New Roman" w:cs="Times New Roman"/>
                <w:spacing w:val="7"/>
              </w:rPr>
              <w:t>E3</w:t>
            </w:r>
          </w:p>
        </w:tc>
        <w:tc>
          <w:tcPr>
            <w:tcW w:w="1354" w:type="dxa"/>
            <w:vAlign w:val="top"/>
          </w:tcPr>
          <w:p>
            <w:pPr>
              <w:ind w:left="579"/>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Ⅲ</w:t>
            </w:r>
          </w:p>
        </w:tc>
        <w:tc>
          <w:tcPr>
            <w:tcW w:w="1702" w:type="dxa"/>
            <w:vAlign w:val="top"/>
          </w:tcPr>
          <w:p>
            <w:pPr>
              <w:ind w:left="754"/>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Ⅲ</w:t>
            </w:r>
          </w:p>
        </w:tc>
        <w:tc>
          <w:tcPr>
            <w:tcW w:w="1702" w:type="dxa"/>
            <w:vAlign w:val="top"/>
          </w:tcPr>
          <w:p>
            <w:pPr>
              <w:ind w:left="787"/>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Ⅱ</w:t>
            </w:r>
          </w:p>
        </w:tc>
        <w:tc>
          <w:tcPr>
            <w:tcW w:w="1710" w:type="dxa"/>
            <w:vAlign w:val="top"/>
          </w:tcPr>
          <w:p>
            <w:pPr>
              <w:ind w:left="823"/>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I</w:t>
            </w:r>
          </w:p>
        </w:tc>
      </w:tr>
      <w:tr>
        <w:trPr>
          <w:trHeight w:val="282" w:hRule="atLeast"/>
        </w:trPr>
        <w:tc>
          <w:tcPr>
            <w:tcW w:w="8517" w:type="dxa"/>
            <w:vAlign w:val="top"/>
            <w:gridSpan w:val="5"/>
          </w:tcPr>
          <w:p>
            <w:pPr>
              <w:pStyle w:val="TableText"/>
              <w:ind w:left="13"/>
              <w:spacing w:before="35" w:line="218" w:lineRule="auto"/>
              <w:rPr/>
            </w:pPr>
            <w:r>
              <w:rPr>
                <w:spacing w:val="9"/>
              </w:rPr>
              <w:t>注：</w:t>
            </w:r>
            <w:r>
              <w:rPr>
                <w:rFonts w:ascii="Times New Roman" w:hAnsi="Times New Roman" w:eastAsia="Times New Roman" w:cs="Times New Roman"/>
              </w:rPr>
              <w:t>IV</w:t>
            </w:r>
            <w:r>
              <w:rPr>
                <w:rFonts w:ascii="Times New Roman" w:hAnsi="Times New Roman" w:eastAsia="Times New Roman" w:cs="Times New Roman"/>
                <w:sz w:val="13"/>
                <w:szCs w:val="13"/>
                <w:spacing w:val="9"/>
                <w:position w:val="6"/>
              </w:rPr>
              <w:t>+</w:t>
            </w:r>
            <w:r>
              <w:rPr>
                <w:spacing w:val="9"/>
              </w:rPr>
              <w:t>为极高环境风险</w:t>
            </w:r>
          </w:p>
        </w:tc>
      </w:tr>
    </w:tbl>
    <w:p>
      <w:pPr>
        <w:ind w:left="30" w:right="17" w:firstLine="477"/>
        <w:spacing w:before="36" w:line="360" w:lineRule="auto"/>
        <w:rPr>
          <w:rFonts w:ascii="SimSun" w:hAnsi="SimSun" w:eastAsia="SimSun" w:cs="SimSun"/>
          <w:sz w:val="24"/>
          <w:szCs w:val="24"/>
        </w:rPr>
      </w:pPr>
      <w:r>
        <w:rPr>
          <w:rFonts w:ascii="SimSun" w:hAnsi="SimSun" w:eastAsia="SimSun" w:cs="SimSun"/>
          <w:sz w:val="24"/>
          <w:szCs w:val="24"/>
        </w:rPr>
        <w:t>根据</w:t>
      </w:r>
      <w:r>
        <w:rPr>
          <w:rFonts w:ascii="SimSun" w:hAnsi="SimSun" w:eastAsia="SimSun" w:cs="SimSun"/>
          <w:sz w:val="24"/>
          <w:szCs w:val="24"/>
          <w:spacing w:val="-40"/>
        </w:rPr>
        <w:t xml:space="preserve"> </w:t>
      </w:r>
      <w:r>
        <w:rPr>
          <w:rFonts w:ascii="Times New Roman" w:hAnsi="Times New Roman" w:eastAsia="Times New Roman" w:cs="Times New Roman"/>
          <w:sz w:val="24"/>
          <w:szCs w:val="24"/>
        </w:rPr>
        <w:t>6.2</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rPr>
        <w:t>小节，本项目危险物质及工艺系统危险性为</w:t>
      </w:r>
      <w:r>
        <w:rPr>
          <w:rFonts w:ascii="SimSun" w:hAnsi="SimSun" w:eastAsia="SimSun" w:cs="SimSun"/>
          <w:sz w:val="24"/>
          <w:szCs w:val="24"/>
          <w:spacing w:val="-51"/>
        </w:rPr>
        <w:t xml:space="preserve"> </w:t>
      </w:r>
      <w:r>
        <w:rPr>
          <w:rFonts w:ascii="Times New Roman" w:hAnsi="Times New Roman" w:eastAsia="Times New Roman" w:cs="Times New Roman"/>
          <w:sz w:val="24"/>
          <w:szCs w:val="24"/>
        </w:rPr>
        <w:t>P4</w:t>
      </w:r>
      <w:r>
        <w:rPr>
          <w:rFonts w:ascii="Times New Roman" w:hAnsi="Times New Roman" w:eastAsia="Times New Roman" w:cs="Times New Roman"/>
          <w:sz w:val="24"/>
          <w:szCs w:val="24"/>
          <w:spacing w:val="-29"/>
        </w:rPr>
        <w:t xml:space="preserve"> </w:t>
      </w:r>
      <w:r>
        <w:rPr>
          <w:rFonts w:ascii="SimSun" w:hAnsi="SimSun" w:eastAsia="SimSun" w:cs="SimSun"/>
          <w:sz w:val="24"/>
          <w:szCs w:val="24"/>
        </w:rPr>
        <w:t>，大气环境敏感程度 </w:t>
      </w:r>
      <w:r>
        <w:rPr>
          <w:rFonts w:ascii="SimSun" w:hAnsi="SimSun" w:eastAsia="SimSun" w:cs="SimSun"/>
          <w:sz w:val="24"/>
          <w:szCs w:val="24"/>
          <w:spacing w:val="-4"/>
        </w:rPr>
        <w:t>为</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4"/>
        </w:rPr>
        <w:t>E2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、地表水环境敏感程度为</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4"/>
        </w:rPr>
        <w:t>E3</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4"/>
        </w:rPr>
        <w:t>、地下水环境敏感程度为</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4"/>
        </w:rPr>
        <w:t>E1</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，根据表</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4"/>
        </w:rPr>
        <w:t>6.2-1</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，大</w:t>
      </w:r>
    </w:p>
    <w:p>
      <w:pPr>
        <w:pStyle w:val="BodyText"/>
        <w:spacing w:line="292" w:lineRule="auto"/>
        <w:rPr/>
      </w:pPr>
      <w:r/>
    </w:p>
    <w:p>
      <w:pPr>
        <w:ind w:left="25"/>
        <w:spacing w:before="63" w:line="227" w:lineRule="auto"/>
        <w:rPr>
          <w:rFonts w:ascii="SimSun" w:hAnsi="SimSun" w:eastAsia="SimSun" w:cs="SimSun"/>
          <w:sz w:val="19"/>
          <w:szCs w:val="19"/>
        </w:rPr>
      </w:pPr>
      <w:r>
        <w:pict>
          <v:shape id="_x0000_s180" style="position:absolute;margin-left:160.22pt;margin-top:2.13722pt;mso-position-vertical-relative:text;mso-position-horizontal-relative:text;width:58.85pt;height:13.75pt;z-index:25174016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28"/>
                    </w:rPr>
                    <w:t xml:space="preserve">   </w:t>
                  </w:r>
                  <w:r>
                    <w:rPr>
                      <w:rFonts w:ascii="Times New Roman" w:hAnsi="Times New Roman" w:eastAsia="Times New Roman" w:cs="Times New Roman"/>
                      <w:sz w:val="18"/>
                      <w:szCs w:val="18"/>
                      <w:spacing w:val="3"/>
                      <w:position w:val="2"/>
                    </w:rPr>
                    <w:t>33</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47"/>
          <w:pgSz w:w="11907" w:h="16840"/>
          <w:pgMar w:top="1567" w:right="1684" w:bottom="400" w:left="1683" w:header="1221" w:footer="0" w:gutter="0"/>
        </w:sectPr>
        <w:rPr>
          <w:rFonts w:ascii="SimSun" w:hAnsi="SimSun" w:eastAsia="SimSun" w:cs="SimSun"/>
          <w:sz w:val="19"/>
          <w:szCs w:val="19"/>
        </w:rPr>
      </w:pPr>
    </w:p>
    <w:p>
      <w:pPr>
        <w:ind w:left="19"/>
        <w:spacing w:before="183" w:line="219" w:lineRule="auto"/>
        <w:rPr>
          <w:rFonts w:ascii="SimSun" w:hAnsi="SimSun" w:eastAsia="SimSun" w:cs="SimSun"/>
          <w:sz w:val="24"/>
          <w:szCs w:val="24"/>
        </w:rPr>
      </w:pPr>
      <w:r>
        <w:pict>
          <v:shape id="_x0000_s184" style="position:absolute;margin-left:85.05pt;margin-top:78.87pt;mso-position-vertical-relative:page;mso-position-horizontal-relative:page;width:425.25pt;height:0.75pt;z-index:251743232;" o:allowincell="f" fillcolor="#000000" filled="true" stroked="false" coordsize="8505,15" coordorigin="0,0" path="m,l8505,0l8505,14l0,14l0,0xe"/>
        </w:pict>
      </w:r>
      <w:r>
        <w:rPr>
          <w:rFonts w:ascii="SimSun" w:hAnsi="SimSun" w:eastAsia="SimSun" w:cs="SimSun"/>
          <w:sz w:val="24"/>
          <w:szCs w:val="24"/>
          <w:spacing w:val="-2"/>
        </w:rPr>
        <w:t>气环境风险潜势为</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II</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、地表水环境风险潜势为</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I</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、地下水</w:t>
      </w:r>
      <w:r>
        <w:rPr>
          <w:rFonts w:ascii="SimSun" w:hAnsi="SimSun" w:eastAsia="SimSun" w:cs="SimSun"/>
          <w:sz w:val="24"/>
          <w:szCs w:val="24"/>
          <w:spacing w:val="-3"/>
        </w:rPr>
        <w:t>环境风险潜势为</w:t>
      </w:r>
      <w:r>
        <w:rPr>
          <w:rFonts w:ascii="Times New Roman" w:hAnsi="Times New Roman" w:eastAsia="Times New Roman" w:cs="Times New Roman"/>
          <w:sz w:val="24"/>
          <w:szCs w:val="24"/>
          <w:spacing w:val="-3"/>
        </w:rPr>
        <w:t>Ⅲ</w:t>
      </w:r>
      <w:r>
        <w:rPr>
          <w:rFonts w:ascii="SimSun" w:hAnsi="SimSun" w:eastAsia="SimSun" w:cs="SimSun"/>
          <w:sz w:val="24"/>
          <w:szCs w:val="24"/>
          <w:spacing w:val="-3"/>
        </w:rPr>
        <w:t>。</w:t>
      </w:r>
    </w:p>
    <w:p>
      <w:pPr>
        <w:ind w:left="21" w:right="80" w:firstLine="483"/>
        <w:spacing w:before="180" w:line="359" w:lineRule="auto"/>
        <w:rPr>
          <w:rFonts w:ascii="SimSun" w:hAnsi="SimSun" w:eastAsia="SimSun" w:cs="SimSun"/>
          <w:sz w:val="24"/>
          <w:szCs w:val="24"/>
        </w:rPr>
      </w:pPr>
      <w:r>
        <w:rPr>
          <w:rFonts w:ascii="SimSun" w:hAnsi="SimSun" w:eastAsia="SimSun" w:cs="SimSun"/>
          <w:sz w:val="24"/>
          <w:szCs w:val="24"/>
          <w:spacing w:val="3"/>
        </w:rPr>
        <w:t>《建设项目环境风险评价技术导则》（</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3"/>
        </w:rPr>
        <w:t>169-2018</w:t>
      </w:r>
      <w:r>
        <w:rPr>
          <w:rFonts w:ascii="SimSun" w:hAnsi="SimSun" w:eastAsia="SimSun" w:cs="SimSun"/>
          <w:sz w:val="24"/>
          <w:szCs w:val="24"/>
          <w:spacing w:val="3"/>
        </w:rPr>
        <w:t>）中规</w:t>
      </w:r>
      <w:r>
        <w:rPr>
          <w:rFonts w:ascii="SimSun" w:hAnsi="SimSun" w:eastAsia="SimSun" w:cs="SimSun"/>
          <w:sz w:val="24"/>
          <w:szCs w:val="24"/>
          <w:spacing w:val="2"/>
        </w:rPr>
        <w:t>定的环境风险评价</w:t>
      </w:r>
      <w:r>
        <w:rPr>
          <w:rFonts w:ascii="SimSun" w:hAnsi="SimSun" w:eastAsia="SimSun" w:cs="SimSun"/>
          <w:sz w:val="24"/>
          <w:szCs w:val="24"/>
        </w:rPr>
        <w:t xml:space="preserve"> </w:t>
      </w:r>
      <w:r>
        <w:rPr>
          <w:rFonts w:ascii="SimSun" w:hAnsi="SimSun" w:eastAsia="SimSun" w:cs="SimSun"/>
          <w:sz w:val="24"/>
          <w:szCs w:val="24"/>
          <w:spacing w:val="-2"/>
        </w:rPr>
        <w:t>工作级别的划分见表</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2"/>
        </w:rPr>
        <w:t>2.4-11</w:t>
      </w:r>
      <w:r>
        <w:rPr>
          <w:rFonts w:ascii="SimSun" w:hAnsi="SimSun" w:eastAsia="SimSun" w:cs="SimSun"/>
          <w:sz w:val="24"/>
          <w:szCs w:val="24"/>
          <w:spacing w:val="-2"/>
        </w:rPr>
        <w:t>。</w:t>
      </w:r>
    </w:p>
    <w:p>
      <w:pPr>
        <w:ind w:left="2062"/>
        <w:spacing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0"/>
        </w:rPr>
        <w:t xml:space="preserve"> </w:t>
      </w:r>
      <w:r>
        <w:rPr>
          <w:rFonts w:ascii="Times New Roman" w:hAnsi="Times New Roman" w:eastAsia="Times New Roman" w:cs="Times New Roman"/>
          <w:sz w:val="24"/>
          <w:szCs w:val="24"/>
          <w:b/>
          <w:bCs/>
          <w:spacing w:val="-2"/>
        </w:rPr>
        <w:t>2.4-11      </w:t>
      </w:r>
      <w:r>
        <w:rPr>
          <w:rFonts w:ascii="SimSun" w:hAnsi="SimSun" w:eastAsia="SimSun" w:cs="SimSun"/>
          <w:sz w:val="24"/>
          <w:szCs w:val="24"/>
          <w:b/>
          <w:bCs/>
          <w:spacing w:val="-2"/>
        </w:rPr>
        <w:t>环境风险评价工作等级划分表</w:t>
      </w:r>
    </w:p>
    <w:tbl>
      <w:tblPr>
        <w:tblStyle w:val="TableNormal"/>
        <w:tblW w:w="8519" w:type="dxa"/>
        <w:tblInd w:w="6"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23"/>
        <w:gridCol w:w="1559"/>
        <w:gridCol w:w="1843"/>
        <w:gridCol w:w="2125"/>
        <w:gridCol w:w="1569"/>
      </w:tblGrid>
      <w:tr>
        <w:trPr>
          <w:trHeight w:val="280" w:hRule="atLeast"/>
        </w:trPr>
        <w:tc>
          <w:tcPr>
            <w:tcW w:w="1423" w:type="dxa"/>
            <w:vAlign w:val="top"/>
          </w:tcPr>
          <w:p>
            <w:pPr>
              <w:pStyle w:val="TableText"/>
              <w:ind w:left="87"/>
              <w:spacing w:before="36" w:line="216" w:lineRule="auto"/>
              <w:rPr/>
            </w:pPr>
            <w:r>
              <w:rPr>
                <w:spacing w:val="8"/>
              </w:rPr>
              <w:t>环境风险潜势</w:t>
            </w:r>
          </w:p>
        </w:tc>
        <w:tc>
          <w:tcPr>
            <w:tcW w:w="1559" w:type="dxa"/>
            <w:vAlign w:val="top"/>
          </w:tcPr>
          <w:p>
            <w:pPr>
              <w:pStyle w:val="TableText"/>
              <w:ind w:left="416"/>
              <w:spacing w:before="63" w:line="191" w:lineRule="auto"/>
              <w:rPr>
                <w:rFonts w:ascii="Times New Roman" w:hAnsi="Times New Roman" w:eastAsia="Times New Roman" w:cs="Times New Roman"/>
                <w:sz w:val="13"/>
                <w:szCs w:val="13"/>
              </w:rPr>
            </w:pPr>
            <w:r>
              <w:rPr>
                <w:rFonts w:ascii="Times New Roman" w:hAnsi="Times New Roman" w:eastAsia="Times New Roman" w:cs="Times New Roman"/>
                <w:spacing w:val="1"/>
              </w:rPr>
              <w:t>Ⅳ</w:t>
            </w:r>
            <w:r>
              <w:rPr>
                <w:rFonts w:ascii="Times New Roman" w:hAnsi="Times New Roman" w:eastAsia="Times New Roman" w:cs="Times New Roman"/>
                <w:spacing w:val="-25"/>
              </w:rPr>
              <w:t xml:space="preserve"> </w:t>
            </w:r>
            <w:r>
              <w:rPr>
                <w:spacing w:val="1"/>
              </w:rPr>
              <w:t>、</w:t>
            </w:r>
            <w:r>
              <w:rPr>
                <w:rFonts w:ascii="Times New Roman" w:hAnsi="Times New Roman" w:eastAsia="Times New Roman" w:cs="Times New Roman"/>
                <w:spacing w:val="1"/>
              </w:rPr>
              <w:t>Ⅳ</w:t>
            </w:r>
            <w:r>
              <w:rPr>
                <w:rFonts w:ascii="Times New Roman" w:hAnsi="Times New Roman" w:eastAsia="Times New Roman" w:cs="Times New Roman"/>
                <w:sz w:val="13"/>
                <w:szCs w:val="13"/>
                <w:spacing w:val="1"/>
                <w:position w:val="6"/>
              </w:rPr>
              <w:t>+</w:t>
            </w:r>
          </w:p>
        </w:tc>
        <w:tc>
          <w:tcPr>
            <w:tcW w:w="1843" w:type="dxa"/>
            <w:vAlign w:val="top"/>
          </w:tcPr>
          <w:p>
            <w:pPr>
              <w:ind w:left="822"/>
              <w:spacing w:before="7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Ⅲ</w:t>
            </w:r>
          </w:p>
        </w:tc>
        <w:tc>
          <w:tcPr>
            <w:tcW w:w="2125" w:type="dxa"/>
            <w:vAlign w:val="top"/>
          </w:tcPr>
          <w:p>
            <w:pPr>
              <w:ind w:left="998"/>
              <w:spacing w:before="7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Ⅱ</w:t>
            </w:r>
          </w:p>
        </w:tc>
        <w:tc>
          <w:tcPr>
            <w:tcW w:w="1569" w:type="dxa"/>
            <w:vAlign w:val="top"/>
          </w:tcPr>
          <w:p>
            <w:pPr>
              <w:ind w:left="752"/>
              <w:spacing w:before="7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Ⅰ</w:t>
            </w:r>
          </w:p>
        </w:tc>
      </w:tr>
      <w:tr>
        <w:trPr>
          <w:trHeight w:val="277" w:hRule="atLeast"/>
        </w:trPr>
        <w:tc>
          <w:tcPr>
            <w:tcW w:w="1423" w:type="dxa"/>
            <w:vAlign w:val="top"/>
          </w:tcPr>
          <w:p>
            <w:pPr>
              <w:pStyle w:val="TableText"/>
              <w:ind w:left="86"/>
              <w:spacing w:before="34" w:line="215" w:lineRule="auto"/>
              <w:rPr/>
            </w:pPr>
            <w:r>
              <w:rPr>
                <w:spacing w:val="8"/>
              </w:rPr>
              <w:t>评价工作等级</w:t>
            </w:r>
          </w:p>
        </w:tc>
        <w:tc>
          <w:tcPr>
            <w:tcW w:w="1559" w:type="dxa"/>
            <w:vAlign w:val="top"/>
          </w:tcPr>
          <w:p>
            <w:pPr>
              <w:pStyle w:val="TableText"/>
              <w:ind w:left="681"/>
              <w:spacing w:before="112" w:line="154" w:lineRule="exact"/>
              <w:rPr/>
            </w:pPr>
            <w:r>
              <w:rPr>
                <w:position w:val="-4"/>
              </w:rPr>
              <w:t>一</w:t>
            </w:r>
          </w:p>
        </w:tc>
        <w:tc>
          <w:tcPr>
            <w:tcW w:w="1843" w:type="dxa"/>
            <w:vAlign w:val="top"/>
          </w:tcPr>
          <w:p>
            <w:pPr>
              <w:pStyle w:val="TableText"/>
              <w:ind w:left="824"/>
              <w:spacing w:before="73" w:line="179" w:lineRule="auto"/>
              <w:rPr/>
            </w:pPr>
            <w:r>
              <w:rPr/>
              <w:t>二</w:t>
            </w:r>
          </w:p>
        </w:tc>
        <w:tc>
          <w:tcPr>
            <w:tcW w:w="2125" w:type="dxa"/>
            <w:vAlign w:val="top"/>
          </w:tcPr>
          <w:p>
            <w:pPr>
              <w:pStyle w:val="TableText"/>
              <w:ind w:left="962"/>
              <w:spacing w:before="34" w:line="215" w:lineRule="auto"/>
              <w:rPr/>
            </w:pPr>
            <w:r>
              <w:rPr/>
              <w:t>三</w:t>
            </w:r>
          </w:p>
        </w:tc>
        <w:tc>
          <w:tcPr>
            <w:tcW w:w="1569" w:type="dxa"/>
            <w:vAlign w:val="top"/>
          </w:tcPr>
          <w:p>
            <w:pPr>
              <w:pStyle w:val="TableText"/>
              <w:ind w:left="317"/>
              <w:spacing w:before="34" w:line="215" w:lineRule="auto"/>
              <w:rPr>
                <w:rFonts w:ascii="Times New Roman" w:hAnsi="Times New Roman" w:eastAsia="Times New Roman" w:cs="Times New Roman"/>
                <w:sz w:val="13"/>
                <w:szCs w:val="13"/>
              </w:rPr>
            </w:pPr>
            <w:r>
              <w:rPr>
                <w:spacing w:val="5"/>
              </w:rPr>
              <w:t>简单分析</w:t>
            </w:r>
            <w:r>
              <w:rPr>
                <w:spacing w:val="-41"/>
              </w:rPr>
              <w:t xml:space="preserve"> </w:t>
            </w:r>
            <w:r>
              <w:rPr>
                <w:rFonts w:ascii="Times New Roman" w:hAnsi="Times New Roman" w:eastAsia="Times New Roman" w:cs="Times New Roman"/>
                <w:sz w:val="13"/>
                <w:szCs w:val="13"/>
                <w:spacing w:val="5"/>
                <w:position w:val="6"/>
              </w:rPr>
              <w:t>a</w:t>
            </w:r>
          </w:p>
        </w:tc>
      </w:tr>
      <w:tr>
        <w:trPr>
          <w:trHeight w:val="551" w:hRule="atLeast"/>
        </w:trPr>
        <w:tc>
          <w:tcPr>
            <w:tcW w:w="8519" w:type="dxa"/>
            <w:vAlign w:val="top"/>
            <w:gridSpan w:val="5"/>
          </w:tcPr>
          <w:p>
            <w:pPr>
              <w:pStyle w:val="TableText"/>
              <w:ind w:left="17" w:right="5" w:hanging="5"/>
              <w:spacing w:before="33" w:line="234" w:lineRule="auto"/>
              <w:rPr/>
            </w:pPr>
            <w:r>
              <w:rPr>
                <w:rFonts w:ascii="Times New Roman" w:hAnsi="Times New Roman" w:eastAsia="Times New Roman" w:cs="Times New Roman"/>
                <w:spacing w:val="9"/>
              </w:rPr>
              <w:t>a </w:t>
            </w:r>
            <w:r>
              <w:rPr>
                <w:spacing w:val="9"/>
              </w:rPr>
              <w:t>是相对于详细评价工作内容而言，在描述</w:t>
            </w:r>
            <w:r>
              <w:rPr>
                <w:spacing w:val="8"/>
              </w:rPr>
              <w:t>危险物质、环境影响途径、环境危害后果、风险防</w:t>
            </w:r>
            <w:r>
              <w:rPr/>
              <w:t xml:space="preserve"> </w:t>
            </w:r>
            <w:r>
              <w:rPr>
                <w:spacing w:val="8"/>
              </w:rPr>
              <w:t>范措施等方面给出定性说明。</w:t>
            </w:r>
          </w:p>
        </w:tc>
      </w:tr>
    </w:tbl>
    <w:p>
      <w:pPr>
        <w:ind w:left="18" w:right="77" w:firstLine="480"/>
        <w:spacing w:before="34" w:line="360" w:lineRule="auto"/>
        <w:jc w:val="both"/>
        <w:rPr>
          <w:rFonts w:ascii="SimSun" w:hAnsi="SimSun" w:eastAsia="SimSun" w:cs="SimSun"/>
          <w:sz w:val="24"/>
          <w:szCs w:val="24"/>
        </w:rPr>
      </w:pPr>
      <w:r>
        <w:rPr>
          <w:rFonts w:ascii="SimSun" w:hAnsi="SimSun" w:eastAsia="SimSun" w:cs="SimSun"/>
          <w:sz w:val="24"/>
          <w:szCs w:val="24"/>
          <w:spacing w:val="-3"/>
        </w:rPr>
        <w:t>根据表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2.4-11</w:t>
      </w:r>
      <w:r>
        <w:rPr>
          <w:rFonts w:ascii="SimSun" w:hAnsi="SimSun" w:eastAsia="SimSun" w:cs="SimSun"/>
          <w:sz w:val="24"/>
          <w:szCs w:val="24"/>
          <w:spacing w:val="-3"/>
        </w:rPr>
        <w:t>，本项目大气环境风险评价等级为三级，大气环境风险评价</w:t>
      </w:r>
      <w:r>
        <w:rPr>
          <w:rFonts w:ascii="SimSun" w:hAnsi="SimSun" w:eastAsia="SimSun" w:cs="SimSun"/>
          <w:sz w:val="24"/>
          <w:szCs w:val="24"/>
          <w:spacing w:val="-4"/>
        </w:rPr>
        <w:t>范围</w:t>
      </w:r>
      <w:r>
        <w:rPr>
          <w:rFonts w:ascii="SimSun" w:hAnsi="SimSun" w:eastAsia="SimSun" w:cs="SimSun"/>
          <w:sz w:val="24"/>
          <w:szCs w:val="24"/>
        </w:rPr>
        <w:t xml:space="preserve"> </w:t>
      </w:r>
      <w:r>
        <w:rPr>
          <w:rFonts w:ascii="SimSun" w:hAnsi="SimSun" w:eastAsia="SimSun" w:cs="SimSun"/>
          <w:sz w:val="24"/>
          <w:szCs w:val="24"/>
        </w:rPr>
        <w:t>为项目厂界向外延伸</w:t>
      </w:r>
      <w:r>
        <w:rPr>
          <w:rFonts w:ascii="SimSun" w:hAnsi="SimSun" w:eastAsia="SimSun" w:cs="SimSun"/>
          <w:sz w:val="24"/>
          <w:szCs w:val="24"/>
          <w:spacing w:val="-34"/>
        </w:rPr>
        <w:t xml:space="preserve"> </w:t>
      </w:r>
      <w:r>
        <w:rPr>
          <w:rFonts w:ascii="Times New Roman" w:hAnsi="Times New Roman" w:eastAsia="Times New Roman" w:cs="Times New Roman"/>
          <w:sz w:val="24"/>
          <w:szCs w:val="24"/>
        </w:rPr>
        <w:t>3km </w:t>
      </w:r>
      <w:r>
        <w:rPr>
          <w:rFonts w:ascii="SimSun" w:hAnsi="SimSun" w:eastAsia="SimSun" w:cs="SimSun"/>
          <w:sz w:val="24"/>
          <w:szCs w:val="24"/>
        </w:rPr>
        <w:t>形成的包络线区域；地表水环境风险评价等级为简单分 </w:t>
      </w:r>
      <w:r>
        <w:rPr>
          <w:rFonts w:ascii="SimSun" w:hAnsi="SimSun" w:eastAsia="SimSun" w:cs="SimSun"/>
          <w:sz w:val="24"/>
          <w:szCs w:val="24"/>
          <w:spacing w:val="3"/>
        </w:rPr>
        <w:t>析，本项目不涉及废水直接排放，不设评价范围；</w:t>
      </w:r>
      <w:r>
        <w:rPr>
          <w:rFonts w:ascii="SimSun" w:hAnsi="SimSun" w:eastAsia="SimSun" w:cs="SimSun"/>
          <w:sz w:val="24"/>
          <w:szCs w:val="24"/>
          <w:spacing w:val="2"/>
        </w:rPr>
        <w:t>地下水环境风险评价等级为二</w:t>
      </w:r>
      <w:r>
        <w:rPr>
          <w:rFonts w:ascii="SimSun" w:hAnsi="SimSun" w:eastAsia="SimSun" w:cs="SimSun"/>
          <w:sz w:val="24"/>
          <w:szCs w:val="24"/>
        </w:rPr>
        <w:t xml:space="preserve"> </w:t>
      </w:r>
      <w:r>
        <w:rPr>
          <w:rFonts w:ascii="SimSun" w:hAnsi="SimSun" w:eastAsia="SimSun" w:cs="SimSun"/>
          <w:sz w:val="24"/>
          <w:szCs w:val="24"/>
          <w:spacing w:val="3"/>
        </w:rPr>
        <w:t>级，评价范围以厂区为起点，地下水环境风险评价范围与</w:t>
      </w:r>
      <w:r>
        <w:rPr>
          <w:rFonts w:ascii="SimSun" w:hAnsi="SimSun" w:eastAsia="SimSun" w:cs="SimSun"/>
          <w:sz w:val="24"/>
          <w:szCs w:val="24"/>
          <w:spacing w:val="2"/>
        </w:rPr>
        <w:t>地下水环境评价范围等</w:t>
      </w:r>
      <w:r>
        <w:rPr>
          <w:rFonts w:ascii="SimSun" w:hAnsi="SimSun" w:eastAsia="SimSun" w:cs="SimSun"/>
          <w:sz w:val="24"/>
          <w:szCs w:val="24"/>
        </w:rPr>
        <w:t xml:space="preserve"> </w:t>
      </w:r>
      <w:r>
        <w:rPr>
          <w:rFonts w:ascii="SimSun" w:hAnsi="SimSun" w:eastAsia="SimSun" w:cs="SimSun"/>
          <w:sz w:val="24"/>
          <w:szCs w:val="24"/>
          <w:spacing w:val="3"/>
        </w:rPr>
        <w:t>同。若沼液肥还田利用出现不畅或无法正常还田利</w:t>
      </w:r>
      <w:r>
        <w:rPr>
          <w:rFonts w:ascii="SimSun" w:hAnsi="SimSun" w:eastAsia="SimSun" w:cs="SimSun"/>
          <w:sz w:val="24"/>
          <w:szCs w:val="24"/>
          <w:spacing w:val="2"/>
        </w:rPr>
        <w:t>用，建设单位应合理处置沼液</w:t>
      </w:r>
      <w:r>
        <w:rPr>
          <w:rFonts w:ascii="SimSun" w:hAnsi="SimSun" w:eastAsia="SimSun" w:cs="SimSun"/>
          <w:sz w:val="24"/>
          <w:szCs w:val="24"/>
        </w:rPr>
        <w:t xml:space="preserve"> </w:t>
      </w:r>
      <w:r>
        <w:rPr>
          <w:rFonts w:ascii="SimSun" w:hAnsi="SimSun" w:eastAsia="SimSun" w:cs="SimSun"/>
          <w:sz w:val="24"/>
          <w:szCs w:val="24"/>
          <w:spacing w:val="-1"/>
        </w:rPr>
        <w:t>肥或停产生产，降低环境风险。</w:t>
      </w:r>
    </w:p>
    <w:p>
      <w:pPr>
        <w:ind w:left="15"/>
        <w:spacing w:before="156" w:line="222" w:lineRule="auto"/>
        <w:outlineLvl w:val="2"/>
        <w:rPr>
          <w:rFonts w:ascii="SimHei" w:hAnsi="SimHei" w:eastAsia="SimHei" w:cs="SimHei"/>
          <w:sz w:val="28"/>
          <w:szCs w:val="28"/>
        </w:rPr>
      </w:pPr>
      <w:bookmarkStart w:name="bookmark34" w:id="39"/>
      <w:bookmarkEnd w:id="39"/>
      <w:r>
        <w:rPr>
          <w:rFonts w:ascii="Times New Roman" w:hAnsi="Times New Roman" w:eastAsia="Times New Roman" w:cs="Times New Roman"/>
          <w:sz w:val="28"/>
          <w:szCs w:val="28"/>
          <w:spacing w:val="-1"/>
        </w:rPr>
        <w:t>2.4.8 </w:t>
      </w:r>
      <w:r>
        <w:rPr>
          <w:rFonts w:ascii="SimHei" w:hAnsi="SimHei" w:eastAsia="SimHei" w:cs="SimHei"/>
          <w:sz w:val="28"/>
          <w:szCs w:val="28"/>
          <w:spacing w:val="-1"/>
        </w:rPr>
        <w:t>评价范围</w:t>
      </w:r>
    </w:p>
    <w:p>
      <w:pPr>
        <w:pStyle w:val="BodyText"/>
        <w:spacing w:line="278" w:lineRule="auto"/>
        <w:rPr/>
      </w:pPr>
      <w:r/>
    </w:p>
    <w:p>
      <w:pPr>
        <w:spacing w:before="78" w:line="218" w:lineRule="auto"/>
        <w:jc w:val="right"/>
        <w:rPr>
          <w:rFonts w:ascii="SimSun" w:hAnsi="SimSun" w:eastAsia="SimSun" w:cs="SimSun"/>
          <w:sz w:val="24"/>
          <w:szCs w:val="24"/>
        </w:rPr>
      </w:pPr>
      <w:r>
        <w:rPr>
          <w:rFonts w:ascii="SimSun" w:hAnsi="SimSun" w:eastAsia="SimSun" w:cs="SimSun"/>
          <w:sz w:val="24"/>
          <w:szCs w:val="24"/>
          <w:spacing w:val="-3"/>
        </w:rPr>
        <w:t>本项目评价工作等级及范围统计见表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2.4-12</w:t>
      </w:r>
      <w:r>
        <w:rPr>
          <w:rFonts w:ascii="SimSun" w:hAnsi="SimSun" w:eastAsia="SimSun" w:cs="SimSun"/>
          <w:sz w:val="24"/>
          <w:szCs w:val="24"/>
          <w:spacing w:val="-3"/>
        </w:rPr>
        <w:t>，评价范围分布见图</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2.4</w:t>
      </w:r>
      <w:r>
        <w:rPr>
          <w:rFonts w:ascii="Times New Roman" w:hAnsi="Times New Roman" w:eastAsia="Times New Roman" w:cs="Times New Roman"/>
          <w:sz w:val="24"/>
          <w:szCs w:val="24"/>
          <w:spacing w:val="-4"/>
        </w:rPr>
        <w:t>-1</w:t>
      </w:r>
      <w:r>
        <w:rPr>
          <w:rFonts w:ascii="SimSun" w:hAnsi="SimSun" w:eastAsia="SimSun" w:cs="SimSun"/>
          <w:sz w:val="24"/>
          <w:szCs w:val="24"/>
          <w:spacing w:val="-4"/>
        </w:rPr>
        <w:t>、</w:t>
      </w:r>
      <w:r>
        <w:rPr>
          <w:rFonts w:ascii="Times New Roman" w:hAnsi="Times New Roman" w:eastAsia="Times New Roman" w:cs="Times New Roman"/>
          <w:sz w:val="24"/>
          <w:szCs w:val="24"/>
          <w:spacing w:val="-4"/>
        </w:rPr>
        <w:t>2.4-2</w:t>
      </w:r>
      <w:r>
        <w:rPr>
          <w:rFonts w:ascii="SimSun" w:hAnsi="SimSun" w:eastAsia="SimSun" w:cs="SimSun"/>
          <w:sz w:val="24"/>
          <w:szCs w:val="24"/>
          <w:spacing w:val="-4"/>
        </w:rPr>
        <w:t>。</w:t>
      </w:r>
    </w:p>
    <w:p>
      <w:pPr>
        <w:ind w:left="1822"/>
        <w:spacing w:before="184"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2.4-12      </w:t>
      </w:r>
      <w:r>
        <w:rPr>
          <w:rFonts w:ascii="SimSun" w:hAnsi="SimSun" w:eastAsia="SimSun" w:cs="SimSun"/>
          <w:sz w:val="24"/>
          <w:szCs w:val="24"/>
          <w:b/>
          <w:bCs/>
          <w:spacing w:val="-2"/>
        </w:rPr>
        <w:t>环境影响评价工作等级及评价范围</w:t>
      </w:r>
    </w:p>
    <w:tbl>
      <w:tblPr>
        <w:tblStyle w:val="TableNormal"/>
        <w:tblW w:w="851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9"/>
        <w:gridCol w:w="668"/>
        <w:gridCol w:w="1060"/>
        <w:gridCol w:w="5840"/>
      </w:tblGrid>
      <w:tr>
        <w:trPr>
          <w:trHeight w:val="282" w:hRule="atLeast"/>
        </w:trPr>
        <w:tc>
          <w:tcPr>
            <w:tcW w:w="1617" w:type="dxa"/>
            <w:vAlign w:val="top"/>
            <w:gridSpan w:val="2"/>
          </w:tcPr>
          <w:p>
            <w:pPr>
              <w:pStyle w:val="TableText"/>
              <w:ind w:left="393"/>
              <w:spacing w:before="36" w:line="217" w:lineRule="auto"/>
              <w:rPr/>
            </w:pPr>
            <w:r>
              <w:rPr>
                <w:spacing w:val="7"/>
              </w:rPr>
              <w:t>评价项目</w:t>
            </w:r>
          </w:p>
        </w:tc>
        <w:tc>
          <w:tcPr>
            <w:tcW w:w="1060" w:type="dxa"/>
            <w:vAlign w:val="top"/>
          </w:tcPr>
          <w:p>
            <w:pPr>
              <w:pStyle w:val="TableText"/>
              <w:ind w:left="113"/>
              <w:spacing w:before="36" w:line="217" w:lineRule="auto"/>
              <w:rPr/>
            </w:pPr>
            <w:r>
              <w:rPr>
                <w:spacing w:val="7"/>
              </w:rPr>
              <w:t>评价等级</w:t>
            </w:r>
          </w:p>
        </w:tc>
        <w:tc>
          <w:tcPr>
            <w:tcW w:w="5840" w:type="dxa"/>
            <w:vAlign w:val="top"/>
          </w:tcPr>
          <w:p>
            <w:pPr>
              <w:pStyle w:val="TableText"/>
              <w:ind w:left="2501"/>
              <w:spacing w:before="36" w:line="217" w:lineRule="auto"/>
              <w:rPr/>
            </w:pPr>
            <w:r>
              <w:rPr>
                <w:spacing w:val="7"/>
              </w:rPr>
              <w:t>评价范围</w:t>
            </w:r>
          </w:p>
        </w:tc>
      </w:tr>
      <w:tr>
        <w:trPr>
          <w:trHeight w:val="277" w:hRule="atLeast"/>
        </w:trPr>
        <w:tc>
          <w:tcPr>
            <w:tcW w:w="1617" w:type="dxa"/>
            <w:vAlign w:val="top"/>
            <w:gridSpan w:val="2"/>
          </w:tcPr>
          <w:p>
            <w:pPr>
              <w:pStyle w:val="TableText"/>
              <w:ind w:left="396"/>
              <w:spacing w:before="30" w:line="218" w:lineRule="auto"/>
              <w:rPr/>
            </w:pPr>
            <w:r>
              <w:rPr>
                <w:spacing w:val="6"/>
              </w:rPr>
              <w:t>大气环境</w:t>
            </w:r>
          </w:p>
        </w:tc>
        <w:tc>
          <w:tcPr>
            <w:tcW w:w="1060" w:type="dxa"/>
            <w:vAlign w:val="top"/>
          </w:tcPr>
          <w:p>
            <w:pPr>
              <w:pStyle w:val="TableText"/>
              <w:ind w:left="326"/>
              <w:spacing w:before="30" w:line="218" w:lineRule="auto"/>
              <w:rPr/>
            </w:pPr>
            <w:r>
              <w:rPr>
                <w:spacing w:val="4"/>
              </w:rPr>
              <w:t>二级</w:t>
            </w:r>
          </w:p>
        </w:tc>
        <w:tc>
          <w:tcPr>
            <w:tcW w:w="5840" w:type="dxa"/>
            <w:vAlign w:val="top"/>
          </w:tcPr>
          <w:p>
            <w:pPr>
              <w:pStyle w:val="TableText"/>
              <w:ind w:left="678"/>
              <w:spacing w:before="30" w:line="218" w:lineRule="auto"/>
              <w:rPr/>
            </w:pPr>
            <w:r>
              <w:rPr>
                <w:spacing w:val="10"/>
              </w:rPr>
              <w:t>以厂区为中心，向外延伸形成</w:t>
            </w:r>
            <w:r>
              <w:rPr>
                <w:spacing w:val="-21"/>
              </w:rPr>
              <w:t xml:space="preserve"> </w:t>
            </w:r>
            <w:r>
              <w:rPr>
                <w:rFonts w:ascii="Times New Roman" w:hAnsi="Times New Roman" w:eastAsia="Times New Roman" w:cs="Times New Roman"/>
                <w:spacing w:val="10"/>
              </w:rPr>
              <w:t>5</w:t>
            </w:r>
            <w:r>
              <w:rPr>
                <w:rFonts w:ascii="Times New Roman" w:hAnsi="Times New Roman" w:eastAsia="Times New Roman" w:cs="Times New Roman"/>
              </w:rPr>
              <w:t>km</w:t>
            </w:r>
            <w:r>
              <w:rPr>
                <w:rFonts w:ascii="Times New Roman" w:hAnsi="Times New Roman" w:eastAsia="Times New Roman" w:cs="Times New Roman"/>
                <w:spacing w:val="10"/>
              </w:rPr>
              <w:t>×5</w:t>
            </w:r>
            <w:r>
              <w:rPr>
                <w:rFonts w:ascii="Times New Roman" w:hAnsi="Times New Roman" w:eastAsia="Times New Roman" w:cs="Times New Roman"/>
              </w:rPr>
              <w:t>km</w:t>
            </w:r>
            <w:r>
              <w:rPr>
                <w:spacing w:val="10"/>
              </w:rPr>
              <w:t>矩形区域</w:t>
            </w:r>
          </w:p>
        </w:tc>
      </w:tr>
      <w:tr>
        <w:trPr>
          <w:trHeight w:val="277" w:hRule="atLeast"/>
        </w:trPr>
        <w:tc>
          <w:tcPr>
            <w:tcW w:w="1617" w:type="dxa"/>
            <w:vAlign w:val="top"/>
            <w:gridSpan w:val="2"/>
          </w:tcPr>
          <w:p>
            <w:pPr>
              <w:pStyle w:val="TableText"/>
              <w:ind w:left="288"/>
              <w:spacing w:before="31" w:line="217" w:lineRule="auto"/>
              <w:rPr/>
            </w:pPr>
            <w:r>
              <w:rPr>
                <w:spacing w:val="8"/>
              </w:rPr>
              <w:t>地表水环境</w:t>
            </w:r>
          </w:p>
        </w:tc>
        <w:tc>
          <w:tcPr>
            <w:tcW w:w="1060" w:type="dxa"/>
            <w:vAlign w:val="top"/>
          </w:tcPr>
          <w:p>
            <w:pPr>
              <w:pStyle w:val="TableText"/>
              <w:ind w:left="226"/>
              <w:spacing w:before="31" w:line="217" w:lineRule="auto"/>
              <w:rPr>
                <w:rFonts w:ascii="Times New Roman" w:hAnsi="Times New Roman" w:eastAsia="Times New Roman" w:cs="Times New Roman"/>
              </w:rPr>
            </w:pPr>
            <w:r>
              <w:rPr>
                <w:spacing w:val="3"/>
              </w:rPr>
              <w:t>三级</w:t>
            </w:r>
            <w:r>
              <w:rPr>
                <w:spacing w:val="-40"/>
              </w:rPr>
              <w:t xml:space="preserve"> </w:t>
            </w:r>
            <w:r>
              <w:rPr>
                <w:rFonts w:ascii="Times New Roman" w:hAnsi="Times New Roman" w:eastAsia="Times New Roman" w:cs="Times New Roman"/>
                <w:spacing w:val="3"/>
              </w:rPr>
              <w:t>B</w:t>
            </w:r>
          </w:p>
        </w:tc>
        <w:tc>
          <w:tcPr>
            <w:tcW w:w="5840" w:type="dxa"/>
            <w:vAlign w:val="top"/>
          </w:tcPr>
          <w:p>
            <w:pPr>
              <w:pStyle w:val="TableText"/>
              <w:ind w:left="2297"/>
              <w:spacing w:before="31" w:line="217" w:lineRule="auto"/>
              <w:rPr/>
            </w:pPr>
            <w:r>
              <w:rPr>
                <w:spacing w:val="7"/>
              </w:rPr>
              <w:t>不设评价范围</w:t>
            </w:r>
          </w:p>
        </w:tc>
      </w:tr>
      <w:tr>
        <w:trPr>
          <w:trHeight w:val="549" w:hRule="atLeast"/>
        </w:trPr>
        <w:tc>
          <w:tcPr>
            <w:tcW w:w="1617" w:type="dxa"/>
            <w:vAlign w:val="top"/>
            <w:gridSpan w:val="2"/>
          </w:tcPr>
          <w:p>
            <w:pPr>
              <w:pStyle w:val="TableText"/>
              <w:ind w:left="288"/>
              <w:spacing w:before="166" w:line="228" w:lineRule="auto"/>
              <w:rPr/>
            </w:pPr>
            <w:r>
              <w:rPr>
                <w:spacing w:val="8"/>
              </w:rPr>
              <w:t>地下水环境</w:t>
            </w:r>
          </w:p>
        </w:tc>
        <w:tc>
          <w:tcPr>
            <w:tcW w:w="1060" w:type="dxa"/>
            <w:vAlign w:val="top"/>
          </w:tcPr>
          <w:p>
            <w:pPr>
              <w:pStyle w:val="TableText"/>
              <w:ind w:left="326"/>
              <w:spacing w:before="167" w:line="230" w:lineRule="auto"/>
              <w:rPr/>
            </w:pPr>
            <w:r>
              <w:rPr>
                <w:spacing w:val="4"/>
              </w:rPr>
              <w:t>一级</w:t>
            </w:r>
          </w:p>
        </w:tc>
        <w:tc>
          <w:tcPr>
            <w:tcW w:w="5840" w:type="dxa"/>
            <w:vAlign w:val="top"/>
          </w:tcPr>
          <w:p>
            <w:pPr>
              <w:pStyle w:val="TableText"/>
              <w:ind w:left="9" w:firstLine="2"/>
              <w:spacing w:before="32" w:line="234" w:lineRule="auto"/>
              <w:rPr/>
            </w:pPr>
            <w:r>
              <w:rPr>
                <w:spacing w:val="-2"/>
              </w:rPr>
              <w:t>南、北侧以地表分水岭（山脊线）为界，东侧（上游）、西侧（下</w:t>
            </w:r>
            <w:r>
              <w:rPr>
                <w:spacing w:val="12"/>
              </w:rPr>
              <w:t xml:space="preserve"> </w:t>
            </w:r>
            <w:r>
              <w:rPr>
                <w:spacing w:val="2"/>
              </w:rPr>
              <w:t>游）以平行等水位线为界，划定地下水调查评价区面积</w:t>
            </w:r>
            <w:r>
              <w:rPr>
                <w:spacing w:val="-6"/>
              </w:rPr>
              <w:t xml:space="preserve"> </w:t>
            </w:r>
            <w:r>
              <w:rPr>
                <w:rFonts w:ascii="Times New Roman" w:hAnsi="Times New Roman" w:eastAsia="Times New Roman" w:cs="Times New Roman"/>
                <w:spacing w:val="2"/>
              </w:rPr>
              <w:t>16.7</w:t>
            </w:r>
            <w:r>
              <w:rPr>
                <w:rFonts w:ascii="Times New Roman" w:hAnsi="Times New Roman" w:eastAsia="Times New Roman" w:cs="Times New Roman"/>
              </w:rPr>
              <w:t>km</w:t>
            </w:r>
            <w:r>
              <w:rPr>
                <w:rFonts w:ascii="Times New Roman" w:hAnsi="Times New Roman" w:eastAsia="Times New Roman" w:cs="Times New Roman"/>
                <w:sz w:val="13"/>
                <w:szCs w:val="13"/>
                <w:spacing w:val="2"/>
                <w:position w:val="6"/>
              </w:rPr>
              <w:t>2</w:t>
            </w:r>
            <w:r>
              <w:rPr>
                <w:spacing w:val="2"/>
              </w:rPr>
              <w:t>。</w:t>
            </w:r>
          </w:p>
        </w:tc>
      </w:tr>
      <w:tr>
        <w:trPr>
          <w:trHeight w:val="277" w:hRule="atLeast"/>
        </w:trPr>
        <w:tc>
          <w:tcPr>
            <w:tcW w:w="1617" w:type="dxa"/>
            <w:vAlign w:val="top"/>
            <w:gridSpan w:val="2"/>
          </w:tcPr>
          <w:p>
            <w:pPr>
              <w:pStyle w:val="TableText"/>
              <w:ind w:left="503"/>
              <w:spacing w:before="33" w:line="216" w:lineRule="auto"/>
              <w:rPr/>
            </w:pPr>
            <w:r>
              <w:rPr>
                <w:spacing w:val="5"/>
              </w:rPr>
              <w:t>声环境</w:t>
            </w:r>
          </w:p>
        </w:tc>
        <w:tc>
          <w:tcPr>
            <w:tcW w:w="1060" w:type="dxa"/>
            <w:vAlign w:val="top"/>
          </w:tcPr>
          <w:p>
            <w:pPr>
              <w:pStyle w:val="TableText"/>
              <w:ind w:left="326"/>
              <w:spacing w:before="33" w:line="216" w:lineRule="auto"/>
              <w:rPr/>
            </w:pPr>
            <w:r>
              <w:rPr>
                <w:spacing w:val="4"/>
              </w:rPr>
              <w:t>二级</w:t>
            </w:r>
          </w:p>
        </w:tc>
        <w:tc>
          <w:tcPr>
            <w:tcW w:w="5840" w:type="dxa"/>
            <w:vAlign w:val="top"/>
          </w:tcPr>
          <w:p>
            <w:pPr>
              <w:pStyle w:val="TableText"/>
              <w:ind w:left="2109"/>
              <w:spacing w:before="33" w:line="216" w:lineRule="auto"/>
              <w:rPr/>
            </w:pPr>
            <w:r>
              <w:rPr>
                <w:spacing w:val="4"/>
              </w:rPr>
              <w:t>厂界外</w:t>
            </w:r>
            <w:r>
              <w:rPr>
                <w:spacing w:val="-38"/>
              </w:rPr>
              <w:t xml:space="preserve"> </w:t>
            </w:r>
            <w:r>
              <w:rPr>
                <w:rFonts w:ascii="Times New Roman" w:hAnsi="Times New Roman" w:eastAsia="Times New Roman" w:cs="Times New Roman"/>
                <w:spacing w:val="4"/>
              </w:rPr>
              <w:t>200m</w:t>
            </w:r>
            <w:r>
              <w:rPr>
                <w:rFonts w:ascii="Times New Roman" w:hAnsi="Times New Roman" w:eastAsia="Times New Roman" w:cs="Times New Roman"/>
                <w:spacing w:val="16"/>
                <w:w w:val="101"/>
              </w:rPr>
              <w:t xml:space="preserve"> </w:t>
            </w:r>
            <w:r>
              <w:rPr>
                <w:spacing w:val="4"/>
              </w:rPr>
              <w:t>范围</w:t>
            </w:r>
          </w:p>
        </w:tc>
      </w:tr>
      <w:tr>
        <w:trPr>
          <w:trHeight w:val="277" w:hRule="atLeast"/>
        </w:trPr>
        <w:tc>
          <w:tcPr>
            <w:tcW w:w="1617" w:type="dxa"/>
            <w:vAlign w:val="top"/>
            <w:gridSpan w:val="2"/>
          </w:tcPr>
          <w:p>
            <w:pPr>
              <w:pStyle w:val="TableText"/>
              <w:ind w:left="395"/>
              <w:spacing w:before="34" w:line="215" w:lineRule="auto"/>
              <w:rPr/>
            </w:pPr>
            <w:r>
              <w:rPr>
                <w:spacing w:val="6"/>
              </w:rPr>
              <w:t>生态环境</w:t>
            </w:r>
          </w:p>
        </w:tc>
        <w:tc>
          <w:tcPr>
            <w:tcW w:w="1060" w:type="dxa"/>
            <w:vAlign w:val="top"/>
          </w:tcPr>
          <w:p>
            <w:pPr>
              <w:pStyle w:val="TableText"/>
              <w:ind w:left="322"/>
              <w:spacing w:before="34" w:line="215" w:lineRule="auto"/>
              <w:rPr/>
            </w:pPr>
            <w:r>
              <w:rPr>
                <w:spacing w:val="4"/>
              </w:rPr>
              <w:t>三级</w:t>
            </w:r>
          </w:p>
        </w:tc>
        <w:tc>
          <w:tcPr>
            <w:tcW w:w="5840" w:type="dxa"/>
            <w:vAlign w:val="top"/>
          </w:tcPr>
          <w:p>
            <w:pPr>
              <w:pStyle w:val="TableText"/>
              <w:ind w:left="1477"/>
              <w:spacing w:before="34" w:line="215" w:lineRule="auto"/>
              <w:rPr/>
            </w:pPr>
            <w:r>
              <w:rPr>
                <w:spacing w:val="5"/>
              </w:rPr>
              <w:t>评价范围为厂界外扩</w:t>
            </w:r>
            <w:r>
              <w:rPr>
                <w:spacing w:val="-24"/>
              </w:rPr>
              <w:t xml:space="preserve"> </w:t>
            </w:r>
            <w:r>
              <w:rPr>
                <w:rFonts w:ascii="Times New Roman" w:hAnsi="Times New Roman" w:eastAsia="Times New Roman" w:cs="Times New Roman"/>
                <w:spacing w:val="5"/>
              </w:rPr>
              <w:t>500m</w:t>
            </w:r>
            <w:r>
              <w:rPr>
                <w:rFonts w:ascii="Times New Roman" w:hAnsi="Times New Roman" w:eastAsia="Times New Roman" w:cs="Times New Roman"/>
                <w:spacing w:val="24"/>
                <w:w w:val="101"/>
              </w:rPr>
              <w:t xml:space="preserve"> </w:t>
            </w:r>
            <w:r>
              <w:rPr>
                <w:spacing w:val="5"/>
              </w:rPr>
              <w:t>区域</w:t>
            </w:r>
          </w:p>
        </w:tc>
      </w:tr>
      <w:tr>
        <w:trPr>
          <w:trHeight w:val="277" w:hRule="atLeast"/>
        </w:trPr>
        <w:tc>
          <w:tcPr>
            <w:tcW w:w="1617" w:type="dxa"/>
            <w:vAlign w:val="top"/>
            <w:gridSpan w:val="2"/>
          </w:tcPr>
          <w:p>
            <w:pPr>
              <w:pStyle w:val="TableText"/>
              <w:ind w:left="394"/>
              <w:spacing w:before="33" w:line="216" w:lineRule="auto"/>
              <w:rPr/>
            </w:pPr>
            <w:r>
              <w:rPr>
                <w:spacing w:val="7"/>
              </w:rPr>
              <w:t>土壤环境</w:t>
            </w:r>
          </w:p>
        </w:tc>
        <w:tc>
          <w:tcPr>
            <w:tcW w:w="1060" w:type="dxa"/>
            <w:vAlign w:val="top"/>
          </w:tcPr>
          <w:p>
            <w:pPr>
              <w:pStyle w:val="TableText"/>
              <w:ind w:left="326"/>
              <w:spacing w:before="33" w:line="216" w:lineRule="auto"/>
              <w:rPr/>
            </w:pPr>
            <w:r>
              <w:rPr>
                <w:spacing w:val="3"/>
              </w:rPr>
              <w:t>二级</w:t>
            </w:r>
          </w:p>
        </w:tc>
        <w:tc>
          <w:tcPr>
            <w:tcW w:w="5840" w:type="dxa"/>
            <w:vAlign w:val="top"/>
          </w:tcPr>
          <w:p>
            <w:pPr>
              <w:pStyle w:val="TableText"/>
              <w:ind w:left="1768"/>
              <w:spacing w:before="33" w:line="216" w:lineRule="auto"/>
              <w:rPr/>
            </w:pPr>
            <w:r>
              <w:rPr>
                <w:spacing w:val="5"/>
              </w:rPr>
              <w:t>厂界向外延伸</w:t>
            </w:r>
            <w:r>
              <w:rPr>
                <w:spacing w:val="-38"/>
              </w:rPr>
              <w:t xml:space="preserve"> </w:t>
            </w:r>
            <w:r>
              <w:rPr>
                <w:rFonts w:ascii="Times New Roman" w:hAnsi="Times New Roman" w:eastAsia="Times New Roman" w:cs="Times New Roman"/>
                <w:spacing w:val="5"/>
              </w:rPr>
              <w:t>0.2</w:t>
            </w:r>
            <w:r>
              <w:rPr>
                <w:rFonts w:ascii="Times New Roman" w:hAnsi="Times New Roman" w:eastAsia="Times New Roman" w:cs="Times New Roman"/>
              </w:rPr>
              <w:t>km</w:t>
            </w:r>
            <w:r>
              <w:rPr>
                <w:rFonts w:ascii="Times New Roman" w:hAnsi="Times New Roman" w:eastAsia="Times New Roman" w:cs="Times New Roman"/>
                <w:spacing w:val="29"/>
                <w:w w:val="101"/>
              </w:rPr>
              <w:t xml:space="preserve"> </w:t>
            </w:r>
            <w:r>
              <w:rPr>
                <w:spacing w:val="5"/>
              </w:rPr>
              <w:t>区域</w:t>
            </w:r>
          </w:p>
        </w:tc>
      </w:tr>
      <w:tr>
        <w:trPr>
          <w:trHeight w:val="276" w:hRule="atLeast"/>
        </w:trPr>
        <w:tc>
          <w:tcPr>
            <w:tcW w:w="949" w:type="dxa"/>
            <w:vAlign w:val="top"/>
            <w:vMerge w:val="restart"/>
            <w:tcBorders>
              <w:bottom w:val="nil"/>
            </w:tcBorders>
          </w:tcPr>
          <w:p>
            <w:pPr>
              <w:spacing w:line="249" w:lineRule="auto"/>
              <w:rPr>
                <w:rFonts w:ascii="Arial"/>
                <w:sz w:val="21"/>
              </w:rPr>
            </w:pPr>
            <w:r/>
          </w:p>
          <w:p>
            <w:pPr>
              <w:pStyle w:val="TableText"/>
              <w:ind w:left="60"/>
              <w:spacing w:before="65" w:line="228" w:lineRule="auto"/>
              <w:rPr/>
            </w:pPr>
            <w:r>
              <w:rPr>
                <w:spacing w:val="7"/>
              </w:rPr>
              <w:t>环境风险</w:t>
            </w:r>
          </w:p>
        </w:tc>
        <w:tc>
          <w:tcPr>
            <w:tcW w:w="668" w:type="dxa"/>
            <w:vAlign w:val="top"/>
          </w:tcPr>
          <w:p>
            <w:pPr>
              <w:pStyle w:val="TableText"/>
              <w:ind w:left="129"/>
              <w:spacing w:before="34" w:line="214" w:lineRule="auto"/>
              <w:rPr/>
            </w:pPr>
            <w:r>
              <w:rPr>
                <w:spacing w:val="3"/>
              </w:rPr>
              <w:t>大气</w:t>
            </w:r>
          </w:p>
        </w:tc>
        <w:tc>
          <w:tcPr>
            <w:tcW w:w="1060" w:type="dxa"/>
            <w:vAlign w:val="top"/>
          </w:tcPr>
          <w:p>
            <w:pPr>
              <w:pStyle w:val="TableText"/>
              <w:ind w:left="322"/>
              <w:spacing w:before="34" w:line="214" w:lineRule="auto"/>
              <w:rPr/>
            </w:pPr>
            <w:r>
              <w:rPr>
                <w:spacing w:val="6"/>
              </w:rPr>
              <w:t>三级</w:t>
            </w:r>
          </w:p>
        </w:tc>
        <w:tc>
          <w:tcPr>
            <w:tcW w:w="5840" w:type="dxa"/>
            <w:vAlign w:val="top"/>
          </w:tcPr>
          <w:p>
            <w:pPr>
              <w:pStyle w:val="TableText"/>
              <w:ind w:left="1008"/>
              <w:spacing w:before="34" w:line="214" w:lineRule="auto"/>
              <w:rPr/>
            </w:pPr>
            <w:r>
              <w:rPr>
                <w:spacing w:val="8"/>
              </w:rPr>
              <w:t>项目厂界向外延伸</w:t>
            </w:r>
            <w:r>
              <w:rPr>
                <w:spacing w:val="-36"/>
              </w:rPr>
              <w:t xml:space="preserve"> </w:t>
            </w:r>
            <w:r>
              <w:rPr>
                <w:rFonts w:ascii="Times New Roman" w:hAnsi="Times New Roman" w:eastAsia="Times New Roman" w:cs="Times New Roman"/>
                <w:spacing w:val="8"/>
              </w:rPr>
              <w:t>3</w:t>
            </w:r>
            <w:r>
              <w:rPr>
                <w:rFonts w:ascii="Times New Roman" w:hAnsi="Times New Roman" w:eastAsia="Times New Roman" w:cs="Times New Roman"/>
              </w:rPr>
              <w:t>km</w:t>
            </w:r>
            <w:r>
              <w:rPr>
                <w:rFonts w:ascii="Times New Roman" w:hAnsi="Times New Roman" w:eastAsia="Times New Roman" w:cs="Times New Roman"/>
                <w:spacing w:val="17"/>
              </w:rPr>
              <w:t xml:space="preserve"> </w:t>
            </w:r>
            <w:r>
              <w:rPr>
                <w:spacing w:val="8"/>
              </w:rPr>
              <w:t>形成的包络线区域</w:t>
            </w:r>
          </w:p>
        </w:tc>
      </w:tr>
      <w:tr>
        <w:trPr>
          <w:trHeight w:val="277" w:hRule="atLeast"/>
        </w:trPr>
        <w:tc>
          <w:tcPr>
            <w:tcW w:w="949" w:type="dxa"/>
            <w:vAlign w:val="top"/>
            <w:vMerge w:val="continue"/>
            <w:tcBorders>
              <w:top w:val="nil"/>
              <w:bottom w:val="nil"/>
            </w:tcBorders>
          </w:tcPr>
          <w:p>
            <w:pPr>
              <w:rPr>
                <w:rFonts w:ascii="Arial"/>
                <w:sz w:val="21"/>
              </w:rPr>
            </w:pPr>
            <w:r/>
          </w:p>
        </w:tc>
        <w:tc>
          <w:tcPr>
            <w:tcW w:w="668" w:type="dxa"/>
            <w:vAlign w:val="top"/>
          </w:tcPr>
          <w:p>
            <w:pPr>
              <w:pStyle w:val="TableText"/>
              <w:ind w:left="23"/>
              <w:spacing w:before="34" w:line="215" w:lineRule="auto"/>
              <w:rPr/>
            </w:pPr>
            <w:r>
              <w:rPr>
                <w:spacing w:val="6"/>
              </w:rPr>
              <w:t>地表水</w:t>
            </w:r>
          </w:p>
        </w:tc>
        <w:tc>
          <w:tcPr>
            <w:tcW w:w="1060" w:type="dxa"/>
            <w:vAlign w:val="top"/>
          </w:tcPr>
          <w:p>
            <w:pPr>
              <w:pStyle w:val="TableText"/>
              <w:ind w:left="118"/>
              <w:spacing w:before="34" w:line="215" w:lineRule="auto"/>
              <w:rPr/>
            </w:pPr>
            <w:r>
              <w:rPr>
                <w:spacing w:val="6"/>
              </w:rPr>
              <w:t>简单分析</w:t>
            </w:r>
          </w:p>
        </w:tc>
        <w:tc>
          <w:tcPr>
            <w:tcW w:w="5840" w:type="dxa"/>
            <w:vAlign w:val="top"/>
          </w:tcPr>
          <w:p>
            <w:pPr>
              <w:pStyle w:val="TableText"/>
              <w:ind w:left="1034"/>
              <w:spacing w:before="34" w:line="215" w:lineRule="auto"/>
              <w:rPr/>
            </w:pPr>
            <w:r>
              <w:rPr>
                <w:spacing w:val="9"/>
              </w:rPr>
              <w:t>本项目不涉及废水的排放，不设评价范围</w:t>
            </w:r>
          </w:p>
        </w:tc>
      </w:tr>
      <w:tr>
        <w:trPr>
          <w:trHeight w:val="281" w:hRule="atLeast"/>
        </w:trPr>
        <w:tc>
          <w:tcPr>
            <w:tcW w:w="949" w:type="dxa"/>
            <w:vAlign w:val="top"/>
            <w:vMerge w:val="continue"/>
            <w:tcBorders>
              <w:top w:val="nil"/>
            </w:tcBorders>
          </w:tcPr>
          <w:p>
            <w:pPr>
              <w:rPr>
                <w:rFonts w:ascii="Arial"/>
                <w:sz w:val="21"/>
              </w:rPr>
            </w:pPr>
            <w:r/>
          </w:p>
        </w:tc>
        <w:tc>
          <w:tcPr>
            <w:tcW w:w="668" w:type="dxa"/>
            <w:vAlign w:val="top"/>
          </w:tcPr>
          <w:p>
            <w:pPr>
              <w:pStyle w:val="TableText"/>
              <w:ind w:left="23"/>
              <w:spacing w:before="35" w:line="217" w:lineRule="auto"/>
              <w:rPr/>
            </w:pPr>
            <w:r>
              <w:rPr>
                <w:spacing w:val="6"/>
              </w:rPr>
              <w:t>地下水</w:t>
            </w:r>
          </w:p>
        </w:tc>
        <w:tc>
          <w:tcPr>
            <w:tcW w:w="1060" w:type="dxa"/>
            <w:vAlign w:val="top"/>
          </w:tcPr>
          <w:p>
            <w:pPr>
              <w:pStyle w:val="TableText"/>
              <w:ind w:left="326"/>
              <w:spacing w:before="35" w:line="217" w:lineRule="auto"/>
              <w:rPr/>
            </w:pPr>
            <w:r>
              <w:rPr>
                <w:spacing w:val="3"/>
              </w:rPr>
              <w:t>二级</w:t>
            </w:r>
          </w:p>
        </w:tc>
        <w:tc>
          <w:tcPr>
            <w:tcW w:w="5840" w:type="dxa"/>
            <w:vAlign w:val="top"/>
          </w:tcPr>
          <w:p>
            <w:pPr>
              <w:pStyle w:val="TableText"/>
              <w:ind w:left="870"/>
              <w:spacing w:before="35" w:line="217" w:lineRule="auto"/>
              <w:rPr>
                <w:rFonts w:ascii="Times New Roman" w:hAnsi="Times New Roman" w:eastAsia="Times New Roman" w:cs="Times New Roman"/>
                <w:sz w:val="13"/>
                <w:szCs w:val="13"/>
              </w:rPr>
            </w:pPr>
            <w:r>
              <w:rPr>
                <w:spacing w:val="7"/>
              </w:rPr>
              <w:t>与地下水环境评价范围等同，总面积</w:t>
            </w:r>
            <w:r>
              <w:rPr>
                <w:spacing w:val="-14"/>
              </w:rPr>
              <w:t xml:space="preserve"> </w:t>
            </w:r>
            <w:r>
              <w:rPr>
                <w:rFonts w:ascii="Times New Roman" w:hAnsi="Times New Roman" w:eastAsia="Times New Roman" w:cs="Times New Roman"/>
                <w:spacing w:val="7"/>
              </w:rPr>
              <w:t>16.7</w:t>
            </w:r>
            <w:r>
              <w:rPr>
                <w:rFonts w:ascii="Times New Roman" w:hAnsi="Times New Roman" w:eastAsia="Times New Roman" w:cs="Times New Roman"/>
              </w:rPr>
              <w:t>km</w:t>
            </w:r>
            <w:r>
              <w:rPr>
                <w:rFonts w:ascii="Times New Roman" w:hAnsi="Times New Roman" w:eastAsia="Times New Roman" w:cs="Times New Roman"/>
                <w:sz w:val="13"/>
                <w:szCs w:val="13"/>
                <w:spacing w:val="7"/>
                <w:position w:val="6"/>
              </w:rPr>
              <w:t>2</w:t>
            </w:r>
          </w:p>
        </w:tc>
      </w:tr>
    </w:tbl>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ind w:left="5321"/>
        <w:spacing w:before="62" w:line="227" w:lineRule="auto"/>
        <w:rPr>
          <w:rFonts w:ascii="SimSun" w:hAnsi="SimSun" w:eastAsia="SimSun" w:cs="SimSun"/>
          <w:sz w:val="19"/>
          <w:szCs w:val="19"/>
        </w:rPr>
      </w:pPr>
      <w:r>
        <w:pict>
          <v:shape id="_x0000_s186" style="position:absolute;margin-left:207.918pt;margin-top:2.11078pt;mso-position-vertical-relative:text;mso-position-horizontal-relative:text;width:58.75pt;height:13.75pt;z-index:251742208;"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1"/>
                      <w:position w:val="2"/>
                    </w:rPr>
                    <w:t>34        </w:t>
                  </w:r>
                  <w:r>
                    <w:rPr>
                      <w:rFonts w:ascii="SimSun" w:hAnsi="SimSun" w:eastAsia="SimSun" w:cs="SimSun"/>
                      <w:sz w:val="19"/>
                      <w:szCs w:val="19"/>
                      <w:spacing w:val="1"/>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48"/>
          <w:pgSz w:w="11907" w:h="16840"/>
          <w:pgMar w:top="1567" w:right="1621" w:bottom="400" w:left="1692" w:header="1221" w:footer="0" w:gutter="0"/>
        </w:sectPr>
        <w:rPr>
          <w:rFonts w:ascii="SimSun" w:hAnsi="SimSun" w:eastAsia="SimSun" w:cs="SimSun"/>
          <w:sz w:val="19"/>
          <w:szCs w:val="19"/>
        </w:rPr>
      </w:pPr>
    </w:p>
    <w:p>
      <w:pPr>
        <w:ind w:firstLine="35"/>
        <w:spacing w:before="150" w:line="7596" w:lineRule="exact"/>
        <w:rPr/>
      </w:pPr>
      <w:r>
        <w:pict>
          <v:shape id="_x0000_s190" style="position:absolute;margin-left:85.05pt;margin-top:79.11pt;mso-position-vertical-relative:page;mso-position-horizontal-relative:page;width:425.25pt;height:0.75pt;z-index:251745280;" o:allowincell="f" fillcolor="#000000" filled="true" stroked="false" coordsize="8505,15" coordorigin="0,0" path="m,l8505,0l8505,14l0,14l0,0xe"/>
        </w:pict>
      </w:r>
      <w:r>
        <w:rPr>
          <w:position w:val="-151"/>
        </w:rPr>
        <w:drawing>
          <wp:inline distT="0" distB="0" distL="0" distR="0">
            <wp:extent cx="5391911" cy="4823459"/>
            <wp:effectExtent l="0" t="0" r="0" b="0"/>
            <wp:docPr id="20" name="IM 20"/>
            <wp:cNvGraphicFramePr/>
            <a:graphic>
              <a:graphicData uri="http://schemas.openxmlformats.org/drawingml/2006/picture">
                <pic:pic>
                  <pic:nvPicPr>
                    <pic:cNvPr id="20" name="IM 20"/>
                    <pic:cNvPicPr/>
                  </pic:nvPicPr>
                  <pic:blipFill>
                    <a:blip r:embed="rId50"/>
                    <a:stretch>
                      <a:fillRect/>
                    </a:stretch>
                  </pic:blipFill>
                  <pic:spPr>
                    <a:xfrm rot="0">
                      <a:off x="0" y="0"/>
                      <a:ext cx="5391911" cy="4823459"/>
                    </a:xfrm>
                    <a:prstGeom prst="rect">
                      <a:avLst/>
                    </a:prstGeom>
                  </pic:spPr>
                </pic:pic>
              </a:graphicData>
            </a:graphic>
          </wp:inline>
        </w:drawing>
      </w:r>
    </w:p>
    <w:p>
      <w:pPr>
        <w:ind w:left="1570"/>
        <w:spacing w:before="173" w:line="218" w:lineRule="auto"/>
        <w:rPr>
          <w:rFonts w:ascii="SimSun" w:hAnsi="SimSun" w:eastAsia="SimSun" w:cs="SimSun"/>
          <w:sz w:val="24"/>
          <w:szCs w:val="24"/>
        </w:rPr>
      </w:pPr>
      <w:bookmarkStart w:name="bookmark35" w:id="40"/>
      <w:bookmarkEnd w:id="40"/>
      <w:r>
        <w:rPr>
          <w:rFonts w:ascii="SimSun" w:hAnsi="SimSun" w:eastAsia="SimSun" w:cs="SimSun"/>
          <w:sz w:val="24"/>
          <w:szCs w:val="24"/>
          <w:b/>
          <w:bCs/>
          <w:spacing w:val="-3"/>
        </w:rPr>
        <w:t>图</w:t>
      </w:r>
      <w:r>
        <w:rPr>
          <w:rFonts w:ascii="SimSun" w:hAnsi="SimSun" w:eastAsia="SimSun" w:cs="SimSun"/>
          <w:sz w:val="24"/>
          <w:szCs w:val="24"/>
          <w:spacing w:val="-36"/>
        </w:rPr>
        <w:t xml:space="preserve"> </w:t>
      </w:r>
      <w:r>
        <w:rPr>
          <w:rFonts w:ascii="Times New Roman" w:hAnsi="Times New Roman" w:eastAsia="Times New Roman" w:cs="Times New Roman"/>
          <w:sz w:val="24"/>
          <w:szCs w:val="24"/>
          <w:b/>
          <w:bCs/>
          <w:spacing w:val="-3"/>
        </w:rPr>
        <w:t>2.4-2      </w:t>
      </w:r>
      <w:r>
        <w:rPr>
          <w:rFonts w:ascii="SimSun" w:hAnsi="SimSun" w:eastAsia="SimSun" w:cs="SimSun"/>
          <w:sz w:val="24"/>
          <w:szCs w:val="24"/>
          <w:b/>
          <w:bCs/>
          <w:spacing w:val="-3"/>
        </w:rPr>
        <w:t>大气、声、土壤、生态、风险评价范围图</w:t>
      </w:r>
    </w:p>
    <w:p>
      <w:pPr>
        <w:ind w:left="41"/>
        <w:spacing w:before="192" w:line="222" w:lineRule="auto"/>
        <w:outlineLvl w:val="1"/>
        <w:rPr>
          <w:rFonts w:ascii="SimHei" w:hAnsi="SimHei" w:eastAsia="SimHei" w:cs="SimHei"/>
          <w:sz w:val="30"/>
          <w:szCs w:val="30"/>
        </w:rPr>
      </w:pPr>
      <w:bookmarkStart w:name="bookmark219" w:id="41"/>
      <w:bookmarkEnd w:id="41"/>
      <w:r>
        <w:rPr>
          <w:rFonts w:ascii="Times New Roman" w:hAnsi="Times New Roman" w:eastAsia="Times New Roman" w:cs="Times New Roman"/>
          <w:sz w:val="30"/>
          <w:szCs w:val="30"/>
          <w:spacing w:val="-1"/>
        </w:rPr>
        <w:t>2.5 </w:t>
      </w:r>
      <w:r>
        <w:rPr>
          <w:rFonts w:ascii="SimHei" w:hAnsi="SimHei" w:eastAsia="SimHei" w:cs="SimHei"/>
          <w:sz w:val="30"/>
          <w:szCs w:val="30"/>
          <w:spacing w:val="-1"/>
        </w:rPr>
        <w:t>环境影响因子识别和评价因子筛选</w:t>
      </w:r>
    </w:p>
    <w:p>
      <w:pPr>
        <w:pStyle w:val="BodyText"/>
        <w:spacing w:line="290" w:lineRule="auto"/>
        <w:rPr/>
      </w:pPr>
      <w:r/>
    </w:p>
    <w:p>
      <w:pPr>
        <w:ind w:left="43" w:right="32" w:firstLine="480"/>
        <w:spacing w:before="78" w:line="360" w:lineRule="auto"/>
        <w:jc w:val="both"/>
        <w:rPr>
          <w:rFonts w:ascii="SimSun" w:hAnsi="SimSun" w:eastAsia="SimSun" w:cs="SimSun"/>
          <w:sz w:val="24"/>
          <w:szCs w:val="24"/>
        </w:rPr>
      </w:pPr>
      <w:r>
        <w:rPr>
          <w:rFonts w:ascii="SimSun" w:hAnsi="SimSun" w:eastAsia="SimSun" w:cs="SimSun"/>
          <w:sz w:val="24"/>
          <w:szCs w:val="24"/>
          <w:spacing w:val="3"/>
        </w:rPr>
        <w:t>根据项目的性质，判别项目在不同阶段对环境产生影响的因素和程</w:t>
      </w:r>
      <w:r>
        <w:rPr>
          <w:rFonts w:ascii="SimSun" w:hAnsi="SimSun" w:eastAsia="SimSun" w:cs="SimSun"/>
          <w:sz w:val="24"/>
          <w:szCs w:val="24"/>
          <w:spacing w:val="2"/>
        </w:rPr>
        <w:t>度，确定</w:t>
      </w:r>
      <w:r>
        <w:rPr>
          <w:rFonts w:ascii="SimSun" w:hAnsi="SimSun" w:eastAsia="SimSun" w:cs="SimSun"/>
          <w:sz w:val="24"/>
          <w:szCs w:val="24"/>
        </w:rPr>
        <w:t xml:space="preserve"> </w:t>
      </w:r>
      <w:r>
        <w:rPr>
          <w:rFonts w:ascii="SimSun" w:hAnsi="SimSun" w:eastAsia="SimSun" w:cs="SimSun"/>
          <w:sz w:val="24"/>
          <w:szCs w:val="24"/>
          <w:spacing w:val="3"/>
        </w:rPr>
        <w:t>项目施工期和运行期可能产生的主要环境问题，并筛选出</w:t>
      </w:r>
      <w:r>
        <w:rPr>
          <w:rFonts w:ascii="SimSun" w:hAnsi="SimSun" w:eastAsia="SimSun" w:cs="SimSun"/>
          <w:sz w:val="24"/>
          <w:szCs w:val="24"/>
          <w:spacing w:val="2"/>
        </w:rPr>
        <w:t>主要评价因子，为预测</w:t>
      </w:r>
      <w:r>
        <w:rPr>
          <w:rFonts w:ascii="SimSun" w:hAnsi="SimSun" w:eastAsia="SimSun" w:cs="SimSun"/>
          <w:sz w:val="24"/>
          <w:szCs w:val="24"/>
        </w:rPr>
        <w:t xml:space="preserve"> </w:t>
      </w:r>
      <w:r>
        <w:rPr>
          <w:rFonts w:ascii="SimSun" w:hAnsi="SimSun" w:eastAsia="SimSun" w:cs="SimSun"/>
          <w:sz w:val="24"/>
          <w:szCs w:val="24"/>
          <w:spacing w:val="-2"/>
        </w:rPr>
        <w:t>评价提供依据。</w:t>
      </w:r>
    </w:p>
    <w:p>
      <w:pPr>
        <w:ind w:left="41"/>
        <w:spacing w:before="156" w:line="222" w:lineRule="auto"/>
        <w:outlineLvl w:val="2"/>
        <w:rPr>
          <w:rFonts w:ascii="SimHei" w:hAnsi="SimHei" w:eastAsia="SimHei" w:cs="SimHei"/>
          <w:sz w:val="28"/>
          <w:szCs w:val="28"/>
        </w:rPr>
      </w:pPr>
      <w:bookmarkStart w:name="bookmark36" w:id="42"/>
      <w:bookmarkEnd w:id="42"/>
      <w:r>
        <w:rPr>
          <w:rFonts w:ascii="Times New Roman" w:hAnsi="Times New Roman" w:eastAsia="Times New Roman" w:cs="Times New Roman"/>
          <w:sz w:val="28"/>
          <w:szCs w:val="28"/>
          <w:spacing w:val="-1"/>
        </w:rPr>
        <w:t>2.5.1 </w:t>
      </w:r>
      <w:r>
        <w:rPr>
          <w:rFonts w:ascii="SimHei" w:hAnsi="SimHei" w:eastAsia="SimHei" w:cs="SimHei"/>
          <w:sz w:val="28"/>
          <w:szCs w:val="28"/>
          <w:spacing w:val="-1"/>
        </w:rPr>
        <w:t>工程排污特征分析</w:t>
      </w:r>
    </w:p>
    <w:p>
      <w:pPr>
        <w:pStyle w:val="BodyText"/>
        <w:spacing w:line="279" w:lineRule="auto"/>
        <w:rPr/>
      </w:pPr>
      <w:r/>
    </w:p>
    <w:p>
      <w:pPr>
        <w:ind w:left="525"/>
        <w:spacing w:before="78" w:line="219" w:lineRule="auto"/>
        <w:rPr>
          <w:rFonts w:ascii="SimSun" w:hAnsi="SimSun" w:eastAsia="SimSun" w:cs="SimSun"/>
          <w:sz w:val="24"/>
          <w:szCs w:val="24"/>
        </w:rPr>
      </w:pPr>
      <w:r>
        <w:rPr>
          <w:rFonts w:ascii="SimSun" w:hAnsi="SimSun" w:eastAsia="SimSun" w:cs="SimSun"/>
          <w:sz w:val="24"/>
          <w:szCs w:val="24"/>
          <w:spacing w:val="-1"/>
        </w:rPr>
        <w:t>本项目的主要污染特征分析见表</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2.5-1</w:t>
      </w:r>
      <w:r>
        <w:rPr>
          <w:rFonts w:ascii="SimSun" w:hAnsi="SimSun" w:eastAsia="SimSun" w:cs="SimSun"/>
          <w:sz w:val="24"/>
          <w:szCs w:val="24"/>
          <w:spacing w:val="-1"/>
        </w:rPr>
        <w:t>。</w:t>
      </w:r>
    </w:p>
    <w:p>
      <w:pPr>
        <w:ind w:left="1848"/>
        <w:spacing w:before="184"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2.5-1        </w:t>
      </w:r>
      <w:r>
        <w:rPr>
          <w:rFonts w:ascii="SimSun" w:hAnsi="SimSun" w:eastAsia="SimSun" w:cs="SimSun"/>
          <w:sz w:val="24"/>
          <w:szCs w:val="24"/>
          <w:b/>
          <w:bCs/>
          <w:spacing w:val="-2"/>
        </w:rPr>
        <w:t>项目各污染源主要污染因子一览表</w:t>
      </w:r>
    </w:p>
    <w:tbl>
      <w:tblPr>
        <w:tblStyle w:val="TableNormal"/>
        <w:tblW w:w="8568"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19"/>
        <w:gridCol w:w="2727"/>
        <w:gridCol w:w="4922"/>
      </w:tblGrid>
      <w:tr>
        <w:trPr>
          <w:trHeight w:val="281" w:hRule="atLeast"/>
        </w:trPr>
        <w:tc>
          <w:tcPr>
            <w:tcW w:w="919" w:type="dxa"/>
            <w:vAlign w:val="top"/>
          </w:tcPr>
          <w:p>
            <w:pPr>
              <w:pStyle w:val="TableText"/>
              <w:ind w:left="254"/>
              <w:spacing w:before="37" w:line="216" w:lineRule="auto"/>
              <w:rPr/>
            </w:pPr>
            <w:r>
              <w:rPr>
                <w:spacing w:val="4"/>
              </w:rPr>
              <w:t>类别</w:t>
            </w:r>
          </w:p>
        </w:tc>
        <w:tc>
          <w:tcPr>
            <w:tcW w:w="2727" w:type="dxa"/>
            <w:vAlign w:val="top"/>
          </w:tcPr>
          <w:p>
            <w:pPr>
              <w:pStyle w:val="TableText"/>
              <w:ind w:left="844"/>
              <w:spacing w:before="37" w:line="216" w:lineRule="auto"/>
              <w:rPr/>
            </w:pPr>
            <w:r>
              <w:rPr>
                <w:spacing w:val="7"/>
              </w:rPr>
              <w:t>污染源名称</w:t>
            </w:r>
          </w:p>
        </w:tc>
        <w:tc>
          <w:tcPr>
            <w:tcW w:w="4922" w:type="dxa"/>
            <w:vAlign w:val="top"/>
          </w:tcPr>
          <w:p>
            <w:pPr>
              <w:pStyle w:val="TableText"/>
              <w:ind w:left="1943"/>
              <w:spacing w:before="37" w:line="216" w:lineRule="auto"/>
              <w:rPr/>
            </w:pPr>
            <w:r>
              <w:rPr>
                <w:spacing w:val="7"/>
              </w:rPr>
              <w:t>主要污染物</w:t>
            </w:r>
          </w:p>
        </w:tc>
      </w:tr>
      <w:tr>
        <w:trPr>
          <w:trHeight w:val="276" w:hRule="atLeast"/>
        </w:trPr>
        <w:tc>
          <w:tcPr>
            <w:tcW w:w="919" w:type="dxa"/>
            <w:vAlign w:val="top"/>
            <w:vMerge w:val="restart"/>
            <w:tcBorders>
              <w:bottom w:val="nil"/>
            </w:tcBorders>
          </w:tcPr>
          <w:p>
            <w:pPr>
              <w:spacing w:line="389" w:lineRule="auto"/>
              <w:rPr>
                <w:rFonts w:ascii="Arial"/>
                <w:sz w:val="21"/>
              </w:rPr>
            </w:pPr>
            <w:r/>
          </w:p>
          <w:p>
            <w:pPr>
              <w:pStyle w:val="TableText"/>
              <w:ind w:left="253"/>
              <w:spacing w:before="65" w:line="228" w:lineRule="auto"/>
              <w:rPr/>
            </w:pPr>
            <w:r>
              <w:rPr>
                <w:spacing w:val="5"/>
              </w:rPr>
              <w:t>废气</w:t>
            </w:r>
          </w:p>
        </w:tc>
        <w:tc>
          <w:tcPr>
            <w:tcW w:w="2727" w:type="dxa"/>
            <w:vAlign w:val="top"/>
          </w:tcPr>
          <w:p>
            <w:pPr>
              <w:pStyle w:val="TableText"/>
              <w:ind w:left="737"/>
              <w:spacing w:before="32" w:line="216" w:lineRule="auto"/>
              <w:rPr/>
            </w:pPr>
            <w:r>
              <w:rPr>
                <w:spacing w:val="8"/>
              </w:rPr>
              <w:t>开松除杂粉尘</w:t>
            </w:r>
          </w:p>
        </w:tc>
        <w:tc>
          <w:tcPr>
            <w:tcW w:w="4922" w:type="dxa"/>
            <w:vAlign w:val="top"/>
          </w:tcPr>
          <w:p>
            <w:pPr>
              <w:pStyle w:val="TableText"/>
              <w:ind w:left="2149"/>
              <w:spacing w:before="32" w:line="216" w:lineRule="auto"/>
              <w:rPr/>
            </w:pPr>
            <w:r>
              <w:rPr>
                <w:spacing w:val="7"/>
              </w:rPr>
              <w:t>颗粒物</w:t>
            </w:r>
          </w:p>
        </w:tc>
      </w:tr>
      <w:tr>
        <w:trPr>
          <w:trHeight w:val="276" w:hRule="atLeast"/>
        </w:trPr>
        <w:tc>
          <w:tcPr>
            <w:tcW w:w="919" w:type="dxa"/>
            <w:vAlign w:val="top"/>
            <w:vMerge w:val="continue"/>
            <w:tcBorders>
              <w:top w:val="nil"/>
              <w:bottom w:val="nil"/>
            </w:tcBorders>
          </w:tcPr>
          <w:p>
            <w:pPr>
              <w:rPr>
                <w:rFonts w:ascii="Arial"/>
                <w:sz w:val="21"/>
              </w:rPr>
            </w:pPr>
            <w:r/>
          </w:p>
        </w:tc>
        <w:tc>
          <w:tcPr>
            <w:tcW w:w="2727" w:type="dxa"/>
            <w:vAlign w:val="top"/>
          </w:tcPr>
          <w:p>
            <w:pPr>
              <w:pStyle w:val="TableText"/>
              <w:ind w:left="736"/>
              <w:spacing w:before="34" w:line="214" w:lineRule="auto"/>
              <w:rPr/>
            </w:pPr>
            <w:r>
              <w:rPr>
                <w:spacing w:val="8"/>
              </w:rPr>
              <w:t>洗毛恶臭气体</w:t>
            </w:r>
          </w:p>
        </w:tc>
        <w:tc>
          <w:tcPr>
            <w:tcW w:w="4922" w:type="dxa"/>
            <w:vAlign w:val="top"/>
          </w:tcPr>
          <w:p>
            <w:pPr>
              <w:pStyle w:val="TableText"/>
              <w:ind w:left="1478"/>
              <w:spacing w:before="34" w:line="214" w:lineRule="auto"/>
              <w:rPr/>
            </w:pPr>
            <w:r>
              <w:rPr>
                <w:rFonts w:ascii="Times New Roman" w:hAnsi="Times New Roman" w:eastAsia="Times New Roman" w:cs="Times New Roman"/>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pacing w:val="3"/>
              </w:rPr>
              <w:t>S</w:t>
            </w:r>
            <w:r>
              <w:rPr>
                <w:rFonts w:ascii="Times New Roman" w:hAnsi="Times New Roman" w:eastAsia="Times New Roman" w:cs="Times New Roman"/>
                <w:spacing w:val="-18"/>
              </w:rPr>
              <w:t xml:space="preserve"> </w:t>
            </w:r>
            <w:r>
              <w:rPr>
                <w:spacing w:val="3"/>
              </w:rPr>
              <w:t>、</w:t>
            </w:r>
            <w:r>
              <w:rPr>
                <w:rFonts w:ascii="Times New Roman" w:hAnsi="Times New Roman" w:eastAsia="Times New Roman" w:cs="Times New Roman"/>
              </w:rPr>
              <w:t>NH</w:t>
            </w:r>
            <w:r>
              <w:rPr>
                <w:rFonts w:ascii="Times New Roman" w:hAnsi="Times New Roman" w:eastAsia="Times New Roman" w:cs="Times New Roman"/>
                <w:sz w:val="13"/>
                <w:szCs w:val="13"/>
                <w:spacing w:val="3"/>
                <w:position w:val="-1"/>
              </w:rPr>
              <w:t>3</w:t>
            </w:r>
            <w:r>
              <w:rPr>
                <w:rFonts w:ascii="Times New Roman" w:hAnsi="Times New Roman" w:eastAsia="Times New Roman" w:cs="Times New Roman"/>
                <w:sz w:val="13"/>
                <w:szCs w:val="13"/>
                <w:spacing w:val="-8"/>
                <w:position w:val="-1"/>
              </w:rPr>
              <w:t xml:space="preserve"> </w:t>
            </w:r>
            <w:r>
              <w:rPr>
                <w:spacing w:val="3"/>
              </w:rPr>
              <w:t>、臭气浓度</w:t>
            </w:r>
          </w:p>
        </w:tc>
      </w:tr>
      <w:tr>
        <w:trPr>
          <w:trHeight w:val="277" w:hRule="atLeast"/>
        </w:trPr>
        <w:tc>
          <w:tcPr>
            <w:tcW w:w="919" w:type="dxa"/>
            <w:vAlign w:val="top"/>
            <w:vMerge w:val="continue"/>
            <w:tcBorders>
              <w:top w:val="nil"/>
              <w:bottom w:val="nil"/>
            </w:tcBorders>
          </w:tcPr>
          <w:p>
            <w:pPr>
              <w:rPr>
                <w:rFonts w:ascii="Arial"/>
                <w:sz w:val="21"/>
              </w:rPr>
            </w:pPr>
            <w:r/>
          </w:p>
        </w:tc>
        <w:tc>
          <w:tcPr>
            <w:tcW w:w="2727" w:type="dxa"/>
            <w:vAlign w:val="top"/>
          </w:tcPr>
          <w:p>
            <w:pPr>
              <w:pStyle w:val="TableText"/>
              <w:ind w:left="736"/>
              <w:spacing w:before="36" w:line="213" w:lineRule="auto"/>
              <w:rPr/>
            </w:pPr>
            <w:r>
              <w:rPr>
                <w:spacing w:val="8"/>
              </w:rPr>
              <w:t>梳绒车间粉尘</w:t>
            </w:r>
          </w:p>
        </w:tc>
        <w:tc>
          <w:tcPr>
            <w:tcW w:w="4922" w:type="dxa"/>
            <w:vAlign w:val="top"/>
          </w:tcPr>
          <w:p>
            <w:pPr>
              <w:pStyle w:val="TableText"/>
              <w:ind w:left="2149"/>
              <w:spacing w:before="36" w:line="213" w:lineRule="auto"/>
              <w:rPr/>
            </w:pPr>
            <w:r>
              <w:rPr>
                <w:spacing w:val="7"/>
              </w:rPr>
              <w:t>颗粒物</w:t>
            </w:r>
          </w:p>
        </w:tc>
      </w:tr>
      <w:tr>
        <w:trPr>
          <w:trHeight w:val="279" w:hRule="atLeast"/>
        </w:trPr>
        <w:tc>
          <w:tcPr>
            <w:tcW w:w="919" w:type="dxa"/>
            <w:vAlign w:val="top"/>
            <w:vMerge w:val="continue"/>
            <w:tcBorders>
              <w:top w:val="nil"/>
            </w:tcBorders>
          </w:tcPr>
          <w:p>
            <w:pPr>
              <w:rPr>
                <w:rFonts w:ascii="Arial"/>
                <w:sz w:val="21"/>
              </w:rPr>
            </w:pPr>
            <w:r/>
          </w:p>
        </w:tc>
        <w:tc>
          <w:tcPr>
            <w:tcW w:w="2727" w:type="dxa"/>
            <w:vAlign w:val="top"/>
          </w:tcPr>
          <w:p>
            <w:pPr>
              <w:pStyle w:val="TableText"/>
              <w:ind w:left="9"/>
              <w:spacing w:before="34" w:line="216" w:lineRule="auto"/>
              <w:rPr/>
            </w:pPr>
            <w:r>
              <w:rPr/>
              <w:t>废水收集池、</w:t>
            </w:r>
            <w:r>
              <w:rPr>
                <w:rFonts w:ascii="Times New Roman" w:hAnsi="Times New Roman" w:eastAsia="Times New Roman" w:cs="Times New Roman"/>
              </w:rPr>
              <w:t>TS</w:t>
            </w:r>
            <w:r>
              <w:rPr>
                <w:rFonts w:ascii="Times New Roman" w:hAnsi="Times New Roman" w:eastAsia="Times New Roman" w:cs="Times New Roman"/>
                <w:spacing w:val="22"/>
                <w:w w:val="101"/>
              </w:rPr>
              <w:t xml:space="preserve"> </w:t>
            </w:r>
            <w:r>
              <w:rPr/>
              <w:t>调节池等池体</w:t>
            </w:r>
          </w:p>
        </w:tc>
        <w:tc>
          <w:tcPr>
            <w:tcW w:w="4922" w:type="dxa"/>
            <w:vAlign w:val="top"/>
          </w:tcPr>
          <w:p>
            <w:pPr>
              <w:pStyle w:val="TableText"/>
              <w:ind w:left="1478"/>
              <w:spacing w:before="34" w:line="216" w:lineRule="auto"/>
              <w:rPr/>
            </w:pPr>
            <w:r>
              <w:rPr>
                <w:rFonts w:ascii="Times New Roman" w:hAnsi="Times New Roman" w:eastAsia="Times New Roman" w:cs="Times New Roman"/>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pacing w:val="3"/>
              </w:rPr>
              <w:t>S</w:t>
            </w:r>
            <w:r>
              <w:rPr>
                <w:rFonts w:ascii="Times New Roman" w:hAnsi="Times New Roman" w:eastAsia="Times New Roman" w:cs="Times New Roman"/>
                <w:spacing w:val="-18"/>
              </w:rPr>
              <w:t xml:space="preserve"> </w:t>
            </w:r>
            <w:r>
              <w:rPr>
                <w:spacing w:val="3"/>
              </w:rPr>
              <w:t>、</w:t>
            </w:r>
            <w:r>
              <w:rPr>
                <w:rFonts w:ascii="Times New Roman" w:hAnsi="Times New Roman" w:eastAsia="Times New Roman" w:cs="Times New Roman"/>
              </w:rPr>
              <w:t>NH</w:t>
            </w:r>
            <w:r>
              <w:rPr>
                <w:rFonts w:ascii="Times New Roman" w:hAnsi="Times New Roman" w:eastAsia="Times New Roman" w:cs="Times New Roman"/>
                <w:sz w:val="13"/>
                <w:szCs w:val="13"/>
                <w:spacing w:val="3"/>
                <w:position w:val="-1"/>
              </w:rPr>
              <w:t>3</w:t>
            </w:r>
            <w:r>
              <w:rPr>
                <w:rFonts w:ascii="Times New Roman" w:hAnsi="Times New Roman" w:eastAsia="Times New Roman" w:cs="Times New Roman"/>
                <w:sz w:val="13"/>
                <w:szCs w:val="13"/>
                <w:spacing w:val="-8"/>
                <w:position w:val="-1"/>
              </w:rPr>
              <w:t xml:space="preserve"> </w:t>
            </w:r>
            <w:r>
              <w:rPr>
                <w:spacing w:val="3"/>
              </w:rPr>
              <w:t>、臭气浓度</w:t>
            </w:r>
          </w:p>
        </w:tc>
      </w:tr>
    </w:tbl>
    <w:p>
      <w:pPr>
        <w:ind w:left="42"/>
        <w:spacing w:before="244" w:line="227" w:lineRule="auto"/>
        <w:rPr>
          <w:rFonts w:ascii="SimSun" w:hAnsi="SimSun" w:eastAsia="SimSun" w:cs="SimSun"/>
          <w:sz w:val="19"/>
          <w:szCs w:val="19"/>
        </w:rPr>
      </w:pPr>
      <w:r>
        <w:pict>
          <v:shape id="_x0000_s192" style="position:absolute;margin-left:161.07pt;margin-top:11.1909pt;mso-position-vertical-relative:text;mso-position-horizontal-relative:text;width:58.85pt;height:13.75pt;z-index:25174425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28"/>
                    </w:rPr>
                    <w:t xml:space="preserve">   </w:t>
                  </w:r>
                  <w:r>
                    <w:rPr>
                      <w:rFonts w:ascii="Times New Roman" w:hAnsi="Times New Roman" w:eastAsia="Times New Roman" w:cs="Times New Roman"/>
                      <w:sz w:val="18"/>
                      <w:szCs w:val="18"/>
                      <w:spacing w:val="3"/>
                      <w:position w:val="2"/>
                    </w:rPr>
                    <w:t>35</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49"/>
          <w:pgSz w:w="11907" w:h="16840"/>
          <w:pgMar w:top="1567" w:right="1667" w:bottom="400" w:left="1666" w:header="1221" w:footer="0" w:gutter="0"/>
        </w:sectPr>
        <w:rPr>
          <w:rFonts w:ascii="SimSun" w:hAnsi="SimSun" w:eastAsia="SimSun" w:cs="SimSun"/>
          <w:sz w:val="19"/>
          <w:szCs w:val="19"/>
        </w:rPr>
      </w:pPr>
    </w:p>
    <w:p>
      <w:pPr>
        <w:spacing w:line="146" w:lineRule="exact"/>
        <w:rPr/>
      </w:pPr>
      <w:r>
        <w:pict>
          <v:shape id="_x0000_s194" style="position:absolute;margin-left:85.05pt;margin-top:78.87pt;mso-position-vertical-relative:page;mso-position-horizontal-relative:page;width:425.25pt;height:0.75pt;z-index:251747328;" o:allowincell="f" fillcolor="#000000" filled="true" stroked="false" coordsize="8505,15" coordorigin="0,0" path="m,l8505,0l8505,14l0,14l0,0xe"/>
        </w:pict>
      </w:r>
      <w:r/>
    </w:p>
    <w:tbl>
      <w:tblPr>
        <w:tblStyle w:val="TableNormal"/>
        <w:tblW w:w="8568"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19"/>
        <w:gridCol w:w="2727"/>
        <w:gridCol w:w="4922"/>
      </w:tblGrid>
      <w:tr>
        <w:trPr>
          <w:trHeight w:val="281" w:hRule="atLeast"/>
        </w:trPr>
        <w:tc>
          <w:tcPr>
            <w:tcW w:w="919" w:type="dxa"/>
            <w:vAlign w:val="top"/>
          </w:tcPr>
          <w:p>
            <w:pPr>
              <w:pStyle w:val="TableText"/>
              <w:ind w:left="254"/>
              <w:spacing w:before="36" w:line="216" w:lineRule="auto"/>
              <w:rPr/>
            </w:pPr>
            <w:r>
              <w:rPr>
                <w:spacing w:val="4"/>
              </w:rPr>
              <w:t>类别</w:t>
            </w:r>
          </w:p>
        </w:tc>
        <w:tc>
          <w:tcPr>
            <w:tcW w:w="2727" w:type="dxa"/>
            <w:vAlign w:val="top"/>
          </w:tcPr>
          <w:p>
            <w:pPr>
              <w:pStyle w:val="TableText"/>
              <w:ind w:left="844"/>
              <w:spacing w:before="36" w:line="216" w:lineRule="auto"/>
              <w:rPr/>
            </w:pPr>
            <w:r>
              <w:rPr>
                <w:spacing w:val="7"/>
              </w:rPr>
              <w:t>污染源名称</w:t>
            </w:r>
          </w:p>
        </w:tc>
        <w:tc>
          <w:tcPr>
            <w:tcW w:w="4922" w:type="dxa"/>
            <w:vAlign w:val="top"/>
          </w:tcPr>
          <w:p>
            <w:pPr>
              <w:pStyle w:val="TableText"/>
              <w:ind w:left="1943"/>
              <w:spacing w:before="36" w:line="216" w:lineRule="auto"/>
              <w:rPr/>
            </w:pPr>
            <w:r>
              <w:rPr>
                <w:spacing w:val="7"/>
              </w:rPr>
              <w:t>主要污染物</w:t>
            </w:r>
          </w:p>
        </w:tc>
      </w:tr>
      <w:tr>
        <w:trPr>
          <w:trHeight w:val="278" w:hRule="atLeast"/>
        </w:trPr>
        <w:tc>
          <w:tcPr>
            <w:tcW w:w="919" w:type="dxa"/>
            <w:vAlign w:val="top"/>
            <w:vMerge w:val="restart"/>
            <w:tcBorders>
              <w:bottom w:val="nil"/>
            </w:tcBorders>
          </w:tcPr>
          <w:p>
            <w:pPr>
              <w:rPr>
                <w:rFonts w:ascii="Arial"/>
                <w:sz w:val="21"/>
              </w:rPr>
            </w:pPr>
            <w:r/>
          </w:p>
        </w:tc>
        <w:tc>
          <w:tcPr>
            <w:tcW w:w="2727" w:type="dxa"/>
            <w:vAlign w:val="top"/>
          </w:tcPr>
          <w:p>
            <w:pPr>
              <w:pStyle w:val="TableText"/>
              <w:ind w:left="949"/>
              <w:spacing w:before="31" w:line="218" w:lineRule="auto"/>
              <w:rPr/>
            </w:pPr>
            <w:r>
              <w:rPr>
                <w:spacing w:val="7"/>
              </w:rPr>
              <w:t>恶臭气体</w:t>
            </w:r>
          </w:p>
        </w:tc>
        <w:tc>
          <w:tcPr>
            <w:tcW w:w="4922" w:type="dxa"/>
            <w:vAlign w:val="top"/>
          </w:tcPr>
          <w:p>
            <w:pPr>
              <w:rPr>
                <w:rFonts w:ascii="Arial"/>
                <w:sz w:val="21"/>
              </w:rPr>
            </w:pPr>
            <w:r/>
          </w:p>
        </w:tc>
      </w:tr>
      <w:tr>
        <w:trPr>
          <w:trHeight w:val="277" w:hRule="atLeast"/>
        </w:trPr>
        <w:tc>
          <w:tcPr>
            <w:tcW w:w="919" w:type="dxa"/>
            <w:vAlign w:val="top"/>
            <w:vMerge w:val="continue"/>
            <w:tcBorders>
              <w:top w:val="nil"/>
              <w:bottom w:val="nil"/>
            </w:tcBorders>
          </w:tcPr>
          <w:p>
            <w:pPr>
              <w:rPr>
                <w:rFonts w:ascii="Arial"/>
                <w:sz w:val="21"/>
              </w:rPr>
            </w:pPr>
            <w:r/>
          </w:p>
        </w:tc>
        <w:tc>
          <w:tcPr>
            <w:tcW w:w="2727" w:type="dxa"/>
            <w:vAlign w:val="top"/>
          </w:tcPr>
          <w:p>
            <w:pPr>
              <w:pStyle w:val="TableText"/>
              <w:ind w:left="317"/>
              <w:spacing w:before="31" w:line="217" w:lineRule="auto"/>
              <w:rPr/>
            </w:pPr>
            <w:r>
              <w:rPr>
                <w:spacing w:val="8"/>
              </w:rPr>
              <w:t>厌氧发酵罐区恶臭气体</w:t>
            </w:r>
          </w:p>
        </w:tc>
        <w:tc>
          <w:tcPr>
            <w:tcW w:w="4922" w:type="dxa"/>
            <w:vAlign w:val="top"/>
          </w:tcPr>
          <w:p>
            <w:pPr>
              <w:pStyle w:val="TableText"/>
              <w:ind w:left="1478"/>
              <w:spacing w:before="31" w:line="217" w:lineRule="auto"/>
              <w:rPr/>
            </w:pPr>
            <w:r>
              <w:rPr>
                <w:rFonts w:ascii="Times New Roman" w:hAnsi="Times New Roman" w:eastAsia="Times New Roman" w:cs="Times New Roman"/>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pacing w:val="3"/>
              </w:rPr>
              <w:t>S</w:t>
            </w:r>
            <w:r>
              <w:rPr>
                <w:rFonts w:ascii="Times New Roman" w:hAnsi="Times New Roman" w:eastAsia="Times New Roman" w:cs="Times New Roman"/>
                <w:spacing w:val="-18"/>
              </w:rPr>
              <w:t xml:space="preserve"> </w:t>
            </w:r>
            <w:r>
              <w:rPr>
                <w:spacing w:val="3"/>
              </w:rPr>
              <w:t>、</w:t>
            </w:r>
            <w:r>
              <w:rPr>
                <w:rFonts w:ascii="Times New Roman" w:hAnsi="Times New Roman" w:eastAsia="Times New Roman" w:cs="Times New Roman"/>
              </w:rPr>
              <w:t>NH</w:t>
            </w:r>
            <w:r>
              <w:rPr>
                <w:rFonts w:ascii="Times New Roman" w:hAnsi="Times New Roman" w:eastAsia="Times New Roman" w:cs="Times New Roman"/>
                <w:sz w:val="13"/>
                <w:szCs w:val="13"/>
                <w:spacing w:val="3"/>
                <w:position w:val="-1"/>
              </w:rPr>
              <w:t>3</w:t>
            </w:r>
            <w:r>
              <w:rPr>
                <w:rFonts w:ascii="Times New Roman" w:hAnsi="Times New Roman" w:eastAsia="Times New Roman" w:cs="Times New Roman"/>
                <w:sz w:val="13"/>
                <w:szCs w:val="13"/>
                <w:spacing w:val="-8"/>
                <w:position w:val="-1"/>
              </w:rPr>
              <w:t xml:space="preserve"> </w:t>
            </w:r>
            <w:r>
              <w:rPr>
                <w:spacing w:val="3"/>
              </w:rPr>
              <w:t>、臭气浓度</w:t>
            </w:r>
          </w:p>
        </w:tc>
      </w:tr>
      <w:tr>
        <w:trPr>
          <w:trHeight w:val="277" w:hRule="atLeast"/>
        </w:trPr>
        <w:tc>
          <w:tcPr>
            <w:tcW w:w="919" w:type="dxa"/>
            <w:vAlign w:val="top"/>
            <w:vMerge w:val="continue"/>
            <w:tcBorders>
              <w:top w:val="nil"/>
              <w:bottom w:val="nil"/>
            </w:tcBorders>
          </w:tcPr>
          <w:p>
            <w:pPr>
              <w:rPr>
                <w:rFonts w:ascii="Arial"/>
                <w:sz w:val="21"/>
              </w:rPr>
            </w:pPr>
            <w:r/>
          </w:p>
        </w:tc>
        <w:tc>
          <w:tcPr>
            <w:tcW w:w="2727" w:type="dxa"/>
            <w:vAlign w:val="top"/>
          </w:tcPr>
          <w:p>
            <w:pPr>
              <w:pStyle w:val="TableText"/>
              <w:ind w:left="426"/>
              <w:spacing w:before="32" w:line="216" w:lineRule="auto"/>
              <w:rPr/>
            </w:pPr>
            <w:r>
              <w:rPr>
                <w:spacing w:val="8"/>
              </w:rPr>
              <w:t>沼渣晾晒区恶臭气体</w:t>
            </w:r>
          </w:p>
        </w:tc>
        <w:tc>
          <w:tcPr>
            <w:tcW w:w="4922" w:type="dxa"/>
            <w:vAlign w:val="top"/>
          </w:tcPr>
          <w:p>
            <w:pPr>
              <w:pStyle w:val="TableText"/>
              <w:ind w:left="1478"/>
              <w:spacing w:before="32" w:line="216" w:lineRule="auto"/>
              <w:rPr/>
            </w:pPr>
            <w:r>
              <w:rPr>
                <w:rFonts w:ascii="Times New Roman" w:hAnsi="Times New Roman" w:eastAsia="Times New Roman" w:cs="Times New Roman"/>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pacing w:val="3"/>
              </w:rPr>
              <w:t>S</w:t>
            </w:r>
            <w:r>
              <w:rPr>
                <w:rFonts w:ascii="Times New Roman" w:hAnsi="Times New Roman" w:eastAsia="Times New Roman" w:cs="Times New Roman"/>
                <w:spacing w:val="-18"/>
              </w:rPr>
              <w:t xml:space="preserve"> </w:t>
            </w:r>
            <w:r>
              <w:rPr>
                <w:spacing w:val="3"/>
              </w:rPr>
              <w:t>、</w:t>
            </w:r>
            <w:r>
              <w:rPr>
                <w:rFonts w:ascii="Times New Roman" w:hAnsi="Times New Roman" w:eastAsia="Times New Roman" w:cs="Times New Roman"/>
              </w:rPr>
              <w:t>NH</w:t>
            </w:r>
            <w:r>
              <w:rPr>
                <w:rFonts w:ascii="Times New Roman" w:hAnsi="Times New Roman" w:eastAsia="Times New Roman" w:cs="Times New Roman"/>
                <w:sz w:val="13"/>
                <w:szCs w:val="13"/>
                <w:spacing w:val="3"/>
                <w:position w:val="-1"/>
              </w:rPr>
              <w:t>3</w:t>
            </w:r>
            <w:r>
              <w:rPr>
                <w:rFonts w:ascii="Times New Roman" w:hAnsi="Times New Roman" w:eastAsia="Times New Roman" w:cs="Times New Roman"/>
                <w:sz w:val="13"/>
                <w:szCs w:val="13"/>
                <w:spacing w:val="-8"/>
                <w:position w:val="-1"/>
              </w:rPr>
              <w:t xml:space="preserve"> </w:t>
            </w:r>
            <w:r>
              <w:rPr>
                <w:spacing w:val="3"/>
              </w:rPr>
              <w:t>、臭气浓度</w:t>
            </w:r>
          </w:p>
        </w:tc>
      </w:tr>
      <w:tr>
        <w:trPr>
          <w:trHeight w:val="278" w:hRule="atLeast"/>
        </w:trPr>
        <w:tc>
          <w:tcPr>
            <w:tcW w:w="919" w:type="dxa"/>
            <w:vAlign w:val="top"/>
            <w:vMerge w:val="continue"/>
            <w:tcBorders>
              <w:top w:val="nil"/>
              <w:bottom w:val="nil"/>
            </w:tcBorders>
          </w:tcPr>
          <w:p>
            <w:pPr>
              <w:rPr>
                <w:rFonts w:ascii="Arial"/>
                <w:sz w:val="21"/>
              </w:rPr>
            </w:pPr>
            <w:r/>
          </w:p>
        </w:tc>
        <w:tc>
          <w:tcPr>
            <w:tcW w:w="2727" w:type="dxa"/>
            <w:vAlign w:val="top"/>
          </w:tcPr>
          <w:p>
            <w:pPr>
              <w:pStyle w:val="TableText"/>
              <w:ind w:left="950"/>
              <w:spacing w:before="31" w:line="218" w:lineRule="auto"/>
              <w:rPr/>
            </w:pPr>
            <w:r>
              <w:rPr>
                <w:spacing w:val="6"/>
              </w:rPr>
              <w:t>餐饮油烟</w:t>
            </w:r>
          </w:p>
        </w:tc>
        <w:tc>
          <w:tcPr>
            <w:tcW w:w="4922" w:type="dxa"/>
            <w:vAlign w:val="top"/>
          </w:tcPr>
          <w:p>
            <w:pPr>
              <w:pStyle w:val="TableText"/>
              <w:ind w:left="2259"/>
              <w:spacing w:before="31" w:line="218" w:lineRule="auto"/>
              <w:rPr/>
            </w:pPr>
            <w:r>
              <w:rPr>
                <w:spacing w:val="3"/>
              </w:rPr>
              <w:t>油烟</w:t>
            </w:r>
          </w:p>
        </w:tc>
      </w:tr>
      <w:tr>
        <w:trPr>
          <w:trHeight w:val="277" w:hRule="atLeast"/>
        </w:trPr>
        <w:tc>
          <w:tcPr>
            <w:tcW w:w="919" w:type="dxa"/>
            <w:vAlign w:val="top"/>
            <w:vMerge w:val="continue"/>
            <w:tcBorders>
              <w:top w:val="nil"/>
              <w:bottom w:val="nil"/>
            </w:tcBorders>
          </w:tcPr>
          <w:p>
            <w:pPr>
              <w:rPr>
                <w:rFonts w:ascii="Arial"/>
                <w:sz w:val="21"/>
              </w:rPr>
            </w:pPr>
            <w:r/>
          </w:p>
        </w:tc>
        <w:tc>
          <w:tcPr>
            <w:tcW w:w="2727" w:type="dxa"/>
            <w:vAlign w:val="top"/>
          </w:tcPr>
          <w:p>
            <w:pPr>
              <w:pStyle w:val="TableText"/>
              <w:ind w:left="741"/>
              <w:spacing w:before="31" w:line="217" w:lineRule="auto"/>
              <w:rPr/>
            </w:pPr>
            <w:r>
              <w:rPr>
                <w:spacing w:val="7"/>
              </w:rPr>
              <w:t>沼气锅炉烟气</w:t>
            </w:r>
          </w:p>
        </w:tc>
        <w:tc>
          <w:tcPr>
            <w:tcW w:w="4922" w:type="dxa"/>
            <w:vAlign w:val="top"/>
          </w:tcPr>
          <w:p>
            <w:pPr>
              <w:pStyle w:val="TableText"/>
              <w:ind w:left="1585"/>
              <w:spacing w:before="31" w:line="217" w:lineRule="auto"/>
              <w:rPr>
                <w:rFonts w:ascii="Times New Roman" w:hAnsi="Times New Roman" w:eastAsia="Times New Roman" w:cs="Times New Roman"/>
                <w:sz w:val="13"/>
                <w:szCs w:val="13"/>
              </w:rPr>
            </w:pPr>
            <w:r>
              <w:rPr>
                <w:spacing w:val="9"/>
              </w:rPr>
              <w:t>颗粒物、</w:t>
            </w:r>
            <w:r>
              <w:rPr>
                <w:rFonts w:ascii="Times New Roman" w:hAnsi="Times New Roman" w:eastAsia="Times New Roman" w:cs="Times New Roman"/>
              </w:rPr>
              <w:t>SO</w:t>
            </w:r>
            <w:r>
              <w:rPr>
                <w:rFonts w:ascii="Times New Roman" w:hAnsi="Times New Roman" w:eastAsia="Times New Roman" w:cs="Times New Roman"/>
                <w:sz w:val="13"/>
                <w:szCs w:val="13"/>
                <w:spacing w:val="9"/>
                <w:position w:val="-1"/>
              </w:rPr>
              <w:t>2</w:t>
            </w:r>
            <w:r>
              <w:rPr>
                <w:rFonts w:ascii="Times New Roman" w:hAnsi="Times New Roman" w:eastAsia="Times New Roman" w:cs="Times New Roman"/>
                <w:sz w:val="13"/>
                <w:szCs w:val="13"/>
                <w:spacing w:val="-12"/>
                <w:position w:val="-1"/>
              </w:rPr>
              <w:t xml:space="preserve"> </w:t>
            </w:r>
            <w:r>
              <w:rPr>
                <w:spacing w:val="9"/>
              </w:rPr>
              <w:t>、</w:t>
            </w:r>
            <w:r>
              <w:rPr>
                <w:rFonts w:ascii="Times New Roman" w:hAnsi="Times New Roman" w:eastAsia="Times New Roman" w:cs="Times New Roman"/>
              </w:rPr>
              <w:t>NO</w:t>
            </w:r>
            <w:r>
              <w:rPr>
                <w:rFonts w:ascii="Times New Roman" w:hAnsi="Times New Roman" w:eastAsia="Times New Roman" w:cs="Times New Roman"/>
                <w:sz w:val="13"/>
                <w:szCs w:val="13"/>
                <w:position w:val="-1"/>
              </w:rPr>
              <w:t>x</w:t>
            </w:r>
          </w:p>
        </w:tc>
      </w:tr>
      <w:tr>
        <w:trPr>
          <w:trHeight w:val="277" w:hRule="atLeast"/>
        </w:trPr>
        <w:tc>
          <w:tcPr>
            <w:tcW w:w="919" w:type="dxa"/>
            <w:vAlign w:val="top"/>
            <w:vMerge w:val="continue"/>
            <w:tcBorders>
              <w:top w:val="nil"/>
            </w:tcBorders>
          </w:tcPr>
          <w:p>
            <w:pPr>
              <w:rPr>
                <w:rFonts w:ascii="Arial"/>
                <w:sz w:val="21"/>
              </w:rPr>
            </w:pPr>
            <w:r/>
          </w:p>
        </w:tc>
        <w:tc>
          <w:tcPr>
            <w:tcW w:w="2727" w:type="dxa"/>
            <w:vAlign w:val="top"/>
          </w:tcPr>
          <w:p>
            <w:pPr>
              <w:pStyle w:val="TableText"/>
              <w:ind w:left="635"/>
              <w:spacing w:before="32" w:line="216" w:lineRule="auto"/>
              <w:rPr/>
            </w:pPr>
            <w:r>
              <w:rPr>
                <w:spacing w:val="8"/>
              </w:rPr>
              <w:t>生物质锅炉烟气</w:t>
            </w:r>
          </w:p>
        </w:tc>
        <w:tc>
          <w:tcPr>
            <w:tcW w:w="4922" w:type="dxa"/>
            <w:vAlign w:val="top"/>
          </w:tcPr>
          <w:p>
            <w:pPr>
              <w:pStyle w:val="TableText"/>
              <w:ind w:left="850"/>
              <w:spacing w:before="32" w:line="216" w:lineRule="auto"/>
              <w:rPr/>
            </w:pPr>
            <w:r>
              <w:rPr>
                <w:spacing w:val="7"/>
              </w:rPr>
              <w:t>颗粒物、</w:t>
            </w:r>
            <w:r>
              <w:rPr>
                <w:rFonts w:ascii="Times New Roman" w:hAnsi="Times New Roman" w:eastAsia="Times New Roman" w:cs="Times New Roman"/>
              </w:rPr>
              <w:t>SO</w:t>
            </w:r>
            <w:r>
              <w:rPr>
                <w:rFonts w:ascii="Times New Roman" w:hAnsi="Times New Roman" w:eastAsia="Times New Roman" w:cs="Times New Roman"/>
                <w:sz w:val="13"/>
                <w:szCs w:val="13"/>
                <w:spacing w:val="7"/>
                <w:position w:val="-1"/>
              </w:rPr>
              <w:t>2</w:t>
            </w:r>
            <w:r>
              <w:rPr>
                <w:rFonts w:ascii="Times New Roman" w:hAnsi="Times New Roman" w:eastAsia="Times New Roman" w:cs="Times New Roman"/>
                <w:sz w:val="13"/>
                <w:szCs w:val="13"/>
                <w:spacing w:val="-3"/>
                <w:position w:val="-1"/>
              </w:rPr>
              <w:t xml:space="preserve"> </w:t>
            </w:r>
            <w:r>
              <w:rPr>
                <w:spacing w:val="7"/>
              </w:rPr>
              <w:t>、</w:t>
            </w:r>
            <w:r>
              <w:rPr>
                <w:rFonts w:ascii="Times New Roman" w:hAnsi="Times New Roman" w:eastAsia="Times New Roman" w:cs="Times New Roman"/>
              </w:rPr>
              <w:t>NO</w:t>
            </w:r>
            <w:r>
              <w:rPr>
                <w:rFonts w:ascii="Times New Roman" w:hAnsi="Times New Roman" w:eastAsia="Times New Roman" w:cs="Times New Roman"/>
                <w:sz w:val="13"/>
                <w:szCs w:val="13"/>
                <w:position w:val="-1"/>
              </w:rPr>
              <w:t>x</w:t>
            </w:r>
            <w:r>
              <w:rPr>
                <w:rFonts w:ascii="Times New Roman" w:hAnsi="Times New Roman" w:eastAsia="Times New Roman" w:cs="Times New Roman"/>
                <w:sz w:val="13"/>
                <w:szCs w:val="13"/>
                <w:spacing w:val="-11"/>
                <w:position w:val="-1"/>
              </w:rPr>
              <w:t xml:space="preserve"> </w:t>
            </w:r>
            <w:r>
              <w:rPr>
                <w:spacing w:val="7"/>
              </w:rPr>
              <w:t>、汞及其化合物</w:t>
            </w:r>
          </w:p>
        </w:tc>
      </w:tr>
      <w:tr>
        <w:trPr>
          <w:trHeight w:val="549" w:hRule="atLeast"/>
        </w:trPr>
        <w:tc>
          <w:tcPr>
            <w:tcW w:w="919" w:type="dxa"/>
            <w:vAlign w:val="top"/>
            <w:vMerge w:val="restart"/>
            <w:tcBorders>
              <w:bottom w:val="nil"/>
            </w:tcBorders>
          </w:tcPr>
          <w:p>
            <w:pPr>
              <w:spacing w:line="331" w:lineRule="auto"/>
              <w:rPr>
                <w:rFonts w:ascii="Arial"/>
                <w:sz w:val="21"/>
              </w:rPr>
            </w:pPr>
            <w:r/>
          </w:p>
          <w:p>
            <w:pPr>
              <w:spacing w:line="332" w:lineRule="auto"/>
              <w:rPr>
                <w:rFonts w:ascii="Arial"/>
                <w:sz w:val="21"/>
              </w:rPr>
            </w:pPr>
            <w:r/>
          </w:p>
          <w:p>
            <w:pPr>
              <w:pStyle w:val="TableText"/>
              <w:ind w:left="253"/>
              <w:spacing w:before="65" w:line="228" w:lineRule="auto"/>
              <w:rPr/>
            </w:pPr>
            <w:r>
              <w:rPr>
                <w:spacing w:val="5"/>
              </w:rPr>
              <w:t>废水</w:t>
            </w:r>
          </w:p>
        </w:tc>
        <w:tc>
          <w:tcPr>
            <w:tcW w:w="2727" w:type="dxa"/>
            <w:vAlign w:val="top"/>
          </w:tcPr>
          <w:p>
            <w:pPr>
              <w:pStyle w:val="TableText"/>
              <w:ind w:left="947"/>
              <w:spacing w:before="166" w:line="228" w:lineRule="auto"/>
              <w:rPr/>
            </w:pPr>
            <w:r>
              <w:rPr>
                <w:spacing w:val="7"/>
              </w:rPr>
              <w:t>洗毛废水</w:t>
            </w:r>
          </w:p>
        </w:tc>
        <w:tc>
          <w:tcPr>
            <w:tcW w:w="4922" w:type="dxa"/>
            <w:vAlign w:val="top"/>
          </w:tcPr>
          <w:p>
            <w:pPr>
              <w:pStyle w:val="TableText"/>
              <w:ind w:left="3"/>
              <w:spacing w:before="32" w:line="221" w:lineRule="auto"/>
              <w:rPr/>
            </w:pPr>
            <w:r>
              <w:rPr>
                <w:rFonts w:ascii="Times New Roman" w:hAnsi="Times New Roman" w:eastAsia="Times New Roman" w:cs="Times New Roman"/>
              </w:rPr>
              <w:t>pH</w:t>
            </w:r>
            <w:r>
              <w:rPr>
                <w:rFonts w:ascii="Times New Roman" w:hAnsi="Times New Roman" w:eastAsia="Times New Roman" w:cs="Times New Roman"/>
                <w:spacing w:val="-29"/>
              </w:rPr>
              <w:t xml:space="preserve"> </w:t>
            </w:r>
            <w:r>
              <w:rPr>
                <w:spacing w:val="8"/>
              </w:rPr>
              <w:t>、</w:t>
            </w:r>
            <w:r>
              <w:rPr>
                <w:rFonts w:ascii="Times New Roman" w:hAnsi="Times New Roman" w:eastAsia="Times New Roman" w:cs="Times New Roman"/>
              </w:rPr>
              <w:t>COD</w:t>
            </w:r>
            <w:r>
              <w:rPr>
                <w:rFonts w:ascii="Times New Roman" w:hAnsi="Times New Roman" w:eastAsia="Times New Roman" w:cs="Times New Roman"/>
                <w:sz w:val="13"/>
                <w:szCs w:val="13"/>
                <w:position w:val="-1"/>
              </w:rPr>
              <w:t>cr</w:t>
            </w:r>
            <w:r>
              <w:rPr>
                <w:rFonts w:ascii="Times New Roman" w:hAnsi="Times New Roman" w:eastAsia="Times New Roman" w:cs="Times New Roman"/>
                <w:sz w:val="13"/>
                <w:szCs w:val="13"/>
                <w:spacing w:val="-8"/>
                <w:position w:val="-1"/>
              </w:rPr>
              <w:t xml:space="preserve"> </w:t>
            </w:r>
            <w:r>
              <w:rPr>
                <w:spacing w:val="8"/>
              </w:rPr>
              <w:t>、</w:t>
            </w:r>
            <w:r>
              <w:rPr>
                <w:rFonts w:ascii="Times New Roman" w:hAnsi="Times New Roman" w:eastAsia="Times New Roman" w:cs="Times New Roman"/>
              </w:rPr>
              <w:t>BOD</w:t>
            </w:r>
            <w:r>
              <w:rPr>
                <w:rFonts w:ascii="Times New Roman" w:hAnsi="Times New Roman" w:eastAsia="Times New Roman" w:cs="Times New Roman"/>
                <w:sz w:val="13"/>
                <w:szCs w:val="13"/>
                <w:spacing w:val="8"/>
                <w:position w:val="-1"/>
              </w:rPr>
              <w:t>5</w:t>
            </w:r>
            <w:r>
              <w:rPr>
                <w:rFonts w:ascii="Times New Roman" w:hAnsi="Times New Roman" w:eastAsia="Times New Roman" w:cs="Times New Roman"/>
                <w:sz w:val="13"/>
                <w:szCs w:val="13"/>
                <w:spacing w:val="-11"/>
                <w:position w:val="-1"/>
              </w:rPr>
              <w:t xml:space="preserve"> </w:t>
            </w:r>
            <w:r>
              <w:rPr>
                <w:spacing w:val="8"/>
              </w:rPr>
              <w:t>、</w:t>
            </w:r>
            <w:r>
              <w:rPr>
                <w:rFonts w:ascii="Times New Roman" w:hAnsi="Times New Roman" w:eastAsia="Times New Roman" w:cs="Times New Roman"/>
              </w:rPr>
              <w:t>SS</w:t>
            </w:r>
            <w:r>
              <w:rPr>
                <w:rFonts w:ascii="Times New Roman" w:hAnsi="Times New Roman" w:eastAsia="Times New Roman" w:cs="Times New Roman"/>
                <w:spacing w:val="-23"/>
              </w:rPr>
              <w:t xml:space="preserve"> </w:t>
            </w:r>
            <w:r>
              <w:rPr>
                <w:spacing w:val="8"/>
              </w:rPr>
              <w:t>、氨氮、总氮、总磷、动植物</w:t>
            </w:r>
          </w:p>
          <w:p>
            <w:pPr>
              <w:pStyle w:val="TableText"/>
              <w:ind w:left="2364"/>
              <w:spacing w:before="31" w:line="218" w:lineRule="auto"/>
              <w:rPr/>
            </w:pPr>
            <w:r>
              <w:rPr/>
              <w:t>油</w:t>
            </w:r>
          </w:p>
        </w:tc>
      </w:tr>
      <w:tr>
        <w:trPr>
          <w:trHeight w:val="277" w:hRule="atLeast"/>
        </w:trPr>
        <w:tc>
          <w:tcPr>
            <w:tcW w:w="919" w:type="dxa"/>
            <w:vAlign w:val="top"/>
            <w:vMerge w:val="continue"/>
            <w:tcBorders>
              <w:top w:val="nil"/>
              <w:bottom w:val="nil"/>
            </w:tcBorders>
          </w:tcPr>
          <w:p>
            <w:pPr>
              <w:rPr>
                <w:rFonts w:ascii="Arial"/>
                <w:sz w:val="21"/>
              </w:rPr>
            </w:pPr>
            <w:r/>
          </w:p>
        </w:tc>
        <w:tc>
          <w:tcPr>
            <w:tcW w:w="2727" w:type="dxa"/>
            <w:vAlign w:val="top"/>
          </w:tcPr>
          <w:p>
            <w:pPr>
              <w:pStyle w:val="TableText"/>
              <w:ind w:left="737"/>
              <w:spacing w:before="32" w:line="216" w:lineRule="auto"/>
              <w:rPr/>
            </w:pPr>
            <w:r>
              <w:rPr>
                <w:spacing w:val="8"/>
              </w:rPr>
              <w:t>地面冲洗废水</w:t>
            </w:r>
          </w:p>
        </w:tc>
        <w:tc>
          <w:tcPr>
            <w:tcW w:w="4922" w:type="dxa"/>
            <w:vAlign w:val="top"/>
          </w:tcPr>
          <w:p>
            <w:pPr>
              <w:pStyle w:val="TableText"/>
              <w:ind w:left="1652"/>
              <w:spacing w:before="32" w:line="216" w:lineRule="auto"/>
              <w:rPr>
                <w:rFonts w:ascii="Times New Roman" w:hAnsi="Times New Roman" w:eastAsia="Times New Roman" w:cs="Times New Roman"/>
              </w:rPr>
            </w:pPr>
            <w:r>
              <w:rPr>
                <w:rFonts w:ascii="Times New Roman" w:hAnsi="Times New Roman" w:eastAsia="Times New Roman" w:cs="Times New Roman"/>
              </w:rPr>
              <w:t>COD</w:t>
            </w:r>
            <w:r>
              <w:rPr>
                <w:rFonts w:ascii="Times New Roman" w:hAnsi="Times New Roman" w:eastAsia="Times New Roman" w:cs="Times New Roman"/>
                <w:sz w:val="13"/>
                <w:szCs w:val="13"/>
                <w:position w:val="-1"/>
              </w:rPr>
              <w:t>cr</w:t>
            </w:r>
            <w:r>
              <w:rPr>
                <w:rFonts w:ascii="Times New Roman" w:hAnsi="Times New Roman" w:eastAsia="Times New Roman" w:cs="Times New Roman"/>
                <w:sz w:val="13"/>
                <w:szCs w:val="13"/>
                <w:spacing w:val="-10"/>
                <w:position w:val="-1"/>
              </w:rPr>
              <w:t xml:space="preserve"> </w:t>
            </w:r>
            <w:r>
              <w:rPr>
                <w:spacing w:val="11"/>
              </w:rPr>
              <w:t>、氨氮、</w:t>
            </w:r>
            <w:r>
              <w:rPr>
                <w:rFonts w:ascii="Times New Roman" w:hAnsi="Times New Roman" w:eastAsia="Times New Roman" w:cs="Times New Roman"/>
              </w:rPr>
              <w:t>SS</w:t>
            </w:r>
          </w:p>
        </w:tc>
      </w:tr>
      <w:tr>
        <w:trPr>
          <w:trHeight w:val="278" w:hRule="atLeast"/>
        </w:trPr>
        <w:tc>
          <w:tcPr>
            <w:tcW w:w="919" w:type="dxa"/>
            <w:vAlign w:val="top"/>
            <w:vMerge w:val="continue"/>
            <w:tcBorders>
              <w:top w:val="nil"/>
              <w:bottom w:val="nil"/>
            </w:tcBorders>
          </w:tcPr>
          <w:p>
            <w:pPr>
              <w:rPr>
                <w:rFonts w:ascii="Arial"/>
                <w:sz w:val="21"/>
              </w:rPr>
            </w:pPr>
            <w:r/>
          </w:p>
        </w:tc>
        <w:tc>
          <w:tcPr>
            <w:tcW w:w="2727" w:type="dxa"/>
            <w:vAlign w:val="top"/>
          </w:tcPr>
          <w:p>
            <w:pPr>
              <w:pStyle w:val="TableText"/>
              <w:ind w:left="950"/>
              <w:spacing w:before="34" w:line="216" w:lineRule="auto"/>
              <w:rPr/>
            </w:pPr>
            <w:r>
              <w:rPr>
                <w:spacing w:val="6"/>
              </w:rPr>
              <w:t>生活污水</w:t>
            </w:r>
          </w:p>
        </w:tc>
        <w:tc>
          <w:tcPr>
            <w:tcW w:w="4922" w:type="dxa"/>
            <w:vAlign w:val="top"/>
          </w:tcPr>
          <w:p>
            <w:pPr>
              <w:pStyle w:val="TableText"/>
              <w:ind w:left="526"/>
              <w:spacing w:before="34" w:line="216" w:lineRule="auto"/>
              <w:rPr/>
            </w:pPr>
            <w:r>
              <w:rPr>
                <w:rFonts w:ascii="Times New Roman" w:hAnsi="Times New Roman" w:eastAsia="Times New Roman" w:cs="Times New Roman"/>
              </w:rPr>
              <w:t>pH</w:t>
            </w:r>
            <w:r>
              <w:rPr>
                <w:rFonts w:ascii="Times New Roman" w:hAnsi="Times New Roman" w:eastAsia="Times New Roman" w:cs="Times New Roman"/>
                <w:spacing w:val="-26"/>
              </w:rPr>
              <w:t xml:space="preserve"> </w:t>
            </w:r>
            <w:r>
              <w:rPr>
                <w:spacing w:val="7"/>
              </w:rPr>
              <w:t>、</w:t>
            </w:r>
            <w:r>
              <w:rPr>
                <w:rFonts w:ascii="Times New Roman" w:hAnsi="Times New Roman" w:eastAsia="Times New Roman" w:cs="Times New Roman"/>
              </w:rPr>
              <w:t>COD</w:t>
            </w:r>
            <w:r>
              <w:rPr>
                <w:rFonts w:ascii="Times New Roman" w:hAnsi="Times New Roman" w:eastAsia="Times New Roman" w:cs="Times New Roman"/>
                <w:sz w:val="13"/>
                <w:szCs w:val="13"/>
                <w:position w:val="-1"/>
              </w:rPr>
              <w:t>cr</w:t>
            </w:r>
            <w:r>
              <w:rPr>
                <w:rFonts w:ascii="Times New Roman" w:hAnsi="Times New Roman" w:eastAsia="Times New Roman" w:cs="Times New Roman"/>
                <w:sz w:val="13"/>
                <w:szCs w:val="13"/>
                <w:spacing w:val="-10"/>
                <w:position w:val="-1"/>
              </w:rPr>
              <w:t xml:space="preserve"> </w:t>
            </w:r>
            <w:r>
              <w:rPr>
                <w:spacing w:val="7"/>
              </w:rPr>
              <w:t>、</w:t>
            </w:r>
            <w:r>
              <w:rPr>
                <w:rFonts w:ascii="Times New Roman" w:hAnsi="Times New Roman" w:eastAsia="Times New Roman" w:cs="Times New Roman"/>
              </w:rPr>
              <w:t>BOD</w:t>
            </w:r>
            <w:r>
              <w:rPr>
                <w:rFonts w:ascii="Times New Roman" w:hAnsi="Times New Roman" w:eastAsia="Times New Roman" w:cs="Times New Roman"/>
                <w:sz w:val="13"/>
                <w:szCs w:val="13"/>
                <w:spacing w:val="7"/>
                <w:position w:val="-1"/>
              </w:rPr>
              <w:t>5</w:t>
            </w:r>
            <w:r>
              <w:rPr>
                <w:rFonts w:ascii="Times New Roman" w:hAnsi="Times New Roman" w:eastAsia="Times New Roman" w:cs="Times New Roman"/>
                <w:sz w:val="13"/>
                <w:szCs w:val="13"/>
                <w:spacing w:val="-9"/>
                <w:position w:val="-1"/>
              </w:rPr>
              <w:t xml:space="preserve"> </w:t>
            </w:r>
            <w:r>
              <w:rPr>
                <w:spacing w:val="7"/>
              </w:rPr>
              <w:t>、</w:t>
            </w:r>
            <w:r>
              <w:rPr>
                <w:rFonts w:ascii="Times New Roman" w:hAnsi="Times New Roman" w:eastAsia="Times New Roman" w:cs="Times New Roman"/>
              </w:rPr>
              <w:t>SS</w:t>
            </w:r>
            <w:r>
              <w:rPr>
                <w:rFonts w:ascii="Times New Roman" w:hAnsi="Times New Roman" w:eastAsia="Times New Roman" w:cs="Times New Roman"/>
                <w:spacing w:val="-26"/>
              </w:rPr>
              <w:t xml:space="preserve"> </w:t>
            </w:r>
            <w:r>
              <w:rPr>
                <w:spacing w:val="7"/>
              </w:rPr>
              <w:t>、氨氮、动植物油</w:t>
            </w:r>
          </w:p>
        </w:tc>
      </w:tr>
      <w:tr>
        <w:trPr>
          <w:trHeight w:val="277" w:hRule="atLeast"/>
        </w:trPr>
        <w:tc>
          <w:tcPr>
            <w:tcW w:w="919" w:type="dxa"/>
            <w:vAlign w:val="top"/>
            <w:vMerge w:val="continue"/>
            <w:tcBorders>
              <w:top w:val="nil"/>
              <w:bottom w:val="nil"/>
            </w:tcBorders>
          </w:tcPr>
          <w:p>
            <w:pPr>
              <w:rPr>
                <w:rFonts w:ascii="Arial"/>
                <w:sz w:val="21"/>
              </w:rPr>
            </w:pPr>
            <w:r/>
          </w:p>
        </w:tc>
        <w:tc>
          <w:tcPr>
            <w:tcW w:w="2727" w:type="dxa"/>
            <w:vAlign w:val="top"/>
          </w:tcPr>
          <w:p>
            <w:pPr>
              <w:pStyle w:val="TableText"/>
              <w:ind w:left="739"/>
              <w:spacing w:before="31" w:line="217" w:lineRule="auto"/>
              <w:rPr/>
            </w:pPr>
            <w:r>
              <w:rPr>
                <w:spacing w:val="7"/>
              </w:rPr>
              <w:t>纯水制备排污</w:t>
            </w:r>
          </w:p>
        </w:tc>
        <w:tc>
          <w:tcPr>
            <w:tcW w:w="4922" w:type="dxa"/>
            <w:vAlign w:val="top"/>
          </w:tcPr>
          <w:p>
            <w:pPr>
              <w:pStyle w:val="TableText"/>
              <w:ind w:left="1181"/>
              <w:spacing w:before="31" w:line="217" w:lineRule="auto"/>
              <w:rPr>
                <w:rFonts w:ascii="Times New Roman" w:hAnsi="Times New Roman" w:eastAsia="Times New Roman" w:cs="Times New Roman"/>
              </w:rPr>
            </w:pPr>
            <w:r>
              <w:rPr>
                <w:rFonts w:ascii="Times New Roman" w:hAnsi="Times New Roman" w:eastAsia="Times New Roman" w:cs="Times New Roman"/>
              </w:rPr>
              <w:t>TDS</w:t>
            </w:r>
            <w:r>
              <w:rPr>
                <w:rFonts w:ascii="Times New Roman" w:hAnsi="Times New Roman" w:eastAsia="Times New Roman" w:cs="Times New Roman"/>
                <w:spacing w:val="-20"/>
              </w:rPr>
              <w:t xml:space="preserve"> </w:t>
            </w:r>
            <w:r>
              <w:rPr>
                <w:spacing w:val="7"/>
              </w:rPr>
              <w:t>、</w:t>
            </w:r>
            <w:r>
              <w:rPr>
                <w:rFonts w:ascii="Times New Roman" w:hAnsi="Times New Roman" w:eastAsia="Times New Roman" w:cs="Times New Roman"/>
              </w:rPr>
              <w:t>SS</w:t>
            </w:r>
            <w:r>
              <w:rPr>
                <w:rFonts w:ascii="Times New Roman" w:hAnsi="Times New Roman" w:eastAsia="Times New Roman" w:cs="Times New Roman"/>
                <w:spacing w:val="-23"/>
              </w:rPr>
              <w:t xml:space="preserve"> </w:t>
            </w:r>
            <w:r>
              <w:rPr>
                <w:spacing w:val="7"/>
              </w:rPr>
              <w:t>、化学需氧量、</w:t>
            </w:r>
            <w:r>
              <w:rPr>
                <w:rFonts w:ascii="Times New Roman" w:hAnsi="Times New Roman" w:eastAsia="Times New Roman" w:cs="Times New Roman"/>
              </w:rPr>
              <w:t>pH</w:t>
            </w:r>
          </w:p>
        </w:tc>
      </w:tr>
      <w:tr>
        <w:trPr>
          <w:trHeight w:val="277" w:hRule="atLeast"/>
        </w:trPr>
        <w:tc>
          <w:tcPr>
            <w:tcW w:w="919" w:type="dxa"/>
            <w:vAlign w:val="top"/>
            <w:vMerge w:val="continue"/>
            <w:tcBorders>
              <w:top w:val="nil"/>
            </w:tcBorders>
          </w:tcPr>
          <w:p>
            <w:pPr>
              <w:rPr>
                <w:rFonts w:ascii="Arial"/>
                <w:sz w:val="21"/>
              </w:rPr>
            </w:pPr>
            <w:r/>
          </w:p>
        </w:tc>
        <w:tc>
          <w:tcPr>
            <w:tcW w:w="2727" w:type="dxa"/>
            <w:vAlign w:val="top"/>
          </w:tcPr>
          <w:p>
            <w:pPr>
              <w:pStyle w:val="TableText"/>
              <w:ind w:left="948"/>
              <w:spacing w:before="32" w:line="216" w:lineRule="auto"/>
              <w:rPr/>
            </w:pPr>
            <w:r>
              <w:rPr>
                <w:spacing w:val="7"/>
              </w:rPr>
              <w:t>锅炉排污</w:t>
            </w:r>
          </w:p>
        </w:tc>
        <w:tc>
          <w:tcPr>
            <w:tcW w:w="4922" w:type="dxa"/>
            <w:vAlign w:val="top"/>
          </w:tcPr>
          <w:p>
            <w:pPr>
              <w:pStyle w:val="TableText"/>
              <w:ind w:left="1181"/>
              <w:spacing w:before="32" w:line="216" w:lineRule="auto"/>
              <w:rPr>
                <w:rFonts w:ascii="Times New Roman" w:hAnsi="Times New Roman" w:eastAsia="Times New Roman" w:cs="Times New Roman"/>
              </w:rPr>
            </w:pPr>
            <w:r>
              <w:rPr>
                <w:rFonts w:ascii="Times New Roman" w:hAnsi="Times New Roman" w:eastAsia="Times New Roman" w:cs="Times New Roman"/>
              </w:rPr>
              <w:t>TDS</w:t>
            </w:r>
            <w:r>
              <w:rPr>
                <w:rFonts w:ascii="Times New Roman" w:hAnsi="Times New Roman" w:eastAsia="Times New Roman" w:cs="Times New Roman"/>
                <w:spacing w:val="-20"/>
              </w:rPr>
              <w:t xml:space="preserve"> </w:t>
            </w:r>
            <w:r>
              <w:rPr>
                <w:spacing w:val="7"/>
              </w:rPr>
              <w:t>、</w:t>
            </w:r>
            <w:r>
              <w:rPr>
                <w:rFonts w:ascii="Times New Roman" w:hAnsi="Times New Roman" w:eastAsia="Times New Roman" w:cs="Times New Roman"/>
              </w:rPr>
              <w:t>SS</w:t>
            </w:r>
            <w:r>
              <w:rPr>
                <w:rFonts w:ascii="Times New Roman" w:hAnsi="Times New Roman" w:eastAsia="Times New Roman" w:cs="Times New Roman"/>
                <w:spacing w:val="-23"/>
              </w:rPr>
              <w:t xml:space="preserve"> </w:t>
            </w:r>
            <w:r>
              <w:rPr>
                <w:spacing w:val="7"/>
              </w:rPr>
              <w:t>、化学需氧量、</w:t>
            </w:r>
            <w:r>
              <w:rPr>
                <w:rFonts w:ascii="Times New Roman" w:hAnsi="Times New Roman" w:eastAsia="Times New Roman" w:cs="Times New Roman"/>
              </w:rPr>
              <w:t>pH</w:t>
            </w:r>
          </w:p>
        </w:tc>
      </w:tr>
      <w:tr>
        <w:trPr>
          <w:trHeight w:val="278" w:hRule="atLeast"/>
        </w:trPr>
        <w:tc>
          <w:tcPr>
            <w:tcW w:w="919" w:type="dxa"/>
            <w:vAlign w:val="top"/>
          </w:tcPr>
          <w:p>
            <w:pPr>
              <w:pStyle w:val="TableText"/>
              <w:ind w:left="264"/>
              <w:spacing w:before="34" w:line="216" w:lineRule="auto"/>
              <w:rPr/>
            </w:pPr>
            <w:r>
              <w:rPr>
                <w:spacing w:val="-1"/>
              </w:rPr>
              <w:t>噪声</w:t>
            </w:r>
          </w:p>
        </w:tc>
        <w:tc>
          <w:tcPr>
            <w:tcW w:w="2727" w:type="dxa"/>
            <w:vAlign w:val="top"/>
          </w:tcPr>
          <w:p>
            <w:pPr>
              <w:pStyle w:val="TableText"/>
              <w:ind w:left="1166"/>
              <w:spacing w:before="34" w:line="216" w:lineRule="auto"/>
              <w:rPr/>
            </w:pPr>
            <w:r>
              <w:rPr>
                <w:spacing w:val="-1"/>
              </w:rPr>
              <w:t>噪声</w:t>
            </w:r>
          </w:p>
        </w:tc>
        <w:tc>
          <w:tcPr>
            <w:tcW w:w="4922" w:type="dxa"/>
            <w:vAlign w:val="top"/>
          </w:tcPr>
          <w:p>
            <w:pPr>
              <w:pStyle w:val="TableText"/>
              <w:ind w:left="1498"/>
              <w:spacing w:before="34" w:line="216" w:lineRule="auto"/>
              <w:rPr/>
            </w:pPr>
            <w:r>
              <w:rPr>
                <w:spacing w:val="6"/>
              </w:rPr>
              <w:t>连续等效噪声</w:t>
            </w:r>
            <w:r>
              <w:rPr>
                <w:spacing w:val="-42"/>
              </w:rPr>
              <w:t xml:space="preserve"> </w:t>
            </w:r>
            <w:r>
              <w:rPr>
                <w:rFonts w:ascii="Times New Roman" w:hAnsi="Times New Roman" w:eastAsia="Times New Roman" w:cs="Times New Roman"/>
                <w:spacing w:val="6"/>
              </w:rPr>
              <w:t>A</w:t>
            </w:r>
            <w:r>
              <w:rPr>
                <w:rFonts w:ascii="Times New Roman" w:hAnsi="Times New Roman" w:eastAsia="Times New Roman" w:cs="Times New Roman"/>
                <w:spacing w:val="15"/>
                <w:w w:val="101"/>
              </w:rPr>
              <w:t xml:space="preserve"> </w:t>
            </w:r>
            <w:r>
              <w:rPr>
                <w:spacing w:val="6"/>
              </w:rPr>
              <w:t>声级</w:t>
            </w:r>
          </w:p>
        </w:tc>
      </w:tr>
      <w:tr>
        <w:trPr>
          <w:trHeight w:val="277" w:hRule="atLeast"/>
        </w:trPr>
        <w:tc>
          <w:tcPr>
            <w:tcW w:w="919" w:type="dxa"/>
            <w:vAlign w:val="top"/>
            <w:vMerge w:val="restart"/>
            <w:tcBorders>
              <w:bottom w:val="nil"/>
            </w:tcBorders>
          </w:tcPr>
          <w:p>
            <w:pPr>
              <w:spacing w:line="279" w:lineRule="auto"/>
              <w:rPr>
                <w:rFonts w:ascii="Arial"/>
                <w:sz w:val="21"/>
              </w:rPr>
            </w:pPr>
            <w:r/>
          </w:p>
          <w:p>
            <w:pPr>
              <w:spacing w:line="279" w:lineRule="auto"/>
              <w:rPr>
                <w:rFonts w:ascii="Arial"/>
                <w:sz w:val="21"/>
              </w:rPr>
            </w:pPr>
            <w:r/>
          </w:p>
          <w:p>
            <w:pPr>
              <w:spacing w:line="279" w:lineRule="auto"/>
              <w:rPr>
                <w:rFonts w:ascii="Arial"/>
                <w:sz w:val="21"/>
              </w:rPr>
            </w:pPr>
            <w:r/>
          </w:p>
          <w:p>
            <w:pPr>
              <w:spacing w:line="279" w:lineRule="auto"/>
              <w:rPr>
                <w:rFonts w:ascii="Arial"/>
                <w:sz w:val="21"/>
              </w:rPr>
            </w:pPr>
            <w:r/>
          </w:p>
          <w:p>
            <w:pPr>
              <w:spacing w:line="279" w:lineRule="auto"/>
              <w:rPr>
                <w:rFonts w:ascii="Arial"/>
                <w:sz w:val="21"/>
              </w:rPr>
            </w:pPr>
            <w:r/>
          </w:p>
          <w:p>
            <w:pPr>
              <w:spacing w:line="280" w:lineRule="auto"/>
              <w:rPr>
                <w:rFonts w:ascii="Arial"/>
                <w:sz w:val="21"/>
              </w:rPr>
            </w:pPr>
            <w:r/>
          </w:p>
          <w:p>
            <w:pPr>
              <w:pStyle w:val="TableText"/>
              <w:ind w:left="272"/>
              <w:spacing w:before="65" w:line="228" w:lineRule="auto"/>
              <w:rPr/>
            </w:pPr>
            <w:r>
              <w:rPr>
                <w:spacing w:val="-5"/>
              </w:rPr>
              <w:t>固废</w:t>
            </w:r>
          </w:p>
        </w:tc>
        <w:tc>
          <w:tcPr>
            <w:tcW w:w="2727" w:type="dxa"/>
            <w:vAlign w:val="top"/>
          </w:tcPr>
          <w:p>
            <w:pPr>
              <w:pStyle w:val="TableText"/>
              <w:ind w:left="947"/>
              <w:spacing w:before="31" w:line="217" w:lineRule="auto"/>
              <w:rPr/>
            </w:pPr>
            <w:r>
              <w:rPr>
                <w:spacing w:val="7"/>
              </w:rPr>
              <w:t>废包装物</w:t>
            </w:r>
          </w:p>
        </w:tc>
        <w:tc>
          <w:tcPr>
            <w:tcW w:w="4922" w:type="dxa"/>
            <w:vAlign w:val="top"/>
          </w:tcPr>
          <w:p>
            <w:pPr>
              <w:pStyle w:val="TableText"/>
              <w:ind w:left="686"/>
              <w:spacing w:before="31" w:line="217" w:lineRule="auto"/>
              <w:rPr/>
            </w:pPr>
            <w:r>
              <w:rPr>
                <w:spacing w:val="8"/>
              </w:rPr>
              <w:t>高密度聚乙烯（包布）和钢丝（包索）</w:t>
            </w:r>
          </w:p>
        </w:tc>
      </w:tr>
      <w:tr>
        <w:trPr>
          <w:trHeight w:val="278" w:hRule="atLeast"/>
        </w:trPr>
        <w:tc>
          <w:tcPr>
            <w:tcW w:w="919" w:type="dxa"/>
            <w:vAlign w:val="top"/>
            <w:vMerge w:val="continue"/>
            <w:tcBorders>
              <w:top w:val="nil"/>
              <w:bottom w:val="nil"/>
            </w:tcBorders>
          </w:tcPr>
          <w:p>
            <w:pPr>
              <w:rPr>
                <w:rFonts w:ascii="Arial"/>
                <w:sz w:val="21"/>
              </w:rPr>
            </w:pPr>
            <w:r/>
          </w:p>
        </w:tc>
        <w:tc>
          <w:tcPr>
            <w:tcW w:w="2727" w:type="dxa"/>
            <w:vAlign w:val="top"/>
          </w:tcPr>
          <w:p>
            <w:pPr>
              <w:pStyle w:val="TableText"/>
              <w:ind w:left="950"/>
              <w:spacing w:before="32" w:line="217" w:lineRule="auto"/>
              <w:rPr/>
            </w:pPr>
            <w:r>
              <w:rPr>
                <w:spacing w:val="6"/>
              </w:rPr>
              <w:t>分选杂质</w:t>
            </w:r>
          </w:p>
        </w:tc>
        <w:tc>
          <w:tcPr>
            <w:tcW w:w="4922" w:type="dxa"/>
            <w:vAlign w:val="top"/>
          </w:tcPr>
          <w:p>
            <w:pPr>
              <w:pStyle w:val="TableText"/>
              <w:ind w:left="1836"/>
              <w:spacing w:before="32" w:line="217" w:lineRule="auto"/>
              <w:rPr/>
            </w:pPr>
            <w:r>
              <w:rPr>
                <w:spacing w:val="8"/>
              </w:rPr>
              <w:t>石头、木块等</w:t>
            </w:r>
          </w:p>
        </w:tc>
      </w:tr>
      <w:tr>
        <w:trPr>
          <w:trHeight w:val="277" w:hRule="atLeast"/>
        </w:trPr>
        <w:tc>
          <w:tcPr>
            <w:tcW w:w="919" w:type="dxa"/>
            <w:vAlign w:val="top"/>
            <w:vMerge w:val="continue"/>
            <w:tcBorders>
              <w:top w:val="nil"/>
              <w:bottom w:val="nil"/>
            </w:tcBorders>
          </w:tcPr>
          <w:p>
            <w:pPr>
              <w:rPr>
                <w:rFonts w:ascii="Arial"/>
                <w:sz w:val="21"/>
              </w:rPr>
            </w:pPr>
            <w:r/>
          </w:p>
        </w:tc>
        <w:tc>
          <w:tcPr>
            <w:tcW w:w="2727" w:type="dxa"/>
            <w:vAlign w:val="top"/>
          </w:tcPr>
          <w:p>
            <w:pPr>
              <w:pStyle w:val="TableText"/>
              <w:ind w:left="949"/>
              <w:spacing w:before="32" w:line="216" w:lineRule="auto"/>
              <w:rPr/>
            </w:pPr>
            <w:r>
              <w:rPr>
                <w:spacing w:val="7"/>
              </w:rPr>
              <w:t>开松杂质</w:t>
            </w:r>
          </w:p>
        </w:tc>
        <w:tc>
          <w:tcPr>
            <w:tcW w:w="4922" w:type="dxa"/>
            <w:vAlign w:val="top"/>
          </w:tcPr>
          <w:p>
            <w:pPr>
              <w:pStyle w:val="TableText"/>
              <w:ind w:left="1417"/>
              <w:spacing w:before="32" w:line="216" w:lineRule="auto"/>
              <w:rPr/>
            </w:pPr>
            <w:r>
              <w:rPr>
                <w:spacing w:val="8"/>
              </w:rPr>
              <w:t>杂草、泥沙、羊粪便等</w:t>
            </w:r>
          </w:p>
        </w:tc>
      </w:tr>
      <w:tr>
        <w:trPr>
          <w:trHeight w:val="277" w:hRule="atLeast"/>
        </w:trPr>
        <w:tc>
          <w:tcPr>
            <w:tcW w:w="919" w:type="dxa"/>
            <w:vAlign w:val="top"/>
            <w:vMerge w:val="continue"/>
            <w:tcBorders>
              <w:top w:val="nil"/>
              <w:bottom w:val="nil"/>
            </w:tcBorders>
          </w:tcPr>
          <w:p>
            <w:pPr>
              <w:rPr>
                <w:rFonts w:ascii="Arial"/>
                <w:sz w:val="21"/>
              </w:rPr>
            </w:pPr>
            <w:r/>
          </w:p>
        </w:tc>
        <w:tc>
          <w:tcPr>
            <w:tcW w:w="2727" w:type="dxa"/>
            <w:vAlign w:val="top"/>
          </w:tcPr>
          <w:p>
            <w:pPr>
              <w:pStyle w:val="TableText"/>
              <w:ind w:left="421"/>
              <w:spacing w:before="31" w:line="217" w:lineRule="auto"/>
              <w:rPr/>
            </w:pPr>
            <w:r>
              <w:rPr>
                <w:spacing w:val="9"/>
              </w:rPr>
              <w:t>废水收集池沉淀杂质</w:t>
            </w:r>
          </w:p>
        </w:tc>
        <w:tc>
          <w:tcPr>
            <w:tcW w:w="4922" w:type="dxa"/>
            <w:vAlign w:val="top"/>
          </w:tcPr>
          <w:p>
            <w:pPr>
              <w:pStyle w:val="TableText"/>
              <w:ind w:left="1837"/>
              <w:spacing w:before="31" w:line="217" w:lineRule="auto"/>
              <w:rPr/>
            </w:pPr>
            <w:r>
              <w:rPr>
                <w:spacing w:val="7"/>
              </w:rPr>
              <w:t>泥沙、石子等</w:t>
            </w:r>
          </w:p>
        </w:tc>
      </w:tr>
      <w:tr>
        <w:trPr>
          <w:trHeight w:val="278" w:hRule="atLeast"/>
        </w:trPr>
        <w:tc>
          <w:tcPr>
            <w:tcW w:w="919" w:type="dxa"/>
            <w:vAlign w:val="top"/>
            <w:vMerge w:val="continue"/>
            <w:tcBorders>
              <w:top w:val="nil"/>
              <w:bottom w:val="nil"/>
            </w:tcBorders>
          </w:tcPr>
          <w:p>
            <w:pPr>
              <w:rPr>
                <w:rFonts w:ascii="Arial"/>
                <w:sz w:val="21"/>
              </w:rPr>
            </w:pPr>
            <w:r/>
          </w:p>
        </w:tc>
        <w:tc>
          <w:tcPr>
            <w:tcW w:w="2727" w:type="dxa"/>
            <w:vAlign w:val="top"/>
          </w:tcPr>
          <w:p>
            <w:pPr>
              <w:pStyle w:val="TableText"/>
              <w:ind w:left="527"/>
              <w:spacing w:before="32" w:line="217" w:lineRule="auto"/>
              <w:rPr/>
            </w:pPr>
            <w:r>
              <w:rPr>
                <w:spacing w:val="8"/>
              </w:rPr>
              <w:t>梳绒短纤维及杂毛</w:t>
            </w:r>
          </w:p>
        </w:tc>
        <w:tc>
          <w:tcPr>
            <w:tcW w:w="4922" w:type="dxa"/>
            <w:vAlign w:val="top"/>
          </w:tcPr>
          <w:p>
            <w:pPr>
              <w:pStyle w:val="TableText"/>
              <w:ind w:left="1838"/>
              <w:spacing w:before="32" w:line="217" w:lineRule="auto"/>
              <w:rPr/>
            </w:pPr>
            <w:r>
              <w:rPr>
                <w:spacing w:val="7"/>
              </w:rPr>
              <w:t>短纤维及杂毛</w:t>
            </w:r>
          </w:p>
        </w:tc>
      </w:tr>
      <w:tr>
        <w:trPr>
          <w:trHeight w:val="277" w:hRule="atLeast"/>
        </w:trPr>
        <w:tc>
          <w:tcPr>
            <w:tcW w:w="919" w:type="dxa"/>
            <w:vAlign w:val="top"/>
            <w:vMerge w:val="continue"/>
            <w:tcBorders>
              <w:top w:val="nil"/>
              <w:bottom w:val="nil"/>
            </w:tcBorders>
          </w:tcPr>
          <w:p>
            <w:pPr>
              <w:rPr>
                <w:rFonts w:ascii="Arial"/>
                <w:sz w:val="21"/>
              </w:rPr>
            </w:pPr>
            <w:r/>
          </w:p>
        </w:tc>
        <w:tc>
          <w:tcPr>
            <w:tcW w:w="2727" w:type="dxa"/>
            <w:vAlign w:val="top"/>
          </w:tcPr>
          <w:p>
            <w:pPr>
              <w:pStyle w:val="TableText"/>
              <w:ind w:left="947"/>
              <w:spacing w:before="33" w:line="216" w:lineRule="auto"/>
              <w:rPr/>
            </w:pPr>
            <w:r>
              <w:rPr>
                <w:spacing w:val="7"/>
              </w:rPr>
              <w:t>废脱硫剂</w:t>
            </w:r>
          </w:p>
        </w:tc>
        <w:tc>
          <w:tcPr>
            <w:tcW w:w="4922" w:type="dxa"/>
            <w:vAlign w:val="top"/>
          </w:tcPr>
          <w:p>
            <w:pPr>
              <w:pStyle w:val="TableText"/>
              <w:ind w:left="1581"/>
              <w:spacing w:before="33" w:line="216" w:lineRule="auto"/>
              <w:rPr/>
            </w:pPr>
            <w:r>
              <w:rPr>
                <w:rFonts w:ascii="Times New Roman" w:hAnsi="Times New Roman" w:eastAsia="Times New Roman" w:cs="Times New Roman"/>
              </w:rPr>
              <w:t>Fe</w:t>
            </w:r>
            <w:r>
              <w:rPr>
                <w:rFonts w:ascii="Times New Roman" w:hAnsi="Times New Roman" w:eastAsia="Times New Roman" w:cs="Times New Roman"/>
                <w:sz w:val="13"/>
                <w:szCs w:val="13"/>
                <w:spacing w:val="3"/>
              </w:rPr>
              <w:t>2</w:t>
            </w:r>
            <w:r>
              <w:rPr>
                <w:rFonts w:ascii="Times New Roman" w:hAnsi="Times New Roman" w:eastAsia="Times New Roman" w:cs="Times New Roman"/>
                <w:spacing w:val="3"/>
              </w:rPr>
              <w:t>O</w:t>
            </w:r>
            <w:r>
              <w:rPr>
                <w:rFonts w:ascii="Times New Roman" w:hAnsi="Times New Roman" w:eastAsia="Times New Roman" w:cs="Times New Roman"/>
                <w:sz w:val="13"/>
                <w:szCs w:val="13"/>
                <w:spacing w:val="3"/>
                <w:position w:val="-1"/>
              </w:rPr>
              <w:t>3</w:t>
            </w:r>
            <w:r>
              <w:rPr>
                <w:rFonts w:ascii="Times New Roman" w:hAnsi="Times New Roman" w:eastAsia="Times New Roman" w:cs="Times New Roman"/>
                <w:sz w:val="13"/>
                <w:szCs w:val="13"/>
                <w:spacing w:val="-11"/>
                <w:position w:val="-1"/>
              </w:rPr>
              <w:t xml:space="preserve"> </w:t>
            </w:r>
            <w:r>
              <w:rPr>
                <w:spacing w:val="3"/>
              </w:rPr>
              <w:t>、</w:t>
            </w:r>
            <w:r>
              <w:rPr>
                <w:rFonts w:ascii="Times New Roman" w:hAnsi="Times New Roman" w:eastAsia="Times New Roman" w:cs="Times New Roman"/>
              </w:rPr>
              <w:t>Fe</w:t>
            </w:r>
            <w:r>
              <w:rPr>
                <w:rFonts w:ascii="Times New Roman" w:hAnsi="Times New Roman" w:eastAsia="Times New Roman" w:cs="Times New Roman"/>
                <w:sz w:val="13"/>
                <w:szCs w:val="13"/>
                <w:spacing w:val="3"/>
              </w:rPr>
              <w:t>2</w:t>
            </w:r>
            <w:r>
              <w:rPr>
                <w:rFonts w:ascii="Times New Roman" w:hAnsi="Times New Roman" w:eastAsia="Times New Roman" w:cs="Times New Roman"/>
                <w:spacing w:val="3"/>
              </w:rPr>
              <w:t>S</w:t>
            </w:r>
            <w:r>
              <w:rPr>
                <w:rFonts w:ascii="Times New Roman" w:hAnsi="Times New Roman" w:eastAsia="Times New Roman" w:cs="Times New Roman"/>
                <w:sz w:val="13"/>
                <w:szCs w:val="13"/>
                <w:spacing w:val="3"/>
                <w:position w:val="-1"/>
              </w:rPr>
              <w:t>3</w:t>
            </w:r>
            <w:r>
              <w:rPr>
                <w:rFonts w:ascii="Times New Roman" w:hAnsi="Times New Roman" w:eastAsia="Times New Roman" w:cs="Times New Roman"/>
                <w:sz w:val="13"/>
                <w:szCs w:val="13"/>
                <w:spacing w:val="-11"/>
                <w:position w:val="-1"/>
              </w:rPr>
              <w:t xml:space="preserve"> </w:t>
            </w:r>
            <w:r>
              <w:rPr>
                <w:spacing w:val="3"/>
              </w:rPr>
              <w:t>、</w:t>
            </w:r>
            <w:r>
              <w:rPr>
                <w:rFonts w:ascii="Times New Roman" w:hAnsi="Times New Roman" w:eastAsia="Times New Roman" w:cs="Times New Roman"/>
                <w:spacing w:val="3"/>
              </w:rPr>
              <w:t>S </w:t>
            </w:r>
            <w:r>
              <w:rPr>
                <w:spacing w:val="3"/>
              </w:rPr>
              <w:t>等</w:t>
            </w:r>
          </w:p>
        </w:tc>
      </w:tr>
      <w:tr>
        <w:trPr>
          <w:trHeight w:val="277" w:hRule="atLeast"/>
        </w:trPr>
        <w:tc>
          <w:tcPr>
            <w:tcW w:w="919" w:type="dxa"/>
            <w:vAlign w:val="top"/>
            <w:vMerge w:val="continue"/>
            <w:tcBorders>
              <w:top w:val="nil"/>
              <w:bottom w:val="nil"/>
            </w:tcBorders>
          </w:tcPr>
          <w:p>
            <w:pPr>
              <w:rPr>
                <w:rFonts w:ascii="Arial"/>
                <w:sz w:val="21"/>
              </w:rPr>
            </w:pPr>
            <w:r/>
          </w:p>
        </w:tc>
        <w:tc>
          <w:tcPr>
            <w:tcW w:w="2727" w:type="dxa"/>
            <w:vAlign w:val="top"/>
          </w:tcPr>
          <w:p>
            <w:pPr>
              <w:pStyle w:val="TableText"/>
              <w:ind w:left="947"/>
              <w:spacing w:before="31" w:line="217" w:lineRule="auto"/>
              <w:rPr/>
            </w:pPr>
            <w:r>
              <w:rPr>
                <w:spacing w:val="7"/>
              </w:rPr>
              <w:t>废活性炭</w:t>
            </w:r>
          </w:p>
        </w:tc>
        <w:tc>
          <w:tcPr>
            <w:tcW w:w="4922" w:type="dxa"/>
            <w:vAlign w:val="top"/>
          </w:tcPr>
          <w:p>
            <w:pPr>
              <w:pStyle w:val="TableText"/>
              <w:ind w:left="1902"/>
              <w:spacing w:before="31" w:line="217" w:lineRule="auto"/>
              <w:rPr/>
            </w:pPr>
            <w:r>
              <w:rPr>
                <w:rFonts w:ascii="Times New Roman" w:hAnsi="Times New Roman" w:eastAsia="Times New Roman" w:cs="Times New Roman"/>
                <w:spacing w:val="-3"/>
              </w:rPr>
              <w:t>C</w:t>
            </w:r>
            <w:r>
              <w:rPr>
                <w:rFonts w:ascii="Times New Roman" w:hAnsi="Times New Roman" w:eastAsia="Times New Roman" w:cs="Times New Roman"/>
                <w:spacing w:val="-25"/>
              </w:rPr>
              <w:t xml:space="preserve"> </w:t>
            </w:r>
            <w:r>
              <w:rPr>
                <w:spacing w:val="-3"/>
              </w:rPr>
              <w:t>、</w:t>
            </w:r>
            <w:r>
              <w:rPr>
                <w:rFonts w:ascii="Times New Roman" w:hAnsi="Times New Roman" w:eastAsia="Times New Roman" w:cs="Times New Roman"/>
                <w:spacing w:val="-3"/>
              </w:rPr>
              <w:t>H</w:t>
            </w:r>
            <w:r>
              <w:rPr>
                <w:rFonts w:ascii="Times New Roman" w:hAnsi="Times New Roman" w:eastAsia="Times New Roman" w:cs="Times New Roman"/>
                <w:spacing w:val="-27"/>
              </w:rPr>
              <w:t xml:space="preserve"> </w:t>
            </w:r>
            <w:r>
              <w:rPr>
                <w:spacing w:val="-3"/>
              </w:rPr>
              <w:t>、</w:t>
            </w:r>
            <w:r>
              <w:rPr>
                <w:rFonts w:ascii="Times New Roman" w:hAnsi="Times New Roman" w:eastAsia="Times New Roman" w:cs="Times New Roman"/>
                <w:spacing w:val="-3"/>
              </w:rPr>
              <w:t>O</w:t>
            </w:r>
            <w:r>
              <w:rPr>
                <w:rFonts w:ascii="Times New Roman" w:hAnsi="Times New Roman" w:eastAsia="Times New Roman" w:cs="Times New Roman"/>
                <w:spacing w:val="13"/>
              </w:rPr>
              <w:t xml:space="preserve"> </w:t>
            </w:r>
            <w:r>
              <w:rPr>
                <w:spacing w:val="-3"/>
              </w:rPr>
              <w:t>等</w:t>
            </w:r>
          </w:p>
        </w:tc>
      </w:tr>
      <w:tr>
        <w:trPr>
          <w:trHeight w:val="278" w:hRule="atLeast"/>
        </w:trPr>
        <w:tc>
          <w:tcPr>
            <w:tcW w:w="919" w:type="dxa"/>
            <w:vAlign w:val="top"/>
            <w:vMerge w:val="continue"/>
            <w:tcBorders>
              <w:top w:val="nil"/>
              <w:bottom w:val="nil"/>
            </w:tcBorders>
          </w:tcPr>
          <w:p>
            <w:pPr>
              <w:rPr>
                <w:rFonts w:ascii="Arial"/>
                <w:sz w:val="21"/>
              </w:rPr>
            </w:pPr>
            <w:r/>
          </w:p>
        </w:tc>
        <w:tc>
          <w:tcPr>
            <w:tcW w:w="2727" w:type="dxa"/>
            <w:vAlign w:val="top"/>
          </w:tcPr>
          <w:p>
            <w:pPr>
              <w:pStyle w:val="TableText"/>
              <w:ind w:left="947"/>
              <w:spacing w:before="32" w:line="217" w:lineRule="auto"/>
              <w:rPr/>
            </w:pPr>
            <w:r>
              <w:rPr>
                <w:spacing w:val="7"/>
              </w:rPr>
              <w:t>废矿物油</w:t>
            </w:r>
          </w:p>
        </w:tc>
        <w:tc>
          <w:tcPr>
            <w:tcW w:w="4922" w:type="dxa"/>
            <w:vAlign w:val="top"/>
          </w:tcPr>
          <w:p>
            <w:pPr>
              <w:pStyle w:val="TableText"/>
              <w:ind w:left="366"/>
              <w:spacing w:before="32" w:line="217" w:lineRule="auto"/>
              <w:rPr/>
            </w:pPr>
            <w:r>
              <w:rPr>
                <w:spacing w:val="8"/>
              </w:rPr>
              <w:t>废润滑油等（梳绒、洗毛等设备保养、维修）</w:t>
            </w:r>
          </w:p>
        </w:tc>
      </w:tr>
      <w:tr>
        <w:trPr>
          <w:trHeight w:val="293" w:hRule="atLeast"/>
        </w:trPr>
        <w:tc>
          <w:tcPr>
            <w:tcW w:w="919" w:type="dxa"/>
            <w:vAlign w:val="top"/>
            <w:vMerge w:val="continue"/>
            <w:tcBorders>
              <w:top w:val="nil"/>
              <w:bottom w:val="nil"/>
            </w:tcBorders>
          </w:tcPr>
          <w:p>
            <w:pPr>
              <w:rPr>
                <w:rFonts w:ascii="Arial"/>
                <w:sz w:val="21"/>
              </w:rPr>
            </w:pPr>
            <w:r/>
          </w:p>
        </w:tc>
        <w:tc>
          <w:tcPr>
            <w:tcW w:w="2727" w:type="dxa"/>
            <w:vAlign w:val="top"/>
          </w:tcPr>
          <w:p>
            <w:pPr>
              <w:pStyle w:val="TableText"/>
              <w:ind w:left="1053"/>
              <w:spacing w:before="40" w:line="224" w:lineRule="auto"/>
              <w:rPr/>
            </w:pPr>
            <w:r>
              <w:rPr>
                <w:spacing w:val="7"/>
              </w:rPr>
              <w:t>废油桶</w:t>
            </w:r>
          </w:p>
        </w:tc>
        <w:tc>
          <w:tcPr>
            <w:tcW w:w="4922" w:type="dxa"/>
            <w:vAlign w:val="top"/>
          </w:tcPr>
          <w:p>
            <w:pPr>
              <w:pStyle w:val="TableText"/>
              <w:ind w:left="2150"/>
              <w:spacing w:before="40" w:line="224" w:lineRule="auto"/>
              <w:rPr/>
            </w:pPr>
            <w:r>
              <w:rPr>
                <w:spacing w:val="6"/>
              </w:rPr>
              <w:t>石油类</w:t>
            </w:r>
          </w:p>
        </w:tc>
      </w:tr>
      <w:tr>
        <w:trPr>
          <w:trHeight w:val="293" w:hRule="atLeast"/>
        </w:trPr>
        <w:tc>
          <w:tcPr>
            <w:tcW w:w="919" w:type="dxa"/>
            <w:vAlign w:val="top"/>
            <w:vMerge w:val="continue"/>
            <w:tcBorders>
              <w:top w:val="nil"/>
              <w:bottom w:val="nil"/>
            </w:tcBorders>
          </w:tcPr>
          <w:p>
            <w:pPr>
              <w:rPr>
                <w:rFonts w:ascii="Arial"/>
                <w:sz w:val="21"/>
              </w:rPr>
            </w:pPr>
            <w:r/>
          </w:p>
        </w:tc>
        <w:tc>
          <w:tcPr>
            <w:tcW w:w="2727" w:type="dxa"/>
            <w:vAlign w:val="top"/>
          </w:tcPr>
          <w:p>
            <w:pPr>
              <w:pStyle w:val="TableText"/>
              <w:ind w:left="950"/>
              <w:spacing w:before="40" w:line="224" w:lineRule="auto"/>
              <w:rPr/>
            </w:pPr>
            <w:r>
              <w:rPr>
                <w:spacing w:val="6"/>
              </w:rPr>
              <w:t>生活垃圾</w:t>
            </w:r>
          </w:p>
        </w:tc>
        <w:tc>
          <w:tcPr>
            <w:tcW w:w="4922" w:type="dxa"/>
            <w:vAlign w:val="top"/>
          </w:tcPr>
          <w:p>
            <w:pPr>
              <w:pStyle w:val="TableText"/>
              <w:ind w:left="1628"/>
              <w:spacing w:before="40" w:line="224" w:lineRule="auto"/>
              <w:rPr/>
            </w:pPr>
            <w:r>
              <w:rPr>
                <w:spacing w:val="8"/>
              </w:rPr>
              <w:t>纸张、食物残渣等</w:t>
            </w:r>
          </w:p>
        </w:tc>
      </w:tr>
      <w:tr>
        <w:trPr>
          <w:trHeight w:val="293" w:hRule="atLeast"/>
        </w:trPr>
        <w:tc>
          <w:tcPr>
            <w:tcW w:w="919" w:type="dxa"/>
            <w:vAlign w:val="top"/>
            <w:vMerge w:val="continue"/>
            <w:tcBorders>
              <w:top w:val="nil"/>
              <w:bottom w:val="nil"/>
            </w:tcBorders>
          </w:tcPr>
          <w:p>
            <w:pPr>
              <w:rPr>
                <w:rFonts w:ascii="Arial"/>
                <w:sz w:val="21"/>
              </w:rPr>
            </w:pPr>
            <w:r/>
          </w:p>
        </w:tc>
        <w:tc>
          <w:tcPr>
            <w:tcW w:w="2727" w:type="dxa"/>
            <w:vAlign w:val="top"/>
          </w:tcPr>
          <w:p>
            <w:pPr>
              <w:pStyle w:val="TableText"/>
              <w:ind w:left="225"/>
              <w:spacing w:before="42" w:line="222" w:lineRule="auto"/>
              <w:rPr/>
            </w:pPr>
            <w:r>
              <w:rPr>
                <w:spacing w:val="9"/>
              </w:rPr>
              <w:t>废</w:t>
            </w:r>
            <w:r>
              <w:rPr>
                <w:spacing w:val="-44"/>
              </w:rPr>
              <w:t xml:space="preserve"> </w:t>
            </w:r>
            <w:r>
              <w:rPr>
                <w:rFonts w:ascii="Times New Roman" w:hAnsi="Times New Roman" w:eastAsia="Times New Roman" w:cs="Times New Roman"/>
              </w:rPr>
              <w:t>RO</w:t>
            </w:r>
            <w:r>
              <w:rPr>
                <w:rFonts w:ascii="Times New Roman" w:hAnsi="Times New Roman" w:eastAsia="Times New Roman" w:cs="Times New Roman"/>
                <w:spacing w:val="9"/>
              </w:rPr>
              <w:t xml:space="preserve"> </w:t>
            </w:r>
            <w:r>
              <w:rPr>
                <w:spacing w:val="9"/>
              </w:rPr>
              <w:t>膜、废过滤器组件</w:t>
            </w:r>
          </w:p>
        </w:tc>
        <w:tc>
          <w:tcPr>
            <w:tcW w:w="4922" w:type="dxa"/>
            <w:vAlign w:val="top"/>
          </w:tcPr>
          <w:p>
            <w:pPr>
              <w:pStyle w:val="TableText"/>
              <w:ind w:left="1555"/>
              <w:spacing w:before="42" w:line="222" w:lineRule="auto"/>
              <w:rPr/>
            </w:pPr>
            <w:r>
              <w:rPr>
                <w:rFonts w:ascii="Times New Roman" w:hAnsi="Times New Roman" w:eastAsia="Times New Roman" w:cs="Times New Roman"/>
              </w:rPr>
              <w:t>RO</w:t>
            </w:r>
            <w:r>
              <w:rPr>
                <w:rFonts w:ascii="Times New Roman" w:hAnsi="Times New Roman" w:eastAsia="Times New Roman" w:cs="Times New Roman"/>
                <w:spacing w:val="9"/>
              </w:rPr>
              <w:t xml:space="preserve"> </w:t>
            </w:r>
            <w:r>
              <w:rPr>
                <w:spacing w:val="9"/>
              </w:rPr>
              <w:t>膜、过滤器组件</w:t>
            </w:r>
          </w:p>
        </w:tc>
      </w:tr>
      <w:tr>
        <w:trPr>
          <w:trHeight w:val="277" w:hRule="atLeast"/>
        </w:trPr>
        <w:tc>
          <w:tcPr>
            <w:tcW w:w="919" w:type="dxa"/>
            <w:vAlign w:val="top"/>
            <w:vMerge w:val="continue"/>
            <w:tcBorders>
              <w:top w:val="nil"/>
              <w:bottom w:val="nil"/>
            </w:tcBorders>
          </w:tcPr>
          <w:p>
            <w:pPr>
              <w:rPr>
                <w:rFonts w:ascii="Arial"/>
                <w:sz w:val="21"/>
              </w:rPr>
            </w:pPr>
            <w:r/>
          </w:p>
        </w:tc>
        <w:tc>
          <w:tcPr>
            <w:tcW w:w="2727" w:type="dxa"/>
            <w:vAlign w:val="top"/>
          </w:tcPr>
          <w:p>
            <w:pPr>
              <w:pStyle w:val="TableText"/>
              <w:ind w:left="842"/>
              <w:spacing w:before="35" w:line="214" w:lineRule="auto"/>
              <w:rPr/>
            </w:pPr>
            <w:r>
              <w:rPr>
                <w:spacing w:val="8"/>
              </w:rPr>
              <w:t>锅炉草木灰</w:t>
            </w:r>
          </w:p>
        </w:tc>
        <w:tc>
          <w:tcPr>
            <w:tcW w:w="4922" w:type="dxa"/>
            <w:vAlign w:val="top"/>
          </w:tcPr>
          <w:p>
            <w:pPr>
              <w:pStyle w:val="TableText"/>
              <w:ind w:left="2151"/>
              <w:spacing w:before="35" w:line="214" w:lineRule="auto"/>
              <w:rPr/>
            </w:pPr>
            <w:r>
              <w:rPr>
                <w:spacing w:val="6"/>
              </w:rPr>
              <w:t>草木灰</w:t>
            </w:r>
          </w:p>
        </w:tc>
      </w:tr>
      <w:tr>
        <w:trPr>
          <w:trHeight w:val="281" w:hRule="atLeast"/>
        </w:trPr>
        <w:tc>
          <w:tcPr>
            <w:tcW w:w="919" w:type="dxa"/>
            <w:vAlign w:val="top"/>
            <w:vMerge w:val="continue"/>
            <w:tcBorders>
              <w:top w:val="nil"/>
            </w:tcBorders>
          </w:tcPr>
          <w:p>
            <w:pPr>
              <w:rPr>
                <w:rFonts w:ascii="Arial"/>
                <w:sz w:val="21"/>
              </w:rPr>
            </w:pPr>
            <w:r/>
          </w:p>
        </w:tc>
        <w:tc>
          <w:tcPr>
            <w:tcW w:w="2727" w:type="dxa"/>
            <w:vAlign w:val="top"/>
          </w:tcPr>
          <w:p>
            <w:pPr>
              <w:pStyle w:val="TableText"/>
              <w:ind w:left="1053"/>
              <w:spacing w:before="35" w:line="217" w:lineRule="auto"/>
              <w:rPr/>
            </w:pPr>
            <w:r>
              <w:rPr>
                <w:spacing w:val="7"/>
              </w:rPr>
              <w:t>废布袋</w:t>
            </w:r>
          </w:p>
        </w:tc>
        <w:tc>
          <w:tcPr>
            <w:tcW w:w="4922" w:type="dxa"/>
            <w:vAlign w:val="top"/>
          </w:tcPr>
          <w:p>
            <w:pPr>
              <w:pStyle w:val="TableText"/>
              <w:ind w:left="1738"/>
              <w:spacing w:before="35" w:line="217" w:lineRule="auto"/>
              <w:rPr/>
            </w:pPr>
            <w:r>
              <w:rPr>
                <w:spacing w:val="7"/>
              </w:rPr>
              <w:t>聚丙烯、聚酯等</w:t>
            </w:r>
          </w:p>
        </w:tc>
      </w:tr>
    </w:tbl>
    <w:p>
      <w:pPr>
        <w:ind w:left="41"/>
        <w:spacing w:before="198" w:line="222" w:lineRule="auto"/>
        <w:outlineLvl w:val="2"/>
        <w:rPr>
          <w:rFonts w:ascii="SimHei" w:hAnsi="SimHei" w:eastAsia="SimHei" w:cs="SimHei"/>
          <w:sz w:val="28"/>
          <w:szCs w:val="28"/>
        </w:rPr>
      </w:pPr>
      <w:bookmarkStart w:name="bookmark37" w:id="43"/>
      <w:bookmarkEnd w:id="43"/>
      <w:r>
        <w:rPr>
          <w:rFonts w:ascii="Times New Roman" w:hAnsi="Times New Roman" w:eastAsia="Times New Roman" w:cs="Times New Roman"/>
          <w:sz w:val="28"/>
          <w:szCs w:val="28"/>
          <w:spacing w:val="-1"/>
        </w:rPr>
        <w:t>2.5.2 </w:t>
      </w:r>
      <w:r>
        <w:rPr>
          <w:rFonts w:ascii="SimHei" w:hAnsi="SimHei" w:eastAsia="SimHei" w:cs="SimHei"/>
          <w:sz w:val="28"/>
          <w:szCs w:val="28"/>
          <w:spacing w:val="-1"/>
        </w:rPr>
        <w:t>环境影响评价因子识别</w:t>
      </w:r>
    </w:p>
    <w:p>
      <w:pPr>
        <w:pStyle w:val="BodyText"/>
        <w:spacing w:line="276" w:lineRule="auto"/>
        <w:rPr/>
      </w:pPr>
      <w:r/>
    </w:p>
    <w:p>
      <w:pPr>
        <w:ind w:left="46" w:right="32" w:firstLine="478"/>
        <w:spacing w:before="78" w:line="359" w:lineRule="auto"/>
        <w:rPr>
          <w:rFonts w:ascii="SimSun" w:hAnsi="SimSun" w:eastAsia="SimSun" w:cs="SimSun"/>
          <w:sz w:val="24"/>
          <w:szCs w:val="24"/>
        </w:rPr>
      </w:pPr>
      <w:r>
        <w:rPr>
          <w:rFonts w:ascii="SimSun" w:hAnsi="SimSun" w:eastAsia="SimSun" w:cs="SimSun"/>
          <w:sz w:val="24"/>
          <w:szCs w:val="24"/>
          <w:spacing w:val="3"/>
        </w:rPr>
        <w:t>根据生产运行期对环境影响分析及区域环境制约因素分析结果，结</w:t>
      </w:r>
      <w:r>
        <w:rPr>
          <w:rFonts w:ascii="SimSun" w:hAnsi="SimSun" w:eastAsia="SimSun" w:cs="SimSun"/>
          <w:sz w:val="24"/>
          <w:szCs w:val="24"/>
          <w:spacing w:val="2"/>
        </w:rPr>
        <w:t>合工程分</w:t>
      </w:r>
      <w:r>
        <w:rPr>
          <w:rFonts w:ascii="SimSun" w:hAnsi="SimSun" w:eastAsia="SimSun" w:cs="SimSun"/>
          <w:sz w:val="24"/>
          <w:szCs w:val="24"/>
        </w:rPr>
        <w:t xml:space="preserve"> </w:t>
      </w:r>
      <w:r>
        <w:rPr>
          <w:rFonts w:ascii="SimSun" w:hAnsi="SimSun" w:eastAsia="SimSun" w:cs="SimSun"/>
          <w:sz w:val="24"/>
          <w:szCs w:val="24"/>
          <w:spacing w:val="-1"/>
        </w:rPr>
        <w:t>析，给出本项目建设与生产运营期对环境影响的性质分析，见表</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1"/>
        </w:rPr>
        <w:t>2.5-2 </w:t>
      </w:r>
      <w:r>
        <w:rPr>
          <w:rFonts w:ascii="SimSun" w:hAnsi="SimSun" w:eastAsia="SimSun" w:cs="SimSun"/>
          <w:sz w:val="24"/>
          <w:szCs w:val="24"/>
          <w:spacing w:val="-1"/>
        </w:rPr>
        <w:t>所示。</w:t>
      </w:r>
    </w:p>
    <w:p>
      <w:pPr>
        <w:ind w:left="1126"/>
        <w:spacing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7"/>
        </w:rPr>
        <w:t xml:space="preserve"> </w:t>
      </w:r>
      <w:r>
        <w:rPr>
          <w:rFonts w:ascii="Times New Roman" w:hAnsi="Times New Roman" w:eastAsia="Times New Roman" w:cs="Times New Roman"/>
          <w:sz w:val="24"/>
          <w:szCs w:val="24"/>
          <w:b/>
          <w:bCs/>
          <w:spacing w:val="-2"/>
        </w:rPr>
        <w:t>2.5-2        </w:t>
      </w:r>
      <w:r>
        <w:rPr>
          <w:rFonts w:ascii="SimSun" w:hAnsi="SimSun" w:eastAsia="SimSun" w:cs="SimSun"/>
          <w:sz w:val="24"/>
          <w:szCs w:val="24"/>
          <w:b/>
          <w:bCs/>
          <w:spacing w:val="-2"/>
        </w:rPr>
        <w:t>本项目建设施工期、运营期对环境影响性质分析</w:t>
      </w:r>
    </w:p>
    <w:tbl>
      <w:tblPr>
        <w:tblStyle w:val="TableNormal"/>
        <w:tblW w:w="8517" w:type="dxa"/>
        <w:tblInd w:w="28"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91"/>
        <w:gridCol w:w="1337"/>
        <w:gridCol w:w="708"/>
        <w:gridCol w:w="708"/>
        <w:gridCol w:w="708"/>
        <w:gridCol w:w="849"/>
        <w:gridCol w:w="998"/>
        <w:gridCol w:w="849"/>
        <w:gridCol w:w="822"/>
        <w:gridCol w:w="747"/>
      </w:tblGrid>
      <w:tr>
        <w:trPr>
          <w:trHeight w:val="281" w:hRule="atLeast"/>
        </w:trPr>
        <w:tc>
          <w:tcPr>
            <w:tcW w:w="791" w:type="dxa"/>
            <w:vAlign w:val="top"/>
            <w:vMerge w:val="restart"/>
            <w:tcBorders>
              <w:bottom w:val="nil"/>
            </w:tcBorders>
          </w:tcPr>
          <w:p>
            <w:pPr>
              <w:pStyle w:val="TableText"/>
              <w:ind w:left="193"/>
              <w:spacing w:before="39" w:line="228" w:lineRule="auto"/>
              <w:rPr/>
            </w:pPr>
            <w:r>
              <w:rPr>
                <w:spacing w:val="3"/>
              </w:rPr>
              <w:t>项目</w:t>
            </w:r>
          </w:p>
          <w:p>
            <w:pPr>
              <w:pStyle w:val="TableText"/>
              <w:ind w:left="199"/>
              <w:spacing w:before="24" w:line="224" w:lineRule="auto"/>
              <w:rPr/>
            </w:pPr>
            <w:r>
              <w:rPr/>
              <w:t>阶段</w:t>
            </w:r>
          </w:p>
        </w:tc>
        <w:tc>
          <w:tcPr>
            <w:tcW w:w="1337" w:type="dxa"/>
            <w:vAlign w:val="top"/>
            <w:vMerge w:val="restart"/>
            <w:tcBorders>
              <w:bottom w:val="nil"/>
            </w:tcBorders>
          </w:tcPr>
          <w:p>
            <w:pPr>
              <w:pStyle w:val="TableText"/>
              <w:ind w:left="253"/>
              <w:spacing w:before="176" w:line="228" w:lineRule="auto"/>
              <w:rPr/>
            </w:pPr>
            <w:r>
              <w:rPr>
                <w:spacing w:val="7"/>
              </w:rPr>
              <w:t>影响行动</w:t>
            </w:r>
          </w:p>
        </w:tc>
        <w:tc>
          <w:tcPr>
            <w:tcW w:w="3971" w:type="dxa"/>
            <w:vAlign w:val="top"/>
            <w:gridSpan w:val="5"/>
          </w:tcPr>
          <w:p>
            <w:pPr>
              <w:pStyle w:val="TableText"/>
              <w:ind w:left="1605"/>
              <w:spacing w:before="34" w:line="218" w:lineRule="auto"/>
              <w:rPr/>
            </w:pPr>
            <w:r>
              <w:rPr>
                <w:spacing w:val="-2"/>
              </w:rPr>
              <w:t>自然环境</w:t>
            </w:r>
          </w:p>
        </w:tc>
        <w:tc>
          <w:tcPr>
            <w:tcW w:w="2418" w:type="dxa"/>
            <w:vAlign w:val="top"/>
            <w:gridSpan w:val="3"/>
          </w:tcPr>
          <w:p>
            <w:pPr>
              <w:pStyle w:val="TableText"/>
              <w:ind w:left="796"/>
              <w:spacing w:before="34" w:line="218" w:lineRule="auto"/>
              <w:rPr/>
            </w:pPr>
            <w:r>
              <w:rPr>
                <w:spacing w:val="6"/>
              </w:rPr>
              <w:t>生态环境</w:t>
            </w:r>
          </w:p>
        </w:tc>
      </w:tr>
      <w:tr>
        <w:trPr>
          <w:trHeight w:val="277" w:hRule="atLeast"/>
        </w:trPr>
        <w:tc>
          <w:tcPr>
            <w:tcW w:w="791" w:type="dxa"/>
            <w:vAlign w:val="top"/>
            <w:vMerge w:val="continue"/>
            <w:tcBorders>
              <w:top w:val="nil"/>
            </w:tcBorders>
          </w:tcPr>
          <w:p>
            <w:pPr>
              <w:rPr>
                <w:rFonts w:ascii="Arial"/>
                <w:sz w:val="21"/>
              </w:rPr>
            </w:pPr>
            <w:r/>
          </w:p>
        </w:tc>
        <w:tc>
          <w:tcPr>
            <w:tcW w:w="1337" w:type="dxa"/>
            <w:vAlign w:val="top"/>
            <w:vMerge w:val="continue"/>
            <w:tcBorders>
              <w:top w:val="nil"/>
            </w:tcBorders>
          </w:tcPr>
          <w:p>
            <w:pPr>
              <w:rPr>
                <w:rFonts w:ascii="Arial"/>
                <w:sz w:val="21"/>
              </w:rPr>
            </w:pPr>
            <w:r/>
          </w:p>
        </w:tc>
        <w:tc>
          <w:tcPr>
            <w:tcW w:w="708" w:type="dxa"/>
            <w:vAlign w:val="top"/>
          </w:tcPr>
          <w:p>
            <w:pPr>
              <w:pStyle w:val="TableText"/>
              <w:ind w:left="150"/>
              <w:spacing w:before="31" w:line="217" w:lineRule="auto"/>
              <w:rPr/>
            </w:pPr>
            <w:r>
              <w:rPr>
                <w:spacing w:val="3"/>
              </w:rPr>
              <w:t>大气</w:t>
            </w:r>
          </w:p>
        </w:tc>
        <w:tc>
          <w:tcPr>
            <w:tcW w:w="708" w:type="dxa"/>
            <w:vAlign w:val="top"/>
          </w:tcPr>
          <w:p>
            <w:pPr>
              <w:pStyle w:val="TableText"/>
              <w:ind w:left="44"/>
              <w:spacing w:before="31" w:line="217" w:lineRule="auto"/>
              <w:rPr/>
            </w:pPr>
            <w:r>
              <w:rPr>
                <w:spacing w:val="6"/>
              </w:rPr>
              <w:t>地表水</w:t>
            </w:r>
          </w:p>
        </w:tc>
        <w:tc>
          <w:tcPr>
            <w:tcW w:w="708" w:type="dxa"/>
            <w:vAlign w:val="top"/>
          </w:tcPr>
          <w:p>
            <w:pPr>
              <w:pStyle w:val="TableText"/>
              <w:ind w:left="44"/>
              <w:spacing w:before="31" w:line="217" w:lineRule="auto"/>
              <w:rPr/>
            </w:pPr>
            <w:r>
              <w:rPr>
                <w:spacing w:val="6"/>
              </w:rPr>
              <w:t>地下水</w:t>
            </w:r>
          </w:p>
        </w:tc>
        <w:tc>
          <w:tcPr>
            <w:tcW w:w="849" w:type="dxa"/>
            <w:vAlign w:val="top"/>
          </w:tcPr>
          <w:p>
            <w:pPr>
              <w:pStyle w:val="TableText"/>
              <w:ind w:left="118"/>
              <w:spacing w:before="31" w:line="217" w:lineRule="auto"/>
              <w:rPr/>
            </w:pPr>
            <w:r>
              <w:rPr>
                <w:spacing w:val="5"/>
              </w:rPr>
              <w:t>声环境</w:t>
            </w:r>
          </w:p>
        </w:tc>
        <w:tc>
          <w:tcPr>
            <w:tcW w:w="998" w:type="dxa"/>
            <w:vAlign w:val="top"/>
          </w:tcPr>
          <w:p>
            <w:pPr>
              <w:pStyle w:val="TableText"/>
              <w:ind w:left="88"/>
              <w:spacing w:before="31" w:line="217" w:lineRule="auto"/>
              <w:rPr/>
            </w:pPr>
            <w:r>
              <w:rPr>
                <w:spacing w:val="6"/>
              </w:rPr>
              <w:t>水土流失</w:t>
            </w:r>
          </w:p>
        </w:tc>
        <w:tc>
          <w:tcPr>
            <w:tcW w:w="849" w:type="dxa"/>
            <w:vAlign w:val="top"/>
          </w:tcPr>
          <w:p>
            <w:pPr>
              <w:pStyle w:val="TableText"/>
              <w:ind w:left="221"/>
              <w:spacing w:before="31" w:line="217" w:lineRule="auto"/>
              <w:rPr/>
            </w:pPr>
            <w:r>
              <w:rPr>
                <w:spacing w:val="4"/>
              </w:rPr>
              <w:t>植被</w:t>
            </w:r>
          </w:p>
        </w:tc>
        <w:tc>
          <w:tcPr>
            <w:tcW w:w="822" w:type="dxa"/>
            <w:vAlign w:val="top"/>
          </w:tcPr>
          <w:p>
            <w:pPr>
              <w:pStyle w:val="TableText"/>
              <w:ind w:left="210"/>
              <w:spacing w:before="31" w:line="217" w:lineRule="auto"/>
              <w:rPr/>
            </w:pPr>
            <w:r>
              <w:rPr>
                <w:spacing w:val="4"/>
              </w:rPr>
              <w:t>土壤</w:t>
            </w:r>
          </w:p>
        </w:tc>
        <w:tc>
          <w:tcPr>
            <w:tcW w:w="747" w:type="dxa"/>
            <w:vAlign w:val="top"/>
          </w:tcPr>
          <w:p>
            <w:pPr>
              <w:pStyle w:val="TableText"/>
              <w:ind w:left="64"/>
              <w:spacing w:before="31" w:line="217" w:lineRule="auto"/>
              <w:rPr/>
            </w:pPr>
            <w:r>
              <w:rPr>
                <w:spacing w:val="6"/>
              </w:rPr>
              <w:t>农作物</w:t>
            </w:r>
          </w:p>
        </w:tc>
      </w:tr>
      <w:tr>
        <w:trPr>
          <w:trHeight w:val="276" w:hRule="atLeast"/>
        </w:trPr>
        <w:tc>
          <w:tcPr>
            <w:tcW w:w="791" w:type="dxa"/>
            <w:vAlign w:val="top"/>
            <w:vMerge w:val="restart"/>
            <w:textDirection w:val="tbRlV"/>
            <w:tcBorders>
              <w:bottom w:val="nil"/>
            </w:tcBorders>
          </w:tcPr>
          <w:p>
            <w:pPr>
              <w:pStyle w:val="TableText"/>
              <w:ind w:left="323"/>
              <w:spacing w:before="289" w:line="214" w:lineRule="auto"/>
              <w:rPr/>
            </w:pPr>
            <w:r>
              <w:rPr>
                <w:spacing w:val="8"/>
              </w:rPr>
              <w:t>建</w:t>
            </w:r>
            <w:r>
              <w:rPr>
                <w:spacing w:val="-37"/>
              </w:rPr>
              <w:t xml:space="preserve"> </w:t>
            </w:r>
            <w:r>
              <w:rPr>
                <w:spacing w:val="8"/>
              </w:rPr>
              <w:t>设</w:t>
            </w:r>
            <w:r>
              <w:rPr>
                <w:spacing w:val="-35"/>
              </w:rPr>
              <w:t xml:space="preserve"> </w:t>
            </w:r>
            <w:r>
              <w:rPr>
                <w:spacing w:val="8"/>
              </w:rPr>
              <w:t>期</w:t>
            </w:r>
          </w:p>
        </w:tc>
        <w:tc>
          <w:tcPr>
            <w:tcW w:w="1337" w:type="dxa"/>
            <w:vAlign w:val="top"/>
          </w:tcPr>
          <w:p>
            <w:pPr>
              <w:pStyle w:val="TableText"/>
              <w:ind w:left="253"/>
              <w:spacing w:before="33" w:line="215" w:lineRule="auto"/>
              <w:rPr/>
            </w:pPr>
            <w:r>
              <w:rPr>
                <w:spacing w:val="7"/>
              </w:rPr>
              <w:t>清理场地</w:t>
            </w:r>
          </w:p>
        </w:tc>
        <w:tc>
          <w:tcPr>
            <w:tcW w:w="708" w:type="dxa"/>
            <w:vAlign w:val="top"/>
          </w:tcPr>
          <w:p>
            <w:pPr>
              <w:ind w:left="21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-1S</w:t>
            </w:r>
          </w:p>
        </w:tc>
        <w:tc>
          <w:tcPr>
            <w:tcW w:w="708" w:type="dxa"/>
            <w:vAlign w:val="top"/>
          </w:tcPr>
          <w:p>
            <w:pPr>
              <w:ind w:left="21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-1S</w:t>
            </w:r>
          </w:p>
        </w:tc>
        <w:tc>
          <w:tcPr>
            <w:tcW w:w="708" w:type="dxa"/>
            <w:vAlign w:val="top"/>
          </w:tcPr>
          <w:p>
            <w:pPr>
              <w:rPr>
                <w:rFonts w:ascii="Arial"/>
                <w:sz w:val="21"/>
              </w:rPr>
            </w:pPr>
            <w:r/>
          </w:p>
        </w:tc>
        <w:tc>
          <w:tcPr>
            <w:tcW w:w="849" w:type="dxa"/>
            <w:vAlign w:val="top"/>
          </w:tcPr>
          <w:p>
            <w:pPr>
              <w:rPr>
                <w:rFonts w:ascii="Arial"/>
                <w:sz w:val="21"/>
              </w:rPr>
            </w:pPr>
            <w:r/>
          </w:p>
        </w:tc>
        <w:tc>
          <w:tcPr>
            <w:tcW w:w="998" w:type="dxa"/>
            <w:vAlign w:val="top"/>
          </w:tcPr>
          <w:p>
            <w:pPr>
              <w:rPr>
                <w:rFonts w:ascii="Arial"/>
                <w:sz w:val="21"/>
              </w:rPr>
            </w:pPr>
            <w:r/>
          </w:p>
        </w:tc>
        <w:tc>
          <w:tcPr>
            <w:tcW w:w="849" w:type="dxa"/>
            <w:vAlign w:val="top"/>
          </w:tcPr>
          <w:p>
            <w:pPr>
              <w:ind w:left="285"/>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-1S</w:t>
            </w:r>
          </w:p>
        </w:tc>
        <w:tc>
          <w:tcPr>
            <w:tcW w:w="822" w:type="dxa"/>
            <w:vAlign w:val="top"/>
          </w:tcPr>
          <w:p>
            <w:pPr>
              <w:ind w:left="27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-1S</w:t>
            </w:r>
          </w:p>
        </w:tc>
        <w:tc>
          <w:tcPr>
            <w:tcW w:w="747" w:type="dxa"/>
            <w:vAlign w:val="top"/>
          </w:tcPr>
          <w:p>
            <w:pPr>
              <w:rPr>
                <w:rFonts w:ascii="Arial"/>
                <w:sz w:val="21"/>
              </w:rPr>
            </w:pPr>
            <w:r/>
          </w:p>
        </w:tc>
      </w:tr>
      <w:tr>
        <w:trPr>
          <w:trHeight w:val="276" w:hRule="atLeast"/>
        </w:trPr>
        <w:tc>
          <w:tcPr>
            <w:tcW w:w="791" w:type="dxa"/>
            <w:vAlign w:val="top"/>
            <w:vMerge w:val="continue"/>
            <w:textDirection w:val="tbRlV"/>
            <w:tcBorders>
              <w:top w:val="nil"/>
              <w:bottom w:val="nil"/>
            </w:tcBorders>
          </w:tcPr>
          <w:p>
            <w:pPr>
              <w:rPr>
                <w:rFonts w:ascii="Arial"/>
                <w:sz w:val="21"/>
              </w:rPr>
            </w:pPr>
            <w:r/>
          </w:p>
        </w:tc>
        <w:tc>
          <w:tcPr>
            <w:tcW w:w="1337" w:type="dxa"/>
            <w:vAlign w:val="top"/>
          </w:tcPr>
          <w:p>
            <w:pPr>
              <w:pStyle w:val="TableText"/>
              <w:ind w:left="254"/>
              <w:spacing w:before="33" w:line="215" w:lineRule="auto"/>
              <w:rPr/>
            </w:pPr>
            <w:r>
              <w:rPr>
                <w:spacing w:val="7"/>
              </w:rPr>
              <w:t>开挖地面</w:t>
            </w:r>
          </w:p>
        </w:tc>
        <w:tc>
          <w:tcPr>
            <w:tcW w:w="708" w:type="dxa"/>
            <w:vAlign w:val="top"/>
          </w:tcPr>
          <w:p>
            <w:pPr>
              <w:ind w:left="21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-1S</w:t>
            </w:r>
          </w:p>
        </w:tc>
        <w:tc>
          <w:tcPr>
            <w:tcW w:w="708" w:type="dxa"/>
            <w:vAlign w:val="top"/>
          </w:tcPr>
          <w:p>
            <w:pPr>
              <w:ind w:left="21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-1S</w:t>
            </w:r>
          </w:p>
        </w:tc>
        <w:tc>
          <w:tcPr>
            <w:tcW w:w="708" w:type="dxa"/>
            <w:vAlign w:val="top"/>
          </w:tcPr>
          <w:p>
            <w:pPr>
              <w:rPr>
                <w:rFonts w:ascii="Arial"/>
                <w:sz w:val="21"/>
              </w:rPr>
            </w:pPr>
            <w:r/>
          </w:p>
        </w:tc>
        <w:tc>
          <w:tcPr>
            <w:tcW w:w="849" w:type="dxa"/>
            <w:vAlign w:val="top"/>
          </w:tcPr>
          <w:p>
            <w:pPr>
              <w:ind w:left="28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-1S</w:t>
            </w:r>
          </w:p>
        </w:tc>
        <w:tc>
          <w:tcPr>
            <w:tcW w:w="998" w:type="dxa"/>
            <w:vAlign w:val="top"/>
          </w:tcPr>
          <w:p>
            <w:pPr>
              <w:ind w:left="359"/>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-1S</w:t>
            </w:r>
          </w:p>
        </w:tc>
        <w:tc>
          <w:tcPr>
            <w:tcW w:w="849" w:type="dxa"/>
            <w:vAlign w:val="top"/>
          </w:tcPr>
          <w:p>
            <w:pPr>
              <w:ind w:left="285"/>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-1S</w:t>
            </w:r>
          </w:p>
        </w:tc>
        <w:tc>
          <w:tcPr>
            <w:tcW w:w="822" w:type="dxa"/>
            <w:vAlign w:val="top"/>
          </w:tcPr>
          <w:p>
            <w:pPr>
              <w:ind w:left="27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-1S</w:t>
            </w:r>
          </w:p>
        </w:tc>
        <w:tc>
          <w:tcPr>
            <w:tcW w:w="747" w:type="dxa"/>
            <w:vAlign w:val="top"/>
          </w:tcPr>
          <w:p>
            <w:pPr>
              <w:rPr>
                <w:rFonts w:ascii="Arial"/>
                <w:sz w:val="21"/>
              </w:rPr>
            </w:pPr>
            <w:r/>
          </w:p>
        </w:tc>
      </w:tr>
      <w:tr>
        <w:trPr>
          <w:trHeight w:val="278" w:hRule="atLeast"/>
        </w:trPr>
        <w:tc>
          <w:tcPr>
            <w:tcW w:w="791" w:type="dxa"/>
            <w:vAlign w:val="top"/>
            <w:vMerge w:val="continue"/>
            <w:textDirection w:val="tbRlV"/>
            <w:tcBorders>
              <w:top w:val="nil"/>
              <w:bottom w:val="nil"/>
            </w:tcBorders>
          </w:tcPr>
          <w:p>
            <w:pPr>
              <w:rPr>
                <w:rFonts w:ascii="Arial"/>
                <w:sz w:val="21"/>
              </w:rPr>
            </w:pPr>
            <w:r/>
          </w:p>
        </w:tc>
        <w:tc>
          <w:tcPr>
            <w:tcW w:w="1337" w:type="dxa"/>
            <w:vAlign w:val="top"/>
          </w:tcPr>
          <w:p>
            <w:pPr>
              <w:pStyle w:val="TableText"/>
              <w:ind w:left="253"/>
              <w:spacing w:before="35" w:line="215" w:lineRule="auto"/>
              <w:rPr/>
            </w:pPr>
            <w:r>
              <w:rPr>
                <w:spacing w:val="1"/>
              </w:rPr>
              <w:t>运</w:t>
            </w:r>
            <w:r>
              <w:rPr>
                <w:spacing w:val="6"/>
              </w:rPr>
              <w:t xml:space="preserve">    </w:t>
            </w:r>
            <w:r>
              <w:rPr>
                <w:spacing w:val="1"/>
              </w:rPr>
              <w:t>输</w:t>
            </w:r>
          </w:p>
        </w:tc>
        <w:tc>
          <w:tcPr>
            <w:tcW w:w="708" w:type="dxa"/>
            <w:vAlign w:val="top"/>
          </w:tcPr>
          <w:p>
            <w:pPr>
              <w:ind w:left="21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-2S</w:t>
            </w:r>
          </w:p>
        </w:tc>
        <w:tc>
          <w:tcPr>
            <w:tcW w:w="708" w:type="dxa"/>
            <w:vAlign w:val="top"/>
          </w:tcPr>
          <w:p>
            <w:pPr>
              <w:rPr>
                <w:rFonts w:ascii="Arial"/>
                <w:sz w:val="21"/>
              </w:rPr>
            </w:pPr>
            <w:r/>
          </w:p>
        </w:tc>
        <w:tc>
          <w:tcPr>
            <w:tcW w:w="708" w:type="dxa"/>
            <w:vAlign w:val="top"/>
          </w:tcPr>
          <w:p>
            <w:pPr>
              <w:rPr>
                <w:rFonts w:ascii="Arial"/>
                <w:sz w:val="21"/>
              </w:rPr>
            </w:pPr>
            <w:r/>
          </w:p>
        </w:tc>
        <w:tc>
          <w:tcPr>
            <w:tcW w:w="849" w:type="dxa"/>
            <w:vAlign w:val="top"/>
          </w:tcPr>
          <w:p>
            <w:pPr>
              <w:ind w:left="28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-1S</w:t>
            </w:r>
          </w:p>
        </w:tc>
        <w:tc>
          <w:tcPr>
            <w:tcW w:w="998" w:type="dxa"/>
            <w:vAlign w:val="top"/>
          </w:tcPr>
          <w:p>
            <w:pPr>
              <w:rPr>
                <w:rFonts w:ascii="Arial"/>
                <w:sz w:val="21"/>
              </w:rPr>
            </w:pPr>
            <w:r/>
          </w:p>
        </w:tc>
        <w:tc>
          <w:tcPr>
            <w:tcW w:w="849" w:type="dxa"/>
            <w:vAlign w:val="top"/>
          </w:tcPr>
          <w:p>
            <w:pPr>
              <w:rPr>
                <w:rFonts w:ascii="Arial"/>
                <w:sz w:val="21"/>
              </w:rPr>
            </w:pPr>
            <w:r/>
          </w:p>
        </w:tc>
        <w:tc>
          <w:tcPr>
            <w:tcW w:w="822" w:type="dxa"/>
            <w:vAlign w:val="top"/>
          </w:tcPr>
          <w:p>
            <w:pPr>
              <w:rPr>
                <w:rFonts w:ascii="Arial"/>
                <w:sz w:val="21"/>
              </w:rPr>
            </w:pPr>
            <w:r/>
          </w:p>
        </w:tc>
        <w:tc>
          <w:tcPr>
            <w:tcW w:w="747" w:type="dxa"/>
            <w:vAlign w:val="top"/>
          </w:tcPr>
          <w:p>
            <w:pPr>
              <w:rPr>
                <w:rFonts w:ascii="Arial"/>
                <w:sz w:val="21"/>
              </w:rPr>
            </w:pPr>
            <w:r/>
          </w:p>
        </w:tc>
      </w:tr>
      <w:tr>
        <w:trPr>
          <w:trHeight w:val="277" w:hRule="atLeast"/>
        </w:trPr>
        <w:tc>
          <w:tcPr>
            <w:tcW w:w="791" w:type="dxa"/>
            <w:vAlign w:val="top"/>
            <w:vMerge w:val="continue"/>
            <w:textDirection w:val="tbRlV"/>
            <w:tcBorders>
              <w:top w:val="nil"/>
              <w:bottom w:val="nil"/>
            </w:tcBorders>
          </w:tcPr>
          <w:p>
            <w:pPr>
              <w:rPr>
                <w:rFonts w:ascii="Arial"/>
                <w:sz w:val="21"/>
              </w:rPr>
            </w:pPr>
            <w:r/>
          </w:p>
        </w:tc>
        <w:tc>
          <w:tcPr>
            <w:tcW w:w="1337" w:type="dxa"/>
            <w:vAlign w:val="top"/>
          </w:tcPr>
          <w:p>
            <w:pPr>
              <w:pStyle w:val="TableText"/>
              <w:ind w:left="256"/>
              <w:spacing w:before="35" w:line="214" w:lineRule="auto"/>
              <w:rPr/>
            </w:pPr>
            <w:r>
              <w:rPr>
                <w:spacing w:val="6"/>
              </w:rPr>
              <w:t>建设安装</w:t>
            </w:r>
          </w:p>
        </w:tc>
        <w:tc>
          <w:tcPr>
            <w:tcW w:w="708" w:type="dxa"/>
            <w:vAlign w:val="top"/>
          </w:tcPr>
          <w:p>
            <w:pPr>
              <w:rPr>
                <w:rFonts w:ascii="Arial"/>
                <w:sz w:val="21"/>
              </w:rPr>
            </w:pPr>
            <w:r/>
          </w:p>
        </w:tc>
        <w:tc>
          <w:tcPr>
            <w:tcW w:w="708" w:type="dxa"/>
            <w:vAlign w:val="top"/>
          </w:tcPr>
          <w:p>
            <w:pPr>
              <w:ind w:left="21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-1S</w:t>
            </w:r>
          </w:p>
        </w:tc>
        <w:tc>
          <w:tcPr>
            <w:tcW w:w="708" w:type="dxa"/>
            <w:vAlign w:val="top"/>
          </w:tcPr>
          <w:p>
            <w:pPr>
              <w:rPr>
                <w:rFonts w:ascii="Arial"/>
                <w:sz w:val="21"/>
              </w:rPr>
            </w:pPr>
            <w:r/>
          </w:p>
        </w:tc>
        <w:tc>
          <w:tcPr>
            <w:tcW w:w="849" w:type="dxa"/>
            <w:vAlign w:val="top"/>
          </w:tcPr>
          <w:p>
            <w:pPr>
              <w:ind w:left="28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-1S</w:t>
            </w:r>
          </w:p>
        </w:tc>
        <w:tc>
          <w:tcPr>
            <w:tcW w:w="998" w:type="dxa"/>
            <w:vAlign w:val="top"/>
          </w:tcPr>
          <w:p>
            <w:pPr>
              <w:rPr>
                <w:rFonts w:ascii="Arial"/>
                <w:sz w:val="21"/>
              </w:rPr>
            </w:pPr>
            <w:r/>
          </w:p>
        </w:tc>
        <w:tc>
          <w:tcPr>
            <w:tcW w:w="849" w:type="dxa"/>
            <w:vAlign w:val="top"/>
          </w:tcPr>
          <w:p>
            <w:pPr>
              <w:rPr>
                <w:rFonts w:ascii="Arial"/>
                <w:sz w:val="21"/>
              </w:rPr>
            </w:pPr>
            <w:r/>
          </w:p>
        </w:tc>
        <w:tc>
          <w:tcPr>
            <w:tcW w:w="822" w:type="dxa"/>
            <w:vAlign w:val="top"/>
          </w:tcPr>
          <w:p>
            <w:pPr>
              <w:rPr>
                <w:rFonts w:ascii="Arial"/>
                <w:sz w:val="21"/>
              </w:rPr>
            </w:pPr>
            <w:r/>
          </w:p>
        </w:tc>
        <w:tc>
          <w:tcPr>
            <w:tcW w:w="747" w:type="dxa"/>
            <w:vAlign w:val="top"/>
          </w:tcPr>
          <w:p>
            <w:pPr>
              <w:rPr>
                <w:rFonts w:ascii="Arial"/>
                <w:sz w:val="21"/>
              </w:rPr>
            </w:pPr>
            <w:r/>
          </w:p>
        </w:tc>
      </w:tr>
      <w:tr>
        <w:trPr>
          <w:trHeight w:val="277" w:hRule="atLeast"/>
        </w:trPr>
        <w:tc>
          <w:tcPr>
            <w:tcW w:w="791" w:type="dxa"/>
            <w:vAlign w:val="top"/>
            <w:vMerge w:val="continue"/>
            <w:textDirection w:val="tbRlV"/>
            <w:tcBorders>
              <w:top w:val="nil"/>
            </w:tcBorders>
          </w:tcPr>
          <w:p>
            <w:pPr>
              <w:rPr>
                <w:rFonts w:ascii="Arial"/>
                <w:sz w:val="21"/>
              </w:rPr>
            </w:pPr>
            <w:r/>
          </w:p>
        </w:tc>
        <w:tc>
          <w:tcPr>
            <w:tcW w:w="1337" w:type="dxa"/>
            <w:vAlign w:val="top"/>
          </w:tcPr>
          <w:p>
            <w:pPr>
              <w:pStyle w:val="TableText"/>
              <w:ind w:left="253"/>
              <w:spacing w:before="36" w:line="213" w:lineRule="auto"/>
              <w:rPr/>
            </w:pPr>
            <w:r>
              <w:rPr>
                <w:spacing w:val="7"/>
              </w:rPr>
              <w:t>材料堆存</w:t>
            </w:r>
          </w:p>
        </w:tc>
        <w:tc>
          <w:tcPr>
            <w:tcW w:w="708" w:type="dxa"/>
            <w:vAlign w:val="top"/>
          </w:tcPr>
          <w:p>
            <w:pPr>
              <w:ind w:left="212"/>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-1S</w:t>
            </w:r>
          </w:p>
        </w:tc>
        <w:tc>
          <w:tcPr>
            <w:tcW w:w="708" w:type="dxa"/>
            <w:vAlign w:val="top"/>
          </w:tcPr>
          <w:p>
            <w:pPr>
              <w:rPr>
                <w:rFonts w:ascii="Arial"/>
                <w:sz w:val="21"/>
              </w:rPr>
            </w:pPr>
            <w:r/>
          </w:p>
        </w:tc>
        <w:tc>
          <w:tcPr>
            <w:tcW w:w="708" w:type="dxa"/>
            <w:vAlign w:val="top"/>
          </w:tcPr>
          <w:p>
            <w:pPr>
              <w:ind w:left="212"/>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-1S</w:t>
            </w:r>
          </w:p>
        </w:tc>
        <w:tc>
          <w:tcPr>
            <w:tcW w:w="849" w:type="dxa"/>
            <w:vAlign w:val="top"/>
          </w:tcPr>
          <w:p>
            <w:pPr>
              <w:rPr>
                <w:rFonts w:ascii="Arial"/>
                <w:sz w:val="21"/>
              </w:rPr>
            </w:pPr>
            <w:r/>
          </w:p>
        </w:tc>
        <w:tc>
          <w:tcPr>
            <w:tcW w:w="998" w:type="dxa"/>
            <w:vAlign w:val="top"/>
          </w:tcPr>
          <w:p>
            <w:pPr>
              <w:rPr>
                <w:rFonts w:ascii="Arial"/>
                <w:sz w:val="21"/>
              </w:rPr>
            </w:pPr>
            <w:r/>
          </w:p>
        </w:tc>
        <w:tc>
          <w:tcPr>
            <w:tcW w:w="849" w:type="dxa"/>
            <w:vAlign w:val="top"/>
          </w:tcPr>
          <w:p>
            <w:pPr>
              <w:ind w:left="285"/>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-1S</w:t>
            </w:r>
          </w:p>
        </w:tc>
        <w:tc>
          <w:tcPr>
            <w:tcW w:w="822" w:type="dxa"/>
            <w:vAlign w:val="top"/>
          </w:tcPr>
          <w:p>
            <w:pPr>
              <w:ind w:left="272"/>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-1S</w:t>
            </w:r>
          </w:p>
        </w:tc>
        <w:tc>
          <w:tcPr>
            <w:tcW w:w="747" w:type="dxa"/>
            <w:vAlign w:val="top"/>
          </w:tcPr>
          <w:p>
            <w:pPr>
              <w:rPr>
                <w:rFonts w:ascii="Arial"/>
                <w:sz w:val="21"/>
              </w:rPr>
            </w:pPr>
            <w:r/>
          </w:p>
        </w:tc>
      </w:tr>
      <w:tr>
        <w:trPr>
          <w:trHeight w:val="277" w:hRule="atLeast"/>
        </w:trPr>
        <w:tc>
          <w:tcPr>
            <w:tcW w:w="791" w:type="dxa"/>
            <w:vAlign w:val="top"/>
            <w:vMerge w:val="restart"/>
            <w:textDirection w:val="tbRlV"/>
            <w:tcBorders>
              <w:bottom w:val="nil"/>
            </w:tcBorders>
          </w:tcPr>
          <w:p>
            <w:pPr>
              <w:pStyle w:val="TableText"/>
              <w:ind w:left="325"/>
              <w:spacing w:before="289" w:line="216" w:lineRule="auto"/>
              <w:rPr/>
            </w:pPr>
            <w:r>
              <w:rPr>
                <w:spacing w:val="8"/>
              </w:rPr>
              <w:t>运</w:t>
            </w:r>
            <w:r>
              <w:rPr>
                <w:spacing w:val="-34"/>
              </w:rPr>
              <w:t xml:space="preserve"> </w:t>
            </w:r>
            <w:r>
              <w:rPr>
                <w:spacing w:val="8"/>
              </w:rPr>
              <w:t>行</w:t>
            </w:r>
            <w:r>
              <w:rPr>
                <w:spacing w:val="-38"/>
              </w:rPr>
              <w:t xml:space="preserve"> </w:t>
            </w:r>
            <w:r>
              <w:rPr>
                <w:spacing w:val="8"/>
              </w:rPr>
              <w:t>期</w:t>
            </w:r>
          </w:p>
        </w:tc>
        <w:tc>
          <w:tcPr>
            <w:tcW w:w="1337" w:type="dxa"/>
            <w:vAlign w:val="top"/>
          </w:tcPr>
          <w:p>
            <w:pPr>
              <w:pStyle w:val="TableText"/>
              <w:ind w:left="252"/>
              <w:spacing w:before="35" w:line="214" w:lineRule="auto"/>
              <w:rPr/>
            </w:pPr>
            <w:r>
              <w:rPr/>
              <w:t>废</w:t>
            </w:r>
            <w:r>
              <w:rPr>
                <w:spacing w:val="7"/>
              </w:rPr>
              <w:t xml:space="preserve">    </w:t>
            </w:r>
            <w:r>
              <w:rPr/>
              <w:t>气</w:t>
            </w:r>
          </w:p>
        </w:tc>
        <w:tc>
          <w:tcPr>
            <w:tcW w:w="708" w:type="dxa"/>
            <w:vAlign w:val="top"/>
          </w:tcPr>
          <w:p>
            <w:pPr>
              <w:ind w:left="20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-1L</w:t>
            </w:r>
          </w:p>
        </w:tc>
        <w:tc>
          <w:tcPr>
            <w:tcW w:w="708" w:type="dxa"/>
            <w:vAlign w:val="top"/>
          </w:tcPr>
          <w:p>
            <w:pPr>
              <w:rPr>
                <w:rFonts w:ascii="Arial"/>
                <w:sz w:val="21"/>
              </w:rPr>
            </w:pPr>
            <w:r/>
          </w:p>
        </w:tc>
        <w:tc>
          <w:tcPr>
            <w:tcW w:w="708" w:type="dxa"/>
            <w:vAlign w:val="top"/>
          </w:tcPr>
          <w:p>
            <w:pPr>
              <w:rPr>
                <w:rFonts w:ascii="Arial"/>
                <w:sz w:val="21"/>
              </w:rPr>
            </w:pPr>
            <w:r/>
          </w:p>
        </w:tc>
        <w:tc>
          <w:tcPr>
            <w:tcW w:w="849" w:type="dxa"/>
            <w:vAlign w:val="top"/>
          </w:tcPr>
          <w:p>
            <w:pPr>
              <w:rPr>
                <w:rFonts w:ascii="Arial"/>
                <w:sz w:val="21"/>
              </w:rPr>
            </w:pPr>
            <w:r/>
          </w:p>
        </w:tc>
        <w:tc>
          <w:tcPr>
            <w:tcW w:w="998" w:type="dxa"/>
            <w:vAlign w:val="top"/>
          </w:tcPr>
          <w:p>
            <w:pPr>
              <w:rPr>
                <w:rFonts w:ascii="Arial"/>
                <w:sz w:val="21"/>
              </w:rPr>
            </w:pPr>
            <w:r/>
          </w:p>
        </w:tc>
        <w:tc>
          <w:tcPr>
            <w:tcW w:w="849" w:type="dxa"/>
            <w:vAlign w:val="top"/>
          </w:tcPr>
          <w:p>
            <w:pPr>
              <w:ind w:left="28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-1L</w:t>
            </w:r>
          </w:p>
        </w:tc>
        <w:tc>
          <w:tcPr>
            <w:tcW w:w="822" w:type="dxa"/>
            <w:vAlign w:val="top"/>
          </w:tcPr>
          <w:p>
            <w:pPr>
              <w:ind w:left="26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-1L</w:t>
            </w:r>
          </w:p>
        </w:tc>
        <w:tc>
          <w:tcPr>
            <w:tcW w:w="747" w:type="dxa"/>
            <w:vAlign w:val="top"/>
          </w:tcPr>
          <w:p>
            <w:pPr>
              <w:rPr>
                <w:rFonts w:ascii="Arial"/>
                <w:sz w:val="21"/>
              </w:rPr>
            </w:pPr>
            <w:r/>
          </w:p>
        </w:tc>
      </w:tr>
      <w:tr>
        <w:trPr>
          <w:trHeight w:val="277" w:hRule="atLeast"/>
        </w:trPr>
        <w:tc>
          <w:tcPr>
            <w:tcW w:w="791" w:type="dxa"/>
            <w:vAlign w:val="top"/>
            <w:vMerge w:val="continue"/>
            <w:textDirection w:val="tbRlV"/>
            <w:tcBorders>
              <w:top w:val="nil"/>
              <w:bottom w:val="nil"/>
            </w:tcBorders>
          </w:tcPr>
          <w:p>
            <w:pPr>
              <w:rPr>
                <w:rFonts w:ascii="Arial"/>
                <w:sz w:val="21"/>
              </w:rPr>
            </w:pPr>
            <w:r/>
          </w:p>
        </w:tc>
        <w:tc>
          <w:tcPr>
            <w:tcW w:w="1337" w:type="dxa"/>
            <w:vAlign w:val="top"/>
          </w:tcPr>
          <w:p>
            <w:pPr>
              <w:pStyle w:val="TableText"/>
              <w:ind w:left="252"/>
              <w:spacing w:before="36" w:line="213" w:lineRule="auto"/>
              <w:rPr/>
            </w:pPr>
            <w:r>
              <w:rPr/>
              <w:t>废</w:t>
            </w:r>
            <w:r>
              <w:rPr>
                <w:spacing w:val="7"/>
              </w:rPr>
              <w:t xml:space="preserve">    </w:t>
            </w:r>
            <w:r>
              <w:rPr/>
              <w:t>水</w:t>
            </w:r>
          </w:p>
        </w:tc>
        <w:tc>
          <w:tcPr>
            <w:tcW w:w="708" w:type="dxa"/>
            <w:vAlign w:val="top"/>
          </w:tcPr>
          <w:p>
            <w:pPr>
              <w:rPr>
                <w:rFonts w:ascii="Arial"/>
                <w:sz w:val="21"/>
              </w:rPr>
            </w:pPr>
            <w:r/>
          </w:p>
        </w:tc>
        <w:tc>
          <w:tcPr>
            <w:tcW w:w="708" w:type="dxa"/>
            <w:vAlign w:val="top"/>
          </w:tcPr>
          <w:p>
            <w:pPr>
              <w:rPr>
                <w:rFonts w:ascii="Arial"/>
                <w:sz w:val="21"/>
              </w:rPr>
            </w:pPr>
            <w:r/>
          </w:p>
        </w:tc>
        <w:tc>
          <w:tcPr>
            <w:tcW w:w="708" w:type="dxa"/>
            <w:vAlign w:val="top"/>
          </w:tcPr>
          <w:p>
            <w:pPr>
              <w:ind w:left="208"/>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-1L</w:t>
            </w:r>
          </w:p>
        </w:tc>
        <w:tc>
          <w:tcPr>
            <w:tcW w:w="849" w:type="dxa"/>
            <w:vAlign w:val="top"/>
          </w:tcPr>
          <w:p>
            <w:pPr>
              <w:rPr>
                <w:rFonts w:ascii="Arial"/>
                <w:sz w:val="21"/>
              </w:rPr>
            </w:pPr>
            <w:r/>
          </w:p>
        </w:tc>
        <w:tc>
          <w:tcPr>
            <w:tcW w:w="998" w:type="dxa"/>
            <w:vAlign w:val="top"/>
          </w:tcPr>
          <w:p>
            <w:pPr>
              <w:rPr>
                <w:rFonts w:ascii="Arial"/>
                <w:sz w:val="21"/>
              </w:rPr>
            </w:pPr>
            <w:r/>
          </w:p>
        </w:tc>
        <w:tc>
          <w:tcPr>
            <w:tcW w:w="849" w:type="dxa"/>
            <w:vAlign w:val="top"/>
          </w:tcPr>
          <w:p>
            <w:pPr>
              <w:rPr>
                <w:rFonts w:ascii="Arial"/>
                <w:sz w:val="21"/>
              </w:rPr>
            </w:pPr>
            <w:r/>
          </w:p>
        </w:tc>
        <w:tc>
          <w:tcPr>
            <w:tcW w:w="822" w:type="dxa"/>
            <w:vAlign w:val="top"/>
          </w:tcPr>
          <w:p>
            <w:pPr>
              <w:ind w:left="267"/>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-1L</w:t>
            </w:r>
          </w:p>
        </w:tc>
        <w:tc>
          <w:tcPr>
            <w:tcW w:w="747" w:type="dxa"/>
            <w:vAlign w:val="top"/>
          </w:tcPr>
          <w:p>
            <w:pPr>
              <w:rPr>
                <w:rFonts w:ascii="Arial"/>
                <w:sz w:val="21"/>
              </w:rPr>
            </w:pPr>
            <w:r/>
          </w:p>
        </w:tc>
      </w:tr>
      <w:tr>
        <w:trPr>
          <w:trHeight w:val="277" w:hRule="atLeast"/>
        </w:trPr>
        <w:tc>
          <w:tcPr>
            <w:tcW w:w="791" w:type="dxa"/>
            <w:vAlign w:val="top"/>
            <w:vMerge w:val="continue"/>
            <w:textDirection w:val="tbRlV"/>
            <w:tcBorders>
              <w:top w:val="nil"/>
              <w:bottom w:val="nil"/>
            </w:tcBorders>
          </w:tcPr>
          <w:p>
            <w:pPr>
              <w:rPr>
                <w:rFonts w:ascii="Arial"/>
                <w:sz w:val="21"/>
              </w:rPr>
            </w:pPr>
            <w:r/>
          </w:p>
        </w:tc>
        <w:tc>
          <w:tcPr>
            <w:tcW w:w="1337" w:type="dxa"/>
            <w:vAlign w:val="top"/>
          </w:tcPr>
          <w:p>
            <w:pPr>
              <w:pStyle w:val="TableText"/>
              <w:ind w:left="252"/>
              <w:spacing w:before="35" w:line="214" w:lineRule="auto"/>
              <w:rPr/>
            </w:pPr>
            <w:r>
              <w:rPr>
                <w:spacing w:val="1"/>
              </w:rPr>
              <w:t>废</w:t>
            </w:r>
            <w:r>
              <w:rPr>
                <w:spacing w:val="6"/>
              </w:rPr>
              <w:t xml:space="preserve">    </w:t>
            </w:r>
            <w:r>
              <w:rPr>
                <w:spacing w:val="1"/>
              </w:rPr>
              <w:t>渣</w:t>
            </w:r>
          </w:p>
        </w:tc>
        <w:tc>
          <w:tcPr>
            <w:tcW w:w="708" w:type="dxa"/>
            <w:vAlign w:val="top"/>
          </w:tcPr>
          <w:p>
            <w:pPr>
              <w:rPr>
                <w:rFonts w:ascii="Arial"/>
                <w:sz w:val="21"/>
              </w:rPr>
            </w:pPr>
            <w:r/>
          </w:p>
        </w:tc>
        <w:tc>
          <w:tcPr>
            <w:tcW w:w="708" w:type="dxa"/>
            <w:vAlign w:val="top"/>
          </w:tcPr>
          <w:p>
            <w:pPr>
              <w:rPr>
                <w:rFonts w:ascii="Arial"/>
                <w:sz w:val="21"/>
              </w:rPr>
            </w:pPr>
            <w:r/>
          </w:p>
        </w:tc>
        <w:tc>
          <w:tcPr>
            <w:tcW w:w="708" w:type="dxa"/>
            <w:vAlign w:val="top"/>
          </w:tcPr>
          <w:p>
            <w:pPr>
              <w:ind w:left="20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-1L</w:t>
            </w:r>
          </w:p>
        </w:tc>
        <w:tc>
          <w:tcPr>
            <w:tcW w:w="849" w:type="dxa"/>
            <w:vAlign w:val="top"/>
          </w:tcPr>
          <w:p>
            <w:pPr>
              <w:rPr>
                <w:rFonts w:ascii="Arial"/>
                <w:sz w:val="21"/>
              </w:rPr>
            </w:pPr>
            <w:r/>
          </w:p>
        </w:tc>
        <w:tc>
          <w:tcPr>
            <w:tcW w:w="998" w:type="dxa"/>
            <w:vAlign w:val="top"/>
          </w:tcPr>
          <w:p>
            <w:pPr>
              <w:rPr>
                <w:rFonts w:ascii="Arial"/>
                <w:sz w:val="21"/>
              </w:rPr>
            </w:pPr>
            <w:r/>
          </w:p>
        </w:tc>
        <w:tc>
          <w:tcPr>
            <w:tcW w:w="849" w:type="dxa"/>
            <w:vAlign w:val="top"/>
          </w:tcPr>
          <w:p>
            <w:pPr>
              <w:rPr>
                <w:rFonts w:ascii="Arial"/>
                <w:sz w:val="21"/>
              </w:rPr>
            </w:pPr>
            <w:r/>
          </w:p>
        </w:tc>
        <w:tc>
          <w:tcPr>
            <w:tcW w:w="822" w:type="dxa"/>
            <w:vAlign w:val="top"/>
          </w:tcPr>
          <w:p>
            <w:pPr>
              <w:rPr>
                <w:rFonts w:ascii="Arial"/>
                <w:sz w:val="21"/>
              </w:rPr>
            </w:pPr>
            <w:r/>
          </w:p>
        </w:tc>
        <w:tc>
          <w:tcPr>
            <w:tcW w:w="747" w:type="dxa"/>
            <w:vAlign w:val="top"/>
          </w:tcPr>
          <w:p>
            <w:pPr>
              <w:rPr>
                <w:rFonts w:ascii="Arial"/>
                <w:sz w:val="21"/>
              </w:rPr>
            </w:pPr>
            <w:r/>
          </w:p>
        </w:tc>
      </w:tr>
      <w:tr>
        <w:trPr>
          <w:trHeight w:val="278" w:hRule="atLeast"/>
        </w:trPr>
        <w:tc>
          <w:tcPr>
            <w:tcW w:w="791" w:type="dxa"/>
            <w:vAlign w:val="top"/>
            <w:vMerge w:val="continue"/>
            <w:textDirection w:val="tbRlV"/>
            <w:tcBorders>
              <w:top w:val="nil"/>
              <w:bottom w:val="nil"/>
            </w:tcBorders>
          </w:tcPr>
          <w:p>
            <w:pPr>
              <w:rPr>
                <w:rFonts w:ascii="Arial"/>
                <w:sz w:val="21"/>
              </w:rPr>
            </w:pPr>
            <w:r/>
          </w:p>
        </w:tc>
        <w:tc>
          <w:tcPr>
            <w:tcW w:w="1337" w:type="dxa"/>
            <w:vAlign w:val="top"/>
          </w:tcPr>
          <w:p>
            <w:pPr>
              <w:pStyle w:val="TableText"/>
              <w:ind w:left="263"/>
              <w:spacing w:before="36" w:line="214" w:lineRule="auto"/>
              <w:rPr/>
            </w:pPr>
            <w:r>
              <w:rPr>
                <w:spacing w:val="-5"/>
              </w:rPr>
              <w:t>噪</w:t>
            </w:r>
            <w:r>
              <w:rPr>
                <w:spacing w:val="8"/>
              </w:rPr>
              <w:t xml:space="preserve">    </w:t>
            </w:r>
            <w:r>
              <w:rPr>
                <w:spacing w:val="-5"/>
              </w:rPr>
              <w:t>声</w:t>
            </w:r>
          </w:p>
        </w:tc>
        <w:tc>
          <w:tcPr>
            <w:tcW w:w="708" w:type="dxa"/>
            <w:vAlign w:val="top"/>
          </w:tcPr>
          <w:p>
            <w:pPr>
              <w:rPr>
                <w:rFonts w:ascii="Arial"/>
                <w:sz w:val="21"/>
              </w:rPr>
            </w:pPr>
            <w:r/>
          </w:p>
        </w:tc>
        <w:tc>
          <w:tcPr>
            <w:tcW w:w="708" w:type="dxa"/>
            <w:vAlign w:val="top"/>
          </w:tcPr>
          <w:p>
            <w:pPr>
              <w:rPr>
                <w:rFonts w:ascii="Arial"/>
                <w:sz w:val="21"/>
              </w:rPr>
            </w:pPr>
            <w:r/>
          </w:p>
        </w:tc>
        <w:tc>
          <w:tcPr>
            <w:tcW w:w="708" w:type="dxa"/>
            <w:vAlign w:val="top"/>
          </w:tcPr>
          <w:p>
            <w:pPr>
              <w:rPr>
                <w:rFonts w:ascii="Arial"/>
                <w:sz w:val="21"/>
              </w:rPr>
            </w:pPr>
            <w:r/>
          </w:p>
        </w:tc>
        <w:tc>
          <w:tcPr>
            <w:tcW w:w="849" w:type="dxa"/>
            <w:vAlign w:val="top"/>
          </w:tcPr>
          <w:p>
            <w:pPr>
              <w:ind w:left="277"/>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-1L</w:t>
            </w:r>
          </w:p>
        </w:tc>
        <w:tc>
          <w:tcPr>
            <w:tcW w:w="998" w:type="dxa"/>
            <w:vAlign w:val="top"/>
          </w:tcPr>
          <w:p>
            <w:pPr>
              <w:rPr>
                <w:rFonts w:ascii="Arial"/>
                <w:sz w:val="21"/>
              </w:rPr>
            </w:pPr>
            <w:r/>
          </w:p>
        </w:tc>
        <w:tc>
          <w:tcPr>
            <w:tcW w:w="849" w:type="dxa"/>
            <w:vAlign w:val="top"/>
          </w:tcPr>
          <w:p>
            <w:pPr>
              <w:rPr>
                <w:rFonts w:ascii="Arial"/>
                <w:sz w:val="21"/>
              </w:rPr>
            </w:pPr>
            <w:r/>
          </w:p>
        </w:tc>
        <w:tc>
          <w:tcPr>
            <w:tcW w:w="822" w:type="dxa"/>
            <w:vAlign w:val="top"/>
          </w:tcPr>
          <w:p>
            <w:pPr>
              <w:rPr>
                <w:rFonts w:ascii="Arial"/>
                <w:sz w:val="21"/>
              </w:rPr>
            </w:pPr>
            <w:r/>
          </w:p>
        </w:tc>
        <w:tc>
          <w:tcPr>
            <w:tcW w:w="747" w:type="dxa"/>
            <w:vAlign w:val="top"/>
          </w:tcPr>
          <w:p>
            <w:pPr>
              <w:rPr>
                <w:rFonts w:ascii="Arial"/>
                <w:sz w:val="21"/>
              </w:rPr>
            </w:pPr>
            <w:r/>
          </w:p>
        </w:tc>
      </w:tr>
      <w:tr>
        <w:trPr>
          <w:trHeight w:val="279" w:hRule="atLeast"/>
        </w:trPr>
        <w:tc>
          <w:tcPr>
            <w:tcW w:w="791" w:type="dxa"/>
            <w:vAlign w:val="top"/>
            <w:vMerge w:val="continue"/>
            <w:textDirection w:val="tbRlV"/>
            <w:tcBorders>
              <w:top w:val="nil"/>
            </w:tcBorders>
          </w:tcPr>
          <w:p>
            <w:pPr>
              <w:rPr>
                <w:rFonts w:ascii="Arial"/>
                <w:sz w:val="21"/>
              </w:rPr>
            </w:pPr>
            <w:r/>
          </w:p>
        </w:tc>
        <w:tc>
          <w:tcPr>
            <w:tcW w:w="1337" w:type="dxa"/>
            <w:vAlign w:val="top"/>
          </w:tcPr>
          <w:p>
            <w:pPr>
              <w:pStyle w:val="TableText"/>
              <w:ind w:left="253"/>
              <w:spacing w:before="33" w:line="217" w:lineRule="auto"/>
              <w:rPr/>
            </w:pPr>
            <w:r>
              <w:rPr>
                <w:spacing w:val="7"/>
              </w:rPr>
              <w:t>环境风险</w:t>
            </w:r>
          </w:p>
        </w:tc>
        <w:tc>
          <w:tcPr>
            <w:tcW w:w="708" w:type="dxa"/>
            <w:vAlign w:val="top"/>
          </w:tcPr>
          <w:p>
            <w:pPr>
              <w:ind w:left="208"/>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-1L</w:t>
            </w:r>
          </w:p>
        </w:tc>
        <w:tc>
          <w:tcPr>
            <w:tcW w:w="708" w:type="dxa"/>
            <w:vAlign w:val="top"/>
          </w:tcPr>
          <w:p>
            <w:pPr>
              <w:rPr>
                <w:rFonts w:ascii="Arial"/>
                <w:sz w:val="21"/>
              </w:rPr>
            </w:pPr>
            <w:r/>
          </w:p>
        </w:tc>
        <w:tc>
          <w:tcPr>
            <w:tcW w:w="708" w:type="dxa"/>
            <w:vAlign w:val="top"/>
          </w:tcPr>
          <w:p>
            <w:pPr>
              <w:ind w:left="208"/>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-1L</w:t>
            </w:r>
          </w:p>
        </w:tc>
        <w:tc>
          <w:tcPr>
            <w:tcW w:w="849" w:type="dxa"/>
            <w:vAlign w:val="top"/>
          </w:tcPr>
          <w:p>
            <w:pPr>
              <w:rPr>
                <w:rFonts w:ascii="Arial"/>
                <w:sz w:val="21"/>
              </w:rPr>
            </w:pPr>
            <w:r/>
          </w:p>
        </w:tc>
        <w:tc>
          <w:tcPr>
            <w:tcW w:w="998" w:type="dxa"/>
            <w:vAlign w:val="top"/>
          </w:tcPr>
          <w:p>
            <w:pPr>
              <w:rPr>
                <w:rFonts w:ascii="Arial"/>
                <w:sz w:val="21"/>
              </w:rPr>
            </w:pPr>
            <w:r/>
          </w:p>
        </w:tc>
        <w:tc>
          <w:tcPr>
            <w:tcW w:w="849" w:type="dxa"/>
            <w:vAlign w:val="top"/>
          </w:tcPr>
          <w:p>
            <w:pPr>
              <w:rPr>
                <w:rFonts w:ascii="Arial"/>
                <w:sz w:val="21"/>
              </w:rPr>
            </w:pPr>
            <w:r/>
          </w:p>
        </w:tc>
        <w:tc>
          <w:tcPr>
            <w:tcW w:w="822" w:type="dxa"/>
            <w:vAlign w:val="top"/>
          </w:tcPr>
          <w:p>
            <w:pPr>
              <w:ind w:left="26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-1L</w:t>
            </w:r>
          </w:p>
        </w:tc>
        <w:tc>
          <w:tcPr>
            <w:tcW w:w="747" w:type="dxa"/>
            <w:vAlign w:val="top"/>
          </w:tcPr>
          <w:p>
            <w:pPr>
              <w:rPr>
                <w:rFonts w:ascii="Arial"/>
                <w:sz w:val="21"/>
              </w:rPr>
            </w:pPr>
            <w:r/>
          </w:p>
        </w:tc>
      </w:tr>
    </w:tbl>
    <w:p>
      <w:pPr>
        <w:pStyle w:val="BodyText"/>
        <w:spacing w:line="409" w:lineRule="auto"/>
        <w:rPr/>
      </w:pPr>
      <w:r/>
    </w:p>
    <w:p>
      <w:pPr>
        <w:ind w:left="5347"/>
        <w:spacing w:before="62" w:line="225" w:lineRule="auto"/>
        <w:rPr>
          <w:rFonts w:ascii="SimSun" w:hAnsi="SimSun" w:eastAsia="SimSun" w:cs="SimSun"/>
          <w:sz w:val="19"/>
          <w:szCs w:val="19"/>
        </w:rPr>
      </w:pPr>
      <w:r>
        <w:pict>
          <v:shape id="_x0000_s196" style="position:absolute;margin-left:209.218pt;margin-top:2.10644pt;mso-position-vertical-relative:text;mso-position-horizontal-relative:text;width:58.75pt;height:13.75pt;z-index:251746304;"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1"/>
                      <w:position w:val="2"/>
                    </w:rPr>
                    <w:t>36        </w:t>
                  </w:r>
                  <w:r>
                    <w:rPr>
                      <w:rFonts w:ascii="SimSun" w:hAnsi="SimSun" w:eastAsia="SimSun" w:cs="SimSun"/>
                      <w:sz w:val="19"/>
                      <w:szCs w:val="19"/>
                      <w:spacing w:val="1"/>
                    </w:rPr>
                    <w:t>锡林郭</w:t>
                  </w:r>
                </w:p>
              </w:txbxContent>
            </v:textbox>
          </v:shape>
        </w:pict>
      </w:r>
      <w:r>
        <w:rPr>
          <w:rFonts w:ascii="SimSun" w:hAnsi="SimSun" w:eastAsia="SimSun" w:cs="SimSun"/>
          <w:sz w:val="19"/>
          <w:szCs w:val="19"/>
          <w:spacing w:val="9"/>
        </w:rPr>
        <w:t>勒盟中安环境技术咨询有限责任公司</w:t>
      </w:r>
    </w:p>
    <w:p>
      <w:pPr>
        <w:spacing w:line="225" w:lineRule="auto"/>
        <w:sectPr>
          <w:pgSz w:w="11907" w:h="16840"/>
          <w:pgMar w:top="1567" w:right="1667" w:bottom="400" w:left="1666" w:header="1221" w:footer="0" w:gutter="0"/>
        </w:sectPr>
        <w:rPr>
          <w:rFonts w:ascii="SimSun" w:hAnsi="SimSun" w:eastAsia="SimSun" w:cs="SimSun"/>
          <w:sz w:val="19"/>
          <w:szCs w:val="19"/>
        </w:rPr>
      </w:pPr>
    </w:p>
    <w:p>
      <w:pPr>
        <w:spacing w:line="151" w:lineRule="exact"/>
        <w:rPr/>
      </w:pPr>
      <w:r>
        <w:pict>
          <v:shape id="_x0000_s200" style="position:absolute;margin-left:85.05pt;margin-top:79.11pt;mso-position-vertical-relative:page;mso-position-horizontal-relative:page;width:425.25pt;height:0.75pt;z-index:251749376;" o:allowincell="f" fillcolor="#000000" filled="true" stroked="false" coordsize="8505,15" coordorigin="0,0" path="m,l8505,0l8505,14l0,14l0,0xe"/>
        </w:pict>
      </w:r>
      <w:r/>
    </w:p>
    <w:tbl>
      <w:tblPr>
        <w:tblStyle w:val="TableNormal"/>
        <w:tblW w:w="8517" w:type="dxa"/>
        <w:tblInd w:w="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91"/>
        <w:gridCol w:w="1337"/>
        <w:gridCol w:w="708"/>
        <w:gridCol w:w="708"/>
        <w:gridCol w:w="708"/>
        <w:gridCol w:w="849"/>
        <w:gridCol w:w="998"/>
        <w:gridCol w:w="849"/>
        <w:gridCol w:w="822"/>
        <w:gridCol w:w="747"/>
      </w:tblGrid>
      <w:tr>
        <w:trPr>
          <w:trHeight w:val="280" w:hRule="atLeast"/>
        </w:trPr>
        <w:tc>
          <w:tcPr>
            <w:tcW w:w="791" w:type="dxa"/>
            <w:vAlign w:val="top"/>
            <w:vMerge w:val="restart"/>
            <w:tcBorders>
              <w:bottom w:val="nil"/>
            </w:tcBorders>
          </w:tcPr>
          <w:p>
            <w:pPr>
              <w:pStyle w:val="TableText"/>
              <w:ind w:left="193"/>
              <w:spacing w:before="41" w:line="228" w:lineRule="auto"/>
              <w:rPr/>
            </w:pPr>
            <w:r>
              <w:rPr>
                <w:spacing w:val="3"/>
              </w:rPr>
              <w:t>项目</w:t>
            </w:r>
          </w:p>
          <w:p>
            <w:pPr>
              <w:pStyle w:val="TableText"/>
              <w:ind w:left="199"/>
              <w:spacing w:before="23" w:line="220" w:lineRule="auto"/>
              <w:rPr/>
            </w:pPr>
            <w:r>
              <w:rPr/>
              <w:t>阶段</w:t>
            </w:r>
          </w:p>
        </w:tc>
        <w:tc>
          <w:tcPr>
            <w:tcW w:w="1337" w:type="dxa"/>
            <w:vAlign w:val="top"/>
            <w:vMerge w:val="restart"/>
            <w:tcBorders>
              <w:bottom w:val="nil"/>
            </w:tcBorders>
          </w:tcPr>
          <w:p>
            <w:pPr>
              <w:pStyle w:val="TableText"/>
              <w:ind w:left="253"/>
              <w:spacing w:before="176" w:line="228" w:lineRule="auto"/>
              <w:rPr/>
            </w:pPr>
            <w:r>
              <w:rPr>
                <w:spacing w:val="7"/>
              </w:rPr>
              <w:t>影响行动</w:t>
            </w:r>
          </w:p>
        </w:tc>
        <w:tc>
          <w:tcPr>
            <w:tcW w:w="3971" w:type="dxa"/>
            <w:vAlign w:val="top"/>
            <w:gridSpan w:val="5"/>
          </w:tcPr>
          <w:p>
            <w:pPr>
              <w:pStyle w:val="TableText"/>
              <w:ind w:left="1605"/>
              <w:spacing w:before="37" w:line="215" w:lineRule="auto"/>
              <w:rPr/>
            </w:pPr>
            <w:r>
              <w:rPr>
                <w:spacing w:val="-2"/>
              </w:rPr>
              <w:t>自然环境</w:t>
            </w:r>
          </w:p>
        </w:tc>
        <w:tc>
          <w:tcPr>
            <w:tcW w:w="2418" w:type="dxa"/>
            <w:vAlign w:val="top"/>
            <w:gridSpan w:val="3"/>
          </w:tcPr>
          <w:p>
            <w:pPr>
              <w:pStyle w:val="TableText"/>
              <w:ind w:left="796"/>
              <w:spacing w:before="37" w:line="215" w:lineRule="auto"/>
              <w:rPr/>
            </w:pPr>
            <w:r>
              <w:rPr>
                <w:spacing w:val="6"/>
              </w:rPr>
              <w:t>生态环境</w:t>
            </w:r>
          </w:p>
        </w:tc>
      </w:tr>
      <w:tr>
        <w:trPr>
          <w:trHeight w:val="276" w:hRule="atLeast"/>
        </w:trPr>
        <w:tc>
          <w:tcPr>
            <w:tcW w:w="791" w:type="dxa"/>
            <w:vAlign w:val="top"/>
            <w:vMerge w:val="continue"/>
            <w:tcBorders>
              <w:top w:val="nil"/>
            </w:tcBorders>
          </w:tcPr>
          <w:p>
            <w:pPr>
              <w:rPr>
                <w:rFonts w:ascii="Arial"/>
                <w:sz w:val="21"/>
              </w:rPr>
            </w:pPr>
            <w:r/>
          </w:p>
        </w:tc>
        <w:tc>
          <w:tcPr>
            <w:tcW w:w="1337" w:type="dxa"/>
            <w:vAlign w:val="top"/>
            <w:vMerge w:val="continue"/>
            <w:tcBorders>
              <w:top w:val="nil"/>
            </w:tcBorders>
          </w:tcPr>
          <w:p>
            <w:pPr>
              <w:rPr>
                <w:rFonts w:ascii="Arial"/>
                <w:sz w:val="21"/>
              </w:rPr>
            </w:pPr>
            <w:r/>
          </w:p>
        </w:tc>
        <w:tc>
          <w:tcPr>
            <w:tcW w:w="708" w:type="dxa"/>
            <w:vAlign w:val="top"/>
          </w:tcPr>
          <w:p>
            <w:pPr>
              <w:pStyle w:val="TableText"/>
              <w:ind w:left="150"/>
              <w:spacing w:before="31" w:line="216" w:lineRule="auto"/>
              <w:rPr/>
            </w:pPr>
            <w:r>
              <w:rPr>
                <w:spacing w:val="3"/>
              </w:rPr>
              <w:t>大气</w:t>
            </w:r>
          </w:p>
        </w:tc>
        <w:tc>
          <w:tcPr>
            <w:tcW w:w="708" w:type="dxa"/>
            <w:vAlign w:val="top"/>
          </w:tcPr>
          <w:p>
            <w:pPr>
              <w:pStyle w:val="TableText"/>
              <w:ind w:left="44"/>
              <w:spacing w:before="31" w:line="216" w:lineRule="auto"/>
              <w:rPr/>
            </w:pPr>
            <w:r>
              <w:rPr>
                <w:spacing w:val="6"/>
              </w:rPr>
              <w:t>地表水</w:t>
            </w:r>
          </w:p>
        </w:tc>
        <w:tc>
          <w:tcPr>
            <w:tcW w:w="708" w:type="dxa"/>
            <w:vAlign w:val="top"/>
          </w:tcPr>
          <w:p>
            <w:pPr>
              <w:pStyle w:val="TableText"/>
              <w:ind w:left="44"/>
              <w:spacing w:before="31" w:line="216" w:lineRule="auto"/>
              <w:rPr/>
            </w:pPr>
            <w:r>
              <w:rPr>
                <w:spacing w:val="6"/>
              </w:rPr>
              <w:t>地下水</w:t>
            </w:r>
          </w:p>
        </w:tc>
        <w:tc>
          <w:tcPr>
            <w:tcW w:w="849" w:type="dxa"/>
            <w:vAlign w:val="top"/>
          </w:tcPr>
          <w:p>
            <w:pPr>
              <w:pStyle w:val="TableText"/>
              <w:ind w:left="118"/>
              <w:spacing w:before="31" w:line="216" w:lineRule="auto"/>
              <w:rPr/>
            </w:pPr>
            <w:r>
              <w:rPr>
                <w:spacing w:val="5"/>
              </w:rPr>
              <w:t>声环境</w:t>
            </w:r>
          </w:p>
        </w:tc>
        <w:tc>
          <w:tcPr>
            <w:tcW w:w="998" w:type="dxa"/>
            <w:vAlign w:val="top"/>
          </w:tcPr>
          <w:p>
            <w:pPr>
              <w:pStyle w:val="TableText"/>
              <w:ind w:left="88"/>
              <w:spacing w:before="31" w:line="216" w:lineRule="auto"/>
              <w:rPr/>
            </w:pPr>
            <w:r>
              <w:rPr>
                <w:spacing w:val="6"/>
              </w:rPr>
              <w:t>水土流失</w:t>
            </w:r>
          </w:p>
        </w:tc>
        <w:tc>
          <w:tcPr>
            <w:tcW w:w="849" w:type="dxa"/>
            <w:vAlign w:val="top"/>
          </w:tcPr>
          <w:p>
            <w:pPr>
              <w:pStyle w:val="TableText"/>
              <w:ind w:left="221"/>
              <w:spacing w:before="31" w:line="216" w:lineRule="auto"/>
              <w:rPr/>
            </w:pPr>
            <w:r>
              <w:rPr>
                <w:spacing w:val="4"/>
              </w:rPr>
              <w:t>植被</w:t>
            </w:r>
          </w:p>
        </w:tc>
        <w:tc>
          <w:tcPr>
            <w:tcW w:w="822" w:type="dxa"/>
            <w:vAlign w:val="top"/>
          </w:tcPr>
          <w:p>
            <w:pPr>
              <w:pStyle w:val="TableText"/>
              <w:ind w:left="210"/>
              <w:spacing w:before="31" w:line="216" w:lineRule="auto"/>
              <w:rPr/>
            </w:pPr>
            <w:r>
              <w:rPr>
                <w:spacing w:val="4"/>
              </w:rPr>
              <w:t>土壤</w:t>
            </w:r>
          </w:p>
        </w:tc>
        <w:tc>
          <w:tcPr>
            <w:tcW w:w="747" w:type="dxa"/>
            <w:vAlign w:val="top"/>
          </w:tcPr>
          <w:p>
            <w:pPr>
              <w:pStyle w:val="TableText"/>
              <w:ind w:left="64"/>
              <w:spacing w:before="31" w:line="216" w:lineRule="auto"/>
              <w:rPr/>
            </w:pPr>
            <w:r>
              <w:rPr>
                <w:spacing w:val="6"/>
              </w:rPr>
              <w:t>农作物</w:t>
            </w:r>
          </w:p>
        </w:tc>
      </w:tr>
      <w:tr>
        <w:trPr>
          <w:trHeight w:val="280" w:hRule="atLeast"/>
        </w:trPr>
        <w:tc>
          <w:tcPr>
            <w:tcW w:w="791" w:type="dxa"/>
            <w:vAlign w:val="top"/>
          </w:tcPr>
          <w:p>
            <w:pPr>
              <w:pStyle w:val="TableText"/>
              <w:ind w:left="190"/>
              <w:spacing w:before="34" w:line="217" w:lineRule="auto"/>
              <w:rPr/>
            </w:pPr>
            <w:r>
              <w:rPr>
                <w:spacing w:val="4"/>
              </w:rPr>
              <w:t>注释</w:t>
            </w:r>
          </w:p>
        </w:tc>
        <w:tc>
          <w:tcPr>
            <w:tcW w:w="7726" w:type="dxa"/>
            <w:vAlign w:val="top"/>
            <w:gridSpan w:val="9"/>
          </w:tcPr>
          <w:p>
            <w:pPr>
              <w:pStyle w:val="TableText"/>
              <w:ind w:left="136"/>
              <w:spacing w:before="34" w:line="217" w:lineRule="auto"/>
              <w:rPr/>
            </w:pPr>
            <w:r>
              <w:rPr>
                <w:rFonts w:ascii="Times New Roman" w:hAnsi="Times New Roman" w:eastAsia="Times New Roman" w:cs="Times New Roman"/>
                <w:spacing w:val="7"/>
              </w:rPr>
              <w:t>+</w:t>
            </w:r>
            <w:r>
              <w:rPr>
                <w:spacing w:val="7"/>
              </w:rPr>
              <w:t>有利影响</w:t>
            </w:r>
            <w:r>
              <w:rPr>
                <w:spacing w:val="1"/>
              </w:rPr>
              <w:t>；－</w:t>
            </w:r>
            <w:r>
              <w:rPr>
                <w:spacing w:val="7"/>
              </w:rPr>
              <w:t>不利影响；</w:t>
            </w:r>
            <w:r>
              <w:rPr>
                <w:rFonts w:ascii="Times New Roman" w:hAnsi="Times New Roman" w:eastAsia="Times New Roman" w:cs="Times New Roman"/>
                <w:spacing w:val="7"/>
              </w:rPr>
              <w:t>S </w:t>
            </w:r>
            <w:r>
              <w:rPr>
                <w:spacing w:val="7"/>
              </w:rPr>
              <w:t>短期影响</w:t>
            </w:r>
            <w:r>
              <w:rPr>
                <w:spacing w:val="35"/>
              </w:rPr>
              <w:t xml:space="preserve"> </w:t>
            </w:r>
            <w:r>
              <w:rPr>
                <w:spacing w:val="7"/>
              </w:rPr>
              <w:t>；</w:t>
            </w:r>
            <w:r>
              <w:rPr>
                <w:rFonts w:ascii="Times New Roman" w:hAnsi="Times New Roman" w:eastAsia="Times New Roman" w:cs="Times New Roman"/>
                <w:spacing w:val="7"/>
              </w:rPr>
              <w:t>L </w:t>
            </w:r>
            <w:r>
              <w:rPr>
                <w:spacing w:val="7"/>
              </w:rPr>
              <w:t>长期影响；</w:t>
            </w:r>
            <w:r>
              <w:rPr>
                <w:rFonts w:ascii="Times New Roman" w:hAnsi="Times New Roman" w:eastAsia="Times New Roman" w:cs="Times New Roman"/>
                <w:spacing w:val="7"/>
              </w:rPr>
              <w:t>1</w:t>
            </w:r>
            <w:r>
              <w:rPr>
                <w:rFonts w:ascii="Times New Roman" w:hAnsi="Times New Roman" w:eastAsia="Times New Roman" w:cs="Times New Roman"/>
                <w:spacing w:val="-26"/>
              </w:rPr>
              <w:t xml:space="preserve"> </w:t>
            </w:r>
            <w:r>
              <w:rPr>
                <w:spacing w:val="7"/>
              </w:rPr>
              <w:t>、</w:t>
            </w:r>
            <w:r>
              <w:rPr>
                <w:rFonts w:ascii="Times New Roman" w:hAnsi="Times New Roman" w:eastAsia="Times New Roman" w:cs="Times New Roman"/>
                <w:spacing w:val="7"/>
              </w:rPr>
              <w:t>2</w:t>
            </w:r>
            <w:r>
              <w:rPr>
                <w:rFonts w:ascii="Times New Roman" w:hAnsi="Times New Roman" w:eastAsia="Times New Roman" w:cs="Times New Roman"/>
                <w:spacing w:val="-29"/>
              </w:rPr>
              <w:t xml:space="preserve"> </w:t>
            </w:r>
            <w:r>
              <w:rPr>
                <w:spacing w:val="7"/>
              </w:rPr>
              <w:t>、</w:t>
            </w:r>
            <w:r>
              <w:rPr>
                <w:rFonts w:ascii="Times New Roman" w:hAnsi="Times New Roman" w:eastAsia="Times New Roman" w:cs="Times New Roman"/>
                <w:spacing w:val="7"/>
              </w:rPr>
              <w:t>3 </w:t>
            </w:r>
            <w:r>
              <w:rPr>
                <w:spacing w:val="7"/>
              </w:rPr>
              <w:t>影响程度由小到大</w:t>
            </w:r>
          </w:p>
        </w:tc>
      </w:tr>
    </w:tbl>
    <w:p>
      <w:pPr>
        <w:ind w:left="20" w:firstLine="478"/>
        <w:spacing w:before="37" w:line="359" w:lineRule="auto"/>
        <w:jc w:val="both"/>
        <w:rPr>
          <w:rFonts w:ascii="SimSun" w:hAnsi="SimSun" w:eastAsia="SimSun" w:cs="SimSun"/>
          <w:sz w:val="24"/>
          <w:szCs w:val="24"/>
        </w:rPr>
      </w:pPr>
      <w:r>
        <w:rPr>
          <w:rFonts w:ascii="SimSun" w:hAnsi="SimSun" w:eastAsia="SimSun" w:cs="SimSun"/>
          <w:sz w:val="24"/>
          <w:szCs w:val="24"/>
          <w:spacing w:val="-7"/>
        </w:rPr>
        <w:t>表</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7"/>
        </w:rPr>
        <w:t>2.5-2</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7"/>
        </w:rPr>
        <w:t>中可知，项目运营期对环境的不利影响主要是大气环境、地下水环境、</w:t>
      </w:r>
      <w:r>
        <w:rPr>
          <w:rFonts w:ascii="SimSun" w:hAnsi="SimSun" w:eastAsia="SimSun" w:cs="SimSun"/>
          <w:sz w:val="24"/>
          <w:szCs w:val="24"/>
        </w:rPr>
        <w:t xml:space="preserve"> </w:t>
      </w:r>
      <w:r>
        <w:rPr>
          <w:rFonts w:ascii="SimSun" w:hAnsi="SimSun" w:eastAsia="SimSun" w:cs="SimSun"/>
          <w:sz w:val="24"/>
          <w:szCs w:val="24"/>
          <w:spacing w:val="3"/>
        </w:rPr>
        <w:t>土壤环境及环境风险。运行期的影响为长期的直接影响</w:t>
      </w:r>
      <w:r>
        <w:rPr>
          <w:rFonts w:ascii="SimSun" w:hAnsi="SimSun" w:eastAsia="SimSun" w:cs="SimSun"/>
          <w:sz w:val="24"/>
          <w:szCs w:val="24"/>
          <w:spacing w:val="2"/>
        </w:rPr>
        <w:t>，因此进行评价主要时段</w:t>
      </w:r>
      <w:r>
        <w:rPr>
          <w:rFonts w:ascii="SimSun" w:hAnsi="SimSun" w:eastAsia="SimSun" w:cs="SimSun"/>
          <w:sz w:val="24"/>
          <w:szCs w:val="24"/>
        </w:rPr>
        <w:t xml:space="preserve"> </w:t>
      </w:r>
      <w:r>
        <w:rPr>
          <w:rFonts w:ascii="SimSun" w:hAnsi="SimSun" w:eastAsia="SimSun" w:cs="SimSun"/>
          <w:sz w:val="24"/>
          <w:szCs w:val="24"/>
          <w:spacing w:val="-1"/>
        </w:rPr>
        <w:t>是运行期，评价重点应为大气环境影响。</w:t>
      </w:r>
    </w:p>
    <w:p>
      <w:pPr>
        <w:ind w:left="16"/>
        <w:spacing w:before="160" w:line="222" w:lineRule="auto"/>
        <w:outlineLvl w:val="2"/>
        <w:rPr>
          <w:rFonts w:ascii="SimHei" w:hAnsi="SimHei" w:eastAsia="SimHei" w:cs="SimHei"/>
          <w:sz w:val="28"/>
          <w:szCs w:val="28"/>
        </w:rPr>
      </w:pPr>
      <w:bookmarkStart w:name="bookmark38" w:id="44"/>
      <w:bookmarkEnd w:id="44"/>
      <w:r>
        <w:rPr>
          <w:rFonts w:ascii="Times New Roman" w:hAnsi="Times New Roman" w:eastAsia="Times New Roman" w:cs="Times New Roman"/>
          <w:sz w:val="28"/>
          <w:szCs w:val="28"/>
          <w:spacing w:val="-1"/>
        </w:rPr>
        <w:t>2.5.3 </w:t>
      </w:r>
      <w:r>
        <w:rPr>
          <w:rFonts w:ascii="SimHei" w:hAnsi="SimHei" w:eastAsia="SimHei" w:cs="SimHei"/>
          <w:sz w:val="28"/>
          <w:szCs w:val="28"/>
          <w:spacing w:val="-1"/>
        </w:rPr>
        <w:t>评价因子筛选</w:t>
      </w:r>
    </w:p>
    <w:p>
      <w:pPr>
        <w:pStyle w:val="BodyText"/>
        <w:spacing w:line="278" w:lineRule="auto"/>
        <w:rPr/>
      </w:pPr>
      <w:r/>
    </w:p>
    <w:p>
      <w:pPr>
        <w:ind w:left="498"/>
        <w:spacing w:before="78" w:line="218" w:lineRule="auto"/>
        <w:rPr>
          <w:rFonts w:ascii="SimSun" w:hAnsi="SimSun" w:eastAsia="SimSun" w:cs="SimSun"/>
          <w:sz w:val="24"/>
          <w:szCs w:val="24"/>
        </w:rPr>
      </w:pPr>
      <w:r>
        <w:rPr>
          <w:rFonts w:ascii="SimSun" w:hAnsi="SimSun" w:eastAsia="SimSun" w:cs="SimSun"/>
          <w:sz w:val="24"/>
          <w:szCs w:val="24"/>
        </w:rPr>
        <w:t>对环境影响因素的识别并结合项目排污特点，</w:t>
      </w:r>
      <w:r>
        <w:rPr>
          <w:rFonts w:ascii="SimSun" w:hAnsi="SimSun" w:eastAsia="SimSun" w:cs="SimSun"/>
          <w:sz w:val="24"/>
          <w:szCs w:val="24"/>
          <w:spacing w:val="-1"/>
        </w:rPr>
        <w:t>确定本次评价因子见表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2.5-3</w:t>
      </w:r>
      <w:r>
        <w:rPr>
          <w:rFonts w:ascii="SimSun" w:hAnsi="SimSun" w:eastAsia="SimSun" w:cs="SimSun"/>
          <w:sz w:val="24"/>
          <w:szCs w:val="24"/>
          <w:spacing w:val="-1"/>
        </w:rPr>
        <w:t>。</w:t>
      </w:r>
    </w:p>
    <w:p>
      <w:pPr>
        <w:ind w:left="2545"/>
        <w:spacing w:before="185"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2.5-3        </w:t>
      </w:r>
      <w:r>
        <w:rPr>
          <w:rFonts w:ascii="SimSun" w:hAnsi="SimSun" w:eastAsia="SimSun" w:cs="SimSun"/>
          <w:sz w:val="24"/>
          <w:szCs w:val="24"/>
          <w:b/>
          <w:bCs/>
          <w:spacing w:val="-2"/>
        </w:rPr>
        <w:t>评价因子识别结果表</w:t>
      </w:r>
    </w:p>
    <w:tbl>
      <w:tblPr>
        <w:tblStyle w:val="TableNormal"/>
        <w:tblW w:w="851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69"/>
        <w:gridCol w:w="1106"/>
        <w:gridCol w:w="6344"/>
      </w:tblGrid>
      <w:tr>
        <w:trPr>
          <w:trHeight w:val="282" w:hRule="atLeast"/>
        </w:trPr>
        <w:tc>
          <w:tcPr>
            <w:tcW w:w="1069" w:type="dxa"/>
            <w:vAlign w:val="top"/>
          </w:tcPr>
          <w:p>
            <w:pPr>
              <w:pStyle w:val="TableText"/>
              <w:ind w:left="119"/>
              <w:spacing w:before="37" w:line="216" w:lineRule="auto"/>
              <w:rPr/>
            </w:pPr>
            <w:r>
              <w:rPr>
                <w:spacing w:val="7"/>
              </w:rPr>
              <w:t>环境要素</w:t>
            </w:r>
          </w:p>
        </w:tc>
        <w:tc>
          <w:tcPr>
            <w:tcW w:w="1106" w:type="dxa"/>
            <w:vAlign w:val="top"/>
          </w:tcPr>
          <w:p>
            <w:pPr>
              <w:pStyle w:val="TableText"/>
              <w:ind w:left="136"/>
              <w:spacing w:before="37" w:line="216" w:lineRule="auto"/>
              <w:rPr/>
            </w:pPr>
            <w:r>
              <w:rPr>
                <w:spacing w:val="7"/>
              </w:rPr>
              <w:t>评价类别</w:t>
            </w:r>
          </w:p>
        </w:tc>
        <w:tc>
          <w:tcPr>
            <w:tcW w:w="6344" w:type="dxa"/>
            <w:vAlign w:val="top"/>
          </w:tcPr>
          <w:p>
            <w:pPr>
              <w:pStyle w:val="TableText"/>
              <w:ind w:left="2755"/>
              <w:spacing w:before="37" w:line="216" w:lineRule="auto"/>
              <w:rPr/>
            </w:pPr>
            <w:r>
              <w:rPr>
                <w:spacing w:val="7"/>
              </w:rPr>
              <w:t>评价因子</w:t>
            </w:r>
          </w:p>
        </w:tc>
      </w:tr>
      <w:tr>
        <w:trPr>
          <w:trHeight w:val="277" w:hRule="atLeast"/>
        </w:trPr>
        <w:tc>
          <w:tcPr>
            <w:tcW w:w="1069" w:type="dxa"/>
            <w:vAlign w:val="top"/>
            <w:vMerge w:val="restart"/>
            <w:tcBorders>
              <w:bottom w:val="nil"/>
            </w:tcBorders>
          </w:tcPr>
          <w:p>
            <w:pPr>
              <w:pStyle w:val="TableText"/>
              <w:ind w:left="121"/>
              <w:spacing w:before="170" w:line="228" w:lineRule="auto"/>
              <w:rPr/>
            </w:pPr>
            <w:r>
              <w:rPr>
                <w:spacing w:val="6"/>
              </w:rPr>
              <w:t>大气环境</w:t>
            </w:r>
          </w:p>
        </w:tc>
        <w:tc>
          <w:tcPr>
            <w:tcW w:w="1106" w:type="dxa"/>
            <w:vAlign w:val="top"/>
          </w:tcPr>
          <w:p>
            <w:pPr>
              <w:pStyle w:val="TableText"/>
              <w:ind w:left="139"/>
              <w:spacing w:before="30" w:line="218" w:lineRule="auto"/>
              <w:rPr/>
            </w:pPr>
            <w:r>
              <w:rPr>
                <w:spacing w:val="6"/>
              </w:rPr>
              <w:t>现状评价</w:t>
            </w:r>
          </w:p>
        </w:tc>
        <w:tc>
          <w:tcPr>
            <w:tcW w:w="6344" w:type="dxa"/>
            <w:vAlign w:val="top"/>
          </w:tcPr>
          <w:p>
            <w:pPr>
              <w:pStyle w:val="TableText"/>
              <w:ind w:left="214"/>
              <w:spacing w:before="30" w:line="218" w:lineRule="auto"/>
              <w:rPr/>
            </w:pPr>
            <w:r>
              <w:rPr>
                <w:rFonts w:ascii="Times New Roman" w:hAnsi="Times New Roman" w:eastAsia="Times New Roman" w:cs="Times New Roman"/>
              </w:rPr>
              <w:t>SO</w:t>
            </w:r>
            <w:r>
              <w:rPr>
                <w:rFonts w:ascii="Times New Roman" w:hAnsi="Times New Roman" w:eastAsia="Times New Roman" w:cs="Times New Roman"/>
                <w:sz w:val="13"/>
                <w:szCs w:val="13"/>
                <w:spacing w:val="2"/>
                <w:position w:val="-1"/>
              </w:rPr>
              <w:t>2</w:t>
            </w:r>
            <w:r>
              <w:rPr>
                <w:rFonts w:ascii="Times New Roman" w:hAnsi="Times New Roman" w:eastAsia="Times New Roman" w:cs="Times New Roman"/>
                <w:sz w:val="13"/>
                <w:szCs w:val="13"/>
                <w:spacing w:val="-1"/>
                <w:position w:val="-1"/>
              </w:rPr>
              <w:t xml:space="preserve"> </w:t>
            </w:r>
            <w:r>
              <w:rPr>
                <w:spacing w:val="2"/>
              </w:rPr>
              <w:t>、</w:t>
            </w:r>
            <w:r>
              <w:rPr>
                <w:rFonts w:ascii="Times New Roman" w:hAnsi="Times New Roman" w:eastAsia="Times New Roman" w:cs="Times New Roman"/>
              </w:rPr>
              <w:t>NO</w:t>
            </w:r>
            <w:r>
              <w:rPr>
                <w:rFonts w:ascii="Times New Roman" w:hAnsi="Times New Roman" w:eastAsia="Times New Roman" w:cs="Times New Roman"/>
                <w:sz w:val="13"/>
                <w:szCs w:val="13"/>
                <w:spacing w:val="2"/>
                <w:position w:val="-1"/>
              </w:rPr>
              <w:t>2</w:t>
            </w:r>
            <w:r>
              <w:rPr>
                <w:rFonts w:ascii="Times New Roman" w:hAnsi="Times New Roman" w:eastAsia="Times New Roman" w:cs="Times New Roman"/>
                <w:sz w:val="13"/>
                <w:szCs w:val="13"/>
                <w:spacing w:val="-11"/>
                <w:position w:val="-1"/>
              </w:rPr>
              <w:t xml:space="preserve"> </w:t>
            </w:r>
            <w:r>
              <w:rPr>
                <w:spacing w:val="2"/>
              </w:rPr>
              <w:t>、</w:t>
            </w:r>
            <w:r>
              <w:rPr>
                <w:rFonts w:ascii="Times New Roman" w:hAnsi="Times New Roman" w:eastAsia="Times New Roman" w:cs="Times New Roman"/>
              </w:rPr>
              <w:t>CO</w:t>
            </w:r>
            <w:r>
              <w:rPr>
                <w:rFonts w:ascii="Times New Roman" w:hAnsi="Times New Roman" w:eastAsia="Times New Roman" w:cs="Times New Roman"/>
                <w:spacing w:val="-27"/>
              </w:rPr>
              <w:t xml:space="preserve"> </w:t>
            </w:r>
            <w:r>
              <w:rPr>
                <w:spacing w:val="2"/>
              </w:rPr>
              <w:t>、</w:t>
            </w:r>
            <w:r>
              <w:rPr>
                <w:rFonts w:ascii="Times New Roman" w:hAnsi="Times New Roman" w:eastAsia="Times New Roman" w:cs="Times New Roman"/>
                <w:spacing w:val="2"/>
              </w:rPr>
              <w:t>O</w:t>
            </w:r>
            <w:r>
              <w:rPr>
                <w:rFonts w:ascii="Times New Roman" w:hAnsi="Times New Roman" w:eastAsia="Times New Roman" w:cs="Times New Roman"/>
                <w:sz w:val="13"/>
                <w:szCs w:val="13"/>
                <w:spacing w:val="2"/>
                <w:position w:val="-1"/>
              </w:rPr>
              <w:t>3</w:t>
            </w:r>
            <w:r>
              <w:rPr>
                <w:rFonts w:ascii="Times New Roman" w:hAnsi="Times New Roman" w:eastAsia="Times New Roman" w:cs="Times New Roman"/>
                <w:sz w:val="13"/>
                <w:szCs w:val="13"/>
                <w:spacing w:val="-11"/>
                <w:position w:val="-1"/>
              </w:rPr>
              <w:t xml:space="preserve"> </w:t>
            </w:r>
            <w:r>
              <w:rPr>
                <w:spacing w:val="2"/>
              </w:rPr>
              <w:t>、</w:t>
            </w:r>
            <w:r>
              <w:rPr>
                <w:rFonts w:ascii="Times New Roman" w:hAnsi="Times New Roman" w:eastAsia="Times New Roman" w:cs="Times New Roman"/>
              </w:rPr>
              <w:t>PM</w:t>
            </w:r>
            <w:r>
              <w:rPr>
                <w:rFonts w:ascii="Times New Roman" w:hAnsi="Times New Roman" w:eastAsia="Times New Roman" w:cs="Times New Roman"/>
                <w:sz w:val="13"/>
                <w:szCs w:val="13"/>
                <w:spacing w:val="2"/>
                <w:position w:val="-1"/>
              </w:rPr>
              <w:t>10</w:t>
            </w:r>
            <w:r>
              <w:rPr>
                <w:rFonts w:ascii="Times New Roman" w:hAnsi="Times New Roman" w:eastAsia="Times New Roman" w:cs="Times New Roman"/>
                <w:sz w:val="13"/>
                <w:szCs w:val="13"/>
                <w:spacing w:val="-11"/>
                <w:position w:val="-1"/>
              </w:rPr>
              <w:t xml:space="preserve"> </w:t>
            </w:r>
            <w:r>
              <w:rPr>
                <w:spacing w:val="2"/>
              </w:rPr>
              <w:t>、</w:t>
            </w:r>
            <w:r>
              <w:rPr>
                <w:rFonts w:ascii="Times New Roman" w:hAnsi="Times New Roman" w:eastAsia="Times New Roman" w:cs="Times New Roman"/>
              </w:rPr>
              <w:t>PM</w:t>
            </w:r>
            <w:r>
              <w:rPr>
                <w:rFonts w:ascii="Times New Roman" w:hAnsi="Times New Roman" w:eastAsia="Times New Roman" w:cs="Times New Roman"/>
                <w:sz w:val="13"/>
                <w:szCs w:val="13"/>
                <w:spacing w:val="2"/>
                <w:position w:val="-1"/>
              </w:rPr>
              <w:t>2.5</w:t>
            </w:r>
            <w:r>
              <w:rPr>
                <w:rFonts w:ascii="Times New Roman" w:hAnsi="Times New Roman" w:eastAsia="Times New Roman" w:cs="Times New Roman"/>
                <w:sz w:val="13"/>
                <w:szCs w:val="13"/>
                <w:spacing w:val="-11"/>
                <w:position w:val="-1"/>
              </w:rPr>
              <w:t xml:space="preserve"> </w:t>
            </w:r>
            <w:r>
              <w:rPr>
                <w:spacing w:val="2"/>
              </w:rPr>
              <w:t>、</w:t>
            </w:r>
            <w:r>
              <w:rPr>
                <w:rFonts w:ascii="Times New Roman" w:hAnsi="Times New Roman" w:eastAsia="Times New Roman" w:cs="Times New Roman"/>
              </w:rPr>
              <w:t>TSP</w:t>
            </w:r>
            <w:r>
              <w:rPr>
                <w:rFonts w:ascii="Times New Roman" w:hAnsi="Times New Roman" w:eastAsia="Times New Roman" w:cs="Times New Roman"/>
                <w:spacing w:val="-26"/>
              </w:rPr>
              <w:t xml:space="preserve"> </w:t>
            </w:r>
            <w:r>
              <w:rPr>
                <w:spacing w:val="2"/>
              </w:rPr>
              <w:t>、</w:t>
            </w:r>
            <w:r>
              <w:rPr>
                <w:rFonts w:ascii="Times New Roman" w:hAnsi="Times New Roman" w:eastAsia="Times New Roman" w:cs="Times New Roman"/>
                <w:spacing w:val="2"/>
              </w:rPr>
              <w:t>H</w:t>
            </w:r>
            <w:r>
              <w:rPr>
                <w:rFonts w:ascii="Times New Roman" w:hAnsi="Times New Roman" w:eastAsia="Times New Roman" w:cs="Times New Roman"/>
                <w:sz w:val="13"/>
                <w:szCs w:val="13"/>
                <w:spacing w:val="2"/>
                <w:position w:val="-1"/>
              </w:rPr>
              <w:t>2</w:t>
            </w:r>
            <w:r>
              <w:rPr>
                <w:rFonts w:ascii="Times New Roman" w:hAnsi="Times New Roman" w:eastAsia="Times New Roman" w:cs="Times New Roman"/>
                <w:spacing w:val="2"/>
              </w:rPr>
              <w:t>S</w:t>
            </w:r>
            <w:r>
              <w:rPr>
                <w:rFonts w:ascii="Times New Roman" w:hAnsi="Times New Roman" w:eastAsia="Times New Roman" w:cs="Times New Roman"/>
                <w:spacing w:val="-26"/>
              </w:rPr>
              <w:t xml:space="preserve"> </w:t>
            </w:r>
            <w:r>
              <w:rPr>
                <w:spacing w:val="2"/>
              </w:rPr>
              <w:t>、</w:t>
            </w:r>
            <w:r>
              <w:rPr>
                <w:rFonts w:ascii="Times New Roman" w:hAnsi="Times New Roman" w:eastAsia="Times New Roman" w:cs="Times New Roman"/>
              </w:rPr>
              <w:t>NH</w:t>
            </w:r>
            <w:r>
              <w:rPr>
                <w:rFonts w:ascii="Times New Roman" w:hAnsi="Times New Roman" w:eastAsia="Times New Roman" w:cs="Times New Roman"/>
                <w:sz w:val="13"/>
                <w:szCs w:val="13"/>
                <w:spacing w:val="2"/>
                <w:position w:val="-1"/>
              </w:rPr>
              <w:t>3</w:t>
            </w:r>
            <w:r>
              <w:rPr>
                <w:rFonts w:ascii="Times New Roman" w:hAnsi="Times New Roman" w:eastAsia="Times New Roman" w:cs="Times New Roman"/>
                <w:sz w:val="13"/>
                <w:szCs w:val="13"/>
                <w:spacing w:val="-9"/>
                <w:position w:val="-1"/>
              </w:rPr>
              <w:t xml:space="preserve"> </w:t>
            </w:r>
            <w:r>
              <w:rPr>
                <w:spacing w:val="2"/>
              </w:rPr>
              <w:t>、臭气浓度</w:t>
            </w:r>
          </w:p>
        </w:tc>
      </w:tr>
      <w:tr>
        <w:trPr>
          <w:trHeight w:val="278" w:hRule="atLeast"/>
        </w:trPr>
        <w:tc>
          <w:tcPr>
            <w:tcW w:w="1069" w:type="dxa"/>
            <w:vAlign w:val="top"/>
            <w:vMerge w:val="continue"/>
            <w:tcBorders>
              <w:top w:val="nil"/>
            </w:tcBorders>
          </w:tcPr>
          <w:p>
            <w:pPr>
              <w:rPr>
                <w:rFonts w:ascii="Arial"/>
                <w:sz w:val="21"/>
              </w:rPr>
            </w:pPr>
            <w:r/>
          </w:p>
        </w:tc>
        <w:tc>
          <w:tcPr>
            <w:tcW w:w="1106" w:type="dxa"/>
            <w:vAlign w:val="top"/>
          </w:tcPr>
          <w:p>
            <w:pPr>
              <w:pStyle w:val="TableText"/>
              <w:ind w:left="137"/>
              <w:spacing w:before="32" w:line="217" w:lineRule="auto"/>
              <w:rPr/>
            </w:pPr>
            <w:r>
              <w:rPr>
                <w:spacing w:val="7"/>
              </w:rPr>
              <w:t>影响预测</w:t>
            </w:r>
          </w:p>
        </w:tc>
        <w:tc>
          <w:tcPr>
            <w:tcW w:w="6344" w:type="dxa"/>
            <w:vAlign w:val="top"/>
          </w:tcPr>
          <w:p>
            <w:pPr>
              <w:pStyle w:val="TableText"/>
              <w:ind w:left="1207"/>
              <w:spacing w:before="32" w:line="217" w:lineRule="auto"/>
              <w:rPr>
                <w:rFonts w:ascii="Times New Roman" w:hAnsi="Times New Roman" w:eastAsia="Times New Roman" w:cs="Times New Roman"/>
                <w:sz w:val="13"/>
                <w:szCs w:val="13"/>
              </w:rPr>
            </w:pPr>
            <w:r>
              <w:rPr>
                <w:spacing w:val="6"/>
              </w:rPr>
              <w:t>颗粒物、</w:t>
            </w:r>
            <w:r>
              <w:rPr>
                <w:rFonts w:ascii="Times New Roman" w:hAnsi="Times New Roman" w:eastAsia="Times New Roman" w:cs="Times New Roman"/>
                <w:spacing w:val="6"/>
              </w:rPr>
              <w:t>H</w:t>
            </w:r>
            <w:r>
              <w:rPr>
                <w:rFonts w:ascii="Times New Roman" w:hAnsi="Times New Roman" w:eastAsia="Times New Roman" w:cs="Times New Roman"/>
                <w:sz w:val="13"/>
                <w:szCs w:val="13"/>
                <w:spacing w:val="6"/>
                <w:position w:val="-1"/>
              </w:rPr>
              <w:t>2</w:t>
            </w:r>
            <w:r>
              <w:rPr>
                <w:rFonts w:ascii="Times New Roman" w:hAnsi="Times New Roman" w:eastAsia="Times New Roman" w:cs="Times New Roman"/>
                <w:spacing w:val="6"/>
              </w:rPr>
              <w:t>S</w:t>
            </w:r>
            <w:r>
              <w:rPr>
                <w:rFonts w:ascii="Times New Roman" w:hAnsi="Times New Roman" w:eastAsia="Times New Roman" w:cs="Times New Roman"/>
                <w:spacing w:val="-18"/>
              </w:rPr>
              <w:t xml:space="preserve"> </w:t>
            </w:r>
            <w:r>
              <w:rPr>
                <w:spacing w:val="6"/>
              </w:rPr>
              <w:t>、</w:t>
            </w:r>
            <w:r>
              <w:rPr>
                <w:rFonts w:ascii="Times New Roman" w:hAnsi="Times New Roman" w:eastAsia="Times New Roman" w:cs="Times New Roman"/>
              </w:rPr>
              <w:t>NH</w:t>
            </w:r>
            <w:r>
              <w:rPr>
                <w:rFonts w:ascii="Times New Roman" w:hAnsi="Times New Roman" w:eastAsia="Times New Roman" w:cs="Times New Roman"/>
                <w:sz w:val="13"/>
                <w:szCs w:val="13"/>
                <w:spacing w:val="6"/>
                <w:position w:val="-1"/>
              </w:rPr>
              <w:t>3</w:t>
            </w:r>
            <w:r>
              <w:rPr>
                <w:rFonts w:ascii="Times New Roman" w:hAnsi="Times New Roman" w:eastAsia="Times New Roman" w:cs="Times New Roman"/>
                <w:sz w:val="13"/>
                <w:szCs w:val="13"/>
                <w:spacing w:val="-11"/>
                <w:position w:val="-1"/>
              </w:rPr>
              <w:t xml:space="preserve"> </w:t>
            </w:r>
            <w:r>
              <w:rPr>
                <w:spacing w:val="6"/>
              </w:rPr>
              <w:t>、臭气浓度、</w:t>
            </w:r>
            <w:r>
              <w:rPr>
                <w:rFonts w:ascii="Times New Roman" w:hAnsi="Times New Roman" w:eastAsia="Times New Roman" w:cs="Times New Roman"/>
              </w:rPr>
              <w:t>SO</w:t>
            </w:r>
            <w:r>
              <w:rPr>
                <w:rFonts w:ascii="Times New Roman" w:hAnsi="Times New Roman" w:eastAsia="Times New Roman" w:cs="Times New Roman"/>
                <w:sz w:val="13"/>
                <w:szCs w:val="13"/>
                <w:spacing w:val="6"/>
                <w:position w:val="-1"/>
              </w:rPr>
              <w:t>2</w:t>
            </w:r>
            <w:r>
              <w:rPr>
                <w:rFonts w:ascii="Times New Roman" w:hAnsi="Times New Roman" w:eastAsia="Times New Roman" w:cs="Times New Roman"/>
                <w:sz w:val="13"/>
                <w:szCs w:val="13"/>
                <w:spacing w:val="-11"/>
                <w:position w:val="-1"/>
              </w:rPr>
              <w:t xml:space="preserve"> </w:t>
            </w:r>
            <w:r>
              <w:rPr>
                <w:spacing w:val="6"/>
              </w:rPr>
              <w:t>、</w:t>
            </w:r>
            <w:r>
              <w:rPr>
                <w:rFonts w:ascii="Times New Roman" w:hAnsi="Times New Roman" w:eastAsia="Times New Roman" w:cs="Times New Roman"/>
              </w:rPr>
              <w:t>NO</w:t>
            </w:r>
            <w:r>
              <w:rPr>
                <w:rFonts w:ascii="Times New Roman" w:hAnsi="Times New Roman" w:eastAsia="Times New Roman" w:cs="Times New Roman"/>
                <w:sz w:val="13"/>
                <w:szCs w:val="13"/>
                <w:position w:val="-1"/>
              </w:rPr>
              <w:t>x</w:t>
            </w:r>
          </w:p>
        </w:tc>
      </w:tr>
      <w:tr>
        <w:trPr>
          <w:trHeight w:val="548" w:hRule="atLeast"/>
        </w:trPr>
        <w:tc>
          <w:tcPr>
            <w:tcW w:w="1069" w:type="dxa"/>
            <w:vAlign w:val="top"/>
          </w:tcPr>
          <w:p>
            <w:pPr>
              <w:pStyle w:val="TableText"/>
              <w:ind w:left="15"/>
              <w:spacing w:before="166" w:line="228" w:lineRule="auto"/>
              <w:rPr/>
            </w:pPr>
            <w:r>
              <w:rPr>
                <w:spacing w:val="8"/>
              </w:rPr>
              <w:t>地表水环境</w:t>
            </w:r>
          </w:p>
        </w:tc>
        <w:tc>
          <w:tcPr>
            <w:tcW w:w="1106" w:type="dxa"/>
            <w:vAlign w:val="top"/>
          </w:tcPr>
          <w:p>
            <w:pPr>
              <w:pStyle w:val="TableText"/>
              <w:ind w:left="33"/>
              <w:spacing w:before="167" w:line="226" w:lineRule="auto"/>
              <w:rPr/>
            </w:pPr>
            <w:r>
              <w:rPr>
                <w:spacing w:val="7"/>
              </w:rPr>
              <w:t>现状及评价</w:t>
            </w:r>
          </w:p>
        </w:tc>
        <w:tc>
          <w:tcPr>
            <w:tcW w:w="6344" w:type="dxa"/>
            <w:vAlign w:val="top"/>
          </w:tcPr>
          <w:p>
            <w:pPr>
              <w:pStyle w:val="TableText"/>
              <w:ind w:left="28"/>
              <w:spacing w:before="30" w:line="227" w:lineRule="auto"/>
              <w:rPr/>
            </w:pPr>
            <w:r>
              <w:rPr>
                <w:spacing w:val="9"/>
              </w:rPr>
              <w:t>不向外环境排放废水，分析厌氧发酵装置废水综合利用的可行性，分</w:t>
            </w:r>
          </w:p>
          <w:p>
            <w:pPr>
              <w:pStyle w:val="TableText"/>
              <w:ind w:left="1812"/>
              <w:spacing w:before="27" w:line="216" w:lineRule="auto"/>
              <w:rPr/>
            </w:pPr>
            <w:r>
              <w:rPr>
                <w:spacing w:val="8"/>
              </w:rPr>
              <w:t>析依托污水处理厂的可行性。</w:t>
            </w:r>
          </w:p>
        </w:tc>
      </w:tr>
      <w:tr>
        <w:trPr>
          <w:trHeight w:val="1366" w:hRule="atLeast"/>
        </w:trPr>
        <w:tc>
          <w:tcPr>
            <w:tcW w:w="1069" w:type="dxa"/>
            <w:vAlign w:val="top"/>
            <w:vMerge w:val="restart"/>
            <w:tcBorders>
              <w:bottom w:val="nil"/>
            </w:tcBorders>
          </w:tcPr>
          <w:p>
            <w:pPr>
              <w:spacing w:line="324" w:lineRule="auto"/>
              <w:rPr>
                <w:rFonts w:ascii="Arial"/>
                <w:sz w:val="21"/>
              </w:rPr>
            </w:pPr>
            <w:r/>
          </w:p>
          <w:p>
            <w:pPr>
              <w:spacing w:line="324" w:lineRule="auto"/>
              <w:rPr>
                <w:rFonts w:ascii="Arial"/>
                <w:sz w:val="21"/>
              </w:rPr>
            </w:pPr>
            <w:r/>
          </w:p>
          <w:p>
            <w:pPr>
              <w:pStyle w:val="TableText"/>
              <w:ind w:left="13"/>
              <w:spacing w:before="65" w:line="228" w:lineRule="auto"/>
              <w:rPr/>
            </w:pPr>
            <w:r>
              <w:rPr>
                <w:spacing w:val="8"/>
              </w:rPr>
              <w:t>地下水环境</w:t>
            </w:r>
          </w:p>
        </w:tc>
        <w:tc>
          <w:tcPr>
            <w:tcW w:w="1106" w:type="dxa"/>
            <w:vAlign w:val="top"/>
          </w:tcPr>
          <w:p>
            <w:pPr>
              <w:spacing w:line="254" w:lineRule="auto"/>
              <w:rPr>
                <w:rFonts w:ascii="Arial"/>
                <w:sz w:val="21"/>
              </w:rPr>
            </w:pPr>
            <w:r/>
          </w:p>
          <w:p>
            <w:pPr>
              <w:spacing w:line="254" w:lineRule="auto"/>
              <w:rPr>
                <w:rFonts w:ascii="Arial"/>
                <w:sz w:val="21"/>
              </w:rPr>
            </w:pPr>
            <w:r/>
          </w:p>
          <w:p>
            <w:pPr>
              <w:pStyle w:val="TableText"/>
              <w:ind w:left="139"/>
              <w:spacing w:before="65" w:line="226" w:lineRule="auto"/>
              <w:rPr/>
            </w:pPr>
            <w:r>
              <w:rPr>
                <w:spacing w:val="6"/>
              </w:rPr>
              <w:t>现状评价</w:t>
            </w:r>
          </w:p>
        </w:tc>
        <w:tc>
          <w:tcPr>
            <w:tcW w:w="6344" w:type="dxa"/>
            <w:vAlign w:val="top"/>
          </w:tcPr>
          <w:p>
            <w:pPr>
              <w:pStyle w:val="TableText"/>
              <w:ind w:left="10" w:hanging="5"/>
              <w:spacing w:before="34" w:line="244" w:lineRule="auto"/>
              <w:jc w:val="both"/>
              <w:rPr/>
            </w:pPr>
            <w:r>
              <w:rPr>
                <w:rFonts w:ascii="Times New Roman" w:hAnsi="Times New Roman" w:eastAsia="Times New Roman" w:cs="Times New Roman"/>
                <w:spacing w:val="2"/>
              </w:rPr>
              <w:t>K</w:t>
            </w:r>
            <w:r>
              <w:rPr>
                <w:rFonts w:ascii="Times New Roman" w:hAnsi="Times New Roman" w:eastAsia="Times New Roman" w:cs="Times New Roman"/>
                <w:sz w:val="13"/>
                <w:szCs w:val="13"/>
                <w:spacing w:val="2"/>
                <w:position w:val="6"/>
              </w:rPr>
              <w:t>+</w:t>
            </w:r>
            <w:r>
              <w:rPr>
                <w:rFonts w:ascii="Times New Roman" w:hAnsi="Times New Roman" w:eastAsia="Times New Roman" w:cs="Times New Roman"/>
                <w:sz w:val="13"/>
                <w:szCs w:val="13"/>
                <w:spacing w:val="-8"/>
                <w:position w:val="6"/>
              </w:rPr>
              <w:t xml:space="preserve"> </w:t>
            </w:r>
            <w:r>
              <w:rPr>
                <w:spacing w:val="2"/>
              </w:rPr>
              <w:t>、</w:t>
            </w:r>
            <w:r>
              <w:rPr>
                <w:rFonts w:ascii="Times New Roman" w:hAnsi="Times New Roman" w:eastAsia="Times New Roman" w:cs="Times New Roman"/>
              </w:rPr>
              <w:t>Na</w:t>
            </w:r>
            <w:r>
              <w:rPr>
                <w:rFonts w:ascii="Times New Roman" w:hAnsi="Times New Roman" w:eastAsia="Times New Roman" w:cs="Times New Roman"/>
                <w:sz w:val="13"/>
                <w:szCs w:val="13"/>
                <w:spacing w:val="2"/>
                <w:position w:val="6"/>
              </w:rPr>
              <w:t>+</w:t>
            </w:r>
            <w:r>
              <w:rPr>
                <w:rFonts w:ascii="Times New Roman" w:hAnsi="Times New Roman" w:eastAsia="Times New Roman" w:cs="Times New Roman"/>
                <w:sz w:val="13"/>
                <w:szCs w:val="13"/>
                <w:spacing w:val="-8"/>
                <w:position w:val="6"/>
              </w:rPr>
              <w:t xml:space="preserve"> </w:t>
            </w:r>
            <w:r>
              <w:rPr>
                <w:spacing w:val="2"/>
              </w:rPr>
              <w:t>、</w:t>
            </w:r>
            <w:r>
              <w:rPr>
                <w:rFonts w:ascii="Times New Roman" w:hAnsi="Times New Roman" w:eastAsia="Times New Roman" w:cs="Times New Roman"/>
              </w:rPr>
              <w:t>Ca</w:t>
            </w:r>
            <w:r>
              <w:rPr>
                <w:rFonts w:ascii="Times New Roman" w:hAnsi="Times New Roman" w:eastAsia="Times New Roman" w:cs="Times New Roman"/>
                <w:sz w:val="13"/>
                <w:szCs w:val="13"/>
                <w:spacing w:val="2"/>
                <w:position w:val="6"/>
              </w:rPr>
              <w:t>2+</w:t>
            </w:r>
            <w:r>
              <w:rPr>
                <w:rFonts w:ascii="Times New Roman" w:hAnsi="Times New Roman" w:eastAsia="Times New Roman" w:cs="Times New Roman"/>
                <w:sz w:val="13"/>
                <w:szCs w:val="13"/>
                <w:spacing w:val="-10"/>
                <w:position w:val="6"/>
              </w:rPr>
              <w:t xml:space="preserve"> </w:t>
            </w:r>
            <w:r>
              <w:rPr>
                <w:spacing w:val="2"/>
              </w:rPr>
              <w:t>、</w:t>
            </w:r>
            <w:r>
              <w:rPr>
                <w:rFonts w:ascii="Times New Roman" w:hAnsi="Times New Roman" w:eastAsia="Times New Roman" w:cs="Times New Roman"/>
              </w:rPr>
              <w:t>Mg</w:t>
            </w:r>
            <w:r>
              <w:rPr>
                <w:rFonts w:ascii="Times New Roman" w:hAnsi="Times New Roman" w:eastAsia="Times New Roman" w:cs="Times New Roman"/>
                <w:sz w:val="13"/>
                <w:szCs w:val="13"/>
                <w:spacing w:val="2"/>
                <w:position w:val="6"/>
              </w:rPr>
              <w:t>2+</w:t>
            </w:r>
            <w:r>
              <w:rPr>
                <w:rFonts w:ascii="Times New Roman" w:hAnsi="Times New Roman" w:eastAsia="Times New Roman" w:cs="Times New Roman"/>
                <w:sz w:val="13"/>
                <w:szCs w:val="13"/>
                <w:spacing w:val="-8"/>
                <w:position w:val="6"/>
              </w:rPr>
              <w:t xml:space="preserve"> </w:t>
            </w:r>
            <w:r>
              <w:rPr>
                <w:spacing w:val="2"/>
              </w:rPr>
              <w:t>、</w:t>
            </w:r>
            <w:r>
              <w:rPr>
                <w:rFonts w:ascii="Times New Roman" w:hAnsi="Times New Roman" w:eastAsia="Times New Roman" w:cs="Times New Roman"/>
              </w:rPr>
              <w:t>CO</w:t>
            </w: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13"/>
                <w:szCs w:val="13"/>
                <w:spacing w:val="2"/>
                <w:position w:val="6"/>
              </w:rPr>
              <w:t>2-</w:t>
            </w:r>
            <w:r>
              <w:rPr>
                <w:rFonts w:ascii="Times New Roman" w:hAnsi="Times New Roman" w:eastAsia="Times New Roman" w:cs="Times New Roman"/>
                <w:sz w:val="13"/>
                <w:szCs w:val="13"/>
                <w:spacing w:val="-10"/>
                <w:position w:val="6"/>
              </w:rPr>
              <w:t xml:space="preserve"> </w:t>
            </w:r>
            <w:r>
              <w:rPr>
                <w:spacing w:val="2"/>
              </w:rPr>
              <w:t>、</w:t>
            </w:r>
            <w:r>
              <w:rPr>
                <w:rFonts w:ascii="Times New Roman" w:hAnsi="Times New Roman" w:eastAsia="Times New Roman" w:cs="Times New Roman"/>
              </w:rPr>
              <w:t>HCO</w:t>
            </w:r>
            <w:r>
              <w:rPr>
                <w:rFonts w:ascii="Times New Roman" w:hAnsi="Times New Roman" w:eastAsia="Times New Roman" w:cs="Times New Roman"/>
                <w:sz w:val="13"/>
                <w:szCs w:val="13"/>
                <w:spacing w:val="2"/>
                <w:position w:val="-2"/>
              </w:rPr>
              <w:t>3</w:t>
            </w:r>
            <w:r>
              <w:rPr>
                <w:rFonts w:ascii="Times New Roman" w:hAnsi="Times New Roman" w:eastAsia="Times New Roman" w:cs="Times New Roman"/>
                <w:sz w:val="13"/>
                <w:szCs w:val="13"/>
                <w:spacing w:val="2"/>
                <w:position w:val="6"/>
              </w:rPr>
              <w:t>-</w:t>
            </w:r>
            <w:r>
              <w:rPr>
                <w:rFonts w:ascii="Times New Roman" w:hAnsi="Times New Roman" w:eastAsia="Times New Roman" w:cs="Times New Roman"/>
                <w:sz w:val="13"/>
                <w:szCs w:val="13"/>
                <w:spacing w:val="-8"/>
                <w:position w:val="6"/>
              </w:rPr>
              <w:t xml:space="preserve"> </w:t>
            </w:r>
            <w:r>
              <w:rPr>
                <w:spacing w:val="2"/>
              </w:rPr>
              <w:t>、</w:t>
            </w:r>
            <w:r>
              <w:rPr>
                <w:rFonts w:ascii="Times New Roman" w:hAnsi="Times New Roman" w:eastAsia="Times New Roman" w:cs="Times New Roman"/>
              </w:rPr>
              <w:t>Cl</w:t>
            </w:r>
            <w:r>
              <w:rPr>
                <w:rFonts w:ascii="Times New Roman" w:hAnsi="Times New Roman" w:eastAsia="Times New Roman" w:cs="Times New Roman"/>
                <w:sz w:val="13"/>
                <w:szCs w:val="13"/>
                <w:spacing w:val="2"/>
                <w:position w:val="6"/>
              </w:rPr>
              <w:t>-</w:t>
            </w:r>
            <w:r>
              <w:rPr>
                <w:rFonts w:ascii="Times New Roman" w:hAnsi="Times New Roman" w:eastAsia="Times New Roman" w:cs="Times New Roman"/>
                <w:sz w:val="13"/>
                <w:szCs w:val="13"/>
                <w:spacing w:val="-7"/>
                <w:position w:val="6"/>
              </w:rPr>
              <w:t xml:space="preserve"> </w:t>
            </w:r>
            <w:r>
              <w:rPr>
                <w:spacing w:val="2"/>
              </w:rPr>
              <w:t>、</w:t>
            </w:r>
            <w:r>
              <w:rPr>
                <w:rFonts w:ascii="Times New Roman" w:hAnsi="Times New Roman" w:eastAsia="Times New Roman" w:cs="Times New Roman"/>
              </w:rPr>
              <w:t>SO</w:t>
            </w:r>
            <w:r>
              <w:rPr>
                <w:rFonts w:ascii="Times New Roman" w:hAnsi="Times New Roman" w:eastAsia="Times New Roman" w:cs="Times New Roman"/>
                <w:sz w:val="13"/>
                <w:szCs w:val="13"/>
                <w:spacing w:val="2"/>
                <w:position w:val="-2"/>
              </w:rPr>
              <w:t>4</w:t>
            </w:r>
            <w:r>
              <w:rPr>
                <w:rFonts w:ascii="Times New Roman" w:hAnsi="Times New Roman" w:eastAsia="Times New Roman" w:cs="Times New Roman"/>
                <w:sz w:val="13"/>
                <w:szCs w:val="13"/>
                <w:spacing w:val="2"/>
                <w:position w:val="6"/>
              </w:rPr>
              <w:t>2-</w:t>
            </w:r>
            <w:r>
              <w:rPr>
                <w:rFonts w:ascii="Times New Roman" w:hAnsi="Times New Roman" w:eastAsia="Times New Roman" w:cs="Times New Roman"/>
                <w:sz w:val="13"/>
                <w:szCs w:val="13"/>
                <w:spacing w:val="-7"/>
                <w:position w:val="6"/>
              </w:rPr>
              <w:t xml:space="preserve"> </w:t>
            </w:r>
            <w:r>
              <w:rPr>
                <w:spacing w:val="2"/>
              </w:rPr>
              <w:t>；</w:t>
            </w:r>
            <w:r>
              <w:rPr>
                <w:rFonts w:ascii="Times New Roman" w:hAnsi="Times New Roman" w:eastAsia="Times New Roman" w:cs="Times New Roman"/>
              </w:rPr>
              <w:t>pH</w:t>
            </w:r>
            <w:r>
              <w:rPr>
                <w:rFonts w:ascii="Times New Roman" w:hAnsi="Times New Roman" w:eastAsia="Times New Roman" w:cs="Times New Roman"/>
                <w:spacing w:val="-27"/>
              </w:rPr>
              <w:t xml:space="preserve"> </w:t>
            </w:r>
            <w:r>
              <w:rPr>
                <w:spacing w:val="1"/>
              </w:rPr>
              <w:t>、总硬度、硝</w:t>
            </w:r>
            <w:r>
              <w:rPr/>
              <w:t xml:space="preserve"> </w:t>
            </w:r>
            <w:r>
              <w:rPr>
                <w:spacing w:val="8"/>
              </w:rPr>
              <w:t>酸盐氮、亚硝酸盐氮、氨氮、耗氧量、硫酸盐、氯化物、氟化物、氰</w:t>
            </w:r>
            <w:r>
              <w:rPr>
                <w:spacing w:val="16"/>
              </w:rPr>
              <w:t xml:space="preserve"> </w:t>
            </w:r>
            <w:r>
              <w:rPr>
                <w:spacing w:val="8"/>
              </w:rPr>
              <w:t>化物、溶解性总固体、挥发性酚类、铬（六价）、总大肠菌群、菌落</w:t>
            </w:r>
            <w:r>
              <w:rPr>
                <w:spacing w:val="16"/>
              </w:rPr>
              <w:t xml:space="preserve"> </w:t>
            </w:r>
            <w:r>
              <w:rPr>
                <w:spacing w:val="4"/>
              </w:rPr>
              <w:t>总数、砷、汞、铅、铁、锰、镉、硒、铝、铜、锌、碘化物、硫化物、</w:t>
            </w:r>
            <w:r>
              <w:rPr>
                <w:spacing w:val="2"/>
              </w:rPr>
              <w:t xml:space="preserve"> </w:t>
            </w:r>
            <w:r>
              <w:rPr>
                <w:spacing w:val="7"/>
              </w:rPr>
              <w:t>阴离子表面活性剂、苯、甲苯、三氯甲烷、四氯化碳、石油类等。</w:t>
            </w:r>
          </w:p>
        </w:tc>
      </w:tr>
      <w:tr>
        <w:trPr>
          <w:trHeight w:val="277" w:hRule="atLeast"/>
        </w:trPr>
        <w:tc>
          <w:tcPr>
            <w:tcW w:w="1069" w:type="dxa"/>
            <w:vAlign w:val="top"/>
            <w:vMerge w:val="continue"/>
            <w:tcBorders>
              <w:top w:val="nil"/>
            </w:tcBorders>
          </w:tcPr>
          <w:p>
            <w:pPr>
              <w:rPr>
                <w:rFonts w:ascii="Arial"/>
                <w:sz w:val="21"/>
              </w:rPr>
            </w:pPr>
            <w:r/>
          </w:p>
        </w:tc>
        <w:tc>
          <w:tcPr>
            <w:tcW w:w="1106" w:type="dxa"/>
            <w:vAlign w:val="top"/>
          </w:tcPr>
          <w:p>
            <w:pPr>
              <w:pStyle w:val="TableText"/>
              <w:ind w:left="137"/>
              <w:spacing w:before="33" w:line="216" w:lineRule="auto"/>
              <w:rPr/>
            </w:pPr>
            <w:r>
              <w:rPr>
                <w:spacing w:val="7"/>
              </w:rPr>
              <w:t>影响预测</w:t>
            </w:r>
          </w:p>
        </w:tc>
        <w:tc>
          <w:tcPr>
            <w:tcW w:w="6344" w:type="dxa"/>
            <w:vAlign w:val="top"/>
          </w:tcPr>
          <w:p>
            <w:pPr>
              <w:pStyle w:val="TableText"/>
              <w:ind w:left="2600"/>
              <w:spacing w:before="33" w:line="216" w:lineRule="auto"/>
              <w:rPr/>
            </w:pPr>
            <w:r>
              <w:rPr>
                <w:rFonts w:ascii="Times New Roman" w:hAnsi="Times New Roman" w:eastAsia="Times New Roman" w:cs="Times New Roman"/>
              </w:rPr>
              <w:t>BOD</w:t>
            </w:r>
            <w:r>
              <w:rPr>
                <w:rFonts w:ascii="Times New Roman" w:hAnsi="Times New Roman" w:eastAsia="Times New Roman" w:cs="Times New Roman"/>
                <w:sz w:val="13"/>
                <w:szCs w:val="13"/>
                <w:spacing w:val="6"/>
                <w:position w:val="-1"/>
              </w:rPr>
              <w:t>5</w:t>
            </w:r>
            <w:r>
              <w:rPr>
                <w:rFonts w:ascii="Times New Roman" w:hAnsi="Times New Roman" w:eastAsia="Times New Roman" w:cs="Times New Roman"/>
                <w:sz w:val="13"/>
                <w:szCs w:val="13"/>
                <w:spacing w:val="-9"/>
                <w:position w:val="-1"/>
              </w:rPr>
              <w:t xml:space="preserve"> </w:t>
            </w:r>
            <w:r>
              <w:rPr>
                <w:spacing w:val="6"/>
              </w:rPr>
              <w:t>、氨氮</w:t>
            </w:r>
          </w:p>
        </w:tc>
      </w:tr>
      <w:tr>
        <w:trPr>
          <w:trHeight w:val="278" w:hRule="atLeast"/>
        </w:trPr>
        <w:tc>
          <w:tcPr>
            <w:tcW w:w="1069" w:type="dxa"/>
            <w:vAlign w:val="top"/>
          </w:tcPr>
          <w:p>
            <w:pPr>
              <w:pStyle w:val="TableText"/>
              <w:ind w:left="228"/>
              <w:spacing w:before="35" w:line="215" w:lineRule="auto"/>
              <w:rPr/>
            </w:pPr>
            <w:r>
              <w:rPr>
                <w:spacing w:val="5"/>
              </w:rPr>
              <w:t>声环境</w:t>
            </w:r>
          </w:p>
        </w:tc>
        <w:tc>
          <w:tcPr>
            <w:tcW w:w="1106" w:type="dxa"/>
            <w:vAlign w:val="top"/>
          </w:tcPr>
          <w:p>
            <w:pPr>
              <w:pStyle w:val="TableText"/>
              <w:ind w:left="33"/>
              <w:spacing w:before="35" w:line="215" w:lineRule="auto"/>
              <w:rPr/>
            </w:pPr>
            <w:r>
              <w:rPr>
                <w:spacing w:val="7"/>
              </w:rPr>
              <w:t>现状及预测</w:t>
            </w:r>
          </w:p>
        </w:tc>
        <w:tc>
          <w:tcPr>
            <w:tcW w:w="6344" w:type="dxa"/>
            <w:vAlign w:val="top"/>
          </w:tcPr>
          <w:p>
            <w:pPr>
              <w:pStyle w:val="TableText"/>
              <w:ind w:left="2155"/>
              <w:spacing w:before="35" w:line="215" w:lineRule="auto"/>
              <w:rPr>
                <w:rFonts w:ascii="Times New Roman" w:hAnsi="Times New Roman" w:eastAsia="Times New Roman" w:cs="Times New Roman"/>
              </w:rPr>
            </w:pPr>
            <w:r>
              <w:rPr>
                <w:spacing w:val="7"/>
              </w:rPr>
              <w:t>等效连续</w:t>
            </w:r>
            <w:r>
              <w:rPr>
                <w:spacing w:val="-41"/>
              </w:rPr>
              <w:t xml:space="preserve"> </w:t>
            </w:r>
            <w:r>
              <w:rPr>
                <w:rFonts w:ascii="Times New Roman" w:hAnsi="Times New Roman" w:eastAsia="Times New Roman" w:cs="Times New Roman"/>
                <w:spacing w:val="7"/>
              </w:rPr>
              <w:t>A</w:t>
            </w:r>
            <w:r>
              <w:rPr>
                <w:rFonts w:ascii="Times New Roman" w:hAnsi="Times New Roman" w:eastAsia="Times New Roman" w:cs="Times New Roman"/>
                <w:spacing w:val="15"/>
                <w:w w:val="101"/>
              </w:rPr>
              <w:t xml:space="preserve"> </w:t>
            </w:r>
            <w:r>
              <w:rPr>
                <w:spacing w:val="7"/>
              </w:rPr>
              <w:t>声级</w:t>
            </w:r>
            <w:r>
              <w:rPr>
                <w:spacing w:val="-41"/>
              </w:rPr>
              <w:t xml:space="preserve"> </w:t>
            </w:r>
            <w:r>
              <w:rPr>
                <w:rFonts w:ascii="Times New Roman" w:hAnsi="Times New Roman" w:eastAsia="Times New Roman" w:cs="Times New Roman"/>
              </w:rPr>
              <w:t>LAeq</w:t>
            </w:r>
          </w:p>
        </w:tc>
      </w:tr>
      <w:tr>
        <w:trPr>
          <w:trHeight w:val="2181" w:hRule="atLeast"/>
        </w:trPr>
        <w:tc>
          <w:tcPr>
            <w:tcW w:w="1069" w:type="dxa"/>
            <w:vAlign w:val="top"/>
            <w:vMerge w:val="restart"/>
            <w:tcBorders>
              <w:bottom w:val="nil"/>
            </w:tcBorders>
          </w:tcPr>
          <w:p>
            <w:pPr>
              <w:spacing w:line="263"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pStyle w:val="TableText"/>
              <w:ind w:left="119"/>
              <w:spacing w:before="65" w:line="228" w:lineRule="auto"/>
              <w:rPr/>
            </w:pPr>
            <w:r>
              <w:rPr>
                <w:spacing w:val="7"/>
              </w:rPr>
              <w:t>土壤环境</w:t>
            </w:r>
          </w:p>
        </w:tc>
        <w:tc>
          <w:tcPr>
            <w:tcW w:w="1106" w:type="dxa"/>
            <w:vAlign w:val="top"/>
          </w:tcPr>
          <w:p>
            <w:pPr>
              <w:spacing w:line="304" w:lineRule="auto"/>
              <w:rPr>
                <w:rFonts w:ascii="Arial"/>
                <w:sz w:val="21"/>
              </w:rPr>
            </w:pPr>
            <w:r/>
          </w:p>
          <w:p>
            <w:pPr>
              <w:spacing w:line="305" w:lineRule="auto"/>
              <w:rPr>
                <w:rFonts w:ascii="Arial"/>
                <w:sz w:val="21"/>
              </w:rPr>
            </w:pPr>
            <w:r/>
          </w:p>
          <w:p>
            <w:pPr>
              <w:spacing w:line="305" w:lineRule="auto"/>
              <w:rPr>
                <w:rFonts w:ascii="Arial"/>
                <w:sz w:val="21"/>
              </w:rPr>
            </w:pPr>
            <w:r/>
          </w:p>
          <w:p>
            <w:pPr>
              <w:pStyle w:val="TableText"/>
              <w:ind w:left="139"/>
              <w:spacing w:before="65" w:line="226" w:lineRule="auto"/>
              <w:rPr/>
            </w:pPr>
            <w:r>
              <w:rPr>
                <w:spacing w:val="6"/>
              </w:rPr>
              <w:t>现状评价</w:t>
            </w:r>
          </w:p>
        </w:tc>
        <w:tc>
          <w:tcPr>
            <w:tcW w:w="6344" w:type="dxa"/>
            <w:vAlign w:val="top"/>
          </w:tcPr>
          <w:p>
            <w:pPr>
              <w:pStyle w:val="TableText"/>
              <w:ind w:left="13" w:right="5" w:hanging="5"/>
              <w:spacing w:before="33" w:line="249" w:lineRule="auto"/>
              <w:rPr/>
            </w:pPr>
            <w:r>
              <w:rPr>
                <w:rFonts w:ascii="Times New Roman" w:hAnsi="Times New Roman" w:eastAsia="Times New Roman" w:cs="Times New Roman"/>
                <w:spacing w:val="6"/>
              </w:rPr>
              <w:t>T</w:t>
            </w:r>
            <w:r>
              <w:rPr>
                <w:rFonts w:ascii="Times New Roman" w:hAnsi="Times New Roman" w:eastAsia="Times New Roman" w:cs="Times New Roman"/>
                <w:sz w:val="13"/>
                <w:szCs w:val="13"/>
                <w:spacing w:val="6"/>
                <w:position w:val="-1"/>
              </w:rPr>
              <w:t>1</w:t>
            </w:r>
            <w:r>
              <w:rPr>
                <w:rFonts w:ascii="Times New Roman" w:hAnsi="Times New Roman" w:eastAsia="Times New Roman" w:cs="Times New Roman"/>
                <w:sz w:val="13"/>
                <w:szCs w:val="13"/>
                <w:spacing w:val="-6"/>
                <w:position w:val="-1"/>
              </w:rPr>
              <w:t xml:space="preserve"> </w:t>
            </w:r>
            <w:r>
              <w:rPr>
                <w:spacing w:val="6"/>
              </w:rPr>
              <w:t>、</w:t>
            </w:r>
            <w:r>
              <w:rPr>
                <w:rFonts w:ascii="Times New Roman" w:hAnsi="Times New Roman" w:eastAsia="Times New Roman" w:cs="Times New Roman"/>
                <w:spacing w:val="6"/>
              </w:rPr>
              <w:t>T</w:t>
            </w:r>
            <w:r>
              <w:rPr>
                <w:rFonts w:ascii="Times New Roman" w:hAnsi="Times New Roman" w:eastAsia="Times New Roman" w:cs="Times New Roman"/>
                <w:sz w:val="13"/>
                <w:szCs w:val="13"/>
                <w:spacing w:val="6"/>
                <w:position w:val="-1"/>
              </w:rPr>
              <w:t>5</w:t>
            </w:r>
            <w:r>
              <w:rPr>
                <w:rFonts w:ascii="Times New Roman" w:hAnsi="Times New Roman" w:eastAsia="Times New Roman" w:cs="Times New Roman"/>
                <w:sz w:val="13"/>
                <w:szCs w:val="13"/>
                <w:spacing w:val="-5"/>
                <w:position w:val="-1"/>
              </w:rPr>
              <w:t xml:space="preserve"> </w:t>
            </w:r>
            <w:r>
              <w:rPr>
                <w:spacing w:val="6"/>
              </w:rPr>
              <w:t>：</w:t>
            </w:r>
            <w:r>
              <w:rPr>
                <w:rFonts w:ascii="Times New Roman" w:hAnsi="Times New Roman" w:eastAsia="Times New Roman" w:cs="Times New Roman"/>
              </w:rPr>
              <w:t>GB</w:t>
            </w:r>
            <w:r>
              <w:rPr>
                <w:rFonts w:ascii="Times New Roman" w:hAnsi="Times New Roman" w:eastAsia="Times New Roman" w:cs="Times New Roman"/>
                <w:spacing w:val="6"/>
              </w:rPr>
              <w:t>36600-2018</w:t>
            </w:r>
            <w:r>
              <w:rPr>
                <w:rFonts w:ascii="Times New Roman" w:hAnsi="Times New Roman" w:eastAsia="Times New Roman" w:cs="Times New Roman"/>
                <w:spacing w:val="34"/>
              </w:rPr>
              <w:t xml:space="preserve"> </w:t>
            </w:r>
            <w:r>
              <w:rPr>
                <w:spacing w:val="6"/>
              </w:rPr>
              <w:t>中表</w:t>
            </w:r>
            <w:r>
              <w:rPr>
                <w:spacing w:val="-21"/>
              </w:rPr>
              <w:t xml:space="preserve"> </w:t>
            </w:r>
            <w:r>
              <w:rPr>
                <w:rFonts w:ascii="Times New Roman" w:hAnsi="Times New Roman" w:eastAsia="Times New Roman" w:cs="Times New Roman"/>
                <w:spacing w:val="6"/>
              </w:rPr>
              <w:t>1 </w:t>
            </w:r>
            <w:r>
              <w:rPr>
                <w:spacing w:val="6"/>
              </w:rPr>
              <w:t>全</w:t>
            </w:r>
            <w:r>
              <w:rPr>
                <w:spacing w:val="-39"/>
              </w:rPr>
              <w:t xml:space="preserve"> </w:t>
            </w:r>
            <w:r>
              <w:rPr>
                <w:rFonts w:ascii="Times New Roman" w:hAnsi="Times New Roman" w:eastAsia="Times New Roman" w:cs="Times New Roman"/>
                <w:spacing w:val="6"/>
              </w:rPr>
              <w:t>45</w:t>
            </w:r>
            <w:r>
              <w:rPr>
                <w:rFonts w:ascii="Times New Roman" w:hAnsi="Times New Roman" w:eastAsia="Times New Roman" w:cs="Times New Roman"/>
                <w:spacing w:val="18"/>
              </w:rPr>
              <w:t xml:space="preserve"> </w:t>
            </w:r>
            <w:r>
              <w:rPr>
                <w:spacing w:val="6"/>
              </w:rPr>
              <w:t>项</w:t>
            </w:r>
            <w:r>
              <w:rPr>
                <w:spacing w:val="5"/>
              </w:rPr>
              <w:t>（包含重金属和无机物、半挥</w:t>
            </w:r>
            <w:r>
              <w:rPr/>
              <w:t xml:space="preserve"> </w:t>
            </w:r>
            <w:r>
              <w:rPr>
                <w:spacing w:val="5"/>
              </w:rPr>
              <w:t>发性有机物、挥发性有机物）、表</w:t>
            </w:r>
            <w:r>
              <w:rPr>
                <w:spacing w:val="-43"/>
              </w:rPr>
              <w:t xml:space="preserve"> </w:t>
            </w:r>
            <w:r>
              <w:rPr>
                <w:rFonts w:ascii="Times New Roman" w:hAnsi="Times New Roman" w:eastAsia="Times New Roman" w:cs="Times New Roman"/>
                <w:spacing w:val="5"/>
              </w:rPr>
              <w:t>2 </w:t>
            </w:r>
            <w:r>
              <w:rPr>
                <w:spacing w:val="5"/>
              </w:rPr>
              <w:t>石油烃（</w:t>
            </w:r>
            <w:r>
              <w:rPr>
                <w:rFonts w:ascii="Times New Roman" w:hAnsi="Times New Roman" w:eastAsia="Times New Roman" w:cs="Times New Roman"/>
                <w:spacing w:val="5"/>
              </w:rPr>
              <w:t>C</w:t>
            </w:r>
            <w:r>
              <w:rPr>
                <w:rFonts w:ascii="Times New Roman" w:hAnsi="Times New Roman" w:eastAsia="Times New Roman" w:cs="Times New Roman"/>
                <w:sz w:val="13"/>
                <w:szCs w:val="13"/>
                <w:spacing w:val="5"/>
              </w:rPr>
              <w:t>10</w:t>
            </w:r>
            <w:r>
              <w:rPr>
                <w:rFonts w:ascii="Times New Roman" w:hAnsi="Times New Roman" w:eastAsia="Times New Roman" w:cs="Times New Roman"/>
                <w:spacing w:val="5"/>
              </w:rPr>
              <w:t>-C</w:t>
            </w:r>
            <w:r>
              <w:rPr>
                <w:rFonts w:ascii="Times New Roman" w:hAnsi="Times New Roman" w:eastAsia="Times New Roman" w:cs="Times New Roman"/>
                <w:sz w:val="13"/>
                <w:szCs w:val="13"/>
                <w:spacing w:val="5"/>
                <w:position w:val="-1"/>
              </w:rPr>
              <w:t>4</w:t>
            </w:r>
            <w:r>
              <w:rPr>
                <w:rFonts w:ascii="Times New Roman" w:hAnsi="Times New Roman" w:eastAsia="Times New Roman" w:cs="Times New Roman"/>
                <w:sz w:val="13"/>
                <w:szCs w:val="13"/>
                <w:spacing w:val="4"/>
                <w:position w:val="-1"/>
              </w:rPr>
              <w:t>0 </w:t>
            </w:r>
            <w:r>
              <w:rPr>
                <w:spacing w:val="2"/>
              </w:rPr>
              <w:t>），</w:t>
            </w:r>
            <w:r>
              <w:rPr>
                <w:spacing w:val="4"/>
              </w:rPr>
              <w:t>以及</w:t>
            </w:r>
            <w:r>
              <w:rPr>
                <w:spacing w:val="-45"/>
              </w:rPr>
              <w:t xml:space="preserve"> </w:t>
            </w:r>
            <w:r>
              <w:rPr>
                <w:rFonts w:ascii="Times New Roman" w:hAnsi="Times New Roman" w:eastAsia="Times New Roman" w:cs="Times New Roman"/>
              </w:rPr>
              <w:t>pH</w:t>
            </w:r>
            <w:r>
              <w:rPr>
                <w:rFonts w:ascii="Times New Roman" w:hAnsi="Times New Roman" w:eastAsia="Times New Roman" w:cs="Times New Roman"/>
                <w:spacing w:val="-27"/>
              </w:rPr>
              <w:t xml:space="preserve"> </w:t>
            </w:r>
            <w:r>
              <w:rPr>
                <w:spacing w:val="4"/>
              </w:rPr>
              <w:t>、阳</w:t>
            </w:r>
            <w:r>
              <w:rPr/>
              <w:t xml:space="preserve"> </w:t>
            </w:r>
            <w:r>
              <w:rPr>
                <w:spacing w:val="9"/>
              </w:rPr>
              <w:t>离子交换量、氧化还原电位、渗透率、土壤容重、总孔隙度。</w:t>
            </w:r>
          </w:p>
          <w:p>
            <w:pPr>
              <w:pStyle w:val="TableText"/>
              <w:ind w:left="9" w:hanging="1"/>
              <w:spacing w:before="7" w:line="249" w:lineRule="auto"/>
              <w:rPr/>
            </w:pPr>
            <w:r>
              <w:rPr>
                <w:rFonts w:ascii="Times New Roman" w:hAnsi="Times New Roman" w:eastAsia="Times New Roman" w:cs="Times New Roman"/>
                <w:spacing w:val="-1"/>
              </w:rPr>
              <w:t>T</w:t>
            </w:r>
            <w:r>
              <w:rPr>
                <w:rFonts w:ascii="Times New Roman" w:hAnsi="Times New Roman" w:eastAsia="Times New Roman" w:cs="Times New Roman"/>
                <w:sz w:val="13"/>
                <w:szCs w:val="13"/>
                <w:spacing w:val="-1"/>
                <w:position w:val="-1"/>
              </w:rPr>
              <w:t>2</w:t>
            </w:r>
            <w:r>
              <w:rPr>
                <w:rFonts w:ascii="Times New Roman" w:hAnsi="Times New Roman" w:eastAsia="Times New Roman" w:cs="Times New Roman"/>
                <w:spacing w:val="-1"/>
              </w:rPr>
              <w:t>~T</w:t>
            </w:r>
            <w:r>
              <w:rPr>
                <w:rFonts w:ascii="Times New Roman" w:hAnsi="Times New Roman" w:eastAsia="Times New Roman" w:cs="Times New Roman"/>
                <w:sz w:val="13"/>
                <w:szCs w:val="13"/>
                <w:spacing w:val="-1"/>
                <w:position w:val="-1"/>
              </w:rPr>
              <w:t>4</w:t>
            </w:r>
            <w:r>
              <w:rPr>
                <w:spacing w:val="-1"/>
              </w:rPr>
              <w:t>、</w:t>
            </w:r>
            <w:r>
              <w:rPr>
                <w:rFonts w:ascii="Times New Roman" w:hAnsi="Times New Roman" w:eastAsia="Times New Roman" w:cs="Times New Roman"/>
                <w:spacing w:val="-1"/>
              </w:rPr>
              <w:t>T</w:t>
            </w:r>
            <w:r>
              <w:rPr>
                <w:rFonts w:ascii="Times New Roman" w:hAnsi="Times New Roman" w:eastAsia="Times New Roman" w:cs="Times New Roman"/>
                <w:sz w:val="13"/>
                <w:szCs w:val="13"/>
                <w:spacing w:val="-1"/>
                <w:position w:val="-1"/>
              </w:rPr>
              <w:t>6</w:t>
            </w:r>
            <w:r>
              <w:rPr>
                <w:rFonts w:ascii="Times New Roman" w:hAnsi="Times New Roman" w:eastAsia="Times New Roman" w:cs="Times New Roman"/>
                <w:spacing w:val="-1"/>
              </w:rPr>
              <w:t>~T</w:t>
            </w:r>
            <w:r>
              <w:rPr>
                <w:rFonts w:ascii="Times New Roman" w:hAnsi="Times New Roman" w:eastAsia="Times New Roman" w:cs="Times New Roman"/>
                <w:sz w:val="13"/>
                <w:szCs w:val="13"/>
                <w:spacing w:val="-1"/>
                <w:position w:val="-1"/>
              </w:rPr>
              <w:t>8</w:t>
            </w:r>
            <w:r>
              <w:rPr>
                <w:spacing w:val="-13"/>
              </w:rPr>
              <w:t>：砷、镉、铬（六价）、铜、铅、汞、镍、石油烃（</w:t>
            </w:r>
            <w:r>
              <w:rPr>
                <w:rFonts w:ascii="Times New Roman" w:hAnsi="Times New Roman" w:eastAsia="Times New Roman" w:cs="Times New Roman"/>
                <w:spacing w:val="-13"/>
              </w:rPr>
              <w:t>C</w:t>
            </w:r>
            <w:r>
              <w:rPr>
                <w:rFonts w:ascii="Times New Roman" w:hAnsi="Times New Roman" w:eastAsia="Times New Roman" w:cs="Times New Roman"/>
                <w:sz w:val="13"/>
                <w:szCs w:val="13"/>
                <w:spacing w:val="5"/>
              </w:rPr>
              <w:t>10</w:t>
            </w:r>
            <w:r>
              <w:rPr>
                <w:rFonts w:ascii="Times New Roman" w:hAnsi="Times New Roman" w:eastAsia="Times New Roman" w:cs="Times New Roman"/>
                <w:spacing w:val="5"/>
              </w:rPr>
              <w:t>-C</w:t>
            </w:r>
            <w:r>
              <w:rPr>
                <w:rFonts w:ascii="Times New Roman" w:hAnsi="Times New Roman" w:eastAsia="Times New Roman" w:cs="Times New Roman"/>
                <w:sz w:val="13"/>
                <w:szCs w:val="13"/>
                <w:spacing w:val="5"/>
                <w:position w:val="-1"/>
              </w:rPr>
              <w:t>40</w:t>
            </w:r>
            <w:r>
              <w:rPr>
                <w:spacing w:val="-47"/>
                <w:w w:val="89"/>
              </w:rPr>
              <w:t>），</w:t>
            </w:r>
            <w:r>
              <w:rPr>
                <w:spacing w:val="1"/>
              </w:rPr>
              <w:t xml:space="preserve"> </w:t>
            </w:r>
            <w:r>
              <w:rPr>
                <w:spacing w:val="5"/>
              </w:rPr>
              <w:t>以及</w:t>
            </w:r>
            <w:r>
              <w:rPr>
                <w:spacing w:val="-36"/>
              </w:rPr>
              <w:t xml:space="preserve"> </w:t>
            </w:r>
            <w:r>
              <w:rPr>
                <w:rFonts w:ascii="Times New Roman" w:hAnsi="Times New Roman" w:eastAsia="Times New Roman" w:cs="Times New Roman"/>
              </w:rPr>
              <w:t>pH</w:t>
            </w:r>
            <w:r>
              <w:rPr>
                <w:rFonts w:ascii="Times New Roman" w:hAnsi="Times New Roman" w:eastAsia="Times New Roman" w:cs="Times New Roman"/>
                <w:spacing w:val="-27"/>
              </w:rPr>
              <w:t xml:space="preserve"> </w:t>
            </w:r>
            <w:r>
              <w:rPr>
                <w:spacing w:val="5"/>
              </w:rPr>
              <w:t>、阳离子交换量、氧化还原电位、渗透率、土壤容重、总孔隙</w:t>
            </w:r>
            <w:r>
              <w:rPr/>
              <w:t xml:space="preserve"> </w:t>
            </w:r>
            <w:r>
              <w:rPr/>
              <w:t>度。</w:t>
            </w:r>
          </w:p>
          <w:p>
            <w:pPr>
              <w:pStyle w:val="TableText"/>
              <w:ind w:left="9" w:hanging="1"/>
              <w:spacing w:before="7" w:line="233" w:lineRule="auto"/>
              <w:rPr/>
            </w:pPr>
            <w:r>
              <w:rPr>
                <w:rFonts w:ascii="Times New Roman" w:hAnsi="Times New Roman" w:eastAsia="Times New Roman" w:cs="Times New Roman"/>
                <w:spacing w:val="6"/>
              </w:rPr>
              <w:t>T</w:t>
            </w:r>
            <w:r>
              <w:rPr>
                <w:rFonts w:ascii="Times New Roman" w:hAnsi="Times New Roman" w:eastAsia="Times New Roman" w:cs="Times New Roman"/>
                <w:sz w:val="13"/>
                <w:szCs w:val="13"/>
                <w:spacing w:val="6"/>
                <w:position w:val="-1"/>
              </w:rPr>
              <w:t>9</w:t>
            </w:r>
            <w:r>
              <w:rPr>
                <w:rFonts w:ascii="Times New Roman" w:hAnsi="Times New Roman" w:eastAsia="Times New Roman" w:cs="Times New Roman"/>
                <w:spacing w:val="6"/>
              </w:rPr>
              <w:t>~T</w:t>
            </w:r>
            <w:r>
              <w:rPr>
                <w:rFonts w:ascii="Times New Roman" w:hAnsi="Times New Roman" w:eastAsia="Times New Roman" w:cs="Times New Roman"/>
                <w:sz w:val="13"/>
                <w:szCs w:val="13"/>
                <w:spacing w:val="6"/>
                <w:position w:val="-1"/>
              </w:rPr>
              <w:t>11 </w:t>
            </w:r>
            <w:r>
              <w:rPr>
                <w:spacing w:val="6"/>
              </w:rPr>
              <w:t>：镉、汞、砷、铅、铬、铜、镍、锌、石油烃（</w:t>
            </w:r>
            <w:r>
              <w:rPr>
                <w:rFonts w:ascii="Times New Roman" w:hAnsi="Times New Roman" w:eastAsia="Times New Roman" w:cs="Times New Roman"/>
                <w:spacing w:val="6"/>
              </w:rPr>
              <w:t>C</w:t>
            </w:r>
            <w:r>
              <w:rPr>
                <w:rFonts w:ascii="Times New Roman" w:hAnsi="Times New Roman" w:eastAsia="Times New Roman" w:cs="Times New Roman"/>
                <w:sz w:val="13"/>
                <w:szCs w:val="13"/>
                <w:spacing w:val="6"/>
              </w:rPr>
              <w:t>10</w:t>
            </w:r>
            <w:r>
              <w:rPr>
                <w:rFonts w:ascii="Times New Roman" w:hAnsi="Times New Roman" w:eastAsia="Times New Roman" w:cs="Times New Roman"/>
                <w:spacing w:val="6"/>
              </w:rPr>
              <w:t>-C</w:t>
            </w:r>
            <w:r>
              <w:rPr>
                <w:rFonts w:ascii="Times New Roman" w:hAnsi="Times New Roman" w:eastAsia="Times New Roman" w:cs="Times New Roman"/>
                <w:sz w:val="13"/>
                <w:szCs w:val="13"/>
                <w:spacing w:val="6"/>
                <w:position w:val="-1"/>
              </w:rPr>
              <w:t>40 </w:t>
            </w:r>
            <w:r>
              <w:rPr>
                <w:spacing w:val="-5"/>
              </w:rPr>
              <w:t>），</w:t>
            </w:r>
            <w:r>
              <w:rPr>
                <w:spacing w:val="-59"/>
              </w:rPr>
              <w:t xml:space="preserve"> </w:t>
            </w:r>
            <w:r>
              <w:rPr>
                <w:spacing w:val="6"/>
              </w:rPr>
              <w:t>以</w:t>
            </w:r>
            <w:r>
              <w:rPr/>
              <w:t xml:space="preserve"> </w:t>
            </w:r>
            <w:r>
              <w:rPr/>
              <w:t>及</w:t>
            </w:r>
            <w:r>
              <w:rPr>
                <w:spacing w:val="-40"/>
              </w:rPr>
              <w:t xml:space="preserve"> </w:t>
            </w:r>
            <w:r>
              <w:rPr>
                <w:rFonts w:ascii="Times New Roman" w:hAnsi="Times New Roman" w:eastAsia="Times New Roman" w:cs="Times New Roman"/>
              </w:rPr>
              <w:t>pH</w:t>
            </w:r>
            <w:r>
              <w:rPr>
                <w:rFonts w:ascii="Times New Roman" w:hAnsi="Times New Roman" w:eastAsia="Times New Roman" w:cs="Times New Roman"/>
                <w:spacing w:val="-27"/>
              </w:rPr>
              <w:t xml:space="preserve"> </w:t>
            </w:r>
            <w:r>
              <w:rPr/>
              <w:t>、阳离子交换量、氧化还原电位、渗透率、土壤容重、总孔隙度。</w:t>
            </w:r>
          </w:p>
        </w:tc>
      </w:tr>
      <w:tr>
        <w:trPr>
          <w:trHeight w:val="278" w:hRule="atLeast"/>
        </w:trPr>
        <w:tc>
          <w:tcPr>
            <w:tcW w:w="1069" w:type="dxa"/>
            <w:vAlign w:val="top"/>
            <w:vMerge w:val="continue"/>
            <w:tcBorders>
              <w:top w:val="nil"/>
            </w:tcBorders>
          </w:tcPr>
          <w:p>
            <w:pPr>
              <w:rPr>
                <w:rFonts w:ascii="Arial"/>
                <w:sz w:val="21"/>
              </w:rPr>
            </w:pPr>
            <w:r/>
          </w:p>
        </w:tc>
        <w:tc>
          <w:tcPr>
            <w:tcW w:w="1106" w:type="dxa"/>
            <w:vAlign w:val="top"/>
          </w:tcPr>
          <w:p>
            <w:pPr>
              <w:pStyle w:val="TableText"/>
              <w:ind w:left="137"/>
              <w:spacing w:before="35" w:line="215" w:lineRule="auto"/>
              <w:rPr/>
            </w:pPr>
            <w:r>
              <w:rPr>
                <w:spacing w:val="7"/>
              </w:rPr>
              <w:t>影响预测</w:t>
            </w:r>
          </w:p>
        </w:tc>
        <w:tc>
          <w:tcPr>
            <w:tcW w:w="6344" w:type="dxa"/>
            <w:vAlign w:val="top"/>
          </w:tcPr>
          <w:p>
            <w:pPr>
              <w:pStyle w:val="TableText"/>
              <w:ind w:left="2514"/>
              <w:spacing w:before="35" w:line="215" w:lineRule="auto"/>
              <w:rPr/>
            </w:pPr>
            <w:r>
              <w:rPr>
                <w:rFonts w:ascii="Times New Roman" w:hAnsi="Times New Roman" w:eastAsia="Times New Roman" w:cs="Times New Roman"/>
              </w:rPr>
              <w:t>pH</w:t>
            </w:r>
            <w:r>
              <w:rPr>
                <w:rFonts w:ascii="Times New Roman" w:hAnsi="Times New Roman" w:eastAsia="Times New Roman" w:cs="Times New Roman"/>
                <w:spacing w:val="-27"/>
              </w:rPr>
              <w:t xml:space="preserve"> </w:t>
            </w:r>
            <w:r>
              <w:rPr>
                <w:spacing w:val="7"/>
              </w:rPr>
              <w:t>、石油烃等</w:t>
            </w:r>
          </w:p>
        </w:tc>
      </w:tr>
      <w:tr>
        <w:trPr>
          <w:trHeight w:val="277" w:hRule="atLeast"/>
        </w:trPr>
        <w:tc>
          <w:tcPr>
            <w:tcW w:w="1069" w:type="dxa"/>
            <w:vAlign w:val="top"/>
          </w:tcPr>
          <w:p>
            <w:pPr>
              <w:pStyle w:val="TableText"/>
              <w:ind w:left="137"/>
              <w:spacing w:before="35" w:line="214" w:lineRule="auto"/>
              <w:rPr/>
            </w:pPr>
            <w:r>
              <w:rPr>
                <w:spacing w:val="2"/>
              </w:rPr>
              <w:t>固体废物</w:t>
            </w:r>
          </w:p>
        </w:tc>
        <w:tc>
          <w:tcPr>
            <w:tcW w:w="1106" w:type="dxa"/>
            <w:vAlign w:val="top"/>
          </w:tcPr>
          <w:p>
            <w:pPr>
              <w:pStyle w:val="TableText"/>
              <w:ind w:left="137"/>
              <w:spacing w:before="35" w:line="214" w:lineRule="auto"/>
              <w:rPr/>
            </w:pPr>
            <w:r>
              <w:rPr>
                <w:spacing w:val="7"/>
              </w:rPr>
              <w:t>影响分析</w:t>
            </w:r>
          </w:p>
        </w:tc>
        <w:tc>
          <w:tcPr>
            <w:tcW w:w="6344" w:type="dxa"/>
            <w:vAlign w:val="top"/>
          </w:tcPr>
          <w:p>
            <w:pPr>
              <w:pStyle w:val="TableText"/>
              <w:ind w:left="1288"/>
              <w:spacing w:before="35" w:line="214" w:lineRule="auto"/>
              <w:rPr/>
            </w:pPr>
            <w:r>
              <w:rPr>
                <w:spacing w:val="9"/>
              </w:rPr>
              <w:t>一般工业固体废物、危险废物、生活垃圾</w:t>
            </w:r>
          </w:p>
        </w:tc>
      </w:tr>
      <w:tr>
        <w:trPr>
          <w:trHeight w:val="277" w:hRule="atLeast"/>
        </w:trPr>
        <w:tc>
          <w:tcPr>
            <w:tcW w:w="1069" w:type="dxa"/>
            <w:vAlign w:val="top"/>
          </w:tcPr>
          <w:p>
            <w:pPr>
              <w:pStyle w:val="TableText"/>
              <w:ind w:left="120"/>
              <w:spacing w:before="36" w:line="213" w:lineRule="auto"/>
              <w:rPr/>
            </w:pPr>
            <w:r>
              <w:rPr>
                <w:spacing w:val="6"/>
              </w:rPr>
              <w:t>生态环境</w:t>
            </w:r>
          </w:p>
        </w:tc>
        <w:tc>
          <w:tcPr>
            <w:tcW w:w="1106" w:type="dxa"/>
            <w:vAlign w:val="top"/>
          </w:tcPr>
          <w:p>
            <w:pPr>
              <w:pStyle w:val="TableText"/>
              <w:ind w:left="33"/>
              <w:spacing w:before="36" w:line="213" w:lineRule="auto"/>
              <w:rPr/>
            </w:pPr>
            <w:r>
              <w:rPr>
                <w:spacing w:val="7"/>
              </w:rPr>
              <w:t>现状及评价</w:t>
            </w:r>
          </w:p>
        </w:tc>
        <w:tc>
          <w:tcPr>
            <w:tcW w:w="6344" w:type="dxa"/>
            <w:vAlign w:val="top"/>
          </w:tcPr>
          <w:p>
            <w:pPr>
              <w:pStyle w:val="TableText"/>
              <w:ind w:left="1916"/>
              <w:spacing w:before="36" w:line="213" w:lineRule="auto"/>
              <w:rPr/>
            </w:pPr>
            <w:r>
              <w:rPr>
                <w:spacing w:val="9"/>
              </w:rPr>
              <w:t>土地利用类型、植被类型等</w:t>
            </w:r>
          </w:p>
        </w:tc>
      </w:tr>
      <w:tr>
        <w:trPr>
          <w:trHeight w:val="282" w:hRule="atLeast"/>
        </w:trPr>
        <w:tc>
          <w:tcPr>
            <w:tcW w:w="1069" w:type="dxa"/>
            <w:vAlign w:val="top"/>
          </w:tcPr>
          <w:p>
            <w:pPr>
              <w:pStyle w:val="TableText"/>
              <w:ind w:left="119"/>
              <w:spacing w:before="35" w:line="218" w:lineRule="auto"/>
              <w:rPr/>
            </w:pPr>
            <w:r>
              <w:rPr>
                <w:spacing w:val="7"/>
              </w:rPr>
              <w:t>环境风险</w:t>
            </w:r>
          </w:p>
        </w:tc>
        <w:tc>
          <w:tcPr>
            <w:tcW w:w="1106" w:type="dxa"/>
            <w:vAlign w:val="top"/>
          </w:tcPr>
          <w:p>
            <w:pPr>
              <w:pStyle w:val="TableText"/>
              <w:ind w:left="137"/>
              <w:spacing w:before="35" w:line="218" w:lineRule="auto"/>
              <w:rPr/>
            </w:pPr>
            <w:r>
              <w:rPr>
                <w:spacing w:val="7"/>
              </w:rPr>
              <w:t>影响预测</w:t>
            </w:r>
          </w:p>
        </w:tc>
        <w:tc>
          <w:tcPr>
            <w:tcW w:w="6344" w:type="dxa"/>
            <w:vAlign w:val="top"/>
          </w:tcPr>
          <w:p>
            <w:pPr>
              <w:pStyle w:val="TableText"/>
              <w:ind w:left="1541"/>
              <w:spacing w:before="35" w:line="218" w:lineRule="auto"/>
              <w:rPr/>
            </w:pPr>
            <w:r>
              <w:rPr>
                <w:spacing w:val="9"/>
              </w:rPr>
              <w:t>沼气（甲烷）、</w:t>
            </w:r>
            <w:r>
              <w:rPr>
                <w:rFonts w:ascii="Times New Roman" w:hAnsi="Times New Roman" w:eastAsia="Times New Roman" w:cs="Times New Roman"/>
              </w:rPr>
              <w:t>COD</w:t>
            </w:r>
            <w:r>
              <w:rPr>
                <w:rFonts w:ascii="Times New Roman" w:hAnsi="Times New Roman" w:eastAsia="Times New Roman" w:cs="Times New Roman"/>
                <w:sz w:val="13"/>
                <w:szCs w:val="13"/>
                <w:position w:val="-1"/>
              </w:rPr>
              <w:t>cr</w:t>
            </w:r>
            <w:r>
              <w:rPr>
                <w:rFonts w:ascii="Times New Roman" w:hAnsi="Times New Roman" w:eastAsia="Times New Roman" w:cs="Times New Roman"/>
                <w:sz w:val="13"/>
                <w:szCs w:val="13"/>
                <w:spacing w:val="-10"/>
                <w:position w:val="-1"/>
              </w:rPr>
              <w:t xml:space="preserve"> </w:t>
            </w:r>
            <w:r>
              <w:rPr>
                <w:spacing w:val="9"/>
              </w:rPr>
              <w:t>、废矿物油等</w:t>
            </w:r>
          </w:p>
        </w:tc>
      </w:tr>
    </w:tbl>
    <w:p>
      <w:pPr>
        <w:ind w:left="16"/>
        <w:spacing w:before="199" w:line="222" w:lineRule="auto"/>
        <w:outlineLvl w:val="1"/>
        <w:rPr>
          <w:rFonts w:ascii="SimHei" w:hAnsi="SimHei" w:eastAsia="SimHei" w:cs="SimHei"/>
          <w:sz w:val="30"/>
          <w:szCs w:val="30"/>
        </w:rPr>
      </w:pPr>
      <w:bookmarkStart w:name="bookmark39" w:id="45"/>
      <w:bookmarkEnd w:id="45"/>
      <w:bookmarkStart w:name="bookmark40" w:id="46"/>
      <w:bookmarkEnd w:id="46"/>
      <w:r>
        <w:rPr>
          <w:rFonts w:ascii="Times New Roman" w:hAnsi="Times New Roman" w:eastAsia="Times New Roman" w:cs="Times New Roman"/>
          <w:sz w:val="30"/>
          <w:szCs w:val="30"/>
          <w:spacing w:val="-1"/>
        </w:rPr>
        <w:t>2.6 </w:t>
      </w:r>
      <w:r>
        <w:rPr>
          <w:rFonts w:ascii="SimHei" w:hAnsi="SimHei" w:eastAsia="SimHei" w:cs="SimHei"/>
          <w:sz w:val="30"/>
          <w:szCs w:val="30"/>
          <w:spacing w:val="-1"/>
        </w:rPr>
        <w:t>评价标准</w:t>
      </w:r>
    </w:p>
    <w:p>
      <w:pPr>
        <w:pStyle w:val="BodyText"/>
        <w:spacing w:line="283" w:lineRule="auto"/>
        <w:rPr/>
      </w:pPr>
      <w:r/>
    </w:p>
    <w:p>
      <w:pPr>
        <w:ind w:left="16"/>
        <w:spacing w:before="91" w:line="222" w:lineRule="auto"/>
        <w:outlineLvl w:val="2"/>
        <w:rPr>
          <w:rFonts w:ascii="SimHei" w:hAnsi="SimHei" w:eastAsia="SimHei" w:cs="SimHei"/>
          <w:sz w:val="28"/>
          <w:szCs w:val="28"/>
        </w:rPr>
      </w:pPr>
      <w:bookmarkStart w:name="bookmark220" w:id="47"/>
      <w:bookmarkEnd w:id="47"/>
      <w:r>
        <w:rPr>
          <w:rFonts w:ascii="Times New Roman" w:hAnsi="Times New Roman" w:eastAsia="Times New Roman" w:cs="Times New Roman"/>
          <w:sz w:val="28"/>
          <w:szCs w:val="28"/>
          <w:spacing w:val="-1"/>
        </w:rPr>
        <w:t>2.6.1 </w:t>
      </w:r>
      <w:r>
        <w:rPr>
          <w:rFonts w:ascii="SimHei" w:hAnsi="SimHei" w:eastAsia="SimHei" w:cs="SimHei"/>
          <w:sz w:val="28"/>
          <w:szCs w:val="28"/>
          <w:spacing w:val="-1"/>
        </w:rPr>
        <w:t>环境质量标准</w:t>
      </w:r>
    </w:p>
    <w:p>
      <w:pPr>
        <w:pStyle w:val="BodyText"/>
        <w:spacing w:line="278" w:lineRule="auto"/>
        <w:rPr/>
      </w:pPr>
      <w:r/>
    </w:p>
    <w:p>
      <w:pPr>
        <w:ind w:left="511"/>
        <w:spacing w:before="79"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）环境空气质量标准</w:t>
      </w:r>
    </w:p>
    <w:p>
      <w:pPr>
        <w:ind w:left="17" w:right="101" w:firstLine="486"/>
        <w:spacing w:before="181" w:line="386" w:lineRule="auto"/>
        <w:rPr>
          <w:rFonts w:ascii="SimSun" w:hAnsi="SimSun" w:eastAsia="SimSun" w:cs="SimSun"/>
          <w:sz w:val="19"/>
          <w:szCs w:val="19"/>
        </w:rPr>
      </w:pPr>
      <w:r>
        <w:pict>
          <v:shape id="_x0000_s202" style="position:absolute;margin-left:159.82pt;margin-top:57.2229pt;mso-position-vertical-relative:text;mso-position-horizontal-relative:text;width:58.85pt;height:13.75pt;z-index:251748352;"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28"/>
                    </w:rPr>
                    <w:t xml:space="preserve">   </w:t>
                  </w:r>
                  <w:r>
                    <w:rPr>
                      <w:rFonts w:ascii="Times New Roman" w:hAnsi="Times New Roman" w:eastAsia="Times New Roman" w:cs="Times New Roman"/>
                      <w:sz w:val="18"/>
                      <w:szCs w:val="18"/>
                      <w:spacing w:val="3"/>
                      <w:position w:val="2"/>
                    </w:rPr>
                    <w:t>37</w:t>
                  </w:r>
                </w:p>
              </w:txbxContent>
            </v:textbox>
          </v:shape>
        </w:pict>
      </w:r>
      <w:r>
        <w:rPr>
          <w:rFonts w:ascii="SimSun" w:hAnsi="SimSun" w:eastAsia="SimSun" w:cs="SimSun"/>
          <w:sz w:val="24"/>
          <w:szCs w:val="24"/>
          <w:spacing w:val="3"/>
        </w:rPr>
        <w:t>项目所在地执行《环境空气质量标准》（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3"/>
        </w:rPr>
        <w:t>3095-201</w:t>
      </w:r>
      <w:r>
        <w:rPr>
          <w:rFonts w:ascii="Times New Roman" w:hAnsi="Times New Roman" w:eastAsia="Times New Roman" w:cs="Times New Roman"/>
          <w:sz w:val="24"/>
          <w:szCs w:val="24"/>
          <w:spacing w:val="2"/>
        </w:rPr>
        <w:t>2</w:t>
      </w:r>
      <w:r>
        <w:rPr>
          <w:rFonts w:ascii="SimSun" w:hAnsi="SimSun" w:eastAsia="SimSun" w:cs="SimSun"/>
          <w:sz w:val="24"/>
          <w:szCs w:val="24"/>
          <w:spacing w:val="-13"/>
        </w:rPr>
        <w:t>）（</w:t>
      </w:r>
      <w:r>
        <w:rPr>
          <w:rFonts w:ascii="Times New Roman" w:hAnsi="Times New Roman" w:eastAsia="Times New Roman" w:cs="Times New Roman"/>
          <w:sz w:val="24"/>
          <w:szCs w:val="24"/>
          <w:spacing w:val="2"/>
        </w:rPr>
        <w:t>2018 </w:t>
      </w:r>
      <w:r>
        <w:rPr>
          <w:rFonts w:ascii="SimSun" w:hAnsi="SimSun" w:eastAsia="SimSun" w:cs="SimSun"/>
          <w:sz w:val="24"/>
          <w:szCs w:val="24"/>
          <w:spacing w:val="2"/>
        </w:rPr>
        <w:t>年修改单）</w:t>
      </w:r>
      <w:r>
        <w:rPr>
          <w:rFonts w:ascii="SimSun" w:hAnsi="SimSun" w:eastAsia="SimSun" w:cs="SimSun"/>
          <w:sz w:val="24"/>
          <w:szCs w:val="24"/>
        </w:rPr>
        <w:t xml:space="preserve"> </w:t>
      </w:r>
      <w:r>
        <w:rPr>
          <w:rFonts w:ascii="SimSun" w:hAnsi="SimSun" w:eastAsia="SimSun" w:cs="SimSun"/>
          <w:sz w:val="24"/>
          <w:szCs w:val="24"/>
          <w:spacing w:val="1"/>
        </w:rPr>
        <w:t>二级标准，</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15"/>
          <w:szCs w:val="15"/>
          <w:spacing w:val="-22"/>
          <w:position w:val="-1"/>
        </w:rPr>
        <w:t xml:space="preserve"> </w:t>
      </w:r>
      <w:r>
        <w:rPr>
          <w:rFonts w:ascii="Times New Roman" w:hAnsi="Times New Roman" w:eastAsia="Times New Roman" w:cs="Times New Roman"/>
          <w:sz w:val="24"/>
          <w:szCs w:val="24"/>
          <w:spacing w:val="1"/>
        </w:rPr>
        <w:t>S</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rPr>
        <w:t>NH</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spacing w:val="14"/>
          <w:position w:val="-1"/>
        </w:rPr>
        <w:t xml:space="preserve"> </w:t>
      </w:r>
      <w:r>
        <w:rPr>
          <w:rFonts w:ascii="SimSun" w:hAnsi="SimSun" w:eastAsia="SimSun" w:cs="SimSun"/>
          <w:sz w:val="24"/>
          <w:szCs w:val="24"/>
          <w:spacing w:val="1"/>
        </w:rPr>
        <w:t>执行《环境影响评价技术导则 大气环</w:t>
      </w:r>
      <w:r>
        <w:rPr>
          <w:rFonts w:ascii="SimSun" w:hAnsi="SimSun" w:eastAsia="SimSun" w:cs="SimSun"/>
          <w:sz w:val="24"/>
          <w:szCs w:val="24"/>
        </w:rPr>
        <w:t>境》（</w:t>
      </w:r>
      <w:r>
        <w:rPr>
          <w:rFonts w:ascii="Times New Roman" w:hAnsi="Times New Roman" w:eastAsia="Times New Roman" w:cs="Times New Roman"/>
          <w:sz w:val="24"/>
          <w:szCs w:val="24"/>
        </w:rPr>
        <w:t>HJ 2.2-2018</w:t>
      </w:r>
      <w:r>
        <w:rPr>
          <w:rFonts w:ascii="SimSun" w:hAnsi="SimSun" w:eastAsia="SimSun" w:cs="SimSun"/>
          <w:sz w:val="24"/>
          <w:szCs w:val="24"/>
        </w:rPr>
        <w:t>） </w:t>
      </w:r>
      <w:r>
        <w:rPr>
          <w:rFonts w:ascii="SimSun" w:hAnsi="SimSun" w:eastAsia="SimSun" w:cs="SimSun"/>
          <w:sz w:val="19"/>
          <w:szCs w:val="19"/>
          <w:spacing w:val="9"/>
        </w:rPr>
        <w:t>锡林郭勒盟中安环境技术咨询有限责</w:t>
      </w:r>
    </w:p>
    <w:p>
      <w:pPr>
        <w:spacing w:line="386" w:lineRule="auto"/>
        <w:sectPr>
          <w:headerReference w:type="default" r:id="rId51"/>
          <w:pgSz w:w="11907" w:h="16840"/>
          <w:pgMar w:top="1567" w:right="1621" w:bottom="400" w:left="1691" w:header="1221" w:footer="0" w:gutter="0"/>
        </w:sectPr>
        <w:rPr>
          <w:rFonts w:ascii="SimSun" w:hAnsi="SimSun" w:eastAsia="SimSun" w:cs="SimSun"/>
          <w:sz w:val="19"/>
          <w:szCs w:val="19"/>
        </w:rPr>
      </w:pPr>
    </w:p>
    <w:p>
      <w:pPr>
        <w:spacing w:before="182" w:line="219" w:lineRule="auto"/>
        <w:jc w:val="right"/>
        <w:rPr>
          <w:rFonts w:ascii="SimSun" w:hAnsi="SimSun" w:eastAsia="SimSun" w:cs="SimSun"/>
          <w:sz w:val="24"/>
          <w:szCs w:val="24"/>
        </w:rPr>
      </w:pPr>
      <w:r>
        <w:pict>
          <v:shape id="_x0000_s206" style="position:absolute;margin-left:85.05pt;margin-top:78.87pt;mso-position-vertical-relative:page;mso-position-horizontal-relative:page;width:425.25pt;height:0.75pt;z-index:251751424;" o:allowincell="f" fillcolor="#000000" filled="true" stroked="false" coordsize="8505,15" coordorigin="0,0" path="m,l8505,0l8505,14l0,14l0,0xe"/>
        </w:pict>
      </w:r>
      <w:r>
        <w:rPr>
          <w:rFonts w:ascii="SimSun" w:hAnsi="SimSun" w:eastAsia="SimSun" w:cs="SimSun"/>
          <w:sz w:val="24"/>
          <w:szCs w:val="24"/>
          <w:spacing w:val="-5"/>
        </w:rPr>
        <w:t>附录</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5"/>
        </w:rPr>
        <w:t>D </w:t>
      </w:r>
      <w:r>
        <w:rPr>
          <w:rFonts w:ascii="SimSun" w:hAnsi="SimSun" w:eastAsia="SimSun" w:cs="SimSun"/>
          <w:sz w:val="24"/>
          <w:szCs w:val="24"/>
          <w:spacing w:val="-5"/>
        </w:rPr>
        <w:t>其他污染物空气质量浓度参考限值表</w:t>
      </w:r>
      <w:r>
        <w:rPr>
          <w:rFonts w:ascii="SimSun" w:hAnsi="SimSun" w:eastAsia="SimSun" w:cs="SimSun"/>
          <w:sz w:val="24"/>
          <w:szCs w:val="24"/>
          <w:spacing w:val="-61"/>
        </w:rPr>
        <w:t xml:space="preserve"> </w:t>
      </w:r>
      <w:r>
        <w:rPr>
          <w:rFonts w:ascii="Times New Roman" w:hAnsi="Times New Roman" w:eastAsia="Times New Roman" w:cs="Times New Roman"/>
          <w:sz w:val="24"/>
          <w:szCs w:val="24"/>
          <w:spacing w:val="-5"/>
        </w:rPr>
        <w:t>D.1 </w:t>
      </w:r>
      <w:r>
        <w:rPr>
          <w:rFonts w:ascii="SimSun" w:hAnsi="SimSun" w:eastAsia="SimSun" w:cs="SimSun"/>
          <w:sz w:val="24"/>
          <w:szCs w:val="24"/>
          <w:spacing w:val="-5"/>
        </w:rPr>
        <w:t>标准限值；详细标准值见表</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5"/>
        </w:rPr>
        <w:t>2.6-</w:t>
      </w:r>
      <w:r>
        <w:rPr>
          <w:rFonts w:ascii="Times New Roman" w:hAnsi="Times New Roman" w:eastAsia="Times New Roman" w:cs="Times New Roman"/>
          <w:sz w:val="24"/>
          <w:szCs w:val="24"/>
          <w:spacing w:val="-6"/>
        </w:rPr>
        <w:t>1</w:t>
      </w:r>
      <w:r>
        <w:rPr>
          <w:rFonts w:ascii="SimSun" w:hAnsi="SimSun" w:eastAsia="SimSun" w:cs="SimSun"/>
          <w:sz w:val="24"/>
          <w:szCs w:val="24"/>
          <w:spacing w:val="-6"/>
        </w:rPr>
        <w:t>。</w:t>
      </w:r>
    </w:p>
    <w:p>
      <w:pPr>
        <w:ind w:left="2681"/>
        <w:spacing w:before="181"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2.6-1        </w:t>
      </w:r>
      <w:r>
        <w:rPr>
          <w:rFonts w:ascii="SimSun" w:hAnsi="SimSun" w:eastAsia="SimSun" w:cs="SimSun"/>
          <w:sz w:val="24"/>
          <w:szCs w:val="24"/>
          <w:b/>
          <w:bCs/>
          <w:spacing w:val="-2"/>
        </w:rPr>
        <w:t>环境空气质量标准</w:t>
      </w:r>
    </w:p>
    <w:tbl>
      <w:tblPr>
        <w:tblStyle w:val="TableNormal"/>
        <w:tblW w:w="8516" w:type="dxa"/>
        <w:tblInd w:w="19"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913"/>
        <w:gridCol w:w="2268"/>
        <w:gridCol w:w="2437"/>
        <w:gridCol w:w="1898"/>
      </w:tblGrid>
      <w:tr>
        <w:trPr>
          <w:trHeight w:val="281" w:hRule="atLeast"/>
        </w:trPr>
        <w:tc>
          <w:tcPr>
            <w:tcW w:w="1913" w:type="dxa"/>
            <w:vAlign w:val="top"/>
          </w:tcPr>
          <w:p>
            <w:pPr>
              <w:pStyle w:val="TableText"/>
              <w:ind w:left="439"/>
              <w:spacing w:before="36" w:line="216" w:lineRule="auto"/>
              <w:rPr/>
            </w:pPr>
            <w:r>
              <w:rPr>
                <w:spacing w:val="7"/>
              </w:rPr>
              <w:t>污染物名称</w:t>
            </w:r>
          </w:p>
        </w:tc>
        <w:tc>
          <w:tcPr>
            <w:tcW w:w="2268" w:type="dxa"/>
            <w:vAlign w:val="top"/>
          </w:tcPr>
          <w:p>
            <w:pPr>
              <w:pStyle w:val="TableText"/>
              <w:ind w:left="720"/>
              <w:spacing w:before="36" w:line="216" w:lineRule="auto"/>
              <w:rPr/>
            </w:pPr>
            <w:r>
              <w:rPr>
                <w:spacing w:val="6"/>
              </w:rPr>
              <w:t>取值时间</w:t>
            </w:r>
          </w:p>
        </w:tc>
        <w:tc>
          <w:tcPr>
            <w:tcW w:w="2437" w:type="dxa"/>
            <w:vAlign w:val="top"/>
          </w:tcPr>
          <w:p>
            <w:pPr>
              <w:pStyle w:val="TableText"/>
              <w:ind w:left="387"/>
              <w:spacing w:before="36" w:line="216" w:lineRule="auto"/>
              <w:rPr/>
            </w:pPr>
            <w:r>
              <w:rPr>
                <w:spacing w:val="8"/>
              </w:rPr>
              <w:t>二级标准浓度限值</w:t>
            </w:r>
          </w:p>
        </w:tc>
        <w:tc>
          <w:tcPr>
            <w:tcW w:w="1898" w:type="dxa"/>
            <w:vAlign w:val="top"/>
          </w:tcPr>
          <w:p>
            <w:pPr>
              <w:pStyle w:val="TableText"/>
              <w:ind w:left="747"/>
              <w:spacing w:before="36" w:line="216" w:lineRule="auto"/>
              <w:rPr/>
            </w:pPr>
            <w:r>
              <w:rPr>
                <w:spacing w:val="3"/>
              </w:rPr>
              <w:t>单位</w:t>
            </w:r>
          </w:p>
        </w:tc>
      </w:tr>
      <w:tr>
        <w:trPr>
          <w:trHeight w:val="277" w:hRule="atLeast"/>
        </w:trPr>
        <w:tc>
          <w:tcPr>
            <w:tcW w:w="1913" w:type="dxa"/>
            <w:vAlign w:val="top"/>
            <w:vMerge w:val="restart"/>
            <w:tcBorders>
              <w:bottom w:val="nil"/>
            </w:tcBorders>
          </w:tcPr>
          <w:p>
            <w:pPr>
              <w:ind w:left="778"/>
              <w:spacing w:before="2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TSP</w:t>
            </w:r>
          </w:p>
        </w:tc>
        <w:tc>
          <w:tcPr>
            <w:tcW w:w="2268" w:type="dxa"/>
            <w:vAlign w:val="top"/>
          </w:tcPr>
          <w:p>
            <w:pPr>
              <w:pStyle w:val="TableText"/>
              <w:ind w:left="824"/>
              <w:spacing w:before="30" w:line="218" w:lineRule="auto"/>
              <w:rPr/>
            </w:pPr>
            <w:r>
              <w:rPr>
                <w:spacing w:val="6"/>
              </w:rPr>
              <w:t>年平均</w:t>
            </w:r>
          </w:p>
        </w:tc>
        <w:tc>
          <w:tcPr>
            <w:tcW w:w="2437" w:type="dxa"/>
            <w:vAlign w:val="top"/>
          </w:tcPr>
          <w:p>
            <w:pPr>
              <w:ind w:left="1064"/>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w:t>
            </w:r>
          </w:p>
        </w:tc>
        <w:tc>
          <w:tcPr>
            <w:tcW w:w="1898" w:type="dxa"/>
            <w:vAlign w:val="top"/>
            <w:vMerge w:val="restart"/>
            <w:tcBorders>
              <w:bottom w:val="nil"/>
            </w:tcBorders>
          </w:tcPr>
          <w:p>
            <w:pPr>
              <w:ind w:left="703"/>
              <w:spacing w:before="188" w:line="21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2"/>
              </w:rPr>
              <w:t>μg/m</w:t>
            </w:r>
            <w:r>
              <w:rPr>
                <w:rFonts w:ascii="Times New Roman" w:hAnsi="Times New Roman" w:eastAsia="Times New Roman" w:cs="Times New Roman"/>
                <w:sz w:val="13"/>
                <w:szCs w:val="13"/>
                <w:spacing w:val="2"/>
                <w:position w:val="6"/>
              </w:rPr>
              <w:t>3</w:t>
            </w:r>
          </w:p>
        </w:tc>
      </w:tr>
      <w:tr>
        <w:trPr>
          <w:trHeight w:val="277" w:hRule="atLeast"/>
        </w:trPr>
        <w:tc>
          <w:tcPr>
            <w:tcW w:w="1913" w:type="dxa"/>
            <w:vAlign w:val="top"/>
            <w:vMerge w:val="continue"/>
            <w:tcBorders>
              <w:top w:val="nil"/>
            </w:tcBorders>
          </w:tcPr>
          <w:p>
            <w:pPr>
              <w:rPr>
                <w:rFonts w:ascii="Arial"/>
                <w:sz w:val="21"/>
              </w:rPr>
            </w:pPr>
            <w:r/>
          </w:p>
        </w:tc>
        <w:tc>
          <w:tcPr>
            <w:tcW w:w="2268" w:type="dxa"/>
            <w:vAlign w:val="top"/>
          </w:tcPr>
          <w:p>
            <w:pPr>
              <w:pStyle w:val="TableText"/>
              <w:ind w:left="582"/>
              <w:spacing w:before="32" w:line="216" w:lineRule="auto"/>
              <w:rPr/>
            </w:pPr>
            <w:r>
              <w:rPr>
                <w:rFonts w:ascii="Times New Roman" w:hAnsi="Times New Roman" w:eastAsia="Times New Roman" w:cs="Times New Roman"/>
                <w:spacing w:val="4"/>
              </w:rPr>
              <w:t>24</w:t>
            </w:r>
            <w:r>
              <w:rPr>
                <w:rFonts w:ascii="Times New Roman" w:hAnsi="Times New Roman" w:eastAsia="Times New Roman" w:cs="Times New Roman"/>
                <w:spacing w:val="22"/>
              </w:rPr>
              <w:t xml:space="preserve"> </w:t>
            </w:r>
            <w:r>
              <w:rPr>
                <w:spacing w:val="4"/>
              </w:rPr>
              <w:t>小时平均</w:t>
            </w:r>
          </w:p>
        </w:tc>
        <w:tc>
          <w:tcPr>
            <w:tcW w:w="2437" w:type="dxa"/>
            <w:vAlign w:val="top"/>
          </w:tcPr>
          <w:p>
            <w:pPr>
              <w:ind w:left="1068"/>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300</w:t>
            </w:r>
          </w:p>
        </w:tc>
        <w:tc>
          <w:tcPr>
            <w:tcW w:w="1898" w:type="dxa"/>
            <w:vAlign w:val="top"/>
            <w:vMerge w:val="continue"/>
            <w:tcBorders>
              <w:top w:val="nil"/>
            </w:tcBorders>
          </w:tcPr>
          <w:p>
            <w:pPr>
              <w:rPr>
                <w:rFonts w:ascii="Arial"/>
                <w:sz w:val="21"/>
              </w:rPr>
            </w:pPr>
            <w:r/>
          </w:p>
        </w:tc>
      </w:tr>
      <w:tr>
        <w:trPr>
          <w:trHeight w:val="277" w:hRule="atLeast"/>
        </w:trPr>
        <w:tc>
          <w:tcPr>
            <w:tcW w:w="1913" w:type="dxa"/>
            <w:vAlign w:val="top"/>
            <w:vMerge w:val="restart"/>
            <w:tcBorders>
              <w:bottom w:val="nil"/>
            </w:tcBorders>
          </w:tcPr>
          <w:p>
            <w:pPr>
              <w:ind w:left="737"/>
              <w:spacing w:before="214"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PM</w:t>
            </w:r>
            <w:r>
              <w:rPr>
                <w:rFonts w:ascii="Times New Roman" w:hAnsi="Times New Roman" w:eastAsia="Times New Roman" w:cs="Times New Roman"/>
                <w:sz w:val="13"/>
                <w:szCs w:val="13"/>
                <w:spacing w:val="8"/>
                <w:position w:val="-1"/>
              </w:rPr>
              <w:t>10</w:t>
            </w:r>
          </w:p>
        </w:tc>
        <w:tc>
          <w:tcPr>
            <w:tcW w:w="2268" w:type="dxa"/>
            <w:vAlign w:val="top"/>
          </w:tcPr>
          <w:p>
            <w:pPr>
              <w:pStyle w:val="TableText"/>
              <w:ind w:left="824"/>
              <w:spacing w:before="34" w:line="215" w:lineRule="auto"/>
              <w:rPr/>
            </w:pPr>
            <w:r>
              <w:rPr>
                <w:spacing w:val="6"/>
              </w:rPr>
              <w:t>年平均</w:t>
            </w:r>
          </w:p>
        </w:tc>
        <w:tc>
          <w:tcPr>
            <w:tcW w:w="2437" w:type="dxa"/>
            <w:vAlign w:val="top"/>
          </w:tcPr>
          <w:p>
            <w:pPr>
              <w:ind w:left="111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70</w:t>
            </w:r>
          </w:p>
        </w:tc>
        <w:tc>
          <w:tcPr>
            <w:tcW w:w="1898" w:type="dxa"/>
            <w:vAlign w:val="top"/>
            <w:vMerge w:val="restart"/>
            <w:tcBorders>
              <w:bottom w:val="nil"/>
            </w:tcBorders>
          </w:tcPr>
          <w:p>
            <w:pPr>
              <w:ind w:left="703"/>
              <w:spacing w:before="190" w:line="21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2"/>
              </w:rPr>
              <w:t>μg/m</w:t>
            </w:r>
            <w:r>
              <w:rPr>
                <w:rFonts w:ascii="Times New Roman" w:hAnsi="Times New Roman" w:eastAsia="Times New Roman" w:cs="Times New Roman"/>
                <w:sz w:val="13"/>
                <w:szCs w:val="13"/>
                <w:spacing w:val="2"/>
                <w:position w:val="6"/>
              </w:rPr>
              <w:t>3</w:t>
            </w:r>
          </w:p>
        </w:tc>
      </w:tr>
      <w:tr>
        <w:trPr>
          <w:trHeight w:val="277" w:hRule="atLeast"/>
        </w:trPr>
        <w:tc>
          <w:tcPr>
            <w:tcW w:w="1913" w:type="dxa"/>
            <w:vAlign w:val="top"/>
            <w:vMerge w:val="continue"/>
            <w:tcBorders>
              <w:top w:val="nil"/>
            </w:tcBorders>
          </w:tcPr>
          <w:p>
            <w:pPr>
              <w:rPr>
                <w:rFonts w:ascii="Arial"/>
                <w:sz w:val="21"/>
              </w:rPr>
            </w:pPr>
            <w:r/>
          </w:p>
        </w:tc>
        <w:tc>
          <w:tcPr>
            <w:tcW w:w="2268" w:type="dxa"/>
            <w:vAlign w:val="top"/>
          </w:tcPr>
          <w:p>
            <w:pPr>
              <w:pStyle w:val="TableText"/>
              <w:ind w:left="582"/>
              <w:spacing w:before="32" w:line="216" w:lineRule="auto"/>
              <w:rPr/>
            </w:pPr>
            <w:r>
              <w:rPr>
                <w:rFonts w:ascii="Times New Roman" w:hAnsi="Times New Roman" w:eastAsia="Times New Roman" w:cs="Times New Roman"/>
                <w:spacing w:val="4"/>
              </w:rPr>
              <w:t>24</w:t>
            </w:r>
            <w:r>
              <w:rPr>
                <w:rFonts w:ascii="Times New Roman" w:hAnsi="Times New Roman" w:eastAsia="Times New Roman" w:cs="Times New Roman"/>
                <w:spacing w:val="22"/>
              </w:rPr>
              <w:t xml:space="preserve"> </w:t>
            </w:r>
            <w:r>
              <w:rPr>
                <w:spacing w:val="4"/>
              </w:rPr>
              <w:t>小时平均</w:t>
            </w:r>
          </w:p>
        </w:tc>
        <w:tc>
          <w:tcPr>
            <w:tcW w:w="2437" w:type="dxa"/>
            <w:vAlign w:val="top"/>
          </w:tcPr>
          <w:p>
            <w:pPr>
              <w:ind w:left="108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150</w:t>
            </w:r>
          </w:p>
        </w:tc>
        <w:tc>
          <w:tcPr>
            <w:tcW w:w="1898" w:type="dxa"/>
            <w:vAlign w:val="top"/>
            <w:vMerge w:val="continue"/>
            <w:tcBorders>
              <w:top w:val="nil"/>
            </w:tcBorders>
          </w:tcPr>
          <w:p>
            <w:pPr>
              <w:rPr>
                <w:rFonts w:ascii="Arial"/>
                <w:sz w:val="21"/>
              </w:rPr>
            </w:pPr>
            <w:r/>
          </w:p>
        </w:tc>
      </w:tr>
      <w:tr>
        <w:trPr>
          <w:trHeight w:val="277" w:hRule="atLeast"/>
        </w:trPr>
        <w:tc>
          <w:tcPr>
            <w:tcW w:w="1913" w:type="dxa"/>
            <w:vAlign w:val="top"/>
            <w:vMerge w:val="restart"/>
            <w:tcBorders>
              <w:bottom w:val="nil"/>
            </w:tcBorders>
          </w:tcPr>
          <w:p>
            <w:pPr>
              <w:ind w:left="720"/>
              <w:spacing w:before="214"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PM</w:t>
            </w:r>
            <w:r>
              <w:rPr>
                <w:rFonts w:ascii="Times New Roman" w:hAnsi="Times New Roman" w:eastAsia="Times New Roman" w:cs="Times New Roman"/>
                <w:sz w:val="13"/>
                <w:szCs w:val="13"/>
                <w:spacing w:val="6"/>
                <w:position w:val="-1"/>
              </w:rPr>
              <w:t>2.5</w:t>
            </w:r>
          </w:p>
        </w:tc>
        <w:tc>
          <w:tcPr>
            <w:tcW w:w="2268" w:type="dxa"/>
            <w:vAlign w:val="top"/>
          </w:tcPr>
          <w:p>
            <w:pPr>
              <w:pStyle w:val="TableText"/>
              <w:ind w:left="824"/>
              <w:spacing w:before="34" w:line="215" w:lineRule="auto"/>
              <w:rPr/>
            </w:pPr>
            <w:r>
              <w:rPr>
                <w:spacing w:val="6"/>
              </w:rPr>
              <w:t>年平均</w:t>
            </w:r>
          </w:p>
        </w:tc>
        <w:tc>
          <w:tcPr>
            <w:tcW w:w="2437" w:type="dxa"/>
            <w:vAlign w:val="top"/>
          </w:tcPr>
          <w:p>
            <w:pPr>
              <w:ind w:left="111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35</w:t>
            </w:r>
          </w:p>
        </w:tc>
        <w:tc>
          <w:tcPr>
            <w:tcW w:w="1898" w:type="dxa"/>
            <w:vAlign w:val="top"/>
            <w:vMerge w:val="restart"/>
            <w:tcBorders>
              <w:bottom w:val="nil"/>
            </w:tcBorders>
          </w:tcPr>
          <w:p>
            <w:pPr>
              <w:ind w:left="703"/>
              <w:spacing w:before="190" w:line="21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2"/>
              </w:rPr>
              <w:t>μg/m</w:t>
            </w:r>
            <w:r>
              <w:rPr>
                <w:rFonts w:ascii="Times New Roman" w:hAnsi="Times New Roman" w:eastAsia="Times New Roman" w:cs="Times New Roman"/>
                <w:sz w:val="13"/>
                <w:szCs w:val="13"/>
                <w:spacing w:val="2"/>
                <w:position w:val="6"/>
              </w:rPr>
              <w:t>3</w:t>
            </w:r>
          </w:p>
        </w:tc>
      </w:tr>
      <w:tr>
        <w:trPr>
          <w:trHeight w:val="277" w:hRule="atLeast"/>
        </w:trPr>
        <w:tc>
          <w:tcPr>
            <w:tcW w:w="1913" w:type="dxa"/>
            <w:vAlign w:val="top"/>
            <w:vMerge w:val="continue"/>
            <w:tcBorders>
              <w:top w:val="nil"/>
            </w:tcBorders>
          </w:tcPr>
          <w:p>
            <w:pPr>
              <w:rPr>
                <w:rFonts w:ascii="Arial"/>
                <w:sz w:val="21"/>
              </w:rPr>
            </w:pPr>
            <w:r/>
          </w:p>
        </w:tc>
        <w:tc>
          <w:tcPr>
            <w:tcW w:w="2268" w:type="dxa"/>
            <w:vAlign w:val="top"/>
          </w:tcPr>
          <w:p>
            <w:pPr>
              <w:pStyle w:val="TableText"/>
              <w:ind w:left="582"/>
              <w:spacing w:before="35" w:line="214" w:lineRule="auto"/>
              <w:rPr/>
            </w:pPr>
            <w:r>
              <w:rPr>
                <w:rFonts w:ascii="Times New Roman" w:hAnsi="Times New Roman" w:eastAsia="Times New Roman" w:cs="Times New Roman"/>
                <w:spacing w:val="4"/>
              </w:rPr>
              <w:t>24</w:t>
            </w:r>
            <w:r>
              <w:rPr>
                <w:rFonts w:ascii="Times New Roman" w:hAnsi="Times New Roman" w:eastAsia="Times New Roman" w:cs="Times New Roman"/>
                <w:spacing w:val="22"/>
              </w:rPr>
              <w:t xml:space="preserve"> </w:t>
            </w:r>
            <w:r>
              <w:rPr>
                <w:spacing w:val="4"/>
              </w:rPr>
              <w:t>小时平均</w:t>
            </w:r>
          </w:p>
        </w:tc>
        <w:tc>
          <w:tcPr>
            <w:tcW w:w="2437" w:type="dxa"/>
            <w:vAlign w:val="top"/>
          </w:tcPr>
          <w:p>
            <w:pPr>
              <w:ind w:left="1118"/>
              <w:spacing w:before="7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75</w:t>
            </w:r>
          </w:p>
        </w:tc>
        <w:tc>
          <w:tcPr>
            <w:tcW w:w="1898" w:type="dxa"/>
            <w:vAlign w:val="top"/>
            <w:vMerge w:val="continue"/>
            <w:tcBorders>
              <w:top w:val="nil"/>
            </w:tcBorders>
          </w:tcPr>
          <w:p>
            <w:pPr>
              <w:rPr>
                <w:rFonts w:ascii="Arial"/>
                <w:sz w:val="21"/>
              </w:rPr>
            </w:pPr>
            <w:r/>
          </w:p>
        </w:tc>
      </w:tr>
      <w:tr>
        <w:trPr>
          <w:trHeight w:val="277" w:hRule="atLeast"/>
        </w:trPr>
        <w:tc>
          <w:tcPr>
            <w:tcW w:w="1913" w:type="dxa"/>
            <w:vAlign w:val="top"/>
            <w:vMerge w:val="restart"/>
            <w:tcBorders>
              <w:bottom w:val="nil"/>
            </w:tcBorders>
          </w:tcPr>
          <w:p>
            <w:pPr>
              <w:spacing w:line="293" w:lineRule="auto"/>
              <w:rPr>
                <w:rFonts w:ascii="Arial"/>
                <w:sz w:val="21"/>
              </w:rPr>
            </w:pPr>
            <w:r/>
          </w:p>
          <w:p>
            <w:pPr>
              <w:ind w:left="799"/>
              <w:spacing w:before="58"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1"/>
                <w:position w:val="-1"/>
              </w:rPr>
              <w:t>2</w:t>
            </w:r>
          </w:p>
        </w:tc>
        <w:tc>
          <w:tcPr>
            <w:tcW w:w="2268" w:type="dxa"/>
            <w:vAlign w:val="top"/>
          </w:tcPr>
          <w:p>
            <w:pPr>
              <w:pStyle w:val="TableText"/>
              <w:ind w:left="824"/>
              <w:spacing w:before="34" w:line="215" w:lineRule="auto"/>
              <w:rPr/>
            </w:pPr>
            <w:r>
              <w:rPr>
                <w:spacing w:val="6"/>
              </w:rPr>
              <w:t>年平均</w:t>
            </w:r>
          </w:p>
        </w:tc>
        <w:tc>
          <w:tcPr>
            <w:tcW w:w="2437" w:type="dxa"/>
            <w:vAlign w:val="top"/>
          </w:tcPr>
          <w:p>
            <w:pPr>
              <w:ind w:left="111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1898" w:type="dxa"/>
            <w:vAlign w:val="top"/>
            <w:vMerge w:val="restart"/>
            <w:tcBorders>
              <w:bottom w:val="nil"/>
            </w:tcBorders>
          </w:tcPr>
          <w:p>
            <w:pPr>
              <w:spacing w:line="273" w:lineRule="auto"/>
              <w:rPr>
                <w:rFonts w:ascii="Arial"/>
                <w:sz w:val="21"/>
              </w:rPr>
            </w:pPr>
            <w:r/>
          </w:p>
          <w:p>
            <w:pPr>
              <w:ind w:left="703"/>
              <w:spacing w:before="57" w:line="21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2"/>
              </w:rPr>
              <w:t>μg/m</w:t>
            </w:r>
            <w:r>
              <w:rPr>
                <w:rFonts w:ascii="Times New Roman" w:hAnsi="Times New Roman" w:eastAsia="Times New Roman" w:cs="Times New Roman"/>
                <w:sz w:val="13"/>
                <w:szCs w:val="13"/>
                <w:spacing w:val="2"/>
                <w:position w:val="6"/>
              </w:rPr>
              <w:t>3</w:t>
            </w:r>
          </w:p>
        </w:tc>
      </w:tr>
      <w:tr>
        <w:trPr>
          <w:trHeight w:val="277" w:hRule="atLeast"/>
        </w:trPr>
        <w:tc>
          <w:tcPr>
            <w:tcW w:w="1913" w:type="dxa"/>
            <w:vAlign w:val="top"/>
            <w:vMerge w:val="continue"/>
            <w:tcBorders>
              <w:top w:val="nil"/>
              <w:bottom w:val="nil"/>
            </w:tcBorders>
          </w:tcPr>
          <w:p>
            <w:pPr>
              <w:rPr>
                <w:rFonts w:ascii="Arial"/>
                <w:sz w:val="21"/>
              </w:rPr>
            </w:pPr>
            <w:r/>
          </w:p>
        </w:tc>
        <w:tc>
          <w:tcPr>
            <w:tcW w:w="2268" w:type="dxa"/>
            <w:vAlign w:val="top"/>
          </w:tcPr>
          <w:p>
            <w:pPr>
              <w:pStyle w:val="TableText"/>
              <w:ind w:left="582"/>
              <w:spacing w:before="35" w:line="214" w:lineRule="auto"/>
              <w:rPr/>
            </w:pPr>
            <w:r>
              <w:rPr>
                <w:rFonts w:ascii="Times New Roman" w:hAnsi="Times New Roman" w:eastAsia="Times New Roman" w:cs="Times New Roman"/>
                <w:spacing w:val="4"/>
              </w:rPr>
              <w:t>24</w:t>
            </w:r>
            <w:r>
              <w:rPr>
                <w:rFonts w:ascii="Times New Roman" w:hAnsi="Times New Roman" w:eastAsia="Times New Roman" w:cs="Times New Roman"/>
                <w:spacing w:val="22"/>
              </w:rPr>
              <w:t xml:space="preserve"> </w:t>
            </w:r>
            <w:r>
              <w:rPr>
                <w:spacing w:val="4"/>
              </w:rPr>
              <w:t>小时平均</w:t>
            </w:r>
          </w:p>
        </w:tc>
        <w:tc>
          <w:tcPr>
            <w:tcW w:w="2437" w:type="dxa"/>
            <w:vAlign w:val="top"/>
          </w:tcPr>
          <w:p>
            <w:pPr>
              <w:ind w:left="108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150</w:t>
            </w:r>
          </w:p>
        </w:tc>
        <w:tc>
          <w:tcPr>
            <w:tcW w:w="1898" w:type="dxa"/>
            <w:vAlign w:val="top"/>
            <w:vMerge w:val="continue"/>
            <w:tcBorders>
              <w:top w:val="nil"/>
              <w:bottom w:val="nil"/>
            </w:tcBorders>
          </w:tcPr>
          <w:p>
            <w:pPr>
              <w:rPr>
                <w:rFonts w:ascii="Arial"/>
                <w:sz w:val="21"/>
              </w:rPr>
            </w:pPr>
            <w:r/>
          </w:p>
        </w:tc>
      </w:tr>
      <w:tr>
        <w:trPr>
          <w:trHeight w:val="277" w:hRule="atLeast"/>
        </w:trPr>
        <w:tc>
          <w:tcPr>
            <w:tcW w:w="1913" w:type="dxa"/>
            <w:vAlign w:val="top"/>
            <w:vMerge w:val="continue"/>
            <w:tcBorders>
              <w:top w:val="nil"/>
            </w:tcBorders>
          </w:tcPr>
          <w:p>
            <w:pPr>
              <w:rPr>
                <w:rFonts w:ascii="Arial"/>
                <w:sz w:val="21"/>
              </w:rPr>
            </w:pPr>
            <w:r/>
          </w:p>
        </w:tc>
        <w:tc>
          <w:tcPr>
            <w:tcW w:w="2268" w:type="dxa"/>
            <w:vAlign w:val="top"/>
          </w:tcPr>
          <w:p>
            <w:pPr>
              <w:pStyle w:val="TableText"/>
              <w:ind w:left="655"/>
              <w:spacing w:before="36" w:line="213" w:lineRule="auto"/>
              <w:rPr/>
            </w:pPr>
            <w:r>
              <w:rPr>
                <w:rFonts w:ascii="Times New Roman" w:hAnsi="Times New Roman" w:eastAsia="Times New Roman" w:cs="Times New Roman"/>
              </w:rPr>
              <w:t>1</w:t>
            </w:r>
            <w:r>
              <w:rPr>
                <w:rFonts w:ascii="Times New Roman" w:hAnsi="Times New Roman" w:eastAsia="Times New Roman" w:cs="Times New Roman"/>
                <w:spacing w:val="20"/>
                <w:w w:val="101"/>
              </w:rPr>
              <w:t xml:space="preserve"> </w:t>
            </w:r>
            <w:r>
              <w:rPr/>
              <w:t>小时平均</w:t>
            </w:r>
          </w:p>
        </w:tc>
        <w:tc>
          <w:tcPr>
            <w:tcW w:w="2437" w:type="dxa"/>
            <w:vAlign w:val="top"/>
          </w:tcPr>
          <w:p>
            <w:pPr>
              <w:ind w:left="107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500</w:t>
            </w:r>
          </w:p>
        </w:tc>
        <w:tc>
          <w:tcPr>
            <w:tcW w:w="1898" w:type="dxa"/>
            <w:vAlign w:val="top"/>
            <w:vMerge w:val="continue"/>
            <w:tcBorders>
              <w:top w:val="nil"/>
            </w:tcBorders>
          </w:tcPr>
          <w:p>
            <w:pPr>
              <w:rPr>
                <w:rFonts w:ascii="Arial"/>
                <w:sz w:val="21"/>
              </w:rPr>
            </w:pPr>
            <w:r/>
          </w:p>
        </w:tc>
      </w:tr>
      <w:tr>
        <w:trPr>
          <w:trHeight w:val="277" w:hRule="atLeast"/>
        </w:trPr>
        <w:tc>
          <w:tcPr>
            <w:tcW w:w="1913" w:type="dxa"/>
            <w:vAlign w:val="top"/>
            <w:vMerge w:val="restart"/>
            <w:tcBorders>
              <w:bottom w:val="nil"/>
            </w:tcBorders>
          </w:tcPr>
          <w:p>
            <w:pPr>
              <w:spacing w:line="294" w:lineRule="auto"/>
              <w:rPr>
                <w:rFonts w:ascii="Arial"/>
                <w:sz w:val="21"/>
              </w:rPr>
            </w:pPr>
            <w:r/>
          </w:p>
          <w:p>
            <w:pPr>
              <w:ind w:left="765"/>
              <w:spacing w:before="58"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NO</w:t>
            </w:r>
            <w:r>
              <w:rPr>
                <w:rFonts w:ascii="Times New Roman" w:hAnsi="Times New Roman" w:eastAsia="Times New Roman" w:cs="Times New Roman"/>
                <w:sz w:val="13"/>
                <w:szCs w:val="13"/>
                <w:spacing w:val="7"/>
                <w:position w:val="-1"/>
              </w:rPr>
              <w:t>2</w:t>
            </w:r>
          </w:p>
        </w:tc>
        <w:tc>
          <w:tcPr>
            <w:tcW w:w="2268" w:type="dxa"/>
            <w:vAlign w:val="top"/>
          </w:tcPr>
          <w:p>
            <w:pPr>
              <w:pStyle w:val="TableText"/>
              <w:ind w:left="824"/>
              <w:spacing w:before="35" w:line="214" w:lineRule="auto"/>
              <w:rPr/>
            </w:pPr>
            <w:r>
              <w:rPr>
                <w:spacing w:val="6"/>
              </w:rPr>
              <w:t>年平均</w:t>
            </w:r>
          </w:p>
        </w:tc>
        <w:tc>
          <w:tcPr>
            <w:tcW w:w="2437" w:type="dxa"/>
            <w:vAlign w:val="top"/>
          </w:tcPr>
          <w:p>
            <w:pPr>
              <w:ind w:left="111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w:t>
            </w:r>
          </w:p>
        </w:tc>
        <w:tc>
          <w:tcPr>
            <w:tcW w:w="1898" w:type="dxa"/>
            <w:vAlign w:val="top"/>
            <w:vMerge w:val="restart"/>
            <w:tcBorders>
              <w:bottom w:val="nil"/>
            </w:tcBorders>
          </w:tcPr>
          <w:p>
            <w:pPr>
              <w:spacing w:line="274" w:lineRule="auto"/>
              <w:rPr>
                <w:rFonts w:ascii="Arial"/>
                <w:sz w:val="21"/>
              </w:rPr>
            </w:pPr>
            <w:r/>
          </w:p>
          <w:p>
            <w:pPr>
              <w:ind w:left="703"/>
              <w:spacing w:before="58" w:line="21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2"/>
              </w:rPr>
              <w:t>μg/m</w:t>
            </w:r>
            <w:r>
              <w:rPr>
                <w:rFonts w:ascii="Times New Roman" w:hAnsi="Times New Roman" w:eastAsia="Times New Roman" w:cs="Times New Roman"/>
                <w:sz w:val="13"/>
                <w:szCs w:val="13"/>
                <w:spacing w:val="2"/>
                <w:position w:val="6"/>
              </w:rPr>
              <w:t>3</w:t>
            </w:r>
          </w:p>
        </w:tc>
      </w:tr>
      <w:tr>
        <w:trPr>
          <w:trHeight w:val="277" w:hRule="atLeast"/>
        </w:trPr>
        <w:tc>
          <w:tcPr>
            <w:tcW w:w="1913" w:type="dxa"/>
            <w:vAlign w:val="top"/>
            <w:vMerge w:val="continue"/>
            <w:tcBorders>
              <w:top w:val="nil"/>
              <w:bottom w:val="nil"/>
            </w:tcBorders>
          </w:tcPr>
          <w:p>
            <w:pPr>
              <w:rPr>
                <w:rFonts w:ascii="Arial"/>
                <w:sz w:val="21"/>
              </w:rPr>
            </w:pPr>
            <w:r/>
          </w:p>
        </w:tc>
        <w:tc>
          <w:tcPr>
            <w:tcW w:w="2268" w:type="dxa"/>
            <w:vAlign w:val="top"/>
          </w:tcPr>
          <w:p>
            <w:pPr>
              <w:pStyle w:val="TableText"/>
              <w:ind w:left="582"/>
              <w:spacing w:before="36" w:line="213" w:lineRule="auto"/>
              <w:rPr/>
            </w:pPr>
            <w:r>
              <w:rPr>
                <w:rFonts w:ascii="Times New Roman" w:hAnsi="Times New Roman" w:eastAsia="Times New Roman" w:cs="Times New Roman"/>
                <w:spacing w:val="4"/>
              </w:rPr>
              <w:t>24</w:t>
            </w:r>
            <w:r>
              <w:rPr>
                <w:rFonts w:ascii="Times New Roman" w:hAnsi="Times New Roman" w:eastAsia="Times New Roman" w:cs="Times New Roman"/>
                <w:spacing w:val="22"/>
              </w:rPr>
              <w:t xml:space="preserve"> </w:t>
            </w:r>
            <w:r>
              <w:rPr>
                <w:spacing w:val="4"/>
              </w:rPr>
              <w:t>小时平均</w:t>
            </w:r>
          </w:p>
        </w:tc>
        <w:tc>
          <w:tcPr>
            <w:tcW w:w="2437" w:type="dxa"/>
            <w:vAlign w:val="top"/>
          </w:tcPr>
          <w:p>
            <w:pPr>
              <w:ind w:left="112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80</w:t>
            </w:r>
          </w:p>
        </w:tc>
        <w:tc>
          <w:tcPr>
            <w:tcW w:w="1898" w:type="dxa"/>
            <w:vAlign w:val="top"/>
            <w:vMerge w:val="continue"/>
            <w:tcBorders>
              <w:top w:val="nil"/>
              <w:bottom w:val="nil"/>
            </w:tcBorders>
          </w:tcPr>
          <w:p>
            <w:pPr>
              <w:rPr>
                <w:rFonts w:ascii="Arial"/>
                <w:sz w:val="21"/>
              </w:rPr>
            </w:pPr>
            <w:r/>
          </w:p>
        </w:tc>
      </w:tr>
      <w:tr>
        <w:trPr>
          <w:trHeight w:val="278" w:hRule="atLeast"/>
        </w:trPr>
        <w:tc>
          <w:tcPr>
            <w:tcW w:w="1913" w:type="dxa"/>
            <w:vAlign w:val="top"/>
            <w:vMerge w:val="continue"/>
            <w:tcBorders>
              <w:top w:val="nil"/>
            </w:tcBorders>
          </w:tcPr>
          <w:p>
            <w:pPr>
              <w:rPr>
                <w:rFonts w:ascii="Arial"/>
                <w:sz w:val="21"/>
              </w:rPr>
            </w:pPr>
            <w:r/>
          </w:p>
        </w:tc>
        <w:tc>
          <w:tcPr>
            <w:tcW w:w="2268" w:type="dxa"/>
            <w:vAlign w:val="top"/>
          </w:tcPr>
          <w:p>
            <w:pPr>
              <w:pStyle w:val="TableText"/>
              <w:ind w:left="655"/>
              <w:spacing w:before="37" w:line="213" w:lineRule="auto"/>
              <w:rPr/>
            </w:pPr>
            <w:r>
              <w:rPr>
                <w:rFonts w:ascii="Times New Roman" w:hAnsi="Times New Roman" w:eastAsia="Times New Roman" w:cs="Times New Roman"/>
              </w:rPr>
              <w:t>1</w:t>
            </w:r>
            <w:r>
              <w:rPr>
                <w:rFonts w:ascii="Times New Roman" w:hAnsi="Times New Roman" w:eastAsia="Times New Roman" w:cs="Times New Roman"/>
                <w:spacing w:val="20"/>
                <w:w w:val="101"/>
              </w:rPr>
              <w:t xml:space="preserve"> </w:t>
            </w:r>
            <w:r>
              <w:rPr/>
              <w:t>小时平均</w:t>
            </w:r>
          </w:p>
        </w:tc>
        <w:tc>
          <w:tcPr>
            <w:tcW w:w="2437" w:type="dxa"/>
            <w:vAlign w:val="top"/>
          </w:tcPr>
          <w:p>
            <w:pPr>
              <w:ind w:left="1064"/>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w:t>
            </w:r>
          </w:p>
        </w:tc>
        <w:tc>
          <w:tcPr>
            <w:tcW w:w="1898" w:type="dxa"/>
            <w:vAlign w:val="top"/>
            <w:vMerge w:val="continue"/>
            <w:tcBorders>
              <w:top w:val="nil"/>
            </w:tcBorders>
          </w:tcPr>
          <w:p>
            <w:pPr>
              <w:rPr>
                <w:rFonts w:ascii="Arial"/>
                <w:sz w:val="21"/>
              </w:rPr>
            </w:pPr>
            <w:r/>
          </w:p>
        </w:tc>
      </w:tr>
      <w:tr>
        <w:trPr>
          <w:trHeight w:val="277" w:hRule="atLeast"/>
        </w:trPr>
        <w:tc>
          <w:tcPr>
            <w:tcW w:w="1913" w:type="dxa"/>
            <w:vAlign w:val="top"/>
            <w:vMerge w:val="restart"/>
            <w:tcBorders>
              <w:bottom w:val="nil"/>
            </w:tcBorders>
          </w:tcPr>
          <w:p>
            <w:pPr>
              <w:ind w:left="815"/>
              <w:spacing w:before="21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CO</w:t>
            </w:r>
          </w:p>
        </w:tc>
        <w:tc>
          <w:tcPr>
            <w:tcW w:w="2268" w:type="dxa"/>
            <w:vAlign w:val="top"/>
          </w:tcPr>
          <w:p>
            <w:pPr>
              <w:pStyle w:val="TableText"/>
              <w:ind w:left="582"/>
              <w:spacing w:before="35" w:line="214" w:lineRule="auto"/>
              <w:rPr/>
            </w:pPr>
            <w:r>
              <w:rPr>
                <w:rFonts w:ascii="Times New Roman" w:hAnsi="Times New Roman" w:eastAsia="Times New Roman" w:cs="Times New Roman"/>
                <w:spacing w:val="4"/>
              </w:rPr>
              <w:t>24</w:t>
            </w:r>
            <w:r>
              <w:rPr>
                <w:rFonts w:ascii="Times New Roman" w:hAnsi="Times New Roman" w:eastAsia="Times New Roman" w:cs="Times New Roman"/>
                <w:spacing w:val="22"/>
              </w:rPr>
              <w:t xml:space="preserve"> </w:t>
            </w:r>
            <w:r>
              <w:rPr>
                <w:spacing w:val="4"/>
              </w:rPr>
              <w:t>小时平均</w:t>
            </w:r>
          </w:p>
        </w:tc>
        <w:tc>
          <w:tcPr>
            <w:tcW w:w="2437" w:type="dxa"/>
            <w:vAlign w:val="top"/>
          </w:tcPr>
          <w:p>
            <w:pPr>
              <w:ind w:left="116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898" w:type="dxa"/>
            <w:vAlign w:val="top"/>
            <w:vMerge w:val="restart"/>
            <w:tcBorders>
              <w:bottom w:val="nil"/>
            </w:tcBorders>
          </w:tcPr>
          <w:p>
            <w:pPr>
              <w:ind w:left="669"/>
              <w:spacing w:before="192" w:line="21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/m</w:t>
            </w:r>
            <w:r>
              <w:rPr>
                <w:rFonts w:ascii="Times New Roman" w:hAnsi="Times New Roman" w:eastAsia="Times New Roman" w:cs="Times New Roman"/>
                <w:sz w:val="13"/>
                <w:szCs w:val="13"/>
                <w:spacing w:val="8"/>
                <w:position w:val="6"/>
              </w:rPr>
              <w:t>3</w:t>
            </w:r>
          </w:p>
        </w:tc>
      </w:tr>
      <w:tr>
        <w:trPr>
          <w:trHeight w:val="277" w:hRule="atLeast"/>
        </w:trPr>
        <w:tc>
          <w:tcPr>
            <w:tcW w:w="1913" w:type="dxa"/>
            <w:vAlign w:val="top"/>
            <w:vMerge w:val="continue"/>
            <w:tcBorders>
              <w:top w:val="nil"/>
            </w:tcBorders>
          </w:tcPr>
          <w:p>
            <w:pPr>
              <w:rPr>
                <w:rFonts w:ascii="Arial"/>
                <w:sz w:val="21"/>
              </w:rPr>
            </w:pPr>
            <w:r/>
          </w:p>
        </w:tc>
        <w:tc>
          <w:tcPr>
            <w:tcW w:w="2268" w:type="dxa"/>
            <w:vAlign w:val="top"/>
          </w:tcPr>
          <w:p>
            <w:pPr>
              <w:pStyle w:val="TableText"/>
              <w:ind w:left="655"/>
              <w:spacing w:before="36" w:line="213" w:lineRule="auto"/>
              <w:rPr/>
            </w:pPr>
            <w:r>
              <w:rPr>
                <w:rFonts w:ascii="Times New Roman" w:hAnsi="Times New Roman" w:eastAsia="Times New Roman" w:cs="Times New Roman"/>
              </w:rPr>
              <w:t>1</w:t>
            </w:r>
            <w:r>
              <w:rPr>
                <w:rFonts w:ascii="Times New Roman" w:hAnsi="Times New Roman" w:eastAsia="Times New Roman" w:cs="Times New Roman"/>
                <w:spacing w:val="20"/>
                <w:w w:val="101"/>
              </w:rPr>
              <w:t xml:space="preserve"> </w:t>
            </w:r>
            <w:r>
              <w:rPr/>
              <w:t>小时平均</w:t>
            </w:r>
          </w:p>
        </w:tc>
        <w:tc>
          <w:tcPr>
            <w:tcW w:w="2437" w:type="dxa"/>
            <w:vAlign w:val="top"/>
          </w:tcPr>
          <w:p>
            <w:pPr>
              <w:ind w:left="1135"/>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898" w:type="dxa"/>
            <w:vAlign w:val="top"/>
            <w:vMerge w:val="continue"/>
            <w:tcBorders>
              <w:top w:val="nil"/>
            </w:tcBorders>
          </w:tcPr>
          <w:p>
            <w:pPr>
              <w:rPr>
                <w:rFonts w:ascii="Arial"/>
                <w:sz w:val="21"/>
              </w:rPr>
            </w:pPr>
            <w:r/>
          </w:p>
        </w:tc>
      </w:tr>
      <w:tr>
        <w:trPr>
          <w:trHeight w:val="278" w:hRule="atLeast"/>
        </w:trPr>
        <w:tc>
          <w:tcPr>
            <w:tcW w:w="1913" w:type="dxa"/>
            <w:vAlign w:val="top"/>
            <w:vMerge w:val="restart"/>
            <w:tcBorders>
              <w:bottom w:val="nil"/>
            </w:tcBorders>
          </w:tcPr>
          <w:p>
            <w:pPr>
              <w:ind w:left="851"/>
              <w:spacing w:before="212"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O</w:t>
            </w:r>
            <w:r>
              <w:rPr>
                <w:rFonts w:ascii="Times New Roman" w:hAnsi="Times New Roman" w:eastAsia="Times New Roman" w:cs="Times New Roman"/>
                <w:sz w:val="13"/>
                <w:szCs w:val="13"/>
                <w:spacing w:val="1"/>
                <w:position w:val="-1"/>
              </w:rPr>
              <w:t>3</w:t>
            </w:r>
          </w:p>
        </w:tc>
        <w:tc>
          <w:tcPr>
            <w:tcW w:w="2268" w:type="dxa"/>
            <w:vAlign w:val="top"/>
          </w:tcPr>
          <w:p>
            <w:pPr>
              <w:pStyle w:val="TableText"/>
              <w:ind w:left="333"/>
              <w:spacing w:before="37" w:line="213" w:lineRule="auto"/>
              <w:rPr/>
            </w:pPr>
            <w:r>
              <w:rPr/>
              <w:t>日最大</w:t>
            </w:r>
            <w:r>
              <w:rPr>
                <w:spacing w:val="-33"/>
              </w:rPr>
              <w:t xml:space="preserve"> </w:t>
            </w:r>
            <w:r>
              <w:rPr>
                <w:rFonts w:ascii="Times New Roman" w:hAnsi="Times New Roman" w:eastAsia="Times New Roman" w:cs="Times New Roman"/>
              </w:rPr>
              <w:t>8</w:t>
            </w:r>
            <w:r>
              <w:rPr>
                <w:rFonts w:ascii="Times New Roman" w:hAnsi="Times New Roman" w:eastAsia="Times New Roman" w:cs="Times New Roman"/>
                <w:spacing w:val="15"/>
                <w:w w:val="101"/>
              </w:rPr>
              <w:t xml:space="preserve"> </w:t>
            </w:r>
            <w:r>
              <w:rPr/>
              <w:t>小时平均</w:t>
            </w:r>
          </w:p>
        </w:tc>
        <w:tc>
          <w:tcPr>
            <w:tcW w:w="2437" w:type="dxa"/>
            <w:vAlign w:val="top"/>
          </w:tcPr>
          <w:p>
            <w:pPr>
              <w:ind w:left="1084"/>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160</w:t>
            </w:r>
          </w:p>
        </w:tc>
        <w:tc>
          <w:tcPr>
            <w:tcW w:w="1898" w:type="dxa"/>
            <w:vAlign w:val="top"/>
            <w:vMerge w:val="restart"/>
            <w:tcBorders>
              <w:bottom w:val="nil"/>
            </w:tcBorders>
          </w:tcPr>
          <w:p>
            <w:pPr>
              <w:ind w:left="703"/>
              <w:spacing w:before="195" w:line="215"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2"/>
              </w:rPr>
              <w:t>μg/m</w:t>
            </w:r>
            <w:r>
              <w:rPr>
                <w:rFonts w:ascii="Times New Roman" w:hAnsi="Times New Roman" w:eastAsia="Times New Roman" w:cs="Times New Roman"/>
                <w:sz w:val="13"/>
                <w:szCs w:val="13"/>
                <w:spacing w:val="2"/>
                <w:position w:val="5"/>
              </w:rPr>
              <w:t>3</w:t>
            </w:r>
          </w:p>
        </w:tc>
      </w:tr>
      <w:tr>
        <w:trPr>
          <w:trHeight w:val="281" w:hRule="atLeast"/>
        </w:trPr>
        <w:tc>
          <w:tcPr>
            <w:tcW w:w="1913" w:type="dxa"/>
            <w:vAlign w:val="top"/>
            <w:vMerge w:val="continue"/>
            <w:tcBorders>
              <w:top w:val="nil"/>
            </w:tcBorders>
          </w:tcPr>
          <w:p>
            <w:pPr>
              <w:rPr>
                <w:rFonts w:ascii="Arial"/>
                <w:sz w:val="21"/>
              </w:rPr>
            </w:pPr>
            <w:r/>
          </w:p>
        </w:tc>
        <w:tc>
          <w:tcPr>
            <w:tcW w:w="2268" w:type="dxa"/>
            <w:vAlign w:val="top"/>
          </w:tcPr>
          <w:p>
            <w:pPr>
              <w:pStyle w:val="TableText"/>
              <w:ind w:left="655"/>
              <w:spacing w:before="34" w:line="218" w:lineRule="auto"/>
              <w:rPr/>
            </w:pPr>
            <w:r>
              <w:rPr>
                <w:rFonts w:ascii="Times New Roman" w:hAnsi="Times New Roman" w:eastAsia="Times New Roman" w:cs="Times New Roman"/>
              </w:rPr>
              <w:t>1</w:t>
            </w:r>
            <w:r>
              <w:rPr>
                <w:rFonts w:ascii="Times New Roman" w:hAnsi="Times New Roman" w:eastAsia="Times New Roman" w:cs="Times New Roman"/>
                <w:spacing w:val="20"/>
                <w:w w:val="101"/>
              </w:rPr>
              <w:t xml:space="preserve"> </w:t>
            </w:r>
            <w:r>
              <w:rPr/>
              <w:t>小时平均</w:t>
            </w:r>
          </w:p>
        </w:tc>
        <w:tc>
          <w:tcPr>
            <w:tcW w:w="2437" w:type="dxa"/>
            <w:vAlign w:val="top"/>
          </w:tcPr>
          <w:p>
            <w:pPr>
              <w:ind w:left="106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w:t>
            </w:r>
          </w:p>
        </w:tc>
        <w:tc>
          <w:tcPr>
            <w:tcW w:w="1898" w:type="dxa"/>
            <w:vAlign w:val="top"/>
            <w:vMerge w:val="continue"/>
            <w:tcBorders>
              <w:top w:val="nil"/>
            </w:tcBorders>
          </w:tcPr>
          <w:p>
            <w:pPr>
              <w:rPr>
                <w:rFonts w:ascii="Arial"/>
                <w:sz w:val="21"/>
              </w:rPr>
            </w:pPr>
            <w:r/>
          </w:p>
        </w:tc>
      </w:tr>
    </w:tbl>
    <w:p>
      <w:pPr>
        <w:ind w:left="1839"/>
        <w:spacing w:before="34"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2.6-2        </w:t>
      </w:r>
      <w:r>
        <w:rPr>
          <w:rFonts w:ascii="SimSun" w:hAnsi="SimSun" w:eastAsia="SimSun" w:cs="SimSun"/>
          <w:sz w:val="24"/>
          <w:szCs w:val="24"/>
          <w:b/>
          <w:bCs/>
          <w:spacing w:val="-2"/>
        </w:rPr>
        <w:t>其他污染物空气质量浓度参考限值</w:t>
      </w:r>
    </w:p>
    <w:tbl>
      <w:tblPr>
        <w:tblStyle w:val="TableNormal"/>
        <w:tblW w:w="855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69"/>
        <w:gridCol w:w="1875"/>
        <w:gridCol w:w="1335"/>
        <w:gridCol w:w="1401"/>
        <w:gridCol w:w="2371"/>
      </w:tblGrid>
      <w:tr>
        <w:trPr>
          <w:trHeight w:val="281" w:hRule="atLeast"/>
        </w:trPr>
        <w:tc>
          <w:tcPr>
            <w:tcW w:w="1569" w:type="dxa"/>
            <w:vAlign w:val="top"/>
          </w:tcPr>
          <w:p>
            <w:pPr>
              <w:pStyle w:val="TableText"/>
              <w:ind w:left="266"/>
              <w:spacing w:before="36" w:line="216" w:lineRule="auto"/>
              <w:rPr/>
            </w:pPr>
            <w:r>
              <w:rPr>
                <w:spacing w:val="7"/>
              </w:rPr>
              <w:t>污染物名称</w:t>
            </w:r>
          </w:p>
        </w:tc>
        <w:tc>
          <w:tcPr>
            <w:tcW w:w="1875" w:type="dxa"/>
            <w:vAlign w:val="top"/>
          </w:tcPr>
          <w:p>
            <w:pPr>
              <w:pStyle w:val="TableText"/>
              <w:ind w:left="524"/>
              <w:spacing w:before="36" w:line="216" w:lineRule="auto"/>
              <w:rPr/>
            </w:pPr>
            <w:r>
              <w:rPr>
                <w:spacing w:val="6"/>
              </w:rPr>
              <w:t>取值时间</w:t>
            </w:r>
          </w:p>
        </w:tc>
        <w:tc>
          <w:tcPr>
            <w:tcW w:w="1335" w:type="dxa"/>
            <w:vAlign w:val="top"/>
          </w:tcPr>
          <w:p>
            <w:pPr>
              <w:pStyle w:val="TableText"/>
              <w:ind w:left="359"/>
              <w:spacing w:before="36" w:line="216" w:lineRule="auto"/>
              <w:rPr/>
            </w:pPr>
            <w:r>
              <w:rPr>
                <w:spacing w:val="6"/>
              </w:rPr>
              <w:t>标准值</w:t>
            </w:r>
          </w:p>
        </w:tc>
        <w:tc>
          <w:tcPr>
            <w:tcW w:w="1401" w:type="dxa"/>
            <w:vAlign w:val="top"/>
          </w:tcPr>
          <w:p>
            <w:pPr>
              <w:pStyle w:val="TableText"/>
              <w:ind w:left="498"/>
              <w:spacing w:before="36" w:line="216" w:lineRule="auto"/>
              <w:rPr/>
            </w:pPr>
            <w:r>
              <w:rPr>
                <w:spacing w:val="3"/>
              </w:rPr>
              <w:t>单位</w:t>
            </w:r>
          </w:p>
        </w:tc>
        <w:tc>
          <w:tcPr>
            <w:tcW w:w="2371" w:type="dxa"/>
            <w:vAlign w:val="top"/>
          </w:tcPr>
          <w:p>
            <w:pPr>
              <w:pStyle w:val="TableText"/>
              <w:ind w:left="980"/>
              <w:spacing w:before="36" w:line="216" w:lineRule="auto"/>
              <w:rPr/>
            </w:pPr>
            <w:r>
              <w:rPr>
                <w:spacing w:val="4"/>
              </w:rPr>
              <w:t>来源</w:t>
            </w:r>
          </w:p>
        </w:tc>
      </w:tr>
      <w:tr>
        <w:trPr>
          <w:trHeight w:val="275" w:hRule="atLeast"/>
        </w:trPr>
        <w:tc>
          <w:tcPr>
            <w:tcW w:w="1569" w:type="dxa"/>
            <w:vAlign w:val="top"/>
          </w:tcPr>
          <w:p>
            <w:pPr>
              <w:pStyle w:val="TableText"/>
              <w:ind w:left="475"/>
              <w:spacing w:before="32" w:line="215" w:lineRule="auto"/>
              <w:rPr/>
            </w:pPr>
            <w:r>
              <w:rPr>
                <w:spacing w:val="7"/>
              </w:rPr>
              <w:t>硫化氢</w:t>
            </w:r>
          </w:p>
        </w:tc>
        <w:tc>
          <w:tcPr>
            <w:tcW w:w="1875" w:type="dxa"/>
            <w:vAlign w:val="top"/>
          </w:tcPr>
          <w:p>
            <w:pPr>
              <w:pStyle w:val="TableText"/>
              <w:ind w:left="459"/>
              <w:spacing w:before="32" w:line="215" w:lineRule="auto"/>
              <w:rPr/>
            </w:pPr>
            <w:r>
              <w:rPr>
                <w:rFonts w:ascii="Times New Roman" w:hAnsi="Times New Roman" w:eastAsia="Times New Roman" w:cs="Times New Roman"/>
              </w:rPr>
              <w:t>1</w:t>
            </w:r>
            <w:r>
              <w:rPr>
                <w:rFonts w:ascii="Times New Roman" w:hAnsi="Times New Roman" w:eastAsia="Times New Roman" w:cs="Times New Roman"/>
                <w:spacing w:val="18"/>
              </w:rPr>
              <w:t xml:space="preserve"> </w:t>
            </w:r>
            <w:r>
              <w:rPr/>
              <w:t>小时平均</w:t>
            </w:r>
          </w:p>
        </w:tc>
        <w:tc>
          <w:tcPr>
            <w:tcW w:w="1335" w:type="dxa"/>
            <w:vAlign w:val="top"/>
          </w:tcPr>
          <w:p>
            <w:pPr>
              <w:ind w:left="583"/>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401" w:type="dxa"/>
            <w:vAlign w:val="top"/>
          </w:tcPr>
          <w:p>
            <w:pPr>
              <w:ind w:left="457"/>
              <w:spacing w:before="47" w:line="21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2"/>
              </w:rPr>
              <w:t>μg/m</w:t>
            </w:r>
            <w:r>
              <w:rPr>
                <w:rFonts w:ascii="Times New Roman" w:hAnsi="Times New Roman" w:eastAsia="Times New Roman" w:cs="Times New Roman"/>
                <w:sz w:val="13"/>
                <w:szCs w:val="13"/>
                <w:spacing w:val="2"/>
                <w:position w:val="6"/>
              </w:rPr>
              <w:t>3</w:t>
            </w:r>
          </w:p>
        </w:tc>
        <w:tc>
          <w:tcPr>
            <w:tcW w:w="2371" w:type="dxa"/>
            <w:vAlign w:val="top"/>
            <w:vMerge w:val="restart"/>
            <w:tcBorders>
              <w:bottom w:val="nil"/>
            </w:tcBorders>
          </w:tcPr>
          <w:p>
            <w:pPr>
              <w:pStyle w:val="TableText"/>
              <w:ind w:left="250"/>
              <w:spacing w:before="173" w:line="227" w:lineRule="auto"/>
              <w:rPr>
                <w:rFonts w:ascii="Times New Roman" w:hAnsi="Times New Roman" w:eastAsia="Times New Roman" w:cs="Times New Roman"/>
              </w:rPr>
            </w:pPr>
            <w:r>
              <w:rPr>
                <w:rFonts w:ascii="Times New Roman" w:hAnsi="Times New Roman" w:eastAsia="Times New Roman" w:cs="Times New Roman"/>
              </w:rPr>
              <w:t>HJ</w:t>
            </w:r>
            <w:r>
              <w:rPr>
                <w:rFonts w:ascii="Times New Roman" w:hAnsi="Times New Roman" w:eastAsia="Times New Roman" w:cs="Times New Roman"/>
                <w:spacing w:val="5"/>
              </w:rPr>
              <w:t xml:space="preserve"> 2.2-2018</w:t>
            </w:r>
            <w:r>
              <w:rPr>
                <w:spacing w:val="5"/>
              </w:rPr>
              <w:t>）附录</w:t>
            </w:r>
            <w:r>
              <w:rPr>
                <w:spacing w:val="-32"/>
              </w:rPr>
              <w:t xml:space="preserve"> </w:t>
            </w:r>
            <w:r>
              <w:rPr>
                <w:rFonts w:ascii="Times New Roman" w:hAnsi="Times New Roman" w:eastAsia="Times New Roman" w:cs="Times New Roman"/>
                <w:spacing w:val="5"/>
              </w:rPr>
              <w:t>D</w:t>
            </w:r>
          </w:p>
        </w:tc>
      </w:tr>
      <w:tr>
        <w:trPr>
          <w:trHeight w:val="280" w:hRule="atLeast"/>
        </w:trPr>
        <w:tc>
          <w:tcPr>
            <w:tcW w:w="1569" w:type="dxa"/>
            <w:vAlign w:val="top"/>
          </w:tcPr>
          <w:p>
            <w:pPr>
              <w:pStyle w:val="TableText"/>
              <w:ind w:left="684"/>
              <w:spacing w:before="34" w:line="217" w:lineRule="auto"/>
              <w:rPr/>
            </w:pPr>
            <w:r>
              <w:rPr/>
              <w:t>氨</w:t>
            </w:r>
          </w:p>
        </w:tc>
        <w:tc>
          <w:tcPr>
            <w:tcW w:w="1875" w:type="dxa"/>
            <w:vAlign w:val="top"/>
          </w:tcPr>
          <w:p>
            <w:pPr>
              <w:pStyle w:val="TableText"/>
              <w:ind w:left="459"/>
              <w:spacing w:before="34" w:line="217" w:lineRule="auto"/>
              <w:rPr/>
            </w:pPr>
            <w:r>
              <w:rPr>
                <w:rFonts w:ascii="Times New Roman" w:hAnsi="Times New Roman" w:eastAsia="Times New Roman" w:cs="Times New Roman"/>
              </w:rPr>
              <w:t>1</w:t>
            </w:r>
            <w:r>
              <w:rPr>
                <w:rFonts w:ascii="Times New Roman" w:hAnsi="Times New Roman" w:eastAsia="Times New Roman" w:cs="Times New Roman"/>
                <w:spacing w:val="18"/>
              </w:rPr>
              <w:t xml:space="preserve"> </w:t>
            </w:r>
            <w:r>
              <w:rPr/>
              <w:t>小时平均</w:t>
            </w:r>
          </w:p>
        </w:tc>
        <w:tc>
          <w:tcPr>
            <w:tcW w:w="1335" w:type="dxa"/>
            <w:vAlign w:val="top"/>
          </w:tcPr>
          <w:p>
            <w:pPr>
              <w:ind w:left="51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w:t>
            </w:r>
          </w:p>
        </w:tc>
        <w:tc>
          <w:tcPr>
            <w:tcW w:w="1401" w:type="dxa"/>
            <w:vAlign w:val="top"/>
          </w:tcPr>
          <w:p>
            <w:pPr>
              <w:ind w:left="457"/>
              <w:spacing w:before="50" w:line="21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2"/>
              </w:rPr>
              <w:t>μg/m</w:t>
            </w:r>
            <w:r>
              <w:rPr>
                <w:rFonts w:ascii="Times New Roman" w:hAnsi="Times New Roman" w:eastAsia="Times New Roman" w:cs="Times New Roman"/>
                <w:sz w:val="13"/>
                <w:szCs w:val="13"/>
                <w:spacing w:val="2"/>
                <w:position w:val="6"/>
              </w:rPr>
              <w:t>3</w:t>
            </w:r>
          </w:p>
        </w:tc>
        <w:tc>
          <w:tcPr>
            <w:tcW w:w="2371" w:type="dxa"/>
            <w:vAlign w:val="top"/>
            <w:vMerge w:val="continue"/>
            <w:tcBorders>
              <w:top w:val="nil"/>
            </w:tcBorders>
          </w:tcPr>
          <w:p>
            <w:pPr>
              <w:rPr>
                <w:rFonts w:ascii="Arial"/>
                <w:sz w:val="21"/>
              </w:rPr>
            </w:pPr>
            <w:r/>
          </w:p>
        </w:tc>
      </w:tr>
    </w:tbl>
    <w:p>
      <w:pPr>
        <w:ind w:left="527"/>
        <w:spacing w:before="37"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）地下水环境质量标准</w:t>
      </w:r>
    </w:p>
    <w:p>
      <w:pPr>
        <w:ind w:left="37" w:right="77" w:firstLine="478"/>
        <w:spacing w:before="180" w:line="359" w:lineRule="auto"/>
        <w:rPr>
          <w:rFonts w:ascii="SimSun" w:hAnsi="SimSun" w:eastAsia="SimSun" w:cs="SimSun"/>
          <w:sz w:val="24"/>
          <w:szCs w:val="24"/>
        </w:rPr>
      </w:pPr>
      <w:r>
        <w:rPr>
          <w:rFonts w:ascii="SimSun" w:hAnsi="SimSun" w:eastAsia="SimSun" w:cs="SimSun"/>
          <w:sz w:val="24"/>
          <w:szCs w:val="24"/>
          <w:spacing w:val="2"/>
        </w:rPr>
        <w:t>地下水执行《地下水质量标准》（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2"/>
        </w:rPr>
        <w:t>/T14848-2017</w:t>
      </w:r>
      <w:r>
        <w:rPr>
          <w:rFonts w:ascii="SimSun" w:hAnsi="SimSun" w:eastAsia="SimSun" w:cs="SimSun"/>
          <w:sz w:val="24"/>
          <w:szCs w:val="24"/>
          <w:spacing w:val="2"/>
        </w:rPr>
        <w:t>）</w:t>
      </w:r>
      <w:r>
        <w:rPr>
          <w:rFonts w:ascii="Times New Roman" w:hAnsi="Times New Roman" w:eastAsia="Times New Roman" w:cs="Times New Roman"/>
          <w:sz w:val="24"/>
          <w:szCs w:val="24"/>
          <w:spacing w:val="2"/>
        </w:rPr>
        <w:t>Ⅲ</w:t>
      </w:r>
      <w:r>
        <w:rPr>
          <w:rFonts w:ascii="SimSun" w:hAnsi="SimSun" w:eastAsia="SimSun" w:cs="SimSun"/>
          <w:sz w:val="24"/>
          <w:szCs w:val="24"/>
          <w:spacing w:val="2"/>
        </w:rPr>
        <w:t>类标准，其中石油类 </w:t>
      </w:r>
      <w:r>
        <w:rPr>
          <w:rFonts w:ascii="SimSun" w:hAnsi="SimSun" w:eastAsia="SimSun" w:cs="SimSun"/>
          <w:sz w:val="24"/>
          <w:szCs w:val="24"/>
        </w:rPr>
        <w:t>参照执行《地表水环境质量标准》（</w:t>
      </w:r>
      <w:r>
        <w:rPr>
          <w:rFonts w:ascii="Times New Roman" w:hAnsi="Times New Roman" w:eastAsia="Times New Roman" w:cs="Times New Roman"/>
          <w:sz w:val="24"/>
          <w:szCs w:val="24"/>
        </w:rPr>
        <w:t>GB3838-2</w:t>
      </w:r>
      <w:r>
        <w:rPr>
          <w:rFonts w:ascii="Times New Roman" w:hAnsi="Times New Roman" w:eastAsia="Times New Roman" w:cs="Times New Roman"/>
          <w:sz w:val="24"/>
          <w:szCs w:val="24"/>
          <w:spacing w:val="-1"/>
        </w:rPr>
        <w:t>002</w:t>
      </w:r>
      <w:r>
        <w:rPr>
          <w:rFonts w:ascii="SimSun" w:hAnsi="SimSun" w:eastAsia="SimSun" w:cs="SimSun"/>
          <w:sz w:val="24"/>
          <w:szCs w:val="24"/>
          <w:spacing w:val="-1"/>
        </w:rPr>
        <w:t>）中Ⅲ类标准。详见表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2.6-3</w:t>
      </w:r>
      <w:r>
        <w:rPr>
          <w:rFonts w:ascii="SimSun" w:hAnsi="SimSun" w:eastAsia="SimSun" w:cs="SimSun"/>
          <w:sz w:val="24"/>
          <w:szCs w:val="24"/>
          <w:spacing w:val="-1"/>
        </w:rPr>
        <w:t>。</w:t>
      </w:r>
    </w:p>
    <w:p>
      <w:pPr>
        <w:ind w:left="1686"/>
        <w:spacing w:before="1" w:line="210" w:lineRule="auto"/>
        <w:rPr>
          <w:rFonts w:ascii="Times New Roman" w:hAnsi="Times New Roman" w:eastAsia="Times New Roman" w:cs="Times New Roman"/>
          <w:sz w:val="24"/>
          <w:szCs w:val="24"/>
        </w:rPr>
      </w:pPr>
      <w:r>
        <w:rPr>
          <w:rFonts w:ascii="SimSun" w:hAnsi="SimSun" w:eastAsia="SimSun" w:cs="SimSun"/>
          <w:sz w:val="24"/>
          <w:szCs w:val="24"/>
          <w:b/>
          <w:bCs/>
          <w:spacing w:val="-1"/>
        </w:rPr>
        <w:t>表</w:t>
      </w:r>
      <w:r>
        <w:rPr>
          <w:rFonts w:ascii="SimSun" w:hAnsi="SimSun" w:eastAsia="SimSun" w:cs="SimSun"/>
          <w:sz w:val="24"/>
          <w:szCs w:val="24"/>
          <w:spacing w:val="-55"/>
        </w:rPr>
        <w:t xml:space="preserve"> </w:t>
      </w:r>
      <w:r>
        <w:rPr>
          <w:rFonts w:ascii="Times New Roman" w:hAnsi="Times New Roman" w:eastAsia="Times New Roman" w:cs="Times New Roman"/>
          <w:sz w:val="24"/>
          <w:szCs w:val="24"/>
          <w:b/>
          <w:bCs/>
          <w:spacing w:val="-1"/>
        </w:rPr>
        <w:t>2.6-3        </w:t>
      </w:r>
      <w:r>
        <w:rPr>
          <w:rFonts w:ascii="SimSun" w:hAnsi="SimSun" w:eastAsia="SimSun" w:cs="SimSun"/>
          <w:sz w:val="24"/>
          <w:szCs w:val="24"/>
          <w:b/>
          <w:bCs/>
          <w:spacing w:val="-1"/>
        </w:rPr>
        <w:t>地下水环境质量标准</w:t>
      </w:r>
      <w:r>
        <w:rPr>
          <w:rFonts w:ascii="SimSun" w:hAnsi="SimSun" w:eastAsia="SimSun" w:cs="SimSun"/>
          <w:sz w:val="24"/>
          <w:szCs w:val="24"/>
          <w:spacing w:val="-1"/>
        </w:rPr>
        <w:t xml:space="preserve">    </w:t>
      </w:r>
      <w:r>
        <w:rPr>
          <w:rFonts w:ascii="SimSun" w:hAnsi="SimSun" w:eastAsia="SimSun" w:cs="SimSun"/>
          <w:sz w:val="24"/>
          <w:szCs w:val="24"/>
          <w:b/>
          <w:bCs/>
          <w:spacing w:val="-1"/>
        </w:rPr>
        <w:t>单位：</w:t>
      </w:r>
      <w:r>
        <w:rPr>
          <w:rFonts w:ascii="Times New Roman" w:hAnsi="Times New Roman" w:eastAsia="Times New Roman" w:cs="Times New Roman"/>
          <w:sz w:val="24"/>
          <w:szCs w:val="24"/>
          <w:b/>
          <w:bCs/>
          <w:spacing w:val="-1"/>
        </w:rPr>
        <w:t>mg/L</w:t>
      </w:r>
    </w:p>
    <w:p>
      <w:pPr>
        <w:spacing w:line="28" w:lineRule="auto"/>
        <w:rPr>
          <w:rFonts w:ascii="Arial"/>
          <w:sz w:val="2"/>
        </w:rPr>
      </w:pPr>
      <w:r>
        <w:rPr>
          <w:rFonts w:ascii="Arial"/>
          <w:sz w:val="2"/>
        </w:rPr>
      </w:r>
    </w:p>
    <w:tbl>
      <w:tblPr>
        <w:tblStyle w:val="TableNormal"/>
        <w:tblW w:w="8519" w:type="dxa"/>
        <w:tblInd w:w="18"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12"/>
        <w:gridCol w:w="2553"/>
        <w:gridCol w:w="1094"/>
        <w:gridCol w:w="743"/>
        <w:gridCol w:w="2420"/>
        <w:gridCol w:w="997"/>
      </w:tblGrid>
      <w:tr>
        <w:trPr>
          <w:trHeight w:val="281" w:hRule="atLeast"/>
        </w:trPr>
        <w:tc>
          <w:tcPr>
            <w:tcW w:w="712" w:type="dxa"/>
            <w:vAlign w:val="top"/>
          </w:tcPr>
          <w:p>
            <w:pPr>
              <w:pStyle w:val="TableText"/>
              <w:ind w:left="151"/>
              <w:spacing w:before="35" w:line="217" w:lineRule="auto"/>
              <w:rPr/>
            </w:pPr>
            <w:r>
              <w:rPr>
                <w:spacing w:val="5"/>
              </w:rPr>
              <w:t>序号</w:t>
            </w:r>
          </w:p>
        </w:tc>
        <w:tc>
          <w:tcPr>
            <w:tcW w:w="2553" w:type="dxa"/>
            <w:vAlign w:val="top"/>
          </w:tcPr>
          <w:p>
            <w:pPr>
              <w:pStyle w:val="TableText"/>
              <w:ind w:left="1073"/>
              <w:spacing w:before="35" w:line="217" w:lineRule="auto"/>
              <w:rPr/>
            </w:pPr>
            <w:r>
              <w:rPr>
                <w:spacing w:val="3"/>
              </w:rPr>
              <w:t>项目</w:t>
            </w:r>
          </w:p>
        </w:tc>
        <w:tc>
          <w:tcPr>
            <w:tcW w:w="1094" w:type="dxa"/>
            <w:vAlign w:val="top"/>
          </w:tcPr>
          <w:p>
            <w:pPr>
              <w:pStyle w:val="TableText"/>
              <w:ind w:left="238"/>
              <w:spacing w:before="35" w:line="217" w:lineRule="auto"/>
              <w:rPr/>
            </w:pPr>
            <w:r>
              <w:rPr>
                <w:spacing w:val="6"/>
              </w:rPr>
              <w:t>标准值</w:t>
            </w:r>
          </w:p>
        </w:tc>
        <w:tc>
          <w:tcPr>
            <w:tcW w:w="743" w:type="dxa"/>
            <w:vAlign w:val="top"/>
          </w:tcPr>
          <w:p>
            <w:pPr>
              <w:pStyle w:val="TableText"/>
              <w:ind w:left="168"/>
              <w:spacing w:before="35" w:line="217" w:lineRule="auto"/>
              <w:rPr/>
            </w:pPr>
            <w:r>
              <w:rPr>
                <w:spacing w:val="5"/>
              </w:rPr>
              <w:t>序号</w:t>
            </w:r>
          </w:p>
        </w:tc>
        <w:tc>
          <w:tcPr>
            <w:tcW w:w="2420" w:type="dxa"/>
            <w:vAlign w:val="top"/>
          </w:tcPr>
          <w:p>
            <w:pPr>
              <w:pStyle w:val="TableText"/>
              <w:ind w:left="1010"/>
              <w:spacing w:before="35" w:line="217" w:lineRule="auto"/>
              <w:rPr/>
            </w:pPr>
            <w:r>
              <w:rPr>
                <w:spacing w:val="3"/>
              </w:rPr>
              <w:t>项目</w:t>
            </w:r>
          </w:p>
        </w:tc>
        <w:tc>
          <w:tcPr>
            <w:tcW w:w="997" w:type="dxa"/>
            <w:vAlign w:val="top"/>
          </w:tcPr>
          <w:p>
            <w:pPr>
              <w:pStyle w:val="TableText"/>
              <w:ind w:left="189"/>
              <w:spacing w:before="35" w:line="217" w:lineRule="auto"/>
              <w:rPr/>
            </w:pPr>
            <w:r>
              <w:rPr>
                <w:spacing w:val="6"/>
              </w:rPr>
              <w:t>标准值</w:t>
            </w:r>
          </w:p>
        </w:tc>
      </w:tr>
      <w:tr>
        <w:trPr>
          <w:trHeight w:val="277" w:hRule="atLeast"/>
        </w:trPr>
        <w:tc>
          <w:tcPr>
            <w:tcW w:w="712" w:type="dxa"/>
            <w:vAlign w:val="top"/>
          </w:tcPr>
          <w:p>
            <w:pPr>
              <w:ind w:left="32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553" w:type="dxa"/>
            <w:vAlign w:val="top"/>
          </w:tcPr>
          <w:p>
            <w:pPr>
              <w:pStyle w:val="TableText"/>
              <w:ind w:left="620"/>
              <w:spacing w:before="33" w:line="216" w:lineRule="auto"/>
              <w:rPr/>
            </w:pPr>
            <w:r>
              <w:rPr>
                <w:rFonts w:ascii="Times New Roman" w:hAnsi="Times New Roman" w:eastAsia="Times New Roman" w:cs="Times New Roman"/>
              </w:rPr>
              <w:t>pH</w:t>
            </w:r>
            <w:r>
              <w:rPr>
                <w:spacing w:val="9"/>
              </w:rPr>
              <w:t>（无量纲）</w:t>
            </w:r>
          </w:p>
        </w:tc>
        <w:tc>
          <w:tcPr>
            <w:tcW w:w="1094" w:type="dxa"/>
            <w:vAlign w:val="top"/>
          </w:tcPr>
          <w:p>
            <w:pPr>
              <w:ind w:left="234"/>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6.5~8.5</w:t>
            </w:r>
          </w:p>
        </w:tc>
        <w:tc>
          <w:tcPr>
            <w:tcW w:w="743" w:type="dxa"/>
            <w:vAlign w:val="top"/>
          </w:tcPr>
          <w:p>
            <w:pPr>
              <w:ind w:left="28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18</w:t>
            </w:r>
          </w:p>
        </w:tc>
        <w:tc>
          <w:tcPr>
            <w:tcW w:w="2420" w:type="dxa"/>
            <w:vAlign w:val="top"/>
          </w:tcPr>
          <w:p>
            <w:pPr>
              <w:pStyle w:val="TableText"/>
              <w:ind w:left="146"/>
              <w:spacing w:before="33" w:line="216" w:lineRule="auto"/>
              <w:rPr/>
            </w:pPr>
            <w:r>
              <w:rPr>
                <w:spacing w:val="7"/>
              </w:rPr>
              <w:t>总硬度（以</w:t>
            </w:r>
            <w:r>
              <w:rPr>
                <w:spacing w:val="-40"/>
              </w:rPr>
              <w:t xml:space="preserve"> </w:t>
            </w:r>
            <w:r>
              <w:rPr>
                <w:rFonts w:ascii="Times New Roman" w:hAnsi="Times New Roman" w:eastAsia="Times New Roman" w:cs="Times New Roman"/>
              </w:rPr>
              <w:t>CaCO</w:t>
            </w:r>
            <w:r>
              <w:rPr>
                <w:rFonts w:ascii="Times New Roman" w:hAnsi="Times New Roman" w:eastAsia="Times New Roman" w:cs="Times New Roman"/>
                <w:sz w:val="13"/>
                <w:szCs w:val="13"/>
                <w:spacing w:val="7"/>
                <w:position w:val="-1"/>
              </w:rPr>
              <w:t>3</w:t>
            </w:r>
            <w:r>
              <w:rPr>
                <w:rFonts w:ascii="Times New Roman" w:hAnsi="Times New Roman" w:eastAsia="Times New Roman" w:cs="Times New Roman"/>
                <w:sz w:val="13"/>
                <w:szCs w:val="13"/>
                <w:spacing w:val="11"/>
                <w:position w:val="-1"/>
              </w:rPr>
              <w:t xml:space="preserve"> </w:t>
            </w:r>
            <w:r>
              <w:rPr>
                <w:spacing w:val="7"/>
              </w:rPr>
              <w:t>计）</w:t>
            </w:r>
          </w:p>
        </w:tc>
        <w:tc>
          <w:tcPr>
            <w:tcW w:w="997" w:type="dxa"/>
            <w:vAlign w:val="top"/>
          </w:tcPr>
          <w:p>
            <w:pPr>
              <w:ind w:left="28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≤450</w:t>
            </w:r>
          </w:p>
        </w:tc>
      </w:tr>
      <w:tr>
        <w:trPr>
          <w:trHeight w:val="277" w:hRule="atLeast"/>
        </w:trPr>
        <w:tc>
          <w:tcPr>
            <w:tcW w:w="712" w:type="dxa"/>
            <w:vAlign w:val="top"/>
          </w:tcPr>
          <w:p>
            <w:pPr>
              <w:ind w:left="30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553" w:type="dxa"/>
            <w:vAlign w:val="top"/>
          </w:tcPr>
          <w:p>
            <w:pPr>
              <w:pStyle w:val="TableText"/>
              <w:ind w:left="523"/>
              <w:spacing w:before="31" w:line="217" w:lineRule="auto"/>
              <w:rPr/>
            </w:pPr>
            <w:r>
              <w:rPr>
                <w:spacing w:val="6"/>
              </w:rPr>
              <w:t>氨氮（以</w:t>
            </w:r>
            <w:r>
              <w:rPr>
                <w:spacing w:val="-46"/>
              </w:rPr>
              <w:t xml:space="preserve"> </w:t>
            </w:r>
            <w:r>
              <w:rPr>
                <w:rFonts w:ascii="Times New Roman" w:hAnsi="Times New Roman" w:eastAsia="Times New Roman" w:cs="Times New Roman"/>
                <w:spacing w:val="6"/>
              </w:rPr>
              <w:t>N </w:t>
            </w:r>
            <w:r>
              <w:rPr>
                <w:spacing w:val="6"/>
              </w:rPr>
              <w:t>计）</w:t>
            </w:r>
          </w:p>
        </w:tc>
        <w:tc>
          <w:tcPr>
            <w:tcW w:w="1094" w:type="dxa"/>
            <w:vAlign w:val="top"/>
          </w:tcPr>
          <w:p>
            <w:pPr>
              <w:ind w:left="35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≤0.5</w:t>
            </w:r>
          </w:p>
        </w:tc>
        <w:tc>
          <w:tcPr>
            <w:tcW w:w="743" w:type="dxa"/>
            <w:vAlign w:val="top"/>
          </w:tcPr>
          <w:p>
            <w:pPr>
              <w:ind w:left="288"/>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19</w:t>
            </w:r>
          </w:p>
        </w:tc>
        <w:tc>
          <w:tcPr>
            <w:tcW w:w="2420" w:type="dxa"/>
            <w:vAlign w:val="top"/>
          </w:tcPr>
          <w:p>
            <w:pPr>
              <w:pStyle w:val="TableText"/>
              <w:ind w:left="905"/>
              <w:spacing w:before="31" w:line="217" w:lineRule="auto"/>
              <w:rPr/>
            </w:pPr>
            <w:r>
              <w:rPr>
                <w:spacing w:val="5"/>
              </w:rPr>
              <w:t>氯化物</w:t>
            </w:r>
          </w:p>
        </w:tc>
        <w:tc>
          <w:tcPr>
            <w:tcW w:w="997" w:type="dxa"/>
            <w:vAlign w:val="top"/>
          </w:tcPr>
          <w:p>
            <w:pPr>
              <w:ind w:left="283"/>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≤250</w:t>
            </w:r>
          </w:p>
        </w:tc>
      </w:tr>
      <w:tr>
        <w:trPr>
          <w:trHeight w:val="277" w:hRule="atLeast"/>
        </w:trPr>
        <w:tc>
          <w:tcPr>
            <w:tcW w:w="712" w:type="dxa"/>
            <w:vAlign w:val="top"/>
          </w:tcPr>
          <w:p>
            <w:pPr>
              <w:ind w:left="30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2553" w:type="dxa"/>
            <w:vAlign w:val="top"/>
          </w:tcPr>
          <w:p>
            <w:pPr>
              <w:pStyle w:val="TableText"/>
              <w:ind w:left="419"/>
              <w:spacing w:before="33" w:line="216" w:lineRule="auto"/>
              <w:rPr/>
            </w:pPr>
            <w:r>
              <w:rPr>
                <w:spacing w:val="6"/>
              </w:rPr>
              <w:t>硝酸盐（以</w:t>
            </w:r>
            <w:r>
              <w:rPr>
                <w:spacing w:val="-45"/>
              </w:rPr>
              <w:t xml:space="preserve"> </w:t>
            </w:r>
            <w:r>
              <w:rPr>
                <w:rFonts w:ascii="Times New Roman" w:hAnsi="Times New Roman" w:eastAsia="Times New Roman" w:cs="Times New Roman"/>
                <w:spacing w:val="6"/>
              </w:rPr>
              <w:t>N </w:t>
            </w:r>
            <w:r>
              <w:rPr>
                <w:spacing w:val="6"/>
              </w:rPr>
              <w:t>计）</w:t>
            </w:r>
          </w:p>
        </w:tc>
        <w:tc>
          <w:tcPr>
            <w:tcW w:w="1094" w:type="dxa"/>
            <w:vAlign w:val="top"/>
          </w:tcPr>
          <w:p>
            <w:pPr>
              <w:ind w:left="38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w:t>
            </w:r>
          </w:p>
        </w:tc>
        <w:tc>
          <w:tcPr>
            <w:tcW w:w="743" w:type="dxa"/>
            <w:vAlign w:val="top"/>
          </w:tcPr>
          <w:p>
            <w:pPr>
              <w:ind w:left="26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2420" w:type="dxa"/>
            <w:vAlign w:val="top"/>
          </w:tcPr>
          <w:p>
            <w:pPr>
              <w:pStyle w:val="TableText"/>
              <w:ind w:left="902"/>
              <w:spacing w:before="33" w:line="216" w:lineRule="auto"/>
              <w:rPr/>
            </w:pPr>
            <w:r>
              <w:rPr>
                <w:spacing w:val="6"/>
              </w:rPr>
              <w:t>氟化物</w:t>
            </w:r>
          </w:p>
        </w:tc>
        <w:tc>
          <w:tcPr>
            <w:tcW w:w="997" w:type="dxa"/>
            <w:vAlign w:val="top"/>
          </w:tcPr>
          <w:p>
            <w:pPr>
              <w:ind w:left="30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w:t>
            </w:r>
          </w:p>
        </w:tc>
      </w:tr>
      <w:tr>
        <w:trPr>
          <w:trHeight w:val="277" w:hRule="atLeast"/>
        </w:trPr>
        <w:tc>
          <w:tcPr>
            <w:tcW w:w="712" w:type="dxa"/>
            <w:vAlign w:val="top"/>
          </w:tcPr>
          <w:p>
            <w:pPr>
              <w:ind w:left="30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2553" w:type="dxa"/>
            <w:vAlign w:val="top"/>
          </w:tcPr>
          <w:p>
            <w:pPr>
              <w:pStyle w:val="TableText"/>
              <w:ind w:left="313"/>
              <w:spacing w:before="34" w:line="215" w:lineRule="auto"/>
              <w:rPr/>
            </w:pPr>
            <w:r>
              <w:rPr>
                <w:spacing w:val="6"/>
              </w:rPr>
              <w:t>亚硝酸盐（以</w:t>
            </w:r>
            <w:r>
              <w:rPr>
                <w:spacing w:val="-40"/>
              </w:rPr>
              <w:t xml:space="preserve"> </w:t>
            </w:r>
            <w:r>
              <w:rPr>
                <w:rFonts w:ascii="Times New Roman" w:hAnsi="Times New Roman" w:eastAsia="Times New Roman" w:cs="Times New Roman"/>
                <w:spacing w:val="6"/>
              </w:rPr>
              <w:t>N </w:t>
            </w:r>
            <w:r>
              <w:rPr>
                <w:spacing w:val="6"/>
              </w:rPr>
              <w:t>计）</w:t>
            </w:r>
          </w:p>
        </w:tc>
        <w:tc>
          <w:tcPr>
            <w:tcW w:w="1094" w:type="dxa"/>
            <w:vAlign w:val="top"/>
          </w:tcPr>
          <w:p>
            <w:pPr>
              <w:ind w:left="35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w:t>
            </w:r>
          </w:p>
        </w:tc>
        <w:tc>
          <w:tcPr>
            <w:tcW w:w="743" w:type="dxa"/>
            <w:vAlign w:val="top"/>
          </w:tcPr>
          <w:p>
            <w:pPr>
              <w:ind w:left="268"/>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21</w:t>
            </w:r>
          </w:p>
        </w:tc>
        <w:tc>
          <w:tcPr>
            <w:tcW w:w="2420" w:type="dxa"/>
            <w:vAlign w:val="top"/>
          </w:tcPr>
          <w:p>
            <w:pPr>
              <w:pStyle w:val="TableText"/>
              <w:ind w:left="901"/>
              <w:spacing w:before="34" w:line="215" w:lineRule="auto"/>
              <w:rPr/>
            </w:pPr>
            <w:r>
              <w:rPr>
                <w:spacing w:val="7"/>
              </w:rPr>
              <w:t>氰化物</w:t>
            </w:r>
          </w:p>
        </w:tc>
        <w:tc>
          <w:tcPr>
            <w:tcW w:w="997" w:type="dxa"/>
            <w:vAlign w:val="top"/>
          </w:tcPr>
          <w:p>
            <w:pPr>
              <w:ind w:left="25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≤0.05</w:t>
            </w:r>
          </w:p>
        </w:tc>
      </w:tr>
      <w:tr>
        <w:trPr>
          <w:trHeight w:val="277" w:hRule="atLeast"/>
        </w:trPr>
        <w:tc>
          <w:tcPr>
            <w:tcW w:w="712" w:type="dxa"/>
            <w:vAlign w:val="top"/>
          </w:tcPr>
          <w:p>
            <w:pPr>
              <w:ind w:left="310"/>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2553" w:type="dxa"/>
            <w:vAlign w:val="top"/>
          </w:tcPr>
          <w:p>
            <w:pPr>
              <w:pStyle w:val="TableText"/>
              <w:ind w:left="123"/>
              <w:spacing w:before="33" w:line="216" w:lineRule="auto"/>
              <w:rPr/>
            </w:pPr>
            <w:r>
              <w:rPr>
                <w:spacing w:val="8"/>
              </w:rPr>
              <w:t>挥发性酚类（以苯酚计）</w:t>
            </w:r>
          </w:p>
        </w:tc>
        <w:tc>
          <w:tcPr>
            <w:tcW w:w="1094" w:type="dxa"/>
            <w:vAlign w:val="top"/>
          </w:tcPr>
          <w:p>
            <w:pPr>
              <w:ind w:left="254"/>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≤0.002</w:t>
            </w:r>
          </w:p>
        </w:tc>
        <w:tc>
          <w:tcPr>
            <w:tcW w:w="743" w:type="dxa"/>
            <w:vAlign w:val="top"/>
          </w:tcPr>
          <w:p>
            <w:pPr>
              <w:ind w:left="26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22</w:t>
            </w:r>
          </w:p>
        </w:tc>
        <w:tc>
          <w:tcPr>
            <w:tcW w:w="2420" w:type="dxa"/>
            <w:vAlign w:val="top"/>
          </w:tcPr>
          <w:p>
            <w:pPr>
              <w:pStyle w:val="TableText"/>
              <w:ind w:left="901"/>
              <w:spacing w:before="33" w:line="216" w:lineRule="auto"/>
              <w:rPr/>
            </w:pPr>
            <w:r>
              <w:rPr>
                <w:spacing w:val="7"/>
              </w:rPr>
              <w:t>硫酸盐</w:t>
            </w:r>
          </w:p>
        </w:tc>
        <w:tc>
          <w:tcPr>
            <w:tcW w:w="997" w:type="dxa"/>
            <w:vAlign w:val="top"/>
          </w:tcPr>
          <w:p>
            <w:pPr>
              <w:ind w:left="28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≤250</w:t>
            </w:r>
          </w:p>
        </w:tc>
      </w:tr>
      <w:tr>
        <w:trPr>
          <w:trHeight w:val="278" w:hRule="atLeast"/>
        </w:trPr>
        <w:tc>
          <w:tcPr>
            <w:tcW w:w="712" w:type="dxa"/>
            <w:vAlign w:val="top"/>
          </w:tcPr>
          <w:p>
            <w:pPr>
              <w:ind w:left="30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2553" w:type="dxa"/>
            <w:vAlign w:val="top"/>
          </w:tcPr>
          <w:p>
            <w:pPr>
              <w:pStyle w:val="TableText"/>
              <w:ind w:left="965"/>
              <w:spacing w:before="33" w:line="216" w:lineRule="auto"/>
              <w:rPr/>
            </w:pPr>
            <w:r>
              <w:rPr>
                <w:spacing w:val="6"/>
              </w:rPr>
              <w:t>耗氧量</w:t>
            </w:r>
          </w:p>
        </w:tc>
        <w:tc>
          <w:tcPr>
            <w:tcW w:w="1094" w:type="dxa"/>
            <w:vAlign w:val="top"/>
          </w:tcPr>
          <w:p>
            <w:pPr>
              <w:ind w:left="35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w:t>
            </w:r>
          </w:p>
        </w:tc>
        <w:tc>
          <w:tcPr>
            <w:tcW w:w="743" w:type="dxa"/>
            <w:vAlign w:val="top"/>
          </w:tcPr>
          <w:p>
            <w:pPr>
              <w:ind w:left="268"/>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23</w:t>
            </w:r>
          </w:p>
        </w:tc>
        <w:tc>
          <w:tcPr>
            <w:tcW w:w="2420" w:type="dxa"/>
            <w:vAlign w:val="top"/>
          </w:tcPr>
          <w:p>
            <w:pPr>
              <w:pStyle w:val="TableText"/>
              <w:ind w:left="590"/>
              <w:spacing w:before="33" w:line="216" w:lineRule="auto"/>
              <w:rPr/>
            </w:pPr>
            <w:r>
              <w:rPr>
                <w:spacing w:val="7"/>
              </w:rPr>
              <w:t>溶解性总固体</w:t>
            </w:r>
          </w:p>
        </w:tc>
        <w:tc>
          <w:tcPr>
            <w:tcW w:w="997" w:type="dxa"/>
            <w:vAlign w:val="top"/>
          </w:tcPr>
          <w:p>
            <w:pPr>
              <w:ind w:left="23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≤1000</w:t>
            </w:r>
          </w:p>
        </w:tc>
      </w:tr>
      <w:tr>
        <w:trPr>
          <w:trHeight w:val="277" w:hRule="atLeast"/>
        </w:trPr>
        <w:tc>
          <w:tcPr>
            <w:tcW w:w="712" w:type="dxa"/>
            <w:vAlign w:val="top"/>
          </w:tcPr>
          <w:p>
            <w:pPr>
              <w:ind w:left="308"/>
              <w:spacing w:before="7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2553" w:type="dxa"/>
            <w:vAlign w:val="top"/>
          </w:tcPr>
          <w:p>
            <w:pPr>
              <w:pStyle w:val="TableText"/>
              <w:ind w:left="1175"/>
              <w:spacing w:before="31" w:line="217" w:lineRule="auto"/>
              <w:rPr/>
            </w:pPr>
            <w:r>
              <w:rPr>
                <w:spacing w:val="1"/>
              </w:rPr>
              <w:t>砷</w:t>
            </w:r>
          </w:p>
        </w:tc>
        <w:tc>
          <w:tcPr>
            <w:tcW w:w="1094" w:type="dxa"/>
            <w:vAlign w:val="top"/>
          </w:tcPr>
          <w:p>
            <w:pPr>
              <w:ind w:left="306"/>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≤0.01</w:t>
            </w:r>
          </w:p>
        </w:tc>
        <w:tc>
          <w:tcPr>
            <w:tcW w:w="743" w:type="dxa"/>
            <w:vAlign w:val="top"/>
          </w:tcPr>
          <w:p>
            <w:pPr>
              <w:ind w:left="268"/>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24</w:t>
            </w:r>
          </w:p>
        </w:tc>
        <w:tc>
          <w:tcPr>
            <w:tcW w:w="2420" w:type="dxa"/>
            <w:vAlign w:val="top"/>
          </w:tcPr>
          <w:p>
            <w:pPr>
              <w:pStyle w:val="TableText"/>
              <w:ind w:left="55"/>
              <w:spacing w:before="31" w:line="217" w:lineRule="auto"/>
              <w:rPr>
                <w:rFonts w:ascii="Times New Roman" w:hAnsi="Times New Roman" w:eastAsia="Times New Roman" w:cs="Times New Roman"/>
              </w:rPr>
            </w:pPr>
            <w:r>
              <w:rPr>
                <w:spacing w:val="9"/>
              </w:rPr>
              <w:t>总大肠菌群，</w:t>
            </w:r>
            <w:r>
              <w:rPr>
                <w:rFonts w:ascii="Times New Roman" w:hAnsi="Times New Roman" w:eastAsia="Times New Roman" w:cs="Times New Roman"/>
              </w:rPr>
              <w:t>CFU</w:t>
            </w:r>
            <w:r>
              <w:rPr>
                <w:rFonts w:ascii="Times New Roman" w:hAnsi="Times New Roman" w:eastAsia="Times New Roman" w:cs="Times New Roman"/>
                <w:spacing w:val="9"/>
              </w:rPr>
              <w:t>/100</w:t>
            </w:r>
            <w:r>
              <w:rPr>
                <w:rFonts w:ascii="Times New Roman" w:hAnsi="Times New Roman" w:eastAsia="Times New Roman" w:cs="Times New Roman"/>
              </w:rPr>
              <w:t>mL</w:t>
            </w:r>
          </w:p>
        </w:tc>
        <w:tc>
          <w:tcPr>
            <w:tcW w:w="997" w:type="dxa"/>
            <w:vAlign w:val="top"/>
          </w:tcPr>
          <w:p>
            <w:pPr>
              <w:ind w:left="309"/>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w:t>
            </w:r>
          </w:p>
        </w:tc>
      </w:tr>
      <w:tr>
        <w:trPr>
          <w:trHeight w:val="277" w:hRule="atLeast"/>
        </w:trPr>
        <w:tc>
          <w:tcPr>
            <w:tcW w:w="712" w:type="dxa"/>
            <w:vAlign w:val="top"/>
          </w:tcPr>
          <w:p>
            <w:pPr>
              <w:ind w:left="31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2553" w:type="dxa"/>
            <w:vAlign w:val="top"/>
          </w:tcPr>
          <w:p>
            <w:pPr>
              <w:pStyle w:val="TableText"/>
              <w:ind w:left="1176"/>
              <w:spacing w:before="33" w:line="216" w:lineRule="auto"/>
              <w:rPr/>
            </w:pPr>
            <w:r>
              <w:rPr/>
              <w:t>汞</w:t>
            </w:r>
          </w:p>
        </w:tc>
        <w:tc>
          <w:tcPr>
            <w:tcW w:w="1094" w:type="dxa"/>
            <w:vAlign w:val="top"/>
          </w:tcPr>
          <w:p>
            <w:pPr>
              <w:ind w:left="254"/>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≤0.001</w:t>
            </w:r>
          </w:p>
        </w:tc>
        <w:tc>
          <w:tcPr>
            <w:tcW w:w="743" w:type="dxa"/>
            <w:vAlign w:val="top"/>
          </w:tcPr>
          <w:p>
            <w:pPr>
              <w:ind w:left="26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2420" w:type="dxa"/>
            <w:vAlign w:val="top"/>
          </w:tcPr>
          <w:p>
            <w:pPr>
              <w:pStyle w:val="TableText"/>
              <w:ind w:left="159"/>
              <w:spacing w:before="33" w:line="216" w:lineRule="auto"/>
              <w:rPr>
                <w:rFonts w:ascii="Times New Roman" w:hAnsi="Times New Roman" w:eastAsia="Times New Roman" w:cs="Times New Roman"/>
              </w:rPr>
            </w:pPr>
            <w:r>
              <w:rPr>
                <w:spacing w:val="9"/>
              </w:rPr>
              <w:t>菌落总数，</w:t>
            </w:r>
            <w:r>
              <w:rPr>
                <w:rFonts w:ascii="Times New Roman" w:hAnsi="Times New Roman" w:eastAsia="Times New Roman" w:cs="Times New Roman"/>
              </w:rPr>
              <w:t>CFU</w:t>
            </w:r>
            <w:r>
              <w:rPr>
                <w:rFonts w:ascii="Times New Roman" w:hAnsi="Times New Roman" w:eastAsia="Times New Roman" w:cs="Times New Roman"/>
                <w:spacing w:val="9"/>
              </w:rPr>
              <w:t>/100</w:t>
            </w:r>
            <w:r>
              <w:rPr>
                <w:rFonts w:ascii="Times New Roman" w:hAnsi="Times New Roman" w:eastAsia="Times New Roman" w:cs="Times New Roman"/>
              </w:rPr>
              <w:t>mL</w:t>
            </w:r>
          </w:p>
        </w:tc>
        <w:tc>
          <w:tcPr>
            <w:tcW w:w="997" w:type="dxa"/>
            <w:vAlign w:val="top"/>
          </w:tcPr>
          <w:p>
            <w:pPr>
              <w:ind w:left="28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≤100</w:t>
            </w:r>
          </w:p>
        </w:tc>
      </w:tr>
      <w:tr>
        <w:trPr>
          <w:trHeight w:val="277" w:hRule="atLeast"/>
        </w:trPr>
        <w:tc>
          <w:tcPr>
            <w:tcW w:w="712" w:type="dxa"/>
            <w:vAlign w:val="top"/>
          </w:tcPr>
          <w:p>
            <w:pPr>
              <w:ind w:left="308"/>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2553" w:type="dxa"/>
            <w:vAlign w:val="top"/>
          </w:tcPr>
          <w:p>
            <w:pPr>
              <w:pStyle w:val="TableText"/>
              <w:ind w:left="755"/>
              <w:spacing w:before="35" w:line="214" w:lineRule="auto"/>
              <w:rPr/>
            </w:pPr>
            <w:r>
              <w:rPr>
                <w:spacing w:val="6"/>
              </w:rPr>
              <w:t>铬（六价）</w:t>
            </w:r>
          </w:p>
        </w:tc>
        <w:tc>
          <w:tcPr>
            <w:tcW w:w="1094" w:type="dxa"/>
            <w:vAlign w:val="top"/>
          </w:tcPr>
          <w:p>
            <w:pPr>
              <w:ind w:left="30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≤0.05</w:t>
            </w:r>
          </w:p>
        </w:tc>
        <w:tc>
          <w:tcPr>
            <w:tcW w:w="743" w:type="dxa"/>
            <w:vAlign w:val="top"/>
          </w:tcPr>
          <w:p>
            <w:pPr>
              <w:ind w:left="268"/>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26</w:t>
            </w:r>
          </w:p>
        </w:tc>
        <w:tc>
          <w:tcPr>
            <w:tcW w:w="2420" w:type="dxa"/>
            <w:vAlign w:val="top"/>
          </w:tcPr>
          <w:p>
            <w:pPr>
              <w:pStyle w:val="TableText"/>
              <w:ind w:left="392"/>
              <w:spacing w:before="35" w:line="214" w:lineRule="auto"/>
              <w:rPr/>
            </w:pPr>
            <w:r>
              <w:rPr>
                <w:spacing w:val="6"/>
              </w:rPr>
              <w:t>阴离子表面活性剂</w:t>
            </w:r>
          </w:p>
        </w:tc>
        <w:tc>
          <w:tcPr>
            <w:tcW w:w="997" w:type="dxa"/>
            <w:vAlign w:val="top"/>
          </w:tcPr>
          <w:p>
            <w:pPr>
              <w:ind w:left="30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≤0.3</w:t>
            </w:r>
          </w:p>
        </w:tc>
      </w:tr>
      <w:tr>
        <w:trPr>
          <w:trHeight w:val="277" w:hRule="atLeast"/>
        </w:trPr>
        <w:tc>
          <w:tcPr>
            <w:tcW w:w="712" w:type="dxa"/>
            <w:vAlign w:val="top"/>
          </w:tcPr>
          <w:p>
            <w:pPr>
              <w:ind w:left="27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2553" w:type="dxa"/>
            <w:vAlign w:val="top"/>
          </w:tcPr>
          <w:p>
            <w:pPr>
              <w:pStyle w:val="TableText"/>
              <w:ind w:left="1175"/>
              <w:spacing w:before="33" w:line="216" w:lineRule="auto"/>
              <w:rPr/>
            </w:pPr>
            <w:r>
              <w:rPr/>
              <w:t>铅</w:t>
            </w:r>
          </w:p>
        </w:tc>
        <w:tc>
          <w:tcPr>
            <w:tcW w:w="1094" w:type="dxa"/>
            <w:vAlign w:val="top"/>
          </w:tcPr>
          <w:p>
            <w:pPr>
              <w:ind w:left="30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≤0.01</w:t>
            </w:r>
          </w:p>
        </w:tc>
        <w:tc>
          <w:tcPr>
            <w:tcW w:w="743" w:type="dxa"/>
            <w:vAlign w:val="top"/>
          </w:tcPr>
          <w:p>
            <w:pPr>
              <w:ind w:left="26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27</w:t>
            </w:r>
          </w:p>
        </w:tc>
        <w:tc>
          <w:tcPr>
            <w:tcW w:w="2420" w:type="dxa"/>
            <w:vAlign w:val="top"/>
          </w:tcPr>
          <w:p>
            <w:pPr>
              <w:pStyle w:val="TableText"/>
              <w:ind w:left="1110"/>
              <w:spacing w:before="33" w:line="216" w:lineRule="auto"/>
              <w:rPr/>
            </w:pPr>
            <w:r>
              <w:rPr/>
              <w:t>铜</w:t>
            </w:r>
          </w:p>
        </w:tc>
        <w:tc>
          <w:tcPr>
            <w:tcW w:w="997" w:type="dxa"/>
            <w:vAlign w:val="top"/>
          </w:tcPr>
          <w:p>
            <w:pPr>
              <w:ind w:left="30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w:t>
            </w:r>
          </w:p>
        </w:tc>
      </w:tr>
      <w:tr>
        <w:trPr>
          <w:trHeight w:val="277" w:hRule="atLeast"/>
        </w:trPr>
        <w:tc>
          <w:tcPr>
            <w:tcW w:w="712" w:type="dxa"/>
            <w:vAlign w:val="top"/>
          </w:tcPr>
          <w:p>
            <w:pPr>
              <w:ind w:left="27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11</w:t>
            </w:r>
          </w:p>
        </w:tc>
        <w:tc>
          <w:tcPr>
            <w:tcW w:w="2553" w:type="dxa"/>
            <w:vAlign w:val="top"/>
          </w:tcPr>
          <w:p>
            <w:pPr>
              <w:pStyle w:val="TableText"/>
              <w:ind w:left="1174"/>
              <w:spacing w:before="35" w:line="214" w:lineRule="auto"/>
              <w:rPr/>
            </w:pPr>
            <w:r>
              <w:rPr>
                <w:spacing w:val="2"/>
              </w:rPr>
              <w:t>镉</w:t>
            </w:r>
          </w:p>
        </w:tc>
        <w:tc>
          <w:tcPr>
            <w:tcW w:w="1094" w:type="dxa"/>
            <w:vAlign w:val="top"/>
          </w:tcPr>
          <w:p>
            <w:pPr>
              <w:ind w:left="25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≤0.005</w:t>
            </w:r>
          </w:p>
        </w:tc>
        <w:tc>
          <w:tcPr>
            <w:tcW w:w="743" w:type="dxa"/>
            <w:vAlign w:val="top"/>
          </w:tcPr>
          <w:p>
            <w:pPr>
              <w:ind w:left="268"/>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c>
          <w:tcPr>
            <w:tcW w:w="2420" w:type="dxa"/>
            <w:vAlign w:val="top"/>
          </w:tcPr>
          <w:p>
            <w:pPr>
              <w:pStyle w:val="TableText"/>
              <w:ind w:left="1109"/>
              <w:spacing w:before="35" w:line="214" w:lineRule="auto"/>
              <w:rPr/>
            </w:pPr>
            <w:r>
              <w:rPr>
                <w:spacing w:val="1"/>
              </w:rPr>
              <w:t>锌</w:t>
            </w:r>
          </w:p>
        </w:tc>
        <w:tc>
          <w:tcPr>
            <w:tcW w:w="997" w:type="dxa"/>
            <w:vAlign w:val="top"/>
          </w:tcPr>
          <w:p>
            <w:pPr>
              <w:ind w:left="30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w:t>
            </w:r>
          </w:p>
        </w:tc>
      </w:tr>
      <w:tr>
        <w:trPr>
          <w:trHeight w:val="278" w:hRule="atLeast"/>
        </w:trPr>
        <w:tc>
          <w:tcPr>
            <w:tcW w:w="712" w:type="dxa"/>
            <w:vAlign w:val="top"/>
          </w:tcPr>
          <w:p>
            <w:pPr>
              <w:ind w:left="27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2553" w:type="dxa"/>
            <w:vAlign w:val="top"/>
          </w:tcPr>
          <w:p>
            <w:pPr>
              <w:pStyle w:val="TableText"/>
              <w:ind w:left="1175"/>
              <w:spacing w:before="36" w:line="214" w:lineRule="auto"/>
              <w:rPr/>
            </w:pPr>
            <w:r>
              <w:rPr>
                <w:spacing w:val="1"/>
              </w:rPr>
              <w:t>铁</w:t>
            </w:r>
          </w:p>
        </w:tc>
        <w:tc>
          <w:tcPr>
            <w:tcW w:w="1094" w:type="dxa"/>
            <w:vAlign w:val="top"/>
          </w:tcPr>
          <w:p>
            <w:pPr>
              <w:ind w:left="357"/>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≤0.3</w:t>
            </w:r>
          </w:p>
        </w:tc>
        <w:tc>
          <w:tcPr>
            <w:tcW w:w="743" w:type="dxa"/>
            <w:vAlign w:val="top"/>
          </w:tcPr>
          <w:p>
            <w:pPr>
              <w:ind w:left="26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29</w:t>
            </w:r>
          </w:p>
        </w:tc>
        <w:tc>
          <w:tcPr>
            <w:tcW w:w="2420" w:type="dxa"/>
            <w:vAlign w:val="top"/>
          </w:tcPr>
          <w:p>
            <w:pPr>
              <w:pStyle w:val="TableText"/>
              <w:ind w:left="1109"/>
              <w:spacing w:before="36" w:line="214" w:lineRule="auto"/>
              <w:rPr/>
            </w:pPr>
            <w:r>
              <w:rPr>
                <w:spacing w:val="1"/>
              </w:rPr>
              <w:t>钠</w:t>
            </w:r>
          </w:p>
        </w:tc>
        <w:tc>
          <w:tcPr>
            <w:tcW w:w="997" w:type="dxa"/>
            <w:vAlign w:val="top"/>
          </w:tcPr>
          <w:p>
            <w:pPr>
              <w:ind w:left="283"/>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≤200</w:t>
            </w:r>
          </w:p>
        </w:tc>
      </w:tr>
      <w:tr>
        <w:trPr>
          <w:trHeight w:val="277" w:hRule="atLeast"/>
        </w:trPr>
        <w:tc>
          <w:tcPr>
            <w:tcW w:w="712" w:type="dxa"/>
            <w:vAlign w:val="top"/>
          </w:tcPr>
          <w:p>
            <w:pPr>
              <w:ind w:left="27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13</w:t>
            </w:r>
          </w:p>
        </w:tc>
        <w:tc>
          <w:tcPr>
            <w:tcW w:w="2553" w:type="dxa"/>
            <w:vAlign w:val="top"/>
          </w:tcPr>
          <w:p>
            <w:pPr>
              <w:pStyle w:val="TableText"/>
              <w:ind w:left="1175"/>
              <w:spacing w:before="34" w:line="215" w:lineRule="auto"/>
              <w:rPr/>
            </w:pPr>
            <w:r>
              <w:rPr/>
              <w:t>锰</w:t>
            </w:r>
          </w:p>
        </w:tc>
        <w:tc>
          <w:tcPr>
            <w:tcW w:w="1094" w:type="dxa"/>
            <w:vAlign w:val="top"/>
          </w:tcPr>
          <w:p>
            <w:pPr>
              <w:ind w:left="35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2"/>
              </w:rPr>
              <w:t>1</w:t>
            </w:r>
          </w:p>
        </w:tc>
        <w:tc>
          <w:tcPr>
            <w:tcW w:w="743" w:type="dxa"/>
            <w:vAlign w:val="top"/>
          </w:tcPr>
          <w:p>
            <w:pPr>
              <w:ind w:left="27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2420" w:type="dxa"/>
            <w:vAlign w:val="top"/>
          </w:tcPr>
          <w:p>
            <w:pPr>
              <w:pStyle w:val="TableText"/>
              <w:ind w:left="1109"/>
              <w:spacing w:before="34" w:line="215" w:lineRule="auto"/>
              <w:rPr/>
            </w:pPr>
            <w:r>
              <w:rPr>
                <w:spacing w:val="2"/>
              </w:rPr>
              <w:t>硒</w:t>
            </w:r>
          </w:p>
        </w:tc>
        <w:tc>
          <w:tcPr>
            <w:tcW w:w="997" w:type="dxa"/>
            <w:vAlign w:val="top"/>
          </w:tcPr>
          <w:p>
            <w:pPr>
              <w:ind w:left="25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≤0.01</w:t>
            </w:r>
          </w:p>
        </w:tc>
      </w:tr>
      <w:tr>
        <w:trPr>
          <w:trHeight w:val="277" w:hRule="atLeast"/>
        </w:trPr>
        <w:tc>
          <w:tcPr>
            <w:tcW w:w="712" w:type="dxa"/>
            <w:vAlign w:val="top"/>
          </w:tcPr>
          <w:p>
            <w:pPr>
              <w:ind w:left="27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14</w:t>
            </w:r>
          </w:p>
        </w:tc>
        <w:tc>
          <w:tcPr>
            <w:tcW w:w="2553" w:type="dxa"/>
            <w:vAlign w:val="top"/>
          </w:tcPr>
          <w:p>
            <w:pPr>
              <w:pStyle w:val="TableText"/>
              <w:ind w:left="963"/>
              <w:spacing w:before="35" w:line="214" w:lineRule="auto"/>
              <w:rPr/>
            </w:pPr>
            <w:r>
              <w:rPr>
                <w:spacing w:val="7"/>
              </w:rPr>
              <w:t>硫化物</w:t>
            </w:r>
          </w:p>
        </w:tc>
        <w:tc>
          <w:tcPr>
            <w:tcW w:w="1094" w:type="dxa"/>
            <w:vAlign w:val="top"/>
          </w:tcPr>
          <w:p>
            <w:pPr>
              <w:ind w:left="30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≤0.02</w:t>
            </w:r>
          </w:p>
        </w:tc>
        <w:tc>
          <w:tcPr>
            <w:tcW w:w="743" w:type="dxa"/>
            <w:vAlign w:val="top"/>
          </w:tcPr>
          <w:p>
            <w:pPr>
              <w:ind w:left="27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31</w:t>
            </w:r>
          </w:p>
        </w:tc>
        <w:tc>
          <w:tcPr>
            <w:tcW w:w="2420" w:type="dxa"/>
            <w:vAlign w:val="top"/>
          </w:tcPr>
          <w:p>
            <w:pPr>
              <w:pStyle w:val="TableText"/>
              <w:ind w:left="1111"/>
              <w:spacing w:before="35" w:line="214" w:lineRule="auto"/>
              <w:rPr/>
            </w:pPr>
            <w:r>
              <w:rPr/>
              <w:t>铝</w:t>
            </w:r>
          </w:p>
        </w:tc>
        <w:tc>
          <w:tcPr>
            <w:tcW w:w="997" w:type="dxa"/>
            <w:vAlign w:val="top"/>
          </w:tcPr>
          <w:p>
            <w:pPr>
              <w:ind w:left="25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≤0.20</w:t>
            </w:r>
          </w:p>
        </w:tc>
      </w:tr>
      <w:tr>
        <w:trPr>
          <w:trHeight w:val="277" w:hRule="atLeast"/>
        </w:trPr>
        <w:tc>
          <w:tcPr>
            <w:tcW w:w="712" w:type="dxa"/>
            <w:vAlign w:val="top"/>
          </w:tcPr>
          <w:p>
            <w:pPr>
              <w:ind w:left="27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2553" w:type="dxa"/>
            <w:vAlign w:val="top"/>
          </w:tcPr>
          <w:p>
            <w:pPr>
              <w:pStyle w:val="TableText"/>
              <w:ind w:left="963"/>
              <w:spacing w:before="36" w:line="213" w:lineRule="auto"/>
              <w:rPr/>
            </w:pPr>
            <w:r>
              <w:rPr>
                <w:spacing w:val="7"/>
              </w:rPr>
              <w:t>碘化物</w:t>
            </w:r>
          </w:p>
        </w:tc>
        <w:tc>
          <w:tcPr>
            <w:tcW w:w="1094" w:type="dxa"/>
            <w:vAlign w:val="top"/>
          </w:tcPr>
          <w:p>
            <w:pPr>
              <w:ind w:left="306"/>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≤0.08</w:t>
            </w:r>
          </w:p>
        </w:tc>
        <w:tc>
          <w:tcPr>
            <w:tcW w:w="743" w:type="dxa"/>
            <w:vAlign w:val="top"/>
          </w:tcPr>
          <w:p>
            <w:pPr>
              <w:ind w:left="27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32</w:t>
            </w:r>
          </w:p>
        </w:tc>
        <w:tc>
          <w:tcPr>
            <w:tcW w:w="2420" w:type="dxa"/>
            <w:vAlign w:val="top"/>
          </w:tcPr>
          <w:p>
            <w:pPr>
              <w:pStyle w:val="TableText"/>
              <w:ind w:left="796"/>
              <w:spacing w:before="36" w:line="213" w:lineRule="auto"/>
              <w:rPr/>
            </w:pPr>
            <w:r>
              <w:rPr>
                <w:spacing w:val="7"/>
              </w:rPr>
              <w:t>三氯甲烷</w:t>
            </w:r>
          </w:p>
        </w:tc>
        <w:tc>
          <w:tcPr>
            <w:tcW w:w="997" w:type="dxa"/>
            <w:vAlign w:val="top"/>
          </w:tcPr>
          <w:p>
            <w:pPr>
              <w:ind w:left="257"/>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≤0.06</w:t>
            </w:r>
          </w:p>
        </w:tc>
      </w:tr>
      <w:tr>
        <w:trPr>
          <w:trHeight w:val="279" w:hRule="atLeast"/>
        </w:trPr>
        <w:tc>
          <w:tcPr>
            <w:tcW w:w="712" w:type="dxa"/>
            <w:vAlign w:val="top"/>
          </w:tcPr>
          <w:p>
            <w:pPr>
              <w:ind w:left="27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16</w:t>
            </w:r>
          </w:p>
        </w:tc>
        <w:tc>
          <w:tcPr>
            <w:tcW w:w="2553" w:type="dxa"/>
            <w:vAlign w:val="top"/>
          </w:tcPr>
          <w:p>
            <w:pPr>
              <w:pStyle w:val="TableText"/>
              <w:ind w:left="1178"/>
              <w:spacing w:before="34" w:line="216" w:lineRule="auto"/>
              <w:rPr/>
            </w:pPr>
            <w:r>
              <w:rPr/>
              <w:t>苯</w:t>
            </w:r>
          </w:p>
        </w:tc>
        <w:tc>
          <w:tcPr>
            <w:tcW w:w="1094" w:type="dxa"/>
            <w:vAlign w:val="top"/>
          </w:tcPr>
          <w:p>
            <w:pPr>
              <w:ind w:left="30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≤0.01</w:t>
            </w:r>
          </w:p>
        </w:tc>
        <w:tc>
          <w:tcPr>
            <w:tcW w:w="743" w:type="dxa"/>
            <w:vAlign w:val="top"/>
          </w:tcPr>
          <w:p>
            <w:pPr>
              <w:ind w:left="27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33</w:t>
            </w:r>
          </w:p>
        </w:tc>
        <w:tc>
          <w:tcPr>
            <w:tcW w:w="2420" w:type="dxa"/>
            <w:vAlign w:val="top"/>
          </w:tcPr>
          <w:p>
            <w:pPr>
              <w:pStyle w:val="TableText"/>
              <w:ind w:left="815"/>
              <w:spacing w:before="34" w:line="216" w:lineRule="auto"/>
              <w:rPr/>
            </w:pPr>
            <w:r>
              <w:rPr>
                <w:spacing w:val="2"/>
              </w:rPr>
              <w:t>四氯化碳</w:t>
            </w:r>
          </w:p>
        </w:tc>
        <w:tc>
          <w:tcPr>
            <w:tcW w:w="997" w:type="dxa"/>
            <w:vAlign w:val="top"/>
          </w:tcPr>
          <w:p>
            <w:pPr>
              <w:ind w:left="20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≤0.002</w:t>
            </w:r>
          </w:p>
        </w:tc>
      </w:tr>
    </w:tbl>
    <w:p>
      <w:pPr>
        <w:pStyle w:val="BodyText"/>
        <w:spacing w:line="305" w:lineRule="auto"/>
        <w:rPr/>
      </w:pPr>
      <w:r/>
    </w:p>
    <w:p>
      <w:pPr>
        <w:ind w:left="5338"/>
        <w:spacing w:before="61" w:line="227" w:lineRule="auto"/>
        <w:rPr>
          <w:rFonts w:ascii="SimSun" w:hAnsi="SimSun" w:eastAsia="SimSun" w:cs="SimSun"/>
          <w:sz w:val="19"/>
          <w:szCs w:val="19"/>
        </w:rPr>
      </w:pPr>
      <w:r>
        <w:pict>
          <v:shape id="_x0000_s208" style="position:absolute;margin-left:208.768pt;margin-top:2.09696pt;mso-position-vertical-relative:text;mso-position-horizontal-relative:text;width:58.75pt;height:13.75pt;z-index:251750400;"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1"/>
                      <w:position w:val="2"/>
                    </w:rPr>
                    <w:t>38        </w:t>
                  </w:r>
                  <w:r>
                    <w:rPr>
                      <w:rFonts w:ascii="SimSun" w:hAnsi="SimSun" w:eastAsia="SimSun" w:cs="SimSun"/>
                      <w:sz w:val="19"/>
                      <w:szCs w:val="19"/>
                      <w:spacing w:val="1"/>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52"/>
          <w:pgSz w:w="11907" w:h="16840"/>
          <w:pgMar w:top="1567" w:right="1621" w:bottom="400" w:left="1675" w:header="1221" w:footer="0" w:gutter="0"/>
        </w:sectPr>
        <w:rPr>
          <w:rFonts w:ascii="SimSun" w:hAnsi="SimSun" w:eastAsia="SimSun" w:cs="SimSun"/>
          <w:sz w:val="19"/>
          <w:szCs w:val="19"/>
        </w:rPr>
      </w:pPr>
    </w:p>
    <w:p>
      <w:pPr>
        <w:spacing w:line="151" w:lineRule="exact"/>
        <w:rPr/>
      </w:pPr>
      <w:r>
        <w:pict>
          <v:shape id="_x0000_s210" style="position:absolute;margin-left:85.05pt;margin-top:79.11pt;mso-position-vertical-relative:page;mso-position-horizontal-relative:page;width:425.25pt;height:0.75pt;z-index:251753472;" o:allowincell="f" fillcolor="#000000" filled="true" stroked="false" coordsize="8505,15" coordorigin="0,0" path="m,l8505,0l8505,14l0,14l0,0xe"/>
        </w:pict>
      </w:r>
      <w:r/>
    </w:p>
    <w:tbl>
      <w:tblPr>
        <w:tblStyle w:val="TableNormal"/>
        <w:tblW w:w="851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12"/>
        <w:gridCol w:w="2553"/>
        <w:gridCol w:w="1094"/>
        <w:gridCol w:w="743"/>
        <w:gridCol w:w="2420"/>
        <w:gridCol w:w="997"/>
      </w:tblGrid>
      <w:tr>
        <w:trPr>
          <w:trHeight w:val="279" w:hRule="atLeast"/>
        </w:trPr>
        <w:tc>
          <w:tcPr>
            <w:tcW w:w="712" w:type="dxa"/>
            <w:vAlign w:val="top"/>
          </w:tcPr>
          <w:p>
            <w:pPr>
              <w:pStyle w:val="TableText"/>
              <w:ind w:left="151"/>
              <w:spacing w:before="37" w:line="214" w:lineRule="auto"/>
              <w:rPr/>
            </w:pPr>
            <w:r>
              <w:rPr>
                <w:spacing w:val="5"/>
              </w:rPr>
              <w:t>序号</w:t>
            </w:r>
          </w:p>
        </w:tc>
        <w:tc>
          <w:tcPr>
            <w:tcW w:w="2553" w:type="dxa"/>
            <w:vAlign w:val="top"/>
          </w:tcPr>
          <w:p>
            <w:pPr>
              <w:pStyle w:val="TableText"/>
              <w:ind w:left="1073"/>
              <w:spacing w:before="37" w:line="214" w:lineRule="auto"/>
              <w:rPr/>
            </w:pPr>
            <w:r>
              <w:rPr>
                <w:spacing w:val="3"/>
              </w:rPr>
              <w:t>项目</w:t>
            </w:r>
          </w:p>
        </w:tc>
        <w:tc>
          <w:tcPr>
            <w:tcW w:w="1094" w:type="dxa"/>
            <w:vAlign w:val="top"/>
          </w:tcPr>
          <w:p>
            <w:pPr>
              <w:pStyle w:val="TableText"/>
              <w:ind w:left="238"/>
              <w:spacing w:before="37" w:line="214" w:lineRule="auto"/>
              <w:rPr/>
            </w:pPr>
            <w:r>
              <w:rPr>
                <w:spacing w:val="6"/>
              </w:rPr>
              <w:t>标准值</w:t>
            </w:r>
          </w:p>
        </w:tc>
        <w:tc>
          <w:tcPr>
            <w:tcW w:w="743" w:type="dxa"/>
            <w:vAlign w:val="top"/>
          </w:tcPr>
          <w:p>
            <w:pPr>
              <w:pStyle w:val="TableText"/>
              <w:ind w:left="168"/>
              <w:spacing w:before="37" w:line="214" w:lineRule="auto"/>
              <w:rPr/>
            </w:pPr>
            <w:r>
              <w:rPr>
                <w:spacing w:val="5"/>
              </w:rPr>
              <w:t>序号</w:t>
            </w:r>
          </w:p>
        </w:tc>
        <w:tc>
          <w:tcPr>
            <w:tcW w:w="2420" w:type="dxa"/>
            <w:vAlign w:val="top"/>
          </w:tcPr>
          <w:p>
            <w:pPr>
              <w:pStyle w:val="TableText"/>
              <w:ind w:left="1010"/>
              <w:spacing w:before="37" w:line="214" w:lineRule="auto"/>
              <w:rPr/>
            </w:pPr>
            <w:r>
              <w:rPr>
                <w:spacing w:val="3"/>
              </w:rPr>
              <w:t>项目</w:t>
            </w:r>
          </w:p>
        </w:tc>
        <w:tc>
          <w:tcPr>
            <w:tcW w:w="997" w:type="dxa"/>
            <w:vAlign w:val="top"/>
          </w:tcPr>
          <w:p>
            <w:pPr>
              <w:pStyle w:val="TableText"/>
              <w:ind w:left="189"/>
              <w:spacing w:before="37" w:line="214" w:lineRule="auto"/>
              <w:rPr/>
            </w:pPr>
            <w:r>
              <w:rPr>
                <w:spacing w:val="6"/>
              </w:rPr>
              <w:t>标准值</w:t>
            </w:r>
          </w:p>
        </w:tc>
      </w:tr>
      <w:tr>
        <w:trPr>
          <w:trHeight w:val="280" w:hRule="atLeast"/>
        </w:trPr>
        <w:tc>
          <w:tcPr>
            <w:tcW w:w="712" w:type="dxa"/>
            <w:vAlign w:val="top"/>
          </w:tcPr>
          <w:p>
            <w:pPr>
              <w:ind w:left="27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17</w:t>
            </w:r>
          </w:p>
        </w:tc>
        <w:tc>
          <w:tcPr>
            <w:tcW w:w="2553" w:type="dxa"/>
            <w:vAlign w:val="top"/>
          </w:tcPr>
          <w:p>
            <w:pPr>
              <w:pStyle w:val="TableText"/>
              <w:ind w:left="1097"/>
              <w:spacing w:before="33" w:line="218" w:lineRule="auto"/>
              <w:rPr/>
            </w:pPr>
            <w:r>
              <w:rPr>
                <w:spacing w:val="-9"/>
              </w:rPr>
              <w:t>甲苯</w:t>
            </w:r>
          </w:p>
        </w:tc>
        <w:tc>
          <w:tcPr>
            <w:tcW w:w="1094" w:type="dxa"/>
            <w:vAlign w:val="top"/>
          </w:tcPr>
          <w:p>
            <w:pPr>
              <w:ind w:left="35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≤0.7</w:t>
            </w:r>
          </w:p>
        </w:tc>
        <w:tc>
          <w:tcPr>
            <w:tcW w:w="743" w:type="dxa"/>
            <w:vAlign w:val="top"/>
          </w:tcPr>
          <w:p>
            <w:pPr>
              <w:ind w:left="27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34</w:t>
            </w:r>
          </w:p>
        </w:tc>
        <w:tc>
          <w:tcPr>
            <w:tcW w:w="2420" w:type="dxa"/>
            <w:vAlign w:val="top"/>
          </w:tcPr>
          <w:p>
            <w:pPr>
              <w:pStyle w:val="TableText"/>
              <w:ind w:left="902"/>
              <w:spacing w:before="33" w:line="218" w:lineRule="auto"/>
              <w:rPr/>
            </w:pPr>
            <w:r>
              <w:rPr>
                <w:spacing w:val="6"/>
              </w:rPr>
              <w:t>石油类</w:t>
            </w:r>
          </w:p>
        </w:tc>
        <w:tc>
          <w:tcPr>
            <w:tcW w:w="997" w:type="dxa"/>
            <w:vAlign w:val="top"/>
          </w:tcPr>
          <w:p>
            <w:pPr>
              <w:ind w:left="25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≤0.05</w:t>
            </w:r>
          </w:p>
        </w:tc>
      </w:tr>
    </w:tbl>
    <w:p>
      <w:pPr>
        <w:ind w:left="511"/>
        <w:spacing w:before="35"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）声环境质量标准</w:t>
      </w:r>
    </w:p>
    <w:p>
      <w:pPr>
        <w:ind w:left="18" w:firstLine="481"/>
        <w:spacing w:before="181" w:line="359" w:lineRule="auto"/>
        <w:rPr>
          <w:rFonts w:ascii="SimSun" w:hAnsi="SimSun" w:eastAsia="SimSun" w:cs="SimSun"/>
          <w:sz w:val="24"/>
          <w:szCs w:val="24"/>
        </w:rPr>
      </w:pPr>
      <w:r>
        <w:rPr>
          <w:rFonts w:ascii="SimSun" w:hAnsi="SimSun" w:eastAsia="SimSun" w:cs="SimSun"/>
          <w:sz w:val="24"/>
          <w:szCs w:val="24"/>
        </w:rPr>
        <w:t>本项目厂区位置不在正镶白旗声功能区划范围内（见附图</w:t>
      </w:r>
      <w:r>
        <w:rPr>
          <w:rFonts w:ascii="Times New Roman" w:hAnsi="Times New Roman" w:eastAsia="Times New Roman" w:cs="Times New Roman"/>
          <w:sz w:val="24"/>
          <w:szCs w:val="24"/>
        </w:rPr>
        <w:t>2</w:t>
      </w:r>
      <w:r>
        <w:rPr>
          <w:rFonts w:ascii="SimSun" w:hAnsi="SimSun" w:eastAsia="SimSun" w:cs="SimSun"/>
          <w:sz w:val="24"/>
          <w:szCs w:val="24"/>
          <w:spacing w:val="-15"/>
        </w:rPr>
        <w:t>）；</w:t>
      </w:r>
      <w:r>
        <w:rPr>
          <w:rFonts w:ascii="SimSun" w:hAnsi="SimSun" w:eastAsia="SimSun" w:cs="SimSun"/>
          <w:sz w:val="24"/>
          <w:szCs w:val="24"/>
        </w:rPr>
        <w:t>本项目位于居</w:t>
      </w:r>
      <w:r>
        <w:rPr>
          <w:rFonts w:ascii="SimSun" w:hAnsi="SimSun" w:eastAsia="SimSun" w:cs="SimSun"/>
          <w:sz w:val="24"/>
          <w:szCs w:val="24"/>
          <w:spacing w:val="1"/>
        </w:rPr>
        <w:t xml:space="preserve"> </w:t>
      </w:r>
      <w:r>
        <w:rPr>
          <w:rFonts w:ascii="SimSun" w:hAnsi="SimSun" w:eastAsia="SimSun" w:cs="SimSun"/>
          <w:sz w:val="24"/>
          <w:szCs w:val="24"/>
          <w:spacing w:val="-2"/>
        </w:rPr>
        <w:t>住、工业、商业混杂区，根据《声环境质量标准》（</w:t>
      </w:r>
      <w:r>
        <w:rPr>
          <w:rFonts w:ascii="Times New Roman" w:hAnsi="Times New Roman" w:eastAsia="Times New Roman" w:cs="Times New Roman"/>
          <w:sz w:val="24"/>
          <w:szCs w:val="24"/>
          <w:spacing w:val="-2"/>
        </w:rPr>
        <w:t>GB3096-2008</w:t>
      </w:r>
      <w:r>
        <w:rPr>
          <w:rFonts w:ascii="SimSun" w:hAnsi="SimSun" w:eastAsia="SimSun" w:cs="SimSun"/>
          <w:sz w:val="24"/>
          <w:szCs w:val="24"/>
          <w:spacing w:val="-2"/>
        </w:rPr>
        <w:t>）要求，厂界声</w:t>
      </w:r>
      <w:r>
        <w:rPr>
          <w:rFonts w:ascii="SimSun" w:hAnsi="SimSun" w:eastAsia="SimSun" w:cs="SimSun"/>
          <w:sz w:val="24"/>
          <w:szCs w:val="24"/>
          <w:spacing w:val="2"/>
        </w:rPr>
        <w:t xml:space="preserve"> </w:t>
      </w:r>
      <w:r>
        <w:rPr>
          <w:rFonts w:ascii="SimSun" w:hAnsi="SimSun" w:eastAsia="SimSun" w:cs="SimSun"/>
          <w:sz w:val="24"/>
          <w:szCs w:val="24"/>
          <w:spacing w:val="-6"/>
        </w:rPr>
        <w:t>环境质量执行《声环境质量标准》（</w:t>
      </w:r>
      <w:r>
        <w:rPr>
          <w:rFonts w:ascii="Times New Roman" w:hAnsi="Times New Roman" w:eastAsia="Times New Roman" w:cs="Times New Roman"/>
          <w:sz w:val="24"/>
          <w:szCs w:val="24"/>
          <w:spacing w:val="-6"/>
        </w:rPr>
        <w:t>GB3096-2008</w:t>
      </w:r>
      <w:r>
        <w:rPr>
          <w:rFonts w:ascii="SimSun" w:hAnsi="SimSun" w:eastAsia="SimSun" w:cs="SimSun"/>
          <w:sz w:val="24"/>
          <w:szCs w:val="24"/>
          <w:spacing w:val="-6"/>
        </w:rPr>
        <w:t>）</w:t>
      </w:r>
      <w:r>
        <w:rPr>
          <w:rFonts w:ascii="Times New Roman" w:hAnsi="Times New Roman" w:eastAsia="Times New Roman" w:cs="Times New Roman"/>
          <w:sz w:val="24"/>
          <w:szCs w:val="24"/>
          <w:spacing w:val="-6"/>
        </w:rPr>
        <w:t>2 </w:t>
      </w:r>
      <w:r>
        <w:rPr>
          <w:rFonts w:ascii="SimSun" w:hAnsi="SimSun" w:eastAsia="SimSun" w:cs="SimSun"/>
          <w:sz w:val="24"/>
          <w:szCs w:val="24"/>
          <w:spacing w:val="-6"/>
        </w:rPr>
        <w:t>类标准，标准值详见表</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6"/>
        </w:rPr>
        <w:t>2.6-4</w:t>
      </w:r>
      <w:r>
        <w:rPr>
          <w:rFonts w:ascii="SimSun" w:hAnsi="SimSun" w:eastAsia="SimSun" w:cs="SimSun"/>
          <w:sz w:val="24"/>
          <w:szCs w:val="24"/>
          <w:spacing w:val="-6"/>
        </w:rPr>
        <w:t>。</w:t>
      </w:r>
    </w:p>
    <w:p>
      <w:pPr>
        <w:ind w:left="2785"/>
        <w:spacing w:before="1"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2.6-4        </w:t>
      </w:r>
      <w:r>
        <w:rPr>
          <w:rFonts w:ascii="SimSun" w:hAnsi="SimSun" w:eastAsia="SimSun" w:cs="SimSun"/>
          <w:sz w:val="24"/>
          <w:szCs w:val="24"/>
          <w:b/>
          <w:bCs/>
          <w:spacing w:val="-2"/>
        </w:rPr>
        <w:t>声环境质量标准</w:t>
      </w:r>
    </w:p>
    <w:tbl>
      <w:tblPr>
        <w:tblStyle w:val="TableNormal"/>
        <w:tblW w:w="851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420"/>
        <w:gridCol w:w="3323"/>
        <w:gridCol w:w="2776"/>
      </w:tblGrid>
      <w:tr>
        <w:trPr>
          <w:trHeight w:val="281" w:hRule="atLeast"/>
        </w:trPr>
        <w:tc>
          <w:tcPr>
            <w:tcW w:w="2420" w:type="dxa"/>
            <w:vAlign w:val="top"/>
            <w:vMerge w:val="restart"/>
            <w:tcBorders>
              <w:bottom w:val="nil"/>
            </w:tcBorders>
          </w:tcPr>
          <w:p>
            <w:pPr>
              <w:pStyle w:val="TableText"/>
              <w:ind w:left="795"/>
              <w:spacing w:before="175" w:line="228" w:lineRule="auto"/>
              <w:rPr/>
            </w:pPr>
            <w:r>
              <w:rPr/>
              <w:t>类</w:t>
            </w:r>
            <w:r>
              <w:rPr>
                <w:spacing w:val="7"/>
              </w:rPr>
              <w:t xml:space="preserve">    </w:t>
            </w:r>
            <w:r>
              <w:rPr/>
              <w:t>别</w:t>
            </w:r>
          </w:p>
        </w:tc>
        <w:tc>
          <w:tcPr>
            <w:tcW w:w="6099" w:type="dxa"/>
            <w:vAlign w:val="top"/>
            <w:gridSpan w:val="2"/>
          </w:tcPr>
          <w:p>
            <w:pPr>
              <w:pStyle w:val="TableText"/>
              <w:ind w:left="2208"/>
              <w:spacing w:before="36" w:line="216" w:lineRule="auto"/>
              <w:rPr/>
            </w:pPr>
            <w:r>
              <w:rPr>
                <w:spacing w:val="5"/>
              </w:rPr>
              <w:t>噪声限值</w:t>
            </w:r>
            <w:r>
              <w:rPr>
                <w:spacing w:val="-35"/>
              </w:rPr>
              <w:t xml:space="preserve"> </w:t>
            </w:r>
            <w:r>
              <w:rPr>
                <w:rFonts w:ascii="Times New Roman" w:hAnsi="Times New Roman" w:eastAsia="Times New Roman" w:cs="Times New Roman"/>
              </w:rPr>
              <w:t>dB</w:t>
            </w:r>
            <w:r>
              <w:rPr>
                <w:spacing w:val="5"/>
              </w:rPr>
              <w:t>（</w:t>
            </w:r>
            <w:r>
              <w:rPr>
                <w:rFonts w:ascii="Times New Roman" w:hAnsi="Times New Roman" w:eastAsia="Times New Roman" w:cs="Times New Roman"/>
                <w:spacing w:val="5"/>
              </w:rPr>
              <w:t>A</w:t>
            </w:r>
            <w:r>
              <w:rPr>
                <w:spacing w:val="5"/>
              </w:rPr>
              <w:t>）</w:t>
            </w:r>
          </w:p>
        </w:tc>
      </w:tr>
      <w:tr>
        <w:trPr>
          <w:trHeight w:val="275" w:hRule="atLeast"/>
        </w:trPr>
        <w:tc>
          <w:tcPr>
            <w:tcW w:w="2420" w:type="dxa"/>
            <w:vAlign w:val="top"/>
            <w:vMerge w:val="continue"/>
            <w:tcBorders>
              <w:top w:val="nil"/>
            </w:tcBorders>
          </w:tcPr>
          <w:p>
            <w:pPr>
              <w:rPr>
                <w:rFonts w:ascii="Arial"/>
                <w:sz w:val="21"/>
              </w:rPr>
            </w:pPr>
            <w:r/>
          </w:p>
        </w:tc>
        <w:tc>
          <w:tcPr>
            <w:tcW w:w="3323" w:type="dxa"/>
            <w:vAlign w:val="top"/>
          </w:tcPr>
          <w:p>
            <w:pPr>
              <w:pStyle w:val="TableText"/>
              <w:ind w:left="1456"/>
              <w:spacing w:before="31" w:line="216" w:lineRule="auto"/>
              <w:rPr/>
            </w:pPr>
            <w:r>
              <w:rPr>
                <w:spacing w:val="5"/>
              </w:rPr>
              <w:t>昼间</w:t>
            </w:r>
          </w:p>
        </w:tc>
        <w:tc>
          <w:tcPr>
            <w:tcW w:w="2776" w:type="dxa"/>
            <w:vAlign w:val="top"/>
          </w:tcPr>
          <w:p>
            <w:pPr>
              <w:pStyle w:val="TableText"/>
              <w:ind w:left="1185"/>
              <w:spacing w:before="31" w:line="216" w:lineRule="auto"/>
              <w:rPr/>
            </w:pPr>
            <w:r>
              <w:rPr>
                <w:spacing w:val="3"/>
              </w:rPr>
              <w:t>夜间</w:t>
            </w:r>
          </w:p>
        </w:tc>
      </w:tr>
      <w:tr>
        <w:trPr>
          <w:trHeight w:val="250" w:hRule="atLeast"/>
        </w:trPr>
        <w:tc>
          <w:tcPr>
            <w:tcW w:w="2420" w:type="dxa"/>
            <w:vAlign w:val="top"/>
          </w:tcPr>
          <w:p>
            <w:pPr>
              <w:ind w:left="1159"/>
              <w:spacing w:before="56"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3323" w:type="dxa"/>
            <w:vAlign w:val="top"/>
          </w:tcPr>
          <w:p>
            <w:pPr>
              <w:ind w:left="1561"/>
              <w:spacing w:before="56"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2776" w:type="dxa"/>
            <w:vAlign w:val="top"/>
          </w:tcPr>
          <w:p>
            <w:pPr>
              <w:ind w:left="1290"/>
              <w:spacing w:before="56"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r>
    </w:tbl>
    <w:p>
      <w:pPr>
        <w:ind w:left="511"/>
        <w:spacing w:before="35"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4</w:t>
      </w:r>
      <w:r>
        <w:rPr>
          <w:rFonts w:ascii="SimSun" w:hAnsi="SimSun" w:eastAsia="SimSun" w:cs="SimSun"/>
          <w:sz w:val="24"/>
          <w:szCs w:val="24"/>
          <w:spacing w:val="-2"/>
        </w:rPr>
        <w:t>）土壤环境质量标准</w:t>
      </w:r>
    </w:p>
    <w:p>
      <w:pPr>
        <w:ind w:left="22" w:right="80" w:firstLine="480"/>
        <w:spacing w:before="179" w:line="359" w:lineRule="auto"/>
        <w:rPr>
          <w:rFonts w:ascii="SimSun" w:hAnsi="SimSun" w:eastAsia="SimSun" w:cs="SimSun"/>
          <w:sz w:val="24"/>
          <w:szCs w:val="24"/>
        </w:rPr>
      </w:pPr>
      <w:r>
        <w:rPr>
          <w:rFonts w:ascii="SimSun" w:hAnsi="SimSun" w:eastAsia="SimSun" w:cs="SimSun"/>
          <w:sz w:val="24"/>
          <w:szCs w:val="24"/>
          <w:spacing w:val="6"/>
        </w:rPr>
        <w:t>厂区内土壤环境质量执行《土壤环境质量 建设用地土壤污染风险管控标准</w:t>
      </w:r>
      <w:r>
        <w:rPr>
          <w:rFonts w:ascii="SimSun" w:hAnsi="SimSun" w:eastAsia="SimSun" w:cs="SimSun"/>
          <w:sz w:val="24"/>
          <w:szCs w:val="24"/>
          <w:spacing w:val="11"/>
        </w:rPr>
        <w:t xml:space="preserve"> </w:t>
      </w:r>
      <w:r>
        <w:rPr>
          <w:rFonts w:ascii="SimSun" w:hAnsi="SimSun" w:eastAsia="SimSun" w:cs="SimSun"/>
          <w:sz w:val="24"/>
          <w:szCs w:val="24"/>
        </w:rPr>
        <w:t>（试行）》（</w:t>
      </w:r>
      <w:r>
        <w:rPr>
          <w:rFonts w:ascii="Times New Roman" w:hAnsi="Times New Roman" w:eastAsia="Times New Roman" w:cs="Times New Roman"/>
          <w:sz w:val="24"/>
          <w:szCs w:val="24"/>
        </w:rPr>
        <w:t>GB36600-2018</w:t>
      </w:r>
      <w:r>
        <w:rPr>
          <w:rFonts w:ascii="SimSun" w:hAnsi="SimSun" w:eastAsia="SimSun" w:cs="SimSun"/>
          <w:sz w:val="24"/>
          <w:szCs w:val="24"/>
        </w:rPr>
        <w:t>）表</w:t>
      </w:r>
      <w:r>
        <w:rPr>
          <w:rFonts w:ascii="SimSun" w:hAnsi="SimSun" w:eastAsia="SimSun" w:cs="SimSun"/>
          <w:sz w:val="24"/>
          <w:szCs w:val="24"/>
          <w:spacing w:val="-30"/>
        </w:rPr>
        <w:t xml:space="preserve"> </w:t>
      </w:r>
      <w:r>
        <w:rPr>
          <w:rFonts w:ascii="Times New Roman" w:hAnsi="Times New Roman" w:eastAsia="Times New Roman" w:cs="Times New Roman"/>
          <w:sz w:val="24"/>
          <w:szCs w:val="24"/>
        </w:rPr>
        <w:t>1</w:t>
      </w:r>
      <w:r>
        <w:rPr>
          <w:rFonts w:ascii="Times New Roman" w:hAnsi="Times New Roman" w:eastAsia="Times New Roman" w:cs="Times New Roman"/>
          <w:sz w:val="24"/>
          <w:szCs w:val="24"/>
          <w:spacing w:val="-29"/>
        </w:rPr>
        <w:t xml:space="preserve"> </w:t>
      </w:r>
      <w:r>
        <w:rPr>
          <w:rFonts w:ascii="SimSun" w:hAnsi="SimSun" w:eastAsia="SimSun" w:cs="SimSun"/>
          <w:sz w:val="24"/>
          <w:szCs w:val="24"/>
        </w:rPr>
        <w:t>、表</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2</w:t>
      </w:r>
      <w:r>
        <w:rPr>
          <w:rFonts w:ascii="Times New Roman" w:hAnsi="Times New Roman" w:eastAsia="Times New Roman" w:cs="Times New Roman"/>
          <w:sz w:val="24"/>
          <w:szCs w:val="24"/>
          <w:spacing w:val="37"/>
        </w:rPr>
        <w:t xml:space="preserve"> </w:t>
      </w:r>
      <w:r>
        <w:rPr>
          <w:rFonts w:ascii="SimSun" w:hAnsi="SimSun" w:eastAsia="SimSun" w:cs="SimSun"/>
          <w:sz w:val="24"/>
          <w:szCs w:val="24"/>
        </w:rPr>
        <w:t>中第二</w:t>
      </w:r>
      <w:r>
        <w:rPr>
          <w:rFonts w:ascii="SimSun" w:hAnsi="SimSun" w:eastAsia="SimSun" w:cs="SimSun"/>
          <w:sz w:val="24"/>
          <w:szCs w:val="24"/>
          <w:spacing w:val="-1"/>
        </w:rPr>
        <w:t>类用地土壤污染风险标准限值；</w:t>
      </w:r>
      <w:r>
        <w:rPr>
          <w:rFonts w:ascii="SimSun" w:hAnsi="SimSun" w:eastAsia="SimSun" w:cs="SimSun"/>
          <w:sz w:val="24"/>
          <w:szCs w:val="24"/>
        </w:rPr>
        <w:t xml:space="preserve"> </w:t>
      </w:r>
      <w:r>
        <w:rPr>
          <w:rFonts w:ascii="SimSun" w:hAnsi="SimSun" w:eastAsia="SimSun" w:cs="SimSun"/>
          <w:sz w:val="24"/>
          <w:szCs w:val="24"/>
          <w:spacing w:val="6"/>
        </w:rPr>
        <w:t>厂区外土壤环境执行《土壤环境质量 农用地土壤污染风险管控标准（试行）》</w:t>
      </w:r>
      <w:r>
        <w:rPr>
          <w:rFonts w:ascii="SimSun" w:hAnsi="SimSun" w:eastAsia="SimSun" w:cs="SimSun"/>
          <w:sz w:val="24"/>
          <w:szCs w:val="2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GB15618-2018</w:t>
      </w:r>
      <w:r>
        <w:rPr>
          <w:rFonts w:ascii="SimSun" w:hAnsi="SimSun" w:eastAsia="SimSun" w:cs="SimSun"/>
          <w:sz w:val="24"/>
          <w:szCs w:val="24"/>
          <w:spacing w:val="-1"/>
        </w:rPr>
        <w:t>）中表</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风险筛选值标准</w:t>
      </w:r>
      <w:r>
        <w:rPr>
          <w:rFonts w:ascii="SimSun" w:hAnsi="SimSun" w:eastAsia="SimSun" w:cs="SimSun"/>
          <w:sz w:val="24"/>
          <w:szCs w:val="24"/>
          <w:spacing w:val="-2"/>
        </w:rPr>
        <w:t>（其他</w:t>
      </w:r>
      <w:r>
        <w:rPr>
          <w:rFonts w:ascii="SimSun" w:hAnsi="SimSun" w:eastAsia="SimSun" w:cs="SimSun"/>
          <w:sz w:val="24"/>
          <w:szCs w:val="24"/>
          <w:spacing w:val="5"/>
        </w:rPr>
        <w:t>），</w:t>
      </w:r>
      <w:r>
        <w:rPr>
          <w:rFonts w:ascii="SimSun" w:hAnsi="SimSun" w:eastAsia="SimSun" w:cs="SimSun"/>
          <w:sz w:val="24"/>
          <w:szCs w:val="24"/>
          <w:spacing w:val="-2"/>
        </w:rPr>
        <w:t>标准限值见表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2.6-5~6</w:t>
      </w:r>
      <w:r>
        <w:rPr>
          <w:rFonts w:ascii="SimSun" w:hAnsi="SimSun" w:eastAsia="SimSun" w:cs="SimSun"/>
          <w:sz w:val="24"/>
          <w:szCs w:val="24"/>
          <w:spacing w:val="-2"/>
        </w:rPr>
        <w:t>。</w:t>
      </w:r>
    </w:p>
    <w:p>
      <w:pPr>
        <w:ind w:left="2425"/>
        <w:spacing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2.6-5        </w:t>
      </w:r>
      <w:r>
        <w:rPr>
          <w:rFonts w:ascii="SimSun" w:hAnsi="SimSun" w:eastAsia="SimSun" w:cs="SimSun"/>
          <w:sz w:val="24"/>
          <w:szCs w:val="24"/>
          <w:b/>
          <w:bCs/>
          <w:spacing w:val="-2"/>
        </w:rPr>
        <w:t>土壤环境质量标准限值</w:t>
      </w:r>
    </w:p>
    <w:tbl>
      <w:tblPr>
        <w:tblStyle w:val="TableNormal"/>
        <w:tblW w:w="8516" w:type="dxa"/>
        <w:tblInd w:w="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42"/>
        <w:gridCol w:w="5320"/>
        <w:gridCol w:w="1954"/>
      </w:tblGrid>
      <w:tr>
        <w:trPr>
          <w:trHeight w:val="282" w:hRule="atLeast"/>
        </w:trPr>
        <w:tc>
          <w:tcPr>
            <w:tcW w:w="1242" w:type="dxa"/>
            <w:vAlign w:val="top"/>
          </w:tcPr>
          <w:p>
            <w:pPr>
              <w:pStyle w:val="TableText"/>
              <w:ind w:left="414"/>
              <w:spacing w:before="36" w:line="217" w:lineRule="auto"/>
              <w:rPr/>
            </w:pPr>
            <w:r>
              <w:rPr>
                <w:spacing w:val="5"/>
              </w:rPr>
              <w:t>序号</w:t>
            </w:r>
          </w:p>
        </w:tc>
        <w:tc>
          <w:tcPr>
            <w:tcW w:w="5320" w:type="dxa"/>
            <w:vAlign w:val="top"/>
          </w:tcPr>
          <w:p>
            <w:pPr>
              <w:pStyle w:val="TableText"/>
              <w:ind w:left="2245"/>
              <w:spacing w:before="36" w:line="217" w:lineRule="auto"/>
              <w:rPr/>
            </w:pPr>
            <w:r>
              <w:rPr>
                <w:spacing w:val="7"/>
              </w:rPr>
              <w:t>检测项目</w:t>
            </w:r>
          </w:p>
        </w:tc>
        <w:tc>
          <w:tcPr>
            <w:tcW w:w="1954" w:type="dxa"/>
            <w:vAlign w:val="top"/>
          </w:tcPr>
          <w:p>
            <w:pPr>
              <w:pStyle w:val="TableText"/>
              <w:ind w:left="669"/>
              <w:spacing w:before="36" w:line="217" w:lineRule="auto"/>
              <w:rPr/>
            </w:pPr>
            <w:r>
              <w:rPr>
                <w:spacing w:val="6"/>
              </w:rPr>
              <w:t>筛选值</w:t>
            </w:r>
          </w:p>
        </w:tc>
      </w:tr>
      <w:tr>
        <w:trPr>
          <w:trHeight w:val="277" w:hRule="atLeast"/>
        </w:trPr>
        <w:tc>
          <w:tcPr>
            <w:tcW w:w="1242" w:type="dxa"/>
            <w:vAlign w:val="top"/>
          </w:tcPr>
          <w:p>
            <w:pPr>
              <w:ind w:left="590"/>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5320" w:type="dxa"/>
            <w:vAlign w:val="top"/>
          </w:tcPr>
          <w:p>
            <w:pPr>
              <w:pStyle w:val="TableText"/>
              <w:ind w:left="2082"/>
              <w:spacing w:before="30" w:line="218" w:lineRule="auto"/>
              <w:rPr/>
            </w:pPr>
            <w:r>
              <w:rPr>
                <w:spacing w:val="8"/>
              </w:rPr>
              <w:t>铜（</w:t>
            </w:r>
            <w:r>
              <w:rPr>
                <w:rFonts w:ascii="Times New Roman" w:hAnsi="Times New Roman" w:eastAsia="Times New Roman" w:cs="Times New Roman"/>
              </w:rPr>
              <w:t>mg</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954" w:type="dxa"/>
            <w:vAlign w:val="top"/>
          </w:tcPr>
          <w:p>
            <w:pPr>
              <w:ind w:left="736"/>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18000</w:t>
            </w:r>
          </w:p>
        </w:tc>
      </w:tr>
      <w:tr>
        <w:trPr>
          <w:trHeight w:val="277" w:hRule="atLeast"/>
        </w:trPr>
        <w:tc>
          <w:tcPr>
            <w:tcW w:w="1242" w:type="dxa"/>
            <w:vAlign w:val="top"/>
          </w:tcPr>
          <w:p>
            <w:pPr>
              <w:ind w:left="570"/>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5320" w:type="dxa"/>
            <w:vAlign w:val="top"/>
          </w:tcPr>
          <w:p>
            <w:pPr>
              <w:pStyle w:val="TableText"/>
              <w:ind w:left="2082"/>
              <w:spacing w:before="31" w:line="217" w:lineRule="auto"/>
              <w:rPr/>
            </w:pPr>
            <w:r>
              <w:rPr>
                <w:spacing w:val="8"/>
              </w:rPr>
              <w:t>铅（</w:t>
            </w:r>
            <w:r>
              <w:rPr>
                <w:rFonts w:ascii="Times New Roman" w:hAnsi="Times New Roman" w:eastAsia="Times New Roman" w:cs="Times New Roman"/>
              </w:rPr>
              <w:t>mg</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954" w:type="dxa"/>
            <w:vAlign w:val="top"/>
          </w:tcPr>
          <w:p>
            <w:pPr>
              <w:ind w:left="830"/>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800</w:t>
            </w:r>
          </w:p>
        </w:tc>
      </w:tr>
      <w:tr>
        <w:trPr>
          <w:trHeight w:val="277" w:hRule="atLeast"/>
        </w:trPr>
        <w:tc>
          <w:tcPr>
            <w:tcW w:w="1242" w:type="dxa"/>
            <w:vAlign w:val="top"/>
          </w:tcPr>
          <w:p>
            <w:pPr>
              <w:ind w:left="574"/>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5320" w:type="dxa"/>
            <w:vAlign w:val="top"/>
          </w:tcPr>
          <w:p>
            <w:pPr>
              <w:pStyle w:val="TableText"/>
              <w:ind w:left="2083"/>
              <w:spacing w:before="33" w:line="216" w:lineRule="auto"/>
              <w:rPr/>
            </w:pPr>
            <w:r>
              <w:rPr>
                <w:spacing w:val="8"/>
              </w:rPr>
              <w:t>汞（</w:t>
            </w:r>
            <w:r>
              <w:rPr>
                <w:rFonts w:ascii="Times New Roman" w:hAnsi="Times New Roman" w:eastAsia="Times New Roman" w:cs="Times New Roman"/>
              </w:rPr>
              <w:t>mg</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954" w:type="dxa"/>
            <w:vAlign w:val="top"/>
          </w:tcPr>
          <w:p>
            <w:pPr>
              <w:ind w:left="87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38</w:t>
            </w:r>
          </w:p>
        </w:tc>
      </w:tr>
      <w:tr>
        <w:trPr>
          <w:trHeight w:val="277" w:hRule="atLeast"/>
        </w:trPr>
        <w:tc>
          <w:tcPr>
            <w:tcW w:w="1242" w:type="dxa"/>
            <w:vAlign w:val="top"/>
          </w:tcPr>
          <w:p>
            <w:pPr>
              <w:ind w:left="569"/>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5320" w:type="dxa"/>
            <w:vAlign w:val="top"/>
          </w:tcPr>
          <w:p>
            <w:pPr>
              <w:pStyle w:val="TableText"/>
              <w:ind w:left="2080"/>
              <w:spacing w:before="31" w:line="217" w:lineRule="auto"/>
              <w:rPr/>
            </w:pPr>
            <w:r>
              <w:rPr>
                <w:spacing w:val="9"/>
              </w:rPr>
              <w:t>镉（</w:t>
            </w:r>
            <w:r>
              <w:rPr>
                <w:rFonts w:ascii="Times New Roman" w:hAnsi="Times New Roman" w:eastAsia="Times New Roman" w:cs="Times New Roman"/>
              </w:rPr>
              <w:t>mg</w:t>
            </w:r>
            <w:r>
              <w:rPr>
                <w:rFonts w:ascii="Times New Roman" w:hAnsi="Times New Roman" w:eastAsia="Times New Roman" w:cs="Times New Roman"/>
                <w:spacing w:val="9"/>
              </w:rPr>
              <w:t>/</w:t>
            </w:r>
            <w:r>
              <w:rPr>
                <w:rFonts w:ascii="Times New Roman" w:hAnsi="Times New Roman" w:eastAsia="Times New Roman" w:cs="Times New Roman"/>
              </w:rPr>
              <w:t>kg</w:t>
            </w:r>
            <w:r>
              <w:rPr>
                <w:spacing w:val="9"/>
              </w:rPr>
              <w:t>）</w:t>
            </w:r>
          </w:p>
        </w:tc>
        <w:tc>
          <w:tcPr>
            <w:tcW w:w="1954" w:type="dxa"/>
            <w:vAlign w:val="top"/>
          </w:tcPr>
          <w:p>
            <w:pPr>
              <w:ind w:left="876"/>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r>
      <w:tr>
        <w:trPr>
          <w:trHeight w:val="277" w:hRule="atLeast"/>
        </w:trPr>
        <w:tc>
          <w:tcPr>
            <w:tcW w:w="1242" w:type="dxa"/>
            <w:vAlign w:val="top"/>
          </w:tcPr>
          <w:p>
            <w:pPr>
              <w:ind w:left="576"/>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5320" w:type="dxa"/>
            <w:vAlign w:val="top"/>
          </w:tcPr>
          <w:p>
            <w:pPr>
              <w:pStyle w:val="TableText"/>
              <w:ind w:left="2081"/>
              <w:spacing w:before="33" w:line="216" w:lineRule="auto"/>
              <w:rPr/>
            </w:pPr>
            <w:r>
              <w:rPr>
                <w:spacing w:val="8"/>
              </w:rPr>
              <w:t>镍（</w:t>
            </w:r>
            <w:r>
              <w:rPr>
                <w:rFonts w:ascii="Times New Roman" w:hAnsi="Times New Roman" w:eastAsia="Times New Roman" w:cs="Times New Roman"/>
              </w:rPr>
              <w:t>mg</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954" w:type="dxa"/>
            <w:vAlign w:val="top"/>
          </w:tcPr>
          <w:p>
            <w:pPr>
              <w:ind w:left="82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900</w:t>
            </w:r>
          </w:p>
        </w:tc>
      </w:tr>
      <w:tr>
        <w:trPr>
          <w:trHeight w:val="278" w:hRule="atLeast"/>
        </w:trPr>
        <w:tc>
          <w:tcPr>
            <w:tcW w:w="1242" w:type="dxa"/>
            <w:vAlign w:val="top"/>
          </w:tcPr>
          <w:p>
            <w:pPr>
              <w:ind w:left="57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5320" w:type="dxa"/>
            <w:vAlign w:val="top"/>
          </w:tcPr>
          <w:p>
            <w:pPr>
              <w:pStyle w:val="TableText"/>
              <w:ind w:left="2081"/>
              <w:spacing w:before="31" w:line="218" w:lineRule="auto"/>
              <w:rPr/>
            </w:pPr>
            <w:r>
              <w:rPr>
                <w:spacing w:val="8"/>
              </w:rPr>
              <w:t>砷（</w:t>
            </w:r>
            <w:r>
              <w:rPr>
                <w:rFonts w:ascii="Times New Roman" w:hAnsi="Times New Roman" w:eastAsia="Times New Roman" w:cs="Times New Roman"/>
              </w:rPr>
              <w:t>mg</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954" w:type="dxa"/>
            <w:vAlign w:val="top"/>
          </w:tcPr>
          <w:p>
            <w:pPr>
              <w:ind w:left="876"/>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r>
      <w:tr>
        <w:trPr>
          <w:trHeight w:val="277" w:hRule="atLeast"/>
        </w:trPr>
        <w:tc>
          <w:tcPr>
            <w:tcW w:w="1242" w:type="dxa"/>
            <w:vAlign w:val="top"/>
          </w:tcPr>
          <w:p>
            <w:pPr>
              <w:ind w:left="573"/>
              <w:spacing w:before="7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5320" w:type="dxa"/>
            <w:vAlign w:val="top"/>
          </w:tcPr>
          <w:p>
            <w:pPr>
              <w:pStyle w:val="TableText"/>
              <w:ind w:left="1873"/>
              <w:spacing w:before="33" w:line="216" w:lineRule="auto"/>
              <w:rPr/>
            </w:pPr>
            <w:r>
              <w:rPr>
                <w:spacing w:val="8"/>
              </w:rPr>
              <w:t>六价铬（</w:t>
            </w:r>
            <w:r>
              <w:rPr>
                <w:rFonts w:ascii="Times New Roman" w:hAnsi="Times New Roman" w:eastAsia="Times New Roman" w:cs="Times New Roman"/>
              </w:rPr>
              <w:t>mg</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954" w:type="dxa"/>
            <w:vAlign w:val="top"/>
          </w:tcPr>
          <w:p>
            <w:pPr>
              <w:ind w:left="851"/>
              <w:spacing w:before="7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5.7</w:t>
            </w:r>
          </w:p>
        </w:tc>
      </w:tr>
      <w:tr>
        <w:trPr>
          <w:trHeight w:val="277" w:hRule="atLeast"/>
        </w:trPr>
        <w:tc>
          <w:tcPr>
            <w:tcW w:w="1242" w:type="dxa"/>
            <w:vAlign w:val="top"/>
          </w:tcPr>
          <w:p>
            <w:pPr>
              <w:ind w:left="578"/>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5320" w:type="dxa"/>
            <w:vAlign w:val="top"/>
          </w:tcPr>
          <w:p>
            <w:pPr>
              <w:pStyle w:val="TableText"/>
              <w:ind w:left="1816"/>
              <w:spacing w:before="30" w:line="218" w:lineRule="auto"/>
              <w:rPr/>
            </w:pPr>
            <w:r>
              <w:rPr>
                <w:spacing w:val="5"/>
              </w:rPr>
              <w:t>四氯化碳（</w:t>
            </w:r>
            <w:r>
              <w:rPr>
                <w:rFonts w:ascii="Times New Roman" w:hAnsi="Times New Roman" w:eastAsia="Times New Roman" w:cs="Times New Roman"/>
              </w:rPr>
              <w:t>ug</w:t>
            </w:r>
            <w:r>
              <w:rPr>
                <w:rFonts w:ascii="Times New Roman" w:hAnsi="Times New Roman" w:eastAsia="Times New Roman" w:cs="Times New Roman"/>
                <w:spacing w:val="5"/>
              </w:rPr>
              <w:t>/</w:t>
            </w:r>
            <w:r>
              <w:rPr>
                <w:rFonts w:ascii="Times New Roman" w:hAnsi="Times New Roman" w:eastAsia="Times New Roman" w:cs="Times New Roman"/>
              </w:rPr>
              <w:t>kg</w:t>
            </w:r>
            <w:r>
              <w:rPr>
                <w:spacing w:val="5"/>
              </w:rPr>
              <w:t>）</w:t>
            </w:r>
          </w:p>
        </w:tc>
        <w:tc>
          <w:tcPr>
            <w:tcW w:w="1954" w:type="dxa"/>
            <w:vAlign w:val="top"/>
          </w:tcPr>
          <w:p>
            <w:pPr>
              <w:ind w:left="845"/>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r>
      <w:tr>
        <w:trPr>
          <w:trHeight w:val="277" w:hRule="atLeast"/>
        </w:trPr>
        <w:tc>
          <w:tcPr>
            <w:tcW w:w="1242" w:type="dxa"/>
            <w:vAlign w:val="top"/>
          </w:tcPr>
          <w:p>
            <w:pPr>
              <w:ind w:left="57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5320" w:type="dxa"/>
            <w:vAlign w:val="top"/>
          </w:tcPr>
          <w:p>
            <w:pPr>
              <w:pStyle w:val="TableText"/>
              <w:ind w:left="2009"/>
              <w:spacing w:before="33" w:line="216" w:lineRule="auto"/>
              <w:rPr/>
            </w:pPr>
            <w:r>
              <w:rPr>
                <w:spacing w:val="8"/>
              </w:rPr>
              <w:t>氯仿（</w:t>
            </w:r>
            <w:r>
              <w:rPr>
                <w:rFonts w:ascii="Times New Roman" w:hAnsi="Times New Roman" w:eastAsia="Times New Roman" w:cs="Times New Roman"/>
              </w:rPr>
              <w:t>ug</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954" w:type="dxa"/>
            <w:vAlign w:val="top"/>
          </w:tcPr>
          <w:p>
            <w:pPr>
              <w:ind w:left="849"/>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0.9</w:t>
            </w:r>
          </w:p>
        </w:tc>
      </w:tr>
      <w:tr>
        <w:trPr>
          <w:trHeight w:val="277" w:hRule="atLeast"/>
        </w:trPr>
        <w:tc>
          <w:tcPr>
            <w:tcW w:w="1242" w:type="dxa"/>
            <w:vAlign w:val="top"/>
          </w:tcPr>
          <w:p>
            <w:pPr>
              <w:ind w:left="53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5320" w:type="dxa"/>
            <w:vAlign w:val="top"/>
          </w:tcPr>
          <w:p>
            <w:pPr>
              <w:pStyle w:val="TableText"/>
              <w:ind w:left="1903"/>
              <w:spacing w:before="34" w:line="215" w:lineRule="auto"/>
              <w:rPr/>
            </w:pPr>
            <w:r>
              <w:rPr>
                <w:spacing w:val="8"/>
              </w:rPr>
              <w:t>氯甲烷（</w:t>
            </w:r>
            <w:r>
              <w:rPr>
                <w:rFonts w:ascii="Times New Roman" w:hAnsi="Times New Roman" w:eastAsia="Times New Roman" w:cs="Times New Roman"/>
              </w:rPr>
              <w:t>ug</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954" w:type="dxa"/>
            <w:vAlign w:val="top"/>
          </w:tcPr>
          <w:p>
            <w:pPr>
              <w:ind w:left="87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37</w:t>
            </w:r>
          </w:p>
        </w:tc>
      </w:tr>
      <w:tr>
        <w:trPr>
          <w:trHeight w:val="277" w:hRule="atLeast"/>
        </w:trPr>
        <w:tc>
          <w:tcPr>
            <w:tcW w:w="1242" w:type="dxa"/>
            <w:vAlign w:val="top"/>
          </w:tcPr>
          <w:p>
            <w:pPr>
              <w:ind w:left="53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11</w:t>
            </w:r>
          </w:p>
        </w:tc>
        <w:tc>
          <w:tcPr>
            <w:tcW w:w="5320" w:type="dxa"/>
            <w:vAlign w:val="top"/>
          </w:tcPr>
          <w:p>
            <w:pPr>
              <w:pStyle w:val="TableText"/>
              <w:ind w:left="1645"/>
              <w:spacing w:before="35" w:line="214" w:lineRule="auto"/>
              <w:rPr/>
            </w:pPr>
            <w:r>
              <w:rPr>
                <w:rFonts w:ascii="Times New Roman" w:hAnsi="Times New Roman" w:eastAsia="Times New Roman" w:cs="Times New Roman"/>
                <w:spacing w:val="3"/>
              </w:rPr>
              <w:t>1,</w:t>
            </w:r>
            <w:r>
              <w:rPr>
                <w:rFonts w:ascii="Times New Roman" w:hAnsi="Times New Roman" w:eastAsia="Times New Roman" w:cs="Times New Roman"/>
                <w:spacing w:val="-22"/>
              </w:rPr>
              <w:t xml:space="preserve"> </w:t>
            </w:r>
            <w:r>
              <w:rPr>
                <w:rFonts w:ascii="Times New Roman" w:hAnsi="Times New Roman" w:eastAsia="Times New Roman" w:cs="Times New Roman"/>
                <w:spacing w:val="3"/>
              </w:rPr>
              <w:t>1-</w:t>
            </w:r>
            <w:r>
              <w:rPr>
                <w:spacing w:val="3"/>
              </w:rPr>
              <w:t>二氯乙烷（</w:t>
            </w:r>
            <w:r>
              <w:rPr>
                <w:rFonts w:ascii="Times New Roman" w:hAnsi="Times New Roman" w:eastAsia="Times New Roman" w:cs="Times New Roman"/>
              </w:rPr>
              <w:t>ug</w:t>
            </w:r>
            <w:r>
              <w:rPr>
                <w:rFonts w:ascii="Times New Roman" w:hAnsi="Times New Roman" w:eastAsia="Times New Roman" w:cs="Times New Roman"/>
                <w:spacing w:val="3"/>
              </w:rPr>
              <w:t>/</w:t>
            </w:r>
            <w:r>
              <w:rPr>
                <w:rFonts w:ascii="Times New Roman" w:hAnsi="Times New Roman" w:eastAsia="Times New Roman" w:cs="Times New Roman"/>
              </w:rPr>
              <w:t>kg</w:t>
            </w:r>
            <w:r>
              <w:rPr>
                <w:spacing w:val="3"/>
              </w:rPr>
              <w:t>）</w:t>
            </w:r>
          </w:p>
        </w:tc>
        <w:tc>
          <w:tcPr>
            <w:tcW w:w="1954" w:type="dxa"/>
            <w:vAlign w:val="top"/>
          </w:tcPr>
          <w:p>
            <w:pPr>
              <w:ind w:left="92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r>
      <w:tr>
        <w:trPr>
          <w:trHeight w:val="278" w:hRule="atLeast"/>
        </w:trPr>
        <w:tc>
          <w:tcPr>
            <w:tcW w:w="1242" w:type="dxa"/>
            <w:vAlign w:val="top"/>
          </w:tcPr>
          <w:p>
            <w:pPr>
              <w:ind w:left="53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5320" w:type="dxa"/>
            <w:vAlign w:val="top"/>
          </w:tcPr>
          <w:p>
            <w:pPr>
              <w:pStyle w:val="TableText"/>
              <w:ind w:left="1645"/>
              <w:spacing w:before="33" w:line="216" w:lineRule="auto"/>
              <w:rPr/>
            </w:pPr>
            <w:r>
              <w:rPr>
                <w:rFonts w:ascii="Times New Roman" w:hAnsi="Times New Roman" w:eastAsia="Times New Roman" w:cs="Times New Roman"/>
                <w:spacing w:val="5"/>
              </w:rPr>
              <w:t>1,2-</w:t>
            </w:r>
            <w:r>
              <w:rPr>
                <w:spacing w:val="5"/>
              </w:rPr>
              <w:t>二氯乙烷（</w:t>
            </w:r>
            <w:r>
              <w:rPr>
                <w:rFonts w:ascii="Times New Roman" w:hAnsi="Times New Roman" w:eastAsia="Times New Roman" w:cs="Times New Roman"/>
              </w:rPr>
              <w:t>ug</w:t>
            </w:r>
            <w:r>
              <w:rPr>
                <w:rFonts w:ascii="Times New Roman" w:hAnsi="Times New Roman" w:eastAsia="Times New Roman" w:cs="Times New Roman"/>
                <w:spacing w:val="5"/>
              </w:rPr>
              <w:t>/</w:t>
            </w:r>
            <w:r>
              <w:rPr>
                <w:rFonts w:ascii="Times New Roman" w:hAnsi="Times New Roman" w:eastAsia="Times New Roman" w:cs="Times New Roman"/>
              </w:rPr>
              <w:t>kg</w:t>
            </w:r>
            <w:r>
              <w:rPr>
                <w:spacing w:val="5"/>
              </w:rPr>
              <w:t>）</w:t>
            </w:r>
          </w:p>
        </w:tc>
        <w:tc>
          <w:tcPr>
            <w:tcW w:w="1954" w:type="dxa"/>
            <w:vAlign w:val="top"/>
          </w:tcPr>
          <w:p>
            <w:pPr>
              <w:ind w:left="930"/>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r>
      <w:tr>
        <w:trPr>
          <w:trHeight w:val="277" w:hRule="atLeast"/>
        </w:trPr>
        <w:tc>
          <w:tcPr>
            <w:tcW w:w="1242" w:type="dxa"/>
            <w:vAlign w:val="top"/>
          </w:tcPr>
          <w:p>
            <w:pPr>
              <w:ind w:left="53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13</w:t>
            </w:r>
          </w:p>
        </w:tc>
        <w:tc>
          <w:tcPr>
            <w:tcW w:w="5320" w:type="dxa"/>
            <w:vAlign w:val="top"/>
          </w:tcPr>
          <w:p>
            <w:pPr>
              <w:pStyle w:val="TableText"/>
              <w:ind w:left="1645"/>
              <w:spacing w:before="34" w:line="215" w:lineRule="auto"/>
              <w:rPr/>
            </w:pPr>
            <w:r>
              <w:rPr>
                <w:rFonts w:ascii="Times New Roman" w:hAnsi="Times New Roman" w:eastAsia="Times New Roman" w:cs="Times New Roman"/>
                <w:spacing w:val="3"/>
              </w:rPr>
              <w:t>1,</w:t>
            </w:r>
            <w:r>
              <w:rPr>
                <w:rFonts w:ascii="Times New Roman" w:hAnsi="Times New Roman" w:eastAsia="Times New Roman" w:cs="Times New Roman"/>
                <w:spacing w:val="-22"/>
              </w:rPr>
              <w:t xml:space="preserve"> </w:t>
            </w:r>
            <w:r>
              <w:rPr>
                <w:rFonts w:ascii="Times New Roman" w:hAnsi="Times New Roman" w:eastAsia="Times New Roman" w:cs="Times New Roman"/>
                <w:spacing w:val="3"/>
              </w:rPr>
              <w:t>1-</w:t>
            </w:r>
            <w:r>
              <w:rPr>
                <w:spacing w:val="3"/>
              </w:rPr>
              <w:t>二氯乙烯（</w:t>
            </w:r>
            <w:r>
              <w:rPr>
                <w:rFonts w:ascii="Times New Roman" w:hAnsi="Times New Roman" w:eastAsia="Times New Roman" w:cs="Times New Roman"/>
              </w:rPr>
              <w:t>ug</w:t>
            </w:r>
            <w:r>
              <w:rPr>
                <w:rFonts w:ascii="Times New Roman" w:hAnsi="Times New Roman" w:eastAsia="Times New Roman" w:cs="Times New Roman"/>
                <w:spacing w:val="3"/>
              </w:rPr>
              <w:t>/</w:t>
            </w:r>
            <w:r>
              <w:rPr>
                <w:rFonts w:ascii="Times New Roman" w:hAnsi="Times New Roman" w:eastAsia="Times New Roman" w:cs="Times New Roman"/>
              </w:rPr>
              <w:t>kg</w:t>
            </w:r>
            <w:r>
              <w:rPr>
                <w:spacing w:val="3"/>
              </w:rPr>
              <w:t>）</w:t>
            </w:r>
          </w:p>
        </w:tc>
        <w:tc>
          <w:tcPr>
            <w:tcW w:w="1954" w:type="dxa"/>
            <w:vAlign w:val="top"/>
          </w:tcPr>
          <w:p>
            <w:pPr>
              <w:ind w:left="87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66</w:t>
            </w:r>
          </w:p>
        </w:tc>
      </w:tr>
      <w:tr>
        <w:trPr>
          <w:trHeight w:val="277" w:hRule="atLeast"/>
        </w:trPr>
        <w:tc>
          <w:tcPr>
            <w:tcW w:w="1242" w:type="dxa"/>
            <w:vAlign w:val="top"/>
          </w:tcPr>
          <w:p>
            <w:pPr>
              <w:ind w:left="53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14</w:t>
            </w:r>
          </w:p>
        </w:tc>
        <w:tc>
          <w:tcPr>
            <w:tcW w:w="5320" w:type="dxa"/>
            <w:vAlign w:val="top"/>
          </w:tcPr>
          <w:p>
            <w:pPr>
              <w:pStyle w:val="TableText"/>
              <w:ind w:left="1490"/>
              <w:spacing w:before="35" w:line="214" w:lineRule="auto"/>
              <w:rPr/>
            </w:pPr>
            <w:r>
              <w:rPr>
                <w:spacing w:val="7"/>
              </w:rPr>
              <w:t>顺</w:t>
            </w:r>
            <w:r>
              <w:rPr>
                <w:rFonts w:ascii="Times New Roman" w:hAnsi="Times New Roman" w:eastAsia="Times New Roman" w:cs="Times New Roman"/>
                <w:spacing w:val="7"/>
              </w:rPr>
              <w:t>-1,2-</w:t>
            </w:r>
            <w:r>
              <w:rPr>
                <w:spacing w:val="7"/>
              </w:rPr>
              <w:t>二氯乙烯（</w:t>
            </w:r>
            <w:r>
              <w:rPr>
                <w:rFonts w:ascii="Times New Roman" w:hAnsi="Times New Roman" w:eastAsia="Times New Roman" w:cs="Times New Roman"/>
              </w:rPr>
              <w:t>ug</w:t>
            </w:r>
            <w:r>
              <w:rPr>
                <w:rFonts w:ascii="Times New Roman" w:hAnsi="Times New Roman" w:eastAsia="Times New Roman" w:cs="Times New Roman"/>
                <w:spacing w:val="7"/>
              </w:rPr>
              <w:t>/</w:t>
            </w:r>
            <w:r>
              <w:rPr>
                <w:rFonts w:ascii="Times New Roman" w:hAnsi="Times New Roman" w:eastAsia="Times New Roman" w:cs="Times New Roman"/>
              </w:rPr>
              <w:t>kg</w:t>
            </w:r>
            <w:r>
              <w:rPr>
                <w:spacing w:val="7"/>
              </w:rPr>
              <w:t>）</w:t>
            </w:r>
          </w:p>
        </w:tc>
        <w:tc>
          <w:tcPr>
            <w:tcW w:w="1954" w:type="dxa"/>
            <w:vAlign w:val="top"/>
          </w:tcPr>
          <w:p>
            <w:pPr>
              <w:ind w:left="82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596</w:t>
            </w:r>
          </w:p>
        </w:tc>
      </w:tr>
      <w:tr>
        <w:trPr>
          <w:trHeight w:val="277" w:hRule="atLeast"/>
        </w:trPr>
        <w:tc>
          <w:tcPr>
            <w:tcW w:w="1242" w:type="dxa"/>
            <w:vAlign w:val="top"/>
          </w:tcPr>
          <w:p>
            <w:pPr>
              <w:ind w:left="53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5320" w:type="dxa"/>
            <w:vAlign w:val="top"/>
          </w:tcPr>
          <w:p>
            <w:pPr>
              <w:pStyle w:val="TableText"/>
              <w:ind w:left="1490"/>
              <w:spacing w:before="34" w:line="215" w:lineRule="auto"/>
              <w:rPr/>
            </w:pPr>
            <w:r>
              <w:rPr>
                <w:spacing w:val="7"/>
              </w:rPr>
              <w:t>反</w:t>
            </w:r>
            <w:r>
              <w:rPr>
                <w:rFonts w:ascii="Times New Roman" w:hAnsi="Times New Roman" w:eastAsia="Times New Roman" w:cs="Times New Roman"/>
                <w:spacing w:val="7"/>
              </w:rPr>
              <w:t>-1,2-</w:t>
            </w:r>
            <w:r>
              <w:rPr>
                <w:spacing w:val="7"/>
              </w:rPr>
              <w:t>二氯乙烯（</w:t>
            </w:r>
            <w:r>
              <w:rPr>
                <w:rFonts w:ascii="Times New Roman" w:hAnsi="Times New Roman" w:eastAsia="Times New Roman" w:cs="Times New Roman"/>
              </w:rPr>
              <w:t>ug</w:t>
            </w:r>
            <w:r>
              <w:rPr>
                <w:rFonts w:ascii="Times New Roman" w:hAnsi="Times New Roman" w:eastAsia="Times New Roman" w:cs="Times New Roman"/>
                <w:spacing w:val="7"/>
              </w:rPr>
              <w:t>/</w:t>
            </w:r>
            <w:r>
              <w:rPr>
                <w:rFonts w:ascii="Times New Roman" w:hAnsi="Times New Roman" w:eastAsia="Times New Roman" w:cs="Times New Roman"/>
              </w:rPr>
              <w:t>kg</w:t>
            </w:r>
            <w:r>
              <w:rPr>
                <w:spacing w:val="7"/>
              </w:rPr>
              <w:t>）</w:t>
            </w:r>
          </w:p>
        </w:tc>
        <w:tc>
          <w:tcPr>
            <w:tcW w:w="1954" w:type="dxa"/>
            <w:vAlign w:val="top"/>
          </w:tcPr>
          <w:p>
            <w:pPr>
              <w:ind w:left="87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54</w:t>
            </w:r>
          </w:p>
        </w:tc>
      </w:tr>
      <w:tr>
        <w:trPr>
          <w:trHeight w:val="277" w:hRule="atLeast"/>
        </w:trPr>
        <w:tc>
          <w:tcPr>
            <w:tcW w:w="1242" w:type="dxa"/>
            <w:vAlign w:val="top"/>
          </w:tcPr>
          <w:p>
            <w:pPr>
              <w:ind w:left="53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16</w:t>
            </w:r>
          </w:p>
        </w:tc>
        <w:tc>
          <w:tcPr>
            <w:tcW w:w="5320" w:type="dxa"/>
            <w:vAlign w:val="top"/>
          </w:tcPr>
          <w:p>
            <w:pPr>
              <w:pStyle w:val="TableText"/>
              <w:ind w:left="1800"/>
              <w:spacing w:before="35" w:line="214" w:lineRule="auto"/>
              <w:rPr/>
            </w:pPr>
            <w:r>
              <w:rPr>
                <w:spacing w:val="8"/>
              </w:rPr>
              <w:t>二氯甲烷（</w:t>
            </w:r>
            <w:r>
              <w:rPr>
                <w:rFonts w:ascii="Times New Roman" w:hAnsi="Times New Roman" w:eastAsia="Times New Roman" w:cs="Times New Roman"/>
              </w:rPr>
              <w:t>ug</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954" w:type="dxa"/>
            <w:vAlign w:val="top"/>
          </w:tcPr>
          <w:p>
            <w:pPr>
              <w:ind w:left="82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616</w:t>
            </w:r>
          </w:p>
        </w:tc>
      </w:tr>
      <w:tr>
        <w:trPr>
          <w:trHeight w:val="277" w:hRule="atLeast"/>
        </w:trPr>
        <w:tc>
          <w:tcPr>
            <w:tcW w:w="1242" w:type="dxa"/>
            <w:vAlign w:val="top"/>
          </w:tcPr>
          <w:p>
            <w:pPr>
              <w:ind w:left="537"/>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17</w:t>
            </w:r>
          </w:p>
        </w:tc>
        <w:tc>
          <w:tcPr>
            <w:tcW w:w="5320" w:type="dxa"/>
            <w:vAlign w:val="top"/>
          </w:tcPr>
          <w:p>
            <w:pPr>
              <w:pStyle w:val="TableText"/>
              <w:ind w:left="1645"/>
              <w:spacing w:before="36" w:line="213" w:lineRule="auto"/>
              <w:rPr/>
            </w:pPr>
            <w:r>
              <w:rPr>
                <w:rFonts w:ascii="Times New Roman" w:hAnsi="Times New Roman" w:eastAsia="Times New Roman" w:cs="Times New Roman"/>
                <w:spacing w:val="5"/>
              </w:rPr>
              <w:t>1,2-</w:t>
            </w:r>
            <w:r>
              <w:rPr>
                <w:spacing w:val="5"/>
              </w:rPr>
              <w:t>二氯丙烷（</w:t>
            </w:r>
            <w:r>
              <w:rPr>
                <w:rFonts w:ascii="Times New Roman" w:hAnsi="Times New Roman" w:eastAsia="Times New Roman" w:cs="Times New Roman"/>
              </w:rPr>
              <w:t>ug</w:t>
            </w:r>
            <w:r>
              <w:rPr>
                <w:rFonts w:ascii="Times New Roman" w:hAnsi="Times New Roman" w:eastAsia="Times New Roman" w:cs="Times New Roman"/>
                <w:spacing w:val="5"/>
              </w:rPr>
              <w:t>/</w:t>
            </w:r>
            <w:r>
              <w:rPr>
                <w:rFonts w:ascii="Times New Roman" w:hAnsi="Times New Roman" w:eastAsia="Times New Roman" w:cs="Times New Roman"/>
              </w:rPr>
              <w:t>kg</w:t>
            </w:r>
            <w:r>
              <w:rPr>
                <w:spacing w:val="5"/>
              </w:rPr>
              <w:t>）</w:t>
            </w:r>
          </w:p>
        </w:tc>
        <w:tc>
          <w:tcPr>
            <w:tcW w:w="1954" w:type="dxa"/>
            <w:vAlign w:val="top"/>
          </w:tcPr>
          <w:p>
            <w:pPr>
              <w:ind w:left="930"/>
              <w:spacing w:before="7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r>
      <w:tr>
        <w:trPr>
          <w:trHeight w:val="278" w:hRule="atLeast"/>
        </w:trPr>
        <w:tc>
          <w:tcPr>
            <w:tcW w:w="1242" w:type="dxa"/>
            <w:vAlign w:val="top"/>
          </w:tcPr>
          <w:p>
            <w:pPr>
              <w:ind w:left="53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18</w:t>
            </w:r>
          </w:p>
        </w:tc>
        <w:tc>
          <w:tcPr>
            <w:tcW w:w="5320" w:type="dxa"/>
            <w:vAlign w:val="top"/>
          </w:tcPr>
          <w:p>
            <w:pPr>
              <w:pStyle w:val="TableText"/>
              <w:ind w:left="1489"/>
              <w:spacing w:before="35" w:line="215" w:lineRule="auto"/>
              <w:rPr/>
            </w:pPr>
            <w:r>
              <w:rPr>
                <w:rFonts w:ascii="Times New Roman" w:hAnsi="Times New Roman" w:eastAsia="Times New Roman" w:cs="Times New Roman"/>
                <w:spacing w:val="1"/>
              </w:rPr>
              <w:t>1,</w:t>
            </w:r>
            <w:r>
              <w:rPr>
                <w:rFonts w:ascii="Times New Roman" w:hAnsi="Times New Roman" w:eastAsia="Times New Roman" w:cs="Times New Roman"/>
                <w:spacing w:val="-15"/>
              </w:rPr>
              <w:t xml:space="preserve"> </w:t>
            </w:r>
            <w:r>
              <w:rPr>
                <w:rFonts w:ascii="Times New Roman" w:hAnsi="Times New Roman" w:eastAsia="Times New Roman" w:cs="Times New Roman"/>
                <w:spacing w:val="1"/>
              </w:rPr>
              <w:t>1,</w:t>
            </w:r>
            <w:r>
              <w:rPr>
                <w:rFonts w:ascii="Times New Roman" w:hAnsi="Times New Roman" w:eastAsia="Times New Roman" w:cs="Times New Roman"/>
                <w:spacing w:val="-25"/>
              </w:rPr>
              <w:t xml:space="preserve"> </w:t>
            </w:r>
            <w:r>
              <w:rPr>
                <w:rFonts w:ascii="Times New Roman" w:hAnsi="Times New Roman" w:eastAsia="Times New Roman" w:cs="Times New Roman"/>
                <w:spacing w:val="1"/>
              </w:rPr>
              <w:t>1,2-</w:t>
            </w:r>
            <w:r>
              <w:rPr>
                <w:spacing w:val="1"/>
              </w:rPr>
              <w:t>四氯乙烷（</w:t>
            </w:r>
            <w:r>
              <w:rPr>
                <w:rFonts w:ascii="Times New Roman" w:hAnsi="Times New Roman" w:eastAsia="Times New Roman" w:cs="Times New Roman"/>
              </w:rPr>
              <w:t>ug</w:t>
            </w:r>
            <w:r>
              <w:rPr>
                <w:rFonts w:ascii="Times New Roman" w:hAnsi="Times New Roman" w:eastAsia="Times New Roman" w:cs="Times New Roman"/>
                <w:spacing w:val="1"/>
              </w:rPr>
              <w:t>/</w:t>
            </w:r>
            <w:r>
              <w:rPr>
                <w:rFonts w:ascii="Times New Roman" w:hAnsi="Times New Roman" w:eastAsia="Times New Roman" w:cs="Times New Roman"/>
              </w:rPr>
              <w:t>kg</w:t>
            </w:r>
            <w:r>
              <w:rPr>
                <w:spacing w:val="1"/>
              </w:rPr>
              <w:t>）</w:t>
            </w:r>
          </w:p>
        </w:tc>
        <w:tc>
          <w:tcPr>
            <w:tcW w:w="1954" w:type="dxa"/>
            <w:vAlign w:val="top"/>
          </w:tcPr>
          <w:p>
            <w:pPr>
              <w:ind w:left="89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r>
      <w:tr>
        <w:trPr>
          <w:trHeight w:val="277" w:hRule="atLeast"/>
        </w:trPr>
        <w:tc>
          <w:tcPr>
            <w:tcW w:w="1242" w:type="dxa"/>
            <w:vAlign w:val="top"/>
          </w:tcPr>
          <w:p>
            <w:pPr>
              <w:ind w:left="53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19</w:t>
            </w:r>
          </w:p>
        </w:tc>
        <w:tc>
          <w:tcPr>
            <w:tcW w:w="5320" w:type="dxa"/>
            <w:vAlign w:val="top"/>
          </w:tcPr>
          <w:p>
            <w:pPr>
              <w:pStyle w:val="TableText"/>
              <w:ind w:left="1489"/>
              <w:spacing w:before="35" w:line="214" w:lineRule="auto"/>
              <w:rPr/>
            </w:pPr>
            <w:r>
              <w:rPr>
                <w:rFonts w:ascii="Times New Roman" w:hAnsi="Times New Roman" w:eastAsia="Times New Roman" w:cs="Times New Roman"/>
                <w:spacing w:val="3"/>
              </w:rPr>
              <w:t>1,</w:t>
            </w:r>
            <w:r>
              <w:rPr>
                <w:rFonts w:ascii="Times New Roman" w:hAnsi="Times New Roman" w:eastAsia="Times New Roman" w:cs="Times New Roman"/>
                <w:spacing w:val="-20"/>
              </w:rPr>
              <w:t xml:space="preserve"> </w:t>
            </w:r>
            <w:r>
              <w:rPr>
                <w:rFonts w:ascii="Times New Roman" w:hAnsi="Times New Roman" w:eastAsia="Times New Roman" w:cs="Times New Roman"/>
                <w:spacing w:val="3"/>
              </w:rPr>
              <w:t>1,2,2-</w:t>
            </w:r>
            <w:r>
              <w:rPr>
                <w:spacing w:val="3"/>
              </w:rPr>
              <w:t>四氯乙烷（</w:t>
            </w:r>
            <w:r>
              <w:rPr>
                <w:rFonts w:ascii="Times New Roman" w:hAnsi="Times New Roman" w:eastAsia="Times New Roman" w:cs="Times New Roman"/>
              </w:rPr>
              <w:t>ug</w:t>
            </w:r>
            <w:r>
              <w:rPr>
                <w:rFonts w:ascii="Times New Roman" w:hAnsi="Times New Roman" w:eastAsia="Times New Roman" w:cs="Times New Roman"/>
                <w:spacing w:val="3"/>
              </w:rPr>
              <w:t>/</w:t>
            </w:r>
            <w:r>
              <w:rPr>
                <w:rFonts w:ascii="Times New Roman" w:hAnsi="Times New Roman" w:eastAsia="Times New Roman" w:cs="Times New Roman"/>
              </w:rPr>
              <w:t>kg</w:t>
            </w:r>
            <w:r>
              <w:rPr>
                <w:spacing w:val="3"/>
              </w:rPr>
              <w:t>）</w:t>
            </w:r>
          </w:p>
        </w:tc>
        <w:tc>
          <w:tcPr>
            <w:tcW w:w="1954" w:type="dxa"/>
            <w:vAlign w:val="top"/>
          </w:tcPr>
          <w:p>
            <w:pPr>
              <w:ind w:left="85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6.8</w:t>
            </w:r>
          </w:p>
        </w:tc>
      </w:tr>
      <w:tr>
        <w:trPr>
          <w:trHeight w:val="277" w:hRule="atLeast"/>
        </w:trPr>
        <w:tc>
          <w:tcPr>
            <w:tcW w:w="1242" w:type="dxa"/>
            <w:vAlign w:val="top"/>
          </w:tcPr>
          <w:p>
            <w:pPr>
              <w:ind w:left="517"/>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5320" w:type="dxa"/>
            <w:vAlign w:val="top"/>
          </w:tcPr>
          <w:p>
            <w:pPr>
              <w:pStyle w:val="TableText"/>
              <w:ind w:left="1816"/>
              <w:spacing w:before="36" w:line="213" w:lineRule="auto"/>
              <w:rPr/>
            </w:pPr>
            <w:r>
              <w:rPr>
                <w:spacing w:val="5"/>
              </w:rPr>
              <w:t>四氯乙烯（</w:t>
            </w:r>
            <w:r>
              <w:rPr>
                <w:rFonts w:ascii="Times New Roman" w:hAnsi="Times New Roman" w:eastAsia="Times New Roman" w:cs="Times New Roman"/>
              </w:rPr>
              <w:t>ug</w:t>
            </w:r>
            <w:r>
              <w:rPr>
                <w:rFonts w:ascii="Times New Roman" w:hAnsi="Times New Roman" w:eastAsia="Times New Roman" w:cs="Times New Roman"/>
                <w:spacing w:val="5"/>
              </w:rPr>
              <w:t>/</w:t>
            </w:r>
            <w:r>
              <w:rPr>
                <w:rFonts w:ascii="Times New Roman" w:hAnsi="Times New Roman" w:eastAsia="Times New Roman" w:cs="Times New Roman"/>
              </w:rPr>
              <w:t>kg</w:t>
            </w:r>
            <w:r>
              <w:rPr>
                <w:spacing w:val="5"/>
              </w:rPr>
              <w:t>）</w:t>
            </w:r>
          </w:p>
        </w:tc>
        <w:tc>
          <w:tcPr>
            <w:tcW w:w="1954" w:type="dxa"/>
            <w:vAlign w:val="top"/>
          </w:tcPr>
          <w:p>
            <w:pPr>
              <w:ind w:left="878"/>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53</w:t>
            </w:r>
          </w:p>
        </w:tc>
      </w:tr>
      <w:tr>
        <w:trPr>
          <w:trHeight w:val="277" w:hRule="atLeast"/>
        </w:trPr>
        <w:tc>
          <w:tcPr>
            <w:tcW w:w="1242" w:type="dxa"/>
            <w:vAlign w:val="top"/>
          </w:tcPr>
          <w:p>
            <w:pPr>
              <w:ind w:left="51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21</w:t>
            </w:r>
          </w:p>
        </w:tc>
        <w:tc>
          <w:tcPr>
            <w:tcW w:w="5320" w:type="dxa"/>
            <w:vAlign w:val="top"/>
          </w:tcPr>
          <w:p>
            <w:pPr>
              <w:pStyle w:val="TableText"/>
              <w:ind w:left="1566"/>
              <w:spacing w:before="35" w:line="214" w:lineRule="auto"/>
              <w:rPr/>
            </w:pPr>
            <w:r>
              <w:rPr>
                <w:rFonts w:ascii="Times New Roman" w:hAnsi="Times New Roman" w:eastAsia="Times New Roman" w:cs="Times New Roman"/>
                <w:spacing w:val="1"/>
              </w:rPr>
              <w:t>1,</w:t>
            </w:r>
            <w:r>
              <w:rPr>
                <w:rFonts w:ascii="Times New Roman" w:hAnsi="Times New Roman" w:eastAsia="Times New Roman" w:cs="Times New Roman"/>
                <w:spacing w:val="-19"/>
              </w:rPr>
              <w:t xml:space="preserve"> </w:t>
            </w:r>
            <w:r>
              <w:rPr>
                <w:rFonts w:ascii="Times New Roman" w:hAnsi="Times New Roman" w:eastAsia="Times New Roman" w:cs="Times New Roman"/>
                <w:spacing w:val="1"/>
              </w:rPr>
              <w:t>1,</w:t>
            </w:r>
            <w:r>
              <w:rPr>
                <w:rFonts w:ascii="Times New Roman" w:hAnsi="Times New Roman" w:eastAsia="Times New Roman" w:cs="Times New Roman"/>
                <w:spacing w:val="-25"/>
              </w:rPr>
              <w:t xml:space="preserve"> </w:t>
            </w:r>
            <w:r>
              <w:rPr>
                <w:rFonts w:ascii="Times New Roman" w:hAnsi="Times New Roman" w:eastAsia="Times New Roman" w:cs="Times New Roman"/>
                <w:spacing w:val="1"/>
              </w:rPr>
              <w:t>1-</w:t>
            </w:r>
            <w:r>
              <w:rPr>
                <w:spacing w:val="1"/>
              </w:rPr>
              <w:t>三氯乙烷（</w:t>
            </w:r>
            <w:r>
              <w:rPr>
                <w:rFonts w:ascii="Times New Roman" w:hAnsi="Times New Roman" w:eastAsia="Times New Roman" w:cs="Times New Roman"/>
              </w:rPr>
              <w:t>ug</w:t>
            </w:r>
            <w:r>
              <w:rPr>
                <w:rFonts w:ascii="Times New Roman" w:hAnsi="Times New Roman" w:eastAsia="Times New Roman" w:cs="Times New Roman"/>
                <w:spacing w:val="1"/>
              </w:rPr>
              <w:t>/</w:t>
            </w:r>
            <w:r>
              <w:rPr>
                <w:rFonts w:ascii="Times New Roman" w:hAnsi="Times New Roman" w:eastAsia="Times New Roman" w:cs="Times New Roman"/>
              </w:rPr>
              <w:t>kg</w:t>
            </w:r>
            <w:r>
              <w:rPr>
                <w:spacing w:val="1"/>
              </w:rPr>
              <w:t>）</w:t>
            </w:r>
          </w:p>
        </w:tc>
        <w:tc>
          <w:tcPr>
            <w:tcW w:w="1954" w:type="dxa"/>
            <w:vAlign w:val="top"/>
          </w:tcPr>
          <w:p>
            <w:pPr>
              <w:ind w:left="83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840</w:t>
            </w:r>
          </w:p>
        </w:tc>
      </w:tr>
      <w:tr>
        <w:trPr>
          <w:trHeight w:val="277" w:hRule="atLeast"/>
        </w:trPr>
        <w:tc>
          <w:tcPr>
            <w:tcW w:w="1242" w:type="dxa"/>
            <w:vAlign w:val="top"/>
          </w:tcPr>
          <w:p>
            <w:pPr>
              <w:ind w:left="517"/>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22</w:t>
            </w:r>
          </w:p>
        </w:tc>
        <w:tc>
          <w:tcPr>
            <w:tcW w:w="5320" w:type="dxa"/>
            <w:vAlign w:val="top"/>
          </w:tcPr>
          <w:p>
            <w:pPr>
              <w:pStyle w:val="TableText"/>
              <w:ind w:left="1566"/>
              <w:spacing w:before="36" w:line="213" w:lineRule="auto"/>
              <w:rPr/>
            </w:pPr>
            <w:r>
              <w:rPr>
                <w:rFonts w:ascii="Times New Roman" w:hAnsi="Times New Roman" w:eastAsia="Times New Roman" w:cs="Times New Roman"/>
                <w:spacing w:val="3"/>
              </w:rPr>
              <w:t>1,</w:t>
            </w:r>
            <w:r>
              <w:rPr>
                <w:rFonts w:ascii="Times New Roman" w:hAnsi="Times New Roman" w:eastAsia="Times New Roman" w:cs="Times New Roman"/>
                <w:spacing w:val="-20"/>
              </w:rPr>
              <w:t xml:space="preserve"> </w:t>
            </w:r>
            <w:r>
              <w:rPr>
                <w:rFonts w:ascii="Times New Roman" w:hAnsi="Times New Roman" w:eastAsia="Times New Roman" w:cs="Times New Roman"/>
                <w:spacing w:val="3"/>
              </w:rPr>
              <w:t>1,2-</w:t>
            </w:r>
            <w:r>
              <w:rPr>
                <w:spacing w:val="3"/>
              </w:rPr>
              <w:t>三氯乙烷（</w:t>
            </w:r>
            <w:r>
              <w:rPr>
                <w:rFonts w:ascii="Times New Roman" w:hAnsi="Times New Roman" w:eastAsia="Times New Roman" w:cs="Times New Roman"/>
              </w:rPr>
              <w:t>ug</w:t>
            </w:r>
            <w:r>
              <w:rPr>
                <w:rFonts w:ascii="Times New Roman" w:hAnsi="Times New Roman" w:eastAsia="Times New Roman" w:cs="Times New Roman"/>
                <w:spacing w:val="3"/>
              </w:rPr>
              <w:t>/</w:t>
            </w:r>
            <w:r>
              <w:rPr>
                <w:rFonts w:ascii="Times New Roman" w:hAnsi="Times New Roman" w:eastAsia="Times New Roman" w:cs="Times New Roman"/>
              </w:rPr>
              <w:t>kg</w:t>
            </w:r>
            <w:r>
              <w:rPr>
                <w:spacing w:val="3"/>
              </w:rPr>
              <w:t>）</w:t>
            </w:r>
          </w:p>
        </w:tc>
        <w:tc>
          <w:tcPr>
            <w:tcW w:w="1954" w:type="dxa"/>
            <w:vAlign w:val="top"/>
          </w:tcPr>
          <w:p>
            <w:pPr>
              <w:ind w:left="845"/>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r>
      <w:tr>
        <w:trPr>
          <w:trHeight w:val="277" w:hRule="atLeast"/>
        </w:trPr>
        <w:tc>
          <w:tcPr>
            <w:tcW w:w="1242" w:type="dxa"/>
            <w:vAlign w:val="top"/>
          </w:tcPr>
          <w:p>
            <w:pPr>
              <w:ind w:left="51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23</w:t>
            </w:r>
          </w:p>
        </w:tc>
        <w:tc>
          <w:tcPr>
            <w:tcW w:w="5320" w:type="dxa"/>
            <w:vAlign w:val="top"/>
          </w:tcPr>
          <w:p>
            <w:pPr>
              <w:pStyle w:val="TableText"/>
              <w:ind w:left="1796"/>
              <w:spacing w:before="35" w:line="214" w:lineRule="auto"/>
              <w:rPr/>
            </w:pPr>
            <w:r>
              <w:rPr>
                <w:spacing w:val="8"/>
              </w:rPr>
              <w:t>三氯乙烯（</w:t>
            </w:r>
            <w:r>
              <w:rPr>
                <w:rFonts w:ascii="Times New Roman" w:hAnsi="Times New Roman" w:eastAsia="Times New Roman" w:cs="Times New Roman"/>
              </w:rPr>
              <w:t>ug</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954" w:type="dxa"/>
            <w:vAlign w:val="top"/>
          </w:tcPr>
          <w:p>
            <w:pPr>
              <w:ind w:left="84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r>
      <w:tr>
        <w:trPr>
          <w:trHeight w:val="280" w:hRule="atLeast"/>
        </w:trPr>
        <w:tc>
          <w:tcPr>
            <w:tcW w:w="1242" w:type="dxa"/>
            <w:vAlign w:val="top"/>
          </w:tcPr>
          <w:p>
            <w:pPr>
              <w:ind w:left="517"/>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24</w:t>
            </w:r>
          </w:p>
        </w:tc>
        <w:tc>
          <w:tcPr>
            <w:tcW w:w="5320" w:type="dxa"/>
            <w:vAlign w:val="top"/>
          </w:tcPr>
          <w:p>
            <w:pPr>
              <w:pStyle w:val="TableText"/>
              <w:ind w:left="1566"/>
              <w:spacing w:before="36" w:line="216" w:lineRule="auto"/>
              <w:rPr/>
            </w:pPr>
            <w:r>
              <w:rPr>
                <w:rFonts w:ascii="Times New Roman" w:hAnsi="Times New Roman" w:eastAsia="Times New Roman" w:cs="Times New Roman"/>
                <w:spacing w:val="5"/>
              </w:rPr>
              <w:t>1,2,3-</w:t>
            </w:r>
            <w:r>
              <w:rPr>
                <w:spacing w:val="5"/>
              </w:rPr>
              <w:t>三氯丙烷（</w:t>
            </w:r>
            <w:r>
              <w:rPr>
                <w:rFonts w:ascii="Times New Roman" w:hAnsi="Times New Roman" w:eastAsia="Times New Roman" w:cs="Times New Roman"/>
              </w:rPr>
              <w:t>ug</w:t>
            </w:r>
            <w:r>
              <w:rPr>
                <w:rFonts w:ascii="Times New Roman" w:hAnsi="Times New Roman" w:eastAsia="Times New Roman" w:cs="Times New Roman"/>
                <w:spacing w:val="5"/>
              </w:rPr>
              <w:t>/</w:t>
            </w:r>
            <w:r>
              <w:rPr>
                <w:rFonts w:ascii="Times New Roman" w:hAnsi="Times New Roman" w:eastAsia="Times New Roman" w:cs="Times New Roman"/>
              </w:rPr>
              <w:t>kg</w:t>
            </w:r>
            <w:r>
              <w:rPr>
                <w:spacing w:val="5"/>
              </w:rPr>
              <w:t>）</w:t>
            </w:r>
          </w:p>
        </w:tc>
        <w:tc>
          <w:tcPr>
            <w:tcW w:w="1954" w:type="dxa"/>
            <w:vAlign w:val="top"/>
          </w:tcPr>
          <w:p>
            <w:pPr>
              <w:ind w:left="849"/>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0.5</w:t>
            </w:r>
          </w:p>
        </w:tc>
      </w:tr>
    </w:tbl>
    <w:p>
      <w:pPr>
        <w:pStyle w:val="BodyText"/>
        <w:spacing w:line="284" w:lineRule="auto"/>
        <w:rPr/>
      </w:pPr>
      <w:r/>
    </w:p>
    <w:p>
      <w:pPr>
        <w:ind w:left="17"/>
        <w:spacing w:before="62" w:line="227" w:lineRule="auto"/>
        <w:rPr>
          <w:rFonts w:ascii="SimSun" w:hAnsi="SimSun" w:eastAsia="SimSun" w:cs="SimSun"/>
          <w:sz w:val="19"/>
          <w:szCs w:val="19"/>
        </w:rPr>
      </w:pPr>
      <w:r>
        <w:pict>
          <v:shape id="_x0000_s212" style="position:absolute;margin-left:159.82pt;margin-top:2.10339pt;mso-position-vertical-relative:text;mso-position-horizontal-relative:text;width:58.85pt;height:13.75pt;z-index:251752448;"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28"/>
                    </w:rPr>
                    <w:t xml:space="preserve">   </w:t>
                  </w:r>
                  <w:r>
                    <w:rPr>
                      <w:rFonts w:ascii="Times New Roman" w:hAnsi="Times New Roman" w:eastAsia="Times New Roman" w:cs="Times New Roman"/>
                      <w:sz w:val="18"/>
                      <w:szCs w:val="18"/>
                      <w:spacing w:val="3"/>
                      <w:position w:val="2"/>
                    </w:rPr>
                    <w:t>39</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51"/>
          <w:pgSz w:w="11907" w:h="16840"/>
          <w:pgMar w:top="1567" w:right="1621" w:bottom="400" w:left="1691" w:header="1221" w:footer="0" w:gutter="0"/>
        </w:sectPr>
        <w:rPr>
          <w:rFonts w:ascii="SimSun" w:hAnsi="SimSun" w:eastAsia="SimSun" w:cs="SimSun"/>
          <w:sz w:val="19"/>
          <w:szCs w:val="19"/>
        </w:rPr>
      </w:pPr>
    </w:p>
    <w:p>
      <w:pPr>
        <w:spacing w:line="146" w:lineRule="exact"/>
        <w:rPr/>
      </w:pPr>
      <w:r>
        <w:pict>
          <v:shape id="_x0000_s214" style="position:absolute;margin-left:85.05pt;margin-top:78.87pt;mso-position-vertical-relative:page;mso-position-horizontal-relative:page;width:425.25pt;height:0.75pt;z-index:251755520;" o:allowincell="f" fillcolor="#000000" filled="true" stroked="false" coordsize="8505,15" coordorigin="0,0" path="m,l8505,0l8505,14l0,14l0,0xe"/>
        </w:pict>
      </w:r>
      <w:r/>
    </w:p>
    <w:tbl>
      <w:tblPr>
        <w:tblStyle w:val="TableNormal"/>
        <w:tblW w:w="8516" w:type="dxa"/>
        <w:tblInd w:w="1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42"/>
        <w:gridCol w:w="5320"/>
        <w:gridCol w:w="1954"/>
      </w:tblGrid>
      <w:tr>
        <w:trPr>
          <w:trHeight w:val="281" w:hRule="atLeast"/>
        </w:trPr>
        <w:tc>
          <w:tcPr>
            <w:tcW w:w="1242" w:type="dxa"/>
            <w:vAlign w:val="top"/>
          </w:tcPr>
          <w:p>
            <w:pPr>
              <w:pStyle w:val="TableText"/>
              <w:ind w:left="414"/>
              <w:spacing w:before="36" w:line="216" w:lineRule="auto"/>
              <w:rPr/>
            </w:pPr>
            <w:r>
              <w:rPr>
                <w:spacing w:val="5"/>
              </w:rPr>
              <w:t>序号</w:t>
            </w:r>
          </w:p>
        </w:tc>
        <w:tc>
          <w:tcPr>
            <w:tcW w:w="5320" w:type="dxa"/>
            <w:vAlign w:val="top"/>
          </w:tcPr>
          <w:p>
            <w:pPr>
              <w:pStyle w:val="TableText"/>
              <w:ind w:left="2245"/>
              <w:spacing w:before="36" w:line="216" w:lineRule="auto"/>
              <w:rPr/>
            </w:pPr>
            <w:r>
              <w:rPr>
                <w:spacing w:val="7"/>
              </w:rPr>
              <w:t>检测项目</w:t>
            </w:r>
          </w:p>
        </w:tc>
        <w:tc>
          <w:tcPr>
            <w:tcW w:w="1954" w:type="dxa"/>
            <w:vAlign w:val="top"/>
          </w:tcPr>
          <w:p>
            <w:pPr>
              <w:pStyle w:val="TableText"/>
              <w:ind w:left="669"/>
              <w:spacing w:before="36" w:line="216" w:lineRule="auto"/>
              <w:rPr/>
            </w:pPr>
            <w:r>
              <w:rPr>
                <w:spacing w:val="6"/>
              </w:rPr>
              <w:t>筛选值</w:t>
            </w:r>
          </w:p>
        </w:tc>
      </w:tr>
      <w:tr>
        <w:trPr>
          <w:trHeight w:val="277" w:hRule="atLeast"/>
        </w:trPr>
        <w:tc>
          <w:tcPr>
            <w:tcW w:w="1242" w:type="dxa"/>
            <w:vAlign w:val="top"/>
          </w:tcPr>
          <w:p>
            <w:pPr>
              <w:ind w:left="517"/>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5320" w:type="dxa"/>
            <w:vAlign w:val="top"/>
          </w:tcPr>
          <w:p>
            <w:pPr>
              <w:pStyle w:val="TableText"/>
              <w:ind w:left="1903"/>
              <w:spacing w:before="31" w:line="217" w:lineRule="auto"/>
              <w:rPr/>
            </w:pPr>
            <w:r>
              <w:rPr>
                <w:spacing w:val="8"/>
              </w:rPr>
              <w:t>氯乙烯（</w:t>
            </w:r>
            <w:r>
              <w:rPr>
                <w:rFonts w:ascii="Times New Roman" w:hAnsi="Times New Roman" w:eastAsia="Times New Roman" w:cs="Times New Roman"/>
              </w:rPr>
              <w:t>ug</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954" w:type="dxa"/>
            <w:vAlign w:val="top"/>
          </w:tcPr>
          <w:p>
            <w:pPr>
              <w:ind w:left="796"/>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0.43</w:t>
            </w:r>
          </w:p>
        </w:tc>
      </w:tr>
      <w:tr>
        <w:trPr>
          <w:trHeight w:val="277" w:hRule="atLeast"/>
        </w:trPr>
        <w:tc>
          <w:tcPr>
            <w:tcW w:w="1242" w:type="dxa"/>
            <w:vAlign w:val="top"/>
          </w:tcPr>
          <w:p>
            <w:pPr>
              <w:ind w:left="51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26</w:t>
            </w:r>
          </w:p>
        </w:tc>
        <w:tc>
          <w:tcPr>
            <w:tcW w:w="5320" w:type="dxa"/>
            <w:vAlign w:val="top"/>
          </w:tcPr>
          <w:p>
            <w:pPr>
              <w:pStyle w:val="TableText"/>
              <w:ind w:left="2113"/>
              <w:spacing w:before="32" w:line="216" w:lineRule="auto"/>
              <w:rPr/>
            </w:pPr>
            <w:r>
              <w:rPr>
                <w:spacing w:val="7"/>
              </w:rPr>
              <w:t>苯（</w:t>
            </w:r>
            <w:r>
              <w:rPr>
                <w:rFonts w:ascii="Times New Roman" w:hAnsi="Times New Roman" w:eastAsia="Times New Roman" w:cs="Times New Roman"/>
              </w:rPr>
              <w:t>ug</w:t>
            </w:r>
            <w:r>
              <w:rPr>
                <w:rFonts w:ascii="Times New Roman" w:hAnsi="Times New Roman" w:eastAsia="Times New Roman" w:cs="Times New Roman"/>
                <w:spacing w:val="7"/>
              </w:rPr>
              <w:t>/</w:t>
            </w:r>
            <w:r>
              <w:rPr>
                <w:rFonts w:ascii="Times New Roman" w:hAnsi="Times New Roman" w:eastAsia="Times New Roman" w:cs="Times New Roman"/>
              </w:rPr>
              <w:t>kg</w:t>
            </w:r>
            <w:r>
              <w:rPr>
                <w:spacing w:val="7"/>
              </w:rPr>
              <w:t>）</w:t>
            </w:r>
          </w:p>
        </w:tc>
        <w:tc>
          <w:tcPr>
            <w:tcW w:w="1954" w:type="dxa"/>
            <w:vAlign w:val="top"/>
          </w:tcPr>
          <w:p>
            <w:pPr>
              <w:ind w:left="92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r>
      <w:tr>
        <w:trPr>
          <w:trHeight w:val="277" w:hRule="atLeast"/>
        </w:trPr>
        <w:tc>
          <w:tcPr>
            <w:tcW w:w="1242" w:type="dxa"/>
            <w:vAlign w:val="top"/>
          </w:tcPr>
          <w:p>
            <w:pPr>
              <w:ind w:left="51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27</w:t>
            </w:r>
          </w:p>
        </w:tc>
        <w:tc>
          <w:tcPr>
            <w:tcW w:w="5320" w:type="dxa"/>
            <w:vAlign w:val="top"/>
          </w:tcPr>
          <w:p>
            <w:pPr>
              <w:pStyle w:val="TableText"/>
              <w:ind w:left="2009"/>
              <w:spacing w:before="34" w:line="215" w:lineRule="auto"/>
              <w:rPr/>
            </w:pPr>
            <w:r>
              <w:rPr>
                <w:spacing w:val="8"/>
              </w:rPr>
              <w:t>氯苯（</w:t>
            </w:r>
            <w:r>
              <w:rPr>
                <w:rFonts w:ascii="Times New Roman" w:hAnsi="Times New Roman" w:eastAsia="Times New Roman" w:cs="Times New Roman"/>
              </w:rPr>
              <w:t>ug</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954" w:type="dxa"/>
            <w:vAlign w:val="top"/>
          </w:tcPr>
          <w:p>
            <w:pPr>
              <w:ind w:left="82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270</w:t>
            </w:r>
          </w:p>
        </w:tc>
      </w:tr>
      <w:tr>
        <w:trPr>
          <w:trHeight w:val="278" w:hRule="atLeast"/>
        </w:trPr>
        <w:tc>
          <w:tcPr>
            <w:tcW w:w="1242" w:type="dxa"/>
            <w:vAlign w:val="top"/>
          </w:tcPr>
          <w:p>
            <w:pPr>
              <w:ind w:left="51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c>
          <w:tcPr>
            <w:tcW w:w="5320" w:type="dxa"/>
            <w:vAlign w:val="top"/>
          </w:tcPr>
          <w:p>
            <w:pPr>
              <w:pStyle w:val="TableText"/>
              <w:ind w:left="1750"/>
              <w:spacing w:before="32" w:line="217" w:lineRule="auto"/>
              <w:rPr/>
            </w:pPr>
            <w:r>
              <w:rPr>
                <w:rFonts w:ascii="Times New Roman" w:hAnsi="Times New Roman" w:eastAsia="Times New Roman" w:cs="Times New Roman"/>
                <w:spacing w:val="5"/>
              </w:rPr>
              <w:t>1,2-</w:t>
            </w:r>
            <w:r>
              <w:rPr>
                <w:spacing w:val="5"/>
              </w:rPr>
              <w:t>二氯苯（</w:t>
            </w:r>
            <w:r>
              <w:rPr>
                <w:rFonts w:ascii="Times New Roman" w:hAnsi="Times New Roman" w:eastAsia="Times New Roman" w:cs="Times New Roman"/>
              </w:rPr>
              <w:t>ug</w:t>
            </w:r>
            <w:r>
              <w:rPr>
                <w:rFonts w:ascii="Times New Roman" w:hAnsi="Times New Roman" w:eastAsia="Times New Roman" w:cs="Times New Roman"/>
                <w:spacing w:val="5"/>
              </w:rPr>
              <w:t>/</w:t>
            </w:r>
            <w:r>
              <w:rPr>
                <w:rFonts w:ascii="Times New Roman" w:hAnsi="Times New Roman" w:eastAsia="Times New Roman" w:cs="Times New Roman"/>
              </w:rPr>
              <w:t>kg</w:t>
            </w:r>
            <w:r>
              <w:rPr>
                <w:spacing w:val="5"/>
              </w:rPr>
              <w:t>）</w:t>
            </w:r>
          </w:p>
        </w:tc>
        <w:tc>
          <w:tcPr>
            <w:tcW w:w="1954" w:type="dxa"/>
            <w:vAlign w:val="top"/>
          </w:tcPr>
          <w:p>
            <w:pPr>
              <w:ind w:left="82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560</w:t>
            </w:r>
          </w:p>
        </w:tc>
      </w:tr>
      <w:tr>
        <w:trPr>
          <w:trHeight w:val="277" w:hRule="atLeast"/>
        </w:trPr>
        <w:tc>
          <w:tcPr>
            <w:tcW w:w="1242" w:type="dxa"/>
            <w:vAlign w:val="top"/>
          </w:tcPr>
          <w:p>
            <w:pPr>
              <w:ind w:left="51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29</w:t>
            </w:r>
          </w:p>
        </w:tc>
        <w:tc>
          <w:tcPr>
            <w:tcW w:w="5320" w:type="dxa"/>
            <w:vAlign w:val="top"/>
          </w:tcPr>
          <w:p>
            <w:pPr>
              <w:pStyle w:val="TableText"/>
              <w:ind w:left="1750"/>
              <w:spacing w:before="32" w:line="216" w:lineRule="auto"/>
              <w:rPr/>
            </w:pPr>
            <w:r>
              <w:rPr>
                <w:rFonts w:ascii="Times New Roman" w:hAnsi="Times New Roman" w:eastAsia="Times New Roman" w:cs="Times New Roman"/>
                <w:spacing w:val="5"/>
              </w:rPr>
              <w:t>1,4-</w:t>
            </w:r>
            <w:r>
              <w:rPr>
                <w:spacing w:val="5"/>
              </w:rPr>
              <w:t>二氯苯（</w:t>
            </w:r>
            <w:r>
              <w:rPr>
                <w:rFonts w:ascii="Times New Roman" w:hAnsi="Times New Roman" w:eastAsia="Times New Roman" w:cs="Times New Roman"/>
              </w:rPr>
              <w:t>ug</w:t>
            </w:r>
            <w:r>
              <w:rPr>
                <w:rFonts w:ascii="Times New Roman" w:hAnsi="Times New Roman" w:eastAsia="Times New Roman" w:cs="Times New Roman"/>
                <w:spacing w:val="5"/>
              </w:rPr>
              <w:t>/</w:t>
            </w:r>
            <w:r>
              <w:rPr>
                <w:rFonts w:ascii="Times New Roman" w:hAnsi="Times New Roman" w:eastAsia="Times New Roman" w:cs="Times New Roman"/>
              </w:rPr>
              <w:t>kg</w:t>
            </w:r>
            <w:r>
              <w:rPr>
                <w:spacing w:val="5"/>
              </w:rPr>
              <w:t>）</w:t>
            </w:r>
          </w:p>
        </w:tc>
        <w:tc>
          <w:tcPr>
            <w:tcW w:w="1954" w:type="dxa"/>
            <w:vAlign w:val="top"/>
          </w:tcPr>
          <w:p>
            <w:pPr>
              <w:ind w:left="87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r>
      <w:tr>
        <w:trPr>
          <w:trHeight w:val="277" w:hRule="atLeast"/>
        </w:trPr>
        <w:tc>
          <w:tcPr>
            <w:tcW w:w="1242" w:type="dxa"/>
            <w:vAlign w:val="top"/>
          </w:tcPr>
          <w:p>
            <w:pPr>
              <w:ind w:left="521"/>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5320" w:type="dxa"/>
            <w:vAlign w:val="top"/>
          </w:tcPr>
          <w:p>
            <w:pPr>
              <w:pStyle w:val="TableText"/>
              <w:ind w:left="2026"/>
              <w:spacing w:before="34" w:line="215" w:lineRule="auto"/>
              <w:rPr/>
            </w:pPr>
            <w:r>
              <w:rPr>
                <w:spacing w:val="4"/>
              </w:rPr>
              <w:t>乙苯（</w:t>
            </w:r>
            <w:r>
              <w:rPr>
                <w:rFonts w:ascii="Times New Roman" w:hAnsi="Times New Roman" w:eastAsia="Times New Roman" w:cs="Times New Roman"/>
              </w:rPr>
              <w:t>ug</w:t>
            </w:r>
            <w:r>
              <w:rPr>
                <w:rFonts w:ascii="Times New Roman" w:hAnsi="Times New Roman" w:eastAsia="Times New Roman" w:cs="Times New Roman"/>
                <w:spacing w:val="4"/>
              </w:rPr>
              <w:t>/</w:t>
            </w:r>
            <w:r>
              <w:rPr>
                <w:rFonts w:ascii="Times New Roman" w:hAnsi="Times New Roman" w:eastAsia="Times New Roman" w:cs="Times New Roman"/>
              </w:rPr>
              <w:t>kg</w:t>
            </w:r>
            <w:r>
              <w:rPr>
                <w:spacing w:val="4"/>
              </w:rPr>
              <w:t>）</w:t>
            </w:r>
          </w:p>
        </w:tc>
        <w:tc>
          <w:tcPr>
            <w:tcW w:w="1954" w:type="dxa"/>
            <w:vAlign w:val="top"/>
          </w:tcPr>
          <w:p>
            <w:pPr>
              <w:ind w:left="87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r>
      <w:tr>
        <w:trPr>
          <w:trHeight w:val="278" w:hRule="atLeast"/>
        </w:trPr>
        <w:tc>
          <w:tcPr>
            <w:tcW w:w="1242" w:type="dxa"/>
            <w:vAlign w:val="top"/>
          </w:tcPr>
          <w:p>
            <w:pPr>
              <w:ind w:left="521"/>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31</w:t>
            </w:r>
          </w:p>
        </w:tc>
        <w:tc>
          <w:tcPr>
            <w:tcW w:w="5320" w:type="dxa"/>
            <w:vAlign w:val="top"/>
          </w:tcPr>
          <w:p>
            <w:pPr>
              <w:pStyle w:val="TableText"/>
              <w:ind w:left="1902"/>
              <w:spacing w:before="32" w:line="217" w:lineRule="auto"/>
              <w:rPr/>
            </w:pPr>
            <w:r>
              <w:rPr>
                <w:spacing w:val="8"/>
              </w:rPr>
              <w:t>苯乙烯（</w:t>
            </w:r>
            <w:r>
              <w:rPr>
                <w:rFonts w:ascii="Times New Roman" w:hAnsi="Times New Roman" w:eastAsia="Times New Roman" w:cs="Times New Roman"/>
              </w:rPr>
              <w:t>ug</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954" w:type="dxa"/>
            <w:vAlign w:val="top"/>
          </w:tcPr>
          <w:p>
            <w:pPr>
              <w:ind w:left="789"/>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1290</w:t>
            </w:r>
          </w:p>
        </w:tc>
      </w:tr>
      <w:tr>
        <w:trPr>
          <w:trHeight w:val="277" w:hRule="atLeast"/>
        </w:trPr>
        <w:tc>
          <w:tcPr>
            <w:tcW w:w="1242" w:type="dxa"/>
            <w:vAlign w:val="top"/>
          </w:tcPr>
          <w:p>
            <w:pPr>
              <w:ind w:left="52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32</w:t>
            </w:r>
          </w:p>
        </w:tc>
        <w:tc>
          <w:tcPr>
            <w:tcW w:w="5320" w:type="dxa"/>
            <w:vAlign w:val="top"/>
          </w:tcPr>
          <w:p>
            <w:pPr>
              <w:pStyle w:val="TableText"/>
              <w:ind w:left="2032"/>
              <w:spacing w:before="32" w:line="216" w:lineRule="auto"/>
              <w:rPr/>
            </w:pPr>
            <w:r>
              <w:rPr>
                <w:spacing w:val="3"/>
              </w:rPr>
              <w:t>甲苯（</w:t>
            </w:r>
            <w:r>
              <w:rPr>
                <w:rFonts w:ascii="Times New Roman" w:hAnsi="Times New Roman" w:eastAsia="Times New Roman" w:cs="Times New Roman"/>
              </w:rPr>
              <w:t>ug</w:t>
            </w:r>
            <w:r>
              <w:rPr>
                <w:rFonts w:ascii="Times New Roman" w:hAnsi="Times New Roman" w:eastAsia="Times New Roman" w:cs="Times New Roman"/>
                <w:spacing w:val="3"/>
              </w:rPr>
              <w:t>/</w:t>
            </w:r>
            <w:r>
              <w:rPr>
                <w:rFonts w:ascii="Times New Roman" w:hAnsi="Times New Roman" w:eastAsia="Times New Roman" w:cs="Times New Roman"/>
              </w:rPr>
              <w:t>kg</w:t>
            </w:r>
            <w:r>
              <w:rPr>
                <w:spacing w:val="3"/>
              </w:rPr>
              <w:t>）</w:t>
            </w:r>
          </w:p>
        </w:tc>
        <w:tc>
          <w:tcPr>
            <w:tcW w:w="1954" w:type="dxa"/>
            <w:vAlign w:val="top"/>
          </w:tcPr>
          <w:p>
            <w:pPr>
              <w:ind w:left="78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1200</w:t>
            </w:r>
          </w:p>
        </w:tc>
      </w:tr>
      <w:tr>
        <w:trPr>
          <w:trHeight w:val="277" w:hRule="atLeast"/>
        </w:trPr>
        <w:tc>
          <w:tcPr>
            <w:tcW w:w="1242" w:type="dxa"/>
            <w:vAlign w:val="top"/>
          </w:tcPr>
          <w:p>
            <w:pPr>
              <w:ind w:left="521"/>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33</w:t>
            </w:r>
          </w:p>
        </w:tc>
        <w:tc>
          <w:tcPr>
            <w:tcW w:w="5320" w:type="dxa"/>
            <w:vAlign w:val="top"/>
          </w:tcPr>
          <w:p>
            <w:pPr>
              <w:pStyle w:val="TableText"/>
              <w:ind w:left="1333"/>
              <w:spacing w:before="34" w:line="215" w:lineRule="auto"/>
              <w:rPr/>
            </w:pPr>
            <w:r>
              <w:rPr>
                <w:spacing w:val="7"/>
              </w:rPr>
              <w:t>间二甲苯</w:t>
            </w:r>
            <w:r>
              <w:rPr>
                <w:rFonts w:ascii="Times New Roman" w:hAnsi="Times New Roman" w:eastAsia="Times New Roman" w:cs="Times New Roman"/>
                <w:spacing w:val="7"/>
              </w:rPr>
              <w:t>+</w:t>
            </w:r>
            <w:r>
              <w:rPr>
                <w:spacing w:val="7"/>
              </w:rPr>
              <w:t>对二甲苯（</w:t>
            </w:r>
            <w:r>
              <w:rPr>
                <w:rFonts w:ascii="Times New Roman" w:hAnsi="Times New Roman" w:eastAsia="Times New Roman" w:cs="Times New Roman"/>
              </w:rPr>
              <w:t>ug</w:t>
            </w:r>
            <w:r>
              <w:rPr>
                <w:rFonts w:ascii="Times New Roman" w:hAnsi="Times New Roman" w:eastAsia="Times New Roman" w:cs="Times New Roman"/>
                <w:spacing w:val="7"/>
              </w:rPr>
              <w:t>/</w:t>
            </w:r>
            <w:r>
              <w:rPr>
                <w:rFonts w:ascii="Times New Roman" w:hAnsi="Times New Roman" w:eastAsia="Times New Roman" w:cs="Times New Roman"/>
              </w:rPr>
              <w:t>kg</w:t>
            </w:r>
            <w:r>
              <w:rPr>
                <w:spacing w:val="7"/>
              </w:rPr>
              <w:t>）</w:t>
            </w:r>
          </w:p>
        </w:tc>
        <w:tc>
          <w:tcPr>
            <w:tcW w:w="1954" w:type="dxa"/>
            <w:vAlign w:val="top"/>
          </w:tcPr>
          <w:p>
            <w:pPr>
              <w:ind w:left="82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570</w:t>
            </w:r>
          </w:p>
        </w:tc>
      </w:tr>
      <w:tr>
        <w:trPr>
          <w:trHeight w:val="278" w:hRule="atLeast"/>
        </w:trPr>
        <w:tc>
          <w:tcPr>
            <w:tcW w:w="1242" w:type="dxa"/>
            <w:vAlign w:val="top"/>
          </w:tcPr>
          <w:p>
            <w:pPr>
              <w:ind w:left="52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34</w:t>
            </w:r>
          </w:p>
        </w:tc>
        <w:tc>
          <w:tcPr>
            <w:tcW w:w="5320" w:type="dxa"/>
            <w:vAlign w:val="top"/>
          </w:tcPr>
          <w:p>
            <w:pPr>
              <w:pStyle w:val="TableText"/>
              <w:ind w:left="1796"/>
              <w:spacing w:before="32" w:line="217" w:lineRule="auto"/>
              <w:rPr/>
            </w:pPr>
            <w:r>
              <w:rPr>
                <w:spacing w:val="8"/>
              </w:rPr>
              <w:t>邻二甲苯（</w:t>
            </w:r>
            <w:r>
              <w:rPr>
                <w:rFonts w:ascii="Times New Roman" w:hAnsi="Times New Roman" w:eastAsia="Times New Roman" w:cs="Times New Roman"/>
              </w:rPr>
              <w:t>ug</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954" w:type="dxa"/>
            <w:vAlign w:val="top"/>
          </w:tcPr>
          <w:p>
            <w:pPr>
              <w:ind w:left="82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640</w:t>
            </w:r>
          </w:p>
        </w:tc>
      </w:tr>
      <w:tr>
        <w:trPr>
          <w:trHeight w:val="277" w:hRule="atLeast"/>
        </w:trPr>
        <w:tc>
          <w:tcPr>
            <w:tcW w:w="1242" w:type="dxa"/>
            <w:vAlign w:val="top"/>
          </w:tcPr>
          <w:p>
            <w:pPr>
              <w:ind w:left="52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35</w:t>
            </w:r>
          </w:p>
        </w:tc>
        <w:tc>
          <w:tcPr>
            <w:tcW w:w="5320" w:type="dxa"/>
            <w:vAlign w:val="top"/>
          </w:tcPr>
          <w:p>
            <w:pPr>
              <w:pStyle w:val="TableText"/>
              <w:ind w:left="2350"/>
              <w:spacing w:before="32" w:line="216" w:lineRule="auto"/>
              <w:rPr/>
            </w:pPr>
            <w:r>
              <w:rPr>
                <w:spacing w:val="6"/>
              </w:rPr>
              <w:t>硝基苯</w:t>
            </w:r>
          </w:p>
        </w:tc>
        <w:tc>
          <w:tcPr>
            <w:tcW w:w="1954" w:type="dxa"/>
            <w:vAlign w:val="top"/>
          </w:tcPr>
          <w:p>
            <w:pPr>
              <w:ind w:left="87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76</w:t>
            </w:r>
          </w:p>
        </w:tc>
      </w:tr>
      <w:tr>
        <w:trPr>
          <w:trHeight w:val="277" w:hRule="atLeast"/>
        </w:trPr>
        <w:tc>
          <w:tcPr>
            <w:tcW w:w="1242" w:type="dxa"/>
            <w:vAlign w:val="top"/>
          </w:tcPr>
          <w:p>
            <w:pPr>
              <w:ind w:left="521"/>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36</w:t>
            </w:r>
          </w:p>
        </w:tc>
        <w:tc>
          <w:tcPr>
            <w:tcW w:w="5320" w:type="dxa"/>
            <w:vAlign w:val="top"/>
          </w:tcPr>
          <w:p>
            <w:pPr>
              <w:pStyle w:val="TableText"/>
              <w:ind w:left="2457"/>
              <w:spacing w:before="31" w:line="217" w:lineRule="auto"/>
              <w:rPr/>
            </w:pPr>
            <w:r>
              <w:rPr>
                <w:spacing w:val="3"/>
              </w:rPr>
              <w:t>苯胺</w:t>
            </w:r>
          </w:p>
        </w:tc>
        <w:tc>
          <w:tcPr>
            <w:tcW w:w="1954" w:type="dxa"/>
            <w:vAlign w:val="top"/>
          </w:tcPr>
          <w:p>
            <w:pPr>
              <w:ind w:left="821"/>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260</w:t>
            </w:r>
          </w:p>
        </w:tc>
      </w:tr>
      <w:tr>
        <w:trPr>
          <w:trHeight w:val="277" w:hRule="atLeast"/>
        </w:trPr>
        <w:tc>
          <w:tcPr>
            <w:tcW w:w="1242" w:type="dxa"/>
            <w:vAlign w:val="top"/>
          </w:tcPr>
          <w:p>
            <w:pPr>
              <w:ind w:left="52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37</w:t>
            </w:r>
          </w:p>
        </w:tc>
        <w:tc>
          <w:tcPr>
            <w:tcW w:w="5320" w:type="dxa"/>
            <w:vAlign w:val="top"/>
          </w:tcPr>
          <w:p>
            <w:pPr>
              <w:pStyle w:val="TableText"/>
              <w:ind w:left="2364"/>
              <w:spacing w:before="32" w:line="216" w:lineRule="auto"/>
              <w:rPr/>
            </w:pPr>
            <w:r>
              <w:rPr>
                <w:rFonts w:ascii="Times New Roman" w:hAnsi="Times New Roman" w:eastAsia="Times New Roman" w:cs="Times New Roman"/>
                <w:spacing w:val="4"/>
              </w:rPr>
              <w:t>2-</w:t>
            </w:r>
            <w:r>
              <w:rPr>
                <w:spacing w:val="4"/>
              </w:rPr>
              <w:t>氯酚</w:t>
            </w:r>
          </w:p>
        </w:tc>
        <w:tc>
          <w:tcPr>
            <w:tcW w:w="1954" w:type="dxa"/>
            <w:vAlign w:val="top"/>
          </w:tcPr>
          <w:p>
            <w:pPr>
              <w:ind w:left="76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2256</w:t>
            </w:r>
          </w:p>
        </w:tc>
      </w:tr>
      <w:tr>
        <w:trPr>
          <w:trHeight w:val="277" w:hRule="atLeast"/>
        </w:trPr>
        <w:tc>
          <w:tcPr>
            <w:tcW w:w="1242" w:type="dxa"/>
            <w:vAlign w:val="top"/>
          </w:tcPr>
          <w:p>
            <w:pPr>
              <w:ind w:left="521"/>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38</w:t>
            </w:r>
          </w:p>
        </w:tc>
        <w:tc>
          <w:tcPr>
            <w:tcW w:w="5320" w:type="dxa"/>
            <w:vAlign w:val="top"/>
          </w:tcPr>
          <w:p>
            <w:pPr>
              <w:pStyle w:val="TableText"/>
              <w:ind w:left="2236"/>
              <w:spacing w:before="31" w:line="217" w:lineRule="auto"/>
              <w:rPr/>
            </w:pPr>
            <w:r>
              <w:rPr>
                <w:spacing w:val="4"/>
              </w:rPr>
              <w:t>苯并</w:t>
            </w:r>
            <w:r>
              <w:rPr>
                <w:rFonts w:ascii="Times New Roman" w:hAnsi="Times New Roman" w:eastAsia="Times New Roman" w:cs="Times New Roman"/>
                <w:spacing w:val="4"/>
              </w:rPr>
              <w:t>[a]</w:t>
            </w:r>
            <w:r>
              <w:rPr>
                <w:spacing w:val="4"/>
              </w:rPr>
              <w:t>蒽</w:t>
            </w:r>
          </w:p>
        </w:tc>
        <w:tc>
          <w:tcPr>
            <w:tcW w:w="1954" w:type="dxa"/>
            <w:vAlign w:val="top"/>
          </w:tcPr>
          <w:p>
            <w:pPr>
              <w:ind w:left="89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r>
      <w:tr>
        <w:trPr>
          <w:trHeight w:val="277" w:hRule="atLeast"/>
        </w:trPr>
        <w:tc>
          <w:tcPr>
            <w:tcW w:w="1242" w:type="dxa"/>
            <w:vAlign w:val="top"/>
          </w:tcPr>
          <w:p>
            <w:pPr>
              <w:ind w:left="52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39</w:t>
            </w:r>
          </w:p>
        </w:tc>
        <w:tc>
          <w:tcPr>
            <w:tcW w:w="5320" w:type="dxa"/>
            <w:vAlign w:val="top"/>
          </w:tcPr>
          <w:p>
            <w:pPr>
              <w:pStyle w:val="TableText"/>
              <w:ind w:left="2236"/>
              <w:spacing w:before="32" w:line="216" w:lineRule="auto"/>
              <w:rPr/>
            </w:pPr>
            <w:r>
              <w:rPr>
                <w:spacing w:val="4"/>
              </w:rPr>
              <w:t>苯并</w:t>
            </w:r>
            <w:r>
              <w:rPr>
                <w:rFonts w:ascii="Times New Roman" w:hAnsi="Times New Roman" w:eastAsia="Times New Roman" w:cs="Times New Roman"/>
                <w:spacing w:val="4"/>
              </w:rPr>
              <w:t>[a]</w:t>
            </w:r>
            <w:r>
              <w:rPr>
                <w:spacing w:val="4"/>
              </w:rPr>
              <w:t>芘</w:t>
            </w:r>
          </w:p>
        </w:tc>
        <w:tc>
          <w:tcPr>
            <w:tcW w:w="1954" w:type="dxa"/>
            <w:vAlign w:val="top"/>
          </w:tcPr>
          <w:p>
            <w:pPr>
              <w:ind w:left="86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w:t>
            </w:r>
          </w:p>
        </w:tc>
      </w:tr>
      <w:tr>
        <w:trPr>
          <w:trHeight w:val="277" w:hRule="atLeast"/>
        </w:trPr>
        <w:tc>
          <w:tcPr>
            <w:tcW w:w="1242" w:type="dxa"/>
            <w:vAlign w:val="top"/>
          </w:tcPr>
          <w:p>
            <w:pPr>
              <w:ind w:left="51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w:t>
            </w:r>
          </w:p>
        </w:tc>
        <w:tc>
          <w:tcPr>
            <w:tcW w:w="5320" w:type="dxa"/>
            <w:vAlign w:val="top"/>
          </w:tcPr>
          <w:p>
            <w:pPr>
              <w:pStyle w:val="TableText"/>
              <w:ind w:left="2125"/>
              <w:spacing w:before="35" w:line="214" w:lineRule="auto"/>
              <w:rPr/>
            </w:pPr>
            <w:r>
              <w:rPr>
                <w:spacing w:val="5"/>
              </w:rPr>
              <w:t>苯并</w:t>
            </w:r>
            <w:r>
              <w:rPr>
                <w:rFonts w:ascii="Times New Roman" w:hAnsi="Times New Roman" w:eastAsia="Times New Roman" w:cs="Times New Roman"/>
                <w:spacing w:val="5"/>
              </w:rPr>
              <w:t>[b]</w:t>
            </w:r>
            <w:r>
              <w:rPr>
                <w:spacing w:val="5"/>
              </w:rPr>
              <w:t>荧蒽</w:t>
            </w:r>
          </w:p>
        </w:tc>
        <w:tc>
          <w:tcPr>
            <w:tcW w:w="1954" w:type="dxa"/>
            <w:vAlign w:val="top"/>
          </w:tcPr>
          <w:p>
            <w:pPr>
              <w:ind w:left="89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r>
      <w:tr>
        <w:trPr>
          <w:trHeight w:val="277" w:hRule="atLeast"/>
        </w:trPr>
        <w:tc>
          <w:tcPr>
            <w:tcW w:w="1242" w:type="dxa"/>
            <w:vAlign w:val="top"/>
          </w:tcPr>
          <w:p>
            <w:pPr>
              <w:ind w:left="51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41</w:t>
            </w:r>
          </w:p>
        </w:tc>
        <w:tc>
          <w:tcPr>
            <w:tcW w:w="5320" w:type="dxa"/>
            <w:vAlign w:val="top"/>
          </w:tcPr>
          <w:p>
            <w:pPr>
              <w:pStyle w:val="TableText"/>
              <w:ind w:left="2125"/>
              <w:spacing w:before="33" w:line="216" w:lineRule="auto"/>
              <w:rPr/>
            </w:pPr>
            <w:r>
              <w:rPr>
                <w:spacing w:val="5"/>
              </w:rPr>
              <w:t>苯并</w:t>
            </w:r>
            <w:r>
              <w:rPr>
                <w:rFonts w:ascii="Times New Roman" w:hAnsi="Times New Roman" w:eastAsia="Times New Roman" w:cs="Times New Roman"/>
                <w:spacing w:val="5"/>
              </w:rPr>
              <w:t>[k]</w:t>
            </w:r>
            <w:r>
              <w:rPr>
                <w:spacing w:val="5"/>
              </w:rPr>
              <w:t>荧蒽</w:t>
            </w:r>
          </w:p>
        </w:tc>
        <w:tc>
          <w:tcPr>
            <w:tcW w:w="1954" w:type="dxa"/>
            <w:vAlign w:val="top"/>
          </w:tcPr>
          <w:p>
            <w:pPr>
              <w:ind w:left="84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151</w:t>
            </w:r>
          </w:p>
        </w:tc>
      </w:tr>
      <w:tr>
        <w:trPr>
          <w:trHeight w:val="277" w:hRule="atLeast"/>
        </w:trPr>
        <w:tc>
          <w:tcPr>
            <w:tcW w:w="1242" w:type="dxa"/>
            <w:vAlign w:val="top"/>
          </w:tcPr>
          <w:p>
            <w:pPr>
              <w:ind w:left="51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w:t>
            </w:r>
          </w:p>
        </w:tc>
        <w:tc>
          <w:tcPr>
            <w:tcW w:w="5320" w:type="dxa"/>
            <w:vAlign w:val="top"/>
          </w:tcPr>
          <w:p>
            <w:pPr>
              <w:pStyle w:val="TableText"/>
              <w:ind w:left="2558"/>
              <w:spacing w:before="35" w:line="214" w:lineRule="auto"/>
              <w:rPr/>
            </w:pPr>
            <w:r>
              <w:rPr>
                <w:spacing w:val="2"/>
              </w:rPr>
              <w:t>䓛</w:t>
            </w:r>
          </w:p>
        </w:tc>
        <w:tc>
          <w:tcPr>
            <w:tcW w:w="1954" w:type="dxa"/>
            <w:vAlign w:val="top"/>
          </w:tcPr>
          <w:p>
            <w:pPr>
              <w:ind w:left="78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1293</w:t>
            </w:r>
          </w:p>
        </w:tc>
      </w:tr>
      <w:tr>
        <w:trPr>
          <w:trHeight w:val="277" w:hRule="atLeast"/>
        </w:trPr>
        <w:tc>
          <w:tcPr>
            <w:tcW w:w="1242" w:type="dxa"/>
            <w:vAlign w:val="top"/>
          </w:tcPr>
          <w:p>
            <w:pPr>
              <w:ind w:left="51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43</w:t>
            </w:r>
          </w:p>
        </w:tc>
        <w:tc>
          <w:tcPr>
            <w:tcW w:w="5320" w:type="dxa"/>
            <w:vAlign w:val="top"/>
          </w:tcPr>
          <w:p>
            <w:pPr>
              <w:pStyle w:val="TableText"/>
              <w:ind w:left="2052"/>
              <w:spacing w:before="36" w:line="213" w:lineRule="auto"/>
              <w:rPr/>
            </w:pPr>
            <w:r>
              <w:rPr>
                <w:spacing w:val="5"/>
              </w:rPr>
              <w:t>二苯并</w:t>
            </w:r>
            <w:r>
              <w:rPr>
                <w:rFonts w:ascii="Times New Roman" w:hAnsi="Times New Roman" w:eastAsia="Times New Roman" w:cs="Times New Roman"/>
                <w:spacing w:val="5"/>
              </w:rPr>
              <w:t>[a,h]</w:t>
            </w:r>
            <w:r>
              <w:rPr>
                <w:spacing w:val="5"/>
              </w:rPr>
              <w:t>蒽</w:t>
            </w:r>
          </w:p>
        </w:tc>
        <w:tc>
          <w:tcPr>
            <w:tcW w:w="1954" w:type="dxa"/>
            <w:vAlign w:val="top"/>
          </w:tcPr>
          <w:p>
            <w:pPr>
              <w:ind w:left="86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w:t>
            </w:r>
          </w:p>
        </w:tc>
      </w:tr>
      <w:tr>
        <w:trPr>
          <w:trHeight w:val="277" w:hRule="atLeast"/>
        </w:trPr>
        <w:tc>
          <w:tcPr>
            <w:tcW w:w="1242" w:type="dxa"/>
            <w:vAlign w:val="top"/>
          </w:tcPr>
          <w:p>
            <w:pPr>
              <w:ind w:left="51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w:t>
            </w:r>
          </w:p>
        </w:tc>
        <w:tc>
          <w:tcPr>
            <w:tcW w:w="5320" w:type="dxa"/>
            <w:vAlign w:val="top"/>
          </w:tcPr>
          <w:p>
            <w:pPr>
              <w:pStyle w:val="TableText"/>
              <w:ind w:left="1940"/>
              <w:spacing w:before="35" w:line="214" w:lineRule="auto"/>
              <w:rPr/>
            </w:pPr>
            <w:r>
              <w:rPr>
                <w:spacing w:val="5"/>
              </w:rPr>
              <w:t>茚并</w:t>
            </w:r>
            <w:r>
              <w:rPr>
                <w:rFonts w:ascii="Times New Roman" w:hAnsi="Times New Roman" w:eastAsia="Times New Roman" w:cs="Times New Roman"/>
                <w:spacing w:val="5"/>
              </w:rPr>
              <w:t>[1,2,3-</w:t>
            </w:r>
            <w:r>
              <w:rPr>
                <w:rFonts w:ascii="Times New Roman" w:hAnsi="Times New Roman" w:eastAsia="Times New Roman" w:cs="Times New Roman"/>
              </w:rPr>
              <w:t>cd</w:t>
            </w:r>
            <w:r>
              <w:rPr>
                <w:rFonts w:ascii="Times New Roman" w:hAnsi="Times New Roman" w:eastAsia="Times New Roman" w:cs="Times New Roman"/>
                <w:spacing w:val="5"/>
              </w:rPr>
              <w:t>]</w:t>
            </w:r>
            <w:r>
              <w:rPr>
                <w:spacing w:val="5"/>
              </w:rPr>
              <w:t>芘</w:t>
            </w:r>
          </w:p>
        </w:tc>
        <w:tc>
          <w:tcPr>
            <w:tcW w:w="1954" w:type="dxa"/>
            <w:vAlign w:val="top"/>
          </w:tcPr>
          <w:p>
            <w:pPr>
              <w:ind w:left="86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w:t>
            </w:r>
          </w:p>
        </w:tc>
      </w:tr>
      <w:tr>
        <w:trPr>
          <w:trHeight w:val="278" w:hRule="atLeast"/>
        </w:trPr>
        <w:tc>
          <w:tcPr>
            <w:tcW w:w="1242" w:type="dxa"/>
            <w:vAlign w:val="top"/>
          </w:tcPr>
          <w:p>
            <w:pPr>
              <w:ind w:left="51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45</w:t>
            </w:r>
          </w:p>
        </w:tc>
        <w:tc>
          <w:tcPr>
            <w:tcW w:w="5320" w:type="dxa"/>
            <w:vAlign w:val="top"/>
          </w:tcPr>
          <w:p>
            <w:pPr>
              <w:pStyle w:val="TableText"/>
              <w:ind w:left="2560"/>
              <w:spacing w:before="36" w:line="214" w:lineRule="auto"/>
              <w:rPr/>
            </w:pPr>
            <w:r>
              <w:rPr/>
              <w:t>萘</w:t>
            </w:r>
          </w:p>
        </w:tc>
        <w:tc>
          <w:tcPr>
            <w:tcW w:w="1954" w:type="dxa"/>
            <w:vAlign w:val="top"/>
          </w:tcPr>
          <w:p>
            <w:pPr>
              <w:ind w:left="87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70</w:t>
            </w:r>
          </w:p>
        </w:tc>
      </w:tr>
      <w:tr>
        <w:trPr>
          <w:trHeight w:val="281" w:hRule="atLeast"/>
        </w:trPr>
        <w:tc>
          <w:tcPr>
            <w:tcW w:w="1242" w:type="dxa"/>
            <w:vAlign w:val="top"/>
          </w:tcPr>
          <w:p>
            <w:pPr>
              <w:ind w:left="51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46</w:t>
            </w:r>
          </w:p>
        </w:tc>
        <w:tc>
          <w:tcPr>
            <w:tcW w:w="5320" w:type="dxa"/>
            <w:vAlign w:val="top"/>
          </w:tcPr>
          <w:p>
            <w:pPr>
              <w:pStyle w:val="TableText"/>
              <w:ind w:left="1898"/>
              <w:spacing w:before="35" w:line="217" w:lineRule="auto"/>
              <w:rPr>
                <w:rFonts w:ascii="Times New Roman" w:hAnsi="Times New Roman" w:eastAsia="Times New Roman" w:cs="Times New Roman"/>
              </w:rPr>
            </w:pPr>
            <w:r>
              <w:rPr>
                <w:spacing w:val="5"/>
              </w:rPr>
              <w:t>石油烃（</w:t>
            </w:r>
            <w:r>
              <w:rPr>
                <w:rFonts w:ascii="Times New Roman" w:hAnsi="Times New Roman" w:eastAsia="Times New Roman" w:cs="Times New Roman"/>
                <w:spacing w:val="5"/>
              </w:rPr>
              <w:t>C</w:t>
            </w:r>
            <w:r>
              <w:rPr>
                <w:rFonts w:ascii="Times New Roman" w:hAnsi="Times New Roman" w:eastAsia="Times New Roman" w:cs="Times New Roman"/>
                <w:sz w:val="13"/>
                <w:szCs w:val="13"/>
                <w:spacing w:val="5"/>
              </w:rPr>
              <w:t>10</w:t>
            </w:r>
            <w:r>
              <w:rPr>
                <w:rFonts w:ascii="Times New Roman" w:hAnsi="Times New Roman" w:eastAsia="Times New Roman" w:cs="Times New Roman"/>
                <w:spacing w:val="5"/>
              </w:rPr>
              <w:t>-C</w:t>
            </w:r>
            <w:r>
              <w:rPr>
                <w:rFonts w:ascii="Times New Roman" w:hAnsi="Times New Roman" w:eastAsia="Times New Roman" w:cs="Times New Roman"/>
                <w:sz w:val="13"/>
                <w:szCs w:val="13"/>
                <w:spacing w:val="5"/>
                <w:position w:val="-1"/>
              </w:rPr>
              <w:t>40</w:t>
            </w:r>
            <w:r>
              <w:rPr>
                <w:rFonts w:ascii="Times New Roman" w:hAnsi="Times New Roman" w:eastAsia="Times New Roman" w:cs="Times New Roman"/>
                <w:spacing w:val="5"/>
              </w:rPr>
              <w:t>)</w:t>
            </w:r>
          </w:p>
        </w:tc>
        <w:tc>
          <w:tcPr>
            <w:tcW w:w="1954" w:type="dxa"/>
            <w:vAlign w:val="top"/>
          </w:tcPr>
          <w:p>
            <w:pPr>
              <w:ind w:left="76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4500</w:t>
            </w:r>
          </w:p>
        </w:tc>
      </w:tr>
    </w:tbl>
    <w:p>
      <w:pPr>
        <w:ind w:left="1831"/>
        <w:spacing w:before="34"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9"/>
        </w:rPr>
        <w:t xml:space="preserve"> </w:t>
      </w:r>
      <w:r>
        <w:rPr>
          <w:rFonts w:ascii="Times New Roman" w:hAnsi="Times New Roman" w:eastAsia="Times New Roman" w:cs="Times New Roman"/>
          <w:sz w:val="24"/>
          <w:szCs w:val="24"/>
          <w:b/>
          <w:bCs/>
          <w:spacing w:val="-2"/>
        </w:rPr>
        <w:t>2.6-6        </w:t>
      </w:r>
      <w:r>
        <w:rPr>
          <w:rFonts w:ascii="SimSun" w:hAnsi="SimSun" w:eastAsia="SimSun" w:cs="SimSun"/>
          <w:sz w:val="24"/>
          <w:szCs w:val="24"/>
          <w:b/>
          <w:bCs/>
          <w:spacing w:val="-2"/>
        </w:rPr>
        <w:t>土壤环境质量标准限值（农用地）</w:t>
      </w:r>
    </w:p>
    <w:tbl>
      <w:tblPr>
        <w:tblStyle w:val="TableNormal"/>
        <w:tblW w:w="853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34"/>
        <w:gridCol w:w="1966"/>
        <w:gridCol w:w="1509"/>
        <w:gridCol w:w="1345"/>
        <w:gridCol w:w="1449"/>
        <w:gridCol w:w="1331"/>
      </w:tblGrid>
      <w:tr>
        <w:trPr>
          <w:trHeight w:val="282" w:hRule="atLeast"/>
        </w:trPr>
        <w:tc>
          <w:tcPr>
            <w:tcW w:w="934" w:type="dxa"/>
            <w:vAlign w:val="top"/>
            <w:vMerge w:val="restart"/>
            <w:tcBorders>
              <w:bottom w:val="nil"/>
            </w:tcBorders>
          </w:tcPr>
          <w:p>
            <w:pPr>
              <w:pStyle w:val="TableText"/>
              <w:ind w:left="263"/>
              <w:spacing w:before="177" w:line="229" w:lineRule="auto"/>
              <w:rPr/>
            </w:pPr>
            <w:r>
              <w:rPr>
                <w:spacing w:val="5"/>
              </w:rPr>
              <w:t>序号</w:t>
            </w:r>
          </w:p>
        </w:tc>
        <w:tc>
          <w:tcPr>
            <w:tcW w:w="1966" w:type="dxa"/>
            <w:vAlign w:val="top"/>
            <w:vMerge w:val="restart"/>
            <w:tcBorders>
              <w:bottom w:val="nil"/>
            </w:tcBorders>
          </w:tcPr>
          <w:p>
            <w:pPr>
              <w:pStyle w:val="TableText"/>
              <w:ind w:left="44"/>
              <w:spacing w:before="177" w:line="228" w:lineRule="auto"/>
              <w:rPr/>
            </w:pPr>
            <w:r>
              <w:rPr>
                <w:spacing w:val="7"/>
              </w:rPr>
              <w:t>污染物项目（其他）</w:t>
            </w:r>
          </w:p>
        </w:tc>
        <w:tc>
          <w:tcPr>
            <w:tcW w:w="5634" w:type="dxa"/>
            <w:vAlign w:val="top"/>
            <w:gridSpan w:val="4"/>
          </w:tcPr>
          <w:p>
            <w:pPr>
              <w:pStyle w:val="TableText"/>
              <w:ind w:left="2506"/>
              <w:spacing w:before="35" w:line="218" w:lineRule="auto"/>
              <w:rPr/>
            </w:pPr>
            <w:r>
              <w:rPr>
                <w:spacing w:val="6"/>
              </w:rPr>
              <w:t>筛选值</w:t>
            </w:r>
          </w:p>
        </w:tc>
      </w:tr>
      <w:tr>
        <w:trPr>
          <w:trHeight w:val="277" w:hRule="atLeast"/>
        </w:trPr>
        <w:tc>
          <w:tcPr>
            <w:tcW w:w="934" w:type="dxa"/>
            <w:vAlign w:val="top"/>
            <w:vMerge w:val="continue"/>
            <w:tcBorders>
              <w:top w:val="nil"/>
            </w:tcBorders>
          </w:tcPr>
          <w:p>
            <w:pPr>
              <w:rPr>
                <w:rFonts w:ascii="Arial"/>
                <w:sz w:val="21"/>
              </w:rPr>
            </w:pPr>
            <w:r/>
          </w:p>
        </w:tc>
        <w:tc>
          <w:tcPr>
            <w:tcW w:w="1966" w:type="dxa"/>
            <w:vAlign w:val="top"/>
            <w:vMerge w:val="continue"/>
            <w:tcBorders>
              <w:top w:val="nil"/>
            </w:tcBorders>
          </w:tcPr>
          <w:p>
            <w:pPr>
              <w:rPr>
                <w:rFonts w:ascii="Arial"/>
                <w:sz w:val="21"/>
              </w:rPr>
            </w:pPr>
            <w:r/>
          </w:p>
        </w:tc>
        <w:tc>
          <w:tcPr>
            <w:tcW w:w="1509" w:type="dxa"/>
            <w:vAlign w:val="top"/>
          </w:tcPr>
          <w:p>
            <w:pPr>
              <w:ind w:left="434"/>
              <w:spacing w:before="70"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7"/>
              </w:rPr>
              <w:t>≤5.5</w:t>
            </w:r>
          </w:p>
        </w:tc>
        <w:tc>
          <w:tcPr>
            <w:tcW w:w="1345" w:type="dxa"/>
            <w:vAlign w:val="top"/>
          </w:tcPr>
          <w:p>
            <w:pPr>
              <w:pStyle w:val="TableText"/>
              <w:ind w:left="126"/>
              <w:spacing w:before="31" w:line="217" w:lineRule="auto"/>
              <w:rPr>
                <w:rFonts w:ascii="Times New Roman" w:hAnsi="Times New Roman" w:eastAsia="Times New Roman" w:cs="Times New Roman"/>
              </w:rPr>
            </w:pPr>
            <w:r>
              <w:rPr>
                <w:rFonts w:ascii="Times New Roman" w:hAnsi="Times New Roman" w:eastAsia="Times New Roman" w:cs="Times New Roman"/>
                <w:spacing w:val="5"/>
              </w:rPr>
              <w:t>5.5</w:t>
            </w:r>
            <w:r>
              <w:rPr>
                <w:spacing w:val="5"/>
              </w:rPr>
              <w:t>＜</w:t>
            </w:r>
            <w:r>
              <w:rPr>
                <w:rFonts w:ascii="Times New Roman" w:hAnsi="Times New Roman" w:eastAsia="Times New Roman" w:cs="Times New Roman"/>
              </w:rPr>
              <w:t>pH</w:t>
            </w:r>
            <w:r>
              <w:rPr>
                <w:rFonts w:ascii="Times New Roman" w:hAnsi="Times New Roman" w:eastAsia="Times New Roman" w:cs="Times New Roman"/>
                <w:spacing w:val="5"/>
              </w:rPr>
              <w:t>≤6.5</w:t>
            </w:r>
          </w:p>
        </w:tc>
        <w:tc>
          <w:tcPr>
            <w:tcW w:w="1449" w:type="dxa"/>
            <w:vAlign w:val="top"/>
          </w:tcPr>
          <w:p>
            <w:pPr>
              <w:pStyle w:val="TableText"/>
              <w:ind w:left="179"/>
              <w:spacing w:before="31" w:line="217" w:lineRule="auto"/>
              <w:rPr>
                <w:rFonts w:ascii="Times New Roman" w:hAnsi="Times New Roman" w:eastAsia="Times New Roman" w:cs="Times New Roman"/>
              </w:rPr>
            </w:pPr>
            <w:r>
              <w:rPr>
                <w:rFonts w:ascii="Times New Roman" w:hAnsi="Times New Roman" w:eastAsia="Times New Roman" w:cs="Times New Roman"/>
                <w:spacing w:val="5"/>
              </w:rPr>
              <w:t>6.5</w:t>
            </w:r>
            <w:r>
              <w:rPr>
                <w:spacing w:val="5"/>
              </w:rPr>
              <w:t>＜</w:t>
            </w:r>
            <w:r>
              <w:rPr>
                <w:rFonts w:ascii="Times New Roman" w:hAnsi="Times New Roman" w:eastAsia="Times New Roman" w:cs="Times New Roman"/>
              </w:rPr>
              <w:t>pH</w:t>
            </w:r>
            <w:r>
              <w:rPr>
                <w:rFonts w:ascii="Times New Roman" w:hAnsi="Times New Roman" w:eastAsia="Times New Roman" w:cs="Times New Roman"/>
                <w:spacing w:val="5"/>
              </w:rPr>
              <w:t>≤7.5</w:t>
            </w:r>
          </w:p>
        </w:tc>
        <w:tc>
          <w:tcPr>
            <w:tcW w:w="1331" w:type="dxa"/>
            <w:vAlign w:val="top"/>
          </w:tcPr>
          <w:p>
            <w:pPr>
              <w:pStyle w:val="TableText"/>
              <w:ind w:left="297"/>
              <w:spacing w:before="31" w:line="217" w:lineRule="auto"/>
              <w:rPr>
                <w:rFonts w:ascii="Times New Roman" w:hAnsi="Times New Roman" w:eastAsia="Times New Roman" w:cs="Times New Roman"/>
              </w:rPr>
            </w:pPr>
            <w:r>
              <w:rPr>
                <w:rFonts w:ascii="Times New Roman" w:hAnsi="Times New Roman" w:eastAsia="Times New Roman" w:cs="Times New Roman"/>
              </w:rPr>
              <w:t>pH</w:t>
            </w:r>
            <w:r>
              <w:rPr>
                <w:spacing w:val="8"/>
              </w:rPr>
              <w:t>＞</w:t>
            </w:r>
            <w:r>
              <w:rPr>
                <w:rFonts w:ascii="Times New Roman" w:hAnsi="Times New Roman" w:eastAsia="Times New Roman" w:cs="Times New Roman"/>
                <w:spacing w:val="8"/>
              </w:rPr>
              <w:t>7.5</w:t>
            </w:r>
          </w:p>
        </w:tc>
      </w:tr>
      <w:tr>
        <w:trPr>
          <w:trHeight w:val="277" w:hRule="atLeast"/>
        </w:trPr>
        <w:tc>
          <w:tcPr>
            <w:tcW w:w="934" w:type="dxa"/>
            <w:vAlign w:val="top"/>
          </w:tcPr>
          <w:p>
            <w:pPr>
              <w:ind w:left="436"/>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966" w:type="dxa"/>
            <w:vAlign w:val="top"/>
          </w:tcPr>
          <w:p>
            <w:pPr>
              <w:pStyle w:val="TableText"/>
              <w:ind w:left="401"/>
              <w:spacing w:before="30" w:line="218" w:lineRule="auto"/>
              <w:rPr/>
            </w:pPr>
            <w:r>
              <w:rPr>
                <w:spacing w:val="9"/>
              </w:rPr>
              <w:t>镉（</w:t>
            </w:r>
            <w:r>
              <w:rPr>
                <w:rFonts w:ascii="Times New Roman" w:hAnsi="Times New Roman" w:eastAsia="Times New Roman" w:cs="Times New Roman"/>
              </w:rPr>
              <w:t>mg</w:t>
            </w:r>
            <w:r>
              <w:rPr>
                <w:rFonts w:ascii="Times New Roman" w:hAnsi="Times New Roman" w:eastAsia="Times New Roman" w:cs="Times New Roman"/>
                <w:spacing w:val="9"/>
              </w:rPr>
              <w:t>/</w:t>
            </w:r>
            <w:r>
              <w:rPr>
                <w:rFonts w:ascii="Times New Roman" w:hAnsi="Times New Roman" w:eastAsia="Times New Roman" w:cs="Times New Roman"/>
              </w:rPr>
              <w:t>kg</w:t>
            </w:r>
            <w:r>
              <w:rPr>
                <w:spacing w:val="9"/>
              </w:rPr>
              <w:t>）</w:t>
            </w:r>
          </w:p>
        </w:tc>
        <w:tc>
          <w:tcPr>
            <w:tcW w:w="1509" w:type="dxa"/>
            <w:vAlign w:val="top"/>
          </w:tcPr>
          <w:p>
            <w:pPr>
              <w:ind w:left="627"/>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0.3</w:t>
            </w:r>
          </w:p>
        </w:tc>
        <w:tc>
          <w:tcPr>
            <w:tcW w:w="1345" w:type="dxa"/>
            <w:vAlign w:val="top"/>
          </w:tcPr>
          <w:p>
            <w:pPr>
              <w:ind w:left="546"/>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0.3</w:t>
            </w:r>
          </w:p>
        </w:tc>
        <w:tc>
          <w:tcPr>
            <w:tcW w:w="1449" w:type="dxa"/>
            <w:vAlign w:val="top"/>
          </w:tcPr>
          <w:p>
            <w:pPr>
              <w:ind w:left="598"/>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0.3</w:t>
            </w:r>
          </w:p>
        </w:tc>
        <w:tc>
          <w:tcPr>
            <w:tcW w:w="1331" w:type="dxa"/>
            <w:vAlign w:val="top"/>
          </w:tcPr>
          <w:p>
            <w:pPr>
              <w:ind w:left="538"/>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0.6</w:t>
            </w:r>
          </w:p>
        </w:tc>
      </w:tr>
      <w:tr>
        <w:trPr>
          <w:trHeight w:val="277" w:hRule="atLeast"/>
        </w:trPr>
        <w:tc>
          <w:tcPr>
            <w:tcW w:w="934" w:type="dxa"/>
            <w:vAlign w:val="top"/>
          </w:tcPr>
          <w:p>
            <w:pPr>
              <w:ind w:left="416"/>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966" w:type="dxa"/>
            <w:vAlign w:val="top"/>
          </w:tcPr>
          <w:p>
            <w:pPr>
              <w:pStyle w:val="TableText"/>
              <w:ind w:left="403"/>
              <w:spacing w:before="31" w:line="217" w:lineRule="auto"/>
              <w:rPr/>
            </w:pPr>
            <w:r>
              <w:rPr>
                <w:spacing w:val="8"/>
              </w:rPr>
              <w:t>汞（</w:t>
            </w:r>
            <w:r>
              <w:rPr>
                <w:rFonts w:ascii="Times New Roman" w:hAnsi="Times New Roman" w:eastAsia="Times New Roman" w:cs="Times New Roman"/>
              </w:rPr>
              <w:t>mg</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509" w:type="dxa"/>
            <w:vAlign w:val="top"/>
          </w:tcPr>
          <w:p>
            <w:pPr>
              <w:ind w:left="644"/>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1.3</w:t>
            </w:r>
          </w:p>
        </w:tc>
        <w:tc>
          <w:tcPr>
            <w:tcW w:w="1345" w:type="dxa"/>
            <w:vAlign w:val="top"/>
          </w:tcPr>
          <w:p>
            <w:pPr>
              <w:ind w:left="563"/>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1.8</w:t>
            </w:r>
          </w:p>
        </w:tc>
        <w:tc>
          <w:tcPr>
            <w:tcW w:w="1449" w:type="dxa"/>
            <w:vAlign w:val="top"/>
          </w:tcPr>
          <w:p>
            <w:pPr>
              <w:ind w:left="594"/>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2.4</w:t>
            </w:r>
          </w:p>
        </w:tc>
        <w:tc>
          <w:tcPr>
            <w:tcW w:w="1331" w:type="dxa"/>
            <w:vAlign w:val="top"/>
          </w:tcPr>
          <w:p>
            <w:pPr>
              <w:ind w:left="539"/>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3.4</w:t>
            </w:r>
          </w:p>
        </w:tc>
      </w:tr>
      <w:tr>
        <w:trPr>
          <w:trHeight w:val="277" w:hRule="atLeast"/>
        </w:trPr>
        <w:tc>
          <w:tcPr>
            <w:tcW w:w="934" w:type="dxa"/>
            <w:vAlign w:val="top"/>
          </w:tcPr>
          <w:p>
            <w:pPr>
              <w:ind w:left="420"/>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966" w:type="dxa"/>
            <w:vAlign w:val="top"/>
          </w:tcPr>
          <w:p>
            <w:pPr>
              <w:pStyle w:val="TableText"/>
              <w:ind w:left="401"/>
              <w:spacing w:before="33" w:line="216" w:lineRule="auto"/>
              <w:rPr/>
            </w:pPr>
            <w:r>
              <w:rPr>
                <w:spacing w:val="8"/>
              </w:rPr>
              <w:t>砷（</w:t>
            </w:r>
            <w:r>
              <w:rPr>
                <w:rFonts w:ascii="Times New Roman" w:hAnsi="Times New Roman" w:eastAsia="Times New Roman" w:cs="Times New Roman"/>
              </w:rPr>
              <w:t>mg</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509" w:type="dxa"/>
            <w:vAlign w:val="top"/>
          </w:tcPr>
          <w:p>
            <w:pPr>
              <w:ind w:left="649"/>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w:t>
            </w:r>
          </w:p>
        </w:tc>
        <w:tc>
          <w:tcPr>
            <w:tcW w:w="1345" w:type="dxa"/>
            <w:vAlign w:val="top"/>
          </w:tcPr>
          <w:p>
            <w:pPr>
              <w:ind w:left="568"/>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w:t>
            </w:r>
          </w:p>
        </w:tc>
        <w:tc>
          <w:tcPr>
            <w:tcW w:w="1449" w:type="dxa"/>
            <w:vAlign w:val="top"/>
          </w:tcPr>
          <w:p>
            <w:pPr>
              <w:ind w:left="62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1331" w:type="dxa"/>
            <w:vAlign w:val="top"/>
          </w:tcPr>
          <w:p>
            <w:pPr>
              <w:ind w:left="561"/>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r>
      <w:tr>
        <w:trPr>
          <w:trHeight w:val="276" w:hRule="atLeast"/>
        </w:trPr>
        <w:tc>
          <w:tcPr>
            <w:tcW w:w="934" w:type="dxa"/>
            <w:vAlign w:val="top"/>
          </w:tcPr>
          <w:p>
            <w:pPr>
              <w:ind w:left="415"/>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966" w:type="dxa"/>
            <w:vAlign w:val="top"/>
          </w:tcPr>
          <w:p>
            <w:pPr>
              <w:pStyle w:val="TableText"/>
              <w:ind w:left="402"/>
              <w:spacing w:before="31" w:line="216" w:lineRule="auto"/>
              <w:rPr/>
            </w:pPr>
            <w:r>
              <w:rPr>
                <w:spacing w:val="8"/>
              </w:rPr>
              <w:t>铅（</w:t>
            </w:r>
            <w:r>
              <w:rPr>
                <w:rFonts w:ascii="Times New Roman" w:hAnsi="Times New Roman" w:eastAsia="Times New Roman" w:cs="Times New Roman"/>
              </w:rPr>
              <w:t>mg</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509" w:type="dxa"/>
            <w:vAlign w:val="top"/>
          </w:tcPr>
          <w:p>
            <w:pPr>
              <w:ind w:left="653"/>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70</w:t>
            </w:r>
          </w:p>
        </w:tc>
        <w:tc>
          <w:tcPr>
            <w:tcW w:w="1345" w:type="dxa"/>
            <w:vAlign w:val="top"/>
          </w:tcPr>
          <w:p>
            <w:pPr>
              <w:ind w:left="573"/>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1449" w:type="dxa"/>
            <w:vAlign w:val="top"/>
          </w:tcPr>
          <w:p>
            <w:pPr>
              <w:ind w:left="591"/>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120</w:t>
            </w:r>
          </w:p>
        </w:tc>
        <w:tc>
          <w:tcPr>
            <w:tcW w:w="1331" w:type="dxa"/>
            <w:vAlign w:val="top"/>
          </w:tcPr>
          <w:p>
            <w:pPr>
              <w:ind w:left="529"/>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170</w:t>
            </w:r>
          </w:p>
        </w:tc>
      </w:tr>
      <w:tr>
        <w:trPr>
          <w:trHeight w:val="277" w:hRule="atLeast"/>
        </w:trPr>
        <w:tc>
          <w:tcPr>
            <w:tcW w:w="934" w:type="dxa"/>
            <w:vAlign w:val="top"/>
          </w:tcPr>
          <w:p>
            <w:pPr>
              <w:ind w:left="421"/>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966" w:type="dxa"/>
            <w:vAlign w:val="top"/>
          </w:tcPr>
          <w:p>
            <w:pPr>
              <w:pStyle w:val="TableText"/>
              <w:ind w:left="401"/>
              <w:spacing w:before="34" w:line="215" w:lineRule="auto"/>
              <w:rPr/>
            </w:pPr>
            <w:r>
              <w:rPr>
                <w:spacing w:val="8"/>
              </w:rPr>
              <w:t>铬（</w:t>
            </w:r>
            <w:r>
              <w:rPr>
                <w:rFonts w:ascii="Times New Roman" w:hAnsi="Times New Roman" w:eastAsia="Times New Roman" w:cs="Times New Roman"/>
              </w:rPr>
              <w:t>mg</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509" w:type="dxa"/>
            <w:vAlign w:val="top"/>
          </w:tcPr>
          <w:p>
            <w:pPr>
              <w:ind w:left="61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150</w:t>
            </w:r>
          </w:p>
        </w:tc>
        <w:tc>
          <w:tcPr>
            <w:tcW w:w="1345" w:type="dxa"/>
            <w:vAlign w:val="top"/>
          </w:tcPr>
          <w:p>
            <w:pPr>
              <w:ind w:left="53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150</w:t>
            </w:r>
          </w:p>
        </w:tc>
        <w:tc>
          <w:tcPr>
            <w:tcW w:w="1449" w:type="dxa"/>
            <w:vAlign w:val="top"/>
          </w:tcPr>
          <w:p>
            <w:pPr>
              <w:ind w:left="57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w:t>
            </w:r>
          </w:p>
        </w:tc>
        <w:tc>
          <w:tcPr>
            <w:tcW w:w="1331" w:type="dxa"/>
            <w:vAlign w:val="top"/>
          </w:tcPr>
          <w:p>
            <w:pPr>
              <w:ind w:left="50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250</w:t>
            </w:r>
          </w:p>
        </w:tc>
      </w:tr>
      <w:tr>
        <w:trPr>
          <w:trHeight w:val="276" w:hRule="atLeast"/>
        </w:trPr>
        <w:tc>
          <w:tcPr>
            <w:tcW w:w="934" w:type="dxa"/>
            <w:vAlign w:val="top"/>
          </w:tcPr>
          <w:p>
            <w:pPr>
              <w:ind w:left="42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966" w:type="dxa"/>
            <w:vAlign w:val="top"/>
          </w:tcPr>
          <w:p>
            <w:pPr>
              <w:pStyle w:val="TableText"/>
              <w:ind w:left="402"/>
              <w:spacing w:before="35" w:line="213" w:lineRule="auto"/>
              <w:rPr/>
            </w:pPr>
            <w:r>
              <w:rPr>
                <w:spacing w:val="8"/>
              </w:rPr>
              <w:t>铜（</w:t>
            </w:r>
            <w:r>
              <w:rPr>
                <w:rFonts w:ascii="Times New Roman" w:hAnsi="Times New Roman" w:eastAsia="Times New Roman" w:cs="Times New Roman"/>
              </w:rPr>
              <w:t>mg</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509" w:type="dxa"/>
            <w:vAlign w:val="top"/>
          </w:tcPr>
          <w:p>
            <w:pPr>
              <w:ind w:left="65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1345" w:type="dxa"/>
            <w:vAlign w:val="top"/>
          </w:tcPr>
          <w:p>
            <w:pPr>
              <w:ind w:left="57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1449" w:type="dxa"/>
            <w:vAlign w:val="top"/>
          </w:tcPr>
          <w:p>
            <w:pPr>
              <w:ind w:left="591"/>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100</w:t>
            </w:r>
          </w:p>
        </w:tc>
        <w:tc>
          <w:tcPr>
            <w:tcW w:w="1331" w:type="dxa"/>
            <w:vAlign w:val="top"/>
          </w:tcPr>
          <w:p>
            <w:pPr>
              <w:ind w:left="52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100</w:t>
            </w:r>
          </w:p>
        </w:tc>
      </w:tr>
      <w:tr>
        <w:trPr>
          <w:trHeight w:val="277" w:hRule="atLeast"/>
        </w:trPr>
        <w:tc>
          <w:tcPr>
            <w:tcW w:w="934" w:type="dxa"/>
            <w:vAlign w:val="top"/>
          </w:tcPr>
          <w:p>
            <w:pPr>
              <w:ind w:left="419"/>
              <w:spacing w:before="7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966" w:type="dxa"/>
            <w:vAlign w:val="top"/>
          </w:tcPr>
          <w:p>
            <w:pPr>
              <w:pStyle w:val="TableText"/>
              <w:ind w:left="401"/>
              <w:spacing w:before="35" w:line="214" w:lineRule="auto"/>
              <w:rPr/>
            </w:pPr>
            <w:r>
              <w:rPr>
                <w:spacing w:val="8"/>
              </w:rPr>
              <w:t>镍（</w:t>
            </w:r>
            <w:r>
              <w:rPr>
                <w:rFonts w:ascii="Times New Roman" w:hAnsi="Times New Roman" w:eastAsia="Times New Roman" w:cs="Times New Roman"/>
              </w:rPr>
              <w:t>mg</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509" w:type="dxa"/>
            <w:vAlign w:val="top"/>
          </w:tcPr>
          <w:p>
            <w:pPr>
              <w:ind w:left="65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1345" w:type="dxa"/>
            <w:vAlign w:val="top"/>
          </w:tcPr>
          <w:p>
            <w:pPr>
              <w:ind w:left="57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70</w:t>
            </w:r>
          </w:p>
        </w:tc>
        <w:tc>
          <w:tcPr>
            <w:tcW w:w="1449" w:type="dxa"/>
            <w:vAlign w:val="top"/>
          </w:tcPr>
          <w:p>
            <w:pPr>
              <w:ind w:left="591"/>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100</w:t>
            </w:r>
          </w:p>
        </w:tc>
        <w:tc>
          <w:tcPr>
            <w:tcW w:w="1331" w:type="dxa"/>
            <w:vAlign w:val="top"/>
          </w:tcPr>
          <w:p>
            <w:pPr>
              <w:ind w:left="52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190</w:t>
            </w:r>
          </w:p>
        </w:tc>
      </w:tr>
      <w:tr>
        <w:trPr>
          <w:trHeight w:val="282" w:hRule="atLeast"/>
        </w:trPr>
        <w:tc>
          <w:tcPr>
            <w:tcW w:w="934" w:type="dxa"/>
            <w:vAlign w:val="top"/>
          </w:tcPr>
          <w:p>
            <w:pPr>
              <w:ind w:left="42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966" w:type="dxa"/>
            <w:vAlign w:val="top"/>
          </w:tcPr>
          <w:p>
            <w:pPr>
              <w:pStyle w:val="TableText"/>
              <w:ind w:left="401"/>
              <w:spacing w:before="35" w:line="218" w:lineRule="auto"/>
              <w:rPr/>
            </w:pPr>
            <w:r>
              <w:rPr>
                <w:spacing w:val="8"/>
              </w:rPr>
              <w:t>锌（</w:t>
            </w:r>
            <w:r>
              <w:rPr>
                <w:rFonts w:ascii="Times New Roman" w:hAnsi="Times New Roman" w:eastAsia="Times New Roman" w:cs="Times New Roman"/>
              </w:rPr>
              <w:t>mg</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509" w:type="dxa"/>
            <w:vAlign w:val="top"/>
          </w:tcPr>
          <w:p>
            <w:pPr>
              <w:ind w:left="59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w:t>
            </w:r>
          </w:p>
        </w:tc>
        <w:tc>
          <w:tcPr>
            <w:tcW w:w="1345" w:type="dxa"/>
            <w:vAlign w:val="top"/>
          </w:tcPr>
          <w:p>
            <w:pPr>
              <w:ind w:left="51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w:t>
            </w:r>
          </w:p>
        </w:tc>
        <w:tc>
          <w:tcPr>
            <w:tcW w:w="1449" w:type="dxa"/>
            <w:vAlign w:val="top"/>
          </w:tcPr>
          <w:p>
            <w:pPr>
              <w:ind w:left="57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250</w:t>
            </w:r>
          </w:p>
        </w:tc>
        <w:tc>
          <w:tcPr>
            <w:tcW w:w="1331" w:type="dxa"/>
            <w:vAlign w:val="top"/>
          </w:tcPr>
          <w:p>
            <w:pPr>
              <w:ind w:left="51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300</w:t>
            </w:r>
          </w:p>
        </w:tc>
      </w:tr>
    </w:tbl>
    <w:p>
      <w:pPr>
        <w:ind w:left="24"/>
        <w:spacing w:before="198" w:line="222" w:lineRule="auto"/>
        <w:outlineLvl w:val="2"/>
        <w:rPr>
          <w:rFonts w:ascii="SimHei" w:hAnsi="SimHei" w:eastAsia="SimHei" w:cs="SimHei"/>
          <w:sz w:val="28"/>
          <w:szCs w:val="28"/>
        </w:rPr>
      </w:pPr>
      <w:bookmarkStart w:name="bookmark41" w:id="48"/>
      <w:bookmarkEnd w:id="48"/>
      <w:r>
        <w:rPr>
          <w:rFonts w:ascii="Times New Roman" w:hAnsi="Times New Roman" w:eastAsia="Times New Roman" w:cs="Times New Roman"/>
          <w:sz w:val="28"/>
          <w:szCs w:val="28"/>
          <w:spacing w:val="-1"/>
        </w:rPr>
        <w:t>2.6.2 </w:t>
      </w:r>
      <w:r>
        <w:rPr>
          <w:rFonts w:ascii="SimHei" w:hAnsi="SimHei" w:eastAsia="SimHei" w:cs="SimHei"/>
          <w:sz w:val="28"/>
          <w:szCs w:val="28"/>
          <w:spacing w:val="-1"/>
        </w:rPr>
        <w:t>污染物排放标准</w:t>
      </w:r>
    </w:p>
    <w:p>
      <w:pPr>
        <w:pStyle w:val="BodyText"/>
        <w:spacing w:line="278" w:lineRule="auto"/>
        <w:rPr/>
      </w:pPr>
      <w:r/>
    </w:p>
    <w:p>
      <w:pPr>
        <w:ind w:left="519"/>
        <w:spacing w:before="78" w:line="220"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1</w:t>
      </w:r>
      <w:r>
        <w:rPr>
          <w:rFonts w:ascii="SimSun" w:hAnsi="SimSun" w:eastAsia="SimSun" w:cs="SimSun"/>
          <w:sz w:val="24"/>
          <w:szCs w:val="24"/>
          <w:spacing w:val="-5"/>
        </w:rPr>
        <w:t>）废气</w:t>
      </w:r>
    </w:p>
    <w:p>
      <w:pPr>
        <w:ind w:left="27" w:right="17" w:firstLine="480"/>
        <w:spacing w:before="178" w:line="360" w:lineRule="auto"/>
        <w:rPr>
          <w:rFonts w:ascii="SimSun" w:hAnsi="SimSun" w:eastAsia="SimSun" w:cs="SimSun"/>
          <w:sz w:val="24"/>
          <w:szCs w:val="24"/>
        </w:rPr>
      </w:pPr>
      <w:r>
        <w:rPr>
          <w:rFonts w:ascii="SimSun" w:hAnsi="SimSun" w:eastAsia="SimSun" w:cs="SimSun"/>
          <w:sz w:val="24"/>
          <w:szCs w:val="24"/>
          <w:spacing w:val="39"/>
        </w:rPr>
        <w:t>本项目生产工艺中颗粒物执行</w:t>
      </w:r>
      <w:r>
        <w:rPr>
          <w:rFonts w:ascii="SimSun" w:hAnsi="SimSun" w:eastAsia="SimSun" w:cs="SimSun"/>
          <w:sz w:val="24"/>
          <w:szCs w:val="24"/>
          <w:spacing w:val="-72"/>
        </w:rPr>
        <w:t xml:space="preserve"> </w:t>
      </w:r>
      <w:r>
        <w:rPr>
          <w:rFonts w:ascii="SimSun" w:hAnsi="SimSun" w:eastAsia="SimSun" w:cs="SimSun"/>
          <w:sz w:val="24"/>
          <w:szCs w:val="24"/>
          <w:spacing w:val="39"/>
        </w:rPr>
        <w:t>《</w:t>
      </w:r>
      <w:r>
        <w:rPr>
          <w:rFonts w:ascii="SimSun" w:hAnsi="SimSun" w:eastAsia="SimSun" w:cs="SimSun"/>
          <w:sz w:val="24"/>
          <w:szCs w:val="24"/>
          <w:spacing w:val="-37"/>
        </w:rPr>
        <w:t xml:space="preserve"> </w:t>
      </w:r>
      <w:r>
        <w:rPr>
          <w:rFonts w:ascii="SimSun" w:hAnsi="SimSun" w:eastAsia="SimSun" w:cs="SimSun"/>
          <w:sz w:val="24"/>
          <w:szCs w:val="24"/>
          <w:spacing w:val="39"/>
        </w:rPr>
        <w:t>大气污染物综合排放</w:t>
      </w:r>
      <w:r>
        <w:rPr>
          <w:rFonts w:ascii="SimSun" w:hAnsi="SimSun" w:eastAsia="SimSun" w:cs="SimSun"/>
          <w:sz w:val="24"/>
          <w:szCs w:val="24"/>
          <w:spacing w:val="38"/>
        </w:rPr>
        <w:t>标准限值</w:t>
      </w:r>
      <w:r>
        <w:rPr>
          <w:rFonts w:ascii="SimSun" w:hAnsi="SimSun" w:eastAsia="SimSun" w:cs="SimSun"/>
          <w:sz w:val="24"/>
          <w:szCs w:val="24"/>
          <w:spacing w:val="-47"/>
        </w:rPr>
        <w:t xml:space="preserve"> </w:t>
      </w:r>
      <w:r>
        <w:rPr>
          <w:rFonts w:ascii="SimSun" w:hAnsi="SimSun" w:eastAsia="SimSun" w:cs="SimSun"/>
          <w:sz w:val="24"/>
          <w:szCs w:val="24"/>
          <w:spacing w:val="38"/>
        </w:rPr>
        <w:t>》</w:t>
      </w:r>
      <w:r>
        <w:rPr>
          <w:rFonts w:ascii="SimSun" w:hAnsi="SimSun" w:eastAsia="SimSun" w:cs="SimSun"/>
          <w:sz w:val="24"/>
          <w:szCs w:val="2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GB16297-1996</w:t>
      </w:r>
      <w:r>
        <w:rPr>
          <w:rFonts w:ascii="SimSun" w:hAnsi="SimSun" w:eastAsia="SimSun" w:cs="SimSun"/>
          <w:sz w:val="24"/>
          <w:szCs w:val="24"/>
          <w:spacing w:val="-2"/>
        </w:rPr>
        <w:t>）中表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2 </w:t>
      </w:r>
      <w:r>
        <w:rPr>
          <w:rFonts w:ascii="SimSun" w:hAnsi="SimSun" w:eastAsia="SimSun" w:cs="SimSun"/>
          <w:sz w:val="24"/>
          <w:szCs w:val="24"/>
          <w:spacing w:val="-2"/>
        </w:rPr>
        <w:t>新污染源二级排放限值；</w:t>
      </w:r>
      <w:r>
        <w:rPr>
          <w:rFonts w:ascii="Times New Roman" w:hAnsi="Times New Roman" w:eastAsia="Times New Roman" w:cs="Times New Roman"/>
          <w:sz w:val="24"/>
          <w:szCs w:val="24"/>
          <w:spacing w:val="-2"/>
        </w:rPr>
        <w:t>H</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24"/>
          <w:szCs w:val="24"/>
          <w:spacing w:val="-2"/>
        </w:rPr>
        <w:t>S</w:t>
      </w:r>
      <w:r>
        <w:rPr>
          <w:rFonts w:ascii="SimSun" w:hAnsi="SimSun" w:eastAsia="SimSun" w:cs="SimSun"/>
          <w:sz w:val="24"/>
          <w:szCs w:val="24"/>
          <w:spacing w:val="-2"/>
        </w:rPr>
        <w:t>、</w:t>
      </w:r>
      <w:r>
        <w:rPr>
          <w:rFonts w:ascii="Times New Roman" w:hAnsi="Times New Roman" w:eastAsia="Times New Roman" w:cs="Times New Roman"/>
          <w:sz w:val="24"/>
          <w:szCs w:val="24"/>
          <w:spacing w:val="-2"/>
        </w:rPr>
        <w:t>NH</w:t>
      </w:r>
      <w:r>
        <w:rPr>
          <w:rFonts w:ascii="Times New Roman" w:hAnsi="Times New Roman" w:eastAsia="Times New Roman" w:cs="Times New Roman"/>
          <w:sz w:val="15"/>
          <w:szCs w:val="15"/>
          <w:spacing w:val="-2"/>
          <w:position w:val="-1"/>
        </w:rPr>
        <w:t>3 </w:t>
      </w:r>
      <w:r>
        <w:rPr>
          <w:rFonts w:ascii="SimSun" w:hAnsi="SimSun" w:eastAsia="SimSun" w:cs="SimSun"/>
          <w:sz w:val="24"/>
          <w:szCs w:val="24"/>
          <w:spacing w:val="-2"/>
        </w:rPr>
        <w:t>及臭气浓度排放执行</w:t>
      </w:r>
      <w:r>
        <w:rPr>
          <w:rFonts w:ascii="SimSun" w:hAnsi="SimSun" w:eastAsia="SimSun" w:cs="SimSun"/>
          <w:sz w:val="24"/>
          <w:szCs w:val="24"/>
        </w:rPr>
        <w:t xml:space="preserve"> </w:t>
      </w:r>
      <w:r>
        <w:rPr>
          <w:rFonts w:ascii="SimSun" w:hAnsi="SimSun" w:eastAsia="SimSun" w:cs="SimSun"/>
          <w:sz w:val="24"/>
          <w:szCs w:val="24"/>
        </w:rPr>
        <w:t>《恶臭污染物排放标准》（</w:t>
      </w:r>
      <w:r>
        <w:rPr>
          <w:rFonts w:ascii="Times New Roman" w:hAnsi="Times New Roman" w:eastAsia="Times New Roman" w:cs="Times New Roman"/>
          <w:sz w:val="24"/>
          <w:szCs w:val="24"/>
        </w:rPr>
        <w:t>GB14554-93</w:t>
      </w:r>
      <w:r>
        <w:rPr>
          <w:rFonts w:ascii="SimSun" w:hAnsi="SimSun" w:eastAsia="SimSun" w:cs="SimSun"/>
          <w:sz w:val="24"/>
          <w:szCs w:val="24"/>
        </w:rPr>
        <w:t>）中表</w:t>
      </w:r>
      <w:r>
        <w:rPr>
          <w:rFonts w:ascii="SimSun" w:hAnsi="SimSun" w:eastAsia="SimSun" w:cs="SimSun"/>
          <w:sz w:val="24"/>
          <w:szCs w:val="24"/>
          <w:spacing w:val="-28"/>
        </w:rPr>
        <w:t xml:space="preserve"> </w:t>
      </w:r>
      <w:r>
        <w:rPr>
          <w:rFonts w:ascii="Times New Roman" w:hAnsi="Times New Roman" w:eastAsia="Times New Roman" w:cs="Times New Roman"/>
          <w:sz w:val="24"/>
          <w:szCs w:val="24"/>
        </w:rPr>
        <w:t>1 </w:t>
      </w:r>
      <w:r>
        <w:rPr>
          <w:rFonts w:ascii="SimSun" w:hAnsi="SimSun" w:eastAsia="SimSun" w:cs="SimSun"/>
          <w:sz w:val="24"/>
          <w:szCs w:val="24"/>
        </w:rPr>
        <w:t>新改扩建二级标准限值、表</w:t>
      </w:r>
      <w:r>
        <w:rPr>
          <w:rFonts w:ascii="SimSun" w:hAnsi="SimSun" w:eastAsia="SimSun" w:cs="SimSun"/>
          <w:sz w:val="24"/>
          <w:szCs w:val="24"/>
          <w:spacing w:val="-53"/>
        </w:rPr>
        <w:t xml:space="preserve"> </w:t>
      </w:r>
      <w:r>
        <w:rPr>
          <w:rFonts w:ascii="Times New Roman" w:hAnsi="Times New Roman" w:eastAsia="Times New Roman" w:cs="Times New Roman"/>
          <w:sz w:val="24"/>
          <w:szCs w:val="24"/>
        </w:rPr>
        <w:t>2 </w:t>
      </w:r>
      <w:r>
        <w:rPr>
          <w:rFonts w:ascii="SimSun" w:hAnsi="SimSun" w:eastAsia="SimSun" w:cs="SimSun"/>
          <w:sz w:val="24"/>
          <w:szCs w:val="24"/>
        </w:rPr>
        <w:t>排 </w:t>
      </w:r>
      <w:r>
        <w:rPr>
          <w:rFonts w:ascii="SimSun" w:hAnsi="SimSun" w:eastAsia="SimSun" w:cs="SimSun"/>
          <w:sz w:val="24"/>
          <w:szCs w:val="24"/>
          <w:spacing w:val="3"/>
        </w:rPr>
        <w:t>放标准；沼气锅炉和生物质锅炉烟气排放分别参照</w:t>
      </w:r>
      <w:r>
        <w:rPr>
          <w:rFonts w:ascii="SimSun" w:hAnsi="SimSun" w:eastAsia="SimSun" w:cs="SimSun"/>
          <w:sz w:val="24"/>
          <w:szCs w:val="24"/>
          <w:spacing w:val="2"/>
        </w:rPr>
        <w:t>执行《锅炉大气污染物排放标</w:t>
      </w:r>
      <w:r>
        <w:rPr>
          <w:rFonts w:ascii="SimSun" w:hAnsi="SimSun" w:eastAsia="SimSun" w:cs="SimSun"/>
          <w:sz w:val="24"/>
          <w:szCs w:val="24"/>
        </w:rPr>
        <w:t xml:space="preserve"> </w:t>
      </w:r>
      <w:r>
        <w:rPr>
          <w:rFonts w:ascii="SimSun" w:hAnsi="SimSun" w:eastAsia="SimSun" w:cs="SimSun"/>
          <w:sz w:val="24"/>
          <w:szCs w:val="24"/>
          <w:spacing w:val="-7"/>
        </w:rPr>
        <w:t>准》（</w:t>
      </w:r>
      <w:r>
        <w:rPr>
          <w:rFonts w:ascii="Times New Roman" w:hAnsi="Times New Roman" w:eastAsia="Times New Roman" w:cs="Times New Roman"/>
          <w:sz w:val="24"/>
          <w:szCs w:val="24"/>
          <w:spacing w:val="-7"/>
        </w:rPr>
        <w:t>GB</w:t>
      </w:r>
      <w:r>
        <w:rPr>
          <w:rFonts w:ascii="Times New Roman" w:hAnsi="Times New Roman" w:eastAsia="Times New Roman" w:cs="Times New Roman"/>
          <w:sz w:val="24"/>
          <w:szCs w:val="24"/>
          <w:spacing w:val="35"/>
        </w:rPr>
        <w:t xml:space="preserve"> </w:t>
      </w:r>
      <w:r>
        <w:rPr>
          <w:rFonts w:ascii="Times New Roman" w:hAnsi="Times New Roman" w:eastAsia="Times New Roman" w:cs="Times New Roman"/>
          <w:sz w:val="24"/>
          <w:szCs w:val="24"/>
          <w:spacing w:val="-7"/>
        </w:rPr>
        <w:t>13271-2014</w:t>
      </w:r>
      <w:r>
        <w:rPr>
          <w:rFonts w:ascii="SimSun" w:hAnsi="SimSun" w:eastAsia="SimSun" w:cs="SimSun"/>
          <w:sz w:val="24"/>
          <w:szCs w:val="24"/>
          <w:spacing w:val="-7"/>
        </w:rPr>
        <w:t>）表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2 </w:t>
      </w:r>
      <w:r>
        <w:rPr>
          <w:rFonts w:ascii="SimSun" w:hAnsi="SimSun" w:eastAsia="SimSun" w:cs="SimSun"/>
          <w:sz w:val="24"/>
          <w:szCs w:val="24"/>
          <w:spacing w:val="-7"/>
        </w:rPr>
        <w:t>燃气、燃煤锅炉标准限值；餐饮油烟排放参照执行《饮</w:t>
      </w:r>
    </w:p>
    <w:p>
      <w:pPr>
        <w:ind w:right="18"/>
        <w:spacing w:before="298" w:line="227" w:lineRule="auto"/>
        <w:jc w:val="right"/>
        <w:rPr>
          <w:rFonts w:ascii="SimSun" w:hAnsi="SimSun" w:eastAsia="SimSun" w:cs="SimSun"/>
          <w:sz w:val="19"/>
          <w:szCs w:val="19"/>
        </w:rPr>
      </w:pPr>
      <w:r>
        <w:pict>
          <v:shape id="_x0000_s216" style="position:absolute;margin-left:208.143pt;margin-top:13.8881pt;mso-position-vertical-relative:text;mso-position-horizontal-relative:text;width:59pt;height:13.75pt;z-index:251754496;"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4"/>
                      <w:position w:val="2"/>
                    </w:rPr>
                    <w:t>40</w:t>
                  </w:r>
                  <w:r>
                    <w:rPr>
                      <w:rFonts w:ascii="Times New Roman" w:hAnsi="Times New Roman" w:eastAsia="Times New Roman" w:cs="Times New Roman"/>
                      <w:sz w:val="18"/>
                      <w:szCs w:val="18"/>
                      <w:spacing w:val="1"/>
                      <w:position w:val="2"/>
                    </w:rPr>
                    <w:t xml:space="preserve">        </w:t>
                  </w:r>
                  <w:r>
                    <w:rPr>
                      <w:rFonts w:ascii="SimSun" w:hAnsi="SimSun" w:eastAsia="SimSun" w:cs="SimSun"/>
                      <w:sz w:val="19"/>
                      <w:szCs w:val="19"/>
                      <w:spacing w:val="4"/>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47"/>
          <w:pgSz w:w="11907" w:h="16840"/>
          <w:pgMar w:top="1567" w:right="1684" w:bottom="400" w:left="1683" w:header="1221" w:footer="0" w:gutter="0"/>
        </w:sectPr>
        <w:rPr>
          <w:rFonts w:ascii="SimSun" w:hAnsi="SimSun" w:eastAsia="SimSun" w:cs="SimSun"/>
          <w:sz w:val="19"/>
          <w:szCs w:val="19"/>
        </w:rPr>
      </w:pPr>
    </w:p>
    <w:p>
      <w:pPr>
        <w:ind w:left="34"/>
        <w:spacing w:before="188" w:line="219" w:lineRule="auto"/>
        <w:rPr>
          <w:rFonts w:ascii="SimSun" w:hAnsi="SimSun" w:eastAsia="SimSun" w:cs="SimSun"/>
          <w:sz w:val="24"/>
          <w:szCs w:val="24"/>
        </w:rPr>
      </w:pPr>
      <w:r>
        <w:pict>
          <v:shape id="_x0000_s220" style="position:absolute;margin-left:85.05pt;margin-top:79.11pt;mso-position-vertical-relative:page;mso-position-horizontal-relative:page;width:425.25pt;height:0.75pt;z-index:251758592;" o:allowincell="f" fillcolor="#000000" filled="true" stroked="false" coordsize="8505,15" coordorigin="0,0" path="m,l8505,0l8505,14l0,14l0,0xe"/>
        </w:pict>
      </w:r>
      <w:r>
        <w:rPr>
          <w:rFonts w:ascii="SimSun" w:hAnsi="SimSun" w:eastAsia="SimSun" w:cs="SimSun"/>
          <w:sz w:val="24"/>
          <w:szCs w:val="24"/>
        </w:rPr>
        <w:t>食业油烟排放标准（试行）》（</w:t>
      </w:r>
      <w:r>
        <w:rPr>
          <w:rFonts w:ascii="Times New Roman" w:hAnsi="Times New Roman" w:eastAsia="Times New Roman" w:cs="Times New Roman"/>
          <w:sz w:val="24"/>
          <w:szCs w:val="24"/>
        </w:rPr>
        <w:t>GB18483-2</w:t>
      </w:r>
      <w:r>
        <w:rPr>
          <w:rFonts w:ascii="Times New Roman" w:hAnsi="Times New Roman" w:eastAsia="Times New Roman" w:cs="Times New Roman"/>
          <w:sz w:val="24"/>
          <w:szCs w:val="24"/>
          <w:spacing w:val="-1"/>
        </w:rPr>
        <w:t>001</w:t>
      </w:r>
      <w:r>
        <w:rPr>
          <w:rFonts w:ascii="SimSun" w:hAnsi="SimSun" w:eastAsia="SimSun" w:cs="SimSun"/>
          <w:sz w:val="24"/>
          <w:szCs w:val="24"/>
          <w:spacing w:val="-1"/>
        </w:rPr>
        <w:t>）中型排放限值。</w:t>
      </w:r>
    </w:p>
    <w:p>
      <w:pPr>
        <w:ind w:left="1176"/>
        <w:spacing w:before="180"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2"/>
        </w:rPr>
        <w:t>2.6-7      </w:t>
      </w:r>
      <w:r>
        <w:rPr>
          <w:rFonts w:ascii="SimSun" w:hAnsi="SimSun" w:eastAsia="SimSun" w:cs="SimSun"/>
          <w:sz w:val="24"/>
          <w:szCs w:val="24"/>
          <w:b/>
          <w:bCs/>
          <w:spacing w:val="-2"/>
        </w:rPr>
        <w:t>大气污染物综合排放标准（表</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2"/>
        </w:rPr>
        <w:t>2 </w:t>
      </w:r>
      <w:r>
        <w:rPr>
          <w:rFonts w:ascii="SimSun" w:hAnsi="SimSun" w:eastAsia="SimSun" w:cs="SimSun"/>
          <w:sz w:val="24"/>
          <w:szCs w:val="24"/>
          <w:b/>
          <w:bCs/>
          <w:spacing w:val="-2"/>
        </w:rPr>
        <w:t>二级排放限值）</w:t>
      </w:r>
    </w:p>
    <w:tbl>
      <w:tblPr>
        <w:tblStyle w:val="TableNormal"/>
        <w:tblW w:w="8516" w:type="dxa"/>
        <w:tblInd w:w="18"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55"/>
        <w:gridCol w:w="2288"/>
        <w:gridCol w:w="1344"/>
        <w:gridCol w:w="1249"/>
        <w:gridCol w:w="1063"/>
        <w:gridCol w:w="1417"/>
      </w:tblGrid>
      <w:tr>
        <w:trPr>
          <w:trHeight w:val="280" w:hRule="atLeast"/>
        </w:trPr>
        <w:tc>
          <w:tcPr>
            <w:tcW w:w="1155" w:type="dxa"/>
            <w:vAlign w:val="top"/>
            <w:vMerge w:val="restart"/>
            <w:tcBorders>
              <w:bottom w:val="nil"/>
            </w:tcBorders>
          </w:tcPr>
          <w:p>
            <w:pPr>
              <w:pStyle w:val="TableText"/>
              <w:ind w:left="268"/>
              <w:spacing w:before="175" w:line="228" w:lineRule="auto"/>
              <w:rPr/>
            </w:pPr>
            <w:r>
              <w:rPr>
                <w:spacing w:val="6"/>
              </w:rPr>
              <w:t>污染物</w:t>
            </w:r>
          </w:p>
        </w:tc>
        <w:tc>
          <w:tcPr>
            <w:tcW w:w="2288" w:type="dxa"/>
            <w:vAlign w:val="top"/>
            <w:vMerge w:val="restart"/>
            <w:tcBorders>
              <w:bottom w:val="nil"/>
            </w:tcBorders>
          </w:tcPr>
          <w:p>
            <w:pPr>
              <w:pStyle w:val="TableText"/>
              <w:ind w:left="309"/>
              <w:spacing w:before="40" w:line="228" w:lineRule="auto"/>
              <w:rPr/>
            </w:pPr>
            <w:r>
              <w:rPr>
                <w:spacing w:val="8"/>
              </w:rPr>
              <w:t>最高允许排放浓度</w:t>
            </w:r>
          </w:p>
          <w:p>
            <w:pPr>
              <w:pStyle w:val="TableText"/>
              <w:ind w:left="670"/>
              <w:spacing w:before="24" w:line="221" w:lineRule="auto"/>
              <w:rPr/>
            </w:pPr>
            <w:r>
              <w:rPr>
                <w:spacing w:val="3"/>
              </w:rPr>
              <w:t>（</w:t>
            </w:r>
            <w:r>
              <w:rPr>
                <w:rFonts w:ascii="Times New Roman" w:hAnsi="Times New Roman" w:eastAsia="Times New Roman" w:cs="Times New Roman"/>
              </w:rPr>
              <w:t>mg</w:t>
            </w:r>
            <w:r>
              <w:rPr>
                <w:rFonts w:ascii="Times New Roman" w:hAnsi="Times New Roman" w:eastAsia="Times New Roman" w:cs="Times New Roman"/>
                <w:spacing w:val="3"/>
              </w:rPr>
              <w:t>/m</w:t>
            </w:r>
            <w:r>
              <w:rPr>
                <w:rFonts w:ascii="Times New Roman" w:hAnsi="Times New Roman" w:eastAsia="Times New Roman" w:cs="Times New Roman"/>
                <w:sz w:val="13"/>
                <w:szCs w:val="13"/>
                <w:spacing w:val="3"/>
                <w:position w:val="6"/>
              </w:rPr>
              <w:t>3</w:t>
            </w:r>
            <w:r>
              <w:rPr>
                <w:spacing w:val="3"/>
              </w:rPr>
              <w:t>）</w:t>
            </w:r>
          </w:p>
        </w:tc>
        <w:tc>
          <w:tcPr>
            <w:tcW w:w="2593" w:type="dxa"/>
            <w:vAlign w:val="top"/>
            <w:gridSpan w:val="2"/>
          </w:tcPr>
          <w:p>
            <w:pPr>
              <w:pStyle w:val="TableText"/>
              <w:ind w:left="68"/>
              <w:spacing w:before="36" w:line="216" w:lineRule="auto"/>
              <w:rPr/>
            </w:pPr>
            <w:r>
              <w:rPr>
                <w:spacing w:val="7"/>
              </w:rPr>
              <w:t>最高允许排放速率（</w:t>
            </w:r>
            <w:r>
              <w:rPr>
                <w:rFonts w:ascii="Times New Roman" w:hAnsi="Times New Roman" w:eastAsia="Times New Roman" w:cs="Times New Roman"/>
              </w:rPr>
              <w:t>kg</w:t>
            </w:r>
            <w:r>
              <w:rPr>
                <w:rFonts w:ascii="Times New Roman" w:hAnsi="Times New Roman" w:eastAsia="Times New Roman" w:cs="Times New Roman"/>
                <w:spacing w:val="7"/>
              </w:rPr>
              <w:t>/h</w:t>
            </w:r>
            <w:r>
              <w:rPr>
                <w:spacing w:val="7"/>
              </w:rPr>
              <w:t>）</w:t>
            </w:r>
          </w:p>
        </w:tc>
        <w:tc>
          <w:tcPr>
            <w:tcW w:w="2480" w:type="dxa"/>
            <w:vAlign w:val="top"/>
            <w:gridSpan w:val="2"/>
          </w:tcPr>
          <w:p>
            <w:pPr>
              <w:pStyle w:val="TableText"/>
              <w:ind w:left="91"/>
              <w:spacing w:before="36" w:line="216" w:lineRule="auto"/>
              <w:rPr/>
            </w:pPr>
            <w:r>
              <w:rPr>
                <w:spacing w:val="9"/>
              </w:rPr>
              <w:t>无组织排放监控浓度限值</w:t>
            </w:r>
          </w:p>
        </w:tc>
      </w:tr>
      <w:tr>
        <w:trPr>
          <w:trHeight w:val="277" w:hRule="atLeast"/>
        </w:trPr>
        <w:tc>
          <w:tcPr>
            <w:tcW w:w="1155" w:type="dxa"/>
            <w:vAlign w:val="top"/>
            <w:vMerge w:val="continue"/>
            <w:tcBorders>
              <w:top w:val="nil"/>
            </w:tcBorders>
          </w:tcPr>
          <w:p>
            <w:pPr>
              <w:rPr>
                <w:rFonts w:ascii="Arial"/>
                <w:sz w:val="21"/>
              </w:rPr>
            </w:pPr>
            <w:r/>
          </w:p>
        </w:tc>
        <w:tc>
          <w:tcPr>
            <w:tcW w:w="2288" w:type="dxa"/>
            <w:vAlign w:val="top"/>
            <w:vMerge w:val="continue"/>
            <w:tcBorders>
              <w:top w:val="nil"/>
            </w:tcBorders>
          </w:tcPr>
          <w:p>
            <w:pPr>
              <w:rPr>
                <w:rFonts w:ascii="Arial"/>
                <w:sz w:val="21"/>
              </w:rPr>
            </w:pPr>
            <w:r/>
          </w:p>
        </w:tc>
        <w:tc>
          <w:tcPr>
            <w:tcW w:w="1344" w:type="dxa"/>
            <w:vAlign w:val="top"/>
          </w:tcPr>
          <w:p>
            <w:pPr>
              <w:pStyle w:val="TableText"/>
              <w:ind w:left="71"/>
              <w:spacing w:before="34" w:line="215" w:lineRule="auto"/>
              <w:rPr/>
            </w:pPr>
            <w:r>
              <w:rPr>
                <w:spacing w:val="6"/>
              </w:rPr>
              <w:t>排气筒（</w:t>
            </w:r>
            <w:r>
              <w:rPr>
                <w:rFonts w:ascii="Times New Roman" w:hAnsi="Times New Roman" w:eastAsia="Times New Roman" w:cs="Times New Roman"/>
                <w:spacing w:val="6"/>
              </w:rPr>
              <w:t>m</w:t>
            </w:r>
            <w:r>
              <w:rPr>
                <w:spacing w:val="6"/>
              </w:rPr>
              <w:t>）</w:t>
            </w:r>
          </w:p>
        </w:tc>
        <w:tc>
          <w:tcPr>
            <w:tcW w:w="1249" w:type="dxa"/>
            <w:vAlign w:val="top"/>
          </w:tcPr>
          <w:p>
            <w:pPr>
              <w:pStyle w:val="TableText"/>
              <w:ind w:left="424"/>
              <w:spacing w:before="34" w:line="215" w:lineRule="auto"/>
              <w:rPr/>
            </w:pPr>
            <w:r>
              <w:rPr>
                <w:spacing w:val="3"/>
              </w:rPr>
              <w:t>二级</w:t>
            </w:r>
          </w:p>
        </w:tc>
        <w:tc>
          <w:tcPr>
            <w:tcW w:w="1063" w:type="dxa"/>
            <w:vAlign w:val="top"/>
          </w:tcPr>
          <w:p>
            <w:pPr>
              <w:pStyle w:val="TableText"/>
              <w:ind w:left="224"/>
              <w:spacing w:before="34" w:line="215" w:lineRule="auto"/>
              <w:rPr/>
            </w:pPr>
            <w:r>
              <w:rPr>
                <w:spacing w:val="6"/>
              </w:rPr>
              <w:t>监控点</w:t>
            </w:r>
          </w:p>
        </w:tc>
        <w:tc>
          <w:tcPr>
            <w:tcW w:w="1417" w:type="dxa"/>
            <w:vAlign w:val="top"/>
          </w:tcPr>
          <w:p>
            <w:pPr>
              <w:pStyle w:val="TableText"/>
              <w:ind w:left="15"/>
              <w:spacing w:before="34" w:line="215" w:lineRule="auto"/>
              <w:rPr/>
            </w:pPr>
            <w:r>
              <w:rPr>
                <w:spacing w:val="7"/>
              </w:rPr>
              <w:t>浓度（</w:t>
            </w:r>
            <w:r>
              <w:rPr>
                <w:rFonts w:ascii="Times New Roman" w:hAnsi="Times New Roman" w:eastAsia="Times New Roman" w:cs="Times New Roman"/>
              </w:rPr>
              <w:t>mg</w:t>
            </w:r>
            <w:r>
              <w:rPr>
                <w:rFonts w:ascii="Times New Roman" w:hAnsi="Times New Roman" w:eastAsia="Times New Roman" w:cs="Times New Roman"/>
                <w:spacing w:val="7"/>
              </w:rPr>
              <w:t>/m</w:t>
            </w:r>
            <w:r>
              <w:rPr>
                <w:rFonts w:ascii="Times New Roman" w:hAnsi="Times New Roman" w:eastAsia="Times New Roman" w:cs="Times New Roman"/>
                <w:sz w:val="13"/>
                <w:szCs w:val="13"/>
                <w:spacing w:val="7"/>
                <w:position w:val="6"/>
              </w:rPr>
              <w:t>3</w:t>
            </w:r>
            <w:r>
              <w:rPr>
                <w:spacing w:val="7"/>
              </w:rPr>
              <w:t>）</w:t>
            </w:r>
          </w:p>
        </w:tc>
      </w:tr>
      <w:tr>
        <w:trPr>
          <w:trHeight w:val="552" w:hRule="atLeast"/>
        </w:trPr>
        <w:tc>
          <w:tcPr>
            <w:tcW w:w="1155" w:type="dxa"/>
            <w:vAlign w:val="top"/>
          </w:tcPr>
          <w:p>
            <w:pPr>
              <w:pStyle w:val="TableText"/>
              <w:ind w:left="266"/>
              <w:spacing w:before="168" w:line="228" w:lineRule="auto"/>
              <w:rPr/>
            </w:pPr>
            <w:r>
              <w:rPr>
                <w:spacing w:val="7"/>
              </w:rPr>
              <w:t>颗粒物</w:t>
            </w:r>
          </w:p>
        </w:tc>
        <w:tc>
          <w:tcPr>
            <w:tcW w:w="2288" w:type="dxa"/>
            <w:vAlign w:val="top"/>
          </w:tcPr>
          <w:p>
            <w:pPr>
              <w:pStyle w:val="TableText"/>
              <w:ind w:left="587"/>
              <w:spacing w:before="168" w:line="228" w:lineRule="auto"/>
              <w:rPr/>
            </w:pPr>
            <w:r>
              <w:rPr>
                <w:rFonts w:ascii="Times New Roman" w:hAnsi="Times New Roman" w:eastAsia="Times New Roman" w:cs="Times New Roman"/>
                <w:spacing w:val="2"/>
              </w:rPr>
              <w:t>120</w:t>
            </w:r>
            <w:r>
              <w:rPr>
                <w:spacing w:val="2"/>
              </w:rPr>
              <w:t>（其他）</w:t>
            </w:r>
          </w:p>
        </w:tc>
        <w:tc>
          <w:tcPr>
            <w:tcW w:w="1344" w:type="dxa"/>
            <w:vAlign w:val="top"/>
          </w:tcPr>
          <w:p>
            <w:pPr>
              <w:ind w:left="589"/>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1249" w:type="dxa"/>
            <w:vAlign w:val="top"/>
          </w:tcPr>
          <w:p>
            <w:pPr>
              <w:ind w:left="498"/>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3.5</w:t>
            </w:r>
          </w:p>
        </w:tc>
        <w:tc>
          <w:tcPr>
            <w:tcW w:w="1063" w:type="dxa"/>
            <w:vAlign w:val="top"/>
          </w:tcPr>
          <w:p>
            <w:pPr>
              <w:pStyle w:val="TableText"/>
              <w:ind w:right="2"/>
              <w:spacing w:before="33" w:line="228" w:lineRule="auto"/>
              <w:jc w:val="right"/>
              <w:rPr/>
            </w:pPr>
            <w:r>
              <w:rPr>
                <w:spacing w:val="7"/>
              </w:rPr>
              <w:t>周界外浓度</w:t>
            </w:r>
          </w:p>
          <w:p>
            <w:pPr>
              <w:pStyle w:val="TableText"/>
              <w:ind w:left="226"/>
              <w:spacing w:before="24" w:line="219" w:lineRule="auto"/>
              <w:rPr/>
            </w:pPr>
            <w:r>
              <w:rPr>
                <w:spacing w:val="6"/>
              </w:rPr>
              <w:t>最高点</w:t>
            </w:r>
          </w:p>
        </w:tc>
        <w:tc>
          <w:tcPr>
            <w:tcW w:w="1417" w:type="dxa"/>
            <w:vAlign w:val="top"/>
          </w:tcPr>
          <w:p>
            <w:pPr>
              <w:ind w:left="600"/>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w:t>
            </w:r>
          </w:p>
        </w:tc>
      </w:tr>
    </w:tbl>
    <w:p>
      <w:pPr>
        <w:ind w:left="573"/>
        <w:spacing w:before="35"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55"/>
        </w:rPr>
        <w:t xml:space="preserve"> </w:t>
      </w:r>
      <w:r>
        <w:rPr>
          <w:rFonts w:ascii="Times New Roman" w:hAnsi="Times New Roman" w:eastAsia="Times New Roman" w:cs="Times New Roman"/>
          <w:sz w:val="24"/>
          <w:szCs w:val="24"/>
          <w:b/>
          <w:bCs/>
          <w:spacing w:val="-2"/>
        </w:rPr>
        <w:t>2.6-8      </w:t>
      </w:r>
      <w:r>
        <w:rPr>
          <w:rFonts w:ascii="SimSun" w:hAnsi="SimSun" w:eastAsia="SimSun" w:cs="SimSun"/>
          <w:sz w:val="24"/>
          <w:szCs w:val="24"/>
          <w:b/>
          <w:bCs/>
          <w:spacing w:val="-2"/>
        </w:rPr>
        <w:t>恶臭污染物排放标准限值（表</w:t>
      </w:r>
      <w:r>
        <w:rPr>
          <w:rFonts w:ascii="SimSun" w:hAnsi="SimSun" w:eastAsia="SimSun" w:cs="SimSun"/>
          <w:sz w:val="24"/>
          <w:szCs w:val="24"/>
          <w:spacing w:val="-44"/>
        </w:rPr>
        <w:t xml:space="preserve"> </w:t>
      </w:r>
      <w:r>
        <w:rPr>
          <w:rFonts w:ascii="Times New Roman" w:hAnsi="Times New Roman" w:eastAsia="Times New Roman" w:cs="Times New Roman"/>
          <w:sz w:val="24"/>
          <w:szCs w:val="24"/>
          <w:b/>
          <w:bCs/>
          <w:spacing w:val="-2"/>
        </w:rPr>
        <w:t>1 </w:t>
      </w:r>
      <w:r>
        <w:rPr>
          <w:rFonts w:ascii="SimSun" w:hAnsi="SimSun" w:eastAsia="SimSun" w:cs="SimSun"/>
          <w:sz w:val="24"/>
          <w:szCs w:val="24"/>
          <w:b/>
          <w:bCs/>
          <w:spacing w:val="-2"/>
        </w:rPr>
        <w:t>新改扩建二级标准、表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2"/>
        </w:rPr>
        <w:t>2 </w:t>
      </w:r>
      <w:r>
        <w:rPr>
          <w:rFonts w:ascii="SimSun" w:hAnsi="SimSun" w:eastAsia="SimSun" w:cs="SimSun"/>
          <w:sz w:val="24"/>
          <w:szCs w:val="24"/>
          <w:b/>
          <w:bCs/>
          <w:spacing w:val="-2"/>
        </w:rPr>
        <w:t>排放标</w:t>
      </w:r>
    </w:p>
    <w:p>
      <w:pPr>
        <w:ind w:left="4047"/>
        <w:spacing w:before="27" w:line="212" w:lineRule="auto"/>
        <w:rPr>
          <w:rFonts w:ascii="SimSun" w:hAnsi="SimSun" w:eastAsia="SimSun" w:cs="SimSun"/>
          <w:sz w:val="24"/>
          <w:szCs w:val="24"/>
        </w:rPr>
      </w:pPr>
      <w:r>
        <w:rPr>
          <w:rFonts w:ascii="SimSun" w:hAnsi="SimSun" w:eastAsia="SimSun" w:cs="SimSun"/>
          <w:sz w:val="24"/>
          <w:szCs w:val="24"/>
          <w:b/>
          <w:bCs/>
          <w:spacing w:val="-9"/>
        </w:rPr>
        <w:t>准）</w:t>
      </w:r>
    </w:p>
    <w:tbl>
      <w:tblPr>
        <w:tblStyle w:val="TableNormal"/>
        <w:tblW w:w="8511" w:type="dxa"/>
        <w:tblInd w:w="2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691"/>
        <w:gridCol w:w="1781"/>
        <w:gridCol w:w="2691"/>
        <w:gridCol w:w="2348"/>
      </w:tblGrid>
      <w:tr>
        <w:trPr>
          <w:trHeight w:val="280" w:hRule="atLeast"/>
        </w:trPr>
        <w:tc>
          <w:tcPr>
            <w:tcW w:w="1691" w:type="dxa"/>
            <w:vAlign w:val="top"/>
          </w:tcPr>
          <w:p>
            <w:pPr>
              <w:pStyle w:val="TableText"/>
              <w:ind w:left="536"/>
              <w:spacing w:before="36" w:line="216" w:lineRule="auto"/>
              <w:rPr/>
            </w:pPr>
            <w:r>
              <w:rPr>
                <w:spacing w:val="6"/>
              </w:rPr>
              <w:t>污染物</w:t>
            </w:r>
          </w:p>
        </w:tc>
        <w:tc>
          <w:tcPr>
            <w:tcW w:w="1781" w:type="dxa"/>
            <w:vAlign w:val="top"/>
          </w:tcPr>
          <w:p>
            <w:pPr>
              <w:pStyle w:val="TableText"/>
              <w:ind w:left="77"/>
              <w:spacing w:before="36" w:line="216" w:lineRule="auto"/>
              <w:rPr/>
            </w:pPr>
            <w:r>
              <w:rPr>
                <w:spacing w:val="7"/>
              </w:rPr>
              <w:t>排气筒高度（</w:t>
            </w:r>
            <w:r>
              <w:rPr>
                <w:rFonts w:ascii="Times New Roman" w:hAnsi="Times New Roman" w:eastAsia="Times New Roman" w:cs="Times New Roman"/>
                <w:spacing w:val="7"/>
              </w:rPr>
              <w:t>m</w:t>
            </w:r>
            <w:r>
              <w:rPr>
                <w:spacing w:val="7"/>
              </w:rPr>
              <w:t>）</w:t>
            </w:r>
          </w:p>
        </w:tc>
        <w:tc>
          <w:tcPr>
            <w:tcW w:w="2691" w:type="dxa"/>
            <w:vAlign w:val="top"/>
          </w:tcPr>
          <w:p>
            <w:pPr>
              <w:pStyle w:val="TableText"/>
              <w:ind w:left="324"/>
              <w:spacing w:before="36" w:line="216" w:lineRule="auto"/>
              <w:rPr/>
            </w:pPr>
            <w:r>
              <w:rPr>
                <w:spacing w:val="7"/>
              </w:rPr>
              <w:t>排放速率限值（</w:t>
            </w:r>
            <w:r>
              <w:rPr>
                <w:rFonts w:ascii="Times New Roman" w:hAnsi="Times New Roman" w:eastAsia="Times New Roman" w:cs="Times New Roman"/>
              </w:rPr>
              <w:t>kg</w:t>
            </w:r>
            <w:r>
              <w:rPr>
                <w:rFonts w:ascii="Times New Roman" w:hAnsi="Times New Roman" w:eastAsia="Times New Roman" w:cs="Times New Roman"/>
                <w:spacing w:val="7"/>
              </w:rPr>
              <w:t>/h</w:t>
            </w:r>
            <w:r>
              <w:rPr>
                <w:spacing w:val="7"/>
              </w:rPr>
              <w:t>）</w:t>
            </w:r>
          </w:p>
        </w:tc>
        <w:tc>
          <w:tcPr>
            <w:tcW w:w="2348" w:type="dxa"/>
            <w:vAlign w:val="top"/>
          </w:tcPr>
          <w:p>
            <w:pPr>
              <w:pStyle w:val="TableText"/>
              <w:ind w:left="307"/>
              <w:spacing w:before="36" w:line="216" w:lineRule="auto"/>
              <w:rPr>
                <w:rFonts w:ascii="Times New Roman" w:hAnsi="Times New Roman" w:eastAsia="Times New Roman" w:cs="Times New Roman"/>
              </w:rPr>
            </w:pPr>
            <w:r>
              <w:rPr>
                <w:spacing w:val="7"/>
              </w:rPr>
              <w:t>厂界标准值</w:t>
            </w:r>
            <w:r>
              <w:rPr>
                <w:rFonts w:ascii="Times New Roman" w:hAnsi="Times New Roman" w:eastAsia="Times New Roman" w:cs="Times New Roman"/>
                <w:spacing w:val="7"/>
              </w:rPr>
              <w:t>(</w:t>
            </w:r>
            <w:r>
              <w:rPr>
                <w:rFonts w:ascii="Times New Roman" w:hAnsi="Times New Roman" w:eastAsia="Times New Roman" w:cs="Times New Roman"/>
              </w:rPr>
              <w:t>mg</w:t>
            </w:r>
            <w:r>
              <w:rPr>
                <w:rFonts w:ascii="Times New Roman" w:hAnsi="Times New Roman" w:eastAsia="Times New Roman" w:cs="Times New Roman"/>
                <w:spacing w:val="7"/>
              </w:rPr>
              <w:t>/m</w:t>
            </w:r>
            <w:r>
              <w:rPr>
                <w:rFonts w:ascii="Times New Roman" w:hAnsi="Times New Roman" w:eastAsia="Times New Roman" w:cs="Times New Roman"/>
                <w:sz w:val="13"/>
                <w:szCs w:val="13"/>
                <w:spacing w:val="7"/>
                <w:position w:val="6"/>
              </w:rPr>
              <w:t>3</w:t>
            </w:r>
            <w:r>
              <w:rPr>
                <w:rFonts w:ascii="Times New Roman" w:hAnsi="Times New Roman" w:eastAsia="Times New Roman" w:cs="Times New Roman"/>
                <w:spacing w:val="7"/>
              </w:rPr>
              <w:t>)</w:t>
            </w:r>
          </w:p>
        </w:tc>
      </w:tr>
      <w:tr>
        <w:trPr>
          <w:trHeight w:val="246" w:hRule="atLeast"/>
        </w:trPr>
        <w:tc>
          <w:tcPr>
            <w:tcW w:w="1691" w:type="dxa"/>
            <w:vAlign w:val="top"/>
          </w:tcPr>
          <w:p>
            <w:pPr>
              <w:ind w:left="679"/>
              <w:spacing w:before="53"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1781" w:type="dxa"/>
            <w:vAlign w:val="top"/>
            <w:vMerge w:val="restart"/>
            <w:tcBorders>
              <w:bottom w:val="nil"/>
            </w:tcBorders>
          </w:tcPr>
          <w:p>
            <w:pPr>
              <w:spacing w:line="270" w:lineRule="auto"/>
              <w:rPr>
                <w:rFonts w:ascii="Arial"/>
                <w:sz w:val="21"/>
              </w:rPr>
            </w:pPr>
            <w:r/>
          </w:p>
          <w:p>
            <w:pPr>
              <w:ind w:left="806"/>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2691" w:type="dxa"/>
            <w:vAlign w:val="top"/>
          </w:tcPr>
          <w:p>
            <w:pPr>
              <w:ind w:left="1166"/>
              <w:spacing w:before="53"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0.33</w:t>
            </w:r>
          </w:p>
        </w:tc>
        <w:tc>
          <w:tcPr>
            <w:tcW w:w="2348" w:type="dxa"/>
            <w:vAlign w:val="top"/>
          </w:tcPr>
          <w:p>
            <w:pPr>
              <w:ind w:left="993"/>
              <w:spacing w:before="53"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r>
      <w:tr>
        <w:trPr>
          <w:trHeight w:val="255" w:hRule="atLeast"/>
        </w:trPr>
        <w:tc>
          <w:tcPr>
            <w:tcW w:w="1691" w:type="dxa"/>
            <w:vAlign w:val="top"/>
          </w:tcPr>
          <w:p>
            <w:pPr>
              <w:ind w:left="654"/>
              <w:spacing w:before="67" w:line="185"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NH</w:t>
            </w:r>
            <w:r>
              <w:rPr>
                <w:rFonts w:ascii="Times New Roman" w:hAnsi="Times New Roman" w:eastAsia="Times New Roman" w:cs="Times New Roman"/>
                <w:sz w:val="13"/>
                <w:szCs w:val="13"/>
                <w:spacing w:val="7"/>
                <w:position w:val="-1"/>
              </w:rPr>
              <w:t>3</w:t>
            </w:r>
          </w:p>
        </w:tc>
        <w:tc>
          <w:tcPr>
            <w:tcW w:w="1781" w:type="dxa"/>
            <w:vAlign w:val="top"/>
            <w:vMerge w:val="continue"/>
            <w:tcBorders>
              <w:top w:val="nil"/>
              <w:bottom w:val="nil"/>
            </w:tcBorders>
          </w:tcPr>
          <w:p>
            <w:pPr>
              <w:rPr>
                <w:rFonts w:ascii="Arial"/>
                <w:sz w:val="21"/>
              </w:rPr>
            </w:pPr>
            <w:r/>
          </w:p>
        </w:tc>
        <w:tc>
          <w:tcPr>
            <w:tcW w:w="2691" w:type="dxa"/>
            <w:vAlign w:val="top"/>
          </w:tcPr>
          <w:p>
            <w:pPr>
              <w:ind w:left="1215"/>
              <w:spacing w:before="64"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4.9</w:t>
            </w:r>
          </w:p>
        </w:tc>
        <w:tc>
          <w:tcPr>
            <w:tcW w:w="2348" w:type="dxa"/>
            <w:vAlign w:val="top"/>
          </w:tcPr>
          <w:p>
            <w:pPr>
              <w:ind w:left="1065"/>
              <w:spacing w:before="64"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w:t>
            </w:r>
          </w:p>
        </w:tc>
      </w:tr>
      <w:tr>
        <w:trPr>
          <w:trHeight w:val="291" w:hRule="atLeast"/>
        </w:trPr>
        <w:tc>
          <w:tcPr>
            <w:tcW w:w="1691" w:type="dxa"/>
            <w:vAlign w:val="top"/>
          </w:tcPr>
          <w:p>
            <w:pPr>
              <w:pStyle w:val="TableText"/>
              <w:ind w:left="431"/>
              <w:spacing w:before="43" w:line="219" w:lineRule="auto"/>
              <w:rPr/>
            </w:pPr>
            <w:r>
              <w:rPr>
                <w:spacing w:val="7"/>
              </w:rPr>
              <w:t>臭气浓度</w:t>
            </w:r>
          </w:p>
        </w:tc>
        <w:tc>
          <w:tcPr>
            <w:tcW w:w="1781" w:type="dxa"/>
            <w:vAlign w:val="top"/>
            <w:vMerge w:val="continue"/>
            <w:tcBorders>
              <w:top w:val="nil"/>
            </w:tcBorders>
          </w:tcPr>
          <w:p>
            <w:pPr>
              <w:rPr>
                <w:rFonts w:ascii="Arial"/>
                <w:sz w:val="21"/>
              </w:rPr>
            </w:pPr>
            <w:r/>
          </w:p>
        </w:tc>
        <w:tc>
          <w:tcPr>
            <w:tcW w:w="2691" w:type="dxa"/>
            <w:vAlign w:val="top"/>
          </w:tcPr>
          <w:p>
            <w:pPr>
              <w:pStyle w:val="TableText"/>
              <w:ind w:left="611"/>
              <w:spacing w:before="43" w:line="219" w:lineRule="auto"/>
              <w:rPr/>
            </w:pPr>
            <w:r>
              <w:rPr>
                <w:rFonts w:ascii="Times New Roman" w:hAnsi="Times New Roman" w:eastAsia="Times New Roman" w:cs="Times New Roman"/>
                <w:spacing w:val="5"/>
              </w:rPr>
              <w:t>2000</w:t>
            </w:r>
            <w:r>
              <w:rPr>
                <w:spacing w:val="5"/>
              </w:rPr>
              <w:t>（无量纲）</w:t>
            </w:r>
          </w:p>
        </w:tc>
        <w:tc>
          <w:tcPr>
            <w:tcW w:w="2348" w:type="dxa"/>
            <w:vAlign w:val="top"/>
          </w:tcPr>
          <w:p>
            <w:pPr>
              <w:pStyle w:val="TableText"/>
              <w:ind w:left="545"/>
              <w:spacing w:before="43" w:line="219" w:lineRule="auto"/>
              <w:rPr/>
            </w:pPr>
            <w:r>
              <w:rPr>
                <w:rFonts w:ascii="Times New Roman" w:hAnsi="Times New Roman" w:eastAsia="Times New Roman" w:cs="Times New Roman"/>
                <w:spacing w:val="6"/>
              </w:rPr>
              <w:t>20</w:t>
            </w:r>
            <w:r>
              <w:rPr>
                <w:spacing w:val="6"/>
              </w:rPr>
              <w:t>（无量纲）</w:t>
            </w:r>
          </w:p>
        </w:tc>
      </w:tr>
    </w:tbl>
    <w:p>
      <w:pPr>
        <w:ind w:left="2138"/>
        <w:spacing w:before="35"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2.6-9      </w:t>
      </w:r>
      <w:r>
        <w:rPr>
          <w:rFonts w:ascii="SimSun" w:hAnsi="SimSun" w:eastAsia="SimSun" w:cs="SimSun"/>
          <w:sz w:val="24"/>
          <w:szCs w:val="24"/>
          <w:b/>
          <w:bCs/>
          <w:spacing w:val="-2"/>
        </w:rPr>
        <w:t>锅炉大气污染物排放浓度限值</w:t>
      </w:r>
    </w:p>
    <w:tbl>
      <w:tblPr>
        <w:tblStyle w:val="TableNormal"/>
        <w:tblW w:w="8534" w:type="dxa"/>
        <w:tblInd w:w="9"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321"/>
        <w:gridCol w:w="2006"/>
        <w:gridCol w:w="2275"/>
        <w:gridCol w:w="1932"/>
      </w:tblGrid>
      <w:tr>
        <w:trPr>
          <w:trHeight w:val="553" w:hRule="atLeast"/>
        </w:trPr>
        <w:tc>
          <w:tcPr>
            <w:tcW w:w="2321" w:type="dxa"/>
            <w:vAlign w:val="top"/>
          </w:tcPr>
          <w:p>
            <w:pPr>
              <w:pStyle w:val="TableText"/>
              <w:ind w:left="642"/>
              <w:spacing w:before="170" w:line="228" w:lineRule="auto"/>
              <w:rPr/>
            </w:pPr>
            <w:r>
              <w:rPr>
                <w:spacing w:val="7"/>
              </w:rPr>
              <w:t>污染物项目</w:t>
            </w:r>
          </w:p>
        </w:tc>
        <w:tc>
          <w:tcPr>
            <w:tcW w:w="2006" w:type="dxa"/>
            <w:vAlign w:val="top"/>
          </w:tcPr>
          <w:p>
            <w:pPr>
              <w:pStyle w:val="TableText"/>
              <w:ind w:left="98"/>
              <w:spacing w:before="170" w:line="221" w:lineRule="auto"/>
              <w:rPr/>
            </w:pPr>
            <w:r>
              <w:rPr>
                <w:spacing w:val="7"/>
              </w:rPr>
              <w:t>燃气锅炉（</w:t>
            </w:r>
            <w:r>
              <w:rPr>
                <w:rFonts w:ascii="Times New Roman" w:hAnsi="Times New Roman" w:eastAsia="Times New Roman" w:cs="Times New Roman"/>
              </w:rPr>
              <w:t>mg</w:t>
            </w:r>
            <w:r>
              <w:rPr>
                <w:rFonts w:ascii="Times New Roman" w:hAnsi="Times New Roman" w:eastAsia="Times New Roman" w:cs="Times New Roman"/>
                <w:spacing w:val="7"/>
              </w:rPr>
              <w:t>/m</w:t>
            </w:r>
            <w:r>
              <w:rPr>
                <w:rFonts w:ascii="Times New Roman" w:hAnsi="Times New Roman" w:eastAsia="Times New Roman" w:cs="Times New Roman"/>
                <w:sz w:val="13"/>
                <w:szCs w:val="13"/>
                <w:spacing w:val="7"/>
                <w:position w:val="6"/>
              </w:rPr>
              <w:t>3</w:t>
            </w:r>
            <w:r>
              <w:rPr>
                <w:spacing w:val="7"/>
              </w:rPr>
              <w:t>）</w:t>
            </w:r>
          </w:p>
        </w:tc>
        <w:tc>
          <w:tcPr>
            <w:tcW w:w="2275" w:type="dxa"/>
            <w:vAlign w:val="top"/>
          </w:tcPr>
          <w:p>
            <w:pPr>
              <w:pStyle w:val="TableText"/>
              <w:spacing w:before="36" w:line="228" w:lineRule="auto"/>
              <w:jc w:val="right"/>
              <w:rPr/>
            </w:pPr>
            <w:r>
              <w:rPr>
                <w:spacing w:val="5"/>
              </w:rPr>
              <w:t>生物质锅炉（参照燃煤锅</w:t>
            </w:r>
          </w:p>
          <w:p>
            <w:pPr>
              <w:pStyle w:val="TableText"/>
              <w:ind w:left="446"/>
              <w:spacing w:before="23" w:line="218" w:lineRule="auto"/>
              <w:rPr/>
            </w:pPr>
            <w:r>
              <w:rPr>
                <w:spacing w:val="4"/>
              </w:rPr>
              <w:t>炉</w:t>
            </w:r>
            <w:r>
              <w:rPr>
                <w:spacing w:val="12"/>
              </w:rPr>
              <w:t>）（</w:t>
            </w:r>
            <w:r>
              <w:rPr>
                <w:rFonts w:ascii="Times New Roman" w:hAnsi="Times New Roman" w:eastAsia="Times New Roman" w:cs="Times New Roman"/>
              </w:rPr>
              <w:t>mg</w:t>
            </w:r>
            <w:r>
              <w:rPr>
                <w:rFonts w:ascii="Times New Roman" w:hAnsi="Times New Roman" w:eastAsia="Times New Roman" w:cs="Times New Roman"/>
                <w:spacing w:val="4"/>
              </w:rPr>
              <w:t>/m</w:t>
            </w:r>
            <w:r>
              <w:rPr>
                <w:rFonts w:ascii="Times New Roman" w:hAnsi="Times New Roman" w:eastAsia="Times New Roman" w:cs="Times New Roman"/>
                <w:sz w:val="13"/>
                <w:szCs w:val="13"/>
                <w:spacing w:val="4"/>
                <w:position w:val="6"/>
              </w:rPr>
              <w:t>3</w:t>
            </w:r>
            <w:r>
              <w:rPr>
                <w:spacing w:val="4"/>
              </w:rPr>
              <w:t>）</w:t>
            </w:r>
          </w:p>
        </w:tc>
        <w:tc>
          <w:tcPr>
            <w:tcW w:w="1932" w:type="dxa"/>
            <w:vAlign w:val="top"/>
          </w:tcPr>
          <w:p>
            <w:pPr>
              <w:pStyle w:val="TableText"/>
              <w:ind w:left="28"/>
              <w:spacing w:before="170" w:line="228" w:lineRule="auto"/>
              <w:rPr/>
            </w:pPr>
            <w:r>
              <w:rPr>
                <w:spacing w:val="8"/>
              </w:rPr>
              <w:t>污染物排放监控位置</w:t>
            </w:r>
          </w:p>
        </w:tc>
      </w:tr>
      <w:tr>
        <w:trPr>
          <w:trHeight w:val="276" w:hRule="atLeast"/>
        </w:trPr>
        <w:tc>
          <w:tcPr>
            <w:tcW w:w="2321" w:type="dxa"/>
            <w:vAlign w:val="top"/>
          </w:tcPr>
          <w:p>
            <w:pPr>
              <w:pStyle w:val="TableText"/>
              <w:ind w:left="851"/>
              <w:spacing w:before="31" w:line="216" w:lineRule="auto"/>
              <w:rPr/>
            </w:pPr>
            <w:r>
              <w:rPr>
                <w:spacing w:val="7"/>
              </w:rPr>
              <w:t>颗粒物</w:t>
            </w:r>
          </w:p>
        </w:tc>
        <w:tc>
          <w:tcPr>
            <w:tcW w:w="2006" w:type="dxa"/>
            <w:vAlign w:val="top"/>
          </w:tcPr>
          <w:p>
            <w:pPr>
              <w:ind w:left="898"/>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2275" w:type="dxa"/>
            <w:vAlign w:val="top"/>
          </w:tcPr>
          <w:p>
            <w:pPr>
              <w:ind w:left="1041"/>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1932" w:type="dxa"/>
            <w:vAlign w:val="top"/>
            <w:vMerge w:val="restart"/>
            <w:tcBorders>
              <w:bottom w:val="nil"/>
            </w:tcBorders>
          </w:tcPr>
          <w:p>
            <w:pPr>
              <w:spacing w:line="246" w:lineRule="auto"/>
              <w:rPr>
                <w:rFonts w:ascii="Arial"/>
                <w:sz w:val="21"/>
              </w:rPr>
            </w:pPr>
            <w:r/>
          </w:p>
          <w:p>
            <w:pPr>
              <w:pStyle w:val="TableText"/>
              <w:ind w:left="447"/>
              <w:spacing w:before="65" w:line="229" w:lineRule="auto"/>
              <w:rPr/>
            </w:pPr>
            <w:r>
              <w:rPr>
                <w:spacing w:val="7"/>
              </w:rPr>
              <w:t>烟囱或烟道</w:t>
            </w:r>
          </w:p>
        </w:tc>
      </w:tr>
      <w:tr>
        <w:trPr>
          <w:trHeight w:val="276" w:hRule="atLeast"/>
        </w:trPr>
        <w:tc>
          <w:tcPr>
            <w:tcW w:w="2321" w:type="dxa"/>
            <w:vAlign w:val="top"/>
          </w:tcPr>
          <w:p>
            <w:pPr>
              <w:pStyle w:val="TableText"/>
              <w:ind w:left="749"/>
              <w:spacing w:before="31" w:line="216" w:lineRule="auto"/>
              <w:rPr/>
            </w:pPr>
            <w:r>
              <w:rPr>
                <w:spacing w:val="6"/>
              </w:rPr>
              <w:t>二氧化硫</w:t>
            </w:r>
          </w:p>
        </w:tc>
        <w:tc>
          <w:tcPr>
            <w:tcW w:w="2006" w:type="dxa"/>
            <w:vAlign w:val="top"/>
          </w:tcPr>
          <w:p>
            <w:pPr>
              <w:ind w:left="90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2275" w:type="dxa"/>
            <w:vAlign w:val="top"/>
          </w:tcPr>
          <w:p>
            <w:pPr>
              <w:ind w:left="986"/>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300</w:t>
            </w:r>
          </w:p>
        </w:tc>
        <w:tc>
          <w:tcPr>
            <w:tcW w:w="1932" w:type="dxa"/>
            <w:vAlign w:val="top"/>
            <w:vMerge w:val="continue"/>
            <w:tcBorders>
              <w:top w:val="nil"/>
              <w:bottom w:val="nil"/>
            </w:tcBorders>
          </w:tcPr>
          <w:p>
            <w:pPr>
              <w:rPr>
                <w:rFonts w:ascii="Arial"/>
                <w:sz w:val="21"/>
              </w:rPr>
            </w:pPr>
            <w:r/>
          </w:p>
        </w:tc>
      </w:tr>
      <w:tr>
        <w:trPr>
          <w:trHeight w:val="277" w:hRule="atLeast"/>
        </w:trPr>
        <w:tc>
          <w:tcPr>
            <w:tcW w:w="2321" w:type="dxa"/>
            <w:vAlign w:val="top"/>
          </w:tcPr>
          <w:p>
            <w:pPr>
              <w:pStyle w:val="TableText"/>
              <w:ind w:left="744"/>
              <w:spacing w:before="34" w:line="215" w:lineRule="auto"/>
              <w:rPr/>
            </w:pPr>
            <w:r>
              <w:rPr>
                <w:spacing w:val="7"/>
              </w:rPr>
              <w:t>氮氧化物</w:t>
            </w:r>
          </w:p>
        </w:tc>
        <w:tc>
          <w:tcPr>
            <w:tcW w:w="2006" w:type="dxa"/>
            <w:vAlign w:val="top"/>
          </w:tcPr>
          <w:p>
            <w:pPr>
              <w:ind w:left="84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w:t>
            </w:r>
          </w:p>
        </w:tc>
        <w:tc>
          <w:tcPr>
            <w:tcW w:w="2275" w:type="dxa"/>
            <w:vAlign w:val="top"/>
          </w:tcPr>
          <w:p>
            <w:pPr>
              <w:ind w:left="98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300</w:t>
            </w:r>
          </w:p>
        </w:tc>
        <w:tc>
          <w:tcPr>
            <w:tcW w:w="1932" w:type="dxa"/>
            <w:vAlign w:val="top"/>
            <w:vMerge w:val="continue"/>
            <w:tcBorders>
              <w:top w:val="nil"/>
            </w:tcBorders>
          </w:tcPr>
          <w:p>
            <w:pPr>
              <w:rPr>
                <w:rFonts w:ascii="Arial"/>
                <w:sz w:val="21"/>
              </w:rPr>
            </w:pPr>
            <w:r/>
          </w:p>
        </w:tc>
      </w:tr>
      <w:tr>
        <w:trPr>
          <w:trHeight w:val="553" w:hRule="atLeast"/>
        </w:trPr>
        <w:tc>
          <w:tcPr>
            <w:tcW w:w="2321" w:type="dxa"/>
            <w:vAlign w:val="top"/>
          </w:tcPr>
          <w:p>
            <w:pPr>
              <w:pStyle w:val="TableText"/>
              <w:ind w:left="12"/>
              <w:spacing w:before="35" w:line="228" w:lineRule="auto"/>
              <w:rPr/>
            </w:pPr>
            <w:r>
              <w:rPr>
                <w:spacing w:val="8"/>
              </w:rPr>
              <w:t>烟气黑度（林格曼黑度，</w:t>
            </w:r>
          </w:p>
          <w:p>
            <w:pPr>
              <w:pStyle w:val="TableText"/>
              <w:ind w:left="960"/>
              <w:spacing w:before="24" w:line="218" w:lineRule="auto"/>
              <w:rPr/>
            </w:pPr>
            <w:r>
              <w:rPr>
                <w:spacing w:val="-2"/>
              </w:rPr>
              <w:t>级）</w:t>
            </w:r>
          </w:p>
        </w:tc>
        <w:tc>
          <w:tcPr>
            <w:tcW w:w="2006" w:type="dxa"/>
            <w:vAlign w:val="top"/>
          </w:tcPr>
          <w:p>
            <w:pPr>
              <w:ind w:left="891"/>
              <w:spacing w:before="2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w:t>
            </w:r>
          </w:p>
        </w:tc>
        <w:tc>
          <w:tcPr>
            <w:tcW w:w="2275" w:type="dxa"/>
            <w:vAlign w:val="top"/>
          </w:tcPr>
          <w:p>
            <w:pPr>
              <w:ind w:left="1028"/>
              <w:spacing w:before="2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w:t>
            </w:r>
          </w:p>
        </w:tc>
        <w:tc>
          <w:tcPr>
            <w:tcW w:w="1932" w:type="dxa"/>
            <w:vAlign w:val="top"/>
          </w:tcPr>
          <w:p>
            <w:pPr>
              <w:pStyle w:val="TableText"/>
              <w:ind w:left="447"/>
              <w:spacing w:before="170" w:line="229" w:lineRule="auto"/>
              <w:rPr/>
            </w:pPr>
            <w:r>
              <w:rPr>
                <w:spacing w:val="7"/>
              </w:rPr>
              <w:t>烟囱排放口</w:t>
            </w:r>
          </w:p>
        </w:tc>
      </w:tr>
    </w:tbl>
    <w:p>
      <w:pPr>
        <w:ind w:left="2680"/>
        <w:spacing w:before="35"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4"/>
        </w:rPr>
        <w:t xml:space="preserve"> </w:t>
      </w:r>
      <w:r>
        <w:rPr>
          <w:rFonts w:ascii="Times New Roman" w:hAnsi="Times New Roman" w:eastAsia="Times New Roman" w:cs="Times New Roman"/>
          <w:sz w:val="24"/>
          <w:szCs w:val="24"/>
          <w:b/>
          <w:bCs/>
          <w:spacing w:val="-2"/>
        </w:rPr>
        <w:t>2.6-10      </w:t>
      </w:r>
      <w:r>
        <w:rPr>
          <w:rFonts w:ascii="SimSun" w:hAnsi="SimSun" w:eastAsia="SimSun" w:cs="SimSun"/>
          <w:sz w:val="24"/>
          <w:szCs w:val="24"/>
          <w:b/>
          <w:bCs/>
          <w:spacing w:val="-2"/>
        </w:rPr>
        <w:t>餐厅油烟排放标准</w:t>
      </w:r>
    </w:p>
    <w:tbl>
      <w:tblPr>
        <w:tblStyle w:val="TableNormal"/>
        <w:tblW w:w="8528" w:type="dxa"/>
        <w:tblInd w:w="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060"/>
        <w:gridCol w:w="4468"/>
      </w:tblGrid>
      <w:tr>
        <w:trPr>
          <w:trHeight w:val="280" w:hRule="atLeast"/>
        </w:trPr>
        <w:tc>
          <w:tcPr>
            <w:tcW w:w="4060" w:type="dxa"/>
            <w:vAlign w:val="top"/>
          </w:tcPr>
          <w:p>
            <w:pPr>
              <w:pStyle w:val="TableText"/>
              <w:ind w:left="1826"/>
              <w:spacing w:before="36" w:line="216" w:lineRule="auto"/>
              <w:rPr/>
            </w:pPr>
            <w:r>
              <w:rPr>
                <w:spacing w:val="4"/>
              </w:rPr>
              <w:t>规模</w:t>
            </w:r>
          </w:p>
        </w:tc>
        <w:tc>
          <w:tcPr>
            <w:tcW w:w="4468" w:type="dxa"/>
            <w:vAlign w:val="top"/>
          </w:tcPr>
          <w:p>
            <w:pPr>
              <w:pStyle w:val="TableText"/>
              <w:ind w:left="2047"/>
              <w:spacing w:before="36" w:line="216" w:lineRule="auto"/>
              <w:rPr/>
            </w:pPr>
            <w:r>
              <w:rPr>
                <w:spacing w:val="-5"/>
              </w:rPr>
              <w:t>中型</w:t>
            </w:r>
          </w:p>
        </w:tc>
      </w:tr>
      <w:tr>
        <w:trPr>
          <w:trHeight w:val="275" w:hRule="atLeast"/>
        </w:trPr>
        <w:tc>
          <w:tcPr>
            <w:tcW w:w="4060" w:type="dxa"/>
            <w:vAlign w:val="top"/>
          </w:tcPr>
          <w:p>
            <w:pPr>
              <w:pStyle w:val="TableText"/>
              <w:ind w:left="709"/>
              <w:spacing w:before="31" w:line="216" w:lineRule="auto"/>
              <w:rPr/>
            </w:pPr>
            <w:r>
              <w:rPr>
                <w:spacing w:val="8"/>
              </w:rPr>
              <w:t>最高允许排放浓度（</w:t>
            </w:r>
            <w:r>
              <w:rPr>
                <w:rFonts w:ascii="Times New Roman" w:hAnsi="Times New Roman" w:eastAsia="Times New Roman" w:cs="Times New Roman"/>
              </w:rPr>
              <w:t>mg</w:t>
            </w:r>
            <w:r>
              <w:rPr>
                <w:rFonts w:ascii="Times New Roman" w:hAnsi="Times New Roman" w:eastAsia="Times New Roman" w:cs="Times New Roman"/>
                <w:spacing w:val="8"/>
              </w:rPr>
              <w:t>/m</w:t>
            </w:r>
            <w:r>
              <w:rPr>
                <w:rFonts w:ascii="Times New Roman" w:hAnsi="Times New Roman" w:eastAsia="Times New Roman" w:cs="Times New Roman"/>
                <w:sz w:val="13"/>
                <w:szCs w:val="13"/>
                <w:spacing w:val="8"/>
                <w:position w:val="6"/>
              </w:rPr>
              <w:t>3</w:t>
            </w:r>
            <w:r>
              <w:rPr>
                <w:spacing w:val="8"/>
              </w:rPr>
              <w:t>）</w:t>
            </w:r>
          </w:p>
        </w:tc>
        <w:tc>
          <w:tcPr>
            <w:tcW w:w="4468" w:type="dxa"/>
            <w:vAlign w:val="top"/>
          </w:tcPr>
          <w:p>
            <w:pPr>
              <w:ind w:left="2103"/>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r>
      <w:tr>
        <w:trPr>
          <w:trHeight w:val="281" w:hRule="atLeast"/>
        </w:trPr>
        <w:tc>
          <w:tcPr>
            <w:tcW w:w="4060" w:type="dxa"/>
            <w:vAlign w:val="top"/>
          </w:tcPr>
          <w:p>
            <w:pPr>
              <w:pStyle w:val="TableText"/>
              <w:ind w:left="690"/>
              <w:spacing w:before="34" w:line="218" w:lineRule="auto"/>
              <w:rPr/>
            </w:pPr>
            <w:r>
              <w:rPr>
                <w:spacing w:val="8"/>
              </w:rPr>
              <w:t>净化设施最低去除效率（</w:t>
            </w:r>
            <w:r>
              <w:rPr>
                <w:rFonts w:ascii="Times New Roman" w:hAnsi="Times New Roman" w:eastAsia="Times New Roman" w:cs="Times New Roman"/>
                <w:spacing w:val="8"/>
              </w:rPr>
              <w:t>%</w:t>
            </w:r>
            <w:r>
              <w:rPr>
                <w:spacing w:val="8"/>
              </w:rPr>
              <w:t>）</w:t>
            </w:r>
          </w:p>
        </w:tc>
        <w:tc>
          <w:tcPr>
            <w:tcW w:w="4468" w:type="dxa"/>
            <w:vAlign w:val="top"/>
          </w:tcPr>
          <w:p>
            <w:pPr>
              <w:ind w:left="2133"/>
              <w:spacing w:before="7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75</w:t>
            </w:r>
          </w:p>
        </w:tc>
      </w:tr>
    </w:tbl>
    <w:p>
      <w:pPr>
        <w:ind w:left="526"/>
        <w:spacing w:before="36" w:line="219"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2</w:t>
      </w:r>
      <w:r>
        <w:rPr>
          <w:rFonts w:ascii="SimSun" w:hAnsi="SimSun" w:eastAsia="SimSun" w:cs="SimSun"/>
          <w:sz w:val="24"/>
          <w:szCs w:val="24"/>
          <w:spacing w:val="-5"/>
        </w:rPr>
        <w:t>）废水</w:t>
      </w:r>
    </w:p>
    <w:p>
      <w:pPr>
        <w:ind w:left="32" w:firstLine="482"/>
        <w:spacing w:before="183" w:line="359" w:lineRule="auto"/>
        <w:rPr>
          <w:rFonts w:ascii="SimSun" w:hAnsi="SimSun" w:eastAsia="SimSun" w:cs="SimSun"/>
          <w:sz w:val="24"/>
          <w:szCs w:val="24"/>
        </w:rPr>
      </w:pPr>
      <w:r>
        <w:rPr>
          <w:rFonts w:ascii="SimSun" w:hAnsi="SimSun" w:eastAsia="SimSun" w:cs="SimSun"/>
          <w:sz w:val="24"/>
          <w:szCs w:val="24"/>
          <w:spacing w:val="3"/>
        </w:rPr>
        <w:t>本项目洗毛废水、车间地面冲洗水、冲厕废水等全部进入</w:t>
      </w:r>
      <w:r>
        <w:rPr>
          <w:rFonts w:ascii="SimSun" w:hAnsi="SimSun" w:eastAsia="SimSun" w:cs="SimSun"/>
          <w:sz w:val="24"/>
          <w:szCs w:val="24"/>
          <w:spacing w:val="2"/>
        </w:rPr>
        <w:t>厌氧发酵装置，不</w:t>
      </w:r>
      <w:r>
        <w:rPr>
          <w:rFonts w:ascii="SimSun" w:hAnsi="SimSun" w:eastAsia="SimSun" w:cs="SimSun"/>
          <w:sz w:val="24"/>
          <w:szCs w:val="24"/>
        </w:rPr>
        <w:t xml:space="preserve"> </w:t>
      </w:r>
      <w:r>
        <w:rPr>
          <w:rFonts w:ascii="SimSun" w:hAnsi="SimSun" w:eastAsia="SimSun" w:cs="SimSun"/>
          <w:sz w:val="24"/>
          <w:szCs w:val="24"/>
          <w:spacing w:val="3"/>
        </w:rPr>
        <w:t>外排；东厂区和西厂区员工洗浴废水通过独立管道系统</w:t>
      </w:r>
      <w:r>
        <w:rPr>
          <w:rFonts w:ascii="SimSun" w:hAnsi="SimSun" w:eastAsia="SimSun" w:cs="SimSun"/>
          <w:sz w:val="24"/>
          <w:szCs w:val="24"/>
          <w:spacing w:val="2"/>
        </w:rPr>
        <w:t>外排市政污水管网，进入</w:t>
      </w:r>
      <w:r>
        <w:rPr>
          <w:rFonts w:ascii="SimSun" w:hAnsi="SimSun" w:eastAsia="SimSun" w:cs="SimSun"/>
          <w:sz w:val="24"/>
          <w:szCs w:val="24"/>
        </w:rPr>
        <w:t xml:space="preserve"> </w:t>
      </w:r>
      <w:r>
        <w:rPr>
          <w:rFonts w:ascii="SimSun" w:hAnsi="SimSun" w:eastAsia="SimSun" w:cs="SimSun"/>
          <w:sz w:val="24"/>
          <w:szCs w:val="24"/>
          <w:spacing w:val="-1"/>
        </w:rPr>
        <w:t>明安图镇污水处理厂。西厂区冲厕水经独立管道排入化粪池（容积</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30m</w:t>
      </w:r>
      <w:r>
        <w:rPr>
          <w:rFonts w:ascii="Times New Roman" w:hAnsi="Times New Roman" w:eastAsia="Times New Roman" w:cs="Times New Roman"/>
          <w:sz w:val="15"/>
          <w:szCs w:val="15"/>
          <w:spacing w:val="-1"/>
          <w:position w:val="7"/>
        </w:rPr>
        <w:t>3 </w:t>
      </w:r>
      <w:r>
        <w:rPr>
          <w:rFonts w:ascii="SimSun" w:hAnsi="SimSun" w:eastAsia="SimSun" w:cs="SimSun"/>
          <w:sz w:val="24"/>
          <w:szCs w:val="24"/>
          <w:spacing w:val="-1"/>
        </w:rPr>
        <w:t>）预处理</w:t>
      </w:r>
      <w:r>
        <w:rPr>
          <w:rFonts w:ascii="SimSun" w:hAnsi="SimSun" w:eastAsia="SimSun" w:cs="SimSun"/>
          <w:sz w:val="24"/>
          <w:szCs w:val="24"/>
        </w:rPr>
        <w:t xml:space="preserve"> </w:t>
      </w:r>
      <w:r>
        <w:rPr>
          <w:rFonts w:ascii="SimSun" w:hAnsi="SimSun" w:eastAsia="SimSun" w:cs="SimSun"/>
          <w:sz w:val="24"/>
          <w:szCs w:val="24"/>
          <w:spacing w:val="3"/>
        </w:rPr>
        <w:t>后，输送至西厂区废水收集池与洗毛废水混合，然后进</w:t>
      </w:r>
      <w:r>
        <w:rPr>
          <w:rFonts w:ascii="SimSun" w:hAnsi="SimSun" w:eastAsia="SimSun" w:cs="SimSun"/>
          <w:sz w:val="24"/>
          <w:szCs w:val="24"/>
          <w:spacing w:val="2"/>
        </w:rPr>
        <w:t>入调节池调质后进入厌氧</w:t>
      </w:r>
      <w:r>
        <w:rPr>
          <w:rFonts w:ascii="SimSun" w:hAnsi="SimSun" w:eastAsia="SimSun" w:cs="SimSun"/>
          <w:sz w:val="24"/>
          <w:szCs w:val="24"/>
        </w:rPr>
        <w:t xml:space="preserve"> </w:t>
      </w:r>
      <w:r>
        <w:rPr>
          <w:rFonts w:ascii="SimSun" w:hAnsi="SimSun" w:eastAsia="SimSun" w:cs="SimSun"/>
          <w:sz w:val="24"/>
          <w:szCs w:val="24"/>
          <w:spacing w:val="2"/>
        </w:rPr>
        <w:t>发酵装置。东厂区冲厕水与洗毛废水一起进入东厂区洗毛废水收集池（</w:t>
      </w:r>
      <w:r>
        <w:rPr>
          <w:rFonts w:ascii="Times New Roman" w:hAnsi="Times New Roman" w:eastAsia="Times New Roman" w:cs="Times New Roman"/>
          <w:sz w:val="24"/>
          <w:szCs w:val="24"/>
          <w:spacing w:val="1"/>
        </w:rPr>
        <w:t>10m</w:t>
      </w:r>
      <w:r>
        <w:rPr>
          <w:rFonts w:ascii="Times New Roman" w:hAnsi="Times New Roman" w:eastAsia="Times New Roman" w:cs="Times New Roman"/>
          <w:sz w:val="15"/>
          <w:szCs w:val="15"/>
          <w:spacing w:val="1"/>
          <w:position w:val="8"/>
        </w:rPr>
        <w:t>3 </w:t>
      </w:r>
      <w:r>
        <w:rPr>
          <w:rFonts w:ascii="SimSun" w:hAnsi="SimSun" w:eastAsia="SimSun" w:cs="SimSun"/>
          <w:sz w:val="24"/>
          <w:szCs w:val="24"/>
          <w:spacing w:val="-2"/>
        </w:rPr>
        <w:t>），</w:t>
      </w:r>
      <w:r>
        <w:rPr>
          <w:rFonts w:ascii="SimSun" w:hAnsi="SimSun" w:eastAsia="SimSun" w:cs="SimSun"/>
          <w:sz w:val="24"/>
          <w:szCs w:val="24"/>
          <w:spacing w:val="1"/>
        </w:rPr>
        <w:t xml:space="preserve"> </w:t>
      </w:r>
      <w:r>
        <w:rPr>
          <w:rFonts w:ascii="SimSun" w:hAnsi="SimSun" w:eastAsia="SimSun" w:cs="SimSun"/>
          <w:sz w:val="24"/>
          <w:szCs w:val="24"/>
          <w:spacing w:val="3"/>
        </w:rPr>
        <w:t>然后通过管道输送至西厂区废水收集池，调节池调质后</w:t>
      </w:r>
      <w:r>
        <w:rPr>
          <w:rFonts w:ascii="SimSun" w:hAnsi="SimSun" w:eastAsia="SimSun" w:cs="SimSun"/>
          <w:sz w:val="24"/>
          <w:szCs w:val="24"/>
          <w:spacing w:val="2"/>
        </w:rPr>
        <w:t>进入厌氧发酵装置。锅炉</w:t>
      </w:r>
      <w:r>
        <w:rPr>
          <w:rFonts w:ascii="SimSun" w:hAnsi="SimSun" w:eastAsia="SimSun" w:cs="SimSun"/>
          <w:sz w:val="24"/>
          <w:szCs w:val="24"/>
        </w:rPr>
        <w:t xml:space="preserve"> </w:t>
      </w:r>
      <w:r>
        <w:rPr>
          <w:rFonts w:ascii="SimSun" w:hAnsi="SimSun" w:eastAsia="SimSun" w:cs="SimSun"/>
          <w:sz w:val="24"/>
          <w:szCs w:val="24"/>
          <w:spacing w:val="-2"/>
        </w:rPr>
        <w:t>及纯水装置排水通过独立管道系统排入市政污水管网，进入明安图镇污水处理厂。</w:t>
      </w:r>
      <w:r>
        <w:rPr>
          <w:rFonts w:ascii="SimSun" w:hAnsi="SimSun" w:eastAsia="SimSun" w:cs="SimSun"/>
          <w:sz w:val="24"/>
          <w:szCs w:val="24"/>
          <w:spacing w:val="6"/>
        </w:rPr>
        <w:t xml:space="preserve"> </w:t>
      </w:r>
      <w:r>
        <w:rPr>
          <w:rFonts w:ascii="SimSun" w:hAnsi="SimSun" w:eastAsia="SimSun" w:cs="SimSun"/>
          <w:sz w:val="24"/>
          <w:szCs w:val="24"/>
          <w:spacing w:val="2"/>
        </w:rPr>
        <w:t>本项目废水排放执行《污水综合排放标准》（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8"/>
        </w:rPr>
        <w:t xml:space="preserve"> </w:t>
      </w:r>
      <w:r>
        <w:rPr>
          <w:rFonts w:ascii="Times New Roman" w:hAnsi="Times New Roman" w:eastAsia="Times New Roman" w:cs="Times New Roman"/>
          <w:sz w:val="24"/>
          <w:szCs w:val="24"/>
          <w:spacing w:val="2"/>
        </w:rPr>
        <w:t>8978-1996</w:t>
      </w:r>
      <w:r>
        <w:rPr>
          <w:rFonts w:ascii="SimSun" w:hAnsi="SimSun" w:eastAsia="SimSun" w:cs="SimSun"/>
          <w:sz w:val="24"/>
          <w:szCs w:val="24"/>
          <w:spacing w:val="2"/>
        </w:rPr>
        <w:t>）表</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4 </w:t>
      </w:r>
      <w:r>
        <w:rPr>
          <w:rFonts w:ascii="SimSun" w:hAnsi="SimSun" w:eastAsia="SimSun" w:cs="SimSun"/>
          <w:sz w:val="24"/>
          <w:szCs w:val="24"/>
          <w:spacing w:val="2"/>
        </w:rPr>
        <w:t>三级标准，氨</w:t>
      </w:r>
      <w:r>
        <w:rPr>
          <w:rFonts w:ascii="SimSun" w:hAnsi="SimSun" w:eastAsia="SimSun" w:cs="SimSun"/>
          <w:sz w:val="24"/>
          <w:szCs w:val="24"/>
        </w:rPr>
        <w:t xml:space="preserve"> </w:t>
      </w:r>
      <w:r>
        <w:rPr>
          <w:rFonts w:ascii="SimSun" w:hAnsi="SimSun" w:eastAsia="SimSun" w:cs="SimSun"/>
          <w:sz w:val="24"/>
          <w:szCs w:val="24"/>
          <w:spacing w:val="2"/>
        </w:rPr>
        <w:t>氮、总磷、总氮参照执行《污水排入城镇下水道水质标准</w:t>
      </w:r>
      <w:r>
        <w:rPr>
          <w:rFonts w:ascii="SimSun" w:hAnsi="SimSun" w:eastAsia="SimSun" w:cs="SimSun"/>
          <w:sz w:val="24"/>
          <w:szCs w:val="24"/>
          <w:spacing w:val="1"/>
        </w:rPr>
        <w:t>》（</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/T31962-2015</w:t>
      </w:r>
      <w:r>
        <w:rPr>
          <w:rFonts w:ascii="SimSun" w:hAnsi="SimSun" w:eastAsia="SimSun" w:cs="SimSun"/>
          <w:sz w:val="24"/>
          <w:szCs w:val="24"/>
          <w:spacing w:val="1"/>
        </w:rPr>
        <w:t>）</w:t>
      </w:r>
    </w:p>
    <w:p>
      <w:pPr>
        <w:ind w:left="33"/>
        <w:spacing w:line="219" w:lineRule="auto"/>
        <w:rPr>
          <w:rFonts w:ascii="SimSun" w:hAnsi="SimSun" w:eastAsia="SimSun" w:cs="SimSun"/>
          <w:sz w:val="24"/>
          <w:szCs w:val="24"/>
        </w:rPr>
      </w:pPr>
      <w:r>
        <w:rPr>
          <w:rFonts w:ascii="SimSun" w:hAnsi="SimSun" w:eastAsia="SimSun" w:cs="SimSun"/>
          <w:sz w:val="24"/>
          <w:szCs w:val="24"/>
          <w:spacing w:val="-5"/>
        </w:rPr>
        <w:t>表</w:t>
      </w:r>
      <w:r>
        <w:rPr>
          <w:rFonts w:ascii="SimSun" w:hAnsi="SimSun" w:eastAsia="SimSun" w:cs="SimSun"/>
          <w:sz w:val="24"/>
          <w:szCs w:val="24"/>
          <w:spacing w:val="-15"/>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5"/>
        </w:rPr>
        <w:t>中</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A </w:t>
      </w:r>
      <w:r>
        <w:rPr>
          <w:rFonts w:ascii="SimSun" w:hAnsi="SimSun" w:eastAsia="SimSun" w:cs="SimSun"/>
          <w:sz w:val="24"/>
          <w:szCs w:val="24"/>
          <w:spacing w:val="-5"/>
        </w:rPr>
        <w:t>级标准，详见表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2.6-11</w:t>
      </w:r>
      <w:r>
        <w:rPr>
          <w:rFonts w:ascii="SimSun" w:hAnsi="SimSun" w:eastAsia="SimSun" w:cs="SimSun"/>
          <w:sz w:val="24"/>
          <w:szCs w:val="24"/>
          <w:spacing w:val="-5"/>
        </w:rPr>
        <w:t>。</w:t>
      </w:r>
    </w:p>
    <w:p>
      <w:pPr>
        <w:ind w:left="1564"/>
        <w:spacing w:before="183" w:line="210" w:lineRule="auto"/>
        <w:rPr>
          <w:rFonts w:ascii="Times New Roman" w:hAnsi="Times New Roman" w:eastAsia="Times New Roman" w:cs="Times New Roman"/>
          <w:sz w:val="24"/>
          <w:szCs w:val="24"/>
        </w:rPr>
      </w:pPr>
      <w:r>
        <w:rPr>
          <w:rFonts w:ascii="SimSun" w:hAnsi="SimSun" w:eastAsia="SimSun" w:cs="SimSun"/>
          <w:sz w:val="24"/>
          <w:szCs w:val="24"/>
          <w:b/>
          <w:bCs/>
          <w:spacing w:val="-1"/>
        </w:rPr>
        <w:t>表</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1"/>
        </w:rPr>
        <w:t>2.6-11      </w:t>
      </w:r>
      <w:r>
        <w:rPr>
          <w:rFonts w:ascii="SimSun" w:hAnsi="SimSun" w:eastAsia="SimSun" w:cs="SimSun"/>
          <w:sz w:val="24"/>
          <w:szCs w:val="24"/>
          <w:b/>
          <w:bCs/>
          <w:spacing w:val="-1"/>
        </w:rPr>
        <w:t>水污染物排放浓度限值</w:t>
      </w:r>
      <w:r>
        <w:rPr>
          <w:rFonts w:ascii="SimSun" w:hAnsi="SimSun" w:eastAsia="SimSun" w:cs="SimSun"/>
          <w:sz w:val="24"/>
          <w:szCs w:val="24"/>
          <w:spacing w:val="-1"/>
        </w:rPr>
        <w:t xml:space="preserve">    </w:t>
      </w:r>
      <w:r>
        <w:rPr>
          <w:rFonts w:ascii="SimSun" w:hAnsi="SimSun" w:eastAsia="SimSun" w:cs="SimSun"/>
          <w:sz w:val="24"/>
          <w:szCs w:val="24"/>
          <w:b/>
          <w:bCs/>
          <w:spacing w:val="-1"/>
        </w:rPr>
        <w:t>单位：</w:t>
      </w:r>
      <w:r>
        <w:rPr>
          <w:rFonts w:ascii="Times New Roman" w:hAnsi="Times New Roman" w:eastAsia="Times New Roman" w:cs="Times New Roman"/>
          <w:sz w:val="24"/>
          <w:szCs w:val="24"/>
          <w:b/>
          <w:bCs/>
          <w:spacing w:val="-1"/>
        </w:rPr>
        <w:t>m</w:t>
      </w:r>
      <w:r>
        <w:rPr>
          <w:rFonts w:ascii="Times New Roman" w:hAnsi="Times New Roman" w:eastAsia="Times New Roman" w:cs="Times New Roman"/>
          <w:sz w:val="24"/>
          <w:szCs w:val="24"/>
          <w:b/>
          <w:bCs/>
          <w:spacing w:val="-2"/>
        </w:rPr>
        <w:t>g/L</w:t>
      </w:r>
    </w:p>
    <w:p>
      <w:pPr>
        <w:spacing w:line="20" w:lineRule="auto"/>
        <w:rPr>
          <w:rFonts w:ascii="Arial"/>
          <w:sz w:val="2"/>
        </w:rPr>
      </w:pPr>
      <w:r>
        <w:rPr>
          <w:rFonts w:ascii="Arial"/>
          <w:sz w:val="2"/>
        </w:rPr>
      </w:r>
    </w:p>
    <w:tbl>
      <w:tblPr>
        <w:tblStyle w:val="TableNormal"/>
        <w:tblW w:w="8548"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243"/>
        <w:gridCol w:w="1031"/>
        <w:gridCol w:w="1693"/>
        <w:gridCol w:w="1305"/>
        <w:gridCol w:w="1276"/>
      </w:tblGrid>
      <w:tr>
        <w:trPr>
          <w:trHeight w:val="274" w:hRule="atLeast"/>
        </w:trPr>
        <w:tc>
          <w:tcPr>
            <w:tcW w:w="3243" w:type="dxa"/>
            <w:vAlign w:val="top"/>
          </w:tcPr>
          <w:p>
            <w:pPr>
              <w:pStyle w:val="TableText"/>
              <w:ind w:left="578"/>
              <w:spacing w:before="37" w:line="209" w:lineRule="auto"/>
              <w:rPr/>
            </w:pPr>
            <w:r>
              <w:rPr>
                <w:spacing w:val="9"/>
              </w:rPr>
              <w:t>标准名称及级（类）别</w:t>
            </w:r>
          </w:p>
        </w:tc>
        <w:tc>
          <w:tcPr>
            <w:tcW w:w="1031" w:type="dxa"/>
            <w:vAlign w:val="top"/>
          </w:tcPr>
          <w:p>
            <w:pPr>
              <w:pStyle w:val="TableText"/>
              <w:ind w:left="207"/>
              <w:spacing w:before="37" w:line="209" w:lineRule="auto"/>
              <w:rPr/>
            </w:pPr>
            <w:r>
              <w:rPr>
                <w:spacing w:val="6"/>
              </w:rPr>
              <w:t>污染源</w:t>
            </w:r>
          </w:p>
        </w:tc>
        <w:tc>
          <w:tcPr>
            <w:tcW w:w="1693" w:type="dxa"/>
            <w:vAlign w:val="top"/>
          </w:tcPr>
          <w:p>
            <w:pPr>
              <w:pStyle w:val="TableText"/>
              <w:ind w:left="433"/>
              <w:spacing w:before="37" w:line="209" w:lineRule="auto"/>
              <w:rPr/>
            </w:pPr>
            <w:r>
              <w:rPr>
                <w:spacing w:val="6"/>
              </w:rPr>
              <w:t>污染因子</w:t>
            </w:r>
          </w:p>
        </w:tc>
        <w:tc>
          <w:tcPr>
            <w:tcW w:w="2581" w:type="dxa"/>
            <w:vAlign w:val="top"/>
            <w:gridSpan w:val="2"/>
          </w:tcPr>
          <w:p>
            <w:pPr>
              <w:pStyle w:val="TableText"/>
              <w:ind w:left="981"/>
              <w:spacing w:before="37" w:line="209" w:lineRule="auto"/>
              <w:rPr/>
            </w:pPr>
            <w:r>
              <w:rPr>
                <w:spacing w:val="6"/>
              </w:rPr>
              <w:t>标准值</w:t>
            </w:r>
          </w:p>
        </w:tc>
      </w:tr>
      <w:tr>
        <w:trPr>
          <w:trHeight w:val="268" w:hRule="atLeast"/>
        </w:trPr>
        <w:tc>
          <w:tcPr>
            <w:tcW w:w="3243" w:type="dxa"/>
            <w:vAlign w:val="top"/>
            <w:vMerge w:val="restart"/>
            <w:tcBorders>
              <w:bottom w:val="nil"/>
            </w:tcBorders>
          </w:tcPr>
          <w:p>
            <w:pPr>
              <w:pStyle w:val="TableText"/>
              <w:ind w:left="553"/>
              <w:spacing w:before="164" w:line="228" w:lineRule="auto"/>
              <w:rPr/>
            </w:pPr>
            <w:r>
              <w:pict>
                <v:shape id="_x0000_s222" style="position:absolute;margin-left:-162.15pt;margin-top:26.55pt;mso-position-vertical-relative:top-margin-area;mso-position-horizontal-relative:right-margin-area;width:162.5pt;height:0.5pt;z-index:-251559936;" filled="false" strokecolor="#000000" strokeweight="0.48pt" coordsize="3250,10" coordorigin="0,0" path="m0,4l3249,4e">
                  <v:stroke joinstyle="bevel" miterlimit="2"/>
                </v:shape>
              </w:pict>
            </w:r>
            <w:r>
              <w:rPr>
                <w:rFonts w:ascii="Times New Roman" w:hAnsi="Times New Roman" w:eastAsia="Times New Roman" w:cs="Times New Roman"/>
              </w:rPr>
              <w:t>GB</w:t>
            </w:r>
            <w:r>
              <w:rPr>
                <w:rFonts w:ascii="Times New Roman" w:hAnsi="Times New Roman" w:eastAsia="Times New Roman" w:cs="Times New Roman"/>
                <w:spacing w:val="20"/>
                <w:w w:val="101"/>
              </w:rPr>
              <w:t xml:space="preserve"> </w:t>
            </w:r>
            <w:r>
              <w:rPr>
                <w:rFonts w:ascii="Times New Roman" w:hAnsi="Times New Roman" w:eastAsia="Times New Roman" w:cs="Times New Roman"/>
                <w:spacing w:val="5"/>
              </w:rPr>
              <w:t>8978-1996 </w:t>
            </w:r>
            <w:r>
              <w:rPr>
                <w:spacing w:val="5"/>
              </w:rPr>
              <w:t>三级标准</w:t>
            </w:r>
          </w:p>
        </w:tc>
        <w:tc>
          <w:tcPr>
            <w:tcW w:w="1031" w:type="dxa"/>
            <w:vAlign w:val="top"/>
            <w:vMerge w:val="restart"/>
            <w:tcBorders>
              <w:bottom w:val="nil"/>
            </w:tcBorders>
          </w:tcPr>
          <w:p>
            <w:pPr>
              <w:pStyle w:val="TableText"/>
              <w:ind w:left="102"/>
              <w:spacing w:before="163" w:line="228" w:lineRule="auto"/>
              <w:rPr/>
            </w:pPr>
            <w:r>
              <w:rPr>
                <w:spacing w:val="6"/>
              </w:rPr>
              <w:t>厂区废水</w:t>
            </w:r>
          </w:p>
        </w:tc>
        <w:tc>
          <w:tcPr>
            <w:tcW w:w="1693" w:type="dxa"/>
            <w:vAlign w:val="top"/>
          </w:tcPr>
          <w:p>
            <w:pPr>
              <w:ind w:left="716"/>
              <w:spacing w:before="78" w:line="18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pH</w:t>
            </w:r>
          </w:p>
        </w:tc>
        <w:tc>
          <w:tcPr>
            <w:tcW w:w="1305" w:type="dxa"/>
            <w:vAlign w:val="top"/>
          </w:tcPr>
          <w:p>
            <w:pPr>
              <w:pStyle w:val="TableText"/>
              <w:ind w:left="346"/>
              <w:spacing w:before="39" w:line="202" w:lineRule="auto"/>
              <w:rPr/>
            </w:pPr>
            <w:r>
              <w:rPr>
                <w:spacing w:val="6"/>
              </w:rPr>
              <w:t>无量纲</w:t>
            </w:r>
          </w:p>
        </w:tc>
        <w:tc>
          <w:tcPr>
            <w:tcW w:w="1276" w:type="dxa"/>
            <w:vAlign w:val="top"/>
          </w:tcPr>
          <w:p>
            <w:pPr>
              <w:pStyle w:val="TableText"/>
              <w:ind w:left="434"/>
              <w:spacing w:before="39" w:line="202" w:lineRule="auto"/>
              <w:rPr>
                <w:rFonts w:ascii="Times New Roman" w:hAnsi="Times New Roman" w:eastAsia="Times New Roman" w:cs="Times New Roman"/>
              </w:rPr>
            </w:pPr>
            <w:r>
              <w:rPr>
                <w:rFonts w:ascii="Times New Roman" w:hAnsi="Times New Roman" w:eastAsia="Times New Roman" w:cs="Times New Roman"/>
                <w:spacing w:val="3"/>
              </w:rPr>
              <w:t>6</w:t>
            </w:r>
            <w:r>
              <w:rPr>
                <w:spacing w:val="3"/>
              </w:rPr>
              <w:t>～</w:t>
            </w:r>
            <w:r>
              <w:rPr>
                <w:rFonts w:ascii="Times New Roman" w:hAnsi="Times New Roman" w:eastAsia="Times New Roman" w:cs="Times New Roman"/>
                <w:spacing w:val="3"/>
              </w:rPr>
              <w:t>9</w:t>
            </w:r>
          </w:p>
        </w:tc>
      </w:tr>
      <w:tr>
        <w:trPr>
          <w:trHeight w:val="261" w:hRule="atLeast"/>
        </w:trPr>
        <w:tc>
          <w:tcPr>
            <w:tcW w:w="3243" w:type="dxa"/>
            <w:vAlign w:val="top"/>
            <w:vMerge w:val="continue"/>
            <w:tcBorders>
              <w:bottom w:val="nil"/>
              <w:top w:val="nil"/>
            </w:tcBorders>
          </w:tcPr>
          <w:p>
            <w:pPr>
              <w:rPr>
                <w:rFonts w:ascii="Arial"/>
                <w:sz w:val="21"/>
              </w:rPr>
            </w:pPr>
            <w:r/>
          </w:p>
        </w:tc>
        <w:tc>
          <w:tcPr>
            <w:tcW w:w="1031" w:type="dxa"/>
            <w:vAlign w:val="top"/>
            <w:vMerge w:val="continue"/>
            <w:tcBorders>
              <w:bottom w:val="single" w:color="000000" w:sz="10" w:space="0"/>
              <w:top w:val="nil"/>
            </w:tcBorders>
          </w:tcPr>
          <w:p>
            <w:pPr>
              <w:rPr>
                <w:rFonts w:ascii="Arial"/>
                <w:sz w:val="21"/>
              </w:rPr>
            </w:pPr>
            <w:r/>
          </w:p>
        </w:tc>
        <w:tc>
          <w:tcPr>
            <w:tcW w:w="1693" w:type="dxa"/>
            <w:vAlign w:val="top"/>
            <w:tcBorders>
              <w:bottom w:val="nil"/>
            </w:tcBorders>
          </w:tcPr>
          <w:p>
            <w:pPr>
              <w:spacing w:before="70" w:line="188" w:lineRule="auto"/>
              <w:tabs>
                <w:tab w:val="left" w:pos="741"/>
              </w:tabs>
              <w:rPr>
                <w:rFonts w:ascii="Times New Roman" w:hAnsi="Times New Roman" w:eastAsia="Times New Roman" w:cs="Times New Roman"/>
                <w:sz w:val="20"/>
                <w:szCs w:val="20"/>
              </w:rPr>
            </w:pPr>
            <w:r>
              <w:rPr>
                <w:rFonts w:ascii="Times New Roman" w:hAnsi="Times New Roman" w:eastAsia="Times New Roman" w:cs="Times New Roman"/>
                <w:sz w:val="20"/>
                <w:szCs w:val="20"/>
                <w:u w:val="single" w:color="auto"/>
              </w:rPr>
              <w:tab/>
            </w:r>
            <w:r>
              <w:rPr>
                <w:rFonts w:ascii="Times New Roman" w:hAnsi="Times New Roman" w:eastAsia="Times New Roman" w:cs="Times New Roman"/>
                <w:sz w:val="20"/>
                <w:szCs w:val="20"/>
                <w:u w:val="single" w:color="auto"/>
                <w:spacing w:val="-4"/>
              </w:rPr>
              <w:t>SS</w:t>
            </w:r>
            <w:r>
              <w:rPr>
                <w:rFonts w:ascii="Times New Roman" w:hAnsi="Times New Roman" w:eastAsia="Times New Roman" w:cs="Times New Roman"/>
                <w:sz w:val="20"/>
                <w:szCs w:val="20"/>
                <w:u w:val="single" w:color="auto"/>
              </w:rPr>
              <w:t xml:space="preserve">               </w:t>
            </w:r>
          </w:p>
        </w:tc>
        <w:tc>
          <w:tcPr>
            <w:tcW w:w="1305" w:type="dxa"/>
            <w:vAlign w:val="top"/>
            <w:tcBorders>
              <w:bottom w:val="single" w:color="000000" w:sz="10" w:space="0"/>
            </w:tcBorders>
          </w:tcPr>
          <w:p>
            <w:pPr>
              <w:ind w:left="424"/>
              <w:spacing w:before="6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1276" w:type="dxa"/>
            <w:vAlign w:val="top"/>
            <w:tcBorders>
              <w:bottom w:val="nil"/>
            </w:tcBorders>
          </w:tcPr>
          <w:p>
            <w:pPr>
              <w:spacing w:before="70" w:line="188" w:lineRule="auto"/>
              <w:tabs>
                <w:tab w:val="left" w:pos="482"/>
              </w:tabs>
              <w:rPr>
                <w:rFonts w:ascii="Times New Roman" w:hAnsi="Times New Roman" w:eastAsia="Times New Roman" w:cs="Times New Roman"/>
                <w:sz w:val="20"/>
                <w:szCs w:val="20"/>
              </w:rPr>
            </w:pPr>
            <w:r>
              <w:rPr>
                <w:rFonts w:ascii="Times New Roman" w:hAnsi="Times New Roman" w:eastAsia="Times New Roman" w:cs="Times New Roman"/>
                <w:sz w:val="20"/>
                <w:szCs w:val="20"/>
                <w:u w:val="single" w:color="auto"/>
              </w:rPr>
              <w:tab/>
            </w:r>
            <w:r>
              <w:rPr>
                <w:rFonts w:ascii="Times New Roman" w:hAnsi="Times New Roman" w:eastAsia="Times New Roman" w:cs="Times New Roman"/>
                <w:sz w:val="20"/>
                <w:szCs w:val="20"/>
                <w:u w:val="single" w:color="auto"/>
                <w:spacing w:val="3"/>
              </w:rPr>
              <w:t>400</w:t>
            </w:r>
            <w:r>
              <w:rPr>
                <w:rFonts w:ascii="Times New Roman" w:hAnsi="Times New Roman" w:eastAsia="Times New Roman" w:cs="Times New Roman"/>
                <w:sz w:val="20"/>
                <w:szCs w:val="20"/>
                <w:u w:val="single" w:color="auto"/>
              </w:rPr>
              <w:t xml:space="preserve">          </w:t>
            </w:r>
          </w:p>
        </w:tc>
      </w:tr>
    </w:tbl>
    <w:p>
      <w:pPr>
        <w:ind w:left="32"/>
        <w:spacing w:before="275" w:line="227" w:lineRule="auto"/>
        <w:rPr>
          <w:rFonts w:ascii="SimSun" w:hAnsi="SimSun" w:eastAsia="SimSun" w:cs="SimSun"/>
          <w:sz w:val="19"/>
          <w:szCs w:val="19"/>
        </w:rPr>
      </w:pPr>
      <w:r>
        <w:pict>
          <v:shape id="_x0000_s224" style="position:absolute;margin-left:160.57pt;margin-top:12.7809pt;mso-position-vertical-relative:text;mso-position-horizontal-relative:text;width:58.85pt;height:13.75pt;z-index:251757568;"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4"/>
                    </w:rPr>
                    <w:t>任公司</w:t>
                  </w:r>
                  <w:r>
                    <w:rPr>
                      <w:rFonts w:ascii="SimSun" w:hAnsi="SimSun" w:eastAsia="SimSun" w:cs="SimSun"/>
                      <w:sz w:val="19"/>
                      <w:szCs w:val="19"/>
                      <w:spacing w:val="26"/>
                    </w:rPr>
                    <w:t xml:space="preserve">   </w:t>
                  </w:r>
                  <w:r>
                    <w:rPr>
                      <w:rFonts w:ascii="Times New Roman" w:hAnsi="Times New Roman" w:eastAsia="Times New Roman" w:cs="Times New Roman"/>
                      <w:sz w:val="18"/>
                      <w:szCs w:val="18"/>
                      <w:spacing w:val="4"/>
                      <w:position w:val="2"/>
                    </w:rPr>
                    <w:t>41</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53"/>
          <w:pgSz w:w="11907" w:h="16840"/>
          <w:pgMar w:top="1567" w:right="1621" w:bottom="400" w:left="1676" w:header="1221" w:footer="0" w:gutter="0"/>
        </w:sectPr>
        <w:rPr>
          <w:rFonts w:ascii="SimSun" w:hAnsi="SimSun" w:eastAsia="SimSun" w:cs="SimSun"/>
          <w:sz w:val="19"/>
          <w:szCs w:val="19"/>
        </w:rPr>
      </w:pPr>
    </w:p>
    <w:p>
      <w:pPr>
        <w:spacing w:line="146" w:lineRule="exact"/>
        <w:rPr/>
      </w:pPr>
      <w:r>
        <w:pict>
          <v:shape id="_x0000_s228" style="position:absolute;margin-left:85.05pt;margin-top:78.87pt;mso-position-vertical-relative:page;mso-position-horizontal-relative:page;width:425.25pt;height:0.75pt;z-index:251760640;" o:allowincell="f" fillcolor="#000000" filled="true" stroked="false" coordsize="8505,15" coordorigin="0,0" path="m,l8505,0l8505,14l0,14l0,0xe"/>
        </w:pict>
      </w:r>
      <w:r/>
    </w:p>
    <w:tbl>
      <w:tblPr>
        <w:tblStyle w:val="TableNormal"/>
        <w:tblW w:w="8548" w:type="dxa"/>
        <w:tblInd w:w="9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243"/>
        <w:gridCol w:w="1031"/>
        <w:gridCol w:w="1693"/>
        <w:gridCol w:w="1305"/>
        <w:gridCol w:w="1276"/>
      </w:tblGrid>
      <w:tr>
        <w:trPr>
          <w:trHeight w:val="230" w:hRule="atLeast"/>
        </w:trPr>
        <w:tc>
          <w:tcPr>
            <w:tcW w:w="3243" w:type="dxa"/>
            <w:vAlign w:val="top"/>
            <w:vMerge w:val="restart"/>
            <w:tcBorders>
              <w:bottom w:val="nil"/>
            </w:tcBorders>
          </w:tcPr>
          <w:p>
            <w:pPr>
              <w:rPr>
                <w:rFonts w:ascii="Arial"/>
                <w:sz w:val="21"/>
              </w:rPr>
            </w:pPr>
            <w:r/>
          </w:p>
        </w:tc>
        <w:tc>
          <w:tcPr>
            <w:tcW w:w="1031" w:type="dxa"/>
            <w:vAlign w:val="top"/>
            <w:vMerge w:val="restart"/>
            <w:tcBorders>
              <w:top w:val="single" w:color="000000" w:sz="10" w:space="0"/>
              <w:bottom w:val="nil"/>
            </w:tcBorders>
          </w:tcPr>
          <w:p>
            <w:pPr>
              <w:pStyle w:val="TableText"/>
              <w:ind w:left="205"/>
              <w:spacing w:before="16" w:line="229" w:lineRule="auto"/>
              <w:rPr/>
            </w:pPr>
            <w:r>
              <w:rPr>
                <w:spacing w:val="6"/>
              </w:rPr>
              <w:t>排放口</w:t>
            </w:r>
          </w:p>
        </w:tc>
        <w:tc>
          <w:tcPr>
            <w:tcW w:w="1693" w:type="dxa"/>
            <w:vAlign w:val="top"/>
          </w:tcPr>
          <w:p>
            <w:pPr>
              <w:ind w:left="593"/>
              <w:spacing w:before="38" w:line="18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BOD</w:t>
            </w:r>
            <w:r>
              <w:rPr>
                <w:rFonts w:ascii="Times New Roman" w:hAnsi="Times New Roman" w:eastAsia="Times New Roman" w:cs="Times New Roman"/>
                <w:sz w:val="13"/>
                <w:szCs w:val="13"/>
                <w:spacing w:val="19"/>
                <w:position w:val="-1"/>
              </w:rPr>
              <w:t>5</w:t>
            </w:r>
          </w:p>
        </w:tc>
        <w:tc>
          <w:tcPr>
            <w:tcW w:w="1305" w:type="dxa"/>
            <w:vAlign w:val="top"/>
            <w:vMerge w:val="restart"/>
            <w:tcBorders>
              <w:top w:val="single" w:color="000000" w:sz="10" w:space="0"/>
              <w:bottom w:val="nil"/>
            </w:tcBorders>
          </w:tcPr>
          <w:p>
            <w:pPr>
              <w:rPr>
                <w:rFonts w:ascii="Arial"/>
                <w:sz w:val="21"/>
              </w:rPr>
            </w:pPr>
            <w:r/>
          </w:p>
        </w:tc>
        <w:tc>
          <w:tcPr>
            <w:tcW w:w="1276" w:type="dxa"/>
            <w:vAlign w:val="top"/>
          </w:tcPr>
          <w:p>
            <w:pPr>
              <w:ind w:left="487"/>
              <w:spacing w:before="38"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300</w:t>
            </w:r>
          </w:p>
        </w:tc>
      </w:tr>
      <w:tr>
        <w:trPr>
          <w:trHeight w:val="246" w:hRule="atLeast"/>
        </w:trPr>
        <w:tc>
          <w:tcPr>
            <w:tcW w:w="3243" w:type="dxa"/>
            <w:vAlign w:val="top"/>
            <w:vMerge w:val="continue"/>
            <w:tcBorders>
              <w:top w:val="nil"/>
            </w:tcBorders>
          </w:tcPr>
          <w:p>
            <w:pPr>
              <w:rPr>
                <w:rFonts w:ascii="Arial"/>
                <w:sz w:val="21"/>
              </w:rPr>
            </w:pPr>
            <w:r/>
          </w:p>
        </w:tc>
        <w:tc>
          <w:tcPr>
            <w:tcW w:w="1031" w:type="dxa"/>
            <w:vAlign w:val="top"/>
            <w:vMerge w:val="continue"/>
            <w:tcBorders>
              <w:top w:val="nil"/>
              <w:bottom w:val="nil"/>
            </w:tcBorders>
          </w:tcPr>
          <w:p>
            <w:pPr>
              <w:rPr>
                <w:rFonts w:ascii="Arial"/>
                <w:sz w:val="21"/>
              </w:rPr>
            </w:pPr>
            <w:r/>
          </w:p>
        </w:tc>
        <w:tc>
          <w:tcPr>
            <w:tcW w:w="1693" w:type="dxa"/>
            <w:vAlign w:val="top"/>
          </w:tcPr>
          <w:p>
            <w:pPr>
              <w:ind w:left="577"/>
              <w:spacing w:before="52" w:line="19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COD</w:t>
            </w:r>
            <w:r>
              <w:rPr>
                <w:rFonts w:ascii="Times New Roman" w:hAnsi="Times New Roman" w:eastAsia="Times New Roman" w:cs="Times New Roman"/>
                <w:sz w:val="13"/>
                <w:szCs w:val="13"/>
                <w:spacing w:val="3"/>
                <w:position w:val="-1"/>
              </w:rPr>
              <w:t>cr</w:t>
            </w:r>
          </w:p>
        </w:tc>
        <w:tc>
          <w:tcPr>
            <w:tcW w:w="1305" w:type="dxa"/>
            <w:vAlign w:val="top"/>
            <w:vMerge w:val="continue"/>
            <w:tcBorders>
              <w:top w:val="nil"/>
              <w:bottom w:val="nil"/>
            </w:tcBorders>
          </w:tcPr>
          <w:p>
            <w:pPr>
              <w:rPr>
                <w:rFonts w:ascii="Arial"/>
                <w:sz w:val="21"/>
              </w:rPr>
            </w:pPr>
            <w:r/>
          </w:p>
        </w:tc>
        <w:tc>
          <w:tcPr>
            <w:tcW w:w="1276" w:type="dxa"/>
            <w:vAlign w:val="top"/>
          </w:tcPr>
          <w:p>
            <w:pPr>
              <w:ind w:left="488"/>
              <w:spacing w:before="52"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500</w:t>
            </w:r>
          </w:p>
        </w:tc>
      </w:tr>
      <w:tr>
        <w:trPr>
          <w:trHeight w:val="276" w:hRule="atLeast"/>
        </w:trPr>
        <w:tc>
          <w:tcPr>
            <w:tcW w:w="3243" w:type="dxa"/>
            <w:vAlign w:val="top"/>
            <w:vMerge w:val="restart"/>
            <w:tcBorders>
              <w:bottom w:val="nil"/>
            </w:tcBorders>
          </w:tcPr>
          <w:p>
            <w:pPr>
              <w:spacing w:line="247" w:lineRule="auto"/>
              <w:rPr>
                <w:rFonts w:ascii="Arial"/>
                <w:sz w:val="21"/>
              </w:rPr>
            </w:pPr>
            <w:r/>
          </w:p>
          <w:p>
            <w:pPr>
              <w:pStyle w:val="TableText"/>
              <w:ind w:left="94"/>
              <w:spacing w:before="65" w:line="228" w:lineRule="auto"/>
              <w:rPr/>
            </w:pPr>
            <w:r>
              <w:rPr>
                <w:rFonts w:ascii="Times New Roman" w:hAnsi="Times New Roman" w:eastAsia="Times New Roman" w:cs="Times New Roman"/>
              </w:rPr>
              <w:t>GB</w:t>
            </w:r>
            <w:r>
              <w:rPr>
                <w:rFonts w:ascii="Times New Roman" w:hAnsi="Times New Roman" w:eastAsia="Times New Roman" w:cs="Times New Roman"/>
                <w:spacing w:val="2"/>
              </w:rPr>
              <w:t>/T31962-2015 </w:t>
            </w:r>
            <w:r>
              <w:rPr>
                <w:spacing w:val="2"/>
              </w:rPr>
              <w:t>表</w:t>
            </w:r>
            <w:r>
              <w:rPr>
                <w:spacing w:val="-3"/>
              </w:rPr>
              <w:t xml:space="preserve"> </w:t>
            </w:r>
            <w:r>
              <w:rPr>
                <w:rFonts w:ascii="Times New Roman" w:hAnsi="Times New Roman" w:eastAsia="Times New Roman" w:cs="Times New Roman"/>
                <w:spacing w:val="2"/>
              </w:rPr>
              <w:t>1</w:t>
            </w:r>
            <w:r>
              <w:rPr>
                <w:rFonts w:ascii="Times New Roman" w:hAnsi="Times New Roman" w:eastAsia="Times New Roman" w:cs="Times New Roman"/>
                <w:spacing w:val="29"/>
              </w:rPr>
              <w:t xml:space="preserve"> </w:t>
            </w:r>
            <w:r>
              <w:rPr>
                <w:spacing w:val="2"/>
              </w:rPr>
              <w:t>中</w:t>
            </w:r>
            <w:r>
              <w:rPr>
                <w:spacing w:val="-43"/>
              </w:rPr>
              <w:t xml:space="preserve"> </w:t>
            </w:r>
            <w:r>
              <w:rPr>
                <w:rFonts w:ascii="Times New Roman" w:hAnsi="Times New Roman" w:eastAsia="Times New Roman" w:cs="Times New Roman"/>
                <w:spacing w:val="2"/>
              </w:rPr>
              <w:t>A</w:t>
            </w:r>
            <w:r>
              <w:rPr>
                <w:rFonts w:ascii="Times New Roman" w:hAnsi="Times New Roman" w:eastAsia="Times New Roman" w:cs="Times New Roman"/>
                <w:spacing w:val="14"/>
                <w:w w:val="101"/>
              </w:rPr>
              <w:t xml:space="preserve"> </w:t>
            </w:r>
            <w:r>
              <w:rPr>
                <w:spacing w:val="2"/>
              </w:rPr>
              <w:t>级标准</w:t>
            </w:r>
          </w:p>
        </w:tc>
        <w:tc>
          <w:tcPr>
            <w:tcW w:w="1031" w:type="dxa"/>
            <w:vAlign w:val="top"/>
            <w:vMerge w:val="continue"/>
            <w:tcBorders>
              <w:top w:val="nil"/>
              <w:bottom w:val="nil"/>
            </w:tcBorders>
          </w:tcPr>
          <w:p>
            <w:pPr>
              <w:rPr>
                <w:rFonts w:ascii="Arial"/>
                <w:sz w:val="21"/>
              </w:rPr>
            </w:pPr>
            <w:r/>
          </w:p>
        </w:tc>
        <w:tc>
          <w:tcPr>
            <w:tcW w:w="1693" w:type="dxa"/>
            <w:vAlign w:val="top"/>
          </w:tcPr>
          <w:p>
            <w:pPr>
              <w:pStyle w:val="TableText"/>
              <w:ind w:left="643"/>
              <w:spacing w:before="31" w:line="216" w:lineRule="auto"/>
              <w:rPr/>
            </w:pPr>
            <w:r>
              <w:rPr>
                <w:spacing w:val="4"/>
              </w:rPr>
              <w:t>氨氮</w:t>
            </w:r>
          </w:p>
        </w:tc>
        <w:tc>
          <w:tcPr>
            <w:tcW w:w="1305" w:type="dxa"/>
            <w:vAlign w:val="top"/>
            <w:vMerge w:val="continue"/>
            <w:tcBorders>
              <w:top w:val="nil"/>
              <w:bottom w:val="nil"/>
            </w:tcBorders>
          </w:tcPr>
          <w:p>
            <w:pPr>
              <w:rPr>
                <w:rFonts w:ascii="Arial"/>
                <w:sz w:val="21"/>
              </w:rPr>
            </w:pPr>
            <w:r/>
          </w:p>
        </w:tc>
        <w:tc>
          <w:tcPr>
            <w:tcW w:w="1276" w:type="dxa"/>
            <w:vAlign w:val="top"/>
          </w:tcPr>
          <w:p>
            <w:pPr>
              <w:ind w:left="53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45</w:t>
            </w:r>
          </w:p>
        </w:tc>
      </w:tr>
      <w:tr>
        <w:trPr>
          <w:trHeight w:val="277" w:hRule="atLeast"/>
        </w:trPr>
        <w:tc>
          <w:tcPr>
            <w:tcW w:w="3243" w:type="dxa"/>
            <w:vAlign w:val="top"/>
            <w:vMerge w:val="continue"/>
            <w:tcBorders>
              <w:top w:val="nil"/>
              <w:bottom w:val="nil"/>
            </w:tcBorders>
          </w:tcPr>
          <w:p>
            <w:pPr>
              <w:rPr>
                <w:rFonts w:ascii="Arial"/>
                <w:sz w:val="21"/>
              </w:rPr>
            </w:pPr>
            <w:r/>
          </w:p>
        </w:tc>
        <w:tc>
          <w:tcPr>
            <w:tcW w:w="1031" w:type="dxa"/>
            <w:vAlign w:val="top"/>
            <w:vMerge w:val="continue"/>
            <w:tcBorders>
              <w:top w:val="nil"/>
              <w:bottom w:val="nil"/>
            </w:tcBorders>
          </w:tcPr>
          <w:p>
            <w:pPr>
              <w:rPr>
                <w:rFonts w:ascii="Arial"/>
                <w:sz w:val="21"/>
              </w:rPr>
            </w:pPr>
            <w:r/>
          </w:p>
        </w:tc>
        <w:tc>
          <w:tcPr>
            <w:tcW w:w="1693" w:type="dxa"/>
            <w:vAlign w:val="top"/>
          </w:tcPr>
          <w:p>
            <w:pPr>
              <w:pStyle w:val="TableText"/>
              <w:ind w:left="648"/>
              <w:spacing w:before="35" w:line="214" w:lineRule="auto"/>
              <w:rPr/>
            </w:pPr>
            <w:r>
              <w:rPr>
                <w:spacing w:val="2"/>
              </w:rPr>
              <w:t>总磷</w:t>
            </w:r>
          </w:p>
        </w:tc>
        <w:tc>
          <w:tcPr>
            <w:tcW w:w="1305" w:type="dxa"/>
            <w:vAlign w:val="top"/>
            <w:vMerge w:val="continue"/>
            <w:tcBorders>
              <w:top w:val="nil"/>
              <w:bottom w:val="nil"/>
            </w:tcBorders>
          </w:tcPr>
          <w:p>
            <w:pPr>
              <w:rPr>
                <w:rFonts w:ascii="Arial"/>
                <w:sz w:val="21"/>
              </w:rPr>
            </w:pPr>
            <w:r/>
          </w:p>
        </w:tc>
        <w:tc>
          <w:tcPr>
            <w:tcW w:w="1276" w:type="dxa"/>
            <w:vAlign w:val="top"/>
          </w:tcPr>
          <w:p>
            <w:pPr>
              <w:ind w:left="59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r>
      <w:tr>
        <w:trPr>
          <w:trHeight w:val="280" w:hRule="atLeast"/>
        </w:trPr>
        <w:tc>
          <w:tcPr>
            <w:tcW w:w="3243" w:type="dxa"/>
            <w:vAlign w:val="top"/>
            <w:vMerge w:val="continue"/>
            <w:tcBorders>
              <w:top w:val="nil"/>
            </w:tcBorders>
          </w:tcPr>
          <w:p>
            <w:pPr>
              <w:rPr>
                <w:rFonts w:ascii="Arial"/>
                <w:sz w:val="21"/>
              </w:rPr>
            </w:pPr>
            <w:r/>
          </w:p>
        </w:tc>
        <w:tc>
          <w:tcPr>
            <w:tcW w:w="1031" w:type="dxa"/>
            <w:vAlign w:val="top"/>
            <w:vMerge w:val="continue"/>
            <w:tcBorders>
              <w:top w:val="nil"/>
            </w:tcBorders>
          </w:tcPr>
          <w:p>
            <w:pPr>
              <w:rPr>
                <w:rFonts w:ascii="Arial"/>
                <w:sz w:val="21"/>
              </w:rPr>
            </w:pPr>
            <w:r/>
          </w:p>
        </w:tc>
        <w:tc>
          <w:tcPr>
            <w:tcW w:w="1693" w:type="dxa"/>
            <w:vAlign w:val="top"/>
          </w:tcPr>
          <w:p>
            <w:pPr>
              <w:pStyle w:val="TableText"/>
              <w:ind w:left="648"/>
              <w:spacing w:before="33" w:line="218" w:lineRule="auto"/>
              <w:rPr/>
            </w:pPr>
            <w:r>
              <w:rPr>
                <w:spacing w:val="2"/>
              </w:rPr>
              <w:t>总氮</w:t>
            </w:r>
          </w:p>
        </w:tc>
        <w:tc>
          <w:tcPr>
            <w:tcW w:w="1305" w:type="dxa"/>
            <w:vAlign w:val="top"/>
            <w:vMerge w:val="continue"/>
            <w:tcBorders>
              <w:top w:val="nil"/>
            </w:tcBorders>
          </w:tcPr>
          <w:p>
            <w:pPr>
              <w:rPr>
                <w:rFonts w:ascii="Arial"/>
                <w:sz w:val="21"/>
              </w:rPr>
            </w:pPr>
            <w:r/>
          </w:p>
        </w:tc>
        <w:tc>
          <w:tcPr>
            <w:tcW w:w="1276" w:type="dxa"/>
            <w:vAlign w:val="top"/>
          </w:tcPr>
          <w:p>
            <w:pPr>
              <w:ind w:left="53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70</w:t>
            </w:r>
          </w:p>
        </w:tc>
      </w:tr>
    </w:tbl>
    <w:p>
      <w:pPr>
        <w:ind w:left="614"/>
        <w:spacing w:before="35" w:line="220"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3</w:t>
      </w:r>
      <w:r>
        <w:rPr>
          <w:rFonts w:ascii="SimSun" w:hAnsi="SimSun" w:eastAsia="SimSun" w:cs="SimSun"/>
          <w:sz w:val="24"/>
          <w:szCs w:val="24"/>
          <w:spacing w:val="-5"/>
        </w:rPr>
        <w:t>）噪声</w:t>
      </w:r>
    </w:p>
    <w:p>
      <w:pPr>
        <w:ind w:left="118" w:right="14" w:firstLine="488"/>
        <w:spacing w:before="179" w:line="360" w:lineRule="auto"/>
        <w:rPr>
          <w:rFonts w:ascii="SimSun" w:hAnsi="SimSun" w:eastAsia="SimSun" w:cs="SimSun"/>
          <w:sz w:val="24"/>
          <w:szCs w:val="24"/>
        </w:rPr>
      </w:pPr>
      <w:r>
        <w:rPr>
          <w:rFonts w:ascii="SimSun" w:hAnsi="SimSun" w:eastAsia="SimSun" w:cs="SimSun"/>
          <w:sz w:val="24"/>
          <w:szCs w:val="24"/>
          <w:spacing w:val="-3"/>
        </w:rPr>
        <w:t>项目厂界噪声排放执行《工业企业厂界环境噪声排放标准》（</w:t>
      </w:r>
      <w:r>
        <w:rPr>
          <w:rFonts w:ascii="Times New Roman" w:hAnsi="Times New Roman" w:eastAsia="Times New Roman" w:cs="Times New Roman"/>
          <w:sz w:val="24"/>
          <w:szCs w:val="24"/>
          <w:spacing w:val="-3"/>
        </w:rPr>
        <w:t>GB12348-2008</w:t>
      </w:r>
      <w:r>
        <w:rPr>
          <w:rFonts w:ascii="SimSun" w:hAnsi="SimSun" w:eastAsia="SimSun" w:cs="SimSun"/>
          <w:sz w:val="24"/>
          <w:szCs w:val="24"/>
          <w:spacing w:val="-3"/>
        </w:rPr>
        <w:t>）</w:t>
      </w:r>
      <w:r>
        <w:rPr>
          <w:rFonts w:ascii="SimSun" w:hAnsi="SimSun" w:eastAsia="SimSun" w:cs="SimSun"/>
          <w:sz w:val="24"/>
          <w:szCs w:val="24"/>
          <w:spacing w:val="14"/>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类标准，标准值见表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2.6-12</w:t>
      </w:r>
      <w:r>
        <w:rPr>
          <w:rFonts w:ascii="SimSun" w:hAnsi="SimSun" w:eastAsia="SimSun" w:cs="SimSun"/>
          <w:sz w:val="24"/>
          <w:szCs w:val="24"/>
          <w:spacing w:val="-1"/>
        </w:rPr>
        <w:t>。</w:t>
      </w:r>
    </w:p>
    <w:p>
      <w:pPr>
        <w:ind w:left="2528"/>
        <w:spacing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2.6-12      </w:t>
      </w:r>
      <w:r>
        <w:rPr>
          <w:rFonts w:ascii="SimSun" w:hAnsi="SimSun" w:eastAsia="SimSun" w:cs="SimSun"/>
          <w:sz w:val="24"/>
          <w:szCs w:val="24"/>
          <w:b/>
          <w:bCs/>
          <w:spacing w:val="-2"/>
        </w:rPr>
        <w:t>工业企业厂界噪声标准</w:t>
      </w:r>
    </w:p>
    <w:tbl>
      <w:tblPr>
        <w:tblStyle w:val="TableNormal"/>
        <w:tblW w:w="8517" w:type="dxa"/>
        <w:tblInd w:w="106"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419"/>
        <w:gridCol w:w="3321"/>
        <w:gridCol w:w="2777"/>
      </w:tblGrid>
      <w:tr>
        <w:trPr>
          <w:trHeight w:val="280" w:hRule="atLeast"/>
        </w:trPr>
        <w:tc>
          <w:tcPr>
            <w:tcW w:w="2419" w:type="dxa"/>
            <w:vAlign w:val="top"/>
            <w:vMerge w:val="restart"/>
            <w:tcBorders>
              <w:bottom w:val="nil"/>
            </w:tcBorders>
          </w:tcPr>
          <w:p>
            <w:pPr>
              <w:pStyle w:val="TableText"/>
              <w:ind w:left="1006"/>
              <w:spacing w:before="175" w:line="228" w:lineRule="auto"/>
              <w:rPr/>
            </w:pPr>
            <w:r>
              <w:rPr>
                <w:spacing w:val="4"/>
              </w:rPr>
              <w:t>类别</w:t>
            </w:r>
          </w:p>
        </w:tc>
        <w:tc>
          <w:tcPr>
            <w:tcW w:w="6098" w:type="dxa"/>
            <w:vAlign w:val="top"/>
            <w:gridSpan w:val="2"/>
          </w:tcPr>
          <w:p>
            <w:pPr>
              <w:pStyle w:val="TableText"/>
              <w:ind w:left="2208"/>
              <w:spacing w:before="34" w:line="217" w:lineRule="auto"/>
              <w:rPr/>
            </w:pPr>
            <w:r>
              <w:rPr>
                <w:spacing w:val="5"/>
              </w:rPr>
              <w:t>噪声限值</w:t>
            </w:r>
            <w:r>
              <w:rPr>
                <w:spacing w:val="-35"/>
              </w:rPr>
              <w:t xml:space="preserve"> </w:t>
            </w:r>
            <w:r>
              <w:rPr>
                <w:rFonts w:ascii="Times New Roman" w:hAnsi="Times New Roman" w:eastAsia="Times New Roman" w:cs="Times New Roman"/>
              </w:rPr>
              <w:t>dB</w:t>
            </w:r>
            <w:r>
              <w:rPr>
                <w:spacing w:val="5"/>
              </w:rPr>
              <w:t>（</w:t>
            </w:r>
            <w:r>
              <w:rPr>
                <w:rFonts w:ascii="Times New Roman" w:hAnsi="Times New Roman" w:eastAsia="Times New Roman" w:cs="Times New Roman"/>
                <w:spacing w:val="5"/>
              </w:rPr>
              <w:t>A</w:t>
            </w:r>
            <w:r>
              <w:rPr>
                <w:spacing w:val="5"/>
              </w:rPr>
              <w:t>）</w:t>
            </w:r>
          </w:p>
        </w:tc>
      </w:tr>
      <w:tr>
        <w:trPr>
          <w:trHeight w:val="276" w:hRule="atLeast"/>
        </w:trPr>
        <w:tc>
          <w:tcPr>
            <w:tcW w:w="2419" w:type="dxa"/>
            <w:vAlign w:val="top"/>
            <w:vMerge w:val="continue"/>
            <w:tcBorders>
              <w:top w:val="nil"/>
            </w:tcBorders>
          </w:tcPr>
          <w:p>
            <w:pPr>
              <w:rPr>
                <w:rFonts w:ascii="Arial"/>
                <w:sz w:val="21"/>
              </w:rPr>
            </w:pPr>
            <w:r/>
          </w:p>
        </w:tc>
        <w:tc>
          <w:tcPr>
            <w:tcW w:w="3321" w:type="dxa"/>
            <w:vAlign w:val="top"/>
          </w:tcPr>
          <w:p>
            <w:pPr>
              <w:pStyle w:val="TableText"/>
              <w:ind w:left="1454"/>
              <w:spacing w:before="33" w:line="215" w:lineRule="auto"/>
              <w:rPr/>
            </w:pPr>
            <w:r>
              <w:rPr>
                <w:spacing w:val="5"/>
              </w:rPr>
              <w:t>昼间</w:t>
            </w:r>
          </w:p>
        </w:tc>
        <w:tc>
          <w:tcPr>
            <w:tcW w:w="2777" w:type="dxa"/>
            <w:vAlign w:val="top"/>
          </w:tcPr>
          <w:p>
            <w:pPr>
              <w:pStyle w:val="TableText"/>
              <w:ind w:left="1187"/>
              <w:spacing w:before="33" w:line="215" w:lineRule="auto"/>
              <w:rPr/>
            </w:pPr>
            <w:r>
              <w:rPr>
                <w:spacing w:val="3"/>
              </w:rPr>
              <w:t>夜间</w:t>
            </w:r>
          </w:p>
        </w:tc>
      </w:tr>
      <w:tr>
        <w:trPr>
          <w:trHeight w:val="249" w:hRule="atLeast"/>
        </w:trPr>
        <w:tc>
          <w:tcPr>
            <w:tcW w:w="2419" w:type="dxa"/>
            <w:vAlign w:val="top"/>
          </w:tcPr>
          <w:p>
            <w:pPr>
              <w:ind w:left="1158"/>
              <w:spacing w:before="56"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3321" w:type="dxa"/>
            <w:vAlign w:val="top"/>
          </w:tcPr>
          <w:p>
            <w:pPr>
              <w:ind w:left="1561"/>
              <w:spacing w:before="56"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2777" w:type="dxa"/>
            <w:vAlign w:val="top"/>
          </w:tcPr>
          <w:p>
            <w:pPr>
              <w:ind w:left="1289"/>
              <w:spacing w:before="56"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r>
    </w:tbl>
    <w:p>
      <w:pPr>
        <w:ind w:left="134" w:right="126" w:firstLine="472"/>
        <w:spacing w:before="37" w:line="358" w:lineRule="auto"/>
        <w:rPr>
          <w:rFonts w:ascii="SimSun" w:hAnsi="SimSun" w:eastAsia="SimSun" w:cs="SimSun"/>
          <w:sz w:val="24"/>
          <w:szCs w:val="24"/>
        </w:rPr>
      </w:pPr>
      <w:r>
        <w:rPr>
          <w:rFonts w:ascii="SimSun" w:hAnsi="SimSun" w:eastAsia="SimSun" w:cs="SimSun"/>
          <w:sz w:val="24"/>
          <w:szCs w:val="24"/>
          <w:spacing w:val="2"/>
        </w:rPr>
        <w:t>项目施工期建筑施工场界噪声排放执行《建筑施工场界环境噪声排放标准》</w:t>
      </w:r>
      <w:r>
        <w:rPr>
          <w:rFonts w:ascii="SimSun" w:hAnsi="SimSun" w:eastAsia="SimSun" w:cs="SimSun"/>
          <w:sz w:val="24"/>
          <w:szCs w:val="24"/>
          <w:spacing w:val="10"/>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GB12523-2011</w:t>
      </w:r>
      <w:r>
        <w:rPr>
          <w:rFonts w:ascii="SimSun" w:hAnsi="SimSun" w:eastAsia="SimSun" w:cs="SimSun"/>
          <w:sz w:val="24"/>
          <w:szCs w:val="24"/>
          <w:spacing w:val="-1"/>
        </w:rPr>
        <w:t>）标准限值。标准值见表</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2.6-13</w:t>
      </w:r>
      <w:r>
        <w:rPr>
          <w:rFonts w:ascii="SimSun" w:hAnsi="SimSun" w:eastAsia="SimSun" w:cs="SimSun"/>
          <w:sz w:val="24"/>
          <w:szCs w:val="24"/>
          <w:spacing w:val="-1"/>
        </w:rPr>
        <w:t>。</w:t>
      </w:r>
    </w:p>
    <w:p>
      <w:pPr>
        <w:ind w:left="2528"/>
        <w:spacing w:before="1"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2.6-13      </w:t>
      </w:r>
      <w:r>
        <w:rPr>
          <w:rFonts w:ascii="SimSun" w:hAnsi="SimSun" w:eastAsia="SimSun" w:cs="SimSun"/>
          <w:sz w:val="24"/>
          <w:szCs w:val="24"/>
          <w:b/>
          <w:bCs/>
          <w:spacing w:val="-2"/>
        </w:rPr>
        <w:t>建筑施工场界噪声限值</w:t>
      </w:r>
    </w:p>
    <w:tbl>
      <w:tblPr>
        <w:tblStyle w:val="TableNormal"/>
        <w:tblW w:w="8517" w:type="dxa"/>
        <w:tblInd w:w="106"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382"/>
        <w:gridCol w:w="3125"/>
        <w:gridCol w:w="3010"/>
      </w:tblGrid>
      <w:tr>
        <w:trPr>
          <w:trHeight w:val="280" w:hRule="atLeast"/>
        </w:trPr>
        <w:tc>
          <w:tcPr>
            <w:tcW w:w="2382" w:type="dxa"/>
            <w:vAlign w:val="top"/>
            <w:vMerge w:val="restart"/>
            <w:tcBorders>
              <w:bottom w:val="nil"/>
            </w:tcBorders>
          </w:tcPr>
          <w:p>
            <w:pPr>
              <w:pStyle w:val="TableText"/>
              <w:ind w:left="569"/>
              <w:spacing w:before="303" w:line="228" w:lineRule="auto"/>
              <w:rPr/>
            </w:pPr>
            <w:r>
              <w:rPr>
                <w:spacing w:val="7"/>
              </w:rPr>
              <w:t>建筑施工场界</w:t>
            </w:r>
          </w:p>
        </w:tc>
        <w:tc>
          <w:tcPr>
            <w:tcW w:w="6135" w:type="dxa"/>
            <w:vAlign w:val="top"/>
            <w:gridSpan w:val="2"/>
          </w:tcPr>
          <w:p>
            <w:pPr>
              <w:pStyle w:val="TableText"/>
              <w:ind w:left="2226"/>
              <w:spacing w:before="37" w:line="215" w:lineRule="auto"/>
              <w:rPr/>
            </w:pPr>
            <w:r>
              <w:rPr>
                <w:spacing w:val="5"/>
              </w:rPr>
              <w:t>噪声限值</w:t>
            </w:r>
            <w:r>
              <w:rPr>
                <w:spacing w:val="-35"/>
              </w:rPr>
              <w:t xml:space="preserve"> </w:t>
            </w:r>
            <w:r>
              <w:rPr>
                <w:rFonts w:ascii="Times New Roman" w:hAnsi="Times New Roman" w:eastAsia="Times New Roman" w:cs="Times New Roman"/>
              </w:rPr>
              <w:t>dB</w:t>
            </w:r>
            <w:r>
              <w:rPr>
                <w:spacing w:val="5"/>
              </w:rPr>
              <w:t>（</w:t>
            </w:r>
            <w:r>
              <w:rPr>
                <w:rFonts w:ascii="Times New Roman" w:hAnsi="Times New Roman" w:eastAsia="Times New Roman" w:cs="Times New Roman"/>
                <w:spacing w:val="5"/>
              </w:rPr>
              <w:t>A</w:t>
            </w:r>
            <w:r>
              <w:rPr>
                <w:spacing w:val="5"/>
              </w:rPr>
              <w:t>）</w:t>
            </w:r>
          </w:p>
        </w:tc>
      </w:tr>
      <w:tr>
        <w:trPr>
          <w:trHeight w:val="276" w:hRule="atLeast"/>
        </w:trPr>
        <w:tc>
          <w:tcPr>
            <w:tcW w:w="2382" w:type="dxa"/>
            <w:vAlign w:val="top"/>
            <w:vMerge w:val="continue"/>
            <w:tcBorders>
              <w:top w:val="nil"/>
              <w:bottom w:val="nil"/>
            </w:tcBorders>
          </w:tcPr>
          <w:p>
            <w:pPr>
              <w:rPr>
                <w:rFonts w:ascii="Arial"/>
                <w:sz w:val="21"/>
              </w:rPr>
            </w:pPr>
            <w:r/>
          </w:p>
        </w:tc>
        <w:tc>
          <w:tcPr>
            <w:tcW w:w="3125" w:type="dxa"/>
            <w:vAlign w:val="top"/>
          </w:tcPr>
          <w:p>
            <w:pPr>
              <w:pStyle w:val="TableText"/>
              <w:ind w:left="1356"/>
              <w:spacing w:before="33" w:line="215" w:lineRule="auto"/>
              <w:rPr/>
            </w:pPr>
            <w:r>
              <w:rPr>
                <w:spacing w:val="5"/>
              </w:rPr>
              <w:t>昼间</w:t>
            </w:r>
          </w:p>
        </w:tc>
        <w:tc>
          <w:tcPr>
            <w:tcW w:w="3010" w:type="dxa"/>
            <w:vAlign w:val="top"/>
          </w:tcPr>
          <w:p>
            <w:pPr>
              <w:pStyle w:val="TableText"/>
              <w:ind w:left="1303"/>
              <w:spacing w:before="33" w:line="215" w:lineRule="auto"/>
              <w:rPr/>
            </w:pPr>
            <w:r>
              <w:rPr>
                <w:spacing w:val="3"/>
              </w:rPr>
              <w:t>夜间</w:t>
            </w:r>
          </w:p>
        </w:tc>
      </w:tr>
      <w:tr>
        <w:trPr>
          <w:trHeight w:val="249" w:hRule="atLeast"/>
        </w:trPr>
        <w:tc>
          <w:tcPr>
            <w:tcW w:w="2382" w:type="dxa"/>
            <w:vAlign w:val="top"/>
            <w:vMerge w:val="continue"/>
            <w:tcBorders>
              <w:top w:val="nil"/>
            </w:tcBorders>
          </w:tcPr>
          <w:p>
            <w:pPr>
              <w:rPr>
                <w:rFonts w:ascii="Arial"/>
                <w:sz w:val="21"/>
              </w:rPr>
            </w:pPr>
            <w:r/>
          </w:p>
        </w:tc>
        <w:tc>
          <w:tcPr>
            <w:tcW w:w="3125" w:type="dxa"/>
            <w:vAlign w:val="top"/>
          </w:tcPr>
          <w:p>
            <w:pPr>
              <w:ind w:left="1462"/>
              <w:spacing w:before="54" w:line="193"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70</w:t>
            </w:r>
          </w:p>
        </w:tc>
        <w:tc>
          <w:tcPr>
            <w:tcW w:w="3010" w:type="dxa"/>
            <w:vAlign w:val="top"/>
          </w:tcPr>
          <w:p>
            <w:pPr>
              <w:ind w:left="1407"/>
              <w:spacing w:before="56"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55</w:t>
            </w:r>
          </w:p>
        </w:tc>
      </w:tr>
    </w:tbl>
    <w:p>
      <w:pPr>
        <w:ind w:left="614"/>
        <w:spacing w:before="37" w:line="220"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4</w:t>
      </w:r>
      <w:r>
        <w:rPr>
          <w:rFonts w:ascii="SimSun" w:hAnsi="SimSun" w:eastAsia="SimSun" w:cs="SimSun"/>
          <w:sz w:val="24"/>
          <w:szCs w:val="24"/>
          <w:spacing w:val="-5"/>
        </w:rPr>
        <w:t>）固废</w:t>
      </w:r>
    </w:p>
    <w:p>
      <w:pPr>
        <w:ind w:left="123" w:right="113" w:firstLine="480"/>
        <w:spacing w:before="181" w:line="360" w:lineRule="auto"/>
        <w:rPr>
          <w:rFonts w:ascii="SimSun" w:hAnsi="SimSun" w:eastAsia="SimSun" w:cs="SimSun"/>
          <w:sz w:val="24"/>
          <w:szCs w:val="24"/>
        </w:rPr>
      </w:pPr>
      <w:r>
        <w:rPr>
          <w:rFonts w:ascii="SimSun" w:hAnsi="SimSun" w:eastAsia="SimSun" w:cs="SimSun"/>
          <w:sz w:val="24"/>
          <w:szCs w:val="24"/>
          <w:spacing w:val="3"/>
        </w:rPr>
        <w:t>本项目产生的一般固废在厂区内暂存污染控制参照执行《</w:t>
      </w:r>
      <w:r>
        <w:rPr>
          <w:rFonts w:ascii="SimSun" w:hAnsi="SimSun" w:eastAsia="SimSun" w:cs="SimSun"/>
          <w:sz w:val="24"/>
          <w:szCs w:val="24"/>
          <w:spacing w:val="2"/>
        </w:rPr>
        <w:t>一般工业固体废物</w:t>
      </w:r>
      <w:r>
        <w:rPr>
          <w:rFonts w:ascii="SimSun" w:hAnsi="SimSun" w:eastAsia="SimSun" w:cs="SimSun"/>
          <w:sz w:val="24"/>
          <w:szCs w:val="24"/>
        </w:rPr>
        <w:t xml:space="preserve"> </w:t>
      </w:r>
      <w:r>
        <w:rPr>
          <w:rFonts w:ascii="SimSun" w:hAnsi="SimSun" w:eastAsia="SimSun" w:cs="SimSun"/>
          <w:sz w:val="24"/>
          <w:szCs w:val="24"/>
          <w:spacing w:val="-1"/>
        </w:rPr>
        <w:t>贮存和填埋污染控制标准》（</w:t>
      </w:r>
      <w:r>
        <w:rPr>
          <w:rFonts w:ascii="Times New Roman" w:hAnsi="Times New Roman" w:eastAsia="Times New Roman" w:cs="Times New Roman"/>
          <w:sz w:val="24"/>
          <w:szCs w:val="24"/>
          <w:spacing w:val="-1"/>
        </w:rPr>
        <w:t>GB</w:t>
      </w:r>
      <w:r>
        <w:rPr>
          <w:rFonts w:ascii="Times New Roman" w:hAnsi="Times New Roman" w:eastAsia="Times New Roman" w:cs="Times New Roman"/>
          <w:sz w:val="24"/>
          <w:szCs w:val="24"/>
          <w:spacing w:val="30"/>
        </w:rPr>
        <w:t xml:space="preserve"> </w:t>
      </w:r>
      <w:r>
        <w:rPr>
          <w:rFonts w:ascii="Times New Roman" w:hAnsi="Times New Roman" w:eastAsia="Times New Roman" w:cs="Times New Roman"/>
          <w:sz w:val="24"/>
          <w:szCs w:val="24"/>
          <w:spacing w:val="-1"/>
        </w:rPr>
        <w:t>18599</w:t>
      </w:r>
      <w:r>
        <w:rPr>
          <w:rFonts w:ascii="Times New Roman" w:hAnsi="Times New Roman" w:eastAsia="Times New Roman" w:cs="Times New Roman"/>
          <w:sz w:val="24"/>
          <w:szCs w:val="24"/>
          <w:spacing w:val="-2"/>
        </w:rPr>
        <w:t>-2020</w:t>
      </w:r>
      <w:r>
        <w:rPr>
          <w:rFonts w:ascii="SimSun" w:hAnsi="SimSun" w:eastAsia="SimSun" w:cs="SimSun"/>
          <w:sz w:val="24"/>
          <w:szCs w:val="24"/>
          <w:spacing w:val="3"/>
        </w:rPr>
        <w:t>），</w:t>
      </w:r>
      <w:r>
        <w:rPr>
          <w:rFonts w:ascii="SimSun" w:hAnsi="SimSun" w:eastAsia="SimSun" w:cs="SimSun"/>
          <w:sz w:val="24"/>
          <w:szCs w:val="24"/>
          <w:spacing w:val="-2"/>
        </w:rPr>
        <w:t>危险废物厂区内暂存污染控制执</w:t>
      </w:r>
      <w:r>
        <w:rPr>
          <w:rFonts w:ascii="SimSun" w:hAnsi="SimSun" w:eastAsia="SimSun" w:cs="SimSun"/>
          <w:sz w:val="24"/>
          <w:szCs w:val="24"/>
        </w:rPr>
        <w:t xml:space="preserve"> </w:t>
      </w:r>
      <w:r>
        <w:rPr>
          <w:rFonts w:ascii="SimSun" w:hAnsi="SimSun" w:eastAsia="SimSun" w:cs="SimSun"/>
          <w:sz w:val="24"/>
          <w:szCs w:val="24"/>
          <w:spacing w:val="-1"/>
        </w:rPr>
        <w:t>行《危险废物贮存污染控制标准》（</w:t>
      </w:r>
      <w:r>
        <w:rPr>
          <w:rFonts w:ascii="Times New Roman" w:hAnsi="Times New Roman" w:eastAsia="Times New Roman" w:cs="Times New Roman"/>
          <w:sz w:val="24"/>
          <w:szCs w:val="24"/>
          <w:spacing w:val="-1"/>
        </w:rPr>
        <w:t>GB</w:t>
      </w:r>
      <w:r>
        <w:rPr>
          <w:rFonts w:ascii="Times New Roman" w:hAnsi="Times New Roman" w:eastAsia="Times New Roman" w:cs="Times New Roman"/>
          <w:sz w:val="24"/>
          <w:szCs w:val="24"/>
          <w:spacing w:val="27"/>
        </w:rPr>
        <w:t xml:space="preserve"> </w:t>
      </w:r>
      <w:r>
        <w:rPr>
          <w:rFonts w:ascii="Times New Roman" w:hAnsi="Times New Roman" w:eastAsia="Times New Roman" w:cs="Times New Roman"/>
          <w:sz w:val="24"/>
          <w:szCs w:val="24"/>
          <w:spacing w:val="-1"/>
        </w:rPr>
        <w:t>185</w:t>
      </w:r>
      <w:r>
        <w:rPr>
          <w:rFonts w:ascii="Times New Roman" w:hAnsi="Times New Roman" w:eastAsia="Times New Roman" w:cs="Times New Roman"/>
          <w:sz w:val="24"/>
          <w:szCs w:val="24"/>
          <w:spacing w:val="-2"/>
        </w:rPr>
        <w:t>97-2023</w:t>
      </w:r>
      <w:r>
        <w:rPr>
          <w:rFonts w:ascii="SimSun" w:hAnsi="SimSun" w:eastAsia="SimSun" w:cs="SimSun"/>
          <w:sz w:val="24"/>
          <w:szCs w:val="24"/>
          <w:spacing w:val="-2"/>
        </w:rPr>
        <w:t>）。</w:t>
      </w:r>
    </w:p>
    <w:p>
      <w:pPr>
        <w:ind w:left="119"/>
        <w:spacing w:before="159" w:line="222" w:lineRule="auto"/>
        <w:outlineLvl w:val="1"/>
        <w:rPr>
          <w:rFonts w:ascii="SimHei" w:hAnsi="SimHei" w:eastAsia="SimHei" w:cs="SimHei"/>
          <w:sz w:val="30"/>
          <w:szCs w:val="30"/>
        </w:rPr>
      </w:pPr>
      <w:bookmarkStart w:name="bookmark42" w:id="49"/>
      <w:bookmarkEnd w:id="49"/>
      <w:r>
        <w:rPr>
          <w:rFonts w:ascii="Times New Roman" w:hAnsi="Times New Roman" w:eastAsia="Times New Roman" w:cs="Times New Roman"/>
          <w:sz w:val="30"/>
          <w:szCs w:val="30"/>
          <w:spacing w:val="-1"/>
        </w:rPr>
        <w:t>2.7 </w:t>
      </w:r>
      <w:r>
        <w:rPr>
          <w:rFonts w:ascii="SimHei" w:hAnsi="SimHei" w:eastAsia="SimHei" w:cs="SimHei"/>
          <w:sz w:val="30"/>
          <w:szCs w:val="30"/>
          <w:spacing w:val="-1"/>
        </w:rPr>
        <w:t>环境保护目标</w:t>
      </w:r>
    </w:p>
    <w:p>
      <w:pPr>
        <w:pStyle w:val="BodyText"/>
        <w:spacing w:line="290" w:lineRule="auto"/>
        <w:rPr/>
      </w:pPr>
      <w:r/>
    </w:p>
    <w:p>
      <w:pPr>
        <w:ind w:left="121" w:right="114" w:firstLine="481"/>
        <w:spacing w:before="79" w:line="359" w:lineRule="auto"/>
        <w:jc w:val="both"/>
        <w:rPr>
          <w:rFonts w:ascii="SimSun" w:hAnsi="SimSun" w:eastAsia="SimSun" w:cs="SimSun"/>
          <w:sz w:val="24"/>
          <w:szCs w:val="24"/>
        </w:rPr>
      </w:pPr>
      <w:r>
        <w:rPr>
          <w:rFonts w:ascii="SimSun" w:hAnsi="SimSun" w:eastAsia="SimSun" w:cs="SimSun"/>
          <w:sz w:val="24"/>
          <w:szCs w:val="24"/>
          <w:spacing w:val="3"/>
        </w:rPr>
        <w:t>本项目评价范围内无自然保护区、水源保护区及其他文物</w:t>
      </w:r>
      <w:r>
        <w:rPr>
          <w:rFonts w:ascii="SimSun" w:hAnsi="SimSun" w:eastAsia="SimSun" w:cs="SimSun"/>
          <w:sz w:val="24"/>
          <w:szCs w:val="24"/>
          <w:spacing w:val="2"/>
        </w:rPr>
        <w:t>保护单位，因此本</w:t>
      </w:r>
      <w:r>
        <w:rPr>
          <w:rFonts w:ascii="SimSun" w:hAnsi="SimSun" w:eastAsia="SimSun" w:cs="SimSun"/>
          <w:sz w:val="24"/>
          <w:szCs w:val="24"/>
        </w:rPr>
        <w:t xml:space="preserve"> </w:t>
      </w:r>
      <w:r>
        <w:rPr>
          <w:rFonts w:ascii="SimSun" w:hAnsi="SimSun" w:eastAsia="SimSun" w:cs="SimSun"/>
          <w:sz w:val="24"/>
          <w:szCs w:val="24"/>
          <w:spacing w:val="3"/>
        </w:rPr>
        <w:t>评价的环境保护目标是厂址周围村镇居民点，区域大</w:t>
      </w:r>
      <w:r>
        <w:rPr>
          <w:rFonts w:ascii="SimSun" w:hAnsi="SimSun" w:eastAsia="SimSun" w:cs="SimSun"/>
          <w:sz w:val="24"/>
          <w:szCs w:val="24"/>
          <w:spacing w:val="2"/>
        </w:rPr>
        <w:t>气环境、地表水环境、地下</w:t>
      </w:r>
      <w:r>
        <w:rPr>
          <w:rFonts w:ascii="SimSun" w:hAnsi="SimSun" w:eastAsia="SimSun" w:cs="SimSun"/>
          <w:sz w:val="24"/>
          <w:szCs w:val="24"/>
        </w:rPr>
        <w:t xml:space="preserve"> </w:t>
      </w:r>
      <w:r>
        <w:rPr>
          <w:rFonts w:ascii="SimSun" w:hAnsi="SimSun" w:eastAsia="SimSun" w:cs="SimSun"/>
          <w:sz w:val="24"/>
          <w:szCs w:val="24"/>
          <w:spacing w:val="-1"/>
        </w:rPr>
        <w:t>水环境、土壤环境等。</w:t>
      </w:r>
    </w:p>
    <w:p>
      <w:pPr>
        <w:ind w:left="121" w:right="33" w:firstLine="503"/>
        <w:spacing w:before="1" w:line="359" w:lineRule="auto"/>
        <w:jc w:val="both"/>
        <w:rPr>
          <w:rFonts w:ascii="SimSun" w:hAnsi="SimSun" w:eastAsia="SimSun" w:cs="SimSun"/>
          <w:sz w:val="24"/>
          <w:szCs w:val="24"/>
        </w:rPr>
      </w:pPr>
      <w:r>
        <w:rPr>
          <w:rFonts w:ascii="SimSun" w:hAnsi="SimSun" w:eastAsia="SimSun" w:cs="SimSun"/>
          <w:sz w:val="24"/>
          <w:szCs w:val="24"/>
          <w:spacing w:val="2"/>
        </w:rPr>
        <w:t>明安图镇镇区居民均由明安图镇自来水厂供水，供水水源地为朝鲁温格其水</w:t>
      </w:r>
      <w:r>
        <w:rPr>
          <w:rFonts w:ascii="SimSun" w:hAnsi="SimSun" w:eastAsia="SimSun" w:cs="SimSun"/>
          <w:sz w:val="24"/>
          <w:szCs w:val="24"/>
          <w:spacing w:val="6"/>
        </w:rPr>
        <w:t xml:space="preserve"> </w:t>
      </w:r>
      <w:r>
        <w:rPr>
          <w:rFonts w:ascii="SimSun" w:hAnsi="SimSun" w:eastAsia="SimSun" w:cs="SimSun"/>
          <w:sz w:val="24"/>
          <w:szCs w:val="24"/>
          <w:spacing w:val="3"/>
        </w:rPr>
        <w:t>源地和阿拉坦嘎达苏水源地，水源地均位于调查评价</w:t>
      </w:r>
      <w:r>
        <w:rPr>
          <w:rFonts w:ascii="SimSun" w:hAnsi="SimSun" w:eastAsia="SimSun" w:cs="SimSun"/>
          <w:sz w:val="24"/>
          <w:szCs w:val="24"/>
          <w:spacing w:val="2"/>
        </w:rPr>
        <w:t>范围之外，本项目距最近水</w:t>
      </w:r>
      <w:r>
        <w:rPr>
          <w:rFonts w:ascii="SimSun" w:hAnsi="SimSun" w:eastAsia="SimSun" w:cs="SimSun"/>
          <w:sz w:val="24"/>
          <w:szCs w:val="24"/>
        </w:rPr>
        <w:t xml:space="preserve"> </w:t>
      </w:r>
      <w:r>
        <w:rPr>
          <w:rFonts w:ascii="SimSun" w:hAnsi="SimSun" w:eastAsia="SimSun" w:cs="SimSun"/>
          <w:sz w:val="24"/>
          <w:szCs w:val="24"/>
          <w:spacing w:val="-2"/>
        </w:rPr>
        <w:t>源地朝鲁温格其水源地</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2"/>
        </w:rPr>
        <w:t>12.</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1km</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2"/>
        </w:rPr>
        <w:t>，调查评价范围内保护目标主要为居民分散式饮用</w:t>
      </w:r>
      <w:r>
        <w:rPr>
          <w:rFonts w:ascii="SimSun" w:hAnsi="SimSun" w:eastAsia="SimSun" w:cs="SimSun"/>
          <w:sz w:val="24"/>
          <w:szCs w:val="24"/>
        </w:rPr>
        <w:t xml:space="preserve"> </w:t>
      </w:r>
      <w:r>
        <w:rPr>
          <w:rFonts w:ascii="SimSun" w:hAnsi="SimSun" w:eastAsia="SimSun" w:cs="SimSun"/>
          <w:sz w:val="24"/>
          <w:szCs w:val="24"/>
          <w:spacing w:val="3"/>
        </w:rPr>
        <w:t>水井，属于分散式饮用水源地，评价范围具有供水意义的含</w:t>
      </w:r>
      <w:r>
        <w:rPr>
          <w:rFonts w:ascii="SimSun" w:hAnsi="SimSun" w:eastAsia="SimSun" w:cs="SimSun"/>
          <w:sz w:val="24"/>
          <w:szCs w:val="24"/>
          <w:spacing w:val="2"/>
        </w:rPr>
        <w:t>水层为第四系松散岩</w:t>
      </w:r>
      <w:r>
        <w:rPr>
          <w:rFonts w:ascii="SimSun" w:hAnsi="SimSun" w:eastAsia="SimSun" w:cs="SimSun"/>
          <w:sz w:val="24"/>
          <w:szCs w:val="24"/>
        </w:rPr>
        <w:t xml:space="preserve"> </w:t>
      </w:r>
      <w:r>
        <w:rPr>
          <w:rFonts w:ascii="SimSun" w:hAnsi="SimSun" w:eastAsia="SimSun" w:cs="SimSun"/>
          <w:sz w:val="24"/>
          <w:szCs w:val="24"/>
          <w:spacing w:val="-6"/>
        </w:rPr>
        <w:t>类孔隙水含水层、基岩裂隙水含水体，地下水环境保护目标详见表</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6"/>
        </w:rPr>
        <w:t>2.7-1</w:t>
      </w:r>
      <w:r>
        <w:rPr>
          <w:rFonts w:ascii="SimSun" w:hAnsi="SimSun" w:eastAsia="SimSun" w:cs="SimSun"/>
          <w:sz w:val="24"/>
          <w:szCs w:val="24"/>
          <w:spacing w:val="-6"/>
        </w:rPr>
        <w:t>、图</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2.7-1</w:t>
      </w:r>
      <w:r>
        <w:rPr>
          <w:rFonts w:ascii="SimSun" w:hAnsi="SimSun" w:eastAsia="SimSun" w:cs="SimSun"/>
          <w:sz w:val="24"/>
          <w:szCs w:val="24"/>
          <w:spacing w:val="-6"/>
        </w:rPr>
        <w:t>。</w:t>
      </w:r>
    </w:p>
    <w:p>
      <w:pPr>
        <w:ind w:left="2346"/>
        <w:spacing w:before="1"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2.7-1      </w:t>
      </w:r>
      <w:r>
        <w:rPr>
          <w:rFonts w:ascii="SimSun" w:hAnsi="SimSun" w:eastAsia="SimSun" w:cs="SimSun"/>
          <w:sz w:val="24"/>
          <w:szCs w:val="24"/>
          <w:b/>
          <w:bCs/>
          <w:spacing w:val="-2"/>
        </w:rPr>
        <w:t>地下水环境保护目标一览表</w:t>
      </w:r>
    </w:p>
    <w:tbl>
      <w:tblPr>
        <w:tblStyle w:val="TableNormal"/>
        <w:tblW w:w="872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09"/>
        <w:gridCol w:w="1156"/>
        <w:gridCol w:w="1114"/>
        <w:gridCol w:w="1863"/>
        <w:gridCol w:w="750"/>
        <w:gridCol w:w="910"/>
        <w:gridCol w:w="782"/>
        <w:gridCol w:w="1541"/>
      </w:tblGrid>
      <w:tr>
        <w:trPr>
          <w:trHeight w:val="551" w:hRule="atLeast"/>
        </w:trPr>
        <w:tc>
          <w:tcPr>
            <w:tcW w:w="609" w:type="dxa"/>
            <w:vAlign w:val="top"/>
            <w:textDirection w:val="tbRlV"/>
          </w:tcPr>
          <w:p>
            <w:pPr>
              <w:pStyle w:val="TableText"/>
              <w:ind w:left="35"/>
              <w:spacing w:before="197" w:line="218" w:lineRule="auto"/>
              <w:rPr/>
            </w:pPr>
            <w:r>
              <w:rPr>
                <w:b/>
                <w:bCs/>
                <w:spacing w:val="6"/>
              </w:rPr>
              <w:t>序</w:t>
            </w:r>
            <w:r>
              <w:rPr>
                <w:spacing w:val="-38"/>
              </w:rPr>
              <w:t xml:space="preserve"> </w:t>
            </w:r>
            <w:r>
              <w:rPr>
                <w:b/>
                <w:bCs/>
                <w:spacing w:val="6"/>
              </w:rPr>
              <w:t>号</w:t>
            </w:r>
          </w:p>
        </w:tc>
        <w:tc>
          <w:tcPr>
            <w:tcW w:w="1156" w:type="dxa"/>
            <w:vAlign w:val="top"/>
          </w:tcPr>
          <w:p>
            <w:pPr>
              <w:pStyle w:val="TableText"/>
              <w:ind w:left="373"/>
              <w:spacing w:before="170" w:line="228" w:lineRule="auto"/>
              <w:rPr/>
            </w:pPr>
            <w:r>
              <w:rPr>
                <w:b/>
                <w:bCs/>
                <w:spacing w:val="3"/>
              </w:rPr>
              <w:t>经度</w:t>
            </w:r>
          </w:p>
        </w:tc>
        <w:tc>
          <w:tcPr>
            <w:tcW w:w="1114" w:type="dxa"/>
            <w:vAlign w:val="top"/>
          </w:tcPr>
          <w:p>
            <w:pPr>
              <w:pStyle w:val="TableText"/>
              <w:ind w:left="351"/>
              <w:spacing w:before="170" w:line="228" w:lineRule="auto"/>
              <w:rPr/>
            </w:pPr>
            <w:r>
              <w:rPr>
                <w:b/>
                <w:bCs/>
                <w:spacing w:val="3"/>
              </w:rPr>
              <w:t>纬度</w:t>
            </w:r>
          </w:p>
        </w:tc>
        <w:tc>
          <w:tcPr>
            <w:tcW w:w="1863" w:type="dxa"/>
            <w:vAlign w:val="top"/>
          </w:tcPr>
          <w:p>
            <w:pPr>
              <w:pStyle w:val="TableText"/>
              <w:ind w:left="116" w:right="106" w:firstLine="87"/>
              <w:spacing w:before="36" w:line="233" w:lineRule="auto"/>
              <w:rPr/>
            </w:pPr>
            <w:r>
              <w:rPr>
                <w:b/>
                <w:bCs/>
                <w:spacing w:val="6"/>
              </w:rPr>
              <w:t>与本项目最近距</w:t>
            </w:r>
            <w:r>
              <w:rPr>
                <w:spacing w:val="1"/>
              </w:rPr>
              <w:t xml:space="preserve">  </w:t>
            </w:r>
            <w:r>
              <w:rPr>
                <w:b/>
                <w:bCs/>
                <w:spacing w:val="2"/>
              </w:rPr>
              <w:t>离、方位和上下游</w:t>
            </w:r>
          </w:p>
        </w:tc>
        <w:tc>
          <w:tcPr>
            <w:tcW w:w="750" w:type="dxa"/>
            <w:vAlign w:val="top"/>
          </w:tcPr>
          <w:p>
            <w:pPr>
              <w:pStyle w:val="TableText"/>
              <w:ind w:left="169"/>
              <w:spacing w:before="35" w:line="228" w:lineRule="auto"/>
              <w:rPr/>
            </w:pPr>
            <w:r>
              <w:rPr>
                <w:b/>
                <w:bCs/>
                <w:spacing w:val="3"/>
              </w:rPr>
              <w:t>井深</w:t>
            </w:r>
          </w:p>
          <w:p>
            <w:pPr>
              <w:pStyle w:val="TableText"/>
              <w:ind w:left="124"/>
              <w:spacing w:before="24" w:line="216" w:lineRule="auto"/>
              <w:rPr/>
            </w:pPr>
            <w:r>
              <w:rPr>
                <w:b/>
                <w:bCs/>
                <w:spacing w:val="-2"/>
              </w:rPr>
              <w:t>（</w:t>
            </w:r>
            <w:r>
              <w:rPr>
                <w:rFonts w:ascii="Times New Roman" w:hAnsi="Times New Roman" w:eastAsia="Times New Roman" w:cs="Times New Roman"/>
                <w:b/>
                <w:bCs/>
                <w:spacing w:val="-2"/>
              </w:rPr>
              <w:t>m</w:t>
            </w:r>
            <w:r>
              <w:rPr>
                <w:b/>
                <w:bCs/>
                <w:spacing w:val="-2"/>
              </w:rPr>
              <w:t>）</w:t>
            </w:r>
          </w:p>
        </w:tc>
        <w:tc>
          <w:tcPr>
            <w:tcW w:w="910" w:type="dxa"/>
            <w:vAlign w:val="top"/>
          </w:tcPr>
          <w:p>
            <w:pPr>
              <w:pStyle w:val="TableText"/>
              <w:ind w:left="354" w:right="134" w:hanging="207"/>
              <w:spacing w:before="36" w:line="233" w:lineRule="auto"/>
              <w:rPr/>
            </w:pPr>
            <w:r>
              <w:rPr>
                <w:b/>
                <w:bCs/>
                <w:spacing w:val="5"/>
              </w:rPr>
              <w:t>开采层</w:t>
            </w:r>
            <w:r>
              <w:rPr/>
              <w:t xml:space="preserve"> </w:t>
            </w:r>
            <w:r>
              <w:rPr>
                <w:b/>
                <w:bCs/>
                <w:spacing w:val="-2"/>
              </w:rPr>
              <w:t>位</w:t>
            </w:r>
          </w:p>
        </w:tc>
        <w:tc>
          <w:tcPr>
            <w:tcW w:w="782" w:type="dxa"/>
            <w:vAlign w:val="top"/>
          </w:tcPr>
          <w:p>
            <w:pPr>
              <w:pStyle w:val="TableText"/>
              <w:ind w:left="187"/>
              <w:spacing w:before="35" w:line="227" w:lineRule="auto"/>
              <w:rPr/>
            </w:pPr>
            <w:r>
              <w:rPr>
                <w:b/>
                <w:bCs/>
                <w:spacing w:val="3"/>
              </w:rPr>
              <w:t>供水</w:t>
            </w:r>
          </w:p>
          <w:p>
            <w:pPr>
              <w:pStyle w:val="TableText"/>
              <w:ind w:left="189"/>
              <w:spacing w:before="25" w:line="216" w:lineRule="auto"/>
              <w:rPr/>
            </w:pPr>
            <w:r>
              <w:rPr>
                <w:b/>
                <w:bCs/>
                <w:spacing w:val="3"/>
              </w:rPr>
              <w:t>人口</w:t>
            </w:r>
          </w:p>
        </w:tc>
        <w:tc>
          <w:tcPr>
            <w:tcW w:w="1541" w:type="dxa"/>
            <w:vAlign w:val="top"/>
          </w:tcPr>
          <w:p>
            <w:pPr>
              <w:pStyle w:val="TableText"/>
              <w:ind w:left="356"/>
              <w:spacing w:before="170" w:line="228" w:lineRule="auto"/>
              <w:rPr/>
            </w:pPr>
            <w:r>
              <w:rPr>
                <w:b/>
                <w:bCs/>
                <w:spacing w:val="6"/>
              </w:rPr>
              <w:t>保护要求</w:t>
            </w:r>
          </w:p>
        </w:tc>
      </w:tr>
    </w:tbl>
    <w:p>
      <w:pPr>
        <w:pStyle w:val="BodyText"/>
        <w:rPr/>
      </w:pPr>
      <w:r/>
    </w:p>
    <w:p>
      <w:pPr>
        <w:ind w:left="5425"/>
        <w:spacing w:before="63" w:line="227" w:lineRule="auto"/>
        <w:rPr>
          <w:rFonts w:ascii="SimSun" w:hAnsi="SimSun" w:eastAsia="SimSun" w:cs="SimSun"/>
          <w:sz w:val="19"/>
          <w:szCs w:val="19"/>
        </w:rPr>
      </w:pPr>
      <w:r>
        <w:pict>
          <v:shape id="_x0000_s230" style="position:absolute;margin-left:212.893pt;margin-top:2.11694pt;mso-position-vertical-relative:text;mso-position-horizontal-relative:text;width:59pt;height:13.75pt;z-index:251759616;"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4"/>
                      <w:position w:val="2"/>
                    </w:rPr>
                    <w:t>42</w:t>
                  </w:r>
                  <w:r>
                    <w:rPr>
                      <w:rFonts w:ascii="Times New Roman" w:hAnsi="Times New Roman" w:eastAsia="Times New Roman" w:cs="Times New Roman"/>
                      <w:sz w:val="18"/>
                      <w:szCs w:val="18"/>
                      <w:spacing w:val="1"/>
                      <w:position w:val="2"/>
                    </w:rPr>
                    <w:t xml:space="preserve">        </w:t>
                  </w:r>
                  <w:r>
                    <w:rPr>
                      <w:rFonts w:ascii="SimSun" w:hAnsi="SimSun" w:eastAsia="SimSun" w:cs="SimSun"/>
                      <w:sz w:val="19"/>
                      <w:szCs w:val="19"/>
                      <w:spacing w:val="4"/>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54"/>
          <w:pgSz w:w="11907" w:h="16840"/>
          <w:pgMar w:top="1567" w:right="1588" w:bottom="400" w:left="1588" w:header="1221" w:footer="0" w:gutter="0"/>
        </w:sectPr>
        <w:rPr>
          <w:rFonts w:ascii="SimSun" w:hAnsi="SimSun" w:eastAsia="SimSun" w:cs="SimSun"/>
          <w:sz w:val="19"/>
          <w:szCs w:val="19"/>
        </w:rPr>
      </w:pPr>
    </w:p>
    <w:p>
      <w:pPr>
        <w:spacing w:line="151" w:lineRule="exact"/>
        <w:rPr/>
      </w:pPr>
      <w:r>
        <w:pict>
          <v:shape id="_x0000_s232" style="position:absolute;margin-left:85.05pt;margin-top:79.11pt;mso-position-vertical-relative:page;mso-position-horizontal-relative:page;width:425.25pt;height:0.75pt;z-index:251762688;" o:allowincell="f" fillcolor="#000000" filled="true" stroked="false" coordsize="8505,15" coordorigin="0,0" path="m,l8505,0l8505,14l0,14l0,0xe"/>
        </w:pict>
      </w:r>
      <w:r/>
    </w:p>
    <w:tbl>
      <w:tblPr>
        <w:tblStyle w:val="TableNormal"/>
        <w:tblW w:w="872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09"/>
        <w:gridCol w:w="1156"/>
        <w:gridCol w:w="1114"/>
        <w:gridCol w:w="1863"/>
        <w:gridCol w:w="750"/>
        <w:gridCol w:w="910"/>
        <w:gridCol w:w="782"/>
        <w:gridCol w:w="1541"/>
      </w:tblGrid>
      <w:tr>
        <w:trPr>
          <w:trHeight w:val="281" w:hRule="atLeast"/>
        </w:trPr>
        <w:tc>
          <w:tcPr>
            <w:tcW w:w="609" w:type="dxa"/>
            <w:vAlign w:val="top"/>
          </w:tcPr>
          <w:p>
            <w:pPr>
              <w:rPr>
                <w:rFonts w:ascii="Arial"/>
                <w:sz w:val="21"/>
              </w:rPr>
            </w:pPr>
            <w:r/>
          </w:p>
        </w:tc>
        <w:tc>
          <w:tcPr>
            <w:tcW w:w="1156" w:type="dxa"/>
            <w:vAlign w:val="top"/>
          </w:tcPr>
          <w:p>
            <w:pPr>
              <w:rPr>
                <w:rFonts w:ascii="Arial"/>
                <w:sz w:val="21"/>
              </w:rPr>
            </w:pPr>
            <w:r/>
          </w:p>
        </w:tc>
        <w:tc>
          <w:tcPr>
            <w:tcW w:w="1114" w:type="dxa"/>
            <w:vAlign w:val="top"/>
          </w:tcPr>
          <w:p>
            <w:pPr>
              <w:rPr>
                <w:rFonts w:ascii="Arial"/>
                <w:sz w:val="21"/>
              </w:rPr>
            </w:pPr>
            <w:r/>
          </w:p>
        </w:tc>
        <w:tc>
          <w:tcPr>
            <w:tcW w:w="1863" w:type="dxa"/>
            <w:vAlign w:val="top"/>
          </w:tcPr>
          <w:p>
            <w:pPr>
              <w:pStyle w:val="TableText"/>
              <w:ind w:left="730"/>
              <w:spacing w:before="36" w:line="216" w:lineRule="auto"/>
              <w:rPr/>
            </w:pPr>
            <w:r>
              <w:rPr>
                <w:b/>
                <w:bCs/>
                <w:spacing w:val="2"/>
              </w:rPr>
              <w:t>关系</w:t>
            </w:r>
          </w:p>
        </w:tc>
        <w:tc>
          <w:tcPr>
            <w:tcW w:w="750" w:type="dxa"/>
            <w:vAlign w:val="top"/>
          </w:tcPr>
          <w:p>
            <w:pPr>
              <w:rPr>
                <w:rFonts w:ascii="Arial"/>
                <w:sz w:val="21"/>
              </w:rPr>
            </w:pPr>
            <w:r/>
          </w:p>
        </w:tc>
        <w:tc>
          <w:tcPr>
            <w:tcW w:w="910" w:type="dxa"/>
            <w:vAlign w:val="top"/>
          </w:tcPr>
          <w:p>
            <w:pPr>
              <w:rPr>
                <w:rFonts w:ascii="Arial"/>
                <w:sz w:val="21"/>
              </w:rPr>
            </w:pPr>
            <w:r/>
          </w:p>
        </w:tc>
        <w:tc>
          <w:tcPr>
            <w:tcW w:w="782" w:type="dxa"/>
            <w:vAlign w:val="top"/>
          </w:tcPr>
          <w:p>
            <w:pPr>
              <w:rPr>
                <w:rFonts w:ascii="Arial"/>
                <w:sz w:val="21"/>
              </w:rPr>
            </w:pPr>
            <w:r/>
          </w:p>
        </w:tc>
        <w:tc>
          <w:tcPr>
            <w:tcW w:w="1541" w:type="dxa"/>
            <w:vAlign w:val="top"/>
          </w:tcPr>
          <w:p>
            <w:pPr>
              <w:rPr>
                <w:rFonts w:ascii="Arial"/>
                <w:sz w:val="21"/>
              </w:rPr>
            </w:pPr>
            <w:r/>
          </w:p>
        </w:tc>
      </w:tr>
      <w:tr>
        <w:trPr>
          <w:trHeight w:val="644" w:hRule="atLeast"/>
        </w:trPr>
        <w:tc>
          <w:tcPr>
            <w:tcW w:w="609" w:type="dxa"/>
            <w:vAlign w:val="top"/>
          </w:tcPr>
          <w:p>
            <w:pPr>
              <w:ind w:left="221"/>
              <w:spacing w:before="25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w:t>
            </w:r>
          </w:p>
        </w:tc>
        <w:tc>
          <w:tcPr>
            <w:tcW w:w="1156" w:type="dxa"/>
            <w:vAlign w:val="top"/>
          </w:tcPr>
          <w:p>
            <w:pPr>
              <w:ind w:left="152"/>
              <w:spacing w:before="13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114.94462</w:t>
            </w:r>
          </w:p>
          <w:p>
            <w:pPr>
              <w:ind w:left="530"/>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114" w:type="dxa"/>
            <w:vAlign w:val="top"/>
          </w:tcPr>
          <w:p>
            <w:pPr>
              <w:ind w:left="110"/>
              <w:spacing w:before="25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42.292076</w:t>
            </w:r>
          </w:p>
        </w:tc>
        <w:tc>
          <w:tcPr>
            <w:tcW w:w="1863" w:type="dxa"/>
            <w:vAlign w:val="top"/>
          </w:tcPr>
          <w:p>
            <w:pPr>
              <w:pStyle w:val="TableText"/>
              <w:ind w:left="458" w:right="195" w:hanging="254"/>
              <w:spacing w:before="78" w:line="252" w:lineRule="auto"/>
              <w:rPr>
                <w:rFonts w:ascii="Times New Roman" w:hAnsi="Times New Roman" w:eastAsia="Times New Roman" w:cs="Times New Roman"/>
              </w:rPr>
            </w:pPr>
            <w:r>
              <w:rPr>
                <w:spacing w:val="8"/>
              </w:rPr>
              <w:t>本项目下游（西</w:t>
            </w:r>
            <w:r>
              <w:rPr/>
              <w:t xml:space="preserve"> </w:t>
            </w:r>
            <w:r>
              <w:rPr>
                <w:spacing w:val="2"/>
              </w:rPr>
              <w:t>侧）</w:t>
            </w:r>
            <w:r>
              <w:rPr>
                <w:rFonts w:ascii="Times New Roman" w:hAnsi="Times New Roman" w:eastAsia="Times New Roman" w:cs="Times New Roman"/>
                <w:spacing w:val="2"/>
              </w:rPr>
              <w:t>2.</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w:t>
            </w:r>
            <w:r>
              <w:rPr>
                <w:rFonts w:ascii="Times New Roman" w:hAnsi="Times New Roman" w:eastAsia="Times New Roman" w:cs="Times New Roman"/>
              </w:rPr>
              <w:t>km</w:t>
            </w:r>
          </w:p>
        </w:tc>
        <w:tc>
          <w:tcPr>
            <w:tcW w:w="750" w:type="dxa"/>
            <w:vAlign w:val="top"/>
          </w:tcPr>
          <w:p>
            <w:pPr>
              <w:ind w:left="294"/>
              <w:spacing w:before="25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18</w:t>
            </w:r>
          </w:p>
        </w:tc>
        <w:tc>
          <w:tcPr>
            <w:tcW w:w="910" w:type="dxa"/>
            <w:vAlign w:val="top"/>
          </w:tcPr>
          <w:p>
            <w:pPr>
              <w:pStyle w:val="TableText"/>
              <w:ind w:left="146"/>
              <w:spacing w:before="215" w:line="228" w:lineRule="auto"/>
              <w:rPr/>
            </w:pPr>
            <w:r>
              <w:rPr>
                <w:spacing w:val="6"/>
              </w:rPr>
              <w:t>第四系</w:t>
            </w:r>
          </w:p>
        </w:tc>
        <w:tc>
          <w:tcPr>
            <w:tcW w:w="782" w:type="dxa"/>
            <w:vAlign w:val="top"/>
          </w:tcPr>
          <w:p>
            <w:pPr>
              <w:pStyle w:val="TableText"/>
              <w:ind w:left="213"/>
              <w:spacing w:before="215" w:line="231" w:lineRule="auto"/>
              <w:rPr/>
            </w:pPr>
            <w:r>
              <w:rPr>
                <w:rFonts w:ascii="Times New Roman" w:hAnsi="Times New Roman" w:eastAsia="Times New Roman" w:cs="Times New Roman"/>
                <w:spacing w:val="-2"/>
              </w:rPr>
              <w:t>7</w:t>
            </w:r>
            <w:r>
              <w:rPr>
                <w:rFonts w:ascii="Times New Roman" w:hAnsi="Times New Roman" w:eastAsia="Times New Roman" w:cs="Times New Roman"/>
                <w:spacing w:val="13"/>
                <w:w w:val="101"/>
              </w:rPr>
              <w:t xml:space="preserve"> </w:t>
            </w:r>
            <w:r>
              <w:rPr>
                <w:spacing w:val="-2"/>
              </w:rPr>
              <w:t>人</w:t>
            </w:r>
          </w:p>
        </w:tc>
        <w:tc>
          <w:tcPr>
            <w:tcW w:w="1541" w:type="dxa"/>
            <w:vAlign w:val="top"/>
            <w:vMerge w:val="restart"/>
            <w:tcBorders>
              <w:bottom w:val="nil"/>
            </w:tcBorders>
          </w:tcPr>
          <w:p>
            <w:pPr>
              <w:pStyle w:val="TableText"/>
              <w:ind w:left="146"/>
              <w:spacing w:before="31" w:line="228" w:lineRule="auto"/>
              <w:rPr/>
            </w:pPr>
            <w:r>
              <w:rPr>
                <w:spacing w:val="8"/>
              </w:rPr>
              <w:t>满足《地下水</w:t>
            </w:r>
          </w:p>
          <w:p>
            <w:pPr>
              <w:pStyle w:val="TableText"/>
              <w:ind w:left="250"/>
              <w:spacing w:before="27" w:line="228" w:lineRule="auto"/>
              <w:rPr/>
            </w:pPr>
            <w:r>
              <w:rPr>
                <w:spacing w:val="5"/>
              </w:rPr>
              <w:t>质量标准》</w:t>
            </w:r>
          </w:p>
          <w:p>
            <w:pPr>
              <w:pStyle w:val="TableText"/>
              <w:ind w:left="145"/>
              <w:spacing w:before="23" w:line="241" w:lineRule="auto"/>
              <w:rPr>
                <w:rFonts w:ascii="Times New Roman" w:hAnsi="Times New Roman" w:eastAsia="Times New Roman" w:cs="Times New Roman"/>
              </w:rPr>
            </w:pPr>
            <w:r>
              <w:rPr>
                <w:spacing w:val="5"/>
              </w:rPr>
              <w:t>（</w:t>
            </w:r>
            <w:r>
              <w:rPr>
                <w:rFonts w:ascii="Times New Roman" w:hAnsi="Times New Roman" w:eastAsia="Times New Roman" w:cs="Times New Roman"/>
              </w:rPr>
              <w:t>GB</w:t>
            </w:r>
            <w:r>
              <w:rPr>
                <w:rFonts w:ascii="Times New Roman" w:hAnsi="Times New Roman" w:eastAsia="Times New Roman" w:cs="Times New Roman"/>
                <w:spacing w:val="5"/>
              </w:rPr>
              <w:t>/T14848-</w:t>
            </w:r>
          </w:p>
          <w:p>
            <w:pPr>
              <w:pStyle w:val="TableText"/>
              <w:ind w:left="147"/>
              <w:spacing w:before="12" w:line="228" w:lineRule="auto"/>
              <w:rPr/>
            </w:pPr>
            <w:r>
              <w:rPr>
                <w:rFonts w:ascii="Times New Roman" w:hAnsi="Times New Roman" w:eastAsia="Times New Roman" w:cs="Times New Roman"/>
                <w:spacing w:val="6"/>
              </w:rPr>
              <w:t>2017</w:t>
            </w:r>
            <w:r>
              <w:rPr>
                <w:spacing w:val="6"/>
              </w:rPr>
              <w:t>）</w:t>
            </w:r>
            <w:r>
              <w:rPr>
                <w:rFonts w:ascii="Times New Roman" w:hAnsi="Times New Roman" w:eastAsia="Times New Roman" w:cs="Times New Roman"/>
                <w:spacing w:val="6"/>
              </w:rPr>
              <w:t>Ⅲ</w:t>
            </w:r>
            <w:r>
              <w:rPr>
                <w:spacing w:val="6"/>
              </w:rPr>
              <w:t>类标</w:t>
            </w:r>
          </w:p>
          <w:p>
            <w:pPr>
              <w:pStyle w:val="TableText"/>
              <w:ind w:left="148"/>
              <w:spacing w:before="24" w:line="228" w:lineRule="auto"/>
              <w:rPr/>
            </w:pPr>
            <w:r>
              <w:rPr>
                <w:spacing w:val="7"/>
              </w:rPr>
              <w:t>准，该标准中</w:t>
            </w:r>
          </w:p>
          <w:p>
            <w:pPr>
              <w:pStyle w:val="TableText"/>
              <w:ind w:left="148"/>
              <w:spacing w:before="23" w:line="228" w:lineRule="auto"/>
              <w:rPr/>
            </w:pPr>
            <w:r>
              <w:rPr>
                <w:spacing w:val="7"/>
              </w:rPr>
              <w:t>无标准值的石</w:t>
            </w:r>
          </w:p>
          <w:p>
            <w:pPr>
              <w:pStyle w:val="TableText"/>
              <w:ind w:left="150"/>
              <w:spacing w:before="27" w:line="228" w:lineRule="auto"/>
              <w:rPr/>
            </w:pPr>
            <w:r>
              <w:rPr>
                <w:spacing w:val="7"/>
              </w:rPr>
              <w:t>油类满足《地</w:t>
            </w:r>
          </w:p>
          <w:p>
            <w:pPr>
              <w:pStyle w:val="TableText"/>
              <w:ind w:left="146"/>
              <w:spacing w:before="26" w:line="228" w:lineRule="auto"/>
              <w:rPr/>
            </w:pPr>
            <w:r>
              <w:rPr>
                <w:spacing w:val="8"/>
              </w:rPr>
              <w:t>表水环境质量</w:t>
            </w:r>
          </w:p>
          <w:p>
            <w:pPr>
              <w:pStyle w:val="TableText"/>
              <w:ind w:left="462"/>
              <w:spacing w:before="25" w:line="228" w:lineRule="auto"/>
              <w:rPr/>
            </w:pPr>
            <w:r>
              <w:rPr>
                <w:spacing w:val="2"/>
              </w:rPr>
              <w:t>标准》</w:t>
            </w:r>
          </w:p>
          <w:p>
            <w:pPr>
              <w:pStyle w:val="TableText"/>
              <w:ind w:left="111" w:right="110" w:firstLine="21"/>
              <w:spacing w:before="27" w:line="251" w:lineRule="auto"/>
              <w:jc w:val="both"/>
              <w:rPr/>
            </w:pPr>
            <w:r>
              <w:rPr>
                <w:spacing w:val="4"/>
              </w:rPr>
              <w:t>（</w:t>
            </w:r>
            <w:r>
              <w:rPr>
                <w:rFonts w:ascii="Times New Roman" w:hAnsi="Times New Roman" w:eastAsia="Times New Roman" w:cs="Times New Roman"/>
              </w:rPr>
              <w:t>GB</w:t>
            </w:r>
            <w:r>
              <w:rPr>
                <w:rFonts w:ascii="Times New Roman" w:hAnsi="Times New Roman" w:eastAsia="Times New Roman" w:cs="Times New Roman"/>
                <w:spacing w:val="4"/>
              </w:rPr>
              <w:t>3838-200 </w:t>
            </w:r>
            <w:r>
              <w:rPr>
                <w:rFonts w:ascii="Times New Roman" w:hAnsi="Times New Roman" w:eastAsia="Times New Roman" w:cs="Times New Roman"/>
                <w:spacing w:val="3"/>
              </w:rPr>
              <w:t>2</w:t>
            </w:r>
            <w:r>
              <w:rPr>
                <w:spacing w:val="3"/>
              </w:rPr>
              <w:t>）</w:t>
            </w:r>
            <w:r>
              <w:rPr>
                <w:rFonts w:ascii="Times New Roman" w:hAnsi="Times New Roman" w:eastAsia="Times New Roman" w:cs="Times New Roman"/>
                <w:spacing w:val="3"/>
              </w:rPr>
              <w:t>Ⅲ</w:t>
            </w:r>
            <w:r>
              <w:rPr>
                <w:spacing w:val="3"/>
              </w:rPr>
              <w:t>类标准限</w:t>
            </w:r>
            <w:r>
              <w:rPr/>
              <w:t xml:space="preserve"> </w:t>
            </w:r>
            <w:r>
              <w:rPr>
                <w:spacing w:val="14"/>
              </w:rPr>
              <w:t>值，地下水水</w:t>
            </w:r>
          </w:p>
          <w:p>
            <w:pPr>
              <w:pStyle w:val="TableText"/>
              <w:ind w:left="252" w:right="139" w:hanging="105"/>
              <w:spacing w:before="1" w:line="234" w:lineRule="auto"/>
              <w:rPr/>
            </w:pPr>
            <w:r>
              <w:rPr>
                <w:spacing w:val="8"/>
              </w:rPr>
              <w:t>质不因项目建</w:t>
            </w:r>
            <w:r>
              <w:rPr/>
              <w:t xml:space="preserve"> </w:t>
            </w:r>
            <w:r>
              <w:rPr>
                <w:spacing w:val="5"/>
              </w:rPr>
              <w:t>设而恶化。</w:t>
            </w:r>
          </w:p>
        </w:tc>
      </w:tr>
      <w:tr>
        <w:trPr>
          <w:trHeight w:val="549" w:hRule="atLeast"/>
        </w:trPr>
        <w:tc>
          <w:tcPr>
            <w:tcW w:w="609" w:type="dxa"/>
            <w:vAlign w:val="top"/>
          </w:tcPr>
          <w:p>
            <w:pPr>
              <w:ind w:left="201"/>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w:t>
            </w:r>
          </w:p>
        </w:tc>
        <w:tc>
          <w:tcPr>
            <w:tcW w:w="1156" w:type="dxa"/>
            <w:vAlign w:val="top"/>
          </w:tcPr>
          <w:p>
            <w:pPr>
              <w:ind w:left="152"/>
              <w:spacing w:before="8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114.93844</w:t>
            </w:r>
          </w:p>
          <w:p>
            <w:pPr>
              <w:ind w:left="530"/>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114" w:type="dxa"/>
            <w:vAlign w:val="top"/>
          </w:tcPr>
          <w:p>
            <w:pPr>
              <w:ind w:left="110"/>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42.289981</w:t>
            </w:r>
          </w:p>
        </w:tc>
        <w:tc>
          <w:tcPr>
            <w:tcW w:w="1863" w:type="dxa"/>
            <w:vAlign w:val="top"/>
          </w:tcPr>
          <w:p>
            <w:pPr>
              <w:pStyle w:val="TableText"/>
              <w:ind w:left="458" w:right="195" w:hanging="254"/>
              <w:spacing w:before="32" w:line="234" w:lineRule="auto"/>
              <w:rPr>
                <w:rFonts w:ascii="Times New Roman" w:hAnsi="Times New Roman" w:eastAsia="Times New Roman" w:cs="Times New Roman"/>
              </w:rPr>
            </w:pPr>
            <w:r>
              <w:rPr>
                <w:spacing w:val="8"/>
              </w:rPr>
              <w:t>本项目下游（西</w:t>
            </w:r>
            <w:r>
              <w:rPr/>
              <w:t xml:space="preserve"> </w:t>
            </w:r>
            <w:r>
              <w:rPr>
                <w:spacing w:val="7"/>
              </w:rPr>
              <w:t>侧）</w:t>
            </w:r>
            <w:r>
              <w:rPr>
                <w:rFonts w:ascii="Times New Roman" w:hAnsi="Times New Roman" w:eastAsia="Times New Roman" w:cs="Times New Roman"/>
                <w:spacing w:val="7"/>
              </w:rPr>
              <w:t>2.6</w:t>
            </w:r>
            <w:r>
              <w:rPr>
                <w:rFonts w:ascii="Times New Roman" w:hAnsi="Times New Roman" w:eastAsia="Times New Roman" w:cs="Times New Roman"/>
              </w:rPr>
              <w:t>km</w:t>
            </w:r>
          </w:p>
        </w:tc>
        <w:tc>
          <w:tcPr>
            <w:tcW w:w="750" w:type="dxa"/>
            <w:vAlign w:val="top"/>
          </w:tcPr>
          <w:p>
            <w:pPr>
              <w:ind w:left="294"/>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9"/>
              </w:rPr>
              <w:t>10</w:t>
            </w:r>
          </w:p>
        </w:tc>
        <w:tc>
          <w:tcPr>
            <w:tcW w:w="910" w:type="dxa"/>
            <w:vAlign w:val="top"/>
          </w:tcPr>
          <w:p>
            <w:pPr>
              <w:pStyle w:val="TableText"/>
              <w:ind w:left="146"/>
              <w:spacing w:before="166" w:line="228" w:lineRule="auto"/>
              <w:rPr/>
            </w:pPr>
            <w:r>
              <w:rPr>
                <w:spacing w:val="6"/>
              </w:rPr>
              <w:t>第四系</w:t>
            </w:r>
          </w:p>
        </w:tc>
        <w:tc>
          <w:tcPr>
            <w:tcW w:w="782" w:type="dxa"/>
            <w:vAlign w:val="top"/>
          </w:tcPr>
          <w:p>
            <w:pPr>
              <w:pStyle w:val="TableText"/>
              <w:ind w:left="177"/>
              <w:spacing w:before="166" w:line="231" w:lineRule="auto"/>
              <w:rPr/>
            </w:pPr>
            <w:r>
              <w:rPr>
                <w:rFonts w:ascii="Times New Roman" w:hAnsi="Times New Roman" w:eastAsia="Times New Roman" w:cs="Times New Roman"/>
                <w:spacing w:val="-5"/>
              </w:rPr>
              <w:t>10</w:t>
            </w:r>
            <w:r>
              <w:rPr>
                <w:rFonts w:ascii="Times New Roman" w:hAnsi="Times New Roman" w:eastAsia="Times New Roman" w:cs="Times New Roman"/>
                <w:spacing w:val="13"/>
                <w:w w:val="101"/>
              </w:rPr>
              <w:t xml:space="preserve"> </w:t>
            </w:r>
            <w:r>
              <w:rPr>
                <w:spacing w:val="-5"/>
              </w:rPr>
              <w:t>人</w:t>
            </w:r>
          </w:p>
        </w:tc>
        <w:tc>
          <w:tcPr>
            <w:tcW w:w="1541" w:type="dxa"/>
            <w:vAlign w:val="top"/>
            <w:vMerge w:val="continue"/>
            <w:tcBorders>
              <w:top w:val="nil"/>
              <w:bottom w:val="nil"/>
            </w:tcBorders>
          </w:tcPr>
          <w:p>
            <w:pPr>
              <w:rPr>
                <w:rFonts w:ascii="Arial"/>
                <w:sz w:val="21"/>
              </w:rPr>
            </w:pPr>
            <w:r/>
          </w:p>
        </w:tc>
      </w:tr>
      <w:tr>
        <w:trPr>
          <w:trHeight w:val="2615" w:hRule="atLeast"/>
        </w:trPr>
        <w:tc>
          <w:tcPr>
            <w:tcW w:w="609" w:type="dxa"/>
            <w:vAlign w:val="top"/>
          </w:tcPr>
          <w:p>
            <w:pPr>
              <w:spacing w:line="293" w:lineRule="auto"/>
              <w:rPr>
                <w:rFonts w:ascii="Arial"/>
                <w:sz w:val="21"/>
              </w:rPr>
            </w:pPr>
            <w:r/>
          </w:p>
          <w:p>
            <w:pPr>
              <w:spacing w:line="293" w:lineRule="auto"/>
              <w:rPr>
                <w:rFonts w:ascii="Arial"/>
                <w:sz w:val="21"/>
              </w:rPr>
            </w:pPr>
            <w:r/>
          </w:p>
          <w:p>
            <w:pPr>
              <w:spacing w:line="293" w:lineRule="auto"/>
              <w:rPr>
                <w:rFonts w:ascii="Arial"/>
                <w:sz w:val="21"/>
              </w:rPr>
            </w:pPr>
            <w:r/>
          </w:p>
          <w:p>
            <w:pPr>
              <w:spacing w:line="294" w:lineRule="auto"/>
              <w:rPr>
                <w:rFonts w:ascii="Arial"/>
                <w:sz w:val="21"/>
              </w:rPr>
            </w:pPr>
            <w:r/>
          </w:p>
          <w:p>
            <w:pPr>
              <w:ind w:left="205"/>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156" w:type="dxa"/>
            <w:vAlign w:val="top"/>
          </w:tcPr>
          <w:p>
            <w:pPr>
              <w:spacing w:line="263" w:lineRule="auto"/>
              <w:rPr>
                <w:rFonts w:ascii="Arial"/>
                <w:sz w:val="21"/>
              </w:rPr>
            </w:pPr>
            <w:r/>
          </w:p>
          <w:p>
            <w:pPr>
              <w:spacing w:line="263" w:lineRule="auto"/>
              <w:rPr>
                <w:rFonts w:ascii="Arial"/>
                <w:sz w:val="21"/>
              </w:rPr>
            </w:pPr>
            <w:r/>
          </w:p>
          <w:p>
            <w:pPr>
              <w:spacing w:line="263" w:lineRule="auto"/>
              <w:rPr>
                <w:rFonts w:ascii="Arial"/>
                <w:sz w:val="21"/>
              </w:rPr>
            </w:pPr>
            <w:r/>
          </w:p>
          <w:p>
            <w:pPr>
              <w:spacing w:line="264" w:lineRule="auto"/>
              <w:rPr>
                <w:rFonts w:ascii="Arial"/>
                <w:sz w:val="21"/>
              </w:rPr>
            </w:pPr>
            <w:r/>
          </w:p>
          <w:p>
            <w:pPr>
              <w:ind w:left="152"/>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114.93125</w:t>
            </w:r>
          </w:p>
          <w:p>
            <w:pPr>
              <w:ind w:left="546"/>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114" w:type="dxa"/>
            <w:vAlign w:val="top"/>
          </w:tcPr>
          <w:p>
            <w:pPr>
              <w:spacing w:line="293" w:lineRule="auto"/>
              <w:rPr>
                <w:rFonts w:ascii="Arial"/>
                <w:sz w:val="21"/>
              </w:rPr>
            </w:pPr>
            <w:r/>
          </w:p>
          <w:p>
            <w:pPr>
              <w:spacing w:line="293" w:lineRule="auto"/>
              <w:rPr>
                <w:rFonts w:ascii="Arial"/>
                <w:sz w:val="21"/>
              </w:rPr>
            </w:pPr>
            <w:r/>
          </w:p>
          <w:p>
            <w:pPr>
              <w:spacing w:line="293" w:lineRule="auto"/>
              <w:rPr>
                <w:rFonts w:ascii="Arial"/>
                <w:sz w:val="21"/>
              </w:rPr>
            </w:pPr>
            <w:r/>
          </w:p>
          <w:p>
            <w:pPr>
              <w:spacing w:line="294" w:lineRule="auto"/>
              <w:rPr>
                <w:rFonts w:ascii="Arial"/>
                <w:sz w:val="21"/>
              </w:rPr>
            </w:pPr>
            <w:r/>
          </w:p>
          <w:p>
            <w:pPr>
              <w:ind w:left="110"/>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42.290865</w:t>
            </w:r>
          </w:p>
        </w:tc>
        <w:tc>
          <w:tcPr>
            <w:tcW w:w="1863" w:type="dxa"/>
            <w:vAlign w:val="top"/>
          </w:tcPr>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pStyle w:val="TableText"/>
              <w:ind w:left="458" w:right="195" w:hanging="254"/>
              <w:spacing w:before="65" w:line="252" w:lineRule="auto"/>
              <w:rPr>
                <w:rFonts w:ascii="Times New Roman" w:hAnsi="Times New Roman" w:eastAsia="Times New Roman" w:cs="Times New Roman"/>
              </w:rPr>
            </w:pPr>
            <w:r>
              <w:rPr>
                <w:spacing w:val="8"/>
              </w:rPr>
              <w:t>本项目下游（西</w:t>
            </w:r>
            <w:r>
              <w:rPr/>
              <w:t xml:space="preserve"> </w:t>
            </w:r>
            <w:r>
              <w:rPr>
                <w:spacing w:val="7"/>
              </w:rPr>
              <w:t>侧）</w:t>
            </w:r>
            <w:r>
              <w:rPr>
                <w:rFonts w:ascii="Times New Roman" w:hAnsi="Times New Roman" w:eastAsia="Times New Roman" w:cs="Times New Roman"/>
                <w:spacing w:val="7"/>
              </w:rPr>
              <w:t>3.2</w:t>
            </w:r>
            <w:r>
              <w:rPr>
                <w:rFonts w:ascii="Times New Roman" w:hAnsi="Times New Roman" w:eastAsia="Times New Roman" w:cs="Times New Roman"/>
              </w:rPr>
              <w:t>km</w:t>
            </w:r>
          </w:p>
        </w:tc>
        <w:tc>
          <w:tcPr>
            <w:tcW w:w="750" w:type="dxa"/>
            <w:vAlign w:val="top"/>
          </w:tcPr>
          <w:p>
            <w:pPr>
              <w:spacing w:line="293" w:lineRule="auto"/>
              <w:rPr>
                <w:rFonts w:ascii="Arial"/>
                <w:sz w:val="21"/>
              </w:rPr>
            </w:pPr>
            <w:r/>
          </w:p>
          <w:p>
            <w:pPr>
              <w:spacing w:line="293" w:lineRule="auto"/>
              <w:rPr>
                <w:rFonts w:ascii="Arial"/>
                <w:sz w:val="21"/>
              </w:rPr>
            </w:pPr>
            <w:r/>
          </w:p>
          <w:p>
            <w:pPr>
              <w:spacing w:line="293" w:lineRule="auto"/>
              <w:rPr>
                <w:rFonts w:ascii="Arial"/>
                <w:sz w:val="21"/>
              </w:rPr>
            </w:pPr>
            <w:r/>
          </w:p>
          <w:p>
            <w:pPr>
              <w:spacing w:line="294" w:lineRule="auto"/>
              <w:rPr>
                <w:rFonts w:ascii="Arial"/>
                <w:sz w:val="21"/>
              </w:rPr>
            </w:pPr>
            <w:r/>
          </w:p>
          <w:p>
            <w:pPr>
              <w:ind w:left="294"/>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16</w:t>
            </w:r>
          </w:p>
        </w:tc>
        <w:tc>
          <w:tcPr>
            <w:tcW w:w="910" w:type="dxa"/>
            <w:vAlign w:val="top"/>
          </w:tcPr>
          <w:p>
            <w:pPr>
              <w:spacing w:line="282" w:lineRule="auto"/>
              <w:rPr>
                <w:rFonts w:ascii="Arial"/>
                <w:sz w:val="21"/>
              </w:rPr>
            </w:pPr>
            <w:r/>
          </w:p>
          <w:p>
            <w:pPr>
              <w:spacing w:line="282" w:lineRule="auto"/>
              <w:rPr>
                <w:rFonts w:ascii="Arial"/>
                <w:sz w:val="21"/>
              </w:rPr>
            </w:pPr>
            <w:r/>
          </w:p>
          <w:p>
            <w:pPr>
              <w:spacing w:line="282" w:lineRule="auto"/>
              <w:rPr>
                <w:rFonts w:ascii="Arial"/>
                <w:sz w:val="21"/>
              </w:rPr>
            </w:pPr>
            <w:r/>
          </w:p>
          <w:p>
            <w:pPr>
              <w:spacing w:line="283" w:lineRule="auto"/>
              <w:rPr>
                <w:rFonts w:ascii="Arial"/>
                <w:sz w:val="21"/>
              </w:rPr>
            </w:pPr>
            <w:r/>
          </w:p>
          <w:p>
            <w:pPr>
              <w:pStyle w:val="TableText"/>
              <w:ind w:left="146"/>
              <w:spacing w:before="65" w:line="228" w:lineRule="auto"/>
              <w:rPr/>
            </w:pPr>
            <w:r>
              <w:rPr>
                <w:spacing w:val="6"/>
              </w:rPr>
              <w:t>第四系</w:t>
            </w:r>
          </w:p>
        </w:tc>
        <w:tc>
          <w:tcPr>
            <w:tcW w:w="782" w:type="dxa"/>
            <w:vAlign w:val="top"/>
          </w:tcPr>
          <w:p>
            <w:pPr>
              <w:spacing w:line="282" w:lineRule="auto"/>
              <w:rPr>
                <w:rFonts w:ascii="Arial"/>
                <w:sz w:val="21"/>
              </w:rPr>
            </w:pPr>
            <w:r/>
          </w:p>
          <w:p>
            <w:pPr>
              <w:spacing w:line="282" w:lineRule="auto"/>
              <w:rPr>
                <w:rFonts w:ascii="Arial"/>
                <w:sz w:val="21"/>
              </w:rPr>
            </w:pPr>
            <w:r/>
          </w:p>
          <w:p>
            <w:pPr>
              <w:spacing w:line="282" w:lineRule="auto"/>
              <w:rPr>
                <w:rFonts w:ascii="Arial"/>
                <w:sz w:val="21"/>
              </w:rPr>
            </w:pPr>
            <w:r/>
          </w:p>
          <w:p>
            <w:pPr>
              <w:spacing w:line="283" w:lineRule="auto"/>
              <w:rPr>
                <w:rFonts w:ascii="Arial"/>
                <w:sz w:val="21"/>
              </w:rPr>
            </w:pPr>
            <w:r/>
          </w:p>
          <w:p>
            <w:pPr>
              <w:pStyle w:val="TableText"/>
              <w:ind w:left="215"/>
              <w:spacing w:before="65" w:line="231" w:lineRule="auto"/>
              <w:rPr/>
            </w:pPr>
            <w:r>
              <w:rPr>
                <w:rFonts w:ascii="Times New Roman" w:hAnsi="Times New Roman" w:eastAsia="Times New Roman" w:cs="Times New Roman"/>
                <w:spacing w:val="-3"/>
              </w:rPr>
              <w:t>5</w:t>
            </w:r>
            <w:r>
              <w:rPr>
                <w:rFonts w:ascii="Times New Roman" w:hAnsi="Times New Roman" w:eastAsia="Times New Roman" w:cs="Times New Roman"/>
                <w:spacing w:val="13"/>
                <w:w w:val="101"/>
              </w:rPr>
              <w:t xml:space="preserve"> </w:t>
            </w:r>
            <w:r>
              <w:rPr>
                <w:spacing w:val="-3"/>
              </w:rPr>
              <w:t>人</w:t>
            </w:r>
          </w:p>
        </w:tc>
        <w:tc>
          <w:tcPr>
            <w:tcW w:w="1541" w:type="dxa"/>
            <w:vAlign w:val="top"/>
            <w:vMerge w:val="continue"/>
            <w:tcBorders>
              <w:top w:val="nil"/>
            </w:tcBorders>
          </w:tcPr>
          <w:p>
            <w:pPr>
              <w:rPr>
                <w:rFonts w:ascii="Arial"/>
                <w:sz w:val="21"/>
              </w:rPr>
            </w:pPr>
            <w:r/>
          </w:p>
        </w:tc>
      </w:tr>
    </w:tbl>
    <w:p>
      <w:pPr>
        <w:ind w:left="121" w:right="114" w:firstLine="483"/>
        <w:spacing w:before="35" w:line="359" w:lineRule="auto"/>
        <w:rPr>
          <w:rFonts w:ascii="SimSun" w:hAnsi="SimSun" w:eastAsia="SimSun" w:cs="SimSun"/>
          <w:sz w:val="24"/>
          <w:szCs w:val="24"/>
        </w:rPr>
      </w:pPr>
      <w:r>
        <w:rPr>
          <w:rFonts w:ascii="SimSun" w:hAnsi="SimSun" w:eastAsia="SimSun" w:cs="SimSun"/>
          <w:sz w:val="24"/>
          <w:szCs w:val="24"/>
          <w:spacing w:val="2"/>
        </w:rPr>
        <w:t>大气环境、地表水环境、声环境、土壤环境及生态环境保护目标详见表</w:t>
      </w:r>
      <w:r>
        <w:rPr>
          <w:rFonts w:ascii="Times New Roman" w:hAnsi="Times New Roman" w:eastAsia="Times New Roman" w:cs="Times New Roman"/>
          <w:sz w:val="24"/>
          <w:szCs w:val="24"/>
          <w:spacing w:val="2"/>
        </w:rPr>
        <w:t>2.7</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rPr>
        <w:t xml:space="preserve"> </w:t>
      </w:r>
      <w:r>
        <w:rPr>
          <w:rFonts w:ascii="SimSun" w:hAnsi="SimSun" w:eastAsia="SimSun" w:cs="SimSun"/>
          <w:sz w:val="24"/>
          <w:szCs w:val="24"/>
          <w:spacing w:val="-2"/>
        </w:rPr>
        <w:t>及图</w:t>
      </w:r>
      <w:r>
        <w:rPr>
          <w:rFonts w:ascii="Times New Roman" w:hAnsi="Times New Roman" w:eastAsia="Times New Roman" w:cs="Times New Roman"/>
          <w:sz w:val="24"/>
          <w:szCs w:val="24"/>
          <w:spacing w:val="-2"/>
        </w:rPr>
        <w:t>2.7-2</w:t>
      </w:r>
      <w:r>
        <w:rPr>
          <w:rFonts w:ascii="SimSun" w:hAnsi="SimSun" w:eastAsia="SimSun" w:cs="SimSun"/>
          <w:sz w:val="24"/>
          <w:szCs w:val="24"/>
          <w:spacing w:val="-2"/>
        </w:rPr>
        <w:t>。</w:t>
      </w:r>
    </w:p>
    <w:p>
      <w:pPr>
        <w:ind w:left="121"/>
        <w:spacing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2"/>
        </w:rPr>
        <w:t>2.7-2    </w:t>
      </w:r>
      <w:r>
        <w:rPr>
          <w:rFonts w:ascii="SimSun" w:hAnsi="SimSun" w:eastAsia="SimSun" w:cs="SimSun"/>
          <w:sz w:val="24"/>
          <w:szCs w:val="24"/>
          <w:b/>
          <w:bCs/>
          <w:spacing w:val="-2"/>
        </w:rPr>
        <w:t>大气环境、地表水环境、声环境、土壤环境及生态环境保护目标一览表</w:t>
      </w:r>
    </w:p>
    <w:tbl>
      <w:tblPr>
        <w:tblStyle w:val="TableNormal"/>
        <w:tblW w:w="8715" w:type="dxa"/>
        <w:tblInd w:w="7"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86"/>
        <w:gridCol w:w="982"/>
        <w:gridCol w:w="1719"/>
        <w:gridCol w:w="1057"/>
        <w:gridCol w:w="657"/>
        <w:gridCol w:w="782"/>
        <w:gridCol w:w="879"/>
        <w:gridCol w:w="1753"/>
      </w:tblGrid>
      <w:tr>
        <w:trPr>
          <w:trHeight w:val="282" w:hRule="atLeast"/>
        </w:trPr>
        <w:tc>
          <w:tcPr>
            <w:tcW w:w="886" w:type="dxa"/>
            <w:vAlign w:val="top"/>
            <w:vMerge w:val="restart"/>
            <w:tcBorders>
              <w:bottom w:val="nil"/>
            </w:tcBorders>
          </w:tcPr>
          <w:p>
            <w:pPr>
              <w:pStyle w:val="TableText"/>
              <w:ind w:left="29"/>
              <w:spacing w:before="177" w:line="228" w:lineRule="auto"/>
              <w:rPr/>
            </w:pPr>
            <w:r>
              <w:rPr>
                <w:spacing w:val="7"/>
              </w:rPr>
              <w:t>环境要素</w:t>
            </w:r>
          </w:p>
        </w:tc>
        <w:tc>
          <w:tcPr>
            <w:tcW w:w="982" w:type="dxa"/>
            <w:vAlign w:val="top"/>
            <w:vMerge w:val="restart"/>
            <w:tcBorders>
              <w:bottom w:val="nil"/>
            </w:tcBorders>
          </w:tcPr>
          <w:p>
            <w:pPr>
              <w:pStyle w:val="TableText"/>
              <w:ind w:left="75"/>
              <w:spacing w:before="177" w:line="228" w:lineRule="auto"/>
              <w:rPr/>
            </w:pPr>
            <w:r>
              <w:rPr>
                <w:spacing w:val="7"/>
              </w:rPr>
              <w:t>保护目标</w:t>
            </w:r>
          </w:p>
        </w:tc>
        <w:tc>
          <w:tcPr>
            <w:tcW w:w="1719" w:type="dxa"/>
            <w:vAlign w:val="top"/>
            <w:vMerge w:val="restart"/>
            <w:tcBorders>
              <w:bottom w:val="nil"/>
            </w:tcBorders>
          </w:tcPr>
          <w:p>
            <w:pPr>
              <w:pStyle w:val="TableText"/>
              <w:ind w:left="656"/>
              <w:spacing w:before="177" w:line="228" w:lineRule="auto"/>
              <w:rPr/>
            </w:pPr>
            <w:r>
              <w:rPr>
                <w:spacing w:val="4"/>
              </w:rPr>
              <w:t>坐标</w:t>
            </w:r>
          </w:p>
        </w:tc>
        <w:tc>
          <w:tcPr>
            <w:tcW w:w="1714" w:type="dxa"/>
            <w:vAlign w:val="top"/>
            <w:gridSpan w:val="2"/>
          </w:tcPr>
          <w:p>
            <w:pPr>
              <w:pStyle w:val="TableText"/>
              <w:ind w:left="652"/>
              <w:spacing w:before="35" w:line="218" w:lineRule="auto"/>
              <w:rPr/>
            </w:pPr>
            <w:r>
              <w:rPr>
                <w:spacing w:val="4"/>
              </w:rPr>
              <w:t>概况</w:t>
            </w:r>
          </w:p>
        </w:tc>
        <w:tc>
          <w:tcPr>
            <w:tcW w:w="782" w:type="dxa"/>
            <w:vAlign w:val="top"/>
            <w:vMerge w:val="restart"/>
            <w:tcBorders>
              <w:bottom w:val="nil"/>
            </w:tcBorders>
          </w:tcPr>
          <w:p>
            <w:pPr>
              <w:pStyle w:val="TableText"/>
              <w:ind w:left="83"/>
              <w:spacing w:before="41" w:line="228" w:lineRule="auto"/>
              <w:rPr/>
            </w:pPr>
            <w:r>
              <w:rPr>
                <w:spacing w:val="6"/>
              </w:rPr>
              <w:t>相对厂</w:t>
            </w:r>
          </w:p>
          <w:p>
            <w:pPr>
              <w:pStyle w:val="TableText"/>
              <w:ind w:left="88"/>
              <w:spacing w:before="23" w:line="224" w:lineRule="auto"/>
              <w:rPr/>
            </w:pPr>
            <w:r>
              <w:rPr>
                <w:spacing w:val="5"/>
              </w:rPr>
              <w:t>界方位</w:t>
            </w:r>
          </w:p>
        </w:tc>
        <w:tc>
          <w:tcPr>
            <w:tcW w:w="879" w:type="dxa"/>
            <w:vAlign w:val="top"/>
            <w:vMerge w:val="restart"/>
            <w:tcBorders>
              <w:bottom w:val="nil"/>
            </w:tcBorders>
          </w:tcPr>
          <w:p>
            <w:pPr>
              <w:pStyle w:val="TableText"/>
              <w:ind w:left="126"/>
              <w:spacing w:before="177" w:line="228" w:lineRule="auto"/>
              <w:rPr>
                <w:rFonts w:ascii="Times New Roman" w:hAnsi="Times New Roman" w:eastAsia="Times New Roman" w:cs="Times New Roman"/>
              </w:rPr>
            </w:pPr>
            <w:r>
              <w:rPr>
                <w:spacing w:val="5"/>
              </w:rPr>
              <w:t>距离</w:t>
            </w:r>
            <w:r>
              <w:rPr>
                <w:rFonts w:ascii="Times New Roman" w:hAnsi="Times New Roman" w:eastAsia="Times New Roman" w:cs="Times New Roman"/>
                <w:spacing w:val="5"/>
              </w:rPr>
              <w:t>/m</w:t>
            </w:r>
          </w:p>
        </w:tc>
        <w:tc>
          <w:tcPr>
            <w:tcW w:w="1753" w:type="dxa"/>
            <w:vAlign w:val="top"/>
            <w:vMerge w:val="restart"/>
            <w:tcBorders>
              <w:bottom w:val="nil"/>
            </w:tcBorders>
          </w:tcPr>
          <w:p>
            <w:pPr>
              <w:pStyle w:val="TableText"/>
              <w:ind w:left="465"/>
              <w:spacing w:before="177" w:line="228" w:lineRule="auto"/>
              <w:rPr/>
            </w:pPr>
            <w:r>
              <w:rPr>
                <w:spacing w:val="6"/>
              </w:rPr>
              <w:t>功能目标</w:t>
            </w:r>
          </w:p>
        </w:tc>
      </w:tr>
      <w:tr>
        <w:trPr>
          <w:trHeight w:val="277" w:hRule="atLeast"/>
        </w:trPr>
        <w:tc>
          <w:tcPr>
            <w:tcW w:w="886" w:type="dxa"/>
            <w:vAlign w:val="top"/>
            <w:vMerge w:val="continue"/>
            <w:tcBorders>
              <w:top w:val="nil"/>
            </w:tcBorders>
          </w:tcPr>
          <w:p>
            <w:pPr>
              <w:rPr>
                <w:rFonts w:ascii="Arial"/>
                <w:sz w:val="21"/>
              </w:rPr>
            </w:pPr>
            <w:r/>
          </w:p>
        </w:tc>
        <w:tc>
          <w:tcPr>
            <w:tcW w:w="982" w:type="dxa"/>
            <w:vAlign w:val="top"/>
            <w:vMerge w:val="continue"/>
            <w:tcBorders>
              <w:top w:val="nil"/>
            </w:tcBorders>
          </w:tcPr>
          <w:p>
            <w:pPr>
              <w:rPr>
                <w:rFonts w:ascii="Arial"/>
                <w:sz w:val="21"/>
              </w:rPr>
            </w:pPr>
            <w:r/>
          </w:p>
        </w:tc>
        <w:tc>
          <w:tcPr>
            <w:tcW w:w="1719" w:type="dxa"/>
            <w:vAlign w:val="top"/>
            <w:vMerge w:val="continue"/>
            <w:tcBorders>
              <w:top w:val="nil"/>
            </w:tcBorders>
          </w:tcPr>
          <w:p>
            <w:pPr>
              <w:rPr>
                <w:rFonts w:ascii="Arial"/>
                <w:sz w:val="21"/>
              </w:rPr>
            </w:pPr>
            <w:r/>
          </w:p>
        </w:tc>
        <w:tc>
          <w:tcPr>
            <w:tcW w:w="1057" w:type="dxa"/>
            <w:vAlign w:val="top"/>
          </w:tcPr>
          <w:p>
            <w:pPr>
              <w:pStyle w:val="TableText"/>
              <w:ind w:left="324"/>
              <w:spacing w:before="31" w:line="217" w:lineRule="auto"/>
              <w:rPr/>
            </w:pPr>
            <w:r>
              <w:rPr>
                <w:spacing w:val="4"/>
              </w:rPr>
              <w:t>户数</w:t>
            </w:r>
          </w:p>
        </w:tc>
        <w:tc>
          <w:tcPr>
            <w:tcW w:w="657" w:type="dxa"/>
            <w:vAlign w:val="top"/>
          </w:tcPr>
          <w:p>
            <w:pPr>
              <w:pStyle w:val="TableText"/>
              <w:ind w:left="127"/>
              <w:spacing w:before="31" w:line="217" w:lineRule="auto"/>
              <w:rPr/>
            </w:pPr>
            <w:r>
              <w:rPr>
                <w:spacing w:val="3"/>
              </w:rPr>
              <w:t>人口</w:t>
            </w:r>
          </w:p>
        </w:tc>
        <w:tc>
          <w:tcPr>
            <w:tcW w:w="782" w:type="dxa"/>
            <w:vAlign w:val="top"/>
            <w:vMerge w:val="continue"/>
            <w:tcBorders>
              <w:top w:val="nil"/>
            </w:tcBorders>
          </w:tcPr>
          <w:p>
            <w:pPr>
              <w:rPr>
                <w:rFonts w:ascii="Arial"/>
                <w:sz w:val="21"/>
              </w:rPr>
            </w:pPr>
            <w:r/>
          </w:p>
        </w:tc>
        <w:tc>
          <w:tcPr>
            <w:tcW w:w="879" w:type="dxa"/>
            <w:vAlign w:val="top"/>
            <w:vMerge w:val="continue"/>
            <w:tcBorders>
              <w:top w:val="nil"/>
            </w:tcBorders>
          </w:tcPr>
          <w:p>
            <w:pPr>
              <w:rPr>
                <w:rFonts w:ascii="Arial"/>
                <w:sz w:val="21"/>
              </w:rPr>
            </w:pPr>
            <w:r/>
          </w:p>
        </w:tc>
        <w:tc>
          <w:tcPr>
            <w:tcW w:w="1753" w:type="dxa"/>
            <w:vAlign w:val="top"/>
            <w:vMerge w:val="continue"/>
            <w:tcBorders>
              <w:top w:val="nil"/>
            </w:tcBorders>
          </w:tcPr>
          <w:p>
            <w:pPr>
              <w:rPr>
                <w:rFonts w:ascii="Arial"/>
                <w:sz w:val="21"/>
              </w:rPr>
            </w:pPr>
            <w:r/>
          </w:p>
        </w:tc>
      </w:tr>
      <w:tr>
        <w:trPr>
          <w:trHeight w:val="488" w:hRule="atLeast"/>
        </w:trPr>
        <w:tc>
          <w:tcPr>
            <w:tcW w:w="886" w:type="dxa"/>
            <w:vAlign w:val="top"/>
            <w:vMerge w:val="restart"/>
            <w:tcBorders>
              <w:bottom w:val="nil"/>
            </w:tcBorders>
          </w:tcPr>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spacing w:line="273" w:lineRule="auto"/>
              <w:rPr>
                <w:rFonts w:ascii="Arial"/>
                <w:sz w:val="21"/>
              </w:rPr>
            </w:pPr>
            <w:r/>
          </w:p>
          <w:p>
            <w:pPr>
              <w:pStyle w:val="TableText"/>
              <w:ind w:left="32"/>
              <w:spacing w:before="65" w:line="228" w:lineRule="auto"/>
              <w:rPr/>
            </w:pPr>
            <w:r>
              <w:rPr>
                <w:spacing w:val="6"/>
              </w:rPr>
              <w:t>大气环境</w:t>
            </w:r>
          </w:p>
        </w:tc>
        <w:tc>
          <w:tcPr>
            <w:tcW w:w="982" w:type="dxa"/>
            <w:vAlign w:val="top"/>
          </w:tcPr>
          <w:p>
            <w:pPr>
              <w:pStyle w:val="TableText"/>
              <w:ind w:left="94"/>
              <w:spacing w:before="136" w:line="228" w:lineRule="auto"/>
              <w:rPr/>
            </w:pPr>
            <w:r>
              <w:rPr>
                <w:spacing w:val="2"/>
              </w:rPr>
              <w:t>明安图镇</w:t>
            </w:r>
          </w:p>
        </w:tc>
        <w:tc>
          <w:tcPr>
            <w:tcW w:w="1719" w:type="dxa"/>
            <w:vAlign w:val="top"/>
          </w:tcPr>
          <w:p>
            <w:pPr>
              <w:ind w:left="246"/>
              <w:spacing w:before="5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E115°0'9.119"</w:t>
            </w:r>
          </w:p>
          <w:p>
            <w:pPr>
              <w:ind w:left="174"/>
              <w:spacing w:before="52"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N42°</w:t>
            </w:r>
            <w:r>
              <w:rPr>
                <w:rFonts w:ascii="Times New Roman" w:hAnsi="Times New Roman" w:eastAsia="Times New Roman" w:cs="Times New Roman"/>
                <w:sz w:val="20"/>
                <w:szCs w:val="20"/>
                <w:spacing w:val="-14"/>
              </w:rPr>
              <w:t xml:space="preserve"> </w:t>
            </w:r>
            <w:r>
              <w:rPr>
                <w:rFonts w:ascii="Times New Roman" w:hAnsi="Times New Roman" w:eastAsia="Times New Roman" w:cs="Times New Roman"/>
                <w:sz w:val="20"/>
                <w:szCs w:val="20"/>
                <w:spacing w:val="2"/>
              </w:rPr>
              <w:t>18'23.631"</w:t>
            </w:r>
          </w:p>
        </w:tc>
        <w:tc>
          <w:tcPr>
            <w:tcW w:w="1057" w:type="dxa"/>
            <w:vAlign w:val="top"/>
          </w:tcPr>
          <w:p>
            <w:pPr>
              <w:ind w:left="324"/>
              <w:spacing w:before="1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6058</w:t>
            </w:r>
          </w:p>
        </w:tc>
        <w:tc>
          <w:tcPr>
            <w:tcW w:w="657" w:type="dxa"/>
            <w:vAlign w:val="top"/>
          </w:tcPr>
          <w:p>
            <w:pPr>
              <w:ind w:left="69"/>
              <w:spacing w:before="1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21202</w:t>
            </w:r>
          </w:p>
        </w:tc>
        <w:tc>
          <w:tcPr>
            <w:tcW w:w="782" w:type="dxa"/>
            <w:vAlign w:val="top"/>
          </w:tcPr>
          <w:p>
            <w:pPr>
              <w:ind w:left="329"/>
              <w:spacing w:before="17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E</w:t>
            </w:r>
          </w:p>
        </w:tc>
        <w:tc>
          <w:tcPr>
            <w:tcW w:w="879" w:type="dxa"/>
            <w:vAlign w:val="top"/>
          </w:tcPr>
          <w:p>
            <w:pPr>
              <w:ind w:left="287"/>
              <w:spacing w:before="1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910</w:t>
            </w:r>
          </w:p>
        </w:tc>
        <w:tc>
          <w:tcPr>
            <w:tcW w:w="1753" w:type="dxa"/>
            <w:vAlign w:val="top"/>
            <w:vMerge w:val="restart"/>
            <w:tcBorders>
              <w:bottom w:val="nil"/>
            </w:tcBorders>
          </w:tcPr>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spacing w:line="273" w:lineRule="auto"/>
              <w:rPr>
                <w:rFonts w:ascii="Arial"/>
                <w:sz w:val="21"/>
              </w:rPr>
            </w:pPr>
            <w:r/>
          </w:p>
          <w:p>
            <w:pPr>
              <w:pStyle w:val="TableText"/>
              <w:ind w:left="47"/>
              <w:spacing w:before="65" w:line="228" w:lineRule="auto"/>
              <w:rPr/>
            </w:pPr>
            <w:r>
              <w:rPr>
                <w:spacing w:val="8"/>
              </w:rPr>
              <w:t>《环境空气质量标</w:t>
            </w:r>
          </w:p>
          <w:p>
            <w:pPr>
              <w:pStyle w:val="TableText"/>
              <w:spacing w:before="23" w:line="229" w:lineRule="auto"/>
              <w:jc w:val="right"/>
              <w:rPr/>
            </w:pPr>
            <w:r>
              <w:rPr>
                <w:spacing w:val="-15"/>
              </w:rPr>
              <w:t>准》（</w:t>
            </w:r>
            <w:r>
              <w:rPr>
                <w:rFonts w:ascii="Times New Roman" w:hAnsi="Times New Roman" w:eastAsia="Times New Roman" w:cs="Times New Roman"/>
                <w:spacing w:val="-15"/>
              </w:rPr>
              <w:t>GB3095-2012</w:t>
            </w:r>
            <w:r>
              <w:rPr>
                <w:spacing w:val="-15"/>
              </w:rPr>
              <w:t>）</w:t>
            </w:r>
          </w:p>
          <w:p>
            <w:pPr>
              <w:pStyle w:val="TableText"/>
              <w:ind w:left="254"/>
              <w:spacing w:before="22" w:line="228" w:lineRule="auto"/>
              <w:rPr/>
            </w:pPr>
            <w:r>
              <w:rPr>
                <w:spacing w:val="7"/>
              </w:rPr>
              <w:t>二级及修改单</w:t>
            </w:r>
          </w:p>
        </w:tc>
      </w:tr>
      <w:tr>
        <w:trPr>
          <w:trHeight w:val="549" w:hRule="atLeast"/>
        </w:trPr>
        <w:tc>
          <w:tcPr>
            <w:tcW w:w="886" w:type="dxa"/>
            <w:vAlign w:val="top"/>
            <w:vMerge w:val="continue"/>
            <w:tcBorders>
              <w:top w:val="nil"/>
              <w:bottom w:val="nil"/>
            </w:tcBorders>
          </w:tcPr>
          <w:p>
            <w:pPr>
              <w:rPr>
                <w:rFonts w:ascii="Arial"/>
                <w:sz w:val="21"/>
              </w:rPr>
            </w:pPr>
            <w:r/>
          </w:p>
        </w:tc>
        <w:tc>
          <w:tcPr>
            <w:tcW w:w="982" w:type="dxa"/>
            <w:vAlign w:val="top"/>
          </w:tcPr>
          <w:p>
            <w:pPr>
              <w:pStyle w:val="TableText"/>
              <w:ind w:left="81"/>
              <w:spacing w:before="31" w:line="228" w:lineRule="auto"/>
              <w:rPr/>
            </w:pPr>
            <w:r>
              <w:rPr>
                <w:spacing w:val="5"/>
              </w:rPr>
              <w:t>楚伦昂格</w:t>
            </w:r>
          </w:p>
          <w:p>
            <w:pPr>
              <w:pStyle w:val="TableText"/>
              <w:ind w:left="181"/>
              <w:spacing w:before="25" w:line="217" w:lineRule="auto"/>
              <w:rPr/>
            </w:pPr>
            <w:r>
              <w:rPr>
                <w:spacing w:val="6"/>
              </w:rPr>
              <w:t>其嘎查</w:t>
            </w:r>
          </w:p>
        </w:tc>
        <w:tc>
          <w:tcPr>
            <w:tcW w:w="1719" w:type="dxa"/>
            <w:vAlign w:val="top"/>
          </w:tcPr>
          <w:p>
            <w:pPr>
              <w:ind w:left="226" w:right="138" w:hanging="84"/>
              <w:spacing w:before="82" w:line="23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E114°56'54.834"</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spacing w:val="2"/>
              </w:rPr>
              <w:t>N42°</w:t>
            </w:r>
            <w:r>
              <w:rPr>
                <w:rFonts w:ascii="Times New Roman" w:hAnsi="Times New Roman" w:eastAsia="Times New Roman" w:cs="Times New Roman"/>
                <w:sz w:val="20"/>
                <w:szCs w:val="20"/>
                <w:spacing w:val="-15"/>
              </w:rPr>
              <w:t xml:space="preserve"> </w:t>
            </w:r>
            <w:r>
              <w:rPr>
                <w:rFonts w:ascii="Times New Roman" w:hAnsi="Times New Roman" w:eastAsia="Times New Roman" w:cs="Times New Roman"/>
                <w:sz w:val="20"/>
                <w:szCs w:val="20"/>
                <w:spacing w:val="2"/>
              </w:rPr>
              <w:t>19'6.767"</w:t>
            </w:r>
          </w:p>
        </w:tc>
        <w:tc>
          <w:tcPr>
            <w:tcW w:w="1057" w:type="dxa"/>
            <w:vAlign w:val="top"/>
          </w:tcPr>
          <w:p>
            <w:pPr>
              <w:ind w:left="429"/>
              <w:spacing w:before="2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657" w:type="dxa"/>
            <w:vAlign w:val="top"/>
          </w:tcPr>
          <w:p>
            <w:pPr>
              <w:ind w:left="228"/>
              <w:spacing w:before="20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75</w:t>
            </w:r>
          </w:p>
        </w:tc>
        <w:tc>
          <w:tcPr>
            <w:tcW w:w="782" w:type="dxa"/>
            <w:vAlign w:val="top"/>
          </w:tcPr>
          <w:p>
            <w:pPr>
              <w:ind w:left="244"/>
              <w:spacing w:before="2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SW</w:t>
            </w:r>
          </w:p>
        </w:tc>
        <w:tc>
          <w:tcPr>
            <w:tcW w:w="879" w:type="dxa"/>
            <w:vAlign w:val="top"/>
          </w:tcPr>
          <w:p>
            <w:pPr>
              <w:ind w:left="233"/>
              <w:spacing w:before="2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2810</w:t>
            </w:r>
          </w:p>
        </w:tc>
        <w:tc>
          <w:tcPr>
            <w:tcW w:w="1753" w:type="dxa"/>
            <w:vAlign w:val="top"/>
            <w:vMerge w:val="continue"/>
            <w:tcBorders>
              <w:top w:val="nil"/>
              <w:bottom w:val="nil"/>
            </w:tcBorders>
          </w:tcPr>
          <w:p>
            <w:pPr>
              <w:rPr>
                <w:rFonts w:ascii="Arial"/>
                <w:sz w:val="21"/>
              </w:rPr>
            </w:pPr>
            <w:r/>
          </w:p>
        </w:tc>
      </w:tr>
      <w:tr>
        <w:trPr>
          <w:trHeight w:val="549" w:hRule="atLeast"/>
        </w:trPr>
        <w:tc>
          <w:tcPr>
            <w:tcW w:w="886" w:type="dxa"/>
            <w:vAlign w:val="top"/>
            <w:vMerge w:val="continue"/>
            <w:tcBorders>
              <w:top w:val="nil"/>
              <w:bottom w:val="nil"/>
            </w:tcBorders>
          </w:tcPr>
          <w:p>
            <w:pPr>
              <w:rPr>
                <w:rFonts w:ascii="Arial"/>
                <w:sz w:val="21"/>
              </w:rPr>
            </w:pPr>
            <w:r/>
          </w:p>
        </w:tc>
        <w:tc>
          <w:tcPr>
            <w:tcW w:w="982" w:type="dxa"/>
            <w:vAlign w:val="top"/>
          </w:tcPr>
          <w:p>
            <w:pPr>
              <w:pStyle w:val="TableText"/>
              <w:ind w:left="79"/>
              <w:spacing w:before="32" w:line="228" w:lineRule="auto"/>
              <w:rPr/>
            </w:pPr>
            <w:r>
              <w:rPr>
                <w:spacing w:val="6"/>
              </w:rPr>
              <w:t>苏明浩特</w:t>
            </w:r>
          </w:p>
          <w:p>
            <w:pPr>
              <w:pStyle w:val="TableText"/>
              <w:ind w:left="390"/>
              <w:spacing w:before="24" w:line="217" w:lineRule="auto"/>
              <w:rPr/>
            </w:pPr>
            <w:r>
              <w:rPr/>
              <w:t>村</w:t>
            </w:r>
          </w:p>
        </w:tc>
        <w:tc>
          <w:tcPr>
            <w:tcW w:w="1719" w:type="dxa"/>
            <w:vAlign w:val="top"/>
          </w:tcPr>
          <w:p>
            <w:pPr>
              <w:ind w:left="173" w:right="138" w:hanging="31"/>
              <w:spacing w:before="82" w:line="23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E114°56'37.458"</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spacing w:val="2"/>
              </w:rPr>
              <w:t>N42°</w:t>
            </w:r>
            <w:r>
              <w:rPr>
                <w:rFonts w:ascii="Times New Roman" w:hAnsi="Times New Roman" w:eastAsia="Times New Roman" w:cs="Times New Roman"/>
                <w:sz w:val="20"/>
                <w:szCs w:val="20"/>
                <w:spacing w:val="-14"/>
              </w:rPr>
              <w:t xml:space="preserve"> </w:t>
            </w:r>
            <w:r>
              <w:rPr>
                <w:rFonts w:ascii="Times New Roman" w:hAnsi="Times New Roman" w:eastAsia="Times New Roman" w:cs="Times New Roman"/>
                <w:sz w:val="20"/>
                <w:szCs w:val="20"/>
                <w:spacing w:val="2"/>
              </w:rPr>
              <w:t>17'29.904"</w:t>
            </w:r>
          </w:p>
        </w:tc>
        <w:tc>
          <w:tcPr>
            <w:tcW w:w="1057" w:type="dxa"/>
            <w:vAlign w:val="top"/>
          </w:tcPr>
          <w:p>
            <w:pPr>
              <w:ind w:left="445"/>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19</w:t>
            </w:r>
          </w:p>
        </w:tc>
        <w:tc>
          <w:tcPr>
            <w:tcW w:w="657" w:type="dxa"/>
            <w:vAlign w:val="top"/>
          </w:tcPr>
          <w:p>
            <w:pPr>
              <w:ind w:left="229"/>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782" w:type="dxa"/>
            <w:vAlign w:val="top"/>
          </w:tcPr>
          <w:p>
            <w:pPr>
              <w:ind w:left="286"/>
              <w:spacing w:before="20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W</w:t>
            </w:r>
          </w:p>
        </w:tc>
        <w:tc>
          <w:tcPr>
            <w:tcW w:w="879" w:type="dxa"/>
            <w:vAlign w:val="top"/>
          </w:tcPr>
          <w:p>
            <w:pPr>
              <w:ind w:left="204"/>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3"/>
              </w:rPr>
              <w:t>2060</w:t>
            </w:r>
          </w:p>
        </w:tc>
        <w:tc>
          <w:tcPr>
            <w:tcW w:w="1753" w:type="dxa"/>
            <w:vAlign w:val="top"/>
            <w:vMerge w:val="continue"/>
            <w:tcBorders>
              <w:top w:val="nil"/>
              <w:bottom w:val="nil"/>
            </w:tcBorders>
          </w:tcPr>
          <w:p>
            <w:pPr>
              <w:rPr>
                <w:rFonts w:ascii="Arial"/>
                <w:sz w:val="21"/>
              </w:rPr>
            </w:pPr>
            <w:r/>
          </w:p>
        </w:tc>
      </w:tr>
      <w:tr>
        <w:trPr>
          <w:trHeight w:val="549" w:hRule="atLeast"/>
        </w:trPr>
        <w:tc>
          <w:tcPr>
            <w:tcW w:w="886" w:type="dxa"/>
            <w:vAlign w:val="top"/>
            <w:vMerge w:val="continue"/>
            <w:tcBorders>
              <w:top w:val="nil"/>
              <w:bottom w:val="nil"/>
            </w:tcBorders>
          </w:tcPr>
          <w:p>
            <w:pPr>
              <w:rPr>
                <w:rFonts w:ascii="Arial"/>
                <w:sz w:val="21"/>
              </w:rPr>
            </w:pPr>
            <w:r/>
          </w:p>
        </w:tc>
        <w:tc>
          <w:tcPr>
            <w:tcW w:w="982" w:type="dxa"/>
            <w:vAlign w:val="top"/>
          </w:tcPr>
          <w:p>
            <w:pPr>
              <w:pStyle w:val="TableText"/>
              <w:ind w:left="77"/>
              <w:spacing w:before="32" w:line="228" w:lineRule="auto"/>
              <w:rPr/>
            </w:pPr>
            <w:r>
              <w:rPr>
                <w:spacing w:val="6"/>
              </w:rPr>
              <w:t>萨拉牧场</w:t>
            </w:r>
          </w:p>
          <w:p>
            <w:pPr>
              <w:pStyle w:val="TableText"/>
              <w:ind w:left="390"/>
              <w:spacing w:before="24" w:line="217" w:lineRule="auto"/>
              <w:rPr/>
            </w:pPr>
            <w:r>
              <w:rPr/>
              <w:t>村</w:t>
            </w:r>
          </w:p>
        </w:tc>
        <w:tc>
          <w:tcPr>
            <w:tcW w:w="1719" w:type="dxa"/>
            <w:vAlign w:val="top"/>
          </w:tcPr>
          <w:p>
            <w:pPr>
              <w:ind w:left="173" w:right="138" w:hanging="31"/>
              <w:spacing w:before="82" w:line="23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E114°58'46.617"</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spacing w:val="2"/>
              </w:rPr>
              <w:t>N42°</w:t>
            </w:r>
            <w:r>
              <w:rPr>
                <w:rFonts w:ascii="Times New Roman" w:hAnsi="Times New Roman" w:eastAsia="Times New Roman" w:cs="Times New Roman"/>
                <w:sz w:val="20"/>
                <w:szCs w:val="20"/>
                <w:spacing w:val="-14"/>
              </w:rPr>
              <w:t xml:space="preserve"> </w:t>
            </w:r>
            <w:r>
              <w:rPr>
                <w:rFonts w:ascii="Times New Roman" w:hAnsi="Times New Roman" w:eastAsia="Times New Roman" w:cs="Times New Roman"/>
                <w:sz w:val="20"/>
                <w:szCs w:val="20"/>
                <w:spacing w:val="2"/>
              </w:rPr>
              <w:t>16'35.688"</w:t>
            </w:r>
          </w:p>
        </w:tc>
        <w:tc>
          <w:tcPr>
            <w:tcW w:w="1057" w:type="dxa"/>
            <w:vAlign w:val="top"/>
          </w:tcPr>
          <w:p>
            <w:pPr>
              <w:ind w:left="425"/>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c>
          <w:tcPr>
            <w:tcW w:w="657" w:type="dxa"/>
            <w:vAlign w:val="top"/>
          </w:tcPr>
          <w:p>
            <w:pPr>
              <w:ind w:left="233"/>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85</w:t>
            </w:r>
          </w:p>
        </w:tc>
        <w:tc>
          <w:tcPr>
            <w:tcW w:w="782" w:type="dxa"/>
            <w:vAlign w:val="top"/>
          </w:tcPr>
          <w:p>
            <w:pPr>
              <w:ind w:left="342"/>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w:t>
            </w:r>
          </w:p>
        </w:tc>
        <w:tc>
          <w:tcPr>
            <w:tcW w:w="879" w:type="dxa"/>
            <w:vAlign w:val="top"/>
          </w:tcPr>
          <w:p>
            <w:pPr>
              <w:ind w:left="253"/>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1530</w:t>
            </w:r>
          </w:p>
        </w:tc>
        <w:tc>
          <w:tcPr>
            <w:tcW w:w="1753" w:type="dxa"/>
            <w:vAlign w:val="top"/>
            <w:vMerge w:val="continue"/>
            <w:tcBorders>
              <w:top w:val="nil"/>
              <w:bottom w:val="nil"/>
            </w:tcBorders>
          </w:tcPr>
          <w:p>
            <w:pPr>
              <w:rPr>
                <w:rFonts w:ascii="Arial"/>
                <w:sz w:val="21"/>
              </w:rPr>
            </w:pPr>
            <w:r/>
          </w:p>
        </w:tc>
      </w:tr>
      <w:tr>
        <w:trPr>
          <w:trHeight w:val="488" w:hRule="atLeast"/>
        </w:trPr>
        <w:tc>
          <w:tcPr>
            <w:tcW w:w="886" w:type="dxa"/>
            <w:vAlign w:val="top"/>
            <w:vMerge w:val="continue"/>
            <w:tcBorders>
              <w:top w:val="nil"/>
              <w:bottom w:val="nil"/>
            </w:tcBorders>
          </w:tcPr>
          <w:p>
            <w:pPr>
              <w:rPr>
                <w:rFonts w:ascii="Arial"/>
                <w:sz w:val="21"/>
              </w:rPr>
            </w:pPr>
            <w:r/>
          </w:p>
        </w:tc>
        <w:tc>
          <w:tcPr>
            <w:tcW w:w="982" w:type="dxa"/>
            <w:vAlign w:val="top"/>
          </w:tcPr>
          <w:p>
            <w:pPr>
              <w:pStyle w:val="TableText"/>
              <w:ind w:left="205"/>
              <w:spacing w:before="136" w:line="227" w:lineRule="auto"/>
              <w:rPr>
                <w:rFonts w:ascii="Times New Roman" w:hAnsi="Times New Roman" w:eastAsia="Times New Roman" w:cs="Times New Roman"/>
              </w:rPr>
            </w:pPr>
            <w:r>
              <w:rPr>
                <w:spacing w:val="2"/>
              </w:rPr>
              <w:t>村庄</w:t>
            </w:r>
            <w:r>
              <w:rPr>
                <w:spacing w:val="-19"/>
              </w:rPr>
              <w:t xml:space="preserve"> </w:t>
            </w:r>
            <w:r>
              <w:rPr>
                <w:rFonts w:ascii="Times New Roman" w:hAnsi="Times New Roman" w:eastAsia="Times New Roman" w:cs="Times New Roman"/>
                <w:spacing w:val="2"/>
              </w:rPr>
              <w:t>1</w:t>
            </w:r>
          </w:p>
        </w:tc>
        <w:tc>
          <w:tcPr>
            <w:tcW w:w="1719" w:type="dxa"/>
            <w:vAlign w:val="top"/>
          </w:tcPr>
          <w:p>
            <w:pPr>
              <w:ind w:left="173" w:right="138" w:hanging="31"/>
              <w:spacing w:before="54" w:line="22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E114°58'38.812"</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spacing w:val="2"/>
              </w:rPr>
              <w:t>N42°</w:t>
            </w:r>
            <w:r>
              <w:rPr>
                <w:rFonts w:ascii="Times New Roman" w:hAnsi="Times New Roman" w:eastAsia="Times New Roman" w:cs="Times New Roman"/>
                <w:sz w:val="20"/>
                <w:szCs w:val="20"/>
                <w:spacing w:val="-14"/>
              </w:rPr>
              <w:t xml:space="preserve"> </w:t>
            </w:r>
            <w:r>
              <w:rPr>
                <w:rFonts w:ascii="Times New Roman" w:hAnsi="Times New Roman" w:eastAsia="Times New Roman" w:cs="Times New Roman"/>
                <w:sz w:val="20"/>
                <w:szCs w:val="20"/>
                <w:spacing w:val="2"/>
              </w:rPr>
              <w:t>17'31.974"</w:t>
            </w:r>
          </w:p>
        </w:tc>
        <w:tc>
          <w:tcPr>
            <w:tcW w:w="1057" w:type="dxa"/>
            <w:vAlign w:val="top"/>
          </w:tcPr>
          <w:p>
            <w:pPr>
              <w:ind w:left="486"/>
              <w:spacing w:before="1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657" w:type="dxa"/>
            <w:vAlign w:val="top"/>
          </w:tcPr>
          <w:p>
            <w:pPr>
              <w:ind w:left="225"/>
              <w:spacing w:before="1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82" w:type="dxa"/>
            <w:vAlign w:val="top"/>
          </w:tcPr>
          <w:p>
            <w:pPr>
              <w:ind w:left="342"/>
              <w:spacing w:before="1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w:t>
            </w:r>
          </w:p>
        </w:tc>
        <w:tc>
          <w:tcPr>
            <w:tcW w:w="879" w:type="dxa"/>
            <w:vAlign w:val="top"/>
          </w:tcPr>
          <w:p>
            <w:pPr>
              <w:ind w:left="282"/>
              <w:spacing w:before="1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476</w:t>
            </w:r>
          </w:p>
        </w:tc>
        <w:tc>
          <w:tcPr>
            <w:tcW w:w="1753" w:type="dxa"/>
            <w:vAlign w:val="top"/>
            <w:vMerge w:val="continue"/>
            <w:tcBorders>
              <w:top w:val="nil"/>
              <w:bottom w:val="nil"/>
            </w:tcBorders>
          </w:tcPr>
          <w:p>
            <w:pPr>
              <w:rPr>
                <w:rFonts w:ascii="Arial"/>
                <w:sz w:val="21"/>
              </w:rPr>
            </w:pPr>
            <w:r/>
          </w:p>
        </w:tc>
      </w:tr>
      <w:tr>
        <w:trPr>
          <w:trHeight w:val="488" w:hRule="atLeast"/>
        </w:trPr>
        <w:tc>
          <w:tcPr>
            <w:tcW w:w="886" w:type="dxa"/>
            <w:vAlign w:val="top"/>
            <w:vMerge w:val="continue"/>
            <w:tcBorders>
              <w:top w:val="nil"/>
              <w:bottom w:val="nil"/>
            </w:tcBorders>
          </w:tcPr>
          <w:p>
            <w:pPr>
              <w:rPr>
                <w:rFonts w:ascii="Arial"/>
                <w:sz w:val="21"/>
              </w:rPr>
            </w:pPr>
            <w:r/>
          </w:p>
        </w:tc>
        <w:tc>
          <w:tcPr>
            <w:tcW w:w="982" w:type="dxa"/>
            <w:vAlign w:val="top"/>
          </w:tcPr>
          <w:p>
            <w:pPr>
              <w:pStyle w:val="TableText"/>
              <w:ind w:left="203"/>
              <w:spacing w:before="137" w:line="228" w:lineRule="auto"/>
              <w:rPr>
                <w:rFonts w:ascii="Times New Roman" w:hAnsi="Times New Roman" w:eastAsia="Times New Roman" w:cs="Times New Roman"/>
              </w:rPr>
            </w:pPr>
            <w:r>
              <w:rPr>
                <w:spacing w:val="3"/>
              </w:rPr>
              <w:t>散户</w:t>
            </w:r>
            <w:r>
              <w:rPr>
                <w:spacing w:val="-21"/>
              </w:rPr>
              <w:t xml:space="preserve"> </w:t>
            </w:r>
            <w:r>
              <w:rPr>
                <w:rFonts w:ascii="Times New Roman" w:hAnsi="Times New Roman" w:eastAsia="Times New Roman" w:cs="Times New Roman"/>
                <w:spacing w:val="3"/>
              </w:rPr>
              <w:t>1</w:t>
            </w:r>
          </w:p>
        </w:tc>
        <w:tc>
          <w:tcPr>
            <w:tcW w:w="1719" w:type="dxa"/>
            <w:vAlign w:val="top"/>
          </w:tcPr>
          <w:p>
            <w:pPr>
              <w:ind w:left="173" w:right="138" w:hanging="31"/>
              <w:spacing w:before="54" w:line="22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E114°58'</w:t>
            </w:r>
            <w:r>
              <w:rPr>
                <w:rFonts w:ascii="Times New Roman" w:hAnsi="Times New Roman" w:eastAsia="Times New Roman" w:cs="Times New Roman"/>
                <w:sz w:val="20"/>
                <w:szCs w:val="20"/>
                <w:spacing w:val="-19"/>
              </w:rPr>
              <w:t xml:space="preserve"> </w:t>
            </w:r>
            <w:r>
              <w:rPr>
                <w:rFonts w:ascii="Times New Roman" w:hAnsi="Times New Roman" w:eastAsia="Times New Roman" w:cs="Times New Roman"/>
                <w:sz w:val="20"/>
                <w:szCs w:val="20"/>
                <w:spacing w:val="2"/>
              </w:rPr>
              <w:t>18.211"</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2"/>
              </w:rPr>
              <w:t>N42°</w:t>
            </w:r>
            <w:r>
              <w:rPr>
                <w:rFonts w:ascii="Times New Roman" w:hAnsi="Times New Roman" w:eastAsia="Times New Roman" w:cs="Times New Roman"/>
                <w:sz w:val="20"/>
                <w:szCs w:val="20"/>
                <w:spacing w:val="-14"/>
              </w:rPr>
              <w:t xml:space="preserve"> </w:t>
            </w:r>
            <w:r>
              <w:rPr>
                <w:rFonts w:ascii="Times New Roman" w:hAnsi="Times New Roman" w:eastAsia="Times New Roman" w:cs="Times New Roman"/>
                <w:sz w:val="20"/>
                <w:szCs w:val="20"/>
                <w:spacing w:val="2"/>
              </w:rPr>
              <w:t>17'31.959"</w:t>
            </w:r>
          </w:p>
        </w:tc>
        <w:tc>
          <w:tcPr>
            <w:tcW w:w="1057" w:type="dxa"/>
            <w:vAlign w:val="top"/>
          </w:tcPr>
          <w:p>
            <w:pPr>
              <w:ind w:left="498"/>
              <w:spacing w:before="1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57" w:type="dxa"/>
            <w:vAlign w:val="top"/>
          </w:tcPr>
          <w:p>
            <w:pPr>
              <w:ind w:left="278"/>
              <w:spacing w:before="1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782" w:type="dxa"/>
            <w:vAlign w:val="top"/>
          </w:tcPr>
          <w:p>
            <w:pPr>
              <w:ind w:left="342"/>
              <w:spacing w:before="1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w:t>
            </w:r>
          </w:p>
        </w:tc>
        <w:tc>
          <w:tcPr>
            <w:tcW w:w="879" w:type="dxa"/>
            <w:vAlign w:val="top"/>
          </w:tcPr>
          <w:p>
            <w:pPr>
              <w:ind w:left="283"/>
              <w:spacing w:before="1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270</w:t>
            </w:r>
          </w:p>
        </w:tc>
        <w:tc>
          <w:tcPr>
            <w:tcW w:w="1753" w:type="dxa"/>
            <w:vAlign w:val="top"/>
            <w:vMerge w:val="continue"/>
            <w:tcBorders>
              <w:top w:val="nil"/>
              <w:bottom w:val="nil"/>
            </w:tcBorders>
          </w:tcPr>
          <w:p>
            <w:pPr>
              <w:rPr>
                <w:rFonts w:ascii="Arial"/>
                <w:sz w:val="21"/>
              </w:rPr>
            </w:pPr>
            <w:r/>
          </w:p>
        </w:tc>
      </w:tr>
      <w:tr>
        <w:trPr>
          <w:trHeight w:val="488" w:hRule="atLeast"/>
        </w:trPr>
        <w:tc>
          <w:tcPr>
            <w:tcW w:w="886" w:type="dxa"/>
            <w:vAlign w:val="top"/>
            <w:vMerge w:val="continue"/>
            <w:tcBorders>
              <w:top w:val="nil"/>
            </w:tcBorders>
          </w:tcPr>
          <w:p>
            <w:pPr>
              <w:rPr>
                <w:rFonts w:ascii="Arial"/>
                <w:sz w:val="21"/>
              </w:rPr>
            </w:pPr>
            <w:r/>
          </w:p>
        </w:tc>
        <w:tc>
          <w:tcPr>
            <w:tcW w:w="982" w:type="dxa"/>
            <w:vAlign w:val="top"/>
          </w:tcPr>
          <w:p>
            <w:pPr>
              <w:pStyle w:val="TableText"/>
              <w:ind w:left="203"/>
              <w:spacing w:before="136" w:line="228" w:lineRule="auto"/>
              <w:rPr>
                <w:rFonts w:ascii="Times New Roman" w:hAnsi="Times New Roman" w:eastAsia="Times New Roman" w:cs="Times New Roman"/>
              </w:rPr>
            </w:pPr>
            <w:r>
              <w:rPr>
                <w:spacing w:val="3"/>
              </w:rPr>
              <w:t>散户</w:t>
            </w:r>
            <w:r>
              <w:rPr>
                <w:spacing w:val="-41"/>
              </w:rPr>
              <w:t xml:space="preserve"> </w:t>
            </w:r>
            <w:r>
              <w:rPr>
                <w:rFonts w:ascii="Times New Roman" w:hAnsi="Times New Roman" w:eastAsia="Times New Roman" w:cs="Times New Roman"/>
                <w:spacing w:val="3"/>
              </w:rPr>
              <w:t>2</w:t>
            </w:r>
          </w:p>
        </w:tc>
        <w:tc>
          <w:tcPr>
            <w:tcW w:w="1719" w:type="dxa"/>
            <w:vAlign w:val="top"/>
          </w:tcPr>
          <w:p>
            <w:pPr>
              <w:ind w:left="193"/>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E114°58'2.163"</w:t>
            </w:r>
          </w:p>
          <w:p>
            <w:pPr>
              <w:ind w:left="174"/>
              <w:spacing w:before="52"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N42°</w:t>
            </w:r>
            <w:r>
              <w:rPr>
                <w:rFonts w:ascii="Times New Roman" w:hAnsi="Times New Roman" w:eastAsia="Times New Roman" w:cs="Times New Roman"/>
                <w:sz w:val="20"/>
                <w:szCs w:val="20"/>
                <w:spacing w:val="-14"/>
              </w:rPr>
              <w:t xml:space="preserve"> </w:t>
            </w:r>
            <w:r>
              <w:rPr>
                <w:rFonts w:ascii="Times New Roman" w:hAnsi="Times New Roman" w:eastAsia="Times New Roman" w:cs="Times New Roman"/>
                <w:sz w:val="20"/>
                <w:szCs w:val="20"/>
                <w:spacing w:val="2"/>
              </w:rPr>
              <w:t>17'47.044"</w:t>
            </w:r>
          </w:p>
        </w:tc>
        <w:tc>
          <w:tcPr>
            <w:tcW w:w="1057" w:type="dxa"/>
            <w:vAlign w:val="top"/>
          </w:tcPr>
          <w:p>
            <w:pPr>
              <w:ind w:left="498"/>
              <w:spacing w:before="1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57" w:type="dxa"/>
            <w:vAlign w:val="top"/>
          </w:tcPr>
          <w:p>
            <w:pPr>
              <w:ind w:left="278"/>
              <w:spacing w:before="1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782" w:type="dxa"/>
            <w:vAlign w:val="top"/>
          </w:tcPr>
          <w:p>
            <w:pPr>
              <w:ind w:left="310"/>
              <w:spacing w:before="17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w:t>
            </w:r>
          </w:p>
        </w:tc>
        <w:tc>
          <w:tcPr>
            <w:tcW w:w="879" w:type="dxa"/>
            <w:vAlign w:val="top"/>
          </w:tcPr>
          <w:p>
            <w:pPr>
              <w:ind w:left="304"/>
              <w:spacing w:before="1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180</w:t>
            </w:r>
          </w:p>
        </w:tc>
        <w:tc>
          <w:tcPr>
            <w:tcW w:w="1753" w:type="dxa"/>
            <w:vAlign w:val="top"/>
            <w:vMerge w:val="continue"/>
            <w:tcBorders>
              <w:top w:val="nil"/>
            </w:tcBorders>
          </w:tcPr>
          <w:p>
            <w:pPr>
              <w:rPr>
                <w:rFonts w:ascii="Arial"/>
                <w:sz w:val="21"/>
              </w:rPr>
            </w:pPr>
            <w:r/>
          </w:p>
        </w:tc>
      </w:tr>
      <w:tr>
        <w:trPr>
          <w:trHeight w:val="549" w:hRule="atLeast"/>
        </w:trPr>
        <w:tc>
          <w:tcPr>
            <w:tcW w:w="886" w:type="dxa"/>
            <w:vAlign w:val="top"/>
          </w:tcPr>
          <w:p>
            <w:pPr>
              <w:pStyle w:val="TableText"/>
              <w:ind w:left="29"/>
              <w:spacing w:before="32" w:line="228" w:lineRule="auto"/>
              <w:rPr/>
            </w:pPr>
            <w:r>
              <w:rPr>
                <w:spacing w:val="7"/>
              </w:rPr>
              <w:t>地表水环</w:t>
            </w:r>
          </w:p>
          <w:p>
            <w:pPr>
              <w:pStyle w:val="TableText"/>
              <w:ind w:left="345"/>
              <w:spacing w:before="26" w:line="215" w:lineRule="auto"/>
              <w:rPr/>
            </w:pPr>
            <w:r>
              <w:rPr/>
              <w:t>境</w:t>
            </w:r>
          </w:p>
        </w:tc>
        <w:tc>
          <w:tcPr>
            <w:tcW w:w="982" w:type="dxa"/>
            <w:vAlign w:val="top"/>
          </w:tcPr>
          <w:p>
            <w:pPr>
              <w:pStyle w:val="TableText"/>
              <w:ind w:left="285"/>
              <w:spacing w:before="167" w:line="228" w:lineRule="auto"/>
              <w:rPr/>
            </w:pPr>
            <w:r>
              <w:rPr>
                <w:spacing w:val="3"/>
              </w:rPr>
              <w:t>后河</w:t>
            </w:r>
          </w:p>
        </w:tc>
        <w:tc>
          <w:tcPr>
            <w:tcW w:w="5094" w:type="dxa"/>
            <w:vAlign w:val="top"/>
            <w:gridSpan w:val="5"/>
          </w:tcPr>
          <w:p>
            <w:pPr>
              <w:pStyle w:val="TableText"/>
              <w:ind w:left="9"/>
              <w:spacing w:before="166" w:line="228" w:lineRule="auto"/>
              <w:rPr/>
            </w:pPr>
            <w:r>
              <w:rPr>
                <w:spacing w:val="3"/>
              </w:rPr>
              <w:t>位于项目厂址南侧</w:t>
            </w:r>
            <w:r>
              <w:rPr>
                <w:spacing w:val="-4"/>
              </w:rPr>
              <w:t xml:space="preserve"> </w:t>
            </w:r>
            <w:r>
              <w:rPr>
                <w:rFonts w:ascii="Times New Roman" w:hAnsi="Times New Roman" w:eastAsia="Times New Roman" w:cs="Times New Roman"/>
                <w:spacing w:val="3"/>
              </w:rPr>
              <w:t>135m</w:t>
            </w:r>
            <w:r>
              <w:rPr>
                <w:rFonts w:ascii="Times New Roman" w:hAnsi="Times New Roman" w:eastAsia="Times New Roman" w:cs="Times New Roman"/>
                <w:spacing w:val="16"/>
              </w:rPr>
              <w:t xml:space="preserve"> </w:t>
            </w:r>
            <w:r>
              <w:rPr>
                <w:spacing w:val="3"/>
              </w:rPr>
              <w:t>处，</w:t>
            </w:r>
            <w:r>
              <w:rPr>
                <w:spacing w:val="-49"/>
              </w:rPr>
              <w:t xml:space="preserve"> </w:t>
            </w:r>
            <w:r>
              <w:rPr>
                <w:spacing w:val="3"/>
              </w:rPr>
              <w:t>自东向西径流。</w:t>
            </w:r>
          </w:p>
        </w:tc>
        <w:tc>
          <w:tcPr>
            <w:tcW w:w="1753" w:type="dxa"/>
            <w:vAlign w:val="top"/>
          </w:tcPr>
          <w:p>
            <w:pPr>
              <w:pStyle w:val="TableText"/>
              <w:ind w:left="671" w:right="16" w:hanging="649"/>
              <w:spacing w:before="31" w:line="234" w:lineRule="auto"/>
              <w:rPr/>
            </w:pPr>
            <w:r>
              <w:rPr>
                <w:rFonts w:ascii="Times New Roman" w:hAnsi="Times New Roman" w:eastAsia="Times New Roman" w:cs="Times New Roman"/>
              </w:rPr>
              <w:t>GB</w:t>
            </w:r>
            <w:r>
              <w:rPr>
                <w:rFonts w:ascii="Times New Roman" w:hAnsi="Times New Roman" w:eastAsia="Times New Roman" w:cs="Times New Roman"/>
                <w:spacing w:val="5"/>
              </w:rPr>
              <w:t xml:space="preserve"> 3838-2002 Ⅲ</w:t>
            </w:r>
            <w:r>
              <w:rPr>
                <w:spacing w:val="5"/>
              </w:rPr>
              <w:t>类</w:t>
            </w:r>
            <w:r>
              <w:rPr>
                <w:spacing w:val="6"/>
              </w:rPr>
              <w:t xml:space="preserve"> </w:t>
            </w:r>
            <w:r>
              <w:rPr>
                <w:spacing w:val="4"/>
              </w:rPr>
              <w:t>标准</w:t>
            </w:r>
          </w:p>
        </w:tc>
      </w:tr>
      <w:tr>
        <w:trPr>
          <w:trHeight w:val="821" w:hRule="atLeast"/>
        </w:trPr>
        <w:tc>
          <w:tcPr>
            <w:tcW w:w="886" w:type="dxa"/>
            <w:vAlign w:val="top"/>
          </w:tcPr>
          <w:p>
            <w:pPr>
              <w:rPr>
                <w:rFonts w:ascii="Arial"/>
                <w:sz w:val="21"/>
              </w:rPr>
            </w:pPr>
            <w:r/>
          </w:p>
          <w:p>
            <w:pPr>
              <w:pStyle w:val="TableText"/>
              <w:ind w:left="137"/>
              <w:spacing w:before="65" w:line="228" w:lineRule="auto"/>
              <w:rPr/>
            </w:pPr>
            <w:r>
              <w:rPr>
                <w:spacing w:val="5"/>
              </w:rPr>
              <w:t>声环境</w:t>
            </w:r>
          </w:p>
        </w:tc>
        <w:tc>
          <w:tcPr>
            <w:tcW w:w="982" w:type="dxa"/>
            <w:vAlign w:val="top"/>
          </w:tcPr>
          <w:p>
            <w:pPr>
              <w:pStyle w:val="TableText"/>
              <w:ind w:left="203"/>
              <w:spacing w:before="306" w:line="228" w:lineRule="auto"/>
              <w:rPr>
                <w:rFonts w:ascii="Times New Roman" w:hAnsi="Times New Roman" w:eastAsia="Times New Roman" w:cs="Times New Roman"/>
              </w:rPr>
            </w:pPr>
            <w:r>
              <w:rPr>
                <w:spacing w:val="3"/>
              </w:rPr>
              <w:t>散户</w:t>
            </w:r>
            <w:r>
              <w:rPr>
                <w:spacing w:val="-41"/>
              </w:rPr>
              <w:t xml:space="preserve"> </w:t>
            </w:r>
            <w:r>
              <w:rPr>
                <w:rFonts w:ascii="Times New Roman" w:hAnsi="Times New Roman" w:eastAsia="Times New Roman" w:cs="Times New Roman"/>
                <w:spacing w:val="3"/>
              </w:rPr>
              <w:t>2</w:t>
            </w:r>
          </w:p>
        </w:tc>
        <w:tc>
          <w:tcPr>
            <w:tcW w:w="1719" w:type="dxa"/>
            <w:vAlign w:val="top"/>
          </w:tcPr>
          <w:p>
            <w:pPr>
              <w:ind w:left="193"/>
              <w:spacing w:before="22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E114°58'2.163"</w:t>
            </w:r>
          </w:p>
          <w:p>
            <w:pPr>
              <w:ind w:left="174"/>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N42°</w:t>
            </w:r>
            <w:r>
              <w:rPr>
                <w:rFonts w:ascii="Times New Roman" w:hAnsi="Times New Roman" w:eastAsia="Times New Roman" w:cs="Times New Roman"/>
                <w:sz w:val="20"/>
                <w:szCs w:val="20"/>
                <w:spacing w:val="-14"/>
              </w:rPr>
              <w:t xml:space="preserve"> </w:t>
            </w:r>
            <w:r>
              <w:rPr>
                <w:rFonts w:ascii="Times New Roman" w:hAnsi="Times New Roman" w:eastAsia="Times New Roman" w:cs="Times New Roman"/>
                <w:sz w:val="20"/>
                <w:szCs w:val="20"/>
                <w:spacing w:val="2"/>
              </w:rPr>
              <w:t>17'47.044"</w:t>
            </w:r>
          </w:p>
        </w:tc>
        <w:tc>
          <w:tcPr>
            <w:tcW w:w="1057" w:type="dxa"/>
            <w:vAlign w:val="top"/>
          </w:tcPr>
          <w:p>
            <w:pPr>
              <w:spacing w:line="283" w:lineRule="auto"/>
              <w:rPr>
                <w:rFonts w:ascii="Arial"/>
                <w:sz w:val="21"/>
              </w:rPr>
            </w:pPr>
            <w:r/>
          </w:p>
          <w:p>
            <w:pPr>
              <w:ind w:left="498"/>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57" w:type="dxa"/>
            <w:vAlign w:val="top"/>
          </w:tcPr>
          <w:p>
            <w:pPr>
              <w:spacing w:line="283" w:lineRule="auto"/>
              <w:rPr>
                <w:rFonts w:ascii="Arial"/>
                <w:sz w:val="21"/>
              </w:rPr>
            </w:pPr>
            <w:r/>
          </w:p>
          <w:p>
            <w:pPr>
              <w:ind w:left="278"/>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782" w:type="dxa"/>
            <w:vAlign w:val="top"/>
          </w:tcPr>
          <w:p>
            <w:pPr>
              <w:spacing w:line="286" w:lineRule="auto"/>
              <w:rPr>
                <w:rFonts w:ascii="Arial"/>
                <w:sz w:val="21"/>
              </w:rPr>
            </w:pPr>
            <w:r/>
          </w:p>
          <w:p>
            <w:pPr>
              <w:ind w:left="310"/>
              <w:spacing w:before="5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w:t>
            </w:r>
          </w:p>
        </w:tc>
        <w:tc>
          <w:tcPr>
            <w:tcW w:w="879" w:type="dxa"/>
            <w:vAlign w:val="top"/>
          </w:tcPr>
          <w:p>
            <w:pPr>
              <w:spacing w:line="283" w:lineRule="auto"/>
              <w:rPr>
                <w:rFonts w:ascii="Arial"/>
                <w:sz w:val="21"/>
              </w:rPr>
            </w:pPr>
            <w:r/>
          </w:p>
          <w:p>
            <w:pPr>
              <w:ind w:left="304"/>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180</w:t>
            </w:r>
          </w:p>
        </w:tc>
        <w:tc>
          <w:tcPr>
            <w:tcW w:w="1753" w:type="dxa"/>
            <w:vAlign w:val="top"/>
          </w:tcPr>
          <w:p>
            <w:pPr>
              <w:pStyle w:val="TableText"/>
              <w:ind w:left="153"/>
              <w:spacing w:before="33" w:line="228" w:lineRule="auto"/>
              <w:rPr/>
            </w:pPr>
            <w:r>
              <w:rPr>
                <w:spacing w:val="7"/>
              </w:rPr>
              <w:t>《声环境质量标</w:t>
            </w:r>
          </w:p>
          <w:p>
            <w:pPr>
              <w:pStyle w:val="TableText"/>
              <w:spacing w:before="26" w:line="229" w:lineRule="auto"/>
              <w:jc w:val="right"/>
              <w:rPr/>
            </w:pPr>
            <w:r>
              <w:rPr>
                <w:spacing w:val="-15"/>
              </w:rPr>
              <w:t>准》（</w:t>
            </w:r>
            <w:r>
              <w:rPr>
                <w:rFonts w:ascii="Times New Roman" w:hAnsi="Times New Roman" w:eastAsia="Times New Roman" w:cs="Times New Roman"/>
                <w:spacing w:val="-15"/>
              </w:rPr>
              <w:t>GB3096-2008</w:t>
            </w:r>
            <w:r>
              <w:rPr>
                <w:spacing w:val="-15"/>
              </w:rPr>
              <w:t>）</w:t>
            </w:r>
          </w:p>
          <w:p>
            <w:pPr>
              <w:pStyle w:val="TableText"/>
              <w:ind w:left="484"/>
              <w:spacing w:before="23" w:line="215" w:lineRule="auto"/>
              <w:rPr/>
            </w:pPr>
            <w:r>
              <w:rPr>
                <w:rFonts w:ascii="Times New Roman" w:hAnsi="Times New Roman" w:eastAsia="Times New Roman" w:cs="Times New Roman"/>
                <w:spacing w:val="5"/>
              </w:rPr>
              <w:t>2</w:t>
            </w:r>
            <w:r>
              <w:rPr>
                <w:rFonts w:ascii="Times New Roman" w:hAnsi="Times New Roman" w:eastAsia="Times New Roman" w:cs="Times New Roman"/>
                <w:spacing w:val="9"/>
              </w:rPr>
              <w:t xml:space="preserve"> </w:t>
            </w:r>
            <w:r>
              <w:rPr>
                <w:spacing w:val="5"/>
              </w:rPr>
              <w:t>类标准</w:t>
            </w:r>
          </w:p>
        </w:tc>
      </w:tr>
      <w:tr>
        <w:trPr>
          <w:trHeight w:val="549" w:hRule="atLeast"/>
        </w:trPr>
        <w:tc>
          <w:tcPr>
            <w:tcW w:w="886" w:type="dxa"/>
            <w:vAlign w:val="top"/>
          </w:tcPr>
          <w:p>
            <w:pPr>
              <w:pStyle w:val="TableText"/>
              <w:ind w:left="31"/>
              <w:spacing w:before="170" w:line="228" w:lineRule="auto"/>
              <w:rPr/>
            </w:pPr>
            <w:r>
              <w:rPr>
                <w:spacing w:val="6"/>
              </w:rPr>
              <w:t>生态环境</w:t>
            </w:r>
          </w:p>
        </w:tc>
        <w:tc>
          <w:tcPr>
            <w:tcW w:w="6076" w:type="dxa"/>
            <w:vAlign w:val="top"/>
            <w:gridSpan w:val="6"/>
          </w:tcPr>
          <w:p>
            <w:pPr>
              <w:pStyle w:val="TableText"/>
              <w:ind w:left="25"/>
              <w:spacing w:before="35" w:line="227" w:lineRule="auto"/>
              <w:rPr/>
            </w:pPr>
            <w:r>
              <w:rPr>
                <w:spacing w:val="8"/>
              </w:rPr>
              <w:t>项目占地及周边</w:t>
            </w:r>
            <w:r>
              <w:rPr>
                <w:spacing w:val="-26"/>
              </w:rPr>
              <w:t xml:space="preserve"> </w:t>
            </w:r>
            <w:r>
              <w:rPr>
                <w:rFonts w:ascii="Times New Roman" w:hAnsi="Times New Roman" w:eastAsia="Times New Roman" w:cs="Times New Roman"/>
                <w:spacing w:val="8"/>
              </w:rPr>
              <w:t>500m </w:t>
            </w:r>
            <w:r>
              <w:rPr>
                <w:spacing w:val="8"/>
              </w:rPr>
              <w:t>范围内耕地（东厂区东南侧）、天然牧草地</w:t>
            </w:r>
          </w:p>
          <w:p>
            <w:pPr>
              <w:pStyle w:val="TableText"/>
              <w:ind w:left="2214"/>
              <w:spacing w:before="24" w:line="215" w:lineRule="auto"/>
              <w:rPr/>
            </w:pPr>
            <w:r>
              <w:rPr>
                <w:spacing w:val="7"/>
              </w:rPr>
              <w:t>（西厂区南侧）等</w:t>
            </w:r>
          </w:p>
        </w:tc>
        <w:tc>
          <w:tcPr>
            <w:tcW w:w="1753" w:type="dxa"/>
            <w:vAlign w:val="top"/>
          </w:tcPr>
          <w:p>
            <w:pPr>
              <w:pStyle w:val="TableText"/>
              <w:ind w:left="568" w:right="36" w:hanging="525"/>
              <w:spacing w:before="36" w:line="232" w:lineRule="auto"/>
              <w:rPr/>
            </w:pPr>
            <w:r>
              <w:rPr>
                <w:spacing w:val="8"/>
              </w:rPr>
              <w:t>保护植被，防止水</w:t>
            </w:r>
            <w:r>
              <w:rPr>
                <w:spacing w:val="3"/>
              </w:rPr>
              <w:t xml:space="preserve"> </w:t>
            </w:r>
            <w:r>
              <w:rPr>
                <w:spacing w:val="6"/>
              </w:rPr>
              <w:t>土流失</w:t>
            </w:r>
          </w:p>
        </w:tc>
      </w:tr>
      <w:tr>
        <w:trPr>
          <w:trHeight w:val="1371" w:hRule="atLeast"/>
        </w:trPr>
        <w:tc>
          <w:tcPr>
            <w:tcW w:w="886" w:type="dxa"/>
            <w:vAlign w:val="top"/>
          </w:tcPr>
          <w:p>
            <w:pPr>
              <w:spacing w:line="256" w:lineRule="auto"/>
              <w:rPr>
                <w:rFonts w:ascii="Arial"/>
                <w:sz w:val="21"/>
              </w:rPr>
            </w:pPr>
            <w:r/>
          </w:p>
          <w:p>
            <w:pPr>
              <w:spacing w:line="256" w:lineRule="auto"/>
              <w:rPr>
                <w:rFonts w:ascii="Arial"/>
                <w:sz w:val="21"/>
              </w:rPr>
            </w:pPr>
            <w:r/>
          </w:p>
          <w:p>
            <w:pPr>
              <w:pStyle w:val="TableText"/>
              <w:ind w:left="30"/>
              <w:spacing w:before="65" w:line="228" w:lineRule="auto"/>
              <w:rPr/>
            </w:pPr>
            <w:r>
              <w:rPr>
                <w:spacing w:val="7"/>
              </w:rPr>
              <w:t>土壤环境</w:t>
            </w:r>
          </w:p>
        </w:tc>
        <w:tc>
          <w:tcPr>
            <w:tcW w:w="6076" w:type="dxa"/>
            <w:vAlign w:val="top"/>
            <w:gridSpan w:val="6"/>
          </w:tcPr>
          <w:p>
            <w:pPr>
              <w:spacing w:line="256" w:lineRule="auto"/>
              <w:rPr>
                <w:rFonts w:ascii="Arial"/>
                <w:sz w:val="21"/>
              </w:rPr>
            </w:pPr>
            <w:r/>
          </w:p>
          <w:p>
            <w:pPr>
              <w:spacing w:line="256" w:lineRule="auto"/>
              <w:rPr>
                <w:rFonts w:ascii="Arial"/>
                <w:sz w:val="21"/>
              </w:rPr>
            </w:pPr>
            <w:r/>
          </w:p>
          <w:p>
            <w:pPr>
              <w:pStyle w:val="TableText"/>
              <w:ind w:left="1073"/>
              <w:spacing w:before="65" w:line="227" w:lineRule="auto"/>
              <w:rPr/>
            </w:pPr>
            <w:r>
              <w:rPr>
                <w:spacing w:val="7"/>
              </w:rPr>
              <w:t>厂界周边</w:t>
            </w:r>
            <w:r>
              <w:rPr>
                <w:spacing w:val="-24"/>
              </w:rPr>
              <w:t xml:space="preserve"> </w:t>
            </w:r>
            <w:r>
              <w:rPr>
                <w:rFonts w:ascii="Times New Roman" w:hAnsi="Times New Roman" w:eastAsia="Times New Roman" w:cs="Times New Roman"/>
                <w:spacing w:val="7"/>
              </w:rPr>
              <w:t>200m </w:t>
            </w:r>
            <w:r>
              <w:rPr>
                <w:spacing w:val="7"/>
              </w:rPr>
              <w:t>范围内天然牧草地、耕地等</w:t>
            </w:r>
          </w:p>
        </w:tc>
        <w:tc>
          <w:tcPr>
            <w:tcW w:w="1753" w:type="dxa"/>
            <w:vAlign w:val="top"/>
          </w:tcPr>
          <w:p>
            <w:pPr>
              <w:pStyle w:val="TableText"/>
              <w:ind w:left="153"/>
              <w:spacing w:before="36" w:line="228" w:lineRule="auto"/>
              <w:rPr/>
            </w:pPr>
            <w:r>
              <w:rPr>
                <w:spacing w:val="7"/>
              </w:rPr>
              <w:t>《土壤环境质量</w:t>
            </w:r>
          </w:p>
          <w:p>
            <w:pPr>
              <w:pStyle w:val="TableText"/>
              <w:ind w:left="42"/>
              <w:spacing w:before="26" w:line="228" w:lineRule="auto"/>
              <w:rPr/>
            </w:pPr>
            <w:r>
              <w:rPr>
                <w:spacing w:val="8"/>
              </w:rPr>
              <w:t>农用地土壤污染风</w:t>
            </w:r>
          </w:p>
          <w:p>
            <w:pPr>
              <w:pStyle w:val="TableText"/>
              <w:ind w:left="159"/>
              <w:spacing w:before="23" w:line="228" w:lineRule="auto"/>
              <w:rPr/>
            </w:pPr>
            <w:r>
              <w:rPr>
                <w:spacing w:val="7"/>
              </w:rPr>
              <w:t>险管控标准（试</w:t>
            </w:r>
          </w:p>
          <w:p>
            <w:pPr>
              <w:pStyle w:val="TableText"/>
              <w:ind w:left="571"/>
              <w:spacing w:before="27" w:line="228" w:lineRule="auto"/>
              <w:rPr/>
            </w:pPr>
            <w:r>
              <w:rPr>
                <w:spacing w:val="9"/>
              </w:rPr>
              <w:t>行）》</w:t>
            </w:r>
          </w:p>
          <w:p>
            <w:pPr>
              <w:pStyle w:val="TableText"/>
              <w:ind w:left="28"/>
              <w:spacing w:before="23" w:line="218" w:lineRule="auto"/>
              <w:rPr/>
            </w:pPr>
            <w:r>
              <w:rPr>
                <w:spacing w:val="4"/>
              </w:rPr>
              <w:t>（</w:t>
            </w:r>
            <w:r>
              <w:rPr>
                <w:rFonts w:ascii="Times New Roman" w:hAnsi="Times New Roman" w:eastAsia="Times New Roman" w:cs="Times New Roman"/>
              </w:rPr>
              <w:t>GB</w:t>
            </w:r>
            <w:r>
              <w:rPr>
                <w:rFonts w:ascii="Times New Roman" w:hAnsi="Times New Roman" w:eastAsia="Times New Roman" w:cs="Times New Roman"/>
                <w:spacing w:val="4"/>
              </w:rPr>
              <w:t>15618-2018</w:t>
            </w:r>
            <w:r>
              <w:rPr>
                <w:spacing w:val="4"/>
              </w:rPr>
              <w:t>）</w:t>
            </w:r>
          </w:p>
        </w:tc>
      </w:tr>
    </w:tbl>
    <w:p>
      <w:pPr>
        <w:ind w:left="602"/>
        <w:spacing w:before="33" w:line="218" w:lineRule="auto"/>
        <w:rPr>
          <w:rFonts w:ascii="SimSun" w:hAnsi="SimSun" w:eastAsia="SimSun" w:cs="SimSun"/>
          <w:sz w:val="24"/>
          <w:szCs w:val="24"/>
        </w:rPr>
      </w:pPr>
      <w:r>
        <w:rPr>
          <w:rFonts w:ascii="SimSun" w:hAnsi="SimSun" w:eastAsia="SimSun" w:cs="SimSun"/>
          <w:sz w:val="24"/>
          <w:szCs w:val="24"/>
          <w:spacing w:val="-1"/>
        </w:rPr>
        <w:t>环境风险保护目标详见表</w:t>
      </w:r>
      <w:r>
        <w:rPr>
          <w:rFonts w:ascii="Times New Roman" w:hAnsi="Times New Roman" w:eastAsia="Times New Roman" w:cs="Times New Roman"/>
          <w:sz w:val="24"/>
          <w:szCs w:val="24"/>
          <w:spacing w:val="-1"/>
        </w:rPr>
        <w:t>2.7-3</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
        </w:rPr>
        <w:t>，环境风险评价范围及保护目标见图</w:t>
      </w:r>
      <w:r>
        <w:rPr>
          <w:rFonts w:ascii="Times New Roman" w:hAnsi="Times New Roman" w:eastAsia="Times New Roman" w:cs="Times New Roman"/>
          <w:sz w:val="24"/>
          <w:szCs w:val="24"/>
          <w:spacing w:val="-1"/>
        </w:rPr>
        <w:t>2.7-1~</w:t>
      </w:r>
      <w:r>
        <w:rPr>
          <w:rFonts w:ascii="Times New Roman" w:hAnsi="Times New Roman" w:eastAsia="Times New Roman" w:cs="Times New Roman"/>
          <w:sz w:val="24"/>
          <w:szCs w:val="24"/>
          <w:spacing w:val="-2"/>
        </w:rPr>
        <w:t>2</w:t>
      </w:r>
      <w:r>
        <w:rPr>
          <w:rFonts w:ascii="SimSun" w:hAnsi="SimSun" w:eastAsia="SimSun" w:cs="SimSun"/>
          <w:sz w:val="24"/>
          <w:szCs w:val="24"/>
          <w:spacing w:val="-2"/>
        </w:rPr>
        <w:t>。</w:t>
      </w:r>
    </w:p>
    <w:p>
      <w:pPr>
        <w:pStyle w:val="BodyText"/>
        <w:spacing w:line="379" w:lineRule="auto"/>
        <w:rPr/>
      </w:pPr>
      <w:r/>
    </w:p>
    <w:p>
      <w:pPr>
        <w:ind w:left="120"/>
        <w:spacing w:before="62" w:line="227" w:lineRule="auto"/>
        <w:rPr>
          <w:rFonts w:ascii="SimSun" w:hAnsi="SimSun" w:eastAsia="SimSun" w:cs="SimSun"/>
          <w:sz w:val="19"/>
          <w:szCs w:val="19"/>
        </w:rPr>
      </w:pPr>
      <w:r>
        <w:pict>
          <v:shape id="_x0000_s234" style="position:absolute;margin-left:164.97pt;margin-top:2.10912pt;mso-position-vertical-relative:text;mso-position-horizontal-relative:text;width:58.85pt;height:13.75pt;z-index:25176166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4"/>
                    </w:rPr>
                    <w:t>任公司</w:t>
                  </w:r>
                  <w:r>
                    <w:rPr>
                      <w:rFonts w:ascii="SimSun" w:hAnsi="SimSun" w:eastAsia="SimSun" w:cs="SimSun"/>
                      <w:sz w:val="19"/>
                      <w:szCs w:val="19"/>
                      <w:spacing w:val="26"/>
                    </w:rPr>
                    <w:t xml:space="preserve">   </w:t>
                  </w:r>
                  <w:r>
                    <w:rPr>
                      <w:rFonts w:ascii="Times New Roman" w:hAnsi="Times New Roman" w:eastAsia="Times New Roman" w:cs="Times New Roman"/>
                      <w:sz w:val="18"/>
                      <w:szCs w:val="18"/>
                      <w:spacing w:val="4"/>
                      <w:position w:val="2"/>
                    </w:rPr>
                    <w:t>43</w:t>
                  </w:r>
                </w:p>
              </w:txbxContent>
            </v:textbox>
          </v:shape>
        </w:pict>
      </w:r>
      <w:r>
        <w:rPr>
          <w:rFonts w:ascii="SimSun" w:hAnsi="SimSun" w:eastAsia="SimSun" w:cs="SimSun"/>
          <w:sz w:val="19"/>
          <w:szCs w:val="19"/>
          <w:spacing w:val="9"/>
        </w:rPr>
        <w:t>锡林郭勒盟中安环境技术咨询有限责</w:t>
      </w:r>
    </w:p>
    <w:p>
      <w:pPr>
        <w:spacing w:line="227" w:lineRule="auto"/>
        <w:sectPr>
          <w:pgSz w:w="11907" w:h="16840"/>
          <w:pgMar w:top="1567" w:right="1588" w:bottom="400" w:left="1588" w:header="1221" w:footer="0" w:gutter="0"/>
        </w:sectPr>
        <w:rPr>
          <w:rFonts w:ascii="SimSun" w:hAnsi="SimSun" w:eastAsia="SimSun" w:cs="SimSun"/>
          <w:sz w:val="19"/>
          <w:szCs w:val="19"/>
        </w:rPr>
      </w:pPr>
    </w:p>
    <w:p>
      <w:pPr>
        <w:ind w:left="2338"/>
        <w:spacing w:before="182" w:line="211" w:lineRule="auto"/>
        <w:rPr>
          <w:rFonts w:ascii="SimSun" w:hAnsi="SimSun" w:eastAsia="SimSun" w:cs="SimSun"/>
          <w:sz w:val="24"/>
          <w:szCs w:val="24"/>
        </w:rPr>
      </w:pPr>
      <w:r>
        <w:pict>
          <v:shape id="_x0000_s238" style="position:absolute;margin-left:85.05pt;margin-top:78.87pt;mso-position-vertical-relative:page;mso-position-horizontal-relative:page;width:425.25pt;height:0.75pt;z-index:251764736;" o:allowincell="f" fillcolor="#000000" filled="true" stroked="false" coordsize="8505,15" coordorigin="0,0" path="m,l8505,0l8505,14l0,14l0,0xe"/>
        </w:pict>
      </w:r>
      <w:r>
        <w:rPr>
          <w:rFonts w:ascii="SimSun" w:hAnsi="SimSun" w:eastAsia="SimSun" w:cs="SimSun"/>
          <w:sz w:val="24"/>
          <w:szCs w:val="24"/>
          <w:b/>
          <w:bCs/>
          <w:spacing w:val="-1"/>
        </w:rPr>
        <w:t>表</w:t>
      </w:r>
      <w:r>
        <w:rPr>
          <w:rFonts w:ascii="Times New Roman" w:hAnsi="Times New Roman" w:eastAsia="Times New Roman" w:cs="Times New Roman"/>
          <w:sz w:val="24"/>
          <w:szCs w:val="24"/>
          <w:b/>
          <w:bCs/>
          <w:spacing w:val="-1"/>
        </w:rPr>
        <w:t>2.7-3        </w:t>
      </w:r>
      <w:r>
        <w:rPr>
          <w:rFonts w:ascii="SimSun" w:hAnsi="SimSun" w:eastAsia="SimSun" w:cs="SimSun"/>
          <w:sz w:val="24"/>
          <w:szCs w:val="24"/>
          <w:b/>
          <w:bCs/>
          <w:spacing w:val="-1"/>
        </w:rPr>
        <w:t>环境风险保</w:t>
      </w:r>
      <w:r>
        <w:rPr>
          <w:rFonts w:ascii="SimSun" w:hAnsi="SimSun" w:eastAsia="SimSun" w:cs="SimSun"/>
          <w:sz w:val="24"/>
          <w:szCs w:val="24"/>
          <w:b/>
          <w:bCs/>
          <w:spacing w:val="-2"/>
        </w:rPr>
        <w:t>护目标一览表</w:t>
      </w:r>
    </w:p>
    <w:tbl>
      <w:tblPr>
        <w:tblStyle w:val="TableNormal"/>
        <w:tblW w:w="8526"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95"/>
        <w:gridCol w:w="540"/>
        <w:gridCol w:w="1511"/>
        <w:gridCol w:w="1383"/>
        <w:gridCol w:w="1306"/>
        <w:gridCol w:w="1489"/>
        <w:gridCol w:w="1402"/>
      </w:tblGrid>
      <w:tr>
        <w:trPr>
          <w:trHeight w:val="282" w:hRule="atLeast"/>
        </w:trPr>
        <w:tc>
          <w:tcPr>
            <w:tcW w:w="895" w:type="dxa"/>
            <w:vAlign w:val="top"/>
          </w:tcPr>
          <w:p>
            <w:pPr>
              <w:pStyle w:val="TableText"/>
              <w:ind w:left="243"/>
              <w:spacing w:before="35" w:line="218" w:lineRule="auto"/>
              <w:rPr/>
            </w:pPr>
            <w:r>
              <w:rPr>
                <w:spacing w:val="4"/>
              </w:rPr>
              <w:t>类别</w:t>
            </w:r>
          </w:p>
        </w:tc>
        <w:tc>
          <w:tcPr>
            <w:tcW w:w="7631" w:type="dxa"/>
            <w:vAlign w:val="top"/>
            <w:gridSpan w:val="6"/>
          </w:tcPr>
          <w:p>
            <w:pPr>
              <w:pStyle w:val="TableText"/>
              <w:ind w:left="3188"/>
              <w:spacing w:before="35" w:line="218" w:lineRule="auto"/>
              <w:rPr/>
            </w:pPr>
            <w:r>
              <w:rPr>
                <w:spacing w:val="8"/>
              </w:rPr>
              <w:t>环境敏感特征</w:t>
            </w:r>
          </w:p>
        </w:tc>
      </w:tr>
      <w:tr>
        <w:trPr>
          <w:trHeight w:val="277" w:hRule="atLeast"/>
        </w:trPr>
        <w:tc>
          <w:tcPr>
            <w:tcW w:w="8526" w:type="dxa"/>
            <w:vAlign w:val="top"/>
            <w:gridSpan w:val="7"/>
          </w:tcPr>
          <w:p>
            <w:pPr>
              <w:pStyle w:val="TableText"/>
              <w:ind w:left="2591"/>
              <w:spacing w:before="31" w:line="217" w:lineRule="auto"/>
              <w:rPr/>
            </w:pPr>
            <w:r>
              <w:rPr>
                <w:spacing w:val="9"/>
              </w:rPr>
              <w:t>项目所在厂区涉及环境风险保护目标</w:t>
            </w:r>
          </w:p>
        </w:tc>
      </w:tr>
      <w:tr>
        <w:trPr>
          <w:trHeight w:val="277" w:hRule="atLeast"/>
        </w:trPr>
        <w:tc>
          <w:tcPr>
            <w:tcW w:w="895" w:type="dxa"/>
            <w:vAlign w:val="top"/>
            <w:vMerge w:val="restart"/>
            <w:tcBorders>
              <w:bottom w:val="nil"/>
            </w:tcBorders>
          </w:tcPr>
          <w:p>
            <w:pPr>
              <w:spacing w:line="270" w:lineRule="auto"/>
              <w:rPr>
                <w:rFonts w:ascii="Arial"/>
                <w:sz w:val="21"/>
              </w:rPr>
            </w:pPr>
            <w:r/>
          </w:p>
          <w:p>
            <w:pPr>
              <w:spacing w:line="271" w:lineRule="auto"/>
              <w:rPr>
                <w:rFonts w:ascii="Arial"/>
                <w:sz w:val="21"/>
              </w:rPr>
            </w:pPr>
            <w:r/>
          </w:p>
          <w:p>
            <w:pPr>
              <w:spacing w:line="271" w:lineRule="auto"/>
              <w:rPr>
                <w:rFonts w:ascii="Arial"/>
                <w:sz w:val="21"/>
              </w:rPr>
            </w:pPr>
            <w:r/>
          </w:p>
          <w:p>
            <w:pPr>
              <w:spacing w:line="271" w:lineRule="auto"/>
              <w:rPr>
                <w:rFonts w:ascii="Arial"/>
                <w:sz w:val="21"/>
              </w:rPr>
            </w:pPr>
            <w:r/>
          </w:p>
          <w:p>
            <w:pPr>
              <w:spacing w:line="271" w:lineRule="auto"/>
              <w:rPr>
                <w:rFonts w:ascii="Arial"/>
                <w:sz w:val="21"/>
              </w:rPr>
            </w:pPr>
            <w:r/>
          </w:p>
          <w:p>
            <w:pPr>
              <w:pStyle w:val="TableText"/>
              <w:ind w:left="34"/>
              <w:spacing w:before="65" w:line="228" w:lineRule="auto"/>
              <w:rPr/>
            </w:pPr>
            <w:r>
              <w:rPr>
                <w:spacing w:val="6"/>
              </w:rPr>
              <w:t>大气环境</w:t>
            </w:r>
          </w:p>
          <w:p>
            <w:pPr>
              <w:pStyle w:val="TableText"/>
              <w:ind w:left="243"/>
              <w:spacing w:before="24" w:line="228" w:lineRule="auto"/>
              <w:rPr/>
            </w:pPr>
            <w:r>
              <w:rPr>
                <w:spacing w:val="4"/>
              </w:rPr>
              <w:t>风险</w:t>
            </w:r>
          </w:p>
        </w:tc>
        <w:tc>
          <w:tcPr>
            <w:tcW w:w="540" w:type="dxa"/>
            <w:vAlign w:val="top"/>
          </w:tcPr>
          <w:p>
            <w:pPr>
              <w:pStyle w:val="TableText"/>
              <w:ind w:left="62"/>
              <w:spacing w:before="30" w:line="218" w:lineRule="auto"/>
              <w:rPr/>
            </w:pPr>
            <w:r>
              <w:rPr>
                <w:spacing w:val="5"/>
              </w:rPr>
              <w:t>序号</w:t>
            </w:r>
          </w:p>
        </w:tc>
        <w:tc>
          <w:tcPr>
            <w:tcW w:w="1511" w:type="dxa"/>
            <w:vAlign w:val="top"/>
          </w:tcPr>
          <w:p>
            <w:pPr>
              <w:pStyle w:val="TableText"/>
              <w:ind w:left="131"/>
              <w:spacing w:before="30" w:line="218" w:lineRule="auto"/>
              <w:rPr/>
            </w:pPr>
            <w:r>
              <w:rPr>
                <w:spacing w:val="8"/>
              </w:rPr>
              <w:t>敏感目标名称</w:t>
            </w:r>
          </w:p>
        </w:tc>
        <w:tc>
          <w:tcPr>
            <w:tcW w:w="1383" w:type="dxa"/>
            <w:vAlign w:val="top"/>
          </w:tcPr>
          <w:p>
            <w:pPr>
              <w:pStyle w:val="TableText"/>
              <w:ind w:left="277"/>
              <w:spacing w:before="30" w:line="218" w:lineRule="auto"/>
              <w:rPr/>
            </w:pPr>
            <w:r>
              <w:rPr>
                <w:spacing w:val="7"/>
              </w:rPr>
              <w:t>相对方位</w:t>
            </w:r>
          </w:p>
        </w:tc>
        <w:tc>
          <w:tcPr>
            <w:tcW w:w="1306" w:type="dxa"/>
            <w:vAlign w:val="top"/>
          </w:tcPr>
          <w:p>
            <w:pPr>
              <w:pStyle w:val="TableText"/>
              <w:ind w:left="336"/>
              <w:spacing w:before="30" w:line="218" w:lineRule="auto"/>
              <w:rPr>
                <w:rFonts w:ascii="Times New Roman" w:hAnsi="Times New Roman" w:eastAsia="Times New Roman" w:cs="Times New Roman"/>
              </w:rPr>
            </w:pPr>
            <w:r>
              <w:rPr>
                <w:spacing w:val="5"/>
              </w:rPr>
              <w:t>距离</w:t>
            </w:r>
            <w:r>
              <w:rPr>
                <w:rFonts w:ascii="Times New Roman" w:hAnsi="Times New Roman" w:eastAsia="Times New Roman" w:cs="Times New Roman"/>
                <w:spacing w:val="5"/>
              </w:rPr>
              <w:t>/m</w:t>
            </w:r>
          </w:p>
        </w:tc>
        <w:tc>
          <w:tcPr>
            <w:tcW w:w="1489" w:type="dxa"/>
            <w:vAlign w:val="top"/>
          </w:tcPr>
          <w:p>
            <w:pPr>
              <w:pStyle w:val="TableText"/>
              <w:ind w:left="542"/>
              <w:spacing w:before="30" w:line="218" w:lineRule="auto"/>
              <w:rPr/>
            </w:pPr>
            <w:r>
              <w:rPr>
                <w:spacing w:val="3"/>
              </w:rPr>
              <w:t>属性</w:t>
            </w:r>
          </w:p>
        </w:tc>
        <w:tc>
          <w:tcPr>
            <w:tcW w:w="1402" w:type="dxa"/>
            <w:vAlign w:val="top"/>
          </w:tcPr>
          <w:p>
            <w:pPr>
              <w:pStyle w:val="TableText"/>
              <w:ind w:left="392"/>
              <w:spacing w:before="30" w:line="218" w:lineRule="auto"/>
              <w:rPr/>
            </w:pPr>
            <w:r>
              <w:rPr>
                <w:spacing w:val="6"/>
              </w:rPr>
              <w:t>人口数</w:t>
            </w:r>
          </w:p>
        </w:tc>
      </w:tr>
      <w:tr>
        <w:trPr>
          <w:trHeight w:val="278" w:hRule="atLeast"/>
        </w:trPr>
        <w:tc>
          <w:tcPr>
            <w:tcW w:w="895" w:type="dxa"/>
            <w:vAlign w:val="top"/>
            <w:vMerge w:val="continue"/>
            <w:tcBorders>
              <w:top w:val="nil"/>
              <w:bottom w:val="nil"/>
            </w:tcBorders>
          </w:tcPr>
          <w:p>
            <w:pPr>
              <w:rPr>
                <w:rFonts w:ascii="Arial"/>
                <w:sz w:val="21"/>
              </w:rPr>
            </w:pPr>
            <w:r/>
          </w:p>
        </w:tc>
        <w:tc>
          <w:tcPr>
            <w:tcW w:w="540" w:type="dxa"/>
            <w:vAlign w:val="top"/>
          </w:tcPr>
          <w:p>
            <w:pPr>
              <w:ind w:left="238"/>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511" w:type="dxa"/>
            <w:vAlign w:val="top"/>
          </w:tcPr>
          <w:p>
            <w:pPr>
              <w:pStyle w:val="TableText"/>
              <w:ind w:left="358"/>
              <w:spacing w:before="31" w:line="218" w:lineRule="auto"/>
              <w:rPr/>
            </w:pPr>
            <w:r>
              <w:rPr>
                <w:spacing w:val="2"/>
              </w:rPr>
              <w:t>明安图镇</w:t>
            </w:r>
          </w:p>
        </w:tc>
        <w:tc>
          <w:tcPr>
            <w:tcW w:w="1383" w:type="dxa"/>
            <w:vAlign w:val="top"/>
          </w:tcPr>
          <w:p>
            <w:pPr>
              <w:ind w:left="629"/>
              <w:spacing w:before="70"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E</w:t>
            </w:r>
          </w:p>
        </w:tc>
        <w:tc>
          <w:tcPr>
            <w:tcW w:w="1306" w:type="dxa"/>
            <w:vAlign w:val="top"/>
          </w:tcPr>
          <w:p>
            <w:pPr>
              <w:ind w:left="503"/>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910</w:t>
            </w:r>
          </w:p>
        </w:tc>
        <w:tc>
          <w:tcPr>
            <w:tcW w:w="1489" w:type="dxa"/>
            <w:vAlign w:val="top"/>
          </w:tcPr>
          <w:p>
            <w:pPr>
              <w:pStyle w:val="TableText"/>
              <w:ind w:left="542"/>
              <w:spacing w:before="31" w:line="218" w:lineRule="auto"/>
              <w:rPr/>
            </w:pPr>
            <w:r>
              <w:rPr>
                <w:spacing w:val="3"/>
              </w:rPr>
              <w:t>居民</w:t>
            </w:r>
          </w:p>
        </w:tc>
        <w:tc>
          <w:tcPr>
            <w:tcW w:w="1402" w:type="dxa"/>
            <w:vAlign w:val="top"/>
          </w:tcPr>
          <w:p>
            <w:pPr>
              <w:ind w:left="440"/>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21202</w:t>
            </w:r>
          </w:p>
        </w:tc>
      </w:tr>
      <w:tr>
        <w:trPr>
          <w:trHeight w:val="277" w:hRule="atLeast"/>
        </w:trPr>
        <w:tc>
          <w:tcPr>
            <w:tcW w:w="895" w:type="dxa"/>
            <w:vAlign w:val="top"/>
            <w:vMerge w:val="continue"/>
            <w:tcBorders>
              <w:top w:val="nil"/>
              <w:bottom w:val="nil"/>
            </w:tcBorders>
          </w:tcPr>
          <w:p>
            <w:pPr>
              <w:rPr>
                <w:rFonts w:ascii="Arial"/>
                <w:sz w:val="21"/>
              </w:rPr>
            </w:pPr>
            <w:r/>
          </w:p>
        </w:tc>
        <w:tc>
          <w:tcPr>
            <w:tcW w:w="540" w:type="dxa"/>
            <w:vAlign w:val="top"/>
          </w:tcPr>
          <w:p>
            <w:pPr>
              <w:ind w:left="217"/>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511" w:type="dxa"/>
            <w:vAlign w:val="top"/>
          </w:tcPr>
          <w:p>
            <w:pPr>
              <w:pStyle w:val="TableText"/>
              <w:ind w:left="31"/>
              <w:spacing w:before="31" w:line="217" w:lineRule="auto"/>
              <w:rPr/>
            </w:pPr>
            <w:r>
              <w:rPr>
                <w:spacing w:val="7"/>
              </w:rPr>
              <w:t>楚伦昂格其嘎查</w:t>
            </w:r>
          </w:p>
        </w:tc>
        <w:tc>
          <w:tcPr>
            <w:tcW w:w="1383" w:type="dxa"/>
            <w:vAlign w:val="top"/>
          </w:tcPr>
          <w:p>
            <w:pPr>
              <w:ind w:left="544"/>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SW</w:t>
            </w:r>
          </w:p>
        </w:tc>
        <w:tc>
          <w:tcPr>
            <w:tcW w:w="1306" w:type="dxa"/>
            <w:vAlign w:val="top"/>
          </w:tcPr>
          <w:p>
            <w:pPr>
              <w:ind w:left="443"/>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2810</w:t>
            </w:r>
          </w:p>
        </w:tc>
        <w:tc>
          <w:tcPr>
            <w:tcW w:w="1489" w:type="dxa"/>
            <w:vAlign w:val="top"/>
          </w:tcPr>
          <w:p>
            <w:pPr>
              <w:pStyle w:val="TableText"/>
              <w:ind w:left="542"/>
              <w:spacing w:before="31" w:line="217" w:lineRule="auto"/>
              <w:rPr/>
            </w:pPr>
            <w:r>
              <w:rPr>
                <w:spacing w:val="3"/>
              </w:rPr>
              <w:t>居民</w:t>
            </w:r>
          </w:p>
        </w:tc>
        <w:tc>
          <w:tcPr>
            <w:tcW w:w="1402" w:type="dxa"/>
            <w:vAlign w:val="top"/>
          </w:tcPr>
          <w:p>
            <w:pPr>
              <w:ind w:left="601"/>
              <w:spacing w:before="70"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75</w:t>
            </w:r>
          </w:p>
        </w:tc>
      </w:tr>
      <w:tr>
        <w:trPr>
          <w:trHeight w:val="277" w:hRule="atLeast"/>
        </w:trPr>
        <w:tc>
          <w:tcPr>
            <w:tcW w:w="895" w:type="dxa"/>
            <w:vAlign w:val="top"/>
            <w:vMerge w:val="continue"/>
            <w:tcBorders>
              <w:top w:val="nil"/>
              <w:bottom w:val="nil"/>
            </w:tcBorders>
          </w:tcPr>
          <w:p>
            <w:pPr>
              <w:rPr>
                <w:rFonts w:ascii="Arial"/>
                <w:sz w:val="21"/>
              </w:rPr>
            </w:pPr>
            <w:r/>
          </w:p>
        </w:tc>
        <w:tc>
          <w:tcPr>
            <w:tcW w:w="540" w:type="dxa"/>
            <w:vAlign w:val="top"/>
          </w:tcPr>
          <w:p>
            <w:pPr>
              <w:ind w:left="222"/>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511" w:type="dxa"/>
            <w:vAlign w:val="top"/>
          </w:tcPr>
          <w:p>
            <w:pPr>
              <w:pStyle w:val="TableText"/>
              <w:ind w:left="237"/>
              <w:spacing w:before="30" w:line="218" w:lineRule="auto"/>
              <w:rPr/>
            </w:pPr>
            <w:r>
              <w:rPr>
                <w:spacing w:val="7"/>
              </w:rPr>
              <w:t>苏明浩特村</w:t>
            </w:r>
          </w:p>
        </w:tc>
        <w:tc>
          <w:tcPr>
            <w:tcW w:w="1383" w:type="dxa"/>
            <w:vAlign w:val="top"/>
          </w:tcPr>
          <w:p>
            <w:pPr>
              <w:ind w:left="584"/>
              <w:spacing w:before="6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W</w:t>
            </w:r>
          </w:p>
        </w:tc>
        <w:tc>
          <w:tcPr>
            <w:tcW w:w="1306" w:type="dxa"/>
            <w:vAlign w:val="top"/>
          </w:tcPr>
          <w:p>
            <w:pPr>
              <w:ind w:left="417"/>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3"/>
              </w:rPr>
              <w:t>2060</w:t>
            </w:r>
          </w:p>
        </w:tc>
        <w:tc>
          <w:tcPr>
            <w:tcW w:w="1489" w:type="dxa"/>
            <w:vAlign w:val="top"/>
          </w:tcPr>
          <w:p>
            <w:pPr>
              <w:pStyle w:val="TableText"/>
              <w:ind w:left="542"/>
              <w:spacing w:before="30" w:line="218" w:lineRule="auto"/>
              <w:rPr/>
            </w:pPr>
            <w:r>
              <w:rPr>
                <w:spacing w:val="3"/>
              </w:rPr>
              <w:t>居民</w:t>
            </w:r>
          </w:p>
        </w:tc>
        <w:tc>
          <w:tcPr>
            <w:tcW w:w="1402" w:type="dxa"/>
            <w:vAlign w:val="top"/>
          </w:tcPr>
          <w:p>
            <w:pPr>
              <w:ind w:left="602"/>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32</w:t>
            </w:r>
          </w:p>
        </w:tc>
      </w:tr>
      <w:tr>
        <w:trPr>
          <w:trHeight w:val="278" w:hRule="atLeast"/>
        </w:trPr>
        <w:tc>
          <w:tcPr>
            <w:tcW w:w="895" w:type="dxa"/>
            <w:vAlign w:val="top"/>
            <w:vMerge w:val="continue"/>
            <w:tcBorders>
              <w:top w:val="nil"/>
              <w:bottom w:val="nil"/>
            </w:tcBorders>
          </w:tcPr>
          <w:p>
            <w:pPr>
              <w:rPr>
                <w:rFonts w:ascii="Arial"/>
                <w:sz w:val="21"/>
              </w:rPr>
            </w:pPr>
            <w:r/>
          </w:p>
        </w:tc>
        <w:tc>
          <w:tcPr>
            <w:tcW w:w="540" w:type="dxa"/>
            <w:vAlign w:val="top"/>
          </w:tcPr>
          <w:p>
            <w:pPr>
              <w:ind w:left="216"/>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511" w:type="dxa"/>
            <w:vAlign w:val="top"/>
          </w:tcPr>
          <w:p>
            <w:pPr>
              <w:pStyle w:val="TableText"/>
              <w:ind w:left="236"/>
              <w:spacing w:before="31" w:line="218" w:lineRule="auto"/>
              <w:rPr/>
            </w:pPr>
            <w:r>
              <w:rPr>
                <w:spacing w:val="7"/>
              </w:rPr>
              <w:t>萨拉牧场村</w:t>
            </w:r>
          </w:p>
        </w:tc>
        <w:tc>
          <w:tcPr>
            <w:tcW w:w="1383" w:type="dxa"/>
            <w:vAlign w:val="top"/>
          </w:tcPr>
          <w:p>
            <w:pPr>
              <w:ind w:left="642"/>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w:t>
            </w:r>
          </w:p>
        </w:tc>
        <w:tc>
          <w:tcPr>
            <w:tcW w:w="1306" w:type="dxa"/>
            <w:vAlign w:val="top"/>
          </w:tcPr>
          <w:p>
            <w:pPr>
              <w:ind w:left="464"/>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1530</w:t>
            </w:r>
          </w:p>
        </w:tc>
        <w:tc>
          <w:tcPr>
            <w:tcW w:w="1489" w:type="dxa"/>
            <w:vAlign w:val="top"/>
          </w:tcPr>
          <w:p>
            <w:pPr>
              <w:pStyle w:val="TableText"/>
              <w:ind w:left="542"/>
              <w:spacing w:before="31" w:line="218" w:lineRule="auto"/>
              <w:rPr/>
            </w:pPr>
            <w:r>
              <w:rPr>
                <w:spacing w:val="3"/>
              </w:rPr>
              <w:t>居民</w:t>
            </w:r>
          </w:p>
        </w:tc>
        <w:tc>
          <w:tcPr>
            <w:tcW w:w="1402" w:type="dxa"/>
            <w:vAlign w:val="top"/>
          </w:tcPr>
          <w:p>
            <w:pPr>
              <w:ind w:left="606"/>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85</w:t>
            </w:r>
          </w:p>
        </w:tc>
      </w:tr>
      <w:tr>
        <w:trPr>
          <w:trHeight w:val="277" w:hRule="atLeast"/>
        </w:trPr>
        <w:tc>
          <w:tcPr>
            <w:tcW w:w="895" w:type="dxa"/>
            <w:vAlign w:val="top"/>
            <w:vMerge w:val="continue"/>
            <w:tcBorders>
              <w:top w:val="nil"/>
              <w:bottom w:val="nil"/>
            </w:tcBorders>
          </w:tcPr>
          <w:p>
            <w:pPr>
              <w:rPr>
                <w:rFonts w:ascii="Arial"/>
                <w:sz w:val="21"/>
              </w:rPr>
            </w:pPr>
            <w:r/>
          </w:p>
        </w:tc>
        <w:tc>
          <w:tcPr>
            <w:tcW w:w="540" w:type="dxa"/>
            <w:vAlign w:val="top"/>
          </w:tcPr>
          <w:p>
            <w:pPr>
              <w:ind w:left="223"/>
              <w:spacing w:before="70"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511" w:type="dxa"/>
            <w:vAlign w:val="top"/>
          </w:tcPr>
          <w:p>
            <w:pPr>
              <w:pStyle w:val="TableText"/>
              <w:ind w:left="472"/>
              <w:spacing w:before="31" w:line="217" w:lineRule="auto"/>
              <w:rPr>
                <w:rFonts w:ascii="Times New Roman" w:hAnsi="Times New Roman" w:eastAsia="Times New Roman" w:cs="Times New Roman"/>
              </w:rPr>
            </w:pPr>
            <w:r>
              <w:rPr>
                <w:spacing w:val="2"/>
              </w:rPr>
              <w:t>村庄</w:t>
            </w:r>
            <w:r>
              <w:rPr>
                <w:spacing w:val="-22"/>
              </w:rPr>
              <w:t xml:space="preserve"> </w:t>
            </w:r>
            <w:r>
              <w:rPr>
                <w:rFonts w:ascii="Times New Roman" w:hAnsi="Times New Roman" w:eastAsia="Times New Roman" w:cs="Times New Roman"/>
                <w:spacing w:val="2"/>
              </w:rPr>
              <w:t>1</w:t>
            </w:r>
          </w:p>
        </w:tc>
        <w:tc>
          <w:tcPr>
            <w:tcW w:w="1383" w:type="dxa"/>
            <w:vAlign w:val="top"/>
          </w:tcPr>
          <w:p>
            <w:pPr>
              <w:ind w:left="642"/>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w:t>
            </w:r>
          </w:p>
        </w:tc>
        <w:tc>
          <w:tcPr>
            <w:tcW w:w="1306" w:type="dxa"/>
            <w:vAlign w:val="top"/>
          </w:tcPr>
          <w:p>
            <w:pPr>
              <w:ind w:left="498"/>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476</w:t>
            </w:r>
          </w:p>
        </w:tc>
        <w:tc>
          <w:tcPr>
            <w:tcW w:w="1489" w:type="dxa"/>
            <w:vAlign w:val="top"/>
          </w:tcPr>
          <w:p>
            <w:pPr>
              <w:pStyle w:val="TableText"/>
              <w:ind w:left="542"/>
              <w:spacing w:before="31" w:line="217" w:lineRule="auto"/>
              <w:rPr/>
            </w:pPr>
            <w:r>
              <w:rPr>
                <w:spacing w:val="3"/>
              </w:rPr>
              <w:t>居民</w:t>
            </w:r>
          </w:p>
        </w:tc>
        <w:tc>
          <w:tcPr>
            <w:tcW w:w="1402" w:type="dxa"/>
            <w:vAlign w:val="top"/>
          </w:tcPr>
          <w:p>
            <w:pPr>
              <w:ind w:left="598"/>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r>
      <w:tr>
        <w:trPr>
          <w:trHeight w:val="277" w:hRule="atLeast"/>
        </w:trPr>
        <w:tc>
          <w:tcPr>
            <w:tcW w:w="895" w:type="dxa"/>
            <w:vAlign w:val="top"/>
            <w:vMerge w:val="continue"/>
            <w:tcBorders>
              <w:top w:val="nil"/>
              <w:bottom w:val="nil"/>
            </w:tcBorders>
          </w:tcPr>
          <w:p>
            <w:pPr>
              <w:rPr>
                <w:rFonts w:ascii="Arial"/>
                <w:sz w:val="21"/>
              </w:rPr>
            </w:pPr>
            <w:r/>
          </w:p>
        </w:tc>
        <w:tc>
          <w:tcPr>
            <w:tcW w:w="540" w:type="dxa"/>
            <w:vAlign w:val="top"/>
          </w:tcPr>
          <w:p>
            <w:pPr>
              <w:ind w:left="22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511" w:type="dxa"/>
            <w:vAlign w:val="top"/>
          </w:tcPr>
          <w:p>
            <w:pPr>
              <w:pStyle w:val="TableText"/>
              <w:ind w:left="470"/>
              <w:spacing w:before="32" w:line="216" w:lineRule="auto"/>
              <w:rPr>
                <w:rFonts w:ascii="Times New Roman" w:hAnsi="Times New Roman" w:eastAsia="Times New Roman" w:cs="Times New Roman"/>
              </w:rPr>
            </w:pPr>
            <w:r>
              <w:rPr>
                <w:spacing w:val="3"/>
              </w:rPr>
              <w:t>散户</w:t>
            </w:r>
            <w:r>
              <w:rPr>
                <w:spacing w:val="-23"/>
              </w:rPr>
              <w:t xml:space="preserve"> </w:t>
            </w:r>
            <w:r>
              <w:rPr>
                <w:rFonts w:ascii="Times New Roman" w:hAnsi="Times New Roman" w:eastAsia="Times New Roman" w:cs="Times New Roman"/>
                <w:spacing w:val="3"/>
              </w:rPr>
              <w:t>1</w:t>
            </w:r>
          </w:p>
        </w:tc>
        <w:tc>
          <w:tcPr>
            <w:tcW w:w="1383" w:type="dxa"/>
            <w:vAlign w:val="top"/>
          </w:tcPr>
          <w:p>
            <w:pPr>
              <w:ind w:left="64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w:t>
            </w:r>
          </w:p>
        </w:tc>
        <w:tc>
          <w:tcPr>
            <w:tcW w:w="1306" w:type="dxa"/>
            <w:vAlign w:val="top"/>
          </w:tcPr>
          <w:p>
            <w:pPr>
              <w:ind w:left="49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270</w:t>
            </w:r>
          </w:p>
        </w:tc>
        <w:tc>
          <w:tcPr>
            <w:tcW w:w="1489" w:type="dxa"/>
            <w:vAlign w:val="top"/>
          </w:tcPr>
          <w:p>
            <w:pPr>
              <w:pStyle w:val="TableText"/>
              <w:ind w:left="542"/>
              <w:spacing w:before="32" w:line="216" w:lineRule="auto"/>
              <w:rPr/>
            </w:pPr>
            <w:r>
              <w:rPr>
                <w:spacing w:val="3"/>
              </w:rPr>
              <w:t>居民</w:t>
            </w:r>
          </w:p>
        </w:tc>
        <w:tc>
          <w:tcPr>
            <w:tcW w:w="1402" w:type="dxa"/>
            <w:vAlign w:val="top"/>
          </w:tcPr>
          <w:p>
            <w:pPr>
              <w:ind w:left="64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r>
      <w:tr>
        <w:trPr>
          <w:trHeight w:val="278" w:hRule="atLeast"/>
        </w:trPr>
        <w:tc>
          <w:tcPr>
            <w:tcW w:w="895" w:type="dxa"/>
            <w:vAlign w:val="top"/>
            <w:vMerge w:val="continue"/>
            <w:tcBorders>
              <w:top w:val="nil"/>
              <w:bottom w:val="nil"/>
            </w:tcBorders>
          </w:tcPr>
          <w:p>
            <w:pPr>
              <w:rPr>
                <w:rFonts w:ascii="Arial"/>
                <w:sz w:val="21"/>
              </w:rPr>
            </w:pPr>
            <w:r/>
          </w:p>
        </w:tc>
        <w:tc>
          <w:tcPr>
            <w:tcW w:w="540" w:type="dxa"/>
            <w:vAlign w:val="top"/>
          </w:tcPr>
          <w:p>
            <w:pPr>
              <w:ind w:left="221"/>
              <w:spacing w:before="70"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511" w:type="dxa"/>
            <w:vAlign w:val="top"/>
          </w:tcPr>
          <w:p>
            <w:pPr>
              <w:pStyle w:val="TableText"/>
              <w:ind w:left="470"/>
              <w:spacing w:before="31" w:line="218" w:lineRule="auto"/>
              <w:rPr>
                <w:rFonts w:ascii="Times New Roman" w:hAnsi="Times New Roman" w:eastAsia="Times New Roman" w:cs="Times New Roman"/>
              </w:rPr>
            </w:pPr>
            <w:r>
              <w:rPr>
                <w:spacing w:val="3"/>
              </w:rPr>
              <w:t>散户</w:t>
            </w:r>
            <w:r>
              <w:rPr>
                <w:spacing w:val="-43"/>
              </w:rPr>
              <w:t xml:space="preserve"> </w:t>
            </w:r>
            <w:r>
              <w:rPr>
                <w:rFonts w:ascii="Times New Roman" w:hAnsi="Times New Roman" w:eastAsia="Times New Roman" w:cs="Times New Roman"/>
                <w:spacing w:val="3"/>
              </w:rPr>
              <w:t>2</w:t>
            </w:r>
          </w:p>
        </w:tc>
        <w:tc>
          <w:tcPr>
            <w:tcW w:w="1383" w:type="dxa"/>
            <w:vAlign w:val="top"/>
          </w:tcPr>
          <w:p>
            <w:pPr>
              <w:ind w:left="610"/>
              <w:spacing w:before="70"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w:t>
            </w:r>
          </w:p>
        </w:tc>
        <w:tc>
          <w:tcPr>
            <w:tcW w:w="1306" w:type="dxa"/>
            <w:vAlign w:val="top"/>
          </w:tcPr>
          <w:p>
            <w:pPr>
              <w:ind w:left="519"/>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180</w:t>
            </w:r>
          </w:p>
        </w:tc>
        <w:tc>
          <w:tcPr>
            <w:tcW w:w="1489" w:type="dxa"/>
            <w:vAlign w:val="top"/>
          </w:tcPr>
          <w:p>
            <w:pPr>
              <w:pStyle w:val="TableText"/>
              <w:ind w:left="542"/>
              <w:spacing w:before="31" w:line="218" w:lineRule="auto"/>
              <w:rPr/>
            </w:pPr>
            <w:r>
              <w:rPr>
                <w:spacing w:val="3"/>
              </w:rPr>
              <w:t>居民</w:t>
            </w:r>
          </w:p>
        </w:tc>
        <w:tc>
          <w:tcPr>
            <w:tcW w:w="1402" w:type="dxa"/>
            <w:vAlign w:val="top"/>
          </w:tcPr>
          <w:p>
            <w:pPr>
              <w:ind w:left="648"/>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r>
      <w:tr>
        <w:trPr>
          <w:trHeight w:val="277" w:hRule="atLeast"/>
        </w:trPr>
        <w:tc>
          <w:tcPr>
            <w:tcW w:w="895" w:type="dxa"/>
            <w:vAlign w:val="top"/>
            <w:vMerge w:val="continue"/>
            <w:tcBorders>
              <w:top w:val="nil"/>
              <w:bottom w:val="nil"/>
            </w:tcBorders>
          </w:tcPr>
          <w:p>
            <w:pPr>
              <w:rPr>
                <w:rFonts w:ascii="Arial"/>
                <w:sz w:val="21"/>
              </w:rPr>
            </w:pPr>
            <w:r/>
          </w:p>
        </w:tc>
        <w:tc>
          <w:tcPr>
            <w:tcW w:w="6229" w:type="dxa"/>
            <w:vAlign w:val="top"/>
            <w:gridSpan w:val="5"/>
          </w:tcPr>
          <w:p>
            <w:pPr>
              <w:pStyle w:val="TableText"/>
              <w:ind w:left="1570"/>
              <w:spacing w:before="31" w:line="217" w:lineRule="auto"/>
              <w:rPr/>
            </w:pPr>
            <w:r>
              <w:rPr>
                <w:spacing w:val="7"/>
              </w:rPr>
              <w:t>厂址周边</w:t>
            </w:r>
            <w:r>
              <w:rPr>
                <w:spacing w:val="-35"/>
              </w:rPr>
              <w:t xml:space="preserve"> </w:t>
            </w:r>
            <w:r>
              <w:rPr>
                <w:rFonts w:ascii="Times New Roman" w:hAnsi="Times New Roman" w:eastAsia="Times New Roman" w:cs="Times New Roman"/>
                <w:spacing w:val="7"/>
              </w:rPr>
              <w:t>500m </w:t>
            </w:r>
            <w:r>
              <w:rPr>
                <w:spacing w:val="7"/>
              </w:rPr>
              <w:t>范围内人口数小计</w:t>
            </w:r>
          </w:p>
        </w:tc>
        <w:tc>
          <w:tcPr>
            <w:tcW w:w="1402" w:type="dxa"/>
            <w:vAlign w:val="top"/>
          </w:tcPr>
          <w:p>
            <w:pPr>
              <w:ind w:left="485"/>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&lt;500</w:t>
            </w:r>
          </w:p>
        </w:tc>
      </w:tr>
      <w:tr>
        <w:trPr>
          <w:trHeight w:val="519" w:hRule="atLeast"/>
        </w:trPr>
        <w:tc>
          <w:tcPr>
            <w:tcW w:w="895" w:type="dxa"/>
            <w:vAlign w:val="top"/>
            <w:vMerge w:val="continue"/>
            <w:tcBorders>
              <w:top w:val="nil"/>
              <w:bottom w:val="nil"/>
            </w:tcBorders>
          </w:tcPr>
          <w:p>
            <w:pPr>
              <w:rPr>
                <w:rFonts w:ascii="Arial"/>
                <w:sz w:val="21"/>
              </w:rPr>
            </w:pPr>
            <w:r/>
          </w:p>
        </w:tc>
        <w:tc>
          <w:tcPr>
            <w:tcW w:w="6229" w:type="dxa"/>
            <w:vAlign w:val="top"/>
            <w:gridSpan w:val="5"/>
          </w:tcPr>
          <w:p>
            <w:pPr>
              <w:pStyle w:val="TableText"/>
              <w:ind w:left="1623"/>
              <w:spacing w:before="153" w:line="228" w:lineRule="auto"/>
              <w:rPr/>
            </w:pPr>
            <w:r>
              <w:rPr>
                <w:spacing w:val="7"/>
              </w:rPr>
              <w:t>厂址周边</w:t>
            </w:r>
            <w:r>
              <w:rPr>
                <w:spacing w:val="-30"/>
              </w:rPr>
              <w:t xml:space="preserve"> </w:t>
            </w:r>
            <w:r>
              <w:rPr>
                <w:rFonts w:ascii="Times New Roman" w:hAnsi="Times New Roman" w:eastAsia="Times New Roman" w:cs="Times New Roman"/>
                <w:spacing w:val="7"/>
              </w:rPr>
              <w:t>5</w:t>
            </w:r>
            <w:r>
              <w:rPr>
                <w:rFonts w:ascii="Times New Roman" w:hAnsi="Times New Roman" w:eastAsia="Times New Roman" w:cs="Times New Roman"/>
              </w:rPr>
              <w:t>km</w:t>
            </w:r>
            <w:r>
              <w:rPr>
                <w:rFonts w:ascii="Times New Roman" w:hAnsi="Times New Roman" w:eastAsia="Times New Roman" w:cs="Times New Roman"/>
                <w:spacing w:val="17"/>
              </w:rPr>
              <w:t xml:space="preserve"> </w:t>
            </w:r>
            <w:r>
              <w:rPr>
                <w:spacing w:val="7"/>
              </w:rPr>
              <w:t>范围内人口数小计</w:t>
            </w:r>
          </w:p>
        </w:tc>
        <w:tc>
          <w:tcPr>
            <w:tcW w:w="1402" w:type="dxa"/>
            <w:vAlign w:val="top"/>
          </w:tcPr>
          <w:p>
            <w:pPr>
              <w:pStyle w:val="TableText"/>
              <w:ind w:left="148"/>
              <w:spacing w:before="33" w:line="239" w:lineRule="auto"/>
              <w:rPr/>
            </w:pPr>
            <w:r>
              <w:rPr>
                <w:spacing w:val="21"/>
              </w:rPr>
              <w:t>&gt;</w:t>
            </w:r>
            <w:r>
              <w:rPr>
                <w:rFonts w:ascii="Times New Roman" w:hAnsi="Times New Roman" w:eastAsia="Times New Roman" w:cs="Times New Roman"/>
                <w:spacing w:val="21"/>
              </w:rPr>
              <w:t>10000</w:t>
            </w:r>
            <w:r>
              <w:rPr>
                <w:rFonts w:ascii="Times New Roman" w:hAnsi="Times New Roman" w:eastAsia="Times New Roman" w:cs="Times New Roman"/>
                <w:spacing w:val="-20"/>
              </w:rPr>
              <w:t xml:space="preserve"> </w:t>
            </w:r>
            <w:r>
              <w:rPr>
                <w:spacing w:val="21"/>
              </w:rPr>
              <w:t>，&lt;</w:t>
            </w:r>
          </w:p>
          <w:p>
            <w:pPr>
              <w:ind w:left="445"/>
              <w:spacing w:before="33"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50000</w:t>
            </w:r>
          </w:p>
        </w:tc>
      </w:tr>
      <w:tr>
        <w:trPr>
          <w:trHeight w:val="277" w:hRule="atLeast"/>
        </w:trPr>
        <w:tc>
          <w:tcPr>
            <w:tcW w:w="895" w:type="dxa"/>
            <w:vAlign w:val="top"/>
            <w:vMerge w:val="continue"/>
            <w:tcBorders>
              <w:top w:val="nil"/>
            </w:tcBorders>
          </w:tcPr>
          <w:p>
            <w:pPr>
              <w:rPr>
                <w:rFonts w:ascii="Arial"/>
                <w:sz w:val="21"/>
              </w:rPr>
            </w:pPr>
            <w:r/>
          </w:p>
        </w:tc>
        <w:tc>
          <w:tcPr>
            <w:tcW w:w="6229" w:type="dxa"/>
            <w:vAlign w:val="top"/>
            <w:gridSpan w:val="5"/>
          </w:tcPr>
          <w:p>
            <w:pPr>
              <w:pStyle w:val="TableText"/>
              <w:ind w:left="2072"/>
              <w:spacing w:before="29" w:line="219" w:lineRule="auto"/>
              <w:rPr/>
            </w:pPr>
            <w:r>
              <w:rPr>
                <w:spacing w:val="8"/>
              </w:rPr>
              <w:t>大气环境敏感程度分级</w:t>
            </w:r>
          </w:p>
        </w:tc>
        <w:tc>
          <w:tcPr>
            <w:tcW w:w="1402" w:type="dxa"/>
            <w:vAlign w:val="top"/>
          </w:tcPr>
          <w:p>
            <w:pPr>
              <w:ind w:left="586"/>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E2</w:t>
            </w:r>
          </w:p>
        </w:tc>
      </w:tr>
      <w:tr>
        <w:trPr>
          <w:trHeight w:val="278" w:hRule="atLeast"/>
        </w:trPr>
        <w:tc>
          <w:tcPr>
            <w:tcW w:w="895" w:type="dxa"/>
            <w:vAlign w:val="top"/>
            <w:vMerge w:val="restart"/>
            <w:tcBorders>
              <w:bottom w:val="nil"/>
            </w:tcBorders>
          </w:tcPr>
          <w:p>
            <w:pPr>
              <w:spacing w:line="268" w:lineRule="auto"/>
              <w:rPr>
                <w:rFonts w:ascii="Arial"/>
                <w:sz w:val="21"/>
              </w:rPr>
            </w:pPr>
            <w:r/>
          </w:p>
          <w:p>
            <w:pPr>
              <w:spacing w:line="268" w:lineRule="auto"/>
              <w:rPr>
                <w:rFonts w:ascii="Arial"/>
                <w:sz w:val="21"/>
              </w:rPr>
            </w:pPr>
            <w:r/>
          </w:p>
          <w:p>
            <w:pPr>
              <w:spacing w:line="268" w:lineRule="auto"/>
              <w:rPr>
                <w:rFonts w:ascii="Arial"/>
                <w:sz w:val="21"/>
              </w:rPr>
            </w:pPr>
            <w:r/>
          </w:p>
          <w:p>
            <w:pPr>
              <w:spacing w:line="268" w:lineRule="auto"/>
              <w:rPr>
                <w:rFonts w:ascii="Arial"/>
                <w:sz w:val="21"/>
              </w:rPr>
            </w:pPr>
            <w:r/>
          </w:p>
          <w:p>
            <w:pPr>
              <w:spacing w:line="268" w:lineRule="auto"/>
              <w:rPr>
                <w:rFonts w:ascii="Arial"/>
                <w:sz w:val="21"/>
              </w:rPr>
            </w:pPr>
            <w:r/>
          </w:p>
          <w:p>
            <w:pPr>
              <w:pStyle w:val="TableText"/>
              <w:ind w:left="137" w:right="28" w:hanging="106"/>
              <w:spacing w:before="65" w:line="252" w:lineRule="auto"/>
              <w:rPr/>
            </w:pPr>
            <w:r>
              <w:rPr>
                <w:spacing w:val="7"/>
              </w:rPr>
              <w:t>地表水环</w:t>
            </w:r>
            <w:r>
              <w:rPr/>
              <w:t xml:space="preserve"> </w:t>
            </w:r>
            <w:r>
              <w:rPr>
                <w:spacing w:val="6"/>
              </w:rPr>
              <w:t>境风险</w:t>
            </w:r>
          </w:p>
        </w:tc>
        <w:tc>
          <w:tcPr>
            <w:tcW w:w="2051" w:type="dxa"/>
            <w:vAlign w:val="top"/>
            <w:gridSpan w:val="2"/>
          </w:tcPr>
          <w:p>
            <w:pPr>
              <w:pStyle w:val="TableText"/>
              <w:ind w:left="400"/>
              <w:spacing w:before="31" w:line="218" w:lineRule="auto"/>
              <w:rPr/>
            </w:pPr>
            <w:r>
              <w:rPr>
                <w:spacing w:val="8"/>
              </w:rPr>
              <w:t>敏感目标名称</w:t>
            </w:r>
          </w:p>
        </w:tc>
        <w:tc>
          <w:tcPr>
            <w:tcW w:w="4178" w:type="dxa"/>
            <w:vAlign w:val="top"/>
            <w:gridSpan w:val="3"/>
          </w:tcPr>
          <w:p>
            <w:pPr>
              <w:pStyle w:val="TableText"/>
              <w:ind w:left="1887"/>
              <w:spacing w:before="31" w:line="218" w:lineRule="auto"/>
              <w:rPr/>
            </w:pPr>
            <w:r>
              <w:rPr>
                <w:spacing w:val="3"/>
              </w:rPr>
              <w:t>属性</w:t>
            </w:r>
          </w:p>
        </w:tc>
        <w:tc>
          <w:tcPr>
            <w:tcW w:w="1402" w:type="dxa"/>
            <w:vAlign w:val="top"/>
          </w:tcPr>
          <w:p>
            <w:pPr>
              <w:ind w:left="668"/>
              <w:spacing w:before="63"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821" w:hRule="atLeast"/>
        </w:trPr>
        <w:tc>
          <w:tcPr>
            <w:tcW w:w="895" w:type="dxa"/>
            <w:vAlign w:val="top"/>
            <w:vMerge w:val="continue"/>
            <w:tcBorders>
              <w:top w:val="nil"/>
              <w:bottom w:val="nil"/>
            </w:tcBorders>
          </w:tcPr>
          <w:p>
            <w:pPr>
              <w:rPr>
                <w:rFonts w:ascii="Arial"/>
                <w:sz w:val="21"/>
              </w:rPr>
            </w:pPr>
            <w:r/>
          </w:p>
        </w:tc>
        <w:tc>
          <w:tcPr>
            <w:tcW w:w="2051" w:type="dxa"/>
            <w:vAlign w:val="top"/>
            <w:gridSpan w:val="2"/>
          </w:tcPr>
          <w:p>
            <w:pPr>
              <w:pStyle w:val="TableText"/>
              <w:ind w:left="821"/>
              <w:spacing w:before="303" w:line="228" w:lineRule="auto"/>
              <w:rPr/>
            </w:pPr>
            <w:r>
              <w:rPr>
                <w:spacing w:val="3"/>
              </w:rPr>
              <w:t>后河</w:t>
            </w:r>
          </w:p>
        </w:tc>
        <w:tc>
          <w:tcPr>
            <w:tcW w:w="4178" w:type="dxa"/>
            <w:vAlign w:val="top"/>
            <w:gridSpan w:val="3"/>
          </w:tcPr>
          <w:p>
            <w:pPr>
              <w:pStyle w:val="TableText"/>
              <w:ind w:left="9"/>
              <w:spacing w:before="302" w:line="228" w:lineRule="auto"/>
              <w:rPr/>
            </w:pPr>
            <w:r>
              <w:rPr>
                <w:spacing w:val="4"/>
              </w:rPr>
              <w:t>位于项目厂址南侧</w:t>
            </w:r>
            <w:r>
              <w:rPr>
                <w:spacing w:val="-13"/>
              </w:rPr>
              <w:t xml:space="preserve"> </w:t>
            </w:r>
            <w:r>
              <w:rPr>
                <w:rFonts w:ascii="Times New Roman" w:hAnsi="Times New Roman" w:eastAsia="Times New Roman" w:cs="Times New Roman"/>
                <w:spacing w:val="4"/>
              </w:rPr>
              <w:t>135m </w:t>
            </w:r>
            <w:r>
              <w:rPr>
                <w:spacing w:val="4"/>
              </w:rPr>
              <w:t>处，</w:t>
            </w:r>
            <w:r>
              <w:rPr>
                <w:spacing w:val="-49"/>
              </w:rPr>
              <w:t xml:space="preserve"> </w:t>
            </w:r>
            <w:r>
              <w:rPr>
                <w:spacing w:val="4"/>
              </w:rPr>
              <w:t>自东向西径流。</w:t>
            </w:r>
          </w:p>
        </w:tc>
        <w:tc>
          <w:tcPr>
            <w:tcW w:w="1402" w:type="dxa"/>
            <w:vAlign w:val="top"/>
          </w:tcPr>
          <w:p>
            <w:pPr>
              <w:pStyle w:val="TableText"/>
              <w:ind w:left="79"/>
              <w:spacing w:before="31" w:line="227" w:lineRule="auto"/>
              <w:rPr/>
            </w:pPr>
            <w:r>
              <w:rPr>
                <w:spacing w:val="7"/>
              </w:rPr>
              <w:t>水质不因本项</w:t>
            </w:r>
          </w:p>
          <w:p>
            <w:pPr>
              <w:pStyle w:val="TableText"/>
              <w:ind w:left="116"/>
              <w:spacing w:before="25" w:line="228" w:lineRule="auto"/>
              <w:rPr/>
            </w:pPr>
            <w:r>
              <w:rPr>
                <w:spacing w:val="1"/>
              </w:rPr>
              <w:t>目的实施而恶</w:t>
            </w:r>
          </w:p>
          <w:p>
            <w:pPr>
              <w:pStyle w:val="TableText"/>
              <w:ind w:left="603"/>
              <w:spacing w:before="26" w:line="216" w:lineRule="auto"/>
              <w:rPr/>
            </w:pPr>
            <w:r>
              <w:rPr/>
              <w:t>化</w:t>
            </w:r>
          </w:p>
        </w:tc>
      </w:tr>
      <w:tr>
        <w:trPr>
          <w:trHeight w:val="548" w:hRule="atLeast"/>
        </w:trPr>
        <w:tc>
          <w:tcPr>
            <w:tcW w:w="895" w:type="dxa"/>
            <w:vAlign w:val="top"/>
            <w:vMerge w:val="continue"/>
            <w:tcBorders>
              <w:top w:val="nil"/>
              <w:bottom w:val="nil"/>
            </w:tcBorders>
          </w:tcPr>
          <w:p>
            <w:pPr>
              <w:rPr>
                <w:rFonts w:ascii="Arial"/>
                <w:sz w:val="21"/>
              </w:rPr>
            </w:pPr>
            <w:r/>
          </w:p>
        </w:tc>
        <w:tc>
          <w:tcPr>
            <w:tcW w:w="6229" w:type="dxa"/>
            <w:vAlign w:val="top"/>
            <w:gridSpan w:val="5"/>
          </w:tcPr>
          <w:p>
            <w:pPr>
              <w:pStyle w:val="TableText"/>
              <w:ind w:left="7" w:right="3"/>
              <w:spacing w:before="30" w:line="234" w:lineRule="auto"/>
              <w:rPr/>
            </w:pPr>
            <w:r>
              <w:rPr>
                <w:spacing w:val="7"/>
              </w:rPr>
              <w:t>地表水功能敏感性分区：不涉及废水的直接外排，河流下游不涉及跨</w:t>
            </w:r>
            <w:r>
              <w:rPr>
                <w:spacing w:val="1"/>
              </w:rPr>
              <w:t xml:space="preserve"> </w:t>
            </w:r>
            <w:r>
              <w:rPr>
                <w:spacing w:val="7"/>
              </w:rPr>
              <w:t>越国界、省界。</w:t>
            </w:r>
          </w:p>
        </w:tc>
        <w:tc>
          <w:tcPr>
            <w:tcW w:w="1402" w:type="dxa"/>
            <w:vAlign w:val="top"/>
          </w:tcPr>
          <w:p>
            <w:pPr>
              <w:ind w:left="590"/>
              <w:spacing w:before="2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F3</w:t>
            </w:r>
          </w:p>
        </w:tc>
      </w:tr>
      <w:tr>
        <w:trPr>
          <w:trHeight w:val="1366" w:hRule="atLeast"/>
        </w:trPr>
        <w:tc>
          <w:tcPr>
            <w:tcW w:w="895" w:type="dxa"/>
            <w:vAlign w:val="top"/>
            <w:vMerge w:val="continue"/>
            <w:tcBorders>
              <w:top w:val="nil"/>
              <w:bottom w:val="nil"/>
            </w:tcBorders>
          </w:tcPr>
          <w:p>
            <w:pPr>
              <w:rPr>
                <w:rFonts w:ascii="Arial"/>
                <w:sz w:val="21"/>
              </w:rPr>
            </w:pPr>
            <w:r/>
          </w:p>
        </w:tc>
        <w:tc>
          <w:tcPr>
            <w:tcW w:w="6229" w:type="dxa"/>
            <w:vAlign w:val="top"/>
            <w:gridSpan w:val="5"/>
          </w:tcPr>
          <w:p>
            <w:pPr>
              <w:pStyle w:val="TableText"/>
              <w:ind w:left="8"/>
              <w:spacing w:before="34" w:line="244" w:lineRule="auto"/>
              <w:jc w:val="both"/>
              <w:rPr/>
            </w:pPr>
            <w:r>
              <w:rPr>
                <w:spacing w:val="7"/>
              </w:rPr>
              <w:t>环境敏感目标分级：不涉及废水的直接外排，河流下游</w:t>
            </w:r>
            <w:r>
              <w:rPr>
                <w:spacing w:val="-14"/>
              </w:rPr>
              <w:t xml:space="preserve"> </w:t>
            </w:r>
            <w:r>
              <w:rPr>
                <w:rFonts w:ascii="Times New Roman" w:hAnsi="Times New Roman" w:eastAsia="Times New Roman" w:cs="Times New Roman"/>
                <w:spacing w:val="7"/>
              </w:rPr>
              <w:t>10</w:t>
            </w:r>
            <w:r>
              <w:rPr>
                <w:rFonts w:ascii="Times New Roman" w:hAnsi="Times New Roman" w:eastAsia="Times New Roman" w:cs="Times New Roman"/>
              </w:rPr>
              <w:t>km</w:t>
            </w:r>
            <w:r>
              <w:rPr>
                <w:rFonts w:ascii="Times New Roman" w:hAnsi="Times New Roman" w:eastAsia="Times New Roman" w:cs="Times New Roman"/>
                <w:spacing w:val="19"/>
                <w:w w:val="101"/>
              </w:rPr>
              <w:t xml:space="preserve"> </w:t>
            </w:r>
            <w:r>
              <w:rPr>
                <w:spacing w:val="7"/>
              </w:rPr>
              <w:t>范围内</w:t>
            </w:r>
            <w:r>
              <w:rPr/>
              <w:t xml:space="preserve"> </w:t>
            </w:r>
            <w:r>
              <w:rPr>
                <w:spacing w:val="7"/>
              </w:rPr>
              <w:t>无集中式地表水饮用水水源保护区；农村及分散式饮用水水源保护区</w:t>
            </w:r>
            <w:r>
              <w:rPr/>
              <w:t xml:space="preserve"> </w:t>
            </w:r>
            <w:r>
              <w:rPr>
                <w:spacing w:val="7"/>
              </w:rPr>
              <w:t>自然保护区；重要湿地；珍稀濒危野生动植物天然集中分布区；重要</w:t>
            </w:r>
            <w:r>
              <w:rPr>
                <w:spacing w:val="1"/>
              </w:rPr>
              <w:t xml:space="preserve"> </w:t>
            </w:r>
            <w:r>
              <w:rPr>
                <w:spacing w:val="7"/>
              </w:rPr>
              <w:t>水生生物的自然产卵场及索饵场、越冬场和洄游通道；世界文化和自</w:t>
            </w:r>
            <w:r>
              <w:rPr/>
              <w:t xml:space="preserve"> </w:t>
            </w:r>
            <w:r>
              <w:rPr>
                <w:spacing w:val="9"/>
              </w:rPr>
              <w:t>然遗产地，以及水产养殖区、天然渔场、森林公园、地质公园。</w:t>
            </w:r>
          </w:p>
        </w:tc>
        <w:tc>
          <w:tcPr>
            <w:tcW w:w="1402" w:type="dxa"/>
            <w:vAlign w:val="top"/>
          </w:tcPr>
          <w:p>
            <w:pPr>
              <w:spacing w:line="276" w:lineRule="auto"/>
              <w:rPr>
                <w:rFonts w:ascii="Arial"/>
                <w:sz w:val="21"/>
              </w:rPr>
            </w:pPr>
            <w:r/>
          </w:p>
          <w:p>
            <w:pPr>
              <w:spacing w:line="276" w:lineRule="auto"/>
              <w:rPr>
                <w:rFonts w:ascii="Arial"/>
                <w:sz w:val="21"/>
              </w:rPr>
            </w:pPr>
            <w:r/>
          </w:p>
          <w:p>
            <w:pPr>
              <w:ind w:left="600"/>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S3</w:t>
            </w:r>
          </w:p>
        </w:tc>
      </w:tr>
      <w:tr>
        <w:trPr>
          <w:trHeight w:val="277" w:hRule="atLeast"/>
        </w:trPr>
        <w:tc>
          <w:tcPr>
            <w:tcW w:w="895" w:type="dxa"/>
            <w:vAlign w:val="top"/>
            <w:vMerge w:val="continue"/>
            <w:tcBorders>
              <w:top w:val="nil"/>
            </w:tcBorders>
          </w:tcPr>
          <w:p>
            <w:pPr>
              <w:rPr>
                <w:rFonts w:ascii="Arial"/>
                <w:sz w:val="21"/>
              </w:rPr>
            </w:pPr>
            <w:r/>
          </w:p>
        </w:tc>
        <w:tc>
          <w:tcPr>
            <w:tcW w:w="6229" w:type="dxa"/>
            <w:vAlign w:val="top"/>
            <w:gridSpan w:val="5"/>
          </w:tcPr>
          <w:p>
            <w:pPr>
              <w:pStyle w:val="TableText"/>
              <w:ind w:left="1964"/>
              <w:spacing w:before="34" w:line="215" w:lineRule="auto"/>
              <w:rPr/>
            </w:pPr>
            <w:r>
              <w:rPr>
                <w:spacing w:val="9"/>
              </w:rPr>
              <w:t>地表水环境敏感程度分级</w:t>
            </w:r>
          </w:p>
        </w:tc>
        <w:tc>
          <w:tcPr>
            <w:tcW w:w="1402" w:type="dxa"/>
            <w:vAlign w:val="top"/>
          </w:tcPr>
          <w:p>
            <w:pPr>
              <w:ind w:left="58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E3</w:t>
            </w:r>
          </w:p>
        </w:tc>
      </w:tr>
      <w:tr>
        <w:trPr>
          <w:trHeight w:val="278" w:hRule="atLeast"/>
        </w:trPr>
        <w:tc>
          <w:tcPr>
            <w:tcW w:w="895" w:type="dxa"/>
            <w:vAlign w:val="top"/>
            <w:vMerge w:val="restart"/>
            <w:tcBorders>
              <w:bottom w:val="nil"/>
            </w:tcBorders>
          </w:tcPr>
          <w:p>
            <w:pPr>
              <w:spacing w:line="333" w:lineRule="auto"/>
              <w:rPr>
                <w:rFonts w:ascii="Arial"/>
                <w:sz w:val="21"/>
              </w:rPr>
            </w:pPr>
            <w:r/>
          </w:p>
          <w:p>
            <w:pPr>
              <w:spacing w:line="334" w:lineRule="auto"/>
              <w:rPr>
                <w:rFonts w:ascii="Arial"/>
                <w:sz w:val="21"/>
              </w:rPr>
            </w:pPr>
            <w:r/>
          </w:p>
          <w:p>
            <w:pPr>
              <w:pStyle w:val="TableText"/>
              <w:ind w:left="137" w:right="28" w:hanging="106"/>
              <w:spacing w:before="65" w:line="252" w:lineRule="auto"/>
              <w:rPr/>
            </w:pPr>
            <w:r>
              <w:rPr>
                <w:spacing w:val="7"/>
              </w:rPr>
              <w:t>地下水环</w:t>
            </w:r>
            <w:r>
              <w:rPr/>
              <w:t xml:space="preserve"> </w:t>
            </w:r>
            <w:r>
              <w:rPr>
                <w:spacing w:val="6"/>
              </w:rPr>
              <w:t>境风险</w:t>
            </w:r>
          </w:p>
        </w:tc>
        <w:tc>
          <w:tcPr>
            <w:tcW w:w="540" w:type="dxa"/>
            <w:vAlign w:val="top"/>
          </w:tcPr>
          <w:p>
            <w:pPr>
              <w:pStyle w:val="TableText"/>
              <w:ind w:left="62"/>
              <w:spacing w:before="36" w:line="214" w:lineRule="auto"/>
              <w:rPr/>
            </w:pPr>
            <w:r>
              <w:rPr>
                <w:spacing w:val="5"/>
              </w:rPr>
              <w:t>序号</w:t>
            </w:r>
          </w:p>
        </w:tc>
        <w:tc>
          <w:tcPr>
            <w:tcW w:w="1511" w:type="dxa"/>
            <w:vAlign w:val="top"/>
          </w:tcPr>
          <w:p>
            <w:pPr>
              <w:pStyle w:val="TableText"/>
              <w:ind w:left="131"/>
              <w:spacing w:before="36" w:line="214" w:lineRule="auto"/>
              <w:rPr/>
            </w:pPr>
            <w:r>
              <w:rPr>
                <w:spacing w:val="8"/>
              </w:rPr>
              <w:t>敏感目标名称</w:t>
            </w:r>
          </w:p>
        </w:tc>
        <w:tc>
          <w:tcPr>
            <w:tcW w:w="4178" w:type="dxa"/>
            <w:vAlign w:val="top"/>
            <w:gridSpan w:val="3"/>
          </w:tcPr>
          <w:p>
            <w:pPr>
              <w:pStyle w:val="TableText"/>
              <w:ind w:left="1675"/>
              <w:spacing w:before="36" w:line="214" w:lineRule="auto"/>
              <w:rPr/>
            </w:pPr>
            <w:r>
              <w:rPr>
                <w:spacing w:val="7"/>
              </w:rPr>
              <w:t>保护目标</w:t>
            </w:r>
          </w:p>
        </w:tc>
        <w:tc>
          <w:tcPr>
            <w:tcW w:w="1402" w:type="dxa"/>
            <w:vAlign w:val="top"/>
          </w:tcPr>
          <w:p>
            <w:pPr>
              <w:ind w:left="668"/>
              <w:spacing w:before="6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277" w:hRule="atLeast"/>
        </w:trPr>
        <w:tc>
          <w:tcPr>
            <w:tcW w:w="895" w:type="dxa"/>
            <w:vAlign w:val="top"/>
            <w:vMerge w:val="continue"/>
            <w:tcBorders>
              <w:top w:val="nil"/>
              <w:bottom w:val="nil"/>
            </w:tcBorders>
          </w:tcPr>
          <w:p>
            <w:pPr>
              <w:rPr>
                <w:rFonts w:ascii="Arial"/>
                <w:sz w:val="21"/>
              </w:rPr>
            </w:pPr>
            <w:r/>
          </w:p>
        </w:tc>
        <w:tc>
          <w:tcPr>
            <w:tcW w:w="540" w:type="dxa"/>
            <w:vAlign w:val="top"/>
          </w:tcPr>
          <w:p>
            <w:pPr>
              <w:ind w:left="23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511" w:type="dxa"/>
            <w:vAlign w:val="top"/>
          </w:tcPr>
          <w:p>
            <w:pPr>
              <w:pStyle w:val="TableText"/>
              <w:ind w:left="27"/>
              <w:spacing w:before="33" w:line="216" w:lineRule="auto"/>
              <w:rPr/>
            </w:pPr>
            <w:r>
              <w:rPr>
                <w:spacing w:val="8"/>
              </w:rPr>
              <w:t>分散式饮用水井</w:t>
            </w:r>
          </w:p>
        </w:tc>
        <w:tc>
          <w:tcPr>
            <w:tcW w:w="4178" w:type="dxa"/>
            <w:vAlign w:val="top"/>
            <w:gridSpan w:val="3"/>
          </w:tcPr>
          <w:p>
            <w:pPr>
              <w:pStyle w:val="TableText"/>
              <w:ind w:left="1642"/>
              <w:spacing w:before="33" w:line="216" w:lineRule="auto"/>
              <w:rPr>
                <w:rFonts w:ascii="Times New Roman" w:hAnsi="Times New Roman" w:eastAsia="Times New Roman" w:cs="Times New Roman"/>
              </w:rPr>
            </w:pPr>
            <w:r>
              <w:rPr>
                <w:spacing w:val="2"/>
              </w:rPr>
              <w:t>见表</w:t>
            </w:r>
            <w:r>
              <w:rPr>
                <w:spacing w:val="-35"/>
              </w:rPr>
              <w:t xml:space="preserve"> </w:t>
            </w:r>
            <w:r>
              <w:rPr>
                <w:rFonts w:ascii="Times New Roman" w:hAnsi="Times New Roman" w:eastAsia="Times New Roman" w:cs="Times New Roman"/>
                <w:spacing w:val="2"/>
              </w:rPr>
              <w:t>2.7-1</w:t>
            </w:r>
          </w:p>
        </w:tc>
        <w:tc>
          <w:tcPr>
            <w:tcW w:w="1402" w:type="dxa"/>
            <w:vAlign w:val="top"/>
            <w:vMerge w:val="restart"/>
            <w:tcBorders>
              <w:bottom w:val="nil"/>
            </w:tcBorders>
          </w:tcPr>
          <w:p>
            <w:pPr>
              <w:pStyle w:val="TableText"/>
              <w:ind w:left="79"/>
              <w:spacing w:before="33" w:line="227" w:lineRule="auto"/>
              <w:rPr/>
            </w:pPr>
            <w:r>
              <w:rPr>
                <w:spacing w:val="7"/>
              </w:rPr>
              <w:t>水质不因本项</w:t>
            </w:r>
          </w:p>
          <w:p>
            <w:pPr>
              <w:pStyle w:val="TableText"/>
              <w:ind w:left="116"/>
              <w:spacing w:before="28" w:line="228" w:lineRule="auto"/>
              <w:rPr/>
            </w:pPr>
            <w:r>
              <w:rPr>
                <w:spacing w:val="1"/>
              </w:rPr>
              <w:t>目的实施而恶</w:t>
            </w:r>
          </w:p>
          <w:p>
            <w:pPr>
              <w:pStyle w:val="TableText"/>
              <w:ind w:left="603"/>
              <w:spacing w:before="23" w:line="215" w:lineRule="auto"/>
              <w:rPr/>
            </w:pPr>
            <w:r>
              <w:rPr/>
              <w:t>化</w:t>
            </w:r>
          </w:p>
        </w:tc>
      </w:tr>
      <w:tr>
        <w:trPr>
          <w:trHeight w:val="539" w:hRule="atLeast"/>
        </w:trPr>
        <w:tc>
          <w:tcPr>
            <w:tcW w:w="895" w:type="dxa"/>
            <w:vAlign w:val="top"/>
            <w:vMerge w:val="continue"/>
            <w:tcBorders>
              <w:top w:val="nil"/>
              <w:bottom w:val="nil"/>
            </w:tcBorders>
          </w:tcPr>
          <w:p>
            <w:pPr>
              <w:rPr>
                <w:rFonts w:ascii="Arial"/>
                <w:sz w:val="21"/>
              </w:rPr>
            </w:pPr>
            <w:r/>
          </w:p>
        </w:tc>
        <w:tc>
          <w:tcPr>
            <w:tcW w:w="540" w:type="dxa"/>
            <w:vAlign w:val="top"/>
          </w:tcPr>
          <w:p>
            <w:pPr>
              <w:ind w:left="217"/>
              <w:spacing w:before="2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511" w:type="dxa"/>
            <w:vAlign w:val="top"/>
          </w:tcPr>
          <w:p>
            <w:pPr>
              <w:pStyle w:val="TableText"/>
              <w:ind w:left="444"/>
              <w:spacing w:before="163" w:line="228" w:lineRule="auto"/>
              <w:rPr/>
            </w:pPr>
            <w:r>
              <w:rPr>
                <w:spacing w:val="6"/>
              </w:rPr>
              <w:t>含水层</w:t>
            </w:r>
          </w:p>
        </w:tc>
        <w:tc>
          <w:tcPr>
            <w:tcW w:w="4178" w:type="dxa"/>
            <w:vAlign w:val="top"/>
            <w:gridSpan w:val="3"/>
          </w:tcPr>
          <w:p>
            <w:pPr>
              <w:pStyle w:val="TableText"/>
              <w:ind w:left="100"/>
              <w:spacing w:before="163" w:line="228" w:lineRule="auto"/>
              <w:rPr/>
            </w:pPr>
            <w:r>
              <w:rPr>
                <w:spacing w:val="9"/>
              </w:rPr>
              <w:t>第四系松散岩类孔隙水含水层、基岩裂隙水</w:t>
            </w:r>
          </w:p>
        </w:tc>
        <w:tc>
          <w:tcPr>
            <w:tcW w:w="1402" w:type="dxa"/>
            <w:vAlign w:val="top"/>
            <w:vMerge w:val="continue"/>
            <w:tcBorders>
              <w:top w:val="nil"/>
            </w:tcBorders>
          </w:tcPr>
          <w:p>
            <w:pPr>
              <w:rPr>
                <w:rFonts w:ascii="Arial"/>
                <w:sz w:val="21"/>
              </w:rPr>
            </w:pPr>
            <w:r/>
          </w:p>
        </w:tc>
      </w:tr>
      <w:tr>
        <w:trPr>
          <w:trHeight w:val="277" w:hRule="atLeast"/>
        </w:trPr>
        <w:tc>
          <w:tcPr>
            <w:tcW w:w="895" w:type="dxa"/>
            <w:vAlign w:val="top"/>
            <w:vMerge w:val="continue"/>
            <w:tcBorders>
              <w:top w:val="nil"/>
              <w:bottom w:val="nil"/>
            </w:tcBorders>
          </w:tcPr>
          <w:p>
            <w:pPr>
              <w:rPr>
                <w:rFonts w:ascii="Arial"/>
                <w:sz w:val="21"/>
              </w:rPr>
            </w:pPr>
            <w:r/>
          </w:p>
        </w:tc>
        <w:tc>
          <w:tcPr>
            <w:tcW w:w="6229" w:type="dxa"/>
            <w:vAlign w:val="top"/>
            <w:gridSpan w:val="5"/>
          </w:tcPr>
          <w:p>
            <w:pPr>
              <w:pStyle w:val="TableText"/>
              <w:ind w:left="8"/>
              <w:spacing w:before="35" w:line="214" w:lineRule="auto"/>
              <w:rPr/>
            </w:pPr>
            <w:r>
              <w:rPr>
                <w:spacing w:val="9"/>
              </w:rPr>
              <w:t>地下水功能敏感性分区：项目周边分布有分散式饮用水源井。</w:t>
            </w:r>
          </w:p>
        </w:tc>
        <w:tc>
          <w:tcPr>
            <w:tcW w:w="1402" w:type="dxa"/>
            <w:vAlign w:val="top"/>
          </w:tcPr>
          <w:p>
            <w:pPr>
              <w:ind w:left="57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G2</w:t>
            </w:r>
          </w:p>
        </w:tc>
      </w:tr>
      <w:tr>
        <w:trPr>
          <w:trHeight w:val="277" w:hRule="atLeast"/>
        </w:trPr>
        <w:tc>
          <w:tcPr>
            <w:tcW w:w="895" w:type="dxa"/>
            <w:vAlign w:val="top"/>
            <w:vMerge w:val="continue"/>
            <w:tcBorders>
              <w:top w:val="nil"/>
              <w:bottom w:val="nil"/>
            </w:tcBorders>
          </w:tcPr>
          <w:p>
            <w:pPr>
              <w:rPr>
                <w:rFonts w:ascii="Arial"/>
                <w:sz w:val="21"/>
              </w:rPr>
            </w:pPr>
            <w:r/>
          </w:p>
        </w:tc>
        <w:tc>
          <w:tcPr>
            <w:tcW w:w="6229" w:type="dxa"/>
            <w:vAlign w:val="top"/>
            <w:gridSpan w:val="5"/>
          </w:tcPr>
          <w:p>
            <w:pPr>
              <w:pStyle w:val="TableText"/>
              <w:ind w:left="8"/>
              <w:spacing w:before="36" w:line="213" w:lineRule="auto"/>
              <w:rPr/>
            </w:pPr>
            <w:r>
              <w:rPr>
                <w:spacing w:val="6"/>
              </w:rPr>
              <w:t>包气带防污性能分级：渗透系数</w:t>
            </w:r>
            <w:r>
              <w:rPr>
                <w:spacing w:val="-26"/>
              </w:rPr>
              <w:t xml:space="preserve"> </w:t>
            </w:r>
            <w:r>
              <w:rPr>
                <w:rFonts w:ascii="Times New Roman" w:hAnsi="Times New Roman" w:eastAsia="Times New Roman" w:cs="Times New Roman"/>
                <w:spacing w:val="6"/>
              </w:rPr>
              <w:t>5.79×10</w:t>
            </w:r>
            <w:r>
              <w:rPr>
                <w:rFonts w:ascii="Times New Roman" w:hAnsi="Times New Roman" w:eastAsia="Times New Roman" w:cs="Times New Roman"/>
                <w:sz w:val="13"/>
                <w:szCs w:val="13"/>
                <w:spacing w:val="6"/>
                <w:position w:val="6"/>
              </w:rPr>
              <w:t>-3</w:t>
            </w:r>
            <w:r>
              <w:rPr>
                <w:rFonts w:ascii="Times New Roman" w:hAnsi="Times New Roman" w:eastAsia="Times New Roman" w:cs="Times New Roman"/>
              </w:rPr>
              <w:t>cm</w:t>
            </w:r>
            <w:r>
              <w:rPr>
                <w:rFonts w:ascii="Times New Roman" w:hAnsi="Times New Roman" w:eastAsia="Times New Roman" w:cs="Times New Roman"/>
                <w:spacing w:val="6"/>
              </w:rPr>
              <w:t>/s~5.78×10</w:t>
            </w:r>
            <w:r>
              <w:rPr>
                <w:rFonts w:ascii="Times New Roman" w:hAnsi="Times New Roman" w:eastAsia="Times New Roman" w:cs="Times New Roman"/>
                <w:sz w:val="13"/>
                <w:szCs w:val="13"/>
                <w:spacing w:val="6"/>
                <w:position w:val="6"/>
              </w:rPr>
              <w:t>-2</w:t>
            </w:r>
            <w:r>
              <w:rPr>
                <w:rFonts w:ascii="Times New Roman" w:hAnsi="Times New Roman" w:eastAsia="Times New Roman" w:cs="Times New Roman"/>
              </w:rPr>
              <w:t>cm</w:t>
            </w:r>
            <w:r>
              <w:rPr>
                <w:rFonts w:ascii="Times New Roman" w:hAnsi="Times New Roman" w:eastAsia="Times New Roman" w:cs="Times New Roman"/>
                <w:spacing w:val="6"/>
              </w:rPr>
              <w:t>/s</w:t>
            </w:r>
            <w:r>
              <w:rPr>
                <w:spacing w:val="6"/>
              </w:rPr>
              <w:t>。</w:t>
            </w:r>
          </w:p>
        </w:tc>
        <w:tc>
          <w:tcPr>
            <w:tcW w:w="1402" w:type="dxa"/>
            <w:vAlign w:val="top"/>
          </w:tcPr>
          <w:p>
            <w:pPr>
              <w:ind w:left="573"/>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D1</w:t>
            </w:r>
          </w:p>
        </w:tc>
      </w:tr>
      <w:tr>
        <w:trPr>
          <w:trHeight w:val="278" w:hRule="atLeast"/>
        </w:trPr>
        <w:tc>
          <w:tcPr>
            <w:tcW w:w="895" w:type="dxa"/>
            <w:vAlign w:val="top"/>
            <w:vMerge w:val="continue"/>
            <w:tcBorders>
              <w:top w:val="nil"/>
            </w:tcBorders>
          </w:tcPr>
          <w:p>
            <w:pPr>
              <w:rPr>
                <w:rFonts w:ascii="Arial"/>
                <w:sz w:val="21"/>
              </w:rPr>
            </w:pPr>
            <w:r/>
          </w:p>
        </w:tc>
        <w:tc>
          <w:tcPr>
            <w:tcW w:w="6229" w:type="dxa"/>
            <w:vAlign w:val="top"/>
            <w:gridSpan w:val="5"/>
          </w:tcPr>
          <w:p>
            <w:pPr>
              <w:pStyle w:val="TableText"/>
              <w:ind w:left="1964"/>
              <w:spacing w:before="35" w:line="215" w:lineRule="auto"/>
              <w:rPr/>
            </w:pPr>
            <w:r>
              <w:rPr>
                <w:spacing w:val="9"/>
              </w:rPr>
              <w:t>地下水环境敏感程度分级</w:t>
            </w:r>
          </w:p>
        </w:tc>
        <w:tc>
          <w:tcPr>
            <w:tcW w:w="1402" w:type="dxa"/>
            <w:vAlign w:val="top"/>
          </w:tcPr>
          <w:p>
            <w:pPr>
              <w:ind w:left="58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E1</w:t>
            </w:r>
          </w:p>
        </w:tc>
      </w:tr>
      <w:tr>
        <w:trPr>
          <w:trHeight w:val="553" w:hRule="atLeast"/>
        </w:trPr>
        <w:tc>
          <w:tcPr>
            <w:tcW w:w="895" w:type="dxa"/>
            <w:vAlign w:val="top"/>
          </w:tcPr>
          <w:p>
            <w:pPr>
              <w:pStyle w:val="TableText"/>
              <w:ind w:left="32"/>
              <w:spacing w:before="36" w:line="228" w:lineRule="auto"/>
              <w:rPr/>
            </w:pPr>
            <w:r>
              <w:rPr>
                <w:spacing w:val="7"/>
              </w:rPr>
              <w:t>土壤环境</w:t>
            </w:r>
          </w:p>
          <w:p>
            <w:pPr>
              <w:pStyle w:val="TableText"/>
              <w:ind w:left="243"/>
              <w:spacing w:before="23" w:line="218" w:lineRule="auto"/>
              <w:rPr/>
            </w:pPr>
            <w:r>
              <w:rPr>
                <w:spacing w:val="4"/>
              </w:rPr>
              <w:t>风险</w:t>
            </w:r>
          </w:p>
        </w:tc>
        <w:tc>
          <w:tcPr>
            <w:tcW w:w="6229" w:type="dxa"/>
            <w:vAlign w:val="top"/>
            <w:gridSpan w:val="5"/>
          </w:tcPr>
          <w:p>
            <w:pPr>
              <w:pStyle w:val="TableText"/>
              <w:ind w:left="917"/>
              <w:spacing w:before="169" w:line="227" w:lineRule="auto"/>
              <w:rPr/>
            </w:pPr>
            <w:r>
              <w:rPr>
                <w:spacing w:val="9"/>
              </w:rPr>
              <w:t>厂址及周边土壤环境不因本项目的实施受到污染</w:t>
            </w:r>
          </w:p>
        </w:tc>
        <w:tc>
          <w:tcPr>
            <w:tcW w:w="1402" w:type="dxa"/>
            <w:vAlign w:val="top"/>
          </w:tcPr>
          <w:p>
            <w:pPr>
              <w:ind w:left="668"/>
              <w:spacing w:before="20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bl>
    <w:p>
      <w:pPr>
        <w:pStyle w:val="BodyText"/>
        <w:spacing w:line="249"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ind w:right="14"/>
        <w:spacing w:before="62" w:line="227" w:lineRule="auto"/>
        <w:jc w:val="right"/>
        <w:rPr>
          <w:rFonts w:ascii="SimSun" w:hAnsi="SimSun" w:eastAsia="SimSun" w:cs="SimSun"/>
          <w:sz w:val="19"/>
          <w:szCs w:val="19"/>
        </w:rPr>
      </w:pPr>
      <w:r>
        <w:pict>
          <v:shape id="_x0000_s240" style="position:absolute;margin-left:207.943pt;margin-top:2.11244pt;mso-position-vertical-relative:text;mso-position-horizontal-relative:text;width:59pt;height:13.75pt;z-index:251763712;"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4"/>
                      <w:position w:val="2"/>
                    </w:rPr>
                    <w:t>44</w:t>
                  </w:r>
                  <w:r>
                    <w:rPr>
                      <w:rFonts w:ascii="Times New Roman" w:hAnsi="Times New Roman" w:eastAsia="Times New Roman" w:cs="Times New Roman"/>
                      <w:sz w:val="18"/>
                      <w:szCs w:val="18"/>
                      <w:spacing w:val="1"/>
                      <w:position w:val="2"/>
                    </w:rPr>
                    <w:t xml:space="preserve">        </w:t>
                  </w:r>
                  <w:r>
                    <w:rPr>
                      <w:rFonts w:ascii="SimSun" w:hAnsi="SimSun" w:eastAsia="SimSun" w:cs="SimSun"/>
                      <w:sz w:val="19"/>
                      <w:szCs w:val="19"/>
                      <w:spacing w:val="4"/>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55"/>
          <w:pgSz w:w="11907" w:h="16840"/>
          <w:pgMar w:top="1567" w:right="1688" w:bottom="400" w:left="1687" w:header="1221" w:footer="0" w:gutter="0"/>
        </w:sectPr>
        <w:rPr>
          <w:rFonts w:ascii="SimSun" w:hAnsi="SimSun" w:eastAsia="SimSun" w:cs="SimSun"/>
          <w:sz w:val="19"/>
          <w:szCs w:val="19"/>
        </w:rPr>
      </w:pPr>
    </w:p>
    <w:p>
      <w:pPr>
        <w:pStyle w:val="BodyText"/>
        <w:spacing w:line="241" w:lineRule="auto"/>
        <w:rPr/>
      </w:pPr>
      <w:r>
        <w:pict>
          <v:shape id="_x0000_s242" style="position:absolute;margin-left:0pt;margin-top:0.719971pt;mso-position-vertical-relative:text;mso-position-horizontal-relative:text;width:425.25pt;height:0.75pt;z-index:251767808;" fillcolor="#000000" filled="true" stroked="false" coordsize="8505,15" coordorigin="0,0" path="m,l8505,0l8505,14l0,14l0,0xe"/>
        </w:pict>
      </w:r>
      <w:r>
        <w:drawing>
          <wp:anchor distT="0" distB="0" distL="0" distR="0" simplePos="0" relativeHeight="251765760" behindDoc="1" locked="0" layoutInCell="1" allowOverlap="1">
            <wp:simplePos x="0" y="0"/>
            <wp:positionH relativeFrom="column">
              <wp:posOffset>380</wp:posOffset>
            </wp:positionH>
            <wp:positionV relativeFrom="paragraph">
              <wp:posOffset>95631</wp:posOffset>
            </wp:positionV>
            <wp:extent cx="5396483" cy="4614671"/>
            <wp:effectExtent l="0" t="0" r="0" b="0"/>
            <wp:wrapNone/>
            <wp:docPr id="22" name="IM 22"/>
            <wp:cNvGraphicFramePr/>
            <a:graphic>
              <a:graphicData uri="http://schemas.openxmlformats.org/drawingml/2006/picture">
                <pic:pic>
                  <pic:nvPicPr>
                    <pic:cNvPr id="22" name="IM 22"/>
                    <pic:cNvPicPr/>
                  </pic:nvPicPr>
                  <pic:blipFill>
                    <a:blip r:embed="rId56"/>
                    <a:stretch>
                      <a:fillRect/>
                    </a:stretch>
                  </pic:blipFill>
                  <pic:spPr>
                    <a:xfrm rot="0">
                      <a:off x="0" y="0"/>
                      <a:ext cx="5396483" cy="4614671"/>
                    </a:xfrm>
                    <a:prstGeom prst="rect">
                      <a:avLst/>
                    </a:prstGeom>
                  </pic:spPr>
                </pic:pic>
              </a:graphicData>
            </a:graphic>
          </wp:anchor>
        </w:drawing>
      </w:r>
      <w:r/>
    </w:p>
    <w:p>
      <w:pPr>
        <w:pStyle w:val="BodyText"/>
        <w:spacing w:line="241" w:lineRule="auto"/>
        <w:rPr/>
      </w:pPr>
      <w:r/>
    </w:p>
    <w:p>
      <w:pPr>
        <w:pStyle w:val="BodyText"/>
        <w:spacing w:line="241" w:lineRule="auto"/>
        <w:rPr/>
      </w:pPr>
      <w:r/>
    </w:p>
    <w:p>
      <w:pPr>
        <w:pStyle w:val="BodyText"/>
        <w:spacing w:line="242" w:lineRule="auto"/>
        <w:rPr/>
      </w:pPr>
      <w:r/>
    </w:p>
    <w:p>
      <w:pPr>
        <w:ind w:firstLine="2970"/>
        <w:spacing w:line="1501" w:lineRule="exact"/>
        <w:rPr/>
      </w:pPr>
      <w:r>
        <w:rPr>
          <w:position w:val="-30"/>
        </w:rPr>
        <w:pict>
          <v:group id="_x0000_s244" style="mso-position-vertical-relative:line;mso-position-horizontal-relative:char;width:68.85pt;height:75.05pt;" filled="false" stroked="false" coordsize="1376,1501" coordorigin="0,0">
            <v:shape id="_x0000_s246" style="position:absolute;left:0;top:0;width:1376;height:1501;" filled="false" stroked="false" type="#_x0000_t75">
              <v:imagedata o:title="" r:id="rId57"/>
            </v:shape>
            <v:shape id="_x0000_s248" style="position:absolute;left:-20;top:-20;width:1416;height:1541;" filled="false" stroked="false" type="#_x0000_t202">
              <v:fill on="false"/>
              <v:stroke on="false"/>
              <v:path/>
              <v:imagedata o:title=""/>
              <o:lock v:ext="edit" aspectratio="false"/>
              <v:textbox inset="0mm,0mm,0mm,0mm">
                <w:txbxContent>
                  <w:p>
                    <w:pPr>
                      <w:ind w:left="191" w:right="131" w:hanging="52"/>
                      <w:spacing w:before="111" w:line="251" w:lineRule="auto"/>
                      <w:jc w:val="both"/>
                      <w:rPr>
                        <w:rFonts w:ascii="SimSun" w:hAnsi="SimSun" w:eastAsia="SimSun" w:cs="SimSun"/>
                        <w:sz w:val="20"/>
                        <w:szCs w:val="20"/>
                      </w:rPr>
                    </w:pPr>
                    <w:r>
                      <w:rPr>
                        <w:rFonts w:ascii="SimSun" w:hAnsi="SimSun" w:eastAsia="SimSun" w:cs="SimSun"/>
                        <w:sz w:val="20"/>
                        <w:szCs w:val="20"/>
                        <w:spacing w:val="7"/>
                      </w:rPr>
                      <w:t>地下水环境/</w:t>
                    </w:r>
                    <w:r>
                      <w:rPr>
                        <w:rFonts w:ascii="SimSun" w:hAnsi="SimSun" w:eastAsia="SimSun" w:cs="SimSun"/>
                        <w:sz w:val="20"/>
                        <w:szCs w:val="20"/>
                        <w:spacing w:val="2"/>
                      </w:rPr>
                      <w:t xml:space="preserve"> </w:t>
                    </w:r>
                    <w:r>
                      <w:rPr>
                        <w:rFonts w:ascii="SimSun" w:hAnsi="SimSun" w:eastAsia="SimSun" w:cs="SimSun"/>
                        <w:sz w:val="20"/>
                        <w:szCs w:val="20"/>
                        <w:spacing w:val="8"/>
                      </w:rPr>
                      <w:t>地下水环境</w:t>
                    </w:r>
                    <w:r>
                      <w:rPr>
                        <w:rFonts w:ascii="SimSun" w:hAnsi="SimSun" w:eastAsia="SimSun" w:cs="SimSun"/>
                        <w:sz w:val="20"/>
                        <w:szCs w:val="20"/>
                      </w:rPr>
                      <w:t xml:space="preserve"> </w:t>
                    </w:r>
                    <w:r>
                      <w:rPr>
                        <w:rFonts w:ascii="SimSun" w:hAnsi="SimSun" w:eastAsia="SimSun" w:cs="SimSun"/>
                        <w:sz w:val="20"/>
                        <w:szCs w:val="20"/>
                        <w:spacing w:val="8"/>
                      </w:rPr>
                      <w:t>风险评价范</w:t>
                    </w:r>
                  </w:p>
                </w:txbxContent>
              </v:textbox>
            </v:shape>
          </v:group>
        </w:pict>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1"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ind w:left="1382"/>
        <w:spacing w:before="78" w:line="219" w:lineRule="auto"/>
        <w:rPr>
          <w:rFonts w:ascii="SimSun" w:hAnsi="SimSun" w:eastAsia="SimSun" w:cs="SimSun"/>
          <w:sz w:val="24"/>
          <w:szCs w:val="24"/>
        </w:rPr>
      </w:pPr>
      <w:r>
        <w:rPr>
          <w:rFonts w:ascii="SimSun" w:hAnsi="SimSun" w:eastAsia="SimSun" w:cs="SimSun"/>
          <w:sz w:val="24"/>
          <w:szCs w:val="24"/>
          <w:b/>
          <w:bCs/>
          <w:spacing w:val="-2"/>
        </w:rPr>
        <w:t>图</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2"/>
        </w:rPr>
        <w:t>2.7-1      </w:t>
      </w:r>
      <w:r>
        <w:rPr>
          <w:rFonts w:ascii="SimSun" w:hAnsi="SimSun" w:eastAsia="SimSun" w:cs="SimSun"/>
          <w:sz w:val="24"/>
          <w:szCs w:val="24"/>
          <w:b/>
          <w:bCs/>
          <w:spacing w:val="-2"/>
        </w:rPr>
        <w:t>地下水环境</w:t>
      </w:r>
      <w:r>
        <w:rPr>
          <w:rFonts w:ascii="Times New Roman" w:hAnsi="Times New Roman" w:eastAsia="Times New Roman" w:cs="Times New Roman"/>
          <w:sz w:val="24"/>
          <w:szCs w:val="24"/>
          <w:b/>
          <w:bCs/>
          <w:spacing w:val="-2"/>
        </w:rPr>
        <w:t>/</w:t>
      </w:r>
      <w:r>
        <w:rPr>
          <w:rFonts w:ascii="SimSun" w:hAnsi="SimSun" w:eastAsia="SimSun" w:cs="SimSun"/>
          <w:sz w:val="24"/>
          <w:szCs w:val="24"/>
          <w:b/>
          <w:bCs/>
          <w:spacing w:val="-2"/>
        </w:rPr>
        <w:t>地下水环境风</w:t>
      </w:r>
      <w:r>
        <w:rPr>
          <w:rFonts w:ascii="SimSun" w:hAnsi="SimSun" w:eastAsia="SimSun" w:cs="SimSun"/>
          <w:sz w:val="24"/>
          <w:szCs w:val="24"/>
          <w:b/>
          <w:bCs/>
          <w:spacing w:val="-3"/>
        </w:rPr>
        <w:t>险保护目标分布图</w:t>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ind w:left="7"/>
        <w:spacing w:before="62" w:line="227" w:lineRule="auto"/>
        <w:rPr>
          <w:rFonts w:ascii="SimSun" w:hAnsi="SimSun" w:eastAsia="SimSun" w:cs="SimSun"/>
          <w:sz w:val="19"/>
          <w:szCs w:val="19"/>
        </w:rPr>
      </w:pPr>
      <w:r>
        <w:pict>
          <v:shape id="_x0000_s250" style="position:absolute;margin-left:159.33pt;margin-top:2.11389pt;mso-position-vertical-relative:text;mso-position-horizontal-relative:text;width:58.85pt;height:13.75pt;z-index:25176678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4"/>
                    </w:rPr>
                    <w:t>任公司</w:t>
                  </w:r>
                  <w:r>
                    <w:rPr>
                      <w:rFonts w:ascii="SimSun" w:hAnsi="SimSun" w:eastAsia="SimSun" w:cs="SimSun"/>
                      <w:sz w:val="19"/>
                      <w:szCs w:val="19"/>
                      <w:spacing w:val="26"/>
                    </w:rPr>
                    <w:t xml:space="preserve">   </w:t>
                  </w:r>
                  <w:r>
                    <w:rPr>
                      <w:rFonts w:ascii="Times New Roman" w:hAnsi="Times New Roman" w:eastAsia="Times New Roman" w:cs="Times New Roman"/>
                      <w:sz w:val="18"/>
                      <w:szCs w:val="18"/>
                      <w:spacing w:val="4"/>
                      <w:position w:val="2"/>
                    </w:rPr>
                    <w:t>45</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2"/>
          <w:pgSz w:w="11907" w:h="16840"/>
          <w:pgMar w:top="1567" w:right="1700" w:bottom="400" w:left="1701" w:header="1221" w:footer="0" w:gutter="0"/>
        </w:sectPr>
        <w:rPr>
          <w:rFonts w:ascii="SimSun" w:hAnsi="SimSun" w:eastAsia="SimSun" w:cs="SimSun"/>
          <w:sz w:val="19"/>
          <w:szCs w:val="19"/>
        </w:rPr>
      </w:pPr>
    </w:p>
    <w:p>
      <w:pPr>
        <w:ind w:firstLine="1842"/>
        <w:spacing w:before="145" w:line="8177" w:lineRule="exact"/>
        <w:rPr/>
      </w:pPr>
      <w:r>
        <w:pict>
          <v:shape id="_x0000_s254" style="position:absolute;margin-left:56.7pt;margin-top:78.87pt;mso-position-vertical-relative:page;mso-position-horizontal-relative:page;width:728.6pt;height:0.75pt;z-index:251768832;" o:allowincell="f" fillcolor="#000000" filled="true" stroked="false" coordsize="14571,15" coordorigin="0,0" path="m,l14571,0l14571,14l0,14l0,0xe"/>
        </w:pict>
      </w:r>
      <w:r>
        <w:rPr>
          <w:position w:val="-163"/>
        </w:rPr>
        <w:drawing>
          <wp:inline distT="0" distB="0" distL="0" distR="0">
            <wp:extent cx="6912864" cy="5192267"/>
            <wp:effectExtent l="0" t="0" r="0" b="0"/>
            <wp:docPr id="24" name="IM 24"/>
            <wp:cNvGraphicFramePr/>
            <a:graphic>
              <a:graphicData uri="http://schemas.openxmlformats.org/drawingml/2006/picture">
                <pic:pic>
                  <pic:nvPicPr>
                    <pic:cNvPr id="24" name="IM 24"/>
                    <pic:cNvPicPr/>
                  </pic:nvPicPr>
                  <pic:blipFill>
                    <a:blip r:embed="rId59"/>
                    <a:stretch>
                      <a:fillRect/>
                    </a:stretch>
                  </pic:blipFill>
                  <pic:spPr>
                    <a:xfrm rot="0">
                      <a:off x="0" y="0"/>
                      <a:ext cx="6912864" cy="5192267"/>
                    </a:xfrm>
                    <a:prstGeom prst="rect">
                      <a:avLst/>
                    </a:prstGeom>
                  </pic:spPr>
                </pic:pic>
              </a:graphicData>
            </a:graphic>
          </wp:inline>
        </w:drawing>
      </w:r>
    </w:p>
    <w:p>
      <w:pPr>
        <w:ind w:left="3240"/>
        <w:spacing w:before="173" w:line="219" w:lineRule="auto"/>
        <w:rPr>
          <w:rFonts w:ascii="SimSun" w:hAnsi="SimSun" w:eastAsia="SimSun" w:cs="SimSun"/>
          <w:sz w:val="24"/>
          <w:szCs w:val="24"/>
        </w:rPr>
      </w:pPr>
      <w:r>
        <w:rPr>
          <w:rFonts w:ascii="SimSun" w:hAnsi="SimSun" w:eastAsia="SimSun" w:cs="SimSun"/>
          <w:sz w:val="24"/>
          <w:szCs w:val="24"/>
          <w:b/>
          <w:bCs/>
          <w:spacing w:val="-2"/>
        </w:rPr>
        <w:t>图</w:t>
      </w:r>
      <w:r>
        <w:rPr>
          <w:rFonts w:ascii="Times New Roman" w:hAnsi="Times New Roman" w:eastAsia="Times New Roman" w:cs="Times New Roman"/>
          <w:sz w:val="24"/>
          <w:szCs w:val="24"/>
          <w:b/>
          <w:bCs/>
          <w:spacing w:val="-2"/>
        </w:rPr>
        <w:t>2.7-2      </w:t>
      </w:r>
      <w:r>
        <w:rPr>
          <w:rFonts w:ascii="SimSun" w:hAnsi="SimSun" w:eastAsia="SimSun" w:cs="SimSun"/>
          <w:sz w:val="24"/>
          <w:szCs w:val="24"/>
          <w:b/>
          <w:bCs/>
          <w:spacing w:val="-2"/>
        </w:rPr>
        <w:t>大气环境</w:t>
      </w:r>
      <w:r>
        <w:rPr>
          <w:rFonts w:ascii="Times New Roman" w:hAnsi="Times New Roman" w:eastAsia="Times New Roman" w:cs="Times New Roman"/>
          <w:sz w:val="24"/>
          <w:szCs w:val="24"/>
          <w:b/>
          <w:bCs/>
          <w:spacing w:val="-2"/>
        </w:rPr>
        <w:t>/</w:t>
      </w:r>
      <w:r>
        <w:rPr>
          <w:rFonts w:ascii="SimSun" w:hAnsi="SimSun" w:eastAsia="SimSun" w:cs="SimSun"/>
          <w:sz w:val="24"/>
          <w:szCs w:val="24"/>
          <w:b/>
          <w:bCs/>
          <w:spacing w:val="-2"/>
        </w:rPr>
        <w:t>环境风险、声环境、生态环境及土壤环境保护目标分布图</w:t>
      </w:r>
    </w:p>
    <w:p>
      <w:pPr>
        <w:spacing w:before="77" w:line="227" w:lineRule="auto"/>
        <w:jc w:val="right"/>
        <w:rPr>
          <w:rFonts w:ascii="SimSun" w:hAnsi="SimSun" w:eastAsia="SimSun" w:cs="SimSun"/>
          <w:sz w:val="19"/>
          <w:szCs w:val="19"/>
        </w:rPr>
      </w:pPr>
      <w:r>
        <w:rPr>
          <w:rFonts w:ascii="Times New Roman" w:hAnsi="Times New Roman" w:eastAsia="Times New Roman" w:cs="Times New Roman"/>
          <w:sz w:val="18"/>
          <w:szCs w:val="18"/>
          <w:spacing w:val="4"/>
          <w:position w:val="2"/>
        </w:rPr>
        <w:t>46                                                           </w:t>
      </w:r>
      <w:r>
        <w:rPr>
          <w:rFonts w:ascii="Times New Roman" w:hAnsi="Times New Roman" w:eastAsia="Times New Roman" w:cs="Times New Roman"/>
          <w:sz w:val="18"/>
          <w:szCs w:val="18"/>
          <w:spacing w:val="3"/>
          <w:position w:val="2"/>
        </w:rPr>
        <w:t xml:space="preserve">             </w:t>
      </w:r>
      <w:r>
        <w:rPr>
          <w:rFonts w:ascii="SimSun" w:hAnsi="SimSun" w:eastAsia="SimSun" w:cs="SimSun"/>
          <w:sz w:val="19"/>
          <w:szCs w:val="19"/>
          <w:spacing w:val="3"/>
        </w:rPr>
        <w:t>锡林郭勒盟中安环境技术咨询有限责任公司</w:t>
      </w:r>
    </w:p>
    <w:p>
      <w:pPr>
        <w:spacing w:line="227" w:lineRule="auto"/>
        <w:sectPr>
          <w:headerReference w:type="default" r:id="rId58"/>
          <w:pgSz w:w="16840" w:h="11907"/>
          <w:pgMar w:top="1567" w:right="1134" w:bottom="400" w:left="1134" w:header="1221" w:footer="0" w:gutter="0"/>
        </w:sectPr>
        <w:rPr>
          <w:rFonts w:ascii="SimSun" w:hAnsi="SimSun" w:eastAsia="SimSun" w:cs="SimSun"/>
          <w:sz w:val="19"/>
          <w:szCs w:val="19"/>
        </w:rPr>
      </w:pPr>
    </w:p>
    <w:p>
      <w:pPr>
        <w:ind w:left="15"/>
        <w:spacing w:before="204" w:line="227" w:lineRule="auto"/>
        <w:outlineLvl w:val="0"/>
        <w:rPr>
          <w:rFonts w:ascii="SimHei" w:hAnsi="SimHei" w:eastAsia="SimHei" w:cs="SimHei"/>
          <w:sz w:val="35"/>
          <w:szCs w:val="35"/>
        </w:rPr>
      </w:pPr>
      <w:r>
        <w:pict>
          <v:shape id="_x0000_s258" style="position:absolute;margin-left:85.05pt;margin-top:79.11pt;mso-position-vertical-relative:page;mso-position-horizontal-relative:page;width:425.25pt;height:0.75pt;z-index:251771904;" o:allowincell="f" fillcolor="#000000" filled="true" stroked="false" coordsize="8505,15" coordorigin="0,0" path="m,l8505,0l8505,14l0,14l0,0xe"/>
        </w:pict>
      </w:r>
      <w:bookmarkStart w:name="bookmark43" w:id="50"/>
      <w:bookmarkEnd w:id="50"/>
      <w:bookmarkStart w:name="bookmark44" w:id="51"/>
      <w:bookmarkEnd w:id="51"/>
      <w:bookmarkStart w:name="bookmark45" w:id="52"/>
      <w:bookmarkEnd w:id="52"/>
      <w:r>
        <w:rPr>
          <w:rFonts w:ascii="Times New Roman" w:hAnsi="Times New Roman" w:eastAsia="Times New Roman" w:cs="Times New Roman"/>
          <w:sz w:val="35"/>
          <w:szCs w:val="35"/>
          <w:spacing w:val="7"/>
        </w:rPr>
        <w:t>3 </w:t>
      </w:r>
      <w:r>
        <w:rPr>
          <w:rFonts w:ascii="SimHei" w:hAnsi="SimHei" w:eastAsia="SimHei" w:cs="SimHei"/>
          <w:sz w:val="35"/>
          <w:szCs w:val="35"/>
          <w:spacing w:val="7"/>
        </w:rPr>
        <w:t>建设项目工程分析</w:t>
      </w:r>
    </w:p>
    <w:p>
      <w:pPr>
        <w:ind w:left="12"/>
        <w:spacing w:before="261" w:line="221" w:lineRule="auto"/>
        <w:outlineLvl w:val="1"/>
        <w:rPr>
          <w:rFonts w:ascii="SimHei" w:hAnsi="SimHei" w:eastAsia="SimHei" w:cs="SimHei"/>
          <w:sz w:val="30"/>
          <w:szCs w:val="30"/>
        </w:rPr>
      </w:pPr>
      <w:bookmarkStart w:name="bookmark221" w:id="53"/>
      <w:bookmarkEnd w:id="53"/>
      <w:r>
        <w:rPr>
          <w:rFonts w:ascii="Times New Roman" w:hAnsi="Times New Roman" w:eastAsia="Times New Roman" w:cs="Times New Roman"/>
          <w:sz w:val="30"/>
          <w:szCs w:val="30"/>
          <w:spacing w:val="-2"/>
        </w:rPr>
        <w:t>3.1 </w:t>
      </w:r>
      <w:r>
        <w:rPr>
          <w:rFonts w:ascii="SimHei" w:hAnsi="SimHei" w:eastAsia="SimHei" w:cs="SimHei"/>
          <w:sz w:val="30"/>
          <w:szCs w:val="30"/>
          <w:spacing w:val="-2"/>
        </w:rPr>
        <w:t>建设项目概况</w:t>
      </w:r>
    </w:p>
    <w:p>
      <w:pPr>
        <w:ind w:left="12"/>
        <w:spacing w:before="219" w:line="222" w:lineRule="auto"/>
        <w:outlineLvl w:val="2"/>
        <w:rPr>
          <w:rFonts w:ascii="SimHei" w:hAnsi="SimHei" w:eastAsia="SimHei" w:cs="SimHei"/>
          <w:sz w:val="28"/>
          <w:szCs w:val="28"/>
        </w:rPr>
      </w:pPr>
      <w:bookmarkStart w:name="bookmark222" w:id="54"/>
      <w:bookmarkEnd w:id="54"/>
      <w:r>
        <w:rPr>
          <w:rFonts w:ascii="Times New Roman" w:hAnsi="Times New Roman" w:eastAsia="Times New Roman" w:cs="Times New Roman"/>
          <w:sz w:val="28"/>
          <w:szCs w:val="28"/>
          <w:spacing w:val="-1"/>
        </w:rPr>
        <w:t>3.1.1 </w:t>
      </w:r>
      <w:r>
        <w:rPr>
          <w:rFonts w:ascii="SimHei" w:hAnsi="SimHei" w:eastAsia="SimHei" w:cs="SimHei"/>
          <w:sz w:val="28"/>
          <w:szCs w:val="28"/>
          <w:spacing w:val="-1"/>
        </w:rPr>
        <w:t>项目基本情况</w:t>
      </w:r>
    </w:p>
    <w:p>
      <w:pPr>
        <w:ind w:left="493"/>
        <w:spacing w:before="202" w:line="219" w:lineRule="auto"/>
        <w:rPr>
          <w:rFonts w:ascii="SimSun" w:hAnsi="SimSun" w:eastAsia="SimSun" w:cs="SimSun"/>
          <w:sz w:val="24"/>
          <w:szCs w:val="24"/>
        </w:rPr>
      </w:pPr>
      <w:r>
        <w:rPr>
          <w:rFonts w:ascii="SimSun" w:hAnsi="SimSun" w:eastAsia="SimSun" w:cs="SimSun"/>
          <w:sz w:val="24"/>
          <w:szCs w:val="24"/>
          <w:b/>
          <w:bCs/>
          <w:spacing w:val="-1"/>
        </w:rPr>
        <w:t>项目名称：</w:t>
      </w:r>
      <w:r>
        <w:rPr>
          <w:rFonts w:ascii="SimSun" w:hAnsi="SimSun" w:eastAsia="SimSun" w:cs="SimSun"/>
          <w:sz w:val="24"/>
          <w:szCs w:val="24"/>
          <w:spacing w:val="-1"/>
        </w:rPr>
        <w:t>内蒙古源浩羊绒制品有限公司废弃物高效循环利用项目</w:t>
      </w:r>
    </w:p>
    <w:p>
      <w:pPr>
        <w:ind w:left="492"/>
        <w:spacing w:before="183" w:line="219" w:lineRule="auto"/>
        <w:rPr>
          <w:rFonts w:ascii="SimSun" w:hAnsi="SimSun" w:eastAsia="SimSun" w:cs="SimSun"/>
          <w:sz w:val="24"/>
          <w:szCs w:val="24"/>
        </w:rPr>
      </w:pPr>
      <w:r>
        <w:rPr>
          <w:rFonts w:ascii="SimSun" w:hAnsi="SimSun" w:eastAsia="SimSun" w:cs="SimSun"/>
          <w:sz w:val="24"/>
          <w:szCs w:val="24"/>
          <w:b/>
          <w:bCs/>
          <w:spacing w:val="-2"/>
        </w:rPr>
        <w:t>建设单位：</w:t>
      </w:r>
      <w:r>
        <w:rPr>
          <w:rFonts w:ascii="SimSun" w:hAnsi="SimSun" w:eastAsia="SimSun" w:cs="SimSun"/>
          <w:sz w:val="24"/>
          <w:szCs w:val="24"/>
          <w:spacing w:val="-2"/>
        </w:rPr>
        <w:t>内蒙古源浩羊绒制品有限公司</w:t>
      </w:r>
    </w:p>
    <w:p>
      <w:pPr>
        <w:ind w:left="492"/>
        <w:spacing w:before="181" w:line="220" w:lineRule="auto"/>
        <w:rPr>
          <w:rFonts w:ascii="SimSun" w:hAnsi="SimSun" w:eastAsia="SimSun" w:cs="SimSun"/>
          <w:sz w:val="24"/>
          <w:szCs w:val="24"/>
        </w:rPr>
      </w:pPr>
      <w:r>
        <w:rPr>
          <w:rFonts w:ascii="SimSun" w:hAnsi="SimSun" w:eastAsia="SimSun" w:cs="SimSun"/>
          <w:sz w:val="24"/>
          <w:szCs w:val="24"/>
          <w:b/>
          <w:bCs/>
          <w:spacing w:val="-4"/>
        </w:rPr>
        <w:t>建设性质：</w:t>
      </w:r>
      <w:r>
        <w:rPr>
          <w:rFonts w:ascii="SimSun" w:hAnsi="SimSun" w:eastAsia="SimSun" w:cs="SimSun"/>
          <w:sz w:val="24"/>
          <w:szCs w:val="24"/>
          <w:spacing w:val="-4"/>
        </w:rPr>
        <w:t>新建</w:t>
      </w:r>
    </w:p>
    <w:p>
      <w:pPr>
        <w:ind w:left="12" w:right="2" w:firstLine="480"/>
        <w:spacing w:before="182" w:line="359" w:lineRule="auto"/>
        <w:jc w:val="both"/>
        <w:rPr>
          <w:rFonts w:ascii="SimSun" w:hAnsi="SimSun" w:eastAsia="SimSun" w:cs="SimSun"/>
          <w:sz w:val="24"/>
          <w:szCs w:val="24"/>
        </w:rPr>
      </w:pPr>
      <w:r>
        <w:rPr>
          <w:rFonts w:ascii="SimSun" w:hAnsi="SimSun" w:eastAsia="SimSun" w:cs="SimSun"/>
          <w:sz w:val="24"/>
          <w:szCs w:val="24"/>
          <w:b/>
          <w:bCs/>
          <w:spacing w:val="2"/>
        </w:rPr>
        <w:t>建设地点：</w:t>
      </w:r>
      <w:r>
        <w:rPr>
          <w:rFonts w:ascii="SimSun" w:hAnsi="SimSun" w:eastAsia="SimSun" w:cs="SimSun"/>
          <w:sz w:val="24"/>
          <w:szCs w:val="24"/>
          <w:spacing w:val="2"/>
        </w:rPr>
        <w:t>锡林郭勒盟正镶白旗明安图镇乌宁巴图西街，包含两个厂区，分</w:t>
      </w:r>
      <w:r>
        <w:rPr>
          <w:rFonts w:ascii="SimSun" w:hAnsi="SimSun" w:eastAsia="SimSun" w:cs="SimSun"/>
          <w:sz w:val="24"/>
          <w:szCs w:val="24"/>
          <w:spacing w:val="11"/>
        </w:rPr>
        <w:t xml:space="preserve"> </w:t>
      </w:r>
      <w:r>
        <w:rPr>
          <w:rFonts w:ascii="SimSun" w:hAnsi="SimSun" w:eastAsia="SimSun" w:cs="SimSun"/>
          <w:sz w:val="24"/>
          <w:szCs w:val="24"/>
          <w:spacing w:val="17"/>
        </w:rPr>
        <w:t>别为西厂区和东厂区</w:t>
      </w:r>
      <w:r>
        <w:rPr>
          <w:rFonts w:ascii="SimSun" w:hAnsi="SimSun" w:eastAsia="SimSun" w:cs="SimSun"/>
          <w:sz w:val="24"/>
          <w:szCs w:val="24"/>
          <w:spacing w:val="-60"/>
        </w:rPr>
        <w:t xml:space="preserve"> </w:t>
      </w:r>
      <w:r>
        <w:rPr>
          <w:rFonts w:ascii="SimSun" w:hAnsi="SimSun" w:eastAsia="SimSun" w:cs="SimSun"/>
          <w:sz w:val="24"/>
          <w:szCs w:val="24"/>
          <w:spacing w:val="17"/>
        </w:rPr>
        <w:t>，两个厂区边界距离</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17"/>
        </w:rPr>
        <w:t>20m </w:t>
      </w:r>
      <w:r>
        <w:rPr>
          <w:rFonts w:ascii="SimSun" w:hAnsi="SimSun" w:eastAsia="SimSun" w:cs="SimSun"/>
          <w:sz w:val="24"/>
          <w:szCs w:val="24"/>
          <w:spacing w:val="17"/>
        </w:rPr>
        <w:t>。西厂区中心坐标为：</w:t>
      </w:r>
      <w:r>
        <w:rPr>
          <w:rFonts w:ascii="SimSun" w:hAnsi="SimSun" w:eastAsia="SimSun" w:cs="SimSun"/>
          <w:sz w:val="24"/>
          <w:szCs w:val="24"/>
          <w:spacing w:val="-47"/>
        </w:rPr>
        <w:t xml:space="preserve"> </w:t>
      </w:r>
      <w:r>
        <w:rPr>
          <w:rFonts w:ascii="SimSun" w:hAnsi="SimSun" w:eastAsia="SimSun" w:cs="SimSun"/>
          <w:sz w:val="24"/>
          <w:szCs w:val="24"/>
          <w:spacing w:val="17"/>
        </w:rPr>
        <w:t>东经</w:t>
      </w:r>
      <w:r>
        <w:rPr>
          <w:rFonts w:ascii="SimSun" w:hAnsi="SimSun" w:eastAsia="SimSun" w:cs="SimSun"/>
          <w:sz w:val="24"/>
          <w:szCs w:val="24"/>
        </w:rPr>
        <w:t xml:space="preserve"> </w:t>
      </w:r>
      <w:r>
        <w:rPr>
          <w:rFonts w:ascii="Times New Roman" w:hAnsi="Times New Roman" w:eastAsia="Times New Roman" w:cs="Times New Roman"/>
          <w:sz w:val="24"/>
          <w:szCs w:val="24"/>
          <w:spacing w:val="-2"/>
        </w:rPr>
        <w:t>114°58'</w:t>
      </w:r>
      <w:r>
        <w:rPr>
          <w:rFonts w:ascii="Times New Roman" w:hAnsi="Times New Roman" w:eastAsia="Times New Roman" w:cs="Times New Roman"/>
          <w:sz w:val="24"/>
          <w:szCs w:val="24"/>
          <w:spacing w:val="-30"/>
        </w:rPr>
        <w:t xml:space="preserve"> </w:t>
      </w:r>
      <w:r>
        <w:rPr>
          <w:rFonts w:ascii="Times New Roman" w:hAnsi="Times New Roman" w:eastAsia="Times New Roman" w:cs="Times New Roman"/>
          <w:sz w:val="24"/>
          <w:szCs w:val="24"/>
          <w:spacing w:val="-2"/>
        </w:rPr>
        <w:t>15.2245"</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，北纬</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42</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3"/>
        </w:rPr>
        <w:t>17'41.176"</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；东厂区中心坐标为：东经</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3"/>
        </w:rPr>
        <w:t>114°58'20.873"</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w:t>
      </w:r>
      <w:r>
        <w:rPr>
          <w:rFonts w:ascii="SimSun" w:hAnsi="SimSun" w:eastAsia="SimSun" w:cs="SimSun"/>
          <w:sz w:val="24"/>
          <w:szCs w:val="24"/>
        </w:rPr>
        <w:t xml:space="preserve"> </w:t>
      </w:r>
      <w:r>
        <w:rPr>
          <w:rFonts w:ascii="SimSun" w:hAnsi="SimSun" w:eastAsia="SimSun" w:cs="SimSun"/>
          <w:sz w:val="24"/>
          <w:szCs w:val="24"/>
          <w:spacing w:val="-3"/>
        </w:rPr>
        <w:t>北纬</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42°</w:t>
      </w:r>
      <w:r>
        <w:rPr>
          <w:rFonts w:ascii="Times New Roman" w:hAnsi="Times New Roman" w:eastAsia="Times New Roman" w:cs="Times New Roman"/>
          <w:sz w:val="24"/>
          <w:szCs w:val="24"/>
          <w:spacing w:val="-34"/>
        </w:rPr>
        <w:t xml:space="preserve"> </w:t>
      </w:r>
      <w:r>
        <w:rPr>
          <w:rFonts w:ascii="Times New Roman" w:hAnsi="Times New Roman" w:eastAsia="Times New Roman" w:cs="Times New Roman"/>
          <w:sz w:val="24"/>
          <w:szCs w:val="24"/>
          <w:spacing w:val="-3"/>
        </w:rPr>
        <w:t>17'415.354"</w:t>
      </w:r>
      <w:r>
        <w:rPr>
          <w:rFonts w:ascii="SimSun" w:hAnsi="SimSun" w:eastAsia="SimSun" w:cs="SimSun"/>
          <w:sz w:val="24"/>
          <w:szCs w:val="24"/>
          <w:spacing w:val="-3"/>
        </w:rPr>
        <w:t>。</w:t>
      </w:r>
    </w:p>
    <w:p>
      <w:pPr>
        <w:ind w:left="8" w:right="2" w:firstLine="483"/>
        <w:spacing w:before="2" w:line="359" w:lineRule="auto"/>
        <w:jc w:val="both"/>
        <w:rPr>
          <w:rFonts w:ascii="SimSun" w:hAnsi="SimSun" w:eastAsia="SimSun" w:cs="SimSun"/>
          <w:sz w:val="24"/>
          <w:szCs w:val="24"/>
        </w:rPr>
      </w:pPr>
      <w:r>
        <w:rPr>
          <w:rFonts w:ascii="SimSun" w:hAnsi="SimSun" w:eastAsia="SimSun" w:cs="SimSun"/>
          <w:sz w:val="24"/>
          <w:szCs w:val="24"/>
          <w:b/>
          <w:bCs/>
          <w:spacing w:val="-1"/>
        </w:rPr>
        <w:t>建设内容：</w:t>
      </w:r>
      <w:r>
        <w:rPr>
          <w:rFonts w:ascii="SimSun" w:hAnsi="SimSun" w:eastAsia="SimSun" w:cs="SimSun"/>
          <w:sz w:val="24"/>
          <w:szCs w:val="24"/>
          <w:spacing w:val="-1"/>
        </w:rPr>
        <w:t>项目建设两个厂区，分别为西厂区、东厂区。</w:t>
      </w:r>
      <w:r>
        <w:rPr>
          <w:rFonts w:ascii="SimSun" w:hAnsi="SimSun" w:eastAsia="SimSun" w:cs="SimSun"/>
          <w:sz w:val="24"/>
          <w:szCs w:val="24"/>
          <w:spacing w:val="-2"/>
        </w:rPr>
        <w:t>其中西厂区建设</w:t>
      </w:r>
      <w:r>
        <w:rPr>
          <w:rFonts w:ascii="Times New Roman" w:hAnsi="Times New Roman" w:eastAsia="Times New Roman" w:cs="Times New Roman"/>
          <w:sz w:val="24"/>
          <w:szCs w:val="24"/>
          <w:spacing w:val="-2"/>
        </w:rPr>
        <w:t>1</w:t>
      </w:r>
      <w:r>
        <w:rPr>
          <w:rFonts w:ascii="SimSun" w:hAnsi="SimSun" w:eastAsia="SimSun" w:cs="SimSun"/>
          <w:sz w:val="24"/>
          <w:szCs w:val="24"/>
          <w:spacing w:val="-2"/>
        </w:rPr>
        <w:t>条</w:t>
      </w:r>
      <w:r>
        <w:rPr>
          <w:rFonts w:ascii="SimSun" w:hAnsi="SimSun" w:eastAsia="SimSun" w:cs="SimSun"/>
          <w:sz w:val="24"/>
          <w:szCs w:val="24"/>
        </w:rPr>
        <w:t xml:space="preserve"> </w:t>
      </w:r>
      <w:r>
        <w:rPr>
          <w:rFonts w:ascii="SimSun" w:hAnsi="SimSun" w:eastAsia="SimSun" w:cs="SimSun"/>
          <w:sz w:val="24"/>
          <w:szCs w:val="24"/>
          <w:spacing w:val="1"/>
        </w:rPr>
        <w:t>洗毛生产线（年产洗净毛</w:t>
      </w:r>
      <w:r>
        <w:rPr>
          <w:rFonts w:ascii="Times New Roman" w:hAnsi="Times New Roman" w:eastAsia="Times New Roman" w:cs="Times New Roman"/>
          <w:sz w:val="24"/>
          <w:szCs w:val="24"/>
          <w:spacing w:val="1"/>
        </w:rPr>
        <w:t>0.9</w:t>
      </w:r>
      <w:r>
        <w:rPr>
          <w:rFonts w:ascii="SimSun" w:hAnsi="SimSun" w:eastAsia="SimSun" w:cs="SimSun"/>
          <w:sz w:val="24"/>
          <w:szCs w:val="24"/>
          <w:spacing w:val="1"/>
        </w:rPr>
        <w:t>万吨）、梳绒生产线</w:t>
      </w:r>
      <w:r>
        <w:rPr>
          <w:rFonts w:ascii="Times New Roman" w:hAnsi="Times New Roman" w:eastAsia="Times New Roman" w:cs="Times New Roman"/>
          <w:sz w:val="24"/>
          <w:szCs w:val="24"/>
          <w:spacing w:val="1"/>
        </w:rPr>
        <w:t>5</w:t>
      </w:r>
      <w:r>
        <w:rPr>
          <w:rFonts w:ascii="SimSun" w:hAnsi="SimSun" w:eastAsia="SimSun" w:cs="SimSun"/>
          <w:sz w:val="24"/>
          <w:szCs w:val="24"/>
          <w:spacing w:val="1"/>
        </w:rPr>
        <w:t>条（年产无毛绒</w:t>
      </w:r>
      <w:r>
        <w:rPr>
          <w:rFonts w:ascii="Times New Roman" w:hAnsi="Times New Roman" w:eastAsia="Times New Roman" w:cs="Times New Roman"/>
          <w:sz w:val="24"/>
          <w:szCs w:val="24"/>
          <w:spacing w:val="1"/>
        </w:rPr>
        <w:t>30</w:t>
      </w:r>
      <w:r>
        <w:rPr>
          <w:rFonts w:ascii="Times New Roman" w:hAnsi="Times New Roman" w:eastAsia="Times New Roman" w:cs="Times New Roman"/>
          <w:sz w:val="24"/>
          <w:szCs w:val="24"/>
        </w:rPr>
        <w:t>0</w:t>
      </w:r>
      <w:r>
        <w:rPr>
          <w:rFonts w:ascii="SimSun" w:hAnsi="SimSun" w:eastAsia="SimSun" w:cs="SimSun"/>
          <w:sz w:val="24"/>
          <w:szCs w:val="24"/>
        </w:rPr>
        <w:t>吨）、配套 </w:t>
      </w:r>
      <w:r>
        <w:rPr>
          <w:rFonts w:ascii="SimSun" w:hAnsi="SimSun" w:eastAsia="SimSun" w:cs="SimSun"/>
          <w:sz w:val="24"/>
          <w:szCs w:val="24"/>
          <w:spacing w:val="-1"/>
        </w:rPr>
        <w:t>建设</w:t>
      </w:r>
      <w:r>
        <w:rPr>
          <w:rFonts w:ascii="Times New Roman" w:hAnsi="Times New Roman" w:eastAsia="Times New Roman" w:cs="Times New Roman"/>
          <w:sz w:val="24"/>
          <w:szCs w:val="24"/>
          <w:spacing w:val="-1"/>
        </w:rPr>
        <w:t>1</w:t>
      </w:r>
      <w:r>
        <w:rPr>
          <w:rFonts w:ascii="SimSun" w:hAnsi="SimSun" w:eastAsia="SimSun" w:cs="SimSun"/>
          <w:sz w:val="24"/>
          <w:szCs w:val="24"/>
          <w:spacing w:val="-1"/>
        </w:rPr>
        <w:t>套厌氧发酵装置对洗毛车间产生的废水进行资源化利用，配套建设</w:t>
      </w:r>
      <w:r>
        <w:rPr>
          <w:rFonts w:ascii="Times New Roman" w:hAnsi="Times New Roman" w:eastAsia="Times New Roman" w:cs="Times New Roman"/>
          <w:sz w:val="24"/>
          <w:szCs w:val="24"/>
          <w:spacing w:val="-1"/>
        </w:rPr>
        <w:t>1</w:t>
      </w:r>
      <w:r>
        <w:rPr>
          <w:rFonts w:ascii="SimSun" w:hAnsi="SimSun" w:eastAsia="SimSun" w:cs="SimSun"/>
          <w:sz w:val="24"/>
          <w:szCs w:val="24"/>
          <w:spacing w:val="-1"/>
        </w:rPr>
        <w:t>台</w:t>
      </w:r>
      <w:r>
        <w:rPr>
          <w:rFonts w:ascii="Times New Roman" w:hAnsi="Times New Roman" w:eastAsia="Times New Roman" w:cs="Times New Roman"/>
          <w:sz w:val="24"/>
          <w:szCs w:val="24"/>
          <w:spacing w:val="-1"/>
        </w:rPr>
        <w:t>4t/h</w:t>
      </w:r>
      <w:r>
        <w:rPr>
          <w:rFonts w:ascii="SimSun" w:hAnsi="SimSun" w:eastAsia="SimSun" w:cs="SimSun"/>
          <w:sz w:val="24"/>
          <w:szCs w:val="24"/>
          <w:spacing w:val="-1"/>
        </w:rPr>
        <w:t>沼</w:t>
      </w:r>
      <w:r>
        <w:rPr>
          <w:rFonts w:ascii="SimSun" w:hAnsi="SimSun" w:eastAsia="SimSun" w:cs="SimSun"/>
          <w:sz w:val="24"/>
          <w:szCs w:val="24"/>
        </w:rPr>
        <w:t xml:space="preserve"> </w:t>
      </w:r>
      <w:r>
        <w:rPr>
          <w:rFonts w:ascii="SimSun" w:hAnsi="SimSun" w:eastAsia="SimSun" w:cs="SimSun"/>
          <w:sz w:val="24"/>
          <w:szCs w:val="24"/>
          <w:spacing w:val="-2"/>
        </w:rPr>
        <w:t>气蒸汽锅炉、</w:t>
      </w:r>
      <w:r>
        <w:rPr>
          <w:rFonts w:ascii="Times New Roman" w:hAnsi="Times New Roman" w:eastAsia="Times New Roman" w:cs="Times New Roman"/>
          <w:sz w:val="24"/>
          <w:szCs w:val="24"/>
          <w:spacing w:val="-2"/>
        </w:rPr>
        <w:t>1</w:t>
      </w:r>
      <w:r>
        <w:rPr>
          <w:rFonts w:ascii="SimSun" w:hAnsi="SimSun" w:eastAsia="SimSun" w:cs="SimSun"/>
          <w:sz w:val="24"/>
          <w:szCs w:val="24"/>
          <w:spacing w:val="-2"/>
        </w:rPr>
        <w:t>台</w:t>
      </w:r>
      <w:r>
        <w:rPr>
          <w:rFonts w:ascii="Times New Roman" w:hAnsi="Times New Roman" w:eastAsia="Times New Roman" w:cs="Times New Roman"/>
          <w:sz w:val="24"/>
          <w:szCs w:val="24"/>
          <w:spacing w:val="-2"/>
        </w:rPr>
        <w:t>6t/h</w:t>
      </w:r>
      <w:r>
        <w:rPr>
          <w:rFonts w:ascii="SimSun" w:hAnsi="SimSun" w:eastAsia="SimSun" w:cs="SimSun"/>
          <w:sz w:val="24"/>
          <w:szCs w:val="24"/>
          <w:spacing w:val="-2"/>
        </w:rPr>
        <w:t>生物质蒸汽锅炉；东厂区</w:t>
      </w:r>
      <w:r>
        <w:rPr>
          <w:rFonts w:ascii="SimSun" w:hAnsi="SimSun" w:eastAsia="SimSun" w:cs="SimSun"/>
          <w:sz w:val="24"/>
          <w:szCs w:val="24"/>
          <w:spacing w:val="-3"/>
        </w:rPr>
        <w:t>建设</w:t>
      </w:r>
      <w:r>
        <w:rPr>
          <w:rFonts w:ascii="Times New Roman" w:hAnsi="Times New Roman" w:eastAsia="Times New Roman" w:cs="Times New Roman"/>
          <w:sz w:val="24"/>
          <w:szCs w:val="24"/>
          <w:spacing w:val="-3"/>
        </w:rPr>
        <w:t>1</w:t>
      </w:r>
      <w:r>
        <w:rPr>
          <w:rFonts w:ascii="SimSun" w:hAnsi="SimSun" w:eastAsia="SimSun" w:cs="SimSun"/>
          <w:sz w:val="24"/>
          <w:szCs w:val="24"/>
          <w:spacing w:val="-3"/>
        </w:rPr>
        <w:t>条洗毛生产线（年产洗净毛</w:t>
      </w:r>
      <w:r>
        <w:rPr>
          <w:rFonts w:ascii="Times New Roman" w:hAnsi="Times New Roman" w:eastAsia="Times New Roman" w:cs="Times New Roman"/>
          <w:sz w:val="24"/>
          <w:szCs w:val="24"/>
          <w:spacing w:val="-3"/>
        </w:rPr>
        <w:t>0.9</w:t>
      </w:r>
      <w:r>
        <w:rPr>
          <w:rFonts w:ascii="Times New Roman" w:hAnsi="Times New Roman" w:eastAsia="Times New Roman" w:cs="Times New Roman"/>
          <w:sz w:val="24"/>
          <w:szCs w:val="24"/>
        </w:rPr>
        <w:t xml:space="preserve"> </w:t>
      </w:r>
      <w:r>
        <w:rPr>
          <w:rFonts w:ascii="SimSun" w:hAnsi="SimSun" w:eastAsia="SimSun" w:cs="SimSun"/>
          <w:sz w:val="24"/>
          <w:szCs w:val="24"/>
          <w:spacing w:val="-1"/>
        </w:rPr>
        <w:t>万吨）及配套库房。</w:t>
      </w:r>
    </w:p>
    <w:p>
      <w:pPr>
        <w:ind w:left="10" w:firstLine="480"/>
        <w:spacing w:before="6" w:line="358" w:lineRule="auto"/>
        <w:jc w:val="both"/>
        <w:rPr>
          <w:rFonts w:ascii="SimSun" w:hAnsi="SimSun" w:eastAsia="SimSun" w:cs="SimSun"/>
          <w:sz w:val="24"/>
          <w:szCs w:val="24"/>
        </w:rPr>
      </w:pPr>
      <w:r>
        <w:rPr>
          <w:rFonts w:ascii="SimSun" w:hAnsi="SimSun" w:eastAsia="SimSun" w:cs="SimSun"/>
          <w:sz w:val="24"/>
          <w:szCs w:val="24"/>
          <w:spacing w:val="1"/>
        </w:rPr>
        <w:t>本项目共建设洗毛生产线</w:t>
      </w:r>
      <w:r>
        <w:rPr>
          <w:rFonts w:ascii="Times New Roman" w:hAnsi="Times New Roman" w:eastAsia="Times New Roman" w:cs="Times New Roman"/>
          <w:sz w:val="24"/>
          <w:szCs w:val="24"/>
          <w:spacing w:val="1"/>
        </w:rPr>
        <w:t>2</w:t>
      </w:r>
      <w:r>
        <w:rPr>
          <w:rFonts w:ascii="SimSun" w:hAnsi="SimSun" w:eastAsia="SimSun" w:cs="SimSun"/>
          <w:sz w:val="24"/>
          <w:szCs w:val="24"/>
          <w:spacing w:val="1"/>
        </w:rPr>
        <w:t>条（年产洗净毛</w:t>
      </w:r>
      <w:r>
        <w:rPr>
          <w:rFonts w:ascii="Times New Roman" w:hAnsi="Times New Roman" w:eastAsia="Times New Roman" w:cs="Times New Roman"/>
          <w:sz w:val="24"/>
          <w:szCs w:val="24"/>
          <w:spacing w:val="1"/>
        </w:rPr>
        <w:t>1.8</w:t>
      </w:r>
      <w:r>
        <w:rPr>
          <w:rFonts w:ascii="SimSun" w:hAnsi="SimSun" w:eastAsia="SimSun" w:cs="SimSun"/>
          <w:sz w:val="24"/>
          <w:szCs w:val="24"/>
          <w:spacing w:val="1"/>
        </w:rPr>
        <w:t>万吨）、梳绒生产线</w:t>
      </w:r>
      <w:r>
        <w:rPr>
          <w:rFonts w:ascii="Times New Roman" w:hAnsi="Times New Roman" w:eastAsia="Times New Roman" w:cs="Times New Roman"/>
          <w:sz w:val="24"/>
          <w:szCs w:val="24"/>
        </w:rPr>
        <w:t>5</w:t>
      </w:r>
      <w:r>
        <w:rPr>
          <w:rFonts w:ascii="SimSun" w:hAnsi="SimSun" w:eastAsia="SimSun" w:cs="SimSun"/>
          <w:sz w:val="24"/>
          <w:szCs w:val="24"/>
        </w:rPr>
        <w:t>条（年产 </w:t>
      </w:r>
      <w:r>
        <w:rPr>
          <w:rFonts w:ascii="SimSun" w:hAnsi="SimSun" w:eastAsia="SimSun" w:cs="SimSun"/>
          <w:sz w:val="24"/>
          <w:szCs w:val="24"/>
          <w:spacing w:val="2"/>
        </w:rPr>
        <w:t>无毛绒</w:t>
      </w:r>
      <w:r>
        <w:rPr>
          <w:rFonts w:ascii="Times New Roman" w:hAnsi="Times New Roman" w:eastAsia="Times New Roman" w:cs="Times New Roman"/>
          <w:sz w:val="24"/>
          <w:szCs w:val="24"/>
          <w:spacing w:val="2"/>
        </w:rPr>
        <w:t>300</w:t>
      </w:r>
      <w:r>
        <w:rPr>
          <w:rFonts w:ascii="SimSun" w:hAnsi="SimSun" w:eastAsia="SimSun" w:cs="SimSun"/>
          <w:sz w:val="24"/>
          <w:szCs w:val="24"/>
          <w:spacing w:val="2"/>
        </w:rPr>
        <w:t>吨</w:t>
      </w:r>
      <w:r>
        <w:rPr>
          <w:rFonts w:ascii="SimSun" w:hAnsi="SimSun" w:eastAsia="SimSun" w:cs="SimSun"/>
          <w:sz w:val="24"/>
          <w:szCs w:val="24"/>
          <w:spacing w:val="10"/>
        </w:rPr>
        <w:t>），</w:t>
      </w:r>
      <w:r>
        <w:rPr>
          <w:rFonts w:ascii="SimSun" w:hAnsi="SimSun" w:eastAsia="SimSun" w:cs="SimSun"/>
          <w:sz w:val="24"/>
          <w:szCs w:val="24"/>
          <w:spacing w:val="2"/>
        </w:rPr>
        <w:t>配套建设</w:t>
      </w:r>
      <w:r>
        <w:rPr>
          <w:rFonts w:ascii="Times New Roman" w:hAnsi="Times New Roman" w:eastAsia="Times New Roman" w:cs="Times New Roman"/>
          <w:sz w:val="24"/>
          <w:szCs w:val="24"/>
          <w:spacing w:val="2"/>
        </w:rPr>
        <w:t>1</w:t>
      </w:r>
      <w:r>
        <w:rPr>
          <w:rFonts w:ascii="SimSun" w:hAnsi="SimSun" w:eastAsia="SimSun" w:cs="SimSun"/>
          <w:sz w:val="24"/>
          <w:szCs w:val="24"/>
          <w:spacing w:val="2"/>
        </w:rPr>
        <w:t>套厌氧发酵装置对洗毛车间等产生的废水进行资源化</w:t>
      </w:r>
      <w:r>
        <w:rPr>
          <w:rFonts w:ascii="SimSun" w:hAnsi="SimSun" w:eastAsia="SimSun" w:cs="SimSun"/>
          <w:sz w:val="24"/>
          <w:szCs w:val="24"/>
          <w:spacing w:val="1"/>
        </w:rPr>
        <w:t xml:space="preserve"> </w:t>
      </w:r>
      <w:r>
        <w:rPr>
          <w:rFonts w:ascii="SimSun" w:hAnsi="SimSun" w:eastAsia="SimSun" w:cs="SimSun"/>
          <w:sz w:val="24"/>
          <w:szCs w:val="24"/>
          <w:spacing w:val="3"/>
        </w:rPr>
        <w:t>利用，产生的沼气全部作为本次建设的沼气锅炉燃料，</w:t>
      </w:r>
      <w:r>
        <w:rPr>
          <w:rFonts w:ascii="SimSun" w:hAnsi="SimSun" w:eastAsia="SimSun" w:cs="SimSun"/>
          <w:sz w:val="24"/>
          <w:szCs w:val="24"/>
          <w:spacing w:val="2"/>
        </w:rPr>
        <w:t>沼渣和沼液作为有机肥还</w:t>
      </w:r>
      <w:r>
        <w:rPr>
          <w:rFonts w:ascii="SimSun" w:hAnsi="SimSun" w:eastAsia="SimSun" w:cs="SimSun"/>
          <w:sz w:val="24"/>
          <w:szCs w:val="24"/>
        </w:rPr>
        <w:t xml:space="preserve"> </w:t>
      </w:r>
      <w:r>
        <w:rPr>
          <w:rFonts w:ascii="SimSun" w:hAnsi="SimSun" w:eastAsia="SimSun" w:cs="SimSun"/>
          <w:sz w:val="24"/>
          <w:szCs w:val="24"/>
          <w:spacing w:val="3"/>
        </w:rPr>
        <w:t>田利用（自用）。本项目洗毛生产线用蒸汽及采</w:t>
      </w:r>
      <w:r>
        <w:rPr>
          <w:rFonts w:ascii="SimSun" w:hAnsi="SimSun" w:eastAsia="SimSun" w:cs="SimSun"/>
          <w:sz w:val="24"/>
          <w:szCs w:val="24"/>
          <w:spacing w:val="2"/>
        </w:rPr>
        <w:t>暖用热由西厂区建设的生物质锅</w:t>
      </w:r>
      <w:r>
        <w:rPr>
          <w:rFonts w:ascii="SimSun" w:hAnsi="SimSun" w:eastAsia="SimSun" w:cs="SimSun"/>
          <w:sz w:val="24"/>
          <w:szCs w:val="24"/>
        </w:rPr>
        <w:t xml:space="preserve"> </w:t>
      </w:r>
      <w:r>
        <w:rPr>
          <w:rFonts w:ascii="SimSun" w:hAnsi="SimSun" w:eastAsia="SimSun" w:cs="SimSun"/>
          <w:sz w:val="24"/>
          <w:szCs w:val="24"/>
          <w:spacing w:val="-2"/>
        </w:rPr>
        <w:t>炉和沼气锅炉提供。</w:t>
      </w:r>
    </w:p>
    <w:p>
      <w:pPr>
        <w:ind w:left="490"/>
        <w:spacing w:line="218" w:lineRule="auto"/>
        <w:rPr>
          <w:rFonts w:ascii="SimSun" w:hAnsi="SimSun" w:eastAsia="SimSun" w:cs="SimSun"/>
          <w:sz w:val="24"/>
          <w:szCs w:val="24"/>
        </w:rPr>
      </w:pPr>
      <w:r>
        <w:rPr>
          <w:rFonts w:ascii="SimSun" w:hAnsi="SimSun" w:eastAsia="SimSun" w:cs="SimSun"/>
          <w:sz w:val="24"/>
          <w:szCs w:val="24"/>
          <w:spacing w:val="-1"/>
        </w:rPr>
        <w:t>两个厂区分布位置示意见图</w:t>
      </w:r>
      <w:r>
        <w:rPr>
          <w:rFonts w:ascii="Times New Roman" w:hAnsi="Times New Roman" w:eastAsia="Times New Roman" w:cs="Times New Roman"/>
          <w:sz w:val="24"/>
          <w:szCs w:val="24"/>
          <w:spacing w:val="-1"/>
        </w:rPr>
        <w:t>3.1-1</w:t>
      </w:r>
      <w:r>
        <w:rPr>
          <w:rFonts w:ascii="SimSun" w:hAnsi="SimSun" w:eastAsia="SimSun" w:cs="SimSun"/>
          <w:sz w:val="24"/>
          <w:szCs w:val="24"/>
          <w:spacing w:val="-1"/>
        </w:rPr>
        <w:t>。</w:t>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ind w:left="7"/>
        <w:spacing w:before="62" w:line="227" w:lineRule="auto"/>
        <w:rPr>
          <w:rFonts w:ascii="SimSun" w:hAnsi="SimSun" w:eastAsia="SimSun" w:cs="SimSun"/>
          <w:sz w:val="19"/>
          <w:szCs w:val="19"/>
        </w:rPr>
      </w:pPr>
      <w:r>
        <w:pict>
          <v:shape id="_x0000_s260" style="position:absolute;margin-left:109.841pt;margin-top:2.09892pt;mso-position-vertical-relative:text;mso-position-horizontal-relative:text;width:108.35pt;height:13.75pt;z-index:25177088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6"/>
                    </w:rPr>
                    <w:t>咨询有限责任公司</w:t>
                  </w:r>
                  <w:r>
                    <w:rPr>
                      <w:rFonts w:ascii="SimSun" w:hAnsi="SimSun" w:eastAsia="SimSun" w:cs="SimSun"/>
                      <w:sz w:val="19"/>
                      <w:szCs w:val="19"/>
                      <w:spacing w:val="26"/>
                    </w:rPr>
                    <w:t xml:space="preserve">   </w:t>
                  </w:r>
                  <w:r>
                    <w:rPr>
                      <w:rFonts w:ascii="Times New Roman" w:hAnsi="Times New Roman" w:eastAsia="Times New Roman" w:cs="Times New Roman"/>
                      <w:sz w:val="18"/>
                      <w:szCs w:val="18"/>
                      <w:spacing w:val="6"/>
                      <w:position w:val="2"/>
                    </w:rPr>
                    <w:t>47</w:t>
                  </w:r>
                </w:p>
              </w:txbxContent>
            </v:textbox>
          </v:shape>
        </w:pict>
      </w:r>
      <w:r>
        <w:rPr>
          <w:rFonts w:ascii="SimSun" w:hAnsi="SimSun" w:eastAsia="SimSun" w:cs="SimSun"/>
          <w:sz w:val="19"/>
          <w:szCs w:val="19"/>
          <w:spacing w:val="9"/>
        </w:rPr>
        <w:t>锡林郭勒盟中安环境技术</w:t>
      </w:r>
    </w:p>
    <w:p>
      <w:pPr>
        <w:spacing w:line="227" w:lineRule="auto"/>
        <w:sectPr>
          <w:headerReference w:type="default" r:id="rId60"/>
          <w:pgSz w:w="11907" w:h="16840"/>
          <w:pgMar w:top="1567" w:right="1700" w:bottom="400" w:left="1701" w:header="1221" w:footer="0" w:gutter="0"/>
        </w:sectPr>
        <w:rPr>
          <w:rFonts w:ascii="SimSun" w:hAnsi="SimSun" w:eastAsia="SimSun" w:cs="SimSun"/>
          <w:sz w:val="19"/>
          <w:szCs w:val="19"/>
        </w:rPr>
      </w:pPr>
    </w:p>
    <w:p>
      <w:pPr>
        <w:spacing w:before="133" w:line="6015" w:lineRule="exact"/>
        <w:rPr/>
      </w:pPr>
      <w:r>
        <w:pict>
          <v:shape id="_x0000_s262" style="position:absolute;margin-left:85.05pt;margin-top:78.87pt;mso-position-vertical-relative:page;mso-position-horizontal-relative:page;width:425.25pt;height:0.75pt;z-index:251773952;" o:allowincell="f" fillcolor="#000000" filled="true" stroked="false" coordsize="8505,15" coordorigin="0,0" path="m,l8505,0l8505,14l0,14l0,0xe"/>
        </w:pict>
      </w:r>
      <w:r>
        <w:rPr>
          <w:position w:val="-120"/>
        </w:rPr>
        <w:drawing>
          <wp:inline distT="0" distB="0" distL="0" distR="0">
            <wp:extent cx="5396483" cy="3819144"/>
            <wp:effectExtent l="0" t="0" r="0" b="0"/>
            <wp:docPr id="26" name="IM 26"/>
            <wp:cNvGraphicFramePr/>
            <a:graphic>
              <a:graphicData uri="http://schemas.openxmlformats.org/drawingml/2006/picture">
                <pic:pic>
                  <pic:nvPicPr>
                    <pic:cNvPr id="26" name="IM 26"/>
                    <pic:cNvPicPr/>
                  </pic:nvPicPr>
                  <pic:blipFill>
                    <a:blip r:embed="rId61"/>
                    <a:stretch>
                      <a:fillRect/>
                    </a:stretch>
                  </pic:blipFill>
                  <pic:spPr>
                    <a:xfrm rot="0">
                      <a:off x="0" y="0"/>
                      <a:ext cx="5396483" cy="3819144"/>
                    </a:xfrm>
                    <a:prstGeom prst="rect">
                      <a:avLst/>
                    </a:prstGeom>
                  </pic:spPr>
                </pic:pic>
              </a:graphicData>
            </a:graphic>
          </wp:inline>
        </w:drawing>
      </w:r>
    </w:p>
    <w:p>
      <w:pPr>
        <w:ind w:left="1024"/>
        <w:spacing w:before="187" w:line="219" w:lineRule="auto"/>
        <w:rPr>
          <w:rFonts w:ascii="SimSun" w:hAnsi="SimSun" w:eastAsia="SimSun" w:cs="SimSun"/>
          <w:sz w:val="24"/>
          <w:szCs w:val="24"/>
        </w:rPr>
      </w:pPr>
      <w:r>
        <w:rPr>
          <w:rFonts w:ascii="SimSun" w:hAnsi="SimSun" w:eastAsia="SimSun" w:cs="SimSun"/>
          <w:sz w:val="24"/>
          <w:szCs w:val="24"/>
          <w:b/>
          <w:bCs/>
          <w:spacing w:val="-2"/>
        </w:rPr>
        <w:t>图</w:t>
      </w:r>
      <w:r>
        <w:rPr>
          <w:rFonts w:ascii="Times New Roman" w:hAnsi="Times New Roman" w:eastAsia="Times New Roman" w:cs="Times New Roman"/>
          <w:sz w:val="24"/>
          <w:szCs w:val="24"/>
          <w:b/>
          <w:bCs/>
          <w:spacing w:val="-2"/>
        </w:rPr>
        <w:t>3.1-1        </w:t>
      </w:r>
      <w:r>
        <w:rPr>
          <w:rFonts w:ascii="SimSun" w:hAnsi="SimSun" w:eastAsia="SimSun" w:cs="SimSun"/>
          <w:sz w:val="24"/>
          <w:szCs w:val="24"/>
          <w:b/>
          <w:bCs/>
          <w:spacing w:val="-2"/>
        </w:rPr>
        <w:t>内蒙古源浩羊绒制品有限公司两个厂区分布示</w:t>
      </w:r>
      <w:r>
        <w:rPr>
          <w:rFonts w:ascii="SimSun" w:hAnsi="SimSun" w:eastAsia="SimSun" w:cs="SimSun"/>
          <w:sz w:val="24"/>
          <w:szCs w:val="24"/>
          <w:b/>
          <w:bCs/>
          <w:spacing w:val="-3"/>
        </w:rPr>
        <w:t>意图</w:t>
      </w:r>
    </w:p>
    <w:p>
      <w:pPr>
        <w:ind w:left="492"/>
        <w:spacing w:before="181" w:line="219" w:lineRule="auto"/>
        <w:rPr>
          <w:rFonts w:ascii="SimSun" w:hAnsi="SimSun" w:eastAsia="SimSun" w:cs="SimSun"/>
          <w:sz w:val="24"/>
          <w:szCs w:val="24"/>
        </w:rPr>
      </w:pPr>
      <w:r>
        <w:rPr>
          <w:rFonts w:ascii="SimSun" w:hAnsi="SimSun" w:eastAsia="SimSun" w:cs="SimSun"/>
          <w:sz w:val="24"/>
          <w:szCs w:val="24"/>
          <w:b/>
          <w:bCs/>
          <w:spacing w:val="-2"/>
        </w:rPr>
        <w:t>建设周期：</w:t>
      </w:r>
      <w:r>
        <w:rPr>
          <w:rFonts w:ascii="SimSun" w:hAnsi="SimSun" w:eastAsia="SimSun" w:cs="SimSun"/>
          <w:sz w:val="24"/>
          <w:szCs w:val="24"/>
          <w:spacing w:val="-2"/>
        </w:rPr>
        <w:t>施工期为</w:t>
      </w:r>
      <w:r>
        <w:rPr>
          <w:rFonts w:ascii="Times New Roman" w:hAnsi="Times New Roman" w:eastAsia="Times New Roman" w:cs="Times New Roman"/>
          <w:sz w:val="24"/>
          <w:szCs w:val="24"/>
          <w:spacing w:val="-2"/>
        </w:rPr>
        <w:t>24</w:t>
      </w:r>
      <w:r>
        <w:rPr>
          <w:rFonts w:ascii="SimSun" w:hAnsi="SimSun" w:eastAsia="SimSun" w:cs="SimSun"/>
          <w:sz w:val="24"/>
          <w:szCs w:val="24"/>
          <w:spacing w:val="-2"/>
        </w:rPr>
        <w:t>个月。</w:t>
      </w:r>
    </w:p>
    <w:p>
      <w:pPr>
        <w:ind w:left="49" w:right="41" w:firstLine="444"/>
        <w:spacing w:before="183" w:line="359" w:lineRule="auto"/>
        <w:rPr>
          <w:rFonts w:ascii="SimSun" w:hAnsi="SimSun" w:eastAsia="SimSun" w:cs="SimSun"/>
          <w:sz w:val="24"/>
          <w:szCs w:val="24"/>
        </w:rPr>
      </w:pPr>
      <w:r>
        <w:rPr>
          <w:rFonts w:ascii="SimSun" w:hAnsi="SimSun" w:eastAsia="SimSun" w:cs="SimSun"/>
          <w:sz w:val="24"/>
          <w:szCs w:val="24"/>
          <w:b/>
          <w:bCs/>
          <w:spacing w:val="-4"/>
        </w:rPr>
        <w:t>项目投资：</w:t>
      </w:r>
      <w:r>
        <w:rPr>
          <w:rFonts w:ascii="SimSun" w:hAnsi="SimSun" w:eastAsia="SimSun" w:cs="SimSun"/>
          <w:sz w:val="24"/>
          <w:szCs w:val="24"/>
          <w:spacing w:val="-4"/>
        </w:rPr>
        <w:t>总投资为</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4"/>
        </w:rPr>
        <w:t>4000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万元，全部由企业自筹，其中环保投资</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306</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万元，</w:t>
      </w:r>
      <w:r>
        <w:rPr>
          <w:rFonts w:ascii="SimSun" w:hAnsi="SimSun" w:eastAsia="SimSun" w:cs="SimSun"/>
          <w:sz w:val="24"/>
          <w:szCs w:val="24"/>
        </w:rPr>
        <w:t xml:space="preserve"> </w:t>
      </w:r>
      <w:r>
        <w:rPr>
          <w:rFonts w:ascii="SimSun" w:hAnsi="SimSun" w:eastAsia="SimSun" w:cs="SimSun"/>
          <w:sz w:val="24"/>
          <w:szCs w:val="24"/>
          <w:spacing w:val="-6"/>
        </w:rPr>
        <w:t>占总投资的</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6"/>
        </w:rPr>
        <w:t>7.65%</w:t>
      </w:r>
      <w:r>
        <w:rPr>
          <w:rFonts w:ascii="SimSun" w:hAnsi="SimSun" w:eastAsia="SimSun" w:cs="SimSun"/>
          <w:sz w:val="24"/>
          <w:szCs w:val="24"/>
          <w:spacing w:val="-6"/>
        </w:rPr>
        <w:t>。</w:t>
      </w:r>
    </w:p>
    <w:p>
      <w:pPr>
        <w:ind w:left="10" w:firstLine="518"/>
        <w:spacing w:line="359" w:lineRule="auto"/>
        <w:jc w:val="both"/>
        <w:rPr>
          <w:rFonts w:ascii="SimSun" w:hAnsi="SimSun" w:eastAsia="SimSun" w:cs="SimSun"/>
          <w:sz w:val="24"/>
          <w:szCs w:val="24"/>
        </w:rPr>
      </w:pPr>
      <w:r>
        <w:rPr>
          <w:rFonts w:ascii="SimSun" w:hAnsi="SimSun" w:eastAsia="SimSun" w:cs="SimSun"/>
          <w:sz w:val="24"/>
          <w:szCs w:val="24"/>
          <w:b/>
          <w:bCs/>
        </w:rPr>
        <w:t>占地面积：</w:t>
      </w:r>
      <w:r>
        <w:rPr>
          <w:rFonts w:ascii="SimSun" w:hAnsi="SimSun" w:eastAsia="SimSun" w:cs="SimSun"/>
          <w:sz w:val="24"/>
          <w:szCs w:val="24"/>
        </w:rPr>
        <w:t>东厂区占地面积为</w:t>
      </w:r>
      <w:r>
        <w:rPr>
          <w:rFonts w:ascii="SimSun" w:hAnsi="SimSun" w:eastAsia="SimSun" w:cs="SimSun"/>
          <w:sz w:val="24"/>
          <w:szCs w:val="24"/>
          <w:spacing w:val="-29"/>
        </w:rPr>
        <w:t xml:space="preserve"> </w:t>
      </w:r>
      <w:r>
        <w:rPr>
          <w:rFonts w:ascii="Times New Roman" w:hAnsi="Times New Roman" w:eastAsia="Times New Roman" w:cs="Times New Roman"/>
          <w:sz w:val="24"/>
          <w:szCs w:val="24"/>
        </w:rPr>
        <w:t>11703.99m</w:t>
      </w:r>
      <w:r>
        <w:rPr>
          <w:rFonts w:ascii="Times New Roman" w:hAnsi="Times New Roman" w:eastAsia="Times New Roman" w:cs="Times New Roman"/>
          <w:sz w:val="15"/>
          <w:szCs w:val="15"/>
          <w:position w:val="8"/>
        </w:rPr>
        <w:t>2</w:t>
      </w:r>
      <w:r>
        <w:rPr>
          <w:rFonts w:ascii="SimSun" w:hAnsi="SimSun" w:eastAsia="SimSun" w:cs="SimSun"/>
          <w:sz w:val="24"/>
          <w:szCs w:val="24"/>
        </w:rPr>
        <w:t>（利用</w:t>
      </w:r>
      <w:r>
        <w:rPr>
          <w:rFonts w:ascii="SimSun" w:hAnsi="SimSun" w:eastAsia="SimSun" w:cs="SimSun"/>
          <w:sz w:val="24"/>
          <w:szCs w:val="24"/>
          <w:spacing w:val="-1"/>
        </w:rPr>
        <w:t>现有闲置厂区，厂区内设备</w:t>
      </w:r>
      <w:r>
        <w:rPr>
          <w:rFonts w:ascii="SimSun" w:hAnsi="SimSun" w:eastAsia="SimSun" w:cs="SimSun"/>
          <w:sz w:val="24"/>
          <w:szCs w:val="24"/>
        </w:rPr>
        <w:t xml:space="preserve"> </w:t>
      </w:r>
      <w:r>
        <w:rPr>
          <w:rFonts w:ascii="SimSun" w:hAnsi="SimSun" w:eastAsia="SimSun" w:cs="SimSun"/>
          <w:sz w:val="24"/>
          <w:szCs w:val="24"/>
        </w:rPr>
        <w:t>均已拆除</w:t>
      </w:r>
      <w:r>
        <w:rPr>
          <w:rFonts w:ascii="SimSun" w:hAnsi="SimSun" w:eastAsia="SimSun" w:cs="SimSun"/>
          <w:sz w:val="24"/>
          <w:szCs w:val="24"/>
          <w:spacing w:val="11"/>
        </w:rPr>
        <w:t>），</w:t>
      </w:r>
      <w:r>
        <w:rPr>
          <w:rFonts w:ascii="SimSun" w:hAnsi="SimSun" w:eastAsia="SimSun" w:cs="SimSun"/>
          <w:sz w:val="24"/>
          <w:szCs w:val="24"/>
        </w:rPr>
        <w:t>西厂区占地面积为</w:t>
      </w:r>
      <w:r>
        <w:rPr>
          <w:rFonts w:ascii="SimSun" w:hAnsi="SimSun" w:eastAsia="SimSun" w:cs="SimSun"/>
          <w:sz w:val="24"/>
          <w:szCs w:val="24"/>
          <w:spacing w:val="-52"/>
        </w:rPr>
        <w:t xml:space="preserve"> </w:t>
      </w:r>
      <w:r>
        <w:rPr>
          <w:rFonts w:ascii="Times New Roman" w:hAnsi="Times New Roman" w:eastAsia="Times New Roman" w:cs="Times New Roman"/>
          <w:sz w:val="24"/>
          <w:szCs w:val="24"/>
        </w:rPr>
        <w:t>20729.85</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8"/>
        </w:rPr>
        <w:t>2</w:t>
      </w:r>
      <w:r>
        <w:rPr>
          <w:rFonts w:ascii="SimSun" w:hAnsi="SimSun" w:eastAsia="SimSun" w:cs="SimSun"/>
          <w:sz w:val="24"/>
          <w:szCs w:val="24"/>
          <w:spacing w:val="-1"/>
        </w:rPr>
        <w:t>（利用现有闲置厂区，</w:t>
      </w:r>
      <w:r>
        <w:rPr>
          <w:rFonts w:ascii="SimSun" w:hAnsi="SimSun" w:eastAsia="SimSun" w:cs="SimSun"/>
          <w:sz w:val="24"/>
          <w:szCs w:val="24"/>
          <w:spacing w:val="-62"/>
        </w:rPr>
        <w:t xml:space="preserve"> </w:t>
      </w:r>
      <w:r>
        <w:rPr>
          <w:rFonts w:ascii="SimSun" w:hAnsi="SimSun" w:eastAsia="SimSun" w:cs="SimSun"/>
          <w:sz w:val="24"/>
          <w:szCs w:val="24"/>
          <w:spacing w:val="-1"/>
        </w:rPr>
        <w:t>目前厂区剩余</w:t>
      </w:r>
      <w:r>
        <w:rPr>
          <w:rFonts w:ascii="SimSun" w:hAnsi="SimSun" w:eastAsia="SimSun" w:cs="SimSun"/>
          <w:sz w:val="24"/>
          <w:szCs w:val="24"/>
        </w:rPr>
        <w:t xml:space="preserve"> </w:t>
      </w:r>
      <w:r>
        <w:rPr>
          <w:rFonts w:ascii="SimSun" w:hAnsi="SimSun" w:eastAsia="SimSun" w:cs="SimSun"/>
          <w:sz w:val="24"/>
          <w:szCs w:val="24"/>
          <w:spacing w:val="2"/>
        </w:rPr>
        <w:t>原宏业一条洗毛线未拆除，待本项目批复后，洗毛线将拆除，更换新设备</w:t>
      </w:r>
      <w:r>
        <w:rPr>
          <w:rFonts w:ascii="SimSun" w:hAnsi="SimSun" w:eastAsia="SimSun" w:cs="SimSun"/>
          <w:sz w:val="24"/>
          <w:szCs w:val="24"/>
          <w:spacing w:val="14"/>
        </w:rPr>
        <w:t>），</w:t>
      </w:r>
      <w:r>
        <w:rPr>
          <w:rFonts w:ascii="SimSun" w:hAnsi="SimSun" w:eastAsia="SimSun" w:cs="SimSun"/>
          <w:sz w:val="24"/>
          <w:szCs w:val="24"/>
          <w:spacing w:val="2"/>
        </w:rPr>
        <w:t>本</w:t>
      </w:r>
      <w:r>
        <w:rPr>
          <w:rFonts w:ascii="SimSun" w:hAnsi="SimSun" w:eastAsia="SimSun" w:cs="SimSun"/>
          <w:sz w:val="24"/>
          <w:szCs w:val="24"/>
        </w:rPr>
        <w:t xml:space="preserve"> </w:t>
      </w:r>
      <w:r>
        <w:rPr>
          <w:rFonts w:ascii="SimSun" w:hAnsi="SimSun" w:eastAsia="SimSun" w:cs="SimSun"/>
          <w:sz w:val="24"/>
          <w:szCs w:val="24"/>
          <w:spacing w:val="-2"/>
        </w:rPr>
        <w:t>项目总占地面积为</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2"/>
        </w:rPr>
        <w:t>32433.84m</w:t>
      </w:r>
      <w:r>
        <w:rPr>
          <w:rFonts w:ascii="Times New Roman" w:hAnsi="Times New Roman" w:eastAsia="Times New Roman" w:cs="Times New Roman"/>
          <w:sz w:val="15"/>
          <w:szCs w:val="15"/>
          <w:spacing w:val="-2"/>
          <w:position w:val="7"/>
        </w:rPr>
        <w:t>2</w:t>
      </w:r>
      <w:r>
        <w:rPr>
          <w:rFonts w:ascii="SimSun" w:hAnsi="SimSun" w:eastAsia="SimSun" w:cs="SimSun"/>
          <w:sz w:val="24"/>
          <w:szCs w:val="24"/>
          <w:spacing w:val="-2"/>
        </w:rPr>
        <w:t>。</w:t>
      </w:r>
    </w:p>
    <w:p>
      <w:pPr>
        <w:ind w:left="12" w:right="2" w:firstLine="482"/>
        <w:spacing w:line="359" w:lineRule="auto"/>
        <w:rPr>
          <w:rFonts w:ascii="SimSun" w:hAnsi="SimSun" w:eastAsia="SimSun" w:cs="SimSun"/>
          <w:sz w:val="24"/>
          <w:szCs w:val="24"/>
        </w:rPr>
      </w:pPr>
      <w:r>
        <w:rPr>
          <w:rFonts w:ascii="SimSun" w:hAnsi="SimSun" w:eastAsia="SimSun" w:cs="SimSun"/>
          <w:sz w:val="24"/>
          <w:szCs w:val="24"/>
          <w:b/>
          <w:bCs/>
          <w:spacing w:val="-2"/>
        </w:rPr>
        <w:t>劳动定员：</w:t>
      </w:r>
      <w:r>
        <w:rPr>
          <w:rFonts w:ascii="SimSun" w:hAnsi="SimSun" w:eastAsia="SimSun" w:cs="SimSun"/>
          <w:sz w:val="24"/>
          <w:szCs w:val="24"/>
          <w:spacing w:val="-2"/>
        </w:rPr>
        <w:t>本项目劳动定员</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100 </w:t>
      </w:r>
      <w:r>
        <w:rPr>
          <w:rFonts w:ascii="SimSun" w:hAnsi="SimSun" w:eastAsia="SimSun" w:cs="SimSun"/>
          <w:sz w:val="24"/>
          <w:szCs w:val="24"/>
          <w:spacing w:val="-2"/>
        </w:rPr>
        <w:t>人，其中生产</w:t>
      </w:r>
      <w:r>
        <w:rPr>
          <w:rFonts w:ascii="SimSun" w:hAnsi="SimSun" w:eastAsia="SimSun" w:cs="SimSun"/>
          <w:sz w:val="24"/>
          <w:szCs w:val="24"/>
          <w:spacing w:val="-3"/>
        </w:rPr>
        <w:t>车间定员</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80 </w:t>
      </w:r>
      <w:r>
        <w:rPr>
          <w:rFonts w:ascii="SimSun" w:hAnsi="SimSun" w:eastAsia="SimSun" w:cs="SimSun"/>
          <w:sz w:val="24"/>
          <w:szCs w:val="24"/>
          <w:spacing w:val="-3"/>
        </w:rPr>
        <w:t>人，技术、行政管</w:t>
      </w:r>
      <w:r>
        <w:rPr>
          <w:rFonts w:ascii="SimSun" w:hAnsi="SimSun" w:eastAsia="SimSun" w:cs="SimSun"/>
          <w:sz w:val="24"/>
          <w:szCs w:val="24"/>
        </w:rPr>
        <w:t xml:space="preserve"> </w:t>
      </w:r>
      <w:r>
        <w:rPr>
          <w:rFonts w:ascii="SimSun" w:hAnsi="SimSun" w:eastAsia="SimSun" w:cs="SimSun"/>
          <w:sz w:val="24"/>
          <w:szCs w:val="24"/>
          <w:spacing w:val="4"/>
        </w:rPr>
        <w:t>理及辅助人员</w:t>
      </w:r>
      <w:r>
        <w:rPr>
          <w:rFonts w:ascii="Times New Roman" w:hAnsi="Times New Roman" w:eastAsia="Times New Roman" w:cs="Times New Roman"/>
          <w:sz w:val="24"/>
          <w:szCs w:val="24"/>
          <w:spacing w:val="4"/>
        </w:rPr>
        <w:t>20 </w:t>
      </w:r>
      <w:r>
        <w:rPr>
          <w:rFonts w:ascii="SimSun" w:hAnsi="SimSun" w:eastAsia="SimSun" w:cs="SimSun"/>
          <w:sz w:val="24"/>
          <w:szCs w:val="24"/>
          <w:spacing w:val="4"/>
        </w:rPr>
        <w:t>人。</w:t>
      </w:r>
    </w:p>
    <w:p>
      <w:pPr>
        <w:ind w:left="10" w:firstLine="481"/>
        <w:spacing w:before="2" w:line="360" w:lineRule="auto"/>
        <w:jc w:val="both"/>
        <w:rPr>
          <w:rFonts w:ascii="SimSun" w:hAnsi="SimSun" w:eastAsia="SimSun" w:cs="SimSun"/>
          <w:sz w:val="24"/>
          <w:szCs w:val="24"/>
        </w:rPr>
      </w:pPr>
      <w:r>
        <w:rPr>
          <w:rFonts w:ascii="SimSun" w:hAnsi="SimSun" w:eastAsia="SimSun" w:cs="SimSun"/>
          <w:sz w:val="24"/>
          <w:szCs w:val="24"/>
          <w:b/>
          <w:bCs/>
          <w:spacing w:val="2"/>
        </w:rPr>
        <w:t>工作制度：</w:t>
      </w:r>
      <w:r>
        <w:rPr>
          <w:rFonts w:ascii="SimSun" w:hAnsi="SimSun" w:eastAsia="SimSun" w:cs="SimSun"/>
          <w:sz w:val="24"/>
          <w:szCs w:val="24"/>
          <w:spacing w:val="2"/>
        </w:rPr>
        <w:t>洗毛生产线、梳绒生产线及厌氧发酵装置实行连续工作制，主要</w:t>
      </w:r>
      <w:r>
        <w:rPr>
          <w:rFonts w:ascii="SimSun" w:hAnsi="SimSun" w:eastAsia="SimSun" w:cs="SimSun"/>
          <w:sz w:val="24"/>
          <w:szCs w:val="24"/>
          <w:spacing w:val="11"/>
        </w:rPr>
        <w:t xml:space="preserve"> </w:t>
      </w:r>
      <w:r>
        <w:rPr>
          <w:rFonts w:ascii="SimSun" w:hAnsi="SimSun" w:eastAsia="SimSun" w:cs="SimSun"/>
          <w:sz w:val="24"/>
          <w:szCs w:val="24"/>
          <w:spacing w:val="2"/>
        </w:rPr>
        <w:t>生产工段均为三班工作制度，其余按照工作性质实行</w:t>
      </w:r>
      <w:r>
        <w:rPr>
          <w:rFonts w:ascii="SimSun" w:hAnsi="SimSun" w:eastAsia="SimSun" w:cs="SimSun"/>
          <w:sz w:val="24"/>
          <w:szCs w:val="24"/>
          <w:spacing w:val="1"/>
        </w:rPr>
        <w:t>白班制，每班实行</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8</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1"/>
        </w:rPr>
        <w:t>小时工</w:t>
      </w:r>
      <w:r>
        <w:rPr>
          <w:rFonts w:ascii="SimSun" w:hAnsi="SimSun" w:eastAsia="SimSun" w:cs="SimSun"/>
          <w:sz w:val="24"/>
          <w:szCs w:val="24"/>
        </w:rPr>
        <w:t xml:space="preserve"> </w:t>
      </w:r>
      <w:r>
        <w:rPr>
          <w:rFonts w:ascii="SimSun" w:hAnsi="SimSun" w:eastAsia="SimSun" w:cs="SimSun"/>
          <w:sz w:val="24"/>
          <w:szCs w:val="24"/>
          <w:spacing w:val="2"/>
        </w:rPr>
        <w:t>作制，全厂年有效工作日</w:t>
      </w:r>
      <w:r>
        <w:rPr>
          <w:rFonts w:ascii="Times New Roman" w:hAnsi="Times New Roman" w:eastAsia="Times New Roman" w:cs="Times New Roman"/>
          <w:sz w:val="24"/>
          <w:szCs w:val="24"/>
          <w:spacing w:val="2"/>
        </w:rPr>
        <w:t>300 </w:t>
      </w:r>
      <w:r>
        <w:rPr>
          <w:rFonts w:ascii="SimSun" w:hAnsi="SimSun" w:eastAsia="SimSun" w:cs="SimSun"/>
          <w:sz w:val="24"/>
          <w:szCs w:val="24"/>
          <w:spacing w:val="2"/>
        </w:rPr>
        <w:t>天。</w:t>
      </w:r>
    </w:p>
    <w:p>
      <w:pPr>
        <w:ind w:left="12"/>
        <w:spacing w:before="122" w:line="222" w:lineRule="auto"/>
        <w:outlineLvl w:val="2"/>
        <w:rPr>
          <w:rFonts w:ascii="SimHei" w:hAnsi="SimHei" w:eastAsia="SimHei" w:cs="SimHei"/>
          <w:sz w:val="28"/>
          <w:szCs w:val="28"/>
        </w:rPr>
      </w:pPr>
      <w:bookmarkStart w:name="bookmark46" w:id="55"/>
      <w:bookmarkEnd w:id="55"/>
      <w:r>
        <w:rPr>
          <w:rFonts w:ascii="Times New Roman" w:hAnsi="Times New Roman" w:eastAsia="Times New Roman" w:cs="Times New Roman"/>
          <w:sz w:val="28"/>
          <w:szCs w:val="28"/>
          <w:spacing w:val="-2"/>
        </w:rPr>
        <w:t>3.1.2 </w:t>
      </w:r>
      <w:r>
        <w:rPr>
          <w:rFonts w:ascii="SimHei" w:hAnsi="SimHei" w:eastAsia="SimHei" w:cs="SimHei"/>
          <w:sz w:val="28"/>
          <w:szCs w:val="28"/>
          <w:spacing w:val="-2"/>
        </w:rPr>
        <w:t>建设内容</w:t>
      </w:r>
    </w:p>
    <w:p>
      <w:pPr>
        <w:pStyle w:val="BodyText"/>
        <w:spacing w:line="242" w:lineRule="auto"/>
        <w:rPr/>
      </w:pPr>
      <w:r/>
    </w:p>
    <w:p>
      <w:pPr>
        <w:ind w:right="2"/>
        <w:spacing w:before="78" w:line="219" w:lineRule="auto"/>
        <w:jc w:val="right"/>
        <w:rPr>
          <w:rFonts w:ascii="SimSun" w:hAnsi="SimSun" w:eastAsia="SimSun" w:cs="SimSun"/>
          <w:sz w:val="24"/>
          <w:szCs w:val="24"/>
        </w:rPr>
      </w:pPr>
      <w:r>
        <w:rPr>
          <w:rFonts w:ascii="SimSun" w:hAnsi="SimSun" w:eastAsia="SimSun" w:cs="SimSun"/>
          <w:sz w:val="24"/>
          <w:szCs w:val="24"/>
          <w:spacing w:val="-5"/>
        </w:rPr>
        <w:t>本项目共建设洗毛生产线</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5"/>
        </w:rPr>
        <w:t>2 </w:t>
      </w:r>
      <w:r>
        <w:rPr>
          <w:rFonts w:ascii="SimSun" w:hAnsi="SimSun" w:eastAsia="SimSun" w:cs="SimSun"/>
          <w:sz w:val="24"/>
          <w:szCs w:val="24"/>
          <w:spacing w:val="-5"/>
        </w:rPr>
        <w:t>条，年处理原毛</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3</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万吨，年产洗净毛</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万吨（每</w:t>
      </w:r>
    </w:p>
    <w:p>
      <w:pPr>
        <w:pStyle w:val="BodyText"/>
        <w:spacing w:line="252" w:lineRule="auto"/>
        <w:rPr/>
      </w:pPr>
      <w:r/>
    </w:p>
    <w:p>
      <w:pPr>
        <w:ind w:right="2"/>
        <w:spacing w:before="62" w:line="227" w:lineRule="auto"/>
        <w:jc w:val="right"/>
        <w:rPr>
          <w:rFonts w:ascii="SimSun" w:hAnsi="SimSun" w:eastAsia="SimSun" w:cs="SimSun"/>
          <w:sz w:val="19"/>
          <w:szCs w:val="19"/>
        </w:rPr>
      </w:pPr>
      <w:r>
        <w:pict>
          <v:shape id="_x0000_s264" style="position:absolute;margin-left:207.253pt;margin-top:2.0914pt;mso-position-vertical-relative:text;mso-position-horizontal-relative:text;width:59pt;height:13.75pt;z-index:251772928;"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4"/>
                      <w:position w:val="2"/>
                    </w:rPr>
                    <w:t>48</w:t>
                  </w:r>
                  <w:r>
                    <w:rPr>
                      <w:rFonts w:ascii="Times New Roman" w:hAnsi="Times New Roman" w:eastAsia="Times New Roman" w:cs="Times New Roman"/>
                      <w:sz w:val="18"/>
                      <w:szCs w:val="18"/>
                      <w:spacing w:val="1"/>
                      <w:position w:val="2"/>
                    </w:rPr>
                    <w:t xml:space="preserve">        </w:t>
                  </w:r>
                  <w:r>
                    <w:rPr>
                      <w:rFonts w:ascii="SimSun" w:hAnsi="SimSun" w:eastAsia="SimSun" w:cs="SimSun"/>
                      <w:sz w:val="19"/>
                      <w:szCs w:val="19"/>
                      <w:spacing w:val="4"/>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12"/>
          <w:pgSz w:w="11907" w:h="16840"/>
          <w:pgMar w:top="1567" w:right="1699" w:bottom="400" w:left="1701" w:header="1221" w:footer="0" w:gutter="0"/>
        </w:sectPr>
        <w:rPr>
          <w:rFonts w:ascii="SimSun" w:hAnsi="SimSun" w:eastAsia="SimSun" w:cs="SimSun"/>
          <w:sz w:val="19"/>
          <w:szCs w:val="19"/>
        </w:rPr>
      </w:pPr>
    </w:p>
    <w:p>
      <w:pPr>
        <w:ind w:left="9" w:right="1" w:firstLine="1"/>
        <w:spacing w:before="188" w:line="358" w:lineRule="auto"/>
        <w:rPr>
          <w:rFonts w:ascii="SimSun" w:hAnsi="SimSun" w:eastAsia="SimSun" w:cs="SimSun"/>
          <w:sz w:val="24"/>
          <w:szCs w:val="24"/>
        </w:rPr>
      </w:pPr>
      <w:r>
        <w:pict>
          <v:shape id="_x0000_s266" style="position:absolute;margin-left:85.05pt;margin-top:79.11pt;mso-position-vertical-relative:page;mso-position-horizontal-relative:page;width:425.25pt;height:0.75pt;z-index:251776000;" o:allowincell="f" fillcolor="#000000" filled="true" stroked="false" coordsize="8505,15" coordorigin="0,0" path="m,l8505,0l8505,14l0,14l0,0xe"/>
        </w:pict>
      </w:r>
      <w:r>
        <w:rPr>
          <w:rFonts w:ascii="SimSun" w:hAnsi="SimSun" w:eastAsia="SimSun" w:cs="SimSun"/>
          <w:sz w:val="24"/>
          <w:szCs w:val="24"/>
          <w:spacing w:val="-1"/>
        </w:rPr>
        <w:t>条生产线年产洗净毛</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0.9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万吨</w:t>
      </w:r>
      <w:r>
        <w:rPr>
          <w:rFonts w:ascii="SimSun" w:hAnsi="SimSun" w:eastAsia="SimSun" w:cs="SimSun"/>
          <w:sz w:val="24"/>
          <w:szCs w:val="24"/>
          <w:spacing w:val="-15"/>
        </w:rPr>
        <w:t>）；</w:t>
      </w:r>
      <w:r>
        <w:rPr>
          <w:rFonts w:ascii="SimSun" w:hAnsi="SimSun" w:eastAsia="SimSun" w:cs="SimSun"/>
          <w:sz w:val="24"/>
          <w:szCs w:val="24"/>
          <w:spacing w:val="-1"/>
        </w:rPr>
        <w:t>梳绒生产线</w:t>
      </w:r>
      <w:r>
        <w:rPr>
          <w:rFonts w:ascii="Times New Roman" w:hAnsi="Times New Roman" w:eastAsia="Times New Roman" w:cs="Times New Roman"/>
          <w:sz w:val="24"/>
          <w:szCs w:val="24"/>
          <w:spacing w:val="-1"/>
        </w:rPr>
        <w:t>5</w:t>
      </w:r>
      <w:r>
        <w:rPr>
          <w:rFonts w:ascii="Times New Roman" w:hAnsi="Times New Roman" w:eastAsia="Times New Roman" w:cs="Times New Roman"/>
          <w:sz w:val="24"/>
          <w:szCs w:val="24"/>
          <w:spacing w:val="-2"/>
        </w:rPr>
        <w:t xml:space="preserve"> </w:t>
      </w:r>
      <w:r>
        <w:rPr>
          <w:rFonts w:ascii="SimSun" w:hAnsi="SimSun" w:eastAsia="SimSun" w:cs="SimSun"/>
          <w:sz w:val="24"/>
          <w:szCs w:val="24"/>
          <w:spacing w:val="-2"/>
        </w:rPr>
        <w:t>条，年产无毛绒</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300</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2"/>
        </w:rPr>
        <w:t>吨；配套建设</w:t>
      </w:r>
      <w:r>
        <w:rPr>
          <w:rFonts w:ascii="SimSun" w:hAnsi="SimSun" w:eastAsia="SimSun" w:cs="SimSun"/>
          <w:sz w:val="24"/>
          <w:szCs w:val="24"/>
        </w:rPr>
        <w:t xml:space="preserve"> </w:t>
      </w:r>
      <w:r>
        <w:rPr>
          <w:rFonts w:ascii="SimSun" w:hAnsi="SimSun" w:eastAsia="SimSun" w:cs="SimSun"/>
          <w:sz w:val="24"/>
          <w:szCs w:val="24"/>
          <w:spacing w:val="-2"/>
        </w:rPr>
        <w:t>相关辅助工程。</w:t>
      </w:r>
    </w:p>
    <w:p>
      <w:pPr>
        <w:ind w:left="9" w:right="1" w:firstLine="483"/>
        <w:spacing w:before="1" w:line="359" w:lineRule="auto"/>
        <w:jc w:val="both"/>
        <w:rPr>
          <w:rFonts w:ascii="SimSun" w:hAnsi="SimSun" w:eastAsia="SimSun" w:cs="SimSun"/>
          <w:sz w:val="24"/>
          <w:szCs w:val="24"/>
        </w:rPr>
      </w:pPr>
      <w:r>
        <w:rPr>
          <w:rFonts w:ascii="SimSun" w:hAnsi="SimSun" w:eastAsia="SimSun" w:cs="SimSun"/>
          <w:sz w:val="24"/>
          <w:szCs w:val="24"/>
          <w:spacing w:val="1"/>
        </w:rPr>
        <w:t>项目包括两个厂区，分别为西厂区、东厂区。其中西厂区建设</w:t>
      </w:r>
      <w:r>
        <w:rPr>
          <w:rFonts w:ascii="SimSun" w:hAnsi="SimSun" w:eastAsia="SimSun" w:cs="SimSun"/>
          <w:sz w:val="24"/>
          <w:szCs w:val="24"/>
          <w:spacing w:val="-21"/>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1"/>
        </w:rPr>
        <w:t>条洗毛生产</w:t>
      </w:r>
      <w:r>
        <w:rPr>
          <w:rFonts w:ascii="SimSun" w:hAnsi="SimSun" w:eastAsia="SimSun" w:cs="SimSun"/>
          <w:sz w:val="24"/>
          <w:szCs w:val="24"/>
        </w:rPr>
        <w:t xml:space="preserve"> </w:t>
      </w:r>
      <w:r>
        <w:rPr>
          <w:rFonts w:ascii="SimSun" w:hAnsi="SimSun" w:eastAsia="SimSun" w:cs="SimSun"/>
          <w:sz w:val="24"/>
          <w:szCs w:val="24"/>
          <w:spacing w:val="-3"/>
        </w:rPr>
        <w:t>线（年产洗净毛</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0.9</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万吨）、梳绒生产线</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5 </w:t>
      </w:r>
      <w:r>
        <w:rPr>
          <w:rFonts w:ascii="SimSun" w:hAnsi="SimSun" w:eastAsia="SimSun" w:cs="SimSun"/>
          <w:sz w:val="24"/>
          <w:szCs w:val="24"/>
          <w:spacing w:val="-3"/>
        </w:rPr>
        <w:t>条（年产无毛绒</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300</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3"/>
        </w:rPr>
        <w:t>吨）、</w:t>
      </w:r>
      <w:r>
        <w:rPr>
          <w:rFonts w:ascii="SimSun" w:hAnsi="SimSun" w:eastAsia="SimSun" w:cs="SimSun"/>
          <w:sz w:val="24"/>
          <w:szCs w:val="24"/>
          <w:spacing w:val="-4"/>
        </w:rPr>
        <w:t>配套建设</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rPr>
        <w:t xml:space="preserve"> </w:t>
      </w:r>
      <w:r>
        <w:rPr>
          <w:rFonts w:ascii="SimSun" w:hAnsi="SimSun" w:eastAsia="SimSun" w:cs="SimSun"/>
          <w:sz w:val="24"/>
          <w:szCs w:val="24"/>
        </w:rPr>
        <w:t>套厌氧发酵装置对洗毛车间等产生的废水进行资源化利用，建设</w:t>
      </w:r>
      <w:r>
        <w:rPr>
          <w:rFonts w:ascii="SimSun" w:hAnsi="SimSun" w:eastAsia="SimSun" w:cs="SimSun"/>
          <w:sz w:val="24"/>
          <w:szCs w:val="24"/>
          <w:spacing w:val="-29"/>
        </w:rPr>
        <w:t xml:space="preserve"> </w:t>
      </w:r>
      <w:r>
        <w:rPr>
          <w:rFonts w:ascii="Times New Roman" w:hAnsi="Times New Roman" w:eastAsia="Times New Roman" w:cs="Times New Roman"/>
          <w:sz w:val="24"/>
          <w:szCs w:val="24"/>
        </w:rPr>
        <w:t>1</w:t>
      </w:r>
      <w:r>
        <w:rPr>
          <w:rFonts w:ascii="Times New Roman" w:hAnsi="Times New Roman" w:eastAsia="Times New Roman" w:cs="Times New Roman"/>
          <w:sz w:val="24"/>
          <w:szCs w:val="24"/>
          <w:spacing w:val="30"/>
          <w:w w:val="101"/>
        </w:rPr>
        <w:t xml:space="preserve"> </w:t>
      </w:r>
      <w:r>
        <w:rPr>
          <w:rFonts w:ascii="SimSun" w:hAnsi="SimSun" w:eastAsia="SimSun" w:cs="SimSun"/>
          <w:sz w:val="24"/>
          <w:szCs w:val="24"/>
        </w:rPr>
        <w:t>台</w:t>
      </w:r>
      <w:r>
        <w:rPr>
          <w:rFonts w:ascii="SimSun" w:hAnsi="SimSun" w:eastAsia="SimSun" w:cs="SimSun"/>
          <w:sz w:val="24"/>
          <w:szCs w:val="24"/>
          <w:spacing w:val="-54"/>
        </w:rPr>
        <w:t xml:space="preserve"> </w:t>
      </w:r>
      <w:r>
        <w:rPr>
          <w:rFonts w:ascii="Times New Roman" w:hAnsi="Times New Roman" w:eastAsia="Times New Roman" w:cs="Times New Roman"/>
          <w:sz w:val="24"/>
          <w:szCs w:val="24"/>
        </w:rPr>
        <w:t>4t</w:t>
      </w:r>
      <w:r>
        <w:rPr>
          <w:rFonts w:ascii="Times New Roman" w:hAnsi="Times New Roman" w:eastAsia="Times New Roman" w:cs="Times New Roman"/>
          <w:sz w:val="24"/>
          <w:szCs w:val="24"/>
          <w:spacing w:val="-1"/>
        </w:rPr>
        <w:t>/h</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1"/>
        </w:rPr>
        <w:t>沼气蒸</w:t>
      </w:r>
      <w:r>
        <w:rPr>
          <w:rFonts w:ascii="SimSun" w:hAnsi="SimSun" w:eastAsia="SimSun" w:cs="SimSun"/>
          <w:sz w:val="24"/>
          <w:szCs w:val="24"/>
        </w:rPr>
        <w:t xml:space="preserve"> </w:t>
      </w:r>
      <w:r>
        <w:rPr>
          <w:rFonts w:ascii="SimSun" w:hAnsi="SimSun" w:eastAsia="SimSun" w:cs="SimSun"/>
          <w:sz w:val="24"/>
          <w:szCs w:val="24"/>
          <w:spacing w:val="-2"/>
        </w:rPr>
        <w:t>汽锅炉、</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台</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6t/h </w:t>
      </w:r>
      <w:r>
        <w:rPr>
          <w:rFonts w:ascii="SimSun" w:hAnsi="SimSun" w:eastAsia="SimSun" w:cs="SimSun"/>
          <w:sz w:val="24"/>
          <w:szCs w:val="24"/>
          <w:spacing w:val="-2"/>
        </w:rPr>
        <w:t>生物质蒸汽锅炉；东厂区建设</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条洗毛生产线（年产洗</w:t>
      </w:r>
      <w:r>
        <w:rPr>
          <w:rFonts w:ascii="SimSun" w:hAnsi="SimSun" w:eastAsia="SimSun" w:cs="SimSun"/>
          <w:sz w:val="24"/>
          <w:szCs w:val="24"/>
          <w:spacing w:val="-3"/>
        </w:rPr>
        <w:t>净毛</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0.9</w:t>
      </w:r>
      <w:r>
        <w:rPr>
          <w:rFonts w:ascii="Times New Roman" w:hAnsi="Times New Roman" w:eastAsia="Times New Roman" w:cs="Times New Roman"/>
          <w:sz w:val="24"/>
          <w:szCs w:val="24"/>
        </w:rPr>
        <w:t xml:space="preserve"> </w:t>
      </w:r>
      <w:r>
        <w:rPr>
          <w:rFonts w:ascii="SimSun" w:hAnsi="SimSun" w:eastAsia="SimSun" w:cs="SimSun"/>
          <w:sz w:val="24"/>
          <w:szCs w:val="24"/>
          <w:spacing w:val="-2"/>
        </w:rPr>
        <w:t>万吨）及配套库房。</w:t>
      </w:r>
    </w:p>
    <w:p>
      <w:pPr>
        <w:ind w:left="490"/>
        <w:spacing w:line="218" w:lineRule="auto"/>
        <w:rPr>
          <w:rFonts w:ascii="SimSun" w:hAnsi="SimSun" w:eastAsia="SimSun" w:cs="SimSun"/>
          <w:sz w:val="24"/>
          <w:szCs w:val="24"/>
        </w:rPr>
      </w:pPr>
      <w:r>
        <w:rPr>
          <w:rFonts w:ascii="SimSun" w:hAnsi="SimSun" w:eastAsia="SimSun" w:cs="SimSun"/>
          <w:sz w:val="24"/>
          <w:szCs w:val="24"/>
          <w:spacing w:val="-2"/>
        </w:rPr>
        <w:t>本项目主要具体建设内容见表</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2"/>
        </w:rPr>
        <w:t>3.1-2</w:t>
      </w:r>
      <w:r>
        <w:rPr>
          <w:rFonts w:ascii="SimSun" w:hAnsi="SimSun" w:eastAsia="SimSun" w:cs="SimSun"/>
          <w:sz w:val="24"/>
          <w:szCs w:val="24"/>
          <w:spacing w:val="-2"/>
        </w:rPr>
        <w:t>。</w:t>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ind w:left="7"/>
        <w:spacing w:before="61" w:line="227" w:lineRule="auto"/>
        <w:rPr>
          <w:rFonts w:ascii="SimSun" w:hAnsi="SimSun" w:eastAsia="SimSun" w:cs="SimSun"/>
          <w:sz w:val="19"/>
          <w:szCs w:val="19"/>
        </w:rPr>
      </w:pPr>
      <w:r>
        <w:pict>
          <v:shape id="_x0000_s268" style="position:absolute;margin-left:159.33pt;margin-top:2.09971pt;mso-position-vertical-relative:text;mso-position-horizontal-relative:text;width:58.85pt;height:13.75pt;z-index:25177497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4"/>
                    </w:rPr>
                    <w:t>任公司</w:t>
                  </w:r>
                  <w:r>
                    <w:rPr>
                      <w:rFonts w:ascii="SimSun" w:hAnsi="SimSun" w:eastAsia="SimSun" w:cs="SimSun"/>
                      <w:sz w:val="19"/>
                      <w:szCs w:val="19"/>
                      <w:spacing w:val="26"/>
                    </w:rPr>
                    <w:t xml:space="preserve">   </w:t>
                  </w:r>
                  <w:r>
                    <w:rPr>
                      <w:rFonts w:ascii="Times New Roman" w:hAnsi="Times New Roman" w:eastAsia="Times New Roman" w:cs="Times New Roman"/>
                      <w:sz w:val="18"/>
                      <w:szCs w:val="18"/>
                      <w:spacing w:val="4"/>
                      <w:position w:val="2"/>
                    </w:rPr>
                    <w:t>49</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2"/>
          <w:pgSz w:w="11907" w:h="16840"/>
          <w:pgMar w:top="1567" w:right="1700" w:bottom="400" w:left="1701" w:header="1221" w:footer="0" w:gutter="0"/>
        </w:sectPr>
        <w:rPr>
          <w:rFonts w:ascii="SimSun" w:hAnsi="SimSun" w:eastAsia="SimSun" w:cs="SimSun"/>
          <w:sz w:val="19"/>
          <w:szCs w:val="19"/>
        </w:rPr>
      </w:pPr>
    </w:p>
    <w:p>
      <w:pPr>
        <w:ind w:left="6149"/>
        <w:spacing w:before="221" w:line="220" w:lineRule="auto"/>
        <w:rPr>
          <w:rFonts w:ascii="SimSun" w:hAnsi="SimSun" w:eastAsia="SimSun" w:cs="SimSun"/>
          <w:sz w:val="24"/>
          <w:szCs w:val="24"/>
        </w:rPr>
      </w:pPr>
      <w:r>
        <w:pict>
          <v:shape id="_x0000_s272" style="position:absolute;margin-left:56.7pt;margin-top:78.87pt;mso-position-vertical-relative:page;mso-position-horizontal-relative:page;width:728.6pt;height:0.75pt;z-index:251777024;" o:allowincell="f" fillcolor="#000000" filled="true" stroked="false" coordsize="14571,15" coordorigin="0,0" path="m,l14571,0l14571,14l0,14l0,0xe"/>
        </w:pict>
      </w:r>
      <w:r>
        <w:rPr>
          <w:rFonts w:ascii="SimSun" w:hAnsi="SimSun" w:eastAsia="SimSun" w:cs="SimSun"/>
          <w:sz w:val="24"/>
          <w:szCs w:val="24"/>
          <w:b/>
          <w:bCs/>
          <w:spacing w:val="-2"/>
        </w:rPr>
        <w:t>表</w:t>
      </w:r>
      <w:r>
        <w:rPr>
          <w:rFonts w:ascii="SimSun" w:hAnsi="SimSun" w:eastAsia="SimSun" w:cs="SimSun"/>
          <w:sz w:val="24"/>
          <w:szCs w:val="24"/>
          <w:spacing w:val="-48"/>
        </w:rPr>
        <w:t xml:space="preserve"> </w:t>
      </w:r>
      <w:r>
        <w:rPr>
          <w:rFonts w:ascii="Times New Roman" w:hAnsi="Times New Roman" w:eastAsia="Times New Roman" w:cs="Times New Roman"/>
          <w:sz w:val="24"/>
          <w:szCs w:val="24"/>
          <w:b/>
          <w:bCs/>
          <w:spacing w:val="-2"/>
        </w:rPr>
        <w:t>3.1-1      </w:t>
      </w:r>
      <w:r>
        <w:rPr>
          <w:rFonts w:ascii="SimSun" w:hAnsi="SimSun" w:eastAsia="SimSun" w:cs="SimSun"/>
          <w:sz w:val="24"/>
          <w:szCs w:val="24"/>
          <w:b/>
          <w:bCs/>
          <w:spacing w:val="-2"/>
        </w:rPr>
        <w:t>项目组成一览表</w:t>
      </w:r>
    </w:p>
    <w:p>
      <w:pPr>
        <w:spacing w:line="18" w:lineRule="exact"/>
        <w:rPr/>
      </w:pPr>
      <w:r/>
    </w:p>
    <w:tbl>
      <w:tblPr>
        <w:tblStyle w:val="TableNormal"/>
        <w:tblW w:w="1512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98"/>
        <w:gridCol w:w="690"/>
        <w:gridCol w:w="1450"/>
        <w:gridCol w:w="11283"/>
        <w:gridCol w:w="1302"/>
      </w:tblGrid>
      <w:tr>
        <w:trPr>
          <w:trHeight w:val="554" w:hRule="atLeast"/>
        </w:trPr>
        <w:tc>
          <w:tcPr>
            <w:tcW w:w="398" w:type="dxa"/>
            <w:vAlign w:val="top"/>
            <w:textDirection w:val="tbRlV"/>
          </w:tcPr>
          <w:p>
            <w:pPr>
              <w:pStyle w:val="TableText"/>
              <w:ind w:left="36"/>
              <w:spacing w:before="93" w:line="216" w:lineRule="auto"/>
              <w:rPr/>
            </w:pPr>
            <w:r>
              <w:rPr>
                <w:spacing w:val="8"/>
              </w:rPr>
              <w:t>类</w:t>
            </w:r>
            <w:r>
              <w:rPr>
                <w:spacing w:val="-38"/>
              </w:rPr>
              <w:t xml:space="preserve"> </w:t>
            </w:r>
            <w:r>
              <w:rPr>
                <w:spacing w:val="8"/>
              </w:rPr>
              <w:t>型</w:t>
            </w:r>
          </w:p>
        </w:tc>
        <w:tc>
          <w:tcPr>
            <w:tcW w:w="2140" w:type="dxa"/>
            <w:vAlign w:val="top"/>
            <w:gridSpan w:val="2"/>
          </w:tcPr>
          <w:p>
            <w:pPr>
              <w:pStyle w:val="TableText"/>
              <w:ind w:left="656"/>
              <w:spacing w:before="170" w:line="228" w:lineRule="auto"/>
              <w:rPr/>
            </w:pPr>
            <w:r>
              <w:rPr>
                <w:spacing w:val="6"/>
              </w:rPr>
              <w:t>项目名称</w:t>
            </w:r>
          </w:p>
        </w:tc>
        <w:tc>
          <w:tcPr>
            <w:tcW w:w="11283" w:type="dxa"/>
            <w:vAlign w:val="top"/>
          </w:tcPr>
          <w:p>
            <w:pPr>
              <w:pStyle w:val="TableText"/>
              <w:ind w:left="5228"/>
              <w:spacing w:before="170" w:line="228" w:lineRule="auto"/>
              <w:rPr/>
            </w:pPr>
            <w:r>
              <w:rPr>
                <w:spacing w:val="6"/>
              </w:rPr>
              <w:t>建设内容</w:t>
            </w:r>
          </w:p>
        </w:tc>
        <w:tc>
          <w:tcPr>
            <w:tcW w:w="1302" w:type="dxa"/>
            <w:vAlign w:val="top"/>
          </w:tcPr>
          <w:p>
            <w:pPr>
              <w:pStyle w:val="TableText"/>
              <w:ind w:left="449"/>
              <w:spacing w:before="170" w:line="229" w:lineRule="auto"/>
              <w:rPr/>
            </w:pPr>
            <w:r>
              <w:rPr>
                <w:spacing w:val="3"/>
              </w:rPr>
              <w:t>备注</w:t>
            </w:r>
          </w:p>
        </w:tc>
      </w:tr>
      <w:tr>
        <w:trPr>
          <w:trHeight w:val="948" w:hRule="atLeast"/>
        </w:trPr>
        <w:tc>
          <w:tcPr>
            <w:tcW w:w="398" w:type="dxa"/>
            <w:vAlign w:val="top"/>
            <w:vMerge w:val="restart"/>
            <w:textDirection w:val="tbRlV"/>
            <w:tcBorders>
              <w:bottom w:val="nil"/>
            </w:tcBorders>
          </w:tcPr>
          <w:p>
            <w:pPr>
              <w:pStyle w:val="TableText"/>
              <w:ind w:left="2160"/>
              <w:spacing w:before="93" w:line="217" w:lineRule="auto"/>
              <w:rPr/>
            </w:pPr>
            <w:r>
              <w:rPr>
                <w:spacing w:val="8"/>
              </w:rPr>
              <w:t>主</w:t>
            </w:r>
            <w:r>
              <w:rPr>
                <w:spacing w:val="-34"/>
              </w:rPr>
              <w:t xml:space="preserve"> </w:t>
            </w:r>
            <w:r>
              <w:rPr>
                <w:spacing w:val="8"/>
              </w:rPr>
              <w:t>体</w:t>
            </w:r>
            <w:r>
              <w:rPr>
                <w:spacing w:val="-37"/>
              </w:rPr>
              <w:t xml:space="preserve"> </w:t>
            </w:r>
            <w:r>
              <w:rPr>
                <w:spacing w:val="8"/>
              </w:rPr>
              <w:t>工</w:t>
            </w:r>
            <w:r>
              <w:rPr>
                <w:spacing w:val="-35"/>
              </w:rPr>
              <w:t xml:space="preserve"> </w:t>
            </w:r>
            <w:r>
              <w:rPr>
                <w:spacing w:val="8"/>
              </w:rPr>
              <w:t>程</w:t>
            </w:r>
          </w:p>
        </w:tc>
        <w:tc>
          <w:tcPr>
            <w:tcW w:w="690" w:type="dxa"/>
            <w:vAlign w:val="top"/>
          </w:tcPr>
          <w:p>
            <w:pPr>
              <w:spacing w:line="300" w:lineRule="auto"/>
              <w:rPr>
                <w:rFonts w:ascii="Arial"/>
                <w:sz w:val="21"/>
              </w:rPr>
            </w:pPr>
            <w:r/>
          </w:p>
          <w:p>
            <w:pPr>
              <w:pStyle w:val="TableText"/>
              <w:ind w:left="41"/>
              <w:spacing w:before="65" w:line="228" w:lineRule="auto"/>
              <w:rPr/>
            </w:pPr>
            <w:r>
              <w:rPr>
                <w:spacing w:val="4"/>
              </w:rPr>
              <w:t>东厂区</w:t>
            </w:r>
          </w:p>
        </w:tc>
        <w:tc>
          <w:tcPr>
            <w:tcW w:w="1450" w:type="dxa"/>
            <w:vAlign w:val="top"/>
          </w:tcPr>
          <w:p>
            <w:pPr>
              <w:pStyle w:val="TableText"/>
              <w:ind w:left="98" w:right="43" w:hanging="55"/>
              <w:spacing w:before="94" w:line="251" w:lineRule="auto"/>
              <w:rPr/>
            </w:pPr>
            <w:r>
              <w:rPr/>
              <w:t>洗毛生产线（</w:t>
            </w:r>
            <w:r>
              <w:rPr>
                <w:spacing w:val="-44"/>
              </w:rPr>
              <w:t xml:space="preserve"> </w:t>
            </w:r>
            <w:r>
              <w:rPr>
                <w:rFonts w:ascii="Times New Roman" w:hAnsi="Times New Roman" w:eastAsia="Times New Roman" w:cs="Times New Roman"/>
              </w:rPr>
              <w:t>1 </w:t>
            </w:r>
            <w:r>
              <w:rPr>
                <w:spacing w:val="7"/>
              </w:rPr>
              <w:t>条，洗毛车间</w:t>
            </w:r>
          </w:p>
          <w:p>
            <w:pPr>
              <w:pStyle w:val="TableText"/>
              <w:ind w:left="520"/>
              <w:spacing w:line="239" w:lineRule="auto"/>
              <w:rPr/>
            </w:pPr>
            <w:r>
              <w:rPr>
                <w:spacing w:val="-2"/>
              </w:rPr>
              <w:t>一）</w:t>
            </w:r>
          </w:p>
        </w:tc>
        <w:tc>
          <w:tcPr>
            <w:tcW w:w="11283" w:type="dxa"/>
            <w:vAlign w:val="top"/>
          </w:tcPr>
          <w:p>
            <w:pPr>
              <w:pStyle w:val="TableText"/>
              <w:ind w:left="7" w:firstLine="419"/>
              <w:spacing w:before="94" w:line="252" w:lineRule="auto"/>
              <w:jc w:val="both"/>
              <w:rPr/>
            </w:pPr>
            <w:r>
              <w:rPr>
                <w:spacing w:val="1"/>
              </w:rPr>
              <w:t>利用原有建筑改造洗毛车间</w:t>
            </w:r>
            <w:r>
              <w:rPr>
                <w:spacing w:val="-20"/>
              </w:rPr>
              <w:t xml:space="preserve"> </w:t>
            </w:r>
            <w:r>
              <w:rPr>
                <w:rFonts w:ascii="Times New Roman" w:hAnsi="Times New Roman" w:eastAsia="Times New Roman" w:cs="Times New Roman"/>
                <w:spacing w:val="1"/>
              </w:rPr>
              <w:t>1</w:t>
            </w:r>
            <w:r>
              <w:rPr>
                <w:rFonts w:ascii="Times New Roman" w:hAnsi="Times New Roman" w:eastAsia="Times New Roman" w:cs="Times New Roman"/>
                <w:spacing w:val="14"/>
              </w:rPr>
              <w:t xml:space="preserve"> </w:t>
            </w:r>
            <w:r>
              <w:rPr>
                <w:spacing w:val="1"/>
              </w:rPr>
              <w:t>座，建筑面积</w:t>
            </w:r>
            <w:r>
              <w:rPr>
                <w:spacing w:val="-21"/>
              </w:rPr>
              <w:t xml:space="preserve"> </w:t>
            </w:r>
            <w:r>
              <w:rPr>
                <w:rFonts w:ascii="Times New Roman" w:hAnsi="Times New Roman" w:eastAsia="Times New Roman" w:cs="Times New Roman"/>
                <w:spacing w:val="1"/>
              </w:rPr>
              <w:t>1500m</w:t>
            </w:r>
            <w:r>
              <w:rPr>
                <w:rFonts w:ascii="Times New Roman" w:hAnsi="Times New Roman" w:eastAsia="Times New Roman" w:cs="Times New Roman"/>
                <w:sz w:val="13"/>
                <w:szCs w:val="13"/>
                <w:spacing w:val="1"/>
                <w:position w:val="6"/>
              </w:rPr>
              <w:t>2</w:t>
            </w:r>
            <w:r>
              <w:rPr>
                <w:rFonts w:ascii="Times New Roman" w:hAnsi="Times New Roman" w:eastAsia="Times New Roman" w:cs="Times New Roman"/>
                <w:sz w:val="13"/>
                <w:szCs w:val="13"/>
                <w:spacing w:val="-9"/>
                <w:position w:val="6"/>
              </w:rPr>
              <w:t xml:space="preserve"> </w:t>
            </w:r>
            <w:r>
              <w:rPr>
                <w:spacing w:val="1"/>
              </w:rPr>
              <w:t>，内设洗毛生产线</w:t>
            </w:r>
            <w:r>
              <w:rPr>
                <w:spacing w:val="-23"/>
              </w:rPr>
              <w:t xml:space="preserve"> </w:t>
            </w:r>
            <w:r>
              <w:rPr>
                <w:rFonts w:ascii="Times New Roman" w:hAnsi="Times New Roman" w:eastAsia="Times New Roman" w:cs="Times New Roman"/>
                <w:spacing w:val="1"/>
              </w:rPr>
              <w:t>1</w:t>
            </w:r>
            <w:r>
              <w:rPr>
                <w:rFonts w:ascii="Times New Roman" w:hAnsi="Times New Roman" w:eastAsia="Times New Roman" w:cs="Times New Roman"/>
                <w:spacing w:val="13"/>
                <w:w w:val="101"/>
              </w:rPr>
              <w:t xml:space="preserve"> </w:t>
            </w:r>
            <w:r>
              <w:rPr>
                <w:spacing w:val="1"/>
              </w:rPr>
              <w:t>条，年处理原毛</w:t>
            </w:r>
            <w:r>
              <w:rPr>
                <w:spacing w:val="-24"/>
              </w:rPr>
              <w:t xml:space="preserve"> </w:t>
            </w:r>
            <w:r>
              <w:rPr>
                <w:rFonts w:ascii="Times New Roman" w:hAnsi="Times New Roman" w:eastAsia="Times New Roman" w:cs="Times New Roman"/>
                <w:spacing w:val="1"/>
              </w:rPr>
              <w:t>15000</w:t>
            </w:r>
            <w:r>
              <w:rPr>
                <w:rFonts w:ascii="Times New Roman" w:hAnsi="Times New Roman" w:eastAsia="Times New Roman" w:cs="Times New Roman"/>
                <w:spacing w:val="22"/>
                <w:w w:val="101"/>
              </w:rPr>
              <w:t xml:space="preserve"> </w:t>
            </w:r>
            <w:r>
              <w:rPr>
                <w:spacing w:val="1"/>
              </w:rPr>
              <w:t>吨，年产洗净毛</w:t>
            </w:r>
            <w:r>
              <w:rPr>
                <w:spacing w:val="-37"/>
              </w:rPr>
              <w:t xml:space="preserve"> </w:t>
            </w:r>
            <w:r>
              <w:rPr>
                <w:rFonts w:ascii="Times New Roman" w:hAnsi="Times New Roman" w:eastAsia="Times New Roman" w:cs="Times New Roman"/>
                <w:spacing w:val="1"/>
              </w:rPr>
              <w:t>9000</w:t>
            </w:r>
            <w:r>
              <w:rPr>
                <w:rFonts w:ascii="Times New Roman" w:hAnsi="Times New Roman" w:eastAsia="Times New Roman" w:cs="Times New Roman"/>
                <w:spacing w:val="21"/>
                <w:w w:val="101"/>
              </w:rPr>
              <w:t xml:space="preserve"> </w:t>
            </w:r>
            <w:r>
              <w:rPr>
                <w:spacing w:val="1"/>
              </w:rPr>
              <w:t>吨，</w:t>
            </w:r>
            <w:r>
              <w:rPr/>
              <w:t xml:space="preserve"> </w:t>
            </w:r>
            <w:r>
              <w:rPr>
                <w:spacing w:val="7"/>
              </w:rPr>
              <w:t>采用六槽三级逆流洗毛工艺，流程为：解包→开松除杂→一级浸泡（</w:t>
            </w:r>
            <w:r>
              <w:rPr>
                <w:spacing w:val="-27"/>
              </w:rPr>
              <w:t xml:space="preserve"> </w:t>
            </w:r>
            <w:r>
              <w:rPr>
                <w:rFonts w:ascii="Times New Roman" w:hAnsi="Times New Roman" w:eastAsia="Times New Roman" w:cs="Times New Roman"/>
                <w:spacing w:val="7"/>
              </w:rPr>
              <w:t>1</w:t>
            </w:r>
            <w:r>
              <w:rPr>
                <w:rFonts w:ascii="Times New Roman" w:hAnsi="Times New Roman" w:eastAsia="Times New Roman" w:cs="Times New Roman"/>
                <w:spacing w:val="19"/>
              </w:rPr>
              <w:t xml:space="preserve"> </w:t>
            </w:r>
            <w:r>
              <w:rPr>
                <w:spacing w:val="7"/>
              </w:rPr>
              <w:t>号水槽）</w:t>
            </w:r>
            <w:r>
              <w:rPr>
                <w:spacing w:val="-71"/>
              </w:rPr>
              <w:t xml:space="preserve"> </w:t>
            </w:r>
            <w:r>
              <w:rPr>
                <w:spacing w:val="7"/>
              </w:rPr>
              <w:t>→二级洗涤（</w:t>
            </w:r>
            <w:r>
              <w:rPr>
                <w:rFonts w:ascii="Times New Roman" w:hAnsi="Times New Roman" w:eastAsia="Times New Roman" w:cs="Times New Roman"/>
                <w:spacing w:val="7"/>
              </w:rPr>
              <w:t>2</w:t>
            </w:r>
            <w:r>
              <w:rPr>
                <w:rFonts w:ascii="Times New Roman" w:hAnsi="Times New Roman" w:eastAsia="Times New Roman" w:cs="Times New Roman"/>
                <w:spacing w:val="17"/>
                <w:w w:val="101"/>
              </w:rPr>
              <w:t xml:space="preserve"> </w:t>
            </w:r>
            <w:r>
              <w:rPr>
                <w:spacing w:val="7"/>
              </w:rPr>
              <w:t>号水槽、</w:t>
            </w:r>
            <w:r>
              <w:rPr>
                <w:rFonts w:ascii="Times New Roman" w:hAnsi="Times New Roman" w:eastAsia="Times New Roman" w:cs="Times New Roman"/>
                <w:spacing w:val="7"/>
              </w:rPr>
              <w:t>3</w:t>
            </w:r>
            <w:r>
              <w:rPr>
                <w:rFonts w:ascii="Times New Roman" w:hAnsi="Times New Roman" w:eastAsia="Times New Roman" w:cs="Times New Roman"/>
                <w:spacing w:val="16"/>
                <w:w w:val="101"/>
              </w:rPr>
              <w:t xml:space="preserve"> </w:t>
            </w:r>
            <w:r>
              <w:rPr>
                <w:spacing w:val="7"/>
              </w:rPr>
              <w:t>号水槽）</w:t>
            </w:r>
            <w:r>
              <w:rPr>
                <w:spacing w:val="-68"/>
              </w:rPr>
              <w:t xml:space="preserve"> </w:t>
            </w:r>
            <w:r>
              <w:rPr>
                <w:spacing w:val="7"/>
              </w:rPr>
              <w:t>→三级</w:t>
            </w:r>
            <w:r>
              <w:rPr/>
              <w:t xml:space="preserve"> </w:t>
            </w:r>
            <w:r>
              <w:rPr>
                <w:spacing w:val="5"/>
              </w:rPr>
              <w:t>清水冲洗（</w:t>
            </w:r>
            <w:r>
              <w:rPr>
                <w:rFonts w:ascii="Times New Roman" w:hAnsi="Times New Roman" w:eastAsia="Times New Roman" w:cs="Times New Roman"/>
                <w:spacing w:val="5"/>
              </w:rPr>
              <w:t>4</w:t>
            </w:r>
            <w:r>
              <w:rPr>
                <w:rFonts w:ascii="Times New Roman" w:hAnsi="Times New Roman" w:eastAsia="Times New Roman" w:cs="Times New Roman"/>
                <w:spacing w:val="14"/>
                <w:w w:val="101"/>
              </w:rPr>
              <w:t xml:space="preserve"> </w:t>
            </w:r>
            <w:r>
              <w:rPr>
                <w:spacing w:val="5"/>
              </w:rPr>
              <w:t>号水槽、</w:t>
            </w:r>
            <w:r>
              <w:rPr>
                <w:rFonts w:ascii="Times New Roman" w:hAnsi="Times New Roman" w:eastAsia="Times New Roman" w:cs="Times New Roman"/>
                <w:spacing w:val="5"/>
              </w:rPr>
              <w:t>5</w:t>
            </w:r>
            <w:r>
              <w:rPr>
                <w:rFonts w:ascii="Times New Roman" w:hAnsi="Times New Roman" w:eastAsia="Times New Roman" w:cs="Times New Roman"/>
                <w:spacing w:val="16"/>
                <w:w w:val="101"/>
              </w:rPr>
              <w:t xml:space="preserve"> </w:t>
            </w:r>
            <w:r>
              <w:rPr>
                <w:spacing w:val="5"/>
              </w:rPr>
              <w:t>号水槽、</w:t>
            </w:r>
            <w:r>
              <w:rPr>
                <w:rFonts w:ascii="Times New Roman" w:hAnsi="Times New Roman" w:eastAsia="Times New Roman" w:cs="Times New Roman"/>
                <w:spacing w:val="5"/>
              </w:rPr>
              <w:t>6</w:t>
            </w:r>
            <w:r>
              <w:rPr>
                <w:rFonts w:ascii="Times New Roman" w:hAnsi="Times New Roman" w:eastAsia="Times New Roman" w:cs="Times New Roman"/>
                <w:spacing w:val="14"/>
                <w:w w:val="101"/>
              </w:rPr>
              <w:t xml:space="preserve"> </w:t>
            </w:r>
            <w:r>
              <w:rPr>
                <w:spacing w:val="5"/>
              </w:rPr>
              <w:t>号水槽）</w:t>
            </w:r>
            <w:r>
              <w:rPr>
                <w:spacing w:val="-73"/>
              </w:rPr>
              <w:t xml:space="preserve"> </w:t>
            </w:r>
            <w:r>
              <w:rPr>
                <w:spacing w:val="5"/>
              </w:rPr>
              <w:t>→烘</w:t>
            </w:r>
            <w:r>
              <w:rPr>
                <w:spacing w:val="4"/>
              </w:rPr>
              <w:t>干。</w:t>
            </w:r>
          </w:p>
        </w:tc>
        <w:tc>
          <w:tcPr>
            <w:tcW w:w="1302" w:type="dxa"/>
            <w:vAlign w:val="top"/>
          </w:tcPr>
          <w:p>
            <w:pPr>
              <w:pStyle w:val="TableText"/>
              <w:ind w:left="26" w:right="20" w:firstLine="108"/>
              <w:spacing w:before="230" w:line="252" w:lineRule="auto"/>
              <w:rPr/>
            </w:pPr>
            <w:r>
              <w:rPr>
                <w:spacing w:val="7"/>
              </w:rPr>
              <w:t>车间利旧改</w:t>
            </w:r>
            <w:r>
              <w:rPr>
                <w:spacing w:val="1"/>
              </w:rPr>
              <w:t xml:space="preserve">  </w:t>
            </w:r>
            <w:r>
              <w:rPr>
                <w:spacing w:val="8"/>
              </w:rPr>
              <w:t>造，设备新建</w:t>
            </w:r>
          </w:p>
        </w:tc>
      </w:tr>
      <w:tr>
        <w:trPr>
          <w:trHeight w:val="821"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restart"/>
            <w:tcBorders>
              <w:bottom w:val="nil"/>
            </w:tcBorders>
          </w:tcPr>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3" w:lineRule="auto"/>
              <w:rPr>
                <w:rFonts w:ascii="Arial"/>
                <w:sz w:val="21"/>
              </w:rPr>
            </w:pPr>
            <w:r/>
          </w:p>
          <w:p>
            <w:pPr>
              <w:spacing w:line="253" w:lineRule="auto"/>
              <w:rPr>
                <w:rFonts w:ascii="Arial"/>
                <w:sz w:val="21"/>
              </w:rPr>
            </w:pPr>
            <w:r/>
          </w:p>
          <w:p>
            <w:pPr>
              <w:pStyle w:val="TableText"/>
              <w:ind w:left="38"/>
              <w:spacing w:before="65" w:line="228" w:lineRule="auto"/>
              <w:rPr/>
            </w:pPr>
            <w:r>
              <w:rPr>
                <w:spacing w:val="5"/>
              </w:rPr>
              <w:t>西厂区</w:t>
            </w:r>
          </w:p>
        </w:tc>
        <w:tc>
          <w:tcPr>
            <w:tcW w:w="1450" w:type="dxa"/>
            <w:vAlign w:val="top"/>
            <w:vMerge w:val="restart"/>
            <w:tcBorders>
              <w:bottom w:val="nil"/>
            </w:tcBorders>
          </w:tcPr>
          <w:p>
            <w:pPr>
              <w:spacing w:line="241" w:lineRule="auto"/>
              <w:rPr>
                <w:rFonts w:ascii="Arial"/>
                <w:sz w:val="21"/>
              </w:rPr>
            </w:pPr>
            <w:r/>
          </w:p>
          <w:p>
            <w:pPr>
              <w:pStyle w:val="TableText"/>
              <w:ind w:left="98" w:right="43" w:hanging="55"/>
              <w:spacing w:before="65" w:line="251" w:lineRule="auto"/>
              <w:rPr/>
            </w:pPr>
            <w:r>
              <w:rPr/>
              <w:t>洗毛生产线（</w:t>
            </w:r>
            <w:r>
              <w:rPr>
                <w:spacing w:val="-44"/>
              </w:rPr>
              <w:t xml:space="preserve"> </w:t>
            </w:r>
            <w:r>
              <w:rPr>
                <w:rFonts w:ascii="Times New Roman" w:hAnsi="Times New Roman" w:eastAsia="Times New Roman" w:cs="Times New Roman"/>
              </w:rPr>
              <w:t>1 </w:t>
            </w:r>
            <w:r>
              <w:rPr>
                <w:spacing w:val="7"/>
              </w:rPr>
              <w:t>条，洗毛车间</w:t>
            </w:r>
          </w:p>
          <w:p>
            <w:pPr>
              <w:pStyle w:val="TableText"/>
              <w:ind w:left="520"/>
              <w:spacing w:line="239" w:lineRule="auto"/>
              <w:rPr/>
            </w:pPr>
            <w:r>
              <w:rPr>
                <w:spacing w:val="-2"/>
              </w:rPr>
              <w:t>二）</w:t>
            </w:r>
          </w:p>
        </w:tc>
        <w:tc>
          <w:tcPr>
            <w:tcW w:w="11283" w:type="dxa"/>
            <w:vAlign w:val="top"/>
          </w:tcPr>
          <w:p>
            <w:pPr>
              <w:pStyle w:val="TableText"/>
              <w:ind w:left="7" w:firstLine="419"/>
              <w:spacing w:before="30"/>
              <w:jc w:val="both"/>
              <w:rPr/>
            </w:pPr>
            <w:r>
              <w:rPr>
                <w:spacing w:val="2"/>
              </w:rPr>
              <w:t>利用原有建筑改造洗毛车间</w:t>
            </w:r>
            <w:r>
              <w:rPr>
                <w:spacing w:val="-21"/>
              </w:rPr>
              <w:t xml:space="preserve"> </w:t>
            </w:r>
            <w:r>
              <w:rPr>
                <w:rFonts w:ascii="Times New Roman" w:hAnsi="Times New Roman" w:eastAsia="Times New Roman" w:cs="Times New Roman"/>
                <w:spacing w:val="2"/>
              </w:rPr>
              <w:t>1</w:t>
            </w:r>
            <w:r>
              <w:rPr>
                <w:rFonts w:ascii="Times New Roman" w:hAnsi="Times New Roman" w:eastAsia="Times New Roman" w:cs="Times New Roman"/>
                <w:spacing w:val="14"/>
              </w:rPr>
              <w:t xml:space="preserve"> </w:t>
            </w:r>
            <w:r>
              <w:rPr>
                <w:spacing w:val="2"/>
              </w:rPr>
              <w:t>座，建筑面积</w:t>
            </w:r>
            <w:r>
              <w:rPr>
                <w:spacing w:val="-41"/>
              </w:rPr>
              <w:t xml:space="preserve"> </w:t>
            </w:r>
            <w:r>
              <w:rPr>
                <w:rFonts w:ascii="Times New Roman" w:hAnsi="Times New Roman" w:eastAsia="Times New Roman" w:cs="Times New Roman"/>
                <w:spacing w:val="2"/>
              </w:rPr>
              <w:t>20</w:t>
            </w:r>
            <w:r>
              <w:rPr>
                <w:rFonts w:ascii="Times New Roman" w:hAnsi="Times New Roman" w:eastAsia="Times New Roman" w:cs="Times New Roman"/>
                <w:spacing w:val="1"/>
              </w:rPr>
              <w:t>00m</w:t>
            </w:r>
            <w:r>
              <w:rPr>
                <w:rFonts w:ascii="Times New Roman" w:hAnsi="Times New Roman" w:eastAsia="Times New Roman" w:cs="Times New Roman"/>
                <w:sz w:val="13"/>
                <w:szCs w:val="13"/>
                <w:spacing w:val="1"/>
                <w:position w:val="6"/>
              </w:rPr>
              <w:t>2</w:t>
            </w:r>
            <w:r>
              <w:rPr>
                <w:rFonts w:ascii="Times New Roman" w:hAnsi="Times New Roman" w:eastAsia="Times New Roman" w:cs="Times New Roman"/>
                <w:sz w:val="13"/>
                <w:szCs w:val="13"/>
                <w:spacing w:val="-9"/>
                <w:position w:val="6"/>
              </w:rPr>
              <w:t xml:space="preserve"> </w:t>
            </w:r>
            <w:r>
              <w:rPr>
                <w:spacing w:val="1"/>
              </w:rPr>
              <w:t>，内设洗毛生产线</w:t>
            </w:r>
            <w:r>
              <w:rPr>
                <w:spacing w:val="-23"/>
              </w:rPr>
              <w:t xml:space="preserve"> </w:t>
            </w:r>
            <w:r>
              <w:rPr>
                <w:rFonts w:ascii="Times New Roman" w:hAnsi="Times New Roman" w:eastAsia="Times New Roman" w:cs="Times New Roman"/>
                <w:spacing w:val="1"/>
              </w:rPr>
              <w:t>1</w:t>
            </w:r>
            <w:r>
              <w:rPr>
                <w:rFonts w:ascii="Times New Roman" w:hAnsi="Times New Roman" w:eastAsia="Times New Roman" w:cs="Times New Roman"/>
                <w:spacing w:val="13"/>
                <w:w w:val="101"/>
              </w:rPr>
              <w:t xml:space="preserve"> </w:t>
            </w:r>
            <w:r>
              <w:rPr>
                <w:spacing w:val="1"/>
              </w:rPr>
              <w:t>条，年处理原毛</w:t>
            </w:r>
            <w:r>
              <w:rPr>
                <w:spacing w:val="-24"/>
              </w:rPr>
              <w:t xml:space="preserve"> </w:t>
            </w:r>
            <w:r>
              <w:rPr>
                <w:rFonts w:ascii="Times New Roman" w:hAnsi="Times New Roman" w:eastAsia="Times New Roman" w:cs="Times New Roman"/>
                <w:spacing w:val="1"/>
              </w:rPr>
              <w:t>15000</w:t>
            </w:r>
            <w:r>
              <w:rPr>
                <w:rFonts w:ascii="Times New Roman" w:hAnsi="Times New Roman" w:eastAsia="Times New Roman" w:cs="Times New Roman"/>
                <w:spacing w:val="22"/>
                <w:w w:val="101"/>
              </w:rPr>
              <w:t xml:space="preserve"> </w:t>
            </w:r>
            <w:r>
              <w:rPr>
                <w:spacing w:val="1"/>
              </w:rPr>
              <w:t>吨，年产洗净毛</w:t>
            </w:r>
            <w:r>
              <w:rPr>
                <w:spacing w:val="-37"/>
              </w:rPr>
              <w:t xml:space="preserve"> </w:t>
            </w:r>
            <w:r>
              <w:rPr>
                <w:rFonts w:ascii="Times New Roman" w:hAnsi="Times New Roman" w:eastAsia="Times New Roman" w:cs="Times New Roman"/>
                <w:spacing w:val="1"/>
              </w:rPr>
              <w:t>9000</w:t>
            </w:r>
            <w:r>
              <w:rPr>
                <w:rFonts w:ascii="Times New Roman" w:hAnsi="Times New Roman" w:eastAsia="Times New Roman" w:cs="Times New Roman"/>
                <w:spacing w:val="21"/>
                <w:w w:val="101"/>
              </w:rPr>
              <w:t xml:space="preserve"> </w:t>
            </w:r>
            <w:r>
              <w:rPr>
                <w:spacing w:val="1"/>
              </w:rPr>
              <w:t>吨，</w:t>
            </w:r>
            <w:r>
              <w:rPr/>
              <w:t xml:space="preserve"> </w:t>
            </w:r>
            <w:r>
              <w:rPr>
                <w:spacing w:val="7"/>
              </w:rPr>
              <w:t>采用六槽三级逆流洗毛工艺，流程为：解包→开松除杂→一级浸泡（</w:t>
            </w:r>
            <w:r>
              <w:rPr>
                <w:spacing w:val="-27"/>
              </w:rPr>
              <w:t xml:space="preserve"> </w:t>
            </w:r>
            <w:r>
              <w:rPr>
                <w:rFonts w:ascii="Times New Roman" w:hAnsi="Times New Roman" w:eastAsia="Times New Roman" w:cs="Times New Roman"/>
                <w:spacing w:val="7"/>
              </w:rPr>
              <w:t>1</w:t>
            </w:r>
            <w:r>
              <w:rPr>
                <w:rFonts w:ascii="Times New Roman" w:hAnsi="Times New Roman" w:eastAsia="Times New Roman" w:cs="Times New Roman"/>
                <w:spacing w:val="19"/>
              </w:rPr>
              <w:t xml:space="preserve"> </w:t>
            </w:r>
            <w:r>
              <w:rPr>
                <w:spacing w:val="7"/>
              </w:rPr>
              <w:t>号水槽）</w:t>
            </w:r>
            <w:r>
              <w:rPr>
                <w:spacing w:val="-71"/>
              </w:rPr>
              <w:t xml:space="preserve"> </w:t>
            </w:r>
            <w:r>
              <w:rPr>
                <w:spacing w:val="7"/>
              </w:rPr>
              <w:t>→二级洗涤（</w:t>
            </w:r>
            <w:r>
              <w:rPr>
                <w:rFonts w:ascii="Times New Roman" w:hAnsi="Times New Roman" w:eastAsia="Times New Roman" w:cs="Times New Roman"/>
                <w:spacing w:val="7"/>
              </w:rPr>
              <w:t>2</w:t>
            </w:r>
            <w:r>
              <w:rPr>
                <w:rFonts w:ascii="Times New Roman" w:hAnsi="Times New Roman" w:eastAsia="Times New Roman" w:cs="Times New Roman"/>
                <w:spacing w:val="17"/>
                <w:w w:val="101"/>
              </w:rPr>
              <w:t xml:space="preserve"> </w:t>
            </w:r>
            <w:r>
              <w:rPr>
                <w:spacing w:val="7"/>
              </w:rPr>
              <w:t>号水槽、</w:t>
            </w:r>
            <w:r>
              <w:rPr>
                <w:rFonts w:ascii="Times New Roman" w:hAnsi="Times New Roman" w:eastAsia="Times New Roman" w:cs="Times New Roman"/>
                <w:spacing w:val="7"/>
              </w:rPr>
              <w:t>3</w:t>
            </w:r>
            <w:r>
              <w:rPr>
                <w:rFonts w:ascii="Times New Roman" w:hAnsi="Times New Roman" w:eastAsia="Times New Roman" w:cs="Times New Roman"/>
                <w:spacing w:val="16"/>
                <w:w w:val="101"/>
              </w:rPr>
              <w:t xml:space="preserve"> </w:t>
            </w:r>
            <w:r>
              <w:rPr>
                <w:spacing w:val="7"/>
              </w:rPr>
              <w:t>号水槽）</w:t>
            </w:r>
            <w:r>
              <w:rPr>
                <w:spacing w:val="-68"/>
              </w:rPr>
              <w:t xml:space="preserve"> </w:t>
            </w:r>
            <w:r>
              <w:rPr>
                <w:spacing w:val="7"/>
              </w:rPr>
              <w:t>→三级</w:t>
            </w:r>
            <w:r>
              <w:rPr/>
              <w:t xml:space="preserve"> </w:t>
            </w:r>
            <w:r>
              <w:rPr>
                <w:spacing w:val="5"/>
              </w:rPr>
              <w:t>清水冲洗（</w:t>
            </w:r>
            <w:r>
              <w:rPr>
                <w:rFonts w:ascii="Times New Roman" w:hAnsi="Times New Roman" w:eastAsia="Times New Roman" w:cs="Times New Roman"/>
                <w:spacing w:val="5"/>
              </w:rPr>
              <w:t>4</w:t>
            </w:r>
            <w:r>
              <w:rPr>
                <w:rFonts w:ascii="Times New Roman" w:hAnsi="Times New Roman" w:eastAsia="Times New Roman" w:cs="Times New Roman"/>
                <w:spacing w:val="14"/>
                <w:w w:val="101"/>
              </w:rPr>
              <w:t xml:space="preserve"> </w:t>
            </w:r>
            <w:r>
              <w:rPr>
                <w:spacing w:val="5"/>
              </w:rPr>
              <w:t>号水槽、</w:t>
            </w:r>
            <w:r>
              <w:rPr>
                <w:rFonts w:ascii="Times New Roman" w:hAnsi="Times New Roman" w:eastAsia="Times New Roman" w:cs="Times New Roman"/>
                <w:spacing w:val="5"/>
              </w:rPr>
              <w:t>5</w:t>
            </w:r>
            <w:r>
              <w:rPr>
                <w:rFonts w:ascii="Times New Roman" w:hAnsi="Times New Roman" w:eastAsia="Times New Roman" w:cs="Times New Roman"/>
                <w:spacing w:val="16"/>
                <w:w w:val="101"/>
              </w:rPr>
              <w:t xml:space="preserve"> </w:t>
            </w:r>
            <w:r>
              <w:rPr>
                <w:spacing w:val="5"/>
              </w:rPr>
              <w:t>号水槽、</w:t>
            </w:r>
            <w:r>
              <w:rPr>
                <w:rFonts w:ascii="Times New Roman" w:hAnsi="Times New Roman" w:eastAsia="Times New Roman" w:cs="Times New Roman"/>
                <w:spacing w:val="5"/>
              </w:rPr>
              <w:t>6</w:t>
            </w:r>
            <w:r>
              <w:rPr>
                <w:rFonts w:ascii="Times New Roman" w:hAnsi="Times New Roman" w:eastAsia="Times New Roman" w:cs="Times New Roman"/>
                <w:spacing w:val="14"/>
                <w:w w:val="101"/>
              </w:rPr>
              <w:t xml:space="preserve"> </w:t>
            </w:r>
            <w:r>
              <w:rPr>
                <w:spacing w:val="5"/>
              </w:rPr>
              <w:t>号水槽）</w:t>
            </w:r>
            <w:r>
              <w:rPr>
                <w:spacing w:val="-73"/>
              </w:rPr>
              <w:t xml:space="preserve"> </w:t>
            </w:r>
            <w:r>
              <w:rPr>
                <w:spacing w:val="5"/>
              </w:rPr>
              <w:t>→烘</w:t>
            </w:r>
            <w:r>
              <w:rPr>
                <w:spacing w:val="4"/>
              </w:rPr>
              <w:t>干。</w:t>
            </w:r>
          </w:p>
        </w:tc>
        <w:tc>
          <w:tcPr>
            <w:tcW w:w="1302" w:type="dxa"/>
            <w:vAlign w:val="top"/>
            <w:vMerge w:val="restart"/>
            <w:tcBorders>
              <w:bottom w:val="nil"/>
            </w:tcBorders>
          </w:tcPr>
          <w:p>
            <w:pPr>
              <w:spacing w:line="378" w:lineRule="auto"/>
              <w:rPr>
                <w:rFonts w:ascii="Arial"/>
                <w:sz w:val="21"/>
              </w:rPr>
            </w:pPr>
            <w:r/>
          </w:p>
          <w:p>
            <w:pPr>
              <w:pStyle w:val="TableText"/>
              <w:ind w:left="28"/>
              <w:spacing w:before="65" w:line="228" w:lineRule="auto"/>
              <w:rPr/>
            </w:pPr>
            <w:r>
              <w:rPr>
                <w:spacing w:val="8"/>
              </w:rPr>
              <w:t>车间利旧，设</w:t>
            </w:r>
          </w:p>
          <w:p>
            <w:pPr>
              <w:pStyle w:val="TableText"/>
              <w:ind w:left="343"/>
              <w:spacing w:before="24" w:line="228" w:lineRule="auto"/>
              <w:rPr/>
            </w:pPr>
            <w:r>
              <w:rPr>
                <w:spacing w:val="6"/>
              </w:rPr>
              <w:t>备新建</w:t>
            </w:r>
          </w:p>
        </w:tc>
      </w:tr>
      <w:tr>
        <w:trPr>
          <w:trHeight w:val="549"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vMerge w:val="continue"/>
            <w:tcBorders>
              <w:top w:val="nil"/>
            </w:tcBorders>
          </w:tcPr>
          <w:p>
            <w:pPr>
              <w:rPr>
                <w:rFonts w:ascii="Arial"/>
                <w:sz w:val="21"/>
              </w:rPr>
            </w:pPr>
            <w:r/>
          </w:p>
        </w:tc>
        <w:tc>
          <w:tcPr>
            <w:tcW w:w="11283" w:type="dxa"/>
            <w:vAlign w:val="top"/>
          </w:tcPr>
          <w:p>
            <w:pPr>
              <w:pStyle w:val="TableText"/>
              <w:ind w:left="18" w:right="2" w:firstLine="409"/>
              <w:spacing w:before="34" w:line="233" w:lineRule="auto"/>
              <w:rPr/>
            </w:pPr>
            <w:r>
              <w:rPr>
                <w:spacing w:val="6"/>
              </w:rPr>
              <w:t>洗毛车间内建设地下水池</w:t>
            </w:r>
            <w:r>
              <w:rPr>
                <w:spacing w:val="-37"/>
              </w:rPr>
              <w:t xml:space="preserve"> </w:t>
            </w:r>
            <w:r>
              <w:rPr>
                <w:rFonts w:ascii="Times New Roman" w:hAnsi="Times New Roman" w:eastAsia="Times New Roman" w:cs="Times New Roman"/>
                <w:spacing w:val="6"/>
              </w:rPr>
              <w:t>5 </w:t>
            </w:r>
            <w:r>
              <w:rPr>
                <w:spacing w:val="6"/>
              </w:rPr>
              <w:t>个，总容积</w:t>
            </w:r>
            <w:r>
              <w:rPr>
                <w:spacing w:val="-40"/>
              </w:rPr>
              <w:t xml:space="preserve"> </w:t>
            </w:r>
            <w:r>
              <w:rPr>
                <w:rFonts w:ascii="Times New Roman" w:hAnsi="Times New Roman" w:eastAsia="Times New Roman" w:cs="Times New Roman"/>
                <w:spacing w:val="6"/>
              </w:rPr>
              <w:t>768m</w:t>
            </w:r>
            <w:r>
              <w:rPr>
                <w:rFonts w:ascii="Times New Roman" w:hAnsi="Times New Roman" w:eastAsia="Times New Roman" w:cs="Times New Roman"/>
                <w:sz w:val="13"/>
                <w:szCs w:val="13"/>
                <w:spacing w:val="6"/>
                <w:position w:val="6"/>
              </w:rPr>
              <w:t>3</w:t>
            </w:r>
            <w:r>
              <w:rPr>
                <w:rFonts w:ascii="Times New Roman" w:hAnsi="Times New Roman" w:eastAsia="Times New Roman" w:cs="Times New Roman"/>
                <w:sz w:val="13"/>
                <w:szCs w:val="13"/>
                <w:spacing w:val="-7"/>
                <w:position w:val="6"/>
              </w:rPr>
              <w:t xml:space="preserve"> </w:t>
            </w:r>
            <w:r>
              <w:rPr>
                <w:spacing w:val="6"/>
              </w:rPr>
              <w:t>；其中事故池</w:t>
            </w:r>
            <w:r>
              <w:rPr>
                <w:spacing w:val="-42"/>
              </w:rPr>
              <w:t xml:space="preserve"> </w:t>
            </w:r>
            <w:r>
              <w:rPr>
                <w:rFonts w:ascii="Times New Roman" w:hAnsi="Times New Roman" w:eastAsia="Times New Roman" w:cs="Times New Roman"/>
                <w:spacing w:val="6"/>
              </w:rPr>
              <w:t>400m</w:t>
            </w:r>
            <w:r>
              <w:rPr>
                <w:rFonts w:ascii="Times New Roman" w:hAnsi="Times New Roman" w:eastAsia="Times New Roman" w:cs="Times New Roman"/>
                <w:sz w:val="13"/>
                <w:szCs w:val="13"/>
                <w:spacing w:val="6"/>
                <w:position w:val="6"/>
              </w:rPr>
              <w:t>3</w:t>
            </w:r>
            <w:r>
              <w:rPr>
                <w:rFonts w:ascii="Times New Roman" w:hAnsi="Times New Roman" w:eastAsia="Times New Roman" w:cs="Times New Roman"/>
                <w:sz w:val="13"/>
                <w:szCs w:val="13"/>
                <w:spacing w:val="-11"/>
                <w:position w:val="6"/>
              </w:rPr>
              <w:t xml:space="preserve"> </w:t>
            </w:r>
            <w:r>
              <w:rPr>
                <w:spacing w:val="6"/>
              </w:rPr>
              <w:t>、</w:t>
            </w:r>
            <w:r>
              <w:rPr>
                <w:spacing w:val="5"/>
              </w:rPr>
              <w:t>废水收集池</w:t>
            </w:r>
            <w:r>
              <w:rPr>
                <w:spacing w:val="-38"/>
              </w:rPr>
              <w:t xml:space="preserve"> </w:t>
            </w:r>
            <w:r>
              <w:rPr>
                <w:rFonts w:ascii="Times New Roman" w:hAnsi="Times New Roman" w:eastAsia="Times New Roman" w:cs="Times New Roman"/>
                <w:spacing w:val="5"/>
              </w:rPr>
              <w:t>64m</w:t>
            </w:r>
            <w:r>
              <w:rPr>
                <w:rFonts w:ascii="Times New Roman" w:hAnsi="Times New Roman" w:eastAsia="Times New Roman" w:cs="Times New Roman"/>
                <w:sz w:val="13"/>
                <w:szCs w:val="13"/>
                <w:spacing w:val="5"/>
                <w:position w:val="6"/>
              </w:rPr>
              <w:t>3</w:t>
            </w:r>
            <w:r>
              <w:rPr>
                <w:spacing w:val="5"/>
              </w:rPr>
              <w:t>（</w:t>
            </w:r>
            <w:r>
              <w:rPr>
                <w:rFonts w:ascii="Times New Roman" w:hAnsi="Times New Roman" w:eastAsia="Times New Roman" w:cs="Times New Roman"/>
                <w:spacing w:val="5"/>
              </w:rPr>
              <w:t>4m</w:t>
            </w:r>
            <w:r>
              <w:rPr>
                <w:rFonts w:ascii="Arial" w:hAnsi="Arial" w:eastAsia="Arial" w:cs="Arial"/>
                <w:spacing w:val="5"/>
              </w:rPr>
              <w:t>×</w:t>
            </w:r>
            <w:r>
              <w:rPr>
                <w:rFonts w:ascii="Times New Roman" w:hAnsi="Times New Roman" w:eastAsia="Times New Roman" w:cs="Times New Roman"/>
                <w:spacing w:val="5"/>
              </w:rPr>
              <w:t>4m</w:t>
            </w:r>
            <w:r>
              <w:rPr>
                <w:rFonts w:ascii="Arial" w:hAnsi="Arial" w:eastAsia="Arial" w:cs="Arial"/>
                <w:spacing w:val="5"/>
              </w:rPr>
              <w:t>×</w:t>
            </w:r>
            <w:r>
              <w:rPr>
                <w:rFonts w:ascii="Times New Roman" w:hAnsi="Times New Roman" w:eastAsia="Times New Roman" w:cs="Times New Roman"/>
                <w:spacing w:val="5"/>
              </w:rPr>
              <w:t>4m</w:t>
            </w:r>
            <w:r>
              <w:rPr>
                <w:spacing w:val="5"/>
              </w:rPr>
              <w:t>）、洗毛废水含固率</w:t>
            </w:r>
            <w:r>
              <w:rPr/>
              <w:t xml:space="preserve"> </w:t>
            </w:r>
            <w:r>
              <w:rPr>
                <w:spacing w:val="6"/>
              </w:rPr>
              <w:t>（</w:t>
            </w:r>
            <w:r>
              <w:rPr>
                <w:rFonts w:ascii="Times New Roman" w:hAnsi="Times New Roman" w:eastAsia="Times New Roman" w:cs="Times New Roman"/>
              </w:rPr>
              <w:t>TS</w:t>
            </w:r>
            <w:r>
              <w:rPr>
                <w:spacing w:val="6"/>
              </w:rPr>
              <w:t>）调节池</w:t>
            </w:r>
            <w:r>
              <w:rPr>
                <w:spacing w:val="-23"/>
              </w:rPr>
              <w:t xml:space="preserve"> </w:t>
            </w:r>
            <w:r>
              <w:rPr>
                <w:rFonts w:ascii="Times New Roman" w:hAnsi="Times New Roman" w:eastAsia="Times New Roman" w:cs="Times New Roman"/>
                <w:spacing w:val="6"/>
              </w:rPr>
              <w:t>128m</w:t>
            </w:r>
            <w:r>
              <w:rPr>
                <w:rFonts w:ascii="Times New Roman" w:hAnsi="Times New Roman" w:eastAsia="Times New Roman" w:cs="Times New Roman"/>
                <w:sz w:val="13"/>
                <w:szCs w:val="13"/>
                <w:spacing w:val="6"/>
                <w:position w:val="6"/>
              </w:rPr>
              <w:t>3</w:t>
            </w:r>
            <w:r>
              <w:rPr>
                <w:spacing w:val="6"/>
              </w:rPr>
              <w:t>（</w:t>
            </w:r>
            <w:r>
              <w:rPr>
                <w:rFonts w:ascii="Times New Roman" w:hAnsi="Times New Roman" w:eastAsia="Times New Roman" w:cs="Times New Roman"/>
                <w:spacing w:val="6"/>
              </w:rPr>
              <w:t>4m</w:t>
            </w:r>
            <w:r>
              <w:rPr>
                <w:rFonts w:ascii="Arial" w:hAnsi="Arial" w:eastAsia="Arial" w:cs="Arial"/>
                <w:spacing w:val="6"/>
              </w:rPr>
              <w:t>×</w:t>
            </w:r>
            <w:r>
              <w:rPr>
                <w:rFonts w:ascii="Times New Roman" w:hAnsi="Times New Roman" w:eastAsia="Times New Roman" w:cs="Times New Roman"/>
                <w:spacing w:val="6"/>
              </w:rPr>
              <w:t>8m</w:t>
            </w:r>
            <w:r>
              <w:rPr>
                <w:rFonts w:ascii="Arial" w:hAnsi="Arial" w:eastAsia="Arial" w:cs="Arial"/>
                <w:spacing w:val="6"/>
              </w:rPr>
              <w:t>×</w:t>
            </w:r>
            <w:r>
              <w:rPr>
                <w:rFonts w:ascii="Times New Roman" w:hAnsi="Times New Roman" w:eastAsia="Times New Roman" w:cs="Times New Roman"/>
                <w:spacing w:val="6"/>
              </w:rPr>
              <w:t>4m</w:t>
            </w:r>
            <w:r>
              <w:rPr>
                <w:spacing w:val="6"/>
              </w:rPr>
              <w:t>）、固液分离池</w:t>
            </w:r>
            <w:r>
              <w:rPr>
                <w:spacing w:val="-36"/>
              </w:rPr>
              <w:t xml:space="preserve"> </w:t>
            </w:r>
            <w:r>
              <w:rPr>
                <w:rFonts w:ascii="Times New Roman" w:hAnsi="Times New Roman" w:eastAsia="Times New Roman" w:cs="Times New Roman"/>
                <w:spacing w:val="6"/>
              </w:rPr>
              <w:t>64m</w:t>
            </w:r>
            <w:r>
              <w:rPr>
                <w:rFonts w:ascii="Times New Roman" w:hAnsi="Times New Roman" w:eastAsia="Times New Roman" w:cs="Times New Roman"/>
                <w:sz w:val="13"/>
                <w:szCs w:val="13"/>
                <w:spacing w:val="6"/>
                <w:position w:val="6"/>
              </w:rPr>
              <w:t>3</w:t>
            </w:r>
            <w:r>
              <w:rPr>
                <w:spacing w:val="6"/>
              </w:rPr>
              <w:t>（</w:t>
            </w:r>
            <w:r>
              <w:rPr>
                <w:rFonts w:ascii="Times New Roman" w:hAnsi="Times New Roman" w:eastAsia="Times New Roman" w:cs="Times New Roman"/>
                <w:spacing w:val="6"/>
              </w:rPr>
              <w:t>4m</w:t>
            </w:r>
            <w:r>
              <w:rPr>
                <w:rFonts w:ascii="Arial" w:hAnsi="Arial" w:eastAsia="Arial" w:cs="Arial"/>
                <w:spacing w:val="6"/>
              </w:rPr>
              <w:t>×</w:t>
            </w:r>
            <w:r>
              <w:rPr>
                <w:rFonts w:ascii="Times New Roman" w:hAnsi="Times New Roman" w:eastAsia="Times New Roman" w:cs="Times New Roman"/>
                <w:spacing w:val="6"/>
              </w:rPr>
              <w:t>4m</w:t>
            </w:r>
            <w:r>
              <w:rPr>
                <w:rFonts w:ascii="Arial" w:hAnsi="Arial" w:eastAsia="Arial" w:cs="Arial"/>
                <w:spacing w:val="6"/>
              </w:rPr>
              <w:t>×</w:t>
            </w:r>
            <w:r>
              <w:rPr>
                <w:rFonts w:ascii="Times New Roman" w:hAnsi="Times New Roman" w:eastAsia="Times New Roman" w:cs="Times New Roman"/>
                <w:spacing w:val="6"/>
              </w:rPr>
              <w:t>4m</w:t>
            </w:r>
            <w:r>
              <w:rPr>
                <w:spacing w:val="6"/>
              </w:rPr>
              <w:t>）、沼液池</w:t>
            </w:r>
            <w:r>
              <w:rPr>
                <w:spacing w:val="-20"/>
              </w:rPr>
              <w:t xml:space="preserve"> </w:t>
            </w:r>
            <w:r>
              <w:rPr>
                <w:rFonts w:ascii="Times New Roman" w:hAnsi="Times New Roman" w:eastAsia="Times New Roman" w:cs="Times New Roman"/>
                <w:spacing w:val="6"/>
              </w:rPr>
              <w:t>112m</w:t>
            </w:r>
            <w:r>
              <w:rPr>
                <w:rFonts w:ascii="Times New Roman" w:hAnsi="Times New Roman" w:eastAsia="Times New Roman" w:cs="Times New Roman"/>
                <w:sz w:val="13"/>
                <w:szCs w:val="13"/>
                <w:spacing w:val="6"/>
                <w:position w:val="6"/>
              </w:rPr>
              <w:t>3</w:t>
            </w:r>
            <w:r>
              <w:rPr>
                <w:spacing w:val="5"/>
              </w:rPr>
              <w:t>（</w:t>
            </w:r>
            <w:r>
              <w:rPr>
                <w:rFonts w:ascii="Times New Roman" w:hAnsi="Times New Roman" w:eastAsia="Times New Roman" w:cs="Times New Roman"/>
                <w:spacing w:val="5"/>
              </w:rPr>
              <w:t>4m×7m×4m</w:t>
            </w:r>
            <w:r>
              <w:rPr>
                <w:spacing w:val="5"/>
              </w:rPr>
              <w:t>）。</w:t>
            </w:r>
          </w:p>
        </w:tc>
        <w:tc>
          <w:tcPr>
            <w:tcW w:w="1302" w:type="dxa"/>
            <w:vAlign w:val="top"/>
            <w:vMerge w:val="continue"/>
            <w:tcBorders>
              <w:top w:val="nil"/>
            </w:tcBorders>
          </w:tcPr>
          <w:p>
            <w:pPr>
              <w:rPr>
                <w:rFonts w:ascii="Arial"/>
                <w:sz w:val="21"/>
              </w:rPr>
            </w:pPr>
            <w:r/>
          </w:p>
        </w:tc>
      </w:tr>
      <w:tr>
        <w:trPr>
          <w:trHeight w:val="550"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43"/>
              <w:spacing w:before="33" w:line="228" w:lineRule="auto"/>
              <w:rPr>
                <w:rFonts w:ascii="Times New Roman" w:hAnsi="Times New Roman" w:eastAsia="Times New Roman" w:cs="Times New Roman"/>
              </w:rPr>
            </w:pPr>
            <w:r>
              <w:rPr>
                <w:spacing w:val="8"/>
              </w:rPr>
              <w:t>梳绒生产线（</w:t>
            </w:r>
            <w:r>
              <w:rPr>
                <w:rFonts w:ascii="Times New Roman" w:hAnsi="Times New Roman" w:eastAsia="Times New Roman" w:cs="Times New Roman"/>
                <w:spacing w:val="8"/>
              </w:rPr>
              <w:t>5</w:t>
            </w:r>
          </w:p>
          <w:p>
            <w:pPr>
              <w:pStyle w:val="TableText"/>
              <w:ind w:left="519"/>
              <w:spacing w:before="26" w:line="215" w:lineRule="auto"/>
              <w:rPr/>
            </w:pPr>
            <w:r>
              <w:rPr>
                <w:spacing w:val="-1"/>
              </w:rPr>
              <w:t>条）</w:t>
            </w:r>
          </w:p>
        </w:tc>
        <w:tc>
          <w:tcPr>
            <w:tcW w:w="11283" w:type="dxa"/>
            <w:vAlign w:val="top"/>
          </w:tcPr>
          <w:p>
            <w:pPr>
              <w:pStyle w:val="TableText"/>
              <w:ind w:left="8" w:right="2" w:firstLine="420"/>
              <w:spacing w:before="32" w:line="234" w:lineRule="auto"/>
              <w:rPr/>
            </w:pPr>
            <w:r>
              <w:rPr>
                <w:spacing w:val="7"/>
              </w:rPr>
              <w:t>利用原有建筑改造梳绒车间</w:t>
            </w:r>
            <w:r>
              <w:rPr>
                <w:spacing w:val="-6"/>
              </w:rPr>
              <w:t xml:space="preserve"> </w:t>
            </w:r>
            <w:r>
              <w:rPr>
                <w:rFonts w:ascii="Times New Roman" w:hAnsi="Times New Roman" w:eastAsia="Times New Roman" w:cs="Times New Roman"/>
                <w:spacing w:val="7"/>
              </w:rPr>
              <w:t>1 </w:t>
            </w:r>
            <w:r>
              <w:rPr>
                <w:spacing w:val="7"/>
              </w:rPr>
              <w:t>座，建筑面积</w:t>
            </w:r>
            <w:r>
              <w:rPr>
                <w:spacing w:val="-41"/>
              </w:rPr>
              <w:t xml:space="preserve"> </w:t>
            </w:r>
            <w:r>
              <w:rPr>
                <w:rFonts w:ascii="Times New Roman" w:hAnsi="Times New Roman" w:eastAsia="Times New Roman" w:cs="Times New Roman"/>
                <w:spacing w:val="7"/>
              </w:rPr>
              <w:t>2000m</w:t>
            </w:r>
            <w:r>
              <w:rPr>
                <w:rFonts w:ascii="Times New Roman" w:hAnsi="Times New Roman" w:eastAsia="Times New Roman" w:cs="Times New Roman"/>
                <w:sz w:val="13"/>
                <w:szCs w:val="13"/>
                <w:spacing w:val="7"/>
                <w:position w:val="6"/>
              </w:rPr>
              <w:t>2</w:t>
            </w:r>
            <w:r>
              <w:rPr>
                <w:rFonts w:ascii="Times New Roman" w:hAnsi="Times New Roman" w:eastAsia="Times New Roman" w:cs="Times New Roman"/>
                <w:sz w:val="13"/>
                <w:szCs w:val="13"/>
                <w:spacing w:val="-6"/>
                <w:position w:val="6"/>
              </w:rPr>
              <w:t xml:space="preserve"> </w:t>
            </w:r>
            <w:r>
              <w:rPr>
                <w:spacing w:val="7"/>
              </w:rPr>
              <w:t>，</w:t>
            </w:r>
            <w:r>
              <w:rPr>
                <w:spacing w:val="-56"/>
              </w:rPr>
              <w:t xml:space="preserve"> </w:t>
            </w:r>
            <w:r>
              <w:rPr>
                <w:spacing w:val="7"/>
              </w:rPr>
              <w:t>内设梳绒生产线</w:t>
            </w:r>
            <w:r>
              <w:rPr>
                <w:spacing w:val="-35"/>
              </w:rPr>
              <w:t xml:space="preserve"> </w:t>
            </w:r>
            <w:r>
              <w:rPr>
                <w:rFonts w:ascii="Times New Roman" w:hAnsi="Times New Roman" w:eastAsia="Times New Roman" w:cs="Times New Roman"/>
                <w:spacing w:val="7"/>
              </w:rPr>
              <w:t>5 </w:t>
            </w:r>
            <w:r>
              <w:rPr>
                <w:spacing w:val="7"/>
              </w:rPr>
              <w:t>条，年处理洗净毛</w:t>
            </w:r>
            <w:r>
              <w:rPr>
                <w:spacing w:val="-35"/>
              </w:rPr>
              <w:t xml:space="preserve"> </w:t>
            </w:r>
            <w:r>
              <w:rPr>
                <w:rFonts w:ascii="Times New Roman" w:hAnsi="Times New Roman" w:eastAsia="Times New Roman" w:cs="Times New Roman"/>
                <w:spacing w:val="7"/>
              </w:rPr>
              <w:t>545</w:t>
            </w:r>
            <w:r>
              <w:rPr>
                <w:rFonts w:ascii="Times New Roman" w:hAnsi="Times New Roman" w:eastAsia="Times New Roman" w:cs="Times New Roman"/>
                <w:spacing w:val="22"/>
              </w:rPr>
              <w:t xml:space="preserve"> </w:t>
            </w:r>
            <w:r>
              <w:rPr>
                <w:spacing w:val="7"/>
              </w:rPr>
              <w:t>吨（来自本项目洗毛生</w:t>
            </w:r>
            <w:r>
              <w:rPr/>
              <w:t xml:space="preserve"> </w:t>
            </w:r>
            <w:r>
              <w:rPr>
                <w:spacing w:val="4"/>
              </w:rPr>
              <w:t>产线</w:t>
            </w:r>
            <w:r>
              <w:rPr>
                <w:spacing w:val="19"/>
              </w:rPr>
              <w:t>），</w:t>
            </w:r>
            <w:r>
              <w:rPr>
                <w:spacing w:val="4"/>
              </w:rPr>
              <w:t>年产无毛绒</w:t>
            </w:r>
            <w:r>
              <w:rPr>
                <w:spacing w:val="-39"/>
              </w:rPr>
              <w:t xml:space="preserve"> </w:t>
            </w:r>
            <w:r>
              <w:rPr>
                <w:rFonts w:ascii="Times New Roman" w:hAnsi="Times New Roman" w:eastAsia="Times New Roman" w:cs="Times New Roman"/>
                <w:spacing w:val="4"/>
              </w:rPr>
              <w:t>300</w:t>
            </w:r>
            <w:r>
              <w:rPr>
                <w:rFonts w:ascii="Times New Roman" w:hAnsi="Times New Roman" w:eastAsia="Times New Roman" w:cs="Times New Roman"/>
                <w:spacing w:val="22"/>
                <w:w w:val="101"/>
              </w:rPr>
              <w:t xml:space="preserve"> </w:t>
            </w:r>
            <w:r>
              <w:rPr>
                <w:spacing w:val="4"/>
              </w:rPr>
              <w:t>吨，配置了</w:t>
            </w:r>
            <w:r>
              <w:rPr>
                <w:spacing w:val="-37"/>
              </w:rPr>
              <w:t xml:space="preserve"> </w:t>
            </w:r>
            <w:r>
              <w:rPr>
                <w:rFonts w:ascii="Times New Roman" w:hAnsi="Times New Roman" w:eastAsia="Times New Roman" w:cs="Times New Roman"/>
                <w:spacing w:val="4"/>
              </w:rPr>
              <w:t>3</w:t>
            </w:r>
            <w:r>
              <w:rPr>
                <w:rFonts w:ascii="Times New Roman" w:hAnsi="Times New Roman" w:eastAsia="Times New Roman" w:cs="Times New Roman"/>
                <w:spacing w:val="28"/>
                <w:w w:val="101"/>
              </w:rPr>
              <w:t xml:space="preserve"> </w:t>
            </w:r>
            <w:r>
              <w:rPr>
                <w:spacing w:val="4"/>
              </w:rPr>
              <w:t>台开松机和</w:t>
            </w:r>
            <w:r>
              <w:rPr>
                <w:spacing w:val="-38"/>
              </w:rPr>
              <w:t xml:space="preserve"> </w:t>
            </w:r>
            <w:r>
              <w:rPr>
                <w:rFonts w:ascii="Times New Roman" w:hAnsi="Times New Roman" w:eastAsia="Times New Roman" w:cs="Times New Roman"/>
                <w:spacing w:val="4"/>
              </w:rPr>
              <w:t>67</w:t>
            </w:r>
            <w:r>
              <w:rPr>
                <w:rFonts w:ascii="Times New Roman" w:hAnsi="Times New Roman" w:eastAsia="Times New Roman" w:cs="Times New Roman"/>
                <w:spacing w:val="26"/>
              </w:rPr>
              <w:t xml:space="preserve"> </w:t>
            </w:r>
            <w:r>
              <w:rPr>
                <w:spacing w:val="4"/>
              </w:rPr>
              <w:t>台梳绒机。</w:t>
            </w:r>
          </w:p>
        </w:tc>
        <w:tc>
          <w:tcPr>
            <w:tcW w:w="1302" w:type="dxa"/>
            <w:vAlign w:val="top"/>
          </w:tcPr>
          <w:p>
            <w:pPr>
              <w:pStyle w:val="TableText"/>
              <w:ind w:left="28"/>
              <w:spacing w:before="33" w:line="228" w:lineRule="auto"/>
              <w:rPr/>
            </w:pPr>
            <w:r>
              <w:rPr>
                <w:spacing w:val="8"/>
              </w:rPr>
              <w:t>车间利旧，设</w:t>
            </w:r>
          </w:p>
          <w:p>
            <w:pPr>
              <w:pStyle w:val="TableText"/>
              <w:ind w:left="343"/>
              <w:spacing w:before="26" w:line="215" w:lineRule="auto"/>
              <w:rPr/>
            </w:pPr>
            <w:r>
              <w:rPr>
                <w:spacing w:val="6"/>
              </w:rPr>
              <w:t>备新建</w:t>
            </w:r>
          </w:p>
        </w:tc>
      </w:tr>
      <w:tr>
        <w:trPr>
          <w:trHeight w:val="1911"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vMerge w:val="restart"/>
            <w:tcBorders>
              <w:bottom w:val="nil"/>
            </w:tcBorders>
          </w:tcPr>
          <w:p>
            <w:pPr>
              <w:spacing w:line="307" w:lineRule="auto"/>
              <w:rPr>
                <w:rFonts w:ascii="Arial"/>
                <w:sz w:val="21"/>
              </w:rPr>
            </w:pPr>
            <w:r/>
          </w:p>
          <w:p>
            <w:pPr>
              <w:spacing w:line="307" w:lineRule="auto"/>
              <w:rPr>
                <w:rFonts w:ascii="Arial"/>
                <w:sz w:val="21"/>
              </w:rPr>
            </w:pPr>
            <w:r/>
          </w:p>
          <w:p>
            <w:pPr>
              <w:spacing w:line="308" w:lineRule="auto"/>
              <w:rPr>
                <w:rFonts w:ascii="Arial"/>
                <w:sz w:val="21"/>
              </w:rPr>
            </w:pPr>
            <w:r/>
          </w:p>
          <w:p>
            <w:pPr>
              <w:pStyle w:val="TableText"/>
              <w:ind w:left="98"/>
              <w:spacing w:before="65" w:line="227" w:lineRule="auto"/>
              <w:rPr/>
            </w:pPr>
            <w:r>
              <w:rPr>
                <w:spacing w:val="8"/>
              </w:rPr>
              <w:t>厌氧发酵装置</w:t>
            </w:r>
          </w:p>
          <w:p>
            <w:pPr>
              <w:pStyle w:val="TableText"/>
              <w:ind w:left="342"/>
              <w:spacing w:before="25" w:line="226" w:lineRule="auto"/>
              <w:rPr/>
            </w:pPr>
            <w:r>
              <w:rPr>
                <w:spacing w:val="14"/>
              </w:rPr>
              <w:t>（</w:t>
            </w:r>
            <w:r>
              <w:rPr>
                <w:rFonts w:ascii="Times New Roman" w:hAnsi="Times New Roman" w:eastAsia="Times New Roman" w:cs="Times New Roman"/>
                <w:spacing w:val="14"/>
              </w:rPr>
              <w:t>1</w:t>
            </w:r>
            <w:r>
              <w:rPr>
                <w:spacing w:val="14"/>
              </w:rPr>
              <w:t>套）</w:t>
            </w:r>
          </w:p>
        </w:tc>
        <w:tc>
          <w:tcPr>
            <w:tcW w:w="11283" w:type="dxa"/>
            <w:vAlign w:val="top"/>
          </w:tcPr>
          <w:p>
            <w:pPr>
              <w:pStyle w:val="TableText"/>
              <w:ind w:left="8" w:firstLine="416"/>
              <w:spacing w:before="35" w:line="251" w:lineRule="auto"/>
              <w:jc w:val="both"/>
              <w:rPr/>
            </w:pPr>
            <w:r>
              <w:rPr>
                <w:spacing w:val="6"/>
              </w:rPr>
              <w:t>采用“废水调质</w:t>
            </w:r>
            <w:r>
              <w:rPr>
                <w:rFonts w:ascii="Times New Roman" w:hAnsi="Times New Roman" w:eastAsia="Times New Roman" w:cs="Times New Roman"/>
                <w:spacing w:val="6"/>
              </w:rPr>
              <w:t>+</w:t>
            </w:r>
            <w:r>
              <w:rPr>
                <w:spacing w:val="6"/>
              </w:rPr>
              <w:t>全混式中温厌氧发酵罐（</w:t>
            </w:r>
            <w:r>
              <w:rPr>
                <w:rFonts w:ascii="Times New Roman" w:hAnsi="Times New Roman" w:eastAsia="Times New Roman" w:cs="Times New Roman"/>
              </w:rPr>
              <w:t>USR</w:t>
            </w:r>
            <w:r>
              <w:rPr>
                <w:rFonts w:ascii="Times New Roman" w:hAnsi="Times New Roman" w:eastAsia="Times New Roman" w:cs="Times New Roman"/>
                <w:spacing w:val="6"/>
              </w:rPr>
              <w:t xml:space="preserve"> </w:t>
            </w:r>
            <w:r>
              <w:rPr>
                <w:spacing w:val="6"/>
              </w:rPr>
              <w:t>厌氧发酵罐）</w:t>
            </w:r>
            <w:r>
              <w:rPr>
                <w:rFonts w:ascii="Times New Roman" w:hAnsi="Times New Roman" w:eastAsia="Times New Roman" w:cs="Times New Roman"/>
                <w:spacing w:val="6"/>
              </w:rPr>
              <w:t>+</w:t>
            </w:r>
            <w:r>
              <w:rPr>
                <w:spacing w:val="6"/>
              </w:rPr>
              <w:t>沼气脱水</w:t>
            </w:r>
            <w:r>
              <w:rPr>
                <w:rFonts w:ascii="Times New Roman" w:hAnsi="Times New Roman" w:eastAsia="Times New Roman" w:cs="Times New Roman"/>
                <w:spacing w:val="6"/>
              </w:rPr>
              <w:t>+</w:t>
            </w:r>
            <w:r>
              <w:rPr>
                <w:spacing w:val="6"/>
              </w:rPr>
              <w:t>干法脱硫</w:t>
            </w:r>
            <w:r>
              <w:rPr>
                <w:rFonts w:ascii="Times New Roman" w:hAnsi="Times New Roman" w:eastAsia="Times New Roman" w:cs="Times New Roman"/>
                <w:spacing w:val="6"/>
              </w:rPr>
              <w:t>+</w:t>
            </w:r>
            <w:r>
              <w:rPr>
                <w:spacing w:val="6"/>
              </w:rPr>
              <w:t>沼气储存利用</w:t>
            </w:r>
            <w:r>
              <w:rPr>
                <w:spacing w:val="-57"/>
              </w:rPr>
              <w:t xml:space="preserve"> </w:t>
            </w:r>
            <w:r>
              <w:rPr>
                <w:spacing w:val="6"/>
              </w:rPr>
              <w:t>”为核心的工艺技术，</w:t>
            </w:r>
            <w:r>
              <w:rPr/>
              <w:t xml:space="preserve"> </w:t>
            </w:r>
            <w:r>
              <w:rPr>
                <w:rFonts w:ascii="Times New Roman" w:hAnsi="Times New Roman" w:eastAsia="Times New Roman" w:cs="Times New Roman"/>
                <w:spacing w:val="9"/>
              </w:rPr>
              <w:t>38</w:t>
            </w:r>
            <w:r>
              <w:rPr>
                <w:spacing w:val="9"/>
              </w:rPr>
              <w:t>℃厌氧发酵</w:t>
            </w:r>
            <w:r>
              <w:rPr>
                <w:rFonts w:ascii="Times New Roman" w:hAnsi="Times New Roman" w:eastAsia="Times New Roman" w:cs="Times New Roman"/>
                <w:spacing w:val="9"/>
              </w:rPr>
              <w:t>~20d</w:t>
            </w:r>
            <w:r>
              <w:rPr>
                <w:rFonts w:ascii="Times New Roman" w:hAnsi="Times New Roman" w:eastAsia="Times New Roman" w:cs="Times New Roman"/>
                <w:spacing w:val="-24"/>
              </w:rPr>
              <w:t xml:space="preserve"> </w:t>
            </w:r>
            <w:r>
              <w:rPr>
                <w:spacing w:val="9"/>
              </w:rPr>
              <w:t>，沼气产生量为</w:t>
            </w:r>
            <w:r>
              <w:rPr>
                <w:spacing w:val="-42"/>
              </w:rPr>
              <w:t xml:space="preserve"> </w:t>
            </w:r>
            <w:r>
              <w:rPr>
                <w:rFonts w:ascii="Times New Roman" w:hAnsi="Times New Roman" w:eastAsia="Times New Roman" w:cs="Times New Roman"/>
                <w:spacing w:val="9"/>
              </w:rPr>
              <w:t>4500m</w:t>
            </w:r>
            <w:r>
              <w:rPr>
                <w:rFonts w:ascii="Times New Roman" w:hAnsi="Times New Roman" w:eastAsia="Times New Roman" w:cs="Times New Roman"/>
                <w:sz w:val="13"/>
                <w:szCs w:val="13"/>
                <w:spacing w:val="9"/>
                <w:position w:val="6"/>
              </w:rPr>
              <w:t>3</w:t>
            </w:r>
            <w:r>
              <w:rPr>
                <w:rFonts w:ascii="Times New Roman" w:hAnsi="Times New Roman" w:eastAsia="Times New Roman" w:cs="Times New Roman"/>
                <w:spacing w:val="9"/>
              </w:rPr>
              <w:t>/d</w:t>
            </w:r>
            <w:r>
              <w:rPr>
                <w:rFonts w:ascii="Times New Roman" w:hAnsi="Times New Roman" w:eastAsia="Times New Roman" w:cs="Times New Roman"/>
                <w:spacing w:val="-22"/>
              </w:rPr>
              <w:t xml:space="preserve"> </w:t>
            </w:r>
            <w:r>
              <w:rPr>
                <w:spacing w:val="9"/>
              </w:rPr>
              <w:t>，产生的沼气全部供应本次建设的</w:t>
            </w:r>
            <w:r>
              <w:rPr>
                <w:rFonts w:ascii="Times New Roman" w:hAnsi="Times New Roman" w:eastAsia="Times New Roman" w:cs="Times New Roman"/>
                <w:spacing w:val="9"/>
              </w:rPr>
              <w:t>4t/h</w:t>
            </w:r>
            <w:r>
              <w:rPr>
                <w:rFonts w:ascii="Times New Roman" w:hAnsi="Times New Roman" w:eastAsia="Times New Roman" w:cs="Times New Roman"/>
                <w:spacing w:val="16"/>
                <w:w w:val="101"/>
              </w:rPr>
              <w:t xml:space="preserve"> </w:t>
            </w:r>
            <w:r>
              <w:rPr>
                <w:spacing w:val="9"/>
              </w:rPr>
              <w:t>沼</w:t>
            </w:r>
            <w:r>
              <w:rPr>
                <w:spacing w:val="8"/>
              </w:rPr>
              <w:t>气锅炉；沼渣、沼液作为有机肥还田</w:t>
            </w:r>
            <w:r>
              <w:rPr/>
              <w:t xml:space="preserve"> </w:t>
            </w:r>
            <w:r>
              <w:rPr>
                <w:spacing w:val="5"/>
              </w:rPr>
              <w:t>利用（自用）。</w:t>
            </w:r>
          </w:p>
          <w:p>
            <w:pPr>
              <w:pStyle w:val="TableText"/>
              <w:ind w:left="430"/>
              <w:spacing w:line="226" w:lineRule="auto"/>
              <w:rPr/>
            </w:pPr>
            <w:r>
              <w:rPr>
                <w:spacing w:val="7"/>
              </w:rPr>
              <w:t>主要配置</w:t>
            </w:r>
            <w:r>
              <w:rPr>
                <w:spacing w:val="-21"/>
              </w:rPr>
              <w:t xml:space="preserve"> </w:t>
            </w:r>
            <w:r>
              <w:rPr>
                <w:rFonts w:ascii="Times New Roman" w:hAnsi="Times New Roman" w:eastAsia="Times New Roman" w:cs="Times New Roman"/>
                <w:spacing w:val="7"/>
              </w:rPr>
              <w:t>1 </w:t>
            </w:r>
            <w:r>
              <w:rPr>
                <w:spacing w:val="7"/>
              </w:rPr>
              <w:t>座</w:t>
            </w:r>
            <w:r>
              <w:rPr>
                <w:spacing w:val="-39"/>
              </w:rPr>
              <w:t xml:space="preserve"> </w:t>
            </w:r>
            <w:r>
              <w:rPr>
                <w:rFonts w:ascii="Times New Roman" w:hAnsi="Times New Roman" w:eastAsia="Times New Roman" w:cs="Times New Roman"/>
                <w:spacing w:val="7"/>
              </w:rPr>
              <w:t>3000m</w:t>
            </w:r>
            <w:r>
              <w:rPr>
                <w:rFonts w:ascii="Times New Roman" w:hAnsi="Times New Roman" w:eastAsia="Times New Roman" w:cs="Times New Roman"/>
                <w:sz w:val="13"/>
                <w:szCs w:val="13"/>
                <w:spacing w:val="7"/>
                <w:position w:val="6"/>
              </w:rPr>
              <w:t>3 </w:t>
            </w:r>
            <w:r>
              <w:rPr>
                <w:spacing w:val="7"/>
              </w:rPr>
              <w:t>厌氧发酵罐、</w:t>
            </w:r>
            <w:r>
              <w:rPr>
                <w:rFonts w:ascii="Times New Roman" w:hAnsi="Times New Roman" w:eastAsia="Times New Roman" w:cs="Times New Roman"/>
                <w:spacing w:val="7"/>
              </w:rPr>
              <w:t>1 </w:t>
            </w:r>
            <w:r>
              <w:rPr>
                <w:spacing w:val="7"/>
              </w:rPr>
              <w:t>套沼</w:t>
            </w:r>
            <w:r>
              <w:rPr>
                <w:spacing w:val="6"/>
              </w:rPr>
              <w:t>气脱硫设备、</w:t>
            </w:r>
            <w:r>
              <w:rPr>
                <w:rFonts w:ascii="Times New Roman" w:hAnsi="Times New Roman" w:eastAsia="Times New Roman" w:cs="Times New Roman"/>
                <w:spacing w:val="6"/>
              </w:rPr>
              <w:t>1 </w:t>
            </w:r>
            <w:r>
              <w:rPr>
                <w:spacing w:val="6"/>
              </w:rPr>
              <w:t>座</w:t>
            </w:r>
            <w:r>
              <w:rPr>
                <w:spacing w:val="-39"/>
              </w:rPr>
              <w:t xml:space="preserve"> </w:t>
            </w:r>
            <w:r>
              <w:rPr>
                <w:rFonts w:ascii="Times New Roman" w:hAnsi="Times New Roman" w:eastAsia="Times New Roman" w:cs="Times New Roman"/>
                <w:spacing w:val="6"/>
              </w:rPr>
              <w:t>300m</w:t>
            </w:r>
            <w:r>
              <w:rPr>
                <w:rFonts w:ascii="Times New Roman" w:hAnsi="Times New Roman" w:eastAsia="Times New Roman" w:cs="Times New Roman"/>
                <w:sz w:val="13"/>
                <w:szCs w:val="13"/>
                <w:spacing w:val="6"/>
                <w:position w:val="6"/>
              </w:rPr>
              <w:t>3</w:t>
            </w:r>
            <w:r>
              <w:rPr>
                <w:rFonts w:ascii="Times New Roman" w:hAnsi="Times New Roman" w:eastAsia="Times New Roman" w:cs="Times New Roman"/>
                <w:sz w:val="13"/>
                <w:szCs w:val="13"/>
                <w:spacing w:val="12"/>
                <w:position w:val="6"/>
              </w:rPr>
              <w:t xml:space="preserve"> </w:t>
            </w:r>
            <w:r>
              <w:rPr>
                <w:spacing w:val="6"/>
              </w:rPr>
              <w:t>气柜、</w:t>
            </w:r>
            <w:r>
              <w:rPr>
                <w:rFonts w:ascii="Times New Roman" w:hAnsi="Times New Roman" w:eastAsia="Times New Roman" w:cs="Times New Roman"/>
                <w:spacing w:val="6"/>
              </w:rPr>
              <w:t>1</w:t>
            </w:r>
            <w:r>
              <w:rPr>
                <w:rFonts w:ascii="Times New Roman" w:hAnsi="Times New Roman" w:eastAsia="Times New Roman" w:cs="Times New Roman"/>
                <w:spacing w:val="12"/>
              </w:rPr>
              <w:t xml:space="preserve"> </w:t>
            </w:r>
            <w:r>
              <w:rPr>
                <w:spacing w:val="6"/>
              </w:rPr>
              <w:t>个应急火炬、</w:t>
            </w:r>
            <w:r>
              <w:rPr>
                <w:rFonts w:ascii="Times New Roman" w:hAnsi="Times New Roman" w:eastAsia="Times New Roman" w:cs="Times New Roman"/>
                <w:spacing w:val="6"/>
              </w:rPr>
              <w:t>2</w:t>
            </w:r>
            <w:r>
              <w:rPr>
                <w:rFonts w:ascii="Times New Roman" w:hAnsi="Times New Roman" w:eastAsia="Times New Roman" w:cs="Times New Roman"/>
                <w:spacing w:val="28"/>
                <w:w w:val="101"/>
              </w:rPr>
              <w:t xml:space="preserve"> </w:t>
            </w:r>
            <w:r>
              <w:rPr>
                <w:spacing w:val="6"/>
              </w:rPr>
              <w:t>台螺旋挤压脱水机及泵体。</w:t>
            </w:r>
          </w:p>
          <w:p>
            <w:pPr>
              <w:pStyle w:val="TableText"/>
              <w:ind w:left="8" w:firstLine="418"/>
              <w:spacing w:before="27" w:line="239" w:lineRule="auto"/>
              <w:rPr/>
            </w:pPr>
            <w:r>
              <w:rPr>
                <w:spacing w:val="7"/>
              </w:rPr>
              <w:t>厌氧发酵装置的废水收集池</w:t>
            </w:r>
            <w:r>
              <w:rPr>
                <w:spacing w:val="-36"/>
              </w:rPr>
              <w:t xml:space="preserve"> </w:t>
            </w:r>
            <w:r>
              <w:rPr>
                <w:rFonts w:ascii="Times New Roman" w:hAnsi="Times New Roman" w:eastAsia="Times New Roman" w:cs="Times New Roman"/>
                <w:spacing w:val="7"/>
              </w:rPr>
              <w:t>64m</w:t>
            </w:r>
            <w:r>
              <w:rPr>
                <w:rFonts w:ascii="Times New Roman" w:hAnsi="Times New Roman" w:eastAsia="Times New Roman" w:cs="Times New Roman"/>
                <w:sz w:val="13"/>
                <w:szCs w:val="13"/>
                <w:spacing w:val="7"/>
                <w:position w:val="6"/>
              </w:rPr>
              <w:t>3</w:t>
            </w:r>
            <w:r>
              <w:rPr>
                <w:spacing w:val="7"/>
              </w:rPr>
              <w:t>（</w:t>
            </w:r>
            <w:r>
              <w:rPr>
                <w:rFonts w:ascii="Times New Roman" w:hAnsi="Times New Roman" w:eastAsia="Times New Roman" w:cs="Times New Roman"/>
                <w:spacing w:val="7"/>
              </w:rPr>
              <w:t>4m</w:t>
            </w:r>
            <w:r>
              <w:rPr>
                <w:rFonts w:ascii="Arial" w:hAnsi="Arial" w:eastAsia="Arial" w:cs="Arial"/>
                <w:spacing w:val="7"/>
              </w:rPr>
              <w:t>×</w:t>
            </w:r>
            <w:r>
              <w:rPr>
                <w:rFonts w:ascii="Times New Roman" w:hAnsi="Times New Roman" w:eastAsia="Times New Roman" w:cs="Times New Roman"/>
                <w:spacing w:val="7"/>
              </w:rPr>
              <w:t>4m</w:t>
            </w:r>
            <w:r>
              <w:rPr>
                <w:rFonts w:ascii="Arial" w:hAnsi="Arial" w:eastAsia="Arial" w:cs="Arial"/>
                <w:spacing w:val="7"/>
              </w:rPr>
              <w:t>×</w:t>
            </w:r>
            <w:r>
              <w:rPr>
                <w:rFonts w:ascii="Times New Roman" w:hAnsi="Times New Roman" w:eastAsia="Times New Roman" w:cs="Times New Roman"/>
                <w:spacing w:val="7"/>
              </w:rPr>
              <w:t>4m</w:t>
            </w:r>
            <w:r>
              <w:rPr>
                <w:spacing w:val="7"/>
              </w:rPr>
              <w:t>）、洗毛废水含固率（</w:t>
            </w:r>
            <w:r>
              <w:rPr>
                <w:rFonts w:ascii="Times New Roman" w:hAnsi="Times New Roman" w:eastAsia="Times New Roman" w:cs="Times New Roman"/>
              </w:rPr>
              <w:t>TS</w:t>
            </w:r>
            <w:r>
              <w:rPr>
                <w:spacing w:val="7"/>
              </w:rPr>
              <w:t>）调节池</w:t>
            </w:r>
            <w:r>
              <w:rPr>
                <w:spacing w:val="-21"/>
              </w:rPr>
              <w:t xml:space="preserve"> </w:t>
            </w:r>
            <w:r>
              <w:rPr>
                <w:rFonts w:ascii="Times New Roman" w:hAnsi="Times New Roman" w:eastAsia="Times New Roman" w:cs="Times New Roman"/>
                <w:spacing w:val="7"/>
              </w:rPr>
              <w:t>128m</w:t>
            </w:r>
            <w:r>
              <w:rPr>
                <w:rFonts w:ascii="Times New Roman" w:hAnsi="Times New Roman" w:eastAsia="Times New Roman" w:cs="Times New Roman"/>
                <w:sz w:val="13"/>
                <w:szCs w:val="13"/>
                <w:spacing w:val="7"/>
                <w:position w:val="6"/>
              </w:rPr>
              <w:t>3</w:t>
            </w:r>
            <w:r>
              <w:rPr>
                <w:spacing w:val="7"/>
              </w:rPr>
              <w:t>（</w:t>
            </w:r>
            <w:r>
              <w:rPr>
                <w:rFonts w:ascii="Times New Roman" w:hAnsi="Times New Roman" w:eastAsia="Times New Roman" w:cs="Times New Roman"/>
                <w:spacing w:val="7"/>
              </w:rPr>
              <w:t>4m</w:t>
            </w:r>
            <w:r>
              <w:rPr>
                <w:rFonts w:ascii="Arial" w:hAnsi="Arial" w:eastAsia="Arial" w:cs="Arial"/>
                <w:spacing w:val="7"/>
              </w:rPr>
              <w:t>×</w:t>
            </w:r>
            <w:r>
              <w:rPr>
                <w:rFonts w:ascii="Times New Roman" w:hAnsi="Times New Roman" w:eastAsia="Times New Roman" w:cs="Times New Roman"/>
                <w:spacing w:val="7"/>
              </w:rPr>
              <w:t>8m</w:t>
            </w:r>
            <w:r>
              <w:rPr>
                <w:rFonts w:ascii="Arial" w:hAnsi="Arial" w:eastAsia="Arial" w:cs="Arial"/>
                <w:spacing w:val="7"/>
              </w:rPr>
              <w:t>×</w:t>
            </w:r>
            <w:r>
              <w:rPr>
                <w:rFonts w:ascii="Times New Roman" w:hAnsi="Times New Roman" w:eastAsia="Times New Roman" w:cs="Times New Roman"/>
                <w:spacing w:val="7"/>
              </w:rPr>
              <w:t>4m</w:t>
            </w:r>
            <w:r>
              <w:rPr>
                <w:rFonts w:ascii="Times New Roman" w:hAnsi="Times New Roman" w:eastAsia="Times New Roman" w:cs="Times New Roman"/>
                <w:spacing w:val="-22"/>
              </w:rPr>
              <w:t xml:space="preserve"> </w:t>
            </w:r>
            <w:r>
              <w:rPr>
                <w:spacing w:val="7"/>
              </w:rPr>
              <w:t>，每天分</w:t>
            </w:r>
            <w:r>
              <w:rPr>
                <w:spacing w:val="-41"/>
              </w:rPr>
              <w:t xml:space="preserve"> </w:t>
            </w:r>
            <w:r>
              <w:rPr>
                <w:rFonts w:ascii="Times New Roman" w:hAnsi="Times New Roman" w:eastAsia="Times New Roman" w:cs="Times New Roman"/>
                <w:spacing w:val="7"/>
              </w:rPr>
              <w:t>2</w:t>
            </w:r>
            <w:r>
              <w:rPr>
                <w:rFonts w:ascii="Times New Roman" w:hAnsi="Times New Roman" w:eastAsia="Times New Roman" w:cs="Times New Roman"/>
                <w:spacing w:val="6"/>
              </w:rPr>
              <w:t xml:space="preserve"> </w:t>
            </w:r>
            <w:r>
              <w:rPr>
                <w:spacing w:val="6"/>
              </w:rPr>
              <w:t>批调</w:t>
            </w:r>
            <w:r>
              <w:rPr/>
              <w:t xml:space="preserve"> </w:t>
            </w:r>
            <w:r>
              <w:rPr>
                <w:spacing w:val="3"/>
              </w:rPr>
              <w:t>节）、固液分离池</w:t>
            </w:r>
            <w:r>
              <w:rPr>
                <w:spacing w:val="-39"/>
              </w:rPr>
              <w:t xml:space="preserve"> </w:t>
            </w:r>
            <w:r>
              <w:rPr>
                <w:rFonts w:ascii="Times New Roman" w:hAnsi="Times New Roman" w:eastAsia="Times New Roman" w:cs="Times New Roman"/>
                <w:spacing w:val="3"/>
              </w:rPr>
              <w:t>64m</w:t>
            </w:r>
            <w:r>
              <w:rPr>
                <w:rFonts w:ascii="Times New Roman" w:hAnsi="Times New Roman" w:eastAsia="Times New Roman" w:cs="Times New Roman"/>
                <w:sz w:val="13"/>
                <w:szCs w:val="13"/>
                <w:spacing w:val="3"/>
                <w:position w:val="6"/>
              </w:rPr>
              <w:t>3</w:t>
            </w:r>
            <w:r>
              <w:rPr>
                <w:spacing w:val="3"/>
              </w:rPr>
              <w:t>（</w:t>
            </w:r>
            <w:r>
              <w:rPr>
                <w:rFonts w:ascii="Times New Roman" w:hAnsi="Times New Roman" w:eastAsia="Times New Roman" w:cs="Times New Roman"/>
                <w:spacing w:val="3"/>
              </w:rPr>
              <w:t>4m</w:t>
            </w:r>
            <w:r>
              <w:rPr>
                <w:rFonts w:ascii="Arial" w:hAnsi="Arial" w:eastAsia="Arial" w:cs="Arial"/>
                <w:spacing w:val="3"/>
              </w:rPr>
              <w:t>×</w:t>
            </w:r>
            <w:r>
              <w:rPr>
                <w:rFonts w:ascii="Times New Roman" w:hAnsi="Times New Roman" w:eastAsia="Times New Roman" w:cs="Times New Roman"/>
                <w:spacing w:val="3"/>
              </w:rPr>
              <w:t>4m</w:t>
            </w:r>
            <w:r>
              <w:rPr>
                <w:rFonts w:ascii="Arial" w:hAnsi="Arial" w:eastAsia="Arial" w:cs="Arial"/>
                <w:spacing w:val="3"/>
              </w:rPr>
              <w:t>×</w:t>
            </w:r>
            <w:r>
              <w:rPr>
                <w:rFonts w:ascii="Times New Roman" w:hAnsi="Times New Roman" w:eastAsia="Times New Roman" w:cs="Times New Roman"/>
                <w:spacing w:val="3"/>
              </w:rPr>
              <w:t>4m</w:t>
            </w:r>
            <w:r>
              <w:rPr>
                <w:spacing w:val="3"/>
              </w:rPr>
              <w:t>）、沼液池</w:t>
            </w:r>
            <w:r>
              <w:rPr>
                <w:spacing w:val="-22"/>
              </w:rPr>
              <w:t xml:space="preserve"> </w:t>
            </w:r>
            <w:r>
              <w:rPr>
                <w:rFonts w:ascii="Times New Roman" w:hAnsi="Times New Roman" w:eastAsia="Times New Roman" w:cs="Times New Roman"/>
                <w:spacing w:val="3"/>
              </w:rPr>
              <w:t>112m</w:t>
            </w:r>
            <w:r>
              <w:rPr>
                <w:rFonts w:ascii="Times New Roman" w:hAnsi="Times New Roman" w:eastAsia="Times New Roman" w:cs="Times New Roman"/>
                <w:sz w:val="13"/>
                <w:szCs w:val="13"/>
                <w:spacing w:val="3"/>
                <w:position w:val="6"/>
              </w:rPr>
              <w:t>3</w:t>
            </w:r>
            <w:r>
              <w:rPr>
                <w:spacing w:val="3"/>
              </w:rPr>
              <w:t>（</w:t>
            </w:r>
            <w:r>
              <w:rPr>
                <w:rFonts w:ascii="Times New Roman" w:hAnsi="Times New Roman" w:eastAsia="Times New Roman" w:cs="Times New Roman"/>
                <w:spacing w:val="3"/>
              </w:rPr>
              <w:t>4m×7m×4m</w:t>
            </w:r>
            <w:r>
              <w:rPr>
                <w:spacing w:val="3"/>
              </w:rPr>
              <w:t>）均位于洗毛车间（二）内。洗毛废水、地面冲洗废水、</w:t>
            </w:r>
            <w:r>
              <w:rPr/>
              <w:t xml:space="preserve"> </w:t>
            </w:r>
            <w:r>
              <w:rPr>
                <w:spacing w:val="7"/>
              </w:rPr>
              <w:t>冲厕废水经收集进入废水收集池，混合后进入</w:t>
            </w:r>
            <w:r>
              <w:rPr>
                <w:spacing w:val="-21"/>
              </w:rPr>
              <w:t xml:space="preserve"> </w:t>
            </w:r>
            <w:r>
              <w:rPr>
                <w:rFonts w:ascii="Times New Roman" w:hAnsi="Times New Roman" w:eastAsia="Times New Roman" w:cs="Times New Roman"/>
              </w:rPr>
              <w:t>TS</w:t>
            </w:r>
            <w:r>
              <w:rPr>
                <w:rFonts w:ascii="Times New Roman" w:hAnsi="Times New Roman" w:eastAsia="Times New Roman" w:cs="Times New Roman"/>
                <w:spacing w:val="7"/>
              </w:rPr>
              <w:t xml:space="preserve"> </w:t>
            </w:r>
            <w:r>
              <w:rPr>
                <w:spacing w:val="7"/>
              </w:rPr>
              <w:t>调节池，调节废水含固率</w:t>
            </w:r>
            <w:r>
              <w:rPr>
                <w:rFonts w:ascii="Times New Roman" w:hAnsi="Times New Roman" w:eastAsia="Times New Roman" w:cs="Times New Roman"/>
                <w:spacing w:val="7"/>
              </w:rPr>
              <w:t>&gt;6%</w:t>
            </w:r>
            <w:r>
              <w:rPr>
                <w:rFonts w:ascii="Times New Roman" w:hAnsi="Times New Roman" w:eastAsia="Times New Roman" w:cs="Times New Roman"/>
                <w:spacing w:val="-26"/>
              </w:rPr>
              <w:t xml:space="preserve"> </w:t>
            </w:r>
            <w:r>
              <w:rPr>
                <w:spacing w:val="7"/>
              </w:rPr>
              <w:t>，然后进入厌氧发酵罐发酵</w:t>
            </w:r>
            <w:r>
              <w:rPr>
                <w:rFonts w:ascii="Times New Roman" w:hAnsi="Times New Roman" w:eastAsia="Times New Roman" w:cs="Times New Roman"/>
                <w:spacing w:val="7"/>
              </w:rPr>
              <w:t>~20d</w:t>
            </w:r>
            <w:r>
              <w:rPr>
                <w:spacing w:val="7"/>
              </w:rPr>
              <w:t>。</w:t>
            </w:r>
          </w:p>
        </w:tc>
        <w:tc>
          <w:tcPr>
            <w:tcW w:w="1302" w:type="dxa"/>
            <w:vAlign w:val="top"/>
          </w:tcPr>
          <w:p>
            <w:pPr>
              <w:spacing w:line="260" w:lineRule="auto"/>
              <w:rPr>
                <w:rFonts w:ascii="Arial"/>
                <w:sz w:val="21"/>
              </w:rPr>
            </w:pPr>
            <w:r/>
          </w:p>
          <w:p>
            <w:pPr>
              <w:spacing w:line="261" w:lineRule="auto"/>
              <w:rPr>
                <w:rFonts w:ascii="Arial"/>
                <w:sz w:val="21"/>
              </w:rPr>
            </w:pPr>
            <w:r/>
          </w:p>
          <w:p>
            <w:pPr>
              <w:spacing w:line="261" w:lineRule="auto"/>
              <w:rPr>
                <w:rFonts w:ascii="Arial"/>
                <w:sz w:val="21"/>
              </w:rPr>
            </w:pPr>
            <w:r/>
          </w:p>
          <w:p>
            <w:pPr>
              <w:pStyle w:val="TableText"/>
              <w:ind w:left="447"/>
              <w:spacing w:before="65" w:line="228" w:lineRule="auto"/>
              <w:rPr/>
            </w:pPr>
            <w:r>
              <w:rPr>
                <w:spacing w:val="4"/>
              </w:rPr>
              <w:t>新建</w:t>
            </w:r>
          </w:p>
        </w:tc>
      </w:tr>
      <w:tr>
        <w:trPr>
          <w:trHeight w:val="549" w:hRule="atLeast"/>
        </w:trPr>
        <w:tc>
          <w:tcPr>
            <w:tcW w:w="398" w:type="dxa"/>
            <w:vAlign w:val="top"/>
            <w:vMerge w:val="continue"/>
            <w:textDirection w:val="tbRlV"/>
            <w:tcBorders>
              <w:top w:val="nil"/>
            </w:tcBorders>
          </w:tcPr>
          <w:p>
            <w:pPr>
              <w:rPr>
                <w:rFonts w:ascii="Arial"/>
                <w:sz w:val="21"/>
              </w:rPr>
            </w:pPr>
            <w:r/>
          </w:p>
        </w:tc>
        <w:tc>
          <w:tcPr>
            <w:tcW w:w="690" w:type="dxa"/>
            <w:vAlign w:val="top"/>
            <w:vMerge w:val="continue"/>
            <w:tcBorders>
              <w:top w:val="nil"/>
            </w:tcBorders>
          </w:tcPr>
          <w:p>
            <w:pPr>
              <w:rPr>
                <w:rFonts w:ascii="Arial"/>
                <w:sz w:val="21"/>
              </w:rPr>
            </w:pPr>
            <w:r/>
          </w:p>
        </w:tc>
        <w:tc>
          <w:tcPr>
            <w:tcW w:w="1450" w:type="dxa"/>
            <w:vAlign w:val="top"/>
            <w:vMerge w:val="continue"/>
            <w:tcBorders>
              <w:top w:val="nil"/>
            </w:tcBorders>
          </w:tcPr>
          <w:p>
            <w:pPr>
              <w:rPr>
                <w:rFonts w:ascii="Arial"/>
                <w:sz w:val="21"/>
              </w:rPr>
            </w:pPr>
            <w:r/>
          </w:p>
        </w:tc>
        <w:tc>
          <w:tcPr>
            <w:tcW w:w="11283" w:type="dxa"/>
            <w:vAlign w:val="top"/>
          </w:tcPr>
          <w:p>
            <w:pPr>
              <w:pStyle w:val="TableText"/>
              <w:ind w:left="9" w:right="53" w:firstLine="420"/>
              <w:spacing w:before="34" w:line="233" w:lineRule="auto"/>
              <w:rPr/>
            </w:pPr>
            <w:r>
              <w:rPr>
                <w:spacing w:val="11"/>
              </w:rPr>
              <w:t>厌氧发酵装置产生的厌氧发酵产物先经固液分离池收集，再经螺旋挤压脱水机脱</w:t>
            </w:r>
            <w:r>
              <w:rPr>
                <w:spacing w:val="10"/>
              </w:rPr>
              <w:t>水得到含水率</w:t>
            </w:r>
            <w:r>
              <w:rPr>
                <w:rFonts w:ascii="Times New Roman" w:hAnsi="Times New Roman" w:eastAsia="Times New Roman" w:cs="Times New Roman"/>
                <w:spacing w:val="10"/>
              </w:rPr>
              <w:t>~60%</w:t>
            </w:r>
            <w:r>
              <w:rPr>
                <w:spacing w:val="10"/>
              </w:rPr>
              <w:t>的沼渣（泥饼</w:t>
            </w:r>
            <w:r>
              <w:rPr>
                <w:spacing w:val="-13"/>
              </w:rPr>
              <w:t>），</w:t>
            </w:r>
            <w:r>
              <w:rPr/>
              <w:t xml:space="preserve"> </w:t>
            </w:r>
            <w:r>
              <w:rPr>
                <w:spacing w:val="9"/>
              </w:rPr>
              <w:t>作为沼渣肥还田利用（自用</w:t>
            </w:r>
            <w:r>
              <w:rPr>
                <w:spacing w:val="19"/>
              </w:rPr>
              <w:t>），</w:t>
            </w:r>
            <w:r>
              <w:rPr>
                <w:spacing w:val="9"/>
              </w:rPr>
              <w:t>浓缩池上清液和螺旋挤压脱水机滤液即为本项目沼液肥，作为有机肥还田利用（自用）。</w:t>
            </w:r>
          </w:p>
        </w:tc>
        <w:tc>
          <w:tcPr>
            <w:tcW w:w="1302" w:type="dxa"/>
            <w:vAlign w:val="top"/>
          </w:tcPr>
          <w:p>
            <w:pPr>
              <w:pStyle w:val="TableText"/>
              <w:ind w:left="447"/>
              <w:spacing w:before="169" w:line="228" w:lineRule="auto"/>
              <w:rPr/>
            </w:pPr>
            <w:r>
              <w:rPr>
                <w:spacing w:val="4"/>
              </w:rPr>
              <w:t>新建</w:t>
            </w:r>
          </w:p>
        </w:tc>
      </w:tr>
      <w:tr>
        <w:trPr>
          <w:trHeight w:val="278" w:hRule="atLeast"/>
        </w:trPr>
        <w:tc>
          <w:tcPr>
            <w:tcW w:w="398" w:type="dxa"/>
            <w:vAlign w:val="top"/>
            <w:vMerge w:val="restart"/>
            <w:textDirection w:val="tbRlV"/>
            <w:tcBorders>
              <w:bottom w:val="nil"/>
            </w:tcBorders>
          </w:tcPr>
          <w:p>
            <w:pPr>
              <w:pStyle w:val="TableText"/>
              <w:ind w:left="599"/>
              <w:spacing w:before="93" w:line="217" w:lineRule="auto"/>
              <w:rPr/>
            </w:pPr>
            <w:r>
              <w:rPr>
                <w:spacing w:val="8"/>
              </w:rPr>
              <w:t>辅</w:t>
            </w:r>
            <w:r>
              <w:rPr>
                <w:spacing w:val="-36"/>
              </w:rPr>
              <w:t xml:space="preserve"> </w:t>
            </w:r>
            <w:r>
              <w:rPr>
                <w:spacing w:val="8"/>
              </w:rPr>
              <w:t>助</w:t>
            </w:r>
            <w:r>
              <w:rPr>
                <w:spacing w:val="-35"/>
              </w:rPr>
              <w:t xml:space="preserve"> </w:t>
            </w:r>
            <w:r>
              <w:rPr>
                <w:spacing w:val="8"/>
              </w:rPr>
              <w:t>工</w:t>
            </w:r>
            <w:r>
              <w:rPr>
                <w:spacing w:val="-35"/>
              </w:rPr>
              <w:t xml:space="preserve"> </w:t>
            </w:r>
            <w:r>
              <w:rPr>
                <w:spacing w:val="8"/>
              </w:rPr>
              <w:t>程</w:t>
            </w:r>
          </w:p>
        </w:tc>
        <w:tc>
          <w:tcPr>
            <w:tcW w:w="690" w:type="dxa"/>
            <w:vAlign w:val="top"/>
          </w:tcPr>
          <w:p>
            <w:pPr>
              <w:pStyle w:val="TableText"/>
              <w:ind w:left="41"/>
              <w:spacing w:before="35" w:line="215" w:lineRule="auto"/>
              <w:rPr/>
            </w:pPr>
            <w:r>
              <w:rPr>
                <w:spacing w:val="4"/>
              </w:rPr>
              <w:t>东厂区</w:t>
            </w:r>
          </w:p>
        </w:tc>
        <w:tc>
          <w:tcPr>
            <w:tcW w:w="1450" w:type="dxa"/>
            <w:vAlign w:val="top"/>
          </w:tcPr>
          <w:p>
            <w:pPr>
              <w:pStyle w:val="TableText"/>
              <w:ind w:left="416"/>
              <w:spacing w:before="35" w:line="215" w:lineRule="auto"/>
              <w:rPr/>
            </w:pPr>
            <w:r>
              <w:rPr>
                <w:spacing w:val="5"/>
              </w:rPr>
              <w:t>办公区</w:t>
            </w:r>
          </w:p>
        </w:tc>
        <w:tc>
          <w:tcPr>
            <w:tcW w:w="11283" w:type="dxa"/>
            <w:vAlign w:val="top"/>
          </w:tcPr>
          <w:p>
            <w:pPr>
              <w:pStyle w:val="TableText"/>
              <w:ind w:left="428"/>
              <w:spacing w:before="35" w:line="215" w:lineRule="auto"/>
              <w:rPr/>
            </w:pPr>
            <w:r>
              <w:rPr>
                <w:spacing w:val="7"/>
              </w:rPr>
              <w:t>位于东厂区南侧，建筑面积</w:t>
            </w:r>
            <w:r>
              <w:rPr>
                <w:spacing w:val="-21"/>
              </w:rPr>
              <w:t xml:space="preserve"> </w:t>
            </w:r>
            <w:r>
              <w:rPr>
                <w:rFonts w:ascii="Times New Roman" w:hAnsi="Times New Roman" w:eastAsia="Times New Roman" w:cs="Times New Roman"/>
                <w:spacing w:val="7"/>
              </w:rPr>
              <w:t>150m</w:t>
            </w:r>
            <w:r>
              <w:rPr>
                <w:rFonts w:ascii="Times New Roman" w:hAnsi="Times New Roman" w:eastAsia="Times New Roman" w:cs="Times New Roman"/>
                <w:sz w:val="13"/>
                <w:szCs w:val="13"/>
                <w:spacing w:val="7"/>
                <w:position w:val="6"/>
              </w:rPr>
              <w:t>2</w:t>
            </w:r>
            <w:r>
              <w:rPr>
                <w:rFonts w:ascii="Times New Roman" w:hAnsi="Times New Roman" w:eastAsia="Times New Roman" w:cs="Times New Roman"/>
                <w:sz w:val="13"/>
                <w:szCs w:val="13"/>
                <w:spacing w:val="-8"/>
                <w:position w:val="6"/>
              </w:rPr>
              <w:t xml:space="preserve"> </w:t>
            </w:r>
            <w:r>
              <w:rPr>
                <w:spacing w:val="7"/>
              </w:rPr>
              <w:t>，作为工作</w:t>
            </w:r>
            <w:r>
              <w:rPr>
                <w:spacing w:val="6"/>
              </w:rPr>
              <w:t>人员临时休息区。</w:t>
            </w:r>
          </w:p>
        </w:tc>
        <w:tc>
          <w:tcPr>
            <w:tcW w:w="1302" w:type="dxa"/>
            <w:vAlign w:val="top"/>
          </w:tcPr>
          <w:p>
            <w:pPr>
              <w:pStyle w:val="TableText"/>
              <w:ind w:left="156"/>
              <w:spacing w:before="35" w:line="215" w:lineRule="auto"/>
              <w:rPr/>
            </w:pPr>
            <w:r>
              <w:rPr>
                <w:spacing w:val="3"/>
              </w:rPr>
              <w:t>旧建筑改造</w:t>
            </w:r>
          </w:p>
        </w:tc>
      </w:tr>
      <w:tr>
        <w:trPr>
          <w:trHeight w:val="277"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restart"/>
            <w:tcBorders>
              <w:bottom w:val="nil"/>
            </w:tcBorders>
          </w:tcPr>
          <w:p>
            <w:pPr>
              <w:spacing w:line="265" w:lineRule="auto"/>
              <w:rPr>
                <w:rFonts w:ascii="Arial"/>
                <w:sz w:val="21"/>
              </w:rPr>
            </w:pPr>
            <w:r/>
          </w:p>
          <w:p>
            <w:pPr>
              <w:spacing w:line="265" w:lineRule="auto"/>
              <w:rPr>
                <w:rFonts w:ascii="Arial"/>
                <w:sz w:val="21"/>
              </w:rPr>
            </w:pPr>
            <w:r/>
          </w:p>
          <w:p>
            <w:pPr>
              <w:spacing w:line="266" w:lineRule="auto"/>
              <w:rPr>
                <w:rFonts w:ascii="Arial"/>
                <w:sz w:val="21"/>
              </w:rPr>
            </w:pPr>
            <w:r/>
          </w:p>
          <w:p>
            <w:pPr>
              <w:pStyle w:val="TableText"/>
              <w:ind w:left="38"/>
              <w:spacing w:before="65" w:line="228" w:lineRule="auto"/>
              <w:rPr/>
            </w:pPr>
            <w:r>
              <w:rPr>
                <w:spacing w:val="5"/>
              </w:rPr>
              <w:t>西厂区</w:t>
            </w:r>
          </w:p>
        </w:tc>
        <w:tc>
          <w:tcPr>
            <w:tcW w:w="1450" w:type="dxa"/>
            <w:vAlign w:val="top"/>
          </w:tcPr>
          <w:p>
            <w:pPr>
              <w:pStyle w:val="TableText"/>
              <w:ind w:left="416"/>
              <w:spacing w:before="35" w:line="214" w:lineRule="auto"/>
              <w:rPr/>
            </w:pPr>
            <w:r>
              <w:rPr>
                <w:spacing w:val="5"/>
              </w:rPr>
              <w:t>办公楼</w:t>
            </w:r>
          </w:p>
        </w:tc>
        <w:tc>
          <w:tcPr>
            <w:tcW w:w="11283" w:type="dxa"/>
            <w:vAlign w:val="top"/>
          </w:tcPr>
          <w:p>
            <w:pPr>
              <w:pStyle w:val="TableText"/>
              <w:ind w:left="428"/>
              <w:spacing w:before="35" w:line="214" w:lineRule="auto"/>
              <w:rPr/>
            </w:pPr>
            <w:r>
              <w:rPr>
                <w:rFonts w:ascii="Times New Roman" w:hAnsi="Times New Roman" w:eastAsia="Times New Roman" w:cs="Times New Roman"/>
                <w:spacing w:val="6"/>
              </w:rPr>
              <w:t>3F</w:t>
            </w:r>
            <w:r>
              <w:rPr>
                <w:rFonts w:ascii="Times New Roman" w:hAnsi="Times New Roman" w:eastAsia="Times New Roman" w:cs="Times New Roman"/>
                <w:spacing w:val="-26"/>
              </w:rPr>
              <w:t xml:space="preserve"> </w:t>
            </w:r>
            <w:r>
              <w:rPr>
                <w:spacing w:val="6"/>
              </w:rPr>
              <w:t>，建筑面积</w:t>
            </w:r>
            <w:r>
              <w:rPr>
                <w:spacing w:val="-21"/>
              </w:rPr>
              <w:t xml:space="preserve"> </w:t>
            </w:r>
            <w:r>
              <w:rPr>
                <w:rFonts w:ascii="Times New Roman" w:hAnsi="Times New Roman" w:eastAsia="Times New Roman" w:cs="Times New Roman"/>
                <w:spacing w:val="6"/>
              </w:rPr>
              <w:t>1745m</w:t>
            </w:r>
            <w:r>
              <w:rPr>
                <w:rFonts w:ascii="Times New Roman" w:hAnsi="Times New Roman" w:eastAsia="Times New Roman" w:cs="Times New Roman"/>
                <w:sz w:val="13"/>
                <w:szCs w:val="13"/>
                <w:spacing w:val="6"/>
                <w:position w:val="6"/>
              </w:rPr>
              <w:t>2</w:t>
            </w:r>
            <w:r>
              <w:rPr>
                <w:rFonts w:ascii="Times New Roman" w:hAnsi="Times New Roman" w:eastAsia="Times New Roman" w:cs="Times New Roman"/>
                <w:sz w:val="13"/>
                <w:szCs w:val="13"/>
                <w:spacing w:val="-8"/>
                <w:position w:val="6"/>
              </w:rPr>
              <w:t xml:space="preserve"> </w:t>
            </w:r>
            <w:r>
              <w:rPr>
                <w:spacing w:val="6"/>
              </w:rPr>
              <w:t>，包含办公室、</w:t>
            </w:r>
            <w:r>
              <w:rPr>
                <w:spacing w:val="5"/>
              </w:rPr>
              <w:t>宿舍、食堂、中控室等。</w:t>
            </w:r>
          </w:p>
        </w:tc>
        <w:tc>
          <w:tcPr>
            <w:tcW w:w="1302" w:type="dxa"/>
            <w:vAlign w:val="top"/>
          </w:tcPr>
          <w:p>
            <w:pPr>
              <w:pStyle w:val="TableText"/>
              <w:ind w:left="447"/>
              <w:spacing w:before="35" w:line="214" w:lineRule="auto"/>
              <w:rPr/>
            </w:pPr>
            <w:r>
              <w:rPr>
                <w:spacing w:val="4"/>
              </w:rPr>
              <w:t>新建</w:t>
            </w:r>
          </w:p>
        </w:tc>
      </w:tr>
      <w:tr>
        <w:trPr>
          <w:trHeight w:val="821"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vMerge w:val="restart"/>
            <w:tcBorders>
              <w:bottom w:val="nil"/>
            </w:tcBorders>
          </w:tcPr>
          <w:p>
            <w:pPr>
              <w:spacing w:line="257" w:lineRule="auto"/>
              <w:rPr>
                <w:rFonts w:ascii="Arial"/>
                <w:sz w:val="21"/>
              </w:rPr>
            </w:pPr>
            <w:r/>
          </w:p>
          <w:p>
            <w:pPr>
              <w:spacing w:line="258" w:lineRule="auto"/>
              <w:rPr>
                <w:rFonts w:ascii="Arial"/>
                <w:sz w:val="21"/>
              </w:rPr>
            </w:pPr>
            <w:r/>
          </w:p>
          <w:p>
            <w:pPr>
              <w:pStyle w:val="TableText"/>
              <w:ind w:left="411"/>
              <w:spacing w:before="65" w:line="228" w:lineRule="auto"/>
              <w:rPr/>
            </w:pPr>
            <w:r>
              <w:rPr>
                <w:spacing w:val="6"/>
              </w:rPr>
              <w:t>锅炉房</w:t>
            </w:r>
          </w:p>
        </w:tc>
        <w:tc>
          <w:tcPr>
            <w:tcW w:w="11283" w:type="dxa"/>
            <w:vAlign w:val="top"/>
          </w:tcPr>
          <w:p>
            <w:pPr>
              <w:pStyle w:val="TableText"/>
              <w:ind w:left="8" w:firstLine="422"/>
              <w:spacing w:before="34" w:line="239" w:lineRule="auto"/>
              <w:jc w:val="both"/>
              <w:rPr/>
            </w:pPr>
            <w:r>
              <w:rPr>
                <w:spacing w:val="6"/>
              </w:rPr>
              <w:t>建设</w:t>
            </w:r>
            <w:r>
              <w:rPr>
                <w:spacing w:val="-12"/>
              </w:rPr>
              <w:t xml:space="preserve"> </w:t>
            </w:r>
            <w:r>
              <w:rPr>
                <w:rFonts w:ascii="Times New Roman" w:hAnsi="Times New Roman" w:eastAsia="Times New Roman" w:cs="Times New Roman"/>
                <w:spacing w:val="6"/>
              </w:rPr>
              <w:t>1</w:t>
            </w:r>
            <w:r>
              <w:rPr>
                <w:rFonts w:ascii="Times New Roman" w:hAnsi="Times New Roman" w:eastAsia="Times New Roman" w:cs="Times New Roman"/>
                <w:spacing w:val="29"/>
              </w:rPr>
              <w:t xml:space="preserve"> </w:t>
            </w:r>
            <w:r>
              <w:rPr>
                <w:spacing w:val="6"/>
              </w:rPr>
              <w:t>台</w:t>
            </w:r>
            <w:r>
              <w:rPr>
                <w:spacing w:val="-44"/>
              </w:rPr>
              <w:t xml:space="preserve"> </w:t>
            </w:r>
            <w:r>
              <w:rPr>
                <w:rFonts w:ascii="Times New Roman" w:hAnsi="Times New Roman" w:eastAsia="Times New Roman" w:cs="Times New Roman"/>
                <w:spacing w:val="6"/>
              </w:rPr>
              <w:t>4t/h</w:t>
            </w:r>
            <w:r>
              <w:rPr>
                <w:rFonts w:ascii="Times New Roman" w:hAnsi="Times New Roman" w:eastAsia="Times New Roman" w:cs="Times New Roman"/>
                <w:spacing w:val="16"/>
                <w:w w:val="101"/>
              </w:rPr>
              <w:t xml:space="preserve"> </w:t>
            </w:r>
            <w:r>
              <w:rPr>
                <w:spacing w:val="6"/>
              </w:rPr>
              <w:t>沼气蒸汽锅炉、</w:t>
            </w:r>
            <w:r>
              <w:rPr>
                <w:rFonts w:ascii="Times New Roman" w:hAnsi="Times New Roman" w:eastAsia="Times New Roman" w:cs="Times New Roman"/>
                <w:spacing w:val="6"/>
              </w:rPr>
              <w:t>1</w:t>
            </w:r>
            <w:r>
              <w:rPr>
                <w:rFonts w:ascii="Times New Roman" w:hAnsi="Times New Roman" w:eastAsia="Times New Roman" w:cs="Times New Roman"/>
                <w:spacing w:val="25"/>
                <w:w w:val="101"/>
              </w:rPr>
              <w:t xml:space="preserve"> </w:t>
            </w:r>
            <w:r>
              <w:rPr>
                <w:spacing w:val="6"/>
              </w:rPr>
              <w:t>台</w:t>
            </w:r>
            <w:r>
              <w:rPr>
                <w:spacing w:val="-36"/>
              </w:rPr>
              <w:t xml:space="preserve"> </w:t>
            </w:r>
            <w:r>
              <w:rPr>
                <w:rFonts w:ascii="Times New Roman" w:hAnsi="Times New Roman" w:eastAsia="Times New Roman" w:cs="Times New Roman"/>
                <w:spacing w:val="6"/>
              </w:rPr>
              <w:t>6t/h </w:t>
            </w:r>
            <w:r>
              <w:rPr>
                <w:spacing w:val="6"/>
              </w:rPr>
              <w:t>生物质蒸汽锅炉；满足项目生产供汽及采暖用热需求。两台锅炉同时运行，锅炉</w:t>
            </w:r>
            <w:r>
              <w:rPr/>
              <w:t xml:space="preserve"> </w:t>
            </w:r>
            <w:r>
              <w:rPr>
                <w:spacing w:val="10"/>
              </w:rPr>
              <w:t>设自动控制系统，产生的蒸汽进入蒸汽分气缸，优先由沼气锅炉供</w:t>
            </w:r>
            <w:r>
              <w:rPr>
                <w:spacing w:val="9"/>
              </w:rPr>
              <w:t>应蒸汽，当蒸汽分汽缸压力小于</w:t>
            </w:r>
            <w:r>
              <w:rPr>
                <w:spacing w:val="-40"/>
              </w:rPr>
              <w:t xml:space="preserve"> </w:t>
            </w:r>
            <w:r>
              <w:rPr>
                <w:rFonts w:ascii="Times New Roman" w:hAnsi="Times New Roman" w:eastAsia="Times New Roman" w:cs="Times New Roman"/>
                <w:spacing w:val="9"/>
              </w:rPr>
              <w:t>0.8</w:t>
            </w:r>
            <w:r>
              <w:rPr>
                <w:rFonts w:ascii="Times New Roman" w:hAnsi="Times New Roman" w:eastAsia="Times New Roman" w:cs="Times New Roman"/>
              </w:rPr>
              <w:t>MPa</w:t>
            </w:r>
            <w:r>
              <w:rPr>
                <w:rFonts w:ascii="Times New Roman" w:hAnsi="Times New Roman" w:eastAsia="Times New Roman" w:cs="Times New Roman"/>
                <w:spacing w:val="24"/>
                <w:w w:val="101"/>
              </w:rPr>
              <w:t xml:space="preserve"> </w:t>
            </w:r>
            <w:r>
              <w:rPr>
                <w:spacing w:val="9"/>
              </w:rPr>
              <w:t>时，生物质锅炉</w:t>
            </w:r>
            <w:r>
              <w:rPr/>
              <w:t xml:space="preserve"> </w:t>
            </w:r>
            <w:r>
              <w:rPr>
                <w:spacing w:val="8"/>
              </w:rPr>
              <w:t>运行负荷增加，为蒸汽分汽缸补充蒸汽。</w:t>
            </w:r>
          </w:p>
        </w:tc>
        <w:tc>
          <w:tcPr>
            <w:tcW w:w="1302" w:type="dxa"/>
            <w:vAlign w:val="top"/>
            <w:vMerge w:val="restart"/>
            <w:tcBorders>
              <w:bottom w:val="nil"/>
            </w:tcBorders>
          </w:tcPr>
          <w:p>
            <w:pPr>
              <w:spacing w:line="380" w:lineRule="auto"/>
              <w:rPr>
                <w:rFonts w:ascii="Arial"/>
                <w:sz w:val="21"/>
              </w:rPr>
            </w:pPr>
            <w:r/>
          </w:p>
          <w:p>
            <w:pPr>
              <w:pStyle w:val="TableText"/>
              <w:ind w:left="234" w:right="71" w:hanging="208"/>
              <w:spacing w:before="65" w:line="254" w:lineRule="auto"/>
              <w:rPr/>
            </w:pPr>
            <w:r>
              <w:rPr>
                <w:spacing w:val="-1"/>
              </w:rPr>
              <w:t>锅炉房利旧，</w:t>
            </w:r>
            <w:r>
              <w:rPr>
                <w:spacing w:val="3"/>
              </w:rPr>
              <w:t xml:space="preserve"> </w:t>
            </w:r>
            <w:r>
              <w:rPr>
                <w:spacing w:val="7"/>
              </w:rPr>
              <w:t>锅炉新建</w:t>
            </w:r>
          </w:p>
        </w:tc>
      </w:tr>
      <w:tr>
        <w:trPr>
          <w:trHeight w:val="550"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vMerge w:val="continue"/>
            <w:tcBorders>
              <w:top w:val="nil"/>
            </w:tcBorders>
          </w:tcPr>
          <w:p>
            <w:pPr>
              <w:rPr>
                <w:rFonts w:ascii="Arial"/>
                <w:sz w:val="21"/>
              </w:rPr>
            </w:pPr>
            <w:r/>
          </w:p>
        </w:tc>
        <w:tc>
          <w:tcPr>
            <w:tcW w:w="11283" w:type="dxa"/>
            <w:vAlign w:val="top"/>
          </w:tcPr>
          <w:p>
            <w:pPr>
              <w:pStyle w:val="TableText"/>
              <w:ind w:left="3" w:right="2" w:firstLine="428"/>
              <w:spacing w:before="35" w:line="233" w:lineRule="auto"/>
              <w:rPr/>
            </w:pPr>
            <w:r>
              <w:rPr>
                <w:spacing w:val="8"/>
              </w:rPr>
              <w:t>沼气锅炉采用低氮燃烧技术，产生的废气经过</w:t>
            </w:r>
            <w:r>
              <w:rPr>
                <w:spacing w:val="-9"/>
              </w:rPr>
              <w:t xml:space="preserve"> </w:t>
            </w:r>
            <w:r>
              <w:rPr>
                <w:rFonts w:ascii="Times New Roman" w:hAnsi="Times New Roman" w:eastAsia="Times New Roman" w:cs="Times New Roman"/>
                <w:spacing w:val="8"/>
              </w:rPr>
              <w:t>10m </w:t>
            </w:r>
            <w:r>
              <w:rPr>
                <w:spacing w:val="8"/>
              </w:rPr>
              <w:t>高排气筒排放；生物质蒸汽锅炉废气经陶瓷多管除尘器</w:t>
            </w:r>
            <w:r>
              <w:rPr>
                <w:rFonts w:ascii="Times New Roman" w:hAnsi="Times New Roman" w:eastAsia="Times New Roman" w:cs="Times New Roman"/>
                <w:spacing w:val="8"/>
              </w:rPr>
              <w:t>+</w:t>
            </w:r>
            <w:r>
              <w:rPr>
                <w:spacing w:val="8"/>
              </w:rPr>
              <w:t>布袋除尘器</w:t>
            </w:r>
            <w:r>
              <w:rPr/>
              <w:t xml:space="preserve"> </w:t>
            </w:r>
            <w:r>
              <w:rPr>
                <w:rFonts w:ascii="Times New Roman" w:hAnsi="Times New Roman" w:eastAsia="Times New Roman" w:cs="Times New Roman"/>
                <w:spacing w:val="6"/>
              </w:rPr>
              <w:t>+</w:t>
            </w:r>
            <w:r>
              <w:rPr>
                <w:spacing w:val="6"/>
              </w:rPr>
              <w:t>水浴处理后，通过</w:t>
            </w:r>
            <w:r>
              <w:rPr>
                <w:spacing w:val="-20"/>
              </w:rPr>
              <w:t xml:space="preserve"> </w:t>
            </w:r>
            <w:r>
              <w:rPr>
                <w:rFonts w:ascii="Times New Roman" w:hAnsi="Times New Roman" w:eastAsia="Times New Roman" w:cs="Times New Roman"/>
                <w:spacing w:val="6"/>
              </w:rPr>
              <w:t>35m</w:t>
            </w:r>
            <w:r>
              <w:rPr>
                <w:rFonts w:ascii="Times New Roman" w:hAnsi="Times New Roman" w:eastAsia="Times New Roman" w:cs="Times New Roman"/>
                <w:spacing w:val="18"/>
              </w:rPr>
              <w:t xml:space="preserve"> </w:t>
            </w:r>
            <w:r>
              <w:rPr>
                <w:spacing w:val="6"/>
              </w:rPr>
              <w:t>高排气筒排放。</w:t>
            </w:r>
          </w:p>
        </w:tc>
        <w:tc>
          <w:tcPr>
            <w:tcW w:w="1302" w:type="dxa"/>
            <w:vAlign w:val="top"/>
            <w:vMerge w:val="continue"/>
            <w:tcBorders>
              <w:top w:val="nil"/>
            </w:tcBorders>
          </w:tcPr>
          <w:p>
            <w:pPr>
              <w:rPr>
                <w:rFonts w:ascii="Arial"/>
                <w:sz w:val="21"/>
              </w:rPr>
            </w:pPr>
            <w:r/>
          </w:p>
        </w:tc>
      </w:tr>
      <w:tr>
        <w:trPr>
          <w:trHeight w:val="279" w:hRule="atLeast"/>
        </w:trPr>
        <w:tc>
          <w:tcPr>
            <w:tcW w:w="398" w:type="dxa"/>
            <w:vAlign w:val="top"/>
            <w:vMerge w:val="continue"/>
            <w:textDirection w:val="tbRlV"/>
            <w:tcBorders>
              <w:top w:val="nil"/>
            </w:tcBorders>
          </w:tcPr>
          <w:p>
            <w:pPr>
              <w:rPr>
                <w:rFonts w:ascii="Arial"/>
                <w:sz w:val="21"/>
              </w:rPr>
            </w:pPr>
            <w:r/>
          </w:p>
        </w:tc>
        <w:tc>
          <w:tcPr>
            <w:tcW w:w="690" w:type="dxa"/>
            <w:vAlign w:val="top"/>
            <w:vMerge w:val="continue"/>
            <w:tcBorders>
              <w:top w:val="nil"/>
            </w:tcBorders>
          </w:tcPr>
          <w:p>
            <w:pPr>
              <w:rPr>
                <w:rFonts w:ascii="Arial"/>
                <w:sz w:val="21"/>
              </w:rPr>
            </w:pPr>
            <w:r/>
          </w:p>
        </w:tc>
        <w:tc>
          <w:tcPr>
            <w:tcW w:w="1450" w:type="dxa"/>
            <w:vAlign w:val="top"/>
          </w:tcPr>
          <w:p>
            <w:pPr>
              <w:pStyle w:val="TableText"/>
              <w:ind w:left="100"/>
              <w:spacing w:before="34" w:line="216" w:lineRule="auto"/>
              <w:rPr/>
            </w:pPr>
            <w:r>
              <w:rPr>
                <w:spacing w:val="7"/>
              </w:rPr>
              <w:t>纯水制备装置</w:t>
            </w:r>
          </w:p>
        </w:tc>
        <w:tc>
          <w:tcPr>
            <w:tcW w:w="11283" w:type="dxa"/>
            <w:vAlign w:val="top"/>
          </w:tcPr>
          <w:p>
            <w:pPr>
              <w:pStyle w:val="TableText"/>
              <w:ind w:right="2"/>
              <w:spacing w:before="34" w:line="216" w:lineRule="auto"/>
              <w:jc w:val="right"/>
              <w:rPr/>
            </w:pPr>
            <w:r>
              <w:rPr>
                <w:spacing w:val="6"/>
              </w:rPr>
              <w:t>锅炉房配置了</w:t>
            </w:r>
            <w:r>
              <w:rPr>
                <w:spacing w:val="-11"/>
              </w:rPr>
              <w:t xml:space="preserve"> </w:t>
            </w:r>
            <w:r>
              <w:rPr>
                <w:rFonts w:ascii="Times New Roman" w:hAnsi="Times New Roman" w:eastAsia="Times New Roman" w:cs="Times New Roman"/>
                <w:spacing w:val="6"/>
              </w:rPr>
              <w:t>1 </w:t>
            </w:r>
            <w:r>
              <w:rPr>
                <w:spacing w:val="6"/>
              </w:rPr>
              <w:t>套反渗透纯水制备装置，设计处理能力为</w:t>
            </w:r>
            <w:r>
              <w:rPr>
                <w:spacing w:val="-21"/>
              </w:rPr>
              <w:t xml:space="preserve"> </w:t>
            </w:r>
            <w:r>
              <w:rPr>
                <w:rFonts w:ascii="Times New Roman" w:hAnsi="Times New Roman" w:eastAsia="Times New Roman" w:cs="Times New Roman"/>
                <w:spacing w:val="6"/>
              </w:rPr>
              <w:t>10m</w:t>
            </w:r>
            <w:r>
              <w:rPr>
                <w:rFonts w:ascii="Times New Roman" w:hAnsi="Times New Roman" w:eastAsia="Times New Roman" w:cs="Times New Roman"/>
                <w:sz w:val="13"/>
                <w:szCs w:val="13"/>
                <w:spacing w:val="6"/>
                <w:position w:val="6"/>
              </w:rPr>
              <w:t>3</w:t>
            </w:r>
            <w:r>
              <w:rPr>
                <w:rFonts w:ascii="Times New Roman" w:hAnsi="Times New Roman" w:eastAsia="Times New Roman" w:cs="Times New Roman"/>
                <w:spacing w:val="6"/>
              </w:rPr>
              <w:t>/h</w:t>
            </w:r>
            <w:r>
              <w:rPr>
                <w:spacing w:val="6"/>
              </w:rPr>
              <w:t>。其工艺简要流程为：原水箱</w:t>
            </w:r>
            <w:r>
              <w:rPr>
                <w:rFonts w:ascii="Times New Roman" w:hAnsi="Times New Roman" w:eastAsia="Times New Roman" w:cs="Times New Roman"/>
                <w:spacing w:val="6"/>
              </w:rPr>
              <w:t>→</w:t>
            </w:r>
            <w:r>
              <w:rPr>
                <w:rFonts w:ascii="Times New Roman" w:hAnsi="Times New Roman" w:eastAsia="Times New Roman" w:cs="Times New Roman"/>
                <w:spacing w:val="-34"/>
              </w:rPr>
              <w:t xml:space="preserve"> </w:t>
            </w:r>
            <w:r>
              <w:rPr>
                <w:spacing w:val="6"/>
              </w:rPr>
              <w:t>原水泵</w:t>
            </w:r>
            <w:r>
              <w:rPr>
                <w:rFonts w:ascii="Times New Roman" w:hAnsi="Times New Roman" w:eastAsia="Times New Roman" w:cs="Times New Roman"/>
                <w:spacing w:val="6"/>
              </w:rPr>
              <w:t>→</w:t>
            </w:r>
            <w:r>
              <w:rPr>
                <w:spacing w:val="6"/>
              </w:rPr>
              <w:t>机械过滤</w:t>
            </w:r>
            <w:r>
              <w:rPr>
                <w:rFonts w:ascii="Times New Roman" w:hAnsi="Times New Roman" w:eastAsia="Times New Roman" w:cs="Times New Roman"/>
                <w:spacing w:val="6"/>
              </w:rPr>
              <w:t>→</w:t>
            </w:r>
            <w:r>
              <w:rPr>
                <w:spacing w:val="6"/>
              </w:rPr>
              <w:t>精</w:t>
            </w:r>
          </w:p>
        </w:tc>
        <w:tc>
          <w:tcPr>
            <w:tcW w:w="1302" w:type="dxa"/>
            <w:vAlign w:val="top"/>
          </w:tcPr>
          <w:p>
            <w:pPr>
              <w:pStyle w:val="TableText"/>
              <w:ind w:left="447"/>
              <w:spacing w:before="34" w:line="216" w:lineRule="auto"/>
              <w:rPr/>
            </w:pPr>
            <w:r>
              <w:rPr>
                <w:spacing w:val="4"/>
              </w:rPr>
              <w:t>新建</w:t>
            </w:r>
          </w:p>
        </w:tc>
      </w:tr>
    </w:tbl>
    <w:p>
      <w:pPr>
        <w:ind w:left="7483"/>
        <w:spacing w:before="179" w:line="225" w:lineRule="auto"/>
        <w:rPr>
          <w:rFonts w:ascii="SimSun" w:hAnsi="SimSun" w:eastAsia="SimSun" w:cs="SimSun"/>
          <w:sz w:val="19"/>
          <w:szCs w:val="19"/>
        </w:rPr>
      </w:pPr>
      <w:r>
        <w:rPr>
          <w:rFonts w:ascii="Times New Roman" w:hAnsi="Times New Roman" w:eastAsia="Times New Roman" w:cs="Times New Roman"/>
          <w:sz w:val="18"/>
          <w:szCs w:val="18"/>
          <w:spacing w:val="4"/>
          <w:position w:val="2"/>
        </w:rPr>
        <w:t>50                                                      </w:t>
      </w:r>
      <w:r>
        <w:rPr>
          <w:rFonts w:ascii="Times New Roman" w:hAnsi="Times New Roman" w:eastAsia="Times New Roman" w:cs="Times New Roman"/>
          <w:sz w:val="18"/>
          <w:szCs w:val="18"/>
          <w:spacing w:val="3"/>
          <w:position w:val="2"/>
        </w:rPr>
        <w:t xml:space="preserve">                  </w:t>
      </w:r>
      <w:r>
        <w:rPr>
          <w:rFonts w:ascii="SimSun" w:hAnsi="SimSun" w:eastAsia="SimSun" w:cs="SimSun"/>
          <w:sz w:val="19"/>
          <w:szCs w:val="19"/>
          <w:spacing w:val="3"/>
        </w:rPr>
        <w:t>锡林郭勒盟中安环境技术咨询有限责任公司</w:t>
      </w:r>
    </w:p>
    <w:p>
      <w:pPr>
        <w:spacing w:line="225" w:lineRule="auto"/>
        <w:sectPr>
          <w:headerReference w:type="default" r:id="rId62"/>
          <w:pgSz w:w="16840" w:h="11907"/>
          <w:pgMar w:top="1567" w:right="856" w:bottom="400" w:left="855" w:header="1221" w:footer="0" w:gutter="0"/>
        </w:sectPr>
        <w:rPr>
          <w:rFonts w:ascii="SimSun" w:hAnsi="SimSun" w:eastAsia="SimSun" w:cs="SimSun"/>
          <w:sz w:val="19"/>
          <w:szCs w:val="19"/>
        </w:rPr>
      </w:pPr>
    </w:p>
    <w:p>
      <w:pPr>
        <w:spacing w:line="151" w:lineRule="exact"/>
        <w:rPr/>
      </w:pPr>
      <w:r>
        <w:pict>
          <v:shape id="_x0000_s274" style="position:absolute;margin-left:56.7pt;margin-top:79.11pt;mso-position-vertical-relative:page;mso-position-horizontal-relative:page;width:728.6pt;height:0.75pt;z-index:251779072;" o:allowincell="f" fillcolor="#000000" filled="true" stroked="false" coordsize="14571,15" coordorigin="0,0" path="m,l14571,0l14571,14l0,14l0,0xe"/>
        </w:pict>
      </w:r>
      <w:r/>
    </w:p>
    <w:tbl>
      <w:tblPr>
        <w:tblStyle w:val="TableNormal"/>
        <w:tblW w:w="1512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98"/>
        <w:gridCol w:w="690"/>
        <w:gridCol w:w="1450"/>
        <w:gridCol w:w="11283"/>
        <w:gridCol w:w="1302"/>
      </w:tblGrid>
      <w:tr>
        <w:trPr>
          <w:trHeight w:val="554" w:hRule="atLeast"/>
        </w:trPr>
        <w:tc>
          <w:tcPr>
            <w:tcW w:w="398" w:type="dxa"/>
            <w:vAlign w:val="top"/>
            <w:textDirection w:val="tbRlV"/>
          </w:tcPr>
          <w:p>
            <w:pPr>
              <w:pStyle w:val="TableText"/>
              <w:ind w:left="36"/>
              <w:spacing w:before="93" w:line="216" w:lineRule="auto"/>
              <w:rPr/>
            </w:pPr>
            <w:r>
              <w:rPr>
                <w:spacing w:val="8"/>
              </w:rPr>
              <w:t>类</w:t>
            </w:r>
            <w:r>
              <w:rPr>
                <w:spacing w:val="-37"/>
              </w:rPr>
              <w:t xml:space="preserve"> </w:t>
            </w:r>
            <w:r>
              <w:rPr>
                <w:spacing w:val="8"/>
              </w:rPr>
              <w:t>型</w:t>
            </w:r>
          </w:p>
        </w:tc>
        <w:tc>
          <w:tcPr>
            <w:tcW w:w="2140" w:type="dxa"/>
            <w:vAlign w:val="top"/>
            <w:gridSpan w:val="2"/>
          </w:tcPr>
          <w:p>
            <w:pPr>
              <w:pStyle w:val="TableText"/>
              <w:ind w:left="656"/>
              <w:spacing w:before="170" w:line="228" w:lineRule="auto"/>
              <w:rPr/>
            </w:pPr>
            <w:r>
              <w:rPr>
                <w:spacing w:val="6"/>
              </w:rPr>
              <w:t>项目名称</w:t>
            </w:r>
          </w:p>
        </w:tc>
        <w:tc>
          <w:tcPr>
            <w:tcW w:w="11283" w:type="dxa"/>
            <w:vAlign w:val="top"/>
          </w:tcPr>
          <w:p>
            <w:pPr>
              <w:pStyle w:val="TableText"/>
              <w:ind w:left="5228"/>
              <w:spacing w:before="170" w:line="228" w:lineRule="auto"/>
              <w:rPr/>
            </w:pPr>
            <w:r>
              <w:rPr>
                <w:spacing w:val="6"/>
              </w:rPr>
              <w:t>建设内容</w:t>
            </w:r>
          </w:p>
        </w:tc>
        <w:tc>
          <w:tcPr>
            <w:tcW w:w="1302" w:type="dxa"/>
            <w:vAlign w:val="top"/>
          </w:tcPr>
          <w:p>
            <w:pPr>
              <w:pStyle w:val="TableText"/>
              <w:ind w:left="449"/>
              <w:spacing w:before="171" w:line="229" w:lineRule="auto"/>
              <w:rPr/>
            </w:pPr>
            <w:r>
              <w:rPr>
                <w:spacing w:val="3"/>
              </w:rPr>
              <w:t>备注</w:t>
            </w:r>
          </w:p>
        </w:tc>
      </w:tr>
      <w:tr>
        <w:trPr>
          <w:trHeight w:val="277" w:hRule="atLeast"/>
        </w:trPr>
        <w:tc>
          <w:tcPr>
            <w:tcW w:w="398" w:type="dxa"/>
            <w:vAlign w:val="top"/>
            <w:vMerge w:val="restart"/>
            <w:tcBorders>
              <w:bottom w:val="nil"/>
            </w:tcBorders>
          </w:tcPr>
          <w:p>
            <w:pPr>
              <w:rPr>
                <w:rFonts w:ascii="Arial"/>
                <w:sz w:val="21"/>
              </w:rPr>
            </w:pPr>
            <w:r/>
          </w:p>
        </w:tc>
        <w:tc>
          <w:tcPr>
            <w:tcW w:w="690" w:type="dxa"/>
            <w:vAlign w:val="top"/>
            <w:vMerge w:val="restart"/>
            <w:tcBorders>
              <w:bottom w:val="nil"/>
            </w:tcBorders>
          </w:tcPr>
          <w:p>
            <w:pPr>
              <w:rPr>
                <w:rFonts w:ascii="Arial"/>
                <w:sz w:val="21"/>
              </w:rPr>
            </w:pPr>
            <w:r/>
          </w:p>
        </w:tc>
        <w:tc>
          <w:tcPr>
            <w:tcW w:w="1450" w:type="dxa"/>
            <w:vAlign w:val="top"/>
          </w:tcPr>
          <w:p>
            <w:pPr>
              <w:rPr>
                <w:rFonts w:ascii="Arial"/>
                <w:sz w:val="21"/>
              </w:rPr>
            </w:pPr>
            <w:r/>
          </w:p>
        </w:tc>
        <w:tc>
          <w:tcPr>
            <w:tcW w:w="11283" w:type="dxa"/>
            <w:vAlign w:val="top"/>
          </w:tcPr>
          <w:p>
            <w:pPr>
              <w:pStyle w:val="TableText"/>
              <w:ind w:left="9"/>
              <w:spacing w:before="31" w:line="217" w:lineRule="auto"/>
              <w:rPr/>
            </w:pPr>
            <w:r>
              <w:rPr>
                <w:spacing w:val="9"/>
              </w:rPr>
              <w:t>密过滤</w:t>
            </w:r>
            <w:r>
              <w:rPr>
                <w:rFonts w:ascii="Times New Roman" w:hAnsi="Times New Roman" w:eastAsia="Times New Roman" w:cs="Times New Roman"/>
                <w:spacing w:val="9"/>
              </w:rPr>
              <w:t>→</w:t>
            </w:r>
            <w:r>
              <w:rPr>
                <w:rFonts w:ascii="Times New Roman" w:hAnsi="Times New Roman" w:eastAsia="Times New Roman" w:cs="Times New Roman"/>
              </w:rPr>
              <w:t>RO</w:t>
            </w:r>
            <w:r>
              <w:rPr>
                <w:rFonts w:ascii="Times New Roman" w:hAnsi="Times New Roman" w:eastAsia="Times New Roman" w:cs="Times New Roman"/>
                <w:spacing w:val="22"/>
              </w:rPr>
              <w:t xml:space="preserve"> </w:t>
            </w:r>
            <w:r>
              <w:rPr>
                <w:spacing w:val="9"/>
              </w:rPr>
              <w:t>高压泵</w:t>
            </w:r>
            <w:r>
              <w:rPr>
                <w:rFonts w:ascii="Times New Roman" w:hAnsi="Times New Roman" w:eastAsia="Times New Roman" w:cs="Times New Roman"/>
                <w:spacing w:val="9"/>
              </w:rPr>
              <w:t>→</w:t>
            </w:r>
            <w:r>
              <w:rPr>
                <w:spacing w:val="9"/>
              </w:rPr>
              <w:t>反渗透装置</w:t>
            </w:r>
            <w:r>
              <w:rPr>
                <w:rFonts w:ascii="Times New Roman" w:hAnsi="Times New Roman" w:eastAsia="Times New Roman" w:cs="Times New Roman"/>
                <w:spacing w:val="9"/>
              </w:rPr>
              <w:t>→</w:t>
            </w:r>
            <w:r>
              <w:rPr>
                <w:spacing w:val="9"/>
              </w:rPr>
              <w:t>纯水水箱</w:t>
            </w:r>
            <w:r>
              <w:rPr>
                <w:rFonts w:ascii="Times New Roman" w:hAnsi="Times New Roman" w:eastAsia="Times New Roman" w:cs="Times New Roman"/>
                <w:spacing w:val="9"/>
              </w:rPr>
              <w:t>→</w:t>
            </w:r>
            <w:r>
              <w:rPr>
                <w:spacing w:val="9"/>
              </w:rPr>
              <w:t>纯水泵</w:t>
            </w:r>
            <w:r>
              <w:rPr>
                <w:rFonts w:ascii="Times New Roman" w:hAnsi="Times New Roman" w:eastAsia="Times New Roman" w:cs="Times New Roman"/>
                <w:spacing w:val="9"/>
              </w:rPr>
              <w:t>→</w:t>
            </w:r>
            <w:r>
              <w:rPr>
                <w:spacing w:val="9"/>
              </w:rPr>
              <w:t>蒸汽锅炉。</w:t>
            </w:r>
          </w:p>
        </w:tc>
        <w:tc>
          <w:tcPr>
            <w:tcW w:w="1302" w:type="dxa"/>
            <w:vAlign w:val="top"/>
          </w:tcPr>
          <w:p>
            <w:pPr>
              <w:rPr>
                <w:rFonts w:ascii="Arial"/>
                <w:sz w:val="21"/>
              </w:rPr>
            </w:pPr>
            <w:r/>
          </w:p>
        </w:tc>
      </w:tr>
      <w:tr>
        <w:trPr>
          <w:trHeight w:val="277" w:hRule="atLeast"/>
        </w:trPr>
        <w:tc>
          <w:tcPr>
            <w:tcW w:w="398" w:type="dxa"/>
            <w:vAlign w:val="top"/>
            <w:vMerge w:val="continue"/>
            <w:tcBorders>
              <w:top w:val="nil"/>
            </w:tcBorders>
          </w:tcPr>
          <w:p>
            <w:pPr>
              <w:rPr>
                <w:rFonts w:ascii="Arial"/>
                <w:sz w:val="21"/>
              </w:rPr>
            </w:pPr>
            <w:r/>
          </w:p>
        </w:tc>
        <w:tc>
          <w:tcPr>
            <w:tcW w:w="690" w:type="dxa"/>
            <w:vAlign w:val="top"/>
            <w:vMerge w:val="continue"/>
            <w:tcBorders>
              <w:top w:val="nil"/>
            </w:tcBorders>
          </w:tcPr>
          <w:p>
            <w:pPr>
              <w:rPr>
                <w:rFonts w:ascii="Arial"/>
                <w:sz w:val="21"/>
              </w:rPr>
            </w:pPr>
            <w:r/>
          </w:p>
        </w:tc>
        <w:tc>
          <w:tcPr>
            <w:tcW w:w="1450" w:type="dxa"/>
            <w:vAlign w:val="top"/>
          </w:tcPr>
          <w:p>
            <w:pPr>
              <w:pStyle w:val="TableText"/>
              <w:ind w:left="308"/>
              <w:spacing w:before="33" w:line="216" w:lineRule="auto"/>
              <w:rPr/>
            </w:pPr>
            <w:r>
              <w:rPr>
                <w:spacing w:val="7"/>
              </w:rPr>
              <w:t>应急火炬</w:t>
            </w:r>
          </w:p>
        </w:tc>
        <w:tc>
          <w:tcPr>
            <w:tcW w:w="11283" w:type="dxa"/>
            <w:vAlign w:val="top"/>
          </w:tcPr>
          <w:p>
            <w:pPr>
              <w:pStyle w:val="TableText"/>
              <w:ind w:left="433"/>
              <w:spacing w:before="33" w:line="216" w:lineRule="auto"/>
              <w:rPr/>
            </w:pPr>
            <w:r>
              <w:rPr>
                <w:spacing w:val="7"/>
              </w:rPr>
              <w:t>西厂区厌氧发酵装置配套建设</w:t>
            </w:r>
            <w:r>
              <w:rPr>
                <w:spacing w:val="-22"/>
              </w:rPr>
              <w:t xml:space="preserve"> </w:t>
            </w:r>
            <w:r>
              <w:rPr>
                <w:rFonts w:ascii="Times New Roman" w:hAnsi="Times New Roman" w:eastAsia="Times New Roman" w:cs="Times New Roman"/>
                <w:spacing w:val="7"/>
              </w:rPr>
              <w:t>1 </w:t>
            </w:r>
            <w:r>
              <w:rPr>
                <w:spacing w:val="7"/>
              </w:rPr>
              <w:t>座沼气火炬，处理量</w:t>
            </w:r>
            <w:r>
              <w:rPr>
                <w:spacing w:val="-43"/>
              </w:rPr>
              <w:t xml:space="preserve"> </w:t>
            </w:r>
            <w:r>
              <w:rPr>
                <w:rFonts w:ascii="Times New Roman" w:hAnsi="Times New Roman" w:eastAsia="Times New Roman" w:cs="Times New Roman"/>
                <w:spacing w:val="7"/>
              </w:rPr>
              <w:t>250m</w:t>
            </w:r>
            <w:r>
              <w:rPr>
                <w:rFonts w:ascii="Times New Roman" w:hAnsi="Times New Roman" w:eastAsia="Times New Roman" w:cs="Times New Roman"/>
                <w:sz w:val="13"/>
                <w:szCs w:val="13"/>
                <w:spacing w:val="7"/>
                <w:position w:val="6"/>
              </w:rPr>
              <w:t>3</w:t>
            </w:r>
            <w:r>
              <w:rPr>
                <w:rFonts w:ascii="Times New Roman" w:hAnsi="Times New Roman" w:eastAsia="Times New Roman" w:cs="Times New Roman"/>
                <w:spacing w:val="7"/>
              </w:rPr>
              <w:t>/h</w:t>
            </w:r>
            <w:r>
              <w:rPr>
                <w:rFonts w:ascii="Times New Roman" w:hAnsi="Times New Roman" w:eastAsia="Times New Roman" w:cs="Times New Roman"/>
                <w:spacing w:val="-24"/>
              </w:rPr>
              <w:t xml:space="preserve"> </w:t>
            </w:r>
            <w:r>
              <w:rPr>
                <w:spacing w:val="7"/>
              </w:rPr>
              <w:t>，筒体不锈钢，高度为</w:t>
            </w:r>
            <w:r>
              <w:rPr>
                <w:spacing w:val="-36"/>
              </w:rPr>
              <w:t xml:space="preserve"> </w:t>
            </w:r>
            <w:r>
              <w:rPr>
                <w:rFonts w:ascii="Times New Roman" w:hAnsi="Times New Roman" w:eastAsia="Times New Roman" w:cs="Times New Roman"/>
                <w:spacing w:val="7"/>
              </w:rPr>
              <w:t>6m</w:t>
            </w:r>
            <w:r>
              <w:rPr>
                <w:rFonts w:ascii="Times New Roman" w:hAnsi="Times New Roman" w:eastAsia="Times New Roman" w:cs="Times New Roman"/>
                <w:spacing w:val="-24"/>
              </w:rPr>
              <w:t xml:space="preserve"> </w:t>
            </w:r>
            <w:r>
              <w:rPr>
                <w:spacing w:val="7"/>
              </w:rPr>
              <w:t>，作</w:t>
            </w:r>
            <w:r>
              <w:rPr>
                <w:spacing w:val="6"/>
              </w:rPr>
              <w:t>为沼气应急排放系统。</w:t>
            </w:r>
          </w:p>
        </w:tc>
        <w:tc>
          <w:tcPr>
            <w:tcW w:w="1302" w:type="dxa"/>
            <w:vAlign w:val="top"/>
          </w:tcPr>
          <w:p>
            <w:pPr>
              <w:pStyle w:val="TableText"/>
              <w:ind w:left="447"/>
              <w:spacing w:before="33" w:line="216" w:lineRule="auto"/>
              <w:rPr/>
            </w:pPr>
            <w:r>
              <w:rPr>
                <w:spacing w:val="4"/>
              </w:rPr>
              <w:t>新建</w:t>
            </w:r>
          </w:p>
        </w:tc>
      </w:tr>
      <w:tr>
        <w:trPr>
          <w:trHeight w:val="549" w:hRule="atLeast"/>
        </w:trPr>
        <w:tc>
          <w:tcPr>
            <w:tcW w:w="398" w:type="dxa"/>
            <w:vAlign w:val="top"/>
            <w:vMerge w:val="restart"/>
            <w:textDirection w:val="tbRlV"/>
            <w:tcBorders>
              <w:bottom w:val="nil"/>
            </w:tcBorders>
          </w:tcPr>
          <w:p>
            <w:pPr>
              <w:pStyle w:val="TableText"/>
              <w:ind w:left="3233"/>
              <w:spacing w:before="93" w:line="217" w:lineRule="auto"/>
              <w:rPr/>
            </w:pPr>
            <w:r>
              <w:rPr>
                <w:spacing w:val="8"/>
              </w:rPr>
              <w:t>贮</w:t>
            </w:r>
            <w:r>
              <w:rPr>
                <w:spacing w:val="-36"/>
              </w:rPr>
              <w:t xml:space="preserve"> </w:t>
            </w:r>
            <w:r>
              <w:rPr>
                <w:spacing w:val="8"/>
              </w:rPr>
              <w:t>运</w:t>
            </w:r>
            <w:r>
              <w:rPr>
                <w:spacing w:val="-35"/>
              </w:rPr>
              <w:t xml:space="preserve"> </w:t>
            </w:r>
            <w:r>
              <w:rPr>
                <w:spacing w:val="8"/>
              </w:rPr>
              <w:t>工</w:t>
            </w:r>
            <w:r>
              <w:rPr>
                <w:spacing w:val="-38"/>
              </w:rPr>
              <w:t xml:space="preserve"> </w:t>
            </w:r>
            <w:r>
              <w:rPr>
                <w:spacing w:val="8"/>
              </w:rPr>
              <w:t>程</w:t>
            </w:r>
          </w:p>
        </w:tc>
        <w:tc>
          <w:tcPr>
            <w:tcW w:w="690" w:type="dxa"/>
            <w:vAlign w:val="top"/>
          </w:tcPr>
          <w:p>
            <w:pPr>
              <w:pStyle w:val="TableText"/>
              <w:ind w:left="41"/>
              <w:spacing w:before="166" w:line="228" w:lineRule="auto"/>
              <w:rPr/>
            </w:pPr>
            <w:r>
              <w:rPr>
                <w:spacing w:val="4"/>
              </w:rPr>
              <w:t>东厂区</w:t>
            </w:r>
          </w:p>
        </w:tc>
        <w:tc>
          <w:tcPr>
            <w:tcW w:w="1450" w:type="dxa"/>
            <w:vAlign w:val="top"/>
            <w:vMerge w:val="restart"/>
            <w:tcBorders>
              <w:bottom w:val="nil"/>
            </w:tcBorders>
          </w:tcPr>
          <w:p>
            <w:pPr>
              <w:spacing w:line="243" w:lineRule="auto"/>
              <w:rPr>
                <w:rFonts w:ascii="Arial"/>
                <w:sz w:val="21"/>
              </w:rPr>
            </w:pPr>
            <w:r/>
          </w:p>
          <w:p>
            <w:pPr>
              <w:pStyle w:val="TableText"/>
              <w:ind w:left="313"/>
              <w:spacing w:before="65" w:line="228" w:lineRule="auto"/>
              <w:rPr/>
            </w:pPr>
            <w:r>
              <w:rPr>
                <w:spacing w:val="6"/>
              </w:rPr>
              <w:t>原毛库房</w:t>
            </w:r>
          </w:p>
        </w:tc>
        <w:tc>
          <w:tcPr>
            <w:tcW w:w="11283" w:type="dxa"/>
            <w:vAlign w:val="top"/>
          </w:tcPr>
          <w:p>
            <w:pPr>
              <w:pStyle w:val="TableText"/>
              <w:ind w:left="8" w:right="2" w:firstLine="427"/>
              <w:spacing w:before="32" w:line="234" w:lineRule="auto"/>
              <w:rPr/>
            </w:pPr>
            <w:r>
              <w:rPr>
                <w:spacing w:val="8"/>
              </w:rPr>
              <w:t>东厂区建设原毛库房一（</w:t>
            </w:r>
            <w:r>
              <w:rPr>
                <w:rFonts w:ascii="Times New Roman" w:hAnsi="Times New Roman" w:eastAsia="Times New Roman" w:cs="Times New Roman"/>
                <w:spacing w:val="8"/>
              </w:rPr>
              <w:t>2250m</w:t>
            </w:r>
            <w:r>
              <w:rPr>
                <w:rFonts w:ascii="Times New Roman" w:hAnsi="Times New Roman" w:eastAsia="Times New Roman" w:cs="Times New Roman"/>
                <w:sz w:val="13"/>
                <w:szCs w:val="13"/>
                <w:spacing w:val="8"/>
                <w:position w:val="6"/>
              </w:rPr>
              <w:t>2 </w:t>
            </w:r>
            <w:r>
              <w:rPr>
                <w:spacing w:val="8"/>
              </w:rPr>
              <w:t>）、原毛库房二（</w:t>
            </w:r>
            <w:r>
              <w:rPr>
                <w:rFonts w:ascii="Times New Roman" w:hAnsi="Times New Roman" w:eastAsia="Times New Roman" w:cs="Times New Roman"/>
                <w:spacing w:val="8"/>
              </w:rPr>
              <w:t>1701m</w:t>
            </w:r>
            <w:r>
              <w:rPr>
                <w:rFonts w:ascii="Times New Roman" w:hAnsi="Times New Roman" w:eastAsia="Times New Roman" w:cs="Times New Roman"/>
                <w:sz w:val="13"/>
                <w:szCs w:val="13"/>
                <w:spacing w:val="8"/>
                <w:position w:val="6"/>
              </w:rPr>
              <w:t>2 </w:t>
            </w:r>
            <w:r>
              <w:rPr>
                <w:spacing w:val="8"/>
              </w:rPr>
              <w:t>）、原毛库房三（</w:t>
            </w:r>
            <w:r>
              <w:rPr>
                <w:rFonts w:ascii="Times New Roman" w:hAnsi="Times New Roman" w:eastAsia="Times New Roman" w:cs="Times New Roman"/>
                <w:spacing w:val="8"/>
              </w:rPr>
              <w:t>2016m</w:t>
            </w:r>
            <w:r>
              <w:rPr>
                <w:rFonts w:ascii="Times New Roman" w:hAnsi="Times New Roman" w:eastAsia="Times New Roman" w:cs="Times New Roman"/>
                <w:sz w:val="13"/>
                <w:szCs w:val="13"/>
                <w:spacing w:val="8"/>
                <w:position w:val="6"/>
              </w:rPr>
              <w:t>2 </w:t>
            </w:r>
            <w:r>
              <w:rPr>
                <w:spacing w:val="1"/>
              </w:rPr>
              <w:t>），</w:t>
            </w:r>
            <w:r>
              <w:rPr>
                <w:spacing w:val="8"/>
              </w:rPr>
              <w:t>全</w:t>
            </w:r>
            <w:r>
              <w:rPr>
                <w:spacing w:val="7"/>
              </w:rPr>
              <w:t>封闭建设，用于贮存洗毛生</w:t>
            </w:r>
            <w:r>
              <w:rPr>
                <w:spacing w:val="1"/>
              </w:rPr>
              <w:t xml:space="preserve"> </w:t>
            </w:r>
            <w:r>
              <w:rPr>
                <w:spacing w:val="5"/>
              </w:rPr>
              <w:t>产线原毛。</w:t>
            </w:r>
          </w:p>
        </w:tc>
        <w:tc>
          <w:tcPr>
            <w:tcW w:w="1302" w:type="dxa"/>
            <w:vAlign w:val="top"/>
            <w:vMerge w:val="restart"/>
            <w:tcBorders>
              <w:bottom w:val="nil"/>
            </w:tcBorders>
          </w:tcPr>
          <w:p>
            <w:pPr>
              <w:pStyle w:val="TableText"/>
              <w:ind w:left="31"/>
              <w:spacing w:before="36" w:line="228" w:lineRule="auto"/>
              <w:rPr/>
            </w:pPr>
            <w:r>
              <w:rPr>
                <w:spacing w:val="5"/>
              </w:rPr>
              <w:t>原毛库房二、</w:t>
            </w:r>
          </w:p>
          <w:p>
            <w:pPr>
              <w:pStyle w:val="TableText"/>
              <w:ind w:left="132"/>
              <w:spacing w:before="24" w:line="228" w:lineRule="auto"/>
              <w:rPr/>
            </w:pPr>
            <w:r>
              <w:rPr>
                <w:spacing w:val="8"/>
              </w:rPr>
              <w:t>三旧建筑改</w:t>
            </w:r>
          </w:p>
          <w:p>
            <w:pPr>
              <w:pStyle w:val="TableText"/>
              <w:ind w:left="26"/>
              <w:spacing w:before="24" w:line="223" w:lineRule="auto"/>
              <w:rPr/>
            </w:pPr>
            <w:r>
              <w:rPr>
                <w:spacing w:val="8"/>
              </w:rPr>
              <w:t>造；其它新建</w:t>
            </w:r>
          </w:p>
        </w:tc>
      </w:tr>
      <w:tr>
        <w:trPr>
          <w:trHeight w:val="277"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tcPr>
          <w:p>
            <w:pPr>
              <w:pStyle w:val="TableText"/>
              <w:ind w:left="38"/>
              <w:spacing w:before="33" w:line="216" w:lineRule="auto"/>
              <w:rPr/>
            </w:pPr>
            <w:r>
              <w:rPr>
                <w:spacing w:val="5"/>
              </w:rPr>
              <w:t>西厂区</w:t>
            </w:r>
          </w:p>
        </w:tc>
        <w:tc>
          <w:tcPr>
            <w:tcW w:w="1450" w:type="dxa"/>
            <w:vAlign w:val="top"/>
            <w:vMerge w:val="continue"/>
            <w:tcBorders>
              <w:top w:val="nil"/>
            </w:tcBorders>
          </w:tcPr>
          <w:p>
            <w:pPr>
              <w:rPr>
                <w:rFonts w:ascii="Arial"/>
                <w:sz w:val="21"/>
              </w:rPr>
            </w:pPr>
            <w:r/>
          </w:p>
        </w:tc>
        <w:tc>
          <w:tcPr>
            <w:tcW w:w="11283" w:type="dxa"/>
            <w:vAlign w:val="top"/>
          </w:tcPr>
          <w:p>
            <w:pPr>
              <w:pStyle w:val="TableText"/>
              <w:ind w:left="433"/>
              <w:spacing w:before="33" w:line="216" w:lineRule="auto"/>
              <w:rPr/>
            </w:pPr>
            <w:r>
              <w:rPr>
                <w:spacing w:val="8"/>
              </w:rPr>
              <w:t>西厂区建设原毛库房四（</w:t>
            </w:r>
            <w:r>
              <w:rPr>
                <w:rFonts w:ascii="Times New Roman" w:hAnsi="Times New Roman" w:eastAsia="Times New Roman" w:cs="Times New Roman"/>
                <w:spacing w:val="8"/>
              </w:rPr>
              <w:t>3000m</w:t>
            </w:r>
            <w:r>
              <w:rPr>
                <w:rFonts w:ascii="Times New Roman" w:hAnsi="Times New Roman" w:eastAsia="Times New Roman" w:cs="Times New Roman"/>
                <w:sz w:val="13"/>
                <w:szCs w:val="13"/>
                <w:spacing w:val="8"/>
                <w:position w:val="6"/>
              </w:rPr>
              <w:t>2 </w:t>
            </w:r>
            <w:r>
              <w:rPr>
                <w:spacing w:val="-1"/>
              </w:rPr>
              <w:t>），</w:t>
            </w:r>
            <w:r>
              <w:rPr>
                <w:spacing w:val="8"/>
              </w:rPr>
              <w:t>全封闭建设，用于贮存洗毛生产线</w:t>
            </w:r>
            <w:r>
              <w:rPr>
                <w:spacing w:val="7"/>
              </w:rPr>
              <w:t>原毛。</w:t>
            </w:r>
          </w:p>
        </w:tc>
        <w:tc>
          <w:tcPr>
            <w:tcW w:w="1302" w:type="dxa"/>
            <w:vAlign w:val="top"/>
            <w:vMerge w:val="continue"/>
            <w:tcBorders>
              <w:top w:val="nil"/>
            </w:tcBorders>
          </w:tcPr>
          <w:p>
            <w:pPr>
              <w:rPr>
                <w:rFonts w:ascii="Arial"/>
                <w:sz w:val="21"/>
              </w:rPr>
            </w:pPr>
            <w:r/>
          </w:p>
        </w:tc>
      </w:tr>
      <w:tr>
        <w:trPr>
          <w:trHeight w:val="278"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tcPr>
          <w:p>
            <w:pPr>
              <w:pStyle w:val="TableText"/>
              <w:ind w:left="41"/>
              <w:spacing w:before="33" w:line="216" w:lineRule="auto"/>
              <w:rPr/>
            </w:pPr>
            <w:r>
              <w:rPr>
                <w:spacing w:val="4"/>
              </w:rPr>
              <w:t>东厂区</w:t>
            </w:r>
          </w:p>
        </w:tc>
        <w:tc>
          <w:tcPr>
            <w:tcW w:w="1450" w:type="dxa"/>
            <w:vAlign w:val="top"/>
            <w:vMerge w:val="restart"/>
            <w:tcBorders>
              <w:bottom w:val="nil"/>
            </w:tcBorders>
          </w:tcPr>
          <w:p>
            <w:pPr>
              <w:pStyle w:val="TableText"/>
              <w:ind w:left="307"/>
              <w:spacing w:before="172" w:line="228" w:lineRule="auto"/>
              <w:rPr/>
            </w:pPr>
            <w:r>
              <w:rPr>
                <w:spacing w:val="7"/>
              </w:rPr>
              <w:t>选毛库房</w:t>
            </w:r>
          </w:p>
        </w:tc>
        <w:tc>
          <w:tcPr>
            <w:tcW w:w="11283" w:type="dxa"/>
            <w:vAlign w:val="top"/>
          </w:tcPr>
          <w:p>
            <w:pPr>
              <w:pStyle w:val="TableText"/>
              <w:ind w:left="435"/>
              <w:spacing w:before="33" w:line="216" w:lineRule="auto"/>
              <w:rPr/>
            </w:pPr>
            <w:r>
              <w:rPr>
                <w:spacing w:val="8"/>
              </w:rPr>
              <w:t>东厂区设</w:t>
            </w:r>
            <w:r>
              <w:rPr>
                <w:spacing w:val="-20"/>
              </w:rPr>
              <w:t xml:space="preserve"> </w:t>
            </w:r>
            <w:r>
              <w:rPr>
                <w:rFonts w:ascii="Times New Roman" w:hAnsi="Times New Roman" w:eastAsia="Times New Roman" w:cs="Times New Roman"/>
                <w:spacing w:val="8"/>
              </w:rPr>
              <w:t>1 </w:t>
            </w:r>
            <w:r>
              <w:rPr>
                <w:spacing w:val="8"/>
              </w:rPr>
              <w:t>座全封闭结构库房，位于东厂区北侧，作为选毛临时贮存、解包、人工分选，建筑面积</w:t>
            </w:r>
            <w:r>
              <w:rPr>
                <w:spacing w:val="-42"/>
              </w:rPr>
              <w:t xml:space="preserve"> </w:t>
            </w:r>
            <w:r>
              <w:rPr>
                <w:rFonts w:ascii="Times New Roman" w:hAnsi="Times New Roman" w:eastAsia="Times New Roman" w:cs="Times New Roman"/>
                <w:spacing w:val="8"/>
              </w:rPr>
              <w:t>2403m</w:t>
            </w:r>
            <w:r>
              <w:rPr>
                <w:rFonts w:ascii="Times New Roman" w:hAnsi="Times New Roman" w:eastAsia="Times New Roman" w:cs="Times New Roman"/>
                <w:sz w:val="13"/>
                <w:szCs w:val="13"/>
                <w:spacing w:val="8"/>
                <w:position w:val="6"/>
              </w:rPr>
              <w:t>2</w:t>
            </w:r>
            <w:r>
              <w:rPr>
                <w:spacing w:val="8"/>
              </w:rPr>
              <w:t>。</w:t>
            </w:r>
          </w:p>
        </w:tc>
        <w:tc>
          <w:tcPr>
            <w:tcW w:w="1302" w:type="dxa"/>
            <w:vAlign w:val="top"/>
          </w:tcPr>
          <w:p>
            <w:pPr>
              <w:pStyle w:val="TableText"/>
              <w:ind w:left="447"/>
              <w:spacing w:before="33" w:line="216" w:lineRule="auto"/>
              <w:rPr/>
            </w:pPr>
            <w:r>
              <w:rPr>
                <w:spacing w:val="4"/>
              </w:rPr>
              <w:t>新建</w:t>
            </w:r>
          </w:p>
        </w:tc>
      </w:tr>
      <w:tr>
        <w:trPr>
          <w:trHeight w:val="277"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tcPr>
          <w:p>
            <w:pPr>
              <w:pStyle w:val="TableText"/>
              <w:ind w:left="38"/>
              <w:spacing w:before="31" w:line="217" w:lineRule="auto"/>
              <w:rPr/>
            </w:pPr>
            <w:r>
              <w:rPr>
                <w:spacing w:val="5"/>
              </w:rPr>
              <w:t>西厂区</w:t>
            </w:r>
          </w:p>
        </w:tc>
        <w:tc>
          <w:tcPr>
            <w:tcW w:w="1450" w:type="dxa"/>
            <w:vAlign w:val="top"/>
            <w:vMerge w:val="continue"/>
            <w:tcBorders>
              <w:top w:val="nil"/>
            </w:tcBorders>
          </w:tcPr>
          <w:p>
            <w:pPr>
              <w:rPr>
                <w:rFonts w:ascii="Arial"/>
                <w:sz w:val="21"/>
              </w:rPr>
            </w:pPr>
            <w:r/>
          </w:p>
        </w:tc>
        <w:tc>
          <w:tcPr>
            <w:tcW w:w="11283" w:type="dxa"/>
            <w:vAlign w:val="top"/>
          </w:tcPr>
          <w:p>
            <w:pPr>
              <w:pStyle w:val="TableText"/>
              <w:ind w:left="433"/>
              <w:spacing w:before="31" w:line="217" w:lineRule="auto"/>
              <w:rPr/>
            </w:pPr>
            <w:r>
              <w:rPr>
                <w:spacing w:val="8"/>
              </w:rPr>
              <w:t>西厂区设</w:t>
            </w:r>
            <w:r>
              <w:rPr>
                <w:spacing w:val="-20"/>
              </w:rPr>
              <w:t xml:space="preserve"> </w:t>
            </w:r>
            <w:r>
              <w:rPr>
                <w:rFonts w:ascii="Times New Roman" w:hAnsi="Times New Roman" w:eastAsia="Times New Roman" w:cs="Times New Roman"/>
                <w:spacing w:val="8"/>
              </w:rPr>
              <w:t>1 </w:t>
            </w:r>
            <w:r>
              <w:rPr>
                <w:spacing w:val="8"/>
              </w:rPr>
              <w:t>座全封闭结构库房，位于洗毛车间（二）北侧，作为选毛临时贮存、解包、人工分选，建筑</w:t>
            </w:r>
            <w:r>
              <w:rPr>
                <w:spacing w:val="7"/>
              </w:rPr>
              <w:t>面积</w:t>
            </w:r>
            <w:r>
              <w:rPr>
                <w:spacing w:val="-23"/>
              </w:rPr>
              <w:t xml:space="preserve"> </w:t>
            </w:r>
            <w:r>
              <w:rPr>
                <w:rFonts w:ascii="Times New Roman" w:hAnsi="Times New Roman" w:eastAsia="Times New Roman" w:cs="Times New Roman"/>
                <w:spacing w:val="7"/>
              </w:rPr>
              <w:t>1500m</w:t>
            </w:r>
            <w:r>
              <w:rPr>
                <w:rFonts w:ascii="Times New Roman" w:hAnsi="Times New Roman" w:eastAsia="Times New Roman" w:cs="Times New Roman"/>
                <w:sz w:val="13"/>
                <w:szCs w:val="13"/>
                <w:spacing w:val="7"/>
                <w:position w:val="6"/>
              </w:rPr>
              <w:t>2</w:t>
            </w:r>
            <w:r>
              <w:rPr>
                <w:spacing w:val="7"/>
              </w:rPr>
              <w:t>。</w:t>
            </w:r>
          </w:p>
        </w:tc>
        <w:tc>
          <w:tcPr>
            <w:tcW w:w="1302" w:type="dxa"/>
            <w:vAlign w:val="top"/>
          </w:tcPr>
          <w:p>
            <w:pPr>
              <w:pStyle w:val="TableText"/>
              <w:ind w:left="236"/>
              <w:spacing w:before="31" w:line="217" w:lineRule="auto"/>
              <w:rPr/>
            </w:pPr>
            <w:r>
              <w:rPr>
                <w:spacing w:val="7"/>
              </w:rPr>
              <w:t>库房利旧</w:t>
            </w:r>
          </w:p>
        </w:tc>
      </w:tr>
      <w:tr>
        <w:trPr>
          <w:trHeight w:val="277"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tcPr>
          <w:p>
            <w:pPr>
              <w:pStyle w:val="TableText"/>
              <w:ind w:left="41"/>
              <w:spacing w:before="33" w:line="216" w:lineRule="auto"/>
              <w:rPr/>
            </w:pPr>
            <w:r>
              <w:rPr>
                <w:spacing w:val="4"/>
              </w:rPr>
              <w:t>东厂区</w:t>
            </w:r>
          </w:p>
        </w:tc>
        <w:tc>
          <w:tcPr>
            <w:tcW w:w="1450" w:type="dxa"/>
            <w:vAlign w:val="top"/>
            <w:vMerge w:val="restart"/>
            <w:tcBorders>
              <w:bottom w:val="nil"/>
            </w:tcBorders>
          </w:tcPr>
          <w:p>
            <w:pPr>
              <w:pStyle w:val="TableText"/>
              <w:ind w:left="202"/>
              <w:spacing w:before="173" w:line="228" w:lineRule="auto"/>
              <w:rPr/>
            </w:pPr>
            <w:r>
              <w:rPr>
                <w:spacing w:val="8"/>
              </w:rPr>
              <w:t>洗净毛库房</w:t>
            </w:r>
          </w:p>
        </w:tc>
        <w:tc>
          <w:tcPr>
            <w:tcW w:w="11283" w:type="dxa"/>
            <w:vAlign w:val="top"/>
          </w:tcPr>
          <w:p>
            <w:pPr>
              <w:pStyle w:val="TableText"/>
              <w:ind w:left="435"/>
              <w:spacing w:before="33" w:line="216" w:lineRule="auto"/>
              <w:rPr/>
            </w:pPr>
            <w:r>
              <w:rPr>
                <w:spacing w:val="7"/>
              </w:rPr>
              <w:t>东厂区设</w:t>
            </w:r>
            <w:r>
              <w:rPr>
                <w:spacing w:val="-20"/>
              </w:rPr>
              <w:t xml:space="preserve"> </w:t>
            </w:r>
            <w:r>
              <w:rPr>
                <w:rFonts w:ascii="Times New Roman" w:hAnsi="Times New Roman" w:eastAsia="Times New Roman" w:cs="Times New Roman"/>
                <w:spacing w:val="7"/>
              </w:rPr>
              <w:t>1 </w:t>
            </w:r>
            <w:r>
              <w:rPr>
                <w:spacing w:val="7"/>
              </w:rPr>
              <w:t>座全封闭结构库房，作为洗净毛临时贮存</w:t>
            </w:r>
            <w:r>
              <w:rPr>
                <w:spacing w:val="6"/>
              </w:rPr>
              <w:t>，建筑面积</w:t>
            </w:r>
            <w:r>
              <w:rPr>
                <w:spacing w:val="-23"/>
              </w:rPr>
              <w:t xml:space="preserve"> </w:t>
            </w:r>
            <w:r>
              <w:rPr>
                <w:rFonts w:ascii="Times New Roman" w:hAnsi="Times New Roman" w:eastAsia="Times New Roman" w:cs="Times New Roman"/>
                <w:spacing w:val="6"/>
              </w:rPr>
              <w:t>1305m</w:t>
            </w:r>
            <w:r>
              <w:rPr>
                <w:rFonts w:ascii="Times New Roman" w:hAnsi="Times New Roman" w:eastAsia="Times New Roman" w:cs="Times New Roman"/>
                <w:sz w:val="13"/>
                <w:szCs w:val="13"/>
                <w:spacing w:val="6"/>
                <w:position w:val="6"/>
              </w:rPr>
              <w:t>2</w:t>
            </w:r>
            <w:r>
              <w:rPr>
                <w:spacing w:val="6"/>
              </w:rPr>
              <w:t>。</w:t>
            </w:r>
          </w:p>
        </w:tc>
        <w:tc>
          <w:tcPr>
            <w:tcW w:w="1302" w:type="dxa"/>
            <w:vAlign w:val="top"/>
          </w:tcPr>
          <w:p>
            <w:pPr>
              <w:pStyle w:val="TableText"/>
              <w:ind w:left="447"/>
              <w:spacing w:before="33" w:line="216" w:lineRule="auto"/>
              <w:rPr/>
            </w:pPr>
            <w:r>
              <w:rPr>
                <w:spacing w:val="4"/>
              </w:rPr>
              <w:t>新建</w:t>
            </w:r>
          </w:p>
        </w:tc>
      </w:tr>
      <w:tr>
        <w:trPr>
          <w:trHeight w:val="278"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tcPr>
          <w:p>
            <w:pPr>
              <w:pStyle w:val="TableText"/>
              <w:ind w:left="38"/>
              <w:spacing w:before="33" w:line="216" w:lineRule="auto"/>
              <w:rPr/>
            </w:pPr>
            <w:r>
              <w:rPr>
                <w:spacing w:val="5"/>
              </w:rPr>
              <w:t>西厂区</w:t>
            </w:r>
          </w:p>
        </w:tc>
        <w:tc>
          <w:tcPr>
            <w:tcW w:w="1450" w:type="dxa"/>
            <w:vAlign w:val="top"/>
            <w:vMerge w:val="continue"/>
            <w:tcBorders>
              <w:top w:val="nil"/>
            </w:tcBorders>
          </w:tcPr>
          <w:p>
            <w:pPr>
              <w:rPr>
                <w:rFonts w:ascii="Arial"/>
                <w:sz w:val="21"/>
              </w:rPr>
            </w:pPr>
            <w:r/>
          </w:p>
        </w:tc>
        <w:tc>
          <w:tcPr>
            <w:tcW w:w="11283" w:type="dxa"/>
            <w:vAlign w:val="top"/>
          </w:tcPr>
          <w:p>
            <w:pPr>
              <w:pStyle w:val="TableText"/>
              <w:ind w:left="433"/>
              <w:spacing w:before="33" w:line="216" w:lineRule="auto"/>
              <w:rPr/>
            </w:pPr>
            <w:r>
              <w:rPr>
                <w:spacing w:val="7"/>
              </w:rPr>
              <w:t>西厂区设</w:t>
            </w:r>
            <w:r>
              <w:rPr>
                <w:spacing w:val="-18"/>
              </w:rPr>
              <w:t xml:space="preserve"> </w:t>
            </w:r>
            <w:r>
              <w:rPr>
                <w:rFonts w:ascii="Times New Roman" w:hAnsi="Times New Roman" w:eastAsia="Times New Roman" w:cs="Times New Roman"/>
                <w:spacing w:val="7"/>
              </w:rPr>
              <w:t>1 </w:t>
            </w:r>
            <w:r>
              <w:rPr>
                <w:spacing w:val="7"/>
              </w:rPr>
              <w:t>座全封闭结构库房，用于贮存洗净羊毛，建筑面积</w:t>
            </w:r>
            <w:r>
              <w:rPr>
                <w:spacing w:val="-39"/>
              </w:rPr>
              <w:t xml:space="preserve"> </w:t>
            </w:r>
            <w:r>
              <w:rPr>
                <w:rFonts w:ascii="Times New Roman" w:hAnsi="Times New Roman" w:eastAsia="Times New Roman" w:cs="Times New Roman"/>
                <w:spacing w:val="7"/>
              </w:rPr>
              <w:t>3000m</w:t>
            </w:r>
            <w:r>
              <w:rPr>
                <w:rFonts w:ascii="Times New Roman" w:hAnsi="Times New Roman" w:eastAsia="Times New Roman" w:cs="Times New Roman"/>
                <w:sz w:val="13"/>
                <w:szCs w:val="13"/>
                <w:spacing w:val="7"/>
                <w:position w:val="6"/>
              </w:rPr>
              <w:t>2</w:t>
            </w:r>
            <w:r>
              <w:rPr>
                <w:spacing w:val="7"/>
              </w:rPr>
              <w:t>。</w:t>
            </w:r>
          </w:p>
        </w:tc>
        <w:tc>
          <w:tcPr>
            <w:tcW w:w="1302" w:type="dxa"/>
            <w:vAlign w:val="top"/>
          </w:tcPr>
          <w:p>
            <w:pPr>
              <w:pStyle w:val="TableText"/>
              <w:ind w:left="236"/>
              <w:spacing w:before="33" w:line="216" w:lineRule="auto"/>
              <w:rPr/>
            </w:pPr>
            <w:r>
              <w:rPr>
                <w:spacing w:val="7"/>
              </w:rPr>
              <w:t>库房利旧</w:t>
            </w:r>
          </w:p>
        </w:tc>
      </w:tr>
      <w:tr>
        <w:trPr>
          <w:trHeight w:val="821"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restart"/>
            <w:tcBorders>
              <w:bottom w:val="nil"/>
            </w:tcBorders>
          </w:tcPr>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pStyle w:val="TableText"/>
              <w:ind w:left="38"/>
              <w:spacing w:before="65" w:line="228" w:lineRule="auto"/>
              <w:rPr/>
            </w:pPr>
            <w:r>
              <w:rPr>
                <w:spacing w:val="5"/>
              </w:rPr>
              <w:t>西厂区</w:t>
            </w:r>
          </w:p>
        </w:tc>
        <w:tc>
          <w:tcPr>
            <w:tcW w:w="1450" w:type="dxa"/>
            <w:vAlign w:val="top"/>
          </w:tcPr>
          <w:p>
            <w:pPr>
              <w:pStyle w:val="TableText"/>
              <w:ind w:left="96" w:right="25" w:hanging="68"/>
              <w:spacing w:before="167" w:line="252" w:lineRule="auto"/>
              <w:rPr/>
            </w:pPr>
            <w:r>
              <w:rPr>
                <w:spacing w:val="6"/>
              </w:rPr>
              <w:t>厌氧发酵</w:t>
            </w:r>
            <w:r>
              <w:rPr>
                <w:spacing w:val="-39"/>
              </w:rPr>
              <w:t xml:space="preserve"> </w:t>
            </w:r>
            <w:r>
              <w:rPr>
                <w:rFonts w:ascii="Times New Roman" w:hAnsi="Times New Roman" w:eastAsia="Times New Roman" w:cs="Times New Roman"/>
              </w:rPr>
              <w:t>TS</w:t>
            </w:r>
            <w:r>
              <w:rPr>
                <w:rFonts w:ascii="Times New Roman" w:hAnsi="Times New Roman" w:eastAsia="Times New Roman" w:cs="Times New Roman"/>
                <w:spacing w:val="15"/>
              </w:rPr>
              <w:t xml:space="preserve"> </w:t>
            </w:r>
            <w:r>
              <w:rPr>
                <w:spacing w:val="6"/>
              </w:rPr>
              <w:t>调</w:t>
            </w:r>
            <w:r>
              <w:rPr/>
              <w:t xml:space="preserve"> </w:t>
            </w:r>
            <w:r>
              <w:rPr>
                <w:spacing w:val="8"/>
              </w:rPr>
              <w:t>节牛羊粪贮存</w:t>
            </w:r>
          </w:p>
        </w:tc>
        <w:tc>
          <w:tcPr>
            <w:tcW w:w="11283" w:type="dxa"/>
            <w:vAlign w:val="top"/>
          </w:tcPr>
          <w:p>
            <w:pPr>
              <w:pStyle w:val="TableText"/>
              <w:ind w:left="8" w:right="2" w:firstLine="420"/>
              <w:spacing w:before="30"/>
              <w:jc w:val="both"/>
              <w:rPr/>
            </w:pPr>
            <w:r>
              <w:rPr>
                <w:spacing w:val="9"/>
              </w:rPr>
              <w:t>厌氧发酵装置洗毛废水需要添加牛羊粪进行固体浓度（</w:t>
            </w:r>
            <w:r>
              <w:rPr>
                <w:rFonts w:ascii="Times New Roman" w:hAnsi="Times New Roman" w:eastAsia="Times New Roman" w:cs="Times New Roman"/>
              </w:rPr>
              <w:t>TS</w:t>
            </w:r>
            <w:r>
              <w:rPr>
                <w:spacing w:val="9"/>
              </w:rPr>
              <w:t>）调节</w:t>
            </w:r>
            <w:r>
              <w:rPr>
                <w:spacing w:val="8"/>
              </w:rPr>
              <w:t>，使废水含固率≥</w:t>
            </w:r>
            <w:r>
              <w:rPr>
                <w:rFonts w:ascii="Times New Roman" w:hAnsi="Times New Roman" w:eastAsia="Times New Roman" w:cs="Times New Roman"/>
                <w:spacing w:val="8"/>
              </w:rPr>
              <w:t>6%</w:t>
            </w:r>
            <w:r>
              <w:rPr>
                <w:rFonts w:ascii="Times New Roman" w:hAnsi="Times New Roman" w:eastAsia="Times New Roman" w:cs="Times New Roman"/>
                <w:spacing w:val="-23"/>
              </w:rPr>
              <w:t xml:space="preserve"> </w:t>
            </w:r>
            <w:r>
              <w:rPr>
                <w:spacing w:val="8"/>
              </w:rPr>
              <w:t>，与周边养殖场签订协议，</w:t>
            </w:r>
            <w:r>
              <w:rPr>
                <w:rFonts w:ascii="Times New Roman" w:hAnsi="Times New Roman" w:eastAsia="Times New Roman" w:cs="Times New Roman"/>
              </w:rPr>
              <w:t>TS</w:t>
            </w:r>
            <w:r>
              <w:rPr>
                <w:rFonts w:ascii="Times New Roman" w:hAnsi="Times New Roman" w:eastAsia="Times New Roman" w:cs="Times New Roman"/>
                <w:spacing w:val="8"/>
              </w:rPr>
              <w:t xml:space="preserve"> </w:t>
            </w:r>
            <w:r>
              <w:rPr>
                <w:spacing w:val="8"/>
              </w:rPr>
              <w:t>调</w:t>
            </w:r>
            <w:r>
              <w:rPr/>
              <w:t xml:space="preserve"> </w:t>
            </w:r>
            <w:r>
              <w:rPr>
                <w:spacing w:val="9"/>
              </w:rPr>
              <w:t>节所用牛羊粪不在厂区内设储存设施。每天产生的洗毛废水分</w:t>
            </w:r>
            <w:r>
              <w:rPr>
                <w:spacing w:val="-41"/>
              </w:rPr>
              <w:t xml:space="preserve"> </w:t>
            </w:r>
            <w:r>
              <w:rPr>
                <w:rFonts w:ascii="Times New Roman" w:hAnsi="Times New Roman" w:eastAsia="Times New Roman" w:cs="Times New Roman"/>
                <w:spacing w:val="9"/>
              </w:rPr>
              <w:t>2 </w:t>
            </w:r>
            <w:r>
              <w:rPr>
                <w:spacing w:val="9"/>
              </w:rPr>
              <w:t>批调节，牛羊粪分</w:t>
            </w:r>
            <w:r>
              <w:rPr>
                <w:spacing w:val="-40"/>
              </w:rPr>
              <w:t xml:space="preserve"> </w:t>
            </w:r>
            <w:r>
              <w:rPr>
                <w:rFonts w:ascii="Times New Roman" w:hAnsi="Times New Roman" w:eastAsia="Times New Roman" w:cs="Times New Roman"/>
                <w:spacing w:val="9"/>
              </w:rPr>
              <w:t>2 </w:t>
            </w:r>
            <w:r>
              <w:rPr>
                <w:spacing w:val="9"/>
              </w:rPr>
              <w:t>次拉运，每次拉运</w:t>
            </w:r>
            <w:r>
              <w:rPr>
                <w:spacing w:val="-36"/>
              </w:rPr>
              <w:t xml:space="preserve"> </w:t>
            </w:r>
            <w:r>
              <w:rPr>
                <w:rFonts w:ascii="Times New Roman" w:hAnsi="Times New Roman" w:eastAsia="Times New Roman" w:cs="Times New Roman"/>
                <w:spacing w:val="9"/>
              </w:rPr>
              <w:t>3.7</w:t>
            </w:r>
            <w:r>
              <w:rPr>
                <w:rFonts w:ascii="Times New Roman" w:hAnsi="Times New Roman" w:eastAsia="Times New Roman" w:cs="Times New Roman"/>
                <w:spacing w:val="8"/>
              </w:rPr>
              <w:t>5t/</w:t>
            </w:r>
            <w:r>
              <w:rPr>
                <w:spacing w:val="8"/>
              </w:rPr>
              <w:t>次，牛羊粪进</w:t>
            </w:r>
            <w:r>
              <w:rPr/>
              <w:t xml:space="preserve"> </w:t>
            </w:r>
            <w:r>
              <w:rPr>
                <w:spacing w:val="8"/>
              </w:rPr>
              <w:t>厂后直接投入</w:t>
            </w:r>
            <w:r>
              <w:rPr>
                <w:spacing w:val="-29"/>
              </w:rPr>
              <w:t xml:space="preserve"> </w:t>
            </w:r>
            <w:r>
              <w:rPr>
                <w:rFonts w:ascii="Times New Roman" w:hAnsi="Times New Roman" w:eastAsia="Times New Roman" w:cs="Times New Roman"/>
              </w:rPr>
              <w:t>TS</w:t>
            </w:r>
            <w:r>
              <w:rPr>
                <w:rFonts w:ascii="Times New Roman" w:hAnsi="Times New Roman" w:eastAsia="Times New Roman" w:cs="Times New Roman"/>
                <w:spacing w:val="8"/>
              </w:rPr>
              <w:t xml:space="preserve"> </w:t>
            </w:r>
            <w:r>
              <w:rPr>
                <w:spacing w:val="8"/>
              </w:rPr>
              <w:t>调节池，不在厂区储存。</w:t>
            </w:r>
          </w:p>
        </w:tc>
        <w:tc>
          <w:tcPr>
            <w:tcW w:w="1302" w:type="dxa"/>
            <w:vAlign w:val="top"/>
          </w:tcPr>
          <w:p>
            <w:pPr>
              <w:pStyle w:val="TableText"/>
              <w:ind w:left="344"/>
              <w:spacing w:before="304" w:line="228" w:lineRule="auto"/>
              <w:rPr/>
            </w:pPr>
            <w:r>
              <w:rPr>
                <w:spacing w:val="5"/>
              </w:rPr>
              <w:t>不储存</w:t>
            </w:r>
          </w:p>
        </w:tc>
      </w:tr>
      <w:tr>
        <w:trPr>
          <w:trHeight w:val="550"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99"/>
              <w:spacing w:before="33" w:line="228" w:lineRule="auto"/>
              <w:rPr/>
            </w:pPr>
            <w:r>
              <w:rPr>
                <w:spacing w:val="7"/>
              </w:rPr>
              <w:t>无毛绒产品贮</w:t>
            </w:r>
          </w:p>
          <w:p>
            <w:pPr>
              <w:pStyle w:val="TableText"/>
              <w:ind w:left="622"/>
              <w:spacing w:before="24" w:line="217" w:lineRule="auto"/>
              <w:rPr/>
            </w:pPr>
            <w:r>
              <w:rPr>
                <w:spacing w:val="1"/>
              </w:rPr>
              <w:t>存</w:t>
            </w:r>
          </w:p>
        </w:tc>
        <w:tc>
          <w:tcPr>
            <w:tcW w:w="11283" w:type="dxa"/>
            <w:vAlign w:val="top"/>
          </w:tcPr>
          <w:p>
            <w:pPr>
              <w:pStyle w:val="TableText"/>
              <w:ind w:left="431"/>
              <w:spacing w:before="167" w:line="228" w:lineRule="auto"/>
              <w:rPr/>
            </w:pPr>
            <w:r>
              <w:rPr>
                <w:spacing w:val="9"/>
              </w:rPr>
              <w:t>不单独设无毛绒产品库房，与洗净毛共用贮存库</w:t>
            </w:r>
            <w:r>
              <w:rPr>
                <w:spacing w:val="8"/>
              </w:rPr>
              <w:t>房。</w:t>
            </w:r>
          </w:p>
        </w:tc>
        <w:tc>
          <w:tcPr>
            <w:tcW w:w="1302" w:type="dxa"/>
            <w:vAlign w:val="top"/>
          </w:tcPr>
          <w:p>
            <w:pPr>
              <w:ind w:left="619"/>
              <w:spacing w:before="202"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549"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99"/>
              <w:spacing w:before="33" w:line="226" w:lineRule="auto"/>
              <w:rPr/>
            </w:pPr>
            <w:r>
              <w:rPr>
                <w:spacing w:val="7"/>
              </w:rPr>
              <w:t>生物质燃料库</w:t>
            </w:r>
          </w:p>
          <w:p>
            <w:pPr>
              <w:pStyle w:val="TableText"/>
              <w:ind w:left="623"/>
              <w:spacing w:before="25" w:line="217" w:lineRule="auto"/>
              <w:rPr/>
            </w:pPr>
            <w:r>
              <w:rPr/>
              <w:t>房</w:t>
            </w:r>
          </w:p>
        </w:tc>
        <w:tc>
          <w:tcPr>
            <w:tcW w:w="11283" w:type="dxa"/>
            <w:vAlign w:val="top"/>
          </w:tcPr>
          <w:p>
            <w:pPr>
              <w:pStyle w:val="TableText"/>
              <w:ind w:left="433"/>
              <w:spacing w:before="167" w:line="226" w:lineRule="auto"/>
              <w:rPr/>
            </w:pPr>
            <w:r>
              <w:rPr>
                <w:spacing w:val="9"/>
              </w:rPr>
              <w:t>西厂区生物质锅炉用燃料在锅炉房北侧燃料库</w:t>
            </w:r>
            <w:r>
              <w:rPr>
                <w:spacing w:val="8"/>
              </w:rPr>
              <w:t>房暂存，燃料库房建筑面积</w:t>
            </w:r>
            <w:r>
              <w:rPr>
                <w:spacing w:val="-40"/>
              </w:rPr>
              <w:t xml:space="preserve"> </w:t>
            </w:r>
            <w:r>
              <w:rPr>
                <w:rFonts w:ascii="Times New Roman" w:hAnsi="Times New Roman" w:eastAsia="Times New Roman" w:cs="Times New Roman"/>
                <w:spacing w:val="8"/>
              </w:rPr>
              <w:t>200m</w:t>
            </w:r>
            <w:r>
              <w:rPr>
                <w:rFonts w:ascii="Times New Roman" w:hAnsi="Times New Roman" w:eastAsia="Times New Roman" w:cs="Times New Roman"/>
                <w:sz w:val="13"/>
                <w:szCs w:val="13"/>
                <w:spacing w:val="8"/>
                <w:position w:val="6"/>
              </w:rPr>
              <w:t>2</w:t>
            </w:r>
            <w:r>
              <w:rPr>
                <w:spacing w:val="8"/>
              </w:rPr>
              <w:t>。</w:t>
            </w:r>
          </w:p>
        </w:tc>
        <w:tc>
          <w:tcPr>
            <w:tcW w:w="1302" w:type="dxa"/>
            <w:vAlign w:val="top"/>
          </w:tcPr>
          <w:p>
            <w:pPr>
              <w:pStyle w:val="TableText"/>
              <w:ind w:left="447"/>
              <w:spacing w:before="167" w:line="228" w:lineRule="auto"/>
              <w:rPr/>
            </w:pPr>
            <w:r>
              <w:rPr>
                <w:spacing w:val="4"/>
              </w:rPr>
              <w:t>新建</w:t>
            </w:r>
          </w:p>
        </w:tc>
      </w:tr>
      <w:tr>
        <w:trPr>
          <w:trHeight w:val="821"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rPr>
                <w:rFonts w:ascii="Arial"/>
                <w:sz w:val="21"/>
              </w:rPr>
            </w:pPr>
            <w:r/>
          </w:p>
          <w:p>
            <w:pPr>
              <w:pStyle w:val="TableText"/>
              <w:ind w:left="312"/>
              <w:spacing w:before="65" w:line="227" w:lineRule="auto"/>
              <w:rPr/>
            </w:pPr>
            <w:r>
              <w:rPr>
                <w:spacing w:val="6"/>
              </w:rPr>
              <w:t>沼气气柜</w:t>
            </w:r>
          </w:p>
        </w:tc>
        <w:tc>
          <w:tcPr>
            <w:tcW w:w="11283" w:type="dxa"/>
            <w:vAlign w:val="top"/>
          </w:tcPr>
          <w:p>
            <w:pPr>
              <w:pStyle w:val="TableText"/>
              <w:ind w:left="9" w:firstLine="417"/>
              <w:spacing w:before="34" w:line="239" w:lineRule="auto"/>
              <w:jc w:val="both"/>
              <w:rPr/>
            </w:pPr>
            <w:r>
              <w:rPr>
                <w:spacing w:val="4"/>
              </w:rPr>
              <w:t>本项目配置</w:t>
            </w:r>
            <w:r>
              <w:rPr>
                <w:spacing w:val="-23"/>
              </w:rPr>
              <w:t xml:space="preserve"> </w:t>
            </w:r>
            <w:r>
              <w:rPr>
                <w:rFonts w:ascii="Times New Roman" w:hAnsi="Times New Roman" w:eastAsia="Times New Roman" w:cs="Times New Roman"/>
                <w:spacing w:val="4"/>
              </w:rPr>
              <w:t>1 </w:t>
            </w:r>
            <w:r>
              <w:rPr>
                <w:spacing w:val="4"/>
              </w:rPr>
              <w:t>座</w:t>
            </w:r>
            <w:r>
              <w:rPr>
                <w:spacing w:val="-39"/>
              </w:rPr>
              <w:t xml:space="preserve"> </w:t>
            </w:r>
            <w:r>
              <w:rPr>
                <w:rFonts w:ascii="Times New Roman" w:hAnsi="Times New Roman" w:eastAsia="Times New Roman" w:cs="Times New Roman"/>
                <w:spacing w:val="4"/>
              </w:rPr>
              <w:t>300m</w:t>
            </w:r>
            <w:r>
              <w:rPr>
                <w:rFonts w:ascii="Times New Roman" w:hAnsi="Times New Roman" w:eastAsia="Times New Roman" w:cs="Times New Roman"/>
                <w:sz w:val="13"/>
                <w:szCs w:val="13"/>
                <w:spacing w:val="4"/>
                <w:position w:val="6"/>
              </w:rPr>
              <w:t>3 </w:t>
            </w:r>
            <w:r>
              <w:rPr>
                <w:spacing w:val="4"/>
              </w:rPr>
              <w:t>独立双膜气柜，位于西厂区内，净化后的沼气在气柜缓</w:t>
            </w:r>
            <w:r>
              <w:rPr>
                <w:spacing w:val="3"/>
              </w:rPr>
              <w:t>存后，经增压风机加压后去沼气锅炉燃烧。</w:t>
            </w:r>
            <w:r>
              <w:rPr/>
              <w:t xml:space="preserve"> </w:t>
            </w:r>
            <w:r>
              <w:rPr>
                <w:spacing w:val="6"/>
              </w:rPr>
              <w:t>气柜采用优质专用膜材，经过高频热合制作而成。工作压力可达</w:t>
            </w:r>
            <w:r>
              <w:rPr>
                <w:spacing w:val="-38"/>
              </w:rPr>
              <w:t xml:space="preserve"> </w:t>
            </w:r>
            <w:r>
              <w:rPr>
                <w:rFonts w:ascii="Times New Roman" w:hAnsi="Times New Roman" w:eastAsia="Times New Roman" w:cs="Times New Roman"/>
                <w:spacing w:val="6"/>
              </w:rPr>
              <w:t>2000</w:t>
            </w:r>
            <w:r>
              <w:rPr>
                <w:rFonts w:ascii="Times New Roman" w:hAnsi="Times New Roman" w:eastAsia="Times New Roman" w:cs="Times New Roman"/>
              </w:rPr>
              <w:t>Pa</w:t>
            </w:r>
            <w:r>
              <w:rPr>
                <w:rFonts w:ascii="Times New Roman" w:hAnsi="Times New Roman" w:eastAsia="Times New Roman" w:cs="Times New Roman"/>
                <w:spacing w:val="-24"/>
              </w:rPr>
              <w:t xml:space="preserve"> </w:t>
            </w:r>
            <w:r>
              <w:rPr>
                <w:spacing w:val="6"/>
              </w:rPr>
              <w:t>，能承受</w:t>
            </w:r>
            <w:r>
              <w:rPr>
                <w:spacing w:val="-40"/>
              </w:rPr>
              <w:t xml:space="preserve"> </w:t>
            </w:r>
            <w:r>
              <w:rPr>
                <w:rFonts w:ascii="Times New Roman" w:hAnsi="Times New Roman" w:eastAsia="Times New Roman" w:cs="Times New Roman"/>
                <w:spacing w:val="6"/>
              </w:rPr>
              <w:t>0.3</w:t>
            </w:r>
            <w:r>
              <w:rPr>
                <w:rFonts w:ascii="Times New Roman" w:hAnsi="Times New Roman" w:eastAsia="Times New Roman" w:cs="Times New Roman"/>
              </w:rPr>
              <w:t>kN</w:t>
            </w:r>
            <w:r>
              <w:rPr>
                <w:rFonts w:ascii="Times New Roman" w:hAnsi="Times New Roman" w:eastAsia="Times New Roman" w:cs="Times New Roman"/>
                <w:spacing w:val="5"/>
              </w:rPr>
              <w:t>/m</w:t>
            </w:r>
            <w:r>
              <w:rPr>
                <w:rFonts w:ascii="Times New Roman" w:hAnsi="Times New Roman" w:eastAsia="Times New Roman" w:cs="Times New Roman"/>
                <w:sz w:val="13"/>
                <w:szCs w:val="13"/>
                <w:spacing w:val="5"/>
                <w:position w:val="6"/>
              </w:rPr>
              <w:t>2</w:t>
            </w:r>
            <w:r>
              <w:rPr>
                <w:rFonts w:ascii="Times New Roman" w:hAnsi="Times New Roman" w:eastAsia="Times New Roman" w:cs="Times New Roman"/>
                <w:sz w:val="13"/>
                <w:szCs w:val="13"/>
                <w:spacing w:val="25"/>
                <w:position w:val="6"/>
              </w:rPr>
              <w:t xml:space="preserve"> </w:t>
            </w:r>
            <w:r>
              <w:rPr>
                <w:spacing w:val="5"/>
              </w:rPr>
              <w:t>的雪压和</w:t>
            </w:r>
            <w:r>
              <w:rPr>
                <w:spacing w:val="-38"/>
              </w:rPr>
              <w:t xml:space="preserve"> </w:t>
            </w:r>
            <w:r>
              <w:rPr>
                <w:rFonts w:ascii="Times New Roman" w:hAnsi="Times New Roman" w:eastAsia="Times New Roman" w:cs="Times New Roman"/>
                <w:spacing w:val="5"/>
              </w:rPr>
              <w:t>0.4</w:t>
            </w:r>
            <w:r>
              <w:rPr>
                <w:rFonts w:ascii="Times New Roman" w:hAnsi="Times New Roman" w:eastAsia="Times New Roman" w:cs="Times New Roman"/>
              </w:rPr>
              <w:t>kN</w:t>
            </w:r>
            <w:r>
              <w:rPr>
                <w:rFonts w:ascii="Times New Roman" w:hAnsi="Times New Roman" w:eastAsia="Times New Roman" w:cs="Times New Roman"/>
                <w:spacing w:val="5"/>
              </w:rPr>
              <w:t>/m</w:t>
            </w:r>
            <w:r>
              <w:rPr>
                <w:rFonts w:ascii="Times New Roman" w:hAnsi="Times New Roman" w:eastAsia="Times New Roman" w:cs="Times New Roman"/>
                <w:sz w:val="13"/>
                <w:szCs w:val="13"/>
                <w:spacing w:val="5"/>
                <w:position w:val="6"/>
              </w:rPr>
              <w:t>2</w:t>
            </w:r>
            <w:r>
              <w:rPr>
                <w:rFonts w:ascii="Times New Roman" w:hAnsi="Times New Roman" w:eastAsia="Times New Roman" w:cs="Times New Roman"/>
                <w:sz w:val="13"/>
                <w:szCs w:val="13"/>
                <w:spacing w:val="27"/>
                <w:w w:val="101"/>
                <w:position w:val="6"/>
              </w:rPr>
              <w:t xml:space="preserve"> </w:t>
            </w:r>
            <w:r>
              <w:rPr>
                <w:spacing w:val="5"/>
              </w:rPr>
              <w:t>的风压，工作</w:t>
            </w:r>
            <w:r>
              <w:rPr/>
              <w:t xml:space="preserve"> </w:t>
            </w:r>
            <w:r>
              <w:rPr>
                <w:spacing w:val="1"/>
              </w:rPr>
              <w:t>温度</w:t>
            </w:r>
            <w:r>
              <w:rPr>
                <w:rFonts w:ascii="Times New Roman" w:hAnsi="Times New Roman" w:eastAsia="Times New Roman" w:cs="Times New Roman"/>
                <w:spacing w:val="1"/>
              </w:rPr>
              <w:t>-30</w:t>
            </w:r>
            <w:r>
              <w:rPr>
                <w:spacing w:val="1"/>
              </w:rPr>
              <w:t>℃</w:t>
            </w:r>
            <w:r>
              <w:rPr>
                <w:rFonts w:ascii="Times New Roman" w:hAnsi="Times New Roman" w:eastAsia="Times New Roman" w:cs="Times New Roman"/>
                <w:spacing w:val="1"/>
              </w:rPr>
              <w:t>~+70</w:t>
            </w:r>
            <w:r>
              <w:rPr>
                <w:spacing w:val="1"/>
              </w:rPr>
              <w:t>℃</w:t>
            </w:r>
            <w:r>
              <w:rPr>
                <w:spacing w:val="-57"/>
              </w:rPr>
              <w:t xml:space="preserve"> </w:t>
            </w:r>
            <w:r>
              <w:rPr>
                <w:spacing w:val="1"/>
              </w:rPr>
              <w:t>,</w:t>
            </w:r>
            <w:r>
              <w:rPr>
                <w:spacing w:val="60"/>
              </w:rPr>
              <w:t xml:space="preserve"> </w:t>
            </w:r>
            <w:r>
              <w:rPr>
                <w:spacing w:val="1"/>
              </w:rPr>
              <w:t>无需保温和防腐。</w:t>
            </w:r>
          </w:p>
        </w:tc>
        <w:tc>
          <w:tcPr>
            <w:tcW w:w="1302" w:type="dxa"/>
            <w:vAlign w:val="top"/>
          </w:tcPr>
          <w:p>
            <w:pPr>
              <w:rPr>
                <w:rFonts w:ascii="Arial"/>
                <w:sz w:val="21"/>
              </w:rPr>
            </w:pPr>
            <w:r/>
          </w:p>
          <w:p>
            <w:pPr>
              <w:pStyle w:val="TableText"/>
              <w:ind w:left="447"/>
              <w:spacing w:before="65" w:line="228" w:lineRule="auto"/>
              <w:rPr/>
            </w:pPr>
            <w:r>
              <w:rPr>
                <w:spacing w:val="4"/>
              </w:rPr>
              <w:t>新建</w:t>
            </w:r>
          </w:p>
        </w:tc>
      </w:tr>
      <w:tr>
        <w:trPr>
          <w:trHeight w:val="549"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207"/>
              <w:spacing w:before="169" w:line="229" w:lineRule="auto"/>
              <w:rPr/>
            </w:pPr>
            <w:r>
              <w:rPr>
                <w:spacing w:val="7"/>
              </w:rPr>
              <w:t>沼渣晾晒区</w:t>
            </w:r>
          </w:p>
        </w:tc>
        <w:tc>
          <w:tcPr>
            <w:tcW w:w="11283" w:type="dxa"/>
            <w:vAlign w:val="top"/>
          </w:tcPr>
          <w:p>
            <w:pPr>
              <w:pStyle w:val="TableText"/>
              <w:ind w:left="9" w:right="2" w:firstLine="418"/>
              <w:spacing w:before="36" w:line="232" w:lineRule="auto"/>
              <w:rPr/>
            </w:pPr>
            <w:r>
              <w:rPr>
                <w:spacing w:val="5"/>
              </w:rPr>
              <w:t>在西厂区北侧建</w:t>
            </w:r>
            <w:r>
              <w:rPr>
                <w:spacing w:val="-7"/>
              </w:rPr>
              <w:t xml:space="preserve"> </w:t>
            </w:r>
            <w:r>
              <w:rPr>
                <w:rFonts w:ascii="Times New Roman" w:hAnsi="Times New Roman" w:eastAsia="Times New Roman" w:cs="Times New Roman"/>
                <w:spacing w:val="5"/>
              </w:rPr>
              <w:t>1 </w:t>
            </w:r>
            <w:r>
              <w:rPr>
                <w:spacing w:val="5"/>
              </w:rPr>
              <w:t>座沼渣晾晒区，建筑面积</w:t>
            </w:r>
            <w:r>
              <w:rPr>
                <w:spacing w:val="-20"/>
              </w:rPr>
              <w:t xml:space="preserve"> </w:t>
            </w:r>
            <w:r>
              <w:rPr>
                <w:rFonts w:ascii="Times New Roman" w:hAnsi="Times New Roman" w:eastAsia="Times New Roman" w:cs="Times New Roman"/>
                <w:spacing w:val="5"/>
              </w:rPr>
              <w:t>135m</w:t>
            </w:r>
            <w:r>
              <w:rPr>
                <w:rFonts w:ascii="Times New Roman" w:hAnsi="Times New Roman" w:eastAsia="Times New Roman" w:cs="Times New Roman"/>
                <w:sz w:val="13"/>
                <w:szCs w:val="13"/>
                <w:spacing w:val="5"/>
                <w:position w:val="6"/>
              </w:rPr>
              <w:t>2</w:t>
            </w:r>
            <w:r>
              <w:rPr>
                <w:rFonts w:ascii="Times New Roman" w:hAnsi="Times New Roman" w:eastAsia="Times New Roman" w:cs="Times New Roman"/>
                <w:sz w:val="13"/>
                <w:szCs w:val="13"/>
                <w:spacing w:val="-9"/>
                <w:position w:val="6"/>
              </w:rPr>
              <w:t xml:space="preserve"> </w:t>
            </w:r>
            <w:r>
              <w:rPr>
                <w:spacing w:val="5"/>
              </w:rPr>
              <w:t>，长</w:t>
            </w:r>
            <w:r>
              <w:rPr>
                <w:spacing w:val="-21"/>
              </w:rPr>
              <w:t xml:space="preserve"> </w:t>
            </w:r>
            <w:r>
              <w:rPr>
                <w:rFonts w:ascii="Times New Roman" w:hAnsi="Times New Roman" w:eastAsia="Times New Roman" w:cs="Times New Roman"/>
                <w:spacing w:val="5"/>
              </w:rPr>
              <w:t>15m</w:t>
            </w:r>
            <w:r>
              <w:rPr>
                <w:rFonts w:ascii="Arial" w:hAnsi="Arial" w:eastAsia="Arial" w:cs="Arial"/>
                <w:spacing w:val="5"/>
              </w:rPr>
              <w:t>×</w:t>
            </w:r>
            <w:r>
              <w:rPr>
                <w:spacing w:val="5"/>
              </w:rPr>
              <w:t>宽</w:t>
            </w:r>
            <w:r>
              <w:rPr>
                <w:spacing w:val="-36"/>
              </w:rPr>
              <w:t xml:space="preserve"> </w:t>
            </w:r>
            <w:r>
              <w:rPr>
                <w:rFonts w:ascii="Times New Roman" w:hAnsi="Times New Roman" w:eastAsia="Times New Roman" w:cs="Times New Roman"/>
                <w:spacing w:val="5"/>
              </w:rPr>
              <w:t>9m</w:t>
            </w:r>
            <w:r>
              <w:rPr>
                <w:rFonts w:ascii="Times New Roman" w:hAnsi="Times New Roman" w:eastAsia="Times New Roman" w:cs="Times New Roman"/>
                <w:spacing w:val="-26"/>
              </w:rPr>
              <w:t xml:space="preserve"> </w:t>
            </w:r>
            <w:r>
              <w:rPr>
                <w:spacing w:val="5"/>
              </w:rPr>
              <w:t>，封闭式彩钢结构，预留车辆出入口；厌氧发酵装置</w:t>
            </w:r>
            <w:r>
              <w:rPr/>
              <w:t xml:space="preserve"> </w:t>
            </w:r>
            <w:r>
              <w:rPr>
                <w:spacing w:val="9"/>
              </w:rPr>
              <w:t>脱水后含水率</w:t>
            </w:r>
            <w:r>
              <w:rPr>
                <w:rFonts w:ascii="Times New Roman" w:hAnsi="Times New Roman" w:eastAsia="Times New Roman" w:cs="Times New Roman"/>
                <w:spacing w:val="9"/>
              </w:rPr>
              <w:t>~60%</w:t>
            </w:r>
            <w:r>
              <w:rPr>
                <w:spacing w:val="9"/>
              </w:rPr>
              <w:t>的沼渣，在沼渣晾晒区内自然晾干，当含水率下降到</w:t>
            </w:r>
            <w:r>
              <w:rPr>
                <w:rFonts w:ascii="Times New Roman" w:hAnsi="Times New Roman" w:eastAsia="Times New Roman" w:cs="Times New Roman"/>
                <w:spacing w:val="9"/>
              </w:rPr>
              <w:t>~30%</w:t>
            </w:r>
            <w:r>
              <w:rPr>
                <w:spacing w:val="8"/>
              </w:rPr>
              <w:t>时，沼渣肥还田利用（自用）。</w:t>
            </w:r>
          </w:p>
        </w:tc>
        <w:tc>
          <w:tcPr>
            <w:tcW w:w="1302" w:type="dxa"/>
            <w:vAlign w:val="top"/>
          </w:tcPr>
          <w:p>
            <w:pPr>
              <w:pStyle w:val="TableText"/>
              <w:ind w:left="447"/>
              <w:spacing w:before="170" w:line="228" w:lineRule="auto"/>
              <w:rPr/>
            </w:pPr>
            <w:r>
              <w:rPr>
                <w:spacing w:val="4"/>
              </w:rPr>
              <w:t>新建</w:t>
            </w:r>
          </w:p>
        </w:tc>
      </w:tr>
      <w:tr>
        <w:trPr>
          <w:trHeight w:val="550"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101"/>
              <w:spacing w:before="35" w:line="227" w:lineRule="auto"/>
              <w:rPr/>
            </w:pPr>
            <w:r>
              <w:rPr>
                <w:spacing w:val="7"/>
              </w:rPr>
              <w:t>沼渣肥产品贮</w:t>
            </w:r>
          </w:p>
          <w:p>
            <w:pPr>
              <w:pStyle w:val="TableText"/>
              <w:ind w:left="622"/>
              <w:spacing w:before="25" w:line="215" w:lineRule="auto"/>
              <w:rPr/>
            </w:pPr>
            <w:r>
              <w:rPr>
                <w:spacing w:val="1"/>
              </w:rPr>
              <w:t>存</w:t>
            </w:r>
          </w:p>
        </w:tc>
        <w:tc>
          <w:tcPr>
            <w:tcW w:w="11283" w:type="dxa"/>
            <w:vAlign w:val="top"/>
          </w:tcPr>
          <w:p>
            <w:pPr>
              <w:pStyle w:val="TableText"/>
              <w:ind w:left="9" w:right="2" w:firstLine="422"/>
              <w:spacing w:before="35" w:line="233" w:lineRule="auto"/>
              <w:rPr/>
            </w:pPr>
            <w:r>
              <w:rPr>
                <w:spacing w:val="9"/>
              </w:rPr>
              <w:t>不在厂区内设沼渣肥贮存区，晾晒后，及时外运还田利用。</w:t>
            </w:r>
            <w:r>
              <w:rPr>
                <w:spacing w:val="8"/>
              </w:rPr>
              <w:t>本项目已租赁内蒙古锡林郭勒盟正镶白旗星耀镇查干宝恩木</w:t>
            </w:r>
            <w:r>
              <w:rPr/>
              <w:t xml:space="preserve"> </w:t>
            </w:r>
            <w:r>
              <w:rPr>
                <w:spacing w:val="7"/>
              </w:rPr>
              <w:t>村</w:t>
            </w:r>
            <w:r>
              <w:rPr>
                <w:spacing w:val="-39"/>
              </w:rPr>
              <w:t xml:space="preserve"> </w:t>
            </w:r>
            <w:r>
              <w:rPr>
                <w:rFonts w:ascii="Times New Roman" w:hAnsi="Times New Roman" w:eastAsia="Times New Roman" w:cs="Times New Roman"/>
                <w:spacing w:val="7"/>
              </w:rPr>
              <w:t>669.6 </w:t>
            </w:r>
            <w:r>
              <w:rPr>
                <w:spacing w:val="7"/>
              </w:rPr>
              <w:t>亩（</w:t>
            </w:r>
            <w:r>
              <w:rPr>
                <w:rFonts w:ascii="Times New Roman" w:hAnsi="Times New Roman" w:eastAsia="Times New Roman" w:cs="Times New Roman"/>
                <w:spacing w:val="7"/>
              </w:rPr>
              <w:t>44.64</w:t>
            </w:r>
            <w:r>
              <w:rPr>
                <w:rFonts w:ascii="Times New Roman" w:hAnsi="Times New Roman" w:eastAsia="Times New Roman" w:cs="Times New Roman"/>
              </w:rPr>
              <w:t>hm</w:t>
            </w:r>
            <w:r>
              <w:rPr>
                <w:rFonts w:ascii="Times New Roman" w:hAnsi="Times New Roman" w:eastAsia="Times New Roman" w:cs="Times New Roman"/>
                <w:sz w:val="13"/>
                <w:szCs w:val="13"/>
                <w:spacing w:val="7"/>
                <w:position w:val="6"/>
              </w:rPr>
              <w:t>2 </w:t>
            </w:r>
            <w:r>
              <w:rPr>
                <w:spacing w:val="7"/>
              </w:rPr>
              <w:t>）耕地和内蒙古正镶白旗星耀镇星河村</w:t>
            </w:r>
            <w:r>
              <w:rPr>
                <w:spacing w:val="-22"/>
              </w:rPr>
              <w:t xml:space="preserve"> </w:t>
            </w:r>
            <w:r>
              <w:rPr>
                <w:rFonts w:ascii="Times New Roman" w:hAnsi="Times New Roman" w:eastAsia="Times New Roman" w:cs="Times New Roman"/>
                <w:spacing w:val="7"/>
              </w:rPr>
              <w:t>100 </w:t>
            </w:r>
            <w:r>
              <w:rPr>
                <w:spacing w:val="7"/>
              </w:rPr>
              <w:t>座</w:t>
            </w:r>
            <w:r>
              <w:rPr>
                <w:spacing w:val="6"/>
              </w:rPr>
              <w:t>塑料大棚，用于沼肥还田利用（自用）。</w:t>
            </w:r>
          </w:p>
        </w:tc>
        <w:tc>
          <w:tcPr>
            <w:tcW w:w="1302" w:type="dxa"/>
            <w:vAlign w:val="top"/>
          </w:tcPr>
          <w:p>
            <w:pPr>
              <w:pStyle w:val="TableText"/>
              <w:ind w:left="447"/>
              <w:spacing w:before="170" w:line="228" w:lineRule="auto"/>
              <w:rPr/>
            </w:pPr>
            <w:r>
              <w:rPr>
                <w:spacing w:val="4"/>
              </w:rPr>
              <w:t>新建</w:t>
            </w:r>
          </w:p>
        </w:tc>
      </w:tr>
      <w:tr>
        <w:trPr>
          <w:trHeight w:val="549"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101"/>
              <w:spacing w:before="35" w:line="227" w:lineRule="auto"/>
              <w:rPr/>
            </w:pPr>
            <w:r>
              <w:rPr>
                <w:spacing w:val="7"/>
              </w:rPr>
              <w:t>沼液肥产品贮</w:t>
            </w:r>
          </w:p>
          <w:p>
            <w:pPr>
              <w:pStyle w:val="TableText"/>
              <w:ind w:left="622"/>
              <w:spacing w:before="24" w:line="215" w:lineRule="auto"/>
              <w:rPr/>
            </w:pPr>
            <w:r>
              <w:rPr>
                <w:spacing w:val="1"/>
              </w:rPr>
              <w:t>存</w:t>
            </w:r>
          </w:p>
        </w:tc>
        <w:tc>
          <w:tcPr>
            <w:tcW w:w="11283" w:type="dxa"/>
            <w:vAlign w:val="top"/>
          </w:tcPr>
          <w:p>
            <w:pPr>
              <w:pStyle w:val="TableText"/>
              <w:ind w:left="9" w:right="2" w:firstLine="423"/>
              <w:spacing w:before="36" w:line="232" w:lineRule="auto"/>
              <w:rPr/>
            </w:pPr>
            <w:r>
              <w:rPr>
                <w:spacing w:val="8"/>
              </w:rPr>
              <w:t>沼液肥在厂区不长时间贮存，只在沼液池</w:t>
            </w:r>
            <w:r>
              <w:rPr>
                <w:spacing w:val="-23"/>
              </w:rPr>
              <w:t xml:space="preserve"> </w:t>
            </w:r>
            <w:r>
              <w:rPr>
                <w:rFonts w:ascii="Times New Roman" w:hAnsi="Times New Roman" w:eastAsia="Times New Roman" w:cs="Times New Roman"/>
                <w:spacing w:val="8"/>
              </w:rPr>
              <w:t>112m</w:t>
            </w:r>
            <w:r>
              <w:rPr>
                <w:rFonts w:ascii="Times New Roman" w:hAnsi="Times New Roman" w:eastAsia="Times New Roman" w:cs="Times New Roman"/>
                <w:sz w:val="13"/>
                <w:szCs w:val="13"/>
                <w:spacing w:val="8"/>
                <w:position w:val="6"/>
              </w:rPr>
              <w:t>3</w:t>
            </w:r>
            <w:r>
              <w:rPr>
                <w:spacing w:val="8"/>
              </w:rPr>
              <w:t>（</w:t>
            </w:r>
            <w:r>
              <w:rPr>
                <w:rFonts w:ascii="Times New Roman" w:hAnsi="Times New Roman" w:eastAsia="Times New Roman" w:cs="Times New Roman"/>
                <w:spacing w:val="8"/>
              </w:rPr>
              <w:t>4m×7m×4m</w:t>
            </w:r>
            <w:r>
              <w:rPr>
                <w:spacing w:val="8"/>
              </w:rPr>
              <w:t>）内少量储存；本项目已租赁内蒙古正镶白旗星</w:t>
            </w:r>
            <w:r>
              <w:rPr>
                <w:spacing w:val="7"/>
              </w:rPr>
              <w:t>耀镇星河</w:t>
            </w:r>
            <w:r>
              <w:rPr/>
              <w:t xml:space="preserve"> </w:t>
            </w:r>
            <w:r>
              <w:rPr>
                <w:spacing w:val="8"/>
              </w:rPr>
              <w:t>村</w:t>
            </w:r>
            <w:r>
              <w:rPr>
                <w:spacing w:val="-16"/>
              </w:rPr>
              <w:t xml:space="preserve"> </w:t>
            </w:r>
            <w:r>
              <w:rPr>
                <w:rFonts w:ascii="Times New Roman" w:hAnsi="Times New Roman" w:eastAsia="Times New Roman" w:cs="Times New Roman"/>
                <w:spacing w:val="8"/>
              </w:rPr>
              <w:t>100 </w:t>
            </w:r>
            <w:r>
              <w:rPr>
                <w:spacing w:val="8"/>
              </w:rPr>
              <w:t>座塑料大棚，可满足本项目冬季液肥还田需要项目，厂区不设沼液储存池。</w:t>
            </w:r>
          </w:p>
        </w:tc>
        <w:tc>
          <w:tcPr>
            <w:tcW w:w="1302" w:type="dxa"/>
            <w:vAlign w:val="top"/>
          </w:tcPr>
          <w:p>
            <w:pPr>
              <w:pStyle w:val="TableText"/>
              <w:ind w:left="447"/>
              <w:spacing w:before="170" w:line="228" w:lineRule="auto"/>
              <w:rPr/>
            </w:pPr>
            <w:r>
              <w:rPr>
                <w:spacing w:val="4"/>
              </w:rPr>
              <w:t>新建</w:t>
            </w:r>
          </w:p>
        </w:tc>
      </w:tr>
      <w:tr>
        <w:trPr>
          <w:trHeight w:val="550"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100"/>
              <w:spacing w:before="35" w:line="228" w:lineRule="auto"/>
              <w:rPr/>
            </w:pPr>
            <w:r>
              <w:rPr>
                <w:spacing w:val="7"/>
              </w:rPr>
              <w:t>一般固废暂存</w:t>
            </w:r>
          </w:p>
          <w:p>
            <w:pPr>
              <w:pStyle w:val="TableText"/>
              <w:ind w:left="639"/>
              <w:spacing w:before="26" w:line="213" w:lineRule="auto"/>
              <w:rPr/>
            </w:pPr>
            <w:r>
              <w:rPr/>
              <w:t>间</w:t>
            </w:r>
          </w:p>
        </w:tc>
        <w:tc>
          <w:tcPr>
            <w:tcW w:w="11283" w:type="dxa"/>
            <w:vAlign w:val="top"/>
          </w:tcPr>
          <w:p>
            <w:pPr>
              <w:pStyle w:val="TableText"/>
              <w:ind w:left="8" w:firstLine="420"/>
              <w:spacing w:before="35" w:line="233" w:lineRule="auto"/>
              <w:rPr/>
            </w:pPr>
            <w:r>
              <w:rPr>
                <w:spacing w:val="10"/>
              </w:rPr>
              <w:t>位于西厂区危废暂存间南侧、原毛库房四西南侧，建筑面积为</w:t>
            </w:r>
            <w:r>
              <w:rPr>
                <w:spacing w:val="-29"/>
              </w:rPr>
              <w:t xml:space="preserve"> </w:t>
            </w:r>
            <w:r>
              <w:rPr>
                <w:rFonts w:ascii="Times New Roman" w:hAnsi="Times New Roman" w:eastAsia="Times New Roman" w:cs="Times New Roman"/>
                <w:spacing w:val="10"/>
              </w:rPr>
              <w:t>80m</w:t>
            </w:r>
            <w:r>
              <w:rPr>
                <w:rFonts w:ascii="Times New Roman" w:hAnsi="Times New Roman" w:eastAsia="Times New Roman" w:cs="Times New Roman"/>
                <w:sz w:val="13"/>
                <w:szCs w:val="13"/>
                <w:spacing w:val="10"/>
                <w:position w:val="6"/>
              </w:rPr>
              <w:t>2</w:t>
            </w:r>
            <w:r>
              <w:rPr>
                <w:rFonts w:ascii="Times New Roman" w:hAnsi="Times New Roman" w:eastAsia="Times New Roman" w:cs="Times New Roman"/>
                <w:sz w:val="13"/>
                <w:szCs w:val="13"/>
                <w:spacing w:val="-6"/>
                <w:position w:val="6"/>
              </w:rPr>
              <w:t xml:space="preserve"> </w:t>
            </w:r>
            <w:r>
              <w:rPr>
                <w:spacing w:val="10"/>
              </w:rPr>
              <w:t>，全封闭建设，地面进行硬化防渗，同时具有防雨</w:t>
            </w:r>
            <w:r>
              <w:rPr/>
              <w:t xml:space="preserve"> </w:t>
            </w:r>
            <w:r>
              <w:rPr>
                <w:spacing w:val="10"/>
              </w:rPr>
              <w:t>措施，用于贮存废包装物、开松杂质、废脱硫剂、废</w:t>
            </w:r>
            <w:r>
              <w:rPr>
                <w:spacing w:val="-44"/>
              </w:rPr>
              <w:t xml:space="preserve"> </w:t>
            </w:r>
            <w:r>
              <w:rPr>
                <w:rFonts w:ascii="Times New Roman" w:hAnsi="Times New Roman" w:eastAsia="Times New Roman" w:cs="Times New Roman"/>
              </w:rPr>
              <w:t>RO</w:t>
            </w:r>
            <w:r>
              <w:rPr>
                <w:rFonts w:ascii="Times New Roman" w:hAnsi="Times New Roman" w:eastAsia="Times New Roman" w:cs="Times New Roman"/>
                <w:spacing w:val="10"/>
              </w:rPr>
              <w:t xml:space="preserve"> </w:t>
            </w:r>
            <w:r>
              <w:rPr>
                <w:spacing w:val="9"/>
              </w:rPr>
              <w:t>膜、废过滤器组件、锅炉草木灰、废布袋等。</w:t>
            </w:r>
          </w:p>
        </w:tc>
        <w:tc>
          <w:tcPr>
            <w:tcW w:w="1302" w:type="dxa"/>
            <w:vAlign w:val="top"/>
          </w:tcPr>
          <w:p>
            <w:pPr>
              <w:pStyle w:val="TableText"/>
              <w:ind w:left="447"/>
              <w:spacing w:before="172" w:line="228" w:lineRule="auto"/>
              <w:rPr/>
            </w:pPr>
            <w:r>
              <w:rPr>
                <w:spacing w:val="4"/>
              </w:rPr>
              <w:t>新建</w:t>
            </w:r>
          </w:p>
        </w:tc>
      </w:tr>
      <w:tr>
        <w:trPr>
          <w:trHeight w:val="552" w:hRule="atLeast"/>
        </w:trPr>
        <w:tc>
          <w:tcPr>
            <w:tcW w:w="398" w:type="dxa"/>
            <w:vAlign w:val="top"/>
            <w:vMerge w:val="continue"/>
            <w:textDirection w:val="tbRlV"/>
            <w:tcBorders>
              <w:top w:val="nil"/>
            </w:tcBorders>
          </w:tcPr>
          <w:p>
            <w:pPr>
              <w:rPr>
                <w:rFonts w:ascii="Arial"/>
                <w:sz w:val="21"/>
              </w:rPr>
            </w:pPr>
            <w:r/>
          </w:p>
        </w:tc>
        <w:tc>
          <w:tcPr>
            <w:tcW w:w="690" w:type="dxa"/>
            <w:vAlign w:val="top"/>
            <w:vMerge w:val="continue"/>
            <w:tcBorders>
              <w:top w:val="nil"/>
            </w:tcBorders>
          </w:tcPr>
          <w:p>
            <w:pPr>
              <w:rPr>
                <w:rFonts w:ascii="Arial"/>
                <w:sz w:val="21"/>
              </w:rPr>
            </w:pPr>
            <w:r/>
          </w:p>
        </w:tc>
        <w:tc>
          <w:tcPr>
            <w:tcW w:w="1450" w:type="dxa"/>
            <w:vAlign w:val="top"/>
          </w:tcPr>
          <w:p>
            <w:pPr>
              <w:pStyle w:val="TableText"/>
              <w:ind w:left="100"/>
              <w:spacing w:before="34" w:line="228" w:lineRule="auto"/>
              <w:rPr/>
            </w:pPr>
            <w:r>
              <w:rPr>
                <w:spacing w:val="7"/>
              </w:rPr>
              <w:t>危险废物暂存</w:t>
            </w:r>
          </w:p>
          <w:p>
            <w:pPr>
              <w:pStyle w:val="TableText"/>
              <w:ind w:left="639"/>
              <w:spacing w:before="24" w:line="218" w:lineRule="auto"/>
              <w:rPr/>
            </w:pPr>
            <w:r>
              <w:rPr/>
              <w:t>间</w:t>
            </w:r>
          </w:p>
        </w:tc>
        <w:tc>
          <w:tcPr>
            <w:tcW w:w="11283" w:type="dxa"/>
            <w:vAlign w:val="top"/>
          </w:tcPr>
          <w:p>
            <w:pPr>
              <w:pStyle w:val="TableText"/>
              <w:ind w:left="10" w:right="2" w:firstLine="418"/>
              <w:spacing w:before="34" w:line="234" w:lineRule="auto"/>
              <w:rPr/>
            </w:pPr>
            <w:r>
              <w:rPr>
                <w:spacing w:val="10"/>
              </w:rPr>
              <w:t>位于西厂区洗净毛库房西侧，全封闭建设，建筑面积</w:t>
            </w:r>
            <w:r>
              <w:rPr>
                <w:spacing w:val="-18"/>
              </w:rPr>
              <w:t xml:space="preserve"> </w:t>
            </w:r>
            <w:r>
              <w:rPr>
                <w:rFonts w:ascii="Times New Roman" w:hAnsi="Times New Roman" w:eastAsia="Times New Roman" w:cs="Times New Roman"/>
                <w:spacing w:val="10"/>
              </w:rPr>
              <w:t>15m</w:t>
            </w:r>
            <w:r>
              <w:rPr>
                <w:rFonts w:ascii="Times New Roman" w:hAnsi="Times New Roman" w:eastAsia="Times New Roman" w:cs="Times New Roman"/>
                <w:sz w:val="13"/>
                <w:szCs w:val="13"/>
                <w:spacing w:val="10"/>
                <w:position w:val="6"/>
              </w:rPr>
              <w:t>2</w:t>
            </w:r>
            <w:r>
              <w:rPr>
                <w:rFonts w:ascii="Times New Roman" w:hAnsi="Times New Roman" w:eastAsia="Times New Roman" w:cs="Times New Roman"/>
                <w:sz w:val="13"/>
                <w:szCs w:val="13"/>
                <w:spacing w:val="-6"/>
                <w:position w:val="6"/>
              </w:rPr>
              <w:t xml:space="preserve"> </w:t>
            </w:r>
            <w:r>
              <w:rPr>
                <w:spacing w:val="10"/>
              </w:rPr>
              <w:t>，库内配置泄露液收集系统，</w:t>
            </w:r>
            <w:r>
              <w:rPr>
                <w:spacing w:val="9"/>
              </w:rPr>
              <w:t>设置截留裙脚，防止泄漏危废</w:t>
            </w:r>
            <w:r>
              <w:rPr/>
              <w:t xml:space="preserve"> </w:t>
            </w:r>
            <w:r>
              <w:rPr>
                <w:spacing w:val="9"/>
              </w:rPr>
              <w:t>直接进入外环境或雨水等进入到危废暂存间内，用于贮存废活性炭、废矿物油、废油桶。</w:t>
            </w:r>
          </w:p>
        </w:tc>
        <w:tc>
          <w:tcPr>
            <w:tcW w:w="1302" w:type="dxa"/>
            <w:vAlign w:val="top"/>
          </w:tcPr>
          <w:p>
            <w:pPr>
              <w:pStyle w:val="TableText"/>
              <w:ind w:left="447"/>
              <w:spacing w:before="169" w:line="228" w:lineRule="auto"/>
              <w:rPr/>
            </w:pPr>
            <w:r>
              <w:rPr>
                <w:spacing w:val="4"/>
              </w:rPr>
              <w:t>新建</w:t>
            </w:r>
          </w:p>
        </w:tc>
      </w:tr>
    </w:tbl>
    <w:p>
      <w:pPr>
        <w:pStyle w:val="BodyText"/>
        <w:spacing w:line="66" w:lineRule="exact"/>
        <w:rPr>
          <w:sz w:val="5"/>
        </w:rPr>
      </w:pPr>
      <w:r/>
    </w:p>
    <w:p>
      <w:pPr>
        <w:spacing w:line="66" w:lineRule="exact"/>
        <w:sectPr>
          <w:footerReference w:type="default" r:id="rId63"/>
          <w:pgSz w:w="16840" w:h="11907"/>
          <w:pgMar w:top="1567" w:right="856" w:bottom="1480" w:left="855" w:header="1221" w:footer="1249" w:gutter="0"/>
        </w:sectPr>
        <w:rPr>
          <w:sz w:val="5"/>
          <w:szCs w:val="5"/>
        </w:rPr>
      </w:pPr>
    </w:p>
    <w:p>
      <w:pPr>
        <w:spacing w:line="100" w:lineRule="auto"/>
        <w:rPr>
          <w:rFonts w:ascii="Arial"/>
          <w:sz w:val="2"/>
        </w:rPr>
      </w:pPr>
      <w:r>
        <w:rPr>
          <w:rFonts w:ascii="Arial"/>
          <w:sz w:val="2"/>
        </w:rPr>
      </w:r>
    </w:p>
    <w:tbl>
      <w:tblPr>
        <w:tblStyle w:val="TableNormal"/>
        <w:tblW w:w="1512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97"/>
        <w:gridCol w:w="690"/>
        <w:gridCol w:w="659"/>
        <w:gridCol w:w="792"/>
        <w:gridCol w:w="11283"/>
        <w:gridCol w:w="1302"/>
      </w:tblGrid>
      <w:tr>
        <w:trPr>
          <w:trHeight w:val="571" w:hRule="atLeast"/>
        </w:trPr>
        <w:tc>
          <w:tcPr>
            <w:tcW w:w="397" w:type="dxa"/>
            <w:vAlign w:val="top"/>
            <w:textDirection w:val="tbRlV"/>
          </w:tcPr>
          <w:p>
            <w:pPr>
              <w:pStyle w:val="TableText"/>
              <w:ind w:left="53"/>
              <w:spacing w:before="92" w:line="216" w:lineRule="auto"/>
              <w:rPr/>
            </w:pPr>
            <w:r>
              <w:rPr>
                <w:spacing w:val="8"/>
              </w:rPr>
              <w:t>类</w:t>
            </w:r>
            <w:r>
              <w:rPr>
                <w:spacing w:val="-38"/>
              </w:rPr>
              <w:t xml:space="preserve"> </w:t>
            </w:r>
            <w:r>
              <w:rPr>
                <w:spacing w:val="8"/>
              </w:rPr>
              <w:t>型</w:t>
            </w:r>
          </w:p>
        </w:tc>
        <w:tc>
          <w:tcPr>
            <w:tcW w:w="2141" w:type="dxa"/>
            <w:vAlign w:val="top"/>
            <w:gridSpan w:val="3"/>
          </w:tcPr>
          <w:p>
            <w:pPr>
              <w:pStyle w:val="TableText"/>
              <w:ind w:left="657"/>
              <w:spacing w:before="187" w:line="228" w:lineRule="auto"/>
              <w:rPr/>
            </w:pPr>
            <w:r>
              <w:rPr>
                <w:spacing w:val="6"/>
              </w:rPr>
              <w:t>项目名称</w:t>
            </w:r>
          </w:p>
        </w:tc>
        <w:tc>
          <w:tcPr>
            <w:tcW w:w="11283" w:type="dxa"/>
            <w:vAlign w:val="top"/>
          </w:tcPr>
          <w:p>
            <w:pPr>
              <w:pStyle w:val="TableText"/>
              <w:ind w:left="5228"/>
              <w:spacing w:before="187" w:line="228" w:lineRule="auto"/>
              <w:rPr/>
            </w:pPr>
            <w:r>
              <w:rPr>
                <w:spacing w:val="6"/>
              </w:rPr>
              <w:t>建设内容</w:t>
            </w:r>
          </w:p>
        </w:tc>
        <w:tc>
          <w:tcPr>
            <w:tcW w:w="1302" w:type="dxa"/>
            <w:vAlign w:val="top"/>
          </w:tcPr>
          <w:p>
            <w:pPr>
              <w:pStyle w:val="TableText"/>
              <w:ind w:left="449"/>
              <w:spacing w:before="187" w:line="229" w:lineRule="auto"/>
              <w:rPr/>
            </w:pPr>
            <w:r>
              <w:rPr>
                <w:spacing w:val="3"/>
              </w:rPr>
              <w:t>备注</w:t>
            </w:r>
          </w:p>
        </w:tc>
      </w:tr>
      <w:tr>
        <w:trPr>
          <w:trHeight w:val="549" w:hRule="atLeast"/>
        </w:trPr>
        <w:tc>
          <w:tcPr>
            <w:tcW w:w="397" w:type="dxa"/>
            <w:vAlign w:val="top"/>
            <w:vMerge w:val="restart"/>
            <w:tcBorders>
              <w:bottom w:val="nil"/>
            </w:tcBorders>
          </w:tcPr>
          <w:p>
            <w:pPr>
              <w:rPr>
                <w:rFonts w:ascii="Arial"/>
                <w:sz w:val="21"/>
              </w:rPr>
            </w:pPr>
            <w:r/>
          </w:p>
        </w:tc>
        <w:tc>
          <w:tcPr>
            <w:tcW w:w="690" w:type="dxa"/>
            <w:vAlign w:val="top"/>
          </w:tcPr>
          <w:p>
            <w:pPr>
              <w:pStyle w:val="TableText"/>
              <w:ind w:left="42"/>
              <w:spacing w:before="165" w:line="228" w:lineRule="auto"/>
              <w:rPr/>
            </w:pPr>
            <w:r>
              <w:rPr>
                <w:spacing w:val="4"/>
              </w:rPr>
              <w:t>东厂区</w:t>
            </w:r>
          </w:p>
        </w:tc>
        <w:tc>
          <w:tcPr>
            <w:tcW w:w="1451" w:type="dxa"/>
            <w:vAlign w:val="top"/>
            <w:gridSpan w:val="2"/>
          </w:tcPr>
          <w:p>
            <w:pPr>
              <w:pStyle w:val="TableText"/>
              <w:ind w:left="419" w:right="4" w:hanging="410"/>
              <w:spacing w:before="32" w:line="234" w:lineRule="auto"/>
              <w:rPr/>
            </w:pPr>
            <w:r>
              <w:rPr>
                <w:spacing w:val="4"/>
              </w:rPr>
              <w:t>事故池、洗毛水</w:t>
            </w:r>
            <w:r>
              <w:rPr>
                <w:spacing w:val="3"/>
              </w:rPr>
              <w:t xml:space="preserve"> </w:t>
            </w:r>
            <w:r>
              <w:rPr>
                <w:spacing w:val="4"/>
              </w:rPr>
              <w:t>收集池</w:t>
            </w:r>
          </w:p>
        </w:tc>
        <w:tc>
          <w:tcPr>
            <w:tcW w:w="11283" w:type="dxa"/>
            <w:vAlign w:val="top"/>
          </w:tcPr>
          <w:p>
            <w:pPr>
              <w:pStyle w:val="TableText"/>
              <w:ind w:left="23" w:right="2" w:firstLine="404"/>
              <w:spacing w:before="32" w:line="234" w:lineRule="auto"/>
              <w:rPr/>
            </w:pPr>
            <w:r>
              <w:rPr>
                <w:spacing w:val="6"/>
              </w:rPr>
              <w:t>全地下水池，容积</w:t>
            </w:r>
            <w:r>
              <w:rPr>
                <w:spacing w:val="-41"/>
              </w:rPr>
              <w:t xml:space="preserve"> </w:t>
            </w:r>
            <w:r>
              <w:rPr>
                <w:rFonts w:ascii="Times New Roman" w:hAnsi="Times New Roman" w:eastAsia="Times New Roman" w:cs="Times New Roman"/>
                <w:spacing w:val="6"/>
              </w:rPr>
              <w:t>410m</w:t>
            </w:r>
            <w:r>
              <w:rPr>
                <w:rFonts w:ascii="Times New Roman" w:hAnsi="Times New Roman" w:eastAsia="Times New Roman" w:cs="Times New Roman"/>
                <w:sz w:val="13"/>
                <w:szCs w:val="13"/>
                <w:spacing w:val="6"/>
                <w:position w:val="6"/>
              </w:rPr>
              <w:t>3</w:t>
            </w:r>
            <w:r>
              <w:rPr>
                <w:rFonts w:ascii="Times New Roman" w:hAnsi="Times New Roman" w:eastAsia="Times New Roman" w:cs="Times New Roman"/>
                <w:sz w:val="13"/>
                <w:szCs w:val="13"/>
                <w:spacing w:val="-9"/>
                <w:position w:val="6"/>
              </w:rPr>
              <w:t xml:space="preserve"> </w:t>
            </w:r>
            <w:r>
              <w:rPr>
                <w:spacing w:val="6"/>
              </w:rPr>
              <w:t>，其中事故水池</w:t>
            </w:r>
            <w:r>
              <w:rPr>
                <w:spacing w:val="-41"/>
              </w:rPr>
              <w:t xml:space="preserve"> </w:t>
            </w:r>
            <w:r>
              <w:rPr>
                <w:rFonts w:ascii="Times New Roman" w:hAnsi="Times New Roman" w:eastAsia="Times New Roman" w:cs="Times New Roman"/>
                <w:spacing w:val="6"/>
              </w:rPr>
              <w:t>400m</w:t>
            </w:r>
            <w:r>
              <w:rPr>
                <w:rFonts w:ascii="Times New Roman" w:hAnsi="Times New Roman" w:eastAsia="Times New Roman" w:cs="Times New Roman"/>
                <w:sz w:val="13"/>
                <w:szCs w:val="13"/>
                <w:spacing w:val="6"/>
                <w:position w:val="6"/>
              </w:rPr>
              <w:t>3</w:t>
            </w:r>
            <w:r>
              <w:rPr>
                <w:rFonts w:ascii="Times New Roman" w:hAnsi="Times New Roman" w:eastAsia="Times New Roman" w:cs="Times New Roman"/>
                <w:sz w:val="13"/>
                <w:szCs w:val="13"/>
                <w:spacing w:val="-9"/>
                <w:position w:val="6"/>
              </w:rPr>
              <w:t xml:space="preserve"> </w:t>
            </w:r>
            <w:r>
              <w:rPr>
                <w:spacing w:val="6"/>
              </w:rPr>
              <w:t>，洗</w:t>
            </w:r>
            <w:r>
              <w:rPr>
                <w:spacing w:val="5"/>
              </w:rPr>
              <w:t>毛水收集池</w:t>
            </w:r>
            <w:r>
              <w:rPr>
                <w:spacing w:val="-23"/>
              </w:rPr>
              <w:t xml:space="preserve"> </w:t>
            </w:r>
            <w:r>
              <w:rPr>
                <w:rFonts w:ascii="Times New Roman" w:hAnsi="Times New Roman" w:eastAsia="Times New Roman" w:cs="Times New Roman"/>
                <w:spacing w:val="5"/>
              </w:rPr>
              <w:t>10m</w:t>
            </w:r>
            <w:r>
              <w:rPr>
                <w:rFonts w:ascii="Times New Roman" w:hAnsi="Times New Roman" w:eastAsia="Times New Roman" w:cs="Times New Roman"/>
                <w:sz w:val="13"/>
                <w:szCs w:val="13"/>
                <w:spacing w:val="5"/>
                <w:position w:val="6"/>
              </w:rPr>
              <w:t>3</w:t>
            </w:r>
            <w:r>
              <w:rPr>
                <w:rFonts w:ascii="Times New Roman" w:hAnsi="Times New Roman" w:eastAsia="Times New Roman" w:cs="Times New Roman"/>
                <w:sz w:val="13"/>
                <w:szCs w:val="13"/>
                <w:spacing w:val="-8"/>
                <w:position w:val="6"/>
              </w:rPr>
              <w:t xml:space="preserve"> </w:t>
            </w:r>
            <w:r>
              <w:rPr>
                <w:spacing w:val="5"/>
              </w:rPr>
              <w:t>；洗毛水（含东厂区冲厕水）通过管道输送至西厂</w:t>
            </w:r>
            <w:r>
              <w:rPr/>
              <w:t xml:space="preserve"> </w:t>
            </w:r>
            <w:r>
              <w:rPr>
                <w:spacing w:val="5"/>
              </w:rPr>
              <w:t>区厌氧发酵装置。</w:t>
            </w:r>
          </w:p>
        </w:tc>
        <w:tc>
          <w:tcPr>
            <w:tcW w:w="1302" w:type="dxa"/>
            <w:vAlign w:val="top"/>
          </w:tcPr>
          <w:p>
            <w:pPr>
              <w:pStyle w:val="TableText"/>
              <w:ind w:left="447"/>
              <w:spacing w:before="166" w:line="228" w:lineRule="auto"/>
              <w:rPr/>
            </w:pPr>
            <w:r>
              <w:rPr>
                <w:spacing w:val="4"/>
              </w:rPr>
              <w:t>新建</w:t>
            </w:r>
          </w:p>
        </w:tc>
      </w:tr>
      <w:tr>
        <w:trPr>
          <w:trHeight w:val="821" w:hRule="atLeast"/>
        </w:trPr>
        <w:tc>
          <w:tcPr>
            <w:tcW w:w="397" w:type="dxa"/>
            <w:vAlign w:val="top"/>
            <w:vMerge w:val="continue"/>
            <w:tcBorders>
              <w:top w:val="nil"/>
            </w:tcBorders>
          </w:tcPr>
          <w:p>
            <w:pPr>
              <w:rPr>
                <w:rFonts w:ascii="Arial"/>
                <w:sz w:val="21"/>
              </w:rPr>
            </w:pPr>
            <w:r/>
          </w:p>
        </w:tc>
        <w:tc>
          <w:tcPr>
            <w:tcW w:w="690" w:type="dxa"/>
            <w:vAlign w:val="top"/>
          </w:tcPr>
          <w:p>
            <w:pPr>
              <w:pStyle w:val="TableText"/>
              <w:ind w:left="39"/>
              <w:spacing w:before="303" w:line="228" w:lineRule="auto"/>
              <w:rPr/>
            </w:pPr>
            <w:r>
              <w:rPr>
                <w:spacing w:val="5"/>
              </w:rPr>
              <w:t>西厂区</w:t>
            </w:r>
          </w:p>
        </w:tc>
        <w:tc>
          <w:tcPr>
            <w:tcW w:w="1451" w:type="dxa"/>
            <w:vAlign w:val="top"/>
            <w:gridSpan w:val="2"/>
          </w:tcPr>
          <w:p>
            <w:pPr>
              <w:pStyle w:val="TableText"/>
              <w:ind w:left="8"/>
              <w:spacing w:before="31" w:line="228" w:lineRule="auto"/>
              <w:rPr>
                <w:rFonts w:ascii="Times New Roman" w:hAnsi="Times New Roman" w:eastAsia="Times New Roman" w:cs="Times New Roman"/>
              </w:rPr>
            </w:pPr>
            <w:r>
              <w:rPr>
                <w:spacing w:val="-1"/>
              </w:rPr>
              <w:t>废水收集池、</w:t>
            </w:r>
            <w:r>
              <w:rPr>
                <w:rFonts w:ascii="Times New Roman" w:hAnsi="Times New Roman" w:eastAsia="Times New Roman" w:cs="Times New Roman"/>
                <w:spacing w:val="-1"/>
              </w:rPr>
              <w:t>TS</w:t>
            </w:r>
          </w:p>
          <w:p>
            <w:pPr>
              <w:pStyle w:val="TableText"/>
              <w:ind w:left="11"/>
              <w:spacing w:before="25" w:line="228" w:lineRule="auto"/>
              <w:rPr/>
            </w:pPr>
            <w:r>
              <w:rPr>
                <w:spacing w:val="4"/>
              </w:rPr>
              <w:t>调节池、固液分</w:t>
            </w:r>
          </w:p>
          <w:p>
            <w:pPr>
              <w:pStyle w:val="TableText"/>
              <w:ind w:left="416"/>
              <w:spacing w:before="26" w:line="216" w:lineRule="auto"/>
              <w:rPr/>
            </w:pPr>
            <w:r>
              <w:rPr>
                <w:spacing w:val="5"/>
              </w:rPr>
              <w:t>离池等</w:t>
            </w:r>
          </w:p>
        </w:tc>
        <w:tc>
          <w:tcPr>
            <w:tcW w:w="11283" w:type="dxa"/>
            <w:vAlign w:val="top"/>
          </w:tcPr>
          <w:p>
            <w:pPr>
              <w:pStyle w:val="TableText"/>
              <w:ind w:left="6" w:right="2" w:firstLine="426"/>
              <w:spacing w:before="169" w:line="252" w:lineRule="auto"/>
              <w:rPr/>
            </w:pPr>
            <w:r>
              <w:rPr>
                <w:spacing w:val="6"/>
              </w:rPr>
              <w:t>西厂区洗毛车间内建设地下水池</w:t>
            </w:r>
            <w:r>
              <w:rPr>
                <w:spacing w:val="-35"/>
              </w:rPr>
              <w:t xml:space="preserve"> </w:t>
            </w:r>
            <w:r>
              <w:rPr>
                <w:rFonts w:ascii="Times New Roman" w:hAnsi="Times New Roman" w:eastAsia="Times New Roman" w:cs="Times New Roman"/>
                <w:spacing w:val="6"/>
              </w:rPr>
              <w:t>5 </w:t>
            </w:r>
            <w:r>
              <w:rPr>
                <w:spacing w:val="6"/>
              </w:rPr>
              <w:t>个，总容积</w:t>
            </w:r>
            <w:r>
              <w:rPr>
                <w:spacing w:val="-37"/>
              </w:rPr>
              <w:t xml:space="preserve"> </w:t>
            </w:r>
            <w:r>
              <w:rPr>
                <w:rFonts w:ascii="Times New Roman" w:hAnsi="Times New Roman" w:eastAsia="Times New Roman" w:cs="Times New Roman"/>
                <w:spacing w:val="6"/>
              </w:rPr>
              <w:t>7</w:t>
            </w:r>
            <w:r>
              <w:rPr>
                <w:rFonts w:ascii="Times New Roman" w:hAnsi="Times New Roman" w:eastAsia="Times New Roman" w:cs="Times New Roman"/>
                <w:spacing w:val="5"/>
              </w:rPr>
              <w:t>68m</w:t>
            </w:r>
            <w:r>
              <w:rPr>
                <w:rFonts w:ascii="Times New Roman" w:hAnsi="Times New Roman" w:eastAsia="Times New Roman" w:cs="Times New Roman"/>
                <w:sz w:val="13"/>
                <w:szCs w:val="13"/>
                <w:spacing w:val="5"/>
                <w:position w:val="6"/>
              </w:rPr>
              <w:t>3</w:t>
            </w:r>
            <w:r>
              <w:rPr>
                <w:rFonts w:ascii="Times New Roman" w:hAnsi="Times New Roman" w:eastAsia="Times New Roman" w:cs="Times New Roman"/>
                <w:sz w:val="13"/>
                <w:szCs w:val="13"/>
                <w:spacing w:val="-8"/>
                <w:position w:val="6"/>
              </w:rPr>
              <w:t xml:space="preserve"> </w:t>
            </w:r>
            <w:r>
              <w:rPr>
                <w:spacing w:val="5"/>
              </w:rPr>
              <w:t>；其中事故池</w:t>
            </w:r>
            <w:r>
              <w:rPr>
                <w:spacing w:val="-41"/>
              </w:rPr>
              <w:t xml:space="preserve"> </w:t>
            </w:r>
            <w:r>
              <w:rPr>
                <w:rFonts w:ascii="Times New Roman" w:hAnsi="Times New Roman" w:eastAsia="Times New Roman" w:cs="Times New Roman"/>
                <w:spacing w:val="5"/>
              </w:rPr>
              <w:t>400m</w:t>
            </w:r>
            <w:r>
              <w:rPr>
                <w:rFonts w:ascii="Times New Roman" w:hAnsi="Times New Roman" w:eastAsia="Times New Roman" w:cs="Times New Roman"/>
                <w:sz w:val="13"/>
                <w:szCs w:val="13"/>
                <w:spacing w:val="5"/>
                <w:position w:val="6"/>
              </w:rPr>
              <w:t>3</w:t>
            </w:r>
            <w:r>
              <w:rPr>
                <w:rFonts w:ascii="Times New Roman" w:hAnsi="Times New Roman" w:eastAsia="Times New Roman" w:cs="Times New Roman"/>
                <w:sz w:val="13"/>
                <w:szCs w:val="13"/>
                <w:spacing w:val="-9"/>
                <w:position w:val="6"/>
              </w:rPr>
              <w:t xml:space="preserve"> </w:t>
            </w:r>
            <w:r>
              <w:rPr>
                <w:spacing w:val="5"/>
              </w:rPr>
              <w:t>、废水收集池</w:t>
            </w:r>
            <w:r>
              <w:rPr>
                <w:spacing w:val="-38"/>
              </w:rPr>
              <w:t xml:space="preserve"> </w:t>
            </w:r>
            <w:r>
              <w:rPr>
                <w:rFonts w:ascii="Times New Roman" w:hAnsi="Times New Roman" w:eastAsia="Times New Roman" w:cs="Times New Roman"/>
                <w:spacing w:val="5"/>
              </w:rPr>
              <w:t>64m</w:t>
            </w:r>
            <w:r>
              <w:rPr>
                <w:rFonts w:ascii="Times New Roman" w:hAnsi="Times New Roman" w:eastAsia="Times New Roman" w:cs="Times New Roman"/>
                <w:sz w:val="13"/>
                <w:szCs w:val="13"/>
                <w:spacing w:val="5"/>
                <w:position w:val="6"/>
              </w:rPr>
              <w:t>3</w:t>
            </w:r>
            <w:r>
              <w:rPr>
                <w:spacing w:val="5"/>
              </w:rPr>
              <w:t>（</w:t>
            </w:r>
            <w:r>
              <w:rPr>
                <w:rFonts w:ascii="Times New Roman" w:hAnsi="Times New Roman" w:eastAsia="Times New Roman" w:cs="Times New Roman"/>
                <w:spacing w:val="5"/>
              </w:rPr>
              <w:t>4m</w:t>
            </w:r>
            <w:r>
              <w:rPr>
                <w:rFonts w:ascii="Arial" w:hAnsi="Arial" w:eastAsia="Arial" w:cs="Arial"/>
                <w:spacing w:val="5"/>
              </w:rPr>
              <w:t>×</w:t>
            </w:r>
            <w:r>
              <w:rPr>
                <w:rFonts w:ascii="Times New Roman" w:hAnsi="Times New Roman" w:eastAsia="Times New Roman" w:cs="Times New Roman"/>
                <w:spacing w:val="5"/>
              </w:rPr>
              <w:t>4m</w:t>
            </w:r>
            <w:r>
              <w:rPr>
                <w:rFonts w:ascii="Arial" w:hAnsi="Arial" w:eastAsia="Arial" w:cs="Arial"/>
                <w:spacing w:val="5"/>
              </w:rPr>
              <w:t>×</w:t>
            </w:r>
            <w:r>
              <w:rPr>
                <w:rFonts w:ascii="Times New Roman" w:hAnsi="Times New Roman" w:eastAsia="Times New Roman" w:cs="Times New Roman"/>
                <w:spacing w:val="5"/>
              </w:rPr>
              <w:t>4m</w:t>
            </w:r>
            <w:r>
              <w:rPr>
                <w:spacing w:val="5"/>
              </w:rPr>
              <w:t>）、洗毛废水</w:t>
            </w:r>
            <w:r>
              <w:rPr/>
              <w:t xml:space="preserve"> </w:t>
            </w:r>
            <w:r>
              <w:rPr>
                <w:rFonts w:ascii="Times New Roman" w:hAnsi="Times New Roman" w:eastAsia="Times New Roman" w:cs="Times New Roman"/>
              </w:rPr>
              <w:t>TS</w:t>
            </w:r>
            <w:r>
              <w:rPr>
                <w:rFonts w:ascii="Times New Roman" w:hAnsi="Times New Roman" w:eastAsia="Times New Roman" w:cs="Times New Roman"/>
                <w:spacing w:val="6"/>
              </w:rPr>
              <w:t xml:space="preserve"> </w:t>
            </w:r>
            <w:r>
              <w:rPr>
                <w:spacing w:val="6"/>
              </w:rPr>
              <w:t>调节池</w:t>
            </w:r>
            <w:r>
              <w:rPr>
                <w:spacing w:val="-21"/>
              </w:rPr>
              <w:t xml:space="preserve"> </w:t>
            </w:r>
            <w:r>
              <w:rPr>
                <w:rFonts w:ascii="Times New Roman" w:hAnsi="Times New Roman" w:eastAsia="Times New Roman" w:cs="Times New Roman"/>
                <w:spacing w:val="6"/>
              </w:rPr>
              <w:t>128m</w:t>
            </w:r>
            <w:r>
              <w:rPr>
                <w:rFonts w:ascii="Times New Roman" w:hAnsi="Times New Roman" w:eastAsia="Times New Roman" w:cs="Times New Roman"/>
                <w:sz w:val="13"/>
                <w:szCs w:val="13"/>
                <w:spacing w:val="6"/>
                <w:position w:val="6"/>
              </w:rPr>
              <w:t>3</w:t>
            </w:r>
            <w:r>
              <w:rPr>
                <w:spacing w:val="6"/>
              </w:rPr>
              <w:t>（</w:t>
            </w:r>
            <w:r>
              <w:rPr>
                <w:rFonts w:ascii="Times New Roman" w:hAnsi="Times New Roman" w:eastAsia="Times New Roman" w:cs="Times New Roman"/>
                <w:spacing w:val="6"/>
              </w:rPr>
              <w:t>4m</w:t>
            </w:r>
            <w:r>
              <w:rPr>
                <w:rFonts w:ascii="Arial" w:hAnsi="Arial" w:eastAsia="Arial" w:cs="Arial"/>
                <w:spacing w:val="6"/>
              </w:rPr>
              <w:t>×</w:t>
            </w:r>
            <w:r>
              <w:rPr>
                <w:rFonts w:ascii="Times New Roman" w:hAnsi="Times New Roman" w:eastAsia="Times New Roman" w:cs="Times New Roman"/>
                <w:spacing w:val="6"/>
              </w:rPr>
              <w:t>8m</w:t>
            </w:r>
            <w:r>
              <w:rPr>
                <w:rFonts w:ascii="Arial" w:hAnsi="Arial" w:eastAsia="Arial" w:cs="Arial"/>
                <w:spacing w:val="6"/>
              </w:rPr>
              <w:t>×</w:t>
            </w:r>
            <w:r>
              <w:rPr>
                <w:rFonts w:ascii="Times New Roman" w:hAnsi="Times New Roman" w:eastAsia="Times New Roman" w:cs="Times New Roman"/>
                <w:spacing w:val="6"/>
              </w:rPr>
              <w:t>4m</w:t>
            </w:r>
            <w:r>
              <w:rPr>
                <w:spacing w:val="6"/>
              </w:rPr>
              <w:t>）、固液分离池</w:t>
            </w:r>
            <w:r>
              <w:rPr>
                <w:spacing w:val="-36"/>
              </w:rPr>
              <w:t xml:space="preserve"> </w:t>
            </w:r>
            <w:r>
              <w:rPr>
                <w:rFonts w:ascii="Times New Roman" w:hAnsi="Times New Roman" w:eastAsia="Times New Roman" w:cs="Times New Roman"/>
                <w:spacing w:val="6"/>
              </w:rPr>
              <w:t>64m</w:t>
            </w:r>
            <w:r>
              <w:rPr>
                <w:rFonts w:ascii="Times New Roman" w:hAnsi="Times New Roman" w:eastAsia="Times New Roman" w:cs="Times New Roman"/>
                <w:sz w:val="13"/>
                <w:szCs w:val="13"/>
                <w:spacing w:val="6"/>
                <w:position w:val="6"/>
              </w:rPr>
              <w:t>3</w:t>
            </w:r>
            <w:r>
              <w:rPr>
                <w:spacing w:val="6"/>
              </w:rPr>
              <w:t>（</w:t>
            </w:r>
            <w:r>
              <w:rPr>
                <w:rFonts w:ascii="Times New Roman" w:hAnsi="Times New Roman" w:eastAsia="Times New Roman" w:cs="Times New Roman"/>
                <w:spacing w:val="6"/>
              </w:rPr>
              <w:t>4m</w:t>
            </w:r>
            <w:r>
              <w:rPr>
                <w:rFonts w:ascii="Arial" w:hAnsi="Arial" w:eastAsia="Arial" w:cs="Arial"/>
                <w:spacing w:val="6"/>
              </w:rPr>
              <w:t>×</w:t>
            </w:r>
            <w:r>
              <w:rPr>
                <w:rFonts w:ascii="Times New Roman" w:hAnsi="Times New Roman" w:eastAsia="Times New Roman" w:cs="Times New Roman"/>
                <w:spacing w:val="6"/>
              </w:rPr>
              <w:t>4m</w:t>
            </w:r>
            <w:r>
              <w:rPr>
                <w:rFonts w:ascii="Arial" w:hAnsi="Arial" w:eastAsia="Arial" w:cs="Arial"/>
                <w:spacing w:val="6"/>
              </w:rPr>
              <w:t>×</w:t>
            </w:r>
            <w:r>
              <w:rPr>
                <w:rFonts w:ascii="Times New Roman" w:hAnsi="Times New Roman" w:eastAsia="Times New Roman" w:cs="Times New Roman"/>
                <w:spacing w:val="6"/>
              </w:rPr>
              <w:t>4m</w:t>
            </w:r>
            <w:r>
              <w:rPr>
                <w:spacing w:val="6"/>
              </w:rPr>
              <w:t>）、沼液池</w:t>
            </w:r>
            <w:r>
              <w:rPr>
                <w:spacing w:val="-20"/>
              </w:rPr>
              <w:t xml:space="preserve"> </w:t>
            </w:r>
            <w:r>
              <w:rPr>
                <w:rFonts w:ascii="Times New Roman" w:hAnsi="Times New Roman" w:eastAsia="Times New Roman" w:cs="Times New Roman"/>
                <w:spacing w:val="6"/>
              </w:rPr>
              <w:t>112m</w:t>
            </w:r>
            <w:r>
              <w:rPr>
                <w:rFonts w:ascii="Times New Roman" w:hAnsi="Times New Roman" w:eastAsia="Times New Roman" w:cs="Times New Roman"/>
                <w:sz w:val="13"/>
                <w:szCs w:val="13"/>
                <w:spacing w:val="5"/>
                <w:position w:val="6"/>
              </w:rPr>
              <w:t>3</w:t>
            </w:r>
            <w:r>
              <w:rPr>
                <w:spacing w:val="5"/>
              </w:rPr>
              <w:t>（</w:t>
            </w:r>
            <w:r>
              <w:rPr>
                <w:rFonts w:ascii="Times New Roman" w:hAnsi="Times New Roman" w:eastAsia="Times New Roman" w:cs="Times New Roman"/>
                <w:spacing w:val="5"/>
              </w:rPr>
              <w:t>4m×7m×4m</w:t>
            </w:r>
            <w:r>
              <w:rPr>
                <w:spacing w:val="5"/>
              </w:rPr>
              <w:t>）。</w:t>
            </w:r>
          </w:p>
        </w:tc>
        <w:tc>
          <w:tcPr>
            <w:tcW w:w="1302" w:type="dxa"/>
            <w:vAlign w:val="top"/>
          </w:tcPr>
          <w:p>
            <w:pPr>
              <w:pStyle w:val="TableText"/>
              <w:ind w:left="447"/>
              <w:spacing w:before="303" w:line="228" w:lineRule="auto"/>
              <w:rPr/>
            </w:pPr>
            <w:r>
              <w:rPr>
                <w:spacing w:val="4"/>
              </w:rPr>
              <w:t>新建</w:t>
            </w:r>
          </w:p>
        </w:tc>
      </w:tr>
      <w:tr>
        <w:trPr>
          <w:trHeight w:val="550" w:hRule="atLeast"/>
        </w:trPr>
        <w:tc>
          <w:tcPr>
            <w:tcW w:w="397" w:type="dxa"/>
            <w:vAlign w:val="top"/>
            <w:vMerge w:val="restart"/>
            <w:textDirection w:val="tbRlV"/>
            <w:tcBorders>
              <w:bottom w:val="nil"/>
            </w:tcBorders>
          </w:tcPr>
          <w:p>
            <w:pPr>
              <w:pStyle w:val="TableText"/>
              <w:ind w:left="2650"/>
              <w:spacing w:before="93" w:line="216" w:lineRule="auto"/>
              <w:rPr/>
            </w:pPr>
            <w:r>
              <w:rPr>
                <w:spacing w:val="8"/>
              </w:rPr>
              <w:t>公</w:t>
            </w:r>
            <w:r>
              <w:rPr>
                <w:spacing w:val="-36"/>
              </w:rPr>
              <w:t xml:space="preserve"> </w:t>
            </w:r>
            <w:r>
              <w:rPr>
                <w:spacing w:val="8"/>
              </w:rPr>
              <w:t>用</w:t>
            </w:r>
            <w:r>
              <w:rPr>
                <w:spacing w:val="-35"/>
              </w:rPr>
              <w:t xml:space="preserve"> </w:t>
            </w:r>
            <w:r>
              <w:rPr>
                <w:spacing w:val="8"/>
              </w:rPr>
              <w:t>工</w:t>
            </w:r>
            <w:r>
              <w:rPr>
                <w:spacing w:val="-38"/>
              </w:rPr>
              <w:t xml:space="preserve"> </w:t>
            </w:r>
            <w:r>
              <w:rPr>
                <w:spacing w:val="8"/>
              </w:rPr>
              <w:t>程</w:t>
            </w:r>
          </w:p>
        </w:tc>
        <w:tc>
          <w:tcPr>
            <w:tcW w:w="2141" w:type="dxa"/>
            <w:vAlign w:val="top"/>
            <w:gridSpan w:val="3"/>
          </w:tcPr>
          <w:p>
            <w:pPr>
              <w:pStyle w:val="TableText"/>
              <w:ind w:left="863"/>
              <w:spacing w:before="168" w:line="228" w:lineRule="auto"/>
              <w:rPr/>
            </w:pPr>
            <w:r>
              <w:rPr>
                <w:spacing w:val="4"/>
              </w:rPr>
              <w:t>给水</w:t>
            </w:r>
          </w:p>
        </w:tc>
        <w:tc>
          <w:tcPr>
            <w:tcW w:w="11283" w:type="dxa"/>
            <w:vAlign w:val="top"/>
          </w:tcPr>
          <w:p>
            <w:pPr>
              <w:pStyle w:val="TableText"/>
              <w:ind w:left="8" w:right="2" w:firstLine="420"/>
              <w:spacing w:before="30" w:line="235" w:lineRule="auto"/>
              <w:rPr/>
            </w:pPr>
            <w:r>
              <w:rPr>
                <w:spacing w:val="9"/>
              </w:rPr>
              <w:t>本项目生产、生活用水均由市政给水管网统一供给；生活用水由自</w:t>
            </w:r>
            <w:r>
              <w:rPr>
                <w:spacing w:val="8"/>
              </w:rPr>
              <w:t>来水管网供给，水源为地下水；生产用水来自明安图</w:t>
            </w:r>
            <w:r>
              <w:rPr/>
              <w:t xml:space="preserve"> </w:t>
            </w:r>
            <w:r>
              <w:rPr>
                <w:spacing w:val="9"/>
              </w:rPr>
              <w:t>镇污水处理厂中水，可满足本项目用水需求。</w:t>
            </w:r>
          </w:p>
        </w:tc>
        <w:tc>
          <w:tcPr>
            <w:tcW w:w="1302" w:type="dxa"/>
            <w:vAlign w:val="top"/>
          </w:tcPr>
          <w:p>
            <w:pPr>
              <w:pStyle w:val="TableText"/>
              <w:ind w:left="447"/>
              <w:spacing w:before="169" w:line="228" w:lineRule="auto"/>
              <w:rPr/>
            </w:pPr>
            <w:r>
              <w:rPr>
                <w:spacing w:val="4"/>
              </w:rPr>
              <w:t>新建</w:t>
            </w:r>
          </w:p>
        </w:tc>
      </w:tr>
      <w:tr>
        <w:trPr>
          <w:trHeight w:val="679" w:hRule="atLeast"/>
        </w:trPr>
        <w:tc>
          <w:tcPr>
            <w:tcW w:w="397" w:type="dxa"/>
            <w:vAlign w:val="top"/>
            <w:vMerge w:val="continue"/>
            <w:textDirection w:val="tbRlV"/>
            <w:tcBorders>
              <w:top w:val="nil"/>
              <w:bottom w:val="nil"/>
            </w:tcBorders>
          </w:tcPr>
          <w:p>
            <w:pPr>
              <w:rPr>
                <w:rFonts w:ascii="Arial"/>
                <w:sz w:val="21"/>
              </w:rPr>
            </w:pPr>
            <w:r/>
          </w:p>
        </w:tc>
        <w:tc>
          <w:tcPr>
            <w:tcW w:w="690" w:type="dxa"/>
            <w:vAlign w:val="top"/>
            <w:vMerge w:val="restart"/>
            <w:tcBorders>
              <w:bottom w:val="nil"/>
            </w:tcBorders>
          </w:tcPr>
          <w:p>
            <w:pPr>
              <w:spacing w:line="268" w:lineRule="auto"/>
              <w:rPr>
                <w:rFonts w:ascii="Arial"/>
                <w:sz w:val="21"/>
              </w:rPr>
            </w:pPr>
            <w:r/>
          </w:p>
          <w:p>
            <w:pPr>
              <w:spacing w:line="268" w:lineRule="auto"/>
              <w:rPr>
                <w:rFonts w:ascii="Arial"/>
                <w:sz w:val="21"/>
              </w:rPr>
            </w:pPr>
            <w:r/>
          </w:p>
          <w:p>
            <w:pPr>
              <w:spacing w:line="268" w:lineRule="auto"/>
              <w:rPr>
                <w:rFonts w:ascii="Arial"/>
                <w:sz w:val="21"/>
              </w:rPr>
            </w:pPr>
            <w:r/>
          </w:p>
          <w:p>
            <w:pPr>
              <w:spacing w:line="268" w:lineRule="auto"/>
              <w:rPr>
                <w:rFonts w:ascii="Arial"/>
                <w:sz w:val="21"/>
              </w:rPr>
            </w:pPr>
            <w:r/>
          </w:p>
          <w:p>
            <w:pPr>
              <w:spacing w:line="269" w:lineRule="auto"/>
              <w:rPr>
                <w:rFonts w:ascii="Arial"/>
                <w:sz w:val="21"/>
              </w:rPr>
            </w:pPr>
            <w:r/>
          </w:p>
          <w:p>
            <w:pPr>
              <w:spacing w:line="269" w:lineRule="auto"/>
              <w:rPr>
                <w:rFonts w:ascii="Arial"/>
                <w:sz w:val="21"/>
              </w:rPr>
            </w:pPr>
            <w:r/>
          </w:p>
          <w:p>
            <w:pPr>
              <w:spacing w:line="269" w:lineRule="auto"/>
              <w:rPr>
                <w:rFonts w:ascii="Arial"/>
                <w:sz w:val="21"/>
              </w:rPr>
            </w:pPr>
            <w:r/>
          </w:p>
          <w:p>
            <w:pPr>
              <w:spacing w:line="269" w:lineRule="auto"/>
              <w:rPr>
                <w:rFonts w:ascii="Arial"/>
                <w:sz w:val="21"/>
              </w:rPr>
            </w:pPr>
            <w:r/>
          </w:p>
          <w:p>
            <w:pPr>
              <w:pStyle w:val="TableText"/>
              <w:ind w:left="138"/>
              <w:spacing w:before="65" w:line="228" w:lineRule="auto"/>
              <w:rPr/>
            </w:pPr>
            <w:r>
              <w:rPr>
                <w:spacing w:val="4"/>
              </w:rPr>
              <w:t>排水</w:t>
            </w:r>
          </w:p>
        </w:tc>
        <w:tc>
          <w:tcPr>
            <w:tcW w:w="659" w:type="dxa"/>
            <w:vAlign w:val="top"/>
            <w:vMerge w:val="restart"/>
            <w:tcBorders>
              <w:bottom w:val="nil"/>
            </w:tcBorders>
          </w:tcPr>
          <w:p>
            <w:pPr>
              <w:spacing w:line="306" w:lineRule="auto"/>
              <w:rPr>
                <w:rFonts w:ascii="Arial"/>
                <w:sz w:val="21"/>
              </w:rPr>
            </w:pPr>
            <w:r/>
          </w:p>
          <w:p>
            <w:pPr>
              <w:spacing w:line="306" w:lineRule="auto"/>
              <w:rPr>
                <w:rFonts w:ascii="Arial"/>
                <w:sz w:val="21"/>
              </w:rPr>
            </w:pPr>
            <w:r/>
          </w:p>
          <w:p>
            <w:pPr>
              <w:spacing w:line="306" w:lineRule="auto"/>
              <w:rPr>
                <w:rFonts w:ascii="Arial"/>
                <w:sz w:val="21"/>
              </w:rPr>
            </w:pPr>
            <w:r/>
          </w:p>
          <w:p>
            <w:pPr>
              <w:pStyle w:val="TableText"/>
              <w:ind w:left="18"/>
              <w:spacing w:before="65" w:line="228" w:lineRule="auto"/>
              <w:rPr/>
            </w:pPr>
            <w:r>
              <w:rPr>
                <w:spacing w:val="6"/>
              </w:rPr>
              <w:t>生活污</w:t>
            </w:r>
          </w:p>
          <w:p>
            <w:pPr>
              <w:pStyle w:val="TableText"/>
              <w:ind w:left="230"/>
              <w:spacing w:before="25" w:line="228" w:lineRule="auto"/>
              <w:rPr/>
            </w:pPr>
            <w:r>
              <w:rPr/>
              <w:t>水</w:t>
            </w:r>
          </w:p>
        </w:tc>
        <w:tc>
          <w:tcPr>
            <w:tcW w:w="792" w:type="dxa"/>
            <w:vAlign w:val="top"/>
          </w:tcPr>
          <w:p>
            <w:pPr>
              <w:pStyle w:val="TableText"/>
              <w:ind w:left="84"/>
              <w:spacing w:before="98" w:line="228" w:lineRule="auto"/>
              <w:rPr/>
            </w:pPr>
            <w:r>
              <w:rPr>
                <w:spacing w:val="7"/>
              </w:rPr>
              <w:t>洗浴废</w:t>
            </w:r>
          </w:p>
          <w:p>
            <w:pPr>
              <w:pStyle w:val="TableText"/>
              <w:ind w:left="296"/>
              <w:spacing w:before="23" w:line="228" w:lineRule="auto"/>
              <w:rPr/>
            </w:pPr>
            <w:r>
              <w:rPr/>
              <w:t>水</w:t>
            </w:r>
          </w:p>
        </w:tc>
        <w:tc>
          <w:tcPr>
            <w:tcW w:w="11283" w:type="dxa"/>
            <w:vAlign w:val="top"/>
          </w:tcPr>
          <w:p>
            <w:pPr>
              <w:pStyle w:val="TableText"/>
              <w:ind w:left="429"/>
              <w:spacing w:before="232" w:line="224" w:lineRule="auto"/>
              <w:rPr/>
            </w:pPr>
            <w:r>
              <w:rPr>
                <w:spacing w:val="10"/>
              </w:rPr>
              <w:t>本项目东厂区和西厂区员工洗浴废水通过独立管道系统</w:t>
            </w:r>
            <w:r>
              <w:rPr>
                <w:spacing w:val="9"/>
              </w:rPr>
              <w:t>排入市政污水管网，进入明安图镇污水处理厂。</w:t>
            </w:r>
          </w:p>
        </w:tc>
        <w:tc>
          <w:tcPr>
            <w:tcW w:w="1302" w:type="dxa"/>
            <w:vAlign w:val="top"/>
          </w:tcPr>
          <w:p>
            <w:pPr>
              <w:pStyle w:val="TableText"/>
              <w:ind w:left="447"/>
              <w:spacing w:before="233" w:line="228" w:lineRule="auto"/>
              <w:rPr/>
            </w:pPr>
            <w:r>
              <w:rPr>
                <w:spacing w:val="4"/>
              </w:rPr>
              <w:t>新建</w:t>
            </w:r>
          </w:p>
        </w:tc>
      </w:tr>
      <w:tr>
        <w:trPr>
          <w:trHeight w:val="680" w:hRule="atLeast"/>
        </w:trPr>
        <w:tc>
          <w:tcPr>
            <w:tcW w:w="397"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659" w:type="dxa"/>
            <w:vAlign w:val="top"/>
            <w:vMerge w:val="continue"/>
            <w:tcBorders>
              <w:top w:val="nil"/>
              <w:bottom w:val="nil"/>
            </w:tcBorders>
          </w:tcPr>
          <w:p>
            <w:pPr>
              <w:rPr>
                <w:rFonts w:ascii="Arial"/>
                <w:sz w:val="21"/>
              </w:rPr>
            </w:pPr>
            <w:r/>
          </w:p>
        </w:tc>
        <w:tc>
          <w:tcPr>
            <w:tcW w:w="792" w:type="dxa"/>
            <w:vAlign w:val="top"/>
          </w:tcPr>
          <w:p>
            <w:pPr>
              <w:pStyle w:val="TableText"/>
              <w:ind w:left="85"/>
              <w:spacing w:before="98" w:line="225" w:lineRule="auto"/>
              <w:rPr/>
            </w:pPr>
            <w:r>
              <w:rPr>
                <w:spacing w:val="6"/>
              </w:rPr>
              <w:t>食堂废</w:t>
            </w:r>
          </w:p>
          <w:p>
            <w:pPr>
              <w:pStyle w:val="TableText"/>
              <w:ind w:left="296"/>
              <w:spacing w:before="29" w:line="228" w:lineRule="auto"/>
              <w:rPr/>
            </w:pPr>
            <w:r>
              <w:rPr/>
              <w:t>水</w:t>
            </w:r>
          </w:p>
        </w:tc>
        <w:tc>
          <w:tcPr>
            <w:tcW w:w="11283" w:type="dxa"/>
            <w:vAlign w:val="top"/>
          </w:tcPr>
          <w:p>
            <w:pPr>
              <w:pStyle w:val="TableText"/>
              <w:ind w:left="428"/>
              <w:spacing w:before="235" w:line="224" w:lineRule="auto"/>
              <w:rPr/>
            </w:pPr>
            <w:r>
              <w:rPr>
                <w:spacing w:val="10"/>
              </w:rPr>
              <w:t>食堂废水经隔油池处理后，与洗浴废水一同通过独立管道系统</w:t>
            </w:r>
            <w:r>
              <w:rPr>
                <w:spacing w:val="9"/>
              </w:rPr>
              <w:t>排入市政污水管网，进入明安图镇污水处理厂。</w:t>
            </w:r>
          </w:p>
        </w:tc>
        <w:tc>
          <w:tcPr>
            <w:tcW w:w="1302" w:type="dxa"/>
            <w:vAlign w:val="top"/>
          </w:tcPr>
          <w:p>
            <w:pPr>
              <w:pStyle w:val="TableText"/>
              <w:ind w:left="447"/>
              <w:spacing w:before="235" w:line="228" w:lineRule="auto"/>
              <w:rPr/>
            </w:pPr>
            <w:r>
              <w:rPr>
                <w:spacing w:val="4"/>
              </w:rPr>
              <w:t>新建</w:t>
            </w:r>
          </w:p>
        </w:tc>
      </w:tr>
      <w:tr>
        <w:trPr>
          <w:trHeight w:val="1093" w:hRule="atLeast"/>
        </w:trPr>
        <w:tc>
          <w:tcPr>
            <w:tcW w:w="397"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659" w:type="dxa"/>
            <w:vAlign w:val="top"/>
            <w:vMerge w:val="continue"/>
            <w:tcBorders>
              <w:top w:val="nil"/>
            </w:tcBorders>
          </w:tcPr>
          <w:p>
            <w:pPr>
              <w:rPr>
                <w:rFonts w:ascii="Arial"/>
                <w:sz w:val="21"/>
              </w:rPr>
            </w:pPr>
            <w:r/>
          </w:p>
        </w:tc>
        <w:tc>
          <w:tcPr>
            <w:tcW w:w="792" w:type="dxa"/>
            <w:vAlign w:val="top"/>
          </w:tcPr>
          <w:p>
            <w:pPr>
              <w:rPr>
                <w:rFonts w:ascii="Arial"/>
                <w:sz w:val="21"/>
              </w:rPr>
            </w:pPr>
            <w:r/>
          </w:p>
          <w:p>
            <w:pPr>
              <w:pStyle w:val="TableText"/>
              <w:ind w:left="85"/>
              <w:spacing w:before="65" w:line="228" w:lineRule="auto"/>
              <w:rPr/>
            </w:pPr>
            <w:r>
              <w:rPr>
                <w:spacing w:val="6"/>
              </w:rPr>
              <w:t>冲厕废</w:t>
            </w:r>
          </w:p>
          <w:p>
            <w:pPr>
              <w:pStyle w:val="TableText"/>
              <w:ind w:left="296"/>
              <w:spacing w:before="23" w:line="228" w:lineRule="auto"/>
              <w:rPr/>
            </w:pPr>
            <w:r>
              <w:rPr/>
              <w:t>水</w:t>
            </w:r>
          </w:p>
        </w:tc>
        <w:tc>
          <w:tcPr>
            <w:tcW w:w="11283" w:type="dxa"/>
            <w:vAlign w:val="top"/>
          </w:tcPr>
          <w:p>
            <w:pPr>
              <w:pStyle w:val="TableText"/>
              <w:ind w:left="9" w:right="1" w:firstLine="424"/>
              <w:spacing w:before="34" w:line="242" w:lineRule="auto"/>
              <w:jc w:val="both"/>
              <w:rPr/>
            </w:pPr>
            <w:r>
              <w:rPr>
                <w:spacing w:val="8"/>
              </w:rPr>
              <w:t>西厂区冲厕水经独立管道排入化粪池（容积</w:t>
            </w:r>
            <w:r>
              <w:rPr>
                <w:spacing w:val="-28"/>
              </w:rPr>
              <w:t xml:space="preserve"> </w:t>
            </w:r>
            <w:r>
              <w:rPr>
                <w:rFonts w:ascii="Times New Roman" w:hAnsi="Times New Roman" w:eastAsia="Times New Roman" w:cs="Times New Roman"/>
                <w:spacing w:val="8"/>
              </w:rPr>
              <w:t>30m</w:t>
            </w:r>
            <w:r>
              <w:rPr>
                <w:rFonts w:ascii="Times New Roman" w:hAnsi="Times New Roman" w:eastAsia="Times New Roman" w:cs="Times New Roman"/>
                <w:sz w:val="13"/>
                <w:szCs w:val="13"/>
                <w:spacing w:val="8"/>
                <w:position w:val="6"/>
              </w:rPr>
              <w:t>3 </w:t>
            </w:r>
            <w:r>
              <w:rPr>
                <w:spacing w:val="8"/>
              </w:rPr>
              <w:t>）预处理后，输送至西厂区废水收集池与洗毛废水混合，然后进入</w:t>
            </w:r>
            <w:r>
              <w:rPr>
                <w:spacing w:val="-41"/>
              </w:rPr>
              <w:t xml:space="preserve"> </w:t>
            </w:r>
            <w:r>
              <w:rPr>
                <w:rFonts w:ascii="Times New Roman" w:hAnsi="Times New Roman" w:eastAsia="Times New Roman" w:cs="Times New Roman"/>
              </w:rPr>
              <w:t>TS </w:t>
            </w:r>
            <w:r>
              <w:rPr>
                <w:spacing w:val="9"/>
              </w:rPr>
              <w:t>调节池调质后进入厌氧发酵装置，厌氧发酵达到沼肥标准后还田利用（自用</w:t>
            </w:r>
            <w:r>
              <w:rPr>
                <w:spacing w:val="8"/>
              </w:rPr>
              <w:t>）。东厂区冲厕水与洗毛废水一起进入东厂区洗</w:t>
            </w:r>
            <w:r>
              <w:rPr/>
              <w:t xml:space="preserve"> </w:t>
            </w:r>
            <w:r>
              <w:rPr>
                <w:spacing w:val="9"/>
              </w:rPr>
              <w:t>毛废水收集池（</w:t>
            </w:r>
            <w:r>
              <w:rPr>
                <w:rFonts w:ascii="Times New Roman" w:hAnsi="Times New Roman" w:eastAsia="Times New Roman" w:cs="Times New Roman"/>
                <w:spacing w:val="9"/>
              </w:rPr>
              <w:t>10m</w:t>
            </w:r>
            <w:r>
              <w:rPr>
                <w:rFonts w:ascii="Times New Roman" w:hAnsi="Times New Roman" w:eastAsia="Times New Roman" w:cs="Times New Roman"/>
                <w:sz w:val="13"/>
                <w:szCs w:val="13"/>
                <w:spacing w:val="9"/>
                <w:position w:val="6"/>
              </w:rPr>
              <w:t>3 </w:t>
            </w:r>
            <w:r>
              <w:rPr>
                <w:spacing w:val="2"/>
              </w:rPr>
              <w:t>），</w:t>
            </w:r>
            <w:r>
              <w:rPr>
                <w:spacing w:val="9"/>
              </w:rPr>
              <w:t>然后通过管道输送至西厂区废水收集池，</w:t>
            </w:r>
            <w:r>
              <w:rPr>
                <w:rFonts w:ascii="Times New Roman" w:hAnsi="Times New Roman" w:eastAsia="Times New Roman" w:cs="Times New Roman"/>
              </w:rPr>
              <w:t>TS</w:t>
            </w:r>
            <w:r>
              <w:rPr>
                <w:rFonts w:ascii="Times New Roman" w:hAnsi="Times New Roman" w:eastAsia="Times New Roman" w:cs="Times New Roman"/>
                <w:spacing w:val="9"/>
              </w:rPr>
              <w:t xml:space="preserve"> </w:t>
            </w:r>
            <w:r>
              <w:rPr>
                <w:spacing w:val="9"/>
              </w:rPr>
              <w:t>调节池调质后进入厌氧发酵装置，厌氧发酵达到沼肥</w:t>
            </w:r>
            <w:r>
              <w:rPr/>
              <w:t xml:space="preserve"> </w:t>
            </w:r>
            <w:r>
              <w:rPr>
                <w:spacing w:val="7"/>
              </w:rPr>
              <w:t>标准后还田利用（自用）。</w:t>
            </w:r>
          </w:p>
        </w:tc>
        <w:tc>
          <w:tcPr>
            <w:tcW w:w="1302" w:type="dxa"/>
            <w:vAlign w:val="top"/>
          </w:tcPr>
          <w:p>
            <w:pPr>
              <w:spacing w:line="376" w:lineRule="auto"/>
              <w:rPr>
                <w:rFonts w:ascii="Arial"/>
                <w:sz w:val="21"/>
              </w:rPr>
            </w:pPr>
            <w:r/>
          </w:p>
          <w:p>
            <w:pPr>
              <w:pStyle w:val="TableText"/>
              <w:ind w:left="447"/>
              <w:spacing w:before="65" w:line="228" w:lineRule="auto"/>
              <w:rPr/>
            </w:pPr>
            <w:r>
              <w:rPr>
                <w:spacing w:val="4"/>
              </w:rPr>
              <w:t>新建</w:t>
            </w:r>
          </w:p>
        </w:tc>
      </w:tr>
      <w:tr>
        <w:trPr>
          <w:trHeight w:val="708" w:hRule="atLeast"/>
        </w:trPr>
        <w:tc>
          <w:tcPr>
            <w:tcW w:w="397"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1" w:type="dxa"/>
            <w:vAlign w:val="top"/>
            <w:gridSpan w:val="2"/>
          </w:tcPr>
          <w:p>
            <w:pPr>
              <w:pStyle w:val="TableText"/>
              <w:ind w:left="311"/>
              <w:spacing w:before="249" w:line="228" w:lineRule="auto"/>
              <w:rPr/>
            </w:pPr>
            <w:r>
              <w:rPr>
                <w:spacing w:val="6"/>
              </w:rPr>
              <w:t>生产废水</w:t>
            </w:r>
          </w:p>
        </w:tc>
        <w:tc>
          <w:tcPr>
            <w:tcW w:w="11283" w:type="dxa"/>
            <w:vAlign w:val="top"/>
          </w:tcPr>
          <w:p>
            <w:pPr>
              <w:pStyle w:val="TableText"/>
              <w:ind w:left="18" w:right="2" w:firstLine="409"/>
              <w:spacing w:before="113" w:line="254" w:lineRule="auto"/>
              <w:rPr/>
            </w:pPr>
            <w:r>
              <w:rPr>
                <w:spacing w:val="11"/>
              </w:rPr>
              <w:t>洗毛废水、地面冲洗废水经废水收集池收集、</w:t>
            </w:r>
            <w:r>
              <w:rPr>
                <w:rFonts w:ascii="Times New Roman" w:hAnsi="Times New Roman" w:eastAsia="Times New Roman" w:cs="Times New Roman"/>
              </w:rPr>
              <w:t>TS</w:t>
            </w:r>
            <w:r>
              <w:rPr>
                <w:rFonts w:ascii="Times New Roman" w:hAnsi="Times New Roman" w:eastAsia="Times New Roman" w:cs="Times New Roman"/>
                <w:spacing w:val="11"/>
              </w:rPr>
              <w:t xml:space="preserve"> </w:t>
            </w:r>
            <w:r>
              <w:rPr>
                <w:spacing w:val="11"/>
              </w:rPr>
              <w:t>调节池调质后进入厌氧发酵装置，厌氧发酵达到沼肥标准后还田利用</w:t>
            </w:r>
            <w:r>
              <w:rPr>
                <w:spacing w:val="2"/>
              </w:rPr>
              <w:t xml:space="preserve"> </w:t>
            </w:r>
            <w:r>
              <w:rPr>
                <w:spacing w:val="4"/>
              </w:rPr>
              <w:t>（自用</w:t>
            </w:r>
            <w:r>
              <w:rPr>
                <w:spacing w:val="15"/>
              </w:rPr>
              <w:t>），</w:t>
            </w:r>
            <w:r>
              <w:rPr>
                <w:spacing w:val="4"/>
              </w:rPr>
              <w:t>不外排。</w:t>
            </w:r>
          </w:p>
        </w:tc>
        <w:tc>
          <w:tcPr>
            <w:tcW w:w="1302" w:type="dxa"/>
            <w:vAlign w:val="top"/>
          </w:tcPr>
          <w:p>
            <w:pPr>
              <w:pStyle w:val="TableText"/>
              <w:ind w:left="447"/>
              <w:spacing w:before="250" w:line="228" w:lineRule="auto"/>
              <w:rPr/>
            </w:pPr>
            <w:r>
              <w:rPr>
                <w:spacing w:val="4"/>
              </w:rPr>
              <w:t>新建</w:t>
            </w:r>
          </w:p>
        </w:tc>
      </w:tr>
      <w:tr>
        <w:trPr>
          <w:trHeight w:val="659" w:hRule="atLeast"/>
        </w:trPr>
        <w:tc>
          <w:tcPr>
            <w:tcW w:w="397"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1" w:type="dxa"/>
            <w:vAlign w:val="top"/>
            <w:gridSpan w:val="2"/>
          </w:tcPr>
          <w:p>
            <w:pPr>
              <w:pStyle w:val="TableText"/>
              <w:ind w:left="9"/>
              <w:spacing w:before="225" w:line="228" w:lineRule="auto"/>
              <w:rPr/>
            </w:pPr>
            <w:r>
              <w:rPr>
                <w:spacing w:val="4"/>
              </w:rPr>
              <w:t>锅炉、纯水排水</w:t>
            </w:r>
          </w:p>
        </w:tc>
        <w:tc>
          <w:tcPr>
            <w:tcW w:w="11283" w:type="dxa"/>
            <w:vAlign w:val="top"/>
          </w:tcPr>
          <w:p>
            <w:pPr>
              <w:pStyle w:val="TableText"/>
              <w:ind w:left="10" w:right="2" w:firstLine="420"/>
              <w:spacing w:before="88" w:line="254" w:lineRule="auto"/>
              <w:rPr/>
            </w:pPr>
            <w:r>
              <w:rPr>
                <w:spacing w:val="9"/>
              </w:rPr>
              <w:t>纯水制备排污及锅炉排污全部用作锅炉草木灰抑尘及厂区内道</w:t>
            </w:r>
            <w:r>
              <w:rPr>
                <w:spacing w:val="8"/>
              </w:rPr>
              <w:t>路抑尘用水，多余废水排入市政污水管网，进入明安图镇</w:t>
            </w:r>
            <w:r>
              <w:rPr/>
              <w:t xml:space="preserve"> </w:t>
            </w:r>
            <w:r>
              <w:rPr>
                <w:spacing w:val="6"/>
              </w:rPr>
              <w:t>污水处理厂。</w:t>
            </w:r>
          </w:p>
        </w:tc>
        <w:tc>
          <w:tcPr>
            <w:tcW w:w="1302" w:type="dxa"/>
            <w:vAlign w:val="top"/>
          </w:tcPr>
          <w:p>
            <w:pPr>
              <w:pStyle w:val="TableText"/>
              <w:ind w:left="447"/>
              <w:spacing w:before="226" w:line="228" w:lineRule="auto"/>
              <w:rPr/>
            </w:pPr>
            <w:r>
              <w:rPr>
                <w:spacing w:val="4"/>
              </w:rPr>
              <w:t>新建</w:t>
            </w:r>
          </w:p>
        </w:tc>
      </w:tr>
      <w:tr>
        <w:trPr>
          <w:trHeight w:val="818" w:hRule="atLeast"/>
        </w:trPr>
        <w:tc>
          <w:tcPr>
            <w:tcW w:w="397"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tcBorders>
          </w:tcPr>
          <w:p>
            <w:pPr>
              <w:rPr>
                <w:rFonts w:ascii="Arial"/>
                <w:sz w:val="21"/>
              </w:rPr>
            </w:pPr>
            <w:r/>
          </w:p>
        </w:tc>
        <w:tc>
          <w:tcPr>
            <w:tcW w:w="1451" w:type="dxa"/>
            <w:vAlign w:val="top"/>
            <w:gridSpan w:val="2"/>
          </w:tcPr>
          <w:p>
            <w:pPr>
              <w:pStyle w:val="TableText"/>
              <w:ind w:left="309"/>
              <w:spacing w:before="305" w:line="228" w:lineRule="auto"/>
              <w:rPr/>
            </w:pPr>
            <w:r>
              <w:rPr>
                <w:spacing w:val="7"/>
              </w:rPr>
              <w:t>事故废水</w:t>
            </w:r>
          </w:p>
        </w:tc>
        <w:tc>
          <w:tcPr>
            <w:tcW w:w="11283" w:type="dxa"/>
            <w:vAlign w:val="top"/>
          </w:tcPr>
          <w:p>
            <w:pPr>
              <w:pStyle w:val="TableText"/>
              <w:ind w:left="10" w:right="2" w:firstLine="417"/>
              <w:spacing w:before="169" w:line="252" w:lineRule="auto"/>
              <w:rPr/>
            </w:pPr>
            <w:r>
              <w:rPr>
                <w:spacing w:val="7"/>
              </w:rPr>
              <w:t>在东西两个厂区内分别建设</w:t>
            </w:r>
            <w:r>
              <w:rPr>
                <w:spacing w:val="-4"/>
              </w:rPr>
              <w:t xml:space="preserve"> </w:t>
            </w:r>
            <w:r>
              <w:rPr>
                <w:rFonts w:ascii="Times New Roman" w:hAnsi="Times New Roman" w:eastAsia="Times New Roman" w:cs="Times New Roman"/>
                <w:spacing w:val="7"/>
              </w:rPr>
              <w:t>1 </w:t>
            </w:r>
            <w:r>
              <w:rPr>
                <w:spacing w:val="7"/>
              </w:rPr>
              <w:t>座容积为</w:t>
            </w:r>
            <w:r>
              <w:rPr>
                <w:spacing w:val="-44"/>
              </w:rPr>
              <w:t xml:space="preserve"> </w:t>
            </w:r>
            <w:r>
              <w:rPr>
                <w:rFonts w:ascii="Times New Roman" w:hAnsi="Times New Roman" w:eastAsia="Times New Roman" w:cs="Times New Roman"/>
                <w:spacing w:val="7"/>
              </w:rPr>
              <w:t>400m</w:t>
            </w:r>
            <w:r>
              <w:rPr>
                <w:rFonts w:ascii="Times New Roman" w:hAnsi="Times New Roman" w:eastAsia="Times New Roman" w:cs="Times New Roman"/>
                <w:sz w:val="13"/>
                <w:szCs w:val="13"/>
                <w:spacing w:val="7"/>
                <w:position w:val="6"/>
              </w:rPr>
              <w:t>3 </w:t>
            </w:r>
            <w:r>
              <w:rPr>
                <w:spacing w:val="7"/>
              </w:rPr>
              <w:t>应急事故水池，用于接收事故废水和初期雨污水，待事故结束后，采用罐</w:t>
            </w:r>
            <w:r>
              <w:rPr/>
              <w:t xml:space="preserve"> </w:t>
            </w:r>
            <w:r>
              <w:rPr>
                <w:spacing w:val="8"/>
              </w:rPr>
              <w:t>车分批送往明安图镇污水处理厂委托处理。</w:t>
            </w:r>
          </w:p>
        </w:tc>
        <w:tc>
          <w:tcPr>
            <w:tcW w:w="1302" w:type="dxa"/>
            <w:vAlign w:val="top"/>
          </w:tcPr>
          <w:p>
            <w:pPr>
              <w:pStyle w:val="TableText"/>
              <w:ind w:left="447"/>
              <w:spacing w:before="306" w:line="228" w:lineRule="auto"/>
              <w:rPr/>
            </w:pPr>
            <w:r>
              <w:rPr>
                <w:spacing w:val="4"/>
              </w:rPr>
              <w:t>新建</w:t>
            </w:r>
          </w:p>
        </w:tc>
      </w:tr>
      <w:tr>
        <w:trPr>
          <w:trHeight w:val="550" w:hRule="atLeast"/>
        </w:trPr>
        <w:tc>
          <w:tcPr>
            <w:tcW w:w="397" w:type="dxa"/>
            <w:vAlign w:val="top"/>
            <w:vMerge w:val="continue"/>
            <w:textDirection w:val="tbRlV"/>
            <w:tcBorders>
              <w:top w:val="nil"/>
              <w:bottom w:val="nil"/>
            </w:tcBorders>
          </w:tcPr>
          <w:p>
            <w:pPr>
              <w:rPr>
                <w:rFonts w:ascii="Arial"/>
                <w:sz w:val="21"/>
              </w:rPr>
            </w:pPr>
            <w:r/>
          </w:p>
        </w:tc>
        <w:tc>
          <w:tcPr>
            <w:tcW w:w="2141" w:type="dxa"/>
            <w:vAlign w:val="top"/>
            <w:gridSpan w:val="3"/>
          </w:tcPr>
          <w:p>
            <w:pPr>
              <w:pStyle w:val="TableText"/>
              <w:ind w:left="862"/>
              <w:spacing w:before="171" w:line="227" w:lineRule="auto"/>
              <w:rPr/>
            </w:pPr>
            <w:r>
              <w:rPr>
                <w:spacing w:val="4"/>
              </w:rPr>
              <w:t>供热</w:t>
            </w:r>
          </w:p>
        </w:tc>
        <w:tc>
          <w:tcPr>
            <w:tcW w:w="11283" w:type="dxa"/>
            <w:vAlign w:val="top"/>
          </w:tcPr>
          <w:p>
            <w:pPr>
              <w:pStyle w:val="TableText"/>
              <w:ind w:left="8" w:right="2" w:firstLine="420"/>
              <w:spacing w:before="37" w:line="232" w:lineRule="auto"/>
              <w:rPr/>
            </w:pPr>
            <w:r>
              <w:rPr>
                <w:spacing w:val="6"/>
              </w:rPr>
              <w:t>本项目西厂区锅炉房配置</w:t>
            </w:r>
            <w:r>
              <w:rPr>
                <w:spacing w:val="-21"/>
              </w:rPr>
              <w:t xml:space="preserve"> </w:t>
            </w:r>
            <w:r>
              <w:rPr>
                <w:rFonts w:ascii="Times New Roman" w:hAnsi="Times New Roman" w:eastAsia="Times New Roman" w:cs="Times New Roman"/>
                <w:spacing w:val="6"/>
              </w:rPr>
              <w:t>1</w:t>
            </w:r>
            <w:r>
              <w:rPr>
                <w:rFonts w:ascii="Times New Roman" w:hAnsi="Times New Roman" w:eastAsia="Times New Roman" w:cs="Times New Roman"/>
                <w:spacing w:val="29"/>
              </w:rPr>
              <w:t xml:space="preserve"> </w:t>
            </w:r>
            <w:r>
              <w:rPr>
                <w:spacing w:val="6"/>
              </w:rPr>
              <w:t>台</w:t>
            </w:r>
            <w:r>
              <w:rPr>
                <w:spacing w:val="-45"/>
              </w:rPr>
              <w:t xml:space="preserve"> </w:t>
            </w:r>
            <w:r>
              <w:rPr>
                <w:rFonts w:ascii="Times New Roman" w:hAnsi="Times New Roman" w:eastAsia="Times New Roman" w:cs="Times New Roman"/>
                <w:spacing w:val="6"/>
              </w:rPr>
              <w:t>4t/h</w:t>
            </w:r>
            <w:r>
              <w:rPr>
                <w:rFonts w:ascii="Times New Roman" w:hAnsi="Times New Roman" w:eastAsia="Times New Roman" w:cs="Times New Roman"/>
                <w:spacing w:val="17"/>
              </w:rPr>
              <w:t xml:space="preserve"> </w:t>
            </w:r>
            <w:r>
              <w:rPr>
                <w:spacing w:val="6"/>
              </w:rPr>
              <w:t>沼气蒸汽锅炉（</w:t>
            </w:r>
            <w:r>
              <w:rPr>
                <w:rFonts w:ascii="Times New Roman" w:hAnsi="Times New Roman" w:eastAsia="Times New Roman" w:cs="Times New Roman"/>
              </w:rPr>
              <w:t>WNS</w:t>
            </w:r>
            <w:r>
              <w:rPr>
                <w:rFonts w:ascii="Times New Roman" w:hAnsi="Times New Roman" w:eastAsia="Times New Roman" w:cs="Times New Roman"/>
                <w:spacing w:val="6"/>
              </w:rPr>
              <w:t>4-1.25-Y</w:t>
            </w:r>
            <w:r>
              <w:rPr>
                <w:spacing w:val="6"/>
              </w:rPr>
              <w:t>（</w:t>
            </w:r>
            <w:r>
              <w:rPr>
                <w:rFonts w:ascii="Times New Roman" w:hAnsi="Times New Roman" w:eastAsia="Times New Roman" w:cs="Times New Roman"/>
                <w:spacing w:val="6"/>
              </w:rPr>
              <w:t>Q</w:t>
            </w:r>
            <w:r>
              <w:rPr>
                <w:spacing w:val="15"/>
              </w:rPr>
              <w:t>））</w:t>
            </w:r>
            <w:r>
              <w:rPr>
                <w:spacing w:val="6"/>
              </w:rPr>
              <w:t>、</w:t>
            </w:r>
            <w:r>
              <w:rPr>
                <w:rFonts w:ascii="Times New Roman" w:hAnsi="Times New Roman" w:eastAsia="Times New Roman" w:cs="Times New Roman"/>
                <w:spacing w:val="6"/>
              </w:rPr>
              <w:t>1</w:t>
            </w:r>
            <w:r>
              <w:rPr>
                <w:rFonts w:ascii="Times New Roman" w:hAnsi="Times New Roman" w:eastAsia="Times New Roman" w:cs="Times New Roman"/>
                <w:spacing w:val="28"/>
                <w:w w:val="101"/>
              </w:rPr>
              <w:t xml:space="preserve"> </w:t>
            </w:r>
            <w:r>
              <w:rPr>
                <w:spacing w:val="6"/>
              </w:rPr>
              <w:t>台生物质蒸汽锅炉（</w:t>
            </w:r>
            <w:r>
              <w:rPr>
                <w:rFonts w:ascii="Times New Roman" w:hAnsi="Times New Roman" w:eastAsia="Times New Roman" w:cs="Times New Roman"/>
              </w:rPr>
              <w:t>DZL</w:t>
            </w:r>
            <w:r>
              <w:rPr>
                <w:rFonts w:ascii="Times New Roman" w:hAnsi="Times New Roman" w:eastAsia="Times New Roman" w:cs="Times New Roman"/>
                <w:spacing w:val="6"/>
              </w:rPr>
              <w:t>6-1.25</w:t>
            </w:r>
            <w:r>
              <w:rPr>
                <w:rFonts w:ascii="Times New Roman" w:hAnsi="Times New Roman" w:eastAsia="Times New Roman" w:cs="Times New Roman"/>
                <w:spacing w:val="5"/>
              </w:rPr>
              <w:t>-</w:t>
            </w:r>
            <w:r>
              <w:rPr>
                <w:rFonts w:ascii="Times New Roman" w:hAnsi="Times New Roman" w:eastAsia="Times New Roman" w:cs="Times New Roman"/>
              </w:rPr>
              <w:t>SCI</w:t>
            </w:r>
            <w:r>
              <w:rPr>
                <w:spacing w:val="15"/>
              </w:rPr>
              <w:t>），</w:t>
            </w:r>
            <w:r>
              <w:rPr>
                <w:spacing w:val="5"/>
              </w:rPr>
              <w:t>供</w:t>
            </w:r>
            <w:r>
              <w:rPr/>
              <w:t xml:space="preserve"> </w:t>
            </w:r>
            <w:r>
              <w:rPr>
                <w:spacing w:val="8"/>
              </w:rPr>
              <w:t>应厂区生产、生活用热。</w:t>
            </w:r>
          </w:p>
        </w:tc>
        <w:tc>
          <w:tcPr>
            <w:tcW w:w="1302" w:type="dxa"/>
            <w:vAlign w:val="top"/>
          </w:tcPr>
          <w:p>
            <w:pPr>
              <w:pStyle w:val="TableText"/>
              <w:ind w:left="447"/>
              <w:spacing w:before="171" w:line="228" w:lineRule="auto"/>
              <w:rPr/>
            </w:pPr>
            <w:r>
              <w:rPr>
                <w:spacing w:val="4"/>
              </w:rPr>
              <w:t>新建</w:t>
            </w:r>
          </w:p>
        </w:tc>
      </w:tr>
      <w:tr>
        <w:trPr>
          <w:trHeight w:val="550" w:hRule="atLeast"/>
        </w:trPr>
        <w:tc>
          <w:tcPr>
            <w:tcW w:w="397" w:type="dxa"/>
            <w:vAlign w:val="top"/>
            <w:vMerge w:val="continue"/>
            <w:textDirection w:val="tbRlV"/>
            <w:tcBorders>
              <w:top w:val="nil"/>
            </w:tcBorders>
          </w:tcPr>
          <w:p>
            <w:pPr>
              <w:rPr>
                <w:rFonts w:ascii="Arial"/>
                <w:sz w:val="21"/>
              </w:rPr>
            </w:pPr>
            <w:r/>
          </w:p>
        </w:tc>
        <w:tc>
          <w:tcPr>
            <w:tcW w:w="2141" w:type="dxa"/>
            <w:vAlign w:val="top"/>
            <w:gridSpan w:val="3"/>
          </w:tcPr>
          <w:p>
            <w:pPr>
              <w:pStyle w:val="TableText"/>
              <w:ind w:left="862"/>
              <w:spacing w:before="170" w:line="227" w:lineRule="auto"/>
              <w:rPr/>
            </w:pPr>
            <w:r>
              <w:rPr>
                <w:spacing w:val="4"/>
              </w:rPr>
              <w:t>供电</w:t>
            </w:r>
          </w:p>
        </w:tc>
        <w:tc>
          <w:tcPr>
            <w:tcW w:w="11283" w:type="dxa"/>
            <w:vAlign w:val="top"/>
          </w:tcPr>
          <w:p>
            <w:pPr>
              <w:pStyle w:val="TableText"/>
              <w:ind w:left="9" w:right="2" w:firstLine="444"/>
              <w:spacing w:before="37" w:line="232" w:lineRule="auto"/>
              <w:rPr/>
            </w:pPr>
            <w:r>
              <w:rPr>
                <w:spacing w:val="8"/>
              </w:rPr>
              <w:t>由锡林郭勒明安图镇变电站接入一路</w:t>
            </w:r>
            <w:r>
              <w:rPr>
                <w:spacing w:val="-18"/>
              </w:rPr>
              <w:t xml:space="preserve"> </w:t>
            </w:r>
            <w:r>
              <w:rPr>
                <w:rFonts w:ascii="Times New Roman" w:hAnsi="Times New Roman" w:eastAsia="Times New Roman" w:cs="Times New Roman"/>
                <w:spacing w:val="8"/>
              </w:rPr>
              <w:t>10</w:t>
            </w:r>
            <w:r>
              <w:rPr>
                <w:rFonts w:ascii="Times New Roman" w:hAnsi="Times New Roman" w:eastAsia="Times New Roman" w:cs="Times New Roman"/>
              </w:rPr>
              <w:t>kV</w:t>
            </w:r>
            <w:r>
              <w:rPr>
                <w:rFonts w:ascii="Times New Roman" w:hAnsi="Times New Roman" w:eastAsia="Times New Roman" w:cs="Times New Roman"/>
                <w:spacing w:val="36"/>
              </w:rPr>
              <w:t xml:space="preserve"> </w:t>
            </w:r>
            <w:r>
              <w:rPr>
                <w:spacing w:val="8"/>
              </w:rPr>
              <w:t>电力电缆专线，厂区由总配电室引入，引入方式采用电缆直埋敷设至建筑低</w:t>
            </w:r>
            <w:r>
              <w:rPr/>
              <w:t xml:space="preserve"> </w:t>
            </w:r>
            <w:r>
              <w:rPr>
                <w:spacing w:val="8"/>
              </w:rPr>
              <w:t>压配电柜，供电能力满足负荷要求。</w:t>
            </w:r>
          </w:p>
        </w:tc>
        <w:tc>
          <w:tcPr>
            <w:tcW w:w="1302" w:type="dxa"/>
            <w:vAlign w:val="top"/>
          </w:tcPr>
          <w:p>
            <w:pPr>
              <w:pStyle w:val="TableText"/>
              <w:ind w:left="447"/>
              <w:spacing w:before="171" w:line="228" w:lineRule="auto"/>
              <w:rPr/>
            </w:pPr>
            <w:r>
              <w:rPr>
                <w:spacing w:val="4"/>
              </w:rPr>
              <w:t>新建</w:t>
            </w:r>
          </w:p>
        </w:tc>
      </w:tr>
      <w:tr>
        <w:trPr>
          <w:trHeight w:val="280" w:hRule="atLeast"/>
        </w:trPr>
        <w:tc>
          <w:tcPr>
            <w:tcW w:w="397" w:type="dxa"/>
            <w:vAlign w:val="top"/>
          </w:tcPr>
          <w:p>
            <w:pPr>
              <w:pStyle w:val="TableText"/>
              <w:ind w:left="98"/>
              <w:spacing w:before="36" w:line="216" w:lineRule="auto"/>
              <w:rPr/>
            </w:pPr>
            <w:r>
              <w:rPr/>
              <w:t>环</w:t>
            </w:r>
          </w:p>
        </w:tc>
        <w:tc>
          <w:tcPr>
            <w:tcW w:w="690" w:type="dxa"/>
            <w:vAlign w:val="top"/>
          </w:tcPr>
          <w:p>
            <w:pPr>
              <w:pStyle w:val="TableText"/>
              <w:ind w:left="242"/>
              <w:spacing w:before="36" w:line="216" w:lineRule="auto"/>
              <w:rPr/>
            </w:pPr>
            <w:r>
              <w:rPr>
                <w:spacing w:val="1"/>
              </w:rPr>
              <w:t>废</w:t>
            </w:r>
          </w:p>
        </w:tc>
        <w:tc>
          <w:tcPr>
            <w:tcW w:w="1451" w:type="dxa"/>
            <w:vAlign w:val="top"/>
            <w:gridSpan w:val="2"/>
          </w:tcPr>
          <w:p>
            <w:pPr>
              <w:pStyle w:val="TableText"/>
              <w:ind w:left="97"/>
              <w:spacing w:before="36" w:line="216" w:lineRule="auto"/>
              <w:rPr/>
            </w:pPr>
            <w:r>
              <w:rPr>
                <w:spacing w:val="8"/>
              </w:rPr>
              <w:t>洗毛车间开松</w:t>
            </w:r>
          </w:p>
        </w:tc>
        <w:tc>
          <w:tcPr>
            <w:tcW w:w="11283" w:type="dxa"/>
            <w:vAlign w:val="top"/>
          </w:tcPr>
          <w:p>
            <w:pPr>
              <w:pStyle w:val="TableText"/>
              <w:ind w:left="435"/>
              <w:spacing w:before="36" w:line="216" w:lineRule="auto"/>
              <w:rPr/>
            </w:pPr>
            <w:r>
              <w:rPr>
                <w:spacing w:val="9"/>
              </w:rPr>
              <w:t>东厂区洗毛车间除杂粉尘经集气罩收集后，通过一套布袋除尘器</w:t>
            </w:r>
            <w:r>
              <w:rPr>
                <w:spacing w:val="8"/>
              </w:rPr>
              <w:t>处理，处理后通过</w:t>
            </w:r>
            <w:r>
              <w:rPr>
                <w:spacing w:val="-19"/>
              </w:rPr>
              <w:t xml:space="preserve"> </w:t>
            </w:r>
            <w:r>
              <w:rPr>
                <w:rFonts w:ascii="Times New Roman" w:hAnsi="Times New Roman" w:eastAsia="Times New Roman" w:cs="Times New Roman"/>
                <w:spacing w:val="8"/>
              </w:rPr>
              <w:t>15m </w:t>
            </w:r>
            <w:r>
              <w:rPr>
                <w:spacing w:val="8"/>
              </w:rPr>
              <w:t>高排气筒排放（</w:t>
            </w:r>
            <w:r>
              <w:rPr>
                <w:rFonts w:ascii="Times New Roman" w:hAnsi="Times New Roman" w:eastAsia="Times New Roman" w:cs="Times New Roman"/>
              </w:rPr>
              <w:t>DA</w:t>
            </w:r>
            <w:r>
              <w:rPr>
                <w:rFonts w:ascii="Times New Roman" w:hAnsi="Times New Roman" w:eastAsia="Times New Roman" w:cs="Times New Roman"/>
                <w:spacing w:val="8"/>
              </w:rPr>
              <w:t>001</w:t>
            </w:r>
            <w:r>
              <w:rPr>
                <w:spacing w:val="23"/>
              </w:rPr>
              <w:t>），</w:t>
            </w:r>
            <w:r>
              <w:rPr>
                <w:spacing w:val="8"/>
              </w:rPr>
              <w:t>同</w:t>
            </w:r>
          </w:p>
        </w:tc>
        <w:tc>
          <w:tcPr>
            <w:tcW w:w="1302" w:type="dxa"/>
            <w:vAlign w:val="top"/>
          </w:tcPr>
          <w:p>
            <w:pPr>
              <w:pStyle w:val="TableText"/>
              <w:ind w:left="447"/>
              <w:spacing w:before="36" w:line="216" w:lineRule="auto"/>
              <w:rPr/>
            </w:pPr>
            <w:r>
              <w:rPr>
                <w:spacing w:val="4"/>
              </w:rPr>
              <w:t>新建</w:t>
            </w:r>
          </w:p>
        </w:tc>
      </w:tr>
    </w:tbl>
    <w:p>
      <w:pPr>
        <w:pStyle w:val="BodyText"/>
        <w:rPr/>
      </w:pPr>
      <w:r/>
    </w:p>
    <w:p>
      <w:pPr>
        <w:sectPr>
          <w:footerReference w:type="default" r:id="rId64"/>
          <w:pgSz w:w="16840" w:h="11907"/>
          <w:pgMar w:top="1567" w:right="856" w:bottom="1480" w:left="855" w:header="1221" w:footer="1249" w:gutter="0"/>
        </w:sectPr>
        <w:rPr/>
      </w:pPr>
    </w:p>
    <w:p>
      <w:pPr>
        <w:spacing w:line="151" w:lineRule="exact"/>
        <w:rPr/>
      </w:pPr>
      <w:r>
        <w:pict>
          <v:shape id="_x0000_s276" style="position:absolute;margin-left:56.7pt;margin-top:79.11pt;mso-position-vertical-relative:page;mso-position-horizontal-relative:page;width:728.6pt;height:0.75pt;z-index:251783168;" o:allowincell="f" fillcolor="#000000" filled="true" stroked="false" coordsize="14571,15" coordorigin="0,0" path="m,l14571,0l14571,14l0,14l0,0xe"/>
        </w:pict>
      </w:r>
      <w:r/>
    </w:p>
    <w:tbl>
      <w:tblPr>
        <w:tblStyle w:val="TableNormal"/>
        <w:tblW w:w="1512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98"/>
        <w:gridCol w:w="690"/>
        <w:gridCol w:w="1450"/>
        <w:gridCol w:w="11283"/>
        <w:gridCol w:w="1302"/>
      </w:tblGrid>
      <w:tr>
        <w:trPr>
          <w:trHeight w:val="554" w:hRule="atLeast"/>
        </w:trPr>
        <w:tc>
          <w:tcPr>
            <w:tcW w:w="398" w:type="dxa"/>
            <w:vAlign w:val="top"/>
            <w:textDirection w:val="tbRlV"/>
          </w:tcPr>
          <w:p>
            <w:pPr>
              <w:pStyle w:val="TableText"/>
              <w:ind w:left="36"/>
              <w:spacing w:before="93" w:line="216" w:lineRule="auto"/>
              <w:rPr/>
            </w:pPr>
            <w:r>
              <w:rPr>
                <w:spacing w:val="8"/>
              </w:rPr>
              <w:t>类</w:t>
            </w:r>
            <w:r>
              <w:rPr>
                <w:spacing w:val="-37"/>
              </w:rPr>
              <w:t xml:space="preserve"> </w:t>
            </w:r>
            <w:r>
              <w:rPr>
                <w:spacing w:val="8"/>
              </w:rPr>
              <w:t>型</w:t>
            </w:r>
          </w:p>
        </w:tc>
        <w:tc>
          <w:tcPr>
            <w:tcW w:w="2140" w:type="dxa"/>
            <w:vAlign w:val="top"/>
            <w:gridSpan w:val="2"/>
          </w:tcPr>
          <w:p>
            <w:pPr>
              <w:pStyle w:val="TableText"/>
              <w:ind w:left="656"/>
              <w:spacing w:before="170" w:line="228" w:lineRule="auto"/>
              <w:rPr/>
            </w:pPr>
            <w:r>
              <w:rPr>
                <w:spacing w:val="6"/>
              </w:rPr>
              <w:t>项目名称</w:t>
            </w:r>
          </w:p>
        </w:tc>
        <w:tc>
          <w:tcPr>
            <w:tcW w:w="11283" w:type="dxa"/>
            <w:vAlign w:val="top"/>
          </w:tcPr>
          <w:p>
            <w:pPr>
              <w:pStyle w:val="TableText"/>
              <w:ind w:left="5228"/>
              <w:spacing w:before="170" w:line="228" w:lineRule="auto"/>
              <w:rPr/>
            </w:pPr>
            <w:r>
              <w:rPr>
                <w:spacing w:val="6"/>
              </w:rPr>
              <w:t>建设内容</w:t>
            </w:r>
          </w:p>
        </w:tc>
        <w:tc>
          <w:tcPr>
            <w:tcW w:w="1302" w:type="dxa"/>
            <w:vAlign w:val="top"/>
          </w:tcPr>
          <w:p>
            <w:pPr>
              <w:pStyle w:val="TableText"/>
              <w:ind w:left="449"/>
              <w:spacing w:before="171" w:line="229" w:lineRule="auto"/>
              <w:rPr/>
            </w:pPr>
            <w:r>
              <w:rPr>
                <w:spacing w:val="3"/>
              </w:rPr>
              <w:t>备注</w:t>
            </w:r>
          </w:p>
        </w:tc>
      </w:tr>
      <w:tr>
        <w:trPr>
          <w:trHeight w:val="277" w:hRule="atLeast"/>
        </w:trPr>
        <w:tc>
          <w:tcPr>
            <w:tcW w:w="398" w:type="dxa"/>
            <w:vAlign w:val="top"/>
            <w:vMerge w:val="restart"/>
            <w:textDirection w:val="tbRlV"/>
            <w:tcBorders>
              <w:bottom w:val="nil"/>
            </w:tcBorders>
          </w:tcPr>
          <w:p>
            <w:pPr>
              <w:pStyle w:val="TableText"/>
              <w:ind w:left="32"/>
              <w:spacing w:before="93" w:line="217" w:lineRule="auto"/>
              <w:rPr/>
            </w:pPr>
            <w:r>
              <w:rPr>
                <w:spacing w:val="8"/>
              </w:rPr>
              <w:t>保</w:t>
            </w:r>
            <w:r>
              <w:rPr>
                <w:spacing w:val="-37"/>
              </w:rPr>
              <w:t xml:space="preserve"> </w:t>
            </w:r>
            <w:r>
              <w:rPr>
                <w:spacing w:val="8"/>
              </w:rPr>
              <w:t>工</w:t>
            </w:r>
            <w:r>
              <w:rPr>
                <w:spacing w:val="-37"/>
              </w:rPr>
              <w:t xml:space="preserve"> </w:t>
            </w:r>
            <w:r>
              <w:rPr>
                <w:spacing w:val="8"/>
              </w:rPr>
              <w:t>程</w:t>
            </w:r>
          </w:p>
        </w:tc>
        <w:tc>
          <w:tcPr>
            <w:tcW w:w="690" w:type="dxa"/>
            <w:vAlign w:val="top"/>
            <w:vMerge w:val="restart"/>
            <w:tcBorders>
              <w:bottom w:val="nil"/>
            </w:tcBorders>
          </w:tcPr>
          <w:p>
            <w:pPr>
              <w:pStyle w:val="TableText"/>
              <w:ind w:left="243"/>
              <w:spacing w:before="31" w:line="227" w:lineRule="auto"/>
              <w:rPr/>
            </w:pPr>
            <w:r>
              <w:rPr/>
              <w:t>气</w:t>
            </w:r>
          </w:p>
        </w:tc>
        <w:tc>
          <w:tcPr>
            <w:tcW w:w="1450" w:type="dxa"/>
            <w:vAlign w:val="top"/>
            <w:vMerge w:val="restart"/>
            <w:tcBorders>
              <w:bottom w:val="nil"/>
            </w:tcBorders>
          </w:tcPr>
          <w:p>
            <w:pPr>
              <w:pStyle w:val="TableText"/>
              <w:ind w:left="321"/>
              <w:spacing w:before="31" w:line="228" w:lineRule="auto"/>
              <w:rPr/>
            </w:pPr>
            <w:r>
              <w:rPr>
                <w:spacing w:val="4"/>
              </w:rPr>
              <w:t>除杂粉尘</w:t>
            </w:r>
          </w:p>
        </w:tc>
        <w:tc>
          <w:tcPr>
            <w:tcW w:w="11283" w:type="dxa"/>
            <w:vAlign w:val="top"/>
          </w:tcPr>
          <w:p>
            <w:pPr>
              <w:pStyle w:val="TableText"/>
              <w:ind w:left="18"/>
              <w:spacing w:before="31" w:line="217" w:lineRule="auto"/>
              <w:rPr/>
            </w:pPr>
            <w:r>
              <w:rPr>
                <w:spacing w:val="7"/>
              </w:rPr>
              <w:t>时加强车间通风。集气罩收集效率</w:t>
            </w:r>
            <w:r>
              <w:rPr>
                <w:spacing w:val="-39"/>
              </w:rPr>
              <w:t xml:space="preserve"> </w:t>
            </w:r>
            <w:r>
              <w:rPr>
                <w:rFonts w:ascii="Times New Roman" w:hAnsi="Times New Roman" w:eastAsia="Times New Roman" w:cs="Times New Roman"/>
                <w:spacing w:val="7"/>
              </w:rPr>
              <w:t>90%</w:t>
            </w:r>
            <w:r>
              <w:rPr>
                <w:rFonts w:ascii="Times New Roman" w:hAnsi="Times New Roman" w:eastAsia="Times New Roman" w:cs="Times New Roman"/>
                <w:spacing w:val="-24"/>
              </w:rPr>
              <w:t xml:space="preserve"> </w:t>
            </w:r>
            <w:r>
              <w:rPr>
                <w:spacing w:val="7"/>
              </w:rPr>
              <w:t>，布袋除尘器除尘效率</w:t>
            </w:r>
            <w:r>
              <w:rPr>
                <w:spacing w:val="-39"/>
              </w:rPr>
              <w:t xml:space="preserve"> </w:t>
            </w:r>
            <w:r>
              <w:rPr>
                <w:rFonts w:ascii="Times New Roman" w:hAnsi="Times New Roman" w:eastAsia="Times New Roman" w:cs="Times New Roman"/>
                <w:spacing w:val="7"/>
              </w:rPr>
              <w:t>99%</w:t>
            </w:r>
            <w:r>
              <w:rPr>
                <w:spacing w:val="7"/>
              </w:rPr>
              <w:t>。</w:t>
            </w:r>
          </w:p>
        </w:tc>
        <w:tc>
          <w:tcPr>
            <w:tcW w:w="1302" w:type="dxa"/>
            <w:vAlign w:val="top"/>
          </w:tcPr>
          <w:p>
            <w:pPr>
              <w:rPr>
                <w:rFonts w:ascii="Arial"/>
                <w:sz w:val="21"/>
              </w:rPr>
            </w:pPr>
            <w:r/>
          </w:p>
        </w:tc>
      </w:tr>
      <w:tr>
        <w:trPr>
          <w:trHeight w:val="549"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vMerge w:val="continue"/>
            <w:tcBorders>
              <w:top w:val="nil"/>
            </w:tcBorders>
          </w:tcPr>
          <w:p>
            <w:pPr>
              <w:rPr>
                <w:rFonts w:ascii="Arial"/>
                <w:sz w:val="21"/>
              </w:rPr>
            </w:pPr>
            <w:r/>
          </w:p>
        </w:tc>
        <w:tc>
          <w:tcPr>
            <w:tcW w:w="11283" w:type="dxa"/>
            <w:vAlign w:val="top"/>
          </w:tcPr>
          <w:p>
            <w:pPr>
              <w:pStyle w:val="TableText"/>
              <w:ind w:left="18" w:right="103" w:firstLine="415"/>
              <w:spacing w:before="34" w:line="233" w:lineRule="auto"/>
              <w:rPr/>
            </w:pPr>
            <w:r>
              <w:rPr>
                <w:spacing w:val="8"/>
              </w:rPr>
              <w:t>西厂区洗毛车间除杂粉尘经集气罩收集后，通过一套布袋除尘器处理，处理后通过</w:t>
            </w:r>
            <w:r>
              <w:rPr>
                <w:spacing w:val="-21"/>
              </w:rPr>
              <w:t xml:space="preserve"> </w:t>
            </w:r>
            <w:r>
              <w:rPr>
                <w:rFonts w:ascii="Times New Roman" w:hAnsi="Times New Roman" w:eastAsia="Times New Roman" w:cs="Times New Roman"/>
                <w:spacing w:val="8"/>
              </w:rPr>
              <w:t>15m </w:t>
            </w:r>
            <w:r>
              <w:rPr>
                <w:spacing w:val="8"/>
              </w:rPr>
              <w:t>高排气筒排放（</w:t>
            </w:r>
            <w:r>
              <w:rPr>
                <w:rFonts w:ascii="Times New Roman" w:hAnsi="Times New Roman" w:eastAsia="Times New Roman" w:cs="Times New Roman"/>
              </w:rPr>
              <w:t>DA</w:t>
            </w:r>
            <w:r>
              <w:rPr>
                <w:rFonts w:ascii="Times New Roman" w:hAnsi="Times New Roman" w:eastAsia="Times New Roman" w:cs="Times New Roman"/>
                <w:spacing w:val="8"/>
              </w:rPr>
              <w:t>002</w:t>
            </w:r>
            <w:r>
              <w:rPr>
                <w:spacing w:val="29"/>
              </w:rPr>
              <w:t>），</w:t>
            </w:r>
            <w:r>
              <w:rPr>
                <w:spacing w:val="8"/>
              </w:rPr>
              <w:t>同</w:t>
            </w:r>
            <w:r>
              <w:rPr/>
              <w:t xml:space="preserve"> </w:t>
            </w:r>
            <w:r>
              <w:rPr>
                <w:spacing w:val="7"/>
              </w:rPr>
              <w:t>时加强车间通风。集气罩收集效率</w:t>
            </w:r>
            <w:r>
              <w:rPr>
                <w:spacing w:val="-39"/>
              </w:rPr>
              <w:t xml:space="preserve"> </w:t>
            </w:r>
            <w:r>
              <w:rPr>
                <w:rFonts w:ascii="Times New Roman" w:hAnsi="Times New Roman" w:eastAsia="Times New Roman" w:cs="Times New Roman"/>
                <w:spacing w:val="7"/>
              </w:rPr>
              <w:t>90%</w:t>
            </w:r>
            <w:r>
              <w:rPr>
                <w:rFonts w:ascii="Times New Roman" w:hAnsi="Times New Roman" w:eastAsia="Times New Roman" w:cs="Times New Roman"/>
                <w:spacing w:val="-24"/>
              </w:rPr>
              <w:t xml:space="preserve"> </w:t>
            </w:r>
            <w:r>
              <w:rPr>
                <w:spacing w:val="7"/>
              </w:rPr>
              <w:t>，布袋除尘器除尘效率</w:t>
            </w:r>
            <w:r>
              <w:rPr>
                <w:spacing w:val="-39"/>
              </w:rPr>
              <w:t xml:space="preserve"> </w:t>
            </w:r>
            <w:r>
              <w:rPr>
                <w:rFonts w:ascii="Times New Roman" w:hAnsi="Times New Roman" w:eastAsia="Times New Roman" w:cs="Times New Roman"/>
                <w:spacing w:val="7"/>
              </w:rPr>
              <w:t>99%</w:t>
            </w:r>
            <w:r>
              <w:rPr>
                <w:spacing w:val="7"/>
              </w:rPr>
              <w:t>。</w:t>
            </w:r>
          </w:p>
        </w:tc>
        <w:tc>
          <w:tcPr>
            <w:tcW w:w="1302" w:type="dxa"/>
            <w:vAlign w:val="top"/>
          </w:tcPr>
          <w:p>
            <w:pPr>
              <w:pStyle w:val="TableText"/>
              <w:ind w:left="447"/>
              <w:spacing w:before="168" w:line="228" w:lineRule="auto"/>
              <w:rPr/>
            </w:pPr>
            <w:r>
              <w:rPr>
                <w:spacing w:val="4"/>
              </w:rPr>
              <w:t>新建</w:t>
            </w:r>
          </w:p>
        </w:tc>
      </w:tr>
      <w:tr>
        <w:trPr>
          <w:trHeight w:val="277"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96"/>
              <w:spacing w:before="30" w:line="218" w:lineRule="auto"/>
              <w:rPr/>
            </w:pPr>
            <w:r>
              <w:rPr>
                <w:spacing w:val="8"/>
              </w:rPr>
              <w:t>洗毛恶臭气体</w:t>
            </w:r>
          </w:p>
        </w:tc>
        <w:tc>
          <w:tcPr>
            <w:tcW w:w="11283" w:type="dxa"/>
            <w:vAlign w:val="top"/>
          </w:tcPr>
          <w:p>
            <w:pPr>
              <w:pStyle w:val="TableText"/>
              <w:ind w:left="427"/>
              <w:spacing w:before="30" w:line="218" w:lineRule="auto"/>
              <w:rPr/>
            </w:pPr>
            <w:r>
              <w:rPr>
                <w:spacing w:val="9"/>
              </w:rPr>
              <w:t>洗槽周边喷洒生物除臭剂，同时加强车间通风，废气无组织排放。</w:t>
            </w:r>
          </w:p>
        </w:tc>
        <w:tc>
          <w:tcPr>
            <w:tcW w:w="1302" w:type="dxa"/>
            <w:vAlign w:val="top"/>
          </w:tcPr>
          <w:p>
            <w:pPr>
              <w:pStyle w:val="TableText"/>
              <w:ind w:left="447"/>
              <w:spacing w:before="30" w:line="218" w:lineRule="auto"/>
              <w:rPr/>
            </w:pPr>
            <w:r>
              <w:rPr>
                <w:spacing w:val="4"/>
              </w:rPr>
              <w:t>新建</w:t>
            </w:r>
          </w:p>
        </w:tc>
      </w:tr>
      <w:tr>
        <w:trPr>
          <w:trHeight w:val="277"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96"/>
              <w:spacing w:before="33" w:line="216" w:lineRule="auto"/>
              <w:rPr/>
            </w:pPr>
            <w:r>
              <w:rPr>
                <w:spacing w:val="8"/>
              </w:rPr>
              <w:t>梳绒车间粉尘</w:t>
            </w:r>
          </w:p>
        </w:tc>
        <w:tc>
          <w:tcPr>
            <w:tcW w:w="11283" w:type="dxa"/>
            <w:vAlign w:val="top"/>
          </w:tcPr>
          <w:p>
            <w:pPr>
              <w:pStyle w:val="TableText"/>
              <w:ind w:left="427"/>
              <w:spacing w:before="33" w:line="216" w:lineRule="auto"/>
              <w:rPr/>
            </w:pPr>
            <w:r>
              <w:rPr>
                <w:spacing w:val="9"/>
              </w:rPr>
              <w:t>梳绒车间全封闭，设备自带滤袋梳绒，车间产生的颗粒物无组织排放。</w:t>
            </w:r>
          </w:p>
        </w:tc>
        <w:tc>
          <w:tcPr>
            <w:tcW w:w="1302" w:type="dxa"/>
            <w:vAlign w:val="top"/>
          </w:tcPr>
          <w:p>
            <w:pPr>
              <w:pStyle w:val="TableText"/>
              <w:ind w:left="447"/>
              <w:spacing w:before="33" w:line="216" w:lineRule="auto"/>
              <w:rPr/>
            </w:pPr>
            <w:r>
              <w:rPr>
                <w:spacing w:val="4"/>
              </w:rPr>
              <w:t>新建</w:t>
            </w:r>
          </w:p>
        </w:tc>
      </w:tr>
      <w:tr>
        <w:trPr>
          <w:trHeight w:val="550"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96"/>
              <w:spacing w:before="33" w:line="228" w:lineRule="auto"/>
              <w:rPr/>
            </w:pPr>
            <w:r>
              <w:rPr>
                <w:spacing w:val="8"/>
              </w:rPr>
              <w:t>废水收集池等</w:t>
            </w:r>
          </w:p>
          <w:p>
            <w:pPr>
              <w:pStyle w:val="TableText"/>
              <w:ind w:left="309"/>
              <w:spacing w:before="24" w:line="217" w:lineRule="auto"/>
              <w:rPr/>
            </w:pPr>
            <w:r>
              <w:rPr>
                <w:spacing w:val="7"/>
              </w:rPr>
              <w:t>恶臭气体</w:t>
            </w:r>
          </w:p>
        </w:tc>
        <w:tc>
          <w:tcPr>
            <w:tcW w:w="11283" w:type="dxa"/>
            <w:vAlign w:val="top"/>
          </w:tcPr>
          <w:p>
            <w:pPr>
              <w:pStyle w:val="TableText"/>
              <w:ind w:left="11" w:firstLine="419"/>
              <w:spacing w:before="32" w:line="234" w:lineRule="auto"/>
              <w:rPr/>
            </w:pPr>
            <w:r>
              <w:rPr>
                <w:spacing w:val="9"/>
              </w:rPr>
              <w:t>西厂区洗毛车间废水收集池、</w:t>
            </w:r>
            <w:r>
              <w:rPr>
                <w:rFonts w:ascii="Times New Roman" w:hAnsi="Times New Roman" w:eastAsia="Times New Roman" w:cs="Times New Roman"/>
              </w:rPr>
              <w:t>TS</w:t>
            </w:r>
            <w:r>
              <w:rPr>
                <w:rFonts w:ascii="Times New Roman" w:hAnsi="Times New Roman" w:eastAsia="Times New Roman" w:cs="Times New Roman"/>
                <w:spacing w:val="9"/>
              </w:rPr>
              <w:t xml:space="preserve"> </w:t>
            </w:r>
            <w:r>
              <w:rPr>
                <w:spacing w:val="9"/>
              </w:rPr>
              <w:t>调节池、固液分离池、</w:t>
            </w:r>
            <w:r>
              <w:rPr>
                <w:spacing w:val="8"/>
              </w:rPr>
              <w:t>沼液池等池体产生的恶臭气体经废气收集管道收集后，输送至</w:t>
            </w:r>
            <w:r>
              <w:rPr/>
              <w:t xml:space="preserve">  </w:t>
            </w:r>
            <w:r>
              <w:rPr>
                <w:spacing w:val="6"/>
              </w:rPr>
              <w:t>一套活性炭吸附装置处理，处理后通过</w:t>
            </w:r>
            <w:r>
              <w:rPr>
                <w:spacing w:val="-21"/>
              </w:rPr>
              <w:t xml:space="preserve"> </w:t>
            </w:r>
            <w:r>
              <w:rPr>
                <w:rFonts w:ascii="Times New Roman" w:hAnsi="Times New Roman" w:eastAsia="Times New Roman" w:cs="Times New Roman"/>
                <w:spacing w:val="6"/>
              </w:rPr>
              <w:t>15m</w:t>
            </w:r>
            <w:r>
              <w:rPr>
                <w:rFonts w:ascii="Times New Roman" w:hAnsi="Times New Roman" w:eastAsia="Times New Roman" w:cs="Times New Roman"/>
                <w:spacing w:val="15"/>
              </w:rPr>
              <w:t xml:space="preserve"> </w:t>
            </w:r>
            <w:r>
              <w:rPr>
                <w:spacing w:val="6"/>
              </w:rPr>
              <w:t>高排气筒排放（</w:t>
            </w:r>
            <w:r>
              <w:rPr>
                <w:rFonts w:ascii="Times New Roman" w:hAnsi="Times New Roman" w:eastAsia="Times New Roman" w:cs="Times New Roman"/>
              </w:rPr>
              <w:t>DA</w:t>
            </w:r>
            <w:r>
              <w:rPr>
                <w:rFonts w:ascii="Times New Roman" w:hAnsi="Times New Roman" w:eastAsia="Times New Roman" w:cs="Times New Roman"/>
                <w:spacing w:val="6"/>
              </w:rPr>
              <w:t>003</w:t>
            </w:r>
            <w:r>
              <w:rPr>
                <w:spacing w:val="6"/>
              </w:rPr>
              <w:t>）。活性炭恶臭气体去除效率</w:t>
            </w:r>
            <w:r>
              <w:rPr>
                <w:spacing w:val="-37"/>
              </w:rPr>
              <w:t xml:space="preserve"> </w:t>
            </w:r>
            <w:r>
              <w:rPr>
                <w:rFonts w:ascii="Times New Roman" w:hAnsi="Times New Roman" w:eastAsia="Times New Roman" w:cs="Times New Roman"/>
                <w:spacing w:val="5"/>
              </w:rPr>
              <w:t>90%</w:t>
            </w:r>
            <w:r>
              <w:rPr>
                <w:rFonts w:ascii="Times New Roman" w:hAnsi="Times New Roman" w:eastAsia="Times New Roman" w:cs="Times New Roman"/>
                <w:spacing w:val="-26"/>
              </w:rPr>
              <w:t xml:space="preserve"> </w:t>
            </w:r>
            <w:r>
              <w:rPr>
                <w:spacing w:val="5"/>
              </w:rPr>
              <w:t>，同时加强车间通风。</w:t>
            </w:r>
          </w:p>
        </w:tc>
        <w:tc>
          <w:tcPr>
            <w:tcW w:w="1302" w:type="dxa"/>
            <w:vAlign w:val="top"/>
          </w:tcPr>
          <w:p>
            <w:pPr>
              <w:pStyle w:val="TableText"/>
              <w:ind w:left="447"/>
              <w:spacing w:before="168" w:line="228" w:lineRule="auto"/>
              <w:rPr/>
            </w:pPr>
            <w:r>
              <w:rPr>
                <w:spacing w:val="4"/>
              </w:rPr>
              <w:t>新建</w:t>
            </w:r>
          </w:p>
        </w:tc>
      </w:tr>
      <w:tr>
        <w:trPr>
          <w:trHeight w:val="550"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98"/>
              <w:spacing w:before="32" w:line="227" w:lineRule="auto"/>
              <w:rPr/>
            </w:pPr>
            <w:r>
              <w:rPr>
                <w:spacing w:val="8"/>
              </w:rPr>
              <w:t>厌氧发酵罐区</w:t>
            </w:r>
          </w:p>
          <w:p>
            <w:pPr>
              <w:pStyle w:val="TableText"/>
              <w:ind w:left="309"/>
              <w:spacing w:before="24" w:line="218" w:lineRule="auto"/>
              <w:rPr/>
            </w:pPr>
            <w:r>
              <w:rPr>
                <w:spacing w:val="7"/>
              </w:rPr>
              <w:t>恶臭气体</w:t>
            </w:r>
          </w:p>
        </w:tc>
        <w:tc>
          <w:tcPr>
            <w:tcW w:w="11283" w:type="dxa"/>
            <w:vAlign w:val="top"/>
          </w:tcPr>
          <w:p>
            <w:pPr>
              <w:pStyle w:val="TableText"/>
              <w:ind w:left="427"/>
              <w:spacing w:before="167" w:line="225" w:lineRule="auto"/>
              <w:rPr/>
            </w:pPr>
            <w:r>
              <w:rPr>
                <w:spacing w:val="9"/>
              </w:rPr>
              <w:t>对厌氧发酵罐区等进行封闭，并喷洒生物除臭剂，加强车间通风，废气无组织排放。</w:t>
            </w:r>
          </w:p>
        </w:tc>
        <w:tc>
          <w:tcPr>
            <w:tcW w:w="1302" w:type="dxa"/>
            <w:vAlign w:val="top"/>
          </w:tcPr>
          <w:p>
            <w:pPr>
              <w:pStyle w:val="TableText"/>
              <w:ind w:left="447"/>
              <w:spacing w:before="167" w:line="228" w:lineRule="auto"/>
              <w:rPr/>
            </w:pPr>
            <w:r>
              <w:rPr>
                <w:spacing w:val="4"/>
              </w:rPr>
              <w:t>新建</w:t>
            </w:r>
          </w:p>
        </w:tc>
      </w:tr>
      <w:tr>
        <w:trPr>
          <w:trHeight w:val="549"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101"/>
              <w:spacing w:before="32" w:line="229" w:lineRule="auto"/>
              <w:rPr/>
            </w:pPr>
            <w:r>
              <w:rPr>
                <w:spacing w:val="7"/>
              </w:rPr>
              <w:t>沼渣晾晒区恶</w:t>
            </w:r>
          </w:p>
          <w:p>
            <w:pPr>
              <w:pStyle w:val="TableText"/>
              <w:ind w:left="411"/>
              <w:spacing w:before="23" w:line="217" w:lineRule="auto"/>
              <w:rPr/>
            </w:pPr>
            <w:r>
              <w:rPr>
                <w:spacing w:val="6"/>
              </w:rPr>
              <w:t>臭气体</w:t>
            </w:r>
          </w:p>
        </w:tc>
        <w:tc>
          <w:tcPr>
            <w:tcW w:w="11283" w:type="dxa"/>
            <w:vAlign w:val="top"/>
          </w:tcPr>
          <w:p>
            <w:pPr>
              <w:pStyle w:val="TableText"/>
              <w:ind w:left="438"/>
              <w:spacing w:before="167" w:line="225" w:lineRule="auto"/>
              <w:rPr/>
            </w:pPr>
            <w:r>
              <w:rPr>
                <w:spacing w:val="9"/>
              </w:rPr>
              <w:t>晾晒区封闭，喷洒生物除臭剂，同时加强通风，废气无组织</w:t>
            </w:r>
            <w:r>
              <w:rPr>
                <w:spacing w:val="8"/>
              </w:rPr>
              <w:t>排放。</w:t>
            </w:r>
          </w:p>
        </w:tc>
        <w:tc>
          <w:tcPr>
            <w:tcW w:w="1302" w:type="dxa"/>
            <w:vAlign w:val="top"/>
          </w:tcPr>
          <w:p>
            <w:pPr>
              <w:pStyle w:val="TableText"/>
              <w:ind w:left="447"/>
              <w:spacing w:before="167" w:line="228" w:lineRule="auto"/>
              <w:rPr/>
            </w:pPr>
            <w:r>
              <w:rPr>
                <w:spacing w:val="4"/>
              </w:rPr>
              <w:t>新建</w:t>
            </w:r>
          </w:p>
        </w:tc>
      </w:tr>
      <w:tr>
        <w:trPr>
          <w:trHeight w:val="278"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310"/>
              <w:spacing w:before="32" w:line="217" w:lineRule="auto"/>
              <w:rPr/>
            </w:pPr>
            <w:r>
              <w:rPr>
                <w:spacing w:val="6"/>
              </w:rPr>
              <w:t>餐饮油烟</w:t>
            </w:r>
          </w:p>
        </w:tc>
        <w:tc>
          <w:tcPr>
            <w:tcW w:w="11283" w:type="dxa"/>
            <w:vAlign w:val="top"/>
          </w:tcPr>
          <w:p>
            <w:pPr>
              <w:pStyle w:val="TableText"/>
              <w:ind w:left="433"/>
              <w:spacing w:before="32" w:line="217" w:lineRule="auto"/>
              <w:rPr/>
            </w:pPr>
            <w:r>
              <w:rPr>
                <w:spacing w:val="8"/>
              </w:rPr>
              <w:t>西厂区食堂设</w:t>
            </w:r>
            <w:r>
              <w:rPr>
                <w:spacing w:val="-21"/>
              </w:rPr>
              <w:t xml:space="preserve"> </w:t>
            </w:r>
            <w:r>
              <w:rPr>
                <w:rFonts w:ascii="Times New Roman" w:hAnsi="Times New Roman" w:eastAsia="Times New Roman" w:cs="Times New Roman"/>
                <w:spacing w:val="8"/>
              </w:rPr>
              <w:t>1</w:t>
            </w:r>
            <w:r>
              <w:rPr>
                <w:rFonts w:ascii="Times New Roman" w:hAnsi="Times New Roman" w:eastAsia="Times New Roman" w:cs="Times New Roman"/>
                <w:spacing w:val="28"/>
                <w:w w:val="101"/>
              </w:rPr>
              <w:t xml:space="preserve"> </w:t>
            </w:r>
            <w:r>
              <w:rPr>
                <w:spacing w:val="8"/>
              </w:rPr>
              <w:t>台油烟净化器，食堂油烟经净化后，</w:t>
            </w:r>
            <w:r>
              <w:rPr>
                <w:spacing w:val="7"/>
              </w:rPr>
              <w:t>通过独立烟道经楼顶排放。</w:t>
            </w:r>
          </w:p>
        </w:tc>
        <w:tc>
          <w:tcPr>
            <w:tcW w:w="1302" w:type="dxa"/>
            <w:vAlign w:val="top"/>
          </w:tcPr>
          <w:p>
            <w:pPr>
              <w:pStyle w:val="TableText"/>
              <w:ind w:left="447"/>
              <w:spacing w:before="32" w:line="217" w:lineRule="auto"/>
              <w:rPr/>
            </w:pPr>
            <w:r>
              <w:rPr>
                <w:spacing w:val="4"/>
              </w:rPr>
              <w:t>新建</w:t>
            </w:r>
          </w:p>
        </w:tc>
      </w:tr>
      <w:tr>
        <w:trPr>
          <w:trHeight w:val="277"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101"/>
              <w:spacing w:before="33" w:line="216" w:lineRule="auto"/>
              <w:rPr/>
            </w:pPr>
            <w:r>
              <w:rPr>
                <w:spacing w:val="7"/>
              </w:rPr>
              <w:t>沼气锅炉烟气</w:t>
            </w:r>
          </w:p>
        </w:tc>
        <w:tc>
          <w:tcPr>
            <w:tcW w:w="11283" w:type="dxa"/>
            <w:vAlign w:val="top"/>
          </w:tcPr>
          <w:p>
            <w:pPr>
              <w:pStyle w:val="TableText"/>
              <w:ind w:left="432"/>
              <w:spacing w:before="33" w:line="216" w:lineRule="auto"/>
              <w:rPr/>
            </w:pPr>
            <w:r>
              <w:rPr>
                <w:spacing w:val="8"/>
              </w:rPr>
              <w:t>沼气锅炉采用低氮燃烧技术，沼气锅炉烟气经</w:t>
            </w:r>
            <w:r>
              <w:rPr>
                <w:spacing w:val="-20"/>
              </w:rPr>
              <w:t xml:space="preserve"> </w:t>
            </w:r>
            <w:r>
              <w:rPr>
                <w:rFonts w:ascii="Times New Roman" w:hAnsi="Times New Roman" w:eastAsia="Times New Roman" w:cs="Times New Roman"/>
                <w:spacing w:val="8"/>
              </w:rPr>
              <w:t>10m </w:t>
            </w:r>
            <w:r>
              <w:rPr>
                <w:spacing w:val="8"/>
              </w:rPr>
              <w:t>高排气</w:t>
            </w:r>
            <w:r>
              <w:rPr>
                <w:spacing w:val="7"/>
              </w:rPr>
              <w:t>筒排放（</w:t>
            </w:r>
            <w:r>
              <w:rPr>
                <w:rFonts w:ascii="Times New Roman" w:hAnsi="Times New Roman" w:eastAsia="Times New Roman" w:cs="Times New Roman"/>
              </w:rPr>
              <w:t>DA</w:t>
            </w:r>
            <w:r>
              <w:rPr>
                <w:rFonts w:ascii="Times New Roman" w:hAnsi="Times New Roman" w:eastAsia="Times New Roman" w:cs="Times New Roman"/>
                <w:spacing w:val="7"/>
              </w:rPr>
              <w:t>004</w:t>
            </w:r>
            <w:r>
              <w:rPr>
                <w:spacing w:val="7"/>
              </w:rPr>
              <w:t>）。</w:t>
            </w:r>
          </w:p>
        </w:tc>
        <w:tc>
          <w:tcPr>
            <w:tcW w:w="1302" w:type="dxa"/>
            <w:vAlign w:val="top"/>
          </w:tcPr>
          <w:p>
            <w:pPr>
              <w:pStyle w:val="TableText"/>
              <w:ind w:left="447"/>
              <w:spacing w:before="33" w:line="216" w:lineRule="auto"/>
              <w:rPr/>
            </w:pPr>
            <w:r>
              <w:rPr>
                <w:spacing w:val="4"/>
              </w:rPr>
              <w:t>新建</w:t>
            </w:r>
          </w:p>
        </w:tc>
      </w:tr>
      <w:tr>
        <w:trPr>
          <w:trHeight w:val="550"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cBorders>
              <w:top w:val="nil"/>
            </w:tcBorders>
          </w:tcPr>
          <w:p>
            <w:pPr>
              <w:rPr>
                <w:rFonts w:ascii="Arial"/>
                <w:sz w:val="21"/>
              </w:rPr>
            </w:pPr>
            <w:r/>
          </w:p>
        </w:tc>
        <w:tc>
          <w:tcPr>
            <w:tcW w:w="1450" w:type="dxa"/>
            <w:vAlign w:val="top"/>
          </w:tcPr>
          <w:p>
            <w:pPr>
              <w:pStyle w:val="TableText"/>
              <w:ind w:left="99"/>
              <w:spacing w:before="34" w:line="228" w:lineRule="auto"/>
              <w:rPr/>
            </w:pPr>
            <w:r>
              <w:rPr>
                <w:spacing w:val="7"/>
              </w:rPr>
              <w:t>生物质锅炉烟</w:t>
            </w:r>
          </w:p>
          <w:p>
            <w:pPr>
              <w:pStyle w:val="TableText"/>
              <w:ind w:left="623"/>
              <w:spacing w:before="24" w:line="216" w:lineRule="auto"/>
              <w:rPr/>
            </w:pPr>
            <w:r>
              <w:rPr/>
              <w:t>气</w:t>
            </w:r>
          </w:p>
        </w:tc>
        <w:tc>
          <w:tcPr>
            <w:tcW w:w="11283" w:type="dxa"/>
            <w:vAlign w:val="top"/>
          </w:tcPr>
          <w:p>
            <w:pPr>
              <w:pStyle w:val="TableText"/>
              <w:ind w:left="430"/>
              <w:spacing w:before="168" w:line="227" w:lineRule="auto"/>
              <w:rPr/>
            </w:pPr>
            <w:r>
              <w:rPr>
                <w:spacing w:val="9"/>
              </w:rPr>
              <w:t>生物质锅炉烟气采用陶瓷多管除尘器</w:t>
            </w:r>
            <w:r>
              <w:rPr>
                <w:rFonts w:ascii="Times New Roman" w:hAnsi="Times New Roman" w:eastAsia="Times New Roman" w:cs="Times New Roman"/>
                <w:spacing w:val="9"/>
              </w:rPr>
              <w:t>+</w:t>
            </w:r>
            <w:r>
              <w:rPr>
                <w:spacing w:val="9"/>
              </w:rPr>
              <w:t>布袋除尘器</w:t>
            </w:r>
            <w:r>
              <w:rPr>
                <w:rFonts w:ascii="Times New Roman" w:hAnsi="Times New Roman" w:eastAsia="Times New Roman" w:cs="Times New Roman"/>
                <w:spacing w:val="9"/>
              </w:rPr>
              <w:t>+</w:t>
            </w:r>
            <w:r>
              <w:rPr>
                <w:spacing w:val="9"/>
              </w:rPr>
              <w:t>水浴除尘，烟气经处理</w:t>
            </w:r>
            <w:r>
              <w:rPr>
                <w:spacing w:val="8"/>
              </w:rPr>
              <w:t>后通过</w:t>
            </w:r>
            <w:r>
              <w:rPr>
                <w:spacing w:val="-36"/>
              </w:rPr>
              <w:t xml:space="preserve"> </w:t>
            </w:r>
            <w:r>
              <w:rPr>
                <w:rFonts w:ascii="Times New Roman" w:hAnsi="Times New Roman" w:eastAsia="Times New Roman" w:cs="Times New Roman"/>
                <w:spacing w:val="8"/>
              </w:rPr>
              <w:t>35m </w:t>
            </w:r>
            <w:r>
              <w:rPr>
                <w:spacing w:val="8"/>
              </w:rPr>
              <w:t>高排气筒排放（</w:t>
            </w:r>
            <w:r>
              <w:rPr>
                <w:rFonts w:ascii="Times New Roman" w:hAnsi="Times New Roman" w:eastAsia="Times New Roman" w:cs="Times New Roman"/>
              </w:rPr>
              <w:t>DA</w:t>
            </w:r>
            <w:r>
              <w:rPr>
                <w:rFonts w:ascii="Times New Roman" w:hAnsi="Times New Roman" w:eastAsia="Times New Roman" w:cs="Times New Roman"/>
                <w:spacing w:val="8"/>
              </w:rPr>
              <w:t>005</w:t>
            </w:r>
            <w:r>
              <w:rPr>
                <w:spacing w:val="8"/>
              </w:rPr>
              <w:t>）。</w:t>
            </w:r>
          </w:p>
        </w:tc>
        <w:tc>
          <w:tcPr>
            <w:tcW w:w="1302" w:type="dxa"/>
            <w:vAlign w:val="top"/>
          </w:tcPr>
          <w:p>
            <w:pPr>
              <w:pStyle w:val="TableText"/>
              <w:ind w:left="447"/>
              <w:spacing w:before="169" w:line="228" w:lineRule="auto"/>
              <w:rPr/>
            </w:pPr>
            <w:r>
              <w:rPr>
                <w:spacing w:val="4"/>
              </w:rPr>
              <w:t>新建</w:t>
            </w:r>
          </w:p>
        </w:tc>
      </w:tr>
      <w:tr>
        <w:trPr>
          <w:trHeight w:val="1638"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restart"/>
            <w:textDirection w:val="tbRlV"/>
            <w:tcBorders>
              <w:bottom w:val="nil"/>
            </w:tcBorders>
          </w:tcPr>
          <w:p>
            <w:pPr>
              <w:pStyle w:val="TableText"/>
              <w:ind w:left="991"/>
              <w:spacing w:before="241" w:line="216" w:lineRule="auto"/>
              <w:rPr/>
            </w:pPr>
            <w:r>
              <w:rPr>
                <w:spacing w:val="8"/>
              </w:rPr>
              <w:t>废</w:t>
            </w:r>
            <w:r>
              <w:rPr>
                <w:spacing w:val="-38"/>
              </w:rPr>
              <w:t xml:space="preserve"> </w:t>
            </w:r>
            <w:r>
              <w:rPr>
                <w:spacing w:val="8"/>
              </w:rPr>
              <w:t>水</w:t>
            </w:r>
          </w:p>
        </w:tc>
        <w:tc>
          <w:tcPr>
            <w:tcW w:w="1450" w:type="dxa"/>
            <w:vAlign w:val="top"/>
          </w:tcPr>
          <w:p>
            <w:pPr>
              <w:spacing w:line="321" w:lineRule="auto"/>
              <w:rPr>
                <w:rFonts w:ascii="Arial"/>
                <w:sz w:val="21"/>
              </w:rPr>
            </w:pPr>
            <w:r/>
          </w:p>
          <w:p>
            <w:pPr>
              <w:spacing w:line="322" w:lineRule="auto"/>
              <w:rPr>
                <w:rFonts w:ascii="Arial"/>
                <w:sz w:val="21"/>
              </w:rPr>
            </w:pPr>
            <w:r/>
          </w:p>
          <w:p>
            <w:pPr>
              <w:pStyle w:val="TableText"/>
              <w:ind w:left="310"/>
              <w:spacing w:before="65" w:line="228" w:lineRule="auto"/>
              <w:rPr/>
            </w:pPr>
            <w:r>
              <w:rPr>
                <w:spacing w:val="6"/>
              </w:rPr>
              <w:t>生活污水</w:t>
            </w:r>
          </w:p>
        </w:tc>
        <w:tc>
          <w:tcPr>
            <w:tcW w:w="11283" w:type="dxa"/>
            <w:vAlign w:val="top"/>
          </w:tcPr>
          <w:p>
            <w:pPr>
              <w:pStyle w:val="TableText"/>
              <w:ind w:left="20" w:right="2" w:firstLine="411"/>
              <w:spacing w:before="32" w:line="251" w:lineRule="auto"/>
              <w:rPr/>
            </w:pPr>
            <w:r>
              <w:rPr>
                <w:spacing w:val="9"/>
              </w:rPr>
              <w:t>项目东厂区和西厂区员工洗浴废水通过独立管道系统排入市</w:t>
            </w:r>
            <w:r>
              <w:rPr>
                <w:spacing w:val="8"/>
              </w:rPr>
              <w:t>政污水管网，进入明安图镇污水处理厂。西厂区食堂废水经</w:t>
            </w:r>
            <w:r>
              <w:rPr/>
              <w:t xml:space="preserve"> </w:t>
            </w:r>
            <w:r>
              <w:rPr>
                <w:spacing w:val="9"/>
              </w:rPr>
              <w:t>隔油池处理后，与洗浴废水一同通过独立管道系统排入市政污水管网，进入明安图镇污水处理厂。</w:t>
            </w:r>
          </w:p>
          <w:p>
            <w:pPr>
              <w:pStyle w:val="TableText"/>
              <w:ind w:left="9" w:right="1" w:firstLine="424"/>
              <w:spacing w:before="3" w:line="242" w:lineRule="auto"/>
              <w:jc w:val="both"/>
              <w:rPr/>
            </w:pPr>
            <w:r>
              <w:rPr>
                <w:spacing w:val="8"/>
              </w:rPr>
              <w:t>西厂区冲厕水经独立管道排入化粪池（容积</w:t>
            </w:r>
            <w:r>
              <w:rPr>
                <w:spacing w:val="-28"/>
              </w:rPr>
              <w:t xml:space="preserve"> </w:t>
            </w:r>
            <w:r>
              <w:rPr>
                <w:rFonts w:ascii="Times New Roman" w:hAnsi="Times New Roman" w:eastAsia="Times New Roman" w:cs="Times New Roman"/>
                <w:spacing w:val="8"/>
              </w:rPr>
              <w:t>30m</w:t>
            </w:r>
            <w:r>
              <w:rPr>
                <w:rFonts w:ascii="Times New Roman" w:hAnsi="Times New Roman" w:eastAsia="Times New Roman" w:cs="Times New Roman"/>
                <w:sz w:val="13"/>
                <w:szCs w:val="13"/>
                <w:spacing w:val="8"/>
                <w:position w:val="6"/>
              </w:rPr>
              <w:t>3 </w:t>
            </w:r>
            <w:r>
              <w:rPr>
                <w:spacing w:val="8"/>
              </w:rPr>
              <w:t>）预处理后，输送至西厂区废水收集池与洗毛废水混合，然后进入</w:t>
            </w:r>
            <w:r>
              <w:rPr>
                <w:spacing w:val="-41"/>
              </w:rPr>
              <w:t xml:space="preserve"> </w:t>
            </w:r>
            <w:r>
              <w:rPr>
                <w:rFonts w:ascii="Times New Roman" w:hAnsi="Times New Roman" w:eastAsia="Times New Roman" w:cs="Times New Roman"/>
              </w:rPr>
              <w:t>TS </w:t>
            </w:r>
            <w:r>
              <w:rPr>
                <w:spacing w:val="9"/>
              </w:rPr>
              <w:t>调节池调质后进入厌氧发酵装置，厌氧发酵达到沼肥标准后还田利用（自用</w:t>
            </w:r>
            <w:r>
              <w:rPr>
                <w:spacing w:val="8"/>
              </w:rPr>
              <w:t>）。东厂区冲厕水与洗毛废水一起进入东厂区洗</w:t>
            </w:r>
            <w:r>
              <w:rPr/>
              <w:t xml:space="preserve"> </w:t>
            </w:r>
            <w:r>
              <w:rPr>
                <w:spacing w:val="9"/>
              </w:rPr>
              <w:t>毛废水收集池（</w:t>
            </w:r>
            <w:r>
              <w:rPr>
                <w:rFonts w:ascii="Times New Roman" w:hAnsi="Times New Roman" w:eastAsia="Times New Roman" w:cs="Times New Roman"/>
                <w:spacing w:val="9"/>
              </w:rPr>
              <w:t>10m</w:t>
            </w:r>
            <w:r>
              <w:rPr>
                <w:rFonts w:ascii="Times New Roman" w:hAnsi="Times New Roman" w:eastAsia="Times New Roman" w:cs="Times New Roman"/>
                <w:sz w:val="13"/>
                <w:szCs w:val="13"/>
                <w:spacing w:val="9"/>
                <w:position w:val="6"/>
              </w:rPr>
              <w:t>3 </w:t>
            </w:r>
            <w:r>
              <w:rPr>
                <w:spacing w:val="2"/>
              </w:rPr>
              <w:t>），</w:t>
            </w:r>
            <w:r>
              <w:rPr>
                <w:spacing w:val="9"/>
              </w:rPr>
              <w:t>然后通过管道输送至西厂区废水收集池，</w:t>
            </w:r>
            <w:r>
              <w:rPr>
                <w:rFonts w:ascii="Times New Roman" w:hAnsi="Times New Roman" w:eastAsia="Times New Roman" w:cs="Times New Roman"/>
              </w:rPr>
              <w:t>TS</w:t>
            </w:r>
            <w:r>
              <w:rPr>
                <w:rFonts w:ascii="Times New Roman" w:hAnsi="Times New Roman" w:eastAsia="Times New Roman" w:cs="Times New Roman"/>
                <w:spacing w:val="9"/>
              </w:rPr>
              <w:t xml:space="preserve"> </w:t>
            </w:r>
            <w:r>
              <w:rPr>
                <w:spacing w:val="9"/>
              </w:rPr>
              <w:t>调节池调质后进入厌氧发酵装置，厌氧发酵达到沼肥</w:t>
            </w:r>
            <w:r>
              <w:rPr/>
              <w:t xml:space="preserve"> </w:t>
            </w:r>
            <w:r>
              <w:rPr>
                <w:spacing w:val="7"/>
              </w:rPr>
              <w:t>标准后还田利用（自用）。</w:t>
            </w:r>
          </w:p>
        </w:tc>
        <w:tc>
          <w:tcPr>
            <w:tcW w:w="1302" w:type="dxa"/>
            <w:vAlign w:val="top"/>
          </w:tcPr>
          <w:p>
            <w:pPr>
              <w:spacing w:line="322" w:lineRule="auto"/>
              <w:rPr>
                <w:rFonts w:ascii="Arial"/>
                <w:sz w:val="21"/>
              </w:rPr>
            </w:pPr>
            <w:r/>
          </w:p>
          <w:p>
            <w:pPr>
              <w:spacing w:line="322" w:lineRule="auto"/>
              <w:rPr>
                <w:rFonts w:ascii="Arial"/>
                <w:sz w:val="21"/>
              </w:rPr>
            </w:pPr>
            <w:r/>
          </w:p>
          <w:p>
            <w:pPr>
              <w:pStyle w:val="TableText"/>
              <w:ind w:left="447"/>
              <w:spacing w:before="65" w:line="228" w:lineRule="auto"/>
              <w:rPr/>
            </w:pPr>
            <w:r>
              <w:rPr>
                <w:spacing w:val="4"/>
              </w:rPr>
              <w:t>新建</w:t>
            </w:r>
          </w:p>
        </w:tc>
      </w:tr>
      <w:tr>
        <w:trPr>
          <w:trHeight w:val="821"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extDirection w:val="tbRlV"/>
            <w:tcBorders>
              <w:top w:val="nil"/>
            </w:tcBorders>
          </w:tcPr>
          <w:p>
            <w:pPr>
              <w:rPr>
                <w:rFonts w:ascii="Arial"/>
                <w:sz w:val="21"/>
              </w:rPr>
            </w:pPr>
            <w:r/>
          </w:p>
        </w:tc>
        <w:tc>
          <w:tcPr>
            <w:tcW w:w="1450" w:type="dxa"/>
            <w:vAlign w:val="top"/>
          </w:tcPr>
          <w:p>
            <w:pPr>
              <w:pStyle w:val="TableText"/>
              <w:ind w:left="310"/>
              <w:spacing w:before="305" w:line="228" w:lineRule="auto"/>
              <w:rPr/>
            </w:pPr>
            <w:r>
              <w:rPr>
                <w:spacing w:val="6"/>
              </w:rPr>
              <w:t>生产废水</w:t>
            </w:r>
          </w:p>
        </w:tc>
        <w:tc>
          <w:tcPr>
            <w:tcW w:w="11283" w:type="dxa"/>
            <w:vAlign w:val="top"/>
          </w:tcPr>
          <w:p>
            <w:pPr>
              <w:pStyle w:val="TableText"/>
              <w:ind w:left="8" w:right="2" w:firstLine="419"/>
              <w:spacing w:before="31"/>
              <w:jc w:val="both"/>
              <w:rPr/>
            </w:pPr>
            <w:r>
              <w:rPr>
                <w:spacing w:val="10"/>
              </w:rPr>
              <w:t>洗毛废水、地面冲洗废水经废水收集池收集、</w:t>
            </w:r>
            <w:r>
              <w:rPr>
                <w:rFonts w:ascii="Times New Roman" w:hAnsi="Times New Roman" w:eastAsia="Times New Roman" w:cs="Times New Roman"/>
              </w:rPr>
              <w:t>TS</w:t>
            </w:r>
            <w:r>
              <w:rPr>
                <w:rFonts w:ascii="Times New Roman" w:hAnsi="Times New Roman" w:eastAsia="Times New Roman" w:cs="Times New Roman"/>
                <w:spacing w:val="10"/>
              </w:rPr>
              <w:t xml:space="preserve"> </w:t>
            </w:r>
            <w:r>
              <w:rPr>
                <w:spacing w:val="10"/>
              </w:rPr>
              <w:t>调节池调质后进入厌氧发酵装置，厌氧发酵达到沼肥</w:t>
            </w:r>
            <w:r>
              <w:rPr>
                <w:spacing w:val="9"/>
              </w:rPr>
              <w:t>标准后还田利用</w:t>
            </w:r>
            <w:r>
              <w:rPr/>
              <w:t xml:space="preserve"> </w:t>
            </w:r>
            <w:r>
              <w:rPr>
                <w:spacing w:val="9"/>
              </w:rPr>
              <w:t>（自用</w:t>
            </w:r>
            <w:r>
              <w:rPr/>
              <w:t>）；</w:t>
            </w:r>
            <w:r>
              <w:rPr>
                <w:spacing w:val="9"/>
              </w:rPr>
              <w:t>纯水制备排污及锅炉排污用作锅炉草木灰抑尘及厂区内道路抑尘用水，多于部分外排市政污水管网，进入明</w:t>
            </w:r>
            <w:r>
              <w:rPr>
                <w:spacing w:val="8"/>
              </w:rPr>
              <w:t>安图</w:t>
            </w:r>
            <w:r>
              <w:rPr/>
              <w:t xml:space="preserve"> </w:t>
            </w:r>
            <w:r>
              <w:rPr>
                <w:spacing w:val="7"/>
              </w:rPr>
              <w:t>镇污水处理厂。</w:t>
            </w:r>
          </w:p>
        </w:tc>
        <w:tc>
          <w:tcPr>
            <w:tcW w:w="1302" w:type="dxa"/>
            <w:vAlign w:val="top"/>
          </w:tcPr>
          <w:p>
            <w:pPr>
              <w:pStyle w:val="TableText"/>
              <w:ind w:left="447"/>
              <w:spacing w:before="306" w:line="228" w:lineRule="auto"/>
              <w:rPr/>
            </w:pPr>
            <w:r>
              <w:rPr>
                <w:spacing w:val="4"/>
              </w:rPr>
              <w:t>新建</w:t>
            </w:r>
          </w:p>
        </w:tc>
      </w:tr>
      <w:tr>
        <w:trPr>
          <w:trHeight w:val="549"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textDirection w:val="tbRlV"/>
          </w:tcPr>
          <w:p>
            <w:pPr>
              <w:pStyle w:val="TableText"/>
              <w:ind w:left="34"/>
              <w:spacing w:before="240" w:line="213" w:lineRule="auto"/>
              <w:rPr/>
            </w:pPr>
            <w:r>
              <w:rPr>
                <w:spacing w:val="8"/>
              </w:rPr>
              <w:t>噪</w:t>
            </w:r>
            <w:r>
              <w:rPr>
                <w:spacing w:val="-38"/>
              </w:rPr>
              <w:t xml:space="preserve"> </w:t>
            </w:r>
            <w:r>
              <w:rPr>
                <w:spacing w:val="8"/>
              </w:rPr>
              <w:t>声</w:t>
            </w:r>
          </w:p>
        </w:tc>
        <w:tc>
          <w:tcPr>
            <w:tcW w:w="1450" w:type="dxa"/>
            <w:vAlign w:val="top"/>
          </w:tcPr>
          <w:p>
            <w:pPr>
              <w:pStyle w:val="TableText"/>
              <w:ind w:left="100"/>
              <w:spacing w:before="168" w:line="226" w:lineRule="auto"/>
              <w:rPr/>
            </w:pPr>
            <w:r>
              <w:rPr>
                <w:spacing w:val="7"/>
              </w:rPr>
              <w:t>设备运转噪声</w:t>
            </w:r>
          </w:p>
        </w:tc>
        <w:tc>
          <w:tcPr>
            <w:tcW w:w="11283" w:type="dxa"/>
            <w:vAlign w:val="top"/>
          </w:tcPr>
          <w:p>
            <w:pPr>
              <w:pStyle w:val="TableText"/>
              <w:ind w:left="438"/>
              <w:spacing w:before="168" w:line="227" w:lineRule="auto"/>
              <w:rPr/>
            </w:pPr>
            <w:r>
              <w:rPr>
                <w:spacing w:val="9"/>
              </w:rPr>
              <w:t>噪声设备、泵类通过减振、建筑隔声，风机安装消声器，空压站采用墙体隔声等。</w:t>
            </w:r>
          </w:p>
        </w:tc>
        <w:tc>
          <w:tcPr>
            <w:tcW w:w="1302" w:type="dxa"/>
            <w:vAlign w:val="top"/>
          </w:tcPr>
          <w:p>
            <w:pPr>
              <w:pStyle w:val="TableText"/>
              <w:ind w:left="447"/>
              <w:spacing w:before="169" w:line="228" w:lineRule="auto"/>
              <w:rPr/>
            </w:pPr>
            <w:r>
              <w:rPr>
                <w:spacing w:val="4"/>
              </w:rPr>
              <w:t>新建</w:t>
            </w:r>
          </w:p>
        </w:tc>
      </w:tr>
      <w:tr>
        <w:trPr>
          <w:trHeight w:val="277"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restart"/>
            <w:textDirection w:val="tbRlV"/>
            <w:tcBorders>
              <w:bottom w:val="nil"/>
            </w:tcBorders>
          </w:tcPr>
          <w:p>
            <w:pPr>
              <w:pStyle w:val="TableText"/>
              <w:ind w:left="181"/>
              <w:spacing w:before="241" w:line="217" w:lineRule="auto"/>
              <w:rPr/>
            </w:pPr>
            <w:r>
              <w:rPr>
                <w:spacing w:val="8"/>
              </w:rPr>
              <w:t>固</w:t>
            </w:r>
            <w:r>
              <w:rPr>
                <w:spacing w:val="-38"/>
              </w:rPr>
              <w:t xml:space="preserve"> </w:t>
            </w:r>
            <w:r>
              <w:rPr>
                <w:spacing w:val="8"/>
              </w:rPr>
              <w:t>废</w:t>
            </w:r>
          </w:p>
        </w:tc>
        <w:tc>
          <w:tcPr>
            <w:tcW w:w="1450" w:type="dxa"/>
            <w:vAlign w:val="top"/>
          </w:tcPr>
          <w:p>
            <w:pPr>
              <w:pStyle w:val="TableText"/>
              <w:ind w:left="307"/>
              <w:spacing w:before="35" w:line="214" w:lineRule="auto"/>
              <w:rPr/>
            </w:pPr>
            <w:r>
              <w:rPr>
                <w:spacing w:val="7"/>
              </w:rPr>
              <w:t>废包装物</w:t>
            </w:r>
          </w:p>
        </w:tc>
        <w:tc>
          <w:tcPr>
            <w:tcW w:w="11283" w:type="dxa"/>
            <w:vAlign w:val="top"/>
          </w:tcPr>
          <w:p>
            <w:pPr>
              <w:pStyle w:val="TableText"/>
              <w:ind w:left="427"/>
              <w:spacing w:before="35" w:line="214" w:lineRule="auto"/>
              <w:rPr/>
            </w:pPr>
            <w:r>
              <w:rPr>
                <w:spacing w:val="9"/>
              </w:rPr>
              <w:t>在一般固废暂存间内扎捆暂存，外售废品回收企业综合利用。</w:t>
            </w:r>
          </w:p>
        </w:tc>
        <w:tc>
          <w:tcPr>
            <w:tcW w:w="1302" w:type="dxa"/>
            <w:vAlign w:val="top"/>
          </w:tcPr>
          <w:p>
            <w:pPr>
              <w:pStyle w:val="TableText"/>
              <w:ind w:left="447"/>
              <w:spacing w:before="35" w:line="214" w:lineRule="auto"/>
              <w:rPr/>
            </w:pPr>
            <w:r>
              <w:rPr>
                <w:spacing w:val="4"/>
              </w:rPr>
              <w:t>新建</w:t>
            </w:r>
          </w:p>
        </w:tc>
      </w:tr>
      <w:tr>
        <w:trPr>
          <w:trHeight w:val="277" w:hRule="atLeast"/>
        </w:trPr>
        <w:tc>
          <w:tcPr>
            <w:tcW w:w="398" w:type="dxa"/>
            <w:vAlign w:val="top"/>
            <w:vMerge w:val="continue"/>
            <w:textDirection w:val="tbRlV"/>
            <w:tcBorders>
              <w:top w:val="nil"/>
              <w:bottom w:val="nil"/>
            </w:tcBorders>
          </w:tcPr>
          <w:p>
            <w:pPr>
              <w:rPr>
                <w:rFonts w:ascii="Arial"/>
                <w:sz w:val="21"/>
              </w:rPr>
            </w:pPr>
            <w:r/>
          </w:p>
        </w:tc>
        <w:tc>
          <w:tcPr>
            <w:tcW w:w="690" w:type="dxa"/>
            <w:vAlign w:val="top"/>
            <w:vMerge w:val="continue"/>
            <w:textDirection w:val="tbRlV"/>
            <w:tcBorders>
              <w:top w:val="nil"/>
              <w:bottom w:val="nil"/>
            </w:tcBorders>
          </w:tcPr>
          <w:p>
            <w:pPr>
              <w:rPr>
                <w:rFonts w:ascii="Arial"/>
                <w:sz w:val="21"/>
              </w:rPr>
            </w:pPr>
            <w:r/>
          </w:p>
        </w:tc>
        <w:tc>
          <w:tcPr>
            <w:tcW w:w="1450" w:type="dxa"/>
            <w:vAlign w:val="top"/>
          </w:tcPr>
          <w:p>
            <w:pPr>
              <w:pStyle w:val="TableText"/>
              <w:ind w:left="311"/>
              <w:spacing w:before="36" w:line="213" w:lineRule="auto"/>
              <w:rPr/>
            </w:pPr>
            <w:r>
              <w:rPr>
                <w:spacing w:val="6"/>
              </w:rPr>
              <w:t>分选杂质</w:t>
            </w:r>
          </w:p>
        </w:tc>
        <w:tc>
          <w:tcPr>
            <w:tcW w:w="11283" w:type="dxa"/>
            <w:vAlign w:val="top"/>
          </w:tcPr>
          <w:p>
            <w:pPr>
              <w:pStyle w:val="TableText"/>
              <w:ind w:left="430"/>
              <w:spacing w:before="36" w:line="213" w:lineRule="auto"/>
              <w:rPr/>
            </w:pPr>
            <w:r>
              <w:rPr>
                <w:spacing w:val="9"/>
              </w:rPr>
              <w:t>主要为人工分选砂石、木块等，委托当地环卫部门清运处理。</w:t>
            </w:r>
          </w:p>
        </w:tc>
        <w:tc>
          <w:tcPr>
            <w:tcW w:w="1302" w:type="dxa"/>
            <w:vAlign w:val="top"/>
          </w:tcPr>
          <w:p>
            <w:pPr>
              <w:pStyle w:val="TableText"/>
              <w:ind w:left="447"/>
              <w:spacing w:before="36" w:line="213" w:lineRule="auto"/>
              <w:rPr/>
            </w:pPr>
            <w:r>
              <w:rPr>
                <w:spacing w:val="4"/>
              </w:rPr>
              <w:t>新建</w:t>
            </w:r>
          </w:p>
        </w:tc>
      </w:tr>
      <w:tr>
        <w:trPr>
          <w:trHeight w:val="280" w:hRule="atLeast"/>
        </w:trPr>
        <w:tc>
          <w:tcPr>
            <w:tcW w:w="398" w:type="dxa"/>
            <w:vAlign w:val="top"/>
            <w:vMerge w:val="continue"/>
            <w:textDirection w:val="tbRlV"/>
            <w:tcBorders>
              <w:top w:val="nil"/>
            </w:tcBorders>
          </w:tcPr>
          <w:p>
            <w:pPr>
              <w:rPr>
                <w:rFonts w:ascii="Arial"/>
                <w:sz w:val="21"/>
              </w:rPr>
            </w:pPr>
            <w:r/>
          </w:p>
        </w:tc>
        <w:tc>
          <w:tcPr>
            <w:tcW w:w="690" w:type="dxa"/>
            <w:vAlign w:val="top"/>
            <w:vMerge w:val="continue"/>
            <w:textDirection w:val="tbRlV"/>
            <w:tcBorders>
              <w:top w:val="nil"/>
            </w:tcBorders>
          </w:tcPr>
          <w:p>
            <w:pPr>
              <w:rPr>
                <w:rFonts w:ascii="Arial"/>
                <w:sz w:val="21"/>
              </w:rPr>
            </w:pPr>
            <w:r/>
          </w:p>
        </w:tc>
        <w:tc>
          <w:tcPr>
            <w:tcW w:w="1450" w:type="dxa"/>
            <w:vAlign w:val="top"/>
          </w:tcPr>
          <w:p>
            <w:pPr>
              <w:pStyle w:val="TableText"/>
              <w:ind w:left="309"/>
              <w:spacing w:before="37" w:line="215" w:lineRule="auto"/>
              <w:rPr/>
            </w:pPr>
            <w:r>
              <w:rPr>
                <w:spacing w:val="7"/>
              </w:rPr>
              <w:t>开松杂质</w:t>
            </w:r>
          </w:p>
        </w:tc>
        <w:tc>
          <w:tcPr>
            <w:tcW w:w="11283" w:type="dxa"/>
            <w:vAlign w:val="top"/>
          </w:tcPr>
          <w:p>
            <w:pPr>
              <w:pStyle w:val="TableText"/>
              <w:ind w:right="2"/>
              <w:spacing w:before="37" w:line="215" w:lineRule="auto"/>
              <w:jc w:val="right"/>
              <w:rPr/>
            </w:pPr>
            <w:r>
              <w:rPr>
                <w:spacing w:val="9"/>
              </w:rPr>
              <w:t>主要为羊粪、杂草，在一般固废暂存间内袋装暂存，定期外运内</w:t>
            </w:r>
            <w:r>
              <w:rPr>
                <w:spacing w:val="8"/>
              </w:rPr>
              <w:t>蒙古盎然农业发展有限公司有机肥厂做有机肥，待内蒙</w:t>
            </w:r>
          </w:p>
        </w:tc>
        <w:tc>
          <w:tcPr>
            <w:tcW w:w="1302" w:type="dxa"/>
            <w:vAlign w:val="top"/>
          </w:tcPr>
          <w:p>
            <w:pPr>
              <w:pStyle w:val="TableText"/>
              <w:ind w:left="447"/>
              <w:spacing w:before="37" w:line="215" w:lineRule="auto"/>
              <w:rPr/>
            </w:pPr>
            <w:r>
              <w:rPr>
                <w:spacing w:val="4"/>
              </w:rPr>
              <w:t>新建</w:t>
            </w:r>
          </w:p>
        </w:tc>
      </w:tr>
    </w:tbl>
    <w:p>
      <w:pPr>
        <w:pStyle w:val="BodyText"/>
        <w:spacing w:line="76" w:lineRule="exact"/>
        <w:rPr>
          <w:sz w:val="6"/>
        </w:rPr>
      </w:pPr>
      <w:r/>
    </w:p>
    <w:p>
      <w:pPr>
        <w:spacing w:line="76" w:lineRule="exact"/>
        <w:sectPr>
          <w:footerReference w:type="default" r:id="rId65"/>
          <w:pgSz w:w="16840" w:h="11907"/>
          <w:pgMar w:top="1567" w:right="856" w:bottom="1480" w:left="855" w:header="1221" w:footer="1249" w:gutter="0"/>
        </w:sectPr>
        <w:rPr>
          <w:sz w:val="6"/>
          <w:szCs w:val="6"/>
        </w:rPr>
      </w:pPr>
    </w:p>
    <w:p>
      <w:pPr>
        <w:spacing w:line="100" w:lineRule="auto"/>
        <w:rPr>
          <w:rFonts w:ascii="Arial"/>
          <w:sz w:val="2"/>
        </w:rPr>
      </w:pPr>
      <w:r>
        <w:rPr>
          <w:rFonts w:ascii="Arial"/>
          <w:sz w:val="2"/>
        </w:rPr>
      </w:r>
    </w:p>
    <w:tbl>
      <w:tblPr>
        <w:tblStyle w:val="TableNormal"/>
        <w:tblW w:w="1512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98"/>
        <w:gridCol w:w="690"/>
        <w:gridCol w:w="1450"/>
        <w:gridCol w:w="11283"/>
        <w:gridCol w:w="1302"/>
      </w:tblGrid>
      <w:tr>
        <w:trPr>
          <w:trHeight w:val="571" w:hRule="atLeast"/>
        </w:trPr>
        <w:tc>
          <w:tcPr>
            <w:tcW w:w="398" w:type="dxa"/>
            <w:vAlign w:val="top"/>
            <w:textDirection w:val="tbRlV"/>
          </w:tcPr>
          <w:p>
            <w:pPr>
              <w:pStyle w:val="TableText"/>
              <w:ind w:left="53"/>
              <w:spacing w:before="93" w:line="216" w:lineRule="auto"/>
              <w:rPr/>
            </w:pPr>
            <w:r>
              <w:rPr>
                <w:spacing w:val="8"/>
              </w:rPr>
              <w:t>类</w:t>
            </w:r>
            <w:r>
              <w:rPr>
                <w:spacing w:val="-38"/>
              </w:rPr>
              <w:t xml:space="preserve"> </w:t>
            </w:r>
            <w:r>
              <w:rPr>
                <w:spacing w:val="8"/>
              </w:rPr>
              <w:t>型</w:t>
            </w:r>
          </w:p>
        </w:tc>
        <w:tc>
          <w:tcPr>
            <w:tcW w:w="2140" w:type="dxa"/>
            <w:vAlign w:val="top"/>
            <w:gridSpan w:val="2"/>
          </w:tcPr>
          <w:p>
            <w:pPr>
              <w:pStyle w:val="TableText"/>
              <w:ind w:left="656"/>
              <w:spacing w:before="187" w:line="228" w:lineRule="auto"/>
              <w:rPr/>
            </w:pPr>
            <w:r>
              <w:rPr>
                <w:spacing w:val="6"/>
              </w:rPr>
              <w:t>项目名称</w:t>
            </w:r>
          </w:p>
        </w:tc>
        <w:tc>
          <w:tcPr>
            <w:tcW w:w="11283" w:type="dxa"/>
            <w:vAlign w:val="top"/>
          </w:tcPr>
          <w:p>
            <w:pPr>
              <w:pStyle w:val="TableText"/>
              <w:ind w:left="5228"/>
              <w:spacing w:before="187" w:line="228" w:lineRule="auto"/>
              <w:rPr/>
            </w:pPr>
            <w:r>
              <w:rPr>
                <w:spacing w:val="6"/>
              </w:rPr>
              <w:t>建设内容</w:t>
            </w:r>
          </w:p>
        </w:tc>
        <w:tc>
          <w:tcPr>
            <w:tcW w:w="1302" w:type="dxa"/>
            <w:vAlign w:val="top"/>
          </w:tcPr>
          <w:p>
            <w:pPr>
              <w:pStyle w:val="TableText"/>
              <w:ind w:left="449"/>
              <w:spacing w:before="187" w:line="229" w:lineRule="auto"/>
              <w:rPr/>
            </w:pPr>
            <w:r>
              <w:rPr>
                <w:spacing w:val="3"/>
              </w:rPr>
              <w:t>备注</w:t>
            </w:r>
          </w:p>
        </w:tc>
      </w:tr>
      <w:tr>
        <w:trPr>
          <w:trHeight w:val="277" w:hRule="atLeast"/>
        </w:trPr>
        <w:tc>
          <w:tcPr>
            <w:tcW w:w="398" w:type="dxa"/>
            <w:vAlign w:val="top"/>
            <w:vMerge w:val="restart"/>
            <w:tcBorders>
              <w:bottom w:val="nil"/>
            </w:tcBorders>
          </w:tcPr>
          <w:p>
            <w:pPr>
              <w:rPr>
                <w:rFonts w:ascii="Arial"/>
                <w:sz w:val="21"/>
              </w:rPr>
            </w:pPr>
            <w:r/>
          </w:p>
        </w:tc>
        <w:tc>
          <w:tcPr>
            <w:tcW w:w="690" w:type="dxa"/>
            <w:vAlign w:val="top"/>
            <w:vMerge w:val="restart"/>
            <w:tcBorders>
              <w:bottom w:val="nil"/>
            </w:tcBorders>
          </w:tcPr>
          <w:p>
            <w:pPr>
              <w:rPr>
                <w:rFonts w:ascii="Arial"/>
                <w:sz w:val="21"/>
              </w:rPr>
            </w:pPr>
            <w:r/>
          </w:p>
        </w:tc>
        <w:tc>
          <w:tcPr>
            <w:tcW w:w="1450" w:type="dxa"/>
            <w:vAlign w:val="top"/>
          </w:tcPr>
          <w:p>
            <w:pPr>
              <w:rPr>
                <w:rFonts w:ascii="Arial"/>
                <w:sz w:val="21"/>
              </w:rPr>
            </w:pPr>
            <w:r/>
          </w:p>
        </w:tc>
        <w:tc>
          <w:tcPr>
            <w:tcW w:w="11283" w:type="dxa"/>
            <w:vAlign w:val="top"/>
          </w:tcPr>
          <w:p>
            <w:pPr>
              <w:pStyle w:val="TableText"/>
              <w:ind w:left="13"/>
              <w:spacing w:before="31" w:line="217" w:lineRule="auto"/>
              <w:rPr/>
            </w:pPr>
            <w:r>
              <w:rPr>
                <w:spacing w:val="9"/>
              </w:rPr>
              <w:t>古源浩羊绒制品有限公司废弃物高效循环利用项目（二期）有机肥生产线建成后用于生产有机肥。</w:t>
            </w:r>
          </w:p>
        </w:tc>
        <w:tc>
          <w:tcPr>
            <w:tcW w:w="1302" w:type="dxa"/>
            <w:vAlign w:val="top"/>
          </w:tcPr>
          <w:p>
            <w:pPr>
              <w:rPr>
                <w:rFonts w:ascii="Arial"/>
                <w:sz w:val="21"/>
              </w:rPr>
            </w:pPr>
            <w:r/>
          </w:p>
        </w:tc>
      </w:tr>
      <w:tr>
        <w:trPr>
          <w:trHeight w:val="549" w:hRule="atLeast"/>
        </w:trPr>
        <w:tc>
          <w:tcPr>
            <w:tcW w:w="398" w:type="dxa"/>
            <w:vAlign w:val="top"/>
            <w:vMerge w:val="continue"/>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109"/>
              <w:spacing w:before="32" w:line="228" w:lineRule="auto"/>
              <w:rPr/>
            </w:pPr>
            <w:r>
              <w:rPr>
                <w:spacing w:val="6"/>
              </w:rPr>
              <w:t>除尘器收集的</w:t>
            </w:r>
          </w:p>
          <w:p>
            <w:pPr>
              <w:pStyle w:val="TableText"/>
              <w:ind w:left="424"/>
              <w:spacing w:before="24" w:line="217" w:lineRule="auto"/>
              <w:rPr/>
            </w:pPr>
            <w:r>
              <w:rPr>
                <w:spacing w:val="2"/>
              </w:rPr>
              <w:t>除尘灰</w:t>
            </w:r>
          </w:p>
        </w:tc>
        <w:tc>
          <w:tcPr>
            <w:tcW w:w="11283" w:type="dxa"/>
            <w:vAlign w:val="top"/>
          </w:tcPr>
          <w:p>
            <w:pPr>
              <w:pStyle w:val="TableText"/>
              <w:ind w:left="8" w:right="2" w:firstLine="419"/>
              <w:spacing w:before="32" w:line="234" w:lineRule="auto"/>
              <w:rPr/>
            </w:pPr>
            <w:r>
              <w:rPr>
                <w:spacing w:val="9"/>
              </w:rPr>
              <w:t>洗毛车间开松除杂布袋除尘器收集的除尘灰，主要成分为泥沙、羊粪</w:t>
            </w:r>
            <w:r>
              <w:rPr>
                <w:spacing w:val="8"/>
              </w:rPr>
              <w:t>便等，定期外运内蒙古盎然农业发展有限公司有机</w:t>
            </w:r>
            <w:r>
              <w:rPr/>
              <w:t xml:space="preserve"> </w:t>
            </w:r>
            <w:r>
              <w:rPr>
                <w:spacing w:val="7"/>
              </w:rPr>
              <w:t>肥厂做有机肥。</w:t>
            </w:r>
          </w:p>
        </w:tc>
        <w:tc>
          <w:tcPr>
            <w:tcW w:w="1302" w:type="dxa"/>
            <w:vAlign w:val="top"/>
          </w:tcPr>
          <w:p>
            <w:pPr>
              <w:pStyle w:val="TableText"/>
              <w:ind w:left="447"/>
              <w:spacing w:before="167" w:line="228" w:lineRule="auto"/>
              <w:rPr/>
            </w:pPr>
            <w:r>
              <w:rPr>
                <w:spacing w:val="4"/>
              </w:rPr>
              <w:t>新建</w:t>
            </w:r>
          </w:p>
        </w:tc>
      </w:tr>
      <w:tr>
        <w:trPr>
          <w:trHeight w:val="549" w:hRule="atLeast"/>
        </w:trPr>
        <w:tc>
          <w:tcPr>
            <w:tcW w:w="398" w:type="dxa"/>
            <w:vAlign w:val="top"/>
            <w:vMerge w:val="continue"/>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96"/>
              <w:spacing w:before="30" w:line="228" w:lineRule="auto"/>
              <w:rPr/>
            </w:pPr>
            <w:r>
              <w:rPr>
                <w:spacing w:val="8"/>
              </w:rPr>
              <w:t>废水收集池沉</w:t>
            </w:r>
          </w:p>
          <w:p>
            <w:pPr>
              <w:pStyle w:val="TableText"/>
              <w:ind w:left="414"/>
              <w:spacing w:before="27" w:line="216" w:lineRule="auto"/>
              <w:rPr/>
            </w:pPr>
            <w:r>
              <w:rPr>
                <w:spacing w:val="6"/>
              </w:rPr>
              <w:t>淀杂质</w:t>
            </w:r>
          </w:p>
        </w:tc>
        <w:tc>
          <w:tcPr>
            <w:tcW w:w="11283" w:type="dxa"/>
            <w:vAlign w:val="top"/>
          </w:tcPr>
          <w:p>
            <w:pPr>
              <w:pStyle w:val="TableText"/>
              <w:ind w:left="430"/>
              <w:spacing w:before="167" w:line="224" w:lineRule="auto"/>
              <w:rPr/>
            </w:pPr>
            <w:r>
              <w:rPr>
                <w:spacing w:val="9"/>
              </w:rPr>
              <w:t>主要为泥沙、石子等，委托环卫部门定期清运处理。</w:t>
            </w:r>
          </w:p>
        </w:tc>
        <w:tc>
          <w:tcPr>
            <w:tcW w:w="1302" w:type="dxa"/>
            <w:vAlign w:val="top"/>
          </w:tcPr>
          <w:p>
            <w:pPr>
              <w:pStyle w:val="TableText"/>
              <w:ind w:left="447"/>
              <w:spacing w:before="168" w:line="228" w:lineRule="auto"/>
              <w:rPr/>
            </w:pPr>
            <w:r>
              <w:rPr>
                <w:spacing w:val="4"/>
              </w:rPr>
              <w:t>新建</w:t>
            </w:r>
          </w:p>
        </w:tc>
      </w:tr>
      <w:tr>
        <w:trPr>
          <w:trHeight w:val="549" w:hRule="atLeast"/>
        </w:trPr>
        <w:tc>
          <w:tcPr>
            <w:tcW w:w="398" w:type="dxa"/>
            <w:vAlign w:val="top"/>
            <w:vMerge w:val="continue"/>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96"/>
              <w:spacing w:before="33" w:line="228" w:lineRule="auto"/>
              <w:rPr/>
            </w:pPr>
            <w:r>
              <w:rPr>
                <w:spacing w:val="8"/>
              </w:rPr>
              <w:t>梳绒短纤维及</w:t>
            </w:r>
          </w:p>
          <w:p>
            <w:pPr>
              <w:pStyle w:val="TableText"/>
              <w:ind w:left="519"/>
              <w:spacing w:before="24" w:line="216" w:lineRule="auto"/>
              <w:rPr/>
            </w:pPr>
            <w:r>
              <w:rPr>
                <w:spacing w:val="3"/>
              </w:rPr>
              <w:t>杂毛</w:t>
            </w:r>
          </w:p>
        </w:tc>
        <w:tc>
          <w:tcPr>
            <w:tcW w:w="11283" w:type="dxa"/>
            <w:vAlign w:val="top"/>
          </w:tcPr>
          <w:p>
            <w:pPr>
              <w:pStyle w:val="TableText"/>
              <w:ind w:left="428"/>
              <w:spacing w:before="167" w:line="228" w:lineRule="auto"/>
              <w:rPr/>
            </w:pPr>
            <w:r>
              <w:rPr>
                <w:spacing w:val="9"/>
              </w:rPr>
              <w:t>袋装后在洗净毛库房内分隔贮存，定期外售综合利用（工业毛毡等）。</w:t>
            </w:r>
          </w:p>
        </w:tc>
        <w:tc>
          <w:tcPr>
            <w:tcW w:w="1302" w:type="dxa"/>
            <w:vAlign w:val="top"/>
          </w:tcPr>
          <w:p>
            <w:pPr>
              <w:pStyle w:val="TableText"/>
              <w:ind w:left="447"/>
              <w:spacing w:before="168" w:line="228" w:lineRule="auto"/>
              <w:rPr/>
            </w:pPr>
            <w:r>
              <w:rPr>
                <w:spacing w:val="4"/>
              </w:rPr>
              <w:t>新建</w:t>
            </w:r>
          </w:p>
        </w:tc>
      </w:tr>
      <w:tr>
        <w:trPr>
          <w:trHeight w:val="277" w:hRule="atLeast"/>
        </w:trPr>
        <w:tc>
          <w:tcPr>
            <w:tcW w:w="398" w:type="dxa"/>
            <w:vAlign w:val="top"/>
            <w:vMerge w:val="continue"/>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307"/>
              <w:spacing w:before="34" w:line="215" w:lineRule="auto"/>
              <w:rPr/>
            </w:pPr>
            <w:r>
              <w:rPr>
                <w:spacing w:val="7"/>
              </w:rPr>
              <w:t>废脱硫剂</w:t>
            </w:r>
          </w:p>
        </w:tc>
        <w:tc>
          <w:tcPr>
            <w:tcW w:w="11283" w:type="dxa"/>
            <w:vAlign w:val="top"/>
          </w:tcPr>
          <w:p>
            <w:pPr>
              <w:pStyle w:val="TableText"/>
              <w:ind w:left="427"/>
              <w:spacing w:before="34" w:line="215" w:lineRule="auto"/>
              <w:rPr/>
            </w:pPr>
            <w:r>
              <w:rPr>
                <w:spacing w:val="8"/>
              </w:rPr>
              <w:t>在一般固体废弃物贮存库内袋装暂存，</w:t>
            </w:r>
            <w:r>
              <w:rPr>
                <w:spacing w:val="-56"/>
              </w:rPr>
              <w:t xml:space="preserve"> </w:t>
            </w:r>
            <w:r>
              <w:rPr>
                <w:spacing w:val="8"/>
              </w:rPr>
              <w:t>由其生产厂家回</w:t>
            </w:r>
            <w:r>
              <w:rPr>
                <w:spacing w:val="7"/>
              </w:rPr>
              <w:t>收、更换。</w:t>
            </w:r>
          </w:p>
        </w:tc>
        <w:tc>
          <w:tcPr>
            <w:tcW w:w="1302" w:type="dxa"/>
            <w:vAlign w:val="top"/>
          </w:tcPr>
          <w:p>
            <w:pPr>
              <w:pStyle w:val="TableText"/>
              <w:ind w:left="447"/>
              <w:spacing w:before="34" w:line="215" w:lineRule="auto"/>
              <w:rPr/>
            </w:pPr>
            <w:r>
              <w:rPr>
                <w:spacing w:val="4"/>
              </w:rPr>
              <w:t>新建</w:t>
            </w:r>
          </w:p>
        </w:tc>
      </w:tr>
      <w:tr>
        <w:trPr>
          <w:trHeight w:val="278" w:hRule="atLeast"/>
        </w:trPr>
        <w:tc>
          <w:tcPr>
            <w:tcW w:w="398" w:type="dxa"/>
            <w:vAlign w:val="top"/>
            <w:vMerge w:val="continue"/>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310"/>
              <w:spacing w:before="32" w:line="217" w:lineRule="auto"/>
              <w:rPr/>
            </w:pPr>
            <w:r>
              <w:rPr>
                <w:spacing w:val="6"/>
              </w:rPr>
              <w:t>生活垃圾</w:t>
            </w:r>
          </w:p>
        </w:tc>
        <w:tc>
          <w:tcPr>
            <w:tcW w:w="11283" w:type="dxa"/>
            <w:vAlign w:val="top"/>
          </w:tcPr>
          <w:p>
            <w:pPr>
              <w:pStyle w:val="TableText"/>
              <w:ind w:left="427"/>
              <w:spacing w:before="32" w:line="217" w:lineRule="auto"/>
              <w:rPr/>
            </w:pPr>
            <w:r>
              <w:rPr>
                <w:spacing w:val="9"/>
              </w:rPr>
              <w:t>在厂区内设集中收集装置，定期交由环卫部门处理。</w:t>
            </w:r>
          </w:p>
        </w:tc>
        <w:tc>
          <w:tcPr>
            <w:tcW w:w="1302" w:type="dxa"/>
            <w:vAlign w:val="top"/>
          </w:tcPr>
          <w:p>
            <w:pPr>
              <w:pStyle w:val="TableText"/>
              <w:ind w:left="447"/>
              <w:spacing w:before="32" w:line="217" w:lineRule="auto"/>
              <w:rPr/>
            </w:pPr>
            <w:r>
              <w:rPr>
                <w:spacing w:val="4"/>
              </w:rPr>
              <w:t>新建</w:t>
            </w:r>
          </w:p>
        </w:tc>
      </w:tr>
      <w:tr>
        <w:trPr>
          <w:trHeight w:val="549" w:hRule="atLeast"/>
        </w:trPr>
        <w:tc>
          <w:tcPr>
            <w:tcW w:w="398" w:type="dxa"/>
            <w:vAlign w:val="top"/>
            <w:vMerge w:val="continue"/>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309" w:right="6" w:hanging="302"/>
              <w:spacing w:before="34" w:line="233" w:lineRule="auto"/>
              <w:rPr/>
            </w:pPr>
            <w:r>
              <w:rPr>
                <w:spacing w:val="7"/>
              </w:rPr>
              <w:t>废</w:t>
            </w:r>
            <w:r>
              <w:rPr>
                <w:spacing w:val="-41"/>
              </w:rPr>
              <w:t xml:space="preserve"> </w:t>
            </w:r>
            <w:r>
              <w:rPr>
                <w:rFonts w:ascii="Times New Roman" w:hAnsi="Times New Roman" w:eastAsia="Times New Roman" w:cs="Times New Roman"/>
              </w:rPr>
              <w:t>RO</w:t>
            </w:r>
            <w:r>
              <w:rPr>
                <w:rFonts w:ascii="Times New Roman" w:hAnsi="Times New Roman" w:eastAsia="Times New Roman" w:cs="Times New Roman"/>
                <w:spacing w:val="7"/>
              </w:rPr>
              <w:t xml:space="preserve"> </w:t>
            </w:r>
            <w:r>
              <w:rPr>
                <w:spacing w:val="7"/>
              </w:rPr>
              <w:t>膜、废过</w:t>
            </w:r>
            <w:r>
              <w:rPr/>
              <w:t xml:space="preserve"> </w:t>
            </w:r>
            <w:r>
              <w:rPr>
                <w:spacing w:val="6"/>
              </w:rPr>
              <w:t>滤器组件</w:t>
            </w:r>
          </w:p>
        </w:tc>
        <w:tc>
          <w:tcPr>
            <w:tcW w:w="11283" w:type="dxa"/>
            <w:vAlign w:val="top"/>
          </w:tcPr>
          <w:p>
            <w:pPr>
              <w:pStyle w:val="TableText"/>
              <w:ind w:left="427"/>
              <w:spacing w:before="168" w:line="225" w:lineRule="auto"/>
              <w:rPr/>
            </w:pPr>
            <w:r>
              <w:rPr>
                <w:spacing w:val="7"/>
              </w:rPr>
              <w:t>在一般固体废弃物贮存库内暂存，</w:t>
            </w:r>
            <w:r>
              <w:rPr>
                <w:spacing w:val="-48"/>
              </w:rPr>
              <w:t xml:space="preserve"> </w:t>
            </w:r>
            <w:r>
              <w:rPr>
                <w:spacing w:val="7"/>
              </w:rPr>
              <w:t>由其生产厂家回收。</w:t>
            </w:r>
          </w:p>
        </w:tc>
        <w:tc>
          <w:tcPr>
            <w:tcW w:w="1302" w:type="dxa"/>
            <w:vAlign w:val="top"/>
          </w:tcPr>
          <w:p>
            <w:pPr>
              <w:pStyle w:val="TableText"/>
              <w:ind w:left="447"/>
              <w:spacing w:before="168" w:line="228" w:lineRule="auto"/>
              <w:rPr/>
            </w:pPr>
            <w:r>
              <w:rPr>
                <w:spacing w:val="4"/>
              </w:rPr>
              <w:t>新建</w:t>
            </w:r>
          </w:p>
        </w:tc>
      </w:tr>
      <w:tr>
        <w:trPr>
          <w:trHeight w:val="278" w:hRule="atLeast"/>
        </w:trPr>
        <w:tc>
          <w:tcPr>
            <w:tcW w:w="398" w:type="dxa"/>
            <w:vAlign w:val="top"/>
            <w:vMerge w:val="continue"/>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203"/>
              <w:spacing w:before="33" w:line="216" w:lineRule="auto"/>
              <w:rPr/>
            </w:pPr>
            <w:r>
              <w:rPr>
                <w:spacing w:val="8"/>
              </w:rPr>
              <w:t>锅炉草木灰</w:t>
            </w:r>
          </w:p>
        </w:tc>
        <w:tc>
          <w:tcPr>
            <w:tcW w:w="11283" w:type="dxa"/>
            <w:vAlign w:val="top"/>
          </w:tcPr>
          <w:p>
            <w:pPr>
              <w:pStyle w:val="TableText"/>
              <w:ind w:left="428"/>
              <w:spacing w:before="33" w:line="216" w:lineRule="auto"/>
              <w:rPr/>
            </w:pPr>
            <w:r>
              <w:rPr>
                <w:spacing w:val="9"/>
              </w:rPr>
              <w:t>锅炉草木灰装袋，在一般固废暂存间内暂存，外售作为肥料还田。</w:t>
            </w:r>
          </w:p>
        </w:tc>
        <w:tc>
          <w:tcPr>
            <w:tcW w:w="1302" w:type="dxa"/>
            <w:vAlign w:val="top"/>
          </w:tcPr>
          <w:p>
            <w:pPr>
              <w:pStyle w:val="TableText"/>
              <w:ind w:left="447"/>
              <w:spacing w:before="33" w:line="216" w:lineRule="auto"/>
              <w:rPr/>
            </w:pPr>
            <w:r>
              <w:rPr>
                <w:spacing w:val="4"/>
              </w:rPr>
              <w:t>新建</w:t>
            </w:r>
          </w:p>
        </w:tc>
      </w:tr>
      <w:tr>
        <w:trPr>
          <w:trHeight w:val="277" w:hRule="atLeast"/>
        </w:trPr>
        <w:tc>
          <w:tcPr>
            <w:tcW w:w="398" w:type="dxa"/>
            <w:vAlign w:val="top"/>
            <w:vMerge w:val="continue"/>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411"/>
              <w:spacing w:before="34" w:line="215" w:lineRule="auto"/>
              <w:rPr/>
            </w:pPr>
            <w:r>
              <w:rPr>
                <w:spacing w:val="7"/>
              </w:rPr>
              <w:t>废布袋</w:t>
            </w:r>
          </w:p>
        </w:tc>
        <w:tc>
          <w:tcPr>
            <w:tcW w:w="11283" w:type="dxa"/>
            <w:vAlign w:val="top"/>
          </w:tcPr>
          <w:p>
            <w:pPr>
              <w:pStyle w:val="TableText"/>
              <w:ind w:left="428"/>
              <w:spacing w:before="34" w:line="215" w:lineRule="auto"/>
              <w:rPr/>
            </w:pPr>
            <w:r>
              <w:rPr>
                <w:spacing w:val="7"/>
              </w:rPr>
              <w:t>布袋除尘器更换的废布袋，</w:t>
            </w:r>
            <w:r>
              <w:rPr>
                <w:spacing w:val="-53"/>
              </w:rPr>
              <w:t xml:space="preserve"> </w:t>
            </w:r>
            <w:r>
              <w:rPr>
                <w:spacing w:val="7"/>
              </w:rPr>
              <w:t>由其生产厂家回收处理。</w:t>
            </w:r>
          </w:p>
        </w:tc>
        <w:tc>
          <w:tcPr>
            <w:tcW w:w="1302" w:type="dxa"/>
            <w:vAlign w:val="top"/>
          </w:tcPr>
          <w:p>
            <w:pPr>
              <w:pStyle w:val="TableText"/>
              <w:ind w:left="447"/>
              <w:spacing w:before="34" w:line="215" w:lineRule="auto"/>
              <w:rPr/>
            </w:pPr>
            <w:r>
              <w:rPr>
                <w:spacing w:val="4"/>
              </w:rPr>
              <w:t>新建</w:t>
            </w:r>
          </w:p>
        </w:tc>
      </w:tr>
      <w:tr>
        <w:trPr>
          <w:trHeight w:val="278" w:hRule="atLeast"/>
        </w:trPr>
        <w:tc>
          <w:tcPr>
            <w:tcW w:w="398" w:type="dxa"/>
            <w:vAlign w:val="top"/>
            <w:vMerge w:val="continue"/>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307"/>
              <w:spacing w:before="35" w:line="215" w:lineRule="auto"/>
              <w:rPr/>
            </w:pPr>
            <w:r>
              <w:rPr>
                <w:spacing w:val="7"/>
              </w:rPr>
              <w:t>废活性炭</w:t>
            </w:r>
          </w:p>
        </w:tc>
        <w:tc>
          <w:tcPr>
            <w:tcW w:w="11283" w:type="dxa"/>
            <w:vAlign w:val="top"/>
          </w:tcPr>
          <w:p>
            <w:pPr>
              <w:pStyle w:val="TableText"/>
              <w:ind w:left="427"/>
              <w:spacing w:before="35" w:line="215" w:lineRule="auto"/>
              <w:rPr/>
            </w:pPr>
            <w:r>
              <w:rPr>
                <w:spacing w:val="9"/>
              </w:rPr>
              <w:t>在危废暂存间内暂存，定期委托有资质单位处理。</w:t>
            </w:r>
          </w:p>
        </w:tc>
        <w:tc>
          <w:tcPr>
            <w:tcW w:w="1302" w:type="dxa"/>
            <w:vAlign w:val="top"/>
          </w:tcPr>
          <w:p>
            <w:pPr>
              <w:pStyle w:val="TableText"/>
              <w:ind w:left="447"/>
              <w:spacing w:before="35" w:line="215" w:lineRule="auto"/>
              <w:rPr/>
            </w:pPr>
            <w:r>
              <w:rPr>
                <w:spacing w:val="4"/>
              </w:rPr>
              <w:t>新建</w:t>
            </w:r>
          </w:p>
        </w:tc>
      </w:tr>
      <w:tr>
        <w:trPr>
          <w:trHeight w:val="277" w:hRule="atLeast"/>
        </w:trPr>
        <w:tc>
          <w:tcPr>
            <w:tcW w:w="398" w:type="dxa"/>
            <w:vAlign w:val="top"/>
            <w:vMerge w:val="continue"/>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307"/>
              <w:spacing w:before="33" w:line="216" w:lineRule="auto"/>
              <w:rPr/>
            </w:pPr>
            <w:r>
              <w:rPr>
                <w:spacing w:val="7"/>
              </w:rPr>
              <w:t>废矿物油</w:t>
            </w:r>
          </w:p>
        </w:tc>
        <w:tc>
          <w:tcPr>
            <w:tcW w:w="11283" w:type="dxa"/>
            <w:vAlign w:val="top"/>
          </w:tcPr>
          <w:p>
            <w:pPr>
              <w:pStyle w:val="TableText"/>
              <w:ind w:left="427"/>
              <w:spacing w:before="33" w:line="216" w:lineRule="auto"/>
              <w:rPr/>
            </w:pPr>
            <w:r>
              <w:rPr>
                <w:spacing w:val="9"/>
              </w:rPr>
              <w:t>在危废暂存间内桶装暂存，定期委托有资质单位处理。</w:t>
            </w:r>
          </w:p>
        </w:tc>
        <w:tc>
          <w:tcPr>
            <w:tcW w:w="1302" w:type="dxa"/>
            <w:vAlign w:val="top"/>
          </w:tcPr>
          <w:p>
            <w:pPr>
              <w:pStyle w:val="TableText"/>
              <w:ind w:left="447"/>
              <w:spacing w:before="33" w:line="216" w:lineRule="auto"/>
              <w:rPr/>
            </w:pPr>
            <w:r>
              <w:rPr>
                <w:spacing w:val="4"/>
              </w:rPr>
              <w:t>新建</w:t>
            </w:r>
          </w:p>
        </w:tc>
      </w:tr>
      <w:tr>
        <w:trPr>
          <w:trHeight w:val="277" w:hRule="atLeast"/>
        </w:trPr>
        <w:tc>
          <w:tcPr>
            <w:tcW w:w="398" w:type="dxa"/>
            <w:vAlign w:val="top"/>
            <w:vMerge w:val="continue"/>
            <w:tcBorders>
              <w:top w:val="nil"/>
              <w:bottom w:val="nil"/>
            </w:tcBorders>
          </w:tcPr>
          <w:p>
            <w:pPr>
              <w:rPr>
                <w:rFonts w:ascii="Arial"/>
                <w:sz w:val="21"/>
              </w:rPr>
            </w:pPr>
            <w:r/>
          </w:p>
        </w:tc>
        <w:tc>
          <w:tcPr>
            <w:tcW w:w="690" w:type="dxa"/>
            <w:vAlign w:val="top"/>
            <w:vMerge w:val="continue"/>
            <w:tcBorders>
              <w:top w:val="nil"/>
            </w:tcBorders>
          </w:tcPr>
          <w:p>
            <w:pPr>
              <w:rPr>
                <w:rFonts w:ascii="Arial"/>
                <w:sz w:val="21"/>
              </w:rPr>
            </w:pPr>
            <w:r/>
          </w:p>
        </w:tc>
        <w:tc>
          <w:tcPr>
            <w:tcW w:w="1450" w:type="dxa"/>
            <w:vAlign w:val="top"/>
          </w:tcPr>
          <w:p>
            <w:pPr>
              <w:pStyle w:val="TableText"/>
              <w:ind w:left="411"/>
              <w:spacing w:before="34" w:line="215" w:lineRule="auto"/>
              <w:rPr/>
            </w:pPr>
            <w:r>
              <w:rPr>
                <w:spacing w:val="7"/>
              </w:rPr>
              <w:t>废油桶</w:t>
            </w:r>
          </w:p>
        </w:tc>
        <w:tc>
          <w:tcPr>
            <w:tcW w:w="11283" w:type="dxa"/>
            <w:vAlign w:val="top"/>
          </w:tcPr>
          <w:p>
            <w:pPr>
              <w:pStyle w:val="TableText"/>
              <w:ind w:left="427"/>
              <w:spacing w:before="34" w:line="215" w:lineRule="auto"/>
              <w:rPr/>
            </w:pPr>
            <w:r>
              <w:rPr>
                <w:spacing w:val="9"/>
              </w:rPr>
              <w:t>在危废暂存间内暂存，定期委托有资质单位处理。</w:t>
            </w:r>
          </w:p>
        </w:tc>
        <w:tc>
          <w:tcPr>
            <w:tcW w:w="1302" w:type="dxa"/>
            <w:vAlign w:val="top"/>
          </w:tcPr>
          <w:p>
            <w:pPr>
              <w:pStyle w:val="TableText"/>
              <w:ind w:left="447"/>
              <w:spacing w:before="34" w:line="215" w:lineRule="auto"/>
              <w:rPr/>
            </w:pPr>
            <w:r>
              <w:rPr>
                <w:spacing w:val="4"/>
              </w:rPr>
              <w:t>新建</w:t>
            </w:r>
          </w:p>
        </w:tc>
      </w:tr>
      <w:tr>
        <w:trPr>
          <w:trHeight w:val="549" w:hRule="atLeast"/>
        </w:trPr>
        <w:tc>
          <w:tcPr>
            <w:tcW w:w="398" w:type="dxa"/>
            <w:vAlign w:val="top"/>
            <w:vMerge w:val="continue"/>
            <w:tcBorders>
              <w:top w:val="nil"/>
              <w:bottom w:val="nil"/>
            </w:tcBorders>
          </w:tcPr>
          <w:p>
            <w:pPr>
              <w:rPr>
                <w:rFonts w:ascii="Arial"/>
                <w:sz w:val="21"/>
              </w:rPr>
            </w:pPr>
            <w:r/>
          </w:p>
        </w:tc>
        <w:tc>
          <w:tcPr>
            <w:tcW w:w="690" w:type="dxa"/>
            <w:vAlign w:val="top"/>
            <w:vMerge w:val="restart"/>
            <w:tcBorders>
              <w:bottom w:val="nil"/>
            </w:tcBorders>
          </w:tcPr>
          <w:p>
            <w:pPr>
              <w:spacing w:line="265" w:lineRule="auto"/>
              <w:rPr>
                <w:rFonts w:ascii="Arial"/>
                <w:sz w:val="21"/>
              </w:rPr>
            </w:pPr>
            <w:r/>
          </w:p>
          <w:p>
            <w:pPr>
              <w:spacing w:line="265" w:lineRule="auto"/>
              <w:rPr>
                <w:rFonts w:ascii="Arial"/>
                <w:sz w:val="21"/>
              </w:rPr>
            </w:pPr>
            <w:r/>
          </w:p>
          <w:p>
            <w:pPr>
              <w:spacing w:line="266" w:lineRule="auto"/>
              <w:rPr>
                <w:rFonts w:ascii="Arial"/>
                <w:sz w:val="21"/>
              </w:rPr>
            </w:pPr>
            <w:r/>
          </w:p>
          <w:p>
            <w:pPr>
              <w:pStyle w:val="TableText"/>
              <w:ind w:left="150"/>
              <w:spacing w:before="65" w:line="228" w:lineRule="auto"/>
              <w:rPr/>
            </w:pPr>
            <w:r>
              <w:rPr>
                <w:spacing w:val="-2"/>
              </w:rPr>
              <w:t>防渗</w:t>
            </w:r>
          </w:p>
        </w:tc>
        <w:tc>
          <w:tcPr>
            <w:tcW w:w="1450" w:type="dxa"/>
            <w:vAlign w:val="top"/>
            <w:vMerge w:val="restart"/>
            <w:tcBorders>
              <w:bottom w:val="nil"/>
            </w:tcBorders>
          </w:tcPr>
          <w:p>
            <w:pPr>
              <w:spacing w:line="381" w:lineRule="auto"/>
              <w:rPr>
                <w:rFonts w:ascii="Arial"/>
                <w:sz w:val="21"/>
              </w:rPr>
            </w:pPr>
            <w:r/>
          </w:p>
          <w:p>
            <w:pPr>
              <w:pStyle w:val="TableText"/>
              <w:ind w:left="203"/>
              <w:spacing w:before="65" w:line="228" w:lineRule="auto"/>
              <w:rPr/>
            </w:pPr>
            <w:r>
              <w:rPr>
                <w:spacing w:val="7"/>
              </w:rPr>
              <w:t>重点防渗区</w:t>
            </w:r>
          </w:p>
        </w:tc>
        <w:tc>
          <w:tcPr>
            <w:tcW w:w="11283" w:type="dxa"/>
            <w:vAlign w:val="top"/>
          </w:tcPr>
          <w:p>
            <w:pPr>
              <w:pStyle w:val="TableText"/>
              <w:ind w:left="10" w:right="2" w:firstLine="420"/>
              <w:spacing w:before="31" w:line="234" w:lineRule="auto"/>
              <w:rPr/>
            </w:pPr>
            <w:r>
              <w:rPr>
                <w:spacing w:val="7"/>
              </w:rPr>
              <w:t>危废暂存间进行重点防渗，防渗层为至少</w:t>
            </w:r>
            <w:r>
              <w:rPr>
                <w:spacing w:val="-19"/>
              </w:rPr>
              <w:t xml:space="preserve"> </w:t>
            </w:r>
            <w:r>
              <w:rPr>
                <w:rFonts w:ascii="Times New Roman" w:hAnsi="Times New Roman" w:eastAsia="Times New Roman" w:cs="Times New Roman"/>
                <w:spacing w:val="7"/>
              </w:rPr>
              <w:t>1m</w:t>
            </w:r>
            <w:r>
              <w:rPr>
                <w:rFonts w:ascii="Times New Roman" w:hAnsi="Times New Roman" w:eastAsia="Times New Roman" w:cs="Times New Roman"/>
                <w:spacing w:val="17"/>
              </w:rPr>
              <w:t xml:space="preserve"> </w:t>
            </w:r>
            <w:r>
              <w:rPr>
                <w:spacing w:val="7"/>
              </w:rPr>
              <w:t>厚黏土层（渗透系数不大于</w:t>
            </w:r>
            <w:r>
              <w:rPr>
                <w:spacing w:val="-21"/>
              </w:rPr>
              <w:t xml:space="preserve"> </w:t>
            </w:r>
            <w:r>
              <w:rPr>
                <w:rFonts w:ascii="Times New Roman" w:hAnsi="Times New Roman" w:eastAsia="Times New Roman" w:cs="Times New Roman"/>
                <w:spacing w:val="7"/>
              </w:rPr>
              <w:t>1</w:t>
            </w:r>
            <w:r>
              <w:rPr>
                <w:rFonts w:ascii="Times New Roman" w:hAnsi="Times New Roman" w:eastAsia="Times New Roman" w:cs="Times New Roman"/>
                <w:spacing w:val="6"/>
              </w:rPr>
              <w:t>0</w:t>
            </w:r>
            <w:r>
              <w:rPr>
                <w:rFonts w:ascii="Times New Roman" w:hAnsi="Times New Roman" w:eastAsia="Times New Roman" w:cs="Times New Roman"/>
                <w:sz w:val="13"/>
                <w:szCs w:val="13"/>
                <w:spacing w:val="6"/>
                <w:position w:val="6"/>
              </w:rPr>
              <w:t>-7</w:t>
            </w:r>
            <w:r>
              <w:rPr>
                <w:rFonts w:ascii="Times New Roman" w:hAnsi="Times New Roman" w:eastAsia="Times New Roman" w:cs="Times New Roman"/>
              </w:rPr>
              <w:t>cm</w:t>
            </w:r>
            <w:r>
              <w:rPr>
                <w:rFonts w:ascii="Times New Roman" w:hAnsi="Times New Roman" w:eastAsia="Times New Roman" w:cs="Times New Roman"/>
                <w:spacing w:val="6"/>
              </w:rPr>
              <w:t>/s</w:t>
            </w:r>
            <w:r>
              <w:rPr>
                <w:spacing w:val="-1"/>
              </w:rPr>
              <w:t>），</w:t>
            </w:r>
            <w:r>
              <w:rPr>
                <w:spacing w:val="6"/>
              </w:rPr>
              <w:t>或至少</w:t>
            </w:r>
            <w:r>
              <w:rPr>
                <w:spacing w:val="-43"/>
              </w:rPr>
              <w:t xml:space="preserve"> </w:t>
            </w:r>
            <w:r>
              <w:rPr>
                <w:rFonts w:ascii="Times New Roman" w:hAnsi="Times New Roman" w:eastAsia="Times New Roman" w:cs="Times New Roman"/>
                <w:spacing w:val="6"/>
              </w:rPr>
              <w:t>2</w:t>
            </w:r>
            <w:r>
              <w:rPr>
                <w:rFonts w:ascii="Times New Roman" w:hAnsi="Times New Roman" w:eastAsia="Times New Roman" w:cs="Times New Roman"/>
              </w:rPr>
              <w:t>mm</w:t>
            </w:r>
            <w:r>
              <w:rPr>
                <w:rFonts w:ascii="Times New Roman" w:hAnsi="Times New Roman" w:eastAsia="Times New Roman" w:cs="Times New Roman"/>
                <w:spacing w:val="19"/>
                <w:w w:val="101"/>
              </w:rPr>
              <w:t xml:space="preserve"> </w:t>
            </w:r>
            <w:r>
              <w:rPr>
                <w:spacing w:val="6"/>
              </w:rPr>
              <w:t>厚高密度聚乙烯膜等</w:t>
            </w:r>
            <w:r>
              <w:rPr/>
              <w:t xml:space="preserve"> </w:t>
            </w:r>
            <w:r>
              <w:rPr>
                <w:spacing w:val="7"/>
              </w:rPr>
              <w:t>人工防渗材料（渗透系数不大于</w:t>
            </w:r>
            <w:r>
              <w:rPr>
                <w:spacing w:val="-21"/>
              </w:rPr>
              <w:t xml:space="preserve"> </w:t>
            </w:r>
            <w:r>
              <w:rPr>
                <w:rFonts w:ascii="Times New Roman" w:hAnsi="Times New Roman" w:eastAsia="Times New Roman" w:cs="Times New Roman"/>
                <w:spacing w:val="7"/>
              </w:rPr>
              <w:t>10</w:t>
            </w:r>
            <w:r>
              <w:rPr>
                <w:rFonts w:ascii="Times New Roman" w:hAnsi="Times New Roman" w:eastAsia="Times New Roman" w:cs="Times New Roman"/>
                <w:sz w:val="13"/>
                <w:szCs w:val="13"/>
                <w:spacing w:val="7"/>
                <w:position w:val="6"/>
              </w:rPr>
              <w:t>-10</w:t>
            </w:r>
            <w:r>
              <w:rPr>
                <w:rFonts w:ascii="Times New Roman" w:hAnsi="Times New Roman" w:eastAsia="Times New Roman" w:cs="Times New Roman"/>
              </w:rPr>
              <w:t>cm</w:t>
            </w:r>
            <w:r>
              <w:rPr>
                <w:rFonts w:ascii="Times New Roman" w:hAnsi="Times New Roman" w:eastAsia="Times New Roman" w:cs="Times New Roman"/>
                <w:spacing w:val="7"/>
              </w:rPr>
              <w:t>/s</w:t>
            </w:r>
            <w:r>
              <w:rPr>
                <w:spacing w:val="19"/>
              </w:rPr>
              <w:t>），</w:t>
            </w:r>
            <w:r>
              <w:rPr>
                <w:spacing w:val="7"/>
              </w:rPr>
              <w:t>或其他防渗性能等效的材料。</w:t>
            </w:r>
          </w:p>
        </w:tc>
        <w:tc>
          <w:tcPr>
            <w:tcW w:w="1302" w:type="dxa"/>
            <w:vAlign w:val="top"/>
          </w:tcPr>
          <w:p>
            <w:pPr>
              <w:pStyle w:val="TableText"/>
              <w:ind w:left="447"/>
              <w:spacing w:before="170" w:line="228" w:lineRule="auto"/>
              <w:rPr/>
            </w:pPr>
            <w:r>
              <w:rPr>
                <w:spacing w:val="4"/>
              </w:rPr>
              <w:t>新建</w:t>
            </w:r>
          </w:p>
        </w:tc>
      </w:tr>
      <w:tr>
        <w:trPr>
          <w:trHeight w:val="549" w:hRule="atLeast"/>
        </w:trPr>
        <w:tc>
          <w:tcPr>
            <w:tcW w:w="398" w:type="dxa"/>
            <w:vAlign w:val="top"/>
            <w:vMerge w:val="continue"/>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vMerge w:val="continue"/>
            <w:tcBorders>
              <w:top w:val="nil"/>
            </w:tcBorders>
          </w:tcPr>
          <w:p>
            <w:pPr>
              <w:rPr>
                <w:rFonts w:ascii="Arial"/>
                <w:sz w:val="21"/>
              </w:rPr>
            </w:pPr>
            <w:r/>
          </w:p>
        </w:tc>
        <w:tc>
          <w:tcPr>
            <w:tcW w:w="11283" w:type="dxa"/>
            <w:vAlign w:val="top"/>
          </w:tcPr>
          <w:p>
            <w:pPr>
              <w:pStyle w:val="TableText"/>
              <w:ind w:left="10" w:right="113" w:firstLine="417"/>
              <w:spacing w:before="34" w:line="233" w:lineRule="auto"/>
              <w:rPr/>
            </w:pPr>
            <w:r>
              <w:rPr>
                <w:spacing w:val="9"/>
              </w:rPr>
              <w:t>洗毛车间、废水收集池、</w:t>
            </w:r>
            <w:r>
              <w:rPr>
                <w:rFonts w:ascii="Times New Roman" w:hAnsi="Times New Roman" w:eastAsia="Times New Roman" w:cs="Times New Roman"/>
              </w:rPr>
              <w:t>TS</w:t>
            </w:r>
            <w:r>
              <w:rPr>
                <w:rFonts w:ascii="Times New Roman" w:hAnsi="Times New Roman" w:eastAsia="Times New Roman" w:cs="Times New Roman"/>
                <w:spacing w:val="9"/>
              </w:rPr>
              <w:t xml:space="preserve"> </w:t>
            </w:r>
            <w:r>
              <w:rPr>
                <w:spacing w:val="9"/>
              </w:rPr>
              <w:t>调节池、固液分离池、沼液池、厌氧发酵罐区、事故水池、沼渣晾晒区等</w:t>
            </w:r>
            <w:r>
              <w:rPr>
                <w:spacing w:val="8"/>
              </w:rPr>
              <w:t>进行重点防渗，</w:t>
            </w:r>
            <w:r>
              <w:rPr/>
              <w:t xml:space="preserve"> </w:t>
            </w:r>
            <w:r>
              <w:rPr>
                <w:spacing w:val="5"/>
              </w:rPr>
              <w:t>等效黏土防渗层</w:t>
            </w:r>
            <w:r>
              <w:rPr>
                <w:spacing w:val="-44"/>
              </w:rPr>
              <w:t xml:space="preserve"> </w:t>
            </w:r>
            <w:r>
              <w:rPr>
                <w:rFonts w:ascii="Times New Roman" w:hAnsi="Times New Roman" w:eastAsia="Times New Roman" w:cs="Times New Roman"/>
                <w:spacing w:val="5"/>
              </w:rPr>
              <w:t>M</w:t>
            </w:r>
            <w:r>
              <w:rPr>
                <w:spacing w:val="5"/>
              </w:rPr>
              <w:t>≥</w:t>
            </w:r>
            <w:r>
              <w:rPr>
                <w:rFonts w:ascii="Times New Roman" w:hAnsi="Times New Roman" w:eastAsia="Times New Roman" w:cs="Times New Roman"/>
                <w:spacing w:val="5"/>
              </w:rPr>
              <w:t>6.0m</w:t>
            </w:r>
            <w:r>
              <w:rPr>
                <w:rFonts w:ascii="Times New Roman" w:hAnsi="Times New Roman" w:eastAsia="Times New Roman" w:cs="Times New Roman"/>
                <w:spacing w:val="-26"/>
              </w:rPr>
              <w:t xml:space="preserve"> </w:t>
            </w:r>
            <w:r>
              <w:rPr>
                <w:spacing w:val="5"/>
              </w:rPr>
              <w:t>，</w:t>
            </w:r>
            <w:r>
              <w:rPr>
                <w:rFonts w:ascii="Times New Roman" w:hAnsi="Times New Roman" w:eastAsia="Times New Roman" w:cs="Times New Roman"/>
                <w:spacing w:val="5"/>
              </w:rPr>
              <w:t>K</w:t>
            </w:r>
            <w:r>
              <w:rPr>
                <w:spacing w:val="5"/>
              </w:rPr>
              <w:t>≤</w:t>
            </w:r>
            <w:r>
              <w:rPr>
                <w:rFonts w:ascii="Times New Roman" w:hAnsi="Times New Roman" w:eastAsia="Times New Roman" w:cs="Times New Roman"/>
                <w:spacing w:val="5"/>
              </w:rPr>
              <w:t>1</w:t>
            </w:r>
            <w:r>
              <w:rPr>
                <w:spacing w:val="5"/>
              </w:rPr>
              <w:t>×</w:t>
            </w:r>
            <w:r>
              <w:rPr>
                <w:spacing w:val="-76"/>
              </w:rPr>
              <w:t xml:space="preserve"> </w:t>
            </w:r>
            <w:r>
              <w:rPr>
                <w:rFonts w:ascii="Times New Roman" w:hAnsi="Times New Roman" w:eastAsia="Times New Roman" w:cs="Times New Roman"/>
                <w:spacing w:val="5"/>
              </w:rPr>
              <w:t>10</w:t>
            </w:r>
            <w:r>
              <w:rPr>
                <w:rFonts w:ascii="Times New Roman" w:hAnsi="Times New Roman" w:eastAsia="Times New Roman" w:cs="Times New Roman"/>
                <w:sz w:val="13"/>
                <w:szCs w:val="13"/>
                <w:spacing w:val="5"/>
                <w:position w:val="6"/>
              </w:rPr>
              <w:t>-</w:t>
            </w:r>
            <w:r>
              <w:rPr>
                <w:rFonts w:ascii="Times New Roman" w:hAnsi="Times New Roman" w:eastAsia="Times New Roman" w:cs="Times New Roman"/>
                <w:sz w:val="13"/>
                <w:szCs w:val="13"/>
                <w:spacing w:val="4"/>
                <w:position w:val="6"/>
              </w:rPr>
              <w:t>7</w:t>
            </w:r>
            <w:r>
              <w:rPr>
                <w:rFonts w:ascii="Times New Roman" w:hAnsi="Times New Roman" w:eastAsia="Times New Roman" w:cs="Times New Roman"/>
              </w:rPr>
              <w:t>cm</w:t>
            </w:r>
            <w:r>
              <w:rPr>
                <w:rFonts w:ascii="Times New Roman" w:hAnsi="Times New Roman" w:eastAsia="Times New Roman" w:cs="Times New Roman"/>
                <w:spacing w:val="4"/>
              </w:rPr>
              <w:t>/s</w:t>
            </w:r>
            <w:r>
              <w:rPr>
                <w:spacing w:val="4"/>
              </w:rPr>
              <w:t>。</w:t>
            </w:r>
          </w:p>
        </w:tc>
        <w:tc>
          <w:tcPr>
            <w:tcW w:w="1302" w:type="dxa"/>
            <w:vAlign w:val="top"/>
          </w:tcPr>
          <w:p>
            <w:pPr>
              <w:pStyle w:val="TableText"/>
              <w:ind w:left="447"/>
              <w:spacing w:before="170" w:line="228" w:lineRule="auto"/>
              <w:rPr/>
            </w:pPr>
            <w:r>
              <w:rPr>
                <w:spacing w:val="4"/>
              </w:rPr>
              <w:t>新建</w:t>
            </w:r>
          </w:p>
        </w:tc>
      </w:tr>
      <w:tr>
        <w:trPr>
          <w:trHeight w:val="549" w:hRule="atLeast"/>
        </w:trPr>
        <w:tc>
          <w:tcPr>
            <w:tcW w:w="398" w:type="dxa"/>
            <w:vAlign w:val="top"/>
            <w:vMerge w:val="continue"/>
            <w:tcBorders>
              <w:top w:val="nil"/>
              <w:bottom w:val="nil"/>
            </w:tcBorders>
          </w:tcPr>
          <w:p>
            <w:pPr>
              <w:rPr>
                <w:rFonts w:ascii="Arial"/>
                <w:sz w:val="21"/>
              </w:rPr>
            </w:pPr>
            <w:r/>
          </w:p>
        </w:tc>
        <w:tc>
          <w:tcPr>
            <w:tcW w:w="690" w:type="dxa"/>
            <w:vAlign w:val="top"/>
            <w:vMerge w:val="continue"/>
            <w:tcBorders>
              <w:top w:val="nil"/>
              <w:bottom w:val="nil"/>
            </w:tcBorders>
          </w:tcPr>
          <w:p>
            <w:pPr>
              <w:rPr>
                <w:rFonts w:ascii="Arial"/>
                <w:sz w:val="21"/>
              </w:rPr>
            </w:pPr>
            <w:r/>
          </w:p>
        </w:tc>
        <w:tc>
          <w:tcPr>
            <w:tcW w:w="1450" w:type="dxa"/>
            <w:vAlign w:val="top"/>
          </w:tcPr>
          <w:p>
            <w:pPr>
              <w:pStyle w:val="TableText"/>
              <w:ind w:left="206"/>
              <w:spacing w:before="170" w:line="228" w:lineRule="auto"/>
              <w:rPr/>
            </w:pPr>
            <w:r>
              <w:rPr>
                <w:spacing w:val="7"/>
              </w:rPr>
              <w:t>一般防渗区</w:t>
            </w:r>
          </w:p>
        </w:tc>
        <w:tc>
          <w:tcPr>
            <w:tcW w:w="11283" w:type="dxa"/>
            <w:vAlign w:val="top"/>
          </w:tcPr>
          <w:p>
            <w:pPr>
              <w:pStyle w:val="TableText"/>
              <w:ind w:left="24" w:right="67" w:firstLine="408"/>
              <w:spacing w:before="36" w:line="232" w:lineRule="auto"/>
              <w:rPr/>
            </w:pPr>
            <w:r>
              <w:rPr>
                <w:spacing w:val="10"/>
              </w:rPr>
              <w:t>原毛库房、燃料库房、锅炉房、一般固体废物暂存间、洗净毛库房、梳绒车间等，等效</w:t>
            </w:r>
            <w:r>
              <w:rPr>
                <w:spacing w:val="9"/>
              </w:rPr>
              <w:t>黏土防渗层</w:t>
            </w:r>
            <w:r>
              <w:rPr>
                <w:rFonts w:ascii="Times New Roman" w:hAnsi="Times New Roman" w:eastAsia="Times New Roman" w:cs="Times New Roman"/>
                <w:spacing w:val="9"/>
              </w:rPr>
              <w:t>M</w:t>
            </w:r>
            <w:r>
              <w:rPr>
                <w:spacing w:val="9"/>
              </w:rPr>
              <w:t>≥</w:t>
            </w:r>
            <w:r>
              <w:rPr>
                <w:rFonts w:ascii="Times New Roman" w:hAnsi="Times New Roman" w:eastAsia="Times New Roman" w:cs="Times New Roman"/>
                <w:spacing w:val="9"/>
              </w:rPr>
              <w:t>1.5m</w:t>
            </w:r>
            <w:r>
              <w:rPr>
                <w:rFonts w:ascii="Times New Roman" w:hAnsi="Times New Roman" w:eastAsia="Times New Roman" w:cs="Times New Roman"/>
                <w:spacing w:val="-26"/>
              </w:rPr>
              <w:t xml:space="preserve"> </w:t>
            </w:r>
            <w:r>
              <w:rPr>
                <w:spacing w:val="9"/>
              </w:rPr>
              <w:t>，</w:t>
            </w:r>
            <w:r>
              <w:rPr>
                <w:rFonts w:ascii="Times New Roman" w:hAnsi="Times New Roman" w:eastAsia="Times New Roman" w:cs="Times New Roman"/>
                <w:spacing w:val="9"/>
              </w:rPr>
              <w:t>K</w:t>
            </w:r>
            <w:r>
              <w:rPr>
                <w:spacing w:val="9"/>
              </w:rPr>
              <w:t>≤</w:t>
            </w:r>
            <w:r>
              <w:rPr>
                <w:rFonts w:ascii="Times New Roman" w:hAnsi="Times New Roman" w:eastAsia="Times New Roman" w:cs="Times New Roman"/>
                <w:spacing w:val="9"/>
              </w:rPr>
              <w:t>1</w:t>
            </w:r>
            <w:r>
              <w:rPr>
                <w:spacing w:val="9"/>
              </w:rPr>
              <w:t>×</w:t>
            </w:r>
            <w:r>
              <w:rPr/>
              <w:t xml:space="preserve"> </w:t>
            </w:r>
            <w:r>
              <w:rPr>
                <w:rFonts w:ascii="Times New Roman" w:hAnsi="Times New Roman" w:eastAsia="Times New Roman" w:cs="Times New Roman"/>
                <w:spacing w:val="1"/>
              </w:rPr>
              <w:t>10</w:t>
            </w:r>
            <w:r>
              <w:rPr>
                <w:rFonts w:ascii="Times New Roman" w:hAnsi="Times New Roman" w:eastAsia="Times New Roman" w:cs="Times New Roman"/>
                <w:sz w:val="13"/>
                <w:szCs w:val="13"/>
                <w:spacing w:val="1"/>
                <w:position w:val="6"/>
              </w:rPr>
              <w:t>-7</w:t>
            </w:r>
            <w:r>
              <w:rPr>
                <w:rFonts w:ascii="Times New Roman" w:hAnsi="Times New Roman" w:eastAsia="Times New Roman" w:cs="Times New Roman"/>
              </w:rPr>
              <w:t>cm</w:t>
            </w:r>
            <w:r>
              <w:rPr>
                <w:rFonts w:ascii="Times New Roman" w:hAnsi="Times New Roman" w:eastAsia="Times New Roman" w:cs="Times New Roman"/>
                <w:spacing w:val="1"/>
              </w:rPr>
              <w:t>/s</w:t>
            </w:r>
            <w:r>
              <w:rPr>
                <w:spacing w:val="1"/>
              </w:rPr>
              <w:t>。</w:t>
            </w:r>
          </w:p>
        </w:tc>
        <w:tc>
          <w:tcPr>
            <w:tcW w:w="1302" w:type="dxa"/>
            <w:vAlign w:val="top"/>
          </w:tcPr>
          <w:p>
            <w:pPr>
              <w:pStyle w:val="TableText"/>
              <w:ind w:left="447"/>
              <w:spacing w:before="170" w:line="228" w:lineRule="auto"/>
              <w:rPr/>
            </w:pPr>
            <w:r>
              <w:rPr>
                <w:spacing w:val="4"/>
              </w:rPr>
              <w:t>新建</w:t>
            </w:r>
          </w:p>
        </w:tc>
      </w:tr>
      <w:tr>
        <w:trPr>
          <w:trHeight w:val="282" w:hRule="atLeast"/>
        </w:trPr>
        <w:tc>
          <w:tcPr>
            <w:tcW w:w="398" w:type="dxa"/>
            <w:vAlign w:val="top"/>
            <w:vMerge w:val="continue"/>
            <w:tcBorders>
              <w:top w:val="nil"/>
            </w:tcBorders>
          </w:tcPr>
          <w:p>
            <w:pPr>
              <w:rPr>
                <w:rFonts w:ascii="Arial"/>
                <w:sz w:val="21"/>
              </w:rPr>
            </w:pPr>
            <w:r/>
          </w:p>
        </w:tc>
        <w:tc>
          <w:tcPr>
            <w:tcW w:w="690" w:type="dxa"/>
            <w:vAlign w:val="top"/>
            <w:vMerge w:val="continue"/>
            <w:tcBorders>
              <w:top w:val="nil"/>
            </w:tcBorders>
          </w:tcPr>
          <w:p>
            <w:pPr>
              <w:rPr>
                <w:rFonts w:ascii="Arial"/>
                <w:sz w:val="21"/>
              </w:rPr>
            </w:pPr>
            <w:r/>
          </w:p>
        </w:tc>
        <w:tc>
          <w:tcPr>
            <w:tcW w:w="1450" w:type="dxa"/>
            <w:vAlign w:val="top"/>
          </w:tcPr>
          <w:p>
            <w:pPr>
              <w:pStyle w:val="TableText"/>
              <w:ind w:left="207"/>
              <w:spacing w:before="36" w:line="217" w:lineRule="auto"/>
              <w:rPr/>
            </w:pPr>
            <w:r>
              <w:rPr>
                <w:spacing w:val="7"/>
              </w:rPr>
              <w:t>简单防渗区</w:t>
            </w:r>
          </w:p>
        </w:tc>
        <w:tc>
          <w:tcPr>
            <w:tcW w:w="11283" w:type="dxa"/>
            <w:vAlign w:val="top"/>
          </w:tcPr>
          <w:p>
            <w:pPr>
              <w:pStyle w:val="TableText"/>
              <w:ind w:left="432"/>
              <w:spacing w:before="36" w:line="217" w:lineRule="auto"/>
              <w:rPr/>
            </w:pPr>
            <w:r>
              <w:rPr>
                <w:spacing w:val="8"/>
              </w:rPr>
              <w:t>办公区、门卫等进行简单防渗，一般地面硬化。</w:t>
            </w:r>
          </w:p>
        </w:tc>
        <w:tc>
          <w:tcPr>
            <w:tcW w:w="1302" w:type="dxa"/>
            <w:vAlign w:val="top"/>
          </w:tcPr>
          <w:p>
            <w:pPr>
              <w:pStyle w:val="TableText"/>
              <w:ind w:left="447"/>
              <w:spacing w:before="36" w:line="217" w:lineRule="auto"/>
              <w:rPr/>
            </w:pPr>
            <w:r>
              <w:rPr>
                <w:spacing w:val="4"/>
              </w:rPr>
              <w:t>新建</w:t>
            </w:r>
          </w:p>
        </w:tc>
      </w:tr>
    </w:tbl>
    <w:p>
      <w:pPr>
        <w:pStyle w:val="BodyText"/>
        <w:rPr/>
      </w:pPr>
      <w:r/>
    </w:p>
    <w:p>
      <w:pPr>
        <w:sectPr>
          <w:footerReference w:type="default" r:id="rId66"/>
          <w:pgSz w:w="16840" w:h="11907"/>
          <w:pgMar w:top="1567" w:right="856" w:bottom="1480" w:left="855" w:header="1221" w:footer="1249" w:gutter="0"/>
        </w:sectPr>
        <w:rPr/>
      </w:pPr>
    </w:p>
    <w:p>
      <w:pPr>
        <w:ind w:left="12"/>
        <w:spacing w:before="314" w:line="224" w:lineRule="auto"/>
        <w:outlineLvl w:val="2"/>
        <w:rPr>
          <w:rFonts w:ascii="SimHei" w:hAnsi="SimHei" w:eastAsia="SimHei" w:cs="SimHei"/>
          <w:sz w:val="28"/>
          <w:szCs w:val="28"/>
        </w:rPr>
      </w:pPr>
      <w:r>
        <w:pict>
          <v:shape id="_x0000_s278" style="position:absolute;margin-left:85.05pt;margin-top:79.11pt;mso-position-vertical-relative:page;mso-position-horizontal-relative:page;width:425.25pt;height:0.75pt;z-index:251787264;" o:allowincell="f" fillcolor="#000000" filled="true" stroked="false" coordsize="8505,15" coordorigin="0,0" path="m,l8505,0l8505,14l0,14l0,0xe"/>
        </w:pict>
      </w:r>
      <w:bookmarkStart w:name="bookmark223" w:id="56"/>
      <w:bookmarkEnd w:id="56"/>
      <w:r>
        <w:rPr>
          <w:rFonts w:ascii="Times New Roman" w:hAnsi="Times New Roman" w:eastAsia="Times New Roman" w:cs="Times New Roman"/>
          <w:sz w:val="28"/>
          <w:szCs w:val="28"/>
          <w:spacing w:val="-1"/>
        </w:rPr>
        <w:t>3.1.3 </w:t>
      </w:r>
      <w:r>
        <w:rPr>
          <w:rFonts w:ascii="SimHei" w:hAnsi="SimHei" w:eastAsia="SimHei" w:cs="SimHei"/>
          <w:sz w:val="28"/>
          <w:szCs w:val="28"/>
          <w:spacing w:val="-1"/>
        </w:rPr>
        <w:t>选址及平面布局</w:t>
      </w:r>
    </w:p>
    <w:p>
      <w:pPr>
        <w:ind w:left="4"/>
        <w:spacing w:before="316" w:line="220" w:lineRule="auto"/>
        <w:outlineLvl w:val="3"/>
        <w:rPr>
          <w:rFonts w:ascii="SimSun" w:hAnsi="SimSun" w:eastAsia="SimSun" w:cs="SimSun"/>
          <w:sz w:val="24"/>
          <w:szCs w:val="24"/>
        </w:rPr>
      </w:pPr>
      <w:bookmarkStart w:name="bookmark47" w:id="57"/>
      <w:bookmarkEnd w:id="57"/>
      <w:r>
        <w:rPr>
          <w:rFonts w:ascii="Times New Roman" w:hAnsi="Times New Roman" w:eastAsia="Times New Roman" w:cs="Times New Roman"/>
          <w:sz w:val="24"/>
          <w:szCs w:val="24"/>
          <w:b/>
          <w:bCs/>
          <w:spacing w:val="-2"/>
        </w:rPr>
        <w:t>3.1.3.1 </w:t>
      </w:r>
      <w:r>
        <w:rPr>
          <w:rFonts w:ascii="SimSun" w:hAnsi="SimSun" w:eastAsia="SimSun" w:cs="SimSun"/>
          <w:sz w:val="24"/>
          <w:szCs w:val="24"/>
          <w:b/>
          <w:bCs/>
          <w:spacing w:val="-2"/>
        </w:rPr>
        <w:t>厂址及周边环境</w:t>
      </w:r>
    </w:p>
    <w:p>
      <w:pPr>
        <w:ind w:left="8" w:firstLine="482"/>
        <w:spacing w:before="178" w:line="355" w:lineRule="auto"/>
        <w:rPr>
          <w:rFonts w:ascii="SimSun" w:hAnsi="SimSun" w:eastAsia="SimSun" w:cs="SimSun"/>
          <w:sz w:val="24"/>
          <w:szCs w:val="24"/>
        </w:rPr>
      </w:pPr>
      <w:r>
        <w:rPr>
          <w:rFonts w:ascii="SimSun" w:hAnsi="SimSun" w:eastAsia="SimSun" w:cs="SimSun"/>
          <w:sz w:val="24"/>
          <w:szCs w:val="24"/>
          <w:spacing w:val="3"/>
        </w:rPr>
        <w:t>本项目选址位于锡林郭勒盟正镶白旗明安图镇乌宁巴图西</w:t>
      </w:r>
      <w:r>
        <w:rPr>
          <w:rFonts w:ascii="SimSun" w:hAnsi="SimSun" w:eastAsia="SimSun" w:cs="SimSun"/>
          <w:sz w:val="24"/>
          <w:szCs w:val="24"/>
          <w:spacing w:val="2"/>
        </w:rPr>
        <w:t>街，利用现有的闲</w:t>
      </w:r>
      <w:r>
        <w:rPr>
          <w:rFonts w:ascii="SimSun" w:hAnsi="SimSun" w:eastAsia="SimSun" w:cs="SimSun"/>
          <w:sz w:val="24"/>
          <w:szCs w:val="24"/>
        </w:rPr>
        <w:t xml:space="preserve"> </w:t>
      </w:r>
      <w:r>
        <w:rPr>
          <w:rFonts w:ascii="SimSun" w:hAnsi="SimSun" w:eastAsia="SimSun" w:cs="SimSun"/>
          <w:sz w:val="24"/>
          <w:szCs w:val="24"/>
          <w:spacing w:val="2"/>
        </w:rPr>
        <w:t>置厂区进行建设，</w:t>
      </w:r>
      <w:r>
        <w:rPr>
          <w:rFonts w:ascii="SimSun" w:hAnsi="SimSun" w:eastAsia="SimSun" w:cs="SimSun"/>
          <w:sz w:val="24"/>
          <w:szCs w:val="24"/>
          <w:spacing w:val="-67"/>
        </w:rPr>
        <w:t xml:space="preserve"> </w:t>
      </w:r>
      <w:r>
        <w:rPr>
          <w:rFonts w:ascii="SimSun" w:hAnsi="SimSun" w:eastAsia="SimSun" w:cs="SimSun"/>
          <w:sz w:val="24"/>
          <w:szCs w:val="24"/>
          <w:spacing w:val="2"/>
        </w:rPr>
        <w:t>占地性质属于工业用地（见附件）。选址不涉及自然保护区、</w:t>
      </w:r>
      <w:r>
        <w:rPr>
          <w:rFonts w:ascii="SimSun" w:hAnsi="SimSun" w:eastAsia="SimSun" w:cs="SimSun"/>
          <w:sz w:val="24"/>
          <w:szCs w:val="24"/>
        </w:rPr>
        <w:t xml:space="preserve"> </w:t>
      </w:r>
      <w:r>
        <w:rPr>
          <w:rFonts w:ascii="SimSun" w:hAnsi="SimSun" w:eastAsia="SimSun" w:cs="SimSun"/>
          <w:sz w:val="24"/>
          <w:szCs w:val="24"/>
          <w:spacing w:val="-2"/>
        </w:rPr>
        <w:t>重点风景名胜区、饮用水水源保护区及其他依法划定需</w:t>
      </w:r>
      <w:r>
        <w:rPr>
          <w:rFonts w:ascii="SimSun" w:hAnsi="SimSun" w:eastAsia="SimSun" w:cs="SimSun"/>
          <w:sz w:val="24"/>
          <w:szCs w:val="24"/>
          <w:spacing w:val="-3"/>
        </w:rPr>
        <w:t>要特别保护的环境敏感区，</w:t>
      </w:r>
      <w:r>
        <w:rPr>
          <w:rFonts w:ascii="SimSun" w:hAnsi="SimSun" w:eastAsia="SimSun" w:cs="SimSun"/>
          <w:sz w:val="24"/>
          <w:szCs w:val="24"/>
        </w:rPr>
        <w:t xml:space="preserve"> </w:t>
      </w:r>
      <w:r>
        <w:rPr>
          <w:rFonts w:ascii="SimSun" w:hAnsi="SimSun" w:eastAsia="SimSun" w:cs="SimSun"/>
          <w:sz w:val="24"/>
          <w:szCs w:val="24"/>
          <w:spacing w:val="3"/>
        </w:rPr>
        <w:t>拟建厂址东侧为闲置厂区和耕地，南侧为后河和天然牧草地</w:t>
      </w:r>
      <w:r>
        <w:rPr>
          <w:rFonts w:ascii="SimSun" w:hAnsi="SimSun" w:eastAsia="SimSun" w:cs="SimSun"/>
          <w:sz w:val="24"/>
          <w:szCs w:val="24"/>
          <w:spacing w:val="2"/>
        </w:rPr>
        <w:t>，西侧为搅拌站、明</w:t>
      </w:r>
      <w:r>
        <w:rPr>
          <w:rFonts w:ascii="SimSun" w:hAnsi="SimSun" w:eastAsia="SimSun" w:cs="SimSun"/>
          <w:sz w:val="24"/>
          <w:szCs w:val="24"/>
        </w:rPr>
        <w:t xml:space="preserve"> </w:t>
      </w:r>
      <w:r>
        <w:rPr>
          <w:rFonts w:ascii="SimSun" w:hAnsi="SimSun" w:eastAsia="SimSun" w:cs="SimSun"/>
          <w:sz w:val="24"/>
          <w:szCs w:val="24"/>
          <w:spacing w:val="3"/>
        </w:rPr>
        <w:t>安图镇污水处理厂及混凝土拌和站，北侧为加油站、天</w:t>
      </w:r>
      <w:r>
        <w:rPr>
          <w:rFonts w:ascii="SimSun" w:hAnsi="SimSun" w:eastAsia="SimSun" w:cs="SimSun"/>
          <w:sz w:val="24"/>
          <w:szCs w:val="24"/>
          <w:spacing w:val="2"/>
        </w:rPr>
        <w:t>然牧草地及林地。项目拟</w:t>
      </w:r>
      <w:r>
        <w:rPr>
          <w:rFonts w:ascii="SimSun" w:hAnsi="SimSun" w:eastAsia="SimSun" w:cs="SimSun"/>
          <w:sz w:val="24"/>
          <w:szCs w:val="24"/>
        </w:rPr>
        <w:t xml:space="preserve"> </w:t>
      </w:r>
      <w:r>
        <w:rPr>
          <w:rFonts w:ascii="SimSun" w:hAnsi="SimSun" w:eastAsia="SimSun" w:cs="SimSun"/>
          <w:sz w:val="24"/>
          <w:szCs w:val="24"/>
          <w:spacing w:val="-1"/>
        </w:rPr>
        <w:t>建厂址及周边环境关系见图</w:t>
      </w:r>
      <w:r>
        <w:rPr>
          <w:rFonts w:ascii="Times New Roman" w:hAnsi="Times New Roman" w:eastAsia="Times New Roman" w:cs="Times New Roman"/>
          <w:sz w:val="24"/>
          <w:szCs w:val="24"/>
          <w:spacing w:val="-1"/>
        </w:rPr>
        <w:t>3.1-2</w:t>
      </w:r>
      <w:r>
        <w:rPr>
          <w:rFonts w:ascii="SimSun" w:hAnsi="SimSun" w:eastAsia="SimSun" w:cs="SimSun"/>
          <w:sz w:val="24"/>
          <w:szCs w:val="24"/>
          <w:spacing w:val="-1"/>
        </w:rPr>
        <w:t>。</w:t>
      </w:r>
    </w:p>
    <w:p>
      <w:pPr>
        <w:spacing w:line="6024" w:lineRule="exact"/>
        <w:rPr/>
      </w:pPr>
      <w:r>
        <w:rPr>
          <w:position w:val="-120"/>
        </w:rPr>
        <w:drawing>
          <wp:inline distT="0" distB="0" distL="0" distR="0">
            <wp:extent cx="5393435" cy="3825240"/>
            <wp:effectExtent l="0" t="0" r="0" b="0"/>
            <wp:docPr id="28" name="IM 28"/>
            <wp:cNvGraphicFramePr/>
            <a:graphic>
              <a:graphicData uri="http://schemas.openxmlformats.org/drawingml/2006/picture">
                <pic:pic>
                  <pic:nvPicPr>
                    <pic:cNvPr id="28" name="IM 28"/>
                    <pic:cNvPicPr/>
                  </pic:nvPicPr>
                  <pic:blipFill>
                    <a:blip r:embed="rId67"/>
                    <a:stretch>
                      <a:fillRect/>
                    </a:stretch>
                  </pic:blipFill>
                  <pic:spPr>
                    <a:xfrm rot="0">
                      <a:off x="0" y="0"/>
                      <a:ext cx="5393435" cy="3825240"/>
                    </a:xfrm>
                    <a:prstGeom prst="rect">
                      <a:avLst/>
                    </a:prstGeom>
                  </pic:spPr>
                </pic:pic>
              </a:graphicData>
            </a:graphic>
          </wp:inline>
        </w:drawing>
      </w:r>
    </w:p>
    <w:p>
      <w:pPr>
        <w:ind w:left="2529"/>
        <w:spacing w:before="171" w:line="220" w:lineRule="auto"/>
        <w:rPr>
          <w:rFonts w:ascii="SimSun" w:hAnsi="SimSun" w:eastAsia="SimSun" w:cs="SimSun"/>
          <w:sz w:val="24"/>
          <w:szCs w:val="24"/>
        </w:rPr>
      </w:pPr>
      <w:r>
        <w:rPr>
          <w:rFonts w:ascii="SimSun" w:hAnsi="SimSun" w:eastAsia="SimSun" w:cs="SimSun"/>
          <w:sz w:val="24"/>
          <w:szCs w:val="24"/>
          <w:b/>
          <w:bCs/>
          <w:spacing w:val="-3"/>
        </w:rPr>
        <w:t>图</w:t>
      </w:r>
      <w:r>
        <w:rPr>
          <w:rFonts w:ascii="Times New Roman" w:hAnsi="Times New Roman" w:eastAsia="Times New Roman" w:cs="Times New Roman"/>
          <w:sz w:val="24"/>
          <w:szCs w:val="24"/>
          <w:b/>
          <w:bCs/>
          <w:spacing w:val="-3"/>
        </w:rPr>
        <w:t>3.1-2      </w:t>
      </w:r>
      <w:r>
        <w:rPr>
          <w:rFonts w:ascii="SimSun" w:hAnsi="SimSun" w:eastAsia="SimSun" w:cs="SimSun"/>
          <w:sz w:val="24"/>
          <w:szCs w:val="24"/>
          <w:b/>
          <w:bCs/>
          <w:spacing w:val="-3"/>
        </w:rPr>
        <w:t>厂址及周边环境关系图</w:t>
      </w:r>
    </w:p>
    <w:p>
      <w:pPr>
        <w:ind w:left="4"/>
        <w:spacing w:before="181"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3"/>
        </w:rPr>
        <w:t>3.1.3.2</w:t>
      </w:r>
      <w:r>
        <w:rPr>
          <w:rFonts w:ascii="Times New Roman" w:hAnsi="Times New Roman" w:eastAsia="Times New Roman" w:cs="Times New Roman"/>
          <w:sz w:val="24"/>
          <w:szCs w:val="24"/>
          <w:b/>
          <w:bCs/>
          <w:spacing w:val="24"/>
        </w:rPr>
        <w:t xml:space="preserve"> </w:t>
      </w:r>
      <w:r>
        <w:rPr>
          <w:rFonts w:ascii="SimSun" w:hAnsi="SimSun" w:eastAsia="SimSun" w:cs="SimSun"/>
          <w:sz w:val="24"/>
          <w:szCs w:val="24"/>
          <w:b/>
          <w:bCs/>
          <w:spacing w:val="-3"/>
        </w:rPr>
        <w:t>总平面布置方案</w:t>
      </w:r>
    </w:p>
    <w:p>
      <w:pPr>
        <w:ind w:left="10" w:right="59" w:firstLine="480"/>
        <w:spacing w:before="182" w:line="360" w:lineRule="auto"/>
        <w:rPr>
          <w:rFonts w:ascii="SimSun" w:hAnsi="SimSun" w:eastAsia="SimSun" w:cs="SimSun"/>
          <w:sz w:val="24"/>
          <w:szCs w:val="24"/>
        </w:rPr>
      </w:pPr>
      <w:r>
        <w:rPr>
          <w:rFonts w:ascii="SimSun" w:hAnsi="SimSun" w:eastAsia="SimSun" w:cs="SimSun"/>
          <w:sz w:val="24"/>
          <w:szCs w:val="24"/>
          <w:spacing w:val="2"/>
        </w:rPr>
        <w:t>本项目分为两个厂区（东厂区和西厂区</w:t>
      </w:r>
      <w:r>
        <w:rPr>
          <w:rFonts w:ascii="SimSun" w:hAnsi="SimSun" w:eastAsia="SimSun" w:cs="SimSun"/>
          <w:sz w:val="24"/>
          <w:szCs w:val="24"/>
          <w:spacing w:val="16"/>
        </w:rPr>
        <w:t>），</w:t>
      </w:r>
      <w:r>
        <w:rPr>
          <w:rFonts w:ascii="SimSun" w:hAnsi="SimSun" w:eastAsia="SimSun" w:cs="SimSun"/>
          <w:sz w:val="24"/>
          <w:szCs w:val="24"/>
          <w:spacing w:val="2"/>
        </w:rPr>
        <w:t>东厂区主要布置了原毛库房一、</w:t>
      </w:r>
      <w:r>
        <w:rPr>
          <w:rFonts w:ascii="SimSun" w:hAnsi="SimSun" w:eastAsia="SimSun" w:cs="SimSun"/>
          <w:sz w:val="24"/>
          <w:szCs w:val="24"/>
        </w:rPr>
        <w:t xml:space="preserve"> </w:t>
      </w:r>
      <w:r>
        <w:rPr>
          <w:rFonts w:ascii="SimSun" w:hAnsi="SimSun" w:eastAsia="SimSun" w:cs="SimSun"/>
          <w:sz w:val="24"/>
          <w:szCs w:val="24"/>
          <w:spacing w:val="-4"/>
        </w:rPr>
        <w:t>原毛库房二、原毛库房三、洗毛车间一、综合车间一（洗净毛）、综合</w:t>
      </w:r>
      <w:r>
        <w:rPr>
          <w:rFonts w:ascii="SimSun" w:hAnsi="SimSun" w:eastAsia="SimSun" w:cs="SimSun"/>
          <w:sz w:val="24"/>
          <w:szCs w:val="24"/>
          <w:spacing w:val="-5"/>
        </w:rPr>
        <w:t>车间二（选</w:t>
      </w:r>
      <w:r>
        <w:rPr>
          <w:rFonts w:ascii="SimSun" w:hAnsi="SimSun" w:eastAsia="SimSun" w:cs="SimSun"/>
          <w:sz w:val="24"/>
          <w:szCs w:val="24"/>
        </w:rPr>
        <w:t xml:space="preserve"> </w:t>
      </w:r>
      <w:r>
        <w:rPr>
          <w:rFonts w:ascii="SimSun" w:hAnsi="SimSun" w:eastAsia="SimSun" w:cs="SimSun"/>
          <w:sz w:val="24"/>
          <w:szCs w:val="24"/>
          <w:spacing w:val="1"/>
        </w:rPr>
        <w:t>毛</w:t>
      </w:r>
      <w:r>
        <w:rPr>
          <w:rFonts w:ascii="SimSun" w:hAnsi="SimSun" w:eastAsia="SimSun" w:cs="SimSun"/>
          <w:sz w:val="24"/>
          <w:szCs w:val="24"/>
          <w:spacing w:val="30"/>
        </w:rPr>
        <w:t>），</w:t>
      </w:r>
      <w:r>
        <w:rPr>
          <w:rFonts w:ascii="SimSun" w:hAnsi="SimSun" w:eastAsia="SimSun" w:cs="SimSun"/>
          <w:sz w:val="24"/>
          <w:szCs w:val="24"/>
          <w:spacing w:val="1"/>
        </w:rPr>
        <w:t>以及配套的公辅设施，洗毛车间一、原毛库房二、原毛库房三利用厂区内 </w:t>
      </w:r>
      <w:r>
        <w:rPr>
          <w:rFonts w:ascii="SimSun" w:hAnsi="SimSun" w:eastAsia="SimSun" w:cs="SimSun"/>
          <w:sz w:val="24"/>
          <w:szCs w:val="24"/>
          <w:spacing w:val="3"/>
        </w:rPr>
        <w:t>现有的生产厂房建设；西厂区布置了洗毛车间二、梳绒</w:t>
      </w:r>
      <w:r>
        <w:rPr>
          <w:rFonts w:ascii="SimSun" w:hAnsi="SimSun" w:eastAsia="SimSun" w:cs="SimSun"/>
          <w:sz w:val="24"/>
          <w:szCs w:val="24"/>
          <w:spacing w:val="2"/>
        </w:rPr>
        <w:t>车间、原毛库房、洗净毛</w:t>
      </w:r>
      <w:r>
        <w:rPr>
          <w:rFonts w:ascii="SimSun" w:hAnsi="SimSun" w:eastAsia="SimSun" w:cs="SimSun"/>
          <w:sz w:val="24"/>
          <w:szCs w:val="24"/>
        </w:rPr>
        <w:t xml:space="preserve"> </w:t>
      </w:r>
      <w:r>
        <w:rPr>
          <w:rFonts w:ascii="SimSun" w:hAnsi="SimSun" w:eastAsia="SimSun" w:cs="SimSun"/>
          <w:sz w:val="24"/>
          <w:szCs w:val="24"/>
          <w:spacing w:val="3"/>
        </w:rPr>
        <w:t>库房、厌氧发酵装置及配套的公辅设施、办公生活区、</w:t>
      </w:r>
      <w:r>
        <w:rPr>
          <w:rFonts w:ascii="SimSun" w:hAnsi="SimSun" w:eastAsia="SimSun" w:cs="SimSun"/>
          <w:sz w:val="24"/>
          <w:szCs w:val="24"/>
          <w:spacing w:val="2"/>
        </w:rPr>
        <w:t>锅炉房、一般固体废物暂</w:t>
      </w:r>
    </w:p>
    <w:p>
      <w:pPr>
        <w:ind w:left="7"/>
        <w:spacing w:before="117" w:line="227" w:lineRule="auto"/>
        <w:rPr>
          <w:rFonts w:ascii="Times New Roman" w:hAnsi="Times New Roman" w:eastAsia="Times New Roman" w:cs="Times New Roman"/>
          <w:sz w:val="18"/>
          <w:szCs w:val="18"/>
        </w:rPr>
      </w:pPr>
      <w:r>
        <w:rPr>
          <w:rFonts w:ascii="SimSun" w:hAnsi="SimSun" w:eastAsia="SimSun" w:cs="SimSun"/>
          <w:sz w:val="19"/>
          <w:szCs w:val="19"/>
          <w:spacing w:val="8"/>
        </w:rPr>
        <w:t>锡林郭勒盟中安环境技术咨询有限责任公司</w:t>
      </w:r>
      <w:r>
        <w:rPr>
          <w:rFonts w:ascii="SimSun" w:hAnsi="SimSun" w:eastAsia="SimSun" w:cs="SimSun"/>
          <w:sz w:val="19"/>
          <w:szCs w:val="19"/>
          <w:spacing w:val="30"/>
        </w:rPr>
        <w:t xml:space="preserve">   </w:t>
      </w:r>
      <w:r>
        <w:rPr>
          <w:rFonts w:ascii="Times New Roman" w:hAnsi="Times New Roman" w:eastAsia="Times New Roman" w:cs="Times New Roman"/>
          <w:sz w:val="18"/>
          <w:szCs w:val="18"/>
          <w:spacing w:val="8"/>
          <w:position w:val="2"/>
        </w:rPr>
        <w:t>55</w:t>
      </w:r>
    </w:p>
    <w:p>
      <w:pPr>
        <w:spacing w:line="227" w:lineRule="auto"/>
        <w:sectPr>
          <w:headerReference w:type="default" r:id="rId16"/>
          <w:footerReference w:type="default" r:id="rId3"/>
          <w:pgSz w:w="11907" w:h="16840"/>
          <w:pgMar w:top="1567" w:right="1640" w:bottom="400" w:left="1701" w:header="1221" w:footer="0" w:gutter="0"/>
        </w:sectPr>
        <w:rPr>
          <w:rFonts w:ascii="Times New Roman" w:hAnsi="Times New Roman" w:eastAsia="Times New Roman" w:cs="Times New Roman"/>
          <w:sz w:val="18"/>
          <w:szCs w:val="18"/>
        </w:rPr>
      </w:pPr>
    </w:p>
    <w:p>
      <w:pPr>
        <w:ind w:left="11" w:hanging="3"/>
        <w:spacing w:before="167" w:line="359" w:lineRule="auto"/>
        <w:jc w:val="both"/>
        <w:rPr>
          <w:rFonts w:ascii="SimSun" w:hAnsi="SimSun" w:eastAsia="SimSun" w:cs="SimSun"/>
          <w:sz w:val="24"/>
          <w:szCs w:val="24"/>
        </w:rPr>
      </w:pPr>
      <w:r>
        <w:pict>
          <v:shape id="_x0000_s282" style="position:absolute;margin-left:85.05pt;margin-top:78.87pt;mso-position-vertical-relative:page;mso-position-horizontal-relative:page;width:425.25pt;height:0.75pt;z-index:251789312;" o:allowincell="f" fillcolor="#000000" filled="true" stroked="false" coordsize="8505,15" coordorigin="0,0" path="m,l8505,0l8505,14l0,14l0,0xe"/>
        </w:pict>
      </w:r>
      <w:r>
        <w:rPr>
          <w:rFonts w:ascii="SimSun" w:hAnsi="SimSun" w:eastAsia="SimSun" w:cs="SimSun"/>
          <w:sz w:val="24"/>
          <w:szCs w:val="24"/>
          <w:spacing w:val="3"/>
        </w:rPr>
        <w:t>存间、危险废物暂存间，西厂区洗净毛库房、洗毛车</w:t>
      </w:r>
      <w:r>
        <w:rPr>
          <w:rFonts w:ascii="SimSun" w:hAnsi="SimSun" w:eastAsia="SimSun" w:cs="SimSun"/>
          <w:sz w:val="24"/>
          <w:szCs w:val="24"/>
          <w:spacing w:val="2"/>
        </w:rPr>
        <w:t>间二、梳绒车间利用现有的</w:t>
      </w:r>
      <w:r>
        <w:rPr>
          <w:rFonts w:ascii="SimSun" w:hAnsi="SimSun" w:eastAsia="SimSun" w:cs="SimSun"/>
          <w:sz w:val="24"/>
          <w:szCs w:val="24"/>
        </w:rPr>
        <w:t xml:space="preserve"> </w:t>
      </w:r>
      <w:r>
        <w:rPr>
          <w:rFonts w:ascii="SimSun" w:hAnsi="SimSun" w:eastAsia="SimSun" w:cs="SimSun"/>
          <w:sz w:val="24"/>
          <w:szCs w:val="24"/>
          <w:spacing w:val="3"/>
        </w:rPr>
        <w:t>厂房建设。厂区内原辅料贮存设施、产品贮存设施</w:t>
      </w:r>
      <w:r>
        <w:rPr>
          <w:rFonts w:ascii="SimSun" w:hAnsi="SimSun" w:eastAsia="SimSun" w:cs="SimSun"/>
          <w:sz w:val="24"/>
          <w:szCs w:val="24"/>
          <w:spacing w:val="2"/>
        </w:rPr>
        <w:t>及辅助工程均靠近生产车间建</w:t>
      </w:r>
      <w:r>
        <w:rPr>
          <w:rFonts w:ascii="SimSun" w:hAnsi="SimSun" w:eastAsia="SimSun" w:cs="SimSun"/>
          <w:sz w:val="24"/>
          <w:szCs w:val="24"/>
        </w:rPr>
        <w:t xml:space="preserve"> </w:t>
      </w:r>
      <w:r>
        <w:rPr>
          <w:rFonts w:ascii="SimSun" w:hAnsi="SimSun" w:eastAsia="SimSun" w:cs="SimSun"/>
          <w:sz w:val="24"/>
          <w:szCs w:val="24"/>
          <w:spacing w:val="-2"/>
        </w:rPr>
        <w:t>设，减少物料的输送距离。</w:t>
      </w:r>
    </w:p>
    <w:p>
      <w:pPr>
        <w:ind w:left="9" w:firstLine="480"/>
        <w:spacing w:before="1" w:line="360" w:lineRule="auto"/>
        <w:jc w:val="both"/>
        <w:rPr>
          <w:rFonts w:ascii="SimSun" w:hAnsi="SimSun" w:eastAsia="SimSun" w:cs="SimSun"/>
          <w:sz w:val="24"/>
          <w:szCs w:val="24"/>
        </w:rPr>
      </w:pPr>
      <w:r>
        <w:rPr>
          <w:rFonts w:ascii="SimSun" w:hAnsi="SimSun" w:eastAsia="SimSun" w:cs="SimSun"/>
          <w:sz w:val="24"/>
          <w:szCs w:val="24"/>
          <w:spacing w:val="3"/>
        </w:rPr>
        <w:t>本项目办公生活区位于西厂区北侧，处于区域主导风向上</w:t>
      </w:r>
      <w:r>
        <w:rPr>
          <w:rFonts w:ascii="SimSun" w:hAnsi="SimSun" w:eastAsia="SimSun" w:cs="SimSun"/>
          <w:sz w:val="24"/>
          <w:szCs w:val="24"/>
          <w:spacing w:val="2"/>
        </w:rPr>
        <w:t>风向；各生产装置</w:t>
      </w:r>
      <w:r>
        <w:rPr>
          <w:rFonts w:ascii="SimSun" w:hAnsi="SimSun" w:eastAsia="SimSun" w:cs="SimSun"/>
          <w:sz w:val="24"/>
          <w:szCs w:val="24"/>
        </w:rPr>
        <w:t xml:space="preserve"> </w:t>
      </w:r>
      <w:r>
        <w:rPr>
          <w:rFonts w:ascii="SimSun" w:hAnsi="SimSun" w:eastAsia="SimSun" w:cs="SimSun"/>
          <w:sz w:val="24"/>
          <w:szCs w:val="24"/>
          <w:spacing w:val="3"/>
        </w:rPr>
        <w:t>区紧凑布置，各相关工序依次相连，缩短了原料和</w:t>
      </w:r>
      <w:r>
        <w:rPr>
          <w:rFonts w:ascii="SimSun" w:hAnsi="SimSun" w:eastAsia="SimSun" w:cs="SimSun"/>
          <w:sz w:val="24"/>
          <w:szCs w:val="24"/>
          <w:spacing w:val="2"/>
        </w:rPr>
        <w:t>产品的运输距离，生产设施区</w:t>
      </w:r>
      <w:r>
        <w:rPr>
          <w:rFonts w:ascii="SimSun" w:hAnsi="SimSun" w:eastAsia="SimSun" w:cs="SimSun"/>
          <w:sz w:val="24"/>
          <w:szCs w:val="24"/>
        </w:rPr>
        <w:t xml:space="preserve"> </w:t>
      </w:r>
      <w:r>
        <w:rPr>
          <w:rFonts w:ascii="SimSun" w:hAnsi="SimSun" w:eastAsia="SimSun" w:cs="SimSun"/>
          <w:sz w:val="24"/>
          <w:szCs w:val="24"/>
          <w:spacing w:val="3"/>
        </w:rPr>
        <w:t>均为硬化地面，便于运输车辆周转，以及原辅料的</w:t>
      </w:r>
      <w:r>
        <w:rPr>
          <w:rFonts w:ascii="SimSun" w:hAnsi="SimSun" w:eastAsia="SimSun" w:cs="SimSun"/>
          <w:sz w:val="24"/>
          <w:szCs w:val="24"/>
          <w:spacing w:val="2"/>
        </w:rPr>
        <w:t>应急堆放；人员和物流进行分</w:t>
      </w:r>
      <w:r>
        <w:rPr>
          <w:rFonts w:ascii="SimSun" w:hAnsi="SimSun" w:eastAsia="SimSun" w:cs="SimSun"/>
          <w:sz w:val="24"/>
          <w:szCs w:val="24"/>
        </w:rPr>
        <w:t xml:space="preserve"> </w:t>
      </w:r>
      <w:r>
        <w:rPr>
          <w:rFonts w:ascii="SimSun" w:hAnsi="SimSun" w:eastAsia="SimSun" w:cs="SimSun"/>
          <w:sz w:val="24"/>
          <w:szCs w:val="24"/>
          <w:spacing w:val="3"/>
        </w:rPr>
        <w:t>离；公用工程及辅助设施靠近生产设施布置，有利于节约</w:t>
      </w:r>
      <w:r>
        <w:rPr>
          <w:rFonts w:ascii="SimSun" w:hAnsi="SimSun" w:eastAsia="SimSun" w:cs="SimSun"/>
          <w:sz w:val="24"/>
          <w:szCs w:val="24"/>
          <w:spacing w:val="2"/>
        </w:rPr>
        <w:t>用地，厂区总平面布置</w:t>
      </w:r>
      <w:r>
        <w:rPr>
          <w:rFonts w:ascii="SimSun" w:hAnsi="SimSun" w:eastAsia="SimSun" w:cs="SimSun"/>
          <w:sz w:val="24"/>
          <w:szCs w:val="24"/>
        </w:rPr>
        <w:t xml:space="preserve"> </w:t>
      </w:r>
      <w:r>
        <w:rPr>
          <w:rFonts w:ascii="SimSun" w:hAnsi="SimSun" w:eastAsia="SimSun" w:cs="SimSun"/>
          <w:sz w:val="24"/>
          <w:szCs w:val="24"/>
          <w:spacing w:val="-1"/>
        </w:rPr>
        <w:t>基本合理。本项目厂区总平面布置见图</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3.1-3</w:t>
      </w:r>
      <w:r>
        <w:rPr>
          <w:rFonts w:ascii="SimSun" w:hAnsi="SimSun" w:eastAsia="SimSun" w:cs="SimSun"/>
          <w:sz w:val="24"/>
          <w:szCs w:val="24"/>
          <w:spacing w:val="-1"/>
        </w:rPr>
        <w:t>。</w:t>
      </w:r>
    </w:p>
    <w:p>
      <w:pPr>
        <w:spacing w:line="360" w:lineRule="auto"/>
        <w:sectPr>
          <w:headerReference w:type="default" r:id="rId68"/>
          <w:footerReference w:type="default" r:id="rId69"/>
          <w:pgSz w:w="11907" w:h="16840"/>
          <w:pgMar w:top="1567" w:right="1699" w:bottom="1481" w:left="1701" w:header="1221" w:footer="1247" w:gutter="0"/>
        </w:sectPr>
        <w:rPr>
          <w:rFonts w:ascii="SimSun" w:hAnsi="SimSun" w:eastAsia="SimSun" w:cs="SimSun"/>
          <w:sz w:val="24"/>
          <w:szCs w:val="24"/>
        </w:rPr>
      </w:pPr>
    </w:p>
    <w:p>
      <w:pPr>
        <w:ind w:firstLine="1640"/>
        <w:spacing w:before="151" w:line="8830" w:lineRule="exact"/>
        <w:rPr/>
      </w:pPr>
      <w:r>
        <w:pict>
          <v:shape id="_x0000_s286" style="position:absolute;margin-left:56.7pt;margin-top:59.26pt;mso-position-vertical-relative:page;mso-position-horizontal-relative:page;width:728.6pt;height:0.75pt;z-index:251791360;" o:allowincell="f" fillcolor="#000000" filled="true" stroked="false" coordsize="14571,15" coordorigin="0,0" path="m,l14571,0l14571,14l0,14l0,0xe"/>
        </w:pict>
      </w:r>
      <w:r>
        <w:rPr>
          <w:position w:val="-176"/>
        </w:rPr>
        <w:drawing>
          <wp:inline distT="0" distB="0" distL="0" distR="0">
            <wp:extent cx="7168897" cy="5606796"/>
            <wp:effectExtent l="0" t="0" r="0" b="0"/>
            <wp:docPr id="30" name="IM 30"/>
            <wp:cNvGraphicFramePr/>
            <a:graphic>
              <a:graphicData uri="http://schemas.openxmlformats.org/drawingml/2006/picture">
                <pic:pic>
                  <pic:nvPicPr>
                    <pic:cNvPr id="30" name="IM 30"/>
                    <pic:cNvPicPr/>
                  </pic:nvPicPr>
                  <pic:blipFill>
                    <a:blip r:embed="rId71"/>
                    <a:stretch>
                      <a:fillRect/>
                    </a:stretch>
                  </pic:blipFill>
                  <pic:spPr>
                    <a:xfrm rot="0">
                      <a:off x="0" y="0"/>
                      <a:ext cx="7168897" cy="5606796"/>
                    </a:xfrm>
                    <a:prstGeom prst="rect">
                      <a:avLst/>
                    </a:prstGeom>
                  </pic:spPr>
                </pic:pic>
              </a:graphicData>
            </a:graphic>
          </wp:inline>
        </w:drawing>
      </w:r>
    </w:p>
    <w:p>
      <w:pPr>
        <w:ind w:left="5774"/>
        <w:spacing w:before="171"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51"/>
        </w:rPr>
        <w:t xml:space="preserve"> </w:t>
      </w:r>
      <w:r>
        <w:rPr>
          <w:rFonts w:ascii="Times New Roman" w:hAnsi="Times New Roman" w:eastAsia="Times New Roman" w:cs="Times New Roman"/>
          <w:sz w:val="24"/>
          <w:szCs w:val="24"/>
          <w:b/>
          <w:bCs/>
          <w:spacing w:val="-3"/>
        </w:rPr>
        <w:t>3.1-3      </w:t>
      </w:r>
      <w:r>
        <w:rPr>
          <w:rFonts w:ascii="SimSun" w:hAnsi="SimSun" w:eastAsia="SimSun" w:cs="SimSun"/>
          <w:sz w:val="24"/>
          <w:szCs w:val="24"/>
          <w:b/>
          <w:bCs/>
          <w:spacing w:val="-3"/>
        </w:rPr>
        <w:t>厂区总平面布置图</w:t>
      </w:r>
    </w:p>
    <w:p>
      <w:pPr>
        <w:ind w:left="5"/>
        <w:spacing w:before="101" w:line="22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 </w:t>
      </w:r>
      <w:r>
        <w:rPr>
          <w:rFonts w:ascii="SimSun" w:hAnsi="SimSun" w:eastAsia="SimSun" w:cs="SimSun"/>
          <w:sz w:val="19"/>
          <w:szCs w:val="19"/>
          <w:spacing w:val="6"/>
        </w:rPr>
        <w:t xml:space="preserve">                                 </w:t>
      </w:r>
      <w:r>
        <w:rPr>
          <w:rFonts w:ascii="Times New Roman" w:hAnsi="Times New Roman" w:eastAsia="Times New Roman" w:cs="Times New Roman"/>
          <w:sz w:val="18"/>
          <w:szCs w:val="18"/>
          <w:spacing w:val="6"/>
          <w:position w:val="2"/>
        </w:rPr>
        <w:t>57</w:t>
      </w:r>
    </w:p>
    <w:p>
      <w:pPr>
        <w:spacing w:line="227" w:lineRule="auto"/>
        <w:sectPr>
          <w:headerReference w:type="default" r:id="rId70"/>
          <w:footerReference w:type="default" r:id="rId3"/>
          <w:pgSz w:w="16840" w:h="11907"/>
          <w:pgMar w:top="1170" w:right="1134" w:bottom="400" w:left="1134" w:header="825" w:footer="0" w:gutter="0"/>
        </w:sectPr>
        <w:rPr>
          <w:rFonts w:ascii="Times New Roman" w:hAnsi="Times New Roman" w:eastAsia="Times New Roman" w:cs="Times New Roman"/>
          <w:sz w:val="18"/>
          <w:szCs w:val="18"/>
        </w:rPr>
      </w:pPr>
    </w:p>
    <w:p>
      <w:pPr>
        <w:ind w:left="67"/>
        <w:spacing w:before="293" w:line="222" w:lineRule="auto"/>
        <w:outlineLvl w:val="2"/>
        <w:rPr>
          <w:rFonts w:ascii="SimHei" w:hAnsi="SimHei" w:eastAsia="SimHei" w:cs="SimHei"/>
          <w:sz w:val="28"/>
          <w:szCs w:val="28"/>
        </w:rPr>
      </w:pPr>
      <w:r>
        <w:pict>
          <v:shape id="_x0000_s290" style="position:absolute;margin-left:85.05pt;margin-top:78.87pt;mso-position-vertical-relative:page;mso-position-horizontal-relative:page;width:425.25pt;height:0.75pt;z-index:251793408;" o:allowincell="f" fillcolor="#000000" filled="true" stroked="false" coordsize="8505,15" coordorigin="0,0" path="m,l8505,0l8505,14l0,14l0,0xe"/>
        </w:pict>
      </w:r>
      <w:bookmarkStart w:name="bookmark224" w:id="58"/>
      <w:bookmarkEnd w:id="58"/>
      <w:r>
        <w:rPr>
          <w:rFonts w:ascii="Times New Roman" w:hAnsi="Times New Roman" w:eastAsia="Times New Roman" w:cs="Times New Roman"/>
          <w:sz w:val="28"/>
          <w:szCs w:val="28"/>
          <w:spacing w:val="-1"/>
        </w:rPr>
        <w:t>3.1.4 </w:t>
      </w:r>
      <w:r>
        <w:rPr>
          <w:rFonts w:ascii="SimHei" w:hAnsi="SimHei" w:eastAsia="SimHei" w:cs="SimHei"/>
          <w:sz w:val="28"/>
          <w:szCs w:val="28"/>
          <w:spacing w:val="-1"/>
        </w:rPr>
        <w:t>产品方案及质量指标</w:t>
      </w:r>
    </w:p>
    <w:p>
      <w:pPr>
        <w:pStyle w:val="BodyText"/>
        <w:spacing w:line="244" w:lineRule="auto"/>
        <w:rPr/>
      </w:pPr>
      <w:r/>
    </w:p>
    <w:p>
      <w:pPr>
        <w:ind w:left="60"/>
        <w:spacing w:before="78" w:line="219" w:lineRule="auto"/>
        <w:outlineLvl w:val="3"/>
        <w:rPr>
          <w:rFonts w:ascii="SimSun" w:hAnsi="SimSun" w:eastAsia="SimSun" w:cs="SimSun"/>
          <w:sz w:val="24"/>
          <w:szCs w:val="24"/>
        </w:rPr>
      </w:pPr>
      <w:bookmarkStart w:name="bookmark48" w:id="59"/>
      <w:bookmarkEnd w:id="59"/>
      <w:r>
        <w:rPr>
          <w:rFonts w:ascii="Times New Roman" w:hAnsi="Times New Roman" w:eastAsia="Times New Roman" w:cs="Times New Roman"/>
          <w:sz w:val="24"/>
          <w:szCs w:val="24"/>
          <w:b/>
          <w:bCs/>
          <w:spacing w:val="-1"/>
        </w:rPr>
        <w:t>3.1.4.1 </w:t>
      </w:r>
      <w:r>
        <w:rPr>
          <w:rFonts w:ascii="SimSun" w:hAnsi="SimSun" w:eastAsia="SimSun" w:cs="SimSun"/>
          <w:sz w:val="24"/>
          <w:szCs w:val="24"/>
          <w:b/>
          <w:bCs/>
          <w:spacing w:val="-1"/>
        </w:rPr>
        <w:t>产品方案</w:t>
      </w:r>
    </w:p>
    <w:p>
      <w:pPr>
        <w:ind w:left="546"/>
        <w:spacing w:before="179" w:line="219" w:lineRule="auto"/>
        <w:rPr>
          <w:rFonts w:ascii="SimSun" w:hAnsi="SimSun" w:eastAsia="SimSun" w:cs="SimSun"/>
          <w:sz w:val="24"/>
          <w:szCs w:val="24"/>
        </w:rPr>
      </w:pPr>
      <w:r>
        <w:rPr>
          <w:rFonts w:ascii="SimSun" w:hAnsi="SimSun" w:eastAsia="SimSun" w:cs="SimSun"/>
          <w:sz w:val="24"/>
          <w:szCs w:val="24"/>
          <w:spacing w:val="-1"/>
        </w:rPr>
        <w:t>本项目产品方案及生产规模详见表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3.1-3</w:t>
      </w:r>
      <w:r>
        <w:rPr>
          <w:rFonts w:ascii="SimSun" w:hAnsi="SimSun" w:eastAsia="SimSun" w:cs="SimSun"/>
          <w:sz w:val="24"/>
          <w:szCs w:val="24"/>
          <w:spacing w:val="-1"/>
        </w:rPr>
        <w:t>。</w:t>
      </w:r>
    </w:p>
    <w:p>
      <w:pPr>
        <w:ind w:left="2289"/>
        <w:spacing w:before="184"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3.1-3      </w:t>
      </w:r>
      <w:r>
        <w:rPr>
          <w:rFonts w:ascii="SimSun" w:hAnsi="SimSun" w:eastAsia="SimSun" w:cs="SimSun"/>
          <w:sz w:val="24"/>
          <w:szCs w:val="24"/>
          <w:b/>
          <w:bCs/>
          <w:spacing w:val="-2"/>
        </w:rPr>
        <w:t>产品方案及生产规模一览表</w:t>
      </w:r>
    </w:p>
    <w:tbl>
      <w:tblPr>
        <w:tblStyle w:val="TableNormal"/>
        <w:tblW w:w="861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35"/>
        <w:gridCol w:w="1819"/>
        <w:gridCol w:w="2553"/>
        <w:gridCol w:w="3304"/>
      </w:tblGrid>
      <w:tr>
        <w:trPr>
          <w:trHeight w:val="281" w:hRule="atLeast"/>
        </w:trPr>
        <w:tc>
          <w:tcPr>
            <w:tcW w:w="935" w:type="dxa"/>
            <w:vAlign w:val="top"/>
          </w:tcPr>
          <w:p>
            <w:pPr>
              <w:pStyle w:val="TableText"/>
              <w:ind w:left="262"/>
              <w:spacing w:before="35" w:line="217" w:lineRule="auto"/>
              <w:rPr/>
            </w:pPr>
            <w:r>
              <w:rPr>
                <w:spacing w:val="5"/>
              </w:rPr>
              <w:t>序号</w:t>
            </w:r>
          </w:p>
        </w:tc>
        <w:tc>
          <w:tcPr>
            <w:tcW w:w="1819" w:type="dxa"/>
            <w:vAlign w:val="top"/>
          </w:tcPr>
          <w:p>
            <w:pPr>
              <w:pStyle w:val="TableText"/>
              <w:ind w:left="494"/>
              <w:spacing w:before="35" w:line="217" w:lineRule="auto"/>
              <w:rPr/>
            </w:pPr>
            <w:r>
              <w:rPr>
                <w:spacing w:val="7"/>
              </w:rPr>
              <w:t>产品方案</w:t>
            </w:r>
          </w:p>
        </w:tc>
        <w:tc>
          <w:tcPr>
            <w:tcW w:w="2553" w:type="dxa"/>
            <w:vAlign w:val="top"/>
          </w:tcPr>
          <w:p>
            <w:pPr>
              <w:pStyle w:val="TableText"/>
              <w:ind w:left="415"/>
              <w:spacing w:before="35" w:line="217" w:lineRule="auto"/>
              <w:rPr/>
            </w:pPr>
            <w:r>
              <w:rPr>
                <w:spacing w:val="6"/>
              </w:rPr>
              <w:t>生产规模（吨</w:t>
            </w:r>
            <w:r>
              <w:rPr>
                <w:rFonts w:ascii="Times New Roman" w:hAnsi="Times New Roman" w:eastAsia="Times New Roman" w:cs="Times New Roman"/>
                <w:spacing w:val="6"/>
              </w:rPr>
              <w:t>/</w:t>
            </w:r>
            <w:r>
              <w:rPr>
                <w:spacing w:val="6"/>
              </w:rPr>
              <w:t>年）</w:t>
            </w:r>
          </w:p>
        </w:tc>
        <w:tc>
          <w:tcPr>
            <w:tcW w:w="3304" w:type="dxa"/>
            <w:vAlign w:val="top"/>
          </w:tcPr>
          <w:p>
            <w:pPr>
              <w:pStyle w:val="TableText"/>
              <w:ind w:left="1448"/>
              <w:spacing w:before="35" w:line="217" w:lineRule="auto"/>
              <w:rPr/>
            </w:pPr>
            <w:r>
              <w:rPr>
                <w:spacing w:val="3"/>
              </w:rPr>
              <w:t>备注</w:t>
            </w:r>
          </w:p>
        </w:tc>
      </w:tr>
      <w:tr>
        <w:trPr>
          <w:trHeight w:val="276" w:hRule="atLeast"/>
        </w:trPr>
        <w:tc>
          <w:tcPr>
            <w:tcW w:w="935" w:type="dxa"/>
            <w:vAlign w:val="top"/>
          </w:tcPr>
          <w:p>
            <w:pPr>
              <w:ind w:left="43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819" w:type="dxa"/>
            <w:vAlign w:val="top"/>
          </w:tcPr>
          <w:p>
            <w:pPr>
              <w:pStyle w:val="TableText"/>
              <w:ind w:left="597"/>
              <w:spacing w:before="33" w:line="215" w:lineRule="auto"/>
              <w:rPr/>
            </w:pPr>
            <w:r>
              <w:rPr>
                <w:spacing w:val="7"/>
              </w:rPr>
              <w:t>洗净毛</w:t>
            </w:r>
          </w:p>
        </w:tc>
        <w:tc>
          <w:tcPr>
            <w:tcW w:w="2553" w:type="dxa"/>
            <w:vAlign w:val="top"/>
          </w:tcPr>
          <w:p>
            <w:pPr>
              <w:ind w:left="103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18000</w:t>
            </w:r>
          </w:p>
        </w:tc>
        <w:tc>
          <w:tcPr>
            <w:tcW w:w="3304" w:type="dxa"/>
            <w:vAlign w:val="top"/>
          </w:tcPr>
          <w:p>
            <w:pPr>
              <w:pStyle w:val="TableText"/>
              <w:ind w:left="292"/>
              <w:spacing w:before="33" w:line="215" w:lineRule="auto"/>
              <w:rPr/>
            </w:pPr>
            <w:r>
              <w:rPr>
                <w:spacing w:val="6"/>
              </w:rPr>
              <w:t>其中</w:t>
            </w:r>
            <w:r>
              <w:rPr>
                <w:spacing w:val="-35"/>
              </w:rPr>
              <w:t xml:space="preserve"> </w:t>
            </w:r>
            <w:r>
              <w:rPr>
                <w:rFonts w:ascii="Times New Roman" w:hAnsi="Times New Roman" w:eastAsia="Times New Roman" w:cs="Times New Roman"/>
                <w:spacing w:val="6"/>
              </w:rPr>
              <w:t>545</w:t>
            </w:r>
            <w:r>
              <w:rPr>
                <w:rFonts w:ascii="Times New Roman" w:hAnsi="Times New Roman" w:eastAsia="Times New Roman" w:cs="Times New Roman"/>
                <w:spacing w:val="19"/>
                <w:w w:val="101"/>
              </w:rPr>
              <w:t xml:space="preserve"> </w:t>
            </w:r>
            <w:r>
              <w:rPr>
                <w:spacing w:val="6"/>
              </w:rPr>
              <w:t>吨去梳绒；其余外售</w:t>
            </w:r>
          </w:p>
        </w:tc>
      </w:tr>
      <w:tr>
        <w:trPr>
          <w:trHeight w:val="277" w:hRule="atLeast"/>
        </w:trPr>
        <w:tc>
          <w:tcPr>
            <w:tcW w:w="935" w:type="dxa"/>
            <w:vAlign w:val="top"/>
          </w:tcPr>
          <w:p>
            <w:pPr>
              <w:ind w:left="418"/>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819" w:type="dxa"/>
            <w:vAlign w:val="top"/>
          </w:tcPr>
          <w:p>
            <w:pPr>
              <w:pStyle w:val="TableText"/>
              <w:ind w:left="599"/>
              <w:spacing w:before="32" w:line="216" w:lineRule="auto"/>
              <w:rPr/>
            </w:pPr>
            <w:r>
              <w:rPr>
                <w:spacing w:val="6"/>
              </w:rPr>
              <w:t>无毛绒</w:t>
            </w:r>
          </w:p>
        </w:tc>
        <w:tc>
          <w:tcPr>
            <w:tcW w:w="2553" w:type="dxa"/>
            <w:vAlign w:val="top"/>
          </w:tcPr>
          <w:p>
            <w:pPr>
              <w:ind w:left="112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300</w:t>
            </w:r>
          </w:p>
        </w:tc>
        <w:tc>
          <w:tcPr>
            <w:tcW w:w="3304" w:type="dxa"/>
            <w:vAlign w:val="top"/>
          </w:tcPr>
          <w:p>
            <w:pPr>
              <w:pStyle w:val="TableText"/>
              <w:ind w:left="1450"/>
              <w:spacing w:before="32" w:line="216" w:lineRule="auto"/>
              <w:rPr/>
            </w:pPr>
            <w:r>
              <w:rPr>
                <w:spacing w:val="2"/>
              </w:rPr>
              <w:t>外售</w:t>
            </w:r>
          </w:p>
        </w:tc>
      </w:tr>
      <w:tr>
        <w:trPr>
          <w:trHeight w:val="276" w:hRule="atLeast"/>
        </w:trPr>
        <w:tc>
          <w:tcPr>
            <w:tcW w:w="935" w:type="dxa"/>
            <w:vAlign w:val="top"/>
          </w:tcPr>
          <w:p>
            <w:pPr>
              <w:ind w:left="42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819" w:type="dxa"/>
            <w:vAlign w:val="top"/>
          </w:tcPr>
          <w:p>
            <w:pPr>
              <w:pStyle w:val="TableText"/>
              <w:ind w:left="602"/>
              <w:spacing w:before="34" w:line="214" w:lineRule="auto"/>
              <w:rPr/>
            </w:pPr>
            <w:r>
              <w:rPr>
                <w:spacing w:val="5"/>
              </w:rPr>
              <w:t>沼液肥</w:t>
            </w:r>
          </w:p>
        </w:tc>
        <w:tc>
          <w:tcPr>
            <w:tcW w:w="2553" w:type="dxa"/>
            <w:vAlign w:val="top"/>
          </w:tcPr>
          <w:p>
            <w:pPr>
              <w:ind w:left="101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42810</w:t>
            </w:r>
          </w:p>
        </w:tc>
        <w:tc>
          <w:tcPr>
            <w:tcW w:w="3304" w:type="dxa"/>
            <w:vAlign w:val="top"/>
          </w:tcPr>
          <w:p>
            <w:pPr>
              <w:pStyle w:val="TableText"/>
              <w:ind w:left="816"/>
              <w:spacing w:before="34" w:line="214" w:lineRule="auto"/>
              <w:rPr/>
            </w:pPr>
            <w:r>
              <w:rPr>
                <w:spacing w:val="7"/>
              </w:rPr>
              <w:t>还田利用（自用）</w:t>
            </w:r>
          </w:p>
        </w:tc>
      </w:tr>
      <w:tr>
        <w:trPr>
          <w:trHeight w:val="280" w:hRule="atLeast"/>
        </w:trPr>
        <w:tc>
          <w:tcPr>
            <w:tcW w:w="935" w:type="dxa"/>
            <w:vAlign w:val="top"/>
          </w:tcPr>
          <w:p>
            <w:pPr>
              <w:ind w:left="417"/>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819" w:type="dxa"/>
            <w:vAlign w:val="top"/>
          </w:tcPr>
          <w:p>
            <w:pPr>
              <w:pStyle w:val="TableText"/>
              <w:ind w:left="602"/>
              <w:spacing w:before="36" w:line="216" w:lineRule="auto"/>
              <w:rPr/>
            </w:pPr>
            <w:r>
              <w:rPr>
                <w:spacing w:val="5"/>
              </w:rPr>
              <w:t>沼渣肥</w:t>
            </w:r>
          </w:p>
        </w:tc>
        <w:tc>
          <w:tcPr>
            <w:tcW w:w="2553" w:type="dxa"/>
            <w:vAlign w:val="top"/>
          </w:tcPr>
          <w:p>
            <w:pPr>
              <w:ind w:left="1067"/>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2150</w:t>
            </w:r>
          </w:p>
        </w:tc>
        <w:tc>
          <w:tcPr>
            <w:tcW w:w="3304" w:type="dxa"/>
            <w:vAlign w:val="top"/>
          </w:tcPr>
          <w:p>
            <w:pPr>
              <w:pStyle w:val="TableText"/>
              <w:ind w:left="816"/>
              <w:spacing w:before="36" w:line="216" w:lineRule="auto"/>
              <w:rPr/>
            </w:pPr>
            <w:r>
              <w:rPr>
                <w:spacing w:val="7"/>
              </w:rPr>
              <w:t>还田利用（自用）</w:t>
            </w:r>
          </w:p>
        </w:tc>
      </w:tr>
    </w:tbl>
    <w:p>
      <w:pPr>
        <w:ind w:left="60"/>
        <w:spacing w:before="36"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3.1.4.2 </w:t>
      </w:r>
      <w:r>
        <w:rPr>
          <w:rFonts w:ascii="SimSun" w:hAnsi="SimSun" w:eastAsia="SimSun" w:cs="SimSun"/>
          <w:sz w:val="24"/>
          <w:szCs w:val="24"/>
          <w:b/>
          <w:bCs/>
          <w:spacing w:val="-2"/>
        </w:rPr>
        <w:t>产品质量标准</w:t>
      </w:r>
    </w:p>
    <w:p>
      <w:pPr>
        <w:ind w:left="564"/>
        <w:spacing w:before="183" w:line="219" w:lineRule="auto"/>
        <w:rPr>
          <w:rFonts w:ascii="SimSun" w:hAnsi="SimSun" w:eastAsia="SimSun" w:cs="SimSun"/>
          <w:sz w:val="24"/>
          <w:szCs w:val="24"/>
        </w:rPr>
      </w:pP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5"/>
        </w:rPr>
        <w:t>、洗净毛产品质量标准</w:t>
      </w:r>
    </w:p>
    <w:p>
      <w:pPr>
        <w:spacing w:before="180" w:line="219" w:lineRule="auto"/>
        <w:jc w:val="right"/>
        <w:rPr>
          <w:rFonts w:ascii="SimSun" w:hAnsi="SimSun" w:eastAsia="SimSun" w:cs="SimSun"/>
          <w:sz w:val="24"/>
          <w:szCs w:val="24"/>
        </w:rPr>
      </w:pPr>
      <w:r>
        <w:rPr>
          <w:rFonts w:ascii="SimSun" w:hAnsi="SimSun" w:eastAsia="SimSun" w:cs="SimSun"/>
          <w:sz w:val="24"/>
          <w:szCs w:val="24"/>
          <w:spacing w:val="-9"/>
        </w:rPr>
        <w:t>本项目洗净毛满足《洗净绵羊毛》（</w:t>
      </w:r>
      <w:r>
        <w:rPr>
          <w:rFonts w:ascii="Times New Roman" w:hAnsi="Times New Roman" w:eastAsia="Times New Roman" w:cs="Times New Roman"/>
          <w:sz w:val="24"/>
          <w:szCs w:val="24"/>
          <w:spacing w:val="-9"/>
        </w:rPr>
        <w:t>GB/T19722</w:t>
      </w:r>
      <w:r>
        <w:rPr>
          <w:rFonts w:ascii="Times New Roman" w:hAnsi="Times New Roman" w:eastAsia="Times New Roman" w:cs="Times New Roman"/>
          <w:sz w:val="24"/>
          <w:szCs w:val="24"/>
          <w:spacing w:val="-10"/>
        </w:rPr>
        <w:t>-2005</w:t>
      </w:r>
      <w:r>
        <w:rPr>
          <w:rFonts w:ascii="SimSun" w:hAnsi="SimSun" w:eastAsia="SimSun" w:cs="SimSun"/>
          <w:sz w:val="24"/>
          <w:szCs w:val="24"/>
          <w:spacing w:val="-10"/>
        </w:rPr>
        <w:t>）中质量指标，见表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0"/>
        </w:rPr>
        <w:t>3.1-4</w:t>
      </w:r>
      <w:r>
        <w:rPr>
          <w:rFonts w:ascii="SimSun" w:hAnsi="SimSun" w:eastAsia="SimSun" w:cs="SimSun"/>
          <w:sz w:val="24"/>
          <w:szCs w:val="24"/>
          <w:spacing w:val="-10"/>
        </w:rPr>
        <w:t>。</w:t>
      </w:r>
    </w:p>
    <w:p>
      <w:pPr>
        <w:ind w:left="2049"/>
        <w:spacing w:before="184"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4"/>
        </w:rPr>
        <w:t xml:space="preserve"> </w:t>
      </w:r>
      <w:r>
        <w:rPr>
          <w:rFonts w:ascii="Times New Roman" w:hAnsi="Times New Roman" w:eastAsia="Times New Roman" w:cs="Times New Roman"/>
          <w:sz w:val="24"/>
          <w:szCs w:val="24"/>
          <w:b/>
          <w:bCs/>
          <w:spacing w:val="-2"/>
        </w:rPr>
        <w:t>3.1-4      </w:t>
      </w:r>
      <w:r>
        <w:rPr>
          <w:rFonts w:ascii="SimSun" w:hAnsi="SimSun" w:eastAsia="SimSun" w:cs="SimSun"/>
          <w:sz w:val="24"/>
          <w:szCs w:val="24"/>
          <w:b/>
          <w:bCs/>
          <w:spacing w:val="-2"/>
        </w:rPr>
        <w:t>洗净毛（绵羊毛）产品质量指标</w:t>
      </w:r>
    </w:p>
    <w:tbl>
      <w:tblPr>
        <w:tblStyle w:val="TableNormal"/>
        <w:tblW w:w="8517" w:type="dxa"/>
        <w:tblInd w:w="49"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615"/>
        <w:gridCol w:w="1771"/>
        <w:gridCol w:w="2491"/>
        <w:gridCol w:w="2640"/>
      </w:tblGrid>
      <w:tr>
        <w:trPr>
          <w:trHeight w:val="282" w:hRule="atLeast"/>
        </w:trPr>
        <w:tc>
          <w:tcPr>
            <w:tcW w:w="3386" w:type="dxa"/>
            <w:vAlign w:val="top"/>
            <w:gridSpan w:val="2"/>
          </w:tcPr>
          <w:p>
            <w:pPr>
              <w:pStyle w:val="TableText"/>
              <w:ind w:left="1495"/>
              <w:spacing w:before="36" w:line="217" w:lineRule="auto"/>
              <w:rPr/>
            </w:pPr>
            <w:r>
              <w:rPr>
                <w:spacing w:val="1"/>
              </w:rPr>
              <w:t>型号</w:t>
            </w:r>
          </w:p>
        </w:tc>
        <w:tc>
          <w:tcPr>
            <w:tcW w:w="2491" w:type="dxa"/>
            <w:vAlign w:val="top"/>
          </w:tcPr>
          <w:p>
            <w:pPr>
              <w:pStyle w:val="TableText"/>
              <w:ind w:left="506"/>
              <w:spacing w:before="36" w:line="217" w:lineRule="auto"/>
              <w:rPr/>
            </w:pPr>
            <w:r>
              <w:rPr>
                <w:spacing w:val="6"/>
              </w:rPr>
              <w:t>直径离散</w:t>
            </w:r>
            <w:r>
              <w:rPr>
                <w:rFonts w:ascii="Times New Roman" w:hAnsi="Times New Roman" w:eastAsia="Times New Roman" w:cs="Times New Roman"/>
                <w:spacing w:val="6"/>
              </w:rPr>
              <w:t>/</w:t>
            </w:r>
            <w:r>
              <w:rPr>
                <w:spacing w:val="6"/>
              </w:rPr>
              <w:t>（</w:t>
            </w:r>
            <w:r>
              <w:rPr>
                <w:rFonts w:ascii="Times New Roman" w:hAnsi="Times New Roman" w:eastAsia="Times New Roman" w:cs="Times New Roman"/>
                <w:spacing w:val="6"/>
              </w:rPr>
              <w:t>%</w:t>
            </w:r>
            <w:r>
              <w:rPr>
                <w:spacing w:val="6"/>
              </w:rPr>
              <w:t>）</w:t>
            </w:r>
          </w:p>
        </w:tc>
        <w:tc>
          <w:tcPr>
            <w:tcW w:w="2640" w:type="dxa"/>
            <w:vAlign w:val="top"/>
          </w:tcPr>
          <w:p>
            <w:pPr>
              <w:pStyle w:val="TableText"/>
              <w:ind w:left="579"/>
              <w:spacing w:before="36" w:line="217" w:lineRule="auto"/>
              <w:rPr/>
            </w:pPr>
            <w:r>
              <w:rPr>
                <w:spacing w:val="6"/>
              </w:rPr>
              <w:t>粗腔毛率</w:t>
            </w:r>
            <w:r>
              <w:rPr>
                <w:rFonts w:ascii="Times New Roman" w:hAnsi="Times New Roman" w:eastAsia="Times New Roman" w:cs="Times New Roman"/>
                <w:spacing w:val="6"/>
              </w:rPr>
              <w:t>/</w:t>
            </w:r>
            <w:r>
              <w:rPr>
                <w:spacing w:val="6"/>
              </w:rPr>
              <w:t>（</w:t>
            </w:r>
            <w:r>
              <w:rPr>
                <w:rFonts w:ascii="Times New Roman" w:hAnsi="Times New Roman" w:eastAsia="Times New Roman" w:cs="Times New Roman"/>
                <w:spacing w:val="6"/>
              </w:rPr>
              <w:t>%</w:t>
            </w:r>
            <w:r>
              <w:rPr>
                <w:spacing w:val="6"/>
              </w:rPr>
              <w:t>）</w:t>
            </w:r>
          </w:p>
        </w:tc>
      </w:tr>
      <w:tr>
        <w:trPr>
          <w:trHeight w:val="276" w:hRule="atLeast"/>
        </w:trPr>
        <w:tc>
          <w:tcPr>
            <w:tcW w:w="1615" w:type="dxa"/>
            <w:vAlign w:val="top"/>
            <w:vMerge w:val="restart"/>
            <w:tcBorders>
              <w:bottom w:val="nil"/>
            </w:tcBorders>
          </w:tcPr>
          <w:p>
            <w:pPr>
              <w:spacing w:line="464" w:lineRule="auto"/>
              <w:rPr>
                <w:rFonts w:ascii="Arial"/>
                <w:sz w:val="21"/>
              </w:rPr>
            </w:pPr>
            <w:r/>
          </w:p>
          <w:p>
            <w:pPr>
              <w:pStyle w:val="TableText"/>
              <w:ind w:left="403"/>
              <w:spacing w:before="65" w:line="228" w:lineRule="auto"/>
              <w:rPr/>
            </w:pPr>
            <w:r>
              <w:rPr>
                <w:rFonts w:ascii="Times New Roman" w:hAnsi="Times New Roman" w:eastAsia="Times New Roman" w:cs="Times New Roman"/>
                <w:spacing w:val="5"/>
              </w:rPr>
              <w:t>Z</w:t>
            </w:r>
            <w:r>
              <w:rPr>
                <w:rFonts w:ascii="Times New Roman" w:hAnsi="Times New Roman" w:eastAsia="Times New Roman" w:cs="Times New Roman"/>
                <w:spacing w:val="13"/>
              </w:rPr>
              <w:t xml:space="preserve"> </w:t>
            </w:r>
            <w:r>
              <w:rPr>
                <w:spacing w:val="5"/>
              </w:rPr>
              <w:t>支数毛</w:t>
            </w:r>
          </w:p>
        </w:tc>
        <w:tc>
          <w:tcPr>
            <w:tcW w:w="1771" w:type="dxa"/>
            <w:vAlign w:val="top"/>
          </w:tcPr>
          <w:p>
            <w:pPr>
              <w:ind w:left="807"/>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A</w:t>
            </w:r>
          </w:p>
        </w:tc>
        <w:tc>
          <w:tcPr>
            <w:tcW w:w="2491" w:type="dxa"/>
            <w:vAlign w:val="top"/>
          </w:tcPr>
          <w:p>
            <w:pPr>
              <w:pStyle w:val="TableText"/>
              <w:ind w:left="975"/>
              <w:spacing w:before="30" w:line="217" w:lineRule="auto"/>
              <w:rPr>
                <w:rFonts w:ascii="Times New Roman" w:hAnsi="Times New Roman" w:eastAsia="Times New Roman" w:cs="Times New Roman"/>
              </w:rPr>
            </w:pPr>
            <w:r>
              <w:rPr>
                <w:spacing w:val="1"/>
              </w:rPr>
              <w:t>≤</w:t>
            </w:r>
            <w:r>
              <w:rPr>
                <w:rFonts w:ascii="Times New Roman" w:hAnsi="Times New Roman" w:eastAsia="Times New Roman" w:cs="Times New Roman"/>
                <w:spacing w:val="1"/>
              </w:rPr>
              <w:t>23.0</w:t>
            </w:r>
          </w:p>
        </w:tc>
        <w:tc>
          <w:tcPr>
            <w:tcW w:w="2640" w:type="dxa"/>
            <w:vAlign w:val="top"/>
          </w:tcPr>
          <w:p>
            <w:pPr>
              <w:ind w:left="1077"/>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≤0.05</w:t>
            </w:r>
          </w:p>
        </w:tc>
      </w:tr>
      <w:tr>
        <w:trPr>
          <w:trHeight w:val="246" w:hRule="atLeast"/>
        </w:trPr>
        <w:tc>
          <w:tcPr>
            <w:tcW w:w="1615" w:type="dxa"/>
            <w:vAlign w:val="top"/>
            <w:vMerge w:val="continue"/>
            <w:tcBorders>
              <w:top w:val="nil"/>
              <w:bottom w:val="nil"/>
            </w:tcBorders>
          </w:tcPr>
          <w:p>
            <w:pPr>
              <w:rPr>
                <w:rFonts w:ascii="Arial"/>
                <w:sz w:val="21"/>
              </w:rPr>
            </w:pPr>
            <w:r/>
          </w:p>
        </w:tc>
        <w:tc>
          <w:tcPr>
            <w:tcW w:w="1771" w:type="dxa"/>
            <w:vAlign w:val="top"/>
          </w:tcPr>
          <w:p>
            <w:pPr>
              <w:ind w:left="814"/>
              <w:spacing w:before="55"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B</w:t>
            </w:r>
          </w:p>
        </w:tc>
        <w:tc>
          <w:tcPr>
            <w:tcW w:w="2491" w:type="dxa"/>
            <w:vAlign w:val="top"/>
          </w:tcPr>
          <w:p>
            <w:pPr>
              <w:ind w:left="844"/>
              <w:spacing w:before="52"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23.1-25.0</w:t>
            </w:r>
          </w:p>
        </w:tc>
        <w:tc>
          <w:tcPr>
            <w:tcW w:w="2640" w:type="dxa"/>
            <w:vAlign w:val="top"/>
          </w:tcPr>
          <w:p>
            <w:pPr>
              <w:ind w:left="1077"/>
              <w:spacing w:before="52"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≤0.10</w:t>
            </w:r>
          </w:p>
        </w:tc>
      </w:tr>
      <w:tr>
        <w:trPr>
          <w:trHeight w:val="246" w:hRule="atLeast"/>
        </w:trPr>
        <w:tc>
          <w:tcPr>
            <w:tcW w:w="1615" w:type="dxa"/>
            <w:vAlign w:val="top"/>
            <w:vMerge w:val="continue"/>
            <w:tcBorders>
              <w:top w:val="nil"/>
              <w:bottom w:val="nil"/>
            </w:tcBorders>
          </w:tcPr>
          <w:p>
            <w:pPr>
              <w:rPr>
                <w:rFonts w:ascii="Arial"/>
                <w:sz w:val="21"/>
              </w:rPr>
            </w:pPr>
            <w:r/>
          </w:p>
        </w:tc>
        <w:tc>
          <w:tcPr>
            <w:tcW w:w="1771" w:type="dxa"/>
            <w:vAlign w:val="top"/>
          </w:tcPr>
          <w:p>
            <w:pPr>
              <w:ind w:left="818"/>
              <w:spacing w:before="52"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w:t>
            </w:r>
          </w:p>
        </w:tc>
        <w:tc>
          <w:tcPr>
            <w:tcW w:w="2491" w:type="dxa"/>
            <w:vAlign w:val="top"/>
          </w:tcPr>
          <w:p>
            <w:pPr>
              <w:ind w:left="844"/>
              <w:spacing w:before="53"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25.1-27.0</w:t>
            </w:r>
          </w:p>
        </w:tc>
        <w:tc>
          <w:tcPr>
            <w:tcW w:w="2640" w:type="dxa"/>
            <w:vAlign w:val="top"/>
          </w:tcPr>
          <w:p>
            <w:pPr>
              <w:ind w:left="1077"/>
              <w:spacing w:before="53"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≤0.20</w:t>
            </w:r>
          </w:p>
        </w:tc>
      </w:tr>
      <w:tr>
        <w:trPr>
          <w:trHeight w:val="246" w:hRule="atLeast"/>
        </w:trPr>
        <w:tc>
          <w:tcPr>
            <w:tcW w:w="1615" w:type="dxa"/>
            <w:vAlign w:val="top"/>
            <w:vMerge w:val="continue"/>
            <w:tcBorders>
              <w:top w:val="nil"/>
              <w:bottom w:val="nil"/>
            </w:tcBorders>
          </w:tcPr>
          <w:p>
            <w:pPr>
              <w:rPr>
                <w:rFonts w:ascii="Arial"/>
                <w:sz w:val="21"/>
              </w:rPr>
            </w:pPr>
            <w:r/>
          </w:p>
        </w:tc>
        <w:tc>
          <w:tcPr>
            <w:tcW w:w="1771" w:type="dxa"/>
            <w:vAlign w:val="top"/>
          </w:tcPr>
          <w:p>
            <w:pPr>
              <w:ind w:left="809"/>
              <w:spacing w:before="57" w:line="18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D</w:t>
            </w:r>
          </w:p>
        </w:tc>
        <w:tc>
          <w:tcPr>
            <w:tcW w:w="2491" w:type="dxa"/>
            <w:vAlign w:val="top"/>
          </w:tcPr>
          <w:p>
            <w:pPr>
              <w:ind w:left="844"/>
              <w:spacing w:before="54"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27.1-29.0</w:t>
            </w:r>
          </w:p>
        </w:tc>
        <w:tc>
          <w:tcPr>
            <w:tcW w:w="2640" w:type="dxa"/>
            <w:vAlign w:val="top"/>
          </w:tcPr>
          <w:p>
            <w:pPr>
              <w:ind w:left="1077"/>
              <w:spacing w:before="54"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≤0.30</w:t>
            </w:r>
          </w:p>
        </w:tc>
      </w:tr>
      <w:tr>
        <w:trPr>
          <w:trHeight w:val="247" w:hRule="atLeast"/>
        </w:trPr>
        <w:tc>
          <w:tcPr>
            <w:tcW w:w="1615" w:type="dxa"/>
            <w:vAlign w:val="top"/>
            <w:vMerge w:val="continue"/>
            <w:tcBorders>
              <w:top w:val="nil"/>
            </w:tcBorders>
          </w:tcPr>
          <w:p>
            <w:pPr>
              <w:rPr>
                <w:rFonts w:ascii="Arial"/>
                <w:sz w:val="21"/>
              </w:rPr>
            </w:pPr>
            <w:r/>
          </w:p>
        </w:tc>
        <w:tc>
          <w:tcPr>
            <w:tcW w:w="1771" w:type="dxa"/>
            <w:vAlign w:val="top"/>
          </w:tcPr>
          <w:p>
            <w:pPr>
              <w:ind w:left="822"/>
              <w:spacing w:before="58" w:line="18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E</w:t>
            </w:r>
          </w:p>
        </w:tc>
        <w:tc>
          <w:tcPr>
            <w:tcW w:w="2491" w:type="dxa"/>
            <w:vAlign w:val="top"/>
          </w:tcPr>
          <w:p>
            <w:pPr>
              <w:ind w:left="1004"/>
              <w:spacing w:before="55"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&gt;29.0</w:t>
            </w:r>
          </w:p>
        </w:tc>
        <w:tc>
          <w:tcPr>
            <w:tcW w:w="2640" w:type="dxa"/>
            <w:vAlign w:val="top"/>
          </w:tcPr>
          <w:p>
            <w:pPr>
              <w:ind w:left="1076"/>
              <w:spacing w:before="55"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&gt;0.30</w:t>
            </w:r>
          </w:p>
        </w:tc>
      </w:tr>
      <w:tr>
        <w:trPr>
          <w:trHeight w:val="276" w:hRule="atLeast"/>
        </w:trPr>
        <w:tc>
          <w:tcPr>
            <w:tcW w:w="1615" w:type="dxa"/>
            <w:vAlign w:val="top"/>
            <w:vMerge w:val="restart"/>
            <w:tcBorders>
              <w:bottom w:val="nil"/>
            </w:tcBorders>
          </w:tcPr>
          <w:p>
            <w:pPr>
              <w:spacing w:line="340" w:lineRule="auto"/>
              <w:rPr>
                <w:rFonts w:ascii="Arial"/>
                <w:sz w:val="21"/>
              </w:rPr>
            </w:pPr>
            <w:r/>
          </w:p>
          <w:p>
            <w:pPr>
              <w:pStyle w:val="TableText"/>
              <w:ind w:left="426"/>
              <w:spacing w:before="65" w:line="228" w:lineRule="auto"/>
              <w:rPr/>
            </w:pPr>
            <w:r>
              <w:rPr>
                <w:rFonts w:ascii="Times New Roman" w:hAnsi="Times New Roman" w:eastAsia="Times New Roman" w:cs="Times New Roman"/>
                <w:spacing w:val="4"/>
              </w:rPr>
              <w:t>J</w:t>
            </w:r>
            <w:r>
              <w:rPr>
                <w:rFonts w:ascii="Times New Roman" w:hAnsi="Times New Roman" w:eastAsia="Times New Roman" w:cs="Times New Roman"/>
                <w:spacing w:val="14"/>
                <w:w w:val="101"/>
              </w:rPr>
              <w:t xml:space="preserve"> </w:t>
            </w:r>
            <w:r>
              <w:rPr>
                <w:spacing w:val="4"/>
              </w:rPr>
              <w:t>级数毛</w:t>
            </w:r>
          </w:p>
        </w:tc>
        <w:tc>
          <w:tcPr>
            <w:tcW w:w="1771" w:type="dxa"/>
            <w:vAlign w:val="top"/>
          </w:tcPr>
          <w:p>
            <w:pPr>
              <w:ind w:left="80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A</w:t>
            </w:r>
          </w:p>
        </w:tc>
        <w:tc>
          <w:tcPr>
            <w:tcW w:w="2491" w:type="dxa"/>
            <w:vAlign w:val="top"/>
          </w:tcPr>
          <w:p>
            <w:pPr>
              <w:pStyle w:val="TableText"/>
              <w:ind w:left="975"/>
              <w:spacing w:before="34" w:line="214" w:lineRule="auto"/>
              <w:rPr>
                <w:rFonts w:ascii="Times New Roman" w:hAnsi="Times New Roman" w:eastAsia="Times New Roman" w:cs="Times New Roman"/>
              </w:rPr>
            </w:pPr>
            <w:r>
              <w:rPr>
                <w:spacing w:val="1"/>
              </w:rPr>
              <w:t>≤</w:t>
            </w:r>
            <w:r>
              <w:rPr>
                <w:rFonts w:ascii="Times New Roman" w:hAnsi="Times New Roman" w:eastAsia="Times New Roman" w:cs="Times New Roman"/>
                <w:spacing w:val="1"/>
              </w:rPr>
              <w:t>24.0</w:t>
            </w:r>
          </w:p>
        </w:tc>
        <w:tc>
          <w:tcPr>
            <w:tcW w:w="2640" w:type="dxa"/>
            <w:vAlign w:val="top"/>
          </w:tcPr>
          <w:p>
            <w:pPr>
              <w:ind w:left="113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w:t>
            </w:r>
          </w:p>
        </w:tc>
      </w:tr>
      <w:tr>
        <w:trPr>
          <w:trHeight w:val="247" w:hRule="atLeast"/>
        </w:trPr>
        <w:tc>
          <w:tcPr>
            <w:tcW w:w="1615" w:type="dxa"/>
            <w:vAlign w:val="top"/>
            <w:vMerge w:val="continue"/>
            <w:tcBorders>
              <w:top w:val="nil"/>
              <w:bottom w:val="nil"/>
            </w:tcBorders>
          </w:tcPr>
          <w:p>
            <w:pPr>
              <w:rPr>
                <w:rFonts w:ascii="Arial"/>
                <w:sz w:val="21"/>
              </w:rPr>
            </w:pPr>
            <w:r/>
          </w:p>
        </w:tc>
        <w:tc>
          <w:tcPr>
            <w:tcW w:w="1771" w:type="dxa"/>
            <w:vAlign w:val="top"/>
          </w:tcPr>
          <w:p>
            <w:pPr>
              <w:ind w:left="814"/>
              <w:spacing w:before="58" w:line="18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B</w:t>
            </w:r>
          </w:p>
        </w:tc>
        <w:tc>
          <w:tcPr>
            <w:tcW w:w="2491" w:type="dxa"/>
            <w:vAlign w:val="top"/>
          </w:tcPr>
          <w:p>
            <w:pPr>
              <w:ind w:left="844"/>
              <w:spacing w:before="55"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24.1-26.0</w:t>
            </w:r>
          </w:p>
        </w:tc>
        <w:tc>
          <w:tcPr>
            <w:tcW w:w="2640" w:type="dxa"/>
            <w:vAlign w:val="top"/>
          </w:tcPr>
          <w:p>
            <w:pPr>
              <w:ind w:left="1130"/>
              <w:spacing w:before="55"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≤3.5</w:t>
            </w:r>
          </w:p>
        </w:tc>
      </w:tr>
      <w:tr>
        <w:trPr>
          <w:trHeight w:val="246" w:hRule="atLeast"/>
        </w:trPr>
        <w:tc>
          <w:tcPr>
            <w:tcW w:w="1615" w:type="dxa"/>
            <w:vAlign w:val="top"/>
            <w:vMerge w:val="continue"/>
            <w:tcBorders>
              <w:top w:val="nil"/>
              <w:bottom w:val="nil"/>
            </w:tcBorders>
          </w:tcPr>
          <w:p>
            <w:pPr>
              <w:rPr>
                <w:rFonts w:ascii="Arial"/>
                <w:sz w:val="21"/>
              </w:rPr>
            </w:pPr>
            <w:r/>
          </w:p>
        </w:tc>
        <w:tc>
          <w:tcPr>
            <w:tcW w:w="1771" w:type="dxa"/>
            <w:vAlign w:val="top"/>
          </w:tcPr>
          <w:p>
            <w:pPr>
              <w:ind w:left="818"/>
              <w:spacing w:before="54"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w:t>
            </w:r>
          </w:p>
        </w:tc>
        <w:tc>
          <w:tcPr>
            <w:tcW w:w="2491" w:type="dxa"/>
            <w:vAlign w:val="top"/>
          </w:tcPr>
          <w:p>
            <w:pPr>
              <w:ind w:left="844"/>
              <w:spacing w:before="55"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26.1-30.0</w:t>
            </w:r>
          </w:p>
        </w:tc>
        <w:tc>
          <w:tcPr>
            <w:tcW w:w="2640" w:type="dxa"/>
            <w:vAlign w:val="top"/>
          </w:tcPr>
          <w:p>
            <w:pPr>
              <w:ind w:left="1130"/>
              <w:spacing w:before="55"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≤7.0</w:t>
            </w:r>
          </w:p>
        </w:tc>
      </w:tr>
      <w:tr>
        <w:trPr>
          <w:trHeight w:val="247" w:hRule="atLeast"/>
        </w:trPr>
        <w:tc>
          <w:tcPr>
            <w:tcW w:w="1615" w:type="dxa"/>
            <w:vAlign w:val="top"/>
            <w:vMerge w:val="continue"/>
            <w:tcBorders>
              <w:top w:val="nil"/>
            </w:tcBorders>
          </w:tcPr>
          <w:p>
            <w:pPr>
              <w:rPr>
                <w:rFonts w:ascii="Arial"/>
                <w:sz w:val="21"/>
              </w:rPr>
            </w:pPr>
            <w:r/>
          </w:p>
        </w:tc>
        <w:tc>
          <w:tcPr>
            <w:tcW w:w="1771" w:type="dxa"/>
            <w:vAlign w:val="top"/>
          </w:tcPr>
          <w:p>
            <w:pPr>
              <w:ind w:left="809"/>
              <w:spacing w:before="59" w:line="18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D</w:t>
            </w:r>
          </w:p>
        </w:tc>
        <w:tc>
          <w:tcPr>
            <w:tcW w:w="2491" w:type="dxa"/>
            <w:vAlign w:val="top"/>
          </w:tcPr>
          <w:p>
            <w:pPr>
              <w:ind w:left="1004"/>
              <w:spacing w:before="56"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&gt;30.0</w:t>
            </w:r>
          </w:p>
        </w:tc>
        <w:tc>
          <w:tcPr>
            <w:tcW w:w="2640" w:type="dxa"/>
            <w:vAlign w:val="top"/>
          </w:tcPr>
          <w:p>
            <w:pPr>
              <w:ind w:left="1129"/>
              <w:spacing w:before="56"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&gt;7.0</w:t>
            </w:r>
          </w:p>
        </w:tc>
      </w:tr>
      <w:tr>
        <w:trPr>
          <w:trHeight w:val="246" w:hRule="atLeast"/>
        </w:trPr>
        <w:tc>
          <w:tcPr>
            <w:tcW w:w="1615" w:type="dxa"/>
            <w:vAlign w:val="top"/>
            <w:vMerge w:val="restart"/>
            <w:tcBorders>
              <w:bottom w:val="nil"/>
            </w:tcBorders>
          </w:tcPr>
          <w:p>
            <w:pPr>
              <w:pStyle w:val="TableText"/>
              <w:ind w:left="406"/>
              <w:spacing w:before="270" w:line="228" w:lineRule="auto"/>
              <w:rPr/>
            </w:pPr>
            <w:r>
              <w:rPr>
                <w:rFonts w:ascii="Times New Roman" w:hAnsi="Times New Roman" w:eastAsia="Times New Roman" w:cs="Times New Roman"/>
                <w:spacing w:val="4"/>
              </w:rPr>
              <w:t>T</w:t>
            </w:r>
            <w:r>
              <w:rPr>
                <w:rFonts w:ascii="Times New Roman" w:hAnsi="Times New Roman" w:eastAsia="Times New Roman" w:cs="Times New Roman"/>
                <w:spacing w:val="13"/>
                <w:w w:val="101"/>
              </w:rPr>
              <w:t xml:space="preserve"> </w:t>
            </w:r>
            <w:r>
              <w:rPr>
                <w:spacing w:val="4"/>
              </w:rPr>
              <w:t>土种毛</w:t>
            </w:r>
          </w:p>
        </w:tc>
        <w:tc>
          <w:tcPr>
            <w:tcW w:w="1771" w:type="dxa"/>
            <w:vAlign w:val="top"/>
          </w:tcPr>
          <w:p>
            <w:pPr>
              <w:ind w:left="807"/>
              <w:spacing w:before="55"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A</w:t>
            </w:r>
          </w:p>
        </w:tc>
        <w:tc>
          <w:tcPr>
            <w:tcW w:w="2491" w:type="dxa"/>
            <w:vAlign w:val="top"/>
          </w:tcPr>
          <w:p>
            <w:pPr>
              <w:ind w:left="844"/>
              <w:spacing w:before="56" w:line="18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24.0-29.0</w:t>
            </w:r>
          </w:p>
        </w:tc>
        <w:tc>
          <w:tcPr>
            <w:tcW w:w="2640" w:type="dxa"/>
            <w:vAlign w:val="top"/>
          </w:tcPr>
          <w:p>
            <w:pPr>
              <w:ind w:left="1130"/>
              <w:spacing w:before="56" w:line="18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≤8.0</w:t>
            </w:r>
          </w:p>
        </w:tc>
      </w:tr>
      <w:tr>
        <w:trPr>
          <w:trHeight w:val="247" w:hRule="atLeast"/>
        </w:trPr>
        <w:tc>
          <w:tcPr>
            <w:tcW w:w="1615" w:type="dxa"/>
            <w:vAlign w:val="top"/>
            <w:vMerge w:val="continue"/>
            <w:tcBorders>
              <w:top w:val="nil"/>
              <w:bottom w:val="nil"/>
            </w:tcBorders>
          </w:tcPr>
          <w:p>
            <w:pPr>
              <w:rPr>
                <w:rFonts w:ascii="Arial"/>
                <w:sz w:val="21"/>
              </w:rPr>
            </w:pPr>
            <w:r/>
          </w:p>
        </w:tc>
        <w:tc>
          <w:tcPr>
            <w:tcW w:w="1771" w:type="dxa"/>
            <w:vAlign w:val="top"/>
          </w:tcPr>
          <w:p>
            <w:pPr>
              <w:ind w:left="814"/>
              <w:spacing w:before="60" w:line="18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B</w:t>
            </w:r>
          </w:p>
        </w:tc>
        <w:tc>
          <w:tcPr>
            <w:tcW w:w="2491" w:type="dxa"/>
            <w:vAlign w:val="top"/>
          </w:tcPr>
          <w:p>
            <w:pPr>
              <w:ind w:left="844"/>
              <w:spacing w:before="57" w:line="18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29.0-32.0</w:t>
            </w:r>
          </w:p>
        </w:tc>
        <w:tc>
          <w:tcPr>
            <w:tcW w:w="2640" w:type="dxa"/>
            <w:vAlign w:val="top"/>
          </w:tcPr>
          <w:p>
            <w:pPr>
              <w:ind w:left="1077"/>
              <w:spacing w:before="57" w:line="18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≤10.0</w:t>
            </w:r>
          </w:p>
        </w:tc>
      </w:tr>
      <w:tr>
        <w:trPr>
          <w:trHeight w:val="246" w:hRule="atLeast"/>
        </w:trPr>
        <w:tc>
          <w:tcPr>
            <w:tcW w:w="1615" w:type="dxa"/>
            <w:vAlign w:val="top"/>
            <w:vMerge w:val="continue"/>
            <w:tcBorders>
              <w:top w:val="nil"/>
            </w:tcBorders>
          </w:tcPr>
          <w:p>
            <w:pPr>
              <w:rPr>
                <w:rFonts w:ascii="Arial"/>
                <w:sz w:val="21"/>
              </w:rPr>
            </w:pPr>
            <w:r/>
          </w:p>
        </w:tc>
        <w:tc>
          <w:tcPr>
            <w:tcW w:w="1771" w:type="dxa"/>
            <w:vAlign w:val="top"/>
          </w:tcPr>
          <w:p>
            <w:pPr>
              <w:ind w:left="818"/>
              <w:spacing w:before="54"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w:t>
            </w:r>
          </w:p>
        </w:tc>
        <w:tc>
          <w:tcPr>
            <w:tcW w:w="2491" w:type="dxa"/>
            <w:vAlign w:val="top"/>
          </w:tcPr>
          <w:p>
            <w:pPr>
              <w:ind w:left="1004"/>
              <w:spacing w:before="54"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&gt;32.0</w:t>
            </w:r>
          </w:p>
        </w:tc>
        <w:tc>
          <w:tcPr>
            <w:tcW w:w="2640" w:type="dxa"/>
            <w:vAlign w:val="top"/>
          </w:tcPr>
          <w:p>
            <w:pPr>
              <w:ind w:left="1076"/>
              <w:spacing w:before="54"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&gt;10.0</w:t>
            </w:r>
          </w:p>
        </w:tc>
      </w:tr>
      <w:tr>
        <w:trPr>
          <w:trHeight w:val="1370" w:hRule="atLeast"/>
        </w:trPr>
        <w:tc>
          <w:tcPr>
            <w:tcW w:w="8517" w:type="dxa"/>
            <w:vAlign w:val="top"/>
            <w:gridSpan w:val="4"/>
          </w:tcPr>
          <w:p>
            <w:pPr>
              <w:pStyle w:val="TableText"/>
              <w:ind w:left="28"/>
              <w:spacing w:before="33" w:line="228" w:lineRule="auto"/>
              <w:rPr/>
            </w:pPr>
            <w:r>
              <w:rPr>
                <w:rFonts w:ascii="Times New Roman" w:hAnsi="Times New Roman" w:eastAsia="Times New Roman" w:cs="Times New Roman"/>
                <w:spacing w:val="8"/>
              </w:rPr>
              <w:t>1</w:t>
            </w:r>
            <w:r>
              <w:rPr>
                <w:spacing w:val="8"/>
              </w:rPr>
              <w:t>）彭松度比照合约小样，羊毛色度指标可做参考。</w:t>
            </w:r>
          </w:p>
          <w:p>
            <w:pPr>
              <w:pStyle w:val="TableText"/>
              <w:ind w:left="8"/>
              <w:spacing w:before="26" w:line="228" w:lineRule="auto"/>
              <w:rPr/>
            </w:pPr>
            <w:r>
              <w:rPr>
                <w:rFonts w:ascii="Times New Roman" w:hAnsi="Times New Roman" w:eastAsia="Times New Roman" w:cs="Times New Roman"/>
                <w:spacing w:val="7"/>
              </w:rPr>
              <w:t>2</w:t>
            </w:r>
            <w:r>
              <w:rPr>
                <w:spacing w:val="7"/>
              </w:rPr>
              <w:t>）成包后回潮率＜</w:t>
            </w:r>
            <w:r>
              <w:rPr>
                <w:rFonts w:ascii="Times New Roman" w:hAnsi="Times New Roman" w:eastAsia="Times New Roman" w:cs="Times New Roman"/>
                <w:spacing w:val="7"/>
              </w:rPr>
              <w:t>17%</w:t>
            </w:r>
            <w:r>
              <w:rPr>
                <w:rFonts w:ascii="Times New Roman" w:hAnsi="Times New Roman" w:eastAsia="Times New Roman" w:cs="Times New Roman"/>
                <w:spacing w:val="-26"/>
              </w:rPr>
              <w:t xml:space="preserve"> </w:t>
            </w:r>
            <w:r>
              <w:rPr>
                <w:spacing w:val="7"/>
              </w:rPr>
              <w:t>，支数毛公定回潮率为</w:t>
            </w:r>
            <w:r>
              <w:rPr>
                <w:spacing w:val="-21"/>
              </w:rPr>
              <w:t xml:space="preserve"> </w:t>
            </w:r>
            <w:r>
              <w:rPr>
                <w:rFonts w:ascii="Times New Roman" w:hAnsi="Times New Roman" w:eastAsia="Times New Roman" w:cs="Times New Roman"/>
                <w:spacing w:val="7"/>
              </w:rPr>
              <w:t>16%</w:t>
            </w:r>
            <w:r>
              <w:rPr>
                <w:spacing w:val="7"/>
              </w:rPr>
              <w:t>；级数毛和土种毛公定回潮率</w:t>
            </w:r>
            <w:r>
              <w:rPr>
                <w:spacing w:val="6"/>
              </w:rPr>
              <w:t>为</w:t>
            </w:r>
            <w:r>
              <w:rPr>
                <w:spacing w:val="-20"/>
              </w:rPr>
              <w:t xml:space="preserve"> </w:t>
            </w:r>
            <w:r>
              <w:rPr>
                <w:rFonts w:ascii="Times New Roman" w:hAnsi="Times New Roman" w:eastAsia="Times New Roman" w:cs="Times New Roman"/>
                <w:spacing w:val="6"/>
              </w:rPr>
              <w:t>15%</w:t>
            </w:r>
            <w:r>
              <w:rPr>
                <w:spacing w:val="6"/>
              </w:rPr>
              <w:t>。</w:t>
            </w:r>
          </w:p>
          <w:p>
            <w:pPr>
              <w:pStyle w:val="TableText"/>
              <w:ind w:left="12"/>
              <w:spacing w:before="24" w:line="228" w:lineRule="auto"/>
              <w:rPr/>
            </w:pPr>
            <w:r>
              <w:rPr>
                <w:rFonts w:ascii="Times New Roman" w:hAnsi="Times New Roman" w:eastAsia="Times New Roman" w:cs="Times New Roman"/>
                <w:spacing w:val="5"/>
              </w:rPr>
              <w:t>3</w:t>
            </w:r>
            <w:r>
              <w:rPr>
                <w:spacing w:val="5"/>
              </w:rPr>
              <w:t>）公定含油脂率为</w:t>
            </w:r>
            <w:r>
              <w:rPr>
                <w:spacing w:val="-19"/>
              </w:rPr>
              <w:t xml:space="preserve"> </w:t>
            </w:r>
            <w:r>
              <w:rPr>
                <w:rFonts w:ascii="Times New Roman" w:hAnsi="Times New Roman" w:eastAsia="Times New Roman" w:cs="Times New Roman"/>
                <w:spacing w:val="5"/>
              </w:rPr>
              <w:t>1%</w:t>
            </w:r>
            <w:r>
              <w:rPr>
                <w:spacing w:val="5"/>
              </w:rPr>
              <w:t>。</w:t>
            </w:r>
          </w:p>
          <w:p>
            <w:pPr>
              <w:pStyle w:val="TableText"/>
              <w:ind w:left="12" w:right="6" w:hanging="5"/>
              <w:spacing w:before="27" w:line="234" w:lineRule="auto"/>
              <w:rPr/>
            </w:pPr>
            <w:r>
              <w:rPr>
                <w:rFonts w:ascii="Times New Roman" w:hAnsi="Times New Roman" w:eastAsia="Times New Roman" w:cs="Times New Roman"/>
                <w:spacing w:val="7"/>
              </w:rPr>
              <w:t>4</w:t>
            </w:r>
            <w:r>
              <w:rPr>
                <w:spacing w:val="7"/>
              </w:rPr>
              <w:t>）含残碱率不能超过</w:t>
            </w:r>
            <w:r>
              <w:rPr>
                <w:spacing w:val="-21"/>
              </w:rPr>
              <w:t xml:space="preserve"> </w:t>
            </w:r>
            <w:r>
              <w:rPr>
                <w:rFonts w:ascii="Times New Roman" w:hAnsi="Times New Roman" w:eastAsia="Times New Roman" w:cs="Times New Roman"/>
                <w:spacing w:val="7"/>
              </w:rPr>
              <w:t>0.6%</w:t>
            </w:r>
            <w:r>
              <w:rPr>
                <w:spacing w:val="7"/>
              </w:rPr>
              <w:t>；不允许有沥青、油漆、麻丝、化学纤维、棉花及其他杂物，黄残</w:t>
            </w:r>
            <w:r>
              <w:rPr/>
              <w:t xml:space="preserve"> </w:t>
            </w:r>
            <w:r>
              <w:rPr>
                <w:spacing w:val="9"/>
              </w:rPr>
              <w:t>毛、毡片毛、污块毛、皮块毛、草刺毛、疥癣毛等疵点毛应予选出，分别处理。</w:t>
            </w:r>
          </w:p>
        </w:tc>
      </w:tr>
    </w:tbl>
    <w:p>
      <w:pPr>
        <w:ind w:left="541"/>
        <w:spacing w:before="195" w:line="219" w:lineRule="auto"/>
        <w:rPr>
          <w:rFonts w:ascii="SimSun" w:hAnsi="SimSun" w:eastAsia="SimSun" w:cs="SimSun"/>
          <w:sz w:val="24"/>
          <w:szCs w:val="24"/>
        </w:rPr>
      </w:pP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、无毛绒产品质量标准</w:t>
      </w:r>
    </w:p>
    <w:p>
      <w:pPr>
        <w:ind w:left="66" w:firstLine="480"/>
        <w:spacing w:before="214" w:line="385" w:lineRule="auto"/>
        <w:rPr>
          <w:rFonts w:ascii="SimSun" w:hAnsi="SimSun" w:eastAsia="SimSun" w:cs="SimSun"/>
          <w:sz w:val="24"/>
          <w:szCs w:val="24"/>
        </w:rPr>
      </w:pPr>
      <w:r>
        <w:rPr>
          <w:rFonts w:ascii="SimSun" w:hAnsi="SimSun" w:eastAsia="SimSun" w:cs="SimSun"/>
          <w:sz w:val="24"/>
          <w:szCs w:val="24"/>
          <w:spacing w:val="-8"/>
        </w:rPr>
        <w:t>无毛绒产品参照执行《绵羊绒交易技术规范》（</w:t>
      </w:r>
      <w:r>
        <w:rPr>
          <w:rFonts w:ascii="Times New Roman" w:hAnsi="Times New Roman" w:eastAsia="Times New Roman" w:cs="Times New Roman"/>
          <w:sz w:val="24"/>
          <w:szCs w:val="24"/>
          <w:spacing w:val="-8"/>
        </w:rPr>
        <w:t>GH/T</w:t>
      </w:r>
      <w:r>
        <w:rPr>
          <w:rFonts w:ascii="Times New Roman" w:hAnsi="Times New Roman" w:eastAsia="Times New Roman" w:cs="Times New Roman"/>
          <w:sz w:val="24"/>
          <w:szCs w:val="24"/>
          <w:spacing w:val="39"/>
        </w:rPr>
        <w:t xml:space="preserve"> </w:t>
      </w:r>
      <w:r>
        <w:rPr>
          <w:rFonts w:ascii="Times New Roman" w:hAnsi="Times New Roman" w:eastAsia="Times New Roman" w:cs="Times New Roman"/>
          <w:sz w:val="24"/>
          <w:szCs w:val="24"/>
          <w:spacing w:val="-8"/>
        </w:rPr>
        <w:t>1483-2024</w:t>
      </w:r>
      <w:r>
        <w:rPr>
          <w:rFonts w:ascii="SimSun" w:hAnsi="SimSun" w:eastAsia="SimSun" w:cs="SimSun"/>
          <w:sz w:val="24"/>
          <w:szCs w:val="24"/>
          <w:spacing w:val="-8"/>
        </w:rPr>
        <w:t>）中质量指标。</w:t>
      </w:r>
      <w:r>
        <w:rPr>
          <w:rFonts w:ascii="SimSun" w:hAnsi="SimSun" w:eastAsia="SimSun" w:cs="SimSun"/>
          <w:sz w:val="24"/>
          <w:szCs w:val="24"/>
        </w:rPr>
        <w:t xml:space="preserve"> </w:t>
      </w:r>
      <w:r>
        <w:rPr>
          <w:rFonts w:ascii="SimSun" w:hAnsi="SimSun" w:eastAsia="SimSun" w:cs="SimSun"/>
          <w:sz w:val="24"/>
          <w:szCs w:val="24"/>
          <w:spacing w:val="-1"/>
        </w:rPr>
        <w:t>本文件适用于绵羊绒的交易和质量要求。具体指标见下表</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3.1-5</w:t>
      </w:r>
      <w:r>
        <w:rPr>
          <w:rFonts w:ascii="SimSun" w:hAnsi="SimSun" w:eastAsia="SimSun" w:cs="SimSun"/>
          <w:sz w:val="24"/>
          <w:szCs w:val="24"/>
          <w:spacing w:val="-1"/>
        </w:rPr>
        <w:t>。</w:t>
      </w:r>
    </w:p>
    <w:p>
      <w:pPr>
        <w:ind w:left="2651"/>
        <w:spacing w:before="1"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7"/>
        </w:rPr>
        <w:t xml:space="preserve"> </w:t>
      </w:r>
      <w:r>
        <w:rPr>
          <w:rFonts w:ascii="Times New Roman" w:hAnsi="Times New Roman" w:eastAsia="Times New Roman" w:cs="Times New Roman"/>
          <w:sz w:val="24"/>
          <w:szCs w:val="24"/>
          <w:b/>
          <w:bCs/>
          <w:spacing w:val="-2"/>
        </w:rPr>
        <w:t>3.1-5      </w:t>
      </w:r>
      <w:r>
        <w:rPr>
          <w:rFonts w:ascii="SimSun" w:hAnsi="SimSun" w:eastAsia="SimSun" w:cs="SimSun"/>
          <w:sz w:val="24"/>
          <w:szCs w:val="24"/>
          <w:b/>
          <w:bCs/>
          <w:spacing w:val="-2"/>
        </w:rPr>
        <w:t>无毛绒产品质量指标</w:t>
      </w:r>
    </w:p>
    <w:p>
      <w:pPr>
        <w:spacing w:line="20" w:lineRule="exact"/>
        <w:rPr/>
      </w:pPr>
      <w:r/>
    </w:p>
    <w:tbl>
      <w:tblPr>
        <w:tblStyle w:val="TableNormal"/>
        <w:tblW w:w="8519" w:type="dxa"/>
        <w:tblInd w:w="48"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04"/>
        <w:gridCol w:w="682"/>
        <w:gridCol w:w="7633"/>
      </w:tblGrid>
      <w:tr>
        <w:trPr>
          <w:trHeight w:val="281" w:hRule="atLeast"/>
        </w:trPr>
        <w:tc>
          <w:tcPr>
            <w:tcW w:w="886" w:type="dxa"/>
            <w:vAlign w:val="top"/>
            <w:gridSpan w:val="2"/>
          </w:tcPr>
          <w:p>
            <w:pPr>
              <w:pStyle w:val="TableText"/>
              <w:ind w:left="242"/>
              <w:spacing w:before="34" w:line="218" w:lineRule="auto"/>
              <w:rPr/>
            </w:pPr>
            <w:r>
              <w:rPr>
                <w:spacing w:val="3"/>
              </w:rPr>
              <w:t>项目</w:t>
            </w:r>
          </w:p>
        </w:tc>
        <w:tc>
          <w:tcPr>
            <w:tcW w:w="7633" w:type="dxa"/>
            <w:vAlign w:val="top"/>
          </w:tcPr>
          <w:p>
            <w:pPr>
              <w:pStyle w:val="TableText"/>
              <w:ind w:left="3400"/>
              <w:spacing w:before="34" w:line="218" w:lineRule="auto"/>
              <w:rPr/>
            </w:pPr>
            <w:r>
              <w:rPr>
                <w:spacing w:val="7"/>
              </w:rPr>
              <w:t>技术指标</w:t>
            </w:r>
          </w:p>
        </w:tc>
      </w:tr>
      <w:tr>
        <w:trPr>
          <w:trHeight w:val="268" w:hRule="atLeast"/>
        </w:trPr>
        <w:tc>
          <w:tcPr>
            <w:tcW w:w="204" w:type="dxa"/>
            <w:vAlign w:val="top"/>
            <w:tcBorders>
              <w:bottom w:val="nil"/>
            </w:tcBorders>
          </w:tcPr>
          <w:p>
            <w:pPr>
              <w:pStyle w:val="TableText"/>
              <w:spacing w:before="36" w:line="204" w:lineRule="auto"/>
              <w:jc w:val="right"/>
              <w:rPr/>
            </w:pPr>
            <w:r>
              <w:rPr>
                <w:spacing w:val="-15"/>
              </w:rPr>
              <w:t>基</w:t>
            </w:r>
          </w:p>
        </w:tc>
        <w:tc>
          <w:tcPr>
            <w:tcW w:w="682" w:type="dxa"/>
            <w:vAlign w:val="top"/>
            <w:tcBorders>
              <w:bottom w:val="nil"/>
            </w:tcBorders>
          </w:tcPr>
          <w:p>
            <w:pPr>
              <w:pStyle w:val="TableText"/>
              <w:ind w:left="31"/>
              <w:spacing w:before="31" w:line="209" w:lineRule="auto"/>
              <w:rPr/>
            </w:pPr>
            <w:r>
              <w:rPr>
                <w:spacing w:val="5"/>
              </w:rPr>
              <w:t>非动物</w:t>
            </w:r>
          </w:p>
        </w:tc>
        <w:tc>
          <w:tcPr>
            <w:tcW w:w="7633" w:type="dxa"/>
            <w:vAlign w:val="top"/>
            <w:tcBorders>
              <w:bottom w:val="nil"/>
            </w:tcBorders>
          </w:tcPr>
          <w:p>
            <w:pPr>
              <w:rPr>
                <w:rFonts w:ascii="Arial"/>
                <w:sz w:val="21"/>
              </w:rPr>
            </w:pPr>
            <w:r/>
          </w:p>
        </w:tc>
      </w:tr>
      <w:tr>
        <w:trPr>
          <w:trHeight w:val="275" w:hRule="atLeast"/>
        </w:trPr>
        <w:tc>
          <w:tcPr>
            <w:tcW w:w="204" w:type="dxa"/>
            <w:vAlign w:val="top"/>
            <w:tcBorders>
              <w:bottom w:val="nil"/>
              <w:top w:val="nil"/>
            </w:tcBorders>
          </w:tcPr>
          <w:p>
            <w:pPr>
              <w:pStyle w:val="TableText"/>
              <w:spacing w:before="39" w:line="208" w:lineRule="auto"/>
              <w:jc w:val="right"/>
              <w:rPr/>
            </w:pPr>
            <w:r>
              <w:rPr>
                <w:spacing w:val="-16"/>
              </w:rPr>
              <w:t>本</w:t>
            </w:r>
          </w:p>
        </w:tc>
        <w:tc>
          <w:tcPr>
            <w:tcW w:w="682" w:type="dxa"/>
            <w:vAlign w:val="top"/>
            <w:tcBorders>
              <w:bottom w:val="nil"/>
              <w:top w:val="nil"/>
            </w:tcBorders>
          </w:tcPr>
          <w:p>
            <w:pPr>
              <w:pStyle w:val="TableText"/>
              <w:ind w:left="32"/>
              <w:spacing w:before="35" w:line="212" w:lineRule="auto"/>
              <w:rPr/>
            </w:pPr>
            <w:r>
              <w:rPr>
                <w:spacing w:val="5"/>
              </w:rPr>
              <w:t>纤维含</w:t>
            </w:r>
          </w:p>
        </w:tc>
        <w:tc>
          <w:tcPr>
            <w:tcW w:w="7633" w:type="dxa"/>
            <w:vAlign w:val="top"/>
            <w:tcBorders>
              <w:bottom w:val="nil"/>
              <w:top w:val="nil"/>
            </w:tcBorders>
          </w:tcPr>
          <w:p>
            <w:pPr>
              <w:pStyle w:val="TableText"/>
              <w:ind w:left="3512"/>
              <w:spacing w:before="35" w:line="212" w:lineRule="auto"/>
              <w:rPr>
                <w:rFonts w:ascii="Times New Roman" w:hAnsi="Times New Roman" w:eastAsia="Times New Roman" w:cs="Times New Roman"/>
              </w:rPr>
            </w:pPr>
            <w:r>
              <w:rPr>
                <w:spacing w:val="1"/>
              </w:rPr>
              <w:t>≤</w:t>
            </w:r>
            <w:r>
              <w:rPr>
                <w:rFonts w:ascii="Times New Roman" w:hAnsi="Times New Roman" w:eastAsia="Times New Roman" w:cs="Times New Roman"/>
                <w:spacing w:val="1"/>
              </w:rPr>
              <w:t>0.2%</w:t>
            </w:r>
          </w:p>
        </w:tc>
      </w:tr>
      <w:tr>
        <w:trPr>
          <w:trHeight w:val="275" w:hRule="atLeast"/>
        </w:trPr>
        <w:tc>
          <w:tcPr>
            <w:tcW w:w="204" w:type="dxa"/>
            <w:vAlign w:val="top"/>
            <w:tcBorders>
              <w:bottom w:val="nil"/>
              <w:top w:val="nil"/>
            </w:tcBorders>
          </w:tcPr>
          <w:p>
            <w:pPr>
              <w:pStyle w:val="TableText"/>
              <w:spacing w:before="36" w:line="211" w:lineRule="auto"/>
              <w:jc w:val="right"/>
              <w:rPr/>
            </w:pPr>
            <w:r>
              <w:rPr>
                <w:spacing w:val="-16"/>
              </w:rPr>
              <w:t>要</w:t>
            </w:r>
          </w:p>
        </w:tc>
        <w:tc>
          <w:tcPr>
            <w:tcW w:w="682" w:type="dxa"/>
            <w:vAlign w:val="top"/>
            <w:tcBorders>
              <w:top w:val="nil"/>
            </w:tcBorders>
          </w:tcPr>
          <w:p>
            <w:pPr>
              <w:pStyle w:val="TableText"/>
              <w:ind w:left="239"/>
              <w:spacing w:before="34" w:line="213" w:lineRule="auto"/>
              <w:rPr/>
            </w:pPr>
            <w:r>
              <w:rPr/>
              <w:t>量</w:t>
            </w:r>
          </w:p>
        </w:tc>
        <w:tc>
          <w:tcPr>
            <w:tcW w:w="7633" w:type="dxa"/>
            <w:vAlign w:val="top"/>
            <w:tcBorders>
              <w:top w:val="nil"/>
            </w:tcBorders>
          </w:tcPr>
          <w:p>
            <w:pPr>
              <w:rPr>
                <w:rFonts w:ascii="Arial"/>
                <w:sz w:val="21"/>
              </w:rPr>
            </w:pPr>
            <w:r/>
          </w:p>
        </w:tc>
      </w:tr>
      <w:tr>
        <w:trPr>
          <w:trHeight w:val="280" w:hRule="atLeast"/>
        </w:trPr>
        <w:tc>
          <w:tcPr>
            <w:tcW w:w="204" w:type="dxa"/>
            <w:vAlign w:val="top"/>
            <w:tcBorders>
              <w:top w:val="nil"/>
            </w:tcBorders>
          </w:tcPr>
          <w:p>
            <w:pPr>
              <w:pStyle w:val="TableText"/>
              <w:spacing w:before="29" w:line="222" w:lineRule="auto"/>
              <w:jc w:val="right"/>
              <w:rPr/>
            </w:pPr>
            <w:r>
              <w:rPr>
                <w:spacing w:val="-17"/>
              </w:rPr>
              <w:t>求</w:t>
            </w:r>
          </w:p>
        </w:tc>
        <w:tc>
          <w:tcPr>
            <w:tcW w:w="682" w:type="dxa"/>
            <w:vAlign w:val="top"/>
          </w:tcPr>
          <w:p>
            <w:pPr>
              <w:pStyle w:val="TableText"/>
              <w:ind w:left="48"/>
              <w:spacing w:before="37" w:line="215" w:lineRule="auto"/>
              <w:rPr/>
            </w:pPr>
            <w:r>
              <w:rPr/>
              <w:t>回潮率</w:t>
            </w:r>
          </w:p>
        </w:tc>
        <w:tc>
          <w:tcPr>
            <w:tcW w:w="7633" w:type="dxa"/>
            <w:vAlign w:val="top"/>
          </w:tcPr>
          <w:p>
            <w:pPr>
              <w:pStyle w:val="TableText"/>
              <w:ind w:left="3536"/>
              <w:spacing w:before="37" w:line="215" w:lineRule="auto"/>
              <w:rPr>
                <w:rFonts w:ascii="Times New Roman" w:hAnsi="Times New Roman" w:eastAsia="Times New Roman" w:cs="Times New Roman"/>
              </w:rPr>
            </w:pPr>
            <w:r>
              <w:rPr>
                <w:spacing w:val="1"/>
              </w:rPr>
              <w:t>≤</w:t>
            </w:r>
            <w:r>
              <w:rPr>
                <w:rFonts w:ascii="Times New Roman" w:hAnsi="Times New Roman" w:eastAsia="Times New Roman" w:cs="Times New Roman"/>
                <w:spacing w:val="1"/>
              </w:rPr>
              <w:t>17%</w:t>
            </w:r>
          </w:p>
        </w:tc>
      </w:tr>
    </w:tbl>
    <w:p>
      <w:pPr>
        <w:pStyle w:val="BodyText"/>
        <w:rPr/>
      </w:pPr>
      <w:r/>
    </w:p>
    <w:p>
      <w:pPr>
        <w:sectPr>
          <w:headerReference w:type="default" r:id="rId72"/>
          <w:footerReference w:type="default" r:id="rId73"/>
          <w:pgSz w:w="11907" w:h="16840"/>
          <w:pgMar w:top="1567" w:right="1621" w:bottom="1481" w:left="1645" w:header="1221" w:footer="1247" w:gutter="0"/>
        </w:sectPr>
        <w:rPr/>
      </w:pPr>
    </w:p>
    <w:p>
      <w:pPr>
        <w:spacing w:line="151" w:lineRule="exact"/>
        <w:rPr/>
      </w:pPr>
      <w:r>
        <w:pict>
          <v:shape id="_x0000_s294" style="position:absolute;margin-left:85.05pt;margin-top:79.11pt;mso-position-vertical-relative:page;mso-position-horizontal-relative:page;width:425.25pt;height:0.75pt;z-index:251797504;" o:allowincell="f" fillcolor="#000000" filled="true" stroked="false" coordsize="8505,15" coordorigin="0,0" path="m,l8505,0l8505,14l0,14l0,0xe"/>
        </w:pict>
      </w:r>
      <w:r>
        <w:pict>
          <v:shape id="_x0000_s296" style="position:absolute;margin-left:84.5294pt;margin-top:203.673pt;mso-position-vertical-relative:page;mso-position-horizontal-relative:page;width:12.05pt;height:14.4pt;z-index:-251521024;" o:allowincell="f"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20"/>
                      <w:szCs w:val="20"/>
                    </w:rPr>
                  </w:pPr>
                  <w:r>
                    <w:rPr>
                      <w:rFonts w:ascii="SimSun" w:hAnsi="SimSun" w:eastAsia="SimSun" w:cs="SimSun"/>
                      <w:sz w:val="20"/>
                      <w:szCs w:val="20"/>
                    </w:rPr>
                    <w:t>质</w:t>
                  </w:r>
                </w:p>
              </w:txbxContent>
            </v:textbox>
          </v:shape>
        </w:pict>
      </w:r>
      <w:r/>
    </w:p>
    <w:tbl>
      <w:tblPr>
        <w:tblStyle w:val="TableNormal"/>
        <w:tblW w:w="851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04"/>
        <w:gridCol w:w="683"/>
        <w:gridCol w:w="448"/>
        <w:gridCol w:w="841"/>
        <w:gridCol w:w="841"/>
        <w:gridCol w:w="841"/>
        <w:gridCol w:w="841"/>
        <w:gridCol w:w="841"/>
        <w:gridCol w:w="841"/>
        <w:gridCol w:w="842"/>
        <w:gridCol w:w="842"/>
        <w:gridCol w:w="454"/>
      </w:tblGrid>
      <w:tr>
        <w:trPr>
          <w:trHeight w:val="282" w:hRule="atLeast"/>
        </w:trPr>
        <w:tc>
          <w:tcPr>
            <w:tcW w:w="887" w:type="dxa"/>
            <w:vAlign w:val="top"/>
            <w:gridSpan w:val="2"/>
          </w:tcPr>
          <w:p>
            <w:pPr>
              <w:pStyle w:val="TableText"/>
              <w:ind w:left="242"/>
              <w:spacing w:before="36" w:line="217" w:lineRule="auto"/>
              <w:rPr/>
            </w:pPr>
            <w:r>
              <w:rPr>
                <w:spacing w:val="3"/>
              </w:rPr>
              <w:t>项目</w:t>
            </w:r>
          </w:p>
        </w:tc>
        <w:tc>
          <w:tcPr>
            <w:tcW w:w="7632" w:type="dxa"/>
            <w:vAlign w:val="top"/>
            <w:gridSpan w:val="10"/>
          </w:tcPr>
          <w:p>
            <w:pPr>
              <w:pStyle w:val="TableText"/>
              <w:ind w:left="3399"/>
              <w:spacing w:before="36" w:line="217" w:lineRule="auto"/>
              <w:rPr/>
            </w:pPr>
            <w:r>
              <w:rPr>
                <w:spacing w:val="7"/>
              </w:rPr>
              <w:t>技术指标</w:t>
            </w:r>
          </w:p>
        </w:tc>
      </w:tr>
      <w:tr>
        <w:trPr>
          <w:trHeight w:val="278" w:hRule="atLeast"/>
        </w:trPr>
        <w:tc>
          <w:tcPr>
            <w:tcW w:w="204" w:type="dxa"/>
            <w:vAlign w:val="top"/>
          </w:tcPr>
          <w:p>
            <w:pPr>
              <w:rPr>
                <w:rFonts w:ascii="Arial"/>
                <w:sz w:val="21"/>
              </w:rPr>
            </w:pPr>
            <w:r/>
          </w:p>
        </w:tc>
        <w:tc>
          <w:tcPr>
            <w:tcW w:w="683" w:type="dxa"/>
            <w:vAlign w:val="top"/>
          </w:tcPr>
          <w:p>
            <w:pPr>
              <w:pStyle w:val="TableText"/>
              <w:ind w:left="27"/>
              <w:spacing w:before="30" w:line="219" w:lineRule="auto"/>
              <w:rPr/>
            </w:pPr>
            <w:r>
              <w:rPr>
                <w:spacing w:val="6"/>
              </w:rPr>
              <w:t>含杂率</w:t>
            </w:r>
          </w:p>
        </w:tc>
        <w:tc>
          <w:tcPr>
            <w:tcW w:w="7632" w:type="dxa"/>
            <w:vAlign w:val="top"/>
            <w:gridSpan w:val="10"/>
          </w:tcPr>
          <w:p>
            <w:pPr>
              <w:pStyle w:val="TableText"/>
              <w:ind w:left="3511"/>
              <w:spacing w:before="30" w:line="219" w:lineRule="auto"/>
              <w:rPr>
                <w:rFonts w:ascii="Times New Roman" w:hAnsi="Times New Roman" w:eastAsia="Times New Roman" w:cs="Times New Roman"/>
              </w:rPr>
            </w:pPr>
            <w:r>
              <w:rPr>
                <w:spacing w:val="-4"/>
              </w:rPr>
              <w:t>≤</w:t>
            </w:r>
            <w:r>
              <w:rPr>
                <w:rFonts w:ascii="Times New Roman" w:hAnsi="Times New Roman" w:eastAsia="Times New Roman" w:cs="Times New Roman"/>
                <w:spacing w:val="-4"/>
              </w:rPr>
              <w:t>0.</w:t>
            </w:r>
            <w:r>
              <w:rPr>
                <w:rFonts w:ascii="Times New Roman" w:hAnsi="Times New Roman" w:eastAsia="Times New Roman" w:cs="Times New Roman"/>
                <w:spacing w:val="-24"/>
              </w:rPr>
              <w:t xml:space="preserve"> </w:t>
            </w:r>
            <w:r>
              <w:rPr>
                <w:rFonts w:ascii="Times New Roman" w:hAnsi="Times New Roman" w:eastAsia="Times New Roman" w:cs="Times New Roman"/>
                <w:spacing w:val="-4"/>
              </w:rPr>
              <w:t>1%</w:t>
            </w:r>
          </w:p>
        </w:tc>
      </w:tr>
      <w:tr>
        <w:trPr>
          <w:trHeight w:val="529" w:hRule="atLeast"/>
        </w:trPr>
        <w:tc>
          <w:tcPr>
            <w:tcW w:w="204" w:type="dxa"/>
            <w:vAlign w:val="top"/>
            <w:tcBorders>
              <w:bottom w:val="nil"/>
            </w:tcBorders>
          </w:tcPr>
          <w:p>
            <w:pPr>
              <w:rPr>
                <w:rFonts w:ascii="Arial"/>
                <w:sz w:val="21"/>
              </w:rPr>
            </w:pPr>
            <w:r/>
          </w:p>
        </w:tc>
        <w:tc>
          <w:tcPr>
            <w:tcW w:w="683" w:type="dxa"/>
            <w:vAlign w:val="top"/>
          </w:tcPr>
          <w:p>
            <w:pPr>
              <w:pStyle w:val="TableText"/>
              <w:ind w:left="238" w:right="29" w:hanging="193"/>
              <w:spacing w:before="31" w:line="225" w:lineRule="auto"/>
              <w:rPr/>
            </w:pPr>
            <w:r>
              <w:rPr>
                <w:spacing w:val="1"/>
              </w:rPr>
              <w:t>品质代</w:t>
            </w:r>
            <w:r>
              <w:rPr/>
              <w:t xml:space="preserve"> </w:t>
            </w:r>
            <w:r>
              <w:rPr>
                <w:spacing w:val="1"/>
              </w:rPr>
              <w:t>码</w:t>
            </w:r>
          </w:p>
        </w:tc>
        <w:tc>
          <w:tcPr>
            <w:tcW w:w="448" w:type="dxa"/>
            <w:vAlign w:val="top"/>
          </w:tcPr>
          <w:p>
            <w:pPr>
              <w:ind w:left="172"/>
              <w:spacing w:before="1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1" w:type="dxa"/>
            <w:vAlign w:val="top"/>
          </w:tcPr>
          <w:p>
            <w:pPr>
              <w:ind w:left="386"/>
              <w:spacing w:before="1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41" w:type="dxa"/>
            <w:vAlign w:val="top"/>
          </w:tcPr>
          <w:p>
            <w:pPr>
              <w:ind w:left="368"/>
              <w:spacing w:before="1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841" w:type="dxa"/>
            <w:vAlign w:val="top"/>
          </w:tcPr>
          <w:p>
            <w:pPr>
              <w:ind w:left="373"/>
              <w:spacing w:before="1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841" w:type="dxa"/>
            <w:vAlign w:val="top"/>
          </w:tcPr>
          <w:p>
            <w:pPr>
              <w:ind w:left="369"/>
              <w:spacing w:before="1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841" w:type="dxa"/>
            <w:vAlign w:val="top"/>
          </w:tcPr>
          <w:p>
            <w:pPr>
              <w:ind w:left="375"/>
              <w:spacing w:before="19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841" w:type="dxa"/>
            <w:vAlign w:val="top"/>
          </w:tcPr>
          <w:p>
            <w:pPr>
              <w:ind w:left="375"/>
              <w:spacing w:before="1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842" w:type="dxa"/>
            <w:vAlign w:val="top"/>
          </w:tcPr>
          <w:p>
            <w:pPr>
              <w:ind w:left="376"/>
              <w:spacing w:before="19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842" w:type="dxa"/>
            <w:vAlign w:val="top"/>
          </w:tcPr>
          <w:p>
            <w:pPr>
              <w:ind w:left="381"/>
              <w:spacing w:before="1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454" w:type="dxa"/>
            <w:vAlign w:val="top"/>
          </w:tcPr>
          <w:p>
            <w:pPr>
              <w:ind w:left="180"/>
              <w:spacing w:before="1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r>
      <w:tr>
        <w:trPr>
          <w:trHeight w:val="578" w:hRule="atLeast"/>
        </w:trPr>
        <w:tc>
          <w:tcPr>
            <w:tcW w:w="204" w:type="dxa"/>
            <w:vAlign w:val="top"/>
            <w:tcBorders>
              <w:bottom w:val="nil"/>
              <w:top w:val="nil"/>
            </w:tcBorders>
          </w:tcPr>
          <w:p>
            <w:pPr>
              <w:rPr>
                <w:rFonts w:ascii="Arial"/>
                <w:sz w:val="21"/>
              </w:rPr>
            </w:pPr>
            <w:r/>
          </w:p>
        </w:tc>
        <w:tc>
          <w:tcPr>
            <w:tcW w:w="683" w:type="dxa"/>
            <w:vAlign w:val="top"/>
          </w:tcPr>
          <w:p>
            <w:pPr>
              <w:pStyle w:val="TableText"/>
              <w:ind w:left="68" w:right="29" w:hanging="41"/>
              <w:spacing w:before="31" w:line="247" w:lineRule="auto"/>
              <w:rPr>
                <w:rFonts w:ascii="Times New Roman" w:hAnsi="Times New Roman" w:eastAsia="Times New Roman" w:cs="Times New Roman"/>
              </w:rPr>
            </w:pPr>
            <w:r>
              <w:rPr>
                <w:spacing w:val="7"/>
              </w:rPr>
              <w:t>平均直</w:t>
            </w:r>
            <w:r>
              <w:rPr/>
              <w:t xml:space="preserve"> </w:t>
            </w:r>
            <w:r>
              <w:rPr>
                <w:spacing w:val="4"/>
              </w:rPr>
              <w:t>径</w:t>
            </w:r>
            <w:r>
              <w:rPr>
                <w:rFonts w:ascii="Times New Roman" w:hAnsi="Times New Roman" w:eastAsia="Times New Roman" w:cs="Times New Roman"/>
                <w:spacing w:val="4"/>
              </w:rPr>
              <w:t>/µm</w:t>
            </w:r>
          </w:p>
        </w:tc>
        <w:tc>
          <w:tcPr>
            <w:tcW w:w="448" w:type="dxa"/>
            <w:vAlign w:val="top"/>
          </w:tcPr>
          <w:p>
            <w:pPr>
              <w:pStyle w:val="TableText"/>
              <w:ind w:left="143"/>
              <w:spacing w:before="60" w:line="266" w:lineRule="exact"/>
              <w:rPr/>
            </w:pPr>
            <w:r>
              <w:rPr>
                <w:position w:val="1"/>
              </w:rPr>
              <w:t>≥</w:t>
            </w:r>
          </w:p>
          <w:p>
            <w:pPr>
              <w:ind w:left="39"/>
              <w:spacing w:before="2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22.0</w:t>
            </w:r>
          </w:p>
        </w:tc>
        <w:tc>
          <w:tcPr>
            <w:tcW w:w="841" w:type="dxa"/>
            <w:vAlign w:val="top"/>
          </w:tcPr>
          <w:p>
            <w:pPr>
              <w:spacing w:before="96"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21.0-&lt;22.</w:t>
            </w:r>
          </w:p>
          <w:p>
            <w:pPr>
              <w:ind w:left="369"/>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1" w:type="dxa"/>
            <w:vAlign w:val="top"/>
          </w:tcPr>
          <w:p>
            <w:pPr>
              <w:spacing w:before="96"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20.0-&lt;20.</w:t>
            </w:r>
          </w:p>
          <w:p>
            <w:pPr>
              <w:ind w:left="371"/>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1" w:type="dxa"/>
            <w:vAlign w:val="top"/>
          </w:tcPr>
          <w:p>
            <w:pPr>
              <w:spacing w:before="96"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19.5-&lt;20.</w:t>
            </w:r>
          </w:p>
          <w:p>
            <w:pPr>
              <w:ind w:left="372"/>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1" w:type="dxa"/>
            <w:vAlign w:val="top"/>
          </w:tcPr>
          <w:p>
            <w:pPr>
              <w:spacing w:before="96"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19.0-&lt;19.</w:t>
            </w:r>
          </w:p>
          <w:p>
            <w:pPr>
              <w:ind w:left="376"/>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841" w:type="dxa"/>
            <w:vAlign w:val="top"/>
          </w:tcPr>
          <w:p>
            <w:pPr>
              <w:spacing w:before="96"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18.5-&lt;19.</w:t>
            </w:r>
          </w:p>
          <w:p>
            <w:pPr>
              <w:ind w:left="373"/>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1" w:type="dxa"/>
            <w:vAlign w:val="top"/>
          </w:tcPr>
          <w:p>
            <w:pPr>
              <w:spacing w:before="96"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18.0-&lt;18.</w:t>
            </w:r>
          </w:p>
          <w:p>
            <w:pPr>
              <w:ind w:left="377"/>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842" w:type="dxa"/>
            <w:vAlign w:val="top"/>
          </w:tcPr>
          <w:p>
            <w:pPr>
              <w:spacing w:before="96"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17.0-&lt;18.</w:t>
            </w:r>
          </w:p>
          <w:p>
            <w:pPr>
              <w:ind w:left="375"/>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2" w:type="dxa"/>
            <w:vAlign w:val="top"/>
          </w:tcPr>
          <w:p>
            <w:pPr>
              <w:spacing w:before="96"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16.0-&lt;17.</w:t>
            </w:r>
          </w:p>
          <w:p>
            <w:pPr>
              <w:ind w:left="376"/>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454" w:type="dxa"/>
            <w:vAlign w:val="top"/>
          </w:tcPr>
          <w:p>
            <w:pPr>
              <w:ind w:left="39"/>
              <w:spacing w:before="9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&lt;16.</w:t>
            </w:r>
          </w:p>
          <w:p>
            <w:pPr>
              <w:ind w:left="179"/>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r>
      <w:tr>
        <w:trPr>
          <w:trHeight w:val="790" w:hRule="atLeast"/>
        </w:trPr>
        <w:tc>
          <w:tcPr>
            <w:tcW w:w="204" w:type="dxa"/>
            <w:vAlign w:val="top"/>
            <w:tcBorders>
              <w:bottom w:val="nil"/>
              <w:top w:val="nil"/>
            </w:tcBorders>
          </w:tcPr>
          <w:p>
            <w:pPr>
              <w:spacing w:line="341" w:lineRule="auto"/>
              <w:rPr>
                <w:rFonts w:ascii="Arial"/>
                <w:sz w:val="21"/>
              </w:rPr>
            </w:pPr>
            <w:r/>
          </w:p>
          <w:p>
            <w:pPr>
              <w:pStyle w:val="TableText"/>
              <w:spacing w:before="65" w:line="232" w:lineRule="auto"/>
              <w:jc w:val="right"/>
              <w:rPr/>
            </w:pPr>
            <w:r>
              <w:rPr>
                <w:spacing w:val="-32"/>
              </w:rPr>
              <w:t>品</w:t>
            </w:r>
          </w:p>
        </w:tc>
        <w:tc>
          <w:tcPr>
            <w:tcW w:w="683" w:type="dxa"/>
            <w:vAlign w:val="top"/>
          </w:tcPr>
          <w:p>
            <w:pPr>
              <w:pStyle w:val="TableText"/>
              <w:ind w:left="29"/>
              <w:spacing w:before="31" w:line="228" w:lineRule="auto"/>
              <w:rPr/>
            </w:pPr>
            <w:r>
              <w:rPr>
                <w:spacing w:val="6"/>
              </w:rPr>
              <w:t>直径变</w:t>
            </w:r>
          </w:p>
          <w:p>
            <w:pPr>
              <w:pStyle w:val="TableText"/>
              <w:ind w:left="218" w:right="29" w:hanging="188"/>
              <w:spacing w:before="23" w:line="234" w:lineRule="auto"/>
              <w:rPr>
                <w:rFonts w:ascii="Times New Roman" w:hAnsi="Times New Roman" w:eastAsia="Times New Roman" w:cs="Times New Roman"/>
              </w:rPr>
            </w:pPr>
            <w:r>
              <w:rPr>
                <w:spacing w:val="6"/>
              </w:rPr>
              <w:t>异系数</w:t>
            </w:r>
            <w:r>
              <w:rPr/>
              <w:t xml:space="preserve"> </w:t>
            </w:r>
            <w:r>
              <w:rPr>
                <w:rFonts w:ascii="Times New Roman" w:hAnsi="Times New Roman" w:eastAsia="Times New Roman" w:cs="Times New Roman"/>
                <w:spacing w:val="4"/>
              </w:rPr>
              <w:t>/%</w:t>
            </w:r>
          </w:p>
        </w:tc>
        <w:tc>
          <w:tcPr>
            <w:tcW w:w="448" w:type="dxa"/>
            <w:vAlign w:val="top"/>
          </w:tcPr>
          <w:p>
            <w:pPr>
              <w:pStyle w:val="TableText"/>
              <w:ind w:left="143"/>
              <w:spacing w:before="168" w:line="267" w:lineRule="exact"/>
              <w:rPr/>
            </w:pPr>
            <w:r>
              <w:rPr>
                <w:position w:val="1"/>
              </w:rPr>
              <w:t>≥</w:t>
            </w:r>
          </w:p>
          <w:p>
            <w:pPr>
              <w:ind w:left="43"/>
              <w:spacing w:before="2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35.0</w:t>
            </w:r>
          </w:p>
        </w:tc>
        <w:tc>
          <w:tcPr>
            <w:tcW w:w="841" w:type="dxa"/>
            <w:vAlign w:val="top"/>
          </w:tcPr>
          <w:p>
            <w:pPr>
              <w:spacing w:before="204"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32.0-&lt;35.</w:t>
            </w:r>
          </w:p>
          <w:p>
            <w:pPr>
              <w:ind w:left="369"/>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1" w:type="dxa"/>
            <w:vAlign w:val="top"/>
          </w:tcPr>
          <w:p>
            <w:pPr>
              <w:spacing w:before="204"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30.0-&lt;32.</w:t>
            </w:r>
          </w:p>
          <w:p>
            <w:pPr>
              <w:ind w:left="371"/>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1" w:type="dxa"/>
            <w:vAlign w:val="top"/>
          </w:tcPr>
          <w:p>
            <w:pPr>
              <w:spacing w:before="204"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28.0-&lt;30.</w:t>
            </w:r>
          </w:p>
          <w:p>
            <w:pPr>
              <w:ind w:left="372"/>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1" w:type="dxa"/>
            <w:vAlign w:val="top"/>
          </w:tcPr>
          <w:p>
            <w:pPr>
              <w:spacing w:before="204"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26.0-&lt;28.</w:t>
            </w:r>
          </w:p>
          <w:p>
            <w:pPr>
              <w:ind w:left="374"/>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1" w:type="dxa"/>
            <w:vAlign w:val="top"/>
          </w:tcPr>
          <w:p>
            <w:pPr>
              <w:spacing w:before="204"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24.0-&lt;26.</w:t>
            </w:r>
          </w:p>
          <w:p>
            <w:pPr>
              <w:ind w:left="373"/>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1" w:type="dxa"/>
            <w:vAlign w:val="top"/>
          </w:tcPr>
          <w:p>
            <w:pPr>
              <w:spacing w:before="204"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23.0-&lt;24.</w:t>
            </w:r>
          </w:p>
          <w:p>
            <w:pPr>
              <w:ind w:left="374"/>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2" w:type="dxa"/>
            <w:vAlign w:val="top"/>
          </w:tcPr>
          <w:p>
            <w:pPr>
              <w:spacing w:before="204"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22.0-&lt;23.</w:t>
            </w:r>
          </w:p>
          <w:p>
            <w:pPr>
              <w:ind w:left="375"/>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2" w:type="dxa"/>
            <w:vAlign w:val="top"/>
          </w:tcPr>
          <w:p>
            <w:pPr>
              <w:spacing w:before="204"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21.0-&lt;22.</w:t>
            </w:r>
          </w:p>
          <w:p>
            <w:pPr>
              <w:ind w:left="376"/>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454" w:type="dxa"/>
            <w:vAlign w:val="top"/>
          </w:tcPr>
          <w:p>
            <w:pPr>
              <w:ind w:left="39"/>
              <w:spacing w:before="2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&lt;21.</w:t>
            </w:r>
          </w:p>
          <w:p>
            <w:pPr>
              <w:ind w:left="179"/>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r>
      <w:tr>
        <w:trPr>
          <w:trHeight w:val="549" w:hRule="atLeast"/>
        </w:trPr>
        <w:tc>
          <w:tcPr>
            <w:tcW w:w="204" w:type="dxa"/>
            <w:vAlign w:val="top"/>
            <w:textDirection w:val="tbRlV"/>
            <w:tcBorders>
              <w:bottom w:val="nil"/>
              <w:top w:val="nil"/>
            </w:tcBorders>
          </w:tcPr>
          <w:p>
            <w:pPr>
              <w:pStyle w:val="TableText"/>
              <w:spacing w:line="201" w:lineRule="auto"/>
              <w:jc w:val="right"/>
              <w:rPr/>
            </w:pPr>
            <w:r>
              <w:rPr>
                <w:spacing w:val="-5"/>
              </w:rPr>
              <w:t>要求</w:t>
            </w:r>
          </w:p>
        </w:tc>
        <w:tc>
          <w:tcPr>
            <w:tcW w:w="683" w:type="dxa"/>
            <w:vAlign w:val="top"/>
          </w:tcPr>
          <w:p>
            <w:pPr>
              <w:pStyle w:val="TableText"/>
              <w:ind w:left="46" w:right="29" w:hanging="19"/>
              <w:spacing w:before="34" w:line="233" w:lineRule="auto"/>
              <w:rPr>
                <w:rFonts w:ascii="Times New Roman" w:hAnsi="Times New Roman" w:eastAsia="Times New Roman" w:cs="Times New Roman"/>
              </w:rPr>
            </w:pPr>
            <w:r>
              <w:rPr>
                <w:spacing w:val="7"/>
              </w:rPr>
              <w:t>平均长</w:t>
            </w:r>
            <w:r>
              <w:rPr/>
              <w:t xml:space="preserve"> </w:t>
            </w:r>
            <w:r>
              <w:rPr>
                <w:spacing w:val="8"/>
              </w:rPr>
              <w:t>度</w:t>
            </w:r>
            <w:r>
              <w:rPr>
                <w:rFonts w:ascii="Times New Roman" w:hAnsi="Times New Roman" w:eastAsia="Times New Roman" w:cs="Times New Roman"/>
                <w:spacing w:val="8"/>
              </w:rPr>
              <w:t>/</w:t>
            </w:r>
            <w:r>
              <w:rPr>
                <w:rFonts w:ascii="Times New Roman" w:hAnsi="Times New Roman" w:eastAsia="Times New Roman" w:cs="Times New Roman"/>
              </w:rPr>
              <w:t>mm</w:t>
            </w:r>
          </w:p>
        </w:tc>
        <w:tc>
          <w:tcPr>
            <w:tcW w:w="448" w:type="dxa"/>
            <w:vAlign w:val="top"/>
          </w:tcPr>
          <w:p>
            <w:pPr>
              <w:ind w:left="31"/>
              <w:spacing w:before="8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&lt;22.</w:t>
            </w:r>
          </w:p>
          <w:p>
            <w:pPr>
              <w:ind w:left="172"/>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1" w:type="dxa"/>
            <w:vAlign w:val="top"/>
          </w:tcPr>
          <w:p>
            <w:pPr>
              <w:spacing w:before="84"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22.0-&lt;24.</w:t>
            </w:r>
          </w:p>
          <w:p>
            <w:pPr>
              <w:ind w:left="369"/>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1" w:type="dxa"/>
            <w:vAlign w:val="top"/>
          </w:tcPr>
          <w:p>
            <w:pPr>
              <w:spacing w:before="84"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24.0-&lt;26.</w:t>
            </w:r>
          </w:p>
          <w:p>
            <w:pPr>
              <w:ind w:left="371"/>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1" w:type="dxa"/>
            <w:vAlign w:val="top"/>
          </w:tcPr>
          <w:p>
            <w:pPr>
              <w:spacing w:before="84"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26.0-&lt;28.</w:t>
            </w:r>
          </w:p>
          <w:p>
            <w:pPr>
              <w:ind w:left="372"/>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1" w:type="dxa"/>
            <w:vAlign w:val="top"/>
          </w:tcPr>
          <w:p>
            <w:pPr>
              <w:spacing w:before="84"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28.0-&lt;30.</w:t>
            </w:r>
          </w:p>
          <w:p>
            <w:pPr>
              <w:ind w:left="374"/>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1" w:type="dxa"/>
            <w:vAlign w:val="top"/>
          </w:tcPr>
          <w:p>
            <w:pPr>
              <w:spacing w:before="84"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30.0-&lt;32.</w:t>
            </w:r>
          </w:p>
          <w:p>
            <w:pPr>
              <w:ind w:left="373"/>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1" w:type="dxa"/>
            <w:vAlign w:val="top"/>
          </w:tcPr>
          <w:p>
            <w:pPr>
              <w:spacing w:before="84"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32.0-&lt;34.</w:t>
            </w:r>
          </w:p>
          <w:p>
            <w:pPr>
              <w:ind w:left="374"/>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2" w:type="dxa"/>
            <w:vAlign w:val="top"/>
          </w:tcPr>
          <w:p>
            <w:pPr>
              <w:spacing w:before="84"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34.0-&lt;35.</w:t>
            </w:r>
          </w:p>
          <w:p>
            <w:pPr>
              <w:ind w:left="375"/>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2" w:type="dxa"/>
            <w:vAlign w:val="top"/>
          </w:tcPr>
          <w:p>
            <w:pPr>
              <w:spacing w:before="84"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35.0-&lt;36.</w:t>
            </w:r>
          </w:p>
          <w:p>
            <w:pPr>
              <w:ind w:left="376"/>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454" w:type="dxa"/>
            <w:vAlign w:val="top"/>
          </w:tcPr>
          <w:p>
            <w:pPr>
              <w:pStyle w:val="TableText"/>
              <w:ind w:left="148"/>
              <w:spacing w:before="48" w:line="266" w:lineRule="exact"/>
              <w:rPr/>
            </w:pPr>
            <w:r>
              <w:rPr>
                <w:position w:val="1"/>
              </w:rPr>
              <w:t>≥</w:t>
            </w:r>
          </w:p>
          <w:p>
            <w:pPr>
              <w:ind w:left="48"/>
              <w:spacing w:before="2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36.0</w:t>
            </w:r>
          </w:p>
        </w:tc>
      </w:tr>
      <w:tr>
        <w:trPr>
          <w:trHeight w:val="1093" w:hRule="atLeast"/>
        </w:trPr>
        <w:tc>
          <w:tcPr>
            <w:tcW w:w="204" w:type="dxa"/>
            <w:vAlign w:val="top"/>
            <w:tcBorders>
              <w:bottom w:val="nil"/>
              <w:top w:val="nil"/>
            </w:tcBorders>
          </w:tcPr>
          <w:p>
            <w:pPr>
              <w:rPr>
                <w:rFonts w:ascii="Arial"/>
                <w:sz w:val="21"/>
              </w:rPr>
            </w:pPr>
            <w:r/>
          </w:p>
        </w:tc>
        <w:tc>
          <w:tcPr>
            <w:tcW w:w="683" w:type="dxa"/>
            <w:vAlign w:val="top"/>
          </w:tcPr>
          <w:p>
            <w:pPr>
              <w:pStyle w:val="TableText"/>
              <w:ind w:left="19" w:right="16" w:firstLine="11"/>
              <w:spacing w:before="34" w:line="242" w:lineRule="auto"/>
              <w:jc w:val="both"/>
              <w:rPr>
                <w:rFonts w:ascii="Times New Roman" w:hAnsi="Times New Roman" w:eastAsia="Times New Roman" w:cs="Times New Roman"/>
              </w:rPr>
            </w:pPr>
            <w:r>
              <w:rPr>
                <w:spacing w:val="6"/>
              </w:rPr>
              <w:t>短绒率</w:t>
            </w:r>
            <w:r>
              <w:rPr/>
              <w:t xml:space="preserve"> </w:t>
            </w:r>
            <w:r>
              <w:rPr>
                <w:spacing w:val="-1"/>
              </w:rPr>
              <w:t>（</w:t>
            </w:r>
            <w:r>
              <w:rPr>
                <w:spacing w:val="-44"/>
              </w:rPr>
              <w:t xml:space="preserve"> </w:t>
            </w:r>
            <w:r>
              <w:rPr>
                <w:rFonts w:ascii="Times New Roman" w:hAnsi="Times New Roman" w:eastAsia="Times New Roman" w:cs="Times New Roman"/>
                <w:spacing w:val="-1"/>
              </w:rPr>
              <w:t>15m</w:t>
            </w:r>
            <w:r>
              <w:rPr>
                <w:rFonts w:ascii="Times New Roman" w:hAnsi="Times New Roman" w:eastAsia="Times New Roman" w:cs="Times New Roman"/>
              </w:rPr>
              <w:t xml:space="preserve">  </w:t>
            </w:r>
            <w:r>
              <w:rPr>
                <w:rFonts w:ascii="Times New Roman" w:hAnsi="Times New Roman" w:eastAsia="Times New Roman" w:cs="Times New Roman"/>
                <w:spacing w:val="5"/>
              </w:rPr>
              <w:t>m</w:t>
            </w:r>
            <w:r>
              <w:rPr>
                <w:rFonts w:ascii="Times New Roman" w:hAnsi="Times New Roman" w:eastAsia="Times New Roman" w:cs="Times New Roman"/>
                <w:spacing w:val="10"/>
              </w:rPr>
              <w:t xml:space="preserve"> </w:t>
            </w:r>
            <w:r>
              <w:rPr>
                <w:spacing w:val="5"/>
              </w:rPr>
              <w:t>及以</w:t>
            </w:r>
            <w:r>
              <w:rPr/>
              <w:t xml:space="preserve"> </w:t>
            </w:r>
            <w:r>
              <w:rPr>
                <w:spacing w:val="5"/>
              </w:rPr>
              <w:t>下）</w:t>
            </w:r>
            <w:r>
              <w:rPr>
                <w:rFonts w:ascii="Times New Roman" w:hAnsi="Times New Roman" w:eastAsia="Times New Roman" w:cs="Times New Roman"/>
                <w:spacing w:val="5"/>
              </w:rPr>
              <w:t>/%</w:t>
            </w:r>
          </w:p>
        </w:tc>
        <w:tc>
          <w:tcPr>
            <w:tcW w:w="448" w:type="dxa"/>
            <w:vAlign w:val="top"/>
          </w:tcPr>
          <w:p>
            <w:pPr>
              <w:spacing w:line="255" w:lineRule="auto"/>
              <w:rPr>
                <w:rFonts w:ascii="Arial"/>
                <w:sz w:val="21"/>
              </w:rPr>
            </w:pPr>
            <w:r/>
          </w:p>
          <w:p>
            <w:pPr>
              <w:pStyle w:val="TableText"/>
              <w:ind w:left="143"/>
              <w:spacing w:before="65" w:line="266" w:lineRule="exact"/>
              <w:rPr/>
            </w:pPr>
            <w:r>
              <w:rPr>
                <w:position w:val="1"/>
              </w:rPr>
              <w:t>≥</w:t>
            </w:r>
          </w:p>
          <w:p>
            <w:pPr>
              <w:ind w:left="43"/>
              <w:spacing w:before="2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30.0</w:t>
            </w:r>
          </w:p>
        </w:tc>
        <w:tc>
          <w:tcPr>
            <w:tcW w:w="841" w:type="dxa"/>
            <w:vAlign w:val="top"/>
          </w:tcPr>
          <w:p>
            <w:pPr>
              <w:spacing w:line="298" w:lineRule="auto"/>
              <w:rPr>
                <w:rFonts w:ascii="Arial"/>
                <w:sz w:val="21"/>
              </w:rPr>
            </w:pPr>
            <w:r/>
          </w:p>
          <w:p>
            <w:pPr>
              <w:spacing w:before="58"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36.0-&lt;30.</w:t>
            </w:r>
          </w:p>
          <w:p>
            <w:pPr>
              <w:ind w:left="369"/>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1" w:type="dxa"/>
            <w:vAlign w:val="top"/>
          </w:tcPr>
          <w:p>
            <w:pPr>
              <w:spacing w:line="298" w:lineRule="auto"/>
              <w:rPr>
                <w:rFonts w:ascii="Arial"/>
                <w:sz w:val="21"/>
              </w:rPr>
            </w:pPr>
            <w:r/>
          </w:p>
          <w:p>
            <w:pPr>
              <w:spacing w:before="58"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25.0-&lt;26.</w:t>
            </w:r>
          </w:p>
          <w:p>
            <w:pPr>
              <w:ind w:left="371"/>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1" w:type="dxa"/>
            <w:vAlign w:val="top"/>
          </w:tcPr>
          <w:p>
            <w:pPr>
              <w:spacing w:line="298" w:lineRule="auto"/>
              <w:rPr>
                <w:rFonts w:ascii="Arial"/>
                <w:sz w:val="21"/>
              </w:rPr>
            </w:pPr>
            <w:r/>
          </w:p>
          <w:p>
            <w:pPr>
              <w:spacing w:before="58"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24.0-&lt;25.</w:t>
            </w:r>
          </w:p>
          <w:p>
            <w:pPr>
              <w:ind w:left="372"/>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1" w:type="dxa"/>
            <w:vAlign w:val="top"/>
          </w:tcPr>
          <w:p>
            <w:pPr>
              <w:spacing w:line="298" w:lineRule="auto"/>
              <w:rPr>
                <w:rFonts w:ascii="Arial"/>
                <w:sz w:val="21"/>
              </w:rPr>
            </w:pPr>
            <w:r/>
          </w:p>
          <w:p>
            <w:pPr>
              <w:spacing w:before="58"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22.0-&lt;24.</w:t>
            </w:r>
          </w:p>
          <w:p>
            <w:pPr>
              <w:ind w:left="374"/>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1" w:type="dxa"/>
            <w:vAlign w:val="top"/>
          </w:tcPr>
          <w:p>
            <w:pPr>
              <w:spacing w:line="298" w:lineRule="auto"/>
              <w:rPr>
                <w:rFonts w:ascii="Arial"/>
                <w:sz w:val="21"/>
              </w:rPr>
            </w:pPr>
            <w:r/>
          </w:p>
          <w:p>
            <w:pPr>
              <w:spacing w:before="58"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20.0-&lt;22.</w:t>
            </w:r>
          </w:p>
          <w:p>
            <w:pPr>
              <w:ind w:left="373"/>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1" w:type="dxa"/>
            <w:vAlign w:val="top"/>
          </w:tcPr>
          <w:p>
            <w:pPr>
              <w:spacing w:line="298" w:lineRule="auto"/>
              <w:rPr>
                <w:rFonts w:ascii="Arial"/>
                <w:sz w:val="21"/>
              </w:rPr>
            </w:pPr>
            <w:r/>
          </w:p>
          <w:p>
            <w:pPr>
              <w:spacing w:before="58"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18.0-&lt;20.</w:t>
            </w:r>
          </w:p>
          <w:p>
            <w:pPr>
              <w:ind w:left="374"/>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2" w:type="dxa"/>
            <w:vAlign w:val="top"/>
          </w:tcPr>
          <w:p>
            <w:pPr>
              <w:spacing w:line="298" w:lineRule="auto"/>
              <w:rPr>
                <w:rFonts w:ascii="Arial"/>
                <w:sz w:val="21"/>
              </w:rPr>
            </w:pPr>
            <w:r/>
          </w:p>
          <w:p>
            <w:pPr>
              <w:spacing w:before="58"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16.0-&lt;18.</w:t>
            </w:r>
          </w:p>
          <w:p>
            <w:pPr>
              <w:ind w:left="375"/>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42" w:type="dxa"/>
            <w:vAlign w:val="top"/>
          </w:tcPr>
          <w:p>
            <w:pPr>
              <w:spacing w:line="298" w:lineRule="auto"/>
              <w:rPr>
                <w:rFonts w:ascii="Arial"/>
                <w:sz w:val="21"/>
              </w:rPr>
            </w:pPr>
            <w:r/>
          </w:p>
          <w:p>
            <w:pPr>
              <w:spacing w:before="58"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14.0-&lt;16.</w:t>
            </w:r>
          </w:p>
          <w:p>
            <w:pPr>
              <w:ind w:left="376"/>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454" w:type="dxa"/>
            <w:vAlign w:val="top"/>
          </w:tcPr>
          <w:p>
            <w:pPr>
              <w:spacing w:line="298" w:lineRule="auto"/>
              <w:rPr>
                <w:rFonts w:ascii="Arial"/>
                <w:sz w:val="21"/>
              </w:rPr>
            </w:pPr>
            <w:r/>
          </w:p>
          <w:p>
            <w:pPr>
              <w:ind w:left="3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&lt;14.</w:t>
            </w:r>
          </w:p>
          <w:p>
            <w:pPr>
              <w:ind w:left="179"/>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r>
      <w:tr>
        <w:trPr>
          <w:trHeight w:val="523" w:hRule="atLeast"/>
        </w:trPr>
        <w:tc>
          <w:tcPr>
            <w:tcW w:w="204" w:type="dxa"/>
            <w:vAlign w:val="top"/>
            <w:tcBorders>
              <w:top w:val="nil"/>
            </w:tcBorders>
          </w:tcPr>
          <w:p>
            <w:pPr>
              <w:rPr>
                <w:rFonts w:ascii="Arial"/>
                <w:sz w:val="21"/>
              </w:rPr>
            </w:pPr>
            <w:r/>
          </w:p>
        </w:tc>
        <w:tc>
          <w:tcPr>
            <w:tcW w:w="683" w:type="dxa"/>
            <w:vAlign w:val="top"/>
          </w:tcPr>
          <w:p>
            <w:pPr>
              <w:pStyle w:val="TableText"/>
              <w:ind w:left="27"/>
              <w:spacing w:before="35" w:line="228" w:lineRule="auto"/>
              <w:rPr/>
            </w:pPr>
            <w:r>
              <w:rPr>
                <w:spacing w:val="6"/>
              </w:rPr>
              <w:t>含粗率</w:t>
            </w:r>
          </w:p>
          <w:p>
            <w:pPr>
              <w:ind w:left="219"/>
              <w:spacing w:before="42" w:line="19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w:t>
            </w:r>
          </w:p>
        </w:tc>
        <w:tc>
          <w:tcPr>
            <w:tcW w:w="448" w:type="dxa"/>
            <w:vAlign w:val="top"/>
          </w:tcPr>
          <w:p>
            <w:pPr>
              <w:pStyle w:val="TableText"/>
              <w:ind w:left="143"/>
              <w:spacing w:before="35" w:line="266" w:lineRule="exact"/>
              <w:rPr/>
            </w:pPr>
            <w:r>
              <w:rPr>
                <w:position w:val="1"/>
              </w:rPr>
              <w:t>≥</w:t>
            </w:r>
          </w:p>
          <w:p>
            <w:pPr>
              <w:ind w:left="88"/>
              <w:spacing w:before="26" w:line="193"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w:t>
            </w:r>
          </w:p>
        </w:tc>
        <w:tc>
          <w:tcPr>
            <w:tcW w:w="841" w:type="dxa"/>
            <w:vAlign w:val="top"/>
          </w:tcPr>
          <w:p>
            <w:pPr>
              <w:ind w:left="66"/>
              <w:spacing w:before="1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3.0-&lt;4.0</w:t>
            </w:r>
          </w:p>
        </w:tc>
        <w:tc>
          <w:tcPr>
            <w:tcW w:w="841" w:type="dxa"/>
            <w:vAlign w:val="top"/>
          </w:tcPr>
          <w:p>
            <w:pPr>
              <w:ind w:left="63"/>
              <w:spacing w:before="1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2.0-&lt;3.0</w:t>
            </w:r>
          </w:p>
        </w:tc>
        <w:tc>
          <w:tcPr>
            <w:tcW w:w="841" w:type="dxa"/>
            <w:vAlign w:val="top"/>
          </w:tcPr>
          <w:p>
            <w:pPr>
              <w:ind w:left="84"/>
              <w:spacing w:before="1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1.0-&lt;2.0</w:t>
            </w:r>
          </w:p>
        </w:tc>
        <w:tc>
          <w:tcPr>
            <w:tcW w:w="841" w:type="dxa"/>
            <w:vAlign w:val="top"/>
          </w:tcPr>
          <w:p>
            <w:pPr>
              <w:ind w:left="69"/>
              <w:spacing w:before="1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0.5-&lt;1.0</w:t>
            </w:r>
          </w:p>
        </w:tc>
        <w:tc>
          <w:tcPr>
            <w:tcW w:w="841" w:type="dxa"/>
            <w:vAlign w:val="top"/>
          </w:tcPr>
          <w:p>
            <w:pPr>
              <w:ind w:left="70"/>
              <w:spacing w:before="1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0.4-&lt;0.5</w:t>
            </w:r>
          </w:p>
        </w:tc>
        <w:tc>
          <w:tcPr>
            <w:tcW w:w="841" w:type="dxa"/>
            <w:vAlign w:val="top"/>
          </w:tcPr>
          <w:p>
            <w:pPr>
              <w:ind w:left="72"/>
              <w:spacing w:before="1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0.3-&lt;0.4</w:t>
            </w:r>
          </w:p>
        </w:tc>
        <w:tc>
          <w:tcPr>
            <w:tcW w:w="842" w:type="dxa"/>
            <w:vAlign w:val="top"/>
          </w:tcPr>
          <w:p>
            <w:pPr>
              <w:ind w:left="71"/>
              <w:spacing w:before="1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0.2-&lt;0.3</w:t>
            </w:r>
          </w:p>
        </w:tc>
        <w:tc>
          <w:tcPr>
            <w:tcW w:w="842" w:type="dxa"/>
            <w:vAlign w:val="top"/>
          </w:tcPr>
          <w:p>
            <w:pPr>
              <w:ind w:left="71"/>
              <w:spacing w:before="1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rPr>
              <w:t>1-&lt;0.2</w:t>
            </w:r>
          </w:p>
        </w:tc>
        <w:tc>
          <w:tcPr>
            <w:tcW w:w="454" w:type="dxa"/>
            <w:vAlign w:val="top"/>
          </w:tcPr>
          <w:p>
            <w:pPr>
              <w:ind w:left="39"/>
              <w:spacing w:before="1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&lt;0.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w:t>
            </w:r>
          </w:p>
        </w:tc>
      </w:tr>
    </w:tbl>
    <w:p>
      <w:pPr>
        <w:ind w:left="500"/>
        <w:spacing w:before="193" w:line="219" w:lineRule="auto"/>
        <w:rPr>
          <w:rFonts w:ascii="SimSun" w:hAnsi="SimSun" w:eastAsia="SimSun" w:cs="SimSun"/>
          <w:sz w:val="24"/>
          <w:szCs w:val="24"/>
        </w:rPr>
      </w:pP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3"/>
        </w:rPr>
        <w:t>、梳绒短纤维及杂毛质量标准</w:t>
      </w:r>
    </w:p>
    <w:p>
      <w:pPr>
        <w:ind w:left="21" w:right="99" w:firstLine="479"/>
        <w:spacing w:before="214" w:line="385" w:lineRule="auto"/>
        <w:rPr>
          <w:rFonts w:ascii="SimSun" w:hAnsi="SimSun" w:eastAsia="SimSun" w:cs="SimSun"/>
          <w:sz w:val="24"/>
          <w:szCs w:val="24"/>
        </w:rPr>
      </w:pPr>
      <w:r>
        <w:rPr>
          <w:rFonts w:ascii="SimSun" w:hAnsi="SimSun" w:eastAsia="SimSun" w:cs="SimSun"/>
          <w:sz w:val="24"/>
          <w:szCs w:val="24"/>
          <w:spacing w:val="13"/>
        </w:rPr>
        <w:t>本项</w:t>
      </w:r>
      <w:r>
        <w:rPr>
          <w:rFonts w:ascii="SimSun" w:hAnsi="SimSun" w:eastAsia="SimSun" w:cs="SimSun"/>
          <w:sz w:val="24"/>
          <w:szCs w:val="24"/>
          <w:spacing w:val="-33"/>
        </w:rPr>
        <w:t xml:space="preserve"> </w:t>
      </w:r>
      <w:r>
        <w:rPr>
          <w:rFonts w:ascii="SimSun" w:hAnsi="SimSun" w:eastAsia="SimSun" w:cs="SimSun"/>
          <w:sz w:val="24"/>
          <w:szCs w:val="24"/>
          <w:spacing w:val="13"/>
        </w:rPr>
        <w:t>目梳绒短纤维外售综合利用（工业毛毡等）</w:t>
      </w:r>
      <w:r>
        <w:rPr>
          <w:rFonts w:ascii="SimSun" w:hAnsi="SimSun" w:eastAsia="SimSun" w:cs="SimSun"/>
          <w:sz w:val="24"/>
          <w:szCs w:val="24"/>
          <w:spacing w:val="-46"/>
        </w:rPr>
        <w:t xml:space="preserve"> </w:t>
      </w:r>
      <w:r>
        <w:rPr>
          <w:rFonts w:ascii="SimSun" w:hAnsi="SimSun" w:eastAsia="SimSun" w:cs="SimSun"/>
          <w:sz w:val="24"/>
          <w:szCs w:val="24"/>
          <w:spacing w:val="13"/>
        </w:rPr>
        <w:t>。根据《工业用毛毡》</w:t>
      </w:r>
      <w:r>
        <w:rPr>
          <w:rFonts w:ascii="SimSun" w:hAnsi="SimSun" w:eastAsia="SimSun" w:cs="SimSun"/>
          <w:sz w:val="24"/>
          <w:szCs w:val="2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FZ/T25001-2012</w:t>
      </w:r>
      <w:r>
        <w:rPr>
          <w:rFonts w:ascii="SimSun" w:hAnsi="SimSun" w:eastAsia="SimSun" w:cs="SimSun"/>
          <w:sz w:val="24"/>
          <w:szCs w:val="24"/>
          <w:spacing w:val="-21"/>
        </w:rPr>
        <w:t>），</w:t>
      </w:r>
      <w:r>
        <w:rPr>
          <w:rFonts w:ascii="SimSun" w:hAnsi="SimSun" w:eastAsia="SimSun" w:cs="SimSun"/>
          <w:sz w:val="24"/>
          <w:szCs w:val="24"/>
          <w:spacing w:val="-2"/>
        </w:rPr>
        <w:t>该标准未规定所使用羊毛和纤维的具体要求，只规定了工业</w:t>
      </w:r>
      <w:r>
        <w:rPr>
          <w:rFonts w:ascii="SimSun" w:hAnsi="SimSun" w:eastAsia="SimSun" w:cs="SimSun"/>
          <w:sz w:val="24"/>
          <w:szCs w:val="24"/>
          <w:spacing w:val="1"/>
        </w:rPr>
        <w:t xml:space="preserve"> </w:t>
      </w:r>
      <w:r>
        <w:rPr>
          <w:rFonts w:ascii="SimSun" w:hAnsi="SimSun" w:eastAsia="SimSun" w:cs="SimSun"/>
          <w:sz w:val="24"/>
          <w:szCs w:val="24"/>
          <w:spacing w:val="-2"/>
        </w:rPr>
        <w:t>用毡的技术要求。</w:t>
      </w:r>
    </w:p>
    <w:p>
      <w:pPr>
        <w:ind w:left="19" w:right="23" w:firstLine="480"/>
        <w:spacing w:before="2" w:line="384" w:lineRule="auto"/>
        <w:jc w:val="both"/>
        <w:rPr>
          <w:rFonts w:ascii="SimSun" w:hAnsi="SimSun" w:eastAsia="SimSun" w:cs="SimSun"/>
          <w:sz w:val="24"/>
          <w:szCs w:val="24"/>
        </w:rPr>
      </w:pPr>
      <w:r>
        <w:rPr>
          <w:rFonts w:ascii="SimSun" w:hAnsi="SimSun" w:eastAsia="SimSun" w:cs="SimSun"/>
          <w:sz w:val="24"/>
          <w:szCs w:val="24"/>
          <w:spacing w:val="-2"/>
        </w:rPr>
        <w:t>根据《绵羊绒交易技术规范》（</w:t>
      </w:r>
      <w:r>
        <w:rPr>
          <w:rFonts w:ascii="Times New Roman" w:hAnsi="Times New Roman" w:eastAsia="Times New Roman" w:cs="Times New Roman"/>
          <w:sz w:val="24"/>
          <w:szCs w:val="24"/>
          <w:spacing w:val="-2"/>
        </w:rPr>
        <w:t>GH/T</w:t>
      </w:r>
      <w:r>
        <w:rPr>
          <w:rFonts w:ascii="Times New Roman" w:hAnsi="Times New Roman" w:eastAsia="Times New Roman" w:cs="Times New Roman"/>
          <w:sz w:val="24"/>
          <w:szCs w:val="24"/>
          <w:spacing w:val="29"/>
          <w:w w:val="101"/>
        </w:rPr>
        <w:t xml:space="preserve"> </w:t>
      </w:r>
      <w:r>
        <w:rPr>
          <w:rFonts w:ascii="Times New Roman" w:hAnsi="Times New Roman" w:eastAsia="Times New Roman" w:cs="Times New Roman"/>
          <w:sz w:val="24"/>
          <w:szCs w:val="24"/>
          <w:spacing w:val="-2"/>
        </w:rPr>
        <w:t>1483-2024</w:t>
      </w:r>
      <w:r>
        <w:rPr>
          <w:rFonts w:ascii="SimSun" w:hAnsi="SimSun" w:eastAsia="SimSun" w:cs="SimSun"/>
          <w:sz w:val="24"/>
          <w:szCs w:val="24"/>
          <w:spacing w:val="5"/>
        </w:rPr>
        <w:t>），</w:t>
      </w:r>
      <w:r>
        <w:rPr>
          <w:rFonts w:ascii="SimSun" w:hAnsi="SimSun" w:eastAsia="SimSun" w:cs="SimSun"/>
          <w:sz w:val="24"/>
          <w:szCs w:val="24"/>
          <w:spacing w:val="-2"/>
        </w:rPr>
        <w:t>绵羊绒</w:t>
      </w:r>
      <w:r>
        <w:rPr>
          <w:rFonts w:ascii="SimSun" w:hAnsi="SimSun" w:eastAsia="SimSun" w:cs="SimSun"/>
          <w:sz w:val="24"/>
          <w:szCs w:val="24"/>
          <w:spacing w:val="-3"/>
        </w:rPr>
        <w:t>长度≥</w:t>
      </w:r>
      <w:r>
        <w:rPr>
          <w:rFonts w:ascii="Times New Roman" w:hAnsi="Times New Roman" w:eastAsia="Times New Roman" w:cs="Times New Roman"/>
          <w:sz w:val="24"/>
          <w:szCs w:val="24"/>
          <w:spacing w:val="-3"/>
        </w:rPr>
        <w:t>22mm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、短</w:t>
      </w:r>
      <w:r>
        <w:rPr>
          <w:rFonts w:ascii="SimSun" w:hAnsi="SimSun" w:eastAsia="SimSun" w:cs="SimSun"/>
          <w:sz w:val="24"/>
          <w:szCs w:val="24"/>
        </w:rPr>
        <w:t xml:space="preserve"> </w:t>
      </w:r>
      <w:r>
        <w:rPr>
          <w:rFonts w:ascii="SimSun" w:hAnsi="SimSun" w:eastAsia="SimSun" w:cs="SimSun"/>
          <w:sz w:val="24"/>
          <w:szCs w:val="24"/>
          <w:spacing w:val="-1"/>
        </w:rPr>
        <w:t>绒率≥</w:t>
      </w:r>
      <w:r>
        <w:rPr>
          <w:rFonts w:ascii="Times New Roman" w:hAnsi="Times New Roman" w:eastAsia="Times New Roman" w:cs="Times New Roman"/>
          <w:sz w:val="24"/>
          <w:szCs w:val="24"/>
          <w:spacing w:val="-1"/>
        </w:rPr>
        <w:t>30%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、含粗率≥</w:t>
      </w:r>
      <w:r>
        <w:rPr>
          <w:rFonts w:ascii="Times New Roman" w:hAnsi="Times New Roman" w:eastAsia="Times New Roman" w:cs="Times New Roman"/>
          <w:sz w:val="24"/>
          <w:szCs w:val="24"/>
          <w:spacing w:val="-1"/>
        </w:rPr>
        <w:t>4.0</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1"/>
        </w:rPr>
        <w:t>时，绵羊绒品质代码为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0</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，因此本项目梳绒短纤维参照</w:t>
      </w:r>
      <w:r>
        <w:rPr>
          <w:rFonts w:ascii="SimSun" w:hAnsi="SimSun" w:eastAsia="SimSun" w:cs="SimSun"/>
          <w:sz w:val="24"/>
          <w:szCs w:val="24"/>
        </w:rPr>
        <w:t xml:space="preserve"> </w:t>
      </w:r>
      <w:r>
        <w:rPr>
          <w:rFonts w:ascii="SimSun" w:hAnsi="SimSun" w:eastAsia="SimSun" w:cs="SimSun"/>
          <w:sz w:val="24"/>
          <w:szCs w:val="24"/>
          <w:spacing w:val="-3"/>
        </w:rPr>
        <w:t>执行《绵羊绒交易技术规范》（</w:t>
      </w:r>
      <w:r>
        <w:rPr>
          <w:rFonts w:ascii="Times New Roman" w:hAnsi="Times New Roman" w:eastAsia="Times New Roman" w:cs="Times New Roman"/>
          <w:sz w:val="24"/>
          <w:szCs w:val="24"/>
          <w:spacing w:val="-3"/>
        </w:rPr>
        <w:t>GH/T</w:t>
      </w:r>
      <w:r>
        <w:rPr>
          <w:rFonts w:ascii="Times New Roman" w:hAnsi="Times New Roman" w:eastAsia="Times New Roman" w:cs="Times New Roman"/>
          <w:sz w:val="24"/>
          <w:szCs w:val="24"/>
          <w:spacing w:val="36"/>
          <w:w w:val="101"/>
        </w:rPr>
        <w:t xml:space="preserve"> </w:t>
      </w:r>
      <w:r>
        <w:rPr>
          <w:rFonts w:ascii="Times New Roman" w:hAnsi="Times New Roman" w:eastAsia="Times New Roman" w:cs="Times New Roman"/>
          <w:sz w:val="24"/>
          <w:szCs w:val="24"/>
          <w:spacing w:val="-3"/>
        </w:rPr>
        <w:t>1483-2024</w:t>
      </w:r>
      <w:r>
        <w:rPr>
          <w:rFonts w:ascii="SimSun" w:hAnsi="SimSun" w:eastAsia="SimSun" w:cs="SimSun"/>
          <w:sz w:val="24"/>
          <w:szCs w:val="24"/>
          <w:spacing w:val="-3"/>
        </w:rPr>
        <w:t>）中的品质代码为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0</w:t>
      </w:r>
      <w:r>
        <w:rPr>
          <w:rFonts w:ascii="Times New Roman" w:hAnsi="Times New Roman" w:eastAsia="Times New Roman" w:cs="Times New Roman"/>
          <w:sz w:val="24"/>
          <w:szCs w:val="24"/>
          <w:spacing w:val="29"/>
          <w:w w:val="101"/>
        </w:rPr>
        <w:t xml:space="preserve"> </w:t>
      </w:r>
      <w:r>
        <w:rPr>
          <w:rFonts w:ascii="SimSun" w:hAnsi="SimSun" w:eastAsia="SimSun" w:cs="SimSun"/>
          <w:sz w:val="24"/>
          <w:szCs w:val="24"/>
          <w:spacing w:val="-3"/>
        </w:rPr>
        <w:t>的品质要求。</w:t>
      </w:r>
    </w:p>
    <w:p>
      <w:pPr>
        <w:ind w:left="22" w:right="155" w:firstLine="476"/>
        <w:spacing w:line="384" w:lineRule="auto"/>
        <w:rPr>
          <w:rFonts w:ascii="SimSun" w:hAnsi="SimSun" w:eastAsia="SimSun" w:cs="SimSun"/>
          <w:sz w:val="24"/>
          <w:szCs w:val="24"/>
        </w:rPr>
      </w:pPr>
      <w:r>
        <w:rPr>
          <w:rFonts w:ascii="SimSun" w:hAnsi="SimSun" w:eastAsia="SimSun" w:cs="SimSun"/>
          <w:sz w:val="24"/>
          <w:szCs w:val="24"/>
          <w:spacing w:val="1"/>
        </w:rPr>
        <w:t>梳绒产生的杂毛为洗净毛中夹渣的羊毛，在分梳过程与绵羊绒分离，因此，</w:t>
      </w:r>
      <w:r>
        <w:rPr>
          <w:rFonts w:ascii="SimSun" w:hAnsi="SimSun" w:eastAsia="SimSun" w:cs="SimSun"/>
          <w:sz w:val="24"/>
          <w:szCs w:val="24"/>
          <w:spacing w:val="4"/>
        </w:rPr>
        <w:t xml:space="preserve"> </w:t>
      </w:r>
      <w:r>
        <w:rPr>
          <w:rFonts w:ascii="SimSun" w:hAnsi="SimSun" w:eastAsia="SimSun" w:cs="SimSun"/>
          <w:sz w:val="24"/>
          <w:szCs w:val="24"/>
        </w:rPr>
        <w:t>分梳杂毛执行《洗净绵羊毛》（</w:t>
      </w:r>
      <w:r>
        <w:rPr>
          <w:rFonts w:ascii="Times New Roman" w:hAnsi="Times New Roman" w:eastAsia="Times New Roman" w:cs="Times New Roman"/>
          <w:sz w:val="24"/>
          <w:szCs w:val="24"/>
        </w:rPr>
        <w:t>GB/T19</w:t>
      </w:r>
      <w:r>
        <w:rPr>
          <w:rFonts w:ascii="Times New Roman" w:hAnsi="Times New Roman" w:eastAsia="Times New Roman" w:cs="Times New Roman"/>
          <w:sz w:val="24"/>
          <w:szCs w:val="24"/>
          <w:spacing w:val="-1"/>
        </w:rPr>
        <w:t>722-2005</w:t>
      </w:r>
      <w:r>
        <w:rPr>
          <w:rFonts w:ascii="SimSun" w:hAnsi="SimSun" w:eastAsia="SimSun" w:cs="SimSun"/>
          <w:sz w:val="24"/>
          <w:szCs w:val="24"/>
          <w:spacing w:val="-1"/>
        </w:rPr>
        <w:t>）质量指标。</w:t>
      </w:r>
    </w:p>
    <w:p>
      <w:pPr>
        <w:ind w:left="494"/>
        <w:spacing w:line="218" w:lineRule="auto"/>
        <w:rPr>
          <w:rFonts w:ascii="SimSun" w:hAnsi="SimSun" w:eastAsia="SimSun" w:cs="SimSun"/>
          <w:sz w:val="24"/>
          <w:szCs w:val="24"/>
        </w:rPr>
      </w:pP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、沼肥产品质量标准</w:t>
      </w:r>
    </w:p>
    <w:p>
      <w:pPr>
        <w:ind w:left="18" w:firstLine="481"/>
        <w:spacing w:before="219" w:line="385" w:lineRule="auto"/>
        <w:rPr>
          <w:rFonts w:ascii="SimSun" w:hAnsi="SimSun" w:eastAsia="SimSun" w:cs="SimSun"/>
          <w:sz w:val="24"/>
          <w:szCs w:val="24"/>
        </w:rPr>
      </w:pPr>
      <w:r>
        <w:rPr>
          <w:rFonts w:ascii="SimSun" w:hAnsi="SimSun" w:eastAsia="SimSun" w:cs="SimSun"/>
          <w:sz w:val="24"/>
          <w:szCs w:val="24"/>
          <w:spacing w:val="3"/>
        </w:rPr>
        <w:t>本项目厌氧发酵原料为洗毛废水（含羊粪便）和添加的牛羊粪便</w:t>
      </w:r>
      <w:r>
        <w:rPr>
          <w:rFonts w:ascii="SimSun" w:hAnsi="SimSun" w:eastAsia="SimSun" w:cs="SimSun"/>
          <w:sz w:val="24"/>
          <w:szCs w:val="24"/>
          <w:spacing w:val="2"/>
        </w:rPr>
        <w:t>，原料符合</w:t>
      </w:r>
      <w:r>
        <w:rPr>
          <w:rFonts w:ascii="SimSun" w:hAnsi="SimSun" w:eastAsia="SimSun" w:cs="SimSun"/>
          <w:sz w:val="24"/>
          <w:szCs w:val="24"/>
        </w:rPr>
        <w:t xml:space="preserve"> </w:t>
      </w:r>
      <w:r>
        <w:rPr>
          <w:rFonts w:ascii="SimSun" w:hAnsi="SimSun" w:eastAsia="SimSun" w:cs="SimSun"/>
          <w:sz w:val="24"/>
          <w:szCs w:val="24"/>
          <w:spacing w:val="-2"/>
        </w:rPr>
        <w:t>《沼肥》（</w:t>
      </w:r>
      <w:r>
        <w:rPr>
          <w:rFonts w:ascii="Times New Roman" w:hAnsi="Times New Roman" w:eastAsia="Times New Roman" w:cs="Times New Roman"/>
          <w:sz w:val="24"/>
          <w:szCs w:val="24"/>
          <w:spacing w:val="-2"/>
        </w:rPr>
        <w:t>NY/T2596-2022</w:t>
      </w:r>
      <w:r>
        <w:rPr>
          <w:rFonts w:ascii="SimSun" w:hAnsi="SimSun" w:eastAsia="SimSun" w:cs="SimSun"/>
          <w:sz w:val="24"/>
          <w:szCs w:val="24"/>
          <w:spacing w:val="-2"/>
        </w:rPr>
        <w:t>）中原料要求。因此，本项目沼液肥和沼渣肥执行《沼</w:t>
      </w:r>
      <w:r>
        <w:rPr>
          <w:rFonts w:ascii="SimSun" w:hAnsi="SimSun" w:eastAsia="SimSun" w:cs="SimSun"/>
          <w:sz w:val="24"/>
          <w:szCs w:val="24"/>
          <w:spacing w:val="17"/>
        </w:rPr>
        <w:t xml:space="preserve"> </w:t>
      </w:r>
      <w:r>
        <w:rPr>
          <w:rFonts w:ascii="SimSun" w:hAnsi="SimSun" w:eastAsia="SimSun" w:cs="SimSun"/>
          <w:sz w:val="24"/>
          <w:szCs w:val="24"/>
          <w:spacing w:val="1"/>
        </w:rPr>
        <w:t>肥》（</w:t>
      </w:r>
      <w:r>
        <w:rPr>
          <w:rFonts w:ascii="Times New Roman" w:hAnsi="Times New Roman" w:eastAsia="Times New Roman" w:cs="Times New Roman"/>
          <w:sz w:val="24"/>
          <w:szCs w:val="24"/>
        </w:rPr>
        <w:t>NY</w:t>
      </w:r>
      <w:r>
        <w:rPr>
          <w:rFonts w:ascii="Times New Roman" w:hAnsi="Times New Roman" w:eastAsia="Times New Roman" w:cs="Times New Roman"/>
          <w:sz w:val="24"/>
          <w:szCs w:val="24"/>
          <w:spacing w:val="1"/>
        </w:rPr>
        <w:t>/T2596-2022</w:t>
      </w:r>
      <w:r>
        <w:rPr>
          <w:rFonts w:ascii="SimSun" w:hAnsi="SimSun" w:eastAsia="SimSun" w:cs="SimSun"/>
          <w:sz w:val="24"/>
          <w:szCs w:val="24"/>
          <w:spacing w:val="1"/>
        </w:rPr>
        <w:t>）中质量指标，详见表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3.1-6~7</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1"/>
        </w:rPr>
        <w:t>；同时沼液肥还要</w:t>
      </w:r>
      <w:r>
        <w:rPr>
          <w:rFonts w:ascii="SimSun" w:hAnsi="SimSun" w:eastAsia="SimSun" w:cs="SimSun"/>
          <w:sz w:val="24"/>
          <w:szCs w:val="24"/>
        </w:rPr>
        <w:t>达到《农 </w:t>
      </w:r>
      <w:r>
        <w:rPr>
          <w:rFonts w:ascii="SimSun" w:hAnsi="SimSun" w:eastAsia="SimSun" w:cs="SimSun"/>
          <w:sz w:val="24"/>
          <w:szCs w:val="24"/>
          <w:spacing w:val="-3"/>
        </w:rPr>
        <w:t>用沼液》（</w:t>
      </w:r>
      <w:r>
        <w:rPr>
          <w:rFonts w:ascii="Times New Roman" w:hAnsi="Times New Roman" w:eastAsia="Times New Roman" w:cs="Times New Roman"/>
          <w:sz w:val="24"/>
          <w:szCs w:val="24"/>
          <w:spacing w:val="-3"/>
        </w:rPr>
        <w:t>GB/T40750-2021</w:t>
      </w:r>
      <w:r>
        <w:rPr>
          <w:rFonts w:ascii="SimSun" w:hAnsi="SimSun" w:eastAsia="SimSun" w:cs="SimSun"/>
          <w:sz w:val="24"/>
          <w:szCs w:val="24"/>
          <w:spacing w:val="-3"/>
        </w:rPr>
        <w:t>）表</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非浓缩沼液肥料</w:t>
      </w:r>
      <w:r>
        <w:rPr>
          <w:rFonts w:ascii="Times New Roman" w:hAnsi="Times New Roman" w:eastAsia="Times New Roman" w:cs="Times New Roman"/>
          <w:sz w:val="24"/>
          <w:szCs w:val="24"/>
          <w:spacing w:val="-3"/>
        </w:rPr>
        <w:t>Ⅰ</w:t>
      </w:r>
      <w:r>
        <w:rPr>
          <w:rFonts w:ascii="SimSun" w:hAnsi="SimSun" w:eastAsia="SimSun" w:cs="SimSun"/>
          <w:sz w:val="24"/>
          <w:szCs w:val="24"/>
          <w:spacing w:val="-3"/>
        </w:rPr>
        <w:t>类标准，详见表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3.1-7</w:t>
      </w:r>
      <w:r>
        <w:rPr>
          <w:rFonts w:ascii="SimSun" w:hAnsi="SimSun" w:eastAsia="SimSun" w:cs="SimSun"/>
          <w:sz w:val="24"/>
          <w:szCs w:val="24"/>
          <w:spacing w:val="-3"/>
        </w:rPr>
        <w:t>。若洗毛</w:t>
      </w:r>
      <w:r>
        <w:rPr>
          <w:rFonts w:ascii="SimSun" w:hAnsi="SimSun" w:eastAsia="SimSun" w:cs="SimSun"/>
          <w:sz w:val="24"/>
          <w:szCs w:val="24"/>
        </w:rPr>
        <w:t xml:space="preserve"> </w:t>
      </w:r>
      <w:r>
        <w:rPr>
          <w:rFonts w:ascii="SimSun" w:hAnsi="SimSun" w:eastAsia="SimSun" w:cs="SimSun"/>
          <w:sz w:val="24"/>
          <w:szCs w:val="24"/>
          <w:spacing w:val="3"/>
        </w:rPr>
        <w:t>废水（含羊粪便）厌氧发酵后达不到以上标准，建设</w:t>
      </w:r>
      <w:r>
        <w:rPr>
          <w:rFonts w:ascii="SimSun" w:hAnsi="SimSun" w:eastAsia="SimSun" w:cs="SimSun"/>
          <w:sz w:val="24"/>
          <w:szCs w:val="24"/>
          <w:spacing w:val="2"/>
        </w:rPr>
        <w:t>单位应立即停止生产，建设</w:t>
      </w:r>
      <w:r>
        <w:rPr>
          <w:rFonts w:ascii="SimSun" w:hAnsi="SimSun" w:eastAsia="SimSun" w:cs="SimSun"/>
          <w:sz w:val="24"/>
          <w:szCs w:val="24"/>
        </w:rPr>
        <w:t xml:space="preserve"> </w:t>
      </w:r>
      <w:r>
        <w:rPr>
          <w:rFonts w:ascii="SimSun" w:hAnsi="SimSun" w:eastAsia="SimSun" w:cs="SimSun"/>
          <w:sz w:val="24"/>
          <w:szCs w:val="24"/>
          <w:spacing w:val="-2"/>
        </w:rPr>
        <w:t>污水处理设施，废水经处理达到《毛纺工业水污染物排放</w:t>
      </w:r>
      <w:r>
        <w:rPr>
          <w:rFonts w:ascii="SimSun" w:hAnsi="SimSun" w:eastAsia="SimSun" w:cs="SimSun"/>
          <w:sz w:val="24"/>
          <w:szCs w:val="24"/>
          <w:spacing w:val="-3"/>
        </w:rPr>
        <w:t>标准》（</w:t>
      </w:r>
      <w:r>
        <w:rPr>
          <w:rFonts w:ascii="Times New Roman" w:hAnsi="Times New Roman" w:eastAsia="Times New Roman" w:cs="Times New Roman"/>
          <w:sz w:val="24"/>
          <w:szCs w:val="24"/>
          <w:spacing w:val="-3"/>
        </w:rPr>
        <w:t>GB28937-2012</w:t>
      </w:r>
      <w:r>
        <w:rPr>
          <w:rFonts w:ascii="SimSun" w:hAnsi="SimSun" w:eastAsia="SimSun" w:cs="SimSun"/>
          <w:sz w:val="24"/>
          <w:szCs w:val="24"/>
          <w:spacing w:val="-3"/>
        </w:rPr>
        <w:t>）</w:t>
      </w:r>
      <w:r>
        <w:rPr>
          <w:rFonts w:ascii="SimSun" w:hAnsi="SimSun" w:eastAsia="SimSun" w:cs="SimSun"/>
          <w:sz w:val="24"/>
          <w:szCs w:val="24"/>
        </w:rPr>
        <w:t xml:space="preserve"> </w:t>
      </w:r>
      <w:r>
        <w:rPr>
          <w:rFonts w:ascii="SimSun" w:hAnsi="SimSun" w:eastAsia="SimSun" w:cs="SimSun"/>
          <w:sz w:val="24"/>
          <w:szCs w:val="24"/>
          <w:spacing w:val="-3"/>
        </w:rPr>
        <w:t>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3"/>
        </w:rPr>
        <w:t>限制要求后方可继续生产。若沼液肥还田利用出现不畅或无法正常还田</w:t>
      </w:r>
      <w:r>
        <w:rPr>
          <w:rFonts w:ascii="SimSun" w:hAnsi="SimSun" w:eastAsia="SimSun" w:cs="SimSun"/>
          <w:sz w:val="24"/>
          <w:szCs w:val="24"/>
          <w:spacing w:val="-4"/>
        </w:rPr>
        <w:t>利用，</w:t>
      </w:r>
    </w:p>
    <w:p>
      <w:pPr>
        <w:ind w:left="17"/>
        <w:spacing w:before="272" w:line="225" w:lineRule="auto"/>
        <w:rPr>
          <w:rFonts w:ascii="SimSun" w:hAnsi="SimSun" w:eastAsia="SimSun" w:cs="SimSun"/>
          <w:sz w:val="19"/>
          <w:szCs w:val="19"/>
        </w:rPr>
      </w:pPr>
      <w:r>
        <w:pict>
          <v:shape id="_x0000_s298" style="position:absolute;margin-left:159.82pt;margin-top:12.6279pt;mso-position-vertical-relative:text;mso-position-horizontal-relative:text;width:58.85pt;height:13.75pt;z-index:25179648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28"/>
                    </w:rPr>
                    <w:t xml:space="preserve">   </w:t>
                  </w:r>
                  <w:r>
                    <w:rPr>
                      <w:rFonts w:ascii="Times New Roman" w:hAnsi="Times New Roman" w:eastAsia="Times New Roman" w:cs="Times New Roman"/>
                      <w:sz w:val="18"/>
                      <w:szCs w:val="18"/>
                      <w:spacing w:val="3"/>
                      <w:position w:val="2"/>
                    </w:rPr>
                    <w:t>59</w:t>
                  </w:r>
                </w:p>
              </w:txbxContent>
            </v:textbox>
          </v:shape>
        </w:pict>
      </w:r>
      <w:r>
        <w:rPr>
          <w:rFonts w:ascii="SimSun" w:hAnsi="SimSun" w:eastAsia="SimSun" w:cs="SimSun"/>
          <w:sz w:val="19"/>
          <w:szCs w:val="19"/>
          <w:spacing w:val="9"/>
        </w:rPr>
        <w:t>锡林郭勒盟中安环境技术咨询有限责</w:t>
      </w:r>
    </w:p>
    <w:p>
      <w:pPr>
        <w:spacing w:line="225" w:lineRule="auto"/>
        <w:sectPr>
          <w:headerReference w:type="default" r:id="rId74"/>
          <w:footerReference w:type="default" r:id="rId3"/>
          <w:pgSz w:w="11907" w:h="16840"/>
          <w:pgMar w:top="1567" w:right="1603" w:bottom="400" w:left="1691" w:header="1221" w:footer="0" w:gutter="0"/>
        </w:sectPr>
        <w:rPr>
          <w:rFonts w:ascii="SimSun" w:hAnsi="SimSun" w:eastAsia="SimSun" w:cs="SimSun"/>
          <w:sz w:val="19"/>
          <w:szCs w:val="19"/>
        </w:rPr>
      </w:pPr>
    </w:p>
    <w:p>
      <w:pPr>
        <w:pStyle w:val="BodyText"/>
        <w:spacing w:line="247" w:lineRule="auto"/>
        <w:rPr/>
      </w:pPr>
      <w:r>
        <w:pict>
          <v:shape id="_x0000_s302" style="position:absolute;margin-left:2.14pt;margin-top:0.454834pt;mso-position-vertical-relative:text;mso-position-horizontal-relative:text;width:425.25pt;height:0.75pt;z-index:251799552;" fillcolor="#000000" filled="true" stroked="false" coordsize="8505,15" coordorigin="0,0" path="m,l8505,0l8505,14l0,14l0,0xe"/>
        </w:pict>
      </w:r>
      <w:r/>
    </w:p>
    <w:p>
      <w:pPr>
        <w:ind w:left="55"/>
        <w:spacing w:before="78" w:line="219" w:lineRule="auto"/>
        <w:rPr>
          <w:rFonts w:ascii="SimSun" w:hAnsi="SimSun" w:eastAsia="SimSun" w:cs="SimSun"/>
          <w:sz w:val="24"/>
          <w:szCs w:val="24"/>
        </w:rPr>
      </w:pPr>
      <w:r>
        <w:rPr>
          <w:rFonts w:ascii="SimSun" w:hAnsi="SimSun" w:eastAsia="SimSun" w:cs="SimSun"/>
          <w:sz w:val="24"/>
          <w:szCs w:val="24"/>
          <w:spacing w:val="-1"/>
        </w:rPr>
        <w:t>建设单位应合理处置沼液肥或停产生产，降低环境风险。</w:t>
      </w:r>
    </w:p>
    <w:p>
      <w:pPr>
        <w:ind w:left="1309"/>
        <w:spacing w:before="216" w:line="219" w:lineRule="auto"/>
        <w:rPr>
          <w:rFonts w:ascii="SimSun" w:hAnsi="SimSun" w:eastAsia="SimSun" w:cs="SimSun"/>
          <w:sz w:val="24"/>
          <w:szCs w:val="24"/>
        </w:rPr>
      </w:pPr>
      <w:r>
        <w:rPr>
          <w:rFonts w:ascii="SimSun" w:hAnsi="SimSun" w:eastAsia="SimSun" w:cs="SimSun"/>
          <w:sz w:val="24"/>
          <w:szCs w:val="24"/>
          <w:b/>
          <w:bCs/>
          <w:spacing w:val="-1"/>
        </w:rPr>
        <w:t>表</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1"/>
        </w:rPr>
        <w:t>3.1-6      </w:t>
      </w:r>
      <w:r>
        <w:rPr>
          <w:rFonts w:ascii="SimSun" w:hAnsi="SimSun" w:eastAsia="SimSun" w:cs="SimSun"/>
          <w:sz w:val="24"/>
          <w:szCs w:val="24"/>
          <w:b/>
          <w:bCs/>
          <w:spacing w:val="-1"/>
        </w:rPr>
        <w:t>沼渣肥质量指标</w:t>
      </w:r>
      <w:r>
        <w:rPr>
          <w:rFonts w:ascii="Times New Roman" w:hAnsi="Times New Roman" w:eastAsia="Times New Roman" w:cs="Times New Roman"/>
          <w:sz w:val="24"/>
          <w:szCs w:val="24"/>
          <w:b/>
          <w:bCs/>
          <w:spacing w:val="-1"/>
        </w:rPr>
        <w:t>-</w:t>
      </w:r>
      <w:r>
        <w:rPr>
          <w:rFonts w:ascii="SimSun" w:hAnsi="SimSun" w:eastAsia="SimSun" w:cs="SimSun"/>
          <w:sz w:val="24"/>
          <w:szCs w:val="24"/>
          <w:b/>
          <w:bCs/>
          <w:spacing w:val="-1"/>
        </w:rPr>
        <w:t>《沼肥》（</w:t>
      </w:r>
      <w:r>
        <w:rPr>
          <w:rFonts w:ascii="Times New Roman" w:hAnsi="Times New Roman" w:eastAsia="Times New Roman" w:cs="Times New Roman"/>
          <w:sz w:val="24"/>
          <w:szCs w:val="24"/>
          <w:b/>
          <w:bCs/>
          <w:spacing w:val="-1"/>
        </w:rPr>
        <w:t>NY/T2596-2022</w:t>
      </w:r>
      <w:r>
        <w:rPr>
          <w:rFonts w:ascii="SimSun" w:hAnsi="SimSun" w:eastAsia="SimSun" w:cs="SimSun"/>
          <w:sz w:val="24"/>
          <w:szCs w:val="24"/>
          <w:b/>
          <w:bCs/>
          <w:spacing w:val="-1"/>
        </w:rPr>
        <w:t>）</w:t>
      </w:r>
    </w:p>
    <w:p>
      <w:pPr>
        <w:spacing w:line="20" w:lineRule="exact"/>
        <w:rPr/>
      </w:pPr>
      <w:r/>
    </w:p>
    <w:tbl>
      <w:tblPr>
        <w:tblStyle w:val="TableNormal"/>
        <w:tblW w:w="8516" w:type="dxa"/>
        <w:tblInd w:w="36"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154"/>
        <w:gridCol w:w="2263"/>
        <w:gridCol w:w="3099"/>
      </w:tblGrid>
      <w:tr>
        <w:trPr>
          <w:trHeight w:val="281" w:hRule="atLeast"/>
        </w:trPr>
        <w:tc>
          <w:tcPr>
            <w:tcW w:w="3154" w:type="dxa"/>
            <w:vAlign w:val="top"/>
          </w:tcPr>
          <w:p>
            <w:pPr>
              <w:pStyle w:val="TableText"/>
              <w:ind w:left="1376"/>
              <w:spacing w:before="35" w:line="217" w:lineRule="auto"/>
              <w:rPr/>
            </w:pPr>
            <w:r>
              <w:rPr>
                <w:spacing w:val="3"/>
              </w:rPr>
              <w:t>项目</w:t>
            </w:r>
          </w:p>
        </w:tc>
        <w:tc>
          <w:tcPr>
            <w:tcW w:w="2263" w:type="dxa"/>
            <w:vAlign w:val="top"/>
          </w:tcPr>
          <w:p>
            <w:pPr>
              <w:pStyle w:val="TableText"/>
              <w:ind w:left="718"/>
              <w:spacing w:before="35" w:line="217" w:lineRule="auto"/>
              <w:rPr/>
            </w:pPr>
            <w:r>
              <w:rPr>
                <w:spacing w:val="7"/>
              </w:rPr>
              <w:t>技术指标</w:t>
            </w:r>
          </w:p>
        </w:tc>
        <w:tc>
          <w:tcPr>
            <w:tcW w:w="3099" w:type="dxa"/>
            <w:vAlign w:val="top"/>
          </w:tcPr>
          <w:p>
            <w:pPr>
              <w:pStyle w:val="TableText"/>
              <w:ind w:left="1135"/>
              <w:spacing w:before="35" w:line="217" w:lineRule="auto"/>
              <w:rPr/>
            </w:pPr>
            <w:r>
              <w:rPr>
                <w:spacing w:val="7"/>
              </w:rPr>
              <w:t>检测依据</w:t>
            </w:r>
          </w:p>
        </w:tc>
      </w:tr>
      <w:tr>
        <w:trPr>
          <w:trHeight w:val="277" w:hRule="atLeast"/>
        </w:trPr>
        <w:tc>
          <w:tcPr>
            <w:tcW w:w="3154" w:type="dxa"/>
            <w:vAlign w:val="top"/>
          </w:tcPr>
          <w:p>
            <w:pPr>
              <w:pStyle w:val="TableText"/>
              <w:ind w:left="1183"/>
              <w:spacing w:before="32" w:line="216" w:lineRule="auto"/>
              <w:rPr>
                <w:rFonts w:ascii="Times New Roman" w:hAnsi="Times New Roman" w:eastAsia="Times New Roman" w:cs="Times New Roman"/>
              </w:rPr>
            </w:pPr>
            <w:r>
              <w:rPr>
                <w:spacing w:val="6"/>
              </w:rPr>
              <w:t>水分，</w:t>
            </w:r>
            <w:r>
              <w:rPr>
                <w:rFonts w:ascii="Times New Roman" w:hAnsi="Times New Roman" w:eastAsia="Times New Roman" w:cs="Times New Roman"/>
                <w:spacing w:val="6"/>
              </w:rPr>
              <w:t>%</w:t>
            </w:r>
          </w:p>
        </w:tc>
        <w:tc>
          <w:tcPr>
            <w:tcW w:w="2263" w:type="dxa"/>
            <w:vAlign w:val="top"/>
          </w:tcPr>
          <w:p>
            <w:pPr>
              <w:ind w:left="88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≤30.0</w:t>
            </w:r>
          </w:p>
        </w:tc>
        <w:tc>
          <w:tcPr>
            <w:tcW w:w="3099" w:type="dxa"/>
            <w:vAlign w:val="top"/>
          </w:tcPr>
          <w:p>
            <w:pPr>
              <w:pStyle w:val="TableText"/>
              <w:ind w:left="292"/>
              <w:spacing w:before="32" w:line="216" w:lineRule="auto"/>
              <w:rPr/>
            </w:pPr>
            <w:r>
              <w:rPr>
                <w:spacing w:val="4"/>
              </w:rPr>
              <w:t>按照</w:t>
            </w:r>
            <w:r>
              <w:rPr>
                <w:spacing w:val="-38"/>
              </w:rPr>
              <w:t xml:space="preserve"> </w:t>
            </w:r>
            <w:r>
              <w:rPr>
                <w:rFonts w:ascii="Times New Roman" w:hAnsi="Times New Roman" w:eastAsia="Times New Roman" w:cs="Times New Roman"/>
              </w:rPr>
              <w:t>GB</w:t>
            </w:r>
            <w:r>
              <w:rPr>
                <w:rFonts w:ascii="Times New Roman" w:hAnsi="Times New Roman" w:eastAsia="Times New Roman" w:cs="Times New Roman"/>
                <w:spacing w:val="4"/>
              </w:rPr>
              <w:t>/T</w:t>
            </w:r>
            <w:r>
              <w:rPr>
                <w:rFonts w:ascii="Times New Roman" w:hAnsi="Times New Roman" w:eastAsia="Times New Roman" w:cs="Times New Roman"/>
                <w:spacing w:val="17"/>
                <w:w w:val="101"/>
              </w:rPr>
              <w:t xml:space="preserve"> </w:t>
            </w:r>
            <w:r>
              <w:rPr>
                <w:rFonts w:ascii="Times New Roman" w:hAnsi="Times New Roman" w:eastAsia="Times New Roman" w:cs="Times New Roman"/>
                <w:spacing w:val="4"/>
              </w:rPr>
              <w:t>8576</w:t>
            </w:r>
            <w:r>
              <w:rPr>
                <w:rFonts w:ascii="Times New Roman" w:hAnsi="Times New Roman" w:eastAsia="Times New Roman" w:cs="Times New Roman"/>
                <w:spacing w:val="27"/>
              </w:rPr>
              <w:t xml:space="preserve"> </w:t>
            </w:r>
            <w:r>
              <w:rPr>
                <w:spacing w:val="4"/>
              </w:rPr>
              <w:t>的规定执行</w:t>
            </w:r>
          </w:p>
        </w:tc>
      </w:tr>
      <w:tr>
        <w:trPr>
          <w:trHeight w:val="276" w:hRule="atLeast"/>
        </w:trPr>
        <w:tc>
          <w:tcPr>
            <w:tcW w:w="3154" w:type="dxa"/>
            <w:vAlign w:val="top"/>
          </w:tcPr>
          <w:p>
            <w:pPr>
              <w:pStyle w:val="TableText"/>
              <w:ind w:left="1071"/>
              <w:spacing w:before="31" w:line="216" w:lineRule="auto"/>
              <w:rPr>
                <w:rFonts w:ascii="Times New Roman" w:hAnsi="Times New Roman" w:eastAsia="Times New Roman" w:cs="Times New Roman"/>
              </w:rPr>
            </w:pPr>
            <w:r>
              <w:rPr>
                <w:spacing w:val="7"/>
              </w:rPr>
              <w:t>酸碱度</w:t>
            </w:r>
            <w:r>
              <w:rPr>
                <w:rFonts w:ascii="Times New Roman" w:hAnsi="Times New Roman" w:eastAsia="Times New Roman" w:cs="Times New Roman"/>
                <w:spacing w:val="7"/>
              </w:rPr>
              <w:t>(</w:t>
            </w:r>
            <w:r>
              <w:rPr>
                <w:rFonts w:ascii="Times New Roman" w:hAnsi="Times New Roman" w:eastAsia="Times New Roman" w:cs="Times New Roman"/>
              </w:rPr>
              <w:t>pH</w:t>
            </w:r>
            <w:r>
              <w:rPr>
                <w:rFonts w:ascii="Times New Roman" w:hAnsi="Times New Roman" w:eastAsia="Times New Roman" w:cs="Times New Roman"/>
                <w:spacing w:val="7"/>
              </w:rPr>
              <w:t>)</w:t>
            </w:r>
          </w:p>
        </w:tc>
        <w:tc>
          <w:tcPr>
            <w:tcW w:w="2263" w:type="dxa"/>
            <w:vAlign w:val="top"/>
          </w:tcPr>
          <w:p>
            <w:pPr>
              <w:ind w:left="820"/>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5.5~8.5</w:t>
            </w:r>
          </w:p>
        </w:tc>
        <w:tc>
          <w:tcPr>
            <w:tcW w:w="3099" w:type="dxa"/>
            <w:vAlign w:val="top"/>
          </w:tcPr>
          <w:p>
            <w:pPr>
              <w:pStyle w:val="TableText"/>
              <w:ind w:left="314"/>
              <w:spacing w:before="31" w:line="216" w:lineRule="auto"/>
              <w:rPr/>
            </w:pPr>
            <w:r>
              <w:rPr>
                <w:spacing w:val="6"/>
              </w:rPr>
              <w:t>按照</w:t>
            </w:r>
            <w:r>
              <w:rPr>
                <w:spacing w:val="-50"/>
              </w:rPr>
              <w:t xml:space="preserve"> </w:t>
            </w:r>
            <w:r>
              <w:rPr>
                <w:rFonts w:ascii="Times New Roman" w:hAnsi="Times New Roman" w:eastAsia="Times New Roman" w:cs="Times New Roman"/>
              </w:rPr>
              <w:t>NY</w:t>
            </w:r>
            <w:r>
              <w:rPr>
                <w:rFonts w:ascii="Times New Roman" w:hAnsi="Times New Roman" w:eastAsia="Times New Roman" w:cs="Times New Roman"/>
                <w:spacing w:val="6"/>
              </w:rPr>
              <w:t>/T1973</w:t>
            </w:r>
            <w:r>
              <w:rPr>
                <w:rFonts w:ascii="Times New Roman" w:hAnsi="Times New Roman" w:eastAsia="Times New Roman" w:cs="Times New Roman"/>
                <w:spacing w:val="26"/>
                <w:w w:val="101"/>
              </w:rPr>
              <w:t xml:space="preserve"> </w:t>
            </w:r>
            <w:r>
              <w:rPr>
                <w:spacing w:val="6"/>
              </w:rPr>
              <w:t>的规定执行</w:t>
            </w:r>
          </w:p>
        </w:tc>
      </w:tr>
      <w:tr>
        <w:trPr>
          <w:trHeight w:val="277" w:hRule="atLeast"/>
        </w:trPr>
        <w:tc>
          <w:tcPr>
            <w:tcW w:w="3154" w:type="dxa"/>
            <w:vAlign w:val="top"/>
          </w:tcPr>
          <w:p>
            <w:pPr>
              <w:pStyle w:val="TableText"/>
              <w:ind w:left="662"/>
              <w:spacing w:before="34" w:line="215" w:lineRule="auto"/>
              <w:rPr>
                <w:rFonts w:ascii="Times New Roman" w:hAnsi="Times New Roman" w:eastAsia="Times New Roman" w:cs="Times New Roman"/>
              </w:rPr>
            </w:pPr>
            <w:r>
              <w:rPr>
                <w:spacing w:val="7"/>
              </w:rPr>
              <w:t>类大肠菌群数，个</w:t>
            </w:r>
            <w:r>
              <w:rPr>
                <w:rFonts w:ascii="Times New Roman" w:hAnsi="Times New Roman" w:eastAsia="Times New Roman" w:cs="Times New Roman"/>
                <w:spacing w:val="7"/>
              </w:rPr>
              <w:t>/g</w:t>
            </w:r>
          </w:p>
        </w:tc>
        <w:tc>
          <w:tcPr>
            <w:tcW w:w="2263" w:type="dxa"/>
            <w:vAlign w:val="top"/>
          </w:tcPr>
          <w:p>
            <w:pPr>
              <w:ind w:left="83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≤100.0</w:t>
            </w:r>
          </w:p>
        </w:tc>
        <w:tc>
          <w:tcPr>
            <w:tcW w:w="3099" w:type="dxa"/>
            <w:vAlign w:val="top"/>
          </w:tcPr>
          <w:p>
            <w:pPr>
              <w:pStyle w:val="TableText"/>
              <w:ind w:left="162"/>
              <w:spacing w:before="34" w:line="215" w:lineRule="auto"/>
              <w:rPr/>
            </w:pPr>
            <w:r>
              <w:rPr>
                <w:spacing w:val="1"/>
              </w:rPr>
              <w:t>按照</w:t>
            </w:r>
            <w:r>
              <w:rPr>
                <w:spacing w:val="-28"/>
              </w:rPr>
              <w:t xml:space="preserve"> </w:t>
            </w:r>
            <w:r>
              <w:rPr>
                <w:rFonts w:ascii="Times New Roman" w:hAnsi="Times New Roman" w:eastAsia="Times New Roman" w:cs="Times New Roman"/>
              </w:rPr>
              <w:t>GB</w:t>
            </w:r>
            <w:r>
              <w:rPr>
                <w:rFonts w:ascii="Times New Roman" w:hAnsi="Times New Roman" w:eastAsia="Times New Roman" w:cs="Times New Roman"/>
                <w:spacing w:val="1"/>
              </w:rPr>
              <w:t>/T</w:t>
            </w:r>
            <w:r>
              <w:rPr>
                <w:rFonts w:ascii="Times New Roman" w:hAnsi="Times New Roman" w:eastAsia="Times New Roman" w:cs="Times New Roman"/>
                <w:spacing w:val="30"/>
              </w:rPr>
              <w:t xml:space="preserve"> </w:t>
            </w:r>
            <w:r>
              <w:rPr>
                <w:rFonts w:ascii="Times New Roman" w:hAnsi="Times New Roman" w:eastAsia="Times New Roman" w:cs="Times New Roman"/>
                <w:spacing w:val="1"/>
              </w:rPr>
              <w:t>19524.</w:t>
            </w:r>
            <w:r>
              <w:rPr>
                <w:rFonts w:ascii="Times New Roman" w:hAnsi="Times New Roman" w:eastAsia="Times New Roman" w:cs="Times New Roman"/>
                <w:spacing w:val="-25"/>
              </w:rPr>
              <w:t xml:space="preserve"> </w:t>
            </w:r>
            <w:r>
              <w:rPr>
                <w:rFonts w:ascii="Times New Roman" w:hAnsi="Times New Roman" w:eastAsia="Times New Roman" w:cs="Times New Roman"/>
                <w:spacing w:val="1"/>
              </w:rPr>
              <w:t>1</w:t>
            </w:r>
            <w:r>
              <w:rPr>
                <w:rFonts w:ascii="Times New Roman" w:hAnsi="Times New Roman" w:eastAsia="Times New Roman" w:cs="Times New Roman"/>
                <w:spacing w:val="27"/>
              </w:rPr>
              <w:t xml:space="preserve"> </w:t>
            </w:r>
            <w:r>
              <w:rPr>
                <w:spacing w:val="1"/>
              </w:rPr>
              <w:t>的规定执行</w:t>
            </w:r>
          </w:p>
        </w:tc>
      </w:tr>
      <w:tr>
        <w:trPr>
          <w:trHeight w:val="248" w:hRule="atLeast"/>
        </w:trPr>
        <w:tc>
          <w:tcPr>
            <w:tcW w:w="3154" w:type="dxa"/>
            <w:vAlign w:val="top"/>
          </w:tcPr>
          <w:p>
            <w:pPr>
              <w:pStyle w:val="TableText"/>
              <w:ind w:left="761"/>
              <w:spacing w:before="33" w:line="189" w:lineRule="auto"/>
              <w:rPr>
                <w:rFonts w:ascii="Times New Roman" w:hAnsi="Times New Roman" w:eastAsia="Times New Roman" w:cs="Times New Roman"/>
              </w:rPr>
            </w:pPr>
            <w:r>
              <w:rPr>
                <w:spacing w:val="8"/>
              </w:rPr>
              <w:t>蛔虫卵死亡率，</w:t>
            </w:r>
            <w:r>
              <w:rPr>
                <w:rFonts w:ascii="Times New Roman" w:hAnsi="Times New Roman" w:eastAsia="Times New Roman" w:cs="Times New Roman"/>
                <w:spacing w:val="8"/>
              </w:rPr>
              <w:t>%</w:t>
            </w:r>
          </w:p>
        </w:tc>
        <w:tc>
          <w:tcPr>
            <w:tcW w:w="2263" w:type="dxa"/>
            <w:vAlign w:val="top"/>
          </w:tcPr>
          <w:p>
            <w:pPr>
              <w:ind w:left="889"/>
              <w:spacing w:before="54"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≥95.0</w:t>
            </w:r>
          </w:p>
        </w:tc>
        <w:tc>
          <w:tcPr>
            <w:tcW w:w="3099" w:type="dxa"/>
            <w:vAlign w:val="top"/>
          </w:tcPr>
          <w:p>
            <w:pPr>
              <w:pStyle w:val="TableText"/>
              <w:ind w:left="162"/>
              <w:spacing w:before="33" w:line="189" w:lineRule="auto"/>
              <w:rPr/>
            </w:pPr>
            <w:r>
              <w:rPr>
                <w:spacing w:val="3"/>
              </w:rPr>
              <w:t>按照</w:t>
            </w:r>
            <w:r>
              <w:rPr>
                <w:spacing w:val="-35"/>
              </w:rPr>
              <w:t xml:space="preserve"> </w:t>
            </w:r>
            <w:r>
              <w:rPr>
                <w:rFonts w:ascii="Times New Roman" w:hAnsi="Times New Roman" w:eastAsia="Times New Roman" w:cs="Times New Roman"/>
              </w:rPr>
              <w:t>GB</w:t>
            </w:r>
            <w:r>
              <w:rPr>
                <w:rFonts w:ascii="Times New Roman" w:hAnsi="Times New Roman" w:eastAsia="Times New Roman" w:cs="Times New Roman"/>
                <w:spacing w:val="3"/>
              </w:rPr>
              <w:t>/T</w:t>
            </w:r>
            <w:r>
              <w:rPr>
                <w:rFonts w:ascii="Times New Roman" w:hAnsi="Times New Roman" w:eastAsia="Times New Roman" w:cs="Times New Roman"/>
                <w:spacing w:val="30"/>
              </w:rPr>
              <w:t xml:space="preserve"> </w:t>
            </w:r>
            <w:r>
              <w:rPr>
                <w:rFonts w:ascii="Times New Roman" w:hAnsi="Times New Roman" w:eastAsia="Times New Roman" w:cs="Times New Roman"/>
                <w:spacing w:val="3"/>
              </w:rPr>
              <w:t>19524.2</w:t>
            </w:r>
            <w:r>
              <w:rPr>
                <w:rFonts w:ascii="Times New Roman" w:hAnsi="Times New Roman" w:eastAsia="Times New Roman" w:cs="Times New Roman"/>
                <w:spacing w:val="27"/>
              </w:rPr>
              <w:t xml:space="preserve"> </w:t>
            </w:r>
            <w:r>
              <w:rPr>
                <w:spacing w:val="3"/>
              </w:rPr>
              <w:t>的规定执行</w:t>
            </w:r>
          </w:p>
        </w:tc>
      </w:tr>
      <w:tr>
        <w:trPr>
          <w:trHeight w:val="277" w:hRule="atLeast"/>
        </w:trPr>
        <w:tc>
          <w:tcPr>
            <w:tcW w:w="3154" w:type="dxa"/>
            <w:vAlign w:val="top"/>
          </w:tcPr>
          <w:p>
            <w:pPr>
              <w:pStyle w:val="TableText"/>
              <w:ind w:left="578"/>
              <w:spacing w:before="35" w:line="214" w:lineRule="auto"/>
              <w:rPr>
                <w:rFonts w:ascii="Times New Roman" w:hAnsi="Times New Roman" w:eastAsia="Times New Roman" w:cs="Times New Roman"/>
              </w:rPr>
            </w:pPr>
            <w:r>
              <w:rPr>
                <w:spacing w:val="5"/>
              </w:rPr>
              <w:t>种子发芽指数</w:t>
            </w:r>
            <w:r>
              <w:rPr>
                <w:rFonts w:ascii="Times New Roman" w:hAnsi="Times New Roman" w:eastAsia="Times New Roman" w:cs="Times New Roman"/>
                <w:spacing w:val="5"/>
              </w:rPr>
              <w:t>(</w:t>
            </w:r>
            <w:r>
              <w:rPr>
                <w:rFonts w:ascii="Times New Roman" w:hAnsi="Times New Roman" w:eastAsia="Times New Roman" w:cs="Times New Roman"/>
              </w:rPr>
              <w:t>GI</w:t>
            </w:r>
            <w:r>
              <w:rPr>
                <w:rFonts w:ascii="Times New Roman" w:hAnsi="Times New Roman" w:eastAsia="Times New Roman" w:cs="Times New Roman"/>
                <w:spacing w:val="5"/>
              </w:rPr>
              <w:t>)</w:t>
            </w:r>
            <w:r>
              <w:rPr>
                <w:rFonts w:ascii="Times New Roman" w:hAnsi="Times New Roman" w:eastAsia="Times New Roman" w:cs="Times New Roman"/>
                <w:spacing w:val="-15"/>
              </w:rPr>
              <w:t xml:space="preserve"> </w:t>
            </w:r>
            <w:r>
              <w:rPr>
                <w:spacing w:val="5"/>
              </w:rPr>
              <w:t>，</w:t>
            </w:r>
            <w:r>
              <w:rPr>
                <w:rFonts w:ascii="Times New Roman" w:hAnsi="Times New Roman" w:eastAsia="Times New Roman" w:cs="Times New Roman"/>
                <w:spacing w:val="5"/>
              </w:rPr>
              <w:t>%</w:t>
            </w:r>
          </w:p>
        </w:tc>
        <w:tc>
          <w:tcPr>
            <w:tcW w:w="2263" w:type="dxa"/>
            <w:vAlign w:val="top"/>
          </w:tcPr>
          <w:p>
            <w:pPr>
              <w:ind w:left="88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≥70.0</w:t>
            </w:r>
          </w:p>
        </w:tc>
        <w:tc>
          <w:tcPr>
            <w:tcW w:w="3099" w:type="dxa"/>
            <w:vAlign w:val="top"/>
          </w:tcPr>
          <w:p>
            <w:pPr>
              <w:pStyle w:val="TableText"/>
              <w:ind w:left="366"/>
              <w:spacing w:before="35" w:line="214" w:lineRule="auto"/>
              <w:rPr/>
            </w:pPr>
            <w:r>
              <w:rPr>
                <w:spacing w:val="5"/>
              </w:rPr>
              <w:t>按照</w:t>
            </w:r>
            <w:r>
              <w:rPr>
                <w:spacing w:val="-39"/>
              </w:rPr>
              <w:t xml:space="preserve"> </w:t>
            </w:r>
            <w:r>
              <w:rPr>
                <w:rFonts w:ascii="Times New Roman" w:hAnsi="Times New Roman" w:eastAsia="Times New Roman" w:cs="Times New Roman"/>
              </w:rPr>
              <w:t>NY</w:t>
            </w:r>
            <w:r>
              <w:rPr>
                <w:rFonts w:ascii="Times New Roman" w:hAnsi="Times New Roman" w:eastAsia="Times New Roman" w:cs="Times New Roman"/>
                <w:spacing w:val="5"/>
              </w:rPr>
              <w:t>/T525</w:t>
            </w:r>
            <w:r>
              <w:rPr>
                <w:rFonts w:ascii="Times New Roman" w:hAnsi="Times New Roman" w:eastAsia="Times New Roman" w:cs="Times New Roman"/>
                <w:spacing w:val="30"/>
              </w:rPr>
              <w:t xml:space="preserve"> </w:t>
            </w:r>
            <w:r>
              <w:rPr>
                <w:spacing w:val="5"/>
              </w:rPr>
              <w:t>的规定执行</w:t>
            </w:r>
          </w:p>
        </w:tc>
      </w:tr>
      <w:tr>
        <w:trPr>
          <w:trHeight w:val="277" w:hRule="atLeast"/>
        </w:trPr>
        <w:tc>
          <w:tcPr>
            <w:tcW w:w="3154" w:type="dxa"/>
            <w:vAlign w:val="top"/>
          </w:tcPr>
          <w:p>
            <w:pPr>
              <w:pStyle w:val="TableText"/>
              <w:ind w:left="555"/>
              <w:spacing w:before="32" w:line="216" w:lineRule="auto"/>
              <w:rPr>
                <w:rFonts w:ascii="Times New Roman" w:hAnsi="Times New Roman" w:eastAsia="Times New Roman" w:cs="Times New Roman"/>
              </w:rPr>
            </w:pPr>
            <w:r>
              <w:rPr>
                <w:spacing w:val="5"/>
              </w:rPr>
              <w:t>总砷</w:t>
            </w:r>
            <w:r>
              <w:rPr>
                <w:rFonts w:ascii="Times New Roman" w:hAnsi="Times New Roman" w:eastAsia="Times New Roman" w:cs="Times New Roman"/>
                <w:spacing w:val="5"/>
              </w:rPr>
              <w:t>(</w:t>
            </w:r>
            <w:r>
              <w:rPr>
                <w:spacing w:val="5"/>
              </w:rPr>
              <w:t>以</w:t>
            </w:r>
            <w:r>
              <w:rPr>
                <w:spacing w:val="-39"/>
              </w:rPr>
              <w:t xml:space="preserve"> </w:t>
            </w:r>
            <w:r>
              <w:rPr>
                <w:rFonts w:ascii="Times New Roman" w:hAnsi="Times New Roman" w:eastAsia="Times New Roman" w:cs="Times New Roman"/>
              </w:rPr>
              <w:t>As</w:t>
            </w:r>
            <w:r>
              <w:rPr>
                <w:rFonts w:ascii="Times New Roman" w:hAnsi="Times New Roman" w:eastAsia="Times New Roman" w:cs="Times New Roman"/>
                <w:spacing w:val="5"/>
              </w:rPr>
              <w:t xml:space="preserve"> </w:t>
            </w:r>
            <w:r>
              <w:rPr>
                <w:spacing w:val="5"/>
              </w:rPr>
              <w:t>计</w:t>
            </w:r>
            <w:r>
              <w:rPr>
                <w:rFonts w:ascii="Times New Roman" w:hAnsi="Times New Roman" w:eastAsia="Times New Roman" w:cs="Times New Roman"/>
                <w:spacing w:val="5"/>
              </w:rPr>
              <w:t>)</w:t>
            </w:r>
            <w:r>
              <w:rPr>
                <w:rFonts w:ascii="Times New Roman" w:hAnsi="Times New Roman" w:eastAsia="Times New Roman" w:cs="Times New Roman"/>
                <w:spacing w:val="-25"/>
              </w:rPr>
              <w:t xml:space="preserve"> </w:t>
            </w:r>
            <w:r>
              <w:rPr>
                <w:spacing w:val="5"/>
              </w:rPr>
              <w:t>，</w:t>
            </w:r>
            <w:r>
              <w:rPr>
                <w:rFonts w:ascii="Times New Roman" w:hAnsi="Times New Roman" w:eastAsia="Times New Roman" w:cs="Times New Roman"/>
              </w:rPr>
              <w:t>mg</w:t>
            </w:r>
            <w:r>
              <w:rPr>
                <w:rFonts w:ascii="Times New Roman" w:hAnsi="Times New Roman" w:eastAsia="Times New Roman" w:cs="Times New Roman"/>
                <w:spacing w:val="5"/>
              </w:rPr>
              <w:t>/</w:t>
            </w:r>
            <w:r>
              <w:rPr>
                <w:rFonts w:ascii="Times New Roman" w:hAnsi="Times New Roman" w:eastAsia="Times New Roman" w:cs="Times New Roman"/>
              </w:rPr>
              <w:t>kg</w:t>
            </w:r>
          </w:p>
        </w:tc>
        <w:tc>
          <w:tcPr>
            <w:tcW w:w="2263" w:type="dxa"/>
            <w:vAlign w:val="top"/>
          </w:tcPr>
          <w:p>
            <w:pPr>
              <w:ind w:left="88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≤15.0</w:t>
            </w:r>
          </w:p>
        </w:tc>
        <w:tc>
          <w:tcPr>
            <w:tcW w:w="3099" w:type="dxa"/>
            <w:vAlign w:val="top"/>
            <w:vMerge w:val="restart"/>
            <w:tcBorders>
              <w:bottom w:val="nil"/>
            </w:tcBorders>
          </w:tcPr>
          <w:p>
            <w:pPr>
              <w:spacing w:line="264" w:lineRule="auto"/>
              <w:rPr>
                <w:rFonts w:ascii="Arial"/>
                <w:sz w:val="21"/>
              </w:rPr>
            </w:pPr>
            <w:r/>
          </w:p>
          <w:p>
            <w:pPr>
              <w:spacing w:line="264" w:lineRule="auto"/>
              <w:rPr>
                <w:rFonts w:ascii="Arial"/>
                <w:sz w:val="21"/>
              </w:rPr>
            </w:pPr>
            <w:r/>
          </w:p>
          <w:p>
            <w:pPr>
              <w:pStyle w:val="TableText"/>
              <w:ind w:left="287"/>
              <w:spacing w:before="65" w:line="228" w:lineRule="auto"/>
              <w:rPr/>
            </w:pPr>
            <w:r>
              <w:rPr>
                <w:spacing w:val="3"/>
              </w:rPr>
              <w:t>按照</w:t>
            </w:r>
            <w:r>
              <w:rPr>
                <w:spacing w:val="-36"/>
              </w:rPr>
              <w:t xml:space="preserve"> </w:t>
            </w:r>
            <w:r>
              <w:rPr>
                <w:rFonts w:ascii="Times New Roman" w:hAnsi="Times New Roman" w:eastAsia="Times New Roman" w:cs="Times New Roman"/>
              </w:rPr>
              <w:t>NY</w:t>
            </w:r>
            <w:r>
              <w:rPr>
                <w:rFonts w:ascii="Times New Roman" w:hAnsi="Times New Roman" w:eastAsia="Times New Roman" w:cs="Times New Roman"/>
                <w:spacing w:val="3"/>
              </w:rPr>
              <w:t>/T</w:t>
            </w:r>
            <w:r>
              <w:rPr>
                <w:rFonts w:ascii="Times New Roman" w:hAnsi="Times New Roman" w:eastAsia="Times New Roman" w:cs="Times New Roman"/>
                <w:spacing w:val="27"/>
              </w:rPr>
              <w:t xml:space="preserve"> </w:t>
            </w:r>
            <w:r>
              <w:rPr>
                <w:rFonts w:ascii="Times New Roman" w:hAnsi="Times New Roman" w:eastAsia="Times New Roman" w:cs="Times New Roman"/>
                <w:spacing w:val="3"/>
              </w:rPr>
              <w:t>1978</w:t>
            </w:r>
            <w:r>
              <w:rPr>
                <w:rFonts w:ascii="Times New Roman" w:hAnsi="Times New Roman" w:eastAsia="Times New Roman" w:cs="Times New Roman"/>
                <w:spacing w:val="29"/>
                <w:w w:val="101"/>
              </w:rPr>
              <w:t xml:space="preserve"> </w:t>
            </w:r>
            <w:r>
              <w:rPr>
                <w:spacing w:val="3"/>
              </w:rPr>
              <w:t>的规定执行</w:t>
            </w:r>
          </w:p>
        </w:tc>
      </w:tr>
      <w:tr>
        <w:trPr>
          <w:trHeight w:val="277" w:hRule="atLeast"/>
        </w:trPr>
        <w:tc>
          <w:tcPr>
            <w:tcW w:w="3154" w:type="dxa"/>
            <w:vAlign w:val="top"/>
          </w:tcPr>
          <w:p>
            <w:pPr>
              <w:pStyle w:val="TableText"/>
              <w:ind w:left="550"/>
              <w:spacing w:before="35" w:line="214" w:lineRule="auto"/>
              <w:rPr>
                <w:rFonts w:ascii="Times New Roman" w:hAnsi="Times New Roman" w:eastAsia="Times New Roman" w:cs="Times New Roman"/>
              </w:rPr>
            </w:pPr>
            <w:r>
              <w:rPr>
                <w:spacing w:val="5"/>
              </w:rPr>
              <w:t>总镉</w:t>
            </w:r>
            <w:r>
              <w:rPr>
                <w:rFonts w:ascii="Times New Roman" w:hAnsi="Times New Roman" w:eastAsia="Times New Roman" w:cs="Times New Roman"/>
                <w:spacing w:val="5"/>
              </w:rPr>
              <w:t>(</w:t>
            </w:r>
            <w:r>
              <w:rPr>
                <w:spacing w:val="5"/>
              </w:rPr>
              <w:t>以</w:t>
            </w:r>
            <w:r>
              <w:rPr>
                <w:spacing w:val="-40"/>
              </w:rPr>
              <w:t xml:space="preserve"> </w:t>
            </w:r>
            <w:r>
              <w:rPr>
                <w:rFonts w:ascii="Times New Roman" w:hAnsi="Times New Roman" w:eastAsia="Times New Roman" w:cs="Times New Roman"/>
              </w:rPr>
              <w:t>Cd</w:t>
            </w:r>
            <w:r>
              <w:rPr>
                <w:rFonts w:ascii="Times New Roman" w:hAnsi="Times New Roman" w:eastAsia="Times New Roman" w:cs="Times New Roman"/>
                <w:spacing w:val="5"/>
              </w:rPr>
              <w:t xml:space="preserve"> </w:t>
            </w:r>
            <w:r>
              <w:rPr>
                <w:spacing w:val="5"/>
              </w:rPr>
              <w:t>计</w:t>
            </w:r>
            <w:r>
              <w:rPr>
                <w:rFonts w:ascii="Times New Roman" w:hAnsi="Times New Roman" w:eastAsia="Times New Roman" w:cs="Times New Roman"/>
                <w:spacing w:val="5"/>
              </w:rPr>
              <w:t>)</w:t>
            </w:r>
            <w:r>
              <w:rPr>
                <w:rFonts w:ascii="Times New Roman" w:hAnsi="Times New Roman" w:eastAsia="Times New Roman" w:cs="Times New Roman"/>
                <w:spacing w:val="-25"/>
              </w:rPr>
              <w:t xml:space="preserve"> </w:t>
            </w:r>
            <w:r>
              <w:rPr>
                <w:spacing w:val="5"/>
              </w:rPr>
              <w:t>，</w:t>
            </w:r>
            <w:r>
              <w:rPr>
                <w:rFonts w:ascii="Times New Roman" w:hAnsi="Times New Roman" w:eastAsia="Times New Roman" w:cs="Times New Roman"/>
              </w:rPr>
              <w:t>mg</w:t>
            </w:r>
            <w:r>
              <w:rPr>
                <w:rFonts w:ascii="Times New Roman" w:hAnsi="Times New Roman" w:eastAsia="Times New Roman" w:cs="Times New Roman"/>
                <w:spacing w:val="5"/>
              </w:rPr>
              <w:t>/</w:t>
            </w:r>
            <w:r>
              <w:rPr>
                <w:rFonts w:ascii="Times New Roman" w:hAnsi="Times New Roman" w:eastAsia="Times New Roman" w:cs="Times New Roman"/>
              </w:rPr>
              <w:t>kg</w:t>
            </w:r>
          </w:p>
        </w:tc>
        <w:tc>
          <w:tcPr>
            <w:tcW w:w="2263" w:type="dxa"/>
            <w:vAlign w:val="top"/>
          </w:tcPr>
          <w:p>
            <w:pPr>
              <w:ind w:left="94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w:t>
            </w:r>
          </w:p>
        </w:tc>
        <w:tc>
          <w:tcPr>
            <w:tcW w:w="3099" w:type="dxa"/>
            <w:vAlign w:val="top"/>
            <w:vMerge w:val="continue"/>
            <w:tcBorders>
              <w:top w:val="nil"/>
              <w:bottom w:val="nil"/>
            </w:tcBorders>
          </w:tcPr>
          <w:p>
            <w:pPr>
              <w:rPr>
                <w:rFonts w:ascii="Arial"/>
                <w:sz w:val="21"/>
              </w:rPr>
            </w:pPr>
            <w:r/>
          </w:p>
        </w:tc>
      </w:tr>
      <w:tr>
        <w:trPr>
          <w:trHeight w:val="277" w:hRule="atLeast"/>
        </w:trPr>
        <w:tc>
          <w:tcPr>
            <w:tcW w:w="3154" w:type="dxa"/>
            <w:vAlign w:val="top"/>
          </w:tcPr>
          <w:p>
            <w:pPr>
              <w:pStyle w:val="TableText"/>
              <w:ind w:left="562"/>
              <w:spacing w:before="36" w:line="213" w:lineRule="auto"/>
              <w:rPr>
                <w:rFonts w:ascii="Times New Roman" w:hAnsi="Times New Roman" w:eastAsia="Times New Roman" w:cs="Times New Roman"/>
              </w:rPr>
            </w:pPr>
            <w:r>
              <w:rPr>
                <w:spacing w:val="5"/>
              </w:rPr>
              <w:t>总铅</w:t>
            </w:r>
            <w:r>
              <w:rPr>
                <w:rFonts w:ascii="Times New Roman" w:hAnsi="Times New Roman" w:eastAsia="Times New Roman" w:cs="Times New Roman"/>
                <w:spacing w:val="5"/>
              </w:rPr>
              <w:t>(</w:t>
            </w:r>
            <w:r>
              <w:rPr>
                <w:spacing w:val="5"/>
              </w:rPr>
              <w:t>以</w:t>
            </w:r>
            <w:r>
              <w:rPr>
                <w:spacing w:val="-40"/>
              </w:rPr>
              <w:t xml:space="preserve"> </w:t>
            </w:r>
            <w:r>
              <w:rPr>
                <w:rFonts w:ascii="Times New Roman" w:hAnsi="Times New Roman" w:eastAsia="Times New Roman" w:cs="Times New Roman"/>
              </w:rPr>
              <w:t>Pb</w:t>
            </w:r>
            <w:r>
              <w:rPr>
                <w:rFonts w:ascii="Times New Roman" w:hAnsi="Times New Roman" w:eastAsia="Times New Roman" w:cs="Times New Roman"/>
                <w:spacing w:val="5"/>
              </w:rPr>
              <w:t xml:space="preserve"> </w:t>
            </w:r>
            <w:r>
              <w:rPr>
                <w:spacing w:val="5"/>
              </w:rPr>
              <w:t>计</w:t>
            </w:r>
            <w:r>
              <w:rPr>
                <w:rFonts w:ascii="Times New Roman" w:hAnsi="Times New Roman" w:eastAsia="Times New Roman" w:cs="Times New Roman"/>
                <w:spacing w:val="5"/>
              </w:rPr>
              <w:t>)</w:t>
            </w:r>
            <w:r>
              <w:rPr>
                <w:rFonts w:ascii="Times New Roman" w:hAnsi="Times New Roman" w:eastAsia="Times New Roman" w:cs="Times New Roman"/>
                <w:spacing w:val="-25"/>
              </w:rPr>
              <w:t xml:space="preserve"> </w:t>
            </w:r>
            <w:r>
              <w:rPr>
                <w:spacing w:val="5"/>
              </w:rPr>
              <w:t>，</w:t>
            </w:r>
            <w:r>
              <w:rPr>
                <w:rFonts w:ascii="Times New Roman" w:hAnsi="Times New Roman" w:eastAsia="Times New Roman" w:cs="Times New Roman"/>
              </w:rPr>
              <w:t>mg</w:t>
            </w:r>
            <w:r>
              <w:rPr>
                <w:rFonts w:ascii="Times New Roman" w:hAnsi="Times New Roman" w:eastAsia="Times New Roman" w:cs="Times New Roman"/>
                <w:spacing w:val="5"/>
              </w:rPr>
              <w:t>/</w:t>
            </w:r>
            <w:r>
              <w:rPr>
                <w:rFonts w:ascii="Times New Roman" w:hAnsi="Times New Roman" w:eastAsia="Times New Roman" w:cs="Times New Roman"/>
              </w:rPr>
              <w:t>kg</w:t>
            </w:r>
          </w:p>
        </w:tc>
        <w:tc>
          <w:tcPr>
            <w:tcW w:w="2263" w:type="dxa"/>
            <w:vAlign w:val="top"/>
          </w:tcPr>
          <w:p>
            <w:pPr>
              <w:ind w:left="889"/>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≤50.0</w:t>
            </w:r>
          </w:p>
        </w:tc>
        <w:tc>
          <w:tcPr>
            <w:tcW w:w="3099" w:type="dxa"/>
            <w:vAlign w:val="top"/>
            <w:vMerge w:val="continue"/>
            <w:tcBorders>
              <w:top w:val="nil"/>
              <w:bottom w:val="nil"/>
            </w:tcBorders>
          </w:tcPr>
          <w:p>
            <w:pPr>
              <w:rPr>
                <w:rFonts w:ascii="Arial"/>
                <w:sz w:val="21"/>
              </w:rPr>
            </w:pPr>
            <w:r/>
          </w:p>
        </w:tc>
      </w:tr>
      <w:tr>
        <w:trPr>
          <w:trHeight w:val="277" w:hRule="atLeast"/>
        </w:trPr>
        <w:tc>
          <w:tcPr>
            <w:tcW w:w="3154" w:type="dxa"/>
            <w:vAlign w:val="top"/>
          </w:tcPr>
          <w:p>
            <w:pPr>
              <w:pStyle w:val="TableText"/>
              <w:ind w:left="567"/>
              <w:spacing w:before="35" w:line="214" w:lineRule="auto"/>
              <w:rPr>
                <w:rFonts w:ascii="Times New Roman" w:hAnsi="Times New Roman" w:eastAsia="Times New Roman" w:cs="Times New Roman"/>
              </w:rPr>
            </w:pPr>
            <w:r>
              <w:rPr>
                <w:spacing w:val="5"/>
              </w:rPr>
              <w:t>总铬</w:t>
            </w:r>
            <w:r>
              <w:rPr>
                <w:rFonts w:ascii="Times New Roman" w:hAnsi="Times New Roman" w:eastAsia="Times New Roman" w:cs="Times New Roman"/>
                <w:spacing w:val="5"/>
              </w:rPr>
              <w:t>(</w:t>
            </w:r>
            <w:r>
              <w:rPr>
                <w:spacing w:val="5"/>
              </w:rPr>
              <w:t>以</w:t>
            </w:r>
            <w:r>
              <w:rPr>
                <w:spacing w:val="-40"/>
              </w:rPr>
              <w:t xml:space="preserve"> </w:t>
            </w:r>
            <w:r>
              <w:rPr>
                <w:rFonts w:ascii="Times New Roman" w:hAnsi="Times New Roman" w:eastAsia="Times New Roman" w:cs="Times New Roman"/>
              </w:rPr>
              <w:t>Cr</w:t>
            </w:r>
            <w:r>
              <w:rPr>
                <w:rFonts w:ascii="Times New Roman" w:hAnsi="Times New Roman" w:eastAsia="Times New Roman" w:cs="Times New Roman"/>
                <w:spacing w:val="5"/>
              </w:rPr>
              <w:t xml:space="preserve"> </w:t>
            </w:r>
            <w:r>
              <w:rPr>
                <w:spacing w:val="5"/>
              </w:rPr>
              <w:t>计</w:t>
            </w:r>
            <w:r>
              <w:rPr>
                <w:rFonts w:ascii="Times New Roman" w:hAnsi="Times New Roman" w:eastAsia="Times New Roman" w:cs="Times New Roman"/>
                <w:spacing w:val="5"/>
              </w:rPr>
              <w:t>)</w:t>
            </w:r>
            <w:r>
              <w:rPr>
                <w:rFonts w:ascii="Times New Roman" w:hAnsi="Times New Roman" w:eastAsia="Times New Roman" w:cs="Times New Roman"/>
                <w:spacing w:val="-25"/>
              </w:rPr>
              <w:t xml:space="preserve"> </w:t>
            </w:r>
            <w:r>
              <w:rPr>
                <w:spacing w:val="5"/>
              </w:rPr>
              <w:t>，</w:t>
            </w:r>
            <w:r>
              <w:rPr>
                <w:rFonts w:ascii="Times New Roman" w:hAnsi="Times New Roman" w:eastAsia="Times New Roman" w:cs="Times New Roman"/>
              </w:rPr>
              <w:t>mg</w:t>
            </w:r>
            <w:r>
              <w:rPr>
                <w:rFonts w:ascii="Times New Roman" w:hAnsi="Times New Roman" w:eastAsia="Times New Roman" w:cs="Times New Roman"/>
                <w:spacing w:val="5"/>
              </w:rPr>
              <w:t>/</w:t>
            </w:r>
            <w:r>
              <w:rPr>
                <w:rFonts w:ascii="Times New Roman" w:hAnsi="Times New Roman" w:eastAsia="Times New Roman" w:cs="Times New Roman"/>
              </w:rPr>
              <w:t>kg</w:t>
            </w:r>
          </w:p>
        </w:tc>
        <w:tc>
          <w:tcPr>
            <w:tcW w:w="2263" w:type="dxa"/>
            <w:vAlign w:val="top"/>
          </w:tcPr>
          <w:p>
            <w:pPr>
              <w:ind w:left="83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≤150.0</w:t>
            </w:r>
          </w:p>
        </w:tc>
        <w:tc>
          <w:tcPr>
            <w:tcW w:w="3099" w:type="dxa"/>
            <w:vAlign w:val="top"/>
            <w:vMerge w:val="continue"/>
            <w:tcBorders>
              <w:top w:val="nil"/>
              <w:bottom w:val="nil"/>
            </w:tcBorders>
          </w:tcPr>
          <w:p>
            <w:pPr>
              <w:rPr>
                <w:rFonts w:ascii="Arial"/>
                <w:sz w:val="21"/>
              </w:rPr>
            </w:pPr>
            <w:r/>
          </w:p>
        </w:tc>
      </w:tr>
      <w:tr>
        <w:trPr>
          <w:trHeight w:val="281" w:hRule="atLeast"/>
        </w:trPr>
        <w:tc>
          <w:tcPr>
            <w:tcW w:w="3154" w:type="dxa"/>
            <w:vAlign w:val="top"/>
          </w:tcPr>
          <w:p>
            <w:pPr>
              <w:pStyle w:val="TableText"/>
              <w:ind w:left="543"/>
              <w:spacing w:before="35" w:line="217" w:lineRule="auto"/>
              <w:rPr>
                <w:rFonts w:ascii="Times New Roman" w:hAnsi="Times New Roman" w:eastAsia="Times New Roman" w:cs="Times New Roman"/>
              </w:rPr>
            </w:pPr>
            <w:r>
              <w:rPr>
                <w:spacing w:val="5"/>
              </w:rPr>
              <w:t>总汞</w:t>
            </w:r>
            <w:r>
              <w:rPr>
                <w:rFonts w:ascii="Times New Roman" w:hAnsi="Times New Roman" w:eastAsia="Times New Roman" w:cs="Times New Roman"/>
                <w:spacing w:val="5"/>
              </w:rPr>
              <w:t>(</w:t>
            </w:r>
            <w:r>
              <w:rPr>
                <w:spacing w:val="5"/>
              </w:rPr>
              <w:t>以</w:t>
            </w:r>
            <w:r>
              <w:rPr>
                <w:spacing w:val="-37"/>
              </w:rPr>
              <w:t xml:space="preserve"> </w:t>
            </w:r>
            <w:r>
              <w:rPr>
                <w:rFonts w:ascii="Times New Roman" w:hAnsi="Times New Roman" w:eastAsia="Times New Roman" w:cs="Times New Roman"/>
              </w:rPr>
              <w:t>Hg</w:t>
            </w:r>
            <w:r>
              <w:rPr>
                <w:rFonts w:ascii="Times New Roman" w:hAnsi="Times New Roman" w:eastAsia="Times New Roman" w:cs="Times New Roman"/>
                <w:spacing w:val="5"/>
              </w:rPr>
              <w:t xml:space="preserve"> </w:t>
            </w:r>
            <w:r>
              <w:rPr>
                <w:spacing w:val="5"/>
              </w:rPr>
              <w:t>计</w:t>
            </w:r>
            <w:r>
              <w:rPr>
                <w:rFonts w:ascii="Times New Roman" w:hAnsi="Times New Roman" w:eastAsia="Times New Roman" w:cs="Times New Roman"/>
                <w:spacing w:val="5"/>
              </w:rPr>
              <w:t>)</w:t>
            </w:r>
            <w:r>
              <w:rPr>
                <w:rFonts w:ascii="Times New Roman" w:hAnsi="Times New Roman" w:eastAsia="Times New Roman" w:cs="Times New Roman"/>
                <w:spacing w:val="-25"/>
              </w:rPr>
              <w:t xml:space="preserve"> </w:t>
            </w:r>
            <w:r>
              <w:rPr>
                <w:spacing w:val="5"/>
              </w:rPr>
              <w:t>，</w:t>
            </w:r>
            <w:r>
              <w:rPr>
                <w:rFonts w:ascii="Times New Roman" w:hAnsi="Times New Roman" w:eastAsia="Times New Roman" w:cs="Times New Roman"/>
              </w:rPr>
              <w:t>mg</w:t>
            </w:r>
            <w:r>
              <w:rPr>
                <w:rFonts w:ascii="Times New Roman" w:hAnsi="Times New Roman" w:eastAsia="Times New Roman" w:cs="Times New Roman"/>
                <w:spacing w:val="5"/>
              </w:rPr>
              <w:t>/</w:t>
            </w:r>
            <w:r>
              <w:rPr>
                <w:rFonts w:ascii="Times New Roman" w:hAnsi="Times New Roman" w:eastAsia="Times New Roman" w:cs="Times New Roman"/>
              </w:rPr>
              <w:t>kg</w:t>
            </w:r>
          </w:p>
        </w:tc>
        <w:tc>
          <w:tcPr>
            <w:tcW w:w="2263" w:type="dxa"/>
            <w:vAlign w:val="top"/>
          </w:tcPr>
          <w:p>
            <w:pPr>
              <w:ind w:left="942"/>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w:t>
            </w:r>
          </w:p>
        </w:tc>
        <w:tc>
          <w:tcPr>
            <w:tcW w:w="3099" w:type="dxa"/>
            <w:vAlign w:val="top"/>
            <w:vMerge w:val="continue"/>
            <w:tcBorders>
              <w:top w:val="nil"/>
            </w:tcBorders>
          </w:tcPr>
          <w:p>
            <w:pPr>
              <w:rPr>
                <w:rFonts w:ascii="Arial"/>
                <w:sz w:val="21"/>
              </w:rPr>
            </w:pPr>
            <w:r/>
          </w:p>
        </w:tc>
      </w:tr>
    </w:tbl>
    <w:p>
      <w:pPr>
        <w:ind w:left="2878"/>
        <w:spacing w:before="194"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6"/>
        </w:rPr>
        <w:t xml:space="preserve"> </w:t>
      </w:r>
      <w:r>
        <w:rPr>
          <w:rFonts w:ascii="Times New Roman" w:hAnsi="Times New Roman" w:eastAsia="Times New Roman" w:cs="Times New Roman"/>
          <w:sz w:val="24"/>
          <w:szCs w:val="24"/>
          <w:b/>
          <w:bCs/>
          <w:spacing w:val="-2"/>
        </w:rPr>
        <w:t>3.1-7      </w:t>
      </w:r>
      <w:r>
        <w:rPr>
          <w:rFonts w:ascii="SimSun" w:hAnsi="SimSun" w:eastAsia="SimSun" w:cs="SimSun"/>
          <w:sz w:val="24"/>
          <w:szCs w:val="24"/>
          <w:b/>
          <w:bCs/>
          <w:spacing w:val="-2"/>
        </w:rPr>
        <w:t>沼液肥质量指标</w:t>
      </w:r>
    </w:p>
    <w:p>
      <w:pPr>
        <w:spacing w:line="20" w:lineRule="exact"/>
        <w:rPr/>
      </w:pPr>
      <w:r/>
    </w:p>
    <w:tbl>
      <w:tblPr>
        <w:tblStyle w:val="TableNormal"/>
        <w:tblW w:w="858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839"/>
        <w:gridCol w:w="1163"/>
        <w:gridCol w:w="2613"/>
        <w:gridCol w:w="1530"/>
        <w:gridCol w:w="1440"/>
      </w:tblGrid>
      <w:tr>
        <w:trPr>
          <w:trHeight w:val="282" w:hRule="atLeast"/>
        </w:trPr>
        <w:tc>
          <w:tcPr>
            <w:tcW w:w="1839" w:type="dxa"/>
            <w:vAlign w:val="top"/>
            <w:vMerge w:val="restart"/>
            <w:tcBorders>
              <w:bottom w:val="nil"/>
            </w:tcBorders>
          </w:tcPr>
          <w:p>
            <w:pPr>
              <w:pStyle w:val="TableText"/>
              <w:ind w:left="717"/>
              <w:spacing w:before="177" w:line="228" w:lineRule="auto"/>
              <w:rPr/>
            </w:pPr>
            <w:r>
              <w:rPr>
                <w:spacing w:val="3"/>
              </w:rPr>
              <w:t>项目</w:t>
            </w:r>
          </w:p>
        </w:tc>
        <w:tc>
          <w:tcPr>
            <w:tcW w:w="3776" w:type="dxa"/>
            <w:vAlign w:val="top"/>
            <w:gridSpan w:val="2"/>
          </w:tcPr>
          <w:p>
            <w:pPr>
              <w:pStyle w:val="TableText"/>
              <w:ind w:left="567"/>
              <w:spacing w:before="35" w:line="218" w:lineRule="auto"/>
              <w:rPr/>
            </w:pPr>
            <w:r>
              <w:rPr>
                <w:spacing w:val="6"/>
              </w:rPr>
              <w:t>《沼肥》（</w:t>
            </w:r>
            <w:r>
              <w:rPr>
                <w:rFonts w:ascii="Times New Roman" w:hAnsi="Times New Roman" w:eastAsia="Times New Roman" w:cs="Times New Roman"/>
              </w:rPr>
              <w:t>NY</w:t>
            </w:r>
            <w:r>
              <w:rPr>
                <w:rFonts w:ascii="Times New Roman" w:hAnsi="Times New Roman" w:eastAsia="Times New Roman" w:cs="Times New Roman"/>
                <w:spacing w:val="6"/>
              </w:rPr>
              <w:t>/T2596-2022</w:t>
            </w:r>
            <w:r>
              <w:rPr>
                <w:spacing w:val="6"/>
              </w:rPr>
              <w:t>）</w:t>
            </w:r>
          </w:p>
        </w:tc>
        <w:tc>
          <w:tcPr>
            <w:tcW w:w="2970" w:type="dxa"/>
            <w:vAlign w:val="top"/>
            <w:gridSpan w:val="2"/>
          </w:tcPr>
          <w:p>
            <w:pPr>
              <w:pStyle w:val="TableText"/>
              <w:spacing w:before="35" w:line="218" w:lineRule="auto"/>
              <w:jc w:val="right"/>
              <w:rPr/>
            </w:pPr>
            <w:r>
              <w:rPr>
                <w:spacing w:val="-4"/>
              </w:rPr>
              <w:t>《农用沼液》（</w:t>
            </w:r>
            <w:r>
              <w:rPr>
                <w:rFonts w:ascii="Times New Roman" w:hAnsi="Times New Roman" w:eastAsia="Times New Roman" w:cs="Times New Roman"/>
                <w:spacing w:val="-4"/>
              </w:rPr>
              <w:t>GB/T40750-2021</w:t>
            </w:r>
            <w:r>
              <w:rPr>
                <w:spacing w:val="-4"/>
              </w:rPr>
              <w:t>）</w:t>
            </w:r>
          </w:p>
        </w:tc>
      </w:tr>
      <w:tr>
        <w:trPr>
          <w:trHeight w:val="277" w:hRule="atLeast"/>
        </w:trPr>
        <w:tc>
          <w:tcPr>
            <w:tcW w:w="1839" w:type="dxa"/>
            <w:vAlign w:val="top"/>
            <w:vMerge w:val="continue"/>
            <w:tcBorders>
              <w:top w:val="nil"/>
            </w:tcBorders>
          </w:tcPr>
          <w:p>
            <w:pPr>
              <w:rPr>
                <w:rFonts w:ascii="Arial"/>
                <w:sz w:val="21"/>
              </w:rPr>
            </w:pPr>
            <w:r/>
          </w:p>
        </w:tc>
        <w:tc>
          <w:tcPr>
            <w:tcW w:w="1163" w:type="dxa"/>
            <w:vAlign w:val="top"/>
          </w:tcPr>
          <w:p>
            <w:pPr>
              <w:pStyle w:val="TableText"/>
              <w:ind w:left="166"/>
              <w:spacing w:before="31" w:line="217" w:lineRule="auto"/>
              <w:rPr/>
            </w:pPr>
            <w:r>
              <w:rPr>
                <w:spacing w:val="7"/>
              </w:rPr>
              <w:t>技术指标</w:t>
            </w:r>
          </w:p>
        </w:tc>
        <w:tc>
          <w:tcPr>
            <w:tcW w:w="2613" w:type="dxa"/>
            <w:vAlign w:val="top"/>
          </w:tcPr>
          <w:p>
            <w:pPr>
              <w:pStyle w:val="TableText"/>
              <w:ind w:left="891"/>
              <w:spacing w:before="31" w:line="217" w:lineRule="auto"/>
              <w:rPr/>
            </w:pPr>
            <w:r>
              <w:rPr>
                <w:spacing w:val="7"/>
              </w:rPr>
              <w:t>检测依据</w:t>
            </w:r>
          </w:p>
        </w:tc>
        <w:tc>
          <w:tcPr>
            <w:tcW w:w="1530" w:type="dxa"/>
            <w:vAlign w:val="top"/>
          </w:tcPr>
          <w:p>
            <w:pPr>
              <w:pStyle w:val="TableText"/>
              <w:ind w:left="563"/>
              <w:spacing w:before="31" w:line="217" w:lineRule="auto"/>
              <w:rPr/>
            </w:pPr>
            <w:r>
              <w:rPr>
                <w:spacing w:val="3"/>
              </w:rPr>
              <w:t>指标</w:t>
            </w:r>
          </w:p>
        </w:tc>
        <w:tc>
          <w:tcPr>
            <w:tcW w:w="1440" w:type="dxa"/>
            <w:vAlign w:val="top"/>
          </w:tcPr>
          <w:p>
            <w:pPr>
              <w:pStyle w:val="TableText"/>
              <w:ind w:left="305"/>
              <w:spacing w:before="31" w:line="217" w:lineRule="auto"/>
              <w:rPr/>
            </w:pPr>
            <w:r>
              <w:rPr>
                <w:spacing w:val="7"/>
              </w:rPr>
              <w:t>检测依据</w:t>
            </w:r>
          </w:p>
        </w:tc>
      </w:tr>
      <w:tr>
        <w:trPr>
          <w:trHeight w:val="277" w:hRule="atLeast"/>
        </w:trPr>
        <w:tc>
          <w:tcPr>
            <w:tcW w:w="1839" w:type="dxa"/>
            <w:vAlign w:val="top"/>
          </w:tcPr>
          <w:p>
            <w:pPr>
              <w:pStyle w:val="TableText"/>
              <w:ind w:left="412"/>
              <w:spacing w:before="33" w:line="216" w:lineRule="auto"/>
              <w:rPr>
                <w:rFonts w:ascii="Times New Roman" w:hAnsi="Times New Roman" w:eastAsia="Times New Roman" w:cs="Times New Roman"/>
              </w:rPr>
            </w:pPr>
            <w:r>
              <w:rPr>
                <w:spacing w:val="8"/>
              </w:rPr>
              <w:t>酸碱度</w:t>
            </w:r>
            <w:r>
              <w:rPr>
                <w:rFonts w:ascii="Times New Roman" w:hAnsi="Times New Roman" w:eastAsia="Times New Roman" w:cs="Times New Roman"/>
                <w:spacing w:val="8"/>
              </w:rPr>
              <w:t>(</w:t>
            </w:r>
            <w:r>
              <w:rPr>
                <w:rFonts w:ascii="Times New Roman" w:hAnsi="Times New Roman" w:eastAsia="Times New Roman" w:cs="Times New Roman"/>
              </w:rPr>
              <w:t>pH</w:t>
            </w:r>
            <w:r>
              <w:rPr>
                <w:rFonts w:ascii="Times New Roman" w:hAnsi="Times New Roman" w:eastAsia="Times New Roman" w:cs="Times New Roman"/>
                <w:spacing w:val="8"/>
              </w:rPr>
              <w:t>)</w:t>
            </w:r>
          </w:p>
        </w:tc>
        <w:tc>
          <w:tcPr>
            <w:tcW w:w="1163" w:type="dxa"/>
            <w:vAlign w:val="top"/>
          </w:tcPr>
          <w:p>
            <w:pPr>
              <w:ind w:left="26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5.5~8.5</w:t>
            </w:r>
          </w:p>
        </w:tc>
        <w:tc>
          <w:tcPr>
            <w:tcW w:w="2613" w:type="dxa"/>
            <w:vAlign w:val="top"/>
          </w:tcPr>
          <w:p>
            <w:pPr>
              <w:pStyle w:val="TableText"/>
              <w:ind w:left="72"/>
              <w:spacing w:before="33" w:line="216" w:lineRule="auto"/>
              <w:rPr/>
            </w:pPr>
            <w:r>
              <w:rPr>
                <w:spacing w:val="6"/>
              </w:rPr>
              <w:t>按照</w:t>
            </w:r>
            <w:r>
              <w:rPr>
                <w:spacing w:val="-50"/>
              </w:rPr>
              <w:t xml:space="preserve"> </w:t>
            </w:r>
            <w:r>
              <w:rPr>
                <w:rFonts w:ascii="Times New Roman" w:hAnsi="Times New Roman" w:eastAsia="Times New Roman" w:cs="Times New Roman"/>
              </w:rPr>
              <w:t>NY</w:t>
            </w:r>
            <w:r>
              <w:rPr>
                <w:rFonts w:ascii="Times New Roman" w:hAnsi="Times New Roman" w:eastAsia="Times New Roman" w:cs="Times New Roman"/>
                <w:spacing w:val="6"/>
              </w:rPr>
              <w:t>/T1973</w:t>
            </w:r>
            <w:r>
              <w:rPr>
                <w:rFonts w:ascii="Times New Roman" w:hAnsi="Times New Roman" w:eastAsia="Times New Roman" w:cs="Times New Roman"/>
                <w:spacing w:val="26"/>
                <w:w w:val="101"/>
              </w:rPr>
              <w:t xml:space="preserve"> </w:t>
            </w:r>
            <w:r>
              <w:rPr>
                <w:spacing w:val="6"/>
              </w:rPr>
              <w:t>的规定执行</w:t>
            </w:r>
          </w:p>
        </w:tc>
        <w:tc>
          <w:tcPr>
            <w:tcW w:w="1530" w:type="dxa"/>
            <w:vAlign w:val="top"/>
          </w:tcPr>
          <w:p>
            <w:pPr>
              <w:ind w:left="45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5.5~8.5</w:t>
            </w:r>
          </w:p>
        </w:tc>
        <w:tc>
          <w:tcPr>
            <w:tcW w:w="1440" w:type="dxa"/>
            <w:vAlign w:val="top"/>
          </w:tcPr>
          <w:p>
            <w:pPr>
              <w:ind w:left="275"/>
              <w:spacing w:before="6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5"/>
              </w:rPr>
              <w:t>/T6920</w:t>
            </w:r>
          </w:p>
        </w:tc>
      </w:tr>
      <w:tr>
        <w:trPr>
          <w:trHeight w:val="278" w:hRule="atLeast"/>
        </w:trPr>
        <w:tc>
          <w:tcPr>
            <w:tcW w:w="1839" w:type="dxa"/>
            <w:vAlign w:val="top"/>
          </w:tcPr>
          <w:p>
            <w:pPr>
              <w:pStyle w:val="TableText"/>
              <w:ind w:left="255"/>
              <w:spacing w:before="31" w:line="218" w:lineRule="auto"/>
              <w:rPr>
                <w:rFonts w:ascii="Times New Roman" w:hAnsi="Times New Roman" w:eastAsia="Times New Roman" w:cs="Times New Roman"/>
              </w:rPr>
            </w:pPr>
            <w:r>
              <w:rPr>
                <w:spacing w:val="6"/>
              </w:rPr>
              <w:t>水不溶物，</w:t>
            </w:r>
            <w:r>
              <w:rPr>
                <w:rFonts w:ascii="Times New Roman" w:hAnsi="Times New Roman" w:eastAsia="Times New Roman" w:cs="Times New Roman"/>
                <w:spacing w:val="6"/>
              </w:rPr>
              <w:t>g/L</w:t>
            </w:r>
          </w:p>
        </w:tc>
        <w:tc>
          <w:tcPr>
            <w:tcW w:w="1163" w:type="dxa"/>
            <w:vAlign w:val="top"/>
          </w:tcPr>
          <w:p>
            <w:pPr>
              <w:ind w:left="33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≤50.0</w:t>
            </w:r>
          </w:p>
        </w:tc>
        <w:tc>
          <w:tcPr>
            <w:tcW w:w="2613" w:type="dxa"/>
            <w:vAlign w:val="top"/>
          </w:tcPr>
          <w:p>
            <w:pPr>
              <w:pStyle w:val="TableText"/>
              <w:ind w:left="72"/>
              <w:spacing w:before="31" w:line="218" w:lineRule="auto"/>
              <w:rPr/>
            </w:pPr>
            <w:r>
              <w:rPr>
                <w:spacing w:val="6"/>
              </w:rPr>
              <w:t>按照</w:t>
            </w:r>
            <w:r>
              <w:rPr>
                <w:spacing w:val="-50"/>
              </w:rPr>
              <w:t xml:space="preserve"> </w:t>
            </w:r>
            <w:r>
              <w:rPr>
                <w:rFonts w:ascii="Times New Roman" w:hAnsi="Times New Roman" w:eastAsia="Times New Roman" w:cs="Times New Roman"/>
              </w:rPr>
              <w:t>NY</w:t>
            </w:r>
            <w:r>
              <w:rPr>
                <w:rFonts w:ascii="Times New Roman" w:hAnsi="Times New Roman" w:eastAsia="Times New Roman" w:cs="Times New Roman"/>
                <w:spacing w:val="6"/>
              </w:rPr>
              <w:t>/T1973</w:t>
            </w:r>
            <w:r>
              <w:rPr>
                <w:rFonts w:ascii="Times New Roman" w:hAnsi="Times New Roman" w:eastAsia="Times New Roman" w:cs="Times New Roman"/>
                <w:spacing w:val="26"/>
                <w:w w:val="101"/>
              </w:rPr>
              <w:t xml:space="preserve"> </w:t>
            </w:r>
            <w:r>
              <w:rPr>
                <w:spacing w:val="6"/>
              </w:rPr>
              <w:t>的规定执行</w:t>
            </w:r>
          </w:p>
        </w:tc>
        <w:tc>
          <w:tcPr>
            <w:tcW w:w="1530" w:type="dxa"/>
            <w:vAlign w:val="top"/>
          </w:tcPr>
          <w:p>
            <w:pPr>
              <w:ind w:left="603"/>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≤50</w:t>
            </w:r>
          </w:p>
        </w:tc>
        <w:tc>
          <w:tcPr>
            <w:tcW w:w="1440" w:type="dxa"/>
            <w:vAlign w:val="top"/>
          </w:tcPr>
          <w:p>
            <w:pPr>
              <w:ind w:left="261"/>
              <w:spacing w:before="6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NY</w:t>
            </w:r>
            <w:r>
              <w:rPr>
                <w:rFonts w:ascii="Times New Roman" w:hAnsi="Times New Roman" w:eastAsia="Times New Roman" w:cs="Times New Roman"/>
                <w:sz w:val="20"/>
                <w:szCs w:val="20"/>
                <w:spacing w:val="7"/>
              </w:rPr>
              <w:t>/T1973</w:t>
            </w:r>
          </w:p>
        </w:tc>
      </w:tr>
      <w:tr>
        <w:trPr>
          <w:trHeight w:val="549" w:hRule="atLeast"/>
        </w:trPr>
        <w:tc>
          <w:tcPr>
            <w:tcW w:w="1839" w:type="dxa"/>
            <w:vAlign w:val="top"/>
          </w:tcPr>
          <w:p>
            <w:pPr>
              <w:pStyle w:val="TableText"/>
              <w:ind w:left="12"/>
              <w:spacing w:before="32" w:line="221" w:lineRule="auto"/>
              <w:rPr>
                <w:rFonts w:ascii="Times New Roman" w:hAnsi="Times New Roman" w:eastAsia="Times New Roman" w:cs="Times New Roman"/>
              </w:rPr>
            </w:pPr>
            <w:r>
              <w:rPr>
                <w:spacing w:val="6"/>
              </w:rPr>
              <w:t>类大肠菌群数，个</w:t>
            </w:r>
            <w:r>
              <w:rPr>
                <w:rFonts w:ascii="Times New Roman" w:hAnsi="Times New Roman" w:eastAsia="Times New Roman" w:cs="Times New Roman"/>
                <w:spacing w:val="6"/>
              </w:rPr>
              <w:t>/g</w:t>
            </w:r>
          </w:p>
          <w:p>
            <w:pPr>
              <w:pStyle w:val="TableText"/>
              <w:ind w:left="579"/>
              <w:spacing w:before="32" w:line="217" w:lineRule="auto"/>
              <w:rPr/>
            </w:pPr>
            <w:r>
              <w:rPr>
                <w:spacing w:val="1"/>
              </w:rPr>
              <w:t>（</w:t>
            </w:r>
            <w:r>
              <w:rPr>
                <w:rFonts w:ascii="Times New Roman" w:hAnsi="Times New Roman" w:eastAsia="Times New Roman" w:cs="Times New Roman"/>
              </w:rPr>
              <w:t>mL</w:t>
            </w:r>
            <w:r>
              <w:rPr>
                <w:spacing w:val="1"/>
              </w:rPr>
              <w:t>）</w:t>
            </w:r>
          </w:p>
        </w:tc>
        <w:tc>
          <w:tcPr>
            <w:tcW w:w="1163" w:type="dxa"/>
            <w:vAlign w:val="top"/>
          </w:tcPr>
          <w:p>
            <w:pPr>
              <w:ind w:left="285"/>
              <w:spacing w:before="2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≤100.0</w:t>
            </w:r>
          </w:p>
        </w:tc>
        <w:tc>
          <w:tcPr>
            <w:tcW w:w="2613" w:type="dxa"/>
            <w:vAlign w:val="top"/>
          </w:tcPr>
          <w:p>
            <w:pPr>
              <w:pStyle w:val="TableText"/>
              <w:ind w:left="24"/>
              <w:spacing w:before="31" w:line="228" w:lineRule="auto"/>
              <w:rPr/>
            </w:pPr>
            <w:r>
              <w:rPr>
                <w:spacing w:val="1"/>
              </w:rPr>
              <w:t>按照</w:t>
            </w:r>
            <w:r>
              <w:rPr>
                <w:spacing w:val="-38"/>
              </w:rPr>
              <w:t xml:space="preserve"> </w:t>
            </w:r>
            <w:r>
              <w:rPr>
                <w:rFonts w:ascii="Times New Roman" w:hAnsi="Times New Roman" w:eastAsia="Times New Roman" w:cs="Times New Roman"/>
              </w:rPr>
              <w:t>GB</w:t>
            </w:r>
            <w:r>
              <w:rPr>
                <w:rFonts w:ascii="Times New Roman" w:hAnsi="Times New Roman" w:eastAsia="Times New Roman" w:cs="Times New Roman"/>
                <w:spacing w:val="1"/>
              </w:rPr>
              <w:t>/T</w:t>
            </w:r>
            <w:r>
              <w:rPr>
                <w:rFonts w:ascii="Times New Roman" w:hAnsi="Times New Roman" w:eastAsia="Times New Roman" w:cs="Times New Roman"/>
                <w:spacing w:val="30"/>
              </w:rPr>
              <w:t xml:space="preserve"> </w:t>
            </w:r>
            <w:r>
              <w:rPr>
                <w:rFonts w:ascii="Times New Roman" w:hAnsi="Times New Roman" w:eastAsia="Times New Roman" w:cs="Times New Roman"/>
                <w:spacing w:val="1"/>
              </w:rPr>
              <w:t>19524.</w:t>
            </w:r>
            <w:r>
              <w:rPr>
                <w:rFonts w:ascii="Times New Roman" w:hAnsi="Times New Roman" w:eastAsia="Times New Roman" w:cs="Times New Roman"/>
                <w:spacing w:val="-25"/>
              </w:rPr>
              <w:t xml:space="preserve"> </w:t>
            </w:r>
            <w:r>
              <w:rPr>
                <w:rFonts w:ascii="Times New Roman" w:hAnsi="Times New Roman" w:eastAsia="Times New Roman" w:cs="Times New Roman"/>
                <w:spacing w:val="1"/>
              </w:rPr>
              <w:t>1</w:t>
            </w:r>
            <w:r>
              <w:rPr>
                <w:rFonts w:ascii="Times New Roman" w:hAnsi="Times New Roman" w:eastAsia="Times New Roman" w:cs="Times New Roman"/>
                <w:spacing w:val="26"/>
                <w:w w:val="101"/>
              </w:rPr>
              <w:t xml:space="preserve"> </w:t>
            </w:r>
            <w:r>
              <w:rPr>
                <w:spacing w:val="1"/>
              </w:rPr>
              <w:t>的规定执</w:t>
            </w:r>
          </w:p>
          <w:p>
            <w:pPr>
              <w:pStyle w:val="TableText"/>
              <w:ind w:left="1209"/>
              <w:spacing w:before="25" w:line="217" w:lineRule="auto"/>
              <w:rPr/>
            </w:pPr>
            <w:r>
              <w:rPr/>
              <w:t>行</w:t>
            </w:r>
          </w:p>
        </w:tc>
        <w:tc>
          <w:tcPr>
            <w:tcW w:w="1530" w:type="dxa"/>
            <w:vAlign w:val="top"/>
          </w:tcPr>
          <w:p>
            <w:pPr>
              <w:pStyle w:val="TableText"/>
              <w:ind w:left="526"/>
              <w:spacing w:before="166" w:line="265" w:lineRule="exact"/>
              <w:rPr>
                <w:rFonts w:ascii="Times New Roman" w:hAnsi="Times New Roman" w:eastAsia="Times New Roman" w:cs="Times New Roman"/>
                <w:sz w:val="13"/>
                <w:szCs w:val="13"/>
              </w:rPr>
            </w:pPr>
            <w:r>
              <w:rPr>
                <w:spacing w:val="-2"/>
                <w:position w:val="1"/>
              </w:rPr>
              <w:t>≥</w:t>
            </w:r>
            <w:r>
              <w:rPr>
                <w:rFonts w:ascii="Times New Roman" w:hAnsi="Times New Roman" w:eastAsia="Times New Roman" w:cs="Times New Roman"/>
                <w:spacing w:val="-2"/>
                <w:position w:val="1"/>
              </w:rPr>
              <w:t>10</w:t>
            </w:r>
            <w:r>
              <w:rPr>
                <w:rFonts w:ascii="Times New Roman" w:hAnsi="Times New Roman" w:eastAsia="Times New Roman" w:cs="Times New Roman"/>
                <w:sz w:val="13"/>
                <w:szCs w:val="13"/>
                <w:spacing w:val="-2"/>
                <w:position w:val="7"/>
              </w:rPr>
              <w:t>-4</w:t>
            </w:r>
          </w:p>
        </w:tc>
        <w:tc>
          <w:tcPr>
            <w:tcW w:w="1440" w:type="dxa"/>
            <w:vAlign w:val="top"/>
          </w:tcPr>
          <w:p>
            <w:pPr>
              <w:ind w:left="124"/>
              <w:spacing w:before="2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5"/>
              </w:rPr>
              <w:t>7959-2012</w:t>
            </w:r>
          </w:p>
        </w:tc>
      </w:tr>
      <w:tr>
        <w:trPr>
          <w:trHeight w:val="248" w:hRule="atLeast"/>
        </w:trPr>
        <w:tc>
          <w:tcPr>
            <w:tcW w:w="1839" w:type="dxa"/>
            <w:vAlign w:val="top"/>
          </w:tcPr>
          <w:p>
            <w:pPr>
              <w:pStyle w:val="TableText"/>
              <w:ind w:left="101"/>
              <w:spacing w:before="32" w:line="190" w:lineRule="auto"/>
              <w:rPr>
                <w:rFonts w:ascii="Times New Roman" w:hAnsi="Times New Roman" w:eastAsia="Times New Roman" w:cs="Times New Roman"/>
              </w:rPr>
            </w:pPr>
            <w:r>
              <w:rPr>
                <w:spacing w:val="8"/>
              </w:rPr>
              <w:t>蛔虫卵死亡率，</w:t>
            </w:r>
            <w:r>
              <w:rPr>
                <w:rFonts w:ascii="Times New Roman" w:hAnsi="Times New Roman" w:eastAsia="Times New Roman" w:cs="Times New Roman"/>
                <w:spacing w:val="8"/>
              </w:rPr>
              <w:t>%</w:t>
            </w:r>
          </w:p>
        </w:tc>
        <w:tc>
          <w:tcPr>
            <w:tcW w:w="1163" w:type="dxa"/>
            <w:vAlign w:val="top"/>
          </w:tcPr>
          <w:p>
            <w:pPr>
              <w:ind w:left="337"/>
              <w:spacing w:before="5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≥95.0</w:t>
            </w:r>
          </w:p>
        </w:tc>
        <w:tc>
          <w:tcPr>
            <w:tcW w:w="2613" w:type="dxa"/>
            <w:vAlign w:val="top"/>
          </w:tcPr>
          <w:p>
            <w:pPr>
              <w:pStyle w:val="TableText"/>
              <w:ind w:left="24"/>
              <w:spacing w:before="32" w:line="190" w:lineRule="auto"/>
              <w:rPr/>
            </w:pPr>
            <w:r>
              <w:rPr>
                <w:spacing w:val="2"/>
              </w:rPr>
              <w:t>按照</w:t>
            </w:r>
            <w:r>
              <w:rPr>
                <w:spacing w:val="-28"/>
              </w:rPr>
              <w:t xml:space="preserve"> </w:t>
            </w:r>
            <w:r>
              <w:rPr>
                <w:rFonts w:ascii="Times New Roman" w:hAnsi="Times New Roman" w:eastAsia="Times New Roman" w:cs="Times New Roman"/>
              </w:rPr>
              <w:t>GB</w:t>
            </w:r>
            <w:r>
              <w:rPr>
                <w:rFonts w:ascii="Times New Roman" w:hAnsi="Times New Roman" w:eastAsia="Times New Roman" w:cs="Times New Roman"/>
                <w:spacing w:val="2"/>
              </w:rPr>
              <w:t>/T</w:t>
            </w:r>
            <w:r>
              <w:rPr>
                <w:rFonts w:ascii="Times New Roman" w:hAnsi="Times New Roman" w:eastAsia="Times New Roman" w:cs="Times New Roman"/>
                <w:spacing w:val="30"/>
              </w:rPr>
              <w:t xml:space="preserve"> </w:t>
            </w:r>
            <w:r>
              <w:rPr>
                <w:rFonts w:ascii="Times New Roman" w:hAnsi="Times New Roman" w:eastAsia="Times New Roman" w:cs="Times New Roman"/>
                <w:spacing w:val="2"/>
              </w:rPr>
              <w:t>19524.2</w:t>
            </w:r>
            <w:r>
              <w:rPr>
                <w:rFonts w:ascii="Times New Roman" w:hAnsi="Times New Roman" w:eastAsia="Times New Roman" w:cs="Times New Roman"/>
                <w:spacing w:val="26"/>
                <w:w w:val="101"/>
              </w:rPr>
              <w:t xml:space="preserve"> </w:t>
            </w:r>
            <w:r>
              <w:rPr>
                <w:spacing w:val="2"/>
              </w:rPr>
              <w:t>的规定执</w:t>
            </w:r>
          </w:p>
        </w:tc>
        <w:tc>
          <w:tcPr>
            <w:tcW w:w="1530" w:type="dxa"/>
            <w:vAlign w:val="top"/>
          </w:tcPr>
          <w:p>
            <w:pPr>
              <w:ind w:left="603"/>
              <w:spacing w:before="5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≥95</w:t>
            </w:r>
          </w:p>
        </w:tc>
        <w:tc>
          <w:tcPr>
            <w:tcW w:w="1440" w:type="dxa"/>
            <w:vAlign w:val="top"/>
          </w:tcPr>
          <w:p>
            <w:pPr>
              <w:ind w:left="117"/>
              <w:spacing w:before="5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2"/>
              </w:rPr>
              <w:t>/T</w:t>
            </w:r>
            <w:r>
              <w:rPr>
                <w:rFonts w:ascii="Times New Roman" w:hAnsi="Times New Roman" w:eastAsia="Times New Roman" w:cs="Times New Roman"/>
                <w:sz w:val="20"/>
                <w:szCs w:val="20"/>
                <w:spacing w:val="31"/>
              </w:rPr>
              <w:t xml:space="preserve"> </w:t>
            </w:r>
            <w:r>
              <w:rPr>
                <w:rFonts w:ascii="Times New Roman" w:hAnsi="Times New Roman" w:eastAsia="Times New Roman" w:cs="Times New Roman"/>
                <w:sz w:val="20"/>
                <w:szCs w:val="20"/>
                <w:spacing w:val="2"/>
              </w:rPr>
              <w:t>19524.2</w:t>
            </w:r>
          </w:p>
        </w:tc>
      </w:tr>
      <w:tr>
        <w:trPr>
          <w:trHeight w:val="248" w:hRule="atLeast"/>
        </w:trPr>
        <w:tc>
          <w:tcPr>
            <w:tcW w:w="1839" w:type="dxa"/>
            <w:vAlign w:val="top"/>
          </w:tcPr>
          <w:p>
            <w:pPr>
              <w:pStyle w:val="TableText"/>
              <w:ind w:left="12"/>
              <w:spacing w:before="32" w:line="190" w:lineRule="auto"/>
              <w:rPr/>
            </w:pPr>
            <w:r>
              <w:rPr>
                <w:spacing w:val="1"/>
              </w:rPr>
              <w:t>臭气排放浓度（无量</w:t>
            </w:r>
          </w:p>
        </w:tc>
        <w:tc>
          <w:tcPr>
            <w:tcW w:w="1163" w:type="dxa"/>
            <w:vAlign w:val="top"/>
          </w:tcPr>
          <w:p>
            <w:pPr>
              <w:ind w:left="337"/>
              <w:spacing w:before="53" w:line="193"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≤70.0</w:t>
            </w:r>
          </w:p>
        </w:tc>
        <w:tc>
          <w:tcPr>
            <w:tcW w:w="2613" w:type="dxa"/>
            <w:vAlign w:val="top"/>
          </w:tcPr>
          <w:p>
            <w:pPr>
              <w:pStyle w:val="TableText"/>
              <w:ind w:left="12"/>
              <w:spacing w:before="32" w:line="190" w:lineRule="auto"/>
              <w:rPr/>
            </w:pPr>
            <w:r>
              <w:rPr>
                <w:spacing w:val="3"/>
              </w:rPr>
              <w:t>按照</w:t>
            </w:r>
            <w:r>
              <w:rPr>
                <w:spacing w:val="-51"/>
              </w:rPr>
              <w:t xml:space="preserve"> </w:t>
            </w:r>
            <w:r>
              <w:rPr>
                <w:rFonts w:ascii="Times New Roman" w:hAnsi="Times New Roman" w:eastAsia="Times New Roman" w:cs="Times New Roman"/>
              </w:rPr>
              <w:t>GB</w:t>
            </w:r>
            <w:r>
              <w:rPr>
                <w:rFonts w:ascii="Times New Roman" w:hAnsi="Times New Roman" w:eastAsia="Times New Roman" w:cs="Times New Roman"/>
                <w:spacing w:val="3"/>
              </w:rPr>
              <w:t>/T</w:t>
            </w:r>
            <w:r>
              <w:rPr>
                <w:rFonts w:ascii="Times New Roman" w:hAnsi="Times New Roman" w:eastAsia="Times New Roman" w:cs="Times New Roman"/>
                <w:spacing w:val="29"/>
                <w:w w:val="101"/>
              </w:rPr>
              <w:t xml:space="preserve"> </w:t>
            </w:r>
            <w:r>
              <w:rPr>
                <w:rFonts w:ascii="Times New Roman" w:hAnsi="Times New Roman" w:eastAsia="Times New Roman" w:cs="Times New Roman"/>
                <w:spacing w:val="3"/>
              </w:rPr>
              <w:t>14675</w:t>
            </w:r>
            <w:r>
              <w:rPr>
                <w:rFonts w:ascii="Times New Roman" w:hAnsi="Times New Roman" w:eastAsia="Times New Roman" w:cs="Times New Roman"/>
                <w:spacing w:val="14"/>
                <w:w w:val="101"/>
              </w:rPr>
              <w:t xml:space="preserve"> </w:t>
            </w:r>
            <w:r>
              <w:rPr>
                <w:spacing w:val="3"/>
              </w:rPr>
              <w:t>的规定执行</w:t>
            </w:r>
          </w:p>
        </w:tc>
        <w:tc>
          <w:tcPr>
            <w:tcW w:w="1530" w:type="dxa"/>
            <w:vAlign w:val="top"/>
          </w:tcPr>
          <w:p>
            <w:pPr>
              <w:ind w:left="603"/>
              <w:spacing w:before="53" w:line="193"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≤70</w:t>
            </w:r>
          </w:p>
        </w:tc>
        <w:tc>
          <w:tcPr>
            <w:tcW w:w="1440" w:type="dxa"/>
            <w:vAlign w:val="top"/>
          </w:tcPr>
          <w:p>
            <w:pPr>
              <w:ind w:left="196"/>
              <w:spacing w:before="49" w:line="19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1"/>
              </w:rPr>
              <w:t>/T</w:t>
            </w:r>
            <w:r>
              <w:rPr>
                <w:rFonts w:ascii="Times New Roman" w:hAnsi="Times New Roman" w:eastAsia="Times New Roman" w:cs="Times New Roman"/>
                <w:sz w:val="20"/>
                <w:szCs w:val="20"/>
                <w:spacing w:val="33"/>
                <w:w w:val="101"/>
              </w:rPr>
              <w:t xml:space="preserve"> </w:t>
            </w:r>
            <w:r>
              <w:rPr>
                <w:rFonts w:ascii="Times New Roman" w:hAnsi="Times New Roman" w:eastAsia="Times New Roman" w:cs="Times New Roman"/>
                <w:sz w:val="20"/>
                <w:szCs w:val="20"/>
                <w:spacing w:val="1"/>
              </w:rPr>
              <w:t>14675</w:t>
            </w:r>
          </w:p>
        </w:tc>
      </w:tr>
      <w:tr>
        <w:trPr>
          <w:trHeight w:val="518" w:hRule="atLeast"/>
        </w:trPr>
        <w:tc>
          <w:tcPr>
            <w:tcW w:w="1839" w:type="dxa"/>
            <w:vAlign w:val="top"/>
          </w:tcPr>
          <w:p>
            <w:pPr>
              <w:pStyle w:val="TableText"/>
              <w:ind w:left="167"/>
              <w:spacing w:before="33" w:line="221" w:lineRule="auto"/>
              <w:rPr/>
            </w:pPr>
            <w:r>
              <w:rPr>
                <w:spacing w:val="5"/>
              </w:rPr>
              <w:t>总砷</w:t>
            </w:r>
            <w:r>
              <w:rPr>
                <w:rFonts w:ascii="Times New Roman" w:hAnsi="Times New Roman" w:eastAsia="Times New Roman" w:cs="Times New Roman"/>
                <w:spacing w:val="5"/>
              </w:rPr>
              <w:t>(</w:t>
            </w:r>
            <w:r>
              <w:rPr>
                <w:spacing w:val="5"/>
              </w:rPr>
              <w:t>以</w:t>
            </w:r>
            <w:r>
              <w:rPr>
                <w:spacing w:val="-43"/>
              </w:rPr>
              <w:t xml:space="preserve"> </w:t>
            </w:r>
            <w:r>
              <w:rPr>
                <w:rFonts w:ascii="Times New Roman" w:hAnsi="Times New Roman" w:eastAsia="Times New Roman" w:cs="Times New Roman"/>
              </w:rPr>
              <w:t>As</w:t>
            </w:r>
            <w:r>
              <w:rPr>
                <w:rFonts w:ascii="Times New Roman" w:hAnsi="Times New Roman" w:eastAsia="Times New Roman" w:cs="Times New Roman"/>
                <w:spacing w:val="5"/>
              </w:rPr>
              <w:t xml:space="preserve"> </w:t>
            </w:r>
            <w:r>
              <w:rPr>
                <w:spacing w:val="5"/>
              </w:rPr>
              <w:t>计</w:t>
            </w:r>
            <w:r>
              <w:rPr>
                <w:rFonts w:ascii="Times New Roman" w:hAnsi="Times New Roman" w:eastAsia="Times New Roman" w:cs="Times New Roman"/>
                <w:spacing w:val="5"/>
              </w:rPr>
              <w:t>)</w:t>
            </w:r>
            <w:r>
              <w:rPr>
                <w:spacing w:val="5"/>
              </w:rPr>
              <w:t>，</w:t>
            </w:r>
          </w:p>
          <w:p>
            <w:pPr>
              <w:ind w:left="690"/>
              <w:spacing w:before="49"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1163" w:type="dxa"/>
            <w:vAlign w:val="top"/>
          </w:tcPr>
          <w:p>
            <w:pPr>
              <w:ind w:left="337"/>
              <w:spacing w:before="1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≤10.0</w:t>
            </w:r>
          </w:p>
        </w:tc>
        <w:tc>
          <w:tcPr>
            <w:tcW w:w="2613" w:type="dxa"/>
            <w:vAlign w:val="top"/>
            <w:vMerge w:val="restart"/>
            <w:tcBorders>
              <w:bottom w:val="nil"/>
            </w:tcBorders>
          </w:tcPr>
          <w:p>
            <w:pPr>
              <w:spacing w:line="296" w:lineRule="auto"/>
              <w:rPr>
                <w:rFonts w:ascii="Arial"/>
                <w:sz w:val="21"/>
              </w:rPr>
            </w:pPr>
            <w:r/>
          </w:p>
          <w:p>
            <w:pPr>
              <w:spacing w:line="296" w:lineRule="auto"/>
              <w:rPr>
                <w:rFonts w:ascii="Arial"/>
                <w:sz w:val="21"/>
              </w:rPr>
            </w:pPr>
            <w:r/>
          </w:p>
          <w:p>
            <w:pPr>
              <w:spacing w:line="296" w:lineRule="auto"/>
              <w:rPr>
                <w:rFonts w:ascii="Arial"/>
                <w:sz w:val="21"/>
              </w:rPr>
            </w:pPr>
            <w:r/>
          </w:p>
          <w:p>
            <w:pPr>
              <w:pStyle w:val="TableText"/>
              <w:ind w:left="12"/>
              <w:spacing w:before="65" w:line="228" w:lineRule="auto"/>
              <w:rPr/>
            </w:pPr>
            <w:r>
              <w:rPr>
                <w:spacing w:val="4"/>
              </w:rPr>
              <w:t>按照</w:t>
            </w:r>
            <w:r>
              <w:rPr>
                <w:spacing w:val="-40"/>
              </w:rPr>
              <w:t xml:space="preserve"> </w:t>
            </w:r>
            <w:r>
              <w:rPr>
                <w:rFonts w:ascii="Times New Roman" w:hAnsi="Times New Roman" w:eastAsia="Times New Roman" w:cs="Times New Roman"/>
              </w:rPr>
              <w:t>GB</w:t>
            </w:r>
            <w:r>
              <w:rPr>
                <w:rFonts w:ascii="Times New Roman" w:hAnsi="Times New Roman" w:eastAsia="Times New Roman" w:cs="Times New Roman"/>
                <w:spacing w:val="4"/>
              </w:rPr>
              <w:t>/T 23349</w:t>
            </w:r>
            <w:r>
              <w:rPr>
                <w:rFonts w:ascii="Times New Roman" w:hAnsi="Times New Roman" w:eastAsia="Times New Roman" w:cs="Times New Roman"/>
                <w:spacing w:val="15"/>
              </w:rPr>
              <w:t xml:space="preserve"> </w:t>
            </w:r>
            <w:r>
              <w:rPr>
                <w:spacing w:val="4"/>
              </w:rPr>
              <w:t>的规定执行</w:t>
            </w:r>
          </w:p>
        </w:tc>
        <w:tc>
          <w:tcPr>
            <w:tcW w:w="1530" w:type="dxa"/>
            <w:vAlign w:val="top"/>
          </w:tcPr>
          <w:p>
            <w:pPr>
              <w:ind w:left="577"/>
              <w:spacing w:before="1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≤0.3</w:t>
            </w:r>
          </w:p>
        </w:tc>
        <w:tc>
          <w:tcPr>
            <w:tcW w:w="1440" w:type="dxa"/>
            <w:vAlign w:val="top"/>
            <w:vMerge w:val="restart"/>
            <w:tcBorders>
              <w:bottom w:val="nil"/>
            </w:tcBorders>
          </w:tcPr>
          <w:p>
            <w:pPr>
              <w:spacing w:line="309" w:lineRule="auto"/>
              <w:rPr>
                <w:rFonts w:ascii="Arial"/>
                <w:sz w:val="21"/>
              </w:rPr>
            </w:pPr>
            <w:r/>
          </w:p>
          <w:p>
            <w:pPr>
              <w:spacing w:line="309" w:lineRule="auto"/>
              <w:rPr>
                <w:rFonts w:ascii="Arial"/>
                <w:sz w:val="21"/>
              </w:rPr>
            </w:pPr>
            <w:r/>
          </w:p>
          <w:p>
            <w:pPr>
              <w:spacing w:line="310" w:lineRule="auto"/>
              <w:rPr>
                <w:rFonts w:ascii="Arial"/>
                <w:sz w:val="21"/>
              </w:rPr>
            </w:pPr>
            <w:r/>
          </w:p>
          <w:p>
            <w:pPr>
              <w:ind w:left="196"/>
              <w:spacing w:before="5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5"/>
              </w:rPr>
              <w:t>/T 23349</w:t>
            </w:r>
          </w:p>
        </w:tc>
      </w:tr>
      <w:tr>
        <w:trPr>
          <w:trHeight w:val="518" w:hRule="atLeast"/>
        </w:trPr>
        <w:tc>
          <w:tcPr>
            <w:tcW w:w="1839" w:type="dxa"/>
            <w:vAlign w:val="top"/>
          </w:tcPr>
          <w:p>
            <w:pPr>
              <w:pStyle w:val="TableText"/>
              <w:ind w:left="160"/>
              <w:spacing w:before="33" w:line="221" w:lineRule="auto"/>
              <w:rPr/>
            </w:pPr>
            <w:r>
              <w:rPr>
                <w:spacing w:val="3"/>
              </w:rPr>
              <w:t>总镉</w:t>
            </w:r>
            <w:r>
              <w:rPr>
                <w:rFonts w:ascii="Times New Roman" w:hAnsi="Times New Roman" w:eastAsia="Times New Roman" w:cs="Times New Roman"/>
                <w:spacing w:val="3"/>
              </w:rPr>
              <w:t>(</w:t>
            </w:r>
            <w:r>
              <w:rPr>
                <w:spacing w:val="3"/>
              </w:rPr>
              <w:t>以</w:t>
            </w:r>
            <w:r>
              <w:rPr>
                <w:spacing w:val="-37"/>
              </w:rPr>
              <w:t xml:space="preserve"> </w:t>
            </w:r>
            <w:r>
              <w:rPr>
                <w:rFonts w:ascii="Times New Roman" w:hAnsi="Times New Roman" w:eastAsia="Times New Roman" w:cs="Times New Roman"/>
              </w:rPr>
              <w:t>Cd</w:t>
            </w:r>
            <w:r>
              <w:rPr>
                <w:rFonts w:ascii="Times New Roman" w:hAnsi="Times New Roman" w:eastAsia="Times New Roman" w:cs="Times New Roman"/>
                <w:spacing w:val="14"/>
              </w:rPr>
              <w:t xml:space="preserve"> </w:t>
            </w:r>
            <w:r>
              <w:rPr>
                <w:spacing w:val="3"/>
              </w:rPr>
              <w:t>计</w:t>
            </w:r>
            <w:r>
              <w:rPr>
                <w:rFonts w:ascii="Times New Roman" w:hAnsi="Times New Roman" w:eastAsia="Times New Roman" w:cs="Times New Roman"/>
                <w:spacing w:val="3"/>
              </w:rPr>
              <w:t>)</w:t>
            </w:r>
            <w:r>
              <w:rPr>
                <w:spacing w:val="3"/>
              </w:rPr>
              <w:t>，</w:t>
            </w:r>
          </w:p>
          <w:p>
            <w:pPr>
              <w:ind w:left="690"/>
              <w:spacing w:before="49"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1163" w:type="dxa"/>
            <w:vAlign w:val="top"/>
          </w:tcPr>
          <w:p>
            <w:pPr>
              <w:ind w:left="390"/>
              <w:spacing w:before="1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w:t>
            </w:r>
          </w:p>
        </w:tc>
        <w:tc>
          <w:tcPr>
            <w:tcW w:w="2613" w:type="dxa"/>
            <w:vAlign w:val="top"/>
            <w:vMerge w:val="continue"/>
            <w:tcBorders>
              <w:top w:val="nil"/>
              <w:bottom w:val="nil"/>
            </w:tcBorders>
          </w:tcPr>
          <w:p>
            <w:pPr>
              <w:rPr>
                <w:rFonts w:ascii="Arial"/>
                <w:sz w:val="21"/>
              </w:rPr>
            </w:pPr>
            <w:r/>
          </w:p>
        </w:tc>
        <w:tc>
          <w:tcPr>
            <w:tcW w:w="1530" w:type="dxa"/>
            <w:vAlign w:val="top"/>
          </w:tcPr>
          <w:p>
            <w:pPr>
              <w:ind w:left="524"/>
              <w:spacing w:before="1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≤0.04</w:t>
            </w:r>
          </w:p>
        </w:tc>
        <w:tc>
          <w:tcPr>
            <w:tcW w:w="1440" w:type="dxa"/>
            <w:vAlign w:val="top"/>
            <w:vMerge w:val="continue"/>
            <w:tcBorders>
              <w:top w:val="nil"/>
              <w:bottom w:val="nil"/>
            </w:tcBorders>
          </w:tcPr>
          <w:p>
            <w:pPr>
              <w:rPr>
                <w:rFonts w:ascii="Arial"/>
                <w:sz w:val="21"/>
              </w:rPr>
            </w:pPr>
            <w:r/>
          </w:p>
        </w:tc>
      </w:tr>
      <w:tr>
        <w:trPr>
          <w:trHeight w:val="277" w:hRule="atLeast"/>
        </w:trPr>
        <w:tc>
          <w:tcPr>
            <w:tcW w:w="1839" w:type="dxa"/>
            <w:vAlign w:val="top"/>
          </w:tcPr>
          <w:p>
            <w:pPr>
              <w:pStyle w:val="TableText"/>
              <w:ind w:left="18"/>
              <w:spacing w:before="33" w:line="216" w:lineRule="auto"/>
              <w:rPr>
                <w:rFonts w:ascii="Times New Roman" w:hAnsi="Times New Roman" w:eastAsia="Times New Roman" w:cs="Times New Roman"/>
              </w:rPr>
            </w:pPr>
            <w:r>
              <w:rPr>
                <w:spacing w:val="-1"/>
              </w:rPr>
              <w:t>总铅</w:t>
            </w:r>
            <w:r>
              <w:rPr>
                <w:rFonts w:ascii="Times New Roman" w:hAnsi="Times New Roman" w:eastAsia="Times New Roman" w:cs="Times New Roman"/>
                <w:spacing w:val="-1"/>
              </w:rPr>
              <w:t>(</w:t>
            </w:r>
            <w:r>
              <w:rPr>
                <w:spacing w:val="-1"/>
              </w:rPr>
              <w:t>以</w:t>
            </w:r>
            <w:r>
              <w:rPr>
                <w:rFonts w:ascii="Times New Roman" w:hAnsi="Times New Roman" w:eastAsia="Times New Roman" w:cs="Times New Roman"/>
                <w:spacing w:val="-1"/>
              </w:rPr>
              <w:t>Pb</w:t>
            </w:r>
            <w:r>
              <w:rPr>
                <w:rFonts w:ascii="Times New Roman" w:hAnsi="Times New Roman" w:eastAsia="Times New Roman" w:cs="Times New Roman"/>
                <w:spacing w:val="-8"/>
              </w:rPr>
              <w:t xml:space="preserve"> </w:t>
            </w:r>
            <w:r>
              <w:rPr>
                <w:spacing w:val="-1"/>
              </w:rPr>
              <w:t>计</w:t>
            </w:r>
            <w:r>
              <w:rPr>
                <w:rFonts w:ascii="Times New Roman" w:hAnsi="Times New Roman" w:eastAsia="Times New Roman" w:cs="Times New Roman"/>
                <w:spacing w:val="-1"/>
              </w:rPr>
              <w:t>)</w:t>
            </w:r>
            <w:r>
              <w:rPr>
                <w:spacing w:val="-1"/>
              </w:rPr>
              <w:t>，</w:t>
            </w:r>
            <w:r>
              <w:rPr>
                <w:rFonts w:ascii="Times New Roman" w:hAnsi="Times New Roman" w:eastAsia="Times New Roman" w:cs="Times New Roman"/>
                <w:spacing w:val="-1"/>
              </w:rPr>
              <w:t>mg/L</w:t>
            </w:r>
          </w:p>
        </w:tc>
        <w:tc>
          <w:tcPr>
            <w:tcW w:w="1163" w:type="dxa"/>
            <w:vAlign w:val="top"/>
          </w:tcPr>
          <w:p>
            <w:pPr>
              <w:ind w:left="33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≤50.0</w:t>
            </w:r>
          </w:p>
        </w:tc>
        <w:tc>
          <w:tcPr>
            <w:tcW w:w="2613" w:type="dxa"/>
            <w:vAlign w:val="top"/>
            <w:vMerge w:val="continue"/>
            <w:tcBorders>
              <w:top w:val="nil"/>
              <w:bottom w:val="nil"/>
            </w:tcBorders>
          </w:tcPr>
          <w:p>
            <w:pPr>
              <w:rPr>
                <w:rFonts w:ascii="Arial"/>
                <w:sz w:val="21"/>
              </w:rPr>
            </w:pPr>
            <w:r/>
          </w:p>
        </w:tc>
        <w:tc>
          <w:tcPr>
            <w:tcW w:w="1530" w:type="dxa"/>
            <w:vAlign w:val="top"/>
          </w:tcPr>
          <w:p>
            <w:pPr>
              <w:ind w:left="57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w:t>
            </w:r>
          </w:p>
        </w:tc>
        <w:tc>
          <w:tcPr>
            <w:tcW w:w="1440" w:type="dxa"/>
            <w:vAlign w:val="top"/>
            <w:vMerge w:val="continue"/>
            <w:tcBorders>
              <w:top w:val="nil"/>
              <w:bottom w:val="nil"/>
            </w:tcBorders>
          </w:tcPr>
          <w:p>
            <w:pPr>
              <w:rPr>
                <w:rFonts w:ascii="Arial"/>
                <w:sz w:val="21"/>
              </w:rPr>
            </w:pPr>
            <w:r/>
          </w:p>
        </w:tc>
      </w:tr>
      <w:tr>
        <w:trPr>
          <w:trHeight w:val="278" w:hRule="atLeast"/>
        </w:trPr>
        <w:tc>
          <w:tcPr>
            <w:tcW w:w="1839" w:type="dxa"/>
            <w:vAlign w:val="top"/>
          </w:tcPr>
          <w:p>
            <w:pPr>
              <w:pStyle w:val="TableText"/>
              <w:ind w:left="18"/>
              <w:spacing w:before="35" w:line="215" w:lineRule="auto"/>
              <w:rPr>
                <w:rFonts w:ascii="Times New Roman" w:hAnsi="Times New Roman" w:eastAsia="Times New Roman" w:cs="Times New Roman"/>
              </w:rPr>
            </w:pPr>
            <w:r>
              <w:rPr>
                <w:spacing w:val="-4"/>
              </w:rPr>
              <w:t>总铬</w:t>
            </w:r>
            <w:r>
              <w:rPr>
                <w:rFonts w:ascii="Times New Roman" w:hAnsi="Times New Roman" w:eastAsia="Times New Roman" w:cs="Times New Roman"/>
                <w:spacing w:val="-4"/>
              </w:rPr>
              <w:t>(</w:t>
            </w:r>
            <w:r>
              <w:rPr>
                <w:spacing w:val="-4"/>
              </w:rPr>
              <w:t>以</w:t>
            </w:r>
            <w:r>
              <w:rPr>
                <w:spacing w:val="-52"/>
              </w:rPr>
              <w:t xml:space="preserve"> </w:t>
            </w:r>
            <w:r>
              <w:rPr>
                <w:rFonts w:ascii="Times New Roman" w:hAnsi="Times New Roman" w:eastAsia="Times New Roman" w:cs="Times New Roman"/>
                <w:spacing w:val="-4"/>
              </w:rPr>
              <w:t>Cr </w:t>
            </w:r>
            <w:r>
              <w:rPr>
                <w:spacing w:val="-4"/>
              </w:rPr>
              <w:t>计</w:t>
            </w:r>
            <w:r>
              <w:rPr>
                <w:rFonts w:ascii="Times New Roman" w:hAnsi="Times New Roman" w:eastAsia="Times New Roman" w:cs="Times New Roman"/>
                <w:spacing w:val="-4"/>
              </w:rPr>
              <w:t>)</w:t>
            </w:r>
            <w:r>
              <w:rPr>
                <w:spacing w:val="-4"/>
              </w:rPr>
              <w:t>，</w:t>
            </w:r>
            <w:r>
              <w:rPr>
                <w:rFonts w:ascii="Times New Roman" w:hAnsi="Times New Roman" w:eastAsia="Times New Roman" w:cs="Times New Roman"/>
                <w:spacing w:val="-4"/>
              </w:rPr>
              <w:t>mg/L</w:t>
            </w:r>
          </w:p>
        </w:tc>
        <w:tc>
          <w:tcPr>
            <w:tcW w:w="1163" w:type="dxa"/>
            <w:vAlign w:val="top"/>
          </w:tcPr>
          <w:p>
            <w:pPr>
              <w:ind w:left="33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≤50.0</w:t>
            </w:r>
          </w:p>
        </w:tc>
        <w:tc>
          <w:tcPr>
            <w:tcW w:w="2613" w:type="dxa"/>
            <w:vAlign w:val="top"/>
            <w:vMerge w:val="continue"/>
            <w:tcBorders>
              <w:top w:val="nil"/>
              <w:bottom w:val="nil"/>
            </w:tcBorders>
          </w:tcPr>
          <w:p>
            <w:pPr>
              <w:rPr>
                <w:rFonts w:ascii="Arial"/>
                <w:sz w:val="21"/>
              </w:rPr>
            </w:pPr>
            <w:r/>
          </w:p>
        </w:tc>
        <w:tc>
          <w:tcPr>
            <w:tcW w:w="1530" w:type="dxa"/>
            <w:vAlign w:val="top"/>
          </w:tcPr>
          <w:p>
            <w:pPr>
              <w:ind w:left="57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≤1.3</w:t>
            </w:r>
          </w:p>
        </w:tc>
        <w:tc>
          <w:tcPr>
            <w:tcW w:w="1440" w:type="dxa"/>
            <w:vAlign w:val="top"/>
            <w:vMerge w:val="continue"/>
            <w:tcBorders>
              <w:top w:val="nil"/>
              <w:bottom w:val="nil"/>
            </w:tcBorders>
          </w:tcPr>
          <w:p>
            <w:pPr>
              <w:rPr>
                <w:rFonts w:ascii="Arial"/>
                <w:sz w:val="21"/>
              </w:rPr>
            </w:pPr>
            <w:r/>
          </w:p>
        </w:tc>
      </w:tr>
      <w:tr>
        <w:trPr>
          <w:trHeight w:val="519" w:hRule="atLeast"/>
        </w:trPr>
        <w:tc>
          <w:tcPr>
            <w:tcW w:w="1839" w:type="dxa"/>
            <w:vAlign w:val="top"/>
          </w:tcPr>
          <w:p>
            <w:pPr>
              <w:pStyle w:val="TableText"/>
              <w:ind w:left="155"/>
              <w:spacing w:before="32" w:line="221" w:lineRule="auto"/>
              <w:rPr/>
            </w:pPr>
            <w:r>
              <w:rPr>
                <w:spacing w:val="4"/>
              </w:rPr>
              <w:t>总汞</w:t>
            </w:r>
            <w:r>
              <w:rPr>
                <w:rFonts w:ascii="Times New Roman" w:hAnsi="Times New Roman" w:eastAsia="Times New Roman" w:cs="Times New Roman"/>
                <w:spacing w:val="4"/>
              </w:rPr>
              <w:t>(</w:t>
            </w:r>
            <w:r>
              <w:rPr>
                <w:spacing w:val="4"/>
              </w:rPr>
              <w:t>以</w:t>
            </w:r>
            <w:r>
              <w:rPr>
                <w:spacing w:val="-36"/>
              </w:rPr>
              <w:t xml:space="preserve"> </w:t>
            </w:r>
            <w:r>
              <w:rPr>
                <w:rFonts w:ascii="Times New Roman" w:hAnsi="Times New Roman" w:eastAsia="Times New Roman" w:cs="Times New Roman"/>
              </w:rPr>
              <w:t>Hg</w:t>
            </w:r>
            <w:r>
              <w:rPr>
                <w:rFonts w:ascii="Times New Roman" w:hAnsi="Times New Roman" w:eastAsia="Times New Roman" w:cs="Times New Roman"/>
                <w:spacing w:val="4"/>
              </w:rPr>
              <w:t xml:space="preserve"> </w:t>
            </w:r>
            <w:r>
              <w:rPr>
                <w:spacing w:val="4"/>
              </w:rPr>
              <w:t>计</w:t>
            </w:r>
            <w:r>
              <w:rPr>
                <w:rFonts w:ascii="Times New Roman" w:hAnsi="Times New Roman" w:eastAsia="Times New Roman" w:cs="Times New Roman"/>
                <w:spacing w:val="4"/>
              </w:rPr>
              <w:t>)</w:t>
            </w:r>
            <w:r>
              <w:rPr>
                <w:spacing w:val="4"/>
              </w:rPr>
              <w:t>，</w:t>
            </w:r>
          </w:p>
          <w:p>
            <w:pPr>
              <w:ind w:left="690"/>
              <w:spacing w:before="5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1163" w:type="dxa"/>
            <w:vAlign w:val="top"/>
          </w:tcPr>
          <w:p>
            <w:pPr>
              <w:ind w:left="390"/>
              <w:spacing w:before="1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≤5.0</w:t>
            </w:r>
          </w:p>
        </w:tc>
        <w:tc>
          <w:tcPr>
            <w:tcW w:w="2613" w:type="dxa"/>
            <w:vAlign w:val="top"/>
            <w:vMerge w:val="continue"/>
            <w:tcBorders>
              <w:top w:val="nil"/>
            </w:tcBorders>
          </w:tcPr>
          <w:p>
            <w:pPr>
              <w:rPr>
                <w:rFonts w:ascii="Arial"/>
                <w:sz w:val="21"/>
              </w:rPr>
            </w:pPr>
            <w:r/>
          </w:p>
        </w:tc>
        <w:tc>
          <w:tcPr>
            <w:tcW w:w="1530" w:type="dxa"/>
            <w:vAlign w:val="top"/>
          </w:tcPr>
          <w:p>
            <w:pPr>
              <w:ind w:left="577"/>
              <w:spacing w:before="1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≤0.4</w:t>
            </w:r>
          </w:p>
        </w:tc>
        <w:tc>
          <w:tcPr>
            <w:tcW w:w="1440" w:type="dxa"/>
            <w:vAlign w:val="top"/>
            <w:vMerge w:val="continue"/>
            <w:tcBorders>
              <w:top w:val="nil"/>
            </w:tcBorders>
          </w:tcPr>
          <w:p>
            <w:pPr>
              <w:rPr>
                <w:rFonts w:ascii="Arial"/>
                <w:sz w:val="21"/>
              </w:rPr>
            </w:pPr>
            <w:r/>
          </w:p>
        </w:tc>
      </w:tr>
      <w:tr>
        <w:trPr>
          <w:trHeight w:val="548" w:hRule="atLeast"/>
        </w:trPr>
        <w:tc>
          <w:tcPr>
            <w:tcW w:w="1839" w:type="dxa"/>
            <w:vAlign w:val="top"/>
          </w:tcPr>
          <w:p>
            <w:pPr>
              <w:pStyle w:val="TableText"/>
              <w:ind w:left="78"/>
              <w:spacing w:before="34" w:line="221" w:lineRule="auto"/>
              <w:rPr/>
            </w:pPr>
            <w:r>
              <w:rPr>
                <w:spacing w:val="14"/>
              </w:rPr>
              <w:t>总盐浓度</w:t>
            </w:r>
            <w:r>
              <w:rPr>
                <w:rFonts w:ascii="Times New Roman" w:hAnsi="Times New Roman" w:eastAsia="Times New Roman" w:cs="Times New Roman"/>
                <w:spacing w:val="14"/>
              </w:rPr>
              <w:t>(</w:t>
            </w:r>
            <w:r>
              <w:rPr>
                <w:spacing w:val="14"/>
              </w:rPr>
              <w:t>以</w:t>
            </w:r>
            <w:r>
              <w:rPr>
                <w:rFonts w:ascii="Times New Roman" w:hAnsi="Times New Roman" w:eastAsia="Times New Roman" w:cs="Times New Roman"/>
              </w:rPr>
              <w:t>EC</w:t>
            </w:r>
            <w:r>
              <w:rPr>
                <w:rFonts w:ascii="Times New Roman" w:hAnsi="Times New Roman" w:eastAsia="Times New Roman" w:cs="Times New Roman"/>
                <w:spacing w:val="14"/>
              </w:rPr>
              <w:t xml:space="preserve"> </w:t>
            </w:r>
            <w:r>
              <w:rPr>
                <w:spacing w:val="14"/>
              </w:rPr>
              <w:t>值</w:t>
            </w:r>
          </w:p>
          <w:p>
            <w:pPr>
              <w:pStyle w:val="TableText"/>
              <w:ind w:left="382"/>
              <w:spacing w:before="31" w:line="215" w:lineRule="auto"/>
              <w:rPr>
                <w:rFonts w:ascii="Times New Roman" w:hAnsi="Times New Roman" w:eastAsia="Times New Roman" w:cs="Times New Roman"/>
              </w:rPr>
            </w:pPr>
            <w:r>
              <w:rPr>
                <w:spacing w:val="10"/>
              </w:rPr>
              <w:t>计，</w:t>
            </w:r>
            <w:r>
              <w:rPr>
                <w:rFonts w:ascii="Times New Roman" w:hAnsi="Times New Roman" w:eastAsia="Times New Roman" w:cs="Times New Roman"/>
              </w:rPr>
              <w:t>mS</w:t>
            </w:r>
            <w:r>
              <w:rPr>
                <w:rFonts w:ascii="Times New Roman" w:hAnsi="Times New Roman" w:eastAsia="Times New Roman" w:cs="Times New Roman"/>
                <w:spacing w:val="10"/>
              </w:rPr>
              <w:t>/</w:t>
            </w:r>
            <w:r>
              <w:rPr>
                <w:rFonts w:ascii="Times New Roman" w:hAnsi="Times New Roman" w:eastAsia="Times New Roman" w:cs="Times New Roman"/>
              </w:rPr>
              <w:t>cm</w:t>
            </w:r>
            <w:r>
              <w:rPr>
                <w:rFonts w:ascii="Times New Roman" w:hAnsi="Times New Roman" w:eastAsia="Times New Roman" w:cs="Times New Roman"/>
                <w:spacing w:val="10"/>
              </w:rPr>
              <w:t>)</w:t>
            </w:r>
          </w:p>
        </w:tc>
        <w:tc>
          <w:tcPr>
            <w:tcW w:w="1163" w:type="dxa"/>
            <w:vAlign w:val="top"/>
          </w:tcPr>
          <w:p>
            <w:pPr>
              <w:ind w:left="390"/>
              <w:spacing w:before="2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w:t>
            </w:r>
          </w:p>
        </w:tc>
        <w:tc>
          <w:tcPr>
            <w:tcW w:w="2613" w:type="dxa"/>
            <w:vAlign w:val="top"/>
          </w:tcPr>
          <w:p>
            <w:pPr>
              <w:pStyle w:val="TableText"/>
              <w:ind w:left="65"/>
              <w:spacing w:before="168" w:line="228" w:lineRule="auto"/>
              <w:rPr/>
            </w:pPr>
            <w:r>
              <w:rPr>
                <w:spacing w:val="4"/>
              </w:rPr>
              <w:t>按照 </w:t>
            </w:r>
            <w:r>
              <w:rPr>
                <w:rFonts w:ascii="Times New Roman" w:hAnsi="Times New Roman" w:eastAsia="Times New Roman" w:cs="Times New Roman"/>
              </w:rPr>
              <w:t>GB</w:t>
            </w:r>
            <w:r>
              <w:rPr>
                <w:rFonts w:ascii="Times New Roman" w:hAnsi="Times New Roman" w:eastAsia="Times New Roman" w:cs="Times New Roman"/>
                <w:spacing w:val="27"/>
              </w:rPr>
              <w:t xml:space="preserve"> </w:t>
            </w:r>
            <w:r>
              <w:rPr>
                <w:rFonts w:ascii="Times New Roman" w:hAnsi="Times New Roman" w:eastAsia="Times New Roman" w:cs="Times New Roman"/>
                <w:spacing w:val="4"/>
              </w:rPr>
              <w:t>17323</w:t>
            </w:r>
            <w:r>
              <w:rPr>
                <w:rFonts w:ascii="Times New Roman" w:hAnsi="Times New Roman" w:eastAsia="Times New Roman" w:cs="Times New Roman"/>
                <w:spacing w:val="29"/>
              </w:rPr>
              <w:t xml:space="preserve"> </w:t>
            </w:r>
            <w:r>
              <w:rPr>
                <w:spacing w:val="4"/>
              </w:rPr>
              <w:t>的规定执行</w:t>
            </w:r>
          </w:p>
        </w:tc>
        <w:tc>
          <w:tcPr>
            <w:tcW w:w="1530" w:type="dxa"/>
            <w:vAlign w:val="top"/>
          </w:tcPr>
          <w:p>
            <w:pPr>
              <w:pStyle w:val="TableText"/>
              <w:spacing w:before="168" w:line="229" w:lineRule="auto"/>
              <w:jc w:val="right"/>
              <w:rPr/>
            </w:pPr>
            <w:r>
              <w:rPr>
                <w:rFonts w:ascii="Times New Roman" w:hAnsi="Times New Roman" w:eastAsia="Times New Roman" w:cs="Times New Roman"/>
                <w:spacing w:val="-5"/>
              </w:rPr>
              <w:t>≤1.5</w:t>
            </w:r>
            <w:r>
              <w:rPr>
                <w:spacing w:val="-5"/>
              </w:rPr>
              <w:t>（土壤施用）</w:t>
            </w:r>
          </w:p>
        </w:tc>
        <w:tc>
          <w:tcPr>
            <w:tcW w:w="1440" w:type="dxa"/>
            <w:vAlign w:val="top"/>
          </w:tcPr>
          <w:p>
            <w:pPr>
              <w:ind w:left="316"/>
              <w:spacing w:before="2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6"/>
              </w:rPr>
              <w:t>17323</w:t>
            </w:r>
          </w:p>
        </w:tc>
      </w:tr>
      <w:tr>
        <w:trPr>
          <w:trHeight w:val="821" w:hRule="atLeast"/>
        </w:trPr>
        <w:tc>
          <w:tcPr>
            <w:tcW w:w="1839" w:type="dxa"/>
            <w:vAlign w:val="top"/>
          </w:tcPr>
          <w:p>
            <w:pPr>
              <w:pStyle w:val="TableText"/>
              <w:ind w:left="587"/>
              <w:spacing w:before="35" w:line="228" w:lineRule="auto"/>
              <w:rPr>
                <w:rFonts w:ascii="Times New Roman" w:hAnsi="Times New Roman" w:eastAsia="Times New Roman" w:cs="Times New Roman"/>
              </w:rPr>
            </w:pPr>
            <w:r>
              <w:rPr>
                <w:spacing w:val="4"/>
              </w:rPr>
              <w:t>总养分</w:t>
            </w:r>
            <w:r>
              <w:rPr>
                <w:rFonts w:ascii="Times New Roman" w:hAnsi="Times New Roman" w:eastAsia="Times New Roman" w:cs="Times New Roman"/>
                <w:spacing w:val="4"/>
              </w:rPr>
              <w:t>/</w:t>
            </w:r>
          </w:p>
          <w:p>
            <w:pPr>
              <w:pStyle w:val="TableText"/>
              <w:ind w:left="143"/>
              <w:spacing w:before="24" w:line="236" w:lineRule="auto"/>
              <w:rPr/>
            </w:pPr>
            <w:r>
              <w:rPr>
                <w:spacing w:val="3"/>
              </w:rPr>
              <w:t>（</w:t>
            </w:r>
            <w:r>
              <w:rPr>
                <w:rFonts w:ascii="Times New Roman" w:hAnsi="Times New Roman" w:eastAsia="Times New Roman" w:cs="Times New Roman"/>
                <w:spacing w:val="3"/>
              </w:rPr>
              <w:t>N+P</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pacing w:val="3"/>
              </w:rPr>
              <w:t>O</w:t>
            </w:r>
            <w:r>
              <w:rPr>
                <w:rFonts w:ascii="Times New Roman" w:hAnsi="Times New Roman" w:eastAsia="Times New Roman" w:cs="Times New Roman"/>
                <w:sz w:val="13"/>
                <w:szCs w:val="13"/>
                <w:spacing w:val="3"/>
                <w:position w:val="-1"/>
              </w:rPr>
              <w:t>5</w:t>
            </w:r>
            <w:r>
              <w:rPr>
                <w:rFonts w:ascii="Times New Roman" w:hAnsi="Times New Roman" w:eastAsia="Times New Roman" w:cs="Times New Roman"/>
                <w:spacing w:val="3"/>
              </w:rPr>
              <w:t>+K</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pacing w:val="3"/>
              </w:rPr>
              <w:t>O</w:t>
            </w:r>
            <w:r>
              <w:rPr>
                <w:spacing w:val="3"/>
              </w:rPr>
              <w:t>）</w:t>
            </w:r>
          </w:p>
          <w:p>
            <w:pPr>
              <w:pStyle w:val="TableText"/>
              <w:ind w:left="579"/>
              <w:spacing w:before="18" w:line="213" w:lineRule="auto"/>
              <w:rPr/>
            </w:pPr>
            <w:r>
              <w:rPr/>
              <w:t>（</w:t>
            </w:r>
            <w:r>
              <w:rPr>
                <w:rFonts w:ascii="Times New Roman" w:hAnsi="Times New Roman" w:eastAsia="Times New Roman" w:cs="Times New Roman"/>
              </w:rPr>
              <w:t>g/L</w:t>
            </w:r>
            <w:r>
              <w:rPr/>
              <w:t>）</w:t>
            </w:r>
          </w:p>
        </w:tc>
        <w:tc>
          <w:tcPr>
            <w:tcW w:w="1163" w:type="dxa"/>
            <w:vAlign w:val="top"/>
          </w:tcPr>
          <w:p>
            <w:pPr>
              <w:spacing w:line="371" w:lineRule="auto"/>
              <w:rPr>
                <w:rFonts w:ascii="Arial"/>
                <w:sz w:val="21"/>
              </w:rPr>
            </w:pPr>
            <w:r/>
          </w:p>
          <w:p>
            <w:pPr>
              <w:ind w:left="516"/>
              <w:spacing w:before="5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2613" w:type="dxa"/>
            <w:vAlign w:val="top"/>
          </w:tcPr>
          <w:p>
            <w:pPr>
              <w:spacing w:line="371" w:lineRule="auto"/>
              <w:rPr>
                <w:rFonts w:ascii="Arial"/>
                <w:sz w:val="21"/>
              </w:rPr>
            </w:pPr>
            <w:r/>
          </w:p>
          <w:p>
            <w:pPr>
              <w:ind w:left="1242"/>
              <w:spacing w:before="5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w:t>
            </w:r>
          </w:p>
        </w:tc>
        <w:tc>
          <w:tcPr>
            <w:tcW w:w="1530" w:type="dxa"/>
            <w:vAlign w:val="top"/>
          </w:tcPr>
          <w:p>
            <w:pPr>
              <w:spacing w:line="371" w:lineRule="auto"/>
              <w:rPr>
                <w:rFonts w:ascii="Arial"/>
                <w:sz w:val="21"/>
              </w:rPr>
            </w:pPr>
            <w:r/>
          </w:p>
          <w:p>
            <w:pPr>
              <w:ind w:left="703"/>
              <w:spacing w:before="5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1440" w:type="dxa"/>
            <w:vAlign w:val="top"/>
          </w:tcPr>
          <w:p>
            <w:pPr>
              <w:pStyle w:val="TableText"/>
              <w:ind w:left="260" w:right="193" w:hanging="105"/>
              <w:spacing w:before="218" w:line="259" w:lineRule="auto"/>
              <w:rPr>
                <w:rFonts w:ascii="Times New Roman" w:hAnsi="Times New Roman" w:eastAsia="Times New Roman" w:cs="Times New Roman"/>
              </w:rPr>
            </w:pPr>
            <w:r>
              <w:rPr>
                <w:rFonts w:ascii="Times New Roman" w:hAnsi="Times New Roman" w:eastAsia="Times New Roman" w:cs="Times New Roman"/>
              </w:rPr>
              <w:t>NY</w:t>
            </w:r>
            <w:r>
              <w:rPr>
                <w:rFonts w:ascii="Times New Roman" w:hAnsi="Times New Roman" w:eastAsia="Times New Roman" w:cs="Times New Roman"/>
                <w:spacing w:val="2"/>
              </w:rPr>
              <w:t>/T1977</w:t>
            </w:r>
            <w:r>
              <w:rPr>
                <w:spacing w:val="2"/>
              </w:rPr>
              <w:t>、</w:t>
            </w:r>
            <w:r>
              <w:rPr>
                <w:spacing w:val="4"/>
              </w:rPr>
              <w:t xml:space="preserve"> </w:t>
            </w:r>
            <w:r>
              <w:rPr>
                <w:rFonts w:ascii="Times New Roman" w:hAnsi="Times New Roman" w:eastAsia="Times New Roman" w:cs="Times New Roman"/>
              </w:rPr>
              <w:t>NY</w:t>
            </w:r>
            <w:r>
              <w:rPr>
                <w:rFonts w:ascii="Times New Roman" w:hAnsi="Times New Roman" w:eastAsia="Times New Roman" w:cs="Times New Roman"/>
                <w:spacing w:val="7"/>
              </w:rPr>
              <w:t>/T2540</w:t>
            </w:r>
          </w:p>
        </w:tc>
      </w:tr>
      <w:tr>
        <w:trPr>
          <w:trHeight w:val="278" w:hRule="atLeast"/>
        </w:trPr>
        <w:tc>
          <w:tcPr>
            <w:tcW w:w="1839" w:type="dxa"/>
            <w:vAlign w:val="top"/>
          </w:tcPr>
          <w:p>
            <w:pPr>
              <w:pStyle w:val="TableText"/>
              <w:ind w:left="224"/>
              <w:spacing w:before="37" w:line="213" w:lineRule="auto"/>
              <w:rPr/>
            </w:pPr>
            <w:r>
              <w:rPr>
                <w:spacing w:val="5"/>
              </w:rPr>
              <w:t>有机质</w:t>
            </w:r>
            <w:r>
              <w:rPr>
                <w:rFonts w:ascii="Times New Roman" w:hAnsi="Times New Roman" w:eastAsia="Times New Roman" w:cs="Times New Roman"/>
                <w:spacing w:val="5"/>
              </w:rPr>
              <w:t>/</w:t>
            </w:r>
            <w:r>
              <w:rPr>
                <w:spacing w:val="5"/>
              </w:rPr>
              <w:t>（</w:t>
            </w:r>
            <w:r>
              <w:rPr>
                <w:rFonts w:ascii="Times New Roman" w:hAnsi="Times New Roman" w:eastAsia="Times New Roman" w:cs="Times New Roman"/>
                <w:spacing w:val="5"/>
              </w:rPr>
              <w:t>g/L</w:t>
            </w:r>
            <w:r>
              <w:rPr>
                <w:spacing w:val="5"/>
              </w:rPr>
              <w:t>）</w:t>
            </w:r>
          </w:p>
        </w:tc>
        <w:tc>
          <w:tcPr>
            <w:tcW w:w="1163" w:type="dxa"/>
            <w:vAlign w:val="top"/>
          </w:tcPr>
          <w:p>
            <w:pPr>
              <w:ind w:left="516"/>
              <w:spacing w:before="161"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2613" w:type="dxa"/>
            <w:vAlign w:val="top"/>
          </w:tcPr>
          <w:p>
            <w:pPr>
              <w:ind w:left="1242"/>
              <w:spacing w:before="161"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w:t>
            </w:r>
          </w:p>
        </w:tc>
        <w:tc>
          <w:tcPr>
            <w:tcW w:w="1530" w:type="dxa"/>
            <w:vAlign w:val="top"/>
          </w:tcPr>
          <w:p>
            <w:pPr>
              <w:ind w:left="703"/>
              <w:spacing w:before="161"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1440" w:type="dxa"/>
            <w:vAlign w:val="top"/>
          </w:tcPr>
          <w:p>
            <w:pPr>
              <w:ind w:left="405"/>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NY</w:t>
            </w:r>
            <w:r>
              <w:rPr>
                <w:rFonts w:ascii="Times New Roman" w:hAnsi="Times New Roman" w:eastAsia="Times New Roman" w:cs="Times New Roman"/>
                <w:sz w:val="20"/>
                <w:szCs w:val="20"/>
                <w:spacing w:val="10"/>
              </w:rPr>
              <w:t>525</w:t>
            </w:r>
          </w:p>
        </w:tc>
      </w:tr>
      <w:tr>
        <w:trPr>
          <w:trHeight w:val="281" w:hRule="atLeast"/>
        </w:trPr>
        <w:tc>
          <w:tcPr>
            <w:tcW w:w="1839" w:type="dxa"/>
            <w:vAlign w:val="top"/>
          </w:tcPr>
          <w:p>
            <w:pPr>
              <w:pStyle w:val="TableText"/>
              <w:ind w:left="224"/>
              <w:spacing w:before="34" w:line="218" w:lineRule="auto"/>
              <w:rPr/>
            </w:pPr>
            <w:r>
              <w:rPr>
                <w:spacing w:val="5"/>
              </w:rPr>
              <w:t>腐植酸</w:t>
            </w:r>
            <w:r>
              <w:rPr>
                <w:rFonts w:ascii="Times New Roman" w:hAnsi="Times New Roman" w:eastAsia="Times New Roman" w:cs="Times New Roman"/>
                <w:spacing w:val="5"/>
              </w:rPr>
              <w:t>/</w:t>
            </w:r>
            <w:r>
              <w:rPr>
                <w:spacing w:val="5"/>
              </w:rPr>
              <w:t>（</w:t>
            </w:r>
            <w:r>
              <w:rPr>
                <w:rFonts w:ascii="Times New Roman" w:hAnsi="Times New Roman" w:eastAsia="Times New Roman" w:cs="Times New Roman"/>
                <w:spacing w:val="5"/>
              </w:rPr>
              <w:t>g/L</w:t>
            </w:r>
            <w:r>
              <w:rPr>
                <w:spacing w:val="5"/>
              </w:rPr>
              <w:t>）</w:t>
            </w:r>
          </w:p>
        </w:tc>
        <w:tc>
          <w:tcPr>
            <w:tcW w:w="1163" w:type="dxa"/>
            <w:vAlign w:val="top"/>
          </w:tcPr>
          <w:p>
            <w:pPr>
              <w:ind w:left="516"/>
              <w:spacing w:before="159"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2613" w:type="dxa"/>
            <w:vAlign w:val="top"/>
          </w:tcPr>
          <w:p>
            <w:pPr>
              <w:ind w:left="1242"/>
              <w:spacing w:before="159"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w:t>
            </w:r>
          </w:p>
        </w:tc>
        <w:tc>
          <w:tcPr>
            <w:tcW w:w="1530" w:type="dxa"/>
            <w:vAlign w:val="top"/>
          </w:tcPr>
          <w:p>
            <w:pPr>
              <w:ind w:left="703"/>
              <w:spacing w:before="159"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1440" w:type="dxa"/>
            <w:vAlign w:val="top"/>
          </w:tcPr>
          <w:p>
            <w:pPr>
              <w:ind w:left="261"/>
              <w:spacing w:before="6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NY</w:t>
            </w:r>
            <w:r>
              <w:rPr>
                <w:rFonts w:ascii="Times New Roman" w:hAnsi="Times New Roman" w:eastAsia="Times New Roman" w:cs="Times New Roman"/>
                <w:sz w:val="20"/>
                <w:szCs w:val="20"/>
                <w:spacing w:val="7"/>
              </w:rPr>
              <w:t>/T1971</w:t>
            </w:r>
          </w:p>
        </w:tc>
      </w:tr>
    </w:tbl>
    <w:p>
      <w:pPr>
        <w:ind w:left="54"/>
        <w:spacing w:before="162" w:line="223" w:lineRule="auto"/>
        <w:outlineLvl w:val="2"/>
        <w:rPr>
          <w:rFonts w:ascii="SimHei" w:hAnsi="SimHei" w:eastAsia="SimHei" w:cs="SimHei"/>
          <w:sz w:val="28"/>
          <w:szCs w:val="28"/>
        </w:rPr>
      </w:pPr>
      <w:bookmarkStart w:name="bookmark49" w:id="60"/>
      <w:bookmarkEnd w:id="60"/>
      <w:r>
        <w:rPr>
          <w:rFonts w:ascii="Times New Roman" w:hAnsi="Times New Roman" w:eastAsia="Times New Roman" w:cs="Times New Roman"/>
          <w:sz w:val="28"/>
          <w:szCs w:val="28"/>
          <w:spacing w:val="-1"/>
        </w:rPr>
        <w:t>3.1.5 </w:t>
      </w:r>
      <w:r>
        <w:rPr>
          <w:rFonts w:ascii="SimHei" w:hAnsi="SimHei" w:eastAsia="SimHei" w:cs="SimHei"/>
          <w:sz w:val="28"/>
          <w:szCs w:val="28"/>
          <w:spacing w:val="-1"/>
        </w:rPr>
        <w:t>沼肥产品质量控制及检测</w:t>
      </w:r>
    </w:p>
    <w:p>
      <w:pPr>
        <w:pStyle w:val="BodyText"/>
        <w:spacing w:line="241" w:lineRule="auto"/>
        <w:rPr/>
      </w:pPr>
      <w:r/>
    </w:p>
    <w:p>
      <w:pPr>
        <w:ind w:left="551"/>
        <w:spacing w:before="79" w:line="219" w:lineRule="auto"/>
        <w:rPr>
          <w:rFonts w:ascii="SimSun" w:hAnsi="SimSun" w:eastAsia="SimSun" w:cs="SimSun"/>
          <w:sz w:val="24"/>
          <w:szCs w:val="24"/>
        </w:rPr>
      </w:pP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5"/>
        </w:rPr>
        <w:t>、沼肥质量控制及检测要求</w:t>
      </w:r>
    </w:p>
    <w:p>
      <w:pPr>
        <w:ind w:left="51" w:right="43" w:firstLine="481"/>
        <w:spacing w:before="182" w:line="360" w:lineRule="auto"/>
        <w:rPr>
          <w:rFonts w:ascii="SimSun" w:hAnsi="SimSun" w:eastAsia="SimSun" w:cs="SimSun"/>
          <w:sz w:val="24"/>
          <w:szCs w:val="24"/>
        </w:rPr>
      </w:pPr>
      <w:r>
        <w:rPr>
          <w:rFonts w:ascii="SimSun" w:hAnsi="SimSun" w:eastAsia="SimSun" w:cs="SimSun"/>
          <w:sz w:val="24"/>
          <w:szCs w:val="24"/>
          <w:spacing w:val="3"/>
        </w:rPr>
        <w:t>本环评要求建设单位验收之前（或试生产时）对沼液、沼</w:t>
      </w:r>
      <w:r>
        <w:rPr>
          <w:rFonts w:ascii="SimSun" w:hAnsi="SimSun" w:eastAsia="SimSun" w:cs="SimSun"/>
          <w:sz w:val="24"/>
          <w:szCs w:val="24"/>
          <w:spacing w:val="2"/>
        </w:rPr>
        <w:t>渣进行检验检测，</w:t>
      </w:r>
      <w:r>
        <w:rPr>
          <w:rFonts w:ascii="SimSun" w:hAnsi="SimSun" w:eastAsia="SimSun" w:cs="SimSun"/>
          <w:sz w:val="24"/>
          <w:szCs w:val="24"/>
        </w:rPr>
        <w:t xml:space="preserve"> </w:t>
      </w:r>
      <w:r>
        <w:rPr>
          <w:rFonts w:ascii="SimSun" w:hAnsi="SimSun" w:eastAsia="SimSun" w:cs="SimSun"/>
          <w:sz w:val="24"/>
          <w:szCs w:val="24"/>
          <w:spacing w:val="-2"/>
        </w:rPr>
        <w:t>达到《沼肥》（</w:t>
      </w:r>
      <w:r>
        <w:rPr>
          <w:rFonts w:ascii="Times New Roman" w:hAnsi="Times New Roman" w:eastAsia="Times New Roman" w:cs="Times New Roman"/>
          <w:sz w:val="24"/>
          <w:szCs w:val="24"/>
          <w:spacing w:val="-2"/>
        </w:rPr>
        <w:t>NY/T2596-2022</w:t>
      </w:r>
      <w:r>
        <w:rPr>
          <w:rFonts w:ascii="SimSun" w:hAnsi="SimSun" w:eastAsia="SimSun" w:cs="SimSun"/>
          <w:sz w:val="24"/>
          <w:szCs w:val="24"/>
          <w:spacing w:val="-2"/>
        </w:rPr>
        <w:t>）、《农用沼液》（</w:t>
      </w:r>
      <w:r>
        <w:rPr>
          <w:rFonts w:ascii="Times New Roman" w:hAnsi="Times New Roman" w:eastAsia="Times New Roman" w:cs="Times New Roman"/>
          <w:sz w:val="24"/>
          <w:szCs w:val="24"/>
          <w:spacing w:val="-2"/>
        </w:rPr>
        <w:t>GB/T40750-2021</w:t>
      </w:r>
      <w:r>
        <w:rPr>
          <w:rFonts w:ascii="SimSun" w:hAnsi="SimSun" w:eastAsia="SimSun" w:cs="SimSun"/>
          <w:sz w:val="24"/>
          <w:szCs w:val="24"/>
          <w:spacing w:val="-2"/>
        </w:rPr>
        <w:t>）等产品质量</w:t>
      </w:r>
      <w:r>
        <w:rPr>
          <w:rFonts w:ascii="SimSun" w:hAnsi="SimSun" w:eastAsia="SimSun" w:cs="SimSun"/>
          <w:sz w:val="24"/>
          <w:szCs w:val="24"/>
          <w:spacing w:val="5"/>
        </w:rPr>
        <w:t xml:space="preserve"> </w:t>
      </w:r>
      <w:r>
        <w:rPr>
          <w:rFonts w:ascii="SimSun" w:hAnsi="SimSun" w:eastAsia="SimSun" w:cs="SimSun"/>
          <w:sz w:val="24"/>
          <w:szCs w:val="24"/>
          <w:spacing w:val="4"/>
        </w:rPr>
        <w:t>标准要求后，方可投产运行。根据《沼肥》（</w:t>
      </w:r>
      <w:r>
        <w:rPr>
          <w:rFonts w:ascii="Times New Roman" w:hAnsi="Times New Roman" w:eastAsia="Times New Roman" w:cs="Times New Roman"/>
          <w:sz w:val="24"/>
          <w:szCs w:val="24"/>
        </w:rPr>
        <w:t>NY</w:t>
      </w:r>
      <w:r>
        <w:rPr>
          <w:rFonts w:ascii="Times New Roman" w:hAnsi="Times New Roman" w:eastAsia="Times New Roman" w:cs="Times New Roman"/>
          <w:sz w:val="24"/>
          <w:szCs w:val="24"/>
          <w:spacing w:val="4"/>
        </w:rPr>
        <w:t>/T2596-2022</w:t>
      </w:r>
      <w:r>
        <w:rPr>
          <w:rFonts w:ascii="SimSun" w:hAnsi="SimSun" w:eastAsia="SimSun" w:cs="SimSun"/>
          <w:sz w:val="24"/>
          <w:szCs w:val="24"/>
          <w:spacing w:val="4"/>
        </w:rPr>
        <w:t>）、《农用沼液》</w:t>
      </w:r>
    </w:p>
    <w:p>
      <w:pPr>
        <w:ind w:left="5355"/>
        <w:spacing w:before="97" w:line="227" w:lineRule="auto"/>
        <w:rPr>
          <w:rFonts w:ascii="SimSun" w:hAnsi="SimSun" w:eastAsia="SimSun" w:cs="SimSun"/>
          <w:sz w:val="19"/>
          <w:szCs w:val="19"/>
        </w:rPr>
      </w:pPr>
      <w:r>
        <w:pict>
          <v:shape id="_x0000_s304" style="position:absolute;margin-left:209.636pt;margin-top:3.85663pt;mso-position-vertical-relative:text;mso-position-horizontal-relative:text;width:58.75pt;height:13.75pt;z-index:251798528;"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1"/>
                      <w:position w:val="2"/>
                    </w:rPr>
                    <w:t>60        </w:t>
                  </w:r>
                  <w:r>
                    <w:rPr>
                      <w:rFonts w:ascii="SimSun" w:hAnsi="SimSun" w:eastAsia="SimSun" w:cs="SimSun"/>
                      <w:sz w:val="19"/>
                      <w:szCs w:val="19"/>
                      <w:spacing w:val="1"/>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75"/>
          <w:pgSz w:w="11907" w:h="16840"/>
          <w:pgMar w:top="1567" w:right="1658" w:bottom="400" w:left="1658" w:header="1221" w:footer="0" w:gutter="0"/>
        </w:sectPr>
        <w:rPr>
          <w:rFonts w:ascii="SimSun" w:hAnsi="SimSun" w:eastAsia="SimSun" w:cs="SimSun"/>
          <w:sz w:val="19"/>
          <w:szCs w:val="19"/>
        </w:rPr>
      </w:pPr>
    </w:p>
    <w:p>
      <w:pPr>
        <w:ind w:left="47" w:right="37" w:firstLine="10"/>
        <w:spacing w:before="187" w:line="356" w:lineRule="auto"/>
        <w:jc w:val="both"/>
        <w:rPr>
          <w:rFonts w:ascii="SimSun" w:hAnsi="SimSun" w:eastAsia="SimSun" w:cs="SimSun"/>
          <w:sz w:val="24"/>
          <w:szCs w:val="24"/>
        </w:rPr>
      </w:pPr>
      <w:r>
        <w:pict>
          <v:shape id="_x0000_s308" style="position:absolute;margin-left:85.05pt;margin-top:79.11pt;mso-position-vertical-relative:page;mso-position-horizontal-relative:page;width:425.25pt;height:0.75pt;z-index:251801600;" o:allowincell="f" fillcolor="#000000" filled="true" stroked="false" coordsize="8505,15" coordorigin="0,0" path="m,l8505,0l8505,14l0,14l0,0xe"/>
        </w:pict>
      </w:r>
      <w:r>
        <w:rPr>
          <w:rFonts w:ascii="SimSun" w:hAnsi="SimSun" w:eastAsia="SimSun" w:cs="SimSun"/>
          <w:sz w:val="24"/>
          <w:szCs w:val="24"/>
          <w:spacing w:val="1"/>
        </w:rPr>
        <w:t>（</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/T40750-2021</w:t>
      </w:r>
      <w:r>
        <w:rPr>
          <w:rFonts w:ascii="SimSun" w:hAnsi="SimSun" w:eastAsia="SimSun" w:cs="SimSun"/>
          <w:sz w:val="24"/>
          <w:szCs w:val="24"/>
          <w:spacing w:val="1"/>
        </w:rPr>
        <w:t>）标准要求，农用沼肥应定期检验，每年检验一次，检验因子</w:t>
      </w:r>
      <w:r>
        <w:rPr>
          <w:rFonts w:ascii="SimSun" w:hAnsi="SimSun" w:eastAsia="SimSun" w:cs="SimSun"/>
          <w:sz w:val="24"/>
          <w:szCs w:val="24"/>
          <w:spacing w:val="14"/>
        </w:rPr>
        <w:t xml:space="preserve"> </w:t>
      </w:r>
      <w:r>
        <w:rPr>
          <w:rFonts w:ascii="SimSun" w:hAnsi="SimSun" w:eastAsia="SimSun" w:cs="SimSun"/>
          <w:sz w:val="24"/>
          <w:szCs w:val="24"/>
          <w:spacing w:val="-4"/>
        </w:rPr>
        <w:t>见</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7.2.4</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4"/>
        </w:rPr>
        <w:t>章节。作物生长周期不足</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年的，采用批次检验，检验总养分、</w:t>
      </w:r>
      <w:r>
        <w:rPr>
          <w:rFonts w:ascii="Times New Roman" w:hAnsi="Times New Roman" w:eastAsia="Times New Roman" w:cs="Times New Roman"/>
          <w:sz w:val="24"/>
          <w:szCs w:val="24"/>
          <w:spacing w:val="-4"/>
        </w:rPr>
        <w:t>pH</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4"/>
        </w:rPr>
        <w:t>、</w:t>
      </w:r>
      <w:r>
        <w:rPr>
          <w:rFonts w:ascii="SimSun" w:hAnsi="SimSun" w:eastAsia="SimSun" w:cs="SimSun"/>
          <w:sz w:val="24"/>
          <w:szCs w:val="24"/>
          <w:spacing w:val="-5"/>
        </w:rPr>
        <w:t>有机</w:t>
      </w:r>
      <w:r>
        <w:rPr>
          <w:rFonts w:ascii="SimSun" w:hAnsi="SimSun" w:eastAsia="SimSun" w:cs="SimSun"/>
          <w:sz w:val="24"/>
          <w:szCs w:val="24"/>
        </w:rPr>
        <w:t xml:space="preserve"> </w:t>
      </w:r>
      <w:r>
        <w:rPr>
          <w:rFonts w:ascii="SimSun" w:hAnsi="SimSun" w:eastAsia="SimSun" w:cs="SimSun"/>
          <w:sz w:val="24"/>
          <w:szCs w:val="24"/>
          <w:spacing w:val="-2"/>
        </w:rPr>
        <w:t>质、腐植酸。</w:t>
      </w:r>
    </w:p>
    <w:p>
      <w:pPr>
        <w:ind w:left="522"/>
        <w:spacing w:before="10" w:line="219" w:lineRule="auto"/>
        <w:rPr>
          <w:rFonts w:ascii="SimSun" w:hAnsi="SimSun" w:eastAsia="SimSun" w:cs="SimSun"/>
          <w:sz w:val="24"/>
          <w:szCs w:val="24"/>
        </w:rPr>
      </w:pP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3"/>
        </w:rPr>
        <w:t>、施用沼肥土壤调查及检测要求</w:t>
      </w:r>
    </w:p>
    <w:p>
      <w:pPr>
        <w:ind w:left="45" w:right="35" w:firstLine="483"/>
        <w:spacing w:before="183" w:line="359" w:lineRule="auto"/>
        <w:rPr>
          <w:rFonts w:ascii="SimSun" w:hAnsi="SimSun" w:eastAsia="SimSun" w:cs="SimSun"/>
          <w:sz w:val="24"/>
          <w:szCs w:val="24"/>
        </w:rPr>
      </w:pPr>
      <w:r>
        <w:rPr>
          <w:rFonts w:ascii="SimSun" w:hAnsi="SimSun" w:eastAsia="SimSun" w:cs="SimSun"/>
          <w:sz w:val="24"/>
          <w:szCs w:val="24"/>
          <w:spacing w:val="2"/>
        </w:rPr>
        <w:t>建设单位在沼肥施用前对施用（施肥）土壤按照《沼液施用 第</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2"/>
        </w:rPr>
        <w:t>3 </w:t>
      </w:r>
      <w:r>
        <w:rPr>
          <w:rFonts w:ascii="SimSun" w:hAnsi="SimSun" w:eastAsia="SimSun" w:cs="SimSun"/>
          <w:sz w:val="24"/>
          <w:szCs w:val="24"/>
          <w:spacing w:val="2"/>
        </w:rPr>
        <w:t>部分 土壤</w:t>
      </w:r>
      <w:r>
        <w:rPr>
          <w:rFonts w:ascii="SimSun" w:hAnsi="SimSun" w:eastAsia="SimSun" w:cs="SimSun"/>
          <w:sz w:val="24"/>
          <w:szCs w:val="24"/>
        </w:rPr>
        <w:t xml:space="preserve"> </w:t>
      </w:r>
      <w:r>
        <w:rPr>
          <w:rFonts w:ascii="SimSun" w:hAnsi="SimSun" w:eastAsia="SimSun" w:cs="SimSun"/>
          <w:sz w:val="24"/>
          <w:szCs w:val="24"/>
          <w:spacing w:val="7"/>
        </w:rPr>
        <w:t>及地表</w:t>
      </w:r>
      <w:r>
        <w:rPr>
          <w:rFonts w:ascii="SimSun" w:hAnsi="SimSun" w:eastAsia="SimSun" w:cs="SimSun"/>
          <w:sz w:val="24"/>
          <w:szCs w:val="24"/>
          <w:spacing w:val="-55"/>
        </w:rPr>
        <w:t xml:space="preserve"> </w:t>
      </w:r>
      <w:r>
        <w:rPr>
          <w:rFonts w:ascii="SimSun" w:hAnsi="SimSun" w:eastAsia="SimSun" w:cs="SimSun"/>
          <w:sz w:val="24"/>
          <w:szCs w:val="24"/>
          <w:spacing w:val="7"/>
        </w:rPr>
        <w:t>水监测</w:t>
      </w:r>
      <w:r>
        <w:rPr>
          <w:rFonts w:ascii="SimSun" w:hAnsi="SimSun" w:eastAsia="SimSun" w:cs="SimSun"/>
          <w:sz w:val="24"/>
          <w:szCs w:val="24"/>
          <w:spacing w:val="-64"/>
        </w:rPr>
        <w:t xml:space="preserve"> </w:t>
      </w:r>
      <w:r>
        <w:rPr>
          <w:rFonts w:ascii="SimSun" w:hAnsi="SimSun" w:eastAsia="SimSun" w:cs="SimSun"/>
          <w:sz w:val="24"/>
          <w:szCs w:val="24"/>
          <w:spacing w:val="7"/>
        </w:rPr>
        <w:t>》</w:t>
      </w:r>
      <w:r>
        <w:rPr>
          <w:rFonts w:ascii="SimSun" w:hAnsi="SimSun" w:eastAsia="SimSun" w:cs="SimSun"/>
          <w:sz w:val="24"/>
          <w:szCs w:val="24"/>
          <w:spacing w:val="-84"/>
        </w:rPr>
        <w:t xml:space="preserve"> </w:t>
      </w:r>
      <w:r>
        <w:rPr>
          <w:rFonts w:ascii="SimSun" w:hAnsi="SimSun" w:eastAsia="SimSun" w:cs="SimSun"/>
          <w:sz w:val="24"/>
          <w:szCs w:val="24"/>
          <w:spacing w:val="7"/>
        </w:rPr>
        <w:t>（</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7"/>
        </w:rPr>
        <w:t>T/</w:t>
      </w:r>
      <w:r>
        <w:rPr>
          <w:rFonts w:ascii="Times New Roman" w:hAnsi="Times New Roman" w:eastAsia="Times New Roman" w:cs="Times New Roman"/>
          <w:sz w:val="24"/>
          <w:szCs w:val="24"/>
        </w:rPr>
        <w:t>Cl</w:t>
      </w:r>
      <w:r>
        <w:rPr>
          <w:rFonts w:ascii="Times New Roman" w:hAnsi="Times New Roman" w:eastAsia="Times New Roman" w:cs="Times New Roman"/>
          <w:sz w:val="24"/>
          <w:szCs w:val="24"/>
          <w:spacing w:val="7"/>
        </w:rPr>
        <w:t>378-2024 </w:t>
      </w:r>
      <w:r>
        <w:rPr>
          <w:rFonts w:ascii="SimSun" w:hAnsi="SimSun" w:eastAsia="SimSun" w:cs="SimSun"/>
          <w:sz w:val="24"/>
          <w:szCs w:val="24"/>
          <w:spacing w:val="7"/>
        </w:rPr>
        <w:t>）</w:t>
      </w:r>
      <w:r>
        <w:rPr>
          <w:rFonts w:ascii="SimSun" w:hAnsi="SimSun" w:eastAsia="SimSun" w:cs="SimSun"/>
          <w:sz w:val="24"/>
          <w:szCs w:val="24"/>
          <w:spacing w:val="-58"/>
        </w:rPr>
        <w:t xml:space="preserve"> </w:t>
      </w:r>
      <w:r>
        <w:rPr>
          <w:rFonts w:ascii="SimSun" w:hAnsi="SimSun" w:eastAsia="SimSun" w:cs="SimSun"/>
          <w:sz w:val="24"/>
          <w:szCs w:val="24"/>
          <w:spacing w:val="7"/>
        </w:rPr>
        <w:t>、</w:t>
      </w:r>
      <w:r>
        <w:rPr>
          <w:rFonts w:ascii="SimSun" w:hAnsi="SimSun" w:eastAsia="SimSun" w:cs="SimSun"/>
          <w:sz w:val="24"/>
          <w:szCs w:val="24"/>
          <w:spacing w:val="-87"/>
        </w:rPr>
        <w:t xml:space="preserve"> </w:t>
      </w:r>
      <w:r>
        <w:rPr>
          <w:rFonts w:ascii="SimSun" w:hAnsi="SimSun" w:eastAsia="SimSun" w:cs="SimSun"/>
          <w:sz w:val="24"/>
          <w:szCs w:val="24"/>
          <w:spacing w:val="7"/>
        </w:rPr>
        <w:t>《</w:t>
      </w:r>
      <w:r>
        <w:rPr>
          <w:rFonts w:ascii="SimSun" w:hAnsi="SimSun" w:eastAsia="SimSun" w:cs="SimSun"/>
          <w:sz w:val="24"/>
          <w:szCs w:val="24"/>
          <w:spacing w:val="-51"/>
        </w:rPr>
        <w:t xml:space="preserve"> </w:t>
      </w:r>
      <w:r>
        <w:rPr>
          <w:rFonts w:ascii="SimSun" w:hAnsi="SimSun" w:eastAsia="SimSun" w:cs="SimSun"/>
          <w:sz w:val="24"/>
          <w:szCs w:val="24"/>
          <w:spacing w:val="7"/>
        </w:rPr>
        <w:t>农</w:t>
      </w:r>
      <w:r>
        <w:rPr>
          <w:rFonts w:ascii="SimSun" w:hAnsi="SimSun" w:eastAsia="SimSun" w:cs="SimSun"/>
          <w:sz w:val="24"/>
          <w:szCs w:val="24"/>
          <w:spacing w:val="-48"/>
        </w:rPr>
        <w:t xml:space="preserve"> </w:t>
      </w:r>
      <w:r>
        <w:rPr>
          <w:rFonts w:ascii="SimSun" w:hAnsi="SimSun" w:eastAsia="SimSun" w:cs="SimSun"/>
          <w:sz w:val="24"/>
          <w:szCs w:val="24"/>
          <w:spacing w:val="7"/>
        </w:rPr>
        <w:t>田土壤环境质量监测技术规</w:t>
      </w:r>
      <w:r>
        <w:rPr>
          <w:rFonts w:ascii="SimSun" w:hAnsi="SimSun" w:eastAsia="SimSun" w:cs="SimSun"/>
          <w:sz w:val="24"/>
          <w:szCs w:val="24"/>
          <w:spacing w:val="-71"/>
        </w:rPr>
        <w:t xml:space="preserve"> </w:t>
      </w:r>
      <w:r>
        <w:rPr>
          <w:rFonts w:ascii="SimSun" w:hAnsi="SimSun" w:eastAsia="SimSun" w:cs="SimSun"/>
          <w:sz w:val="24"/>
          <w:szCs w:val="24"/>
          <w:spacing w:val="7"/>
        </w:rPr>
        <w:t>范</w:t>
      </w:r>
      <w:r>
        <w:rPr>
          <w:rFonts w:ascii="SimSun" w:hAnsi="SimSun" w:eastAsia="SimSun" w:cs="SimSun"/>
          <w:sz w:val="24"/>
          <w:szCs w:val="24"/>
          <w:spacing w:val="-62"/>
        </w:rPr>
        <w:t xml:space="preserve"> </w:t>
      </w:r>
      <w:r>
        <w:rPr>
          <w:rFonts w:ascii="SimSun" w:hAnsi="SimSun" w:eastAsia="SimSun" w:cs="SimSun"/>
          <w:sz w:val="24"/>
          <w:szCs w:val="24"/>
          <w:spacing w:val="7"/>
        </w:rPr>
        <w:t>》</w:t>
      </w:r>
      <w:r>
        <w:rPr>
          <w:rFonts w:ascii="SimSun" w:hAnsi="SimSun" w:eastAsia="SimSun" w:cs="SimSun"/>
          <w:sz w:val="24"/>
          <w:szCs w:val="24"/>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rPr>
        <w:t>NT</w:t>
      </w:r>
      <w:r>
        <w:rPr>
          <w:rFonts w:ascii="Times New Roman" w:hAnsi="Times New Roman" w:eastAsia="Times New Roman" w:cs="Times New Roman"/>
          <w:sz w:val="24"/>
          <w:szCs w:val="24"/>
          <w:spacing w:val="5"/>
        </w:rPr>
        <w:t>/T395-2012</w:t>
      </w:r>
      <w:r>
        <w:rPr>
          <w:rFonts w:ascii="SimSun" w:hAnsi="SimSun" w:eastAsia="SimSun" w:cs="SimSun"/>
          <w:sz w:val="24"/>
          <w:szCs w:val="24"/>
          <w:spacing w:val="5"/>
        </w:rPr>
        <w:t>）、《土壤环境质量 农用地土壤污染风险管控标准（试行）》</w:t>
      </w:r>
      <w:r>
        <w:rPr>
          <w:rFonts w:ascii="SimSun" w:hAnsi="SimSun" w:eastAsia="SimSun" w:cs="SimSun"/>
          <w:sz w:val="24"/>
          <w:szCs w:val="24"/>
          <w:spacing w:val="7"/>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GB15618-2018</w:t>
      </w:r>
      <w:r>
        <w:rPr>
          <w:rFonts w:ascii="SimSun" w:hAnsi="SimSun" w:eastAsia="SimSun" w:cs="SimSun"/>
          <w:sz w:val="24"/>
          <w:szCs w:val="24"/>
          <w:spacing w:val="-1"/>
        </w:rPr>
        <w:t>）进行土壤背景值调查，调查因子为：</w:t>
      </w:r>
      <w:r>
        <w:rPr>
          <w:rFonts w:ascii="Times New Roman" w:hAnsi="Times New Roman" w:eastAsia="Times New Roman" w:cs="Times New Roman"/>
          <w:sz w:val="24"/>
          <w:szCs w:val="24"/>
          <w:spacing w:val="-1"/>
        </w:rPr>
        <w:t>pH</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、总盐浓度、镉、汞、</w:t>
      </w:r>
      <w:r>
        <w:rPr>
          <w:rFonts w:ascii="SimSun" w:hAnsi="SimSun" w:eastAsia="SimSun" w:cs="SimSun"/>
          <w:sz w:val="24"/>
          <w:szCs w:val="24"/>
        </w:rPr>
        <w:t xml:space="preserve"> </w:t>
      </w:r>
      <w:r>
        <w:rPr>
          <w:rFonts w:ascii="SimSun" w:hAnsi="SimSun" w:eastAsia="SimSun" w:cs="SimSun"/>
          <w:sz w:val="24"/>
          <w:szCs w:val="24"/>
          <w:spacing w:val="3"/>
        </w:rPr>
        <w:t>砷、铅、铬、铜、镍、锌、有效磷、总氮、电导率、水溶</w:t>
      </w:r>
      <w:r>
        <w:rPr>
          <w:rFonts w:ascii="SimSun" w:hAnsi="SimSun" w:eastAsia="SimSun" w:cs="SimSun"/>
          <w:sz w:val="24"/>
          <w:szCs w:val="24"/>
          <w:spacing w:val="2"/>
        </w:rPr>
        <w:t>性盐、全量钠等，调查</w:t>
      </w:r>
      <w:r>
        <w:rPr>
          <w:rFonts w:ascii="SimSun" w:hAnsi="SimSun" w:eastAsia="SimSun" w:cs="SimSun"/>
          <w:sz w:val="24"/>
          <w:szCs w:val="24"/>
        </w:rPr>
        <w:t xml:space="preserve"> </w:t>
      </w:r>
      <w:r>
        <w:rPr>
          <w:rFonts w:ascii="SimSun" w:hAnsi="SimSun" w:eastAsia="SimSun" w:cs="SimSun"/>
          <w:sz w:val="24"/>
          <w:szCs w:val="24"/>
          <w:spacing w:val="-3"/>
        </w:rPr>
        <w:t>点位见</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3"/>
        </w:rPr>
        <w:t>9.2.5</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3"/>
        </w:rPr>
        <w:t>章节。施肥后每年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次调查监测，调查因子与施肥前一致，观察土壤</w:t>
      </w:r>
      <w:r>
        <w:rPr>
          <w:rFonts w:ascii="SimSun" w:hAnsi="SimSun" w:eastAsia="SimSun" w:cs="SimSun"/>
          <w:sz w:val="24"/>
          <w:szCs w:val="24"/>
        </w:rPr>
        <w:t xml:space="preserve"> </w:t>
      </w:r>
      <w:r>
        <w:rPr>
          <w:rFonts w:ascii="SimSun" w:hAnsi="SimSun" w:eastAsia="SimSun" w:cs="SimSun"/>
          <w:sz w:val="24"/>
          <w:szCs w:val="24"/>
          <w:spacing w:val="-1"/>
        </w:rPr>
        <w:t>调查因子变化，如有明显不良影响，应立即停止施用沼肥。</w:t>
      </w:r>
    </w:p>
    <w:p>
      <w:pPr>
        <w:ind w:left="48"/>
        <w:spacing w:before="125" w:line="223" w:lineRule="auto"/>
        <w:outlineLvl w:val="2"/>
        <w:rPr>
          <w:rFonts w:ascii="SimHei" w:hAnsi="SimHei" w:eastAsia="SimHei" w:cs="SimHei"/>
          <w:sz w:val="28"/>
          <w:szCs w:val="28"/>
        </w:rPr>
      </w:pPr>
      <w:bookmarkStart w:name="bookmark50" w:id="61"/>
      <w:bookmarkEnd w:id="61"/>
      <w:r>
        <w:rPr>
          <w:rFonts w:ascii="Times New Roman" w:hAnsi="Times New Roman" w:eastAsia="Times New Roman" w:cs="Times New Roman"/>
          <w:sz w:val="28"/>
          <w:szCs w:val="28"/>
          <w:spacing w:val="-1"/>
        </w:rPr>
        <w:t>3.1.6 </w:t>
      </w:r>
      <w:r>
        <w:rPr>
          <w:rFonts w:ascii="SimHei" w:hAnsi="SimHei" w:eastAsia="SimHei" w:cs="SimHei"/>
          <w:sz w:val="28"/>
          <w:szCs w:val="28"/>
          <w:spacing w:val="-1"/>
        </w:rPr>
        <w:t>主要原辅材料消耗</w:t>
      </w:r>
    </w:p>
    <w:p>
      <w:pPr>
        <w:pStyle w:val="BodyText"/>
        <w:spacing w:line="241" w:lineRule="auto"/>
        <w:rPr/>
      </w:pPr>
      <w:r/>
    </w:p>
    <w:p>
      <w:pPr>
        <w:ind w:left="545"/>
        <w:spacing w:before="78" w:line="219" w:lineRule="auto"/>
        <w:rPr>
          <w:rFonts w:ascii="SimSun" w:hAnsi="SimSun" w:eastAsia="SimSun" w:cs="SimSun"/>
          <w:sz w:val="24"/>
          <w:szCs w:val="24"/>
        </w:rPr>
      </w:pP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7"/>
        </w:rPr>
        <w:t>、主要原辅材料</w:t>
      </w:r>
    </w:p>
    <w:p>
      <w:pPr>
        <w:ind w:left="527"/>
        <w:spacing w:before="183" w:line="219" w:lineRule="auto"/>
        <w:rPr>
          <w:rFonts w:ascii="SimSun" w:hAnsi="SimSun" w:eastAsia="SimSun" w:cs="SimSun"/>
          <w:sz w:val="24"/>
          <w:szCs w:val="24"/>
        </w:rPr>
      </w:pPr>
      <w:r>
        <w:rPr>
          <w:rFonts w:ascii="SimSun" w:hAnsi="SimSun" w:eastAsia="SimSun" w:cs="SimSun"/>
          <w:sz w:val="24"/>
          <w:szCs w:val="24"/>
          <w:spacing w:val="-2"/>
        </w:rPr>
        <w:t>本项目主要原辅材料消耗详见表</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2"/>
        </w:rPr>
        <w:t>3.1-8</w:t>
      </w:r>
      <w:r>
        <w:rPr>
          <w:rFonts w:ascii="SimSun" w:hAnsi="SimSun" w:eastAsia="SimSun" w:cs="SimSun"/>
          <w:sz w:val="24"/>
          <w:szCs w:val="24"/>
          <w:spacing w:val="-2"/>
        </w:rPr>
        <w:t>。</w:t>
      </w:r>
    </w:p>
    <w:p>
      <w:pPr>
        <w:ind w:left="2392"/>
        <w:spacing w:before="181"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2"/>
        </w:rPr>
        <w:t>3.1-8      </w:t>
      </w:r>
      <w:r>
        <w:rPr>
          <w:rFonts w:ascii="SimSun" w:hAnsi="SimSun" w:eastAsia="SimSun" w:cs="SimSun"/>
          <w:sz w:val="24"/>
          <w:szCs w:val="24"/>
          <w:b/>
          <w:bCs/>
          <w:spacing w:val="-2"/>
        </w:rPr>
        <w:t>主要原辅材料消耗一览表</w:t>
      </w:r>
    </w:p>
    <w:tbl>
      <w:tblPr>
        <w:tblStyle w:val="TableNormal"/>
        <w:tblW w:w="857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93"/>
        <w:gridCol w:w="779"/>
        <w:gridCol w:w="2475"/>
        <w:gridCol w:w="676"/>
        <w:gridCol w:w="915"/>
        <w:gridCol w:w="1086"/>
        <w:gridCol w:w="2249"/>
      </w:tblGrid>
      <w:tr>
        <w:trPr>
          <w:trHeight w:val="554" w:hRule="atLeast"/>
        </w:trPr>
        <w:tc>
          <w:tcPr>
            <w:tcW w:w="393" w:type="dxa"/>
            <w:vAlign w:val="top"/>
            <w:textDirection w:val="tbRlV"/>
          </w:tcPr>
          <w:p>
            <w:pPr>
              <w:pStyle w:val="TableText"/>
              <w:ind w:left="35"/>
              <w:spacing w:before="91" w:line="218" w:lineRule="auto"/>
              <w:rPr/>
            </w:pPr>
            <w:r>
              <w:rPr>
                <w:spacing w:val="8"/>
              </w:rPr>
              <w:t>序</w:t>
            </w:r>
            <w:r>
              <w:rPr>
                <w:spacing w:val="-35"/>
              </w:rPr>
              <w:t xml:space="preserve"> </w:t>
            </w:r>
            <w:r>
              <w:rPr>
                <w:spacing w:val="8"/>
              </w:rPr>
              <w:t>号</w:t>
            </w:r>
          </w:p>
        </w:tc>
        <w:tc>
          <w:tcPr>
            <w:tcW w:w="779" w:type="dxa"/>
            <w:vAlign w:val="top"/>
          </w:tcPr>
          <w:p>
            <w:pPr>
              <w:pStyle w:val="TableText"/>
              <w:ind w:left="185"/>
              <w:spacing w:before="172" w:line="230" w:lineRule="auto"/>
              <w:rPr/>
            </w:pPr>
            <w:r>
              <w:rPr>
                <w:spacing w:val="3"/>
              </w:rPr>
              <w:t>名称</w:t>
            </w:r>
          </w:p>
        </w:tc>
        <w:tc>
          <w:tcPr>
            <w:tcW w:w="2475" w:type="dxa"/>
            <w:vAlign w:val="top"/>
          </w:tcPr>
          <w:p>
            <w:pPr>
              <w:pStyle w:val="TableText"/>
              <w:ind w:left="794"/>
              <w:spacing w:before="172" w:line="228" w:lineRule="auto"/>
              <w:rPr/>
            </w:pPr>
            <w:r>
              <w:rPr>
                <w:spacing w:val="6"/>
              </w:rPr>
              <w:t>规格</w:t>
            </w:r>
            <w:r>
              <w:rPr>
                <w:rFonts w:ascii="Times New Roman" w:hAnsi="Times New Roman" w:eastAsia="Times New Roman" w:cs="Times New Roman"/>
                <w:spacing w:val="6"/>
              </w:rPr>
              <w:t>/</w:t>
            </w:r>
            <w:r>
              <w:rPr>
                <w:spacing w:val="6"/>
              </w:rPr>
              <w:t>成分</w:t>
            </w:r>
          </w:p>
        </w:tc>
        <w:tc>
          <w:tcPr>
            <w:tcW w:w="676" w:type="dxa"/>
            <w:vAlign w:val="top"/>
          </w:tcPr>
          <w:p>
            <w:pPr>
              <w:pStyle w:val="TableText"/>
              <w:ind w:left="134"/>
              <w:spacing w:before="172" w:line="228" w:lineRule="auto"/>
              <w:rPr/>
            </w:pPr>
            <w:r>
              <w:rPr>
                <w:spacing w:val="3"/>
              </w:rPr>
              <w:t>单位</w:t>
            </w:r>
          </w:p>
        </w:tc>
        <w:tc>
          <w:tcPr>
            <w:tcW w:w="915" w:type="dxa"/>
            <w:vAlign w:val="top"/>
          </w:tcPr>
          <w:p>
            <w:pPr>
              <w:pStyle w:val="TableText"/>
              <w:ind w:left="255"/>
              <w:spacing w:before="172" w:line="228" w:lineRule="auto"/>
              <w:rPr/>
            </w:pPr>
            <w:r>
              <w:rPr>
                <w:spacing w:val="3"/>
              </w:rPr>
              <w:t>数量</w:t>
            </w:r>
          </w:p>
        </w:tc>
        <w:tc>
          <w:tcPr>
            <w:tcW w:w="1086" w:type="dxa"/>
            <w:vAlign w:val="top"/>
          </w:tcPr>
          <w:p>
            <w:pPr>
              <w:pStyle w:val="TableText"/>
              <w:ind w:left="127"/>
              <w:spacing w:before="172" w:line="228" w:lineRule="auto"/>
              <w:rPr/>
            </w:pPr>
            <w:r>
              <w:rPr>
                <w:spacing w:val="7"/>
              </w:rPr>
              <w:t>储存位置</w:t>
            </w:r>
          </w:p>
        </w:tc>
        <w:tc>
          <w:tcPr>
            <w:tcW w:w="2249" w:type="dxa"/>
            <w:vAlign w:val="top"/>
          </w:tcPr>
          <w:p>
            <w:pPr>
              <w:pStyle w:val="TableText"/>
              <w:ind w:left="919"/>
              <w:spacing w:before="172" w:line="228" w:lineRule="auto"/>
              <w:rPr/>
            </w:pPr>
            <w:r>
              <w:rPr>
                <w:spacing w:val="4"/>
              </w:rPr>
              <w:t>来源</w:t>
            </w:r>
          </w:p>
        </w:tc>
      </w:tr>
      <w:tr>
        <w:trPr>
          <w:trHeight w:val="277" w:hRule="atLeast"/>
        </w:trPr>
        <w:tc>
          <w:tcPr>
            <w:tcW w:w="393" w:type="dxa"/>
            <w:vAlign w:val="top"/>
          </w:tcPr>
          <w:p>
            <w:pPr>
              <w:ind w:left="164"/>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779" w:type="dxa"/>
            <w:vAlign w:val="top"/>
          </w:tcPr>
          <w:p>
            <w:pPr>
              <w:pStyle w:val="TableText"/>
              <w:ind w:left="187"/>
              <w:spacing w:before="33" w:line="216" w:lineRule="auto"/>
              <w:rPr/>
            </w:pPr>
            <w:r>
              <w:rPr>
                <w:spacing w:val="2"/>
              </w:rPr>
              <w:t>原毛</w:t>
            </w:r>
          </w:p>
        </w:tc>
        <w:tc>
          <w:tcPr>
            <w:tcW w:w="2475" w:type="dxa"/>
            <w:vAlign w:val="top"/>
          </w:tcPr>
          <w:p>
            <w:pPr>
              <w:pStyle w:val="TableText"/>
              <w:ind w:left="864"/>
              <w:spacing w:before="33" w:line="216" w:lineRule="auto"/>
              <w:rPr/>
            </w:pPr>
            <w:r>
              <w:rPr>
                <w:rFonts w:ascii="Times New Roman" w:hAnsi="Times New Roman" w:eastAsia="Times New Roman" w:cs="Times New Roman"/>
                <w:spacing w:val="-1"/>
              </w:rPr>
              <w:t>100kg</w:t>
            </w:r>
            <w:r>
              <w:rPr>
                <w:rFonts w:ascii="Times New Roman" w:hAnsi="Times New Roman" w:eastAsia="Times New Roman" w:cs="Times New Roman"/>
                <w:spacing w:val="15"/>
                <w:w w:val="101"/>
              </w:rPr>
              <w:t xml:space="preserve"> </w:t>
            </w:r>
            <w:r>
              <w:rPr>
                <w:spacing w:val="-1"/>
              </w:rPr>
              <w:t>包</w:t>
            </w:r>
          </w:p>
        </w:tc>
        <w:tc>
          <w:tcPr>
            <w:tcW w:w="676" w:type="dxa"/>
            <w:vAlign w:val="top"/>
          </w:tcPr>
          <w:p>
            <w:pPr>
              <w:ind w:left="232"/>
              <w:spacing w:before="6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t/a</w:t>
            </w:r>
          </w:p>
        </w:tc>
        <w:tc>
          <w:tcPr>
            <w:tcW w:w="915" w:type="dxa"/>
            <w:vAlign w:val="top"/>
          </w:tcPr>
          <w:p>
            <w:pPr>
              <w:ind w:left="20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30000</w:t>
            </w:r>
          </w:p>
        </w:tc>
        <w:tc>
          <w:tcPr>
            <w:tcW w:w="1086" w:type="dxa"/>
            <w:vAlign w:val="top"/>
          </w:tcPr>
          <w:p>
            <w:pPr>
              <w:pStyle w:val="TableText"/>
              <w:ind w:left="238"/>
              <w:spacing w:before="33" w:line="216" w:lineRule="auto"/>
              <w:rPr/>
            </w:pPr>
            <w:r>
              <w:rPr>
                <w:spacing w:val="5"/>
              </w:rPr>
              <w:t>原毛库</w:t>
            </w:r>
          </w:p>
        </w:tc>
        <w:tc>
          <w:tcPr>
            <w:tcW w:w="2249" w:type="dxa"/>
            <w:vAlign w:val="top"/>
          </w:tcPr>
          <w:p>
            <w:pPr>
              <w:pStyle w:val="TableText"/>
              <w:ind w:left="710"/>
              <w:spacing w:before="33" w:line="216" w:lineRule="auto"/>
              <w:rPr/>
            </w:pPr>
            <w:r>
              <w:rPr>
                <w:spacing w:val="7"/>
              </w:rPr>
              <w:t>周边收购</w:t>
            </w:r>
          </w:p>
        </w:tc>
      </w:tr>
      <w:tr>
        <w:trPr>
          <w:trHeight w:val="1910" w:hRule="atLeast"/>
        </w:trPr>
        <w:tc>
          <w:tcPr>
            <w:tcW w:w="393" w:type="dxa"/>
            <w:vAlign w:val="top"/>
          </w:tcPr>
          <w:p>
            <w:pPr>
              <w:spacing w:line="273" w:lineRule="auto"/>
              <w:rPr>
                <w:rFonts w:ascii="Arial"/>
                <w:sz w:val="21"/>
              </w:rPr>
            </w:pPr>
            <w:r/>
          </w:p>
          <w:p>
            <w:pPr>
              <w:spacing w:line="274" w:lineRule="auto"/>
              <w:rPr>
                <w:rFonts w:ascii="Arial"/>
                <w:sz w:val="21"/>
              </w:rPr>
            </w:pPr>
            <w:r/>
          </w:p>
          <w:p>
            <w:pPr>
              <w:spacing w:line="274" w:lineRule="auto"/>
              <w:rPr>
                <w:rFonts w:ascii="Arial"/>
                <w:sz w:val="21"/>
              </w:rPr>
            </w:pPr>
            <w:r/>
          </w:p>
          <w:p>
            <w:pPr>
              <w:ind w:left="144"/>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779" w:type="dxa"/>
            <w:vAlign w:val="top"/>
          </w:tcPr>
          <w:p>
            <w:pPr>
              <w:spacing w:line="254" w:lineRule="auto"/>
              <w:rPr>
                <w:rFonts w:ascii="Arial"/>
                <w:sz w:val="21"/>
              </w:rPr>
            </w:pPr>
            <w:r/>
          </w:p>
          <w:p>
            <w:pPr>
              <w:spacing w:line="255" w:lineRule="auto"/>
              <w:rPr>
                <w:rFonts w:ascii="Arial"/>
                <w:sz w:val="21"/>
              </w:rPr>
            </w:pPr>
            <w:r/>
          </w:p>
          <w:p>
            <w:pPr>
              <w:pStyle w:val="TableText"/>
              <w:ind w:left="77"/>
              <w:spacing w:before="65" w:line="228" w:lineRule="auto"/>
              <w:rPr/>
            </w:pPr>
            <w:r>
              <w:rPr>
                <w:spacing w:val="6"/>
              </w:rPr>
              <w:t>环保羊</w:t>
            </w:r>
          </w:p>
          <w:p>
            <w:pPr>
              <w:pStyle w:val="TableText"/>
              <w:ind w:left="77"/>
              <w:spacing w:before="24" w:line="228" w:lineRule="auto"/>
              <w:rPr/>
            </w:pPr>
            <w:r>
              <w:rPr>
                <w:spacing w:val="6"/>
              </w:rPr>
              <w:t>毛洗涤</w:t>
            </w:r>
          </w:p>
          <w:p>
            <w:pPr>
              <w:pStyle w:val="TableText"/>
              <w:ind w:left="289"/>
              <w:spacing w:before="23" w:line="227" w:lineRule="auto"/>
              <w:rPr/>
            </w:pPr>
            <w:r>
              <w:rPr/>
              <w:t>剂</w:t>
            </w:r>
          </w:p>
        </w:tc>
        <w:tc>
          <w:tcPr>
            <w:tcW w:w="2475" w:type="dxa"/>
            <w:vAlign w:val="top"/>
          </w:tcPr>
          <w:p>
            <w:pPr>
              <w:pStyle w:val="TableText"/>
              <w:spacing w:before="32" w:line="228" w:lineRule="auto"/>
              <w:jc w:val="right"/>
              <w:rPr/>
            </w:pPr>
            <w:r>
              <w:rPr/>
              <w:t>椰子油二乙醇胺</w:t>
            </w:r>
            <w:r>
              <w:rPr>
                <w:spacing w:val="-39"/>
              </w:rPr>
              <w:t xml:space="preserve"> </w:t>
            </w:r>
            <w:r>
              <w:rPr>
                <w:rFonts w:ascii="Times New Roman" w:hAnsi="Times New Roman" w:eastAsia="Times New Roman" w:cs="Times New Roman"/>
              </w:rPr>
              <w:t>40%-50%</w:t>
            </w:r>
            <w:r>
              <w:rPr/>
              <w:t>，</w:t>
            </w:r>
          </w:p>
          <w:p>
            <w:pPr>
              <w:pStyle w:val="TableText"/>
              <w:ind w:left="95"/>
              <w:spacing w:before="23" w:line="227" w:lineRule="auto"/>
              <w:rPr/>
            </w:pPr>
            <w:r>
              <w:rPr>
                <w:spacing w:val="8"/>
              </w:rPr>
              <w:t>聚氧乙烯失水山梨醇醚硬</w:t>
            </w:r>
          </w:p>
          <w:p>
            <w:pPr>
              <w:pStyle w:val="TableText"/>
              <w:ind w:left="63"/>
              <w:spacing w:before="27" w:line="228" w:lineRule="auto"/>
              <w:rPr/>
            </w:pPr>
            <w:r>
              <w:rPr>
                <w:spacing w:val="4"/>
              </w:rPr>
              <w:t>脂酸酯</w:t>
            </w:r>
            <w:r>
              <w:rPr>
                <w:spacing w:val="-34"/>
              </w:rPr>
              <w:t xml:space="preserve"> </w:t>
            </w:r>
            <w:r>
              <w:rPr>
                <w:rFonts w:ascii="Times New Roman" w:hAnsi="Times New Roman" w:eastAsia="Times New Roman" w:cs="Times New Roman"/>
                <w:spacing w:val="4"/>
              </w:rPr>
              <w:t>20%-30%</w:t>
            </w:r>
            <w:r>
              <w:rPr>
                <w:rFonts w:ascii="Times New Roman" w:hAnsi="Times New Roman" w:eastAsia="Times New Roman" w:cs="Times New Roman"/>
                <w:spacing w:val="-24"/>
              </w:rPr>
              <w:t xml:space="preserve"> </w:t>
            </w:r>
            <w:r>
              <w:rPr>
                <w:spacing w:val="4"/>
              </w:rPr>
              <w:t>，高分子</w:t>
            </w:r>
          </w:p>
          <w:p>
            <w:pPr>
              <w:pStyle w:val="TableText"/>
              <w:ind w:left="53"/>
              <w:spacing w:before="24" w:line="221" w:lineRule="auto"/>
              <w:rPr/>
            </w:pPr>
            <w:r>
              <w:rPr>
                <w:spacing w:val="8"/>
              </w:rPr>
              <w:t>乳化剂</w:t>
            </w:r>
            <w:r>
              <w:rPr>
                <w:rFonts w:ascii="Times New Roman" w:hAnsi="Times New Roman" w:eastAsia="Times New Roman" w:cs="Times New Roman"/>
                <w:spacing w:val="8"/>
              </w:rPr>
              <w:t>(</w:t>
            </w:r>
            <w:r>
              <w:rPr>
                <w:spacing w:val="8"/>
              </w:rPr>
              <w:t>十二烷基聚氧乙烯</w:t>
            </w:r>
          </w:p>
          <w:p>
            <w:pPr>
              <w:pStyle w:val="TableText"/>
              <w:ind w:left="51"/>
              <w:spacing w:before="34" w:line="221" w:lineRule="auto"/>
              <w:rPr/>
            </w:pPr>
            <w:r>
              <w:rPr>
                <w:spacing w:val="5"/>
              </w:rPr>
              <w:t>醚硫酸钠</w:t>
            </w:r>
            <w:r>
              <w:rPr>
                <w:rFonts w:ascii="Times New Roman" w:hAnsi="Times New Roman" w:eastAsia="Times New Roman" w:cs="Times New Roman"/>
                <w:spacing w:val="5"/>
              </w:rPr>
              <w:t>)15%-25%</w:t>
            </w:r>
            <w:r>
              <w:rPr>
                <w:rFonts w:ascii="Times New Roman" w:hAnsi="Times New Roman" w:eastAsia="Times New Roman" w:cs="Times New Roman"/>
                <w:spacing w:val="-22"/>
              </w:rPr>
              <w:t xml:space="preserve"> </w:t>
            </w:r>
            <w:r>
              <w:rPr>
                <w:spacing w:val="5"/>
              </w:rPr>
              <w:t>，助剂</w:t>
            </w:r>
          </w:p>
          <w:p>
            <w:pPr>
              <w:pStyle w:val="TableText"/>
              <w:ind w:left="366"/>
              <w:spacing w:before="32" w:line="221" w:lineRule="auto"/>
              <w:rPr/>
            </w:pPr>
            <w:r>
              <w:rPr>
                <w:rFonts w:ascii="Times New Roman" w:hAnsi="Times New Roman" w:eastAsia="Times New Roman" w:cs="Times New Roman"/>
                <w:spacing w:val="8"/>
              </w:rPr>
              <w:t>(</w:t>
            </w:r>
            <w:r>
              <w:rPr>
                <w:spacing w:val="8"/>
              </w:rPr>
              <w:t>异构十醇聚氧乙烯</w:t>
            </w:r>
          </w:p>
          <w:p>
            <w:pPr>
              <w:pStyle w:val="TableText"/>
              <w:ind w:left="183"/>
              <w:spacing w:before="34" w:line="215" w:lineRule="auto"/>
              <w:rPr>
                <w:rFonts w:ascii="Times New Roman" w:hAnsi="Times New Roman" w:eastAsia="Times New Roman" w:cs="Times New Roman"/>
              </w:rPr>
            </w:pPr>
            <w:r>
              <w:rPr>
                <w:spacing w:val="3"/>
              </w:rPr>
              <w:t>醚</w:t>
            </w:r>
            <w:r>
              <w:rPr>
                <w:rFonts w:ascii="Times New Roman" w:hAnsi="Times New Roman" w:eastAsia="Times New Roman" w:cs="Times New Roman"/>
                <w:spacing w:val="3"/>
              </w:rPr>
              <w:t>)5%-10%</w:t>
            </w:r>
            <w:r>
              <w:rPr>
                <w:rFonts w:ascii="Times New Roman" w:hAnsi="Times New Roman" w:eastAsia="Times New Roman" w:cs="Times New Roman"/>
                <w:spacing w:val="-21"/>
              </w:rPr>
              <w:t xml:space="preserve"> </w:t>
            </w:r>
            <w:r>
              <w:rPr>
                <w:spacing w:val="3"/>
              </w:rPr>
              <w:t>，水</w:t>
            </w:r>
            <w:r>
              <w:rPr>
                <w:spacing w:val="-37"/>
              </w:rPr>
              <w:t xml:space="preserve"> </w:t>
            </w:r>
            <w:r>
              <w:rPr>
                <w:rFonts w:ascii="Times New Roman" w:hAnsi="Times New Roman" w:eastAsia="Times New Roman" w:cs="Times New Roman"/>
                <w:spacing w:val="3"/>
              </w:rPr>
              <w:t>3%-6%</w:t>
            </w:r>
          </w:p>
        </w:tc>
        <w:tc>
          <w:tcPr>
            <w:tcW w:w="676" w:type="dxa"/>
            <w:vAlign w:val="top"/>
          </w:tcPr>
          <w:p>
            <w:pPr>
              <w:spacing w:line="272" w:lineRule="auto"/>
              <w:rPr>
                <w:rFonts w:ascii="Arial"/>
                <w:sz w:val="21"/>
              </w:rPr>
            </w:pPr>
            <w:r/>
          </w:p>
          <w:p>
            <w:pPr>
              <w:spacing w:line="272" w:lineRule="auto"/>
              <w:rPr>
                <w:rFonts w:ascii="Arial"/>
                <w:sz w:val="21"/>
              </w:rPr>
            </w:pPr>
            <w:r/>
          </w:p>
          <w:p>
            <w:pPr>
              <w:spacing w:line="273" w:lineRule="auto"/>
              <w:rPr>
                <w:rFonts w:ascii="Arial"/>
                <w:sz w:val="21"/>
              </w:rPr>
            </w:pPr>
            <w:r/>
          </w:p>
          <w:p>
            <w:pPr>
              <w:ind w:left="232"/>
              <w:spacing w:before="5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t/a</w:t>
            </w:r>
          </w:p>
        </w:tc>
        <w:tc>
          <w:tcPr>
            <w:tcW w:w="915" w:type="dxa"/>
            <w:vAlign w:val="top"/>
          </w:tcPr>
          <w:p>
            <w:pPr>
              <w:spacing w:line="273" w:lineRule="auto"/>
              <w:rPr>
                <w:rFonts w:ascii="Arial"/>
                <w:sz w:val="21"/>
              </w:rPr>
            </w:pPr>
            <w:r/>
          </w:p>
          <w:p>
            <w:pPr>
              <w:spacing w:line="274" w:lineRule="auto"/>
              <w:rPr>
                <w:rFonts w:ascii="Arial"/>
                <w:sz w:val="21"/>
              </w:rPr>
            </w:pPr>
            <w:r/>
          </w:p>
          <w:p>
            <w:pPr>
              <w:spacing w:line="274" w:lineRule="auto"/>
              <w:rPr>
                <w:rFonts w:ascii="Arial"/>
                <w:sz w:val="21"/>
              </w:rPr>
            </w:pPr>
            <w:r/>
          </w:p>
          <w:p>
            <w:pPr>
              <w:ind w:left="357"/>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1086" w:type="dxa"/>
            <w:vAlign w:val="top"/>
          </w:tcPr>
          <w:p>
            <w:pPr>
              <w:spacing w:line="259" w:lineRule="auto"/>
              <w:rPr>
                <w:rFonts w:ascii="Arial"/>
                <w:sz w:val="21"/>
              </w:rPr>
            </w:pPr>
            <w:r/>
          </w:p>
          <w:p>
            <w:pPr>
              <w:spacing w:line="259" w:lineRule="auto"/>
              <w:rPr>
                <w:rFonts w:ascii="Arial"/>
                <w:sz w:val="21"/>
              </w:rPr>
            </w:pPr>
            <w:r/>
          </w:p>
          <w:p>
            <w:pPr>
              <w:spacing w:line="260" w:lineRule="auto"/>
              <w:rPr>
                <w:rFonts w:ascii="Arial"/>
                <w:sz w:val="21"/>
              </w:rPr>
            </w:pPr>
            <w:r/>
          </w:p>
          <w:p>
            <w:pPr>
              <w:pStyle w:val="TableText"/>
              <w:ind w:left="127"/>
              <w:spacing w:before="65" w:line="228" w:lineRule="auto"/>
              <w:rPr/>
            </w:pPr>
            <w:r>
              <w:rPr>
                <w:spacing w:val="7"/>
              </w:rPr>
              <w:t>洗毛车间</w:t>
            </w:r>
          </w:p>
        </w:tc>
        <w:tc>
          <w:tcPr>
            <w:tcW w:w="2249" w:type="dxa"/>
            <w:vAlign w:val="top"/>
          </w:tcPr>
          <w:p>
            <w:pPr>
              <w:spacing w:line="320" w:lineRule="auto"/>
              <w:rPr>
                <w:rFonts w:ascii="Arial"/>
                <w:sz w:val="21"/>
              </w:rPr>
            </w:pPr>
            <w:r/>
          </w:p>
          <w:p>
            <w:pPr>
              <w:spacing w:line="321" w:lineRule="auto"/>
              <w:rPr>
                <w:rFonts w:ascii="Arial"/>
                <w:sz w:val="21"/>
              </w:rPr>
            </w:pPr>
            <w:r/>
          </w:p>
          <w:p>
            <w:pPr>
              <w:pStyle w:val="TableText"/>
              <w:ind w:left="499" w:right="5" w:hanging="482"/>
              <w:spacing w:before="65" w:line="254" w:lineRule="auto"/>
              <w:rPr/>
            </w:pPr>
            <w:r>
              <w:rPr>
                <w:spacing w:val="1"/>
              </w:rPr>
              <w:t>市场购买；采用大力士环</w:t>
            </w:r>
            <w:r>
              <w:rPr>
                <w:spacing w:val="8"/>
              </w:rPr>
              <w:t xml:space="preserve"> </w:t>
            </w:r>
            <w:r>
              <w:rPr>
                <w:spacing w:val="8"/>
              </w:rPr>
              <w:t>保羊毛洗涤剂</w:t>
            </w:r>
          </w:p>
        </w:tc>
      </w:tr>
      <w:tr>
        <w:trPr>
          <w:trHeight w:val="821" w:hRule="atLeast"/>
        </w:trPr>
        <w:tc>
          <w:tcPr>
            <w:tcW w:w="393" w:type="dxa"/>
            <w:vAlign w:val="top"/>
          </w:tcPr>
          <w:p>
            <w:pPr>
              <w:spacing w:line="282" w:lineRule="auto"/>
              <w:rPr>
                <w:rFonts w:ascii="Arial"/>
                <w:sz w:val="21"/>
              </w:rPr>
            </w:pPr>
            <w:r/>
          </w:p>
          <w:p>
            <w:pPr>
              <w:ind w:left="148"/>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779" w:type="dxa"/>
            <w:vAlign w:val="top"/>
          </w:tcPr>
          <w:p>
            <w:pPr>
              <w:pStyle w:val="TableText"/>
              <w:ind w:left="82"/>
              <w:spacing w:before="305" w:line="228" w:lineRule="auto"/>
              <w:rPr/>
            </w:pPr>
            <w:r>
              <w:rPr>
                <w:spacing w:val="5"/>
              </w:rPr>
              <w:t>牛羊粪</w:t>
            </w:r>
          </w:p>
        </w:tc>
        <w:tc>
          <w:tcPr>
            <w:tcW w:w="2475" w:type="dxa"/>
            <w:vAlign w:val="top"/>
          </w:tcPr>
          <w:p>
            <w:pPr>
              <w:pStyle w:val="TableText"/>
              <w:ind w:left="145"/>
              <w:spacing w:before="183" w:line="227" w:lineRule="auto"/>
              <w:rPr/>
            </w:pPr>
            <w:r>
              <w:rPr>
                <w:rFonts w:ascii="Times New Roman" w:hAnsi="Times New Roman" w:eastAsia="Times New Roman" w:cs="Times New Roman"/>
              </w:rPr>
              <w:t>TS</w:t>
            </w:r>
            <w:r>
              <w:rPr>
                <w:rFonts w:ascii="Times New Roman" w:hAnsi="Times New Roman" w:eastAsia="Times New Roman" w:cs="Times New Roman"/>
                <w:spacing w:val="9"/>
              </w:rPr>
              <w:t xml:space="preserve"> </w:t>
            </w:r>
            <w:r>
              <w:rPr>
                <w:spacing w:val="9"/>
              </w:rPr>
              <w:t>调节添加剂，含水率</w:t>
            </w:r>
          </w:p>
          <w:p>
            <w:pPr>
              <w:ind w:left="1048"/>
              <w:spacing w:before="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60%</w:t>
            </w:r>
          </w:p>
        </w:tc>
        <w:tc>
          <w:tcPr>
            <w:tcW w:w="676" w:type="dxa"/>
            <w:vAlign w:val="top"/>
          </w:tcPr>
          <w:p>
            <w:pPr>
              <w:spacing w:line="278" w:lineRule="auto"/>
              <w:rPr>
                <w:rFonts w:ascii="Arial"/>
                <w:sz w:val="21"/>
              </w:rPr>
            </w:pPr>
            <w:r/>
          </w:p>
          <w:p>
            <w:pPr>
              <w:ind w:left="232"/>
              <w:spacing w:before="5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t/a</w:t>
            </w:r>
          </w:p>
        </w:tc>
        <w:tc>
          <w:tcPr>
            <w:tcW w:w="915" w:type="dxa"/>
            <w:vAlign w:val="top"/>
          </w:tcPr>
          <w:p>
            <w:pPr>
              <w:spacing w:line="282" w:lineRule="auto"/>
              <w:rPr>
                <w:rFonts w:ascii="Arial"/>
                <w:sz w:val="21"/>
              </w:rPr>
            </w:pPr>
            <w:r/>
          </w:p>
          <w:p>
            <w:pPr>
              <w:ind w:left="24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2250</w:t>
            </w:r>
          </w:p>
        </w:tc>
        <w:tc>
          <w:tcPr>
            <w:tcW w:w="1086" w:type="dxa"/>
            <w:vAlign w:val="top"/>
          </w:tcPr>
          <w:p>
            <w:pPr>
              <w:pStyle w:val="TableText"/>
              <w:ind w:left="28"/>
              <w:spacing w:before="168" w:line="228" w:lineRule="auto"/>
              <w:rPr/>
            </w:pPr>
            <w:r>
              <w:rPr>
                <w:spacing w:val="7"/>
              </w:rPr>
              <w:t>不在厂区内</w:t>
            </w:r>
          </w:p>
          <w:p>
            <w:pPr>
              <w:pStyle w:val="TableText"/>
              <w:ind w:left="340"/>
              <w:spacing w:before="24" w:line="228" w:lineRule="auto"/>
              <w:rPr/>
            </w:pPr>
            <w:r>
              <w:rPr>
                <w:spacing w:val="4"/>
              </w:rPr>
              <w:t>贮存</w:t>
            </w:r>
          </w:p>
        </w:tc>
        <w:tc>
          <w:tcPr>
            <w:tcW w:w="2249" w:type="dxa"/>
            <w:vAlign w:val="top"/>
          </w:tcPr>
          <w:p>
            <w:pPr>
              <w:pStyle w:val="TableText"/>
              <w:ind w:left="12"/>
              <w:spacing w:before="32" w:line="227" w:lineRule="auto"/>
              <w:rPr/>
            </w:pPr>
            <w:r>
              <w:rPr>
                <w:spacing w:val="2"/>
              </w:rPr>
              <w:t>周边养殖场购买；每天洗</w:t>
            </w:r>
          </w:p>
          <w:p>
            <w:pPr>
              <w:pStyle w:val="TableText"/>
              <w:ind w:right="1"/>
              <w:spacing w:before="27" w:line="228" w:lineRule="auto"/>
              <w:jc w:val="right"/>
              <w:rPr/>
            </w:pPr>
            <w:r>
              <w:rPr>
                <w:spacing w:val="1"/>
              </w:rPr>
              <w:t>毛废水分</w:t>
            </w:r>
            <w:r>
              <w:rPr>
                <w:spacing w:val="-34"/>
              </w:rPr>
              <w:t xml:space="preserve"> </w:t>
            </w:r>
            <w:r>
              <w:rPr>
                <w:rFonts w:ascii="Times New Roman" w:hAnsi="Times New Roman" w:eastAsia="Times New Roman" w:cs="Times New Roman"/>
                <w:spacing w:val="1"/>
              </w:rPr>
              <w:t>2 </w:t>
            </w:r>
            <w:r>
              <w:rPr>
                <w:spacing w:val="1"/>
              </w:rPr>
              <w:t>批次调节，牛</w:t>
            </w:r>
          </w:p>
          <w:p>
            <w:pPr>
              <w:pStyle w:val="TableText"/>
              <w:ind w:left="296"/>
              <w:spacing w:before="24" w:line="216" w:lineRule="auto"/>
              <w:rPr/>
            </w:pPr>
            <w:r>
              <w:rPr>
                <w:spacing w:val="5"/>
              </w:rPr>
              <w:t>羊粪每天拉运</w:t>
            </w:r>
            <w:r>
              <w:rPr>
                <w:spacing w:val="-39"/>
              </w:rPr>
              <w:t xml:space="preserve"> </w:t>
            </w:r>
            <w:r>
              <w:rPr>
                <w:rFonts w:ascii="Times New Roman" w:hAnsi="Times New Roman" w:eastAsia="Times New Roman" w:cs="Times New Roman"/>
                <w:spacing w:val="5"/>
              </w:rPr>
              <w:t>2</w:t>
            </w:r>
            <w:r>
              <w:rPr>
                <w:rFonts w:ascii="Times New Roman" w:hAnsi="Times New Roman" w:eastAsia="Times New Roman" w:cs="Times New Roman"/>
                <w:spacing w:val="15"/>
                <w:w w:val="101"/>
              </w:rPr>
              <w:t xml:space="preserve"> </w:t>
            </w:r>
            <w:r>
              <w:rPr>
                <w:spacing w:val="5"/>
              </w:rPr>
              <w:t>次</w:t>
            </w:r>
          </w:p>
        </w:tc>
      </w:tr>
      <w:tr>
        <w:trPr>
          <w:trHeight w:val="548" w:hRule="atLeast"/>
        </w:trPr>
        <w:tc>
          <w:tcPr>
            <w:tcW w:w="393" w:type="dxa"/>
            <w:vAlign w:val="top"/>
          </w:tcPr>
          <w:p>
            <w:pPr>
              <w:ind w:left="143"/>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779" w:type="dxa"/>
            <w:vAlign w:val="top"/>
          </w:tcPr>
          <w:p>
            <w:pPr>
              <w:pStyle w:val="TableText"/>
              <w:ind w:left="77"/>
              <w:spacing w:before="168" w:line="227" w:lineRule="auto"/>
              <w:rPr/>
            </w:pPr>
            <w:r>
              <w:rPr>
                <w:spacing w:val="6"/>
              </w:rPr>
              <w:t>脱硫剂</w:t>
            </w:r>
          </w:p>
        </w:tc>
        <w:tc>
          <w:tcPr>
            <w:tcW w:w="2475" w:type="dxa"/>
            <w:vAlign w:val="top"/>
          </w:tcPr>
          <w:p>
            <w:pPr>
              <w:pStyle w:val="TableText"/>
              <w:ind w:left="611"/>
              <w:spacing w:before="168" w:line="227" w:lineRule="auto"/>
              <w:rPr/>
            </w:pPr>
            <w:r>
              <w:rPr>
                <w:spacing w:val="8"/>
              </w:rPr>
              <w:t>氧化铁脱硫剂</w:t>
            </w:r>
          </w:p>
        </w:tc>
        <w:tc>
          <w:tcPr>
            <w:tcW w:w="676" w:type="dxa"/>
            <w:vAlign w:val="top"/>
          </w:tcPr>
          <w:p>
            <w:pPr>
              <w:ind w:left="232"/>
              <w:spacing w:before="203"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t/a</w:t>
            </w:r>
          </w:p>
        </w:tc>
        <w:tc>
          <w:tcPr>
            <w:tcW w:w="915" w:type="dxa"/>
            <w:vAlign w:val="top"/>
          </w:tcPr>
          <w:p>
            <w:pPr>
              <w:ind w:left="275"/>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4.46</w:t>
            </w:r>
          </w:p>
        </w:tc>
        <w:tc>
          <w:tcPr>
            <w:tcW w:w="1086" w:type="dxa"/>
            <w:vAlign w:val="top"/>
          </w:tcPr>
          <w:p>
            <w:pPr>
              <w:pStyle w:val="TableText"/>
              <w:ind w:left="25"/>
              <w:spacing w:before="34" w:line="227" w:lineRule="auto"/>
              <w:rPr/>
            </w:pPr>
            <w:r>
              <w:rPr>
                <w:spacing w:val="7"/>
              </w:rPr>
              <w:t>厌氧发酵装</w:t>
            </w:r>
          </w:p>
          <w:p>
            <w:pPr>
              <w:pStyle w:val="TableText"/>
              <w:ind w:left="337"/>
              <w:spacing w:before="25" w:line="214" w:lineRule="auto"/>
              <w:rPr/>
            </w:pPr>
            <w:r>
              <w:rPr>
                <w:spacing w:val="5"/>
              </w:rPr>
              <w:t>置区</w:t>
            </w:r>
          </w:p>
        </w:tc>
        <w:tc>
          <w:tcPr>
            <w:tcW w:w="2249" w:type="dxa"/>
            <w:vAlign w:val="top"/>
          </w:tcPr>
          <w:p>
            <w:pPr>
              <w:pStyle w:val="TableText"/>
              <w:ind w:left="715"/>
              <w:spacing w:before="168" w:line="227" w:lineRule="auto"/>
              <w:rPr/>
            </w:pPr>
            <w:r>
              <w:rPr>
                <w:spacing w:val="5"/>
              </w:rPr>
              <w:t>市场购买</w:t>
            </w:r>
          </w:p>
        </w:tc>
      </w:tr>
      <w:tr>
        <w:trPr>
          <w:trHeight w:val="550" w:hRule="atLeast"/>
        </w:trPr>
        <w:tc>
          <w:tcPr>
            <w:tcW w:w="393" w:type="dxa"/>
            <w:vAlign w:val="top"/>
          </w:tcPr>
          <w:p>
            <w:pPr>
              <w:ind w:left="150"/>
              <w:spacing w:before="21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779" w:type="dxa"/>
            <w:vAlign w:val="top"/>
          </w:tcPr>
          <w:p>
            <w:pPr>
              <w:pStyle w:val="TableText"/>
              <w:ind w:left="89"/>
              <w:spacing w:before="170" w:line="227" w:lineRule="auto"/>
              <w:rPr/>
            </w:pPr>
            <w:r>
              <w:rPr>
                <w:spacing w:val="2"/>
              </w:rPr>
              <w:t>除臭剂</w:t>
            </w:r>
          </w:p>
        </w:tc>
        <w:tc>
          <w:tcPr>
            <w:tcW w:w="2475" w:type="dxa"/>
            <w:vAlign w:val="top"/>
          </w:tcPr>
          <w:p>
            <w:pPr>
              <w:pStyle w:val="TableText"/>
              <w:ind w:left="255"/>
              <w:spacing w:before="170" w:line="221" w:lineRule="auto"/>
              <w:rPr>
                <w:rFonts w:ascii="Times New Roman" w:hAnsi="Times New Roman" w:eastAsia="Times New Roman" w:cs="Times New Roman"/>
              </w:rPr>
            </w:pPr>
            <w:r>
              <w:rPr>
                <w:spacing w:val="7"/>
              </w:rPr>
              <w:t>生物除臭剂</w:t>
            </w:r>
            <w:r>
              <w:rPr>
                <w:rFonts w:ascii="Times New Roman" w:hAnsi="Times New Roman" w:eastAsia="Times New Roman" w:cs="Times New Roman"/>
                <w:spacing w:val="7"/>
              </w:rPr>
              <w:t>(</w:t>
            </w:r>
            <w:r>
              <w:rPr>
                <w:rFonts w:ascii="Times New Roman" w:hAnsi="Times New Roman" w:eastAsia="Times New Roman" w:cs="Times New Roman"/>
              </w:rPr>
              <w:t>EM</w:t>
            </w:r>
            <w:r>
              <w:rPr>
                <w:rFonts w:ascii="Times New Roman" w:hAnsi="Times New Roman" w:eastAsia="Times New Roman" w:cs="Times New Roman"/>
                <w:spacing w:val="18"/>
              </w:rPr>
              <w:t xml:space="preserve"> </w:t>
            </w:r>
            <w:r>
              <w:rPr>
                <w:spacing w:val="7"/>
              </w:rPr>
              <w:t>菌等</w:t>
            </w:r>
            <w:r>
              <w:rPr>
                <w:rFonts w:ascii="Times New Roman" w:hAnsi="Times New Roman" w:eastAsia="Times New Roman" w:cs="Times New Roman"/>
                <w:spacing w:val="7"/>
              </w:rPr>
              <w:t>)</w:t>
            </w:r>
          </w:p>
        </w:tc>
        <w:tc>
          <w:tcPr>
            <w:tcW w:w="676" w:type="dxa"/>
            <w:vAlign w:val="top"/>
          </w:tcPr>
          <w:p>
            <w:pPr>
              <w:ind w:left="232"/>
              <w:spacing w:before="20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t/a</w:t>
            </w:r>
          </w:p>
        </w:tc>
        <w:tc>
          <w:tcPr>
            <w:tcW w:w="915" w:type="dxa"/>
            <w:vAlign w:val="top"/>
          </w:tcPr>
          <w:p>
            <w:pPr>
              <w:ind w:left="411"/>
              <w:spacing w:before="21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086" w:type="dxa"/>
            <w:vAlign w:val="top"/>
          </w:tcPr>
          <w:p>
            <w:pPr>
              <w:pStyle w:val="TableText"/>
              <w:ind w:left="25"/>
              <w:spacing w:before="35" w:line="227" w:lineRule="auto"/>
              <w:rPr/>
            </w:pPr>
            <w:r>
              <w:rPr>
                <w:spacing w:val="7"/>
              </w:rPr>
              <w:t>厌氧发酵装</w:t>
            </w:r>
          </w:p>
          <w:p>
            <w:pPr>
              <w:pStyle w:val="TableText"/>
              <w:ind w:left="337"/>
              <w:spacing w:before="27" w:line="213" w:lineRule="auto"/>
              <w:rPr/>
            </w:pPr>
            <w:r>
              <w:rPr>
                <w:spacing w:val="5"/>
              </w:rPr>
              <w:t>置区</w:t>
            </w:r>
          </w:p>
        </w:tc>
        <w:tc>
          <w:tcPr>
            <w:tcW w:w="2249" w:type="dxa"/>
            <w:vAlign w:val="top"/>
          </w:tcPr>
          <w:p>
            <w:pPr>
              <w:pStyle w:val="TableText"/>
              <w:ind w:left="715"/>
              <w:spacing w:before="170" w:line="227" w:lineRule="auto"/>
              <w:rPr/>
            </w:pPr>
            <w:r>
              <w:rPr>
                <w:spacing w:val="5"/>
              </w:rPr>
              <w:t>市场购买</w:t>
            </w:r>
          </w:p>
        </w:tc>
      </w:tr>
      <w:tr>
        <w:trPr>
          <w:trHeight w:val="1379" w:hRule="atLeast"/>
        </w:trPr>
        <w:tc>
          <w:tcPr>
            <w:tcW w:w="393" w:type="dxa"/>
            <w:vAlign w:val="top"/>
          </w:tcPr>
          <w:p>
            <w:pPr>
              <w:spacing w:line="277" w:lineRule="auto"/>
              <w:rPr>
                <w:rFonts w:ascii="Arial"/>
                <w:sz w:val="21"/>
              </w:rPr>
            </w:pPr>
            <w:r/>
          </w:p>
          <w:p>
            <w:pPr>
              <w:spacing w:line="278" w:lineRule="auto"/>
              <w:rPr>
                <w:rFonts w:ascii="Arial"/>
                <w:sz w:val="21"/>
              </w:rPr>
            </w:pPr>
            <w:r/>
          </w:p>
          <w:p>
            <w:pPr>
              <w:ind w:left="14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779" w:type="dxa"/>
            <w:vAlign w:val="top"/>
          </w:tcPr>
          <w:p>
            <w:pPr>
              <w:spacing w:line="256" w:lineRule="auto"/>
              <w:rPr>
                <w:rFonts w:ascii="Arial"/>
                <w:sz w:val="21"/>
              </w:rPr>
            </w:pPr>
            <w:r/>
          </w:p>
          <w:p>
            <w:pPr>
              <w:spacing w:line="256" w:lineRule="auto"/>
              <w:rPr>
                <w:rFonts w:ascii="Arial"/>
                <w:sz w:val="21"/>
              </w:rPr>
            </w:pPr>
            <w:r/>
          </w:p>
          <w:p>
            <w:pPr>
              <w:pStyle w:val="TableText"/>
              <w:ind w:left="78"/>
              <w:spacing w:before="65" w:line="228" w:lineRule="auto"/>
              <w:rPr/>
            </w:pPr>
            <w:r>
              <w:rPr>
                <w:spacing w:val="6"/>
              </w:rPr>
              <w:t>生物质</w:t>
            </w:r>
          </w:p>
        </w:tc>
        <w:tc>
          <w:tcPr>
            <w:tcW w:w="2475" w:type="dxa"/>
            <w:vAlign w:val="top"/>
          </w:tcPr>
          <w:p>
            <w:pPr>
              <w:rPr>
                <w:rFonts w:ascii="Arial"/>
                <w:sz w:val="21"/>
              </w:rPr>
            </w:pPr>
            <w:r/>
          </w:p>
          <w:p>
            <w:pPr>
              <w:pStyle w:val="TableText"/>
              <w:ind w:left="13"/>
              <w:spacing w:before="65" w:line="226" w:lineRule="auto"/>
              <w:rPr/>
            </w:pPr>
            <w:r>
              <w:rPr>
                <w:spacing w:val="4"/>
              </w:rPr>
              <w:t>牛羊粪生物质成型燃料；生</w:t>
            </w:r>
          </w:p>
          <w:p>
            <w:pPr>
              <w:pStyle w:val="TableText"/>
              <w:ind w:left="87"/>
              <w:spacing w:before="28" w:line="226" w:lineRule="auto"/>
              <w:rPr/>
            </w:pPr>
            <w:r>
              <w:rPr>
                <w:spacing w:val="9"/>
              </w:rPr>
              <w:t>物质成型燃料成分分析指</w:t>
            </w:r>
          </w:p>
          <w:p>
            <w:pPr>
              <w:pStyle w:val="TableText"/>
              <w:ind w:left="479"/>
              <w:spacing w:before="26" w:line="227" w:lineRule="auto"/>
              <w:rPr/>
            </w:pPr>
            <w:r>
              <w:rPr>
                <w:spacing w:val="-2"/>
              </w:rPr>
              <w:t>标见</w:t>
            </w:r>
            <w:r>
              <w:rPr>
                <w:spacing w:val="-36"/>
              </w:rPr>
              <w:t xml:space="preserve"> </w:t>
            </w:r>
            <w:r>
              <w:rPr>
                <w:rFonts w:ascii="Times New Roman" w:hAnsi="Times New Roman" w:eastAsia="Times New Roman" w:cs="Times New Roman"/>
                <w:spacing w:val="-2"/>
              </w:rPr>
              <w:t>3.5.</w:t>
            </w:r>
            <w:r>
              <w:rPr>
                <w:rFonts w:ascii="Times New Roman" w:hAnsi="Times New Roman" w:eastAsia="Times New Roman" w:cs="Times New Roman"/>
                <w:spacing w:val="-25"/>
              </w:rPr>
              <w:t xml:space="preserve"> </w:t>
            </w:r>
            <w:r>
              <w:rPr>
                <w:rFonts w:ascii="Times New Roman" w:hAnsi="Times New Roman" w:eastAsia="Times New Roman" w:cs="Times New Roman"/>
                <w:spacing w:val="-2"/>
              </w:rPr>
              <w:t>1.</w:t>
            </w:r>
            <w:r>
              <w:rPr>
                <w:rFonts w:ascii="Times New Roman" w:hAnsi="Times New Roman" w:eastAsia="Times New Roman" w:cs="Times New Roman"/>
                <w:spacing w:val="-25"/>
              </w:rPr>
              <w:t xml:space="preserve"> </w:t>
            </w:r>
            <w:r>
              <w:rPr>
                <w:rFonts w:ascii="Times New Roman" w:hAnsi="Times New Roman" w:eastAsia="Times New Roman" w:cs="Times New Roman"/>
                <w:spacing w:val="-2"/>
              </w:rPr>
              <w:t>1</w:t>
            </w:r>
            <w:r>
              <w:rPr>
                <w:rFonts w:ascii="Times New Roman" w:hAnsi="Times New Roman" w:eastAsia="Times New Roman" w:cs="Times New Roman"/>
                <w:spacing w:val="19"/>
                <w:w w:val="101"/>
              </w:rPr>
              <w:t xml:space="preserve"> </w:t>
            </w:r>
            <w:r>
              <w:rPr>
                <w:spacing w:val="-2"/>
              </w:rPr>
              <w:t>章节</w:t>
            </w:r>
          </w:p>
        </w:tc>
        <w:tc>
          <w:tcPr>
            <w:tcW w:w="676" w:type="dxa"/>
            <w:vAlign w:val="top"/>
          </w:tcPr>
          <w:p>
            <w:pPr>
              <w:spacing w:line="275" w:lineRule="auto"/>
              <w:rPr>
                <w:rFonts w:ascii="Arial"/>
                <w:sz w:val="21"/>
              </w:rPr>
            </w:pPr>
            <w:r/>
          </w:p>
          <w:p>
            <w:pPr>
              <w:spacing w:line="276" w:lineRule="auto"/>
              <w:rPr>
                <w:rFonts w:ascii="Arial"/>
                <w:sz w:val="21"/>
              </w:rPr>
            </w:pPr>
            <w:r/>
          </w:p>
          <w:p>
            <w:pPr>
              <w:ind w:left="232"/>
              <w:spacing w:before="5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t/a</w:t>
            </w:r>
          </w:p>
        </w:tc>
        <w:tc>
          <w:tcPr>
            <w:tcW w:w="915" w:type="dxa"/>
            <w:vAlign w:val="top"/>
          </w:tcPr>
          <w:p>
            <w:pPr>
              <w:spacing w:line="277" w:lineRule="auto"/>
              <w:rPr>
                <w:rFonts w:ascii="Arial"/>
                <w:sz w:val="21"/>
              </w:rPr>
            </w:pPr>
            <w:r/>
          </w:p>
          <w:p>
            <w:pPr>
              <w:spacing w:line="278" w:lineRule="auto"/>
              <w:rPr>
                <w:rFonts w:ascii="Arial"/>
                <w:sz w:val="21"/>
              </w:rPr>
            </w:pPr>
            <w:r/>
          </w:p>
          <w:p>
            <w:pPr>
              <w:ind w:left="255"/>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5664</w:t>
            </w:r>
          </w:p>
        </w:tc>
        <w:tc>
          <w:tcPr>
            <w:tcW w:w="1086" w:type="dxa"/>
            <w:vAlign w:val="top"/>
          </w:tcPr>
          <w:p>
            <w:pPr>
              <w:spacing w:line="376" w:lineRule="auto"/>
              <w:rPr>
                <w:rFonts w:ascii="Arial"/>
                <w:sz w:val="21"/>
              </w:rPr>
            </w:pPr>
            <w:r/>
          </w:p>
          <w:p>
            <w:pPr>
              <w:pStyle w:val="TableText"/>
              <w:ind w:left="26"/>
              <w:spacing w:before="65" w:line="226" w:lineRule="auto"/>
              <w:rPr/>
            </w:pPr>
            <w:r>
              <w:rPr>
                <w:spacing w:val="7"/>
              </w:rPr>
              <w:t>生物质燃料</w:t>
            </w:r>
          </w:p>
          <w:p>
            <w:pPr>
              <w:pStyle w:val="TableText"/>
              <w:ind w:left="340"/>
              <w:spacing w:before="28" w:line="228" w:lineRule="auto"/>
              <w:rPr/>
            </w:pPr>
            <w:r>
              <w:rPr>
                <w:spacing w:val="4"/>
              </w:rPr>
              <w:t>库房</w:t>
            </w:r>
          </w:p>
        </w:tc>
        <w:tc>
          <w:tcPr>
            <w:tcW w:w="2249" w:type="dxa"/>
            <w:vAlign w:val="top"/>
          </w:tcPr>
          <w:p>
            <w:pPr>
              <w:pStyle w:val="TableText"/>
              <w:ind w:left="11" w:right="5" w:firstLine="71"/>
              <w:spacing w:before="36" w:line="246" w:lineRule="auto"/>
              <w:jc w:val="both"/>
              <w:rPr/>
            </w:pPr>
            <w:r>
              <w:rPr>
                <w:spacing w:val="8"/>
              </w:rPr>
              <w:t>外购于西乌珠穆沁旗昊</w:t>
            </w:r>
            <w:r>
              <w:rPr>
                <w:spacing w:val="4"/>
              </w:rPr>
              <w:t xml:space="preserve"> </w:t>
            </w:r>
            <w:r>
              <w:rPr>
                <w:spacing w:val="15"/>
              </w:rPr>
              <w:t>鑫生物质环保颗粒加工</w:t>
            </w:r>
            <w:r>
              <w:rPr>
                <w:spacing w:val="5"/>
              </w:rPr>
              <w:t xml:space="preserve"> </w:t>
            </w:r>
            <w:r>
              <w:rPr>
                <w:spacing w:val="2"/>
              </w:rPr>
              <w:t>有限公司；待内蒙古源浩</w:t>
            </w:r>
            <w:r>
              <w:rPr>
                <w:spacing w:val="3"/>
              </w:rPr>
              <w:t xml:space="preserve"> </w:t>
            </w:r>
            <w:r>
              <w:rPr>
                <w:spacing w:val="15"/>
              </w:rPr>
              <w:t>羊绒制品有限公司废弃</w:t>
            </w:r>
            <w:r>
              <w:rPr>
                <w:spacing w:val="5"/>
              </w:rPr>
              <w:t xml:space="preserve"> </w:t>
            </w:r>
            <w:r>
              <w:rPr>
                <w:spacing w:val="2"/>
              </w:rPr>
              <w:t>物高效循环利用项目（二</w:t>
            </w:r>
          </w:p>
        </w:tc>
      </w:tr>
    </w:tbl>
    <w:p>
      <w:pPr>
        <w:pStyle w:val="BodyText"/>
        <w:spacing w:line="330" w:lineRule="auto"/>
        <w:rPr/>
      </w:pPr>
      <w:r/>
    </w:p>
    <w:p>
      <w:pPr>
        <w:ind w:left="44"/>
        <w:spacing w:before="62" w:line="225" w:lineRule="auto"/>
        <w:rPr>
          <w:rFonts w:ascii="SimSun" w:hAnsi="SimSun" w:eastAsia="SimSun" w:cs="SimSun"/>
          <w:sz w:val="19"/>
          <w:szCs w:val="19"/>
        </w:rPr>
      </w:pPr>
      <w:r>
        <w:pict>
          <v:shape id="_x0000_s310" style="position:absolute;margin-left:161.17pt;margin-top:2.13083pt;mso-position-vertical-relative:text;mso-position-horizontal-relative:text;width:58.85pt;height:13.75pt;z-index:25180057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28"/>
                    </w:rPr>
                    <w:t xml:space="preserve">   </w:t>
                  </w:r>
                  <w:r>
                    <w:rPr>
                      <w:rFonts w:ascii="Times New Roman" w:hAnsi="Times New Roman" w:eastAsia="Times New Roman" w:cs="Times New Roman"/>
                      <w:sz w:val="18"/>
                      <w:szCs w:val="18"/>
                      <w:spacing w:val="3"/>
                      <w:position w:val="2"/>
                    </w:rPr>
                    <w:t>61</w:t>
                  </w:r>
                </w:p>
              </w:txbxContent>
            </v:textbox>
          </v:shape>
        </w:pict>
      </w:r>
      <w:r>
        <w:rPr>
          <w:rFonts w:ascii="SimSun" w:hAnsi="SimSun" w:eastAsia="SimSun" w:cs="SimSun"/>
          <w:sz w:val="19"/>
          <w:szCs w:val="19"/>
          <w:spacing w:val="9"/>
        </w:rPr>
        <w:t>锡林郭勒盟中安环境技术咨询有限责</w:t>
      </w:r>
    </w:p>
    <w:p>
      <w:pPr>
        <w:spacing w:line="225" w:lineRule="auto"/>
        <w:sectPr>
          <w:headerReference w:type="default" r:id="rId76"/>
          <w:pgSz w:w="11907" w:h="16840"/>
          <w:pgMar w:top="1567" w:right="1664" w:bottom="400" w:left="1664" w:header="1221" w:footer="0" w:gutter="0"/>
        </w:sectPr>
        <w:rPr>
          <w:rFonts w:ascii="SimSun" w:hAnsi="SimSun" w:eastAsia="SimSun" w:cs="SimSun"/>
          <w:sz w:val="19"/>
          <w:szCs w:val="19"/>
        </w:rPr>
      </w:pPr>
    </w:p>
    <w:p>
      <w:pPr>
        <w:spacing w:line="133" w:lineRule="exact"/>
        <w:rPr/>
      </w:pPr>
      <w:r>
        <w:pict>
          <v:shape id="_x0000_s314" style="position:absolute;margin-left:85.05pt;margin-top:78.87pt;mso-position-vertical-relative:page;mso-position-horizontal-relative:page;width:425.25pt;height:0.75pt;z-index:251803648;" o:allowincell="f" fillcolor="#000000" filled="true" stroked="false" coordsize="8505,15" coordorigin="0,0" path="m,l8505,0l8505,14l0,14l0,0xe"/>
        </w:pict>
      </w:r>
      <w:r/>
    </w:p>
    <w:tbl>
      <w:tblPr>
        <w:tblStyle w:val="TableNormal"/>
        <w:tblW w:w="857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93"/>
        <w:gridCol w:w="779"/>
        <w:gridCol w:w="2475"/>
        <w:gridCol w:w="676"/>
        <w:gridCol w:w="915"/>
        <w:gridCol w:w="1086"/>
        <w:gridCol w:w="2249"/>
      </w:tblGrid>
      <w:tr>
        <w:trPr>
          <w:trHeight w:val="552" w:hRule="atLeast"/>
        </w:trPr>
        <w:tc>
          <w:tcPr>
            <w:tcW w:w="393" w:type="dxa"/>
            <w:vAlign w:val="top"/>
            <w:textDirection w:val="tbRlV"/>
          </w:tcPr>
          <w:p>
            <w:pPr>
              <w:pStyle w:val="TableText"/>
              <w:ind w:left="35"/>
              <w:spacing w:before="91" w:line="218" w:lineRule="auto"/>
              <w:rPr/>
            </w:pPr>
            <w:r>
              <w:rPr>
                <w:spacing w:val="8"/>
              </w:rPr>
              <w:t>序</w:t>
            </w:r>
            <w:r>
              <w:rPr>
                <w:spacing w:val="-35"/>
              </w:rPr>
              <w:t xml:space="preserve"> </w:t>
            </w:r>
            <w:r>
              <w:rPr>
                <w:spacing w:val="8"/>
              </w:rPr>
              <w:t>号</w:t>
            </w:r>
          </w:p>
        </w:tc>
        <w:tc>
          <w:tcPr>
            <w:tcW w:w="779" w:type="dxa"/>
            <w:vAlign w:val="top"/>
          </w:tcPr>
          <w:p>
            <w:pPr>
              <w:pStyle w:val="TableText"/>
              <w:ind w:left="185"/>
              <w:spacing w:before="172" w:line="230" w:lineRule="auto"/>
              <w:rPr/>
            </w:pPr>
            <w:r>
              <w:rPr>
                <w:spacing w:val="3"/>
              </w:rPr>
              <w:t>名称</w:t>
            </w:r>
          </w:p>
        </w:tc>
        <w:tc>
          <w:tcPr>
            <w:tcW w:w="2475" w:type="dxa"/>
            <w:vAlign w:val="top"/>
          </w:tcPr>
          <w:p>
            <w:pPr>
              <w:pStyle w:val="TableText"/>
              <w:ind w:left="794"/>
              <w:spacing w:before="171" w:line="228" w:lineRule="auto"/>
              <w:rPr/>
            </w:pPr>
            <w:r>
              <w:rPr>
                <w:spacing w:val="6"/>
              </w:rPr>
              <w:t>规格</w:t>
            </w:r>
            <w:r>
              <w:rPr>
                <w:rFonts w:ascii="Times New Roman" w:hAnsi="Times New Roman" w:eastAsia="Times New Roman" w:cs="Times New Roman"/>
                <w:spacing w:val="6"/>
              </w:rPr>
              <w:t>/</w:t>
            </w:r>
            <w:r>
              <w:rPr>
                <w:spacing w:val="6"/>
              </w:rPr>
              <w:t>成分</w:t>
            </w:r>
          </w:p>
        </w:tc>
        <w:tc>
          <w:tcPr>
            <w:tcW w:w="676" w:type="dxa"/>
            <w:vAlign w:val="top"/>
          </w:tcPr>
          <w:p>
            <w:pPr>
              <w:pStyle w:val="TableText"/>
              <w:ind w:left="134"/>
              <w:spacing w:before="172" w:line="228" w:lineRule="auto"/>
              <w:rPr/>
            </w:pPr>
            <w:r>
              <w:rPr>
                <w:spacing w:val="3"/>
              </w:rPr>
              <w:t>单位</w:t>
            </w:r>
          </w:p>
        </w:tc>
        <w:tc>
          <w:tcPr>
            <w:tcW w:w="915" w:type="dxa"/>
            <w:vAlign w:val="top"/>
          </w:tcPr>
          <w:p>
            <w:pPr>
              <w:pStyle w:val="TableText"/>
              <w:ind w:left="255"/>
              <w:spacing w:before="171" w:line="228" w:lineRule="auto"/>
              <w:rPr/>
            </w:pPr>
            <w:r>
              <w:rPr>
                <w:spacing w:val="3"/>
              </w:rPr>
              <w:t>数量</w:t>
            </w:r>
          </w:p>
        </w:tc>
        <w:tc>
          <w:tcPr>
            <w:tcW w:w="1086" w:type="dxa"/>
            <w:vAlign w:val="top"/>
          </w:tcPr>
          <w:p>
            <w:pPr>
              <w:pStyle w:val="TableText"/>
              <w:ind w:left="127"/>
              <w:spacing w:before="171" w:line="228" w:lineRule="auto"/>
              <w:rPr/>
            </w:pPr>
            <w:r>
              <w:rPr>
                <w:spacing w:val="7"/>
              </w:rPr>
              <w:t>储存位置</w:t>
            </w:r>
          </w:p>
        </w:tc>
        <w:tc>
          <w:tcPr>
            <w:tcW w:w="2249" w:type="dxa"/>
            <w:vAlign w:val="top"/>
          </w:tcPr>
          <w:p>
            <w:pPr>
              <w:pStyle w:val="TableText"/>
              <w:ind w:left="919"/>
              <w:spacing w:before="171" w:line="228" w:lineRule="auto"/>
              <w:rPr/>
            </w:pPr>
            <w:r>
              <w:rPr>
                <w:spacing w:val="4"/>
              </w:rPr>
              <w:t>来源</w:t>
            </w:r>
          </w:p>
        </w:tc>
      </w:tr>
      <w:tr>
        <w:trPr>
          <w:trHeight w:val="551" w:hRule="atLeast"/>
        </w:trPr>
        <w:tc>
          <w:tcPr>
            <w:tcW w:w="393" w:type="dxa"/>
            <w:vAlign w:val="top"/>
          </w:tcPr>
          <w:p>
            <w:pPr>
              <w:rPr>
                <w:rFonts w:ascii="Arial"/>
                <w:sz w:val="21"/>
              </w:rPr>
            </w:pPr>
            <w:r/>
          </w:p>
        </w:tc>
        <w:tc>
          <w:tcPr>
            <w:tcW w:w="779" w:type="dxa"/>
            <w:vAlign w:val="top"/>
          </w:tcPr>
          <w:p>
            <w:pPr>
              <w:rPr>
                <w:rFonts w:ascii="Arial"/>
                <w:sz w:val="21"/>
              </w:rPr>
            </w:pPr>
            <w:r/>
          </w:p>
        </w:tc>
        <w:tc>
          <w:tcPr>
            <w:tcW w:w="2475" w:type="dxa"/>
            <w:vAlign w:val="top"/>
          </w:tcPr>
          <w:p>
            <w:pPr>
              <w:rPr>
                <w:rFonts w:ascii="Arial"/>
                <w:sz w:val="21"/>
              </w:rPr>
            </w:pPr>
            <w:r/>
          </w:p>
        </w:tc>
        <w:tc>
          <w:tcPr>
            <w:tcW w:w="676" w:type="dxa"/>
            <w:vAlign w:val="top"/>
          </w:tcPr>
          <w:p>
            <w:pPr>
              <w:rPr>
                <w:rFonts w:ascii="Arial"/>
                <w:sz w:val="21"/>
              </w:rPr>
            </w:pPr>
            <w:r/>
          </w:p>
        </w:tc>
        <w:tc>
          <w:tcPr>
            <w:tcW w:w="915" w:type="dxa"/>
            <w:vAlign w:val="top"/>
          </w:tcPr>
          <w:p>
            <w:pPr>
              <w:rPr>
                <w:rFonts w:ascii="Arial"/>
                <w:sz w:val="21"/>
              </w:rPr>
            </w:pPr>
            <w:r/>
          </w:p>
        </w:tc>
        <w:tc>
          <w:tcPr>
            <w:tcW w:w="1086" w:type="dxa"/>
            <w:vAlign w:val="top"/>
          </w:tcPr>
          <w:p>
            <w:pPr>
              <w:rPr>
                <w:rFonts w:ascii="Arial"/>
                <w:sz w:val="21"/>
              </w:rPr>
            </w:pPr>
            <w:r/>
          </w:p>
        </w:tc>
        <w:tc>
          <w:tcPr>
            <w:tcW w:w="2249" w:type="dxa"/>
            <w:vAlign w:val="top"/>
          </w:tcPr>
          <w:p>
            <w:pPr>
              <w:pStyle w:val="TableText"/>
              <w:ind w:left="14"/>
              <w:spacing w:before="32" w:line="228" w:lineRule="auto"/>
              <w:rPr/>
            </w:pPr>
            <w:r>
              <w:rPr>
                <w:spacing w:val="2"/>
              </w:rPr>
              <w:t>期）项目生产后，由二期</w:t>
            </w:r>
          </w:p>
          <w:p>
            <w:pPr>
              <w:pStyle w:val="TableText"/>
              <w:ind w:left="919"/>
              <w:spacing w:before="27" w:line="216" w:lineRule="auto"/>
              <w:rPr/>
            </w:pPr>
            <w:r>
              <w:rPr>
                <w:spacing w:val="4"/>
              </w:rPr>
              <w:t>提供</w:t>
            </w:r>
          </w:p>
        </w:tc>
      </w:tr>
    </w:tbl>
    <w:p>
      <w:pPr>
        <w:ind w:left="522"/>
        <w:spacing w:before="195" w:line="219" w:lineRule="auto"/>
        <w:rPr>
          <w:rFonts w:ascii="SimSun" w:hAnsi="SimSun" w:eastAsia="SimSun" w:cs="SimSun"/>
          <w:sz w:val="24"/>
          <w:szCs w:val="24"/>
        </w:rPr>
      </w:pP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、羊毛洗涤剂理化性质</w:t>
      </w:r>
    </w:p>
    <w:p>
      <w:pPr>
        <w:ind w:left="47" w:right="80" w:firstLine="480"/>
        <w:spacing w:before="216" w:line="373" w:lineRule="auto"/>
        <w:rPr>
          <w:rFonts w:ascii="SimSun" w:hAnsi="SimSun" w:eastAsia="SimSun" w:cs="SimSun"/>
          <w:sz w:val="24"/>
          <w:szCs w:val="24"/>
        </w:rPr>
      </w:pPr>
      <w:r>
        <w:rPr>
          <w:rFonts w:ascii="SimSun" w:hAnsi="SimSun" w:eastAsia="SimSun" w:cs="SimSun"/>
          <w:sz w:val="24"/>
          <w:szCs w:val="24"/>
          <w:spacing w:val="3"/>
        </w:rPr>
        <w:t>本项目羊毛洗涤剂采用大力士环保羊毛洗涤剂，主要成分</w:t>
      </w:r>
      <w:r>
        <w:rPr>
          <w:rFonts w:ascii="SimSun" w:hAnsi="SimSun" w:eastAsia="SimSun" w:cs="SimSun"/>
          <w:sz w:val="24"/>
          <w:szCs w:val="24"/>
          <w:spacing w:val="2"/>
        </w:rPr>
        <w:t>为椰子油二乙醇胺</w:t>
      </w:r>
      <w:r>
        <w:rPr>
          <w:rFonts w:ascii="SimSun" w:hAnsi="SimSun" w:eastAsia="SimSun" w:cs="SimSun"/>
          <w:sz w:val="24"/>
          <w:szCs w:val="2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40%-50%</w:t>
      </w:r>
      <w:r>
        <w:rPr>
          <w:rFonts w:ascii="SimSun" w:hAnsi="SimSun" w:eastAsia="SimSun" w:cs="SimSun"/>
          <w:sz w:val="24"/>
          <w:szCs w:val="24"/>
          <w:spacing w:val="12"/>
        </w:rPr>
        <w:t>），</w:t>
      </w:r>
      <w:r>
        <w:rPr>
          <w:rFonts w:ascii="SimSun" w:hAnsi="SimSun" w:eastAsia="SimSun" w:cs="SimSun"/>
          <w:sz w:val="24"/>
          <w:szCs w:val="24"/>
          <w:spacing w:val="-1"/>
        </w:rPr>
        <w:t>聚氧乙烯失水山梨醇醚硬脂酸酯（</w:t>
      </w:r>
      <w:r>
        <w:rPr>
          <w:rFonts w:ascii="Times New Roman" w:hAnsi="Times New Roman" w:eastAsia="Times New Roman" w:cs="Times New Roman"/>
          <w:sz w:val="24"/>
          <w:szCs w:val="24"/>
          <w:spacing w:val="-1"/>
        </w:rPr>
        <w:t>20%-30%</w:t>
      </w:r>
      <w:r>
        <w:rPr>
          <w:rFonts w:ascii="SimSun" w:hAnsi="SimSun" w:eastAsia="SimSun" w:cs="SimSun"/>
          <w:sz w:val="24"/>
          <w:szCs w:val="24"/>
          <w:spacing w:val="12"/>
        </w:rPr>
        <w:t>），</w:t>
      </w:r>
      <w:r>
        <w:rPr>
          <w:rFonts w:ascii="SimSun" w:hAnsi="SimSun" w:eastAsia="SimSun" w:cs="SimSun"/>
          <w:sz w:val="24"/>
          <w:szCs w:val="24"/>
          <w:spacing w:val="-1"/>
        </w:rPr>
        <w:t>高分子乳化剂</w:t>
      </w:r>
      <w:r>
        <w:rPr>
          <w:rFonts w:ascii="Times New Roman" w:hAnsi="Times New Roman" w:eastAsia="Times New Roman" w:cs="Times New Roman"/>
          <w:sz w:val="24"/>
          <w:szCs w:val="24"/>
          <w:spacing w:val="-1"/>
        </w:rPr>
        <w:t>(</w:t>
      </w:r>
      <w:r>
        <w:rPr>
          <w:rFonts w:ascii="SimSun" w:hAnsi="SimSun" w:eastAsia="SimSun" w:cs="SimSun"/>
          <w:sz w:val="24"/>
          <w:szCs w:val="24"/>
          <w:spacing w:val="-1"/>
        </w:rPr>
        <w:t>十</w:t>
      </w:r>
      <w:r>
        <w:rPr>
          <w:rFonts w:ascii="SimSun" w:hAnsi="SimSun" w:eastAsia="SimSun" w:cs="SimSun"/>
          <w:sz w:val="24"/>
          <w:szCs w:val="24"/>
          <w:spacing w:val="2"/>
        </w:rPr>
        <w:t xml:space="preserve"> </w:t>
      </w:r>
      <w:r>
        <w:rPr>
          <w:rFonts w:ascii="SimSun" w:hAnsi="SimSun" w:eastAsia="SimSun" w:cs="SimSun"/>
          <w:sz w:val="24"/>
          <w:szCs w:val="24"/>
          <w:spacing w:val="4"/>
        </w:rPr>
        <w:t>二烷基聚氧乙烯醚硫酸钠</w:t>
      </w:r>
      <w:r>
        <w:rPr>
          <w:rFonts w:ascii="SimSun" w:hAnsi="SimSun" w:eastAsia="SimSun" w:cs="SimSun"/>
          <w:sz w:val="24"/>
          <w:szCs w:val="24"/>
          <w:spacing w:val="-5"/>
        </w:rPr>
        <w:t xml:space="preserve"> </w:t>
      </w:r>
      <w:r>
        <w:rPr>
          <w:rFonts w:ascii="Times New Roman" w:hAnsi="Times New Roman" w:eastAsia="Times New Roman" w:cs="Times New Roman"/>
          <w:sz w:val="24"/>
          <w:szCs w:val="24"/>
          <w:spacing w:val="4"/>
        </w:rPr>
        <w:t>15%-25%)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，助剂</w:t>
      </w:r>
      <w:r>
        <w:rPr>
          <w:rFonts w:ascii="Times New Roman" w:hAnsi="Times New Roman" w:eastAsia="Times New Roman" w:cs="Times New Roman"/>
          <w:sz w:val="24"/>
          <w:szCs w:val="24"/>
          <w:spacing w:val="4"/>
        </w:rPr>
        <w:t>(</w:t>
      </w:r>
      <w:r>
        <w:rPr>
          <w:rFonts w:ascii="SimSun" w:hAnsi="SimSun" w:eastAsia="SimSun" w:cs="SimSun"/>
          <w:sz w:val="24"/>
          <w:szCs w:val="24"/>
          <w:spacing w:val="4"/>
        </w:rPr>
        <w:t>异构十醇聚氧乙烯醚</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4"/>
        </w:rPr>
        <w:t>5%-10%)</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4"/>
        </w:rPr>
        <w:t>，水</w:t>
      </w:r>
      <w:r>
        <w:rPr>
          <w:rFonts w:ascii="SimSun" w:hAnsi="SimSun" w:eastAsia="SimSun" w:cs="SimSun"/>
          <w:sz w:val="24"/>
          <w:szCs w:val="24"/>
        </w:rPr>
        <w:t xml:space="preserve"> </w:t>
      </w:r>
      <w:r>
        <w:rPr>
          <w:rFonts w:ascii="Times New Roman" w:hAnsi="Times New Roman" w:eastAsia="Times New Roman" w:cs="Times New Roman"/>
          <w:sz w:val="24"/>
          <w:szCs w:val="24"/>
          <w:spacing w:val="-2"/>
        </w:rPr>
        <w:t>3%-6%</w:t>
      </w:r>
      <w:r>
        <w:rPr>
          <w:rFonts w:ascii="SimSun" w:hAnsi="SimSun" w:eastAsia="SimSun" w:cs="SimSun"/>
          <w:sz w:val="24"/>
          <w:szCs w:val="24"/>
          <w:spacing w:val="-2"/>
        </w:rPr>
        <w:t>。</w:t>
      </w:r>
    </w:p>
    <w:p>
      <w:pPr>
        <w:ind w:left="525"/>
        <w:spacing w:before="58" w:line="217" w:lineRule="auto"/>
        <w:rPr>
          <w:rFonts w:ascii="SimSun" w:hAnsi="SimSun" w:eastAsia="SimSun" w:cs="SimSun"/>
          <w:sz w:val="24"/>
          <w:szCs w:val="24"/>
        </w:rPr>
      </w:pPr>
      <w:r>
        <w:rPr>
          <w:rFonts w:ascii="SimSun" w:hAnsi="SimSun" w:eastAsia="SimSun" w:cs="SimSun"/>
          <w:sz w:val="24"/>
          <w:szCs w:val="24"/>
          <w:spacing w:val="-2"/>
        </w:rPr>
        <w:t>①椰子油二乙醇胺</w:t>
      </w:r>
    </w:p>
    <w:p>
      <w:pPr>
        <w:ind w:left="41" w:firstLine="484"/>
        <w:spacing w:before="216" w:line="384" w:lineRule="auto"/>
        <w:rPr>
          <w:rFonts w:ascii="SimSun" w:hAnsi="SimSun" w:eastAsia="SimSun" w:cs="SimSun"/>
          <w:sz w:val="24"/>
          <w:szCs w:val="24"/>
        </w:rPr>
      </w:pPr>
      <w:r>
        <w:rPr>
          <w:rFonts w:ascii="SimSun" w:hAnsi="SimSun" w:eastAsia="SimSun" w:cs="SimSun"/>
          <w:sz w:val="24"/>
          <w:szCs w:val="24"/>
          <w:spacing w:val="-10"/>
        </w:rPr>
        <w:t>椰</w:t>
      </w:r>
      <w:r>
        <w:rPr>
          <w:rFonts w:ascii="SimSun" w:hAnsi="SimSun" w:eastAsia="SimSun" w:cs="SimSun"/>
          <w:sz w:val="24"/>
          <w:szCs w:val="24"/>
          <w:spacing w:val="-53"/>
        </w:rPr>
        <w:t xml:space="preserve"> </w:t>
      </w:r>
      <w:r>
        <w:rPr>
          <w:rFonts w:ascii="SimSun" w:hAnsi="SimSun" w:eastAsia="SimSun" w:cs="SimSun"/>
          <w:sz w:val="24"/>
          <w:szCs w:val="24"/>
          <w:spacing w:val="-10"/>
        </w:rPr>
        <w:t>子</w:t>
      </w:r>
      <w:r>
        <w:rPr>
          <w:rFonts w:ascii="SimSun" w:hAnsi="SimSun" w:eastAsia="SimSun" w:cs="SimSun"/>
          <w:sz w:val="24"/>
          <w:szCs w:val="24"/>
          <w:spacing w:val="-66"/>
        </w:rPr>
        <w:t xml:space="preserve"> </w:t>
      </w:r>
      <w:r>
        <w:rPr>
          <w:rFonts w:ascii="SimSun" w:hAnsi="SimSun" w:eastAsia="SimSun" w:cs="SimSun"/>
          <w:sz w:val="24"/>
          <w:szCs w:val="24"/>
          <w:spacing w:val="-10"/>
        </w:rPr>
        <w:t>油</w:t>
      </w:r>
      <w:r>
        <w:rPr>
          <w:rFonts w:ascii="SimSun" w:hAnsi="SimSun" w:eastAsia="SimSun" w:cs="SimSun"/>
          <w:sz w:val="24"/>
          <w:szCs w:val="24"/>
          <w:spacing w:val="-64"/>
        </w:rPr>
        <w:t xml:space="preserve"> </w:t>
      </w:r>
      <w:r>
        <w:rPr>
          <w:rFonts w:ascii="SimSun" w:hAnsi="SimSun" w:eastAsia="SimSun" w:cs="SimSun"/>
          <w:sz w:val="24"/>
          <w:szCs w:val="24"/>
          <w:spacing w:val="-10"/>
        </w:rPr>
        <w:t>二</w:t>
      </w:r>
      <w:r>
        <w:rPr>
          <w:rFonts w:ascii="SimSun" w:hAnsi="SimSun" w:eastAsia="SimSun" w:cs="SimSun"/>
          <w:sz w:val="24"/>
          <w:szCs w:val="24"/>
          <w:spacing w:val="-44"/>
        </w:rPr>
        <w:t xml:space="preserve"> </w:t>
      </w:r>
      <w:r>
        <w:rPr>
          <w:rFonts w:ascii="SimSun" w:hAnsi="SimSun" w:eastAsia="SimSun" w:cs="SimSun"/>
          <w:sz w:val="24"/>
          <w:szCs w:val="24"/>
          <w:spacing w:val="-10"/>
        </w:rPr>
        <w:t>乙</w:t>
      </w:r>
      <w:r>
        <w:rPr>
          <w:rFonts w:ascii="SimSun" w:hAnsi="SimSun" w:eastAsia="SimSun" w:cs="SimSun"/>
          <w:sz w:val="24"/>
          <w:szCs w:val="24"/>
          <w:spacing w:val="-64"/>
        </w:rPr>
        <w:t xml:space="preserve"> </w:t>
      </w:r>
      <w:r>
        <w:rPr>
          <w:rFonts w:ascii="SimSun" w:hAnsi="SimSun" w:eastAsia="SimSun" w:cs="SimSun"/>
          <w:sz w:val="24"/>
          <w:szCs w:val="24"/>
          <w:spacing w:val="-10"/>
        </w:rPr>
        <w:t>醇</w:t>
      </w:r>
      <w:r>
        <w:rPr>
          <w:rFonts w:ascii="SimSun" w:hAnsi="SimSun" w:eastAsia="SimSun" w:cs="SimSun"/>
          <w:sz w:val="24"/>
          <w:szCs w:val="24"/>
          <w:spacing w:val="-71"/>
        </w:rPr>
        <w:t xml:space="preserve"> </w:t>
      </w:r>
      <w:r>
        <w:rPr>
          <w:rFonts w:ascii="SimSun" w:hAnsi="SimSun" w:eastAsia="SimSun" w:cs="SimSun"/>
          <w:sz w:val="24"/>
          <w:szCs w:val="24"/>
          <w:spacing w:val="-10"/>
        </w:rPr>
        <w:t>胺 </w:t>
      </w:r>
      <w:r>
        <w:rPr>
          <w:rFonts w:ascii="Times New Roman" w:hAnsi="Times New Roman" w:eastAsia="Times New Roman" w:cs="Times New Roman"/>
          <w:sz w:val="24"/>
          <w:szCs w:val="24"/>
          <w:spacing w:val="-10"/>
        </w:rPr>
        <w:t>CAS  </w:t>
      </w:r>
      <w:r>
        <w:rPr>
          <w:rFonts w:ascii="SimSun" w:hAnsi="SimSun" w:eastAsia="SimSun" w:cs="SimSun"/>
          <w:sz w:val="24"/>
          <w:szCs w:val="24"/>
          <w:spacing w:val="-10"/>
        </w:rPr>
        <w:t>号 </w:t>
      </w:r>
      <w:r>
        <w:rPr>
          <w:rFonts w:ascii="Times New Roman" w:hAnsi="Times New Roman" w:eastAsia="Times New Roman" w:cs="Times New Roman"/>
          <w:sz w:val="24"/>
          <w:szCs w:val="24"/>
          <w:spacing w:val="-10"/>
        </w:rPr>
        <w:t>68603-42-9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0"/>
        </w:rPr>
        <w:t>，</w:t>
      </w:r>
      <w:r>
        <w:rPr>
          <w:rFonts w:ascii="SimSun" w:hAnsi="SimSun" w:eastAsia="SimSun" w:cs="SimSun"/>
          <w:sz w:val="24"/>
          <w:szCs w:val="24"/>
          <w:spacing w:val="-64"/>
        </w:rPr>
        <w:t xml:space="preserve"> </w:t>
      </w:r>
      <w:r>
        <w:rPr>
          <w:rFonts w:ascii="SimSun" w:hAnsi="SimSun" w:eastAsia="SimSun" w:cs="SimSun"/>
          <w:sz w:val="24"/>
          <w:szCs w:val="24"/>
          <w:spacing w:val="-10"/>
        </w:rPr>
        <w:t>又</w:t>
      </w:r>
      <w:r>
        <w:rPr>
          <w:rFonts w:ascii="SimSun" w:hAnsi="SimSun" w:eastAsia="SimSun" w:cs="SimSun"/>
          <w:sz w:val="24"/>
          <w:szCs w:val="24"/>
          <w:spacing w:val="-64"/>
        </w:rPr>
        <w:t xml:space="preserve"> </w:t>
      </w:r>
      <w:r>
        <w:rPr>
          <w:rFonts w:ascii="SimSun" w:hAnsi="SimSun" w:eastAsia="SimSun" w:cs="SimSun"/>
          <w:sz w:val="24"/>
          <w:szCs w:val="24"/>
          <w:spacing w:val="-10"/>
        </w:rPr>
        <w:t>名</w:t>
      </w:r>
      <w:r>
        <w:rPr>
          <w:rFonts w:ascii="SimSun" w:hAnsi="SimSun" w:eastAsia="SimSun" w:cs="SimSun"/>
          <w:sz w:val="24"/>
          <w:szCs w:val="24"/>
          <w:spacing w:val="-71"/>
        </w:rPr>
        <w:t xml:space="preserve"> </w:t>
      </w:r>
      <w:r>
        <w:rPr>
          <w:rFonts w:ascii="SimSun" w:hAnsi="SimSun" w:eastAsia="SimSun" w:cs="SimSun"/>
          <w:sz w:val="24"/>
          <w:szCs w:val="24"/>
          <w:spacing w:val="-10"/>
        </w:rPr>
        <w:t>椰</w:t>
      </w:r>
      <w:r>
        <w:rPr>
          <w:rFonts w:ascii="SimSun" w:hAnsi="SimSun" w:eastAsia="SimSun" w:cs="SimSun"/>
          <w:sz w:val="24"/>
          <w:szCs w:val="24"/>
          <w:spacing w:val="-64"/>
        </w:rPr>
        <w:t xml:space="preserve"> </w:t>
      </w:r>
      <w:r>
        <w:rPr>
          <w:rFonts w:ascii="SimSun" w:hAnsi="SimSun" w:eastAsia="SimSun" w:cs="SimSun"/>
          <w:sz w:val="24"/>
          <w:szCs w:val="24"/>
          <w:spacing w:val="-10"/>
        </w:rPr>
        <w:t>油</w:t>
      </w:r>
      <w:r>
        <w:rPr>
          <w:rFonts w:ascii="SimSun" w:hAnsi="SimSun" w:eastAsia="SimSun" w:cs="SimSun"/>
          <w:sz w:val="24"/>
          <w:szCs w:val="24"/>
          <w:spacing w:val="-66"/>
        </w:rPr>
        <w:t xml:space="preserve"> </w:t>
      </w:r>
      <w:r>
        <w:rPr>
          <w:rFonts w:ascii="SimSun" w:hAnsi="SimSun" w:eastAsia="SimSun" w:cs="SimSun"/>
          <w:sz w:val="24"/>
          <w:szCs w:val="24"/>
          <w:spacing w:val="-10"/>
        </w:rPr>
        <w:t>酰</w:t>
      </w:r>
      <w:r>
        <w:rPr>
          <w:rFonts w:ascii="SimSun" w:hAnsi="SimSun" w:eastAsia="SimSun" w:cs="SimSun"/>
          <w:sz w:val="24"/>
          <w:szCs w:val="24"/>
          <w:spacing w:val="-64"/>
        </w:rPr>
        <w:t xml:space="preserve"> </w:t>
      </w:r>
      <w:r>
        <w:rPr>
          <w:rFonts w:ascii="SimSun" w:hAnsi="SimSun" w:eastAsia="SimSun" w:cs="SimSun"/>
          <w:sz w:val="24"/>
          <w:szCs w:val="24"/>
          <w:spacing w:val="-10"/>
        </w:rPr>
        <w:t>二</w:t>
      </w:r>
      <w:r>
        <w:rPr>
          <w:rFonts w:ascii="SimSun" w:hAnsi="SimSun" w:eastAsia="SimSun" w:cs="SimSun"/>
          <w:sz w:val="24"/>
          <w:szCs w:val="24"/>
          <w:spacing w:val="-46"/>
        </w:rPr>
        <w:t xml:space="preserve"> </w:t>
      </w:r>
      <w:r>
        <w:rPr>
          <w:rFonts w:ascii="SimSun" w:hAnsi="SimSun" w:eastAsia="SimSun" w:cs="SimSun"/>
          <w:sz w:val="24"/>
          <w:szCs w:val="24"/>
          <w:spacing w:val="-10"/>
        </w:rPr>
        <w:t>乙</w:t>
      </w:r>
      <w:r>
        <w:rPr>
          <w:rFonts w:ascii="SimSun" w:hAnsi="SimSun" w:eastAsia="SimSun" w:cs="SimSun"/>
          <w:sz w:val="24"/>
          <w:szCs w:val="24"/>
          <w:spacing w:val="-65"/>
        </w:rPr>
        <w:t xml:space="preserve"> </w:t>
      </w:r>
      <w:r>
        <w:rPr>
          <w:rFonts w:ascii="SimSun" w:hAnsi="SimSun" w:eastAsia="SimSun" w:cs="SimSun"/>
          <w:sz w:val="24"/>
          <w:szCs w:val="24"/>
          <w:spacing w:val="-10"/>
        </w:rPr>
        <w:t>醇</w:t>
      </w:r>
      <w:r>
        <w:rPr>
          <w:rFonts w:ascii="SimSun" w:hAnsi="SimSun" w:eastAsia="SimSun" w:cs="SimSun"/>
          <w:sz w:val="24"/>
          <w:szCs w:val="24"/>
          <w:spacing w:val="-68"/>
        </w:rPr>
        <w:t xml:space="preserve"> </w:t>
      </w:r>
      <w:r>
        <w:rPr>
          <w:rFonts w:ascii="SimSun" w:hAnsi="SimSun" w:eastAsia="SimSun" w:cs="SimSun"/>
          <w:sz w:val="24"/>
          <w:szCs w:val="24"/>
          <w:spacing w:val="-10"/>
        </w:rPr>
        <w:t>胺</w:t>
      </w:r>
      <w:r>
        <w:rPr>
          <w:rFonts w:ascii="SimSun" w:hAnsi="SimSun" w:eastAsia="SimSun" w:cs="SimSun"/>
          <w:sz w:val="24"/>
          <w:szCs w:val="24"/>
          <w:spacing w:val="-50"/>
        </w:rPr>
        <w:t xml:space="preserve"> </w:t>
      </w:r>
      <w:r>
        <w:rPr>
          <w:rFonts w:ascii="SimSun" w:hAnsi="SimSun" w:eastAsia="SimSun" w:cs="SimSun"/>
          <w:sz w:val="24"/>
          <w:szCs w:val="24"/>
          <w:spacing w:val="-10"/>
        </w:rPr>
        <w:t>，</w:t>
      </w:r>
      <w:r>
        <w:rPr>
          <w:rFonts w:ascii="SimSun" w:hAnsi="SimSun" w:eastAsia="SimSun" w:cs="SimSun"/>
          <w:sz w:val="24"/>
          <w:szCs w:val="24"/>
          <w:spacing w:val="-63"/>
        </w:rPr>
        <w:t xml:space="preserve"> </w:t>
      </w:r>
      <w:r>
        <w:rPr>
          <w:rFonts w:ascii="SimSun" w:hAnsi="SimSun" w:eastAsia="SimSun" w:cs="SimSun"/>
          <w:sz w:val="24"/>
          <w:szCs w:val="24"/>
          <w:spacing w:val="-10"/>
        </w:rPr>
        <w:t>分</w:t>
      </w:r>
      <w:r>
        <w:rPr>
          <w:rFonts w:ascii="SimSun" w:hAnsi="SimSun" w:eastAsia="SimSun" w:cs="SimSun"/>
          <w:sz w:val="24"/>
          <w:szCs w:val="24"/>
          <w:spacing w:val="-66"/>
        </w:rPr>
        <w:t xml:space="preserve"> </w:t>
      </w:r>
      <w:r>
        <w:rPr>
          <w:rFonts w:ascii="SimSun" w:hAnsi="SimSun" w:eastAsia="SimSun" w:cs="SimSun"/>
          <w:sz w:val="24"/>
          <w:szCs w:val="24"/>
          <w:spacing w:val="-10"/>
        </w:rPr>
        <w:t>子</w:t>
      </w:r>
      <w:r>
        <w:rPr>
          <w:rFonts w:ascii="SimSun" w:hAnsi="SimSun" w:eastAsia="SimSun" w:cs="SimSun"/>
          <w:sz w:val="24"/>
          <w:szCs w:val="24"/>
          <w:spacing w:val="-65"/>
        </w:rPr>
        <w:t xml:space="preserve"> </w:t>
      </w:r>
      <w:r>
        <w:rPr>
          <w:rFonts w:ascii="SimSun" w:hAnsi="SimSun" w:eastAsia="SimSun" w:cs="SimSun"/>
          <w:sz w:val="24"/>
          <w:szCs w:val="24"/>
          <w:spacing w:val="-10"/>
        </w:rPr>
        <w:t>式</w:t>
      </w:r>
      <w:r>
        <w:rPr>
          <w:rFonts w:ascii="SimSun" w:hAnsi="SimSun" w:eastAsia="SimSun" w:cs="SimSun"/>
          <w:sz w:val="24"/>
          <w:szCs w:val="24"/>
        </w:rPr>
        <w:t xml:space="preserve"> </w:t>
      </w:r>
      <w:r>
        <w:rPr>
          <w:rFonts w:ascii="Times New Roman" w:hAnsi="Times New Roman" w:eastAsia="Times New Roman" w:cs="Times New Roman"/>
          <w:sz w:val="24"/>
          <w:szCs w:val="24"/>
          <w:spacing w:val="-3"/>
        </w:rPr>
        <w:t>R-CO-N(CH</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24"/>
          <w:szCs w:val="24"/>
          <w:spacing w:val="-3"/>
        </w:rPr>
        <w:t>CH</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24"/>
          <w:szCs w:val="24"/>
          <w:spacing w:val="-3"/>
        </w:rPr>
        <w:t>OH)</w:t>
      </w:r>
      <w:r>
        <w:rPr>
          <w:rFonts w:ascii="Times New Roman" w:hAnsi="Times New Roman" w:eastAsia="Times New Roman" w:cs="Times New Roman"/>
          <w:sz w:val="15"/>
          <w:szCs w:val="15"/>
          <w:spacing w:val="-3"/>
          <w:position w:val="-1"/>
        </w:rPr>
        <w:t>2</w:t>
      </w:r>
      <w:r>
        <w:rPr>
          <w:rFonts w:ascii="SimSun" w:hAnsi="SimSun" w:eastAsia="SimSun" w:cs="SimSun"/>
          <w:sz w:val="24"/>
          <w:szCs w:val="24"/>
          <w:spacing w:val="-3"/>
        </w:rPr>
        <w:t>，为淡黄色至琥珀色粘稠液体，易溶于水、具有良好的发泡、</w:t>
      </w:r>
      <w:r>
        <w:rPr>
          <w:rFonts w:ascii="SimSun" w:hAnsi="SimSun" w:eastAsia="SimSun" w:cs="SimSun"/>
          <w:sz w:val="24"/>
          <w:szCs w:val="24"/>
          <w:spacing w:val="5"/>
        </w:rPr>
        <w:t xml:space="preserve"> </w:t>
      </w:r>
      <w:r>
        <w:rPr>
          <w:rFonts w:ascii="SimSun" w:hAnsi="SimSun" w:eastAsia="SimSun" w:cs="SimSun"/>
          <w:sz w:val="24"/>
          <w:szCs w:val="24"/>
          <w:spacing w:val="3"/>
        </w:rPr>
        <w:t>稳泡、渗透去污、抗硬水等功能。属于非离子表面活性剂，能与</w:t>
      </w:r>
      <w:r>
        <w:rPr>
          <w:rFonts w:ascii="SimSun" w:hAnsi="SimSun" w:eastAsia="SimSun" w:cs="SimSun"/>
          <w:sz w:val="24"/>
          <w:szCs w:val="24"/>
          <w:spacing w:val="2"/>
        </w:rPr>
        <w:t>多种表面活性剂</w:t>
      </w:r>
      <w:r>
        <w:rPr>
          <w:rFonts w:ascii="SimSun" w:hAnsi="SimSun" w:eastAsia="SimSun" w:cs="SimSun"/>
          <w:sz w:val="24"/>
          <w:szCs w:val="24"/>
        </w:rPr>
        <w:t xml:space="preserve"> </w:t>
      </w:r>
      <w:r>
        <w:rPr>
          <w:rFonts w:ascii="SimSun" w:hAnsi="SimSun" w:eastAsia="SimSun" w:cs="SimSun"/>
          <w:sz w:val="24"/>
          <w:szCs w:val="24"/>
          <w:spacing w:val="-2"/>
        </w:rPr>
        <w:t>配伍使用。沸点</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168-274</w:t>
      </w:r>
      <w:r>
        <w:rPr>
          <w:rFonts w:ascii="SimSun" w:hAnsi="SimSun" w:eastAsia="SimSun" w:cs="SimSun"/>
          <w:sz w:val="24"/>
          <w:szCs w:val="24"/>
          <w:spacing w:val="-2"/>
        </w:rPr>
        <w:t>℃</w:t>
      </w:r>
      <w:r>
        <w:rPr>
          <w:rFonts w:ascii="SimSun" w:hAnsi="SimSun" w:eastAsia="SimSun" w:cs="SimSun"/>
          <w:sz w:val="24"/>
          <w:szCs w:val="24"/>
          <w:spacing w:val="-89"/>
        </w:rPr>
        <w:t xml:space="preserve"> </w:t>
      </w:r>
      <w:r>
        <w:rPr>
          <w:rFonts w:ascii="SimSun" w:hAnsi="SimSun" w:eastAsia="SimSun" w:cs="SimSun"/>
          <w:sz w:val="24"/>
          <w:szCs w:val="24"/>
          <w:spacing w:val="-2"/>
        </w:rPr>
        <w:t>,</w:t>
      </w:r>
      <w:r>
        <w:rPr>
          <w:rFonts w:ascii="SimSun" w:hAnsi="SimSun" w:eastAsia="SimSun" w:cs="SimSun"/>
          <w:sz w:val="24"/>
          <w:szCs w:val="24"/>
          <w:spacing w:val="66"/>
        </w:rPr>
        <w:t xml:space="preserve"> </w:t>
      </w:r>
      <w:r>
        <w:rPr>
          <w:rFonts w:ascii="SimSun" w:hAnsi="SimSun" w:eastAsia="SimSun" w:cs="SimSun"/>
          <w:sz w:val="24"/>
          <w:szCs w:val="24"/>
          <w:spacing w:val="-2"/>
        </w:rPr>
        <w:t>密度</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0.98g/cm</w:t>
      </w:r>
      <w:r>
        <w:rPr>
          <w:rFonts w:ascii="Times New Roman" w:hAnsi="Times New Roman" w:eastAsia="Times New Roman" w:cs="Times New Roman"/>
          <w:sz w:val="15"/>
          <w:szCs w:val="15"/>
          <w:spacing w:val="-3"/>
          <w:position w:val="8"/>
        </w:rPr>
        <w:t>3</w:t>
      </w:r>
      <w:r>
        <w:rPr>
          <w:rFonts w:ascii="Times New Roman" w:hAnsi="Times New Roman" w:eastAsia="Times New Roman" w:cs="Times New Roman"/>
          <w:sz w:val="15"/>
          <w:szCs w:val="15"/>
          <w:spacing w:val="-7"/>
          <w:position w:val="8"/>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水溶液的</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3"/>
        </w:rPr>
        <w:t>pH </w:t>
      </w:r>
      <w:r>
        <w:rPr>
          <w:rFonts w:ascii="SimSun" w:hAnsi="SimSun" w:eastAsia="SimSun" w:cs="SimSun"/>
          <w:sz w:val="24"/>
          <w:szCs w:val="24"/>
          <w:spacing w:val="-3"/>
        </w:rPr>
        <w:t>值处于</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9-11 </w:t>
      </w:r>
      <w:r>
        <w:rPr>
          <w:rFonts w:ascii="SimSun" w:hAnsi="SimSun" w:eastAsia="SimSun" w:cs="SimSun"/>
          <w:sz w:val="24"/>
          <w:szCs w:val="24"/>
          <w:spacing w:val="-3"/>
        </w:rPr>
        <w:t>之间，</w:t>
      </w:r>
      <w:r>
        <w:rPr>
          <w:rFonts w:ascii="SimSun" w:hAnsi="SimSun" w:eastAsia="SimSun" w:cs="SimSun"/>
          <w:sz w:val="24"/>
          <w:szCs w:val="24"/>
        </w:rPr>
        <w:t xml:space="preserve"> </w:t>
      </w:r>
      <w:r>
        <w:rPr>
          <w:rFonts w:ascii="SimSun" w:hAnsi="SimSun" w:eastAsia="SimSun" w:cs="SimSun"/>
          <w:sz w:val="24"/>
          <w:szCs w:val="24"/>
          <w:spacing w:val="3"/>
        </w:rPr>
        <w:t>呈弱碱性。生物降解性为可降解。厌氧发酵罐中有产酸菌、产氢产乙</w:t>
      </w:r>
      <w:r>
        <w:rPr>
          <w:rFonts w:ascii="SimSun" w:hAnsi="SimSun" w:eastAsia="SimSun" w:cs="SimSun"/>
          <w:sz w:val="24"/>
          <w:szCs w:val="24"/>
          <w:spacing w:val="2"/>
        </w:rPr>
        <w:t>酸菌和产甲</w:t>
      </w:r>
      <w:r>
        <w:rPr>
          <w:rFonts w:ascii="SimSun" w:hAnsi="SimSun" w:eastAsia="SimSun" w:cs="SimSun"/>
          <w:sz w:val="24"/>
          <w:szCs w:val="24"/>
        </w:rPr>
        <w:t xml:space="preserve"> </w:t>
      </w:r>
      <w:r>
        <w:rPr>
          <w:rFonts w:ascii="SimSun" w:hAnsi="SimSun" w:eastAsia="SimSun" w:cs="SimSun"/>
          <w:sz w:val="24"/>
          <w:szCs w:val="24"/>
          <w:spacing w:val="3"/>
        </w:rPr>
        <w:t>烷菌等微生物群落，中温厌氧发酵条件下，椰子油二乙醇胺能够通过</w:t>
      </w:r>
      <w:r>
        <w:rPr>
          <w:rFonts w:ascii="SimSun" w:hAnsi="SimSun" w:eastAsia="SimSun" w:cs="SimSun"/>
          <w:sz w:val="24"/>
          <w:szCs w:val="24"/>
          <w:spacing w:val="2"/>
        </w:rPr>
        <w:t>水解、酸化</w:t>
      </w:r>
      <w:r>
        <w:rPr>
          <w:rFonts w:ascii="SimSun" w:hAnsi="SimSun" w:eastAsia="SimSun" w:cs="SimSun"/>
          <w:sz w:val="24"/>
          <w:szCs w:val="24"/>
        </w:rPr>
        <w:t xml:space="preserve"> </w:t>
      </w:r>
      <w:r>
        <w:rPr>
          <w:rFonts w:ascii="SimSun" w:hAnsi="SimSun" w:eastAsia="SimSun" w:cs="SimSun"/>
          <w:sz w:val="24"/>
          <w:szCs w:val="24"/>
        </w:rPr>
        <w:t>和产甲烷等阶段逐步被降解，最终转化为甲烷、二氧化碳、水、</w:t>
      </w:r>
      <w:r>
        <w:rPr>
          <w:rFonts w:ascii="SimSun" w:hAnsi="SimSun" w:eastAsia="SimSun" w:cs="SimSun"/>
          <w:sz w:val="24"/>
          <w:szCs w:val="24"/>
          <w:spacing w:val="-1"/>
        </w:rPr>
        <w:t>氨气等物质。</w:t>
      </w:r>
    </w:p>
    <w:p>
      <w:pPr>
        <w:ind w:left="524"/>
        <w:spacing w:before="7" w:line="217" w:lineRule="auto"/>
        <w:rPr>
          <w:rFonts w:ascii="SimSun" w:hAnsi="SimSun" w:eastAsia="SimSun" w:cs="SimSun"/>
          <w:sz w:val="24"/>
          <w:szCs w:val="24"/>
        </w:rPr>
      </w:pPr>
      <w:r>
        <w:rPr>
          <w:rFonts w:ascii="SimSun" w:hAnsi="SimSun" w:eastAsia="SimSun" w:cs="SimSun"/>
          <w:sz w:val="24"/>
          <w:szCs w:val="24"/>
          <w:spacing w:val="-1"/>
        </w:rPr>
        <w:t>②聚氧乙烯失水山梨醇醚硬脂酸酯</w:t>
      </w:r>
    </w:p>
    <w:p>
      <w:pPr>
        <w:ind w:left="46" w:right="80" w:firstLine="489"/>
        <w:spacing w:before="216" w:line="385" w:lineRule="auto"/>
        <w:rPr>
          <w:rFonts w:ascii="SimSun" w:hAnsi="SimSun" w:eastAsia="SimSun" w:cs="SimSun"/>
          <w:sz w:val="24"/>
          <w:szCs w:val="24"/>
        </w:rPr>
      </w:pPr>
      <w:r>
        <w:rPr>
          <w:rFonts w:ascii="SimSun" w:hAnsi="SimSun" w:eastAsia="SimSun" w:cs="SimSun"/>
          <w:sz w:val="24"/>
          <w:szCs w:val="24"/>
          <w:spacing w:val="-4"/>
        </w:rPr>
        <w:t>聚氧乙烯失水山梨醇醚硬脂酸酯</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4"/>
        </w:rPr>
        <w:t>CAS </w:t>
      </w:r>
      <w:r>
        <w:rPr>
          <w:rFonts w:ascii="SimSun" w:hAnsi="SimSun" w:eastAsia="SimSun" w:cs="SimSun"/>
          <w:sz w:val="24"/>
          <w:szCs w:val="24"/>
          <w:spacing w:val="-4"/>
        </w:rPr>
        <w:t>号</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9005-67-8</w:t>
      </w:r>
      <w:r>
        <w:rPr>
          <w:rFonts w:ascii="SimSun" w:hAnsi="SimSun" w:eastAsia="SimSun" w:cs="SimSun"/>
          <w:sz w:val="24"/>
          <w:szCs w:val="24"/>
          <w:spacing w:val="-4"/>
        </w:rPr>
        <w:t>，又名聚氧乙烯山梨醇醚硬</w:t>
      </w:r>
      <w:r>
        <w:rPr>
          <w:rFonts w:ascii="SimSun" w:hAnsi="SimSun" w:eastAsia="SimSun" w:cs="SimSun"/>
          <w:sz w:val="24"/>
          <w:szCs w:val="24"/>
        </w:rPr>
        <w:t xml:space="preserve"> </w:t>
      </w:r>
      <w:r>
        <w:rPr>
          <w:rFonts w:ascii="SimSun" w:hAnsi="SimSun" w:eastAsia="SimSun" w:cs="SimSun"/>
          <w:sz w:val="24"/>
          <w:szCs w:val="24"/>
          <w:spacing w:val="-2"/>
        </w:rPr>
        <w:t>脂酸酯，分子式</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C</w:t>
      </w:r>
      <w:r>
        <w:rPr>
          <w:rFonts w:ascii="Times New Roman" w:hAnsi="Times New Roman" w:eastAsia="Times New Roman" w:cs="Times New Roman"/>
          <w:sz w:val="15"/>
          <w:szCs w:val="15"/>
          <w:spacing w:val="-2"/>
          <w:position w:val="-1"/>
        </w:rPr>
        <w:t>64</w:t>
      </w:r>
      <w:r>
        <w:rPr>
          <w:rFonts w:ascii="Times New Roman" w:hAnsi="Times New Roman" w:eastAsia="Times New Roman" w:cs="Times New Roman"/>
          <w:sz w:val="24"/>
          <w:szCs w:val="24"/>
          <w:spacing w:val="-2"/>
        </w:rPr>
        <w:t>H</w:t>
      </w:r>
      <w:r>
        <w:rPr>
          <w:rFonts w:ascii="Times New Roman" w:hAnsi="Times New Roman" w:eastAsia="Times New Roman" w:cs="Times New Roman"/>
          <w:sz w:val="15"/>
          <w:szCs w:val="15"/>
          <w:spacing w:val="-2"/>
          <w:position w:val="-1"/>
        </w:rPr>
        <w:t>126</w:t>
      </w:r>
      <w:r>
        <w:rPr>
          <w:rFonts w:ascii="Times New Roman" w:hAnsi="Times New Roman" w:eastAsia="Times New Roman" w:cs="Times New Roman"/>
          <w:sz w:val="24"/>
          <w:szCs w:val="24"/>
          <w:spacing w:val="-2"/>
        </w:rPr>
        <w:t>O</w:t>
      </w:r>
      <w:r>
        <w:rPr>
          <w:rFonts w:ascii="Times New Roman" w:hAnsi="Times New Roman" w:eastAsia="Times New Roman" w:cs="Times New Roman"/>
          <w:sz w:val="15"/>
          <w:szCs w:val="15"/>
          <w:spacing w:val="-2"/>
          <w:position w:val="-1"/>
        </w:rPr>
        <w:t>26</w:t>
      </w:r>
      <w:r>
        <w:rPr>
          <w:rFonts w:ascii="Times New Roman" w:hAnsi="Times New Roman" w:eastAsia="Times New Roman" w:cs="Times New Roman"/>
          <w:sz w:val="15"/>
          <w:szCs w:val="15"/>
          <w:spacing w:val="-10"/>
          <w:position w:val="-1"/>
        </w:rPr>
        <w:t xml:space="preserve"> </w:t>
      </w:r>
      <w:r>
        <w:rPr>
          <w:rFonts w:ascii="SimSun" w:hAnsi="SimSun" w:eastAsia="SimSun" w:cs="SimSun"/>
          <w:sz w:val="24"/>
          <w:szCs w:val="24"/>
          <w:spacing w:val="-2"/>
        </w:rPr>
        <w:t>，为黄色蜡状或透明状液体，溶于水，硫酸及稀碱，具</w:t>
      </w:r>
      <w:r>
        <w:rPr>
          <w:rFonts w:ascii="SimSun" w:hAnsi="SimSun" w:eastAsia="SimSun" w:cs="SimSun"/>
          <w:sz w:val="24"/>
          <w:szCs w:val="24"/>
        </w:rPr>
        <w:t xml:space="preserve"> </w:t>
      </w:r>
      <w:r>
        <w:rPr>
          <w:rFonts w:ascii="SimSun" w:hAnsi="SimSun" w:eastAsia="SimSun" w:cs="SimSun"/>
          <w:sz w:val="24"/>
          <w:szCs w:val="24"/>
          <w:spacing w:val="3"/>
        </w:rPr>
        <w:t>有分散能力。属于非离子表面活性剂，用作乳化剂</w:t>
      </w:r>
      <w:r>
        <w:rPr>
          <w:rFonts w:ascii="SimSun" w:hAnsi="SimSun" w:eastAsia="SimSun" w:cs="SimSun"/>
          <w:sz w:val="24"/>
          <w:szCs w:val="24"/>
          <w:spacing w:val="2"/>
        </w:rPr>
        <w:t>、消泡剂、润滑剂、净洗剂、</w:t>
      </w:r>
      <w:r>
        <w:rPr>
          <w:rFonts w:ascii="SimSun" w:hAnsi="SimSun" w:eastAsia="SimSun" w:cs="SimSun"/>
          <w:sz w:val="24"/>
          <w:szCs w:val="24"/>
        </w:rPr>
        <w:t xml:space="preserve"> </w:t>
      </w:r>
      <w:r>
        <w:rPr>
          <w:rFonts w:ascii="SimSun" w:hAnsi="SimSun" w:eastAsia="SimSun" w:cs="SimSun"/>
          <w:sz w:val="24"/>
          <w:szCs w:val="24"/>
          <w:spacing w:val="3"/>
        </w:rPr>
        <w:t>抗静电剂等。生物降解性为可降解。中温厌氧发酵</w:t>
      </w:r>
      <w:r>
        <w:rPr>
          <w:rFonts w:ascii="SimSun" w:hAnsi="SimSun" w:eastAsia="SimSun" w:cs="SimSun"/>
          <w:sz w:val="24"/>
          <w:szCs w:val="24"/>
          <w:spacing w:val="2"/>
        </w:rPr>
        <w:t>条件下，能够通过水解、酸化</w:t>
      </w:r>
      <w:r>
        <w:rPr>
          <w:rFonts w:ascii="SimSun" w:hAnsi="SimSun" w:eastAsia="SimSun" w:cs="SimSun"/>
          <w:sz w:val="24"/>
          <w:szCs w:val="24"/>
        </w:rPr>
        <w:t xml:space="preserve"> </w:t>
      </w:r>
      <w:r>
        <w:rPr>
          <w:rFonts w:ascii="SimSun" w:hAnsi="SimSun" w:eastAsia="SimSun" w:cs="SimSun"/>
          <w:sz w:val="24"/>
          <w:szCs w:val="24"/>
        </w:rPr>
        <w:t>和产甲烷等阶段逐步被降解，最终转化为甲烷</w:t>
      </w:r>
      <w:r>
        <w:rPr>
          <w:rFonts w:ascii="SimSun" w:hAnsi="SimSun" w:eastAsia="SimSun" w:cs="SimSun"/>
          <w:sz w:val="24"/>
          <w:szCs w:val="24"/>
          <w:spacing w:val="-1"/>
        </w:rPr>
        <w:t>、二氧化碳和水等物质。</w:t>
      </w:r>
    </w:p>
    <w:p>
      <w:pPr>
        <w:ind w:left="524"/>
        <w:spacing w:line="217" w:lineRule="auto"/>
        <w:rPr>
          <w:rFonts w:ascii="SimSun" w:hAnsi="SimSun" w:eastAsia="SimSun" w:cs="SimSun"/>
          <w:sz w:val="24"/>
          <w:szCs w:val="24"/>
        </w:rPr>
      </w:pPr>
      <w:r>
        <w:rPr>
          <w:rFonts w:ascii="SimSun" w:hAnsi="SimSun" w:eastAsia="SimSun" w:cs="SimSun"/>
          <w:sz w:val="24"/>
          <w:szCs w:val="24"/>
          <w:spacing w:val="-1"/>
        </w:rPr>
        <w:t>③高分子乳化剂（十二烷基聚氧乙烯醚硫酸钠）</w:t>
      </w:r>
    </w:p>
    <w:p>
      <w:pPr>
        <w:ind w:left="46" w:firstLine="487"/>
        <w:spacing w:before="219" w:line="385" w:lineRule="auto"/>
        <w:rPr>
          <w:rFonts w:ascii="SimSun" w:hAnsi="SimSun" w:eastAsia="SimSun" w:cs="SimSun"/>
          <w:sz w:val="24"/>
          <w:szCs w:val="24"/>
        </w:rPr>
      </w:pPr>
      <w:r>
        <w:rPr>
          <w:rFonts w:ascii="SimSun" w:hAnsi="SimSun" w:eastAsia="SimSun" w:cs="SimSun"/>
          <w:sz w:val="24"/>
          <w:szCs w:val="24"/>
          <w:spacing w:val="9"/>
        </w:rPr>
        <w:t>高分子乳化剂（十二烷基聚氧乙烯醚硫酸钠）</w:t>
      </w:r>
      <w:r>
        <w:rPr>
          <w:rFonts w:ascii="Times New Roman" w:hAnsi="Times New Roman" w:eastAsia="Times New Roman" w:cs="Times New Roman"/>
          <w:sz w:val="24"/>
          <w:szCs w:val="24"/>
        </w:rPr>
        <w:t>CAS</w:t>
      </w:r>
      <w:r>
        <w:rPr>
          <w:rFonts w:ascii="Times New Roman" w:hAnsi="Times New Roman" w:eastAsia="Times New Roman" w:cs="Times New Roman"/>
          <w:sz w:val="24"/>
          <w:szCs w:val="24"/>
          <w:spacing w:val="41"/>
        </w:rPr>
        <w:t xml:space="preserve"> </w:t>
      </w:r>
      <w:r>
        <w:rPr>
          <w:rFonts w:ascii="SimSun" w:hAnsi="SimSun" w:eastAsia="SimSun" w:cs="SimSun"/>
          <w:sz w:val="24"/>
          <w:szCs w:val="24"/>
          <w:spacing w:val="9"/>
        </w:rPr>
        <w:t>号</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9"/>
        </w:rPr>
        <w:t>9004-82-4</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9"/>
        </w:rPr>
        <w:t>，分子式</w:t>
      </w:r>
      <w:r>
        <w:rPr>
          <w:rFonts w:ascii="SimSun" w:hAnsi="SimSun" w:eastAsia="SimSun" w:cs="SimSun"/>
          <w:sz w:val="24"/>
          <w:szCs w:val="24"/>
        </w:rPr>
        <w:t xml:space="preserve"> </w:t>
      </w:r>
      <w:r>
        <w:rPr>
          <w:rFonts w:ascii="Times New Roman" w:hAnsi="Times New Roman" w:eastAsia="Times New Roman" w:cs="Times New Roman"/>
          <w:sz w:val="24"/>
          <w:szCs w:val="24"/>
          <w:spacing w:val="-2"/>
        </w:rPr>
        <w:t>C</w:t>
      </w:r>
      <w:r>
        <w:rPr>
          <w:rFonts w:ascii="Times New Roman" w:hAnsi="Times New Roman" w:eastAsia="Times New Roman" w:cs="Times New Roman"/>
          <w:sz w:val="15"/>
          <w:szCs w:val="15"/>
          <w:spacing w:val="-2"/>
          <w:position w:val="-1"/>
        </w:rPr>
        <w:t>12</w:t>
      </w:r>
      <w:r>
        <w:rPr>
          <w:rFonts w:ascii="Times New Roman" w:hAnsi="Times New Roman" w:eastAsia="Times New Roman" w:cs="Times New Roman"/>
          <w:sz w:val="24"/>
          <w:szCs w:val="24"/>
          <w:spacing w:val="-2"/>
        </w:rPr>
        <w:t>H</w:t>
      </w:r>
      <w:r>
        <w:rPr>
          <w:rFonts w:ascii="Times New Roman" w:hAnsi="Times New Roman" w:eastAsia="Times New Roman" w:cs="Times New Roman"/>
          <w:sz w:val="15"/>
          <w:szCs w:val="15"/>
          <w:spacing w:val="-2"/>
          <w:position w:val="-1"/>
        </w:rPr>
        <w:t>25</w:t>
      </w:r>
      <w:r>
        <w:rPr>
          <w:rFonts w:ascii="Times New Roman" w:hAnsi="Times New Roman" w:eastAsia="Times New Roman" w:cs="Times New Roman"/>
          <w:sz w:val="24"/>
          <w:szCs w:val="24"/>
          <w:spacing w:val="-2"/>
        </w:rPr>
        <w:t>NaO</w:t>
      </w:r>
      <w:r>
        <w:rPr>
          <w:rFonts w:ascii="Times New Roman" w:hAnsi="Times New Roman" w:eastAsia="Times New Roman" w:cs="Times New Roman"/>
          <w:sz w:val="15"/>
          <w:szCs w:val="15"/>
          <w:spacing w:val="-2"/>
          <w:position w:val="-1"/>
        </w:rPr>
        <w:t>3</w:t>
      </w:r>
      <w:r>
        <w:rPr>
          <w:rFonts w:ascii="Times New Roman" w:hAnsi="Times New Roman" w:eastAsia="Times New Roman" w:cs="Times New Roman"/>
          <w:sz w:val="15"/>
          <w:szCs w:val="15"/>
          <w:spacing w:val="-21"/>
          <w:position w:val="-1"/>
        </w:rPr>
        <w:t xml:space="preserve"> </w:t>
      </w:r>
      <w:r>
        <w:rPr>
          <w:rFonts w:ascii="Times New Roman" w:hAnsi="Times New Roman" w:eastAsia="Times New Roman" w:cs="Times New Roman"/>
          <w:sz w:val="24"/>
          <w:szCs w:val="24"/>
          <w:spacing w:val="-2"/>
        </w:rPr>
        <w:t>S</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。为无色或浅黄色液体，</w:t>
      </w:r>
      <w:r>
        <w:rPr>
          <w:rFonts w:ascii="SimSun" w:hAnsi="SimSun" w:eastAsia="SimSun" w:cs="SimSun"/>
          <w:sz w:val="24"/>
          <w:szCs w:val="24"/>
          <w:spacing w:val="-3"/>
        </w:rPr>
        <w:t>相对密度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1.05</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，能溶于水和酒精。对合成纤</w:t>
      </w:r>
      <w:r>
        <w:rPr>
          <w:rFonts w:ascii="SimSun" w:hAnsi="SimSun" w:eastAsia="SimSun" w:cs="SimSun"/>
          <w:sz w:val="24"/>
          <w:szCs w:val="24"/>
        </w:rPr>
        <w:t xml:space="preserve"> </w:t>
      </w:r>
      <w:r>
        <w:rPr>
          <w:rFonts w:ascii="SimSun" w:hAnsi="SimSun" w:eastAsia="SimSun" w:cs="SimSun"/>
          <w:sz w:val="24"/>
          <w:szCs w:val="24"/>
          <w:spacing w:val="-9"/>
        </w:rPr>
        <w:t>维有抗静电、平滑柔软作用，属阴离子活性剂。易生物降解，生物降解度大于</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9"/>
        </w:rPr>
        <w:t>90%</w:t>
      </w:r>
      <w:r>
        <w:rPr>
          <w:rFonts w:ascii="SimSun" w:hAnsi="SimSun" w:eastAsia="SimSun" w:cs="SimSun"/>
          <w:sz w:val="24"/>
          <w:szCs w:val="24"/>
          <w:spacing w:val="-9"/>
        </w:rPr>
        <w:t>。</w:t>
      </w:r>
      <w:r>
        <w:rPr>
          <w:rFonts w:ascii="SimSun" w:hAnsi="SimSun" w:eastAsia="SimSun" w:cs="SimSun"/>
          <w:sz w:val="24"/>
          <w:szCs w:val="24"/>
        </w:rPr>
        <w:t xml:space="preserve"> </w:t>
      </w:r>
      <w:r>
        <w:rPr>
          <w:rFonts w:ascii="SimSun" w:hAnsi="SimSun" w:eastAsia="SimSun" w:cs="SimSun"/>
          <w:sz w:val="24"/>
          <w:szCs w:val="24"/>
          <w:spacing w:val="3"/>
        </w:rPr>
        <w:t>中温厌氧发酵条件下，能够通过水解、酸化和产甲烷等阶</w:t>
      </w:r>
      <w:r>
        <w:rPr>
          <w:rFonts w:ascii="SimSun" w:hAnsi="SimSun" w:eastAsia="SimSun" w:cs="SimSun"/>
          <w:sz w:val="24"/>
          <w:szCs w:val="24"/>
          <w:spacing w:val="2"/>
        </w:rPr>
        <w:t>段逐步被降解，一部分</w:t>
      </w:r>
    </w:p>
    <w:p>
      <w:pPr>
        <w:pStyle w:val="BodyText"/>
        <w:spacing w:line="276" w:lineRule="auto"/>
        <w:rPr/>
      </w:pPr>
      <w:r/>
    </w:p>
    <w:p>
      <w:pPr>
        <w:ind w:left="5349"/>
        <w:spacing w:before="62" w:line="225" w:lineRule="auto"/>
        <w:rPr>
          <w:rFonts w:ascii="SimSun" w:hAnsi="SimSun" w:eastAsia="SimSun" w:cs="SimSun"/>
          <w:sz w:val="19"/>
          <w:szCs w:val="19"/>
        </w:rPr>
      </w:pPr>
      <w:r>
        <w:pict>
          <v:shape id="_x0000_s316" style="position:absolute;margin-left:209.336pt;margin-top:2.10261pt;mso-position-vertical-relative:text;mso-position-horizontal-relative:text;width:58.75pt;height:13.75pt;z-index:251802624;"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1"/>
                      <w:position w:val="2"/>
                    </w:rPr>
                    <w:t>62        </w:t>
                  </w:r>
                  <w:r>
                    <w:rPr>
                      <w:rFonts w:ascii="SimSun" w:hAnsi="SimSun" w:eastAsia="SimSun" w:cs="SimSun"/>
                      <w:sz w:val="19"/>
                      <w:szCs w:val="19"/>
                      <w:spacing w:val="1"/>
                    </w:rPr>
                    <w:t>锡林郭</w:t>
                  </w:r>
                </w:p>
              </w:txbxContent>
            </v:textbox>
          </v:shape>
        </w:pict>
      </w:r>
      <w:r>
        <w:rPr>
          <w:rFonts w:ascii="SimSun" w:hAnsi="SimSun" w:eastAsia="SimSun" w:cs="SimSun"/>
          <w:sz w:val="19"/>
          <w:szCs w:val="19"/>
          <w:spacing w:val="9"/>
        </w:rPr>
        <w:t>勒盟中安环境技术咨询有限责任公司</w:t>
      </w:r>
    </w:p>
    <w:p>
      <w:pPr>
        <w:spacing w:line="225" w:lineRule="auto"/>
        <w:sectPr>
          <w:headerReference w:type="default" r:id="rId77"/>
          <w:pgSz w:w="11907" w:h="16840"/>
          <w:pgMar w:top="1567" w:right="1621" w:bottom="400" w:left="1664" w:header="1221" w:footer="0" w:gutter="0"/>
        </w:sectPr>
        <w:rPr>
          <w:rFonts w:ascii="SimSun" w:hAnsi="SimSun" w:eastAsia="SimSun" w:cs="SimSun"/>
          <w:sz w:val="19"/>
          <w:szCs w:val="19"/>
        </w:rPr>
      </w:pPr>
    </w:p>
    <w:p>
      <w:pPr>
        <w:pStyle w:val="BodyText"/>
        <w:spacing w:line="266" w:lineRule="auto"/>
        <w:rPr/>
      </w:pPr>
      <w:r>
        <w:pict>
          <v:shape id="_x0000_s320" style="position:absolute;margin-left:1.29001pt;margin-top:0.694824pt;mso-position-vertical-relative:text;mso-position-horizontal-relative:text;width:425.25pt;height:0.75pt;z-index:251805696;" fillcolor="#000000" filled="true" stroked="false" coordsize="8505,15" coordorigin="0,0" path="m,l8505,0l8505,14l0,14l0,0xe"/>
        </w:pict>
      </w:r>
      <w:r/>
    </w:p>
    <w:p>
      <w:pPr>
        <w:ind w:left="35"/>
        <w:spacing w:before="78" w:line="219" w:lineRule="auto"/>
        <w:rPr>
          <w:rFonts w:ascii="SimSun" w:hAnsi="SimSun" w:eastAsia="SimSun" w:cs="SimSun"/>
          <w:sz w:val="24"/>
          <w:szCs w:val="24"/>
        </w:rPr>
      </w:pPr>
      <w:r>
        <w:rPr>
          <w:rFonts w:ascii="SimSun" w:hAnsi="SimSun" w:eastAsia="SimSun" w:cs="SimSun"/>
          <w:sz w:val="24"/>
          <w:szCs w:val="24"/>
          <w:spacing w:val="-1"/>
        </w:rPr>
        <w:t>被微生物利用，分解为甲烷、二氧化碳、水、硫化氢等。</w:t>
      </w:r>
    </w:p>
    <w:p>
      <w:pPr>
        <w:ind w:left="513"/>
        <w:spacing w:before="215" w:line="217" w:lineRule="auto"/>
        <w:rPr>
          <w:rFonts w:ascii="SimSun" w:hAnsi="SimSun" w:eastAsia="SimSun" w:cs="SimSun"/>
          <w:sz w:val="24"/>
          <w:szCs w:val="24"/>
        </w:rPr>
      </w:pPr>
      <w:r>
        <w:rPr>
          <w:rFonts w:ascii="SimSun" w:hAnsi="SimSun" w:eastAsia="SimSun" w:cs="SimSun"/>
          <w:sz w:val="24"/>
          <w:szCs w:val="24"/>
          <w:spacing w:val="-1"/>
        </w:rPr>
        <w:t>④助剂（异构十醇聚氧乙烯醚）</w:t>
      </w:r>
    </w:p>
    <w:p>
      <w:pPr>
        <w:ind w:left="34" w:right="24" w:firstLine="483"/>
        <w:spacing w:before="220" w:line="378" w:lineRule="auto"/>
        <w:rPr>
          <w:rFonts w:ascii="SimSun" w:hAnsi="SimSun" w:eastAsia="SimSun" w:cs="SimSun"/>
          <w:sz w:val="24"/>
          <w:szCs w:val="24"/>
        </w:rPr>
      </w:pPr>
      <w:r>
        <w:rPr>
          <w:rFonts w:ascii="SimSun" w:hAnsi="SimSun" w:eastAsia="SimSun" w:cs="SimSun"/>
          <w:sz w:val="24"/>
          <w:szCs w:val="24"/>
          <w:spacing w:val="-2"/>
        </w:rPr>
        <w:t>异构十醇聚氧乙烯醚</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CAS</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号</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61827-42-7</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2"/>
        </w:rPr>
        <w:t>，分子式</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C</w:t>
      </w:r>
      <w:r>
        <w:rPr>
          <w:rFonts w:ascii="Times New Roman" w:hAnsi="Times New Roman" w:eastAsia="Times New Roman" w:cs="Times New Roman"/>
          <w:sz w:val="15"/>
          <w:szCs w:val="15"/>
          <w:spacing w:val="-2"/>
          <w:position w:val="-1"/>
        </w:rPr>
        <w:t>12</w:t>
      </w:r>
      <w:r>
        <w:rPr>
          <w:rFonts w:ascii="Times New Roman" w:hAnsi="Times New Roman" w:eastAsia="Times New Roman" w:cs="Times New Roman"/>
          <w:sz w:val="24"/>
          <w:szCs w:val="24"/>
          <w:spacing w:val="-2"/>
        </w:rPr>
        <w:t>H</w:t>
      </w:r>
      <w:r>
        <w:rPr>
          <w:rFonts w:ascii="Times New Roman" w:hAnsi="Times New Roman" w:eastAsia="Times New Roman" w:cs="Times New Roman"/>
          <w:sz w:val="15"/>
          <w:szCs w:val="15"/>
          <w:spacing w:val="-2"/>
          <w:position w:val="-1"/>
        </w:rPr>
        <w:t>26</w:t>
      </w:r>
      <w:r>
        <w:rPr>
          <w:rFonts w:ascii="Times New Roman" w:hAnsi="Times New Roman" w:eastAsia="Times New Roman" w:cs="Times New Roman"/>
          <w:sz w:val="24"/>
          <w:szCs w:val="24"/>
          <w:spacing w:val="-2"/>
        </w:rPr>
        <w:t>O</w:t>
      </w:r>
      <w:r>
        <w:rPr>
          <w:rFonts w:ascii="Times New Roman" w:hAnsi="Times New Roman" w:eastAsia="Times New Roman" w:cs="Times New Roman"/>
          <w:sz w:val="15"/>
          <w:szCs w:val="15"/>
          <w:spacing w:val="-2"/>
          <w:position w:val="-1"/>
        </w:rPr>
        <w:t>2 </w:t>
      </w:r>
      <w:r>
        <w:rPr>
          <w:rFonts w:ascii="SimSun" w:hAnsi="SimSun" w:eastAsia="SimSun" w:cs="SimSun"/>
          <w:sz w:val="24"/>
          <w:szCs w:val="24"/>
          <w:spacing w:val="-2"/>
        </w:rPr>
        <w:t>。呈</w:t>
      </w:r>
      <w:r>
        <w:rPr>
          <w:rFonts w:ascii="SimSun" w:hAnsi="SimSun" w:eastAsia="SimSun" w:cs="SimSun"/>
          <w:sz w:val="24"/>
          <w:szCs w:val="24"/>
          <w:spacing w:val="-3"/>
        </w:rPr>
        <w:t>无色或淡黄色</w:t>
      </w:r>
      <w:r>
        <w:rPr>
          <w:rFonts w:ascii="SimSun" w:hAnsi="SimSun" w:eastAsia="SimSun" w:cs="SimSun"/>
          <w:sz w:val="24"/>
          <w:szCs w:val="24"/>
        </w:rPr>
        <w:t xml:space="preserve"> </w:t>
      </w:r>
      <w:r>
        <w:rPr>
          <w:rFonts w:ascii="SimSun" w:hAnsi="SimSun" w:eastAsia="SimSun" w:cs="SimSun"/>
          <w:sz w:val="24"/>
          <w:szCs w:val="24"/>
          <w:spacing w:val="3"/>
        </w:rPr>
        <w:t>液体状，属于非离子表面活性剂，具有优良的乳化、净洗性</w:t>
      </w:r>
      <w:r>
        <w:rPr>
          <w:rFonts w:ascii="SimSun" w:hAnsi="SimSun" w:eastAsia="SimSun" w:cs="SimSun"/>
          <w:sz w:val="24"/>
          <w:szCs w:val="24"/>
          <w:spacing w:val="2"/>
        </w:rPr>
        <w:t>能。中温厌氧发酵条</w:t>
      </w:r>
      <w:r>
        <w:rPr>
          <w:rFonts w:ascii="SimSun" w:hAnsi="SimSun" w:eastAsia="SimSun" w:cs="SimSun"/>
          <w:sz w:val="24"/>
          <w:szCs w:val="24"/>
        </w:rPr>
        <w:t xml:space="preserve"> </w:t>
      </w:r>
      <w:r>
        <w:rPr>
          <w:rFonts w:ascii="SimSun" w:hAnsi="SimSun" w:eastAsia="SimSun" w:cs="SimSun"/>
          <w:sz w:val="24"/>
          <w:szCs w:val="24"/>
          <w:spacing w:val="3"/>
        </w:rPr>
        <w:t>件下，能够通过水解、酸化和产甲烷等阶段逐步被降解，一</w:t>
      </w:r>
      <w:r>
        <w:rPr>
          <w:rFonts w:ascii="SimSun" w:hAnsi="SimSun" w:eastAsia="SimSun" w:cs="SimSun"/>
          <w:sz w:val="24"/>
          <w:szCs w:val="24"/>
          <w:spacing w:val="2"/>
        </w:rPr>
        <w:t>部分被微生物利用，</w:t>
      </w:r>
      <w:r>
        <w:rPr>
          <w:rFonts w:ascii="SimSun" w:hAnsi="SimSun" w:eastAsia="SimSun" w:cs="SimSun"/>
          <w:sz w:val="24"/>
          <w:szCs w:val="24"/>
        </w:rPr>
        <w:t xml:space="preserve"> </w:t>
      </w:r>
      <w:r>
        <w:rPr>
          <w:rFonts w:ascii="SimSun" w:hAnsi="SimSun" w:eastAsia="SimSun" w:cs="SimSun"/>
          <w:sz w:val="24"/>
          <w:szCs w:val="24"/>
          <w:spacing w:val="-1"/>
        </w:rPr>
        <w:t>分解为甲烷、二氧化碳、水等。</w:t>
      </w:r>
    </w:p>
    <w:p>
      <w:pPr>
        <w:ind w:left="37"/>
        <w:spacing w:line="222" w:lineRule="auto"/>
        <w:outlineLvl w:val="2"/>
        <w:rPr>
          <w:rFonts w:ascii="SimHei" w:hAnsi="SimHei" w:eastAsia="SimHei" w:cs="SimHei"/>
          <w:sz w:val="28"/>
          <w:szCs w:val="28"/>
        </w:rPr>
      </w:pPr>
      <w:bookmarkStart w:name="bookmark51" w:id="62"/>
      <w:bookmarkEnd w:id="62"/>
      <w:r>
        <w:rPr>
          <w:rFonts w:ascii="Times New Roman" w:hAnsi="Times New Roman" w:eastAsia="Times New Roman" w:cs="Times New Roman"/>
          <w:sz w:val="28"/>
          <w:szCs w:val="28"/>
          <w:spacing w:val="-1"/>
        </w:rPr>
        <w:t>3.1.7 </w:t>
      </w:r>
      <w:r>
        <w:rPr>
          <w:rFonts w:ascii="SimHei" w:hAnsi="SimHei" w:eastAsia="SimHei" w:cs="SimHei"/>
          <w:sz w:val="28"/>
          <w:szCs w:val="28"/>
          <w:spacing w:val="-1"/>
        </w:rPr>
        <w:t>主要设备清单</w:t>
      </w:r>
    </w:p>
    <w:p>
      <w:pPr>
        <w:ind w:left="516"/>
        <w:spacing w:before="319" w:line="219" w:lineRule="auto"/>
        <w:rPr>
          <w:rFonts w:ascii="SimSun" w:hAnsi="SimSun" w:eastAsia="SimSun" w:cs="SimSun"/>
          <w:sz w:val="24"/>
          <w:szCs w:val="24"/>
        </w:rPr>
      </w:pPr>
      <w:r>
        <w:rPr>
          <w:rFonts w:ascii="SimSun" w:hAnsi="SimSun" w:eastAsia="SimSun" w:cs="SimSun"/>
          <w:sz w:val="24"/>
          <w:szCs w:val="24"/>
          <w:spacing w:val="-2"/>
        </w:rPr>
        <w:t>本项目主要生产设备清单详见表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3.1-9</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12</w:t>
      </w:r>
      <w:r>
        <w:rPr>
          <w:rFonts w:ascii="SimSun" w:hAnsi="SimSun" w:eastAsia="SimSun" w:cs="SimSun"/>
          <w:sz w:val="24"/>
          <w:szCs w:val="24"/>
          <w:spacing w:val="-3"/>
        </w:rPr>
        <w:t>。</w:t>
      </w:r>
    </w:p>
    <w:p>
      <w:pPr>
        <w:ind w:left="2019"/>
        <w:spacing w:before="184"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3.1-9      </w:t>
      </w:r>
      <w:r>
        <w:rPr>
          <w:rFonts w:ascii="SimSun" w:hAnsi="SimSun" w:eastAsia="SimSun" w:cs="SimSun"/>
          <w:sz w:val="24"/>
          <w:szCs w:val="24"/>
          <w:b/>
          <w:bCs/>
          <w:spacing w:val="-2"/>
        </w:rPr>
        <w:t>洗毛生产线主要生产设备一览表</w:t>
      </w:r>
    </w:p>
    <w:tbl>
      <w:tblPr>
        <w:tblStyle w:val="TableNormal"/>
        <w:tblW w:w="8526"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36"/>
        <w:gridCol w:w="1620"/>
        <w:gridCol w:w="4296"/>
        <w:gridCol w:w="942"/>
        <w:gridCol w:w="832"/>
      </w:tblGrid>
      <w:tr>
        <w:trPr>
          <w:trHeight w:val="281" w:hRule="atLeast"/>
        </w:trPr>
        <w:tc>
          <w:tcPr>
            <w:tcW w:w="836" w:type="dxa"/>
            <w:vAlign w:val="top"/>
          </w:tcPr>
          <w:p>
            <w:pPr>
              <w:pStyle w:val="TableText"/>
              <w:ind w:left="213"/>
              <w:spacing w:before="35" w:line="217" w:lineRule="auto"/>
              <w:rPr/>
            </w:pPr>
            <w:r>
              <w:rPr>
                <w:spacing w:val="5"/>
              </w:rPr>
              <w:t>序号</w:t>
            </w:r>
          </w:p>
        </w:tc>
        <w:tc>
          <w:tcPr>
            <w:tcW w:w="1620" w:type="dxa"/>
            <w:vAlign w:val="top"/>
          </w:tcPr>
          <w:p>
            <w:pPr>
              <w:pStyle w:val="TableText"/>
              <w:ind w:left="607"/>
              <w:spacing w:before="35" w:line="217" w:lineRule="auto"/>
              <w:rPr/>
            </w:pPr>
            <w:r>
              <w:rPr>
                <w:spacing w:val="3"/>
              </w:rPr>
              <w:t>名称</w:t>
            </w:r>
          </w:p>
        </w:tc>
        <w:tc>
          <w:tcPr>
            <w:tcW w:w="4296" w:type="dxa"/>
            <w:vAlign w:val="top"/>
          </w:tcPr>
          <w:p>
            <w:pPr>
              <w:pStyle w:val="TableText"/>
              <w:ind w:left="1710"/>
              <w:spacing w:before="35" w:line="217" w:lineRule="auto"/>
              <w:rPr/>
            </w:pPr>
            <w:r>
              <w:rPr>
                <w:spacing w:val="5"/>
              </w:rPr>
              <w:t>型号</w:t>
            </w:r>
            <w:r>
              <w:rPr>
                <w:rFonts w:ascii="Times New Roman" w:hAnsi="Times New Roman" w:eastAsia="Times New Roman" w:cs="Times New Roman"/>
                <w:spacing w:val="5"/>
              </w:rPr>
              <w:t>/</w:t>
            </w:r>
            <w:r>
              <w:rPr>
                <w:spacing w:val="5"/>
              </w:rPr>
              <w:t>参数</w:t>
            </w:r>
          </w:p>
        </w:tc>
        <w:tc>
          <w:tcPr>
            <w:tcW w:w="942" w:type="dxa"/>
            <w:vAlign w:val="top"/>
          </w:tcPr>
          <w:p>
            <w:pPr>
              <w:pStyle w:val="TableText"/>
              <w:ind w:left="270"/>
              <w:spacing w:before="35" w:line="217" w:lineRule="auto"/>
              <w:rPr/>
            </w:pPr>
            <w:r>
              <w:rPr>
                <w:spacing w:val="3"/>
              </w:rPr>
              <w:t>单位</w:t>
            </w:r>
          </w:p>
        </w:tc>
        <w:tc>
          <w:tcPr>
            <w:tcW w:w="832" w:type="dxa"/>
            <w:vAlign w:val="top"/>
          </w:tcPr>
          <w:p>
            <w:pPr>
              <w:pStyle w:val="TableText"/>
              <w:ind w:left="214"/>
              <w:spacing w:before="35" w:line="217" w:lineRule="auto"/>
              <w:rPr/>
            </w:pPr>
            <w:r>
              <w:rPr>
                <w:spacing w:val="3"/>
              </w:rPr>
              <w:t>数量</w:t>
            </w:r>
          </w:p>
        </w:tc>
      </w:tr>
      <w:tr>
        <w:trPr>
          <w:trHeight w:val="277" w:hRule="atLeast"/>
        </w:trPr>
        <w:tc>
          <w:tcPr>
            <w:tcW w:w="836" w:type="dxa"/>
            <w:vAlign w:val="top"/>
          </w:tcPr>
          <w:p>
            <w:pPr>
              <w:ind w:left="38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620" w:type="dxa"/>
            <w:vAlign w:val="top"/>
          </w:tcPr>
          <w:p>
            <w:pPr>
              <w:pStyle w:val="TableText"/>
              <w:ind w:left="629"/>
              <w:spacing w:before="33" w:line="216" w:lineRule="auto"/>
              <w:rPr/>
            </w:pPr>
            <w:r>
              <w:rPr>
                <w:spacing w:val="-8"/>
              </w:rPr>
              <w:t>电刀</w:t>
            </w:r>
          </w:p>
        </w:tc>
        <w:tc>
          <w:tcPr>
            <w:tcW w:w="4296" w:type="dxa"/>
            <w:vAlign w:val="top"/>
          </w:tcPr>
          <w:p>
            <w:pPr>
              <w:ind w:left="2116"/>
              <w:spacing w:before="6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942" w:type="dxa"/>
            <w:vAlign w:val="top"/>
          </w:tcPr>
          <w:p>
            <w:pPr>
              <w:pStyle w:val="TableText"/>
              <w:ind w:left="388"/>
              <w:spacing w:before="33" w:line="216" w:lineRule="auto"/>
              <w:rPr/>
            </w:pPr>
            <w:r>
              <w:rPr/>
              <w:t>台</w:t>
            </w:r>
          </w:p>
        </w:tc>
        <w:tc>
          <w:tcPr>
            <w:tcW w:w="832" w:type="dxa"/>
            <w:vAlign w:val="top"/>
          </w:tcPr>
          <w:p>
            <w:pPr>
              <w:ind w:left="364"/>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r>
      <w:tr>
        <w:trPr>
          <w:trHeight w:val="277" w:hRule="atLeast"/>
        </w:trPr>
        <w:tc>
          <w:tcPr>
            <w:tcW w:w="836" w:type="dxa"/>
            <w:vAlign w:val="top"/>
          </w:tcPr>
          <w:p>
            <w:pPr>
              <w:ind w:left="366"/>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620" w:type="dxa"/>
            <w:vAlign w:val="top"/>
          </w:tcPr>
          <w:p>
            <w:pPr>
              <w:pStyle w:val="TableText"/>
              <w:ind w:left="79"/>
              <w:spacing w:before="31" w:line="217" w:lineRule="auto"/>
              <w:rPr/>
            </w:pPr>
            <w:r>
              <w:rPr>
                <w:spacing w:val="8"/>
              </w:rPr>
              <w:t>加长墙板喂毛机</w:t>
            </w:r>
          </w:p>
        </w:tc>
        <w:tc>
          <w:tcPr>
            <w:tcW w:w="4296" w:type="dxa"/>
            <w:vAlign w:val="top"/>
          </w:tcPr>
          <w:p>
            <w:pPr>
              <w:pStyle w:val="TableText"/>
              <w:ind w:left="1118"/>
              <w:spacing w:before="31" w:line="217" w:lineRule="auto"/>
              <w:rPr>
                <w:rFonts w:ascii="Times New Roman" w:hAnsi="Times New Roman" w:eastAsia="Times New Roman" w:cs="Times New Roman"/>
              </w:rPr>
            </w:pPr>
            <w:r>
              <w:rPr>
                <w:rFonts w:ascii="Times New Roman" w:hAnsi="Times New Roman" w:eastAsia="Times New Roman" w:cs="Times New Roman"/>
                <w:spacing w:val="3"/>
              </w:rPr>
              <w:t>B031-183</w:t>
            </w:r>
            <w:r>
              <w:rPr>
                <w:rFonts w:ascii="Times New Roman" w:hAnsi="Times New Roman" w:eastAsia="Times New Roman" w:cs="Times New Roman"/>
                <w:spacing w:val="-24"/>
              </w:rPr>
              <w:t xml:space="preserve"> </w:t>
            </w:r>
            <w:r>
              <w:rPr>
                <w:spacing w:val="3"/>
              </w:rPr>
              <w:t>，厚度</w:t>
            </w:r>
            <w:r>
              <w:rPr>
                <w:spacing w:val="-23"/>
              </w:rPr>
              <w:t xml:space="preserve"> </w:t>
            </w:r>
            <w:r>
              <w:rPr>
                <w:rFonts w:ascii="Times New Roman" w:hAnsi="Times New Roman" w:eastAsia="Times New Roman" w:cs="Times New Roman"/>
                <w:spacing w:val="3"/>
              </w:rPr>
              <w:t>10</w:t>
            </w:r>
            <w:r>
              <w:rPr>
                <w:rFonts w:ascii="Times New Roman" w:hAnsi="Times New Roman" w:eastAsia="Times New Roman" w:cs="Times New Roman"/>
              </w:rPr>
              <w:t>mm</w:t>
            </w:r>
          </w:p>
        </w:tc>
        <w:tc>
          <w:tcPr>
            <w:tcW w:w="942" w:type="dxa"/>
            <w:vAlign w:val="top"/>
          </w:tcPr>
          <w:p>
            <w:pPr>
              <w:pStyle w:val="TableText"/>
              <w:ind w:left="388"/>
              <w:spacing w:before="31" w:line="217" w:lineRule="auto"/>
              <w:rPr/>
            </w:pPr>
            <w:r>
              <w:rPr/>
              <w:t>台</w:t>
            </w:r>
          </w:p>
        </w:tc>
        <w:tc>
          <w:tcPr>
            <w:tcW w:w="832" w:type="dxa"/>
            <w:vAlign w:val="top"/>
          </w:tcPr>
          <w:p>
            <w:pPr>
              <w:ind w:left="363"/>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r>
      <w:tr>
        <w:trPr>
          <w:trHeight w:val="277" w:hRule="atLeast"/>
        </w:trPr>
        <w:tc>
          <w:tcPr>
            <w:tcW w:w="836" w:type="dxa"/>
            <w:vAlign w:val="top"/>
          </w:tcPr>
          <w:p>
            <w:pPr>
              <w:ind w:left="37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620" w:type="dxa"/>
            <w:vAlign w:val="top"/>
          </w:tcPr>
          <w:p>
            <w:pPr>
              <w:pStyle w:val="TableText"/>
              <w:ind w:left="509"/>
              <w:spacing w:before="33" w:line="216" w:lineRule="auto"/>
              <w:rPr/>
            </w:pPr>
            <w:r>
              <w:rPr>
                <w:spacing w:val="3"/>
              </w:rPr>
              <w:t>喂毛机</w:t>
            </w:r>
          </w:p>
        </w:tc>
        <w:tc>
          <w:tcPr>
            <w:tcW w:w="4296" w:type="dxa"/>
            <w:vAlign w:val="top"/>
          </w:tcPr>
          <w:p>
            <w:pPr>
              <w:pStyle w:val="TableText"/>
              <w:ind w:left="1118"/>
              <w:spacing w:before="33" w:line="216" w:lineRule="auto"/>
              <w:rPr>
                <w:rFonts w:ascii="Times New Roman" w:hAnsi="Times New Roman" w:eastAsia="Times New Roman" w:cs="Times New Roman"/>
              </w:rPr>
            </w:pPr>
            <w:r>
              <w:rPr>
                <w:rFonts w:ascii="Times New Roman" w:hAnsi="Times New Roman" w:eastAsia="Times New Roman" w:cs="Times New Roman"/>
                <w:spacing w:val="3"/>
              </w:rPr>
              <w:t>B033-200</w:t>
            </w:r>
            <w:r>
              <w:rPr>
                <w:rFonts w:ascii="Times New Roman" w:hAnsi="Times New Roman" w:eastAsia="Times New Roman" w:cs="Times New Roman"/>
                <w:spacing w:val="-24"/>
              </w:rPr>
              <w:t xml:space="preserve"> </w:t>
            </w:r>
            <w:r>
              <w:rPr>
                <w:spacing w:val="3"/>
              </w:rPr>
              <w:t>，厚度</w:t>
            </w:r>
            <w:r>
              <w:rPr>
                <w:spacing w:val="-23"/>
              </w:rPr>
              <w:t xml:space="preserve"> </w:t>
            </w:r>
            <w:r>
              <w:rPr>
                <w:rFonts w:ascii="Times New Roman" w:hAnsi="Times New Roman" w:eastAsia="Times New Roman" w:cs="Times New Roman"/>
                <w:spacing w:val="3"/>
              </w:rPr>
              <w:t>10</w:t>
            </w:r>
            <w:r>
              <w:rPr>
                <w:rFonts w:ascii="Times New Roman" w:hAnsi="Times New Roman" w:eastAsia="Times New Roman" w:cs="Times New Roman"/>
              </w:rPr>
              <w:t>mm</w:t>
            </w:r>
          </w:p>
        </w:tc>
        <w:tc>
          <w:tcPr>
            <w:tcW w:w="942" w:type="dxa"/>
            <w:vAlign w:val="top"/>
          </w:tcPr>
          <w:p>
            <w:pPr>
              <w:pStyle w:val="TableText"/>
              <w:ind w:left="388"/>
              <w:spacing w:before="33" w:line="216" w:lineRule="auto"/>
              <w:rPr/>
            </w:pPr>
            <w:r>
              <w:rPr/>
              <w:t>台</w:t>
            </w:r>
          </w:p>
        </w:tc>
        <w:tc>
          <w:tcPr>
            <w:tcW w:w="832" w:type="dxa"/>
            <w:vAlign w:val="top"/>
          </w:tcPr>
          <w:p>
            <w:pPr>
              <w:ind w:left="364"/>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r>
      <w:tr>
        <w:trPr>
          <w:trHeight w:val="277" w:hRule="atLeast"/>
        </w:trPr>
        <w:tc>
          <w:tcPr>
            <w:tcW w:w="836" w:type="dxa"/>
            <w:vAlign w:val="top"/>
          </w:tcPr>
          <w:p>
            <w:pPr>
              <w:ind w:left="36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620" w:type="dxa"/>
            <w:vAlign w:val="top"/>
          </w:tcPr>
          <w:p>
            <w:pPr>
              <w:pStyle w:val="TableText"/>
              <w:ind w:left="509"/>
              <w:spacing w:before="34" w:line="215" w:lineRule="auto"/>
              <w:rPr/>
            </w:pPr>
            <w:r>
              <w:rPr>
                <w:spacing w:val="3"/>
              </w:rPr>
              <w:t>喂毛机</w:t>
            </w:r>
          </w:p>
        </w:tc>
        <w:tc>
          <w:tcPr>
            <w:tcW w:w="4296" w:type="dxa"/>
            <w:vAlign w:val="top"/>
          </w:tcPr>
          <w:p>
            <w:pPr>
              <w:pStyle w:val="TableText"/>
              <w:ind w:left="1118"/>
              <w:spacing w:before="34" w:line="215" w:lineRule="auto"/>
              <w:rPr>
                <w:rFonts w:ascii="Times New Roman" w:hAnsi="Times New Roman" w:eastAsia="Times New Roman" w:cs="Times New Roman"/>
              </w:rPr>
            </w:pPr>
            <w:r>
              <w:rPr>
                <w:rFonts w:ascii="Times New Roman" w:hAnsi="Times New Roman" w:eastAsia="Times New Roman" w:cs="Times New Roman"/>
                <w:spacing w:val="3"/>
              </w:rPr>
              <w:t>B033-183</w:t>
            </w:r>
            <w:r>
              <w:rPr>
                <w:rFonts w:ascii="Times New Roman" w:hAnsi="Times New Roman" w:eastAsia="Times New Roman" w:cs="Times New Roman"/>
                <w:spacing w:val="-24"/>
              </w:rPr>
              <w:t xml:space="preserve"> </w:t>
            </w:r>
            <w:r>
              <w:rPr>
                <w:spacing w:val="3"/>
              </w:rPr>
              <w:t>，厚度</w:t>
            </w:r>
            <w:r>
              <w:rPr>
                <w:spacing w:val="-23"/>
              </w:rPr>
              <w:t xml:space="preserve"> </w:t>
            </w:r>
            <w:r>
              <w:rPr>
                <w:rFonts w:ascii="Times New Roman" w:hAnsi="Times New Roman" w:eastAsia="Times New Roman" w:cs="Times New Roman"/>
                <w:spacing w:val="3"/>
              </w:rPr>
              <w:t>10</w:t>
            </w:r>
            <w:r>
              <w:rPr>
                <w:rFonts w:ascii="Times New Roman" w:hAnsi="Times New Roman" w:eastAsia="Times New Roman" w:cs="Times New Roman"/>
              </w:rPr>
              <w:t>mm</w:t>
            </w:r>
          </w:p>
        </w:tc>
        <w:tc>
          <w:tcPr>
            <w:tcW w:w="942" w:type="dxa"/>
            <w:vAlign w:val="top"/>
          </w:tcPr>
          <w:p>
            <w:pPr>
              <w:pStyle w:val="TableText"/>
              <w:ind w:left="388"/>
              <w:spacing w:before="34" w:line="215" w:lineRule="auto"/>
              <w:rPr/>
            </w:pPr>
            <w:r>
              <w:rPr/>
              <w:t>台</w:t>
            </w:r>
          </w:p>
        </w:tc>
        <w:tc>
          <w:tcPr>
            <w:tcW w:w="832" w:type="dxa"/>
            <w:vAlign w:val="top"/>
          </w:tcPr>
          <w:p>
            <w:pPr>
              <w:ind w:left="36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r>
      <w:tr>
        <w:trPr>
          <w:trHeight w:val="548" w:hRule="atLeast"/>
        </w:trPr>
        <w:tc>
          <w:tcPr>
            <w:tcW w:w="836" w:type="dxa"/>
            <w:vAlign w:val="top"/>
          </w:tcPr>
          <w:p>
            <w:pPr>
              <w:ind w:left="372"/>
              <w:spacing w:before="20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620" w:type="dxa"/>
            <w:vAlign w:val="top"/>
          </w:tcPr>
          <w:p>
            <w:pPr>
              <w:pStyle w:val="TableText"/>
              <w:ind w:left="288"/>
              <w:spacing w:before="167" w:line="227" w:lineRule="auto"/>
              <w:rPr/>
            </w:pPr>
            <w:r>
              <w:rPr>
                <w:spacing w:val="8"/>
              </w:rPr>
              <w:t>开松除杂机</w:t>
            </w:r>
          </w:p>
        </w:tc>
        <w:tc>
          <w:tcPr>
            <w:tcW w:w="4296" w:type="dxa"/>
            <w:vAlign w:val="top"/>
          </w:tcPr>
          <w:p>
            <w:pPr>
              <w:pStyle w:val="TableText"/>
              <w:ind w:left="553" w:right="46" w:hanging="505"/>
              <w:spacing w:before="33" w:line="233" w:lineRule="auto"/>
              <w:rPr>
                <w:rFonts w:ascii="Times New Roman" w:hAnsi="Times New Roman" w:eastAsia="Times New Roman" w:cs="Times New Roman"/>
              </w:rPr>
            </w:pPr>
            <w:r>
              <w:rPr>
                <w:rFonts w:ascii="Times New Roman" w:hAnsi="Times New Roman" w:eastAsia="Times New Roman" w:cs="Times New Roman"/>
                <w:spacing w:val="7"/>
              </w:rPr>
              <w:t>B047-180</w:t>
            </w:r>
            <w:r>
              <w:rPr>
                <w:rFonts w:ascii="Times New Roman" w:hAnsi="Times New Roman" w:eastAsia="Times New Roman" w:cs="Times New Roman"/>
                <w:spacing w:val="-23"/>
              </w:rPr>
              <w:t xml:space="preserve"> </w:t>
            </w:r>
            <w:r>
              <w:rPr>
                <w:spacing w:val="7"/>
              </w:rPr>
              <w:t>，三只大锡林，四只小锡林，大滚筒</w:t>
            </w:r>
            <w:r>
              <w:rPr/>
              <w:t xml:space="preserve"> </w:t>
            </w:r>
            <w:r>
              <w:rPr>
                <w:spacing w:val="7"/>
              </w:rPr>
              <w:t>直径</w:t>
            </w:r>
            <w:r>
              <w:rPr>
                <w:rFonts w:ascii="Times New Roman" w:hAnsi="Times New Roman" w:eastAsia="Times New Roman" w:cs="Times New Roman"/>
                <w:spacing w:val="7"/>
              </w:rPr>
              <w:t>φ860</w:t>
            </w:r>
            <w:r>
              <w:rPr>
                <w:rFonts w:ascii="Times New Roman" w:hAnsi="Times New Roman" w:eastAsia="Times New Roman" w:cs="Times New Roman"/>
              </w:rPr>
              <w:t>mm</w:t>
            </w:r>
            <w:r>
              <w:rPr>
                <w:rFonts w:ascii="Times New Roman" w:hAnsi="Times New Roman" w:eastAsia="Times New Roman" w:cs="Times New Roman"/>
                <w:spacing w:val="-23"/>
              </w:rPr>
              <w:t xml:space="preserve"> </w:t>
            </w:r>
            <w:r>
              <w:rPr>
                <w:spacing w:val="7"/>
              </w:rPr>
              <w:t>，小滚筒直径</w:t>
            </w:r>
            <w:r>
              <w:rPr>
                <w:rFonts w:ascii="Times New Roman" w:hAnsi="Times New Roman" w:eastAsia="Times New Roman" w:cs="Times New Roman"/>
                <w:spacing w:val="7"/>
              </w:rPr>
              <w:t>φ638</w:t>
            </w:r>
            <w:r>
              <w:rPr>
                <w:rFonts w:ascii="Times New Roman" w:hAnsi="Times New Roman" w:eastAsia="Times New Roman" w:cs="Times New Roman"/>
              </w:rPr>
              <w:t>mm</w:t>
            </w:r>
          </w:p>
        </w:tc>
        <w:tc>
          <w:tcPr>
            <w:tcW w:w="942" w:type="dxa"/>
            <w:vAlign w:val="top"/>
          </w:tcPr>
          <w:p>
            <w:pPr>
              <w:pStyle w:val="TableText"/>
              <w:ind w:left="388"/>
              <w:spacing w:before="167" w:line="230" w:lineRule="auto"/>
              <w:rPr/>
            </w:pPr>
            <w:r>
              <w:rPr/>
              <w:t>台</w:t>
            </w:r>
          </w:p>
        </w:tc>
        <w:tc>
          <w:tcPr>
            <w:tcW w:w="832" w:type="dxa"/>
            <w:vAlign w:val="top"/>
          </w:tcPr>
          <w:p>
            <w:pPr>
              <w:ind w:left="364"/>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r>
      <w:tr>
        <w:trPr>
          <w:trHeight w:val="277" w:hRule="atLeast"/>
        </w:trPr>
        <w:tc>
          <w:tcPr>
            <w:tcW w:w="836" w:type="dxa"/>
            <w:vAlign w:val="top"/>
          </w:tcPr>
          <w:p>
            <w:pPr>
              <w:ind w:left="371"/>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620" w:type="dxa"/>
            <w:vAlign w:val="top"/>
          </w:tcPr>
          <w:p>
            <w:pPr>
              <w:pStyle w:val="TableText"/>
              <w:ind w:left="204"/>
              <w:spacing w:before="35" w:line="214" w:lineRule="auto"/>
              <w:rPr/>
            </w:pPr>
            <w:r>
              <w:rPr>
                <w:spacing w:val="4"/>
              </w:rPr>
              <w:t>四斗式浸洗槽</w:t>
            </w:r>
          </w:p>
        </w:tc>
        <w:tc>
          <w:tcPr>
            <w:tcW w:w="4296" w:type="dxa"/>
            <w:vAlign w:val="top"/>
          </w:tcPr>
          <w:p>
            <w:pPr>
              <w:pStyle w:val="TableText"/>
              <w:ind w:left="4"/>
              <w:spacing w:before="35" w:line="214" w:lineRule="auto"/>
              <w:rPr>
                <w:rFonts w:ascii="Times New Roman" w:hAnsi="Times New Roman" w:eastAsia="Times New Roman" w:cs="Times New Roman"/>
              </w:rPr>
            </w:pPr>
            <w:r>
              <w:rPr>
                <w:rFonts w:ascii="Times New Roman" w:hAnsi="Times New Roman" w:eastAsia="Times New Roman" w:cs="Times New Roman"/>
                <w:spacing w:val="-3"/>
              </w:rPr>
              <w:t>B081-220</w:t>
            </w:r>
            <w:r>
              <w:rPr>
                <w:spacing w:val="-3"/>
              </w:rPr>
              <w:t>，不锈钢，主槽长</w:t>
            </w:r>
            <w:r>
              <w:rPr>
                <w:spacing w:val="-31"/>
              </w:rPr>
              <w:t xml:space="preserve"> </w:t>
            </w:r>
            <w:r>
              <w:rPr>
                <w:rFonts w:ascii="Times New Roman" w:hAnsi="Times New Roman" w:eastAsia="Times New Roman" w:cs="Times New Roman"/>
                <w:spacing w:val="-3"/>
              </w:rPr>
              <w:t>8000mm</w:t>
            </w:r>
            <w:r>
              <w:rPr>
                <w:spacing w:val="-3"/>
              </w:rPr>
              <w:t>，高</w:t>
            </w:r>
            <w:r>
              <w:rPr>
                <w:spacing w:val="-21"/>
              </w:rPr>
              <w:t xml:space="preserve"> </w:t>
            </w:r>
            <w:r>
              <w:rPr>
                <w:rFonts w:ascii="Times New Roman" w:hAnsi="Times New Roman" w:eastAsia="Times New Roman" w:cs="Times New Roman"/>
                <w:spacing w:val="-3"/>
              </w:rPr>
              <w:t>1800mm</w:t>
            </w:r>
          </w:p>
        </w:tc>
        <w:tc>
          <w:tcPr>
            <w:tcW w:w="942" w:type="dxa"/>
            <w:vAlign w:val="top"/>
          </w:tcPr>
          <w:p>
            <w:pPr>
              <w:pStyle w:val="TableText"/>
              <w:ind w:left="388"/>
              <w:spacing w:before="35" w:line="214" w:lineRule="auto"/>
              <w:rPr/>
            </w:pPr>
            <w:r>
              <w:rPr/>
              <w:t>台</w:t>
            </w:r>
          </w:p>
        </w:tc>
        <w:tc>
          <w:tcPr>
            <w:tcW w:w="832" w:type="dxa"/>
            <w:vAlign w:val="top"/>
          </w:tcPr>
          <w:p>
            <w:pPr>
              <w:ind w:left="36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r>
      <w:tr>
        <w:trPr>
          <w:trHeight w:val="277" w:hRule="atLeast"/>
        </w:trPr>
        <w:tc>
          <w:tcPr>
            <w:tcW w:w="836" w:type="dxa"/>
            <w:vAlign w:val="top"/>
          </w:tcPr>
          <w:p>
            <w:pPr>
              <w:ind w:left="369"/>
              <w:spacing w:before="7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620" w:type="dxa"/>
            <w:vAlign w:val="top"/>
          </w:tcPr>
          <w:p>
            <w:pPr>
              <w:pStyle w:val="TableText"/>
              <w:ind w:left="184"/>
              <w:spacing w:before="36" w:line="213" w:lineRule="auto"/>
              <w:rPr/>
            </w:pPr>
            <w:r>
              <w:rPr>
                <w:spacing w:val="8"/>
              </w:rPr>
              <w:t>三斗式浸洗槽</w:t>
            </w:r>
          </w:p>
        </w:tc>
        <w:tc>
          <w:tcPr>
            <w:tcW w:w="4296" w:type="dxa"/>
            <w:vAlign w:val="top"/>
          </w:tcPr>
          <w:p>
            <w:pPr>
              <w:pStyle w:val="TableText"/>
              <w:ind w:left="381"/>
              <w:spacing w:before="36" w:line="213" w:lineRule="auto"/>
              <w:rPr>
                <w:rFonts w:ascii="Times New Roman" w:hAnsi="Times New Roman" w:eastAsia="Times New Roman" w:cs="Times New Roman"/>
              </w:rPr>
            </w:pPr>
            <w:r>
              <w:rPr>
                <w:rFonts w:ascii="Times New Roman" w:hAnsi="Times New Roman" w:eastAsia="Times New Roman" w:cs="Times New Roman"/>
                <w:spacing w:val="3"/>
              </w:rPr>
              <w:t>B081-220</w:t>
            </w:r>
            <w:r>
              <w:rPr>
                <w:rFonts w:ascii="Times New Roman" w:hAnsi="Times New Roman" w:eastAsia="Times New Roman" w:cs="Times New Roman"/>
                <w:spacing w:val="-24"/>
              </w:rPr>
              <w:t xml:space="preserve"> </w:t>
            </w:r>
            <w:r>
              <w:rPr>
                <w:spacing w:val="3"/>
              </w:rPr>
              <w:t>，主槽长</w:t>
            </w:r>
            <w:r>
              <w:rPr>
                <w:spacing w:val="-38"/>
              </w:rPr>
              <w:t xml:space="preserve"> </w:t>
            </w:r>
            <w:r>
              <w:rPr>
                <w:rFonts w:ascii="Times New Roman" w:hAnsi="Times New Roman" w:eastAsia="Times New Roman" w:cs="Times New Roman"/>
                <w:spacing w:val="3"/>
              </w:rPr>
              <w:t>6380</w:t>
            </w:r>
            <w:r>
              <w:rPr>
                <w:rFonts w:ascii="Times New Roman" w:hAnsi="Times New Roman" w:eastAsia="Times New Roman" w:cs="Times New Roman"/>
              </w:rPr>
              <w:t>mm</w:t>
            </w:r>
            <w:r>
              <w:rPr>
                <w:rFonts w:ascii="Times New Roman" w:hAnsi="Times New Roman" w:eastAsia="Times New Roman" w:cs="Times New Roman"/>
                <w:spacing w:val="-22"/>
              </w:rPr>
              <w:t xml:space="preserve"> </w:t>
            </w:r>
            <w:r>
              <w:rPr>
                <w:spacing w:val="3"/>
              </w:rPr>
              <w:t>，高</w:t>
            </w:r>
            <w:r>
              <w:rPr>
                <w:spacing w:val="-23"/>
              </w:rPr>
              <w:t xml:space="preserve"> </w:t>
            </w:r>
            <w:r>
              <w:rPr>
                <w:rFonts w:ascii="Times New Roman" w:hAnsi="Times New Roman" w:eastAsia="Times New Roman" w:cs="Times New Roman"/>
                <w:spacing w:val="3"/>
              </w:rPr>
              <w:t>180</w:t>
            </w:r>
            <w:r>
              <w:rPr>
                <w:rFonts w:ascii="Times New Roman" w:hAnsi="Times New Roman" w:eastAsia="Times New Roman" w:cs="Times New Roman"/>
                <w:spacing w:val="2"/>
              </w:rPr>
              <w:t>0m</w:t>
            </w:r>
          </w:p>
        </w:tc>
        <w:tc>
          <w:tcPr>
            <w:tcW w:w="942" w:type="dxa"/>
            <w:vAlign w:val="top"/>
          </w:tcPr>
          <w:p>
            <w:pPr>
              <w:pStyle w:val="TableText"/>
              <w:ind w:left="388"/>
              <w:spacing w:before="36" w:line="213" w:lineRule="auto"/>
              <w:rPr/>
            </w:pPr>
            <w:r>
              <w:rPr/>
              <w:t>台</w:t>
            </w:r>
          </w:p>
        </w:tc>
        <w:tc>
          <w:tcPr>
            <w:tcW w:w="832" w:type="dxa"/>
            <w:vAlign w:val="top"/>
          </w:tcPr>
          <w:p>
            <w:pPr>
              <w:ind w:left="37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r>
      <w:tr>
        <w:trPr>
          <w:trHeight w:val="277" w:hRule="atLeast"/>
        </w:trPr>
        <w:tc>
          <w:tcPr>
            <w:tcW w:w="836" w:type="dxa"/>
            <w:vAlign w:val="top"/>
          </w:tcPr>
          <w:p>
            <w:pPr>
              <w:ind w:left="37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620" w:type="dxa"/>
            <w:vAlign w:val="top"/>
          </w:tcPr>
          <w:p>
            <w:pPr>
              <w:pStyle w:val="TableText"/>
              <w:ind w:left="499"/>
              <w:spacing w:before="35" w:line="214" w:lineRule="auto"/>
              <w:rPr/>
            </w:pPr>
            <w:r>
              <w:rPr>
                <w:spacing w:val="6"/>
              </w:rPr>
              <w:t>压水机</w:t>
            </w:r>
          </w:p>
        </w:tc>
        <w:tc>
          <w:tcPr>
            <w:tcW w:w="4296" w:type="dxa"/>
            <w:vAlign w:val="top"/>
          </w:tcPr>
          <w:p>
            <w:pPr>
              <w:ind w:left="1728"/>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B021-220</w:t>
            </w:r>
          </w:p>
        </w:tc>
        <w:tc>
          <w:tcPr>
            <w:tcW w:w="942" w:type="dxa"/>
            <w:vAlign w:val="top"/>
          </w:tcPr>
          <w:p>
            <w:pPr>
              <w:pStyle w:val="TableText"/>
              <w:ind w:left="388"/>
              <w:spacing w:before="35" w:line="214" w:lineRule="auto"/>
              <w:rPr/>
            </w:pPr>
            <w:r>
              <w:rPr/>
              <w:t>台</w:t>
            </w:r>
          </w:p>
        </w:tc>
        <w:tc>
          <w:tcPr>
            <w:tcW w:w="832" w:type="dxa"/>
            <w:vAlign w:val="top"/>
          </w:tcPr>
          <w:p>
            <w:pPr>
              <w:ind w:left="33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r>
      <w:tr>
        <w:trPr>
          <w:trHeight w:val="278" w:hRule="atLeast"/>
        </w:trPr>
        <w:tc>
          <w:tcPr>
            <w:tcW w:w="836" w:type="dxa"/>
            <w:vAlign w:val="top"/>
          </w:tcPr>
          <w:p>
            <w:pPr>
              <w:ind w:left="37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620" w:type="dxa"/>
            <w:vAlign w:val="top"/>
          </w:tcPr>
          <w:p>
            <w:pPr>
              <w:pStyle w:val="TableText"/>
              <w:ind w:left="498"/>
              <w:spacing w:before="36" w:line="214" w:lineRule="auto"/>
              <w:rPr/>
            </w:pPr>
            <w:r>
              <w:rPr>
                <w:spacing w:val="7"/>
              </w:rPr>
              <w:t>输毛帘</w:t>
            </w:r>
          </w:p>
        </w:tc>
        <w:tc>
          <w:tcPr>
            <w:tcW w:w="4296" w:type="dxa"/>
            <w:vAlign w:val="top"/>
          </w:tcPr>
          <w:p>
            <w:pPr>
              <w:ind w:left="2116"/>
              <w:spacing w:before="6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942" w:type="dxa"/>
            <w:vAlign w:val="top"/>
          </w:tcPr>
          <w:p>
            <w:pPr>
              <w:pStyle w:val="TableText"/>
              <w:ind w:left="388"/>
              <w:spacing w:before="36" w:line="214" w:lineRule="auto"/>
              <w:rPr/>
            </w:pPr>
            <w:r>
              <w:rPr/>
              <w:t>台</w:t>
            </w:r>
          </w:p>
        </w:tc>
        <w:tc>
          <w:tcPr>
            <w:tcW w:w="832" w:type="dxa"/>
            <w:vAlign w:val="top"/>
          </w:tcPr>
          <w:p>
            <w:pPr>
              <w:ind w:left="36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r>
      <w:tr>
        <w:trPr>
          <w:trHeight w:val="277" w:hRule="atLeast"/>
        </w:trPr>
        <w:tc>
          <w:tcPr>
            <w:tcW w:w="836" w:type="dxa"/>
            <w:vAlign w:val="top"/>
          </w:tcPr>
          <w:p>
            <w:pPr>
              <w:ind w:left="33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620" w:type="dxa"/>
            <w:vAlign w:val="top"/>
          </w:tcPr>
          <w:p>
            <w:pPr>
              <w:pStyle w:val="TableText"/>
              <w:ind w:left="287"/>
              <w:spacing w:before="36" w:line="213" w:lineRule="auto"/>
              <w:rPr/>
            </w:pPr>
            <w:r>
              <w:rPr>
                <w:spacing w:val="8"/>
              </w:rPr>
              <w:t>平帘烘干机</w:t>
            </w:r>
          </w:p>
        </w:tc>
        <w:tc>
          <w:tcPr>
            <w:tcW w:w="4296" w:type="dxa"/>
            <w:vAlign w:val="top"/>
          </w:tcPr>
          <w:p>
            <w:pPr>
              <w:pStyle w:val="TableText"/>
              <w:ind w:left="352"/>
              <w:spacing w:before="36" w:line="213" w:lineRule="auto"/>
              <w:rPr/>
            </w:pPr>
            <w:r>
              <w:rPr>
                <w:rFonts w:ascii="Times New Roman" w:hAnsi="Times New Roman" w:eastAsia="Times New Roman" w:cs="Times New Roman"/>
                <w:spacing w:val="6"/>
              </w:rPr>
              <w:t>B061A-4</w:t>
            </w:r>
            <w:r>
              <w:rPr>
                <w:rFonts w:ascii="Times New Roman" w:hAnsi="Times New Roman" w:eastAsia="Times New Roman" w:cs="Times New Roman"/>
                <w:spacing w:val="-18"/>
              </w:rPr>
              <w:t xml:space="preserve"> </w:t>
            </w:r>
            <w:r>
              <w:rPr>
                <w:spacing w:val="6"/>
              </w:rPr>
              <w:t>，四层，散热器采用</w:t>
            </w:r>
            <w:r>
              <w:rPr>
                <w:rFonts w:ascii="Times New Roman" w:hAnsi="Times New Roman" w:eastAsia="Times New Roman" w:cs="Times New Roman"/>
                <w:spacing w:val="6"/>
              </w:rPr>
              <w:t>φ32</w:t>
            </w:r>
            <w:r>
              <w:rPr>
                <w:rFonts w:ascii="Times New Roman" w:hAnsi="Times New Roman" w:eastAsia="Times New Roman" w:cs="Times New Roman"/>
              </w:rPr>
              <w:t>mm</w:t>
            </w:r>
            <w:r>
              <w:rPr>
                <w:rFonts w:ascii="Times New Roman" w:hAnsi="Times New Roman" w:eastAsia="Times New Roman" w:cs="Times New Roman"/>
                <w:spacing w:val="17"/>
              </w:rPr>
              <w:t xml:space="preserve"> </w:t>
            </w:r>
            <w:r>
              <w:rPr>
                <w:spacing w:val="6"/>
              </w:rPr>
              <w:t>管</w:t>
            </w:r>
          </w:p>
        </w:tc>
        <w:tc>
          <w:tcPr>
            <w:tcW w:w="942" w:type="dxa"/>
            <w:vAlign w:val="top"/>
          </w:tcPr>
          <w:p>
            <w:pPr>
              <w:pStyle w:val="TableText"/>
              <w:ind w:left="388"/>
              <w:spacing w:before="36" w:line="213" w:lineRule="auto"/>
              <w:rPr/>
            </w:pPr>
            <w:r>
              <w:rPr/>
              <w:t>台</w:t>
            </w:r>
          </w:p>
        </w:tc>
        <w:tc>
          <w:tcPr>
            <w:tcW w:w="832" w:type="dxa"/>
            <w:vAlign w:val="top"/>
          </w:tcPr>
          <w:p>
            <w:pPr>
              <w:ind w:left="364"/>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r>
      <w:tr>
        <w:trPr>
          <w:trHeight w:val="277" w:hRule="atLeast"/>
        </w:trPr>
        <w:tc>
          <w:tcPr>
            <w:tcW w:w="836" w:type="dxa"/>
            <w:vAlign w:val="top"/>
          </w:tcPr>
          <w:p>
            <w:pPr>
              <w:ind w:left="33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11</w:t>
            </w:r>
          </w:p>
        </w:tc>
        <w:tc>
          <w:tcPr>
            <w:tcW w:w="1620" w:type="dxa"/>
            <w:vAlign w:val="top"/>
          </w:tcPr>
          <w:p>
            <w:pPr>
              <w:pStyle w:val="TableText"/>
              <w:ind w:left="499"/>
              <w:spacing w:before="35" w:line="214" w:lineRule="auto"/>
              <w:rPr/>
            </w:pPr>
            <w:r>
              <w:rPr>
                <w:spacing w:val="6"/>
              </w:rPr>
              <w:t>配电柜</w:t>
            </w:r>
          </w:p>
        </w:tc>
        <w:tc>
          <w:tcPr>
            <w:tcW w:w="4296" w:type="dxa"/>
            <w:vAlign w:val="top"/>
          </w:tcPr>
          <w:p>
            <w:pPr>
              <w:ind w:left="2116"/>
              <w:spacing w:before="6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942" w:type="dxa"/>
            <w:vAlign w:val="top"/>
          </w:tcPr>
          <w:p>
            <w:pPr>
              <w:pStyle w:val="TableText"/>
              <w:ind w:left="372"/>
              <w:spacing w:before="35" w:line="214" w:lineRule="auto"/>
              <w:rPr/>
            </w:pPr>
            <w:r>
              <w:rPr/>
              <w:t>套</w:t>
            </w:r>
          </w:p>
        </w:tc>
        <w:tc>
          <w:tcPr>
            <w:tcW w:w="832" w:type="dxa"/>
            <w:vAlign w:val="top"/>
          </w:tcPr>
          <w:p>
            <w:pPr>
              <w:ind w:left="36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r>
      <w:tr>
        <w:trPr>
          <w:trHeight w:val="278" w:hRule="atLeast"/>
        </w:trPr>
        <w:tc>
          <w:tcPr>
            <w:tcW w:w="836" w:type="dxa"/>
            <w:vAlign w:val="top"/>
          </w:tcPr>
          <w:p>
            <w:pPr>
              <w:ind w:left="336"/>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1620" w:type="dxa"/>
            <w:vAlign w:val="top"/>
          </w:tcPr>
          <w:p>
            <w:pPr>
              <w:pStyle w:val="TableText"/>
              <w:ind w:left="500"/>
              <w:spacing w:before="36" w:line="214" w:lineRule="auto"/>
              <w:rPr/>
            </w:pPr>
            <w:r>
              <w:rPr>
                <w:spacing w:val="6"/>
              </w:rPr>
              <w:t>上压辊</w:t>
            </w:r>
          </w:p>
        </w:tc>
        <w:tc>
          <w:tcPr>
            <w:tcW w:w="4296" w:type="dxa"/>
            <w:vAlign w:val="top"/>
          </w:tcPr>
          <w:p>
            <w:pPr>
              <w:ind w:left="2116"/>
              <w:spacing w:before="6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942" w:type="dxa"/>
            <w:vAlign w:val="top"/>
          </w:tcPr>
          <w:p>
            <w:pPr>
              <w:pStyle w:val="TableText"/>
              <w:ind w:left="372"/>
              <w:spacing w:before="36" w:line="214" w:lineRule="auto"/>
              <w:rPr/>
            </w:pPr>
            <w:r>
              <w:rPr/>
              <w:t>支</w:t>
            </w:r>
          </w:p>
        </w:tc>
        <w:tc>
          <w:tcPr>
            <w:tcW w:w="832" w:type="dxa"/>
            <w:vAlign w:val="top"/>
          </w:tcPr>
          <w:p>
            <w:pPr>
              <w:ind w:left="364"/>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r>
      <w:tr>
        <w:trPr>
          <w:trHeight w:val="277" w:hRule="atLeast"/>
        </w:trPr>
        <w:tc>
          <w:tcPr>
            <w:tcW w:w="836" w:type="dxa"/>
            <w:vAlign w:val="top"/>
          </w:tcPr>
          <w:p>
            <w:pPr>
              <w:ind w:left="336"/>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13</w:t>
            </w:r>
          </w:p>
        </w:tc>
        <w:tc>
          <w:tcPr>
            <w:tcW w:w="1620" w:type="dxa"/>
            <w:vAlign w:val="top"/>
          </w:tcPr>
          <w:p>
            <w:pPr>
              <w:pStyle w:val="TableText"/>
              <w:ind w:left="505"/>
              <w:spacing w:before="36" w:line="213" w:lineRule="auto"/>
              <w:rPr/>
            </w:pPr>
            <w:r>
              <w:rPr>
                <w:spacing w:val="4"/>
              </w:rPr>
              <w:t>下压辊</w:t>
            </w:r>
          </w:p>
        </w:tc>
        <w:tc>
          <w:tcPr>
            <w:tcW w:w="4296" w:type="dxa"/>
            <w:vAlign w:val="top"/>
          </w:tcPr>
          <w:p>
            <w:pPr>
              <w:ind w:left="2116"/>
              <w:spacing w:before="6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942" w:type="dxa"/>
            <w:vAlign w:val="top"/>
          </w:tcPr>
          <w:p>
            <w:pPr>
              <w:pStyle w:val="TableText"/>
              <w:ind w:left="372"/>
              <w:spacing w:before="36" w:line="213" w:lineRule="auto"/>
              <w:rPr/>
            </w:pPr>
            <w:r>
              <w:rPr/>
              <w:t>支</w:t>
            </w:r>
          </w:p>
        </w:tc>
        <w:tc>
          <w:tcPr>
            <w:tcW w:w="832" w:type="dxa"/>
            <w:vAlign w:val="top"/>
          </w:tcPr>
          <w:p>
            <w:pPr>
              <w:ind w:left="364"/>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r>
      <w:tr>
        <w:trPr>
          <w:trHeight w:val="281" w:hRule="atLeast"/>
        </w:trPr>
        <w:tc>
          <w:tcPr>
            <w:tcW w:w="836" w:type="dxa"/>
            <w:vAlign w:val="top"/>
          </w:tcPr>
          <w:p>
            <w:pPr>
              <w:ind w:left="33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14</w:t>
            </w:r>
          </w:p>
        </w:tc>
        <w:tc>
          <w:tcPr>
            <w:tcW w:w="1620" w:type="dxa"/>
            <w:vAlign w:val="top"/>
          </w:tcPr>
          <w:p>
            <w:pPr>
              <w:pStyle w:val="TableText"/>
              <w:ind w:left="502"/>
              <w:spacing w:before="34" w:line="218" w:lineRule="auto"/>
              <w:rPr/>
            </w:pPr>
            <w:r>
              <w:rPr>
                <w:spacing w:val="5"/>
              </w:rPr>
              <w:t>打包机</w:t>
            </w:r>
          </w:p>
        </w:tc>
        <w:tc>
          <w:tcPr>
            <w:tcW w:w="4296" w:type="dxa"/>
            <w:vAlign w:val="top"/>
          </w:tcPr>
          <w:p>
            <w:pPr>
              <w:pStyle w:val="TableText"/>
              <w:ind w:left="1447"/>
              <w:spacing w:before="34" w:line="218" w:lineRule="auto"/>
              <w:rPr/>
            </w:pPr>
            <w:r>
              <w:rPr>
                <w:rFonts w:ascii="Times New Roman" w:hAnsi="Times New Roman" w:eastAsia="Times New Roman" w:cs="Times New Roman"/>
              </w:rPr>
              <w:t>MDYS</w:t>
            </w:r>
            <w:r>
              <w:rPr>
                <w:rFonts w:ascii="Times New Roman" w:hAnsi="Times New Roman" w:eastAsia="Times New Roman" w:cs="Times New Roman"/>
                <w:spacing w:val="8"/>
              </w:rPr>
              <w:t>-200A</w:t>
            </w:r>
            <w:r>
              <w:rPr>
                <w:rFonts w:ascii="Times New Roman" w:hAnsi="Times New Roman" w:eastAsia="Times New Roman" w:cs="Times New Roman"/>
                <w:spacing w:val="15"/>
                <w:w w:val="101"/>
              </w:rPr>
              <w:t xml:space="preserve"> </w:t>
            </w:r>
            <w:r>
              <w:rPr>
                <w:spacing w:val="8"/>
              </w:rPr>
              <w:t>型</w:t>
            </w:r>
          </w:p>
        </w:tc>
        <w:tc>
          <w:tcPr>
            <w:tcW w:w="942" w:type="dxa"/>
            <w:vAlign w:val="top"/>
          </w:tcPr>
          <w:p>
            <w:pPr>
              <w:pStyle w:val="TableText"/>
              <w:ind w:left="388"/>
              <w:spacing w:before="34" w:line="218" w:lineRule="auto"/>
              <w:rPr/>
            </w:pPr>
            <w:r>
              <w:rPr/>
              <w:t>台</w:t>
            </w:r>
          </w:p>
        </w:tc>
        <w:tc>
          <w:tcPr>
            <w:tcW w:w="832" w:type="dxa"/>
            <w:vAlign w:val="top"/>
          </w:tcPr>
          <w:p>
            <w:pPr>
              <w:ind w:left="36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r>
    </w:tbl>
    <w:p>
      <w:pPr>
        <w:ind w:left="1959"/>
        <w:spacing w:before="195"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3.1-10      </w:t>
      </w:r>
      <w:r>
        <w:rPr>
          <w:rFonts w:ascii="SimSun" w:hAnsi="SimSun" w:eastAsia="SimSun" w:cs="SimSun"/>
          <w:sz w:val="24"/>
          <w:szCs w:val="24"/>
          <w:b/>
          <w:bCs/>
          <w:spacing w:val="-2"/>
        </w:rPr>
        <w:t>梳绒生产线主要生产设备一览表</w:t>
      </w:r>
    </w:p>
    <w:p>
      <w:pPr>
        <w:spacing w:line="20" w:lineRule="exact"/>
        <w:rPr/>
      </w:pPr>
      <w:r/>
    </w:p>
    <w:tbl>
      <w:tblPr>
        <w:tblStyle w:val="TableNormal"/>
        <w:tblW w:w="855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61"/>
        <w:gridCol w:w="2576"/>
        <w:gridCol w:w="2255"/>
        <w:gridCol w:w="1704"/>
        <w:gridCol w:w="1155"/>
      </w:tblGrid>
      <w:tr>
        <w:trPr>
          <w:trHeight w:val="281" w:hRule="atLeast"/>
        </w:trPr>
        <w:tc>
          <w:tcPr>
            <w:tcW w:w="861" w:type="dxa"/>
            <w:vAlign w:val="top"/>
          </w:tcPr>
          <w:p>
            <w:pPr>
              <w:pStyle w:val="TableText"/>
              <w:ind w:left="225"/>
              <w:spacing w:before="36" w:line="216" w:lineRule="auto"/>
              <w:rPr/>
            </w:pPr>
            <w:r>
              <w:rPr>
                <w:spacing w:val="5"/>
              </w:rPr>
              <w:t>序号</w:t>
            </w:r>
          </w:p>
        </w:tc>
        <w:tc>
          <w:tcPr>
            <w:tcW w:w="2576" w:type="dxa"/>
            <w:vAlign w:val="top"/>
          </w:tcPr>
          <w:p>
            <w:pPr>
              <w:pStyle w:val="TableText"/>
              <w:ind w:left="875"/>
              <w:spacing w:before="36" w:line="216" w:lineRule="auto"/>
              <w:rPr/>
            </w:pPr>
            <w:r>
              <w:rPr>
                <w:spacing w:val="6"/>
              </w:rPr>
              <w:t>设备名称</w:t>
            </w:r>
          </w:p>
        </w:tc>
        <w:tc>
          <w:tcPr>
            <w:tcW w:w="2255" w:type="dxa"/>
            <w:vAlign w:val="top"/>
          </w:tcPr>
          <w:p>
            <w:pPr>
              <w:pStyle w:val="TableText"/>
              <w:ind w:left="691"/>
              <w:spacing w:before="36" w:line="216" w:lineRule="auto"/>
              <w:rPr/>
            </w:pPr>
            <w:r>
              <w:rPr>
                <w:spacing w:val="5"/>
              </w:rPr>
              <w:t>型号</w:t>
            </w:r>
            <w:r>
              <w:rPr>
                <w:rFonts w:ascii="Times New Roman" w:hAnsi="Times New Roman" w:eastAsia="Times New Roman" w:cs="Times New Roman"/>
                <w:spacing w:val="5"/>
              </w:rPr>
              <w:t>/</w:t>
            </w:r>
            <w:r>
              <w:rPr>
                <w:spacing w:val="5"/>
              </w:rPr>
              <w:t>参数</w:t>
            </w:r>
          </w:p>
        </w:tc>
        <w:tc>
          <w:tcPr>
            <w:tcW w:w="1704" w:type="dxa"/>
            <w:vAlign w:val="top"/>
          </w:tcPr>
          <w:p>
            <w:pPr>
              <w:pStyle w:val="TableText"/>
              <w:ind w:left="651"/>
              <w:spacing w:before="36" w:line="216" w:lineRule="auto"/>
              <w:rPr/>
            </w:pPr>
            <w:r>
              <w:rPr>
                <w:spacing w:val="3"/>
              </w:rPr>
              <w:t>单位</w:t>
            </w:r>
          </w:p>
        </w:tc>
        <w:tc>
          <w:tcPr>
            <w:tcW w:w="1155" w:type="dxa"/>
            <w:vAlign w:val="top"/>
          </w:tcPr>
          <w:p>
            <w:pPr>
              <w:pStyle w:val="TableText"/>
              <w:ind w:left="375"/>
              <w:spacing w:before="36" w:line="216" w:lineRule="auto"/>
              <w:rPr/>
            </w:pPr>
            <w:r>
              <w:rPr>
                <w:spacing w:val="3"/>
              </w:rPr>
              <w:t>数量</w:t>
            </w:r>
          </w:p>
        </w:tc>
      </w:tr>
      <w:tr>
        <w:trPr>
          <w:trHeight w:val="276" w:hRule="atLeast"/>
        </w:trPr>
        <w:tc>
          <w:tcPr>
            <w:tcW w:w="861" w:type="dxa"/>
            <w:vAlign w:val="top"/>
          </w:tcPr>
          <w:p>
            <w:pPr>
              <w:ind w:left="401"/>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576" w:type="dxa"/>
            <w:vAlign w:val="top"/>
          </w:tcPr>
          <w:p>
            <w:pPr>
              <w:pStyle w:val="TableText"/>
              <w:ind w:left="978"/>
              <w:spacing w:before="32" w:line="216" w:lineRule="auto"/>
              <w:rPr/>
            </w:pPr>
            <w:r>
              <w:rPr>
                <w:spacing w:val="6"/>
              </w:rPr>
              <w:t>开松机</w:t>
            </w:r>
          </w:p>
        </w:tc>
        <w:tc>
          <w:tcPr>
            <w:tcW w:w="2255" w:type="dxa"/>
            <w:vAlign w:val="top"/>
          </w:tcPr>
          <w:p>
            <w:pPr>
              <w:ind w:left="1096"/>
              <w:spacing w:before="6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704" w:type="dxa"/>
            <w:vAlign w:val="top"/>
          </w:tcPr>
          <w:p>
            <w:pPr>
              <w:pStyle w:val="TableText"/>
              <w:ind w:left="769"/>
              <w:spacing w:before="32" w:line="216" w:lineRule="auto"/>
              <w:rPr/>
            </w:pPr>
            <w:r>
              <w:rPr/>
              <w:t>台</w:t>
            </w:r>
          </w:p>
        </w:tc>
        <w:tc>
          <w:tcPr>
            <w:tcW w:w="1155" w:type="dxa"/>
            <w:vAlign w:val="top"/>
          </w:tcPr>
          <w:p>
            <w:pPr>
              <w:ind w:left="53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r>
      <w:tr>
        <w:trPr>
          <w:trHeight w:val="276" w:hRule="atLeast"/>
        </w:trPr>
        <w:tc>
          <w:tcPr>
            <w:tcW w:w="861" w:type="dxa"/>
            <w:vAlign w:val="top"/>
          </w:tcPr>
          <w:p>
            <w:pPr>
              <w:ind w:left="38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576" w:type="dxa"/>
            <w:vAlign w:val="top"/>
          </w:tcPr>
          <w:p>
            <w:pPr>
              <w:pStyle w:val="TableText"/>
              <w:ind w:left="980"/>
              <w:spacing w:before="34" w:line="214" w:lineRule="auto"/>
              <w:rPr/>
            </w:pPr>
            <w:r>
              <w:rPr>
                <w:spacing w:val="6"/>
              </w:rPr>
              <w:t>分梳机</w:t>
            </w:r>
          </w:p>
        </w:tc>
        <w:tc>
          <w:tcPr>
            <w:tcW w:w="2255" w:type="dxa"/>
            <w:vAlign w:val="top"/>
          </w:tcPr>
          <w:p>
            <w:pPr>
              <w:ind w:left="1096"/>
              <w:spacing w:before="6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704" w:type="dxa"/>
            <w:vAlign w:val="top"/>
          </w:tcPr>
          <w:p>
            <w:pPr>
              <w:pStyle w:val="TableText"/>
              <w:ind w:left="769"/>
              <w:spacing w:before="34" w:line="214" w:lineRule="auto"/>
              <w:rPr/>
            </w:pPr>
            <w:r>
              <w:rPr/>
              <w:t>台</w:t>
            </w:r>
          </w:p>
        </w:tc>
        <w:tc>
          <w:tcPr>
            <w:tcW w:w="1155" w:type="dxa"/>
            <w:vAlign w:val="top"/>
          </w:tcPr>
          <w:p>
            <w:pPr>
              <w:ind w:left="47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67</w:t>
            </w:r>
          </w:p>
        </w:tc>
      </w:tr>
      <w:tr>
        <w:trPr>
          <w:trHeight w:val="281" w:hRule="atLeast"/>
        </w:trPr>
        <w:tc>
          <w:tcPr>
            <w:tcW w:w="861" w:type="dxa"/>
            <w:vAlign w:val="top"/>
          </w:tcPr>
          <w:p>
            <w:pPr>
              <w:ind w:left="38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2576" w:type="dxa"/>
            <w:vAlign w:val="top"/>
          </w:tcPr>
          <w:p>
            <w:pPr>
              <w:pStyle w:val="TableText"/>
              <w:ind w:left="772"/>
              <w:spacing w:before="33" w:line="219" w:lineRule="auto"/>
              <w:rPr/>
            </w:pPr>
            <w:r>
              <w:rPr>
                <w:spacing w:val="7"/>
              </w:rPr>
              <w:t>高压雾化器</w:t>
            </w:r>
          </w:p>
        </w:tc>
        <w:tc>
          <w:tcPr>
            <w:tcW w:w="2255" w:type="dxa"/>
            <w:vAlign w:val="top"/>
          </w:tcPr>
          <w:p>
            <w:pPr>
              <w:ind w:left="1096"/>
              <w:spacing w:before="6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704" w:type="dxa"/>
            <w:vAlign w:val="top"/>
          </w:tcPr>
          <w:p>
            <w:pPr>
              <w:pStyle w:val="TableText"/>
              <w:ind w:left="769"/>
              <w:spacing w:before="33" w:line="219" w:lineRule="auto"/>
              <w:rPr/>
            </w:pPr>
            <w:r>
              <w:rPr/>
              <w:t>台</w:t>
            </w:r>
          </w:p>
        </w:tc>
        <w:tc>
          <w:tcPr>
            <w:tcW w:w="1155" w:type="dxa"/>
            <w:vAlign w:val="top"/>
          </w:tcPr>
          <w:p>
            <w:pPr>
              <w:ind w:left="548"/>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r>
    </w:tbl>
    <w:p>
      <w:pPr>
        <w:ind w:left="1839"/>
        <w:spacing w:before="193"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3.1-11      </w:t>
      </w:r>
      <w:r>
        <w:rPr>
          <w:rFonts w:ascii="SimSun" w:hAnsi="SimSun" w:eastAsia="SimSun" w:cs="SimSun"/>
          <w:sz w:val="24"/>
          <w:szCs w:val="24"/>
          <w:b/>
          <w:bCs/>
          <w:spacing w:val="-2"/>
        </w:rPr>
        <w:t>厌氧发酵装置主要生产设备一览表</w:t>
      </w:r>
    </w:p>
    <w:p>
      <w:pPr>
        <w:spacing w:line="22" w:lineRule="exact"/>
        <w:rPr/>
      </w:pPr>
      <w:r/>
    </w:p>
    <w:tbl>
      <w:tblPr>
        <w:tblStyle w:val="TableNormal"/>
        <w:tblW w:w="8527" w:type="dxa"/>
        <w:tblInd w:w="1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38"/>
        <w:gridCol w:w="2104"/>
        <w:gridCol w:w="3412"/>
        <w:gridCol w:w="1062"/>
        <w:gridCol w:w="1111"/>
      </w:tblGrid>
      <w:tr>
        <w:trPr>
          <w:trHeight w:val="274" w:hRule="atLeast"/>
        </w:trPr>
        <w:tc>
          <w:tcPr>
            <w:tcW w:w="838" w:type="dxa"/>
            <w:vAlign w:val="top"/>
          </w:tcPr>
          <w:p>
            <w:pPr>
              <w:pStyle w:val="TableText"/>
              <w:ind w:left="204"/>
              <w:spacing w:before="29" w:line="216" w:lineRule="auto"/>
              <w:rPr/>
            </w:pPr>
            <w:r>
              <w:rPr>
                <w:spacing w:val="10"/>
              </w:rPr>
              <w:t>序号</w:t>
            </w:r>
          </w:p>
        </w:tc>
        <w:tc>
          <w:tcPr>
            <w:tcW w:w="2104" w:type="dxa"/>
            <w:vAlign w:val="top"/>
          </w:tcPr>
          <w:p>
            <w:pPr>
              <w:pStyle w:val="TableText"/>
              <w:ind w:left="841"/>
              <w:spacing w:before="29" w:line="216" w:lineRule="auto"/>
              <w:rPr/>
            </w:pPr>
            <w:r>
              <w:rPr>
                <w:spacing w:val="8"/>
              </w:rPr>
              <w:t>名称</w:t>
            </w:r>
          </w:p>
        </w:tc>
        <w:tc>
          <w:tcPr>
            <w:tcW w:w="3412" w:type="dxa"/>
            <w:vAlign w:val="top"/>
          </w:tcPr>
          <w:p>
            <w:pPr>
              <w:pStyle w:val="TableText"/>
              <w:ind w:left="1241"/>
              <w:spacing w:before="29" w:line="216" w:lineRule="auto"/>
              <w:rPr/>
            </w:pPr>
            <w:r>
              <w:rPr>
                <w:spacing w:val="14"/>
              </w:rPr>
              <w:t>型号</w:t>
            </w:r>
            <w:r>
              <w:rPr>
                <w:rFonts w:ascii="Times New Roman" w:hAnsi="Times New Roman" w:eastAsia="Times New Roman" w:cs="Times New Roman"/>
                <w:spacing w:val="14"/>
              </w:rPr>
              <w:t>/</w:t>
            </w:r>
            <w:r>
              <w:rPr>
                <w:spacing w:val="14"/>
              </w:rPr>
              <w:t>参数</w:t>
            </w:r>
          </w:p>
        </w:tc>
        <w:tc>
          <w:tcPr>
            <w:tcW w:w="1062" w:type="dxa"/>
            <w:vAlign w:val="top"/>
          </w:tcPr>
          <w:p>
            <w:pPr>
              <w:pStyle w:val="TableText"/>
              <w:ind w:left="321"/>
              <w:spacing w:before="29" w:line="216" w:lineRule="auto"/>
              <w:rPr/>
            </w:pPr>
            <w:r>
              <w:rPr>
                <w:spacing w:val="8"/>
              </w:rPr>
              <w:t>单位</w:t>
            </w:r>
          </w:p>
        </w:tc>
        <w:tc>
          <w:tcPr>
            <w:tcW w:w="1111" w:type="dxa"/>
            <w:vAlign w:val="top"/>
          </w:tcPr>
          <w:p>
            <w:pPr>
              <w:pStyle w:val="TableText"/>
              <w:ind w:left="346"/>
              <w:spacing w:before="29" w:line="216" w:lineRule="auto"/>
              <w:rPr/>
            </w:pPr>
            <w:r>
              <w:rPr>
                <w:spacing w:val="8"/>
              </w:rPr>
              <w:t>数量</w:t>
            </w:r>
          </w:p>
        </w:tc>
      </w:tr>
      <w:tr>
        <w:trPr>
          <w:trHeight w:val="271" w:hRule="atLeast"/>
        </w:trPr>
        <w:tc>
          <w:tcPr>
            <w:tcW w:w="838" w:type="dxa"/>
            <w:vAlign w:val="top"/>
          </w:tcPr>
          <w:p>
            <w:pPr>
              <w:ind w:left="384"/>
              <w:spacing w:before="6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104" w:type="dxa"/>
            <w:vAlign w:val="top"/>
          </w:tcPr>
          <w:p>
            <w:pPr>
              <w:pStyle w:val="TableText"/>
              <w:spacing w:before="29" w:line="214" w:lineRule="auto"/>
              <w:jc w:val="right"/>
              <w:rPr/>
            </w:pPr>
            <w:r>
              <w:rPr>
                <w:rFonts w:ascii="Times New Roman" w:hAnsi="Times New Roman" w:eastAsia="Times New Roman" w:cs="Times New Roman"/>
              </w:rPr>
              <w:t>USR</w:t>
            </w:r>
            <w:r>
              <w:rPr>
                <w:rFonts w:ascii="Times New Roman" w:hAnsi="Times New Roman" w:eastAsia="Times New Roman" w:cs="Times New Roman"/>
                <w:spacing w:val="18"/>
                <w:w w:val="101"/>
              </w:rPr>
              <w:t xml:space="preserve"> </w:t>
            </w:r>
            <w:r>
              <w:rPr>
                <w:spacing w:val="5"/>
              </w:rPr>
              <w:t>厌氧反应器（罐）</w:t>
            </w:r>
          </w:p>
        </w:tc>
        <w:tc>
          <w:tcPr>
            <w:tcW w:w="3412" w:type="dxa"/>
            <w:vAlign w:val="top"/>
          </w:tcPr>
          <w:p>
            <w:pPr>
              <w:pStyle w:val="TableText"/>
              <w:ind w:left="656"/>
              <w:spacing w:before="29" w:line="214" w:lineRule="auto"/>
              <w:rPr>
                <w:rFonts w:ascii="Times New Roman" w:hAnsi="Times New Roman" w:eastAsia="Times New Roman" w:cs="Times New Roman"/>
                <w:sz w:val="13"/>
                <w:szCs w:val="13"/>
              </w:rPr>
            </w:pPr>
            <w:r>
              <w:rPr>
                <w:spacing w:val="15"/>
              </w:rPr>
              <w:t>单座有效容积</w:t>
            </w:r>
            <w:r>
              <w:rPr>
                <w:spacing w:val="-8"/>
              </w:rPr>
              <w:t xml:space="preserve"> </w:t>
            </w:r>
            <w:r>
              <w:rPr>
                <w:rFonts w:ascii="Times New Roman" w:hAnsi="Times New Roman" w:eastAsia="Times New Roman" w:cs="Times New Roman"/>
                <w:spacing w:val="15"/>
              </w:rPr>
              <w:t>3000m</w:t>
            </w:r>
            <w:r>
              <w:rPr>
                <w:rFonts w:ascii="Times New Roman" w:hAnsi="Times New Roman" w:eastAsia="Times New Roman" w:cs="Times New Roman"/>
                <w:sz w:val="13"/>
                <w:szCs w:val="13"/>
                <w:spacing w:val="15"/>
                <w:position w:val="6"/>
              </w:rPr>
              <w:t>3</w:t>
            </w:r>
          </w:p>
        </w:tc>
        <w:tc>
          <w:tcPr>
            <w:tcW w:w="1062" w:type="dxa"/>
            <w:vAlign w:val="top"/>
          </w:tcPr>
          <w:p>
            <w:pPr>
              <w:pStyle w:val="TableText"/>
              <w:ind w:left="429"/>
              <w:spacing w:before="29" w:line="214" w:lineRule="auto"/>
              <w:rPr/>
            </w:pPr>
            <w:r>
              <w:rPr/>
              <w:t>座</w:t>
            </w:r>
          </w:p>
        </w:tc>
        <w:tc>
          <w:tcPr>
            <w:tcW w:w="1111" w:type="dxa"/>
            <w:vAlign w:val="top"/>
          </w:tcPr>
          <w:p>
            <w:pPr>
              <w:ind w:left="524"/>
              <w:spacing w:before="6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r>
      <w:tr>
        <w:trPr>
          <w:trHeight w:val="272" w:hRule="atLeast"/>
        </w:trPr>
        <w:tc>
          <w:tcPr>
            <w:tcW w:w="838" w:type="dxa"/>
            <w:vAlign w:val="top"/>
          </w:tcPr>
          <w:p>
            <w:pPr>
              <w:ind w:left="367"/>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104" w:type="dxa"/>
            <w:vAlign w:val="top"/>
          </w:tcPr>
          <w:p>
            <w:pPr>
              <w:pStyle w:val="TableText"/>
              <w:ind w:left="633"/>
              <w:spacing w:before="31" w:line="213" w:lineRule="auto"/>
              <w:rPr/>
            </w:pPr>
            <w:r>
              <w:rPr>
                <w:spacing w:val="7"/>
              </w:rPr>
              <w:t>搅拌设备</w:t>
            </w:r>
          </w:p>
        </w:tc>
        <w:tc>
          <w:tcPr>
            <w:tcW w:w="3412" w:type="dxa"/>
            <w:vAlign w:val="top"/>
          </w:tcPr>
          <w:p>
            <w:pPr>
              <w:pStyle w:val="TableText"/>
              <w:ind w:left="660"/>
              <w:spacing w:before="31" w:line="213" w:lineRule="auto"/>
              <w:rPr/>
            </w:pPr>
            <w:r>
              <w:rPr>
                <w:spacing w:val="9"/>
              </w:rPr>
              <w:t>侧入式厌氧发酵搅拌器</w:t>
            </w:r>
          </w:p>
        </w:tc>
        <w:tc>
          <w:tcPr>
            <w:tcW w:w="1062" w:type="dxa"/>
            <w:vAlign w:val="top"/>
          </w:tcPr>
          <w:p>
            <w:pPr>
              <w:pStyle w:val="TableText"/>
              <w:ind w:left="432"/>
              <w:spacing w:before="31" w:line="213" w:lineRule="auto"/>
              <w:rPr/>
            </w:pPr>
            <w:r>
              <w:rPr/>
              <w:t>套</w:t>
            </w:r>
          </w:p>
        </w:tc>
        <w:tc>
          <w:tcPr>
            <w:tcW w:w="1111" w:type="dxa"/>
            <w:vAlign w:val="top"/>
          </w:tcPr>
          <w:p>
            <w:pPr>
              <w:ind w:left="506"/>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r>
      <w:tr>
        <w:trPr>
          <w:trHeight w:val="271" w:hRule="atLeast"/>
        </w:trPr>
        <w:tc>
          <w:tcPr>
            <w:tcW w:w="838" w:type="dxa"/>
            <w:vAlign w:val="top"/>
          </w:tcPr>
          <w:p>
            <w:pPr>
              <w:ind w:left="371"/>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2104" w:type="dxa"/>
            <w:vAlign w:val="top"/>
          </w:tcPr>
          <w:p>
            <w:pPr>
              <w:pStyle w:val="TableText"/>
              <w:ind w:left="652"/>
              <w:spacing w:before="30" w:line="213" w:lineRule="auto"/>
              <w:rPr/>
            </w:pPr>
            <w:r>
              <w:rPr>
                <w:spacing w:val="2"/>
              </w:rPr>
              <w:t>出料螺旋</w:t>
            </w:r>
          </w:p>
        </w:tc>
        <w:tc>
          <w:tcPr>
            <w:tcW w:w="3412" w:type="dxa"/>
            <w:vAlign w:val="top"/>
          </w:tcPr>
          <w:p>
            <w:pPr>
              <w:pStyle w:val="TableText"/>
              <w:ind w:left="845"/>
              <w:spacing w:before="1"/>
              <w:rPr>
                <w:rFonts w:ascii="Times New Roman" w:hAnsi="Times New Roman" w:eastAsia="Times New Roman" w:cs="Times New Roman"/>
              </w:rPr>
            </w:pPr>
            <w:r>
              <w:rPr>
                <w:rFonts w:ascii="Times New Roman" w:hAnsi="Times New Roman" w:eastAsia="Times New Roman" w:cs="Times New Roman"/>
                <w:spacing w:val="1"/>
              </w:rPr>
              <w:t>Q=50m</w:t>
            </w:r>
            <w:r>
              <w:rPr>
                <w:rFonts w:ascii="Times New Roman" w:hAnsi="Times New Roman" w:eastAsia="Times New Roman" w:cs="Times New Roman"/>
                <w:sz w:val="13"/>
                <w:szCs w:val="13"/>
                <w:spacing w:val="1"/>
                <w:position w:val="6"/>
              </w:rPr>
              <w:t>3</w:t>
            </w:r>
            <w:r>
              <w:rPr>
                <w:rFonts w:ascii="Times New Roman" w:hAnsi="Times New Roman" w:eastAsia="Times New Roman" w:cs="Times New Roman"/>
                <w:spacing w:val="1"/>
              </w:rPr>
              <w:t>/h</w:t>
            </w:r>
            <w:r>
              <w:rPr>
                <w:rFonts w:ascii="Times New Roman" w:hAnsi="Times New Roman" w:eastAsia="Times New Roman" w:cs="Times New Roman"/>
                <w:spacing w:val="-16"/>
              </w:rPr>
              <w:t xml:space="preserve"> </w:t>
            </w:r>
            <w:r>
              <w:rPr>
                <w:spacing w:val="1"/>
              </w:rPr>
              <w:t>，</w:t>
            </w:r>
            <w:r>
              <w:rPr>
                <w:rFonts w:ascii="Times New Roman" w:hAnsi="Times New Roman" w:eastAsia="Times New Roman" w:cs="Times New Roman"/>
                <w:spacing w:val="1"/>
              </w:rPr>
              <w:t>H=</w:t>
            </w:r>
            <w:r>
              <w:rPr>
                <w:rFonts w:ascii="Times New Roman" w:hAnsi="Times New Roman" w:eastAsia="Times New Roman" w:cs="Times New Roman"/>
                <w:spacing w:val="-26"/>
              </w:rPr>
              <w:t xml:space="preserve"> </w:t>
            </w:r>
            <w:r>
              <w:rPr>
                <w:rFonts w:ascii="Times New Roman" w:hAnsi="Times New Roman" w:eastAsia="Times New Roman" w:cs="Times New Roman"/>
                <w:spacing w:val="1"/>
              </w:rPr>
              <w:t>10m</w:t>
            </w:r>
          </w:p>
        </w:tc>
        <w:tc>
          <w:tcPr>
            <w:tcW w:w="1062" w:type="dxa"/>
            <w:vAlign w:val="top"/>
          </w:tcPr>
          <w:p>
            <w:pPr>
              <w:pStyle w:val="TableText"/>
              <w:ind w:left="432"/>
              <w:spacing w:before="30" w:line="213" w:lineRule="auto"/>
              <w:rPr/>
            </w:pPr>
            <w:r>
              <w:rPr/>
              <w:t>套</w:t>
            </w:r>
          </w:p>
        </w:tc>
        <w:tc>
          <w:tcPr>
            <w:tcW w:w="1111" w:type="dxa"/>
            <w:vAlign w:val="top"/>
          </w:tcPr>
          <w:p>
            <w:pPr>
              <w:ind w:left="506"/>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r>
      <w:tr>
        <w:trPr>
          <w:trHeight w:val="271" w:hRule="atLeast"/>
        </w:trPr>
        <w:tc>
          <w:tcPr>
            <w:tcW w:w="838" w:type="dxa"/>
            <w:vAlign w:val="top"/>
          </w:tcPr>
          <w:p>
            <w:pPr>
              <w:ind w:left="366"/>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2104" w:type="dxa"/>
            <w:vAlign w:val="top"/>
          </w:tcPr>
          <w:p>
            <w:pPr>
              <w:pStyle w:val="TableText"/>
              <w:ind w:left="322"/>
              <w:spacing w:before="32" w:line="211" w:lineRule="auto"/>
              <w:rPr/>
            </w:pPr>
            <w:r>
              <w:rPr>
                <w:spacing w:val="8"/>
              </w:rPr>
              <w:t>螺旋挤压脱水机</w:t>
            </w:r>
          </w:p>
        </w:tc>
        <w:tc>
          <w:tcPr>
            <w:tcW w:w="3412" w:type="dxa"/>
            <w:vAlign w:val="top"/>
          </w:tcPr>
          <w:p>
            <w:pPr>
              <w:pStyle w:val="TableText"/>
              <w:ind w:left="1038"/>
              <w:spacing w:before="48" w:line="196" w:lineRule="auto"/>
              <w:rPr>
                <w:rFonts w:ascii="Times New Roman" w:hAnsi="Times New Roman" w:eastAsia="Times New Roman" w:cs="Times New Roman"/>
              </w:rPr>
            </w:pPr>
            <w:r>
              <w:rPr>
                <w:rFonts w:ascii="Times New Roman" w:hAnsi="Times New Roman" w:eastAsia="Times New Roman" w:cs="Times New Roman"/>
                <w:spacing w:val="1"/>
              </w:rPr>
              <w:t>10m</w:t>
            </w:r>
            <w:r>
              <w:rPr>
                <w:rFonts w:ascii="Times New Roman" w:hAnsi="Times New Roman" w:eastAsia="Times New Roman" w:cs="Times New Roman"/>
                <w:sz w:val="13"/>
                <w:szCs w:val="13"/>
                <w:spacing w:val="1"/>
                <w:position w:val="6"/>
              </w:rPr>
              <w:t>3</w:t>
            </w:r>
            <w:r>
              <w:rPr>
                <w:rFonts w:ascii="Times New Roman" w:hAnsi="Times New Roman" w:eastAsia="Times New Roman" w:cs="Times New Roman"/>
                <w:spacing w:val="1"/>
              </w:rPr>
              <w:t>/h</w:t>
            </w:r>
            <w:r>
              <w:rPr>
                <w:rFonts w:ascii="Times New Roman" w:hAnsi="Times New Roman" w:eastAsia="Times New Roman" w:cs="Times New Roman"/>
                <w:spacing w:val="-23"/>
              </w:rPr>
              <w:t xml:space="preserve"> </w:t>
            </w:r>
            <w:r>
              <w:rPr>
                <w:spacing w:val="1"/>
              </w:rPr>
              <w:t>，</w:t>
            </w:r>
            <w:r>
              <w:rPr>
                <w:rFonts w:ascii="Times New Roman" w:hAnsi="Times New Roman" w:eastAsia="Times New Roman" w:cs="Times New Roman"/>
                <w:spacing w:val="1"/>
              </w:rPr>
              <w:t>5.5</w:t>
            </w:r>
            <w:r>
              <w:rPr>
                <w:rFonts w:ascii="Times New Roman" w:hAnsi="Times New Roman" w:eastAsia="Times New Roman" w:cs="Times New Roman"/>
              </w:rPr>
              <w:t>kW</w:t>
            </w:r>
          </w:p>
        </w:tc>
        <w:tc>
          <w:tcPr>
            <w:tcW w:w="1062" w:type="dxa"/>
            <w:vAlign w:val="top"/>
          </w:tcPr>
          <w:p>
            <w:pPr>
              <w:pStyle w:val="TableText"/>
              <w:ind w:left="448"/>
              <w:spacing w:before="32" w:line="211" w:lineRule="auto"/>
              <w:rPr/>
            </w:pPr>
            <w:r>
              <w:rPr/>
              <w:t>台</w:t>
            </w:r>
          </w:p>
        </w:tc>
        <w:tc>
          <w:tcPr>
            <w:tcW w:w="1111" w:type="dxa"/>
            <w:vAlign w:val="top"/>
          </w:tcPr>
          <w:p>
            <w:pPr>
              <w:ind w:left="506"/>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r>
      <w:tr>
        <w:trPr>
          <w:trHeight w:val="272" w:hRule="atLeast"/>
        </w:trPr>
        <w:tc>
          <w:tcPr>
            <w:tcW w:w="838" w:type="dxa"/>
            <w:vAlign w:val="top"/>
          </w:tcPr>
          <w:p>
            <w:pPr>
              <w:ind w:left="372"/>
              <w:spacing w:before="7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2104" w:type="dxa"/>
            <w:vAlign w:val="top"/>
          </w:tcPr>
          <w:p>
            <w:pPr>
              <w:pStyle w:val="TableText"/>
              <w:ind w:left="530"/>
              <w:spacing w:before="32" w:line="212" w:lineRule="auto"/>
              <w:rPr/>
            </w:pPr>
            <w:r>
              <w:rPr>
                <w:spacing w:val="8"/>
              </w:rPr>
              <w:t>潜水搅拌机</w:t>
            </w:r>
          </w:p>
        </w:tc>
        <w:tc>
          <w:tcPr>
            <w:tcW w:w="3412" w:type="dxa"/>
            <w:vAlign w:val="top"/>
          </w:tcPr>
          <w:p>
            <w:pPr>
              <w:pStyle w:val="TableText"/>
              <w:ind w:left="1030"/>
              <w:spacing w:before="32" w:line="212" w:lineRule="auto"/>
              <w:rPr>
                <w:rFonts w:ascii="Times New Roman" w:hAnsi="Times New Roman" w:eastAsia="Times New Roman" w:cs="Times New Roman"/>
              </w:rPr>
            </w:pPr>
            <w:r>
              <w:rPr>
                <w:rFonts w:ascii="Times New Roman" w:hAnsi="Times New Roman" w:eastAsia="Times New Roman" w:cs="Times New Roman"/>
              </w:rPr>
              <w:t>QJB</w:t>
            </w:r>
            <w:r>
              <w:rPr>
                <w:rFonts w:ascii="Times New Roman" w:hAnsi="Times New Roman" w:eastAsia="Times New Roman" w:cs="Times New Roman"/>
                <w:spacing w:val="17"/>
                <w:w w:val="101"/>
              </w:rPr>
              <w:t xml:space="preserve"> </w:t>
            </w:r>
            <w:r>
              <w:rPr>
                <w:spacing w:val="9"/>
              </w:rPr>
              <w:t>型，</w:t>
            </w:r>
            <w:r>
              <w:rPr>
                <w:rFonts w:ascii="Times New Roman" w:hAnsi="Times New Roman" w:eastAsia="Times New Roman" w:cs="Times New Roman"/>
                <w:spacing w:val="9"/>
              </w:rPr>
              <w:t>10</w:t>
            </w:r>
            <w:r>
              <w:rPr>
                <w:rFonts w:ascii="Times New Roman" w:hAnsi="Times New Roman" w:eastAsia="Times New Roman" w:cs="Times New Roman"/>
              </w:rPr>
              <w:t>kW</w:t>
            </w:r>
          </w:p>
        </w:tc>
        <w:tc>
          <w:tcPr>
            <w:tcW w:w="1062" w:type="dxa"/>
            <w:vAlign w:val="top"/>
          </w:tcPr>
          <w:p>
            <w:pPr>
              <w:pStyle w:val="TableText"/>
              <w:ind w:left="448"/>
              <w:spacing w:before="32" w:line="212" w:lineRule="auto"/>
              <w:rPr/>
            </w:pPr>
            <w:r>
              <w:rPr/>
              <w:t>台</w:t>
            </w:r>
          </w:p>
        </w:tc>
        <w:tc>
          <w:tcPr>
            <w:tcW w:w="1111" w:type="dxa"/>
            <w:vAlign w:val="top"/>
          </w:tcPr>
          <w:p>
            <w:pPr>
              <w:ind w:left="505"/>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r>
      <w:tr>
        <w:trPr>
          <w:trHeight w:val="272" w:hRule="atLeast"/>
        </w:trPr>
        <w:tc>
          <w:tcPr>
            <w:tcW w:w="838" w:type="dxa"/>
            <w:vAlign w:val="top"/>
          </w:tcPr>
          <w:p>
            <w:pPr>
              <w:ind w:left="37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2104" w:type="dxa"/>
            <w:vAlign w:val="top"/>
          </w:tcPr>
          <w:p>
            <w:pPr>
              <w:pStyle w:val="TableText"/>
              <w:ind w:left="758"/>
              <w:spacing w:before="34" w:line="210" w:lineRule="auto"/>
              <w:rPr/>
            </w:pPr>
            <w:r>
              <w:rPr/>
              <w:t>出料泵</w:t>
            </w:r>
          </w:p>
        </w:tc>
        <w:tc>
          <w:tcPr>
            <w:tcW w:w="3412" w:type="dxa"/>
            <w:vAlign w:val="top"/>
          </w:tcPr>
          <w:p>
            <w:pPr>
              <w:pStyle w:val="TableText"/>
              <w:ind w:left="845"/>
              <w:spacing w:line="241" w:lineRule="auto"/>
              <w:rPr>
                <w:rFonts w:ascii="Times New Roman" w:hAnsi="Times New Roman" w:eastAsia="Times New Roman" w:cs="Times New Roman"/>
              </w:rPr>
            </w:pPr>
            <w:r>
              <w:rPr>
                <w:rFonts w:ascii="Times New Roman" w:hAnsi="Times New Roman" w:eastAsia="Times New Roman" w:cs="Times New Roman"/>
                <w:spacing w:val="3"/>
              </w:rPr>
              <w:t>Q=80m</w:t>
            </w:r>
            <w:r>
              <w:rPr>
                <w:rFonts w:ascii="Times New Roman" w:hAnsi="Times New Roman" w:eastAsia="Times New Roman" w:cs="Times New Roman"/>
                <w:sz w:val="13"/>
                <w:szCs w:val="13"/>
                <w:spacing w:val="3"/>
                <w:position w:val="6"/>
              </w:rPr>
              <w:t>3</w:t>
            </w:r>
            <w:r>
              <w:rPr>
                <w:rFonts w:ascii="Times New Roman" w:hAnsi="Times New Roman" w:eastAsia="Times New Roman" w:cs="Times New Roman"/>
                <w:spacing w:val="3"/>
              </w:rPr>
              <w:t>/h</w:t>
            </w:r>
            <w:r>
              <w:rPr>
                <w:rFonts w:ascii="Times New Roman" w:hAnsi="Times New Roman" w:eastAsia="Times New Roman" w:cs="Times New Roman"/>
                <w:spacing w:val="-20"/>
              </w:rPr>
              <w:t xml:space="preserve"> </w:t>
            </w:r>
            <w:r>
              <w:rPr>
                <w:spacing w:val="3"/>
              </w:rPr>
              <w:t>，</w:t>
            </w:r>
            <w:r>
              <w:rPr>
                <w:rFonts w:ascii="Times New Roman" w:hAnsi="Times New Roman" w:eastAsia="Times New Roman" w:cs="Times New Roman"/>
                <w:spacing w:val="3"/>
              </w:rPr>
              <w:t>H=20m</w:t>
            </w:r>
          </w:p>
        </w:tc>
        <w:tc>
          <w:tcPr>
            <w:tcW w:w="1062" w:type="dxa"/>
            <w:vAlign w:val="top"/>
          </w:tcPr>
          <w:p>
            <w:pPr>
              <w:pStyle w:val="TableText"/>
              <w:ind w:left="448"/>
              <w:spacing w:before="34" w:line="210" w:lineRule="auto"/>
              <w:rPr/>
            </w:pPr>
            <w:r>
              <w:rPr/>
              <w:t>台</w:t>
            </w:r>
          </w:p>
        </w:tc>
        <w:tc>
          <w:tcPr>
            <w:tcW w:w="1111" w:type="dxa"/>
            <w:vAlign w:val="top"/>
          </w:tcPr>
          <w:p>
            <w:pPr>
              <w:ind w:left="50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r>
    </w:tbl>
    <w:p>
      <w:pPr>
        <w:pStyle w:val="BodyText"/>
        <w:spacing w:line="411" w:lineRule="auto"/>
        <w:rPr/>
      </w:pPr>
      <w:r/>
    </w:p>
    <w:p>
      <w:pPr>
        <w:ind w:left="33"/>
        <w:spacing w:before="62" w:line="227" w:lineRule="auto"/>
        <w:rPr>
          <w:rFonts w:ascii="SimSun" w:hAnsi="SimSun" w:eastAsia="SimSun" w:cs="SimSun"/>
          <w:sz w:val="19"/>
          <w:szCs w:val="19"/>
        </w:rPr>
      </w:pPr>
      <w:r>
        <w:pict>
          <v:shape id="_x0000_s322" style="position:absolute;margin-left:160.62pt;margin-top:2.10426pt;mso-position-vertical-relative:text;mso-position-horizontal-relative:text;width:58.85pt;height:13.75pt;z-index:251804672;"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28"/>
                    </w:rPr>
                    <w:t xml:space="preserve">   </w:t>
                  </w:r>
                  <w:r>
                    <w:rPr>
                      <w:rFonts w:ascii="Times New Roman" w:hAnsi="Times New Roman" w:eastAsia="Times New Roman" w:cs="Times New Roman"/>
                      <w:sz w:val="18"/>
                      <w:szCs w:val="18"/>
                      <w:spacing w:val="3"/>
                      <w:position w:val="2"/>
                    </w:rPr>
                    <w:t>63</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78"/>
          <w:pgSz w:w="11907" w:h="16840"/>
          <w:pgMar w:top="1567" w:right="1675" w:bottom="400" w:left="1675" w:header="1221" w:footer="0" w:gutter="0"/>
        </w:sectPr>
        <w:rPr>
          <w:rFonts w:ascii="SimSun" w:hAnsi="SimSun" w:eastAsia="SimSun" w:cs="SimSun"/>
          <w:sz w:val="19"/>
          <w:szCs w:val="19"/>
        </w:rPr>
      </w:pPr>
    </w:p>
    <w:p>
      <w:pPr>
        <w:spacing w:line="131" w:lineRule="exact"/>
        <w:rPr/>
      </w:pPr>
      <w:r>
        <w:pict>
          <v:shape id="_x0000_s326" style="position:absolute;margin-left:85.05pt;margin-top:78.87pt;mso-position-vertical-relative:page;mso-position-horizontal-relative:page;width:425.25pt;height:0.75pt;z-index:251807744;" o:allowincell="f" fillcolor="#000000" filled="true" stroked="false" coordsize="8505,15" coordorigin="0,0" path="m,l8505,0l8505,14l0,14l0,0xe"/>
        </w:pict>
      </w:r>
      <w:r/>
    </w:p>
    <w:tbl>
      <w:tblPr>
        <w:tblStyle w:val="TableNormal"/>
        <w:tblW w:w="8527" w:type="dxa"/>
        <w:tblInd w:w="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38"/>
        <w:gridCol w:w="2104"/>
        <w:gridCol w:w="3412"/>
        <w:gridCol w:w="1062"/>
        <w:gridCol w:w="1111"/>
      </w:tblGrid>
      <w:tr>
        <w:trPr>
          <w:trHeight w:val="275" w:hRule="atLeast"/>
        </w:trPr>
        <w:tc>
          <w:tcPr>
            <w:tcW w:w="838" w:type="dxa"/>
            <w:vAlign w:val="top"/>
          </w:tcPr>
          <w:p>
            <w:pPr>
              <w:ind w:left="370"/>
              <w:spacing w:before="7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2104" w:type="dxa"/>
            <w:vAlign w:val="top"/>
          </w:tcPr>
          <w:p>
            <w:pPr>
              <w:pStyle w:val="TableText"/>
              <w:ind w:left="739"/>
              <w:spacing w:before="32" w:line="215" w:lineRule="auto"/>
              <w:rPr/>
            </w:pPr>
            <w:r>
              <w:rPr>
                <w:spacing w:val="7"/>
              </w:rPr>
              <w:t>潜污泵</w:t>
            </w:r>
          </w:p>
        </w:tc>
        <w:tc>
          <w:tcPr>
            <w:tcW w:w="3412" w:type="dxa"/>
            <w:vAlign w:val="top"/>
          </w:tcPr>
          <w:p>
            <w:pPr>
              <w:pStyle w:val="TableText"/>
              <w:ind w:left="845"/>
              <w:spacing w:line="265" w:lineRule="exact"/>
              <w:rPr>
                <w:rFonts w:ascii="Times New Roman" w:hAnsi="Times New Roman" w:eastAsia="Times New Roman" w:cs="Times New Roman"/>
              </w:rPr>
            </w:pPr>
            <w:r>
              <w:rPr>
                <w:rFonts w:ascii="Times New Roman" w:hAnsi="Times New Roman" w:eastAsia="Times New Roman" w:cs="Times New Roman"/>
                <w:spacing w:val="3"/>
                <w:position w:val="3"/>
              </w:rPr>
              <w:t>Q=60m</w:t>
            </w:r>
            <w:r>
              <w:rPr>
                <w:rFonts w:ascii="Times New Roman" w:hAnsi="Times New Roman" w:eastAsia="Times New Roman" w:cs="Times New Roman"/>
                <w:sz w:val="13"/>
                <w:szCs w:val="13"/>
                <w:spacing w:val="3"/>
                <w:position w:val="9"/>
              </w:rPr>
              <w:t>3</w:t>
            </w:r>
            <w:r>
              <w:rPr>
                <w:rFonts w:ascii="Times New Roman" w:hAnsi="Times New Roman" w:eastAsia="Times New Roman" w:cs="Times New Roman"/>
                <w:spacing w:val="3"/>
                <w:position w:val="3"/>
              </w:rPr>
              <w:t>/h</w:t>
            </w:r>
            <w:r>
              <w:rPr>
                <w:rFonts w:ascii="Times New Roman" w:hAnsi="Times New Roman" w:eastAsia="Times New Roman" w:cs="Times New Roman"/>
                <w:spacing w:val="-20"/>
                <w:position w:val="3"/>
              </w:rPr>
              <w:t xml:space="preserve"> </w:t>
            </w:r>
            <w:r>
              <w:rPr>
                <w:spacing w:val="3"/>
                <w:position w:val="3"/>
              </w:rPr>
              <w:t>，</w:t>
            </w:r>
            <w:r>
              <w:rPr>
                <w:rFonts w:ascii="Times New Roman" w:hAnsi="Times New Roman" w:eastAsia="Times New Roman" w:cs="Times New Roman"/>
                <w:spacing w:val="3"/>
                <w:position w:val="3"/>
              </w:rPr>
              <w:t>H=20m</w:t>
            </w:r>
          </w:p>
        </w:tc>
        <w:tc>
          <w:tcPr>
            <w:tcW w:w="1062" w:type="dxa"/>
            <w:vAlign w:val="top"/>
          </w:tcPr>
          <w:p>
            <w:pPr>
              <w:pStyle w:val="TableText"/>
              <w:ind w:left="448"/>
              <w:spacing w:before="32" w:line="215" w:lineRule="auto"/>
              <w:rPr/>
            </w:pPr>
            <w:r>
              <w:rPr/>
              <w:t>台</w:t>
            </w:r>
          </w:p>
        </w:tc>
        <w:tc>
          <w:tcPr>
            <w:tcW w:w="1111" w:type="dxa"/>
            <w:vAlign w:val="top"/>
          </w:tcPr>
          <w:p>
            <w:pPr>
              <w:ind w:left="506"/>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r>
      <w:tr>
        <w:trPr>
          <w:trHeight w:val="272" w:hRule="atLeast"/>
        </w:trPr>
        <w:tc>
          <w:tcPr>
            <w:tcW w:w="838" w:type="dxa"/>
            <w:vAlign w:val="top"/>
          </w:tcPr>
          <w:p>
            <w:pPr>
              <w:ind w:left="375"/>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2104" w:type="dxa"/>
            <w:vAlign w:val="top"/>
          </w:tcPr>
          <w:p>
            <w:pPr>
              <w:pStyle w:val="TableText"/>
              <w:ind w:left="635"/>
              <w:spacing w:before="31" w:line="213" w:lineRule="auto"/>
              <w:rPr/>
            </w:pPr>
            <w:r>
              <w:rPr>
                <w:spacing w:val="7"/>
              </w:rPr>
              <w:t>脱硫设备</w:t>
            </w:r>
          </w:p>
        </w:tc>
        <w:tc>
          <w:tcPr>
            <w:tcW w:w="3412" w:type="dxa"/>
            <w:vAlign w:val="top"/>
          </w:tcPr>
          <w:p>
            <w:pPr>
              <w:pStyle w:val="TableText"/>
              <w:ind w:left="336"/>
              <w:spacing w:before="31" w:line="213" w:lineRule="auto"/>
              <w:rPr/>
            </w:pPr>
            <w:r>
              <w:rPr>
                <w:spacing w:val="5"/>
              </w:rPr>
              <w:t>设计处理能力</w:t>
            </w:r>
            <w:r>
              <w:rPr>
                <w:spacing w:val="-45"/>
              </w:rPr>
              <w:t xml:space="preserve"> </w:t>
            </w:r>
            <w:r>
              <w:rPr>
                <w:rFonts w:ascii="Times New Roman" w:hAnsi="Times New Roman" w:eastAsia="Times New Roman" w:cs="Times New Roman"/>
                <w:spacing w:val="5"/>
              </w:rPr>
              <w:t>4500m</w:t>
            </w:r>
            <w:r>
              <w:rPr>
                <w:rFonts w:ascii="Times New Roman" w:hAnsi="Times New Roman" w:eastAsia="Times New Roman" w:cs="Times New Roman"/>
                <w:sz w:val="13"/>
                <w:szCs w:val="13"/>
                <w:spacing w:val="5"/>
                <w:position w:val="6"/>
              </w:rPr>
              <w:t>3</w:t>
            </w:r>
            <w:r>
              <w:rPr>
                <w:rFonts w:ascii="Times New Roman" w:hAnsi="Times New Roman" w:eastAsia="Times New Roman" w:cs="Times New Roman"/>
                <w:spacing w:val="5"/>
              </w:rPr>
              <w:t>/d</w:t>
            </w:r>
            <w:r>
              <w:rPr>
                <w:rFonts w:ascii="Times New Roman" w:hAnsi="Times New Roman" w:eastAsia="Times New Roman" w:cs="Times New Roman"/>
                <w:spacing w:val="-24"/>
              </w:rPr>
              <w:t xml:space="preserve"> </w:t>
            </w:r>
            <w:r>
              <w:rPr>
                <w:spacing w:val="5"/>
              </w:rPr>
              <w:t>，干法</w:t>
            </w:r>
          </w:p>
        </w:tc>
        <w:tc>
          <w:tcPr>
            <w:tcW w:w="1062" w:type="dxa"/>
            <w:vAlign w:val="top"/>
          </w:tcPr>
          <w:p>
            <w:pPr>
              <w:pStyle w:val="TableText"/>
              <w:ind w:left="432"/>
              <w:spacing w:before="31" w:line="213" w:lineRule="auto"/>
              <w:rPr/>
            </w:pPr>
            <w:r>
              <w:rPr/>
              <w:t>套</w:t>
            </w:r>
          </w:p>
        </w:tc>
        <w:tc>
          <w:tcPr>
            <w:tcW w:w="1111" w:type="dxa"/>
            <w:vAlign w:val="top"/>
          </w:tcPr>
          <w:p>
            <w:pPr>
              <w:ind w:left="526"/>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r>
      <w:tr>
        <w:trPr>
          <w:trHeight w:val="271" w:hRule="atLeast"/>
        </w:trPr>
        <w:tc>
          <w:tcPr>
            <w:tcW w:w="838" w:type="dxa"/>
            <w:vAlign w:val="top"/>
          </w:tcPr>
          <w:p>
            <w:pPr>
              <w:ind w:left="371"/>
              <w:spacing w:before="6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2104" w:type="dxa"/>
            <w:vAlign w:val="top"/>
          </w:tcPr>
          <w:p>
            <w:pPr>
              <w:pStyle w:val="TableText"/>
              <w:ind w:left="638"/>
              <w:spacing w:before="30" w:line="213" w:lineRule="auto"/>
              <w:rPr/>
            </w:pPr>
            <w:r>
              <w:rPr>
                <w:spacing w:val="6"/>
              </w:rPr>
              <w:t>沼气气柜</w:t>
            </w:r>
          </w:p>
        </w:tc>
        <w:tc>
          <w:tcPr>
            <w:tcW w:w="3412" w:type="dxa"/>
            <w:vAlign w:val="top"/>
          </w:tcPr>
          <w:p>
            <w:pPr>
              <w:pStyle w:val="TableText"/>
              <w:ind w:left="467"/>
              <w:spacing w:before="30" w:line="213" w:lineRule="auto"/>
              <w:rPr>
                <w:rFonts w:ascii="Times New Roman" w:hAnsi="Times New Roman" w:eastAsia="Times New Roman" w:cs="Times New Roman"/>
                <w:sz w:val="13"/>
                <w:szCs w:val="13"/>
              </w:rPr>
            </w:pPr>
            <w:r>
              <w:rPr>
                <w:spacing w:val="6"/>
              </w:rPr>
              <w:t>独立双膜气柜，容积</w:t>
            </w:r>
            <w:r>
              <w:rPr>
                <w:spacing w:val="-27"/>
              </w:rPr>
              <w:t xml:space="preserve"> </w:t>
            </w:r>
            <w:r>
              <w:rPr>
                <w:rFonts w:ascii="Times New Roman" w:hAnsi="Times New Roman" w:eastAsia="Times New Roman" w:cs="Times New Roman"/>
                <w:spacing w:val="6"/>
              </w:rPr>
              <w:t>300m</w:t>
            </w:r>
            <w:r>
              <w:rPr>
                <w:rFonts w:ascii="Times New Roman" w:hAnsi="Times New Roman" w:eastAsia="Times New Roman" w:cs="Times New Roman"/>
                <w:sz w:val="13"/>
                <w:szCs w:val="13"/>
                <w:spacing w:val="6"/>
                <w:position w:val="6"/>
              </w:rPr>
              <w:t>3</w:t>
            </w:r>
          </w:p>
        </w:tc>
        <w:tc>
          <w:tcPr>
            <w:tcW w:w="1062" w:type="dxa"/>
            <w:vAlign w:val="top"/>
          </w:tcPr>
          <w:p>
            <w:pPr>
              <w:pStyle w:val="TableText"/>
              <w:ind w:left="433"/>
              <w:spacing w:before="30" w:line="213" w:lineRule="auto"/>
              <w:rPr/>
            </w:pPr>
            <w:r>
              <w:rPr/>
              <w:t>座</w:t>
            </w:r>
          </w:p>
        </w:tc>
        <w:tc>
          <w:tcPr>
            <w:tcW w:w="1111" w:type="dxa"/>
            <w:vAlign w:val="top"/>
          </w:tcPr>
          <w:p>
            <w:pPr>
              <w:ind w:left="526"/>
              <w:spacing w:before="6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r>
      <w:tr>
        <w:trPr>
          <w:trHeight w:val="271" w:hRule="atLeast"/>
        </w:trPr>
        <w:tc>
          <w:tcPr>
            <w:tcW w:w="838" w:type="dxa"/>
            <w:vAlign w:val="top"/>
          </w:tcPr>
          <w:p>
            <w:pPr>
              <w:ind w:left="33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2104" w:type="dxa"/>
            <w:vAlign w:val="top"/>
          </w:tcPr>
          <w:p>
            <w:pPr>
              <w:pStyle w:val="TableText"/>
              <w:ind w:left="429"/>
              <w:spacing w:before="32" w:line="211" w:lineRule="auto"/>
              <w:rPr/>
            </w:pPr>
            <w:r>
              <w:rPr>
                <w:spacing w:val="7"/>
              </w:rPr>
              <w:t>沼气应急火炬</w:t>
            </w:r>
          </w:p>
        </w:tc>
        <w:tc>
          <w:tcPr>
            <w:tcW w:w="3412" w:type="dxa"/>
            <w:vAlign w:val="top"/>
          </w:tcPr>
          <w:p>
            <w:pPr>
              <w:pStyle w:val="TableText"/>
              <w:ind w:left="12"/>
              <w:spacing w:before="32" w:line="211" w:lineRule="auto"/>
              <w:rPr>
                <w:rFonts w:ascii="Times New Roman" w:hAnsi="Times New Roman" w:eastAsia="Times New Roman" w:cs="Times New Roman"/>
              </w:rPr>
            </w:pPr>
            <w:r>
              <w:rPr>
                <w:spacing w:val="5"/>
              </w:rPr>
              <w:t>封闭式火炬，处理量</w:t>
            </w:r>
            <w:r>
              <w:rPr>
                <w:spacing w:val="-38"/>
              </w:rPr>
              <w:t xml:space="preserve"> </w:t>
            </w:r>
            <w:r>
              <w:rPr>
                <w:rFonts w:ascii="Times New Roman" w:hAnsi="Times New Roman" w:eastAsia="Times New Roman" w:cs="Times New Roman"/>
                <w:spacing w:val="5"/>
              </w:rPr>
              <w:t>250m</w:t>
            </w:r>
            <w:r>
              <w:rPr>
                <w:rFonts w:ascii="Times New Roman" w:hAnsi="Times New Roman" w:eastAsia="Times New Roman" w:cs="Times New Roman"/>
                <w:sz w:val="13"/>
                <w:szCs w:val="13"/>
                <w:spacing w:val="5"/>
                <w:position w:val="6"/>
              </w:rPr>
              <w:t>3</w:t>
            </w:r>
            <w:r>
              <w:rPr>
                <w:rFonts w:ascii="Times New Roman" w:hAnsi="Times New Roman" w:eastAsia="Times New Roman" w:cs="Times New Roman"/>
                <w:spacing w:val="5"/>
              </w:rPr>
              <w:t>/h</w:t>
            </w:r>
            <w:r>
              <w:rPr>
                <w:rFonts w:ascii="Times New Roman" w:hAnsi="Times New Roman" w:eastAsia="Times New Roman" w:cs="Times New Roman"/>
                <w:spacing w:val="-24"/>
              </w:rPr>
              <w:t xml:space="preserve"> </w:t>
            </w:r>
            <w:r>
              <w:rPr>
                <w:spacing w:val="5"/>
              </w:rPr>
              <w:t>，高</w:t>
            </w:r>
            <w:r>
              <w:rPr>
                <w:spacing w:val="-36"/>
              </w:rPr>
              <w:t xml:space="preserve"> </w:t>
            </w:r>
            <w:r>
              <w:rPr>
                <w:rFonts w:ascii="Times New Roman" w:hAnsi="Times New Roman" w:eastAsia="Times New Roman" w:cs="Times New Roman"/>
                <w:spacing w:val="5"/>
              </w:rPr>
              <w:t>6m</w:t>
            </w:r>
          </w:p>
        </w:tc>
        <w:tc>
          <w:tcPr>
            <w:tcW w:w="1062" w:type="dxa"/>
            <w:vAlign w:val="top"/>
          </w:tcPr>
          <w:p>
            <w:pPr>
              <w:pStyle w:val="TableText"/>
              <w:ind w:left="432"/>
              <w:spacing w:before="32" w:line="211" w:lineRule="auto"/>
              <w:rPr/>
            </w:pPr>
            <w:r>
              <w:rPr/>
              <w:t>套</w:t>
            </w:r>
          </w:p>
        </w:tc>
        <w:tc>
          <w:tcPr>
            <w:tcW w:w="1111" w:type="dxa"/>
            <w:vAlign w:val="top"/>
          </w:tcPr>
          <w:p>
            <w:pPr>
              <w:ind w:left="526"/>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r>
      <w:tr>
        <w:trPr>
          <w:trHeight w:val="272" w:hRule="atLeast"/>
        </w:trPr>
        <w:tc>
          <w:tcPr>
            <w:tcW w:w="838" w:type="dxa"/>
            <w:vAlign w:val="top"/>
          </w:tcPr>
          <w:p>
            <w:pPr>
              <w:ind w:left="33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11</w:t>
            </w:r>
          </w:p>
        </w:tc>
        <w:tc>
          <w:tcPr>
            <w:tcW w:w="2104" w:type="dxa"/>
            <w:vAlign w:val="top"/>
          </w:tcPr>
          <w:p>
            <w:pPr>
              <w:pStyle w:val="TableText"/>
              <w:ind w:left="740"/>
              <w:spacing w:before="32" w:line="212" w:lineRule="auto"/>
              <w:rPr/>
            </w:pPr>
            <w:r>
              <w:rPr>
                <w:spacing w:val="6"/>
              </w:rPr>
              <w:t>包装机</w:t>
            </w:r>
          </w:p>
        </w:tc>
        <w:tc>
          <w:tcPr>
            <w:tcW w:w="3412" w:type="dxa"/>
            <w:vAlign w:val="top"/>
          </w:tcPr>
          <w:p>
            <w:pPr>
              <w:ind w:left="1673"/>
              <w:spacing w:before="6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62" w:type="dxa"/>
            <w:vAlign w:val="top"/>
          </w:tcPr>
          <w:p>
            <w:pPr>
              <w:pStyle w:val="TableText"/>
              <w:ind w:left="448"/>
              <w:spacing w:before="32" w:line="212" w:lineRule="auto"/>
              <w:rPr/>
            </w:pPr>
            <w:r>
              <w:rPr/>
              <w:t>台</w:t>
            </w:r>
          </w:p>
        </w:tc>
        <w:tc>
          <w:tcPr>
            <w:tcW w:w="1111" w:type="dxa"/>
            <w:vAlign w:val="top"/>
          </w:tcPr>
          <w:p>
            <w:pPr>
              <w:ind w:left="526"/>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r>
      <w:tr>
        <w:trPr>
          <w:trHeight w:val="274" w:hRule="atLeast"/>
        </w:trPr>
        <w:tc>
          <w:tcPr>
            <w:tcW w:w="838" w:type="dxa"/>
            <w:vAlign w:val="top"/>
          </w:tcPr>
          <w:p>
            <w:pPr>
              <w:ind w:left="334"/>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2104" w:type="dxa"/>
            <w:vAlign w:val="top"/>
          </w:tcPr>
          <w:p>
            <w:pPr>
              <w:pStyle w:val="TableText"/>
              <w:ind w:left="740"/>
              <w:spacing w:before="34" w:line="212" w:lineRule="auto"/>
              <w:rPr/>
            </w:pPr>
            <w:r>
              <w:rPr>
                <w:spacing w:val="6"/>
              </w:rPr>
              <w:t>通风机</w:t>
            </w:r>
          </w:p>
        </w:tc>
        <w:tc>
          <w:tcPr>
            <w:tcW w:w="3412" w:type="dxa"/>
            <w:vAlign w:val="top"/>
          </w:tcPr>
          <w:p>
            <w:pPr>
              <w:pStyle w:val="TableText"/>
              <w:ind w:left="1290"/>
              <w:spacing w:before="34" w:line="212" w:lineRule="auto"/>
              <w:rPr/>
            </w:pPr>
            <w:r>
              <w:rPr>
                <w:spacing w:val="7"/>
              </w:rPr>
              <w:t>轴流风机</w:t>
            </w:r>
          </w:p>
        </w:tc>
        <w:tc>
          <w:tcPr>
            <w:tcW w:w="1062" w:type="dxa"/>
            <w:vAlign w:val="top"/>
          </w:tcPr>
          <w:p>
            <w:pPr>
              <w:pStyle w:val="TableText"/>
              <w:ind w:left="448"/>
              <w:spacing w:before="34" w:line="212" w:lineRule="auto"/>
              <w:rPr/>
            </w:pPr>
            <w:r>
              <w:rPr/>
              <w:t>台</w:t>
            </w:r>
          </w:p>
        </w:tc>
        <w:tc>
          <w:tcPr>
            <w:tcW w:w="1111" w:type="dxa"/>
            <w:vAlign w:val="top"/>
          </w:tcPr>
          <w:p>
            <w:pPr>
              <w:ind w:left="50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r>
    </w:tbl>
    <w:p>
      <w:pPr>
        <w:pStyle w:val="BodyText"/>
        <w:spacing w:line="147" w:lineRule="exact"/>
        <w:rPr>
          <w:sz w:val="12"/>
        </w:rPr>
      </w:pPr>
      <w:r/>
    </w:p>
    <w:p>
      <w:pPr>
        <w:spacing w:line="147" w:lineRule="exact"/>
        <w:sectPr>
          <w:headerReference w:type="default" r:id="rId79"/>
          <w:pgSz w:w="11907" w:h="16840"/>
          <w:pgMar w:top="1567" w:right="1684" w:bottom="400" w:left="1684" w:header="1221" w:footer="0" w:gutter="0"/>
          <w:cols w:equalWidth="0" w:num="1">
            <w:col w:w="8538" w:space="0"/>
          </w:cols>
        </w:sectPr>
        <w:rPr>
          <w:sz w:val="12"/>
          <w:szCs w:val="12"/>
        </w:rPr>
      </w:pPr>
    </w:p>
    <w:p>
      <w:pPr>
        <w:ind w:left="2312"/>
        <w:spacing w:before="47" w:line="221" w:lineRule="auto"/>
        <w:rPr>
          <w:rFonts w:ascii="Times New Roman" w:hAnsi="Times New Roman" w:eastAsia="Times New Roman" w:cs="Times New Roman"/>
          <w:sz w:val="24"/>
          <w:szCs w:val="24"/>
        </w:rPr>
      </w:pPr>
      <w:r>
        <w:rPr>
          <w:rFonts w:ascii="SimSun" w:hAnsi="SimSun" w:eastAsia="SimSun" w:cs="SimSun"/>
          <w:sz w:val="24"/>
          <w:szCs w:val="24"/>
          <w:b/>
          <w:bCs/>
          <w:spacing w:val="-3"/>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3"/>
        </w:rPr>
        <w:t>3.1-12</w:t>
      </w:r>
    </w:p>
    <w:p>
      <w:pPr>
        <w:pStyle w:val="BodyText"/>
        <w:spacing w:line="14" w:lineRule="auto"/>
        <w:rPr>
          <w:sz w:val="2"/>
        </w:rPr>
      </w:pPr>
      <w:r>
        <w:rPr>
          <w:sz w:val="2"/>
          <w:szCs w:val="2"/>
        </w:rPr>
        <w:br w:type="column"/>
      </w:r>
    </w:p>
    <w:p>
      <w:pPr>
        <w:spacing w:before="46" w:line="220" w:lineRule="auto"/>
        <w:rPr>
          <w:rFonts w:ascii="SimSun" w:hAnsi="SimSun" w:eastAsia="SimSun" w:cs="SimSun"/>
          <w:sz w:val="24"/>
          <w:szCs w:val="24"/>
        </w:rPr>
      </w:pPr>
      <w:r>
        <w:rPr>
          <w:rFonts w:ascii="SimSun" w:hAnsi="SimSun" w:eastAsia="SimSun" w:cs="SimSun"/>
          <w:sz w:val="24"/>
          <w:szCs w:val="24"/>
          <w:b/>
          <w:bCs/>
          <w:spacing w:val="-4"/>
        </w:rPr>
        <w:t>公辅设施主要设备一览表</w:t>
      </w:r>
    </w:p>
    <w:p>
      <w:pPr>
        <w:spacing w:line="220" w:lineRule="auto"/>
        <w:sectPr>
          <w:type w:val="continuous"/>
          <w:pgSz w:w="11907" w:h="16840"/>
          <w:pgMar w:top="1567" w:right="1684" w:bottom="400" w:left="1684" w:header="1221" w:footer="0" w:gutter="0"/>
          <w:cols w:equalWidth="0" w:num="2">
            <w:col w:w="3501" w:space="100"/>
            <w:col w:w="4938" w:space="0"/>
          </w:cols>
        </w:sectPr>
        <w:rPr>
          <w:rFonts w:ascii="SimSun" w:hAnsi="SimSun" w:eastAsia="SimSun" w:cs="SimSun"/>
          <w:sz w:val="24"/>
          <w:szCs w:val="24"/>
        </w:rPr>
      </w:pPr>
    </w:p>
    <w:p>
      <w:pPr>
        <w:spacing w:line="17" w:lineRule="exact"/>
        <w:rPr/>
      </w:pPr>
      <w:r/>
    </w:p>
    <w:tbl>
      <w:tblPr>
        <w:tblStyle w:val="TableNormal"/>
        <w:tblW w:w="853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48"/>
        <w:gridCol w:w="2066"/>
        <w:gridCol w:w="3505"/>
        <w:gridCol w:w="1016"/>
        <w:gridCol w:w="1097"/>
      </w:tblGrid>
      <w:tr>
        <w:trPr>
          <w:trHeight w:val="274" w:hRule="atLeast"/>
        </w:trPr>
        <w:tc>
          <w:tcPr>
            <w:tcW w:w="848" w:type="dxa"/>
            <w:vAlign w:val="top"/>
          </w:tcPr>
          <w:p>
            <w:pPr>
              <w:pStyle w:val="TableText"/>
              <w:ind w:left="208"/>
              <w:spacing w:before="31" w:line="215" w:lineRule="auto"/>
              <w:rPr/>
            </w:pPr>
            <w:r>
              <w:rPr>
                <w:spacing w:val="10"/>
              </w:rPr>
              <w:t>序号</w:t>
            </w:r>
          </w:p>
        </w:tc>
        <w:tc>
          <w:tcPr>
            <w:tcW w:w="2066" w:type="dxa"/>
            <w:vAlign w:val="top"/>
          </w:tcPr>
          <w:p>
            <w:pPr>
              <w:pStyle w:val="TableText"/>
              <w:ind w:left="821"/>
              <w:spacing w:before="31" w:line="215" w:lineRule="auto"/>
              <w:rPr/>
            </w:pPr>
            <w:r>
              <w:rPr>
                <w:spacing w:val="8"/>
              </w:rPr>
              <w:t>名称</w:t>
            </w:r>
          </w:p>
        </w:tc>
        <w:tc>
          <w:tcPr>
            <w:tcW w:w="3505" w:type="dxa"/>
            <w:vAlign w:val="top"/>
          </w:tcPr>
          <w:p>
            <w:pPr>
              <w:pStyle w:val="TableText"/>
              <w:ind w:left="1291"/>
              <w:spacing w:before="31" w:line="215" w:lineRule="auto"/>
              <w:rPr/>
            </w:pPr>
            <w:r>
              <w:rPr>
                <w:spacing w:val="13"/>
              </w:rPr>
              <w:t>型号</w:t>
            </w:r>
            <w:r>
              <w:rPr>
                <w:rFonts w:ascii="Times New Roman" w:hAnsi="Times New Roman" w:eastAsia="Times New Roman" w:cs="Times New Roman"/>
                <w:spacing w:val="13"/>
              </w:rPr>
              <w:t>/</w:t>
            </w:r>
            <w:r>
              <w:rPr>
                <w:spacing w:val="13"/>
              </w:rPr>
              <w:t>参数</w:t>
            </w:r>
          </w:p>
        </w:tc>
        <w:tc>
          <w:tcPr>
            <w:tcW w:w="1016" w:type="dxa"/>
            <w:vAlign w:val="top"/>
          </w:tcPr>
          <w:p>
            <w:pPr>
              <w:pStyle w:val="TableText"/>
              <w:ind w:left="298"/>
              <w:spacing w:before="31" w:line="215" w:lineRule="auto"/>
              <w:rPr/>
            </w:pPr>
            <w:r>
              <w:rPr>
                <w:spacing w:val="8"/>
              </w:rPr>
              <w:t>单位</w:t>
            </w:r>
          </w:p>
        </w:tc>
        <w:tc>
          <w:tcPr>
            <w:tcW w:w="1097" w:type="dxa"/>
            <w:vAlign w:val="top"/>
          </w:tcPr>
          <w:p>
            <w:pPr>
              <w:pStyle w:val="TableText"/>
              <w:ind w:left="338"/>
              <w:spacing w:before="31" w:line="215" w:lineRule="auto"/>
              <w:rPr/>
            </w:pPr>
            <w:r>
              <w:rPr>
                <w:spacing w:val="8"/>
              </w:rPr>
              <w:t>数量</w:t>
            </w:r>
          </w:p>
        </w:tc>
      </w:tr>
      <w:tr>
        <w:trPr>
          <w:trHeight w:val="272" w:hRule="atLeast"/>
        </w:trPr>
        <w:tc>
          <w:tcPr>
            <w:tcW w:w="848" w:type="dxa"/>
            <w:vAlign w:val="top"/>
          </w:tcPr>
          <w:p>
            <w:pPr>
              <w:ind w:left="389"/>
              <w:spacing w:before="6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66" w:type="dxa"/>
            <w:vAlign w:val="top"/>
          </w:tcPr>
          <w:p>
            <w:pPr>
              <w:pStyle w:val="TableText"/>
              <w:ind w:left="275"/>
              <w:spacing w:before="27" w:line="216" w:lineRule="auto"/>
              <w:rPr/>
            </w:pPr>
            <w:r>
              <w:rPr>
                <w:spacing w:val="15"/>
              </w:rPr>
              <w:t>生物质蒸汽锅炉</w:t>
            </w:r>
          </w:p>
        </w:tc>
        <w:tc>
          <w:tcPr>
            <w:tcW w:w="3505" w:type="dxa"/>
            <w:vAlign w:val="top"/>
          </w:tcPr>
          <w:p>
            <w:pPr>
              <w:ind w:left="1027"/>
              <w:spacing w:before="6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DZL</w:t>
            </w:r>
            <w:r>
              <w:rPr>
                <w:rFonts w:ascii="Times New Roman" w:hAnsi="Times New Roman" w:eastAsia="Times New Roman" w:cs="Times New Roman"/>
                <w:sz w:val="20"/>
                <w:szCs w:val="20"/>
                <w:spacing w:val="18"/>
              </w:rPr>
              <w:t>6-1</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18"/>
              </w:rPr>
              <w:t>.25-</w:t>
            </w:r>
            <w:r>
              <w:rPr>
                <w:rFonts w:ascii="Times New Roman" w:hAnsi="Times New Roman" w:eastAsia="Times New Roman" w:cs="Times New Roman"/>
                <w:sz w:val="20"/>
                <w:szCs w:val="20"/>
              </w:rPr>
              <w:t>SCI</w:t>
            </w:r>
          </w:p>
        </w:tc>
        <w:tc>
          <w:tcPr>
            <w:tcW w:w="1016" w:type="dxa"/>
            <w:vAlign w:val="top"/>
          </w:tcPr>
          <w:p>
            <w:pPr>
              <w:pStyle w:val="TableText"/>
              <w:ind w:left="421"/>
              <w:spacing w:before="27" w:line="216" w:lineRule="auto"/>
              <w:rPr/>
            </w:pPr>
            <w:r>
              <w:rPr/>
              <w:t>台</w:t>
            </w:r>
          </w:p>
        </w:tc>
        <w:tc>
          <w:tcPr>
            <w:tcW w:w="1097" w:type="dxa"/>
            <w:vAlign w:val="top"/>
          </w:tcPr>
          <w:p>
            <w:pPr>
              <w:ind w:left="516"/>
              <w:spacing w:before="6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r>
      <w:tr>
        <w:trPr>
          <w:trHeight w:val="271" w:hRule="atLeast"/>
        </w:trPr>
        <w:tc>
          <w:tcPr>
            <w:tcW w:w="848" w:type="dxa"/>
            <w:vAlign w:val="top"/>
          </w:tcPr>
          <w:p>
            <w:pPr>
              <w:ind w:left="371"/>
              <w:spacing w:before="6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066" w:type="dxa"/>
            <w:vAlign w:val="top"/>
          </w:tcPr>
          <w:p>
            <w:pPr>
              <w:pStyle w:val="TableText"/>
              <w:ind w:left="409"/>
              <w:spacing w:before="29" w:line="214" w:lineRule="auto"/>
              <w:rPr/>
            </w:pPr>
            <w:r>
              <w:rPr>
                <w:spacing w:val="7"/>
              </w:rPr>
              <w:t>沼气蒸汽锅炉</w:t>
            </w:r>
          </w:p>
        </w:tc>
        <w:tc>
          <w:tcPr>
            <w:tcW w:w="3505" w:type="dxa"/>
            <w:vAlign w:val="top"/>
          </w:tcPr>
          <w:p>
            <w:pPr>
              <w:pStyle w:val="TableText"/>
              <w:ind w:left="851"/>
              <w:spacing w:before="29" w:line="214" w:lineRule="auto"/>
              <w:rPr/>
            </w:pPr>
            <w:r>
              <w:rPr>
                <w:rFonts w:ascii="Times New Roman" w:hAnsi="Times New Roman" w:eastAsia="Times New Roman" w:cs="Times New Roman"/>
              </w:rPr>
              <w:t>WNS</w:t>
            </w:r>
            <w:r>
              <w:rPr>
                <w:rFonts w:ascii="Times New Roman" w:hAnsi="Times New Roman" w:eastAsia="Times New Roman" w:cs="Times New Roman"/>
                <w:spacing w:val="6"/>
              </w:rPr>
              <w:t>4-1.25-Y</w:t>
            </w:r>
            <w:r>
              <w:rPr>
                <w:spacing w:val="6"/>
              </w:rPr>
              <w:t>（</w:t>
            </w:r>
            <w:r>
              <w:rPr>
                <w:rFonts w:ascii="Times New Roman" w:hAnsi="Times New Roman" w:eastAsia="Times New Roman" w:cs="Times New Roman"/>
                <w:spacing w:val="6"/>
              </w:rPr>
              <w:t>Q</w:t>
            </w:r>
            <w:r>
              <w:rPr>
                <w:spacing w:val="6"/>
              </w:rPr>
              <w:t>）</w:t>
            </w:r>
          </w:p>
        </w:tc>
        <w:tc>
          <w:tcPr>
            <w:tcW w:w="1016" w:type="dxa"/>
            <w:vAlign w:val="top"/>
          </w:tcPr>
          <w:p>
            <w:pPr>
              <w:pStyle w:val="TableText"/>
              <w:ind w:left="421"/>
              <w:spacing w:before="29" w:line="214" w:lineRule="auto"/>
              <w:rPr/>
            </w:pPr>
            <w:r>
              <w:rPr/>
              <w:t>台</w:t>
            </w:r>
          </w:p>
        </w:tc>
        <w:tc>
          <w:tcPr>
            <w:tcW w:w="1097" w:type="dxa"/>
            <w:vAlign w:val="top"/>
          </w:tcPr>
          <w:p>
            <w:pPr>
              <w:ind w:left="519"/>
              <w:spacing w:before="6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r>
      <w:tr>
        <w:trPr>
          <w:trHeight w:val="543" w:hRule="atLeast"/>
        </w:trPr>
        <w:tc>
          <w:tcPr>
            <w:tcW w:w="848" w:type="dxa"/>
            <w:vAlign w:val="top"/>
          </w:tcPr>
          <w:p>
            <w:pPr>
              <w:ind w:left="375"/>
              <w:spacing w:before="2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2066" w:type="dxa"/>
            <w:vAlign w:val="top"/>
          </w:tcPr>
          <w:p>
            <w:pPr>
              <w:pStyle w:val="TableText"/>
              <w:ind w:left="408"/>
              <w:spacing w:before="166" w:line="228" w:lineRule="auto"/>
              <w:rPr/>
            </w:pPr>
            <w:r>
              <w:rPr>
                <w:spacing w:val="7"/>
              </w:rPr>
              <w:t>纯水制备装置</w:t>
            </w:r>
          </w:p>
        </w:tc>
        <w:tc>
          <w:tcPr>
            <w:tcW w:w="3505" w:type="dxa"/>
            <w:vAlign w:val="top"/>
          </w:tcPr>
          <w:p>
            <w:pPr>
              <w:pStyle w:val="TableText"/>
              <w:ind w:left="26"/>
              <w:spacing w:before="31" w:line="227" w:lineRule="auto"/>
              <w:rPr/>
            </w:pPr>
            <w:r>
              <w:rPr>
                <w:rFonts w:ascii="Times New Roman" w:hAnsi="Times New Roman" w:eastAsia="Times New Roman" w:cs="Times New Roman"/>
                <w:spacing w:val="5"/>
              </w:rPr>
              <w:t>10m</w:t>
            </w:r>
            <w:r>
              <w:rPr>
                <w:rFonts w:ascii="Times New Roman" w:hAnsi="Times New Roman" w:eastAsia="Times New Roman" w:cs="Times New Roman"/>
                <w:sz w:val="13"/>
                <w:szCs w:val="13"/>
                <w:spacing w:val="5"/>
                <w:position w:val="6"/>
              </w:rPr>
              <w:t>3</w:t>
            </w:r>
            <w:r>
              <w:rPr>
                <w:rFonts w:ascii="Times New Roman" w:hAnsi="Times New Roman" w:eastAsia="Times New Roman" w:cs="Times New Roman"/>
                <w:spacing w:val="5"/>
              </w:rPr>
              <w:t>/h</w:t>
            </w:r>
            <w:r>
              <w:rPr>
                <w:rFonts w:ascii="Times New Roman" w:hAnsi="Times New Roman" w:eastAsia="Times New Roman" w:cs="Times New Roman"/>
                <w:spacing w:val="-13"/>
              </w:rPr>
              <w:t xml:space="preserve"> </w:t>
            </w:r>
            <w:r>
              <w:rPr>
                <w:spacing w:val="5"/>
              </w:rPr>
              <w:t>，机械过滤</w:t>
            </w:r>
            <w:r>
              <w:rPr>
                <w:rFonts w:ascii="Times New Roman" w:hAnsi="Times New Roman" w:eastAsia="Times New Roman" w:cs="Times New Roman"/>
                <w:spacing w:val="5"/>
              </w:rPr>
              <w:t>+</w:t>
            </w:r>
            <w:r>
              <w:rPr>
                <w:spacing w:val="5"/>
              </w:rPr>
              <w:t>精密过滤</w:t>
            </w:r>
            <w:r>
              <w:rPr>
                <w:rFonts w:ascii="Times New Roman" w:hAnsi="Times New Roman" w:eastAsia="Times New Roman" w:cs="Times New Roman"/>
                <w:spacing w:val="5"/>
              </w:rPr>
              <w:t>+</w:t>
            </w:r>
            <w:r>
              <w:rPr>
                <w:rFonts w:ascii="Times New Roman" w:hAnsi="Times New Roman" w:eastAsia="Times New Roman" w:cs="Times New Roman"/>
              </w:rPr>
              <w:t>RO</w:t>
            </w:r>
            <w:r>
              <w:rPr>
                <w:rFonts w:ascii="Times New Roman" w:hAnsi="Times New Roman" w:eastAsia="Times New Roman" w:cs="Times New Roman"/>
                <w:spacing w:val="5"/>
              </w:rPr>
              <w:t xml:space="preserve"> </w:t>
            </w:r>
            <w:r>
              <w:rPr>
                <w:spacing w:val="5"/>
              </w:rPr>
              <w:t>反渗</w:t>
            </w:r>
          </w:p>
          <w:p>
            <w:pPr>
              <w:pStyle w:val="TableText"/>
              <w:ind w:left="1650"/>
              <w:spacing w:before="25" w:line="212" w:lineRule="auto"/>
              <w:rPr/>
            </w:pPr>
            <w:r>
              <w:rPr>
                <w:spacing w:val="1"/>
              </w:rPr>
              <w:t>透</w:t>
            </w:r>
          </w:p>
        </w:tc>
        <w:tc>
          <w:tcPr>
            <w:tcW w:w="1016" w:type="dxa"/>
            <w:vAlign w:val="top"/>
          </w:tcPr>
          <w:p>
            <w:pPr>
              <w:pStyle w:val="TableText"/>
              <w:ind w:left="405"/>
              <w:spacing w:before="166" w:line="228" w:lineRule="auto"/>
              <w:rPr/>
            </w:pPr>
            <w:r>
              <w:rPr/>
              <w:t>套</w:t>
            </w:r>
          </w:p>
        </w:tc>
        <w:tc>
          <w:tcPr>
            <w:tcW w:w="1097" w:type="dxa"/>
            <w:vAlign w:val="top"/>
          </w:tcPr>
          <w:p>
            <w:pPr>
              <w:ind w:left="519"/>
              <w:spacing w:before="2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r>
      <w:tr>
        <w:trPr>
          <w:trHeight w:val="545" w:hRule="atLeast"/>
        </w:trPr>
        <w:tc>
          <w:tcPr>
            <w:tcW w:w="8532" w:type="dxa"/>
            <w:vAlign w:val="top"/>
            <w:gridSpan w:val="5"/>
          </w:tcPr>
          <w:p>
            <w:pPr>
              <w:pStyle w:val="TableText"/>
              <w:ind w:left="8" w:right="2"/>
              <w:spacing w:before="32" w:line="232" w:lineRule="auto"/>
              <w:rPr/>
            </w:pPr>
            <w:r>
              <w:rPr>
                <w:spacing w:val="9"/>
              </w:rPr>
              <w:t>注：两台锅炉同时运行，优先由沼气锅炉供应蒸汽，当蒸汽分汽缸压力小于</w:t>
            </w:r>
            <w:r>
              <w:rPr>
                <w:spacing w:val="-40"/>
              </w:rPr>
              <w:t xml:space="preserve"> </w:t>
            </w:r>
            <w:r>
              <w:rPr>
                <w:rFonts w:ascii="Times New Roman" w:hAnsi="Times New Roman" w:eastAsia="Times New Roman" w:cs="Times New Roman"/>
                <w:spacing w:val="8"/>
              </w:rPr>
              <w:t>0.8</w:t>
            </w:r>
            <w:r>
              <w:rPr>
                <w:rFonts w:ascii="Times New Roman" w:hAnsi="Times New Roman" w:eastAsia="Times New Roman" w:cs="Times New Roman"/>
              </w:rPr>
              <w:t>MPa</w:t>
            </w:r>
            <w:r>
              <w:rPr>
                <w:rFonts w:ascii="Times New Roman" w:hAnsi="Times New Roman" w:eastAsia="Times New Roman" w:cs="Times New Roman"/>
                <w:spacing w:val="25"/>
              </w:rPr>
              <w:t xml:space="preserve"> </w:t>
            </w:r>
            <w:r>
              <w:rPr>
                <w:spacing w:val="8"/>
              </w:rPr>
              <w:t>时，生物</w:t>
            </w:r>
            <w:r>
              <w:rPr/>
              <w:t xml:space="preserve"> </w:t>
            </w:r>
            <w:r>
              <w:rPr>
                <w:spacing w:val="9"/>
              </w:rPr>
              <w:t>质锅炉运行负荷增加，为蒸汽分汽缸补充蒸</w:t>
            </w:r>
            <w:r>
              <w:rPr>
                <w:spacing w:val="8"/>
              </w:rPr>
              <w:t>汽。</w:t>
            </w:r>
          </w:p>
        </w:tc>
      </w:tr>
    </w:tbl>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ind w:right="17"/>
        <w:spacing w:before="62" w:line="193" w:lineRule="auto"/>
        <w:jc w:val="right"/>
        <w:rPr>
          <w:rFonts w:ascii="SimSun" w:hAnsi="SimSun" w:eastAsia="SimSun" w:cs="SimSun"/>
          <w:sz w:val="19"/>
          <w:szCs w:val="19"/>
        </w:rPr>
      </w:pPr>
      <w:r>
        <w:pict>
          <v:shape id="_x0000_s328" style="position:absolute;margin-left:208.316pt;margin-top:2.11423pt;mso-position-vertical-relative:text;mso-position-horizontal-relative:text;width:58.75pt;height:13.75pt;z-index:251806720;"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1"/>
                      <w:position w:val="2"/>
                    </w:rPr>
                    <w:t>64        </w:t>
                  </w:r>
                  <w:r>
                    <w:rPr>
                      <w:rFonts w:ascii="SimSun" w:hAnsi="SimSun" w:eastAsia="SimSun" w:cs="SimSun"/>
                      <w:sz w:val="19"/>
                      <w:szCs w:val="19"/>
                      <w:spacing w:val="1"/>
                    </w:rPr>
                    <w:t>锡林郭</w:t>
                  </w:r>
                </w:p>
              </w:txbxContent>
            </v:textbox>
          </v:shape>
        </w:pict>
      </w:r>
      <w:r>
        <w:rPr>
          <w:rFonts w:ascii="SimSun" w:hAnsi="SimSun" w:eastAsia="SimSun" w:cs="SimSun"/>
          <w:sz w:val="19"/>
          <w:szCs w:val="19"/>
          <w:spacing w:val="9"/>
        </w:rPr>
        <w:t>勒盟中安环境技术咨询有限责任公司</w:t>
      </w:r>
    </w:p>
    <w:p>
      <w:pPr>
        <w:spacing w:line="193" w:lineRule="auto"/>
        <w:sectPr>
          <w:type w:val="continuous"/>
          <w:pgSz w:w="11907" w:h="16840"/>
          <w:pgMar w:top="1567" w:right="1684" w:bottom="400" w:left="1684" w:header="1221" w:footer="0" w:gutter="0"/>
          <w:cols w:equalWidth="0" w:num="1">
            <w:col w:w="8538" w:space="0"/>
          </w:cols>
        </w:sectPr>
        <w:rPr>
          <w:rFonts w:ascii="SimSun" w:hAnsi="SimSun" w:eastAsia="SimSun" w:cs="SimSun"/>
          <w:sz w:val="19"/>
          <w:szCs w:val="19"/>
        </w:rPr>
      </w:pPr>
    </w:p>
    <w:p>
      <w:pPr>
        <w:ind w:left="12"/>
        <w:spacing w:before="313" w:line="222" w:lineRule="auto"/>
        <w:outlineLvl w:val="2"/>
        <w:rPr>
          <w:rFonts w:ascii="SimHei" w:hAnsi="SimHei" w:eastAsia="SimHei" w:cs="SimHei"/>
          <w:sz w:val="28"/>
          <w:szCs w:val="28"/>
        </w:rPr>
      </w:pPr>
      <w:r>
        <w:pict>
          <v:shape id="_x0000_s330" style="position:absolute;margin-left:85.05pt;margin-top:79.11pt;mso-position-vertical-relative:page;mso-position-horizontal-relative:page;width:425.25pt;height:0.75pt;z-index:251809792;" o:allowincell="f" fillcolor="#000000" filled="true" stroked="false" coordsize="8505,15" coordorigin="0,0" path="m,l8505,0l8505,14l0,14l0,0xe"/>
        </w:pict>
      </w:r>
      <w:bookmarkStart w:name="bookmark225" w:id="63"/>
      <w:bookmarkEnd w:id="63"/>
      <w:r>
        <w:rPr>
          <w:rFonts w:ascii="Times New Roman" w:hAnsi="Times New Roman" w:eastAsia="Times New Roman" w:cs="Times New Roman"/>
          <w:sz w:val="28"/>
          <w:szCs w:val="28"/>
          <w:spacing w:val="-2"/>
        </w:rPr>
        <w:t>3.1.8 </w:t>
      </w:r>
      <w:r>
        <w:rPr>
          <w:rFonts w:ascii="SimHei" w:hAnsi="SimHei" w:eastAsia="SimHei" w:cs="SimHei"/>
          <w:sz w:val="28"/>
          <w:szCs w:val="28"/>
          <w:spacing w:val="-2"/>
        </w:rPr>
        <w:t>公用工程</w:t>
      </w:r>
    </w:p>
    <w:p>
      <w:pPr>
        <w:pStyle w:val="BodyText"/>
        <w:rPr/>
      </w:pPr>
      <w:r/>
    </w:p>
    <w:p>
      <w:pPr>
        <w:ind w:left="4"/>
        <w:spacing w:before="78" w:line="219" w:lineRule="auto"/>
        <w:outlineLvl w:val="3"/>
        <w:rPr>
          <w:rFonts w:ascii="SimSun" w:hAnsi="SimSun" w:eastAsia="SimSun" w:cs="SimSun"/>
          <w:sz w:val="24"/>
          <w:szCs w:val="24"/>
        </w:rPr>
      </w:pPr>
      <w:bookmarkStart w:name="bookmark52" w:id="64"/>
      <w:bookmarkEnd w:id="64"/>
      <w:r>
        <w:rPr>
          <w:rFonts w:ascii="Times New Roman" w:hAnsi="Times New Roman" w:eastAsia="Times New Roman" w:cs="Times New Roman"/>
          <w:sz w:val="24"/>
          <w:szCs w:val="24"/>
          <w:b/>
          <w:bCs/>
          <w:spacing w:val="-1"/>
        </w:rPr>
        <w:t>3.1.8.1 </w:t>
      </w:r>
      <w:r>
        <w:rPr>
          <w:rFonts w:ascii="SimSun" w:hAnsi="SimSun" w:eastAsia="SimSun" w:cs="SimSun"/>
          <w:sz w:val="24"/>
          <w:szCs w:val="24"/>
          <w:b/>
          <w:bCs/>
          <w:spacing w:val="-1"/>
        </w:rPr>
        <w:t>给排水工程</w:t>
      </w:r>
    </w:p>
    <w:p>
      <w:pPr>
        <w:ind w:left="9" w:right="80" w:firstLine="480"/>
        <w:spacing w:before="183" w:line="359" w:lineRule="auto"/>
        <w:rPr>
          <w:rFonts w:ascii="SimSun" w:hAnsi="SimSun" w:eastAsia="SimSun" w:cs="SimSun"/>
          <w:sz w:val="24"/>
          <w:szCs w:val="24"/>
        </w:rPr>
      </w:pPr>
      <w:r>
        <w:rPr>
          <w:rFonts w:ascii="SimSun" w:hAnsi="SimSun" w:eastAsia="SimSun" w:cs="SimSun"/>
          <w:sz w:val="24"/>
          <w:szCs w:val="24"/>
          <w:spacing w:val="3"/>
        </w:rPr>
        <w:t>本项目生产、生活用水均由市政给水管网统一供给，生活</w:t>
      </w:r>
      <w:r>
        <w:rPr>
          <w:rFonts w:ascii="SimSun" w:hAnsi="SimSun" w:eastAsia="SimSun" w:cs="SimSun"/>
          <w:sz w:val="24"/>
          <w:szCs w:val="24"/>
          <w:spacing w:val="2"/>
        </w:rPr>
        <w:t>用水由自来水管网</w:t>
      </w:r>
      <w:r>
        <w:rPr>
          <w:rFonts w:ascii="SimSun" w:hAnsi="SimSun" w:eastAsia="SimSun" w:cs="SimSun"/>
          <w:sz w:val="24"/>
          <w:szCs w:val="24"/>
        </w:rPr>
        <w:t xml:space="preserve"> </w:t>
      </w:r>
      <w:r>
        <w:rPr>
          <w:rFonts w:ascii="SimSun" w:hAnsi="SimSun" w:eastAsia="SimSun" w:cs="SimSun"/>
          <w:sz w:val="24"/>
          <w:szCs w:val="24"/>
        </w:rPr>
        <w:t>供给；生产用水来自明安图镇污水处理厂中水；供水水</w:t>
      </w:r>
      <w:r>
        <w:rPr>
          <w:rFonts w:ascii="SimSun" w:hAnsi="SimSun" w:eastAsia="SimSun" w:cs="SimSun"/>
          <w:sz w:val="24"/>
          <w:szCs w:val="24"/>
          <w:spacing w:val="-1"/>
        </w:rPr>
        <w:t>质满足生产、生活需要。</w:t>
      </w:r>
    </w:p>
    <w:p>
      <w:pPr>
        <w:ind w:left="501"/>
        <w:spacing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）生活用水</w:t>
      </w:r>
    </w:p>
    <w:p>
      <w:pPr>
        <w:ind w:left="11" w:right="77" w:firstLine="479"/>
        <w:spacing w:before="183" w:line="359" w:lineRule="auto"/>
        <w:rPr>
          <w:rFonts w:ascii="SimSun" w:hAnsi="SimSun" w:eastAsia="SimSun" w:cs="SimSun"/>
          <w:sz w:val="24"/>
          <w:szCs w:val="24"/>
        </w:rPr>
      </w:pPr>
      <w:r>
        <w:rPr>
          <w:rFonts w:ascii="SimSun" w:hAnsi="SimSun" w:eastAsia="SimSun" w:cs="SimSun"/>
          <w:sz w:val="24"/>
          <w:szCs w:val="24"/>
          <w:spacing w:val="9"/>
        </w:rPr>
        <w:t>本项目劳动定员 </w:t>
      </w:r>
      <w:r>
        <w:rPr>
          <w:rFonts w:ascii="Times New Roman" w:hAnsi="Times New Roman" w:eastAsia="Times New Roman" w:cs="Times New Roman"/>
          <w:sz w:val="24"/>
          <w:szCs w:val="24"/>
          <w:spacing w:val="9"/>
        </w:rPr>
        <w:t>100</w:t>
      </w:r>
      <w:r>
        <w:rPr>
          <w:rFonts w:ascii="Times New Roman" w:hAnsi="Times New Roman" w:eastAsia="Times New Roman" w:cs="Times New Roman"/>
          <w:sz w:val="24"/>
          <w:szCs w:val="24"/>
          <w:spacing w:val="40"/>
          <w:w w:val="101"/>
        </w:rPr>
        <w:t xml:space="preserve"> </w:t>
      </w:r>
      <w:r>
        <w:rPr>
          <w:rFonts w:ascii="SimSun" w:hAnsi="SimSun" w:eastAsia="SimSun" w:cs="SimSun"/>
          <w:sz w:val="24"/>
          <w:szCs w:val="24"/>
          <w:spacing w:val="9"/>
        </w:rPr>
        <w:t>人，参照《内蒙古自治区地方标准</w:t>
      </w:r>
      <w:r>
        <w:rPr>
          <w:rFonts w:ascii="SimSun" w:hAnsi="SimSun" w:eastAsia="SimSun" w:cs="SimSun"/>
          <w:sz w:val="24"/>
          <w:szCs w:val="24"/>
          <w:spacing w:val="47"/>
        </w:rPr>
        <w:t xml:space="preserve"> </w:t>
      </w:r>
      <w:r>
        <w:rPr>
          <w:rFonts w:ascii="SimSun" w:hAnsi="SimSun" w:eastAsia="SimSun" w:cs="SimSun"/>
          <w:sz w:val="24"/>
          <w:szCs w:val="24"/>
          <w:spacing w:val="9"/>
        </w:rPr>
        <w:t>行业用水定额》</w:t>
      </w:r>
      <w:r>
        <w:rPr>
          <w:rFonts w:ascii="SimSun" w:hAnsi="SimSun" w:eastAsia="SimSun" w:cs="SimSun"/>
          <w:sz w:val="24"/>
          <w:szCs w:val="2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DB15/T385-2020</w:t>
      </w:r>
      <w:r>
        <w:rPr>
          <w:rFonts w:ascii="SimSun" w:hAnsi="SimSun" w:eastAsia="SimSun" w:cs="SimSun"/>
          <w:sz w:val="24"/>
          <w:szCs w:val="24"/>
          <w:spacing w:val="-12"/>
        </w:rPr>
        <w:t>），</w:t>
      </w:r>
      <w:r>
        <w:rPr>
          <w:rFonts w:ascii="SimSun" w:hAnsi="SimSun" w:eastAsia="SimSun" w:cs="SimSun"/>
          <w:sz w:val="24"/>
          <w:szCs w:val="24"/>
          <w:spacing w:val="-2"/>
        </w:rPr>
        <w:t>生活用水量按照</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120L/</w:t>
      </w:r>
      <w:r>
        <w:rPr>
          <w:rFonts w:ascii="SimSun" w:hAnsi="SimSun" w:eastAsia="SimSun" w:cs="SimSun"/>
          <w:sz w:val="24"/>
          <w:szCs w:val="24"/>
          <w:spacing w:val="-3"/>
        </w:rPr>
        <w:t>人</w:t>
      </w:r>
      <w:r>
        <w:rPr>
          <w:rFonts w:ascii="Times New Roman" w:hAnsi="Times New Roman" w:eastAsia="Times New Roman" w:cs="Times New Roman"/>
          <w:sz w:val="24"/>
          <w:szCs w:val="24"/>
          <w:spacing w:val="-3"/>
        </w:rPr>
        <w:t>·d </w:t>
      </w:r>
      <w:r>
        <w:rPr>
          <w:rFonts w:ascii="SimSun" w:hAnsi="SimSun" w:eastAsia="SimSun" w:cs="SimSun"/>
          <w:sz w:val="24"/>
          <w:szCs w:val="24"/>
          <w:spacing w:val="-3"/>
        </w:rPr>
        <w:t>计算（包括员工工作、生活、洗</w:t>
      </w:r>
      <w:r>
        <w:rPr>
          <w:rFonts w:ascii="SimSun" w:hAnsi="SimSun" w:eastAsia="SimSun" w:cs="SimSun"/>
          <w:sz w:val="24"/>
          <w:szCs w:val="24"/>
        </w:rPr>
        <w:t xml:space="preserve"> </w:t>
      </w:r>
      <w:r>
        <w:rPr>
          <w:rFonts w:ascii="SimSun" w:hAnsi="SimSun" w:eastAsia="SimSun" w:cs="SimSun"/>
          <w:sz w:val="24"/>
          <w:szCs w:val="24"/>
          <w:spacing w:val="-4"/>
        </w:rPr>
        <w:t>浴、食堂用水等</w:t>
      </w:r>
      <w:r>
        <w:rPr>
          <w:rFonts w:ascii="SimSun" w:hAnsi="SimSun" w:eastAsia="SimSun" w:cs="SimSun"/>
          <w:sz w:val="24"/>
          <w:szCs w:val="24"/>
          <w:spacing w:val="-18"/>
        </w:rPr>
        <w:t>），</w:t>
      </w:r>
      <w:r>
        <w:rPr>
          <w:rFonts w:ascii="SimSun" w:hAnsi="SimSun" w:eastAsia="SimSun" w:cs="SimSun"/>
          <w:sz w:val="24"/>
          <w:szCs w:val="24"/>
          <w:spacing w:val="-4"/>
        </w:rPr>
        <w:t>生活用水量为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4"/>
        </w:rPr>
        <w:t>12m</w:t>
      </w:r>
      <w:r>
        <w:rPr>
          <w:rFonts w:ascii="Times New Roman" w:hAnsi="Times New Roman" w:eastAsia="Times New Roman" w:cs="Times New Roman"/>
          <w:sz w:val="15"/>
          <w:szCs w:val="15"/>
          <w:spacing w:val="-4"/>
          <w:position w:val="7"/>
        </w:rPr>
        <w:t>3</w:t>
      </w:r>
      <w:r>
        <w:rPr>
          <w:rFonts w:ascii="Times New Roman" w:hAnsi="Times New Roman" w:eastAsia="Times New Roman" w:cs="Times New Roman"/>
          <w:sz w:val="24"/>
          <w:szCs w:val="24"/>
          <w:spacing w:val="-4"/>
        </w:rPr>
        <w:t>/d</w:t>
      </w:r>
      <w:r>
        <w:rPr>
          <w:rFonts w:ascii="SimSun" w:hAnsi="SimSun" w:eastAsia="SimSun" w:cs="SimSun"/>
          <w:sz w:val="24"/>
          <w:szCs w:val="24"/>
          <w:spacing w:val="-4"/>
        </w:rPr>
        <w:t>（</w:t>
      </w:r>
      <w:r>
        <w:rPr>
          <w:rFonts w:ascii="Times New Roman" w:hAnsi="Times New Roman" w:eastAsia="Times New Roman" w:cs="Times New Roman"/>
          <w:sz w:val="24"/>
          <w:szCs w:val="24"/>
          <w:spacing w:val="-4"/>
        </w:rPr>
        <w:t>3600m</w:t>
      </w:r>
      <w:r>
        <w:rPr>
          <w:rFonts w:ascii="Times New Roman" w:hAnsi="Times New Roman" w:eastAsia="Times New Roman" w:cs="Times New Roman"/>
          <w:sz w:val="15"/>
          <w:szCs w:val="15"/>
          <w:spacing w:val="-4"/>
          <w:position w:val="7"/>
        </w:rPr>
        <w:t>3</w:t>
      </w:r>
      <w:r>
        <w:rPr>
          <w:rFonts w:ascii="Times New Roman" w:hAnsi="Times New Roman" w:eastAsia="Times New Roman" w:cs="Times New Roman"/>
          <w:sz w:val="24"/>
          <w:szCs w:val="24"/>
          <w:spacing w:val="-4"/>
        </w:rPr>
        <w:t>/a</w:t>
      </w:r>
      <w:r>
        <w:rPr>
          <w:rFonts w:ascii="SimSun" w:hAnsi="SimSun" w:eastAsia="SimSun" w:cs="SimSun"/>
          <w:sz w:val="24"/>
          <w:szCs w:val="24"/>
          <w:spacing w:val="-4"/>
        </w:rPr>
        <w:t>）。其中洗浴用水量按照</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60L/</w:t>
      </w:r>
      <w:r>
        <w:rPr>
          <w:rFonts w:ascii="Times New Roman" w:hAnsi="Times New Roman" w:eastAsia="Times New Roman" w:cs="Times New Roman"/>
          <w:sz w:val="24"/>
          <w:szCs w:val="24"/>
        </w:rPr>
        <w:t xml:space="preserve"> </w:t>
      </w:r>
      <w:r>
        <w:rPr>
          <w:rFonts w:ascii="SimSun" w:hAnsi="SimSun" w:eastAsia="SimSun" w:cs="SimSun"/>
          <w:sz w:val="24"/>
          <w:szCs w:val="24"/>
          <w:spacing w:val="-2"/>
        </w:rPr>
        <w:t>人</w:t>
      </w:r>
      <w:r>
        <w:rPr>
          <w:rFonts w:ascii="Times New Roman" w:hAnsi="Times New Roman" w:eastAsia="Times New Roman" w:cs="Times New Roman"/>
          <w:sz w:val="24"/>
          <w:szCs w:val="24"/>
          <w:spacing w:val="-2"/>
        </w:rPr>
        <w:t>·d </w:t>
      </w:r>
      <w:r>
        <w:rPr>
          <w:rFonts w:ascii="SimSun" w:hAnsi="SimSun" w:eastAsia="SimSun" w:cs="SimSun"/>
          <w:sz w:val="24"/>
          <w:szCs w:val="24"/>
          <w:spacing w:val="-2"/>
        </w:rPr>
        <w:t>计算，洗浴用水量为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6m</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r>
        <w:rPr>
          <w:rFonts w:ascii="Times New Roman" w:hAnsi="Times New Roman" w:eastAsia="Times New Roman" w:cs="Times New Roman"/>
          <w:sz w:val="24"/>
          <w:szCs w:val="24"/>
          <w:spacing w:val="-2"/>
        </w:rPr>
        <w:t>1800m</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24"/>
          <w:szCs w:val="24"/>
          <w:spacing w:val="-2"/>
        </w:rPr>
        <w:t>/a</w:t>
      </w:r>
      <w:r>
        <w:rPr>
          <w:rFonts w:ascii="SimSun" w:hAnsi="SimSun" w:eastAsia="SimSun" w:cs="SimSun"/>
          <w:sz w:val="24"/>
          <w:szCs w:val="24"/>
          <w:spacing w:val="-2"/>
        </w:rPr>
        <w:t>）。食堂用水量按照</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20L/</w:t>
      </w:r>
      <w:r>
        <w:rPr>
          <w:rFonts w:ascii="SimSun" w:hAnsi="SimSun" w:eastAsia="SimSun" w:cs="SimSun"/>
          <w:sz w:val="24"/>
          <w:szCs w:val="24"/>
          <w:spacing w:val="-2"/>
        </w:rPr>
        <w:t>人</w:t>
      </w:r>
      <w:r>
        <w:rPr>
          <w:rFonts w:ascii="Times New Roman" w:hAnsi="Times New Roman" w:eastAsia="Times New Roman" w:cs="Times New Roman"/>
          <w:sz w:val="24"/>
          <w:szCs w:val="24"/>
          <w:spacing w:val="-2"/>
        </w:rPr>
        <w:t>·d</w:t>
      </w:r>
      <w:r>
        <w:rPr>
          <w:rFonts w:ascii="Times New Roman" w:hAnsi="Times New Roman" w:eastAsia="Times New Roman" w:cs="Times New Roman"/>
          <w:sz w:val="24"/>
          <w:szCs w:val="24"/>
          <w:spacing w:val="-3"/>
        </w:rPr>
        <w:t xml:space="preserve"> </w:t>
      </w:r>
      <w:r>
        <w:rPr>
          <w:rFonts w:ascii="SimSun" w:hAnsi="SimSun" w:eastAsia="SimSun" w:cs="SimSun"/>
          <w:sz w:val="24"/>
          <w:szCs w:val="24"/>
          <w:spacing w:val="-3"/>
        </w:rPr>
        <w:t>计算，食</w:t>
      </w:r>
      <w:r>
        <w:rPr>
          <w:rFonts w:ascii="SimSun" w:hAnsi="SimSun" w:eastAsia="SimSun" w:cs="SimSun"/>
          <w:sz w:val="24"/>
          <w:szCs w:val="24"/>
        </w:rPr>
        <w:t xml:space="preserve"> </w:t>
      </w:r>
      <w:r>
        <w:rPr>
          <w:rFonts w:ascii="SimSun" w:hAnsi="SimSun" w:eastAsia="SimSun" w:cs="SimSun"/>
          <w:sz w:val="24"/>
          <w:szCs w:val="24"/>
          <w:spacing w:val="-2"/>
        </w:rPr>
        <w:t>堂用水量为</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2m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/d</w:t>
      </w:r>
      <w:r>
        <w:rPr>
          <w:rFonts w:ascii="SimSun" w:hAnsi="SimSun" w:eastAsia="SimSun" w:cs="SimSun"/>
          <w:sz w:val="24"/>
          <w:szCs w:val="24"/>
          <w:spacing w:val="-16"/>
        </w:rPr>
        <w:t>（</w:t>
      </w:r>
      <w:r>
        <w:rPr>
          <w:rFonts w:ascii="Times New Roman" w:hAnsi="Times New Roman" w:eastAsia="Times New Roman" w:cs="Times New Roman"/>
          <w:sz w:val="24"/>
          <w:szCs w:val="24"/>
          <w:spacing w:val="-16"/>
        </w:rPr>
        <w:t>600m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/a</w:t>
      </w:r>
      <w:r>
        <w:rPr>
          <w:rFonts w:ascii="SimSun" w:hAnsi="SimSun" w:eastAsia="SimSun" w:cs="SimSun"/>
          <w:sz w:val="24"/>
          <w:szCs w:val="24"/>
          <w:spacing w:val="-8"/>
        </w:rPr>
        <w:t>）。冲厕用水量按照</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8"/>
        </w:rPr>
        <w:t>40L/</w:t>
      </w:r>
      <w:r>
        <w:rPr>
          <w:rFonts w:ascii="SimSun" w:hAnsi="SimSun" w:eastAsia="SimSun" w:cs="SimSun"/>
          <w:sz w:val="24"/>
          <w:szCs w:val="24"/>
          <w:spacing w:val="-8"/>
        </w:rPr>
        <w:t>人</w:t>
      </w:r>
      <w:r>
        <w:rPr>
          <w:rFonts w:ascii="Times New Roman" w:hAnsi="Times New Roman" w:eastAsia="Times New Roman" w:cs="Times New Roman"/>
          <w:sz w:val="24"/>
          <w:szCs w:val="24"/>
          <w:spacing w:val="-8"/>
        </w:rPr>
        <w:t>·d </w:t>
      </w:r>
      <w:r>
        <w:rPr>
          <w:rFonts w:ascii="SimSun" w:hAnsi="SimSun" w:eastAsia="SimSun" w:cs="SimSun"/>
          <w:sz w:val="24"/>
          <w:szCs w:val="24"/>
          <w:spacing w:val="-8"/>
        </w:rPr>
        <w:t>计算，冲厕用水量为</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8"/>
        </w:rPr>
        <w:t>4m</w:t>
      </w:r>
      <w:r>
        <w:rPr>
          <w:rFonts w:ascii="Times New Roman" w:hAnsi="Times New Roman" w:eastAsia="Times New Roman" w:cs="Times New Roman"/>
          <w:sz w:val="15"/>
          <w:szCs w:val="15"/>
          <w:spacing w:val="-8"/>
          <w:position w:val="7"/>
        </w:rPr>
        <w:t>3</w:t>
      </w:r>
      <w:r>
        <w:rPr>
          <w:rFonts w:ascii="Times New Roman" w:hAnsi="Times New Roman" w:eastAsia="Times New Roman" w:cs="Times New Roman"/>
          <w:sz w:val="24"/>
          <w:szCs w:val="24"/>
          <w:spacing w:val="-8"/>
        </w:rPr>
        <w:t>/d</w:t>
      </w:r>
      <w:r>
        <w:rPr>
          <w:rFonts w:ascii="Times New Roman" w:hAnsi="Times New Roman" w:eastAsia="Times New Roman" w:cs="Times New Roman"/>
          <w:sz w:val="24"/>
          <w:szCs w:val="2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1200m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/a</w:t>
      </w:r>
      <w:r>
        <w:rPr>
          <w:rFonts w:ascii="SimSun" w:hAnsi="SimSun" w:eastAsia="SimSun" w:cs="SimSun"/>
          <w:sz w:val="24"/>
          <w:szCs w:val="24"/>
          <w:spacing w:val="-2"/>
        </w:rPr>
        <w:t>）。</w:t>
      </w:r>
    </w:p>
    <w:p>
      <w:pPr>
        <w:ind w:left="501"/>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）生产工艺给水系统</w:t>
      </w:r>
    </w:p>
    <w:p>
      <w:pPr>
        <w:ind w:left="491"/>
        <w:spacing w:before="181" w:line="219" w:lineRule="auto"/>
        <w:rPr>
          <w:rFonts w:ascii="SimSun" w:hAnsi="SimSun" w:eastAsia="SimSun" w:cs="SimSun"/>
          <w:sz w:val="24"/>
          <w:szCs w:val="24"/>
        </w:rPr>
      </w:pPr>
      <w:r>
        <w:rPr>
          <w:rFonts w:ascii="SimSun" w:hAnsi="SimSun" w:eastAsia="SimSun" w:cs="SimSun"/>
          <w:sz w:val="24"/>
          <w:szCs w:val="24"/>
          <w:spacing w:val="-1"/>
        </w:rPr>
        <w:t>生产工艺用水主要为洗毛用水和梳绒车间加湿用水。</w:t>
      </w:r>
    </w:p>
    <w:p>
      <w:pPr>
        <w:ind w:left="8" w:right="77" w:firstLine="481"/>
        <w:spacing w:before="184" w:line="359" w:lineRule="auto"/>
        <w:rPr>
          <w:rFonts w:ascii="SimSun" w:hAnsi="SimSun" w:eastAsia="SimSun" w:cs="SimSun"/>
          <w:sz w:val="24"/>
          <w:szCs w:val="24"/>
        </w:rPr>
      </w:pPr>
      <w:r>
        <w:rPr>
          <w:rFonts w:ascii="SimSun" w:hAnsi="SimSun" w:eastAsia="SimSun" w:cs="SimSun"/>
          <w:sz w:val="24"/>
          <w:szCs w:val="24"/>
          <w:spacing w:val="2"/>
        </w:rPr>
        <w:t>本项目采用</w:t>
      </w:r>
      <w:r>
        <w:rPr>
          <w:rFonts w:ascii="Times New Roman" w:hAnsi="Times New Roman" w:eastAsia="Times New Roman" w:cs="Times New Roman"/>
          <w:sz w:val="24"/>
          <w:szCs w:val="24"/>
          <w:spacing w:val="2"/>
        </w:rPr>
        <w:t>6 </w:t>
      </w:r>
      <w:r>
        <w:rPr>
          <w:rFonts w:ascii="SimSun" w:hAnsi="SimSun" w:eastAsia="SimSun" w:cs="SimSun"/>
          <w:sz w:val="24"/>
          <w:szCs w:val="24"/>
          <w:spacing w:val="2"/>
        </w:rPr>
        <w:t>槽洗毛工艺，一级浸泡（</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2"/>
        </w:rPr>
        <w:t>号水槽）</w:t>
      </w:r>
      <w:r>
        <w:rPr>
          <w:rFonts w:ascii="SimSun" w:hAnsi="SimSun" w:eastAsia="SimSun" w:cs="SimSun"/>
          <w:sz w:val="24"/>
          <w:szCs w:val="24"/>
          <w:spacing w:val="1"/>
        </w:rPr>
        <w:t>、两级洗涤（</w:t>
      </w:r>
      <w:r>
        <w:rPr>
          <w:rFonts w:ascii="Times New Roman" w:hAnsi="Times New Roman" w:eastAsia="Times New Roman" w:cs="Times New Roman"/>
          <w:sz w:val="24"/>
          <w:szCs w:val="24"/>
          <w:spacing w:val="1"/>
        </w:rPr>
        <w:t>2 </w:t>
      </w:r>
      <w:r>
        <w:rPr>
          <w:rFonts w:ascii="SimSun" w:hAnsi="SimSun" w:eastAsia="SimSun" w:cs="SimSun"/>
          <w:sz w:val="24"/>
          <w:szCs w:val="24"/>
          <w:spacing w:val="1"/>
        </w:rPr>
        <w:t>号、</w:t>
      </w:r>
      <w:r>
        <w:rPr>
          <w:rFonts w:ascii="Times New Roman" w:hAnsi="Times New Roman" w:eastAsia="Times New Roman" w:cs="Times New Roman"/>
          <w:sz w:val="24"/>
          <w:szCs w:val="24"/>
          <w:spacing w:val="1"/>
        </w:rPr>
        <w:t>3</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1"/>
        </w:rPr>
        <w:t>号水</w:t>
      </w:r>
      <w:r>
        <w:rPr>
          <w:rFonts w:ascii="SimSun" w:hAnsi="SimSun" w:eastAsia="SimSun" w:cs="SimSun"/>
          <w:sz w:val="24"/>
          <w:szCs w:val="24"/>
        </w:rPr>
        <w:t xml:space="preserve"> </w:t>
      </w:r>
      <w:r>
        <w:rPr>
          <w:rFonts w:ascii="SimSun" w:hAnsi="SimSun" w:eastAsia="SimSun" w:cs="SimSun"/>
          <w:sz w:val="24"/>
          <w:szCs w:val="24"/>
          <w:spacing w:val="-3"/>
        </w:rPr>
        <w:t>槽</w:t>
      </w:r>
      <w:r>
        <w:rPr>
          <w:rFonts w:ascii="SimSun" w:hAnsi="SimSun" w:eastAsia="SimSun" w:cs="SimSun"/>
          <w:sz w:val="24"/>
          <w:szCs w:val="24"/>
          <w:spacing w:val="-10"/>
        </w:rPr>
        <w:t>）（</w:t>
      </w:r>
      <w:r>
        <w:rPr>
          <w:rFonts w:ascii="SimSun" w:hAnsi="SimSun" w:eastAsia="SimSun" w:cs="SimSun"/>
          <w:sz w:val="24"/>
          <w:szCs w:val="24"/>
          <w:spacing w:val="-3"/>
        </w:rPr>
        <w:t>逆流洗涤</w:t>
      </w:r>
      <w:r>
        <w:rPr>
          <w:rFonts w:ascii="SimSun" w:hAnsi="SimSun" w:eastAsia="SimSun" w:cs="SimSun"/>
          <w:sz w:val="24"/>
          <w:szCs w:val="24"/>
          <w:spacing w:val="-10"/>
        </w:rPr>
        <w:t>），</w:t>
      </w:r>
      <w:r>
        <w:rPr>
          <w:rFonts w:ascii="SimSun" w:hAnsi="SimSun" w:eastAsia="SimSun" w:cs="SimSun"/>
          <w:sz w:val="24"/>
          <w:szCs w:val="24"/>
          <w:spacing w:val="-3"/>
        </w:rPr>
        <w:t>三级清洗（</w:t>
      </w: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3"/>
        </w:rPr>
        <w:t>号、</w:t>
      </w:r>
      <w:r>
        <w:rPr>
          <w:rFonts w:ascii="Times New Roman" w:hAnsi="Times New Roman" w:eastAsia="Times New Roman" w:cs="Times New Roman"/>
          <w:sz w:val="24"/>
          <w:szCs w:val="24"/>
          <w:spacing w:val="-3"/>
        </w:rPr>
        <w:t>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w:t>
      </w:r>
      <w:r>
        <w:rPr>
          <w:rFonts w:ascii="Times New Roman" w:hAnsi="Times New Roman" w:eastAsia="Times New Roman" w:cs="Times New Roman"/>
          <w:sz w:val="24"/>
          <w:szCs w:val="24"/>
          <w:spacing w:val="-3"/>
        </w:rPr>
        <w:t>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号水槽</w:t>
      </w:r>
      <w:r>
        <w:rPr>
          <w:rFonts w:ascii="SimSun" w:hAnsi="SimSun" w:eastAsia="SimSun" w:cs="SimSun"/>
          <w:sz w:val="24"/>
          <w:szCs w:val="24"/>
          <w:spacing w:val="-10"/>
        </w:rPr>
        <w:t>）（</w:t>
      </w:r>
      <w:r>
        <w:rPr>
          <w:rFonts w:ascii="SimSun" w:hAnsi="SimSun" w:eastAsia="SimSun" w:cs="SimSun"/>
          <w:sz w:val="24"/>
          <w:szCs w:val="24"/>
          <w:spacing w:val="-3"/>
        </w:rPr>
        <w:t>逆流清洗</w:t>
      </w:r>
      <w:r>
        <w:rPr>
          <w:rFonts w:ascii="SimSun" w:hAnsi="SimSun" w:eastAsia="SimSun" w:cs="SimSun"/>
          <w:sz w:val="24"/>
          <w:szCs w:val="24"/>
          <w:spacing w:val="-10"/>
        </w:rPr>
        <w:t>），</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号、</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w:t>
      </w:r>
      <w:r>
        <w:rPr>
          <w:rFonts w:ascii="SimSun" w:hAnsi="SimSun" w:eastAsia="SimSun" w:cs="SimSun"/>
          <w:sz w:val="24"/>
          <w:szCs w:val="24"/>
        </w:rPr>
        <w:t xml:space="preserve"> </w:t>
      </w:r>
      <w:r>
        <w:rPr>
          <w:rFonts w:ascii="SimSun" w:hAnsi="SimSun" w:eastAsia="SimSun" w:cs="SimSun"/>
          <w:sz w:val="24"/>
          <w:szCs w:val="24"/>
          <w:spacing w:val="2"/>
        </w:rPr>
        <w:t>水槽用水为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5</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2"/>
        </w:rPr>
        <w:t>号、</w:t>
      </w:r>
      <w:r>
        <w:rPr>
          <w:rFonts w:ascii="Times New Roman" w:hAnsi="Times New Roman" w:eastAsia="Times New Roman" w:cs="Times New Roman"/>
          <w:sz w:val="24"/>
          <w:szCs w:val="24"/>
          <w:spacing w:val="2"/>
        </w:rPr>
        <w:t>6</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2"/>
        </w:rPr>
        <w:t>号补水，</w:t>
      </w: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2"/>
        </w:rPr>
        <w:t>号水槽用水来自</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2"/>
        </w:rPr>
        <w:t>号水槽和烘干机蒸汽冷凝</w:t>
      </w:r>
      <w:r>
        <w:rPr>
          <w:rFonts w:ascii="SimSun" w:hAnsi="SimSun" w:eastAsia="SimSun" w:cs="SimSun"/>
          <w:sz w:val="24"/>
          <w:szCs w:val="24"/>
          <w:spacing w:val="1"/>
        </w:rPr>
        <w:t>水，</w:t>
      </w:r>
      <w:r>
        <w:rPr>
          <w:rFonts w:ascii="Times New Roman" w:hAnsi="Times New Roman" w:eastAsia="Times New Roman" w:cs="Times New Roman"/>
          <w:sz w:val="24"/>
          <w:szCs w:val="24"/>
          <w:spacing w:val="1"/>
        </w:rPr>
        <w:t>4</w:t>
      </w:r>
      <w:r>
        <w:rPr>
          <w:rFonts w:ascii="Times New Roman" w:hAnsi="Times New Roman" w:eastAsia="Times New Roman" w:cs="Times New Roman"/>
          <w:sz w:val="24"/>
          <w:szCs w:val="24"/>
        </w:rPr>
        <w:t xml:space="preserve"> </w:t>
      </w:r>
      <w:r>
        <w:rPr>
          <w:rFonts w:ascii="SimSun" w:hAnsi="SimSun" w:eastAsia="SimSun" w:cs="SimSun"/>
          <w:sz w:val="24"/>
          <w:szCs w:val="24"/>
          <w:spacing w:val="-3"/>
        </w:rPr>
        <w:t>号水槽用水为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w:t>
      </w:r>
      <w:r>
        <w:rPr>
          <w:rFonts w:ascii="Times New Roman" w:hAnsi="Times New Roman" w:eastAsia="Times New Roman" w:cs="Times New Roman"/>
          <w:sz w:val="24"/>
          <w:szCs w:val="24"/>
          <w:spacing w:val="-3"/>
        </w:rPr>
        <w:t>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号补水和部分新鲜水，</w:t>
      </w:r>
      <w:r>
        <w:rPr>
          <w:rFonts w:ascii="Times New Roman" w:hAnsi="Times New Roman" w:eastAsia="Times New Roman" w:cs="Times New Roman"/>
          <w:sz w:val="24"/>
          <w:szCs w:val="24"/>
          <w:spacing w:val="-3"/>
        </w:rPr>
        <w:t>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w:t>
      </w:r>
      <w:r>
        <w:rPr>
          <w:rFonts w:ascii="Times New Roman" w:hAnsi="Times New Roman" w:eastAsia="Times New Roman" w:cs="Times New Roman"/>
          <w:sz w:val="24"/>
          <w:szCs w:val="24"/>
          <w:spacing w:val="-3"/>
        </w:rPr>
        <w:t>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号水槽补充新鲜水。</w:t>
      </w:r>
    </w:p>
    <w:p>
      <w:pPr>
        <w:ind w:left="8" w:right="77" w:firstLine="481"/>
        <w:spacing w:line="359" w:lineRule="auto"/>
        <w:jc w:val="both"/>
        <w:rPr>
          <w:rFonts w:ascii="SimSun" w:hAnsi="SimSun" w:eastAsia="SimSun" w:cs="SimSun"/>
          <w:sz w:val="24"/>
          <w:szCs w:val="24"/>
        </w:rPr>
      </w:pPr>
      <w:r>
        <w:rPr>
          <w:rFonts w:ascii="SimSun" w:hAnsi="SimSun" w:eastAsia="SimSun" w:cs="SimSun"/>
          <w:sz w:val="24"/>
          <w:szCs w:val="24"/>
          <w:spacing w:val="-1"/>
        </w:rPr>
        <w:t>根据《内蒙古自治区地方标准 行业用水定额》（</w:t>
      </w:r>
      <w:r>
        <w:rPr>
          <w:rFonts w:ascii="Times New Roman" w:hAnsi="Times New Roman" w:eastAsia="Times New Roman" w:cs="Times New Roman"/>
          <w:sz w:val="24"/>
          <w:szCs w:val="24"/>
          <w:spacing w:val="-1"/>
        </w:rPr>
        <w:t>DB15/T385-</w:t>
      </w:r>
      <w:r>
        <w:rPr>
          <w:rFonts w:ascii="Times New Roman" w:hAnsi="Times New Roman" w:eastAsia="Times New Roman" w:cs="Times New Roman"/>
          <w:sz w:val="24"/>
          <w:szCs w:val="24"/>
          <w:spacing w:val="-2"/>
        </w:rPr>
        <w:t>2020</w:t>
      </w:r>
      <w:r>
        <w:rPr>
          <w:rFonts w:ascii="SimSun" w:hAnsi="SimSun" w:eastAsia="SimSun" w:cs="SimSun"/>
          <w:sz w:val="24"/>
          <w:szCs w:val="24"/>
          <w:spacing w:val="-4"/>
        </w:rPr>
        <w:t>），</w:t>
      </w:r>
      <w:r>
        <w:rPr>
          <w:rFonts w:ascii="SimSun" w:hAnsi="SimSun" w:eastAsia="SimSun" w:cs="SimSun"/>
          <w:sz w:val="24"/>
          <w:szCs w:val="24"/>
          <w:spacing w:val="-2"/>
        </w:rPr>
        <w:t>洗净毛</w:t>
      </w:r>
      <w:r>
        <w:rPr>
          <w:rFonts w:ascii="SimSun" w:hAnsi="SimSun" w:eastAsia="SimSun" w:cs="SimSun"/>
          <w:sz w:val="24"/>
          <w:szCs w:val="24"/>
        </w:rPr>
        <w:t xml:space="preserve"> </w:t>
      </w:r>
      <w:r>
        <w:rPr>
          <w:rFonts w:ascii="SimSun" w:hAnsi="SimSun" w:eastAsia="SimSun" w:cs="SimSun"/>
          <w:sz w:val="24"/>
          <w:szCs w:val="24"/>
          <w:spacing w:val="-3"/>
        </w:rPr>
        <w:t>用水定额为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16m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24"/>
          <w:szCs w:val="24"/>
          <w:spacing w:val="-3"/>
        </w:rPr>
        <w:t>/t</w:t>
      </w:r>
      <w:r>
        <w:rPr>
          <w:rFonts w:ascii="SimSun" w:hAnsi="SimSun" w:eastAsia="SimSun" w:cs="SimSun"/>
          <w:sz w:val="24"/>
          <w:szCs w:val="24"/>
          <w:spacing w:val="-3"/>
        </w:rPr>
        <w:t>（原毛</w:t>
      </w:r>
      <w:r>
        <w:rPr>
          <w:rFonts w:ascii="SimSun" w:hAnsi="SimSun" w:eastAsia="SimSun" w:cs="SimSun"/>
          <w:sz w:val="24"/>
          <w:szCs w:val="24"/>
          <w:spacing w:val="-19"/>
        </w:rPr>
        <w:t>）；</w:t>
      </w:r>
      <w:r>
        <w:rPr>
          <w:rFonts w:ascii="SimSun" w:hAnsi="SimSun" w:eastAsia="SimSun" w:cs="SimSun"/>
          <w:sz w:val="24"/>
          <w:szCs w:val="24"/>
          <w:spacing w:val="-3"/>
        </w:rPr>
        <w:t>本项目洗槽水逆流补水，底部安装循环水自动排污装</w:t>
      </w:r>
      <w:r>
        <w:rPr>
          <w:rFonts w:ascii="SimSun" w:hAnsi="SimSun" w:eastAsia="SimSun" w:cs="SimSun"/>
          <w:sz w:val="24"/>
          <w:szCs w:val="24"/>
        </w:rPr>
        <w:t xml:space="preserve"> </w:t>
      </w:r>
      <w:r>
        <w:rPr>
          <w:rFonts w:ascii="SimSun" w:hAnsi="SimSun" w:eastAsia="SimSun" w:cs="SimSun"/>
          <w:sz w:val="24"/>
          <w:szCs w:val="24"/>
          <w:spacing w:val="-2"/>
        </w:rPr>
        <w:t>置，只有</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w:t>
      </w:r>
      <w:r>
        <w:rPr>
          <w:rFonts w:ascii="Times New Roman" w:hAnsi="Times New Roman" w:eastAsia="Times New Roman" w:cs="Times New Roman"/>
          <w:sz w:val="24"/>
          <w:szCs w:val="24"/>
          <w:spacing w:val="-2"/>
        </w:rPr>
        <w:t>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号补充新鲜水，</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号补充部分新鲜水。</w:t>
      </w:r>
      <w:r>
        <w:rPr>
          <w:rFonts w:ascii="SimSun" w:hAnsi="SimSun" w:eastAsia="SimSun" w:cs="SimSun"/>
          <w:sz w:val="24"/>
          <w:szCs w:val="24"/>
          <w:spacing w:val="-3"/>
        </w:rPr>
        <w:t>根据建设单位提供的设计</w:t>
      </w:r>
      <w:r>
        <w:rPr>
          <w:rFonts w:ascii="SimSun" w:hAnsi="SimSun" w:eastAsia="SimSun" w:cs="SimSun"/>
          <w:sz w:val="24"/>
          <w:szCs w:val="24"/>
        </w:rPr>
        <w:t xml:space="preserve"> </w:t>
      </w:r>
      <w:r>
        <w:rPr>
          <w:rFonts w:ascii="SimSun" w:hAnsi="SimSun" w:eastAsia="SimSun" w:cs="SimSun"/>
          <w:sz w:val="24"/>
          <w:szCs w:val="24"/>
          <w:spacing w:val="1"/>
        </w:rPr>
        <w:t>资料，新水用量为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2.75m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/t-</w:t>
      </w:r>
      <w:r>
        <w:rPr>
          <w:rFonts w:ascii="SimSun" w:hAnsi="SimSun" w:eastAsia="SimSun" w:cs="SimSun"/>
          <w:sz w:val="24"/>
          <w:szCs w:val="24"/>
          <w:spacing w:val="1"/>
        </w:rPr>
        <w:t>洗净毛，每天新水补水量为</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165m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r>
        <w:rPr>
          <w:rFonts w:ascii="Times New Roman" w:hAnsi="Times New Roman" w:eastAsia="Times New Roman" w:cs="Times New Roman"/>
          <w:sz w:val="24"/>
          <w:szCs w:val="24"/>
          <w:spacing w:val="1"/>
        </w:rPr>
        <w:t>49500m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/a</w:t>
      </w:r>
      <w:r>
        <w:rPr>
          <w:rFonts w:ascii="SimSun" w:hAnsi="SimSun" w:eastAsia="SimSun" w:cs="SimSun"/>
          <w:sz w:val="24"/>
          <w:szCs w:val="24"/>
          <w:spacing w:val="15"/>
        </w:rPr>
        <w:t>），</w:t>
      </w:r>
      <w:r>
        <w:rPr>
          <w:rFonts w:ascii="SimSun" w:hAnsi="SimSun" w:eastAsia="SimSun" w:cs="SimSun"/>
          <w:sz w:val="24"/>
          <w:szCs w:val="24"/>
        </w:rPr>
        <w:t xml:space="preserve"> </w:t>
      </w:r>
      <w:r>
        <w:rPr>
          <w:rFonts w:ascii="SimSun" w:hAnsi="SimSun" w:eastAsia="SimSun" w:cs="SimSun"/>
          <w:sz w:val="24"/>
          <w:szCs w:val="24"/>
          <w:spacing w:val="7"/>
        </w:rPr>
        <w:t>其</w:t>
      </w:r>
      <w:r>
        <w:rPr>
          <w:rFonts w:ascii="SimSun" w:hAnsi="SimSun" w:eastAsia="SimSun" w:cs="SimSun"/>
          <w:sz w:val="24"/>
          <w:szCs w:val="24"/>
          <w:spacing w:val="-52"/>
        </w:rPr>
        <w:t xml:space="preserve"> </w:t>
      </w:r>
      <w:r>
        <w:rPr>
          <w:rFonts w:ascii="SimSun" w:hAnsi="SimSun" w:eastAsia="SimSun" w:cs="SimSun"/>
          <w:sz w:val="24"/>
          <w:szCs w:val="24"/>
          <w:spacing w:val="7"/>
        </w:rPr>
        <w:t>中蒸汽冷凝</w:t>
      </w:r>
      <w:r>
        <w:rPr>
          <w:rFonts w:ascii="SimSun" w:hAnsi="SimSun" w:eastAsia="SimSun" w:cs="SimSun"/>
          <w:sz w:val="24"/>
          <w:szCs w:val="24"/>
          <w:spacing w:val="-71"/>
        </w:rPr>
        <w:t xml:space="preserve"> </w:t>
      </w:r>
      <w:r>
        <w:rPr>
          <w:rFonts w:ascii="SimSun" w:hAnsi="SimSun" w:eastAsia="SimSun" w:cs="SimSun"/>
          <w:sz w:val="24"/>
          <w:szCs w:val="24"/>
          <w:spacing w:val="7"/>
        </w:rPr>
        <w:t>水可补水量</w:t>
      </w:r>
      <w:r>
        <w:rPr>
          <w:rFonts w:ascii="SimSun" w:hAnsi="SimSun" w:eastAsia="SimSun" w:cs="SimSun"/>
          <w:sz w:val="24"/>
          <w:szCs w:val="24"/>
          <w:spacing w:val="-72"/>
        </w:rPr>
        <w:t xml:space="preserve"> </w:t>
      </w:r>
      <w:r>
        <w:rPr>
          <w:rFonts w:ascii="SimSun" w:hAnsi="SimSun" w:eastAsia="SimSun" w:cs="SimSun"/>
          <w:sz w:val="24"/>
          <w:szCs w:val="24"/>
          <w:spacing w:val="7"/>
        </w:rPr>
        <w:t>为 </w:t>
      </w:r>
      <w:r>
        <w:rPr>
          <w:rFonts w:ascii="Times New Roman" w:hAnsi="Times New Roman" w:eastAsia="Times New Roman" w:cs="Times New Roman"/>
          <w:sz w:val="24"/>
          <w:szCs w:val="24"/>
          <w:spacing w:val="7"/>
        </w:rPr>
        <w:t>108m</w:t>
      </w:r>
      <w:r>
        <w:rPr>
          <w:rFonts w:ascii="Times New Roman" w:hAnsi="Times New Roman" w:eastAsia="Times New Roman" w:cs="Times New Roman"/>
          <w:sz w:val="15"/>
          <w:szCs w:val="15"/>
          <w:spacing w:val="7"/>
          <w:position w:val="7"/>
        </w:rPr>
        <w:t>3</w:t>
      </w:r>
      <w:r>
        <w:rPr>
          <w:rFonts w:ascii="Times New Roman" w:hAnsi="Times New Roman" w:eastAsia="Times New Roman" w:cs="Times New Roman"/>
          <w:sz w:val="24"/>
          <w:szCs w:val="24"/>
          <w:spacing w:val="7"/>
        </w:rPr>
        <w:t>/d</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7"/>
        </w:rPr>
        <w:t>（</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7"/>
        </w:rPr>
        <w:t>32400m</w:t>
      </w:r>
      <w:r>
        <w:rPr>
          <w:rFonts w:ascii="Times New Roman" w:hAnsi="Times New Roman" w:eastAsia="Times New Roman" w:cs="Times New Roman"/>
          <w:sz w:val="15"/>
          <w:szCs w:val="15"/>
          <w:spacing w:val="7"/>
          <w:position w:val="7"/>
        </w:rPr>
        <w:t>3</w:t>
      </w:r>
      <w:r>
        <w:rPr>
          <w:rFonts w:ascii="Times New Roman" w:hAnsi="Times New Roman" w:eastAsia="Times New Roman" w:cs="Times New Roman"/>
          <w:sz w:val="24"/>
          <w:szCs w:val="24"/>
          <w:spacing w:val="7"/>
        </w:rPr>
        <w:t>/a </w:t>
      </w:r>
      <w:r>
        <w:rPr>
          <w:rFonts w:ascii="SimSun" w:hAnsi="SimSun" w:eastAsia="SimSun" w:cs="SimSun"/>
          <w:sz w:val="24"/>
          <w:szCs w:val="24"/>
          <w:spacing w:val="-10"/>
        </w:rPr>
        <w:t>）</w:t>
      </w:r>
      <w:r>
        <w:rPr>
          <w:rFonts w:ascii="SimSun" w:hAnsi="SimSun" w:eastAsia="SimSun" w:cs="SimSun"/>
          <w:sz w:val="24"/>
          <w:szCs w:val="24"/>
          <w:spacing w:val="-55"/>
        </w:rPr>
        <w:t xml:space="preserve"> </w:t>
      </w:r>
      <w:r>
        <w:rPr>
          <w:rFonts w:ascii="SimSun" w:hAnsi="SimSun" w:eastAsia="SimSun" w:cs="SimSun"/>
          <w:sz w:val="24"/>
          <w:szCs w:val="24"/>
          <w:spacing w:val="-10"/>
        </w:rPr>
        <w:t>，</w:t>
      </w:r>
      <w:r>
        <w:rPr>
          <w:rFonts w:ascii="SimSun" w:hAnsi="SimSun" w:eastAsia="SimSun" w:cs="SimSun"/>
          <w:sz w:val="24"/>
          <w:szCs w:val="24"/>
          <w:spacing w:val="7"/>
        </w:rPr>
        <w:t>新鲜水用量为 </w:t>
      </w:r>
      <w:r>
        <w:rPr>
          <w:rFonts w:ascii="Times New Roman" w:hAnsi="Times New Roman" w:eastAsia="Times New Roman" w:cs="Times New Roman"/>
          <w:sz w:val="24"/>
          <w:szCs w:val="24"/>
          <w:spacing w:val="6"/>
        </w:rPr>
        <w:t>57m</w:t>
      </w:r>
      <w:r>
        <w:rPr>
          <w:rFonts w:ascii="Times New Roman" w:hAnsi="Times New Roman" w:eastAsia="Times New Roman" w:cs="Times New Roman"/>
          <w:sz w:val="15"/>
          <w:szCs w:val="15"/>
          <w:spacing w:val="6"/>
          <w:position w:val="7"/>
        </w:rPr>
        <w:t>3</w:t>
      </w:r>
      <w:r>
        <w:rPr>
          <w:rFonts w:ascii="Times New Roman" w:hAnsi="Times New Roman" w:eastAsia="Times New Roman" w:cs="Times New Roman"/>
          <w:sz w:val="24"/>
          <w:szCs w:val="24"/>
          <w:spacing w:val="6"/>
        </w:rPr>
        <w:t>/d</w:t>
      </w:r>
      <w:r>
        <w:rPr>
          <w:rFonts w:ascii="Times New Roman" w:hAnsi="Times New Roman" w:eastAsia="Times New Roman" w:cs="Times New Roman"/>
          <w:sz w:val="24"/>
          <w:szCs w:val="2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17100m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/a</w:t>
      </w:r>
      <w:r>
        <w:rPr>
          <w:rFonts w:ascii="SimSun" w:hAnsi="SimSun" w:eastAsia="SimSun" w:cs="SimSun"/>
          <w:sz w:val="24"/>
          <w:szCs w:val="24"/>
          <w:spacing w:val="-1"/>
        </w:rPr>
        <w:t>）。</w:t>
      </w:r>
    </w:p>
    <w:p>
      <w:pPr>
        <w:spacing w:before="1" w:line="218" w:lineRule="auto"/>
        <w:jc w:val="right"/>
        <w:rPr>
          <w:rFonts w:ascii="SimSun" w:hAnsi="SimSun" w:eastAsia="SimSun" w:cs="SimSun"/>
          <w:sz w:val="24"/>
          <w:szCs w:val="24"/>
        </w:rPr>
      </w:pPr>
      <w:r>
        <w:rPr>
          <w:rFonts w:ascii="SimSun" w:hAnsi="SimSun" w:eastAsia="SimSun" w:cs="SimSun"/>
          <w:sz w:val="24"/>
          <w:szCs w:val="24"/>
          <w:spacing w:val="-7"/>
        </w:rPr>
        <w:t>梳绒车间加湿用水采用纯水，由锅炉房纯水制备系统提供，纯水用量为</w:t>
      </w:r>
      <w:r>
        <w:rPr>
          <w:rFonts w:ascii="SimSun" w:hAnsi="SimSun" w:eastAsia="SimSun" w:cs="SimSun"/>
          <w:sz w:val="24"/>
          <w:szCs w:val="24"/>
          <w:spacing w:val="-16"/>
        </w:rPr>
        <w:t xml:space="preserve"> </w:t>
      </w:r>
      <w:r>
        <w:rPr>
          <w:rFonts w:ascii="Times New Roman" w:hAnsi="Times New Roman" w:eastAsia="Times New Roman" w:cs="Times New Roman"/>
          <w:sz w:val="24"/>
          <w:szCs w:val="24"/>
          <w:spacing w:val="-7"/>
        </w:rPr>
        <w:t>1m</w:t>
      </w:r>
      <w:r>
        <w:rPr>
          <w:rFonts w:ascii="Times New Roman" w:hAnsi="Times New Roman" w:eastAsia="Times New Roman" w:cs="Times New Roman"/>
          <w:sz w:val="15"/>
          <w:szCs w:val="15"/>
          <w:spacing w:val="-7"/>
          <w:position w:val="8"/>
        </w:rPr>
        <w:t>3</w:t>
      </w:r>
      <w:r>
        <w:rPr>
          <w:rFonts w:ascii="Times New Roman" w:hAnsi="Times New Roman" w:eastAsia="Times New Roman" w:cs="Times New Roman"/>
          <w:sz w:val="24"/>
          <w:szCs w:val="24"/>
          <w:spacing w:val="-7"/>
        </w:rPr>
        <w:t>/d</w:t>
      </w:r>
      <w:r>
        <w:rPr>
          <w:rFonts w:ascii="SimSun" w:hAnsi="SimSun" w:eastAsia="SimSun" w:cs="SimSun"/>
          <w:sz w:val="24"/>
          <w:szCs w:val="24"/>
          <w:spacing w:val="-7"/>
        </w:rPr>
        <w:t>。</w:t>
      </w:r>
    </w:p>
    <w:p>
      <w:pPr>
        <w:ind w:left="501"/>
        <w:spacing w:before="182"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）锅炉给水系统</w:t>
      </w:r>
    </w:p>
    <w:p>
      <w:pPr>
        <w:ind w:left="489"/>
        <w:spacing w:before="183" w:line="219" w:lineRule="auto"/>
        <w:rPr>
          <w:rFonts w:ascii="SimSun" w:hAnsi="SimSun" w:eastAsia="SimSun" w:cs="SimSun"/>
          <w:sz w:val="24"/>
          <w:szCs w:val="24"/>
        </w:rPr>
      </w:pPr>
      <w:r>
        <w:rPr>
          <w:rFonts w:ascii="SimSun" w:hAnsi="SimSun" w:eastAsia="SimSun" w:cs="SimSun"/>
          <w:sz w:val="24"/>
          <w:szCs w:val="24"/>
          <w:spacing w:val="-1"/>
        </w:rPr>
        <w:t>锅炉用水全部来锅炉房纯水制备装置纯水。</w:t>
      </w:r>
    </w:p>
    <w:p>
      <w:pPr>
        <w:ind w:left="8" w:right="80" w:firstLine="480"/>
        <w:spacing w:before="183" w:line="360" w:lineRule="auto"/>
        <w:rPr>
          <w:rFonts w:ascii="SimSun" w:hAnsi="SimSun" w:eastAsia="SimSun" w:cs="SimSun"/>
          <w:sz w:val="24"/>
          <w:szCs w:val="24"/>
        </w:rPr>
      </w:pPr>
      <w:r>
        <w:rPr>
          <w:rFonts w:ascii="SimSun" w:hAnsi="SimSun" w:eastAsia="SimSun" w:cs="SimSun"/>
          <w:sz w:val="24"/>
          <w:szCs w:val="24"/>
          <w:spacing w:val="-1"/>
        </w:rPr>
        <w:t>锅炉房配置了</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套反渗透纯水制备装置，设计处理能力为</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
        </w:rPr>
        <w:t>10m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/h</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1"/>
        </w:rPr>
        <w:t>。其工艺流</w:t>
      </w:r>
      <w:r>
        <w:rPr>
          <w:rFonts w:ascii="SimSun" w:hAnsi="SimSun" w:eastAsia="SimSun" w:cs="SimSun"/>
          <w:sz w:val="24"/>
          <w:szCs w:val="24"/>
        </w:rPr>
        <w:t xml:space="preserve"> </w:t>
      </w:r>
      <w:r>
        <w:rPr>
          <w:rFonts w:ascii="SimSun" w:hAnsi="SimSun" w:eastAsia="SimSun" w:cs="SimSun"/>
          <w:sz w:val="24"/>
          <w:szCs w:val="24"/>
          <w:spacing w:val="-3"/>
        </w:rPr>
        <w:t>程为：原水箱</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3"/>
        </w:rPr>
        <w:t>原水泵</w:t>
      </w:r>
      <w:r>
        <w:rPr>
          <w:rFonts w:ascii="Times New Roman" w:hAnsi="Times New Roman" w:eastAsia="Times New Roman" w:cs="Times New Roman"/>
          <w:sz w:val="24"/>
          <w:szCs w:val="24"/>
          <w:spacing w:val="-3"/>
        </w:rPr>
        <w:t>→</w:t>
      </w:r>
      <w:r>
        <w:rPr>
          <w:rFonts w:ascii="SimSun" w:hAnsi="SimSun" w:eastAsia="SimSun" w:cs="SimSun"/>
          <w:sz w:val="24"/>
          <w:szCs w:val="24"/>
          <w:spacing w:val="-3"/>
        </w:rPr>
        <w:t>机械过滤</w:t>
      </w:r>
      <w:r>
        <w:rPr>
          <w:rFonts w:ascii="Times New Roman" w:hAnsi="Times New Roman" w:eastAsia="Times New Roman" w:cs="Times New Roman"/>
          <w:sz w:val="24"/>
          <w:szCs w:val="24"/>
          <w:spacing w:val="-3"/>
        </w:rPr>
        <w:t>→</w:t>
      </w:r>
      <w:r>
        <w:rPr>
          <w:rFonts w:ascii="SimSun" w:hAnsi="SimSun" w:eastAsia="SimSun" w:cs="SimSun"/>
          <w:sz w:val="24"/>
          <w:szCs w:val="24"/>
          <w:spacing w:val="-3"/>
        </w:rPr>
        <w:t>精密过滤</w:t>
      </w:r>
      <w:r>
        <w:rPr>
          <w:rFonts w:ascii="Times New Roman" w:hAnsi="Times New Roman" w:eastAsia="Times New Roman" w:cs="Times New Roman"/>
          <w:sz w:val="24"/>
          <w:szCs w:val="24"/>
          <w:spacing w:val="-3"/>
        </w:rPr>
        <w:t>→RO</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高压泵</w:t>
      </w:r>
      <w:r>
        <w:rPr>
          <w:rFonts w:ascii="Times New Roman" w:hAnsi="Times New Roman" w:eastAsia="Times New Roman" w:cs="Times New Roman"/>
          <w:sz w:val="24"/>
          <w:szCs w:val="24"/>
          <w:spacing w:val="-3"/>
        </w:rPr>
        <w:t>→</w:t>
      </w:r>
      <w:r>
        <w:rPr>
          <w:rFonts w:ascii="SimSun" w:hAnsi="SimSun" w:eastAsia="SimSun" w:cs="SimSun"/>
          <w:sz w:val="24"/>
          <w:szCs w:val="24"/>
          <w:spacing w:val="-3"/>
        </w:rPr>
        <w:t>反渗透装置</w:t>
      </w:r>
      <w:r>
        <w:rPr>
          <w:rFonts w:ascii="Times New Roman" w:hAnsi="Times New Roman" w:eastAsia="Times New Roman" w:cs="Times New Roman"/>
          <w:sz w:val="24"/>
          <w:szCs w:val="24"/>
          <w:spacing w:val="-3"/>
        </w:rPr>
        <w:t>→</w:t>
      </w:r>
      <w:r>
        <w:rPr>
          <w:rFonts w:ascii="SimSun" w:hAnsi="SimSun" w:eastAsia="SimSun" w:cs="SimSun"/>
          <w:sz w:val="24"/>
          <w:szCs w:val="24"/>
          <w:spacing w:val="-3"/>
        </w:rPr>
        <w:t>纯水水</w:t>
      </w:r>
    </w:p>
    <w:p>
      <w:pPr>
        <w:ind w:left="7"/>
        <w:spacing w:before="211" w:line="227" w:lineRule="auto"/>
        <w:rPr>
          <w:rFonts w:ascii="SimSun" w:hAnsi="SimSun" w:eastAsia="SimSun" w:cs="SimSun"/>
          <w:sz w:val="19"/>
          <w:szCs w:val="19"/>
        </w:rPr>
      </w:pPr>
      <w:r>
        <w:pict>
          <v:shape id="_x0000_s332" style="position:absolute;margin-left:159.33pt;margin-top:9.5572pt;mso-position-vertical-relative:text;mso-position-horizontal-relative:text;width:58.85pt;height:13.75pt;z-index:251808768;"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28"/>
                    </w:rPr>
                    <w:t xml:space="preserve">   </w:t>
                  </w:r>
                  <w:r>
                    <w:rPr>
                      <w:rFonts w:ascii="Times New Roman" w:hAnsi="Times New Roman" w:eastAsia="Times New Roman" w:cs="Times New Roman"/>
                      <w:sz w:val="18"/>
                      <w:szCs w:val="18"/>
                      <w:spacing w:val="3"/>
                      <w:position w:val="2"/>
                    </w:rPr>
                    <w:t>65</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1"/>
          <w:pgSz w:w="11907" w:h="16840"/>
          <w:pgMar w:top="1567" w:right="1621" w:bottom="400" w:left="1701" w:header="1221" w:footer="0" w:gutter="0"/>
        </w:sectPr>
        <w:rPr>
          <w:rFonts w:ascii="SimSun" w:hAnsi="SimSun" w:eastAsia="SimSun" w:cs="SimSun"/>
          <w:sz w:val="19"/>
          <w:szCs w:val="19"/>
        </w:rPr>
      </w:pPr>
    </w:p>
    <w:p>
      <w:pPr>
        <w:ind w:left="11"/>
        <w:spacing w:before="169" w:line="219" w:lineRule="auto"/>
        <w:rPr>
          <w:rFonts w:ascii="SimSun" w:hAnsi="SimSun" w:eastAsia="SimSun" w:cs="SimSun"/>
          <w:sz w:val="24"/>
          <w:szCs w:val="24"/>
        </w:rPr>
      </w:pPr>
      <w:r>
        <w:pict>
          <v:shape id="_x0000_s334" style="position:absolute;margin-left:85.05pt;margin-top:78.87pt;mso-position-vertical-relative:page;mso-position-horizontal-relative:page;width:425.25pt;height:0.75pt;z-index:251811840;" o:allowincell="f" fillcolor="#000000" filled="true" stroked="false" coordsize="8505,15" coordorigin="0,0" path="m,l8505,0l8505,14l0,14l0,0xe"/>
        </w:pict>
      </w:r>
      <w:r>
        <w:rPr>
          <w:rFonts w:ascii="SimSun" w:hAnsi="SimSun" w:eastAsia="SimSun" w:cs="SimSun"/>
          <w:sz w:val="24"/>
          <w:szCs w:val="24"/>
          <w:spacing w:val="-1"/>
        </w:rPr>
        <w:t>箱</w:t>
      </w:r>
      <w:r>
        <w:rPr>
          <w:rFonts w:ascii="Times New Roman" w:hAnsi="Times New Roman" w:eastAsia="Times New Roman" w:cs="Times New Roman"/>
          <w:sz w:val="24"/>
          <w:szCs w:val="24"/>
          <w:spacing w:val="-1"/>
        </w:rPr>
        <w:t>→</w:t>
      </w:r>
      <w:r>
        <w:rPr>
          <w:rFonts w:ascii="SimSun" w:hAnsi="SimSun" w:eastAsia="SimSun" w:cs="SimSun"/>
          <w:sz w:val="24"/>
          <w:szCs w:val="24"/>
          <w:spacing w:val="-1"/>
        </w:rPr>
        <w:t>纯水泵</w:t>
      </w:r>
      <w:r>
        <w:rPr>
          <w:rFonts w:ascii="Times New Roman" w:hAnsi="Times New Roman" w:eastAsia="Times New Roman" w:cs="Times New Roman"/>
          <w:sz w:val="24"/>
          <w:szCs w:val="24"/>
          <w:spacing w:val="-1"/>
        </w:rPr>
        <w:t>→</w:t>
      </w:r>
      <w:r>
        <w:rPr>
          <w:rFonts w:ascii="SimSun" w:hAnsi="SimSun" w:eastAsia="SimSun" w:cs="SimSun"/>
          <w:sz w:val="24"/>
          <w:szCs w:val="24"/>
          <w:spacing w:val="-1"/>
        </w:rPr>
        <w:t>蒸汽锅炉和梳绒加湿。</w:t>
      </w:r>
    </w:p>
    <w:p>
      <w:pPr>
        <w:ind w:left="8" w:firstLine="481"/>
        <w:spacing w:before="182" w:line="359" w:lineRule="auto"/>
        <w:rPr>
          <w:rFonts w:ascii="SimSun" w:hAnsi="SimSun" w:eastAsia="SimSun" w:cs="SimSun"/>
          <w:sz w:val="24"/>
          <w:szCs w:val="24"/>
        </w:rPr>
      </w:pPr>
      <w:r>
        <w:rPr>
          <w:rFonts w:ascii="SimSun" w:hAnsi="SimSun" w:eastAsia="SimSun" w:cs="SimSun"/>
          <w:sz w:val="24"/>
          <w:szCs w:val="24"/>
          <w:spacing w:val="-2"/>
        </w:rPr>
        <w:t>本项目洗毛烘干工段采用锅炉蒸汽间接烘干，蒸汽由锅炉房</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28"/>
          <w:w w:val="101"/>
        </w:rPr>
        <w:t xml:space="preserve"> </w:t>
      </w:r>
      <w:r>
        <w:rPr>
          <w:rFonts w:ascii="SimSun" w:hAnsi="SimSun" w:eastAsia="SimSun" w:cs="SimSun"/>
          <w:sz w:val="24"/>
          <w:szCs w:val="24"/>
          <w:spacing w:val="-2"/>
        </w:rPr>
        <w:t>台锅炉提供，</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rPr>
        <w:t xml:space="preserve">  </w:t>
      </w:r>
      <w:r>
        <w:rPr>
          <w:rFonts w:ascii="SimSun" w:hAnsi="SimSun" w:eastAsia="SimSun" w:cs="SimSun"/>
          <w:sz w:val="24"/>
          <w:szCs w:val="24"/>
          <w:spacing w:val="-2"/>
        </w:rPr>
        <w:t>台锅炉串联，夏季温度较高，沼气产量高，优先使用</w:t>
      </w:r>
      <w:r>
        <w:rPr>
          <w:rFonts w:ascii="SimSun" w:hAnsi="SimSun" w:eastAsia="SimSun" w:cs="SimSun"/>
          <w:sz w:val="24"/>
          <w:szCs w:val="24"/>
          <w:spacing w:val="-3"/>
        </w:rPr>
        <w:t>沼气锅炉，生物质锅炉辅助，</w:t>
      </w:r>
      <w:r>
        <w:rPr>
          <w:rFonts w:ascii="SimSun" w:hAnsi="SimSun" w:eastAsia="SimSun" w:cs="SimSun"/>
          <w:sz w:val="24"/>
          <w:szCs w:val="24"/>
        </w:rPr>
        <w:t xml:space="preserve"> </w:t>
      </w:r>
      <w:r>
        <w:rPr>
          <w:rFonts w:ascii="SimSun" w:hAnsi="SimSun" w:eastAsia="SimSun" w:cs="SimSun"/>
          <w:sz w:val="24"/>
          <w:szCs w:val="24"/>
          <w:spacing w:val="4"/>
        </w:rPr>
        <w:t>冬季沼气锅炉蒸汽一部分用于厌氧发酵罐保温，车间</w:t>
      </w:r>
      <w:r>
        <w:rPr>
          <w:rFonts w:ascii="SimSun" w:hAnsi="SimSun" w:eastAsia="SimSun" w:cs="SimSun"/>
          <w:sz w:val="24"/>
          <w:szCs w:val="24"/>
          <w:spacing w:val="3"/>
        </w:rPr>
        <w:t>用蒸汽以生物质锅炉为主。</w:t>
      </w:r>
      <w:r>
        <w:rPr>
          <w:rFonts w:ascii="SimSun" w:hAnsi="SimSun" w:eastAsia="SimSun" w:cs="SimSun"/>
          <w:sz w:val="24"/>
          <w:szCs w:val="24"/>
        </w:rPr>
        <w:t xml:space="preserve"> </w:t>
      </w:r>
      <w:r>
        <w:rPr>
          <w:rFonts w:ascii="SimSun" w:hAnsi="SimSun" w:eastAsia="SimSun" w:cs="SimSun"/>
          <w:sz w:val="24"/>
          <w:szCs w:val="24"/>
          <w:spacing w:val="10"/>
        </w:rPr>
        <w:t>本项</w:t>
      </w:r>
      <w:r>
        <w:rPr>
          <w:rFonts w:ascii="SimSun" w:hAnsi="SimSun" w:eastAsia="SimSun" w:cs="SimSun"/>
          <w:sz w:val="24"/>
          <w:szCs w:val="24"/>
          <w:spacing w:val="-38"/>
        </w:rPr>
        <w:t xml:space="preserve"> </w:t>
      </w:r>
      <w:r>
        <w:rPr>
          <w:rFonts w:ascii="SimSun" w:hAnsi="SimSun" w:eastAsia="SimSun" w:cs="SimSun"/>
          <w:sz w:val="24"/>
          <w:szCs w:val="24"/>
          <w:spacing w:val="10"/>
        </w:rPr>
        <w:t>目两台锅炉同时运行（运行方式见</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10"/>
        </w:rPr>
        <w:t>3.4.4.2</w:t>
      </w:r>
      <w:r>
        <w:rPr>
          <w:rFonts w:ascii="SimSun" w:hAnsi="SimSun" w:eastAsia="SimSun" w:cs="SimSun"/>
          <w:sz w:val="24"/>
          <w:szCs w:val="24"/>
          <w:spacing w:val="11"/>
        </w:rPr>
        <w:t>）</w:t>
      </w:r>
      <w:r>
        <w:rPr>
          <w:rFonts w:ascii="SimSun" w:hAnsi="SimSun" w:eastAsia="SimSun" w:cs="SimSun"/>
          <w:sz w:val="24"/>
          <w:szCs w:val="24"/>
          <w:spacing w:val="-40"/>
        </w:rPr>
        <w:t xml:space="preserve"> </w:t>
      </w:r>
      <w:r>
        <w:rPr>
          <w:rFonts w:ascii="SimSun" w:hAnsi="SimSun" w:eastAsia="SimSun" w:cs="SimSun"/>
          <w:sz w:val="24"/>
          <w:szCs w:val="24"/>
          <w:spacing w:val="11"/>
        </w:rPr>
        <w:t>，</w:t>
      </w:r>
      <w:r>
        <w:rPr>
          <w:rFonts w:ascii="SimSun" w:hAnsi="SimSun" w:eastAsia="SimSun" w:cs="SimSun"/>
          <w:sz w:val="24"/>
          <w:szCs w:val="24"/>
          <w:spacing w:val="10"/>
        </w:rPr>
        <w:t>总蒸汽供应量为 </w:t>
      </w:r>
      <w:r>
        <w:rPr>
          <w:rFonts w:ascii="Times New Roman" w:hAnsi="Times New Roman" w:eastAsia="Times New Roman" w:cs="Times New Roman"/>
          <w:sz w:val="24"/>
          <w:szCs w:val="24"/>
          <w:spacing w:val="10"/>
        </w:rPr>
        <w:t>120m</w:t>
      </w:r>
      <w:r>
        <w:rPr>
          <w:rFonts w:ascii="Times New Roman" w:hAnsi="Times New Roman" w:eastAsia="Times New Roman" w:cs="Times New Roman"/>
          <w:sz w:val="15"/>
          <w:szCs w:val="15"/>
          <w:spacing w:val="10"/>
          <w:position w:val="8"/>
        </w:rPr>
        <w:t>3</w:t>
      </w:r>
      <w:r>
        <w:rPr>
          <w:rFonts w:ascii="Times New Roman" w:hAnsi="Times New Roman" w:eastAsia="Times New Roman" w:cs="Times New Roman"/>
          <w:sz w:val="24"/>
          <w:szCs w:val="24"/>
          <w:spacing w:val="10"/>
        </w:rPr>
        <w:t>/d</w:t>
      </w:r>
      <w:r>
        <w:rPr>
          <w:rFonts w:ascii="Times New Roman" w:hAnsi="Times New Roman" w:eastAsia="Times New Roman" w:cs="Times New Roman"/>
          <w:sz w:val="24"/>
          <w:szCs w:val="2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36000t/a</w:t>
      </w:r>
      <w:r>
        <w:rPr>
          <w:rFonts w:ascii="SimSun" w:hAnsi="SimSun" w:eastAsia="SimSun" w:cs="SimSun"/>
          <w:sz w:val="24"/>
          <w:szCs w:val="24"/>
          <w:spacing w:val="-2"/>
        </w:rPr>
        <w:t>）。锅炉排污水量按蒸汽供应量的</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w:t>
      </w:r>
      <w:r>
        <w:rPr>
          <w:rFonts w:ascii="SimSun" w:hAnsi="SimSun" w:eastAsia="SimSun" w:cs="SimSun"/>
          <w:sz w:val="24"/>
          <w:szCs w:val="24"/>
          <w:spacing w:val="-2"/>
        </w:rPr>
        <w:t>计，</w:t>
      </w:r>
      <w:r>
        <w:rPr>
          <w:rFonts w:ascii="Times New Roman" w:hAnsi="Times New Roman" w:eastAsia="Times New Roman" w:cs="Times New Roman"/>
          <w:sz w:val="24"/>
          <w:szCs w:val="24"/>
          <w:spacing w:val="-2"/>
        </w:rPr>
        <w:t>6m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r>
        <w:rPr>
          <w:rFonts w:ascii="Times New Roman" w:hAnsi="Times New Roman" w:eastAsia="Times New Roman" w:cs="Times New Roman"/>
          <w:sz w:val="24"/>
          <w:szCs w:val="24"/>
          <w:spacing w:val="-2"/>
        </w:rPr>
        <w:t>180m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/a</w:t>
      </w:r>
      <w:r>
        <w:rPr>
          <w:rFonts w:ascii="SimSun" w:hAnsi="SimSun" w:eastAsia="SimSun" w:cs="SimSun"/>
          <w:sz w:val="24"/>
          <w:szCs w:val="24"/>
          <w:spacing w:val="-6"/>
        </w:rPr>
        <w:t>）；</w:t>
      </w:r>
      <w:r>
        <w:rPr>
          <w:rFonts w:ascii="SimSun" w:hAnsi="SimSun" w:eastAsia="SimSun" w:cs="SimSun"/>
          <w:sz w:val="24"/>
          <w:szCs w:val="24"/>
          <w:spacing w:val="-2"/>
        </w:rPr>
        <w:t>锅炉补水</w:t>
      </w:r>
      <w:r>
        <w:rPr>
          <w:rFonts w:ascii="SimSun" w:hAnsi="SimSun" w:eastAsia="SimSun" w:cs="SimSun"/>
          <w:sz w:val="24"/>
          <w:szCs w:val="24"/>
        </w:rPr>
        <w:t xml:space="preserve"> </w:t>
      </w:r>
      <w:r>
        <w:rPr>
          <w:rFonts w:ascii="SimSun" w:hAnsi="SimSun" w:eastAsia="SimSun" w:cs="SimSun"/>
          <w:sz w:val="24"/>
          <w:szCs w:val="24"/>
          <w:spacing w:val="-11"/>
        </w:rPr>
        <w:t>采用纯水，纯水制水率为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1"/>
        </w:rPr>
        <w:t>75%</w:t>
      </w:r>
      <w:r>
        <w:rPr>
          <w:rFonts w:ascii="SimSun" w:hAnsi="SimSun" w:eastAsia="SimSun" w:cs="SimSun"/>
          <w:sz w:val="24"/>
          <w:szCs w:val="24"/>
          <w:spacing w:val="-11"/>
        </w:rPr>
        <w:t>，排污量为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1"/>
        </w:rPr>
        <w:t>42.3m</w:t>
      </w:r>
      <w:r>
        <w:rPr>
          <w:rFonts w:ascii="Times New Roman" w:hAnsi="Times New Roman" w:eastAsia="Times New Roman" w:cs="Times New Roman"/>
          <w:sz w:val="15"/>
          <w:szCs w:val="15"/>
          <w:spacing w:val="4"/>
          <w:position w:val="8"/>
        </w:rPr>
        <w:t>3</w:t>
      </w:r>
      <w:r>
        <w:rPr>
          <w:rFonts w:ascii="Times New Roman" w:hAnsi="Times New Roman" w:eastAsia="Times New Roman" w:cs="Times New Roman"/>
          <w:sz w:val="24"/>
          <w:szCs w:val="24"/>
          <w:spacing w:val="4"/>
        </w:rPr>
        <w:t>/d</w:t>
      </w:r>
      <w:r>
        <w:rPr>
          <w:rFonts w:ascii="SimSun" w:hAnsi="SimSun" w:eastAsia="SimSun" w:cs="SimSun"/>
          <w:sz w:val="24"/>
          <w:szCs w:val="24"/>
          <w:spacing w:val="-8"/>
        </w:rPr>
        <w:t>（</w:t>
      </w:r>
      <w:r>
        <w:rPr>
          <w:rFonts w:ascii="Times New Roman" w:hAnsi="Times New Roman" w:eastAsia="Times New Roman" w:cs="Times New Roman"/>
          <w:sz w:val="24"/>
          <w:szCs w:val="24"/>
          <w:spacing w:val="-8"/>
        </w:rPr>
        <w:t>12690t/a</w:t>
      </w:r>
      <w:r>
        <w:rPr>
          <w:rFonts w:ascii="SimSun" w:hAnsi="SimSun" w:eastAsia="SimSun" w:cs="SimSun"/>
          <w:sz w:val="24"/>
          <w:szCs w:val="24"/>
          <w:spacing w:val="-47"/>
          <w:w w:val="75"/>
        </w:rPr>
        <w:t>），</w:t>
      </w:r>
      <w:r>
        <w:rPr>
          <w:rFonts w:ascii="SimSun" w:hAnsi="SimSun" w:eastAsia="SimSun" w:cs="SimSun"/>
          <w:sz w:val="24"/>
          <w:szCs w:val="24"/>
          <w:spacing w:val="-8"/>
        </w:rPr>
        <w:t>总用水量为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8"/>
        </w:rPr>
        <w:t>169.3m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50790t/a</w:t>
      </w:r>
      <w:r>
        <w:rPr>
          <w:rFonts w:ascii="SimSun" w:hAnsi="SimSun" w:eastAsia="SimSun" w:cs="SimSun"/>
          <w:sz w:val="24"/>
          <w:szCs w:val="24"/>
          <w:spacing w:val="-1"/>
        </w:rPr>
        <w:t>）。</w:t>
      </w:r>
    </w:p>
    <w:p>
      <w:pPr>
        <w:ind w:left="501"/>
        <w:spacing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）其他用水系统</w:t>
      </w:r>
    </w:p>
    <w:p>
      <w:pPr>
        <w:ind w:left="8" w:right="61" w:firstLine="480"/>
        <w:spacing w:before="182" w:line="324" w:lineRule="auto"/>
        <w:rPr>
          <w:rFonts w:ascii="SimSun" w:hAnsi="SimSun" w:eastAsia="SimSun" w:cs="SimSun"/>
          <w:sz w:val="24"/>
          <w:szCs w:val="24"/>
        </w:rPr>
      </w:pPr>
      <w:r>
        <w:rPr>
          <w:rFonts w:ascii="SimSun" w:hAnsi="SimSun" w:eastAsia="SimSun" w:cs="SimSun"/>
          <w:sz w:val="24"/>
          <w:szCs w:val="24"/>
          <w:spacing w:val="3"/>
        </w:rPr>
        <w:t>①除臭剂配置用水量：本项目需喷洒除臭剂的面积为（包含厌</w:t>
      </w:r>
      <w:r>
        <w:rPr>
          <w:rFonts w:ascii="SimSun" w:hAnsi="SimSun" w:eastAsia="SimSun" w:cs="SimSun"/>
          <w:sz w:val="24"/>
          <w:szCs w:val="24"/>
          <w:spacing w:val="2"/>
        </w:rPr>
        <w:t>氧发酵罐区、</w:t>
      </w:r>
      <w:r>
        <w:rPr>
          <w:rFonts w:ascii="SimSun" w:hAnsi="SimSun" w:eastAsia="SimSun" w:cs="SimSun"/>
          <w:sz w:val="24"/>
          <w:szCs w:val="24"/>
        </w:rPr>
        <w:t xml:space="preserve"> </w:t>
      </w:r>
      <w:r>
        <w:rPr>
          <w:rFonts w:ascii="SimSun" w:hAnsi="SimSun" w:eastAsia="SimSun" w:cs="SimSun"/>
          <w:sz w:val="24"/>
          <w:szCs w:val="24"/>
          <w:spacing w:val="-1"/>
        </w:rPr>
        <w:t>调节池、固液分离池、晾晒区等）</w:t>
      </w:r>
      <w:r>
        <w:rPr>
          <w:rFonts w:ascii="Times New Roman" w:hAnsi="Times New Roman" w:eastAsia="Times New Roman" w:cs="Times New Roman"/>
          <w:sz w:val="24"/>
          <w:szCs w:val="24"/>
          <w:spacing w:val="-1"/>
        </w:rPr>
        <w:t>120m</w:t>
      </w:r>
      <w:r>
        <w:rPr>
          <w:rFonts w:ascii="Times New Roman" w:hAnsi="Times New Roman" w:eastAsia="Times New Roman" w:cs="Times New Roman"/>
          <w:sz w:val="15"/>
          <w:szCs w:val="15"/>
          <w:spacing w:val="-1"/>
          <w:position w:val="8"/>
        </w:rPr>
        <w:t>2 </w:t>
      </w:r>
      <w:r>
        <w:rPr>
          <w:rFonts w:ascii="SimSun" w:hAnsi="SimSun" w:eastAsia="SimSun" w:cs="SimSun"/>
          <w:sz w:val="24"/>
          <w:szCs w:val="24"/>
          <w:spacing w:val="-1"/>
        </w:rPr>
        <w:t>，每平方米消耗生物除臭剂</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
        </w:rPr>
        <w:t>1kg</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，按照</w:t>
      </w:r>
      <w:r>
        <w:rPr>
          <w:rFonts w:ascii="SimSun" w:hAnsi="SimSun" w:eastAsia="SimSun" w:cs="SimSun"/>
          <w:sz w:val="24"/>
          <w:szCs w:val="24"/>
        </w:rPr>
        <w:t xml:space="preserve"> </w:t>
      </w:r>
      <w:r>
        <w:rPr>
          <w:rFonts w:ascii="SimSun" w:hAnsi="SimSun" w:eastAsia="SimSun" w:cs="SimSun"/>
          <w:sz w:val="24"/>
          <w:szCs w:val="24"/>
          <w:spacing w:val="1"/>
        </w:rPr>
        <w:t>平均每天喷洒一次计算，除臭剂消耗量为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3.</w:t>
      </w:r>
      <w:r>
        <w:rPr>
          <w:rFonts w:ascii="Times New Roman" w:hAnsi="Times New Roman" w:eastAsia="Times New Roman" w:cs="Times New Roman"/>
          <w:sz w:val="24"/>
          <w:szCs w:val="24"/>
        </w:rPr>
        <w:t>6t/a</w:t>
      </w:r>
      <w:r>
        <w:rPr>
          <w:rFonts w:ascii="Times New Roman" w:hAnsi="Times New Roman" w:eastAsia="Times New Roman" w:cs="Times New Roman"/>
          <w:sz w:val="24"/>
          <w:szCs w:val="24"/>
          <w:spacing w:val="-27"/>
        </w:rPr>
        <w:t xml:space="preserve"> </w:t>
      </w:r>
      <w:r>
        <w:rPr>
          <w:rFonts w:ascii="SimSun" w:hAnsi="SimSun" w:eastAsia="SimSun" w:cs="SimSun"/>
          <w:sz w:val="24"/>
          <w:szCs w:val="24"/>
        </w:rPr>
        <w:t>，喷洒除臭剂</w:t>
      </w:r>
      <w:r>
        <w:rPr>
          <w:rFonts w:ascii="SimSun" w:hAnsi="SimSun" w:eastAsia="SimSun" w:cs="SimSun"/>
          <w:sz w:val="24"/>
          <w:szCs w:val="24"/>
          <w:spacing w:val="-32"/>
        </w:rPr>
        <w:t xml:space="preserve"> </w:t>
      </w:r>
      <w:r>
        <w:rPr>
          <w:rFonts w:ascii="Times New Roman" w:hAnsi="Times New Roman" w:eastAsia="Times New Roman" w:cs="Times New Roman"/>
          <w:sz w:val="24"/>
          <w:szCs w:val="24"/>
        </w:rPr>
        <w:t>10 </w:t>
      </w:r>
      <w:r>
        <w:rPr>
          <w:rFonts w:ascii="SimSun" w:hAnsi="SimSun" w:eastAsia="SimSun" w:cs="SimSun"/>
          <w:sz w:val="24"/>
          <w:szCs w:val="24"/>
        </w:rPr>
        <w:t>倍稀释，稀释用 </w:t>
      </w:r>
      <w:r>
        <w:rPr>
          <w:rFonts w:ascii="SimSun" w:hAnsi="SimSun" w:eastAsia="SimSun" w:cs="SimSun"/>
          <w:sz w:val="24"/>
          <w:szCs w:val="24"/>
          <w:spacing w:val="-2"/>
        </w:rPr>
        <w:t>水量为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11m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r>
        <w:rPr>
          <w:rFonts w:ascii="Times New Roman" w:hAnsi="Times New Roman" w:eastAsia="Times New Roman" w:cs="Times New Roman"/>
          <w:sz w:val="24"/>
          <w:szCs w:val="24"/>
          <w:spacing w:val="-2"/>
        </w:rPr>
        <w:t>32.4m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/a</w:t>
      </w:r>
      <w:r>
        <w:rPr>
          <w:rFonts w:ascii="SimSun" w:hAnsi="SimSun" w:eastAsia="SimSun" w:cs="SimSun"/>
          <w:sz w:val="24"/>
          <w:szCs w:val="24"/>
          <w:spacing w:val="-2"/>
        </w:rPr>
        <w:t>）。</w:t>
      </w:r>
    </w:p>
    <w:p>
      <w:pPr>
        <w:ind w:left="10" w:right="59" w:firstLine="477"/>
        <w:spacing w:before="184" w:line="324" w:lineRule="auto"/>
        <w:rPr>
          <w:rFonts w:ascii="SimSun" w:hAnsi="SimSun" w:eastAsia="SimSun" w:cs="SimSun"/>
          <w:sz w:val="24"/>
          <w:szCs w:val="24"/>
        </w:rPr>
      </w:pPr>
      <w:r>
        <w:rPr>
          <w:rFonts w:ascii="SimSun" w:hAnsi="SimSun" w:eastAsia="SimSun" w:cs="SimSun"/>
          <w:sz w:val="24"/>
          <w:szCs w:val="24"/>
          <w:spacing w:val="-3"/>
        </w:rPr>
        <w:t>②车间地面冲洗用水：根据《建筑给排水设计规范》（</w:t>
      </w:r>
      <w:r>
        <w:rPr>
          <w:rFonts w:ascii="Times New Roman" w:hAnsi="Times New Roman" w:eastAsia="Times New Roman" w:cs="Times New Roman"/>
          <w:sz w:val="24"/>
          <w:szCs w:val="24"/>
          <w:spacing w:val="-3"/>
        </w:rPr>
        <w:t>GB50015-2003</w:t>
      </w:r>
      <w:r>
        <w:rPr>
          <w:rFonts w:ascii="SimSun" w:hAnsi="SimSun" w:eastAsia="SimSun" w:cs="SimSun"/>
          <w:sz w:val="24"/>
          <w:szCs w:val="24"/>
          <w:spacing w:val="-40"/>
        </w:rPr>
        <w:t>）（</w:t>
      </w:r>
      <w:r>
        <w:rPr>
          <w:rFonts w:ascii="Times New Roman" w:hAnsi="Times New Roman" w:eastAsia="Times New Roman" w:cs="Times New Roman"/>
          <w:sz w:val="24"/>
          <w:szCs w:val="24"/>
          <w:spacing w:val="-3"/>
        </w:rPr>
        <w:t>2009</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版</w:t>
      </w:r>
      <w:r>
        <w:rPr>
          <w:rFonts w:ascii="SimSun" w:hAnsi="SimSun" w:eastAsia="SimSun" w:cs="SimSun"/>
          <w:sz w:val="24"/>
          <w:szCs w:val="24"/>
          <w:spacing w:val="15"/>
        </w:rPr>
        <w:t>），</w:t>
      </w:r>
      <w:r>
        <w:rPr>
          <w:rFonts w:ascii="SimSun" w:hAnsi="SimSun" w:eastAsia="SimSun" w:cs="SimSun"/>
          <w:sz w:val="24"/>
          <w:szCs w:val="24"/>
          <w:spacing w:val="1"/>
        </w:rPr>
        <w:t>车间地面冲洗水用量为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2~3L/m</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24"/>
          <w:szCs w:val="24"/>
          <w:spacing w:val="1"/>
        </w:rPr>
        <w:t>.</w:t>
      </w:r>
      <w:r>
        <w:rPr>
          <w:rFonts w:ascii="SimSun" w:hAnsi="SimSun" w:eastAsia="SimSun" w:cs="SimSun"/>
          <w:sz w:val="24"/>
          <w:szCs w:val="24"/>
          <w:spacing w:val="1"/>
        </w:rPr>
        <w:t>次（本次评价以</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2L/m</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24"/>
          <w:szCs w:val="24"/>
          <w:spacing w:val="1"/>
        </w:rPr>
        <w:t>.</w:t>
      </w:r>
      <w:r>
        <w:rPr>
          <w:rFonts w:ascii="SimSun" w:hAnsi="SimSun" w:eastAsia="SimSun" w:cs="SimSun"/>
          <w:sz w:val="24"/>
          <w:szCs w:val="24"/>
          <w:spacing w:val="1"/>
        </w:rPr>
        <w:t>次计</w:t>
      </w:r>
      <w:r>
        <w:rPr>
          <w:rFonts w:ascii="SimSun" w:hAnsi="SimSun" w:eastAsia="SimSun" w:cs="SimSun"/>
          <w:sz w:val="24"/>
          <w:szCs w:val="24"/>
          <w:spacing w:val="15"/>
        </w:rPr>
        <w:t>），</w:t>
      </w:r>
      <w:r>
        <w:rPr>
          <w:rFonts w:ascii="SimSun" w:hAnsi="SimSun" w:eastAsia="SimSun" w:cs="SimSun"/>
          <w:sz w:val="24"/>
          <w:szCs w:val="24"/>
          <w:spacing w:val="1"/>
        </w:rPr>
        <w:t>每两天</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rPr>
        <w:t xml:space="preserve"> </w:t>
      </w:r>
      <w:r>
        <w:rPr>
          <w:rFonts w:ascii="SimSun" w:hAnsi="SimSun" w:eastAsia="SimSun" w:cs="SimSun"/>
          <w:sz w:val="24"/>
          <w:szCs w:val="24"/>
        </w:rPr>
        <w:t>次，洗毛车间需冲洗地面面积为</w:t>
      </w:r>
      <w:r>
        <w:rPr>
          <w:rFonts w:ascii="SimSun" w:hAnsi="SimSun" w:eastAsia="SimSun" w:cs="SimSun"/>
          <w:sz w:val="24"/>
          <w:szCs w:val="24"/>
          <w:spacing w:val="-41"/>
        </w:rPr>
        <w:t xml:space="preserve"> </w:t>
      </w:r>
      <w:r>
        <w:rPr>
          <w:rFonts w:ascii="Times New Roman" w:hAnsi="Times New Roman" w:eastAsia="Times New Roman" w:cs="Times New Roman"/>
          <w:sz w:val="24"/>
          <w:szCs w:val="24"/>
        </w:rPr>
        <w:t>5000m</w:t>
      </w:r>
      <w:r>
        <w:rPr>
          <w:rFonts w:ascii="Times New Roman" w:hAnsi="Times New Roman" w:eastAsia="Times New Roman" w:cs="Times New Roman"/>
          <w:sz w:val="15"/>
          <w:szCs w:val="15"/>
          <w:position w:val="7"/>
        </w:rPr>
        <w:t>2 </w:t>
      </w:r>
      <w:r>
        <w:rPr>
          <w:rFonts w:ascii="SimSun" w:hAnsi="SimSun" w:eastAsia="SimSun" w:cs="SimSun"/>
          <w:sz w:val="24"/>
          <w:szCs w:val="24"/>
        </w:rPr>
        <w:t>，用水量为</w:t>
      </w:r>
      <w:r>
        <w:rPr>
          <w:rFonts w:ascii="SimSun" w:hAnsi="SimSun" w:eastAsia="SimSun" w:cs="SimSun"/>
          <w:sz w:val="24"/>
          <w:szCs w:val="24"/>
          <w:spacing w:val="-46"/>
        </w:rPr>
        <w:t xml:space="preserve"> </w:t>
      </w:r>
      <w:r>
        <w:rPr>
          <w:rFonts w:ascii="Times New Roman" w:hAnsi="Times New Roman" w:eastAsia="Times New Roman" w:cs="Times New Roman"/>
          <w:sz w:val="24"/>
          <w:szCs w:val="24"/>
        </w:rPr>
        <w:t>5m</w:t>
      </w:r>
      <w:r>
        <w:rPr>
          <w:rFonts w:ascii="Times New Roman" w:hAnsi="Times New Roman" w:eastAsia="Times New Roman" w:cs="Times New Roman"/>
          <w:sz w:val="15"/>
          <w:szCs w:val="15"/>
          <w:position w:val="7"/>
        </w:rPr>
        <w:t>3</w:t>
      </w:r>
      <w:r>
        <w:rPr>
          <w:rFonts w:ascii="Times New Roman" w:hAnsi="Times New Roman" w:eastAsia="Times New Roman" w:cs="Times New Roman"/>
          <w:sz w:val="24"/>
          <w:szCs w:val="24"/>
        </w:rPr>
        <w:t>/d</w:t>
      </w:r>
      <w:r>
        <w:rPr>
          <w:rFonts w:ascii="SimSun" w:hAnsi="SimSun" w:eastAsia="SimSun" w:cs="SimSun"/>
          <w:sz w:val="24"/>
          <w:szCs w:val="24"/>
        </w:rPr>
        <w:t>（</w:t>
      </w:r>
      <w:r>
        <w:rPr>
          <w:rFonts w:ascii="Times New Roman" w:hAnsi="Times New Roman" w:eastAsia="Times New Roman" w:cs="Times New Roman"/>
          <w:sz w:val="24"/>
          <w:szCs w:val="24"/>
        </w:rPr>
        <w:t>2390.22m</w:t>
      </w:r>
      <w:r>
        <w:rPr>
          <w:rFonts w:ascii="Times New Roman" w:hAnsi="Times New Roman" w:eastAsia="Times New Roman" w:cs="Times New Roman"/>
          <w:sz w:val="15"/>
          <w:szCs w:val="15"/>
          <w:position w:val="7"/>
        </w:rPr>
        <w:t>3</w:t>
      </w:r>
      <w:r>
        <w:rPr>
          <w:rFonts w:ascii="Times New Roman" w:hAnsi="Times New Roman" w:eastAsia="Times New Roman" w:cs="Times New Roman"/>
          <w:sz w:val="24"/>
          <w:szCs w:val="24"/>
        </w:rPr>
        <w:t>/a</w:t>
      </w:r>
      <w:r>
        <w:rPr>
          <w:rFonts w:ascii="SimSun" w:hAnsi="SimSun" w:eastAsia="SimSun" w:cs="SimSun"/>
          <w:sz w:val="24"/>
          <w:szCs w:val="24"/>
          <w:spacing w:val="10"/>
        </w:rPr>
        <w:t>），</w:t>
      </w:r>
      <w:r>
        <w:rPr>
          <w:rFonts w:ascii="SimSun" w:hAnsi="SimSun" w:eastAsia="SimSun" w:cs="SimSun"/>
          <w:sz w:val="24"/>
          <w:szCs w:val="24"/>
          <w:spacing w:val="-1"/>
        </w:rPr>
        <w:t>全部</w:t>
      </w:r>
      <w:r>
        <w:rPr>
          <w:rFonts w:ascii="SimSun" w:hAnsi="SimSun" w:eastAsia="SimSun" w:cs="SimSun"/>
          <w:sz w:val="24"/>
          <w:szCs w:val="24"/>
        </w:rPr>
        <w:t xml:space="preserve"> </w:t>
      </w:r>
      <w:r>
        <w:rPr>
          <w:rFonts w:ascii="SimSun" w:hAnsi="SimSun" w:eastAsia="SimSun" w:cs="SimSun"/>
          <w:sz w:val="24"/>
          <w:szCs w:val="24"/>
          <w:spacing w:val="-2"/>
        </w:rPr>
        <w:t>来自管网新鲜水。</w:t>
      </w:r>
    </w:p>
    <w:p>
      <w:pPr>
        <w:ind w:left="9" w:right="61" w:firstLine="478"/>
        <w:spacing w:before="179" w:line="289" w:lineRule="auto"/>
        <w:rPr>
          <w:rFonts w:ascii="SimSun" w:hAnsi="SimSun" w:eastAsia="SimSun" w:cs="SimSun"/>
          <w:sz w:val="24"/>
          <w:szCs w:val="24"/>
        </w:rPr>
      </w:pPr>
      <w:r>
        <w:rPr>
          <w:rFonts w:ascii="SimSun" w:hAnsi="SimSun" w:eastAsia="SimSun" w:cs="SimSun"/>
          <w:sz w:val="24"/>
          <w:szCs w:val="24"/>
          <w:spacing w:val="-2"/>
        </w:rPr>
        <w:t>③锅炉草木灰抑尘用水：本项目生物质锅炉草木灰产生量为</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2"/>
        </w:rPr>
        <w:t>279.8t/a</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，抑尘后</w:t>
      </w:r>
      <w:r>
        <w:rPr>
          <w:rFonts w:ascii="SimSun" w:hAnsi="SimSun" w:eastAsia="SimSun" w:cs="SimSun"/>
          <w:sz w:val="24"/>
          <w:szCs w:val="24"/>
        </w:rPr>
        <w:t xml:space="preserve"> </w:t>
      </w:r>
      <w:r>
        <w:rPr>
          <w:rFonts w:ascii="SimSun" w:hAnsi="SimSun" w:eastAsia="SimSun" w:cs="SimSun"/>
          <w:sz w:val="24"/>
          <w:szCs w:val="24"/>
          <w:spacing w:val="-1"/>
        </w:rPr>
        <w:t>含水率为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25%</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
        </w:rPr>
        <w:t>，抑尘用水量为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0.233m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r>
        <w:rPr>
          <w:rFonts w:ascii="Times New Roman" w:hAnsi="Times New Roman" w:eastAsia="Times New Roman" w:cs="Times New Roman"/>
          <w:sz w:val="24"/>
          <w:szCs w:val="24"/>
          <w:spacing w:val="-2"/>
        </w:rPr>
        <w:t>69.95m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/a</w:t>
      </w:r>
      <w:r>
        <w:rPr>
          <w:rFonts w:ascii="SimSun" w:hAnsi="SimSun" w:eastAsia="SimSun" w:cs="SimSun"/>
          <w:sz w:val="24"/>
          <w:szCs w:val="24"/>
          <w:spacing w:val="-2"/>
        </w:rPr>
        <w:t>）。</w:t>
      </w:r>
    </w:p>
    <w:p>
      <w:pPr>
        <w:ind w:left="10" w:firstLine="477"/>
        <w:spacing w:before="184" w:line="331" w:lineRule="auto"/>
        <w:rPr>
          <w:rFonts w:ascii="SimSun" w:hAnsi="SimSun" w:eastAsia="SimSun" w:cs="SimSun"/>
          <w:sz w:val="24"/>
          <w:szCs w:val="24"/>
        </w:rPr>
      </w:pPr>
      <w:r>
        <w:rPr>
          <w:rFonts w:ascii="SimSun" w:hAnsi="SimSun" w:eastAsia="SimSun" w:cs="SimSun"/>
          <w:sz w:val="24"/>
          <w:szCs w:val="24"/>
          <w:spacing w:val="3"/>
        </w:rPr>
        <w:t>④道路洒水抑尘用水：本项目厂区运输量较大，除及时清扫道路</w:t>
      </w:r>
      <w:r>
        <w:rPr>
          <w:rFonts w:ascii="SimSun" w:hAnsi="SimSun" w:eastAsia="SimSun" w:cs="SimSun"/>
          <w:sz w:val="24"/>
          <w:szCs w:val="24"/>
          <w:spacing w:val="2"/>
        </w:rPr>
        <w:t>，保持清洁</w:t>
      </w:r>
      <w:r>
        <w:rPr>
          <w:rFonts w:ascii="SimSun" w:hAnsi="SimSun" w:eastAsia="SimSun" w:cs="SimSun"/>
          <w:sz w:val="24"/>
          <w:szCs w:val="24"/>
        </w:rPr>
        <w:t xml:space="preserve"> </w:t>
      </w:r>
      <w:r>
        <w:rPr>
          <w:rFonts w:ascii="SimSun" w:hAnsi="SimSun" w:eastAsia="SimSun" w:cs="SimSun"/>
          <w:sz w:val="24"/>
          <w:szCs w:val="24"/>
          <w:spacing w:val="-11"/>
        </w:rPr>
        <w:t>外，项目配置洒水车，用于厂区道路洒水抑尘。厂区内主</w:t>
      </w:r>
      <w:r>
        <w:rPr>
          <w:rFonts w:ascii="SimSun" w:hAnsi="SimSun" w:eastAsia="SimSun" w:cs="SimSun"/>
          <w:sz w:val="24"/>
          <w:szCs w:val="24"/>
          <w:spacing w:val="-12"/>
        </w:rPr>
        <w:t>要运输道路总长度为</w:t>
      </w:r>
      <w:r>
        <w:rPr>
          <w:rFonts w:ascii="SimSun" w:hAnsi="SimSun" w:eastAsia="SimSun" w:cs="SimSun"/>
          <w:sz w:val="24"/>
          <w:szCs w:val="24"/>
          <w:spacing w:val="-71"/>
        </w:rPr>
        <w:t xml:space="preserve"> </w:t>
      </w:r>
      <w:r>
        <w:rPr>
          <w:rFonts w:ascii="Times New Roman" w:hAnsi="Times New Roman" w:eastAsia="Times New Roman" w:cs="Times New Roman"/>
          <w:sz w:val="24"/>
          <w:szCs w:val="24"/>
          <w:spacing w:val="-12"/>
        </w:rPr>
        <w:t>650m</w:t>
      </w:r>
      <w:r>
        <w:rPr>
          <w:rFonts w:ascii="SimSun" w:hAnsi="SimSun" w:eastAsia="SimSun" w:cs="SimSun"/>
          <w:sz w:val="24"/>
          <w:szCs w:val="24"/>
          <w:spacing w:val="-12"/>
        </w:rPr>
        <w:t>，</w:t>
      </w:r>
      <w:r>
        <w:rPr>
          <w:rFonts w:ascii="SimSun" w:hAnsi="SimSun" w:eastAsia="SimSun" w:cs="SimSun"/>
          <w:sz w:val="24"/>
          <w:szCs w:val="24"/>
        </w:rPr>
        <w:t xml:space="preserve"> </w:t>
      </w:r>
      <w:r>
        <w:rPr>
          <w:rFonts w:ascii="SimSun" w:hAnsi="SimSun" w:eastAsia="SimSun" w:cs="SimSun"/>
          <w:sz w:val="24"/>
          <w:szCs w:val="24"/>
          <w:spacing w:val="-2"/>
        </w:rPr>
        <w:t>路面宽度为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6m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，根据《内蒙古自治区行业用水定额标准》（</w:t>
      </w:r>
      <w:r>
        <w:rPr>
          <w:rFonts w:ascii="Times New Roman" w:hAnsi="Times New Roman" w:eastAsia="Times New Roman" w:cs="Times New Roman"/>
          <w:sz w:val="24"/>
          <w:szCs w:val="24"/>
          <w:spacing w:val="-2"/>
        </w:rPr>
        <w:t>DB</w:t>
      </w:r>
      <w:r>
        <w:rPr>
          <w:rFonts w:ascii="Times New Roman" w:hAnsi="Times New Roman" w:eastAsia="Times New Roman" w:cs="Times New Roman"/>
          <w:sz w:val="24"/>
          <w:szCs w:val="24"/>
          <w:spacing w:val="-3"/>
        </w:rPr>
        <w:t>15/T385-2015</w:t>
      </w:r>
      <w:r>
        <w:rPr>
          <w:rFonts w:ascii="SimSun" w:hAnsi="SimSun" w:eastAsia="SimSun" w:cs="SimSun"/>
          <w:sz w:val="24"/>
          <w:szCs w:val="24"/>
          <w:spacing w:val="-3"/>
        </w:rPr>
        <w:t>）中</w:t>
      </w:r>
      <w:r>
        <w:rPr>
          <w:rFonts w:ascii="SimSun" w:hAnsi="SimSun" w:eastAsia="SimSun" w:cs="SimSun"/>
          <w:sz w:val="24"/>
          <w:szCs w:val="24"/>
        </w:rPr>
        <w:t xml:space="preserve"> </w:t>
      </w:r>
      <w:r>
        <w:rPr>
          <w:rFonts w:ascii="SimSun" w:hAnsi="SimSun" w:eastAsia="SimSun" w:cs="SimSun"/>
          <w:sz w:val="24"/>
          <w:szCs w:val="24"/>
          <w:spacing w:val="-2"/>
        </w:rPr>
        <w:t>规定，</w:t>
      </w:r>
      <w:r>
        <w:rPr>
          <w:rFonts w:ascii="Times New Roman" w:hAnsi="Times New Roman" w:eastAsia="Times New Roman" w:cs="Times New Roman"/>
          <w:sz w:val="24"/>
          <w:szCs w:val="24"/>
          <w:spacing w:val="-2"/>
        </w:rPr>
        <w:t>“</w:t>
      </w:r>
      <w:r>
        <w:rPr>
          <w:rFonts w:ascii="SimSun" w:hAnsi="SimSun" w:eastAsia="SimSun" w:cs="SimSun"/>
          <w:sz w:val="24"/>
          <w:szCs w:val="24"/>
          <w:spacing w:val="-2"/>
        </w:rPr>
        <w:t>城市环境卫生管理</w:t>
      </w:r>
      <w:r>
        <w:rPr>
          <w:rFonts w:ascii="Times New Roman" w:hAnsi="Times New Roman" w:eastAsia="Times New Roman" w:cs="Times New Roman"/>
          <w:sz w:val="24"/>
          <w:szCs w:val="24"/>
          <w:spacing w:val="-2"/>
        </w:rPr>
        <w:t>-</w:t>
      </w:r>
      <w:r>
        <w:rPr>
          <w:rFonts w:ascii="SimSun" w:hAnsi="SimSun" w:eastAsia="SimSun" w:cs="SimSun"/>
          <w:sz w:val="24"/>
          <w:szCs w:val="24"/>
          <w:spacing w:val="-2"/>
        </w:rPr>
        <w:t>场地、道路喷洒</w:t>
      </w:r>
      <w:r>
        <w:rPr>
          <w:rFonts w:ascii="Times New Roman" w:hAnsi="Times New Roman" w:eastAsia="Times New Roman" w:cs="Times New Roman"/>
          <w:sz w:val="24"/>
          <w:szCs w:val="24"/>
          <w:spacing w:val="-2"/>
        </w:rPr>
        <w:t>”</w:t>
      </w:r>
      <w:r>
        <w:rPr>
          <w:rFonts w:ascii="SimSun" w:hAnsi="SimSun" w:eastAsia="SimSun" w:cs="SimSun"/>
          <w:sz w:val="24"/>
          <w:szCs w:val="24"/>
          <w:spacing w:val="-2"/>
        </w:rPr>
        <w:t>用水定额为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2L/m</w:t>
      </w:r>
      <w:r>
        <w:rPr>
          <w:rFonts w:ascii="Times New Roman" w:hAnsi="Times New Roman" w:eastAsia="Times New Roman" w:cs="Times New Roman"/>
          <w:sz w:val="15"/>
          <w:szCs w:val="15"/>
          <w:spacing w:val="-2"/>
          <w:position w:val="8"/>
        </w:rPr>
        <w:t>2</w:t>
      </w:r>
      <w:r>
        <w:rPr>
          <w:rFonts w:ascii="Times New Roman" w:hAnsi="Times New Roman" w:eastAsia="Times New Roman" w:cs="Times New Roman"/>
          <w:sz w:val="24"/>
          <w:szCs w:val="24"/>
          <w:spacing w:val="-2"/>
        </w:rPr>
        <w:t>.d</w:t>
      </w:r>
      <w:r>
        <w:rPr>
          <w:rFonts w:ascii="SimSun" w:hAnsi="SimSun" w:eastAsia="SimSun" w:cs="SimSun"/>
          <w:sz w:val="24"/>
          <w:szCs w:val="24"/>
          <w:spacing w:val="-2"/>
        </w:rPr>
        <w:t>，则本项目道路洒</w:t>
      </w:r>
      <w:r>
        <w:rPr>
          <w:rFonts w:ascii="SimSun" w:hAnsi="SimSun" w:eastAsia="SimSun" w:cs="SimSun"/>
          <w:sz w:val="24"/>
          <w:szCs w:val="24"/>
        </w:rPr>
        <w:t xml:space="preserve"> </w:t>
      </w:r>
      <w:r>
        <w:rPr>
          <w:rFonts w:ascii="SimSun" w:hAnsi="SimSun" w:eastAsia="SimSun" w:cs="SimSun"/>
          <w:sz w:val="24"/>
          <w:szCs w:val="24"/>
          <w:spacing w:val="-1"/>
        </w:rPr>
        <w:t>水抑尘用水量为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7.8m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r>
        <w:rPr>
          <w:rFonts w:ascii="Times New Roman" w:hAnsi="Times New Roman" w:eastAsia="Times New Roman" w:cs="Times New Roman"/>
          <w:sz w:val="24"/>
          <w:szCs w:val="24"/>
          <w:spacing w:val="-1"/>
        </w:rPr>
        <w:t>2340m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/a</w:t>
      </w:r>
      <w:r>
        <w:rPr>
          <w:rFonts w:ascii="SimSun" w:hAnsi="SimSun" w:eastAsia="SimSun" w:cs="SimSun"/>
          <w:sz w:val="24"/>
          <w:szCs w:val="24"/>
          <w:spacing w:val="-1"/>
        </w:rPr>
        <w:t>）。</w:t>
      </w:r>
    </w:p>
    <w:p>
      <w:pPr>
        <w:ind w:left="13" w:right="43" w:firstLine="474"/>
        <w:spacing w:before="181" w:line="313" w:lineRule="auto"/>
        <w:rPr>
          <w:rFonts w:ascii="SimSun" w:hAnsi="SimSun" w:eastAsia="SimSun" w:cs="SimSun"/>
          <w:sz w:val="24"/>
          <w:szCs w:val="24"/>
        </w:rPr>
      </w:pPr>
      <w:r>
        <w:rPr>
          <w:rFonts w:ascii="SimSun" w:hAnsi="SimSun" w:eastAsia="SimSun" w:cs="SimSun"/>
          <w:sz w:val="24"/>
          <w:szCs w:val="24"/>
          <w:spacing w:val="1"/>
        </w:rPr>
        <w:t>⑤消防用水：根据《建筑设计防火规范》（</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50016-2014</w:t>
      </w:r>
      <w:r>
        <w:rPr>
          <w:rFonts w:ascii="SimSun" w:hAnsi="SimSun" w:eastAsia="SimSun" w:cs="SimSun"/>
          <w:sz w:val="24"/>
          <w:szCs w:val="24"/>
          <w:spacing w:val="1"/>
        </w:rPr>
        <w:t>）和《消防给水及</w:t>
      </w:r>
      <w:r>
        <w:rPr>
          <w:rFonts w:ascii="SimSun" w:hAnsi="SimSun" w:eastAsia="SimSun" w:cs="SimSun"/>
          <w:sz w:val="24"/>
          <w:szCs w:val="24"/>
          <w:spacing w:val="6"/>
        </w:rPr>
        <w:t xml:space="preserve"> </w:t>
      </w:r>
      <w:r>
        <w:rPr>
          <w:rFonts w:ascii="SimSun" w:hAnsi="SimSun" w:eastAsia="SimSun" w:cs="SimSun"/>
          <w:sz w:val="24"/>
          <w:szCs w:val="24"/>
          <w:spacing w:val="-2"/>
        </w:rPr>
        <w:t>消火栓系统技术规范》（</w:t>
      </w:r>
      <w:r>
        <w:rPr>
          <w:rFonts w:ascii="Times New Roman" w:hAnsi="Times New Roman" w:eastAsia="Times New Roman" w:cs="Times New Roman"/>
          <w:sz w:val="24"/>
          <w:szCs w:val="24"/>
          <w:spacing w:val="-2"/>
        </w:rPr>
        <w:t>GB50974-2014</w:t>
      </w:r>
      <w:r>
        <w:rPr>
          <w:rFonts w:ascii="SimSun" w:hAnsi="SimSun" w:eastAsia="SimSun" w:cs="SimSun"/>
          <w:sz w:val="24"/>
          <w:szCs w:val="24"/>
          <w:spacing w:val="-2"/>
        </w:rPr>
        <w:t>）的有关规定，室外消防用水量为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25L/s</w:t>
      </w:r>
      <w:r>
        <w:rPr>
          <w:rFonts w:ascii="SimSun" w:hAnsi="SimSun" w:eastAsia="SimSun" w:cs="SimSun"/>
          <w:sz w:val="24"/>
          <w:szCs w:val="24"/>
          <w:spacing w:val="-2"/>
        </w:rPr>
        <w:t>，</w:t>
      </w:r>
      <w:r>
        <w:rPr>
          <w:rFonts w:ascii="SimSun" w:hAnsi="SimSun" w:eastAsia="SimSun" w:cs="SimSun"/>
          <w:sz w:val="24"/>
          <w:szCs w:val="24"/>
        </w:rPr>
        <w:t xml:space="preserve"> </w:t>
      </w:r>
      <w:r>
        <w:rPr>
          <w:rFonts w:ascii="SimSun" w:hAnsi="SimSun" w:eastAsia="SimSun" w:cs="SimSun"/>
          <w:sz w:val="24"/>
          <w:szCs w:val="24"/>
          <w:spacing w:val="-3"/>
        </w:rPr>
        <w:t>室内消火栓用水量为</w:t>
      </w:r>
      <w:r>
        <w:rPr>
          <w:rFonts w:ascii="SimSun" w:hAnsi="SimSun" w:eastAsia="SimSun" w:cs="SimSun"/>
          <w:sz w:val="24"/>
          <w:szCs w:val="24"/>
          <w:spacing w:val="-13"/>
        </w:rPr>
        <w:t xml:space="preserve"> </w:t>
      </w:r>
      <w:r>
        <w:rPr>
          <w:rFonts w:ascii="Times New Roman" w:hAnsi="Times New Roman" w:eastAsia="Times New Roman" w:cs="Times New Roman"/>
          <w:sz w:val="24"/>
          <w:szCs w:val="24"/>
          <w:spacing w:val="-3"/>
        </w:rPr>
        <w:t>15L/s</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，厂区消防按同一时间一起火灾计算，火灾延续时间为</w:t>
      </w:r>
    </w:p>
    <w:p>
      <w:pPr>
        <w:ind w:left="14" w:right="61" w:hanging="9"/>
        <w:spacing w:before="180" w:line="290" w:lineRule="auto"/>
        <w:rPr>
          <w:rFonts w:ascii="SimSun" w:hAnsi="SimSun" w:eastAsia="SimSun" w:cs="SimSun"/>
          <w:sz w:val="24"/>
          <w:szCs w:val="24"/>
        </w:rPr>
      </w:pP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小时，一次消防用水量按</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288m</w:t>
      </w:r>
      <w:r>
        <w:rPr>
          <w:rFonts w:ascii="Times New Roman" w:hAnsi="Times New Roman" w:eastAsia="Times New Roman" w:cs="Times New Roman"/>
          <w:sz w:val="15"/>
          <w:szCs w:val="15"/>
          <w:spacing w:val="-3"/>
          <w:position w:val="8"/>
        </w:rPr>
        <w:t>3</w:t>
      </w:r>
      <w:r>
        <w:rPr>
          <w:rFonts w:ascii="Times New Roman" w:hAnsi="Times New Roman" w:eastAsia="Times New Roman" w:cs="Times New Roman"/>
          <w:sz w:val="15"/>
          <w:szCs w:val="15"/>
          <w:spacing w:val="12"/>
          <w:w w:val="102"/>
          <w:position w:val="8"/>
        </w:rPr>
        <w:t xml:space="preserve"> </w:t>
      </w:r>
      <w:r>
        <w:rPr>
          <w:rFonts w:ascii="SimSun" w:hAnsi="SimSun" w:eastAsia="SimSun" w:cs="SimSun"/>
          <w:sz w:val="24"/>
          <w:szCs w:val="24"/>
          <w:spacing w:val="-3"/>
        </w:rPr>
        <w:t>设计。室外消防环状管网按规范要求设室外</w:t>
      </w:r>
      <w:r>
        <w:rPr>
          <w:rFonts w:ascii="SimSun" w:hAnsi="SimSun" w:eastAsia="SimSun" w:cs="SimSun"/>
          <w:sz w:val="24"/>
          <w:szCs w:val="24"/>
          <w:spacing w:val="-4"/>
        </w:rPr>
        <w:t>地上</w:t>
      </w:r>
      <w:r>
        <w:rPr>
          <w:rFonts w:ascii="SimSun" w:hAnsi="SimSun" w:eastAsia="SimSun" w:cs="SimSun"/>
          <w:sz w:val="24"/>
          <w:szCs w:val="24"/>
        </w:rPr>
        <w:t xml:space="preserve"> </w:t>
      </w:r>
      <w:r>
        <w:rPr>
          <w:rFonts w:ascii="SimSun" w:hAnsi="SimSun" w:eastAsia="SimSun" w:cs="SimSun"/>
          <w:sz w:val="24"/>
          <w:szCs w:val="24"/>
          <w:spacing w:val="-3"/>
        </w:rPr>
        <w:t>式消火栓，消火栓间距不大于</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3"/>
        </w:rPr>
        <w:t>120m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3"/>
        </w:rPr>
        <w:t>。室内外消火栓用水由设在新水加压泵站的消</w:t>
      </w:r>
    </w:p>
    <w:p>
      <w:pPr>
        <w:ind w:left="5312"/>
        <w:spacing w:before="264" w:line="227" w:lineRule="auto"/>
        <w:rPr>
          <w:rFonts w:ascii="SimSun" w:hAnsi="SimSun" w:eastAsia="SimSun" w:cs="SimSun"/>
          <w:sz w:val="19"/>
          <w:szCs w:val="19"/>
        </w:rPr>
      </w:pPr>
      <w:r>
        <w:pict>
          <v:shape id="_x0000_s336" style="position:absolute;margin-left:207.496pt;margin-top:12.2032pt;mso-position-vertical-relative:text;mso-position-horizontal-relative:text;width:58.75pt;height:13.75pt;z-index:251810816;"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1"/>
                      <w:position w:val="2"/>
                    </w:rPr>
                    <w:t>66        </w:t>
                  </w:r>
                  <w:r>
                    <w:rPr>
                      <w:rFonts w:ascii="SimSun" w:hAnsi="SimSun" w:eastAsia="SimSun" w:cs="SimSun"/>
                      <w:sz w:val="19"/>
                      <w:szCs w:val="19"/>
                      <w:spacing w:val="1"/>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16"/>
          <w:pgSz w:w="11907" w:h="16840"/>
          <w:pgMar w:top="1567" w:right="1640" w:bottom="400" w:left="1701" w:header="1221" w:footer="0" w:gutter="0"/>
        </w:sectPr>
        <w:rPr>
          <w:rFonts w:ascii="SimSun" w:hAnsi="SimSun" w:eastAsia="SimSun" w:cs="SimSun"/>
          <w:sz w:val="19"/>
          <w:szCs w:val="19"/>
        </w:rPr>
      </w:pPr>
    </w:p>
    <w:p>
      <w:pPr>
        <w:ind w:left="9" w:right="2" w:firstLine="15"/>
        <w:spacing w:before="188" w:line="358" w:lineRule="auto"/>
        <w:rPr>
          <w:rFonts w:ascii="SimSun" w:hAnsi="SimSun" w:eastAsia="SimSun" w:cs="SimSun"/>
          <w:sz w:val="24"/>
          <w:szCs w:val="24"/>
        </w:rPr>
      </w:pPr>
      <w:r>
        <w:pict>
          <v:shape id="_x0000_s340" style="position:absolute;margin-left:85.05pt;margin-top:79.11pt;mso-position-vertical-relative:page;mso-position-horizontal-relative:page;width:425.25pt;height:0.75pt;z-index:251813888;" o:allowincell="f" fillcolor="#000000" filled="true" stroked="false" coordsize="8505,15" coordorigin="0,0" path="m,l8505,0l8505,14l0,14l0,0xe"/>
        </w:pict>
      </w:r>
      <w:r>
        <w:rPr>
          <w:rFonts w:ascii="SimSun" w:hAnsi="SimSun" w:eastAsia="SimSun" w:cs="SimSun"/>
          <w:sz w:val="24"/>
          <w:szCs w:val="24"/>
          <w:spacing w:val="-1"/>
        </w:rPr>
        <w:t>防供水泵组供给，供水压力不小于</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0.3MPa</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
        </w:rPr>
        <w:t>，为</w:t>
      </w:r>
      <w:r>
        <w:rPr>
          <w:rFonts w:ascii="SimSun" w:hAnsi="SimSun" w:eastAsia="SimSun" w:cs="SimSun"/>
          <w:sz w:val="24"/>
          <w:szCs w:val="24"/>
          <w:spacing w:val="-2"/>
        </w:rPr>
        <w:t>临时高压系统。东西厂区分别建设</w:t>
      </w:r>
      <w:r>
        <w:rPr>
          <w:rFonts w:ascii="SimSun" w:hAnsi="SimSun" w:eastAsia="SimSun" w:cs="SimSun"/>
          <w:sz w:val="24"/>
          <w:szCs w:val="24"/>
        </w:rPr>
        <w:t xml:space="preserve"> </w:t>
      </w:r>
      <w:r>
        <w:rPr>
          <w:rFonts w:ascii="SimSun" w:hAnsi="SimSun" w:eastAsia="SimSun" w:cs="SimSun"/>
          <w:sz w:val="24"/>
          <w:szCs w:val="24"/>
          <w:spacing w:val="-1"/>
        </w:rPr>
        <w:t>独立的消防供水系统。</w:t>
      </w:r>
    </w:p>
    <w:p>
      <w:pPr>
        <w:ind w:left="4"/>
        <w:spacing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3.1.8.2 </w:t>
      </w:r>
      <w:r>
        <w:rPr>
          <w:rFonts w:ascii="SimSun" w:hAnsi="SimSun" w:eastAsia="SimSun" w:cs="SimSun"/>
          <w:sz w:val="24"/>
          <w:szCs w:val="24"/>
          <w:b/>
          <w:bCs/>
          <w:spacing w:val="-1"/>
        </w:rPr>
        <w:t>排水</w:t>
      </w:r>
    </w:p>
    <w:p>
      <w:pPr>
        <w:ind w:left="12" w:right="2" w:firstLine="480"/>
        <w:spacing w:before="183" w:line="359" w:lineRule="auto"/>
        <w:rPr>
          <w:rFonts w:ascii="SimSun" w:hAnsi="SimSun" w:eastAsia="SimSun" w:cs="SimSun"/>
          <w:sz w:val="24"/>
          <w:szCs w:val="24"/>
        </w:rPr>
      </w:pPr>
      <w:r>
        <w:rPr>
          <w:rFonts w:ascii="SimSun" w:hAnsi="SimSun" w:eastAsia="SimSun" w:cs="SimSun"/>
          <w:sz w:val="24"/>
          <w:szCs w:val="24"/>
          <w:spacing w:val="-4"/>
        </w:rPr>
        <w:t>项目厂区排水实行</w:t>
      </w:r>
      <w:r>
        <w:rPr>
          <w:rFonts w:ascii="Times New Roman" w:hAnsi="Times New Roman" w:eastAsia="Times New Roman" w:cs="Times New Roman"/>
          <w:sz w:val="24"/>
          <w:szCs w:val="24"/>
          <w:spacing w:val="-4"/>
        </w:rPr>
        <w:t>“</w:t>
      </w:r>
      <w:r>
        <w:rPr>
          <w:rFonts w:ascii="SimSun" w:hAnsi="SimSun" w:eastAsia="SimSun" w:cs="SimSun"/>
          <w:sz w:val="24"/>
          <w:szCs w:val="24"/>
          <w:spacing w:val="-4"/>
        </w:rPr>
        <w:t>清污分流，雨污分流、污污分流</w:t>
      </w:r>
      <w:r>
        <w:rPr>
          <w:rFonts w:ascii="Times New Roman" w:hAnsi="Times New Roman" w:eastAsia="Times New Roman" w:cs="Times New Roman"/>
          <w:sz w:val="24"/>
          <w:szCs w:val="24"/>
          <w:spacing w:val="-4"/>
        </w:rPr>
        <w:t>”</w:t>
      </w:r>
      <w:r>
        <w:rPr>
          <w:rFonts w:ascii="SimSun" w:hAnsi="SimSun" w:eastAsia="SimSun" w:cs="SimSun"/>
          <w:sz w:val="24"/>
          <w:szCs w:val="24"/>
          <w:spacing w:val="-4"/>
        </w:rPr>
        <w:t>的排水体制，厂区的排水</w:t>
      </w:r>
      <w:r>
        <w:rPr>
          <w:rFonts w:ascii="SimSun" w:hAnsi="SimSun" w:eastAsia="SimSun" w:cs="SimSun"/>
          <w:sz w:val="24"/>
          <w:szCs w:val="24"/>
          <w:spacing w:val="15"/>
        </w:rPr>
        <w:t xml:space="preserve"> </w:t>
      </w:r>
      <w:r>
        <w:rPr>
          <w:rFonts w:ascii="SimSun" w:hAnsi="SimSun" w:eastAsia="SimSun" w:cs="SimSun"/>
          <w:sz w:val="24"/>
          <w:szCs w:val="24"/>
          <w:spacing w:val="-1"/>
        </w:rPr>
        <w:t>分为：生产废水排水系统，生活污水排水系统及雨水排水系统。如下：</w:t>
      </w:r>
    </w:p>
    <w:p>
      <w:pPr>
        <w:ind w:left="501"/>
        <w:spacing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）生活污水</w:t>
      </w:r>
    </w:p>
    <w:p>
      <w:pPr>
        <w:ind w:left="8" w:right="3" w:firstLine="482"/>
        <w:spacing w:before="181" w:line="359" w:lineRule="auto"/>
        <w:rPr>
          <w:rFonts w:ascii="SimSun" w:hAnsi="SimSun" w:eastAsia="SimSun" w:cs="SimSun"/>
          <w:sz w:val="24"/>
          <w:szCs w:val="24"/>
        </w:rPr>
      </w:pPr>
      <w:r>
        <w:rPr>
          <w:rFonts w:ascii="SimSun" w:hAnsi="SimSun" w:eastAsia="SimSun" w:cs="SimSun"/>
          <w:sz w:val="24"/>
          <w:szCs w:val="24"/>
          <w:spacing w:val="3"/>
        </w:rPr>
        <w:t>本项目东厂区和西厂区员工洗浴废水通过独立管道系统外</w:t>
      </w:r>
      <w:r>
        <w:rPr>
          <w:rFonts w:ascii="SimSun" w:hAnsi="SimSun" w:eastAsia="SimSun" w:cs="SimSun"/>
          <w:sz w:val="24"/>
          <w:szCs w:val="24"/>
          <w:spacing w:val="2"/>
        </w:rPr>
        <w:t>排市政污水管网，</w:t>
      </w:r>
      <w:r>
        <w:rPr>
          <w:rFonts w:ascii="SimSun" w:hAnsi="SimSun" w:eastAsia="SimSun" w:cs="SimSun"/>
          <w:sz w:val="24"/>
          <w:szCs w:val="24"/>
        </w:rPr>
        <w:t xml:space="preserve"> </w:t>
      </w:r>
      <w:r>
        <w:rPr>
          <w:rFonts w:ascii="SimSun" w:hAnsi="SimSun" w:eastAsia="SimSun" w:cs="SimSun"/>
          <w:sz w:val="24"/>
          <w:szCs w:val="24"/>
          <w:spacing w:val="3"/>
        </w:rPr>
        <w:t>进入明安图镇污水处理厂。食堂废水经隔油池处理后，</w:t>
      </w:r>
      <w:r>
        <w:rPr>
          <w:rFonts w:ascii="SimSun" w:hAnsi="SimSun" w:eastAsia="SimSun" w:cs="SimSun"/>
          <w:sz w:val="24"/>
          <w:szCs w:val="24"/>
          <w:spacing w:val="2"/>
        </w:rPr>
        <w:t>与洗浴废水一同通过独立</w:t>
      </w:r>
      <w:r>
        <w:rPr>
          <w:rFonts w:ascii="SimSun" w:hAnsi="SimSun" w:eastAsia="SimSun" w:cs="SimSun"/>
          <w:sz w:val="24"/>
          <w:szCs w:val="24"/>
        </w:rPr>
        <w:t xml:space="preserve"> </w:t>
      </w:r>
      <w:r>
        <w:rPr>
          <w:rFonts w:ascii="SimSun" w:hAnsi="SimSun" w:eastAsia="SimSun" w:cs="SimSun"/>
          <w:sz w:val="24"/>
          <w:szCs w:val="24"/>
          <w:spacing w:val="-1"/>
        </w:rPr>
        <w:t>管道系统外排市政污水管网，进入明安图镇污水处理厂。</w:t>
      </w:r>
    </w:p>
    <w:p>
      <w:pPr>
        <w:ind w:left="10" w:firstLine="484"/>
        <w:spacing w:before="1" w:line="359" w:lineRule="auto"/>
        <w:jc w:val="both"/>
        <w:rPr>
          <w:rFonts w:ascii="SimSun" w:hAnsi="SimSun" w:eastAsia="SimSun" w:cs="SimSun"/>
          <w:sz w:val="24"/>
          <w:szCs w:val="24"/>
        </w:rPr>
      </w:pPr>
      <w:r>
        <w:rPr>
          <w:rFonts w:ascii="SimSun" w:hAnsi="SimSun" w:eastAsia="SimSun" w:cs="SimSun"/>
          <w:sz w:val="24"/>
          <w:szCs w:val="24"/>
          <w:spacing w:val="-1"/>
        </w:rPr>
        <w:t>西厂区冲厕水经独立管道排入化粪池（容积</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30m</w:t>
      </w:r>
      <w:r>
        <w:rPr>
          <w:rFonts w:ascii="Times New Roman" w:hAnsi="Times New Roman" w:eastAsia="Times New Roman" w:cs="Times New Roman"/>
          <w:sz w:val="15"/>
          <w:szCs w:val="15"/>
          <w:spacing w:val="-1"/>
          <w:position w:val="8"/>
        </w:rPr>
        <w:t>3 </w:t>
      </w:r>
      <w:r>
        <w:rPr>
          <w:rFonts w:ascii="SimSun" w:hAnsi="SimSun" w:eastAsia="SimSun" w:cs="SimSun"/>
          <w:sz w:val="24"/>
          <w:szCs w:val="24"/>
          <w:spacing w:val="-1"/>
        </w:rPr>
        <w:t>）预处理后，输送</w:t>
      </w:r>
      <w:r>
        <w:rPr>
          <w:rFonts w:ascii="SimSun" w:hAnsi="SimSun" w:eastAsia="SimSun" w:cs="SimSun"/>
          <w:sz w:val="24"/>
          <w:szCs w:val="24"/>
          <w:spacing w:val="-2"/>
        </w:rPr>
        <w:t>至厌氧发</w:t>
      </w:r>
      <w:r>
        <w:rPr>
          <w:rFonts w:ascii="SimSun" w:hAnsi="SimSun" w:eastAsia="SimSun" w:cs="SimSun"/>
          <w:sz w:val="24"/>
          <w:szCs w:val="24"/>
        </w:rPr>
        <w:t xml:space="preserve"> </w:t>
      </w:r>
      <w:r>
        <w:rPr>
          <w:rFonts w:ascii="SimSun" w:hAnsi="SimSun" w:eastAsia="SimSun" w:cs="SimSun"/>
          <w:sz w:val="24"/>
          <w:szCs w:val="24"/>
          <w:spacing w:val="1"/>
        </w:rPr>
        <w:t>酵装置。东厂区冲厕水与洗毛废水一起进入洗毛废水收集池（</w:t>
      </w:r>
      <w:r>
        <w:rPr>
          <w:rFonts w:ascii="Times New Roman" w:hAnsi="Times New Roman" w:eastAsia="Times New Roman" w:cs="Times New Roman"/>
          <w:sz w:val="24"/>
          <w:szCs w:val="24"/>
          <w:spacing w:val="1"/>
        </w:rPr>
        <w:t>10m</w:t>
      </w:r>
      <w:r>
        <w:rPr>
          <w:rFonts w:ascii="Times New Roman" w:hAnsi="Times New Roman" w:eastAsia="Times New Roman" w:cs="Times New Roman"/>
          <w:sz w:val="15"/>
          <w:szCs w:val="15"/>
          <w:spacing w:val="1"/>
          <w:position w:val="8"/>
        </w:rPr>
        <w:t>3 </w:t>
      </w:r>
      <w:r>
        <w:rPr>
          <w:rFonts w:ascii="SimSun" w:hAnsi="SimSun" w:eastAsia="SimSun" w:cs="SimSun"/>
          <w:sz w:val="24"/>
          <w:szCs w:val="24"/>
          <w:spacing w:val="-2"/>
        </w:rPr>
        <w:t>），</w:t>
      </w:r>
      <w:r>
        <w:rPr>
          <w:rFonts w:ascii="SimSun" w:hAnsi="SimSun" w:eastAsia="SimSun" w:cs="SimSun"/>
          <w:sz w:val="24"/>
          <w:szCs w:val="24"/>
          <w:spacing w:val="1"/>
        </w:rPr>
        <w:t>然后通过</w:t>
      </w:r>
      <w:r>
        <w:rPr>
          <w:rFonts w:ascii="SimSun" w:hAnsi="SimSun" w:eastAsia="SimSun" w:cs="SimSun"/>
          <w:sz w:val="24"/>
          <w:szCs w:val="24"/>
        </w:rPr>
        <w:t xml:space="preserve"> </w:t>
      </w:r>
      <w:r>
        <w:rPr>
          <w:rFonts w:ascii="SimSun" w:hAnsi="SimSun" w:eastAsia="SimSun" w:cs="SimSun"/>
          <w:sz w:val="24"/>
          <w:szCs w:val="24"/>
          <w:spacing w:val="-1"/>
        </w:rPr>
        <w:t>管道输送至西厂区厌氧发酵装置。</w:t>
      </w:r>
    </w:p>
    <w:p>
      <w:pPr>
        <w:ind w:left="501"/>
        <w:spacing w:before="1"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）生产废水</w:t>
      </w:r>
    </w:p>
    <w:p>
      <w:pPr>
        <w:ind w:left="9" w:firstLine="479"/>
        <w:spacing w:before="182" w:line="359" w:lineRule="auto"/>
        <w:rPr>
          <w:rFonts w:ascii="SimSun" w:hAnsi="SimSun" w:eastAsia="SimSun" w:cs="SimSun"/>
          <w:sz w:val="24"/>
          <w:szCs w:val="24"/>
        </w:rPr>
      </w:pPr>
      <w:r>
        <w:rPr>
          <w:rFonts w:ascii="SimSun" w:hAnsi="SimSun" w:eastAsia="SimSun" w:cs="SimSun"/>
          <w:sz w:val="24"/>
          <w:szCs w:val="24"/>
          <w:spacing w:val="3"/>
        </w:rPr>
        <w:t>洗毛废水、地面冲洗废水全部收集输送往厌氧发酵装置，不外排。洗</w:t>
      </w:r>
      <w:r>
        <w:rPr>
          <w:rFonts w:ascii="SimSun" w:hAnsi="SimSun" w:eastAsia="SimSun" w:cs="SimSun"/>
          <w:sz w:val="24"/>
          <w:szCs w:val="24"/>
          <w:spacing w:val="2"/>
        </w:rPr>
        <w:t>毛废水</w:t>
      </w:r>
      <w:r>
        <w:rPr>
          <w:rFonts w:ascii="SimSun" w:hAnsi="SimSun" w:eastAsia="SimSun" w:cs="SimSun"/>
          <w:sz w:val="24"/>
          <w:szCs w:val="24"/>
        </w:rPr>
        <w:t xml:space="preserve"> </w:t>
      </w:r>
      <w:r>
        <w:rPr>
          <w:rFonts w:ascii="SimSun" w:hAnsi="SimSun" w:eastAsia="SimSun" w:cs="SimSun"/>
          <w:sz w:val="24"/>
          <w:szCs w:val="24"/>
          <w:spacing w:val="1"/>
        </w:rPr>
        <w:t>排水量为</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135m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r>
        <w:rPr>
          <w:rFonts w:ascii="Times New Roman" w:hAnsi="Times New Roman" w:eastAsia="Times New Roman" w:cs="Times New Roman"/>
          <w:sz w:val="24"/>
          <w:szCs w:val="24"/>
          <w:spacing w:val="1"/>
        </w:rPr>
        <w:t>40500m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/a</w:t>
      </w:r>
      <w:r>
        <w:rPr>
          <w:rFonts w:ascii="SimSun" w:hAnsi="SimSun" w:eastAsia="SimSun" w:cs="SimSun"/>
          <w:sz w:val="24"/>
          <w:szCs w:val="24"/>
          <w:spacing w:val="1"/>
        </w:rPr>
        <w:t>）。车间地面冲洗废水按照用水量的</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90%</w:t>
      </w:r>
      <w:r>
        <w:rPr>
          <w:rFonts w:ascii="SimSun" w:hAnsi="SimSun" w:eastAsia="SimSun" w:cs="SimSun"/>
          <w:sz w:val="24"/>
          <w:szCs w:val="24"/>
          <w:spacing w:val="1"/>
        </w:rPr>
        <w:t>计，车间</w:t>
      </w:r>
      <w:r>
        <w:rPr>
          <w:rFonts w:ascii="SimSun" w:hAnsi="SimSun" w:eastAsia="SimSun" w:cs="SimSun"/>
          <w:sz w:val="24"/>
          <w:szCs w:val="24"/>
        </w:rPr>
        <w:t xml:space="preserve"> </w:t>
      </w:r>
      <w:r>
        <w:rPr>
          <w:rFonts w:ascii="SimSun" w:hAnsi="SimSun" w:eastAsia="SimSun" w:cs="SimSun"/>
          <w:sz w:val="24"/>
          <w:szCs w:val="24"/>
          <w:spacing w:val="-1"/>
        </w:rPr>
        <w:t>地面冲洗废水量为</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4.5m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r>
        <w:rPr>
          <w:rFonts w:ascii="Times New Roman" w:hAnsi="Times New Roman" w:eastAsia="Times New Roman" w:cs="Times New Roman"/>
          <w:sz w:val="24"/>
          <w:szCs w:val="24"/>
          <w:spacing w:val="-1"/>
        </w:rPr>
        <w:t>1350m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/a</w:t>
      </w:r>
      <w:r>
        <w:rPr>
          <w:rFonts w:ascii="SimSun" w:hAnsi="SimSun" w:eastAsia="SimSun" w:cs="SimSun"/>
          <w:sz w:val="24"/>
          <w:szCs w:val="24"/>
          <w:spacing w:val="-1"/>
        </w:rPr>
        <w:t>）。</w:t>
      </w:r>
    </w:p>
    <w:p>
      <w:pPr>
        <w:ind w:left="501"/>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）锅炉、纯水装置排污水</w:t>
      </w:r>
    </w:p>
    <w:p>
      <w:pPr>
        <w:ind w:left="4" w:firstLine="485"/>
        <w:spacing w:before="183" w:line="359" w:lineRule="auto"/>
        <w:rPr>
          <w:rFonts w:ascii="SimSun" w:hAnsi="SimSun" w:eastAsia="SimSun" w:cs="SimSun"/>
          <w:sz w:val="24"/>
          <w:szCs w:val="24"/>
        </w:rPr>
      </w:pPr>
      <w:r>
        <w:rPr>
          <w:rFonts w:ascii="SimSun" w:hAnsi="SimSun" w:eastAsia="SimSun" w:cs="SimSun"/>
          <w:sz w:val="24"/>
          <w:szCs w:val="24"/>
          <w:spacing w:val="3"/>
        </w:rPr>
        <w:t>锅炉和纯水处理装置排水用作锅炉草木灰抑尘及厂区内道路</w:t>
      </w:r>
      <w:r>
        <w:rPr>
          <w:rFonts w:ascii="SimSun" w:hAnsi="SimSun" w:eastAsia="SimSun" w:cs="SimSun"/>
          <w:sz w:val="24"/>
          <w:szCs w:val="24"/>
          <w:spacing w:val="2"/>
        </w:rPr>
        <w:t>抑尘用水，多余</w:t>
      </w:r>
      <w:r>
        <w:rPr>
          <w:rFonts w:ascii="SimSun" w:hAnsi="SimSun" w:eastAsia="SimSun" w:cs="SimSun"/>
          <w:sz w:val="24"/>
          <w:szCs w:val="24"/>
        </w:rPr>
        <w:t xml:space="preserve"> </w:t>
      </w:r>
      <w:r>
        <w:rPr>
          <w:rFonts w:ascii="SimSun" w:hAnsi="SimSun" w:eastAsia="SimSun" w:cs="SimSun"/>
          <w:sz w:val="24"/>
          <w:szCs w:val="24"/>
          <w:spacing w:val="3"/>
        </w:rPr>
        <w:t>部分排入市政污水管网，进入明安图镇污水处理厂。锅炉排污水</w:t>
      </w:r>
      <w:r>
        <w:rPr>
          <w:rFonts w:ascii="SimSun" w:hAnsi="SimSun" w:eastAsia="SimSun" w:cs="SimSun"/>
          <w:sz w:val="24"/>
          <w:szCs w:val="24"/>
          <w:spacing w:val="2"/>
        </w:rPr>
        <w:t>量按蒸汽供应量</w:t>
      </w:r>
      <w:r>
        <w:rPr>
          <w:rFonts w:ascii="SimSun" w:hAnsi="SimSun" w:eastAsia="SimSun" w:cs="SimSun"/>
          <w:sz w:val="24"/>
          <w:szCs w:val="24"/>
        </w:rPr>
        <w:t xml:space="preserve"> </w:t>
      </w:r>
      <w:r>
        <w:rPr>
          <w:rFonts w:ascii="SimSun" w:hAnsi="SimSun" w:eastAsia="SimSun" w:cs="SimSun"/>
          <w:sz w:val="24"/>
          <w:szCs w:val="24"/>
          <w:spacing w:val="-1"/>
        </w:rPr>
        <w:t>的</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5%</w:t>
      </w:r>
      <w:r>
        <w:rPr>
          <w:rFonts w:ascii="SimSun" w:hAnsi="SimSun" w:eastAsia="SimSun" w:cs="SimSun"/>
          <w:sz w:val="24"/>
          <w:szCs w:val="24"/>
          <w:spacing w:val="-1"/>
        </w:rPr>
        <w:t>计，</w:t>
      </w:r>
      <w:r>
        <w:rPr>
          <w:rFonts w:ascii="Times New Roman" w:hAnsi="Times New Roman" w:eastAsia="Times New Roman" w:cs="Times New Roman"/>
          <w:sz w:val="24"/>
          <w:szCs w:val="24"/>
          <w:spacing w:val="-1"/>
        </w:rPr>
        <w:t>6m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r>
        <w:rPr>
          <w:rFonts w:ascii="Times New Roman" w:hAnsi="Times New Roman" w:eastAsia="Times New Roman" w:cs="Times New Roman"/>
          <w:sz w:val="24"/>
          <w:szCs w:val="24"/>
          <w:spacing w:val="-1"/>
        </w:rPr>
        <w:t>180m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/a</w:t>
      </w:r>
      <w:r>
        <w:rPr>
          <w:rFonts w:ascii="SimSun" w:hAnsi="SimSun" w:eastAsia="SimSun" w:cs="SimSun"/>
          <w:sz w:val="24"/>
          <w:szCs w:val="24"/>
          <w:spacing w:val="4"/>
        </w:rPr>
        <w:t>）；</w:t>
      </w:r>
      <w:r>
        <w:rPr>
          <w:rFonts w:ascii="SimSun" w:hAnsi="SimSun" w:eastAsia="SimSun" w:cs="SimSun"/>
          <w:sz w:val="24"/>
          <w:szCs w:val="24"/>
          <w:spacing w:val="-1"/>
        </w:rPr>
        <w:t>锅炉补水采</w:t>
      </w:r>
      <w:r>
        <w:rPr>
          <w:rFonts w:ascii="SimSun" w:hAnsi="SimSun" w:eastAsia="SimSun" w:cs="SimSun"/>
          <w:sz w:val="24"/>
          <w:szCs w:val="24"/>
          <w:spacing w:val="-2"/>
        </w:rPr>
        <w:t>用纯水，纯水制水率为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75%</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，排污量为</w:t>
      </w:r>
      <w:r>
        <w:rPr>
          <w:rFonts w:ascii="SimSun" w:hAnsi="SimSun" w:eastAsia="SimSun" w:cs="SimSun"/>
          <w:sz w:val="24"/>
          <w:szCs w:val="24"/>
        </w:rPr>
        <w:t xml:space="preserve"> </w:t>
      </w:r>
      <w:r>
        <w:rPr>
          <w:rFonts w:ascii="Times New Roman" w:hAnsi="Times New Roman" w:eastAsia="Times New Roman" w:cs="Times New Roman"/>
          <w:sz w:val="24"/>
          <w:szCs w:val="24"/>
          <w:spacing w:val="-1"/>
        </w:rPr>
        <w:t>42.3m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/d</w:t>
      </w:r>
      <w:r>
        <w:rPr>
          <w:rFonts w:ascii="SimSun" w:hAnsi="SimSun" w:eastAsia="SimSun" w:cs="SimSun"/>
          <w:sz w:val="24"/>
          <w:szCs w:val="24"/>
          <w:spacing w:val="-6"/>
        </w:rPr>
        <w:t>（</w:t>
      </w:r>
      <w:r>
        <w:rPr>
          <w:rFonts w:ascii="Times New Roman" w:hAnsi="Times New Roman" w:eastAsia="Times New Roman" w:cs="Times New Roman"/>
          <w:sz w:val="24"/>
          <w:szCs w:val="24"/>
          <w:spacing w:val="-6"/>
        </w:rPr>
        <w:t>12690t/a</w:t>
      </w:r>
      <w:r>
        <w:rPr>
          <w:rFonts w:ascii="SimSun" w:hAnsi="SimSun" w:eastAsia="SimSun" w:cs="SimSun"/>
          <w:sz w:val="24"/>
          <w:szCs w:val="24"/>
          <w:spacing w:val="-40"/>
          <w:w w:val="62"/>
        </w:rPr>
        <w:t>）；</w:t>
      </w:r>
      <w:r>
        <w:rPr>
          <w:rFonts w:ascii="SimSun" w:hAnsi="SimSun" w:eastAsia="SimSun" w:cs="SimSun"/>
          <w:sz w:val="24"/>
          <w:szCs w:val="24"/>
          <w:spacing w:val="-6"/>
        </w:rPr>
        <w:t>锅炉、纯水装置总排水量为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6"/>
        </w:rPr>
        <w:t>48.3m</w:t>
      </w:r>
      <w:r>
        <w:rPr>
          <w:rFonts w:ascii="Times New Roman" w:hAnsi="Times New Roman" w:eastAsia="Times New Roman" w:cs="Times New Roman"/>
          <w:sz w:val="15"/>
          <w:szCs w:val="15"/>
          <w:spacing w:val="-6"/>
          <w:position w:val="8"/>
        </w:rPr>
        <w:t>3</w:t>
      </w:r>
      <w:r>
        <w:rPr>
          <w:rFonts w:ascii="Times New Roman" w:hAnsi="Times New Roman" w:eastAsia="Times New Roman" w:cs="Times New Roman"/>
          <w:sz w:val="24"/>
          <w:szCs w:val="24"/>
          <w:spacing w:val="-6"/>
        </w:rPr>
        <w:t>/d</w:t>
      </w:r>
      <w:r>
        <w:rPr>
          <w:rFonts w:ascii="SimSun" w:hAnsi="SimSun" w:eastAsia="SimSun" w:cs="SimSun"/>
          <w:sz w:val="24"/>
          <w:szCs w:val="24"/>
          <w:spacing w:val="-9"/>
        </w:rPr>
        <w:t>（</w:t>
      </w:r>
      <w:r>
        <w:rPr>
          <w:rFonts w:ascii="Times New Roman" w:hAnsi="Times New Roman" w:eastAsia="Times New Roman" w:cs="Times New Roman"/>
          <w:sz w:val="24"/>
          <w:szCs w:val="24"/>
          <w:spacing w:val="-9"/>
        </w:rPr>
        <w:t>14490t/a</w:t>
      </w:r>
      <w:r>
        <w:rPr>
          <w:rFonts w:ascii="SimSun" w:hAnsi="SimSun" w:eastAsia="SimSun" w:cs="SimSun"/>
          <w:sz w:val="24"/>
          <w:szCs w:val="24"/>
          <w:spacing w:val="-40"/>
          <w:w w:val="62"/>
        </w:rPr>
        <w:t>），</w:t>
      </w:r>
      <w:r>
        <w:rPr>
          <w:rFonts w:ascii="SimSun" w:hAnsi="SimSun" w:eastAsia="SimSun" w:cs="SimSun"/>
          <w:sz w:val="24"/>
          <w:szCs w:val="24"/>
          <w:spacing w:val="-9"/>
        </w:rPr>
        <w:t>其中</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9"/>
        </w:rPr>
        <w:t>8.033m</w:t>
      </w:r>
      <w:r>
        <w:rPr>
          <w:rFonts w:ascii="Times New Roman" w:hAnsi="Times New Roman" w:eastAsia="Times New Roman" w:cs="Times New Roman"/>
          <w:sz w:val="15"/>
          <w:szCs w:val="15"/>
          <w:spacing w:val="4"/>
          <w:position w:val="8"/>
        </w:rPr>
        <w:t>3</w:t>
      </w:r>
      <w:r>
        <w:rPr>
          <w:rFonts w:ascii="Times New Roman" w:hAnsi="Times New Roman" w:eastAsia="Times New Roman" w:cs="Times New Roman"/>
          <w:sz w:val="24"/>
          <w:szCs w:val="24"/>
          <w:spacing w:val="4"/>
        </w:rPr>
        <w:t>/d</w:t>
      </w:r>
      <w:r>
        <w:rPr>
          <w:rFonts w:ascii="Times New Roman" w:hAnsi="Times New Roman" w:eastAsia="Times New Roman" w:cs="Times New Roman"/>
          <w:sz w:val="24"/>
          <w:szCs w:val="2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2409.9t/a</w:t>
      </w:r>
      <w:r>
        <w:rPr>
          <w:rFonts w:ascii="SimSun" w:hAnsi="SimSun" w:eastAsia="SimSun" w:cs="SimSun"/>
          <w:sz w:val="24"/>
          <w:szCs w:val="24"/>
          <w:spacing w:val="-3"/>
        </w:rPr>
        <w:t>）用于锅炉草木灰和道路抑尘，剩余</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3"/>
        </w:rPr>
        <w:t>40.267m</w:t>
      </w:r>
      <w:r>
        <w:rPr>
          <w:rFonts w:ascii="Times New Roman" w:hAnsi="Times New Roman" w:eastAsia="Times New Roman" w:cs="Times New Roman"/>
          <w:sz w:val="15"/>
          <w:szCs w:val="15"/>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r>
        <w:rPr>
          <w:rFonts w:ascii="Times New Roman" w:hAnsi="Times New Roman" w:eastAsia="Times New Roman" w:cs="Times New Roman"/>
          <w:sz w:val="24"/>
          <w:szCs w:val="24"/>
          <w:spacing w:val="-3"/>
        </w:rPr>
        <w:t>12080.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1t/a</w:t>
      </w:r>
      <w:r>
        <w:rPr>
          <w:rFonts w:ascii="SimSun" w:hAnsi="SimSun" w:eastAsia="SimSun" w:cs="SimSun"/>
          <w:sz w:val="24"/>
          <w:szCs w:val="24"/>
          <w:spacing w:val="-3"/>
        </w:rPr>
        <w:t>）排入市政</w:t>
      </w:r>
      <w:r>
        <w:rPr>
          <w:rFonts w:ascii="SimSun" w:hAnsi="SimSun" w:eastAsia="SimSun" w:cs="SimSun"/>
          <w:sz w:val="24"/>
          <w:szCs w:val="24"/>
        </w:rPr>
        <w:t xml:space="preserve"> </w:t>
      </w:r>
      <w:r>
        <w:rPr>
          <w:rFonts w:ascii="SimSun" w:hAnsi="SimSun" w:eastAsia="SimSun" w:cs="SimSun"/>
          <w:sz w:val="24"/>
          <w:szCs w:val="24"/>
          <w:spacing w:val="-1"/>
        </w:rPr>
        <w:t>污水管网，进入明安图镇污水处理厂。</w:t>
      </w:r>
    </w:p>
    <w:p>
      <w:pPr>
        <w:ind w:left="501"/>
        <w:spacing w:before="1"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）雨水排水系统</w:t>
      </w:r>
    </w:p>
    <w:p>
      <w:pPr>
        <w:ind w:left="9" w:firstLine="480"/>
        <w:spacing w:before="179" w:line="360" w:lineRule="auto"/>
        <w:rPr>
          <w:rFonts w:ascii="SimSun" w:hAnsi="SimSun" w:eastAsia="SimSun" w:cs="SimSun"/>
          <w:sz w:val="24"/>
          <w:szCs w:val="24"/>
        </w:rPr>
      </w:pPr>
      <w:r>
        <w:rPr>
          <w:rFonts w:ascii="SimSun" w:hAnsi="SimSun" w:eastAsia="SimSun" w:cs="SimSun"/>
          <w:sz w:val="24"/>
          <w:szCs w:val="24"/>
          <w:spacing w:val="3"/>
        </w:rPr>
        <w:t>本项目在厂内设雨排水管道，厂房及各建筑物屋面雨水经雨落管</w:t>
      </w:r>
      <w:r>
        <w:rPr>
          <w:rFonts w:ascii="SimSun" w:hAnsi="SimSun" w:eastAsia="SimSun" w:cs="SimSun"/>
          <w:sz w:val="24"/>
          <w:szCs w:val="24"/>
          <w:spacing w:val="2"/>
        </w:rPr>
        <w:t>汇集排入雨</w:t>
      </w:r>
      <w:r>
        <w:rPr>
          <w:rFonts w:ascii="SimSun" w:hAnsi="SimSun" w:eastAsia="SimSun" w:cs="SimSun"/>
          <w:sz w:val="24"/>
          <w:szCs w:val="24"/>
        </w:rPr>
        <w:t xml:space="preserve"> </w:t>
      </w:r>
      <w:r>
        <w:rPr>
          <w:rFonts w:ascii="SimSun" w:hAnsi="SimSun" w:eastAsia="SimSun" w:cs="SimSun"/>
          <w:sz w:val="24"/>
          <w:szCs w:val="24"/>
          <w:spacing w:val="3"/>
        </w:rPr>
        <w:t>水管道，厂区地面雨水经雨水口汇集排入雨水管道，本</w:t>
      </w:r>
      <w:r>
        <w:rPr>
          <w:rFonts w:ascii="SimSun" w:hAnsi="SimSun" w:eastAsia="SimSun" w:cs="SimSun"/>
          <w:sz w:val="24"/>
          <w:szCs w:val="24"/>
          <w:spacing w:val="2"/>
        </w:rPr>
        <w:t>项目对初期雨污水进行收</w:t>
      </w:r>
      <w:r>
        <w:rPr>
          <w:rFonts w:ascii="SimSun" w:hAnsi="SimSun" w:eastAsia="SimSun" w:cs="SimSun"/>
          <w:sz w:val="24"/>
          <w:szCs w:val="24"/>
        </w:rPr>
        <w:t xml:space="preserve"> </w:t>
      </w:r>
      <w:r>
        <w:rPr>
          <w:rFonts w:ascii="SimSun" w:hAnsi="SimSun" w:eastAsia="SimSun" w:cs="SimSun"/>
          <w:sz w:val="24"/>
          <w:szCs w:val="24"/>
          <w:spacing w:val="3"/>
        </w:rPr>
        <w:t>集，暂存于应急事故水池，采用罐车分批送往明安</w:t>
      </w:r>
      <w:r>
        <w:rPr>
          <w:rFonts w:ascii="SimSun" w:hAnsi="SimSun" w:eastAsia="SimSun" w:cs="SimSun"/>
          <w:sz w:val="24"/>
          <w:szCs w:val="24"/>
          <w:spacing w:val="2"/>
        </w:rPr>
        <w:t>图镇污水处理厂委托处理，其</w:t>
      </w:r>
      <w:r>
        <w:rPr>
          <w:rFonts w:ascii="SimSun" w:hAnsi="SimSun" w:eastAsia="SimSun" w:cs="SimSun"/>
          <w:sz w:val="24"/>
          <w:szCs w:val="24"/>
        </w:rPr>
        <w:t xml:space="preserve"> </w:t>
      </w:r>
      <w:r>
        <w:rPr>
          <w:rFonts w:ascii="SimSun" w:hAnsi="SimSun" w:eastAsia="SimSun" w:cs="SimSun"/>
          <w:sz w:val="24"/>
          <w:szCs w:val="24"/>
          <w:spacing w:val="3"/>
        </w:rPr>
        <w:t>余清净雨水经管道流入总厂雨水管道中，周边规划</w:t>
      </w:r>
      <w:r>
        <w:rPr>
          <w:rFonts w:ascii="SimSun" w:hAnsi="SimSun" w:eastAsia="SimSun" w:cs="SimSun"/>
          <w:sz w:val="24"/>
          <w:szCs w:val="24"/>
          <w:spacing w:val="2"/>
        </w:rPr>
        <w:t>期内无雨水管网，依靠路面散</w:t>
      </w:r>
      <w:r>
        <w:rPr>
          <w:rFonts w:ascii="SimSun" w:hAnsi="SimSun" w:eastAsia="SimSun" w:cs="SimSun"/>
          <w:sz w:val="24"/>
          <w:szCs w:val="24"/>
        </w:rPr>
        <w:t xml:space="preserve"> </w:t>
      </w:r>
      <w:r>
        <w:rPr>
          <w:rFonts w:ascii="SimSun" w:hAnsi="SimSun" w:eastAsia="SimSun" w:cs="SimSun"/>
          <w:sz w:val="24"/>
          <w:szCs w:val="24"/>
          <w:spacing w:val="-1"/>
        </w:rPr>
        <w:t>排，因此本项目厂区内清净雨水排放至厂外路面散排。</w:t>
      </w:r>
    </w:p>
    <w:p>
      <w:pPr>
        <w:ind w:left="7"/>
        <w:spacing w:before="61" w:line="227" w:lineRule="auto"/>
        <w:rPr>
          <w:rFonts w:ascii="SimSun" w:hAnsi="SimSun" w:eastAsia="SimSun" w:cs="SimSun"/>
          <w:sz w:val="19"/>
          <w:szCs w:val="19"/>
        </w:rPr>
      </w:pPr>
      <w:r>
        <w:pict>
          <v:shape id="_x0000_s342" style="position:absolute;margin-left:159.33pt;margin-top:2.05638pt;mso-position-vertical-relative:text;mso-position-horizontal-relative:text;width:58.85pt;height:13.75pt;z-index:25181286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28"/>
                    </w:rPr>
                    <w:t xml:space="preserve">   </w:t>
                  </w:r>
                  <w:r>
                    <w:rPr>
                      <w:rFonts w:ascii="Times New Roman" w:hAnsi="Times New Roman" w:eastAsia="Times New Roman" w:cs="Times New Roman"/>
                      <w:sz w:val="18"/>
                      <w:szCs w:val="18"/>
                      <w:spacing w:val="3"/>
                      <w:position w:val="2"/>
                    </w:rPr>
                    <w:t>67</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80"/>
          <w:pgSz w:w="11907" w:h="16840"/>
          <w:pgMar w:top="1567" w:right="1699" w:bottom="400" w:left="1701" w:header="1221" w:footer="0" w:gutter="0"/>
        </w:sectPr>
        <w:rPr>
          <w:rFonts w:ascii="SimSun" w:hAnsi="SimSun" w:eastAsia="SimSun" w:cs="SimSun"/>
          <w:sz w:val="19"/>
          <w:szCs w:val="19"/>
        </w:rPr>
      </w:pPr>
    </w:p>
    <w:p>
      <w:pPr>
        <w:ind w:left="25" w:right="18" w:firstLine="480"/>
        <w:spacing w:before="167" w:line="359" w:lineRule="auto"/>
        <w:jc w:val="both"/>
        <w:rPr>
          <w:rFonts w:ascii="SimSun" w:hAnsi="SimSun" w:eastAsia="SimSun" w:cs="SimSun"/>
          <w:sz w:val="24"/>
          <w:szCs w:val="24"/>
        </w:rPr>
      </w:pPr>
      <w:r>
        <w:pict>
          <v:shape id="_x0000_s346" style="position:absolute;margin-left:85.05pt;margin-top:78.87pt;mso-position-vertical-relative:page;mso-position-horizontal-relative:page;width:425.25pt;height:0.75pt;z-index:251815936;" o:allowincell="f" fillcolor="#000000" filled="true" stroked="false" coordsize="8505,15" coordorigin="0,0" path="m,l8505,0l8505,14l0,14l0,0xe"/>
        </w:pict>
      </w:r>
      <w:r>
        <w:rPr>
          <w:rFonts w:ascii="SimSun" w:hAnsi="SimSun" w:eastAsia="SimSun" w:cs="SimSun"/>
          <w:sz w:val="24"/>
          <w:szCs w:val="24"/>
          <w:spacing w:val="1"/>
        </w:rPr>
        <w:t>在东西两个厂区内分别建设</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1"/>
        </w:rPr>
        <w:t>座容积为</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400m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15"/>
          <w:szCs w:val="15"/>
          <w:spacing w:val="14"/>
          <w:w w:val="101"/>
          <w:position w:val="8"/>
        </w:rPr>
        <w:t xml:space="preserve"> </w:t>
      </w:r>
      <w:r>
        <w:rPr>
          <w:rFonts w:ascii="SimSun" w:hAnsi="SimSun" w:eastAsia="SimSun" w:cs="SimSun"/>
          <w:sz w:val="24"/>
          <w:szCs w:val="24"/>
          <w:spacing w:val="1"/>
        </w:rPr>
        <w:t>应急事</w:t>
      </w:r>
      <w:r>
        <w:rPr>
          <w:rFonts w:ascii="SimSun" w:hAnsi="SimSun" w:eastAsia="SimSun" w:cs="SimSun"/>
          <w:sz w:val="24"/>
          <w:szCs w:val="24"/>
        </w:rPr>
        <w:t>故水池，用于接收事故 </w:t>
      </w:r>
      <w:r>
        <w:rPr>
          <w:rFonts w:ascii="SimSun" w:hAnsi="SimSun" w:eastAsia="SimSun" w:cs="SimSun"/>
          <w:sz w:val="24"/>
          <w:szCs w:val="24"/>
          <w:spacing w:val="3"/>
        </w:rPr>
        <w:t>废水和初期雨污水，待事故和初期雨水收集结束后，</w:t>
      </w:r>
      <w:r>
        <w:rPr>
          <w:rFonts w:ascii="SimSun" w:hAnsi="SimSun" w:eastAsia="SimSun" w:cs="SimSun"/>
          <w:sz w:val="24"/>
          <w:szCs w:val="24"/>
          <w:spacing w:val="2"/>
        </w:rPr>
        <w:t>采用罐车分批送往明安图镇</w:t>
      </w:r>
      <w:r>
        <w:rPr>
          <w:rFonts w:ascii="SimSun" w:hAnsi="SimSun" w:eastAsia="SimSun" w:cs="SimSun"/>
          <w:sz w:val="24"/>
          <w:szCs w:val="24"/>
        </w:rPr>
        <w:t xml:space="preserve"> </w:t>
      </w:r>
      <w:r>
        <w:rPr>
          <w:rFonts w:ascii="SimSun" w:hAnsi="SimSun" w:eastAsia="SimSun" w:cs="SimSun"/>
          <w:sz w:val="24"/>
          <w:szCs w:val="24"/>
          <w:spacing w:val="-1"/>
        </w:rPr>
        <w:t>污水处理厂委托处理。</w:t>
      </w:r>
    </w:p>
    <w:p>
      <w:pPr>
        <w:ind w:left="507"/>
        <w:spacing w:line="218" w:lineRule="auto"/>
        <w:rPr>
          <w:rFonts w:ascii="SimSun" w:hAnsi="SimSun" w:eastAsia="SimSun" w:cs="SimSun"/>
          <w:sz w:val="24"/>
          <w:szCs w:val="24"/>
        </w:rPr>
      </w:pPr>
      <w:r>
        <w:rPr>
          <w:rFonts w:ascii="SimSun" w:hAnsi="SimSun" w:eastAsia="SimSun" w:cs="SimSun"/>
          <w:sz w:val="24"/>
          <w:szCs w:val="24"/>
          <w:spacing w:val="-2"/>
        </w:rPr>
        <w:t>本项目水平衡表见下表</w:t>
      </w:r>
      <w:r>
        <w:rPr>
          <w:rFonts w:ascii="Times New Roman" w:hAnsi="Times New Roman" w:eastAsia="Times New Roman" w:cs="Times New Roman"/>
          <w:sz w:val="24"/>
          <w:szCs w:val="24"/>
          <w:spacing w:val="-2"/>
        </w:rPr>
        <w:t>3.1-13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，水平衡图见图</w:t>
      </w:r>
      <w:r>
        <w:rPr>
          <w:rFonts w:ascii="Times New Roman" w:hAnsi="Times New Roman" w:eastAsia="Times New Roman" w:cs="Times New Roman"/>
          <w:sz w:val="24"/>
          <w:szCs w:val="24"/>
          <w:spacing w:val="-2"/>
        </w:rPr>
        <w:t>3.3-6</w:t>
      </w:r>
      <w:r>
        <w:rPr>
          <w:rFonts w:ascii="SimSun" w:hAnsi="SimSun" w:eastAsia="SimSun" w:cs="SimSun"/>
          <w:sz w:val="24"/>
          <w:szCs w:val="24"/>
          <w:spacing w:val="-2"/>
        </w:rPr>
        <w:t>。</w:t>
      </w:r>
    </w:p>
    <w:p>
      <w:pPr>
        <w:ind w:left="2672"/>
        <w:spacing w:before="183"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4"/>
        </w:rPr>
        <w:t xml:space="preserve"> </w:t>
      </w:r>
      <w:r>
        <w:rPr>
          <w:rFonts w:ascii="Times New Roman" w:hAnsi="Times New Roman" w:eastAsia="Times New Roman" w:cs="Times New Roman"/>
          <w:sz w:val="24"/>
          <w:szCs w:val="24"/>
          <w:b/>
          <w:bCs/>
          <w:spacing w:val="-2"/>
        </w:rPr>
        <w:t>3.1-13      </w:t>
      </w:r>
      <w:r>
        <w:rPr>
          <w:rFonts w:ascii="SimSun" w:hAnsi="SimSun" w:eastAsia="SimSun" w:cs="SimSun"/>
          <w:sz w:val="24"/>
          <w:szCs w:val="24"/>
          <w:b/>
          <w:bCs/>
          <w:spacing w:val="-2"/>
        </w:rPr>
        <w:t>项目水平衡一览表</w:t>
      </w:r>
    </w:p>
    <w:tbl>
      <w:tblPr>
        <w:tblStyle w:val="TableNormal"/>
        <w:tblW w:w="853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86"/>
        <w:gridCol w:w="717"/>
        <w:gridCol w:w="558"/>
        <w:gridCol w:w="639"/>
        <w:gridCol w:w="1144"/>
        <w:gridCol w:w="979"/>
        <w:gridCol w:w="973"/>
        <w:gridCol w:w="2237"/>
      </w:tblGrid>
      <w:tr>
        <w:trPr>
          <w:trHeight w:val="418" w:hRule="atLeast"/>
        </w:trPr>
        <w:tc>
          <w:tcPr>
            <w:tcW w:w="1286" w:type="dxa"/>
            <w:vAlign w:val="top"/>
            <w:vMerge w:val="restart"/>
            <w:tcBorders>
              <w:bottom w:val="nil"/>
            </w:tcBorders>
          </w:tcPr>
          <w:p>
            <w:pPr>
              <w:spacing w:line="251" w:lineRule="auto"/>
              <w:rPr>
                <w:rFonts w:ascii="Arial"/>
                <w:sz w:val="21"/>
              </w:rPr>
            </w:pPr>
            <w:r/>
          </w:p>
          <w:p>
            <w:pPr>
              <w:pStyle w:val="TableText"/>
              <w:ind w:left="228"/>
              <w:spacing w:before="65" w:line="228" w:lineRule="auto"/>
              <w:rPr/>
            </w:pPr>
            <w:r>
              <w:rPr>
                <w:b/>
                <w:bCs/>
                <w:spacing w:val="6"/>
              </w:rPr>
              <w:t>用水项目</w:t>
            </w:r>
          </w:p>
        </w:tc>
        <w:tc>
          <w:tcPr>
            <w:tcW w:w="717" w:type="dxa"/>
            <w:vAlign w:val="top"/>
            <w:vMerge w:val="restart"/>
            <w:tcBorders>
              <w:bottom w:val="nil"/>
            </w:tcBorders>
          </w:tcPr>
          <w:p>
            <w:pPr>
              <w:pStyle w:val="TableText"/>
              <w:ind w:left="46"/>
              <w:spacing w:before="181" w:line="228" w:lineRule="auto"/>
              <w:rPr/>
            </w:pPr>
            <w:r>
              <w:rPr>
                <w:b/>
                <w:bCs/>
                <w:spacing w:val="5"/>
              </w:rPr>
              <w:t>用水定</w:t>
            </w:r>
          </w:p>
          <w:p>
            <w:pPr>
              <w:pStyle w:val="TableText"/>
              <w:ind w:left="256"/>
              <w:spacing w:before="24" w:line="228" w:lineRule="auto"/>
              <w:rPr/>
            </w:pPr>
            <w:r>
              <w:rPr>
                <w:b/>
                <w:bCs/>
                <w:spacing w:val="-2"/>
              </w:rPr>
              <w:t>额</w:t>
            </w:r>
          </w:p>
        </w:tc>
        <w:tc>
          <w:tcPr>
            <w:tcW w:w="558" w:type="dxa"/>
            <w:vAlign w:val="top"/>
            <w:vMerge w:val="restart"/>
            <w:tcBorders>
              <w:bottom w:val="nil"/>
            </w:tcBorders>
          </w:tcPr>
          <w:p>
            <w:pPr>
              <w:spacing w:line="251" w:lineRule="auto"/>
              <w:rPr>
                <w:rFonts w:ascii="Arial"/>
                <w:sz w:val="21"/>
              </w:rPr>
            </w:pPr>
            <w:r/>
          </w:p>
          <w:p>
            <w:pPr>
              <w:pStyle w:val="TableText"/>
              <w:ind w:left="72"/>
              <w:spacing w:before="65" w:line="228" w:lineRule="auto"/>
              <w:rPr/>
            </w:pPr>
            <w:r>
              <w:rPr>
                <w:b/>
                <w:bCs/>
                <w:spacing w:val="3"/>
              </w:rPr>
              <w:t>规模</w:t>
            </w:r>
          </w:p>
        </w:tc>
        <w:tc>
          <w:tcPr>
            <w:tcW w:w="639" w:type="dxa"/>
            <w:vAlign w:val="top"/>
            <w:vMerge w:val="restart"/>
            <w:tcBorders>
              <w:bottom w:val="nil"/>
            </w:tcBorders>
          </w:tcPr>
          <w:p>
            <w:pPr>
              <w:pStyle w:val="TableText"/>
              <w:ind w:left="113"/>
              <w:spacing w:before="181" w:line="228" w:lineRule="auto"/>
              <w:rPr/>
            </w:pPr>
            <w:r>
              <w:rPr>
                <w:b/>
                <w:bCs/>
                <w:spacing w:val="3"/>
              </w:rPr>
              <w:t>用水</w:t>
            </w:r>
          </w:p>
          <w:p>
            <w:pPr>
              <w:pStyle w:val="TableText"/>
              <w:ind w:left="121"/>
              <w:spacing w:before="24" w:line="230" w:lineRule="auto"/>
              <w:rPr/>
            </w:pPr>
            <w:r>
              <w:rPr>
                <w:b/>
                <w:bCs/>
                <w:spacing w:val="-1"/>
              </w:rPr>
              <w:t>时间</w:t>
            </w:r>
          </w:p>
        </w:tc>
        <w:tc>
          <w:tcPr>
            <w:tcW w:w="1144" w:type="dxa"/>
            <w:vAlign w:val="top"/>
          </w:tcPr>
          <w:p>
            <w:pPr>
              <w:pStyle w:val="TableText"/>
              <w:ind w:left="261"/>
              <w:spacing w:before="109" w:line="228" w:lineRule="auto"/>
              <w:rPr/>
            </w:pPr>
            <w:r>
              <w:rPr>
                <w:b/>
                <w:bCs/>
                <w:spacing w:val="5"/>
              </w:rPr>
              <w:t>用水量</w:t>
            </w:r>
          </w:p>
        </w:tc>
        <w:tc>
          <w:tcPr>
            <w:tcW w:w="979" w:type="dxa"/>
            <w:vAlign w:val="top"/>
          </w:tcPr>
          <w:p>
            <w:pPr>
              <w:pStyle w:val="TableText"/>
              <w:ind w:left="178"/>
              <w:spacing w:before="109" w:line="228" w:lineRule="auto"/>
              <w:rPr/>
            </w:pPr>
            <w:r>
              <w:rPr>
                <w:b/>
                <w:bCs/>
                <w:spacing w:val="5"/>
              </w:rPr>
              <w:t>损耗量</w:t>
            </w:r>
          </w:p>
        </w:tc>
        <w:tc>
          <w:tcPr>
            <w:tcW w:w="973" w:type="dxa"/>
            <w:vAlign w:val="top"/>
          </w:tcPr>
          <w:p>
            <w:pPr>
              <w:pStyle w:val="TableText"/>
              <w:ind w:left="176"/>
              <w:spacing w:before="109" w:line="228" w:lineRule="auto"/>
              <w:rPr/>
            </w:pPr>
            <w:r>
              <w:rPr>
                <w:b/>
                <w:bCs/>
                <w:spacing w:val="5"/>
              </w:rPr>
              <w:t>排水量</w:t>
            </w:r>
          </w:p>
        </w:tc>
        <w:tc>
          <w:tcPr>
            <w:tcW w:w="2237" w:type="dxa"/>
            <w:vAlign w:val="top"/>
            <w:vMerge w:val="restart"/>
            <w:tcBorders>
              <w:bottom w:val="nil"/>
            </w:tcBorders>
          </w:tcPr>
          <w:p>
            <w:pPr>
              <w:spacing w:line="251" w:lineRule="auto"/>
              <w:rPr>
                <w:rFonts w:ascii="Arial"/>
                <w:sz w:val="21"/>
              </w:rPr>
            </w:pPr>
            <w:r/>
          </w:p>
          <w:p>
            <w:pPr>
              <w:pStyle w:val="TableText"/>
              <w:ind w:left="700"/>
              <w:spacing w:before="65" w:line="228" w:lineRule="auto"/>
              <w:rPr/>
            </w:pPr>
            <w:r>
              <w:rPr>
                <w:b/>
                <w:bCs/>
                <w:spacing w:val="6"/>
              </w:rPr>
              <w:t>废水去向</w:t>
            </w:r>
          </w:p>
        </w:tc>
      </w:tr>
      <w:tr>
        <w:trPr>
          <w:trHeight w:val="414" w:hRule="atLeast"/>
        </w:trPr>
        <w:tc>
          <w:tcPr>
            <w:tcW w:w="1286" w:type="dxa"/>
            <w:vAlign w:val="top"/>
            <w:vMerge w:val="continue"/>
            <w:tcBorders>
              <w:top w:val="nil"/>
            </w:tcBorders>
          </w:tcPr>
          <w:p>
            <w:pPr>
              <w:rPr>
                <w:rFonts w:ascii="Arial"/>
                <w:sz w:val="21"/>
              </w:rPr>
            </w:pPr>
            <w:r/>
          </w:p>
        </w:tc>
        <w:tc>
          <w:tcPr>
            <w:tcW w:w="717" w:type="dxa"/>
            <w:vAlign w:val="top"/>
            <w:vMerge w:val="continue"/>
            <w:tcBorders>
              <w:top w:val="nil"/>
            </w:tcBorders>
          </w:tcPr>
          <w:p>
            <w:pPr>
              <w:rPr>
                <w:rFonts w:ascii="Arial"/>
                <w:sz w:val="21"/>
              </w:rPr>
            </w:pPr>
            <w:r/>
          </w:p>
        </w:tc>
        <w:tc>
          <w:tcPr>
            <w:tcW w:w="558" w:type="dxa"/>
            <w:vAlign w:val="top"/>
            <w:vMerge w:val="continue"/>
            <w:tcBorders>
              <w:top w:val="nil"/>
            </w:tcBorders>
          </w:tcPr>
          <w:p>
            <w:pPr>
              <w:rPr>
                <w:rFonts w:ascii="Arial"/>
                <w:sz w:val="21"/>
              </w:rPr>
            </w:pPr>
            <w:r/>
          </w:p>
        </w:tc>
        <w:tc>
          <w:tcPr>
            <w:tcW w:w="639" w:type="dxa"/>
            <w:vAlign w:val="top"/>
            <w:vMerge w:val="continue"/>
            <w:tcBorders>
              <w:top w:val="nil"/>
            </w:tcBorders>
          </w:tcPr>
          <w:p>
            <w:pPr>
              <w:rPr>
                <w:rFonts w:ascii="Arial"/>
                <w:sz w:val="21"/>
              </w:rPr>
            </w:pPr>
            <w:r/>
          </w:p>
        </w:tc>
        <w:tc>
          <w:tcPr>
            <w:tcW w:w="1144" w:type="dxa"/>
            <w:vAlign w:val="top"/>
          </w:tcPr>
          <w:p>
            <w:pPr>
              <w:ind w:left="369"/>
              <w:spacing w:before="14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5"/>
                <w:w w:val="97"/>
              </w:rPr>
              <w:t>m3/d</w:t>
            </w:r>
          </w:p>
        </w:tc>
        <w:tc>
          <w:tcPr>
            <w:tcW w:w="979" w:type="dxa"/>
            <w:vAlign w:val="top"/>
          </w:tcPr>
          <w:p>
            <w:pPr>
              <w:ind w:left="286"/>
              <w:spacing w:before="14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5"/>
                <w:w w:val="97"/>
              </w:rPr>
              <w:t>m3/d</w:t>
            </w:r>
          </w:p>
        </w:tc>
        <w:tc>
          <w:tcPr>
            <w:tcW w:w="973" w:type="dxa"/>
            <w:vAlign w:val="top"/>
          </w:tcPr>
          <w:p>
            <w:pPr>
              <w:ind w:left="284"/>
              <w:spacing w:before="14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5"/>
                <w:w w:val="97"/>
              </w:rPr>
              <w:t>m3/d</w:t>
            </w:r>
          </w:p>
        </w:tc>
        <w:tc>
          <w:tcPr>
            <w:tcW w:w="2237" w:type="dxa"/>
            <w:vAlign w:val="top"/>
            <w:vMerge w:val="continue"/>
            <w:tcBorders>
              <w:top w:val="nil"/>
            </w:tcBorders>
          </w:tcPr>
          <w:p>
            <w:pPr>
              <w:rPr>
                <w:rFonts w:ascii="Arial"/>
                <w:sz w:val="21"/>
              </w:rPr>
            </w:pPr>
            <w:r/>
          </w:p>
        </w:tc>
      </w:tr>
      <w:tr>
        <w:trPr>
          <w:trHeight w:val="833" w:hRule="atLeast"/>
        </w:trPr>
        <w:tc>
          <w:tcPr>
            <w:tcW w:w="1286" w:type="dxa"/>
            <w:vAlign w:val="top"/>
            <w:vMerge w:val="restart"/>
            <w:tcBorders>
              <w:bottom w:val="nil"/>
            </w:tcBorders>
          </w:tcPr>
          <w:p>
            <w:pPr>
              <w:spacing w:line="264" w:lineRule="auto"/>
              <w:rPr>
                <w:rFonts w:ascii="Arial"/>
                <w:sz w:val="21"/>
              </w:rPr>
            </w:pPr>
            <w:r/>
          </w:p>
          <w:p>
            <w:pPr>
              <w:spacing w:line="264" w:lineRule="auto"/>
              <w:rPr>
                <w:rFonts w:ascii="Arial"/>
                <w:sz w:val="21"/>
              </w:rPr>
            </w:pPr>
            <w:r/>
          </w:p>
          <w:p>
            <w:pPr>
              <w:pStyle w:val="TableText"/>
              <w:ind w:left="231"/>
              <w:spacing w:before="65" w:line="228" w:lineRule="auto"/>
              <w:rPr/>
            </w:pPr>
            <w:r>
              <w:rPr>
                <w:spacing w:val="6"/>
              </w:rPr>
              <w:t>生活用水</w:t>
            </w:r>
          </w:p>
        </w:tc>
        <w:tc>
          <w:tcPr>
            <w:tcW w:w="717" w:type="dxa"/>
            <w:vAlign w:val="top"/>
            <w:vMerge w:val="restart"/>
            <w:tcBorders>
              <w:bottom w:val="nil"/>
            </w:tcBorders>
          </w:tcPr>
          <w:p>
            <w:pPr>
              <w:spacing w:line="434" w:lineRule="auto"/>
              <w:rPr>
                <w:rFonts w:ascii="Arial"/>
                <w:sz w:val="21"/>
              </w:rPr>
            </w:pPr>
            <w:r/>
          </w:p>
          <w:p>
            <w:pPr>
              <w:pStyle w:val="TableText"/>
              <w:ind w:left="171" w:right="107" w:hanging="45"/>
              <w:spacing w:before="58" w:line="252" w:lineRule="auto"/>
              <w:rPr>
                <w:rFonts w:ascii="Times New Roman" w:hAnsi="Times New Roman" w:eastAsia="Times New Roman" w:cs="Times New Roman"/>
              </w:rPr>
            </w:pPr>
            <w:r>
              <w:rPr>
                <w:rFonts w:ascii="Times New Roman" w:hAnsi="Times New Roman" w:eastAsia="Times New Roman" w:cs="Times New Roman"/>
              </w:rPr>
              <w:t>120L/ </w:t>
            </w:r>
            <w:r>
              <w:rPr>
                <w:spacing w:val="2"/>
              </w:rPr>
              <w:t>人</w:t>
            </w:r>
            <w:r>
              <w:rPr>
                <w:rFonts w:ascii="Times New Roman" w:hAnsi="Times New Roman" w:eastAsia="Times New Roman" w:cs="Times New Roman"/>
                <w:spacing w:val="2"/>
              </w:rPr>
              <w:t>·d</w:t>
            </w:r>
          </w:p>
        </w:tc>
        <w:tc>
          <w:tcPr>
            <w:tcW w:w="558" w:type="dxa"/>
            <w:vAlign w:val="top"/>
            <w:vMerge w:val="restart"/>
            <w:tcBorders>
              <w:bottom w:val="nil"/>
            </w:tcBorders>
          </w:tcPr>
          <w:p>
            <w:pPr>
              <w:spacing w:line="438" w:lineRule="auto"/>
              <w:rPr>
                <w:rFonts w:ascii="Arial"/>
                <w:sz w:val="21"/>
              </w:rPr>
            </w:pPr>
            <w:r/>
          </w:p>
          <w:p>
            <w:pPr>
              <w:ind w:left="141"/>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100</w:t>
            </w:r>
          </w:p>
          <w:p>
            <w:pPr>
              <w:pStyle w:val="TableText"/>
              <w:ind w:left="179"/>
              <w:spacing w:before="31" w:line="231" w:lineRule="auto"/>
              <w:rPr/>
            </w:pPr>
            <w:r>
              <w:rPr/>
              <w:t>人</w:t>
            </w:r>
          </w:p>
        </w:tc>
        <w:tc>
          <w:tcPr>
            <w:tcW w:w="639" w:type="dxa"/>
            <w:vAlign w:val="top"/>
            <w:vMerge w:val="restart"/>
            <w:tcBorders>
              <w:bottom w:val="nil"/>
            </w:tcBorders>
          </w:tcPr>
          <w:p>
            <w:pPr>
              <w:spacing w:line="284" w:lineRule="auto"/>
              <w:rPr>
                <w:rFonts w:ascii="Arial"/>
                <w:sz w:val="21"/>
              </w:rPr>
            </w:pPr>
            <w:r/>
          </w:p>
          <w:p>
            <w:pPr>
              <w:spacing w:line="284" w:lineRule="auto"/>
              <w:rPr>
                <w:rFonts w:ascii="Arial"/>
                <w:sz w:val="21"/>
              </w:rPr>
            </w:pPr>
            <w:r/>
          </w:p>
          <w:p>
            <w:pPr>
              <w:ind w:left="37"/>
              <w:spacing w:before="5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300d/a</w:t>
            </w:r>
          </w:p>
        </w:tc>
        <w:tc>
          <w:tcPr>
            <w:tcW w:w="1144" w:type="dxa"/>
            <w:vAlign w:val="top"/>
            <w:vMerge w:val="restart"/>
            <w:tcBorders>
              <w:bottom w:val="nil"/>
            </w:tcBorders>
          </w:tcPr>
          <w:p>
            <w:pPr>
              <w:spacing w:line="286" w:lineRule="auto"/>
              <w:rPr>
                <w:rFonts w:ascii="Arial"/>
                <w:sz w:val="21"/>
              </w:rPr>
            </w:pPr>
            <w:r/>
          </w:p>
          <w:p>
            <w:pPr>
              <w:spacing w:line="286" w:lineRule="auto"/>
              <w:rPr>
                <w:rFonts w:ascii="Arial"/>
                <w:sz w:val="21"/>
              </w:rPr>
            </w:pPr>
            <w:r/>
          </w:p>
          <w:p>
            <w:pPr>
              <w:ind w:left="487"/>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979" w:type="dxa"/>
            <w:vAlign w:val="top"/>
          </w:tcPr>
          <w:p>
            <w:pPr>
              <w:spacing w:line="291" w:lineRule="auto"/>
              <w:rPr>
                <w:rFonts w:ascii="Arial"/>
                <w:sz w:val="21"/>
              </w:rPr>
            </w:pPr>
            <w:r/>
          </w:p>
          <w:p>
            <w:pPr>
              <w:ind w:left="380"/>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1.6</w:t>
            </w:r>
          </w:p>
        </w:tc>
        <w:tc>
          <w:tcPr>
            <w:tcW w:w="973" w:type="dxa"/>
            <w:vAlign w:val="top"/>
          </w:tcPr>
          <w:p>
            <w:pPr>
              <w:pStyle w:val="TableText"/>
              <w:ind w:left="167" w:hanging="148"/>
              <w:spacing w:before="180" w:line="252" w:lineRule="auto"/>
              <w:rPr/>
            </w:pPr>
            <w:r>
              <w:rPr>
                <w:rFonts w:ascii="Times New Roman" w:hAnsi="Times New Roman" w:eastAsia="Times New Roman" w:cs="Times New Roman"/>
                <w:spacing w:val="-15"/>
              </w:rPr>
              <w:t>6.4</w:t>
            </w:r>
            <w:r>
              <w:rPr>
                <w:spacing w:val="-15"/>
              </w:rPr>
              <w:t>（洗浴、</w:t>
            </w:r>
            <w:r>
              <w:rPr>
                <w:spacing w:val="2"/>
              </w:rPr>
              <w:t xml:space="preserve"> </w:t>
            </w:r>
            <w:r>
              <w:rPr>
                <w:spacing w:val="-6"/>
              </w:rPr>
              <w:t>食堂）</w:t>
            </w:r>
          </w:p>
        </w:tc>
        <w:tc>
          <w:tcPr>
            <w:tcW w:w="2237" w:type="dxa"/>
            <w:vAlign w:val="top"/>
          </w:tcPr>
          <w:p>
            <w:pPr>
              <w:pStyle w:val="TableText"/>
              <w:ind w:left="74"/>
              <w:spacing w:before="42" w:line="228" w:lineRule="auto"/>
              <w:rPr/>
            </w:pPr>
            <w:r>
              <w:rPr>
                <w:spacing w:val="8"/>
              </w:rPr>
              <w:t>独立管道系统外排市政</w:t>
            </w:r>
          </w:p>
          <w:p>
            <w:pPr>
              <w:pStyle w:val="TableText"/>
              <w:ind w:left="21"/>
              <w:spacing w:before="24" w:line="228" w:lineRule="auto"/>
              <w:rPr/>
            </w:pPr>
            <w:r>
              <w:rPr>
                <w:spacing w:val="-1"/>
              </w:rPr>
              <w:t>污水管网，进入明安图镇</w:t>
            </w:r>
          </w:p>
          <w:p>
            <w:pPr>
              <w:pStyle w:val="TableText"/>
              <w:ind w:left="599"/>
              <w:spacing w:before="26" w:line="217" w:lineRule="auto"/>
              <w:rPr/>
            </w:pPr>
            <w:r>
              <w:rPr>
                <w:spacing w:val="7"/>
              </w:rPr>
              <w:t>污水处理厂</w:t>
            </w:r>
          </w:p>
        </w:tc>
      </w:tr>
      <w:tr>
        <w:trPr>
          <w:trHeight w:val="561" w:hRule="atLeast"/>
        </w:trPr>
        <w:tc>
          <w:tcPr>
            <w:tcW w:w="1286" w:type="dxa"/>
            <w:vAlign w:val="top"/>
            <w:vMerge w:val="continue"/>
            <w:tcBorders>
              <w:top w:val="nil"/>
            </w:tcBorders>
          </w:tcPr>
          <w:p>
            <w:pPr>
              <w:rPr>
                <w:rFonts w:ascii="Arial"/>
                <w:sz w:val="21"/>
              </w:rPr>
            </w:pPr>
            <w:r/>
          </w:p>
        </w:tc>
        <w:tc>
          <w:tcPr>
            <w:tcW w:w="717" w:type="dxa"/>
            <w:vAlign w:val="top"/>
            <w:vMerge w:val="continue"/>
            <w:tcBorders>
              <w:top w:val="nil"/>
            </w:tcBorders>
          </w:tcPr>
          <w:p>
            <w:pPr>
              <w:rPr>
                <w:rFonts w:ascii="Arial"/>
                <w:sz w:val="21"/>
              </w:rPr>
            </w:pPr>
            <w:r/>
          </w:p>
        </w:tc>
        <w:tc>
          <w:tcPr>
            <w:tcW w:w="558" w:type="dxa"/>
            <w:vAlign w:val="top"/>
            <w:vMerge w:val="continue"/>
            <w:tcBorders>
              <w:top w:val="nil"/>
            </w:tcBorders>
          </w:tcPr>
          <w:p>
            <w:pPr>
              <w:rPr>
                <w:rFonts w:ascii="Arial"/>
                <w:sz w:val="21"/>
              </w:rPr>
            </w:pPr>
            <w:r/>
          </w:p>
        </w:tc>
        <w:tc>
          <w:tcPr>
            <w:tcW w:w="639" w:type="dxa"/>
            <w:vAlign w:val="top"/>
            <w:vMerge w:val="continue"/>
            <w:tcBorders>
              <w:top w:val="nil"/>
            </w:tcBorders>
          </w:tcPr>
          <w:p>
            <w:pPr>
              <w:rPr>
                <w:rFonts w:ascii="Arial"/>
                <w:sz w:val="21"/>
              </w:rPr>
            </w:pPr>
            <w:r/>
          </w:p>
        </w:tc>
        <w:tc>
          <w:tcPr>
            <w:tcW w:w="1144" w:type="dxa"/>
            <w:vAlign w:val="top"/>
            <w:vMerge w:val="continue"/>
            <w:tcBorders>
              <w:top w:val="nil"/>
            </w:tcBorders>
          </w:tcPr>
          <w:p>
            <w:pPr>
              <w:rPr>
                <w:rFonts w:ascii="Arial"/>
                <w:sz w:val="21"/>
              </w:rPr>
            </w:pPr>
            <w:r/>
          </w:p>
        </w:tc>
        <w:tc>
          <w:tcPr>
            <w:tcW w:w="979" w:type="dxa"/>
            <w:vAlign w:val="top"/>
          </w:tcPr>
          <w:p>
            <w:pPr>
              <w:ind w:left="363"/>
              <w:spacing w:before="21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0.8</w:t>
            </w:r>
          </w:p>
        </w:tc>
        <w:tc>
          <w:tcPr>
            <w:tcW w:w="973" w:type="dxa"/>
            <w:vAlign w:val="top"/>
          </w:tcPr>
          <w:p>
            <w:pPr>
              <w:pStyle w:val="TableText"/>
              <w:ind w:left="175" w:right="38" w:hanging="130"/>
              <w:spacing w:before="46" w:line="233" w:lineRule="auto"/>
              <w:rPr/>
            </w:pPr>
            <w:r>
              <w:rPr>
                <w:rFonts w:ascii="Times New Roman" w:hAnsi="Times New Roman" w:eastAsia="Times New Roman" w:cs="Times New Roman"/>
                <w:spacing w:val="5"/>
              </w:rPr>
              <w:t>3.2</w:t>
            </w:r>
            <w:r>
              <w:rPr>
                <w:spacing w:val="5"/>
              </w:rPr>
              <w:t>（冲厕</w:t>
            </w:r>
            <w:r>
              <w:rPr>
                <w:spacing w:val="3"/>
              </w:rPr>
              <w:t xml:space="preserve"> </w:t>
            </w:r>
            <w:r>
              <w:rPr>
                <w:spacing w:val="3"/>
              </w:rPr>
              <w:t>废水）</w:t>
            </w:r>
          </w:p>
        </w:tc>
        <w:tc>
          <w:tcPr>
            <w:tcW w:w="2237" w:type="dxa"/>
            <w:vAlign w:val="top"/>
            <w:vMerge w:val="restart"/>
            <w:tcBorders>
              <w:bottom w:val="nil"/>
            </w:tcBorders>
          </w:tcPr>
          <w:p>
            <w:pPr>
              <w:spacing w:line="301" w:lineRule="auto"/>
              <w:rPr>
                <w:rFonts w:ascii="Arial"/>
                <w:sz w:val="21"/>
              </w:rPr>
            </w:pPr>
            <w:r/>
          </w:p>
          <w:p>
            <w:pPr>
              <w:spacing w:line="301" w:lineRule="auto"/>
              <w:rPr>
                <w:rFonts w:ascii="Arial"/>
                <w:sz w:val="21"/>
              </w:rPr>
            </w:pPr>
            <w:r/>
          </w:p>
          <w:p>
            <w:pPr>
              <w:pStyle w:val="TableText"/>
              <w:ind w:left="282"/>
              <w:spacing w:before="65" w:line="227" w:lineRule="auto"/>
              <w:rPr/>
            </w:pPr>
            <w:r>
              <w:rPr>
                <w:spacing w:val="8"/>
              </w:rPr>
              <w:t>进入厌氧发酵装置</w:t>
            </w:r>
          </w:p>
        </w:tc>
      </w:tr>
      <w:tr>
        <w:trPr>
          <w:trHeight w:val="414" w:hRule="atLeast"/>
        </w:trPr>
        <w:tc>
          <w:tcPr>
            <w:tcW w:w="1286" w:type="dxa"/>
            <w:vAlign w:val="top"/>
          </w:tcPr>
          <w:p>
            <w:pPr>
              <w:pStyle w:val="TableText"/>
              <w:ind w:left="228"/>
              <w:spacing w:before="107" w:line="228" w:lineRule="auto"/>
              <w:rPr/>
            </w:pPr>
            <w:r>
              <w:rPr>
                <w:spacing w:val="7"/>
              </w:rPr>
              <w:t>洗毛用水</w:t>
            </w:r>
          </w:p>
        </w:tc>
        <w:tc>
          <w:tcPr>
            <w:tcW w:w="717" w:type="dxa"/>
            <w:vAlign w:val="top"/>
          </w:tcPr>
          <w:p>
            <w:pPr>
              <w:ind w:left="292"/>
              <w:spacing w:before="232"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w:t>
            </w:r>
          </w:p>
        </w:tc>
        <w:tc>
          <w:tcPr>
            <w:tcW w:w="558" w:type="dxa"/>
            <w:vAlign w:val="top"/>
          </w:tcPr>
          <w:p>
            <w:pPr>
              <w:ind w:left="213"/>
              <w:spacing w:before="232"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639" w:type="dxa"/>
            <w:vAlign w:val="top"/>
          </w:tcPr>
          <w:p>
            <w:pPr>
              <w:ind w:left="37"/>
              <w:spacing w:before="14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300d/a</w:t>
            </w:r>
          </w:p>
        </w:tc>
        <w:tc>
          <w:tcPr>
            <w:tcW w:w="1144" w:type="dxa"/>
            <w:vAlign w:val="top"/>
          </w:tcPr>
          <w:p>
            <w:pPr>
              <w:ind w:left="472"/>
              <w:spacing w:before="146"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57</w:t>
            </w:r>
          </w:p>
        </w:tc>
        <w:tc>
          <w:tcPr>
            <w:tcW w:w="979" w:type="dxa"/>
            <w:vAlign w:val="top"/>
          </w:tcPr>
          <w:p>
            <w:pPr>
              <w:ind w:left="385"/>
              <w:spacing w:before="14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w:t>
            </w:r>
          </w:p>
        </w:tc>
        <w:tc>
          <w:tcPr>
            <w:tcW w:w="973" w:type="dxa"/>
            <w:vAlign w:val="top"/>
          </w:tcPr>
          <w:p>
            <w:pPr>
              <w:ind w:left="351"/>
              <w:spacing w:before="14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135</w:t>
            </w:r>
          </w:p>
        </w:tc>
        <w:tc>
          <w:tcPr>
            <w:tcW w:w="2237" w:type="dxa"/>
            <w:vAlign w:val="top"/>
            <w:vMerge w:val="continue"/>
            <w:tcBorders>
              <w:top w:val="nil"/>
              <w:bottom w:val="nil"/>
            </w:tcBorders>
          </w:tcPr>
          <w:p>
            <w:pPr>
              <w:rPr>
                <w:rFonts w:ascii="Arial"/>
                <w:sz w:val="21"/>
              </w:rPr>
            </w:pPr>
            <w:r/>
          </w:p>
        </w:tc>
      </w:tr>
      <w:tr>
        <w:trPr>
          <w:trHeight w:val="561" w:hRule="atLeast"/>
        </w:trPr>
        <w:tc>
          <w:tcPr>
            <w:tcW w:w="1286" w:type="dxa"/>
            <w:vAlign w:val="top"/>
          </w:tcPr>
          <w:p>
            <w:pPr>
              <w:pStyle w:val="TableText"/>
              <w:ind w:left="125"/>
              <w:spacing w:before="43" w:line="228" w:lineRule="auto"/>
              <w:rPr/>
            </w:pPr>
            <w:r>
              <w:rPr>
                <w:spacing w:val="7"/>
              </w:rPr>
              <w:t>车间地面冲</w:t>
            </w:r>
          </w:p>
          <w:p>
            <w:pPr>
              <w:pStyle w:val="TableText"/>
              <w:ind w:left="437"/>
              <w:spacing w:before="27" w:line="215" w:lineRule="auto"/>
              <w:rPr/>
            </w:pPr>
            <w:r>
              <w:rPr>
                <w:spacing w:val="5"/>
              </w:rPr>
              <w:t>洗水</w:t>
            </w:r>
          </w:p>
        </w:tc>
        <w:tc>
          <w:tcPr>
            <w:tcW w:w="717" w:type="dxa"/>
            <w:vAlign w:val="top"/>
          </w:tcPr>
          <w:p>
            <w:pPr>
              <w:spacing w:line="246" w:lineRule="auto"/>
              <w:rPr>
                <w:rFonts w:ascii="Arial"/>
                <w:sz w:val="21"/>
              </w:rPr>
            </w:pPr>
            <w:r/>
          </w:p>
          <w:p>
            <w:pPr>
              <w:ind w:left="292"/>
              <w:spacing w:before="5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w:t>
            </w:r>
          </w:p>
        </w:tc>
        <w:tc>
          <w:tcPr>
            <w:tcW w:w="558" w:type="dxa"/>
            <w:vAlign w:val="top"/>
          </w:tcPr>
          <w:p>
            <w:pPr>
              <w:spacing w:line="246" w:lineRule="auto"/>
              <w:rPr>
                <w:rFonts w:ascii="Arial"/>
                <w:sz w:val="21"/>
              </w:rPr>
            </w:pPr>
            <w:r/>
          </w:p>
          <w:p>
            <w:pPr>
              <w:ind w:left="213"/>
              <w:spacing w:before="5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639" w:type="dxa"/>
            <w:vAlign w:val="top"/>
          </w:tcPr>
          <w:p>
            <w:pPr>
              <w:ind w:left="37"/>
              <w:spacing w:before="213"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300d/a</w:t>
            </w:r>
          </w:p>
        </w:tc>
        <w:tc>
          <w:tcPr>
            <w:tcW w:w="1144" w:type="dxa"/>
            <w:vAlign w:val="top"/>
          </w:tcPr>
          <w:p>
            <w:pPr>
              <w:ind w:left="525"/>
              <w:spacing w:before="21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979" w:type="dxa"/>
            <w:vAlign w:val="top"/>
          </w:tcPr>
          <w:p>
            <w:pPr>
              <w:ind w:left="363"/>
              <w:spacing w:before="21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0.5</w:t>
            </w:r>
          </w:p>
        </w:tc>
        <w:tc>
          <w:tcPr>
            <w:tcW w:w="973" w:type="dxa"/>
            <w:vAlign w:val="top"/>
          </w:tcPr>
          <w:p>
            <w:pPr>
              <w:ind w:left="356"/>
              <w:spacing w:before="21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4.5</w:t>
            </w:r>
          </w:p>
        </w:tc>
        <w:tc>
          <w:tcPr>
            <w:tcW w:w="2237" w:type="dxa"/>
            <w:vAlign w:val="top"/>
            <w:vMerge w:val="continue"/>
            <w:tcBorders>
              <w:top w:val="nil"/>
            </w:tcBorders>
          </w:tcPr>
          <w:p>
            <w:pPr>
              <w:rPr>
                <w:rFonts w:ascii="Arial"/>
                <w:sz w:val="21"/>
              </w:rPr>
            </w:pPr>
            <w:r/>
          </w:p>
        </w:tc>
      </w:tr>
      <w:tr>
        <w:trPr>
          <w:trHeight w:val="1378" w:hRule="atLeast"/>
        </w:trPr>
        <w:tc>
          <w:tcPr>
            <w:tcW w:w="1286" w:type="dxa"/>
            <w:vAlign w:val="top"/>
          </w:tcPr>
          <w:p>
            <w:pPr>
              <w:spacing w:line="252" w:lineRule="auto"/>
              <w:rPr>
                <w:rFonts w:ascii="Arial"/>
                <w:sz w:val="21"/>
              </w:rPr>
            </w:pPr>
            <w:r/>
          </w:p>
          <w:p>
            <w:pPr>
              <w:pStyle w:val="TableText"/>
              <w:ind w:left="18" w:right="13" w:firstLine="107"/>
              <w:spacing w:before="65" w:line="250" w:lineRule="auto"/>
              <w:rPr/>
            </w:pPr>
            <w:r>
              <w:rPr>
                <w:spacing w:val="7"/>
              </w:rPr>
              <w:t>纯水制备装</w:t>
            </w:r>
            <w:r>
              <w:rPr>
                <w:spacing w:val="1"/>
              </w:rPr>
              <w:t xml:space="preserve">  </w:t>
            </w:r>
            <w:r>
              <w:rPr>
                <w:spacing w:val="8"/>
              </w:rPr>
              <w:t>置用水、锅炉</w:t>
            </w:r>
          </w:p>
          <w:p>
            <w:pPr>
              <w:pStyle w:val="TableText"/>
              <w:ind w:left="439"/>
              <w:spacing w:line="227" w:lineRule="auto"/>
              <w:rPr/>
            </w:pPr>
            <w:r>
              <w:rPr>
                <w:spacing w:val="3"/>
              </w:rPr>
              <w:t>用水</w:t>
            </w:r>
          </w:p>
        </w:tc>
        <w:tc>
          <w:tcPr>
            <w:tcW w:w="717" w:type="dxa"/>
            <w:vAlign w:val="top"/>
          </w:tcPr>
          <w:p>
            <w:pPr>
              <w:spacing w:line="326" w:lineRule="auto"/>
              <w:rPr>
                <w:rFonts w:ascii="Arial"/>
                <w:sz w:val="21"/>
              </w:rPr>
            </w:pPr>
            <w:r/>
          </w:p>
          <w:p>
            <w:pPr>
              <w:spacing w:line="326" w:lineRule="auto"/>
              <w:rPr>
                <w:rFonts w:ascii="Arial"/>
                <w:sz w:val="21"/>
              </w:rPr>
            </w:pPr>
            <w:r/>
          </w:p>
          <w:p>
            <w:pPr>
              <w:ind w:left="292"/>
              <w:spacing w:before="5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w:t>
            </w:r>
          </w:p>
        </w:tc>
        <w:tc>
          <w:tcPr>
            <w:tcW w:w="558" w:type="dxa"/>
            <w:vAlign w:val="top"/>
          </w:tcPr>
          <w:p>
            <w:pPr>
              <w:spacing w:line="326" w:lineRule="auto"/>
              <w:rPr>
                <w:rFonts w:ascii="Arial"/>
                <w:sz w:val="21"/>
              </w:rPr>
            </w:pPr>
            <w:r/>
          </w:p>
          <w:p>
            <w:pPr>
              <w:spacing w:line="326" w:lineRule="auto"/>
              <w:rPr>
                <w:rFonts w:ascii="Arial"/>
                <w:sz w:val="21"/>
              </w:rPr>
            </w:pPr>
            <w:r/>
          </w:p>
          <w:p>
            <w:pPr>
              <w:ind w:left="213"/>
              <w:spacing w:before="5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639" w:type="dxa"/>
            <w:vAlign w:val="top"/>
          </w:tcPr>
          <w:p>
            <w:pPr>
              <w:spacing w:line="280" w:lineRule="auto"/>
              <w:rPr>
                <w:rFonts w:ascii="Arial"/>
                <w:sz w:val="21"/>
              </w:rPr>
            </w:pPr>
            <w:r/>
          </w:p>
          <w:p>
            <w:pPr>
              <w:spacing w:line="280" w:lineRule="auto"/>
              <w:rPr>
                <w:rFonts w:ascii="Arial"/>
                <w:sz w:val="21"/>
              </w:rPr>
            </w:pPr>
            <w:r/>
          </w:p>
          <w:p>
            <w:pPr>
              <w:ind w:left="37"/>
              <w:spacing w:before="5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300d/a</w:t>
            </w:r>
          </w:p>
        </w:tc>
        <w:tc>
          <w:tcPr>
            <w:tcW w:w="1144" w:type="dxa"/>
            <w:vAlign w:val="top"/>
          </w:tcPr>
          <w:p>
            <w:pPr>
              <w:spacing w:line="282" w:lineRule="auto"/>
              <w:rPr>
                <w:rFonts w:ascii="Arial"/>
                <w:sz w:val="21"/>
              </w:rPr>
            </w:pPr>
            <w:r/>
          </w:p>
          <w:p>
            <w:pPr>
              <w:spacing w:line="282" w:lineRule="auto"/>
              <w:rPr>
                <w:rFonts w:ascii="Arial"/>
                <w:sz w:val="21"/>
              </w:rPr>
            </w:pPr>
            <w:r/>
          </w:p>
          <w:p>
            <w:pPr>
              <w:ind w:left="355"/>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169.3</w:t>
            </w:r>
          </w:p>
        </w:tc>
        <w:tc>
          <w:tcPr>
            <w:tcW w:w="979" w:type="dxa"/>
            <w:vAlign w:val="top"/>
          </w:tcPr>
          <w:p>
            <w:pPr>
              <w:spacing w:line="326" w:lineRule="auto"/>
              <w:rPr>
                <w:rFonts w:ascii="Arial"/>
                <w:sz w:val="21"/>
              </w:rPr>
            </w:pPr>
            <w:r/>
          </w:p>
          <w:p>
            <w:pPr>
              <w:spacing w:line="326" w:lineRule="auto"/>
              <w:rPr>
                <w:rFonts w:ascii="Arial"/>
                <w:sz w:val="21"/>
              </w:rPr>
            </w:pPr>
            <w:r/>
          </w:p>
          <w:p>
            <w:pPr>
              <w:ind w:left="424"/>
              <w:spacing w:before="5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w:t>
            </w:r>
          </w:p>
        </w:tc>
        <w:tc>
          <w:tcPr>
            <w:tcW w:w="973" w:type="dxa"/>
            <w:vAlign w:val="top"/>
          </w:tcPr>
          <w:p>
            <w:pPr>
              <w:spacing w:line="282" w:lineRule="auto"/>
              <w:rPr>
                <w:rFonts w:ascii="Arial"/>
                <w:sz w:val="21"/>
              </w:rPr>
            </w:pPr>
            <w:r/>
          </w:p>
          <w:p>
            <w:pPr>
              <w:spacing w:line="282" w:lineRule="auto"/>
              <w:rPr>
                <w:rFonts w:ascii="Arial"/>
                <w:sz w:val="21"/>
              </w:rPr>
            </w:pPr>
            <w:r/>
          </w:p>
          <w:p>
            <w:pPr>
              <w:ind w:left="30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48.3</w:t>
            </w:r>
          </w:p>
        </w:tc>
        <w:tc>
          <w:tcPr>
            <w:tcW w:w="2237" w:type="dxa"/>
            <w:vAlign w:val="top"/>
          </w:tcPr>
          <w:p>
            <w:pPr>
              <w:pStyle w:val="TableText"/>
              <w:ind w:left="76"/>
              <w:spacing w:before="46" w:line="228" w:lineRule="auto"/>
              <w:rPr/>
            </w:pPr>
            <w:r>
              <w:rPr>
                <w:spacing w:val="8"/>
              </w:rPr>
              <w:t>用作锅炉草木灰抑尘及</w:t>
            </w:r>
          </w:p>
          <w:p>
            <w:pPr>
              <w:pStyle w:val="TableText"/>
              <w:ind w:right="3"/>
              <w:spacing w:before="24" w:line="228" w:lineRule="auto"/>
              <w:jc w:val="right"/>
              <w:rPr/>
            </w:pPr>
            <w:r>
              <w:rPr/>
              <w:t>厂区内道路抑尘用水，多</w:t>
            </w:r>
          </w:p>
          <w:p>
            <w:pPr>
              <w:pStyle w:val="TableText"/>
              <w:ind w:left="75"/>
              <w:spacing w:before="24" w:line="228" w:lineRule="auto"/>
              <w:rPr/>
            </w:pPr>
            <w:r>
              <w:rPr>
                <w:spacing w:val="8"/>
              </w:rPr>
              <w:t>余部分排入市政污水管</w:t>
            </w:r>
          </w:p>
          <w:p>
            <w:pPr>
              <w:pStyle w:val="TableText"/>
              <w:ind w:left="36"/>
              <w:spacing w:before="26" w:line="228" w:lineRule="auto"/>
              <w:rPr/>
            </w:pPr>
            <w:r>
              <w:rPr>
                <w:spacing w:val="-2"/>
              </w:rPr>
              <w:t>网，进入明安图镇污水处</w:t>
            </w:r>
          </w:p>
          <w:p>
            <w:pPr>
              <w:pStyle w:val="TableText"/>
              <w:ind w:left="917"/>
              <w:spacing w:before="24" w:line="216" w:lineRule="auto"/>
              <w:rPr/>
            </w:pPr>
            <w:r>
              <w:rPr>
                <w:spacing w:val="3"/>
              </w:rPr>
              <w:t>理厂</w:t>
            </w:r>
          </w:p>
        </w:tc>
      </w:tr>
      <w:tr>
        <w:trPr>
          <w:trHeight w:val="561" w:hRule="atLeast"/>
        </w:trPr>
        <w:tc>
          <w:tcPr>
            <w:tcW w:w="1286" w:type="dxa"/>
            <w:vAlign w:val="top"/>
          </w:tcPr>
          <w:p>
            <w:pPr>
              <w:pStyle w:val="TableText"/>
              <w:ind w:left="122"/>
              <w:spacing w:before="46" w:line="228" w:lineRule="auto"/>
              <w:rPr/>
            </w:pPr>
            <w:r>
              <w:rPr>
                <w:spacing w:val="8"/>
              </w:rPr>
              <w:t>梳绒车间加</w:t>
            </w:r>
          </w:p>
          <w:p>
            <w:pPr>
              <w:pStyle w:val="TableText"/>
              <w:ind w:left="123"/>
              <w:spacing w:before="25" w:line="215" w:lineRule="auto"/>
              <w:rPr/>
            </w:pPr>
            <w:r>
              <w:rPr>
                <w:spacing w:val="5"/>
              </w:rPr>
              <w:t>湿（纯水）</w:t>
            </w:r>
          </w:p>
        </w:tc>
        <w:tc>
          <w:tcPr>
            <w:tcW w:w="717" w:type="dxa"/>
            <w:vAlign w:val="top"/>
          </w:tcPr>
          <w:p>
            <w:pPr>
              <w:spacing w:line="248" w:lineRule="auto"/>
              <w:rPr>
                <w:rFonts w:ascii="Arial"/>
                <w:sz w:val="21"/>
              </w:rPr>
            </w:pPr>
            <w:r/>
          </w:p>
          <w:p>
            <w:pPr>
              <w:ind w:left="292"/>
              <w:spacing w:before="5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w:t>
            </w:r>
          </w:p>
        </w:tc>
        <w:tc>
          <w:tcPr>
            <w:tcW w:w="558" w:type="dxa"/>
            <w:vAlign w:val="top"/>
          </w:tcPr>
          <w:p>
            <w:pPr>
              <w:spacing w:line="248" w:lineRule="auto"/>
              <w:rPr>
                <w:rFonts w:ascii="Arial"/>
                <w:sz w:val="21"/>
              </w:rPr>
            </w:pPr>
            <w:r/>
          </w:p>
          <w:p>
            <w:pPr>
              <w:ind w:left="213"/>
              <w:spacing w:before="5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639" w:type="dxa"/>
            <w:vAlign w:val="top"/>
          </w:tcPr>
          <w:p>
            <w:pPr>
              <w:ind w:left="37"/>
              <w:spacing w:before="21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300d/a</w:t>
            </w:r>
          </w:p>
        </w:tc>
        <w:tc>
          <w:tcPr>
            <w:tcW w:w="1144" w:type="dxa"/>
            <w:vAlign w:val="top"/>
          </w:tcPr>
          <w:p>
            <w:pPr>
              <w:ind w:left="540"/>
              <w:spacing w:before="21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79" w:type="dxa"/>
            <w:vAlign w:val="top"/>
          </w:tcPr>
          <w:p>
            <w:pPr>
              <w:ind w:left="459"/>
              <w:spacing w:before="21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73" w:type="dxa"/>
            <w:vAlign w:val="top"/>
          </w:tcPr>
          <w:p>
            <w:pPr>
              <w:ind w:left="440"/>
              <w:spacing w:before="21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2237" w:type="dxa"/>
            <w:vAlign w:val="top"/>
          </w:tcPr>
          <w:p>
            <w:pPr>
              <w:spacing w:line="248" w:lineRule="auto"/>
              <w:rPr>
                <w:rFonts w:ascii="Arial"/>
                <w:sz w:val="21"/>
              </w:rPr>
            </w:pPr>
            <w:r/>
          </w:p>
          <w:p>
            <w:pPr>
              <w:ind w:left="1054"/>
              <w:spacing w:before="5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w:t>
            </w:r>
          </w:p>
        </w:tc>
      </w:tr>
      <w:tr>
        <w:trPr>
          <w:trHeight w:val="414" w:hRule="atLeast"/>
        </w:trPr>
        <w:tc>
          <w:tcPr>
            <w:tcW w:w="1286" w:type="dxa"/>
            <w:vAlign w:val="top"/>
          </w:tcPr>
          <w:p>
            <w:pPr>
              <w:pStyle w:val="TableText"/>
              <w:ind w:left="136"/>
              <w:spacing w:before="109" w:line="227" w:lineRule="auto"/>
              <w:rPr/>
            </w:pPr>
            <w:r>
              <w:rPr>
                <w:spacing w:val="5"/>
              </w:rPr>
              <w:t>除臭剂配制</w:t>
            </w:r>
          </w:p>
        </w:tc>
        <w:tc>
          <w:tcPr>
            <w:tcW w:w="717" w:type="dxa"/>
            <w:vAlign w:val="top"/>
          </w:tcPr>
          <w:p>
            <w:pPr>
              <w:ind w:left="292"/>
              <w:spacing w:before="233"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w:t>
            </w:r>
          </w:p>
        </w:tc>
        <w:tc>
          <w:tcPr>
            <w:tcW w:w="558" w:type="dxa"/>
            <w:vAlign w:val="top"/>
          </w:tcPr>
          <w:p>
            <w:pPr>
              <w:ind w:left="213"/>
              <w:spacing w:before="233"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639" w:type="dxa"/>
            <w:vAlign w:val="top"/>
          </w:tcPr>
          <w:p>
            <w:pPr>
              <w:ind w:left="37"/>
              <w:spacing w:before="141"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300d/a</w:t>
            </w:r>
          </w:p>
        </w:tc>
        <w:tc>
          <w:tcPr>
            <w:tcW w:w="1144" w:type="dxa"/>
            <w:vAlign w:val="top"/>
          </w:tcPr>
          <w:p>
            <w:pPr>
              <w:ind w:left="395"/>
              <w:spacing w:before="14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5"/>
              </w:rPr>
              <w:t>11</w:t>
            </w:r>
          </w:p>
        </w:tc>
        <w:tc>
          <w:tcPr>
            <w:tcW w:w="979" w:type="dxa"/>
            <w:vAlign w:val="top"/>
          </w:tcPr>
          <w:p>
            <w:pPr>
              <w:ind w:left="315"/>
              <w:spacing w:before="14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5"/>
              </w:rPr>
              <w:t>11</w:t>
            </w:r>
          </w:p>
        </w:tc>
        <w:tc>
          <w:tcPr>
            <w:tcW w:w="973" w:type="dxa"/>
            <w:vAlign w:val="top"/>
          </w:tcPr>
          <w:p>
            <w:pPr>
              <w:ind w:left="440"/>
              <w:spacing w:before="14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2237" w:type="dxa"/>
            <w:vAlign w:val="top"/>
          </w:tcPr>
          <w:p>
            <w:pPr>
              <w:ind w:left="1054"/>
              <w:spacing w:before="233"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w:t>
            </w:r>
          </w:p>
        </w:tc>
      </w:tr>
      <w:tr>
        <w:trPr>
          <w:trHeight w:val="418" w:hRule="atLeast"/>
        </w:trPr>
        <w:tc>
          <w:tcPr>
            <w:tcW w:w="3200" w:type="dxa"/>
            <w:vAlign w:val="top"/>
            <w:gridSpan w:val="4"/>
          </w:tcPr>
          <w:p>
            <w:pPr>
              <w:pStyle w:val="TableText"/>
              <w:ind w:left="1396"/>
              <w:spacing w:before="110" w:line="229" w:lineRule="auto"/>
              <w:rPr/>
            </w:pPr>
            <w:r>
              <w:rPr>
                <w:spacing w:val="4"/>
              </w:rPr>
              <w:t>合计</w:t>
            </w:r>
          </w:p>
        </w:tc>
        <w:tc>
          <w:tcPr>
            <w:tcW w:w="1144" w:type="dxa"/>
            <w:vAlign w:val="top"/>
          </w:tcPr>
          <w:p>
            <w:pPr>
              <w:ind w:left="282"/>
              <w:spacing w:before="1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243.41</w:t>
            </w:r>
          </w:p>
        </w:tc>
        <w:tc>
          <w:tcPr>
            <w:tcW w:w="979" w:type="dxa"/>
            <w:vAlign w:val="top"/>
          </w:tcPr>
          <w:p>
            <w:pPr>
              <w:ind w:left="253"/>
              <w:spacing w:before="1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46.01</w:t>
            </w:r>
          </w:p>
        </w:tc>
        <w:tc>
          <w:tcPr>
            <w:tcW w:w="973" w:type="dxa"/>
            <w:vAlign w:val="top"/>
          </w:tcPr>
          <w:p>
            <w:pPr>
              <w:ind w:left="272"/>
              <w:spacing w:before="1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197.4</w:t>
            </w:r>
          </w:p>
        </w:tc>
        <w:tc>
          <w:tcPr>
            <w:tcW w:w="2237" w:type="dxa"/>
            <w:vAlign w:val="top"/>
          </w:tcPr>
          <w:p>
            <w:pPr>
              <w:ind w:left="1054"/>
              <w:spacing w:before="234"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position w:val="-2"/>
              </w:rPr>
              <w:t>--</w:t>
            </w:r>
          </w:p>
        </w:tc>
      </w:tr>
    </w:tbl>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right="18"/>
        <w:spacing w:before="61" w:line="227" w:lineRule="auto"/>
        <w:jc w:val="right"/>
        <w:rPr>
          <w:rFonts w:ascii="SimSun" w:hAnsi="SimSun" w:eastAsia="SimSun" w:cs="SimSun"/>
          <w:sz w:val="19"/>
          <w:szCs w:val="19"/>
        </w:rPr>
      </w:pPr>
      <w:r>
        <w:pict>
          <v:shape id="_x0000_s348" style="position:absolute;margin-left:208.336pt;margin-top:2.09007pt;mso-position-vertical-relative:text;mso-position-horizontal-relative:text;width:58.75pt;height:13.75pt;z-index:251814912;"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1"/>
                      <w:position w:val="2"/>
                    </w:rPr>
                    <w:t>68        </w:t>
                  </w:r>
                  <w:r>
                    <w:rPr>
                      <w:rFonts w:ascii="SimSun" w:hAnsi="SimSun" w:eastAsia="SimSun" w:cs="SimSun"/>
                      <w:sz w:val="19"/>
                      <w:szCs w:val="19"/>
                      <w:spacing w:val="1"/>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81"/>
          <w:pgSz w:w="11907" w:h="16840"/>
          <w:pgMar w:top="1567" w:right="1684" w:bottom="400" w:left="1684" w:header="1221" w:footer="0" w:gutter="0"/>
        </w:sectPr>
        <w:rPr>
          <w:rFonts w:ascii="SimSun" w:hAnsi="SimSun" w:eastAsia="SimSun" w:cs="SimSun"/>
          <w:sz w:val="19"/>
          <w:szCs w:val="19"/>
        </w:rPr>
      </w:pPr>
    </w:p>
    <w:p>
      <w:pPr>
        <w:spacing w:before="152" w:line="5845" w:lineRule="exact"/>
        <w:rPr/>
      </w:pPr>
      <w:r>
        <w:pict>
          <v:shape id="_x0000_s354" style="position:absolute;margin-left:85.05pt;margin-top:79.11pt;mso-position-vertical-relative:page;mso-position-horizontal-relative:page;width:425.25pt;height:0.75pt;z-index:251817984;" o:allowincell="f" fillcolor="#000000" filled="true" stroked="false" coordsize="8505,15" coordorigin="0,0" path="m,l8505,0l8505,14l0,14l0,0xe"/>
        </w:pict>
      </w:r>
      <w:r>
        <w:rPr>
          <w:position w:val="-116"/>
        </w:rPr>
        <w:drawing>
          <wp:inline distT="0" distB="0" distL="0" distR="0">
            <wp:extent cx="5418582" cy="3711702"/>
            <wp:effectExtent l="0" t="0" r="0" b="0"/>
            <wp:docPr id="32" name="IM 32"/>
            <wp:cNvGraphicFramePr/>
            <a:graphic>
              <a:graphicData uri="http://schemas.openxmlformats.org/drawingml/2006/picture">
                <pic:pic>
                  <pic:nvPicPr>
                    <pic:cNvPr id="32" name="IM 32"/>
                    <pic:cNvPicPr/>
                  </pic:nvPicPr>
                  <pic:blipFill>
                    <a:blip r:embed="rId83"/>
                    <a:stretch>
                      <a:fillRect/>
                    </a:stretch>
                  </pic:blipFill>
                  <pic:spPr>
                    <a:xfrm rot="0">
                      <a:off x="0" y="0"/>
                      <a:ext cx="5418582" cy="3711702"/>
                    </a:xfrm>
                    <a:prstGeom prst="rect">
                      <a:avLst/>
                    </a:prstGeom>
                  </pic:spPr>
                </pic:pic>
              </a:graphicData>
            </a:graphic>
          </wp:inline>
        </w:drawing>
      </w:r>
    </w:p>
    <w:p>
      <w:pPr>
        <w:ind w:left="2210"/>
        <w:spacing w:before="33" w:line="219" w:lineRule="auto"/>
        <w:rPr>
          <w:rFonts w:ascii="Times New Roman" w:hAnsi="Times New Roman" w:eastAsia="Times New Roman" w:cs="Times New Roman"/>
          <w:sz w:val="24"/>
          <w:szCs w:val="24"/>
        </w:rPr>
      </w:pPr>
      <w:r>
        <w:rPr>
          <w:rFonts w:ascii="SimSun" w:hAnsi="SimSun" w:eastAsia="SimSun" w:cs="SimSun"/>
          <w:sz w:val="24"/>
          <w:szCs w:val="24"/>
          <w:b/>
          <w:bCs/>
          <w:spacing w:val="-2"/>
        </w:rPr>
        <w:t>图</w:t>
      </w:r>
      <w:r>
        <w:rPr>
          <w:rFonts w:ascii="Times New Roman" w:hAnsi="Times New Roman" w:eastAsia="Times New Roman" w:cs="Times New Roman"/>
          <w:sz w:val="24"/>
          <w:szCs w:val="24"/>
          <w:b/>
          <w:bCs/>
          <w:spacing w:val="-2"/>
        </w:rPr>
        <w:t>3.1-4      </w:t>
      </w:r>
      <w:r>
        <w:rPr>
          <w:rFonts w:ascii="SimSun" w:hAnsi="SimSun" w:eastAsia="SimSun" w:cs="SimSun"/>
          <w:sz w:val="24"/>
          <w:szCs w:val="24"/>
          <w:b/>
          <w:bCs/>
          <w:spacing w:val="-2"/>
        </w:rPr>
        <w:t>本项目水平衡分析图</w:t>
      </w:r>
      <w:r>
        <w:rPr>
          <w:rFonts w:ascii="SimSun" w:hAnsi="SimSun" w:eastAsia="SimSun" w:cs="SimSun"/>
          <w:sz w:val="24"/>
          <w:szCs w:val="24"/>
          <w:spacing w:val="-2"/>
        </w:rPr>
        <w:t xml:space="preserve">     </w:t>
      </w:r>
      <w:r>
        <w:rPr>
          <w:rFonts w:ascii="Times New Roman" w:hAnsi="Times New Roman" w:eastAsia="Times New Roman" w:cs="Times New Roman"/>
          <w:sz w:val="24"/>
          <w:szCs w:val="24"/>
          <w:b/>
          <w:bCs/>
          <w:spacing w:val="-2"/>
        </w:rPr>
        <w:t>t/d</w:t>
      </w:r>
    </w:p>
    <w:p>
      <w:pPr>
        <w:ind w:left="4"/>
        <w:spacing w:before="180"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3.1.8.3 </w:t>
      </w:r>
      <w:r>
        <w:rPr>
          <w:rFonts w:ascii="SimSun" w:hAnsi="SimSun" w:eastAsia="SimSun" w:cs="SimSun"/>
          <w:sz w:val="24"/>
          <w:szCs w:val="24"/>
          <w:b/>
          <w:bCs/>
          <w:spacing w:val="-1"/>
        </w:rPr>
        <w:t>供热</w:t>
      </w:r>
    </w:p>
    <w:p>
      <w:pPr>
        <w:ind w:left="10" w:right="80" w:firstLine="480"/>
        <w:spacing w:before="181" w:line="359" w:lineRule="auto"/>
        <w:jc w:val="both"/>
        <w:rPr>
          <w:rFonts w:ascii="SimSun" w:hAnsi="SimSun" w:eastAsia="SimSun" w:cs="SimSun"/>
          <w:sz w:val="24"/>
          <w:szCs w:val="24"/>
        </w:rPr>
      </w:pPr>
      <w:r>
        <w:rPr>
          <w:rFonts w:ascii="SimSun" w:hAnsi="SimSun" w:eastAsia="SimSun" w:cs="SimSun"/>
          <w:sz w:val="24"/>
          <w:szCs w:val="24"/>
          <w:spacing w:val="-3"/>
        </w:rPr>
        <w:t>本项目新建锅炉房配置</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台</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3"/>
        </w:rPr>
        <w:t>4t/h</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3"/>
        </w:rPr>
        <w:t>沼气蒸汽锅炉（</w:t>
      </w:r>
      <w:r>
        <w:rPr>
          <w:rFonts w:ascii="Times New Roman" w:hAnsi="Times New Roman" w:eastAsia="Times New Roman" w:cs="Times New Roman"/>
          <w:sz w:val="24"/>
          <w:szCs w:val="24"/>
          <w:spacing w:val="-3"/>
        </w:rPr>
        <w:t>W</w:t>
      </w:r>
      <w:r>
        <w:rPr>
          <w:rFonts w:ascii="Times New Roman" w:hAnsi="Times New Roman" w:eastAsia="Times New Roman" w:cs="Times New Roman"/>
          <w:sz w:val="24"/>
          <w:szCs w:val="24"/>
          <w:spacing w:val="-4"/>
        </w:rPr>
        <w:t>NS4-1.25-Y</w:t>
      </w:r>
      <w:r>
        <w:rPr>
          <w:rFonts w:ascii="SimSun" w:hAnsi="SimSun" w:eastAsia="SimSun" w:cs="SimSun"/>
          <w:sz w:val="24"/>
          <w:szCs w:val="24"/>
          <w:spacing w:val="-4"/>
        </w:rPr>
        <w:t>（</w:t>
      </w:r>
      <w:r>
        <w:rPr>
          <w:rFonts w:ascii="Times New Roman" w:hAnsi="Times New Roman" w:eastAsia="Times New Roman" w:cs="Times New Roman"/>
          <w:sz w:val="24"/>
          <w:szCs w:val="24"/>
          <w:spacing w:val="-4"/>
        </w:rPr>
        <w:t>Q</w:t>
      </w:r>
      <w:r>
        <w:rPr>
          <w:rFonts w:ascii="SimSun" w:hAnsi="SimSun" w:eastAsia="SimSun" w:cs="SimSun"/>
          <w:sz w:val="24"/>
          <w:szCs w:val="24"/>
          <w:spacing w:val="14"/>
        </w:rPr>
        <w:t>））</w:t>
      </w:r>
      <w:r>
        <w:rPr>
          <w:rFonts w:ascii="SimSun" w:hAnsi="SimSun" w:eastAsia="SimSun" w:cs="SimSun"/>
          <w:sz w:val="24"/>
          <w:szCs w:val="24"/>
          <w:spacing w:val="-4"/>
        </w:rPr>
        <w:t>、</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28"/>
          <w:w w:val="101"/>
        </w:rPr>
        <w:t xml:space="preserve"> </w:t>
      </w:r>
      <w:r>
        <w:rPr>
          <w:rFonts w:ascii="SimSun" w:hAnsi="SimSun" w:eastAsia="SimSun" w:cs="SimSun"/>
          <w:sz w:val="24"/>
          <w:szCs w:val="24"/>
          <w:spacing w:val="-4"/>
        </w:rPr>
        <w:t>台</w:t>
      </w:r>
      <w:r>
        <w:rPr>
          <w:rFonts w:ascii="SimSun" w:hAnsi="SimSun" w:eastAsia="SimSun" w:cs="SimSun"/>
          <w:sz w:val="24"/>
          <w:szCs w:val="24"/>
        </w:rPr>
        <w:t xml:space="preserve"> </w:t>
      </w:r>
      <w:r>
        <w:rPr>
          <w:rFonts w:ascii="SimSun" w:hAnsi="SimSun" w:eastAsia="SimSun" w:cs="SimSun"/>
          <w:sz w:val="24"/>
          <w:szCs w:val="24"/>
        </w:rPr>
        <w:t>生物质蒸汽锅炉（</w:t>
      </w:r>
      <w:r>
        <w:rPr>
          <w:rFonts w:ascii="Times New Roman" w:hAnsi="Times New Roman" w:eastAsia="Times New Roman" w:cs="Times New Roman"/>
          <w:sz w:val="24"/>
          <w:szCs w:val="24"/>
        </w:rPr>
        <w:t>DZL6-1.25-SC</w:t>
      </w:r>
      <w:r>
        <w:rPr>
          <w:rFonts w:ascii="Times New Roman" w:hAnsi="Times New Roman" w:eastAsia="Times New Roman" w:cs="Times New Roman"/>
          <w:sz w:val="24"/>
          <w:szCs w:val="24"/>
          <w:spacing w:val="-1"/>
        </w:rPr>
        <w:t>I</w:t>
      </w:r>
      <w:r>
        <w:rPr>
          <w:rFonts w:ascii="SimSun" w:hAnsi="SimSun" w:eastAsia="SimSun" w:cs="SimSun"/>
          <w:sz w:val="24"/>
          <w:szCs w:val="24"/>
          <w:spacing w:val="6"/>
        </w:rPr>
        <w:t>），</w:t>
      </w:r>
      <w:r>
        <w:rPr>
          <w:rFonts w:ascii="SimSun" w:hAnsi="SimSun" w:eastAsia="SimSun" w:cs="SimSun"/>
          <w:sz w:val="24"/>
          <w:szCs w:val="24"/>
          <w:spacing w:val="-1"/>
        </w:rPr>
        <w:t>供应本项目生产、生活用热。沼气锅炉燃料</w:t>
      </w:r>
      <w:r>
        <w:rPr>
          <w:rFonts w:ascii="SimSun" w:hAnsi="SimSun" w:eastAsia="SimSun" w:cs="SimSun"/>
          <w:sz w:val="24"/>
          <w:szCs w:val="24"/>
        </w:rPr>
        <w:t xml:space="preserve"> </w:t>
      </w:r>
      <w:r>
        <w:rPr>
          <w:rFonts w:ascii="SimSun" w:hAnsi="SimSun" w:eastAsia="SimSun" w:cs="SimSun"/>
          <w:sz w:val="24"/>
          <w:szCs w:val="24"/>
        </w:rPr>
        <w:t>来自本项目厌氧发酵装置产生的沼气，经净化后使</w:t>
      </w:r>
      <w:r>
        <w:rPr>
          <w:rFonts w:ascii="SimSun" w:hAnsi="SimSun" w:eastAsia="SimSun" w:cs="SimSun"/>
          <w:sz w:val="24"/>
          <w:szCs w:val="24"/>
          <w:spacing w:val="-1"/>
        </w:rPr>
        <w:t>用；生物质锅炉燃料外购。</w:t>
      </w:r>
    </w:p>
    <w:p>
      <w:pPr>
        <w:ind w:left="4" w:right="78" w:firstLine="486"/>
        <w:spacing w:before="2" w:line="359" w:lineRule="auto"/>
        <w:jc w:val="both"/>
        <w:rPr>
          <w:rFonts w:ascii="SimSun" w:hAnsi="SimSun" w:eastAsia="SimSun" w:cs="SimSun"/>
          <w:sz w:val="24"/>
          <w:szCs w:val="24"/>
        </w:rPr>
      </w:pPr>
      <w:r>
        <w:rPr>
          <w:rFonts w:ascii="SimSun" w:hAnsi="SimSun" w:eastAsia="SimSun" w:cs="SimSun"/>
          <w:sz w:val="24"/>
          <w:szCs w:val="24"/>
          <w:spacing w:val="-1"/>
        </w:rPr>
        <w:t>本项目沼气锅炉燃料（沼气）消耗量为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3150m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CH</w:t>
      </w:r>
      <w:r>
        <w:rPr>
          <w:rFonts w:ascii="Times New Roman" w:hAnsi="Times New Roman" w:eastAsia="Times New Roman" w:cs="Times New Roman"/>
          <w:sz w:val="15"/>
          <w:szCs w:val="15"/>
          <w:spacing w:val="-1"/>
          <w:position w:val="-1"/>
        </w:rPr>
        <w:t>4</w:t>
      </w:r>
      <w:r>
        <w:rPr>
          <w:rFonts w:ascii="Times New Roman" w:hAnsi="Times New Roman" w:eastAsia="Times New Roman" w:cs="Times New Roman"/>
          <w:sz w:val="15"/>
          <w:szCs w:val="15"/>
          <w:spacing w:val="14"/>
          <w:position w:val="-1"/>
        </w:rPr>
        <w:t xml:space="preserve"> </w:t>
      </w:r>
      <w:r>
        <w:rPr>
          <w:rFonts w:ascii="SimSun" w:hAnsi="SimSun" w:eastAsia="SimSun" w:cs="SimSun"/>
          <w:sz w:val="24"/>
          <w:szCs w:val="24"/>
          <w:spacing w:val="-1"/>
        </w:rPr>
        <w:t>含量为</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60%</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
        </w:rPr>
        <w:t>，可满足</w:t>
      </w:r>
      <w:r>
        <w:rPr>
          <w:rFonts w:ascii="SimSun" w:hAnsi="SimSun" w:eastAsia="SimSun" w:cs="SimSun"/>
          <w:sz w:val="24"/>
          <w:szCs w:val="24"/>
        </w:rPr>
        <w:t xml:space="preserve"> </w:t>
      </w:r>
      <w:r>
        <w:rPr>
          <w:rFonts w:ascii="Times New Roman" w:hAnsi="Times New Roman" w:eastAsia="Times New Roman" w:cs="Times New Roman"/>
          <w:sz w:val="24"/>
          <w:szCs w:val="24"/>
          <w:spacing w:val="-3"/>
        </w:rPr>
        <w:t>4t/h </w:t>
      </w:r>
      <w:r>
        <w:rPr>
          <w:rFonts w:ascii="SimSun" w:hAnsi="SimSun" w:eastAsia="SimSun" w:cs="SimSun"/>
          <w:sz w:val="24"/>
          <w:szCs w:val="24"/>
          <w:spacing w:val="-3"/>
        </w:rPr>
        <w:t>沼气锅炉每天满负荷运行</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6.3h</w:t>
      </w:r>
      <w:r>
        <w:rPr>
          <w:rFonts w:ascii="SimSun" w:hAnsi="SimSun" w:eastAsia="SimSun" w:cs="SimSun"/>
          <w:sz w:val="24"/>
          <w:szCs w:val="24"/>
          <w:spacing w:val="-3"/>
        </w:rPr>
        <w:t>（每小时甲烷用量为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75m</w:t>
      </w:r>
      <w:r>
        <w:rPr>
          <w:rFonts w:ascii="Times New Roman" w:hAnsi="Times New Roman" w:eastAsia="Times New Roman" w:cs="Times New Roman"/>
          <w:sz w:val="15"/>
          <w:szCs w:val="15"/>
          <w:spacing w:val="-3"/>
          <w:position w:val="8"/>
        </w:rPr>
        <w:t>3</w:t>
      </w:r>
      <w:r>
        <w:rPr>
          <w:rFonts w:ascii="Times New Roman" w:hAnsi="Times New Roman" w:eastAsia="Times New Roman" w:cs="Times New Roman"/>
          <w:sz w:val="24"/>
          <w:szCs w:val="24"/>
          <w:spacing w:val="-4"/>
        </w:rPr>
        <w:t>/h</w:t>
      </w:r>
      <w:r>
        <w:rPr>
          <w:rFonts w:ascii="SimSun" w:hAnsi="SimSun" w:eastAsia="SimSun" w:cs="SimSun"/>
          <w:sz w:val="24"/>
          <w:szCs w:val="24"/>
          <w:spacing w:val="-4"/>
        </w:rPr>
        <w:t>）。因冬季厌氧发酵</w:t>
      </w:r>
      <w:r>
        <w:rPr>
          <w:rFonts w:ascii="SimSun" w:hAnsi="SimSun" w:eastAsia="SimSun" w:cs="SimSun"/>
          <w:sz w:val="24"/>
          <w:szCs w:val="24"/>
        </w:rPr>
        <w:t xml:space="preserve"> </w:t>
      </w:r>
      <w:r>
        <w:rPr>
          <w:rFonts w:ascii="SimSun" w:hAnsi="SimSun" w:eastAsia="SimSun" w:cs="SimSun"/>
          <w:sz w:val="24"/>
          <w:szCs w:val="24"/>
          <w:spacing w:val="3"/>
        </w:rPr>
        <w:t>罐需自用部分热量（蒸汽）保持厌氧发酵的温度，沼气锅炉能提供给</w:t>
      </w:r>
      <w:r>
        <w:rPr>
          <w:rFonts w:ascii="SimSun" w:hAnsi="SimSun" w:eastAsia="SimSun" w:cs="SimSun"/>
          <w:sz w:val="24"/>
          <w:szCs w:val="24"/>
          <w:spacing w:val="2"/>
        </w:rPr>
        <w:t>洗毛车间的</w:t>
      </w:r>
      <w:r>
        <w:rPr>
          <w:rFonts w:ascii="SimSun" w:hAnsi="SimSun" w:eastAsia="SimSun" w:cs="SimSun"/>
          <w:sz w:val="24"/>
          <w:szCs w:val="24"/>
        </w:rPr>
        <w:t xml:space="preserve"> </w:t>
      </w:r>
      <w:r>
        <w:rPr>
          <w:rFonts w:ascii="SimSun" w:hAnsi="SimSun" w:eastAsia="SimSun" w:cs="SimSun"/>
          <w:sz w:val="24"/>
          <w:szCs w:val="24"/>
          <w:spacing w:val="-1"/>
        </w:rPr>
        <w:t>蒸汽量夏季</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25.2m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、冬季约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13.2m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p>
    <w:p>
      <w:pPr>
        <w:ind w:left="19" w:firstLine="469"/>
        <w:spacing w:before="2" w:line="359" w:lineRule="auto"/>
        <w:jc w:val="both"/>
        <w:rPr>
          <w:rFonts w:ascii="SimSun" w:hAnsi="SimSun" w:eastAsia="SimSun" w:cs="SimSun"/>
          <w:sz w:val="24"/>
          <w:szCs w:val="24"/>
        </w:rPr>
      </w:pPr>
      <w:r>
        <w:rPr>
          <w:rFonts w:ascii="SimSun" w:hAnsi="SimSun" w:eastAsia="SimSun" w:cs="SimSun"/>
          <w:sz w:val="24"/>
          <w:szCs w:val="24"/>
          <w:spacing w:val="-7"/>
        </w:rPr>
        <w:t>洗毛车间总蒸汽用量为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120m</w:t>
      </w:r>
      <w:r>
        <w:rPr>
          <w:rFonts w:ascii="Times New Roman" w:hAnsi="Times New Roman" w:eastAsia="Times New Roman" w:cs="Times New Roman"/>
          <w:sz w:val="15"/>
          <w:szCs w:val="15"/>
          <w:spacing w:val="-7"/>
          <w:position w:val="8"/>
        </w:rPr>
        <w:t>3</w:t>
      </w:r>
      <w:r>
        <w:rPr>
          <w:rFonts w:ascii="Times New Roman" w:hAnsi="Times New Roman" w:eastAsia="Times New Roman" w:cs="Times New Roman"/>
          <w:sz w:val="24"/>
          <w:szCs w:val="24"/>
          <w:spacing w:val="-7"/>
        </w:rPr>
        <w:t>/d</w:t>
      </w:r>
      <w:r>
        <w:rPr>
          <w:rFonts w:ascii="SimSun" w:hAnsi="SimSun" w:eastAsia="SimSun" w:cs="SimSun"/>
          <w:sz w:val="24"/>
          <w:szCs w:val="24"/>
          <w:spacing w:val="-7"/>
        </w:rPr>
        <w:t>，因此生物质锅炉夏季需提供蒸汽</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7"/>
        </w:rPr>
        <w:t>94.8m</w:t>
      </w:r>
      <w:r>
        <w:rPr>
          <w:rFonts w:ascii="Times New Roman" w:hAnsi="Times New Roman" w:eastAsia="Times New Roman" w:cs="Times New Roman"/>
          <w:sz w:val="15"/>
          <w:szCs w:val="15"/>
          <w:spacing w:val="-7"/>
          <w:position w:val="8"/>
        </w:rPr>
        <w:t>3</w:t>
      </w:r>
      <w:r>
        <w:rPr>
          <w:rFonts w:ascii="Times New Roman" w:hAnsi="Times New Roman" w:eastAsia="Times New Roman" w:cs="Times New Roman"/>
          <w:sz w:val="24"/>
          <w:szCs w:val="24"/>
          <w:spacing w:val="-7"/>
        </w:rPr>
        <w:t>/d</w:t>
      </w:r>
      <w:r>
        <w:rPr>
          <w:rFonts w:ascii="SimSun" w:hAnsi="SimSun" w:eastAsia="SimSun" w:cs="SimSun"/>
          <w:sz w:val="24"/>
          <w:szCs w:val="24"/>
          <w:spacing w:val="-7"/>
        </w:rPr>
        <w:t>（满</w:t>
      </w:r>
      <w:r>
        <w:rPr>
          <w:rFonts w:ascii="SimSun" w:hAnsi="SimSun" w:eastAsia="SimSun" w:cs="SimSun"/>
          <w:sz w:val="24"/>
          <w:szCs w:val="24"/>
        </w:rPr>
        <w:t xml:space="preserve"> </w:t>
      </w:r>
      <w:r>
        <w:rPr>
          <w:rFonts w:ascii="SimSun" w:hAnsi="SimSun" w:eastAsia="SimSun" w:cs="SimSun"/>
          <w:sz w:val="24"/>
          <w:szCs w:val="24"/>
          <w:spacing w:val="-5"/>
        </w:rPr>
        <w:t>负荷运行</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5"/>
        </w:rPr>
        <w:t>15.8h</w:t>
      </w:r>
      <w:r>
        <w:rPr>
          <w:rFonts w:ascii="SimSun" w:hAnsi="SimSun" w:eastAsia="SimSun" w:cs="SimSun"/>
          <w:sz w:val="24"/>
          <w:szCs w:val="24"/>
          <w:spacing w:val="-15"/>
        </w:rPr>
        <w:t>）；</w:t>
      </w:r>
      <w:r>
        <w:rPr>
          <w:rFonts w:ascii="SimSun" w:hAnsi="SimSun" w:eastAsia="SimSun" w:cs="SimSun"/>
          <w:sz w:val="24"/>
          <w:szCs w:val="24"/>
          <w:spacing w:val="-5"/>
        </w:rPr>
        <w:t>生物质锅炉冬季需要提供蒸汽</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106.8m</w:t>
      </w:r>
      <w:r>
        <w:rPr>
          <w:rFonts w:ascii="Times New Roman" w:hAnsi="Times New Roman" w:eastAsia="Times New Roman" w:cs="Times New Roman"/>
          <w:sz w:val="15"/>
          <w:szCs w:val="15"/>
          <w:spacing w:val="-5"/>
          <w:position w:val="8"/>
        </w:rPr>
        <w:t>3</w:t>
      </w:r>
      <w:r>
        <w:rPr>
          <w:rFonts w:ascii="Times New Roman" w:hAnsi="Times New Roman" w:eastAsia="Times New Roman" w:cs="Times New Roman"/>
          <w:sz w:val="24"/>
          <w:szCs w:val="24"/>
          <w:spacing w:val="-5"/>
        </w:rPr>
        <w:t>/d</w:t>
      </w:r>
      <w:r>
        <w:rPr>
          <w:rFonts w:ascii="SimSun" w:hAnsi="SimSun" w:eastAsia="SimSun" w:cs="SimSun"/>
          <w:sz w:val="24"/>
          <w:szCs w:val="24"/>
          <w:spacing w:val="-5"/>
        </w:rPr>
        <w:t>（满负荷运行</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17.8h</w:t>
      </w:r>
      <w:r>
        <w:rPr>
          <w:rFonts w:ascii="SimSun" w:hAnsi="SimSun" w:eastAsia="SimSun" w:cs="SimSun"/>
          <w:sz w:val="24"/>
          <w:szCs w:val="24"/>
          <w:spacing w:val="-5"/>
        </w:rPr>
        <w:t>）。</w:t>
      </w:r>
      <w:r>
        <w:rPr>
          <w:rFonts w:ascii="SimSun" w:hAnsi="SimSun" w:eastAsia="SimSun" w:cs="SimSun"/>
          <w:sz w:val="24"/>
          <w:szCs w:val="24"/>
        </w:rPr>
        <w:t xml:space="preserve"> </w:t>
      </w:r>
      <w:r>
        <w:rPr>
          <w:rFonts w:ascii="SimSun" w:hAnsi="SimSun" w:eastAsia="SimSun" w:cs="SimSun"/>
          <w:sz w:val="24"/>
          <w:szCs w:val="24"/>
          <w:spacing w:val="-1"/>
        </w:rPr>
        <w:t>因此，两台锅炉可满足项目生产和生活用热需求。</w:t>
      </w:r>
    </w:p>
    <w:p>
      <w:pPr>
        <w:ind w:left="4"/>
        <w:spacing w:line="218"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3.1.8.4 </w:t>
      </w:r>
      <w:r>
        <w:rPr>
          <w:rFonts w:ascii="SimSun" w:hAnsi="SimSun" w:eastAsia="SimSun" w:cs="SimSun"/>
          <w:sz w:val="24"/>
          <w:szCs w:val="24"/>
          <w:b/>
          <w:bCs/>
          <w:spacing w:val="-1"/>
        </w:rPr>
        <w:t>供电</w:t>
      </w:r>
    </w:p>
    <w:p>
      <w:pPr>
        <w:ind w:left="16" w:right="78" w:firstLine="474"/>
        <w:spacing w:before="183" w:line="361" w:lineRule="auto"/>
        <w:jc w:val="both"/>
        <w:rPr>
          <w:rFonts w:ascii="SimSun" w:hAnsi="SimSun" w:eastAsia="SimSun" w:cs="SimSun"/>
          <w:sz w:val="24"/>
          <w:szCs w:val="24"/>
        </w:rPr>
      </w:pPr>
      <w:r>
        <w:rPr>
          <w:rFonts w:ascii="SimSun" w:hAnsi="SimSun" w:eastAsia="SimSun" w:cs="SimSun"/>
          <w:sz w:val="24"/>
          <w:szCs w:val="24"/>
          <w:spacing w:val="-4"/>
        </w:rPr>
        <w:t>本项目用电由锡林郭勒明安图镇变电站接入一路</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10kV</w:t>
      </w:r>
      <w:r>
        <w:rPr>
          <w:rFonts w:ascii="Times New Roman" w:hAnsi="Times New Roman" w:eastAsia="Times New Roman" w:cs="Times New Roman"/>
          <w:sz w:val="24"/>
          <w:szCs w:val="24"/>
          <w:spacing w:val="37"/>
        </w:rPr>
        <w:t xml:space="preserve"> </w:t>
      </w:r>
      <w:r>
        <w:rPr>
          <w:rFonts w:ascii="SimSun" w:hAnsi="SimSun" w:eastAsia="SimSun" w:cs="SimSun"/>
          <w:sz w:val="24"/>
          <w:szCs w:val="24"/>
          <w:spacing w:val="-4"/>
        </w:rPr>
        <w:t>电力电</w:t>
      </w:r>
      <w:r>
        <w:rPr>
          <w:rFonts w:ascii="SimSun" w:hAnsi="SimSun" w:eastAsia="SimSun" w:cs="SimSun"/>
          <w:sz w:val="24"/>
          <w:szCs w:val="24"/>
          <w:spacing w:val="-5"/>
        </w:rPr>
        <w:t>缆专线，厂区由</w:t>
      </w:r>
      <w:r>
        <w:rPr>
          <w:rFonts w:ascii="SimSun" w:hAnsi="SimSun" w:eastAsia="SimSun" w:cs="SimSun"/>
          <w:sz w:val="24"/>
          <w:szCs w:val="24"/>
        </w:rPr>
        <w:t xml:space="preserve"> </w:t>
      </w:r>
      <w:r>
        <w:rPr>
          <w:rFonts w:ascii="SimSun" w:hAnsi="SimSun" w:eastAsia="SimSun" w:cs="SimSun"/>
          <w:sz w:val="24"/>
          <w:szCs w:val="24"/>
          <w:spacing w:val="2"/>
        </w:rPr>
        <w:t>总配电室内引入，引入方式采用电缆直埋敷设至建筑低压配电柜，供电能力满足</w:t>
      </w:r>
      <w:r>
        <w:rPr>
          <w:rFonts w:ascii="SimSun" w:hAnsi="SimSun" w:eastAsia="SimSun" w:cs="SimSun"/>
          <w:sz w:val="24"/>
          <w:szCs w:val="24"/>
          <w:spacing w:val="18"/>
        </w:rPr>
        <w:t xml:space="preserve"> </w:t>
      </w:r>
      <w:r>
        <w:rPr>
          <w:rFonts w:ascii="SimSun" w:hAnsi="SimSun" w:eastAsia="SimSun" w:cs="SimSun"/>
          <w:sz w:val="24"/>
          <w:szCs w:val="24"/>
          <w:spacing w:val="-4"/>
        </w:rPr>
        <w:t>负荷要求。</w:t>
      </w:r>
    </w:p>
    <w:p>
      <w:pPr>
        <w:ind w:left="7"/>
        <w:spacing w:before="282" w:line="227" w:lineRule="auto"/>
        <w:rPr>
          <w:rFonts w:ascii="SimSun" w:hAnsi="SimSun" w:eastAsia="SimSun" w:cs="SimSun"/>
          <w:sz w:val="19"/>
          <w:szCs w:val="19"/>
        </w:rPr>
      </w:pPr>
      <w:r>
        <w:pict>
          <v:shape id="_x0000_s356" style="position:absolute;margin-left:159.33pt;margin-top:13.1082pt;mso-position-vertical-relative:text;mso-position-horizontal-relative:text;width:58.85pt;height:13.75pt;z-index:25181696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28"/>
                    </w:rPr>
                    <w:t xml:space="preserve">   </w:t>
                  </w:r>
                  <w:r>
                    <w:rPr>
                      <w:rFonts w:ascii="Times New Roman" w:hAnsi="Times New Roman" w:eastAsia="Times New Roman" w:cs="Times New Roman"/>
                      <w:sz w:val="18"/>
                      <w:szCs w:val="18"/>
                      <w:spacing w:val="3"/>
                      <w:position w:val="2"/>
                    </w:rPr>
                    <w:t>69</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82"/>
          <w:pgSz w:w="11907" w:h="16840"/>
          <w:pgMar w:top="1567" w:right="1621" w:bottom="400" w:left="1701" w:header="1221" w:footer="0" w:gutter="0"/>
        </w:sectPr>
        <w:rPr>
          <w:rFonts w:ascii="SimSun" w:hAnsi="SimSun" w:eastAsia="SimSun" w:cs="SimSun"/>
          <w:sz w:val="19"/>
          <w:szCs w:val="19"/>
        </w:rPr>
      </w:pPr>
    </w:p>
    <w:p>
      <w:pPr>
        <w:ind w:left="12"/>
        <w:spacing w:before="178" w:line="222" w:lineRule="auto"/>
        <w:outlineLvl w:val="1"/>
        <w:rPr>
          <w:rFonts w:ascii="SimHei" w:hAnsi="SimHei" w:eastAsia="SimHei" w:cs="SimHei"/>
          <w:sz w:val="30"/>
          <w:szCs w:val="30"/>
        </w:rPr>
      </w:pPr>
      <w:r>
        <w:pict>
          <v:shape id="_x0000_s358" style="position:absolute;margin-left:85.05pt;margin-top:78.87pt;mso-position-vertical-relative:page;mso-position-horizontal-relative:page;width:425.25pt;height:0.75pt;z-index:251820032;" o:allowincell="f" fillcolor="#000000" filled="true" stroked="false" coordsize="8505,15" coordorigin="0,0" path="m,l8505,0l8505,14l0,14l0,0xe"/>
        </w:pict>
      </w:r>
      <w:bookmarkStart w:name="bookmark53" w:id="65"/>
      <w:bookmarkEnd w:id="65"/>
      <w:r>
        <w:rPr>
          <w:rFonts w:ascii="Times New Roman" w:hAnsi="Times New Roman" w:eastAsia="Times New Roman" w:cs="Times New Roman"/>
          <w:sz w:val="30"/>
          <w:szCs w:val="30"/>
          <w:spacing w:val="-1"/>
        </w:rPr>
        <w:t>3.2 </w:t>
      </w:r>
      <w:r>
        <w:rPr>
          <w:rFonts w:ascii="SimHei" w:hAnsi="SimHei" w:eastAsia="SimHei" w:cs="SimHei"/>
          <w:sz w:val="30"/>
          <w:szCs w:val="30"/>
          <w:spacing w:val="-1"/>
        </w:rPr>
        <w:t>生产工艺及产排污分析</w:t>
      </w:r>
    </w:p>
    <w:p>
      <w:pPr>
        <w:pStyle w:val="BodyText"/>
        <w:spacing w:line="280" w:lineRule="auto"/>
        <w:rPr/>
      </w:pPr>
      <w:r/>
    </w:p>
    <w:p>
      <w:pPr>
        <w:ind w:left="12"/>
        <w:spacing w:before="91" w:line="222" w:lineRule="auto"/>
        <w:outlineLvl w:val="2"/>
        <w:rPr>
          <w:rFonts w:ascii="SimHei" w:hAnsi="SimHei" w:eastAsia="SimHei" w:cs="SimHei"/>
          <w:sz w:val="28"/>
          <w:szCs w:val="28"/>
        </w:rPr>
      </w:pPr>
      <w:bookmarkStart w:name="bookmark54" w:id="66"/>
      <w:bookmarkEnd w:id="66"/>
      <w:r>
        <w:rPr>
          <w:rFonts w:ascii="Times New Roman" w:hAnsi="Times New Roman" w:eastAsia="Times New Roman" w:cs="Times New Roman"/>
          <w:sz w:val="28"/>
          <w:szCs w:val="28"/>
          <w:spacing w:val="-1"/>
        </w:rPr>
        <w:t>3.2.1 </w:t>
      </w:r>
      <w:r>
        <w:rPr>
          <w:rFonts w:ascii="SimHei" w:hAnsi="SimHei" w:eastAsia="SimHei" w:cs="SimHei"/>
          <w:sz w:val="28"/>
          <w:szCs w:val="28"/>
          <w:spacing w:val="-1"/>
        </w:rPr>
        <w:t>洗毛生产工艺流程及产污环节分析</w:t>
      </w:r>
    </w:p>
    <w:p>
      <w:pPr>
        <w:pStyle w:val="BodyText"/>
        <w:spacing w:line="281" w:lineRule="auto"/>
        <w:rPr/>
      </w:pPr>
      <w:r/>
    </w:p>
    <w:p>
      <w:pPr>
        <w:ind w:left="9" w:right="61" w:firstLine="480"/>
        <w:spacing w:before="78" w:line="385" w:lineRule="auto"/>
        <w:jc w:val="both"/>
        <w:rPr>
          <w:rFonts w:ascii="SimSun" w:hAnsi="SimSun" w:eastAsia="SimSun" w:cs="SimSun"/>
          <w:sz w:val="24"/>
          <w:szCs w:val="24"/>
        </w:rPr>
      </w:pPr>
      <w:r>
        <w:rPr>
          <w:rFonts w:ascii="SimSun" w:hAnsi="SimSun" w:eastAsia="SimSun" w:cs="SimSun"/>
          <w:sz w:val="24"/>
          <w:szCs w:val="24"/>
          <w:spacing w:val="-2"/>
        </w:rPr>
        <w:t>本项目共建设洗毛生产线</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2 </w:t>
      </w:r>
      <w:r>
        <w:rPr>
          <w:rFonts w:ascii="SimSun" w:hAnsi="SimSun" w:eastAsia="SimSun" w:cs="SimSun"/>
          <w:sz w:val="24"/>
          <w:szCs w:val="24"/>
          <w:spacing w:val="-2"/>
        </w:rPr>
        <w:t>条（东厂区建设</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条、西厂区建设</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条</w:t>
      </w:r>
      <w:r>
        <w:rPr>
          <w:rFonts w:ascii="SimSun" w:hAnsi="SimSun" w:eastAsia="SimSun" w:cs="SimSun"/>
          <w:sz w:val="24"/>
          <w:szCs w:val="24"/>
          <w:spacing w:val="4"/>
        </w:rPr>
        <w:t>），</w:t>
      </w:r>
      <w:r>
        <w:rPr>
          <w:rFonts w:ascii="SimSun" w:hAnsi="SimSun" w:eastAsia="SimSun" w:cs="SimSun"/>
          <w:sz w:val="24"/>
          <w:szCs w:val="24"/>
          <w:spacing w:val="-3"/>
        </w:rPr>
        <w:t>每条</w:t>
      </w:r>
      <w:r>
        <w:rPr>
          <w:rFonts w:ascii="SimSun" w:hAnsi="SimSun" w:eastAsia="SimSun" w:cs="SimSun"/>
          <w:sz w:val="24"/>
          <w:szCs w:val="24"/>
        </w:rPr>
        <w:t xml:space="preserve">  </w:t>
      </w:r>
      <w:r>
        <w:rPr>
          <w:rFonts w:ascii="SimSun" w:hAnsi="SimSun" w:eastAsia="SimSun" w:cs="SimSun"/>
          <w:sz w:val="24"/>
          <w:szCs w:val="24"/>
          <w:spacing w:val="-2"/>
        </w:rPr>
        <w:t>生产线年产洗净毛</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0.9</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万吨，共产洗净毛</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万吨</w:t>
      </w:r>
      <w:r>
        <w:rPr>
          <w:rFonts w:ascii="Times New Roman" w:hAnsi="Times New Roman" w:eastAsia="Times New Roman" w:cs="Times New Roman"/>
          <w:sz w:val="24"/>
          <w:szCs w:val="24"/>
          <w:spacing w:val="-3"/>
        </w:rPr>
        <w:t>/</w:t>
      </w:r>
      <w:r>
        <w:rPr>
          <w:rFonts w:ascii="SimSun" w:hAnsi="SimSun" w:eastAsia="SimSun" w:cs="SimSun"/>
          <w:sz w:val="24"/>
          <w:szCs w:val="24"/>
          <w:spacing w:val="-3"/>
        </w:rPr>
        <w:t>年。两条生产线均采用</w:t>
      </w:r>
      <w:r>
        <w:rPr>
          <w:rFonts w:ascii="Times New Roman" w:hAnsi="Times New Roman" w:eastAsia="Times New Roman" w:cs="Times New Roman"/>
          <w:sz w:val="24"/>
          <w:szCs w:val="24"/>
          <w:spacing w:val="-3"/>
        </w:rPr>
        <w:t>6 </w:t>
      </w:r>
      <w:r>
        <w:rPr>
          <w:rFonts w:ascii="SimSun" w:hAnsi="SimSun" w:eastAsia="SimSun" w:cs="SimSun"/>
          <w:sz w:val="24"/>
          <w:szCs w:val="24"/>
          <w:spacing w:val="-3"/>
        </w:rPr>
        <w:t>槽羊毛</w:t>
      </w:r>
      <w:r>
        <w:rPr>
          <w:rFonts w:ascii="SimSun" w:hAnsi="SimSun" w:eastAsia="SimSun" w:cs="SimSun"/>
          <w:sz w:val="24"/>
          <w:szCs w:val="24"/>
        </w:rPr>
        <w:t xml:space="preserve"> </w:t>
      </w:r>
      <w:r>
        <w:rPr>
          <w:rFonts w:ascii="SimSun" w:hAnsi="SimSun" w:eastAsia="SimSun" w:cs="SimSun"/>
          <w:sz w:val="24"/>
          <w:szCs w:val="24"/>
          <w:spacing w:val="1"/>
        </w:rPr>
        <w:t>清洗工艺。本项目</w:t>
      </w:r>
      <w:r>
        <w:rPr>
          <w:rFonts w:ascii="Times New Roman" w:hAnsi="Times New Roman" w:eastAsia="Times New Roman" w:cs="Times New Roman"/>
          <w:sz w:val="24"/>
          <w:szCs w:val="24"/>
          <w:spacing w:val="1"/>
        </w:rPr>
        <w:t>2 </w:t>
      </w:r>
      <w:r>
        <w:rPr>
          <w:rFonts w:ascii="SimSun" w:hAnsi="SimSun" w:eastAsia="SimSun" w:cs="SimSun"/>
          <w:sz w:val="24"/>
          <w:szCs w:val="24"/>
          <w:spacing w:val="1"/>
        </w:rPr>
        <w:t>条洗毛生产线洗毛设</w:t>
      </w:r>
      <w:r>
        <w:rPr>
          <w:rFonts w:ascii="SimSun" w:hAnsi="SimSun" w:eastAsia="SimSun" w:cs="SimSun"/>
          <w:sz w:val="24"/>
          <w:szCs w:val="24"/>
        </w:rPr>
        <w:t>备的喂毛速度均控制在每小时</w:t>
      </w:r>
      <w:r>
        <w:rPr>
          <w:rFonts w:ascii="SimSun" w:hAnsi="SimSun" w:eastAsia="SimSun" w:cs="SimSun"/>
          <w:sz w:val="24"/>
          <w:szCs w:val="24"/>
          <w:spacing w:val="-32"/>
        </w:rPr>
        <w:t xml:space="preserve"> </w:t>
      </w:r>
      <w:r>
        <w:rPr>
          <w:rFonts w:ascii="Times New Roman" w:hAnsi="Times New Roman" w:eastAsia="Times New Roman" w:cs="Times New Roman"/>
          <w:sz w:val="24"/>
          <w:szCs w:val="24"/>
        </w:rPr>
        <w:t>1.6t-2t </w:t>
      </w:r>
      <w:r>
        <w:rPr>
          <w:rFonts w:ascii="SimSun" w:hAnsi="SimSun" w:eastAsia="SimSun" w:cs="SimSun"/>
          <w:sz w:val="24"/>
          <w:szCs w:val="24"/>
        </w:rPr>
        <w:t>原 </w:t>
      </w:r>
      <w:r>
        <w:rPr>
          <w:rFonts w:ascii="SimSun" w:hAnsi="SimSun" w:eastAsia="SimSun" w:cs="SimSun"/>
          <w:sz w:val="24"/>
          <w:szCs w:val="24"/>
          <w:spacing w:val="-1"/>
        </w:rPr>
        <w:t>毛，视羊毛品种不同略有差异。</w:t>
      </w:r>
    </w:p>
    <w:p>
      <w:pPr>
        <w:ind w:left="4"/>
        <w:spacing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3"/>
        </w:rPr>
        <w:t>3.2.1.1</w:t>
      </w:r>
      <w:r>
        <w:rPr>
          <w:rFonts w:ascii="Times New Roman" w:hAnsi="Times New Roman" w:eastAsia="Times New Roman" w:cs="Times New Roman"/>
          <w:sz w:val="24"/>
          <w:szCs w:val="24"/>
          <w:b/>
          <w:bCs/>
          <w:spacing w:val="20"/>
        </w:rPr>
        <w:t xml:space="preserve"> </w:t>
      </w:r>
      <w:r>
        <w:rPr>
          <w:rFonts w:ascii="SimSun" w:hAnsi="SimSun" w:eastAsia="SimSun" w:cs="SimSun"/>
          <w:sz w:val="24"/>
          <w:szCs w:val="24"/>
          <w:b/>
          <w:bCs/>
          <w:spacing w:val="-3"/>
        </w:rPr>
        <w:t>原毛进厂</w:t>
      </w:r>
    </w:p>
    <w:p>
      <w:pPr>
        <w:ind w:left="8" w:right="61" w:firstLine="485"/>
        <w:spacing w:before="211" w:line="385" w:lineRule="auto"/>
        <w:jc w:val="both"/>
        <w:rPr>
          <w:rFonts w:ascii="SimSun" w:hAnsi="SimSun" w:eastAsia="SimSun" w:cs="SimSun"/>
          <w:sz w:val="24"/>
          <w:szCs w:val="24"/>
        </w:rPr>
      </w:pPr>
      <w:r>
        <w:rPr>
          <w:rFonts w:ascii="SimSun" w:hAnsi="SimSun" w:eastAsia="SimSun" w:cs="SimSun"/>
          <w:sz w:val="24"/>
          <w:szCs w:val="24"/>
          <w:spacing w:val="3"/>
        </w:rPr>
        <w:t>外购原毛（绵羊毛）通过汽车运输至厂区内原毛</w:t>
      </w:r>
      <w:r>
        <w:rPr>
          <w:rFonts w:ascii="SimSun" w:hAnsi="SimSun" w:eastAsia="SimSun" w:cs="SimSun"/>
          <w:sz w:val="24"/>
          <w:szCs w:val="24"/>
          <w:spacing w:val="2"/>
        </w:rPr>
        <w:t>库房，在原毛库房内临时暂</w:t>
      </w:r>
      <w:r>
        <w:rPr>
          <w:rFonts w:ascii="SimSun" w:hAnsi="SimSun" w:eastAsia="SimSun" w:cs="SimSun"/>
          <w:sz w:val="24"/>
          <w:szCs w:val="24"/>
        </w:rPr>
        <w:t xml:space="preserve"> </w:t>
      </w:r>
      <w:r>
        <w:rPr>
          <w:rFonts w:ascii="SimSun" w:hAnsi="SimSun" w:eastAsia="SimSun" w:cs="SimSun"/>
          <w:sz w:val="24"/>
          <w:szCs w:val="24"/>
          <w:spacing w:val="2"/>
        </w:rPr>
        <w:t>存。原毛采用高密度聚乙烯编织袋包装。年使用</w:t>
      </w:r>
      <w:r>
        <w:rPr>
          <w:rFonts w:ascii="SimSun" w:hAnsi="SimSun" w:eastAsia="SimSun" w:cs="SimSun"/>
          <w:sz w:val="24"/>
          <w:szCs w:val="24"/>
          <w:spacing w:val="1"/>
        </w:rPr>
        <w:t>原毛</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30000</w:t>
      </w:r>
      <w:r>
        <w:rPr>
          <w:rFonts w:ascii="Times New Roman" w:hAnsi="Times New Roman" w:eastAsia="Times New Roman" w:cs="Times New Roman"/>
          <w:sz w:val="24"/>
          <w:szCs w:val="24"/>
          <w:spacing w:val="23"/>
          <w:w w:val="101"/>
        </w:rPr>
        <w:t xml:space="preserve"> </w:t>
      </w:r>
      <w:r>
        <w:rPr>
          <w:rFonts w:ascii="SimSun" w:hAnsi="SimSun" w:eastAsia="SimSun" w:cs="SimSun"/>
          <w:sz w:val="24"/>
          <w:szCs w:val="24"/>
          <w:spacing w:val="1"/>
        </w:rPr>
        <w:t>吨，均来自周边养殖</w:t>
      </w:r>
      <w:r>
        <w:rPr>
          <w:rFonts w:ascii="SimSun" w:hAnsi="SimSun" w:eastAsia="SimSun" w:cs="SimSun"/>
          <w:sz w:val="24"/>
          <w:szCs w:val="24"/>
        </w:rPr>
        <w:t xml:space="preserve"> </w:t>
      </w:r>
      <w:r>
        <w:rPr>
          <w:rFonts w:ascii="SimSun" w:hAnsi="SimSun" w:eastAsia="SimSun" w:cs="SimSun"/>
          <w:sz w:val="24"/>
          <w:szCs w:val="24"/>
          <w:spacing w:val="-2"/>
        </w:rPr>
        <w:t>场和牧户。</w:t>
      </w:r>
    </w:p>
    <w:p>
      <w:pPr>
        <w:ind w:left="4"/>
        <w:spacing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3.2.1.2 </w:t>
      </w:r>
      <w:r>
        <w:rPr>
          <w:rFonts w:ascii="SimSun" w:hAnsi="SimSun" w:eastAsia="SimSun" w:cs="SimSun"/>
          <w:sz w:val="24"/>
          <w:szCs w:val="24"/>
          <w:b/>
          <w:bCs/>
          <w:spacing w:val="-2"/>
        </w:rPr>
        <w:t>解包、人工分选</w:t>
      </w:r>
    </w:p>
    <w:p>
      <w:pPr>
        <w:ind w:left="8" w:firstLine="486"/>
        <w:spacing w:before="213" w:line="385" w:lineRule="auto"/>
        <w:rPr>
          <w:rFonts w:ascii="SimSun" w:hAnsi="SimSun" w:eastAsia="SimSun" w:cs="SimSun"/>
          <w:sz w:val="24"/>
          <w:szCs w:val="24"/>
        </w:rPr>
      </w:pPr>
      <w:r>
        <w:rPr>
          <w:rFonts w:ascii="SimSun" w:hAnsi="SimSun" w:eastAsia="SimSun" w:cs="SimSun"/>
          <w:sz w:val="24"/>
          <w:szCs w:val="24"/>
          <w:spacing w:val="-3"/>
        </w:rPr>
        <w:t>原毛（羊毛）由铲车送入选毛库房，在选毛库房内包装袋由工人用电刀解包，</w:t>
      </w:r>
      <w:r>
        <w:rPr>
          <w:rFonts w:ascii="SimSun" w:hAnsi="SimSun" w:eastAsia="SimSun" w:cs="SimSun"/>
          <w:sz w:val="24"/>
          <w:szCs w:val="24"/>
          <w:spacing w:val="10"/>
        </w:rPr>
        <w:t xml:space="preserve"> </w:t>
      </w:r>
      <w:r>
        <w:rPr>
          <w:rFonts w:ascii="SimSun" w:hAnsi="SimSun" w:eastAsia="SimSun" w:cs="SimSun"/>
          <w:sz w:val="24"/>
          <w:szCs w:val="24"/>
          <w:spacing w:val="3"/>
        </w:rPr>
        <w:t>解包后人工选出原毛中的大块杂物（如砂石、木块、杂毛</w:t>
      </w:r>
      <w:r>
        <w:rPr>
          <w:rFonts w:ascii="SimSun" w:hAnsi="SimSun" w:eastAsia="SimSun" w:cs="SimSun"/>
          <w:sz w:val="24"/>
          <w:szCs w:val="24"/>
          <w:spacing w:val="2"/>
        </w:rPr>
        <w:t>等）。解包分选后原毛</w:t>
      </w:r>
    </w:p>
    <w:p>
      <w:pPr>
        <w:ind w:left="38"/>
        <w:spacing w:before="1" w:line="218" w:lineRule="auto"/>
        <w:rPr>
          <w:rFonts w:ascii="SimSun" w:hAnsi="SimSun" w:eastAsia="SimSun" w:cs="SimSun"/>
          <w:sz w:val="24"/>
          <w:szCs w:val="24"/>
        </w:rPr>
      </w:pPr>
      <w:r>
        <w:rPr>
          <w:rFonts w:ascii="SimSun" w:hAnsi="SimSun" w:eastAsia="SimSun" w:cs="SimSun"/>
          <w:sz w:val="24"/>
          <w:szCs w:val="24"/>
          <w:spacing w:val="-2"/>
        </w:rPr>
        <w:t>由铲车运至洗毛车间的喂毛机，准备开松除杂。</w:t>
      </w:r>
    </w:p>
    <w:p>
      <w:pPr>
        <w:ind w:left="489"/>
        <w:spacing w:before="57" w:line="219" w:lineRule="auto"/>
        <w:rPr>
          <w:rFonts w:ascii="SimSun" w:hAnsi="SimSun" w:eastAsia="SimSun" w:cs="SimSun"/>
          <w:sz w:val="24"/>
          <w:szCs w:val="24"/>
        </w:rPr>
      </w:pPr>
      <w:r>
        <w:rPr>
          <w:rFonts w:ascii="SimSun" w:hAnsi="SimSun" w:eastAsia="SimSun" w:cs="SimSun"/>
          <w:sz w:val="24"/>
          <w:szCs w:val="24"/>
          <w:b/>
          <w:bCs/>
          <w:spacing w:val="-4"/>
        </w:rPr>
        <w:t>产污环节分析：</w:t>
      </w:r>
    </w:p>
    <w:p>
      <w:pPr>
        <w:ind w:left="9" w:right="61" w:firstLine="500"/>
        <w:spacing w:before="183" w:line="359" w:lineRule="auto"/>
        <w:jc w:val="both"/>
        <w:rPr>
          <w:rFonts w:ascii="SimSun" w:hAnsi="SimSun" w:eastAsia="SimSun" w:cs="SimSun"/>
          <w:sz w:val="24"/>
          <w:szCs w:val="24"/>
        </w:rPr>
      </w:pPr>
      <w:r>
        <w:rPr>
          <w:rFonts w:ascii="SimSun" w:hAnsi="SimSun" w:eastAsia="SimSun" w:cs="SimSun"/>
          <w:sz w:val="24"/>
          <w:szCs w:val="24"/>
          <w:b/>
          <w:bCs/>
          <w:spacing w:val="-1"/>
        </w:rPr>
        <w:t>固废：</w:t>
      </w:r>
      <w:r>
        <w:rPr>
          <w:rFonts w:ascii="SimSun" w:hAnsi="SimSun" w:eastAsia="SimSun" w:cs="SimSun"/>
          <w:sz w:val="24"/>
          <w:szCs w:val="24"/>
          <w:spacing w:val="-1"/>
        </w:rPr>
        <w:t>原毛解包过程中产生废包装物（</w:t>
      </w:r>
      <w:r>
        <w:rPr>
          <w:rFonts w:ascii="Times New Roman" w:hAnsi="Times New Roman" w:eastAsia="Times New Roman" w:cs="Times New Roman"/>
          <w:sz w:val="24"/>
          <w:szCs w:val="24"/>
          <w:spacing w:val="-1"/>
        </w:rPr>
        <w:t>S</w:t>
      </w:r>
      <w:r>
        <w:rPr>
          <w:rFonts w:ascii="Times New Roman" w:hAnsi="Times New Roman" w:eastAsia="Times New Roman" w:cs="Times New Roman"/>
          <w:sz w:val="15"/>
          <w:szCs w:val="15"/>
          <w:spacing w:val="-1"/>
          <w:position w:val="-1"/>
        </w:rPr>
        <w:t>1-1 </w:t>
      </w:r>
      <w:r>
        <w:rPr>
          <w:rFonts w:ascii="SimSun" w:hAnsi="SimSun" w:eastAsia="SimSun" w:cs="SimSun"/>
          <w:sz w:val="24"/>
          <w:szCs w:val="24"/>
          <w:spacing w:val="-12"/>
        </w:rPr>
        <w:t>），</w:t>
      </w:r>
      <w:r>
        <w:rPr>
          <w:rFonts w:ascii="SimSun" w:hAnsi="SimSun" w:eastAsia="SimSun" w:cs="SimSun"/>
          <w:sz w:val="24"/>
          <w:szCs w:val="24"/>
          <w:spacing w:val="-1"/>
        </w:rPr>
        <w:t>主要成分为</w:t>
      </w:r>
      <w:r>
        <w:rPr>
          <w:rFonts w:ascii="SimSun" w:hAnsi="SimSun" w:eastAsia="SimSun" w:cs="SimSun"/>
          <w:sz w:val="24"/>
          <w:szCs w:val="24"/>
          <w:spacing w:val="-2"/>
        </w:rPr>
        <w:t>高密度聚乙烯（包</w:t>
      </w:r>
      <w:r>
        <w:rPr>
          <w:rFonts w:ascii="SimSun" w:hAnsi="SimSun" w:eastAsia="SimSun" w:cs="SimSun"/>
          <w:sz w:val="24"/>
          <w:szCs w:val="24"/>
        </w:rPr>
        <w:t xml:space="preserve"> </w:t>
      </w:r>
      <w:r>
        <w:rPr>
          <w:rFonts w:ascii="SimSun" w:hAnsi="SimSun" w:eastAsia="SimSun" w:cs="SimSun"/>
          <w:sz w:val="24"/>
          <w:szCs w:val="24"/>
          <w:spacing w:val="-1"/>
        </w:rPr>
        <w:t>布）和钢丝（包索），外售废品回收企业综合利用；分选杂物（</w:t>
      </w:r>
      <w:r>
        <w:rPr>
          <w:rFonts w:ascii="Times New Roman" w:hAnsi="Times New Roman" w:eastAsia="Times New Roman" w:cs="Times New Roman"/>
          <w:sz w:val="24"/>
          <w:szCs w:val="24"/>
          <w:spacing w:val="-1"/>
        </w:rPr>
        <w:t>S</w:t>
      </w:r>
      <w:r>
        <w:rPr>
          <w:rFonts w:ascii="Times New Roman" w:hAnsi="Times New Roman" w:eastAsia="Times New Roman" w:cs="Times New Roman"/>
          <w:sz w:val="15"/>
          <w:szCs w:val="15"/>
          <w:spacing w:val="-1"/>
          <w:position w:val="-1"/>
        </w:rPr>
        <w:t>1-2 </w:t>
      </w:r>
      <w:r>
        <w:rPr>
          <w:rFonts w:ascii="SimSun" w:hAnsi="SimSun" w:eastAsia="SimSun" w:cs="SimSun"/>
          <w:sz w:val="24"/>
          <w:szCs w:val="24"/>
          <w:spacing w:val="-1"/>
        </w:rPr>
        <w:t>），主要为原</w:t>
      </w:r>
      <w:r>
        <w:rPr>
          <w:rFonts w:ascii="SimSun" w:hAnsi="SimSun" w:eastAsia="SimSun" w:cs="SimSun"/>
          <w:sz w:val="24"/>
          <w:szCs w:val="24"/>
        </w:rPr>
        <w:t xml:space="preserve"> </w:t>
      </w:r>
      <w:r>
        <w:rPr>
          <w:rFonts w:ascii="SimSun" w:hAnsi="SimSun" w:eastAsia="SimSun" w:cs="SimSun"/>
          <w:sz w:val="24"/>
          <w:szCs w:val="24"/>
          <w:spacing w:val="-1"/>
        </w:rPr>
        <w:t>毛中夹带的砂石、木块、杂毛等，委托当地环卫部门处理。各污染物产生量见</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3.5</w:t>
      </w:r>
      <w:r>
        <w:rPr>
          <w:rFonts w:ascii="Times New Roman" w:hAnsi="Times New Roman" w:eastAsia="Times New Roman" w:cs="Times New Roman"/>
          <w:sz w:val="24"/>
          <w:szCs w:val="24"/>
        </w:rPr>
        <w:t xml:space="preserve"> </w:t>
      </w:r>
      <w:r>
        <w:rPr>
          <w:rFonts w:ascii="SimSun" w:hAnsi="SimSun" w:eastAsia="SimSun" w:cs="SimSun"/>
          <w:sz w:val="24"/>
          <w:szCs w:val="24"/>
          <w:spacing w:val="-4"/>
        </w:rPr>
        <w:t>章节。</w:t>
      </w:r>
    </w:p>
    <w:p>
      <w:pPr>
        <w:ind w:left="4"/>
        <w:spacing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3.2.1.3 </w:t>
      </w:r>
      <w:r>
        <w:rPr>
          <w:rFonts w:ascii="SimSun" w:hAnsi="SimSun" w:eastAsia="SimSun" w:cs="SimSun"/>
          <w:sz w:val="24"/>
          <w:szCs w:val="24"/>
          <w:b/>
          <w:bCs/>
          <w:spacing w:val="-1"/>
        </w:rPr>
        <w:t>开松除杂</w:t>
      </w:r>
    </w:p>
    <w:p>
      <w:pPr>
        <w:ind w:left="10" w:right="101" w:firstLine="483"/>
        <w:spacing w:before="181" w:line="359" w:lineRule="auto"/>
        <w:rPr>
          <w:rFonts w:ascii="SimSun" w:hAnsi="SimSun" w:eastAsia="SimSun" w:cs="SimSun"/>
          <w:sz w:val="24"/>
          <w:szCs w:val="24"/>
        </w:rPr>
      </w:pPr>
      <w:r>
        <w:rPr>
          <w:rFonts w:ascii="SimSun" w:hAnsi="SimSun" w:eastAsia="SimSun" w:cs="SimSun"/>
          <w:sz w:val="24"/>
          <w:szCs w:val="24"/>
          <w:spacing w:val="1"/>
        </w:rPr>
        <w:t>外购的原毛由于自身代谢作用产生的分泌物和长期野外生活而夹杂的砂土、</w:t>
      </w:r>
      <w:r>
        <w:rPr>
          <w:rFonts w:ascii="SimSun" w:hAnsi="SimSun" w:eastAsia="SimSun" w:cs="SimSun"/>
          <w:sz w:val="24"/>
          <w:szCs w:val="24"/>
          <w:spacing w:val="15"/>
        </w:rPr>
        <w:t xml:space="preserve"> </w:t>
      </w:r>
      <w:r>
        <w:rPr>
          <w:rFonts w:ascii="SimSun" w:hAnsi="SimSun" w:eastAsia="SimSun" w:cs="SimSun"/>
          <w:sz w:val="24"/>
          <w:szCs w:val="24"/>
          <w:spacing w:val="-1"/>
        </w:rPr>
        <w:t>植物性杂质，加上为区分羊群所做的印记等构成了原毛中的杂质。</w:t>
      </w:r>
    </w:p>
    <w:p>
      <w:pPr>
        <w:ind w:left="10" w:firstLine="491"/>
        <w:spacing w:before="2" w:line="359" w:lineRule="auto"/>
        <w:jc w:val="both"/>
        <w:rPr>
          <w:rFonts w:ascii="SimSun" w:hAnsi="SimSun" w:eastAsia="SimSun" w:cs="SimSun"/>
          <w:sz w:val="24"/>
          <w:szCs w:val="24"/>
        </w:rPr>
      </w:pPr>
      <w:r>
        <w:rPr>
          <w:rFonts w:ascii="SimSun" w:hAnsi="SimSun" w:eastAsia="SimSun" w:cs="SimSun"/>
          <w:sz w:val="24"/>
          <w:szCs w:val="24"/>
          <w:spacing w:val="-3"/>
        </w:rPr>
        <w:t>喂毛机中解包分选后的原毛，经过平帘、斜钉帘将羊毛均匀的喂入到开松机，</w:t>
      </w:r>
      <w:r>
        <w:rPr>
          <w:rFonts w:ascii="SimSun" w:hAnsi="SimSun" w:eastAsia="SimSun" w:cs="SimSun"/>
          <w:sz w:val="24"/>
          <w:szCs w:val="24"/>
          <w:spacing w:val="4"/>
        </w:rPr>
        <w:t xml:space="preserve"> </w:t>
      </w:r>
      <w:r>
        <w:rPr>
          <w:rFonts w:ascii="SimSun" w:hAnsi="SimSun" w:eastAsia="SimSun" w:cs="SimSun"/>
          <w:sz w:val="24"/>
          <w:szCs w:val="24"/>
          <w:spacing w:val="3"/>
        </w:rPr>
        <w:t>开松机将喂入的原毛打松散，去除原毛中含的羊粪、碎毛、泥土、杂草等杂质，</w:t>
      </w:r>
      <w:r>
        <w:rPr>
          <w:rFonts w:ascii="SimSun" w:hAnsi="SimSun" w:eastAsia="SimSun" w:cs="SimSun"/>
          <w:sz w:val="24"/>
          <w:szCs w:val="24"/>
          <w:spacing w:val="18"/>
        </w:rPr>
        <w:t xml:space="preserve"> </w:t>
      </w:r>
      <w:r>
        <w:rPr>
          <w:rFonts w:ascii="SimSun" w:hAnsi="SimSun" w:eastAsia="SimSun" w:cs="SimSun"/>
          <w:sz w:val="24"/>
          <w:szCs w:val="24"/>
          <w:spacing w:val="-2"/>
        </w:rPr>
        <w:t>开松后的原毛喂入输送平帘。每条洗毛生产线设置</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28"/>
          <w:w w:val="101"/>
        </w:rPr>
        <w:t xml:space="preserve"> </w:t>
      </w:r>
      <w:r>
        <w:rPr>
          <w:rFonts w:ascii="SimSun" w:hAnsi="SimSun" w:eastAsia="SimSun" w:cs="SimSun"/>
          <w:sz w:val="24"/>
          <w:szCs w:val="24"/>
          <w:spacing w:val="-3"/>
        </w:rPr>
        <w:t>台开松除杂机。</w:t>
      </w:r>
    </w:p>
    <w:p>
      <w:pPr>
        <w:ind w:left="489"/>
        <w:spacing w:line="219" w:lineRule="auto"/>
        <w:rPr>
          <w:rFonts w:ascii="SimSun" w:hAnsi="SimSun" w:eastAsia="SimSun" w:cs="SimSun"/>
          <w:sz w:val="24"/>
          <w:szCs w:val="24"/>
        </w:rPr>
      </w:pPr>
      <w:r>
        <w:rPr>
          <w:rFonts w:ascii="SimSun" w:hAnsi="SimSun" w:eastAsia="SimSun" w:cs="SimSun"/>
          <w:sz w:val="24"/>
          <w:szCs w:val="24"/>
          <w:b/>
          <w:bCs/>
          <w:spacing w:val="-4"/>
        </w:rPr>
        <w:t>产污环节分析：</w:t>
      </w:r>
    </w:p>
    <w:p>
      <w:pPr>
        <w:ind w:left="488"/>
        <w:spacing w:before="180" w:line="219" w:lineRule="auto"/>
        <w:rPr>
          <w:rFonts w:ascii="SimSun" w:hAnsi="SimSun" w:eastAsia="SimSun" w:cs="SimSun"/>
          <w:sz w:val="24"/>
          <w:szCs w:val="24"/>
        </w:rPr>
      </w:pPr>
      <w:r>
        <w:rPr>
          <w:rFonts w:ascii="SimSun" w:hAnsi="SimSun" w:eastAsia="SimSun" w:cs="SimSun"/>
          <w:sz w:val="24"/>
          <w:szCs w:val="24"/>
          <w:b/>
          <w:bCs/>
          <w:spacing w:val="1"/>
        </w:rPr>
        <w:t>废气：</w:t>
      </w:r>
      <w:r>
        <w:rPr>
          <w:rFonts w:ascii="SimSun" w:hAnsi="SimSun" w:eastAsia="SimSun" w:cs="SimSun"/>
          <w:sz w:val="24"/>
          <w:szCs w:val="24"/>
          <w:spacing w:val="1"/>
        </w:rPr>
        <w:t>开松除杂过程中会产生粉尘（开松除杂粉尘</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G</w:t>
      </w:r>
      <w:r>
        <w:rPr>
          <w:rFonts w:ascii="Times New Roman" w:hAnsi="Times New Roman" w:eastAsia="Times New Roman" w:cs="Times New Roman"/>
          <w:sz w:val="15"/>
          <w:szCs w:val="15"/>
          <w:spacing w:val="1"/>
          <w:position w:val="-1"/>
        </w:rPr>
        <w:t>1-1-</w:t>
      </w:r>
      <w:r>
        <w:rPr>
          <w:rFonts w:ascii="Times New Roman" w:hAnsi="Times New Roman" w:eastAsia="Times New Roman" w:cs="Times New Roman"/>
          <w:sz w:val="15"/>
          <w:szCs w:val="15"/>
          <w:spacing w:val="-21"/>
          <w:position w:val="-1"/>
        </w:rPr>
        <w:t xml:space="preserve"> </w:t>
      </w:r>
      <w:r>
        <w:rPr>
          <w:rFonts w:ascii="Times New Roman" w:hAnsi="Times New Roman" w:eastAsia="Times New Roman" w:cs="Times New Roman"/>
          <w:sz w:val="15"/>
          <w:szCs w:val="15"/>
          <w:spacing w:val="1"/>
          <w:position w:val="-1"/>
        </w:rPr>
        <w:t>1~</w:t>
      </w:r>
      <w:r>
        <w:rPr>
          <w:rFonts w:ascii="Times New Roman" w:hAnsi="Times New Roman" w:eastAsia="Times New Roman" w:cs="Times New Roman"/>
          <w:sz w:val="15"/>
          <w:szCs w:val="15"/>
          <w:position w:val="-1"/>
        </w:rPr>
        <w:t>2 </w:t>
      </w:r>
      <w:r>
        <w:rPr>
          <w:rFonts w:ascii="SimSun" w:hAnsi="SimSun" w:eastAsia="SimSun" w:cs="SimSun"/>
          <w:sz w:val="24"/>
          <w:szCs w:val="24"/>
        </w:rPr>
        <w:t>）排放，每个车间</w:t>
      </w:r>
    </w:p>
    <w:p>
      <w:pPr>
        <w:pStyle w:val="BodyText"/>
        <w:spacing w:line="388" w:lineRule="auto"/>
        <w:rPr/>
      </w:pPr>
      <w:r/>
    </w:p>
    <w:p>
      <w:pPr>
        <w:ind w:left="5312"/>
        <w:spacing w:before="62" w:line="227" w:lineRule="auto"/>
        <w:rPr>
          <w:rFonts w:ascii="SimSun" w:hAnsi="SimSun" w:eastAsia="SimSun" w:cs="SimSun"/>
          <w:sz w:val="19"/>
          <w:szCs w:val="19"/>
        </w:rPr>
      </w:pPr>
      <w:r>
        <w:pict>
          <v:shape id="_x0000_s360" style="position:absolute;margin-left:207.442pt;margin-top:2.09049pt;mso-position-vertical-relative:text;mso-position-horizontal-relative:text;width:58.8pt;height:13.75pt;z-index:251819008;"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3"/>
                      <w:position w:val="2"/>
                    </w:rPr>
                    <w:t>70</w:t>
                  </w:r>
                  <w:r>
                    <w:rPr>
                      <w:rFonts w:ascii="Times New Roman" w:hAnsi="Times New Roman" w:eastAsia="Times New Roman" w:cs="Times New Roman"/>
                      <w:sz w:val="18"/>
                      <w:szCs w:val="18"/>
                      <w:spacing w:val="1"/>
                      <w:position w:val="2"/>
                    </w:rPr>
                    <w:t xml:space="preserve">        </w:t>
                  </w:r>
                  <w:r>
                    <w:rPr>
                      <w:rFonts w:ascii="SimSun" w:hAnsi="SimSun" w:eastAsia="SimSun" w:cs="SimSun"/>
                      <w:sz w:val="19"/>
                      <w:szCs w:val="19"/>
                      <w:spacing w:val="3"/>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16"/>
          <w:pgSz w:w="11907" w:h="16840"/>
          <w:pgMar w:top="1567" w:right="1640" w:bottom="400" w:left="1701" w:header="1221" w:footer="0" w:gutter="0"/>
        </w:sectPr>
        <w:rPr>
          <w:rFonts w:ascii="SimSun" w:hAnsi="SimSun" w:eastAsia="SimSun" w:cs="SimSun"/>
          <w:sz w:val="19"/>
          <w:szCs w:val="19"/>
        </w:rPr>
      </w:pPr>
    </w:p>
    <w:p>
      <w:pPr>
        <w:ind w:left="9" w:right="78"/>
        <w:spacing w:before="188" w:line="359" w:lineRule="auto"/>
        <w:rPr>
          <w:rFonts w:ascii="SimSun" w:hAnsi="SimSun" w:eastAsia="SimSun" w:cs="SimSun"/>
          <w:sz w:val="24"/>
          <w:szCs w:val="24"/>
        </w:rPr>
      </w:pPr>
      <w:r>
        <w:pict>
          <v:shape id="_x0000_s362" style="position:absolute;margin-left:85.05pt;margin-top:79.11pt;mso-position-vertical-relative:page;mso-position-horizontal-relative:page;width:425.25pt;height:0.75pt;z-index:251822080;" o:allowincell="f" fillcolor="#000000" filled="true" stroked="false" coordsize="8505,15" coordorigin="0,0" path="m,l8505,0l8505,14l0,14l0,0xe"/>
        </w:pict>
      </w:r>
      <w:r>
        <w:rPr>
          <w:rFonts w:ascii="SimSun" w:hAnsi="SimSun" w:eastAsia="SimSun" w:cs="SimSun"/>
          <w:sz w:val="24"/>
          <w:szCs w:val="24"/>
          <w:spacing w:val="1"/>
        </w:rPr>
        <w:t>开松机上方安装一套布袋除尘器，开松除杂粉尘经布袋除尘器处理后，通过</w:t>
      </w:r>
      <w:r>
        <w:rPr>
          <w:rFonts w:ascii="SimSun" w:hAnsi="SimSun" w:eastAsia="SimSun" w:cs="SimSun"/>
          <w:sz w:val="24"/>
          <w:szCs w:val="24"/>
          <w:spacing w:val="-10"/>
        </w:rPr>
        <w:t xml:space="preserve"> </w:t>
      </w:r>
      <w:r>
        <w:rPr>
          <w:rFonts w:ascii="Times New Roman" w:hAnsi="Times New Roman" w:eastAsia="Times New Roman" w:cs="Times New Roman"/>
          <w:sz w:val="24"/>
          <w:szCs w:val="24"/>
          <w:spacing w:val="1"/>
        </w:rPr>
        <w:t>15m</w:t>
      </w:r>
      <w:r>
        <w:rPr>
          <w:rFonts w:ascii="Times New Roman" w:hAnsi="Times New Roman" w:eastAsia="Times New Roman" w:cs="Times New Roman"/>
          <w:sz w:val="24"/>
          <w:szCs w:val="24"/>
        </w:rPr>
        <w:t xml:space="preserve"> </w:t>
      </w:r>
      <w:r>
        <w:rPr>
          <w:rFonts w:ascii="SimSun" w:hAnsi="SimSun" w:eastAsia="SimSun" w:cs="SimSun"/>
          <w:sz w:val="24"/>
          <w:szCs w:val="24"/>
          <w:spacing w:val="3"/>
        </w:rPr>
        <w:t>高排气筒排放，同时通过加强车间通风，减少对生产车</w:t>
      </w:r>
      <w:r>
        <w:rPr>
          <w:rFonts w:ascii="SimSun" w:hAnsi="SimSun" w:eastAsia="SimSun" w:cs="SimSun"/>
          <w:sz w:val="24"/>
          <w:szCs w:val="24"/>
          <w:spacing w:val="2"/>
        </w:rPr>
        <w:t>间环境空气质量的影响。</w:t>
      </w:r>
      <w:r>
        <w:rPr>
          <w:rFonts w:ascii="SimSun" w:hAnsi="SimSun" w:eastAsia="SimSun" w:cs="SimSun"/>
          <w:sz w:val="24"/>
          <w:szCs w:val="24"/>
        </w:rPr>
        <w:t xml:space="preserve"> </w:t>
      </w:r>
      <w:r>
        <w:rPr>
          <w:rFonts w:ascii="SimSun" w:hAnsi="SimSun" w:eastAsia="SimSun" w:cs="SimSun"/>
          <w:sz w:val="24"/>
          <w:szCs w:val="24"/>
          <w:spacing w:val="-1"/>
        </w:rPr>
        <w:t>东厂区除杂粉尘经一套布袋除尘器处理后通过</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15m</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1"/>
        </w:rPr>
        <w:t>高排气筒排放（</w:t>
      </w:r>
      <w:r>
        <w:rPr>
          <w:rFonts w:ascii="Times New Roman" w:hAnsi="Times New Roman" w:eastAsia="Times New Roman" w:cs="Times New Roman"/>
          <w:sz w:val="24"/>
          <w:szCs w:val="24"/>
          <w:spacing w:val="-1"/>
        </w:rPr>
        <w:t>DA001</w:t>
      </w:r>
      <w:r>
        <w:rPr>
          <w:rFonts w:ascii="SimSun" w:hAnsi="SimSun" w:eastAsia="SimSun" w:cs="SimSun"/>
          <w:sz w:val="24"/>
          <w:szCs w:val="24"/>
          <w:spacing w:val="14"/>
        </w:rPr>
        <w:t>）；</w:t>
      </w:r>
      <w:r>
        <w:rPr>
          <w:rFonts w:ascii="SimSun" w:hAnsi="SimSun" w:eastAsia="SimSun" w:cs="SimSun"/>
          <w:sz w:val="24"/>
          <w:szCs w:val="24"/>
          <w:spacing w:val="-1"/>
        </w:rPr>
        <w:t>西</w:t>
      </w:r>
      <w:r>
        <w:rPr>
          <w:rFonts w:ascii="SimSun" w:hAnsi="SimSun" w:eastAsia="SimSun" w:cs="SimSun"/>
          <w:sz w:val="24"/>
          <w:szCs w:val="24"/>
        </w:rPr>
        <w:t xml:space="preserve"> </w:t>
      </w:r>
      <w:r>
        <w:rPr>
          <w:rFonts w:ascii="SimSun" w:hAnsi="SimSun" w:eastAsia="SimSun" w:cs="SimSun"/>
          <w:sz w:val="24"/>
          <w:szCs w:val="24"/>
          <w:spacing w:val="-1"/>
        </w:rPr>
        <w:t>厂区除杂粉尘经一套布袋除尘器处理后通过</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15m</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1"/>
        </w:rPr>
        <w:t>高排气筒排放（</w:t>
      </w:r>
      <w:r>
        <w:rPr>
          <w:rFonts w:ascii="Times New Roman" w:hAnsi="Times New Roman" w:eastAsia="Times New Roman" w:cs="Times New Roman"/>
          <w:sz w:val="24"/>
          <w:szCs w:val="24"/>
          <w:spacing w:val="-1"/>
        </w:rPr>
        <w:t>DA002</w:t>
      </w:r>
      <w:r>
        <w:rPr>
          <w:rFonts w:ascii="SimSun" w:hAnsi="SimSun" w:eastAsia="SimSun" w:cs="SimSun"/>
          <w:sz w:val="24"/>
          <w:szCs w:val="24"/>
          <w:spacing w:val="15"/>
        </w:rPr>
        <w:t>），</w:t>
      </w:r>
      <w:r>
        <w:rPr>
          <w:rFonts w:ascii="SimSun" w:hAnsi="SimSun" w:eastAsia="SimSun" w:cs="SimSun"/>
          <w:sz w:val="24"/>
          <w:szCs w:val="24"/>
          <w:spacing w:val="-1"/>
        </w:rPr>
        <w:t>根据</w:t>
      </w:r>
      <w:r>
        <w:rPr>
          <w:rFonts w:ascii="SimSun" w:hAnsi="SimSun" w:eastAsia="SimSun" w:cs="SimSun"/>
          <w:sz w:val="24"/>
          <w:szCs w:val="24"/>
        </w:rPr>
        <w:t xml:space="preserve"> </w:t>
      </w:r>
      <w:r>
        <w:rPr>
          <w:rFonts w:ascii="SimSun" w:hAnsi="SimSun" w:eastAsia="SimSun" w:cs="SimSun"/>
          <w:sz w:val="24"/>
          <w:szCs w:val="24"/>
          <w:spacing w:val="-4"/>
        </w:rPr>
        <w:t>物料平衡分析，每条生产线开松除杂粉尘产生量为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0.075t/a</w:t>
      </w:r>
      <w:r>
        <w:rPr>
          <w:rFonts w:ascii="SimSun" w:hAnsi="SimSun" w:eastAsia="SimSun" w:cs="SimSun"/>
          <w:sz w:val="24"/>
          <w:szCs w:val="24"/>
          <w:spacing w:val="-4"/>
        </w:rPr>
        <w:t>。各污染物产生量见</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3.5</w:t>
      </w:r>
      <w:r>
        <w:rPr>
          <w:rFonts w:ascii="Times New Roman" w:hAnsi="Times New Roman" w:eastAsia="Times New Roman" w:cs="Times New Roman"/>
          <w:sz w:val="24"/>
          <w:szCs w:val="24"/>
        </w:rPr>
        <w:t xml:space="preserve"> </w:t>
      </w:r>
      <w:r>
        <w:rPr>
          <w:rFonts w:ascii="SimSun" w:hAnsi="SimSun" w:eastAsia="SimSun" w:cs="SimSun"/>
          <w:sz w:val="24"/>
          <w:szCs w:val="24"/>
          <w:spacing w:val="-4"/>
        </w:rPr>
        <w:t>章节。</w:t>
      </w:r>
    </w:p>
    <w:p>
      <w:pPr>
        <w:ind w:left="9" w:firstLine="500"/>
        <w:spacing w:before="8" w:line="358" w:lineRule="auto"/>
        <w:jc w:val="both"/>
        <w:rPr>
          <w:rFonts w:ascii="SimSun" w:hAnsi="SimSun" w:eastAsia="SimSun" w:cs="SimSun"/>
          <w:sz w:val="24"/>
          <w:szCs w:val="24"/>
        </w:rPr>
      </w:pPr>
      <w:r>
        <w:rPr>
          <w:rFonts w:ascii="SimSun" w:hAnsi="SimSun" w:eastAsia="SimSun" w:cs="SimSun"/>
          <w:sz w:val="24"/>
          <w:szCs w:val="24"/>
          <w:b/>
          <w:bCs/>
          <w:spacing w:val="-5"/>
        </w:rPr>
        <w:t>固废：</w:t>
      </w:r>
      <w:r>
        <w:rPr>
          <w:rFonts w:ascii="SimSun" w:hAnsi="SimSun" w:eastAsia="SimSun" w:cs="SimSun"/>
          <w:sz w:val="24"/>
          <w:szCs w:val="24"/>
          <w:spacing w:val="-5"/>
        </w:rPr>
        <w:t>原毛开松过程中产生开松杂质（</w:t>
      </w:r>
      <w:r>
        <w:rPr>
          <w:rFonts w:ascii="Times New Roman" w:hAnsi="Times New Roman" w:eastAsia="Times New Roman" w:cs="Times New Roman"/>
          <w:sz w:val="24"/>
          <w:szCs w:val="24"/>
          <w:spacing w:val="-5"/>
        </w:rPr>
        <w:t>S</w:t>
      </w:r>
      <w:r>
        <w:rPr>
          <w:rFonts w:ascii="Times New Roman" w:hAnsi="Times New Roman" w:eastAsia="Times New Roman" w:cs="Times New Roman"/>
          <w:sz w:val="15"/>
          <w:szCs w:val="15"/>
          <w:spacing w:val="-5"/>
          <w:position w:val="-1"/>
        </w:rPr>
        <w:t>1-3 </w:t>
      </w:r>
      <w:r>
        <w:rPr>
          <w:rFonts w:ascii="SimSun" w:hAnsi="SimSun" w:eastAsia="SimSun" w:cs="SimSun"/>
          <w:sz w:val="24"/>
          <w:szCs w:val="24"/>
          <w:spacing w:val="-24"/>
        </w:rPr>
        <w:t>），</w:t>
      </w:r>
      <w:r>
        <w:rPr>
          <w:rFonts w:ascii="SimSun" w:hAnsi="SimSun" w:eastAsia="SimSun" w:cs="SimSun"/>
          <w:sz w:val="24"/>
          <w:szCs w:val="24"/>
          <w:spacing w:val="-5"/>
        </w:rPr>
        <w:t>主要成分为杂草、羊粪、碎毛、</w:t>
      </w:r>
      <w:r>
        <w:rPr>
          <w:rFonts w:ascii="SimSun" w:hAnsi="SimSun" w:eastAsia="SimSun" w:cs="SimSun"/>
          <w:sz w:val="24"/>
          <w:szCs w:val="24"/>
          <w:spacing w:val="1"/>
        </w:rPr>
        <w:t xml:space="preserve"> </w:t>
      </w:r>
      <w:r>
        <w:rPr>
          <w:rFonts w:ascii="SimSun" w:hAnsi="SimSun" w:eastAsia="SimSun" w:cs="SimSun"/>
          <w:sz w:val="24"/>
          <w:szCs w:val="24"/>
          <w:spacing w:val="3"/>
        </w:rPr>
        <w:t>泥土等，外运内蒙古盎然农业发展有限公司有机肥</w:t>
      </w:r>
      <w:r>
        <w:rPr>
          <w:rFonts w:ascii="SimSun" w:hAnsi="SimSun" w:eastAsia="SimSun" w:cs="SimSun"/>
          <w:sz w:val="24"/>
          <w:szCs w:val="24"/>
          <w:spacing w:val="2"/>
        </w:rPr>
        <w:t>厂做有机肥，待内蒙古源浩羊</w:t>
      </w:r>
      <w:r>
        <w:rPr>
          <w:rFonts w:ascii="SimSun" w:hAnsi="SimSun" w:eastAsia="SimSun" w:cs="SimSun"/>
          <w:sz w:val="24"/>
          <w:szCs w:val="24"/>
        </w:rPr>
        <w:t xml:space="preserve"> </w:t>
      </w:r>
      <w:r>
        <w:rPr>
          <w:rFonts w:ascii="SimSun" w:hAnsi="SimSun" w:eastAsia="SimSun" w:cs="SimSun"/>
          <w:sz w:val="24"/>
          <w:szCs w:val="24"/>
          <w:spacing w:val="3"/>
        </w:rPr>
        <w:t>绒制品有限公司废弃物高效循环利用项目（二期）有机</w:t>
      </w:r>
      <w:r>
        <w:rPr>
          <w:rFonts w:ascii="SimSun" w:hAnsi="SimSun" w:eastAsia="SimSun" w:cs="SimSun"/>
          <w:sz w:val="24"/>
          <w:szCs w:val="24"/>
          <w:spacing w:val="2"/>
        </w:rPr>
        <w:t>肥生产线建成后用于生产</w:t>
      </w:r>
      <w:r>
        <w:rPr>
          <w:rFonts w:ascii="SimSun" w:hAnsi="SimSun" w:eastAsia="SimSun" w:cs="SimSun"/>
          <w:sz w:val="24"/>
          <w:szCs w:val="24"/>
        </w:rPr>
        <w:t xml:space="preserve"> </w:t>
      </w:r>
      <w:r>
        <w:rPr>
          <w:rFonts w:ascii="SimSun" w:hAnsi="SimSun" w:eastAsia="SimSun" w:cs="SimSun"/>
          <w:sz w:val="24"/>
          <w:szCs w:val="24"/>
          <w:spacing w:val="-1"/>
        </w:rPr>
        <w:t>有机肥。布袋除尘器定期更换产生废布袋（</w:t>
      </w:r>
      <w:r>
        <w:rPr>
          <w:rFonts w:ascii="Times New Roman" w:hAnsi="Times New Roman" w:eastAsia="Times New Roman" w:cs="Times New Roman"/>
          <w:sz w:val="24"/>
          <w:szCs w:val="24"/>
          <w:spacing w:val="-1"/>
        </w:rPr>
        <w:t>S</w:t>
      </w:r>
      <w:r>
        <w:rPr>
          <w:rFonts w:ascii="Times New Roman" w:hAnsi="Times New Roman" w:eastAsia="Times New Roman" w:cs="Times New Roman"/>
          <w:sz w:val="15"/>
          <w:szCs w:val="15"/>
          <w:spacing w:val="-1"/>
          <w:position w:val="-1"/>
        </w:rPr>
        <w:t>1-4 </w:t>
      </w:r>
      <w:r>
        <w:rPr>
          <w:rFonts w:ascii="SimSun" w:hAnsi="SimSun" w:eastAsia="SimSun" w:cs="SimSun"/>
          <w:sz w:val="24"/>
          <w:szCs w:val="24"/>
          <w:spacing w:val="2"/>
        </w:rPr>
        <w:t>），</w:t>
      </w:r>
      <w:r>
        <w:rPr>
          <w:rFonts w:ascii="SimSun" w:hAnsi="SimSun" w:eastAsia="SimSun" w:cs="SimSun"/>
          <w:sz w:val="24"/>
          <w:szCs w:val="24"/>
          <w:spacing w:val="-1"/>
        </w:rPr>
        <w:t>由除尘器厂家更换后运</w:t>
      </w:r>
      <w:r>
        <w:rPr>
          <w:rFonts w:ascii="SimSun" w:hAnsi="SimSun" w:eastAsia="SimSun" w:cs="SimSun"/>
          <w:sz w:val="24"/>
          <w:szCs w:val="24"/>
          <w:spacing w:val="-2"/>
        </w:rPr>
        <w:t>走。开</w:t>
      </w:r>
      <w:r>
        <w:rPr>
          <w:rFonts w:ascii="SimSun" w:hAnsi="SimSun" w:eastAsia="SimSun" w:cs="SimSun"/>
          <w:sz w:val="24"/>
          <w:szCs w:val="24"/>
        </w:rPr>
        <w:t xml:space="preserve"> </w:t>
      </w:r>
      <w:r>
        <w:rPr>
          <w:rFonts w:ascii="SimSun" w:hAnsi="SimSun" w:eastAsia="SimSun" w:cs="SimSun"/>
          <w:sz w:val="24"/>
          <w:szCs w:val="24"/>
        </w:rPr>
        <w:t>松除杂布袋除尘器收集粉尘（</w:t>
      </w:r>
      <w:r>
        <w:rPr>
          <w:rFonts w:ascii="Times New Roman" w:hAnsi="Times New Roman" w:eastAsia="Times New Roman" w:cs="Times New Roman"/>
          <w:sz w:val="24"/>
          <w:szCs w:val="24"/>
        </w:rPr>
        <w:t>S</w:t>
      </w:r>
      <w:r>
        <w:rPr>
          <w:rFonts w:ascii="Times New Roman" w:hAnsi="Times New Roman" w:eastAsia="Times New Roman" w:cs="Times New Roman"/>
          <w:sz w:val="15"/>
          <w:szCs w:val="15"/>
          <w:position w:val="-1"/>
        </w:rPr>
        <w:t>1-5 </w:t>
      </w:r>
      <w:r>
        <w:rPr>
          <w:rFonts w:ascii="SimSun" w:hAnsi="SimSun" w:eastAsia="SimSun" w:cs="SimSun"/>
          <w:sz w:val="24"/>
          <w:szCs w:val="24"/>
          <w:spacing w:val="-5"/>
        </w:rPr>
        <w:t>），</w:t>
      </w:r>
      <w:r>
        <w:rPr>
          <w:rFonts w:ascii="SimSun" w:hAnsi="SimSun" w:eastAsia="SimSun" w:cs="SimSun"/>
          <w:sz w:val="24"/>
          <w:szCs w:val="24"/>
        </w:rPr>
        <w:t>主要成分为细颗粒的羊粪、碎毛、泥土等， </w:t>
      </w:r>
      <w:r>
        <w:rPr>
          <w:rFonts w:ascii="SimSun" w:hAnsi="SimSun" w:eastAsia="SimSun" w:cs="SimSun"/>
          <w:sz w:val="24"/>
          <w:szCs w:val="24"/>
          <w:spacing w:val="3"/>
        </w:rPr>
        <w:t>外运内蒙古盎然农业发展有限公司有机肥厂做有机肥。各污染物产生量见</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3"/>
        </w:rPr>
        <w:t>3.5</w:t>
      </w:r>
      <w:r>
        <w:rPr>
          <w:rFonts w:ascii="Times New Roman" w:hAnsi="Times New Roman" w:eastAsia="Times New Roman" w:cs="Times New Roman"/>
          <w:sz w:val="24"/>
          <w:szCs w:val="24"/>
          <w:spacing w:val="22"/>
          <w:w w:val="101"/>
        </w:rPr>
        <w:t xml:space="preserve"> </w:t>
      </w:r>
      <w:r>
        <w:rPr>
          <w:rFonts w:ascii="SimSun" w:hAnsi="SimSun" w:eastAsia="SimSun" w:cs="SimSun"/>
          <w:sz w:val="24"/>
          <w:szCs w:val="24"/>
          <w:spacing w:val="3"/>
        </w:rPr>
        <w:t>章</w:t>
      </w:r>
      <w:r>
        <w:rPr>
          <w:rFonts w:ascii="SimSun" w:hAnsi="SimSun" w:eastAsia="SimSun" w:cs="SimSun"/>
          <w:sz w:val="24"/>
          <w:szCs w:val="24"/>
        </w:rPr>
        <w:t xml:space="preserve"> </w:t>
      </w:r>
      <w:r>
        <w:rPr>
          <w:rFonts w:ascii="SimSun" w:hAnsi="SimSun" w:eastAsia="SimSun" w:cs="SimSun"/>
          <w:sz w:val="24"/>
          <w:szCs w:val="24"/>
          <w:spacing w:val="-5"/>
        </w:rPr>
        <w:t>节。</w:t>
      </w:r>
    </w:p>
    <w:p>
      <w:pPr>
        <w:ind w:left="4"/>
        <w:spacing w:before="1"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3.2.1.4 </w:t>
      </w:r>
      <w:r>
        <w:rPr>
          <w:rFonts w:ascii="SimSun" w:hAnsi="SimSun" w:eastAsia="SimSun" w:cs="SimSun"/>
          <w:sz w:val="24"/>
          <w:szCs w:val="24"/>
          <w:b/>
          <w:bCs/>
          <w:spacing w:val="-1"/>
        </w:rPr>
        <w:t>洗毛</w:t>
      </w:r>
    </w:p>
    <w:p>
      <w:pPr>
        <w:ind w:left="496"/>
        <w:spacing w:before="181" w:line="219" w:lineRule="auto"/>
        <w:rPr>
          <w:rFonts w:ascii="SimSun" w:hAnsi="SimSun" w:eastAsia="SimSun" w:cs="SimSun"/>
          <w:sz w:val="24"/>
          <w:szCs w:val="24"/>
        </w:rPr>
      </w:pPr>
      <w:r>
        <w:rPr>
          <w:rFonts w:ascii="Times New Roman" w:hAnsi="Times New Roman" w:eastAsia="Times New Roman" w:cs="Times New Roman"/>
          <w:sz w:val="24"/>
          <w:szCs w:val="24"/>
          <w:b/>
          <w:bCs/>
          <w:spacing w:val="-6"/>
        </w:rPr>
        <w:t>1</w:t>
      </w:r>
      <w:r>
        <w:rPr>
          <w:rFonts w:ascii="Times New Roman" w:hAnsi="Times New Roman" w:eastAsia="Times New Roman" w:cs="Times New Roman"/>
          <w:sz w:val="24"/>
          <w:szCs w:val="24"/>
          <w:b/>
          <w:bCs/>
          <w:spacing w:val="-27"/>
        </w:rPr>
        <w:t xml:space="preserve"> </w:t>
      </w:r>
      <w:r>
        <w:rPr>
          <w:rFonts w:ascii="SimSun" w:hAnsi="SimSun" w:eastAsia="SimSun" w:cs="SimSun"/>
          <w:sz w:val="24"/>
          <w:szCs w:val="24"/>
          <w:b/>
          <w:bCs/>
          <w:spacing w:val="-6"/>
        </w:rPr>
        <w:t>、一级浸泡（</w:t>
      </w:r>
      <w:r>
        <w:rPr>
          <w:rFonts w:ascii="Times New Roman" w:hAnsi="Times New Roman" w:eastAsia="Times New Roman" w:cs="Times New Roman"/>
          <w:sz w:val="24"/>
          <w:szCs w:val="24"/>
          <w:b/>
          <w:bCs/>
          <w:spacing w:val="-6"/>
        </w:rPr>
        <w:t>1 </w:t>
      </w:r>
      <w:r>
        <w:rPr>
          <w:rFonts w:ascii="SimSun" w:hAnsi="SimSun" w:eastAsia="SimSun" w:cs="SimSun"/>
          <w:sz w:val="24"/>
          <w:szCs w:val="24"/>
          <w:b/>
          <w:bCs/>
          <w:spacing w:val="-6"/>
        </w:rPr>
        <w:t>槽）</w:t>
      </w:r>
    </w:p>
    <w:p>
      <w:pPr>
        <w:ind w:left="12" w:right="80" w:firstLine="476"/>
        <w:spacing w:before="182" w:line="385" w:lineRule="auto"/>
        <w:jc w:val="both"/>
        <w:rPr>
          <w:rFonts w:ascii="SimSun" w:hAnsi="SimSun" w:eastAsia="SimSun" w:cs="SimSun"/>
          <w:sz w:val="24"/>
          <w:szCs w:val="24"/>
        </w:rPr>
      </w:pPr>
      <w:r>
        <w:rPr>
          <w:rFonts w:ascii="SimSun" w:hAnsi="SimSun" w:eastAsia="SimSun" w:cs="SimSun"/>
          <w:sz w:val="24"/>
          <w:szCs w:val="24"/>
          <w:spacing w:val="-7"/>
        </w:rPr>
        <w:t>输送平帘缓慢将除杂后的原毛输送入</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7"/>
        </w:rPr>
        <w:t>号水槽，水温为常温（水温</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20-25</w:t>
      </w:r>
      <w:r>
        <w:rPr>
          <w:rFonts w:ascii="SimSun" w:hAnsi="SimSun" w:eastAsia="SimSun" w:cs="SimSun"/>
          <w:sz w:val="24"/>
          <w:szCs w:val="24"/>
          <w:spacing w:val="-7"/>
        </w:rPr>
        <w:t>℃)</w:t>
      </w:r>
      <w:r>
        <w:rPr>
          <w:rFonts w:ascii="SimSun" w:hAnsi="SimSun" w:eastAsia="SimSun" w:cs="SimSun"/>
          <w:sz w:val="24"/>
          <w:szCs w:val="24"/>
          <w:spacing w:val="-8"/>
        </w:rPr>
        <w:t xml:space="preserve"> ,</w:t>
      </w:r>
      <w:r>
        <w:rPr>
          <w:rFonts w:ascii="SimSun" w:hAnsi="SimSun" w:eastAsia="SimSun" w:cs="SimSun"/>
          <w:sz w:val="24"/>
          <w:szCs w:val="24"/>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30"/>
          <w:w w:val="101"/>
        </w:rPr>
        <w:t xml:space="preserve"> </w:t>
      </w:r>
      <w:r>
        <w:rPr>
          <w:rFonts w:ascii="SimSun" w:hAnsi="SimSun" w:eastAsia="SimSun" w:cs="SimSun"/>
          <w:sz w:val="24"/>
          <w:szCs w:val="24"/>
          <w:spacing w:val="-2"/>
        </w:rPr>
        <w:t>号水槽最前端压毛滚筒将原毛充分浸湿，浸泡时间</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8-10min</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，通过槽上方的钩耙</w:t>
      </w:r>
      <w:r>
        <w:rPr>
          <w:rFonts w:ascii="SimSun" w:hAnsi="SimSun" w:eastAsia="SimSun" w:cs="SimSun"/>
          <w:sz w:val="24"/>
          <w:szCs w:val="24"/>
        </w:rPr>
        <w:t xml:space="preserve"> </w:t>
      </w:r>
      <w:r>
        <w:rPr>
          <w:rFonts w:ascii="SimSun" w:hAnsi="SimSun" w:eastAsia="SimSun" w:cs="SimSun"/>
          <w:sz w:val="24"/>
          <w:szCs w:val="24"/>
          <w:spacing w:val="3"/>
        </w:rPr>
        <w:t>不停的翻动羊毛，将羊毛上附着的泥沙、羊</w:t>
      </w:r>
      <w:r>
        <w:rPr>
          <w:rFonts w:ascii="SimSun" w:hAnsi="SimSun" w:eastAsia="SimSun" w:cs="SimSun"/>
          <w:sz w:val="24"/>
          <w:szCs w:val="24"/>
          <w:spacing w:val="2"/>
        </w:rPr>
        <w:t>粪等杂物清洗掉，羊毛随耙齿缓慢向</w:t>
      </w:r>
      <w:r>
        <w:rPr>
          <w:rFonts w:ascii="SimSun" w:hAnsi="SimSun" w:eastAsia="SimSun" w:cs="SimSun"/>
          <w:sz w:val="24"/>
          <w:szCs w:val="24"/>
        </w:rPr>
        <w:t xml:space="preserve"> </w:t>
      </w:r>
      <w:r>
        <w:rPr>
          <w:rFonts w:ascii="SimSun" w:hAnsi="SimSun" w:eastAsia="SimSun" w:cs="SimSun"/>
          <w:sz w:val="24"/>
          <w:szCs w:val="24"/>
          <w:spacing w:val="1"/>
        </w:rPr>
        <w:t>前到</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1"/>
        </w:rPr>
        <w:t>号压水机，压水机利用气动装置上下直压羊毛，将羊毛中的水分压干，压</w:t>
      </w:r>
      <w:r>
        <w:rPr>
          <w:rFonts w:ascii="SimSun" w:hAnsi="SimSun" w:eastAsia="SimSun" w:cs="SimSun"/>
          <w:sz w:val="24"/>
          <w:szCs w:val="24"/>
        </w:rPr>
        <w:t xml:space="preserve"> </w:t>
      </w:r>
      <w:r>
        <w:rPr>
          <w:rFonts w:ascii="SimSun" w:hAnsi="SimSun" w:eastAsia="SimSun" w:cs="SimSun"/>
          <w:sz w:val="24"/>
          <w:szCs w:val="24"/>
        </w:rPr>
        <w:t>出水由盛液槽返回</w:t>
      </w:r>
      <w:r>
        <w:rPr>
          <w:rFonts w:ascii="SimSun" w:hAnsi="SimSun" w:eastAsia="SimSun" w:cs="SimSun"/>
          <w:sz w:val="24"/>
          <w:szCs w:val="24"/>
          <w:spacing w:val="-15"/>
        </w:rPr>
        <w:t xml:space="preserve"> </w:t>
      </w:r>
      <w:r>
        <w:rPr>
          <w:rFonts w:ascii="Times New Roman" w:hAnsi="Times New Roman" w:eastAsia="Times New Roman" w:cs="Times New Roman"/>
          <w:sz w:val="24"/>
          <w:szCs w:val="24"/>
        </w:rPr>
        <w:t>1</w:t>
      </w:r>
      <w:r>
        <w:rPr>
          <w:rFonts w:ascii="Times New Roman" w:hAnsi="Times New Roman" w:eastAsia="Times New Roman" w:cs="Times New Roman"/>
          <w:sz w:val="24"/>
          <w:szCs w:val="24"/>
          <w:spacing w:val="17"/>
        </w:rPr>
        <w:t xml:space="preserve"> </w:t>
      </w:r>
      <w:r>
        <w:rPr>
          <w:rFonts w:ascii="SimSun" w:hAnsi="SimSun" w:eastAsia="SimSun" w:cs="SimSun"/>
          <w:sz w:val="24"/>
          <w:szCs w:val="24"/>
        </w:rPr>
        <w:t>号水槽，原毛通过平帘继续喂入到</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2</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rPr>
        <w:t>号水槽。粪便、泥土沉 </w:t>
      </w:r>
      <w:r>
        <w:rPr>
          <w:rFonts w:ascii="SimSun" w:hAnsi="SimSun" w:eastAsia="SimSun" w:cs="SimSun"/>
          <w:sz w:val="24"/>
          <w:szCs w:val="24"/>
          <w:spacing w:val="-3"/>
        </w:rPr>
        <w:t>淀到</w:t>
      </w:r>
      <w:r>
        <w:rPr>
          <w:rFonts w:ascii="SimSun" w:hAnsi="SimSun" w:eastAsia="SimSun" w:cs="SimSun"/>
          <w:sz w:val="24"/>
          <w:szCs w:val="24"/>
          <w:spacing w:val="-17"/>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号水槽底部，随废水从槽底部排入废水收集池。</w:t>
      </w:r>
    </w:p>
    <w:p>
      <w:pPr>
        <w:ind w:left="9" w:right="78" w:firstLine="498"/>
        <w:spacing w:before="2" w:line="384" w:lineRule="auto"/>
        <w:jc w:val="both"/>
        <w:rPr>
          <w:rFonts w:ascii="SimSun" w:hAnsi="SimSun" w:eastAsia="SimSun" w:cs="SimSun"/>
          <w:sz w:val="24"/>
          <w:szCs w:val="24"/>
        </w:rPr>
      </w:pP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4"/>
        </w:rPr>
        <w:t>号水槽补水来自</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5</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4"/>
        </w:rPr>
        <w:t>号、</w:t>
      </w:r>
      <w:r>
        <w:rPr>
          <w:rFonts w:ascii="Times New Roman" w:hAnsi="Times New Roman" w:eastAsia="Times New Roman" w:cs="Times New Roman"/>
          <w:sz w:val="24"/>
          <w:szCs w:val="24"/>
          <w:spacing w:val="-4"/>
        </w:rPr>
        <w:t>6</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4"/>
        </w:rPr>
        <w:t>号水槽，</w:t>
      </w:r>
      <w:r>
        <w:rPr>
          <w:rFonts w:ascii="SimSun" w:hAnsi="SimSun" w:eastAsia="SimSun" w:cs="SimSun"/>
          <w:sz w:val="24"/>
          <w:szCs w:val="24"/>
          <w:spacing w:val="-67"/>
        </w:rPr>
        <w:t xml:space="preserve"> </w:t>
      </w:r>
      <w:r>
        <w:rPr>
          <w:rFonts w:ascii="SimSun" w:hAnsi="SimSun" w:eastAsia="SimSun" w:cs="SimSun"/>
          <w:sz w:val="24"/>
          <w:szCs w:val="24"/>
          <w:spacing w:val="-4"/>
        </w:rPr>
        <w:t>日用水量为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52.6m</w:t>
      </w:r>
      <w:r>
        <w:rPr>
          <w:rFonts w:ascii="Times New Roman" w:hAnsi="Times New Roman" w:eastAsia="Times New Roman" w:cs="Times New Roman"/>
          <w:sz w:val="15"/>
          <w:szCs w:val="15"/>
          <w:spacing w:val="-4"/>
          <w:position w:val="8"/>
        </w:rPr>
        <w:t>3</w:t>
      </w:r>
      <w:r>
        <w:rPr>
          <w:rFonts w:ascii="Times New Roman" w:hAnsi="Times New Roman" w:eastAsia="Times New Roman" w:cs="Times New Roman"/>
          <w:sz w:val="24"/>
          <w:szCs w:val="24"/>
          <w:spacing w:val="-4"/>
        </w:rPr>
        <w:t>/d</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4"/>
        </w:rPr>
        <w:t>号水槽平均每小</w:t>
      </w:r>
      <w:r>
        <w:rPr>
          <w:rFonts w:ascii="SimSun" w:hAnsi="SimSun" w:eastAsia="SimSun" w:cs="SimSun"/>
          <w:sz w:val="24"/>
          <w:szCs w:val="24"/>
        </w:rPr>
        <w:t xml:space="preserve"> </w:t>
      </w:r>
      <w:r>
        <w:rPr>
          <w:rFonts w:ascii="SimSun" w:hAnsi="SimSun" w:eastAsia="SimSun" w:cs="SimSun"/>
          <w:sz w:val="24"/>
          <w:szCs w:val="24"/>
          <w:spacing w:val="-3"/>
        </w:rPr>
        <w:t>时排放一次粪便、泥土等杂质，排放时间</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20s</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，平均每天排放一次废水，排水量为</w:t>
      </w:r>
      <w:r>
        <w:rPr>
          <w:rFonts w:ascii="SimSun" w:hAnsi="SimSun" w:eastAsia="SimSun" w:cs="SimSun"/>
          <w:sz w:val="24"/>
          <w:szCs w:val="24"/>
        </w:rPr>
        <w:t xml:space="preserve"> </w:t>
      </w:r>
      <w:r>
        <w:rPr>
          <w:rFonts w:ascii="Times New Roman" w:hAnsi="Times New Roman" w:eastAsia="Times New Roman" w:cs="Times New Roman"/>
          <w:sz w:val="24"/>
          <w:szCs w:val="24"/>
        </w:rPr>
        <w:t>52.6m</w:t>
      </w:r>
      <w:r>
        <w:rPr>
          <w:rFonts w:ascii="Times New Roman" w:hAnsi="Times New Roman" w:eastAsia="Times New Roman" w:cs="Times New Roman"/>
          <w:sz w:val="15"/>
          <w:szCs w:val="15"/>
          <w:position w:val="7"/>
        </w:rPr>
        <w:t>3</w:t>
      </w:r>
      <w:r>
        <w:rPr>
          <w:rFonts w:ascii="Times New Roman" w:hAnsi="Times New Roman" w:eastAsia="Times New Roman" w:cs="Times New Roman"/>
          <w:sz w:val="24"/>
          <w:szCs w:val="24"/>
        </w:rPr>
        <w:t>/d</w:t>
      </w:r>
      <w:r>
        <w:rPr>
          <w:rFonts w:ascii="Times New Roman" w:hAnsi="Times New Roman" w:eastAsia="Times New Roman" w:cs="Times New Roman"/>
          <w:sz w:val="24"/>
          <w:szCs w:val="24"/>
          <w:spacing w:val="-28"/>
        </w:rPr>
        <w:t xml:space="preserve"> </w:t>
      </w:r>
      <w:r>
        <w:rPr>
          <w:rFonts w:ascii="SimSun" w:hAnsi="SimSun" w:eastAsia="SimSun" w:cs="SimSun"/>
          <w:sz w:val="24"/>
          <w:szCs w:val="24"/>
        </w:rPr>
        <w:t>。洗毛废水、粪便、泥土一起进入</w:t>
      </w:r>
      <w:r>
        <w:rPr>
          <w:rFonts w:ascii="SimSun" w:hAnsi="SimSun" w:eastAsia="SimSun" w:cs="SimSun"/>
          <w:sz w:val="24"/>
          <w:szCs w:val="24"/>
          <w:spacing w:val="-1"/>
        </w:rPr>
        <w:t>废水收集池，粪便与废水进入</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TS </w:t>
      </w:r>
      <w:r>
        <w:rPr>
          <w:rFonts w:ascii="SimSun" w:hAnsi="SimSun" w:eastAsia="SimSun" w:cs="SimSun"/>
          <w:sz w:val="24"/>
          <w:szCs w:val="24"/>
          <w:spacing w:val="-1"/>
        </w:rPr>
        <w:t>调节</w:t>
      </w:r>
      <w:r>
        <w:rPr>
          <w:rFonts w:ascii="SimSun" w:hAnsi="SimSun" w:eastAsia="SimSun" w:cs="SimSun"/>
          <w:sz w:val="24"/>
          <w:szCs w:val="24"/>
        </w:rPr>
        <w:t xml:space="preserve"> </w:t>
      </w:r>
      <w:r>
        <w:rPr>
          <w:rFonts w:ascii="SimSun" w:hAnsi="SimSun" w:eastAsia="SimSun" w:cs="SimSun"/>
          <w:sz w:val="24"/>
          <w:szCs w:val="24"/>
          <w:spacing w:val="3"/>
        </w:rPr>
        <w:t>池调质后，进入厌氧发酵罐发酵；泥土沉淀至废水收集</w:t>
      </w:r>
      <w:r>
        <w:rPr>
          <w:rFonts w:ascii="SimSun" w:hAnsi="SimSun" w:eastAsia="SimSun" w:cs="SimSun"/>
          <w:sz w:val="24"/>
          <w:szCs w:val="24"/>
          <w:spacing w:val="2"/>
        </w:rPr>
        <w:t>池底部，沉淀杂质定期清</w:t>
      </w:r>
      <w:r>
        <w:rPr>
          <w:rFonts w:ascii="SimSun" w:hAnsi="SimSun" w:eastAsia="SimSun" w:cs="SimSun"/>
          <w:sz w:val="24"/>
          <w:szCs w:val="24"/>
        </w:rPr>
        <w:t xml:space="preserve"> </w:t>
      </w:r>
      <w:r>
        <w:rPr>
          <w:rFonts w:ascii="SimSun" w:hAnsi="SimSun" w:eastAsia="SimSun" w:cs="SimSun"/>
          <w:sz w:val="24"/>
          <w:szCs w:val="24"/>
          <w:spacing w:val="-1"/>
        </w:rPr>
        <w:t>掏，委托环卫部门定期清运处理。</w:t>
      </w:r>
    </w:p>
    <w:p>
      <w:pPr>
        <w:ind w:left="489"/>
        <w:spacing w:line="219" w:lineRule="auto"/>
        <w:rPr>
          <w:rFonts w:ascii="SimSun" w:hAnsi="SimSun" w:eastAsia="SimSun" w:cs="SimSun"/>
          <w:sz w:val="24"/>
          <w:szCs w:val="24"/>
        </w:rPr>
      </w:pPr>
      <w:r>
        <w:rPr>
          <w:rFonts w:ascii="SimSun" w:hAnsi="SimSun" w:eastAsia="SimSun" w:cs="SimSun"/>
          <w:sz w:val="24"/>
          <w:szCs w:val="24"/>
          <w:b/>
          <w:bCs/>
          <w:spacing w:val="-4"/>
        </w:rPr>
        <w:t>产污环节分析：</w:t>
      </w:r>
    </w:p>
    <w:p>
      <w:pPr>
        <w:ind w:left="7" w:right="80" w:firstLine="481"/>
        <w:spacing w:before="216" w:line="475" w:lineRule="auto"/>
        <w:rPr>
          <w:rFonts w:ascii="SimSun" w:hAnsi="SimSun" w:eastAsia="SimSun" w:cs="SimSun"/>
          <w:sz w:val="19"/>
          <w:szCs w:val="19"/>
        </w:rPr>
      </w:pPr>
      <w:r>
        <w:pict>
          <v:shape id="_x0000_s364" style="position:absolute;margin-left:159.33pt;margin-top:39.6591pt;mso-position-vertical-relative:text;mso-position-horizontal-relative:text;width:58.85pt;height:13.75pt;z-index:25182105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28"/>
                    </w:rPr>
                    <w:t xml:space="preserve">   </w:t>
                  </w:r>
                  <w:r>
                    <w:rPr>
                      <w:rFonts w:ascii="Times New Roman" w:hAnsi="Times New Roman" w:eastAsia="Times New Roman" w:cs="Times New Roman"/>
                      <w:sz w:val="18"/>
                      <w:szCs w:val="18"/>
                      <w:spacing w:val="3"/>
                      <w:position w:val="2"/>
                    </w:rPr>
                    <w:t>71</w:t>
                  </w:r>
                </w:p>
              </w:txbxContent>
            </v:textbox>
          </v:shape>
        </w:pict>
      </w:r>
      <w:r>
        <w:rPr>
          <w:rFonts w:ascii="SimSun" w:hAnsi="SimSun" w:eastAsia="SimSun" w:cs="SimSun"/>
          <w:sz w:val="24"/>
          <w:szCs w:val="24"/>
          <w:b/>
          <w:bCs/>
          <w:spacing w:val="-2"/>
        </w:rPr>
        <w:t>废水：</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号水槽产生洗毛废水（</w:t>
      </w:r>
      <w:r>
        <w:rPr>
          <w:rFonts w:ascii="Times New Roman" w:hAnsi="Times New Roman" w:eastAsia="Times New Roman" w:cs="Times New Roman"/>
          <w:sz w:val="24"/>
          <w:szCs w:val="24"/>
          <w:spacing w:val="-2"/>
        </w:rPr>
        <w:t>W</w:t>
      </w:r>
      <w:r>
        <w:rPr>
          <w:rFonts w:ascii="Times New Roman" w:hAnsi="Times New Roman" w:eastAsia="Times New Roman" w:cs="Times New Roman"/>
          <w:sz w:val="15"/>
          <w:szCs w:val="15"/>
          <w:spacing w:val="-2"/>
          <w:position w:val="-1"/>
        </w:rPr>
        <w:t>1-1 </w:t>
      </w:r>
      <w:r>
        <w:rPr>
          <w:rFonts w:ascii="SimSun" w:hAnsi="SimSun" w:eastAsia="SimSun" w:cs="SimSun"/>
          <w:sz w:val="24"/>
          <w:szCs w:val="24"/>
          <w:spacing w:val="-12"/>
        </w:rPr>
        <w:t>），</w:t>
      </w:r>
      <w:r>
        <w:rPr>
          <w:rFonts w:ascii="SimSun" w:hAnsi="SimSun" w:eastAsia="SimSun" w:cs="SimSun"/>
          <w:sz w:val="24"/>
          <w:szCs w:val="24"/>
          <w:spacing w:val="-2"/>
        </w:rPr>
        <w:t>收集调质后输送至厌氧发酵装置。废</w:t>
      </w:r>
      <w:r>
        <w:rPr>
          <w:rFonts w:ascii="SimSun" w:hAnsi="SimSun" w:eastAsia="SimSun" w:cs="SimSun"/>
          <w:sz w:val="24"/>
          <w:szCs w:val="24"/>
        </w:rPr>
        <w:t xml:space="preserve"> </w:t>
      </w:r>
      <w:r>
        <w:rPr>
          <w:rFonts w:ascii="SimSun" w:hAnsi="SimSun" w:eastAsia="SimSun" w:cs="SimSun"/>
          <w:sz w:val="19"/>
          <w:szCs w:val="19"/>
          <w:spacing w:val="9"/>
        </w:rPr>
        <w:t>锡林郭勒盟中安环境技术咨询有限责</w:t>
      </w:r>
    </w:p>
    <w:p>
      <w:pPr>
        <w:spacing w:line="475" w:lineRule="auto"/>
        <w:sectPr>
          <w:headerReference w:type="default" r:id="rId11"/>
          <w:pgSz w:w="11907" w:h="16840"/>
          <w:pgMar w:top="1567" w:right="1621" w:bottom="400" w:left="1701" w:header="1221" w:footer="0" w:gutter="0"/>
        </w:sectPr>
        <w:rPr>
          <w:rFonts w:ascii="SimSun" w:hAnsi="SimSun" w:eastAsia="SimSun" w:cs="SimSun"/>
          <w:sz w:val="19"/>
          <w:szCs w:val="19"/>
        </w:rPr>
      </w:pPr>
    </w:p>
    <w:p>
      <w:pPr>
        <w:pStyle w:val="BodyText"/>
        <w:spacing w:line="247" w:lineRule="auto"/>
        <w:rPr/>
      </w:pPr>
      <w:r>
        <w:pict>
          <v:shape id="_x0000_s366" style="position:absolute;margin-left:0pt;margin-top:0.469971pt;mso-position-vertical-relative:text;mso-position-horizontal-relative:text;width:425.25pt;height:0.75pt;z-index:251824128;" fillcolor="#000000" filled="true" stroked="false" coordsize="8505,15" coordorigin="0,0" path="m,l8505,0l8505,14l0,14l0,0xe"/>
        </w:pict>
      </w:r>
      <w:r/>
    </w:p>
    <w:p>
      <w:pPr>
        <w:ind w:left="9" w:right="80" w:firstLine="2"/>
        <w:spacing w:before="78" w:line="385" w:lineRule="auto"/>
        <w:rPr>
          <w:rFonts w:ascii="SimSun" w:hAnsi="SimSun" w:eastAsia="SimSun" w:cs="SimSun"/>
          <w:sz w:val="24"/>
          <w:szCs w:val="24"/>
        </w:rPr>
      </w:pPr>
      <w:r>
        <w:rPr>
          <w:rFonts w:ascii="SimSun" w:hAnsi="SimSun" w:eastAsia="SimSun" w:cs="SimSun"/>
          <w:sz w:val="24"/>
          <w:szCs w:val="24"/>
          <w:spacing w:val="-1"/>
        </w:rPr>
        <w:t>水收集池沉淀杂质（</w:t>
      </w:r>
      <w:r>
        <w:rPr>
          <w:rFonts w:ascii="Times New Roman" w:hAnsi="Times New Roman" w:eastAsia="Times New Roman" w:cs="Times New Roman"/>
          <w:sz w:val="24"/>
          <w:szCs w:val="24"/>
          <w:spacing w:val="-1"/>
        </w:rPr>
        <w:t>S</w:t>
      </w:r>
      <w:r>
        <w:rPr>
          <w:rFonts w:ascii="Times New Roman" w:hAnsi="Times New Roman" w:eastAsia="Times New Roman" w:cs="Times New Roman"/>
          <w:sz w:val="15"/>
          <w:szCs w:val="15"/>
          <w:spacing w:val="-1"/>
          <w:position w:val="-1"/>
        </w:rPr>
        <w:t>1-6 </w:t>
      </w:r>
      <w:r>
        <w:rPr>
          <w:rFonts w:ascii="SimSun" w:hAnsi="SimSun" w:eastAsia="SimSun" w:cs="SimSun"/>
          <w:sz w:val="24"/>
          <w:szCs w:val="24"/>
          <w:spacing w:val="-1"/>
        </w:rPr>
        <w:t>）定期清掏，委托环卫部门定期清运处理。各污染物</w:t>
      </w:r>
      <w:r>
        <w:rPr>
          <w:rFonts w:ascii="SimSun" w:hAnsi="SimSun" w:eastAsia="SimSun" w:cs="SimSun"/>
          <w:sz w:val="24"/>
          <w:szCs w:val="24"/>
          <w:spacing w:val="-2"/>
        </w:rPr>
        <w:t>产生</w:t>
      </w:r>
      <w:r>
        <w:rPr>
          <w:rFonts w:ascii="SimSun" w:hAnsi="SimSun" w:eastAsia="SimSun" w:cs="SimSun"/>
          <w:sz w:val="24"/>
          <w:szCs w:val="24"/>
        </w:rPr>
        <w:t xml:space="preserve"> </w:t>
      </w:r>
      <w:r>
        <w:rPr>
          <w:rFonts w:ascii="SimSun" w:hAnsi="SimSun" w:eastAsia="SimSun" w:cs="SimSun"/>
          <w:sz w:val="24"/>
          <w:szCs w:val="24"/>
          <w:spacing w:val="-5"/>
        </w:rPr>
        <w:t>量见</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5"/>
        </w:rPr>
        <w:t>3.5</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5"/>
        </w:rPr>
        <w:t>章节。</w:t>
      </w:r>
    </w:p>
    <w:p>
      <w:pPr>
        <w:ind w:left="486"/>
        <w:spacing w:line="219" w:lineRule="auto"/>
        <w:rPr>
          <w:rFonts w:ascii="SimSun" w:hAnsi="SimSun" w:eastAsia="SimSun" w:cs="SimSun"/>
          <w:sz w:val="24"/>
          <w:szCs w:val="24"/>
        </w:rPr>
      </w:pPr>
      <w:r>
        <w:rPr>
          <w:rFonts w:ascii="Times New Roman" w:hAnsi="Times New Roman" w:eastAsia="Times New Roman" w:cs="Times New Roman"/>
          <w:sz w:val="24"/>
          <w:szCs w:val="24"/>
          <w:b/>
          <w:bCs/>
          <w:spacing w:val="-4"/>
        </w:rPr>
        <w:t>2</w:t>
      </w:r>
      <w:r>
        <w:rPr>
          <w:rFonts w:ascii="Times New Roman" w:hAnsi="Times New Roman" w:eastAsia="Times New Roman" w:cs="Times New Roman"/>
          <w:sz w:val="24"/>
          <w:szCs w:val="24"/>
          <w:b/>
          <w:bCs/>
          <w:spacing w:val="-25"/>
        </w:rPr>
        <w:t xml:space="preserve"> </w:t>
      </w:r>
      <w:r>
        <w:rPr>
          <w:rFonts w:ascii="SimSun" w:hAnsi="SimSun" w:eastAsia="SimSun" w:cs="SimSun"/>
          <w:sz w:val="24"/>
          <w:szCs w:val="24"/>
          <w:b/>
          <w:bCs/>
          <w:spacing w:val="-4"/>
        </w:rPr>
        <w:t>、二级洗涤（</w:t>
      </w:r>
      <w:r>
        <w:rPr>
          <w:rFonts w:ascii="Times New Roman" w:hAnsi="Times New Roman" w:eastAsia="Times New Roman" w:cs="Times New Roman"/>
          <w:sz w:val="24"/>
          <w:szCs w:val="24"/>
          <w:b/>
          <w:bCs/>
          <w:spacing w:val="-4"/>
        </w:rPr>
        <w:t>2 </w:t>
      </w:r>
      <w:r>
        <w:rPr>
          <w:rFonts w:ascii="SimSun" w:hAnsi="SimSun" w:eastAsia="SimSun" w:cs="SimSun"/>
          <w:sz w:val="24"/>
          <w:szCs w:val="24"/>
          <w:b/>
          <w:bCs/>
          <w:spacing w:val="-4"/>
        </w:rPr>
        <w:t>槽、</w:t>
      </w:r>
      <w:r>
        <w:rPr>
          <w:rFonts w:ascii="Times New Roman" w:hAnsi="Times New Roman" w:eastAsia="Times New Roman" w:cs="Times New Roman"/>
          <w:sz w:val="24"/>
          <w:szCs w:val="24"/>
          <w:b/>
          <w:bCs/>
          <w:spacing w:val="-4"/>
        </w:rPr>
        <w:t>3 </w:t>
      </w:r>
      <w:r>
        <w:rPr>
          <w:rFonts w:ascii="SimSun" w:hAnsi="SimSun" w:eastAsia="SimSun" w:cs="SimSun"/>
          <w:sz w:val="24"/>
          <w:szCs w:val="24"/>
          <w:b/>
          <w:bCs/>
          <w:spacing w:val="-4"/>
        </w:rPr>
        <w:t>槽）</w:t>
      </w:r>
    </w:p>
    <w:p>
      <w:pPr>
        <w:ind w:left="11" w:right="80" w:firstLine="479"/>
        <w:spacing w:before="213" w:line="385" w:lineRule="auto"/>
        <w:rPr>
          <w:rFonts w:ascii="SimSun" w:hAnsi="SimSun" w:eastAsia="SimSun" w:cs="SimSun"/>
          <w:sz w:val="24"/>
          <w:szCs w:val="24"/>
        </w:rPr>
      </w:pPr>
      <w:r>
        <w:rPr>
          <w:rFonts w:ascii="SimSun" w:hAnsi="SimSun" w:eastAsia="SimSun" w:cs="SimSun"/>
          <w:sz w:val="24"/>
          <w:szCs w:val="24"/>
          <w:spacing w:val="1"/>
        </w:rPr>
        <w:t>本项目</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spacing w:val="21"/>
          <w:w w:val="101"/>
        </w:rPr>
        <w:t xml:space="preserve"> </w:t>
      </w:r>
      <w:r>
        <w:rPr>
          <w:rFonts w:ascii="SimSun" w:hAnsi="SimSun" w:eastAsia="SimSun" w:cs="SimSun"/>
          <w:sz w:val="24"/>
          <w:szCs w:val="24"/>
          <w:spacing w:val="1"/>
        </w:rPr>
        <w:t>号槽、</w:t>
      </w:r>
      <w:r>
        <w:rPr>
          <w:rFonts w:ascii="Times New Roman" w:hAnsi="Times New Roman" w:eastAsia="Times New Roman" w:cs="Times New Roman"/>
          <w:sz w:val="24"/>
          <w:szCs w:val="24"/>
          <w:spacing w:val="1"/>
        </w:rPr>
        <w:t>3</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1"/>
        </w:rPr>
        <w:t>号槽为加热洗涤，</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1"/>
        </w:rPr>
        <w:t>号槽、</w:t>
      </w:r>
      <w:r>
        <w:rPr>
          <w:rFonts w:ascii="Times New Roman" w:hAnsi="Times New Roman" w:eastAsia="Times New Roman" w:cs="Times New Roman"/>
          <w:sz w:val="24"/>
          <w:szCs w:val="24"/>
          <w:spacing w:val="1"/>
        </w:rPr>
        <w:t>3 </w:t>
      </w:r>
      <w:r>
        <w:rPr>
          <w:rFonts w:ascii="SimSun" w:hAnsi="SimSun" w:eastAsia="SimSun" w:cs="SimSun"/>
          <w:sz w:val="24"/>
          <w:szCs w:val="24"/>
          <w:spacing w:val="1"/>
        </w:rPr>
        <w:t>号槽补水和热源为烘干机蒸汽</w:t>
      </w:r>
      <w:r>
        <w:rPr>
          <w:rFonts w:ascii="SimSun" w:hAnsi="SimSun" w:eastAsia="SimSun" w:cs="SimSun"/>
          <w:sz w:val="24"/>
          <w:szCs w:val="24"/>
        </w:rPr>
        <w:t xml:space="preserve"> </w:t>
      </w:r>
      <w:r>
        <w:rPr>
          <w:rFonts w:ascii="SimSun" w:hAnsi="SimSun" w:eastAsia="SimSun" w:cs="SimSun"/>
          <w:sz w:val="24"/>
          <w:szCs w:val="24"/>
          <w:spacing w:val="-3"/>
        </w:rPr>
        <w:t>冷凝水（</w:t>
      </w:r>
      <w:r>
        <w:rPr>
          <w:rFonts w:ascii="Times New Roman" w:hAnsi="Times New Roman" w:eastAsia="Times New Roman" w:cs="Times New Roman"/>
          <w:sz w:val="24"/>
          <w:szCs w:val="24"/>
          <w:spacing w:val="-3"/>
        </w:rPr>
        <w:t>~60</w:t>
      </w:r>
      <w:r>
        <w:rPr>
          <w:rFonts w:ascii="SimSun" w:hAnsi="SimSun" w:eastAsia="SimSun" w:cs="SimSun"/>
          <w:sz w:val="24"/>
          <w:szCs w:val="24"/>
          <w:spacing w:val="-3"/>
        </w:rPr>
        <w:t>℃)</w:t>
      </w:r>
      <w:r>
        <w:rPr>
          <w:rFonts w:ascii="SimSun" w:hAnsi="SimSun" w:eastAsia="SimSun" w:cs="SimSun"/>
          <w:sz w:val="24"/>
          <w:szCs w:val="24"/>
          <w:spacing w:val="56"/>
        </w:rPr>
        <w:t xml:space="preserve"> </w:t>
      </w:r>
      <w:r>
        <w:rPr>
          <w:rFonts w:ascii="SimSun" w:hAnsi="SimSun" w:eastAsia="SimSun" w:cs="SimSun"/>
          <w:sz w:val="24"/>
          <w:szCs w:val="24"/>
          <w:spacing w:val="-3"/>
        </w:rPr>
        <w:t>,</w:t>
      </w:r>
      <w:r>
        <w:rPr>
          <w:rFonts w:ascii="SimSun" w:hAnsi="SimSun" w:eastAsia="SimSun" w:cs="SimSun"/>
          <w:sz w:val="24"/>
          <w:szCs w:val="24"/>
          <w:spacing w:val="63"/>
        </w:rPr>
        <w:t xml:space="preserve"> </w:t>
      </w:r>
      <w:r>
        <w:rPr>
          <w:rFonts w:ascii="SimSun" w:hAnsi="SimSun" w:eastAsia="SimSun" w:cs="SimSun"/>
          <w:sz w:val="24"/>
          <w:szCs w:val="24"/>
          <w:spacing w:val="-3"/>
        </w:rPr>
        <w:t>使</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号水槽、</w:t>
      </w: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号水槽洗涤水温度控制在</w:t>
      </w:r>
      <w:r>
        <w:rPr>
          <w:rFonts w:ascii="Times New Roman" w:hAnsi="Times New Roman" w:eastAsia="Times New Roman" w:cs="Times New Roman"/>
          <w:sz w:val="24"/>
          <w:szCs w:val="24"/>
          <w:spacing w:val="-3"/>
        </w:rPr>
        <w:t>40</w:t>
      </w:r>
      <w:r>
        <w:rPr>
          <w:rFonts w:ascii="SimSun" w:hAnsi="SimSun" w:eastAsia="SimSun" w:cs="SimSun"/>
          <w:sz w:val="24"/>
          <w:szCs w:val="24"/>
          <w:spacing w:val="-3"/>
        </w:rPr>
        <w:t>℃</w:t>
      </w:r>
      <w:r>
        <w:rPr>
          <w:rFonts w:ascii="Times New Roman" w:hAnsi="Times New Roman" w:eastAsia="Times New Roman" w:cs="Times New Roman"/>
          <w:sz w:val="24"/>
          <w:szCs w:val="24"/>
          <w:spacing w:val="-3"/>
        </w:rPr>
        <w:t>~60</w:t>
      </w:r>
      <w:r>
        <w:rPr>
          <w:rFonts w:ascii="SimSun" w:hAnsi="SimSun" w:eastAsia="SimSun" w:cs="SimSun"/>
          <w:sz w:val="24"/>
          <w:szCs w:val="24"/>
          <w:spacing w:val="-3"/>
        </w:rPr>
        <w:t>℃。</w:t>
      </w:r>
    </w:p>
    <w:p>
      <w:pPr>
        <w:ind w:left="8" w:right="79" w:firstLine="483"/>
        <w:spacing w:before="10" w:line="383" w:lineRule="auto"/>
        <w:jc w:val="both"/>
        <w:rPr>
          <w:rFonts w:ascii="SimSun" w:hAnsi="SimSun" w:eastAsia="SimSun" w:cs="SimSun"/>
          <w:sz w:val="24"/>
          <w:szCs w:val="24"/>
        </w:rPr>
      </w:pPr>
      <w:r>
        <w:rPr>
          <w:rFonts w:ascii="SimSun" w:hAnsi="SimSun" w:eastAsia="SimSun" w:cs="SimSun"/>
          <w:sz w:val="24"/>
          <w:szCs w:val="24"/>
        </w:rPr>
        <w:t>从</w:t>
      </w:r>
      <w:r>
        <w:rPr>
          <w:rFonts w:ascii="SimSun" w:hAnsi="SimSun" w:eastAsia="SimSun" w:cs="SimSun"/>
          <w:sz w:val="24"/>
          <w:szCs w:val="24"/>
          <w:spacing w:val="-16"/>
        </w:rPr>
        <w:t xml:space="preserve"> </w:t>
      </w:r>
      <w:r>
        <w:rPr>
          <w:rFonts w:ascii="Times New Roman" w:hAnsi="Times New Roman" w:eastAsia="Times New Roman" w:cs="Times New Roman"/>
          <w:sz w:val="24"/>
          <w:szCs w:val="24"/>
        </w:rPr>
        <w:t>1</w:t>
      </w:r>
      <w:r>
        <w:rPr>
          <w:rFonts w:ascii="Times New Roman" w:hAnsi="Times New Roman" w:eastAsia="Times New Roman" w:cs="Times New Roman"/>
          <w:sz w:val="24"/>
          <w:szCs w:val="24"/>
          <w:spacing w:val="18"/>
        </w:rPr>
        <w:t xml:space="preserve"> </w:t>
      </w:r>
      <w:r>
        <w:rPr>
          <w:rFonts w:ascii="SimSun" w:hAnsi="SimSun" w:eastAsia="SimSun" w:cs="SimSun"/>
          <w:sz w:val="24"/>
          <w:szCs w:val="24"/>
        </w:rPr>
        <w:t>号水槽来的羊毛进入</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2</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rPr>
        <w:t>号水槽中洗涤，加入备好的生物洗涤剂（大力士 </w:t>
      </w:r>
      <w:r>
        <w:rPr>
          <w:rFonts w:ascii="SimSun" w:hAnsi="SimSun" w:eastAsia="SimSun" w:cs="SimSun"/>
          <w:sz w:val="24"/>
          <w:szCs w:val="24"/>
          <w:spacing w:val="-1"/>
        </w:rPr>
        <w:t>环保羊毛洗涤剂）将原毛中的粪便、油脂与羊毛进行分离，洗涤剂用量为</w:t>
      </w:r>
      <w:r>
        <w:rPr>
          <w:rFonts w:ascii="SimSun" w:hAnsi="SimSun" w:eastAsia="SimSun" w:cs="SimSun"/>
          <w:sz w:val="24"/>
          <w:szCs w:val="24"/>
          <w:spacing w:val="-19"/>
        </w:rPr>
        <w:t xml:space="preserve"> </w:t>
      </w:r>
      <w:r>
        <w:rPr>
          <w:rFonts w:ascii="Times New Roman" w:hAnsi="Times New Roman" w:eastAsia="Times New Roman" w:cs="Times New Roman"/>
          <w:sz w:val="24"/>
          <w:szCs w:val="24"/>
          <w:spacing w:val="-1"/>
        </w:rPr>
        <w:t>1.2kg/t-</w:t>
      </w:r>
      <w:r>
        <w:rPr>
          <w:rFonts w:ascii="Times New Roman" w:hAnsi="Times New Roman" w:eastAsia="Times New Roman" w:cs="Times New Roman"/>
          <w:sz w:val="24"/>
          <w:szCs w:val="24"/>
        </w:rPr>
        <w:t xml:space="preserve"> </w:t>
      </w:r>
      <w:r>
        <w:rPr>
          <w:rFonts w:ascii="SimSun" w:hAnsi="SimSun" w:eastAsia="SimSun" w:cs="SimSun"/>
          <w:sz w:val="24"/>
          <w:szCs w:val="24"/>
          <w:spacing w:val="-2"/>
        </w:rPr>
        <w:t>原毛，洗涤时间</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8-10min</w:t>
      </w:r>
      <w:r>
        <w:rPr>
          <w:rFonts w:ascii="SimSun" w:hAnsi="SimSun" w:eastAsia="SimSun" w:cs="SimSun"/>
          <w:sz w:val="24"/>
          <w:szCs w:val="24"/>
          <w:spacing w:val="-2"/>
        </w:rPr>
        <w:t>，洗涤后随耙齿缓</w:t>
      </w:r>
      <w:r>
        <w:rPr>
          <w:rFonts w:ascii="SimSun" w:hAnsi="SimSun" w:eastAsia="SimSun" w:cs="SimSun"/>
          <w:sz w:val="24"/>
          <w:szCs w:val="24"/>
          <w:spacing w:val="-3"/>
        </w:rPr>
        <w:t>慢向前到</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号压水机压干，压出水由盛</w:t>
      </w:r>
      <w:r>
        <w:rPr>
          <w:rFonts w:ascii="SimSun" w:hAnsi="SimSun" w:eastAsia="SimSun" w:cs="SimSun"/>
          <w:sz w:val="24"/>
          <w:szCs w:val="24"/>
        </w:rPr>
        <w:t xml:space="preserve"> </w:t>
      </w:r>
      <w:r>
        <w:rPr>
          <w:rFonts w:ascii="SimSun" w:hAnsi="SimSun" w:eastAsia="SimSun" w:cs="SimSun"/>
          <w:sz w:val="24"/>
          <w:szCs w:val="24"/>
          <w:spacing w:val="3"/>
        </w:rPr>
        <w:t>液槽返回</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3"/>
        </w:rPr>
        <w:t>号水槽。然后羊毛进入</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3"/>
        </w:rPr>
        <w:t>号水槽洗涤，加入备好的生物洗涤剂（大力</w:t>
      </w:r>
      <w:r>
        <w:rPr>
          <w:rFonts w:ascii="SimSun" w:hAnsi="SimSun" w:eastAsia="SimSun" w:cs="SimSun"/>
          <w:sz w:val="24"/>
          <w:szCs w:val="24"/>
        </w:rPr>
        <w:t xml:space="preserve"> </w:t>
      </w:r>
      <w:r>
        <w:rPr>
          <w:rFonts w:ascii="SimSun" w:hAnsi="SimSun" w:eastAsia="SimSun" w:cs="SimSun"/>
          <w:sz w:val="24"/>
          <w:szCs w:val="24"/>
        </w:rPr>
        <w:t>士环保羊毛洗涤剂</w:t>
      </w:r>
      <w:r>
        <w:rPr>
          <w:rFonts w:ascii="SimSun" w:hAnsi="SimSun" w:eastAsia="SimSun" w:cs="SimSun"/>
          <w:sz w:val="24"/>
          <w:szCs w:val="24"/>
          <w:spacing w:val="5"/>
        </w:rPr>
        <w:t>），</w:t>
      </w:r>
      <w:r>
        <w:rPr>
          <w:rFonts w:ascii="SimSun" w:hAnsi="SimSun" w:eastAsia="SimSun" w:cs="SimSun"/>
          <w:sz w:val="24"/>
          <w:szCs w:val="24"/>
        </w:rPr>
        <w:t>进一步清洗原毛中的粪便、油脂</w:t>
      </w:r>
      <w:r>
        <w:rPr>
          <w:rFonts w:ascii="SimSun" w:hAnsi="SimSun" w:eastAsia="SimSun" w:cs="SimSun"/>
          <w:sz w:val="24"/>
          <w:szCs w:val="24"/>
          <w:spacing w:val="-1"/>
        </w:rPr>
        <w:t>，洗涤剂用量为</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0.8kg/t-</w:t>
      </w:r>
      <w:r>
        <w:rPr>
          <w:rFonts w:ascii="SimSun" w:hAnsi="SimSun" w:eastAsia="SimSun" w:cs="SimSun"/>
          <w:sz w:val="24"/>
          <w:szCs w:val="24"/>
          <w:spacing w:val="-1"/>
        </w:rPr>
        <w:t>原</w:t>
      </w:r>
      <w:r>
        <w:rPr>
          <w:rFonts w:ascii="SimSun" w:hAnsi="SimSun" w:eastAsia="SimSun" w:cs="SimSun"/>
          <w:sz w:val="24"/>
          <w:szCs w:val="24"/>
        </w:rPr>
        <w:t xml:space="preserve"> </w:t>
      </w:r>
      <w:r>
        <w:rPr>
          <w:rFonts w:ascii="SimSun" w:hAnsi="SimSun" w:eastAsia="SimSun" w:cs="SimSun"/>
          <w:sz w:val="24"/>
          <w:szCs w:val="24"/>
          <w:spacing w:val="-3"/>
        </w:rPr>
        <w:t>毛，洗涤时间</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3"/>
        </w:rPr>
        <w:t>8-10min</w:t>
      </w:r>
      <w:r>
        <w:rPr>
          <w:rFonts w:ascii="SimSun" w:hAnsi="SimSun" w:eastAsia="SimSun" w:cs="SimSun"/>
          <w:sz w:val="24"/>
          <w:szCs w:val="24"/>
          <w:spacing w:val="-3"/>
        </w:rPr>
        <w:t>，洗涤后随耙齿缓慢向前到</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号压水机压干，压出水由盛液</w:t>
      </w:r>
      <w:r>
        <w:rPr>
          <w:rFonts w:ascii="SimSun" w:hAnsi="SimSun" w:eastAsia="SimSun" w:cs="SimSun"/>
          <w:sz w:val="24"/>
          <w:szCs w:val="24"/>
        </w:rPr>
        <w:t xml:space="preserve"> </w:t>
      </w:r>
      <w:r>
        <w:rPr>
          <w:rFonts w:ascii="SimSun" w:hAnsi="SimSun" w:eastAsia="SimSun" w:cs="SimSun"/>
          <w:sz w:val="24"/>
          <w:szCs w:val="24"/>
          <w:spacing w:val="-2"/>
        </w:rPr>
        <w:t>槽返回</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号水槽，洗涤后的羊毛去清洗工序。</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号槽、</w:t>
      </w: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w:t>
      </w:r>
      <w:r>
        <w:rPr>
          <w:rFonts w:ascii="SimSun" w:hAnsi="SimSun" w:eastAsia="SimSun" w:cs="SimSun"/>
          <w:sz w:val="24"/>
          <w:szCs w:val="24"/>
          <w:spacing w:val="-3"/>
        </w:rPr>
        <w:t>槽底部粪便、油脂随废</w:t>
      </w:r>
      <w:r>
        <w:rPr>
          <w:rFonts w:ascii="SimSun" w:hAnsi="SimSun" w:eastAsia="SimSun" w:cs="SimSun"/>
          <w:sz w:val="24"/>
          <w:szCs w:val="24"/>
        </w:rPr>
        <w:t xml:space="preserve"> </w:t>
      </w:r>
      <w:r>
        <w:rPr>
          <w:rFonts w:ascii="SimSun" w:hAnsi="SimSun" w:eastAsia="SimSun" w:cs="SimSun"/>
          <w:sz w:val="24"/>
          <w:szCs w:val="24"/>
          <w:spacing w:val="-1"/>
        </w:rPr>
        <w:t>水进入废水收集池，在</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TS </w:t>
      </w:r>
      <w:r>
        <w:rPr>
          <w:rFonts w:ascii="SimSun" w:hAnsi="SimSun" w:eastAsia="SimSun" w:cs="SimSun"/>
          <w:sz w:val="24"/>
          <w:szCs w:val="24"/>
          <w:spacing w:val="-1"/>
        </w:rPr>
        <w:t>调节池调质后，进入厌氧发酵罐。</w:t>
      </w:r>
    </w:p>
    <w:p>
      <w:pPr>
        <w:ind w:left="10" w:right="80" w:firstLine="474"/>
        <w:spacing w:before="5" w:line="385" w:lineRule="auto"/>
        <w:jc w:val="both"/>
        <w:rPr>
          <w:rFonts w:ascii="SimSun" w:hAnsi="SimSun" w:eastAsia="SimSun" w:cs="SimSun"/>
          <w:sz w:val="24"/>
          <w:szCs w:val="24"/>
        </w:rPr>
      </w:pP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号水槽补充水来自</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号、</w:t>
      </w:r>
      <w:r>
        <w:rPr>
          <w:rFonts w:ascii="Times New Roman" w:hAnsi="Times New Roman" w:eastAsia="Times New Roman" w:cs="Times New Roman"/>
          <w:sz w:val="24"/>
          <w:szCs w:val="24"/>
          <w:spacing w:val="-1"/>
        </w:rPr>
        <w:t>6</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1"/>
        </w:rPr>
        <w:t>号水槽和烘干机蒸汽冷凝水</w:t>
      </w: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2"/>
        </w:rPr>
        <w:t>号水槽补充水来</w:t>
      </w:r>
      <w:r>
        <w:rPr>
          <w:rFonts w:ascii="SimSun" w:hAnsi="SimSun" w:eastAsia="SimSun" w:cs="SimSun"/>
          <w:sz w:val="24"/>
          <w:szCs w:val="24"/>
        </w:rPr>
        <w:t xml:space="preserve"> </w:t>
      </w:r>
      <w:r>
        <w:rPr>
          <w:rFonts w:ascii="SimSun" w:hAnsi="SimSun" w:eastAsia="SimSun" w:cs="SimSun"/>
          <w:sz w:val="24"/>
          <w:szCs w:val="24"/>
          <w:spacing w:val="-2"/>
        </w:rPr>
        <w:t>自清洗工序</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号水槽、蒸汽水。</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号水槽、</w:t>
      </w: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号水槽每小时排放粪便</w:t>
      </w:r>
      <w:r>
        <w:rPr>
          <w:rFonts w:ascii="SimSun" w:hAnsi="SimSun" w:eastAsia="SimSun" w:cs="SimSun"/>
          <w:sz w:val="24"/>
          <w:szCs w:val="24"/>
          <w:spacing w:val="-3"/>
        </w:rPr>
        <w:t>、杂质等，平</w:t>
      </w:r>
      <w:r>
        <w:rPr>
          <w:rFonts w:ascii="SimSun" w:hAnsi="SimSun" w:eastAsia="SimSun" w:cs="SimSun"/>
          <w:sz w:val="24"/>
          <w:szCs w:val="24"/>
        </w:rPr>
        <w:t xml:space="preserve"> </w:t>
      </w:r>
      <w:r>
        <w:rPr>
          <w:rFonts w:ascii="SimSun" w:hAnsi="SimSun" w:eastAsia="SimSun" w:cs="SimSun"/>
          <w:sz w:val="24"/>
          <w:szCs w:val="24"/>
          <w:spacing w:val="-1"/>
        </w:rPr>
        <w:t>均每天排放一次废水，废水排水量为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82m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p>
    <w:p>
      <w:pPr>
        <w:ind w:left="14" w:firstLine="478"/>
        <w:spacing w:before="3" w:line="384" w:lineRule="auto"/>
        <w:jc w:val="both"/>
        <w:rPr>
          <w:rFonts w:ascii="SimSun" w:hAnsi="SimSun" w:eastAsia="SimSun" w:cs="SimSun"/>
          <w:sz w:val="24"/>
          <w:szCs w:val="24"/>
        </w:rPr>
      </w:pPr>
      <w:r>
        <w:rPr>
          <w:rFonts w:ascii="SimSun" w:hAnsi="SimSun" w:eastAsia="SimSun" w:cs="SimSun"/>
          <w:sz w:val="24"/>
          <w:szCs w:val="24"/>
        </w:rPr>
        <w:t>大力士环保羊毛洗涤剂主要成分为椰子油二乙醇胺</w:t>
      </w:r>
      <w:r>
        <w:rPr>
          <w:rFonts w:ascii="SimSun" w:hAnsi="SimSun" w:eastAsia="SimSun" w:cs="SimSun"/>
          <w:sz w:val="24"/>
          <w:szCs w:val="24"/>
          <w:spacing w:val="-56"/>
        </w:rPr>
        <w:t xml:space="preserve"> </w:t>
      </w:r>
      <w:r>
        <w:rPr>
          <w:rFonts w:ascii="Times New Roman" w:hAnsi="Times New Roman" w:eastAsia="Times New Roman" w:cs="Times New Roman"/>
          <w:sz w:val="24"/>
          <w:szCs w:val="24"/>
        </w:rPr>
        <w:t>40%-50%</w:t>
      </w:r>
      <w:r>
        <w:rPr>
          <w:rFonts w:ascii="Times New Roman" w:hAnsi="Times New Roman" w:eastAsia="Times New Roman" w:cs="Times New Roman"/>
          <w:sz w:val="24"/>
          <w:szCs w:val="24"/>
          <w:spacing w:val="-32"/>
        </w:rPr>
        <w:t xml:space="preserve"> </w:t>
      </w:r>
      <w:r>
        <w:rPr>
          <w:rFonts w:ascii="SimSun" w:hAnsi="SimSun" w:eastAsia="SimSun" w:cs="SimSun"/>
          <w:sz w:val="24"/>
          <w:szCs w:val="24"/>
        </w:rPr>
        <w:t>、聚氧乙烯</w:t>
      </w:r>
      <w:r>
        <w:rPr>
          <w:rFonts w:ascii="SimSun" w:hAnsi="SimSun" w:eastAsia="SimSun" w:cs="SimSun"/>
          <w:sz w:val="24"/>
          <w:szCs w:val="24"/>
          <w:spacing w:val="-1"/>
        </w:rPr>
        <w:t>失水</w:t>
      </w:r>
      <w:r>
        <w:rPr>
          <w:rFonts w:ascii="SimSun" w:hAnsi="SimSun" w:eastAsia="SimSun" w:cs="SimSun"/>
          <w:sz w:val="24"/>
          <w:szCs w:val="24"/>
        </w:rPr>
        <w:t xml:space="preserve"> </w:t>
      </w:r>
      <w:r>
        <w:rPr>
          <w:rFonts w:ascii="SimSun" w:hAnsi="SimSun" w:eastAsia="SimSun" w:cs="SimSun"/>
          <w:sz w:val="24"/>
          <w:szCs w:val="24"/>
          <w:spacing w:val="-10"/>
        </w:rPr>
        <w:t>山梨醇醚硬脂酸酯</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10"/>
        </w:rPr>
        <w:t>20%-30%</w:t>
      </w:r>
      <w:r>
        <w:rPr>
          <w:rFonts w:ascii="SimSun" w:hAnsi="SimSun" w:eastAsia="SimSun" w:cs="SimSun"/>
          <w:sz w:val="24"/>
          <w:szCs w:val="24"/>
          <w:spacing w:val="-10"/>
        </w:rPr>
        <w:t>、高分子乳化剂</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10"/>
        </w:rPr>
        <w:t>15%-25%</w:t>
      </w:r>
      <w:r>
        <w:rPr>
          <w:rFonts w:ascii="SimSun" w:hAnsi="SimSun" w:eastAsia="SimSun" w:cs="SimSun"/>
          <w:sz w:val="24"/>
          <w:szCs w:val="24"/>
          <w:spacing w:val="-10"/>
        </w:rPr>
        <w:t>、助洗剂</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0"/>
        </w:rPr>
        <w:t>5%-10%</w:t>
      </w:r>
      <w:r>
        <w:rPr>
          <w:rFonts w:ascii="SimSun" w:hAnsi="SimSun" w:eastAsia="SimSun" w:cs="SimSun"/>
          <w:sz w:val="24"/>
          <w:szCs w:val="24"/>
          <w:spacing w:val="-10"/>
        </w:rPr>
        <w:t>、水</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0"/>
        </w:rPr>
        <w:t>3%-6%</w:t>
      </w:r>
      <w:r>
        <w:rPr>
          <w:rFonts w:ascii="SimSun" w:hAnsi="SimSun" w:eastAsia="SimSun" w:cs="SimSun"/>
          <w:sz w:val="24"/>
          <w:szCs w:val="24"/>
          <w:spacing w:val="-10"/>
        </w:rPr>
        <w:t>。</w:t>
      </w:r>
      <w:r>
        <w:rPr>
          <w:rFonts w:ascii="SimSun" w:hAnsi="SimSun" w:eastAsia="SimSun" w:cs="SimSun"/>
          <w:sz w:val="24"/>
          <w:szCs w:val="24"/>
        </w:rPr>
        <w:t xml:space="preserve"> </w:t>
      </w:r>
      <w:r>
        <w:rPr>
          <w:rFonts w:ascii="SimSun" w:hAnsi="SimSun" w:eastAsia="SimSun" w:cs="SimSun"/>
          <w:sz w:val="24"/>
          <w:szCs w:val="24"/>
          <w:spacing w:val="-1"/>
        </w:rPr>
        <w:t>具有润湿、渗透、分散、乳化、洗涤能力。</w:t>
      </w:r>
    </w:p>
    <w:p>
      <w:pPr>
        <w:ind w:left="489"/>
        <w:spacing w:line="219" w:lineRule="auto"/>
        <w:rPr>
          <w:rFonts w:ascii="SimSun" w:hAnsi="SimSun" w:eastAsia="SimSun" w:cs="SimSun"/>
          <w:sz w:val="24"/>
          <w:szCs w:val="24"/>
        </w:rPr>
      </w:pPr>
      <w:r>
        <w:rPr>
          <w:rFonts w:ascii="SimSun" w:hAnsi="SimSun" w:eastAsia="SimSun" w:cs="SimSun"/>
          <w:sz w:val="24"/>
          <w:szCs w:val="24"/>
          <w:b/>
          <w:bCs/>
          <w:spacing w:val="-4"/>
        </w:rPr>
        <w:t>产污环节分析：</w:t>
      </w:r>
    </w:p>
    <w:p>
      <w:pPr>
        <w:ind w:left="8" w:firstLine="480"/>
        <w:spacing w:before="213" w:line="385" w:lineRule="auto"/>
        <w:jc w:val="both"/>
        <w:rPr>
          <w:rFonts w:ascii="SimSun" w:hAnsi="SimSun" w:eastAsia="SimSun" w:cs="SimSun"/>
          <w:sz w:val="24"/>
          <w:szCs w:val="24"/>
        </w:rPr>
      </w:pPr>
      <w:r>
        <w:rPr>
          <w:rFonts w:ascii="SimSun" w:hAnsi="SimSun" w:eastAsia="SimSun" w:cs="SimSun"/>
          <w:sz w:val="24"/>
          <w:szCs w:val="24"/>
          <w:b/>
          <w:bCs/>
          <w:spacing w:val="-2"/>
        </w:rPr>
        <w:t>废气：</w:t>
      </w:r>
      <w:r>
        <w:rPr>
          <w:rFonts w:ascii="SimSun" w:hAnsi="SimSun" w:eastAsia="SimSun" w:cs="SimSun"/>
          <w:sz w:val="24"/>
          <w:szCs w:val="24"/>
          <w:spacing w:val="-2"/>
        </w:rPr>
        <w:t>浸泡、洗涤过程会产生异味，主要来自原毛加热洗涤过程</w:t>
      </w:r>
      <w:r>
        <w:rPr>
          <w:rFonts w:ascii="SimSun" w:hAnsi="SimSun" w:eastAsia="SimSun" w:cs="SimSun"/>
          <w:sz w:val="24"/>
          <w:szCs w:val="24"/>
          <w:spacing w:val="-3"/>
        </w:rPr>
        <w:t>，产生氨气、</w:t>
      </w:r>
      <w:r>
        <w:rPr>
          <w:rFonts w:ascii="SimSun" w:hAnsi="SimSun" w:eastAsia="SimSun" w:cs="SimSun"/>
          <w:sz w:val="24"/>
          <w:szCs w:val="24"/>
        </w:rPr>
        <w:t xml:space="preserve"> </w:t>
      </w:r>
      <w:r>
        <w:rPr>
          <w:rFonts w:ascii="SimSun" w:hAnsi="SimSun" w:eastAsia="SimSun" w:cs="SimSun"/>
          <w:sz w:val="24"/>
          <w:szCs w:val="24"/>
          <w:spacing w:val="-1"/>
        </w:rPr>
        <w:t>硫化氢、臭气浓度等（</w:t>
      </w:r>
      <w:r>
        <w:rPr>
          <w:rFonts w:ascii="Times New Roman" w:hAnsi="Times New Roman" w:eastAsia="Times New Roman" w:cs="Times New Roman"/>
          <w:sz w:val="24"/>
          <w:szCs w:val="24"/>
          <w:spacing w:val="-1"/>
        </w:rPr>
        <w:t>G</w:t>
      </w:r>
      <w:r>
        <w:rPr>
          <w:rFonts w:ascii="Times New Roman" w:hAnsi="Times New Roman" w:eastAsia="Times New Roman" w:cs="Times New Roman"/>
          <w:sz w:val="15"/>
          <w:szCs w:val="15"/>
          <w:spacing w:val="-1"/>
          <w:position w:val="-1"/>
        </w:rPr>
        <w:t>1-3-</w:t>
      </w:r>
      <w:r>
        <w:rPr>
          <w:rFonts w:ascii="Times New Roman" w:hAnsi="Times New Roman" w:eastAsia="Times New Roman" w:cs="Times New Roman"/>
          <w:sz w:val="15"/>
          <w:szCs w:val="15"/>
          <w:spacing w:val="-20"/>
          <w:position w:val="-1"/>
        </w:rPr>
        <w:t xml:space="preserve"> </w:t>
      </w:r>
      <w:r>
        <w:rPr>
          <w:rFonts w:ascii="Times New Roman" w:hAnsi="Times New Roman" w:eastAsia="Times New Roman" w:cs="Times New Roman"/>
          <w:sz w:val="15"/>
          <w:szCs w:val="15"/>
          <w:spacing w:val="-1"/>
          <w:position w:val="-1"/>
        </w:rPr>
        <w:t>1~4 </w:t>
      </w:r>
      <w:r>
        <w:rPr>
          <w:rFonts w:ascii="SimSun" w:hAnsi="SimSun" w:eastAsia="SimSun" w:cs="SimSun"/>
          <w:sz w:val="24"/>
          <w:szCs w:val="24"/>
          <w:spacing w:val="-8"/>
        </w:rPr>
        <w:t>），</w:t>
      </w:r>
      <w:r>
        <w:rPr>
          <w:rFonts w:ascii="SimSun" w:hAnsi="SimSun" w:eastAsia="SimSun" w:cs="SimSun"/>
          <w:sz w:val="24"/>
          <w:szCs w:val="24"/>
          <w:spacing w:val="-1"/>
        </w:rPr>
        <w:t>洗槽周边喷洒生物除臭剂，同时加强车间通风，</w:t>
      </w:r>
      <w:r>
        <w:rPr>
          <w:rFonts w:ascii="SimSun" w:hAnsi="SimSun" w:eastAsia="SimSun" w:cs="SimSun"/>
          <w:sz w:val="24"/>
          <w:szCs w:val="24"/>
        </w:rPr>
        <w:t xml:space="preserve"> </w:t>
      </w:r>
      <w:r>
        <w:rPr>
          <w:rFonts w:ascii="SimSun" w:hAnsi="SimSun" w:eastAsia="SimSun" w:cs="SimSun"/>
          <w:sz w:val="24"/>
          <w:szCs w:val="24"/>
          <w:spacing w:val="-2"/>
        </w:rPr>
        <w:t>废气无组织排放。各污染物产生量见</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3.5</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2"/>
        </w:rPr>
        <w:t>章节。</w:t>
      </w:r>
    </w:p>
    <w:p>
      <w:pPr>
        <w:ind w:left="488"/>
        <w:spacing w:line="218" w:lineRule="auto"/>
        <w:rPr>
          <w:rFonts w:ascii="SimSun" w:hAnsi="SimSun" w:eastAsia="SimSun" w:cs="SimSun"/>
          <w:sz w:val="24"/>
          <w:szCs w:val="24"/>
        </w:rPr>
      </w:pPr>
      <w:r>
        <w:rPr>
          <w:rFonts w:ascii="SimSun" w:hAnsi="SimSun" w:eastAsia="SimSun" w:cs="SimSun"/>
          <w:sz w:val="24"/>
          <w:szCs w:val="24"/>
          <w:b/>
          <w:bCs/>
          <w:spacing w:val="-1"/>
        </w:rPr>
        <w:t>废水：</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1"/>
        </w:rPr>
        <w:t>号、</w:t>
      </w:r>
      <w:r>
        <w:rPr>
          <w:rFonts w:ascii="Times New Roman" w:hAnsi="Times New Roman" w:eastAsia="Times New Roman" w:cs="Times New Roman"/>
          <w:sz w:val="24"/>
          <w:szCs w:val="24"/>
          <w:spacing w:val="-1"/>
        </w:rPr>
        <w:t>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号水槽产生洗毛废水（</w:t>
      </w:r>
      <w:r>
        <w:rPr>
          <w:rFonts w:ascii="Times New Roman" w:hAnsi="Times New Roman" w:eastAsia="Times New Roman" w:cs="Times New Roman"/>
          <w:sz w:val="24"/>
          <w:szCs w:val="24"/>
          <w:spacing w:val="-1"/>
        </w:rPr>
        <w:t>W</w:t>
      </w:r>
      <w:r>
        <w:rPr>
          <w:rFonts w:ascii="Times New Roman" w:hAnsi="Times New Roman" w:eastAsia="Times New Roman" w:cs="Times New Roman"/>
          <w:sz w:val="15"/>
          <w:szCs w:val="15"/>
          <w:spacing w:val="-1"/>
          <w:position w:val="-1"/>
        </w:rPr>
        <w:t>1-1 </w:t>
      </w:r>
      <w:r>
        <w:rPr>
          <w:rFonts w:ascii="SimSun" w:hAnsi="SimSun" w:eastAsia="SimSun" w:cs="SimSun"/>
          <w:sz w:val="24"/>
          <w:szCs w:val="24"/>
          <w:spacing w:val="-7"/>
        </w:rPr>
        <w:t>），</w:t>
      </w:r>
      <w:r>
        <w:rPr>
          <w:rFonts w:ascii="SimSun" w:hAnsi="SimSun" w:eastAsia="SimSun" w:cs="SimSun"/>
          <w:sz w:val="24"/>
          <w:szCs w:val="24"/>
          <w:spacing w:val="-1"/>
        </w:rPr>
        <w:t>经捞毛机除毛后，收集调质后</w:t>
      </w:r>
    </w:p>
    <w:p>
      <w:pPr>
        <w:ind w:left="8"/>
        <w:spacing w:before="215" w:line="219" w:lineRule="auto"/>
        <w:rPr>
          <w:rFonts w:ascii="SimSun" w:hAnsi="SimSun" w:eastAsia="SimSun" w:cs="SimSun"/>
          <w:sz w:val="24"/>
          <w:szCs w:val="24"/>
        </w:rPr>
      </w:pPr>
      <w:r>
        <w:rPr>
          <w:rFonts w:ascii="SimSun" w:hAnsi="SimSun" w:eastAsia="SimSun" w:cs="SimSun"/>
          <w:sz w:val="24"/>
          <w:szCs w:val="24"/>
          <w:spacing w:val="-2"/>
        </w:rPr>
        <w:t>输送往厌氧发酵装置。各污染物产生量见</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2"/>
        </w:rPr>
        <w:t>3.5</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2"/>
        </w:rPr>
        <w:t>章节。</w:t>
      </w:r>
    </w:p>
    <w:p>
      <w:pPr>
        <w:ind w:left="484"/>
        <w:spacing w:before="57" w:line="219" w:lineRule="auto"/>
        <w:rPr>
          <w:rFonts w:ascii="SimSun" w:hAnsi="SimSun" w:eastAsia="SimSun" w:cs="SimSun"/>
          <w:sz w:val="24"/>
          <w:szCs w:val="24"/>
        </w:rPr>
      </w:pPr>
      <w:r>
        <w:rPr>
          <w:rFonts w:ascii="Times New Roman" w:hAnsi="Times New Roman" w:eastAsia="Times New Roman" w:cs="Times New Roman"/>
          <w:sz w:val="24"/>
          <w:szCs w:val="24"/>
          <w:b/>
          <w:bCs/>
          <w:spacing w:val="-3"/>
        </w:rPr>
        <w:t>3</w:t>
      </w:r>
      <w:r>
        <w:rPr>
          <w:rFonts w:ascii="Times New Roman" w:hAnsi="Times New Roman" w:eastAsia="Times New Roman" w:cs="Times New Roman"/>
          <w:sz w:val="24"/>
          <w:szCs w:val="24"/>
          <w:b/>
          <w:bCs/>
          <w:spacing w:val="-31"/>
        </w:rPr>
        <w:t xml:space="preserve"> </w:t>
      </w:r>
      <w:r>
        <w:rPr>
          <w:rFonts w:ascii="SimSun" w:hAnsi="SimSun" w:eastAsia="SimSun" w:cs="SimSun"/>
          <w:sz w:val="24"/>
          <w:szCs w:val="24"/>
          <w:b/>
          <w:bCs/>
          <w:spacing w:val="-3"/>
        </w:rPr>
        <w:t>、三级清洗（</w:t>
      </w:r>
      <w:r>
        <w:rPr>
          <w:rFonts w:ascii="Times New Roman" w:hAnsi="Times New Roman" w:eastAsia="Times New Roman" w:cs="Times New Roman"/>
          <w:sz w:val="24"/>
          <w:szCs w:val="24"/>
          <w:b/>
          <w:bCs/>
          <w:spacing w:val="-3"/>
        </w:rPr>
        <w:t>4 </w:t>
      </w:r>
      <w:r>
        <w:rPr>
          <w:rFonts w:ascii="SimSun" w:hAnsi="SimSun" w:eastAsia="SimSun" w:cs="SimSun"/>
          <w:sz w:val="24"/>
          <w:szCs w:val="24"/>
          <w:b/>
          <w:bCs/>
          <w:spacing w:val="-3"/>
        </w:rPr>
        <w:t>槽、</w:t>
      </w:r>
      <w:r>
        <w:rPr>
          <w:rFonts w:ascii="Times New Roman" w:hAnsi="Times New Roman" w:eastAsia="Times New Roman" w:cs="Times New Roman"/>
          <w:sz w:val="24"/>
          <w:szCs w:val="24"/>
          <w:b/>
          <w:bCs/>
          <w:spacing w:val="-3"/>
        </w:rPr>
        <w:t>5 </w:t>
      </w:r>
      <w:r>
        <w:rPr>
          <w:rFonts w:ascii="SimSun" w:hAnsi="SimSun" w:eastAsia="SimSun" w:cs="SimSun"/>
          <w:sz w:val="24"/>
          <w:szCs w:val="24"/>
          <w:b/>
          <w:bCs/>
          <w:spacing w:val="-3"/>
        </w:rPr>
        <w:t>槽、</w:t>
      </w:r>
      <w:r>
        <w:rPr>
          <w:rFonts w:ascii="Times New Roman" w:hAnsi="Times New Roman" w:eastAsia="Times New Roman" w:cs="Times New Roman"/>
          <w:sz w:val="24"/>
          <w:szCs w:val="24"/>
          <w:b/>
          <w:bCs/>
          <w:spacing w:val="-3"/>
        </w:rPr>
        <w:t>6 </w:t>
      </w:r>
      <w:r>
        <w:rPr>
          <w:rFonts w:ascii="SimSun" w:hAnsi="SimSun" w:eastAsia="SimSun" w:cs="SimSun"/>
          <w:sz w:val="24"/>
          <w:szCs w:val="24"/>
          <w:b/>
          <w:bCs/>
          <w:spacing w:val="-3"/>
        </w:rPr>
        <w:t>槽）</w:t>
      </w:r>
    </w:p>
    <w:p>
      <w:pPr>
        <w:ind w:left="490"/>
        <w:spacing w:before="183" w:line="216" w:lineRule="auto"/>
        <w:rPr>
          <w:rFonts w:ascii="Times New Roman" w:hAnsi="Times New Roman" w:eastAsia="Times New Roman" w:cs="Times New Roman"/>
          <w:sz w:val="24"/>
          <w:szCs w:val="24"/>
        </w:rPr>
      </w:pPr>
      <w:r>
        <w:rPr>
          <w:rFonts w:ascii="SimSun" w:hAnsi="SimSun" w:eastAsia="SimSun" w:cs="SimSun"/>
          <w:sz w:val="24"/>
          <w:szCs w:val="24"/>
          <w:spacing w:val="-5"/>
        </w:rPr>
        <w:t>本项目采用三级清洗工艺，洗涤水为常温水，温</w:t>
      </w:r>
      <w:r>
        <w:rPr>
          <w:rFonts w:ascii="SimSun" w:hAnsi="SimSun" w:eastAsia="SimSun" w:cs="SimSun"/>
          <w:sz w:val="24"/>
          <w:szCs w:val="24"/>
          <w:spacing w:val="-6"/>
        </w:rPr>
        <w:t>度</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20℃~25℃</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6"/>
        </w:rPr>
        <w:t>,</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6"/>
        </w:rPr>
        <w:t>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6"/>
        </w:rPr>
        <w:t>号、</w:t>
      </w:r>
      <w:r>
        <w:rPr>
          <w:rFonts w:ascii="Times New Roman" w:hAnsi="Times New Roman" w:eastAsia="Times New Roman" w:cs="Times New Roman"/>
          <w:sz w:val="24"/>
          <w:szCs w:val="24"/>
          <w:spacing w:val="-6"/>
        </w:rPr>
        <w:t>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号、</w:t>
      </w:r>
      <w:r>
        <w:rPr>
          <w:rFonts w:ascii="Times New Roman" w:hAnsi="Times New Roman" w:eastAsia="Times New Roman" w:cs="Times New Roman"/>
          <w:sz w:val="24"/>
          <w:szCs w:val="24"/>
          <w:spacing w:val="-6"/>
        </w:rPr>
        <w:t>6</w:t>
      </w:r>
    </w:p>
    <w:p>
      <w:pPr>
        <w:pStyle w:val="BodyText"/>
        <w:spacing w:line="309" w:lineRule="auto"/>
        <w:rPr/>
      </w:pPr>
      <w:r/>
    </w:p>
    <w:p>
      <w:pPr>
        <w:ind w:left="5312"/>
        <w:spacing w:before="63" w:line="227" w:lineRule="auto"/>
        <w:rPr>
          <w:rFonts w:ascii="SimSun" w:hAnsi="SimSun" w:eastAsia="SimSun" w:cs="SimSun"/>
          <w:sz w:val="19"/>
          <w:szCs w:val="19"/>
        </w:rPr>
      </w:pPr>
      <w:r>
        <w:pict>
          <v:shape id="_x0000_s368" style="position:absolute;margin-left:207.442pt;margin-top:2.12441pt;mso-position-vertical-relative:text;mso-position-horizontal-relative:text;width:58.8pt;height:13.75pt;z-index:251823104;"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3"/>
                      <w:position w:val="2"/>
                    </w:rPr>
                    <w:t>72</w:t>
                  </w:r>
                  <w:r>
                    <w:rPr>
                      <w:rFonts w:ascii="Times New Roman" w:hAnsi="Times New Roman" w:eastAsia="Times New Roman" w:cs="Times New Roman"/>
                      <w:sz w:val="18"/>
                      <w:szCs w:val="18"/>
                      <w:spacing w:val="1"/>
                      <w:position w:val="2"/>
                    </w:rPr>
                    <w:t xml:space="preserve">        </w:t>
                  </w:r>
                  <w:r>
                    <w:rPr>
                      <w:rFonts w:ascii="SimSun" w:hAnsi="SimSun" w:eastAsia="SimSun" w:cs="SimSun"/>
                      <w:sz w:val="19"/>
                      <w:szCs w:val="19"/>
                      <w:spacing w:val="3"/>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pgSz w:w="11907" w:h="16840"/>
          <w:pgMar w:top="1567" w:right="1621" w:bottom="400" w:left="1701" w:header="1221" w:footer="0" w:gutter="0"/>
        </w:sectPr>
        <w:rPr>
          <w:rFonts w:ascii="SimSun" w:hAnsi="SimSun" w:eastAsia="SimSun" w:cs="SimSun"/>
          <w:sz w:val="19"/>
          <w:szCs w:val="19"/>
        </w:rPr>
      </w:pPr>
    </w:p>
    <w:p>
      <w:pPr>
        <w:ind w:left="15"/>
        <w:spacing w:before="187" w:line="219" w:lineRule="auto"/>
        <w:rPr>
          <w:rFonts w:ascii="SimSun" w:hAnsi="SimSun" w:eastAsia="SimSun" w:cs="SimSun"/>
          <w:sz w:val="24"/>
          <w:szCs w:val="24"/>
        </w:rPr>
      </w:pPr>
      <w:r>
        <w:pict>
          <v:shape id="_x0000_s370" style="position:absolute;margin-left:85.05pt;margin-top:79.11pt;mso-position-vertical-relative:page;mso-position-horizontal-relative:page;width:425.25pt;height:0.75pt;z-index:251826176;" o:allowincell="f" fillcolor="#000000" filled="true" stroked="false" coordsize="8505,15" coordorigin="0,0" path="m,l8505,0l8505,14l0,14l0,0xe"/>
        </w:pict>
      </w:r>
      <w:r>
        <w:rPr>
          <w:rFonts w:ascii="SimSun" w:hAnsi="SimSun" w:eastAsia="SimSun" w:cs="SimSun"/>
          <w:sz w:val="24"/>
          <w:szCs w:val="24"/>
          <w:spacing w:val="-1"/>
        </w:rPr>
        <w:t>号水槽内不添加洗涤剂，采用清水去除羊毛中残余洗涤剂。</w:t>
      </w:r>
    </w:p>
    <w:p>
      <w:pPr>
        <w:ind w:left="10" w:right="77" w:firstLine="486"/>
        <w:spacing w:before="183" w:line="359" w:lineRule="auto"/>
        <w:jc w:val="both"/>
        <w:rPr>
          <w:rFonts w:ascii="SimSun" w:hAnsi="SimSun" w:eastAsia="SimSun" w:cs="SimSun"/>
          <w:sz w:val="24"/>
          <w:szCs w:val="24"/>
        </w:rPr>
      </w:pPr>
      <w:r>
        <w:rPr>
          <w:rFonts w:ascii="SimSun" w:hAnsi="SimSun" w:eastAsia="SimSun" w:cs="SimSun"/>
          <w:sz w:val="24"/>
          <w:szCs w:val="24"/>
          <w:spacing w:val="-4"/>
        </w:rPr>
        <w:t>羊毛进入</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号水槽中清洗后，随耙齿缓慢向前到</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号压水</w:t>
      </w:r>
      <w:r>
        <w:rPr>
          <w:rFonts w:ascii="SimSun" w:hAnsi="SimSun" w:eastAsia="SimSun" w:cs="SimSun"/>
          <w:sz w:val="24"/>
          <w:szCs w:val="24"/>
          <w:spacing w:val="-5"/>
        </w:rPr>
        <w:t>机压干，然后进入</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5"/>
        </w:rPr>
        <w:t>5</w:t>
      </w:r>
      <w:r>
        <w:rPr>
          <w:rFonts w:ascii="Times New Roman" w:hAnsi="Times New Roman" w:eastAsia="Times New Roman" w:cs="Times New Roman"/>
          <w:sz w:val="24"/>
          <w:szCs w:val="24"/>
        </w:rPr>
        <w:t xml:space="preserve"> </w:t>
      </w:r>
      <w:r>
        <w:rPr>
          <w:rFonts w:ascii="SimSun" w:hAnsi="SimSun" w:eastAsia="SimSun" w:cs="SimSun"/>
          <w:sz w:val="24"/>
          <w:szCs w:val="24"/>
          <w:spacing w:val="1"/>
        </w:rPr>
        <w:t>号水槽洗涤后，随耙齿缓慢向前到</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5</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1"/>
        </w:rPr>
        <w:t>号压水机压干，最后进入</w:t>
      </w:r>
      <w:r>
        <w:rPr>
          <w:rFonts w:ascii="SimSun" w:hAnsi="SimSun" w:eastAsia="SimSun" w:cs="SimSun"/>
          <w:sz w:val="24"/>
          <w:szCs w:val="24"/>
          <w:spacing w:val="-47"/>
        </w:rPr>
        <w:t xml:space="preserve"> </w:t>
      </w:r>
      <w:r>
        <w:rPr>
          <w:rFonts w:ascii="Times New Roman" w:hAnsi="Times New Roman" w:eastAsia="Times New Roman" w:cs="Times New Roman"/>
          <w:sz w:val="24"/>
          <w:szCs w:val="24"/>
        </w:rPr>
        <w:t>6</w:t>
      </w:r>
      <w:r>
        <w:rPr>
          <w:rFonts w:ascii="Times New Roman" w:hAnsi="Times New Roman" w:eastAsia="Times New Roman" w:cs="Times New Roman"/>
          <w:sz w:val="24"/>
          <w:szCs w:val="24"/>
          <w:spacing w:val="20"/>
        </w:rPr>
        <w:t xml:space="preserve"> </w:t>
      </w:r>
      <w:r>
        <w:rPr>
          <w:rFonts w:ascii="SimSun" w:hAnsi="SimSun" w:eastAsia="SimSun" w:cs="SimSun"/>
          <w:sz w:val="24"/>
          <w:szCs w:val="24"/>
        </w:rPr>
        <w:t>号水槽洗涤后， </w:t>
      </w:r>
      <w:r>
        <w:rPr>
          <w:rFonts w:ascii="SimSun" w:hAnsi="SimSun" w:eastAsia="SimSun" w:cs="SimSun"/>
          <w:sz w:val="24"/>
          <w:szCs w:val="24"/>
          <w:spacing w:val="2"/>
        </w:rPr>
        <w:t>随耙齿缓慢向前到</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6</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2"/>
        </w:rPr>
        <w:t>号压水机压干，清洗后得到的洗净毛去烘干</w:t>
      </w:r>
      <w:r>
        <w:rPr>
          <w:rFonts w:ascii="SimSun" w:hAnsi="SimSun" w:eastAsia="SimSun" w:cs="SimSun"/>
          <w:sz w:val="24"/>
          <w:szCs w:val="24"/>
          <w:spacing w:val="1"/>
        </w:rPr>
        <w:t>工序，压出水由</w:t>
      </w:r>
      <w:r>
        <w:rPr>
          <w:rFonts w:ascii="SimSun" w:hAnsi="SimSun" w:eastAsia="SimSun" w:cs="SimSun"/>
          <w:sz w:val="24"/>
          <w:szCs w:val="24"/>
        </w:rPr>
        <w:t xml:space="preserve"> </w:t>
      </w:r>
      <w:r>
        <w:rPr>
          <w:rFonts w:ascii="SimSun" w:hAnsi="SimSun" w:eastAsia="SimSun" w:cs="SimSun"/>
          <w:sz w:val="24"/>
          <w:szCs w:val="24"/>
          <w:spacing w:val="-2"/>
        </w:rPr>
        <w:t>盛液槽返回对应水槽（</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2"/>
        </w:rPr>
        <w:t>号压出水返回</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2"/>
        </w:rPr>
        <w:t>号水槽、</w:t>
      </w:r>
      <w:r>
        <w:rPr>
          <w:rFonts w:ascii="Times New Roman" w:hAnsi="Times New Roman" w:eastAsia="Times New Roman" w:cs="Times New Roman"/>
          <w:sz w:val="24"/>
          <w:szCs w:val="24"/>
          <w:spacing w:val="-2"/>
        </w:rPr>
        <w:t>5</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2"/>
        </w:rPr>
        <w:t>号压出水返回</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2"/>
        </w:rPr>
        <w:t>号水槽、</w:t>
      </w:r>
      <w:r>
        <w:rPr>
          <w:rFonts w:ascii="Times New Roman" w:hAnsi="Times New Roman" w:eastAsia="Times New Roman" w:cs="Times New Roman"/>
          <w:sz w:val="24"/>
          <w:szCs w:val="24"/>
          <w:spacing w:val="-2"/>
        </w:rPr>
        <w:t>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w:t>
      </w:r>
      <w:r>
        <w:rPr>
          <w:rFonts w:ascii="SimSun" w:hAnsi="SimSun" w:eastAsia="SimSun" w:cs="SimSun"/>
          <w:sz w:val="24"/>
          <w:szCs w:val="24"/>
        </w:rPr>
        <w:t xml:space="preserve"> </w:t>
      </w:r>
      <w:r>
        <w:rPr>
          <w:rFonts w:ascii="SimSun" w:hAnsi="SimSun" w:eastAsia="SimSun" w:cs="SimSun"/>
          <w:sz w:val="24"/>
          <w:szCs w:val="24"/>
        </w:rPr>
        <w:t>压出水返回</w:t>
      </w:r>
      <w:r>
        <w:rPr>
          <w:rFonts w:ascii="SimSun" w:hAnsi="SimSun" w:eastAsia="SimSun" w:cs="SimSun"/>
          <w:sz w:val="24"/>
          <w:szCs w:val="24"/>
          <w:spacing w:val="-46"/>
        </w:rPr>
        <w:t xml:space="preserve"> </w:t>
      </w:r>
      <w:r>
        <w:rPr>
          <w:rFonts w:ascii="Times New Roman" w:hAnsi="Times New Roman" w:eastAsia="Times New Roman" w:cs="Times New Roman"/>
          <w:sz w:val="24"/>
          <w:szCs w:val="24"/>
        </w:rPr>
        <w:t>6</w:t>
      </w:r>
      <w:r>
        <w:rPr>
          <w:rFonts w:ascii="Times New Roman" w:hAnsi="Times New Roman" w:eastAsia="Times New Roman" w:cs="Times New Roman"/>
          <w:sz w:val="24"/>
          <w:szCs w:val="24"/>
          <w:spacing w:val="20"/>
        </w:rPr>
        <w:t xml:space="preserve"> </w:t>
      </w:r>
      <w:r>
        <w:rPr>
          <w:rFonts w:ascii="SimSun" w:hAnsi="SimSun" w:eastAsia="SimSun" w:cs="SimSun"/>
          <w:sz w:val="24"/>
          <w:szCs w:val="24"/>
        </w:rPr>
        <w:t>号水槽</w:t>
      </w:r>
      <w:r>
        <w:rPr>
          <w:rFonts w:ascii="SimSun" w:hAnsi="SimSun" w:eastAsia="SimSun" w:cs="SimSun"/>
          <w:sz w:val="24"/>
          <w:szCs w:val="24"/>
          <w:spacing w:val="12"/>
        </w:rPr>
        <w:t>），</w:t>
      </w:r>
      <w:r>
        <w:rPr>
          <w:rFonts w:ascii="Times New Roman" w:hAnsi="Times New Roman" w:eastAsia="Times New Roman" w:cs="Times New Roman"/>
          <w:sz w:val="24"/>
          <w:szCs w:val="24"/>
        </w:rPr>
        <w:t>4</w:t>
      </w:r>
      <w:r>
        <w:rPr>
          <w:rFonts w:ascii="Times New Roman" w:hAnsi="Times New Roman" w:eastAsia="Times New Roman" w:cs="Times New Roman"/>
          <w:sz w:val="24"/>
          <w:szCs w:val="24"/>
          <w:spacing w:val="20"/>
        </w:rPr>
        <w:t xml:space="preserve"> </w:t>
      </w:r>
      <w:r>
        <w:rPr>
          <w:rFonts w:ascii="SimSun" w:hAnsi="SimSun" w:eastAsia="SimSun" w:cs="SimSun"/>
          <w:sz w:val="24"/>
          <w:szCs w:val="24"/>
        </w:rPr>
        <w:t>号水槽补充水来自新鲜水和</w:t>
      </w:r>
      <w:r>
        <w:rPr>
          <w:rFonts w:ascii="SimSun" w:hAnsi="SimSun" w:eastAsia="SimSun" w:cs="SimSun"/>
          <w:sz w:val="24"/>
          <w:szCs w:val="24"/>
          <w:spacing w:val="-44"/>
        </w:rPr>
        <w:t xml:space="preserve"> </w:t>
      </w:r>
      <w:r>
        <w:rPr>
          <w:rFonts w:ascii="Times New Roman" w:hAnsi="Times New Roman" w:eastAsia="Times New Roman" w:cs="Times New Roman"/>
          <w:sz w:val="24"/>
          <w:szCs w:val="24"/>
        </w:rPr>
        <w:t>5</w:t>
      </w:r>
      <w:r>
        <w:rPr>
          <w:rFonts w:ascii="Times New Roman" w:hAnsi="Times New Roman" w:eastAsia="Times New Roman" w:cs="Times New Roman"/>
          <w:sz w:val="24"/>
          <w:szCs w:val="24"/>
          <w:spacing w:val="18"/>
        </w:rPr>
        <w:t xml:space="preserve"> </w:t>
      </w:r>
      <w:r>
        <w:rPr>
          <w:rFonts w:ascii="SimSun" w:hAnsi="SimSun" w:eastAsia="SimSun" w:cs="SimSun"/>
          <w:sz w:val="24"/>
          <w:szCs w:val="24"/>
        </w:rPr>
        <w:t>号、</w:t>
      </w:r>
      <w:r>
        <w:rPr>
          <w:rFonts w:ascii="Times New Roman" w:hAnsi="Times New Roman" w:eastAsia="Times New Roman" w:cs="Times New Roman"/>
          <w:sz w:val="24"/>
          <w:szCs w:val="24"/>
        </w:rPr>
        <w:t>6</w:t>
      </w:r>
      <w:r>
        <w:rPr>
          <w:rFonts w:ascii="Times New Roman" w:hAnsi="Times New Roman" w:eastAsia="Times New Roman" w:cs="Times New Roman"/>
          <w:sz w:val="24"/>
          <w:szCs w:val="24"/>
          <w:spacing w:val="19"/>
          <w:w w:val="101"/>
        </w:rPr>
        <w:t xml:space="preserve"> </w:t>
      </w:r>
      <w:r>
        <w:rPr>
          <w:rFonts w:ascii="SimSun" w:hAnsi="SimSun" w:eastAsia="SimSun" w:cs="SimSun"/>
          <w:sz w:val="24"/>
          <w:szCs w:val="24"/>
        </w:rPr>
        <w:t>号水槽，</w:t>
      </w:r>
      <w:r>
        <w:rPr>
          <w:rFonts w:ascii="Times New Roman" w:hAnsi="Times New Roman" w:eastAsia="Times New Roman" w:cs="Times New Roman"/>
          <w:sz w:val="24"/>
          <w:szCs w:val="24"/>
        </w:rPr>
        <w:t>5</w:t>
      </w:r>
      <w:r>
        <w:rPr>
          <w:rFonts w:ascii="Times New Roman" w:hAnsi="Times New Roman" w:eastAsia="Times New Roman" w:cs="Times New Roman"/>
          <w:sz w:val="24"/>
          <w:szCs w:val="24"/>
          <w:spacing w:val="20"/>
        </w:rPr>
        <w:t xml:space="preserve"> </w:t>
      </w:r>
      <w:r>
        <w:rPr>
          <w:rFonts w:ascii="SimSun" w:hAnsi="SimSun" w:eastAsia="SimSun" w:cs="SimSun"/>
          <w:sz w:val="24"/>
          <w:szCs w:val="24"/>
        </w:rPr>
        <w:t>号、</w:t>
      </w:r>
      <w:r>
        <w:rPr>
          <w:rFonts w:ascii="Times New Roman" w:hAnsi="Times New Roman" w:eastAsia="Times New Roman" w:cs="Times New Roman"/>
          <w:sz w:val="24"/>
          <w:szCs w:val="24"/>
        </w:rPr>
        <w:t>6 </w:t>
      </w:r>
      <w:r>
        <w:rPr>
          <w:rFonts w:ascii="SimSun" w:hAnsi="SimSun" w:eastAsia="SimSun" w:cs="SimSun"/>
          <w:sz w:val="24"/>
          <w:szCs w:val="24"/>
          <w:spacing w:val="-2"/>
        </w:rPr>
        <w:t>号水槽补充新鲜水（本项目清洗羊毛为绵羊毛，</w:t>
      </w:r>
      <w:r>
        <w:rPr>
          <w:rFonts w:ascii="Times New Roman" w:hAnsi="Times New Roman" w:eastAsia="Times New Roman" w:cs="Times New Roman"/>
          <w:sz w:val="24"/>
          <w:szCs w:val="24"/>
          <w:spacing w:val="-2"/>
        </w:rPr>
        <w:t>5</w:t>
      </w:r>
      <w:r>
        <w:rPr>
          <w:rFonts w:ascii="Times New Roman" w:hAnsi="Times New Roman" w:eastAsia="Times New Roman" w:cs="Times New Roman"/>
          <w:sz w:val="24"/>
          <w:szCs w:val="24"/>
          <w:spacing w:val="28"/>
          <w:w w:val="101"/>
        </w:rPr>
        <w:t xml:space="preserve"> </w:t>
      </w:r>
      <w:r>
        <w:rPr>
          <w:rFonts w:ascii="SimSun" w:hAnsi="SimSun" w:eastAsia="SimSun" w:cs="SimSun"/>
          <w:sz w:val="24"/>
          <w:szCs w:val="24"/>
          <w:spacing w:val="-2"/>
        </w:rPr>
        <w:t>号、</w:t>
      </w:r>
      <w:r>
        <w:rPr>
          <w:rFonts w:ascii="Times New Roman" w:hAnsi="Times New Roman" w:eastAsia="Times New Roman" w:cs="Times New Roman"/>
          <w:sz w:val="24"/>
          <w:szCs w:val="24"/>
          <w:spacing w:val="-2"/>
        </w:rPr>
        <w:t>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号水槽补水为新鲜水，无</w:t>
      </w:r>
      <w:r>
        <w:rPr>
          <w:rFonts w:ascii="SimSun" w:hAnsi="SimSun" w:eastAsia="SimSun" w:cs="SimSun"/>
          <w:sz w:val="24"/>
          <w:szCs w:val="24"/>
        </w:rPr>
        <w:t xml:space="preserve"> </w:t>
      </w:r>
      <w:r>
        <w:rPr>
          <w:rFonts w:ascii="SimSun" w:hAnsi="SimSun" w:eastAsia="SimSun" w:cs="SimSun"/>
          <w:sz w:val="24"/>
          <w:szCs w:val="24"/>
          <w:spacing w:val="-2"/>
        </w:rPr>
        <w:t>需使用纯水）。</w:t>
      </w:r>
    </w:p>
    <w:p>
      <w:pPr>
        <w:ind w:left="489"/>
        <w:spacing w:line="219" w:lineRule="auto"/>
        <w:rPr>
          <w:rFonts w:ascii="SimSun" w:hAnsi="SimSun" w:eastAsia="SimSun" w:cs="SimSun"/>
          <w:sz w:val="24"/>
          <w:szCs w:val="24"/>
        </w:rPr>
      </w:pPr>
      <w:r>
        <w:rPr>
          <w:rFonts w:ascii="SimSun" w:hAnsi="SimSun" w:eastAsia="SimSun" w:cs="SimSun"/>
          <w:sz w:val="24"/>
          <w:szCs w:val="24"/>
          <w:b/>
          <w:bCs/>
          <w:spacing w:val="-4"/>
        </w:rPr>
        <w:t>产污环节分析：</w:t>
      </w:r>
    </w:p>
    <w:p>
      <w:pPr>
        <w:ind w:left="10" w:right="78" w:firstLine="478"/>
        <w:spacing w:before="180" w:line="359" w:lineRule="auto"/>
        <w:rPr>
          <w:rFonts w:ascii="SimSun" w:hAnsi="SimSun" w:eastAsia="SimSun" w:cs="SimSun"/>
          <w:sz w:val="24"/>
          <w:szCs w:val="24"/>
        </w:rPr>
      </w:pPr>
      <w:r>
        <w:rPr>
          <w:rFonts w:ascii="SimSun" w:hAnsi="SimSun" w:eastAsia="SimSun" w:cs="SimSun"/>
          <w:sz w:val="24"/>
          <w:szCs w:val="24"/>
          <w:b/>
          <w:bCs/>
          <w:spacing w:val="3"/>
        </w:rPr>
        <w:t>废气：</w:t>
      </w:r>
      <w:r>
        <w:rPr>
          <w:rFonts w:ascii="SimSun" w:hAnsi="SimSun" w:eastAsia="SimSun" w:cs="SimSun"/>
          <w:sz w:val="24"/>
          <w:szCs w:val="24"/>
          <w:spacing w:val="3"/>
        </w:rPr>
        <w:t>洗毛车间运行时会产生异味产生，主要来自</w:t>
      </w:r>
      <w:r>
        <w:rPr>
          <w:rFonts w:ascii="SimSun" w:hAnsi="SimSun" w:eastAsia="SimSun" w:cs="SimSun"/>
          <w:sz w:val="24"/>
          <w:szCs w:val="24"/>
          <w:spacing w:val="2"/>
        </w:rPr>
        <w:t>原毛加热洗涤过程，以羊</w:t>
      </w:r>
      <w:r>
        <w:rPr>
          <w:rFonts w:ascii="SimSun" w:hAnsi="SimSun" w:eastAsia="SimSun" w:cs="SimSun"/>
          <w:sz w:val="24"/>
          <w:szCs w:val="24"/>
        </w:rPr>
        <w:t xml:space="preserve"> </w:t>
      </w:r>
      <w:r>
        <w:rPr>
          <w:rFonts w:ascii="SimSun" w:hAnsi="SimSun" w:eastAsia="SimSun" w:cs="SimSun"/>
          <w:sz w:val="24"/>
          <w:szCs w:val="24"/>
          <w:spacing w:val="-1"/>
        </w:rPr>
        <w:t>毛臊膻味等异味成分为主，加强车间通风。</w:t>
      </w:r>
    </w:p>
    <w:p>
      <w:pPr>
        <w:ind w:left="4"/>
        <w:spacing w:line="218"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3.2.1.5 </w:t>
      </w:r>
      <w:r>
        <w:rPr>
          <w:rFonts w:ascii="SimSun" w:hAnsi="SimSun" w:eastAsia="SimSun" w:cs="SimSun"/>
          <w:sz w:val="24"/>
          <w:szCs w:val="24"/>
          <w:b/>
          <w:bCs/>
          <w:spacing w:val="-1"/>
        </w:rPr>
        <w:t>烘干</w:t>
      </w:r>
    </w:p>
    <w:p>
      <w:pPr>
        <w:ind w:left="8" w:right="18" w:firstLine="481"/>
        <w:spacing w:before="183" w:line="359" w:lineRule="auto"/>
        <w:jc w:val="both"/>
        <w:rPr>
          <w:rFonts w:ascii="SimSun" w:hAnsi="SimSun" w:eastAsia="SimSun" w:cs="SimSun"/>
          <w:sz w:val="24"/>
          <w:szCs w:val="24"/>
        </w:rPr>
      </w:pPr>
      <w:r>
        <w:rPr>
          <w:rFonts w:ascii="SimSun" w:hAnsi="SimSun" w:eastAsia="SimSun" w:cs="SimSun"/>
          <w:sz w:val="24"/>
          <w:szCs w:val="24"/>
          <w:spacing w:val="-1"/>
        </w:rPr>
        <w:t>来自清水冲洗工序的压干洗净毛含水率为</w:t>
      </w:r>
      <w:r>
        <w:rPr>
          <w:rFonts w:ascii="Times New Roman" w:hAnsi="Times New Roman" w:eastAsia="Times New Roman" w:cs="Times New Roman"/>
          <w:sz w:val="24"/>
          <w:szCs w:val="24"/>
          <w:spacing w:val="-1"/>
        </w:rPr>
        <w:t>~40%</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，烘干将产品中</w:t>
      </w:r>
      <w:r>
        <w:rPr>
          <w:rFonts w:ascii="SimSun" w:hAnsi="SimSun" w:eastAsia="SimSun" w:cs="SimSun"/>
          <w:sz w:val="24"/>
          <w:szCs w:val="24"/>
          <w:spacing w:val="-2"/>
        </w:rPr>
        <w:t>含水率控制在</w:t>
      </w:r>
      <w:r>
        <w:rPr>
          <w:rFonts w:ascii="SimSun" w:hAnsi="SimSun" w:eastAsia="SimSun" w:cs="SimSun"/>
          <w:sz w:val="24"/>
          <w:szCs w:val="24"/>
        </w:rPr>
        <w:t xml:space="preserve"> </w:t>
      </w:r>
      <w:r>
        <w:rPr>
          <w:rFonts w:ascii="Times New Roman" w:hAnsi="Times New Roman" w:eastAsia="Times New Roman" w:cs="Times New Roman"/>
          <w:sz w:val="24"/>
          <w:szCs w:val="24"/>
          <w:spacing w:val="-3"/>
        </w:rPr>
        <w:t>10%</w:t>
      </w:r>
      <w:r>
        <w:rPr>
          <w:rFonts w:ascii="SimSun" w:hAnsi="SimSun" w:eastAsia="SimSun" w:cs="SimSun"/>
          <w:sz w:val="24"/>
          <w:szCs w:val="24"/>
          <w:spacing w:val="-3"/>
        </w:rPr>
        <w:t>以下，烘干过程采用蒸汽间接加热，烘干温度为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50-100</w:t>
      </w:r>
      <w:r>
        <w:rPr>
          <w:rFonts w:ascii="SimSun" w:hAnsi="SimSun" w:eastAsia="SimSun" w:cs="SimSun"/>
          <w:sz w:val="24"/>
          <w:szCs w:val="24"/>
          <w:spacing w:val="-3"/>
        </w:rPr>
        <w:t>℃</w:t>
      </w:r>
      <w:r>
        <w:rPr>
          <w:rFonts w:ascii="SimSun" w:hAnsi="SimSun" w:eastAsia="SimSun" w:cs="SimSun"/>
          <w:sz w:val="24"/>
          <w:szCs w:val="24"/>
          <w:spacing w:val="-91"/>
        </w:rPr>
        <w:t xml:space="preserve"> </w:t>
      </w:r>
      <w:r>
        <w:rPr>
          <w:rFonts w:ascii="SimSun" w:hAnsi="SimSun" w:eastAsia="SimSun" w:cs="SimSun"/>
          <w:sz w:val="24"/>
          <w:szCs w:val="24"/>
          <w:spacing w:val="-3"/>
        </w:rPr>
        <w:t>,</w:t>
      </w:r>
      <w:r>
        <w:rPr>
          <w:rFonts w:ascii="SimSun" w:hAnsi="SimSun" w:eastAsia="SimSun" w:cs="SimSun"/>
          <w:sz w:val="24"/>
          <w:szCs w:val="24"/>
          <w:spacing w:val="60"/>
        </w:rPr>
        <w:t xml:space="preserve"> </w:t>
      </w:r>
      <w:r>
        <w:rPr>
          <w:rFonts w:ascii="SimSun" w:hAnsi="SimSun" w:eastAsia="SimSun" w:cs="SimSun"/>
          <w:sz w:val="24"/>
          <w:szCs w:val="24"/>
          <w:spacing w:val="-4"/>
        </w:rPr>
        <w:t>烘干时间</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4"/>
        </w:rPr>
        <w:t>8min </w:t>
      </w:r>
      <w:r>
        <w:rPr>
          <w:rFonts w:ascii="SimSun" w:hAnsi="SimSun" w:eastAsia="SimSun" w:cs="SimSun"/>
          <w:sz w:val="24"/>
          <w:szCs w:val="24"/>
          <w:spacing w:val="-4"/>
        </w:rPr>
        <w:t>左</w:t>
      </w:r>
      <w:r>
        <w:rPr>
          <w:rFonts w:ascii="SimSun" w:hAnsi="SimSun" w:eastAsia="SimSun" w:cs="SimSun"/>
          <w:sz w:val="24"/>
          <w:szCs w:val="24"/>
        </w:rPr>
        <w:t xml:space="preserve"> </w:t>
      </w:r>
      <w:r>
        <w:rPr>
          <w:rFonts w:ascii="SimSun" w:hAnsi="SimSun" w:eastAsia="SimSun" w:cs="SimSun"/>
          <w:sz w:val="24"/>
          <w:szCs w:val="24"/>
          <w:spacing w:val="-3"/>
        </w:rPr>
        <w:t>右。出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号压水机的洗净毛经过喂毛机平帘、斜钉帘均匀的喂入到平帘烘干</w:t>
      </w:r>
      <w:r>
        <w:rPr>
          <w:rFonts w:ascii="SimSun" w:hAnsi="SimSun" w:eastAsia="SimSun" w:cs="SimSun"/>
          <w:sz w:val="24"/>
          <w:szCs w:val="24"/>
          <w:spacing w:val="-4"/>
        </w:rPr>
        <w:t>机中，</w:t>
      </w:r>
      <w:r>
        <w:rPr>
          <w:rFonts w:ascii="SimSun" w:hAnsi="SimSun" w:eastAsia="SimSun" w:cs="SimSun"/>
          <w:sz w:val="24"/>
          <w:szCs w:val="24"/>
        </w:rPr>
        <w:t xml:space="preserve"> </w:t>
      </w:r>
      <w:r>
        <w:rPr>
          <w:rFonts w:ascii="SimSun" w:hAnsi="SimSun" w:eastAsia="SimSun" w:cs="SimSun"/>
          <w:sz w:val="24"/>
          <w:szCs w:val="24"/>
          <w:spacing w:val="3"/>
        </w:rPr>
        <w:t>洗净毛在平帘烘干机中缓慢向前传动，传动的过程中，烘房</w:t>
      </w:r>
      <w:r>
        <w:rPr>
          <w:rFonts w:ascii="SimSun" w:hAnsi="SimSun" w:eastAsia="SimSun" w:cs="SimSun"/>
          <w:sz w:val="24"/>
          <w:szCs w:val="24"/>
          <w:spacing w:val="2"/>
        </w:rPr>
        <w:t>内部的蒸汽管持续散</w:t>
      </w:r>
      <w:r>
        <w:rPr>
          <w:rFonts w:ascii="SimSun" w:hAnsi="SimSun" w:eastAsia="SimSun" w:cs="SimSun"/>
          <w:sz w:val="24"/>
          <w:szCs w:val="24"/>
        </w:rPr>
        <w:t xml:space="preserve"> </w:t>
      </w:r>
      <w:r>
        <w:rPr>
          <w:rFonts w:ascii="SimSun" w:hAnsi="SimSun" w:eastAsia="SimSun" w:cs="SimSun"/>
          <w:sz w:val="24"/>
          <w:szCs w:val="24"/>
          <w:spacing w:val="1"/>
        </w:rPr>
        <w:t>热，将洗净毛烘干，得到含水率小于</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1"/>
        </w:rPr>
        <w:t>10%</w:t>
      </w:r>
      <w:r>
        <w:rPr>
          <w:rFonts w:ascii="SimSun" w:hAnsi="SimSun" w:eastAsia="SimSun" w:cs="SimSun"/>
          <w:sz w:val="24"/>
          <w:szCs w:val="24"/>
          <w:spacing w:val="1"/>
        </w:rPr>
        <w:t>的洗净毛产品，经输毛帘入打包机打包</w:t>
      </w:r>
      <w:r>
        <w:rPr>
          <w:rFonts w:ascii="SimSun" w:hAnsi="SimSun" w:eastAsia="SimSun" w:cs="SimSun"/>
          <w:sz w:val="24"/>
          <w:szCs w:val="24"/>
        </w:rPr>
        <w:t xml:space="preserve"> </w:t>
      </w:r>
      <w:r>
        <w:rPr>
          <w:rFonts w:ascii="SimSun" w:hAnsi="SimSun" w:eastAsia="SimSun" w:cs="SimSun"/>
          <w:sz w:val="24"/>
          <w:szCs w:val="24"/>
          <w:spacing w:val="1"/>
        </w:rPr>
        <w:t>或去梳绒生产线，蒸汽冷凝水作为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1"/>
        </w:rPr>
        <w:t>号、</w:t>
      </w:r>
      <w:r>
        <w:rPr>
          <w:rFonts w:ascii="Times New Roman" w:hAnsi="Times New Roman" w:eastAsia="Times New Roman" w:cs="Times New Roman"/>
          <w:sz w:val="24"/>
          <w:szCs w:val="24"/>
          <w:spacing w:val="1"/>
        </w:rPr>
        <w:t>3</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1"/>
        </w:rPr>
        <w:t>号洗槽补水。</w:t>
      </w:r>
      <w:r>
        <w:rPr>
          <w:shd w:val="clear" w:fill="00FFFF"/>
          <w:rFonts w:ascii="SimSun" w:hAnsi="SimSun" w:eastAsia="SimSun" w:cs="SimSun"/>
          <w:sz w:val="24"/>
          <w:szCs w:val="24"/>
          <w:spacing w:val="1"/>
        </w:rPr>
        <w:t>其中</w:t>
      </w:r>
      <w:r>
        <w:rPr>
          <w:shd w:val="clear" w:fill="00FFFF"/>
          <w:rFonts w:ascii="SimSun" w:hAnsi="SimSun" w:eastAsia="SimSun" w:cs="SimSun"/>
          <w:sz w:val="24"/>
          <w:szCs w:val="24"/>
          <w:spacing w:val="-46"/>
        </w:rPr>
        <w:t xml:space="preserve"> </w:t>
      </w:r>
      <w:r>
        <w:rPr>
          <w:shd w:val="clear" w:fill="00FFFF"/>
          <w:rFonts w:ascii="Times New Roman" w:hAnsi="Times New Roman" w:eastAsia="Times New Roman" w:cs="Times New Roman"/>
          <w:sz w:val="24"/>
          <w:szCs w:val="24"/>
          <w:spacing w:val="1"/>
        </w:rPr>
        <w:t>545</w:t>
      </w:r>
      <w:r>
        <w:rPr>
          <w:shd w:val="clear" w:fill="00FFFF"/>
          <w:rFonts w:ascii="Times New Roman" w:hAnsi="Times New Roman" w:eastAsia="Times New Roman" w:cs="Times New Roman"/>
          <w:sz w:val="24"/>
          <w:szCs w:val="24"/>
        </w:rPr>
        <w:t>t </w:t>
      </w:r>
      <w:r>
        <w:rPr>
          <w:shd w:val="clear" w:fill="00FFFF"/>
          <w:rFonts w:ascii="SimSun" w:hAnsi="SimSun" w:eastAsia="SimSun" w:cs="SimSun"/>
          <w:sz w:val="24"/>
          <w:szCs w:val="24"/>
        </w:rPr>
        <w:t>洗净毛去梳绒</w:t>
      </w:r>
      <w:r>
        <w:rPr>
          <w:rFonts w:ascii="SimSun" w:hAnsi="SimSun" w:eastAsia="SimSun" w:cs="SimSun"/>
          <w:sz w:val="24"/>
          <w:szCs w:val="24"/>
        </w:rPr>
        <w:t xml:space="preserve"> </w:t>
      </w:r>
      <w:r>
        <w:rPr>
          <w:shd w:val="clear" w:fill="00FFFF"/>
          <w:rFonts w:ascii="SimSun" w:hAnsi="SimSun" w:eastAsia="SimSun" w:cs="SimSun"/>
          <w:sz w:val="24"/>
          <w:szCs w:val="24"/>
          <w:spacing w:val="1"/>
        </w:rPr>
        <w:t>车间梳绒，其余洗净毛作为产品外售。</w:t>
      </w:r>
    </w:p>
    <w:p>
      <w:pPr>
        <w:ind w:left="489"/>
        <w:spacing w:before="1" w:line="219" w:lineRule="auto"/>
        <w:rPr>
          <w:rFonts w:ascii="SimSun" w:hAnsi="SimSun" w:eastAsia="SimSun" w:cs="SimSun"/>
          <w:sz w:val="24"/>
          <w:szCs w:val="24"/>
        </w:rPr>
      </w:pPr>
      <w:r>
        <w:rPr>
          <w:rFonts w:ascii="SimSun" w:hAnsi="SimSun" w:eastAsia="SimSun" w:cs="SimSun"/>
          <w:sz w:val="24"/>
          <w:szCs w:val="24"/>
          <w:b/>
          <w:bCs/>
          <w:spacing w:val="-4"/>
        </w:rPr>
        <w:t>产污环节分析：</w:t>
      </w:r>
    </w:p>
    <w:p>
      <w:pPr>
        <w:ind w:left="29" w:firstLine="459"/>
        <w:spacing w:before="183" w:line="359" w:lineRule="auto"/>
        <w:rPr>
          <w:rFonts w:ascii="SimSun" w:hAnsi="SimSun" w:eastAsia="SimSun" w:cs="SimSun"/>
          <w:sz w:val="24"/>
          <w:szCs w:val="24"/>
        </w:rPr>
      </w:pPr>
      <w:r>
        <w:rPr>
          <w:rFonts w:ascii="SimSun" w:hAnsi="SimSun" w:eastAsia="SimSun" w:cs="SimSun"/>
          <w:sz w:val="24"/>
          <w:szCs w:val="24"/>
          <w:b/>
          <w:bCs/>
          <w:spacing w:val="3"/>
        </w:rPr>
        <w:t>废气：</w:t>
      </w:r>
      <w:r>
        <w:rPr>
          <w:rFonts w:ascii="SimSun" w:hAnsi="SimSun" w:eastAsia="SimSun" w:cs="SimSun"/>
          <w:sz w:val="24"/>
          <w:szCs w:val="24"/>
          <w:spacing w:val="3"/>
        </w:rPr>
        <w:t>烘干过程中新风从烘干机的出料口进入</w:t>
      </w:r>
      <w:r>
        <w:rPr>
          <w:rFonts w:ascii="SimSun" w:hAnsi="SimSun" w:eastAsia="SimSun" w:cs="SimSun"/>
          <w:sz w:val="24"/>
          <w:szCs w:val="24"/>
          <w:spacing w:val="2"/>
        </w:rPr>
        <w:t>，经过烘干室，由含湿量最大</w:t>
      </w:r>
      <w:r>
        <w:rPr>
          <w:rFonts w:ascii="SimSun" w:hAnsi="SimSun" w:eastAsia="SimSun" w:cs="SimSun"/>
          <w:sz w:val="24"/>
          <w:szCs w:val="24"/>
        </w:rPr>
        <w:t xml:space="preserve"> </w:t>
      </w:r>
      <w:r>
        <w:rPr>
          <w:rFonts w:ascii="SimSun" w:hAnsi="SimSun" w:eastAsia="SimSun" w:cs="SimSun"/>
          <w:sz w:val="24"/>
          <w:szCs w:val="24"/>
          <w:spacing w:val="-2"/>
        </w:rPr>
        <w:t>的进口排出，由于风速低、湿度大，排气中羊毛</w:t>
      </w:r>
      <w:r>
        <w:rPr>
          <w:rFonts w:ascii="SimSun" w:hAnsi="SimSun" w:eastAsia="SimSun" w:cs="SimSun"/>
          <w:sz w:val="24"/>
          <w:szCs w:val="24"/>
          <w:spacing w:val="-3"/>
        </w:rPr>
        <w:t>尘含量很低，本评价不予以量化。</w:t>
      </w:r>
    </w:p>
    <w:p>
      <w:pPr>
        <w:ind w:left="490"/>
        <w:spacing w:before="1" w:line="218" w:lineRule="auto"/>
        <w:rPr>
          <w:rFonts w:ascii="SimSun" w:hAnsi="SimSun" w:eastAsia="SimSun" w:cs="SimSun"/>
          <w:sz w:val="24"/>
          <w:szCs w:val="24"/>
        </w:rPr>
      </w:pPr>
      <w:r>
        <w:rPr>
          <w:rFonts w:ascii="SimSun" w:hAnsi="SimSun" w:eastAsia="SimSun" w:cs="SimSun"/>
          <w:sz w:val="24"/>
          <w:szCs w:val="24"/>
          <w:spacing w:val="-1"/>
        </w:rPr>
        <w:t>本项目洗毛生产工艺流程及产污环节分析示意见图</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3.2-1</w:t>
      </w:r>
      <w:r>
        <w:rPr>
          <w:rFonts w:ascii="SimSun" w:hAnsi="SimSun" w:eastAsia="SimSun" w:cs="SimSun"/>
          <w:sz w:val="24"/>
          <w:szCs w:val="24"/>
          <w:spacing w:val="-1"/>
        </w:rPr>
        <w:t>。</w:t>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ind w:left="7"/>
        <w:spacing w:before="62" w:line="227" w:lineRule="auto"/>
        <w:rPr>
          <w:rFonts w:ascii="SimSun" w:hAnsi="SimSun" w:eastAsia="SimSun" w:cs="SimSun"/>
          <w:sz w:val="19"/>
          <w:szCs w:val="19"/>
        </w:rPr>
      </w:pPr>
      <w:r>
        <w:pict>
          <v:shape id="_x0000_s372" style="position:absolute;margin-left:159.33pt;margin-top:2.1353pt;mso-position-vertical-relative:text;mso-position-horizontal-relative:text;width:58.85pt;height:13.75pt;z-index:251825152;"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28"/>
                    </w:rPr>
                    <w:t xml:space="preserve">   </w:t>
                  </w:r>
                  <w:r>
                    <w:rPr>
                      <w:rFonts w:ascii="Times New Roman" w:hAnsi="Times New Roman" w:eastAsia="Times New Roman" w:cs="Times New Roman"/>
                      <w:sz w:val="18"/>
                      <w:szCs w:val="18"/>
                      <w:spacing w:val="3"/>
                      <w:position w:val="2"/>
                    </w:rPr>
                    <w:t>73</w:t>
                  </w:r>
                </w:p>
              </w:txbxContent>
            </v:textbox>
          </v:shape>
        </w:pict>
      </w:r>
      <w:r>
        <w:rPr>
          <w:rFonts w:ascii="SimSun" w:hAnsi="SimSun" w:eastAsia="SimSun" w:cs="SimSun"/>
          <w:sz w:val="19"/>
          <w:szCs w:val="19"/>
          <w:spacing w:val="9"/>
        </w:rPr>
        <w:t>锡林郭勒盟中安环境技术咨询有限责</w:t>
      </w:r>
    </w:p>
    <w:p>
      <w:pPr>
        <w:spacing w:line="227" w:lineRule="auto"/>
        <w:sectPr>
          <w:pgSz w:w="11907" w:h="16840"/>
          <w:pgMar w:top="1567" w:right="1621" w:bottom="400" w:left="1701" w:header="1221" w:footer="0" w:gutter="0"/>
        </w:sectPr>
        <w:rPr>
          <w:rFonts w:ascii="SimSun" w:hAnsi="SimSun" w:eastAsia="SimSun" w:cs="SimSun"/>
          <w:sz w:val="19"/>
          <w:szCs w:val="19"/>
        </w:rPr>
      </w:pPr>
    </w:p>
    <w:p>
      <w:pPr>
        <w:ind w:firstLine="780"/>
        <w:spacing w:before="133" w:line="6481" w:lineRule="exact"/>
        <w:rPr/>
      </w:pPr>
      <w:r>
        <w:pict>
          <v:shape id="_x0000_s374" style="position:absolute;margin-left:85.05pt;margin-top:78.87pt;mso-position-vertical-relative:page;mso-position-horizontal-relative:page;width:425.25pt;height:0.75pt;z-index:251828224;" o:allowincell="f" fillcolor="#000000" filled="true" stroked="false" coordsize="8505,15" coordorigin="0,0" path="m,l8505,0l8505,14l0,14l0,0xe"/>
        </w:pict>
      </w:r>
      <w:r>
        <w:rPr>
          <w:position w:val="-129"/>
        </w:rPr>
        <w:drawing>
          <wp:inline distT="0" distB="0" distL="0" distR="0">
            <wp:extent cx="4409694" cy="4115562"/>
            <wp:effectExtent l="0" t="0" r="0" b="0"/>
            <wp:docPr id="34" name="IM 34"/>
            <wp:cNvGraphicFramePr/>
            <a:graphic>
              <a:graphicData uri="http://schemas.openxmlformats.org/drawingml/2006/picture">
                <pic:pic>
                  <pic:nvPicPr>
                    <pic:cNvPr id="34" name="IM 34"/>
                    <pic:cNvPicPr/>
                  </pic:nvPicPr>
                  <pic:blipFill>
                    <a:blip r:embed="rId84"/>
                    <a:stretch>
                      <a:fillRect/>
                    </a:stretch>
                  </pic:blipFill>
                  <pic:spPr>
                    <a:xfrm rot="0">
                      <a:off x="0" y="0"/>
                      <a:ext cx="4409694" cy="4115562"/>
                    </a:xfrm>
                    <a:prstGeom prst="rect">
                      <a:avLst/>
                    </a:prstGeom>
                  </pic:spPr>
                </pic:pic>
              </a:graphicData>
            </a:graphic>
          </wp:inline>
        </w:drawing>
      </w:r>
    </w:p>
    <w:p>
      <w:pPr>
        <w:ind w:left="1535"/>
        <w:spacing w:before="171" w:line="219" w:lineRule="auto"/>
        <w:rPr>
          <w:rFonts w:ascii="SimSun" w:hAnsi="SimSun" w:eastAsia="SimSun" w:cs="SimSun"/>
          <w:sz w:val="24"/>
          <w:szCs w:val="24"/>
        </w:rPr>
      </w:pPr>
      <w:bookmarkStart w:name="bookmark55" w:id="67"/>
      <w:bookmarkEnd w:id="67"/>
      <w:r>
        <w:rPr>
          <w:rFonts w:ascii="SimSun" w:hAnsi="SimSun" w:eastAsia="SimSun" w:cs="SimSun"/>
          <w:sz w:val="24"/>
          <w:szCs w:val="24"/>
          <w:b/>
          <w:bCs/>
          <w:spacing w:val="-2"/>
        </w:rPr>
        <w:t>图</w:t>
      </w:r>
      <w:r>
        <w:rPr>
          <w:rFonts w:ascii="SimSun" w:hAnsi="SimSun" w:eastAsia="SimSun" w:cs="SimSun"/>
          <w:sz w:val="24"/>
          <w:szCs w:val="24"/>
          <w:spacing w:val="-56"/>
        </w:rPr>
        <w:t xml:space="preserve"> </w:t>
      </w:r>
      <w:r>
        <w:rPr>
          <w:rFonts w:ascii="Times New Roman" w:hAnsi="Times New Roman" w:eastAsia="Times New Roman" w:cs="Times New Roman"/>
          <w:sz w:val="24"/>
          <w:szCs w:val="24"/>
          <w:b/>
          <w:bCs/>
          <w:spacing w:val="-2"/>
        </w:rPr>
        <w:t>3.2-1      </w:t>
      </w:r>
      <w:r>
        <w:rPr>
          <w:rFonts w:ascii="SimSun" w:hAnsi="SimSun" w:eastAsia="SimSun" w:cs="SimSun"/>
          <w:sz w:val="24"/>
          <w:szCs w:val="24"/>
          <w:b/>
          <w:bCs/>
          <w:spacing w:val="-2"/>
        </w:rPr>
        <w:t>洗毛生产工艺流程</w:t>
      </w:r>
      <w:r>
        <w:rPr>
          <w:rFonts w:ascii="SimSun" w:hAnsi="SimSun" w:eastAsia="SimSun" w:cs="SimSun"/>
          <w:sz w:val="24"/>
          <w:szCs w:val="24"/>
          <w:b/>
          <w:bCs/>
          <w:spacing w:val="-3"/>
        </w:rPr>
        <w:t>及产污环节分析示意图</w:t>
      </w:r>
    </w:p>
    <w:p>
      <w:pPr>
        <w:ind w:left="12"/>
        <w:spacing w:before="307" w:line="222" w:lineRule="auto"/>
        <w:outlineLvl w:val="2"/>
        <w:rPr>
          <w:rFonts w:ascii="SimHei" w:hAnsi="SimHei" w:eastAsia="SimHei" w:cs="SimHei"/>
          <w:sz w:val="28"/>
          <w:szCs w:val="28"/>
        </w:rPr>
      </w:pPr>
      <w:bookmarkStart w:name="bookmark226" w:id="68"/>
      <w:bookmarkEnd w:id="68"/>
      <w:r>
        <w:rPr>
          <w:rFonts w:ascii="Times New Roman" w:hAnsi="Times New Roman" w:eastAsia="Times New Roman" w:cs="Times New Roman"/>
          <w:sz w:val="28"/>
          <w:szCs w:val="28"/>
          <w:spacing w:val="-1"/>
        </w:rPr>
        <w:t>3.2.2 </w:t>
      </w:r>
      <w:r>
        <w:rPr>
          <w:rFonts w:ascii="SimHei" w:hAnsi="SimHei" w:eastAsia="SimHei" w:cs="SimHei"/>
          <w:sz w:val="28"/>
          <w:szCs w:val="28"/>
          <w:spacing w:val="-1"/>
        </w:rPr>
        <w:t>梳绒生产工艺流程及产污环节分析</w:t>
      </w:r>
    </w:p>
    <w:p>
      <w:pPr>
        <w:pStyle w:val="BodyText"/>
        <w:spacing w:line="243" w:lineRule="auto"/>
        <w:rPr/>
      </w:pPr>
      <w:r/>
    </w:p>
    <w:p>
      <w:pPr>
        <w:ind w:left="490"/>
        <w:spacing w:before="78" w:line="219" w:lineRule="auto"/>
        <w:rPr>
          <w:rFonts w:ascii="SimSun" w:hAnsi="SimSun" w:eastAsia="SimSun" w:cs="SimSun"/>
          <w:sz w:val="24"/>
          <w:szCs w:val="24"/>
        </w:rPr>
      </w:pPr>
      <w:r>
        <w:rPr>
          <w:rFonts w:ascii="SimSun" w:hAnsi="SimSun" w:eastAsia="SimSun" w:cs="SimSun"/>
          <w:sz w:val="24"/>
          <w:szCs w:val="24"/>
        </w:rPr>
        <w:t>本项目建设梳绒生产线</w:t>
      </w:r>
      <w:r>
        <w:rPr>
          <w:rFonts w:ascii="Times New Roman" w:hAnsi="Times New Roman" w:eastAsia="Times New Roman" w:cs="Times New Roman"/>
          <w:sz w:val="24"/>
          <w:szCs w:val="24"/>
        </w:rPr>
        <w:t>5 </w:t>
      </w:r>
      <w:r>
        <w:rPr>
          <w:rFonts w:ascii="SimSun" w:hAnsi="SimSun" w:eastAsia="SimSun" w:cs="SimSun"/>
          <w:sz w:val="24"/>
          <w:szCs w:val="24"/>
        </w:rPr>
        <w:t>条，年产无毛绒</w:t>
      </w:r>
      <w:r>
        <w:rPr>
          <w:rFonts w:ascii="SimSun" w:hAnsi="SimSun" w:eastAsia="SimSun" w:cs="SimSun"/>
          <w:sz w:val="24"/>
          <w:szCs w:val="24"/>
          <w:spacing w:val="-32"/>
        </w:rPr>
        <w:t xml:space="preserve"> </w:t>
      </w:r>
      <w:r>
        <w:rPr>
          <w:rFonts w:ascii="Times New Roman" w:hAnsi="Times New Roman" w:eastAsia="Times New Roman" w:cs="Times New Roman"/>
          <w:sz w:val="24"/>
          <w:szCs w:val="24"/>
        </w:rPr>
        <w:t>300</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rPr>
        <w:t>吨。</w:t>
      </w:r>
    </w:p>
    <w:p>
      <w:pPr>
        <w:ind w:left="4"/>
        <w:spacing w:before="181"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3"/>
        </w:rPr>
        <w:t>3.2.2.1</w:t>
      </w:r>
      <w:r>
        <w:rPr>
          <w:rFonts w:ascii="Times New Roman" w:hAnsi="Times New Roman" w:eastAsia="Times New Roman" w:cs="Times New Roman"/>
          <w:sz w:val="24"/>
          <w:szCs w:val="24"/>
          <w:b/>
          <w:bCs/>
          <w:spacing w:val="17"/>
        </w:rPr>
        <w:t xml:space="preserve"> </w:t>
      </w:r>
      <w:r>
        <w:rPr>
          <w:rFonts w:ascii="SimSun" w:hAnsi="SimSun" w:eastAsia="SimSun" w:cs="SimSun"/>
          <w:sz w:val="24"/>
          <w:szCs w:val="24"/>
          <w:b/>
          <w:bCs/>
          <w:spacing w:val="-3"/>
        </w:rPr>
        <w:t>开松</w:t>
      </w:r>
    </w:p>
    <w:p>
      <w:pPr>
        <w:ind w:left="10" w:right="61" w:firstLine="480"/>
        <w:spacing w:before="183" w:line="359" w:lineRule="auto"/>
        <w:rPr>
          <w:rFonts w:ascii="SimSun" w:hAnsi="SimSun" w:eastAsia="SimSun" w:cs="SimSun"/>
          <w:sz w:val="24"/>
          <w:szCs w:val="24"/>
        </w:rPr>
      </w:pPr>
      <w:r>
        <w:rPr>
          <w:rFonts w:ascii="SimSun" w:hAnsi="SimSun" w:eastAsia="SimSun" w:cs="SimSun"/>
          <w:sz w:val="24"/>
          <w:szCs w:val="24"/>
          <w:spacing w:val="2"/>
        </w:rPr>
        <w:t>本项目洗净毛车间产生的洗净毛</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545t</w:t>
      </w:r>
      <w:r>
        <w:rPr>
          <w:rFonts w:ascii="SimSun" w:hAnsi="SimSun" w:eastAsia="SimSun" w:cs="SimSun"/>
          <w:sz w:val="24"/>
          <w:szCs w:val="24"/>
          <w:spacing w:val="2"/>
        </w:rPr>
        <w:t>进行梳绒。洗毛车间洗净毛（绒）进入</w:t>
      </w:r>
      <w:r>
        <w:rPr>
          <w:rFonts w:ascii="SimSun" w:hAnsi="SimSun" w:eastAsia="SimSun" w:cs="SimSun"/>
          <w:sz w:val="24"/>
          <w:szCs w:val="24"/>
        </w:rPr>
        <w:t xml:space="preserve"> </w:t>
      </w:r>
      <w:r>
        <w:rPr>
          <w:rFonts w:ascii="SimSun" w:hAnsi="SimSun" w:eastAsia="SimSun" w:cs="SimSun"/>
          <w:sz w:val="24"/>
          <w:szCs w:val="24"/>
          <w:spacing w:val="-1"/>
        </w:rPr>
        <w:t>开松机，对洗净毛进行松解和开松，使其形成均匀的纤维层。</w:t>
      </w:r>
    </w:p>
    <w:p>
      <w:pPr>
        <w:ind w:left="4"/>
        <w:spacing w:before="1"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3.2.2.2 </w:t>
      </w:r>
      <w:r>
        <w:rPr>
          <w:rFonts w:ascii="SimSun" w:hAnsi="SimSun" w:eastAsia="SimSun" w:cs="SimSun"/>
          <w:sz w:val="24"/>
          <w:szCs w:val="24"/>
          <w:b/>
          <w:bCs/>
          <w:spacing w:val="-1"/>
        </w:rPr>
        <w:t>梳绒</w:t>
      </w:r>
    </w:p>
    <w:p>
      <w:pPr>
        <w:ind w:left="3" w:firstLine="487"/>
        <w:spacing w:before="182" w:line="359" w:lineRule="auto"/>
        <w:jc w:val="both"/>
        <w:rPr>
          <w:rFonts w:ascii="SimSun" w:hAnsi="SimSun" w:eastAsia="SimSun" w:cs="SimSun"/>
          <w:sz w:val="24"/>
          <w:szCs w:val="24"/>
        </w:rPr>
      </w:pPr>
      <w:r>
        <w:rPr>
          <w:rFonts w:ascii="SimSun" w:hAnsi="SimSun" w:eastAsia="SimSun" w:cs="SimSun"/>
          <w:sz w:val="24"/>
          <w:szCs w:val="24"/>
          <w:spacing w:val="3"/>
        </w:rPr>
        <w:t>开松机开松打散后的洗净毛进入分梳机，通过高速旋转的</w:t>
      </w:r>
      <w:r>
        <w:rPr>
          <w:rFonts w:ascii="SimSun" w:hAnsi="SimSun" w:eastAsia="SimSun" w:cs="SimSun"/>
          <w:sz w:val="24"/>
          <w:szCs w:val="24"/>
          <w:spacing w:val="2"/>
        </w:rPr>
        <w:t>锡林、道夫和刺辊</w:t>
      </w:r>
      <w:r>
        <w:rPr>
          <w:rFonts w:ascii="SimSun" w:hAnsi="SimSun" w:eastAsia="SimSun" w:cs="SimSun"/>
          <w:sz w:val="24"/>
          <w:szCs w:val="24"/>
        </w:rPr>
        <w:t xml:space="preserve"> </w:t>
      </w:r>
      <w:r>
        <w:rPr>
          <w:rFonts w:ascii="SimSun" w:hAnsi="SimSun" w:eastAsia="SimSun" w:cs="SimSun"/>
          <w:sz w:val="24"/>
          <w:szCs w:val="24"/>
          <w:spacing w:val="-2"/>
        </w:rPr>
        <w:t>上的针布，对洗净毛进行抓取、分梳和定向排列，去除短纤维和</w:t>
      </w:r>
      <w:r>
        <w:rPr>
          <w:rFonts w:ascii="SimSun" w:hAnsi="SimSun" w:eastAsia="SimSun" w:cs="SimSun"/>
          <w:sz w:val="24"/>
          <w:szCs w:val="24"/>
          <w:spacing w:val="-3"/>
        </w:rPr>
        <w:t>未分解的纤维束，</w:t>
      </w:r>
      <w:r>
        <w:rPr>
          <w:rFonts w:ascii="SimSun" w:hAnsi="SimSun" w:eastAsia="SimSun" w:cs="SimSun"/>
          <w:sz w:val="24"/>
          <w:szCs w:val="24"/>
        </w:rPr>
        <w:t xml:space="preserve"> </w:t>
      </w:r>
      <w:r>
        <w:rPr>
          <w:rFonts w:ascii="SimSun" w:hAnsi="SimSun" w:eastAsia="SimSun" w:cs="SimSun"/>
          <w:sz w:val="24"/>
          <w:szCs w:val="24"/>
          <w:spacing w:val="3"/>
        </w:rPr>
        <w:t>同时实现毛、绒分离。为提高生产效率，防止羊绒产生静电，需要</w:t>
      </w:r>
      <w:r>
        <w:rPr>
          <w:rFonts w:ascii="SimSun" w:hAnsi="SimSun" w:eastAsia="SimSun" w:cs="SimSun"/>
          <w:sz w:val="24"/>
          <w:szCs w:val="24"/>
          <w:spacing w:val="2"/>
        </w:rPr>
        <w:t>保持车间湿度</w:t>
      </w:r>
      <w:r>
        <w:rPr>
          <w:rFonts w:ascii="SimSun" w:hAnsi="SimSun" w:eastAsia="SimSun" w:cs="SimSun"/>
          <w:sz w:val="24"/>
          <w:szCs w:val="24"/>
        </w:rPr>
        <w:t xml:space="preserve"> </w:t>
      </w:r>
      <w:r>
        <w:rPr>
          <w:rFonts w:ascii="Times New Roman" w:hAnsi="Times New Roman" w:eastAsia="Times New Roman" w:cs="Times New Roman"/>
          <w:sz w:val="24"/>
          <w:szCs w:val="24"/>
          <w:spacing w:val="-2"/>
        </w:rPr>
        <w:t>≥70%</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，本项目梳绒车间设</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28"/>
          <w:w w:val="101"/>
        </w:rPr>
        <w:t xml:space="preserve"> </w:t>
      </w:r>
      <w:r>
        <w:rPr>
          <w:rFonts w:ascii="SimSun" w:hAnsi="SimSun" w:eastAsia="SimSun" w:cs="SimSun"/>
          <w:sz w:val="24"/>
          <w:szCs w:val="24"/>
          <w:spacing w:val="-2"/>
        </w:rPr>
        <w:t>台高压雾化器，采用纯水制备装置制备</w:t>
      </w:r>
      <w:r>
        <w:rPr>
          <w:rFonts w:ascii="SimSun" w:hAnsi="SimSun" w:eastAsia="SimSun" w:cs="SimSun"/>
          <w:sz w:val="24"/>
          <w:szCs w:val="24"/>
          <w:spacing w:val="-3"/>
        </w:rPr>
        <w:t>的纯水为车间</w:t>
      </w:r>
      <w:r>
        <w:rPr>
          <w:rFonts w:ascii="SimSun" w:hAnsi="SimSun" w:eastAsia="SimSun" w:cs="SimSun"/>
          <w:sz w:val="24"/>
          <w:szCs w:val="24"/>
        </w:rPr>
        <w:t xml:space="preserve"> </w:t>
      </w:r>
      <w:r>
        <w:rPr>
          <w:rFonts w:ascii="SimSun" w:hAnsi="SimSun" w:eastAsia="SimSun" w:cs="SimSun"/>
          <w:sz w:val="24"/>
          <w:szCs w:val="24"/>
          <w:spacing w:val="-1"/>
        </w:rPr>
        <w:t>加湿。</w:t>
      </w:r>
    </w:p>
    <w:p>
      <w:pPr>
        <w:ind w:left="489"/>
        <w:spacing w:line="219" w:lineRule="auto"/>
        <w:rPr>
          <w:rFonts w:ascii="SimSun" w:hAnsi="SimSun" w:eastAsia="SimSun" w:cs="SimSun"/>
          <w:sz w:val="24"/>
          <w:szCs w:val="24"/>
        </w:rPr>
      </w:pPr>
      <w:r>
        <w:rPr>
          <w:rFonts w:ascii="SimSun" w:hAnsi="SimSun" w:eastAsia="SimSun" w:cs="SimSun"/>
          <w:sz w:val="24"/>
          <w:szCs w:val="24"/>
          <w:b/>
          <w:bCs/>
          <w:spacing w:val="-4"/>
        </w:rPr>
        <w:t>产污环节分析：</w:t>
      </w:r>
    </w:p>
    <w:p>
      <w:pPr>
        <w:ind w:left="488"/>
        <w:spacing w:before="183" w:line="219" w:lineRule="auto"/>
        <w:rPr>
          <w:rFonts w:ascii="SimSun" w:hAnsi="SimSun" w:eastAsia="SimSun" w:cs="SimSun"/>
          <w:sz w:val="24"/>
          <w:szCs w:val="24"/>
        </w:rPr>
      </w:pPr>
      <w:r>
        <w:rPr>
          <w:rFonts w:ascii="SimSun" w:hAnsi="SimSun" w:eastAsia="SimSun" w:cs="SimSun"/>
          <w:sz w:val="24"/>
          <w:szCs w:val="24"/>
          <w:b/>
          <w:bCs/>
          <w:spacing w:val="-4"/>
        </w:rPr>
        <w:t>废气：</w:t>
      </w:r>
      <w:r>
        <w:rPr>
          <w:rFonts w:ascii="SimSun" w:hAnsi="SimSun" w:eastAsia="SimSun" w:cs="SimSun"/>
          <w:sz w:val="24"/>
          <w:szCs w:val="24"/>
          <w:spacing w:val="-4"/>
        </w:rPr>
        <w:t>开松、梳绒和合绒过程中会有绒尘（梳绒车间粉尘</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4"/>
        </w:rPr>
        <w:t>G</w:t>
      </w:r>
      <w:r>
        <w:rPr>
          <w:rFonts w:ascii="Times New Roman" w:hAnsi="Times New Roman" w:eastAsia="Times New Roman" w:cs="Times New Roman"/>
          <w:sz w:val="15"/>
          <w:szCs w:val="15"/>
          <w:spacing w:val="-4"/>
          <w:position w:val="-1"/>
        </w:rPr>
        <w:t>2-</w:t>
      </w:r>
      <w:r>
        <w:rPr>
          <w:rFonts w:ascii="Times New Roman" w:hAnsi="Times New Roman" w:eastAsia="Times New Roman" w:cs="Times New Roman"/>
          <w:sz w:val="15"/>
          <w:szCs w:val="15"/>
          <w:spacing w:val="-21"/>
          <w:position w:val="-1"/>
        </w:rPr>
        <w:t xml:space="preserve"> </w:t>
      </w:r>
      <w:r>
        <w:rPr>
          <w:rFonts w:ascii="Times New Roman" w:hAnsi="Times New Roman" w:eastAsia="Times New Roman" w:cs="Times New Roman"/>
          <w:sz w:val="15"/>
          <w:szCs w:val="15"/>
          <w:spacing w:val="-4"/>
          <w:position w:val="-1"/>
        </w:rPr>
        <w:t>1</w:t>
      </w:r>
      <w:r>
        <w:rPr>
          <w:rFonts w:ascii="SimSun" w:hAnsi="SimSun" w:eastAsia="SimSun" w:cs="SimSun"/>
          <w:sz w:val="24"/>
          <w:szCs w:val="24"/>
          <w:spacing w:val="-4"/>
        </w:rPr>
        <w:t>）产生，梳绒车</w:t>
      </w:r>
    </w:p>
    <w:p>
      <w:pPr>
        <w:pStyle w:val="BodyText"/>
        <w:spacing w:line="268" w:lineRule="auto"/>
        <w:rPr/>
      </w:pPr>
      <w:r/>
    </w:p>
    <w:p>
      <w:pPr>
        <w:ind w:left="5312"/>
        <w:spacing w:before="62" w:line="227" w:lineRule="auto"/>
        <w:rPr>
          <w:rFonts w:ascii="SimSun" w:hAnsi="SimSun" w:eastAsia="SimSun" w:cs="SimSun"/>
          <w:sz w:val="19"/>
          <w:szCs w:val="19"/>
        </w:rPr>
      </w:pPr>
      <w:r>
        <w:pict>
          <v:shape id="_x0000_s376" style="position:absolute;margin-left:207.442pt;margin-top:2.12747pt;mso-position-vertical-relative:text;mso-position-horizontal-relative:text;width:58.8pt;height:13.75pt;z-index:251827200;"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3"/>
                      <w:position w:val="2"/>
                    </w:rPr>
                    <w:t>74</w:t>
                  </w:r>
                  <w:r>
                    <w:rPr>
                      <w:rFonts w:ascii="Times New Roman" w:hAnsi="Times New Roman" w:eastAsia="Times New Roman" w:cs="Times New Roman"/>
                      <w:sz w:val="18"/>
                      <w:szCs w:val="18"/>
                      <w:spacing w:val="1"/>
                      <w:position w:val="2"/>
                    </w:rPr>
                    <w:t xml:space="preserve">        </w:t>
                  </w:r>
                  <w:r>
                    <w:rPr>
                      <w:rFonts w:ascii="SimSun" w:hAnsi="SimSun" w:eastAsia="SimSun" w:cs="SimSun"/>
                      <w:sz w:val="19"/>
                      <w:szCs w:val="19"/>
                      <w:spacing w:val="3"/>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16"/>
          <w:pgSz w:w="11907" w:h="16840"/>
          <w:pgMar w:top="1567" w:right="1640" w:bottom="400" w:left="1701" w:header="1221" w:footer="0" w:gutter="0"/>
        </w:sectPr>
        <w:rPr>
          <w:rFonts w:ascii="SimSun" w:hAnsi="SimSun" w:eastAsia="SimSun" w:cs="SimSun"/>
          <w:sz w:val="19"/>
          <w:szCs w:val="19"/>
        </w:rPr>
      </w:pPr>
    </w:p>
    <w:p>
      <w:pPr>
        <w:ind w:left="28"/>
        <w:spacing w:before="187" w:line="219" w:lineRule="auto"/>
        <w:rPr>
          <w:rFonts w:ascii="SimSun" w:hAnsi="SimSun" w:eastAsia="SimSun" w:cs="SimSun"/>
          <w:sz w:val="24"/>
          <w:szCs w:val="24"/>
        </w:rPr>
      </w:pPr>
      <w:r>
        <w:pict>
          <v:shape id="_x0000_s378" style="position:absolute;margin-left:85.05pt;margin-top:79.11pt;mso-position-vertical-relative:page;mso-position-horizontal-relative:page;width:425.25pt;height:0.75pt;z-index:251830272;" o:allowincell="f" fillcolor="#000000" filled="true" stroked="false" coordsize="8505,15" coordorigin="0,0" path="m,l8505,0l8505,14l0,14l0,0xe"/>
        </w:pict>
      </w:r>
      <w:r>
        <w:rPr>
          <w:rFonts w:ascii="SimSun" w:hAnsi="SimSun" w:eastAsia="SimSun" w:cs="SimSun"/>
          <w:sz w:val="24"/>
          <w:szCs w:val="24"/>
          <w:spacing w:val="-2"/>
        </w:rPr>
        <w:t>间封闭建设，可有效减少飞绒等颗粒物排放。污染物产生量见</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2"/>
        </w:rPr>
        <w:t>3.5</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2"/>
        </w:rPr>
        <w:t>章节。</w:t>
      </w:r>
    </w:p>
    <w:p>
      <w:pPr>
        <w:ind w:left="510"/>
        <w:spacing w:before="181" w:line="220" w:lineRule="auto"/>
        <w:rPr>
          <w:rFonts w:ascii="SimSun" w:hAnsi="SimSun" w:eastAsia="SimSun" w:cs="SimSun"/>
          <w:sz w:val="24"/>
          <w:szCs w:val="24"/>
        </w:rPr>
      </w:pPr>
      <w:r>
        <w:rPr>
          <w:rFonts w:ascii="SimSun" w:hAnsi="SimSun" w:eastAsia="SimSun" w:cs="SimSun"/>
          <w:sz w:val="24"/>
          <w:szCs w:val="24"/>
          <w:b/>
          <w:bCs/>
          <w:spacing w:val="-13"/>
        </w:rPr>
        <w:t>固废：</w:t>
      </w:r>
    </w:p>
    <w:p>
      <w:pPr>
        <w:ind w:left="21" w:right="1" w:firstLine="467"/>
        <w:spacing w:before="180" w:line="289" w:lineRule="auto"/>
        <w:rPr>
          <w:rFonts w:ascii="SimSun" w:hAnsi="SimSun" w:eastAsia="SimSun" w:cs="SimSun"/>
          <w:sz w:val="24"/>
          <w:szCs w:val="24"/>
        </w:rPr>
      </w:pPr>
      <w:r>
        <w:rPr>
          <w:rFonts w:ascii="SimSun" w:hAnsi="SimSun" w:eastAsia="SimSun" w:cs="SimSun"/>
          <w:sz w:val="24"/>
          <w:szCs w:val="24"/>
        </w:rPr>
        <w:t>①梳绒过程中产生梳绒短纤维及杂毛（</w:t>
      </w:r>
      <w:r>
        <w:rPr>
          <w:rFonts w:ascii="Times New Roman" w:hAnsi="Times New Roman" w:eastAsia="Times New Roman" w:cs="Times New Roman"/>
          <w:sz w:val="24"/>
          <w:szCs w:val="24"/>
        </w:rPr>
        <w:t>S</w:t>
      </w:r>
      <w:r>
        <w:rPr>
          <w:rFonts w:ascii="Times New Roman" w:hAnsi="Times New Roman" w:eastAsia="Times New Roman" w:cs="Times New Roman"/>
          <w:sz w:val="15"/>
          <w:szCs w:val="15"/>
          <w:position w:val="-1"/>
        </w:rPr>
        <w:t>2-1 </w:t>
      </w:r>
      <w:r>
        <w:rPr>
          <w:rFonts w:ascii="SimSun" w:hAnsi="SimSun" w:eastAsia="SimSun" w:cs="SimSun"/>
          <w:sz w:val="24"/>
          <w:szCs w:val="24"/>
          <w:spacing w:val="-13"/>
        </w:rPr>
        <w:t>），</w:t>
      </w:r>
      <w:r>
        <w:rPr>
          <w:rFonts w:ascii="SimSun" w:hAnsi="SimSun" w:eastAsia="SimSun" w:cs="SimSun"/>
          <w:sz w:val="24"/>
          <w:szCs w:val="24"/>
        </w:rPr>
        <w:t>集</w:t>
      </w:r>
      <w:r>
        <w:rPr>
          <w:rFonts w:ascii="SimSun" w:hAnsi="SimSun" w:eastAsia="SimSun" w:cs="SimSun"/>
          <w:sz w:val="24"/>
          <w:szCs w:val="24"/>
          <w:spacing w:val="-1"/>
        </w:rPr>
        <w:t>中收集，定期外售综合利用</w:t>
      </w:r>
      <w:r>
        <w:rPr>
          <w:rFonts w:ascii="SimSun" w:hAnsi="SimSun" w:eastAsia="SimSun" w:cs="SimSun"/>
          <w:sz w:val="24"/>
          <w:szCs w:val="24"/>
        </w:rPr>
        <w:t xml:space="preserve"> </w:t>
      </w:r>
      <w:r>
        <w:rPr>
          <w:rFonts w:ascii="SimSun" w:hAnsi="SimSun" w:eastAsia="SimSun" w:cs="SimSun"/>
          <w:sz w:val="24"/>
          <w:szCs w:val="24"/>
          <w:spacing w:val="-3"/>
        </w:rPr>
        <w:t>（工业毛毡等）。污染物产生量见</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3"/>
        </w:rPr>
        <w:t>3.5</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3"/>
        </w:rPr>
        <w:t>章节。</w:t>
      </w:r>
    </w:p>
    <w:p>
      <w:pPr>
        <w:ind w:left="13" w:right="104" w:firstLine="474"/>
        <w:spacing w:before="183" w:line="289" w:lineRule="auto"/>
        <w:rPr>
          <w:rFonts w:ascii="SimSun" w:hAnsi="SimSun" w:eastAsia="SimSun" w:cs="SimSun"/>
          <w:sz w:val="24"/>
          <w:szCs w:val="24"/>
        </w:rPr>
      </w:pPr>
      <w:r>
        <w:rPr>
          <w:rFonts w:ascii="SimSun" w:hAnsi="SimSun" w:eastAsia="SimSun" w:cs="SimSun"/>
          <w:sz w:val="24"/>
          <w:szCs w:val="24"/>
        </w:rPr>
        <w:t>②设备自带滤袋收集的定期清理，其成分主要为绒尘，</w:t>
      </w:r>
      <w:r>
        <w:rPr>
          <w:rFonts w:ascii="SimSun" w:hAnsi="SimSun" w:eastAsia="SimSun" w:cs="SimSun"/>
          <w:sz w:val="24"/>
          <w:szCs w:val="24"/>
          <w:spacing w:val="-1"/>
        </w:rPr>
        <w:t>与杂毛、梳绒短纤维</w:t>
      </w:r>
      <w:r>
        <w:rPr>
          <w:rFonts w:ascii="SimSun" w:hAnsi="SimSun" w:eastAsia="SimSun" w:cs="SimSun"/>
          <w:sz w:val="24"/>
          <w:szCs w:val="24"/>
        </w:rPr>
        <w:t xml:space="preserve"> </w:t>
      </w:r>
      <w:r>
        <w:rPr>
          <w:rFonts w:ascii="SimSun" w:hAnsi="SimSun" w:eastAsia="SimSun" w:cs="SimSun"/>
          <w:sz w:val="24"/>
          <w:szCs w:val="24"/>
          <w:spacing w:val="-1"/>
        </w:rPr>
        <w:t>一同外售综合利用（工业毛毡等）。</w:t>
      </w:r>
    </w:p>
    <w:p>
      <w:pPr>
        <w:ind w:left="490"/>
        <w:spacing w:before="182" w:line="219" w:lineRule="auto"/>
        <w:rPr>
          <w:rFonts w:ascii="SimSun" w:hAnsi="SimSun" w:eastAsia="SimSun" w:cs="SimSun"/>
          <w:sz w:val="24"/>
          <w:szCs w:val="24"/>
        </w:rPr>
      </w:pPr>
      <w:r>
        <w:rPr>
          <w:rFonts w:ascii="SimSun" w:hAnsi="SimSun" w:eastAsia="SimSun" w:cs="SimSun"/>
          <w:sz w:val="24"/>
          <w:szCs w:val="24"/>
          <w:spacing w:val="-1"/>
        </w:rPr>
        <w:t>本项目梳绒生产工艺流程及产污环节分析示意见图</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3.2-2</w:t>
      </w:r>
      <w:r>
        <w:rPr>
          <w:rFonts w:ascii="SimSun" w:hAnsi="SimSun" w:eastAsia="SimSun" w:cs="SimSun"/>
          <w:sz w:val="24"/>
          <w:szCs w:val="24"/>
          <w:spacing w:val="-1"/>
        </w:rPr>
        <w:t>。</w:t>
      </w:r>
    </w:p>
    <w:p>
      <w:pPr>
        <w:ind w:firstLine="2126"/>
        <w:spacing w:before="145" w:line="3146" w:lineRule="exact"/>
        <w:rPr/>
      </w:pPr>
      <w:r>
        <w:rPr>
          <w:position w:val="-62"/>
        </w:rPr>
        <w:drawing>
          <wp:inline distT="0" distB="0" distL="0" distR="0">
            <wp:extent cx="2701289" cy="1997201"/>
            <wp:effectExtent l="0" t="0" r="0" b="0"/>
            <wp:docPr id="36" name="IM 36"/>
            <wp:cNvGraphicFramePr/>
            <a:graphic>
              <a:graphicData uri="http://schemas.openxmlformats.org/drawingml/2006/picture">
                <pic:pic>
                  <pic:nvPicPr>
                    <pic:cNvPr id="36" name="IM 36"/>
                    <pic:cNvPicPr/>
                  </pic:nvPicPr>
                  <pic:blipFill>
                    <a:blip r:embed="rId85"/>
                    <a:stretch>
                      <a:fillRect/>
                    </a:stretch>
                  </pic:blipFill>
                  <pic:spPr>
                    <a:xfrm rot="0">
                      <a:off x="0" y="0"/>
                      <a:ext cx="2701289" cy="1997201"/>
                    </a:xfrm>
                    <a:prstGeom prst="rect">
                      <a:avLst/>
                    </a:prstGeom>
                  </pic:spPr>
                </pic:pic>
              </a:graphicData>
            </a:graphic>
          </wp:inline>
        </w:drawing>
      </w:r>
    </w:p>
    <w:p>
      <w:pPr>
        <w:ind w:left="1475"/>
        <w:spacing w:before="176" w:line="219" w:lineRule="auto"/>
        <w:rPr>
          <w:rFonts w:ascii="SimSun" w:hAnsi="SimSun" w:eastAsia="SimSun" w:cs="SimSun"/>
          <w:sz w:val="24"/>
          <w:szCs w:val="24"/>
        </w:rPr>
      </w:pPr>
      <w:bookmarkStart w:name="bookmark56" w:id="69"/>
      <w:bookmarkEnd w:id="69"/>
      <w:r>
        <w:rPr>
          <w:rFonts w:ascii="SimSun" w:hAnsi="SimSun" w:eastAsia="SimSun" w:cs="SimSun"/>
          <w:sz w:val="24"/>
          <w:szCs w:val="24"/>
          <w:b/>
          <w:bCs/>
          <w:spacing w:val="-2"/>
        </w:rPr>
        <w:t>图</w:t>
      </w:r>
      <w:r>
        <w:rPr>
          <w:rFonts w:ascii="SimSun" w:hAnsi="SimSun" w:eastAsia="SimSun" w:cs="SimSun"/>
          <w:sz w:val="24"/>
          <w:szCs w:val="24"/>
          <w:spacing w:val="-56"/>
        </w:rPr>
        <w:t xml:space="preserve"> </w:t>
      </w:r>
      <w:r>
        <w:rPr>
          <w:rFonts w:ascii="Times New Roman" w:hAnsi="Times New Roman" w:eastAsia="Times New Roman" w:cs="Times New Roman"/>
          <w:sz w:val="24"/>
          <w:szCs w:val="24"/>
          <w:b/>
          <w:bCs/>
          <w:spacing w:val="-2"/>
        </w:rPr>
        <w:t>3.2-2        </w:t>
      </w:r>
      <w:r>
        <w:rPr>
          <w:rFonts w:ascii="SimSun" w:hAnsi="SimSun" w:eastAsia="SimSun" w:cs="SimSun"/>
          <w:sz w:val="24"/>
          <w:szCs w:val="24"/>
          <w:b/>
          <w:bCs/>
          <w:spacing w:val="-2"/>
        </w:rPr>
        <w:t>梳绒生产工艺流程及产污环</w:t>
      </w:r>
      <w:r>
        <w:rPr>
          <w:rFonts w:ascii="SimSun" w:hAnsi="SimSun" w:eastAsia="SimSun" w:cs="SimSun"/>
          <w:sz w:val="24"/>
          <w:szCs w:val="24"/>
          <w:b/>
          <w:bCs/>
          <w:spacing w:val="-3"/>
        </w:rPr>
        <w:t>节分析示意图</w:t>
      </w:r>
    </w:p>
    <w:p>
      <w:pPr>
        <w:ind w:left="12"/>
        <w:spacing w:before="305" w:line="221" w:lineRule="auto"/>
        <w:outlineLvl w:val="2"/>
        <w:rPr>
          <w:rFonts w:ascii="SimHei" w:hAnsi="SimHei" w:eastAsia="SimHei" w:cs="SimHei"/>
          <w:sz w:val="28"/>
          <w:szCs w:val="28"/>
        </w:rPr>
      </w:pPr>
      <w:bookmarkStart w:name="bookmark227" w:id="70"/>
      <w:bookmarkEnd w:id="70"/>
      <w:r>
        <w:rPr>
          <w:rFonts w:ascii="Times New Roman" w:hAnsi="Times New Roman" w:eastAsia="Times New Roman" w:cs="Times New Roman"/>
          <w:sz w:val="28"/>
          <w:szCs w:val="28"/>
          <w:spacing w:val="-1"/>
        </w:rPr>
        <w:t>3.2.3 </w:t>
      </w:r>
      <w:r>
        <w:rPr>
          <w:rFonts w:ascii="SimHei" w:hAnsi="SimHei" w:eastAsia="SimHei" w:cs="SimHei"/>
          <w:sz w:val="28"/>
          <w:szCs w:val="28"/>
          <w:spacing w:val="-1"/>
        </w:rPr>
        <w:t>厌氧发酵装置工艺流程及产污环节分析</w:t>
      </w:r>
    </w:p>
    <w:p>
      <w:pPr>
        <w:pStyle w:val="BodyText"/>
        <w:spacing w:line="246" w:lineRule="auto"/>
        <w:rPr/>
      </w:pPr>
      <w:r/>
    </w:p>
    <w:p>
      <w:pPr>
        <w:ind w:left="12" w:firstLine="478"/>
        <w:spacing w:before="79" w:line="359" w:lineRule="auto"/>
        <w:jc w:val="both"/>
        <w:rPr>
          <w:rFonts w:ascii="SimSun" w:hAnsi="SimSun" w:eastAsia="SimSun" w:cs="SimSun"/>
          <w:sz w:val="24"/>
          <w:szCs w:val="24"/>
        </w:rPr>
      </w:pPr>
      <w:r>
        <w:rPr>
          <w:rFonts w:ascii="SimSun" w:hAnsi="SimSun" w:eastAsia="SimSun" w:cs="SimSun"/>
          <w:sz w:val="24"/>
          <w:szCs w:val="24"/>
          <w:spacing w:val="-3"/>
        </w:rPr>
        <w:t>本项目采用“废水收集</w:t>
      </w:r>
      <w:r>
        <w:rPr>
          <w:rFonts w:ascii="Times New Roman" w:hAnsi="Times New Roman" w:eastAsia="Times New Roman" w:cs="Times New Roman"/>
          <w:sz w:val="24"/>
          <w:szCs w:val="24"/>
          <w:spacing w:val="-3"/>
        </w:rPr>
        <w:t>+</w:t>
      </w:r>
      <w:r>
        <w:rPr>
          <w:rFonts w:ascii="SimSun" w:hAnsi="SimSun" w:eastAsia="SimSun" w:cs="SimSun"/>
          <w:sz w:val="24"/>
          <w:szCs w:val="24"/>
          <w:spacing w:val="-3"/>
        </w:rPr>
        <w:t>废水调质</w:t>
      </w:r>
      <w:r>
        <w:rPr>
          <w:rFonts w:ascii="Times New Roman" w:hAnsi="Times New Roman" w:eastAsia="Times New Roman" w:cs="Times New Roman"/>
          <w:sz w:val="24"/>
          <w:szCs w:val="24"/>
          <w:spacing w:val="-3"/>
        </w:rPr>
        <w:t>+</w:t>
      </w:r>
      <w:r>
        <w:rPr>
          <w:rFonts w:ascii="SimSun" w:hAnsi="SimSun" w:eastAsia="SimSun" w:cs="SimSun"/>
          <w:sz w:val="24"/>
          <w:szCs w:val="24"/>
          <w:spacing w:val="-3"/>
        </w:rPr>
        <w:t>全混式中温厌氧发酵</w:t>
      </w:r>
      <w:r>
        <w:rPr>
          <w:rFonts w:ascii="Times New Roman" w:hAnsi="Times New Roman" w:eastAsia="Times New Roman" w:cs="Times New Roman"/>
          <w:sz w:val="24"/>
          <w:szCs w:val="24"/>
          <w:spacing w:val="-3"/>
        </w:rPr>
        <w:t>+</w:t>
      </w:r>
      <w:r>
        <w:rPr>
          <w:rFonts w:ascii="SimSun" w:hAnsi="SimSun" w:eastAsia="SimSun" w:cs="SimSun"/>
          <w:sz w:val="24"/>
          <w:szCs w:val="24"/>
          <w:spacing w:val="-3"/>
        </w:rPr>
        <w:t>沼气脱水</w:t>
      </w:r>
      <w:r>
        <w:rPr>
          <w:rFonts w:ascii="Times New Roman" w:hAnsi="Times New Roman" w:eastAsia="Times New Roman" w:cs="Times New Roman"/>
          <w:sz w:val="24"/>
          <w:szCs w:val="24"/>
          <w:spacing w:val="-3"/>
        </w:rPr>
        <w:t>+</w:t>
      </w:r>
      <w:r>
        <w:rPr>
          <w:rFonts w:ascii="SimSun" w:hAnsi="SimSun" w:eastAsia="SimSun" w:cs="SimSun"/>
          <w:sz w:val="24"/>
          <w:szCs w:val="24"/>
          <w:spacing w:val="-3"/>
        </w:rPr>
        <w:t>干法脱硫</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3"/>
        </w:rPr>
        <w:t xml:space="preserve"> </w:t>
      </w:r>
      <w:r>
        <w:rPr>
          <w:rFonts w:ascii="SimSun" w:hAnsi="SimSun" w:eastAsia="SimSun" w:cs="SimSun"/>
          <w:sz w:val="24"/>
          <w:szCs w:val="24"/>
          <w:spacing w:val="1"/>
        </w:rPr>
        <w:t>沼气利用</w:t>
      </w:r>
      <w:r>
        <w:rPr>
          <w:rFonts w:ascii="SimSun" w:hAnsi="SimSun" w:eastAsia="SimSun" w:cs="SimSun"/>
          <w:sz w:val="24"/>
          <w:szCs w:val="24"/>
          <w:spacing w:val="-86"/>
        </w:rPr>
        <w:t xml:space="preserve"> </w:t>
      </w:r>
      <w:r>
        <w:rPr>
          <w:rFonts w:ascii="SimSun" w:hAnsi="SimSun" w:eastAsia="SimSun" w:cs="SimSun"/>
          <w:sz w:val="24"/>
          <w:szCs w:val="24"/>
          <w:spacing w:val="1"/>
        </w:rPr>
        <w:t>”为核心的主体工艺技术，产生的</w:t>
      </w:r>
      <w:r>
        <w:rPr>
          <w:rFonts w:ascii="SimSun" w:hAnsi="SimSun" w:eastAsia="SimSun" w:cs="SimSun"/>
          <w:sz w:val="24"/>
          <w:szCs w:val="24"/>
        </w:rPr>
        <w:t>沼气全部供应本次建设的</w:t>
      </w:r>
      <w:r>
        <w:rPr>
          <w:rFonts w:ascii="SimSun" w:hAnsi="SimSun" w:eastAsia="SimSun" w:cs="SimSun"/>
          <w:sz w:val="24"/>
          <w:szCs w:val="24"/>
          <w:spacing w:val="-54"/>
        </w:rPr>
        <w:t xml:space="preserve"> </w:t>
      </w:r>
      <w:r>
        <w:rPr>
          <w:rFonts w:ascii="Times New Roman" w:hAnsi="Times New Roman" w:eastAsia="Times New Roman" w:cs="Times New Roman"/>
          <w:sz w:val="24"/>
          <w:szCs w:val="24"/>
        </w:rPr>
        <w:t>4t/h</w:t>
      </w:r>
      <w:r>
        <w:rPr>
          <w:rFonts w:ascii="Times New Roman" w:hAnsi="Times New Roman" w:eastAsia="Times New Roman" w:cs="Times New Roman"/>
          <w:sz w:val="24"/>
          <w:szCs w:val="24"/>
          <w:spacing w:val="17"/>
        </w:rPr>
        <w:t xml:space="preserve"> </w:t>
      </w:r>
      <w:r>
        <w:rPr>
          <w:rFonts w:ascii="SimSun" w:hAnsi="SimSun" w:eastAsia="SimSun" w:cs="SimSun"/>
          <w:sz w:val="24"/>
          <w:szCs w:val="24"/>
        </w:rPr>
        <w:t>沼气锅 </w:t>
      </w:r>
      <w:r>
        <w:rPr>
          <w:rFonts w:ascii="SimSun" w:hAnsi="SimSun" w:eastAsia="SimSun" w:cs="SimSun"/>
          <w:sz w:val="24"/>
          <w:szCs w:val="24"/>
          <w:spacing w:val="-7"/>
        </w:rPr>
        <w:t>炉。</w:t>
      </w:r>
    </w:p>
    <w:p>
      <w:pPr>
        <w:ind w:left="10" w:right="1" w:firstLine="480"/>
        <w:spacing w:line="360" w:lineRule="auto"/>
        <w:jc w:val="both"/>
        <w:rPr>
          <w:rFonts w:ascii="SimSun" w:hAnsi="SimSun" w:eastAsia="SimSun" w:cs="SimSun"/>
          <w:sz w:val="24"/>
          <w:szCs w:val="24"/>
        </w:rPr>
      </w:pPr>
      <w:r>
        <w:rPr>
          <w:rFonts w:ascii="SimSun" w:hAnsi="SimSun" w:eastAsia="SimSun" w:cs="SimSun"/>
          <w:sz w:val="24"/>
          <w:szCs w:val="24"/>
          <w:spacing w:val="3"/>
        </w:rPr>
        <w:t>厌氧发酵生产线原料主要为本项目洗毛车间生产废水和冲</w:t>
      </w:r>
      <w:r>
        <w:rPr>
          <w:rFonts w:ascii="SimSun" w:hAnsi="SimSun" w:eastAsia="SimSun" w:cs="SimSun"/>
          <w:sz w:val="24"/>
          <w:szCs w:val="24"/>
          <w:spacing w:val="2"/>
        </w:rPr>
        <w:t>厕废水，发酵系统</w:t>
      </w:r>
      <w:r>
        <w:rPr>
          <w:rFonts w:ascii="SimSun" w:hAnsi="SimSun" w:eastAsia="SimSun" w:cs="SimSun"/>
          <w:sz w:val="24"/>
          <w:szCs w:val="24"/>
        </w:rPr>
        <w:t xml:space="preserve"> </w:t>
      </w:r>
      <w:r>
        <w:rPr>
          <w:rFonts w:ascii="SimSun" w:hAnsi="SimSun" w:eastAsia="SimSun" w:cs="SimSun"/>
          <w:sz w:val="24"/>
          <w:szCs w:val="24"/>
          <w:spacing w:val="-2"/>
        </w:rPr>
        <w:t>设计进水量为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150m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、厌氧停留时间</w:t>
      </w:r>
      <w:r>
        <w:rPr>
          <w:rFonts w:ascii="Times New Roman" w:hAnsi="Times New Roman" w:eastAsia="Times New Roman" w:cs="Times New Roman"/>
          <w:sz w:val="24"/>
          <w:szCs w:val="24"/>
          <w:spacing w:val="-2"/>
        </w:rPr>
        <w:t>~20d</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、容积产气率</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0.8~3.0m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15"/>
          <w:szCs w:val="15"/>
          <w:spacing w:val="-13"/>
          <w:position w:val="7"/>
        </w:rPr>
        <w:t xml:space="preserve"> </w:t>
      </w:r>
      <w:r>
        <w:rPr>
          <w:rFonts w:ascii="SimSun" w:hAnsi="SimSun" w:eastAsia="SimSun" w:cs="SimSun"/>
          <w:sz w:val="24"/>
          <w:szCs w:val="24"/>
          <w:spacing w:val="-2"/>
        </w:rPr>
        <w:t>、发酵温度</w:t>
      </w:r>
      <w:r>
        <w:rPr>
          <w:rFonts w:ascii="SimSun" w:hAnsi="SimSun" w:eastAsia="SimSun" w:cs="SimSun"/>
          <w:sz w:val="24"/>
          <w:szCs w:val="24"/>
        </w:rPr>
        <w:t xml:space="preserve"> </w:t>
      </w:r>
      <w:r>
        <w:rPr>
          <w:rFonts w:ascii="Times New Roman" w:hAnsi="Times New Roman" w:eastAsia="Times New Roman" w:cs="Times New Roman"/>
          <w:sz w:val="24"/>
          <w:szCs w:val="24"/>
          <w:spacing w:val="-2"/>
        </w:rPr>
        <w:t>35±1℃</w:t>
      </w:r>
      <w:r>
        <w:rPr>
          <w:rFonts w:ascii="Times New Roman" w:hAnsi="Times New Roman" w:eastAsia="Times New Roman" w:cs="Times New Roman"/>
          <w:sz w:val="24"/>
          <w:szCs w:val="24"/>
          <w:spacing w:val="-11"/>
        </w:rPr>
        <w:t xml:space="preserve"> </w:t>
      </w:r>
      <w:r>
        <w:rPr>
          <w:rFonts w:ascii="SimSun" w:hAnsi="SimSun" w:eastAsia="SimSun" w:cs="SimSun"/>
          <w:sz w:val="24"/>
          <w:szCs w:val="24"/>
          <w:spacing w:val="-2"/>
        </w:rPr>
        <w:t>。本项目厌氧发酵装置工艺流程及产污环节分析示意见图</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3.2-3</w:t>
      </w:r>
      <w:r>
        <w:rPr>
          <w:rFonts w:ascii="SimSun" w:hAnsi="SimSun" w:eastAsia="SimSun" w:cs="SimSun"/>
          <w:sz w:val="24"/>
          <w:szCs w:val="24"/>
          <w:spacing w:val="-2"/>
        </w:rPr>
        <w:t>。</w:t>
      </w:r>
    </w:p>
    <w:p>
      <w:pPr>
        <w:pStyle w:val="BodyText"/>
        <w:spacing w:line="242" w:lineRule="auto"/>
        <w:rPr/>
      </w:pPr>
      <w:r/>
    </w:p>
    <w:p>
      <w:pPr>
        <w:pStyle w:val="BodyText"/>
        <w:spacing w:line="242"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ind w:left="7"/>
        <w:spacing w:before="62" w:line="227" w:lineRule="auto"/>
        <w:rPr>
          <w:rFonts w:ascii="SimSun" w:hAnsi="SimSun" w:eastAsia="SimSun" w:cs="SimSun"/>
          <w:sz w:val="19"/>
          <w:szCs w:val="19"/>
        </w:rPr>
      </w:pPr>
      <w:r>
        <w:pict>
          <v:shape id="_x0000_s380" style="position:absolute;margin-left:159.33pt;margin-top:2.09845pt;mso-position-vertical-relative:text;mso-position-horizontal-relative:text;width:58.85pt;height:13.75pt;z-index:251829248;"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28"/>
                    </w:rPr>
                    <w:t xml:space="preserve">   </w:t>
                  </w:r>
                  <w:r>
                    <w:rPr>
                      <w:rFonts w:ascii="Times New Roman" w:hAnsi="Times New Roman" w:eastAsia="Times New Roman" w:cs="Times New Roman"/>
                      <w:sz w:val="18"/>
                      <w:szCs w:val="18"/>
                      <w:spacing w:val="3"/>
                      <w:position w:val="2"/>
                    </w:rPr>
                    <w:t>75</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2"/>
          <w:pgSz w:w="11907" w:h="16840"/>
          <w:pgMar w:top="1567" w:right="1700" w:bottom="400" w:left="1701" w:header="1221" w:footer="0" w:gutter="0"/>
        </w:sectPr>
        <w:rPr>
          <w:rFonts w:ascii="SimSun" w:hAnsi="SimSun" w:eastAsia="SimSun" w:cs="SimSun"/>
          <w:sz w:val="19"/>
          <w:szCs w:val="19"/>
        </w:rPr>
      </w:pPr>
    </w:p>
    <w:p>
      <w:pPr>
        <w:spacing w:before="133" w:line="7400" w:lineRule="exact"/>
        <w:rPr/>
      </w:pPr>
      <w:r>
        <w:pict>
          <v:shape id="_x0000_s386" style="position:absolute;margin-left:85.05pt;margin-top:78.87pt;mso-position-vertical-relative:page;mso-position-horizontal-relative:page;width:425.25pt;height:0.75pt;z-index:251832320;" o:allowincell="f" fillcolor="#000000" filled="true" stroked="false" coordsize="8505,15" coordorigin="0,0" path="m,l8505,0l8505,14l0,14l0,0xe"/>
        </w:pict>
      </w:r>
      <w:r>
        <w:rPr>
          <w:position w:val="-148"/>
        </w:rPr>
        <w:drawing>
          <wp:inline distT="0" distB="0" distL="0" distR="0">
            <wp:extent cx="5417057" cy="4699254"/>
            <wp:effectExtent l="0" t="0" r="0" b="0"/>
            <wp:docPr id="38" name="IM 38"/>
            <wp:cNvGraphicFramePr/>
            <a:graphic>
              <a:graphicData uri="http://schemas.openxmlformats.org/drawingml/2006/picture">
                <pic:pic>
                  <pic:nvPicPr>
                    <pic:cNvPr id="38" name="IM 38"/>
                    <pic:cNvPicPr/>
                  </pic:nvPicPr>
                  <pic:blipFill>
                    <a:blip r:embed="rId87"/>
                    <a:stretch>
                      <a:fillRect/>
                    </a:stretch>
                  </pic:blipFill>
                  <pic:spPr>
                    <a:xfrm rot="0">
                      <a:off x="0" y="0"/>
                      <a:ext cx="5417057" cy="4699254"/>
                    </a:xfrm>
                    <a:prstGeom prst="rect">
                      <a:avLst/>
                    </a:prstGeom>
                  </pic:spPr>
                </pic:pic>
              </a:graphicData>
            </a:graphic>
          </wp:inline>
        </w:drawing>
      </w:r>
    </w:p>
    <w:p>
      <w:pPr>
        <w:ind w:left="1295"/>
        <w:spacing w:before="36" w:line="219" w:lineRule="auto"/>
        <w:rPr>
          <w:rFonts w:ascii="SimSun" w:hAnsi="SimSun" w:eastAsia="SimSun" w:cs="SimSun"/>
          <w:sz w:val="24"/>
          <w:szCs w:val="24"/>
        </w:rPr>
      </w:pPr>
      <w:r>
        <w:rPr>
          <w:rFonts w:ascii="SimSun" w:hAnsi="SimSun" w:eastAsia="SimSun" w:cs="SimSun"/>
          <w:sz w:val="24"/>
          <w:szCs w:val="24"/>
          <w:b/>
          <w:bCs/>
          <w:spacing w:val="-2"/>
        </w:rPr>
        <w:t>图</w:t>
      </w:r>
      <w:r>
        <w:rPr>
          <w:rFonts w:ascii="SimSun" w:hAnsi="SimSun" w:eastAsia="SimSun" w:cs="SimSun"/>
          <w:sz w:val="24"/>
          <w:szCs w:val="24"/>
          <w:spacing w:val="-56"/>
        </w:rPr>
        <w:t xml:space="preserve"> </w:t>
      </w:r>
      <w:r>
        <w:rPr>
          <w:rFonts w:ascii="Times New Roman" w:hAnsi="Times New Roman" w:eastAsia="Times New Roman" w:cs="Times New Roman"/>
          <w:sz w:val="24"/>
          <w:szCs w:val="24"/>
          <w:b/>
          <w:bCs/>
          <w:spacing w:val="-2"/>
        </w:rPr>
        <w:t>3.2-3      </w:t>
      </w:r>
      <w:r>
        <w:rPr>
          <w:rFonts w:ascii="SimSun" w:hAnsi="SimSun" w:eastAsia="SimSun" w:cs="SimSun"/>
          <w:sz w:val="24"/>
          <w:szCs w:val="24"/>
          <w:b/>
          <w:bCs/>
          <w:spacing w:val="-2"/>
        </w:rPr>
        <w:t>厌氧发酵装置工艺流程及</w:t>
      </w:r>
      <w:r>
        <w:rPr>
          <w:rFonts w:ascii="SimSun" w:hAnsi="SimSun" w:eastAsia="SimSun" w:cs="SimSun"/>
          <w:sz w:val="24"/>
          <w:szCs w:val="24"/>
          <w:b/>
          <w:bCs/>
          <w:spacing w:val="-3"/>
        </w:rPr>
        <w:t>产污环节分析示意图</w:t>
      </w:r>
    </w:p>
    <w:p>
      <w:pPr>
        <w:ind w:left="4"/>
        <w:spacing w:before="181"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3.2.3.1 </w:t>
      </w:r>
      <w:r>
        <w:rPr>
          <w:rFonts w:ascii="SimSun" w:hAnsi="SimSun" w:eastAsia="SimSun" w:cs="SimSun"/>
          <w:sz w:val="24"/>
          <w:szCs w:val="24"/>
          <w:b/>
          <w:bCs/>
          <w:spacing w:val="-1"/>
        </w:rPr>
        <w:t>废水收集</w:t>
      </w:r>
    </w:p>
    <w:p>
      <w:pPr>
        <w:ind w:left="8" w:right="24" w:firstLine="481"/>
        <w:spacing w:before="184" w:line="359" w:lineRule="auto"/>
        <w:jc w:val="both"/>
        <w:rPr>
          <w:rFonts w:ascii="SimSun" w:hAnsi="SimSun" w:eastAsia="SimSun" w:cs="SimSun"/>
          <w:sz w:val="24"/>
          <w:szCs w:val="24"/>
        </w:rPr>
      </w:pPr>
      <w:r>
        <w:rPr>
          <w:rFonts w:ascii="SimSun" w:hAnsi="SimSun" w:eastAsia="SimSun" w:cs="SimSun"/>
          <w:sz w:val="24"/>
          <w:szCs w:val="24"/>
          <w:spacing w:val="3"/>
        </w:rPr>
        <w:t>本项目厌氧发酵装置主要废水来源为洗毛废水、洗毛车间</w:t>
      </w:r>
      <w:r>
        <w:rPr>
          <w:rFonts w:ascii="SimSun" w:hAnsi="SimSun" w:eastAsia="SimSun" w:cs="SimSun"/>
          <w:sz w:val="24"/>
          <w:szCs w:val="24"/>
          <w:spacing w:val="2"/>
        </w:rPr>
        <w:t>地面冲洗水、冲厕</w:t>
      </w:r>
      <w:r>
        <w:rPr>
          <w:rFonts w:ascii="SimSun" w:hAnsi="SimSun" w:eastAsia="SimSun" w:cs="SimSun"/>
          <w:sz w:val="24"/>
          <w:szCs w:val="24"/>
        </w:rPr>
        <w:t xml:space="preserve"> </w:t>
      </w:r>
      <w:r>
        <w:rPr>
          <w:rFonts w:ascii="SimSun" w:hAnsi="SimSun" w:eastAsia="SimSun" w:cs="SimSun"/>
          <w:sz w:val="24"/>
          <w:szCs w:val="24"/>
          <w:spacing w:val="3"/>
        </w:rPr>
        <w:t>废水。西厂区洗毛废水和洗毛车间地面冲洗水通过车间管</w:t>
      </w:r>
      <w:r>
        <w:rPr>
          <w:rFonts w:ascii="SimSun" w:hAnsi="SimSun" w:eastAsia="SimSun" w:cs="SimSun"/>
          <w:sz w:val="24"/>
          <w:szCs w:val="24"/>
          <w:spacing w:val="2"/>
        </w:rPr>
        <w:t>道（槽）收集至废水收</w:t>
      </w:r>
      <w:r>
        <w:rPr>
          <w:rFonts w:ascii="SimSun" w:hAnsi="SimSun" w:eastAsia="SimSun" w:cs="SimSun"/>
          <w:sz w:val="24"/>
          <w:szCs w:val="24"/>
        </w:rPr>
        <w:t xml:space="preserve"> </w:t>
      </w:r>
      <w:r>
        <w:rPr>
          <w:rFonts w:ascii="SimSun" w:hAnsi="SimSun" w:eastAsia="SimSun" w:cs="SimSun"/>
          <w:sz w:val="24"/>
          <w:szCs w:val="24"/>
          <w:spacing w:val="1"/>
        </w:rPr>
        <w:t>集池（</w:t>
      </w:r>
      <w:r>
        <w:rPr>
          <w:rFonts w:ascii="Times New Roman" w:hAnsi="Times New Roman" w:eastAsia="Times New Roman" w:cs="Times New Roman"/>
          <w:sz w:val="24"/>
          <w:szCs w:val="24"/>
          <w:spacing w:val="1"/>
        </w:rPr>
        <w:t>64m</w:t>
      </w:r>
      <w:r>
        <w:rPr>
          <w:rFonts w:ascii="Times New Roman" w:hAnsi="Times New Roman" w:eastAsia="Times New Roman" w:cs="Times New Roman"/>
          <w:sz w:val="15"/>
          <w:szCs w:val="15"/>
          <w:spacing w:val="1"/>
          <w:position w:val="8"/>
        </w:rPr>
        <w:t>3 </w:t>
      </w:r>
      <w:r>
        <w:rPr>
          <w:rFonts w:ascii="SimSun" w:hAnsi="SimSun" w:eastAsia="SimSun" w:cs="SimSun"/>
          <w:sz w:val="24"/>
          <w:szCs w:val="24"/>
          <w:spacing w:val="-1"/>
        </w:rPr>
        <w:t>），</w:t>
      </w:r>
      <w:r>
        <w:rPr>
          <w:rFonts w:ascii="SimSun" w:hAnsi="SimSun" w:eastAsia="SimSun" w:cs="SimSun"/>
          <w:sz w:val="24"/>
          <w:szCs w:val="24"/>
          <w:spacing w:val="1"/>
        </w:rPr>
        <w:t>冲厕废水通过管道输送至废水收集池。东厂区洗毛废水和洗毛车</w:t>
      </w:r>
      <w:r>
        <w:rPr>
          <w:rFonts w:ascii="SimSun" w:hAnsi="SimSun" w:eastAsia="SimSun" w:cs="SimSun"/>
          <w:sz w:val="24"/>
          <w:szCs w:val="24"/>
        </w:rPr>
        <w:t xml:space="preserve"> </w:t>
      </w:r>
      <w:r>
        <w:rPr>
          <w:rFonts w:ascii="SimSun" w:hAnsi="SimSun" w:eastAsia="SimSun" w:cs="SimSun"/>
          <w:sz w:val="24"/>
          <w:szCs w:val="24"/>
          <w:spacing w:val="1"/>
        </w:rPr>
        <w:t>间地面冲洗水通过车间管道（槽）收集至洗毛水收集池（</w:t>
      </w:r>
      <w:r>
        <w:rPr>
          <w:rFonts w:ascii="Times New Roman" w:hAnsi="Times New Roman" w:eastAsia="Times New Roman" w:cs="Times New Roman"/>
          <w:sz w:val="24"/>
          <w:szCs w:val="24"/>
          <w:spacing w:val="1"/>
        </w:rPr>
        <w:t>10m</w:t>
      </w:r>
      <w:r>
        <w:rPr>
          <w:rFonts w:ascii="Times New Roman" w:hAnsi="Times New Roman" w:eastAsia="Times New Roman" w:cs="Times New Roman"/>
          <w:sz w:val="15"/>
          <w:szCs w:val="15"/>
          <w:spacing w:val="1"/>
          <w:position w:val="7"/>
        </w:rPr>
        <w:t>3 </w:t>
      </w:r>
      <w:r>
        <w:rPr>
          <w:rFonts w:ascii="SimSun" w:hAnsi="SimSun" w:eastAsia="SimSun" w:cs="SimSun"/>
          <w:sz w:val="24"/>
          <w:szCs w:val="24"/>
          <w:spacing w:val="-1"/>
        </w:rPr>
        <w:t>），</w:t>
      </w:r>
      <w:r>
        <w:rPr>
          <w:rFonts w:ascii="SimSun" w:hAnsi="SimSun" w:eastAsia="SimSun" w:cs="SimSun"/>
          <w:sz w:val="24"/>
          <w:szCs w:val="24"/>
          <w:spacing w:val="1"/>
        </w:rPr>
        <w:t>冲厕废水进入</w:t>
      </w:r>
      <w:r>
        <w:rPr>
          <w:rFonts w:ascii="SimSun" w:hAnsi="SimSun" w:eastAsia="SimSun" w:cs="SimSun"/>
          <w:sz w:val="24"/>
          <w:szCs w:val="24"/>
        </w:rPr>
        <w:t xml:space="preserve"> </w:t>
      </w:r>
      <w:r>
        <w:rPr>
          <w:rFonts w:ascii="SimSun" w:hAnsi="SimSun" w:eastAsia="SimSun" w:cs="SimSun"/>
          <w:sz w:val="24"/>
          <w:szCs w:val="24"/>
          <w:spacing w:val="-1"/>
        </w:rPr>
        <w:t>洗毛水收集池，一起通过管道输送至西厂区废水收集池。</w:t>
      </w:r>
    </w:p>
    <w:p>
      <w:pPr>
        <w:ind w:left="7" w:right="26" w:firstLine="481"/>
        <w:spacing w:before="3" w:line="358" w:lineRule="auto"/>
        <w:jc w:val="both"/>
        <w:rPr>
          <w:rFonts w:ascii="SimSun" w:hAnsi="SimSun" w:eastAsia="SimSun" w:cs="SimSun"/>
          <w:sz w:val="24"/>
          <w:szCs w:val="24"/>
        </w:rPr>
      </w:pPr>
      <w:r>
        <w:rPr>
          <w:rFonts w:ascii="SimSun" w:hAnsi="SimSun" w:eastAsia="SimSun" w:cs="SimSun"/>
          <w:sz w:val="24"/>
          <w:szCs w:val="24"/>
          <w:spacing w:val="3"/>
        </w:rPr>
        <w:t>洗毛废水中的粪便、泥土一起进入废水收集池，粪便溶于废水</w:t>
      </w:r>
      <w:r>
        <w:rPr>
          <w:rFonts w:ascii="SimSun" w:hAnsi="SimSun" w:eastAsia="SimSun" w:cs="SimSun"/>
          <w:sz w:val="24"/>
          <w:szCs w:val="24"/>
          <w:spacing w:val="2"/>
        </w:rPr>
        <w:t>，与废水进入</w:t>
      </w:r>
      <w:r>
        <w:rPr>
          <w:rFonts w:ascii="SimSun" w:hAnsi="SimSun" w:eastAsia="SimSun" w:cs="SimSun"/>
          <w:sz w:val="24"/>
          <w:szCs w:val="24"/>
        </w:rPr>
        <w:t xml:space="preserve"> </w:t>
      </w:r>
      <w:r>
        <w:rPr>
          <w:rFonts w:ascii="Times New Roman" w:hAnsi="Times New Roman" w:eastAsia="Times New Roman" w:cs="Times New Roman"/>
          <w:sz w:val="24"/>
          <w:szCs w:val="24"/>
        </w:rPr>
        <w:t>TS </w:t>
      </w:r>
      <w:r>
        <w:rPr>
          <w:rFonts w:ascii="SimSun" w:hAnsi="SimSun" w:eastAsia="SimSun" w:cs="SimSun"/>
          <w:sz w:val="24"/>
          <w:szCs w:val="24"/>
        </w:rPr>
        <w:t>调节池调质后，进入厌氧发酵罐发酵；泥土沉淀至废水收集池底</w:t>
      </w:r>
      <w:r>
        <w:rPr>
          <w:rFonts w:ascii="SimSun" w:hAnsi="SimSun" w:eastAsia="SimSun" w:cs="SimSun"/>
          <w:sz w:val="24"/>
          <w:szCs w:val="24"/>
          <w:spacing w:val="-1"/>
        </w:rPr>
        <w:t>部（洗毛工段</w:t>
      </w:r>
      <w:r>
        <w:rPr>
          <w:rFonts w:ascii="SimSun" w:hAnsi="SimSun" w:eastAsia="SimSun" w:cs="SimSun"/>
          <w:sz w:val="24"/>
          <w:szCs w:val="24"/>
        </w:rPr>
        <w:t xml:space="preserve"> </w:t>
      </w:r>
      <w:r>
        <w:rPr>
          <w:rFonts w:ascii="SimSun" w:hAnsi="SimSun" w:eastAsia="SimSun" w:cs="SimSun"/>
          <w:sz w:val="24"/>
          <w:szCs w:val="24"/>
          <w:spacing w:val="-2"/>
        </w:rPr>
        <w:t>已给出</w:t>
      </w:r>
      <w:r>
        <w:rPr>
          <w:rFonts w:ascii="SimSun" w:hAnsi="SimSun" w:eastAsia="SimSun" w:cs="SimSun"/>
          <w:sz w:val="24"/>
          <w:szCs w:val="24"/>
          <w:spacing w:val="7"/>
        </w:rPr>
        <w:t>），</w:t>
      </w:r>
      <w:r>
        <w:rPr>
          <w:rFonts w:ascii="SimSun" w:hAnsi="SimSun" w:eastAsia="SimSun" w:cs="SimSun"/>
          <w:sz w:val="24"/>
          <w:szCs w:val="24"/>
          <w:spacing w:val="-2"/>
        </w:rPr>
        <w:t>沉淀杂质定期清掏。</w:t>
      </w:r>
    </w:p>
    <w:p>
      <w:pPr>
        <w:ind w:left="4"/>
        <w:spacing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3.2.3.2 </w:t>
      </w:r>
      <w:r>
        <w:rPr>
          <w:rFonts w:ascii="SimSun" w:hAnsi="SimSun" w:eastAsia="SimSun" w:cs="SimSun"/>
          <w:sz w:val="24"/>
          <w:szCs w:val="24"/>
          <w:b/>
          <w:bCs/>
          <w:spacing w:val="-1"/>
        </w:rPr>
        <w:t>调节废水中固体浓度（</w:t>
      </w:r>
      <w:r>
        <w:rPr>
          <w:rFonts w:ascii="Times New Roman" w:hAnsi="Times New Roman" w:eastAsia="Times New Roman" w:cs="Times New Roman"/>
          <w:sz w:val="24"/>
          <w:szCs w:val="24"/>
          <w:b/>
          <w:bCs/>
          <w:spacing w:val="-1"/>
        </w:rPr>
        <w:t>T</w:t>
      </w:r>
      <w:r>
        <w:rPr>
          <w:rFonts w:ascii="Times New Roman" w:hAnsi="Times New Roman" w:eastAsia="Times New Roman" w:cs="Times New Roman"/>
          <w:sz w:val="24"/>
          <w:szCs w:val="24"/>
          <w:b/>
          <w:bCs/>
          <w:spacing w:val="-2"/>
        </w:rPr>
        <w:t>S </w:t>
      </w:r>
      <w:r>
        <w:rPr>
          <w:rFonts w:ascii="SimSun" w:hAnsi="SimSun" w:eastAsia="SimSun" w:cs="SimSun"/>
          <w:sz w:val="24"/>
          <w:szCs w:val="24"/>
          <w:b/>
          <w:bCs/>
          <w:spacing w:val="-2"/>
        </w:rPr>
        <w:t>调节）</w:t>
      </w:r>
    </w:p>
    <w:p>
      <w:pPr>
        <w:ind w:left="10" w:right="27" w:firstLine="477"/>
        <w:spacing w:before="181" w:line="362" w:lineRule="auto"/>
        <w:rPr>
          <w:rFonts w:ascii="SimSun" w:hAnsi="SimSun" w:eastAsia="SimSun" w:cs="SimSun"/>
          <w:sz w:val="24"/>
          <w:szCs w:val="24"/>
        </w:rPr>
      </w:pPr>
      <w:r>
        <w:rPr>
          <w:rFonts w:ascii="SimSun" w:hAnsi="SimSun" w:eastAsia="SimSun" w:cs="SimSun"/>
          <w:sz w:val="24"/>
          <w:szCs w:val="24"/>
          <w:spacing w:val="1"/>
        </w:rPr>
        <w:t>进入到废水收集池的废水干物质含固率为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2%-3%</w:t>
      </w:r>
      <w:r>
        <w:rPr>
          <w:rFonts w:ascii="SimSun" w:hAnsi="SimSun" w:eastAsia="SimSun" w:cs="SimSun"/>
          <w:sz w:val="24"/>
          <w:szCs w:val="24"/>
          <w:spacing w:val="1"/>
        </w:rPr>
        <w:t>左右，达不到</w:t>
      </w:r>
      <w:r>
        <w:rPr>
          <w:rFonts w:ascii="SimSun" w:hAnsi="SimSun" w:eastAsia="SimSun" w:cs="SimSun"/>
          <w:sz w:val="24"/>
          <w:szCs w:val="24"/>
        </w:rPr>
        <w:t>厌氧发酵产沼 </w:t>
      </w:r>
      <w:r>
        <w:rPr>
          <w:rFonts w:ascii="SimSun" w:hAnsi="SimSun" w:eastAsia="SimSun" w:cs="SimSun"/>
          <w:sz w:val="24"/>
          <w:szCs w:val="24"/>
          <w:spacing w:val="1"/>
        </w:rPr>
        <w:t>气的条件，需要调节废水中</w:t>
      </w:r>
      <w:r>
        <w:rPr>
          <w:rFonts w:ascii="Times New Roman" w:hAnsi="Times New Roman" w:eastAsia="Times New Roman" w:cs="Times New Roman"/>
          <w:sz w:val="24"/>
          <w:szCs w:val="24"/>
        </w:rPr>
        <w:t>TS</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浓度至</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1"/>
        </w:rPr>
        <w:t>6%</w:t>
      </w:r>
      <w:r>
        <w:rPr>
          <w:rFonts w:ascii="SimSun" w:hAnsi="SimSun" w:eastAsia="SimSun" w:cs="SimSun"/>
          <w:sz w:val="24"/>
          <w:szCs w:val="24"/>
          <w:spacing w:val="1"/>
        </w:rPr>
        <w:t>以上。</w:t>
      </w:r>
    </w:p>
    <w:p>
      <w:pPr>
        <w:ind w:right="27"/>
        <w:spacing w:before="145" w:line="227" w:lineRule="auto"/>
        <w:jc w:val="right"/>
        <w:rPr>
          <w:rFonts w:ascii="SimSun" w:hAnsi="SimSun" w:eastAsia="SimSun" w:cs="SimSun"/>
          <w:sz w:val="19"/>
          <w:szCs w:val="19"/>
        </w:rPr>
      </w:pPr>
      <w:r>
        <w:pict>
          <v:shape id="_x0000_s388" style="position:absolute;margin-left:207.442pt;margin-top:6.26814pt;mso-position-vertical-relative:text;mso-position-horizontal-relative:text;width:58.8pt;height:13.75pt;z-index:251831296;"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3"/>
                      <w:position w:val="2"/>
                    </w:rPr>
                    <w:t>76</w:t>
                  </w:r>
                  <w:r>
                    <w:rPr>
                      <w:rFonts w:ascii="Times New Roman" w:hAnsi="Times New Roman" w:eastAsia="Times New Roman" w:cs="Times New Roman"/>
                      <w:sz w:val="18"/>
                      <w:szCs w:val="18"/>
                      <w:spacing w:val="1"/>
                      <w:position w:val="2"/>
                    </w:rPr>
                    <w:t xml:space="preserve">        </w:t>
                  </w:r>
                  <w:r>
                    <w:rPr>
                      <w:rFonts w:ascii="SimSun" w:hAnsi="SimSun" w:eastAsia="SimSun" w:cs="SimSun"/>
                      <w:sz w:val="19"/>
                      <w:szCs w:val="19"/>
                      <w:spacing w:val="3"/>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86"/>
          <w:pgSz w:w="11907" w:h="16840"/>
          <w:pgMar w:top="1567" w:right="1675" w:bottom="400" w:left="1701" w:header="1221" w:footer="0" w:gutter="0"/>
        </w:sectPr>
        <w:rPr>
          <w:rFonts w:ascii="SimSun" w:hAnsi="SimSun" w:eastAsia="SimSun" w:cs="SimSun"/>
          <w:sz w:val="19"/>
          <w:szCs w:val="19"/>
        </w:rPr>
      </w:pPr>
    </w:p>
    <w:p>
      <w:pPr>
        <w:ind w:left="10" w:firstLine="478"/>
        <w:spacing w:before="187" w:line="359" w:lineRule="auto"/>
        <w:rPr>
          <w:rFonts w:ascii="SimSun" w:hAnsi="SimSun" w:eastAsia="SimSun" w:cs="SimSun"/>
          <w:sz w:val="24"/>
          <w:szCs w:val="24"/>
        </w:rPr>
      </w:pPr>
      <w:r>
        <w:pict>
          <v:shape id="_x0000_s390" style="position:absolute;margin-left:85.05pt;margin-top:79.11pt;mso-position-vertical-relative:page;mso-position-horizontal-relative:page;width:425.25pt;height:0.75pt;z-index:251834368;" o:allowincell="f" fillcolor="#000000" filled="true" stroked="false" coordsize="8505,15" coordorigin="0,0" path="m,l8505,0l8505,14l0,14l0,0xe"/>
        </w:pict>
      </w:r>
      <w:r>
        <w:rPr>
          <w:rFonts w:ascii="SimSun" w:hAnsi="SimSun" w:eastAsia="SimSun" w:cs="SimSun"/>
          <w:sz w:val="24"/>
          <w:szCs w:val="24"/>
        </w:rPr>
        <w:t>废水经废水收集池收集后进入</w:t>
      </w:r>
      <w:r>
        <w:rPr>
          <w:rFonts w:ascii="SimSun" w:hAnsi="SimSun" w:eastAsia="SimSun" w:cs="SimSun"/>
          <w:sz w:val="24"/>
          <w:szCs w:val="24"/>
          <w:spacing w:val="-53"/>
        </w:rPr>
        <w:t xml:space="preserve"> </w:t>
      </w:r>
      <w:r>
        <w:rPr>
          <w:rFonts w:ascii="Times New Roman" w:hAnsi="Times New Roman" w:eastAsia="Times New Roman" w:cs="Times New Roman"/>
          <w:sz w:val="24"/>
          <w:szCs w:val="24"/>
        </w:rPr>
        <w:t>TS </w:t>
      </w:r>
      <w:r>
        <w:rPr>
          <w:rFonts w:ascii="SimSun" w:hAnsi="SimSun" w:eastAsia="SimSun" w:cs="SimSun"/>
          <w:sz w:val="24"/>
          <w:szCs w:val="24"/>
        </w:rPr>
        <w:t>调节池，在</w:t>
      </w:r>
      <w:r>
        <w:rPr>
          <w:rFonts w:ascii="SimSun" w:hAnsi="SimSun" w:eastAsia="SimSun" w:cs="SimSun"/>
          <w:sz w:val="24"/>
          <w:szCs w:val="24"/>
          <w:spacing w:val="-51"/>
        </w:rPr>
        <w:t xml:space="preserve"> </w:t>
      </w:r>
      <w:r>
        <w:rPr>
          <w:rFonts w:ascii="Times New Roman" w:hAnsi="Times New Roman" w:eastAsia="Times New Roman" w:cs="Times New Roman"/>
          <w:sz w:val="24"/>
          <w:szCs w:val="24"/>
        </w:rPr>
        <w:t>TS </w:t>
      </w:r>
      <w:r>
        <w:rPr>
          <w:rFonts w:ascii="SimSun" w:hAnsi="SimSun" w:eastAsia="SimSun" w:cs="SimSun"/>
          <w:sz w:val="24"/>
          <w:szCs w:val="24"/>
        </w:rPr>
        <w:t>调节池中添加外购动物粪便 </w:t>
      </w:r>
      <w:r>
        <w:rPr>
          <w:rFonts w:ascii="SimSun" w:hAnsi="SimSun" w:eastAsia="SimSun" w:cs="SimSun"/>
          <w:sz w:val="24"/>
          <w:szCs w:val="24"/>
          <w:spacing w:val="-3"/>
        </w:rPr>
        <w:t>（牛、羊粪等）调节废水中的</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3"/>
        </w:rPr>
        <w:t>TS</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，调节</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3"/>
        </w:rPr>
        <w:t>TS </w:t>
      </w:r>
      <w:r>
        <w:rPr>
          <w:rFonts w:ascii="SimSun" w:hAnsi="SimSun" w:eastAsia="SimSun" w:cs="SimSun"/>
          <w:sz w:val="24"/>
          <w:szCs w:val="24"/>
          <w:spacing w:val="-3"/>
        </w:rPr>
        <w:t>浓度至</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6%</w:t>
      </w:r>
      <w:r>
        <w:rPr>
          <w:rFonts w:ascii="SimSun" w:hAnsi="SimSun" w:eastAsia="SimSun" w:cs="SimSun"/>
          <w:sz w:val="24"/>
          <w:szCs w:val="24"/>
          <w:spacing w:val="-3"/>
        </w:rPr>
        <w:t>以上，</w:t>
      </w:r>
      <w:r>
        <w:rPr>
          <w:rFonts w:ascii="SimSun" w:hAnsi="SimSun" w:eastAsia="SimSun" w:cs="SimSun"/>
          <w:sz w:val="24"/>
          <w:szCs w:val="24"/>
          <w:spacing w:val="-4"/>
        </w:rPr>
        <w:t>达到厌氧发酵产沼气</w:t>
      </w:r>
      <w:r>
        <w:rPr>
          <w:rFonts w:ascii="SimSun" w:hAnsi="SimSun" w:eastAsia="SimSun" w:cs="SimSun"/>
          <w:sz w:val="24"/>
          <w:szCs w:val="24"/>
        </w:rPr>
        <w:t xml:space="preserve"> </w:t>
      </w:r>
      <w:r>
        <w:rPr>
          <w:rFonts w:ascii="SimSun" w:hAnsi="SimSun" w:eastAsia="SimSun" w:cs="SimSun"/>
          <w:sz w:val="24"/>
          <w:szCs w:val="24"/>
          <w:spacing w:val="-2"/>
        </w:rPr>
        <w:t>条件，</w:t>
      </w:r>
      <w:r>
        <w:rPr>
          <w:rFonts w:ascii="Times New Roman" w:hAnsi="Times New Roman" w:eastAsia="Times New Roman" w:cs="Times New Roman"/>
          <w:sz w:val="24"/>
          <w:szCs w:val="24"/>
          <w:spacing w:val="-2"/>
        </w:rPr>
        <w:t>TS </w:t>
      </w:r>
      <w:r>
        <w:rPr>
          <w:rFonts w:ascii="SimSun" w:hAnsi="SimSun" w:eastAsia="SimSun" w:cs="SimSun"/>
          <w:sz w:val="24"/>
          <w:szCs w:val="24"/>
          <w:spacing w:val="-2"/>
        </w:rPr>
        <w:t>调节需要牛羊粪的量为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7.5t/d</w:t>
      </w:r>
      <w:r>
        <w:rPr>
          <w:rFonts w:ascii="SimSun" w:hAnsi="SimSun" w:eastAsia="SimSun" w:cs="SimSun"/>
          <w:sz w:val="24"/>
          <w:szCs w:val="24"/>
          <w:spacing w:val="-2"/>
        </w:rPr>
        <w:t>（含水</w:t>
      </w:r>
      <w:r>
        <w:rPr>
          <w:rFonts w:ascii="SimSun" w:hAnsi="SimSun" w:eastAsia="SimSun" w:cs="SimSun"/>
          <w:sz w:val="24"/>
          <w:szCs w:val="24"/>
          <w:spacing w:val="-3"/>
        </w:rPr>
        <w:t>率</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60%</w:t>
      </w:r>
      <w:r>
        <w:rPr>
          <w:rFonts w:ascii="SimSun" w:hAnsi="SimSun" w:eastAsia="SimSun" w:cs="SimSun"/>
          <w:sz w:val="24"/>
          <w:szCs w:val="24"/>
          <w:spacing w:val="-3"/>
        </w:rPr>
        <w:t>）。调节池中设有搅拌装置、</w:t>
      </w:r>
      <w:r>
        <w:rPr>
          <w:rFonts w:ascii="SimSun" w:hAnsi="SimSun" w:eastAsia="SimSun" w:cs="SimSun"/>
          <w:sz w:val="24"/>
          <w:szCs w:val="24"/>
        </w:rPr>
        <w:t xml:space="preserve"> </w:t>
      </w:r>
      <w:r>
        <w:rPr>
          <w:rFonts w:ascii="SimSun" w:hAnsi="SimSun" w:eastAsia="SimSun" w:cs="SimSun"/>
          <w:sz w:val="24"/>
          <w:szCs w:val="24"/>
          <w:spacing w:val="3"/>
        </w:rPr>
        <w:t>保温装置（低温条件下保证进入发酵罐中废水的温</w:t>
      </w:r>
      <w:r>
        <w:rPr>
          <w:rFonts w:ascii="SimSun" w:hAnsi="SimSun" w:eastAsia="SimSun" w:cs="SimSun"/>
          <w:sz w:val="24"/>
          <w:szCs w:val="24"/>
          <w:spacing w:val="2"/>
        </w:rPr>
        <w:t>度在适宜范围内，温度维持在</w:t>
      </w:r>
      <w:r>
        <w:rPr>
          <w:rFonts w:ascii="SimSun" w:hAnsi="SimSun" w:eastAsia="SimSun" w:cs="SimSun"/>
          <w:sz w:val="24"/>
          <w:szCs w:val="24"/>
        </w:rPr>
        <w:t xml:space="preserve"> </w:t>
      </w:r>
      <w:r>
        <w:rPr>
          <w:rFonts w:ascii="Times New Roman" w:hAnsi="Times New Roman" w:eastAsia="Times New Roman" w:cs="Times New Roman"/>
          <w:sz w:val="24"/>
          <w:szCs w:val="24"/>
          <w:spacing w:val="3"/>
        </w:rPr>
        <w:t>35±1℃</w:t>
      </w:r>
      <w:r>
        <w:rPr>
          <w:rFonts w:ascii="SimSun" w:hAnsi="SimSun" w:eastAsia="SimSun" w:cs="SimSun"/>
          <w:sz w:val="24"/>
          <w:szCs w:val="24"/>
          <w:spacing w:val="3"/>
        </w:rPr>
        <w:t>) 等，废水在调节池内匀质匀量，然后泵入厌氧发酵罐内进行</w:t>
      </w:r>
      <w:r>
        <w:rPr>
          <w:rFonts w:ascii="SimSun" w:hAnsi="SimSun" w:eastAsia="SimSun" w:cs="SimSun"/>
          <w:sz w:val="24"/>
          <w:szCs w:val="24"/>
          <w:spacing w:val="2"/>
        </w:rPr>
        <w:t>厌氧发酵。</w:t>
      </w:r>
      <w:r>
        <w:rPr>
          <w:rFonts w:ascii="SimSun" w:hAnsi="SimSun" w:eastAsia="SimSun" w:cs="SimSun"/>
          <w:sz w:val="24"/>
          <w:szCs w:val="24"/>
        </w:rPr>
        <w:t xml:space="preserve"> </w:t>
      </w:r>
      <w:r>
        <w:rPr>
          <w:rFonts w:ascii="SimSun" w:hAnsi="SimSun" w:eastAsia="SimSun" w:cs="SimSun"/>
          <w:sz w:val="24"/>
          <w:szCs w:val="24"/>
          <w:spacing w:val="-1"/>
        </w:rPr>
        <w:t>调节</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TS</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1"/>
        </w:rPr>
        <w:t>需要的牛羊粪不在厂区储存，每天拉运</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1"/>
        </w:rPr>
        <w:t>次，每次</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3.75t/</w:t>
      </w:r>
      <w:r>
        <w:rPr>
          <w:rFonts w:ascii="SimSun" w:hAnsi="SimSun" w:eastAsia="SimSun" w:cs="SimSun"/>
          <w:sz w:val="24"/>
          <w:szCs w:val="24"/>
          <w:spacing w:val="-1"/>
        </w:rPr>
        <w:t>次，牛羊粪进厂</w:t>
      </w:r>
      <w:r>
        <w:rPr>
          <w:rFonts w:ascii="SimSun" w:hAnsi="SimSun" w:eastAsia="SimSun" w:cs="SimSun"/>
          <w:sz w:val="24"/>
          <w:szCs w:val="24"/>
        </w:rPr>
        <w:t xml:space="preserve"> </w:t>
      </w:r>
      <w:r>
        <w:rPr>
          <w:rFonts w:ascii="SimSun" w:hAnsi="SimSun" w:eastAsia="SimSun" w:cs="SimSun"/>
          <w:sz w:val="24"/>
          <w:szCs w:val="24"/>
          <w:spacing w:val="-1"/>
        </w:rPr>
        <w:t>后运输车辆卸料口对准调节池口缓慢卸入</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TS </w:t>
      </w:r>
      <w:r>
        <w:rPr>
          <w:rFonts w:ascii="SimSun" w:hAnsi="SimSun" w:eastAsia="SimSun" w:cs="SimSun"/>
          <w:sz w:val="24"/>
          <w:szCs w:val="24"/>
          <w:spacing w:val="-1"/>
        </w:rPr>
        <w:t>调节池。</w:t>
      </w:r>
    </w:p>
    <w:p>
      <w:pPr>
        <w:ind w:left="4"/>
        <w:spacing w:line="218"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3.2.3.3 </w:t>
      </w:r>
      <w:r>
        <w:rPr>
          <w:rFonts w:ascii="SimSun" w:hAnsi="SimSun" w:eastAsia="SimSun" w:cs="SimSun"/>
          <w:sz w:val="24"/>
          <w:szCs w:val="24"/>
          <w:b/>
          <w:bCs/>
          <w:spacing w:val="-1"/>
        </w:rPr>
        <w:t>厌氧发酵</w:t>
      </w:r>
    </w:p>
    <w:p>
      <w:pPr>
        <w:ind w:left="9" w:right="80" w:firstLine="482"/>
        <w:spacing w:before="184" w:line="359" w:lineRule="auto"/>
        <w:rPr>
          <w:rFonts w:ascii="SimSun" w:hAnsi="SimSun" w:eastAsia="SimSun" w:cs="SimSun"/>
          <w:sz w:val="24"/>
          <w:szCs w:val="24"/>
        </w:rPr>
      </w:pPr>
      <w:r>
        <w:rPr>
          <w:rFonts w:ascii="SimSun" w:hAnsi="SimSun" w:eastAsia="SimSun" w:cs="SimSun"/>
          <w:sz w:val="24"/>
          <w:szCs w:val="24"/>
          <w:spacing w:val="3"/>
        </w:rPr>
        <w:t>厂区设</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个</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3000m</w:t>
      </w:r>
      <w:r>
        <w:rPr>
          <w:rFonts w:ascii="Times New Roman" w:hAnsi="Times New Roman" w:eastAsia="Times New Roman" w:cs="Times New Roman"/>
          <w:sz w:val="15"/>
          <w:szCs w:val="15"/>
          <w:spacing w:val="3"/>
          <w:position w:val="8"/>
        </w:rPr>
        <w:t>3</w:t>
      </w:r>
      <w:r>
        <w:rPr>
          <w:rFonts w:ascii="Times New Roman" w:hAnsi="Times New Roman" w:eastAsia="Times New Roman" w:cs="Times New Roman"/>
          <w:sz w:val="15"/>
          <w:szCs w:val="15"/>
          <w:spacing w:val="14"/>
          <w:w w:val="102"/>
          <w:position w:val="8"/>
        </w:rPr>
        <w:t xml:space="preserve"> </w:t>
      </w:r>
      <w:r>
        <w:rPr>
          <w:rFonts w:ascii="SimSun" w:hAnsi="SimSun" w:eastAsia="SimSun" w:cs="SimSun"/>
          <w:sz w:val="24"/>
          <w:szCs w:val="24"/>
          <w:spacing w:val="3"/>
        </w:rPr>
        <w:t>厌氧发酵罐，采用</w:t>
      </w:r>
      <w:r>
        <w:rPr>
          <w:rFonts w:ascii="Times New Roman" w:hAnsi="Times New Roman" w:eastAsia="Times New Roman" w:cs="Times New Roman"/>
          <w:sz w:val="24"/>
          <w:szCs w:val="24"/>
        </w:rPr>
        <w:t>USR</w:t>
      </w:r>
      <w:r>
        <w:rPr>
          <w:rFonts w:ascii="Times New Roman" w:hAnsi="Times New Roman" w:eastAsia="Times New Roman" w:cs="Times New Roman"/>
          <w:sz w:val="24"/>
          <w:szCs w:val="24"/>
          <w:spacing w:val="3"/>
        </w:rPr>
        <w:t xml:space="preserve"> </w:t>
      </w:r>
      <w:r>
        <w:rPr>
          <w:rFonts w:ascii="SimSun" w:hAnsi="SimSun" w:eastAsia="SimSun" w:cs="SimSun"/>
          <w:sz w:val="24"/>
          <w:szCs w:val="24"/>
          <w:spacing w:val="3"/>
        </w:rPr>
        <w:t>厌氧发酵工艺（升流式</w:t>
      </w:r>
      <w:r>
        <w:rPr>
          <w:rFonts w:ascii="SimSun" w:hAnsi="SimSun" w:eastAsia="SimSun" w:cs="SimSun"/>
          <w:sz w:val="24"/>
          <w:szCs w:val="24"/>
          <w:spacing w:val="2"/>
        </w:rPr>
        <w:t>固体反应</w:t>
      </w:r>
      <w:r>
        <w:rPr>
          <w:rFonts w:ascii="SimSun" w:hAnsi="SimSun" w:eastAsia="SimSun" w:cs="SimSun"/>
          <w:sz w:val="24"/>
          <w:szCs w:val="24"/>
        </w:rPr>
        <w:t xml:space="preserve"> </w:t>
      </w:r>
      <w:r>
        <w:rPr>
          <w:rFonts w:ascii="SimSun" w:hAnsi="SimSun" w:eastAsia="SimSun" w:cs="SimSun"/>
          <w:sz w:val="24"/>
          <w:szCs w:val="24"/>
          <w:spacing w:val="-2"/>
        </w:rPr>
        <w:t>器</w:t>
      </w:r>
      <w:r>
        <w:rPr>
          <w:rFonts w:ascii="SimSun" w:hAnsi="SimSun" w:eastAsia="SimSun" w:cs="SimSun"/>
          <w:sz w:val="24"/>
          <w:szCs w:val="24"/>
          <w:spacing w:val="7"/>
        </w:rPr>
        <w:t>），</w:t>
      </w:r>
      <w:r>
        <w:rPr>
          <w:rFonts w:ascii="SimSun" w:hAnsi="SimSun" w:eastAsia="SimSun" w:cs="SimSun"/>
          <w:sz w:val="24"/>
          <w:szCs w:val="24"/>
          <w:spacing w:val="-2"/>
        </w:rPr>
        <w:t>设计处理量为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150m</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、厌氧停留时间</w:t>
      </w:r>
      <w:r>
        <w:rPr>
          <w:rFonts w:ascii="Times New Roman" w:hAnsi="Times New Roman" w:eastAsia="Times New Roman" w:cs="Times New Roman"/>
          <w:sz w:val="24"/>
          <w:szCs w:val="24"/>
          <w:spacing w:val="-2"/>
        </w:rPr>
        <w:t>~20d</w:t>
      </w:r>
      <w:r>
        <w:rPr>
          <w:rFonts w:ascii="SimSun" w:hAnsi="SimSun" w:eastAsia="SimSun" w:cs="SimSun"/>
          <w:sz w:val="24"/>
          <w:szCs w:val="24"/>
          <w:spacing w:val="-2"/>
        </w:rPr>
        <w:t>。</w:t>
      </w:r>
    </w:p>
    <w:p>
      <w:pPr>
        <w:ind w:left="8" w:right="78" w:firstLine="480"/>
        <w:spacing w:before="8" w:line="358" w:lineRule="auto"/>
        <w:jc w:val="both"/>
        <w:rPr>
          <w:rFonts w:ascii="SimSun" w:hAnsi="SimSun" w:eastAsia="SimSun" w:cs="SimSun"/>
          <w:sz w:val="24"/>
          <w:szCs w:val="24"/>
        </w:rPr>
      </w:pPr>
      <w:r>
        <w:rPr>
          <w:rFonts w:ascii="SimSun" w:hAnsi="SimSun" w:eastAsia="SimSun" w:cs="SimSun"/>
          <w:sz w:val="24"/>
          <w:szCs w:val="24"/>
          <w:spacing w:val="-2"/>
        </w:rPr>
        <w:t>在</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TS </w:t>
      </w:r>
      <w:r>
        <w:rPr>
          <w:rFonts w:ascii="SimSun" w:hAnsi="SimSun" w:eastAsia="SimSun" w:cs="SimSun"/>
          <w:sz w:val="24"/>
          <w:szCs w:val="24"/>
          <w:spacing w:val="-2"/>
        </w:rPr>
        <w:t>调节池调节好的发酵液无需添加营养物质，发酵液从底部通过</w:t>
      </w:r>
      <w:r>
        <w:rPr>
          <w:rFonts w:ascii="SimSun" w:hAnsi="SimSun" w:eastAsia="SimSun" w:cs="SimSun"/>
          <w:sz w:val="24"/>
          <w:szCs w:val="24"/>
          <w:spacing w:val="-3"/>
        </w:rPr>
        <w:t>密闭管道</w:t>
      </w:r>
      <w:r>
        <w:rPr>
          <w:rFonts w:ascii="SimSun" w:hAnsi="SimSun" w:eastAsia="SimSun" w:cs="SimSun"/>
          <w:sz w:val="24"/>
          <w:szCs w:val="24"/>
        </w:rPr>
        <w:t xml:space="preserve"> </w:t>
      </w:r>
      <w:r>
        <w:rPr>
          <w:rFonts w:ascii="SimSun" w:hAnsi="SimSun" w:eastAsia="SimSun" w:cs="SimSun"/>
          <w:sz w:val="24"/>
          <w:szCs w:val="24"/>
          <w:spacing w:val="-4"/>
        </w:rPr>
        <w:t>进入厌氧发酵罐内，发酵液</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4"/>
        </w:rPr>
        <w:t>TS </w:t>
      </w:r>
      <w:r>
        <w:rPr>
          <w:rFonts w:ascii="SimSun" w:hAnsi="SimSun" w:eastAsia="SimSun" w:cs="SimSun"/>
          <w:sz w:val="24"/>
          <w:szCs w:val="24"/>
          <w:spacing w:val="-4"/>
        </w:rPr>
        <w:t>浓度在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6%</w:t>
      </w:r>
      <w:r>
        <w:rPr>
          <w:rFonts w:ascii="SimSun" w:hAnsi="SimSun" w:eastAsia="SimSun" w:cs="SimSun"/>
          <w:sz w:val="24"/>
          <w:szCs w:val="24"/>
          <w:spacing w:val="-4"/>
        </w:rPr>
        <w:t>以上，发酵罐体设有</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28"/>
          <w:w w:val="101"/>
        </w:rPr>
        <w:t xml:space="preserve"> </w:t>
      </w:r>
      <w:r>
        <w:rPr>
          <w:rFonts w:ascii="SimSun" w:hAnsi="SimSun" w:eastAsia="SimSun" w:cs="SimSun"/>
          <w:sz w:val="24"/>
          <w:szCs w:val="24"/>
          <w:spacing w:val="-4"/>
        </w:rPr>
        <w:t>台污水循环泵，</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rPr>
        <w:t xml:space="preserve"> </w:t>
      </w:r>
      <w:r>
        <w:rPr>
          <w:rFonts w:ascii="SimSun" w:hAnsi="SimSun" w:eastAsia="SimSun" w:cs="SimSun"/>
          <w:sz w:val="24"/>
          <w:szCs w:val="24"/>
          <w:spacing w:val="2"/>
        </w:rPr>
        <w:t>用</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备，从中部及顶部抽取物料进行底部补水，如此循环，保</w:t>
      </w:r>
      <w:r>
        <w:rPr>
          <w:rFonts w:ascii="SimSun" w:hAnsi="SimSun" w:eastAsia="SimSun" w:cs="SimSun"/>
          <w:sz w:val="24"/>
          <w:szCs w:val="24"/>
          <w:spacing w:val="1"/>
        </w:rPr>
        <w:t>证了罐内物料循环</w:t>
      </w:r>
      <w:r>
        <w:rPr>
          <w:rFonts w:ascii="SimSun" w:hAnsi="SimSun" w:eastAsia="SimSun" w:cs="SimSun"/>
          <w:sz w:val="24"/>
          <w:szCs w:val="24"/>
        </w:rPr>
        <w:t xml:space="preserve"> </w:t>
      </w:r>
      <w:r>
        <w:rPr>
          <w:rFonts w:ascii="SimSun" w:hAnsi="SimSun" w:eastAsia="SimSun" w:cs="SimSun"/>
          <w:sz w:val="24"/>
          <w:szCs w:val="24"/>
          <w:spacing w:val="3"/>
        </w:rPr>
        <w:t>搅动，底部均匀补水，保证了产气效果，同时兼顾出料功能</w:t>
      </w:r>
      <w:r>
        <w:rPr>
          <w:rFonts w:ascii="SimSun" w:hAnsi="SimSun" w:eastAsia="SimSun" w:cs="SimSun"/>
          <w:sz w:val="24"/>
          <w:szCs w:val="24"/>
          <w:spacing w:val="2"/>
        </w:rPr>
        <w:t>，发酵液进入厌氧发</w:t>
      </w:r>
      <w:r>
        <w:rPr>
          <w:rFonts w:ascii="SimSun" w:hAnsi="SimSun" w:eastAsia="SimSun" w:cs="SimSun"/>
          <w:sz w:val="24"/>
          <w:szCs w:val="24"/>
        </w:rPr>
        <w:t xml:space="preserve"> </w:t>
      </w:r>
      <w:r>
        <w:rPr>
          <w:rFonts w:ascii="SimSun" w:hAnsi="SimSun" w:eastAsia="SimSun" w:cs="SimSun"/>
          <w:sz w:val="24"/>
          <w:szCs w:val="24"/>
          <w:spacing w:val="3"/>
        </w:rPr>
        <w:t>酵罐内与厌氧反应器里的厌氧菌种接触，使原料得到快速消</w:t>
      </w:r>
      <w:r>
        <w:rPr>
          <w:rFonts w:ascii="SimSun" w:hAnsi="SimSun" w:eastAsia="SimSun" w:cs="SimSun"/>
          <w:sz w:val="24"/>
          <w:szCs w:val="24"/>
          <w:spacing w:val="2"/>
        </w:rPr>
        <w:t>化，未消化的有机物</w:t>
      </w:r>
      <w:r>
        <w:rPr>
          <w:rFonts w:ascii="SimSun" w:hAnsi="SimSun" w:eastAsia="SimSun" w:cs="SimSun"/>
          <w:sz w:val="24"/>
          <w:szCs w:val="24"/>
        </w:rPr>
        <w:t xml:space="preserve"> </w:t>
      </w:r>
      <w:r>
        <w:rPr>
          <w:rFonts w:ascii="SimSun" w:hAnsi="SimSun" w:eastAsia="SimSun" w:cs="SimSun"/>
          <w:sz w:val="24"/>
          <w:szCs w:val="24"/>
          <w:spacing w:val="3"/>
        </w:rPr>
        <w:t>固体颗粒和沼气发酵微生物靠自然沉降滞留于厌氧反应器内</w:t>
      </w:r>
      <w:r>
        <w:rPr>
          <w:rFonts w:ascii="SimSun" w:hAnsi="SimSun" w:eastAsia="SimSun" w:cs="SimSun"/>
          <w:sz w:val="24"/>
          <w:szCs w:val="24"/>
          <w:spacing w:val="2"/>
        </w:rPr>
        <w:t>，上清液从厌氧反应</w:t>
      </w:r>
      <w:r>
        <w:rPr>
          <w:rFonts w:ascii="SimSun" w:hAnsi="SimSun" w:eastAsia="SimSun" w:cs="SimSun"/>
          <w:sz w:val="24"/>
          <w:szCs w:val="24"/>
        </w:rPr>
        <w:t xml:space="preserve"> </w:t>
      </w:r>
      <w:r>
        <w:rPr>
          <w:rFonts w:ascii="SimSun" w:hAnsi="SimSun" w:eastAsia="SimSun" w:cs="SimSun"/>
          <w:sz w:val="24"/>
          <w:szCs w:val="24"/>
          <w:spacing w:val="-4"/>
        </w:rPr>
        <w:t>器上部溢出。厌氧发酵时间为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20d</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，发酵温度</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35±1℃</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5"/>
        </w:rPr>
        <w:t>,</w:t>
      </w:r>
      <w:r>
        <w:rPr>
          <w:rFonts w:ascii="SimSun" w:hAnsi="SimSun" w:eastAsia="SimSun" w:cs="SimSun"/>
          <w:sz w:val="24"/>
          <w:szCs w:val="24"/>
          <w:spacing w:val="64"/>
        </w:rPr>
        <w:t xml:space="preserve"> </w:t>
      </w:r>
      <w:r>
        <w:rPr>
          <w:rFonts w:ascii="SimSun" w:hAnsi="SimSun" w:eastAsia="SimSun" w:cs="SimSun"/>
          <w:sz w:val="24"/>
          <w:szCs w:val="24"/>
          <w:spacing w:val="-5"/>
        </w:rPr>
        <w:t>属于中温发酵。</w:t>
      </w:r>
    </w:p>
    <w:p>
      <w:pPr>
        <w:ind w:left="9" w:right="78" w:firstLine="480"/>
        <w:spacing w:before="5" w:line="358" w:lineRule="auto"/>
        <w:jc w:val="both"/>
        <w:rPr>
          <w:rFonts w:ascii="SimSun" w:hAnsi="SimSun" w:eastAsia="SimSun" w:cs="SimSun"/>
          <w:sz w:val="24"/>
          <w:szCs w:val="24"/>
        </w:rPr>
      </w:pPr>
      <w:r>
        <w:rPr>
          <w:rFonts w:ascii="SimSun" w:hAnsi="SimSun" w:eastAsia="SimSun" w:cs="SimSun"/>
          <w:sz w:val="24"/>
          <w:szCs w:val="24"/>
          <w:spacing w:val="2"/>
        </w:rPr>
        <w:t>根据《大中型沼气工程技术规范》、《沼气工程技术规范第</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1"/>
        </w:rPr>
        <w:t>部分：工程设</w:t>
      </w:r>
      <w:r>
        <w:rPr>
          <w:rFonts w:ascii="SimSun" w:hAnsi="SimSun" w:eastAsia="SimSun" w:cs="SimSun"/>
          <w:sz w:val="24"/>
          <w:szCs w:val="24"/>
        </w:rPr>
        <w:t xml:space="preserve"> </w:t>
      </w:r>
      <w:r>
        <w:rPr>
          <w:rFonts w:ascii="SimSun" w:hAnsi="SimSun" w:eastAsia="SimSun" w:cs="SimSun"/>
          <w:sz w:val="24"/>
          <w:szCs w:val="24"/>
          <w:spacing w:val="-2"/>
        </w:rPr>
        <w:t>计》中，有机废水</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2"/>
        </w:rPr>
        <w:t>TS </w:t>
      </w:r>
      <w:r>
        <w:rPr>
          <w:rFonts w:ascii="SimSun" w:hAnsi="SimSun" w:eastAsia="SimSun" w:cs="SimSun"/>
          <w:sz w:val="24"/>
          <w:szCs w:val="24"/>
          <w:spacing w:val="-2"/>
        </w:rPr>
        <w:t>产气率为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0.35~0.4m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/kg</w:t>
      </w:r>
      <w:r>
        <w:rPr>
          <w:rFonts w:ascii="SimSun" w:hAnsi="SimSun" w:eastAsia="SimSun" w:cs="SimSun"/>
          <w:sz w:val="24"/>
          <w:szCs w:val="24"/>
          <w:spacing w:val="-2"/>
        </w:rPr>
        <w:t>、牛粪</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TS </w:t>
      </w:r>
      <w:r>
        <w:rPr>
          <w:rFonts w:ascii="SimSun" w:hAnsi="SimSun" w:eastAsia="SimSun" w:cs="SimSun"/>
          <w:sz w:val="24"/>
          <w:szCs w:val="24"/>
          <w:spacing w:val="-2"/>
        </w:rPr>
        <w:t>产气率为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0.25~0.3m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/kg</w:t>
      </w:r>
      <w:r>
        <w:rPr>
          <w:rFonts w:ascii="SimSun" w:hAnsi="SimSun" w:eastAsia="SimSun" w:cs="SimSun"/>
          <w:sz w:val="24"/>
          <w:szCs w:val="24"/>
          <w:spacing w:val="-2"/>
        </w:rPr>
        <w:t>；</w:t>
      </w:r>
      <w:r>
        <w:rPr>
          <w:rFonts w:ascii="SimSun" w:hAnsi="SimSun" w:eastAsia="SimSun" w:cs="SimSun"/>
          <w:sz w:val="24"/>
          <w:szCs w:val="24"/>
        </w:rPr>
        <w:t xml:space="preserve"> </w:t>
      </w:r>
      <w:r>
        <w:rPr>
          <w:rFonts w:ascii="SimSun" w:hAnsi="SimSun" w:eastAsia="SimSun" w:cs="SimSun"/>
          <w:sz w:val="24"/>
          <w:szCs w:val="24"/>
          <w:spacing w:val="3"/>
        </w:rPr>
        <w:t>参照《羊、鸭、兔粪厌氧消化产沼气潜力与特性》（农业</w:t>
      </w:r>
      <w:r>
        <w:rPr>
          <w:rFonts w:ascii="SimSun" w:hAnsi="SimSun" w:eastAsia="SimSun" w:cs="SimSun"/>
          <w:sz w:val="24"/>
          <w:szCs w:val="24"/>
          <w:spacing w:val="2"/>
        </w:rPr>
        <w:t>部沼气科学研究所）研</w:t>
      </w:r>
      <w:r>
        <w:rPr>
          <w:rFonts w:ascii="SimSun" w:hAnsi="SimSun" w:eastAsia="SimSun" w:cs="SimSun"/>
          <w:sz w:val="24"/>
          <w:szCs w:val="24"/>
        </w:rPr>
        <w:t xml:space="preserve"> </w:t>
      </w:r>
      <w:r>
        <w:rPr>
          <w:rFonts w:ascii="SimSun" w:hAnsi="SimSun" w:eastAsia="SimSun" w:cs="SimSun"/>
          <w:sz w:val="24"/>
          <w:szCs w:val="24"/>
          <w:spacing w:val="1"/>
        </w:rPr>
        <w:t>究结论，羊粪</w:t>
      </w:r>
      <w:r>
        <w:rPr>
          <w:rFonts w:ascii="SimSun" w:hAnsi="SimSun" w:eastAsia="SimSun" w:cs="SimSun"/>
          <w:sz w:val="24"/>
          <w:szCs w:val="24"/>
          <w:spacing w:val="-53"/>
        </w:rPr>
        <w:t xml:space="preserve"> </w:t>
      </w:r>
      <w:r>
        <w:rPr>
          <w:rFonts w:ascii="Times New Roman" w:hAnsi="Times New Roman" w:eastAsia="Times New Roman" w:cs="Times New Roman"/>
          <w:sz w:val="24"/>
          <w:szCs w:val="24"/>
        </w:rPr>
        <w:t>TS</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产气率为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0.35m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rPr>
        <w:t>kg</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1"/>
        </w:rPr>
        <w:t>。同时类比《内蒙古圣地牧业</w:t>
      </w:r>
      <w:r>
        <w:rPr>
          <w:rFonts w:ascii="SimSun" w:hAnsi="SimSun" w:eastAsia="SimSun" w:cs="SimSun"/>
          <w:sz w:val="24"/>
          <w:szCs w:val="24"/>
        </w:rPr>
        <w:t>奶牛养殖园区 </w:t>
      </w:r>
      <w:r>
        <w:rPr>
          <w:rFonts w:ascii="SimSun" w:hAnsi="SimSun" w:eastAsia="SimSun" w:cs="SimSun"/>
          <w:sz w:val="24"/>
          <w:szCs w:val="24"/>
          <w:spacing w:val="-2"/>
        </w:rPr>
        <w:t>类污资源化处理扩建项目</w:t>
      </w:r>
      <w:r>
        <w:rPr>
          <w:rFonts w:ascii="Times New Roman" w:hAnsi="Times New Roman" w:eastAsia="Times New Roman" w:cs="Times New Roman"/>
          <w:sz w:val="24"/>
          <w:szCs w:val="24"/>
          <w:spacing w:val="-2"/>
        </w:rPr>
        <w:t>(</w:t>
      </w:r>
      <w:r>
        <w:rPr>
          <w:rFonts w:ascii="SimSun" w:hAnsi="SimSun" w:eastAsia="SimSun" w:cs="SimSun"/>
          <w:sz w:val="24"/>
          <w:szCs w:val="24"/>
          <w:spacing w:val="-2"/>
        </w:rPr>
        <w:t>一期</w:t>
      </w:r>
      <w:r>
        <w:rPr>
          <w:rFonts w:ascii="Times New Roman" w:hAnsi="Times New Roman" w:eastAsia="Times New Roman" w:cs="Times New Roman"/>
          <w:sz w:val="24"/>
          <w:szCs w:val="24"/>
          <w:spacing w:val="-2"/>
        </w:rPr>
        <w:t>)</w:t>
      </w:r>
      <w:r>
        <w:rPr>
          <w:rFonts w:ascii="SimSun" w:hAnsi="SimSun" w:eastAsia="SimSun" w:cs="SimSun"/>
          <w:sz w:val="24"/>
          <w:szCs w:val="24"/>
          <w:spacing w:val="-2"/>
        </w:rPr>
        <w:t>》实际运行经验（中温厌氧发酵工艺、厌氧发酵罐</w:t>
      </w:r>
      <w:r>
        <w:rPr>
          <w:rFonts w:ascii="SimSun" w:hAnsi="SimSun" w:eastAsia="SimSun" w:cs="SimSun"/>
          <w:sz w:val="24"/>
          <w:szCs w:val="24"/>
          <w:spacing w:val="7"/>
        </w:rPr>
        <w:t xml:space="preserve"> </w:t>
      </w:r>
      <w:r>
        <w:rPr>
          <w:rFonts w:ascii="Times New Roman" w:hAnsi="Times New Roman" w:eastAsia="Times New Roman" w:cs="Times New Roman"/>
          <w:sz w:val="24"/>
          <w:szCs w:val="24"/>
          <w:spacing w:val="-3"/>
        </w:rPr>
        <w:t>10000m</w:t>
      </w:r>
      <w:r>
        <w:rPr>
          <w:rFonts w:ascii="Times New Roman" w:hAnsi="Times New Roman" w:eastAsia="Times New Roman" w:cs="Times New Roman"/>
          <w:sz w:val="15"/>
          <w:szCs w:val="15"/>
          <w:spacing w:val="-3"/>
          <w:position w:val="7"/>
        </w:rPr>
        <w:t>3</w:t>
      </w:r>
      <w:r>
        <w:rPr>
          <w:rFonts w:ascii="SimSun" w:hAnsi="SimSun" w:eastAsia="SimSun" w:cs="SimSun"/>
          <w:sz w:val="24"/>
          <w:szCs w:val="24"/>
          <w:spacing w:val="-3"/>
        </w:rPr>
        <w:t>、</w:t>
      </w:r>
      <w:r>
        <w:rPr>
          <w:rFonts w:ascii="Times New Roman" w:hAnsi="Times New Roman" w:eastAsia="Times New Roman" w:cs="Times New Roman"/>
          <w:sz w:val="24"/>
          <w:szCs w:val="24"/>
          <w:spacing w:val="-3"/>
        </w:rPr>
        <w:t>TS </w:t>
      </w:r>
      <w:r>
        <w:rPr>
          <w:rFonts w:ascii="SimSun" w:hAnsi="SimSun" w:eastAsia="SimSun" w:cs="SimSun"/>
          <w:sz w:val="24"/>
          <w:szCs w:val="24"/>
          <w:spacing w:val="-3"/>
        </w:rPr>
        <w:t>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6%-8%</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、发酵原料为牛粪</w:t>
      </w:r>
      <w:r>
        <w:rPr>
          <w:rFonts w:ascii="SimSun" w:hAnsi="SimSun" w:eastAsia="SimSun" w:cs="SimSun"/>
          <w:sz w:val="24"/>
          <w:szCs w:val="24"/>
          <w:spacing w:val="-12"/>
        </w:rPr>
        <w:t>），</w:t>
      </w:r>
      <w:r>
        <w:rPr>
          <w:rFonts w:ascii="SimSun" w:hAnsi="SimSun" w:eastAsia="SimSun" w:cs="SimSun"/>
          <w:sz w:val="24"/>
          <w:szCs w:val="24"/>
          <w:spacing w:val="-3"/>
        </w:rPr>
        <w:t>发酵液产气率约</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1.0-2.0m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24"/>
          <w:szCs w:val="24"/>
          <w:spacing w:val="-3"/>
        </w:rPr>
        <w:t>/m</w:t>
      </w:r>
      <w:r>
        <w:rPr>
          <w:rFonts w:ascii="Times New Roman" w:hAnsi="Times New Roman" w:eastAsia="Times New Roman" w:cs="Times New Roman"/>
          <w:sz w:val="15"/>
          <w:szCs w:val="15"/>
          <w:spacing w:val="-3"/>
          <w:position w:val="7"/>
        </w:rPr>
        <w:t>3</w:t>
      </w:r>
      <w:r>
        <w:rPr>
          <w:rFonts w:ascii="SimSun" w:hAnsi="SimSun" w:eastAsia="SimSun" w:cs="SimSun"/>
          <w:sz w:val="24"/>
          <w:szCs w:val="24"/>
          <w:spacing w:val="-3"/>
        </w:rPr>
        <w:t>。本项</w:t>
      </w:r>
      <w:r>
        <w:rPr>
          <w:rFonts w:ascii="SimSun" w:hAnsi="SimSun" w:eastAsia="SimSun" w:cs="SimSun"/>
          <w:sz w:val="24"/>
          <w:szCs w:val="24"/>
        </w:rPr>
        <w:t xml:space="preserve"> </w:t>
      </w:r>
      <w:r>
        <w:rPr>
          <w:rFonts w:ascii="SimSun" w:hAnsi="SimSun" w:eastAsia="SimSun" w:cs="SimSun"/>
          <w:sz w:val="24"/>
          <w:szCs w:val="24"/>
        </w:rPr>
        <w:t>目厌氧发酵装置</w:t>
      </w:r>
      <w:r>
        <w:rPr>
          <w:rFonts w:ascii="SimSun" w:hAnsi="SimSun" w:eastAsia="SimSun" w:cs="SimSun"/>
          <w:sz w:val="24"/>
          <w:szCs w:val="24"/>
          <w:spacing w:val="-44"/>
        </w:rPr>
        <w:t xml:space="preserve"> </w:t>
      </w:r>
      <w:r>
        <w:rPr>
          <w:rFonts w:ascii="Times New Roman" w:hAnsi="Times New Roman" w:eastAsia="Times New Roman" w:cs="Times New Roman"/>
          <w:sz w:val="24"/>
          <w:szCs w:val="24"/>
        </w:rPr>
        <w:t>TS </w:t>
      </w:r>
      <w:r>
        <w:rPr>
          <w:rFonts w:ascii="SimSun" w:hAnsi="SimSun" w:eastAsia="SimSun" w:cs="SimSun"/>
          <w:sz w:val="24"/>
          <w:szCs w:val="24"/>
        </w:rPr>
        <w:t>浓度</w:t>
      </w:r>
      <w:r>
        <w:rPr>
          <w:rFonts w:ascii="SimSun" w:hAnsi="SimSun" w:eastAsia="SimSun" w:cs="SimSun"/>
          <w:sz w:val="24"/>
          <w:szCs w:val="24"/>
          <w:spacing w:val="-47"/>
        </w:rPr>
        <w:t xml:space="preserve"> </w:t>
      </w:r>
      <w:r>
        <w:rPr>
          <w:rFonts w:ascii="Times New Roman" w:hAnsi="Times New Roman" w:eastAsia="Times New Roman" w:cs="Times New Roman"/>
          <w:sz w:val="24"/>
          <w:szCs w:val="24"/>
        </w:rPr>
        <w:t>6%</w:t>
      </w:r>
      <w:r>
        <w:rPr>
          <w:rFonts w:ascii="SimSun" w:hAnsi="SimSun" w:eastAsia="SimSun" w:cs="SimSun"/>
          <w:sz w:val="24"/>
          <w:szCs w:val="24"/>
        </w:rPr>
        <w:t>以上，每日进入厌氧发酵罐</w:t>
      </w:r>
      <w:r>
        <w:rPr>
          <w:rFonts w:ascii="SimSun" w:hAnsi="SimSun" w:eastAsia="SimSun" w:cs="SimSun"/>
          <w:sz w:val="24"/>
          <w:szCs w:val="24"/>
          <w:spacing w:val="-48"/>
        </w:rPr>
        <w:t xml:space="preserve"> </w:t>
      </w:r>
      <w:r>
        <w:rPr>
          <w:rFonts w:ascii="Times New Roman" w:hAnsi="Times New Roman" w:eastAsia="Times New Roman" w:cs="Times New Roman"/>
          <w:sz w:val="24"/>
          <w:szCs w:val="24"/>
        </w:rPr>
        <w:t>TS</w:t>
      </w:r>
      <w:r>
        <w:rPr>
          <w:rFonts w:ascii="Times New Roman" w:hAnsi="Times New Roman" w:eastAsia="Times New Roman" w:cs="Times New Roman"/>
          <w:sz w:val="24"/>
          <w:szCs w:val="24"/>
          <w:spacing w:val="19"/>
          <w:w w:val="101"/>
        </w:rPr>
        <w:t xml:space="preserve"> </w:t>
      </w:r>
      <w:r>
        <w:rPr>
          <w:rFonts w:ascii="SimSun" w:hAnsi="SimSun" w:eastAsia="SimSun" w:cs="SimSun"/>
          <w:sz w:val="24"/>
          <w:szCs w:val="24"/>
        </w:rPr>
        <w:t>总量为</w:t>
      </w:r>
      <w:r>
        <w:rPr>
          <w:rFonts w:ascii="SimSun" w:hAnsi="SimSun" w:eastAsia="SimSun" w:cs="SimSun"/>
          <w:sz w:val="24"/>
          <w:szCs w:val="24"/>
          <w:spacing w:val="-46"/>
        </w:rPr>
        <w:t xml:space="preserve"> </w:t>
      </w:r>
      <w:r>
        <w:rPr>
          <w:rFonts w:ascii="Times New Roman" w:hAnsi="Times New Roman" w:eastAsia="Times New Roman" w:cs="Times New Roman"/>
          <w:sz w:val="24"/>
          <w:szCs w:val="24"/>
        </w:rPr>
        <w:t>9t</w:t>
      </w:r>
      <w:r>
        <w:rPr>
          <w:rFonts w:ascii="Times New Roman" w:hAnsi="Times New Roman" w:eastAsia="Times New Roman" w:cs="Times New Roman"/>
          <w:sz w:val="24"/>
          <w:szCs w:val="24"/>
          <w:spacing w:val="-28"/>
        </w:rPr>
        <w:t xml:space="preserve"> </w:t>
      </w:r>
      <w:r>
        <w:rPr>
          <w:rFonts w:ascii="SimSun" w:hAnsi="SimSun" w:eastAsia="SimSun" w:cs="SimSun"/>
          <w:sz w:val="24"/>
          <w:szCs w:val="24"/>
        </w:rPr>
        <w:t>，产气率按 </w:t>
      </w:r>
      <w:r>
        <w:rPr>
          <w:rFonts w:ascii="Times New Roman" w:hAnsi="Times New Roman" w:eastAsia="Times New Roman" w:cs="Times New Roman"/>
          <w:sz w:val="24"/>
          <w:szCs w:val="24"/>
          <w:spacing w:val="-1"/>
        </w:rPr>
        <w:t>0.35m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/kg </w:t>
      </w:r>
      <w:r>
        <w:rPr>
          <w:rFonts w:ascii="SimSun" w:hAnsi="SimSun" w:eastAsia="SimSun" w:cs="SimSun"/>
          <w:sz w:val="24"/>
          <w:szCs w:val="24"/>
          <w:spacing w:val="-1"/>
        </w:rPr>
        <w:t>计，经计算本项目沼气产生量约</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3150m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，全部用于项目沼气锅炉。</w:t>
      </w:r>
    </w:p>
    <w:p>
      <w:pPr>
        <w:ind w:left="12" w:right="78" w:firstLine="478"/>
        <w:spacing w:before="10" w:line="360" w:lineRule="auto"/>
        <w:jc w:val="both"/>
        <w:rPr>
          <w:rFonts w:ascii="SimSun" w:hAnsi="SimSun" w:eastAsia="SimSun" w:cs="SimSun"/>
          <w:sz w:val="24"/>
          <w:szCs w:val="24"/>
        </w:rPr>
      </w:pPr>
      <w:r>
        <w:rPr>
          <w:rFonts w:ascii="SimSun" w:hAnsi="SimSun" w:eastAsia="SimSun" w:cs="SimSun"/>
          <w:sz w:val="24"/>
          <w:szCs w:val="24"/>
          <w:spacing w:val="3"/>
        </w:rPr>
        <w:t>厌氧发酵产生的沼气通过沼气出口排出，进入沼气净化工段，沼</w:t>
      </w:r>
      <w:r>
        <w:rPr>
          <w:rFonts w:ascii="SimSun" w:hAnsi="SimSun" w:eastAsia="SimSun" w:cs="SimSun"/>
          <w:sz w:val="24"/>
          <w:szCs w:val="24"/>
          <w:spacing w:val="2"/>
        </w:rPr>
        <w:t>气出口设有</w:t>
      </w:r>
      <w:r>
        <w:rPr>
          <w:rFonts w:ascii="SimSun" w:hAnsi="SimSun" w:eastAsia="SimSun" w:cs="SimSun"/>
          <w:sz w:val="24"/>
          <w:szCs w:val="24"/>
        </w:rPr>
        <w:t xml:space="preserve"> </w:t>
      </w:r>
      <w:r>
        <w:rPr>
          <w:rFonts w:ascii="SimSun" w:hAnsi="SimSun" w:eastAsia="SimSun" w:cs="SimSun"/>
          <w:sz w:val="24"/>
          <w:szCs w:val="24"/>
          <w:spacing w:val="3"/>
        </w:rPr>
        <w:t>水封，保证气体正向流动，不能回窜；厌氧发酵完</w:t>
      </w:r>
      <w:r>
        <w:rPr>
          <w:rFonts w:ascii="SimSun" w:hAnsi="SimSun" w:eastAsia="SimSun" w:cs="SimSun"/>
          <w:sz w:val="24"/>
          <w:szCs w:val="24"/>
          <w:spacing w:val="2"/>
        </w:rPr>
        <w:t>成的物料从发酵液面以下通过</w:t>
      </w:r>
      <w:r>
        <w:rPr>
          <w:rFonts w:ascii="SimSun" w:hAnsi="SimSun" w:eastAsia="SimSun" w:cs="SimSun"/>
          <w:sz w:val="24"/>
          <w:szCs w:val="24"/>
        </w:rPr>
        <w:t xml:space="preserve"> </w:t>
      </w:r>
      <w:r>
        <w:rPr>
          <w:rFonts w:ascii="SimSun" w:hAnsi="SimSun" w:eastAsia="SimSun" w:cs="SimSun"/>
          <w:sz w:val="24"/>
          <w:szCs w:val="24"/>
          <w:spacing w:val="-2"/>
        </w:rPr>
        <w:t>管道输送至固液分离池。</w:t>
      </w:r>
    </w:p>
    <w:p>
      <w:pPr>
        <w:pStyle w:val="BodyText"/>
        <w:spacing w:line="461" w:lineRule="auto"/>
        <w:rPr/>
      </w:pPr>
      <w:r/>
    </w:p>
    <w:p>
      <w:pPr>
        <w:ind w:left="7"/>
        <w:spacing w:before="62" w:line="227" w:lineRule="auto"/>
        <w:rPr>
          <w:rFonts w:ascii="SimSun" w:hAnsi="SimSun" w:eastAsia="SimSun" w:cs="SimSun"/>
          <w:sz w:val="19"/>
          <w:szCs w:val="19"/>
        </w:rPr>
      </w:pPr>
      <w:r>
        <w:pict>
          <v:shape id="_x0000_s392" style="position:absolute;margin-left:159.33pt;margin-top:2.09605pt;mso-position-vertical-relative:text;mso-position-horizontal-relative:text;width:58.85pt;height:13.75pt;z-index:25183334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28"/>
                    </w:rPr>
                    <w:t xml:space="preserve">   </w:t>
                  </w:r>
                  <w:r>
                    <w:rPr>
                      <w:rFonts w:ascii="Times New Roman" w:hAnsi="Times New Roman" w:eastAsia="Times New Roman" w:cs="Times New Roman"/>
                      <w:sz w:val="18"/>
                      <w:szCs w:val="18"/>
                      <w:spacing w:val="3"/>
                      <w:position w:val="2"/>
                    </w:rPr>
                    <w:t>77</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1"/>
          <w:pgSz w:w="11907" w:h="16840"/>
          <w:pgMar w:top="1567" w:right="1621" w:bottom="400" w:left="1701" w:header="1221" w:footer="0" w:gutter="0"/>
        </w:sectPr>
        <w:rPr>
          <w:rFonts w:ascii="SimSun" w:hAnsi="SimSun" w:eastAsia="SimSun" w:cs="SimSun"/>
          <w:sz w:val="19"/>
          <w:szCs w:val="19"/>
        </w:rPr>
      </w:pPr>
    </w:p>
    <w:p>
      <w:pPr>
        <w:ind w:left="6"/>
        <w:spacing w:before="168" w:line="220" w:lineRule="auto"/>
        <w:outlineLvl w:val="3"/>
        <w:rPr>
          <w:rFonts w:ascii="SimSun" w:hAnsi="SimSun" w:eastAsia="SimSun" w:cs="SimSun"/>
          <w:sz w:val="24"/>
          <w:szCs w:val="24"/>
        </w:rPr>
      </w:pPr>
      <w:r>
        <w:pict>
          <v:shape id="_x0000_s396" style="position:absolute;margin-left:85.05pt;margin-top:78.87pt;mso-position-vertical-relative:page;mso-position-horizontal-relative:page;width:425.25pt;height:0.75pt;z-index:251836416;" o:allowincell="f" fillcolor="#000000" filled="true" stroked="false" coordsize="8505,15" coordorigin="0,0" path="m,l8505,0l8505,14l0,14l0,0xe"/>
        </w:pict>
      </w:r>
      <w:r>
        <w:rPr>
          <w:rFonts w:ascii="Times New Roman" w:hAnsi="Times New Roman" w:eastAsia="Times New Roman" w:cs="Times New Roman"/>
          <w:sz w:val="24"/>
          <w:szCs w:val="24"/>
          <w:b/>
          <w:bCs/>
          <w:spacing w:val="-4"/>
        </w:rPr>
        <w:t>3.2.3.4</w:t>
      </w:r>
      <w:r>
        <w:rPr>
          <w:rFonts w:ascii="Times New Roman" w:hAnsi="Times New Roman" w:eastAsia="Times New Roman" w:cs="Times New Roman"/>
          <w:sz w:val="24"/>
          <w:szCs w:val="24"/>
          <w:b/>
          <w:bCs/>
          <w:spacing w:val="31"/>
        </w:rPr>
        <w:t xml:space="preserve"> </w:t>
      </w:r>
      <w:r>
        <w:rPr>
          <w:rFonts w:ascii="SimSun" w:hAnsi="SimSun" w:eastAsia="SimSun" w:cs="SimSun"/>
          <w:sz w:val="24"/>
          <w:szCs w:val="24"/>
          <w:b/>
          <w:bCs/>
          <w:spacing w:val="-4"/>
        </w:rPr>
        <w:t>固液分离</w:t>
      </w:r>
    </w:p>
    <w:p>
      <w:pPr>
        <w:ind w:left="13" w:firstLine="480"/>
        <w:spacing w:before="181" w:line="359" w:lineRule="auto"/>
        <w:jc w:val="both"/>
        <w:rPr>
          <w:rFonts w:ascii="SimSun" w:hAnsi="SimSun" w:eastAsia="SimSun" w:cs="SimSun"/>
          <w:sz w:val="24"/>
          <w:szCs w:val="24"/>
        </w:rPr>
      </w:pPr>
      <w:r>
        <w:rPr>
          <w:rFonts w:ascii="SimSun" w:hAnsi="SimSun" w:eastAsia="SimSun" w:cs="SimSun"/>
          <w:sz w:val="24"/>
          <w:szCs w:val="24"/>
          <w:spacing w:val="3"/>
        </w:rPr>
        <w:t>厌氧发酵完成后的物料进入固液分离池内暂存浓缩，经螺旋挤压</w:t>
      </w:r>
      <w:r>
        <w:rPr>
          <w:rFonts w:ascii="SimSun" w:hAnsi="SimSun" w:eastAsia="SimSun" w:cs="SimSun"/>
          <w:sz w:val="24"/>
          <w:szCs w:val="24"/>
          <w:spacing w:val="2"/>
        </w:rPr>
        <w:t>脱水机压滤</w:t>
      </w:r>
      <w:r>
        <w:rPr>
          <w:rFonts w:ascii="SimSun" w:hAnsi="SimSun" w:eastAsia="SimSun" w:cs="SimSun"/>
          <w:sz w:val="24"/>
          <w:szCs w:val="24"/>
        </w:rPr>
        <w:t xml:space="preserve"> </w:t>
      </w:r>
      <w:r>
        <w:rPr>
          <w:rFonts w:ascii="SimSun" w:hAnsi="SimSun" w:eastAsia="SimSun" w:cs="SimSun"/>
          <w:sz w:val="24"/>
          <w:szCs w:val="24"/>
          <w:spacing w:val="-2"/>
        </w:rPr>
        <w:t>脱水，沼渣在沼渣晾晒区自然晾晒检测达到《沼肥》（</w:t>
      </w:r>
      <w:r>
        <w:rPr>
          <w:rFonts w:ascii="Times New Roman" w:hAnsi="Times New Roman" w:eastAsia="Times New Roman" w:cs="Times New Roman"/>
          <w:sz w:val="24"/>
          <w:szCs w:val="24"/>
          <w:spacing w:val="-2"/>
        </w:rPr>
        <w:t>NY/T2596-2022</w:t>
      </w:r>
      <w:r>
        <w:rPr>
          <w:rFonts w:ascii="SimSun" w:hAnsi="SimSun" w:eastAsia="SimSun" w:cs="SimSun"/>
          <w:sz w:val="24"/>
          <w:szCs w:val="24"/>
          <w:spacing w:val="-2"/>
        </w:rPr>
        <w:t>）标准后作</w:t>
      </w:r>
      <w:r>
        <w:rPr>
          <w:rFonts w:ascii="SimSun" w:hAnsi="SimSun" w:eastAsia="SimSun" w:cs="SimSun"/>
          <w:sz w:val="24"/>
          <w:szCs w:val="24"/>
          <w:spacing w:val="16"/>
        </w:rPr>
        <w:t xml:space="preserve"> </w:t>
      </w:r>
      <w:r>
        <w:rPr>
          <w:rFonts w:ascii="SimSun" w:hAnsi="SimSun" w:eastAsia="SimSun" w:cs="SimSun"/>
          <w:sz w:val="24"/>
          <w:szCs w:val="24"/>
          <w:spacing w:val="-1"/>
        </w:rPr>
        <w:t>为沼渣肥还田利用（</w:t>
      </w:r>
      <w:r>
        <w:rPr>
          <w:rFonts w:ascii="SimSun" w:hAnsi="SimSun" w:eastAsia="SimSun" w:cs="SimSun"/>
          <w:sz w:val="24"/>
          <w:szCs w:val="24"/>
          <w:spacing w:val="-31"/>
        </w:rPr>
        <w:t xml:space="preserve"> </w:t>
      </w:r>
      <w:r>
        <w:rPr>
          <w:rFonts w:ascii="SimSun" w:hAnsi="SimSun" w:eastAsia="SimSun" w:cs="SimSun"/>
          <w:sz w:val="24"/>
          <w:szCs w:val="24"/>
          <w:spacing w:val="-1"/>
        </w:rPr>
        <w:t>自用</w:t>
      </w:r>
      <w:r>
        <w:rPr>
          <w:rFonts w:ascii="SimSun" w:hAnsi="SimSun" w:eastAsia="SimSun" w:cs="SimSun"/>
          <w:sz w:val="24"/>
          <w:szCs w:val="24"/>
          <w:spacing w:val="19"/>
        </w:rPr>
        <w:t>）；</w:t>
      </w:r>
      <w:r>
        <w:rPr>
          <w:rFonts w:ascii="SimSun" w:hAnsi="SimSun" w:eastAsia="SimSun" w:cs="SimSun"/>
          <w:sz w:val="24"/>
          <w:szCs w:val="24"/>
          <w:spacing w:val="-1"/>
        </w:rPr>
        <w:t>固液分离池上清液和螺旋挤压脱水机滤液去沼液池</w:t>
      </w:r>
      <w:r>
        <w:rPr>
          <w:rFonts w:ascii="SimSun" w:hAnsi="SimSun" w:eastAsia="SimSun" w:cs="SimSun"/>
          <w:sz w:val="24"/>
          <w:szCs w:val="24"/>
        </w:rPr>
        <w:t xml:space="preserve"> </w:t>
      </w:r>
      <w:r>
        <w:rPr>
          <w:rFonts w:ascii="SimSun" w:hAnsi="SimSun" w:eastAsia="SimSun" w:cs="SimSun"/>
          <w:sz w:val="24"/>
          <w:szCs w:val="24"/>
          <w:spacing w:val="-2"/>
        </w:rPr>
        <w:t>临时储存，检测达到《沼肥》（</w:t>
      </w:r>
      <w:r>
        <w:rPr>
          <w:rFonts w:ascii="Times New Roman" w:hAnsi="Times New Roman" w:eastAsia="Times New Roman" w:cs="Times New Roman"/>
          <w:sz w:val="24"/>
          <w:szCs w:val="24"/>
          <w:spacing w:val="-2"/>
        </w:rPr>
        <w:t>NY/T2596-2022</w:t>
      </w:r>
      <w:r>
        <w:rPr>
          <w:rFonts w:ascii="SimSun" w:hAnsi="SimSun" w:eastAsia="SimSun" w:cs="SimSun"/>
          <w:sz w:val="24"/>
          <w:szCs w:val="24"/>
          <w:spacing w:val="-2"/>
        </w:rPr>
        <w:t>）标准后作为沼液肥还田利用（自</w:t>
      </w:r>
      <w:r>
        <w:rPr>
          <w:rFonts w:ascii="SimSun" w:hAnsi="SimSun" w:eastAsia="SimSun" w:cs="SimSun"/>
          <w:sz w:val="24"/>
          <w:szCs w:val="24"/>
          <w:spacing w:val="16"/>
        </w:rPr>
        <w:t xml:space="preserve"> </w:t>
      </w:r>
      <w:r>
        <w:rPr>
          <w:rFonts w:ascii="SimSun" w:hAnsi="SimSun" w:eastAsia="SimSun" w:cs="SimSun"/>
          <w:sz w:val="24"/>
          <w:szCs w:val="24"/>
          <w:spacing w:val="-1"/>
        </w:rPr>
        <w:t>用）。产生的沼气去沼气净化系统。</w:t>
      </w:r>
    </w:p>
    <w:p>
      <w:pPr>
        <w:ind w:left="492"/>
        <w:spacing w:line="219" w:lineRule="auto"/>
        <w:rPr>
          <w:rFonts w:ascii="SimSun" w:hAnsi="SimSun" w:eastAsia="SimSun" w:cs="SimSun"/>
          <w:sz w:val="24"/>
          <w:szCs w:val="24"/>
        </w:rPr>
      </w:pPr>
      <w:r>
        <w:rPr>
          <w:rFonts w:ascii="SimSun" w:hAnsi="SimSun" w:eastAsia="SimSun" w:cs="SimSun"/>
          <w:sz w:val="24"/>
          <w:szCs w:val="24"/>
          <w:b/>
          <w:bCs/>
          <w:spacing w:val="-4"/>
        </w:rPr>
        <w:t>产污环节分析：</w:t>
      </w:r>
    </w:p>
    <w:p>
      <w:pPr>
        <w:ind w:left="14" w:right="2" w:firstLine="477"/>
        <w:spacing w:before="181" w:line="359" w:lineRule="auto"/>
        <w:jc w:val="both"/>
        <w:rPr>
          <w:rFonts w:ascii="SimSun" w:hAnsi="SimSun" w:eastAsia="SimSun" w:cs="SimSun"/>
          <w:sz w:val="24"/>
          <w:szCs w:val="24"/>
        </w:rPr>
      </w:pPr>
      <w:r>
        <w:rPr>
          <w:rFonts w:ascii="SimSun" w:hAnsi="SimSun" w:eastAsia="SimSun" w:cs="SimSun"/>
          <w:sz w:val="24"/>
          <w:szCs w:val="24"/>
          <w:b/>
          <w:bCs/>
        </w:rPr>
        <w:t>废气：</w:t>
      </w:r>
      <w:r>
        <w:rPr>
          <w:rFonts w:ascii="SimSun" w:hAnsi="SimSun" w:eastAsia="SimSun" w:cs="SimSun"/>
          <w:sz w:val="24"/>
          <w:szCs w:val="24"/>
        </w:rPr>
        <w:t>本项目厌氧发酵装置配套的</w:t>
      </w:r>
      <w:r>
        <w:rPr>
          <w:rFonts w:ascii="Times New Roman" w:hAnsi="Times New Roman" w:eastAsia="Times New Roman" w:cs="Times New Roman"/>
          <w:sz w:val="24"/>
          <w:szCs w:val="24"/>
        </w:rPr>
        <w:t>TS </w:t>
      </w:r>
      <w:r>
        <w:rPr>
          <w:rFonts w:ascii="SimSun" w:hAnsi="SimSun" w:eastAsia="SimSun" w:cs="SimSun"/>
          <w:sz w:val="24"/>
          <w:szCs w:val="24"/>
        </w:rPr>
        <w:t>调节池</w:t>
      </w:r>
      <w:r>
        <w:rPr>
          <w:rFonts w:ascii="SimSun" w:hAnsi="SimSun" w:eastAsia="SimSun" w:cs="SimSun"/>
          <w:sz w:val="24"/>
          <w:szCs w:val="24"/>
          <w:spacing w:val="-1"/>
        </w:rPr>
        <w:t>、固液分离池、沼液池位于洗毛</w:t>
      </w:r>
      <w:r>
        <w:rPr>
          <w:rFonts w:ascii="SimSun" w:hAnsi="SimSun" w:eastAsia="SimSun" w:cs="SimSun"/>
          <w:sz w:val="24"/>
          <w:szCs w:val="24"/>
        </w:rPr>
        <w:t xml:space="preserve"> </w:t>
      </w:r>
      <w:r>
        <w:rPr>
          <w:rFonts w:ascii="SimSun" w:hAnsi="SimSun" w:eastAsia="SimSun" w:cs="SimSun"/>
          <w:sz w:val="24"/>
          <w:szCs w:val="24"/>
          <w:spacing w:val="-1"/>
        </w:rPr>
        <w:t>车间内，池体进行封闭，产生的氨气、硫化氢、臭气浓度等（</w:t>
      </w:r>
      <w:r>
        <w:rPr>
          <w:rFonts w:ascii="Times New Roman" w:hAnsi="Times New Roman" w:eastAsia="Times New Roman" w:cs="Times New Roman"/>
          <w:sz w:val="24"/>
          <w:szCs w:val="24"/>
          <w:spacing w:val="-2"/>
        </w:rPr>
        <w:t>G</w:t>
      </w:r>
      <w:r>
        <w:rPr>
          <w:rFonts w:ascii="Times New Roman" w:hAnsi="Times New Roman" w:eastAsia="Times New Roman" w:cs="Times New Roman"/>
          <w:sz w:val="15"/>
          <w:szCs w:val="15"/>
          <w:spacing w:val="-2"/>
          <w:position w:val="-1"/>
        </w:rPr>
        <w:t>3-1 </w:t>
      </w:r>
      <w:r>
        <w:rPr>
          <w:rFonts w:ascii="SimSun" w:hAnsi="SimSun" w:eastAsia="SimSun" w:cs="SimSun"/>
          <w:sz w:val="24"/>
          <w:szCs w:val="24"/>
          <w:spacing w:val="-17"/>
        </w:rPr>
        <w:t>），</w:t>
      </w:r>
      <w:r>
        <w:rPr>
          <w:rFonts w:ascii="SimSun" w:hAnsi="SimSun" w:eastAsia="SimSun" w:cs="SimSun"/>
          <w:sz w:val="24"/>
          <w:szCs w:val="24"/>
          <w:spacing w:val="-2"/>
        </w:rPr>
        <w:t>经洗毛车间</w:t>
      </w:r>
      <w:r>
        <w:rPr>
          <w:rFonts w:ascii="SimSun" w:hAnsi="SimSun" w:eastAsia="SimSun" w:cs="SimSun"/>
          <w:sz w:val="24"/>
          <w:szCs w:val="24"/>
          <w:spacing w:val="1"/>
        </w:rPr>
        <w:t xml:space="preserve"> </w:t>
      </w:r>
      <w:r>
        <w:rPr>
          <w:rFonts w:ascii="SimSun" w:hAnsi="SimSun" w:eastAsia="SimSun" w:cs="SimSun"/>
          <w:sz w:val="24"/>
          <w:szCs w:val="24"/>
        </w:rPr>
        <w:t>的活性炭吸附处理后通过</w:t>
      </w:r>
      <w:r>
        <w:rPr>
          <w:rFonts w:ascii="SimSun" w:hAnsi="SimSun" w:eastAsia="SimSun" w:cs="SimSun"/>
          <w:sz w:val="24"/>
          <w:szCs w:val="24"/>
          <w:spacing w:val="-16"/>
        </w:rPr>
        <w:t xml:space="preserve"> </w:t>
      </w:r>
      <w:r>
        <w:rPr>
          <w:rFonts w:ascii="Times New Roman" w:hAnsi="Times New Roman" w:eastAsia="Times New Roman" w:cs="Times New Roman"/>
          <w:sz w:val="24"/>
          <w:szCs w:val="24"/>
        </w:rPr>
        <w:t>15m </w:t>
      </w:r>
      <w:r>
        <w:rPr>
          <w:rFonts w:ascii="SimSun" w:hAnsi="SimSun" w:eastAsia="SimSun" w:cs="SimSun"/>
          <w:sz w:val="24"/>
          <w:szCs w:val="24"/>
        </w:rPr>
        <w:t>高排气筒排放（西厂区</w:t>
      </w:r>
      <w:r>
        <w:rPr>
          <w:rFonts w:ascii="Times New Roman" w:hAnsi="Times New Roman" w:eastAsia="Times New Roman" w:cs="Times New Roman"/>
          <w:sz w:val="24"/>
          <w:szCs w:val="24"/>
        </w:rPr>
        <w:t>DA003</w:t>
      </w:r>
      <w:r>
        <w:rPr>
          <w:rFonts w:ascii="SimSun" w:hAnsi="SimSun" w:eastAsia="SimSun" w:cs="SimSun"/>
          <w:sz w:val="24"/>
          <w:szCs w:val="24"/>
        </w:rPr>
        <w:t>）。</w:t>
      </w:r>
    </w:p>
    <w:p>
      <w:pPr>
        <w:ind w:left="13" w:firstLine="480"/>
        <w:spacing w:before="1" w:line="359" w:lineRule="auto"/>
        <w:jc w:val="both"/>
        <w:rPr>
          <w:rFonts w:ascii="SimSun" w:hAnsi="SimSun" w:eastAsia="SimSun" w:cs="SimSun"/>
          <w:sz w:val="24"/>
          <w:szCs w:val="24"/>
        </w:rPr>
      </w:pPr>
      <w:r>
        <w:rPr>
          <w:rFonts w:ascii="SimSun" w:hAnsi="SimSun" w:eastAsia="SimSun" w:cs="SimSun"/>
          <w:sz w:val="24"/>
          <w:szCs w:val="24"/>
          <w:spacing w:val="-3"/>
        </w:rPr>
        <w:t>厌氧发酵罐区会有恶臭气体（厌氧发酵装置臭气</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G</w:t>
      </w:r>
      <w:r>
        <w:rPr>
          <w:rFonts w:ascii="Times New Roman" w:hAnsi="Times New Roman" w:eastAsia="Times New Roman" w:cs="Times New Roman"/>
          <w:sz w:val="15"/>
          <w:szCs w:val="15"/>
          <w:spacing w:val="-3"/>
          <w:position w:val="-1"/>
        </w:rPr>
        <w:t>3-1</w:t>
      </w:r>
      <w:r>
        <w:rPr>
          <w:rFonts w:ascii="SimSun" w:hAnsi="SimSun" w:eastAsia="SimSun" w:cs="SimSun"/>
          <w:sz w:val="24"/>
          <w:szCs w:val="24"/>
          <w:spacing w:val="-3"/>
        </w:rPr>
        <w:t>）产生，因厌氧发酵</w:t>
      </w:r>
      <w:r>
        <w:rPr>
          <w:rFonts w:ascii="SimSun" w:hAnsi="SimSun" w:eastAsia="SimSun" w:cs="SimSun"/>
          <w:sz w:val="24"/>
          <w:szCs w:val="24"/>
          <w:spacing w:val="-4"/>
        </w:rPr>
        <w:t>产物</w:t>
      </w:r>
      <w:r>
        <w:rPr>
          <w:rFonts w:ascii="SimSun" w:hAnsi="SimSun" w:eastAsia="SimSun" w:cs="SimSun"/>
          <w:sz w:val="24"/>
          <w:szCs w:val="24"/>
        </w:rPr>
        <w:t xml:space="preserve"> </w:t>
      </w:r>
      <w:r>
        <w:rPr>
          <w:rFonts w:ascii="SimSun" w:hAnsi="SimSun" w:eastAsia="SimSun" w:cs="SimSun"/>
          <w:sz w:val="24"/>
          <w:szCs w:val="24"/>
          <w:spacing w:val="3"/>
        </w:rPr>
        <w:t>已经充分发酵，臭气产生量较少，在厌氧发酵罐区定期</w:t>
      </w:r>
      <w:r>
        <w:rPr>
          <w:rFonts w:ascii="SimSun" w:hAnsi="SimSun" w:eastAsia="SimSun" w:cs="SimSun"/>
          <w:sz w:val="24"/>
          <w:szCs w:val="24"/>
          <w:spacing w:val="2"/>
        </w:rPr>
        <w:t>喷洒生物除臭剂，减少臭</w:t>
      </w:r>
      <w:r>
        <w:rPr>
          <w:rFonts w:ascii="SimSun" w:hAnsi="SimSun" w:eastAsia="SimSun" w:cs="SimSun"/>
          <w:sz w:val="24"/>
          <w:szCs w:val="24"/>
        </w:rPr>
        <w:t xml:space="preserve"> </w:t>
      </w:r>
      <w:r>
        <w:rPr>
          <w:rFonts w:ascii="SimSun" w:hAnsi="SimSun" w:eastAsia="SimSun" w:cs="SimSun"/>
          <w:sz w:val="24"/>
          <w:szCs w:val="24"/>
          <w:spacing w:val="-2"/>
        </w:rPr>
        <w:t>气的排放。各污染物产生量见</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3.5</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2"/>
        </w:rPr>
        <w:t>章节。</w:t>
      </w:r>
    </w:p>
    <w:p>
      <w:pPr>
        <w:ind w:left="23" w:firstLine="489"/>
        <w:spacing w:before="1" w:line="359" w:lineRule="auto"/>
        <w:rPr>
          <w:rFonts w:ascii="SimSun" w:hAnsi="SimSun" w:eastAsia="SimSun" w:cs="SimSun"/>
          <w:sz w:val="24"/>
          <w:szCs w:val="24"/>
        </w:rPr>
      </w:pPr>
      <w:r>
        <w:rPr>
          <w:rFonts w:ascii="SimSun" w:hAnsi="SimSun" w:eastAsia="SimSun" w:cs="SimSun"/>
          <w:sz w:val="24"/>
          <w:szCs w:val="24"/>
          <w:b/>
          <w:bCs/>
          <w:spacing w:val="2"/>
        </w:rPr>
        <w:t>固废：</w:t>
      </w:r>
      <w:r>
        <w:rPr>
          <w:rFonts w:ascii="SimSun" w:hAnsi="SimSun" w:eastAsia="SimSun" w:cs="SimSun"/>
          <w:sz w:val="24"/>
          <w:szCs w:val="24"/>
          <w:spacing w:val="2"/>
        </w:rPr>
        <w:t>恶臭气体处理采用活性炭吸附，活性炭定期更换，更换产生废活性炭</w:t>
      </w:r>
      <w:r>
        <w:rPr>
          <w:rFonts w:ascii="SimSun" w:hAnsi="SimSun" w:eastAsia="SimSun" w:cs="SimSun"/>
          <w:sz w:val="24"/>
          <w:szCs w:val="2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S</w:t>
      </w:r>
      <w:r>
        <w:rPr>
          <w:rFonts w:ascii="Times New Roman" w:hAnsi="Times New Roman" w:eastAsia="Times New Roman" w:cs="Times New Roman"/>
          <w:sz w:val="15"/>
          <w:szCs w:val="15"/>
          <w:spacing w:val="-2"/>
          <w:position w:val="-1"/>
        </w:rPr>
        <w:t>3-1 </w:t>
      </w:r>
      <w:r>
        <w:rPr>
          <w:rFonts w:ascii="SimSun" w:hAnsi="SimSun" w:eastAsia="SimSun" w:cs="SimSun"/>
          <w:sz w:val="24"/>
          <w:szCs w:val="24"/>
          <w:spacing w:val="-3"/>
        </w:rPr>
        <w:t>），</w:t>
      </w:r>
      <w:r>
        <w:rPr>
          <w:rFonts w:ascii="SimSun" w:hAnsi="SimSun" w:eastAsia="SimSun" w:cs="SimSun"/>
          <w:sz w:val="24"/>
          <w:szCs w:val="24"/>
          <w:spacing w:val="-2"/>
        </w:rPr>
        <w:t>暂存于危废暂存间，委托有资质单位处置。污染物产生量见</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3.5</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2"/>
        </w:rPr>
        <w:t>章节。</w:t>
      </w:r>
    </w:p>
    <w:p>
      <w:pPr>
        <w:ind w:left="6"/>
        <w:spacing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3.2.3.5 </w:t>
      </w:r>
      <w:r>
        <w:rPr>
          <w:rFonts w:ascii="SimSun" w:hAnsi="SimSun" w:eastAsia="SimSun" w:cs="SimSun"/>
          <w:sz w:val="24"/>
          <w:szCs w:val="24"/>
          <w:b/>
          <w:bCs/>
          <w:spacing w:val="-1"/>
        </w:rPr>
        <w:t>沼气净化</w:t>
      </w:r>
    </w:p>
    <w:p>
      <w:pPr>
        <w:ind w:firstLine="492"/>
        <w:spacing w:before="182" w:line="356" w:lineRule="auto"/>
        <w:rPr>
          <w:rFonts w:ascii="SimSun" w:hAnsi="SimSun" w:eastAsia="SimSun" w:cs="SimSun"/>
          <w:sz w:val="24"/>
          <w:szCs w:val="24"/>
        </w:rPr>
      </w:pPr>
      <w:r>
        <w:rPr>
          <w:rFonts w:ascii="SimSun" w:hAnsi="SimSun" w:eastAsia="SimSun" w:cs="SimSun"/>
          <w:sz w:val="24"/>
          <w:szCs w:val="24"/>
          <w:spacing w:val="3"/>
        </w:rPr>
        <w:t>根据建设单位提供的设计数据及同类型厌氧发酵装置沼气成分检测</w:t>
      </w:r>
      <w:r>
        <w:rPr>
          <w:rFonts w:ascii="SimSun" w:hAnsi="SimSun" w:eastAsia="SimSun" w:cs="SimSun"/>
          <w:sz w:val="24"/>
          <w:szCs w:val="24"/>
          <w:spacing w:val="2"/>
        </w:rPr>
        <w:t>报告，厌</w:t>
      </w:r>
      <w:r>
        <w:rPr>
          <w:rFonts w:ascii="SimSun" w:hAnsi="SimSun" w:eastAsia="SimSun" w:cs="SimSun"/>
          <w:sz w:val="24"/>
          <w:szCs w:val="24"/>
        </w:rPr>
        <w:t xml:space="preserve"> </w:t>
      </w:r>
      <w:r>
        <w:rPr>
          <w:rFonts w:ascii="SimSun" w:hAnsi="SimSun" w:eastAsia="SimSun" w:cs="SimSun"/>
          <w:sz w:val="24"/>
          <w:szCs w:val="24"/>
          <w:spacing w:val="-2"/>
        </w:rPr>
        <w:t>氧发酵装置产生的沼气净化前</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CH</w:t>
      </w:r>
      <w:r>
        <w:rPr>
          <w:rFonts w:ascii="Times New Roman" w:hAnsi="Times New Roman" w:eastAsia="Times New Roman" w:cs="Times New Roman"/>
          <w:sz w:val="15"/>
          <w:szCs w:val="15"/>
          <w:spacing w:val="-2"/>
          <w:position w:val="-1"/>
        </w:rPr>
        <w:t>4</w:t>
      </w:r>
      <w:r>
        <w:rPr>
          <w:rFonts w:ascii="Times New Roman" w:hAnsi="Times New Roman" w:eastAsia="Times New Roman" w:cs="Times New Roman"/>
          <w:sz w:val="24"/>
          <w:szCs w:val="24"/>
          <w:spacing w:val="-2"/>
        </w:rPr>
        <w:t>60%</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CO</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24"/>
          <w:szCs w:val="24"/>
          <w:spacing w:val="-2"/>
        </w:rPr>
        <w:t>38</w:t>
      </w:r>
      <w:r>
        <w:rPr>
          <w:rFonts w:ascii="Times New Roman" w:hAnsi="Times New Roman" w:eastAsia="Times New Roman" w:cs="Times New Roman"/>
          <w:sz w:val="24"/>
          <w:szCs w:val="24"/>
          <w:spacing w:val="-3"/>
        </w:rPr>
        <w:t>.9%</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H</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15"/>
          <w:szCs w:val="15"/>
          <w:spacing w:val="-21"/>
          <w:position w:val="-1"/>
        </w:rPr>
        <w:t xml:space="preserve"> </w:t>
      </w:r>
      <w:r>
        <w:rPr>
          <w:rFonts w:ascii="Times New Roman" w:hAnsi="Times New Roman" w:eastAsia="Times New Roman" w:cs="Times New Roman"/>
          <w:sz w:val="24"/>
          <w:szCs w:val="24"/>
          <w:spacing w:val="-3"/>
        </w:rPr>
        <w:t>S0.</w:t>
      </w:r>
      <w:r>
        <w:rPr>
          <w:rFonts w:ascii="Times New Roman" w:hAnsi="Times New Roman" w:eastAsia="Times New Roman" w:cs="Times New Roman"/>
          <w:sz w:val="24"/>
          <w:szCs w:val="24"/>
          <w:spacing w:val="-35"/>
        </w:rPr>
        <w:t xml:space="preserve"> </w:t>
      </w:r>
      <w:r>
        <w:rPr>
          <w:rFonts w:ascii="Times New Roman" w:hAnsi="Times New Roman" w:eastAsia="Times New Roman" w:cs="Times New Roman"/>
          <w:sz w:val="24"/>
          <w:szCs w:val="24"/>
          <w:spacing w:val="-3"/>
        </w:rPr>
        <w:t>146%</w:t>
      </w:r>
      <w:r>
        <w:rPr>
          <w:rFonts w:ascii="SimSun" w:hAnsi="SimSun" w:eastAsia="SimSun" w:cs="SimSun"/>
          <w:sz w:val="24"/>
          <w:szCs w:val="24"/>
          <w:spacing w:val="-3"/>
        </w:rPr>
        <w:t>（</w:t>
      </w:r>
      <w:r>
        <w:rPr>
          <w:rFonts w:ascii="Times New Roman" w:hAnsi="Times New Roman" w:eastAsia="Times New Roman" w:cs="Times New Roman"/>
          <w:sz w:val="24"/>
          <w:szCs w:val="24"/>
          <w:spacing w:val="-3"/>
        </w:rPr>
        <w:t>2222mg/m</w:t>
      </w:r>
      <w:r>
        <w:rPr>
          <w:rFonts w:ascii="Times New Roman" w:hAnsi="Times New Roman" w:eastAsia="Times New Roman" w:cs="Times New Roman"/>
          <w:sz w:val="15"/>
          <w:szCs w:val="15"/>
          <w:spacing w:val="-3"/>
          <w:position w:val="8"/>
        </w:rPr>
        <w:t>3 </w:t>
      </w:r>
      <w:r>
        <w:rPr>
          <w:rFonts w:ascii="SimSun" w:hAnsi="SimSun" w:eastAsia="SimSun" w:cs="SimSun"/>
          <w:sz w:val="24"/>
          <w:szCs w:val="24"/>
          <w:spacing w:val="-3"/>
        </w:rPr>
        <w:t>）、</w:t>
      </w:r>
      <w:r>
        <w:rPr>
          <w:rFonts w:ascii="SimSun" w:hAnsi="SimSun" w:eastAsia="SimSun" w:cs="SimSun"/>
          <w:sz w:val="24"/>
          <w:szCs w:val="24"/>
        </w:rPr>
        <w:t xml:space="preserve"> </w:t>
      </w:r>
      <w:r>
        <w:rPr>
          <w:rFonts w:ascii="Times New Roman" w:hAnsi="Times New Roman" w:eastAsia="Times New Roman" w:cs="Times New Roman"/>
          <w:sz w:val="24"/>
          <w:szCs w:val="24"/>
          <w:spacing w:val="-1"/>
        </w:rPr>
        <w:t>N</w:t>
      </w:r>
      <w:r>
        <w:rPr>
          <w:rFonts w:ascii="Times New Roman" w:hAnsi="Times New Roman" w:eastAsia="Times New Roman" w:cs="Times New Roman"/>
          <w:sz w:val="15"/>
          <w:szCs w:val="15"/>
          <w:spacing w:val="-1"/>
          <w:position w:val="-1"/>
        </w:rPr>
        <w:t>2 </w:t>
      </w:r>
      <w:r>
        <w:rPr>
          <w:rFonts w:ascii="SimSun" w:hAnsi="SimSun" w:eastAsia="SimSun" w:cs="SimSun"/>
          <w:sz w:val="24"/>
          <w:szCs w:val="24"/>
          <w:spacing w:val="-1"/>
        </w:rPr>
        <w:t>及其他</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0.954%</w:t>
      </w:r>
      <w:r>
        <w:rPr>
          <w:rFonts w:ascii="SimSun" w:hAnsi="SimSun" w:eastAsia="SimSun" w:cs="SimSun"/>
          <w:sz w:val="24"/>
          <w:szCs w:val="24"/>
          <w:spacing w:val="-1"/>
        </w:rPr>
        <w:t>。</w:t>
      </w:r>
    </w:p>
    <w:p>
      <w:pPr>
        <w:ind w:left="13" w:firstLine="480"/>
        <w:spacing w:before="11" w:line="359" w:lineRule="auto"/>
        <w:jc w:val="both"/>
        <w:rPr>
          <w:rFonts w:ascii="SimSun" w:hAnsi="SimSun" w:eastAsia="SimSun" w:cs="SimSun"/>
          <w:sz w:val="24"/>
          <w:szCs w:val="24"/>
        </w:rPr>
      </w:pPr>
      <w:r>
        <w:rPr>
          <w:rFonts w:ascii="SimSun" w:hAnsi="SimSun" w:eastAsia="SimSun" w:cs="SimSun"/>
          <w:sz w:val="24"/>
          <w:szCs w:val="24"/>
          <w:spacing w:val="-2"/>
        </w:rPr>
        <w:t>厌氧发酵装置产生的沼气温度在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35℃-50℃</w:t>
      </w:r>
      <w:r>
        <w:rPr>
          <w:rFonts w:ascii="SimSun" w:hAnsi="SimSun" w:eastAsia="SimSun" w:cs="SimSun"/>
          <w:sz w:val="24"/>
          <w:szCs w:val="24"/>
          <w:spacing w:val="-2"/>
        </w:rPr>
        <w:t>左右，沼气中的水分与硫化氢共同</w:t>
      </w:r>
      <w:r>
        <w:rPr>
          <w:rFonts w:ascii="SimSun" w:hAnsi="SimSun" w:eastAsia="SimSun" w:cs="SimSun"/>
          <w:sz w:val="24"/>
          <w:szCs w:val="24"/>
        </w:rPr>
        <w:t xml:space="preserve"> </w:t>
      </w:r>
      <w:r>
        <w:rPr>
          <w:rFonts w:ascii="SimSun" w:hAnsi="SimSun" w:eastAsia="SimSun" w:cs="SimSun"/>
          <w:sz w:val="24"/>
          <w:szCs w:val="24"/>
          <w:spacing w:val="3"/>
        </w:rPr>
        <w:t>作用，会加速管道及阀门、流量计的腐蚀，同时，由于</w:t>
      </w:r>
      <w:r>
        <w:rPr>
          <w:rFonts w:ascii="SimSun" w:hAnsi="SimSun" w:eastAsia="SimSun" w:cs="SimSun"/>
          <w:sz w:val="24"/>
          <w:szCs w:val="24"/>
          <w:spacing w:val="2"/>
        </w:rPr>
        <w:t>沼气中含有水蒸气，而每</w:t>
      </w:r>
      <w:r>
        <w:rPr>
          <w:rFonts w:ascii="SimSun" w:hAnsi="SimSun" w:eastAsia="SimSun" w:cs="SimSun"/>
          <w:sz w:val="24"/>
          <w:szCs w:val="24"/>
        </w:rPr>
        <w:t xml:space="preserve"> </w:t>
      </w:r>
      <w:r>
        <w:rPr>
          <w:rFonts w:ascii="SimSun" w:hAnsi="SimSun" w:eastAsia="SimSun" w:cs="SimSun"/>
          <w:sz w:val="24"/>
          <w:szCs w:val="24"/>
          <w:spacing w:val="3"/>
        </w:rPr>
        <w:t>一种脱硫剂在运行中都有最佳含水量，只有在该条件下</w:t>
      </w:r>
      <w:r>
        <w:rPr>
          <w:rFonts w:ascii="SimSun" w:hAnsi="SimSun" w:eastAsia="SimSun" w:cs="SimSun"/>
          <w:sz w:val="24"/>
          <w:szCs w:val="24"/>
          <w:spacing w:val="2"/>
        </w:rPr>
        <w:t>脱硫才具有较高的活性，</w:t>
      </w:r>
      <w:r>
        <w:rPr>
          <w:rFonts w:ascii="SimSun" w:hAnsi="SimSun" w:eastAsia="SimSun" w:cs="SimSun"/>
          <w:sz w:val="24"/>
          <w:szCs w:val="24"/>
        </w:rPr>
        <w:t xml:space="preserve"> </w:t>
      </w:r>
      <w:r>
        <w:rPr>
          <w:rFonts w:ascii="SimSun" w:hAnsi="SimSun" w:eastAsia="SimSun" w:cs="SimSun"/>
          <w:sz w:val="24"/>
          <w:szCs w:val="24"/>
          <w:spacing w:val="-1"/>
        </w:rPr>
        <w:t>本项目沼气净化采用脱水</w:t>
      </w:r>
      <w:r>
        <w:rPr>
          <w:rFonts w:ascii="Times New Roman" w:hAnsi="Times New Roman" w:eastAsia="Times New Roman" w:cs="Times New Roman"/>
          <w:sz w:val="24"/>
          <w:szCs w:val="24"/>
          <w:spacing w:val="-1"/>
        </w:rPr>
        <w:t>+</w:t>
      </w:r>
      <w:r>
        <w:rPr>
          <w:rFonts w:ascii="SimSun" w:hAnsi="SimSun" w:eastAsia="SimSun" w:cs="SimSun"/>
          <w:sz w:val="24"/>
          <w:szCs w:val="24"/>
          <w:spacing w:val="-1"/>
        </w:rPr>
        <w:t>干法脱硫工艺。</w:t>
      </w:r>
    </w:p>
    <w:p>
      <w:pPr>
        <w:ind w:left="503"/>
        <w:spacing w:line="219"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1</w:t>
      </w:r>
      <w:r>
        <w:rPr>
          <w:rFonts w:ascii="SimSun" w:hAnsi="SimSun" w:eastAsia="SimSun" w:cs="SimSun"/>
          <w:sz w:val="24"/>
          <w:szCs w:val="24"/>
          <w:spacing w:val="-5"/>
        </w:rPr>
        <w:t>）脱水</w:t>
      </w:r>
    </w:p>
    <w:p>
      <w:pPr>
        <w:ind w:left="13" w:firstLine="483"/>
        <w:spacing w:before="181" w:line="359" w:lineRule="auto"/>
        <w:tabs>
          <w:tab w:val="left" w:pos="138"/>
        </w:tabs>
        <w:rPr>
          <w:rFonts w:ascii="SimSun" w:hAnsi="SimSun" w:eastAsia="SimSun" w:cs="SimSun"/>
          <w:sz w:val="24"/>
          <w:szCs w:val="24"/>
        </w:rPr>
      </w:pPr>
      <w:r>
        <w:rPr>
          <w:rFonts w:ascii="SimSun" w:hAnsi="SimSun" w:eastAsia="SimSun" w:cs="SimSun"/>
          <w:sz w:val="24"/>
          <w:szCs w:val="24"/>
          <w:spacing w:val="-4"/>
        </w:rPr>
        <w:t>沼气脱水采用的自然冷凝</w:t>
      </w:r>
      <w:r>
        <w:rPr>
          <w:rFonts w:ascii="Times New Roman" w:hAnsi="Times New Roman" w:eastAsia="Times New Roman" w:cs="Times New Roman"/>
          <w:sz w:val="24"/>
          <w:szCs w:val="24"/>
          <w:spacing w:val="-4"/>
        </w:rPr>
        <w:t>+</w:t>
      </w:r>
      <w:r>
        <w:rPr>
          <w:rFonts w:ascii="SimSun" w:hAnsi="SimSun" w:eastAsia="SimSun" w:cs="SimSun"/>
          <w:sz w:val="24"/>
          <w:szCs w:val="24"/>
          <w:spacing w:val="-4"/>
        </w:rPr>
        <w:t>重力沉降</w:t>
      </w:r>
      <w:r>
        <w:rPr>
          <w:rFonts w:ascii="Times New Roman" w:hAnsi="Times New Roman" w:eastAsia="Times New Roman" w:cs="Times New Roman"/>
          <w:sz w:val="24"/>
          <w:szCs w:val="24"/>
          <w:spacing w:val="-4"/>
        </w:rPr>
        <w:t>+</w:t>
      </w:r>
      <w:r>
        <w:rPr>
          <w:rFonts w:ascii="SimSun" w:hAnsi="SimSun" w:eastAsia="SimSun" w:cs="SimSun"/>
          <w:sz w:val="24"/>
          <w:szCs w:val="24"/>
          <w:spacing w:val="-4"/>
        </w:rPr>
        <w:t>物理拦截脱水工艺。本项目设</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个</w:t>
      </w:r>
      <w:r>
        <w:rPr>
          <w:rFonts w:ascii="Times New Roman" w:hAnsi="Times New Roman" w:eastAsia="Times New Roman" w:cs="Times New Roman"/>
          <w:sz w:val="24"/>
          <w:szCs w:val="24"/>
          <w:spacing w:val="-4"/>
        </w:rPr>
        <w:t>0.75m</w:t>
      </w:r>
      <w:r>
        <w:rPr>
          <w:rFonts w:ascii="Times New Roman" w:hAnsi="Times New Roman" w:eastAsia="Times New Roman" w:cs="Times New Roman"/>
          <w:sz w:val="15"/>
          <w:szCs w:val="15"/>
          <w:spacing w:val="-4"/>
          <w:position w:val="8"/>
        </w:rPr>
        <w:t>3</w:t>
      </w:r>
      <w:r>
        <w:rPr>
          <w:rFonts w:ascii="Times New Roman" w:hAnsi="Times New Roman" w:eastAsia="Times New Roman" w:cs="Times New Roman"/>
          <w:sz w:val="15"/>
          <w:szCs w:val="15"/>
          <w:position w:val="8"/>
        </w:rPr>
        <w:t xml:space="preserve"> </w:t>
      </w:r>
      <w:r>
        <w:rPr>
          <w:rFonts w:ascii="SimSun" w:hAnsi="SimSun" w:eastAsia="SimSun" w:cs="SimSun"/>
          <w:sz w:val="24"/>
          <w:szCs w:val="24"/>
        </w:rPr>
        <w:tab/>
      </w:r>
      <w:r>
        <w:rPr>
          <w:rFonts w:ascii="SimSun" w:hAnsi="SimSun" w:eastAsia="SimSun" w:cs="SimSun"/>
          <w:sz w:val="24"/>
          <w:szCs w:val="24"/>
        </w:rPr>
        <w:t>(</w:t>
      </w:r>
      <w:r>
        <w:rPr>
          <w:rFonts w:ascii="Times New Roman" w:hAnsi="Times New Roman" w:eastAsia="Times New Roman" w:cs="Times New Roman"/>
          <w:sz w:val="24"/>
          <w:szCs w:val="24"/>
        </w:rPr>
        <w:t>Φ0.8m×1.5m</w:t>
      </w:r>
      <w:r>
        <w:rPr>
          <w:rFonts w:ascii="SimSun" w:hAnsi="SimSun" w:eastAsia="SimSun" w:cs="SimSun"/>
          <w:sz w:val="24"/>
          <w:szCs w:val="24"/>
        </w:rPr>
        <w:t>）沼气脱水罐，沼气脱水罐外部采用碳钢结构，内部防腐处理，在</w:t>
      </w:r>
      <w:r>
        <w:rPr>
          <w:rFonts w:ascii="SimSun" w:hAnsi="SimSun" w:eastAsia="SimSun" w:cs="SimSun"/>
          <w:sz w:val="24"/>
          <w:szCs w:val="24"/>
          <w:spacing w:val="2"/>
        </w:rPr>
        <w:t xml:space="preserve"> </w:t>
      </w:r>
      <w:r>
        <w:rPr>
          <w:rFonts w:ascii="SimSun" w:hAnsi="SimSun" w:eastAsia="SimSun" w:cs="SimSun"/>
          <w:sz w:val="24"/>
          <w:szCs w:val="24"/>
          <w:spacing w:val="-2"/>
        </w:rPr>
        <w:t>罐内安装水平竖直滤网。沼气从厌氧发酵罐出口以一定压力（</w:t>
      </w:r>
      <w:r>
        <w:rPr>
          <w:rFonts w:ascii="Times New Roman" w:hAnsi="Times New Roman" w:eastAsia="Times New Roman" w:cs="Times New Roman"/>
          <w:sz w:val="24"/>
          <w:szCs w:val="24"/>
          <w:spacing w:val="-2"/>
        </w:rPr>
        <w:t>0.2-1.0Mpa</w:t>
      </w:r>
      <w:r>
        <w:rPr>
          <w:rFonts w:ascii="SimSun" w:hAnsi="SimSun" w:eastAsia="SimSun" w:cs="SimSun"/>
          <w:sz w:val="24"/>
          <w:szCs w:val="24"/>
          <w:spacing w:val="-2"/>
        </w:rPr>
        <w:t>）进入沼</w:t>
      </w:r>
      <w:r>
        <w:rPr>
          <w:rFonts w:ascii="SimSun" w:hAnsi="SimSun" w:eastAsia="SimSun" w:cs="SimSun"/>
          <w:sz w:val="24"/>
          <w:szCs w:val="24"/>
          <w:spacing w:val="14"/>
        </w:rPr>
        <w:t xml:space="preserve"> </w:t>
      </w:r>
      <w:r>
        <w:rPr>
          <w:rFonts w:ascii="SimSun" w:hAnsi="SimSun" w:eastAsia="SimSun" w:cs="SimSun"/>
          <w:sz w:val="24"/>
          <w:szCs w:val="24"/>
          <w:spacing w:val="3"/>
        </w:rPr>
        <w:t>气脱水罐，沼气压力变化引起温度变化，部分水分从气</w:t>
      </w:r>
      <w:r>
        <w:rPr>
          <w:rFonts w:ascii="SimSun" w:hAnsi="SimSun" w:eastAsia="SimSun" w:cs="SimSun"/>
          <w:sz w:val="24"/>
          <w:szCs w:val="24"/>
          <w:spacing w:val="2"/>
        </w:rPr>
        <w:t>相中自然冷凝下来，然后</w:t>
      </w:r>
      <w:r>
        <w:rPr>
          <w:rFonts w:ascii="SimSun" w:hAnsi="SimSun" w:eastAsia="SimSun" w:cs="SimSun"/>
          <w:sz w:val="24"/>
          <w:szCs w:val="24"/>
        </w:rPr>
        <w:t xml:space="preserve"> </w:t>
      </w:r>
      <w:r>
        <w:rPr>
          <w:rFonts w:ascii="SimSun" w:hAnsi="SimSun" w:eastAsia="SimSun" w:cs="SimSun"/>
          <w:sz w:val="24"/>
          <w:szCs w:val="24"/>
          <w:spacing w:val="3"/>
        </w:rPr>
        <w:t>沼气从装置上部以切线的方式进入后，沼气在离</w:t>
      </w:r>
      <w:r>
        <w:rPr>
          <w:rFonts w:ascii="SimSun" w:hAnsi="SimSun" w:eastAsia="SimSun" w:cs="SimSun"/>
          <w:sz w:val="24"/>
          <w:szCs w:val="24"/>
          <w:spacing w:val="2"/>
        </w:rPr>
        <w:t>心力作用下进行旋转，然后依次</w:t>
      </w:r>
    </w:p>
    <w:p>
      <w:pPr>
        <w:ind w:right="2"/>
        <w:spacing w:before="85" w:line="227" w:lineRule="auto"/>
        <w:jc w:val="right"/>
        <w:rPr>
          <w:rFonts w:ascii="SimSun" w:hAnsi="SimSun" w:eastAsia="SimSun" w:cs="SimSun"/>
          <w:sz w:val="19"/>
          <w:szCs w:val="19"/>
        </w:rPr>
      </w:pPr>
      <w:r>
        <w:pict>
          <v:shape id="_x0000_s398" style="position:absolute;margin-left:207.556pt;margin-top:3.24275pt;mso-position-vertical-relative:text;mso-position-horizontal-relative:text;width:58.8pt;height:13.75pt;z-index:251835392;"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3"/>
                      <w:position w:val="2"/>
                    </w:rPr>
                    <w:t>78</w:t>
                  </w:r>
                  <w:r>
                    <w:rPr>
                      <w:rFonts w:ascii="Times New Roman" w:hAnsi="Times New Roman" w:eastAsia="Times New Roman" w:cs="Times New Roman"/>
                      <w:sz w:val="18"/>
                      <w:szCs w:val="18"/>
                      <w:spacing w:val="1"/>
                      <w:position w:val="2"/>
                    </w:rPr>
                    <w:t xml:space="preserve">        </w:t>
                  </w:r>
                  <w:r>
                    <w:rPr>
                      <w:rFonts w:ascii="SimSun" w:hAnsi="SimSun" w:eastAsia="SimSun" w:cs="SimSun"/>
                      <w:sz w:val="19"/>
                      <w:szCs w:val="19"/>
                      <w:spacing w:val="3"/>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88"/>
          <w:pgSz w:w="11907" w:h="16840"/>
          <w:pgMar w:top="1567" w:right="1699" w:bottom="400" w:left="1698" w:header="1221" w:footer="0" w:gutter="0"/>
        </w:sectPr>
        <w:rPr>
          <w:rFonts w:ascii="SimSun" w:hAnsi="SimSun" w:eastAsia="SimSun" w:cs="SimSun"/>
          <w:sz w:val="19"/>
          <w:szCs w:val="19"/>
        </w:rPr>
      </w:pPr>
    </w:p>
    <w:p>
      <w:pPr>
        <w:ind w:left="9" w:right="80" w:firstLine="1"/>
        <w:spacing w:before="186" w:line="359" w:lineRule="auto"/>
        <w:jc w:val="both"/>
        <w:rPr>
          <w:rFonts w:ascii="SimSun" w:hAnsi="SimSun" w:eastAsia="SimSun" w:cs="SimSun"/>
          <w:sz w:val="24"/>
          <w:szCs w:val="24"/>
        </w:rPr>
      </w:pPr>
      <w:r>
        <w:pict>
          <v:shape id="_x0000_s400" style="position:absolute;margin-left:85.05pt;margin-top:79.11pt;mso-position-vertical-relative:page;mso-position-horizontal-relative:page;width:425.25pt;height:0.75pt;z-index:251838464;" o:allowincell="f" fillcolor="#000000" filled="true" stroked="false" coordsize="8505,15" coordorigin="0,0" path="m,l8505,0l8505,14l0,14l0,0xe"/>
        </w:pict>
      </w:r>
      <w:r>
        <w:rPr>
          <w:rFonts w:ascii="SimSun" w:hAnsi="SimSun" w:eastAsia="SimSun" w:cs="SimSun"/>
          <w:sz w:val="24"/>
          <w:szCs w:val="24"/>
          <w:spacing w:val="3"/>
        </w:rPr>
        <w:t>经过水平滤网及竖直滤网，促使沼气中的水蒸</w:t>
      </w:r>
      <w:r>
        <w:rPr>
          <w:rFonts w:ascii="SimSun" w:hAnsi="SimSun" w:eastAsia="SimSun" w:cs="SimSun"/>
          <w:sz w:val="24"/>
          <w:szCs w:val="24"/>
          <w:spacing w:val="2"/>
        </w:rPr>
        <w:t>气与沼气分离，而分离后器内水滴</w:t>
      </w:r>
      <w:r>
        <w:rPr>
          <w:rFonts w:ascii="SimSun" w:hAnsi="SimSun" w:eastAsia="SimSun" w:cs="SimSun"/>
          <w:sz w:val="24"/>
          <w:szCs w:val="24"/>
        </w:rPr>
        <w:t xml:space="preserve"> </w:t>
      </w:r>
      <w:r>
        <w:rPr>
          <w:rFonts w:ascii="SimSun" w:hAnsi="SimSun" w:eastAsia="SimSun" w:cs="SimSun"/>
          <w:sz w:val="24"/>
          <w:szCs w:val="24"/>
          <w:spacing w:val="3"/>
        </w:rPr>
        <w:t>沿内壁向下流动，而存于装置底部，脱水罐下部设</w:t>
      </w:r>
      <w:r>
        <w:rPr>
          <w:rFonts w:ascii="SimSun" w:hAnsi="SimSun" w:eastAsia="SimSun" w:cs="SimSun"/>
          <w:sz w:val="24"/>
          <w:szCs w:val="24"/>
          <w:spacing w:val="2"/>
        </w:rPr>
        <w:t>有积液包和排污管，并定期排</w:t>
      </w:r>
      <w:r>
        <w:rPr>
          <w:rFonts w:ascii="SimSun" w:hAnsi="SimSun" w:eastAsia="SimSun" w:cs="SimSun"/>
          <w:sz w:val="24"/>
          <w:szCs w:val="24"/>
        </w:rPr>
        <w:t xml:space="preserve"> </w:t>
      </w:r>
      <w:r>
        <w:rPr>
          <w:rFonts w:ascii="SimSun" w:hAnsi="SimSun" w:eastAsia="SimSun" w:cs="SimSun"/>
          <w:sz w:val="24"/>
          <w:szCs w:val="24"/>
          <w:spacing w:val="-2"/>
        </w:rPr>
        <w:t>放返回废水调节池。</w:t>
      </w:r>
    </w:p>
    <w:p>
      <w:pPr>
        <w:ind w:left="501"/>
        <w:spacing w:before="1" w:line="220"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2</w:t>
      </w:r>
      <w:r>
        <w:rPr>
          <w:rFonts w:ascii="SimSun" w:hAnsi="SimSun" w:eastAsia="SimSun" w:cs="SimSun"/>
          <w:sz w:val="24"/>
          <w:szCs w:val="24"/>
          <w:spacing w:val="-5"/>
        </w:rPr>
        <w:t>）脱硫</w:t>
      </w:r>
    </w:p>
    <w:p>
      <w:pPr>
        <w:ind w:left="8" w:firstLine="480"/>
        <w:spacing w:before="180" w:line="359" w:lineRule="auto"/>
        <w:rPr>
          <w:rFonts w:ascii="SimSun" w:hAnsi="SimSun" w:eastAsia="SimSun" w:cs="SimSun"/>
          <w:sz w:val="24"/>
          <w:szCs w:val="24"/>
        </w:rPr>
      </w:pPr>
      <w:r>
        <w:rPr>
          <w:rFonts w:ascii="SimSun" w:hAnsi="SimSun" w:eastAsia="SimSun" w:cs="SimSun"/>
          <w:sz w:val="24"/>
          <w:szCs w:val="24"/>
          <w:spacing w:val="4"/>
        </w:rPr>
        <w:t>根据建设单位提供的设计数据及同类型厌氧发酵装置</w:t>
      </w:r>
      <w:r>
        <w:rPr>
          <w:rFonts w:ascii="SimSun" w:hAnsi="SimSun" w:eastAsia="SimSun" w:cs="SimSun"/>
          <w:sz w:val="24"/>
          <w:szCs w:val="24"/>
          <w:spacing w:val="3"/>
        </w:rPr>
        <w:t>沼气成分，沼气中</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3"/>
        </w:rPr>
        <w:t>H</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24"/>
          <w:szCs w:val="24"/>
          <w:spacing w:val="3"/>
        </w:rPr>
        <w:t>S</w:t>
      </w:r>
      <w:r>
        <w:rPr>
          <w:rFonts w:ascii="Times New Roman" w:hAnsi="Times New Roman" w:eastAsia="Times New Roman" w:cs="Times New Roman"/>
          <w:sz w:val="24"/>
          <w:szCs w:val="24"/>
        </w:rPr>
        <w:t xml:space="preserve">  </w:t>
      </w:r>
      <w:r>
        <w:rPr>
          <w:rFonts w:ascii="SimSun" w:hAnsi="SimSun" w:eastAsia="SimSun" w:cs="SimSun"/>
          <w:sz w:val="24"/>
          <w:szCs w:val="24"/>
          <w:spacing w:val="-5"/>
        </w:rPr>
        <w:t>平均含量为</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5"/>
        </w:rPr>
        <w:t>0.</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5"/>
        </w:rPr>
        <w:t>146%</w:t>
      </w:r>
      <w:r>
        <w:rPr>
          <w:rFonts w:ascii="SimSun" w:hAnsi="SimSun" w:eastAsia="SimSun" w:cs="SimSun"/>
          <w:sz w:val="24"/>
          <w:szCs w:val="24"/>
          <w:spacing w:val="-5"/>
        </w:rPr>
        <w:t>。沼气需要进行脱硫处理，以防止对沼气输送管道的腐蚀影响。</w:t>
      </w:r>
      <w:r>
        <w:rPr>
          <w:rFonts w:ascii="SimSun" w:hAnsi="SimSun" w:eastAsia="SimSun" w:cs="SimSun"/>
          <w:sz w:val="24"/>
          <w:szCs w:val="24"/>
        </w:rPr>
        <w:t xml:space="preserve"> </w:t>
      </w:r>
      <w:r>
        <w:rPr>
          <w:rFonts w:ascii="SimSun" w:hAnsi="SimSun" w:eastAsia="SimSun" w:cs="SimSun"/>
          <w:sz w:val="24"/>
          <w:szCs w:val="24"/>
        </w:rPr>
        <w:t>沼气脱硫一般有干法、湿法和生物法，本项目采用干</w:t>
      </w:r>
      <w:r>
        <w:rPr>
          <w:rFonts w:ascii="SimSun" w:hAnsi="SimSun" w:eastAsia="SimSun" w:cs="SimSun"/>
          <w:sz w:val="24"/>
          <w:szCs w:val="24"/>
          <w:spacing w:val="-1"/>
        </w:rPr>
        <w:t>法脱硫，设</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个</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3.85m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15"/>
          <w:szCs w:val="15"/>
          <w:spacing w:val="13"/>
          <w:position w:val="8"/>
        </w:rPr>
        <w:t xml:space="preserve"> </w:t>
      </w:r>
      <w:r>
        <w:rPr>
          <w:rFonts w:ascii="SimSun" w:hAnsi="SimSun" w:eastAsia="SimSun" w:cs="SimSun"/>
          <w:sz w:val="24"/>
          <w:szCs w:val="24"/>
          <w:spacing w:val="-1"/>
        </w:rPr>
        <w:t>脱硫</w:t>
      </w:r>
      <w:r>
        <w:rPr>
          <w:rFonts w:ascii="SimSun" w:hAnsi="SimSun" w:eastAsia="SimSun" w:cs="SimSun"/>
          <w:sz w:val="24"/>
          <w:szCs w:val="24"/>
        </w:rPr>
        <w:t xml:space="preserve"> </w:t>
      </w:r>
      <w:r>
        <w:rPr>
          <w:rFonts w:ascii="SimSun" w:hAnsi="SimSun" w:eastAsia="SimSun" w:cs="SimSun"/>
          <w:sz w:val="24"/>
          <w:szCs w:val="24"/>
        </w:rPr>
        <w:t>罐 (</w:t>
      </w:r>
      <w:r>
        <w:rPr>
          <w:rFonts w:ascii="Times New Roman" w:hAnsi="Times New Roman" w:eastAsia="Times New Roman" w:cs="Times New Roman"/>
          <w:sz w:val="24"/>
          <w:szCs w:val="24"/>
        </w:rPr>
        <w:t>Φ1.4m×2.5m</w:t>
      </w:r>
      <w:r>
        <w:rPr>
          <w:rFonts w:ascii="SimSun" w:hAnsi="SimSun" w:eastAsia="SimSun" w:cs="SimSun"/>
          <w:sz w:val="24"/>
          <w:szCs w:val="24"/>
          <w:spacing w:val="11"/>
        </w:rPr>
        <w:t>），</w:t>
      </w:r>
      <w:r>
        <w:rPr>
          <w:rFonts w:ascii="SimSun" w:hAnsi="SimSun" w:eastAsia="SimSun" w:cs="SimSun"/>
          <w:sz w:val="24"/>
          <w:szCs w:val="24"/>
        </w:rPr>
        <w:t>脱硫罐内设氧化铁脱硫剂，脱硫剂的量为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rPr>
        <w:t>2.5t</w:t>
      </w:r>
      <w:r>
        <w:rPr>
          <w:rFonts w:ascii="Times New Roman" w:hAnsi="Times New Roman" w:eastAsia="Times New Roman" w:cs="Times New Roman"/>
          <w:sz w:val="24"/>
          <w:szCs w:val="24"/>
          <w:spacing w:val="-29"/>
        </w:rPr>
        <w:t xml:space="preserve"> </w:t>
      </w:r>
      <w:r>
        <w:rPr>
          <w:rFonts w:ascii="SimSun" w:hAnsi="SimSun" w:eastAsia="SimSun" w:cs="SimSun"/>
          <w:sz w:val="24"/>
          <w:szCs w:val="24"/>
        </w:rPr>
        <w:t>，该种脱硫剂 </w:t>
      </w:r>
      <w:r>
        <w:rPr>
          <w:rFonts w:ascii="SimSun" w:hAnsi="SimSun" w:eastAsia="SimSun" w:cs="SimSun"/>
          <w:sz w:val="24"/>
          <w:szCs w:val="24"/>
          <w:spacing w:val="1"/>
        </w:rPr>
        <w:t>脱硫效率较高，气体以低流速从一端经过脱硫罐内填料层，硫化氢</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24"/>
          <w:szCs w:val="24"/>
          <w:spacing w:val="1"/>
        </w:rPr>
        <w:t>S)</w:t>
      </w:r>
      <w:r>
        <w:rPr>
          <w:rFonts w:ascii="SimSun" w:hAnsi="SimSun" w:eastAsia="SimSun" w:cs="SimSun"/>
          <w:sz w:val="24"/>
          <w:szCs w:val="24"/>
        </w:rPr>
        <w:t>氧化成硫 </w:t>
      </w:r>
      <w:r>
        <w:rPr>
          <w:rFonts w:ascii="SimSun" w:hAnsi="SimSun" w:eastAsia="SimSun" w:cs="SimSun"/>
          <w:sz w:val="24"/>
          <w:szCs w:val="24"/>
          <w:spacing w:val="3"/>
        </w:rPr>
        <w:t>或硫氧化物后，余留在填料层中，净化后气体从脱硫</w:t>
      </w:r>
      <w:r>
        <w:rPr>
          <w:rFonts w:ascii="SimSun" w:hAnsi="SimSun" w:eastAsia="SimSun" w:cs="SimSun"/>
          <w:sz w:val="24"/>
          <w:szCs w:val="24"/>
          <w:spacing w:val="2"/>
        </w:rPr>
        <w:t>罐另一端排出。本项目脱硫</w:t>
      </w:r>
      <w:r>
        <w:rPr>
          <w:rFonts w:ascii="SimSun" w:hAnsi="SimSun" w:eastAsia="SimSun" w:cs="SimSun"/>
          <w:sz w:val="24"/>
          <w:szCs w:val="24"/>
        </w:rPr>
        <w:t xml:space="preserve"> </w:t>
      </w:r>
      <w:r>
        <w:rPr>
          <w:rFonts w:ascii="SimSun" w:hAnsi="SimSun" w:eastAsia="SimSun" w:cs="SimSun"/>
          <w:sz w:val="24"/>
          <w:szCs w:val="24"/>
        </w:rPr>
        <w:t>剂不再厂区再生，平均每半年更换一次，更换后的废脱</w:t>
      </w:r>
      <w:r>
        <w:rPr>
          <w:rFonts w:ascii="SimSun" w:hAnsi="SimSun" w:eastAsia="SimSun" w:cs="SimSun"/>
          <w:sz w:val="24"/>
          <w:szCs w:val="24"/>
          <w:spacing w:val="-1"/>
        </w:rPr>
        <w:t>硫剂由厂家拉走再生。</w:t>
      </w:r>
    </w:p>
    <w:p>
      <w:pPr>
        <w:ind w:left="490"/>
        <w:spacing w:line="218" w:lineRule="auto"/>
        <w:rPr>
          <w:rFonts w:ascii="SimSun" w:hAnsi="SimSun" w:eastAsia="SimSun" w:cs="SimSun"/>
          <w:sz w:val="24"/>
          <w:szCs w:val="24"/>
        </w:rPr>
      </w:pPr>
      <w:r>
        <w:rPr>
          <w:rFonts w:ascii="SimSun" w:hAnsi="SimSun" w:eastAsia="SimSun" w:cs="SimSun"/>
          <w:sz w:val="24"/>
          <w:szCs w:val="24"/>
          <w:spacing w:val="-1"/>
        </w:rPr>
        <w:t>氧化铁脱硫反应过程如下：</w:t>
      </w:r>
    </w:p>
    <w:p>
      <w:pPr>
        <w:ind w:left="490"/>
        <w:spacing w:before="184" w:line="220" w:lineRule="auto"/>
        <w:rPr>
          <w:rFonts w:ascii="Times New Roman" w:hAnsi="Times New Roman" w:eastAsia="Times New Roman" w:cs="Times New Roman"/>
          <w:sz w:val="24"/>
          <w:szCs w:val="24"/>
        </w:rPr>
      </w:pPr>
      <w:r>
        <w:rPr>
          <w:rFonts w:ascii="SimSun" w:hAnsi="SimSun" w:eastAsia="SimSun" w:cs="SimSun"/>
          <w:sz w:val="24"/>
          <w:szCs w:val="24"/>
        </w:rPr>
        <w:t>脱硫过程：</w:t>
      </w:r>
      <w:r>
        <w:rPr>
          <w:rFonts w:ascii="Times New Roman" w:hAnsi="Times New Roman" w:eastAsia="Times New Roman" w:cs="Times New Roman"/>
          <w:sz w:val="24"/>
          <w:szCs w:val="24"/>
        </w:rPr>
        <w:t>Fe</w:t>
      </w:r>
      <w:r>
        <w:rPr>
          <w:rFonts w:ascii="Times New Roman" w:hAnsi="Times New Roman" w:eastAsia="Times New Roman" w:cs="Times New Roman"/>
          <w:sz w:val="15"/>
          <w:szCs w:val="15"/>
        </w:rPr>
        <w:t>2</w:t>
      </w:r>
      <w:r>
        <w:rPr>
          <w:rFonts w:ascii="Times New Roman" w:hAnsi="Times New Roman" w:eastAsia="Times New Roman" w:cs="Times New Roman"/>
          <w:sz w:val="24"/>
          <w:szCs w:val="24"/>
        </w:rPr>
        <w:t>O</w:t>
      </w:r>
      <w:r>
        <w:rPr>
          <w:rFonts w:ascii="Times New Roman" w:hAnsi="Times New Roman" w:eastAsia="Times New Roman" w:cs="Times New Roman"/>
          <w:sz w:val="15"/>
          <w:szCs w:val="15"/>
          <w:position w:val="-1"/>
        </w:rPr>
        <w:t>3</w:t>
      </w:r>
      <w:r>
        <w:rPr>
          <w:rFonts w:ascii="Times New Roman" w:hAnsi="Times New Roman" w:eastAsia="Times New Roman" w:cs="Times New Roman"/>
          <w:sz w:val="24"/>
          <w:szCs w:val="24"/>
        </w:rPr>
        <w:t>·H</w:t>
      </w:r>
      <w:r>
        <w:rPr>
          <w:rFonts w:ascii="Times New Roman" w:hAnsi="Times New Roman" w:eastAsia="Times New Roman" w:cs="Times New Roman"/>
          <w:sz w:val="15"/>
          <w:szCs w:val="15"/>
          <w:position w:val="-1"/>
        </w:rPr>
        <w:t>2</w:t>
      </w:r>
      <w:r>
        <w:rPr>
          <w:rFonts w:ascii="Times New Roman" w:hAnsi="Times New Roman" w:eastAsia="Times New Roman" w:cs="Times New Roman"/>
          <w:sz w:val="24"/>
          <w:szCs w:val="24"/>
        </w:rPr>
        <w:t>O+3H</w:t>
      </w:r>
      <w:r>
        <w:rPr>
          <w:rFonts w:ascii="Times New Roman" w:hAnsi="Times New Roman" w:eastAsia="Times New Roman" w:cs="Times New Roman"/>
          <w:sz w:val="15"/>
          <w:szCs w:val="15"/>
          <w:position w:val="-1"/>
        </w:rPr>
        <w:t>2</w:t>
      </w:r>
      <w:r>
        <w:rPr>
          <w:rFonts w:ascii="Times New Roman" w:hAnsi="Times New Roman" w:eastAsia="Times New Roman" w:cs="Times New Roman"/>
          <w:sz w:val="24"/>
          <w:szCs w:val="24"/>
        </w:rPr>
        <w:t>S</w:t>
      </w:r>
      <w:r>
        <w:rPr>
          <w:rFonts w:ascii="Times New Roman" w:hAnsi="Times New Roman" w:eastAsia="Times New Roman" w:cs="Times New Roman"/>
          <w:sz w:val="24"/>
          <w:szCs w:val="24"/>
          <w:spacing w:val="-40"/>
        </w:rPr>
        <w:t xml:space="preserve"> </w:t>
      </w:r>
      <w:r>
        <w:rPr>
          <w:rFonts w:ascii="SimSun" w:hAnsi="SimSun" w:eastAsia="SimSun" w:cs="SimSun"/>
          <w:sz w:val="24"/>
          <w:szCs w:val="24"/>
        </w:rPr>
        <w:t>→</w:t>
      </w:r>
      <w:r>
        <w:rPr>
          <w:rFonts w:ascii="Times New Roman" w:hAnsi="Times New Roman" w:eastAsia="Times New Roman" w:cs="Times New Roman"/>
          <w:sz w:val="24"/>
          <w:szCs w:val="24"/>
        </w:rPr>
        <w:t>Fe</w:t>
      </w:r>
      <w:r>
        <w:rPr>
          <w:rFonts w:ascii="Times New Roman" w:hAnsi="Times New Roman" w:eastAsia="Times New Roman" w:cs="Times New Roman"/>
          <w:sz w:val="15"/>
          <w:szCs w:val="15"/>
          <w:spacing w:val="-1"/>
        </w:rPr>
        <w:t>2</w:t>
      </w:r>
      <w:r>
        <w:rPr>
          <w:rFonts w:ascii="Times New Roman" w:hAnsi="Times New Roman" w:eastAsia="Times New Roman" w:cs="Times New Roman"/>
          <w:sz w:val="24"/>
          <w:szCs w:val="24"/>
          <w:spacing w:val="-1"/>
        </w:rPr>
        <w:t>S</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24"/>
          <w:szCs w:val="24"/>
          <w:spacing w:val="-1"/>
        </w:rPr>
        <w:t>O+3H</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24"/>
          <w:szCs w:val="24"/>
          <w:spacing w:val="-1"/>
        </w:rPr>
        <w:t>O</w:t>
      </w:r>
    </w:p>
    <w:p>
      <w:pPr>
        <w:ind w:left="491"/>
        <w:spacing w:before="179" w:line="212" w:lineRule="auto"/>
        <w:rPr>
          <w:rFonts w:ascii="SimSun" w:hAnsi="SimSun" w:eastAsia="SimSun" w:cs="SimSun"/>
          <w:sz w:val="24"/>
          <w:szCs w:val="24"/>
        </w:rPr>
      </w:pPr>
      <w:r>
        <w:rPr>
          <w:rFonts w:ascii="SimSun" w:hAnsi="SimSun" w:eastAsia="SimSun" w:cs="SimSun"/>
          <w:sz w:val="24"/>
          <w:szCs w:val="24"/>
          <w:spacing w:val="-1"/>
        </w:rPr>
        <w:t>经脱硫后沼气中</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24"/>
          <w:szCs w:val="24"/>
          <w:spacing w:val="-1"/>
        </w:rPr>
        <w:t>S </w:t>
      </w:r>
      <w:r>
        <w:rPr>
          <w:rFonts w:ascii="SimSun" w:hAnsi="SimSun" w:eastAsia="SimSun" w:cs="SimSun"/>
          <w:sz w:val="24"/>
          <w:szCs w:val="24"/>
          <w:spacing w:val="-1"/>
        </w:rPr>
        <w:t>平均含量为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0.003%</w:t>
      </w:r>
      <w:r>
        <w:rPr>
          <w:rFonts w:ascii="SimSun" w:hAnsi="SimSun" w:eastAsia="SimSun" w:cs="SimSun"/>
          <w:sz w:val="24"/>
          <w:szCs w:val="24"/>
          <w:spacing w:val="-1"/>
        </w:rPr>
        <w:t>（体积浓度</w:t>
      </w:r>
      <w:r>
        <w:rPr>
          <w:rFonts w:ascii="SimSun" w:hAnsi="SimSun" w:eastAsia="SimSun" w:cs="SimSun"/>
          <w:sz w:val="24"/>
          <w:szCs w:val="24"/>
          <w:spacing w:val="2"/>
        </w:rPr>
        <w:t>），</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15"/>
          <w:szCs w:val="15"/>
          <w:spacing w:val="-21"/>
          <w:position w:val="-1"/>
        </w:rPr>
        <w:t xml:space="preserve"> </w:t>
      </w:r>
      <w:r>
        <w:rPr>
          <w:rFonts w:ascii="Times New Roman" w:hAnsi="Times New Roman" w:eastAsia="Times New Roman" w:cs="Times New Roman"/>
          <w:sz w:val="24"/>
          <w:szCs w:val="24"/>
          <w:spacing w:val="-1"/>
        </w:rPr>
        <w:t>S≤20mg/m</w:t>
      </w:r>
      <w:r>
        <w:rPr>
          <w:rFonts w:ascii="Times New Roman" w:hAnsi="Times New Roman" w:eastAsia="Times New Roman" w:cs="Times New Roman"/>
          <w:sz w:val="15"/>
          <w:szCs w:val="15"/>
          <w:spacing w:val="-1"/>
          <w:position w:val="7"/>
        </w:rPr>
        <w:t>3</w:t>
      </w:r>
      <w:r>
        <w:rPr>
          <w:rFonts w:ascii="SimSun" w:hAnsi="SimSun" w:eastAsia="SimSun" w:cs="SimSun"/>
          <w:sz w:val="24"/>
          <w:szCs w:val="24"/>
          <w:spacing w:val="-1"/>
        </w:rPr>
        <w:t>。</w:t>
      </w:r>
    </w:p>
    <w:p>
      <w:pPr>
        <w:ind w:left="501"/>
        <w:spacing w:before="193" w:line="220"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3</w:t>
      </w:r>
      <w:r>
        <w:rPr>
          <w:rFonts w:ascii="SimSun" w:hAnsi="SimSun" w:eastAsia="SimSun" w:cs="SimSun"/>
          <w:sz w:val="24"/>
          <w:szCs w:val="24"/>
          <w:spacing w:val="-5"/>
        </w:rPr>
        <w:t>）气柜</w:t>
      </w:r>
    </w:p>
    <w:p>
      <w:pPr>
        <w:ind w:left="10" w:right="80" w:firstLine="480"/>
        <w:spacing w:before="182" w:line="358" w:lineRule="auto"/>
        <w:rPr>
          <w:rFonts w:ascii="SimSun" w:hAnsi="SimSun" w:eastAsia="SimSun" w:cs="SimSun"/>
          <w:sz w:val="24"/>
          <w:szCs w:val="24"/>
        </w:rPr>
      </w:pPr>
      <w:r>
        <w:rPr>
          <w:rFonts w:ascii="SimSun" w:hAnsi="SimSun" w:eastAsia="SimSun" w:cs="SimSun"/>
          <w:sz w:val="24"/>
          <w:szCs w:val="24"/>
          <w:spacing w:val="1"/>
        </w:rPr>
        <w:t>本项目配置</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1"/>
        </w:rPr>
        <w:t>座</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300m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15"/>
          <w:szCs w:val="15"/>
          <w:spacing w:val="14"/>
          <w:w w:val="101"/>
          <w:position w:val="8"/>
        </w:rPr>
        <w:t xml:space="preserve"> </w:t>
      </w:r>
      <w:r>
        <w:rPr>
          <w:rFonts w:ascii="SimSun" w:hAnsi="SimSun" w:eastAsia="SimSun" w:cs="SimSun"/>
          <w:sz w:val="24"/>
          <w:szCs w:val="24"/>
          <w:spacing w:val="1"/>
        </w:rPr>
        <w:t>独立双膜气柜，净化后</w:t>
      </w:r>
      <w:r>
        <w:rPr>
          <w:rFonts w:ascii="SimSun" w:hAnsi="SimSun" w:eastAsia="SimSun" w:cs="SimSun"/>
          <w:sz w:val="24"/>
          <w:szCs w:val="24"/>
        </w:rPr>
        <w:t>的沼气在气柜缓存后，经增压 </w:t>
      </w:r>
      <w:r>
        <w:rPr>
          <w:rFonts w:ascii="SimSun" w:hAnsi="SimSun" w:eastAsia="SimSun" w:cs="SimSun"/>
          <w:sz w:val="24"/>
          <w:szCs w:val="24"/>
          <w:spacing w:val="-1"/>
        </w:rPr>
        <w:t>风机加压后去沼气锅炉燃烧。</w:t>
      </w:r>
    </w:p>
    <w:p>
      <w:pPr>
        <w:ind w:left="8" w:right="77" w:firstLine="480"/>
        <w:spacing w:before="3" w:line="359" w:lineRule="auto"/>
        <w:jc w:val="both"/>
        <w:rPr>
          <w:rFonts w:ascii="SimSun" w:hAnsi="SimSun" w:eastAsia="SimSun" w:cs="SimSun"/>
          <w:sz w:val="24"/>
          <w:szCs w:val="24"/>
        </w:rPr>
      </w:pPr>
      <w:r>
        <w:rPr>
          <w:rFonts w:ascii="SimSun" w:hAnsi="SimSun" w:eastAsia="SimSun" w:cs="SimSun"/>
          <w:sz w:val="24"/>
          <w:szCs w:val="24"/>
          <w:spacing w:val="3"/>
        </w:rPr>
        <w:t>双膜气柜由外、内膜及附属设备组成，具有抗紫外线及各种生物的</w:t>
      </w:r>
      <w:r>
        <w:rPr>
          <w:rFonts w:ascii="SimSun" w:hAnsi="SimSun" w:eastAsia="SimSun" w:cs="SimSun"/>
          <w:sz w:val="24"/>
          <w:szCs w:val="24"/>
          <w:spacing w:val="2"/>
        </w:rPr>
        <w:t>能力，高</w:t>
      </w:r>
      <w:r>
        <w:rPr>
          <w:rFonts w:ascii="SimSun" w:hAnsi="SimSun" w:eastAsia="SimSun" w:cs="SimSun"/>
          <w:sz w:val="24"/>
          <w:szCs w:val="24"/>
        </w:rPr>
        <w:t xml:space="preserve"> </w:t>
      </w:r>
      <w:r>
        <w:rPr>
          <w:rFonts w:ascii="SimSun" w:hAnsi="SimSun" w:eastAsia="SimSun" w:cs="SimSun"/>
          <w:sz w:val="24"/>
          <w:szCs w:val="24"/>
          <w:spacing w:val="3"/>
        </w:rPr>
        <w:t>度防火。外膜构成储存柜的球状外型。利用外膜进气</w:t>
      </w:r>
      <w:r>
        <w:rPr>
          <w:rFonts w:ascii="SimSun" w:hAnsi="SimSun" w:eastAsia="SimSun" w:cs="SimSun"/>
          <w:sz w:val="24"/>
          <w:szCs w:val="24"/>
          <w:spacing w:val="2"/>
        </w:rPr>
        <w:t>鼓风机保持气柜恒压，当内</w:t>
      </w:r>
      <w:r>
        <w:rPr>
          <w:rFonts w:ascii="SimSun" w:hAnsi="SimSun" w:eastAsia="SimSun" w:cs="SimSun"/>
          <w:sz w:val="24"/>
          <w:szCs w:val="24"/>
        </w:rPr>
        <w:t xml:space="preserve"> </w:t>
      </w:r>
      <w:r>
        <w:rPr>
          <w:rFonts w:ascii="SimSun" w:hAnsi="SimSun" w:eastAsia="SimSun" w:cs="SimSun"/>
          <w:sz w:val="24"/>
          <w:szCs w:val="24"/>
          <w:spacing w:val="3"/>
        </w:rPr>
        <w:t>膜气体减少时，外膜通过鼓风机进气，保持内膜气柜的设</w:t>
      </w:r>
      <w:r>
        <w:rPr>
          <w:rFonts w:ascii="SimSun" w:hAnsi="SimSun" w:eastAsia="SimSun" w:cs="SimSun"/>
          <w:sz w:val="24"/>
          <w:szCs w:val="24"/>
          <w:spacing w:val="2"/>
        </w:rPr>
        <w:t>计压力；当内膜气体量</w:t>
      </w:r>
      <w:r>
        <w:rPr>
          <w:rFonts w:ascii="SimSun" w:hAnsi="SimSun" w:eastAsia="SimSun" w:cs="SimSun"/>
          <w:sz w:val="24"/>
          <w:szCs w:val="24"/>
        </w:rPr>
        <w:t xml:space="preserve"> </w:t>
      </w:r>
      <w:r>
        <w:rPr>
          <w:rFonts w:ascii="SimSun" w:hAnsi="SimSun" w:eastAsia="SimSun" w:cs="SimSun"/>
          <w:sz w:val="24"/>
          <w:szCs w:val="24"/>
          <w:spacing w:val="3"/>
        </w:rPr>
        <w:t>增加时，内膜正常伸张，通过调压阀将外膜多余空气排出</w:t>
      </w:r>
      <w:r>
        <w:rPr>
          <w:rFonts w:ascii="SimSun" w:hAnsi="SimSun" w:eastAsia="SimSun" w:cs="SimSun"/>
          <w:sz w:val="24"/>
          <w:szCs w:val="24"/>
          <w:spacing w:val="2"/>
        </w:rPr>
        <w:t>，使沼气压力始终恒定</w:t>
      </w:r>
      <w:r>
        <w:rPr>
          <w:rFonts w:ascii="SimSun" w:hAnsi="SimSun" w:eastAsia="SimSun" w:cs="SimSun"/>
          <w:sz w:val="24"/>
          <w:szCs w:val="24"/>
        </w:rPr>
        <w:t xml:space="preserve"> </w:t>
      </w:r>
      <w:r>
        <w:rPr>
          <w:rFonts w:ascii="SimSun" w:hAnsi="SimSun" w:eastAsia="SimSun" w:cs="SimSun"/>
          <w:sz w:val="24"/>
          <w:szCs w:val="24"/>
          <w:spacing w:val="3"/>
        </w:rPr>
        <w:t>在一个恒定的设计压力。气柜采用优质专用膜材，经过高</w:t>
      </w:r>
      <w:r>
        <w:rPr>
          <w:rFonts w:ascii="SimSun" w:hAnsi="SimSun" w:eastAsia="SimSun" w:cs="SimSun"/>
          <w:sz w:val="24"/>
          <w:szCs w:val="24"/>
          <w:spacing w:val="2"/>
        </w:rPr>
        <w:t>频热合制作而成。工作</w:t>
      </w:r>
      <w:r>
        <w:rPr>
          <w:rFonts w:ascii="SimSun" w:hAnsi="SimSun" w:eastAsia="SimSun" w:cs="SimSun"/>
          <w:sz w:val="24"/>
          <w:szCs w:val="24"/>
        </w:rPr>
        <w:t xml:space="preserve"> </w:t>
      </w:r>
      <w:r>
        <w:rPr>
          <w:rFonts w:ascii="SimSun" w:hAnsi="SimSun" w:eastAsia="SimSun" w:cs="SimSun"/>
          <w:sz w:val="24"/>
          <w:szCs w:val="24"/>
          <w:spacing w:val="-6"/>
        </w:rPr>
        <w:t>压</w:t>
      </w:r>
      <w:r>
        <w:rPr>
          <w:rFonts w:ascii="SimSun" w:hAnsi="SimSun" w:eastAsia="SimSun" w:cs="SimSun"/>
          <w:sz w:val="24"/>
          <w:szCs w:val="24"/>
          <w:spacing w:val="-66"/>
        </w:rPr>
        <w:t xml:space="preserve"> </w:t>
      </w:r>
      <w:r>
        <w:rPr>
          <w:rFonts w:ascii="SimSun" w:hAnsi="SimSun" w:eastAsia="SimSun" w:cs="SimSun"/>
          <w:sz w:val="24"/>
          <w:szCs w:val="24"/>
          <w:spacing w:val="-6"/>
        </w:rPr>
        <w:t>力</w:t>
      </w:r>
      <w:r>
        <w:rPr>
          <w:rFonts w:ascii="SimSun" w:hAnsi="SimSun" w:eastAsia="SimSun" w:cs="SimSun"/>
          <w:sz w:val="24"/>
          <w:szCs w:val="24"/>
          <w:spacing w:val="-70"/>
        </w:rPr>
        <w:t xml:space="preserve"> </w:t>
      </w:r>
      <w:r>
        <w:rPr>
          <w:rFonts w:ascii="SimSun" w:hAnsi="SimSun" w:eastAsia="SimSun" w:cs="SimSun"/>
          <w:sz w:val="24"/>
          <w:szCs w:val="24"/>
          <w:spacing w:val="-6"/>
        </w:rPr>
        <w:t>可</w:t>
      </w:r>
      <w:r>
        <w:rPr>
          <w:rFonts w:ascii="SimSun" w:hAnsi="SimSun" w:eastAsia="SimSun" w:cs="SimSun"/>
          <w:sz w:val="24"/>
          <w:szCs w:val="24"/>
          <w:spacing w:val="-71"/>
        </w:rPr>
        <w:t xml:space="preserve"> </w:t>
      </w:r>
      <w:r>
        <w:rPr>
          <w:rFonts w:ascii="SimSun" w:hAnsi="SimSun" w:eastAsia="SimSun" w:cs="SimSun"/>
          <w:sz w:val="24"/>
          <w:szCs w:val="24"/>
          <w:spacing w:val="-6"/>
        </w:rPr>
        <w:t>达 </w:t>
      </w:r>
      <w:r>
        <w:rPr>
          <w:rFonts w:ascii="Times New Roman" w:hAnsi="Times New Roman" w:eastAsia="Times New Roman" w:cs="Times New Roman"/>
          <w:sz w:val="24"/>
          <w:szCs w:val="24"/>
          <w:spacing w:val="-6"/>
        </w:rPr>
        <w:t>2000Pa </w:t>
      </w:r>
      <w:r>
        <w:rPr>
          <w:rFonts w:ascii="SimSun" w:hAnsi="SimSun" w:eastAsia="SimSun" w:cs="SimSun"/>
          <w:sz w:val="24"/>
          <w:szCs w:val="24"/>
          <w:spacing w:val="-6"/>
        </w:rPr>
        <w:t>，</w:t>
      </w:r>
      <w:r>
        <w:rPr>
          <w:rFonts w:ascii="SimSun" w:hAnsi="SimSun" w:eastAsia="SimSun" w:cs="SimSun"/>
          <w:sz w:val="24"/>
          <w:szCs w:val="24"/>
          <w:spacing w:val="-60"/>
        </w:rPr>
        <w:t xml:space="preserve"> </w:t>
      </w:r>
      <w:r>
        <w:rPr>
          <w:rFonts w:ascii="SimSun" w:hAnsi="SimSun" w:eastAsia="SimSun" w:cs="SimSun"/>
          <w:sz w:val="24"/>
          <w:szCs w:val="24"/>
          <w:spacing w:val="-6"/>
        </w:rPr>
        <w:t>能承</w:t>
      </w:r>
      <w:r>
        <w:rPr>
          <w:rFonts w:ascii="SimSun" w:hAnsi="SimSun" w:eastAsia="SimSun" w:cs="SimSun"/>
          <w:sz w:val="24"/>
          <w:szCs w:val="24"/>
          <w:spacing w:val="-65"/>
        </w:rPr>
        <w:t xml:space="preserve"> </w:t>
      </w:r>
      <w:r>
        <w:rPr>
          <w:rFonts w:ascii="SimSun" w:hAnsi="SimSun" w:eastAsia="SimSun" w:cs="SimSun"/>
          <w:sz w:val="24"/>
          <w:szCs w:val="24"/>
          <w:spacing w:val="-6"/>
        </w:rPr>
        <w:t>受 </w:t>
      </w:r>
      <w:r>
        <w:rPr>
          <w:rFonts w:ascii="Times New Roman" w:hAnsi="Times New Roman" w:eastAsia="Times New Roman" w:cs="Times New Roman"/>
          <w:sz w:val="24"/>
          <w:szCs w:val="24"/>
          <w:spacing w:val="-6"/>
        </w:rPr>
        <w:t>0.3kN/m</w:t>
      </w:r>
      <w:r>
        <w:rPr>
          <w:rFonts w:ascii="Times New Roman" w:hAnsi="Times New Roman" w:eastAsia="Times New Roman" w:cs="Times New Roman"/>
          <w:sz w:val="15"/>
          <w:szCs w:val="15"/>
          <w:spacing w:val="-6"/>
          <w:position w:val="8"/>
        </w:rPr>
        <w:t>2</w:t>
      </w:r>
      <w:r>
        <w:rPr>
          <w:rFonts w:ascii="Times New Roman" w:hAnsi="Times New Roman" w:eastAsia="Times New Roman" w:cs="Times New Roman"/>
          <w:sz w:val="15"/>
          <w:szCs w:val="15"/>
          <w:spacing w:val="16"/>
          <w:position w:val="8"/>
        </w:rPr>
        <w:t xml:space="preserve">  </w:t>
      </w:r>
      <w:r>
        <w:rPr>
          <w:rFonts w:ascii="SimSun" w:hAnsi="SimSun" w:eastAsia="SimSun" w:cs="SimSun"/>
          <w:sz w:val="24"/>
          <w:szCs w:val="24"/>
          <w:spacing w:val="-6"/>
        </w:rPr>
        <w:t>的</w:t>
      </w:r>
      <w:r>
        <w:rPr>
          <w:rFonts w:ascii="SimSun" w:hAnsi="SimSun" w:eastAsia="SimSun" w:cs="SimSun"/>
          <w:sz w:val="24"/>
          <w:szCs w:val="24"/>
          <w:spacing w:val="-63"/>
        </w:rPr>
        <w:t xml:space="preserve"> </w:t>
      </w:r>
      <w:r>
        <w:rPr>
          <w:rFonts w:ascii="SimSun" w:hAnsi="SimSun" w:eastAsia="SimSun" w:cs="SimSun"/>
          <w:sz w:val="24"/>
          <w:szCs w:val="24"/>
          <w:spacing w:val="-6"/>
        </w:rPr>
        <w:t>雪</w:t>
      </w:r>
      <w:r>
        <w:rPr>
          <w:rFonts w:ascii="SimSun" w:hAnsi="SimSun" w:eastAsia="SimSun" w:cs="SimSun"/>
          <w:sz w:val="24"/>
          <w:szCs w:val="24"/>
          <w:spacing w:val="-71"/>
        </w:rPr>
        <w:t xml:space="preserve"> </w:t>
      </w:r>
      <w:r>
        <w:rPr>
          <w:rFonts w:ascii="SimSun" w:hAnsi="SimSun" w:eastAsia="SimSun" w:cs="SimSun"/>
          <w:sz w:val="24"/>
          <w:szCs w:val="24"/>
          <w:spacing w:val="-6"/>
        </w:rPr>
        <w:t>压</w:t>
      </w:r>
      <w:r>
        <w:rPr>
          <w:rFonts w:ascii="SimSun" w:hAnsi="SimSun" w:eastAsia="SimSun" w:cs="SimSun"/>
          <w:sz w:val="24"/>
          <w:szCs w:val="24"/>
          <w:spacing w:val="-69"/>
        </w:rPr>
        <w:t xml:space="preserve"> </w:t>
      </w:r>
      <w:r>
        <w:rPr>
          <w:rFonts w:ascii="SimSun" w:hAnsi="SimSun" w:eastAsia="SimSun" w:cs="SimSun"/>
          <w:sz w:val="24"/>
          <w:szCs w:val="24"/>
          <w:spacing w:val="-6"/>
        </w:rPr>
        <w:t>和 </w:t>
      </w:r>
      <w:r>
        <w:rPr>
          <w:rFonts w:ascii="Times New Roman" w:hAnsi="Times New Roman" w:eastAsia="Times New Roman" w:cs="Times New Roman"/>
          <w:sz w:val="24"/>
          <w:szCs w:val="24"/>
          <w:spacing w:val="-6"/>
        </w:rPr>
        <w:t>0.4kN/m</w:t>
      </w:r>
      <w:r>
        <w:rPr>
          <w:rFonts w:ascii="Times New Roman" w:hAnsi="Times New Roman" w:eastAsia="Times New Roman" w:cs="Times New Roman"/>
          <w:sz w:val="15"/>
          <w:szCs w:val="15"/>
          <w:spacing w:val="-6"/>
          <w:position w:val="8"/>
        </w:rPr>
        <w:t>2</w:t>
      </w:r>
      <w:r>
        <w:rPr>
          <w:rFonts w:ascii="Times New Roman" w:hAnsi="Times New Roman" w:eastAsia="Times New Roman" w:cs="Times New Roman"/>
          <w:sz w:val="15"/>
          <w:szCs w:val="15"/>
          <w:spacing w:val="-7"/>
          <w:position w:val="8"/>
        </w:rPr>
        <w:t xml:space="preserve">   </w:t>
      </w:r>
      <w:r>
        <w:rPr>
          <w:rFonts w:ascii="SimSun" w:hAnsi="SimSun" w:eastAsia="SimSun" w:cs="SimSun"/>
          <w:sz w:val="24"/>
          <w:szCs w:val="24"/>
          <w:spacing w:val="-7"/>
        </w:rPr>
        <w:t>的</w:t>
      </w:r>
      <w:r>
        <w:rPr>
          <w:rFonts w:ascii="SimSun" w:hAnsi="SimSun" w:eastAsia="SimSun" w:cs="SimSun"/>
          <w:sz w:val="24"/>
          <w:szCs w:val="24"/>
          <w:spacing w:val="-69"/>
        </w:rPr>
        <w:t xml:space="preserve"> </w:t>
      </w:r>
      <w:r>
        <w:rPr>
          <w:rFonts w:ascii="SimSun" w:hAnsi="SimSun" w:eastAsia="SimSun" w:cs="SimSun"/>
          <w:sz w:val="24"/>
          <w:szCs w:val="24"/>
          <w:spacing w:val="-7"/>
        </w:rPr>
        <w:t>风</w:t>
      </w:r>
      <w:r>
        <w:rPr>
          <w:rFonts w:ascii="SimSun" w:hAnsi="SimSun" w:eastAsia="SimSun" w:cs="SimSun"/>
          <w:sz w:val="24"/>
          <w:szCs w:val="24"/>
          <w:spacing w:val="-71"/>
        </w:rPr>
        <w:t xml:space="preserve"> </w:t>
      </w:r>
      <w:r>
        <w:rPr>
          <w:rFonts w:ascii="SimSun" w:hAnsi="SimSun" w:eastAsia="SimSun" w:cs="SimSun"/>
          <w:sz w:val="24"/>
          <w:szCs w:val="24"/>
          <w:spacing w:val="-7"/>
        </w:rPr>
        <w:t>压</w:t>
      </w:r>
      <w:r>
        <w:rPr>
          <w:rFonts w:ascii="SimSun" w:hAnsi="SimSun" w:eastAsia="SimSun" w:cs="SimSun"/>
          <w:sz w:val="24"/>
          <w:szCs w:val="24"/>
          <w:spacing w:val="-50"/>
        </w:rPr>
        <w:t xml:space="preserve"> </w:t>
      </w:r>
      <w:r>
        <w:rPr>
          <w:rFonts w:ascii="SimSun" w:hAnsi="SimSun" w:eastAsia="SimSun" w:cs="SimSun"/>
          <w:sz w:val="24"/>
          <w:szCs w:val="24"/>
          <w:spacing w:val="-7"/>
        </w:rPr>
        <w:t>，</w:t>
      </w:r>
      <w:r>
        <w:rPr>
          <w:rFonts w:ascii="SimSun" w:hAnsi="SimSun" w:eastAsia="SimSun" w:cs="SimSun"/>
          <w:sz w:val="24"/>
          <w:szCs w:val="24"/>
          <w:spacing w:val="-67"/>
        </w:rPr>
        <w:t xml:space="preserve"> </w:t>
      </w:r>
      <w:r>
        <w:rPr>
          <w:rFonts w:ascii="SimSun" w:hAnsi="SimSun" w:eastAsia="SimSun" w:cs="SimSun"/>
          <w:sz w:val="24"/>
          <w:szCs w:val="24"/>
          <w:spacing w:val="-7"/>
        </w:rPr>
        <w:t>工</w:t>
      </w:r>
      <w:r>
        <w:rPr>
          <w:rFonts w:ascii="SimSun" w:hAnsi="SimSun" w:eastAsia="SimSun" w:cs="SimSun"/>
          <w:sz w:val="24"/>
          <w:szCs w:val="24"/>
          <w:spacing w:val="-71"/>
        </w:rPr>
        <w:t xml:space="preserve"> </w:t>
      </w:r>
      <w:r>
        <w:rPr>
          <w:rFonts w:ascii="SimSun" w:hAnsi="SimSun" w:eastAsia="SimSun" w:cs="SimSun"/>
          <w:sz w:val="24"/>
          <w:szCs w:val="24"/>
          <w:spacing w:val="-7"/>
        </w:rPr>
        <w:t>作</w:t>
      </w:r>
      <w:r>
        <w:rPr>
          <w:rFonts w:ascii="SimSun" w:hAnsi="SimSun" w:eastAsia="SimSun" w:cs="SimSun"/>
          <w:sz w:val="24"/>
          <w:szCs w:val="24"/>
          <w:spacing w:val="-68"/>
        </w:rPr>
        <w:t xml:space="preserve"> </w:t>
      </w:r>
      <w:r>
        <w:rPr>
          <w:rFonts w:ascii="SimSun" w:hAnsi="SimSun" w:eastAsia="SimSun" w:cs="SimSun"/>
          <w:sz w:val="24"/>
          <w:szCs w:val="24"/>
          <w:spacing w:val="-7"/>
        </w:rPr>
        <w:t>温</w:t>
      </w:r>
      <w:r>
        <w:rPr>
          <w:rFonts w:ascii="SimSun" w:hAnsi="SimSun" w:eastAsia="SimSun" w:cs="SimSun"/>
          <w:sz w:val="24"/>
          <w:szCs w:val="24"/>
          <w:spacing w:val="-71"/>
        </w:rPr>
        <w:t xml:space="preserve"> </w:t>
      </w:r>
      <w:r>
        <w:rPr>
          <w:rFonts w:ascii="SimSun" w:hAnsi="SimSun" w:eastAsia="SimSun" w:cs="SimSun"/>
          <w:sz w:val="24"/>
          <w:szCs w:val="24"/>
          <w:spacing w:val="-7"/>
        </w:rPr>
        <w:t>度</w:t>
      </w:r>
    </w:p>
    <w:p>
      <w:pPr>
        <w:ind w:left="10"/>
        <w:spacing w:before="1" w:line="216" w:lineRule="auto"/>
        <w:rPr>
          <w:rFonts w:ascii="SimSun" w:hAnsi="SimSun" w:eastAsia="SimSun" w:cs="SimSun"/>
          <w:sz w:val="24"/>
          <w:szCs w:val="24"/>
        </w:rPr>
      </w:pPr>
      <w:r>
        <w:rPr>
          <w:rFonts w:ascii="Times New Roman" w:hAnsi="Times New Roman" w:eastAsia="Times New Roman" w:cs="Times New Roman"/>
          <w:sz w:val="24"/>
          <w:szCs w:val="24"/>
          <w:spacing w:val="-6"/>
        </w:rPr>
        <w:t>-30℃~+70℃</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6"/>
        </w:rPr>
        <w:t>,</w:t>
      </w:r>
      <w:r>
        <w:rPr>
          <w:rFonts w:ascii="SimSun" w:hAnsi="SimSun" w:eastAsia="SimSun" w:cs="SimSun"/>
          <w:sz w:val="24"/>
          <w:szCs w:val="24"/>
          <w:spacing w:val="65"/>
        </w:rPr>
        <w:t xml:space="preserve"> </w:t>
      </w:r>
      <w:r>
        <w:rPr>
          <w:rFonts w:ascii="SimSun" w:hAnsi="SimSun" w:eastAsia="SimSun" w:cs="SimSun"/>
          <w:sz w:val="24"/>
          <w:szCs w:val="24"/>
          <w:spacing w:val="-6"/>
        </w:rPr>
        <w:t>无需保温和防腐。</w:t>
      </w:r>
    </w:p>
    <w:p>
      <w:pPr>
        <w:ind w:left="501"/>
        <w:spacing w:before="184"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）应急火炬</w:t>
      </w:r>
    </w:p>
    <w:p>
      <w:pPr>
        <w:ind w:left="10" w:right="80" w:firstLine="479"/>
        <w:spacing w:before="183" w:line="359" w:lineRule="auto"/>
        <w:rPr>
          <w:rFonts w:ascii="SimSun" w:hAnsi="SimSun" w:eastAsia="SimSun" w:cs="SimSun"/>
          <w:sz w:val="24"/>
          <w:szCs w:val="24"/>
        </w:rPr>
      </w:pPr>
      <w:r>
        <w:rPr>
          <w:rFonts w:ascii="SimSun" w:hAnsi="SimSun" w:eastAsia="SimSun" w:cs="SimSun"/>
          <w:sz w:val="24"/>
          <w:szCs w:val="24"/>
          <w:spacing w:val="-1"/>
        </w:rPr>
        <w:t>配套建设</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座沼气火炬，处理量</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250m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/h</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1"/>
        </w:rPr>
        <w:t>，筒</w:t>
      </w:r>
      <w:r>
        <w:rPr>
          <w:rFonts w:ascii="SimSun" w:hAnsi="SimSun" w:eastAsia="SimSun" w:cs="SimSun"/>
          <w:sz w:val="24"/>
          <w:szCs w:val="24"/>
          <w:spacing w:val="-2"/>
        </w:rPr>
        <w:t>体不锈钢，高度为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，作为沼</w:t>
      </w:r>
      <w:r>
        <w:rPr>
          <w:rFonts w:ascii="SimSun" w:hAnsi="SimSun" w:eastAsia="SimSun" w:cs="SimSun"/>
          <w:sz w:val="24"/>
          <w:szCs w:val="24"/>
        </w:rPr>
        <w:t xml:space="preserve"> </w:t>
      </w:r>
      <w:r>
        <w:rPr>
          <w:rFonts w:ascii="SimSun" w:hAnsi="SimSun" w:eastAsia="SimSun" w:cs="SimSun"/>
          <w:sz w:val="24"/>
          <w:szCs w:val="24"/>
          <w:spacing w:val="-2"/>
        </w:rPr>
        <w:t>气应急排放系统。</w:t>
      </w:r>
    </w:p>
    <w:p>
      <w:pPr>
        <w:ind w:left="489"/>
        <w:spacing w:before="1" w:line="219" w:lineRule="auto"/>
        <w:rPr>
          <w:rFonts w:ascii="SimSun" w:hAnsi="SimSun" w:eastAsia="SimSun" w:cs="SimSun"/>
          <w:sz w:val="24"/>
          <w:szCs w:val="24"/>
        </w:rPr>
      </w:pPr>
      <w:r>
        <w:rPr>
          <w:rFonts w:ascii="SimSun" w:hAnsi="SimSun" w:eastAsia="SimSun" w:cs="SimSun"/>
          <w:sz w:val="24"/>
          <w:szCs w:val="24"/>
          <w:b/>
          <w:bCs/>
          <w:spacing w:val="-4"/>
        </w:rPr>
        <w:t>产污环节分析：</w:t>
      </w:r>
    </w:p>
    <w:p>
      <w:pPr>
        <w:ind w:left="7" w:right="18" w:firstLine="503"/>
        <w:spacing w:before="180" w:line="424" w:lineRule="auto"/>
        <w:rPr>
          <w:rFonts w:ascii="SimSun" w:hAnsi="SimSun" w:eastAsia="SimSun" w:cs="SimSun"/>
          <w:sz w:val="19"/>
          <w:szCs w:val="19"/>
        </w:rPr>
      </w:pPr>
      <w:r>
        <w:pict>
          <v:shape id="_x0000_s402" style="position:absolute;margin-left:159.33pt;margin-top:34.632pt;mso-position-vertical-relative:text;mso-position-horizontal-relative:text;width:58.85pt;height:13.75pt;z-index:25183744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28"/>
                    </w:rPr>
                    <w:t xml:space="preserve">   </w:t>
                  </w:r>
                  <w:r>
                    <w:rPr>
                      <w:rFonts w:ascii="Times New Roman" w:hAnsi="Times New Roman" w:eastAsia="Times New Roman" w:cs="Times New Roman"/>
                      <w:sz w:val="18"/>
                      <w:szCs w:val="18"/>
                      <w:spacing w:val="3"/>
                      <w:position w:val="2"/>
                    </w:rPr>
                    <w:t>79</w:t>
                  </w:r>
                </w:p>
              </w:txbxContent>
            </v:textbox>
          </v:shape>
        </w:pict>
      </w:r>
      <w:r>
        <w:rPr>
          <w:rFonts w:ascii="SimSun" w:hAnsi="SimSun" w:eastAsia="SimSun" w:cs="SimSun"/>
          <w:sz w:val="24"/>
          <w:szCs w:val="24"/>
          <w:b/>
          <w:bCs/>
          <w:spacing w:val="-4"/>
        </w:rPr>
        <w:t>固废：</w:t>
      </w:r>
      <w:r>
        <w:rPr>
          <w:rFonts w:ascii="SimSun" w:hAnsi="SimSun" w:eastAsia="SimSun" w:cs="SimSun"/>
          <w:sz w:val="24"/>
          <w:szCs w:val="24"/>
          <w:spacing w:val="-4"/>
        </w:rPr>
        <w:t>厌氧发酵装置沼气采用干法脱硫（</w:t>
      </w:r>
      <w:r>
        <w:rPr>
          <w:rFonts w:ascii="Times New Roman" w:hAnsi="Times New Roman" w:eastAsia="Times New Roman" w:cs="Times New Roman"/>
          <w:sz w:val="24"/>
          <w:szCs w:val="24"/>
          <w:spacing w:val="-4"/>
        </w:rPr>
        <w:t>TF</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4"/>
        </w:rPr>
        <w:t>型脱</w:t>
      </w:r>
      <w:r>
        <w:rPr>
          <w:rFonts w:ascii="SimSun" w:hAnsi="SimSun" w:eastAsia="SimSun" w:cs="SimSun"/>
          <w:sz w:val="24"/>
          <w:szCs w:val="24"/>
          <w:spacing w:val="-5"/>
        </w:rPr>
        <w:t>硫剂，有效成分为氧化铁</w:t>
      </w:r>
      <w:r>
        <w:rPr>
          <w:rFonts w:ascii="SimSun" w:hAnsi="SimSun" w:eastAsia="SimSun" w:cs="SimSun"/>
          <w:sz w:val="24"/>
          <w:szCs w:val="24"/>
          <w:spacing w:val="-45"/>
        </w:rPr>
        <w:t>），</w:t>
      </w:r>
      <w:r>
        <w:rPr>
          <w:rFonts w:ascii="SimSun" w:hAnsi="SimSun" w:eastAsia="SimSun" w:cs="SimSun"/>
          <w:sz w:val="24"/>
          <w:szCs w:val="24"/>
        </w:rPr>
        <w:t xml:space="preserve"> </w:t>
      </w:r>
      <w:r>
        <w:rPr>
          <w:rFonts w:ascii="SimSun" w:hAnsi="SimSun" w:eastAsia="SimSun" w:cs="SimSun"/>
          <w:sz w:val="19"/>
          <w:szCs w:val="19"/>
          <w:spacing w:val="9"/>
        </w:rPr>
        <w:t>锡林郭勒盟中安环境技术咨询有限责</w:t>
      </w:r>
    </w:p>
    <w:p>
      <w:pPr>
        <w:spacing w:line="424" w:lineRule="auto"/>
        <w:sectPr>
          <w:headerReference w:type="default" r:id="rId11"/>
          <w:pgSz w:w="11907" w:h="16840"/>
          <w:pgMar w:top="1567" w:right="1621" w:bottom="400" w:left="1701" w:header="1221" w:footer="0" w:gutter="0"/>
        </w:sectPr>
        <w:rPr>
          <w:rFonts w:ascii="SimSun" w:hAnsi="SimSun" w:eastAsia="SimSun" w:cs="SimSun"/>
          <w:sz w:val="19"/>
          <w:szCs w:val="19"/>
        </w:rPr>
      </w:pPr>
    </w:p>
    <w:p>
      <w:pPr>
        <w:ind w:left="10" w:right="61"/>
        <w:spacing w:before="168" w:line="359" w:lineRule="auto"/>
        <w:rPr>
          <w:rFonts w:ascii="SimSun" w:hAnsi="SimSun" w:eastAsia="SimSun" w:cs="SimSun"/>
          <w:sz w:val="24"/>
          <w:szCs w:val="24"/>
        </w:rPr>
      </w:pPr>
      <w:r>
        <w:pict>
          <v:shape id="_x0000_s404" style="position:absolute;margin-left:85.05pt;margin-top:78.87pt;mso-position-vertical-relative:page;mso-position-horizontal-relative:page;width:425.25pt;height:0.75pt;z-index:251840512;" o:allowincell="f" fillcolor="#000000" filled="true" stroked="false" coordsize="8505,15" coordorigin="0,0" path="m,l8505,0l8505,14l0,14l0,0xe"/>
        </w:pict>
      </w:r>
      <w:r>
        <w:rPr>
          <w:rFonts w:ascii="SimSun" w:hAnsi="SimSun" w:eastAsia="SimSun" w:cs="SimSun"/>
          <w:sz w:val="24"/>
          <w:szCs w:val="24"/>
          <w:spacing w:val="-4"/>
        </w:rPr>
        <w:t>脱硫剂需要定期更换，更换产生废脱硫剂（</w:t>
      </w:r>
      <w:r>
        <w:rPr>
          <w:rFonts w:ascii="Times New Roman" w:hAnsi="Times New Roman" w:eastAsia="Times New Roman" w:cs="Times New Roman"/>
          <w:sz w:val="24"/>
          <w:szCs w:val="24"/>
          <w:spacing w:val="-4"/>
        </w:rPr>
        <w:t>S</w:t>
      </w:r>
      <w:r>
        <w:rPr>
          <w:rFonts w:ascii="Times New Roman" w:hAnsi="Times New Roman" w:eastAsia="Times New Roman" w:cs="Times New Roman"/>
          <w:sz w:val="15"/>
          <w:szCs w:val="15"/>
          <w:spacing w:val="-4"/>
          <w:position w:val="-1"/>
        </w:rPr>
        <w:t>3-2 </w:t>
      </w:r>
      <w:r>
        <w:rPr>
          <w:rFonts w:ascii="SimSun" w:hAnsi="SimSun" w:eastAsia="SimSun" w:cs="SimSun"/>
          <w:sz w:val="24"/>
          <w:szCs w:val="24"/>
          <w:spacing w:val="-31"/>
        </w:rPr>
        <w:t>），</w:t>
      </w:r>
      <w:r>
        <w:rPr>
          <w:rFonts w:ascii="SimSun" w:hAnsi="SimSun" w:eastAsia="SimSun" w:cs="SimSun"/>
          <w:sz w:val="24"/>
          <w:szCs w:val="24"/>
          <w:spacing w:val="-4"/>
        </w:rPr>
        <w:t>废脱硫剂产生量为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7.</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4"/>
        </w:rPr>
        <w:t>1t/a</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，由其</w:t>
      </w:r>
      <w:r>
        <w:rPr>
          <w:rFonts w:ascii="SimSun" w:hAnsi="SimSun" w:eastAsia="SimSun" w:cs="SimSun"/>
          <w:sz w:val="24"/>
          <w:szCs w:val="24"/>
        </w:rPr>
        <w:t xml:space="preserve"> </w:t>
      </w:r>
      <w:r>
        <w:rPr>
          <w:rFonts w:ascii="SimSun" w:hAnsi="SimSun" w:eastAsia="SimSun" w:cs="SimSun"/>
          <w:sz w:val="24"/>
          <w:szCs w:val="24"/>
          <w:spacing w:val="-2"/>
        </w:rPr>
        <w:t>生产厂家回收。</w:t>
      </w:r>
    </w:p>
    <w:p>
      <w:pPr>
        <w:ind w:left="4"/>
        <w:spacing w:line="218"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3.2.3.6 </w:t>
      </w:r>
      <w:r>
        <w:rPr>
          <w:rFonts w:ascii="SimSun" w:hAnsi="SimSun" w:eastAsia="SimSun" w:cs="SimSun"/>
          <w:sz w:val="24"/>
          <w:szCs w:val="24"/>
          <w:b/>
          <w:bCs/>
          <w:spacing w:val="-2"/>
        </w:rPr>
        <w:t>沼肥还田利用（自用）</w:t>
      </w:r>
    </w:p>
    <w:p>
      <w:pPr>
        <w:ind w:left="8" w:firstLine="484"/>
        <w:spacing w:before="184" w:line="359" w:lineRule="auto"/>
        <w:jc w:val="both"/>
        <w:rPr>
          <w:rFonts w:ascii="SimSun" w:hAnsi="SimSun" w:eastAsia="SimSun" w:cs="SimSun"/>
          <w:sz w:val="24"/>
          <w:szCs w:val="24"/>
        </w:rPr>
      </w:pPr>
      <w:r>
        <w:rPr>
          <w:rFonts w:ascii="SimSun" w:hAnsi="SimSun" w:eastAsia="SimSun" w:cs="SimSun"/>
          <w:sz w:val="24"/>
          <w:szCs w:val="24"/>
          <w:spacing w:val="3"/>
        </w:rPr>
        <w:t>本项目有机肥产品包括沼渣肥和沼液肥两种肥料。厌</w:t>
      </w:r>
      <w:r>
        <w:rPr>
          <w:rFonts w:ascii="SimSun" w:hAnsi="SimSun" w:eastAsia="SimSun" w:cs="SimSun"/>
          <w:sz w:val="24"/>
          <w:szCs w:val="24"/>
          <w:spacing w:val="2"/>
        </w:rPr>
        <w:t>氧发酵装置产生的厌氧</w:t>
      </w:r>
      <w:r>
        <w:rPr>
          <w:rFonts w:ascii="SimSun" w:hAnsi="SimSun" w:eastAsia="SimSun" w:cs="SimSun"/>
          <w:sz w:val="24"/>
          <w:szCs w:val="24"/>
        </w:rPr>
        <w:t xml:space="preserve"> </w:t>
      </w:r>
      <w:r>
        <w:rPr>
          <w:rFonts w:ascii="SimSun" w:hAnsi="SimSun" w:eastAsia="SimSun" w:cs="SimSun"/>
          <w:sz w:val="24"/>
          <w:szCs w:val="24"/>
          <w:spacing w:val="-5"/>
        </w:rPr>
        <w:t>发酵产物先经固液分离池浓缩，再经螺旋挤压脱水机脱水得到含水率</w:t>
      </w:r>
      <w:r>
        <w:rPr>
          <w:rFonts w:ascii="Times New Roman" w:hAnsi="Times New Roman" w:eastAsia="Times New Roman" w:cs="Times New Roman"/>
          <w:sz w:val="24"/>
          <w:szCs w:val="24"/>
          <w:spacing w:val="-5"/>
        </w:rPr>
        <w:t>~60%</w:t>
      </w:r>
      <w:r>
        <w:rPr>
          <w:rFonts w:ascii="SimSun" w:hAnsi="SimSun" w:eastAsia="SimSun" w:cs="SimSun"/>
          <w:sz w:val="24"/>
          <w:szCs w:val="24"/>
          <w:spacing w:val="-5"/>
        </w:rPr>
        <w:t>的沼渣，</w:t>
      </w:r>
      <w:r>
        <w:rPr>
          <w:rFonts w:ascii="SimSun" w:hAnsi="SimSun" w:eastAsia="SimSun" w:cs="SimSun"/>
          <w:sz w:val="24"/>
          <w:szCs w:val="24"/>
          <w:spacing w:val="15"/>
        </w:rPr>
        <w:t xml:space="preserve"> </w:t>
      </w:r>
      <w:r>
        <w:rPr>
          <w:rFonts w:ascii="SimSun" w:hAnsi="SimSun" w:eastAsia="SimSun" w:cs="SimSun"/>
          <w:sz w:val="24"/>
          <w:szCs w:val="24"/>
          <w:spacing w:val="-3"/>
        </w:rPr>
        <w:t>沼渣运输至沼渣晾晒区，自然晾干得到含水率</w:t>
      </w:r>
      <w:r>
        <w:rPr>
          <w:rFonts w:ascii="Times New Roman" w:hAnsi="Times New Roman" w:eastAsia="Times New Roman" w:cs="Times New Roman"/>
          <w:sz w:val="24"/>
          <w:szCs w:val="24"/>
          <w:spacing w:val="-3"/>
        </w:rPr>
        <w:t>~30%</w:t>
      </w:r>
      <w:r>
        <w:rPr>
          <w:rFonts w:ascii="SimSun" w:hAnsi="SimSun" w:eastAsia="SimSun" w:cs="SimSun"/>
          <w:sz w:val="24"/>
          <w:szCs w:val="24"/>
          <w:spacing w:val="-3"/>
        </w:rPr>
        <w:t>的沼渣肥，还田利用（自用</w:t>
      </w:r>
      <w:r>
        <w:rPr>
          <w:rFonts w:ascii="SimSun" w:hAnsi="SimSun" w:eastAsia="SimSun" w:cs="SimSun"/>
          <w:sz w:val="24"/>
          <w:szCs w:val="24"/>
          <w:spacing w:val="-34"/>
        </w:rPr>
        <w:t>）；</w:t>
      </w:r>
      <w:r>
        <w:rPr>
          <w:rFonts w:ascii="SimSun" w:hAnsi="SimSun" w:eastAsia="SimSun" w:cs="SimSun"/>
          <w:sz w:val="24"/>
          <w:szCs w:val="24"/>
          <w:spacing w:val="1"/>
        </w:rPr>
        <w:t xml:space="preserve"> </w:t>
      </w:r>
      <w:r>
        <w:rPr>
          <w:rFonts w:ascii="SimSun" w:hAnsi="SimSun" w:eastAsia="SimSun" w:cs="SimSun"/>
          <w:sz w:val="24"/>
          <w:szCs w:val="24"/>
          <w:spacing w:val="3"/>
        </w:rPr>
        <w:t>固液分离池上清液和螺旋挤压脱水机滤液进入沼液池</w:t>
      </w:r>
      <w:r>
        <w:rPr>
          <w:rFonts w:ascii="SimSun" w:hAnsi="SimSun" w:eastAsia="SimSun" w:cs="SimSun"/>
          <w:sz w:val="24"/>
          <w:szCs w:val="24"/>
          <w:spacing w:val="2"/>
        </w:rPr>
        <w:t>即为本项目沼液肥，夏季直</w:t>
      </w:r>
      <w:r>
        <w:rPr>
          <w:rFonts w:ascii="SimSun" w:hAnsi="SimSun" w:eastAsia="SimSun" w:cs="SimSun"/>
          <w:sz w:val="24"/>
          <w:szCs w:val="24"/>
        </w:rPr>
        <w:t xml:space="preserve"> </w:t>
      </w:r>
      <w:r>
        <w:rPr>
          <w:rFonts w:ascii="SimSun" w:hAnsi="SimSun" w:eastAsia="SimSun" w:cs="SimSun"/>
          <w:sz w:val="24"/>
          <w:szCs w:val="24"/>
          <w:spacing w:val="3"/>
        </w:rPr>
        <w:t>接还田利用，冬季用于大棚（土地租赁协议见附件</w:t>
      </w:r>
      <w:r>
        <w:rPr>
          <w:rFonts w:ascii="Times New Roman" w:hAnsi="Times New Roman" w:eastAsia="Times New Roman" w:cs="Times New Roman"/>
          <w:sz w:val="24"/>
          <w:szCs w:val="24"/>
          <w:spacing w:val="3"/>
        </w:rPr>
        <w:t>4</w:t>
      </w:r>
      <w:r>
        <w:rPr>
          <w:rFonts w:ascii="SimSun" w:hAnsi="SimSun" w:eastAsia="SimSun" w:cs="SimSun"/>
          <w:sz w:val="24"/>
          <w:szCs w:val="24"/>
          <w:spacing w:val="3"/>
        </w:rPr>
        <w:t>）施肥，大棚面积约</w:t>
      </w:r>
      <w:r>
        <w:rPr>
          <w:rFonts w:ascii="Times New Roman" w:hAnsi="Times New Roman" w:eastAsia="Times New Roman" w:cs="Times New Roman"/>
          <w:sz w:val="24"/>
          <w:szCs w:val="24"/>
          <w:spacing w:val="3"/>
        </w:rPr>
        <w:t>400</w:t>
      </w:r>
      <w:r>
        <w:rPr>
          <w:rFonts w:ascii="SimSun" w:hAnsi="SimSun" w:eastAsia="SimSun" w:cs="SimSun"/>
          <w:sz w:val="24"/>
          <w:szCs w:val="24"/>
          <w:spacing w:val="3"/>
        </w:rPr>
        <w:t>亩，</w:t>
      </w:r>
      <w:r>
        <w:rPr>
          <w:rFonts w:ascii="SimSun" w:hAnsi="SimSun" w:eastAsia="SimSun" w:cs="SimSun"/>
          <w:sz w:val="24"/>
          <w:szCs w:val="24"/>
          <w:spacing w:val="11"/>
        </w:rPr>
        <w:t xml:space="preserve"> </w:t>
      </w:r>
      <w:r>
        <w:rPr>
          <w:rFonts w:ascii="SimSun" w:hAnsi="SimSun" w:eastAsia="SimSun" w:cs="SimSun"/>
          <w:sz w:val="24"/>
          <w:szCs w:val="24"/>
          <w:spacing w:val="-1"/>
        </w:rPr>
        <w:t>可满足本项目冬季沼肥还田需要，不在厂区储存。</w:t>
      </w:r>
    </w:p>
    <w:p>
      <w:pPr>
        <w:ind w:left="8" w:right="61" w:firstLine="481"/>
        <w:spacing w:before="6" w:line="358" w:lineRule="auto"/>
        <w:jc w:val="both"/>
        <w:rPr>
          <w:rFonts w:ascii="SimSun" w:hAnsi="SimSun" w:eastAsia="SimSun" w:cs="SimSun"/>
          <w:sz w:val="24"/>
          <w:szCs w:val="24"/>
        </w:rPr>
      </w:pPr>
      <w:r>
        <w:rPr>
          <w:rFonts w:ascii="SimSun" w:hAnsi="SimSun" w:eastAsia="SimSun" w:cs="SimSun"/>
          <w:sz w:val="24"/>
          <w:szCs w:val="24"/>
          <w:spacing w:val="3"/>
        </w:rPr>
        <w:t>本环评要求建设单位验收之前（或试生产时）对沼液、沼</w:t>
      </w:r>
      <w:r>
        <w:rPr>
          <w:rFonts w:ascii="SimSun" w:hAnsi="SimSun" w:eastAsia="SimSun" w:cs="SimSun"/>
          <w:sz w:val="24"/>
          <w:szCs w:val="24"/>
          <w:spacing w:val="2"/>
        </w:rPr>
        <w:t>渣进行检验检测，</w:t>
      </w:r>
      <w:r>
        <w:rPr>
          <w:rFonts w:ascii="SimSun" w:hAnsi="SimSun" w:eastAsia="SimSun" w:cs="SimSun"/>
          <w:sz w:val="24"/>
          <w:szCs w:val="24"/>
        </w:rPr>
        <w:t xml:space="preserve"> </w:t>
      </w:r>
      <w:r>
        <w:rPr>
          <w:rFonts w:ascii="SimSun" w:hAnsi="SimSun" w:eastAsia="SimSun" w:cs="SimSun"/>
          <w:sz w:val="24"/>
          <w:szCs w:val="24"/>
          <w:spacing w:val="-2"/>
        </w:rPr>
        <w:t>达到《沼肥》（</w:t>
      </w:r>
      <w:r>
        <w:rPr>
          <w:rFonts w:ascii="Times New Roman" w:hAnsi="Times New Roman" w:eastAsia="Times New Roman" w:cs="Times New Roman"/>
          <w:sz w:val="24"/>
          <w:szCs w:val="24"/>
          <w:spacing w:val="-2"/>
        </w:rPr>
        <w:t>NY/T2596-2022</w:t>
      </w:r>
      <w:r>
        <w:rPr>
          <w:rFonts w:ascii="SimSun" w:hAnsi="SimSun" w:eastAsia="SimSun" w:cs="SimSun"/>
          <w:sz w:val="24"/>
          <w:szCs w:val="24"/>
          <w:spacing w:val="-2"/>
        </w:rPr>
        <w:t>）、《农用沼液》（</w:t>
      </w:r>
      <w:r>
        <w:rPr>
          <w:rFonts w:ascii="Times New Roman" w:hAnsi="Times New Roman" w:eastAsia="Times New Roman" w:cs="Times New Roman"/>
          <w:sz w:val="24"/>
          <w:szCs w:val="24"/>
          <w:spacing w:val="-2"/>
        </w:rPr>
        <w:t>GB/T40750-2021</w:t>
      </w:r>
      <w:r>
        <w:rPr>
          <w:rFonts w:ascii="SimSun" w:hAnsi="SimSun" w:eastAsia="SimSun" w:cs="SimSun"/>
          <w:sz w:val="24"/>
          <w:szCs w:val="24"/>
          <w:spacing w:val="-2"/>
        </w:rPr>
        <w:t>）等产品质量</w:t>
      </w:r>
      <w:r>
        <w:rPr>
          <w:rFonts w:ascii="SimSun" w:hAnsi="SimSun" w:eastAsia="SimSun" w:cs="SimSun"/>
          <w:sz w:val="24"/>
          <w:szCs w:val="24"/>
          <w:spacing w:val="5"/>
        </w:rPr>
        <w:t xml:space="preserve"> </w:t>
      </w:r>
      <w:r>
        <w:rPr>
          <w:rFonts w:ascii="SimSun" w:hAnsi="SimSun" w:eastAsia="SimSun" w:cs="SimSun"/>
          <w:sz w:val="24"/>
          <w:szCs w:val="24"/>
          <w:spacing w:val="4"/>
        </w:rPr>
        <w:t>标准要求后，方可投产运行。根据《沼肥》（</w:t>
      </w:r>
      <w:r>
        <w:rPr>
          <w:rFonts w:ascii="Times New Roman" w:hAnsi="Times New Roman" w:eastAsia="Times New Roman" w:cs="Times New Roman"/>
          <w:sz w:val="24"/>
          <w:szCs w:val="24"/>
        </w:rPr>
        <w:t>NY</w:t>
      </w:r>
      <w:r>
        <w:rPr>
          <w:rFonts w:ascii="Times New Roman" w:hAnsi="Times New Roman" w:eastAsia="Times New Roman" w:cs="Times New Roman"/>
          <w:sz w:val="24"/>
          <w:szCs w:val="24"/>
          <w:spacing w:val="4"/>
        </w:rPr>
        <w:t>/T2596-2022</w:t>
      </w:r>
      <w:r>
        <w:rPr>
          <w:rFonts w:ascii="SimSun" w:hAnsi="SimSun" w:eastAsia="SimSun" w:cs="SimSun"/>
          <w:sz w:val="24"/>
          <w:szCs w:val="24"/>
          <w:spacing w:val="4"/>
        </w:rPr>
        <w:t>）、《农用沼液》</w:t>
      </w:r>
      <w:r>
        <w:rPr>
          <w:rFonts w:ascii="SimSun" w:hAnsi="SimSun" w:eastAsia="SimSun" w:cs="SimSun"/>
          <w:sz w:val="24"/>
          <w:szCs w:val="24"/>
          <w:spacing w:val="8"/>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2"/>
        </w:rPr>
        <w:t>/T40750-2021</w:t>
      </w:r>
      <w:r>
        <w:rPr>
          <w:rFonts w:ascii="SimSun" w:hAnsi="SimSun" w:eastAsia="SimSun" w:cs="SimSun"/>
          <w:sz w:val="24"/>
          <w:szCs w:val="24"/>
          <w:spacing w:val="2"/>
        </w:rPr>
        <w:t>）标准要求，农用沼肥应定期</w:t>
      </w:r>
      <w:r>
        <w:rPr>
          <w:rFonts w:ascii="SimSun" w:hAnsi="SimSun" w:eastAsia="SimSun" w:cs="SimSun"/>
          <w:sz w:val="24"/>
          <w:szCs w:val="24"/>
          <w:spacing w:val="1"/>
        </w:rPr>
        <w:t>检验，每年检验一次，检验因子</w:t>
      </w:r>
      <w:r>
        <w:rPr>
          <w:rFonts w:ascii="SimSun" w:hAnsi="SimSun" w:eastAsia="SimSun" w:cs="SimSun"/>
          <w:sz w:val="24"/>
          <w:szCs w:val="24"/>
        </w:rPr>
        <w:t xml:space="preserve"> </w:t>
      </w:r>
      <w:r>
        <w:rPr>
          <w:rFonts w:ascii="SimSun" w:hAnsi="SimSun" w:eastAsia="SimSun" w:cs="SimSun"/>
          <w:sz w:val="24"/>
          <w:szCs w:val="24"/>
          <w:spacing w:val="-4"/>
        </w:rPr>
        <w:t>见</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4"/>
        </w:rPr>
        <w:t>7.2.4</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4"/>
        </w:rPr>
        <w:t>章节。作物生长周期不足</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年的，采用批次检验，检验总养分、</w:t>
      </w:r>
      <w:r>
        <w:rPr>
          <w:rFonts w:ascii="Times New Roman" w:hAnsi="Times New Roman" w:eastAsia="Times New Roman" w:cs="Times New Roman"/>
          <w:sz w:val="24"/>
          <w:szCs w:val="24"/>
          <w:spacing w:val="-4"/>
        </w:rPr>
        <w:t>pH</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4"/>
        </w:rPr>
        <w:t>、有机</w:t>
      </w:r>
      <w:r>
        <w:rPr>
          <w:rFonts w:ascii="SimSun" w:hAnsi="SimSun" w:eastAsia="SimSun" w:cs="SimSun"/>
          <w:sz w:val="24"/>
          <w:szCs w:val="24"/>
        </w:rPr>
        <w:t xml:space="preserve"> </w:t>
      </w:r>
      <w:r>
        <w:rPr>
          <w:rFonts w:ascii="SimSun" w:hAnsi="SimSun" w:eastAsia="SimSun" w:cs="SimSun"/>
          <w:sz w:val="24"/>
          <w:szCs w:val="24"/>
          <w:spacing w:val="-2"/>
        </w:rPr>
        <w:t>质、腐植酸。</w:t>
      </w:r>
    </w:p>
    <w:p>
      <w:pPr>
        <w:ind w:left="489"/>
        <w:spacing w:before="2" w:line="219" w:lineRule="auto"/>
        <w:rPr>
          <w:rFonts w:ascii="SimSun" w:hAnsi="SimSun" w:eastAsia="SimSun" w:cs="SimSun"/>
          <w:sz w:val="24"/>
          <w:szCs w:val="24"/>
        </w:rPr>
      </w:pPr>
      <w:r>
        <w:rPr>
          <w:rFonts w:ascii="SimSun" w:hAnsi="SimSun" w:eastAsia="SimSun" w:cs="SimSun"/>
          <w:sz w:val="24"/>
          <w:szCs w:val="24"/>
          <w:b/>
          <w:bCs/>
          <w:spacing w:val="-4"/>
        </w:rPr>
        <w:t>产污环节分析：</w:t>
      </w:r>
    </w:p>
    <w:p>
      <w:pPr>
        <w:ind w:left="488"/>
        <w:spacing w:before="183" w:line="220" w:lineRule="auto"/>
        <w:rPr>
          <w:rFonts w:ascii="SimSun" w:hAnsi="SimSun" w:eastAsia="SimSun" w:cs="SimSun"/>
          <w:sz w:val="24"/>
          <w:szCs w:val="24"/>
        </w:rPr>
      </w:pPr>
      <w:r>
        <w:rPr>
          <w:rFonts w:ascii="SimSun" w:hAnsi="SimSun" w:eastAsia="SimSun" w:cs="SimSun"/>
          <w:sz w:val="24"/>
          <w:szCs w:val="24"/>
          <w:b/>
          <w:bCs/>
          <w:spacing w:val="-6"/>
        </w:rPr>
        <w:t>废气：</w:t>
      </w:r>
    </w:p>
    <w:p>
      <w:pPr>
        <w:ind w:left="13" w:right="61" w:firstLine="475"/>
        <w:spacing w:before="181" w:line="312" w:lineRule="auto"/>
        <w:rPr>
          <w:rFonts w:ascii="SimSun" w:hAnsi="SimSun" w:eastAsia="SimSun" w:cs="SimSun"/>
          <w:sz w:val="24"/>
          <w:szCs w:val="24"/>
        </w:rPr>
      </w:pPr>
      <w:r>
        <w:rPr>
          <w:rFonts w:ascii="SimSun" w:hAnsi="SimSun" w:eastAsia="SimSun" w:cs="SimSun"/>
          <w:sz w:val="24"/>
          <w:szCs w:val="24"/>
        </w:rPr>
        <w:t>①本项目厌氧发酵装置配套的</w:t>
      </w:r>
      <w:r>
        <w:rPr>
          <w:rFonts w:ascii="Times New Roman" w:hAnsi="Times New Roman" w:eastAsia="Times New Roman" w:cs="Times New Roman"/>
          <w:sz w:val="24"/>
          <w:szCs w:val="24"/>
        </w:rPr>
        <w:t>TS </w:t>
      </w:r>
      <w:r>
        <w:rPr>
          <w:rFonts w:ascii="SimSun" w:hAnsi="SimSun" w:eastAsia="SimSun" w:cs="SimSun"/>
          <w:sz w:val="24"/>
          <w:szCs w:val="24"/>
        </w:rPr>
        <w:t>调节池、固液分离池、沼液</w:t>
      </w:r>
      <w:r>
        <w:rPr>
          <w:rFonts w:ascii="SimSun" w:hAnsi="SimSun" w:eastAsia="SimSun" w:cs="SimSun"/>
          <w:sz w:val="24"/>
          <w:szCs w:val="24"/>
          <w:spacing w:val="-1"/>
        </w:rPr>
        <w:t>池位于洗毛车间</w:t>
      </w:r>
      <w:r>
        <w:rPr>
          <w:rFonts w:ascii="SimSun" w:hAnsi="SimSun" w:eastAsia="SimSun" w:cs="SimSun"/>
          <w:sz w:val="24"/>
          <w:szCs w:val="24"/>
        </w:rPr>
        <w:t xml:space="preserve"> </w:t>
      </w:r>
      <w:r>
        <w:rPr>
          <w:rFonts w:ascii="SimSun" w:hAnsi="SimSun" w:eastAsia="SimSun" w:cs="SimSun"/>
          <w:sz w:val="24"/>
          <w:szCs w:val="24"/>
          <w:spacing w:val="-1"/>
        </w:rPr>
        <w:t>内，池体进行封闭，产生的氨气、硫化氢、臭气浓度等（</w:t>
      </w:r>
      <w:r>
        <w:rPr>
          <w:rFonts w:ascii="Times New Roman" w:hAnsi="Times New Roman" w:eastAsia="Times New Roman" w:cs="Times New Roman"/>
          <w:sz w:val="24"/>
          <w:szCs w:val="24"/>
          <w:spacing w:val="-2"/>
        </w:rPr>
        <w:t>G</w:t>
      </w:r>
      <w:r>
        <w:rPr>
          <w:rFonts w:ascii="Times New Roman" w:hAnsi="Times New Roman" w:eastAsia="Times New Roman" w:cs="Times New Roman"/>
          <w:sz w:val="15"/>
          <w:szCs w:val="15"/>
          <w:spacing w:val="-2"/>
          <w:position w:val="-1"/>
        </w:rPr>
        <w:t>3-2 </w:t>
      </w:r>
      <w:r>
        <w:rPr>
          <w:rFonts w:ascii="SimSun" w:hAnsi="SimSun" w:eastAsia="SimSun" w:cs="SimSun"/>
          <w:sz w:val="24"/>
          <w:szCs w:val="24"/>
          <w:spacing w:val="-17"/>
        </w:rPr>
        <w:t>），</w:t>
      </w:r>
      <w:r>
        <w:rPr>
          <w:rFonts w:ascii="SimSun" w:hAnsi="SimSun" w:eastAsia="SimSun" w:cs="SimSun"/>
          <w:sz w:val="24"/>
          <w:szCs w:val="24"/>
          <w:spacing w:val="-2"/>
        </w:rPr>
        <w:t>经洗毛车间活性</w:t>
      </w:r>
      <w:r>
        <w:rPr>
          <w:rFonts w:ascii="SimSun" w:hAnsi="SimSun" w:eastAsia="SimSun" w:cs="SimSun"/>
          <w:sz w:val="24"/>
          <w:szCs w:val="24"/>
          <w:spacing w:val="1"/>
        </w:rPr>
        <w:t xml:space="preserve"> </w:t>
      </w:r>
      <w:r>
        <w:rPr>
          <w:rFonts w:ascii="SimSun" w:hAnsi="SimSun" w:eastAsia="SimSun" w:cs="SimSun"/>
          <w:sz w:val="24"/>
          <w:szCs w:val="24"/>
        </w:rPr>
        <w:t>炭吸附处理后通过</w:t>
      </w:r>
      <w:r>
        <w:rPr>
          <w:rFonts w:ascii="SimSun" w:hAnsi="SimSun" w:eastAsia="SimSun" w:cs="SimSun"/>
          <w:sz w:val="24"/>
          <w:szCs w:val="24"/>
          <w:spacing w:val="-18"/>
        </w:rPr>
        <w:t xml:space="preserve"> </w:t>
      </w:r>
      <w:r>
        <w:rPr>
          <w:rFonts w:ascii="Times New Roman" w:hAnsi="Times New Roman" w:eastAsia="Times New Roman" w:cs="Times New Roman"/>
          <w:sz w:val="24"/>
          <w:szCs w:val="24"/>
        </w:rPr>
        <w:t>15m </w:t>
      </w:r>
      <w:r>
        <w:rPr>
          <w:rFonts w:ascii="SimSun" w:hAnsi="SimSun" w:eastAsia="SimSun" w:cs="SimSun"/>
          <w:sz w:val="24"/>
          <w:szCs w:val="24"/>
        </w:rPr>
        <w:t>高排气筒排放（西厂区</w:t>
      </w:r>
      <w:r>
        <w:rPr>
          <w:rFonts w:ascii="Times New Roman" w:hAnsi="Times New Roman" w:eastAsia="Times New Roman" w:cs="Times New Roman"/>
          <w:sz w:val="24"/>
          <w:szCs w:val="24"/>
        </w:rPr>
        <w:t>DA003</w:t>
      </w:r>
      <w:r>
        <w:rPr>
          <w:rFonts w:ascii="SimSun" w:hAnsi="SimSun" w:eastAsia="SimSun" w:cs="SimSun"/>
          <w:sz w:val="24"/>
          <w:szCs w:val="24"/>
        </w:rPr>
        <w:t>）。</w:t>
      </w:r>
    </w:p>
    <w:p>
      <w:pPr>
        <w:ind w:left="10" w:right="61" w:firstLine="477"/>
        <w:spacing w:before="183" w:line="289" w:lineRule="auto"/>
        <w:rPr>
          <w:rFonts w:ascii="SimSun" w:hAnsi="SimSun" w:eastAsia="SimSun" w:cs="SimSun"/>
          <w:sz w:val="24"/>
          <w:szCs w:val="24"/>
        </w:rPr>
      </w:pPr>
      <w:r>
        <w:rPr>
          <w:rFonts w:ascii="SimSun" w:hAnsi="SimSun" w:eastAsia="SimSun" w:cs="SimSun"/>
          <w:sz w:val="24"/>
          <w:szCs w:val="24"/>
          <w:spacing w:val="-1"/>
        </w:rPr>
        <w:t>②沼渣晾晒区会产生恶臭气体（</w:t>
      </w:r>
      <w:r>
        <w:rPr>
          <w:rFonts w:ascii="Times New Roman" w:hAnsi="Times New Roman" w:eastAsia="Times New Roman" w:cs="Times New Roman"/>
          <w:sz w:val="24"/>
          <w:szCs w:val="24"/>
          <w:spacing w:val="-1"/>
        </w:rPr>
        <w:t>G</w:t>
      </w:r>
      <w:r>
        <w:rPr>
          <w:rFonts w:ascii="Times New Roman" w:hAnsi="Times New Roman" w:eastAsia="Times New Roman" w:cs="Times New Roman"/>
          <w:sz w:val="15"/>
          <w:szCs w:val="15"/>
          <w:spacing w:val="-1"/>
          <w:position w:val="-1"/>
        </w:rPr>
        <w:t>3-3 </w:t>
      </w:r>
      <w:r>
        <w:rPr>
          <w:rFonts w:ascii="SimSun" w:hAnsi="SimSun" w:eastAsia="SimSun" w:cs="SimSun"/>
          <w:sz w:val="24"/>
          <w:szCs w:val="24"/>
          <w:spacing w:val="-20"/>
        </w:rPr>
        <w:t>），</w:t>
      </w:r>
      <w:r>
        <w:rPr>
          <w:rFonts w:ascii="SimSun" w:hAnsi="SimSun" w:eastAsia="SimSun" w:cs="SimSun"/>
          <w:sz w:val="24"/>
          <w:szCs w:val="24"/>
          <w:spacing w:val="-1"/>
        </w:rPr>
        <w:t>通过喷洒生物除臭剂、加强通风</w:t>
      </w:r>
      <w:r>
        <w:rPr>
          <w:rFonts w:ascii="SimSun" w:hAnsi="SimSun" w:eastAsia="SimSun" w:cs="SimSun"/>
          <w:sz w:val="24"/>
          <w:szCs w:val="24"/>
          <w:spacing w:val="-2"/>
        </w:rPr>
        <w:t>、控</w:t>
      </w:r>
      <w:r>
        <w:rPr>
          <w:rFonts w:ascii="SimSun" w:hAnsi="SimSun" w:eastAsia="SimSun" w:cs="SimSun"/>
          <w:sz w:val="24"/>
          <w:szCs w:val="24"/>
        </w:rPr>
        <w:t xml:space="preserve"> </w:t>
      </w:r>
      <w:r>
        <w:rPr>
          <w:rFonts w:ascii="SimSun" w:hAnsi="SimSun" w:eastAsia="SimSun" w:cs="SimSun"/>
          <w:sz w:val="24"/>
          <w:szCs w:val="24"/>
          <w:spacing w:val="-1"/>
        </w:rPr>
        <w:t>制温度等措施，可有效控制沼渣产生的恶臭气体排放。</w:t>
      </w:r>
    </w:p>
    <w:p>
      <w:pPr>
        <w:ind w:left="9" w:right="59" w:firstLine="478"/>
        <w:spacing w:before="184" w:line="289" w:lineRule="auto"/>
        <w:rPr>
          <w:rFonts w:ascii="SimSun" w:hAnsi="SimSun" w:eastAsia="SimSun" w:cs="SimSun"/>
          <w:sz w:val="24"/>
          <w:szCs w:val="24"/>
        </w:rPr>
      </w:pPr>
      <w:r>
        <w:rPr>
          <w:rFonts w:ascii="SimSun" w:hAnsi="SimSun" w:eastAsia="SimSun" w:cs="SimSun"/>
          <w:sz w:val="24"/>
          <w:szCs w:val="24"/>
          <w:spacing w:val="-1"/>
        </w:rPr>
        <w:t>③沼渣肥产品含水率</w:t>
      </w:r>
      <w:r>
        <w:rPr>
          <w:rFonts w:ascii="Times New Roman" w:hAnsi="Times New Roman" w:eastAsia="Times New Roman" w:cs="Times New Roman"/>
          <w:sz w:val="24"/>
          <w:szCs w:val="24"/>
          <w:spacing w:val="-1"/>
        </w:rPr>
        <w:t>~30%</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1"/>
        </w:rPr>
        <w:t>，含水率高，沼渣肥产品装车过程中不会产生颗粒</w:t>
      </w:r>
      <w:r>
        <w:rPr>
          <w:rFonts w:ascii="SimSun" w:hAnsi="SimSun" w:eastAsia="SimSun" w:cs="SimSun"/>
          <w:sz w:val="24"/>
          <w:szCs w:val="24"/>
        </w:rPr>
        <w:t xml:space="preserve"> </w:t>
      </w:r>
      <w:r>
        <w:rPr>
          <w:rFonts w:ascii="SimSun" w:hAnsi="SimSun" w:eastAsia="SimSun" w:cs="SimSun"/>
          <w:sz w:val="24"/>
          <w:szCs w:val="24"/>
          <w:spacing w:val="-2"/>
        </w:rPr>
        <w:t>物的排放。</w:t>
      </w:r>
    </w:p>
    <w:p>
      <w:pPr>
        <w:ind w:left="4"/>
        <w:spacing w:before="181"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1"/>
        </w:rPr>
        <w:t>3.2.3.7 </w:t>
      </w:r>
      <w:r>
        <w:rPr>
          <w:rFonts w:ascii="SimSun" w:hAnsi="SimSun" w:eastAsia="SimSun" w:cs="SimSun"/>
          <w:sz w:val="24"/>
          <w:szCs w:val="24"/>
          <w:b/>
          <w:bCs/>
          <w:spacing w:val="-1"/>
        </w:rPr>
        <w:t>沼液肥检测</w:t>
      </w:r>
    </w:p>
    <w:p>
      <w:pPr>
        <w:ind w:left="10" w:right="59" w:firstLine="508"/>
        <w:spacing w:before="182" w:line="360" w:lineRule="auto"/>
        <w:jc w:val="both"/>
        <w:rPr>
          <w:rFonts w:ascii="SimSun" w:hAnsi="SimSun" w:eastAsia="SimSun" w:cs="SimSun"/>
          <w:sz w:val="24"/>
          <w:szCs w:val="24"/>
        </w:rPr>
      </w:pPr>
      <w:r>
        <w:rPr>
          <w:rFonts w:ascii="SimSun" w:hAnsi="SimSun" w:eastAsia="SimSun" w:cs="SimSun"/>
          <w:sz w:val="24"/>
          <w:szCs w:val="24"/>
          <w:spacing w:val="2"/>
        </w:rPr>
        <w:t>内蒙古源浩羊绒制品有限公司采用西厂区原正镶白旗宏业毛纺织有限公司一</w:t>
      </w:r>
      <w:r>
        <w:rPr>
          <w:rFonts w:ascii="SimSun" w:hAnsi="SimSun" w:eastAsia="SimSun" w:cs="SimSun"/>
          <w:sz w:val="24"/>
          <w:szCs w:val="24"/>
        </w:rPr>
        <w:t xml:space="preserve"> </w:t>
      </w:r>
      <w:r>
        <w:rPr>
          <w:rFonts w:ascii="SimSun" w:hAnsi="SimSun" w:eastAsia="SimSun" w:cs="SimSun"/>
          <w:sz w:val="24"/>
          <w:szCs w:val="24"/>
          <w:spacing w:val="-2"/>
        </w:rPr>
        <w:t>条洗毛生产线（</w:t>
      </w:r>
      <w:r>
        <w:rPr>
          <w:rFonts w:ascii="Times New Roman" w:hAnsi="Times New Roman" w:eastAsia="Times New Roman" w:cs="Times New Roman"/>
          <w:sz w:val="24"/>
          <w:szCs w:val="24"/>
          <w:spacing w:val="-2"/>
        </w:rPr>
        <w:t>6 </w:t>
      </w:r>
      <w:r>
        <w:rPr>
          <w:rFonts w:ascii="SimSun" w:hAnsi="SimSun" w:eastAsia="SimSun" w:cs="SimSun"/>
          <w:sz w:val="24"/>
          <w:szCs w:val="24"/>
          <w:spacing w:val="-2"/>
        </w:rPr>
        <w:t>槽</w:t>
      </w:r>
      <w:r>
        <w:rPr>
          <w:rFonts w:ascii="SimSun" w:hAnsi="SimSun" w:eastAsia="SimSun" w:cs="SimSun"/>
          <w:sz w:val="24"/>
          <w:szCs w:val="24"/>
          <w:spacing w:val="-10"/>
        </w:rPr>
        <w:t>），</w:t>
      </w:r>
      <w:r>
        <w:rPr>
          <w:rFonts w:ascii="SimSun" w:hAnsi="SimSun" w:eastAsia="SimSun" w:cs="SimSun"/>
          <w:sz w:val="24"/>
          <w:szCs w:val="24"/>
          <w:spacing w:val="-2"/>
        </w:rPr>
        <w:t>采用大力士环保羊毛洗涤剂进行绵羊毛洗涤，对产生的洗</w:t>
      </w:r>
      <w:r>
        <w:rPr>
          <w:rFonts w:ascii="SimSun" w:hAnsi="SimSun" w:eastAsia="SimSun" w:cs="SimSun"/>
          <w:sz w:val="24"/>
          <w:szCs w:val="24"/>
          <w:spacing w:val="1"/>
        </w:rPr>
        <w:t xml:space="preserve"> </w:t>
      </w:r>
      <w:r>
        <w:rPr>
          <w:rFonts w:ascii="SimSun" w:hAnsi="SimSun" w:eastAsia="SimSun" w:cs="SimSun"/>
          <w:sz w:val="24"/>
          <w:szCs w:val="24"/>
          <w:spacing w:val="1"/>
        </w:rPr>
        <w:t>毛废水进行厌氧发酵试验，发酵时间</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20d</w:t>
      </w:r>
      <w:r>
        <w:rPr>
          <w:rFonts w:ascii="Times New Roman" w:hAnsi="Times New Roman" w:eastAsia="Times New Roman" w:cs="Times New Roman"/>
          <w:sz w:val="24"/>
          <w:szCs w:val="24"/>
          <w:spacing w:val="-23"/>
        </w:rPr>
        <w:t xml:space="preserve"> </w:t>
      </w:r>
      <w:r>
        <w:rPr>
          <w:rFonts w:ascii="SimSun" w:hAnsi="SimSun" w:eastAsia="SimSun" w:cs="SimSun"/>
          <w:sz w:val="24"/>
          <w:szCs w:val="24"/>
        </w:rPr>
        <w:t>。</w:t>
      </w:r>
      <w:r>
        <w:rPr>
          <w:rFonts w:ascii="Times New Roman" w:hAnsi="Times New Roman" w:eastAsia="Times New Roman" w:cs="Times New Roman"/>
          <w:sz w:val="24"/>
          <w:szCs w:val="24"/>
        </w:rPr>
        <w:t>2025 </w:t>
      </w:r>
      <w:r>
        <w:rPr>
          <w:rFonts w:ascii="SimSun" w:hAnsi="SimSun" w:eastAsia="SimSun" w:cs="SimSun"/>
          <w:sz w:val="24"/>
          <w:szCs w:val="24"/>
        </w:rPr>
        <w:t>年</w:t>
      </w:r>
      <w:r>
        <w:rPr>
          <w:rFonts w:ascii="SimSun" w:hAnsi="SimSun" w:eastAsia="SimSun" w:cs="SimSun"/>
          <w:sz w:val="24"/>
          <w:szCs w:val="24"/>
          <w:spacing w:val="-47"/>
        </w:rPr>
        <w:t xml:space="preserve"> </w:t>
      </w:r>
      <w:r>
        <w:rPr>
          <w:rFonts w:ascii="Times New Roman" w:hAnsi="Times New Roman" w:eastAsia="Times New Roman" w:cs="Times New Roman"/>
          <w:sz w:val="24"/>
          <w:szCs w:val="24"/>
        </w:rPr>
        <w:t>6</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rPr>
        <w:t>月，内蒙古源浩羊绒制品有 </w:t>
      </w:r>
      <w:r>
        <w:rPr>
          <w:rFonts w:ascii="SimSun" w:hAnsi="SimSun" w:eastAsia="SimSun" w:cs="SimSun"/>
          <w:sz w:val="24"/>
          <w:szCs w:val="24"/>
          <w:spacing w:val="3"/>
        </w:rPr>
        <w:t>限公司委托北京清析技术研究院对厌氧发酵后沼</w:t>
      </w:r>
      <w:r>
        <w:rPr>
          <w:rFonts w:ascii="SimSun" w:hAnsi="SimSun" w:eastAsia="SimSun" w:cs="SimSun"/>
          <w:sz w:val="24"/>
          <w:szCs w:val="24"/>
          <w:spacing w:val="2"/>
        </w:rPr>
        <w:t>液进行了洗涤剂残留检测，委托</w:t>
      </w:r>
    </w:p>
    <w:p>
      <w:pPr>
        <w:ind w:left="5312"/>
        <w:spacing w:before="78" w:line="227" w:lineRule="auto"/>
        <w:rPr>
          <w:rFonts w:ascii="SimSun" w:hAnsi="SimSun" w:eastAsia="SimSun" w:cs="SimSun"/>
          <w:sz w:val="19"/>
          <w:szCs w:val="19"/>
        </w:rPr>
      </w:pPr>
      <w:r>
        <w:pict>
          <v:shape id="_x0000_s406" style="position:absolute;margin-left:207.658pt;margin-top:2.87643pt;mso-position-vertical-relative:text;mso-position-horizontal-relative:text;width:58.6pt;height:13.75pt;z-index:251839488;"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1"/>
                      <w:position w:val="2"/>
                    </w:rPr>
                    <w:t>80        </w:t>
                  </w:r>
                  <w:r>
                    <w:rPr>
                      <w:rFonts w:ascii="SimSun" w:hAnsi="SimSun" w:eastAsia="SimSun" w:cs="SimSun"/>
                      <w:sz w:val="19"/>
                      <w:szCs w:val="19"/>
                      <w:spacing w:val="1"/>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16"/>
          <w:pgSz w:w="11907" w:h="16840"/>
          <w:pgMar w:top="1567" w:right="1640" w:bottom="400" w:left="1701" w:header="1221" w:footer="0" w:gutter="0"/>
        </w:sectPr>
        <w:rPr>
          <w:rFonts w:ascii="SimSun" w:hAnsi="SimSun" w:eastAsia="SimSun" w:cs="SimSun"/>
          <w:sz w:val="19"/>
          <w:szCs w:val="19"/>
        </w:rPr>
      </w:pPr>
    </w:p>
    <w:p>
      <w:pPr>
        <w:ind w:left="45" w:firstLine="5"/>
        <w:spacing w:before="187" w:line="359" w:lineRule="auto"/>
        <w:jc w:val="both"/>
        <w:rPr>
          <w:rFonts w:ascii="SimSun" w:hAnsi="SimSun" w:eastAsia="SimSun" w:cs="SimSun"/>
          <w:sz w:val="24"/>
          <w:szCs w:val="24"/>
        </w:rPr>
      </w:pPr>
      <w:r>
        <w:pict>
          <v:shape id="_x0000_s410" style="position:absolute;margin-left:85.05pt;margin-top:79.11pt;mso-position-vertical-relative:page;mso-position-horizontal-relative:page;width:425.25pt;height:0.75pt;z-index:251842560;" o:allowincell="f" fillcolor="#000000" filled="true" stroked="false" coordsize="8505,15" coordorigin="0,0" path="m,l8505,0l8505,14l0,14l0,0xe"/>
        </w:pict>
      </w:r>
      <w:r>
        <w:rPr>
          <w:rFonts w:ascii="SimSun" w:hAnsi="SimSun" w:eastAsia="SimSun" w:cs="SimSun"/>
          <w:sz w:val="24"/>
          <w:szCs w:val="24"/>
          <w:spacing w:val="39"/>
        </w:rPr>
        <w:t>安徽赛如分析检测科技有限公司对厌氧发酵后沼</w:t>
      </w:r>
      <w:r>
        <w:rPr>
          <w:rFonts w:ascii="SimSun" w:hAnsi="SimSun" w:eastAsia="SimSun" w:cs="SimSun"/>
          <w:sz w:val="24"/>
          <w:szCs w:val="24"/>
          <w:spacing w:val="38"/>
        </w:rPr>
        <w:t>液分别按照《</w:t>
      </w:r>
      <w:r>
        <w:rPr>
          <w:rFonts w:ascii="SimSun" w:hAnsi="SimSun" w:eastAsia="SimSun" w:cs="SimSun"/>
          <w:sz w:val="24"/>
          <w:szCs w:val="24"/>
          <w:spacing w:val="-37"/>
        </w:rPr>
        <w:t xml:space="preserve"> </w:t>
      </w:r>
      <w:r>
        <w:rPr>
          <w:rFonts w:ascii="SimSun" w:hAnsi="SimSun" w:eastAsia="SimSun" w:cs="SimSun"/>
          <w:sz w:val="24"/>
          <w:szCs w:val="24"/>
          <w:spacing w:val="38"/>
        </w:rPr>
        <w:t>沼肥</w:t>
      </w:r>
      <w:r>
        <w:rPr>
          <w:rFonts w:ascii="SimSun" w:hAnsi="SimSun" w:eastAsia="SimSun" w:cs="SimSun"/>
          <w:sz w:val="24"/>
          <w:szCs w:val="24"/>
          <w:spacing w:val="-52"/>
        </w:rPr>
        <w:t xml:space="preserve"> </w:t>
      </w:r>
      <w:r>
        <w:rPr>
          <w:rFonts w:ascii="SimSun" w:hAnsi="SimSun" w:eastAsia="SimSun" w:cs="SimSun"/>
          <w:sz w:val="24"/>
          <w:szCs w:val="24"/>
          <w:spacing w:val="38"/>
        </w:rPr>
        <w:t>》</w:t>
      </w:r>
      <w:r>
        <w:rPr>
          <w:rFonts w:ascii="SimSun" w:hAnsi="SimSun" w:eastAsia="SimSun" w:cs="SimSun"/>
          <w:sz w:val="24"/>
          <w:szCs w:val="2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NY/T2596-2022</w:t>
      </w:r>
      <w:r>
        <w:rPr>
          <w:rFonts w:ascii="SimSun" w:hAnsi="SimSun" w:eastAsia="SimSun" w:cs="SimSun"/>
          <w:sz w:val="24"/>
          <w:szCs w:val="24"/>
          <w:spacing w:val="-2"/>
        </w:rPr>
        <w:t>）、《农用沼液》（</w:t>
      </w:r>
      <w:r>
        <w:rPr>
          <w:rFonts w:ascii="Times New Roman" w:hAnsi="Times New Roman" w:eastAsia="Times New Roman" w:cs="Times New Roman"/>
          <w:sz w:val="24"/>
          <w:szCs w:val="24"/>
          <w:spacing w:val="-2"/>
        </w:rPr>
        <w:t>GB/T40750-2021</w:t>
      </w:r>
      <w:r>
        <w:rPr>
          <w:rFonts w:ascii="SimSun" w:hAnsi="SimSun" w:eastAsia="SimSun" w:cs="SimSun"/>
          <w:sz w:val="24"/>
          <w:szCs w:val="24"/>
          <w:spacing w:val="-2"/>
        </w:rPr>
        <w:t>）标准检测。检测数据如下</w:t>
      </w:r>
      <w:r>
        <w:rPr>
          <w:rFonts w:ascii="SimSun" w:hAnsi="SimSun" w:eastAsia="SimSun" w:cs="SimSun"/>
          <w:sz w:val="24"/>
          <w:szCs w:val="24"/>
          <w:spacing w:val="2"/>
        </w:rPr>
        <w:t xml:space="preserve">  </w:t>
      </w:r>
      <w:r>
        <w:rPr>
          <w:rFonts w:ascii="SimSun" w:hAnsi="SimSun" w:eastAsia="SimSun" w:cs="SimSun"/>
          <w:sz w:val="24"/>
          <w:szCs w:val="24"/>
        </w:rPr>
        <w:t>表</w:t>
      </w:r>
      <w:r>
        <w:rPr>
          <w:rFonts w:ascii="SimSun" w:hAnsi="SimSun" w:eastAsia="SimSun" w:cs="SimSun"/>
          <w:sz w:val="24"/>
          <w:szCs w:val="24"/>
          <w:spacing w:val="-47"/>
        </w:rPr>
        <w:t xml:space="preserve"> </w:t>
      </w:r>
      <w:r>
        <w:rPr>
          <w:rFonts w:ascii="Times New Roman" w:hAnsi="Times New Roman" w:eastAsia="Times New Roman" w:cs="Times New Roman"/>
          <w:sz w:val="24"/>
          <w:szCs w:val="24"/>
        </w:rPr>
        <w:t>3.2-1</w:t>
      </w:r>
      <w:r>
        <w:rPr>
          <w:rFonts w:ascii="Times New Roman" w:hAnsi="Times New Roman" w:eastAsia="Times New Roman" w:cs="Times New Roman"/>
          <w:sz w:val="24"/>
          <w:szCs w:val="24"/>
          <w:spacing w:val="-29"/>
        </w:rPr>
        <w:t xml:space="preserve"> </w:t>
      </w:r>
      <w:r>
        <w:rPr>
          <w:rFonts w:ascii="SimSun" w:hAnsi="SimSun" w:eastAsia="SimSun" w:cs="SimSun"/>
          <w:sz w:val="24"/>
          <w:szCs w:val="24"/>
        </w:rPr>
        <w:t>，检测报告见附件</w:t>
      </w:r>
      <w:r>
        <w:rPr>
          <w:rFonts w:ascii="SimSun" w:hAnsi="SimSun" w:eastAsia="SimSun" w:cs="SimSun"/>
          <w:sz w:val="24"/>
          <w:szCs w:val="24"/>
          <w:spacing w:val="-51"/>
        </w:rPr>
        <w:t xml:space="preserve"> </w:t>
      </w:r>
      <w:r>
        <w:rPr>
          <w:rFonts w:ascii="Times New Roman" w:hAnsi="Times New Roman" w:eastAsia="Times New Roman" w:cs="Times New Roman"/>
          <w:sz w:val="24"/>
          <w:szCs w:val="24"/>
        </w:rPr>
        <w:t>7</w:t>
      </w:r>
      <w:r>
        <w:rPr>
          <w:rFonts w:ascii="Times New Roman" w:hAnsi="Times New Roman" w:eastAsia="Times New Roman" w:cs="Times New Roman"/>
          <w:sz w:val="24"/>
          <w:szCs w:val="24"/>
          <w:spacing w:val="-22"/>
        </w:rPr>
        <w:t xml:space="preserve"> </w:t>
      </w:r>
      <w:r>
        <w:rPr>
          <w:rFonts w:ascii="SimSun" w:hAnsi="SimSun" w:eastAsia="SimSun" w:cs="SimSun"/>
          <w:sz w:val="24"/>
          <w:szCs w:val="24"/>
        </w:rPr>
        <w:t>。根据检测结果可</w:t>
      </w:r>
      <w:r>
        <w:rPr>
          <w:rFonts w:ascii="SimSun" w:hAnsi="SimSun" w:eastAsia="SimSun" w:cs="SimSun"/>
          <w:sz w:val="24"/>
          <w:szCs w:val="24"/>
          <w:spacing w:val="-1"/>
        </w:rPr>
        <w:t>知，厌氧发酵后沼液中未检测到洗</w:t>
      </w:r>
      <w:r>
        <w:rPr>
          <w:rFonts w:ascii="SimSun" w:hAnsi="SimSun" w:eastAsia="SimSun" w:cs="SimSun"/>
          <w:sz w:val="24"/>
          <w:szCs w:val="24"/>
        </w:rPr>
        <w:t xml:space="preserve">  </w:t>
      </w:r>
      <w:r>
        <w:rPr>
          <w:rFonts w:ascii="SimSun" w:hAnsi="SimSun" w:eastAsia="SimSun" w:cs="SimSun"/>
          <w:sz w:val="24"/>
          <w:szCs w:val="24"/>
          <w:spacing w:val="-5"/>
        </w:rPr>
        <w:t>涤剂残留，本项目产生的沼液能够达到《沼肥》（</w:t>
      </w:r>
      <w:r>
        <w:rPr>
          <w:rFonts w:ascii="Times New Roman" w:hAnsi="Times New Roman" w:eastAsia="Times New Roman" w:cs="Times New Roman"/>
          <w:sz w:val="24"/>
          <w:szCs w:val="24"/>
          <w:spacing w:val="-5"/>
        </w:rPr>
        <w:t>NY/T2596-2022</w:t>
      </w:r>
      <w:r>
        <w:rPr>
          <w:rFonts w:ascii="SimSun" w:hAnsi="SimSun" w:eastAsia="SimSun" w:cs="SimSun"/>
          <w:sz w:val="24"/>
          <w:szCs w:val="24"/>
          <w:spacing w:val="-5"/>
        </w:rPr>
        <w:t>）和《农用沼液》</w:t>
      </w:r>
      <w:r>
        <w:rPr>
          <w:rFonts w:ascii="SimSun" w:hAnsi="SimSun" w:eastAsia="SimSun" w:cs="SimSun"/>
          <w:sz w:val="24"/>
          <w:szCs w:val="24"/>
          <w:spacing w:val="1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GB/T40750-2021</w:t>
      </w:r>
      <w:r>
        <w:rPr>
          <w:rFonts w:ascii="SimSun" w:hAnsi="SimSun" w:eastAsia="SimSun" w:cs="SimSun"/>
          <w:sz w:val="24"/>
          <w:szCs w:val="24"/>
          <w:spacing w:val="-1"/>
        </w:rPr>
        <w:t>）标准限值。</w:t>
      </w:r>
    </w:p>
    <w:p>
      <w:pPr>
        <w:ind w:left="48" w:right="105" w:firstLine="479"/>
        <w:spacing w:line="359" w:lineRule="auto"/>
        <w:jc w:val="both"/>
        <w:rPr>
          <w:rFonts w:ascii="SimSun" w:hAnsi="SimSun" w:eastAsia="SimSun" w:cs="SimSun"/>
          <w:sz w:val="24"/>
          <w:szCs w:val="24"/>
        </w:rPr>
      </w:pPr>
      <w:r>
        <w:rPr>
          <w:rFonts w:ascii="SimSun" w:hAnsi="SimSun" w:eastAsia="SimSun" w:cs="SimSun"/>
          <w:sz w:val="24"/>
          <w:szCs w:val="24"/>
          <w:spacing w:val="3"/>
        </w:rPr>
        <w:t>若洗毛废水（含羊粪便）厌氧发酵后达不到以上标准，建</w:t>
      </w:r>
      <w:r>
        <w:rPr>
          <w:rFonts w:ascii="SimSun" w:hAnsi="SimSun" w:eastAsia="SimSun" w:cs="SimSun"/>
          <w:sz w:val="24"/>
          <w:szCs w:val="24"/>
          <w:spacing w:val="2"/>
        </w:rPr>
        <w:t>设单位应立即停止</w:t>
      </w:r>
      <w:r>
        <w:rPr>
          <w:rFonts w:ascii="SimSun" w:hAnsi="SimSun" w:eastAsia="SimSun" w:cs="SimSun"/>
          <w:sz w:val="24"/>
          <w:szCs w:val="24"/>
        </w:rPr>
        <w:t xml:space="preserve"> </w:t>
      </w:r>
      <w:r>
        <w:rPr>
          <w:rFonts w:ascii="SimSun" w:hAnsi="SimSun" w:eastAsia="SimSun" w:cs="SimSun"/>
          <w:sz w:val="24"/>
          <w:szCs w:val="24"/>
          <w:spacing w:val="16"/>
        </w:rPr>
        <w:t>生产，建设污水处理设施</w:t>
      </w:r>
      <w:r>
        <w:rPr>
          <w:rFonts w:ascii="SimSun" w:hAnsi="SimSun" w:eastAsia="SimSun" w:cs="SimSun"/>
          <w:sz w:val="24"/>
          <w:szCs w:val="24"/>
          <w:spacing w:val="-72"/>
        </w:rPr>
        <w:t xml:space="preserve"> </w:t>
      </w:r>
      <w:r>
        <w:rPr>
          <w:rFonts w:ascii="SimSun" w:hAnsi="SimSun" w:eastAsia="SimSun" w:cs="SimSun"/>
          <w:sz w:val="24"/>
          <w:szCs w:val="24"/>
          <w:spacing w:val="16"/>
        </w:rPr>
        <w:t>，废水经处理达到《</w:t>
      </w:r>
      <w:r>
        <w:rPr>
          <w:rFonts w:ascii="SimSun" w:hAnsi="SimSun" w:eastAsia="SimSun" w:cs="SimSun"/>
          <w:sz w:val="24"/>
          <w:szCs w:val="24"/>
          <w:spacing w:val="15"/>
        </w:rPr>
        <w:t>毛纺工业水污染物排放标准》</w:t>
      </w:r>
      <w:r>
        <w:rPr>
          <w:rFonts w:ascii="SimSun" w:hAnsi="SimSun" w:eastAsia="SimSun" w:cs="SimSun"/>
          <w:sz w:val="24"/>
          <w:szCs w:val="24"/>
        </w:rPr>
        <w:t xml:space="preserve"> </w:t>
      </w:r>
      <w:r>
        <w:rPr>
          <w:rFonts w:ascii="SimSun" w:hAnsi="SimSun" w:eastAsia="SimSun" w:cs="SimSun"/>
          <w:sz w:val="24"/>
          <w:szCs w:val="24"/>
        </w:rPr>
        <w:t>（</w:t>
      </w:r>
      <w:r>
        <w:rPr>
          <w:rFonts w:ascii="Times New Roman" w:hAnsi="Times New Roman" w:eastAsia="Times New Roman" w:cs="Times New Roman"/>
          <w:sz w:val="24"/>
          <w:szCs w:val="24"/>
        </w:rPr>
        <w:t>GB28937-2012</w:t>
      </w:r>
      <w:r>
        <w:rPr>
          <w:rFonts w:ascii="SimSun" w:hAnsi="SimSun" w:eastAsia="SimSun" w:cs="SimSun"/>
          <w:sz w:val="24"/>
          <w:szCs w:val="24"/>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rPr>
        <w:t>2</w:t>
      </w:r>
      <w:r>
        <w:rPr>
          <w:rFonts w:ascii="Times New Roman" w:hAnsi="Times New Roman" w:eastAsia="Times New Roman" w:cs="Times New Roman"/>
          <w:sz w:val="24"/>
          <w:szCs w:val="24"/>
          <w:spacing w:val="29"/>
        </w:rPr>
        <w:t xml:space="preserve"> </w:t>
      </w:r>
      <w:r>
        <w:rPr>
          <w:rFonts w:ascii="SimSun" w:hAnsi="SimSun" w:eastAsia="SimSun" w:cs="SimSun"/>
          <w:sz w:val="24"/>
          <w:szCs w:val="24"/>
        </w:rPr>
        <w:t>限制要求后方可继续生产。若沼液肥还田利用出现不畅或 </w:t>
      </w:r>
      <w:r>
        <w:rPr>
          <w:rFonts w:ascii="SimSun" w:hAnsi="SimSun" w:eastAsia="SimSun" w:cs="SimSun"/>
          <w:sz w:val="24"/>
          <w:szCs w:val="24"/>
        </w:rPr>
        <w:t>无法正常还田利用，建设单位应合理处置沼液肥</w:t>
      </w:r>
      <w:r>
        <w:rPr>
          <w:rFonts w:ascii="SimSun" w:hAnsi="SimSun" w:eastAsia="SimSun" w:cs="SimSun"/>
          <w:sz w:val="24"/>
          <w:szCs w:val="24"/>
          <w:spacing w:val="-1"/>
        </w:rPr>
        <w:t>或停产生产，降低环境风险。</w:t>
      </w:r>
    </w:p>
    <w:p>
      <w:pPr>
        <w:ind w:left="2752"/>
        <w:spacing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6"/>
        </w:rPr>
        <w:t xml:space="preserve"> </w:t>
      </w:r>
      <w:r>
        <w:rPr>
          <w:rFonts w:ascii="Times New Roman" w:hAnsi="Times New Roman" w:eastAsia="Times New Roman" w:cs="Times New Roman"/>
          <w:sz w:val="24"/>
          <w:szCs w:val="24"/>
          <w:b/>
          <w:bCs/>
          <w:spacing w:val="-2"/>
        </w:rPr>
        <w:t>3.2-1      </w:t>
      </w:r>
      <w:r>
        <w:rPr>
          <w:rFonts w:ascii="SimSun" w:hAnsi="SimSun" w:eastAsia="SimSun" w:cs="SimSun"/>
          <w:sz w:val="24"/>
          <w:szCs w:val="24"/>
          <w:b/>
          <w:bCs/>
          <w:spacing w:val="-2"/>
        </w:rPr>
        <w:t>沼液成分检测数据</w:t>
      </w:r>
    </w:p>
    <w:tbl>
      <w:tblPr>
        <w:tblStyle w:val="TableNormal"/>
        <w:tblW w:w="857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72"/>
        <w:gridCol w:w="1714"/>
        <w:gridCol w:w="1218"/>
        <w:gridCol w:w="1544"/>
        <w:gridCol w:w="1549"/>
        <w:gridCol w:w="1086"/>
        <w:gridCol w:w="1090"/>
      </w:tblGrid>
      <w:tr>
        <w:trPr>
          <w:trHeight w:val="554" w:hRule="atLeast"/>
        </w:trPr>
        <w:tc>
          <w:tcPr>
            <w:tcW w:w="372" w:type="dxa"/>
            <w:vAlign w:val="top"/>
            <w:vMerge w:val="restart"/>
            <w:textDirection w:val="tbRlV"/>
            <w:tcBorders>
              <w:bottom w:val="nil"/>
            </w:tcBorders>
          </w:tcPr>
          <w:p>
            <w:pPr>
              <w:pStyle w:val="TableText"/>
              <w:ind w:left="177"/>
              <w:spacing w:before="79" w:line="218" w:lineRule="auto"/>
              <w:rPr/>
            </w:pPr>
            <w:r>
              <w:rPr>
                <w:spacing w:val="8"/>
              </w:rPr>
              <w:t>序</w:t>
            </w:r>
            <w:r>
              <w:rPr>
                <w:spacing w:val="-38"/>
              </w:rPr>
              <w:t xml:space="preserve"> </w:t>
            </w:r>
            <w:r>
              <w:rPr>
                <w:spacing w:val="8"/>
              </w:rPr>
              <w:t>号</w:t>
            </w:r>
          </w:p>
        </w:tc>
        <w:tc>
          <w:tcPr>
            <w:tcW w:w="1714" w:type="dxa"/>
            <w:vAlign w:val="top"/>
            <w:vMerge w:val="restart"/>
            <w:tcBorders>
              <w:bottom w:val="nil"/>
            </w:tcBorders>
          </w:tcPr>
          <w:p>
            <w:pPr>
              <w:spacing w:line="247" w:lineRule="auto"/>
              <w:rPr>
                <w:rFonts w:ascii="Arial"/>
                <w:sz w:val="21"/>
              </w:rPr>
            </w:pPr>
            <w:r/>
          </w:p>
          <w:p>
            <w:pPr>
              <w:pStyle w:val="TableText"/>
              <w:ind w:left="438"/>
              <w:spacing w:before="65" w:line="228" w:lineRule="auto"/>
              <w:rPr/>
            </w:pPr>
            <w:r>
              <w:rPr>
                <w:spacing w:val="7"/>
              </w:rPr>
              <w:t>检测因子</w:t>
            </w:r>
          </w:p>
        </w:tc>
        <w:tc>
          <w:tcPr>
            <w:tcW w:w="2762" w:type="dxa"/>
            <w:vAlign w:val="top"/>
            <w:gridSpan w:val="2"/>
          </w:tcPr>
          <w:p>
            <w:pPr>
              <w:pStyle w:val="TableText"/>
              <w:ind w:left="62"/>
              <w:spacing w:before="172" w:line="227" w:lineRule="auto"/>
              <w:rPr/>
            </w:pPr>
            <w:r>
              <w:rPr>
                <w:spacing w:val="6"/>
              </w:rPr>
              <w:t>《沼肥》（</w:t>
            </w:r>
            <w:r>
              <w:rPr>
                <w:rFonts w:ascii="Times New Roman" w:hAnsi="Times New Roman" w:eastAsia="Times New Roman" w:cs="Times New Roman"/>
              </w:rPr>
              <w:t>NY</w:t>
            </w:r>
            <w:r>
              <w:rPr>
                <w:rFonts w:ascii="Times New Roman" w:hAnsi="Times New Roman" w:eastAsia="Times New Roman" w:cs="Times New Roman"/>
                <w:spacing w:val="6"/>
              </w:rPr>
              <w:t>/T2596-2022</w:t>
            </w:r>
            <w:r>
              <w:rPr>
                <w:spacing w:val="6"/>
              </w:rPr>
              <w:t>）</w:t>
            </w:r>
          </w:p>
        </w:tc>
        <w:tc>
          <w:tcPr>
            <w:tcW w:w="2635" w:type="dxa"/>
            <w:vAlign w:val="top"/>
            <w:gridSpan w:val="2"/>
          </w:tcPr>
          <w:p>
            <w:pPr>
              <w:pStyle w:val="TableText"/>
              <w:ind w:left="698"/>
              <w:spacing w:before="36" w:line="228" w:lineRule="auto"/>
              <w:rPr/>
            </w:pPr>
            <w:r>
              <w:rPr>
                <w:spacing w:val="5"/>
              </w:rPr>
              <w:t>《农用沼液》</w:t>
            </w:r>
          </w:p>
          <w:p>
            <w:pPr>
              <w:pStyle w:val="TableText"/>
              <w:ind w:left="377"/>
              <w:spacing w:before="25" w:line="217" w:lineRule="auto"/>
              <w:rPr/>
            </w:pPr>
            <w:r>
              <w:rPr>
                <w:spacing w:val="4"/>
              </w:rPr>
              <w:t>（</w:t>
            </w:r>
            <w:r>
              <w:rPr>
                <w:rFonts w:ascii="Times New Roman" w:hAnsi="Times New Roman" w:eastAsia="Times New Roman" w:cs="Times New Roman"/>
              </w:rPr>
              <w:t>GB</w:t>
            </w:r>
            <w:r>
              <w:rPr>
                <w:rFonts w:ascii="Times New Roman" w:hAnsi="Times New Roman" w:eastAsia="Times New Roman" w:cs="Times New Roman"/>
                <w:spacing w:val="4"/>
              </w:rPr>
              <w:t>/T40750-2021</w:t>
            </w:r>
            <w:r>
              <w:rPr>
                <w:spacing w:val="4"/>
              </w:rPr>
              <w:t>）</w:t>
            </w:r>
          </w:p>
        </w:tc>
        <w:tc>
          <w:tcPr>
            <w:tcW w:w="1090" w:type="dxa"/>
            <w:vAlign w:val="top"/>
            <w:vMerge w:val="restart"/>
            <w:tcBorders>
              <w:bottom w:val="nil"/>
            </w:tcBorders>
          </w:tcPr>
          <w:p>
            <w:pPr>
              <w:spacing w:line="247" w:lineRule="auto"/>
              <w:rPr>
                <w:rFonts w:ascii="Arial"/>
                <w:sz w:val="21"/>
              </w:rPr>
            </w:pPr>
            <w:r/>
          </w:p>
          <w:p>
            <w:pPr>
              <w:pStyle w:val="TableText"/>
              <w:ind w:left="25"/>
              <w:spacing w:before="65" w:line="228" w:lineRule="auto"/>
              <w:rPr/>
            </w:pPr>
            <w:r>
              <w:rPr>
                <w:spacing w:val="7"/>
              </w:rPr>
              <w:t>达标性分析</w:t>
            </w:r>
          </w:p>
        </w:tc>
      </w:tr>
      <w:tr>
        <w:trPr>
          <w:trHeight w:val="277" w:hRule="atLeast"/>
        </w:trPr>
        <w:tc>
          <w:tcPr>
            <w:tcW w:w="372" w:type="dxa"/>
            <w:vAlign w:val="top"/>
            <w:vMerge w:val="continue"/>
            <w:textDirection w:val="tbRlV"/>
            <w:tcBorders>
              <w:top w:val="nil"/>
            </w:tcBorders>
          </w:tcPr>
          <w:p>
            <w:pPr>
              <w:rPr>
                <w:rFonts w:ascii="Arial"/>
                <w:sz w:val="21"/>
              </w:rPr>
            </w:pPr>
            <w:r/>
          </w:p>
        </w:tc>
        <w:tc>
          <w:tcPr>
            <w:tcW w:w="1714" w:type="dxa"/>
            <w:vAlign w:val="top"/>
            <w:vMerge w:val="continue"/>
            <w:tcBorders>
              <w:top w:val="nil"/>
            </w:tcBorders>
          </w:tcPr>
          <w:p>
            <w:pPr>
              <w:rPr>
                <w:rFonts w:ascii="Arial"/>
                <w:sz w:val="21"/>
              </w:rPr>
            </w:pPr>
            <w:r/>
          </w:p>
        </w:tc>
        <w:tc>
          <w:tcPr>
            <w:tcW w:w="1218" w:type="dxa"/>
            <w:vAlign w:val="top"/>
          </w:tcPr>
          <w:p>
            <w:pPr>
              <w:pStyle w:val="TableText"/>
              <w:ind w:left="193"/>
              <w:spacing w:before="30" w:line="218" w:lineRule="auto"/>
              <w:rPr/>
            </w:pPr>
            <w:r>
              <w:rPr>
                <w:spacing w:val="7"/>
              </w:rPr>
              <w:t>检测结果</w:t>
            </w:r>
          </w:p>
        </w:tc>
        <w:tc>
          <w:tcPr>
            <w:tcW w:w="1544" w:type="dxa"/>
            <w:vAlign w:val="top"/>
          </w:tcPr>
          <w:p>
            <w:pPr>
              <w:pStyle w:val="TableText"/>
              <w:ind w:left="356"/>
              <w:spacing w:before="30" w:line="218" w:lineRule="auto"/>
              <w:rPr/>
            </w:pPr>
            <w:r>
              <w:rPr>
                <w:spacing w:val="7"/>
              </w:rPr>
              <w:t>标准限值</w:t>
            </w:r>
          </w:p>
        </w:tc>
        <w:tc>
          <w:tcPr>
            <w:tcW w:w="1549" w:type="dxa"/>
            <w:vAlign w:val="top"/>
          </w:tcPr>
          <w:p>
            <w:pPr>
              <w:pStyle w:val="TableText"/>
              <w:ind w:left="359"/>
              <w:spacing w:before="30" w:line="218" w:lineRule="auto"/>
              <w:rPr/>
            </w:pPr>
            <w:r>
              <w:rPr>
                <w:spacing w:val="7"/>
              </w:rPr>
              <w:t>检测结果</w:t>
            </w:r>
          </w:p>
        </w:tc>
        <w:tc>
          <w:tcPr>
            <w:tcW w:w="1086" w:type="dxa"/>
            <w:vAlign w:val="top"/>
          </w:tcPr>
          <w:p>
            <w:pPr>
              <w:pStyle w:val="TableText"/>
              <w:ind w:left="131"/>
              <w:spacing w:before="30" w:line="218" w:lineRule="auto"/>
              <w:rPr/>
            </w:pPr>
            <w:r>
              <w:rPr>
                <w:spacing w:val="7"/>
              </w:rPr>
              <w:t>标准限值</w:t>
            </w:r>
          </w:p>
        </w:tc>
        <w:tc>
          <w:tcPr>
            <w:tcW w:w="1090" w:type="dxa"/>
            <w:vAlign w:val="top"/>
            <w:vMerge w:val="continue"/>
            <w:tcBorders>
              <w:top w:val="nil"/>
            </w:tcBorders>
          </w:tcPr>
          <w:p>
            <w:pPr>
              <w:rPr>
                <w:rFonts w:ascii="Arial"/>
                <w:sz w:val="21"/>
              </w:rPr>
            </w:pPr>
            <w:r/>
          </w:p>
        </w:tc>
      </w:tr>
      <w:tr>
        <w:trPr>
          <w:trHeight w:val="278" w:hRule="atLeast"/>
        </w:trPr>
        <w:tc>
          <w:tcPr>
            <w:tcW w:w="372" w:type="dxa"/>
            <w:vAlign w:val="top"/>
          </w:tcPr>
          <w:p>
            <w:pPr>
              <w:ind w:left="155"/>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714" w:type="dxa"/>
            <w:vAlign w:val="top"/>
          </w:tcPr>
          <w:p>
            <w:pPr>
              <w:pStyle w:val="TableText"/>
              <w:ind w:left="206"/>
              <w:spacing w:before="31" w:line="218" w:lineRule="auto"/>
              <w:rPr/>
            </w:pPr>
            <w:r>
              <w:rPr>
                <w:spacing w:val="8"/>
              </w:rPr>
              <w:t>酸碱度（</w:t>
            </w:r>
            <w:r>
              <w:rPr>
                <w:rFonts w:ascii="Times New Roman" w:hAnsi="Times New Roman" w:eastAsia="Times New Roman" w:cs="Times New Roman"/>
              </w:rPr>
              <w:t>pH</w:t>
            </w:r>
            <w:r>
              <w:rPr>
                <w:spacing w:val="8"/>
              </w:rPr>
              <w:t>）</w:t>
            </w:r>
          </w:p>
        </w:tc>
        <w:tc>
          <w:tcPr>
            <w:tcW w:w="1218" w:type="dxa"/>
            <w:vAlign w:val="top"/>
          </w:tcPr>
          <w:p>
            <w:pPr>
              <w:ind w:left="428"/>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7.95</w:t>
            </w:r>
          </w:p>
        </w:tc>
        <w:tc>
          <w:tcPr>
            <w:tcW w:w="1544" w:type="dxa"/>
            <w:vAlign w:val="top"/>
          </w:tcPr>
          <w:p>
            <w:pPr>
              <w:ind w:left="48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5.5-8.5</w:t>
            </w:r>
          </w:p>
        </w:tc>
        <w:tc>
          <w:tcPr>
            <w:tcW w:w="1549" w:type="dxa"/>
            <w:vAlign w:val="top"/>
          </w:tcPr>
          <w:p>
            <w:pPr>
              <w:ind w:left="596"/>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7.51</w:t>
            </w:r>
          </w:p>
        </w:tc>
        <w:tc>
          <w:tcPr>
            <w:tcW w:w="1086" w:type="dxa"/>
            <w:vAlign w:val="top"/>
          </w:tcPr>
          <w:p>
            <w:pPr>
              <w:ind w:left="255"/>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5.5-8.5</w:t>
            </w:r>
          </w:p>
        </w:tc>
        <w:tc>
          <w:tcPr>
            <w:tcW w:w="1090" w:type="dxa"/>
            <w:vAlign w:val="top"/>
          </w:tcPr>
          <w:p>
            <w:pPr>
              <w:pStyle w:val="TableText"/>
              <w:ind w:left="339"/>
              <w:spacing w:before="31" w:line="218" w:lineRule="auto"/>
              <w:rPr/>
            </w:pPr>
            <w:r>
              <w:rPr>
                <w:spacing w:val="5"/>
              </w:rPr>
              <w:t>达标</w:t>
            </w:r>
          </w:p>
        </w:tc>
      </w:tr>
      <w:tr>
        <w:trPr>
          <w:trHeight w:val="402" w:hRule="atLeast"/>
        </w:trPr>
        <w:tc>
          <w:tcPr>
            <w:tcW w:w="372" w:type="dxa"/>
            <w:vAlign w:val="top"/>
          </w:tcPr>
          <w:p>
            <w:pPr>
              <w:ind w:left="135"/>
              <w:spacing w:before="12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714" w:type="dxa"/>
            <w:vAlign w:val="top"/>
          </w:tcPr>
          <w:p>
            <w:pPr>
              <w:pStyle w:val="TableText"/>
              <w:ind w:left="191"/>
              <w:spacing w:before="92" w:line="221" w:lineRule="auto"/>
              <w:rPr>
                <w:rFonts w:ascii="Times New Roman" w:hAnsi="Times New Roman" w:eastAsia="Times New Roman" w:cs="Times New Roman"/>
              </w:rPr>
            </w:pPr>
            <w:r>
              <w:rPr>
                <w:spacing w:val="6"/>
              </w:rPr>
              <w:t>水不溶物，</w:t>
            </w:r>
            <w:r>
              <w:rPr>
                <w:rFonts w:ascii="Times New Roman" w:hAnsi="Times New Roman" w:eastAsia="Times New Roman" w:cs="Times New Roman"/>
                <w:spacing w:val="6"/>
              </w:rPr>
              <w:t>g/L</w:t>
            </w:r>
          </w:p>
        </w:tc>
        <w:tc>
          <w:tcPr>
            <w:tcW w:w="1218" w:type="dxa"/>
            <w:vAlign w:val="top"/>
          </w:tcPr>
          <w:p>
            <w:pPr>
              <w:ind w:left="481"/>
              <w:spacing w:before="12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0.0</w:t>
            </w:r>
          </w:p>
        </w:tc>
        <w:tc>
          <w:tcPr>
            <w:tcW w:w="1544" w:type="dxa"/>
            <w:vAlign w:val="top"/>
          </w:tcPr>
          <w:p>
            <w:pPr>
              <w:pStyle w:val="TableText"/>
              <w:ind w:left="502"/>
              <w:spacing w:before="92" w:line="264" w:lineRule="exact"/>
              <w:rPr>
                <w:rFonts w:ascii="Times New Roman" w:hAnsi="Times New Roman" w:eastAsia="Times New Roman" w:cs="Times New Roman"/>
              </w:rPr>
            </w:pPr>
            <w:r>
              <w:rPr>
                <w:position w:val="1"/>
              </w:rPr>
              <w:t>≤</w:t>
            </w:r>
            <w:r>
              <w:rPr>
                <w:rFonts w:ascii="Times New Roman" w:hAnsi="Times New Roman" w:eastAsia="Times New Roman" w:cs="Times New Roman"/>
                <w:position w:val="1"/>
              </w:rPr>
              <w:t>50.0</w:t>
            </w:r>
          </w:p>
        </w:tc>
        <w:tc>
          <w:tcPr>
            <w:tcW w:w="1549" w:type="dxa"/>
            <w:vAlign w:val="top"/>
          </w:tcPr>
          <w:p>
            <w:pPr>
              <w:ind w:left="642"/>
              <w:spacing w:before="12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4.7</w:t>
            </w:r>
          </w:p>
        </w:tc>
        <w:tc>
          <w:tcPr>
            <w:tcW w:w="1086" w:type="dxa"/>
            <w:vAlign w:val="top"/>
          </w:tcPr>
          <w:p>
            <w:pPr>
              <w:pStyle w:val="TableText"/>
              <w:ind w:left="274"/>
              <w:spacing w:before="92" w:line="264" w:lineRule="exact"/>
              <w:rPr>
                <w:rFonts w:ascii="Times New Roman" w:hAnsi="Times New Roman" w:eastAsia="Times New Roman" w:cs="Times New Roman"/>
              </w:rPr>
            </w:pPr>
            <w:r>
              <w:rPr>
                <w:position w:val="1"/>
              </w:rPr>
              <w:t>≤</w:t>
            </w:r>
            <w:r>
              <w:rPr>
                <w:rFonts w:ascii="Times New Roman" w:hAnsi="Times New Roman" w:eastAsia="Times New Roman" w:cs="Times New Roman"/>
                <w:position w:val="1"/>
              </w:rPr>
              <w:t>50.0</w:t>
            </w:r>
          </w:p>
        </w:tc>
        <w:tc>
          <w:tcPr>
            <w:tcW w:w="1090" w:type="dxa"/>
            <w:vAlign w:val="top"/>
          </w:tcPr>
          <w:p>
            <w:pPr>
              <w:pStyle w:val="TableText"/>
              <w:ind w:left="339"/>
              <w:spacing w:before="92" w:line="228" w:lineRule="auto"/>
              <w:rPr/>
            </w:pPr>
            <w:r>
              <w:rPr>
                <w:spacing w:val="5"/>
              </w:rPr>
              <w:t>达标</w:t>
            </w:r>
          </w:p>
        </w:tc>
      </w:tr>
      <w:tr>
        <w:trPr>
          <w:trHeight w:val="548" w:hRule="atLeast"/>
        </w:trPr>
        <w:tc>
          <w:tcPr>
            <w:tcW w:w="372" w:type="dxa"/>
            <w:vAlign w:val="top"/>
          </w:tcPr>
          <w:p>
            <w:pPr>
              <w:ind w:left="139"/>
              <w:spacing w:before="2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714" w:type="dxa"/>
            <w:vAlign w:val="top"/>
          </w:tcPr>
          <w:p>
            <w:pPr>
              <w:pStyle w:val="TableText"/>
              <w:ind w:left="20"/>
              <w:spacing w:before="30" w:line="228" w:lineRule="auto"/>
              <w:rPr/>
            </w:pPr>
            <w:r>
              <w:rPr>
                <w:spacing w:val="8"/>
              </w:rPr>
              <w:t>粪大肠菌群数，个</w:t>
            </w:r>
          </w:p>
          <w:p>
            <w:pPr>
              <w:pStyle w:val="TableText"/>
              <w:ind w:left="414"/>
              <w:spacing w:before="24" w:line="218" w:lineRule="auto"/>
              <w:rPr/>
            </w:pPr>
            <w:r>
              <w:rPr>
                <w:rFonts w:ascii="Times New Roman" w:hAnsi="Times New Roman" w:eastAsia="Times New Roman" w:cs="Times New Roman"/>
                <w:spacing w:val="7"/>
              </w:rPr>
              <w:t>/g</w:t>
            </w:r>
            <w:r>
              <w:rPr>
                <w:spacing w:val="7"/>
              </w:rPr>
              <w:t>（</w:t>
            </w:r>
            <w:r>
              <w:rPr>
                <w:rFonts w:ascii="Times New Roman" w:hAnsi="Times New Roman" w:eastAsia="Times New Roman" w:cs="Times New Roman"/>
              </w:rPr>
              <w:t>mL</w:t>
            </w:r>
            <w:r>
              <w:rPr>
                <w:spacing w:val="7"/>
              </w:rPr>
              <w:t>）</w:t>
            </w:r>
          </w:p>
        </w:tc>
        <w:tc>
          <w:tcPr>
            <w:tcW w:w="1218" w:type="dxa"/>
            <w:vAlign w:val="top"/>
          </w:tcPr>
          <w:p>
            <w:pPr>
              <w:ind w:left="417"/>
              <w:spacing w:before="2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&lt;3.0</w:t>
            </w:r>
          </w:p>
        </w:tc>
        <w:tc>
          <w:tcPr>
            <w:tcW w:w="1544" w:type="dxa"/>
            <w:vAlign w:val="top"/>
          </w:tcPr>
          <w:p>
            <w:pPr>
              <w:pStyle w:val="TableText"/>
              <w:ind w:left="449"/>
              <w:spacing w:before="165" w:line="264" w:lineRule="exact"/>
              <w:rPr>
                <w:rFonts w:ascii="Times New Roman" w:hAnsi="Times New Roman" w:eastAsia="Times New Roman" w:cs="Times New Roman"/>
              </w:rPr>
            </w:pPr>
            <w:r>
              <w:rPr>
                <w:spacing w:val="1"/>
                <w:position w:val="1"/>
              </w:rPr>
              <w:t>≤</w:t>
            </w:r>
            <w:r>
              <w:rPr>
                <w:rFonts w:ascii="Times New Roman" w:hAnsi="Times New Roman" w:eastAsia="Times New Roman" w:cs="Times New Roman"/>
                <w:spacing w:val="1"/>
                <w:position w:val="1"/>
              </w:rPr>
              <w:t>100.0</w:t>
            </w:r>
          </w:p>
        </w:tc>
        <w:tc>
          <w:tcPr>
            <w:tcW w:w="1549" w:type="dxa"/>
            <w:vAlign w:val="top"/>
          </w:tcPr>
          <w:p>
            <w:pPr>
              <w:ind w:left="613"/>
              <w:spacing w:before="2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11.</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3"/>
              </w:rPr>
              <w:t>1</w:t>
            </w:r>
          </w:p>
        </w:tc>
        <w:tc>
          <w:tcPr>
            <w:tcW w:w="1086" w:type="dxa"/>
            <w:vAlign w:val="top"/>
          </w:tcPr>
          <w:p>
            <w:pPr>
              <w:ind w:left="324"/>
              <w:spacing w:before="184" w:line="21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≥10</w:t>
            </w:r>
            <w:r>
              <w:rPr>
                <w:rFonts w:ascii="Times New Roman" w:hAnsi="Times New Roman" w:eastAsia="Times New Roman" w:cs="Times New Roman"/>
                <w:sz w:val="13"/>
                <w:szCs w:val="13"/>
                <w:spacing w:val="3"/>
                <w:position w:val="6"/>
              </w:rPr>
              <w:t>-4</w:t>
            </w:r>
          </w:p>
        </w:tc>
        <w:tc>
          <w:tcPr>
            <w:tcW w:w="1090" w:type="dxa"/>
            <w:vAlign w:val="top"/>
          </w:tcPr>
          <w:p>
            <w:pPr>
              <w:pStyle w:val="TableText"/>
              <w:ind w:left="339"/>
              <w:spacing w:before="165" w:line="228" w:lineRule="auto"/>
              <w:rPr/>
            </w:pPr>
            <w:r>
              <w:rPr>
                <w:spacing w:val="5"/>
              </w:rPr>
              <w:t>达标</w:t>
            </w:r>
          </w:p>
        </w:tc>
      </w:tr>
      <w:tr>
        <w:trPr>
          <w:trHeight w:val="402" w:hRule="atLeast"/>
        </w:trPr>
        <w:tc>
          <w:tcPr>
            <w:tcW w:w="372" w:type="dxa"/>
            <w:vAlign w:val="top"/>
          </w:tcPr>
          <w:p>
            <w:pPr>
              <w:ind w:left="134"/>
              <w:spacing w:before="13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714" w:type="dxa"/>
            <w:vAlign w:val="top"/>
          </w:tcPr>
          <w:p>
            <w:pPr>
              <w:pStyle w:val="TableText"/>
              <w:ind w:left="38"/>
              <w:spacing w:before="94" w:line="228" w:lineRule="auto"/>
              <w:rPr>
                <w:rFonts w:ascii="Times New Roman" w:hAnsi="Times New Roman" w:eastAsia="Times New Roman" w:cs="Times New Roman"/>
              </w:rPr>
            </w:pPr>
            <w:r>
              <w:rPr>
                <w:spacing w:val="8"/>
              </w:rPr>
              <w:t>蛔虫卵死亡率，</w:t>
            </w:r>
            <w:r>
              <w:rPr>
                <w:rFonts w:ascii="Times New Roman" w:hAnsi="Times New Roman" w:eastAsia="Times New Roman" w:cs="Times New Roman"/>
                <w:spacing w:val="8"/>
              </w:rPr>
              <w:t>%</w:t>
            </w:r>
          </w:p>
        </w:tc>
        <w:tc>
          <w:tcPr>
            <w:tcW w:w="1218" w:type="dxa"/>
            <w:vAlign w:val="top"/>
          </w:tcPr>
          <w:p>
            <w:pPr>
              <w:ind w:left="471"/>
              <w:spacing w:before="13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100</w:t>
            </w:r>
          </w:p>
        </w:tc>
        <w:tc>
          <w:tcPr>
            <w:tcW w:w="1544" w:type="dxa"/>
            <w:vAlign w:val="top"/>
          </w:tcPr>
          <w:p>
            <w:pPr>
              <w:ind w:left="530"/>
              <w:spacing w:before="13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≥95.0</w:t>
            </w:r>
          </w:p>
        </w:tc>
        <w:tc>
          <w:tcPr>
            <w:tcW w:w="1549" w:type="dxa"/>
            <w:vAlign w:val="top"/>
          </w:tcPr>
          <w:p>
            <w:pPr>
              <w:ind w:left="640"/>
              <w:spacing w:before="13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100</w:t>
            </w:r>
          </w:p>
        </w:tc>
        <w:tc>
          <w:tcPr>
            <w:tcW w:w="1086" w:type="dxa"/>
            <w:vAlign w:val="top"/>
          </w:tcPr>
          <w:p>
            <w:pPr>
              <w:ind w:left="302"/>
              <w:spacing w:before="13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≥95.0</w:t>
            </w:r>
          </w:p>
        </w:tc>
        <w:tc>
          <w:tcPr>
            <w:tcW w:w="1090" w:type="dxa"/>
            <w:vAlign w:val="top"/>
          </w:tcPr>
          <w:p>
            <w:pPr>
              <w:pStyle w:val="TableText"/>
              <w:ind w:left="339"/>
              <w:spacing w:before="95" w:line="228" w:lineRule="auto"/>
              <w:rPr/>
            </w:pPr>
            <w:r>
              <w:rPr>
                <w:spacing w:val="5"/>
              </w:rPr>
              <w:t>达标</w:t>
            </w:r>
          </w:p>
        </w:tc>
      </w:tr>
      <w:tr>
        <w:trPr>
          <w:trHeight w:val="519" w:hRule="atLeast"/>
        </w:trPr>
        <w:tc>
          <w:tcPr>
            <w:tcW w:w="372" w:type="dxa"/>
            <w:vAlign w:val="top"/>
          </w:tcPr>
          <w:p>
            <w:pPr>
              <w:ind w:left="140"/>
              <w:spacing w:before="19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714" w:type="dxa"/>
            <w:vAlign w:val="top"/>
          </w:tcPr>
          <w:p>
            <w:pPr>
              <w:pStyle w:val="TableText"/>
              <w:ind w:left="101"/>
              <w:spacing w:before="33" w:line="221" w:lineRule="auto"/>
              <w:rPr/>
            </w:pPr>
            <w:r>
              <w:rPr>
                <w:spacing w:val="5"/>
              </w:rPr>
              <w:t>总砷</w:t>
            </w:r>
            <w:r>
              <w:rPr>
                <w:rFonts w:ascii="Times New Roman" w:hAnsi="Times New Roman" w:eastAsia="Times New Roman" w:cs="Times New Roman"/>
                <w:spacing w:val="5"/>
              </w:rPr>
              <w:t>(</w:t>
            </w:r>
            <w:r>
              <w:rPr>
                <w:spacing w:val="5"/>
              </w:rPr>
              <w:t>以</w:t>
            </w:r>
            <w:r>
              <w:rPr>
                <w:spacing w:val="-43"/>
              </w:rPr>
              <w:t xml:space="preserve"> </w:t>
            </w:r>
            <w:r>
              <w:rPr>
                <w:rFonts w:ascii="Times New Roman" w:hAnsi="Times New Roman" w:eastAsia="Times New Roman" w:cs="Times New Roman"/>
              </w:rPr>
              <w:t>As</w:t>
            </w:r>
            <w:r>
              <w:rPr>
                <w:rFonts w:ascii="Times New Roman" w:hAnsi="Times New Roman" w:eastAsia="Times New Roman" w:cs="Times New Roman"/>
                <w:spacing w:val="5"/>
              </w:rPr>
              <w:t xml:space="preserve"> </w:t>
            </w:r>
            <w:r>
              <w:rPr>
                <w:spacing w:val="5"/>
              </w:rPr>
              <w:t>计</w:t>
            </w:r>
            <w:r>
              <w:rPr>
                <w:rFonts w:ascii="Times New Roman" w:hAnsi="Times New Roman" w:eastAsia="Times New Roman" w:cs="Times New Roman"/>
                <w:spacing w:val="5"/>
              </w:rPr>
              <w:t>)</w:t>
            </w:r>
            <w:r>
              <w:rPr>
                <w:spacing w:val="5"/>
              </w:rPr>
              <w:t>，</w:t>
            </w:r>
          </w:p>
          <w:p>
            <w:pPr>
              <w:ind w:left="626"/>
              <w:spacing w:before="50"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1218" w:type="dxa"/>
            <w:vAlign w:val="top"/>
          </w:tcPr>
          <w:p>
            <w:pPr>
              <w:ind w:left="481"/>
              <w:spacing w:before="1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rPr>
              <w:t>1</w:t>
            </w:r>
          </w:p>
        </w:tc>
        <w:tc>
          <w:tcPr>
            <w:tcW w:w="1544" w:type="dxa"/>
            <w:vAlign w:val="top"/>
          </w:tcPr>
          <w:p>
            <w:pPr>
              <w:ind w:left="530"/>
              <w:spacing w:before="1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≤10.0</w:t>
            </w:r>
          </w:p>
        </w:tc>
        <w:tc>
          <w:tcPr>
            <w:tcW w:w="1549" w:type="dxa"/>
            <w:vAlign w:val="top"/>
          </w:tcPr>
          <w:p>
            <w:pPr>
              <w:ind w:left="647"/>
              <w:spacing w:before="1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0.3</w:t>
            </w:r>
          </w:p>
        </w:tc>
        <w:tc>
          <w:tcPr>
            <w:tcW w:w="1086" w:type="dxa"/>
            <w:vAlign w:val="top"/>
          </w:tcPr>
          <w:p>
            <w:pPr>
              <w:ind w:left="355"/>
              <w:spacing w:before="1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≤0.3</w:t>
            </w:r>
          </w:p>
        </w:tc>
        <w:tc>
          <w:tcPr>
            <w:tcW w:w="1090" w:type="dxa"/>
            <w:vAlign w:val="top"/>
          </w:tcPr>
          <w:p>
            <w:pPr>
              <w:pStyle w:val="TableText"/>
              <w:ind w:left="339"/>
              <w:spacing w:before="153" w:line="228" w:lineRule="auto"/>
              <w:rPr/>
            </w:pPr>
            <w:r>
              <w:rPr>
                <w:spacing w:val="5"/>
              </w:rPr>
              <w:t>达标</w:t>
            </w:r>
          </w:p>
        </w:tc>
      </w:tr>
      <w:tr>
        <w:trPr>
          <w:trHeight w:val="519" w:hRule="atLeast"/>
        </w:trPr>
        <w:tc>
          <w:tcPr>
            <w:tcW w:w="372" w:type="dxa"/>
            <w:vAlign w:val="top"/>
          </w:tcPr>
          <w:p>
            <w:pPr>
              <w:ind w:left="139"/>
              <w:spacing w:before="1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714" w:type="dxa"/>
            <w:vAlign w:val="top"/>
          </w:tcPr>
          <w:p>
            <w:pPr>
              <w:pStyle w:val="TableText"/>
              <w:ind w:left="96"/>
              <w:spacing w:before="32" w:line="221" w:lineRule="auto"/>
              <w:rPr/>
            </w:pPr>
            <w:r>
              <w:rPr>
                <w:spacing w:val="4"/>
              </w:rPr>
              <w:t>总镉</w:t>
            </w:r>
            <w:r>
              <w:rPr>
                <w:rFonts w:ascii="Times New Roman" w:hAnsi="Times New Roman" w:eastAsia="Times New Roman" w:cs="Times New Roman"/>
                <w:spacing w:val="4"/>
              </w:rPr>
              <w:t>(</w:t>
            </w:r>
            <w:r>
              <w:rPr>
                <w:spacing w:val="4"/>
              </w:rPr>
              <w:t>以</w:t>
            </w:r>
            <w:r>
              <w:rPr>
                <w:spacing w:val="-34"/>
              </w:rPr>
              <w:t xml:space="preserve"> </w:t>
            </w:r>
            <w:r>
              <w:rPr>
                <w:rFonts w:ascii="Times New Roman" w:hAnsi="Times New Roman" w:eastAsia="Times New Roman" w:cs="Times New Roman"/>
              </w:rPr>
              <w:t>Cd</w:t>
            </w:r>
            <w:r>
              <w:rPr>
                <w:rFonts w:ascii="Times New Roman" w:hAnsi="Times New Roman" w:eastAsia="Times New Roman" w:cs="Times New Roman"/>
                <w:spacing w:val="4"/>
              </w:rPr>
              <w:t xml:space="preserve"> </w:t>
            </w:r>
            <w:r>
              <w:rPr>
                <w:spacing w:val="4"/>
              </w:rPr>
              <w:t>计</w:t>
            </w:r>
            <w:r>
              <w:rPr>
                <w:rFonts w:ascii="Times New Roman" w:hAnsi="Times New Roman" w:eastAsia="Times New Roman" w:cs="Times New Roman"/>
                <w:spacing w:val="4"/>
              </w:rPr>
              <w:t>)</w:t>
            </w:r>
            <w:r>
              <w:rPr>
                <w:spacing w:val="4"/>
              </w:rPr>
              <w:t>，</w:t>
            </w:r>
          </w:p>
          <w:p>
            <w:pPr>
              <w:ind w:left="626"/>
              <w:spacing w:before="5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1218" w:type="dxa"/>
            <w:vAlign w:val="top"/>
          </w:tcPr>
          <w:p>
            <w:pPr>
              <w:pStyle w:val="TableText"/>
              <w:ind w:left="300"/>
              <w:spacing w:before="152" w:line="228" w:lineRule="auto"/>
              <w:rPr/>
            </w:pPr>
            <w:r>
              <w:rPr>
                <w:spacing w:val="5"/>
              </w:rPr>
              <w:t>未检出</w:t>
            </w:r>
          </w:p>
        </w:tc>
        <w:tc>
          <w:tcPr>
            <w:tcW w:w="1544" w:type="dxa"/>
            <w:vAlign w:val="top"/>
          </w:tcPr>
          <w:p>
            <w:pPr>
              <w:ind w:left="582"/>
              <w:spacing w:before="1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w:t>
            </w:r>
          </w:p>
        </w:tc>
        <w:tc>
          <w:tcPr>
            <w:tcW w:w="1549" w:type="dxa"/>
            <w:vAlign w:val="top"/>
          </w:tcPr>
          <w:p>
            <w:pPr>
              <w:pStyle w:val="TableText"/>
              <w:ind w:left="468"/>
              <w:spacing w:before="152" w:line="228" w:lineRule="auto"/>
              <w:rPr/>
            </w:pPr>
            <w:r>
              <w:rPr>
                <w:spacing w:val="5"/>
              </w:rPr>
              <w:t>未检出</w:t>
            </w:r>
          </w:p>
        </w:tc>
        <w:tc>
          <w:tcPr>
            <w:tcW w:w="1086" w:type="dxa"/>
            <w:vAlign w:val="top"/>
          </w:tcPr>
          <w:p>
            <w:pPr>
              <w:pStyle w:val="TableText"/>
              <w:ind w:left="237"/>
              <w:spacing w:before="152" w:line="228" w:lineRule="auto"/>
              <w:rPr/>
            </w:pPr>
            <w:r>
              <w:rPr>
                <w:spacing w:val="5"/>
              </w:rPr>
              <w:t>未检出</w:t>
            </w:r>
          </w:p>
        </w:tc>
        <w:tc>
          <w:tcPr>
            <w:tcW w:w="1090" w:type="dxa"/>
            <w:vAlign w:val="top"/>
          </w:tcPr>
          <w:p>
            <w:pPr>
              <w:pStyle w:val="TableText"/>
              <w:ind w:left="339"/>
              <w:spacing w:before="153" w:line="228" w:lineRule="auto"/>
              <w:rPr/>
            </w:pPr>
            <w:r>
              <w:rPr>
                <w:spacing w:val="5"/>
              </w:rPr>
              <w:t>达标</w:t>
            </w:r>
          </w:p>
        </w:tc>
      </w:tr>
      <w:tr>
        <w:trPr>
          <w:trHeight w:val="518" w:hRule="atLeast"/>
        </w:trPr>
        <w:tc>
          <w:tcPr>
            <w:tcW w:w="372" w:type="dxa"/>
            <w:vAlign w:val="top"/>
          </w:tcPr>
          <w:p>
            <w:pPr>
              <w:ind w:left="138"/>
              <w:spacing w:before="190"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714" w:type="dxa"/>
            <w:vAlign w:val="top"/>
          </w:tcPr>
          <w:p>
            <w:pPr>
              <w:pStyle w:val="TableText"/>
              <w:ind w:left="108"/>
              <w:spacing w:before="31" w:line="221" w:lineRule="auto"/>
              <w:rPr/>
            </w:pPr>
            <w:r>
              <w:rPr>
                <w:spacing w:val="4"/>
              </w:rPr>
              <w:t>总铅</w:t>
            </w:r>
            <w:r>
              <w:rPr>
                <w:rFonts w:ascii="Times New Roman" w:hAnsi="Times New Roman" w:eastAsia="Times New Roman" w:cs="Times New Roman"/>
                <w:spacing w:val="4"/>
              </w:rPr>
              <w:t>(</w:t>
            </w:r>
            <w:r>
              <w:rPr>
                <w:spacing w:val="4"/>
              </w:rPr>
              <w:t>以</w:t>
            </w:r>
            <w:r>
              <w:rPr>
                <w:spacing w:val="-36"/>
              </w:rPr>
              <w:t xml:space="preserve"> </w:t>
            </w:r>
            <w:r>
              <w:rPr>
                <w:rFonts w:ascii="Times New Roman" w:hAnsi="Times New Roman" w:eastAsia="Times New Roman" w:cs="Times New Roman"/>
              </w:rPr>
              <w:t>Pb</w:t>
            </w:r>
            <w:r>
              <w:rPr>
                <w:rFonts w:ascii="Times New Roman" w:hAnsi="Times New Roman" w:eastAsia="Times New Roman" w:cs="Times New Roman"/>
                <w:spacing w:val="4"/>
              </w:rPr>
              <w:t xml:space="preserve"> </w:t>
            </w:r>
            <w:r>
              <w:rPr>
                <w:spacing w:val="4"/>
              </w:rPr>
              <w:t>计</w:t>
            </w:r>
            <w:r>
              <w:rPr>
                <w:rFonts w:ascii="Times New Roman" w:hAnsi="Times New Roman" w:eastAsia="Times New Roman" w:cs="Times New Roman"/>
                <w:spacing w:val="4"/>
              </w:rPr>
              <w:t>)</w:t>
            </w:r>
            <w:r>
              <w:rPr>
                <w:spacing w:val="4"/>
              </w:rPr>
              <w:t>，</w:t>
            </w:r>
          </w:p>
          <w:p>
            <w:pPr>
              <w:ind w:left="626"/>
              <w:spacing w:before="4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1218" w:type="dxa"/>
            <w:vAlign w:val="top"/>
          </w:tcPr>
          <w:p>
            <w:pPr>
              <w:pStyle w:val="TableText"/>
              <w:ind w:left="300"/>
              <w:spacing w:before="151" w:line="228" w:lineRule="auto"/>
              <w:rPr/>
            </w:pPr>
            <w:r>
              <w:rPr>
                <w:spacing w:val="5"/>
              </w:rPr>
              <w:t>未检出</w:t>
            </w:r>
          </w:p>
        </w:tc>
        <w:tc>
          <w:tcPr>
            <w:tcW w:w="1544" w:type="dxa"/>
            <w:vAlign w:val="top"/>
          </w:tcPr>
          <w:p>
            <w:pPr>
              <w:ind w:left="530"/>
              <w:spacing w:before="1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≤50.0</w:t>
            </w:r>
          </w:p>
        </w:tc>
        <w:tc>
          <w:tcPr>
            <w:tcW w:w="1549" w:type="dxa"/>
            <w:vAlign w:val="top"/>
          </w:tcPr>
          <w:p>
            <w:pPr>
              <w:pStyle w:val="TableText"/>
              <w:ind w:left="468"/>
              <w:spacing w:before="151" w:line="228" w:lineRule="auto"/>
              <w:rPr/>
            </w:pPr>
            <w:r>
              <w:rPr>
                <w:spacing w:val="5"/>
              </w:rPr>
              <w:t>未检出</w:t>
            </w:r>
          </w:p>
        </w:tc>
        <w:tc>
          <w:tcPr>
            <w:tcW w:w="1086" w:type="dxa"/>
            <w:vAlign w:val="top"/>
          </w:tcPr>
          <w:p>
            <w:pPr>
              <w:pStyle w:val="TableText"/>
              <w:ind w:left="237"/>
              <w:spacing w:before="151" w:line="228" w:lineRule="auto"/>
              <w:rPr/>
            </w:pPr>
            <w:r>
              <w:rPr>
                <w:spacing w:val="5"/>
              </w:rPr>
              <w:t>未检出</w:t>
            </w:r>
          </w:p>
        </w:tc>
        <w:tc>
          <w:tcPr>
            <w:tcW w:w="1090" w:type="dxa"/>
            <w:vAlign w:val="top"/>
          </w:tcPr>
          <w:p>
            <w:pPr>
              <w:pStyle w:val="TableText"/>
              <w:ind w:left="339"/>
              <w:spacing w:before="152" w:line="228" w:lineRule="auto"/>
              <w:rPr/>
            </w:pPr>
            <w:r>
              <w:rPr>
                <w:spacing w:val="5"/>
              </w:rPr>
              <w:t>达标</w:t>
            </w:r>
          </w:p>
        </w:tc>
      </w:tr>
      <w:tr>
        <w:trPr>
          <w:trHeight w:val="518" w:hRule="atLeast"/>
        </w:trPr>
        <w:tc>
          <w:tcPr>
            <w:tcW w:w="372" w:type="dxa"/>
            <w:vAlign w:val="top"/>
          </w:tcPr>
          <w:p>
            <w:pPr>
              <w:ind w:left="143"/>
              <w:spacing w:before="1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714" w:type="dxa"/>
            <w:vAlign w:val="top"/>
          </w:tcPr>
          <w:p>
            <w:pPr>
              <w:pStyle w:val="TableText"/>
              <w:ind w:left="113"/>
              <w:spacing w:before="34" w:line="221" w:lineRule="auto"/>
              <w:rPr/>
            </w:pPr>
            <w:r>
              <w:rPr>
                <w:spacing w:val="4"/>
              </w:rPr>
              <w:t>总铬</w:t>
            </w:r>
            <w:r>
              <w:rPr>
                <w:rFonts w:ascii="Times New Roman" w:hAnsi="Times New Roman" w:eastAsia="Times New Roman" w:cs="Times New Roman"/>
                <w:spacing w:val="4"/>
              </w:rPr>
              <w:t>(</w:t>
            </w:r>
            <w:r>
              <w:rPr>
                <w:spacing w:val="4"/>
              </w:rPr>
              <w:t>以</w:t>
            </w:r>
            <w:r>
              <w:rPr>
                <w:spacing w:val="-37"/>
              </w:rPr>
              <w:t xml:space="preserve"> </w:t>
            </w:r>
            <w:r>
              <w:rPr>
                <w:rFonts w:ascii="Times New Roman" w:hAnsi="Times New Roman" w:eastAsia="Times New Roman" w:cs="Times New Roman"/>
              </w:rPr>
              <w:t>Cr</w:t>
            </w:r>
            <w:r>
              <w:rPr>
                <w:rFonts w:ascii="Times New Roman" w:hAnsi="Times New Roman" w:eastAsia="Times New Roman" w:cs="Times New Roman"/>
                <w:spacing w:val="4"/>
              </w:rPr>
              <w:t xml:space="preserve"> </w:t>
            </w:r>
            <w:r>
              <w:rPr>
                <w:spacing w:val="4"/>
              </w:rPr>
              <w:t>计</w:t>
            </w:r>
            <w:r>
              <w:rPr>
                <w:rFonts w:ascii="Times New Roman" w:hAnsi="Times New Roman" w:eastAsia="Times New Roman" w:cs="Times New Roman"/>
                <w:spacing w:val="4"/>
              </w:rPr>
              <w:t>)</w:t>
            </w:r>
            <w:r>
              <w:rPr>
                <w:spacing w:val="4"/>
              </w:rPr>
              <w:t>，</w:t>
            </w:r>
          </w:p>
          <w:p>
            <w:pPr>
              <w:ind w:left="626"/>
              <w:spacing w:before="50"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1218" w:type="dxa"/>
            <w:vAlign w:val="top"/>
          </w:tcPr>
          <w:p>
            <w:pPr>
              <w:ind w:left="481"/>
              <w:spacing w:before="1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rPr>
              <w:t>1</w:t>
            </w:r>
          </w:p>
        </w:tc>
        <w:tc>
          <w:tcPr>
            <w:tcW w:w="1544" w:type="dxa"/>
            <w:vAlign w:val="top"/>
          </w:tcPr>
          <w:p>
            <w:pPr>
              <w:ind w:left="530"/>
              <w:spacing w:before="1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≤50.0</w:t>
            </w:r>
          </w:p>
        </w:tc>
        <w:tc>
          <w:tcPr>
            <w:tcW w:w="1549" w:type="dxa"/>
            <w:vAlign w:val="top"/>
          </w:tcPr>
          <w:p>
            <w:pPr>
              <w:ind w:left="647"/>
              <w:spacing w:before="1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0.3</w:t>
            </w:r>
          </w:p>
        </w:tc>
        <w:tc>
          <w:tcPr>
            <w:tcW w:w="1086" w:type="dxa"/>
            <w:vAlign w:val="top"/>
          </w:tcPr>
          <w:p>
            <w:pPr>
              <w:ind w:left="355"/>
              <w:spacing w:before="1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≤1.3</w:t>
            </w:r>
          </w:p>
        </w:tc>
        <w:tc>
          <w:tcPr>
            <w:tcW w:w="1090" w:type="dxa"/>
            <w:vAlign w:val="top"/>
          </w:tcPr>
          <w:p>
            <w:pPr>
              <w:pStyle w:val="TableText"/>
              <w:ind w:left="339"/>
              <w:spacing w:before="154" w:line="228" w:lineRule="auto"/>
              <w:rPr/>
            </w:pPr>
            <w:r>
              <w:rPr>
                <w:spacing w:val="5"/>
              </w:rPr>
              <w:t>达标</w:t>
            </w:r>
          </w:p>
        </w:tc>
      </w:tr>
      <w:tr>
        <w:trPr>
          <w:trHeight w:val="519" w:hRule="atLeast"/>
        </w:trPr>
        <w:tc>
          <w:tcPr>
            <w:tcW w:w="372" w:type="dxa"/>
            <w:vAlign w:val="top"/>
          </w:tcPr>
          <w:p>
            <w:pPr>
              <w:ind w:left="139"/>
              <w:spacing w:before="1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714" w:type="dxa"/>
            <w:vAlign w:val="top"/>
          </w:tcPr>
          <w:p>
            <w:pPr>
              <w:pStyle w:val="TableText"/>
              <w:ind w:left="89"/>
              <w:spacing w:before="34" w:line="221" w:lineRule="auto"/>
              <w:rPr/>
            </w:pPr>
            <w:r>
              <w:rPr>
                <w:spacing w:val="5"/>
              </w:rPr>
              <w:t>总汞</w:t>
            </w:r>
            <w:r>
              <w:rPr>
                <w:rFonts w:ascii="Times New Roman" w:hAnsi="Times New Roman" w:eastAsia="Times New Roman" w:cs="Times New Roman"/>
                <w:spacing w:val="5"/>
              </w:rPr>
              <w:t>(</w:t>
            </w:r>
            <w:r>
              <w:rPr>
                <w:spacing w:val="5"/>
              </w:rPr>
              <w:t>以</w:t>
            </w:r>
            <w:r>
              <w:rPr>
                <w:spacing w:val="-41"/>
              </w:rPr>
              <w:t xml:space="preserve"> </w:t>
            </w:r>
            <w:r>
              <w:rPr>
                <w:rFonts w:ascii="Times New Roman" w:hAnsi="Times New Roman" w:eastAsia="Times New Roman" w:cs="Times New Roman"/>
              </w:rPr>
              <w:t>Hg</w:t>
            </w:r>
            <w:r>
              <w:rPr>
                <w:rFonts w:ascii="Times New Roman" w:hAnsi="Times New Roman" w:eastAsia="Times New Roman" w:cs="Times New Roman"/>
                <w:spacing w:val="5"/>
              </w:rPr>
              <w:t xml:space="preserve"> </w:t>
            </w:r>
            <w:r>
              <w:rPr>
                <w:spacing w:val="5"/>
              </w:rPr>
              <w:t>计</w:t>
            </w:r>
            <w:r>
              <w:rPr>
                <w:rFonts w:ascii="Times New Roman" w:hAnsi="Times New Roman" w:eastAsia="Times New Roman" w:cs="Times New Roman"/>
                <w:spacing w:val="5"/>
              </w:rPr>
              <w:t>)</w:t>
            </w:r>
            <w:r>
              <w:rPr>
                <w:spacing w:val="5"/>
              </w:rPr>
              <w:t>，</w:t>
            </w:r>
          </w:p>
          <w:p>
            <w:pPr>
              <w:ind w:left="626"/>
              <w:spacing w:before="49" w:line="193"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1218" w:type="dxa"/>
            <w:vAlign w:val="top"/>
          </w:tcPr>
          <w:p>
            <w:pPr>
              <w:pStyle w:val="TableText"/>
              <w:ind w:left="300"/>
              <w:spacing w:before="154" w:line="228" w:lineRule="auto"/>
              <w:rPr/>
            </w:pPr>
            <w:r>
              <w:rPr>
                <w:spacing w:val="5"/>
              </w:rPr>
              <w:t>未检出</w:t>
            </w:r>
          </w:p>
        </w:tc>
        <w:tc>
          <w:tcPr>
            <w:tcW w:w="1544" w:type="dxa"/>
            <w:vAlign w:val="top"/>
          </w:tcPr>
          <w:p>
            <w:pPr>
              <w:ind w:left="582"/>
              <w:spacing w:before="1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≤5.0</w:t>
            </w:r>
          </w:p>
        </w:tc>
        <w:tc>
          <w:tcPr>
            <w:tcW w:w="1549" w:type="dxa"/>
            <w:vAlign w:val="top"/>
          </w:tcPr>
          <w:p>
            <w:pPr>
              <w:pStyle w:val="TableText"/>
              <w:ind w:left="468"/>
              <w:spacing w:before="154" w:line="228" w:lineRule="auto"/>
              <w:rPr/>
            </w:pPr>
            <w:r>
              <w:rPr>
                <w:spacing w:val="5"/>
              </w:rPr>
              <w:t>未检出</w:t>
            </w:r>
          </w:p>
        </w:tc>
        <w:tc>
          <w:tcPr>
            <w:tcW w:w="1086" w:type="dxa"/>
            <w:vAlign w:val="top"/>
          </w:tcPr>
          <w:p>
            <w:pPr>
              <w:ind w:left="355"/>
              <w:spacing w:before="1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≤0.4</w:t>
            </w:r>
          </w:p>
        </w:tc>
        <w:tc>
          <w:tcPr>
            <w:tcW w:w="1090" w:type="dxa"/>
            <w:vAlign w:val="top"/>
          </w:tcPr>
          <w:p>
            <w:pPr>
              <w:pStyle w:val="TableText"/>
              <w:ind w:left="339"/>
              <w:spacing w:before="155" w:line="228" w:lineRule="auto"/>
              <w:rPr/>
            </w:pPr>
            <w:r>
              <w:rPr>
                <w:spacing w:val="5"/>
              </w:rPr>
              <w:t>达标</w:t>
            </w:r>
          </w:p>
        </w:tc>
      </w:tr>
      <w:tr>
        <w:trPr>
          <w:trHeight w:val="278" w:hRule="atLeast"/>
        </w:trPr>
        <w:tc>
          <w:tcPr>
            <w:tcW w:w="372" w:type="dxa"/>
            <w:vAlign w:val="top"/>
          </w:tcPr>
          <w:p>
            <w:pPr>
              <w:ind w:left="10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714" w:type="dxa"/>
            <w:vAlign w:val="top"/>
          </w:tcPr>
          <w:p>
            <w:pPr>
              <w:pStyle w:val="TableText"/>
              <w:ind w:left="218"/>
              <w:spacing w:before="33" w:line="216" w:lineRule="auto"/>
              <w:rPr>
                <w:rFonts w:ascii="Times New Roman" w:hAnsi="Times New Roman" w:eastAsia="Times New Roman" w:cs="Times New Roman"/>
              </w:rPr>
            </w:pPr>
            <w:r>
              <w:rPr>
                <w:spacing w:val="7"/>
              </w:rPr>
              <w:t>总养分，</w:t>
            </w:r>
            <w:r>
              <w:rPr>
                <w:rFonts w:ascii="Times New Roman" w:hAnsi="Times New Roman" w:eastAsia="Times New Roman" w:cs="Times New Roman"/>
              </w:rPr>
              <w:t>mg</w:t>
            </w:r>
            <w:r>
              <w:rPr>
                <w:rFonts w:ascii="Times New Roman" w:hAnsi="Times New Roman" w:eastAsia="Times New Roman" w:cs="Times New Roman"/>
                <w:spacing w:val="7"/>
              </w:rPr>
              <w:t>/L</w:t>
            </w:r>
          </w:p>
        </w:tc>
        <w:tc>
          <w:tcPr>
            <w:tcW w:w="1218" w:type="dxa"/>
            <w:vAlign w:val="top"/>
          </w:tcPr>
          <w:p>
            <w:pPr>
              <w:ind w:left="577"/>
              <w:spacing w:before="6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44" w:type="dxa"/>
            <w:vAlign w:val="top"/>
          </w:tcPr>
          <w:p>
            <w:pPr>
              <w:ind w:left="739"/>
              <w:spacing w:before="6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49" w:type="dxa"/>
            <w:vAlign w:val="top"/>
          </w:tcPr>
          <w:p>
            <w:pPr>
              <w:ind w:left="61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14.5</w:t>
            </w:r>
          </w:p>
        </w:tc>
        <w:tc>
          <w:tcPr>
            <w:tcW w:w="1086" w:type="dxa"/>
            <w:vAlign w:val="top"/>
          </w:tcPr>
          <w:p>
            <w:pPr>
              <w:ind w:left="514"/>
              <w:spacing w:before="6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90" w:type="dxa"/>
            <w:vAlign w:val="top"/>
          </w:tcPr>
          <w:p>
            <w:pPr>
              <w:pStyle w:val="TableText"/>
              <w:ind w:left="339"/>
              <w:spacing w:before="33" w:line="216" w:lineRule="auto"/>
              <w:rPr/>
            </w:pPr>
            <w:r>
              <w:rPr>
                <w:spacing w:val="5"/>
              </w:rPr>
              <w:t>达标</w:t>
            </w:r>
          </w:p>
        </w:tc>
      </w:tr>
      <w:tr>
        <w:trPr>
          <w:trHeight w:val="518" w:hRule="atLeast"/>
        </w:trPr>
        <w:tc>
          <w:tcPr>
            <w:tcW w:w="372" w:type="dxa"/>
            <w:vAlign w:val="top"/>
          </w:tcPr>
          <w:p>
            <w:pPr>
              <w:ind w:left="102"/>
              <w:spacing w:before="1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11</w:t>
            </w:r>
          </w:p>
        </w:tc>
        <w:tc>
          <w:tcPr>
            <w:tcW w:w="1714" w:type="dxa"/>
            <w:vAlign w:val="top"/>
          </w:tcPr>
          <w:p>
            <w:pPr>
              <w:pStyle w:val="TableText"/>
              <w:ind w:left="585" w:right="69" w:hanging="567"/>
              <w:spacing w:before="34" w:line="232" w:lineRule="auto"/>
              <w:rPr>
                <w:rFonts w:ascii="Times New Roman" w:hAnsi="Times New Roman" w:eastAsia="Times New Roman" w:cs="Times New Roman"/>
              </w:rPr>
            </w:pPr>
            <w:r>
              <w:rPr>
                <w:spacing w:val="2"/>
              </w:rPr>
              <w:t>椰油酰二乙醇胺，</w:t>
            </w:r>
            <w:r>
              <w:rPr>
                <w:spacing w:val="4"/>
              </w:rPr>
              <w:t xml:space="preserve"> </w:t>
            </w:r>
            <w:r>
              <w:rPr>
                <w:rFonts w:ascii="Times New Roman" w:hAnsi="Times New Roman" w:eastAsia="Times New Roman" w:cs="Times New Roman"/>
                <w:spacing w:val="4"/>
              </w:rPr>
              <w:t>mg/kg</w:t>
            </w:r>
          </w:p>
        </w:tc>
        <w:tc>
          <w:tcPr>
            <w:tcW w:w="1218" w:type="dxa"/>
            <w:vAlign w:val="top"/>
          </w:tcPr>
          <w:p>
            <w:pPr>
              <w:pStyle w:val="TableText"/>
              <w:ind w:left="300"/>
              <w:spacing w:before="153" w:line="228" w:lineRule="auto"/>
              <w:rPr/>
            </w:pPr>
            <w:r>
              <w:rPr>
                <w:spacing w:val="5"/>
              </w:rPr>
              <w:t>未检出</w:t>
            </w:r>
          </w:p>
        </w:tc>
        <w:tc>
          <w:tcPr>
            <w:tcW w:w="1544" w:type="dxa"/>
            <w:vAlign w:val="top"/>
          </w:tcPr>
          <w:p>
            <w:pPr>
              <w:ind w:left="739"/>
              <w:spacing w:before="18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49" w:type="dxa"/>
            <w:vAlign w:val="top"/>
          </w:tcPr>
          <w:p>
            <w:pPr>
              <w:ind w:left="743"/>
              <w:spacing w:before="18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86" w:type="dxa"/>
            <w:vAlign w:val="top"/>
          </w:tcPr>
          <w:p>
            <w:pPr>
              <w:ind w:left="514"/>
              <w:spacing w:before="18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90" w:type="dxa"/>
            <w:vAlign w:val="top"/>
            <w:vMerge w:val="restart"/>
            <w:tcBorders>
              <w:bottom w:val="nil"/>
            </w:tcBorders>
          </w:tcPr>
          <w:p>
            <w:pPr>
              <w:spacing w:line="260" w:lineRule="auto"/>
              <w:rPr>
                <w:rFonts w:ascii="Arial"/>
                <w:sz w:val="21"/>
              </w:rPr>
            </w:pPr>
            <w:r/>
          </w:p>
          <w:p>
            <w:pPr>
              <w:spacing w:line="260" w:lineRule="auto"/>
              <w:rPr>
                <w:rFonts w:ascii="Arial"/>
                <w:sz w:val="21"/>
              </w:rPr>
            </w:pPr>
            <w:r/>
          </w:p>
          <w:p>
            <w:pPr>
              <w:spacing w:line="261" w:lineRule="auto"/>
              <w:rPr>
                <w:rFonts w:ascii="Arial"/>
                <w:sz w:val="21"/>
              </w:rPr>
            </w:pPr>
            <w:r/>
          </w:p>
          <w:p>
            <w:pPr>
              <w:pStyle w:val="TableText"/>
              <w:ind w:left="131" w:right="17" w:hanging="102"/>
              <w:spacing w:before="65" w:line="251" w:lineRule="auto"/>
              <w:rPr/>
            </w:pPr>
            <w:r>
              <w:rPr>
                <w:spacing w:val="7"/>
              </w:rPr>
              <w:t>未检测到洗</w:t>
            </w:r>
            <w:r>
              <w:rPr>
                <w:spacing w:val="1"/>
              </w:rPr>
              <w:t xml:space="preserve"> </w:t>
            </w:r>
            <w:r>
              <w:rPr>
                <w:spacing w:val="7"/>
              </w:rPr>
              <w:t>涤剂残留</w:t>
            </w:r>
          </w:p>
        </w:tc>
      </w:tr>
      <w:tr>
        <w:trPr>
          <w:trHeight w:val="549" w:hRule="atLeast"/>
        </w:trPr>
        <w:tc>
          <w:tcPr>
            <w:tcW w:w="372" w:type="dxa"/>
            <w:vAlign w:val="top"/>
          </w:tcPr>
          <w:p>
            <w:pPr>
              <w:ind w:left="102"/>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1714" w:type="dxa"/>
            <w:vAlign w:val="top"/>
          </w:tcPr>
          <w:p>
            <w:pPr>
              <w:pStyle w:val="TableText"/>
              <w:ind w:left="66" w:right="18" w:hanging="39"/>
              <w:spacing w:before="34" w:line="233" w:lineRule="auto"/>
              <w:rPr>
                <w:rFonts w:ascii="Times New Roman" w:hAnsi="Times New Roman" w:eastAsia="Times New Roman" w:cs="Times New Roman"/>
              </w:rPr>
            </w:pPr>
            <w:r>
              <w:rPr>
                <w:spacing w:val="7"/>
              </w:rPr>
              <w:t>聚氧乙烯山梨醇酐</w:t>
            </w:r>
            <w:r>
              <w:rPr>
                <w:spacing w:val="6"/>
              </w:rPr>
              <w:t xml:space="preserve"> </w:t>
            </w:r>
            <w:r>
              <w:rPr>
                <w:spacing w:val="10"/>
              </w:rPr>
              <w:t>硬脂酸酯，</w:t>
            </w:r>
            <w:r>
              <w:rPr>
                <w:rFonts w:ascii="Times New Roman" w:hAnsi="Times New Roman" w:eastAsia="Times New Roman" w:cs="Times New Roman"/>
              </w:rPr>
              <w:t>mg</w:t>
            </w:r>
            <w:r>
              <w:rPr>
                <w:rFonts w:ascii="Times New Roman" w:hAnsi="Times New Roman" w:eastAsia="Times New Roman" w:cs="Times New Roman"/>
                <w:spacing w:val="10"/>
              </w:rPr>
              <w:t>/</w:t>
            </w:r>
            <w:r>
              <w:rPr>
                <w:rFonts w:ascii="Times New Roman" w:hAnsi="Times New Roman" w:eastAsia="Times New Roman" w:cs="Times New Roman"/>
              </w:rPr>
              <w:t>kg</w:t>
            </w:r>
          </w:p>
        </w:tc>
        <w:tc>
          <w:tcPr>
            <w:tcW w:w="1218" w:type="dxa"/>
            <w:vAlign w:val="top"/>
          </w:tcPr>
          <w:p>
            <w:pPr>
              <w:pStyle w:val="TableText"/>
              <w:ind w:left="300"/>
              <w:spacing w:before="168" w:line="228" w:lineRule="auto"/>
              <w:rPr/>
            </w:pPr>
            <w:r>
              <w:rPr>
                <w:spacing w:val="5"/>
              </w:rPr>
              <w:t>未检出</w:t>
            </w:r>
          </w:p>
        </w:tc>
        <w:tc>
          <w:tcPr>
            <w:tcW w:w="1544" w:type="dxa"/>
            <w:vAlign w:val="top"/>
          </w:tcPr>
          <w:p>
            <w:pPr>
              <w:ind w:left="739"/>
              <w:spacing w:before="203"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49" w:type="dxa"/>
            <w:vAlign w:val="top"/>
          </w:tcPr>
          <w:p>
            <w:pPr>
              <w:ind w:left="743"/>
              <w:spacing w:before="203"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86" w:type="dxa"/>
            <w:vAlign w:val="top"/>
          </w:tcPr>
          <w:p>
            <w:pPr>
              <w:ind w:left="514"/>
              <w:spacing w:before="203"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90" w:type="dxa"/>
            <w:vAlign w:val="top"/>
            <w:vMerge w:val="continue"/>
            <w:tcBorders>
              <w:top w:val="nil"/>
              <w:bottom w:val="nil"/>
            </w:tcBorders>
          </w:tcPr>
          <w:p>
            <w:pPr>
              <w:rPr>
                <w:rFonts w:ascii="Arial"/>
                <w:sz w:val="21"/>
              </w:rPr>
            </w:pPr>
            <w:r/>
          </w:p>
        </w:tc>
      </w:tr>
      <w:tr>
        <w:trPr>
          <w:trHeight w:val="549" w:hRule="atLeast"/>
        </w:trPr>
        <w:tc>
          <w:tcPr>
            <w:tcW w:w="372" w:type="dxa"/>
            <w:vAlign w:val="top"/>
          </w:tcPr>
          <w:p>
            <w:pPr>
              <w:ind w:left="102"/>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13</w:t>
            </w:r>
          </w:p>
        </w:tc>
        <w:tc>
          <w:tcPr>
            <w:tcW w:w="1714" w:type="dxa"/>
            <w:vAlign w:val="top"/>
          </w:tcPr>
          <w:p>
            <w:pPr>
              <w:pStyle w:val="TableText"/>
              <w:ind w:left="66" w:right="20" w:hanging="47"/>
              <w:spacing w:before="34" w:line="233" w:lineRule="auto"/>
              <w:rPr>
                <w:rFonts w:ascii="Times New Roman" w:hAnsi="Times New Roman" w:eastAsia="Times New Roman" w:cs="Times New Roman"/>
              </w:rPr>
            </w:pPr>
            <w:r>
              <w:rPr>
                <w:spacing w:val="8"/>
              </w:rPr>
              <w:t>十二烷基聚氧乙烯</w:t>
            </w:r>
            <w:r>
              <w:rPr>
                <w:spacing w:val="3"/>
              </w:rPr>
              <w:t xml:space="preserve"> </w:t>
            </w:r>
            <w:r>
              <w:rPr>
                <w:spacing w:val="10"/>
              </w:rPr>
              <w:t>醚硫酸钠，</w:t>
            </w:r>
            <w:r>
              <w:rPr>
                <w:rFonts w:ascii="Times New Roman" w:hAnsi="Times New Roman" w:eastAsia="Times New Roman" w:cs="Times New Roman"/>
              </w:rPr>
              <w:t>mg</w:t>
            </w:r>
            <w:r>
              <w:rPr>
                <w:rFonts w:ascii="Times New Roman" w:hAnsi="Times New Roman" w:eastAsia="Times New Roman" w:cs="Times New Roman"/>
                <w:spacing w:val="10"/>
              </w:rPr>
              <w:t>/</w:t>
            </w:r>
            <w:r>
              <w:rPr>
                <w:rFonts w:ascii="Times New Roman" w:hAnsi="Times New Roman" w:eastAsia="Times New Roman" w:cs="Times New Roman"/>
              </w:rPr>
              <w:t>kg</w:t>
            </w:r>
          </w:p>
        </w:tc>
        <w:tc>
          <w:tcPr>
            <w:tcW w:w="1218" w:type="dxa"/>
            <w:vAlign w:val="top"/>
          </w:tcPr>
          <w:p>
            <w:pPr>
              <w:pStyle w:val="TableText"/>
              <w:ind w:left="300"/>
              <w:spacing w:before="171" w:line="228" w:lineRule="auto"/>
              <w:rPr/>
            </w:pPr>
            <w:r>
              <w:rPr>
                <w:spacing w:val="5"/>
              </w:rPr>
              <w:t>未检出</w:t>
            </w:r>
          </w:p>
        </w:tc>
        <w:tc>
          <w:tcPr>
            <w:tcW w:w="1544" w:type="dxa"/>
            <w:vAlign w:val="top"/>
          </w:tcPr>
          <w:p>
            <w:pPr>
              <w:ind w:left="739"/>
              <w:spacing w:before="203"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49" w:type="dxa"/>
            <w:vAlign w:val="top"/>
          </w:tcPr>
          <w:p>
            <w:pPr>
              <w:ind w:left="743"/>
              <w:spacing w:before="203"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86" w:type="dxa"/>
            <w:vAlign w:val="top"/>
          </w:tcPr>
          <w:p>
            <w:pPr>
              <w:ind w:left="514"/>
              <w:spacing w:before="203"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90" w:type="dxa"/>
            <w:vAlign w:val="top"/>
            <w:vMerge w:val="continue"/>
            <w:tcBorders>
              <w:top w:val="nil"/>
              <w:bottom w:val="nil"/>
            </w:tcBorders>
          </w:tcPr>
          <w:p>
            <w:pPr>
              <w:rPr>
                <w:rFonts w:ascii="Arial"/>
                <w:sz w:val="21"/>
              </w:rPr>
            </w:pPr>
            <w:r/>
          </w:p>
        </w:tc>
      </w:tr>
      <w:tr>
        <w:trPr>
          <w:trHeight w:val="554" w:hRule="atLeast"/>
        </w:trPr>
        <w:tc>
          <w:tcPr>
            <w:tcW w:w="372" w:type="dxa"/>
            <w:vAlign w:val="top"/>
          </w:tcPr>
          <w:p>
            <w:pPr>
              <w:ind w:left="102"/>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14</w:t>
            </w:r>
          </w:p>
        </w:tc>
        <w:tc>
          <w:tcPr>
            <w:tcW w:w="1714" w:type="dxa"/>
            <w:vAlign w:val="top"/>
          </w:tcPr>
          <w:p>
            <w:pPr>
              <w:pStyle w:val="TableText"/>
              <w:ind w:left="380" w:right="20" w:hanging="359"/>
              <w:spacing w:before="34" w:line="235" w:lineRule="auto"/>
              <w:rPr>
                <w:rFonts w:ascii="Times New Roman" w:hAnsi="Times New Roman" w:eastAsia="Times New Roman" w:cs="Times New Roman"/>
              </w:rPr>
            </w:pPr>
            <w:r>
              <w:rPr>
                <w:spacing w:val="8"/>
              </w:rPr>
              <w:t>异构十醇聚氧乙烯</w:t>
            </w:r>
            <w:r>
              <w:rPr>
                <w:spacing w:val="2"/>
              </w:rPr>
              <w:t xml:space="preserve"> </w:t>
            </w:r>
            <w:r>
              <w:rPr>
                <w:spacing w:val="11"/>
              </w:rPr>
              <w:t>醚，</w:t>
            </w:r>
            <w:r>
              <w:rPr>
                <w:rFonts w:ascii="Times New Roman" w:hAnsi="Times New Roman" w:eastAsia="Times New Roman" w:cs="Times New Roman"/>
              </w:rPr>
              <w:t>mg</w:t>
            </w:r>
            <w:r>
              <w:rPr>
                <w:rFonts w:ascii="Times New Roman" w:hAnsi="Times New Roman" w:eastAsia="Times New Roman" w:cs="Times New Roman"/>
                <w:spacing w:val="11"/>
              </w:rPr>
              <w:t>/</w:t>
            </w:r>
            <w:r>
              <w:rPr>
                <w:rFonts w:ascii="Times New Roman" w:hAnsi="Times New Roman" w:eastAsia="Times New Roman" w:cs="Times New Roman"/>
              </w:rPr>
              <w:t>kg</w:t>
            </w:r>
          </w:p>
        </w:tc>
        <w:tc>
          <w:tcPr>
            <w:tcW w:w="1218" w:type="dxa"/>
            <w:vAlign w:val="top"/>
          </w:tcPr>
          <w:p>
            <w:pPr>
              <w:pStyle w:val="TableText"/>
              <w:ind w:left="300"/>
              <w:spacing w:before="169" w:line="228" w:lineRule="auto"/>
              <w:rPr/>
            </w:pPr>
            <w:r>
              <w:rPr>
                <w:spacing w:val="5"/>
              </w:rPr>
              <w:t>未检出</w:t>
            </w:r>
          </w:p>
        </w:tc>
        <w:tc>
          <w:tcPr>
            <w:tcW w:w="1544" w:type="dxa"/>
            <w:vAlign w:val="top"/>
          </w:tcPr>
          <w:p>
            <w:pPr>
              <w:ind w:left="739"/>
              <w:spacing w:before="203"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49" w:type="dxa"/>
            <w:vAlign w:val="top"/>
          </w:tcPr>
          <w:p>
            <w:pPr>
              <w:ind w:left="743"/>
              <w:spacing w:before="203"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86" w:type="dxa"/>
            <w:vAlign w:val="top"/>
          </w:tcPr>
          <w:p>
            <w:pPr>
              <w:ind w:left="514"/>
              <w:spacing w:before="203"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90" w:type="dxa"/>
            <w:vAlign w:val="top"/>
            <w:vMerge w:val="continue"/>
            <w:tcBorders>
              <w:top w:val="nil"/>
            </w:tcBorders>
          </w:tcPr>
          <w:p>
            <w:pPr>
              <w:rPr>
                <w:rFonts w:ascii="Arial"/>
                <w:sz w:val="21"/>
              </w:rPr>
            </w:pPr>
            <w:r/>
          </w:p>
        </w:tc>
      </w:tr>
    </w:tbl>
    <w:p>
      <w:pPr>
        <w:ind w:left="48"/>
        <w:spacing w:before="160" w:line="222" w:lineRule="auto"/>
        <w:outlineLvl w:val="2"/>
        <w:rPr>
          <w:rFonts w:ascii="SimHei" w:hAnsi="SimHei" w:eastAsia="SimHei" w:cs="SimHei"/>
          <w:sz w:val="28"/>
          <w:szCs w:val="28"/>
        </w:rPr>
      </w:pPr>
      <w:bookmarkStart w:name="bookmark57" w:id="71"/>
      <w:bookmarkEnd w:id="71"/>
      <w:r>
        <w:rPr>
          <w:rFonts w:ascii="Times New Roman" w:hAnsi="Times New Roman" w:eastAsia="Times New Roman" w:cs="Times New Roman"/>
          <w:sz w:val="28"/>
          <w:szCs w:val="28"/>
          <w:spacing w:val="-1"/>
        </w:rPr>
        <w:t>3.2.4 </w:t>
      </w:r>
      <w:r>
        <w:rPr>
          <w:rFonts w:ascii="SimHei" w:hAnsi="SimHei" w:eastAsia="SimHei" w:cs="SimHei"/>
          <w:sz w:val="28"/>
          <w:szCs w:val="28"/>
          <w:spacing w:val="-1"/>
        </w:rPr>
        <w:t>其他产污环节分析</w:t>
      </w:r>
    </w:p>
    <w:p>
      <w:pPr>
        <w:pStyle w:val="BodyText"/>
        <w:spacing w:line="242" w:lineRule="auto"/>
        <w:rPr/>
      </w:pPr>
      <w:r/>
    </w:p>
    <w:p>
      <w:pPr>
        <w:ind w:left="527"/>
        <w:spacing w:before="78" w:line="217" w:lineRule="auto"/>
        <w:rPr>
          <w:rFonts w:ascii="SimSun" w:hAnsi="SimSun" w:eastAsia="SimSun" w:cs="SimSun"/>
          <w:sz w:val="24"/>
          <w:szCs w:val="24"/>
        </w:rPr>
      </w:pPr>
      <w:r>
        <w:rPr>
          <w:rFonts w:ascii="SimSun" w:hAnsi="SimSun" w:eastAsia="SimSun" w:cs="SimSun"/>
          <w:sz w:val="24"/>
          <w:szCs w:val="24"/>
          <w:spacing w:val="-1"/>
        </w:rPr>
        <w:t>本项目生产过程中其他产污环节分析如下：</w:t>
      </w:r>
    </w:p>
    <w:p>
      <w:pPr>
        <w:pStyle w:val="BodyText"/>
        <w:spacing w:line="373" w:lineRule="auto"/>
        <w:rPr/>
      </w:pPr>
      <w:r/>
    </w:p>
    <w:p>
      <w:pPr>
        <w:ind w:left="44"/>
        <w:spacing w:before="62" w:line="225" w:lineRule="auto"/>
        <w:rPr>
          <w:rFonts w:ascii="SimSun" w:hAnsi="SimSun" w:eastAsia="SimSun" w:cs="SimSun"/>
          <w:sz w:val="19"/>
          <w:szCs w:val="19"/>
        </w:rPr>
      </w:pPr>
      <w:r>
        <w:pict>
          <v:shape id="_x0000_s412" style="position:absolute;margin-left:161.17pt;margin-top:2.08945pt;mso-position-vertical-relative:text;mso-position-horizontal-relative:text;width:58.85pt;height:13.75pt;z-index:25184153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2"/>
                    </w:rPr>
                    <w:t>任公司</w:t>
                  </w:r>
                  <w:r>
                    <w:rPr>
                      <w:rFonts w:ascii="SimSun" w:hAnsi="SimSun" w:eastAsia="SimSun" w:cs="SimSun"/>
                      <w:sz w:val="19"/>
                      <w:szCs w:val="19"/>
                      <w:spacing w:val="30"/>
                    </w:rPr>
                    <w:t xml:space="preserve">   </w:t>
                  </w:r>
                  <w:r>
                    <w:rPr>
                      <w:rFonts w:ascii="Times New Roman" w:hAnsi="Times New Roman" w:eastAsia="Times New Roman" w:cs="Times New Roman"/>
                      <w:sz w:val="18"/>
                      <w:szCs w:val="18"/>
                      <w:spacing w:val="2"/>
                      <w:position w:val="2"/>
                    </w:rPr>
                    <w:t>81</w:t>
                  </w:r>
                </w:p>
              </w:txbxContent>
            </v:textbox>
          </v:shape>
        </w:pict>
      </w:r>
      <w:r>
        <w:rPr>
          <w:rFonts w:ascii="SimSun" w:hAnsi="SimSun" w:eastAsia="SimSun" w:cs="SimSun"/>
          <w:sz w:val="19"/>
          <w:szCs w:val="19"/>
          <w:spacing w:val="9"/>
        </w:rPr>
        <w:t>锡林郭勒盟中安环境技术咨询有限责</w:t>
      </w:r>
    </w:p>
    <w:p>
      <w:pPr>
        <w:spacing w:line="225" w:lineRule="auto"/>
        <w:sectPr>
          <w:headerReference w:type="default" r:id="rId89"/>
          <w:pgSz w:w="11907" w:h="16840"/>
          <w:pgMar w:top="1567" w:right="1596" w:bottom="400" w:left="1664" w:header="1221" w:footer="0" w:gutter="0"/>
        </w:sectPr>
        <w:rPr>
          <w:rFonts w:ascii="SimSun" w:hAnsi="SimSun" w:eastAsia="SimSun" w:cs="SimSun"/>
          <w:sz w:val="19"/>
          <w:szCs w:val="19"/>
        </w:rPr>
      </w:pPr>
    </w:p>
    <w:p>
      <w:pPr>
        <w:ind w:left="4"/>
        <w:spacing w:before="168" w:line="220" w:lineRule="auto"/>
        <w:outlineLvl w:val="3"/>
        <w:rPr>
          <w:rFonts w:ascii="SimSun" w:hAnsi="SimSun" w:eastAsia="SimSun" w:cs="SimSun"/>
          <w:sz w:val="24"/>
          <w:szCs w:val="24"/>
        </w:rPr>
      </w:pPr>
      <w:r>
        <w:pict>
          <v:shape id="_x0000_s414" style="position:absolute;margin-left:85.05pt;margin-top:78.87pt;mso-position-vertical-relative:page;mso-position-horizontal-relative:page;width:425.25pt;height:0.75pt;z-index:251844608;" o:allowincell="f" fillcolor="#000000" filled="true" stroked="false" coordsize="8505,15" coordorigin="0,0" path="m,l8505,0l8505,14l0,14l0,0xe"/>
        </w:pict>
      </w:r>
      <w:r>
        <w:rPr>
          <w:rFonts w:ascii="Times New Roman" w:hAnsi="Times New Roman" w:eastAsia="Times New Roman" w:cs="Times New Roman"/>
          <w:sz w:val="24"/>
          <w:szCs w:val="24"/>
          <w:b/>
          <w:bCs/>
          <w:spacing w:val="-3"/>
        </w:rPr>
        <w:t>3.2.4.1</w:t>
      </w:r>
      <w:r>
        <w:rPr>
          <w:rFonts w:ascii="Times New Roman" w:hAnsi="Times New Roman" w:eastAsia="Times New Roman" w:cs="Times New Roman"/>
          <w:sz w:val="24"/>
          <w:szCs w:val="24"/>
          <w:b/>
          <w:bCs/>
          <w:spacing w:val="20"/>
        </w:rPr>
        <w:t xml:space="preserve"> </w:t>
      </w:r>
      <w:r>
        <w:rPr>
          <w:rFonts w:ascii="SimSun" w:hAnsi="SimSun" w:eastAsia="SimSun" w:cs="SimSun"/>
          <w:sz w:val="24"/>
          <w:szCs w:val="24"/>
          <w:b/>
          <w:bCs/>
          <w:spacing w:val="-3"/>
        </w:rPr>
        <w:t>员工食堂</w:t>
      </w:r>
    </w:p>
    <w:p>
      <w:pPr>
        <w:spacing w:before="179" w:line="219" w:lineRule="auto"/>
        <w:jc w:val="right"/>
        <w:rPr>
          <w:rFonts w:ascii="SimSun" w:hAnsi="SimSun" w:eastAsia="SimSun" w:cs="SimSun"/>
          <w:sz w:val="24"/>
          <w:szCs w:val="24"/>
        </w:rPr>
      </w:pPr>
      <w:r>
        <w:rPr>
          <w:rFonts w:ascii="SimSun" w:hAnsi="SimSun" w:eastAsia="SimSun" w:cs="SimSun"/>
          <w:sz w:val="24"/>
          <w:szCs w:val="24"/>
          <w:spacing w:val="-4"/>
        </w:rPr>
        <w:t>本项目下西厂区办公楼</w:t>
      </w:r>
      <w:r>
        <w:rPr>
          <w:rFonts w:ascii="SimSun" w:hAnsi="SimSun" w:eastAsia="SimSun" w:cs="SimSun"/>
          <w:sz w:val="24"/>
          <w:szCs w:val="24"/>
          <w:spacing w:val="-20"/>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楼设一间食堂，建筑面积</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100m</w:t>
      </w:r>
      <w:r>
        <w:rPr>
          <w:rFonts w:ascii="Times New Roman" w:hAnsi="Times New Roman" w:eastAsia="Times New Roman" w:cs="Times New Roman"/>
          <w:sz w:val="15"/>
          <w:szCs w:val="15"/>
          <w:spacing w:val="-4"/>
          <w:position w:val="7"/>
        </w:rPr>
        <w:t>2</w:t>
      </w:r>
      <w:r>
        <w:rPr>
          <w:rFonts w:ascii="Times New Roman" w:hAnsi="Times New Roman" w:eastAsia="Times New Roman" w:cs="Times New Roman"/>
          <w:sz w:val="15"/>
          <w:szCs w:val="15"/>
          <w:spacing w:val="-7"/>
          <w:position w:val="7"/>
        </w:rPr>
        <w:t xml:space="preserve"> </w:t>
      </w:r>
      <w:r>
        <w:rPr>
          <w:rFonts w:ascii="SimSun" w:hAnsi="SimSun" w:eastAsia="SimSun" w:cs="SimSun"/>
          <w:sz w:val="24"/>
          <w:szCs w:val="24"/>
          <w:spacing w:val="-4"/>
        </w:rPr>
        <w:t>，供厂区员工用餐。</w:t>
      </w:r>
    </w:p>
    <w:p>
      <w:pPr>
        <w:ind w:left="4"/>
        <w:spacing w:before="183"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3.2.4.2 </w:t>
      </w:r>
      <w:r>
        <w:rPr>
          <w:rFonts w:ascii="SimSun" w:hAnsi="SimSun" w:eastAsia="SimSun" w:cs="SimSun"/>
          <w:sz w:val="24"/>
          <w:szCs w:val="24"/>
          <w:b/>
          <w:bCs/>
          <w:spacing w:val="-2"/>
        </w:rPr>
        <w:t>沼气锅炉、生物质锅炉</w:t>
      </w:r>
    </w:p>
    <w:p>
      <w:pPr>
        <w:pStyle w:val="BodyText"/>
        <w:spacing w:line="263" w:lineRule="auto"/>
        <w:rPr/>
      </w:pPr>
      <w:r/>
    </w:p>
    <w:p>
      <w:pPr>
        <w:ind w:left="10" w:right="18" w:firstLine="480"/>
        <w:spacing w:before="78" w:line="384" w:lineRule="auto"/>
        <w:jc w:val="both"/>
        <w:rPr>
          <w:rFonts w:ascii="SimSun" w:hAnsi="SimSun" w:eastAsia="SimSun" w:cs="SimSun"/>
          <w:sz w:val="24"/>
          <w:szCs w:val="24"/>
        </w:rPr>
      </w:pPr>
      <w:r>
        <w:rPr>
          <w:rFonts w:ascii="SimSun" w:hAnsi="SimSun" w:eastAsia="SimSun" w:cs="SimSun"/>
          <w:sz w:val="24"/>
          <w:szCs w:val="24"/>
          <w:spacing w:val="-9"/>
        </w:rPr>
        <w:t>本项目锅炉房设</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9"/>
        </w:rPr>
        <w:t>2</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9"/>
        </w:rPr>
        <w:t>台锅炉，</w:t>
      </w:r>
      <w:r>
        <w:rPr>
          <w:rFonts w:ascii="Times New Roman" w:hAnsi="Times New Roman" w:eastAsia="Times New Roman" w:cs="Times New Roman"/>
          <w:sz w:val="24"/>
          <w:szCs w:val="24"/>
          <w:spacing w:val="-9"/>
        </w:rPr>
        <w:t>1</w:t>
      </w:r>
      <w:r>
        <w:rPr>
          <w:rFonts w:ascii="Times New Roman" w:hAnsi="Times New Roman" w:eastAsia="Times New Roman" w:cs="Times New Roman"/>
          <w:sz w:val="24"/>
          <w:szCs w:val="24"/>
          <w:spacing w:val="28"/>
          <w:w w:val="101"/>
        </w:rPr>
        <w:t xml:space="preserve"> </w:t>
      </w:r>
      <w:r>
        <w:rPr>
          <w:rFonts w:ascii="SimSun" w:hAnsi="SimSun" w:eastAsia="SimSun" w:cs="SimSun"/>
          <w:sz w:val="24"/>
          <w:szCs w:val="24"/>
          <w:spacing w:val="-9"/>
        </w:rPr>
        <w:t>台</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9"/>
        </w:rPr>
        <w:t>4t/h</w:t>
      </w:r>
      <w:r>
        <w:rPr>
          <w:rFonts w:ascii="Times New Roman" w:hAnsi="Times New Roman" w:eastAsia="Times New Roman" w:cs="Times New Roman"/>
          <w:sz w:val="24"/>
          <w:szCs w:val="24"/>
          <w:spacing w:val="12"/>
        </w:rPr>
        <w:t xml:space="preserve"> </w:t>
      </w:r>
      <w:r>
        <w:rPr>
          <w:rFonts w:ascii="SimSun" w:hAnsi="SimSun" w:eastAsia="SimSun" w:cs="SimSun"/>
          <w:sz w:val="24"/>
          <w:szCs w:val="24"/>
          <w:spacing w:val="-9"/>
        </w:rPr>
        <w:t>沼气蒸汽锅炉、</w:t>
      </w:r>
      <w:r>
        <w:rPr>
          <w:rFonts w:ascii="Times New Roman" w:hAnsi="Times New Roman" w:eastAsia="Times New Roman" w:cs="Times New Roman"/>
          <w:sz w:val="24"/>
          <w:szCs w:val="24"/>
          <w:spacing w:val="-9"/>
        </w:rPr>
        <w:t>1</w:t>
      </w:r>
      <w:r>
        <w:rPr>
          <w:rFonts w:ascii="Times New Roman" w:hAnsi="Times New Roman" w:eastAsia="Times New Roman" w:cs="Times New Roman"/>
          <w:sz w:val="24"/>
          <w:szCs w:val="24"/>
          <w:spacing w:val="28"/>
          <w:w w:val="101"/>
        </w:rPr>
        <w:t xml:space="preserve"> </w:t>
      </w:r>
      <w:r>
        <w:rPr>
          <w:rFonts w:ascii="SimSun" w:hAnsi="SimSun" w:eastAsia="SimSun" w:cs="SimSun"/>
          <w:sz w:val="24"/>
          <w:szCs w:val="24"/>
          <w:spacing w:val="-9"/>
        </w:rPr>
        <w:t>台</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9"/>
        </w:rPr>
        <w:t>6t/h </w:t>
      </w:r>
      <w:r>
        <w:rPr>
          <w:rFonts w:ascii="SimSun" w:hAnsi="SimSun" w:eastAsia="SimSun" w:cs="SimSun"/>
          <w:sz w:val="24"/>
          <w:szCs w:val="24"/>
          <w:spacing w:val="-9"/>
        </w:rPr>
        <w:t>生物质蒸汽锅炉，</w:t>
      </w:r>
      <w:r>
        <w:rPr>
          <w:rFonts w:ascii="SimSun" w:hAnsi="SimSun" w:eastAsia="SimSun" w:cs="SimSun"/>
          <w:sz w:val="24"/>
          <w:szCs w:val="24"/>
        </w:rPr>
        <w:t xml:space="preserve"> </w:t>
      </w:r>
      <w:r>
        <w:rPr>
          <w:rFonts w:ascii="SimSun" w:hAnsi="SimSun" w:eastAsia="SimSun" w:cs="SimSun"/>
          <w:sz w:val="24"/>
          <w:szCs w:val="24"/>
          <w:spacing w:val="3"/>
        </w:rPr>
        <w:t>两台锅炉同时使用，锅炉设自动控制系统，产生的蒸汽</w:t>
      </w:r>
      <w:r>
        <w:rPr>
          <w:rFonts w:ascii="SimSun" w:hAnsi="SimSun" w:eastAsia="SimSun" w:cs="SimSun"/>
          <w:sz w:val="24"/>
          <w:szCs w:val="24"/>
          <w:spacing w:val="2"/>
        </w:rPr>
        <w:t>进入蒸汽分气缸，优先由</w:t>
      </w:r>
      <w:r>
        <w:rPr>
          <w:rFonts w:ascii="SimSun" w:hAnsi="SimSun" w:eastAsia="SimSun" w:cs="SimSun"/>
          <w:sz w:val="24"/>
          <w:szCs w:val="24"/>
        </w:rPr>
        <w:t xml:space="preserve"> </w:t>
      </w:r>
      <w:r>
        <w:rPr>
          <w:rFonts w:ascii="SimSun" w:hAnsi="SimSun" w:eastAsia="SimSun" w:cs="SimSun"/>
          <w:sz w:val="24"/>
          <w:szCs w:val="24"/>
          <w:spacing w:val="-7"/>
        </w:rPr>
        <w:t>沼气锅炉供应蒸汽，当蒸汽分汽缸压力小于</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7"/>
        </w:rPr>
        <w:t>0.8MPa</w:t>
      </w:r>
      <w:r>
        <w:rPr>
          <w:rFonts w:ascii="Times New Roman" w:hAnsi="Times New Roman" w:eastAsia="Times New Roman" w:cs="Times New Roman"/>
          <w:sz w:val="24"/>
          <w:szCs w:val="24"/>
          <w:spacing w:val="19"/>
          <w:w w:val="101"/>
        </w:rPr>
        <w:t xml:space="preserve"> </w:t>
      </w:r>
      <w:r>
        <w:rPr>
          <w:rFonts w:ascii="SimSun" w:hAnsi="SimSun" w:eastAsia="SimSun" w:cs="SimSun"/>
          <w:sz w:val="24"/>
          <w:szCs w:val="24"/>
          <w:spacing w:val="-7"/>
        </w:rPr>
        <w:t>时，生物质锅炉运行负荷增加，</w:t>
      </w:r>
      <w:r>
        <w:rPr>
          <w:rFonts w:ascii="SimSun" w:hAnsi="SimSun" w:eastAsia="SimSun" w:cs="SimSun"/>
          <w:sz w:val="24"/>
          <w:szCs w:val="24"/>
        </w:rPr>
        <w:t xml:space="preserve"> </w:t>
      </w:r>
      <w:r>
        <w:rPr>
          <w:rFonts w:ascii="SimSun" w:hAnsi="SimSun" w:eastAsia="SimSun" w:cs="SimSun"/>
          <w:sz w:val="24"/>
          <w:szCs w:val="24"/>
        </w:rPr>
        <w:t>为蒸汽分汽缸补充蒸汽；两台锅炉满足项目生产</w:t>
      </w:r>
      <w:r>
        <w:rPr>
          <w:rFonts w:ascii="SimSun" w:hAnsi="SimSun" w:eastAsia="SimSun" w:cs="SimSun"/>
          <w:sz w:val="24"/>
          <w:szCs w:val="24"/>
          <w:spacing w:val="-1"/>
        </w:rPr>
        <w:t>供汽及冬季采暖用热需求。</w:t>
      </w:r>
    </w:p>
    <w:p>
      <w:pPr>
        <w:ind w:left="508"/>
        <w:spacing w:line="219" w:lineRule="auto"/>
        <w:rPr>
          <w:rFonts w:ascii="SimSun" w:hAnsi="SimSun" w:eastAsia="SimSun" w:cs="SimSun"/>
          <w:sz w:val="24"/>
          <w:szCs w:val="24"/>
        </w:rPr>
      </w:pP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7"/>
        </w:rPr>
        <w:t>、纯水制备装置</w:t>
      </w:r>
    </w:p>
    <w:p>
      <w:pPr>
        <w:ind w:left="8" w:firstLine="480"/>
        <w:spacing w:before="212" w:line="385" w:lineRule="auto"/>
        <w:rPr>
          <w:rFonts w:ascii="SimSun" w:hAnsi="SimSun" w:eastAsia="SimSun" w:cs="SimSun"/>
          <w:sz w:val="24"/>
          <w:szCs w:val="24"/>
        </w:rPr>
      </w:pPr>
      <w:r>
        <w:rPr>
          <w:rFonts w:ascii="SimSun" w:hAnsi="SimSun" w:eastAsia="SimSun" w:cs="SimSun"/>
          <w:sz w:val="24"/>
          <w:szCs w:val="24"/>
          <w:spacing w:val="-1"/>
        </w:rPr>
        <w:t>锅炉房配置了</w:t>
      </w:r>
      <w:r>
        <w:rPr>
          <w:rFonts w:ascii="SimSun" w:hAnsi="SimSun" w:eastAsia="SimSun" w:cs="SimSun"/>
          <w:sz w:val="24"/>
          <w:szCs w:val="24"/>
          <w:spacing w:val="-21"/>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套反渗透纯水制备装置，设计处理能力为</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
        </w:rPr>
        <w:t>10m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/h</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，其工艺流</w:t>
      </w:r>
      <w:r>
        <w:rPr>
          <w:rFonts w:ascii="SimSun" w:hAnsi="SimSun" w:eastAsia="SimSun" w:cs="SimSun"/>
          <w:sz w:val="24"/>
          <w:szCs w:val="24"/>
        </w:rPr>
        <w:t xml:space="preserve"> </w:t>
      </w:r>
      <w:r>
        <w:rPr>
          <w:rFonts w:ascii="SimSun" w:hAnsi="SimSun" w:eastAsia="SimSun" w:cs="SimSun"/>
          <w:sz w:val="24"/>
          <w:szCs w:val="24"/>
          <w:spacing w:val="-3"/>
        </w:rPr>
        <w:t>程为：原水箱</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3"/>
        </w:rPr>
        <w:t>原水泵</w:t>
      </w:r>
      <w:r>
        <w:rPr>
          <w:rFonts w:ascii="Times New Roman" w:hAnsi="Times New Roman" w:eastAsia="Times New Roman" w:cs="Times New Roman"/>
          <w:sz w:val="24"/>
          <w:szCs w:val="24"/>
          <w:spacing w:val="-3"/>
        </w:rPr>
        <w:t>→</w:t>
      </w:r>
      <w:r>
        <w:rPr>
          <w:rFonts w:ascii="SimSun" w:hAnsi="SimSun" w:eastAsia="SimSun" w:cs="SimSun"/>
          <w:sz w:val="24"/>
          <w:szCs w:val="24"/>
          <w:spacing w:val="-3"/>
        </w:rPr>
        <w:t>机械过滤</w:t>
      </w:r>
      <w:r>
        <w:rPr>
          <w:rFonts w:ascii="Times New Roman" w:hAnsi="Times New Roman" w:eastAsia="Times New Roman" w:cs="Times New Roman"/>
          <w:sz w:val="24"/>
          <w:szCs w:val="24"/>
          <w:spacing w:val="-3"/>
        </w:rPr>
        <w:t>→</w:t>
      </w:r>
      <w:r>
        <w:rPr>
          <w:rFonts w:ascii="SimSun" w:hAnsi="SimSun" w:eastAsia="SimSun" w:cs="SimSun"/>
          <w:sz w:val="24"/>
          <w:szCs w:val="24"/>
          <w:spacing w:val="-3"/>
        </w:rPr>
        <w:t>精密过滤</w:t>
      </w:r>
      <w:r>
        <w:rPr>
          <w:rFonts w:ascii="Times New Roman" w:hAnsi="Times New Roman" w:eastAsia="Times New Roman" w:cs="Times New Roman"/>
          <w:sz w:val="24"/>
          <w:szCs w:val="24"/>
          <w:spacing w:val="-3"/>
        </w:rPr>
        <w:t>→RO</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高压泵</w:t>
      </w:r>
      <w:r>
        <w:rPr>
          <w:rFonts w:ascii="Times New Roman" w:hAnsi="Times New Roman" w:eastAsia="Times New Roman" w:cs="Times New Roman"/>
          <w:sz w:val="24"/>
          <w:szCs w:val="24"/>
          <w:spacing w:val="-3"/>
        </w:rPr>
        <w:t>→</w:t>
      </w:r>
      <w:r>
        <w:rPr>
          <w:rFonts w:ascii="SimSun" w:hAnsi="SimSun" w:eastAsia="SimSun" w:cs="SimSun"/>
          <w:sz w:val="24"/>
          <w:szCs w:val="24"/>
          <w:spacing w:val="-3"/>
        </w:rPr>
        <w:t>反渗透装置</w:t>
      </w:r>
      <w:r>
        <w:rPr>
          <w:rFonts w:ascii="Times New Roman" w:hAnsi="Times New Roman" w:eastAsia="Times New Roman" w:cs="Times New Roman"/>
          <w:sz w:val="24"/>
          <w:szCs w:val="24"/>
          <w:spacing w:val="-3"/>
        </w:rPr>
        <w:t>→</w:t>
      </w:r>
      <w:r>
        <w:rPr>
          <w:rFonts w:ascii="SimSun" w:hAnsi="SimSun" w:eastAsia="SimSun" w:cs="SimSun"/>
          <w:sz w:val="24"/>
          <w:szCs w:val="24"/>
          <w:spacing w:val="-3"/>
        </w:rPr>
        <w:t>纯水水</w:t>
      </w:r>
      <w:r>
        <w:rPr>
          <w:rFonts w:ascii="SimSun" w:hAnsi="SimSun" w:eastAsia="SimSun" w:cs="SimSun"/>
          <w:sz w:val="24"/>
          <w:szCs w:val="24"/>
        </w:rPr>
        <w:t xml:space="preserve"> </w:t>
      </w:r>
      <w:r>
        <w:rPr>
          <w:rFonts w:ascii="SimSun" w:hAnsi="SimSun" w:eastAsia="SimSun" w:cs="SimSun"/>
          <w:sz w:val="24"/>
          <w:szCs w:val="24"/>
          <w:spacing w:val="-2"/>
        </w:rPr>
        <w:t>箱</w:t>
      </w:r>
      <w:r>
        <w:rPr>
          <w:rFonts w:ascii="Times New Roman" w:hAnsi="Times New Roman" w:eastAsia="Times New Roman" w:cs="Times New Roman"/>
          <w:sz w:val="24"/>
          <w:szCs w:val="24"/>
          <w:spacing w:val="-2"/>
        </w:rPr>
        <w:t>→</w:t>
      </w:r>
      <w:r>
        <w:rPr>
          <w:rFonts w:ascii="SimSun" w:hAnsi="SimSun" w:eastAsia="SimSun" w:cs="SimSun"/>
          <w:sz w:val="24"/>
          <w:szCs w:val="24"/>
          <w:spacing w:val="-2"/>
        </w:rPr>
        <w:t>纯水泵</w:t>
      </w:r>
      <w:r>
        <w:rPr>
          <w:rFonts w:ascii="Times New Roman" w:hAnsi="Times New Roman" w:eastAsia="Times New Roman" w:cs="Times New Roman"/>
          <w:sz w:val="24"/>
          <w:szCs w:val="24"/>
          <w:spacing w:val="-2"/>
        </w:rPr>
        <w:t>→</w:t>
      </w:r>
      <w:r>
        <w:rPr>
          <w:rFonts w:ascii="SimSun" w:hAnsi="SimSun" w:eastAsia="SimSun" w:cs="SimSun"/>
          <w:sz w:val="24"/>
          <w:szCs w:val="24"/>
          <w:spacing w:val="-2"/>
        </w:rPr>
        <w:t>蒸汽锅炉。纯水满足两台蒸汽锅炉和梳绒车间高压雾化加湿用纯水。</w:t>
      </w:r>
    </w:p>
    <w:p>
      <w:pPr>
        <w:ind w:left="485"/>
        <w:spacing w:line="220" w:lineRule="auto"/>
        <w:rPr>
          <w:rFonts w:ascii="SimSun" w:hAnsi="SimSun" w:eastAsia="SimSun" w:cs="SimSun"/>
          <w:sz w:val="24"/>
          <w:szCs w:val="24"/>
        </w:rPr>
      </w:pP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、沼气锅炉、生物质锅炉</w:t>
      </w:r>
    </w:p>
    <w:p>
      <w:pPr>
        <w:ind w:left="9" w:right="18" w:firstLine="480"/>
        <w:spacing w:before="218" w:line="384" w:lineRule="auto"/>
        <w:rPr>
          <w:rFonts w:ascii="SimSun" w:hAnsi="SimSun" w:eastAsia="SimSun" w:cs="SimSun"/>
          <w:sz w:val="24"/>
          <w:szCs w:val="24"/>
        </w:rPr>
      </w:pPr>
      <w:r>
        <w:rPr>
          <w:rFonts w:ascii="SimSun" w:hAnsi="SimSun" w:eastAsia="SimSun" w:cs="SimSun"/>
          <w:sz w:val="24"/>
          <w:szCs w:val="24"/>
          <w:spacing w:val="3"/>
        </w:rPr>
        <w:t>本项目沼气锅炉以厌氧发酵罐产生的沼气为燃料，生物质</w:t>
      </w:r>
      <w:r>
        <w:rPr>
          <w:rFonts w:ascii="SimSun" w:hAnsi="SimSun" w:eastAsia="SimSun" w:cs="SimSun"/>
          <w:sz w:val="24"/>
          <w:szCs w:val="24"/>
          <w:spacing w:val="2"/>
        </w:rPr>
        <w:t>锅炉外购生物质为</w:t>
      </w:r>
      <w:r>
        <w:rPr>
          <w:rFonts w:ascii="SimSun" w:hAnsi="SimSun" w:eastAsia="SimSun" w:cs="SimSun"/>
          <w:sz w:val="24"/>
          <w:szCs w:val="24"/>
        </w:rPr>
        <w:t xml:space="preserve"> </w:t>
      </w:r>
      <w:r>
        <w:rPr>
          <w:rFonts w:ascii="SimSun" w:hAnsi="SimSun" w:eastAsia="SimSun" w:cs="SimSun"/>
          <w:sz w:val="24"/>
          <w:szCs w:val="24"/>
          <w:spacing w:val="-3"/>
        </w:rPr>
        <w:t>燃料。锅炉房内设</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个蒸汽分汽缸，</w:t>
      </w:r>
      <w:r>
        <w:rPr>
          <w:rFonts w:ascii="Times New Roman" w:hAnsi="Times New Roman" w:eastAsia="Times New Roman" w:cs="Times New Roman"/>
          <w:sz w:val="24"/>
          <w:szCs w:val="24"/>
          <w:spacing w:val="-3"/>
        </w:rPr>
        <w:t>Φ3.25</w:t>
      </w:r>
      <w:r>
        <w:rPr>
          <w:rFonts w:ascii="Times New Roman" w:hAnsi="Times New Roman" w:eastAsia="Times New Roman" w:cs="Times New Roman"/>
          <w:sz w:val="24"/>
          <w:szCs w:val="24"/>
          <w:spacing w:val="-4"/>
        </w:rPr>
        <w:t>*1.5m</w:t>
      </w:r>
      <w:r>
        <w:rPr>
          <w:rFonts w:ascii="SimSun" w:hAnsi="SimSun" w:eastAsia="SimSun" w:cs="SimSun"/>
          <w:sz w:val="24"/>
          <w:szCs w:val="24"/>
          <w:spacing w:val="-4"/>
        </w:rPr>
        <w:t>，</w:t>
      </w: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28"/>
          <w:w w:val="101"/>
        </w:rPr>
        <w:t xml:space="preserve"> </w:t>
      </w:r>
      <w:r>
        <w:rPr>
          <w:rFonts w:ascii="SimSun" w:hAnsi="SimSun" w:eastAsia="SimSun" w:cs="SimSun"/>
          <w:sz w:val="24"/>
          <w:szCs w:val="24"/>
          <w:spacing w:val="-4"/>
        </w:rPr>
        <w:t>台锅炉产生的蒸汽进入蒸汽分</w:t>
      </w:r>
      <w:r>
        <w:rPr>
          <w:rFonts w:ascii="SimSun" w:hAnsi="SimSun" w:eastAsia="SimSun" w:cs="SimSun"/>
          <w:sz w:val="24"/>
          <w:szCs w:val="24"/>
        </w:rPr>
        <w:t xml:space="preserve"> </w:t>
      </w:r>
      <w:r>
        <w:rPr>
          <w:rFonts w:ascii="SimSun" w:hAnsi="SimSun" w:eastAsia="SimSun" w:cs="SimSun"/>
          <w:sz w:val="24"/>
          <w:szCs w:val="24"/>
          <w:spacing w:val="-3"/>
        </w:rPr>
        <w:t>汽缸，蒸汽分汽缸把蒸汽分配到各路管道中去（洗毛车间</w:t>
      </w:r>
      <w:r>
        <w:rPr>
          <w:rFonts w:ascii="SimSun" w:hAnsi="SimSun" w:eastAsia="SimSun" w:cs="SimSun"/>
          <w:sz w:val="24"/>
          <w:szCs w:val="24"/>
          <w:spacing w:val="8"/>
        </w:rPr>
        <w:t>），</w:t>
      </w:r>
      <w:r>
        <w:rPr>
          <w:rFonts w:ascii="SimSun" w:hAnsi="SimSun" w:eastAsia="SimSun" w:cs="SimSun"/>
          <w:sz w:val="24"/>
          <w:szCs w:val="24"/>
          <w:spacing w:val="-3"/>
        </w:rPr>
        <w:t>分汽缸系承压设备，</w:t>
      </w:r>
      <w:r>
        <w:rPr>
          <w:rFonts w:ascii="SimSun" w:hAnsi="SimSun" w:eastAsia="SimSun" w:cs="SimSun"/>
          <w:sz w:val="24"/>
          <w:szCs w:val="24"/>
        </w:rPr>
        <w:t xml:space="preserve"> </w:t>
      </w:r>
      <w:r>
        <w:rPr>
          <w:rFonts w:ascii="SimSun" w:hAnsi="SimSun" w:eastAsia="SimSun" w:cs="SimSun"/>
          <w:sz w:val="24"/>
          <w:szCs w:val="24"/>
          <w:spacing w:val="-1"/>
        </w:rPr>
        <w:t>压力</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0.8MPa</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1"/>
        </w:rPr>
        <w:t>。蒸汽锅炉设自动控制系统，优先由沼气锅炉供应蒸汽，当蒸汽分汽</w:t>
      </w:r>
      <w:r>
        <w:rPr>
          <w:rFonts w:ascii="SimSun" w:hAnsi="SimSun" w:eastAsia="SimSun" w:cs="SimSun"/>
          <w:sz w:val="24"/>
          <w:szCs w:val="24"/>
        </w:rPr>
        <w:t xml:space="preserve"> </w:t>
      </w:r>
      <w:r>
        <w:rPr>
          <w:rFonts w:ascii="SimSun" w:hAnsi="SimSun" w:eastAsia="SimSun" w:cs="SimSun"/>
          <w:sz w:val="24"/>
          <w:szCs w:val="24"/>
          <w:spacing w:val="-1"/>
        </w:rPr>
        <w:t>缸压力小于</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0.8MPa</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1"/>
        </w:rPr>
        <w:t>时，生物质锅炉运行负荷增加，为蒸汽分汽缸补充</w:t>
      </w:r>
      <w:r>
        <w:rPr>
          <w:rFonts w:ascii="SimSun" w:hAnsi="SimSun" w:eastAsia="SimSun" w:cs="SimSun"/>
          <w:sz w:val="24"/>
          <w:szCs w:val="24"/>
          <w:spacing w:val="-2"/>
        </w:rPr>
        <w:t>蒸汽。</w:t>
      </w:r>
    </w:p>
    <w:p>
      <w:pPr>
        <w:ind w:left="9" w:firstLine="484"/>
        <w:spacing w:before="2" w:line="387" w:lineRule="auto"/>
        <w:rPr>
          <w:rFonts w:ascii="SimSun" w:hAnsi="SimSun" w:eastAsia="SimSun" w:cs="SimSun"/>
          <w:sz w:val="24"/>
          <w:szCs w:val="24"/>
        </w:rPr>
      </w:pPr>
      <w:r>
        <w:rPr>
          <w:rFonts w:ascii="SimSun" w:hAnsi="SimSun" w:eastAsia="SimSun" w:cs="SimSun"/>
          <w:sz w:val="24"/>
          <w:szCs w:val="24"/>
          <w:spacing w:val="-1"/>
        </w:rPr>
        <w:t>沼气锅炉采用低氮燃烧技术，产生的废气经过</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10m </w:t>
      </w:r>
      <w:r>
        <w:rPr>
          <w:rFonts w:ascii="SimSun" w:hAnsi="SimSun" w:eastAsia="SimSun" w:cs="SimSun"/>
          <w:sz w:val="24"/>
          <w:szCs w:val="24"/>
          <w:spacing w:val="-2"/>
        </w:rPr>
        <w:t>高排气筒排放；生物质蒸</w:t>
      </w:r>
      <w:r>
        <w:rPr>
          <w:rFonts w:ascii="SimSun" w:hAnsi="SimSun" w:eastAsia="SimSun" w:cs="SimSun"/>
          <w:sz w:val="24"/>
          <w:szCs w:val="24"/>
        </w:rPr>
        <w:t xml:space="preserve">  </w:t>
      </w:r>
      <w:r>
        <w:rPr>
          <w:rFonts w:ascii="SimSun" w:hAnsi="SimSun" w:eastAsia="SimSun" w:cs="SimSun"/>
          <w:sz w:val="24"/>
          <w:szCs w:val="24"/>
          <w:spacing w:val="-5"/>
        </w:rPr>
        <w:t>汽锅炉废气经陶瓷多管除尘器</w:t>
      </w:r>
      <w:r>
        <w:rPr>
          <w:rFonts w:ascii="Times New Roman" w:hAnsi="Times New Roman" w:eastAsia="Times New Roman" w:cs="Times New Roman"/>
          <w:sz w:val="24"/>
          <w:szCs w:val="24"/>
          <w:spacing w:val="-5"/>
        </w:rPr>
        <w:t>+</w:t>
      </w:r>
      <w:r>
        <w:rPr>
          <w:rFonts w:ascii="SimSun" w:hAnsi="SimSun" w:eastAsia="SimSun" w:cs="SimSun"/>
          <w:sz w:val="24"/>
          <w:szCs w:val="24"/>
          <w:spacing w:val="-5"/>
        </w:rPr>
        <w:t>布袋除尘器</w:t>
      </w:r>
      <w:r>
        <w:rPr>
          <w:rFonts w:ascii="Times New Roman" w:hAnsi="Times New Roman" w:eastAsia="Times New Roman" w:cs="Times New Roman"/>
          <w:sz w:val="24"/>
          <w:szCs w:val="24"/>
          <w:spacing w:val="-5"/>
        </w:rPr>
        <w:t>+</w:t>
      </w:r>
      <w:r>
        <w:rPr>
          <w:rFonts w:ascii="SimSun" w:hAnsi="SimSun" w:eastAsia="SimSun" w:cs="SimSun"/>
          <w:sz w:val="24"/>
          <w:szCs w:val="24"/>
          <w:spacing w:val="-5"/>
        </w:rPr>
        <w:t>水浴处理后，通过</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5"/>
        </w:rPr>
        <w:t>35m</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5"/>
        </w:rPr>
        <w:t>高排气筒排放。</w:t>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9" w:lineRule="auto"/>
        <w:rPr/>
      </w:pPr>
      <w:r/>
    </w:p>
    <w:p>
      <w:pPr>
        <w:ind w:left="5312"/>
        <w:spacing w:before="62" w:line="227" w:lineRule="auto"/>
        <w:rPr>
          <w:rFonts w:ascii="SimSun" w:hAnsi="SimSun" w:eastAsia="SimSun" w:cs="SimSun"/>
          <w:sz w:val="19"/>
          <w:szCs w:val="19"/>
        </w:rPr>
      </w:pPr>
      <w:r>
        <w:pict>
          <v:shape id="_x0000_s416" style="position:absolute;margin-left:207.658pt;margin-top:2.12175pt;mso-position-vertical-relative:text;mso-position-horizontal-relative:text;width:58.6pt;height:13.75pt;z-index:251843584;"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1"/>
                      <w:position w:val="2"/>
                    </w:rPr>
                    <w:t>82        </w:t>
                  </w:r>
                  <w:r>
                    <w:rPr>
                      <w:rFonts w:ascii="SimSun" w:hAnsi="SimSun" w:eastAsia="SimSun" w:cs="SimSun"/>
                      <w:sz w:val="19"/>
                      <w:szCs w:val="19"/>
                      <w:spacing w:val="1"/>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11"/>
          <w:pgSz w:w="11907" w:h="16840"/>
          <w:pgMar w:top="1567" w:right="1621" w:bottom="400" w:left="1701" w:header="1221" w:footer="0" w:gutter="0"/>
        </w:sectPr>
        <w:rPr>
          <w:rFonts w:ascii="SimSun" w:hAnsi="SimSun" w:eastAsia="SimSun" w:cs="SimSun"/>
          <w:sz w:val="19"/>
          <w:szCs w:val="19"/>
        </w:rPr>
      </w:pPr>
    </w:p>
    <w:p>
      <w:pPr>
        <w:spacing w:before="152" w:line="6049" w:lineRule="exact"/>
        <w:rPr/>
      </w:pPr>
      <w:r>
        <w:pict>
          <v:shape id="_x0000_s422" style="position:absolute;margin-left:85.05pt;margin-top:79.11pt;mso-position-vertical-relative:page;mso-position-horizontal-relative:page;width:425.25pt;height:0.75pt;z-index:251846656;" o:allowincell="f" fillcolor="#000000" filled="true" stroked="false" coordsize="8505,15" coordorigin="0,0" path="m,l8505,0l8505,14l0,14l0,0xe"/>
        </w:pict>
      </w:r>
      <w:r>
        <w:rPr>
          <w:position w:val="-120"/>
        </w:rPr>
        <w:drawing>
          <wp:inline distT="0" distB="0" distL="0" distR="0">
            <wp:extent cx="5374385" cy="3841241"/>
            <wp:effectExtent l="0" t="0" r="0" b="0"/>
            <wp:docPr id="40" name="IM 40"/>
            <wp:cNvGraphicFramePr/>
            <a:graphic>
              <a:graphicData uri="http://schemas.openxmlformats.org/drawingml/2006/picture">
                <pic:pic>
                  <pic:nvPicPr>
                    <pic:cNvPr id="40" name="IM 40"/>
                    <pic:cNvPicPr/>
                  </pic:nvPicPr>
                  <pic:blipFill>
                    <a:blip r:embed="rId91"/>
                    <a:stretch>
                      <a:fillRect/>
                    </a:stretch>
                  </pic:blipFill>
                  <pic:spPr>
                    <a:xfrm rot="0">
                      <a:off x="0" y="0"/>
                      <a:ext cx="5374385" cy="3841241"/>
                    </a:xfrm>
                    <a:prstGeom prst="rect">
                      <a:avLst/>
                    </a:prstGeom>
                  </pic:spPr>
                </pic:pic>
              </a:graphicData>
            </a:graphic>
          </wp:inline>
        </w:drawing>
      </w:r>
    </w:p>
    <w:p>
      <w:pPr>
        <w:ind w:left="1775"/>
        <w:spacing w:before="171" w:line="219" w:lineRule="auto"/>
        <w:rPr>
          <w:rFonts w:ascii="SimSun" w:hAnsi="SimSun" w:eastAsia="SimSun" w:cs="SimSun"/>
          <w:sz w:val="24"/>
          <w:szCs w:val="24"/>
        </w:rPr>
      </w:pPr>
      <w:r>
        <w:rPr>
          <w:rFonts w:ascii="SimSun" w:hAnsi="SimSun" w:eastAsia="SimSun" w:cs="SimSun"/>
          <w:sz w:val="24"/>
          <w:szCs w:val="24"/>
          <w:b/>
          <w:bCs/>
          <w:spacing w:val="-2"/>
        </w:rPr>
        <w:t>图</w:t>
      </w:r>
      <w:r>
        <w:rPr>
          <w:rFonts w:ascii="SimSun" w:hAnsi="SimSun" w:eastAsia="SimSun" w:cs="SimSun"/>
          <w:sz w:val="24"/>
          <w:szCs w:val="24"/>
          <w:spacing w:val="-56"/>
        </w:rPr>
        <w:t xml:space="preserve"> </w:t>
      </w:r>
      <w:r>
        <w:rPr>
          <w:rFonts w:ascii="Times New Roman" w:hAnsi="Times New Roman" w:eastAsia="Times New Roman" w:cs="Times New Roman"/>
          <w:sz w:val="24"/>
          <w:szCs w:val="24"/>
          <w:b/>
          <w:bCs/>
          <w:spacing w:val="-2"/>
        </w:rPr>
        <w:t>3.2-4      </w:t>
      </w:r>
      <w:r>
        <w:rPr>
          <w:rFonts w:ascii="SimSun" w:hAnsi="SimSun" w:eastAsia="SimSun" w:cs="SimSun"/>
          <w:sz w:val="24"/>
          <w:szCs w:val="24"/>
          <w:b/>
          <w:bCs/>
          <w:spacing w:val="-2"/>
        </w:rPr>
        <w:t>锅炉工艺流程及</w:t>
      </w:r>
      <w:r>
        <w:rPr>
          <w:rFonts w:ascii="SimSun" w:hAnsi="SimSun" w:eastAsia="SimSun" w:cs="SimSun"/>
          <w:sz w:val="24"/>
          <w:szCs w:val="24"/>
          <w:b/>
          <w:bCs/>
          <w:spacing w:val="-3"/>
        </w:rPr>
        <w:t>产污环节分析示意图</w:t>
      </w:r>
    </w:p>
    <w:p>
      <w:pPr>
        <w:ind w:left="490"/>
        <w:spacing w:before="183" w:line="219" w:lineRule="auto"/>
        <w:rPr>
          <w:rFonts w:ascii="SimSun" w:hAnsi="SimSun" w:eastAsia="SimSun" w:cs="SimSun"/>
          <w:sz w:val="24"/>
          <w:szCs w:val="24"/>
        </w:rPr>
      </w:pPr>
      <w:r>
        <w:rPr>
          <w:rFonts w:ascii="SimSun" w:hAnsi="SimSun" w:eastAsia="SimSun" w:cs="SimSun"/>
          <w:sz w:val="24"/>
          <w:szCs w:val="24"/>
          <w:b/>
          <w:bCs/>
          <w:spacing w:val="-4"/>
        </w:rPr>
        <w:t>其他产污环节分析：</w:t>
      </w:r>
    </w:p>
    <w:p>
      <w:pPr>
        <w:ind w:left="488"/>
        <w:spacing w:before="180" w:line="220" w:lineRule="auto"/>
        <w:rPr>
          <w:rFonts w:ascii="SimSun" w:hAnsi="SimSun" w:eastAsia="SimSun" w:cs="SimSun"/>
          <w:sz w:val="24"/>
          <w:szCs w:val="24"/>
        </w:rPr>
      </w:pPr>
      <w:r>
        <w:rPr>
          <w:rFonts w:ascii="SimSun" w:hAnsi="SimSun" w:eastAsia="SimSun" w:cs="SimSun"/>
          <w:sz w:val="24"/>
          <w:szCs w:val="24"/>
          <w:b/>
          <w:bCs/>
          <w:spacing w:val="-6"/>
        </w:rPr>
        <w:t>废气：</w:t>
      </w:r>
    </w:p>
    <w:p>
      <w:pPr>
        <w:ind w:left="13" w:right="80" w:firstLine="475"/>
        <w:spacing w:before="182" w:line="289" w:lineRule="auto"/>
        <w:rPr>
          <w:rFonts w:ascii="SimSun" w:hAnsi="SimSun" w:eastAsia="SimSun" w:cs="SimSun"/>
          <w:sz w:val="24"/>
          <w:szCs w:val="24"/>
        </w:rPr>
      </w:pPr>
      <w:r>
        <w:rPr>
          <w:rFonts w:ascii="SimSun" w:hAnsi="SimSun" w:eastAsia="SimSun" w:cs="SimSun"/>
          <w:sz w:val="24"/>
          <w:szCs w:val="24"/>
          <w:spacing w:val="-2"/>
        </w:rPr>
        <w:t>①油烟：项目在厂区建设员工食堂，运行时会产生餐饮油烟（</w:t>
      </w:r>
      <w:r>
        <w:rPr>
          <w:rFonts w:ascii="Times New Roman" w:hAnsi="Times New Roman" w:eastAsia="Times New Roman" w:cs="Times New Roman"/>
          <w:sz w:val="24"/>
          <w:szCs w:val="24"/>
          <w:spacing w:val="-2"/>
        </w:rPr>
        <w:t>G</w:t>
      </w:r>
      <w:r>
        <w:rPr>
          <w:rFonts w:ascii="Times New Roman" w:hAnsi="Times New Roman" w:eastAsia="Times New Roman" w:cs="Times New Roman"/>
          <w:sz w:val="15"/>
          <w:szCs w:val="15"/>
          <w:spacing w:val="-2"/>
          <w:position w:val="-1"/>
        </w:rPr>
        <w:t>4-1 </w:t>
      </w:r>
      <w:r>
        <w:rPr>
          <w:rFonts w:ascii="SimSun" w:hAnsi="SimSun" w:eastAsia="SimSun" w:cs="SimSun"/>
          <w:sz w:val="24"/>
          <w:szCs w:val="24"/>
          <w:spacing w:val="-2"/>
        </w:rPr>
        <w:t>）排</w:t>
      </w:r>
      <w:r>
        <w:rPr>
          <w:rFonts w:ascii="SimSun" w:hAnsi="SimSun" w:eastAsia="SimSun" w:cs="SimSun"/>
          <w:sz w:val="24"/>
          <w:szCs w:val="24"/>
          <w:spacing w:val="-3"/>
        </w:rPr>
        <w:t>放，经</w:t>
      </w:r>
      <w:r>
        <w:rPr>
          <w:rFonts w:ascii="SimSun" w:hAnsi="SimSun" w:eastAsia="SimSun" w:cs="SimSun"/>
          <w:sz w:val="24"/>
          <w:szCs w:val="24"/>
        </w:rPr>
        <w:t xml:space="preserve"> </w:t>
      </w:r>
      <w:r>
        <w:rPr>
          <w:rFonts w:ascii="SimSun" w:hAnsi="SimSun" w:eastAsia="SimSun" w:cs="SimSun"/>
          <w:sz w:val="24"/>
          <w:szCs w:val="24"/>
          <w:spacing w:val="-2"/>
        </w:rPr>
        <w:t>油烟净化器处理后排放。</w:t>
      </w:r>
    </w:p>
    <w:p>
      <w:pPr>
        <w:ind w:left="9" w:right="80" w:firstLine="478"/>
        <w:spacing w:before="181" w:line="313" w:lineRule="auto"/>
        <w:rPr>
          <w:rFonts w:ascii="SimSun" w:hAnsi="SimSun" w:eastAsia="SimSun" w:cs="SimSun"/>
          <w:sz w:val="24"/>
          <w:szCs w:val="24"/>
        </w:rPr>
      </w:pPr>
      <w:r>
        <w:rPr>
          <w:rFonts w:ascii="SimSun" w:hAnsi="SimSun" w:eastAsia="SimSun" w:cs="SimSun"/>
          <w:sz w:val="24"/>
          <w:szCs w:val="24"/>
          <w:spacing w:val="-1"/>
        </w:rPr>
        <w:t>②沼气锅炉烟气：沼气锅炉运行时产生沼气锅炉烟气（</w:t>
      </w:r>
      <w:r>
        <w:rPr>
          <w:rFonts w:ascii="Times New Roman" w:hAnsi="Times New Roman" w:eastAsia="Times New Roman" w:cs="Times New Roman"/>
          <w:sz w:val="24"/>
          <w:szCs w:val="24"/>
          <w:spacing w:val="-1"/>
        </w:rPr>
        <w:t>G</w:t>
      </w:r>
      <w:r>
        <w:rPr>
          <w:rFonts w:ascii="Times New Roman" w:hAnsi="Times New Roman" w:eastAsia="Times New Roman" w:cs="Times New Roman"/>
          <w:sz w:val="15"/>
          <w:szCs w:val="15"/>
          <w:spacing w:val="-1"/>
          <w:position w:val="-1"/>
        </w:rPr>
        <w:t>4-2 </w:t>
      </w:r>
      <w:r>
        <w:rPr>
          <w:rFonts w:ascii="SimSun" w:hAnsi="SimSun" w:eastAsia="SimSun" w:cs="SimSun"/>
          <w:sz w:val="24"/>
          <w:szCs w:val="24"/>
          <w:spacing w:val="-21"/>
        </w:rPr>
        <w:t>），</w:t>
      </w:r>
      <w:r>
        <w:rPr>
          <w:rFonts w:ascii="SimSun" w:hAnsi="SimSun" w:eastAsia="SimSun" w:cs="SimSun"/>
          <w:sz w:val="24"/>
          <w:szCs w:val="24"/>
          <w:spacing w:val="-1"/>
        </w:rPr>
        <w:t>主要污染物为</w:t>
      </w:r>
      <w:r>
        <w:rPr>
          <w:rFonts w:ascii="SimSun" w:hAnsi="SimSun" w:eastAsia="SimSun" w:cs="SimSun"/>
          <w:sz w:val="24"/>
          <w:szCs w:val="24"/>
        </w:rPr>
        <w:t xml:space="preserve"> </w:t>
      </w:r>
      <w:r>
        <w:rPr>
          <w:rFonts w:ascii="Times New Roman" w:hAnsi="Times New Roman" w:eastAsia="Times New Roman" w:cs="Times New Roman"/>
          <w:sz w:val="24"/>
          <w:szCs w:val="24"/>
          <w:spacing w:val="-3"/>
        </w:rPr>
        <w:t>SO</w:t>
      </w:r>
      <w:r>
        <w:rPr>
          <w:rFonts w:ascii="Times New Roman" w:hAnsi="Times New Roman" w:eastAsia="Times New Roman" w:cs="Times New Roman"/>
          <w:sz w:val="15"/>
          <w:szCs w:val="15"/>
          <w:spacing w:val="-3"/>
          <w:position w:val="-1"/>
        </w:rPr>
        <w:t>2</w:t>
      </w:r>
      <w:r>
        <w:rPr>
          <w:rFonts w:ascii="SimSun" w:hAnsi="SimSun" w:eastAsia="SimSun" w:cs="SimSun"/>
          <w:sz w:val="24"/>
          <w:szCs w:val="24"/>
          <w:spacing w:val="-4"/>
        </w:rPr>
        <w:t>、</w:t>
      </w:r>
      <w:r>
        <w:rPr>
          <w:rFonts w:ascii="Times New Roman" w:hAnsi="Times New Roman" w:eastAsia="Times New Roman" w:cs="Times New Roman"/>
          <w:sz w:val="24"/>
          <w:szCs w:val="24"/>
          <w:spacing w:val="-4"/>
        </w:rPr>
        <w:t>NOx</w:t>
      </w:r>
      <w:r>
        <w:rPr>
          <w:rFonts w:ascii="SimSun" w:hAnsi="SimSun" w:eastAsia="SimSun" w:cs="SimSun"/>
          <w:sz w:val="24"/>
          <w:szCs w:val="24"/>
          <w:spacing w:val="-4"/>
        </w:rPr>
        <w:t>、颗粒物，沼气锅炉采用低氮燃烧技术，燃烧废气通过</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4"/>
        </w:rPr>
        <w:t>10m</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4"/>
        </w:rPr>
        <w:t>高排气筒排</w:t>
      </w:r>
      <w:r>
        <w:rPr>
          <w:rFonts w:ascii="SimSun" w:hAnsi="SimSun" w:eastAsia="SimSun" w:cs="SimSun"/>
          <w:sz w:val="24"/>
          <w:szCs w:val="24"/>
        </w:rPr>
        <w:t xml:space="preserve"> </w:t>
      </w:r>
      <w:r>
        <w:rPr>
          <w:rFonts w:ascii="SimSun" w:hAnsi="SimSun" w:eastAsia="SimSun" w:cs="SimSun"/>
          <w:sz w:val="24"/>
          <w:szCs w:val="24"/>
          <w:spacing w:val="-2"/>
        </w:rPr>
        <w:t>放（</w:t>
      </w:r>
      <w:r>
        <w:rPr>
          <w:rFonts w:ascii="Times New Roman" w:hAnsi="Times New Roman" w:eastAsia="Times New Roman" w:cs="Times New Roman"/>
          <w:sz w:val="24"/>
          <w:szCs w:val="24"/>
          <w:spacing w:val="-2"/>
        </w:rPr>
        <w:t>DA004</w:t>
      </w:r>
      <w:r>
        <w:rPr>
          <w:rFonts w:ascii="SimSun" w:hAnsi="SimSun" w:eastAsia="SimSun" w:cs="SimSun"/>
          <w:sz w:val="24"/>
          <w:szCs w:val="24"/>
          <w:spacing w:val="-2"/>
        </w:rPr>
        <w:t>）。</w:t>
      </w:r>
    </w:p>
    <w:p>
      <w:pPr>
        <w:ind w:left="12" w:right="79" w:firstLine="475"/>
        <w:spacing w:before="179" w:line="313" w:lineRule="auto"/>
        <w:rPr>
          <w:rFonts w:ascii="SimSun" w:hAnsi="SimSun" w:eastAsia="SimSun" w:cs="SimSun"/>
          <w:sz w:val="24"/>
          <w:szCs w:val="24"/>
        </w:rPr>
      </w:pPr>
      <w:r>
        <w:rPr>
          <w:rFonts w:ascii="SimSun" w:hAnsi="SimSun" w:eastAsia="SimSun" w:cs="SimSun"/>
          <w:sz w:val="24"/>
          <w:szCs w:val="24"/>
          <w:spacing w:val="-1"/>
        </w:rPr>
        <w:t>③生物质锅炉烟气：生物质锅炉运行时产生生物质锅炉烟气（</w:t>
      </w:r>
      <w:r>
        <w:rPr>
          <w:rFonts w:ascii="Times New Roman" w:hAnsi="Times New Roman" w:eastAsia="Times New Roman" w:cs="Times New Roman"/>
          <w:sz w:val="24"/>
          <w:szCs w:val="24"/>
          <w:spacing w:val="-1"/>
        </w:rPr>
        <w:t>G</w:t>
      </w:r>
      <w:r>
        <w:rPr>
          <w:rFonts w:ascii="Times New Roman" w:hAnsi="Times New Roman" w:eastAsia="Times New Roman" w:cs="Times New Roman"/>
          <w:sz w:val="15"/>
          <w:szCs w:val="15"/>
          <w:spacing w:val="-1"/>
          <w:position w:val="-1"/>
        </w:rPr>
        <w:t>4-3 </w:t>
      </w:r>
      <w:r>
        <w:rPr>
          <w:rFonts w:ascii="SimSun" w:hAnsi="SimSun" w:eastAsia="SimSun" w:cs="SimSun"/>
          <w:sz w:val="24"/>
          <w:szCs w:val="24"/>
          <w:spacing w:val="-21"/>
        </w:rPr>
        <w:t>），</w:t>
      </w:r>
      <w:r>
        <w:rPr>
          <w:rFonts w:ascii="SimSun" w:hAnsi="SimSun" w:eastAsia="SimSun" w:cs="SimSun"/>
          <w:sz w:val="24"/>
          <w:szCs w:val="24"/>
          <w:spacing w:val="-1"/>
        </w:rPr>
        <w:t>主要污</w:t>
      </w:r>
      <w:r>
        <w:rPr>
          <w:rFonts w:ascii="SimSun" w:hAnsi="SimSun" w:eastAsia="SimSun" w:cs="SimSun"/>
          <w:sz w:val="24"/>
          <w:szCs w:val="24"/>
        </w:rPr>
        <w:t xml:space="preserve"> </w:t>
      </w:r>
      <w:r>
        <w:rPr>
          <w:rFonts w:ascii="SimSun" w:hAnsi="SimSun" w:eastAsia="SimSun" w:cs="SimSun"/>
          <w:sz w:val="24"/>
          <w:szCs w:val="24"/>
          <w:spacing w:val="1"/>
        </w:rPr>
        <w:t>染物为</w:t>
      </w:r>
      <w:r>
        <w:rPr>
          <w:rFonts w:ascii="SimSun" w:hAnsi="SimSun" w:eastAsia="SimSun" w:cs="SimSun"/>
          <w:sz w:val="24"/>
          <w:szCs w:val="24"/>
          <w:spacing w:val="-43"/>
        </w:rPr>
        <w:t xml:space="preserve"> </w:t>
      </w:r>
      <w:r>
        <w:rPr>
          <w:rFonts w:ascii="Times New Roman" w:hAnsi="Times New Roman" w:eastAsia="Times New Roman" w:cs="Times New Roman"/>
          <w:sz w:val="24"/>
          <w:szCs w:val="24"/>
        </w:rPr>
        <w:t>SO</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15"/>
          <w:szCs w:val="15"/>
          <w:spacing w:val="-7"/>
          <w:position w:val="-1"/>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rPr>
        <w:t>NOx</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、颗粒物、汞及其化合物，采用陶瓷多管除尘器</w:t>
      </w:r>
      <w:r>
        <w:rPr>
          <w:rFonts w:ascii="Times New Roman" w:hAnsi="Times New Roman" w:eastAsia="Times New Roman" w:cs="Times New Roman"/>
          <w:sz w:val="24"/>
          <w:szCs w:val="24"/>
          <w:spacing w:val="1"/>
        </w:rPr>
        <w:t>+</w:t>
      </w:r>
      <w:r>
        <w:rPr>
          <w:rFonts w:ascii="SimSun" w:hAnsi="SimSun" w:eastAsia="SimSun" w:cs="SimSun"/>
          <w:sz w:val="24"/>
          <w:szCs w:val="24"/>
          <w:spacing w:val="1"/>
        </w:rPr>
        <w:t>布袋除尘器</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rPr>
        <w:t xml:space="preserve"> </w:t>
      </w:r>
      <w:r>
        <w:rPr>
          <w:rFonts w:ascii="SimSun" w:hAnsi="SimSun" w:eastAsia="SimSun" w:cs="SimSun"/>
          <w:sz w:val="24"/>
          <w:szCs w:val="24"/>
          <w:spacing w:val="-1"/>
        </w:rPr>
        <w:t>水浴除尘后，通过</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35m </w:t>
      </w:r>
      <w:r>
        <w:rPr>
          <w:rFonts w:ascii="SimSun" w:hAnsi="SimSun" w:eastAsia="SimSun" w:cs="SimSun"/>
          <w:sz w:val="24"/>
          <w:szCs w:val="24"/>
          <w:spacing w:val="-1"/>
        </w:rPr>
        <w:t>高排气筒排放（</w:t>
      </w:r>
      <w:r>
        <w:rPr>
          <w:rFonts w:ascii="Times New Roman" w:hAnsi="Times New Roman" w:eastAsia="Times New Roman" w:cs="Times New Roman"/>
          <w:sz w:val="24"/>
          <w:szCs w:val="24"/>
          <w:spacing w:val="-1"/>
        </w:rPr>
        <w:t>DA005</w:t>
      </w:r>
      <w:r>
        <w:rPr>
          <w:rFonts w:ascii="SimSun" w:hAnsi="SimSun" w:eastAsia="SimSun" w:cs="SimSun"/>
          <w:sz w:val="24"/>
          <w:szCs w:val="24"/>
          <w:spacing w:val="-1"/>
        </w:rPr>
        <w:t>）。</w:t>
      </w:r>
    </w:p>
    <w:p>
      <w:pPr>
        <w:ind w:left="488"/>
        <w:spacing w:before="181" w:line="219" w:lineRule="auto"/>
        <w:rPr>
          <w:rFonts w:ascii="SimSun" w:hAnsi="SimSun" w:eastAsia="SimSun" w:cs="SimSun"/>
          <w:sz w:val="24"/>
          <w:szCs w:val="24"/>
        </w:rPr>
      </w:pPr>
      <w:r>
        <w:rPr>
          <w:rFonts w:ascii="SimSun" w:hAnsi="SimSun" w:eastAsia="SimSun" w:cs="SimSun"/>
          <w:sz w:val="24"/>
          <w:szCs w:val="24"/>
          <w:b/>
          <w:bCs/>
          <w:spacing w:val="-6"/>
        </w:rPr>
        <w:t>废水：</w:t>
      </w:r>
    </w:p>
    <w:p>
      <w:pPr>
        <w:ind w:left="21" w:right="80" w:firstLine="467"/>
        <w:spacing w:before="184" w:line="288" w:lineRule="auto"/>
        <w:rPr>
          <w:rFonts w:ascii="SimSun" w:hAnsi="SimSun" w:eastAsia="SimSun" w:cs="SimSun"/>
          <w:sz w:val="24"/>
          <w:szCs w:val="24"/>
        </w:rPr>
      </w:pPr>
      <w:r>
        <w:rPr>
          <w:rFonts w:ascii="SimSun" w:hAnsi="SimSun" w:eastAsia="SimSun" w:cs="SimSun"/>
          <w:sz w:val="24"/>
          <w:szCs w:val="24"/>
          <w:spacing w:val="10"/>
        </w:rPr>
        <w:t>①车间地面冲洗水：项目洗毛车间地面需要定期冲洗，产生地面冲洗废水</w:t>
      </w:r>
      <w:r>
        <w:rPr>
          <w:rFonts w:ascii="SimSun" w:hAnsi="SimSun" w:eastAsia="SimSun" w:cs="SimSun"/>
          <w:sz w:val="24"/>
          <w:szCs w:val="24"/>
          <w:spacing w:val="13"/>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W</w:t>
      </w:r>
      <w:r>
        <w:rPr>
          <w:rFonts w:ascii="Times New Roman" w:hAnsi="Times New Roman" w:eastAsia="Times New Roman" w:cs="Times New Roman"/>
          <w:sz w:val="15"/>
          <w:szCs w:val="15"/>
          <w:spacing w:val="-3"/>
          <w:position w:val="-1"/>
        </w:rPr>
        <w:t>4-1 </w:t>
      </w:r>
      <w:r>
        <w:rPr>
          <w:rFonts w:ascii="SimSun" w:hAnsi="SimSun" w:eastAsia="SimSun" w:cs="SimSun"/>
          <w:sz w:val="24"/>
          <w:szCs w:val="24"/>
          <w:spacing w:val="-3"/>
        </w:rPr>
        <w:t>），收集去厌氧发酵装置。</w:t>
      </w:r>
    </w:p>
    <w:p>
      <w:pPr>
        <w:spacing w:before="184" w:line="210" w:lineRule="auto"/>
        <w:jc w:val="right"/>
        <w:rPr>
          <w:rFonts w:ascii="SimSun" w:hAnsi="SimSun" w:eastAsia="SimSun" w:cs="SimSun"/>
          <w:sz w:val="24"/>
          <w:szCs w:val="24"/>
        </w:rPr>
      </w:pPr>
      <w:r>
        <w:rPr>
          <w:rFonts w:ascii="SimSun" w:hAnsi="SimSun" w:eastAsia="SimSun" w:cs="SimSun"/>
          <w:sz w:val="24"/>
          <w:szCs w:val="24"/>
          <w:spacing w:val="-5"/>
        </w:rPr>
        <w:t>②生活污水：职工日常生活产生生活污水（</w:t>
      </w:r>
      <w:r>
        <w:rPr>
          <w:rFonts w:ascii="Times New Roman" w:hAnsi="Times New Roman" w:eastAsia="Times New Roman" w:cs="Times New Roman"/>
          <w:sz w:val="24"/>
          <w:szCs w:val="24"/>
          <w:spacing w:val="-5"/>
        </w:rPr>
        <w:t>W</w:t>
      </w:r>
      <w:r>
        <w:rPr>
          <w:rFonts w:ascii="Times New Roman" w:hAnsi="Times New Roman" w:eastAsia="Times New Roman" w:cs="Times New Roman"/>
          <w:sz w:val="15"/>
          <w:szCs w:val="15"/>
          <w:spacing w:val="-6"/>
          <w:position w:val="-1"/>
        </w:rPr>
        <w:t>4-2</w:t>
      </w:r>
      <w:r>
        <w:rPr>
          <w:rFonts w:ascii="SimSun" w:hAnsi="SimSun" w:eastAsia="SimSun" w:cs="SimSun"/>
          <w:sz w:val="24"/>
          <w:szCs w:val="24"/>
          <w:spacing w:val="-47"/>
        </w:rPr>
        <w:t>），</w:t>
      </w:r>
      <w:r>
        <w:rPr>
          <w:rFonts w:ascii="SimSun" w:hAnsi="SimSun" w:eastAsia="SimSun" w:cs="SimSun"/>
          <w:sz w:val="24"/>
          <w:szCs w:val="24"/>
          <w:spacing w:val="-6"/>
        </w:rPr>
        <w:t>主要污染物为</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6"/>
        </w:rPr>
        <w:t>pH</w:t>
      </w:r>
      <w:r>
        <w:rPr>
          <w:rFonts w:ascii="SimSun" w:hAnsi="SimSun" w:eastAsia="SimSun" w:cs="SimSun"/>
          <w:sz w:val="24"/>
          <w:szCs w:val="24"/>
          <w:spacing w:val="-6"/>
        </w:rPr>
        <w:t>、</w:t>
      </w:r>
      <w:r>
        <w:rPr>
          <w:rFonts w:ascii="Times New Roman" w:hAnsi="Times New Roman" w:eastAsia="Times New Roman" w:cs="Times New Roman"/>
          <w:sz w:val="24"/>
          <w:szCs w:val="24"/>
          <w:spacing w:val="-6"/>
        </w:rPr>
        <w:t>COD</w:t>
      </w:r>
      <w:r>
        <w:rPr>
          <w:rFonts w:ascii="Times New Roman" w:hAnsi="Times New Roman" w:eastAsia="Times New Roman" w:cs="Times New Roman"/>
          <w:sz w:val="15"/>
          <w:szCs w:val="15"/>
          <w:spacing w:val="-6"/>
          <w:position w:val="-1"/>
        </w:rPr>
        <w:t>Cr</w:t>
      </w:r>
      <w:r>
        <w:rPr>
          <w:rFonts w:ascii="SimSun" w:hAnsi="SimSun" w:eastAsia="SimSun" w:cs="SimSun"/>
          <w:sz w:val="24"/>
          <w:szCs w:val="24"/>
          <w:spacing w:val="-6"/>
        </w:rPr>
        <w:t>、</w:t>
      </w:r>
    </w:p>
    <w:p>
      <w:pPr>
        <w:pStyle w:val="BodyText"/>
        <w:spacing w:line="270" w:lineRule="auto"/>
        <w:rPr/>
      </w:pPr>
      <w:r/>
    </w:p>
    <w:p>
      <w:pPr>
        <w:pStyle w:val="BodyText"/>
        <w:spacing w:line="271" w:lineRule="auto"/>
        <w:rPr/>
      </w:pPr>
      <w:r/>
    </w:p>
    <w:p>
      <w:pPr>
        <w:ind w:left="7"/>
        <w:spacing w:before="63" w:line="227" w:lineRule="auto"/>
        <w:rPr>
          <w:rFonts w:ascii="SimSun" w:hAnsi="SimSun" w:eastAsia="SimSun" w:cs="SimSun"/>
          <w:sz w:val="19"/>
          <w:szCs w:val="19"/>
        </w:rPr>
      </w:pPr>
      <w:r>
        <w:pict>
          <v:shape id="_x0000_s424" style="position:absolute;margin-left:159.33pt;margin-top:2.13708pt;mso-position-vertical-relative:text;mso-position-horizontal-relative:text;width:58.85pt;height:13.75pt;z-index:251845632;"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2"/>
                    </w:rPr>
                    <w:t>任公司</w:t>
                  </w:r>
                  <w:r>
                    <w:rPr>
                      <w:rFonts w:ascii="SimSun" w:hAnsi="SimSun" w:eastAsia="SimSun" w:cs="SimSun"/>
                      <w:sz w:val="19"/>
                      <w:szCs w:val="19"/>
                      <w:spacing w:val="30"/>
                    </w:rPr>
                    <w:t xml:space="preserve">   </w:t>
                  </w:r>
                  <w:r>
                    <w:rPr>
                      <w:rFonts w:ascii="Times New Roman" w:hAnsi="Times New Roman" w:eastAsia="Times New Roman" w:cs="Times New Roman"/>
                      <w:sz w:val="18"/>
                      <w:szCs w:val="18"/>
                      <w:spacing w:val="2"/>
                      <w:position w:val="2"/>
                    </w:rPr>
                    <w:t>83</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90"/>
          <w:pgSz w:w="11907" w:h="16840"/>
          <w:pgMar w:top="1567" w:right="1621" w:bottom="400" w:left="1701" w:header="1221" w:footer="0" w:gutter="0"/>
        </w:sectPr>
        <w:rPr>
          <w:rFonts w:ascii="SimSun" w:hAnsi="SimSun" w:eastAsia="SimSun" w:cs="SimSun"/>
          <w:sz w:val="19"/>
          <w:szCs w:val="19"/>
        </w:rPr>
      </w:pPr>
    </w:p>
    <w:p>
      <w:pPr>
        <w:ind w:left="9" w:right="61" w:hanging="5"/>
        <w:spacing w:before="168" w:line="359" w:lineRule="auto"/>
        <w:rPr>
          <w:rFonts w:ascii="SimSun" w:hAnsi="SimSun" w:eastAsia="SimSun" w:cs="SimSun"/>
          <w:sz w:val="24"/>
          <w:szCs w:val="24"/>
        </w:rPr>
      </w:pPr>
      <w:r>
        <w:pict>
          <v:shape id="_x0000_s426" style="position:absolute;margin-left:85.05pt;margin-top:78.87pt;mso-position-vertical-relative:page;mso-position-horizontal-relative:page;width:425.25pt;height:0.75pt;z-index:251848704;" o:allowincell="f" fillcolor="#000000" filled="true" stroked="false" coordsize="8505,15" coordorigin="0,0" path="m,l8505,0l8505,14l0,14l0,0xe"/>
        </w:pict>
      </w:r>
      <w:r>
        <w:rPr>
          <w:rFonts w:ascii="Times New Roman" w:hAnsi="Times New Roman" w:eastAsia="Times New Roman" w:cs="Times New Roman"/>
          <w:sz w:val="24"/>
          <w:szCs w:val="24"/>
          <w:spacing w:val="-2"/>
        </w:rPr>
        <w:t>BOD</w:t>
      </w:r>
      <w:r>
        <w:rPr>
          <w:rFonts w:ascii="Times New Roman" w:hAnsi="Times New Roman" w:eastAsia="Times New Roman" w:cs="Times New Roman"/>
          <w:sz w:val="15"/>
          <w:szCs w:val="15"/>
          <w:spacing w:val="-2"/>
          <w:position w:val="-1"/>
        </w:rPr>
        <w:t>5</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SS</w:t>
      </w:r>
      <w:r>
        <w:rPr>
          <w:rFonts w:ascii="Times New Roman" w:hAnsi="Times New Roman" w:eastAsia="Times New Roman" w:cs="Times New Roman"/>
          <w:sz w:val="24"/>
          <w:szCs w:val="24"/>
          <w:spacing w:val="-36"/>
        </w:rPr>
        <w:t xml:space="preserve"> </w:t>
      </w:r>
      <w:r>
        <w:rPr>
          <w:rFonts w:ascii="SimSun" w:hAnsi="SimSun" w:eastAsia="SimSun" w:cs="SimSun"/>
          <w:sz w:val="24"/>
          <w:szCs w:val="24"/>
          <w:spacing w:val="-2"/>
        </w:rPr>
        <w:t>、氨氮等，冲厕废水送往厌氧发酵装置；洗浴和食堂废水通</w:t>
      </w:r>
      <w:r>
        <w:rPr>
          <w:rFonts w:ascii="SimSun" w:hAnsi="SimSun" w:eastAsia="SimSun" w:cs="SimSun"/>
          <w:sz w:val="24"/>
          <w:szCs w:val="24"/>
          <w:spacing w:val="-3"/>
        </w:rPr>
        <w:t>过单独管道</w:t>
      </w:r>
      <w:r>
        <w:rPr>
          <w:rFonts w:ascii="SimSun" w:hAnsi="SimSun" w:eastAsia="SimSun" w:cs="SimSun"/>
          <w:sz w:val="24"/>
          <w:szCs w:val="24"/>
        </w:rPr>
        <w:t xml:space="preserve"> </w:t>
      </w:r>
      <w:r>
        <w:rPr>
          <w:rFonts w:ascii="SimSun" w:hAnsi="SimSun" w:eastAsia="SimSun" w:cs="SimSun"/>
          <w:sz w:val="24"/>
          <w:szCs w:val="24"/>
          <w:spacing w:val="-1"/>
        </w:rPr>
        <w:t>排入市政污水管网，进入明安图镇污水处理厂。</w:t>
      </w:r>
    </w:p>
    <w:p>
      <w:pPr>
        <w:ind w:left="12" w:right="61" w:firstLine="475"/>
        <w:spacing w:before="1" w:line="288" w:lineRule="auto"/>
        <w:rPr>
          <w:rFonts w:ascii="SimSun" w:hAnsi="SimSun" w:eastAsia="SimSun" w:cs="SimSun"/>
          <w:sz w:val="24"/>
          <w:szCs w:val="24"/>
        </w:rPr>
      </w:pPr>
      <w:r>
        <w:rPr>
          <w:rFonts w:ascii="SimSun" w:hAnsi="SimSun" w:eastAsia="SimSun" w:cs="SimSun"/>
          <w:sz w:val="24"/>
          <w:szCs w:val="24"/>
          <w:spacing w:val="3"/>
        </w:rPr>
        <w:t>③纯水制备装置排水：锅炉纯水制备装置在制备纯水时需排放含</w:t>
      </w:r>
      <w:r>
        <w:rPr>
          <w:rFonts w:ascii="SimSun" w:hAnsi="SimSun" w:eastAsia="SimSun" w:cs="SimSun"/>
          <w:sz w:val="24"/>
          <w:szCs w:val="24"/>
          <w:spacing w:val="2"/>
        </w:rPr>
        <w:t>盐废水（纯</w:t>
      </w:r>
      <w:r>
        <w:rPr>
          <w:rFonts w:ascii="SimSun" w:hAnsi="SimSun" w:eastAsia="SimSun" w:cs="SimSun"/>
          <w:sz w:val="24"/>
          <w:szCs w:val="24"/>
        </w:rPr>
        <w:t xml:space="preserve"> </w:t>
      </w:r>
      <w:r>
        <w:rPr>
          <w:rFonts w:ascii="SimSun" w:hAnsi="SimSun" w:eastAsia="SimSun" w:cs="SimSun"/>
          <w:sz w:val="24"/>
          <w:szCs w:val="24"/>
          <w:spacing w:val="-1"/>
        </w:rPr>
        <w:t>水制备排污</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W</w:t>
      </w:r>
      <w:r>
        <w:rPr>
          <w:rFonts w:ascii="Times New Roman" w:hAnsi="Times New Roman" w:eastAsia="Times New Roman" w:cs="Times New Roman"/>
          <w:sz w:val="15"/>
          <w:szCs w:val="15"/>
          <w:spacing w:val="-1"/>
          <w:position w:val="-1"/>
        </w:rPr>
        <w:t>4-3 </w:t>
      </w:r>
      <w:r>
        <w:rPr>
          <w:rFonts w:ascii="SimSun" w:hAnsi="SimSun" w:eastAsia="SimSun" w:cs="SimSun"/>
          <w:sz w:val="24"/>
          <w:szCs w:val="24"/>
          <w:spacing w:val="-11"/>
        </w:rPr>
        <w:t>），</w:t>
      </w:r>
      <w:r>
        <w:rPr>
          <w:rFonts w:ascii="SimSun" w:hAnsi="SimSun" w:eastAsia="SimSun" w:cs="SimSun"/>
          <w:sz w:val="24"/>
          <w:szCs w:val="24"/>
          <w:spacing w:val="-1"/>
        </w:rPr>
        <w:t>用作草木灰抑尘及厂区内道路抑尘用水。</w:t>
      </w:r>
    </w:p>
    <w:p>
      <w:pPr>
        <w:ind w:left="9" w:right="61" w:firstLine="478"/>
        <w:spacing w:before="182" w:line="290" w:lineRule="auto"/>
        <w:rPr>
          <w:rFonts w:ascii="SimSun" w:hAnsi="SimSun" w:eastAsia="SimSun" w:cs="SimSun"/>
          <w:sz w:val="24"/>
          <w:szCs w:val="24"/>
        </w:rPr>
      </w:pPr>
      <w:r>
        <w:rPr>
          <w:rFonts w:ascii="SimSun" w:hAnsi="SimSun" w:eastAsia="SimSun" w:cs="SimSun"/>
          <w:sz w:val="24"/>
          <w:szCs w:val="24"/>
          <w:spacing w:val="3"/>
        </w:rPr>
        <w:t>④锅炉排污水：蒸汽锅炉运行时，锅炉循环水系统因盐分的累积</w:t>
      </w:r>
      <w:r>
        <w:rPr>
          <w:rFonts w:ascii="SimSun" w:hAnsi="SimSun" w:eastAsia="SimSun" w:cs="SimSun"/>
          <w:sz w:val="24"/>
          <w:szCs w:val="24"/>
          <w:spacing w:val="2"/>
        </w:rPr>
        <w:t>需要定期排</w:t>
      </w:r>
      <w:r>
        <w:rPr>
          <w:rFonts w:ascii="SimSun" w:hAnsi="SimSun" w:eastAsia="SimSun" w:cs="SimSun"/>
          <w:sz w:val="24"/>
          <w:szCs w:val="24"/>
        </w:rPr>
        <w:t xml:space="preserve"> </w:t>
      </w:r>
      <w:r>
        <w:rPr>
          <w:rFonts w:ascii="SimSun" w:hAnsi="SimSun" w:eastAsia="SimSun" w:cs="SimSun"/>
          <w:sz w:val="24"/>
          <w:szCs w:val="24"/>
          <w:spacing w:val="-1"/>
        </w:rPr>
        <w:t>放一部分（锅炉排污</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1"/>
        </w:rPr>
        <w:t>W</w:t>
      </w:r>
      <w:r>
        <w:rPr>
          <w:rFonts w:ascii="Times New Roman" w:hAnsi="Times New Roman" w:eastAsia="Times New Roman" w:cs="Times New Roman"/>
          <w:sz w:val="15"/>
          <w:szCs w:val="15"/>
          <w:spacing w:val="-1"/>
          <w:position w:val="-1"/>
        </w:rPr>
        <w:t>4-4 </w:t>
      </w:r>
      <w:r>
        <w:rPr>
          <w:rFonts w:ascii="SimSun" w:hAnsi="SimSun" w:eastAsia="SimSun" w:cs="SimSun"/>
          <w:sz w:val="24"/>
          <w:szCs w:val="24"/>
          <w:spacing w:val="-7"/>
        </w:rPr>
        <w:t>），</w:t>
      </w:r>
      <w:r>
        <w:rPr>
          <w:rFonts w:ascii="SimSun" w:hAnsi="SimSun" w:eastAsia="SimSun" w:cs="SimSun"/>
          <w:sz w:val="24"/>
          <w:szCs w:val="24"/>
          <w:spacing w:val="-1"/>
        </w:rPr>
        <w:t>用作草木灰抑尘及厂区内道路抑尘用水。</w:t>
      </w:r>
    </w:p>
    <w:p>
      <w:pPr>
        <w:ind w:left="510"/>
        <w:spacing w:before="180" w:line="220" w:lineRule="auto"/>
        <w:rPr>
          <w:rFonts w:ascii="SimSun" w:hAnsi="SimSun" w:eastAsia="SimSun" w:cs="SimSun"/>
          <w:sz w:val="24"/>
          <w:szCs w:val="24"/>
        </w:rPr>
      </w:pPr>
      <w:r>
        <w:rPr>
          <w:rFonts w:ascii="SimSun" w:hAnsi="SimSun" w:eastAsia="SimSun" w:cs="SimSun"/>
          <w:sz w:val="24"/>
          <w:szCs w:val="24"/>
          <w:b/>
          <w:bCs/>
          <w:spacing w:val="-13"/>
        </w:rPr>
        <w:t>固废：</w:t>
      </w:r>
    </w:p>
    <w:p>
      <w:pPr>
        <w:ind w:left="9" w:right="59" w:firstLine="479"/>
        <w:spacing w:before="181" w:line="289" w:lineRule="auto"/>
        <w:rPr>
          <w:rFonts w:ascii="SimSun" w:hAnsi="SimSun" w:eastAsia="SimSun" w:cs="SimSun"/>
          <w:sz w:val="24"/>
          <w:szCs w:val="24"/>
        </w:rPr>
      </w:pPr>
      <w:r>
        <w:rPr>
          <w:rFonts w:ascii="SimSun" w:hAnsi="SimSun" w:eastAsia="SimSun" w:cs="SimSun"/>
          <w:sz w:val="24"/>
          <w:szCs w:val="24"/>
        </w:rPr>
        <w:t>①生活垃圾：职工日常生活产生生活垃圾（</w:t>
      </w:r>
      <w:r>
        <w:rPr>
          <w:rFonts w:ascii="Times New Roman" w:hAnsi="Times New Roman" w:eastAsia="Times New Roman" w:cs="Times New Roman"/>
          <w:sz w:val="24"/>
          <w:szCs w:val="24"/>
        </w:rPr>
        <w:t>S</w:t>
      </w:r>
      <w:r>
        <w:rPr>
          <w:rFonts w:ascii="Times New Roman" w:hAnsi="Times New Roman" w:eastAsia="Times New Roman" w:cs="Times New Roman"/>
          <w:sz w:val="15"/>
          <w:szCs w:val="15"/>
          <w:position w:val="-1"/>
        </w:rPr>
        <w:t>4-1</w:t>
      </w:r>
      <w:r>
        <w:rPr>
          <w:rFonts w:ascii="Times New Roman" w:hAnsi="Times New Roman" w:eastAsia="Times New Roman" w:cs="Times New Roman"/>
          <w:sz w:val="15"/>
          <w:szCs w:val="15"/>
          <w:spacing w:val="-1"/>
          <w:position w:val="-1"/>
        </w:rPr>
        <w:t xml:space="preserve"> </w:t>
      </w:r>
      <w:r>
        <w:rPr>
          <w:rFonts w:ascii="SimSun" w:hAnsi="SimSun" w:eastAsia="SimSun" w:cs="SimSun"/>
          <w:sz w:val="24"/>
          <w:szCs w:val="24"/>
          <w:spacing w:val="-12"/>
        </w:rPr>
        <w:t>），</w:t>
      </w:r>
      <w:r>
        <w:rPr>
          <w:rFonts w:ascii="SimSun" w:hAnsi="SimSun" w:eastAsia="SimSun" w:cs="SimSun"/>
          <w:sz w:val="24"/>
          <w:szCs w:val="24"/>
          <w:spacing w:val="-1"/>
        </w:rPr>
        <w:t>主要成分为纸张、食物残</w:t>
      </w:r>
      <w:r>
        <w:rPr>
          <w:rFonts w:ascii="SimSun" w:hAnsi="SimSun" w:eastAsia="SimSun" w:cs="SimSun"/>
          <w:sz w:val="24"/>
          <w:szCs w:val="24"/>
          <w:spacing w:val="1"/>
        </w:rPr>
        <w:t xml:space="preserve"> </w:t>
      </w:r>
      <w:r>
        <w:rPr>
          <w:rFonts w:ascii="SimSun" w:hAnsi="SimSun" w:eastAsia="SimSun" w:cs="SimSun"/>
          <w:sz w:val="24"/>
          <w:szCs w:val="24"/>
          <w:spacing w:val="-1"/>
        </w:rPr>
        <w:t>渣等，在厂区内集中收集，定期交由当地环卫部门处理。</w:t>
      </w:r>
    </w:p>
    <w:p>
      <w:pPr>
        <w:ind w:left="8" w:right="53" w:firstLine="479"/>
        <w:spacing w:before="182" w:line="324" w:lineRule="auto"/>
        <w:rPr>
          <w:rFonts w:ascii="SimSun" w:hAnsi="SimSun" w:eastAsia="SimSun" w:cs="SimSun"/>
          <w:sz w:val="24"/>
          <w:szCs w:val="24"/>
        </w:rPr>
      </w:pPr>
      <w:r>
        <w:rPr>
          <w:rFonts w:ascii="SimSun" w:hAnsi="SimSun" w:eastAsia="SimSun" w:cs="SimSun"/>
          <w:sz w:val="24"/>
          <w:szCs w:val="24"/>
          <w:spacing w:val="-2"/>
        </w:rPr>
        <w:t>②</w:t>
      </w:r>
      <w:r>
        <w:rPr>
          <w:rFonts w:ascii="Times New Roman" w:hAnsi="Times New Roman" w:eastAsia="Times New Roman" w:cs="Times New Roman"/>
          <w:sz w:val="24"/>
          <w:szCs w:val="24"/>
          <w:spacing w:val="-2"/>
        </w:rPr>
        <w:t>RO </w:t>
      </w:r>
      <w:r>
        <w:rPr>
          <w:rFonts w:ascii="SimSun" w:hAnsi="SimSun" w:eastAsia="SimSun" w:cs="SimSun"/>
          <w:sz w:val="24"/>
          <w:szCs w:val="24"/>
          <w:spacing w:val="-2"/>
        </w:rPr>
        <w:t>膜组件：锅炉房配置了</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套反渗透纯</w:t>
      </w:r>
      <w:r>
        <w:rPr>
          <w:rFonts w:ascii="SimSun" w:hAnsi="SimSun" w:eastAsia="SimSun" w:cs="SimSun"/>
          <w:sz w:val="24"/>
          <w:szCs w:val="24"/>
          <w:spacing w:val="-3"/>
        </w:rPr>
        <w:t>水制备装置，其工艺流程为：原水</w:t>
      </w:r>
      <w:r>
        <w:rPr>
          <w:rFonts w:ascii="SimSun" w:hAnsi="SimSun" w:eastAsia="SimSun" w:cs="SimSun"/>
          <w:sz w:val="24"/>
          <w:szCs w:val="24"/>
        </w:rPr>
        <w:t xml:space="preserve"> </w:t>
      </w:r>
      <w:r>
        <w:rPr>
          <w:rFonts w:ascii="SimSun" w:hAnsi="SimSun" w:eastAsia="SimSun" w:cs="SimSun"/>
          <w:sz w:val="24"/>
          <w:szCs w:val="24"/>
          <w:spacing w:val="2"/>
        </w:rPr>
        <w:t>箱</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原水泵</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45"/>
        </w:rPr>
        <w:t xml:space="preserve"> </w:t>
      </w:r>
      <w:r>
        <w:rPr>
          <w:rFonts w:ascii="SimSun" w:hAnsi="SimSun" w:eastAsia="SimSun" w:cs="SimSun"/>
          <w:sz w:val="24"/>
          <w:szCs w:val="24"/>
          <w:spacing w:val="2"/>
        </w:rPr>
        <w:t>机械过滤</w:t>
      </w:r>
      <w:r>
        <w:rPr>
          <w:rFonts w:ascii="Times New Roman" w:hAnsi="Times New Roman" w:eastAsia="Times New Roman" w:cs="Times New Roman"/>
          <w:sz w:val="24"/>
          <w:szCs w:val="24"/>
          <w:spacing w:val="2"/>
        </w:rPr>
        <w:t>→</w:t>
      </w:r>
      <w:r>
        <w:rPr>
          <w:rFonts w:ascii="SimSun" w:hAnsi="SimSun" w:eastAsia="SimSun" w:cs="SimSun"/>
          <w:sz w:val="24"/>
          <w:szCs w:val="24"/>
          <w:spacing w:val="2"/>
        </w:rPr>
        <w:t>精密过滤</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rPr>
        <w:t>RO</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2"/>
        </w:rPr>
        <w:t>高压泵</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45"/>
        </w:rPr>
        <w:t xml:space="preserve"> </w:t>
      </w:r>
      <w:r>
        <w:rPr>
          <w:rFonts w:ascii="SimSun" w:hAnsi="SimSun" w:eastAsia="SimSun" w:cs="SimSun"/>
          <w:sz w:val="24"/>
          <w:szCs w:val="24"/>
          <w:spacing w:val="2"/>
        </w:rPr>
        <w:t>反渗透装置</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43"/>
        </w:rPr>
        <w:t xml:space="preserve"> </w:t>
      </w:r>
      <w:r>
        <w:rPr>
          <w:rFonts w:ascii="SimSun" w:hAnsi="SimSun" w:eastAsia="SimSun" w:cs="SimSun"/>
          <w:sz w:val="24"/>
          <w:szCs w:val="24"/>
          <w:spacing w:val="2"/>
        </w:rPr>
        <w:t>纯水水箱</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41"/>
        </w:rPr>
        <w:t xml:space="preserve"> </w:t>
      </w:r>
      <w:r>
        <w:rPr>
          <w:rFonts w:ascii="SimSun" w:hAnsi="SimSun" w:eastAsia="SimSun" w:cs="SimSun"/>
          <w:sz w:val="24"/>
          <w:szCs w:val="24"/>
          <w:spacing w:val="2"/>
        </w:rPr>
        <w:t>纯水</w:t>
      </w:r>
      <w:r>
        <w:rPr>
          <w:rFonts w:ascii="SimSun" w:hAnsi="SimSun" w:eastAsia="SimSun" w:cs="SimSun"/>
          <w:sz w:val="24"/>
          <w:szCs w:val="24"/>
        </w:rPr>
        <w:t xml:space="preserve"> </w:t>
      </w:r>
      <w:r>
        <w:rPr>
          <w:rFonts w:ascii="SimSun" w:hAnsi="SimSun" w:eastAsia="SimSun" w:cs="SimSun"/>
          <w:sz w:val="24"/>
          <w:szCs w:val="24"/>
          <w:spacing w:val="-1"/>
        </w:rPr>
        <w:t>泵</w:t>
      </w:r>
      <w:r>
        <w:rPr>
          <w:rFonts w:ascii="Times New Roman" w:hAnsi="Times New Roman" w:eastAsia="Times New Roman" w:cs="Times New Roman"/>
          <w:sz w:val="24"/>
          <w:szCs w:val="24"/>
          <w:spacing w:val="-1"/>
        </w:rPr>
        <w:t>→</w:t>
      </w:r>
      <w:r>
        <w:rPr>
          <w:rFonts w:ascii="SimSun" w:hAnsi="SimSun" w:eastAsia="SimSun" w:cs="SimSun"/>
          <w:sz w:val="24"/>
          <w:szCs w:val="24"/>
          <w:spacing w:val="-1"/>
        </w:rPr>
        <w:t>蒸汽锅炉。纯水制备装置过滤器、</w:t>
      </w:r>
      <w:r>
        <w:rPr>
          <w:rFonts w:ascii="Times New Roman" w:hAnsi="Times New Roman" w:eastAsia="Times New Roman" w:cs="Times New Roman"/>
          <w:sz w:val="24"/>
          <w:szCs w:val="24"/>
          <w:spacing w:val="-1"/>
        </w:rPr>
        <w:t>RO </w:t>
      </w:r>
      <w:r>
        <w:rPr>
          <w:rFonts w:ascii="SimSun" w:hAnsi="SimSun" w:eastAsia="SimSun" w:cs="SimSun"/>
          <w:sz w:val="24"/>
          <w:szCs w:val="24"/>
          <w:spacing w:val="-1"/>
        </w:rPr>
        <w:t>膜组</w:t>
      </w:r>
      <w:r>
        <w:rPr>
          <w:rFonts w:ascii="SimSun" w:hAnsi="SimSun" w:eastAsia="SimSun" w:cs="SimSun"/>
          <w:sz w:val="24"/>
          <w:szCs w:val="24"/>
          <w:spacing w:val="-2"/>
        </w:rPr>
        <w:t>件需要定期更换，产生废过滤器、</w:t>
      </w:r>
      <w:r>
        <w:rPr>
          <w:rFonts w:ascii="SimSun" w:hAnsi="SimSun" w:eastAsia="SimSun" w:cs="SimSun"/>
          <w:sz w:val="24"/>
          <w:szCs w:val="24"/>
        </w:rPr>
        <w:t xml:space="preserve"> </w:t>
      </w:r>
      <w:r>
        <w:rPr>
          <w:rFonts w:ascii="SimSun" w:hAnsi="SimSun" w:eastAsia="SimSun" w:cs="SimSun"/>
          <w:sz w:val="24"/>
          <w:szCs w:val="24"/>
          <w:spacing w:val="-3"/>
        </w:rPr>
        <w:t>废</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RO </w:t>
      </w:r>
      <w:r>
        <w:rPr>
          <w:rFonts w:ascii="SimSun" w:hAnsi="SimSun" w:eastAsia="SimSun" w:cs="SimSun"/>
          <w:sz w:val="24"/>
          <w:szCs w:val="24"/>
          <w:spacing w:val="-3"/>
        </w:rPr>
        <w:t>膜组件（</w:t>
      </w:r>
      <w:r>
        <w:rPr>
          <w:rFonts w:ascii="Times New Roman" w:hAnsi="Times New Roman" w:eastAsia="Times New Roman" w:cs="Times New Roman"/>
          <w:sz w:val="24"/>
          <w:szCs w:val="24"/>
          <w:spacing w:val="-3"/>
        </w:rPr>
        <w:t>S</w:t>
      </w:r>
      <w:r>
        <w:rPr>
          <w:rFonts w:ascii="Times New Roman" w:hAnsi="Times New Roman" w:eastAsia="Times New Roman" w:cs="Times New Roman"/>
          <w:sz w:val="15"/>
          <w:szCs w:val="15"/>
          <w:spacing w:val="-3"/>
          <w:position w:val="-1"/>
        </w:rPr>
        <w:t>4-2 </w:t>
      </w:r>
      <w:r>
        <w:rPr>
          <w:rFonts w:ascii="SimSun" w:hAnsi="SimSun" w:eastAsia="SimSun" w:cs="SimSun"/>
          <w:sz w:val="24"/>
          <w:szCs w:val="24"/>
          <w:spacing w:val="10"/>
        </w:rPr>
        <w:t>），</w:t>
      </w:r>
      <w:r>
        <w:rPr>
          <w:rFonts w:ascii="SimSun" w:hAnsi="SimSun" w:eastAsia="SimSun" w:cs="SimSun"/>
          <w:sz w:val="24"/>
          <w:szCs w:val="24"/>
          <w:spacing w:val="-3"/>
        </w:rPr>
        <w:t>由其生产厂家回收。</w:t>
      </w:r>
    </w:p>
    <w:p>
      <w:pPr>
        <w:ind w:left="9" w:right="59" w:firstLine="478"/>
        <w:spacing w:before="184" w:line="312" w:lineRule="auto"/>
        <w:rPr>
          <w:rFonts w:ascii="SimSun" w:hAnsi="SimSun" w:eastAsia="SimSun" w:cs="SimSun"/>
          <w:sz w:val="24"/>
          <w:szCs w:val="24"/>
        </w:rPr>
      </w:pPr>
      <w:r>
        <w:rPr>
          <w:rFonts w:ascii="SimSun" w:hAnsi="SimSun" w:eastAsia="SimSun" w:cs="SimSun"/>
          <w:sz w:val="24"/>
          <w:szCs w:val="24"/>
          <w:spacing w:val="-1"/>
        </w:rPr>
        <w:t>③锅炉草木灰：生物质锅炉运行过程中产生锅炉草木灰（</w:t>
      </w:r>
      <w:r>
        <w:rPr>
          <w:rFonts w:ascii="Times New Roman" w:hAnsi="Times New Roman" w:eastAsia="Times New Roman" w:cs="Times New Roman"/>
          <w:sz w:val="24"/>
          <w:szCs w:val="24"/>
          <w:spacing w:val="-1"/>
        </w:rPr>
        <w:t>S</w:t>
      </w:r>
      <w:r>
        <w:rPr>
          <w:rFonts w:ascii="Times New Roman" w:hAnsi="Times New Roman" w:eastAsia="Times New Roman" w:cs="Times New Roman"/>
          <w:sz w:val="15"/>
          <w:szCs w:val="15"/>
          <w:spacing w:val="-1"/>
          <w:position w:val="-1"/>
        </w:rPr>
        <w:t>4-3 </w:t>
      </w:r>
      <w:r>
        <w:rPr>
          <w:rFonts w:ascii="SimSun" w:hAnsi="SimSun" w:eastAsia="SimSun" w:cs="SimSun"/>
          <w:sz w:val="24"/>
          <w:szCs w:val="24"/>
          <w:spacing w:val="-1"/>
        </w:rPr>
        <w:t>）排放，包含灰</w:t>
      </w:r>
      <w:r>
        <w:rPr>
          <w:rFonts w:ascii="SimSun" w:hAnsi="SimSun" w:eastAsia="SimSun" w:cs="SimSun"/>
          <w:sz w:val="24"/>
          <w:szCs w:val="24"/>
        </w:rPr>
        <w:t xml:space="preserve"> </w:t>
      </w:r>
      <w:r>
        <w:rPr>
          <w:rFonts w:ascii="SimSun" w:hAnsi="SimSun" w:eastAsia="SimSun" w:cs="SimSun"/>
          <w:sz w:val="24"/>
          <w:szCs w:val="24"/>
          <w:spacing w:val="3"/>
        </w:rPr>
        <w:t>渣和锅炉烟气除尘灰两部分，在灰渣清理和卸灰后袋装，</w:t>
      </w:r>
      <w:r>
        <w:rPr>
          <w:rFonts w:ascii="SimSun" w:hAnsi="SimSun" w:eastAsia="SimSun" w:cs="SimSun"/>
          <w:sz w:val="24"/>
          <w:szCs w:val="24"/>
          <w:spacing w:val="2"/>
        </w:rPr>
        <w:t>在一般固体废物贮存库</w:t>
      </w:r>
      <w:r>
        <w:rPr>
          <w:rFonts w:ascii="SimSun" w:hAnsi="SimSun" w:eastAsia="SimSun" w:cs="SimSun"/>
          <w:sz w:val="24"/>
          <w:szCs w:val="24"/>
        </w:rPr>
        <w:t xml:space="preserve"> </w:t>
      </w:r>
      <w:r>
        <w:rPr>
          <w:rFonts w:ascii="SimSun" w:hAnsi="SimSun" w:eastAsia="SimSun" w:cs="SimSun"/>
          <w:sz w:val="24"/>
          <w:szCs w:val="24"/>
          <w:spacing w:val="-1"/>
        </w:rPr>
        <w:t>暂存，定期外售用作肥料还田。</w:t>
      </w:r>
    </w:p>
    <w:p>
      <w:pPr>
        <w:ind w:left="12" w:right="61" w:firstLine="475"/>
        <w:spacing w:before="184" w:line="289" w:lineRule="auto"/>
        <w:rPr>
          <w:rFonts w:ascii="SimSun" w:hAnsi="SimSun" w:eastAsia="SimSun" w:cs="SimSun"/>
          <w:sz w:val="24"/>
          <w:szCs w:val="24"/>
        </w:rPr>
      </w:pPr>
      <w:r>
        <w:rPr>
          <w:rFonts w:ascii="SimSun" w:hAnsi="SimSun" w:eastAsia="SimSun" w:cs="SimSun"/>
          <w:sz w:val="24"/>
          <w:szCs w:val="24"/>
          <w:spacing w:val="-1"/>
        </w:rPr>
        <w:t>④废布袋：布袋除尘器定期更换，产生废布袋除尘器（</w:t>
      </w:r>
      <w:r>
        <w:rPr>
          <w:rFonts w:ascii="Times New Roman" w:hAnsi="Times New Roman" w:eastAsia="Times New Roman" w:cs="Times New Roman"/>
          <w:sz w:val="24"/>
          <w:szCs w:val="24"/>
          <w:spacing w:val="-1"/>
        </w:rPr>
        <w:t>S</w:t>
      </w:r>
      <w:r>
        <w:rPr>
          <w:rFonts w:ascii="Times New Roman" w:hAnsi="Times New Roman" w:eastAsia="Times New Roman" w:cs="Times New Roman"/>
          <w:sz w:val="15"/>
          <w:szCs w:val="15"/>
          <w:spacing w:val="-1"/>
          <w:position w:val="-1"/>
        </w:rPr>
        <w:t>4-4 </w:t>
      </w:r>
      <w:r>
        <w:rPr>
          <w:rFonts w:ascii="SimSun" w:hAnsi="SimSun" w:eastAsia="SimSun" w:cs="SimSun"/>
          <w:sz w:val="24"/>
          <w:szCs w:val="24"/>
          <w:spacing w:val="1"/>
        </w:rPr>
        <w:t>），</w:t>
      </w:r>
      <w:r>
        <w:rPr>
          <w:rFonts w:ascii="SimSun" w:hAnsi="SimSun" w:eastAsia="SimSun" w:cs="SimSun"/>
          <w:sz w:val="24"/>
          <w:szCs w:val="24"/>
          <w:spacing w:val="-1"/>
        </w:rPr>
        <w:t>由</w:t>
      </w:r>
      <w:r>
        <w:rPr>
          <w:rFonts w:ascii="SimSun" w:hAnsi="SimSun" w:eastAsia="SimSun" w:cs="SimSun"/>
          <w:sz w:val="24"/>
          <w:szCs w:val="24"/>
          <w:spacing w:val="-2"/>
        </w:rPr>
        <w:t>除尘器厂家</w:t>
      </w:r>
      <w:r>
        <w:rPr>
          <w:rFonts w:ascii="SimSun" w:hAnsi="SimSun" w:eastAsia="SimSun" w:cs="SimSun"/>
          <w:sz w:val="24"/>
          <w:szCs w:val="24"/>
          <w:spacing w:val="1"/>
        </w:rPr>
        <w:t xml:space="preserve"> </w:t>
      </w:r>
      <w:r>
        <w:rPr>
          <w:rFonts w:ascii="SimSun" w:hAnsi="SimSun" w:eastAsia="SimSun" w:cs="SimSun"/>
          <w:sz w:val="24"/>
          <w:szCs w:val="24"/>
          <w:spacing w:val="-3"/>
        </w:rPr>
        <w:t>更换后运走。</w:t>
      </w:r>
    </w:p>
    <w:p>
      <w:pPr>
        <w:ind w:left="11" w:firstLine="476"/>
        <w:spacing w:before="181" w:line="313" w:lineRule="auto"/>
        <w:rPr>
          <w:rFonts w:ascii="SimSun" w:hAnsi="SimSun" w:eastAsia="SimSun" w:cs="SimSun"/>
          <w:sz w:val="24"/>
          <w:szCs w:val="24"/>
        </w:rPr>
      </w:pPr>
      <w:r>
        <w:rPr>
          <w:rFonts w:ascii="SimSun" w:hAnsi="SimSun" w:eastAsia="SimSun" w:cs="SimSun"/>
          <w:sz w:val="24"/>
          <w:szCs w:val="24"/>
          <w:spacing w:val="4"/>
        </w:rPr>
        <w:t>⑤废矿物油：项目运行中的其他生产设备、润滑装置等在进行</w:t>
      </w:r>
      <w:r>
        <w:rPr>
          <w:rFonts w:ascii="SimSun" w:hAnsi="SimSun" w:eastAsia="SimSun" w:cs="SimSun"/>
          <w:sz w:val="24"/>
          <w:szCs w:val="24"/>
          <w:spacing w:val="3"/>
        </w:rPr>
        <w:t>保养、检修，</w:t>
      </w:r>
      <w:r>
        <w:rPr>
          <w:rFonts w:ascii="SimSun" w:hAnsi="SimSun" w:eastAsia="SimSun" w:cs="SimSun"/>
          <w:sz w:val="24"/>
          <w:szCs w:val="24"/>
        </w:rPr>
        <w:t xml:space="preserve"> </w:t>
      </w:r>
      <w:r>
        <w:rPr>
          <w:rFonts w:ascii="SimSun" w:hAnsi="SimSun" w:eastAsia="SimSun" w:cs="SimSun"/>
          <w:sz w:val="24"/>
          <w:szCs w:val="24"/>
          <w:spacing w:val="-4"/>
        </w:rPr>
        <w:t>润滑油更换等过程中会产生废矿物油（</w:t>
      </w:r>
      <w:r>
        <w:rPr>
          <w:rFonts w:ascii="Times New Roman" w:hAnsi="Times New Roman" w:eastAsia="Times New Roman" w:cs="Times New Roman"/>
          <w:sz w:val="24"/>
          <w:szCs w:val="24"/>
          <w:spacing w:val="-4"/>
        </w:rPr>
        <w:t>S</w:t>
      </w:r>
      <w:r>
        <w:rPr>
          <w:rFonts w:ascii="Times New Roman" w:hAnsi="Times New Roman" w:eastAsia="Times New Roman" w:cs="Times New Roman"/>
          <w:sz w:val="15"/>
          <w:szCs w:val="15"/>
          <w:spacing w:val="-4"/>
          <w:position w:val="-1"/>
        </w:rPr>
        <w:t>4-5 </w:t>
      </w:r>
      <w:r>
        <w:rPr>
          <w:rFonts w:ascii="SimSun" w:hAnsi="SimSun" w:eastAsia="SimSun" w:cs="SimSun"/>
          <w:sz w:val="24"/>
          <w:szCs w:val="24"/>
          <w:spacing w:val="-34"/>
        </w:rPr>
        <w:t>），</w:t>
      </w:r>
      <w:r>
        <w:rPr>
          <w:rFonts w:ascii="SimSun" w:hAnsi="SimSun" w:eastAsia="SimSun" w:cs="SimSun"/>
          <w:sz w:val="24"/>
          <w:szCs w:val="24"/>
          <w:spacing w:val="-4"/>
        </w:rPr>
        <w:t>属于危险废物，暂存于危废暂存间，</w:t>
      </w:r>
      <w:r>
        <w:rPr>
          <w:rFonts w:ascii="SimSun" w:hAnsi="SimSun" w:eastAsia="SimSun" w:cs="SimSun"/>
          <w:sz w:val="24"/>
          <w:szCs w:val="24"/>
          <w:spacing w:val="1"/>
        </w:rPr>
        <w:t xml:space="preserve"> </w:t>
      </w:r>
      <w:r>
        <w:rPr>
          <w:rFonts w:ascii="SimSun" w:hAnsi="SimSun" w:eastAsia="SimSun" w:cs="SimSun"/>
          <w:sz w:val="24"/>
          <w:szCs w:val="24"/>
          <w:spacing w:val="-1"/>
        </w:rPr>
        <w:t>定期委托有资质单位处理。</w:t>
      </w:r>
    </w:p>
    <w:p>
      <w:pPr>
        <w:ind w:left="12" w:right="61" w:firstLine="475"/>
        <w:spacing w:before="179" w:line="316" w:lineRule="auto"/>
        <w:rPr>
          <w:rFonts w:ascii="SimSun" w:hAnsi="SimSun" w:eastAsia="SimSun" w:cs="SimSun"/>
          <w:sz w:val="24"/>
          <w:szCs w:val="24"/>
        </w:rPr>
      </w:pPr>
      <w:r>
        <w:rPr>
          <w:rFonts w:ascii="SimSun" w:hAnsi="SimSun" w:eastAsia="SimSun" w:cs="SimSun"/>
          <w:sz w:val="24"/>
          <w:szCs w:val="24"/>
          <w:spacing w:val="3"/>
        </w:rPr>
        <w:t>⑥废油桶：本项目生产过程中生产设备检修、保养、维护使用润</w:t>
      </w:r>
      <w:r>
        <w:rPr>
          <w:rFonts w:ascii="SimSun" w:hAnsi="SimSun" w:eastAsia="SimSun" w:cs="SimSun"/>
          <w:sz w:val="24"/>
          <w:szCs w:val="24"/>
          <w:spacing w:val="2"/>
        </w:rPr>
        <w:t>滑油、液压</w:t>
      </w:r>
      <w:r>
        <w:rPr>
          <w:rFonts w:ascii="SimSun" w:hAnsi="SimSun" w:eastAsia="SimSun" w:cs="SimSun"/>
          <w:sz w:val="24"/>
          <w:szCs w:val="24"/>
        </w:rPr>
        <w:t xml:space="preserve"> </w:t>
      </w:r>
      <w:r>
        <w:rPr>
          <w:rFonts w:ascii="SimSun" w:hAnsi="SimSun" w:eastAsia="SimSun" w:cs="SimSun"/>
          <w:sz w:val="24"/>
          <w:szCs w:val="24"/>
        </w:rPr>
        <w:t>油等产生废油桶（</w:t>
      </w:r>
      <w:r>
        <w:rPr>
          <w:rFonts w:ascii="Times New Roman" w:hAnsi="Times New Roman" w:eastAsia="Times New Roman" w:cs="Times New Roman"/>
          <w:sz w:val="24"/>
          <w:szCs w:val="24"/>
        </w:rPr>
        <w:t>S</w:t>
      </w:r>
      <w:r>
        <w:rPr>
          <w:rFonts w:ascii="Times New Roman" w:hAnsi="Times New Roman" w:eastAsia="Times New Roman" w:cs="Times New Roman"/>
          <w:sz w:val="15"/>
          <w:szCs w:val="15"/>
          <w:position w:val="-1"/>
        </w:rPr>
        <w:t>4-6 </w:t>
      </w:r>
      <w:r>
        <w:rPr>
          <w:rFonts w:ascii="SimSun" w:hAnsi="SimSun" w:eastAsia="SimSun" w:cs="SimSun"/>
          <w:sz w:val="24"/>
          <w:szCs w:val="24"/>
          <w:spacing w:val="-12"/>
        </w:rPr>
        <w:t>），</w:t>
      </w:r>
      <w:r>
        <w:rPr>
          <w:rFonts w:ascii="SimSun" w:hAnsi="SimSun" w:eastAsia="SimSun" w:cs="SimSun"/>
          <w:sz w:val="24"/>
          <w:szCs w:val="24"/>
        </w:rPr>
        <w:t>属于危险废物</w:t>
      </w:r>
      <w:r>
        <w:rPr>
          <w:rFonts w:ascii="SimSun" w:hAnsi="SimSun" w:eastAsia="SimSun" w:cs="SimSun"/>
          <w:sz w:val="24"/>
          <w:szCs w:val="24"/>
          <w:spacing w:val="-1"/>
        </w:rPr>
        <w:t>，暂存于危废暂存间，委托有资质单位处</w:t>
      </w:r>
      <w:r>
        <w:rPr>
          <w:rFonts w:ascii="SimSun" w:hAnsi="SimSun" w:eastAsia="SimSun" w:cs="SimSun"/>
          <w:sz w:val="24"/>
          <w:szCs w:val="24"/>
          <w:spacing w:val="1"/>
        </w:rPr>
        <w:t xml:space="preserve"> </w:t>
      </w:r>
      <w:r>
        <w:rPr>
          <w:rFonts w:ascii="SimSun" w:hAnsi="SimSun" w:eastAsia="SimSun" w:cs="SimSun"/>
          <w:sz w:val="24"/>
          <w:szCs w:val="24"/>
          <w:spacing w:val="-7"/>
        </w:rPr>
        <w:t>理。</w:t>
      </w:r>
    </w:p>
    <w:p>
      <w:pPr>
        <w:ind w:left="12"/>
        <w:spacing w:before="334" w:line="221" w:lineRule="auto"/>
        <w:outlineLvl w:val="1"/>
        <w:rPr>
          <w:rFonts w:ascii="SimHei" w:hAnsi="SimHei" w:eastAsia="SimHei" w:cs="SimHei"/>
          <w:sz w:val="30"/>
          <w:szCs w:val="30"/>
        </w:rPr>
      </w:pPr>
      <w:bookmarkStart w:name="bookmark58" w:id="72"/>
      <w:bookmarkEnd w:id="72"/>
      <w:r>
        <w:rPr>
          <w:rFonts w:ascii="Times New Roman" w:hAnsi="Times New Roman" w:eastAsia="Times New Roman" w:cs="Times New Roman"/>
          <w:sz w:val="30"/>
          <w:szCs w:val="30"/>
          <w:spacing w:val="-1"/>
        </w:rPr>
        <w:t>3.3 </w:t>
      </w:r>
      <w:r>
        <w:rPr>
          <w:rFonts w:ascii="SimHei" w:hAnsi="SimHei" w:eastAsia="SimHei" w:cs="SimHei"/>
          <w:sz w:val="30"/>
          <w:szCs w:val="30"/>
          <w:spacing w:val="-1"/>
        </w:rPr>
        <w:t>主要污染源及污染物治理措施</w:t>
      </w:r>
    </w:p>
    <w:p>
      <w:pPr>
        <w:pStyle w:val="BodyText"/>
        <w:spacing w:line="283" w:lineRule="auto"/>
        <w:rPr/>
      </w:pPr>
      <w:r/>
    </w:p>
    <w:p>
      <w:pPr>
        <w:ind w:left="12"/>
        <w:spacing w:before="92" w:line="222" w:lineRule="auto"/>
        <w:outlineLvl w:val="2"/>
        <w:rPr>
          <w:rFonts w:ascii="SimHei" w:hAnsi="SimHei" w:eastAsia="SimHei" w:cs="SimHei"/>
          <w:sz w:val="28"/>
          <w:szCs w:val="28"/>
        </w:rPr>
      </w:pPr>
      <w:bookmarkStart w:name="bookmark59" w:id="73"/>
      <w:bookmarkEnd w:id="73"/>
      <w:r>
        <w:rPr>
          <w:rFonts w:ascii="Times New Roman" w:hAnsi="Times New Roman" w:eastAsia="Times New Roman" w:cs="Times New Roman"/>
          <w:sz w:val="28"/>
          <w:szCs w:val="28"/>
          <w:spacing w:val="-1"/>
        </w:rPr>
        <w:t>3.3.1 </w:t>
      </w:r>
      <w:r>
        <w:rPr>
          <w:rFonts w:ascii="SimHei" w:hAnsi="SimHei" w:eastAsia="SimHei" w:cs="SimHei"/>
          <w:sz w:val="28"/>
          <w:szCs w:val="28"/>
          <w:spacing w:val="-1"/>
        </w:rPr>
        <w:t>施工期污染来源及治理措施</w:t>
      </w:r>
    </w:p>
    <w:p>
      <w:pPr>
        <w:pStyle w:val="BodyText"/>
        <w:spacing w:line="243" w:lineRule="auto"/>
        <w:rPr/>
      </w:pPr>
      <w:r/>
    </w:p>
    <w:p>
      <w:pPr>
        <w:ind w:left="490"/>
        <w:spacing w:before="78" w:line="219" w:lineRule="auto"/>
        <w:rPr>
          <w:rFonts w:ascii="SimSun" w:hAnsi="SimSun" w:eastAsia="SimSun" w:cs="SimSun"/>
          <w:sz w:val="24"/>
          <w:szCs w:val="24"/>
        </w:rPr>
      </w:pPr>
      <w:r>
        <w:rPr>
          <w:rFonts w:ascii="SimSun" w:hAnsi="SimSun" w:eastAsia="SimSun" w:cs="SimSun"/>
          <w:sz w:val="24"/>
          <w:szCs w:val="24"/>
          <w:spacing w:val="3"/>
        </w:rPr>
        <w:t>本项目位于锡林郭勒盟正镶白旗明安图镇乌宁巴图西街，主要施</w:t>
      </w:r>
      <w:r>
        <w:rPr>
          <w:rFonts w:ascii="SimSun" w:hAnsi="SimSun" w:eastAsia="SimSun" w:cs="SimSun"/>
          <w:sz w:val="24"/>
          <w:szCs w:val="24"/>
          <w:spacing w:val="2"/>
        </w:rPr>
        <w:t>工内容包括</w:t>
      </w:r>
    </w:p>
    <w:p>
      <w:pPr>
        <w:pStyle w:val="BodyText"/>
        <w:spacing w:line="253" w:lineRule="auto"/>
        <w:rPr/>
      </w:pPr>
      <w:r/>
    </w:p>
    <w:p>
      <w:pPr>
        <w:pStyle w:val="BodyText"/>
        <w:spacing w:line="254" w:lineRule="auto"/>
        <w:rPr/>
      </w:pPr>
      <w:r/>
    </w:p>
    <w:p>
      <w:pPr>
        <w:ind w:left="5312"/>
        <w:spacing w:before="63" w:line="227" w:lineRule="auto"/>
        <w:rPr>
          <w:rFonts w:ascii="SimSun" w:hAnsi="SimSun" w:eastAsia="SimSun" w:cs="SimSun"/>
          <w:sz w:val="19"/>
          <w:szCs w:val="19"/>
        </w:rPr>
      </w:pPr>
      <w:r>
        <w:pict>
          <v:shape id="_x0000_s428" style="position:absolute;margin-left:207.658pt;margin-top:2.10381pt;mso-position-vertical-relative:text;mso-position-horizontal-relative:text;width:58.6pt;height:13.75pt;z-index:251847680;"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1"/>
                      <w:position w:val="2"/>
                    </w:rPr>
                    <w:t>84        </w:t>
                  </w:r>
                  <w:r>
                    <w:rPr>
                      <w:rFonts w:ascii="SimSun" w:hAnsi="SimSun" w:eastAsia="SimSun" w:cs="SimSun"/>
                      <w:sz w:val="19"/>
                      <w:szCs w:val="19"/>
                      <w:spacing w:val="1"/>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16"/>
          <w:pgSz w:w="11907" w:h="16840"/>
          <w:pgMar w:top="1567" w:right="1640" w:bottom="400" w:left="1701" w:header="1221" w:footer="0" w:gutter="0"/>
        </w:sectPr>
        <w:rPr>
          <w:rFonts w:ascii="SimSun" w:hAnsi="SimSun" w:eastAsia="SimSun" w:cs="SimSun"/>
          <w:sz w:val="19"/>
          <w:szCs w:val="19"/>
        </w:rPr>
      </w:pPr>
    </w:p>
    <w:p>
      <w:pPr>
        <w:ind w:left="111" w:right="42" w:firstLine="2"/>
        <w:spacing w:before="187" w:line="359" w:lineRule="auto"/>
        <w:jc w:val="both"/>
        <w:rPr>
          <w:rFonts w:ascii="SimSun" w:hAnsi="SimSun" w:eastAsia="SimSun" w:cs="SimSun"/>
          <w:sz w:val="24"/>
          <w:szCs w:val="24"/>
        </w:rPr>
      </w:pPr>
      <w:r>
        <w:pict>
          <v:shape id="_x0000_s432" style="position:absolute;margin-left:85.05pt;margin-top:79.11pt;mso-position-vertical-relative:page;mso-position-horizontal-relative:page;width:425.25pt;height:0.75pt;z-index:251850752;" o:allowincell="f" fillcolor="#000000" filled="true" stroked="false" coordsize="8505,15" coordorigin="0,0" path="m,l8505,0l8505,14l0,14l0,0xe"/>
        </w:pict>
      </w:r>
      <w:r>
        <w:rPr>
          <w:rFonts w:ascii="SimSun" w:hAnsi="SimSun" w:eastAsia="SimSun" w:cs="SimSun"/>
          <w:sz w:val="24"/>
          <w:szCs w:val="24"/>
          <w:spacing w:val="3"/>
        </w:rPr>
        <w:t>生产车间、原辅料储存设施、办公生活区、一般固体</w:t>
      </w:r>
      <w:r>
        <w:rPr>
          <w:rFonts w:ascii="SimSun" w:hAnsi="SimSun" w:eastAsia="SimSun" w:cs="SimSun"/>
          <w:sz w:val="24"/>
          <w:szCs w:val="24"/>
          <w:spacing w:val="2"/>
        </w:rPr>
        <w:t>废物暂存间、危废暂存间等</w:t>
      </w:r>
      <w:r>
        <w:rPr>
          <w:rFonts w:ascii="SimSun" w:hAnsi="SimSun" w:eastAsia="SimSun" w:cs="SimSun"/>
          <w:sz w:val="24"/>
          <w:szCs w:val="24"/>
        </w:rPr>
        <w:t xml:space="preserve"> </w:t>
      </w:r>
      <w:r>
        <w:rPr>
          <w:rFonts w:ascii="SimSun" w:hAnsi="SimSun" w:eastAsia="SimSun" w:cs="SimSun"/>
          <w:sz w:val="24"/>
          <w:szCs w:val="24"/>
          <w:spacing w:val="1"/>
        </w:rPr>
        <w:t>建设（及改造</w:t>
      </w:r>
      <w:r>
        <w:rPr>
          <w:rFonts w:ascii="SimSun" w:hAnsi="SimSun" w:eastAsia="SimSun" w:cs="SimSun"/>
          <w:sz w:val="24"/>
          <w:szCs w:val="24"/>
          <w:spacing w:val="30"/>
        </w:rPr>
        <w:t>），</w:t>
      </w:r>
      <w:r>
        <w:rPr>
          <w:rFonts w:ascii="SimSun" w:hAnsi="SimSun" w:eastAsia="SimSun" w:cs="SimSun"/>
          <w:sz w:val="24"/>
          <w:szCs w:val="24"/>
          <w:spacing w:val="1"/>
        </w:rPr>
        <w:t>以及相关设备、管道的安装等，以上施工活动进行时，建材运</w:t>
      </w:r>
      <w:r>
        <w:rPr>
          <w:rFonts w:ascii="SimSun" w:hAnsi="SimSun" w:eastAsia="SimSun" w:cs="SimSun"/>
          <w:sz w:val="24"/>
          <w:szCs w:val="24"/>
        </w:rPr>
        <w:t xml:space="preserve"> </w:t>
      </w:r>
      <w:r>
        <w:rPr>
          <w:rFonts w:ascii="SimSun" w:hAnsi="SimSun" w:eastAsia="SimSun" w:cs="SimSun"/>
          <w:sz w:val="24"/>
          <w:szCs w:val="24"/>
          <w:spacing w:val="3"/>
        </w:rPr>
        <w:t>输、装卸及土建施工将会产生一定量的扬尘污染，同时伴</w:t>
      </w:r>
      <w:r>
        <w:rPr>
          <w:rFonts w:ascii="SimSun" w:hAnsi="SimSun" w:eastAsia="SimSun" w:cs="SimSun"/>
          <w:sz w:val="24"/>
          <w:szCs w:val="24"/>
          <w:spacing w:val="2"/>
        </w:rPr>
        <w:t>有较大的噪声，并会有</w:t>
      </w:r>
      <w:r>
        <w:rPr>
          <w:rFonts w:ascii="SimSun" w:hAnsi="SimSun" w:eastAsia="SimSun" w:cs="SimSun"/>
          <w:sz w:val="24"/>
          <w:szCs w:val="24"/>
        </w:rPr>
        <w:t xml:space="preserve"> </w:t>
      </w:r>
      <w:r>
        <w:rPr>
          <w:rFonts w:ascii="SimSun" w:hAnsi="SimSun" w:eastAsia="SimSun" w:cs="SimSun"/>
          <w:sz w:val="24"/>
          <w:szCs w:val="24"/>
          <w:spacing w:val="-2"/>
        </w:rPr>
        <w:t>建筑垃圾的堆放情况。但由于施工期较短，影响并不</w:t>
      </w:r>
      <w:r>
        <w:rPr>
          <w:rFonts w:ascii="SimSun" w:hAnsi="SimSun" w:eastAsia="SimSun" w:cs="SimSun"/>
          <w:sz w:val="24"/>
          <w:szCs w:val="24"/>
          <w:spacing w:val="-3"/>
        </w:rPr>
        <w:t>突出，且多为短期可逆影响，</w:t>
      </w:r>
      <w:r>
        <w:rPr>
          <w:rFonts w:ascii="SimSun" w:hAnsi="SimSun" w:eastAsia="SimSun" w:cs="SimSun"/>
          <w:sz w:val="24"/>
          <w:szCs w:val="24"/>
        </w:rPr>
        <w:t xml:space="preserve"> </w:t>
      </w:r>
      <w:r>
        <w:rPr>
          <w:rFonts w:ascii="SimSun" w:hAnsi="SimSun" w:eastAsia="SimSun" w:cs="SimSun"/>
          <w:sz w:val="24"/>
          <w:szCs w:val="24"/>
          <w:spacing w:val="-1"/>
        </w:rPr>
        <w:t>随着施工阶段的结束而消失，本项目施工阶段排污环节见表</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1"/>
        </w:rPr>
        <w:t>3.3-1</w:t>
      </w:r>
      <w:r>
        <w:rPr>
          <w:rFonts w:ascii="SimSun" w:hAnsi="SimSun" w:eastAsia="SimSun" w:cs="SimSun"/>
          <w:sz w:val="24"/>
          <w:szCs w:val="24"/>
          <w:spacing w:val="-1"/>
        </w:rPr>
        <w:t>。</w:t>
      </w:r>
    </w:p>
    <w:p>
      <w:pPr>
        <w:ind w:left="2336"/>
        <w:spacing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3.3-1      </w:t>
      </w:r>
      <w:r>
        <w:rPr>
          <w:rFonts w:ascii="SimSun" w:hAnsi="SimSun" w:eastAsia="SimSun" w:cs="SimSun"/>
          <w:sz w:val="24"/>
          <w:szCs w:val="24"/>
          <w:b/>
          <w:bCs/>
          <w:spacing w:val="-2"/>
        </w:rPr>
        <w:t>工程建设施工期排污环节表</w:t>
      </w:r>
    </w:p>
    <w:tbl>
      <w:tblPr>
        <w:tblStyle w:val="TableNormal"/>
        <w:tblW w:w="8526" w:type="dxa"/>
        <w:tblInd w:w="9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57"/>
        <w:gridCol w:w="2030"/>
        <w:gridCol w:w="3585"/>
        <w:gridCol w:w="1954"/>
      </w:tblGrid>
      <w:tr>
        <w:trPr>
          <w:trHeight w:val="281" w:hRule="atLeast"/>
        </w:trPr>
        <w:tc>
          <w:tcPr>
            <w:tcW w:w="957" w:type="dxa"/>
            <w:vAlign w:val="top"/>
          </w:tcPr>
          <w:p>
            <w:pPr>
              <w:pStyle w:val="TableText"/>
              <w:ind w:left="63"/>
              <w:spacing w:before="35" w:line="217" w:lineRule="auto"/>
              <w:rPr/>
            </w:pPr>
            <w:r>
              <w:rPr>
                <w:spacing w:val="7"/>
              </w:rPr>
              <w:t>影响类别</w:t>
            </w:r>
          </w:p>
        </w:tc>
        <w:tc>
          <w:tcPr>
            <w:tcW w:w="2030" w:type="dxa"/>
            <w:vAlign w:val="top"/>
          </w:tcPr>
          <w:p>
            <w:pPr>
              <w:pStyle w:val="TableText"/>
              <w:ind w:left="598"/>
              <w:spacing w:before="35" w:line="217" w:lineRule="auto"/>
              <w:rPr/>
            </w:pPr>
            <w:r>
              <w:rPr>
                <w:spacing w:val="7"/>
              </w:rPr>
              <w:t>影响环节</w:t>
            </w:r>
          </w:p>
        </w:tc>
        <w:tc>
          <w:tcPr>
            <w:tcW w:w="3585" w:type="dxa"/>
            <w:vAlign w:val="top"/>
          </w:tcPr>
          <w:p>
            <w:pPr>
              <w:pStyle w:val="TableText"/>
              <w:ind w:left="1376"/>
              <w:spacing w:before="35" w:line="217" w:lineRule="auto"/>
              <w:rPr/>
            </w:pPr>
            <w:r>
              <w:rPr>
                <w:spacing w:val="7"/>
              </w:rPr>
              <w:t>产生原因</w:t>
            </w:r>
          </w:p>
        </w:tc>
        <w:tc>
          <w:tcPr>
            <w:tcW w:w="1954" w:type="dxa"/>
            <w:vAlign w:val="top"/>
          </w:tcPr>
          <w:p>
            <w:pPr>
              <w:pStyle w:val="TableText"/>
              <w:ind w:left="457"/>
              <w:spacing w:before="35" w:line="217" w:lineRule="auto"/>
              <w:rPr/>
            </w:pPr>
            <w:r>
              <w:rPr>
                <w:spacing w:val="7"/>
              </w:rPr>
              <w:t>主要污染物</w:t>
            </w:r>
          </w:p>
        </w:tc>
      </w:tr>
      <w:tr>
        <w:trPr>
          <w:trHeight w:val="548" w:hRule="atLeast"/>
        </w:trPr>
        <w:tc>
          <w:tcPr>
            <w:tcW w:w="957" w:type="dxa"/>
            <w:vAlign w:val="top"/>
          </w:tcPr>
          <w:p>
            <w:pPr>
              <w:pStyle w:val="TableText"/>
              <w:ind w:left="273"/>
              <w:spacing w:before="167" w:line="228" w:lineRule="auto"/>
              <w:rPr/>
            </w:pPr>
            <w:r>
              <w:rPr>
                <w:spacing w:val="5"/>
              </w:rPr>
              <w:t>废气</w:t>
            </w:r>
          </w:p>
        </w:tc>
        <w:tc>
          <w:tcPr>
            <w:tcW w:w="2030" w:type="dxa"/>
            <w:vAlign w:val="top"/>
          </w:tcPr>
          <w:p>
            <w:pPr>
              <w:pStyle w:val="TableText"/>
              <w:ind w:left="180" w:hanging="167"/>
              <w:spacing w:before="31" w:line="234" w:lineRule="auto"/>
              <w:rPr/>
            </w:pPr>
            <w:r>
              <w:rPr>
                <w:spacing w:val="1"/>
              </w:rPr>
              <w:t>原料堆存、材料拌合、</w:t>
            </w:r>
            <w:r>
              <w:rPr/>
              <w:t xml:space="preserve"> </w:t>
            </w:r>
            <w:r>
              <w:rPr>
                <w:spacing w:val="3"/>
              </w:rPr>
              <w:t>管道铺设、运输等</w:t>
            </w:r>
          </w:p>
        </w:tc>
        <w:tc>
          <w:tcPr>
            <w:tcW w:w="3585" w:type="dxa"/>
            <w:vAlign w:val="top"/>
          </w:tcPr>
          <w:p>
            <w:pPr>
              <w:pStyle w:val="TableText"/>
              <w:ind w:left="12" w:right="5" w:firstLine="5"/>
              <w:spacing w:before="31" w:line="234" w:lineRule="auto"/>
              <w:rPr/>
            </w:pPr>
            <w:r>
              <w:rPr>
                <w:spacing w:val="9"/>
              </w:rPr>
              <w:t>原料贮存、转载产生的粉尘、汽车运输</w:t>
            </w:r>
            <w:r>
              <w:rPr/>
              <w:t xml:space="preserve"> </w:t>
            </w:r>
            <w:r>
              <w:rPr>
                <w:spacing w:val="9"/>
              </w:rPr>
              <w:t>及管线铺设、道路开挖引起的二次扬尘</w:t>
            </w:r>
          </w:p>
        </w:tc>
        <w:tc>
          <w:tcPr>
            <w:tcW w:w="1954" w:type="dxa"/>
            <w:vAlign w:val="top"/>
          </w:tcPr>
          <w:p>
            <w:pPr>
              <w:pStyle w:val="TableText"/>
              <w:ind w:left="771"/>
              <w:spacing w:before="166" w:line="228" w:lineRule="auto"/>
              <w:rPr/>
            </w:pPr>
            <w:r>
              <w:rPr>
                <w:spacing w:val="5"/>
              </w:rPr>
              <w:t>粉尘</w:t>
            </w:r>
          </w:p>
        </w:tc>
      </w:tr>
      <w:tr>
        <w:trPr>
          <w:trHeight w:val="548" w:hRule="atLeast"/>
        </w:trPr>
        <w:tc>
          <w:tcPr>
            <w:tcW w:w="957" w:type="dxa"/>
            <w:vAlign w:val="top"/>
          </w:tcPr>
          <w:p>
            <w:pPr>
              <w:pStyle w:val="TableText"/>
              <w:ind w:left="284"/>
              <w:spacing w:before="168" w:line="228" w:lineRule="auto"/>
              <w:rPr/>
            </w:pPr>
            <w:r>
              <w:rPr>
                <w:spacing w:val="-1"/>
              </w:rPr>
              <w:t>噪声</w:t>
            </w:r>
          </w:p>
        </w:tc>
        <w:tc>
          <w:tcPr>
            <w:tcW w:w="2030" w:type="dxa"/>
            <w:vAlign w:val="top"/>
          </w:tcPr>
          <w:p>
            <w:pPr>
              <w:pStyle w:val="TableText"/>
              <w:ind w:left="181"/>
              <w:spacing w:before="168" w:line="227" w:lineRule="auto"/>
              <w:rPr/>
            </w:pPr>
            <w:r>
              <w:rPr>
                <w:spacing w:val="8"/>
              </w:rPr>
              <w:t>各种施工机械设备</w:t>
            </w:r>
          </w:p>
        </w:tc>
        <w:tc>
          <w:tcPr>
            <w:tcW w:w="3585" w:type="dxa"/>
            <w:vAlign w:val="top"/>
          </w:tcPr>
          <w:p>
            <w:pPr>
              <w:pStyle w:val="TableText"/>
              <w:ind w:left="537" w:right="5" w:hanging="525"/>
              <w:spacing w:before="33" w:line="233" w:lineRule="auto"/>
              <w:rPr/>
            </w:pPr>
            <w:r>
              <w:rPr>
                <w:spacing w:val="9"/>
              </w:rPr>
              <w:t>施工活动中推土机、运输车辆、挖掘机</w:t>
            </w:r>
            <w:r>
              <w:rPr>
                <w:spacing w:val="7"/>
              </w:rPr>
              <w:t xml:space="preserve"> </w:t>
            </w:r>
            <w:r>
              <w:rPr>
                <w:spacing w:val="8"/>
              </w:rPr>
              <w:t>等各种振动、转动设备产生</w:t>
            </w:r>
          </w:p>
        </w:tc>
        <w:tc>
          <w:tcPr>
            <w:tcW w:w="1954" w:type="dxa"/>
            <w:vAlign w:val="top"/>
          </w:tcPr>
          <w:p>
            <w:pPr>
              <w:pStyle w:val="TableText"/>
              <w:ind w:left="782"/>
              <w:spacing w:before="168" w:line="228" w:lineRule="auto"/>
              <w:rPr/>
            </w:pPr>
            <w:r>
              <w:rPr>
                <w:spacing w:val="-1"/>
              </w:rPr>
              <w:t>噪声</w:t>
            </w:r>
          </w:p>
        </w:tc>
      </w:tr>
      <w:tr>
        <w:trPr>
          <w:trHeight w:val="549" w:hRule="atLeast"/>
        </w:trPr>
        <w:tc>
          <w:tcPr>
            <w:tcW w:w="957" w:type="dxa"/>
            <w:vAlign w:val="top"/>
          </w:tcPr>
          <w:p>
            <w:pPr>
              <w:pStyle w:val="TableText"/>
              <w:ind w:left="273"/>
              <w:spacing w:before="169" w:line="228" w:lineRule="auto"/>
              <w:rPr/>
            </w:pPr>
            <w:r>
              <w:rPr>
                <w:spacing w:val="5"/>
              </w:rPr>
              <w:t>废水</w:t>
            </w:r>
          </w:p>
        </w:tc>
        <w:tc>
          <w:tcPr>
            <w:tcW w:w="2030" w:type="dxa"/>
            <w:vAlign w:val="top"/>
          </w:tcPr>
          <w:p>
            <w:pPr>
              <w:pStyle w:val="TableText"/>
              <w:ind w:left="485" w:hanging="475"/>
              <w:spacing w:before="36" w:line="232" w:lineRule="auto"/>
              <w:rPr/>
            </w:pPr>
            <w:r>
              <w:rPr>
                <w:spacing w:val="1"/>
              </w:rPr>
              <w:t>车辆冲洗、施工养护、</w:t>
            </w:r>
            <w:r>
              <w:rPr>
                <w:spacing w:val="3"/>
              </w:rPr>
              <w:t xml:space="preserve"> </w:t>
            </w:r>
            <w:r>
              <w:rPr>
                <w:spacing w:val="3"/>
              </w:rPr>
              <w:t>工人生活等</w:t>
            </w:r>
          </w:p>
        </w:tc>
        <w:tc>
          <w:tcPr>
            <w:tcW w:w="3585" w:type="dxa"/>
            <w:vAlign w:val="top"/>
          </w:tcPr>
          <w:p>
            <w:pPr>
              <w:pStyle w:val="TableText"/>
              <w:ind w:left="116"/>
              <w:spacing w:before="169" w:line="228" w:lineRule="auto"/>
              <w:rPr/>
            </w:pPr>
            <w:r>
              <w:rPr>
                <w:spacing w:val="9"/>
              </w:rPr>
              <w:t>施工废水，施工人员产生的生活污水</w:t>
            </w:r>
          </w:p>
        </w:tc>
        <w:tc>
          <w:tcPr>
            <w:tcW w:w="1954" w:type="dxa"/>
            <w:vAlign w:val="top"/>
          </w:tcPr>
          <w:p>
            <w:pPr>
              <w:pStyle w:val="TableText"/>
              <w:ind w:left="38"/>
              <w:spacing w:before="35" w:line="229" w:lineRule="auto"/>
              <w:rPr/>
            </w:pPr>
            <w:r>
              <w:rPr>
                <w:spacing w:val="8"/>
              </w:rPr>
              <w:t>悬浮物、多以泥沙为</w:t>
            </w:r>
          </w:p>
          <w:p>
            <w:pPr>
              <w:pStyle w:val="TableText"/>
              <w:ind w:left="877"/>
              <w:spacing w:before="23" w:line="214" w:lineRule="auto"/>
              <w:rPr/>
            </w:pPr>
            <w:r>
              <w:rPr/>
              <w:t>主</w:t>
            </w:r>
          </w:p>
        </w:tc>
      </w:tr>
      <w:tr>
        <w:trPr>
          <w:trHeight w:val="281" w:hRule="atLeast"/>
        </w:trPr>
        <w:tc>
          <w:tcPr>
            <w:tcW w:w="957" w:type="dxa"/>
            <w:vAlign w:val="top"/>
          </w:tcPr>
          <w:p>
            <w:pPr>
              <w:pStyle w:val="TableText"/>
              <w:ind w:left="292"/>
              <w:spacing w:before="35" w:line="217" w:lineRule="auto"/>
              <w:rPr/>
            </w:pPr>
            <w:r>
              <w:rPr>
                <w:spacing w:val="-5"/>
              </w:rPr>
              <w:t>固废</w:t>
            </w:r>
          </w:p>
        </w:tc>
        <w:tc>
          <w:tcPr>
            <w:tcW w:w="2030" w:type="dxa"/>
            <w:vAlign w:val="top"/>
          </w:tcPr>
          <w:p>
            <w:pPr>
              <w:pStyle w:val="TableText"/>
              <w:ind w:left="601"/>
              <w:spacing w:before="35" w:line="217" w:lineRule="auto"/>
              <w:rPr/>
            </w:pPr>
            <w:r>
              <w:rPr>
                <w:spacing w:val="6"/>
              </w:rPr>
              <w:t>建筑垃圾</w:t>
            </w:r>
          </w:p>
        </w:tc>
        <w:tc>
          <w:tcPr>
            <w:tcW w:w="3585" w:type="dxa"/>
            <w:vAlign w:val="top"/>
          </w:tcPr>
          <w:p>
            <w:pPr>
              <w:pStyle w:val="TableText"/>
              <w:ind w:left="747"/>
              <w:spacing w:before="35" w:line="217" w:lineRule="auto"/>
              <w:rPr/>
            </w:pPr>
            <w:r>
              <w:rPr>
                <w:spacing w:val="9"/>
              </w:rPr>
              <w:t>碎砖、灰浆、废材料等</w:t>
            </w:r>
          </w:p>
        </w:tc>
        <w:tc>
          <w:tcPr>
            <w:tcW w:w="1954" w:type="dxa"/>
            <w:vAlign w:val="top"/>
          </w:tcPr>
          <w:p>
            <w:pPr>
              <w:pStyle w:val="TableText"/>
              <w:ind w:left="35"/>
              <w:spacing w:before="35" w:line="217" w:lineRule="auto"/>
              <w:rPr/>
            </w:pPr>
            <w:r>
              <w:rPr>
                <w:spacing w:val="9"/>
              </w:rPr>
              <w:t>碎砖、灰浆、废材料</w:t>
            </w:r>
          </w:p>
        </w:tc>
      </w:tr>
    </w:tbl>
    <w:p>
      <w:pPr>
        <w:ind w:left="594"/>
        <w:spacing w:before="36" w:line="219" w:lineRule="auto"/>
        <w:rPr>
          <w:rFonts w:ascii="SimSun" w:hAnsi="SimSun" w:eastAsia="SimSun" w:cs="SimSun"/>
          <w:sz w:val="24"/>
          <w:szCs w:val="24"/>
        </w:rPr>
      </w:pPr>
      <w:r>
        <w:rPr>
          <w:rFonts w:ascii="SimSun" w:hAnsi="SimSun" w:eastAsia="SimSun" w:cs="SimSun"/>
          <w:sz w:val="24"/>
          <w:szCs w:val="24"/>
          <w:spacing w:val="-2"/>
        </w:rPr>
        <w:t>主要采取如下环保措施：</w:t>
      </w:r>
    </w:p>
    <w:p>
      <w:pPr>
        <w:ind w:left="116" w:right="104" w:firstLine="475"/>
        <w:spacing w:before="180" w:line="290" w:lineRule="auto"/>
        <w:rPr>
          <w:rFonts w:ascii="SimSun" w:hAnsi="SimSun" w:eastAsia="SimSun" w:cs="SimSun"/>
          <w:sz w:val="24"/>
          <w:szCs w:val="24"/>
        </w:rPr>
      </w:pPr>
      <w:r>
        <w:rPr>
          <w:rFonts w:ascii="SimSun" w:hAnsi="SimSun" w:eastAsia="SimSun" w:cs="SimSun"/>
          <w:sz w:val="24"/>
          <w:szCs w:val="24"/>
          <w:spacing w:val="3"/>
        </w:rPr>
        <w:t>①对施工期开挖土方，建筑材料装卸、使用和运输过程产生的</w:t>
      </w:r>
      <w:r>
        <w:rPr>
          <w:rFonts w:ascii="SimSun" w:hAnsi="SimSun" w:eastAsia="SimSun" w:cs="SimSun"/>
          <w:sz w:val="24"/>
          <w:szCs w:val="24"/>
          <w:spacing w:val="2"/>
        </w:rPr>
        <w:t>粉尘、扬尘污</w:t>
      </w:r>
      <w:r>
        <w:rPr>
          <w:rFonts w:ascii="SimSun" w:hAnsi="SimSun" w:eastAsia="SimSun" w:cs="SimSun"/>
          <w:sz w:val="24"/>
          <w:szCs w:val="24"/>
        </w:rPr>
        <w:t xml:space="preserve"> </w:t>
      </w:r>
      <w:r>
        <w:rPr>
          <w:rFonts w:ascii="SimSun" w:hAnsi="SimSun" w:eastAsia="SimSun" w:cs="SimSun"/>
          <w:sz w:val="24"/>
          <w:szCs w:val="24"/>
          <w:spacing w:val="-1"/>
        </w:rPr>
        <w:t>染，配置专用洒水车，进行喷洒降尘；</w:t>
      </w:r>
    </w:p>
    <w:p>
      <w:pPr>
        <w:ind w:left="113" w:right="42" w:firstLine="477"/>
        <w:spacing w:before="179" w:line="290" w:lineRule="auto"/>
        <w:rPr>
          <w:rFonts w:ascii="SimSun" w:hAnsi="SimSun" w:eastAsia="SimSun" w:cs="SimSun"/>
          <w:sz w:val="24"/>
          <w:szCs w:val="24"/>
        </w:rPr>
      </w:pPr>
      <w:r>
        <w:rPr>
          <w:rFonts w:ascii="SimSun" w:hAnsi="SimSun" w:eastAsia="SimSun" w:cs="SimSun"/>
          <w:sz w:val="24"/>
          <w:szCs w:val="24"/>
          <w:spacing w:val="-3"/>
        </w:rPr>
        <w:t>②尽可能选用低噪声的施工机械，噪声强度大的机械应远离居民生活区设置，</w:t>
      </w:r>
      <w:r>
        <w:rPr>
          <w:rFonts w:ascii="SimSun" w:hAnsi="SimSun" w:eastAsia="SimSun" w:cs="SimSun"/>
          <w:sz w:val="24"/>
          <w:szCs w:val="24"/>
          <w:spacing w:val="18"/>
        </w:rPr>
        <w:t xml:space="preserve"> </w:t>
      </w:r>
      <w:r>
        <w:rPr>
          <w:rFonts w:ascii="SimSun" w:hAnsi="SimSun" w:eastAsia="SimSun" w:cs="SimSun"/>
          <w:sz w:val="24"/>
          <w:szCs w:val="24"/>
          <w:spacing w:val="-1"/>
        </w:rPr>
        <w:t>使用时应避开夜间人们休息的时间；</w:t>
      </w:r>
    </w:p>
    <w:p>
      <w:pPr>
        <w:ind w:left="114" w:right="104" w:firstLine="476"/>
        <w:spacing w:before="180" w:line="290" w:lineRule="auto"/>
        <w:rPr>
          <w:rFonts w:ascii="SimSun" w:hAnsi="SimSun" w:eastAsia="SimSun" w:cs="SimSun"/>
          <w:sz w:val="24"/>
          <w:szCs w:val="24"/>
        </w:rPr>
      </w:pPr>
      <w:r>
        <w:rPr>
          <w:rFonts w:ascii="SimSun" w:hAnsi="SimSun" w:eastAsia="SimSun" w:cs="SimSun"/>
          <w:sz w:val="24"/>
          <w:szCs w:val="24"/>
          <w:spacing w:val="3"/>
        </w:rPr>
        <w:t>③施工中的废弃物、建筑垃圾等按照当地环卫要求送到专门的堆</w:t>
      </w:r>
      <w:r>
        <w:rPr>
          <w:rFonts w:ascii="SimSun" w:hAnsi="SimSun" w:eastAsia="SimSun" w:cs="SimSun"/>
          <w:sz w:val="24"/>
          <w:szCs w:val="24"/>
          <w:spacing w:val="2"/>
        </w:rPr>
        <w:t>场放置，不</w:t>
      </w:r>
      <w:r>
        <w:rPr>
          <w:rFonts w:ascii="SimSun" w:hAnsi="SimSun" w:eastAsia="SimSun" w:cs="SimSun"/>
          <w:sz w:val="24"/>
          <w:szCs w:val="24"/>
        </w:rPr>
        <w:t xml:space="preserve"> </w:t>
      </w:r>
      <w:r>
        <w:rPr>
          <w:rFonts w:ascii="SimSun" w:hAnsi="SimSun" w:eastAsia="SimSun" w:cs="SimSun"/>
          <w:sz w:val="24"/>
          <w:szCs w:val="24"/>
          <w:spacing w:val="-1"/>
        </w:rPr>
        <w:t>可随意乱堆、弃入水体或侵占农田；</w:t>
      </w:r>
    </w:p>
    <w:p>
      <w:pPr>
        <w:ind w:left="117" w:right="104" w:firstLine="473"/>
        <w:spacing w:before="180" w:line="290" w:lineRule="auto"/>
        <w:rPr>
          <w:rFonts w:ascii="SimSun" w:hAnsi="SimSun" w:eastAsia="SimSun" w:cs="SimSun"/>
          <w:sz w:val="24"/>
          <w:szCs w:val="24"/>
        </w:rPr>
      </w:pPr>
      <w:r>
        <w:rPr>
          <w:rFonts w:ascii="SimSun" w:hAnsi="SimSun" w:eastAsia="SimSun" w:cs="SimSun"/>
          <w:sz w:val="24"/>
          <w:szCs w:val="24"/>
          <w:spacing w:val="3"/>
        </w:rPr>
        <w:t>④施工过程中产生的施工废水经沉淀处理后回用，生活污水排入</w:t>
      </w:r>
      <w:r>
        <w:rPr>
          <w:rFonts w:ascii="SimSun" w:hAnsi="SimSun" w:eastAsia="SimSun" w:cs="SimSun"/>
          <w:sz w:val="24"/>
          <w:szCs w:val="24"/>
          <w:spacing w:val="2"/>
        </w:rPr>
        <w:t>临时化粪池</w:t>
      </w:r>
      <w:r>
        <w:rPr>
          <w:rFonts w:ascii="SimSun" w:hAnsi="SimSun" w:eastAsia="SimSun" w:cs="SimSun"/>
          <w:sz w:val="24"/>
          <w:szCs w:val="24"/>
        </w:rPr>
        <w:t xml:space="preserve"> </w:t>
      </w:r>
      <w:r>
        <w:rPr>
          <w:rFonts w:ascii="SimSun" w:hAnsi="SimSun" w:eastAsia="SimSun" w:cs="SimSun"/>
          <w:sz w:val="24"/>
          <w:szCs w:val="24"/>
          <w:spacing w:val="-2"/>
        </w:rPr>
        <w:t>处理后，定期清掏处理；</w:t>
      </w:r>
    </w:p>
    <w:p>
      <w:pPr>
        <w:ind w:left="590"/>
        <w:spacing w:before="180" w:line="217" w:lineRule="auto"/>
        <w:rPr>
          <w:rFonts w:ascii="SimSun" w:hAnsi="SimSun" w:eastAsia="SimSun" w:cs="SimSun"/>
          <w:sz w:val="24"/>
          <w:szCs w:val="24"/>
        </w:rPr>
      </w:pPr>
      <w:r>
        <w:rPr>
          <w:rFonts w:ascii="SimSun" w:hAnsi="SimSun" w:eastAsia="SimSun" w:cs="SimSun"/>
          <w:sz w:val="24"/>
          <w:szCs w:val="24"/>
        </w:rPr>
        <w:t>⑤施工工地外围建设临时围墙或简易挡板，对扬尘和噪</w:t>
      </w:r>
      <w:r>
        <w:rPr>
          <w:rFonts w:ascii="SimSun" w:hAnsi="SimSun" w:eastAsia="SimSun" w:cs="SimSun"/>
          <w:sz w:val="24"/>
          <w:szCs w:val="24"/>
          <w:spacing w:val="-1"/>
        </w:rPr>
        <w:t>声有一定阻隔作用；</w:t>
      </w:r>
    </w:p>
    <w:p>
      <w:pPr>
        <w:ind w:left="590"/>
        <w:spacing w:before="186" w:line="217" w:lineRule="auto"/>
        <w:rPr>
          <w:rFonts w:ascii="SimSun" w:hAnsi="SimSun" w:eastAsia="SimSun" w:cs="SimSun"/>
          <w:sz w:val="24"/>
          <w:szCs w:val="24"/>
        </w:rPr>
      </w:pPr>
      <w:r>
        <w:rPr>
          <w:rFonts w:ascii="SimSun" w:hAnsi="SimSun" w:eastAsia="SimSun" w:cs="SimSun"/>
          <w:sz w:val="24"/>
          <w:szCs w:val="24"/>
        </w:rPr>
        <w:t>⑥在施工现场要合理施工，取土尽量用于回填，</w:t>
      </w:r>
      <w:r>
        <w:rPr>
          <w:rFonts w:ascii="SimSun" w:hAnsi="SimSun" w:eastAsia="SimSun" w:cs="SimSun"/>
          <w:sz w:val="24"/>
          <w:szCs w:val="24"/>
          <w:spacing w:val="-1"/>
        </w:rPr>
        <w:t>减少土石方开挖量；</w:t>
      </w:r>
    </w:p>
    <w:p>
      <w:pPr>
        <w:ind w:left="113" w:right="104" w:firstLine="477"/>
        <w:spacing w:before="187" w:line="288" w:lineRule="auto"/>
        <w:rPr>
          <w:rFonts w:ascii="SimSun" w:hAnsi="SimSun" w:eastAsia="SimSun" w:cs="SimSun"/>
          <w:sz w:val="24"/>
          <w:szCs w:val="24"/>
        </w:rPr>
      </w:pPr>
      <w:r>
        <w:rPr>
          <w:rFonts w:ascii="SimSun" w:hAnsi="SimSun" w:eastAsia="SimSun" w:cs="SimSun"/>
          <w:sz w:val="24"/>
          <w:szCs w:val="24"/>
          <w:spacing w:val="3"/>
        </w:rPr>
        <w:t>⑦加强施工工地环保管理，禁止现场材料随意堆放，粉状和颗粒</w:t>
      </w:r>
      <w:r>
        <w:rPr>
          <w:rFonts w:ascii="SimSun" w:hAnsi="SimSun" w:eastAsia="SimSun" w:cs="SimSun"/>
          <w:sz w:val="24"/>
          <w:szCs w:val="24"/>
          <w:spacing w:val="2"/>
        </w:rPr>
        <w:t>状物料临时</w:t>
      </w:r>
      <w:r>
        <w:rPr>
          <w:rFonts w:ascii="SimSun" w:hAnsi="SimSun" w:eastAsia="SimSun" w:cs="SimSun"/>
          <w:sz w:val="24"/>
          <w:szCs w:val="24"/>
        </w:rPr>
        <w:t xml:space="preserve"> </w:t>
      </w:r>
      <w:r>
        <w:rPr>
          <w:rFonts w:ascii="SimSun" w:hAnsi="SimSun" w:eastAsia="SimSun" w:cs="SimSun"/>
          <w:sz w:val="24"/>
          <w:szCs w:val="24"/>
          <w:spacing w:val="-1"/>
        </w:rPr>
        <w:t>堆放限制在本项目占地范围内并对其用苫布进行遮盖。</w:t>
      </w:r>
    </w:p>
    <w:p>
      <w:pPr>
        <w:ind w:left="114"/>
        <w:spacing w:before="306" w:line="222" w:lineRule="auto"/>
        <w:outlineLvl w:val="2"/>
        <w:rPr>
          <w:rFonts w:ascii="SimHei" w:hAnsi="SimHei" w:eastAsia="SimHei" w:cs="SimHei"/>
          <w:sz w:val="28"/>
          <w:szCs w:val="28"/>
        </w:rPr>
      </w:pPr>
      <w:bookmarkStart w:name="bookmark60" w:id="74"/>
      <w:bookmarkEnd w:id="74"/>
      <w:r>
        <w:rPr>
          <w:rFonts w:ascii="Times New Roman" w:hAnsi="Times New Roman" w:eastAsia="Times New Roman" w:cs="Times New Roman"/>
          <w:sz w:val="28"/>
          <w:szCs w:val="28"/>
          <w:spacing w:val="-1"/>
        </w:rPr>
        <w:t>3.3.2 </w:t>
      </w:r>
      <w:r>
        <w:rPr>
          <w:rFonts w:ascii="SimHei" w:hAnsi="SimHei" w:eastAsia="SimHei" w:cs="SimHei"/>
          <w:sz w:val="28"/>
          <w:szCs w:val="28"/>
          <w:spacing w:val="-1"/>
        </w:rPr>
        <w:t>运营期污染来源及治理措施</w:t>
      </w:r>
    </w:p>
    <w:p>
      <w:pPr>
        <w:pStyle w:val="BodyText"/>
        <w:spacing w:line="243" w:lineRule="auto"/>
        <w:rPr/>
      </w:pPr>
      <w:r/>
    </w:p>
    <w:p>
      <w:pPr>
        <w:ind w:left="127" w:right="101" w:firstLine="464"/>
        <w:spacing w:before="79" w:line="360" w:lineRule="auto"/>
        <w:rPr>
          <w:rFonts w:ascii="SimSun" w:hAnsi="SimSun" w:eastAsia="SimSun" w:cs="SimSun"/>
          <w:sz w:val="24"/>
          <w:szCs w:val="24"/>
        </w:rPr>
      </w:pPr>
      <w:r>
        <w:rPr>
          <w:rFonts w:ascii="SimSun" w:hAnsi="SimSun" w:eastAsia="SimSun" w:cs="SimSun"/>
          <w:sz w:val="24"/>
          <w:szCs w:val="24"/>
          <w:spacing w:val="3"/>
        </w:rPr>
        <w:t>根据工艺流程及产污环节分析，本项目生产期主要污染源汇总及采</w:t>
      </w:r>
      <w:r>
        <w:rPr>
          <w:rFonts w:ascii="SimSun" w:hAnsi="SimSun" w:eastAsia="SimSun" w:cs="SimSun"/>
          <w:sz w:val="24"/>
          <w:szCs w:val="24"/>
          <w:spacing w:val="2"/>
        </w:rPr>
        <w:t>用的污染</w:t>
      </w:r>
      <w:r>
        <w:rPr>
          <w:rFonts w:ascii="SimSun" w:hAnsi="SimSun" w:eastAsia="SimSun" w:cs="SimSun"/>
          <w:sz w:val="24"/>
          <w:szCs w:val="24"/>
        </w:rPr>
        <w:t xml:space="preserve"> </w:t>
      </w:r>
      <w:r>
        <w:rPr>
          <w:rFonts w:ascii="SimSun" w:hAnsi="SimSun" w:eastAsia="SimSun" w:cs="SimSun"/>
          <w:sz w:val="24"/>
          <w:szCs w:val="24"/>
          <w:spacing w:val="-3"/>
        </w:rPr>
        <w:t>防治措施详见表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3.3-2</w:t>
      </w:r>
      <w:r>
        <w:rPr>
          <w:rFonts w:ascii="SimSun" w:hAnsi="SimSun" w:eastAsia="SimSun" w:cs="SimSun"/>
          <w:sz w:val="24"/>
          <w:szCs w:val="24"/>
          <w:spacing w:val="-3"/>
        </w:rPr>
        <w:t>。</w:t>
      </w:r>
    </w:p>
    <w:p>
      <w:pPr>
        <w:ind w:left="1011"/>
        <w:spacing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0"/>
        </w:rPr>
        <w:t xml:space="preserve"> </w:t>
      </w:r>
      <w:r>
        <w:rPr>
          <w:rFonts w:ascii="Times New Roman" w:hAnsi="Times New Roman" w:eastAsia="Times New Roman" w:cs="Times New Roman"/>
          <w:sz w:val="24"/>
          <w:szCs w:val="24"/>
          <w:b/>
          <w:bCs/>
          <w:spacing w:val="-2"/>
        </w:rPr>
        <w:t>3.3-2      </w:t>
      </w:r>
      <w:r>
        <w:rPr>
          <w:rFonts w:ascii="SimSun" w:hAnsi="SimSun" w:eastAsia="SimSun" w:cs="SimSun"/>
          <w:sz w:val="24"/>
          <w:szCs w:val="24"/>
          <w:b/>
          <w:bCs/>
          <w:spacing w:val="-2"/>
        </w:rPr>
        <w:t>项目生产运营期污染源拟采取的污染防治措施一览表</w:t>
      </w:r>
    </w:p>
    <w:tbl>
      <w:tblPr>
        <w:tblStyle w:val="TableNormal"/>
        <w:tblW w:w="870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77"/>
        <w:gridCol w:w="1742"/>
        <w:gridCol w:w="709"/>
        <w:gridCol w:w="1416"/>
        <w:gridCol w:w="1787"/>
        <w:gridCol w:w="2574"/>
      </w:tblGrid>
      <w:tr>
        <w:trPr>
          <w:trHeight w:val="280" w:hRule="atLeast"/>
        </w:trPr>
        <w:tc>
          <w:tcPr>
            <w:tcW w:w="477" w:type="dxa"/>
            <w:vAlign w:val="top"/>
          </w:tcPr>
          <w:p>
            <w:pPr>
              <w:pStyle w:val="TableText"/>
              <w:ind w:left="34"/>
              <w:spacing w:before="34" w:line="217" w:lineRule="auto"/>
              <w:rPr/>
            </w:pPr>
            <w:r>
              <w:rPr>
                <w:spacing w:val="4"/>
              </w:rPr>
              <w:t>类别</w:t>
            </w:r>
          </w:p>
        </w:tc>
        <w:tc>
          <w:tcPr>
            <w:tcW w:w="1742" w:type="dxa"/>
            <w:vAlign w:val="top"/>
          </w:tcPr>
          <w:p>
            <w:pPr>
              <w:pStyle w:val="TableText"/>
              <w:ind w:left="351"/>
              <w:spacing w:before="34" w:line="217" w:lineRule="auto"/>
              <w:rPr/>
            </w:pPr>
            <w:r>
              <w:rPr>
                <w:spacing w:val="7"/>
              </w:rPr>
              <w:t>污染源名称</w:t>
            </w:r>
          </w:p>
        </w:tc>
        <w:tc>
          <w:tcPr>
            <w:tcW w:w="709" w:type="dxa"/>
            <w:vAlign w:val="top"/>
          </w:tcPr>
          <w:p>
            <w:pPr>
              <w:pStyle w:val="TableText"/>
              <w:ind w:left="150"/>
              <w:spacing w:before="34" w:line="217" w:lineRule="auto"/>
              <w:rPr/>
            </w:pPr>
            <w:r>
              <w:rPr>
                <w:spacing w:val="3"/>
              </w:rPr>
              <w:t>编号</w:t>
            </w:r>
          </w:p>
        </w:tc>
        <w:tc>
          <w:tcPr>
            <w:tcW w:w="1416" w:type="dxa"/>
            <w:vAlign w:val="top"/>
          </w:tcPr>
          <w:p>
            <w:pPr>
              <w:pStyle w:val="TableText"/>
              <w:ind w:left="293"/>
              <w:spacing w:before="34" w:line="217" w:lineRule="auto"/>
              <w:rPr/>
            </w:pPr>
            <w:r>
              <w:rPr>
                <w:spacing w:val="7"/>
              </w:rPr>
              <w:t>产生位置</w:t>
            </w:r>
          </w:p>
        </w:tc>
        <w:tc>
          <w:tcPr>
            <w:tcW w:w="1787" w:type="dxa"/>
            <w:vAlign w:val="top"/>
          </w:tcPr>
          <w:p>
            <w:pPr>
              <w:pStyle w:val="TableText"/>
              <w:ind w:left="377"/>
              <w:spacing w:before="34" w:line="217" w:lineRule="auto"/>
              <w:rPr/>
            </w:pPr>
            <w:r>
              <w:rPr>
                <w:spacing w:val="7"/>
              </w:rPr>
              <w:t>主要污染物</w:t>
            </w:r>
          </w:p>
        </w:tc>
        <w:tc>
          <w:tcPr>
            <w:tcW w:w="2574" w:type="dxa"/>
            <w:vAlign w:val="top"/>
          </w:tcPr>
          <w:p>
            <w:pPr>
              <w:pStyle w:val="TableText"/>
              <w:ind w:left="661"/>
              <w:spacing w:before="34" w:line="217" w:lineRule="auto"/>
              <w:rPr/>
            </w:pPr>
            <w:r>
              <w:rPr>
                <w:spacing w:val="8"/>
              </w:rPr>
              <w:t>拟采取的措施</w:t>
            </w:r>
          </w:p>
        </w:tc>
      </w:tr>
    </w:tbl>
    <w:p>
      <w:pPr>
        <w:pStyle w:val="BodyText"/>
        <w:spacing w:line="302" w:lineRule="auto"/>
        <w:rPr/>
      </w:pPr>
      <w:r/>
    </w:p>
    <w:p>
      <w:pPr>
        <w:ind w:left="110"/>
        <w:spacing w:before="62" w:line="227" w:lineRule="auto"/>
        <w:rPr>
          <w:rFonts w:ascii="SimSun" w:hAnsi="SimSun" w:eastAsia="SimSun" w:cs="SimSun"/>
          <w:sz w:val="19"/>
          <w:szCs w:val="19"/>
        </w:rPr>
      </w:pPr>
      <w:r>
        <w:pict>
          <v:shape id="_x0000_s434" style="position:absolute;margin-left:164.47pt;margin-top:2.09786pt;mso-position-vertical-relative:text;mso-position-horizontal-relative:text;width:58.85pt;height:13.75pt;z-index:251849728;"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2"/>
                    </w:rPr>
                    <w:t>任公司</w:t>
                  </w:r>
                  <w:r>
                    <w:rPr>
                      <w:rFonts w:ascii="SimSun" w:hAnsi="SimSun" w:eastAsia="SimSun" w:cs="SimSun"/>
                      <w:sz w:val="19"/>
                      <w:szCs w:val="19"/>
                      <w:spacing w:val="30"/>
                    </w:rPr>
                    <w:t xml:space="preserve">   </w:t>
                  </w:r>
                  <w:r>
                    <w:rPr>
                      <w:rFonts w:ascii="Times New Roman" w:hAnsi="Times New Roman" w:eastAsia="Times New Roman" w:cs="Times New Roman"/>
                      <w:sz w:val="18"/>
                      <w:szCs w:val="18"/>
                      <w:spacing w:val="2"/>
                      <w:position w:val="2"/>
                    </w:rPr>
                    <w:t>85</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92"/>
          <w:pgSz w:w="11907" w:h="16840"/>
          <w:pgMar w:top="1567" w:right="1598" w:bottom="400" w:left="1598" w:header="1221" w:footer="0" w:gutter="0"/>
        </w:sectPr>
        <w:rPr>
          <w:rFonts w:ascii="SimSun" w:hAnsi="SimSun" w:eastAsia="SimSun" w:cs="SimSun"/>
          <w:sz w:val="19"/>
          <w:szCs w:val="19"/>
        </w:rPr>
      </w:pPr>
    </w:p>
    <w:p>
      <w:pPr>
        <w:spacing w:line="133" w:lineRule="exact"/>
        <w:rPr/>
      </w:pPr>
      <w:r>
        <w:pict>
          <v:shape id="_x0000_s436" style="position:absolute;margin-left:85.05pt;margin-top:78.87pt;mso-position-vertical-relative:page;mso-position-horizontal-relative:page;width:425.25pt;height:0.75pt;z-index:251852800;" o:allowincell="f" fillcolor="#000000" filled="true" stroked="false" coordsize="8505,15" coordorigin="0,0" path="m,l8505,0l8505,14l0,14l0,0xe"/>
        </w:pict>
      </w:r>
      <w:r/>
    </w:p>
    <w:tbl>
      <w:tblPr>
        <w:tblStyle w:val="TableNormal"/>
        <w:tblW w:w="870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77"/>
        <w:gridCol w:w="1742"/>
        <w:gridCol w:w="709"/>
        <w:gridCol w:w="1416"/>
        <w:gridCol w:w="1787"/>
        <w:gridCol w:w="2574"/>
      </w:tblGrid>
      <w:tr>
        <w:trPr>
          <w:trHeight w:val="282" w:hRule="atLeast"/>
        </w:trPr>
        <w:tc>
          <w:tcPr>
            <w:tcW w:w="477" w:type="dxa"/>
            <w:vAlign w:val="top"/>
          </w:tcPr>
          <w:p>
            <w:pPr>
              <w:pStyle w:val="TableText"/>
              <w:ind w:left="34"/>
              <w:spacing w:before="35" w:line="218" w:lineRule="auto"/>
              <w:rPr/>
            </w:pPr>
            <w:r>
              <w:rPr>
                <w:spacing w:val="4"/>
              </w:rPr>
              <w:t>类别</w:t>
            </w:r>
          </w:p>
        </w:tc>
        <w:tc>
          <w:tcPr>
            <w:tcW w:w="1742" w:type="dxa"/>
            <w:vAlign w:val="top"/>
          </w:tcPr>
          <w:p>
            <w:pPr>
              <w:pStyle w:val="TableText"/>
              <w:ind w:left="351"/>
              <w:spacing w:before="35" w:line="218" w:lineRule="auto"/>
              <w:rPr/>
            </w:pPr>
            <w:r>
              <w:rPr>
                <w:spacing w:val="7"/>
              </w:rPr>
              <w:t>污染源名称</w:t>
            </w:r>
          </w:p>
        </w:tc>
        <w:tc>
          <w:tcPr>
            <w:tcW w:w="709" w:type="dxa"/>
            <w:vAlign w:val="top"/>
          </w:tcPr>
          <w:p>
            <w:pPr>
              <w:pStyle w:val="TableText"/>
              <w:ind w:left="150"/>
              <w:spacing w:before="35" w:line="218" w:lineRule="auto"/>
              <w:rPr/>
            </w:pPr>
            <w:r>
              <w:rPr>
                <w:spacing w:val="3"/>
              </w:rPr>
              <w:t>编号</w:t>
            </w:r>
          </w:p>
        </w:tc>
        <w:tc>
          <w:tcPr>
            <w:tcW w:w="1416" w:type="dxa"/>
            <w:vAlign w:val="top"/>
          </w:tcPr>
          <w:p>
            <w:pPr>
              <w:pStyle w:val="TableText"/>
              <w:ind w:left="293"/>
              <w:spacing w:before="35" w:line="218" w:lineRule="auto"/>
              <w:rPr/>
            </w:pPr>
            <w:r>
              <w:rPr>
                <w:spacing w:val="7"/>
              </w:rPr>
              <w:t>产生位置</w:t>
            </w:r>
          </w:p>
        </w:tc>
        <w:tc>
          <w:tcPr>
            <w:tcW w:w="1787" w:type="dxa"/>
            <w:vAlign w:val="top"/>
          </w:tcPr>
          <w:p>
            <w:pPr>
              <w:pStyle w:val="TableText"/>
              <w:ind w:left="377"/>
              <w:spacing w:before="35" w:line="218" w:lineRule="auto"/>
              <w:rPr/>
            </w:pPr>
            <w:r>
              <w:rPr>
                <w:spacing w:val="7"/>
              </w:rPr>
              <w:t>主要污染物</w:t>
            </w:r>
          </w:p>
        </w:tc>
        <w:tc>
          <w:tcPr>
            <w:tcW w:w="2574" w:type="dxa"/>
            <w:vAlign w:val="top"/>
          </w:tcPr>
          <w:p>
            <w:pPr>
              <w:pStyle w:val="TableText"/>
              <w:ind w:left="661"/>
              <w:spacing w:before="35" w:line="218" w:lineRule="auto"/>
              <w:rPr/>
            </w:pPr>
            <w:r>
              <w:rPr>
                <w:spacing w:val="8"/>
              </w:rPr>
              <w:t>拟采取的措施</w:t>
            </w:r>
          </w:p>
        </w:tc>
      </w:tr>
      <w:tr>
        <w:trPr>
          <w:trHeight w:val="2455" w:hRule="atLeast"/>
        </w:trPr>
        <w:tc>
          <w:tcPr>
            <w:tcW w:w="477" w:type="dxa"/>
            <w:vAlign w:val="top"/>
            <w:vMerge w:val="restart"/>
            <w:textDirection w:val="tbRlV"/>
            <w:tcBorders>
              <w:bottom w:val="nil"/>
            </w:tcBorders>
          </w:tcPr>
          <w:p>
            <w:pPr>
              <w:pStyle w:val="TableText"/>
              <w:ind w:left="4565"/>
              <w:spacing w:before="132" w:line="216" w:lineRule="auto"/>
              <w:rPr/>
            </w:pPr>
            <w:r>
              <w:rPr>
                <w:spacing w:val="8"/>
              </w:rPr>
              <w:t>废</w:t>
            </w:r>
            <w:r>
              <w:rPr>
                <w:spacing w:val="-38"/>
              </w:rPr>
              <w:t xml:space="preserve"> </w:t>
            </w:r>
            <w:r>
              <w:rPr>
                <w:spacing w:val="8"/>
              </w:rPr>
              <w:t>气</w:t>
            </w:r>
          </w:p>
        </w:tc>
        <w:tc>
          <w:tcPr>
            <w:tcW w:w="1742" w:type="dxa"/>
            <w:vAlign w:val="top"/>
          </w:tcPr>
          <w:p>
            <w:pPr>
              <w:spacing w:line="304" w:lineRule="auto"/>
              <w:rPr>
                <w:rFonts w:ascii="Arial"/>
                <w:sz w:val="21"/>
              </w:rPr>
            </w:pPr>
            <w:r/>
          </w:p>
          <w:p>
            <w:pPr>
              <w:spacing w:line="304" w:lineRule="auto"/>
              <w:rPr>
                <w:rFonts w:ascii="Arial"/>
                <w:sz w:val="21"/>
              </w:rPr>
            </w:pPr>
            <w:r/>
          </w:p>
          <w:p>
            <w:pPr>
              <w:spacing w:line="305" w:lineRule="auto"/>
              <w:rPr>
                <w:rFonts w:ascii="Arial"/>
                <w:sz w:val="21"/>
              </w:rPr>
            </w:pPr>
            <w:r/>
          </w:p>
          <w:p>
            <w:pPr>
              <w:pStyle w:val="TableText"/>
              <w:ind w:left="662" w:right="32" w:hanging="628"/>
              <w:spacing w:before="65" w:line="252" w:lineRule="auto"/>
              <w:rPr/>
            </w:pPr>
            <w:r>
              <w:rPr>
                <w:spacing w:val="8"/>
              </w:rPr>
              <w:t>洗毛车间开松除杂</w:t>
            </w:r>
            <w:r>
              <w:rPr>
                <w:spacing w:val="5"/>
              </w:rPr>
              <w:t xml:space="preserve"> </w:t>
            </w:r>
            <w:r>
              <w:rPr>
                <w:spacing w:val="5"/>
              </w:rPr>
              <w:t>粉尘</w:t>
            </w:r>
          </w:p>
        </w:tc>
        <w:tc>
          <w:tcPr>
            <w:tcW w:w="709" w:type="dxa"/>
            <w:vAlign w:val="top"/>
          </w:tcPr>
          <w:p>
            <w:pPr>
              <w:spacing w:line="273" w:lineRule="auto"/>
              <w:rPr>
                <w:rFonts w:ascii="Arial"/>
                <w:sz w:val="21"/>
              </w:rPr>
            </w:pPr>
            <w:r/>
          </w:p>
          <w:p>
            <w:pPr>
              <w:spacing w:line="273" w:lineRule="auto"/>
              <w:rPr>
                <w:rFonts w:ascii="Arial"/>
                <w:sz w:val="21"/>
              </w:rPr>
            </w:pPr>
            <w:r/>
          </w:p>
          <w:p>
            <w:pPr>
              <w:spacing w:line="273" w:lineRule="auto"/>
              <w:rPr>
                <w:rFonts w:ascii="Arial"/>
                <w:sz w:val="21"/>
              </w:rPr>
            </w:pPr>
            <w:r/>
          </w:p>
          <w:p>
            <w:pPr>
              <w:spacing w:line="274" w:lineRule="auto"/>
              <w:rPr>
                <w:rFonts w:ascii="Arial"/>
                <w:sz w:val="21"/>
              </w:rPr>
            </w:pPr>
            <w:r/>
          </w:p>
          <w:p>
            <w:pPr>
              <w:ind w:left="63"/>
              <w:spacing w:before="57"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2"/>
                <w:position w:val="1"/>
              </w:rPr>
              <w:t>G</w:t>
            </w:r>
            <w:r>
              <w:rPr>
                <w:rFonts w:ascii="Times New Roman" w:hAnsi="Times New Roman" w:eastAsia="Times New Roman" w:cs="Times New Roman"/>
                <w:sz w:val="13"/>
                <w:szCs w:val="13"/>
                <w:spacing w:val="2"/>
              </w:rPr>
              <w:t>1-1-1~2</w:t>
            </w:r>
          </w:p>
        </w:tc>
        <w:tc>
          <w:tcPr>
            <w:tcW w:w="1416" w:type="dxa"/>
            <w:vAlign w:val="top"/>
          </w:tcPr>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spacing w:line="263" w:lineRule="auto"/>
              <w:rPr>
                <w:rFonts w:ascii="Arial"/>
                <w:sz w:val="21"/>
              </w:rPr>
            </w:pPr>
            <w:r/>
          </w:p>
          <w:p>
            <w:pPr>
              <w:pStyle w:val="TableText"/>
              <w:ind w:left="292"/>
              <w:spacing w:before="65" w:line="228" w:lineRule="auto"/>
              <w:rPr/>
            </w:pPr>
            <w:r>
              <w:rPr>
                <w:spacing w:val="7"/>
              </w:rPr>
              <w:t>洗毛车间</w:t>
            </w:r>
          </w:p>
        </w:tc>
        <w:tc>
          <w:tcPr>
            <w:tcW w:w="1787" w:type="dxa"/>
            <w:vAlign w:val="top"/>
          </w:tcPr>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spacing w:line="263" w:lineRule="auto"/>
              <w:rPr>
                <w:rFonts w:ascii="Arial"/>
                <w:sz w:val="21"/>
              </w:rPr>
            </w:pPr>
            <w:r/>
          </w:p>
          <w:p>
            <w:pPr>
              <w:pStyle w:val="TableText"/>
              <w:ind w:left="583"/>
              <w:spacing w:before="65" w:line="228" w:lineRule="auto"/>
              <w:rPr/>
            </w:pPr>
            <w:r>
              <w:rPr>
                <w:spacing w:val="7"/>
              </w:rPr>
              <w:t>颗粒物</w:t>
            </w:r>
          </w:p>
        </w:tc>
        <w:tc>
          <w:tcPr>
            <w:tcW w:w="2574" w:type="dxa"/>
            <w:vAlign w:val="top"/>
          </w:tcPr>
          <w:p>
            <w:pPr>
              <w:pStyle w:val="TableText"/>
              <w:ind w:left="38"/>
              <w:spacing w:before="31" w:line="228" w:lineRule="auto"/>
              <w:rPr/>
            </w:pPr>
            <w:r>
              <w:rPr>
                <w:spacing w:val="8"/>
              </w:rPr>
              <w:t>东厂区洗毛车间除杂粉尘经</w:t>
            </w:r>
          </w:p>
          <w:p>
            <w:pPr>
              <w:pStyle w:val="TableText"/>
              <w:ind w:left="30"/>
              <w:spacing w:before="24" w:line="226" w:lineRule="auto"/>
              <w:rPr/>
            </w:pPr>
            <w:r>
              <w:rPr>
                <w:spacing w:val="9"/>
              </w:rPr>
              <w:t>集气罩收集后，通过一套布</w:t>
            </w:r>
          </w:p>
          <w:p>
            <w:pPr>
              <w:pStyle w:val="TableText"/>
              <w:ind w:left="11"/>
              <w:spacing w:before="28" w:line="228" w:lineRule="auto"/>
              <w:rPr/>
            </w:pPr>
            <w:r>
              <w:rPr>
                <w:spacing w:val="9"/>
              </w:rPr>
              <w:t>袋除尘器处理，处理后通过</w:t>
            </w:r>
          </w:p>
          <w:p>
            <w:pPr>
              <w:pStyle w:val="TableText"/>
              <w:ind w:left="464"/>
              <w:spacing w:before="24" w:line="227" w:lineRule="auto"/>
              <w:rPr/>
            </w:pPr>
            <w:r>
              <w:rPr>
                <w:rFonts w:ascii="Times New Roman" w:hAnsi="Times New Roman" w:eastAsia="Times New Roman" w:cs="Times New Roman"/>
                <w:spacing w:val="4"/>
              </w:rPr>
              <w:t>15m</w:t>
            </w:r>
            <w:r>
              <w:rPr>
                <w:rFonts w:ascii="Times New Roman" w:hAnsi="Times New Roman" w:eastAsia="Times New Roman" w:cs="Times New Roman"/>
                <w:spacing w:val="15"/>
                <w:w w:val="101"/>
              </w:rPr>
              <w:t xml:space="preserve"> </w:t>
            </w:r>
            <w:r>
              <w:rPr>
                <w:spacing w:val="4"/>
              </w:rPr>
              <w:t>高排气筒排放</w:t>
            </w:r>
          </w:p>
          <w:p>
            <w:pPr>
              <w:pStyle w:val="TableText"/>
              <w:ind w:left="48"/>
              <w:spacing w:before="27" w:line="228" w:lineRule="auto"/>
              <w:rPr/>
            </w:pPr>
            <w:r>
              <w:rPr>
                <w:spacing w:val="6"/>
              </w:rPr>
              <w:t>（</w:t>
            </w:r>
            <w:r>
              <w:rPr>
                <w:rFonts w:ascii="Times New Roman" w:hAnsi="Times New Roman" w:eastAsia="Times New Roman" w:cs="Times New Roman"/>
              </w:rPr>
              <w:t>DA</w:t>
            </w:r>
            <w:r>
              <w:rPr>
                <w:rFonts w:ascii="Times New Roman" w:hAnsi="Times New Roman" w:eastAsia="Times New Roman" w:cs="Times New Roman"/>
                <w:spacing w:val="6"/>
              </w:rPr>
              <w:t>001</w:t>
            </w:r>
            <w:r>
              <w:rPr>
                <w:spacing w:val="18"/>
              </w:rPr>
              <w:t>）；</w:t>
            </w:r>
            <w:r>
              <w:rPr>
                <w:spacing w:val="6"/>
              </w:rPr>
              <w:t>西厂区洗毛车</w:t>
            </w:r>
          </w:p>
          <w:p>
            <w:pPr>
              <w:pStyle w:val="TableText"/>
              <w:ind w:left="152"/>
              <w:spacing w:before="24" w:line="227" w:lineRule="auto"/>
              <w:rPr/>
            </w:pPr>
            <w:r>
              <w:rPr>
                <w:spacing w:val="7"/>
              </w:rPr>
              <w:t>间除杂粉尘经集气罩收集</w:t>
            </w:r>
          </w:p>
          <w:p>
            <w:pPr>
              <w:pStyle w:val="TableText"/>
              <w:ind w:left="32"/>
              <w:spacing w:before="28" w:line="226" w:lineRule="auto"/>
              <w:rPr/>
            </w:pPr>
            <w:r>
              <w:rPr>
                <w:spacing w:val="8"/>
              </w:rPr>
              <w:t>后，通过一套布袋除尘器处</w:t>
            </w:r>
          </w:p>
          <w:p>
            <w:pPr>
              <w:pStyle w:val="TableText"/>
              <w:ind w:left="14"/>
              <w:spacing w:before="26" w:line="227" w:lineRule="auto"/>
              <w:rPr/>
            </w:pPr>
            <w:r>
              <w:rPr>
                <w:spacing w:val="3"/>
              </w:rPr>
              <w:t>理，处理后通过</w:t>
            </w:r>
            <w:r>
              <w:rPr>
                <w:spacing w:val="-13"/>
              </w:rPr>
              <w:t xml:space="preserve"> </w:t>
            </w:r>
            <w:r>
              <w:rPr>
                <w:rFonts w:ascii="Times New Roman" w:hAnsi="Times New Roman" w:eastAsia="Times New Roman" w:cs="Times New Roman"/>
                <w:spacing w:val="3"/>
              </w:rPr>
              <w:t>15m</w:t>
            </w:r>
            <w:r>
              <w:rPr>
                <w:rFonts w:ascii="Times New Roman" w:hAnsi="Times New Roman" w:eastAsia="Times New Roman" w:cs="Times New Roman"/>
                <w:spacing w:val="17"/>
                <w:w w:val="101"/>
              </w:rPr>
              <w:t xml:space="preserve"> </w:t>
            </w:r>
            <w:r>
              <w:rPr>
                <w:spacing w:val="3"/>
              </w:rPr>
              <w:t>高排气</w:t>
            </w:r>
          </w:p>
          <w:p>
            <w:pPr>
              <w:pStyle w:val="TableText"/>
              <w:ind w:left="355"/>
              <w:spacing w:before="26" w:line="218" w:lineRule="auto"/>
              <w:rPr/>
            </w:pPr>
            <w:r>
              <w:rPr>
                <w:spacing w:val="6"/>
              </w:rPr>
              <w:t>筒排放（</w:t>
            </w:r>
            <w:r>
              <w:rPr>
                <w:rFonts w:ascii="Times New Roman" w:hAnsi="Times New Roman" w:eastAsia="Times New Roman" w:cs="Times New Roman"/>
              </w:rPr>
              <w:t>DA</w:t>
            </w:r>
            <w:r>
              <w:rPr>
                <w:rFonts w:ascii="Times New Roman" w:hAnsi="Times New Roman" w:eastAsia="Times New Roman" w:cs="Times New Roman"/>
                <w:spacing w:val="6"/>
              </w:rPr>
              <w:t>002</w:t>
            </w:r>
            <w:r>
              <w:rPr>
                <w:spacing w:val="6"/>
              </w:rPr>
              <w:t>）。</w:t>
            </w:r>
          </w:p>
        </w:tc>
      </w:tr>
      <w:tr>
        <w:trPr>
          <w:trHeight w:val="822" w:hRule="atLeast"/>
        </w:trPr>
        <w:tc>
          <w:tcPr>
            <w:tcW w:w="477" w:type="dxa"/>
            <w:vAlign w:val="top"/>
            <w:vMerge w:val="continue"/>
            <w:textDirection w:val="tbRlV"/>
            <w:tcBorders>
              <w:top w:val="nil"/>
              <w:bottom w:val="nil"/>
            </w:tcBorders>
          </w:tcPr>
          <w:p>
            <w:pPr>
              <w:rPr>
                <w:rFonts w:ascii="Arial"/>
                <w:sz w:val="21"/>
              </w:rPr>
            </w:pPr>
            <w:r/>
          </w:p>
        </w:tc>
        <w:tc>
          <w:tcPr>
            <w:tcW w:w="1742" w:type="dxa"/>
            <w:vAlign w:val="top"/>
          </w:tcPr>
          <w:p>
            <w:pPr>
              <w:pStyle w:val="TableText"/>
              <w:ind w:left="243"/>
              <w:spacing w:before="305" w:line="227" w:lineRule="auto"/>
              <w:rPr/>
            </w:pPr>
            <w:r>
              <w:rPr>
                <w:spacing w:val="8"/>
              </w:rPr>
              <w:t>洗毛恶臭气体</w:t>
            </w:r>
          </w:p>
        </w:tc>
        <w:tc>
          <w:tcPr>
            <w:tcW w:w="709" w:type="dxa"/>
            <w:vAlign w:val="top"/>
          </w:tcPr>
          <w:p>
            <w:pPr>
              <w:spacing w:line="282" w:lineRule="auto"/>
              <w:rPr>
                <w:rFonts w:ascii="Arial"/>
                <w:sz w:val="21"/>
              </w:rPr>
            </w:pPr>
            <w:r/>
          </w:p>
          <w:p>
            <w:pPr>
              <w:ind w:left="63"/>
              <w:spacing w:before="57"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2"/>
                <w:position w:val="1"/>
              </w:rPr>
              <w:t>G</w:t>
            </w:r>
            <w:r>
              <w:rPr>
                <w:rFonts w:ascii="Times New Roman" w:hAnsi="Times New Roman" w:eastAsia="Times New Roman" w:cs="Times New Roman"/>
                <w:sz w:val="13"/>
                <w:szCs w:val="13"/>
                <w:spacing w:val="2"/>
              </w:rPr>
              <w:t>1-3-1~4</w:t>
            </w:r>
          </w:p>
        </w:tc>
        <w:tc>
          <w:tcPr>
            <w:tcW w:w="1416" w:type="dxa"/>
            <w:vAlign w:val="top"/>
          </w:tcPr>
          <w:p>
            <w:pPr>
              <w:pStyle w:val="TableText"/>
              <w:ind w:left="292"/>
              <w:spacing w:before="304" w:line="228" w:lineRule="auto"/>
              <w:rPr/>
            </w:pPr>
            <w:r>
              <w:rPr>
                <w:spacing w:val="7"/>
              </w:rPr>
              <w:t>洗毛车间</w:t>
            </w:r>
          </w:p>
        </w:tc>
        <w:tc>
          <w:tcPr>
            <w:tcW w:w="1787" w:type="dxa"/>
            <w:vAlign w:val="top"/>
          </w:tcPr>
          <w:p>
            <w:pPr>
              <w:pStyle w:val="TableText"/>
              <w:ind w:left="481" w:right="51" w:hanging="421"/>
              <w:spacing w:before="169" w:line="251" w:lineRule="auto"/>
              <w:rPr/>
            </w:pPr>
            <w:r>
              <w:rPr>
                <w:spacing w:val="8"/>
              </w:rPr>
              <w:t>硫化氢、氨气、臭</w:t>
            </w:r>
            <w:r>
              <w:rPr>
                <w:spacing w:val="5"/>
              </w:rPr>
              <w:t xml:space="preserve"> </w:t>
            </w:r>
            <w:r>
              <w:rPr>
                <w:spacing w:val="7"/>
              </w:rPr>
              <w:t>气浓度等</w:t>
            </w:r>
          </w:p>
        </w:tc>
        <w:tc>
          <w:tcPr>
            <w:tcW w:w="2574" w:type="dxa"/>
            <w:vAlign w:val="top"/>
          </w:tcPr>
          <w:p>
            <w:pPr>
              <w:pStyle w:val="TableText"/>
              <w:ind w:left="29"/>
              <w:spacing w:before="32" w:line="225" w:lineRule="auto"/>
              <w:rPr/>
            </w:pPr>
            <w:r>
              <w:rPr>
                <w:spacing w:val="8"/>
              </w:rPr>
              <w:t>洗槽周边喷洒生物除臭剂，</w:t>
            </w:r>
          </w:p>
          <w:p>
            <w:pPr>
              <w:pStyle w:val="TableText"/>
              <w:ind w:left="51"/>
              <w:spacing w:before="29" w:line="227" w:lineRule="auto"/>
              <w:rPr/>
            </w:pPr>
            <w:r>
              <w:rPr>
                <w:spacing w:val="7"/>
              </w:rPr>
              <w:t>同时加强车间通风，废气无</w:t>
            </w:r>
          </w:p>
          <w:p>
            <w:pPr>
              <w:pStyle w:val="TableText"/>
              <w:ind w:left="770"/>
              <w:spacing w:before="25" w:line="217" w:lineRule="auto"/>
              <w:rPr/>
            </w:pPr>
            <w:r>
              <w:rPr>
                <w:spacing w:val="5"/>
              </w:rPr>
              <w:t>组织排放。</w:t>
            </w:r>
          </w:p>
        </w:tc>
      </w:tr>
      <w:tr>
        <w:trPr>
          <w:trHeight w:val="550" w:hRule="atLeast"/>
        </w:trPr>
        <w:tc>
          <w:tcPr>
            <w:tcW w:w="477" w:type="dxa"/>
            <w:vAlign w:val="top"/>
            <w:vMerge w:val="continue"/>
            <w:textDirection w:val="tbRlV"/>
            <w:tcBorders>
              <w:top w:val="nil"/>
              <w:bottom w:val="nil"/>
            </w:tcBorders>
          </w:tcPr>
          <w:p>
            <w:pPr>
              <w:rPr>
                <w:rFonts w:ascii="Arial"/>
                <w:sz w:val="21"/>
              </w:rPr>
            </w:pPr>
            <w:r/>
          </w:p>
        </w:tc>
        <w:tc>
          <w:tcPr>
            <w:tcW w:w="1742" w:type="dxa"/>
            <w:vAlign w:val="top"/>
          </w:tcPr>
          <w:p>
            <w:pPr>
              <w:pStyle w:val="TableText"/>
              <w:ind w:left="243"/>
              <w:spacing w:before="166" w:line="228" w:lineRule="auto"/>
              <w:rPr/>
            </w:pPr>
            <w:r>
              <w:rPr>
                <w:spacing w:val="8"/>
              </w:rPr>
              <w:t>梳绒车间粉尘</w:t>
            </w:r>
          </w:p>
        </w:tc>
        <w:tc>
          <w:tcPr>
            <w:tcW w:w="709" w:type="dxa"/>
            <w:vAlign w:val="top"/>
          </w:tcPr>
          <w:p>
            <w:pPr>
              <w:ind w:left="193"/>
              <w:spacing w:before="205"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G</w:t>
            </w:r>
            <w:r>
              <w:rPr>
                <w:rFonts w:ascii="Times New Roman" w:hAnsi="Times New Roman" w:eastAsia="Times New Roman" w:cs="Times New Roman"/>
                <w:sz w:val="13"/>
                <w:szCs w:val="13"/>
                <w:spacing w:val="1"/>
              </w:rPr>
              <w:t>2-1</w:t>
            </w:r>
          </w:p>
        </w:tc>
        <w:tc>
          <w:tcPr>
            <w:tcW w:w="1416" w:type="dxa"/>
            <w:vAlign w:val="top"/>
          </w:tcPr>
          <w:p>
            <w:pPr>
              <w:pStyle w:val="TableText"/>
              <w:ind w:left="292"/>
              <w:spacing w:before="166" w:line="228" w:lineRule="auto"/>
              <w:rPr/>
            </w:pPr>
            <w:r>
              <w:rPr>
                <w:spacing w:val="7"/>
              </w:rPr>
              <w:t>梳绒车间</w:t>
            </w:r>
          </w:p>
        </w:tc>
        <w:tc>
          <w:tcPr>
            <w:tcW w:w="1787" w:type="dxa"/>
            <w:vAlign w:val="top"/>
          </w:tcPr>
          <w:p>
            <w:pPr>
              <w:pStyle w:val="TableText"/>
              <w:ind w:left="583"/>
              <w:spacing w:before="166" w:line="228" w:lineRule="auto"/>
              <w:rPr/>
            </w:pPr>
            <w:r>
              <w:rPr>
                <w:spacing w:val="7"/>
              </w:rPr>
              <w:t>颗粒物</w:t>
            </w:r>
          </w:p>
        </w:tc>
        <w:tc>
          <w:tcPr>
            <w:tcW w:w="2574" w:type="dxa"/>
            <w:vAlign w:val="top"/>
          </w:tcPr>
          <w:p>
            <w:pPr>
              <w:pStyle w:val="TableText"/>
              <w:ind w:left="29"/>
              <w:spacing w:before="32" w:line="228" w:lineRule="auto"/>
              <w:rPr/>
            </w:pPr>
            <w:r>
              <w:rPr>
                <w:spacing w:val="9"/>
              </w:rPr>
              <w:t>梳绒车间全封闭，设备自带</w:t>
            </w:r>
          </w:p>
          <w:p>
            <w:pPr>
              <w:pStyle w:val="TableText"/>
              <w:ind w:left="1083"/>
              <w:spacing w:before="24" w:line="218" w:lineRule="auto"/>
              <w:rPr/>
            </w:pPr>
            <w:r>
              <w:rPr>
                <w:spacing w:val="3"/>
              </w:rPr>
              <w:t>滤袋</w:t>
            </w:r>
          </w:p>
        </w:tc>
      </w:tr>
      <w:tr>
        <w:trPr>
          <w:trHeight w:val="2183" w:hRule="atLeast"/>
        </w:trPr>
        <w:tc>
          <w:tcPr>
            <w:tcW w:w="477" w:type="dxa"/>
            <w:vAlign w:val="top"/>
            <w:vMerge w:val="continue"/>
            <w:textDirection w:val="tbRlV"/>
            <w:tcBorders>
              <w:top w:val="nil"/>
              <w:bottom w:val="nil"/>
            </w:tcBorders>
          </w:tcPr>
          <w:p>
            <w:pPr>
              <w:rPr>
                <w:rFonts w:ascii="Arial"/>
                <w:sz w:val="21"/>
              </w:rPr>
            </w:pPr>
            <w:r/>
          </w:p>
        </w:tc>
        <w:tc>
          <w:tcPr>
            <w:tcW w:w="1742" w:type="dxa"/>
            <w:vAlign w:val="top"/>
            <w:vMerge w:val="restart"/>
            <w:tcBorders>
              <w:bottom w:val="nil"/>
            </w:tcBorders>
          </w:tcPr>
          <w:p>
            <w:pPr>
              <w:spacing w:line="263"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pStyle w:val="TableText"/>
              <w:ind w:left="663" w:right="32" w:hanging="628"/>
              <w:spacing w:before="65" w:line="251" w:lineRule="auto"/>
              <w:rPr/>
            </w:pPr>
            <w:r>
              <w:rPr>
                <w:spacing w:val="8"/>
              </w:rPr>
              <w:t>厌氧发酵装置恶臭</w:t>
            </w:r>
            <w:r>
              <w:rPr>
                <w:spacing w:val="3"/>
              </w:rPr>
              <w:t xml:space="preserve"> </w:t>
            </w:r>
            <w:r>
              <w:rPr>
                <w:spacing w:val="4"/>
              </w:rPr>
              <w:t>气体</w:t>
            </w:r>
          </w:p>
        </w:tc>
        <w:tc>
          <w:tcPr>
            <w:tcW w:w="709" w:type="dxa"/>
            <w:vAlign w:val="top"/>
          </w:tcPr>
          <w:p>
            <w:pPr>
              <w:spacing w:line="319" w:lineRule="auto"/>
              <w:rPr>
                <w:rFonts w:ascii="Arial"/>
                <w:sz w:val="21"/>
              </w:rPr>
            </w:pPr>
            <w:r/>
          </w:p>
          <w:p>
            <w:pPr>
              <w:spacing w:line="319" w:lineRule="auto"/>
              <w:rPr>
                <w:rFonts w:ascii="Arial"/>
                <w:sz w:val="21"/>
              </w:rPr>
            </w:pPr>
            <w:r/>
          </w:p>
          <w:p>
            <w:pPr>
              <w:spacing w:line="319" w:lineRule="auto"/>
              <w:rPr>
                <w:rFonts w:ascii="Arial"/>
                <w:sz w:val="21"/>
              </w:rPr>
            </w:pPr>
            <w:r/>
          </w:p>
          <w:p>
            <w:pPr>
              <w:ind w:left="193"/>
              <w:spacing w:before="57" w:line="21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G</w:t>
            </w:r>
            <w:r>
              <w:rPr>
                <w:rFonts w:ascii="Times New Roman" w:hAnsi="Times New Roman" w:eastAsia="Times New Roman" w:cs="Times New Roman"/>
                <w:sz w:val="13"/>
                <w:szCs w:val="13"/>
                <w:spacing w:val="1"/>
              </w:rPr>
              <w:t>3-1</w:t>
            </w:r>
          </w:p>
        </w:tc>
        <w:tc>
          <w:tcPr>
            <w:tcW w:w="1416" w:type="dxa"/>
            <w:vAlign w:val="top"/>
          </w:tcPr>
          <w:p>
            <w:pPr>
              <w:spacing w:line="321" w:lineRule="auto"/>
              <w:rPr>
                <w:rFonts w:ascii="Arial"/>
                <w:sz w:val="21"/>
              </w:rPr>
            </w:pPr>
            <w:r/>
          </w:p>
          <w:p>
            <w:pPr>
              <w:spacing w:line="322" w:lineRule="auto"/>
              <w:rPr>
                <w:rFonts w:ascii="Arial"/>
                <w:sz w:val="21"/>
              </w:rPr>
            </w:pPr>
            <w:r/>
          </w:p>
          <w:p>
            <w:pPr>
              <w:pStyle w:val="TableText"/>
              <w:ind w:left="11" w:right="3" w:hanging="2"/>
              <w:spacing w:before="65" w:line="251" w:lineRule="auto"/>
              <w:rPr/>
            </w:pPr>
            <w:r>
              <w:rPr>
                <w:spacing w:val="-5"/>
              </w:rPr>
              <w:t>废水收集池、</w:t>
            </w:r>
            <w:r>
              <w:rPr>
                <w:rFonts w:ascii="Times New Roman" w:hAnsi="Times New Roman" w:eastAsia="Times New Roman" w:cs="Times New Roman"/>
                <w:spacing w:val="-5"/>
              </w:rPr>
              <w:t>TS</w:t>
            </w:r>
            <w:r>
              <w:rPr>
                <w:rFonts w:ascii="Times New Roman" w:hAnsi="Times New Roman" w:eastAsia="Times New Roman" w:cs="Times New Roman"/>
                <w:spacing w:val="3"/>
              </w:rPr>
              <w:t xml:space="preserve"> </w:t>
            </w:r>
            <w:r>
              <w:rPr>
                <w:spacing w:val="-1"/>
              </w:rPr>
              <w:t>调节池、固液分</w:t>
            </w:r>
          </w:p>
          <w:p>
            <w:pPr>
              <w:pStyle w:val="TableText"/>
              <w:ind w:left="13"/>
              <w:spacing w:line="227" w:lineRule="auto"/>
              <w:rPr/>
            </w:pPr>
            <w:r>
              <w:rPr>
                <w:spacing w:val="-2"/>
              </w:rPr>
              <w:t>离池、沼液池等</w:t>
            </w:r>
          </w:p>
        </w:tc>
        <w:tc>
          <w:tcPr>
            <w:tcW w:w="1787" w:type="dxa"/>
            <w:vAlign w:val="top"/>
          </w:tcPr>
          <w:p>
            <w:pPr>
              <w:spacing w:line="259" w:lineRule="auto"/>
              <w:rPr>
                <w:rFonts w:ascii="Arial"/>
                <w:sz w:val="21"/>
              </w:rPr>
            </w:pPr>
            <w:r/>
          </w:p>
          <w:p>
            <w:pPr>
              <w:spacing w:line="259" w:lineRule="auto"/>
              <w:rPr>
                <w:rFonts w:ascii="Arial"/>
                <w:sz w:val="21"/>
              </w:rPr>
            </w:pPr>
            <w:r/>
          </w:p>
          <w:p>
            <w:pPr>
              <w:spacing w:line="260" w:lineRule="auto"/>
              <w:rPr>
                <w:rFonts w:ascii="Arial"/>
                <w:sz w:val="21"/>
              </w:rPr>
            </w:pPr>
            <w:r/>
          </w:p>
          <w:p>
            <w:pPr>
              <w:pStyle w:val="TableText"/>
              <w:ind w:left="15"/>
              <w:spacing w:before="65" w:line="227" w:lineRule="auto"/>
              <w:rPr/>
            </w:pPr>
            <w:r>
              <w:rPr>
                <w:rFonts w:ascii="Times New Roman" w:hAnsi="Times New Roman" w:eastAsia="Times New Roman" w:cs="Times New Roman"/>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pacing w:val="3"/>
              </w:rPr>
              <w:t>S</w:t>
            </w:r>
            <w:r>
              <w:rPr>
                <w:rFonts w:ascii="Times New Roman" w:hAnsi="Times New Roman" w:eastAsia="Times New Roman" w:cs="Times New Roman"/>
                <w:spacing w:val="-23"/>
              </w:rPr>
              <w:t xml:space="preserve"> </w:t>
            </w:r>
            <w:r>
              <w:rPr>
                <w:spacing w:val="3"/>
              </w:rPr>
              <w:t>、</w:t>
            </w:r>
            <w:r>
              <w:rPr>
                <w:rFonts w:ascii="Times New Roman" w:hAnsi="Times New Roman" w:eastAsia="Times New Roman" w:cs="Times New Roman"/>
              </w:rPr>
              <w:t>NH</w:t>
            </w:r>
            <w:r>
              <w:rPr>
                <w:rFonts w:ascii="Times New Roman" w:hAnsi="Times New Roman" w:eastAsia="Times New Roman" w:cs="Times New Roman"/>
                <w:sz w:val="13"/>
                <w:szCs w:val="13"/>
                <w:spacing w:val="3"/>
                <w:position w:val="-1"/>
              </w:rPr>
              <w:t>3</w:t>
            </w:r>
            <w:r>
              <w:rPr>
                <w:rFonts w:ascii="Times New Roman" w:hAnsi="Times New Roman" w:eastAsia="Times New Roman" w:cs="Times New Roman"/>
                <w:sz w:val="13"/>
                <w:szCs w:val="13"/>
                <w:spacing w:val="-11"/>
                <w:position w:val="-1"/>
              </w:rPr>
              <w:t xml:space="preserve"> </w:t>
            </w:r>
            <w:r>
              <w:rPr>
                <w:spacing w:val="3"/>
              </w:rPr>
              <w:t>、臭气浓</w:t>
            </w:r>
          </w:p>
          <w:p>
            <w:pPr>
              <w:pStyle w:val="TableText"/>
              <w:ind w:left="794"/>
              <w:spacing w:before="25" w:line="228" w:lineRule="auto"/>
              <w:rPr/>
            </w:pPr>
            <w:r>
              <w:rPr>
                <w:spacing w:val="1"/>
              </w:rPr>
              <w:t>度</w:t>
            </w:r>
          </w:p>
        </w:tc>
        <w:tc>
          <w:tcPr>
            <w:tcW w:w="2574" w:type="dxa"/>
            <w:vAlign w:val="top"/>
          </w:tcPr>
          <w:p>
            <w:pPr>
              <w:pStyle w:val="TableText"/>
              <w:spacing w:before="31" w:line="228" w:lineRule="auto"/>
              <w:jc w:val="right"/>
              <w:rPr/>
            </w:pPr>
            <w:r>
              <w:rPr>
                <w:spacing w:val="6"/>
              </w:rPr>
              <w:t>对废水收集池、</w:t>
            </w:r>
            <w:r>
              <w:rPr>
                <w:rFonts w:ascii="Times New Roman" w:hAnsi="Times New Roman" w:eastAsia="Times New Roman" w:cs="Times New Roman"/>
              </w:rPr>
              <w:t>TS</w:t>
            </w:r>
            <w:r>
              <w:rPr>
                <w:rFonts w:ascii="Times New Roman" w:hAnsi="Times New Roman" w:eastAsia="Times New Roman" w:cs="Times New Roman"/>
                <w:spacing w:val="6"/>
              </w:rPr>
              <w:t xml:space="preserve"> </w:t>
            </w:r>
            <w:r>
              <w:rPr>
                <w:spacing w:val="6"/>
              </w:rPr>
              <w:t>调节池、</w:t>
            </w:r>
          </w:p>
          <w:p>
            <w:pPr>
              <w:pStyle w:val="TableText"/>
              <w:ind w:left="48"/>
              <w:spacing w:before="24" w:line="228" w:lineRule="auto"/>
              <w:rPr/>
            </w:pPr>
            <w:r>
              <w:rPr>
                <w:spacing w:val="7"/>
              </w:rPr>
              <w:t>固液分离池、沼液池进行封</w:t>
            </w:r>
          </w:p>
          <w:p>
            <w:pPr>
              <w:pStyle w:val="TableText"/>
              <w:ind w:left="51"/>
              <w:spacing w:before="25" w:line="228" w:lineRule="auto"/>
              <w:rPr/>
            </w:pPr>
            <w:r>
              <w:rPr>
                <w:spacing w:val="7"/>
              </w:rPr>
              <w:t>闭；池体位于西厂区洗毛车</w:t>
            </w:r>
          </w:p>
          <w:p>
            <w:pPr>
              <w:pStyle w:val="TableText"/>
              <w:ind w:left="47"/>
              <w:spacing w:before="27" w:line="227" w:lineRule="auto"/>
              <w:rPr/>
            </w:pPr>
            <w:r>
              <w:rPr>
                <w:spacing w:val="7"/>
              </w:rPr>
              <w:t>间内，废气经收集管道收集</w:t>
            </w:r>
          </w:p>
          <w:p>
            <w:pPr>
              <w:pStyle w:val="TableText"/>
              <w:ind w:left="32"/>
              <w:spacing w:before="25" w:line="228" w:lineRule="auto"/>
              <w:rPr/>
            </w:pPr>
            <w:r>
              <w:rPr>
                <w:spacing w:val="9"/>
              </w:rPr>
              <w:t>后，通过西厂区洗毛车间一</w:t>
            </w:r>
          </w:p>
          <w:p>
            <w:pPr>
              <w:pStyle w:val="TableText"/>
              <w:ind w:left="31"/>
              <w:spacing w:before="25" w:line="226" w:lineRule="auto"/>
              <w:rPr/>
            </w:pPr>
            <w:r>
              <w:rPr>
                <w:spacing w:val="9"/>
              </w:rPr>
              <w:t>套活性炭吸附装置处理，处</w:t>
            </w:r>
          </w:p>
          <w:p>
            <w:pPr>
              <w:pStyle w:val="TableText"/>
              <w:ind w:left="14"/>
              <w:spacing w:before="28" w:line="227" w:lineRule="auto"/>
              <w:rPr/>
            </w:pPr>
            <w:r>
              <w:rPr>
                <w:spacing w:val="9"/>
              </w:rPr>
              <w:t>理后通过</w:t>
            </w:r>
            <w:r>
              <w:rPr>
                <w:spacing w:val="-26"/>
              </w:rPr>
              <w:t xml:space="preserve"> </w:t>
            </w:r>
            <w:r>
              <w:rPr>
                <w:rFonts w:ascii="Times New Roman" w:hAnsi="Times New Roman" w:eastAsia="Times New Roman" w:cs="Times New Roman"/>
                <w:spacing w:val="9"/>
              </w:rPr>
              <w:t>15m</w:t>
            </w:r>
            <w:r>
              <w:rPr>
                <w:spacing w:val="9"/>
              </w:rPr>
              <w:t>高排气筒排放</w:t>
            </w:r>
          </w:p>
          <w:p>
            <w:pPr>
              <w:pStyle w:val="TableText"/>
              <w:ind w:left="676"/>
              <w:spacing w:before="26" w:line="217" w:lineRule="auto"/>
              <w:rPr/>
            </w:pPr>
            <w:r>
              <w:rPr>
                <w:spacing w:val="3"/>
              </w:rPr>
              <w:t>（</w:t>
            </w:r>
            <w:r>
              <w:rPr>
                <w:rFonts w:ascii="Times New Roman" w:hAnsi="Times New Roman" w:eastAsia="Times New Roman" w:cs="Times New Roman"/>
              </w:rPr>
              <w:t>DA</w:t>
            </w:r>
            <w:r>
              <w:rPr>
                <w:rFonts w:ascii="Times New Roman" w:hAnsi="Times New Roman" w:eastAsia="Times New Roman" w:cs="Times New Roman"/>
                <w:spacing w:val="3"/>
              </w:rPr>
              <w:t>003</w:t>
            </w:r>
            <w:r>
              <w:rPr>
                <w:spacing w:val="3"/>
              </w:rPr>
              <w:t>）。</w:t>
            </w:r>
          </w:p>
        </w:tc>
      </w:tr>
      <w:tr>
        <w:trPr>
          <w:trHeight w:val="550" w:hRule="atLeast"/>
        </w:trPr>
        <w:tc>
          <w:tcPr>
            <w:tcW w:w="477" w:type="dxa"/>
            <w:vAlign w:val="top"/>
            <w:vMerge w:val="continue"/>
            <w:textDirection w:val="tbRlV"/>
            <w:tcBorders>
              <w:top w:val="nil"/>
              <w:bottom w:val="nil"/>
            </w:tcBorders>
          </w:tcPr>
          <w:p>
            <w:pPr>
              <w:rPr>
                <w:rFonts w:ascii="Arial"/>
                <w:sz w:val="21"/>
              </w:rPr>
            </w:pPr>
            <w:r/>
          </w:p>
        </w:tc>
        <w:tc>
          <w:tcPr>
            <w:tcW w:w="1742" w:type="dxa"/>
            <w:vAlign w:val="top"/>
            <w:vMerge w:val="continue"/>
            <w:tcBorders>
              <w:top w:val="nil"/>
            </w:tcBorders>
          </w:tcPr>
          <w:p>
            <w:pPr>
              <w:rPr>
                <w:rFonts w:ascii="Arial"/>
                <w:sz w:val="21"/>
              </w:rPr>
            </w:pPr>
            <w:r/>
          </w:p>
        </w:tc>
        <w:tc>
          <w:tcPr>
            <w:tcW w:w="709" w:type="dxa"/>
            <w:vAlign w:val="top"/>
          </w:tcPr>
          <w:p>
            <w:pPr>
              <w:ind w:left="193"/>
              <w:spacing w:before="202" w:line="205"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G</w:t>
            </w:r>
            <w:r>
              <w:rPr>
                <w:rFonts w:ascii="Times New Roman" w:hAnsi="Times New Roman" w:eastAsia="Times New Roman" w:cs="Times New Roman"/>
                <w:sz w:val="13"/>
                <w:szCs w:val="13"/>
                <w:spacing w:val="1"/>
                <w:position w:val="-1"/>
              </w:rPr>
              <w:t>3-2</w:t>
            </w:r>
          </w:p>
        </w:tc>
        <w:tc>
          <w:tcPr>
            <w:tcW w:w="1416" w:type="dxa"/>
            <w:vAlign w:val="top"/>
          </w:tcPr>
          <w:p>
            <w:pPr>
              <w:pStyle w:val="TableText"/>
              <w:ind w:left="83"/>
              <w:spacing w:before="167" w:line="227" w:lineRule="auto"/>
              <w:rPr/>
            </w:pPr>
            <w:r>
              <w:rPr>
                <w:spacing w:val="8"/>
              </w:rPr>
              <w:t>厌氧发酵罐区</w:t>
            </w:r>
          </w:p>
        </w:tc>
        <w:tc>
          <w:tcPr>
            <w:tcW w:w="1787" w:type="dxa"/>
            <w:vAlign w:val="top"/>
          </w:tcPr>
          <w:p>
            <w:pPr>
              <w:pStyle w:val="TableText"/>
              <w:ind w:left="15"/>
              <w:spacing w:before="32" w:line="227" w:lineRule="auto"/>
              <w:rPr/>
            </w:pPr>
            <w:r>
              <w:rPr>
                <w:rFonts w:ascii="Times New Roman" w:hAnsi="Times New Roman" w:eastAsia="Times New Roman" w:cs="Times New Roman"/>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pacing w:val="3"/>
              </w:rPr>
              <w:t>S</w:t>
            </w:r>
            <w:r>
              <w:rPr>
                <w:rFonts w:ascii="Times New Roman" w:hAnsi="Times New Roman" w:eastAsia="Times New Roman" w:cs="Times New Roman"/>
                <w:spacing w:val="-23"/>
              </w:rPr>
              <w:t xml:space="preserve"> </w:t>
            </w:r>
            <w:r>
              <w:rPr>
                <w:spacing w:val="3"/>
              </w:rPr>
              <w:t>、</w:t>
            </w:r>
            <w:r>
              <w:rPr>
                <w:rFonts w:ascii="Times New Roman" w:hAnsi="Times New Roman" w:eastAsia="Times New Roman" w:cs="Times New Roman"/>
              </w:rPr>
              <w:t>NH</w:t>
            </w:r>
            <w:r>
              <w:rPr>
                <w:rFonts w:ascii="Times New Roman" w:hAnsi="Times New Roman" w:eastAsia="Times New Roman" w:cs="Times New Roman"/>
                <w:sz w:val="13"/>
                <w:szCs w:val="13"/>
                <w:spacing w:val="3"/>
                <w:position w:val="-1"/>
              </w:rPr>
              <w:t>3</w:t>
            </w:r>
            <w:r>
              <w:rPr>
                <w:rFonts w:ascii="Times New Roman" w:hAnsi="Times New Roman" w:eastAsia="Times New Roman" w:cs="Times New Roman"/>
                <w:sz w:val="13"/>
                <w:szCs w:val="13"/>
                <w:spacing w:val="-11"/>
                <w:position w:val="-1"/>
              </w:rPr>
              <w:t xml:space="preserve"> </w:t>
            </w:r>
            <w:r>
              <w:rPr>
                <w:spacing w:val="3"/>
              </w:rPr>
              <w:t>、臭气浓</w:t>
            </w:r>
          </w:p>
          <w:p>
            <w:pPr>
              <w:pStyle w:val="TableText"/>
              <w:ind w:left="794"/>
              <w:spacing w:before="25" w:line="218" w:lineRule="auto"/>
              <w:rPr/>
            </w:pPr>
            <w:r>
              <w:rPr>
                <w:spacing w:val="1"/>
              </w:rPr>
              <w:t>度</w:t>
            </w:r>
          </w:p>
        </w:tc>
        <w:tc>
          <w:tcPr>
            <w:tcW w:w="2574" w:type="dxa"/>
            <w:vAlign w:val="top"/>
          </w:tcPr>
          <w:p>
            <w:pPr>
              <w:pStyle w:val="TableText"/>
              <w:ind w:left="31"/>
              <w:spacing w:before="33" w:line="225" w:lineRule="auto"/>
              <w:rPr/>
            </w:pPr>
            <w:r>
              <w:rPr>
                <w:spacing w:val="9"/>
              </w:rPr>
              <w:t>厌氧发酵罐区喷洒生物除臭</w:t>
            </w:r>
          </w:p>
          <w:p>
            <w:pPr>
              <w:pStyle w:val="TableText"/>
              <w:ind w:left="451"/>
              <w:spacing w:before="26" w:line="218" w:lineRule="auto"/>
              <w:rPr/>
            </w:pPr>
            <w:r>
              <w:rPr>
                <w:spacing w:val="7"/>
              </w:rPr>
              <w:t>剂，罐区全封闭。</w:t>
            </w:r>
          </w:p>
        </w:tc>
      </w:tr>
      <w:tr>
        <w:trPr>
          <w:trHeight w:val="822" w:hRule="atLeast"/>
        </w:trPr>
        <w:tc>
          <w:tcPr>
            <w:tcW w:w="477" w:type="dxa"/>
            <w:vAlign w:val="top"/>
            <w:vMerge w:val="continue"/>
            <w:textDirection w:val="tbRlV"/>
            <w:tcBorders>
              <w:top w:val="nil"/>
              <w:bottom w:val="nil"/>
            </w:tcBorders>
          </w:tcPr>
          <w:p>
            <w:pPr>
              <w:rPr>
                <w:rFonts w:ascii="Arial"/>
                <w:sz w:val="21"/>
              </w:rPr>
            </w:pPr>
            <w:r/>
          </w:p>
        </w:tc>
        <w:tc>
          <w:tcPr>
            <w:tcW w:w="1742" w:type="dxa"/>
            <w:vAlign w:val="top"/>
          </w:tcPr>
          <w:p>
            <w:pPr>
              <w:pStyle w:val="TableText"/>
              <w:ind w:left="769" w:right="32" w:hanging="730"/>
              <w:spacing w:before="170" w:line="252" w:lineRule="auto"/>
              <w:rPr/>
            </w:pPr>
            <w:r>
              <w:rPr>
                <w:spacing w:val="8"/>
              </w:rPr>
              <w:t>沼渣晾晒区恶臭气</w:t>
            </w:r>
            <w:r>
              <w:rPr/>
              <w:t xml:space="preserve"> </w:t>
            </w:r>
            <w:r>
              <w:rPr/>
              <w:t>体</w:t>
            </w:r>
          </w:p>
        </w:tc>
        <w:tc>
          <w:tcPr>
            <w:tcW w:w="709" w:type="dxa"/>
            <w:vAlign w:val="top"/>
          </w:tcPr>
          <w:p>
            <w:pPr>
              <w:spacing w:line="280" w:lineRule="auto"/>
              <w:rPr>
                <w:rFonts w:ascii="Arial"/>
                <w:sz w:val="21"/>
              </w:rPr>
            </w:pPr>
            <w:r/>
          </w:p>
          <w:p>
            <w:pPr>
              <w:ind w:left="193"/>
              <w:spacing w:before="57" w:line="21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G</w:t>
            </w:r>
            <w:r>
              <w:rPr>
                <w:rFonts w:ascii="Times New Roman" w:hAnsi="Times New Roman" w:eastAsia="Times New Roman" w:cs="Times New Roman"/>
                <w:sz w:val="13"/>
                <w:szCs w:val="13"/>
                <w:spacing w:val="1"/>
              </w:rPr>
              <w:t>3-3</w:t>
            </w:r>
          </w:p>
        </w:tc>
        <w:tc>
          <w:tcPr>
            <w:tcW w:w="1416" w:type="dxa"/>
            <w:vAlign w:val="top"/>
          </w:tcPr>
          <w:p>
            <w:pPr>
              <w:pStyle w:val="TableText"/>
              <w:ind w:left="192"/>
              <w:spacing w:before="303" w:line="229" w:lineRule="auto"/>
              <w:rPr/>
            </w:pPr>
            <w:r>
              <w:rPr>
                <w:spacing w:val="7"/>
              </w:rPr>
              <w:t>沼渣晾晒区</w:t>
            </w:r>
          </w:p>
        </w:tc>
        <w:tc>
          <w:tcPr>
            <w:tcW w:w="1787" w:type="dxa"/>
            <w:vAlign w:val="top"/>
          </w:tcPr>
          <w:p>
            <w:pPr>
              <w:pStyle w:val="TableText"/>
              <w:ind w:left="15"/>
              <w:spacing w:before="168" w:line="227" w:lineRule="auto"/>
              <w:rPr/>
            </w:pPr>
            <w:r>
              <w:rPr>
                <w:rFonts w:ascii="Times New Roman" w:hAnsi="Times New Roman" w:eastAsia="Times New Roman" w:cs="Times New Roman"/>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pacing w:val="3"/>
              </w:rPr>
              <w:t>S</w:t>
            </w:r>
            <w:r>
              <w:rPr>
                <w:rFonts w:ascii="Times New Roman" w:hAnsi="Times New Roman" w:eastAsia="Times New Roman" w:cs="Times New Roman"/>
                <w:spacing w:val="-23"/>
              </w:rPr>
              <w:t xml:space="preserve"> </w:t>
            </w:r>
            <w:r>
              <w:rPr>
                <w:spacing w:val="3"/>
              </w:rPr>
              <w:t>、</w:t>
            </w:r>
            <w:r>
              <w:rPr>
                <w:rFonts w:ascii="Times New Roman" w:hAnsi="Times New Roman" w:eastAsia="Times New Roman" w:cs="Times New Roman"/>
              </w:rPr>
              <w:t>NH</w:t>
            </w:r>
            <w:r>
              <w:rPr>
                <w:rFonts w:ascii="Times New Roman" w:hAnsi="Times New Roman" w:eastAsia="Times New Roman" w:cs="Times New Roman"/>
                <w:sz w:val="13"/>
                <w:szCs w:val="13"/>
                <w:spacing w:val="3"/>
                <w:position w:val="-1"/>
              </w:rPr>
              <w:t>3</w:t>
            </w:r>
            <w:r>
              <w:rPr>
                <w:rFonts w:ascii="Times New Roman" w:hAnsi="Times New Roman" w:eastAsia="Times New Roman" w:cs="Times New Roman"/>
                <w:sz w:val="13"/>
                <w:szCs w:val="13"/>
                <w:spacing w:val="-11"/>
                <w:position w:val="-1"/>
              </w:rPr>
              <w:t xml:space="preserve"> </w:t>
            </w:r>
            <w:r>
              <w:rPr>
                <w:spacing w:val="3"/>
              </w:rPr>
              <w:t>、臭气浓</w:t>
            </w:r>
          </w:p>
          <w:p>
            <w:pPr>
              <w:pStyle w:val="TableText"/>
              <w:ind w:left="794"/>
              <w:spacing w:before="25" w:line="228" w:lineRule="auto"/>
              <w:rPr/>
            </w:pPr>
            <w:r>
              <w:rPr>
                <w:spacing w:val="1"/>
              </w:rPr>
              <w:t>度</w:t>
            </w:r>
          </w:p>
        </w:tc>
        <w:tc>
          <w:tcPr>
            <w:tcW w:w="2574" w:type="dxa"/>
            <w:vAlign w:val="top"/>
          </w:tcPr>
          <w:p>
            <w:pPr>
              <w:pStyle w:val="TableText"/>
              <w:ind w:left="40"/>
              <w:spacing w:before="32" w:line="225" w:lineRule="auto"/>
              <w:rPr/>
            </w:pPr>
            <w:r>
              <w:rPr>
                <w:spacing w:val="8"/>
              </w:rPr>
              <w:t>晾晒区封闭，喷洒生物除臭</w:t>
            </w:r>
          </w:p>
          <w:p>
            <w:pPr>
              <w:pStyle w:val="TableText"/>
              <w:ind w:left="31"/>
              <w:spacing w:before="26" w:line="227" w:lineRule="auto"/>
              <w:rPr/>
            </w:pPr>
            <w:r>
              <w:rPr>
                <w:spacing w:val="9"/>
              </w:rPr>
              <w:t>剂，同时加强通风，废气无</w:t>
            </w:r>
          </w:p>
          <w:p>
            <w:pPr>
              <w:pStyle w:val="TableText"/>
              <w:ind w:left="770"/>
              <w:spacing w:before="27" w:line="217" w:lineRule="auto"/>
              <w:rPr/>
            </w:pPr>
            <w:r>
              <w:rPr>
                <w:spacing w:val="5"/>
              </w:rPr>
              <w:t>组织排放。</w:t>
            </w:r>
          </w:p>
        </w:tc>
      </w:tr>
      <w:tr>
        <w:trPr>
          <w:trHeight w:val="277" w:hRule="atLeast"/>
        </w:trPr>
        <w:tc>
          <w:tcPr>
            <w:tcW w:w="477" w:type="dxa"/>
            <w:vAlign w:val="top"/>
            <w:vMerge w:val="continue"/>
            <w:textDirection w:val="tbRlV"/>
            <w:tcBorders>
              <w:top w:val="nil"/>
              <w:bottom w:val="nil"/>
            </w:tcBorders>
          </w:tcPr>
          <w:p>
            <w:pPr>
              <w:rPr>
                <w:rFonts w:ascii="Arial"/>
                <w:sz w:val="21"/>
              </w:rPr>
            </w:pPr>
            <w:r/>
          </w:p>
        </w:tc>
        <w:tc>
          <w:tcPr>
            <w:tcW w:w="1742" w:type="dxa"/>
            <w:vAlign w:val="top"/>
          </w:tcPr>
          <w:p>
            <w:pPr>
              <w:pStyle w:val="TableText"/>
              <w:ind w:left="456"/>
              <w:spacing w:before="33" w:line="216" w:lineRule="auto"/>
              <w:rPr/>
            </w:pPr>
            <w:r>
              <w:rPr>
                <w:spacing w:val="6"/>
              </w:rPr>
              <w:t>餐饮油烟</w:t>
            </w:r>
          </w:p>
        </w:tc>
        <w:tc>
          <w:tcPr>
            <w:tcW w:w="709" w:type="dxa"/>
            <w:vAlign w:val="top"/>
          </w:tcPr>
          <w:p>
            <w:pPr>
              <w:ind w:left="193"/>
              <w:spacing w:before="69" w:line="20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G</w:t>
            </w:r>
            <w:r>
              <w:rPr>
                <w:rFonts w:ascii="Times New Roman" w:hAnsi="Times New Roman" w:eastAsia="Times New Roman" w:cs="Times New Roman"/>
                <w:sz w:val="13"/>
                <w:szCs w:val="13"/>
                <w:spacing w:val="1"/>
              </w:rPr>
              <w:t>4-1</w:t>
            </w:r>
          </w:p>
        </w:tc>
        <w:tc>
          <w:tcPr>
            <w:tcW w:w="1416" w:type="dxa"/>
            <w:vAlign w:val="top"/>
          </w:tcPr>
          <w:p>
            <w:pPr>
              <w:pStyle w:val="TableText"/>
              <w:ind w:left="294"/>
              <w:spacing w:before="33" w:line="216" w:lineRule="auto"/>
              <w:rPr/>
            </w:pPr>
            <w:r>
              <w:rPr>
                <w:spacing w:val="7"/>
              </w:rPr>
              <w:t>职工食堂</w:t>
            </w:r>
          </w:p>
        </w:tc>
        <w:tc>
          <w:tcPr>
            <w:tcW w:w="1787" w:type="dxa"/>
            <w:vAlign w:val="top"/>
          </w:tcPr>
          <w:p>
            <w:pPr>
              <w:pStyle w:val="TableText"/>
              <w:ind w:left="693"/>
              <w:spacing w:before="33" w:line="216" w:lineRule="auto"/>
              <w:rPr/>
            </w:pPr>
            <w:r>
              <w:rPr>
                <w:spacing w:val="3"/>
              </w:rPr>
              <w:t>油烟</w:t>
            </w:r>
          </w:p>
        </w:tc>
        <w:tc>
          <w:tcPr>
            <w:tcW w:w="2574" w:type="dxa"/>
            <w:vAlign w:val="top"/>
          </w:tcPr>
          <w:p>
            <w:pPr>
              <w:pStyle w:val="TableText"/>
              <w:ind w:left="770"/>
              <w:spacing w:before="33" w:line="216" w:lineRule="auto"/>
              <w:rPr/>
            </w:pPr>
            <w:r>
              <w:rPr>
                <w:spacing w:val="7"/>
              </w:rPr>
              <w:t>油烟净化器</w:t>
            </w:r>
          </w:p>
        </w:tc>
      </w:tr>
      <w:tr>
        <w:trPr>
          <w:trHeight w:val="822" w:hRule="atLeast"/>
        </w:trPr>
        <w:tc>
          <w:tcPr>
            <w:tcW w:w="477" w:type="dxa"/>
            <w:vAlign w:val="top"/>
            <w:vMerge w:val="continue"/>
            <w:textDirection w:val="tbRlV"/>
            <w:tcBorders>
              <w:top w:val="nil"/>
              <w:bottom w:val="nil"/>
            </w:tcBorders>
          </w:tcPr>
          <w:p>
            <w:pPr>
              <w:rPr>
                <w:rFonts w:ascii="Arial"/>
                <w:sz w:val="21"/>
              </w:rPr>
            </w:pPr>
            <w:r/>
          </w:p>
        </w:tc>
        <w:tc>
          <w:tcPr>
            <w:tcW w:w="1742" w:type="dxa"/>
            <w:vAlign w:val="top"/>
          </w:tcPr>
          <w:p>
            <w:pPr>
              <w:pStyle w:val="TableText"/>
              <w:ind w:left="248"/>
              <w:spacing w:before="303" w:line="227" w:lineRule="auto"/>
              <w:rPr/>
            </w:pPr>
            <w:r>
              <w:rPr>
                <w:spacing w:val="7"/>
              </w:rPr>
              <w:t>沼气锅炉烟气</w:t>
            </w:r>
          </w:p>
        </w:tc>
        <w:tc>
          <w:tcPr>
            <w:tcW w:w="709" w:type="dxa"/>
            <w:vAlign w:val="top"/>
          </w:tcPr>
          <w:p>
            <w:pPr>
              <w:spacing w:line="279" w:lineRule="auto"/>
              <w:rPr>
                <w:rFonts w:ascii="Arial"/>
                <w:sz w:val="21"/>
              </w:rPr>
            </w:pPr>
            <w:r/>
          </w:p>
          <w:p>
            <w:pPr>
              <w:ind w:left="193"/>
              <w:spacing w:before="58" w:line="205"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G</w:t>
            </w:r>
            <w:r>
              <w:rPr>
                <w:rFonts w:ascii="Times New Roman" w:hAnsi="Times New Roman" w:eastAsia="Times New Roman" w:cs="Times New Roman"/>
                <w:sz w:val="13"/>
                <w:szCs w:val="13"/>
                <w:spacing w:val="1"/>
                <w:position w:val="-1"/>
              </w:rPr>
              <w:t>4-2</w:t>
            </w:r>
          </w:p>
        </w:tc>
        <w:tc>
          <w:tcPr>
            <w:tcW w:w="1416" w:type="dxa"/>
            <w:vAlign w:val="top"/>
          </w:tcPr>
          <w:p>
            <w:pPr>
              <w:pStyle w:val="TableText"/>
              <w:ind w:left="297"/>
              <w:spacing w:before="303" w:line="227" w:lineRule="auto"/>
              <w:rPr/>
            </w:pPr>
            <w:r>
              <w:rPr>
                <w:spacing w:val="6"/>
              </w:rPr>
              <w:t>沼气锅炉</w:t>
            </w:r>
          </w:p>
        </w:tc>
        <w:tc>
          <w:tcPr>
            <w:tcW w:w="1787" w:type="dxa"/>
            <w:vAlign w:val="top"/>
          </w:tcPr>
          <w:p>
            <w:pPr>
              <w:pStyle w:val="TableText"/>
              <w:ind w:left="19"/>
              <w:spacing w:before="302" w:line="228" w:lineRule="auto"/>
              <w:rPr>
                <w:rFonts w:ascii="Times New Roman" w:hAnsi="Times New Roman" w:eastAsia="Times New Roman" w:cs="Times New Roman"/>
                <w:sz w:val="13"/>
                <w:szCs w:val="13"/>
              </w:rPr>
            </w:pPr>
            <w:r>
              <w:rPr>
                <w:spacing w:val="9"/>
              </w:rPr>
              <w:t>颗粒物、</w:t>
            </w:r>
            <w:r>
              <w:rPr>
                <w:rFonts w:ascii="Times New Roman" w:hAnsi="Times New Roman" w:eastAsia="Times New Roman" w:cs="Times New Roman"/>
              </w:rPr>
              <w:t>SO</w:t>
            </w:r>
            <w:r>
              <w:rPr>
                <w:rFonts w:ascii="Times New Roman" w:hAnsi="Times New Roman" w:eastAsia="Times New Roman" w:cs="Times New Roman"/>
                <w:sz w:val="13"/>
                <w:szCs w:val="13"/>
                <w:spacing w:val="9"/>
                <w:position w:val="-1"/>
              </w:rPr>
              <w:t>2</w:t>
            </w:r>
            <w:r>
              <w:rPr>
                <w:rFonts w:ascii="Times New Roman" w:hAnsi="Times New Roman" w:eastAsia="Times New Roman" w:cs="Times New Roman"/>
                <w:sz w:val="13"/>
                <w:szCs w:val="13"/>
                <w:spacing w:val="-12"/>
                <w:position w:val="-1"/>
              </w:rPr>
              <w:t xml:space="preserve"> </w:t>
            </w:r>
            <w:r>
              <w:rPr>
                <w:spacing w:val="9"/>
              </w:rPr>
              <w:t>、</w:t>
            </w:r>
            <w:r>
              <w:rPr>
                <w:rFonts w:ascii="Times New Roman" w:hAnsi="Times New Roman" w:eastAsia="Times New Roman" w:cs="Times New Roman"/>
              </w:rPr>
              <w:t>NO</w:t>
            </w:r>
            <w:r>
              <w:rPr>
                <w:rFonts w:ascii="Times New Roman" w:hAnsi="Times New Roman" w:eastAsia="Times New Roman" w:cs="Times New Roman"/>
                <w:sz w:val="13"/>
                <w:szCs w:val="13"/>
                <w:position w:val="-1"/>
              </w:rPr>
              <w:t>x</w:t>
            </w:r>
          </w:p>
        </w:tc>
        <w:tc>
          <w:tcPr>
            <w:tcW w:w="2574" w:type="dxa"/>
            <w:vAlign w:val="top"/>
          </w:tcPr>
          <w:p>
            <w:pPr>
              <w:pStyle w:val="TableText"/>
              <w:ind w:left="29"/>
              <w:spacing w:before="32" w:line="224" w:lineRule="auto"/>
              <w:rPr/>
            </w:pPr>
            <w:r>
              <w:rPr>
                <w:spacing w:val="9"/>
              </w:rPr>
              <w:t>低氮燃烧技术，沼气锅炉烟</w:t>
            </w:r>
          </w:p>
          <w:p>
            <w:pPr>
              <w:pStyle w:val="TableText"/>
              <w:ind w:left="213"/>
              <w:spacing w:before="28" w:line="227" w:lineRule="auto"/>
              <w:rPr/>
            </w:pPr>
            <w:r>
              <w:rPr>
                <w:spacing w:val="4"/>
              </w:rPr>
              <w:t>气经</w:t>
            </w:r>
            <w:r>
              <w:rPr>
                <w:spacing w:val="-20"/>
              </w:rPr>
              <w:t xml:space="preserve"> </w:t>
            </w:r>
            <w:r>
              <w:rPr>
                <w:rFonts w:ascii="Times New Roman" w:hAnsi="Times New Roman" w:eastAsia="Times New Roman" w:cs="Times New Roman"/>
                <w:spacing w:val="4"/>
              </w:rPr>
              <w:t>10m</w:t>
            </w:r>
            <w:r>
              <w:rPr>
                <w:rFonts w:ascii="Times New Roman" w:hAnsi="Times New Roman" w:eastAsia="Times New Roman" w:cs="Times New Roman"/>
                <w:spacing w:val="15"/>
                <w:w w:val="101"/>
              </w:rPr>
              <w:t xml:space="preserve"> </w:t>
            </w:r>
            <w:r>
              <w:rPr>
                <w:spacing w:val="4"/>
              </w:rPr>
              <w:t>高排气筒排放</w:t>
            </w:r>
          </w:p>
          <w:p>
            <w:pPr>
              <w:pStyle w:val="TableText"/>
              <w:ind w:left="676"/>
              <w:spacing w:before="27" w:line="217" w:lineRule="auto"/>
              <w:rPr/>
            </w:pPr>
            <w:r>
              <w:rPr>
                <w:spacing w:val="3"/>
              </w:rPr>
              <w:t>（</w:t>
            </w:r>
            <w:r>
              <w:rPr>
                <w:rFonts w:ascii="Times New Roman" w:hAnsi="Times New Roman" w:eastAsia="Times New Roman" w:cs="Times New Roman"/>
              </w:rPr>
              <w:t>DA</w:t>
            </w:r>
            <w:r>
              <w:rPr>
                <w:rFonts w:ascii="Times New Roman" w:hAnsi="Times New Roman" w:eastAsia="Times New Roman" w:cs="Times New Roman"/>
                <w:spacing w:val="3"/>
              </w:rPr>
              <w:t>004</w:t>
            </w:r>
            <w:r>
              <w:rPr>
                <w:spacing w:val="3"/>
              </w:rPr>
              <w:t>）。</w:t>
            </w:r>
          </w:p>
        </w:tc>
      </w:tr>
      <w:tr>
        <w:trPr>
          <w:trHeight w:val="1093" w:hRule="atLeast"/>
        </w:trPr>
        <w:tc>
          <w:tcPr>
            <w:tcW w:w="477" w:type="dxa"/>
            <w:vAlign w:val="top"/>
            <w:vMerge w:val="continue"/>
            <w:textDirection w:val="tbRlV"/>
            <w:tcBorders>
              <w:top w:val="nil"/>
            </w:tcBorders>
          </w:tcPr>
          <w:p>
            <w:pPr>
              <w:rPr>
                <w:rFonts w:ascii="Arial"/>
                <w:sz w:val="21"/>
              </w:rPr>
            </w:pPr>
            <w:r/>
          </w:p>
        </w:tc>
        <w:tc>
          <w:tcPr>
            <w:tcW w:w="1742" w:type="dxa"/>
            <w:vAlign w:val="top"/>
          </w:tcPr>
          <w:p>
            <w:pPr>
              <w:spacing w:line="373" w:lineRule="auto"/>
              <w:rPr>
                <w:rFonts w:ascii="Arial"/>
                <w:sz w:val="21"/>
              </w:rPr>
            </w:pPr>
            <w:r/>
          </w:p>
          <w:p>
            <w:pPr>
              <w:pStyle w:val="TableText"/>
              <w:ind w:left="142"/>
              <w:spacing w:before="65" w:line="227" w:lineRule="auto"/>
              <w:rPr/>
            </w:pPr>
            <w:r>
              <w:rPr>
                <w:spacing w:val="8"/>
              </w:rPr>
              <w:t>生物质锅炉烟气</w:t>
            </w:r>
          </w:p>
        </w:tc>
        <w:tc>
          <w:tcPr>
            <w:tcW w:w="709" w:type="dxa"/>
            <w:vAlign w:val="top"/>
          </w:tcPr>
          <w:p>
            <w:pPr>
              <w:spacing w:line="416" w:lineRule="auto"/>
              <w:rPr>
                <w:rFonts w:ascii="Arial"/>
                <w:sz w:val="21"/>
              </w:rPr>
            </w:pPr>
            <w:r/>
          </w:p>
          <w:p>
            <w:pPr>
              <w:ind w:left="193"/>
              <w:spacing w:before="58" w:line="21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G</w:t>
            </w:r>
            <w:r>
              <w:rPr>
                <w:rFonts w:ascii="Times New Roman" w:hAnsi="Times New Roman" w:eastAsia="Times New Roman" w:cs="Times New Roman"/>
                <w:sz w:val="13"/>
                <w:szCs w:val="13"/>
                <w:spacing w:val="1"/>
              </w:rPr>
              <w:t>4-3</w:t>
            </w:r>
          </w:p>
        </w:tc>
        <w:tc>
          <w:tcPr>
            <w:tcW w:w="1416" w:type="dxa"/>
            <w:vAlign w:val="top"/>
          </w:tcPr>
          <w:p>
            <w:pPr>
              <w:spacing w:line="374" w:lineRule="auto"/>
              <w:rPr>
                <w:rFonts w:ascii="Arial"/>
                <w:sz w:val="21"/>
              </w:rPr>
            </w:pPr>
            <w:r/>
          </w:p>
          <w:p>
            <w:pPr>
              <w:pStyle w:val="TableText"/>
              <w:ind w:left="189"/>
              <w:spacing w:before="65" w:line="228" w:lineRule="auto"/>
              <w:rPr/>
            </w:pPr>
            <w:r>
              <w:rPr>
                <w:spacing w:val="7"/>
              </w:rPr>
              <w:t>生物质锅炉</w:t>
            </w:r>
          </w:p>
        </w:tc>
        <w:tc>
          <w:tcPr>
            <w:tcW w:w="1787" w:type="dxa"/>
            <w:vAlign w:val="top"/>
          </w:tcPr>
          <w:p>
            <w:pPr>
              <w:pStyle w:val="TableText"/>
              <w:ind w:left="260" w:hanging="251"/>
              <w:spacing w:before="303" w:line="253" w:lineRule="auto"/>
              <w:rPr/>
            </w:pPr>
            <w:r>
              <w:rPr>
                <w:spacing w:val="-6"/>
              </w:rPr>
              <w:t>颗粒物、</w:t>
            </w:r>
            <w:r>
              <w:rPr>
                <w:rFonts w:ascii="Times New Roman" w:hAnsi="Times New Roman" w:eastAsia="Times New Roman" w:cs="Times New Roman"/>
                <w:spacing w:val="-6"/>
              </w:rPr>
              <w:t>SO</w:t>
            </w:r>
            <w:r>
              <w:rPr>
                <w:rFonts w:ascii="Times New Roman" w:hAnsi="Times New Roman" w:eastAsia="Times New Roman" w:cs="Times New Roman"/>
                <w:sz w:val="13"/>
                <w:szCs w:val="13"/>
                <w:spacing w:val="-6"/>
                <w:position w:val="-1"/>
              </w:rPr>
              <w:t>2</w:t>
            </w:r>
            <w:r>
              <w:rPr>
                <w:spacing w:val="-11"/>
              </w:rPr>
              <w:t>、</w:t>
            </w:r>
            <w:r>
              <w:rPr>
                <w:rFonts w:ascii="Times New Roman" w:hAnsi="Times New Roman" w:eastAsia="Times New Roman" w:cs="Times New Roman"/>
                <w:spacing w:val="-11"/>
              </w:rPr>
              <w:t>NO</w:t>
            </w:r>
            <w:r>
              <w:rPr>
                <w:rFonts w:ascii="Times New Roman" w:hAnsi="Times New Roman" w:eastAsia="Times New Roman" w:cs="Times New Roman"/>
                <w:sz w:val="13"/>
                <w:szCs w:val="13"/>
                <w:spacing w:val="5"/>
                <w:position w:val="-1"/>
              </w:rPr>
              <w:t>x</w:t>
            </w:r>
            <w:r>
              <w:rPr>
                <w:spacing w:val="-34"/>
              </w:rPr>
              <w:t>、</w:t>
            </w:r>
            <w:r>
              <w:rPr/>
              <w:t xml:space="preserve"> </w:t>
            </w:r>
            <w:r>
              <w:rPr/>
              <w:t>汞及其化合物</w:t>
            </w:r>
          </w:p>
        </w:tc>
        <w:tc>
          <w:tcPr>
            <w:tcW w:w="2574" w:type="dxa"/>
            <w:vAlign w:val="top"/>
          </w:tcPr>
          <w:p>
            <w:pPr>
              <w:pStyle w:val="TableText"/>
              <w:ind w:left="90"/>
              <w:spacing w:before="32" w:line="227" w:lineRule="auto"/>
              <w:rPr/>
            </w:pPr>
            <w:r>
              <w:rPr>
                <w:spacing w:val="7"/>
              </w:rPr>
              <w:t>陶瓷多管除尘器</w:t>
            </w:r>
            <w:r>
              <w:rPr>
                <w:rFonts w:ascii="Times New Roman" w:hAnsi="Times New Roman" w:eastAsia="Times New Roman" w:cs="Times New Roman"/>
                <w:spacing w:val="7"/>
              </w:rPr>
              <w:t>+</w:t>
            </w:r>
            <w:r>
              <w:rPr>
                <w:spacing w:val="7"/>
              </w:rPr>
              <w:t>布袋除尘</w:t>
            </w:r>
          </w:p>
          <w:p>
            <w:pPr>
              <w:pStyle w:val="TableText"/>
              <w:ind w:left="11"/>
              <w:spacing w:before="25" w:line="227" w:lineRule="auto"/>
              <w:rPr/>
            </w:pPr>
            <w:r>
              <w:rPr>
                <w:spacing w:val="2"/>
              </w:rPr>
              <w:t>器</w:t>
            </w:r>
            <w:r>
              <w:rPr>
                <w:rFonts w:ascii="Times New Roman" w:hAnsi="Times New Roman" w:eastAsia="Times New Roman" w:cs="Times New Roman"/>
                <w:spacing w:val="2"/>
              </w:rPr>
              <w:t>+</w:t>
            </w:r>
            <w:r>
              <w:rPr>
                <w:spacing w:val="2"/>
              </w:rPr>
              <w:t>水浴除尘，烟气经处理后</w:t>
            </w:r>
          </w:p>
          <w:p>
            <w:pPr>
              <w:pStyle w:val="TableText"/>
              <w:ind w:left="213"/>
              <w:spacing w:before="27" w:line="227" w:lineRule="auto"/>
              <w:rPr/>
            </w:pPr>
            <w:r>
              <w:rPr>
                <w:spacing w:val="5"/>
              </w:rPr>
              <w:t>通过</w:t>
            </w:r>
            <w:r>
              <w:rPr>
                <w:spacing w:val="-30"/>
              </w:rPr>
              <w:t xml:space="preserve"> </w:t>
            </w:r>
            <w:r>
              <w:rPr>
                <w:rFonts w:ascii="Times New Roman" w:hAnsi="Times New Roman" w:eastAsia="Times New Roman" w:cs="Times New Roman"/>
                <w:spacing w:val="5"/>
              </w:rPr>
              <w:t>35m</w:t>
            </w:r>
            <w:r>
              <w:rPr>
                <w:rFonts w:ascii="Times New Roman" w:hAnsi="Times New Roman" w:eastAsia="Times New Roman" w:cs="Times New Roman"/>
                <w:spacing w:val="15"/>
                <w:w w:val="101"/>
              </w:rPr>
              <w:t xml:space="preserve"> </w:t>
            </w:r>
            <w:r>
              <w:rPr>
                <w:spacing w:val="5"/>
              </w:rPr>
              <w:t>高排气筒排放</w:t>
            </w:r>
          </w:p>
          <w:p>
            <w:pPr>
              <w:pStyle w:val="TableText"/>
              <w:ind w:left="676"/>
              <w:spacing w:before="27" w:line="214" w:lineRule="auto"/>
              <w:rPr/>
            </w:pPr>
            <w:r>
              <w:rPr>
                <w:spacing w:val="3"/>
              </w:rPr>
              <w:t>（</w:t>
            </w:r>
            <w:r>
              <w:rPr>
                <w:rFonts w:ascii="Times New Roman" w:hAnsi="Times New Roman" w:eastAsia="Times New Roman" w:cs="Times New Roman"/>
              </w:rPr>
              <w:t>DA</w:t>
            </w:r>
            <w:r>
              <w:rPr>
                <w:rFonts w:ascii="Times New Roman" w:hAnsi="Times New Roman" w:eastAsia="Times New Roman" w:cs="Times New Roman"/>
                <w:spacing w:val="3"/>
              </w:rPr>
              <w:t>005</w:t>
            </w:r>
            <w:r>
              <w:rPr>
                <w:spacing w:val="3"/>
              </w:rPr>
              <w:t>）。</w:t>
            </w:r>
          </w:p>
        </w:tc>
      </w:tr>
      <w:tr>
        <w:trPr>
          <w:trHeight w:val="821" w:hRule="atLeast"/>
        </w:trPr>
        <w:tc>
          <w:tcPr>
            <w:tcW w:w="477" w:type="dxa"/>
            <w:vAlign w:val="top"/>
            <w:vMerge w:val="restart"/>
            <w:textDirection w:val="tbRlV"/>
            <w:tcBorders>
              <w:bottom w:val="nil"/>
            </w:tcBorders>
          </w:tcPr>
          <w:p>
            <w:pPr>
              <w:pStyle w:val="TableText"/>
              <w:ind w:left="1414"/>
              <w:spacing w:before="133" w:line="216" w:lineRule="auto"/>
              <w:rPr/>
            </w:pPr>
            <w:r>
              <w:rPr>
                <w:spacing w:val="8"/>
              </w:rPr>
              <w:t>废</w:t>
            </w:r>
            <w:r>
              <w:rPr>
                <w:spacing w:val="-35"/>
              </w:rPr>
              <w:t xml:space="preserve"> </w:t>
            </w:r>
            <w:r>
              <w:rPr>
                <w:spacing w:val="8"/>
              </w:rPr>
              <w:t>水</w:t>
            </w:r>
          </w:p>
        </w:tc>
        <w:tc>
          <w:tcPr>
            <w:tcW w:w="1742" w:type="dxa"/>
            <w:vAlign w:val="top"/>
          </w:tcPr>
          <w:p>
            <w:pPr>
              <w:pStyle w:val="TableText"/>
              <w:ind w:left="454"/>
              <w:spacing w:before="305" w:line="228" w:lineRule="auto"/>
              <w:rPr/>
            </w:pPr>
            <w:r>
              <w:rPr>
                <w:spacing w:val="7"/>
              </w:rPr>
              <w:t>洗毛废水</w:t>
            </w:r>
          </w:p>
        </w:tc>
        <w:tc>
          <w:tcPr>
            <w:tcW w:w="709" w:type="dxa"/>
            <w:vAlign w:val="top"/>
          </w:tcPr>
          <w:p>
            <w:pPr>
              <w:spacing w:line="285" w:lineRule="auto"/>
              <w:rPr>
                <w:rFonts w:ascii="Arial"/>
                <w:sz w:val="21"/>
              </w:rPr>
            </w:pPr>
            <w:r/>
          </w:p>
          <w:p>
            <w:pPr>
              <w:ind w:left="37"/>
              <w:spacing w:before="57"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position w:val="1"/>
              </w:rPr>
              <w:t>W</w:t>
            </w:r>
            <w:r>
              <w:rPr>
                <w:rFonts w:ascii="Times New Roman" w:hAnsi="Times New Roman" w:eastAsia="Times New Roman" w:cs="Times New Roman"/>
                <w:sz w:val="13"/>
                <w:szCs w:val="13"/>
                <w:spacing w:val="1"/>
              </w:rPr>
              <w:t>1-1~</w:t>
            </w:r>
            <w:r>
              <w:rPr>
                <w:rFonts w:ascii="Times New Roman" w:hAnsi="Times New Roman" w:eastAsia="Times New Roman" w:cs="Times New Roman"/>
                <w:sz w:val="13"/>
                <w:szCs w:val="13"/>
                <w:spacing w:val="-18"/>
              </w:rPr>
              <w:t xml:space="preserve"> </w:t>
            </w:r>
            <w:r>
              <w:rPr>
                <w:rFonts w:ascii="Times New Roman" w:hAnsi="Times New Roman" w:eastAsia="Times New Roman" w:cs="Times New Roman"/>
                <w:sz w:val="13"/>
                <w:szCs w:val="13"/>
                <w:spacing w:val="1"/>
              </w:rPr>
              <w:t>1-2</w:t>
            </w:r>
          </w:p>
        </w:tc>
        <w:tc>
          <w:tcPr>
            <w:tcW w:w="1416" w:type="dxa"/>
            <w:vAlign w:val="top"/>
          </w:tcPr>
          <w:p>
            <w:pPr>
              <w:pStyle w:val="TableText"/>
              <w:ind w:left="292"/>
              <w:spacing w:before="305" w:line="228" w:lineRule="auto"/>
              <w:rPr/>
            </w:pPr>
            <w:r>
              <w:rPr>
                <w:spacing w:val="7"/>
              </w:rPr>
              <w:t>洗毛车间</w:t>
            </w:r>
          </w:p>
        </w:tc>
        <w:tc>
          <w:tcPr>
            <w:tcW w:w="1787" w:type="dxa"/>
            <w:vAlign w:val="top"/>
          </w:tcPr>
          <w:p>
            <w:pPr>
              <w:pStyle w:val="TableText"/>
              <w:spacing w:before="70" w:line="188" w:lineRule="auto"/>
              <w:jc w:val="right"/>
              <w:rPr/>
            </w:pPr>
            <w:r>
              <w:rPr>
                <w:rFonts w:ascii="Times New Roman" w:hAnsi="Times New Roman" w:eastAsia="Times New Roman" w:cs="Times New Roman"/>
                <w:spacing w:val="-6"/>
              </w:rPr>
              <w:t>pH</w:t>
            </w:r>
            <w:r>
              <w:rPr>
                <w:spacing w:val="-6"/>
              </w:rPr>
              <w:t>、</w:t>
            </w:r>
            <w:r>
              <w:rPr>
                <w:rFonts w:ascii="Times New Roman" w:hAnsi="Times New Roman" w:eastAsia="Times New Roman" w:cs="Times New Roman"/>
                <w:spacing w:val="-6"/>
              </w:rPr>
              <w:t>COD</w:t>
            </w:r>
            <w:r>
              <w:rPr>
                <w:rFonts w:ascii="Times New Roman" w:hAnsi="Times New Roman" w:eastAsia="Times New Roman" w:cs="Times New Roman"/>
                <w:sz w:val="13"/>
                <w:szCs w:val="13"/>
                <w:spacing w:val="-6"/>
                <w:position w:val="-1"/>
              </w:rPr>
              <w:t>cr</w:t>
            </w:r>
            <w:r>
              <w:rPr>
                <w:spacing w:val="-6"/>
              </w:rPr>
              <w:t>、</w:t>
            </w:r>
            <w:r>
              <w:rPr>
                <w:rFonts w:ascii="Times New Roman" w:hAnsi="Times New Roman" w:eastAsia="Times New Roman" w:cs="Times New Roman"/>
                <w:spacing w:val="-6"/>
              </w:rPr>
              <w:t>BOD</w:t>
            </w:r>
            <w:r>
              <w:rPr>
                <w:rFonts w:ascii="Times New Roman" w:hAnsi="Times New Roman" w:eastAsia="Times New Roman" w:cs="Times New Roman"/>
                <w:sz w:val="13"/>
                <w:szCs w:val="13"/>
                <w:spacing w:val="-6"/>
                <w:position w:val="-1"/>
              </w:rPr>
              <w:t>5</w:t>
            </w:r>
            <w:r>
              <w:rPr>
                <w:spacing w:val="-6"/>
              </w:rPr>
              <w:t>、</w:t>
            </w:r>
          </w:p>
          <w:p>
            <w:pPr>
              <w:pStyle w:val="TableText"/>
              <w:ind w:left="53"/>
              <w:spacing w:before="31" w:line="224" w:lineRule="auto"/>
              <w:rPr/>
            </w:pPr>
            <w:r>
              <w:rPr>
                <w:rFonts w:ascii="Times New Roman" w:hAnsi="Times New Roman" w:eastAsia="Times New Roman" w:cs="Times New Roman"/>
              </w:rPr>
              <w:t>SS</w:t>
            </w:r>
            <w:r>
              <w:rPr>
                <w:rFonts w:ascii="Times New Roman" w:hAnsi="Times New Roman" w:eastAsia="Times New Roman" w:cs="Times New Roman"/>
                <w:spacing w:val="-25"/>
              </w:rPr>
              <w:t xml:space="preserve"> </w:t>
            </w:r>
            <w:r>
              <w:rPr>
                <w:spacing w:val="4"/>
              </w:rPr>
              <w:t>、氨氮、总磷、</w:t>
            </w:r>
          </w:p>
          <w:p>
            <w:pPr>
              <w:pStyle w:val="TableText"/>
              <w:ind w:left="169"/>
              <w:spacing w:before="30" w:line="214" w:lineRule="auto"/>
              <w:rPr/>
            </w:pPr>
            <w:r>
              <w:rPr>
                <w:spacing w:val="7"/>
              </w:rPr>
              <w:t>总氮、动植物油</w:t>
            </w:r>
          </w:p>
        </w:tc>
        <w:tc>
          <w:tcPr>
            <w:tcW w:w="2574" w:type="dxa"/>
            <w:vAlign w:val="top"/>
            <w:vMerge w:val="restart"/>
            <w:tcBorders>
              <w:bottom w:val="nil"/>
            </w:tcBorders>
          </w:tcPr>
          <w:p>
            <w:pPr>
              <w:spacing w:line="379" w:lineRule="auto"/>
              <w:rPr>
                <w:rFonts w:ascii="Arial"/>
                <w:sz w:val="21"/>
              </w:rPr>
            </w:pPr>
            <w:r/>
          </w:p>
          <w:p>
            <w:pPr>
              <w:pStyle w:val="TableText"/>
              <w:ind w:left="38"/>
              <w:spacing w:before="65" w:line="227" w:lineRule="auto"/>
              <w:rPr/>
            </w:pPr>
            <w:r>
              <w:rPr>
                <w:spacing w:val="7"/>
              </w:rPr>
              <w:t>收集输送往厌氧发酵装置。</w:t>
            </w:r>
          </w:p>
        </w:tc>
      </w:tr>
      <w:tr>
        <w:trPr>
          <w:trHeight w:val="278" w:hRule="atLeast"/>
        </w:trPr>
        <w:tc>
          <w:tcPr>
            <w:tcW w:w="477" w:type="dxa"/>
            <w:vAlign w:val="top"/>
            <w:vMerge w:val="continue"/>
            <w:textDirection w:val="tbRlV"/>
            <w:tcBorders>
              <w:top w:val="nil"/>
              <w:bottom w:val="nil"/>
            </w:tcBorders>
          </w:tcPr>
          <w:p>
            <w:pPr>
              <w:rPr>
                <w:rFonts w:ascii="Arial"/>
                <w:sz w:val="21"/>
              </w:rPr>
            </w:pPr>
            <w:r/>
          </w:p>
        </w:tc>
        <w:tc>
          <w:tcPr>
            <w:tcW w:w="1742" w:type="dxa"/>
            <w:vAlign w:val="top"/>
          </w:tcPr>
          <w:p>
            <w:pPr>
              <w:pStyle w:val="TableText"/>
              <w:ind w:left="243"/>
              <w:spacing w:before="36" w:line="214" w:lineRule="auto"/>
              <w:rPr/>
            </w:pPr>
            <w:r>
              <w:rPr>
                <w:spacing w:val="8"/>
              </w:rPr>
              <w:t>地面冲洗废水</w:t>
            </w:r>
          </w:p>
        </w:tc>
        <w:tc>
          <w:tcPr>
            <w:tcW w:w="709" w:type="dxa"/>
            <w:vAlign w:val="top"/>
          </w:tcPr>
          <w:p>
            <w:pPr>
              <w:ind w:left="164"/>
              <w:spacing w:before="75" w:line="20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W</w:t>
            </w:r>
            <w:r>
              <w:rPr>
                <w:rFonts w:ascii="Times New Roman" w:hAnsi="Times New Roman" w:eastAsia="Times New Roman" w:cs="Times New Roman"/>
                <w:sz w:val="13"/>
                <w:szCs w:val="13"/>
                <w:spacing w:val="3"/>
              </w:rPr>
              <w:t>4-1</w:t>
            </w:r>
          </w:p>
        </w:tc>
        <w:tc>
          <w:tcPr>
            <w:tcW w:w="1416" w:type="dxa"/>
            <w:vAlign w:val="top"/>
          </w:tcPr>
          <w:p>
            <w:pPr>
              <w:pStyle w:val="TableText"/>
              <w:ind w:left="292"/>
              <w:spacing w:before="36" w:line="214" w:lineRule="auto"/>
              <w:rPr/>
            </w:pPr>
            <w:r>
              <w:rPr>
                <w:spacing w:val="7"/>
              </w:rPr>
              <w:t>洗毛车间</w:t>
            </w:r>
          </w:p>
        </w:tc>
        <w:tc>
          <w:tcPr>
            <w:tcW w:w="1787" w:type="dxa"/>
            <w:vAlign w:val="top"/>
          </w:tcPr>
          <w:p>
            <w:pPr>
              <w:pStyle w:val="TableText"/>
              <w:ind w:left="86"/>
              <w:spacing w:before="36" w:line="214" w:lineRule="auto"/>
              <w:rPr>
                <w:rFonts w:ascii="Times New Roman" w:hAnsi="Times New Roman" w:eastAsia="Times New Roman" w:cs="Times New Roman"/>
              </w:rPr>
            </w:pPr>
            <w:r>
              <w:rPr>
                <w:rFonts w:ascii="Times New Roman" w:hAnsi="Times New Roman" w:eastAsia="Times New Roman" w:cs="Times New Roman"/>
              </w:rPr>
              <w:t>COD</w:t>
            </w:r>
            <w:r>
              <w:rPr>
                <w:rFonts w:ascii="Times New Roman" w:hAnsi="Times New Roman" w:eastAsia="Times New Roman" w:cs="Times New Roman"/>
                <w:sz w:val="13"/>
                <w:szCs w:val="13"/>
                <w:position w:val="-1"/>
              </w:rPr>
              <w:t>cr</w:t>
            </w:r>
            <w:r>
              <w:rPr>
                <w:rFonts w:ascii="Times New Roman" w:hAnsi="Times New Roman" w:eastAsia="Times New Roman" w:cs="Times New Roman"/>
                <w:sz w:val="13"/>
                <w:szCs w:val="13"/>
                <w:spacing w:val="-10"/>
                <w:position w:val="-1"/>
              </w:rPr>
              <w:t xml:space="preserve"> </w:t>
            </w:r>
            <w:r>
              <w:rPr>
                <w:spacing w:val="11"/>
              </w:rPr>
              <w:t>、氨氮、</w:t>
            </w:r>
            <w:r>
              <w:rPr>
                <w:rFonts w:ascii="Times New Roman" w:hAnsi="Times New Roman" w:eastAsia="Times New Roman" w:cs="Times New Roman"/>
              </w:rPr>
              <w:t>SS</w:t>
            </w:r>
          </w:p>
        </w:tc>
        <w:tc>
          <w:tcPr>
            <w:tcW w:w="2574" w:type="dxa"/>
            <w:vAlign w:val="top"/>
            <w:vMerge w:val="continue"/>
            <w:tcBorders>
              <w:top w:val="nil"/>
            </w:tcBorders>
          </w:tcPr>
          <w:p>
            <w:pPr>
              <w:rPr>
                <w:rFonts w:ascii="Arial"/>
                <w:sz w:val="21"/>
              </w:rPr>
            </w:pPr>
            <w:r/>
          </w:p>
        </w:tc>
      </w:tr>
      <w:tr>
        <w:trPr>
          <w:trHeight w:val="1093" w:hRule="atLeast"/>
        </w:trPr>
        <w:tc>
          <w:tcPr>
            <w:tcW w:w="477" w:type="dxa"/>
            <w:vAlign w:val="top"/>
            <w:vMerge w:val="continue"/>
            <w:textDirection w:val="tbRlV"/>
            <w:tcBorders>
              <w:top w:val="nil"/>
              <w:bottom w:val="nil"/>
            </w:tcBorders>
          </w:tcPr>
          <w:p>
            <w:pPr>
              <w:rPr>
                <w:rFonts w:ascii="Arial"/>
                <w:sz w:val="21"/>
              </w:rPr>
            </w:pPr>
            <w:r/>
          </w:p>
        </w:tc>
        <w:tc>
          <w:tcPr>
            <w:tcW w:w="1742" w:type="dxa"/>
            <w:vAlign w:val="top"/>
          </w:tcPr>
          <w:p>
            <w:pPr>
              <w:spacing w:line="374" w:lineRule="auto"/>
              <w:rPr>
                <w:rFonts w:ascii="Arial"/>
                <w:sz w:val="21"/>
              </w:rPr>
            </w:pPr>
            <w:r/>
          </w:p>
          <w:p>
            <w:pPr>
              <w:pStyle w:val="TableText"/>
              <w:ind w:left="456"/>
              <w:spacing w:before="65" w:line="228" w:lineRule="auto"/>
              <w:rPr/>
            </w:pPr>
            <w:r>
              <w:rPr>
                <w:spacing w:val="6"/>
              </w:rPr>
              <w:t>生活污水</w:t>
            </w:r>
          </w:p>
        </w:tc>
        <w:tc>
          <w:tcPr>
            <w:tcW w:w="709" w:type="dxa"/>
            <w:vAlign w:val="top"/>
          </w:tcPr>
          <w:p>
            <w:pPr>
              <w:spacing w:line="421" w:lineRule="auto"/>
              <w:rPr>
                <w:rFonts w:ascii="Arial"/>
                <w:sz w:val="21"/>
              </w:rPr>
            </w:pPr>
            <w:r/>
          </w:p>
          <w:p>
            <w:pPr>
              <w:ind w:left="164"/>
              <w:spacing w:before="57" w:line="20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W</w:t>
            </w:r>
            <w:r>
              <w:rPr>
                <w:rFonts w:ascii="Times New Roman" w:hAnsi="Times New Roman" w:eastAsia="Times New Roman" w:cs="Times New Roman"/>
                <w:sz w:val="13"/>
                <w:szCs w:val="13"/>
                <w:spacing w:val="3"/>
              </w:rPr>
              <w:t>4-2</w:t>
            </w:r>
          </w:p>
        </w:tc>
        <w:tc>
          <w:tcPr>
            <w:tcW w:w="1416" w:type="dxa"/>
            <w:vAlign w:val="top"/>
          </w:tcPr>
          <w:p>
            <w:pPr>
              <w:spacing w:line="374" w:lineRule="auto"/>
              <w:rPr>
                <w:rFonts w:ascii="Arial"/>
                <w:sz w:val="21"/>
              </w:rPr>
            </w:pPr>
            <w:r/>
          </w:p>
          <w:p>
            <w:pPr>
              <w:pStyle w:val="TableText"/>
              <w:ind w:left="90"/>
              <w:spacing w:before="65" w:line="228" w:lineRule="auto"/>
              <w:rPr/>
            </w:pPr>
            <w:r>
              <w:rPr>
                <w:spacing w:val="6"/>
              </w:rPr>
              <w:t>员工生活产生</w:t>
            </w:r>
          </w:p>
        </w:tc>
        <w:tc>
          <w:tcPr>
            <w:tcW w:w="1787" w:type="dxa"/>
            <w:vAlign w:val="top"/>
          </w:tcPr>
          <w:p>
            <w:pPr>
              <w:pStyle w:val="TableText"/>
              <w:spacing w:before="204" w:line="188" w:lineRule="auto"/>
              <w:jc w:val="right"/>
              <w:rPr/>
            </w:pPr>
            <w:r>
              <w:rPr>
                <w:rFonts w:ascii="Times New Roman" w:hAnsi="Times New Roman" w:eastAsia="Times New Roman" w:cs="Times New Roman"/>
                <w:spacing w:val="-6"/>
              </w:rPr>
              <w:t>pH</w:t>
            </w:r>
            <w:r>
              <w:rPr>
                <w:spacing w:val="-6"/>
              </w:rPr>
              <w:t>、</w:t>
            </w:r>
            <w:r>
              <w:rPr>
                <w:rFonts w:ascii="Times New Roman" w:hAnsi="Times New Roman" w:eastAsia="Times New Roman" w:cs="Times New Roman"/>
                <w:spacing w:val="-6"/>
              </w:rPr>
              <w:t>COD</w:t>
            </w:r>
            <w:r>
              <w:rPr>
                <w:rFonts w:ascii="Times New Roman" w:hAnsi="Times New Roman" w:eastAsia="Times New Roman" w:cs="Times New Roman"/>
                <w:sz w:val="13"/>
                <w:szCs w:val="13"/>
                <w:spacing w:val="-6"/>
                <w:position w:val="-1"/>
              </w:rPr>
              <w:t>cr</w:t>
            </w:r>
            <w:r>
              <w:rPr>
                <w:spacing w:val="-6"/>
              </w:rPr>
              <w:t>、</w:t>
            </w:r>
            <w:r>
              <w:rPr>
                <w:rFonts w:ascii="Times New Roman" w:hAnsi="Times New Roman" w:eastAsia="Times New Roman" w:cs="Times New Roman"/>
                <w:spacing w:val="-6"/>
              </w:rPr>
              <w:t>BOD</w:t>
            </w:r>
            <w:r>
              <w:rPr>
                <w:rFonts w:ascii="Times New Roman" w:hAnsi="Times New Roman" w:eastAsia="Times New Roman" w:cs="Times New Roman"/>
                <w:sz w:val="13"/>
                <w:szCs w:val="13"/>
                <w:spacing w:val="-6"/>
                <w:position w:val="-1"/>
              </w:rPr>
              <w:t>5</w:t>
            </w:r>
            <w:r>
              <w:rPr>
                <w:spacing w:val="-6"/>
              </w:rPr>
              <w:t>、</w:t>
            </w:r>
          </w:p>
          <w:p>
            <w:pPr>
              <w:pStyle w:val="TableText"/>
              <w:ind w:left="53"/>
              <w:spacing w:before="34" w:line="224" w:lineRule="auto"/>
              <w:rPr/>
            </w:pPr>
            <w:r>
              <w:rPr>
                <w:rFonts w:ascii="Times New Roman" w:hAnsi="Times New Roman" w:eastAsia="Times New Roman" w:cs="Times New Roman"/>
              </w:rPr>
              <w:t>SS</w:t>
            </w:r>
            <w:r>
              <w:rPr>
                <w:rFonts w:ascii="Times New Roman" w:hAnsi="Times New Roman" w:eastAsia="Times New Roman" w:cs="Times New Roman"/>
                <w:spacing w:val="-20"/>
              </w:rPr>
              <w:t xml:space="preserve"> </w:t>
            </w:r>
            <w:r>
              <w:rPr>
                <w:spacing w:val="5"/>
              </w:rPr>
              <w:t>、氨氮、动植物</w:t>
            </w:r>
          </w:p>
          <w:p>
            <w:pPr>
              <w:pStyle w:val="TableText"/>
              <w:ind w:left="798"/>
              <w:spacing w:before="28" w:line="230" w:lineRule="auto"/>
              <w:rPr/>
            </w:pPr>
            <w:r>
              <w:rPr/>
              <w:t>油</w:t>
            </w:r>
          </w:p>
        </w:tc>
        <w:tc>
          <w:tcPr>
            <w:tcW w:w="2574" w:type="dxa"/>
            <w:vAlign w:val="top"/>
          </w:tcPr>
          <w:p>
            <w:pPr>
              <w:pStyle w:val="TableText"/>
              <w:ind w:left="29" w:right="28" w:firstLine="108"/>
              <w:spacing w:before="34" w:line="242" w:lineRule="auto"/>
              <w:jc w:val="both"/>
              <w:rPr/>
            </w:pPr>
            <w:r>
              <w:rPr>
                <w:spacing w:val="9"/>
              </w:rPr>
              <w:t>冲厕废水送往厌氧发酵装</w:t>
            </w:r>
            <w:r>
              <w:rPr/>
              <w:t xml:space="preserve">  </w:t>
            </w:r>
            <w:r>
              <w:rPr>
                <w:spacing w:val="9"/>
              </w:rPr>
              <w:t>置；洗浴和食堂废水通过单</w:t>
            </w:r>
            <w:r>
              <w:rPr>
                <w:spacing w:val="2"/>
              </w:rPr>
              <w:t xml:space="preserve"> </w:t>
            </w:r>
            <w:r>
              <w:rPr>
                <w:spacing w:val="9"/>
              </w:rPr>
              <w:t>独管道排入市政污水管网，</w:t>
            </w:r>
            <w:r>
              <w:rPr>
                <w:spacing w:val="2"/>
              </w:rPr>
              <w:t xml:space="preserve"> </w:t>
            </w:r>
            <w:r>
              <w:rPr>
                <w:spacing w:val="8"/>
              </w:rPr>
              <w:t>进入明安图镇污水处理厂。</w:t>
            </w:r>
          </w:p>
        </w:tc>
      </w:tr>
      <w:tr>
        <w:trPr>
          <w:trHeight w:val="550" w:hRule="atLeast"/>
        </w:trPr>
        <w:tc>
          <w:tcPr>
            <w:tcW w:w="477" w:type="dxa"/>
            <w:vAlign w:val="top"/>
            <w:vMerge w:val="continue"/>
            <w:textDirection w:val="tbRlV"/>
            <w:tcBorders>
              <w:top w:val="nil"/>
              <w:bottom w:val="nil"/>
            </w:tcBorders>
          </w:tcPr>
          <w:p>
            <w:pPr>
              <w:rPr>
                <w:rFonts w:ascii="Arial"/>
                <w:sz w:val="21"/>
              </w:rPr>
            </w:pPr>
            <w:r/>
          </w:p>
        </w:tc>
        <w:tc>
          <w:tcPr>
            <w:tcW w:w="1742" w:type="dxa"/>
            <w:vAlign w:val="top"/>
          </w:tcPr>
          <w:p>
            <w:pPr>
              <w:pStyle w:val="TableText"/>
              <w:ind w:left="246"/>
              <w:spacing w:before="171" w:line="228" w:lineRule="auto"/>
              <w:rPr/>
            </w:pPr>
            <w:r>
              <w:rPr>
                <w:spacing w:val="7"/>
              </w:rPr>
              <w:t>纯水制备排污</w:t>
            </w:r>
          </w:p>
        </w:tc>
        <w:tc>
          <w:tcPr>
            <w:tcW w:w="709" w:type="dxa"/>
            <w:vAlign w:val="top"/>
          </w:tcPr>
          <w:p>
            <w:pPr>
              <w:ind w:left="164"/>
              <w:spacing w:before="210" w:line="20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W</w:t>
            </w:r>
            <w:r>
              <w:rPr>
                <w:rFonts w:ascii="Times New Roman" w:hAnsi="Times New Roman" w:eastAsia="Times New Roman" w:cs="Times New Roman"/>
                <w:sz w:val="13"/>
                <w:szCs w:val="13"/>
                <w:spacing w:val="3"/>
              </w:rPr>
              <w:t>4-3</w:t>
            </w:r>
          </w:p>
        </w:tc>
        <w:tc>
          <w:tcPr>
            <w:tcW w:w="1416" w:type="dxa"/>
            <w:vAlign w:val="top"/>
          </w:tcPr>
          <w:p>
            <w:pPr>
              <w:pStyle w:val="TableText"/>
              <w:ind w:left="85"/>
              <w:spacing w:before="171" w:line="228" w:lineRule="auto"/>
              <w:rPr/>
            </w:pPr>
            <w:r>
              <w:rPr>
                <w:spacing w:val="7"/>
              </w:rPr>
              <w:t>纯水制备装置</w:t>
            </w:r>
          </w:p>
        </w:tc>
        <w:tc>
          <w:tcPr>
            <w:tcW w:w="1787" w:type="dxa"/>
            <w:vAlign w:val="top"/>
          </w:tcPr>
          <w:p>
            <w:pPr>
              <w:pStyle w:val="TableText"/>
              <w:ind w:left="457" w:right="51" w:hanging="398"/>
              <w:spacing w:before="35" w:line="233" w:lineRule="auto"/>
              <w:rPr>
                <w:rFonts w:ascii="Times New Roman" w:hAnsi="Times New Roman" w:eastAsia="Times New Roman" w:cs="Times New Roman"/>
              </w:rPr>
            </w:pPr>
            <w:r>
              <w:rPr>
                <w:rFonts w:ascii="Times New Roman" w:hAnsi="Times New Roman" w:eastAsia="Times New Roman" w:cs="Times New Roman"/>
              </w:rPr>
              <w:t>TDS</w:t>
            </w:r>
            <w:r>
              <w:rPr>
                <w:rFonts w:ascii="Times New Roman" w:hAnsi="Times New Roman" w:eastAsia="Times New Roman" w:cs="Times New Roman"/>
                <w:spacing w:val="-26"/>
              </w:rPr>
              <w:t xml:space="preserve"> </w:t>
            </w:r>
            <w:r>
              <w:rPr>
                <w:spacing w:val="4"/>
              </w:rPr>
              <w:t>、</w:t>
            </w:r>
            <w:r>
              <w:rPr>
                <w:rFonts w:ascii="Times New Roman" w:hAnsi="Times New Roman" w:eastAsia="Times New Roman" w:cs="Times New Roman"/>
              </w:rPr>
              <w:t>SS</w:t>
            </w:r>
            <w:r>
              <w:rPr>
                <w:rFonts w:ascii="Times New Roman" w:hAnsi="Times New Roman" w:eastAsia="Times New Roman" w:cs="Times New Roman"/>
                <w:spacing w:val="-24"/>
              </w:rPr>
              <w:t xml:space="preserve"> </w:t>
            </w:r>
            <w:r>
              <w:rPr>
                <w:spacing w:val="4"/>
              </w:rPr>
              <w:t>、化学需</w:t>
            </w:r>
            <w:r>
              <w:rPr/>
              <w:t xml:space="preserve"> </w:t>
            </w:r>
            <w:r>
              <w:rPr>
                <w:spacing w:val="10"/>
              </w:rPr>
              <w:t>氧量、</w:t>
            </w:r>
            <w:r>
              <w:rPr>
                <w:rFonts w:ascii="Times New Roman" w:hAnsi="Times New Roman" w:eastAsia="Times New Roman" w:cs="Times New Roman"/>
              </w:rPr>
              <w:t>pH</w:t>
            </w:r>
          </w:p>
        </w:tc>
        <w:tc>
          <w:tcPr>
            <w:tcW w:w="2574" w:type="dxa"/>
            <w:vAlign w:val="top"/>
            <w:vMerge w:val="restart"/>
            <w:tcBorders>
              <w:bottom w:val="nil"/>
            </w:tcBorders>
          </w:tcPr>
          <w:p>
            <w:pPr>
              <w:pStyle w:val="TableText"/>
              <w:ind w:left="32"/>
              <w:spacing w:before="39" w:line="228" w:lineRule="auto"/>
              <w:rPr/>
            </w:pPr>
            <w:r>
              <w:rPr>
                <w:spacing w:val="9"/>
              </w:rPr>
              <w:t>用作锅炉草木灰抑尘及厂区</w:t>
            </w:r>
          </w:p>
          <w:p>
            <w:pPr>
              <w:pStyle w:val="TableText"/>
              <w:ind w:left="56"/>
              <w:spacing w:before="24" w:line="228" w:lineRule="auto"/>
              <w:rPr/>
            </w:pPr>
            <w:r>
              <w:rPr>
                <w:spacing w:val="7"/>
              </w:rPr>
              <w:t>内道路抑尘用水，多余部分</w:t>
            </w:r>
          </w:p>
          <w:p>
            <w:pPr>
              <w:pStyle w:val="TableText"/>
              <w:ind w:left="30"/>
              <w:spacing w:before="26" w:line="228" w:lineRule="auto"/>
              <w:rPr/>
            </w:pPr>
            <w:r>
              <w:rPr>
                <w:spacing w:val="9"/>
              </w:rPr>
              <w:t>排入市政污水管网，进入明</w:t>
            </w:r>
          </w:p>
          <w:p>
            <w:pPr>
              <w:pStyle w:val="TableText"/>
              <w:ind w:left="351"/>
              <w:spacing w:before="27" w:line="220" w:lineRule="auto"/>
              <w:rPr/>
            </w:pPr>
            <w:r>
              <w:rPr>
                <w:spacing w:val="7"/>
              </w:rPr>
              <w:t>安图镇污水处理厂。</w:t>
            </w:r>
          </w:p>
        </w:tc>
      </w:tr>
      <w:tr>
        <w:trPr>
          <w:trHeight w:val="552" w:hRule="atLeast"/>
        </w:trPr>
        <w:tc>
          <w:tcPr>
            <w:tcW w:w="477" w:type="dxa"/>
            <w:vAlign w:val="top"/>
            <w:vMerge w:val="continue"/>
            <w:textDirection w:val="tbRlV"/>
            <w:tcBorders>
              <w:top w:val="nil"/>
            </w:tcBorders>
          </w:tcPr>
          <w:p>
            <w:pPr>
              <w:rPr>
                <w:rFonts w:ascii="Arial"/>
                <w:sz w:val="21"/>
              </w:rPr>
            </w:pPr>
            <w:r/>
          </w:p>
        </w:tc>
        <w:tc>
          <w:tcPr>
            <w:tcW w:w="1742" w:type="dxa"/>
            <w:vAlign w:val="top"/>
          </w:tcPr>
          <w:p>
            <w:pPr>
              <w:pStyle w:val="TableText"/>
              <w:ind w:left="455"/>
              <w:spacing w:before="171" w:line="228" w:lineRule="auto"/>
              <w:rPr/>
            </w:pPr>
            <w:r>
              <w:rPr>
                <w:spacing w:val="7"/>
              </w:rPr>
              <w:t>锅炉排污</w:t>
            </w:r>
          </w:p>
        </w:tc>
        <w:tc>
          <w:tcPr>
            <w:tcW w:w="709" w:type="dxa"/>
            <w:vAlign w:val="top"/>
          </w:tcPr>
          <w:p>
            <w:pPr>
              <w:ind w:left="164"/>
              <w:spacing w:before="210" w:line="20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W</w:t>
            </w:r>
            <w:r>
              <w:rPr>
                <w:rFonts w:ascii="Times New Roman" w:hAnsi="Times New Roman" w:eastAsia="Times New Roman" w:cs="Times New Roman"/>
                <w:sz w:val="13"/>
                <w:szCs w:val="13"/>
                <w:spacing w:val="3"/>
              </w:rPr>
              <w:t>4-4</w:t>
            </w:r>
          </w:p>
        </w:tc>
        <w:tc>
          <w:tcPr>
            <w:tcW w:w="1416" w:type="dxa"/>
            <w:vAlign w:val="top"/>
          </w:tcPr>
          <w:p>
            <w:pPr>
              <w:pStyle w:val="TableText"/>
              <w:ind w:left="84"/>
              <w:spacing w:before="35" w:line="228" w:lineRule="auto"/>
              <w:rPr/>
            </w:pPr>
            <w:r>
              <w:rPr>
                <w:spacing w:val="7"/>
              </w:rPr>
              <w:t>生物质锅炉和</w:t>
            </w:r>
          </w:p>
          <w:p>
            <w:pPr>
              <w:pStyle w:val="TableText"/>
              <w:ind w:left="297"/>
              <w:spacing w:before="25" w:line="216" w:lineRule="auto"/>
              <w:rPr/>
            </w:pPr>
            <w:r>
              <w:rPr>
                <w:spacing w:val="6"/>
              </w:rPr>
              <w:t>沼气锅炉</w:t>
            </w:r>
          </w:p>
        </w:tc>
        <w:tc>
          <w:tcPr>
            <w:tcW w:w="1787" w:type="dxa"/>
            <w:vAlign w:val="top"/>
          </w:tcPr>
          <w:p>
            <w:pPr>
              <w:pStyle w:val="TableText"/>
              <w:ind w:left="457" w:right="51" w:hanging="398"/>
              <w:spacing w:before="34" w:line="234" w:lineRule="auto"/>
              <w:rPr>
                <w:rFonts w:ascii="Times New Roman" w:hAnsi="Times New Roman" w:eastAsia="Times New Roman" w:cs="Times New Roman"/>
              </w:rPr>
            </w:pPr>
            <w:r>
              <w:rPr>
                <w:rFonts w:ascii="Times New Roman" w:hAnsi="Times New Roman" w:eastAsia="Times New Roman" w:cs="Times New Roman"/>
              </w:rPr>
              <w:t>TDS</w:t>
            </w:r>
            <w:r>
              <w:rPr>
                <w:rFonts w:ascii="Times New Roman" w:hAnsi="Times New Roman" w:eastAsia="Times New Roman" w:cs="Times New Roman"/>
                <w:spacing w:val="-26"/>
              </w:rPr>
              <w:t xml:space="preserve"> </w:t>
            </w:r>
            <w:r>
              <w:rPr>
                <w:spacing w:val="4"/>
              </w:rPr>
              <w:t>、</w:t>
            </w:r>
            <w:r>
              <w:rPr>
                <w:rFonts w:ascii="Times New Roman" w:hAnsi="Times New Roman" w:eastAsia="Times New Roman" w:cs="Times New Roman"/>
              </w:rPr>
              <w:t>SS</w:t>
            </w:r>
            <w:r>
              <w:rPr>
                <w:rFonts w:ascii="Times New Roman" w:hAnsi="Times New Roman" w:eastAsia="Times New Roman" w:cs="Times New Roman"/>
                <w:spacing w:val="-24"/>
              </w:rPr>
              <w:t xml:space="preserve"> </w:t>
            </w:r>
            <w:r>
              <w:rPr>
                <w:spacing w:val="4"/>
              </w:rPr>
              <w:t>、化学需</w:t>
            </w:r>
            <w:r>
              <w:rPr/>
              <w:t xml:space="preserve"> </w:t>
            </w:r>
            <w:r>
              <w:rPr>
                <w:spacing w:val="10"/>
              </w:rPr>
              <w:t>氧量、</w:t>
            </w:r>
            <w:r>
              <w:rPr>
                <w:rFonts w:ascii="Times New Roman" w:hAnsi="Times New Roman" w:eastAsia="Times New Roman" w:cs="Times New Roman"/>
              </w:rPr>
              <w:t>pH</w:t>
            </w:r>
          </w:p>
        </w:tc>
        <w:tc>
          <w:tcPr>
            <w:tcW w:w="2574" w:type="dxa"/>
            <w:vAlign w:val="top"/>
            <w:vMerge w:val="continue"/>
            <w:tcBorders>
              <w:top w:val="nil"/>
            </w:tcBorders>
          </w:tcPr>
          <w:p>
            <w:pPr>
              <w:rPr>
                <w:rFonts w:ascii="Arial"/>
                <w:sz w:val="21"/>
              </w:rPr>
            </w:pPr>
            <w:r/>
          </w:p>
        </w:tc>
      </w:tr>
    </w:tbl>
    <w:p>
      <w:pPr>
        <w:pStyle w:val="BodyText"/>
        <w:spacing w:line="362" w:lineRule="auto"/>
        <w:rPr/>
      </w:pPr>
      <w:r/>
    </w:p>
    <w:p>
      <w:pPr>
        <w:ind w:left="5415"/>
        <w:spacing w:before="62" w:line="225" w:lineRule="auto"/>
        <w:rPr>
          <w:rFonts w:ascii="SimSun" w:hAnsi="SimSun" w:eastAsia="SimSun" w:cs="SimSun"/>
          <w:sz w:val="19"/>
          <w:szCs w:val="19"/>
        </w:rPr>
      </w:pPr>
      <w:r>
        <w:pict>
          <v:shape id="_x0000_s438" style="position:absolute;margin-left:212.798pt;margin-top:2.12095pt;mso-position-vertical-relative:text;mso-position-horizontal-relative:text;width:58.6pt;height:13.75pt;z-index:251851776;"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1"/>
                      <w:position w:val="2"/>
                    </w:rPr>
                    <w:t>86        </w:t>
                  </w:r>
                  <w:r>
                    <w:rPr>
                      <w:rFonts w:ascii="SimSun" w:hAnsi="SimSun" w:eastAsia="SimSun" w:cs="SimSun"/>
                      <w:sz w:val="19"/>
                      <w:szCs w:val="19"/>
                      <w:spacing w:val="1"/>
                    </w:rPr>
                    <w:t>锡林郭</w:t>
                  </w:r>
                </w:p>
              </w:txbxContent>
            </v:textbox>
          </v:shape>
        </w:pict>
      </w:r>
      <w:r>
        <w:rPr>
          <w:rFonts w:ascii="SimSun" w:hAnsi="SimSun" w:eastAsia="SimSun" w:cs="SimSun"/>
          <w:sz w:val="19"/>
          <w:szCs w:val="19"/>
          <w:spacing w:val="9"/>
        </w:rPr>
        <w:t>勒盟中安环境技术咨询有限责任公司</w:t>
      </w:r>
    </w:p>
    <w:p>
      <w:pPr>
        <w:spacing w:line="225" w:lineRule="auto"/>
        <w:sectPr>
          <w:pgSz w:w="11907" w:h="16840"/>
          <w:pgMar w:top="1567" w:right="1598" w:bottom="400" w:left="1598" w:header="1221" w:footer="0" w:gutter="0"/>
        </w:sectPr>
        <w:rPr>
          <w:rFonts w:ascii="SimSun" w:hAnsi="SimSun" w:eastAsia="SimSun" w:cs="SimSun"/>
          <w:sz w:val="19"/>
          <w:szCs w:val="19"/>
        </w:rPr>
      </w:pPr>
    </w:p>
    <w:p>
      <w:pPr>
        <w:spacing w:line="151" w:lineRule="exact"/>
        <w:rPr/>
      </w:pPr>
      <w:r>
        <w:pict>
          <v:shape id="_x0000_s440" style="position:absolute;margin-left:85.05pt;margin-top:79.11pt;mso-position-vertical-relative:page;mso-position-horizontal-relative:page;width:425.25pt;height:0.75pt;z-index:251854848;" o:allowincell="f" fillcolor="#000000" filled="true" stroked="false" coordsize="8505,15" coordorigin="0,0" path="m,l8505,0l8505,14l0,14l0,0xe"/>
        </w:pict>
      </w:r>
      <w:r/>
    </w:p>
    <w:tbl>
      <w:tblPr>
        <w:tblStyle w:val="TableNormal"/>
        <w:tblW w:w="870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77"/>
        <w:gridCol w:w="1742"/>
        <w:gridCol w:w="709"/>
        <w:gridCol w:w="1416"/>
        <w:gridCol w:w="1787"/>
        <w:gridCol w:w="2574"/>
      </w:tblGrid>
      <w:tr>
        <w:trPr>
          <w:trHeight w:val="281" w:hRule="atLeast"/>
        </w:trPr>
        <w:tc>
          <w:tcPr>
            <w:tcW w:w="477" w:type="dxa"/>
            <w:vAlign w:val="top"/>
          </w:tcPr>
          <w:p>
            <w:pPr>
              <w:pStyle w:val="TableText"/>
              <w:ind w:left="34"/>
              <w:spacing w:before="36" w:line="216" w:lineRule="auto"/>
              <w:rPr/>
            </w:pPr>
            <w:r>
              <w:rPr>
                <w:spacing w:val="4"/>
              </w:rPr>
              <w:t>类别</w:t>
            </w:r>
          </w:p>
        </w:tc>
        <w:tc>
          <w:tcPr>
            <w:tcW w:w="1742" w:type="dxa"/>
            <w:vAlign w:val="top"/>
          </w:tcPr>
          <w:p>
            <w:pPr>
              <w:pStyle w:val="TableText"/>
              <w:ind w:left="351"/>
              <w:spacing w:before="36" w:line="216" w:lineRule="auto"/>
              <w:rPr/>
            </w:pPr>
            <w:r>
              <w:rPr>
                <w:spacing w:val="7"/>
              </w:rPr>
              <w:t>污染源名称</w:t>
            </w:r>
          </w:p>
        </w:tc>
        <w:tc>
          <w:tcPr>
            <w:tcW w:w="709" w:type="dxa"/>
            <w:vAlign w:val="top"/>
          </w:tcPr>
          <w:p>
            <w:pPr>
              <w:pStyle w:val="TableText"/>
              <w:ind w:left="150"/>
              <w:spacing w:before="36" w:line="216" w:lineRule="auto"/>
              <w:rPr/>
            </w:pPr>
            <w:r>
              <w:rPr>
                <w:spacing w:val="3"/>
              </w:rPr>
              <w:t>编号</w:t>
            </w:r>
          </w:p>
        </w:tc>
        <w:tc>
          <w:tcPr>
            <w:tcW w:w="1416" w:type="dxa"/>
            <w:vAlign w:val="top"/>
          </w:tcPr>
          <w:p>
            <w:pPr>
              <w:pStyle w:val="TableText"/>
              <w:ind w:left="293"/>
              <w:spacing w:before="36" w:line="216" w:lineRule="auto"/>
              <w:rPr/>
            </w:pPr>
            <w:r>
              <w:rPr>
                <w:spacing w:val="7"/>
              </w:rPr>
              <w:t>产生位置</w:t>
            </w:r>
          </w:p>
        </w:tc>
        <w:tc>
          <w:tcPr>
            <w:tcW w:w="1787" w:type="dxa"/>
            <w:vAlign w:val="top"/>
          </w:tcPr>
          <w:p>
            <w:pPr>
              <w:pStyle w:val="TableText"/>
              <w:ind w:left="377"/>
              <w:spacing w:before="36" w:line="216" w:lineRule="auto"/>
              <w:rPr/>
            </w:pPr>
            <w:r>
              <w:rPr>
                <w:spacing w:val="7"/>
              </w:rPr>
              <w:t>主要污染物</w:t>
            </w:r>
          </w:p>
        </w:tc>
        <w:tc>
          <w:tcPr>
            <w:tcW w:w="2574" w:type="dxa"/>
            <w:vAlign w:val="top"/>
          </w:tcPr>
          <w:p>
            <w:pPr>
              <w:pStyle w:val="TableText"/>
              <w:ind w:left="661"/>
              <w:spacing w:before="36" w:line="216" w:lineRule="auto"/>
              <w:rPr/>
            </w:pPr>
            <w:r>
              <w:rPr>
                <w:spacing w:val="8"/>
              </w:rPr>
              <w:t>拟采取的措施</w:t>
            </w:r>
          </w:p>
        </w:tc>
      </w:tr>
      <w:tr>
        <w:trPr>
          <w:trHeight w:val="550" w:hRule="atLeast"/>
        </w:trPr>
        <w:tc>
          <w:tcPr>
            <w:tcW w:w="477" w:type="dxa"/>
            <w:vAlign w:val="top"/>
            <w:textDirection w:val="tbRlV"/>
          </w:tcPr>
          <w:p>
            <w:pPr>
              <w:pStyle w:val="TableText"/>
              <w:ind w:left="31"/>
              <w:spacing w:before="132" w:line="213" w:lineRule="auto"/>
              <w:rPr/>
            </w:pPr>
            <w:r>
              <w:rPr>
                <w:spacing w:val="8"/>
              </w:rPr>
              <w:t>噪</w:t>
            </w:r>
            <w:r>
              <w:rPr>
                <w:spacing w:val="-35"/>
              </w:rPr>
              <w:t xml:space="preserve"> </w:t>
            </w:r>
            <w:r>
              <w:rPr>
                <w:spacing w:val="8"/>
              </w:rPr>
              <w:t>声</w:t>
            </w:r>
          </w:p>
        </w:tc>
        <w:tc>
          <w:tcPr>
            <w:tcW w:w="1742" w:type="dxa"/>
            <w:vAlign w:val="top"/>
          </w:tcPr>
          <w:p>
            <w:pPr>
              <w:pStyle w:val="TableText"/>
              <w:ind w:left="673"/>
              <w:spacing w:before="168" w:line="228" w:lineRule="auto"/>
              <w:rPr/>
            </w:pPr>
            <w:r>
              <w:rPr>
                <w:spacing w:val="-1"/>
              </w:rPr>
              <w:t>噪声</w:t>
            </w:r>
          </w:p>
        </w:tc>
        <w:tc>
          <w:tcPr>
            <w:tcW w:w="709" w:type="dxa"/>
            <w:vAlign w:val="top"/>
          </w:tcPr>
          <w:p>
            <w:pPr>
              <w:ind w:left="322"/>
              <w:spacing w:before="20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416" w:type="dxa"/>
            <w:vAlign w:val="top"/>
          </w:tcPr>
          <w:p>
            <w:pPr>
              <w:pStyle w:val="TableText"/>
              <w:ind w:left="13"/>
              <w:spacing w:before="31" w:line="226" w:lineRule="auto"/>
              <w:rPr/>
            </w:pPr>
            <w:r>
              <w:rPr>
                <w:spacing w:val="-2"/>
              </w:rPr>
              <w:t>设备运转、运输</w:t>
            </w:r>
          </w:p>
          <w:p>
            <w:pPr>
              <w:pStyle w:val="TableText"/>
              <w:ind w:left="512"/>
              <w:spacing w:before="28" w:line="217" w:lineRule="auto"/>
              <w:rPr/>
            </w:pPr>
            <w:r>
              <w:rPr>
                <w:spacing w:val="-1"/>
              </w:rPr>
              <w:t>噪声</w:t>
            </w:r>
          </w:p>
        </w:tc>
        <w:tc>
          <w:tcPr>
            <w:tcW w:w="1787" w:type="dxa"/>
            <w:vAlign w:val="top"/>
          </w:tcPr>
          <w:p>
            <w:pPr>
              <w:pStyle w:val="TableText"/>
              <w:ind w:left="37"/>
              <w:spacing w:before="31" w:line="227" w:lineRule="auto"/>
              <w:rPr/>
            </w:pPr>
            <w:r>
              <w:rPr>
                <w:spacing w:val="6"/>
              </w:rPr>
              <w:t>连续等效噪声</w:t>
            </w:r>
            <w:r>
              <w:rPr>
                <w:spacing w:val="-42"/>
              </w:rPr>
              <w:t xml:space="preserve"> </w:t>
            </w:r>
            <w:r>
              <w:rPr>
                <w:rFonts w:ascii="Times New Roman" w:hAnsi="Times New Roman" w:eastAsia="Times New Roman" w:cs="Times New Roman"/>
                <w:spacing w:val="6"/>
              </w:rPr>
              <w:t>A</w:t>
            </w:r>
            <w:r>
              <w:rPr>
                <w:rFonts w:ascii="Times New Roman" w:hAnsi="Times New Roman" w:eastAsia="Times New Roman" w:cs="Times New Roman"/>
                <w:spacing w:val="16"/>
              </w:rPr>
              <w:t xml:space="preserve"> </w:t>
            </w:r>
            <w:r>
              <w:rPr>
                <w:spacing w:val="6"/>
              </w:rPr>
              <w:t>声</w:t>
            </w:r>
          </w:p>
          <w:p>
            <w:pPr>
              <w:pStyle w:val="TableText"/>
              <w:ind w:left="798"/>
              <w:spacing w:before="27" w:line="217" w:lineRule="auto"/>
              <w:rPr/>
            </w:pPr>
            <w:r>
              <w:rPr/>
              <w:t>级</w:t>
            </w:r>
          </w:p>
        </w:tc>
        <w:tc>
          <w:tcPr>
            <w:tcW w:w="2574" w:type="dxa"/>
            <w:vAlign w:val="top"/>
          </w:tcPr>
          <w:p>
            <w:pPr>
              <w:pStyle w:val="TableText"/>
              <w:ind w:left="43"/>
              <w:spacing w:before="31" w:line="228" w:lineRule="auto"/>
              <w:rPr/>
            </w:pPr>
            <w:r>
              <w:rPr>
                <w:spacing w:val="8"/>
              </w:rPr>
              <w:t>隔声、消声、减振、距离衰</w:t>
            </w:r>
          </w:p>
          <w:p>
            <w:pPr>
              <w:pStyle w:val="TableText"/>
              <w:ind w:left="767"/>
              <w:spacing w:before="26" w:line="217" w:lineRule="auto"/>
              <w:rPr/>
            </w:pPr>
            <w:r>
              <w:rPr>
                <w:spacing w:val="5"/>
              </w:rPr>
              <w:t>减等措施。</w:t>
            </w:r>
          </w:p>
        </w:tc>
      </w:tr>
      <w:tr>
        <w:trPr>
          <w:trHeight w:val="549" w:hRule="atLeast"/>
        </w:trPr>
        <w:tc>
          <w:tcPr>
            <w:tcW w:w="477" w:type="dxa"/>
            <w:vAlign w:val="top"/>
            <w:vMerge w:val="restart"/>
            <w:textDirection w:val="tbRlV"/>
            <w:tcBorders>
              <w:bottom w:val="nil"/>
            </w:tcBorders>
          </w:tcPr>
          <w:p>
            <w:pPr>
              <w:pStyle w:val="TableText"/>
              <w:ind w:left="3621"/>
              <w:spacing w:before="133" w:line="217" w:lineRule="auto"/>
              <w:rPr/>
            </w:pPr>
            <w:r>
              <w:rPr>
                <w:spacing w:val="8"/>
              </w:rPr>
              <w:t>固</w:t>
            </w:r>
            <w:r>
              <w:rPr>
                <w:spacing w:val="-38"/>
              </w:rPr>
              <w:t xml:space="preserve"> </w:t>
            </w:r>
            <w:r>
              <w:rPr>
                <w:spacing w:val="8"/>
              </w:rPr>
              <w:t>废</w:t>
            </w:r>
          </w:p>
        </w:tc>
        <w:tc>
          <w:tcPr>
            <w:tcW w:w="1742" w:type="dxa"/>
            <w:vAlign w:val="top"/>
          </w:tcPr>
          <w:p>
            <w:pPr>
              <w:pStyle w:val="TableText"/>
              <w:ind w:left="454"/>
              <w:spacing w:before="168" w:line="228" w:lineRule="auto"/>
              <w:rPr/>
            </w:pPr>
            <w:r>
              <w:rPr>
                <w:spacing w:val="7"/>
              </w:rPr>
              <w:t>废包装物</w:t>
            </w:r>
          </w:p>
        </w:tc>
        <w:tc>
          <w:tcPr>
            <w:tcW w:w="709" w:type="dxa"/>
            <w:vAlign w:val="top"/>
          </w:tcPr>
          <w:p>
            <w:pPr>
              <w:ind w:left="215"/>
              <w:spacing w:before="203"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1-1</w:t>
            </w:r>
          </w:p>
        </w:tc>
        <w:tc>
          <w:tcPr>
            <w:tcW w:w="1416" w:type="dxa"/>
            <w:vAlign w:val="top"/>
          </w:tcPr>
          <w:p>
            <w:pPr>
              <w:pStyle w:val="TableText"/>
              <w:ind w:left="298"/>
              <w:spacing w:before="167" w:line="228" w:lineRule="auto"/>
              <w:rPr/>
            </w:pPr>
            <w:r>
              <w:rPr>
                <w:spacing w:val="6"/>
              </w:rPr>
              <w:t>原毛库房</w:t>
            </w:r>
          </w:p>
        </w:tc>
        <w:tc>
          <w:tcPr>
            <w:tcW w:w="1787" w:type="dxa"/>
            <w:vAlign w:val="top"/>
          </w:tcPr>
          <w:p>
            <w:pPr>
              <w:pStyle w:val="TableText"/>
              <w:ind w:left="10" w:firstLine="53"/>
              <w:spacing w:before="34" w:line="233" w:lineRule="auto"/>
              <w:rPr/>
            </w:pPr>
            <w:r>
              <w:rPr>
                <w:spacing w:val="-2"/>
              </w:rPr>
              <w:t>高密度聚乙烯（包</w:t>
            </w:r>
            <w:r>
              <w:rPr>
                <w:spacing w:val="1"/>
              </w:rPr>
              <w:t xml:space="preserve">  </w:t>
            </w:r>
            <w:r>
              <w:rPr>
                <w:spacing w:val="-4"/>
              </w:rPr>
              <w:t>布）和钢丝（包索）</w:t>
            </w:r>
          </w:p>
        </w:tc>
        <w:tc>
          <w:tcPr>
            <w:tcW w:w="2574" w:type="dxa"/>
            <w:vAlign w:val="top"/>
          </w:tcPr>
          <w:p>
            <w:pPr>
              <w:pStyle w:val="TableText"/>
              <w:ind w:left="140"/>
              <w:spacing w:before="32" w:line="228" w:lineRule="auto"/>
              <w:rPr/>
            </w:pPr>
            <w:r>
              <w:rPr>
                <w:spacing w:val="8"/>
              </w:rPr>
              <w:t>外售废品回收企业综合利</w:t>
            </w:r>
          </w:p>
          <w:p>
            <w:pPr>
              <w:pStyle w:val="TableText"/>
              <w:ind w:left="1083"/>
              <w:spacing w:before="25" w:line="216" w:lineRule="auto"/>
              <w:rPr/>
            </w:pPr>
            <w:r>
              <w:rPr>
                <w:spacing w:val="-1"/>
              </w:rPr>
              <w:t>用。</w:t>
            </w:r>
          </w:p>
        </w:tc>
      </w:tr>
      <w:tr>
        <w:trPr>
          <w:trHeight w:val="548" w:hRule="atLeast"/>
        </w:trPr>
        <w:tc>
          <w:tcPr>
            <w:tcW w:w="477" w:type="dxa"/>
            <w:vAlign w:val="top"/>
            <w:vMerge w:val="continue"/>
            <w:textDirection w:val="tbRlV"/>
            <w:tcBorders>
              <w:top w:val="nil"/>
              <w:bottom w:val="nil"/>
            </w:tcBorders>
          </w:tcPr>
          <w:p>
            <w:pPr>
              <w:rPr>
                <w:rFonts w:ascii="Arial"/>
                <w:sz w:val="21"/>
              </w:rPr>
            </w:pPr>
            <w:r/>
          </w:p>
        </w:tc>
        <w:tc>
          <w:tcPr>
            <w:tcW w:w="1742" w:type="dxa"/>
            <w:vAlign w:val="top"/>
          </w:tcPr>
          <w:p>
            <w:pPr>
              <w:pStyle w:val="TableText"/>
              <w:ind w:left="457"/>
              <w:spacing w:before="167" w:line="228" w:lineRule="auto"/>
              <w:rPr/>
            </w:pPr>
            <w:r>
              <w:rPr>
                <w:spacing w:val="6"/>
              </w:rPr>
              <w:t>分选杂物</w:t>
            </w:r>
          </w:p>
        </w:tc>
        <w:tc>
          <w:tcPr>
            <w:tcW w:w="709" w:type="dxa"/>
            <w:vAlign w:val="top"/>
          </w:tcPr>
          <w:p>
            <w:pPr>
              <w:ind w:left="215"/>
              <w:spacing w:before="204"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1-2</w:t>
            </w:r>
          </w:p>
        </w:tc>
        <w:tc>
          <w:tcPr>
            <w:tcW w:w="1416" w:type="dxa"/>
            <w:vAlign w:val="top"/>
          </w:tcPr>
          <w:p>
            <w:pPr>
              <w:pStyle w:val="TableText"/>
              <w:ind w:left="15"/>
              <w:spacing w:before="30" w:line="228" w:lineRule="auto"/>
              <w:rPr/>
            </w:pPr>
            <w:r>
              <w:rPr>
                <w:spacing w:val="-2"/>
              </w:rPr>
              <w:t>原毛库房、分选</w:t>
            </w:r>
          </w:p>
          <w:p>
            <w:pPr>
              <w:pStyle w:val="TableText"/>
              <w:ind w:left="503"/>
              <w:spacing w:before="27" w:line="215" w:lineRule="auto"/>
              <w:rPr/>
            </w:pPr>
            <w:r>
              <w:rPr>
                <w:spacing w:val="4"/>
              </w:rPr>
              <w:t>库房</w:t>
            </w:r>
          </w:p>
        </w:tc>
        <w:tc>
          <w:tcPr>
            <w:tcW w:w="1787" w:type="dxa"/>
            <w:vAlign w:val="top"/>
          </w:tcPr>
          <w:p>
            <w:pPr>
              <w:pStyle w:val="TableText"/>
              <w:ind w:left="60"/>
              <w:spacing w:before="30" w:line="228" w:lineRule="auto"/>
              <w:rPr/>
            </w:pPr>
            <w:r>
              <w:rPr>
                <w:spacing w:val="8"/>
              </w:rPr>
              <w:t>砂石、木块、杂毛</w:t>
            </w:r>
          </w:p>
          <w:p>
            <w:pPr>
              <w:pStyle w:val="TableText"/>
              <w:ind w:left="797"/>
              <w:spacing w:before="27" w:line="215" w:lineRule="auto"/>
              <w:rPr/>
            </w:pPr>
            <w:r>
              <w:rPr/>
              <w:t>等</w:t>
            </w:r>
          </w:p>
        </w:tc>
        <w:tc>
          <w:tcPr>
            <w:tcW w:w="2574" w:type="dxa"/>
            <w:vAlign w:val="top"/>
          </w:tcPr>
          <w:p>
            <w:pPr>
              <w:pStyle w:val="TableText"/>
              <w:ind w:left="135"/>
              <w:spacing w:before="31" w:line="224" w:lineRule="auto"/>
              <w:rPr/>
            </w:pPr>
            <w:r>
              <w:rPr>
                <w:spacing w:val="9"/>
              </w:rPr>
              <w:t>委托当地环卫部门清运处</w:t>
            </w:r>
          </w:p>
          <w:p>
            <w:pPr>
              <w:pStyle w:val="TableText"/>
              <w:ind w:left="1084"/>
              <w:spacing w:before="31" w:line="215" w:lineRule="auto"/>
              <w:rPr/>
            </w:pPr>
            <w:r>
              <w:rPr>
                <w:spacing w:val="-1"/>
              </w:rPr>
              <w:t>理。</w:t>
            </w:r>
          </w:p>
        </w:tc>
      </w:tr>
      <w:tr>
        <w:trPr>
          <w:trHeight w:val="1638" w:hRule="atLeast"/>
        </w:trPr>
        <w:tc>
          <w:tcPr>
            <w:tcW w:w="477" w:type="dxa"/>
            <w:vAlign w:val="top"/>
            <w:vMerge w:val="continue"/>
            <w:textDirection w:val="tbRlV"/>
            <w:tcBorders>
              <w:top w:val="nil"/>
              <w:bottom w:val="nil"/>
            </w:tcBorders>
          </w:tcPr>
          <w:p>
            <w:pPr>
              <w:rPr>
                <w:rFonts w:ascii="Arial"/>
                <w:sz w:val="21"/>
              </w:rPr>
            </w:pPr>
            <w:r/>
          </w:p>
        </w:tc>
        <w:tc>
          <w:tcPr>
            <w:tcW w:w="1742" w:type="dxa"/>
            <w:vAlign w:val="top"/>
          </w:tcPr>
          <w:p>
            <w:pPr>
              <w:spacing w:line="322" w:lineRule="auto"/>
              <w:rPr>
                <w:rFonts w:ascii="Arial"/>
                <w:sz w:val="21"/>
              </w:rPr>
            </w:pPr>
            <w:r/>
          </w:p>
          <w:p>
            <w:pPr>
              <w:spacing w:line="322" w:lineRule="auto"/>
              <w:rPr>
                <w:rFonts w:ascii="Arial"/>
                <w:sz w:val="21"/>
              </w:rPr>
            </w:pPr>
            <w:r/>
          </w:p>
          <w:p>
            <w:pPr>
              <w:pStyle w:val="TableText"/>
              <w:ind w:left="455"/>
              <w:spacing w:before="65" w:line="228" w:lineRule="auto"/>
              <w:rPr/>
            </w:pPr>
            <w:r>
              <w:rPr>
                <w:spacing w:val="7"/>
              </w:rPr>
              <w:t>开松杂质</w:t>
            </w:r>
          </w:p>
        </w:tc>
        <w:tc>
          <w:tcPr>
            <w:tcW w:w="709" w:type="dxa"/>
            <w:vAlign w:val="top"/>
          </w:tcPr>
          <w:p>
            <w:pPr>
              <w:spacing w:line="344" w:lineRule="auto"/>
              <w:rPr>
                <w:rFonts w:ascii="Arial"/>
                <w:sz w:val="21"/>
              </w:rPr>
            </w:pPr>
            <w:r/>
          </w:p>
          <w:p>
            <w:pPr>
              <w:spacing w:line="344" w:lineRule="auto"/>
              <w:rPr>
                <w:rFonts w:ascii="Arial"/>
                <w:sz w:val="21"/>
              </w:rPr>
            </w:pPr>
            <w:r/>
          </w:p>
          <w:p>
            <w:pPr>
              <w:ind w:left="215"/>
              <w:spacing w:before="57" w:line="205"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position w:val="-1"/>
              </w:rPr>
              <w:t>1-3</w:t>
            </w:r>
          </w:p>
        </w:tc>
        <w:tc>
          <w:tcPr>
            <w:tcW w:w="1416" w:type="dxa"/>
            <w:vAlign w:val="top"/>
          </w:tcPr>
          <w:p>
            <w:pPr>
              <w:spacing w:line="254" w:lineRule="auto"/>
              <w:rPr>
                <w:rFonts w:ascii="Arial"/>
                <w:sz w:val="21"/>
              </w:rPr>
            </w:pPr>
            <w:r/>
          </w:p>
          <w:p>
            <w:pPr>
              <w:spacing w:line="254" w:lineRule="auto"/>
              <w:rPr>
                <w:rFonts w:ascii="Arial"/>
                <w:sz w:val="21"/>
              </w:rPr>
            </w:pPr>
            <w:r/>
          </w:p>
          <w:p>
            <w:pPr>
              <w:pStyle w:val="TableText"/>
              <w:ind w:left="81"/>
              <w:spacing w:before="65" w:line="228" w:lineRule="auto"/>
              <w:rPr/>
            </w:pPr>
            <w:r>
              <w:rPr>
                <w:spacing w:val="8"/>
              </w:rPr>
              <w:t>洗毛车间开松</w:t>
            </w:r>
          </w:p>
          <w:p>
            <w:pPr>
              <w:pStyle w:val="TableText"/>
              <w:ind w:left="514"/>
              <w:spacing w:before="26" w:line="228" w:lineRule="auto"/>
              <w:rPr/>
            </w:pPr>
            <w:r>
              <w:rPr>
                <w:spacing w:val="-2"/>
              </w:rPr>
              <w:t>除杂</w:t>
            </w:r>
          </w:p>
        </w:tc>
        <w:tc>
          <w:tcPr>
            <w:tcW w:w="1787" w:type="dxa"/>
            <w:vAlign w:val="top"/>
          </w:tcPr>
          <w:p>
            <w:pPr>
              <w:spacing w:line="254" w:lineRule="auto"/>
              <w:rPr>
                <w:rFonts w:ascii="Arial"/>
                <w:sz w:val="21"/>
              </w:rPr>
            </w:pPr>
            <w:r/>
          </w:p>
          <w:p>
            <w:pPr>
              <w:spacing w:line="254" w:lineRule="auto"/>
              <w:rPr>
                <w:rFonts w:ascii="Arial"/>
                <w:sz w:val="21"/>
              </w:rPr>
            </w:pPr>
            <w:r/>
          </w:p>
          <w:p>
            <w:pPr>
              <w:pStyle w:val="TableText"/>
              <w:spacing w:before="65" w:line="228" w:lineRule="auto"/>
              <w:jc w:val="right"/>
              <w:rPr/>
            </w:pPr>
            <w:r>
              <w:rPr>
                <w:spacing w:val="-4"/>
              </w:rPr>
              <w:t>杂草、泥沙、碎毛、</w:t>
            </w:r>
          </w:p>
          <w:p>
            <w:pPr>
              <w:pStyle w:val="TableText"/>
              <w:ind w:left="487"/>
              <w:spacing w:before="26" w:line="228" w:lineRule="auto"/>
              <w:rPr/>
            </w:pPr>
            <w:r>
              <w:rPr>
                <w:spacing w:val="5"/>
              </w:rPr>
              <w:t>羊粪便等</w:t>
            </w:r>
          </w:p>
        </w:tc>
        <w:tc>
          <w:tcPr>
            <w:tcW w:w="2574" w:type="dxa"/>
            <w:vAlign w:val="top"/>
          </w:tcPr>
          <w:p>
            <w:pPr>
              <w:pStyle w:val="TableText"/>
              <w:ind w:left="34"/>
              <w:spacing w:before="34" w:line="228" w:lineRule="auto"/>
              <w:rPr/>
            </w:pPr>
            <w:r>
              <w:rPr>
                <w:spacing w:val="8"/>
              </w:rPr>
              <w:t>外运内蒙古盎然农业发展有</w:t>
            </w:r>
          </w:p>
          <w:p>
            <w:pPr>
              <w:pStyle w:val="TableText"/>
              <w:spacing w:before="24" w:line="227" w:lineRule="auto"/>
              <w:jc w:val="right"/>
              <w:rPr/>
            </w:pPr>
            <w:r>
              <w:rPr>
                <w:spacing w:val="4"/>
              </w:rPr>
              <w:t>限公司有机肥厂做有机肥</w:t>
            </w:r>
            <w:r>
              <w:rPr>
                <w:spacing w:val="-40"/>
                <w:w w:val="94"/>
              </w:rPr>
              <w:t>，，</w:t>
            </w:r>
          </w:p>
          <w:p>
            <w:pPr>
              <w:pStyle w:val="TableText"/>
              <w:ind w:left="32"/>
              <w:spacing w:before="24" w:line="228" w:lineRule="auto"/>
              <w:rPr/>
            </w:pPr>
            <w:r>
              <w:rPr>
                <w:spacing w:val="8"/>
              </w:rPr>
              <w:t>待内蒙古源浩羊绒制品有限</w:t>
            </w:r>
          </w:p>
          <w:p>
            <w:pPr>
              <w:pStyle w:val="TableText"/>
              <w:ind w:left="37"/>
              <w:spacing w:before="26" w:line="228" w:lineRule="auto"/>
              <w:rPr/>
            </w:pPr>
            <w:r>
              <w:rPr>
                <w:spacing w:val="8"/>
              </w:rPr>
              <w:t>公司废弃物高效循环利用项</w:t>
            </w:r>
          </w:p>
          <w:p>
            <w:pPr>
              <w:pStyle w:val="TableText"/>
              <w:ind w:left="70"/>
              <w:spacing w:before="25" w:line="227" w:lineRule="auto"/>
              <w:rPr/>
            </w:pPr>
            <w:r>
              <w:rPr>
                <w:spacing w:val="5"/>
              </w:rPr>
              <w:t>目（二期）有机肥生产线建</w:t>
            </w:r>
          </w:p>
          <w:p>
            <w:pPr>
              <w:pStyle w:val="TableText"/>
              <w:ind w:left="243"/>
              <w:spacing w:before="28" w:line="214" w:lineRule="auto"/>
              <w:rPr/>
            </w:pPr>
            <w:r>
              <w:rPr>
                <w:spacing w:val="7"/>
              </w:rPr>
              <w:t>成后用于生产有机肥。</w:t>
            </w:r>
          </w:p>
        </w:tc>
      </w:tr>
      <w:tr>
        <w:trPr>
          <w:trHeight w:val="549" w:hRule="atLeast"/>
        </w:trPr>
        <w:tc>
          <w:tcPr>
            <w:tcW w:w="477" w:type="dxa"/>
            <w:vAlign w:val="top"/>
            <w:vMerge w:val="continue"/>
            <w:textDirection w:val="tbRlV"/>
            <w:tcBorders>
              <w:top w:val="nil"/>
              <w:bottom w:val="nil"/>
            </w:tcBorders>
          </w:tcPr>
          <w:p>
            <w:pPr>
              <w:rPr>
                <w:rFonts w:ascii="Arial"/>
                <w:sz w:val="21"/>
              </w:rPr>
            </w:pPr>
            <w:r/>
          </w:p>
        </w:tc>
        <w:tc>
          <w:tcPr>
            <w:tcW w:w="1742" w:type="dxa"/>
            <w:vAlign w:val="top"/>
          </w:tcPr>
          <w:p>
            <w:pPr>
              <w:pStyle w:val="TableText"/>
              <w:ind w:left="770" w:right="32" w:hanging="723"/>
              <w:spacing w:before="36" w:line="232" w:lineRule="auto"/>
              <w:rPr/>
            </w:pPr>
            <w:r>
              <w:rPr>
                <w:spacing w:val="7"/>
              </w:rPr>
              <w:t>除尘器收集的除尘</w:t>
            </w:r>
            <w:r>
              <w:rPr/>
              <w:t xml:space="preserve"> </w:t>
            </w:r>
            <w:r>
              <w:rPr/>
              <w:t>灰</w:t>
            </w:r>
          </w:p>
        </w:tc>
        <w:tc>
          <w:tcPr>
            <w:tcW w:w="709" w:type="dxa"/>
            <w:vAlign w:val="top"/>
          </w:tcPr>
          <w:p>
            <w:pPr>
              <w:ind w:left="215"/>
              <w:spacing w:before="206" w:line="21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1-5</w:t>
            </w:r>
          </w:p>
        </w:tc>
        <w:tc>
          <w:tcPr>
            <w:tcW w:w="1416" w:type="dxa"/>
            <w:vAlign w:val="top"/>
          </w:tcPr>
          <w:p>
            <w:pPr>
              <w:pStyle w:val="TableText"/>
              <w:ind w:left="81"/>
              <w:spacing w:before="35" w:line="228" w:lineRule="auto"/>
              <w:rPr/>
            </w:pPr>
            <w:r>
              <w:rPr>
                <w:spacing w:val="8"/>
              </w:rPr>
              <w:t>洗毛车间开松</w:t>
            </w:r>
          </w:p>
          <w:p>
            <w:pPr>
              <w:pStyle w:val="TableText"/>
              <w:ind w:left="94"/>
              <w:spacing w:before="24" w:line="214" w:lineRule="auto"/>
              <w:rPr/>
            </w:pPr>
            <w:r>
              <w:rPr>
                <w:spacing w:val="6"/>
              </w:rPr>
              <w:t>除杂布袋除尘</w:t>
            </w:r>
          </w:p>
        </w:tc>
        <w:tc>
          <w:tcPr>
            <w:tcW w:w="1787" w:type="dxa"/>
            <w:vAlign w:val="top"/>
          </w:tcPr>
          <w:p>
            <w:pPr>
              <w:pStyle w:val="TableText"/>
              <w:ind w:left="165"/>
              <w:spacing w:before="170" w:line="228" w:lineRule="auto"/>
              <w:rPr/>
            </w:pPr>
            <w:r>
              <w:rPr>
                <w:spacing w:val="8"/>
              </w:rPr>
              <w:t>泥沙、羊粪便等</w:t>
            </w:r>
          </w:p>
        </w:tc>
        <w:tc>
          <w:tcPr>
            <w:tcW w:w="2574" w:type="dxa"/>
            <w:vAlign w:val="top"/>
          </w:tcPr>
          <w:p>
            <w:pPr>
              <w:pStyle w:val="TableText"/>
              <w:ind w:left="44" w:right="28" w:hanging="10"/>
              <w:spacing w:before="36" w:line="232" w:lineRule="auto"/>
              <w:rPr/>
            </w:pPr>
            <w:r>
              <w:rPr>
                <w:spacing w:val="8"/>
              </w:rPr>
              <w:t>外运内蒙古盎然农业发展有 </w:t>
            </w:r>
            <w:r>
              <w:rPr>
                <w:spacing w:val="7"/>
              </w:rPr>
              <w:t>限公司有机肥厂做有机肥。</w:t>
            </w:r>
          </w:p>
        </w:tc>
      </w:tr>
      <w:tr>
        <w:trPr>
          <w:trHeight w:val="550" w:hRule="atLeast"/>
        </w:trPr>
        <w:tc>
          <w:tcPr>
            <w:tcW w:w="477" w:type="dxa"/>
            <w:vAlign w:val="top"/>
            <w:vMerge w:val="continue"/>
            <w:textDirection w:val="tbRlV"/>
            <w:tcBorders>
              <w:top w:val="nil"/>
              <w:bottom w:val="nil"/>
            </w:tcBorders>
          </w:tcPr>
          <w:p>
            <w:pPr>
              <w:rPr>
                <w:rFonts w:ascii="Arial"/>
                <w:sz w:val="21"/>
              </w:rPr>
            </w:pPr>
            <w:r/>
          </w:p>
        </w:tc>
        <w:tc>
          <w:tcPr>
            <w:tcW w:w="1742" w:type="dxa"/>
            <w:vAlign w:val="top"/>
          </w:tcPr>
          <w:p>
            <w:pPr>
              <w:pStyle w:val="TableText"/>
              <w:ind w:left="455"/>
              <w:spacing w:before="170" w:line="228" w:lineRule="auto"/>
              <w:rPr/>
            </w:pPr>
            <w:r>
              <w:rPr>
                <w:spacing w:val="7"/>
              </w:rPr>
              <w:t>沉淀杂质</w:t>
            </w:r>
          </w:p>
        </w:tc>
        <w:tc>
          <w:tcPr>
            <w:tcW w:w="709" w:type="dxa"/>
            <w:vAlign w:val="top"/>
          </w:tcPr>
          <w:p>
            <w:pPr>
              <w:ind w:left="215"/>
              <w:spacing w:before="209" w:line="21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1-6</w:t>
            </w:r>
          </w:p>
        </w:tc>
        <w:tc>
          <w:tcPr>
            <w:tcW w:w="1416" w:type="dxa"/>
            <w:vAlign w:val="top"/>
          </w:tcPr>
          <w:p>
            <w:pPr>
              <w:pStyle w:val="TableText"/>
              <w:ind w:left="187"/>
              <w:spacing w:before="170" w:line="228" w:lineRule="auto"/>
              <w:rPr/>
            </w:pPr>
            <w:r>
              <w:rPr>
                <w:spacing w:val="8"/>
              </w:rPr>
              <w:t>废水收集池</w:t>
            </w:r>
          </w:p>
        </w:tc>
        <w:tc>
          <w:tcPr>
            <w:tcW w:w="1787" w:type="dxa"/>
            <w:vAlign w:val="top"/>
          </w:tcPr>
          <w:p>
            <w:pPr>
              <w:pStyle w:val="TableText"/>
              <w:ind w:left="271"/>
              <w:spacing w:before="170" w:line="228" w:lineRule="auto"/>
              <w:rPr/>
            </w:pPr>
            <w:r>
              <w:rPr>
                <w:spacing w:val="7"/>
              </w:rPr>
              <w:t>泥沙、石子等</w:t>
            </w:r>
          </w:p>
        </w:tc>
        <w:tc>
          <w:tcPr>
            <w:tcW w:w="2574" w:type="dxa"/>
            <w:vAlign w:val="top"/>
          </w:tcPr>
          <w:p>
            <w:pPr>
              <w:pStyle w:val="TableText"/>
              <w:ind w:left="29"/>
              <w:spacing w:before="36" w:line="224" w:lineRule="auto"/>
              <w:rPr/>
            </w:pPr>
            <w:r>
              <w:rPr>
                <w:spacing w:val="9"/>
              </w:rPr>
              <w:t>委托当地环卫部门定期清运</w:t>
            </w:r>
          </w:p>
          <w:p>
            <w:pPr>
              <w:pStyle w:val="TableText"/>
              <w:ind w:left="1086"/>
              <w:spacing w:before="29" w:line="214" w:lineRule="auto"/>
              <w:rPr/>
            </w:pPr>
            <w:r>
              <w:rPr>
                <w:spacing w:val="2"/>
              </w:rPr>
              <w:t>处理</w:t>
            </w:r>
          </w:p>
        </w:tc>
      </w:tr>
      <w:tr>
        <w:trPr>
          <w:trHeight w:val="277" w:hRule="atLeast"/>
        </w:trPr>
        <w:tc>
          <w:tcPr>
            <w:tcW w:w="477" w:type="dxa"/>
            <w:vAlign w:val="top"/>
            <w:vMerge w:val="continue"/>
            <w:textDirection w:val="tbRlV"/>
            <w:tcBorders>
              <w:top w:val="nil"/>
              <w:bottom w:val="nil"/>
            </w:tcBorders>
          </w:tcPr>
          <w:p>
            <w:pPr>
              <w:rPr>
                <w:rFonts w:ascii="Arial"/>
                <w:sz w:val="21"/>
              </w:rPr>
            </w:pPr>
            <w:r/>
          </w:p>
        </w:tc>
        <w:tc>
          <w:tcPr>
            <w:tcW w:w="1742" w:type="dxa"/>
            <w:vAlign w:val="top"/>
          </w:tcPr>
          <w:p>
            <w:pPr>
              <w:pStyle w:val="TableText"/>
              <w:ind w:left="34"/>
              <w:spacing w:before="36" w:line="213" w:lineRule="auto"/>
              <w:rPr/>
            </w:pPr>
            <w:r>
              <w:rPr>
                <w:spacing w:val="8"/>
              </w:rPr>
              <w:t>梳绒短纤维及杂毛</w:t>
            </w:r>
          </w:p>
        </w:tc>
        <w:tc>
          <w:tcPr>
            <w:tcW w:w="709" w:type="dxa"/>
            <w:vAlign w:val="top"/>
          </w:tcPr>
          <w:p>
            <w:pPr>
              <w:ind w:left="215"/>
              <w:spacing w:before="71" w:line="204"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2-1</w:t>
            </w:r>
          </w:p>
        </w:tc>
        <w:tc>
          <w:tcPr>
            <w:tcW w:w="1416" w:type="dxa"/>
            <w:vAlign w:val="top"/>
          </w:tcPr>
          <w:p>
            <w:pPr>
              <w:pStyle w:val="TableText"/>
              <w:ind w:left="292"/>
              <w:spacing w:before="36" w:line="213" w:lineRule="auto"/>
              <w:rPr/>
            </w:pPr>
            <w:r>
              <w:rPr>
                <w:spacing w:val="7"/>
              </w:rPr>
              <w:t>梳绒车间</w:t>
            </w:r>
          </w:p>
        </w:tc>
        <w:tc>
          <w:tcPr>
            <w:tcW w:w="1787" w:type="dxa"/>
            <w:vAlign w:val="top"/>
          </w:tcPr>
          <w:p>
            <w:pPr>
              <w:pStyle w:val="TableText"/>
              <w:ind w:left="272"/>
              <w:spacing w:before="36" w:line="213" w:lineRule="auto"/>
              <w:rPr/>
            </w:pPr>
            <w:r>
              <w:rPr>
                <w:spacing w:val="7"/>
              </w:rPr>
              <w:t>短纤维及杂毛</w:t>
            </w:r>
          </w:p>
        </w:tc>
        <w:tc>
          <w:tcPr>
            <w:tcW w:w="2574" w:type="dxa"/>
            <w:vAlign w:val="top"/>
          </w:tcPr>
          <w:p>
            <w:pPr>
              <w:pStyle w:val="TableText"/>
              <w:spacing w:before="36" w:line="213" w:lineRule="auto"/>
              <w:jc w:val="right"/>
              <w:rPr/>
            </w:pPr>
            <w:r>
              <w:rPr>
                <w:spacing w:val="-4"/>
              </w:rPr>
              <w:t>外售综合利用（工业毛毡等）</w:t>
            </w:r>
          </w:p>
        </w:tc>
      </w:tr>
      <w:tr>
        <w:trPr>
          <w:trHeight w:val="550" w:hRule="atLeast"/>
        </w:trPr>
        <w:tc>
          <w:tcPr>
            <w:tcW w:w="477" w:type="dxa"/>
            <w:vAlign w:val="top"/>
            <w:vMerge w:val="continue"/>
            <w:textDirection w:val="tbRlV"/>
            <w:tcBorders>
              <w:top w:val="nil"/>
              <w:bottom w:val="nil"/>
            </w:tcBorders>
          </w:tcPr>
          <w:p>
            <w:pPr>
              <w:rPr>
                <w:rFonts w:ascii="Arial"/>
                <w:sz w:val="21"/>
              </w:rPr>
            </w:pPr>
            <w:r/>
          </w:p>
        </w:tc>
        <w:tc>
          <w:tcPr>
            <w:tcW w:w="1742" w:type="dxa"/>
            <w:vAlign w:val="top"/>
          </w:tcPr>
          <w:p>
            <w:pPr>
              <w:pStyle w:val="TableText"/>
              <w:ind w:left="454"/>
              <w:spacing w:before="171" w:line="228" w:lineRule="auto"/>
              <w:rPr/>
            </w:pPr>
            <w:r>
              <w:rPr>
                <w:spacing w:val="7"/>
              </w:rPr>
              <w:t>废活性炭</w:t>
            </w:r>
          </w:p>
        </w:tc>
        <w:tc>
          <w:tcPr>
            <w:tcW w:w="709" w:type="dxa"/>
            <w:vAlign w:val="top"/>
          </w:tcPr>
          <w:p>
            <w:pPr>
              <w:ind w:left="215"/>
              <w:spacing w:before="207" w:line="21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3-1</w:t>
            </w:r>
          </w:p>
        </w:tc>
        <w:tc>
          <w:tcPr>
            <w:tcW w:w="1416" w:type="dxa"/>
            <w:vAlign w:val="top"/>
          </w:tcPr>
          <w:p>
            <w:pPr>
              <w:pStyle w:val="TableText"/>
              <w:ind w:left="81"/>
              <w:spacing w:before="36" w:line="228" w:lineRule="auto"/>
              <w:rPr/>
            </w:pPr>
            <w:r>
              <w:rPr>
                <w:spacing w:val="8"/>
              </w:rPr>
              <w:t>废水收集池等</w:t>
            </w:r>
          </w:p>
          <w:p>
            <w:pPr>
              <w:pStyle w:val="TableText"/>
              <w:ind w:left="83"/>
              <w:spacing w:before="24" w:line="214" w:lineRule="auto"/>
              <w:rPr/>
            </w:pPr>
            <w:r>
              <w:rPr>
                <w:spacing w:val="8"/>
              </w:rPr>
              <w:t>恶臭气体吸附</w:t>
            </w:r>
          </w:p>
        </w:tc>
        <w:tc>
          <w:tcPr>
            <w:tcW w:w="1787" w:type="dxa"/>
            <w:vAlign w:val="top"/>
          </w:tcPr>
          <w:p>
            <w:pPr>
              <w:pStyle w:val="TableText"/>
              <w:ind w:left="484"/>
              <w:spacing w:before="171" w:line="228" w:lineRule="auto"/>
              <w:rPr/>
            </w:pPr>
            <w:r>
              <w:rPr>
                <w:spacing w:val="6"/>
              </w:rPr>
              <w:t>活性炭等</w:t>
            </w:r>
          </w:p>
        </w:tc>
        <w:tc>
          <w:tcPr>
            <w:tcW w:w="2574" w:type="dxa"/>
            <w:vAlign w:val="top"/>
          </w:tcPr>
          <w:p>
            <w:pPr>
              <w:pStyle w:val="TableText"/>
              <w:ind w:left="346"/>
              <w:spacing w:before="171" w:line="224" w:lineRule="auto"/>
              <w:rPr/>
            </w:pPr>
            <w:r>
              <w:rPr>
                <w:spacing w:val="8"/>
              </w:rPr>
              <w:t>委托有资质单位处理</w:t>
            </w:r>
          </w:p>
        </w:tc>
      </w:tr>
      <w:tr>
        <w:trPr>
          <w:trHeight w:val="277" w:hRule="atLeast"/>
        </w:trPr>
        <w:tc>
          <w:tcPr>
            <w:tcW w:w="477" w:type="dxa"/>
            <w:vAlign w:val="top"/>
            <w:vMerge w:val="continue"/>
            <w:textDirection w:val="tbRlV"/>
            <w:tcBorders>
              <w:top w:val="nil"/>
              <w:bottom w:val="nil"/>
            </w:tcBorders>
          </w:tcPr>
          <w:p>
            <w:pPr>
              <w:rPr>
                <w:rFonts w:ascii="Arial"/>
                <w:sz w:val="21"/>
              </w:rPr>
            </w:pPr>
            <w:r/>
          </w:p>
        </w:tc>
        <w:tc>
          <w:tcPr>
            <w:tcW w:w="1742" w:type="dxa"/>
            <w:vAlign w:val="top"/>
          </w:tcPr>
          <w:p>
            <w:pPr>
              <w:pStyle w:val="TableText"/>
              <w:ind w:left="454"/>
              <w:spacing w:before="36" w:line="213" w:lineRule="auto"/>
              <w:rPr/>
            </w:pPr>
            <w:r>
              <w:rPr>
                <w:spacing w:val="7"/>
              </w:rPr>
              <w:t>废脱硫剂</w:t>
            </w:r>
          </w:p>
        </w:tc>
        <w:tc>
          <w:tcPr>
            <w:tcW w:w="709" w:type="dxa"/>
            <w:vAlign w:val="top"/>
          </w:tcPr>
          <w:p>
            <w:pPr>
              <w:ind w:left="215"/>
              <w:spacing w:before="72" w:line="203"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3-2</w:t>
            </w:r>
          </w:p>
        </w:tc>
        <w:tc>
          <w:tcPr>
            <w:tcW w:w="1416" w:type="dxa"/>
            <w:vAlign w:val="top"/>
          </w:tcPr>
          <w:p>
            <w:pPr>
              <w:pStyle w:val="TableText"/>
              <w:ind w:left="297"/>
              <w:spacing w:before="36" w:line="213" w:lineRule="auto"/>
              <w:rPr/>
            </w:pPr>
            <w:r>
              <w:rPr>
                <w:spacing w:val="6"/>
              </w:rPr>
              <w:t>沼气脱硫</w:t>
            </w:r>
          </w:p>
        </w:tc>
        <w:tc>
          <w:tcPr>
            <w:tcW w:w="1787" w:type="dxa"/>
            <w:vAlign w:val="top"/>
          </w:tcPr>
          <w:p>
            <w:pPr>
              <w:pStyle w:val="TableText"/>
              <w:ind w:left="144"/>
              <w:spacing w:before="72" w:line="180" w:lineRule="auto"/>
              <w:rPr>
                <w:rFonts w:ascii="Times New Roman" w:hAnsi="Times New Roman" w:eastAsia="Times New Roman" w:cs="Times New Roman"/>
              </w:rPr>
            </w:pPr>
            <w:r>
              <w:rPr>
                <w:rFonts w:ascii="Times New Roman" w:hAnsi="Times New Roman" w:eastAsia="Times New Roman" w:cs="Times New Roman"/>
              </w:rPr>
              <w:t>Fe</w:t>
            </w:r>
            <w:r>
              <w:rPr>
                <w:rFonts w:ascii="Times New Roman" w:hAnsi="Times New Roman" w:eastAsia="Times New Roman" w:cs="Times New Roman"/>
                <w:sz w:val="13"/>
                <w:szCs w:val="13"/>
                <w:spacing w:val="3"/>
              </w:rPr>
              <w:t>2</w:t>
            </w:r>
            <w:r>
              <w:rPr>
                <w:rFonts w:ascii="Times New Roman" w:hAnsi="Times New Roman" w:eastAsia="Times New Roman" w:cs="Times New Roman"/>
                <w:spacing w:val="3"/>
              </w:rPr>
              <w:t>O</w:t>
            </w:r>
            <w:r>
              <w:rPr>
                <w:rFonts w:ascii="Times New Roman" w:hAnsi="Times New Roman" w:eastAsia="Times New Roman" w:cs="Times New Roman"/>
                <w:sz w:val="13"/>
                <w:szCs w:val="13"/>
                <w:spacing w:val="3"/>
                <w:position w:val="-1"/>
              </w:rPr>
              <w:t>3</w:t>
            </w:r>
            <w:r>
              <w:rPr>
                <w:rFonts w:ascii="Times New Roman" w:hAnsi="Times New Roman" w:eastAsia="Times New Roman" w:cs="Times New Roman"/>
                <w:sz w:val="13"/>
                <w:szCs w:val="13"/>
                <w:spacing w:val="-8"/>
                <w:position w:val="-1"/>
              </w:rPr>
              <w:t xml:space="preserve"> </w:t>
            </w:r>
            <w:r>
              <w:rPr>
                <w:spacing w:val="3"/>
              </w:rPr>
              <w:t>、</w:t>
            </w:r>
            <w:r>
              <w:rPr>
                <w:rFonts w:ascii="Times New Roman" w:hAnsi="Times New Roman" w:eastAsia="Times New Roman" w:cs="Times New Roman"/>
              </w:rPr>
              <w:t>Fe</w:t>
            </w:r>
            <w:r>
              <w:rPr>
                <w:rFonts w:ascii="Times New Roman" w:hAnsi="Times New Roman" w:eastAsia="Times New Roman" w:cs="Times New Roman"/>
                <w:sz w:val="13"/>
                <w:szCs w:val="13"/>
                <w:spacing w:val="3"/>
              </w:rPr>
              <w:t>2</w:t>
            </w:r>
            <w:r>
              <w:rPr>
                <w:rFonts w:ascii="Times New Roman" w:hAnsi="Times New Roman" w:eastAsia="Times New Roman" w:cs="Times New Roman"/>
                <w:spacing w:val="3"/>
              </w:rPr>
              <w:t>S</w:t>
            </w:r>
            <w:r>
              <w:rPr>
                <w:rFonts w:ascii="Times New Roman" w:hAnsi="Times New Roman" w:eastAsia="Times New Roman" w:cs="Times New Roman"/>
                <w:sz w:val="13"/>
                <w:szCs w:val="13"/>
                <w:spacing w:val="3"/>
                <w:position w:val="-1"/>
              </w:rPr>
              <w:t>3</w:t>
            </w:r>
            <w:r>
              <w:rPr>
                <w:rFonts w:ascii="Times New Roman" w:hAnsi="Times New Roman" w:eastAsia="Times New Roman" w:cs="Times New Roman"/>
                <w:sz w:val="13"/>
                <w:szCs w:val="13"/>
                <w:spacing w:val="-11"/>
                <w:position w:val="-1"/>
              </w:rPr>
              <w:t xml:space="preserve"> </w:t>
            </w:r>
            <w:r>
              <w:rPr>
                <w:spacing w:val="3"/>
              </w:rPr>
              <w:t>、</w:t>
            </w:r>
            <w:r>
              <w:rPr>
                <w:rFonts w:ascii="Times New Roman" w:hAnsi="Times New Roman" w:eastAsia="Times New Roman" w:cs="Times New Roman"/>
                <w:spacing w:val="3"/>
              </w:rPr>
              <w:t>S</w:t>
            </w:r>
          </w:p>
        </w:tc>
        <w:tc>
          <w:tcPr>
            <w:tcW w:w="2574" w:type="dxa"/>
            <w:vAlign w:val="top"/>
          </w:tcPr>
          <w:p>
            <w:pPr>
              <w:pStyle w:val="TableText"/>
              <w:ind w:left="476"/>
              <w:spacing w:before="36" w:line="213" w:lineRule="auto"/>
              <w:rPr/>
            </w:pPr>
            <w:r>
              <w:rPr>
                <w:spacing w:val="5"/>
              </w:rPr>
              <w:t>由其生产厂家回收</w:t>
            </w:r>
          </w:p>
        </w:tc>
      </w:tr>
      <w:tr>
        <w:trPr>
          <w:trHeight w:val="278" w:hRule="atLeast"/>
        </w:trPr>
        <w:tc>
          <w:tcPr>
            <w:tcW w:w="477" w:type="dxa"/>
            <w:vAlign w:val="top"/>
            <w:vMerge w:val="continue"/>
            <w:textDirection w:val="tbRlV"/>
            <w:tcBorders>
              <w:top w:val="nil"/>
              <w:bottom w:val="nil"/>
            </w:tcBorders>
          </w:tcPr>
          <w:p>
            <w:pPr>
              <w:rPr>
                <w:rFonts w:ascii="Arial"/>
                <w:sz w:val="21"/>
              </w:rPr>
            </w:pPr>
            <w:r/>
          </w:p>
        </w:tc>
        <w:tc>
          <w:tcPr>
            <w:tcW w:w="1742" w:type="dxa"/>
            <w:vAlign w:val="top"/>
          </w:tcPr>
          <w:p>
            <w:pPr>
              <w:pStyle w:val="TableText"/>
              <w:ind w:left="456"/>
              <w:spacing w:before="35" w:line="215" w:lineRule="auto"/>
              <w:rPr/>
            </w:pPr>
            <w:r>
              <w:rPr>
                <w:spacing w:val="6"/>
              </w:rPr>
              <w:t>生活垃圾</w:t>
            </w:r>
          </w:p>
        </w:tc>
        <w:tc>
          <w:tcPr>
            <w:tcW w:w="709" w:type="dxa"/>
            <w:vAlign w:val="top"/>
          </w:tcPr>
          <w:p>
            <w:pPr>
              <w:ind w:left="215"/>
              <w:spacing w:before="70" w:line="205"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position w:val="-1"/>
              </w:rPr>
              <w:t>4-1</w:t>
            </w:r>
          </w:p>
        </w:tc>
        <w:tc>
          <w:tcPr>
            <w:tcW w:w="1416" w:type="dxa"/>
            <w:vAlign w:val="top"/>
          </w:tcPr>
          <w:p>
            <w:pPr>
              <w:pStyle w:val="TableText"/>
              <w:ind w:left="83"/>
              <w:spacing w:before="35" w:line="215" w:lineRule="auto"/>
              <w:rPr/>
            </w:pPr>
            <w:r>
              <w:rPr>
                <w:spacing w:val="8"/>
              </w:rPr>
              <w:t>职工生活产生</w:t>
            </w:r>
          </w:p>
        </w:tc>
        <w:tc>
          <w:tcPr>
            <w:tcW w:w="1787" w:type="dxa"/>
            <w:vAlign w:val="top"/>
          </w:tcPr>
          <w:p>
            <w:pPr>
              <w:pStyle w:val="TableText"/>
              <w:ind w:left="62"/>
              <w:spacing w:before="35" w:line="215" w:lineRule="auto"/>
              <w:rPr/>
            </w:pPr>
            <w:r>
              <w:rPr>
                <w:spacing w:val="8"/>
              </w:rPr>
              <w:t>纸张、食物残渣等</w:t>
            </w:r>
          </w:p>
        </w:tc>
        <w:tc>
          <w:tcPr>
            <w:tcW w:w="2574" w:type="dxa"/>
            <w:vAlign w:val="top"/>
          </w:tcPr>
          <w:p>
            <w:pPr>
              <w:pStyle w:val="TableText"/>
              <w:ind w:left="449"/>
              <w:spacing w:before="35" w:line="215" w:lineRule="auto"/>
              <w:rPr/>
            </w:pPr>
            <w:r>
              <w:rPr>
                <w:spacing w:val="8"/>
              </w:rPr>
              <w:t>委托环卫部门清理</w:t>
            </w:r>
          </w:p>
        </w:tc>
      </w:tr>
      <w:tr>
        <w:trPr>
          <w:trHeight w:val="549" w:hRule="atLeast"/>
        </w:trPr>
        <w:tc>
          <w:tcPr>
            <w:tcW w:w="477" w:type="dxa"/>
            <w:vAlign w:val="top"/>
            <w:vMerge w:val="continue"/>
            <w:textDirection w:val="tbRlV"/>
            <w:tcBorders>
              <w:top w:val="nil"/>
              <w:bottom w:val="nil"/>
            </w:tcBorders>
          </w:tcPr>
          <w:p>
            <w:pPr>
              <w:rPr>
                <w:rFonts w:ascii="Arial"/>
                <w:sz w:val="21"/>
              </w:rPr>
            </w:pPr>
            <w:r/>
          </w:p>
        </w:tc>
        <w:tc>
          <w:tcPr>
            <w:tcW w:w="1742" w:type="dxa"/>
            <w:vAlign w:val="top"/>
          </w:tcPr>
          <w:p>
            <w:pPr>
              <w:pStyle w:val="TableText"/>
              <w:ind w:left="560" w:right="44" w:hanging="514"/>
              <w:spacing w:before="36" w:line="232" w:lineRule="auto"/>
              <w:rPr/>
            </w:pPr>
            <w:r>
              <w:rPr>
                <w:spacing w:val="8"/>
              </w:rPr>
              <w:t>废</w:t>
            </w:r>
            <w:r>
              <w:rPr>
                <w:spacing w:val="-39"/>
              </w:rPr>
              <w:t xml:space="preserve"> </w:t>
            </w:r>
            <w:r>
              <w:rPr>
                <w:rFonts w:ascii="Times New Roman" w:hAnsi="Times New Roman" w:eastAsia="Times New Roman" w:cs="Times New Roman"/>
              </w:rPr>
              <w:t>RO</w:t>
            </w:r>
            <w:r>
              <w:rPr>
                <w:rFonts w:ascii="Times New Roman" w:hAnsi="Times New Roman" w:eastAsia="Times New Roman" w:cs="Times New Roman"/>
                <w:spacing w:val="8"/>
              </w:rPr>
              <w:t xml:space="preserve"> </w:t>
            </w:r>
            <w:r>
              <w:rPr>
                <w:spacing w:val="8"/>
              </w:rPr>
              <w:t>膜、废过滤</w:t>
            </w:r>
            <w:r>
              <w:rPr/>
              <w:t xml:space="preserve"> </w:t>
            </w:r>
            <w:r>
              <w:rPr>
                <w:spacing w:val="6"/>
              </w:rPr>
              <w:t>器组件</w:t>
            </w:r>
          </w:p>
        </w:tc>
        <w:tc>
          <w:tcPr>
            <w:tcW w:w="709" w:type="dxa"/>
            <w:vAlign w:val="top"/>
          </w:tcPr>
          <w:p>
            <w:pPr>
              <w:ind w:left="215"/>
              <w:spacing w:before="208"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4-2</w:t>
            </w:r>
          </w:p>
        </w:tc>
        <w:tc>
          <w:tcPr>
            <w:tcW w:w="1416" w:type="dxa"/>
            <w:vAlign w:val="top"/>
          </w:tcPr>
          <w:p>
            <w:pPr>
              <w:pStyle w:val="TableText"/>
              <w:ind w:left="85"/>
              <w:spacing w:before="169" w:line="228" w:lineRule="auto"/>
              <w:rPr/>
            </w:pPr>
            <w:r>
              <w:rPr>
                <w:spacing w:val="7"/>
              </w:rPr>
              <w:t>纯水制备装置</w:t>
            </w:r>
          </w:p>
        </w:tc>
        <w:tc>
          <w:tcPr>
            <w:tcW w:w="1787" w:type="dxa"/>
            <w:vAlign w:val="top"/>
          </w:tcPr>
          <w:p>
            <w:pPr>
              <w:pStyle w:val="TableText"/>
              <w:ind w:left="5"/>
              <w:spacing w:before="35" w:line="228" w:lineRule="auto"/>
              <w:rPr/>
            </w:pPr>
            <w:r>
              <w:rPr>
                <w:rFonts w:ascii="Times New Roman" w:hAnsi="Times New Roman" w:eastAsia="Times New Roman" w:cs="Times New Roman"/>
              </w:rPr>
              <w:t>RO</w:t>
            </w:r>
            <w:r>
              <w:rPr>
                <w:rFonts w:ascii="Times New Roman" w:hAnsi="Times New Roman" w:eastAsia="Times New Roman" w:cs="Times New Roman"/>
                <w:spacing w:val="5"/>
              </w:rPr>
              <w:t xml:space="preserve"> </w:t>
            </w:r>
            <w:r>
              <w:rPr>
                <w:spacing w:val="5"/>
              </w:rPr>
              <w:t>膜、废过滤器组</w:t>
            </w:r>
          </w:p>
          <w:p>
            <w:pPr>
              <w:pStyle w:val="TableText"/>
              <w:ind w:left="794"/>
              <w:spacing w:before="24" w:line="214" w:lineRule="auto"/>
              <w:rPr/>
            </w:pPr>
            <w:r>
              <w:rPr>
                <w:spacing w:val="1"/>
              </w:rPr>
              <w:t>件</w:t>
            </w:r>
          </w:p>
        </w:tc>
        <w:tc>
          <w:tcPr>
            <w:tcW w:w="2574" w:type="dxa"/>
            <w:vAlign w:val="top"/>
          </w:tcPr>
          <w:p>
            <w:pPr>
              <w:pStyle w:val="TableText"/>
              <w:ind w:left="476"/>
              <w:spacing w:before="170" w:line="225" w:lineRule="auto"/>
              <w:rPr/>
            </w:pPr>
            <w:r>
              <w:rPr>
                <w:spacing w:val="5"/>
              </w:rPr>
              <w:t>由其生产厂家回收</w:t>
            </w:r>
          </w:p>
        </w:tc>
      </w:tr>
      <w:tr>
        <w:trPr>
          <w:trHeight w:val="278" w:hRule="atLeast"/>
        </w:trPr>
        <w:tc>
          <w:tcPr>
            <w:tcW w:w="477" w:type="dxa"/>
            <w:vAlign w:val="top"/>
            <w:vMerge w:val="continue"/>
            <w:textDirection w:val="tbRlV"/>
            <w:tcBorders>
              <w:top w:val="nil"/>
              <w:bottom w:val="nil"/>
            </w:tcBorders>
          </w:tcPr>
          <w:p>
            <w:pPr>
              <w:rPr>
                <w:rFonts w:ascii="Arial"/>
                <w:sz w:val="21"/>
              </w:rPr>
            </w:pPr>
            <w:r/>
          </w:p>
        </w:tc>
        <w:tc>
          <w:tcPr>
            <w:tcW w:w="1742" w:type="dxa"/>
            <w:vAlign w:val="top"/>
          </w:tcPr>
          <w:p>
            <w:pPr>
              <w:pStyle w:val="TableText"/>
              <w:ind w:left="349"/>
              <w:spacing w:before="36" w:line="214" w:lineRule="auto"/>
              <w:rPr/>
            </w:pPr>
            <w:r>
              <w:rPr>
                <w:spacing w:val="8"/>
              </w:rPr>
              <w:t>锅炉草木灰</w:t>
            </w:r>
          </w:p>
        </w:tc>
        <w:tc>
          <w:tcPr>
            <w:tcW w:w="709" w:type="dxa"/>
            <w:vAlign w:val="top"/>
          </w:tcPr>
          <w:p>
            <w:pPr>
              <w:ind w:left="215"/>
              <w:spacing w:before="71" w:line="205"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4-3</w:t>
            </w:r>
          </w:p>
        </w:tc>
        <w:tc>
          <w:tcPr>
            <w:tcW w:w="1416" w:type="dxa"/>
            <w:vAlign w:val="top"/>
          </w:tcPr>
          <w:p>
            <w:pPr>
              <w:pStyle w:val="TableText"/>
              <w:ind w:left="189"/>
              <w:spacing w:before="36" w:line="214" w:lineRule="auto"/>
              <w:rPr/>
            </w:pPr>
            <w:r>
              <w:rPr>
                <w:spacing w:val="7"/>
              </w:rPr>
              <w:t>生物质锅炉</w:t>
            </w:r>
          </w:p>
        </w:tc>
        <w:tc>
          <w:tcPr>
            <w:tcW w:w="1787" w:type="dxa"/>
            <w:vAlign w:val="top"/>
          </w:tcPr>
          <w:p>
            <w:pPr>
              <w:pStyle w:val="TableText"/>
              <w:ind w:left="585"/>
              <w:spacing w:before="36" w:line="214" w:lineRule="auto"/>
              <w:rPr/>
            </w:pPr>
            <w:r>
              <w:rPr>
                <w:spacing w:val="6"/>
              </w:rPr>
              <w:t>草木灰</w:t>
            </w:r>
          </w:p>
        </w:tc>
        <w:tc>
          <w:tcPr>
            <w:tcW w:w="2574" w:type="dxa"/>
            <w:vAlign w:val="top"/>
          </w:tcPr>
          <w:p>
            <w:pPr>
              <w:pStyle w:val="TableText"/>
              <w:ind w:left="454"/>
              <w:spacing w:before="36" w:line="214" w:lineRule="auto"/>
              <w:rPr/>
            </w:pPr>
            <w:r>
              <w:rPr>
                <w:spacing w:val="8"/>
              </w:rPr>
              <w:t>外售作为肥料还田</w:t>
            </w:r>
          </w:p>
        </w:tc>
      </w:tr>
      <w:tr>
        <w:trPr>
          <w:trHeight w:val="518" w:hRule="atLeast"/>
        </w:trPr>
        <w:tc>
          <w:tcPr>
            <w:tcW w:w="477" w:type="dxa"/>
            <w:vAlign w:val="top"/>
            <w:vMerge w:val="continue"/>
            <w:textDirection w:val="tbRlV"/>
            <w:tcBorders>
              <w:top w:val="nil"/>
              <w:bottom w:val="nil"/>
            </w:tcBorders>
          </w:tcPr>
          <w:p>
            <w:pPr>
              <w:rPr>
                <w:rFonts w:ascii="Arial"/>
                <w:sz w:val="21"/>
              </w:rPr>
            </w:pPr>
            <w:r/>
          </w:p>
        </w:tc>
        <w:tc>
          <w:tcPr>
            <w:tcW w:w="1742" w:type="dxa"/>
            <w:vAlign w:val="top"/>
          </w:tcPr>
          <w:p>
            <w:pPr>
              <w:pStyle w:val="TableText"/>
              <w:ind w:left="559"/>
              <w:spacing w:before="155" w:line="227" w:lineRule="auto"/>
              <w:rPr/>
            </w:pPr>
            <w:r>
              <w:rPr>
                <w:spacing w:val="7"/>
              </w:rPr>
              <w:t>废布袋</w:t>
            </w:r>
          </w:p>
        </w:tc>
        <w:tc>
          <w:tcPr>
            <w:tcW w:w="709" w:type="dxa"/>
            <w:vAlign w:val="top"/>
          </w:tcPr>
          <w:p>
            <w:pPr>
              <w:pStyle w:val="TableText"/>
              <w:ind w:left="110"/>
              <w:spacing w:before="72" w:line="195" w:lineRule="auto"/>
              <w:rPr/>
            </w:pPr>
            <w:r>
              <w:rPr>
                <w:rFonts w:ascii="Times New Roman" w:hAnsi="Times New Roman" w:eastAsia="Times New Roman" w:cs="Times New Roman"/>
                <w:spacing w:val="-1"/>
              </w:rPr>
              <w:t>S</w:t>
            </w:r>
            <w:r>
              <w:rPr>
                <w:rFonts w:ascii="Times New Roman" w:hAnsi="Times New Roman" w:eastAsia="Times New Roman" w:cs="Times New Roman"/>
                <w:sz w:val="13"/>
                <w:szCs w:val="13"/>
                <w:spacing w:val="-1"/>
              </w:rPr>
              <w:t>1-4</w:t>
            </w:r>
            <w:r>
              <w:rPr>
                <w:spacing w:val="-1"/>
              </w:rPr>
              <w:t>、</w:t>
            </w:r>
          </w:p>
          <w:p>
            <w:pPr>
              <w:ind w:left="215"/>
              <w:spacing w:before="45" w:line="187"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4-4</w:t>
            </w:r>
          </w:p>
        </w:tc>
        <w:tc>
          <w:tcPr>
            <w:tcW w:w="1416" w:type="dxa"/>
            <w:vAlign w:val="top"/>
          </w:tcPr>
          <w:p>
            <w:pPr>
              <w:pStyle w:val="TableText"/>
              <w:ind w:left="188"/>
              <w:spacing w:before="155" w:line="227" w:lineRule="auto"/>
              <w:rPr/>
            </w:pPr>
            <w:r>
              <w:rPr>
                <w:spacing w:val="8"/>
              </w:rPr>
              <w:t>布袋除尘器</w:t>
            </w:r>
          </w:p>
        </w:tc>
        <w:tc>
          <w:tcPr>
            <w:tcW w:w="1787" w:type="dxa"/>
            <w:vAlign w:val="top"/>
          </w:tcPr>
          <w:p>
            <w:pPr>
              <w:pStyle w:val="TableText"/>
              <w:ind w:left="583"/>
              <w:spacing w:before="155" w:line="227" w:lineRule="auto"/>
              <w:rPr/>
            </w:pPr>
            <w:r>
              <w:rPr>
                <w:spacing w:val="7"/>
              </w:rPr>
              <w:t>废布袋</w:t>
            </w:r>
          </w:p>
        </w:tc>
        <w:tc>
          <w:tcPr>
            <w:tcW w:w="2574" w:type="dxa"/>
            <w:vAlign w:val="top"/>
          </w:tcPr>
          <w:p>
            <w:pPr>
              <w:pStyle w:val="TableText"/>
              <w:ind w:left="476"/>
              <w:spacing w:before="156" w:line="225" w:lineRule="auto"/>
              <w:rPr/>
            </w:pPr>
            <w:r>
              <w:rPr>
                <w:spacing w:val="5"/>
              </w:rPr>
              <w:t>由其生产厂家回收</w:t>
            </w:r>
          </w:p>
        </w:tc>
      </w:tr>
      <w:tr>
        <w:trPr>
          <w:trHeight w:val="550" w:hRule="atLeast"/>
        </w:trPr>
        <w:tc>
          <w:tcPr>
            <w:tcW w:w="477" w:type="dxa"/>
            <w:vAlign w:val="top"/>
            <w:vMerge w:val="continue"/>
            <w:textDirection w:val="tbRlV"/>
            <w:tcBorders>
              <w:top w:val="nil"/>
              <w:bottom w:val="nil"/>
            </w:tcBorders>
          </w:tcPr>
          <w:p>
            <w:pPr>
              <w:rPr>
                <w:rFonts w:ascii="Arial"/>
                <w:sz w:val="21"/>
              </w:rPr>
            </w:pPr>
            <w:r/>
          </w:p>
        </w:tc>
        <w:tc>
          <w:tcPr>
            <w:tcW w:w="1742" w:type="dxa"/>
            <w:vAlign w:val="top"/>
          </w:tcPr>
          <w:p>
            <w:pPr>
              <w:pStyle w:val="TableText"/>
              <w:ind w:left="454"/>
              <w:spacing w:before="170" w:line="228" w:lineRule="auto"/>
              <w:rPr/>
            </w:pPr>
            <w:r>
              <w:rPr>
                <w:spacing w:val="7"/>
              </w:rPr>
              <w:t>废矿物油</w:t>
            </w:r>
          </w:p>
        </w:tc>
        <w:tc>
          <w:tcPr>
            <w:tcW w:w="709" w:type="dxa"/>
            <w:vAlign w:val="top"/>
          </w:tcPr>
          <w:p>
            <w:pPr>
              <w:ind w:left="215"/>
              <w:spacing w:before="208" w:line="21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4-5</w:t>
            </w:r>
          </w:p>
        </w:tc>
        <w:tc>
          <w:tcPr>
            <w:tcW w:w="1416" w:type="dxa"/>
            <w:vAlign w:val="top"/>
          </w:tcPr>
          <w:p>
            <w:pPr>
              <w:pStyle w:val="TableText"/>
              <w:ind w:left="13"/>
              <w:spacing w:before="35" w:line="228" w:lineRule="auto"/>
              <w:rPr/>
            </w:pPr>
            <w:r>
              <w:rPr>
                <w:spacing w:val="-2"/>
              </w:rPr>
              <w:t>设备检修、保养</w:t>
            </w:r>
          </w:p>
          <w:p>
            <w:pPr>
              <w:pStyle w:val="TableText"/>
              <w:ind w:left="609"/>
              <w:spacing w:before="24" w:line="215" w:lineRule="auto"/>
              <w:rPr/>
            </w:pPr>
            <w:r>
              <w:rPr/>
              <w:t>等</w:t>
            </w:r>
          </w:p>
        </w:tc>
        <w:tc>
          <w:tcPr>
            <w:tcW w:w="1787" w:type="dxa"/>
            <w:vAlign w:val="top"/>
          </w:tcPr>
          <w:p>
            <w:pPr>
              <w:pStyle w:val="TableText"/>
              <w:ind w:left="374"/>
              <w:spacing w:before="170" w:line="228" w:lineRule="auto"/>
              <w:rPr/>
            </w:pPr>
            <w:r>
              <w:rPr>
                <w:spacing w:val="8"/>
              </w:rPr>
              <w:t>废润滑油等</w:t>
            </w:r>
          </w:p>
        </w:tc>
        <w:tc>
          <w:tcPr>
            <w:tcW w:w="2574" w:type="dxa"/>
            <w:vAlign w:val="top"/>
          </w:tcPr>
          <w:p>
            <w:pPr>
              <w:pStyle w:val="TableText"/>
              <w:ind w:left="346"/>
              <w:spacing w:before="170" w:line="224" w:lineRule="auto"/>
              <w:rPr/>
            </w:pPr>
            <w:r>
              <w:rPr>
                <w:spacing w:val="8"/>
              </w:rPr>
              <w:t>委托有资质单位处理</w:t>
            </w:r>
          </w:p>
        </w:tc>
      </w:tr>
      <w:tr>
        <w:trPr>
          <w:trHeight w:val="554" w:hRule="atLeast"/>
        </w:trPr>
        <w:tc>
          <w:tcPr>
            <w:tcW w:w="477" w:type="dxa"/>
            <w:vAlign w:val="top"/>
            <w:vMerge w:val="continue"/>
            <w:textDirection w:val="tbRlV"/>
            <w:tcBorders>
              <w:top w:val="nil"/>
            </w:tcBorders>
          </w:tcPr>
          <w:p>
            <w:pPr>
              <w:rPr>
                <w:rFonts w:ascii="Arial"/>
                <w:sz w:val="21"/>
              </w:rPr>
            </w:pPr>
            <w:r/>
          </w:p>
        </w:tc>
        <w:tc>
          <w:tcPr>
            <w:tcW w:w="1742" w:type="dxa"/>
            <w:vAlign w:val="top"/>
          </w:tcPr>
          <w:p>
            <w:pPr>
              <w:pStyle w:val="TableText"/>
              <w:ind w:left="559"/>
              <w:spacing w:before="172" w:line="228" w:lineRule="auto"/>
              <w:rPr/>
            </w:pPr>
            <w:r>
              <w:rPr>
                <w:spacing w:val="7"/>
              </w:rPr>
              <w:t>废油桶</w:t>
            </w:r>
          </w:p>
        </w:tc>
        <w:tc>
          <w:tcPr>
            <w:tcW w:w="709" w:type="dxa"/>
            <w:vAlign w:val="top"/>
          </w:tcPr>
          <w:p>
            <w:pPr>
              <w:ind w:left="215"/>
              <w:spacing w:before="208" w:line="21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4-6</w:t>
            </w:r>
          </w:p>
        </w:tc>
        <w:tc>
          <w:tcPr>
            <w:tcW w:w="1416" w:type="dxa"/>
            <w:vAlign w:val="top"/>
          </w:tcPr>
          <w:p>
            <w:pPr>
              <w:pStyle w:val="TableText"/>
              <w:ind w:left="84"/>
              <w:spacing w:before="35" w:line="228" w:lineRule="auto"/>
              <w:rPr/>
            </w:pPr>
            <w:r>
              <w:rPr>
                <w:spacing w:val="7"/>
              </w:rPr>
              <w:t>润滑油等的使</w:t>
            </w:r>
          </w:p>
          <w:p>
            <w:pPr>
              <w:pStyle w:val="TableText"/>
              <w:ind w:left="609"/>
              <w:spacing w:before="26" w:line="217" w:lineRule="auto"/>
              <w:rPr/>
            </w:pPr>
            <w:r>
              <w:rPr/>
              <w:t>用</w:t>
            </w:r>
          </w:p>
        </w:tc>
        <w:tc>
          <w:tcPr>
            <w:tcW w:w="1787" w:type="dxa"/>
            <w:vAlign w:val="top"/>
          </w:tcPr>
          <w:p>
            <w:pPr>
              <w:pStyle w:val="TableText"/>
              <w:ind w:left="584"/>
              <w:spacing w:before="172" w:line="228" w:lineRule="auto"/>
              <w:rPr/>
            </w:pPr>
            <w:r>
              <w:rPr>
                <w:spacing w:val="6"/>
              </w:rPr>
              <w:t>石油类</w:t>
            </w:r>
          </w:p>
        </w:tc>
        <w:tc>
          <w:tcPr>
            <w:tcW w:w="2574" w:type="dxa"/>
            <w:vAlign w:val="top"/>
          </w:tcPr>
          <w:p>
            <w:pPr>
              <w:pStyle w:val="TableText"/>
              <w:ind w:left="346"/>
              <w:spacing w:before="172" w:line="224" w:lineRule="auto"/>
              <w:rPr/>
            </w:pPr>
            <w:r>
              <w:rPr>
                <w:spacing w:val="8"/>
              </w:rPr>
              <w:t>委托有资质单位处理</w:t>
            </w:r>
          </w:p>
        </w:tc>
      </w:tr>
    </w:tbl>
    <w:p>
      <w:pPr>
        <w:ind w:left="115"/>
        <w:spacing w:before="199" w:line="222" w:lineRule="auto"/>
        <w:outlineLvl w:val="1"/>
        <w:rPr>
          <w:rFonts w:ascii="SimHei" w:hAnsi="SimHei" w:eastAsia="SimHei" w:cs="SimHei"/>
          <w:sz w:val="30"/>
          <w:szCs w:val="30"/>
        </w:rPr>
      </w:pPr>
      <w:bookmarkStart w:name="bookmark61" w:id="75"/>
      <w:bookmarkEnd w:id="75"/>
      <w:bookmarkStart w:name="bookmark62" w:id="76"/>
      <w:bookmarkEnd w:id="76"/>
      <w:r>
        <w:rPr>
          <w:rFonts w:ascii="Times New Roman" w:hAnsi="Times New Roman" w:eastAsia="Times New Roman" w:cs="Times New Roman"/>
          <w:sz w:val="30"/>
          <w:szCs w:val="30"/>
          <w:spacing w:val="-5"/>
        </w:rPr>
        <w:t>3.4</w:t>
      </w:r>
      <w:r>
        <w:rPr>
          <w:rFonts w:ascii="Times New Roman" w:hAnsi="Times New Roman" w:eastAsia="Times New Roman" w:cs="Times New Roman"/>
          <w:sz w:val="30"/>
          <w:szCs w:val="30"/>
          <w:spacing w:val="20"/>
        </w:rPr>
        <w:t xml:space="preserve"> </w:t>
      </w:r>
      <w:r>
        <w:rPr>
          <w:rFonts w:ascii="SimHei" w:hAnsi="SimHei" w:eastAsia="SimHei" w:cs="SimHei"/>
          <w:sz w:val="30"/>
          <w:szCs w:val="30"/>
          <w:spacing w:val="-5"/>
        </w:rPr>
        <w:t>平衡分析</w:t>
      </w:r>
    </w:p>
    <w:p>
      <w:pPr>
        <w:pStyle w:val="BodyText"/>
        <w:spacing w:line="246" w:lineRule="auto"/>
        <w:rPr/>
      </w:pPr>
      <w:r/>
    </w:p>
    <w:p>
      <w:pPr>
        <w:ind w:left="114"/>
        <w:spacing w:before="91" w:line="223" w:lineRule="auto"/>
        <w:outlineLvl w:val="2"/>
        <w:rPr>
          <w:rFonts w:ascii="SimHei" w:hAnsi="SimHei" w:eastAsia="SimHei" w:cs="SimHei"/>
          <w:sz w:val="28"/>
          <w:szCs w:val="28"/>
        </w:rPr>
      </w:pPr>
      <w:bookmarkStart w:name="bookmark228" w:id="77"/>
      <w:bookmarkEnd w:id="77"/>
      <w:r>
        <w:rPr>
          <w:rFonts w:ascii="Times New Roman" w:hAnsi="Times New Roman" w:eastAsia="Times New Roman" w:cs="Times New Roman"/>
          <w:sz w:val="28"/>
          <w:szCs w:val="28"/>
          <w:spacing w:val="-1"/>
        </w:rPr>
        <w:t>3.4.1 </w:t>
      </w:r>
      <w:r>
        <w:rPr>
          <w:rFonts w:ascii="SimHei" w:hAnsi="SimHei" w:eastAsia="SimHei" w:cs="SimHei"/>
          <w:sz w:val="28"/>
          <w:szCs w:val="28"/>
          <w:spacing w:val="-1"/>
        </w:rPr>
        <w:t>物料平衡分析</w:t>
      </w:r>
    </w:p>
    <w:p>
      <w:pPr>
        <w:pStyle w:val="BodyText"/>
        <w:spacing w:line="241" w:lineRule="auto"/>
        <w:rPr/>
      </w:pPr>
      <w:r/>
    </w:p>
    <w:p>
      <w:pPr>
        <w:ind w:left="611"/>
        <w:spacing w:before="78" w:line="220" w:lineRule="auto"/>
        <w:rPr>
          <w:rFonts w:ascii="SimSun" w:hAnsi="SimSun" w:eastAsia="SimSun" w:cs="SimSun"/>
          <w:sz w:val="24"/>
          <w:szCs w:val="24"/>
        </w:rPr>
      </w:pP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5"/>
        </w:rPr>
        <w:t>、洗净毛物料平衡分析</w:t>
      </w:r>
    </w:p>
    <w:p>
      <w:pPr>
        <w:ind w:left="593"/>
        <w:spacing w:before="181" w:line="219" w:lineRule="auto"/>
        <w:rPr>
          <w:rFonts w:ascii="SimSun" w:hAnsi="SimSun" w:eastAsia="SimSun" w:cs="SimSun"/>
          <w:sz w:val="24"/>
          <w:szCs w:val="24"/>
        </w:rPr>
      </w:pPr>
      <w:r>
        <w:rPr>
          <w:rFonts w:ascii="SimSun" w:hAnsi="SimSun" w:eastAsia="SimSun" w:cs="SimSun"/>
          <w:sz w:val="24"/>
          <w:szCs w:val="24"/>
          <w:spacing w:val="-1"/>
        </w:rPr>
        <w:t>本项目洗毛生产线物料平衡分析见表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3.4-1 </w:t>
      </w:r>
      <w:r>
        <w:rPr>
          <w:rFonts w:ascii="SimSun" w:hAnsi="SimSun" w:eastAsia="SimSun" w:cs="SimSun"/>
          <w:sz w:val="24"/>
          <w:szCs w:val="24"/>
          <w:spacing w:val="-1"/>
        </w:rPr>
        <w:t>和图</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3.4</w:t>
      </w:r>
      <w:r>
        <w:rPr>
          <w:rFonts w:ascii="Times New Roman" w:hAnsi="Times New Roman" w:eastAsia="Times New Roman" w:cs="Times New Roman"/>
          <w:sz w:val="24"/>
          <w:szCs w:val="24"/>
          <w:spacing w:val="-2"/>
        </w:rPr>
        <w:t>-1</w:t>
      </w:r>
      <w:r>
        <w:rPr>
          <w:rFonts w:ascii="SimSun" w:hAnsi="SimSun" w:eastAsia="SimSun" w:cs="SimSun"/>
          <w:sz w:val="24"/>
          <w:szCs w:val="24"/>
          <w:spacing w:val="-2"/>
        </w:rPr>
        <w:t>。</w:t>
      </w:r>
    </w:p>
    <w:p>
      <w:pPr>
        <w:ind w:left="1602"/>
        <w:spacing w:before="182" w:line="213" w:lineRule="auto"/>
        <w:rPr>
          <w:rFonts w:ascii="Times New Roman" w:hAnsi="Times New Roman" w:eastAsia="Times New Roman" w:cs="Times New Roman"/>
          <w:sz w:val="24"/>
          <w:szCs w:val="24"/>
        </w:rPr>
      </w:pPr>
      <w:r>
        <w:rPr>
          <w:rFonts w:ascii="SimSun" w:hAnsi="SimSun" w:eastAsia="SimSun" w:cs="SimSun"/>
          <w:sz w:val="24"/>
          <w:szCs w:val="24"/>
          <w:b/>
          <w:bCs/>
          <w:spacing w:val="-1"/>
        </w:rPr>
        <w:t>表</w:t>
      </w:r>
      <w:r>
        <w:rPr>
          <w:rFonts w:ascii="SimSun" w:hAnsi="SimSun" w:eastAsia="SimSun" w:cs="SimSun"/>
          <w:sz w:val="24"/>
          <w:szCs w:val="24"/>
          <w:spacing w:val="-57"/>
        </w:rPr>
        <w:t xml:space="preserve"> </w:t>
      </w:r>
      <w:r>
        <w:rPr>
          <w:rFonts w:ascii="Times New Roman" w:hAnsi="Times New Roman" w:eastAsia="Times New Roman" w:cs="Times New Roman"/>
          <w:sz w:val="24"/>
          <w:szCs w:val="24"/>
          <w:b/>
          <w:bCs/>
          <w:spacing w:val="-1"/>
        </w:rPr>
        <w:t>3.4-1      </w:t>
      </w:r>
      <w:r>
        <w:rPr>
          <w:rFonts w:ascii="SimSun" w:hAnsi="SimSun" w:eastAsia="SimSun" w:cs="SimSun"/>
          <w:sz w:val="24"/>
          <w:szCs w:val="24"/>
          <w:b/>
          <w:bCs/>
          <w:spacing w:val="-1"/>
        </w:rPr>
        <w:t>洗毛生产线物料平衡分析表</w:t>
      </w:r>
      <w:r>
        <w:rPr>
          <w:rFonts w:ascii="SimSun" w:hAnsi="SimSun" w:eastAsia="SimSun" w:cs="SimSun"/>
          <w:sz w:val="24"/>
          <w:szCs w:val="24"/>
          <w:spacing w:val="-1"/>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t/a</w:t>
      </w:r>
    </w:p>
    <w:tbl>
      <w:tblPr>
        <w:tblStyle w:val="TableNormal"/>
        <w:tblW w:w="8514" w:type="dxa"/>
        <w:tblInd w:w="97"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58"/>
        <w:gridCol w:w="1394"/>
        <w:gridCol w:w="1630"/>
        <w:gridCol w:w="1017"/>
        <w:gridCol w:w="2502"/>
        <w:gridCol w:w="1313"/>
      </w:tblGrid>
      <w:tr>
        <w:trPr>
          <w:trHeight w:val="281" w:hRule="atLeast"/>
        </w:trPr>
        <w:tc>
          <w:tcPr>
            <w:tcW w:w="658" w:type="dxa"/>
            <w:vAlign w:val="top"/>
          </w:tcPr>
          <w:p>
            <w:pPr>
              <w:pStyle w:val="TableText"/>
              <w:ind w:left="123"/>
              <w:spacing w:before="34" w:line="218" w:lineRule="auto"/>
              <w:rPr/>
            </w:pPr>
            <w:r>
              <w:rPr>
                <w:spacing w:val="5"/>
              </w:rPr>
              <w:t>序号</w:t>
            </w:r>
          </w:p>
        </w:tc>
        <w:tc>
          <w:tcPr>
            <w:tcW w:w="1394" w:type="dxa"/>
            <w:vAlign w:val="top"/>
          </w:tcPr>
          <w:p>
            <w:pPr>
              <w:pStyle w:val="TableText"/>
              <w:ind w:left="278"/>
              <w:spacing w:before="34" w:line="218" w:lineRule="auto"/>
              <w:rPr/>
            </w:pPr>
            <w:r>
              <w:rPr>
                <w:spacing w:val="7"/>
              </w:rPr>
              <w:t>进料名称</w:t>
            </w:r>
          </w:p>
        </w:tc>
        <w:tc>
          <w:tcPr>
            <w:tcW w:w="1630" w:type="dxa"/>
            <w:vAlign w:val="top"/>
          </w:tcPr>
          <w:p>
            <w:pPr>
              <w:pStyle w:val="TableText"/>
              <w:ind w:left="504"/>
              <w:spacing w:before="34" w:line="218" w:lineRule="auto"/>
              <w:rPr/>
            </w:pPr>
            <w:r>
              <w:rPr>
                <w:spacing w:val="7"/>
              </w:rPr>
              <w:t>进料量</w:t>
            </w:r>
          </w:p>
        </w:tc>
        <w:tc>
          <w:tcPr>
            <w:tcW w:w="1017" w:type="dxa"/>
            <w:vAlign w:val="top"/>
          </w:tcPr>
          <w:p>
            <w:pPr>
              <w:pStyle w:val="TableText"/>
              <w:ind w:left="303"/>
              <w:spacing w:before="34" w:line="218" w:lineRule="auto"/>
              <w:rPr/>
            </w:pPr>
            <w:r>
              <w:rPr>
                <w:spacing w:val="5"/>
              </w:rPr>
              <w:t>序号</w:t>
            </w:r>
          </w:p>
        </w:tc>
        <w:tc>
          <w:tcPr>
            <w:tcW w:w="2502" w:type="dxa"/>
            <w:vAlign w:val="top"/>
          </w:tcPr>
          <w:p>
            <w:pPr>
              <w:pStyle w:val="TableText"/>
              <w:ind w:left="855"/>
              <w:spacing w:before="34" w:line="218" w:lineRule="auto"/>
              <w:rPr/>
            </w:pPr>
            <w:r>
              <w:rPr>
                <w:spacing w:val="2"/>
              </w:rPr>
              <w:t>出料名称</w:t>
            </w:r>
          </w:p>
        </w:tc>
        <w:tc>
          <w:tcPr>
            <w:tcW w:w="1313" w:type="dxa"/>
            <w:vAlign w:val="top"/>
          </w:tcPr>
          <w:p>
            <w:pPr>
              <w:pStyle w:val="TableText"/>
              <w:ind w:left="364"/>
              <w:spacing w:before="34" w:line="218" w:lineRule="auto"/>
              <w:rPr/>
            </w:pPr>
            <w:r>
              <w:rPr/>
              <w:t>出料量</w:t>
            </w:r>
          </w:p>
        </w:tc>
      </w:tr>
      <w:tr>
        <w:trPr>
          <w:trHeight w:val="277" w:hRule="atLeast"/>
        </w:trPr>
        <w:tc>
          <w:tcPr>
            <w:tcW w:w="658" w:type="dxa"/>
            <w:vAlign w:val="top"/>
          </w:tcPr>
          <w:p>
            <w:pPr>
              <w:ind w:left="299"/>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394" w:type="dxa"/>
            <w:vAlign w:val="top"/>
          </w:tcPr>
          <w:p>
            <w:pPr>
              <w:pStyle w:val="TableText"/>
              <w:ind w:left="496"/>
              <w:spacing w:before="33" w:line="216" w:lineRule="auto"/>
              <w:rPr/>
            </w:pPr>
            <w:r>
              <w:rPr>
                <w:spacing w:val="2"/>
              </w:rPr>
              <w:t>原毛</w:t>
            </w:r>
          </w:p>
        </w:tc>
        <w:tc>
          <w:tcPr>
            <w:tcW w:w="1630" w:type="dxa"/>
            <w:vAlign w:val="top"/>
          </w:tcPr>
          <w:p>
            <w:pPr>
              <w:ind w:left="559"/>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30000</w:t>
            </w:r>
          </w:p>
        </w:tc>
        <w:tc>
          <w:tcPr>
            <w:tcW w:w="1017" w:type="dxa"/>
            <w:vAlign w:val="top"/>
          </w:tcPr>
          <w:p>
            <w:pPr>
              <w:ind w:left="478"/>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502" w:type="dxa"/>
            <w:vAlign w:val="top"/>
          </w:tcPr>
          <w:p>
            <w:pPr>
              <w:pStyle w:val="TableText"/>
              <w:ind w:left="942"/>
              <w:spacing w:before="33" w:line="216" w:lineRule="auto"/>
              <w:rPr/>
            </w:pPr>
            <w:r>
              <w:rPr>
                <w:spacing w:val="7"/>
              </w:rPr>
              <w:t>洗净毛</w:t>
            </w:r>
          </w:p>
        </w:tc>
        <w:tc>
          <w:tcPr>
            <w:tcW w:w="1313" w:type="dxa"/>
            <w:vAlign w:val="top"/>
          </w:tcPr>
          <w:p>
            <w:pPr>
              <w:ind w:left="415"/>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18000</w:t>
            </w:r>
          </w:p>
        </w:tc>
      </w:tr>
      <w:tr>
        <w:trPr>
          <w:trHeight w:val="276" w:hRule="atLeast"/>
        </w:trPr>
        <w:tc>
          <w:tcPr>
            <w:tcW w:w="658" w:type="dxa"/>
            <w:vAlign w:val="top"/>
          </w:tcPr>
          <w:p>
            <w:pPr>
              <w:ind w:left="278"/>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394" w:type="dxa"/>
            <w:vAlign w:val="top"/>
          </w:tcPr>
          <w:p>
            <w:pPr>
              <w:pStyle w:val="TableText"/>
              <w:ind w:left="384"/>
              <w:spacing w:before="30" w:line="217" w:lineRule="auto"/>
              <w:rPr/>
            </w:pPr>
            <w:r>
              <w:rPr>
                <w:spacing w:val="7"/>
              </w:rPr>
              <w:t>洗涤剂</w:t>
            </w:r>
          </w:p>
        </w:tc>
        <w:tc>
          <w:tcPr>
            <w:tcW w:w="1630" w:type="dxa"/>
            <w:vAlign w:val="top"/>
          </w:tcPr>
          <w:p>
            <w:pPr>
              <w:ind w:left="715"/>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1017" w:type="dxa"/>
            <w:vAlign w:val="top"/>
          </w:tcPr>
          <w:p>
            <w:pPr>
              <w:ind w:left="458"/>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502" w:type="dxa"/>
            <w:vAlign w:val="top"/>
          </w:tcPr>
          <w:p>
            <w:pPr>
              <w:pStyle w:val="TableText"/>
              <w:ind w:left="836"/>
              <w:spacing w:before="30" w:line="217" w:lineRule="auto"/>
              <w:rPr/>
            </w:pPr>
            <w:r>
              <w:rPr>
                <w:spacing w:val="7"/>
              </w:rPr>
              <w:t>洗毛废水</w:t>
            </w:r>
          </w:p>
        </w:tc>
        <w:tc>
          <w:tcPr>
            <w:tcW w:w="1313" w:type="dxa"/>
            <w:vAlign w:val="top"/>
          </w:tcPr>
          <w:p>
            <w:pPr>
              <w:ind w:left="394"/>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40500</w:t>
            </w:r>
          </w:p>
        </w:tc>
      </w:tr>
      <w:tr>
        <w:trPr>
          <w:trHeight w:val="276" w:hRule="atLeast"/>
        </w:trPr>
        <w:tc>
          <w:tcPr>
            <w:tcW w:w="658" w:type="dxa"/>
            <w:vAlign w:val="top"/>
          </w:tcPr>
          <w:p>
            <w:pPr>
              <w:ind w:left="28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394" w:type="dxa"/>
            <w:vAlign w:val="top"/>
          </w:tcPr>
          <w:p>
            <w:pPr>
              <w:pStyle w:val="TableText"/>
              <w:ind w:left="386"/>
              <w:spacing w:before="33" w:line="215" w:lineRule="auto"/>
              <w:rPr/>
            </w:pPr>
            <w:r>
              <w:rPr>
                <w:spacing w:val="6"/>
              </w:rPr>
              <w:t>新鲜水</w:t>
            </w:r>
          </w:p>
        </w:tc>
        <w:tc>
          <w:tcPr>
            <w:tcW w:w="1630" w:type="dxa"/>
            <w:vAlign w:val="top"/>
          </w:tcPr>
          <w:p>
            <w:pPr>
              <w:ind w:left="57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17100</w:t>
            </w:r>
          </w:p>
        </w:tc>
        <w:tc>
          <w:tcPr>
            <w:tcW w:w="1017" w:type="dxa"/>
            <w:vAlign w:val="top"/>
          </w:tcPr>
          <w:p>
            <w:pPr>
              <w:ind w:left="46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2502" w:type="dxa"/>
            <w:vAlign w:val="top"/>
          </w:tcPr>
          <w:p>
            <w:pPr>
              <w:pStyle w:val="TableText"/>
              <w:ind w:left="215"/>
              <w:spacing w:before="33" w:line="215" w:lineRule="auto"/>
              <w:rPr/>
            </w:pPr>
            <w:r>
              <w:rPr>
                <w:spacing w:val="8"/>
              </w:rPr>
              <w:t>羊粪、羊毛脂等有机物</w:t>
            </w:r>
          </w:p>
        </w:tc>
        <w:tc>
          <w:tcPr>
            <w:tcW w:w="1313" w:type="dxa"/>
            <w:vAlign w:val="top"/>
          </w:tcPr>
          <w:p>
            <w:pPr>
              <w:ind w:left="44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2085</w:t>
            </w:r>
          </w:p>
        </w:tc>
      </w:tr>
      <w:tr>
        <w:trPr>
          <w:trHeight w:val="549" w:hRule="atLeast"/>
        </w:trPr>
        <w:tc>
          <w:tcPr>
            <w:tcW w:w="658" w:type="dxa"/>
            <w:vAlign w:val="top"/>
          </w:tcPr>
          <w:p>
            <w:pPr>
              <w:ind w:left="277"/>
              <w:spacing w:before="2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394" w:type="dxa"/>
            <w:vAlign w:val="top"/>
          </w:tcPr>
          <w:p>
            <w:pPr>
              <w:pStyle w:val="TableText"/>
              <w:ind w:left="71"/>
              <w:spacing w:before="35" w:line="226" w:lineRule="auto"/>
              <w:rPr/>
            </w:pPr>
            <w:r>
              <w:rPr>
                <w:spacing w:val="8"/>
              </w:rPr>
              <w:t>烘干机蒸汽冷</w:t>
            </w:r>
          </w:p>
          <w:p>
            <w:pPr>
              <w:pStyle w:val="TableText"/>
              <w:ind w:left="490"/>
              <w:spacing w:before="26" w:line="214" w:lineRule="auto"/>
              <w:rPr/>
            </w:pPr>
            <w:r>
              <w:rPr>
                <w:spacing w:val="5"/>
              </w:rPr>
              <w:t>凝水</w:t>
            </w:r>
          </w:p>
        </w:tc>
        <w:tc>
          <w:tcPr>
            <w:tcW w:w="1630" w:type="dxa"/>
            <w:vAlign w:val="top"/>
          </w:tcPr>
          <w:p>
            <w:pPr>
              <w:ind w:left="559"/>
              <w:spacing w:before="2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36000</w:t>
            </w:r>
          </w:p>
        </w:tc>
        <w:tc>
          <w:tcPr>
            <w:tcW w:w="1017" w:type="dxa"/>
            <w:vAlign w:val="top"/>
          </w:tcPr>
          <w:p>
            <w:pPr>
              <w:ind w:left="457"/>
              <w:spacing w:before="2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2502" w:type="dxa"/>
            <w:vAlign w:val="top"/>
          </w:tcPr>
          <w:p>
            <w:pPr>
              <w:pStyle w:val="TableText"/>
              <w:ind w:left="731"/>
              <w:spacing w:before="169" w:line="228" w:lineRule="auto"/>
              <w:rPr/>
            </w:pPr>
            <w:r>
              <w:rPr>
                <w:spacing w:val="8"/>
              </w:rPr>
              <w:t>排放颗粒物</w:t>
            </w:r>
          </w:p>
        </w:tc>
        <w:tc>
          <w:tcPr>
            <w:tcW w:w="1313" w:type="dxa"/>
            <w:vAlign w:val="top"/>
          </w:tcPr>
          <w:p>
            <w:pPr>
              <w:ind w:left="477"/>
              <w:spacing w:before="2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0.15</w:t>
            </w:r>
          </w:p>
        </w:tc>
      </w:tr>
      <w:tr>
        <w:trPr>
          <w:trHeight w:val="279" w:hRule="atLeast"/>
        </w:trPr>
        <w:tc>
          <w:tcPr>
            <w:tcW w:w="658" w:type="dxa"/>
            <w:vAlign w:val="top"/>
          </w:tcPr>
          <w:p>
            <w:pPr>
              <w:ind w:left="298"/>
              <w:spacing w:before="6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394" w:type="dxa"/>
            <w:vAlign w:val="top"/>
          </w:tcPr>
          <w:p>
            <w:pPr>
              <w:rPr>
                <w:rFonts w:ascii="Arial"/>
                <w:sz w:val="21"/>
              </w:rPr>
            </w:pPr>
            <w:r/>
          </w:p>
        </w:tc>
        <w:tc>
          <w:tcPr>
            <w:tcW w:w="1630" w:type="dxa"/>
            <w:vAlign w:val="top"/>
          </w:tcPr>
          <w:p>
            <w:pPr>
              <w:rPr>
                <w:rFonts w:ascii="Arial"/>
                <w:sz w:val="21"/>
              </w:rPr>
            </w:pPr>
            <w:r/>
          </w:p>
        </w:tc>
        <w:tc>
          <w:tcPr>
            <w:tcW w:w="1017" w:type="dxa"/>
            <w:vAlign w:val="top"/>
          </w:tcPr>
          <w:p>
            <w:pPr>
              <w:ind w:left="464"/>
              <w:spacing w:before="7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2502" w:type="dxa"/>
            <w:vAlign w:val="top"/>
          </w:tcPr>
          <w:p>
            <w:pPr>
              <w:pStyle w:val="TableText"/>
              <w:ind w:left="839"/>
              <w:spacing w:before="36" w:line="215" w:lineRule="auto"/>
              <w:rPr/>
            </w:pPr>
            <w:r>
              <w:rPr>
                <w:spacing w:val="6"/>
              </w:rPr>
              <w:t>分选杂质</w:t>
            </w:r>
          </w:p>
        </w:tc>
        <w:tc>
          <w:tcPr>
            <w:tcW w:w="1313" w:type="dxa"/>
            <w:vAlign w:val="top"/>
          </w:tcPr>
          <w:p>
            <w:pPr>
              <w:ind w:left="46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1850</w:t>
            </w:r>
          </w:p>
        </w:tc>
      </w:tr>
    </w:tbl>
    <w:p>
      <w:pPr>
        <w:pStyle w:val="BodyText"/>
        <w:spacing w:line="251" w:lineRule="auto"/>
        <w:rPr/>
      </w:pPr>
      <w:r/>
    </w:p>
    <w:p>
      <w:pPr>
        <w:ind w:left="110"/>
        <w:spacing w:before="62" w:line="225" w:lineRule="auto"/>
        <w:rPr>
          <w:rFonts w:ascii="SimSun" w:hAnsi="SimSun" w:eastAsia="SimSun" w:cs="SimSun"/>
          <w:sz w:val="19"/>
          <w:szCs w:val="19"/>
        </w:rPr>
      </w:pPr>
      <w:r>
        <w:pict>
          <v:shape id="_x0000_s442" style="position:absolute;margin-left:164.47pt;margin-top:2.10518pt;mso-position-vertical-relative:text;mso-position-horizontal-relative:text;width:58.85pt;height:13.75pt;z-index:25185382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2"/>
                    </w:rPr>
                    <w:t>任公司</w:t>
                  </w:r>
                  <w:r>
                    <w:rPr>
                      <w:rFonts w:ascii="SimSun" w:hAnsi="SimSun" w:eastAsia="SimSun" w:cs="SimSun"/>
                      <w:sz w:val="19"/>
                      <w:szCs w:val="19"/>
                      <w:spacing w:val="30"/>
                    </w:rPr>
                    <w:t xml:space="preserve">   </w:t>
                  </w:r>
                  <w:r>
                    <w:rPr>
                      <w:rFonts w:ascii="Times New Roman" w:hAnsi="Times New Roman" w:eastAsia="Times New Roman" w:cs="Times New Roman"/>
                      <w:sz w:val="18"/>
                      <w:szCs w:val="18"/>
                      <w:spacing w:val="2"/>
                      <w:position w:val="2"/>
                    </w:rPr>
                    <w:t>87</w:t>
                  </w:r>
                </w:p>
              </w:txbxContent>
            </v:textbox>
          </v:shape>
        </w:pict>
      </w:r>
      <w:r>
        <w:rPr>
          <w:rFonts w:ascii="SimSun" w:hAnsi="SimSun" w:eastAsia="SimSun" w:cs="SimSun"/>
          <w:sz w:val="19"/>
          <w:szCs w:val="19"/>
          <w:spacing w:val="9"/>
        </w:rPr>
        <w:t>锡林郭勒盟中安环境技术咨询有限责</w:t>
      </w:r>
    </w:p>
    <w:p>
      <w:pPr>
        <w:spacing w:line="225" w:lineRule="auto"/>
        <w:sectPr>
          <w:pgSz w:w="11907" w:h="16840"/>
          <w:pgMar w:top="1567" w:right="1598" w:bottom="400" w:left="1598" w:header="1221" w:footer="0" w:gutter="0"/>
        </w:sectPr>
        <w:rPr>
          <w:rFonts w:ascii="SimSun" w:hAnsi="SimSun" w:eastAsia="SimSun" w:cs="SimSun"/>
          <w:sz w:val="19"/>
          <w:szCs w:val="19"/>
        </w:rPr>
      </w:pPr>
    </w:p>
    <w:p>
      <w:pPr>
        <w:spacing w:line="133" w:lineRule="exact"/>
        <w:rPr/>
      </w:pPr>
      <w:r>
        <w:pict>
          <v:shape id="_x0000_s446" style="position:absolute;margin-left:85.05pt;margin-top:78.87pt;mso-position-vertical-relative:page;mso-position-horizontal-relative:page;width:425.25pt;height:0.75pt;z-index:251856896;" o:allowincell="f" fillcolor="#000000" filled="true" stroked="false" coordsize="8505,15" coordorigin="0,0" path="m,l8505,0l8505,14l0,14l0,0xe"/>
        </w:pict>
      </w:r>
      <w:r/>
    </w:p>
    <w:tbl>
      <w:tblPr>
        <w:tblStyle w:val="TableNormal"/>
        <w:tblW w:w="8514" w:type="dxa"/>
        <w:tblInd w:w="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58"/>
        <w:gridCol w:w="1394"/>
        <w:gridCol w:w="1630"/>
        <w:gridCol w:w="1017"/>
        <w:gridCol w:w="2502"/>
        <w:gridCol w:w="1313"/>
      </w:tblGrid>
      <w:tr>
        <w:trPr>
          <w:trHeight w:val="281" w:hRule="atLeast"/>
        </w:trPr>
        <w:tc>
          <w:tcPr>
            <w:tcW w:w="658" w:type="dxa"/>
            <w:vAlign w:val="top"/>
          </w:tcPr>
          <w:p>
            <w:pPr>
              <w:pStyle w:val="TableText"/>
              <w:ind w:left="123"/>
              <w:spacing w:before="35" w:line="217" w:lineRule="auto"/>
              <w:rPr/>
            </w:pPr>
            <w:r>
              <w:rPr>
                <w:spacing w:val="5"/>
              </w:rPr>
              <w:t>序号</w:t>
            </w:r>
          </w:p>
        </w:tc>
        <w:tc>
          <w:tcPr>
            <w:tcW w:w="1394" w:type="dxa"/>
            <w:vAlign w:val="top"/>
          </w:tcPr>
          <w:p>
            <w:pPr>
              <w:pStyle w:val="TableText"/>
              <w:ind w:left="278"/>
              <w:spacing w:before="35" w:line="217" w:lineRule="auto"/>
              <w:rPr/>
            </w:pPr>
            <w:r>
              <w:rPr>
                <w:spacing w:val="7"/>
              </w:rPr>
              <w:t>进料名称</w:t>
            </w:r>
          </w:p>
        </w:tc>
        <w:tc>
          <w:tcPr>
            <w:tcW w:w="1630" w:type="dxa"/>
            <w:vAlign w:val="top"/>
          </w:tcPr>
          <w:p>
            <w:pPr>
              <w:pStyle w:val="TableText"/>
              <w:ind w:left="504"/>
              <w:spacing w:before="35" w:line="217" w:lineRule="auto"/>
              <w:rPr/>
            </w:pPr>
            <w:r>
              <w:rPr>
                <w:spacing w:val="7"/>
              </w:rPr>
              <w:t>进料量</w:t>
            </w:r>
          </w:p>
        </w:tc>
        <w:tc>
          <w:tcPr>
            <w:tcW w:w="1017" w:type="dxa"/>
            <w:vAlign w:val="top"/>
          </w:tcPr>
          <w:p>
            <w:pPr>
              <w:pStyle w:val="TableText"/>
              <w:ind w:left="303"/>
              <w:spacing w:before="35" w:line="217" w:lineRule="auto"/>
              <w:rPr/>
            </w:pPr>
            <w:r>
              <w:rPr>
                <w:spacing w:val="5"/>
              </w:rPr>
              <w:t>序号</w:t>
            </w:r>
          </w:p>
        </w:tc>
        <w:tc>
          <w:tcPr>
            <w:tcW w:w="2502" w:type="dxa"/>
            <w:vAlign w:val="top"/>
          </w:tcPr>
          <w:p>
            <w:pPr>
              <w:pStyle w:val="TableText"/>
              <w:ind w:left="855"/>
              <w:spacing w:before="35" w:line="217" w:lineRule="auto"/>
              <w:rPr/>
            </w:pPr>
            <w:r>
              <w:rPr>
                <w:spacing w:val="2"/>
              </w:rPr>
              <w:t>出料名称</w:t>
            </w:r>
          </w:p>
        </w:tc>
        <w:tc>
          <w:tcPr>
            <w:tcW w:w="1313" w:type="dxa"/>
            <w:vAlign w:val="top"/>
          </w:tcPr>
          <w:p>
            <w:pPr>
              <w:pStyle w:val="TableText"/>
              <w:ind w:left="364"/>
              <w:spacing w:before="35" w:line="217" w:lineRule="auto"/>
              <w:rPr/>
            </w:pPr>
            <w:r>
              <w:rPr/>
              <w:t>出料量</w:t>
            </w:r>
          </w:p>
        </w:tc>
      </w:tr>
      <w:tr>
        <w:trPr>
          <w:trHeight w:val="277" w:hRule="atLeast"/>
        </w:trPr>
        <w:tc>
          <w:tcPr>
            <w:tcW w:w="658" w:type="dxa"/>
            <w:vAlign w:val="top"/>
          </w:tcPr>
          <w:p>
            <w:pPr>
              <w:ind w:left="298"/>
              <w:spacing w:before="6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394" w:type="dxa"/>
            <w:vAlign w:val="top"/>
          </w:tcPr>
          <w:p>
            <w:pPr>
              <w:ind w:left="663"/>
              <w:spacing w:before="6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630" w:type="dxa"/>
            <w:vAlign w:val="top"/>
          </w:tcPr>
          <w:p>
            <w:pPr>
              <w:ind w:left="783"/>
              <w:spacing w:before="6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17" w:type="dxa"/>
            <w:vAlign w:val="top"/>
          </w:tcPr>
          <w:p>
            <w:pPr>
              <w:ind w:left="463"/>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2502" w:type="dxa"/>
            <w:vAlign w:val="top"/>
          </w:tcPr>
          <w:p>
            <w:pPr>
              <w:pStyle w:val="TableText"/>
              <w:ind w:left="838"/>
              <w:spacing w:before="32" w:line="216" w:lineRule="auto"/>
              <w:rPr/>
            </w:pPr>
            <w:r>
              <w:rPr>
                <w:spacing w:val="7"/>
              </w:rPr>
              <w:t>开松杂质</w:t>
            </w:r>
          </w:p>
        </w:tc>
        <w:tc>
          <w:tcPr>
            <w:tcW w:w="1313" w:type="dxa"/>
            <w:vAlign w:val="top"/>
          </w:tcPr>
          <w:p>
            <w:pPr>
              <w:ind w:left="319"/>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7882.85</w:t>
            </w:r>
          </w:p>
        </w:tc>
      </w:tr>
      <w:tr>
        <w:trPr>
          <w:trHeight w:val="276" w:hRule="atLeast"/>
        </w:trPr>
        <w:tc>
          <w:tcPr>
            <w:tcW w:w="658" w:type="dxa"/>
            <w:vAlign w:val="top"/>
          </w:tcPr>
          <w:p>
            <w:pPr>
              <w:rPr>
                <w:rFonts w:ascii="Arial"/>
                <w:sz w:val="21"/>
              </w:rPr>
            </w:pPr>
            <w:r/>
          </w:p>
        </w:tc>
        <w:tc>
          <w:tcPr>
            <w:tcW w:w="1394" w:type="dxa"/>
            <w:vAlign w:val="top"/>
          </w:tcPr>
          <w:p>
            <w:pPr>
              <w:rPr>
                <w:rFonts w:ascii="Arial"/>
                <w:sz w:val="21"/>
              </w:rPr>
            </w:pPr>
            <w:r/>
          </w:p>
        </w:tc>
        <w:tc>
          <w:tcPr>
            <w:tcW w:w="1630" w:type="dxa"/>
            <w:vAlign w:val="top"/>
          </w:tcPr>
          <w:p>
            <w:pPr>
              <w:rPr>
                <w:rFonts w:ascii="Arial"/>
                <w:sz w:val="21"/>
              </w:rPr>
            </w:pPr>
            <w:r/>
          </w:p>
        </w:tc>
        <w:tc>
          <w:tcPr>
            <w:tcW w:w="1017" w:type="dxa"/>
            <w:vAlign w:val="top"/>
          </w:tcPr>
          <w:p>
            <w:pPr>
              <w:ind w:left="461"/>
              <w:spacing w:before="70"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2502" w:type="dxa"/>
            <w:vAlign w:val="top"/>
          </w:tcPr>
          <w:p>
            <w:pPr>
              <w:pStyle w:val="TableText"/>
              <w:ind w:left="837"/>
              <w:spacing w:before="31" w:line="216" w:lineRule="auto"/>
              <w:rPr/>
            </w:pPr>
            <w:r>
              <w:rPr>
                <w:spacing w:val="7"/>
              </w:rPr>
              <w:t>沉淀杂质</w:t>
            </w:r>
          </w:p>
        </w:tc>
        <w:tc>
          <w:tcPr>
            <w:tcW w:w="1313" w:type="dxa"/>
            <w:vAlign w:val="top"/>
          </w:tcPr>
          <w:p>
            <w:pPr>
              <w:ind w:left="501"/>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242</w:t>
            </w:r>
          </w:p>
        </w:tc>
      </w:tr>
      <w:tr>
        <w:trPr>
          <w:trHeight w:val="276" w:hRule="atLeast"/>
        </w:trPr>
        <w:tc>
          <w:tcPr>
            <w:tcW w:w="658" w:type="dxa"/>
            <w:vAlign w:val="top"/>
          </w:tcPr>
          <w:p>
            <w:pPr>
              <w:ind w:left="298"/>
              <w:spacing w:before="6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394" w:type="dxa"/>
            <w:vAlign w:val="top"/>
          </w:tcPr>
          <w:p>
            <w:pPr>
              <w:ind w:left="663"/>
              <w:spacing w:before="6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630" w:type="dxa"/>
            <w:vAlign w:val="top"/>
          </w:tcPr>
          <w:p>
            <w:pPr>
              <w:ind w:left="783"/>
              <w:spacing w:before="6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17" w:type="dxa"/>
            <w:vAlign w:val="top"/>
          </w:tcPr>
          <w:p>
            <w:pPr>
              <w:ind w:left="46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2502" w:type="dxa"/>
            <w:vAlign w:val="top"/>
          </w:tcPr>
          <w:p>
            <w:pPr>
              <w:pStyle w:val="TableText"/>
              <w:ind w:left="839"/>
              <w:spacing w:before="34" w:line="214" w:lineRule="auto"/>
              <w:rPr/>
            </w:pPr>
            <w:r>
              <w:rPr>
                <w:spacing w:val="6"/>
              </w:rPr>
              <w:t>蒸汽损耗</w:t>
            </w:r>
          </w:p>
        </w:tc>
        <w:tc>
          <w:tcPr>
            <w:tcW w:w="1313" w:type="dxa"/>
            <w:vAlign w:val="top"/>
          </w:tcPr>
          <w:p>
            <w:pPr>
              <w:ind w:left="45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3600</w:t>
            </w:r>
          </w:p>
        </w:tc>
      </w:tr>
      <w:tr>
        <w:trPr>
          <w:trHeight w:val="277" w:hRule="atLeast"/>
        </w:trPr>
        <w:tc>
          <w:tcPr>
            <w:tcW w:w="658" w:type="dxa"/>
            <w:vAlign w:val="top"/>
          </w:tcPr>
          <w:p>
            <w:pPr>
              <w:rPr>
                <w:rFonts w:ascii="Arial"/>
                <w:sz w:val="21"/>
              </w:rPr>
            </w:pPr>
            <w:r/>
          </w:p>
        </w:tc>
        <w:tc>
          <w:tcPr>
            <w:tcW w:w="1394" w:type="dxa"/>
            <w:vAlign w:val="top"/>
          </w:tcPr>
          <w:p>
            <w:pPr>
              <w:rPr>
                <w:rFonts w:ascii="Arial"/>
                <w:sz w:val="21"/>
              </w:rPr>
            </w:pPr>
            <w:r/>
          </w:p>
        </w:tc>
        <w:tc>
          <w:tcPr>
            <w:tcW w:w="1630" w:type="dxa"/>
            <w:vAlign w:val="top"/>
          </w:tcPr>
          <w:p>
            <w:pPr>
              <w:rPr>
                <w:rFonts w:ascii="Arial"/>
                <w:sz w:val="21"/>
              </w:rPr>
            </w:pPr>
            <w:r/>
          </w:p>
        </w:tc>
        <w:tc>
          <w:tcPr>
            <w:tcW w:w="1017" w:type="dxa"/>
            <w:vAlign w:val="top"/>
          </w:tcPr>
          <w:p>
            <w:pPr>
              <w:ind w:left="46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2502" w:type="dxa"/>
            <w:vAlign w:val="top"/>
          </w:tcPr>
          <w:p>
            <w:pPr>
              <w:pStyle w:val="TableText"/>
              <w:ind w:left="945"/>
              <w:spacing w:before="36" w:line="213" w:lineRule="auto"/>
              <w:rPr/>
            </w:pPr>
            <w:r>
              <w:rPr>
                <w:spacing w:val="6"/>
              </w:rPr>
              <w:t>水损耗</w:t>
            </w:r>
          </w:p>
        </w:tc>
        <w:tc>
          <w:tcPr>
            <w:tcW w:w="1313" w:type="dxa"/>
            <w:vAlign w:val="top"/>
          </w:tcPr>
          <w:p>
            <w:pPr>
              <w:ind w:left="45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9000</w:t>
            </w:r>
          </w:p>
        </w:tc>
      </w:tr>
      <w:tr>
        <w:trPr>
          <w:trHeight w:val="281" w:hRule="atLeast"/>
        </w:trPr>
        <w:tc>
          <w:tcPr>
            <w:tcW w:w="658" w:type="dxa"/>
            <w:vAlign w:val="top"/>
          </w:tcPr>
          <w:p>
            <w:pPr>
              <w:ind w:left="298"/>
              <w:spacing w:before="6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394" w:type="dxa"/>
            <w:vAlign w:val="top"/>
          </w:tcPr>
          <w:p>
            <w:pPr>
              <w:pStyle w:val="TableText"/>
              <w:ind w:left="491"/>
              <w:spacing w:before="34" w:line="218" w:lineRule="auto"/>
              <w:rPr/>
            </w:pPr>
            <w:r>
              <w:rPr>
                <w:spacing w:val="4"/>
              </w:rPr>
              <w:t>合计</w:t>
            </w:r>
          </w:p>
        </w:tc>
        <w:tc>
          <w:tcPr>
            <w:tcW w:w="1630" w:type="dxa"/>
            <w:vAlign w:val="top"/>
          </w:tcPr>
          <w:p>
            <w:pPr>
              <w:ind w:left="56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83160</w:t>
            </w:r>
          </w:p>
        </w:tc>
        <w:tc>
          <w:tcPr>
            <w:tcW w:w="1017" w:type="dxa"/>
            <w:vAlign w:val="top"/>
          </w:tcPr>
          <w:p>
            <w:pPr>
              <w:ind w:left="478"/>
              <w:spacing w:before="6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2502" w:type="dxa"/>
            <w:vAlign w:val="top"/>
          </w:tcPr>
          <w:p>
            <w:pPr>
              <w:pStyle w:val="TableText"/>
              <w:ind w:left="1049"/>
              <w:spacing w:before="34" w:line="218" w:lineRule="auto"/>
              <w:rPr/>
            </w:pPr>
            <w:r>
              <w:rPr>
                <w:spacing w:val="4"/>
              </w:rPr>
              <w:t>合计</w:t>
            </w:r>
          </w:p>
        </w:tc>
        <w:tc>
          <w:tcPr>
            <w:tcW w:w="1313" w:type="dxa"/>
            <w:vAlign w:val="top"/>
          </w:tcPr>
          <w:p>
            <w:pPr>
              <w:ind w:left="40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83160</w:t>
            </w:r>
          </w:p>
        </w:tc>
      </w:tr>
    </w:tbl>
    <w:p>
      <w:pPr>
        <w:ind w:firstLine="968"/>
        <w:spacing w:line="6704" w:lineRule="exact"/>
        <w:rPr/>
      </w:pPr>
      <w:r>
        <w:rPr>
          <w:position w:val="-134"/>
        </w:rPr>
        <w:drawing>
          <wp:inline distT="0" distB="0" distL="0" distR="0">
            <wp:extent cx="4181094" cy="4257294"/>
            <wp:effectExtent l="0" t="0" r="0" b="0"/>
            <wp:docPr id="42" name="IM 42"/>
            <wp:cNvGraphicFramePr/>
            <a:graphic>
              <a:graphicData uri="http://schemas.openxmlformats.org/drawingml/2006/picture">
                <pic:pic>
                  <pic:nvPicPr>
                    <pic:cNvPr id="42" name="IM 42"/>
                    <pic:cNvPicPr/>
                  </pic:nvPicPr>
                  <pic:blipFill>
                    <a:blip r:embed="rId94"/>
                    <a:stretch>
                      <a:fillRect/>
                    </a:stretch>
                  </pic:blipFill>
                  <pic:spPr>
                    <a:xfrm rot="0">
                      <a:off x="0" y="0"/>
                      <a:ext cx="4181094" cy="4257294"/>
                    </a:xfrm>
                    <a:prstGeom prst="rect">
                      <a:avLst/>
                    </a:prstGeom>
                  </pic:spPr>
                </pic:pic>
              </a:graphicData>
            </a:graphic>
          </wp:inline>
        </w:drawing>
      </w:r>
    </w:p>
    <w:p>
      <w:pPr>
        <w:spacing w:line="173" w:lineRule="exact"/>
        <w:rPr/>
      </w:pPr>
      <w:r/>
    </w:p>
    <w:tbl>
      <w:tblPr>
        <w:tblStyle w:val="TableNormal"/>
        <w:tblW w:w="6525" w:type="dxa"/>
        <w:tblInd w:w="494"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5286"/>
        <w:gridCol w:w="1239"/>
      </w:tblGrid>
      <w:tr>
        <w:trPr>
          <w:trHeight w:val="354" w:hRule="atLeast"/>
        </w:trPr>
        <w:tc>
          <w:tcPr>
            <w:tcW w:w="5286" w:type="dxa"/>
            <w:vAlign w:val="top"/>
          </w:tcPr>
          <w:p>
            <w:pPr>
              <w:pStyle w:val="TableText"/>
              <w:ind w:left="1067"/>
              <w:spacing w:line="219" w:lineRule="auto"/>
              <w:rPr>
                <w:sz w:val="24"/>
                <w:szCs w:val="24"/>
              </w:rPr>
            </w:pPr>
            <w:r>
              <w:rPr>
                <w:sz w:val="24"/>
                <w:szCs w:val="24"/>
                <w:b/>
                <w:bCs/>
                <w:spacing w:val="-3"/>
              </w:rPr>
              <w:t>图</w:t>
            </w:r>
            <w:r>
              <w:rPr>
                <w:rFonts w:ascii="Times New Roman" w:hAnsi="Times New Roman" w:eastAsia="Times New Roman" w:cs="Times New Roman"/>
                <w:sz w:val="24"/>
                <w:szCs w:val="24"/>
                <w:b/>
                <w:bCs/>
                <w:spacing w:val="-3"/>
              </w:rPr>
              <w:t>3.4-1      </w:t>
            </w:r>
            <w:r>
              <w:rPr>
                <w:sz w:val="24"/>
                <w:szCs w:val="24"/>
                <w:b/>
                <w:bCs/>
                <w:spacing w:val="-3"/>
              </w:rPr>
              <w:t>洗毛生产线物料平衡分析图</w:t>
            </w:r>
          </w:p>
        </w:tc>
        <w:tc>
          <w:tcPr>
            <w:tcW w:w="1239" w:type="dxa"/>
            <w:vAlign w:val="top"/>
          </w:tcPr>
          <w:p>
            <w:pPr>
              <w:pStyle w:val="TableText"/>
              <w:ind w:right="28"/>
              <w:spacing w:line="220" w:lineRule="auto"/>
              <w:jc w:val="right"/>
              <w:rPr>
                <w:rFonts w:ascii="Times New Roman" w:hAnsi="Times New Roman" w:eastAsia="Times New Roman" w:cs="Times New Roman"/>
                <w:sz w:val="24"/>
                <w:szCs w:val="24"/>
              </w:rPr>
            </w:pPr>
            <w:r>
              <w:rPr>
                <w:sz w:val="24"/>
                <w:szCs w:val="24"/>
                <w:b/>
                <w:bCs/>
                <w:spacing w:val="-3"/>
              </w:rPr>
              <w:t>单位：</w:t>
            </w:r>
            <w:r>
              <w:rPr>
                <w:rFonts w:ascii="Times New Roman" w:hAnsi="Times New Roman" w:eastAsia="Times New Roman" w:cs="Times New Roman"/>
                <w:sz w:val="24"/>
                <w:szCs w:val="24"/>
                <w:b/>
                <w:bCs/>
                <w:spacing w:val="-3"/>
              </w:rPr>
              <w:t>t/a</w:t>
            </w:r>
          </w:p>
        </w:tc>
      </w:tr>
      <w:tr>
        <w:trPr>
          <w:trHeight w:val="1287" w:hRule="atLeast"/>
        </w:trPr>
        <w:tc>
          <w:tcPr>
            <w:tcW w:w="5286" w:type="dxa"/>
            <w:vAlign w:val="top"/>
          </w:tcPr>
          <w:p>
            <w:pPr>
              <w:pStyle w:val="TableText"/>
              <w:spacing w:before="114" w:line="219" w:lineRule="auto"/>
              <w:rPr>
                <w:sz w:val="24"/>
                <w:szCs w:val="24"/>
              </w:rPr>
            </w:pP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31"/>
              </w:rPr>
              <w:t xml:space="preserve"> </w:t>
            </w:r>
            <w:r>
              <w:rPr>
                <w:sz w:val="24"/>
                <w:szCs w:val="24"/>
                <w:spacing w:val="-3"/>
              </w:rPr>
              <w:t>、梳绒车间物料平衡分析</w:t>
            </w:r>
          </w:p>
          <w:p>
            <w:pPr>
              <w:pStyle w:val="TableText"/>
              <w:ind w:left="3"/>
              <w:spacing w:before="180" w:line="219" w:lineRule="auto"/>
              <w:rPr>
                <w:sz w:val="24"/>
                <w:szCs w:val="24"/>
              </w:rPr>
            </w:pPr>
            <w:r>
              <w:rPr>
                <w:sz w:val="24"/>
                <w:szCs w:val="24"/>
                <w:spacing w:val="-1"/>
              </w:rPr>
              <w:t>梳绒生产线物料平衡分析见表</w:t>
            </w:r>
            <w:r>
              <w:rPr>
                <w:sz w:val="24"/>
                <w:szCs w:val="24"/>
                <w:spacing w:val="-50"/>
              </w:rPr>
              <w:t xml:space="preserve"> </w:t>
            </w:r>
            <w:r>
              <w:rPr>
                <w:rFonts w:ascii="Times New Roman" w:hAnsi="Times New Roman" w:eastAsia="Times New Roman" w:cs="Times New Roman"/>
                <w:sz w:val="24"/>
                <w:szCs w:val="24"/>
                <w:spacing w:val="-1"/>
              </w:rPr>
              <w:t>3.4-2 </w:t>
            </w:r>
            <w:r>
              <w:rPr>
                <w:sz w:val="24"/>
                <w:szCs w:val="24"/>
                <w:spacing w:val="-1"/>
              </w:rPr>
              <w:t>和图</w:t>
            </w:r>
            <w:r>
              <w:rPr>
                <w:sz w:val="24"/>
                <w:szCs w:val="24"/>
                <w:spacing w:val="-50"/>
              </w:rPr>
              <w:t xml:space="preserve"> </w:t>
            </w:r>
            <w:r>
              <w:rPr>
                <w:rFonts w:ascii="Times New Roman" w:hAnsi="Times New Roman" w:eastAsia="Times New Roman" w:cs="Times New Roman"/>
                <w:sz w:val="24"/>
                <w:szCs w:val="24"/>
                <w:spacing w:val="-1"/>
              </w:rPr>
              <w:t>3.</w:t>
            </w:r>
            <w:r>
              <w:rPr>
                <w:rFonts w:ascii="Times New Roman" w:hAnsi="Times New Roman" w:eastAsia="Times New Roman" w:cs="Times New Roman"/>
                <w:sz w:val="24"/>
                <w:szCs w:val="24"/>
                <w:spacing w:val="-2"/>
              </w:rPr>
              <w:t>4-2</w:t>
            </w:r>
            <w:r>
              <w:rPr>
                <w:sz w:val="24"/>
                <w:szCs w:val="24"/>
                <w:spacing w:val="-2"/>
              </w:rPr>
              <w:t>。</w:t>
            </w:r>
          </w:p>
          <w:p>
            <w:pPr>
              <w:pStyle w:val="TableText"/>
              <w:ind w:left="1013"/>
              <w:spacing w:before="183" w:line="176" w:lineRule="auto"/>
              <w:rPr>
                <w:sz w:val="24"/>
                <w:szCs w:val="24"/>
              </w:rPr>
            </w:pPr>
            <w:r>
              <w:rPr>
                <w:sz w:val="24"/>
                <w:szCs w:val="24"/>
                <w:b/>
                <w:bCs/>
                <w:spacing w:val="-2"/>
              </w:rPr>
              <w:t>表</w:t>
            </w:r>
            <w:r>
              <w:rPr>
                <w:sz w:val="24"/>
                <w:szCs w:val="24"/>
                <w:spacing w:val="-46"/>
              </w:rPr>
              <w:t xml:space="preserve"> </w:t>
            </w:r>
            <w:r>
              <w:rPr>
                <w:rFonts w:ascii="Times New Roman" w:hAnsi="Times New Roman" w:eastAsia="Times New Roman" w:cs="Times New Roman"/>
                <w:sz w:val="24"/>
                <w:szCs w:val="24"/>
                <w:b/>
                <w:bCs/>
                <w:spacing w:val="-2"/>
              </w:rPr>
              <w:t>3.4-2      </w:t>
            </w:r>
            <w:r>
              <w:rPr>
                <w:sz w:val="24"/>
                <w:szCs w:val="24"/>
                <w:b/>
                <w:bCs/>
                <w:spacing w:val="-2"/>
              </w:rPr>
              <w:t>梳绒生产线物料平衡分析表</w:t>
            </w:r>
          </w:p>
        </w:tc>
        <w:tc>
          <w:tcPr>
            <w:tcW w:w="1239" w:type="dxa"/>
            <w:vAlign w:val="top"/>
          </w:tcPr>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pStyle w:val="TableText"/>
              <w:spacing w:before="78" w:line="176" w:lineRule="auto"/>
              <w:jc w:val="right"/>
              <w:rPr>
                <w:rFonts w:ascii="Times New Roman" w:hAnsi="Times New Roman" w:eastAsia="Times New Roman" w:cs="Times New Roman"/>
                <w:sz w:val="24"/>
                <w:szCs w:val="24"/>
              </w:rPr>
            </w:pPr>
            <w:r>
              <w:rPr>
                <w:sz w:val="24"/>
                <w:szCs w:val="24"/>
                <w:b/>
                <w:bCs/>
                <w:spacing w:val="-3"/>
              </w:rPr>
              <w:t>单位：</w:t>
            </w:r>
            <w:r>
              <w:rPr>
                <w:rFonts w:ascii="Times New Roman" w:hAnsi="Times New Roman" w:eastAsia="Times New Roman" w:cs="Times New Roman"/>
                <w:sz w:val="24"/>
                <w:szCs w:val="24"/>
                <w:b/>
                <w:bCs/>
                <w:spacing w:val="-3"/>
              </w:rPr>
              <w:t>t/a</w:t>
            </w:r>
          </w:p>
        </w:tc>
      </w:tr>
    </w:tbl>
    <w:p>
      <w:pPr>
        <w:spacing w:line="35" w:lineRule="exact"/>
        <w:rPr/>
      </w:pPr>
      <w:r/>
    </w:p>
    <w:tbl>
      <w:tblPr>
        <w:tblStyle w:val="TableNormal"/>
        <w:tblW w:w="8516"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38"/>
        <w:gridCol w:w="1459"/>
        <w:gridCol w:w="1961"/>
        <w:gridCol w:w="830"/>
        <w:gridCol w:w="2431"/>
        <w:gridCol w:w="1097"/>
      </w:tblGrid>
      <w:tr>
        <w:trPr>
          <w:trHeight w:val="281" w:hRule="atLeast"/>
        </w:trPr>
        <w:tc>
          <w:tcPr>
            <w:tcW w:w="738" w:type="dxa"/>
            <w:vAlign w:val="top"/>
          </w:tcPr>
          <w:p>
            <w:pPr>
              <w:pStyle w:val="TableText"/>
              <w:ind w:left="162"/>
              <w:spacing w:before="37" w:line="216" w:lineRule="auto"/>
              <w:rPr/>
            </w:pPr>
            <w:r>
              <w:rPr>
                <w:spacing w:val="5"/>
              </w:rPr>
              <w:t>序号</w:t>
            </w:r>
          </w:p>
        </w:tc>
        <w:tc>
          <w:tcPr>
            <w:tcW w:w="1459" w:type="dxa"/>
            <w:vAlign w:val="top"/>
          </w:tcPr>
          <w:p>
            <w:pPr>
              <w:pStyle w:val="TableText"/>
              <w:ind w:left="312"/>
              <w:spacing w:before="37" w:line="216" w:lineRule="auto"/>
              <w:rPr/>
            </w:pPr>
            <w:r>
              <w:rPr>
                <w:spacing w:val="7"/>
              </w:rPr>
              <w:t>进料名称</w:t>
            </w:r>
          </w:p>
        </w:tc>
        <w:tc>
          <w:tcPr>
            <w:tcW w:w="1961" w:type="dxa"/>
            <w:vAlign w:val="top"/>
          </w:tcPr>
          <w:p>
            <w:pPr>
              <w:pStyle w:val="TableText"/>
              <w:ind w:left="669"/>
              <w:spacing w:before="37" w:line="216" w:lineRule="auto"/>
              <w:rPr/>
            </w:pPr>
            <w:r>
              <w:rPr>
                <w:spacing w:val="7"/>
              </w:rPr>
              <w:t>进料量</w:t>
            </w:r>
          </w:p>
        </w:tc>
        <w:tc>
          <w:tcPr>
            <w:tcW w:w="830" w:type="dxa"/>
            <w:vAlign w:val="top"/>
          </w:tcPr>
          <w:p>
            <w:pPr>
              <w:pStyle w:val="TableText"/>
              <w:ind w:left="209"/>
              <w:spacing w:before="37" w:line="216" w:lineRule="auto"/>
              <w:rPr/>
            </w:pPr>
            <w:r>
              <w:rPr>
                <w:spacing w:val="5"/>
              </w:rPr>
              <w:t>序号</w:t>
            </w:r>
          </w:p>
        </w:tc>
        <w:tc>
          <w:tcPr>
            <w:tcW w:w="2431" w:type="dxa"/>
            <w:vAlign w:val="top"/>
          </w:tcPr>
          <w:p>
            <w:pPr>
              <w:pStyle w:val="TableText"/>
              <w:ind w:left="821"/>
              <w:spacing w:before="37" w:line="216" w:lineRule="auto"/>
              <w:rPr/>
            </w:pPr>
            <w:r>
              <w:rPr>
                <w:spacing w:val="2"/>
              </w:rPr>
              <w:t>出料名称</w:t>
            </w:r>
          </w:p>
        </w:tc>
        <w:tc>
          <w:tcPr>
            <w:tcW w:w="1097" w:type="dxa"/>
            <w:vAlign w:val="top"/>
          </w:tcPr>
          <w:p>
            <w:pPr>
              <w:pStyle w:val="TableText"/>
              <w:ind w:left="257"/>
              <w:spacing w:before="37" w:line="216" w:lineRule="auto"/>
              <w:rPr/>
            </w:pPr>
            <w:r>
              <w:rPr/>
              <w:t>出料量</w:t>
            </w:r>
          </w:p>
        </w:tc>
      </w:tr>
      <w:tr>
        <w:trPr>
          <w:trHeight w:val="277" w:hRule="atLeast"/>
        </w:trPr>
        <w:tc>
          <w:tcPr>
            <w:tcW w:w="738" w:type="dxa"/>
            <w:vAlign w:val="top"/>
          </w:tcPr>
          <w:p>
            <w:pPr>
              <w:ind w:left="338"/>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459" w:type="dxa"/>
            <w:vAlign w:val="top"/>
          </w:tcPr>
          <w:p>
            <w:pPr>
              <w:pStyle w:val="TableText"/>
              <w:ind w:left="418"/>
              <w:spacing w:before="30" w:line="218" w:lineRule="auto"/>
              <w:rPr/>
            </w:pPr>
            <w:r>
              <w:rPr>
                <w:spacing w:val="7"/>
              </w:rPr>
              <w:t>洗净毛</w:t>
            </w:r>
          </w:p>
        </w:tc>
        <w:tc>
          <w:tcPr>
            <w:tcW w:w="1961" w:type="dxa"/>
            <w:vAlign w:val="top"/>
          </w:tcPr>
          <w:p>
            <w:pPr>
              <w:ind w:left="829"/>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545</w:t>
            </w:r>
          </w:p>
        </w:tc>
        <w:tc>
          <w:tcPr>
            <w:tcW w:w="830" w:type="dxa"/>
            <w:vAlign w:val="top"/>
          </w:tcPr>
          <w:p>
            <w:pPr>
              <w:ind w:left="385"/>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431" w:type="dxa"/>
            <w:vAlign w:val="top"/>
          </w:tcPr>
          <w:p>
            <w:pPr>
              <w:pStyle w:val="TableText"/>
              <w:ind w:left="908"/>
              <w:spacing w:before="30" w:line="218" w:lineRule="auto"/>
              <w:rPr/>
            </w:pPr>
            <w:r>
              <w:rPr>
                <w:spacing w:val="6"/>
              </w:rPr>
              <w:t>无毛绒</w:t>
            </w:r>
          </w:p>
        </w:tc>
        <w:tc>
          <w:tcPr>
            <w:tcW w:w="1097" w:type="dxa"/>
            <w:vAlign w:val="top"/>
          </w:tcPr>
          <w:p>
            <w:pPr>
              <w:ind w:left="396"/>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300</w:t>
            </w:r>
          </w:p>
        </w:tc>
      </w:tr>
      <w:tr>
        <w:trPr>
          <w:trHeight w:val="276" w:hRule="atLeast"/>
        </w:trPr>
        <w:tc>
          <w:tcPr>
            <w:tcW w:w="738" w:type="dxa"/>
            <w:vAlign w:val="top"/>
          </w:tcPr>
          <w:p>
            <w:pPr>
              <w:ind w:left="338"/>
              <w:spacing w:before="6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459" w:type="dxa"/>
            <w:vAlign w:val="top"/>
          </w:tcPr>
          <w:p>
            <w:pPr>
              <w:ind w:left="697"/>
              <w:spacing w:before="6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961" w:type="dxa"/>
            <w:vAlign w:val="top"/>
          </w:tcPr>
          <w:p>
            <w:pPr>
              <w:ind w:left="949"/>
              <w:spacing w:before="6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830" w:type="dxa"/>
            <w:vAlign w:val="top"/>
          </w:tcPr>
          <w:p>
            <w:pPr>
              <w:ind w:left="365"/>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431" w:type="dxa"/>
            <w:vAlign w:val="top"/>
          </w:tcPr>
          <w:p>
            <w:pPr>
              <w:pStyle w:val="TableText"/>
              <w:ind w:left="382"/>
              <w:spacing w:before="32" w:line="216" w:lineRule="auto"/>
              <w:rPr/>
            </w:pPr>
            <w:r>
              <w:rPr>
                <w:spacing w:val="8"/>
              </w:rPr>
              <w:t>梳绒短纤维及杂毛</w:t>
            </w:r>
          </w:p>
        </w:tc>
        <w:tc>
          <w:tcPr>
            <w:tcW w:w="1097" w:type="dxa"/>
            <w:vAlign w:val="top"/>
          </w:tcPr>
          <w:p>
            <w:pPr>
              <w:ind w:left="260"/>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244.94</w:t>
            </w:r>
          </w:p>
        </w:tc>
      </w:tr>
      <w:tr>
        <w:trPr>
          <w:trHeight w:val="276" w:hRule="atLeast"/>
        </w:trPr>
        <w:tc>
          <w:tcPr>
            <w:tcW w:w="738" w:type="dxa"/>
            <w:vAlign w:val="top"/>
          </w:tcPr>
          <w:p>
            <w:pPr>
              <w:ind w:left="338"/>
              <w:spacing w:before="6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459" w:type="dxa"/>
            <w:vAlign w:val="top"/>
          </w:tcPr>
          <w:p>
            <w:pPr>
              <w:ind w:left="697"/>
              <w:spacing w:before="6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961" w:type="dxa"/>
            <w:vAlign w:val="top"/>
          </w:tcPr>
          <w:p>
            <w:pPr>
              <w:ind w:left="949"/>
              <w:spacing w:before="6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830" w:type="dxa"/>
            <w:vAlign w:val="top"/>
          </w:tcPr>
          <w:p>
            <w:pPr>
              <w:ind w:left="369"/>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2431" w:type="dxa"/>
            <w:vAlign w:val="top"/>
          </w:tcPr>
          <w:p>
            <w:pPr>
              <w:pStyle w:val="TableText"/>
              <w:ind w:left="698"/>
              <w:spacing w:before="32" w:line="216" w:lineRule="auto"/>
              <w:rPr/>
            </w:pPr>
            <w:r>
              <w:rPr>
                <w:spacing w:val="8"/>
              </w:rPr>
              <w:t>排放颗粒物</w:t>
            </w:r>
          </w:p>
        </w:tc>
        <w:tc>
          <w:tcPr>
            <w:tcW w:w="1097" w:type="dxa"/>
            <w:vAlign w:val="top"/>
          </w:tcPr>
          <w:p>
            <w:pPr>
              <w:ind w:left="368"/>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r>
      <w:tr>
        <w:trPr>
          <w:trHeight w:val="281" w:hRule="atLeast"/>
        </w:trPr>
        <w:tc>
          <w:tcPr>
            <w:tcW w:w="738" w:type="dxa"/>
            <w:vAlign w:val="top"/>
          </w:tcPr>
          <w:p>
            <w:pPr>
              <w:ind w:left="338"/>
              <w:spacing w:before="6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459" w:type="dxa"/>
            <w:vAlign w:val="top"/>
          </w:tcPr>
          <w:p>
            <w:pPr>
              <w:pStyle w:val="TableText"/>
              <w:ind w:left="525"/>
              <w:spacing w:before="34" w:line="218" w:lineRule="auto"/>
              <w:rPr/>
            </w:pPr>
            <w:r>
              <w:rPr>
                <w:spacing w:val="4"/>
              </w:rPr>
              <w:t>合计</w:t>
            </w:r>
          </w:p>
        </w:tc>
        <w:tc>
          <w:tcPr>
            <w:tcW w:w="1961" w:type="dxa"/>
            <w:vAlign w:val="top"/>
          </w:tcPr>
          <w:p>
            <w:pPr>
              <w:ind w:left="82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545</w:t>
            </w:r>
          </w:p>
        </w:tc>
        <w:tc>
          <w:tcPr>
            <w:tcW w:w="830" w:type="dxa"/>
            <w:vAlign w:val="top"/>
          </w:tcPr>
          <w:p>
            <w:pPr>
              <w:ind w:left="385"/>
              <w:spacing w:before="6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2431" w:type="dxa"/>
            <w:vAlign w:val="top"/>
          </w:tcPr>
          <w:p>
            <w:pPr>
              <w:pStyle w:val="TableText"/>
              <w:ind w:left="1013"/>
              <w:spacing w:before="34" w:line="218" w:lineRule="auto"/>
              <w:rPr/>
            </w:pPr>
            <w:r>
              <w:rPr>
                <w:spacing w:val="4"/>
              </w:rPr>
              <w:t>合计</w:t>
            </w:r>
          </w:p>
        </w:tc>
        <w:tc>
          <w:tcPr>
            <w:tcW w:w="1097" w:type="dxa"/>
            <w:vAlign w:val="top"/>
          </w:tcPr>
          <w:p>
            <w:pPr>
              <w:ind w:left="39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545</w:t>
            </w:r>
          </w:p>
        </w:tc>
      </w:tr>
    </w:tbl>
    <w:p>
      <w:pPr>
        <w:pStyle w:val="BodyText"/>
        <w:spacing w:line="271" w:lineRule="auto"/>
        <w:rPr/>
      </w:pPr>
      <w:r/>
    </w:p>
    <w:p>
      <w:pPr>
        <w:pStyle w:val="BodyText"/>
        <w:spacing w:line="272" w:lineRule="auto"/>
        <w:rPr/>
      </w:pPr>
      <w:r/>
    </w:p>
    <w:p>
      <w:pPr>
        <w:pStyle w:val="BodyText"/>
        <w:spacing w:line="272" w:lineRule="auto"/>
        <w:rPr/>
      </w:pPr>
      <w:r/>
    </w:p>
    <w:p>
      <w:pPr>
        <w:pStyle w:val="BodyText"/>
        <w:spacing w:line="272" w:lineRule="auto"/>
        <w:rPr/>
      </w:pPr>
      <w:r/>
    </w:p>
    <w:p>
      <w:pPr>
        <w:pStyle w:val="BodyText"/>
        <w:spacing w:line="272" w:lineRule="auto"/>
        <w:rPr/>
      </w:pPr>
      <w:r/>
    </w:p>
    <w:p>
      <w:pPr>
        <w:pStyle w:val="BodyText"/>
        <w:spacing w:line="272" w:lineRule="auto"/>
        <w:rPr/>
      </w:pPr>
      <w:r/>
    </w:p>
    <w:p>
      <w:pPr>
        <w:pStyle w:val="BodyText"/>
        <w:spacing w:line="272" w:lineRule="auto"/>
        <w:rPr/>
      </w:pPr>
      <w:r/>
    </w:p>
    <w:p>
      <w:pPr>
        <w:ind w:right="9"/>
        <w:spacing w:before="62" w:line="227" w:lineRule="auto"/>
        <w:jc w:val="right"/>
        <w:rPr>
          <w:rFonts w:ascii="SimSun" w:hAnsi="SimSun" w:eastAsia="SimSun" w:cs="SimSun"/>
          <w:sz w:val="19"/>
          <w:szCs w:val="19"/>
        </w:rPr>
      </w:pPr>
      <w:r>
        <w:pict>
          <v:shape id="_x0000_s448" style="position:absolute;margin-left:208.098pt;margin-top:2.10444pt;mso-position-vertical-relative:text;mso-position-horizontal-relative:text;width:58.6pt;height:13.75pt;z-index:251855872;"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1"/>
                      <w:position w:val="2"/>
                    </w:rPr>
                    <w:t>88        </w:t>
                  </w:r>
                  <w:r>
                    <w:rPr>
                      <w:rFonts w:ascii="SimSun" w:hAnsi="SimSun" w:eastAsia="SimSun" w:cs="SimSun"/>
                      <w:sz w:val="19"/>
                      <w:szCs w:val="19"/>
                      <w:spacing w:val="1"/>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93"/>
          <w:pgSz w:w="11907" w:h="16840"/>
          <w:pgMar w:top="1567" w:right="1693" w:bottom="400" w:left="1692" w:header="1221" w:footer="0" w:gutter="0"/>
        </w:sectPr>
        <w:rPr>
          <w:rFonts w:ascii="SimSun" w:hAnsi="SimSun" w:eastAsia="SimSun" w:cs="SimSun"/>
          <w:sz w:val="19"/>
          <w:szCs w:val="19"/>
        </w:rPr>
      </w:pPr>
    </w:p>
    <w:p>
      <w:pPr>
        <w:spacing w:line="152" w:lineRule="exact"/>
        <w:rPr/>
      </w:pPr>
      <w:r>
        <w:pict>
          <v:shape id="_x0000_s452" style="position:absolute;margin-left:85.05pt;margin-top:79.11pt;mso-position-vertical-relative:page;mso-position-horizontal-relative:page;width:425.25pt;height:0.75pt;z-index:251858944;" o:allowincell="f" fillcolor="#000000" filled="true" stroked="false" coordsize="8505,15" coordorigin="0,0" path="m,l8505,0l8505,14l0,14l0,0xe"/>
        </w:pict>
      </w:r>
      <w:r/>
    </w:p>
    <w:tbl>
      <w:tblPr>
        <w:tblStyle w:val="TableNormal"/>
        <w:tblW w:w="6763" w:type="dxa"/>
        <w:tblInd w:w="876" w:type="dxa"/>
        <w:tblLayout w:type="fixed"/>
        <w:tblBorders>
          <w:left w:val="single" w:color="000000" w:sz="4" w:space="0"/>
          <w:bottom w:val="single" w:color="000000" w:sz="4" w:space="0"/>
          <w:right w:val="single" w:color="000000" w:sz="4" w:space="0"/>
          <w:top w:val="single" w:color="000000" w:sz="4" w:space="0"/>
        </w:tblBorders>
      </w:tblPr>
      <w:tblGrid>
        <w:gridCol w:w="6763"/>
      </w:tblGrid>
      <w:tr>
        <w:trPr>
          <w:trHeight w:val="2141" w:hRule="atLeast"/>
        </w:trPr>
        <w:tc>
          <w:tcPr>
            <w:tcW w:w="6763" w:type="dxa"/>
            <w:vAlign w:val="top"/>
          </w:tcPr>
          <w:p>
            <w:pPr>
              <w:ind w:firstLine="24"/>
              <w:spacing w:before="103" w:line="1974" w:lineRule="exact"/>
              <w:rPr/>
            </w:pPr>
            <w:r>
              <w:rPr>
                <w:position w:val="-39"/>
              </w:rPr>
              <w:drawing>
                <wp:inline distT="0" distB="0" distL="0" distR="0">
                  <wp:extent cx="4231760" cy="1253066"/>
                  <wp:effectExtent l="0" t="0" r="0" b="0"/>
                  <wp:docPr id="44" name="IM 44"/>
                  <wp:cNvGraphicFramePr/>
                  <a:graphic>
                    <a:graphicData uri="http://schemas.openxmlformats.org/drawingml/2006/picture">
                      <pic:pic>
                        <pic:nvPicPr>
                          <pic:cNvPr id="44" name="IM 44"/>
                          <pic:cNvPicPr/>
                        </pic:nvPicPr>
                        <pic:blipFill>
                          <a:blip r:embed="rId96"/>
                          <a:stretch>
                            <a:fillRect/>
                          </a:stretch>
                        </pic:blipFill>
                        <pic:spPr>
                          <a:xfrm rot="0">
                            <a:off x="0" y="0"/>
                            <a:ext cx="4231760" cy="1253066"/>
                          </a:xfrm>
                          <a:prstGeom prst="rect">
                            <a:avLst/>
                          </a:prstGeom>
                        </pic:spPr>
                      </pic:pic>
                    </a:graphicData>
                  </a:graphic>
                </wp:inline>
              </w:drawing>
            </w:r>
          </w:p>
        </w:tc>
      </w:tr>
    </w:tbl>
    <w:p>
      <w:pPr>
        <w:pStyle w:val="BodyText"/>
        <w:spacing w:line="123" w:lineRule="exact"/>
        <w:rPr>
          <w:sz w:val="10"/>
        </w:rPr>
      </w:pPr>
      <w:r/>
    </w:p>
    <w:p>
      <w:pPr>
        <w:spacing w:line="123" w:lineRule="exact"/>
        <w:sectPr>
          <w:headerReference w:type="default" r:id="rId95"/>
          <w:pgSz w:w="11907" w:h="16840"/>
          <w:pgMar w:top="1567" w:right="1694" w:bottom="400" w:left="1693" w:header="1221" w:footer="0" w:gutter="0"/>
          <w:cols w:equalWidth="0" w:num="1">
            <w:col w:w="8520" w:space="0"/>
          </w:cols>
        </w:sectPr>
        <w:rPr>
          <w:sz w:val="10"/>
          <w:szCs w:val="10"/>
        </w:rPr>
      </w:pPr>
    </w:p>
    <w:p>
      <w:pPr>
        <w:ind w:left="1560"/>
        <w:spacing w:before="48" w:line="219" w:lineRule="auto"/>
        <w:rPr>
          <w:rFonts w:ascii="SimSun" w:hAnsi="SimSun" w:eastAsia="SimSun" w:cs="SimSun"/>
          <w:sz w:val="24"/>
          <w:szCs w:val="24"/>
        </w:rPr>
      </w:pPr>
      <w:r>
        <w:rPr>
          <w:rFonts w:ascii="SimSun" w:hAnsi="SimSun" w:eastAsia="SimSun" w:cs="SimSun"/>
          <w:sz w:val="24"/>
          <w:szCs w:val="24"/>
          <w:b/>
          <w:bCs/>
          <w:spacing w:val="-3"/>
        </w:rPr>
        <w:t>图</w:t>
      </w:r>
      <w:r>
        <w:rPr>
          <w:rFonts w:ascii="Times New Roman" w:hAnsi="Times New Roman" w:eastAsia="Times New Roman" w:cs="Times New Roman"/>
          <w:sz w:val="24"/>
          <w:szCs w:val="24"/>
          <w:b/>
          <w:bCs/>
          <w:spacing w:val="-3"/>
        </w:rPr>
        <w:t>3.4-2      </w:t>
      </w:r>
      <w:r>
        <w:rPr>
          <w:rFonts w:ascii="SimSun" w:hAnsi="SimSun" w:eastAsia="SimSun" w:cs="SimSun"/>
          <w:sz w:val="24"/>
          <w:szCs w:val="24"/>
          <w:b/>
          <w:bCs/>
          <w:spacing w:val="-3"/>
        </w:rPr>
        <w:t>梳绒生产线物料平衡分析图</w:t>
      </w:r>
    </w:p>
    <w:p>
      <w:pPr>
        <w:ind w:left="498"/>
        <w:spacing w:before="182" w:line="219" w:lineRule="auto"/>
        <w:rPr>
          <w:rFonts w:ascii="SimSun" w:hAnsi="SimSun" w:eastAsia="SimSun" w:cs="SimSun"/>
          <w:sz w:val="24"/>
          <w:szCs w:val="24"/>
        </w:rPr>
      </w:pP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、厌氧发酵物料平衡分析</w:t>
      </w:r>
    </w:p>
    <w:p>
      <w:pPr>
        <w:ind w:left="498"/>
        <w:spacing w:before="180" w:line="219" w:lineRule="auto"/>
        <w:rPr>
          <w:rFonts w:ascii="SimSun" w:hAnsi="SimSun" w:eastAsia="SimSun" w:cs="SimSun"/>
          <w:sz w:val="24"/>
          <w:szCs w:val="24"/>
        </w:rPr>
      </w:pPr>
      <w:r>
        <w:rPr>
          <w:rFonts w:ascii="SimSun" w:hAnsi="SimSun" w:eastAsia="SimSun" w:cs="SimSun"/>
          <w:sz w:val="24"/>
          <w:szCs w:val="24"/>
          <w:spacing w:val="-1"/>
        </w:rPr>
        <w:t>厌氧发酵装置物料平衡分析见表</w:t>
      </w:r>
      <w:r>
        <w:rPr>
          <w:rFonts w:ascii="Times New Roman" w:hAnsi="Times New Roman" w:eastAsia="Times New Roman" w:cs="Times New Roman"/>
          <w:sz w:val="24"/>
          <w:szCs w:val="24"/>
          <w:spacing w:val="-1"/>
        </w:rPr>
        <w:t>3.4-3</w:t>
      </w:r>
      <w:r>
        <w:rPr>
          <w:rFonts w:ascii="SimSun" w:hAnsi="SimSun" w:eastAsia="SimSun" w:cs="SimSun"/>
          <w:sz w:val="24"/>
          <w:szCs w:val="24"/>
          <w:spacing w:val="-1"/>
        </w:rPr>
        <w:t>和图</w:t>
      </w:r>
      <w:r>
        <w:rPr>
          <w:rFonts w:ascii="Times New Roman" w:hAnsi="Times New Roman" w:eastAsia="Times New Roman" w:cs="Times New Roman"/>
          <w:sz w:val="24"/>
          <w:szCs w:val="24"/>
          <w:spacing w:val="-1"/>
        </w:rPr>
        <w:t>3.4-3</w:t>
      </w:r>
      <w:r>
        <w:rPr>
          <w:rFonts w:ascii="SimSun" w:hAnsi="SimSun" w:eastAsia="SimSun" w:cs="SimSun"/>
          <w:sz w:val="24"/>
          <w:szCs w:val="24"/>
          <w:spacing w:val="-1"/>
        </w:rPr>
        <w:t>。</w:t>
      </w:r>
    </w:p>
    <w:p>
      <w:pPr>
        <w:ind w:left="1387"/>
        <w:spacing w:before="184"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4"/>
        </w:rPr>
        <w:t xml:space="preserve"> </w:t>
      </w:r>
      <w:r>
        <w:rPr>
          <w:rFonts w:ascii="Times New Roman" w:hAnsi="Times New Roman" w:eastAsia="Times New Roman" w:cs="Times New Roman"/>
          <w:sz w:val="24"/>
          <w:szCs w:val="24"/>
          <w:b/>
          <w:bCs/>
          <w:spacing w:val="-2"/>
        </w:rPr>
        <w:t>3.4-3      </w:t>
      </w:r>
      <w:r>
        <w:rPr>
          <w:rFonts w:ascii="SimSun" w:hAnsi="SimSun" w:eastAsia="SimSun" w:cs="SimSun"/>
          <w:sz w:val="24"/>
          <w:szCs w:val="24"/>
          <w:b/>
          <w:bCs/>
          <w:spacing w:val="-2"/>
        </w:rPr>
        <w:t>厌氧发酵装置物料平衡分析表</w:t>
      </w:r>
    </w:p>
    <w:p>
      <w:pPr>
        <w:pStyle w:val="BodyText"/>
        <w:spacing w:line="14" w:lineRule="auto"/>
        <w:rPr>
          <w:sz w:val="2"/>
        </w:rPr>
      </w:pPr>
      <w:r>
        <w:rPr>
          <w:sz w:val="2"/>
          <w:szCs w:val="2"/>
        </w:rPr>
        <w:br w:type="column"/>
      </w:r>
    </w:p>
    <w:p>
      <w:pPr>
        <w:spacing w:before="46" w:line="220" w:lineRule="auto"/>
        <w:rPr>
          <w:rFonts w:ascii="Times New Roman" w:hAnsi="Times New Roman" w:eastAsia="Times New Roman" w:cs="Times New Roman"/>
          <w:sz w:val="24"/>
          <w:szCs w:val="24"/>
        </w:rPr>
      </w:pPr>
      <w:r>
        <w:rPr>
          <w:rFonts w:ascii="SimSun" w:hAnsi="SimSun" w:eastAsia="SimSun" w:cs="SimSun"/>
          <w:sz w:val="24"/>
          <w:szCs w:val="24"/>
          <w:b/>
          <w:bCs/>
          <w:spacing w:val="-3"/>
        </w:rPr>
        <w:t>单位：</w:t>
      </w:r>
      <w:r>
        <w:rPr>
          <w:rFonts w:ascii="Times New Roman" w:hAnsi="Times New Roman" w:eastAsia="Times New Roman" w:cs="Times New Roman"/>
          <w:sz w:val="24"/>
          <w:szCs w:val="24"/>
          <w:b/>
          <w:bCs/>
          <w:spacing w:val="-3"/>
        </w:rPr>
        <w:t>t/a</w:t>
      </w:r>
    </w:p>
    <w:p>
      <w:pPr>
        <w:pStyle w:val="BodyText"/>
        <w:spacing w:line="257" w:lineRule="auto"/>
        <w:rPr/>
      </w:pPr>
      <w:r/>
    </w:p>
    <w:p>
      <w:pPr>
        <w:pStyle w:val="BodyText"/>
        <w:spacing w:line="258" w:lineRule="auto"/>
        <w:rPr/>
      </w:pPr>
      <w:r/>
    </w:p>
    <w:p>
      <w:pPr>
        <w:pStyle w:val="BodyText"/>
        <w:spacing w:line="258" w:lineRule="auto"/>
        <w:rPr/>
      </w:pPr>
      <w:r/>
    </w:p>
    <w:p>
      <w:pPr>
        <w:pStyle w:val="BodyText"/>
        <w:spacing w:line="258" w:lineRule="auto"/>
        <w:rPr/>
      </w:pPr>
      <w:r/>
    </w:p>
    <w:p>
      <w:pPr>
        <w:ind w:left="151"/>
        <w:spacing w:before="78" w:line="212" w:lineRule="auto"/>
        <w:rPr>
          <w:rFonts w:ascii="Times New Roman" w:hAnsi="Times New Roman" w:eastAsia="Times New Roman" w:cs="Times New Roman"/>
          <w:sz w:val="24"/>
          <w:szCs w:val="24"/>
        </w:rPr>
      </w:pPr>
      <w:r>
        <w:rPr>
          <w:rFonts w:ascii="SimSun" w:hAnsi="SimSun" w:eastAsia="SimSun" w:cs="SimSun"/>
          <w:sz w:val="24"/>
          <w:szCs w:val="24"/>
          <w:b/>
          <w:bCs/>
          <w:spacing w:val="-3"/>
        </w:rPr>
        <w:t>单位：</w:t>
      </w:r>
      <w:r>
        <w:rPr>
          <w:rFonts w:ascii="Times New Roman" w:hAnsi="Times New Roman" w:eastAsia="Times New Roman" w:cs="Times New Roman"/>
          <w:sz w:val="24"/>
          <w:szCs w:val="24"/>
          <w:b/>
          <w:bCs/>
          <w:spacing w:val="-3"/>
        </w:rPr>
        <w:t>t/a</w:t>
      </w:r>
    </w:p>
    <w:p>
      <w:pPr>
        <w:spacing w:line="212" w:lineRule="auto"/>
        <w:sectPr>
          <w:type w:val="continuous"/>
          <w:pgSz w:w="11907" w:h="16840"/>
          <w:pgMar w:top="1567" w:right="1694" w:bottom="400" w:left="1693" w:header="1221" w:footer="0" w:gutter="0"/>
          <w:cols w:equalWidth="0" w:num="2">
            <w:col w:w="5913" w:space="100"/>
            <w:col w:w="2508" w:space="0"/>
          </w:cols>
        </w:sectPr>
        <w:rPr>
          <w:rFonts w:ascii="Times New Roman" w:hAnsi="Times New Roman" w:eastAsia="Times New Roman" w:cs="Times New Roman"/>
          <w:sz w:val="24"/>
          <w:szCs w:val="24"/>
        </w:rPr>
      </w:pPr>
    </w:p>
    <w:tbl>
      <w:tblPr>
        <w:tblStyle w:val="TableNormal"/>
        <w:tblW w:w="851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18"/>
        <w:gridCol w:w="2051"/>
        <w:gridCol w:w="1203"/>
        <w:gridCol w:w="934"/>
        <w:gridCol w:w="2003"/>
        <w:gridCol w:w="1605"/>
      </w:tblGrid>
      <w:tr>
        <w:trPr>
          <w:trHeight w:val="281" w:hRule="atLeast"/>
        </w:trPr>
        <w:tc>
          <w:tcPr>
            <w:tcW w:w="718" w:type="dxa"/>
            <w:vAlign w:val="top"/>
          </w:tcPr>
          <w:p>
            <w:pPr>
              <w:pStyle w:val="TableText"/>
              <w:ind w:left="154"/>
              <w:spacing w:before="35" w:line="217" w:lineRule="auto"/>
              <w:rPr/>
            </w:pPr>
            <w:r>
              <w:rPr>
                <w:spacing w:val="5"/>
              </w:rPr>
              <w:t>序号</w:t>
            </w:r>
          </w:p>
        </w:tc>
        <w:tc>
          <w:tcPr>
            <w:tcW w:w="2051" w:type="dxa"/>
            <w:vAlign w:val="top"/>
          </w:tcPr>
          <w:p>
            <w:pPr>
              <w:pStyle w:val="TableText"/>
              <w:ind w:left="607"/>
              <w:spacing w:before="35" w:line="217" w:lineRule="auto"/>
              <w:rPr/>
            </w:pPr>
            <w:r>
              <w:rPr>
                <w:spacing w:val="7"/>
              </w:rPr>
              <w:t>进料名称</w:t>
            </w:r>
          </w:p>
        </w:tc>
        <w:tc>
          <w:tcPr>
            <w:tcW w:w="1203" w:type="dxa"/>
            <w:vAlign w:val="top"/>
          </w:tcPr>
          <w:p>
            <w:pPr>
              <w:pStyle w:val="TableText"/>
              <w:ind w:left="291"/>
              <w:spacing w:before="35" w:line="217" w:lineRule="auto"/>
              <w:rPr/>
            </w:pPr>
            <w:r>
              <w:rPr>
                <w:spacing w:val="7"/>
              </w:rPr>
              <w:t>进料量</w:t>
            </w:r>
          </w:p>
        </w:tc>
        <w:tc>
          <w:tcPr>
            <w:tcW w:w="934" w:type="dxa"/>
            <w:vAlign w:val="top"/>
          </w:tcPr>
          <w:p>
            <w:pPr>
              <w:pStyle w:val="TableText"/>
              <w:ind w:left="262"/>
              <w:spacing w:before="35" w:line="217" w:lineRule="auto"/>
              <w:rPr/>
            </w:pPr>
            <w:r>
              <w:rPr>
                <w:spacing w:val="5"/>
              </w:rPr>
              <w:t>序号</w:t>
            </w:r>
          </w:p>
        </w:tc>
        <w:tc>
          <w:tcPr>
            <w:tcW w:w="2003" w:type="dxa"/>
            <w:vAlign w:val="top"/>
          </w:tcPr>
          <w:p>
            <w:pPr>
              <w:pStyle w:val="TableText"/>
              <w:ind w:left="607"/>
              <w:spacing w:before="35" w:line="217" w:lineRule="auto"/>
              <w:rPr/>
            </w:pPr>
            <w:r>
              <w:rPr>
                <w:spacing w:val="2"/>
              </w:rPr>
              <w:t>出料名称</w:t>
            </w:r>
          </w:p>
        </w:tc>
        <w:tc>
          <w:tcPr>
            <w:tcW w:w="1605" w:type="dxa"/>
            <w:vAlign w:val="top"/>
          </w:tcPr>
          <w:p>
            <w:pPr>
              <w:pStyle w:val="TableText"/>
              <w:ind w:left="510"/>
              <w:spacing w:before="35" w:line="217" w:lineRule="auto"/>
              <w:rPr/>
            </w:pPr>
            <w:r>
              <w:rPr/>
              <w:t>出料量</w:t>
            </w:r>
          </w:p>
        </w:tc>
      </w:tr>
      <w:tr>
        <w:trPr>
          <w:trHeight w:val="277" w:hRule="atLeast"/>
        </w:trPr>
        <w:tc>
          <w:tcPr>
            <w:tcW w:w="718" w:type="dxa"/>
            <w:vAlign w:val="top"/>
          </w:tcPr>
          <w:p>
            <w:pPr>
              <w:ind w:left="32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51" w:type="dxa"/>
            <w:vAlign w:val="top"/>
          </w:tcPr>
          <w:p>
            <w:pPr>
              <w:pStyle w:val="TableText"/>
              <w:ind w:left="607"/>
              <w:spacing w:before="32" w:line="216" w:lineRule="auto"/>
              <w:rPr/>
            </w:pPr>
            <w:r>
              <w:rPr>
                <w:spacing w:val="7"/>
              </w:rPr>
              <w:t>洗毛废水</w:t>
            </w:r>
          </w:p>
        </w:tc>
        <w:tc>
          <w:tcPr>
            <w:tcW w:w="1203" w:type="dxa"/>
            <w:vAlign w:val="top"/>
          </w:tcPr>
          <w:p>
            <w:pPr>
              <w:ind w:left="33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40500</w:t>
            </w:r>
          </w:p>
        </w:tc>
        <w:tc>
          <w:tcPr>
            <w:tcW w:w="934" w:type="dxa"/>
            <w:vAlign w:val="top"/>
          </w:tcPr>
          <w:p>
            <w:pPr>
              <w:ind w:left="43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03" w:type="dxa"/>
            <w:vAlign w:val="top"/>
          </w:tcPr>
          <w:p>
            <w:pPr>
              <w:pStyle w:val="TableText"/>
              <w:ind w:left="592"/>
              <w:spacing w:before="32" w:line="216" w:lineRule="auto"/>
              <w:rPr/>
            </w:pPr>
            <w:r>
              <w:rPr>
                <w:spacing w:val="6"/>
              </w:rPr>
              <w:t>净化沼气</w:t>
            </w:r>
          </w:p>
        </w:tc>
        <w:tc>
          <w:tcPr>
            <w:tcW w:w="1605" w:type="dxa"/>
            <w:vAlign w:val="top"/>
          </w:tcPr>
          <w:p>
            <w:pPr>
              <w:ind w:left="51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674.52</w:t>
            </w:r>
          </w:p>
        </w:tc>
      </w:tr>
      <w:tr>
        <w:trPr>
          <w:trHeight w:val="548" w:hRule="atLeast"/>
        </w:trPr>
        <w:tc>
          <w:tcPr>
            <w:tcW w:w="718" w:type="dxa"/>
            <w:vAlign w:val="top"/>
          </w:tcPr>
          <w:p>
            <w:pPr>
              <w:ind w:left="307"/>
              <w:spacing w:before="2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051" w:type="dxa"/>
            <w:vAlign w:val="top"/>
          </w:tcPr>
          <w:p>
            <w:pPr>
              <w:pStyle w:val="TableText"/>
              <w:ind w:left="7"/>
              <w:spacing w:before="31" w:line="228" w:lineRule="auto"/>
              <w:rPr/>
            </w:pPr>
            <w:r>
              <w:rPr>
                <w:spacing w:val="3"/>
              </w:rPr>
              <w:t>洗毛羊粪、羊毛脂等有</w:t>
            </w:r>
          </w:p>
          <w:p>
            <w:pPr>
              <w:pStyle w:val="TableText"/>
              <w:ind w:left="819"/>
              <w:spacing w:before="24" w:line="217" w:lineRule="auto"/>
              <w:rPr/>
            </w:pPr>
            <w:r>
              <w:rPr>
                <w:spacing w:val="5"/>
              </w:rPr>
              <w:t>机物</w:t>
            </w:r>
          </w:p>
        </w:tc>
        <w:tc>
          <w:tcPr>
            <w:tcW w:w="1203" w:type="dxa"/>
            <w:vAlign w:val="top"/>
          </w:tcPr>
          <w:p>
            <w:pPr>
              <w:ind w:left="392"/>
              <w:spacing w:before="2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2085</w:t>
            </w:r>
          </w:p>
        </w:tc>
        <w:tc>
          <w:tcPr>
            <w:tcW w:w="934" w:type="dxa"/>
            <w:vAlign w:val="top"/>
          </w:tcPr>
          <w:p>
            <w:pPr>
              <w:ind w:left="418"/>
              <w:spacing w:before="2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003" w:type="dxa"/>
            <w:vAlign w:val="top"/>
          </w:tcPr>
          <w:p>
            <w:pPr>
              <w:pStyle w:val="TableText"/>
              <w:ind w:left="696"/>
              <w:spacing w:before="166" w:line="227" w:lineRule="auto"/>
              <w:rPr/>
            </w:pPr>
            <w:r>
              <w:rPr>
                <w:spacing w:val="5"/>
              </w:rPr>
              <w:t>沼渣肥</w:t>
            </w:r>
          </w:p>
        </w:tc>
        <w:tc>
          <w:tcPr>
            <w:tcW w:w="1605" w:type="dxa"/>
            <w:vAlign w:val="top"/>
          </w:tcPr>
          <w:p>
            <w:pPr>
              <w:ind w:left="461"/>
              <w:spacing w:before="2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2104.48</w:t>
            </w:r>
          </w:p>
        </w:tc>
      </w:tr>
      <w:tr>
        <w:trPr>
          <w:trHeight w:val="277" w:hRule="atLeast"/>
        </w:trPr>
        <w:tc>
          <w:tcPr>
            <w:tcW w:w="718" w:type="dxa"/>
            <w:vAlign w:val="top"/>
          </w:tcPr>
          <w:p>
            <w:pPr>
              <w:ind w:left="31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2051" w:type="dxa"/>
            <w:vAlign w:val="top"/>
          </w:tcPr>
          <w:p>
            <w:pPr>
              <w:pStyle w:val="TableText"/>
              <w:ind w:left="190"/>
              <w:spacing w:before="33" w:line="216" w:lineRule="auto"/>
              <w:rPr/>
            </w:pPr>
            <w:r>
              <w:rPr>
                <w:spacing w:val="8"/>
              </w:rPr>
              <w:t>车间地面冲洗废水</w:t>
            </w:r>
          </w:p>
        </w:tc>
        <w:tc>
          <w:tcPr>
            <w:tcW w:w="1203" w:type="dxa"/>
            <w:vAlign w:val="top"/>
          </w:tcPr>
          <w:p>
            <w:pPr>
              <w:ind w:left="41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1350</w:t>
            </w:r>
          </w:p>
        </w:tc>
        <w:tc>
          <w:tcPr>
            <w:tcW w:w="934" w:type="dxa"/>
            <w:vAlign w:val="top"/>
          </w:tcPr>
          <w:p>
            <w:pPr>
              <w:ind w:left="42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2003" w:type="dxa"/>
            <w:vAlign w:val="top"/>
          </w:tcPr>
          <w:p>
            <w:pPr>
              <w:pStyle w:val="TableText"/>
              <w:ind w:left="696"/>
              <w:spacing w:before="33" w:line="216" w:lineRule="auto"/>
              <w:rPr/>
            </w:pPr>
            <w:r>
              <w:rPr>
                <w:spacing w:val="5"/>
              </w:rPr>
              <w:t>沼液肥</w:t>
            </w:r>
          </w:p>
        </w:tc>
        <w:tc>
          <w:tcPr>
            <w:tcW w:w="1605" w:type="dxa"/>
            <w:vAlign w:val="top"/>
          </w:tcPr>
          <w:p>
            <w:pPr>
              <w:ind w:left="54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42810</w:t>
            </w:r>
          </w:p>
        </w:tc>
      </w:tr>
      <w:tr>
        <w:trPr>
          <w:trHeight w:val="277" w:hRule="atLeast"/>
        </w:trPr>
        <w:tc>
          <w:tcPr>
            <w:tcW w:w="718" w:type="dxa"/>
            <w:vAlign w:val="top"/>
          </w:tcPr>
          <w:p>
            <w:pPr>
              <w:ind w:left="30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2051" w:type="dxa"/>
            <w:vAlign w:val="top"/>
          </w:tcPr>
          <w:p>
            <w:pPr>
              <w:pStyle w:val="TableText"/>
              <w:ind w:left="610"/>
              <w:spacing w:before="35" w:line="214" w:lineRule="auto"/>
              <w:rPr/>
            </w:pPr>
            <w:r>
              <w:rPr>
                <w:spacing w:val="6"/>
              </w:rPr>
              <w:t>生活污水</w:t>
            </w:r>
          </w:p>
        </w:tc>
        <w:tc>
          <w:tcPr>
            <w:tcW w:w="1203" w:type="dxa"/>
            <w:vAlign w:val="top"/>
          </w:tcPr>
          <w:p>
            <w:pPr>
              <w:ind w:left="44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960</w:t>
            </w:r>
          </w:p>
        </w:tc>
        <w:tc>
          <w:tcPr>
            <w:tcW w:w="934" w:type="dxa"/>
            <w:vAlign w:val="top"/>
          </w:tcPr>
          <w:p>
            <w:pPr>
              <w:ind w:left="41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2003" w:type="dxa"/>
            <w:vAlign w:val="top"/>
          </w:tcPr>
          <w:p>
            <w:pPr>
              <w:pStyle w:val="TableText"/>
              <w:ind w:left="588"/>
              <w:spacing w:before="35" w:line="214" w:lineRule="auto"/>
              <w:rPr/>
            </w:pPr>
            <w:r>
              <w:rPr>
                <w:spacing w:val="7"/>
              </w:rPr>
              <w:t>废脱硫剂</w:t>
            </w:r>
          </w:p>
        </w:tc>
        <w:tc>
          <w:tcPr>
            <w:tcW w:w="1605" w:type="dxa"/>
            <w:vAlign w:val="top"/>
          </w:tcPr>
          <w:p>
            <w:pPr>
              <w:ind w:left="67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rPr>
              <w:t>1</w:t>
            </w:r>
          </w:p>
        </w:tc>
      </w:tr>
      <w:tr>
        <w:trPr>
          <w:trHeight w:val="277" w:hRule="atLeast"/>
        </w:trPr>
        <w:tc>
          <w:tcPr>
            <w:tcW w:w="718" w:type="dxa"/>
            <w:vAlign w:val="top"/>
          </w:tcPr>
          <w:p>
            <w:pPr>
              <w:ind w:left="313"/>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2051" w:type="dxa"/>
            <w:vAlign w:val="top"/>
          </w:tcPr>
          <w:p>
            <w:pPr>
              <w:pStyle w:val="TableText"/>
              <w:ind w:left="719"/>
              <w:spacing w:before="33" w:line="216" w:lineRule="auto"/>
              <w:rPr/>
            </w:pPr>
            <w:r>
              <w:rPr>
                <w:spacing w:val="5"/>
              </w:rPr>
              <w:t>牛羊粪</w:t>
            </w:r>
          </w:p>
        </w:tc>
        <w:tc>
          <w:tcPr>
            <w:tcW w:w="1203" w:type="dxa"/>
            <w:vAlign w:val="top"/>
          </w:tcPr>
          <w:p>
            <w:pPr>
              <w:ind w:left="39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2250</w:t>
            </w:r>
          </w:p>
        </w:tc>
        <w:tc>
          <w:tcPr>
            <w:tcW w:w="934" w:type="dxa"/>
            <w:vAlign w:val="top"/>
          </w:tcPr>
          <w:p>
            <w:pPr>
              <w:ind w:left="423"/>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2003" w:type="dxa"/>
            <w:vAlign w:val="top"/>
          </w:tcPr>
          <w:p>
            <w:pPr>
              <w:pStyle w:val="TableText"/>
              <w:ind w:left="483"/>
              <w:spacing w:before="33" w:line="216" w:lineRule="auto"/>
              <w:rPr/>
            </w:pPr>
            <w:r>
              <w:rPr>
                <w:spacing w:val="8"/>
              </w:rPr>
              <w:t>微生物消耗</w:t>
            </w:r>
          </w:p>
        </w:tc>
        <w:tc>
          <w:tcPr>
            <w:tcW w:w="1605" w:type="dxa"/>
            <w:vAlign w:val="top"/>
          </w:tcPr>
          <w:p>
            <w:pPr>
              <w:ind w:left="65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652</w:t>
            </w:r>
          </w:p>
        </w:tc>
      </w:tr>
      <w:tr>
        <w:trPr>
          <w:trHeight w:val="277" w:hRule="atLeast"/>
        </w:trPr>
        <w:tc>
          <w:tcPr>
            <w:tcW w:w="718" w:type="dxa"/>
            <w:vAlign w:val="top"/>
          </w:tcPr>
          <w:p>
            <w:pPr>
              <w:ind w:left="31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2051" w:type="dxa"/>
            <w:vAlign w:val="top"/>
          </w:tcPr>
          <w:p>
            <w:pPr>
              <w:pStyle w:val="TableText"/>
              <w:ind w:left="715"/>
              <w:spacing w:before="35" w:line="214" w:lineRule="auto"/>
              <w:rPr/>
            </w:pPr>
            <w:r>
              <w:rPr>
                <w:spacing w:val="6"/>
              </w:rPr>
              <w:t>脱硫剂</w:t>
            </w:r>
          </w:p>
        </w:tc>
        <w:tc>
          <w:tcPr>
            <w:tcW w:w="1203" w:type="dxa"/>
            <w:vAlign w:val="top"/>
          </w:tcPr>
          <w:p>
            <w:pPr>
              <w:ind w:left="47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934" w:type="dxa"/>
            <w:vAlign w:val="top"/>
          </w:tcPr>
          <w:p>
            <w:pPr>
              <w:ind w:left="42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2003" w:type="dxa"/>
            <w:vAlign w:val="top"/>
          </w:tcPr>
          <w:p>
            <w:pPr>
              <w:pStyle w:val="TableText"/>
              <w:ind w:left="592"/>
              <w:spacing w:before="35" w:line="214" w:lineRule="auto"/>
              <w:rPr/>
            </w:pPr>
            <w:r>
              <w:rPr>
                <w:spacing w:val="6"/>
              </w:rPr>
              <w:t>水分损耗</w:t>
            </w:r>
          </w:p>
        </w:tc>
        <w:tc>
          <w:tcPr>
            <w:tcW w:w="1605" w:type="dxa"/>
            <w:vAlign w:val="top"/>
          </w:tcPr>
          <w:p>
            <w:pPr>
              <w:ind w:left="65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901</w:t>
            </w:r>
          </w:p>
        </w:tc>
      </w:tr>
      <w:tr>
        <w:trPr>
          <w:trHeight w:val="281" w:hRule="atLeast"/>
        </w:trPr>
        <w:tc>
          <w:tcPr>
            <w:tcW w:w="718" w:type="dxa"/>
            <w:vAlign w:val="top"/>
          </w:tcPr>
          <w:p>
            <w:pPr>
              <w:ind w:left="327"/>
              <w:spacing w:before="6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2051" w:type="dxa"/>
            <w:vAlign w:val="top"/>
          </w:tcPr>
          <w:p>
            <w:pPr>
              <w:pStyle w:val="TableText"/>
              <w:ind w:left="820"/>
              <w:spacing w:before="35" w:line="217" w:lineRule="auto"/>
              <w:rPr/>
            </w:pPr>
            <w:r>
              <w:rPr>
                <w:spacing w:val="4"/>
              </w:rPr>
              <w:t>合计</w:t>
            </w:r>
          </w:p>
        </w:tc>
        <w:tc>
          <w:tcPr>
            <w:tcW w:w="1203" w:type="dxa"/>
            <w:vAlign w:val="top"/>
          </w:tcPr>
          <w:p>
            <w:pPr>
              <w:ind w:left="33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47150</w:t>
            </w:r>
          </w:p>
        </w:tc>
        <w:tc>
          <w:tcPr>
            <w:tcW w:w="934" w:type="dxa"/>
            <w:vAlign w:val="top"/>
          </w:tcPr>
          <w:p>
            <w:pPr>
              <w:ind w:left="435"/>
              <w:spacing w:before="6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2003" w:type="dxa"/>
            <w:vAlign w:val="top"/>
          </w:tcPr>
          <w:p>
            <w:pPr>
              <w:pStyle w:val="TableText"/>
              <w:ind w:left="799"/>
              <w:spacing w:before="35" w:line="217" w:lineRule="auto"/>
              <w:rPr/>
            </w:pPr>
            <w:r>
              <w:rPr>
                <w:spacing w:val="4"/>
              </w:rPr>
              <w:t>合计</w:t>
            </w:r>
          </w:p>
        </w:tc>
        <w:tc>
          <w:tcPr>
            <w:tcW w:w="1605" w:type="dxa"/>
            <w:vAlign w:val="top"/>
          </w:tcPr>
          <w:p>
            <w:pPr>
              <w:ind w:left="54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47150</w:t>
            </w:r>
          </w:p>
        </w:tc>
      </w:tr>
    </w:tbl>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ind w:left="15"/>
        <w:spacing w:before="62" w:line="193" w:lineRule="auto"/>
        <w:rPr>
          <w:rFonts w:ascii="SimSun" w:hAnsi="SimSun" w:eastAsia="SimSun" w:cs="SimSun"/>
          <w:sz w:val="19"/>
          <w:szCs w:val="19"/>
        </w:rPr>
      </w:pPr>
      <w:r>
        <w:pict>
          <v:shape id="_x0000_s454" style="position:absolute;margin-left:159.72pt;margin-top:2.1295pt;mso-position-vertical-relative:text;mso-position-horizontal-relative:text;width:58.85pt;height:13.75pt;z-index:25185792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2"/>
                    </w:rPr>
                    <w:t>任公司</w:t>
                  </w:r>
                  <w:r>
                    <w:rPr>
                      <w:rFonts w:ascii="SimSun" w:hAnsi="SimSun" w:eastAsia="SimSun" w:cs="SimSun"/>
                      <w:sz w:val="19"/>
                      <w:szCs w:val="19"/>
                      <w:spacing w:val="30"/>
                    </w:rPr>
                    <w:t xml:space="preserve">   </w:t>
                  </w:r>
                  <w:r>
                    <w:rPr>
                      <w:rFonts w:ascii="Times New Roman" w:hAnsi="Times New Roman" w:eastAsia="Times New Roman" w:cs="Times New Roman"/>
                      <w:sz w:val="18"/>
                      <w:szCs w:val="18"/>
                      <w:spacing w:val="2"/>
                      <w:position w:val="2"/>
                    </w:rPr>
                    <w:t>89</w:t>
                  </w:r>
                </w:p>
              </w:txbxContent>
            </v:textbox>
          </v:shape>
        </w:pict>
      </w:r>
      <w:r>
        <w:rPr>
          <w:rFonts w:ascii="SimSun" w:hAnsi="SimSun" w:eastAsia="SimSun" w:cs="SimSun"/>
          <w:sz w:val="19"/>
          <w:szCs w:val="19"/>
          <w:spacing w:val="9"/>
        </w:rPr>
        <w:t>锡林郭勒盟中安环境技术咨询有限责</w:t>
      </w:r>
    </w:p>
    <w:p>
      <w:pPr>
        <w:spacing w:line="193" w:lineRule="auto"/>
        <w:sectPr>
          <w:type w:val="continuous"/>
          <w:pgSz w:w="11907" w:h="16840"/>
          <w:pgMar w:top="1567" w:right="1694" w:bottom="400" w:left="1693" w:header="1221" w:footer="0" w:gutter="0"/>
          <w:cols w:equalWidth="0" w:num="1">
            <w:col w:w="8520" w:space="0"/>
          </w:cols>
        </w:sectPr>
        <w:rPr>
          <w:rFonts w:ascii="SimSun" w:hAnsi="SimSun" w:eastAsia="SimSun" w:cs="SimSun"/>
          <w:sz w:val="19"/>
          <w:szCs w:val="19"/>
        </w:rPr>
      </w:pPr>
    </w:p>
    <w:p>
      <w:pPr>
        <w:spacing w:before="133" w:line="7246" w:lineRule="exact"/>
        <w:rPr/>
      </w:pPr>
      <w:r>
        <w:pict>
          <v:shape id="_x0000_s460" style="position:absolute;margin-left:85.05pt;margin-top:78.87pt;mso-position-vertical-relative:page;mso-position-horizontal-relative:page;width:425.25pt;height:0.75pt;z-index:251860992;" o:allowincell="f" fillcolor="#000000" filled="true" stroked="false" coordsize="8505,15" coordorigin="0,0" path="m,l8505,0l8505,14l0,14l0,0xe"/>
        </w:pict>
      </w:r>
      <w:r>
        <w:rPr>
          <w:position w:val="-144"/>
        </w:rPr>
        <w:drawing>
          <wp:inline distT="0" distB="0" distL="0" distR="0">
            <wp:extent cx="5415533" cy="4601717"/>
            <wp:effectExtent l="0" t="0" r="0" b="0"/>
            <wp:docPr id="46" name="IM 46"/>
            <wp:cNvGraphicFramePr/>
            <a:graphic>
              <a:graphicData uri="http://schemas.openxmlformats.org/drawingml/2006/picture">
                <pic:pic>
                  <pic:nvPicPr>
                    <pic:cNvPr id="46" name="IM 46"/>
                    <pic:cNvPicPr/>
                  </pic:nvPicPr>
                  <pic:blipFill>
                    <a:blip r:embed="rId98"/>
                    <a:stretch>
                      <a:fillRect/>
                    </a:stretch>
                  </pic:blipFill>
                  <pic:spPr>
                    <a:xfrm rot="0">
                      <a:off x="0" y="0"/>
                      <a:ext cx="5415533" cy="4601717"/>
                    </a:xfrm>
                    <a:prstGeom prst="rect">
                      <a:avLst/>
                    </a:prstGeom>
                  </pic:spPr>
                </pic:pic>
              </a:graphicData>
            </a:graphic>
          </wp:inline>
        </w:drawing>
      </w:r>
    </w:p>
    <w:p>
      <w:pPr>
        <w:ind w:left="1432"/>
        <w:spacing w:before="36" w:line="219" w:lineRule="auto"/>
        <w:rPr>
          <w:rFonts w:ascii="Times New Roman" w:hAnsi="Times New Roman" w:eastAsia="Times New Roman" w:cs="Times New Roman"/>
          <w:sz w:val="24"/>
          <w:szCs w:val="24"/>
        </w:rPr>
      </w:pPr>
      <w:bookmarkStart w:name="bookmark63" w:id="78"/>
      <w:bookmarkEnd w:id="78"/>
      <w:r>
        <w:rPr>
          <w:rFonts w:ascii="SimSun" w:hAnsi="SimSun" w:eastAsia="SimSun" w:cs="SimSun"/>
          <w:sz w:val="24"/>
          <w:szCs w:val="24"/>
          <w:b/>
          <w:bCs/>
          <w:spacing w:val="-2"/>
        </w:rPr>
        <w:t>图</w:t>
      </w:r>
      <w:r>
        <w:rPr>
          <w:rFonts w:ascii="Times New Roman" w:hAnsi="Times New Roman" w:eastAsia="Times New Roman" w:cs="Times New Roman"/>
          <w:sz w:val="24"/>
          <w:szCs w:val="24"/>
          <w:b/>
          <w:bCs/>
          <w:spacing w:val="-2"/>
        </w:rPr>
        <w:t>3.4-3      </w:t>
      </w:r>
      <w:r>
        <w:rPr>
          <w:rFonts w:ascii="SimSun" w:hAnsi="SimSun" w:eastAsia="SimSun" w:cs="SimSun"/>
          <w:sz w:val="24"/>
          <w:szCs w:val="24"/>
          <w:b/>
          <w:bCs/>
          <w:spacing w:val="-2"/>
        </w:rPr>
        <w:t>厌氧发酵装置物料平衡分析图</w:t>
      </w:r>
      <w:r>
        <w:rPr>
          <w:rFonts w:ascii="SimSun" w:hAnsi="SimSun" w:eastAsia="SimSun" w:cs="SimSun"/>
          <w:sz w:val="24"/>
          <w:szCs w:val="24"/>
          <w:spacing w:val="-2"/>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t/a</w:t>
      </w:r>
    </w:p>
    <w:p>
      <w:pPr>
        <w:ind w:left="12"/>
        <w:spacing w:before="306" w:line="222" w:lineRule="auto"/>
        <w:outlineLvl w:val="2"/>
        <w:rPr>
          <w:rFonts w:ascii="SimHei" w:hAnsi="SimHei" w:eastAsia="SimHei" w:cs="SimHei"/>
          <w:sz w:val="28"/>
          <w:szCs w:val="28"/>
        </w:rPr>
      </w:pPr>
      <w:bookmarkStart w:name="bookmark229" w:id="79"/>
      <w:bookmarkEnd w:id="79"/>
      <w:r>
        <w:rPr>
          <w:rFonts w:ascii="Times New Roman" w:hAnsi="Times New Roman" w:eastAsia="Times New Roman" w:cs="Times New Roman"/>
          <w:sz w:val="28"/>
          <w:szCs w:val="28"/>
          <w:spacing w:val="-1"/>
        </w:rPr>
        <w:t>3.4.2 </w:t>
      </w:r>
      <w:r>
        <w:rPr>
          <w:rFonts w:ascii="SimHei" w:hAnsi="SimHei" w:eastAsia="SimHei" w:cs="SimHei"/>
          <w:sz w:val="28"/>
          <w:szCs w:val="28"/>
          <w:spacing w:val="-1"/>
        </w:rPr>
        <w:t>蒸汽平衡分析</w:t>
      </w:r>
    </w:p>
    <w:p>
      <w:pPr>
        <w:pStyle w:val="BodyText"/>
        <w:spacing w:line="246" w:lineRule="auto"/>
        <w:rPr/>
      </w:pPr>
      <w:r/>
    </w:p>
    <w:p>
      <w:pPr>
        <w:ind w:left="8" w:right="22" w:firstLine="481"/>
        <w:spacing w:before="78" w:line="353" w:lineRule="auto"/>
        <w:jc w:val="both"/>
        <w:rPr>
          <w:rFonts w:ascii="SimSun" w:hAnsi="SimSun" w:eastAsia="SimSun" w:cs="SimSun"/>
          <w:sz w:val="24"/>
          <w:szCs w:val="24"/>
        </w:rPr>
      </w:pPr>
      <w:r>
        <w:rPr>
          <w:rFonts w:ascii="SimSun" w:hAnsi="SimSun" w:eastAsia="SimSun" w:cs="SimSun"/>
          <w:sz w:val="24"/>
          <w:szCs w:val="24"/>
          <w:spacing w:val="3"/>
        </w:rPr>
        <w:t>本项目洗毛车间（洗净毛烘干）、冬季采暖、冬季厌氧发</w:t>
      </w:r>
      <w:r>
        <w:rPr>
          <w:rFonts w:ascii="SimSun" w:hAnsi="SimSun" w:eastAsia="SimSun" w:cs="SimSun"/>
          <w:sz w:val="24"/>
          <w:szCs w:val="24"/>
          <w:spacing w:val="2"/>
        </w:rPr>
        <w:t>酵罐保温、锅炉除</w:t>
      </w:r>
      <w:r>
        <w:rPr>
          <w:rFonts w:ascii="SimSun" w:hAnsi="SimSun" w:eastAsia="SimSun" w:cs="SimSun"/>
          <w:sz w:val="24"/>
          <w:szCs w:val="24"/>
        </w:rPr>
        <w:t xml:space="preserve"> </w:t>
      </w:r>
      <w:r>
        <w:rPr>
          <w:rFonts w:ascii="SimSun" w:hAnsi="SimSun" w:eastAsia="SimSun" w:cs="SimSun"/>
          <w:sz w:val="24"/>
          <w:szCs w:val="24"/>
          <w:spacing w:val="-3"/>
        </w:rPr>
        <w:t>氧器自用等蒸汽由新建设的锅炉房供给（</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台</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3"/>
        </w:rPr>
        <w:t>4t/h</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3"/>
        </w:rPr>
        <w:t>沼气蒸汽锅炉</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台</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3"/>
        </w:rPr>
        <w:t>6t/h </w:t>
      </w:r>
      <w:r>
        <w:rPr>
          <w:rFonts w:ascii="SimSun" w:hAnsi="SimSun" w:eastAsia="SimSun" w:cs="SimSun"/>
          <w:sz w:val="24"/>
          <w:szCs w:val="24"/>
          <w:spacing w:val="-3"/>
        </w:rPr>
        <w:t>生物质</w:t>
      </w:r>
      <w:r>
        <w:rPr>
          <w:rFonts w:ascii="SimSun" w:hAnsi="SimSun" w:eastAsia="SimSun" w:cs="SimSun"/>
          <w:sz w:val="24"/>
          <w:szCs w:val="24"/>
        </w:rPr>
        <w:t xml:space="preserve"> </w:t>
      </w:r>
      <w:r>
        <w:rPr>
          <w:rFonts w:ascii="SimSun" w:hAnsi="SimSun" w:eastAsia="SimSun" w:cs="SimSun"/>
          <w:sz w:val="24"/>
          <w:szCs w:val="24"/>
          <w:spacing w:val="-1"/>
        </w:rPr>
        <w:t>蒸汽锅炉）。夏季、冬季各按照</w:t>
      </w:r>
      <w:r>
        <w:rPr>
          <w:rFonts w:ascii="SimSun" w:hAnsi="SimSun" w:eastAsia="SimSun" w:cs="SimSun"/>
          <w:sz w:val="24"/>
          <w:szCs w:val="24"/>
          <w:spacing w:val="-15"/>
        </w:rPr>
        <w:t xml:space="preserve"> </w:t>
      </w:r>
      <w:r>
        <w:rPr>
          <w:rFonts w:ascii="Times New Roman" w:hAnsi="Times New Roman" w:eastAsia="Times New Roman" w:cs="Times New Roman"/>
          <w:sz w:val="24"/>
          <w:szCs w:val="24"/>
          <w:spacing w:val="-1"/>
        </w:rPr>
        <w:t>150d </w:t>
      </w:r>
      <w:r>
        <w:rPr>
          <w:rFonts w:ascii="SimSun" w:hAnsi="SimSun" w:eastAsia="SimSun" w:cs="SimSun"/>
          <w:sz w:val="24"/>
          <w:szCs w:val="24"/>
          <w:spacing w:val="-1"/>
        </w:rPr>
        <w:t>计算，夏季蒸汽消耗量为</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18500t/a</w:t>
      </w:r>
      <w:r>
        <w:rPr>
          <w:rFonts w:ascii="SimSun" w:hAnsi="SimSun" w:eastAsia="SimSun" w:cs="SimSun"/>
          <w:sz w:val="24"/>
          <w:szCs w:val="24"/>
          <w:spacing w:val="-1"/>
        </w:rPr>
        <w:t>（含管网</w:t>
      </w:r>
      <w:r>
        <w:rPr>
          <w:rFonts w:ascii="SimSun" w:hAnsi="SimSun" w:eastAsia="SimSun" w:cs="SimSun"/>
          <w:sz w:val="24"/>
          <w:szCs w:val="24"/>
        </w:rPr>
        <w:t xml:space="preserve"> </w:t>
      </w:r>
      <w:r>
        <w:rPr>
          <w:rFonts w:ascii="SimSun" w:hAnsi="SimSun" w:eastAsia="SimSun" w:cs="SimSun"/>
          <w:sz w:val="24"/>
          <w:szCs w:val="24"/>
        </w:rPr>
        <w:t>及汽水损耗，锅炉除氧器消耗量</w:t>
      </w:r>
      <w:r>
        <w:rPr>
          <w:rFonts w:ascii="SimSun" w:hAnsi="SimSun" w:eastAsia="SimSun" w:cs="SimSun"/>
          <w:sz w:val="24"/>
          <w:szCs w:val="24"/>
          <w:spacing w:val="-12"/>
        </w:rPr>
        <w:t>），</w:t>
      </w:r>
      <w:r>
        <w:rPr>
          <w:rFonts w:ascii="SimSun" w:hAnsi="SimSun" w:eastAsia="SimSun" w:cs="SimSun"/>
          <w:sz w:val="24"/>
          <w:szCs w:val="24"/>
        </w:rPr>
        <w:t>冬季蒸汽消耗量为</w:t>
      </w:r>
      <w:r>
        <w:rPr>
          <w:rFonts w:ascii="Times New Roman" w:hAnsi="Times New Roman" w:eastAsia="Times New Roman" w:cs="Times New Roman"/>
          <w:sz w:val="24"/>
          <w:szCs w:val="24"/>
        </w:rPr>
        <w:t>20400t/a</w:t>
      </w:r>
      <w:r>
        <w:rPr>
          <w:rFonts w:ascii="SimSun" w:hAnsi="SimSun" w:eastAsia="SimSun" w:cs="SimSun"/>
          <w:sz w:val="24"/>
          <w:szCs w:val="24"/>
        </w:rPr>
        <w:t>；全年蒸汽</w:t>
      </w:r>
      <w:r>
        <w:rPr>
          <w:rFonts w:ascii="SimSun" w:hAnsi="SimSun" w:eastAsia="SimSun" w:cs="SimSun"/>
          <w:sz w:val="24"/>
          <w:szCs w:val="24"/>
          <w:spacing w:val="-1"/>
        </w:rPr>
        <w:t>消耗量</w:t>
      </w:r>
      <w:r>
        <w:rPr>
          <w:rFonts w:ascii="SimSun" w:hAnsi="SimSun" w:eastAsia="SimSun" w:cs="SimSun"/>
          <w:sz w:val="24"/>
          <w:szCs w:val="24"/>
        </w:rPr>
        <w:t xml:space="preserve"> </w:t>
      </w:r>
      <w:r>
        <w:rPr>
          <w:rFonts w:ascii="SimSun" w:hAnsi="SimSun" w:eastAsia="SimSun" w:cs="SimSun"/>
          <w:sz w:val="24"/>
          <w:szCs w:val="24"/>
          <w:spacing w:val="-2"/>
        </w:rPr>
        <w:t>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38900t/a</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。全厂蒸汽平衡分析详见图</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3.3-4</w:t>
      </w:r>
      <w:r>
        <w:rPr>
          <w:rFonts w:ascii="SimSun" w:hAnsi="SimSun" w:eastAsia="SimSun" w:cs="SimSun"/>
          <w:sz w:val="24"/>
          <w:szCs w:val="24"/>
          <w:spacing w:val="-3"/>
        </w:rPr>
        <w:t>。</w:t>
      </w:r>
    </w:p>
    <w:p>
      <w:pPr>
        <w:spacing w:line="2538" w:lineRule="exact"/>
        <w:rPr/>
      </w:pPr>
      <w:r>
        <w:rPr>
          <w:position w:val="-50"/>
        </w:rPr>
        <w:drawing>
          <wp:inline distT="0" distB="0" distL="0" distR="0">
            <wp:extent cx="5410961" cy="1611630"/>
            <wp:effectExtent l="0" t="0" r="0" b="0"/>
            <wp:docPr id="48" name="IM 48"/>
            <wp:cNvGraphicFramePr/>
            <a:graphic>
              <a:graphicData uri="http://schemas.openxmlformats.org/drawingml/2006/picture">
                <pic:pic>
                  <pic:nvPicPr>
                    <pic:cNvPr id="48" name="IM 48"/>
                    <pic:cNvPicPr/>
                  </pic:nvPicPr>
                  <pic:blipFill>
                    <a:blip r:embed="rId99"/>
                    <a:stretch>
                      <a:fillRect/>
                    </a:stretch>
                  </pic:blipFill>
                  <pic:spPr>
                    <a:xfrm rot="0">
                      <a:off x="0" y="0"/>
                      <a:ext cx="5410961" cy="1611630"/>
                    </a:xfrm>
                    <a:prstGeom prst="rect">
                      <a:avLst/>
                    </a:prstGeom>
                  </pic:spPr>
                </pic:pic>
              </a:graphicData>
            </a:graphic>
          </wp:inline>
        </w:drawing>
      </w:r>
    </w:p>
    <w:p>
      <w:pPr>
        <w:ind w:right="24"/>
        <w:spacing w:before="288" w:line="227" w:lineRule="auto"/>
        <w:jc w:val="right"/>
        <w:rPr>
          <w:rFonts w:ascii="SimSun" w:hAnsi="SimSun" w:eastAsia="SimSun" w:cs="SimSun"/>
          <w:sz w:val="19"/>
          <w:szCs w:val="19"/>
        </w:rPr>
      </w:pPr>
      <w:r>
        <w:pict>
          <v:shape id="_x0000_s462" style="position:absolute;margin-left:207.469pt;margin-top:13.4109pt;mso-position-vertical-relative:text;mso-position-horizontal-relative:text;width:58.8pt;height:13.75pt;z-index:251859968;"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1"/>
                      <w:position w:val="2"/>
                    </w:rPr>
                    <w:t>90        </w:t>
                  </w:r>
                  <w:r>
                    <w:rPr>
                      <w:rFonts w:ascii="SimSun" w:hAnsi="SimSun" w:eastAsia="SimSun" w:cs="SimSun"/>
                      <w:sz w:val="19"/>
                      <w:szCs w:val="19"/>
                      <w:spacing w:val="1"/>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97"/>
          <w:pgSz w:w="11907" w:h="16840"/>
          <w:pgMar w:top="1567" w:right="1677" w:bottom="400" w:left="1701" w:header="1221" w:footer="0" w:gutter="0"/>
        </w:sectPr>
        <w:rPr>
          <w:rFonts w:ascii="SimSun" w:hAnsi="SimSun" w:eastAsia="SimSun" w:cs="SimSun"/>
          <w:sz w:val="19"/>
          <w:szCs w:val="19"/>
        </w:rPr>
      </w:pPr>
    </w:p>
    <w:p>
      <w:pPr>
        <w:ind w:left="3271"/>
        <w:spacing w:before="187" w:line="211" w:lineRule="auto"/>
        <w:rPr>
          <w:rFonts w:ascii="Times New Roman" w:hAnsi="Times New Roman" w:eastAsia="Times New Roman" w:cs="Times New Roman"/>
          <w:sz w:val="24"/>
          <w:szCs w:val="24"/>
        </w:rPr>
      </w:pPr>
      <w:r>
        <w:pict>
          <v:shape id="_x0000_s466" style="position:absolute;margin-left:85.05pt;margin-top:79.11pt;mso-position-vertical-relative:page;mso-position-horizontal-relative:page;width:425.25pt;height:0.75pt;z-index:251863040;" o:allowincell="f" fillcolor="#000000" filled="true" stroked="false" coordsize="8505,15" coordorigin="0,0" path="m,l8505,0l8505,14l0,14l0,0xe"/>
        </w:pict>
      </w:r>
      <w:r>
        <w:rPr>
          <w:rFonts w:ascii="SimSun" w:hAnsi="SimSun" w:eastAsia="SimSun" w:cs="SimSun"/>
          <w:sz w:val="24"/>
          <w:szCs w:val="24"/>
          <w:b/>
          <w:bCs/>
          <w:spacing w:val="-2"/>
        </w:rPr>
        <w:t>夏季（</w:t>
      </w:r>
      <w:r>
        <w:rPr>
          <w:rFonts w:ascii="Times New Roman" w:hAnsi="Times New Roman" w:eastAsia="Times New Roman" w:cs="Times New Roman"/>
          <w:sz w:val="24"/>
          <w:szCs w:val="24"/>
          <w:b/>
          <w:bCs/>
          <w:spacing w:val="-2"/>
        </w:rPr>
        <w:t>150d</w:t>
      </w:r>
      <w:r>
        <w:rPr>
          <w:rFonts w:ascii="SimSun" w:hAnsi="SimSun" w:eastAsia="SimSun" w:cs="SimSun"/>
          <w:sz w:val="24"/>
          <w:szCs w:val="24"/>
          <w:b/>
          <w:bCs/>
          <w:spacing w:val="-2"/>
        </w:rPr>
        <w:t>）</w:t>
      </w:r>
      <w:r>
        <w:rPr>
          <w:rFonts w:ascii="SimSun" w:hAnsi="SimSun" w:eastAsia="SimSun" w:cs="SimSun"/>
          <w:sz w:val="24"/>
          <w:szCs w:val="24"/>
          <w:spacing w:val="-2"/>
        </w:rPr>
        <w:t xml:space="preserve">    </w:t>
      </w:r>
      <w:r>
        <w:rPr>
          <w:rFonts w:ascii="Times New Roman" w:hAnsi="Times New Roman" w:eastAsia="Times New Roman" w:cs="Times New Roman"/>
          <w:sz w:val="24"/>
          <w:szCs w:val="24"/>
          <w:b/>
          <w:bCs/>
          <w:spacing w:val="-2"/>
        </w:rPr>
        <w:t>t/a</w:t>
      </w:r>
    </w:p>
    <w:p>
      <w:pPr>
        <w:ind w:firstLine="112"/>
        <w:spacing w:line="4386" w:lineRule="exact"/>
        <w:rPr/>
      </w:pPr>
      <w:r>
        <w:rPr>
          <w:position w:val="-87"/>
        </w:rPr>
        <w:drawing>
          <wp:inline distT="0" distB="0" distL="0" distR="0">
            <wp:extent cx="5410961" cy="2785110"/>
            <wp:effectExtent l="0" t="0" r="0" b="0"/>
            <wp:docPr id="50" name="IM 50"/>
            <wp:cNvGraphicFramePr/>
            <a:graphic>
              <a:graphicData uri="http://schemas.openxmlformats.org/drawingml/2006/picture">
                <pic:pic>
                  <pic:nvPicPr>
                    <pic:cNvPr id="50" name="IM 50"/>
                    <pic:cNvPicPr/>
                  </pic:nvPicPr>
                  <pic:blipFill>
                    <a:blip r:embed="rId101"/>
                    <a:stretch>
                      <a:fillRect/>
                    </a:stretch>
                  </pic:blipFill>
                  <pic:spPr>
                    <a:xfrm rot="0">
                      <a:off x="0" y="0"/>
                      <a:ext cx="5410961" cy="2785110"/>
                    </a:xfrm>
                    <a:prstGeom prst="rect">
                      <a:avLst/>
                    </a:prstGeom>
                  </pic:spPr>
                </pic:pic>
              </a:graphicData>
            </a:graphic>
          </wp:inline>
        </w:drawing>
      </w:r>
    </w:p>
    <w:p>
      <w:pPr>
        <w:ind w:left="3217"/>
        <w:spacing w:before="37" w:line="219" w:lineRule="auto"/>
        <w:rPr>
          <w:rFonts w:ascii="Times New Roman" w:hAnsi="Times New Roman" w:eastAsia="Times New Roman" w:cs="Times New Roman"/>
          <w:sz w:val="24"/>
          <w:szCs w:val="24"/>
        </w:rPr>
      </w:pPr>
      <w:r>
        <w:rPr>
          <w:rFonts w:ascii="SimSun" w:hAnsi="SimSun" w:eastAsia="SimSun" w:cs="SimSun"/>
          <w:sz w:val="24"/>
          <w:szCs w:val="24"/>
          <w:b/>
          <w:bCs/>
          <w:spacing w:val="-2"/>
        </w:rPr>
        <w:t>冬季（</w:t>
      </w:r>
      <w:r>
        <w:rPr>
          <w:rFonts w:ascii="Times New Roman" w:hAnsi="Times New Roman" w:eastAsia="Times New Roman" w:cs="Times New Roman"/>
          <w:sz w:val="24"/>
          <w:szCs w:val="24"/>
          <w:b/>
          <w:bCs/>
          <w:spacing w:val="-2"/>
        </w:rPr>
        <w:t>150d</w:t>
      </w:r>
      <w:r>
        <w:rPr>
          <w:rFonts w:ascii="SimSun" w:hAnsi="SimSun" w:eastAsia="SimSun" w:cs="SimSun"/>
          <w:sz w:val="24"/>
          <w:szCs w:val="24"/>
          <w:b/>
          <w:bCs/>
          <w:spacing w:val="-2"/>
        </w:rPr>
        <w:t>）</w:t>
      </w:r>
      <w:r>
        <w:rPr>
          <w:rFonts w:ascii="SimSun" w:hAnsi="SimSun" w:eastAsia="SimSun" w:cs="SimSun"/>
          <w:sz w:val="24"/>
          <w:szCs w:val="24"/>
          <w:spacing w:val="-2"/>
        </w:rPr>
        <w:t xml:space="preserve">     </w:t>
      </w:r>
      <w:r>
        <w:rPr>
          <w:rFonts w:ascii="Times New Roman" w:hAnsi="Times New Roman" w:eastAsia="Times New Roman" w:cs="Times New Roman"/>
          <w:sz w:val="24"/>
          <w:szCs w:val="24"/>
          <w:b/>
          <w:bCs/>
          <w:spacing w:val="-2"/>
        </w:rPr>
        <w:t>t/a</w:t>
      </w:r>
    </w:p>
    <w:p>
      <w:pPr>
        <w:ind w:left="2973"/>
        <w:spacing w:before="185" w:line="220" w:lineRule="auto"/>
        <w:rPr>
          <w:rFonts w:ascii="SimSun" w:hAnsi="SimSun" w:eastAsia="SimSun" w:cs="SimSun"/>
          <w:sz w:val="24"/>
          <w:szCs w:val="24"/>
        </w:rPr>
      </w:pPr>
      <w:bookmarkStart w:name="bookmark64" w:id="80"/>
      <w:bookmarkEnd w:id="80"/>
      <w:r>
        <w:rPr>
          <w:rFonts w:ascii="SimSun" w:hAnsi="SimSun" w:eastAsia="SimSun" w:cs="SimSun"/>
          <w:sz w:val="24"/>
          <w:szCs w:val="24"/>
          <w:b/>
          <w:bCs/>
          <w:spacing w:val="-3"/>
        </w:rPr>
        <w:t>图</w:t>
      </w:r>
      <w:r>
        <w:rPr>
          <w:rFonts w:ascii="SimSun" w:hAnsi="SimSun" w:eastAsia="SimSun" w:cs="SimSun"/>
          <w:sz w:val="24"/>
          <w:szCs w:val="24"/>
          <w:spacing w:val="-51"/>
        </w:rPr>
        <w:t xml:space="preserve"> </w:t>
      </w:r>
      <w:r>
        <w:rPr>
          <w:rFonts w:ascii="Times New Roman" w:hAnsi="Times New Roman" w:eastAsia="Times New Roman" w:cs="Times New Roman"/>
          <w:sz w:val="24"/>
          <w:szCs w:val="24"/>
          <w:b/>
          <w:bCs/>
          <w:spacing w:val="-3"/>
        </w:rPr>
        <w:t>3.4-4      </w:t>
      </w:r>
      <w:r>
        <w:rPr>
          <w:rFonts w:ascii="SimSun" w:hAnsi="SimSun" w:eastAsia="SimSun" w:cs="SimSun"/>
          <w:sz w:val="24"/>
          <w:szCs w:val="24"/>
          <w:b/>
          <w:bCs/>
          <w:spacing w:val="-3"/>
        </w:rPr>
        <w:t>蒸汽平衡分析图</w:t>
      </w:r>
    </w:p>
    <w:p>
      <w:pPr>
        <w:ind w:left="124"/>
        <w:spacing w:before="297" w:line="223" w:lineRule="auto"/>
        <w:outlineLvl w:val="2"/>
        <w:rPr>
          <w:rFonts w:ascii="SimHei" w:hAnsi="SimHei" w:eastAsia="SimHei" w:cs="SimHei"/>
          <w:sz w:val="28"/>
          <w:szCs w:val="28"/>
        </w:rPr>
      </w:pPr>
      <w:bookmarkStart w:name="bookmark230" w:id="81"/>
      <w:bookmarkEnd w:id="81"/>
      <w:r>
        <w:rPr>
          <w:rFonts w:ascii="Times New Roman" w:hAnsi="Times New Roman" w:eastAsia="Times New Roman" w:cs="Times New Roman"/>
          <w:sz w:val="28"/>
          <w:szCs w:val="28"/>
          <w:spacing w:val="-1"/>
        </w:rPr>
        <w:t>3.4.3 </w:t>
      </w:r>
      <w:r>
        <w:rPr>
          <w:rFonts w:ascii="SimHei" w:hAnsi="SimHei" w:eastAsia="SimHei" w:cs="SimHei"/>
          <w:sz w:val="28"/>
          <w:szCs w:val="28"/>
          <w:spacing w:val="-1"/>
        </w:rPr>
        <w:t>沼气平衡分析</w:t>
      </w:r>
    </w:p>
    <w:p>
      <w:pPr>
        <w:ind w:left="127" w:right="111" w:firstLine="476"/>
        <w:spacing w:before="198" w:line="368" w:lineRule="auto"/>
        <w:jc w:val="both"/>
        <w:rPr>
          <w:rFonts w:ascii="SimSun" w:hAnsi="SimSun" w:eastAsia="SimSun" w:cs="SimSun"/>
          <w:sz w:val="24"/>
          <w:szCs w:val="24"/>
        </w:rPr>
      </w:pPr>
      <w:r>
        <w:rPr>
          <w:rFonts w:ascii="SimSun" w:hAnsi="SimSun" w:eastAsia="SimSun" w:cs="SimSun"/>
          <w:sz w:val="24"/>
          <w:szCs w:val="24"/>
          <w:spacing w:val="-2"/>
        </w:rPr>
        <w:t>本项目厌氧发酵装置产生的</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94.5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24"/>
          <w:szCs w:val="24"/>
          <w:spacing w:val="-2"/>
        </w:rPr>
        <w:t>/a </w:t>
      </w:r>
      <w:r>
        <w:rPr>
          <w:rFonts w:ascii="SimSun" w:hAnsi="SimSun" w:eastAsia="SimSun" w:cs="SimSun"/>
          <w:sz w:val="24"/>
          <w:szCs w:val="24"/>
          <w:spacing w:val="-2"/>
        </w:rPr>
        <w:t>沼气全部用于</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4t/h </w:t>
      </w:r>
      <w:r>
        <w:rPr>
          <w:rFonts w:ascii="SimSun" w:hAnsi="SimSun" w:eastAsia="SimSun" w:cs="SimSun"/>
          <w:sz w:val="24"/>
          <w:szCs w:val="24"/>
          <w:spacing w:val="-2"/>
        </w:rPr>
        <w:t>燃气蒸</w:t>
      </w:r>
      <w:r>
        <w:rPr>
          <w:rFonts w:ascii="SimSun" w:hAnsi="SimSun" w:eastAsia="SimSun" w:cs="SimSun"/>
          <w:sz w:val="24"/>
          <w:szCs w:val="24"/>
          <w:spacing w:val="-3"/>
        </w:rPr>
        <w:t>汽锅炉，不</w:t>
      </w:r>
      <w:r>
        <w:rPr>
          <w:rFonts w:ascii="SimSun" w:hAnsi="SimSun" w:eastAsia="SimSun" w:cs="SimSun"/>
          <w:sz w:val="24"/>
          <w:szCs w:val="24"/>
        </w:rPr>
        <w:t xml:space="preserve"> </w:t>
      </w:r>
      <w:r>
        <w:rPr>
          <w:rFonts w:ascii="SimSun" w:hAnsi="SimSun" w:eastAsia="SimSun" w:cs="SimSun"/>
          <w:sz w:val="24"/>
          <w:szCs w:val="24"/>
          <w:spacing w:val="-2"/>
        </w:rPr>
        <w:t>外售。沼气甲烷含量为</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2"/>
        </w:rPr>
        <w:t>60%</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，可满足</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4t/h </w:t>
      </w:r>
      <w:r>
        <w:rPr>
          <w:rFonts w:ascii="SimSun" w:hAnsi="SimSun" w:eastAsia="SimSun" w:cs="SimSun"/>
          <w:sz w:val="24"/>
          <w:szCs w:val="24"/>
          <w:spacing w:val="-2"/>
        </w:rPr>
        <w:t>沼气锅炉每天满负荷运行</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6.3h</w:t>
      </w:r>
      <w:r>
        <w:rPr>
          <w:rFonts w:ascii="SimSun" w:hAnsi="SimSun" w:eastAsia="SimSun" w:cs="SimSun"/>
          <w:sz w:val="24"/>
          <w:szCs w:val="24"/>
          <w:spacing w:val="-2"/>
        </w:rPr>
        <w:t>（每小时</w:t>
      </w:r>
      <w:r>
        <w:rPr>
          <w:rFonts w:ascii="SimSun" w:hAnsi="SimSun" w:eastAsia="SimSun" w:cs="SimSun"/>
          <w:sz w:val="24"/>
          <w:szCs w:val="24"/>
        </w:rPr>
        <w:t xml:space="preserve"> </w:t>
      </w:r>
      <w:r>
        <w:rPr>
          <w:rFonts w:ascii="SimSun" w:hAnsi="SimSun" w:eastAsia="SimSun" w:cs="SimSun"/>
          <w:sz w:val="24"/>
          <w:szCs w:val="24"/>
          <w:spacing w:val="-2"/>
        </w:rPr>
        <w:t>甲烷用量为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75m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/h</w:t>
      </w:r>
      <w:r>
        <w:rPr>
          <w:rFonts w:ascii="SimSun" w:hAnsi="SimSun" w:eastAsia="SimSun" w:cs="SimSun"/>
          <w:sz w:val="24"/>
          <w:szCs w:val="24"/>
          <w:spacing w:val="15"/>
        </w:rPr>
        <w:t>）；</w:t>
      </w:r>
      <w:r>
        <w:rPr>
          <w:rFonts w:ascii="SimSun" w:hAnsi="SimSun" w:eastAsia="SimSun" w:cs="SimSun"/>
          <w:sz w:val="24"/>
          <w:szCs w:val="24"/>
          <w:spacing w:val="-2"/>
        </w:rPr>
        <w:t>只在事故状态下采用应急火炬燃烧。</w:t>
      </w:r>
    </w:p>
    <w:p>
      <w:pPr>
        <w:ind w:left="2708"/>
        <w:spacing w:line="220"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4"/>
        </w:rPr>
        <w:t xml:space="preserve"> </w:t>
      </w:r>
      <w:r>
        <w:rPr>
          <w:rFonts w:ascii="Times New Roman" w:hAnsi="Times New Roman" w:eastAsia="Times New Roman" w:cs="Times New Roman"/>
          <w:sz w:val="24"/>
          <w:szCs w:val="24"/>
          <w:b/>
          <w:bCs/>
          <w:spacing w:val="-2"/>
        </w:rPr>
        <w:t>3.4-4      </w:t>
      </w:r>
      <w:r>
        <w:rPr>
          <w:rFonts w:ascii="SimSun" w:hAnsi="SimSun" w:eastAsia="SimSun" w:cs="SimSun"/>
          <w:sz w:val="24"/>
          <w:szCs w:val="24"/>
          <w:b/>
          <w:bCs/>
          <w:spacing w:val="-2"/>
        </w:rPr>
        <w:t>项目沼气去向一览表</w:t>
      </w:r>
    </w:p>
    <w:p>
      <w:pPr>
        <w:spacing w:line="15" w:lineRule="exact"/>
        <w:rPr/>
      </w:pPr>
      <w:r/>
    </w:p>
    <w:tbl>
      <w:tblPr>
        <w:tblStyle w:val="TableNormal"/>
        <w:tblW w:w="872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47"/>
        <w:gridCol w:w="1886"/>
        <w:gridCol w:w="1919"/>
        <w:gridCol w:w="1919"/>
        <w:gridCol w:w="1851"/>
      </w:tblGrid>
      <w:tr>
        <w:trPr>
          <w:trHeight w:val="280" w:hRule="atLeast"/>
        </w:trPr>
        <w:tc>
          <w:tcPr>
            <w:tcW w:w="1147" w:type="dxa"/>
            <w:vAlign w:val="top"/>
          </w:tcPr>
          <w:p>
            <w:pPr>
              <w:pStyle w:val="TableText"/>
              <w:ind w:left="367"/>
              <w:spacing w:before="34" w:line="217" w:lineRule="auto"/>
              <w:rPr/>
            </w:pPr>
            <w:r>
              <w:rPr>
                <w:spacing w:val="5"/>
              </w:rPr>
              <w:t>序号</w:t>
            </w:r>
          </w:p>
        </w:tc>
        <w:tc>
          <w:tcPr>
            <w:tcW w:w="1886" w:type="dxa"/>
            <w:vAlign w:val="top"/>
          </w:tcPr>
          <w:p>
            <w:pPr>
              <w:pStyle w:val="TableText"/>
              <w:ind w:left="531"/>
              <w:spacing w:before="34" w:line="217" w:lineRule="auto"/>
              <w:rPr/>
            </w:pPr>
            <w:r>
              <w:rPr>
                <w:spacing w:val="6"/>
              </w:rPr>
              <w:t>沼气来源</w:t>
            </w:r>
          </w:p>
        </w:tc>
        <w:tc>
          <w:tcPr>
            <w:tcW w:w="1919" w:type="dxa"/>
            <w:vAlign w:val="top"/>
          </w:tcPr>
          <w:p>
            <w:pPr>
              <w:pStyle w:val="TableText"/>
              <w:ind w:left="117"/>
              <w:spacing w:before="34" w:line="217" w:lineRule="auto"/>
              <w:rPr/>
            </w:pPr>
            <w:r>
              <w:rPr>
                <w:spacing w:val="5"/>
              </w:rPr>
              <w:t>产生量（万</w:t>
            </w:r>
            <w:r>
              <w:rPr>
                <w:spacing w:val="-42"/>
              </w:rPr>
              <w:t xml:space="preserve"> </w:t>
            </w:r>
            <w:r>
              <w:rPr>
                <w:rFonts w:ascii="Times New Roman" w:hAnsi="Times New Roman" w:eastAsia="Times New Roman" w:cs="Times New Roman"/>
                <w:spacing w:val="5"/>
              </w:rPr>
              <w:t>m</w:t>
            </w:r>
            <w:r>
              <w:rPr>
                <w:rFonts w:ascii="Times New Roman" w:hAnsi="Times New Roman" w:eastAsia="Times New Roman" w:cs="Times New Roman"/>
                <w:sz w:val="13"/>
                <w:szCs w:val="13"/>
                <w:spacing w:val="5"/>
                <w:position w:val="6"/>
              </w:rPr>
              <w:t>3</w:t>
            </w:r>
            <w:r>
              <w:rPr>
                <w:rFonts w:ascii="Times New Roman" w:hAnsi="Times New Roman" w:eastAsia="Times New Roman" w:cs="Times New Roman"/>
                <w:spacing w:val="5"/>
              </w:rPr>
              <w:t>/a</w:t>
            </w:r>
            <w:r>
              <w:rPr>
                <w:spacing w:val="5"/>
              </w:rPr>
              <w:t>）</w:t>
            </w:r>
          </w:p>
        </w:tc>
        <w:tc>
          <w:tcPr>
            <w:tcW w:w="1919" w:type="dxa"/>
            <w:vAlign w:val="top"/>
          </w:tcPr>
          <w:p>
            <w:pPr>
              <w:pStyle w:val="TableText"/>
              <w:ind w:left="549"/>
              <w:spacing w:before="34" w:line="217" w:lineRule="auto"/>
              <w:rPr/>
            </w:pPr>
            <w:r>
              <w:rPr>
                <w:spacing w:val="6"/>
              </w:rPr>
              <w:t>沼气去向</w:t>
            </w:r>
          </w:p>
        </w:tc>
        <w:tc>
          <w:tcPr>
            <w:tcW w:w="1851" w:type="dxa"/>
            <w:vAlign w:val="top"/>
          </w:tcPr>
          <w:p>
            <w:pPr>
              <w:pStyle w:val="TableText"/>
              <w:ind w:left="115"/>
              <w:spacing w:before="34" w:line="217" w:lineRule="auto"/>
              <w:rPr/>
            </w:pPr>
            <w:r>
              <w:rPr>
                <w:spacing w:val="5"/>
              </w:rPr>
              <w:t>使用量（万</w:t>
            </w:r>
            <w:r>
              <w:rPr>
                <w:spacing w:val="-41"/>
              </w:rPr>
              <w:t xml:space="preserve"> </w:t>
            </w:r>
            <w:r>
              <w:rPr>
                <w:rFonts w:ascii="Times New Roman" w:hAnsi="Times New Roman" w:eastAsia="Times New Roman" w:cs="Times New Roman"/>
                <w:spacing w:val="5"/>
              </w:rPr>
              <w:t>m</w:t>
            </w:r>
            <w:r>
              <w:rPr>
                <w:rFonts w:ascii="Times New Roman" w:hAnsi="Times New Roman" w:eastAsia="Times New Roman" w:cs="Times New Roman"/>
                <w:sz w:val="13"/>
                <w:szCs w:val="13"/>
                <w:spacing w:val="5"/>
                <w:position w:val="6"/>
              </w:rPr>
              <w:t>3</w:t>
            </w:r>
            <w:r>
              <w:rPr>
                <w:rFonts w:ascii="Times New Roman" w:hAnsi="Times New Roman" w:eastAsia="Times New Roman" w:cs="Times New Roman"/>
                <w:spacing w:val="5"/>
              </w:rPr>
              <w:t>/a</w:t>
            </w:r>
            <w:r>
              <w:rPr>
                <w:spacing w:val="5"/>
              </w:rPr>
              <w:t>）</w:t>
            </w:r>
          </w:p>
        </w:tc>
      </w:tr>
      <w:tr>
        <w:trPr>
          <w:trHeight w:val="276" w:hRule="atLeast"/>
        </w:trPr>
        <w:tc>
          <w:tcPr>
            <w:tcW w:w="1147" w:type="dxa"/>
            <w:vAlign w:val="top"/>
          </w:tcPr>
          <w:p>
            <w:pPr>
              <w:ind w:left="54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886" w:type="dxa"/>
            <w:vAlign w:val="top"/>
          </w:tcPr>
          <w:p>
            <w:pPr>
              <w:pStyle w:val="TableText"/>
              <w:ind w:left="422"/>
              <w:spacing w:before="33" w:line="215" w:lineRule="auto"/>
              <w:rPr/>
            </w:pPr>
            <w:r>
              <w:rPr>
                <w:spacing w:val="7"/>
              </w:rPr>
              <w:t>厌氧发酵罐</w:t>
            </w:r>
          </w:p>
        </w:tc>
        <w:tc>
          <w:tcPr>
            <w:tcW w:w="1919" w:type="dxa"/>
            <w:vAlign w:val="top"/>
          </w:tcPr>
          <w:p>
            <w:pPr>
              <w:ind w:left="78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94.5</w:t>
            </w:r>
          </w:p>
        </w:tc>
        <w:tc>
          <w:tcPr>
            <w:tcW w:w="1919" w:type="dxa"/>
            <w:vAlign w:val="top"/>
          </w:tcPr>
          <w:p>
            <w:pPr>
              <w:pStyle w:val="TableText"/>
              <w:ind w:left="142"/>
              <w:spacing w:before="33" w:line="215" w:lineRule="auto"/>
              <w:rPr/>
            </w:pPr>
            <w:r>
              <w:rPr>
                <w:rFonts w:ascii="Times New Roman" w:hAnsi="Times New Roman" w:eastAsia="Times New Roman" w:cs="Times New Roman"/>
                <w:spacing w:val="6"/>
              </w:rPr>
              <w:t>4t/h </w:t>
            </w:r>
            <w:r>
              <w:rPr>
                <w:spacing w:val="6"/>
              </w:rPr>
              <w:t>燃气蒸汽锅炉</w:t>
            </w:r>
          </w:p>
        </w:tc>
        <w:tc>
          <w:tcPr>
            <w:tcW w:w="1851" w:type="dxa"/>
            <w:vAlign w:val="top"/>
          </w:tcPr>
          <w:p>
            <w:pPr>
              <w:ind w:left="748"/>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94.3</w:t>
            </w:r>
          </w:p>
        </w:tc>
      </w:tr>
      <w:tr>
        <w:trPr>
          <w:trHeight w:val="277" w:hRule="atLeast"/>
        </w:trPr>
        <w:tc>
          <w:tcPr>
            <w:tcW w:w="1147" w:type="dxa"/>
            <w:vAlign w:val="top"/>
          </w:tcPr>
          <w:p>
            <w:pPr>
              <w:ind w:left="52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886" w:type="dxa"/>
            <w:vAlign w:val="top"/>
          </w:tcPr>
          <w:p>
            <w:pPr>
              <w:rPr>
                <w:rFonts w:ascii="Arial"/>
                <w:sz w:val="21"/>
              </w:rPr>
            </w:pPr>
            <w:r/>
          </w:p>
        </w:tc>
        <w:tc>
          <w:tcPr>
            <w:tcW w:w="1919" w:type="dxa"/>
            <w:vAlign w:val="top"/>
          </w:tcPr>
          <w:p>
            <w:pPr>
              <w:rPr>
                <w:rFonts w:ascii="Arial"/>
                <w:sz w:val="21"/>
              </w:rPr>
            </w:pPr>
            <w:r/>
          </w:p>
        </w:tc>
        <w:tc>
          <w:tcPr>
            <w:tcW w:w="1919" w:type="dxa"/>
            <w:vAlign w:val="top"/>
          </w:tcPr>
          <w:p>
            <w:pPr>
              <w:pStyle w:val="TableText"/>
              <w:ind w:left="336"/>
              <w:spacing w:before="35" w:line="214" w:lineRule="auto"/>
              <w:rPr/>
            </w:pPr>
            <w:r>
              <w:rPr>
                <w:spacing w:val="8"/>
              </w:rPr>
              <w:t>应急火炬燃烧</w:t>
            </w:r>
          </w:p>
        </w:tc>
        <w:tc>
          <w:tcPr>
            <w:tcW w:w="1851" w:type="dxa"/>
            <w:vAlign w:val="top"/>
          </w:tcPr>
          <w:p>
            <w:pPr>
              <w:ind w:left="79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r>
      <w:tr>
        <w:trPr>
          <w:trHeight w:val="276" w:hRule="atLeast"/>
        </w:trPr>
        <w:tc>
          <w:tcPr>
            <w:tcW w:w="1147" w:type="dxa"/>
            <w:vAlign w:val="top"/>
          </w:tcPr>
          <w:p>
            <w:pPr>
              <w:pStyle w:val="TableText"/>
              <w:ind w:left="369"/>
              <w:spacing w:before="34" w:line="214" w:lineRule="auto"/>
              <w:rPr/>
            </w:pPr>
            <w:r>
              <w:rPr>
                <w:spacing w:val="4"/>
              </w:rPr>
              <w:t>合计</w:t>
            </w:r>
          </w:p>
        </w:tc>
        <w:tc>
          <w:tcPr>
            <w:tcW w:w="1886" w:type="dxa"/>
            <w:vAlign w:val="top"/>
          </w:tcPr>
          <w:p>
            <w:pPr>
              <w:rPr>
                <w:rFonts w:ascii="Arial"/>
                <w:sz w:val="21"/>
              </w:rPr>
            </w:pPr>
            <w:r/>
          </w:p>
        </w:tc>
        <w:tc>
          <w:tcPr>
            <w:tcW w:w="1919" w:type="dxa"/>
            <w:vAlign w:val="top"/>
          </w:tcPr>
          <w:p>
            <w:pPr>
              <w:ind w:left="78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94.5</w:t>
            </w:r>
          </w:p>
        </w:tc>
        <w:tc>
          <w:tcPr>
            <w:tcW w:w="1919" w:type="dxa"/>
            <w:vAlign w:val="top"/>
          </w:tcPr>
          <w:p>
            <w:pPr>
              <w:rPr>
                <w:rFonts w:ascii="Arial"/>
                <w:sz w:val="21"/>
              </w:rPr>
            </w:pPr>
            <w:r/>
          </w:p>
        </w:tc>
        <w:tc>
          <w:tcPr>
            <w:tcW w:w="1851" w:type="dxa"/>
            <w:vAlign w:val="top"/>
          </w:tcPr>
          <w:p>
            <w:pPr>
              <w:ind w:left="74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94.5</w:t>
            </w:r>
          </w:p>
        </w:tc>
      </w:tr>
      <w:tr>
        <w:trPr>
          <w:trHeight w:val="281" w:hRule="atLeast"/>
        </w:trPr>
        <w:tc>
          <w:tcPr>
            <w:tcW w:w="8722" w:type="dxa"/>
            <w:vAlign w:val="top"/>
            <w:gridSpan w:val="5"/>
          </w:tcPr>
          <w:p>
            <w:pPr>
              <w:pStyle w:val="TableText"/>
              <w:ind w:right="14"/>
              <w:spacing w:before="35" w:line="217" w:lineRule="auto"/>
              <w:jc w:val="right"/>
              <w:rPr/>
            </w:pPr>
            <w:r>
              <w:rPr>
                <w:spacing w:val="4"/>
              </w:rPr>
              <w:t>注：每天沼气产生量为</w:t>
            </w:r>
            <w:r>
              <w:rPr>
                <w:spacing w:val="-33"/>
              </w:rPr>
              <w:t xml:space="preserve"> </w:t>
            </w:r>
            <w:r>
              <w:rPr>
                <w:rFonts w:ascii="Times New Roman" w:hAnsi="Times New Roman" w:eastAsia="Times New Roman" w:cs="Times New Roman"/>
                <w:spacing w:val="4"/>
              </w:rPr>
              <w:t>3150m</w:t>
            </w:r>
            <w:r>
              <w:rPr>
                <w:rFonts w:ascii="Times New Roman" w:hAnsi="Times New Roman" w:eastAsia="Times New Roman" w:cs="Times New Roman"/>
                <w:sz w:val="13"/>
                <w:szCs w:val="13"/>
                <w:spacing w:val="4"/>
                <w:position w:val="6"/>
              </w:rPr>
              <w:t>3</w:t>
            </w:r>
            <w:r>
              <w:rPr>
                <w:rFonts w:ascii="Times New Roman" w:hAnsi="Times New Roman" w:eastAsia="Times New Roman" w:cs="Times New Roman"/>
                <w:spacing w:val="4"/>
              </w:rPr>
              <w:t>/d</w:t>
            </w:r>
            <w:r>
              <w:rPr>
                <w:spacing w:val="4"/>
              </w:rPr>
              <w:t>，年运行</w:t>
            </w:r>
            <w:r>
              <w:rPr>
                <w:spacing w:val="-38"/>
              </w:rPr>
              <w:t xml:space="preserve"> </w:t>
            </w:r>
            <w:r>
              <w:rPr>
                <w:rFonts w:ascii="Times New Roman" w:hAnsi="Times New Roman" w:eastAsia="Times New Roman" w:cs="Times New Roman"/>
                <w:spacing w:val="4"/>
              </w:rPr>
              <w:t>300d </w:t>
            </w:r>
            <w:r>
              <w:rPr>
                <w:spacing w:val="4"/>
              </w:rPr>
              <w:t>计；沼气密度按</w:t>
            </w:r>
            <w:r>
              <w:rPr>
                <w:spacing w:val="-40"/>
              </w:rPr>
              <w:t xml:space="preserve"> </w:t>
            </w:r>
            <w:r>
              <w:rPr>
                <w:rFonts w:ascii="Times New Roman" w:hAnsi="Times New Roman" w:eastAsia="Times New Roman" w:cs="Times New Roman"/>
                <w:spacing w:val="4"/>
              </w:rPr>
              <w:t>0.716g/L</w:t>
            </w:r>
            <w:r>
              <w:rPr>
                <w:spacing w:val="4"/>
              </w:rPr>
              <w:t>，年产沼气</w:t>
            </w:r>
            <w:r>
              <w:rPr>
                <w:spacing w:val="-36"/>
              </w:rPr>
              <w:t xml:space="preserve"> </w:t>
            </w:r>
            <w:r>
              <w:rPr>
                <w:rFonts w:ascii="Times New Roman" w:hAnsi="Times New Roman" w:eastAsia="Times New Roman" w:cs="Times New Roman"/>
                <w:spacing w:val="4"/>
              </w:rPr>
              <w:t>678.62t/a</w:t>
            </w:r>
            <w:r>
              <w:rPr>
                <w:spacing w:val="4"/>
              </w:rPr>
              <w:t>。</w:t>
            </w:r>
          </w:p>
        </w:tc>
      </w:tr>
    </w:tbl>
    <w:p>
      <w:pPr>
        <w:ind w:left="125"/>
        <w:spacing w:before="202" w:line="221" w:lineRule="auto"/>
        <w:outlineLvl w:val="1"/>
        <w:rPr>
          <w:rFonts w:ascii="SimHei" w:hAnsi="SimHei" w:eastAsia="SimHei" w:cs="SimHei"/>
          <w:sz w:val="30"/>
          <w:szCs w:val="30"/>
        </w:rPr>
      </w:pPr>
      <w:bookmarkStart w:name="bookmark65" w:id="82"/>
      <w:bookmarkEnd w:id="82"/>
      <w:r>
        <w:rPr>
          <w:rFonts w:ascii="Times New Roman" w:hAnsi="Times New Roman" w:eastAsia="Times New Roman" w:cs="Times New Roman"/>
          <w:sz w:val="30"/>
          <w:szCs w:val="30"/>
          <w:spacing w:val="-4"/>
        </w:rPr>
        <w:t>3.5</w:t>
      </w:r>
      <w:r>
        <w:rPr>
          <w:rFonts w:ascii="Times New Roman" w:hAnsi="Times New Roman" w:eastAsia="Times New Roman" w:cs="Times New Roman"/>
          <w:sz w:val="30"/>
          <w:szCs w:val="30"/>
          <w:spacing w:val="21"/>
        </w:rPr>
        <w:t xml:space="preserve"> </w:t>
      </w:r>
      <w:r>
        <w:rPr>
          <w:rFonts w:ascii="SimHei" w:hAnsi="SimHei" w:eastAsia="SimHei" w:cs="SimHei"/>
          <w:sz w:val="30"/>
          <w:szCs w:val="30"/>
          <w:spacing w:val="-4"/>
        </w:rPr>
        <w:t>污染源强核算</w:t>
      </w:r>
    </w:p>
    <w:p>
      <w:pPr>
        <w:pStyle w:val="BodyText"/>
        <w:spacing w:line="285" w:lineRule="auto"/>
        <w:rPr/>
      </w:pPr>
      <w:r/>
    </w:p>
    <w:p>
      <w:pPr>
        <w:ind w:left="124"/>
        <w:spacing w:before="91" w:line="222" w:lineRule="auto"/>
        <w:outlineLvl w:val="2"/>
        <w:rPr>
          <w:rFonts w:ascii="SimHei" w:hAnsi="SimHei" w:eastAsia="SimHei" w:cs="SimHei"/>
          <w:sz w:val="28"/>
          <w:szCs w:val="28"/>
        </w:rPr>
      </w:pPr>
      <w:bookmarkStart w:name="bookmark66" w:id="83"/>
      <w:bookmarkEnd w:id="83"/>
      <w:r>
        <w:rPr>
          <w:rFonts w:ascii="Times New Roman" w:hAnsi="Times New Roman" w:eastAsia="Times New Roman" w:cs="Times New Roman"/>
          <w:sz w:val="28"/>
          <w:szCs w:val="28"/>
          <w:spacing w:val="-1"/>
        </w:rPr>
        <w:t>3.5.1 </w:t>
      </w:r>
      <w:r>
        <w:rPr>
          <w:rFonts w:ascii="SimHei" w:hAnsi="SimHei" w:eastAsia="SimHei" w:cs="SimHei"/>
          <w:sz w:val="28"/>
          <w:szCs w:val="28"/>
          <w:spacing w:val="-1"/>
        </w:rPr>
        <w:t>正常工况污染物排放分析</w:t>
      </w:r>
    </w:p>
    <w:p>
      <w:pPr>
        <w:pStyle w:val="BodyText"/>
        <w:rPr/>
      </w:pPr>
      <w:r/>
    </w:p>
    <w:p>
      <w:pPr>
        <w:ind w:left="117"/>
        <w:spacing w:before="78"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3.5.1.1 </w:t>
      </w:r>
      <w:r>
        <w:rPr>
          <w:rFonts w:ascii="SimSun" w:hAnsi="SimSun" w:eastAsia="SimSun" w:cs="SimSun"/>
          <w:sz w:val="24"/>
          <w:szCs w:val="24"/>
          <w:b/>
          <w:bCs/>
          <w:spacing w:val="-2"/>
        </w:rPr>
        <w:t>废气排放分析</w:t>
      </w:r>
    </w:p>
    <w:p>
      <w:pPr>
        <w:ind w:left="621"/>
        <w:spacing w:before="182" w:line="220" w:lineRule="auto"/>
        <w:rPr>
          <w:rFonts w:ascii="SimSun" w:hAnsi="SimSun" w:eastAsia="SimSun" w:cs="SimSun"/>
          <w:sz w:val="24"/>
          <w:szCs w:val="24"/>
        </w:rPr>
      </w:pPr>
      <w:r>
        <w:rPr>
          <w:rFonts w:ascii="Times New Roman" w:hAnsi="Times New Roman" w:eastAsia="Times New Roman" w:cs="Times New Roman"/>
          <w:sz w:val="24"/>
          <w:szCs w:val="24"/>
          <w:spacing w:val="-8"/>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8"/>
        </w:rPr>
        <w:t>、有组织废气</w:t>
      </w:r>
    </w:p>
    <w:p>
      <w:pPr>
        <w:ind w:left="614"/>
        <w:spacing w:before="183"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）洗毛车间开松除杂粉尘（</w:t>
      </w:r>
      <w:r>
        <w:rPr>
          <w:rFonts w:ascii="Times New Roman" w:hAnsi="Times New Roman" w:eastAsia="Times New Roman" w:cs="Times New Roman"/>
          <w:sz w:val="24"/>
          <w:szCs w:val="24"/>
          <w:spacing w:val="-1"/>
        </w:rPr>
        <w:t>G</w:t>
      </w:r>
      <w:r>
        <w:rPr>
          <w:rFonts w:ascii="Times New Roman" w:hAnsi="Times New Roman" w:eastAsia="Times New Roman" w:cs="Times New Roman"/>
          <w:sz w:val="15"/>
          <w:szCs w:val="15"/>
          <w:spacing w:val="-1"/>
          <w:position w:val="-1"/>
        </w:rPr>
        <w:t>1-1-</w:t>
      </w:r>
      <w:r>
        <w:rPr>
          <w:rFonts w:ascii="Times New Roman" w:hAnsi="Times New Roman" w:eastAsia="Times New Roman" w:cs="Times New Roman"/>
          <w:sz w:val="15"/>
          <w:szCs w:val="15"/>
          <w:spacing w:val="-20"/>
          <w:position w:val="-1"/>
        </w:rPr>
        <w:t xml:space="preserve"> </w:t>
      </w:r>
      <w:r>
        <w:rPr>
          <w:rFonts w:ascii="Times New Roman" w:hAnsi="Times New Roman" w:eastAsia="Times New Roman" w:cs="Times New Roman"/>
          <w:sz w:val="15"/>
          <w:szCs w:val="15"/>
          <w:spacing w:val="-1"/>
          <w:position w:val="-1"/>
        </w:rPr>
        <w:t>1~2</w:t>
      </w:r>
      <w:r>
        <w:rPr>
          <w:rFonts w:ascii="SimSun" w:hAnsi="SimSun" w:eastAsia="SimSun" w:cs="SimSun"/>
          <w:sz w:val="24"/>
          <w:szCs w:val="24"/>
          <w:spacing w:val="-1"/>
        </w:rPr>
        <w:t>）</w:t>
      </w:r>
    </w:p>
    <w:p>
      <w:pPr>
        <w:ind w:left="124" w:right="49" w:firstLine="481"/>
        <w:spacing w:before="180" w:line="362" w:lineRule="auto"/>
        <w:rPr>
          <w:rFonts w:ascii="SimSun" w:hAnsi="SimSun" w:eastAsia="SimSun" w:cs="SimSun"/>
          <w:sz w:val="24"/>
          <w:szCs w:val="24"/>
        </w:rPr>
      </w:pPr>
      <w:r>
        <w:rPr>
          <w:rFonts w:ascii="SimSun" w:hAnsi="SimSun" w:eastAsia="SimSun" w:cs="SimSun"/>
          <w:sz w:val="24"/>
          <w:szCs w:val="24"/>
          <w:spacing w:val="-3"/>
        </w:rPr>
        <w:t>项目外购原毛由于自身代谢作用夹杂羊粪、泥土、杂草等杂质，开松除杂时，</w:t>
      </w:r>
      <w:r>
        <w:rPr>
          <w:rFonts w:ascii="SimSun" w:hAnsi="SimSun" w:eastAsia="SimSun" w:cs="SimSun"/>
          <w:sz w:val="24"/>
          <w:szCs w:val="24"/>
          <w:spacing w:val="12"/>
        </w:rPr>
        <w:t xml:space="preserve"> </w:t>
      </w:r>
      <w:r>
        <w:rPr>
          <w:rFonts w:ascii="SimSun" w:hAnsi="SimSun" w:eastAsia="SimSun" w:cs="SimSun"/>
          <w:sz w:val="24"/>
          <w:szCs w:val="24"/>
          <w:spacing w:val="3"/>
        </w:rPr>
        <w:t>主要为去除大块的砂土、杂草、羊粪便等杂质</w:t>
      </w:r>
      <w:r>
        <w:rPr>
          <w:rFonts w:ascii="SimSun" w:hAnsi="SimSun" w:eastAsia="SimSun" w:cs="SimSun"/>
          <w:sz w:val="24"/>
          <w:szCs w:val="24"/>
          <w:spacing w:val="2"/>
        </w:rPr>
        <w:t>，减轻洗毛的负担，参考同类工程</w:t>
      </w:r>
    </w:p>
    <w:p>
      <w:pPr>
        <w:ind w:left="120"/>
        <w:spacing w:before="220" w:line="227" w:lineRule="auto"/>
        <w:rPr>
          <w:rFonts w:ascii="SimSun" w:hAnsi="SimSun" w:eastAsia="SimSun" w:cs="SimSun"/>
          <w:sz w:val="19"/>
          <w:szCs w:val="19"/>
        </w:rPr>
      </w:pPr>
      <w:r>
        <w:pict>
          <v:shape id="_x0000_s468" style="position:absolute;margin-left:164.97pt;margin-top:9.98921pt;mso-position-vertical-relative:text;mso-position-horizontal-relative:text;width:58.85pt;height:13.75pt;z-index:25186201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28"/>
                    </w:rPr>
                    <w:t xml:space="preserve">   </w:t>
                  </w:r>
                  <w:r>
                    <w:rPr>
                      <w:rFonts w:ascii="Times New Roman" w:hAnsi="Times New Roman" w:eastAsia="Times New Roman" w:cs="Times New Roman"/>
                      <w:sz w:val="18"/>
                      <w:szCs w:val="18"/>
                      <w:spacing w:val="3"/>
                      <w:position w:val="2"/>
                    </w:rPr>
                    <w:t>91</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00"/>
          <w:pgSz w:w="11907" w:h="16840"/>
          <w:pgMar w:top="1567" w:right="1591" w:bottom="400" w:left="1588" w:header="1221" w:footer="0" w:gutter="0"/>
        </w:sectPr>
        <w:rPr>
          <w:rFonts w:ascii="SimSun" w:hAnsi="SimSun" w:eastAsia="SimSun" w:cs="SimSun"/>
          <w:sz w:val="19"/>
          <w:szCs w:val="19"/>
        </w:rPr>
      </w:pPr>
    </w:p>
    <w:p>
      <w:pPr>
        <w:ind w:left="9" w:right="6" w:firstLine="1"/>
        <w:spacing w:before="167" w:line="359" w:lineRule="auto"/>
        <w:jc w:val="both"/>
        <w:rPr>
          <w:rFonts w:ascii="SimSun" w:hAnsi="SimSun" w:eastAsia="SimSun" w:cs="SimSun"/>
          <w:sz w:val="24"/>
          <w:szCs w:val="24"/>
        </w:rPr>
      </w:pPr>
      <w:r>
        <w:pict>
          <v:shape id="_x0000_s472" style="position:absolute;margin-left:85.05pt;margin-top:78.87pt;mso-position-vertical-relative:page;mso-position-horizontal-relative:page;width:425.25pt;height:0.75pt;z-index:251865088;" o:allowincell="f" fillcolor="#000000" filled="true" stroked="false" coordsize="8505,15" coordorigin="0,0" path="m,l8505,0l8505,14l0,14l0,0xe"/>
        </w:pict>
      </w:r>
      <w:r>
        <w:rPr>
          <w:rFonts w:ascii="SimSun" w:hAnsi="SimSun" w:eastAsia="SimSun" w:cs="SimSun"/>
          <w:sz w:val="24"/>
          <w:szCs w:val="24"/>
          <w:spacing w:val="3"/>
        </w:rPr>
        <w:t>现场实际运行情况，羊毛基本粘连在一起，原毛开松</w:t>
      </w:r>
      <w:r>
        <w:rPr>
          <w:rFonts w:ascii="SimSun" w:hAnsi="SimSun" w:eastAsia="SimSun" w:cs="SimSun"/>
          <w:sz w:val="24"/>
          <w:szCs w:val="24"/>
          <w:spacing w:val="2"/>
        </w:rPr>
        <w:t>过程中，抖落的砂土也均为</w:t>
      </w:r>
      <w:r>
        <w:rPr>
          <w:rFonts w:ascii="SimSun" w:hAnsi="SimSun" w:eastAsia="SimSun" w:cs="SimSun"/>
          <w:sz w:val="24"/>
          <w:szCs w:val="24"/>
        </w:rPr>
        <w:t xml:space="preserve"> </w:t>
      </w:r>
      <w:r>
        <w:rPr>
          <w:rFonts w:ascii="SimSun" w:hAnsi="SimSun" w:eastAsia="SimSun" w:cs="SimSun"/>
          <w:sz w:val="24"/>
          <w:szCs w:val="24"/>
          <w:spacing w:val="3"/>
        </w:rPr>
        <w:t>湿度较高块状物质，原毛开松除杂过程中产尘量较</w:t>
      </w:r>
      <w:r>
        <w:rPr>
          <w:rFonts w:ascii="SimSun" w:hAnsi="SimSun" w:eastAsia="SimSun" w:cs="SimSun"/>
          <w:sz w:val="24"/>
          <w:szCs w:val="24"/>
          <w:spacing w:val="2"/>
        </w:rPr>
        <w:t>低。根据物料平衡分析，原毛</w:t>
      </w:r>
      <w:r>
        <w:rPr>
          <w:rFonts w:ascii="SimSun" w:hAnsi="SimSun" w:eastAsia="SimSun" w:cs="SimSun"/>
          <w:sz w:val="24"/>
          <w:szCs w:val="24"/>
        </w:rPr>
        <w:t xml:space="preserve"> </w:t>
      </w:r>
      <w:r>
        <w:rPr>
          <w:rFonts w:ascii="SimSun" w:hAnsi="SimSun" w:eastAsia="SimSun" w:cs="SimSun"/>
          <w:sz w:val="24"/>
          <w:szCs w:val="24"/>
          <w:spacing w:val="-1"/>
        </w:rPr>
        <w:t>开松除杂工序粉尘产生量约为原毛量的</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0.0005%</w:t>
      </w:r>
      <w:r>
        <w:rPr>
          <w:rFonts w:ascii="SimSun" w:hAnsi="SimSun" w:eastAsia="SimSun" w:cs="SimSun"/>
          <w:sz w:val="24"/>
          <w:szCs w:val="24"/>
          <w:spacing w:val="-1"/>
        </w:rPr>
        <w:t>。</w:t>
      </w:r>
    </w:p>
    <w:p>
      <w:pPr>
        <w:ind w:left="10" w:firstLine="480"/>
        <w:spacing w:before="3" w:line="359" w:lineRule="auto"/>
        <w:jc w:val="both"/>
        <w:rPr>
          <w:rFonts w:ascii="SimSun" w:hAnsi="SimSun" w:eastAsia="SimSun" w:cs="SimSun"/>
          <w:sz w:val="24"/>
          <w:szCs w:val="24"/>
        </w:rPr>
      </w:pPr>
      <w:r>
        <w:rPr>
          <w:rFonts w:ascii="SimSun" w:hAnsi="SimSun" w:eastAsia="SimSun" w:cs="SimSun"/>
          <w:sz w:val="24"/>
          <w:szCs w:val="24"/>
        </w:rPr>
        <w:t>本项目年消耗原毛量为</w:t>
      </w:r>
      <w:r>
        <w:rPr>
          <w:rFonts w:ascii="SimSun" w:hAnsi="SimSun" w:eastAsia="SimSun" w:cs="SimSun"/>
          <w:sz w:val="24"/>
          <w:szCs w:val="24"/>
          <w:spacing w:val="-36"/>
        </w:rPr>
        <w:t xml:space="preserve"> </w:t>
      </w:r>
      <w:r>
        <w:rPr>
          <w:rFonts w:ascii="Times New Roman" w:hAnsi="Times New Roman" w:eastAsia="Times New Roman" w:cs="Times New Roman"/>
          <w:sz w:val="24"/>
          <w:szCs w:val="24"/>
        </w:rPr>
        <w:t>30000</w:t>
      </w:r>
      <w:r>
        <w:rPr>
          <w:rFonts w:ascii="Times New Roman" w:hAnsi="Times New Roman" w:eastAsia="Times New Roman" w:cs="Times New Roman"/>
          <w:sz w:val="24"/>
          <w:szCs w:val="24"/>
          <w:spacing w:val="26"/>
        </w:rPr>
        <w:t xml:space="preserve"> </w:t>
      </w:r>
      <w:r>
        <w:rPr>
          <w:rFonts w:ascii="SimSun" w:hAnsi="SimSun" w:eastAsia="SimSun" w:cs="SimSun"/>
          <w:sz w:val="24"/>
          <w:szCs w:val="24"/>
        </w:rPr>
        <w:t>吨，开松除杂粉尘产生量为</w:t>
      </w:r>
      <w:r>
        <w:rPr>
          <w:rFonts w:ascii="SimSun" w:hAnsi="SimSun" w:eastAsia="SimSun" w:cs="SimSun"/>
          <w:sz w:val="24"/>
          <w:szCs w:val="24"/>
          <w:spacing w:val="-47"/>
        </w:rPr>
        <w:t xml:space="preserve"> </w:t>
      </w:r>
      <w:r>
        <w:rPr>
          <w:rFonts w:ascii="Times New Roman" w:hAnsi="Times New Roman" w:eastAsia="Times New Roman" w:cs="Times New Roman"/>
          <w:sz w:val="24"/>
          <w:szCs w:val="24"/>
        </w:rPr>
        <w:t>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rPr>
        <w:t>15t/a</w:t>
      </w:r>
      <w:r>
        <w:rPr>
          <w:rFonts w:ascii="SimSun" w:hAnsi="SimSun" w:eastAsia="SimSun" w:cs="SimSun"/>
          <w:sz w:val="24"/>
          <w:szCs w:val="24"/>
        </w:rPr>
        <w:t>（本项目设 </w:t>
      </w:r>
      <w:r>
        <w:rPr>
          <w:rFonts w:ascii="SimSun" w:hAnsi="SimSun" w:eastAsia="SimSun" w:cs="SimSun"/>
          <w:sz w:val="24"/>
          <w:szCs w:val="24"/>
          <w:spacing w:val="2"/>
        </w:rPr>
        <w:t>有两座洗毛车间，东西厂区各一座</w:t>
      </w:r>
      <w:r>
        <w:rPr>
          <w:rFonts w:ascii="SimSun" w:hAnsi="SimSun" w:eastAsia="SimSun" w:cs="SimSun"/>
          <w:sz w:val="24"/>
          <w:szCs w:val="24"/>
          <w:spacing w:val="12"/>
        </w:rPr>
        <w:t>），</w:t>
      </w:r>
      <w:r>
        <w:rPr>
          <w:rFonts w:ascii="SimSun" w:hAnsi="SimSun" w:eastAsia="SimSun" w:cs="SimSun"/>
          <w:sz w:val="24"/>
          <w:szCs w:val="24"/>
          <w:spacing w:val="2"/>
        </w:rPr>
        <w:t>每个洗毛车间开松机上方安装一套布袋除</w:t>
      </w:r>
      <w:r>
        <w:rPr>
          <w:rFonts w:ascii="SimSun" w:hAnsi="SimSun" w:eastAsia="SimSun" w:cs="SimSun"/>
          <w:sz w:val="24"/>
          <w:szCs w:val="24"/>
          <w:spacing w:val="1"/>
        </w:rPr>
        <w:t xml:space="preserve"> </w:t>
      </w:r>
      <w:r>
        <w:rPr>
          <w:rFonts w:ascii="SimSun" w:hAnsi="SimSun" w:eastAsia="SimSun" w:cs="SimSun"/>
          <w:sz w:val="24"/>
          <w:szCs w:val="24"/>
          <w:spacing w:val="-1"/>
        </w:rPr>
        <w:t>尘器，集气罩收集效率</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90%</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，颗粒物去除效率</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99%</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。东厂区除杂粉尘经一套布袋</w:t>
      </w:r>
      <w:r>
        <w:rPr>
          <w:rFonts w:ascii="SimSun" w:hAnsi="SimSun" w:eastAsia="SimSun" w:cs="SimSun"/>
          <w:sz w:val="24"/>
          <w:szCs w:val="24"/>
        </w:rPr>
        <w:t xml:space="preserve"> </w:t>
      </w:r>
      <w:r>
        <w:rPr>
          <w:rFonts w:ascii="SimSun" w:hAnsi="SimSun" w:eastAsia="SimSun" w:cs="SimSun"/>
          <w:sz w:val="24"/>
          <w:szCs w:val="24"/>
          <w:spacing w:val="-3"/>
        </w:rPr>
        <w:t>除尘器装置处理后通过</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15m</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3"/>
        </w:rPr>
        <w:t>高排气筒排放（</w:t>
      </w:r>
      <w:r>
        <w:rPr>
          <w:rFonts w:ascii="Times New Roman" w:hAnsi="Times New Roman" w:eastAsia="Times New Roman" w:cs="Times New Roman"/>
          <w:sz w:val="24"/>
          <w:szCs w:val="24"/>
          <w:spacing w:val="-3"/>
        </w:rPr>
        <w:t>DA001</w:t>
      </w:r>
      <w:r>
        <w:rPr>
          <w:rFonts w:ascii="SimSun" w:hAnsi="SimSun" w:eastAsia="SimSun" w:cs="SimSun"/>
          <w:sz w:val="24"/>
          <w:szCs w:val="24"/>
          <w:spacing w:val="5"/>
        </w:rPr>
        <w:t>），</w:t>
      </w:r>
      <w:r>
        <w:rPr>
          <w:rFonts w:ascii="SimSun" w:hAnsi="SimSun" w:eastAsia="SimSun" w:cs="SimSun"/>
          <w:sz w:val="24"/>
          <w:szCs w:val="24"/>
          <w:spacing w:val="-3"/>
        </w:rPr>
        <w:t>粉尘排放量为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w:t>
      </w:r>
      <w:r>
        <w:rPr>
          <w:rFonts w:ascii="Times New Roman" w:hAnsi="Times New Roman" w:eastAsia="Times New Roman" w:cs="Times New Roman"/>
          <w:sz w:val="24"/>
          <w:szCs w:val="24"/>
          <w:spacing w:val="-4"/>
        </w:rPr>
        <w:t>00067t/a</w:t>
      </w:r>
      <w:r>
        <w:rPr>
          <w:rFonts w:ascii="SimSun" w:hAnsi="SimSun" w:eastAsia="SimSun" w:cs="SimSun"/>
          <w:sz w:val="24"/>
          <w:szCs w:val="24"/>
          <w:spacing w:val="-4"/>
        </w:rPr>
        <w:t>；</w:t>
      </w:r>
      <w:r>
        <w:rPr>
          <w:rFonts w:ascii="SimSun" w:hAnsi="SimSun" w:eastAsia="SimSun" w:cs="SimSun"/>
          <w:sz w:val="24"/>
          <w:szCs w:val="24"/>
        </w:rPr>
        <w:t xml:space="preserve"> </w:t>
      </w:r>
      <w:r>
        <w:rPr>
          <w:rFonts w:ascii="SimSun" w:hAnsi="SimSun" w:eastAsia="SimSun" w:cs="SimSun"/>
          <w:sz w:val="24"/>
          <w:szCs w:val="24"/>
          <w:spacing w:val="-1"/>
        </w:rPr>
        <w:t>西厂区除杂粉尘经</w:t>
      </w:r>
      <w:r>
        <w:rPr>
          <w:shd w:val="clear" w:fill="00FFFF"/>
          <w:rFonts w:ascii="SimSun" w:hAnsi="SimSun" w:eastAsia="SimSun" w:cs="SimSun"/>
          <w:sz w:val="24"/>
          <w:szCs w:val="24"/>
          <w:spacing w:val="-1"/>
        </w:rPr>
        <w:t>一套布袋除尘器处理后通过</w:t>
      </w:r>
      <w:r>
        <w:rPr>
          <w:shd w:val="clear" w:fill="00FFFF"/>
          <w:rFonts w:ascii="SimSun" w:hAnsi="SimSun" w:eastAsia="SimSun" w:cs="SimSun"/>
          <w:sz w:val="24"/>
          <w:szCs w:val="24"/>
          <w:spacing w:val="-31"/>
        </w:rPr>
        <w:t xml:space="preserve"> </w:t>
      </w:r>
      <w:r>
        <w:rPr>
          <w:shd w:val="clear" w:fill="00FFFF"/>
          <w:rFonts w:ascii="Times New Roman" w:hAnsi="Times New Roman" w:eastAsia="Times New Roman" w:cs="Times New Roman"/>
          <w:sz w:val="24"/>
          <w:szCs w:val="24"/>
          <w:spacing w:val="-1"/>
        </w:rPr>
        <w:t>15m</w:t>
      </w:r>
      <w:r>
        <w:rPr>
          <w:shd w:val="clear" w:fill="00FFFF"/>
          <w:rFonts w:ascii="Times New Roman" w:hAnsi="Times New Roman" w:eastAsia="Times New Roman" w:cs="Times New Roman"/>
          <w:sz w:val="24"/>
          <w:szCs w:val="24"/>
          <w:spacing w:val="19"/>
        </w:rPr>
        <w:t xml:space="preserve"> </w:t>
      </w:r>
      <w:r>
        <w:rPr>
          <w:shd w:val="clear" w:fill="00FFFF"/>
          <w:rFonts w:ascii="SimSun" w:hAnsi="SimSun" w:eastAsia="SimSun" w:cs="SimSun"/>
          <w:sz w:val="24"/>
          <w:szCs w:val="24"/>
          <w:spacing w:val="-1"/>
        </w:rPr>
        <w:t>高排气筒排放（</w:t>
      </w:r>
      <w:r>
        <w:rPr>
          <w:shd w:val="clear" w:fill="00FFFF"/>
          <w:rFonts w:ascii="Times New Roman" w:hAnsi="Times New Roman" w:eastAsia="Times New Roman" w:cs="Times New Roman"/>
          <w:sz w:val="24"/>
          <w:szCs w:val="24"/>
          <w:spacing w:val="-1"/>
        </w:rPr>
        <w:t>DA002</w:t>
      </w:r>
      <w:r>
        <w:rPr>
          <w:shd w:val="clear" w:fill="00FFFF"/>
          <w:rFonts w:ascii="SimSun" w:hAnsi="SimSun" w:eastAsia="SimSun" w:cs="SimSun"/>
          <w:sz w:val="24"/>
          <w:szCs w:val="24"/>
          <w:spacing w:val="13"/>
        </w:rPr>
        <w:t>），</w:t>
      </w:r>
      <w:r>
        <w:rPr>
          <w:shd w:val="clear" w:fill="00FFFF"/>
          <w:rFonts w:ascii="SimSun" w:hAnsi="SimSun" w:eastAsia="SimSun" w:cs="SimSun"/>
          <w:sz w:val="24"/>
          <w:szCs w:val="24"/>
          <w:spacing w:val="-1"/>
        </w:rPr>
        <w:t>粉</w:t>
      </w:r>
      <w:r>
        <w:rPr>
          <w:rFonts w:ascii="SimSun" w:hAnsi="SimSun" w:eastAsia="SimSun" w:cs="SimSun"/>
          <w:sz w:val="24"/>
          <w:szCs w:val="24"/>
        </w:rPr>
        <w:t xml:space="preserve"> </w:t>
      </w:r>
      <w:r>
        <w:rPr>
          <w:shd w:val="clear" w:fill="00FFFF"/>
          <w:rFonts w:ascii="SimSun" w:hAnsi="SimSun" w:eastAsia="SimSun" w:cs="SimSun"/>
          <w:sz w:val="24"/>
          <w:szCs w:val="24"/>
          <w:spacing w:val="-2"/>
        </w:rPr>
        <w:t>尘排放量为</w:t>
      </w:r>
      <w:r>
        <w:rPr>
          <w:shd w:val="clear" w:fill="00FFFF"/>
          <w:rFonts w:ascii="SimSun" w:hAnsi="SimSun" w:eastAsia="SimSun" w:cs="SimSun"/>
          <w:sz w:val="24"/>
          <w:szCs w:val="24"/>
          <w:spacing w:val="-39"/>
        </w:rPr>
        <w:t xml:space="preserve"> </w:t>
      </w:r>
      <w:r>
        <w:rPr>
          <w:shd w:val="clear" w:fill="00FFFF"/>
          <w:rFonts w:ascii="Times New Roman" w:hAnsi="Times New Roman" w:eastAsia="Times New Roman" w:cs="Times New Roman"/>
          <w:sz w:val="24"/>
          <w:szCs w:val="24"/>
          <w:spacing w:val="-2"/>
        </w:rPr>
        <w:t>0.00067t/a</w:t>
      </w:r>
      <w:r>
        <w:rPr>
          <w:shd w:val="clear" w:fill="00FFFF"/>
          <w:rFonts w:ascii="Times New Roman" w:hAnsi="Times New Roman" w:eastAsia="Times New Roman" w:cs="Times New Roman"/>
          <w:sz w:val="24"/>
          <w:szCs w:val="24"/>
          <w:spacing w:val="-30"/>
        </w:rPr>
        <w:t xml:space="preserve"> </w:t>
      </w:r>
      <w:r>
        <w:rPr>
          <w:shd w:val="clear" w:fill="00FFFF"/>
          <w:rFonts w:ascii="SimSun" w:hAnsi="SimSun" w:eastAsia="SimSun" w:cs="SimSun"/>
          <w:sz w:val="24"/>
          <w:szCs w:val="24"/>
          <w:spacing w:val="-2"/>
        </w:rPr>
        <w:t>。</w:t>
      </w:r>
    </w:p>
    <w:p>
      <w:pPr>
        <w:ind w:left="501"/>
        <w:spacing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）废水收集池等恶臭气体（</w:t>
      </w:r>
      <w:r>
        <w:rPr>
          <w:rFonts w:ascii="Times New Roman" w:hAnsi="Times New Roman" w:eastAsia="Times New Roman" w:cs="Times New Roman"/>
          <w:sz w:val="24"/>
          <w:szCs w:val="24"/>
          <w:spacing w:val="-1"/>
        </w:rPr>
        <w:t>G</w:t>
      </w:r>
      <w:r>
        <w:rPr>
          <w:rFonts w:ascii="Times New Roman" w:hAnsi="Times New Roman" w:eastAsia="Times New Roman" w:cs="Times New Roman"/>
          <w:sz w:val="15"/>
          <w:szCs w:val="15"/>
          <w:spacing w:val="-1"/>
          <w:position w:val="-1"/>
        </w:rPr>
        <w:t>3-1</w:t>
      </w:r>
      <w:r>
        <w:rPr>
          <w:rFonts w:ascii="SimSun" w:hAnsi="SimSun" w:eastAsia="SimSun" w:cs="SimSun"/>
          <w:sz w:val="24"/>
          <w:szCs w:val="24"/>
          <w:spacing w:val="-1"/>
        </w:rPr>
        <w:t>）</w:t>
      </w:r>
    </w:p>
    <w:p>
      <w:pPr>
        <w:ind w:left="8" w:right="66" w:firstLine="481"/>
        <w:spacing w:before="180" w:line="359" w:lineRule="auto"/>
        <w:rPr>
          <w:rFonts w:ascii="SimSun" w:hAnsi="SimSun" w:eastAsia="SimSun" w:cs="SimSun"/>
          <w:sz w:val="24"/>
          <w:szCs w:val="24"/>
        </w:rPr>
      </w:pPr>
      <w:r>
        <w:rPr>
          <w:rFonts w:ascii="SimSun" w:hAnsi="SimSun" w:eastAsia="SimSun" w:cs="SimSun"/>
          <w:sz w:val="24"/>
          <w:szCs w:val="24"/>
          <w:spacing w:val="-2"/>
        </w:rPr>
        <w:t>本项目废水收集池、</w:t>
      </w:r>
      <w:r>
        <w:rPr>
          <w:rFonts w:ascii="Times New Roman" w:hAnsi="Times New Roman" w:eastAsia="Times New Roman" w:cs="Times New Roman"/>
          <w:sz w:val="24"/>
          <w:szCs w:val="24"/>
          <w:spacing w:val="-2"/>
        </w:rPr>
        <w:t>TS </w:t>
      </w:r>
      <w:r>
        <w:rPr>
          <w:rFonts w:ascii="SimSun" w:hAnsi="SimSun" w:eastAsia="SimSun" w:cs="SimSun"/>
          <w:sz w:val="24"/>
          <w:szCs w:val="24"/>
          <w:spacing w:val="-2"/>
        </w:rPr>
        <w:t>调节池、固液分离池、沼液池等在西厂区洗毛车间，</w:t>
      </w:r>
      <w:r>
        <w:rPr>
          <w:rFonts w:ascii="SimSun" w:hAnsi="SimSun" w:eastAsia="SimSun" w:cs="SimSun"/>
          <w:sz w:val="24"/>
          <w:szCs w:val="24"/>
          <w:spacing w:val="3"/>
        </w:rPr>
        <w:t xml:space="preserve"> </w:t>
      </w:r>
      <w:r>
        <w:rPr>
          <w:rFonts w:ascii="SimSun" w:hAnsi="SimSun" w:eastAsia="SimSun" w:cs="SimSun"/>
          <w:sz w:val="24"/>
          <w:szCs w:val="24"/>
          <w:spacing w:val="-2"/>
        </w:rPr>
        <w:t>会产生恶臭气体。</w:t>
      </w:r>
    </w:p>
    <w:p>
      <w:pPr>
        <w:ind w:left="9" w:right="8" w:firstLine="479"/>
        <w:spacing w:line="358" w:lineRule="auto"/>
        <w:jc w:val="both"/>
        <w:rPr>
          <w:rFonts w:ascii="SimSun" w:hAnsi="SimSun" w:eastAsia="SimSun" w:cs="SimSun"/>
          <w:sz w:val="24"/>
          <w:szCs w:val="24"/>
        </w:rPr>
      </w:pPr>
      <w:r>
        <w:rPr>
          <w:rFonts w:ascii="SimSun" w:hAnsi="SimSun" w:eastAsia="SimSun" w:cs="SimSun"/>
          <w:sz w:val="24"/>
          <w:szCs w:val="24"/>
          <w:spacing w:val="3"/>
        </w:rPr>
        <w:t>废水收集池等恶臭气体类比《内蒙古圣地牧业奶牛养殖园区类</w:t>
      </w:r>
      <w:r>
        <w:rPr>
          <w:rFonts w:ascii="SimSun" w:hAnsi="SimSun" w:eastAsia="SimSun" w:cs="SimSun"/>
          <w:sz w:val="24"/>
          <w:szCs w:val="24"/>
          <w:spacing w:val="2"/>
        </w:rPr>
        <w:t>污资源化处理</w:t>
      </w:r>
      <w:r>
        <w:rPr>
          <w:rFonts w:ascii="SimSun" w:hAnsi="SimSun" w:eastAsia="SimSun" w:cs="SimSun"/>
          <w:sz w:val="24"/>
          <w:szCs w:val="24"/>
        </w:rPr>
        <w:t xml:space="preserve"> </w:t>
      </w:r>
      <w:r>
        <w:rPr>
          <w:rFonts w:ascii="SimSun" w:hAnsi="SimSun" w:eastAsia="SimSun" w:cs="SimSun"/>
          <w:sz w:val="24"/>
          <w:szCs w:val="24"/>
          <w:spacing w:val="-2"/>
        </w:rPr>
        <w:t>扩建项目</w:t>
      </w:r>
      <w:r>
        <w:rPr>
          <w:rFonts w:ascii="Times New Roman" w:hAnsi="Times New Roman" w:eastAsia="Times New Roman" w:cs="Times New Roman"/>
          <w:sz w:val="24"/>
          <w:szCs w:val="24"/>
          <w:spacing w:val="-2"/>
        </w:rPr>
        <w:t>(</w:t>
      </w:r>
      <w:r>
        <w:rPr>
          <w:rFonts w:ascii="SimSun" w:hAnsi="SimSun" w:eastAsia="SimSun" w:cs="SimSun"/>
          <w:sz w:val="24"/>
          <w:szCs w:val="24"/>
          <w:spacing w:val="-2"/>
        </w:rPr>
        <w:t>一期</w:t>
      </w:r>
      <w:r>
        <w:rPr>
          <w:rFonts w:ascii="Times New Roman" w:hAnsi="Times New Roman" w:eastAsia="Times New Roman" w:cs="Times New Roman"/>
          <w:sz w:val="24"/>
          <w:szCs w:val="24"/>
          <w:spacing w:val="-2"/>
        </w:rPr>
        <w:t>)</w:t>
      </w:r>
      <w:r>
        <w:rPr>
          <w:rFonts w:ascii="SimSun" w:hAnsi="SimSun" w:eastAsia="SimSun" w:cs="SimSun"/>
          <w:sz w:val="24"/>
          <w:szCs w:val="24"/>
          <w:spacing w:val="-2"/>
        </w:rPr>
        <w:t>环境影响报告表》固液分离间产生的恶臭产生源强，该项目位于内</w:t>
      </w:r>
      <w:r>
        <w:rPr>
          <w:rFonts w:ascii="SimSun" w:hAnsi="SimSun" w:eastAsia="SimSun" w:cs="SimSun"/>
          <w:sz w:val="24"/>
          <w:szCs w:val="24"/>
          <w:spacing w:val="4"/>
        </w:rPr>
        <w:t xml:space="preserve"> </w:t>
      </w:r>
      <w:r>
        <w:rPr>
          <w:rFonts w:ascii="SimSun" w:hAnsi="SimSun" w:eastAsia="SimSun" w:cs="SimSun"/>
          <w:sz w:val="24"/>
          <w:szCs w:val="24"/>
          <w:spacing w:val="-1"/>
        </w:rPr>
        <w:t>蒙古清水河县，采用</w:t>
      </w:r>
      <w:r>
        <w:rPr>
          <w:rFonts w:ascii="SimSun" w:hAnsi="SimSun" w:eastAsia="SimSun" w:cs="SimSun"/>
          <w:sz w:val="24"/>
          <w:szCs w:val="24"/>
          <w:spacing w:val="-14"/>
        </w:rPr>
        <w:t xml:space="preserve"> </w:t>
      </w:r>
      <w:r>
        <w:rPr>
          <w:rFonts w:ascii="Times New Roman" w:hAnsi="Times New Roman" w:eastAsia="Times New Roman" w:cs="Times New Roman"/>
          <w:sz w:val="24"/>
          <w:szCs w:val="24"/>
          <w:spacing w:val="-1"/>
        </w:rPr>
        <w:t>10000m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15"/>
          <w:szCs w:val="15"/>
          <w:spacing w:val="15"/>
          <w:w w:val="101"/>
          <w:position w:val="7"/>
        </w:rPr>
        <w:t xml:space="preserve"> </w:t>
      </w:r>
      <w:r>
        <w:rPr>
          <w:rFonts w:ascii="SimSun" w:hAnsi="SimSun" w:eastAsia="SimSun" w:cs="SimSun"/>
          <w:sz w:val="24"/>
          <w:szCs w:val="24"/>
          <w:spacing w:val="-1"/>
        </w:rPr>
        <w:t>厌氧发酵罐处理养牛场畜禽粪污，</w:t>
      </w:r>
      <w:r>
        <w:rPr>
          <w:rFonts w:ascii="Times New Roman" w:hAnsi="Times New Roman" w:eastAsia="Times New Roman" w:cs="Times New Roman"/>
          <w:sz w:val="24"/>
          <w:szCs w:val="24"/>
          <w:spacing w:val="-1"/>
        </w:rPr>
        <w:t>TS6%-8%</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1"/>
        </w:rPr>
        <w:t>，与本</w:t>
      </w:r>
      <w:r>
        <w:rPr>
          <w:rFonts w:ascii="SimSun" w:hAnsi="SimSun" w:eastAsia="SimSun" w:cs="SimSun"/>
          <w:sz w:val="24"/>
          <w:szCs w:val="24"/>
        </w:rPr>
        <w:t xml:space="preserve"> </w:t>
      </w:r>
      <w:r>
        <w:rPr>
          <w:rFonts w:ascii="SimSun" w:hAnsi="SimSun" w:eastAsia="SimSun" w:cs="SimSun"/>
          <w:sz w:val="24"/>
          <w:szCs w:val="24"/>
          <w:spacing w:val="3"/>
        </w:rPr>
        <w:t>项目处理工艺相似，类比可行。同时参照同类洗毛</w:t>
      </w:r>
      <w:r>
        <w:rPr>
          <w:rFonts w:ascii="SimSun" w:hAnsi="SimSun" w:eastAsia="SimSun" w:cs="SimSun"/>
          <w:sz w:val="24"/>
          <w:szCs w:val="24"/>
          <w:spacing w:val="2"/>
        </w:rPr>
        <w:t>企业污水处理站恶臭因子的产</w:t>
      </w:r>
      <w:r>
        <w:rPr>
          <w:rFonts w:ascii="SimSun" w:hAnsi="SimSun" w:eastAsia="SimSun" w:cs="SimSun"/>
          <w:sz w:val="24"/>
          <w:szCs w:val="24"/>
        </w:rPr>
        <w:t xml:space="preserve"> </w:t>
      </w:r>
      <w:r>
        <w:rPr>
          <w:rFonts w:ascii="SimSun" w:hAnsi="SimSun" w:eastAsia="SimSun" w:cs="SimSun"/>
          <w:sz w:val="24"/>
          <w:szCs w:val="24"/>
          <w:spacing w:val="-3"/>
        </w:rPr>
        <w:t>生源强，产生系数为</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3"/>
        </w:rPr>
        <w:t>NH</w:t>
      </w:r>
      <w:r>
        <w:rPr>
          <w:rFonts w:ascii="Times New Roman" w:hAnsi="Times New Roman" w:eastAsia="Times New Roman" w:cs="Times New Roman"/>
          <w:sz w:val="15"/>
          <w:szCs w:val="15"/>
          <w:spacing w:val="-3"/>
          <w:position w:val="-1"/>
        </w:rPr>
        <w:t>3</w:t>
      </w:r>
      <w:r>
        <w:rPr>
          <w:rFonts w:ascii="Times New Roman" w:hAnsi="Times New Roman" w:eastAsia="Times New Roman" w:cs="Times New Roman"/>
          <w:sz w:val="15"/>
          <w:szCs w:val="15"/>
          <w:spacing w:val="-9"/>
          <w:position w:val="-1"/>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0.24-1.2mg/s</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15"/>
          <w:szCs w:val="15"/>
          <w:spacing w:val="-12"/>
          <w:position w:val="7"/>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H</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15"/>
          <w:szCs w:val="15"/>
          <w:spacing w:val="-22"/>
          <w:position w:val="-1"/>
        </w:rPr>
        <w:t xml:space="preserve"> </w:t>
      </w:r>
      <w:r>
        <w:rPr>
          <w:rFonts w:ascii="Times New Roman" w:hAnsi="Times New Roman" w:eastAsia="Times New Roman" w:cs="Times New Roman"/>
          <w:sz w:val="24"/>
          <w:szCs w:val="24"/>
          <w:spacing w:val="-3"/>
        </w:rPr>
        <w:t>S</w:t>
      </w:r>
      <w:r>
        <w:rPr>
          <w:rFonts w:ascii="SimSun" w:hAnsi="SimSun" w:eastAsia="SimSun" w:cs="SimSun"/>
          <w:sz w:val="24"/>
          <w:szCs w:val="24"/>
          <w:spacing w:val="-3"/>
        </w:rPr>
        <w:t>：</w:t>
      </w:r>
      <w:r>
        <w:rPr>
          <w:rFonts w:ascii="Times New Roman" w:hAnsi="Times New Roman" w:eastAsia="Times New Roman" w:cs="Times New Roman"/>
          <w:sz w:val="24"/>
          <w:szCs w:val="24"/>
          <w:spacing w:val="-3"/>
        </w:rPr>
        <w:t>0.012-0</w:t>
      </w:r>
      <w:r>
        <w:rPr>
          <w:rFonts w:ascii="Times New Roman" w:hAnsi="Times New Roman" w:eastAsia="Times New Roman" w:cs="Times New Roman"/>
          <w:sz w:val="24"/>
          <w:szCs w:val="24"/>
          <w:spacing w:val="-4"/>
        </w:rPr>
        <w:t>.072mg/s</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5"/>
          <w:szCs w:val="15"/>
          <w:spacing w:val="-4"/>
          <w:position w:val="7"/>
        </w:rPr>
        <w:t>2 </w:t>
      </w:r>
      <w:r>
        <w:rPr>
          <w:rFonts w:ascii="SimSun" w:hAnsi="SimSun" w:eastAsia="SimSun" w:cs="SimSun"/>
          <w:sz w:val="24"/>
          <w:szCs w:val="24"/>
          <w:spacing w:val="-4"/>
        </w:rPr>
        <w:t>。本项目取</w:t>
      </w:r>
      <w:r>
        <w:rPr>
          <w:rFonts w:ascii="SimSun" w:hAnsi="SimSun" w:eastAsia="SimSun" w:cs="SimSun"/>
          <w:sz w:val="24"/>
          <w:szCs w:val="24"/>
        </w:rPr>
        <w:t xml:space="preserve"> </w:t>
      </w:r>
      <w:r>
        <w:rPr>
          <w:rFonts w:ascii="SimSun" w:hAnsi="SimSun" w:eastAsia="SimSun" w:cs="SimSun"/>
          <w:sz w:val="24"/>
          <w:szCs w:val="24"/>
          <w:spacing w:val="-3"/>
        </w:rPr>
        <w:t>最大值，产生系数为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NH</w:t>
      </w:r>
      <w:r>
        <w:rPr>
          <w:rFonts w:ascii="Times New Roman" w:hAnsi="Times New Roman" w:eastAsia="Times New Roman" w:cs="Times New Roman"/>
          <w:sz w:val="15"/>
          <w:szCs w:val="15"/>
          <w:spacing w:val="-3"/>
          <w:position w:val="-1"/>
        </w:rPr>
        <w:t>3</w:t>
      </w:r>
      <w:r>
        <w:rPr>
          <w:rFonts w:ascii="Times New Roman" w:hAnsi="Times New Roman" w:eastAsia="Times New Roman" w:cs="Times New Roman"/>
          <w:sz w:val="15"/>
          <w:szCs w:val="15"/>
          <w:spacing w:val="-9"/>
          <w:position w:val="-1"/>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1.2mg/s</w:t>
      </w:r>
      <w:r>
        <w:rPr>
          <w:rFonts w:ascii="Times New Roman" w:hAnsi="Times New Roman" w:eastAsia="Times New Roman" w:cs="Times New Roman"/>
          <w:sz w:val="24"/>
          <w:szCs w:val="24"/>
          <w:spacing w:val="-30"/>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15"/>
          <w:szCs w:val="15"/>
          <w:spacing w:val="-12"/>
          <w:position w:val="7"/>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H</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24"/>
          <w:szCs w:val="24"/>
          <w:spacing w:val="-3"/>
        </w:rPr>
        <w:t>S</w:t>
      </w:r>
      <w:r>
        <w:rPr>
          <w:rFonts w:ascii="SimSun" w:hAnsi="SimSun" w:eastAsia="SimSun" w:cs="SimSun"/>
          <w:sz w:val="24"/>
          <w:szCs w:val="24"/>
          <w:spacing w:val="-3"/>
        </w:rPr>
        <w:t>：</w:t>
      </w:r>
      <w:r>
        <w:rPr>
          <w:rFonts w:ascii="Times New Roman" w:hAnsi="Times New Roman" w:eastAsia="Times New Roman" w:cs="Times New Roman"/>
          <w:sz w:val="24"/>
          <w:szCs w:val="24"/>
          <w:spacing w:val="-3"/>
        </w:rPr>
        <w:t>0.072mg/s</w:t>
      </w:r>
      <w:r>
        <w:rPr>
          <w:rFonts w:ascii="Times New Roman" w:hAnsi="Times New Roman" w:eastAsia="Times New Roman" w:cs="Times New Roman"/>
          <w:sz w:val="24"/>
          <w:szCs w:val="24"/>
          <w:spacing w:val="-30"/>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5"/>
          <w:szCs w:val="15"/>
          <w:spacing w:val="-3"/>
          <w:position w:val="7"/>
        </w:rPr>
        <w:t>2</w:t>
      </w:r>
      <w:r>
        <w:rPr>
          <w:rFonts w:ascii="SimSun" w:hAnsi="SimSun" w:eastAsia="SimSun" w:cs="SimSun"/>
          <w:sz w:val="24"/>
          <w:szCs w:val="24"/>
          <w:spacing w:val="-3"/>
        </w:rPr>
        <w:t>。</w:t>
      </w:r>
    </w:p>
    <w:p>
      <w:pPr>
        <w:ind w:left="9" w:right="8" w:firstLine="480"/>
        <w:spacing w:before="8" w:line="360" w:lineRule="auto"/>
        <w:rPr>
          <w:rFonts w:ascii="SimSun" w:hAnsi="SimSun" w:eastAsia="SimSun" w:cs="SimSun"/>
          <w:sz w:val="24"/>
          <w:szCs w:val="24"/>
        </w:rPr>
      </w:pPr>
      <w:r>
        <w:rPr>
          <w:rFonts w:ascii="SimSun" w:hAnsi="SimSun" w:eastAsia="SimSun" w:cs="SimSun"/>
          <w:sz w:val="24"/>
          <w:szCs w:val="24"/>
        </w:rPr>
        <w:t>根据建设单位提供资料，本项目废水收集池、</w:t>
      </w:r>
      <w:r>
        <w:rPr>
          <w:rFonts w:ascii="Times New Roman" w:hAnsi="Times New Roman" w:eastAsia="Times New Roman" w:cs="Times New Roman"/>
          <w:sz w:val="24"/>
          <w:szCs w:val="24"/>
        </w:rPr>
        <w:t>TS </w:t>
      </w:r>
      <w:r>
        <w:rPr>
          <w:rFonts w:ascii="SimSun" w:hAnsi="SimSun" w:eastAsia="SimSun" w:cs="SimSun"/>
          <w:sz w:val="24"/>
          <w:szCs w:val="24"/>
        </w:rPr>
        <w:t>调节池、</w:t>
      </w:r>
      <w:r>
        <w:rPr>
          <w:rFonts w:ascii="SimSun" w:hAnsi="SimSun" w:eastAsia="SimSun" w:cs="SimSun"/>
          <w:sz w:val="24"/>
          <w:szCs w:val="24"/>
          <w:spacing w:val="-1"/>
        </w:rPr>
        <w:t>固液分离池、沼液</w:t>
      </w:r>
      <w:r>
        <w:rPr>
          <w:rFonts w:ascii="SimSun" w:hAnsi="SimSun" w:eastAsia="SimSun" w:cs="SimSun"/>
          <w:sz w:val="24"/>
          <w:szCs w:val="24"/>
        </w:rPr>
        <w:t xml:space="preserve"> </w:t>
      </w:r>
      <w:r>
        <w:rPr>
          <w:rFonts w:ascii="SimSun" w:hAnsi="SimSun" w:eastAsia="SimSun" w:cs="SimSun"/>
          <w:sz w:val="24"/>
          <w:szCs w:val="24"/>
          <w:spacing w:val="-3"/>
        </w:rPr>
        <w:t>池面积共</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92m</w:t>
      </w:r>
      <w:r>
        <w:rPr>
          <w:rFonts w:ascii="Times New Roman" w:hAnsi="Times New Roman" w:eastAsia="Times New Roman" w:cs="Times New Roman"/>
          <w:sz w:val="15"/>
          <w:szCs w:val="15"/>
          <w:spacing w:val="-3"/>
          <w:position w:val="8"/>
        </w:rPr>
        <w:t>2</w:t>
      </w:r>
      <w:r>
        <w:rPr>
          <w:rFonts w:ascii="Times New Roman" w:hAnsi="Times New Roman" w:eastAsia="Times New Roman" w:cs="Times New Roman"/>
          <w:sz w:val="15"/>
          <w:szCs w:val="15"/>
          <w:spacing w:val="-7"/>
          <w:position w:val="8"/>
        </w:rPr>
        <w:t xml:space="preserve"> </w:t>
      </w:r>
      <w:r>
        <w:rPr>
          <w:rFonts w:ascii="SimSun" w:hAnsi="SimSun" w:eastAsia="SimSun" w:cs="SimSun"/>
          <w:sz w:val="24"/>
          <w:szCs w:val="24"/>
          <w:spacing w:val="-3"/>
        </w:rPr>
        <w:t>，则产生量为</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3"/>
        </w:rPr>
        <w:t>NH</w:t>
      </w:r>
      <w:r>
        <w:rPr>
          <w:rFonts w:ascii="Times New Roman" w:hAnsi="Times New Roman" w:eastAsia="Times New Roman" w:cs="Times New Roman"/>
          <w:sz w:val="15"/>
          <w:szCs w:val="15"/>
          <w:spacing w:val="-3"/>
          <w:position w:val="-1"/>
        </w:rPr>
        <w:t>3</w:t>
      </w:r>
      <w:r>
        <w:rPr>
          <w:rFonts w:ascii="Times New Roman" w:hAnsi="Times New Roman" w:eastAsia="Times New Roman" w:cs="Times New Roman"/>
          <w:sz w:val="24"/>
          <w:szCs w:val="24"/>
          <w:spacing w:val="-3"/>
        </w:rPr>
        <w:t>2.86t/a</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H</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15"/>
          <w:szCs w:val="15"/>
          <w:spacing w:val="-21"/>
          <w:position w:val="-1"/>
        </w:rPr>
        <w:t xml:space="preserve"> </w:t>
      </w:r>
      <w:r>
        <w:rPr>
          <w:rFonts w:ascii="Times New Roman" w:hAnsi="Times New Roman" w:eastAsia="Times New Roman" w:cs="Times New Roman"/>
          <w:sz w:val="24"/>
          <w:szCs w:val="24"/>
          <w:spacing w:val="-3"/>
        </w:rPr>
        <w:t>S0.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171t</w:t>
      </w:r>
      <w:r>
        <w:rPr>
          <w:rFonts w:ascii="Times New Roman" w:hAnsi="Times New Roman" w:eastAsia="Times New Roman" w:cs="Times New Roman"/>
          <w:sz w:val="24"/>
          <w:szCs w:val="24"/>
          <w:spacing w:val="-4"/>
        </w:rPr>
        <w:t>/a</w:t>
      </w:r>
      <w:r>
        <w:rPr>
          <w:rFonts w:ascii="SimSun" w:hAnsi="SimSun" w:eastAsia="SimSun" w:cs="SimSun"/>
          <w:sz w:val="24"/>
          <w:szCs w:val="24"/>
          <w:spacing w:val="-4"/>
        </w:rPr>
        <w:t>。</w:t>
      </w:r>
    </w:p>
    <w:p>
      <w:pPr>
        <w:ind w:left="9" w:right="6" w:firstLine="480"/>
        <w:spacing w:before="4" w:line="359" w:lineRule="auto"/>
        <w:jc w:val="both"/>
        <w:rPr>
          <w:rFonts w:ascii="SimSun" w:hAnsi="SimSun" w:eastAsia="SimSun" w:cs="SimSun"/>
          <w:sz w:val="24"/>
          <w:szCs w:val="24"/>
        </w:rPr>
      </w:pPr>
      <w:r>
        <w:rPr>
          <w:rFonts w:ascii="SimSun" w:hAnsi="SimSun" w:eastAsia="SimSun" w:cs="SimSun"/>
          <w:sz w:val="24"/>
          <w:szCs w:val="24"/>
        </w:rPr>
        <w:t>本项目西厂区洗毛车间废水收集池、</w:t>
      </w:r>
      <w:r>
        <w:rPr>
          <w:rFonts w:ascii="Times New Roman" w:hAnsi="Times New Roman" w:eastAsia="Times New Roman" w:cs="Times New Roman"/>
          <w:sz w:val="24"/>
          <w:szCs w:val="24"/>
        </w:rPr>
        <w:t>TS </w:t>
      </w:r>
      <w:r>
        <w:rPr>
          <w:rFonts w:ascii="SimSun" w:hAnsi="SimSun" w:eastAsia="SimSun" w:cs="SimSun"/>
          <w:sz w:val="24"/>
          <w:szCs w:val="24"/>
        </w:rPr>
        <w:t>调节池、固液分</w:t>
      </w:r>
      <w:r>
        <w:rPr>
          <w:rFonts w:ascii="SimSun" w:hAnsi="SimSun" w:eastAsia="SimSun" w:cs="SimSun"/>
          <w:sz w:val="24"/>
          <w:szCs w:val="24"/>
          <w:spacing w:val="-1"/>
        </w:rPr>
        <w:t>离池、沼液池等池体</w:t>
      </w:r>
      <w:r>
        <w:rPr>
          <w:rFonts w:ascii="SimSun" w:hAnsi="SimSun" w:eastAsia="SimSun" w:cs="SimSun"/>
          <w:sz w:val="24"/>
          <w:szCs w:val="24"/>
        </w:rPr>
        <w:t xml:space="preserve"> </w:t>
      </w:r>
      <w:r>
        <w:rPr>
          <w:rFonts w:ascii="SimSun" w:hAnsi="SimSun" w:eastAsia="SimSun" w:cs="SimSun"/>
          <w:sz w:val="24"/>
          <w:szCs w:val="24"/>
          <w:spacing w:val="3"/>
        </w:rPr>
        <w:t>产生的恶臭气体经废气收集管道收集后，输送至一套活</w:t>
      </w:r>
      <w:r>
        <w:rPr>
          <w:rFonts w:ascii="SimSun" w:hAnsi="SimSun" w:eastAsia="SimSun" w:cs="SimSun"/>
          <w:sz w:val="24"/>
          <w:szCs w:val="24"/>
          <w:spacing w:val="2"/>
        </w:rPr>
        <w:t>性炭吸附装置处理，处理</w:t>
      </w:r>
      <w:r>
        <w:rPr>
          <w:rFonts w:ascii="SimSun" w:hAnsi="SimSun" w:eastAsia="SimSun" w:cs="SimSun"/>
          <w:sz w:val="24"/>
          <w:szCs w:val="24"/>
        </w:rPr>
        <w:t xml:space="preserve"> </w:t>
      </w:r>
      <w:r>
        <w:rPr>
          <w:rFonts w:ascii="SimSun" w:hAnsi="SimSun" w:eastAsia="SimSun" w:cs="SimSun"/>
          <w:sz w:val="24"/>
          <w:szCs w:val="24"/>
          <w:spacing w:val="-2"/>
        </w:rPr>
        <w:t>后通过</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15m </w:t>
      </w:r>
      <w:r>
        <w:rPr>
          <w:rFonts w:ascii="SimSun" w:hAnsi="SimSun" w:eastAsia="SimSun" w:cs="SimSun"/>
          <w:sz w:val="24"/>
          <w:szCs w:val="24"/>
          <w:spacing w:val="-2"/>
        </w:rPr>
        <w:t>高排气筒排放（</w:t>
      </w:r>
      <w:r>
        <w:rPr>
          <w:rFonts w:ascii="Times New Roman" w:hAnsi="Times New Roman" w:eastAsia="Times New Roman" w:cs="Times New Roman"/>
          <w:sz w:val="24"/>
          <w:szCs w:val="24"/>
          <w:spacing w:val="-2"/>
        </w:rPr>
        <w:t>DA003</w:t>
      </w:r>
      <w:r>
        <w:rPr>
          <w:rFonts w:ascii="SimSun" w:hAnsi="SimSun" w:eastAsia="SimSun" w:cs="SimSun"/>
          <w:sz w:val="24"/>
          <w:szCs w:val="24"/>
          <w:spacing w:val="6"/>
        </w:rPr>
        <w:t>），</w:t>
      </w:r>
      <w:r>
        <w:rPr>
          <w:rFonts w:ascii="SimSun" w:hAnsi="SimSun" w:eastAsia="SimSun" w:cs="SimSun"/>
          <w:sz w:val="24"/>
          <w:szCs w:val="24"/>
          <w:spacing w:val="-2"/>
        </w:rPr>
        <w:t>风量</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2000m</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24"/>
          <w:szCs w:val="24"/>
          <w:spacing w:val="-2"/>
        </w:rPr>
        <w:t>/h</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。活性炭恶臭气</w:t>
      </w:r>
      <w:r>
        <w:rPr>
          <w:rFonts w:ascii="SimSun" w:hAnsi="SimSun" w:eastAsia="SimSun" w:cs="SimSun"/>
          <w:sz w:val="24"/>
          <w:szCs w:val="24"/>
          <w:spacing w:val="-3"/>
        </w:rPr>
        <w:t>体去除效率</w:t>
      </w:r>
      <w:r>
        <w:rPr>
          <w:rFonts w:ascii="SimSun" w:hAnsi="SimSun" w:eastAsia="SimSun" w:cs="SimSun"/>
          <w:sz w:val="24"/>
          <w:szCs w:val="24"/>
        </w:rPr>
        <w:t xml:space="preserve"> </w:t>
      </w:r>
      <w:r>
        <w:rPr>
          <w:rFonts w:ascii="Times New Roman" w:hAnsi="Times New Roman" w:eastAsia="Times New Roman" w:cs="Times New Roman"/>
          <w:sz w:val="24"/>
          <w:szCs w:val="24"/>
          <w:spacing w:val="-1"/>
        </w:rPr>
        <w:t>90%</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，同时加强车间通风。恶臭气体排放量为</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1"/>
        </w:rPr>
        <w:t>NH</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24"/>
          <w:szCs w:val="24"/>
          <w:spacing w:val="-1"/>
        </w:rPr>
        <w:t>0.286</w:t>
      </w:r>
      <w:r>
        <w:rPr>
          <w:rFonts w:ascii="Times New Roman" w:hAnsi="Times New Roman" w:eastAsia="Times New Roman" w:cs="Times New Roman"/>
          <w:sz w:val="24"/>
          <w:szCs w:val="24"/>
          <w:spacing w:val="-2"/>
        </w:rPr>
        <w:t>t/a</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H</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24"/>
          <w:szCs w:val="24"/>
          <w:spacing w:val="-2"/>
        </w:rPr>
        <w:t>S0.017t/a</w:t>
      </w:r>
      <w:r>
        <w:rPr>
          <w:rFonts w:ascii="SimSun" w:hAnsi="SimSun" w:eastAsia="SimSun" w:cs="SimSun"/>
          <w:sz w:val="24"/>
          <w:szCs w:val="24"/>
          <w:spacing w:val="-2"/>
        </w:rPr>
        <w:t>。</w:t>
      </w:r>
    </w:p>
    <w:p>
      <w:pPr>
        <w:ind w:left="501"/>
        <w:spacing w:before="155"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）餐饮油烟（</w:t>
      </w:r>
      <w:r>
        <w:rPr>
          <w:rFonts w:ascii="Times New Roman" w:hAnsi="Times New Roman" w:eastAsia="Times New Roman" w:cs="Times New Roman"/>
          <w:sz w:val="24"/>
          <w:szCs w:val="24"/>
          <w:spacing w:val="-3"/>
        </w:rPr>
        <w:t>G</w:t>
      </w:r>
      <w:r>
        <w:rPr>
          <w:rFonts w:ascii="Times New Roman" w:hAnsi="Times New Roman" w:eastAsia="Times New Roman" w:cs="Times New Roman"/>
          <w:sz w:val="15"/>
          <w:szCs w:val="15"/>
          <w:spacing w:val="-3"/>
          <w:position w:val="-1"/>
        </w:rPr>
        <w:t>4-</w:t>
      </w:r>
      <w:r>
        <w:rPr>
          <w:rFonts w:ascii="Times New Roman" w:hAnsi="Times New Roman" w:eastAsia="Times New Roman" w:cs="Times New Roman"/>
          <w:sz w:val="15"/>
          <w:szCs w:val="15"/>
          <w:spacing w:val="-16"/>
          <w:position w:val="-1"/>
        </w:rPr>
        <w:t xml:space="preserve"> </w:t>
      </w:r>
      <w:r>
        <w:rPr>
          <w:rFonts w:ascii="Times New Roman" w:hAnsi="Times New Roman" w:eastAsia="Times New Roman" w:cs="Times New Roman"/>
          <w:sz w:val="15"/>
          <w:szCs w:val="15"/>
          <w:spacing w:val="-3"/>
          <w:position w:val="-1"/>
        </w:rPr>
        <w:t>1</w:t>
      </w:r>
      <w:r>
        <w:rPr>
          <w:rFonts w:ascii="SimSun" w:hAnsi="SimSun" w:eastAsia="SimSun" w:cs="SimSun"/>
          <w:sz w:val="24"/>
          <w:szCs w:val="24"/>
          <w:spacing w:val="-3"/>
        </w:rPr>
        <w:t>）</w:t>
      </w:r>
    </w:p>
    <w:p>
      <w:pPr>
        <w:ind w:left="9" w:right="8" w:firstLine="481"/>
        <w:spacing w:before="216" w:line="382" w:lineRule="auto"/>
        <w:rPr>
          <w:rFonts w:ascii="SimSun" w:hAnsi="SimSun" w:eastAsia="SimSun" w:cs="SimSun"/>
          <w:sz w:val="24"/>
          <w:szCs w:val="24"/>
        </w:rPr>
      </w:pPr>
      <w:r>
        <w:rPr>
          <w:rFonts w:ascii="SimSun" w:hAnsi="SimSun" w:eastAsia="SimSun" w:cs="SimSun"/>
          <w:sz w:val="24"/>
          <w:szCs w:val="24"/>
          <w:spacing w:val="2"/>
        </w:rPr>
        <w:t>本项目西厂区办公楼西厂区办公楼</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楼设一间食堂，供厂区</w:t>
      </w:r>
      <w:r>
        <w:rPr>
          <w:rFonts w:ascii="SimSun" w:hAnsi="SimSun" w:eastAsia="SimSun" w:cs="SimSun"/>
          <w:sz w:val="24"/>
          <w:szCs w:val="24"/>
          <w:spacing w:val="1"/>
        </w:rPr>
        <w:t>员工用餐。根据</w:t>
      </w:r>
      <w:r>
        <w:rPr>
          <w:rFonts w:ascii="SimSun" w:hAnsi="SimSun" w:eastAsia="SimSun" w:cs="SimSun"/>
          <w:sz w:val="24"/>
          <w:szCs w:val="24"/>
        </w:rPr>
        <w:t xml:space="preserve"> </w:t>
      </w:r>
      <w:r>
        <w:rPr>
          <w:rFonts w:ascii="SimSun" w:hAnsi="SimSun" w:eastAsia="SimSun" w:cs="SimSun"/>
          <w:sz w:val="24"/>
          <w:szCs w:val="24"/>
          <w:spacing w:val="-4"/>
        </w:rPr>
        <w:t>统计，我国人均日食用油用量约</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4"/>
        </w:rPr>
        <w:t>30g/</w:t>
      </w:r>
      <w:r>
        <w:rPr>
          <w:rFonts w:ascii="SimSun" w:hAnsi="SimSun" w:eastAsia="SimSun" w:cs="SimSun"/>
          <w:sz w:val="24"/>
          <w:szCs w:val="24"/>
          <w:spacing w:val="-4"/>
        </w:rPr>
        <w:t>人</w:t>
      </w:r>
      <w:r>
        <w:rPr>
          <w:rFonts w:ascii="Times New Roman" w:hAnsi="Times New Roman" w:eastAsia="Times New Roman" w:cs="Times New Roman"/>
          <w:sz w:val="24"/>
          <w:szCs w:val="24"/>
          <w:spacing w:val="-4"/>
        </w:rPr>
        <w:t>·d</w:t>
      </w:r>
      <w:r>
        <w:rPr>
          <w:rFonts w:ascii="SimSun" w:hAnsi="SimSun" w:eastAsia="SimSun" w:cs="SimSun"/>
          <w:sz w:val="24"/>
          <w:szCs w:val="24"/>
          <w:spacing w:val="-4"/>
        </w:rPr>
        <w:t>，本项目劳动定员</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100 </w:t>
      </w:r>
      <w:r>
        <w:rPr>
          <w:rFonts w:ascii="SimSun" w:hAnsi="SimSun" w:eastAsia="SimSun" w:cs="SimSun"/>
          <w:sz w:val="24"/>
          <w:szCs w:val="24"/>
          <w:spacing w:val="-4"/>
        </w:rPr>
        <w:t>人，食用油用量为</w:t>
      </w:r>
      <w:r>
        <w:rPr>
          <w:rFonts w:ascii="SimSun" w:hAnsi="SimSun" w:eastAsia="SimSun" w:cs="SimSun"/>
          <w:sz w:val="24"/>
          <w:szCs w:val="24"/>
        </w:rPr>
        <w:t xml:space="preserve"> </w:t>
      </w:r>
      <w:r>
        <w:rPr>
          <w:rFonts w:ascii="Times New Roman" w:hAnsi="Times New Roman" w:eastAsia="Times New Roman" w:cs="Times New Roman"/>
          <w:sz w:val="24"/>
          <w:szCs w:val="24"/>
          <w:spacing w:val="-2"/>
        </w:rPr>
        <w:t>0.9t/a</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，油烟产生量为食油用量的</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，产生量为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0.027t/a</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，经油烟</w:t>
      </w:r>
      <w:r>
        <w:rPr>
          <w:rFonts w:ascii="SimSun" w:hAnsi="SimSun" w:eastAsia="SimSun" w:cs="SimSun"/>
          <w:sz w:val="24"/>
          <w:szCs w:val="24"/>
          <w:spacing w:val="-3"/>
        </w:rPr>
        <w:t>净化后通过餐厅</w:t>
      </w:r>
    </w:p>
    <w:p>
      <w:pPr>
        <w:ind w:right="8"/>
        <w:spacing w:before="267" w:line="227" w:lineRule="auto"/>
        <w:jc w:val="right"/>
        <w:rPr>
          <w:rFonts w:ascii="SimSun" w:hAnsi="SimSun" w:eastAsia="SimSun" w:cs="SimSun"/>
          <w:sz w:val="19"/>
          <w:szCs w:val="19"/>
        </w:rPr>
      </w:pPr>
      <w:r>
        <w:pict>
          <v:shape id="_x0000_s474" style="position:absolute;margin-left:207.469pt;margin-top:12.3746pt;mso-position-vertical-relative:text;mso-position-horizontal-relative:text;width:58.8pt;height:13.75pt;z-index:251864064;"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1"/>
                      <w:position w:val="2"/>
                    </w:rPr>
                    <w:t>92        </w:t>
                  </w:r>
                  <w:r>
                    <w:rPr>
                      <w:rFonts w:ascii="SimSun" w:hAnsi="SimSun" w:eastAsia="SimSun" w:cs="SimSun"/>
                      <w:sz w:val="19"/>
                      <w:szCs w:val="19"/>
                      <w:spacing w:val="1"/>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102"/>
          <w:pgSz w:w="11907" w:h="16840"/>
          <w:pgMar w:top="1567" w:right="1693" w:bottom="400" w:left="1701" w:header="1221" w:footer="0" w:gutter="0"/>
        </w:sectPr>
        <w:rPr>
          <w:rFonts w:ascii="SimSun" w:hAnsi="SimSun" w:eastAsia="SimSun" w:cs="SimSun"/>
          <w:sz w:val="19"/>
          <w:szCs w:val="19"/>
        </w:rPr>
      </w:pPr>
    </w:p>
    <w:p>
      <w:pPr>
        <w:pStyle w:val="BodyText"/>
        <w:spacing w:line="265" w:lineRule="auto"/>
        <w:rPr/>
      </w:pPr>
      <w:r>
        <w:pict>
          <v:shape id="_x0000_s478" style="position:absolute;margin-left:0.440002pt;margin-top:0.644959pt;mso-position-vertical-relative:text;mso-position-horizontal-relative:text;width:425.25pt;height:0.75pt;z-index:251867136;" fillcolor="#000000" filled="true" stroked="false" coordsize="8505,15" coordorigin="0,0" path="m,l8505,0l8505,14l0,14l0,0xe"/>
        </w:pict>
      </w:r>
      <w:r/>
    </w:p>
    <w:p>
      <w:pPr>
        <w:ind w:left="18"/>
        <w:spacing w:before="78" w:line="385" w:lineRule="auto"/>
        <w:jc w:val="both"/>
        <w:rPr>
          <w:rFonts w:ascii="SimSun" w:hAnsi="SimSun" w:eastAsia="SimSun" w:cs="SimSun"/>
          <w:sz w:val="24"/>
          <w:szCs w:val="24"/>
        </w:rPr>
      </w:pPr>
      <w:r>
        <w:rPr>
          <w:rFonts w:ascii="SimSun" w:hAnsi="SimSun" w:eastAsia="SimSun" w:cs="SimSun"/>
          <w:sz w:val="24"/>
          <w:szCs w:val="24"/>
          <w:spacing w:val="2"/>
        </w:rPr>
        <w:t>专用井道至屋顶排放。餐厅设有</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2"/>
        </w:rPr>
        <w:t>3 </w:t>
      </w:r>
      <w:r>
        <w:rPr>
          <w:rFonts w:ascii="SimSun" w:hAnsi="SimSun" w:eastAsia="SimSun" w:cs="SimSun"/>
          <w:sz w:val="24"/>
          <w:szCs w:val="24"/>
          <w:spacing w:val="2"/>
        </w:rPr>
        <w:t>个基准灶头，属于中型饮食业单位，根据《饮</w:t>
      </w:r>
      <w:r>
        <w:rPr>
          <w:rFonts w:ascii="SimSun" w:hAnsi="SimSun" w:eastAsia="SimSun" w:cs="SimSun"/>
          <w:sz w:val="24"/>
          <w:szCs w:val="24"/>
        </w:rPr>
        <w:t xml:space="preserve"> </w:t>
      </w:r>
      <w:r>
        <w:rPr>
          <w:rFonts w:ascii="SimSun" w:hAnsi="SimSun" w:eastAsia="SimSun" w:cs="SimSun"/>
          <w:sz w:val="24"/>
          <w:szCs w:val="24"/>
          <w:spacing w:val="-5"/>
        </w:rPr>
        <w:t>食业油烟排放标准（试行）》（</w:t>
      </w:r>
      <w:r>
        <w:rPr>
          <w:rFonts w:ascii="Times New Roman" w:hAnsi="Times New Roman" w:eastAsia="Times New Roman" w:cs="Times New Roman"/>
          <w:sz w:val="24"/>
          <w:szCs w:val="24"/>
          <w:spacing w:val="-5"/>
        </w:rPr>
        <w:t>GB18483-2001</w:t>
      </w:r>
      <w:r>
        <w:rPr>
          <w:rFonts w:ascii="SimSun" w:hAnsi="SimSun" w:eastAsia="SimSun" w:cs="SimSun"/>
          <w:sz w:val="24"/>
          <w:szCs w:val="24"/>
          <w:spacing w:val="-11"/>
        </w:rPr>
        <w:t>），</w:t>
      </w:r>
      <w:r>
        <w:rPr>
          <w:rFonts w:ascii="SimSun" w:hAnsi="SimSun" w:eastAsia="SimSun" w:cs="SimSun"/>
          <w:sz w:val="24"/>
          <w:szCs w:val="24"/>
          <w:spacing w:val="-5"/>
        </w:rPr>
        <w:t>油烟净化器净化效率要求</w:t>
      </w:r>
      <w:r>
        <w:rPr>
          <w:rFonts w:ascii="Times New Roman" w:hAnsi="Times New Roman" w:eastAsia="Times New Roman" w:cs="Times New Roman"/>
          <w:sz w:val="24"/>
          <w:szCs w:val="24"/>
          <w:spacing w:val="-5"/>
        </w:rPr>
        <w:t>≥75%</w:t>
      </w:r>
      <w:r>
        <w:rPr>
          <w:rFonts w:ascii="SimSun" w:hAnsi="SimSun" w:eastAsia="SimSun" w:cs="SimSun"/>
          <w:sz w:val="24"/>
          <w:szCs w:val="24"/>
          <w:spacing w:val="-5"/>
        </w:rPr>
        <w:t>，</w:t>
      </w:r>
      <w:r>
        <w:rPr>
          <w:rFonts w:ascii="SimSun" w:hAnsi="SimSun" w:eastAsia="SimSun" w:cs="SimSun"/>
          <w:sz w:val="24"/>
          <w:szCs w:val="24"/>
          <w:spacing w:val="1"/>
        </w:rPr>
        <w:t xml:space="preserve"> </w:t>
      </w:r>
      <w:r>
        <w:rPr>
          <w:rFonts w:ascii="SimSun" w:hAnsi="SimSun" w:eastAsia="SimSun" w:cs="SimSun"/>
          <w:sz w:val="24"/>
          <w:szCs w:val="24"/>
          <w:spacing w:val="-2"/>
        </w:rPr>
        <w:t>油烟排放量为</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2"/>
        </w:rPr>
        <w:t>0.0068t/a</w:t>
      </w:r>
      <w:r>
        <w:rPr>
          <w:rFonts w:ascii="SimSun" w:hAnsi="SimSun" w:eastAsia="SimSun" w:cs="SimSun"/>
          <w:sz w:val="24"/>
          <w:szCs w:val="24"/>
          <w:spacing w:val="-2"/>
        </w:rPr>
        <w:t>。</w:t>
      </w:r>
    </w:p>
    <w:p>
      <w:pPr>
        <w:ind w:left="18" w:firstLine="490"/>
        <w:spacing w:line="381" w:lineRule="auto"/>
        <w:jc w:val="both"/>
        <w:rPr>
          <w:rFonts w:ascii="SimSun" w:hAnsi="SimSun" w:eastAsia="SimSun" w:cs="SimSun"/>
          <w:sz w:val="24"/>
          <w:szCs w:val="24"/>
        </w:rPr>
      </w:pPr>
      <w:r>
        <w:rPr>
          <w:rFonts w:ascii="SimSun" w:hAnsi="SimSun" w:eastAsia="SimSun" w:cs="SimSun"/>
          <w:sz w:val="24"/>
          <w:szCs w:val="24"/>
          <w:spacing w:val="-4"/>
        </w:rPr>
        <w:t>员工食堂油烟净化器引风量为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2000Nm</w:t>
      </w:r>
      <w:r>
        <w:rPr>
          <w:rFonts w:ascii="Times New Roman" w:hAnsi="Times New Roman" w:eastAsia="Times New Roman" w:cs="Times New Roman"/>
          <w:sz w:val="15"/>
          <w:szCs w:val="15"/>
          <w:spacing w:val="-4"/>
          <w:position w:val="8"/>
        </w:rPr>
        <w:t>3</w:t>
      </w:r>
      <w:r>
        <w:rPr>
          <w:rFonts w:ascii="Times New Roman" w:hAnsi="Times New Roman" w:eastAsia="Times New Roman" w:cs="Times New Roman"/>
          <w:sz w:val="24"/>
          <w:szCs w:val="24"/>
          <w:spacing w:val="-4"/>
        </w:rPr>
        <w:t>/h</w:t>
      </w:r>
      <w:r>
        <w:rPr>
          <w:rFonts w:ascii="SimSun" w:hAnsi="SimSun" w:eastAsia="SimSun" w:cs="SimSun"/>
          <w:sz w:val="24"/>
          <w:szCs w:val="24"/>
          <w:spacing w:val="-4"/>
        </w:rPr>
        <w:t>，平均每天运行</w:t>
      </w:r>
      <w:r>
        <w:rPr>
          <w:rFonts w:ascii="SimSun" w:hAnsi="SimSun" w:eastAsia="SimSun" w:cs="SimSun"/>
          <w:sz w:val="24"/>
          <w:szCs w:val="24"/>
          <w:spacing w:val="-5"/>
        </w:rPr>
        <w:t>时间为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5"/>
        </w:rPr>
        <w:t>6h</w:t>
      </w:r>
      <w:r>
        <w:rPr>
          <w:rFonts w:ascii="SimSun" w:hAnsi="SimSun" w:eastAsia="SimSun" w:cs="SimSun"/>
          <w:sz w:val="24"/>
          <w:szCs w:val="24"/>
          <w:spacing w:val="-5"/>
        </w:rPr>
        <w:t>，</w:t>
      </w:r>
      <w:r>
        <w:rPr>
          <w:rFonts w:ascii="Times New Roman" w:hAnsi="Times New Roman" w:eastAsia="Times New Roman" w:cs="Times New Roman"/>
          <w:sz w:val="24"/>
          <w:szCs w:val="24"/>
          <w:spacing w:val="-5"/>
        </w:rPr>
        <w:t>1800h/a</w:t>
      </w:r>
      <w:r>
        <w:rPr>
          <w:rFonts w:ascii="SimSun" w:hAnsi="SimSun" w:eastAsia="SimSun" w:cs="SimSun"/>
          <w:sz w:val="24"/>
          <w:szCs w:val="24"/>
          <w:spacing w:val="-5"/>
        </w:rPr>
        <w:t>，</w:t>
      </w:r>
      <w:r>
        <w:rPr>
          <w:rFonts w:ascii="SimSun" w:hAnsi="SimSun" w:eastAsia="SimSun" w:cs="SimSun"/>
          <w:sz w:val="24"/>
          <w:szCs w:val="24"/>
        </w:rPr>
        <w:t xml:space="preserve"> </w:t>
      </w:r>
      <w:r>
        <w:rPr>
          <w:rFonts w:ascii="SimSun" w:hAnsi="SimSun" w:eastAsia="SimSun" w:cs="SimSun"/>
          <w:sz w:val="24"/>
          <w:szCs w:val="24"/>
          <w:spacing w:val="-3"/>
        </w:rPr>
        <w:t>食堂油烟产生量为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0.027t/a</w:t>
      </w:r>
      <w:r>
        <w:rPr>
          <w:rFonts w:ascii="SimSun" w:hAnsi="SimSun" w:eastAsia="SimSun" w:cs="SimSun"/>
          <w:sz w:val="24"/>
          <w:szCs w:val="24"/>
          <w:spacing w:val="-3"/>
        </w:rPr>
        <w:t>、产生速率为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0.015kg/h</w:t>
      </w:r>
      <w:r>
        <w:rPr>
          <w:rFonts w:ascii="SimSun" w:hAnsi="SimSun" w:eastAsia="SimSun" w:cs="SimSun"/>
          <w:sz w:val="24"/>
          <w:szCs w:val="24"/>
          <w:spacing w:val="-3"/>
        </w:rPr>
        <w:t>、产生浓度</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7.5mg</w:t>
      </w:r>
      <w:r>
        <w:rPr>
          <w:rFonts w:ascii="Times New Roman" w:hAnsi="Times New Roman" w:eastAsia="Times New Roman" w:cs="Times New Roman"/>
          <w:sz w:val="24"/>
          <w:szCs w:val="24"/>
          <w:spacing w:val="-4"/>
        </w:rPr>
        <w:t>/m</w:t>
      </w:r>
      <w:r>
        <w:rPr>
          <w:rFonts w:ascii="Times New Roman" w:hAnsi="Times New Roman" w:eastAsia="Times New Roman" w:cs="Times New Roman"/>
          <w:sz w:val="15"/>
          <w:szCs w:val="15"/>
          <w:spacing w:val="-4"/>
          <w:position w:val="8"/>
        </w:rPr>
        <w:t>3</w:t>
      </w:r>
      <w:r>
        <w:rPr>
          <w:rFonts w:ascii="SimSun" w:hAnsi="SimSun" w:eastAsia="SimSun" w:cs="SimSun"/>
          <w:sz w:val="24"/>
          <w:szCs w:val="24"/>
          <w:spacing w:val="-4"/>
        </w:rPr>
        <w:t>，排放量为</w:t>
      </w:r>
      <w:r>
        <w:rPr>
          <w:rFonts w:ascii="SimSun" w:hAnsi="SimSun" w:eastAsia="SimSun" w:cs="SimSun"/>
          <w:sz w:val="24"/>
          <w:szCs w:val="24"/>
        </w:rPr>
        <w:t xml:space="preserve"> </w:t>
      </w:r>
      <w:r>
        <w:rPr>
          <w:rFonts w:ascii="Times New Roman" w:hAnsi="Times New Roman" w:eastAsia="Times New Roman" w:cs="Times New Roman"/>
          <w:sz w:val="24"/>
          <w:szCs w:val="24"/>
          <w:spacing w:val="-2"/>
        </w:rPr>
        <w:t>0.0068t/a</w:t>
      </w:r>
      <w:r>
        <w:rPr>
          <w:rFonts w:ascii="SimSun" w:hAnsi="SimSun" w:eastAsia="SimSun" w:cs="SimSun"/>
          <w:sz w:val="24"/>
          <w:szCs w:val="24"/>
          <w:spacing w:val="-2"/>
        </w:rPr>
        <w:t>、排放速率</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0.0038kg/h</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，排放浓度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1.88mg/m</w:t>
      </w:r>
      <w:r>
        <w:rPr>
          <w:rFonts w:ascii="Times New Roman" w:hAnsi="Times New Roman" w:eastAsia="Times New Roman" w:cs="Times New Roman"/>
          <w:sz w:val="15"/>
          <w:szCs w:val="15"/>
          <w:spacing w:val="-2"/>
          <w:position w:val="7"/>
        </w:rPr>
        <w:t>3</w:t>
      </w:r>
      <w:r>
        <w:rPr>
          <w:rFonts w:ascii="SimSun" w:hAnsi="SimSun" w:eastAsia="SimSun" w:cs="SimSun"/>
          <w:sz w:val="24"/>
          <w:szCs w:val="24"/>
          <w:spacing w:val="-2"/>
        </w:rPr>
        <w:t>。</w:t>
      </w:r>
    </w:p>
    <w:p>
      <w:pPr>
        <w:ind w:left="510"/>
        <w:spacing w:before="13"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4</w:t>
      </w:r>
      <w:r>
        <w:rPr>
          <w:rFonts w:ascii="SimSun" w:hAnsi="SimSun" w:eastAsia="SimSun" w:cs="SimSun"/>
          <w:sz w:val="24"/>
          <w:szCs w:val="24"/>
          <w:spacing w:val="-2"/>
        </w:rPr>
        <w:t>）沼气锅炉烟气（</w:t>
      </w:r>
      <w:r>
        <w:rPr>
          <w:rFonts w:ascii="Times New Roman" w:hAnsi="Times New Roman" w:eastAsia="Times New Roman" w:cs="Times New Roman"/>
          <w:sz w:val="24"/>
          <w:szCs w:val="24"/>
          <w:spacing w:val="-2"/>
        </w:rPr>
        <w:t>G</w:t>
      </w:r>
      <w:r>
        <w:rPr>
          <w:rFonts w:ascii="Times New Roman" w:hAnsi="Times New Roman" w:eastAsia="Times New Roman" w:cs="Times New Roman"/>
          <w:sz w:val="15"/>
          <w:szCs w:val="15"/>
          <w:spacing w:val="-2"/>
          <w:position w:val="-1"/>
        </w:rPr>
        <w:t>4-2</w:t>
      </w:r>
      <w:r>
        <w:rPr>
          <w:rFonts w:ascii="SimSun" w:hAnsi="SimSun" w:eastAsia="SimSun" w:cs="SimSun"/>
          <w:sz w:val="24"/>
          <w:szCs w:val="24"/>
          <w:spacing w:val="-2"/>
        </w:rPr>
        <w:t>）</w:t>
      </w:r>
    </w:p>
    <w:p>
      <w:pPr>
        <w:ind w:left="20" w:right="61" w:firstLine="481"/>
        <w:spacing w:before="212" w:line="385" w:lineRule="auto"/>
        <w:rPr>
          <w:rFonts w:ascii="SimSun" w:hAnsi="SimSun" w:eastAsia="SimSun" w:cs="SimSun"/>
          <w:sz w:val="24"/>
          <w:szCs w:val="24"/>
        </w:rPr>
      </w:pPr>
      <w:r>
        <w:rPr>
          <w:rFonts w:ascii="SimSun" w:hAnsi="SimSun" w:eastAsia="SimSun" w:cs="SimSun"/>
          <w:sz w:val="24"/>
          <w:szCs w:val="24"/>
          <w:spacing w:val="-3"/>
        </w:rPr>
        <w:t>项目沼气锅炉燃料（沼气）消耗量为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3150m</w:t>
      </w:r>
      <w:r>
        <w:rPr>
          <w:rFonts w:ascii="Times New Roman" w:hAnsi="Times New Roman" w:eastAsia="Times New Roman" w:cs="Times New Roman"/>
          <w:sz w:val="15"/>
          <w:szCs w:val="15"/>
          <w:spacing w:val="-3"/>
          <w:position w:val="8"/>
        </w:rPr>
        <w:t>3</w:t>
      </w:r>
      <w:r>
        <w:rPr>
          <w:rFonts w:ascii="Times New Roman" w:hAnsi="Times New Roman" w:eastAsia="Times New Roman" w:cs="Times New Roman"/>
          <w:sz w:val="24"/>
          <w:szCs w:val="24"/>
          <w:spacing w:val="-3"/>
        </w:rPr>
        <w:t>/d</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，锅炉运行时间为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720</w:t>
      </w:r>
      <w:r>
        <w:rPr>
          <w:rFonts w:ascii="Times New Roman" w:hAnsi="Times New Roman" w:eastAsia="Times New Roman" w:cs="Times New Roman"/>
          <w:sz w:val="24"/>
          <w:szCs w:val="24"/>
          <w:spacing w:val="-4"/>
        </w:rPr>
        <w:t>0h/a</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4"/>
        </w:rPr>
        <w:t>，采</w:t>
      </w:r>
      <w:r>
        <w:rPr>
          <w:rFonts w:ascii="SimSun" w:hAnsi="SimSun" w:eastAsia="SimSun" w:cs="SimSun"/>
          <w:sz w:val="24"/>
          <w:szCs w:val="24"/>
        </w:rPr>
        <w:t xml:space="preserve"> </w:t>
      </w:r>
      <w:r>
        <w:rPr>
          <w:rFonts w:ascii="SimSun" w:hAnsi="SimSun" w:eastAsia="SimSun" w:cs="SimSun"/>
          <w:sz w:val="24"/>
          <w:szCs w:val="24"/>
          <w:spacing w:val="-2"/>
        </w:rPr>
        <w:t>用低氮燃烧技术，烟气经一根</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2"/>
        </w:rPr>
        <w:t>10m </w:t>
      </w:r>
      <w:r>
        <w:rPr>
          <w:rFonts w:ascii="SimSun" w:hAnsi="SimSun" w:eastAsia="SimSun" w:cs="SimSun"/>
          <w:sz w:val="24"/>
          <w:szCs w:val="24"/>
          <w:spacing w:val="-2"/>
        </w:rPr>
        <w:t>高的烟囱外排。</w:t>
      </w:r>
    </w:p>
    <w:p>
      <w:pPr>
        <w:ind w:left="498"/>
        <w:spacing w:line="218" w:lineRule="auto"/>
        <w:rPr>
          <w:rFonts w:ascii="SimSun" w:hAnsi="SimSun" w:eastAsia="SimSun" w:cs="SimSun"/>
          <w:sz w:val="24"/>
          <w:szCs w:val="24"/>
        </w:rPr>
      </w:pPr>
      <w:r>
        <w:rPr>
          <w:rFonts w:ascii="SimSun" w:hAnsi="SimSun" w:eastAsia="SimSun" w:cs="SimSun"/>
          <w:sz w:val="24"/>
          <w:szCs w:val="24"/>
          <w:spacing w:val="3"/>
        </w:rPr>
        <w:t>根据建设单位提供的数据及查阅厌氧发酵沼气资料，沼气主</w:t>
      </w:r>
      <w:r>
        <w:rPr>
          <w:rFonts w:ascii="SimSun" w:hAnsi="SimSun" w:eastAsia="SimSun" w:cs="SimSun"/>
          <w:sz w:val="24"/>
          <w:szCs w:val="24"/>
          <w:spacing w:val="2"/>
        </w:rPr>
        <w:t>要特性参数见表</w:t>
      </w:r>
    </w:p>
    <w:p>
      <w:pPr>
        <w:ind w:left="19"/>
        <w:spacing w:before="257" w:line="180" w:lineRule="auto"/>
        <w:rPr>
          <w:rFonts w:ascii="SimSun" w:hAnsi="SimSun" w:eastAsia="SimSun" w:cs="SimSun"/>
          <w:sz w:val="24"/>
          <w:szCs w:val="24"/>
        </w:rPr>
      </w:pPr>
      <w:r>
        <w:rPr>
          <w:rFonts w:ascii="Times New Roman" w:hAnsi="Times New Roman" w:eastAsia="Times New Roman" w:cs="Times New Roman"/>
          <w:sz w:val="24"/>
          <w:szCs w:val="24"/>
          <w:spacing w:val="-2"/>
        </w:rPr>
        <w:t>3.5-1</w:t>
      </w:r>
      <w:r>
        <w:rPr>
          <w:rFonts w:ascii="SimSun" w:hAnsi="SimSun" w:eastAsia="SimSun" w:cs="SimSun"/>
          <w:sz w:val="24"/>
          <w:szCs w:val="24"/>
          <w:spacing w:val="-2"/>
        </w:rPr>
        <w:t>。</w:t>
      </w:r>
    </w:p>
    <w:p>
      <w:pPr>
        <w:ind w:left="2122"/>
        <w:spacing w:before="227"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4"/>
        </w:rPr>
        <w:t xml:space="preserve"> </w:t>
      </w:r>
      <w:r>
        <w:rPr>
          <w:rFonts w:ascii="Times New Roman" w:hAnsi="Times New Roman" w:eastAsia="Times New Roman" w:cs="Times New Roman"/>
          <w:sz w:val="24"/>
          <w:szCs w:val="24"/>
          <w:b/>
          <w:bCs/>
          <w:spacing w:val="-2"/>
        </w:rPr>
        <w:t>3.5-1      </w:t>
      </w:r>
      <w:r>
        <w:rPr>
          <w:rFonts w:ascii="SimSun" w:hAnsi="SimSun" w:eastAsia="SimSun" w:cs="SimSun"/>
          <w:sz w:val="24"/>
          <w:szCs w:val="24"/>
          <w:b/>
          <w:bCs/>
          <w:spacing w:val="-2"/>
        </w:rPr>
        <w:t>沼气（净化后）主要特性参数</w:t>
      </w:r>
    </w:p>
    <w:p>
      <w:pPr>
        <w:spacing w:line="19" w:lineRule="exact"/>
        <w:rPr/>
      </w:pPr>
      <w:r/>
    </w:p>
    <w:tbl>
      <w:tblPr>
        <w:tblStyle w:val="TableNormal"/>
        <w:tblW w:w="851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368"/>
        <w:gridCol w:w="6149"/>
      </w:tblGrid>
      <w:tr>
        <w:trPr>
          <w:trHeight w:val="296" w:hRule="atLeast"/>
        </w:trPr>
        <w:tc>
          <w:tcPr>
            <w:tcW w:w="2368" w:type="dxa"/>
            <w:vAlign w:val="top"/>
          </w:tcPr>
          <w:p>
            <w:pPr>
              <w:pStyle w:val="TableText"/>
              <w:ind w:left="770"/>
              <w:spacing w:before="43" w:line="224" w:lineRule="auto"/>
              <w:rPr/>
            </w:pPr>
            <w:r>
              <w:rPr>
                <w:spacing w:val="7"/>
              </w:rPr>
              <w:t>特性参数</w:t>
            </w:r>
          </w:p>
        </w:tc>
        <w:tc>
          <w:tcPr>
            <w:tcW w:w="6149" w:type="dxa"/>
            <w:vAlign w:val="top"/>
          </w:tcPr>
          <w:p>
            <w:pPr>
              <w:pStyle w:val="TableText"/>
              <w:ind w:left="63"/>
              <w:spacing w:before="43" w:line="221" w:lineRule="auto"/>
              <w:rPr>
                <w:rFonts w:ascii="Times New Roman" w:hAnsi="Times New Roman" w:eastAsia="Times New Roman" w:cs="Times New Roman"/>
              </w:rPr>
            </w:pPr>
            <w:r>
              <w:rPr>
                <w:rFonts w:ascii="Times New Roman" w:hAnsi="Times New Roman" w:eastAsia="Times New Roman" w:cs="Times New Roman"/>
              </w:rPr>
              <w:t>CH</w:t>
            </w:r>
            <w:r>
              <w:rPr>
                <w:rFonts w:ascii="Times New Roman" w:hAnsi="Times New Roman" w:eastAsia="Times New Roman" w:cs="Times New Roman"/>
                <w:sz w:val="13"/>
                <w:szCs w:val="13"/>
                <w:spacing w:val="4"/>
                <w:position w:val="-1"/>
              </w:rPr>
              <w:t>4</w:t>
            </w:r>
            <w:r>
              <w:rPr>
                <w:rFonts w:ascii="Times New Roman" w:hAnsi="Times New Roman" w:eastAsia="Times New Roman" w:cs="Times New Roman"/>
                <w:spacing w:val="4"/>
              </w:rPr>
              <w:t>60%</w:t>
            </w:r>
            <w:r>
              <w:rPr>
                <w:rFonts w:ascii="Times New Roman" w:hAnsi="Times New Roman" w:eastAsia="Times New Roman" w:cs="Times New Roman"/>
                <w:spacing w:val="-26"/>
              </w:rPr>
              <w:t xml:space="preserve"> </w:t>
            </w:r>
            <w:r>
              <w:rPr>
                <w:spacing w:val="4"/>
              </w:rPr>
              <w:t>、</w:t>
            </w:r>
            <w:r>
              <w:rPr>
                <w:rFonts w:ascii="Times New Roman" w:hAnsi="Times New Roman" w:eastAsia="Times New Roman" w:cs="Times New Roman"/>
              </w:rPr>
              <w:t>CO</w:t>
            </w:r>
            <w:r>
              <w:rPr>
                <w:rFonts w:ascii="Times New Roman" w:hAnsi="Times New Roman" w:eastAsia="Times New Roman" w:cs="Times New Roman"/>
                <w:sz w:val="13"/>
                <w:szCs w:val="13"/>
                <w:spacing w:val="4"/>
                <w:position w:val="-1"/>
              </w:rPr>
              <w:t>2</w:t>
            </w:r>
            <w:r>
              <w:rPr>
                <w:rFonts w:ascii="Times New Roman" w:hAnsi="Times New Roman" w:eastAsia="Times New Roman" w:cs="Times New Roman"/>
                <w:spacing w:val="4"/>
              </w:rPr>
              <w:t>38.9%</w:t>
            </w:r>
            <w:r>
              <w:rPr>
                <w:rFonts w:ascii="Times New Roman" w:hAnsi="Times New Roman" w:eastAsia="Times New Roman" w:cs="Times New Roman"/>
                <w:spacing w:val="-26"/>
              </w:rPr>
              <w:t xml:space="preserve"> </w:t>
            </w:r>
            <w:r>
              <w:rPr>
                <w:spacing w:val="4"/>
              </w:rPr>
              <w:t>、</w:t>
            </w:r>
            <w:r>
              <w:rPr>
                <w:rFonts w:ascii="Times New Roman" w:hAnsi="Times New Roman" w:eastAsia="Times New Roman" w:cs="Times New Roman"/>
                <w:spacing w:val="4"/>
              </w:rPr>
              <w:t>H</w:t>
            </w:r>
            <w:r>
              <w:rPr>
                <w:rFonts w:ascii="Times New Roman" w:hAnsi="Times New Roman" w:eastAsia="Times New Roman" w:cs="Times New Roman"/>
                <w:sz w:val="13"/>
                <w:szCs w:val="13"/>
                <w:spacing w:val="4"/>
                <w:position w:val="-1"/>
              </w:rPr>
              <w:t>2</w:t>
            </w:r>
            <w:r>
              <w:rPr>
                <w:rFonts w:ascii="Times New Roman" w:hAnsi="Times New Roman" w:eastAsia="Times New Roman" w:cs="Times New Roman"/>
                <w:spacing w:val="4"/>
              </w:rPr>
              <w:t>S0.003%</w:t>
            </w:r>
            <w:r>
              <w:rPr>
                <w:spacing w:val="4"/>
              </w:rPr>
              <w:t>（</w:t>
            </w:r>
            <w:r>
              <w:rPr>
                <w:rFonts w:ascii="Times New Roman" w:hAnsi="Times New Roman" w:eastAsia="Times New Roman" w:cs="Times New Roman"/>
                <w:spacing w:val="4"/>
              </w:rPr>
              <w:t>20</w:t>
            </w:r>
            <w:r>
              <w:rPr>
                <w:rFonts w:ascii="Times New Roman" w:hAnsi="Times New Roman" w:eastAsia="Times New Roman" w:cs="Times New Roman"/>
              </w:rPr>
              <w:t>mg</w:t>
            </w:r>
            <w:r>
              <w:rPr>
                <w:rFonts w:ascii="Times New Roman" w:hAnsi="Times New Roman" w:eastAsia="Times New Roman" w:cs="Times New Roman"/>
                <w:spacing w:val="4"/>
              </w:rPr>
              <w:t>/m</w:t>
            </w:r>
            <w:r>
              <w:rPr>
                <w:rFonts w:ascii="Times New Roman" w:hAnsi="Times New Roman" w:eastAsia="Times New Roman" w:cs="Times New Roman"/>
                <w:sz w:val="13"/>
                <w:szCs w:val="13"/>
                <w:spacing w:val="4"/>
                <w:position w:val="6"/>
              </w:rPr>
              <w:t>3 </w:t>
            </w:r>
            <w:r>
              <w:rPr>
                <w:spacing w:val="4"/>
              </w:rPr>
              <w:t>）、</w:t>
            </w:r>
            <w:r>
              <w:rPr>
                <w:rFonts w:ascii="Times New Roman" w:hAnsi="Times New Roman" w:eastAsia="Times New Roman" w:cs="Times New Roman"/>
                <w:spacing w:val="4"/>
              </w:rPr>
              <w:t>N</w:t>
            </w:r>
            <w:r>
              <w:rPr>
                <w:rFonts w:ascii="Times New Roman" w:hAnsi="Times New Roman" w:eastAsia="Times New Roman" w:cs="Times New Roman"/>
                <w:sz w:val="13"/>
                <w:szCs w:val="13"/>
                <w:spacing w:val="4"/>
                <w:position w:val="-1"/>
              </w:rPr>
              <w:t>2</w:t>
            </w:r>
            <w:r>
              <w:rPr>
                <w:rFonts w:ascii="Times New Roman" w:hAnsi="Times New Roman" w:eastAsia="Times New Roman" w:cs="Times New Roman"/>
                <w:sz w:val="13"/>
                <w:szCs w:val="13"/>
                <w:spacing w:val="9"/>
                <w:w w:val="101"/>
                <w:position w:val="-1"/>
              </w:rPr>
              <w:t xml:space="preserve"> </w:t>
            </w:r>
            <w:r>
              <w:rPr>
                <w:spacing w:val="4"/>
              </w:rPr>
              <w:t>及其他</w:t>
            </w:r>
            <w:r>
              <w:rPr>
                <w:spacing w:val="-23"/>
              </w:rPr>
              <w:t xml:space="preserve"> </w:t>
            </w:r>
            <w:r>
              <w:rPr>
                <w:rFonts w:ascii="Times New Roman" w:hAnsi="Times New Roman" w:eastAsia="Times New Roman" w:cs="Times New Roman"/>
                <w:spacing w:val="3"/>
              </w:rPr>
              <w:t>1.097%</w:t>
            </w:r>
          </w:p>
        </w:tc>
      </w:tr>
      <w:tr>
        <w:trPr>
          <w:trHeight w:val="292" w:hRule="atLeast"/>
        </w:trPr>
        <w:tc>
          <w:tcPr>
            <w:tcW w:w="2368" w:type="dxa"/>
            <w:vAlign w:val="top"/>
          </w:tcPr>
          <w:p>
            <w:pPr>
              <w:pStyle w:val="TableText"/>
              <w:ind w:left="519"/>
              <w:spacing w:before="40" w:line="221" w:lineRule="auto"/>
              <w:rPr/>
            </w:pPr>
            <w:r>
              <w:rPr>
                <w:spacing w:val="6"/>
              </w:rPr>
              <w:t>密度（</w:t>
            </w:r>
            <w:r>
              <w:rPr>
                <w:rFonts w:ascii="Times New Roman" w:hAnsi="Times New Roman" w:eastAsia="Times New Roman" w:cs="Times New Roman"/>
              </w:rPr>
              <w:t>kg</w:t>
            </w:r>
            <w:r>
              <w:rPr>
                <w:rFonts w:ascii="Times New Roman" w:hAnsi="Times New Roman" w:eastAsia="Times New Roman" w:cs="Times New Roman"/>
                <w:spacing w:val="6"/>
              </w:rPr>
              <w:t>/m</w:t>
            </w:r>
            <w:r>
              <w:rPr>
                <w:rFonts w:ascii="Times New Roman" w:hAnsi="Times New Roman" w:eastAsia="Times New Roman" w:cs="Times New Roman"/>
                <w:sz w:val="13"/>
                <w:szCs w:val="13"/>
                <w:spacing w:val="6"/>
                <w:position w:val="6"/>
              </w:rPr>
              <w:t>3</w:t>
            </w:r>
            <w:r>
              <w:rPr>
                <w:spacing w:val="6"/>
              </w:rPr>
              <w:t>）</w:t>
            </w:r>
          </w:p>
        </w:tc>
        <w:tc>
          <w:tcPr>
            <w:tcW w:w="6149" w:type="dxa"/>
            <w:vAlign w:val="top"/>
          </w:tcPr>
          <w:p>
            <w:pPr>
              <w:ind w:left="2842"/>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0.716</w:t>
            </w:r>
          </w:p>
        </w:tc>
      </w:tr>
      <w:tr>
        <w:trPr>
          <w:trHeight w:val="292" w:hRule="atLeast"/>
        </w:trPr>
        <w:tc>
          <w:tcPr>
            <w:tcW w:w="2368" w:type="dxa"/>
            <w:vAlign w:val="top"/>
          </w:tcPr>
          <w:p>
            <w:pPr>
              <w:pStyle w:val="TableText"/>
              <w:ind w:left="535"/>
              <w:spacing w:before="41" w:line="222" w:lineRule="auto"/>
              <w:rPr/>
            </w:pPr>
            <w:r>
              <w:rPr>
                <w:spacing w:val="5"/>
              </w:rPr>
              <w:t>热值（</w:t>
            </w:r>
            <w:r>
              <w:rPr>
                <w:rFonts w:ascii="Times New Roman" w:hAnsi="Times New Roman" w:eastAsia="Times New Roman" w:cs="Times New Roman"/>
              </w:rPr>
              <w:t>kJ</w:t>
            </w:r>
            <w:r>
              <w:rPr>
                <w:rFonts w:ascii="Times New Roman" w:hAnsi="Times New Roman" w:eastAsia="Times New Roman" w:cs="Times New Roman"/>
                <w:spacing w:val="5"/>
              </w:rPr>
              <w:t>/m</w:t>
            </w:r>
            <w:r>
              <w:rPr>
                <w:rFonts w:ascii="Times New Roman" w:hAnsi="Times New Roman" w:eastAsia="Times New Roman" w:cs="Times New Roman"/>
                <w:sz w:val="13"/>
                <w:szCs w:val="13"/>
                <w:spacing w:val="5"/>
                <w:position w:val="6"/>
              </w:rPr>
              <w:t>3</w:t>
            </w:r>
            <w:r>
              <w:rPr>
                <w:spacing w:val="5"/>
              </w:rPr>
              <w:t>）</w:t>
            </w:r>
          </w:p>
        </w:tc>
        <w:tc>
          <w:tcPr>
            <w:tcW w:w="6149" w:type="dxa"/>
            <w:vAlign w:val="top"/>
          </w:tcPr>
          <w:p>
            <w:pPr>
              <w:ind w:left="2812"/>
              <w:spacing w:before="7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21524</w:t>
            </w:r>
          </w:p>
        </w:tc>
      </w:tr>
      <w:tr>
        <w:trPr>
          <w:trHeight w:val="296" w:hRule="atLeast"/>
        </w:trPr>
        <w:tc>
          <w:tcPr>
            <w:tcW w:w="2368" w:type="dxa"/>
            <w:vAlign w:val="top"/>
          </w:tcPr>
          <w:p>
            <w:pPr>
              <w:pStyle w:val="TableText"/>
              <w:ind w:left="195"/>
              <w:spacing w:before="41" w:line="226" w:lineRule="auto"/>
              <w:rPr/>
            </w:pPr>
            <w:r>
              <w:rPr>
                <w:spacing w:val="6"/>
              </w:rPr>
              <w:t>燃烧烟气量（</w:t>
            </w:r>
            <w:r>
              <w:rPr>
                <w:rFonts w:ascii="Times New Roman" w:hAnsi="Times New Roman" w:eastAsia="Times New Roman" w:cs="Times New Roman"/>
                <w:spacing w:val="6"/>
              </w:rPr>
              <w:t>m</w:t>
            </w:r>
            <w:r>
              <w:rPr>
                <w:rFonts w:ascii="Times New Roman" w:hAnsi="Times New Roman" w:eastAsia="Times New Roman" w:cs="Times New Roman"/>
                <w:sz w:val="13"/>
                <w:szCs w:val="13"/>
                <w:spacing w:val="6"/>
                <w:position w:val="6"/>
              </w:rPr>
              <w:t>3</w:t>
            </w:r>
            <w:r>
              <w:rPr>
                <w:rFonts w:ascii="Times New Roman" w:hAnsi="Times New Roman" w:eastAsia="Times New Roman" w:cs="Times New Roman"/>
                <w:spacing w:val="6"/>
              </w:rPr>
              <w:t>/m</w:t>
            </w:r>
            <w:r>
              <w:rPr>
                <w:rFonts w:ascii="Times New Roman" w:hAnsi="Times New Roman" w:eastAsia="Times New Roman" w:cs="Times New Roman"/>
                <w:sz w:val="13"/>
                <w:szCs w:val="13"/>
                <w:spacing w:val="6"/>
                <w:position w:val="6"/>
              </w:rPr>
              <w:t>3</w:t>
            </w:r>
            <w:r>
              <w:rPr>
                <w:spacing w:val="6"/>
              </w:rPr>
              <w:t>）</w:t>
            </w:r>
          </w:p>
        </w:tc>
        <w:tc>
          <w:tcPr>
            <w:tcW w:w="6149" w:type="dxa"/>
            <w:vAlign w:val="top"/>
          </w:tcPr>
          <w:p>
            <w:pPr>
              <w:ind w:left="2847"/>
              <w:spacing w:before="7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8.914</w:t>
            </w:r>
          </w:p>
        </w:tc>
      </w:tr>
    </w:tbl>
    <w:p>
      <w:pPr>
        <w:ind w:left="18" w:right="61" w:firstLine="481"/>
        <w:spacing w:before="36" w:line="342" w:lineRule="auto"/>
        <w:rPr>
          <w:rFonts w:ascii="SimSun" w:hAnsi="SimSun" w:eastAsia="SimSun" w:cs="SimSun"/>
          <w:sz w:val="24"/>
          <w:szCs w:val="24"/>
        </w:rPr>
      </w:pPr>
      <w:r>
        <w:rPr>
          <w:rFonts w:ascii="SimSun" w:hAnsi="SimSun" w:eastAsia="SimSun" w:cs="SimSun"/>
          <w:sz w:val="24"/>
          <w:szCs w:val="24"/>
          <w:spacing w:val="-3"/>
        </w:rPr>
        <w:t>经查阅资料</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3"/>
        </w:rPr>
        <w:t>CH</w:t>
      </w:r>
      <w:r>
        <w:rPr>
          <w:rFonts w:ascii="Times New Roman" w:hAnsi="Times New Roman" w:eastAsia="Times New Roman" w:cs="Times New Roman"/>
          <w:sz w:val="15"/>
          <w:szCs w:val="15"/>
          <w:spacing w:val="-3"/>
          <w:position w:val="-2"/>
        </w:rPr>
        <w:t>4</w:t>
      </w:r>
      <w:r>
        <w:rPr>
          <w:rFonts w:ascii="Times New Roman" w:hAnsi="Times New Roman" w:eastAsia="Times New Roman" w:cs="Times New Roman"/>
          <w:sz w:val="15"/>
          <w:szCs w:val="15"/>
          <w:spacing w:val="31"/>
          <w:w w:val="101"/>
          <w:position w:val="-2"/>
        </w:rPr>
        <w:t xml:space="preserve"> </w:t>
      </w:r>
      <w:r>
        <w:rPr>
          <w:rFonts w:ascii="SimSun" w:hAnsi="SimSun" w:eastAsia="SimSun" w:cs="SimSun"/>
          <w:sz w:val="24"/>
          <w:szCs w:val="24"/>
          <w:spacing w:val="-3"/>
        </w:rPr>
        <w:t>的热值范围为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30000kJ/m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24"/>
          <w:szCs w:val="24"/>
          <w:spacing w:val="-3"/>
        </w:rPr>
        <w:t>~35000kJ/m</w:t>
      </w:r>
      <w:r>
        <w:rPr>
          <w:rFonts w:ascii="Times New Roman" w:hAnsi="Times New Roman" w:eastAsia="Times New Roman" w:cs="Times New Roman"/>
          <w:sz w:val="15"/>
          <w:szCs w:val="15"/>
          <w:spacing w:val="-3"/>
          <w:position w:val="7"/>
        </w:rPr>
        <w:t>3</w:t>
      </w:r>
      <w:r>
        <w:rPr>
          <w:rFonts w:ascii="SimSun" w:hAnsi="SimSun" w:eastAsia="SimSun" w:cs="SimSun"/>
          <w:sz w:val="24"/>
          <w:szCs w:val="24"/>
          <w:spacing w:val="-3"/>
        </w:rPr>
        <w:t>，本项目沼气中</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CH</w:t>
      </w:r>
      <w:r>
        <w:rPr>
          <w:rFonts w:ascii="Times New Roman" w:hAnsi="Times New Roman" w:eastAsia="Times New Roman" w:cs="Times New Roman"/>
          <w:sz w:val="15"/>
          <w:szCs w:val="15"/>
          <w:spacing w:val="-3"/>
          <w:position w:val="-2"/>
        </w:rPr>
        <w:t>4</w:t>
      </w:r>
      <w:r>
        <w:rPr>
          <w:rFonts w:ascii="Times New Roman" w:hAnsi="Times New Roman" w:eastAsia="Times New Roman" w:cs="Times New Roman"/>
          <w:sz w:val="15"/>
          <w:szCs w:val="15"/>
          <w:spacing w:val="29"/>
          <w:w w:val="101"/>
          <w:position w:val="-2"/>
        </w:rPr>
        <w:t xml:space="preserve"> </w:t>
      </w:r>
      <w:r>
        <w:rPr>
          <w:rFonts w:ascii="SimSun" w:hAnsi="SimSun" w:eastAsia="SimSun" w:cs="SimSun"/>
          <w:sz w:val="24"/>
          <w:szCs w:val="24"/>
          <w:spacing w:val="-3"/>
        </w:rPr>
        <w:t>的</w:t>
      </w:r>
      <w:r>
        <w:rPr>
          <w:rFonts w:ascii="SimSun" w:hAnsi="SimSun" w:eastAsia="SimSun" w:cs="SimSun"/>
          <w:sz w:val="24"/>
          <w:szCs w:val="24"/>
        </w:rPr>
        <w:t xml:space="preserve"> </w:t>
      </w:r>
      <w:r>
        <w:rPr>
          <w:rFonts w:ascii="SimSun" w:hAnsi="SimSun" w:eastAsia="SimSun" w:cs="SimSun"/>
          <w:sz w:val="24"/>
          <w:szCs w:val="24"/>
          <w:spacing w:val="-2"/>
        </w:rPr>
        <w:t>含量为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60%</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，因此本项目沼气的热值取</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21524kJ/m</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15"/>
          <w:szCs w:val="15"/>
          <w:spacing w:val="15"/>
          <w:w w:val="102"/>
          <w:position w:val="8"/>
        </w:rPr>
        <w:t xml:space="preserve"> </w:t>
      </w:r>
      <w:r>
        <w:rPr>
          <w:rFonts w:ascii="SimSun" w:hAnsi="SimSun" w:eastAsia="SimSun" w:cs="SimSun"/>
          <w:sz w:val="24"/>
          <w:szCs w:val="24"/>
          <w:spacing w:val="-2"/>
        </w:rPr>
        <w:t>是可行的。</w:t>
      </w:r>
    </w:p>
    <w:p>
      <w:pPr>
        <w:ind w:left="503"/>
        <w:spacing w:line="323" w:lineRule="exact"/>
        <w:rPr>
          <w:rFonts w:ascii="Times New Roman" w:hAnsi="Times New Roman" w:eastAsia="Times New Roman" w:cs="Times New Roman"/>
          <w:sz w:val="24"/>
          <w:szCs w:val="24"/>
        </w:rPr>
      </w:pPr>
      <w:r>
        <w:rPr>
          <w:rFonts w:ascii="SimSun" w:hAnsi="SimSun" w:eastAsia="SimSun" w:cs="SimSun"/>
          <w:sz w:val="24"/>
          <w:szCs w:val="24"/>
          <w:spacing w:val="-1"/>
          <w:position w:val="1"/>
        </w:rPr>
        <w:t>沼气锅炉烟气产生量为：</w:t>
      </w:r>
      <w:r>
        <w:rPr>
          <w:rFonts w:ascii="Times New Roman" w:hAnsi="Times New Roman" w:eastAsia="Times New Roman" w:cs="Times New Roman"/>
          <w:sz w:val="24"/>
          <w:szCs w:val="24"/>
          <w:spacing w:val="-1"/>
          <w:position w:val="1"/>
        </w:rPr>
        <w:t>3150/24×8.914=</w:t>
      </w:r>
      <w:r>
        <w:rPr>
          <w:rFonts w:ascii="Times New Roman" w:hAnsi="Times New Roman" w:eastAsia="Times New Roman" w:cs="Times New Roman"/>
          <w:sz w:val="24"/>
          <w:szCs w:val="24"/>
          <w:spacing w:val="-33"/>
          <w:position w:val="1"/>
        </w:rPr>
        <w:t xml:space="preserve"> </w:t>
      </w:r>
      <w:r>
        <w:rPr>
          <w:rFonts w:ascii="Times New Roman" w:hAnsi="Times New Roman" w:eastAsia="Times New Roman" w:cs="Times New Roman"/>
          <w:sz w:val="24"/>
          <w:szCs w:val="24"/>
          <w:spacing w:val="-1"/>
          <w:position w:val="1"/>
        </w:rPr>
        <w:t>1169.96</w:t>
      </w:r>
      <w:r>
        <w:rPr>
          <w:rFonts w:ascii="Times New Roman" w:hAnsi="Times New Roman" w:eastAsia="Times New Roman" w:cs="Times New Roman"/>
          <w:sz w:val="24"/>
          <w:szCs w:val="24"/>
          <w:spacing w:val="-2"/>
          <w:position w:val="1"/>
        </w:rPr>
        <w:t>Nm</w:t>
      </w:r>
      <w:r>
        <w:rPr>
          <w:rFonts w:ascii="Times New Roman" w:hAnsi="Times New Roman" w:eastAsia="Times New Roman" w:cs="Times New Roman"/>
          <w:sz w:val="15"/>
          <w:szCs w:val="15"/>
          <w:spacing w:val="-2"/>
          <w:position w:val="9"/>
        </w:rPr>
        <w:t>3</w:t>
      </w:r>
      <w:r>
        <w:rPr>
          <w:rFonts w:ascii="Times New Roman" w:hAnsi="Times New Roman" w:eastAsia="Times New Roman" w:cs="Times New Roman"/>
          <w:sz w:val="24"/>
          <w:szCs w:val="24"/>
          <w:spacing w:val="-2"/>
          <w:position w:val="1"/>
        </w:rPr>
        <w:t>/h</w:t>
      </w:r>
    </w:p>
    <w:p>
      <w:pPr>
        <w:ind w:left="17" w:right="61" w:firstLine="480"/>
        <w:spacing w:before="187" w:line="348" w:lineRule="auto"/>
        <w:rPr>
          <w:rFonts w:ascii="SimSun" w:hAnsi="SimSun" w:eastAsia="SimSun" w:cs="SimSun"/>
          <w:sz w:val="24"/>
          <w:szCs w:val="24"/>
        </w:rPr>
      </w:pPr>
      <w:r>
        <w:rPr>
          <w:rFonts w:ascii="SimSun" w:hAnsi="SimSun" w:eastAsia="SimSun" w:cs="SimSun"/>
          <w:sz w:val="24"/>
          <w:szCs w:val="24"/>
        </w:rPr>
        <w:t>根据《环境影响评价工程师职业资格登记培</w:t>
      </w:r>
      <w:r>
        <w:rPr>
          <w:rFonts w:ascii="SimSun" w:hAnsi="SimSun" w:eastAsia="SimSun" w:cs="SimSun"/>
          <w:sz w:val="24"/>
          <w:szCs w:val="24"/>
          <w:spacing w:val="-1"/>
        </w:rPr>
        <w:t>训教材（社会区域类）》中</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P123</w:t>
      </w:r>
      <w:r>
        <w:rPr>
          <w:rFonts w:ascii="Times New Roman" w:hAnsi="Times New Roman" w:eastAsia="Times New Roman" w:cs="Times New Roman"/>
          <w:sz w:val="24"/>
          <w:szCs w:val="24"/>
        </w:rPr>
        <w:t xml:space="preserve"> </w:t>
      </w:r>
      <w:r>
        <w:rPr>
          <w:rFonts w:ascii="SimSun" w:hAnsi="SimSun" w:eastAsia="SimSun" w:cs="SimSun"/>
          <w:sz w:val="24"/>
          <w:szCs w:val="24"/>
          <w:spacing w:val="-1"/>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4-12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油、气燃料的污染物排放因子数据，燃烧</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1"/>
        </w:rPr>
        <w:t>万立方米天然气产生</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1.4kg </w:t>
      </w:r>
      <w:r>
        <w:rPr>
          <w:rFonts w:ascii="SimSun" w:hAnsi="SimSun" w:eastAsia="SimSun" w:cs="SimSun"/>
          <w:sz w:val="24"/>
          <w:szCs w:val="24"/>
          <w:spacing w:val="-1"/>
        </w:rPr>
        <w:t>烟</w:t>
      </w:r>
      <w:r>
        <w:rPr>
          <w:rFonts w:ascii="SimSun" w:hAnsi="SimSun" w:eastAsia="SimSun" w:cs="SimSun"/>
          <w:sz w:val="24"/>
          <w:szCs w:val="24"/>
        </w:rPr>
        <w:t xml:space="preserve"> </w:t>
      </w:r>
      <w:r>
        <w:rPr>
          <w:rFonts w:ascii="SimSun" w:hAnsi="SimSun" w:eastAsia="SimSun" w:cs="SimSun"/>
          <w:sz w:val="24"/>
          <w:szCs w:val="24"/>
          <w:spacing w:val="-3"/>
        </w:rPr>
        <w:t>尘排放。</w:t>
      </w:r>
    </w:p>
    <w:p>
      <w:pPr>
        <w:ind w:left="18" w:firstLine="484"/>
        <w:spacing w:before="1" w:line="351" w:lineRule="auto"/>
        <w:rPr>
          <w:rFonts w:ascii="SimSun" w:hAnsi="SimSun" w:eastAsia="SimSun" w:cs="SimSun"/>
          <w:sz w:val="24"/>
          <w:szCs w:val="24"/>
        </w:rPr>
      </w:pPr>
      <w:r>
        <w:rPr>
          <w:rFonts w:ascii="SimSun" w:hAnsi="SimSun" w:eastAsia="SimSun" w:cs="SimSun"/>
          <w:sz w:val="24"/>
          <w:szCs w:val="24"/>
          <w:spacing w:val="-2"/>
        </w:rPr>
        <w:t>沼气锅炉烟气中颗粒物的产生与排放量为</w:t>
      </w:r>
      <w:r>
        <w:rPr>
          <w:rFonts w:ascii="SimSun" w:hAnsi="SimSun" w:eastAsia="SimSun" w:cs="SimSun"/>
          <w:sz w:val="24"/>
          <w:szCs w:val="24"/>
          <w:spacing w:val="-67"/>
        </w:rPr>
        <w:t xml:space="preserve"> </w:t>
      </w:r>
      <w:r>
        <w:rPr>
          <w:rFonts w:ascii="Times New Roman" w:hAnsi="Times New Roman" w:eastAsia="Times New Roman" w:cs="Times New Roman"/>
          <w:sz w:val="24"/>
          <w:szCs w:val="24"/>
          <w:spacing w:val="-2"/>
        </w:rPr>
        <w:t>3150/10000×1.4×300/1000=</w:t>
      </w:r>
      <w:r>
        <w:rPr>
          <w:rFonts w:ascii="Times New Roman" w:hAnsi="Times New Roman" w:eastAsia="Times New Roman" w:cs="Times New Roman"/>
          <w:sz w:val="24"/>
          <w:szCs w:val="24"/>
          <w:spacing w:val="-3"/>
        </w:rPr>
        <w:t>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132t/a</w:t>
      </w:r>
      <w:r>
        <w:rPr>
          <w:rFonts w:ascii="SimSun" w:hAnsi="SimSun" w:eastAsia="SimSun" w:cs="SimSun"/>
          <w:sz w:val="24"/>
          <w:szCs w:val="24"/>
          <w:spacing w:val="-3"/>
        </w:rPr>
        <w:t>，</w:t>
      </w:r>
      <w:r>
        <w:rPr>
          <w:rFonts w:ascii="SimSun" w:hAnsi="SimSun" w:eastAsia="SimSun" w:cs="SimSun"/>
          <w:sz w:val="24"/>
          <w:szCs w:val="24"/>
        </w:rPr>
        <w:t xml:space="preserve"> </w:t>
      </w:r>
      <w:r>
        <w:rPr>
          <w:rFonts w:ascii="SimSun" w:hAnsi="SimSun" w:eastAsia="SimSun" w:cs="SimSun"/>
          <w:sz w:val="24"/>
          <w:szCs w:val="24"/>
          <w:spacing w:val="-2"/>
        </w:rPr>
        <w:t>产生与排放速率为</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0.018kg/h</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、产生与排放浓度为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15.38mg/Nm</w:t>
      </w:r>
      <w:r>
        <w:rPr>
          <w:rFonts w:ascii="Times New Roman" w:hAnsi="Times New Roman" w:eastAsia="Times New Roman" w:cs="Times New Roman"/>
          <w:sz w:val="15"/>
          <w:szCs w:val="15"/>
          <w:spacing w:val="-2"/>
          <w:position w:val="8"/>
        </w:rPr>
        <w:t>3</w:t>
      </w:r>
      <w:r>
        <w:rPr>
          <w:rFonts w:ascii="SimSun" w:hAnsi="SimSun" w:eastAsia="SimSun" w:cs="SimSun"/>
          <w:sz w:val="24"/>
          <w:szCs w:val="24"/>
          <w:spacing w:val="-2"/>
        </w:rPr>
        <w:t>。</w:t>
      </w:r>
    </w:p>
    <w:p>
      <w:pPr>
        <w:ind w:left="20" w:right="61" w:firstLine="482"/>
        <w:spacing w:before="21" w:line="350" w:lineRule="auto"/>
        <w:rPr>
          <w:rFonts w:ascii="SimSun" w:hAnsi="SimSun" w:eastAsia="SimSun" w:cs="SimSun"/>
          <w:sz w:val="24"/>
          <w:szCs w:val="24"/>
        </w:rPr>
      </w:pPr>
      <w:r>
        <w:rPr>
          <w:rFonts w:ascii="SimSun" w:hAnsi="SimSun" w:eastAsia="SimSun" w:cs="SimSun"/>
          <w:sz w:val="24"/>
          <w:szCs w:val="24"/>
          <w:spacing w:val="-2"/>
        </w:rPr>
        <w:t>沼气锅炉烟气中</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SO</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15"/>
          <w:szCs w:val="15"/>
          <w:spacing w:val="11"/>
          <w:w w:val="102"/>
          <w:position w:val="-1"/>
        </w:rPr>
        <w:t xml:space="preserve"> </w:t>
      </w:r>
      <w:r>
        <w:rPr>
          <w:rFonts w:ascii="SimSun" w:hAnsi="SimSun" w:eastAsia="SimSun" w:cs="SimSun"/>
          <w:sz w:val="24"/>
          <w:szCs w:val="24"/>
          <w:spacing w:val="-2"/>
        </w:rPr>
        <w:t>产生与排放量为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3150×20×32/34×2×300/10</w:t>
      </w:r>
      <w:r>
        <w:rPr>
          <w:rFonts w:ascii="Times New Roman" w:hAnsi="Times New Roman" w:eastAsia="Times New Roman" w:cs="Times New Roman"/>
          <w:sz w:val="15"/>
          <w:szCs w:val="15"/>
          <w:spacing w:val="-2"/>
          <w:position w:val="7"/>
        </w:rPr>
        <w:t>9</w:t>
      </w:r>
      <w:r>
        <w:rPr>
          <w:rFonts w:ascii="Times New Roman" w:hAnsi="Times New Roman" w:eastAsia="Times New Roman" w:cs="Times New Roman"/>
          <w:sz w:val="24"/>
          <w:szCs w:val="24"/>
          <w:spacing w:val="-2"/>
        </w:rPr>
        <w:t>=0.</w:t>
      </w:r>
      <w:r>
        <w:rPr>
          <w:rFonts w:ascii="Times New Roman" w:hAnsi="Times New Roman" w:eastAsia="Times New Roman" w:cs="Times New Roman"/>
          <w:sz w:val="24"/>
          <w:szCs w:val="24"/>
          <w:spacing w:val="-3"/>
        </w:rPr>
        <w:t>0378t/a</w:t>
      </w:r>
      <w:r>
        <w:rPr>
          <w:rFonts w:ascii="SimSun" w:hAnsi="SimSun" w:eastAsia="SimSun" w:cs="SimSun"/>
          <w:sz w:val="24"/>
          <w:szCs w:val="24"/>
          <w:spacing w:val="-3"/>
        </w:rPr>
        <w:t>，产</w:t>
      </w:r>
      <w:r>
        <w:rPr>
          <w:rFonts w:ascii="SimSun" w:hAnsi="SimSun" w:eastAsia="SimSun" w:cs="SimSun"/>
          <w:sz w:val="24"/>
          <w:szCs w:val="24"/>
        </w:rPr>
        <w:t xml:space="preserve"> </w:t>
      </w:r>
      <w:r>
        <w:rPr>
          <w:rFonts w:ascii="SimSun" w:hAnsi="SimSun" w:eastAsia="SimSun" w:cs="SimSun"/>
          <w:sz w:val="24"/>
          <w:szCs w:val="24"/>
          <w:spacing w:val="-1"/>
        </w:rPr>
        <w:t>生与排放速率为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0.0052kg/h</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1"/>
        </w:rPr>
        <w:t>、产生与排放浓度</w:t>
      </w:r>
      <w:r>
        <w:rPr>
          <w:rFonts w:ascii="SimSun" w:hAnsi="SimSun" w:eastAsia="SimSun" w:cs="SimSun"/>
          <w:sz w:val="24"/>
          <w:szCs w:val="24"/>
          <w:spacing w:val="-2"/>
        </w:rPr>
        <w:t>为</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2"/>
        </w:rPr>
        <w:t>4.48mg/Nm</w:t>
      </w:r>
      <w:r>
        <w:rPr>
          <w:rFonts w:ascii="Times New Roman" w:hAnsi="Times New Roman" w:eastAsia="Times New Roman" w:cs="Times New Roman"/>
          <w:sz w:val="15"/>
          <w:szCs w:val="15"/>
          <w:spacing w:val="-2"/>
          <w:position w:val="8"/>
        </w:rPr>
        <w:t>3</w:t>
      </w:r>
      <w:r>
        <w:rPr>
          <w:rFonts w:ascii="SimSun" w:hAnsi="SimSun" w:eastAsia="SimSun" w:cs="SimSun"/>
          <w:sz w:val="24"/>
          <w:szCs w:val="24"/>
          <w:spacing w:val="-2"/>
        </w:rPr>
        <w:t>。</w:t>
      </w:r>
    </w:p>
    <w:p>
      <w:pPr>
        <w:ind w:left="17" w:right="61" w:firstLine="468"/>
        <w:spacing w:before="67" w:line="342" w:lineRule="auto"/>
        <w:rPr>
          <w:rFonts w:ascii="SimSun" w:hAnsi="SimSun" w:eastAsia="SimSun" w:cs="SimSun"/>
          <w:sz w:val="24"/>
          <w:szCs w:val="24"/>
        </w:rPr>
      </w:pPr>
      <w:r>
        <w:rPr>
          <w:rFonts w:ascii="Times New Roman" w:hAnsi="Times New Roman" w:eastAsia="Times New Roman" w:cs="Times New Roman"/>
          <w:sz w:val="24"/>
          <w:szCs w:val="24"/>
        </w:rPr>
        <w:t>NO</w:t>
      </w:r>
      <w:r>
        <w:rPr>
          <w:rFonts w:ascii="Times New Roman" w:hAnsi="Times New Roman" w:eastAsia="Times New Roman" w:cs="Times New Roman"/>
          <w:sz w:val="15"/>
          <w:szCs w:val="15"/>
          <w:position w:val="-1"/>
        </w:rPr>
        <w:t>x</w:t>
      </w:r>
      <w:r>
        <w:rPr>
          <w:rFonts w:ascii="Times New Roman" w:hAnsi="Times New Roman" w:eastAsia="Times New Roman" w:cs="Times New Roman"/>
          <w:sz w:val="15"/>
          <w:szCs w:val="15"/>
          <w:spacing w:val="31"/>
          <w:w w:val="102"/>
          <w:position w:val="-1"/>
        </w:rPr>
        <w:t xml:space="preserve"> </w:t>
      </w:r>
      <w:r>
        <w:rPr>
          <w:rFonts w:ascii="SimSun" w:hAnsi="SimSun" w:eastAsia="SimSun" w:cs="SimSun"/>
          <w:sz w:val="24"/>
          <w:szCs w:val="24"/>
          <w:spacing w:val="1"/>
        </w:rPr>
        <w:t>的排放量根据《</w:t>
      </w:r>
      <w:r>
        <w:rPr>
          <w:rFonts w:ascii="Times New Roman" w:hAnsi="Times New Roman" w:eastAsia="Times New Roman" w:cs="Times New Roman"/>
          <w:sz w:val="24"/>
          <w:szCs w:val="24"/>
          <w:spacing w:val="1"/>
        </w:rPr>
        <w:t>2006 </w:t>
      </w:r>
      <w:r>
        <w:rPr>
          <w:rFonts w:ascii="SimSun" w:hAnsi="SimSun" w:eastAsia="SimSun" w:cs="SimSun"/>
          <w:sz w:val="24"/>
          <w:szCs w:val="24"/>
          <w:spacing w:val="1"/>
        </w:rPr>
        <w:t>年全国氮氧化物排放统计技术要求》计算，沼气燃</w:t>
      </w:r>
      <w:r>
        <w:rPr>
          <w:rFonts w:ascii="SimSun" w:hAnsi="SimSun" w:eastAsia="SimSun" w:cs="SimSun"/>
          <w:sz w:val="24"/>
          <w:szCs w:val="24"/>
        </w:rPr>
        <w:t xml:space="preserve"> </w:t>
      </w:r>
      <w:r>
        <w:rPr>
          <w:rFonts w:ascii="SimSun" w:hAnsi="SimSun" w:eastAsia="SimSun" w:cs="SimSun"/>
          <w:sz w:val="24"/>
          <w:szCs w:val="24"/>
          <w:spacing w:val="-1"/>
        </w:rPr>
        <w:t>烧过程</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1"/>
        </w:rPr>
        <w:t>NO</w:t>
      </w:r>
      <w:r>
        <w:rPr>
          <w:rFonts w:ascii="Times New Roman" w:hAnsi="Times New Roman" w:eastAsia="Times New Roman" w:cs="Times New Roman"/>
          <w:sz w:val="15"/>
          <w:szCs w:val="15"/>
          <w:spacing w:val="-1"/>
          <w:position w:val="-1"/>
        </w:rPr>
        <w:t>x </w:t>
      </w:r>
      <w:r>
        <w:rPr>
          <w:rFonts w:ascii="SimSun" w:hAnsi="SimSun" w:eastAsia="SimSun" w:cs="SimSun"/>
          <w:sz w:val="24"/>
          <w:szCs w:val="24"/>
          <w:spacing w:val="-1"/>
        </w:rPr>
        <w:t>排放系数为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5.0kg/10</w:t>
      </w:r>
      <w:r>
        <w:rPr>
          <w:rFonts w:ascii="Times New Roman" w:hAnsi="Times New Roman" w:eastAsia="Times New Roman" w:cs="Times New Roman"/>
          <w:sz w:val="15"/>
          <w:szCs w:val="15"/>
          <w:spacing w:val="-1"/>
          <w:position w:val="8"/>
        </w:rPr>
        <w:t>8</w:t>
      </w:r>
      <w:r>
        <w:rPr>
          <w:rFonts w:ascii="Times New Roman" w:hAnsi="Times New Roman" w:eastAsia="Times New Roman" w:cs="Times New Roman"/>
          <w:sz w:val="24"/>
          <w:szCs w:val="24"/>
          <w:spacing w:val="-1"/>
        </w:rPr>
        <w:t>kJ</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，沼气的发热值为</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21524kJ/m</w:t>
      </w:r>
      <w:r>
        <w:rPr>
          <w:rFonts w:ascii="Times New Roman" w:hAnsi="Times New Roman" w:eastAsia="Times New Roman" w:cs="Times New Roman"/>
          <w:sz w:val="15"/>
          <w:szCs w:val="15"/>
          <w:spacing w:val="-1"/>
          <w:position w:val="8"/>
        </w:rPr>
        <w:t>3</w:t>
      </w:r>
      <w:r>
        <w:rPr>
          <w:rFonts w:ascii="SimSun" w:hAnsi="SimSun" w:eastAsia="SimSun" w:cs="SimSun"/>
          <w:sz w:val="24"/>
          <w:szCs w:val="24"/>
          <w:spacing w:val="-1"/>
        </w:rPr>
        <w:t>。</w:t>
      </w:r>
    </w:p>
    <w:p>
      <w:pPr>
        <w:ind w:left="503"/>
        <w:spacing w:line="323" w:lineRule="exact"/>
        <w:rPr>
          <w:rFonts w:ascii="SimSun" w:hAnsi="SimSun" w:eastAsia="SimSun" w:cs="SimSun"/>
          <w:sz w:val="24"/>
          <w:szCs w:val="24"/>
        </w:rPr>
      </w:pPr>
      <w:r>
        <w:rPr>
          <w:rFonts w:ascii="SimSun" w:hAnsi="SimSun" w:eastAsia="SimSun" w:cs="SimSun"/>
          <w:sz w:val="24"/>
          <w:szCs w:val="24"/>
          <w:spacing w:val="-2"/>
          <w:position w:val="1"/>
        </w:rPr>
        <w:t>沼气锅炉烟气中</w:t>
      </w:r>
      <w:r>
        <w:rPr>
          <w:rFonts w:ascii="SimSun" w:hAnsi="SimSun" w:eastAsia="SimSun" w:cs="SimSun"/>
          <w:sz w:val="24"/>
          <w:szCs w:val="24"/>
          <w:spacing w:val="-62"/>
          <w:position w:val="1"/>
        </w:rPr>
        <w:t xml:space="preserve"> </w:t>
      </w:r>
      <w:r>
        <w:rPr>
          <w:rFonts w:ascii="Times New Roman" w:hAnsi="Times New Roman" w:eastAsia="Times New Roman" w:cs="Times New Roman"/>
          <w:sz w:val="24"/>
          <w:szCs w:val="24"/>
          <w:spacing w:val="-2"/>
          <w:position w:val="1"/>
        </w:rPr>
        <w:t>NO</w:t>
      </w:r>
      <w:r>
        <w:rPr>
          <w:rFonts w:ascii="Times New Roman" w:hAnsi="Times New Roman" w:eastAsia="Times New Roman" w:cs="Times New Roman"/>
          <w:sz w:val="15"/>
          <w:szCs w:val="15"/>
          <w:spacing w:val="-2"/>
        </w:rPr>
        <w:t>x</w:t>
      </w:r>
      <w:r>
        <w:rPr>
          <w:rFonts w:ascii="Times New Roman" w:hAnsi="Times New Roman" w:eastAsia="Times New Roman" w:cs="Times New Roman"/>
          <w:sz w:val="15"/>
          <w:szCs w:val="15"/>
          <w:spacing w:val="9"/>
        </w:rPr>
        <w:t xml:space="preserve"> </w:t>
      </w:r>
      <w:r>
        <w:rPr>
          <w:rFonts w:ascii="SimSun" w:hAnsi="SimSun" w:eastAsia="SimSun" w:cs="SimSun"/>
          <w:sz w:val="24"/>
          <w:szCs w:val="24"/>
          <w:spacing w:val="-2"/>
          <w:position w:val="1"/>
        </w:rPr>
        <w:t>产生与排放量为</w:t>
      </w:r>
      <w:r>
        <w:rPr>
          <w:rFonts w:ascii="SimSun" w:hAnsi="SimSun" w:eastAsia="SimSun" w:cs="SimSun"/>
          <w:sz w:val="24"/>
          <w:szCs w:val="24"/>
          <w:spacing w:val="-49"/>
          <w:position w:val="1"/>
        </w:rPr>
        <w:t xml:space="preserve"> </w:t>
      </w:r>
      <w:r>
        <w:rPr>
          <w:rFonts w:ascii="Times New Roman" w:hAnsi="Times New Roman" w:eastAsia="Times New Roman" w:cs="Times New Roman"/>
          <w:sz w:val="24"/>
          <w:szCs w:val="24"/>
          <w:spacing w:val="-2"/>
          <w:position w:val="1"/>
        </w:rPr>
        <w:t>5×21524/10</w:t>
      </w:r>
      <w:r>
        <w:rPr>
          <w:rFonts w:ascii="Times New Roman" w:hAnsi="Times New Roman" w:eastAsia="Times New Roman" w:cs="Times New Roman"/>
          <w:sz w:val="15"/>
          <w:szCs w:val="15"/>
          <w:spacing w:val="-2"/>
          <w:position w:val="8"/>
        </w:rPr>
        <w:t>8</w:t>
      </w:r>
      <w:r>
        <w:rPr>
          <w:rFonts w:ascii="Times New Roman" w:hAnsi="Times New Roman" w:eastAsia="Times New Roman" w:cs="Times New Roman"/>
          <w:sz w:val="15"/>
          <w:szCs w:val="15"/>
          <w:spacing w:val="-17"/>
          <w:position w:val="8"/>
        </w:rPr>
        <w:t xml:space="preserve"> </w:t>
      </w:r>
      <w:r>
        <w:rPr>
          <w:rFonts w:ascii="Times New Roman" w:hAnsi="Times New Roman" w:eastAsia="Times New Roman" w:cs="Times New Roman"/>
          <w:sz w:val="24"/>
          <w:szCs w:val="24"/>
          <w:spacing w:val="-2"/>
          <w:position w:val="1"/>
        </w:rPr>
        <w:t>×3150×300/10</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24"/>
          <w:szCs w:val="24"/>
          <w:spacing w:val="-2"/>
          <w:position w:val="1"/>
        </w:rPr>
        <w:t>=</w:t>
      </w:r>
      <w:r>
        <w:rPr>
          <w:rFonts w:ascii="Times New Roman" w:hAnsi="Times New Roman" w:eastAsia="Times New Roman" w:cs="Times New Roman"/>
          <w:sz w:val="24"/>
          <w:szCs w:val="24"/>
          <w:spacing w:val="-32"/>
          <w:position w:val="1"/>
        </w:rPr>
        <w:t xml:space="preserve"> </w:t>
      </w:r>
      <w:r>
        <w:rPr>
          <w:rFonts w:ascii="Times New Roman" w:hAnsi="Times New Roman" w:eastAsia="Times New Roman" w:cs="Times New Roman"/>
          <w:sz w:val="24"/>
          <w:szCs w:val="24"/>
          <w:spacing w:val="-2"/>
          <w:position w:val="1"/>
        </w:rPr>
        <w:t>1</w:t>
      </w:r>
      <w:r>
        <w:rPr>
          <w:rFonts w:ascii="Times New Roman" w:hAnsi="Times New Roman" w:eastAsia="Times New Roman" w:cs="Times New Roman"/>
          <w:sz w:val="24"/>
          <w:szCs w:val="24"/>
          <w:spacing w:val="-3"/>
          <w:position w:val="1"/>
        </w:rPr>
        <w:t>.017t/a</w:t>
      </w:r>
      <w:r>
        <w:rPr>
          <w:rFonts w:ascii="SimSun" w:hAnsi="SimSun" w:eastAsia="SimSun" w:cs="SimSun"/>
          <w:sz w:val="24"/>
          <w:szCs w:val="24"/>
          <w:spacing w:val="-3"/>
          <w:position w:val="1"/>
        </w:rPr>
        <w:t>，产</w:t>
      </w:r>
    </w:p>
    <w:p>
      <w:pPr>
        <w:pStyle w:val="BodyText"/>
        <w:spacing w:line="457" w:lineRule="auto"/>
        <w:rPr/>
      </w:pPr>
      <w:r/>
    </w:p>
    <w:p>
      <w:pPr>
        <w:ind w:left="16"/>
        <w:spacing w:before="61" w:line="227" w:lineRule="auto"/>
        <w:rPr>
          <w:rFonts w:ascii="SimSun" w:hAnsi="SimSun" w:eastAsia="SimSun" w:cs="SimSun"/>
          <w:sz w:val="19"/>
          <w:szCs w:val="19"/>
        </w:rPr>
      </w:pPr>
      <w:r>
        <w:pict>
          <v:shape id="_x0000_s480" style="position:absolute;margin-left:159.77pt;margin-top:2.08915pt;mso-position-vertical-relative:text;mso-position-horizontal-relative:text;width:58.85pt;height:13.75pt;z-index:251866112;"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28"/>
                    </w:rPr>
                    <w:t xml:space="preserve">   </w:t>
                  </w:r>
                  <w:r>
                    <w:rPr>
                      <w:rFonts w:ascii="Times New Roman" w:hAnsi="Times New Roman" w:eastAsia="Times New Roman" w:cs="Times New Roman"/>
                      <w:sz w:val="18"/>
                      <w:szCs w:val="18"/>
                      <w:spacing w:val="3"/>
                      <w:position w:val="2"/>
                    </w:rPr>
                    <w:t>93</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03"/>
          <w:pgSz w:w="11907" w:h="16840"/>
          <w:pgMar w:top="1567" w:right="1640" w:bottom="400" w:left="1692" w:header="1221" w:footer="0" w:gutter="0"/>
        </w:sectPr>
        <w:rPr>
          <w:rFonts w:ascii="SimSun" w:hAnsi="SimSun" w:eastAsia="SimSun" w:cs="SimSun"/>
          <w:sz w:val="19"/>
          <w:szCs w:val="19"/>
        </w:rPr>
      </w:pPr>
    </w:p>
    <w:p>
      <w:pPr>
        <w:ind w:left="20"/>
        <w:spacing w:before="168" w:line="212" w:lineRule="auto"/>
        <w:rPr>
          <w:rFonts w:ascii="SimSun" w:hAnsi="SimSun" w:eastAsia="SimSun" w:cs="SimSun"/>
          <w:sz w:val="24"/>
          <w:szCs w:val="24"/>
        </w:rPr>
      </w:pPr>
      <w:r>
        <w:pict>
          <v:shape id="_x0000_s484" style="position:absolute;margin-left:85.05pt;margin-top:78.87pt;mso-position-vertical-relative:page;mso-position-horizontal-relative:page;width:425.25pt;height:0.75pt;z-index:251869184;" o:allowincell="f" fillcolor="#000000" filled="true" stroked="false" coordsize="8505,15" coordorigin="0,0" path="m,l8505,0l8505,14l0,14l0,0xe"/>
        </w:pict>
      </w:r>
      <w:r>
        <w:rPr>
          <w:rFonts w:ascii="SimSun" w:hAnsi="SimSun" w:eastAsia="SimSun" w:cs="SimSun"/>
          <w:sz w:val="24"/>
          <w:szCs w:val="24"/>
          <w:spacing w:val="-3"/>
        </w:rPr>
        <w:t>生与排放速率为</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141kg/h</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、产生与排放浓度为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120.73mg/Nm</w:t>
      </w:r>
      <w:r>
        <w:rPr>
          <w:rFonts w:ascii="Times New Roman" w:hAnsi="Times New Roman" w:eastAsia="Times New Roman" w:cs="Times New Roman"/>
          <w:sz w:val="15"/>
          <w:szCs w:val="15"/>
          <w:spacing w:val="-3"/>
          <w:position w:val="8"/>
        </w:rPr>
        <w:t>3</w:t>
      </w:r>
      <w:r>
        <w:rPr>
          <w:rFonts w:ascii="SimSun" w:hAnsi="SimSun" w:eastAsia="SimSun" w:cs="SimSun"/>
          <w:sz w:val="24"/>
          <w:szCs w:val="24"/>
          <w:spacing w:val="-3"/>
        </w:rPr>
        <w:t>。</w:t>
      </w:r>
    </w:p>
    <w:p>
      <w:pPr>
        <w:ind w:left="510"/>
        <w:spacing w:before="189"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5</w:t>
      </w:r>
      <w:r>
        <w:rPr>
          <w:rFonts w:ascii="SimSun" w:hAnsi="SimSun" w:eastAsia="SimSun" w:cs="SimSun"/>
          <w:sz w:val="24"/>
          <w:szCs w:val="24"/>
          <w:spacing w:val="-2"/>
        </w:rPr>
        <w:t>）生物质锅炉烟气（</w:t>
      </w:r>
      <w:r>
        <w:rPr>
          <w:rFonts w:ascii="Times New Roman" w:hAnsi="Times New Roman" w:eastAsia="Times New Roman" w:cs="Times New Roman"/>
          <w:sz w:val="24"/>
          <w:szCs w:val="24"/>
          <w:spacing w:val="-2"/>
        </w:rPr>
        <w:t>G</w:t>
      </w:r>
      <w:r>
        <w:rPr>
          <w:rFonts w:ascii="Times New Roman" w:hAnsi="Times New Roman" w:eastAsia="Times New Roman" w:cs="Times New Roman"/>
          <w:sz w:val="15"/>
          <w:szCs w:val="15"/>
          <w:spacing w:val="-2"/>
          <w:position w:val="-1"/>
        </w:rPr>
        <w:t>4-3</w:t>
      </w:r>
      <w:r>
        <w:rPr>
          <w:rFonts w:ascii="SimSun" w:hAnsi="SimSun" w:eastAsia="SimSun" w:cs="SimSun"/>
          <w:sz w:val="24"/>
          <w:szCs w:val="24"/>
          <w:spacing w:val="-2"/>
        </w:rPr>
        <w:t>）</w:t>
      </w:r>
    </w:p>
    <w:p>
      <w:pPr>
        <w:ind w:left="18" w:right="29" w:firstLine="480"/>
        <w:spacing w:before="183" w:line="359" w:lineRule="auto"/>
        <w:rPr>
          <w:rFonts w:ascii="SimSun" w:hAnsi="SimSun" w:eastAsia="SimSun" w:cs="SimSun"/>
          <w:sz w:val="24"/>
          <w:szCs w:val="24"/>
        </w:rPr>
      </w:pPr>
      <w:r>
        <w:rPr>
          <w:rFonts w:ascii="SimSun" w:hAnsi="SimSun" w:eastAsia="SimSun" w:cs="SimSun"/>
          <w:sz w:val="24"/>
          <w:szCs w:val="24"/>
          <w:spacing w:val="-3"/>
        </w:rPr>
        <w:t>本项目锅炉房生物质锅炉为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6t/h</w:t>
      </w:r>
      <w:r>
        <w:rPr>
          <w:rFonts w:ascii="SimSun" w:hAnsi="SimSun" w:eastAsia="SimSun" w:cs="SimSun"/>
          <w:sz w:val="24"/>
          <w:szCs w:val="24"/>
          <w:spacing w:val="-3"/>
        </w:rPr>
        <w:t>，生物质为外购牛羊粪生物质成型燃</w:t>
      </w:r>
      <w:r>
        <w:rPr>
          <w:rFonts w:ascii="SimSun" w:hAnsi="SimSun" w:eastAsia="SimSun" w:cs="SimSun"/>
          <w:sz w:val="24"/>
          <w:szCs w:val="24"/>
          <w:spacing w:val="-4"/>
        </w:rPr>
        <w:t>料，建设</w:t>
      </w:r>
      <w:r>
        <w:rPr>
          <w:rFonts w:ascii="SimSun" w:hAnsi="SimSun" w:eastAsia="SimSun" w:cs="SimSun"/>
          <w:sz w:val="24"/>
          <w:szCs w:val="24"/>
        </w:rPr>
        <w:t xml:space="preserve"> </w:t>
      </w:r>
      <w:r>
        <w:rPr>
          <w:rFonts w:ascii="SimSun" w:hAnsi="SimSun" w:eastAsia="SimSun" w:cs="SimSun"/>
          <w:sz w:val="24"/>
          <w:szCs w:val="24"/>
          <w:spacing w:val="-1"/>
        </w:rPr>
        <w:t>单位提供的成分分析见表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3.5-2</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1"/>
        </w:rPr>
        <w:t>。每吨水变成蒸汽</w:t>
      </w:r>
      <w:r>
        <w:rPr>
          <w:rFonts w:ascii="SimSun" w:hAnsi="SimSun" w:eastAsia="SimSun" w:cs="SimSun"/>
          <w:sz w:val="24"/>
          <w:szCs w:val="24"/>
          <w:spacing w:val="-2"/>
        </w:rPr>
        <w:t>需要</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2257000KJ </w:t>
      </w:r>
      <w:r>
        <w:rPr>
          <w:rFonts w:ascii="SimSun" w:hAnsi="SimSun" w:eastAsia="SimSun" w:cs="SimSun"/>
          <w:sz w:val="24"/>
          <w:szCs w:val="24"/>
          <w:spacing w:val="-2"/>
        </w:rPr>
        <w:t>热值，按照锅炉</w:t>
      </w:r>
      <w:r>
        <w:rPr>
          <w:rFonts w:ascii="SimSun" w:hAnsi="SimSun" w:eastAsia="SimSun" w:cs="SimSun"/>
          <w:sz w:val="24"/>
          <w:szCs w:val="24"/>
        </w:rPr>
        <w:t xml:space="preserve"> </w:t>
      </w:r>
      <w:r>
        <w:rPr>
          <w:rFonts w:ascii="SimSun" w:hAnsi="SimSun" w:eastAsia="SimSun" w:cs="SimSun"/>
          <w:sz w:val="24"/>
          <w:szCs w:val="24"/>
          <w:spacing w:val="-1"/>
        </w:rPr>
        <w:t>满负荷运行计算，锅炉运行时间为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7200h/a</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，本项</w:t>
      </w:r>
      <w:r>
        <w:rPr>
          <w:rFonts w:ascii="SimSun" w:hAnsi="SimSun" w:eastAsia="SimSun" w:cs="SimSun"/>
          <w:sz w:val="24"/>
          <w:szCs w:val="24"/>
          <w:spacing w:val="-2"/>
        </w:rPr>
        <w:t>目成型燃料消耗量为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5664t/a</w:t>
      </w:r>
      <w:r>
        <w:rPr>
          <w:rFonts w:ascii="SimSun" w:hAnsi="SimSun" w:eastAsia="SimSun" w:cs="SimSun"/>
          <w:sz w:val="24"/>
          <w:szCs w:val="24"/>
          <w:spacing w:val="-2"/>
        </w:rPr>
        <w:t>。</w:t>
      </w:r>
    </w:p>
    <w:p>
      <w:pPr>
        <w:ind w:left="23" w:right="29" w:firstLine="475"/>
        <w:spacing w:line="359" w:lineRule="auto"/>
        <w:rPr>
          <w:rFonts w:ascii="SimSun" w:hAnsi="SimSun" w:eastAsia="SimSun" w:cs="SimSun"/>
          <w:sz w:val="24"/>
          <w:szCs w:val="24"/>
        </w:rPr>
      </w:pPr>
      <w:r>
        <w:rPr>
          <w:rFonts w:ascii="SimSun" w:hAnsi="SimSun" w:eastAsia="SimSun" w:cs="SimSun"/>
          <w:sz w:val="24"/>
          <w:szCs w:val="24"/>
          <w:spacing w:val="-1"/>
        </w:rPr>
        <w:t>锅炉烟气采用陶瓷多管除尘器</w:t>
      </w:r>
      <w:r>
        <w:rPr>
          <w:rFonts w:ascii="Times New Roman" w:hAnsi="Times New Roman" w:eastAsia="Times New Roman" w:cs="Times New Roman"/>
          <w:sz w:val="24"/>
          <w:szCs w:val="24"/>
          <w:spacing w:val="-1"/>
        </w:rPr>
        <w:t>+</w:t>
      </w:r>
      <w:r>
        <w:rPr>
          <w:rFonts w:ascii="SimSun" w:hAnsi="SimSun" w:eastAsia="SimSun" w:cs="SimSun"/>
          <w:sz w:val="24"/>
          <w:szCs w:val="24"/>
          <w:spacing w:val="-1"/>
        </w:rPr>
        <w:t>布袋除尘器</w:t>
      </w:r>
      <w:r>
        <w:rPr>
          <w:rFonts w:ascii="Times New Roman" w:hAnsi="Times New Roman" w:eastAsia="Times New Roman" w:cs="Times New Roman"/>
          <w:sz w:val="24"/>
          <w:szCs w:val="24"/>
          <w:spacing w:val="-1"/>
        </w:rPr>
        <w:t>+</w:t>
      </w:r>
      <w:r>
        <w:rPr>
          <w:rFonts w:ascii="SimSun" w:hAnsi="SimSun" w:eastAsia="SimSun" w:cs="SimSun"/>
          <w:sz w:val="24"/>
          <w:szCs w:val="24"/>
          <w:spacing w:val="-1"/>
        </w:rPr>
        <w:t>水浴处理后经一根</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35m</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1"/>
        </w:rPr>
        <w:t>高的烟囱</w:t>
      </w:r>
      <w:r>
        <w:rPr>
          <w:rFonts w:ascii="SimSun" w:hAnsi="SimSun" w:eastAsia="SimSun" w:cs="SimSun"/>
          <w:sz w:val="24"/>
          <w:szCs w:val="24"/>
        </w:rPr>
        <w:t xml:space="preserve"> </w:t>
      </w:r>
      <w:r>
        <w:rPr>
          <w:rFonts w:ascii="SimSun" w:hAnsi="SimSun" w:eastAsia="SimSun" w:cs="SimSun"/>
          <w:sz w:val="24"/>
          <w:szCs w:val="24"/>
          <w:spacing w:val="3"/>
        </w:rPr>
        <w:t>外排，除尘效率按照</w:t>
      </w:r>
      <w:r>
        <w:rPr>
          <w:rFonts w:ascii="Times New Roman" w:hAnsi="Times New Roman" w:eastAsia="Times New Roman" w:cs="Times New Roman"/>
          <w:sz w:val="24"/>
          <w:szCs w:val="24"/>
          <w:spacing w:val="3"/>
        </w:rPr>
        <w:t>99%</w:t>
      </w:r>
      <w:r>
        <w:rPr>
          <w:rFonts w:ascii="SimSun" w:hAnsi="SimSun" w:eastAsia="SimSun" w:cs="SimSun"/>
          <w:sz w:val="24"/>
          <w:szCs w:val="24"/>
          <w:spacing w:val="3"/>
        </w:rPr>
        <w:t>计。</w:t>
      </w:r>
    </w:p>
    <w:p>
      <w:pPr>
        <w:ind w:left="2122"/>
        <w:spacing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3.5-2      </w:t>
      </w:r>
      <w:r>
        <w:rPr>
          <w:rFonts w:ascii="SimSun" w:hAnsi="SimSun" w:eastAsia="SimSun" w:cs="SimSun"/>
          <w:sz w:val="24"/>
          <w:szCs w:val="24"/>
          <w:b/>
          <w:bCs/>
          <w:spacing w:val="-2"/>
        </w:rPr>
        <w:t>生物质成型燃料成分分析指标</w:t>
      </w:r>
    </w:p>
    <w:tbl>
      <w:tblPr>
        <w:tblStyle w:val="TableNormal"/>
        <w:tblW w:w="851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764"/>
        <w:gridCol w:w="2904"/>
        <w:gridCol w:w="2849"/>
      </w:tblGrid>
      <w:tr>
        <w:trPr>
          <w:trHeight w:val="298" w:hRule="atLeast"/>
        </w:trPr>
        <w:tc>
          <w:tcPr>
            <w:tcW w:w="2764" w:type="dxa"/>
            <w:vAlign w:val="top"/>
          </w:tcPr>
          <w:p>
            <w:pPr>
              <w:pStyle w:val="TableText"/>
              <w:ind w:left="1184"/>
              <w:spacing w:before="44" w:line="225" w:lineRule="auto"/>
              <w:rPr/>
            </w:pPr>
            <w:r>
              <w:rPr>
                <w:spacing w:val="1"/>
              </w:rPr>
              <w:t>项目</w:t>
            </w:r>
          </w:p>
        </w:tc>
        <w:tc>
          <w:tcPr>
            <w:tcW w:w="2904" w:type="dxa"/>
            <w:vAlign w:val="top"/>
          </w:tcPr>
          <w:p>
            <w:pPr>
              <w:pStyle w:val="TableText"/>
              <w:ind w:left="1253"/>
              <w:spacing w:before="44" w:line="225" w:lineRule="auto"/>
              <w:rPr/>
            </w:pPr>
            <w:r>
              <w:rPr>
                <w:spacing w:val="2"/>
              </w:rPr>
              <w:t>单位</w:t>
            </w:r>
          </w:p>
        </w:tc>
        <w:tc>
          <w:tcPr>
            <w:tcW w:w="2849" w:type="dxa"/>
            <w:vAlign w:val="top"/>
          </w:tcPr>
          <w:p>
            <w:pPr>
              <w:pStyle w:val="TableText"/>
              <w:ind w:left="1224"/>
              <w:spacing w:before="44" w:line="225" w:lineRule="auto"/>
              <w:rPr/>
            </w:pPr>
            <w:r>
              <w:rPr>
                <w:spacing w:val="2"/>
              </w:rPr>
              <w:t>数值</w:t>
            </w:r>
          </w:p>
        </w:tc>
      </w:tr>
      <w:tr>
        <w:trPr>
          <w:trHeight w:val="277" w:hRule="atLeast"/>
        </w:trPr>
        <w:tc>
          <w:tcPr>
            <w:tcW w:w="2764" w:type="dxa"/>
            <w:vAlign w:val="top"/>
          </w:tcPr>
          <w:p>
            <w:pPr>
              <w:pStyle w:val="TableText"/>
              <w:ind w:left="1078"/>
              <w:spacing w:before="31" w:line="217" w:lineRule="auto"/>
              <w:rPr/>
            </w:pPr>
            <w:r>
              <w:rPr>
                <w:spacing w:val="4"/>
              </w:rPr>
              <w:t>全水分</w:t>
            </w:r>
          </w:p>
        </w:tc>
        <w:tc>
          <w:tcPr>
            <w:tcW w:w="2904" w:type="dxa"/>
            <w:vAlign w:val="top"/>
          </w:tcPr>
          <w:p>
            <w:pPr>
              <w:ind w:left="1370"/>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w:t>
            </w:r>
          </w:p>
        </w:tc>
        <w:tc>
          <w:tcPr>
            <w:tcW w:w="2849" w:type="dxa"/>
            <w:vAlign w:val="top"/>
          </w:tcPr>
          <w:p>
            <w:pPr>
              <w:ind w:left="1342"/>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9"/>
              </w:rPr>
              <w:t>13</w:t>
            </w:r>
          </w:p>
        </w:tc>
      </w:tr>
      <w:tr>
        <w:trPr>
          <w:trHeight w:val="276" w:hRule="atLeast"/>
        </w:trPr>
        <w:tc>
          <w:tcPr>
            <w:tcW w:w="2764" w:type="dxa"/>
            <w:vAlign w:val="top"/>
          </w:tcPr>
          <w:p>
            <w:pPr>
              <w:pStyle w:val="TableText"/>
              <w:ind w:left="1183"/>
              <w:spacing w:before="33" w:line="215" w:lineRule="auto"/>
              <w:rPr/>
            </w:pPr>
            <w:r>
              <w:rPr>
                <w:spacing w:val="2"/>
              </w:rPr>
              <w:t>灰分</w:t>
            </w:r>
          </w:p>
        </w:tc>
        <w:tc>
          <w:tcPr>
            <w:tcW w:w="2904" w:type="dxa"/>
            <w:vAlign w:val="top"/>
          </w:tcPr>
          <w:p>
            <w:pPr>
              <w:ind w:left="1370"/>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w:t>
            </w:r>
          </w:p>
        </w:tc>
        <w:tc>
          <w:tcPr>
            <w:tcW w:w="2849" w:type="dxa"/>
            <w:vAlign w:val="top"/>
          </w:tcPr>
          <w:p>
            <w:pPr>
              <w:ind w:left="124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4.94</w:t>
            </w:r>
          </w:p>
        </w:tc>
      </w:tr>
      <w:tr>
        <w:trPr>
          <w:trHeight w:val="277" w:hRule="atLeast"/>
        </w:trPr>
        <w:tc>
          <w:tcPr>
            <w:tcW w:w="2764" w:type="dxa"/>
            <w:vAlign w:val="top"/>
          </w:tcPr>
          <w:p>
            <w:pPr>
              <w:pStyle w:val="TableText"/>
              <w:ind w:left="1077"/>
              <w:spacing w:before="35" w:line="214" w:lineRule="auto"/>
              <w:rPr/>
            </w:pPr>
            <w:r>
              <w:rPr>
                <w:spacing w:val="4"/>
              </w:rPr>
              <w:t>挥发分</w:t>
            </w:r>
          </w:p>
        </w:tc>
        <w:tc>
          <w:tcPr>
            <w:tcW w:w="2904" w:type="dxa"/>
            <w:vAlign w:val="top"/>
          </w:tcPr>
          <w:p>
            <w:pPr>
              <w:ind w:left="137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w:t>
            </w:r>
          </w:p>
        </w:tc>
        <w:tc>
          <w:tcPr>
            <w:tcW w:w="2849" w:type="dxa"/>
            <w:vAlign w:val="top"/>
          </w:tcPr>
          <w:p>
            <w:pPr>
              <w:ind w:left="119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72.41</w:t>
            </w:r>
          </w:p>
        </w:tc>
      </w:tr>
      <w:tr>
        <w:trPr>
          <w:trHeight w:val="277" w:hRule="atLeast"/>
        </w:trPr>
        <w:tc>
          <w:tcPr>
            <w:tcW w:w="2764" w:type="dxa"/>
            <w:vAlign w:val="top"/>
          </w:tcPr>
          <w:p>
            <w:pPr>
              <w:pStyle w:val="TableText"/>
              <w:ind w:left="974"/>
              <w:spacing w:before="34" w:line="215" w:lineRule="auto"/>
              <w:rPr/>
            </w:pPr>
            <w:r>
              <w:rPr>
                <w:spacing w:val="4"/>
              </w:rPr>
              <w:t>全硫含量</w:t>
            </w:r>
          </w:p>
        </w:tc>
        <w:tc>
          <w:tcPr>
            <w:tcW w:w="2904" w:type="dxa"/>
            <w:vAlign w:val="top"/>
          </w:tcPr>
          <w:p>
            <w:pPr>
              <w:ind w:left="137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w:t>
            </w:r>
          </w:p>
        </w:tc>
        <w:tc>
          <w:tcPr>
            <w:tcW w:w="2849" w:type="dxa"/>
            <w:vAlign w:val="top"/>
          </w:tcPr>
          <w:p>
            <w:pPr>
              <w:ind w:left="124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0.06</w:t>
            </w:r>
          </w:p>
        </w:tc>
      </w:tr>
      <w:tr>
        <w:trPr>
          <w:trHeight w:val="276" w:hRule="atLeast"/>
        </w:trPr>
        <w:tc>
          <w:tcPr>
            <w:tcW w:w="2764" w:type="dxa"/>
            <w:vAlign w:val="top"/>
          </w:tcPr>
          <w:p>
            <w:pPr>
              <w:pStyle w:val="TableText"/>
              <w:ind w:left="1078"/>
              <w:spacing w:before="35" w:line="213" w:lineRule="auto"/>
              <w:rPr/>
            </w:pPr>
            <w:r>
              <w:rPr>
                <w:spacing w:val="4"/>
              </w:rPr>
              <w:t>含氮量</w:t>
            </w:r>
          </w:p>
        </w:tc>
        <w:tc>
          <w:tcPr>
            <w:tcW w:w="2904" w:type="dxa"/>
            <w:vAlign w:val="top"/>
          </w:tcPr>
          <w:p>
            <w:pPr>
              <w:ind w:left="137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w:t>
            </w:r>
          </w:p>
        </w:tc>
        <w:tc>
          <w:tcPr>
            <w:tcW w:w="2849" w:type="dxa"/>
            <w:vAlign w:val="top"/>
          </w:tcPr>
          <w:p>
            <w:pPr>
              <w:ind w:left="124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0.02</w:t>
            </w:r>
          </w:p>
        </w:tc>
      </w:tr>
      <w:tr>
        <w:trPr>
          <w:trHeight w:val="316" w:hRule="atLeast"/>
        </w:trPr>
        <w:tc>
          <w:tcPr>
            <w:tcW w:w="2764" w:type="dxa"/>
            <w:vAlign w:val="top"/>
          </w:tcPr>
          <w:p>
            <w:pPr>
              <w:pStyle w:val="TableText"/>
              <w:ind w:left="571"/>
              <w:spacing w:before="53" w:line="228" w:lineRule="auto"/>
              <w:rPr/>
            </w:pPr>
            <w:r>
              <w:rPr>
                <w:spacing w:val="4"/>
              </w:rPr>
              <w:t>收到基低位发热量</w:t>
            </w:r>
          </w:p>
        </w:tc>
        <w:tc>
          <w:tcPr>
            <w:tcW w:w="2904" w:type="dxa"/>
            <w:vAlign w:val="top"/>
          </w:tcPr>
          <w:p>
            <w:pPr>
              <w:ind w:left="1228"/>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kJ</w:t>
            </w:r>
            <w:r>
              <w:rPr>
                <w:rFonts w:ascii="Times New Roman" w:hAnsi="Times New Roman" w:eastAsia="Times New Roman" w:cs="Times New Roman"/>
                <w:sz w:val="20"/>
                <w:szCs w:val="20"/>
                <w:spacing w:val="12"/>
              </w:rPr>
              <w:t>/</w:t>
            </w:r>
            <w:r>
              <w:rPr>
                <w:rFonts w:ascii="Times New Roman" w:hAnsi="Times New Roman" w:eastAsia="Times New Roman" w:cs="Times New Roman"/>
                <w:sz w:val="20"/>
                <w:szCs w:val="20"/>
              </w:rPr>
              <w:t>kg</w:t>
            </w:r>
          </w:p>
        </w:tc>
        <w:tc>
          <w:tcPr>
            <w:tcW w:w="2849" w:type="dxa"/>
            <w:vAlign w:val="top"/>
          </w:tcPr>
          <w:p>
            <w:pPr>
              <w:ind w:left="118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17215</w:t>
            </w:r>
          </w:p>
        </w:tc>
      </w:tr>
    </w:tbl>
    <w:p>
      <w:pPr>
        <w:ind w:left="21" w:firstLine="479"/>
        <w:spacing w:before="198" w:line="384" w:lineRule="auto"/>
        <w:jc w:val="both"/>
        <w:rPr>
          <w:rFonts w:ascii="SimSun" w:hAnsi="SimSun" w:eastAsia="SimSun" w:cs="SimSun"/>
          <w:sz w:val="24"/>
          <w:szCs w:val="24"/>
        </w:rPr>
      </w:pPr>
      <w:r>
        <w:rPr>
          <w:rFonts w:ascii="SimSun" w:hAnsi="SimSun" w:eastAsia="SimSun" w:cs="SimSun"/>
          <w:sz w:val="24"/>
          <w:szCs w:val="24"/>
          <w:spacing w:val="-2"/>
        </w:rPr>
        <w:t>根据《污染源源强核算技术指南 锅炉》（</w:t>
      </w:r>
      <w:r>
        <w:rPr>
          <w:rFonts w:ascii="Times New Roman" w:hAnsi="Times New Roman" w:eastAsia="Times New Roman" w:cs="Times New Roman"/>
          <w:sz w:val="24"/>
          <w:szCs w:val="24"/>
          <w:spacing w:val="-2"/>
        </w:rPr>
        <w:t>HJ991-2018</w:t>
      </w:r>
      <w:r>
        <w:rPr>
          <w:rFonts w:ascii="SimSun" w:hAnsi="SimSun" w:eastAsia="SimSun" w:cs="SimSun"/>
          <w:sz w:val="24"/>
          <w:szCs w:val="24"/>
          <w:spacing w:val="-2"/>
        </w:rPr>
        <w:t>）中表</w:t>
      </w:r>
      <w:r>
        <w:rPr>
          <w:rFonts w:ascii="SimSun" w:hAnsi="SimSun" w:eastAsia="SimSun" w:cs="SimSun"/>
          <w:sz w:val="24"/>
          <w:szCs w:val="24"/>
          <w:spacing w:val="-14"/>
        </w:rPr>
        <w:t xml:space="preserve"> </w:t>
      </w:r>
      <w:r>
        <w:rPr>
          <w:rFonts w:ascii="Times New Roman" w:hAnsi="Times New Roman" w:eastAsia="Times New Roman" w:cs="Times New Roman"/>
          <w:sz w:val="24"/>
          <w:szCs w:val="24"/>
          <w:spacing w:val="-2"/>
        </w:rPr>
        <w:t>1“</w:t>
      </w:r>
      <w:r>
        <w:rPr>
          <w:rFonts w:ascii="SimSun" w:hAnsi="SimSun" w:eastAsia="SimSun" w:cs="SimSun"/>
          <w:sz w:val="24"/>
          <w:szCs w:val="24"/>
          <w:spacing w:val="-2"/>
        </w:rPr>
        <w:t>新（改、扩）</w:t>
      </w:r>
      <w:r>
        <w:rPr>
          <w:rFonts w:ascii="SimSun" w:hAnsi="SimSun" w:eastAsia="SimSun" w:cs="SimSun"/>
          <w:sz w:val="24"/>
          <w:szCs w:val="24"/>
        </w:rPr>
        <w:t xml:space="preserve"> </w:t>
      </w:r>
      <w:r>
        <w:rPr>
          <w:rFonts w:ascii="SimSun" w:hAnsi="SimSun" w:eastAsia="SimSun" w:cs="SimSun"/>
          <w:sz w:val="24"/>
          <w:szCs w:val="24"/>
        </w:rPr>
        <w:t>工业污染源</w:t>
      </w:r>
      <w:r>
        <w:rPr>
          <w:rFonts w:ascii="Times New Roman" w:hAnsi="Times New Roman" w:eastAsia="Times New Roman" w:cs="Times New Roman"/>
          <w:sz w:val="24"/>
          <w:szCs w:val="24"/>
        </w:rPr>
        <w:t>”</w:t>
      </w:r>
      <w:r>
        <w:rPr>
          <w:rFonts w:ascii="SimSun" w:hAnsi="SimSun" w:eastAsia="SimSun" w:cs="SimSun"/>
          <w:sz w:val="24"/>
          <w:szCs w:val="24"/>
        </w:rPr>
        <w:t>正常工况有组织废气采用</w:t>
      </w:r>
      <w:r>
        <w:rPr>
          <w:rFonts w:ascii="Times New Roman" w:hAnsi="Times New Roman" w:eastAsia="Times New Roman" w:cs="Times New Roman"/>
          <w:sz w:val="24"/>
          <w:szCs w:val="24"/>
        </w:rPr>
        <w:t>“</w:t>
      </w:r>
      <w:r>
        <w:rPr>
          <w:rFonts w:ascii="SimSun" w:hAnsi="SimSun" w:eastAsia="SimSun" w:cs="SimSun"/>
          <w:sz w:val="24"/>
          <w:szCs w:val="24"/>
        </w:rPr>
        <w:t>物料衡算法、类比法、产污系数法</w:t>
      </w:r>
      <w:r>
        <w:rPr>
          <w:rFonts w:ascii="Times New Roman" w:hAnsi="Times New Roman" w:eastAsia="Times New Roman" w:cs="Times New Roman"/>
          <w:sz w:val="24"/>
          <w:szCs w:val="24"/>
        </w:rPr>
        <w:t>”</w:t>
      </w:r>
      <w:r>
        <w:rPr>
          <w:rFonts w:ascii="SimSun" w:hAnsi="SimSun" w:eastAsia="SimSun" w:cs="SimSun"/>
          <w:sz w:val="24"/>
          <w:szCs w:val="24"/>
        </w:rPr>
        <w:t>；非正</w:t>
      </w:r>
      <w:r>
        <w:rPr>
          <w:rFonts w:ascii="SimSun" w:hAnsi="SimSun" w:eastAsia="SimSun" w:cs="SimSun"/>
          <w:sz w:val="24"/>
          <w:szCs w:val="24"/>
          <w:spacing w:val="12"/>
        </w:rPr>
        <w:t xml:space="preserve"> </w:t>
      </w:r>
      <w:r>
        <w:rPr>
          <w:rFonts w:ascii="SimSun" w:hAnsi="SimSun" w:eastAsia="SimSun" w:cs="SimSun"/>
          <w:sz w:val="24"/>
          <w:szCs w:val="24"/>
          <w:spacing w:val="-3"/>
        </w:rPr>
        <w:t>常工况时，废气有组织源强采用</w:t>
      </w:r>
      <w:r>
        <w:rPr>
          <w:rFonts w:ascii="Times New Roman" w:hAnsi="Times New Roman" w:eastAsia="Times New Roman" w:cs="Times New Roman"/>
          <w:sz w:val="24"/>
          <w:szCs w:val="24"/>
          <w:spacing w:val="-3"/>
        </w:rPr>
        <w:t>“</w:t>
      </w:r>
      <w:r>
        <w:rPr>
          <w:rFonts w:ascii="SimSun" w:hAnsi="SimSun" w:eastAsia="SimSun" w:cs="SimSun"/>
          <w:sz w:val="24"/>
          <w:szCs w:val="24"/>
          <w:spacing w:val="-3"/>
        </w:rPr>
        <w:t>类比法</w:t>
      </w:r>
      <w:r>
        <w:rPr>
          <w:rFonts w:ascii="Times New Roman" w:hAnsi="Times New Roman" w:eastAsia="Times New Roman" w:cs="Times New Roman"/>
          <w:sz w:val="24"/>
          <w:szCs w:val="24"/>
          <w:spacing w:val="-3"/>
        </w:rPr>
        <w:t>”</w:t>
      </w:r>
      <w:r>
        <w:rPr>
          <w:rFonts w:ascii="SimSun" w:hAnsi="SimSun" w:eastAsia="SimSun" w:cs="SimSun"/>
          <w:sz w:val="24"/>
          <w:szCs w:val="24"/>
          <w:spacing w:val="-3"/>
        </w:rPr>
        <w:t>核算。本项</w:t>
      </w:r>
      <w:r>
        <w:rPr>
          <w:rFonts w:ascii="SimSun" w:hAnsi="SimSun" w:eastAsia="SimSun" w:cs="SimSun"/>
          <w:sz w:val="24"/>
          <w:szCs w:val="24"/>
          <w:spacing w:val="-4"/>
        </w:rPr>
        <w:t>目为生物质锅炉，本次只核算</w:t>
      </w:r>
      <w:r>
        <w:rPr>
          <w:rFonts w:ascii="SimSun" w:hAnsi="SimSun" w:eastAsia="SimSun" w:cs="SimSun"/>
          <w:sz w:val="24"/>
          <w:szCs w:val="24"/>
        </w:rPr>
        <w:t xml:space="preserve"> </w:t>
      </w:r>
      <w:r>
        <w:rPr>
          <w:rFonts w:ascii="SimSun" w:hAnsi="SimSun" w:eastAsia="SimSun" w:cs="SimSun"/>
          <w:sz w:val="24"/>
          <w:szCs w:val="24"/>
          <w:spacing w:val="-1"/>
        </w:rPr>
        <w:t>正常工况下有组织废气的排放情况。</w:t>
      </w:r>
    </w:p>
    <w:p>
      <w:pPr>
        <w:ind w:left="500"/>
        <w:spacing w:before="1" w:line="217" w:lineRule="auto"/>
        <w:rPr>
          <w:rFonts w:ascii="SimSun" w:hAnsi="SimSun" w:eastAsia="SimSun" w:cs="SimSun"/>
          <w:sz w:val="24"/>
          <w:szCs w:val="24"/>
        </w:rPr>
      </w:pPr>
      <w:r>
        <w:rPr>
          <w:rFonts w:ascii="SimSun" w:hAnsi="SimSun" w:eastAsia="SimSun" w:cs="SimSun"/>
          <w:sz w:val="24"/>
          <w:szCs w:val="24"/>
          <w:spacing w:val="-2"/>
        </w:rPr>
        <w:t>①基准烟气量</w:t>
      </w:r>
    </w:p>
    <w:p>
      <w:pPr>
        <w:ind w:left="16" w:right="27" w:firstLine="481"/>
        <w:spacing w:before="215" w:line="374" w:lineRule="auto"/>
        <w:rPr>
          <w:rFonts w:ascii="SimSun" w:hAnsi="SimSun" w:eastAsia="SimSun" w:cs="SimSun"/>
          <w:sz w:val="24"/>
          <w:szCs w:val="24"/>
        </w:rPr>
      </w:pPr>
      <w:r>
        <w:rPr>
          <w:rFonts w:ascii="SimSun" w:hAnsi="SimSun" w:eastAsia="SimSun" w:cs="SimSun"/>
          <w:sz w:val="24"/>
          <w:szCs w:val="24"/>
          <w:spacing w:val="3"/>
        </w:rPr>
        <w:t>根据《污染源源强核算技术指南  锅炉》（</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3"/>
        </w:rPr>
        <w:t>991-2018</w:t>
      </w:r>
      <w:r>
        <w:rPr>
          <w:rFonts w:ascii="SimSun" w:hAnsi="SimSun" w:eastAsia="SimSun" w:cs="SimSun"/>
          <w:sz w:val="24"/>
          <w:szCs w:val="24"/>
          <w:spacing w:val="3"/>
        </w:rPr>
        <w:t>）、《排污许</w:t>
      </w:r>
      <w:r>
        <w:rPr>
          <w:rFonts w:ascii="SimSun" w:hAnsi="SimSun" w:eastAsia="SimSun" w:cs="SimSun"/>
          <w:sz w:val="24"/>
          <w:szCs w:val="24"/>
          <w:spacing w:val="2"/>
        </w:rPr>
        <w:t>可证申</w:t>
      </w:r>
      <w:r>
        <w:rPr>
          <w:rFonts w:ascii="SimSun" w:hAnsi="SimSun" w:eastAsia="SimSun" w:cs="SimSun"/>
          <w:sz w:val="24"/>
          <w:szCs w:val="24"/>
        </w:rPr>
        <w:t xml:space="preserve"> </w:t>
      </w:r>
      <w:r>
        <w:rPr>
          <w:rFonts w:ascii="SimSun" w:hAnsi="SimSun" w:eastAsia="SimSun" w:cs="SimSun"/>
          <w:sz w:val="24"/>
          <w:szCs w:val="24"/>
          <w:spacing w:val="-1"/>
        </w:rPr>
        <w:t>请与核发技术规范 锅炉》（</w:t>
      </w:r>
      <w:r>
        <w:rPr>
          <w:rFonts w:ascii="Times New Roman" w:hAnsi="Times New Roman" w:eastAsia="Times New Roman" w:cs="Times New Roman"/>
          <w:sz w:val="24"/>
          <w:szCs w:val="24"/>
          <w:spacing w:val="-1"/>
        </w:rPr>
        <w:t>HJ953-2018</w:t>
      </w:r>
      <w:r>
        <w:rPr>
          <w:rFonts w:ascii="SimSun" w:hAnsi="SimSun" w:eastAsia="SimSun" w:cs="SimSun"/>
          <w:sz w:val="24"/>
          <w:szCs w:val="24"/>
          <w:spacing w:val="13"/>
        </w:rPr>
        <w:t>），</w:t>
      </w:r>
      <w:r>
        <w:rPr>
          <w:rFonts w:ascii="SimSun" w:hAnsi="SimSun" w:eastAsia="SimSun" w:cs="SimSun"/>
          <w:sz w:val="24"/>
          <w:szCs w:val="24"/>
          <w:spacing w:val="-1"/>
        </w:rPr>
        <w:t>核算方法对锅炉运行过程中产生的烟</w:t>
      </w:r>
      <w:r>
        <w:rPr>
          <w:rFonts w:ascii="SimSun" w:hAnsi="SimSun" w:eastAsia="SimSun" w:cs="SimSun"/>
          <w:sz w:val="24"/>
          <w:szCs w:val="24"/>
          <w:spacing w:val="1"/>
        </w:rPr>
        <w:t xml:space="preserve"> </w:t>
      </w:r>
      <w:r>
        <w:rPr>
          <w:rFonts w:ascii="SimSun" w:hAnsi="SimSun" w:eastAsia="SimSun" w:cs="SimSun"/>
          <w:sz w:val="24"/>
          <w:szCs w:val="24"/>
          <w:spacing w:val="-2"/>
        </w:rPr>
        <w:t>气量进行核算。</w:t>
      </w:r>
    </w:p>
    <w:p>
      <w:pPr>
        <w:ind w:left="2231"/>
        <w:spacing w:line="322" w:lineRule="exact"/>
        <w:rPr>
          <w:rFonts w:ascii="SimSun" w:hAnsi="SimSun" w:eastAsia="SimSun" w:cs="SimSun"/>
          <w:sz w:val="24"/>
          <w:szCs w:val="24"/>
        </w:rPr>
      </w:pPr>
      <w:r>
        <w:rPr>
          <w:rFonts w:ascii="Times New Roman" w:hAnsi="Times New Roman" w:eastAsia="Times New Roman" w:cs="Times New Roman"/>
          <w:sz w:val="24"/>
          <w:szCs w:val="24"/>
          <w:position w:val="3"/>
        </w:rPr>
        <w:t>V</w:t>
      </w:r>
      <w:r>
        <w:rPr>
          <w:rFonts w:ascii="Times New Roman" w:hAnsi="Times New Roman" w:eastAsia="Times New Roman" w:cs="Times New Roman"/>
          <w:sz w:val="15"/>
          <w:szCs w:val="15"/>
          <w:position w:val="2"/>
        </w:rPr>
        <w:t>gy</w:t>
      </w:r>
      <w:r>
        <w:rPr>
          <w:rFonts w:ascii="Times New Roman" w:hAnsi="Times New Roman" w:eastAsia="Times New Roman" w:cs="Times New Roman"/>
          <w:sz w:val="24"/>
          <w:szCs w:val="24"/>
          <w:position w:val="3"/>
        </w:rPr>
        <w:t>=0.393Q</w:t>
      </w:r>
      <w:r>
        <w:rPr>
          <w:rFonts w:ascii="Times New Roman" w:hAnsi="Times New Roman" w:eastAsia="Times New Roman" w:cs="Times New Roman"/>
          <w:sz w:val="15"/>
          <w:szCs w:val="15"/>
          <w:position w:val="3"/>
        </w:rPr>
        <w:t>net</w:t>
      </w:r>
      <w:r>
        <w:rPr>
          <w:rFonts w:ascii="SimSun" w:hAnsi="SimSun" w:eastAsia="SimSun" w:cs="SimSun"/>
          <w:sz w:val="12"/>
          <w:szCs w:val="12"/>
        </w:rPr>
        <w:t>，</w:t>
      </w:r>
      <w:r>
        <w:rPr>
          <w:rFonts w:ascii="Times New Roman" w:hAnsi="Times New Roman" w:eastAsia="Times New Roman" w:cs="Times New Roman"/>
          <w:sz w:val="15"/>
          <w:szCs w:val="15"/>
          <w:position w:val="2"/>
        </w:rPr>
        <w:t>ar</w:t>
      </w:r>
      <w:r>
        <w:rPr>
          <w:rFonts w:ascii="Times New Roman" w:hAnsi="Times New Roman" w:eastAsia="Times New Roman" w:cs="Times New Roman"/>
          <w:sz w:val="24"/>
          <w:szCs w:val="24"/>
          <w:position w:val="3"/>
        </w:rPr>
        <w:t>+0.876      </w:t>
      </w:r>
      <w:r>
        <w:rPr>
          <w:rFonts w:ascii="SimSun" w:hAnsi="SimSun" w:eastAsia="SimSun" w:cs="SimSun"/>
          <w:sz w:val="24"/>
          <w:szCs w:val="24"/>
          <w:position w:val="3"/>
        </w:rPr>
        <w:t>（</w:t>
      </w:r>
      <w:r>
        <w:rPr>
          <w:rFonts w:ascii="Times New Roman" w:hAnsi="Times New Roman" w:eastAsia="Times New Roman" w:cs="Times New Roman"/>
          <w:sz w:val="24"/>
          <w:szCs w:val="24"/>
          <w:position w:val="3"/>
        </w:rPr>
        <w:t>V</w:t>
      </w:r>
      <w:r>
        <w:rPr>
          <w:rFonts w:ascii="Times New Roman" w:hAnsi="Times New Roman" w:eastAsia="Times New Roman" w:cs="Times New Roman"/>
          <w:sz w:val="15"/>
          <w:szCs w:val="15"/>
          <w:position w:val="2"/>
        </w:rPr>
        <w:t>daf</w:t>
      </w:r>
      <w:r>
        <w:rPr>
          <w:rFonts w:ascii="Times New Roman" w:hAnsi="Times New Roman" w:eastAsia="Times New Roman" w:cs="Times New Roman"/>
          <w:sz w:val="24"/>
          <w:szCs w:val="24"/>
          <w:position w:val="3"/>
        </w:rPr>
        <w:t>≥15%</w:t>
      </w:r>
      <w:r>
        <w:rPr>
          <w:rFonts w:ascii="SimSun" w:hAnsi="SimSun" w:eastAsia="SimSun" w:cs="SimSun"/>
          <w:sz w:val="24"/>
          <w:szCs w:val="24"/>
          <w:position w:val="3"/>
        </w:rPr>
        <w:t>）</w:t>
      </w:r>
    </w:p>
    <w:p>
      <w:pPr>
        <w:ind w:left="503"/>
        <w:spacing w:before="223" w:line="211"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V</w:t>
      </w:r>
      <w:r>
        <w:rPr>
          <w:rFonts w:ascii="Times New Roman" w:hAnsi="Times New Roman" w:eastAsia="Times New Roman" w:cs="Times New Roman"/>
          <w:sz w:val="15"/>
          <w:szCs w:val="15"/>
          <w:spacing w:val="-1"/>
          <w:position w:val="-1"/>
        </w:rPr>
        <w:t>gy</w:t>
      </w:r>
      <w:r>
        <w:rPr>
          <w:rFonts w:ascii="Times New Roman" w:hAnsi="Times New Roman" w:eastAsia="Times New Roman" w:cs="Times New Roman"/>
          <w:sz w:val="24"/>
          <w:szCs w:val="24"/>
          <w:spacing w:val="-1"/>
        </w:rPr>
        <w:t>—</w:t>
      </w:r>
      <w:r>
        <w:rPr>
          <w:rFonts w:ascii="SimSun" w:hAnsi="SimSun" w:eastAsia="SimSun" w:cs="SimSun"/>
          <w:sz w:val="24"/>
          <w:szCs w:val="24"/>
          <w:spacing w:val="-1"/>
        </w:rPr>
        <w:t>干烟气排放量，</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/kg</w:t>
      </w:r>
      <w:r>
        <w:rPr>
          <w:rFonts w:ascii="SimSun" w:hAnsi="SimSun" w:eastAsia="SimSun" w:cs="SimSun"/>
          <w:sz w:val="24"/>
          <w:szCs w:val="24"/>
          <w:spacing w:val="-1"/>
        </w:rPr>
        <w:t>；</w:t>
      </w:r>
    </w:p>
    <w:p>
      <w:pPr>
        <w:ind w:left="1217"/>
        <w:spacing w:before="241" w:line="210" w:lineRule="auto"/>
        <w:rPr>
          <w:rFonts w:ascii="SimSun" w:hAnsi="SimSun" w:eastAsia="SimSun" w:cs="SimSun"/>
          <w:sz w:val="24"/>
          <w:szCs w:val="24"/>
        </w:rPr>
      </w:pPr>
      <w:r>
        <w:rPr>
          <w:rFonts w:ascii="Times New Roman" w:hAnsi="Times New Roman" w:eastAsia="Times New Roman" w:cs="Times New Roman"/>
          <w:sz w:val="24"/>
          <w:szCs w:val="24"/>
          <w:spacing w:val="-1"/>
        </w:rPr>
        <w:t>Q</w:t>
      </w:r>
      <w:r>
        <w:rPr>
          <w:rFonts w:ascii="Times New Roman" w:hAnsi="Times New Roman" w:eastAsia="Times New Roman" w:cs="Times New Roman"/>
          <w:sz w:val="15"/>
          <w:szCs w:val="15"/>
          <w:spacing w:val="-1"/>
        </w:rPr>
        <w:t>net</w:t>
      </w:r>
      <w:r>
        <w:rPr>
          <w:rFonts w:ascii="SimSun" w:hAnsi="SimSun" w:eastAsia="SimSun" w:cs="SimSun"/>
          <w:sz w:val="12"/>
          <w:szCs w:val="12"/>
          <w:spacing w:val="-1"/>
          <w:position w:val="-3"/>
        </w:rPr>
        <w:t>，</w:t>
      </w:r>
      <w:r>
        <w:rPr>
          <w:rFonts w:ascii="Times New Roman" w:hAnsi="Times New Roman" w:eastAsia="Times New Roman" w:cs="Times New Roman"/>
          <w:sz w:val="15"/>
          <w:szCs w:val="15"/>
          <w:spacing w:val="-1"/>
          <w:position w:val="-1"/>
        </w:rPr>
        <w:t>ar</w:t>
      </w:r>
      <w:r>
        <w:rPr>
          <w:rFonts w:ascii="Times New Roman" w:hAnsi="Times New Roman" w:eastAsia="Times New Roman" w:cs="Times New Roman"/>
          <w:sz w:val="24"/>
          <w:szCs w:val="24"/>
          <w:spacing w:val="-1"/>
        </w:rPr>
        <w:t>—</w:t>
      </w:r>
      <w:r>
        <w:rPr>
          <w:rFonts w:ascii="SimSun" w:hAnsi="SimSun" w:eastAsia="SimSun" w:cs="SimSun"/>
          <w:sz w:val="24"/>
          <w:szCs w:val="24"/>
          <w:spacing w:val="-1"/>
        </w:rPr>
        <w:t>燃料收到基低位发热量，</w:t>
      </w:r>
      <w:r>
        <w:rPr>
          <w:rFonts w:ascii="Times New Roman" w:hAnsi="Times New Roman" w:eastAsia="Times New Roman" w:cs="Times New Roman"/>
          <w:sz w:val="24"/>
          <w:szCs w:val="24"/>
          <w:spacing w:val="-1"/>
        </w:rPr>
        <w:t>MJ/kg</w:t>
      </w:r>
      <w:r>
        <w:rPr>
          <w:rFonts w:ascii="SimSun" w:hAnsi="SimSun" w:eastAsia="SimSun" w:cs="SimSun"/>
          <w:sz w:val="24"/>
          <w:szCs w:val="24"/>
          <w:spacing w:val="-1"/>
        </w:rPr>
        <w:t>；本项目取</w:t>
      </w:r>
      <w:r>
        <w:rPr>
          <w:rFonts w:ascii="SimSun" w:hAnsi="SimSun" w:eastAsia="SimSun" w:cs="SimSun"/>
          <w:sz w:val="24"/>
          <w:szCs w:val="24"/>
          <w:spacing w:val="-21"/>
        </w:rPr>
        <w:t xml:space="preserve"> </w:t>
      </w:r>
      <w:r>
        <w:rPr>
          <w:rFonts w:ascii="Times New Roman" w:hAnsi="Times New Roman" w:eastAsia="Times New Roman" w:cs="Times New Roman"/>
          <w:sz w:val="24"/>
          <w:szCs w:val="24"/>
          <w:spacing w:val="-1"/>
        </w:rPr>
        <w:t>17.21MJ/kg</w:t>
      </w:r>
      <w:r>
        <w:rPr>
          <w:rFonts w:ascii="SimSun" w:hAnsi="SimSun" w:eastAsia="SimSun" w:cs="SimSun"/>
          <w:sz w:val="24"/>
          <w:szCs w:val="24"/>
          <w:spacing w:val="-1"/>
        </w:rPr>
        <w:t>；</w:t>
      </w:r>
    </w:p>
    <w:p>
      <w:pPr>
        <w:ind w:left="1211"/>
        <w:spacing w:before="245" w:line="219" w:lineRule="auto"/>
        <w:rPr>
          <w:rFonts w:ascii="SimSun" w:hAnsi="SimSun" w:eastAsia="SimSun" w:cs="SimSun"/>
          <w:sz w:val="24"/>
          <w:szCs w:val="24"/>
        </w:rPr>
      </w:pPr>
      <w:r>
        <w:rPr>
          <w:rFonts w:ascii="Times New Roman" w:hAnsi="Times New Roman" w:eastAsia="Times New Roman" w:cs="Times New Roman"/>
          <w:sz w:val="24"/>
          <w:szCs w:val="24"/>
          <w:spacing w:val="-1"/>
        </w:rPr>
        <w:t>Vdaf—</w:t>
      </w:r>
      <w:r>
        <w:rPr>
          <w:rFonts w:ascii="SimSun" w:hAnsi="SimSun" w:eastAsia="SimSun" w:cs="SimSun"/>
          <w:sz w:val="24"/>
          <w:szCs w:val="24"/>
          <w:spacing w:val="-1"/>
        </w:rPr>
        <w:t>燃料干燥无灰基挥发分，</w:t>
      </w:r>
      <w:r>
        <w:rPr>
          <w:rFonts w:ascii="Times New Roman" w:hAnsi="Times New Roman" w:eastAsia="Times New Roman" w:cs="Times New Roman"/>
          <w:sz w:val="24"/>
          <w:szCs w:val="24"/>
          <w:spacing w:val="-1"/>
        </w:rPr>
        <w:t>%</w:t>
      </w:r>
      <w:r>
        <w:rPr>
          <w:rFonts w:ascii="SimSun" w:hAnsi="SimSun" w:eastAsia="SimSun" w:cs="SimSun"/>
          <w:sz w:val="24"/>
          <w:szCs w:val="24"/>
          <w:spacing w:val="-1"/>
        </w:rPr>
        <w:t>；</w:t>
      </w:r>
    </w:p>
    <w:p>
      <w:pPr>
        <w:ind w:left="19" w:right="29" w:firstLine="480"/>
        <w:spacing w:before="219" w:line="377" w:lineRule="auto"/>
        <w:rPr>
          <w:rFonts w:ascii="SimSun" w:hAnsi="SimSun" w:eastAsia="SimSun" w:cs="SimSun"/>
          <w:sz w:val="24"/>
          <w:szCs w:val="24"/>
        </w:rPr>
      </w:pPr>
      <w:r>
        <w:rPr>
          <w:rFonts w:ascii="SimSun" w:hAnsi="SimSun" w:eastAsia="SimSun" w:cs="SimSun"/>
          <w:sz w:val="24"/>
          <w:szCs w:val="24"/>
        </w:rPr>
        <w:t>经计算，本项目标态干烟气量</w:t>
      </w:r>
      <w:r>
        <w:rPr>
          <w:rFonts w:ascii="SimSun" w:hAnsi="SimSun" w:eastAsia="SimSun" w:cs="SimSun"/>
          <w:sz w:val="24"/>
          <w:szCs w:val="24"/>
          <w:spacing w:val="-54"/>
        </w:rPr>
        <w:t xml:space="preserve"> </w:t>
      </w:r>
      <w:r>
        <w:rPr>
          <w:rFonts w:ascii="Times New Roman" w:hAnsi="Times New Roman" w:eastAsia="Times New Roman" w:cs="Times New Roman"/>
          <w:sz w:val="24"/>
          <w:szCs w:val="24"/>
        </w:rPr>
        <w:t>V</w:t>
      </w:r>
      <w:r>
        <w:rPr>
          <w:rFonts w:ascii="Times New Roman" w:hAnsi="Times New Roman" w:eastAsia="Times New Roman" w:cs="Times New Roman"/>
          <w:sz w:val="15"/>
          <w:szCs w:val="15"/>
          <w:position w:val="-1"/>
        </w:rPr>
        <w:t>gy</w:t>
      </w:r>
      <w:r>
        <w:rPr>
          <w:rFonts w:ascii="Times New Roman" w:hAnsi="Times New Roman" w:eastAsia="Times New Roman" w:cs="Times New Roman"/>
          <w:sz w:val="15"/>
          <w:szCs w:val="15"/>
          <w:spacing w:val="15"/>
          <w:position w:val="-1"/>
        </w:rPr>
        <w:t xml:space="preserve"> </w:t>
      </w:r>
      <w:r>
        <w:rPr>
          <w:rFonts w:ascii="SimSun" w:hAnsi="SimSun" w:eastAsia="SimSun" w:cs="SimSun"/>
          <w:sz w:val="24"/>
          <w:szCs w:val="24"/>
        </w:rPr>
        <w:t>为</w:t>
      </w:r>
      <w:r>
        <w:rPr>
          <w:rFonts w:ascii="SimSun" w:hAnsi="SimSun" w:eastAsia="SimSun" w:cs="SimSun"/>
          <w:sz w:val="24"/>
          <w:szCs w:val="24"/>
          <w:spacing w:val="-49"/>
        </w:rPr>
        <w:t xml:space="preserve"> </w:t>
      </w:r>
      <w:r>
        <w:rPr>
          <w:rFonts w:ascii="Times New Roman" w:hAnsi="Times New Roman" w:eastAsia="Times New Roman" w:cs="Times New Roman"/>
          <w:sz w:val="24"/>
          <w:szCs w:val="24"/>
        </w:rPr>
        <w:t>7.64m</w:t>
      </w:r>
      <w:r>
        <w:rPr>
          <w:rFonts w:ascii="Times New Roman" w:hAnsi="Times New Roman" w:eastAsia="Times New Roman" w:cs="Times New Roman"/>
          <w:sz w:val="15"/>
          <w:szCs w:val="15"/>
          <w:position w:val="7"/>
        </w:rPr>
        <w:t>3</w:t>
      </w:r>
      <w:r>
        <w:rPr>
          <w:rFonts w:ascii="Times New Roman" w:hAnsi="Times New Roman" w:eastAsia="Times New Roman" w:cs="Times New Roman"/>
          <w:sz w:val="24"/>
          <w:szCs w:val="24"/>
        </w:rPr>
        <w:t>/kg</w:t>
      </w:r>
      <w:r>
        <w:rPr>
          <w:rFonts w:ascii="Times New Roman" w:hAnsi="Times New Roman" w:eastAsia="Times New Roman" w:cs="Times New Roman"/>
          <w:sz w:val="24"/>
          <w:szCs w:val="24"/>
          <w:spacing w:val="-31"/>
        </w:rPr>
        <w:t xml:space="preserve"> </w:t>
      </w:r>
      <w:r>
        <w:rPr>
          <w:rFonts w:ascii="SimSun" w:hAnsi="SimSun" w:eastAsia="SimSun" w:cs="SimSun"/>
          <w:sz w:val="24"/>
          <w:szCs w:val="24"/>
        </w:rPr>
        <w:t>，则本项目运营过程中产生的 </w:t>
      </w:r>
      <w:r>
        <w:rPr>
          <w:rFonts w:ascii="SimSun" w:hAnsi="SimSun" w:eastAsia="SimSun" w:cs="SimSun"/>
          <w:sz w:val="24"/>
          <w:szCs w:val="24"/>
          <w:spacing w:val="-1"/>
        </w:rPr>
        <w:t>烟气量为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43.27×10</w:t>
      </w:r>
      <w:r>
        <w:rPr>
          <w:rFonts w:ascii="Times New Roman" w:hAnsi="Times New Roman" w:eastAsia="Times New Roman" w:cs="Times New Roman"/>
          <w:sz w:val="15"/>
          <w:szCs w:val="15"/>
          <w:spacing w:val="-1"/>
          <w:position w:val="7"/>
        </w:rPr>
        <w:t>6</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/a</w:t>
      </w:r>
      <w:r>
        <w:rPr>
          <w:rFonts w:ascii="SimSun" w:hAnsi="SimSun" w:eastAsia="SimSun" w:cs="SimSun"/>
          <w:sz w:val="24"/>
          <w:szCs w:val="24"/>
          <w:spacing w:val="-1"/>
        </w:rPr>
        <w:t>。</w:t>
      </w:r>
    </w:p>
    <w:p>
      <w:pPr>
        <w:ind w:left="499"/>
        <w:spacing w:before="22" w:line="217" w:lineRule="auto"/>
        <w:rPr>
          <w:rFonts w:ascii="SimSun" w:hAnsi="SimSun" w:eastAsia="SimSun" w:cs="SimSun"/>
          <w:sz w:val="24"/>
          <w:szCs w:val="24"/>
        </w:rPr>
      </w:pPr>
      <w:r>
        <w:rPr>
          <w:rFonts w:ascii="SimSun" w:hAnsi="SimSun" w:eastAsia="SimSun" w:cs="SimSun"/>
          <w:sz w:val="24"/>
          <w:szCs w:val="24"/>
          <w:spacing w:val="-2"/>
        </w:rPr>
        <w:t>②污染物产生量</w:t>
      </w:r>
    </w:p>
    <w:p>
      <w:pPr>
        <w:pStyle w:val="BodyText"/>
        <w:spacing w:line="459" w:lineRule="auto"/>
        <w:rPr/>
      </w:pPr>
      <w:r/>
    </w:p>
    <w:p>
      <w:pPr>
        <w:ind w:right="29"/>
        <w:spacing w:before="61" w:line="227" w:lineRule="auto"/>
        <w:jc w:val="right"/>
        <w:rPr>
          <w:rFonts w:ascii="SimSun" w:hAnsi="SimSun" w:eastAsia="SimSun" w:cs="SimSun"/>
          <w:sz w:val="19"/>
          <w:szCs w:val="19"/>
        </w:rPr>
      </w:pPr>
      <w:r>
        <w:pict>
          <v:shape id="_x0000_s486" style="position:absolute;margin-left:207.909pt;margin-top:2.0913pt;mso-position-vertical-relative:text;mso-position-horizontal-relative:text;width:58.8pt;height:13.75pt;z-index:251868160;"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1"/>
                      <w:position w:val="2"/>
                    </w:rPr>
                    <w:t>94        </w:t>
                  </w:r>
                  <w:r>
                    <w:rPr>
                      <w:rFonts w:ascii="SimSun" w:hAnsi="SimSun" w:eastAsia="SimSun" w:cs="SimSun"/>
                      <w:sz w:val="19"/>
                      <w:szCs w:val="19"/>
                      <w:spacing w:val="1"/>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104"/>
          <w:pgSz w:w="11907" w:h="16840"/>
          <w:pgMar w:top="1567" w:right="1672" w:bottom="400" w:left="1692" w:header="1221" w:footer="0" w:gutter="0"/>
        </w:sectPr>
        <w:rPr>
          <w:rFonts w:ascii="SimSun" w:hAnsi="SimSun" w:eastAsia="SimSun" w:cs="SimSun"/>
          <w:sz w:val="19"/>
          <w:szCs w:val="19"/>
        </w:rPr>
      </w:pPr>
    </w:p>
    <w:p>
      <w:pPr>
        <w:pStyle w:val="BodyText"/>
        <w:spacing w:line="265" w:lineRule="auto"/>
        <w:rPr/>
      </w:pPr>
      <w:r>
        <w:pict>
          <v:shape id="_x0000_s490" style="position:absolute;margin-left:5.64pt;margin-top:0.644959pt;mso-position-vertical-relative:text;mso-position-horizontal-relative:text;width:425.25pt;height:0.75pt;z-index:251871232;" fillcolor="#000000" filled="true" stroked="false" coordsize="8505,15" coordorigin="0,0" path="m,l8505,0l8505,14l0,14l0,0xe"/>
        </w:pict>
      </w:r>
      <w:r/>
    </w:p>
    <w:p>
      <w:pPr>
        <w:ind w:left="120" w:right="110" w:firstLine="481"/>
        <w:spacing w:before="78" w:line="385" w:lineRule="auto"/>
        <w:jc w:val="both"/>
        <w:rPr>
          <w:rFonts w:ascii="SimSun" w:hAnsi="SimSun" w:eastAsia="SimSun" w:cs="SimSun"/>
          <w:sz w:val="24"/>
          <w:szCs w:val="24"/>
        </w:rPr>
      </w:pPr>
      <w:r>
        <w:rPr>
          <w:rFonts w:ascii="SimSun" w:hAnsi="SimSun" w:eastAsia="SimSun" w:cs="SimSun"/>
          <w:sz w:val="24"/>
          <w:szCs w:val="24"/>
          <w:spacing w:val="3"/>
        </w:rPr>
        <w:t>根据《污染源源强核算技术指南  锅炉》（</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3"/>
        </w:rPr>
        <w:t>991-2018</w:t>
      </w:r>
      <w:r>
        <w:rPr>
          <w:rFonts w:ascii="SimSun" w:hAnsi="SimSun" w:eastAsia="SimSun" w:cs="SimSun"/>
          <w:sz w:val="24"/>
          <w:szCs w:val="24"/>
          <w:spacing w:val="3"/>
        </w:rPr>
        <w:t>）、《排污许</w:t>
      </w:r>
      <w:r>
        <w:rPr>
          <w:rFonts w:ascii="SimSun" w:hAnsi="SimSun" w:eastAsia="SimSun" w:cs="SimSun"/>
          <w:sz w:val="24"/>
          <w:szCs w:val="24"/>
          <w:spacing w:val="2"/>
        </w:rPr>
        <w:t>可证申</w:t>
      </w:r>
      <w:r>
        <w:rPr>
          <w:rFonts w:ascii="SimSun" w:hAnsi="SimSun" w:eastAsia="SimSun" w:cs="SimSun"/>
          <w:sz w:val="24"/>
          <w:szCs w:val="24"/>
        </w:rPr>
        <w:t xml:space="preserve"> </w:t>
      </w:r>
      <w:r>
        <w:rPr>
          <w:rFonts w:ascii="SimSun" w:hAnsi="SimSun" w:eastAsia="SimSun" w:cs="SimSun"/>
          <w:sz w:val="24"/>
          <w:szCs w:val="24"/>
        </w:rPr>
        <w:t>请与核发技术规范 锅炉》（</w:t>
      </w:r>
      <w:r>
        <w:rPr>
          <w:rFonts w:ascii="Times New Roman" w:hAnsi="Times New Roman" w:eastAsia="Times New Roman" w:cs="Times New Roman"/>
          <w:sz w:val="24"/>
          <w:szCs w:val="24"/>
        </w:rPr>
        <w:t>HJ953-2018</w:t>
      </w:r>
      <w:r>
        <w:rPr>
          <w:rFonts w:ascii="SimSun" w:hAnsi="SimSun" w:eastAsia="SimSun" w:cs="SimSun"/>
          <w:sz w:val="24"/>
          <w:szCs w:val="24"/>
        </w:rPr>
        <w:t>）中的规定，</w:t>
      </w:r>
      <w:r>
        <w:rPr>
          <w:rFonts w:ascii="SimSun" w:hAnsi="SimSun" w:eastAsia="SimSun" w:cs="SimSun"/>
          <w:sz w:val="24"/>
          <w:szCs w:val="24"/>
          <w:spacing w:val="-1"/>
        </w:rPr>
        <w:t>对本项目锅炉运行过程中产</w:t>
      </w:r>
      <w:r>
        <w:rPr>
          <w:rFonts w:ascii="SimSun" w:hAnsi="SimSun" w:eastAsia="SimSun" w:cs="SimSun"/>
          <w:sz w:val="24"/>
          <w:szCs w:val="24"/>
        </w:rPr>
        <w:t xml:space="preserve"> </w:t>
      </w:r>
      <w:r>
        <w:rPr>
          <w:rFonts w:ascii="SimSun" w:hAnsi="SimSun" w:eastAsia="SimSun" w:cs="SimSun"/>
          <w:sz w:val="24"/>
          <w:szCs w:val="24"/>
          <w:spacing w:val="-1"/>
        </w:rPr>
        <w:t>生的</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NOx</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SO</w:t>
      </w:r>
      <w:r>
        <w:rPr>
          <w:rFonts w:ascii="Times New Roman" w:hAnsi="Times New Roman" w:eastAsia="Times New Roman" w:cs="Times New Roman"/>
          <w:sz w:val="15"/>
          <w:szCs w:val="15"/>
          <w:spacing w:val="-1"/>
          <w:position w:val="-1"/>
        </w:rPr>
        <w:t>2 </w:t>
      </w:r>
      <w:r>
        <w:rPr>
          <w:rFonts w:ascii="SimSun" w:hAnsi="SimSun" w:eastAsia="SimSun" w:cs="SimSun"/>
          <w:sz w:val="24"/>
          <w:szCs w:val="24"/>
          <w:spacing w:val="-1"/>
        </w:rPr>
        <w:t>根据产排污系数法进行核算，烟尘根据物料衡算的方法计算：</w:t>
      </w:r>
    </w:p>
    <w:p>
      <w:pPr>
        <w:ind w:left="2226"/>
        <w:spacing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3.5-3      </w:t>
      </w:r>
      <w:r>
        <w:rPr>
          <w:rFonts w:ascii="SimSun" w:hAnsi="SimSun" w:eastAsia="SimSun" w:cs="SimSun"/>
          <w:sz w:val="24"/>
          <w:szCs w:val="24"/>
          <w:b/>
          <w:bCs/>
          <w:spacing w:val="-2"/>
        </w:rPr>
        <w:t>生物质工业锅炉产排污系数表</w:t>
      </w:r>
    </w:p>
    <w:p>
      <w:pPr>
        <w:spacing w:line="19" w:lineRule="exact"/>
        <w:rPr/>
      </w:pPr>
      <w:r/>
    </w:p>
    <w:tbl>
      <w:tblPr>
        <w:tblStyle w:val="TableNormal"/>
        <w:tblW w:w="8722" w:type="dxa"/>
        <w:tblInd w:w="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02"/>
        <w:gridCol w:w="2340"/>
        <w:gridCol w:w="2234"/>
        <w:gridCol w:w="2446"/>
      </w:tblGrid>
      <w:tr>
        <w:trPr>
          <w:trHeight w:val="403" w:hRule="atLeast"/>
        </w:trPr>
        <w:tc>
          <w:tcPr>
            <w:tcW w:w="1702" w:type="dxa"/>
            <w:vAlign w:val="top"/>
          </w:tcPr>
          <w:p>
            <w:pPr>
              <w:pStyle w:val="TableText"/>
              <w:ind w:left="437"/>
              <w:spacing w:before="95" w:line="228" w:lineRule="auto"/>
              <w:rPr/>
            </w:pPr>
            <w:r>
              <w:rPr>
                <w:spacing w:val="7"/>
              </w:rPr>
              <w:t>燃料类型</w:t>
            </w:r>
          </w:p>
        </w:tc>
        <w:tc>
          <w:tcPr>
            <w:tcW w:w="2340" w:type="dxa"/>
            <w:vAlign w:val="top"/>
          </w:tcPr>
          <w:p>
            <w:pPr>
              <w:pStyle w:val="TableText"/>
              <w:ind w:left="652"/>
              <w:spacing w:before="96" w:line="228" w:lineRule="auto"/>
              <w:rPr/>
            </w:pPr>
            <w:r>
              <w:rPr>
                <w:spacing w:val="7"/>
              </w:rPr>
              <w:t>污染物指标</w:t>
            </w:r>
          </w:p>
        </w:tc>
        <w:tc>
          <w:tcPr>
            <w:tcW w:w="2234" w:type="dxa"/>
            <w:vAlign w:val="top"/>
          </w:tcPr>
          <w:p>
            <w:pPr>
              <w:pStyle w:val="TableText"/>
              <w:ind w:left="913"/>
              <w:spacing w:before="96" w:line="228" w:lineRule="auto"/>
              <w:rPr/>
            </w:pPr>
            <w:r>
              <w:rPr>
                <w:spacing w:val="3"/>
              </w:rPr>
              <w:t>单位</w:t>
            </w:r>
          </w:p>
        </w:tc>
        <w:tc>
          <w:tcPr>
            <w:tcW w:w="2446" w:type="dxa"/>
            <w:vAlign w:val="top"/>
          </w:tcPr>
          <w:p>
            <w:pPr>
              <w:pStyle w:val="TableText"/>
              <w:ind w:left="806"/>
              <w:spacing w:before="95" w:line="228" w:lineRule="auto"/>
              <w:rPr/>
            </w:pPr>
            <w:r>
              <w:rPr>
                <w:spacing w:val="7"/>
              </w:rPr>
              <w:t>产污系数</w:t>
            </w:r>
          </w:p>
        </w:tc>
      </w:tr>
      <w:tr>
        <w:trPr>
          <w:trHeight w:val="398" w:hRule="atLeast"/>
        </w:trPr>
        <w:tc>
          <w:tcPr>
            <w:tcW w:w="1702" w:type="dxa"/>
            <w:vAlign w:val="top"/>
            <w:vMerge w:val="restart"/>
            <w:tcBorders>
              <w:bottom w:val="nil"/>
            </w:tcBorders>
          </w:tcPr>
          <w:p>
            <w:pPr>
              <w:spacing w:line="429" w:lineRule="auto"/>
              <w:rPr>
                <w:rFonts w:ascii="Arial"/>
                <w:sz w:val="21"/>
              </w:rPr>
            </w:pPr>
            <w:r/>
          </w:p>
          <w:p>
            <w:pPr>
              <w:pStyle w:val="TableText"/>
              <w:ind w:left="544"/>
              <w:spacing w:before="65" w:line="228" w:lineRule="auto"/>
              <w:rPr/>
            </w:pPr>
            <w:r>
              <w:rPr>
                <w:spacing w:val="6"/>
              </w:rPr>
              <w:t>生物质</w:t>
            </w:r>
          </w:p>
        </w:tc>
        <w:tc>
          <w:tcPr>
            <w:tcW w:w="2340" w:type="dxa"/>
            <w:vAlign w:val="top"/>
          </w:tcPr>
          <w:p>
            <w:pPr>
              <w:ind w:left="1012"/>
              <w:spacing w:before="129"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1"/>
                <w:position w:val="-1"/>
              </w:rPr>
              <w:t>2</w:t>
            </w:r>
          </w:p>
        </w:tc>
        <w:tc>
          <w:tcPr>
            <w:tcW w:w="2234" w:type="dxa"/>
            <w:vAlign w:val="top"/>
          </w:tcPr>
          <w:p>
            <w:pPr>
              <w:pStyle w:val="TableText"/>
              <w:ind w:left="532"/>
              <w:spacing w:before="93" w:line="228" w:lineRule="auto"/>
              <w:rPr/>
            </w:pPr>
            <w:r>
              <w:rPr>
                <w:spacing w:val="6"/>
              </w:rPr>
              <w:t>千克</w:t>
            </w:r>
            <w:r>
              <w:rPr>
                <w:rFonts w:ascii="Times New Roman" w:hAnsi="Times New Roman" w:eastAsia="Times New Roman" w:cs="Times New Roman"/>
                <w:spacing w:val="6"/>
              </w:rPr>
              <w:t>/</w:t>
            </w:r>
            <w:r>
              <w:rPr>
                <w:spacing w:val="6"/>
              </w:rPr>
              <w:t>吨</w:t>
            </w:r>
            <w:r>
              <w:rPr>
                <w:rFonts w:ascii="Times New Roman" w:hAnsi="Times New Roman" w:eastAsia="Times New Roman" w:cs="Times New Roman"/>
                <w:spacing w:val="6"/>
              </w:rPr>
              <w:t>-</w:t>
            </w:r>
            <w:r>
              <w:rPr>
                <w:spacing w:val="6"/>
              </w:rPr>
              <w:t>原料</w:t>
            </w:r>
          </w:p>
        </w:tc>
        <w:tc>
          <w:tcPr>
            <w:tcW w:w="2446" w:type="dxa"/>
            <w:vAlign w:val="top"/>
          </w:tcPr>
          <w:p>
            <w:pPr>
              <w:ind w:left="1082"/>
              <w:spacing w:before="12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17S</w:t>
            </w:r>
          </w:p>
        </w:tc>
      </w:tr>
      <w:tr>
        <w:trPr>
          <w:trHeight w:val="398" w:hRule="atLeast"/>
        </w:trPr>
        <w:tc>
          <w:tcPr>
            <w:tcW w:w="1702" w:type="dxa"/>
            <w:vAlign w:val="top"/>
            <w:vMerge w:val="continue"/>
            <w:tcBorders>
              <w:top w:val="nil"/>
              <w:bottom w:val="nil"/>
            </w:tcBorders>
          </w:tcPr>
          <w:p>
            <w:pPr>
              <w:rPr>
                <w:rFonts w:ascii="Arial"/>
                <w:sz w:val="21"/>
              </w:rPr>
            </w:pPr>
            <w:r/>
          </w:p>
        </w:tc>
        <w:tc>
          <w:tcPr>
            <w:tcW w:w="2340" w:type="dxa"/>
            <w:vAlign w:val="top"/>
          </w:tcPr>
          <w:p>
            <w:pPr>
              <w:ind w:left="978"/>
              <w:spacing w:before="129"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NO</w:t>
            </w:r>
            <w:r>
              <w:rPr>
                <w:rFonts w:ascii="Times New Roman" w:hAnsi="Times New Roman" w:eastAsia="Times New Roman" w:cs="Times New Roman"/>
                <w:sz w:val="13"/>
                <w:szCs w:val="13"/>
                <w:spacing w:val="6"/>
                <w:position w:val="-1"/>
              </w:rPr>
              <w:t>x</w:t>
            </w:r>
          </w:p>
        </w:tc>
        <w:tc>
          <w:tcPr>
            <w:tcW w:w="2234" w:type="dxa"/>
            <w:vAlign w:val="top"/>
          </w:tcPr>
          <w:p>
            <w:pPr>
              <w:pStyle w:val="TableText"/>
              <w:ind w:left="532"/>
              <w:spacing w:before="93" w:line="228" w:lineRule="auto"/>
              <w:rPr/>
            </w:pPr>
            <w:r>
              <w:rPr>
                <w:spacing w:val="6"/>
              </w:rPr>
              <w:t>千克</w:t>
            </w:r>
            <w:r>
              <w:rPr>
                <w:rFonts w:ascii="Times New Roman" w:hAnsi="Times New Roman" w:eastAsia="Times New Roman" w:cs="Times New Roman"/>
                <w:spacing w:val="6"/>
              </w:rPr>
              <w:t>/</w:t>
            </w:r>
            <w:r>
              <w:rPr>
                <w:spacing w:val="6"/>
              </w:rPr>
              <w:t>吨</w:t>
            </w:r>
            <w:r>
              <w:rPr>
                <w:rFonts w:ascii="Times New Roman" w:hAnsi="Times New Roman" w:eastAsia="Times New Roman" w:cs="Times New Roman"/>
                <w:spacing w:val="6"/>
              </w:rPr>
              <w:t>-</w:t>
            </w:r>
            <w:r>
              <w:rPr>
                <w:spacing w:val="6"/>
              </w:rPr>
              <w:t>原料</w:t>
            </w:r>
          </w:p>
        </w:tc>
        <w:tc>
          <w:tcPr>
            <w:tcW w:w="2446" w:type="dxa"/>
            <w:vAlign w:val="top"/>
          </w:tcPr>
          <w:p>
            <w:pPr>
              <w:pStyle w:val="TableText"/>
              <w:ind w:left="412"/>
              <w:spacing w:before="93" w:line="227" w:lineRule="auto"/>
              <w:rPr/>
            </w:pPr>
            <w:r>
              <w:rPr>
                <w:rFonts w:ascii="Times New Roman" w:hAnsi="Times New Roman" w:eastAsia="Times New Roman" w:cs="Times New Roman"/>
                <w:spacing w:val="5"/>
              </w:rPr>
              <w:t>0.71</w:t>
            </w:r>
            <w:r>
              <w:rPr>
                <w:spacing w:val="5"/>
              </w:rPr>
              <w:t>（低氮燃烧）</w:t>
            </w:r>
          </w:p>
        </w:tc>
      </w:tr>
      <w:tr>
        <w:trPr>
          <w:trHeight w:val="398" w:hRule="atLeast"/>
        </w:trPr>
        <w:tc>
          <w:tcPr>
            <w:tcW w:w="1702" w:type="dxa"/>
            <w:vAlign w:val="top"/>
            <w:vMerge w:val="continue"/>
            <w:tcBorders>
              <w:top w:val="nil"/>
            </w:tcBorders>
          </w:tcPr>
          <w:p>
            <w:pPr>
              <w:rPr>
                <w:rFonts w:ascii="Arial"/>
                <w:sz w:val="21"/>
              </w:rPr>
            </w:pPr>
            <w:r/>
          </w:p>
        </w:tc>
        <w:tc>
          <w:tcPr>
            <w:tcW w:w="2340" w:type="dxa"/>
            <w:vAlign w:val="top"/>
          </w:tcPr>
          <w:p>
            <w:pPr>
              <w:pStyle w:val="TableText"/>
              <w:ind w:left="858"/>
              <w:spacing w:before="94" w:line="228" w:lineRule="auto"/>
              <w:rPr/>
            </w:pPr>
            <w:r>
              <w:rPr>
                <w:spacing w:val="7"/>
              </w:rPr>
              <w:t>颗粒物</w:t>
            </w:r>
          </w:p>
        </w:tc>
        <w:tc>
          <w:tcPr>
            <w:tcW w:w="2234" w:type="dxa"/>
            <w:vAlign w:val="top"/>
          </w:tcPr>
          <w:p>
            <w:pPr>
              <w:pStyle w:val="TableText"/>
              <w:ind w:left="532"/>
              <w:spacing w:before="93" w:line="228" w:lineRule="auto"/>
              <w:rPr/>
            </w:pPr>
            <w:r>
              <w:rPr>
                <w:spacing w:val="6"/>
              </w:rPr>
              <w:t>千克</w:t>
            </w:r>
            <w:r>
              <w:rPr>
                <w:rFonts w:ascii="Times New Roman" w:hAnsi="Times New Roman" w:eastAsia="Times New Roman" w:cs="Times New Roman"/>
                <w:spacing w:val="6"/>
              </w:rPr>
              <w:t>/</w:t>
            </w:r>
            <w:r>
              <w:rPr>
                <w:spacing w:val="6"/>
              </w:rPr>
              <w:t>吨</w:t>
            </w:r>
            <w:r>
              <w:rPr>
                <w:rFonts w:ascii="Times New Roman" w:hAnsi="Times New Roman" w:eastAsia="Times New Roman" w:cs="Times New Roman"/>
                <w:spacing w:val="6"/>
              </w:rPr>
              <w:t>-</w:t>
            </w:r>
            <w:r>
              <w:rPr>
                <w:spacing w:val="6"/>
              </w:rPr>
              <w:t>原料</w:t>
            </w:r>
          </w:p>
        </w:tc>
        <w:tc>
          <w:tcPr>
            <w:tcW w:w="2446" w:type="dxa"/>
            <w:vAlign w:val="top"/>
          </w:tcPr>
          <w:p>
            <w:pPr>
              <w:ind w:left="1096"/>
              <w:spacing w:before="13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0.5</w:t>
            </w:r>
          </w:p>
        </w:tc>
      </w:tr>
      <w:tr>
        <w:trPr>
          <w:trHeight w:val="475" w:hRule="atLeast"/>
        </w:trPr>
        <w:tc>
          <w:tcPr>
            <w:tcW w:w="8722" w:type="dxa"/>
            <w:vAlign w:val="top"/>
            <w:gridSpan w:val="4"/>
          </w:tcPr>
          <w:p>
            <w:pPr>
              <w:pStyle w:val="TableText"/>
              <w:ind w:left="114" w:right="190"/>
              <w:spacing w:before="30" w:line="223" w:lineRule="auto"/>
              <w:rPr>
                <w:sz w:val="18"/>
                <w:szCs w:val="18"/>
              </w:rPr>
            </w:pPr>
            <w:r>
              <w:rPr>
                <w:sz w:val="18"/>
                <w:szCs w:val="18"/>
              </w:rPr>
              <w:t>注：二氧化硫的产排污系数是以含硫量（</w:t>
            </w:r>
            <w:r>
              <w:rPr>
                <w:rFonts w:ascii="Times New Roman" w:hAnsi="Times New Roman" w:eastAsia="Times New Roman" w:cs="Times New Roman"/>
                <w:sz w:val="18"/>
                <w:szCs w:val="18"/>
              </w:rPr>
              <w:t>S%</w:t>
            </w:r>
            <w:r>
              <w:rPr>
                <w:sz w:val="18"/>
                <w:szCs w:val="18"/>
              </w:rPr>
              <w:t>）的形式表示的，其中含硫量（</w:t>
            </w:r>
            <w:r>
              <w:rPr>
                <w:rFonts w:ascii="Times New Roman" w:hAnsi="Times New Roman" w:eastAsia="Times New Roman" w:cs="Times New Roman"/>
                <w:sz w:val="18"/>
                <w:szCs w:val="18"/>
              </w:rPr>
              <w:t>S%</w:t>
            </w:r>
            <w:r>
              <w:rPr>
                <w:sz w:val="18"/>
                <w:szCs w:val="18"/>
              </w:rPr>
              <w:t>）是指</w:t>
            </w:r>
            <w:r>
              <w:rPr>
                <w:sz w:val="18"/>
                <w:szCs w:val="18"/>
                <w:spacing w:val="-1"/>
              </w:rPr>
              <w:t>生物质收到基硫分含</w:t>
            </w:r>
            <w:r>
              <w:rPr>
                <w:sz w:val="18"/>
                <w:szCs w:val="18"/>
              </w:rPr>
              <w:t xml:space="preserve"> </w:t>
            </w:r>
            <w:r>
              <w:rPr>
                <w:sz w:val="18"/>
                <w:szCs w:val="18"/>
                <w:spacing w:val="-1"/>
              </w:rPr>
              <w:t>量，本项目生物质中含硫量（</w:t>
            </w:r>
            <w:r>
              <w:rPr>
                <w:rFonts w:ascii="Times New Roman" w:hAnsi="Times New Roman" w:eastAsia="Times New Roman" w:cs="Times New Roman"/>
                <w:sz w:val="18"/>
                <w:szCs w:val="18"/>
                <w:spacing w:val="-1"/>
              </w:rPr>
              <w:t>S%</w:t>
            </w:r>
            <w:r>
              <w:rPr>
                <w:sz w:val="18"/>
                <w:szCs w:val="18"/>
                <w:spacing w:val="-1"/>
              </w:rPr>
              <w:t>）为</w:t>
            </w:r>
            <w:r>
              <w:rPr>
                <w:sz w:val="18"/>
                <w:szCs w:val="18"/>
                <w:spacing w:val="-38"/>
              </w:rPr>
              <w:t xml:space="preserve"> </w:t>
            </w:r>
            <w:r>
              <w:rPr>
                <w:rFonts w:ascii="Times New Roman" w:hAnsi="Times New Roman" w:eastAsia="Times New Roman" w:cs="Times New Roman"/>
                <w:sz w:val="18"/>
                <w:szCs w:val="18"/>
                <w:spacing w:val="-1"/>
              </w:rPr>
              <w:t>0.</w:t>
            </w:r>
            <w:r>
              <w:rPr>
                <w:rFonts w:ascii="Times New Roman" w:hAnsi="Times New Roman" w:eastAsia="Times New Roman" w:cs="Times New Roman"/>
                <w:sz w:val="18"/>
                <w:szCs w:val="18"/>
                <w:spacing w:val="-2"/>
              </w:rPr>
              <w:t>06%</w:t>
            </w:r>
            <w:r>
              <w:rPr>
                <w:rFonts w:ascii="Times New Roman" w:hAnsi="Times New Roman" w:eastAsia="Times New Roman" w:cs="Times New Roman"/>
                <w:sz w:val="18"/>
                <w:szCs w:val="18"/>
                <w:spacing w:val="-24"/>
              </w:rPr>
              <w:t xml:space="preserve"> </w:t>
            </w:r>
            <w:r>
              <w:rPr>
                <w:sz w:val="18"/>
                <w:szCs w:val="18"/>
                <w:spacing w:val="-2"/>
              </w:rPr>
              <w:t>，则本项目</w:t>
            </w:r>
            <w:r>
              <w:rPr>
                <w:sz w:val="18"/>
                <w:szCs w:val="18"/>
                <w:spacing w:val="-33"/>
              </w:rPr>
              <w:t xml:space="preserve"> </w:t>
            </w:r>
            <w:r>
              <w:rPr>
                <w:rFonts w:ascii="Times New Roman" w:hAnsi="Times New Roman" w:eastAsia="Times New Roman" w:cs="Times New Roman"/>
                <w:sz w:val="18"/>
                <w:szCs w:val="18"/>
                <w:spacing w:val="-2"/>
              </w:rPr>
              <w:t>S=0.06</w:t>
            </w:r>
            <w:r>
              <w:rPr>
                <w:sz w:val="18"/>
                <w:szCs w:val="18"/>
                <w:spacing w:val="-2"/>
              </w:rPr>
              <w:t>。</w:t>
            </w:r>
          </w:p>
        </w:tc>
      </w:tr>
    </w:tbl>
    <w:p>
      <w:pPr>
        <w:ind w:left="126" w:right="158" w:firstLine="480"/>
        <w:spacing w:before="195" w:line="367" w:lineRule="auto"/>
        <w:rPr>
          <w:rFonts w:ascii="SimSun" w:hAnsi="SimSun" w:eastAsia="SimSun" w:cs="SimSun"/>
          <w:sz w:val="24"/>
          <w:szCs w:val="24"/>
        </w:rPr>
      </w:pPr>
      <w:r>
        <w:rPr>
          <w:rFonts w:ascii="SimSun" w:hAnsi="SimSun" w:eastAsia="SimSun" w:cs="SimSun"/>
          <w:sz w:val="24"/>
          <w:szCs w:val="24"/>
          <w:spacing w:val="-1"/>
        </w:rPr>
        <w:t>项目生物质颗粒燃料为外购牛羊粪生物质成型</w:t>
      </w:r>
      <w:r>
        <w:rPr>
          <w:rFonts w:ascii="SimSun" w:hAnsi="SimSun" w:eastAsia="SimSun" w:cs="SimSun"/>
          <w:sz w:val="24"/>
          <w:szCs w:val="24"/>
          <w:spacing w:val="-2"/>
        </w:rPr>
        <w:t>燃料，使用量为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5664t/a</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，则污</w:t>
      </w:r>
      <w:r>
        <w:rPr>
          <w:rFonts w:ascii="SimSun" w:hAnsi="SimSun" w:eastAsia="SimSun" w:cs="SimSun"/>
          <w:sz w:val="24"/>
          <w:szCs w:val="24"/>
        </w:rPr>
        <w:t xml:space="preserve"> </w:t>
      </w:r>
      <w:r>
        <w:rPr>
          <w:rFonts w:ascii="SimSun" w:hAnsi="SimSun" w:eastAsia="SimSun" w:cs="SimSun"/>
          <w:sz w:val="24"/>
          <w:szCs w:val="24"/>
          <w:spacing w:val="-2"/>
        </w:rPr>
        <w:t>染物产生情况如下：</w:t>
      </w:r>
    </w:p>
    <w:p>
      <w:pPr>
        <w:ind w:left="608"/>
        <w:spacing w:line="322" w:lineRule="exact"/>
        <w:rPr>
          <w:rFonts w:ascii="SimSun" w:hAnsi="SimSun" w:eastAsia="SimSun" w:cs="SimSun"/>
          <w:sz w:val="24"/>
          <w:szCs w:val="24"/>
        </w:rPr>
      </w:pPr>
      <w:r>
        <w:rPr>
          <w:rFonts w:ascii="Times New Roman" w:hAnsi="Times New Roman" w:eastAsia="Times New Roman" w:cs="Times New Roman"/>
          <w:sz w:val="24"/>
          <w:szCs w:val="24"/>
          <w:position w:val="2"/>
        </w:rPr>
        <w:t>SO</w:t>
      </w:r>
      <w:r>
        <w:rPr>
          <w:rFonts w:ascii="Times New Roman" w:hAnsi="Times New Roman" w:eastAsia="Times New Roman" w:cs="Times New Roman"/>
          <w:sz w:val="15"/>
          <w:szCs w:val="15"/>
          <w:position w:val="1"/>
        </w:rPr>
        <w:t>2</w:t>
      </w:r>
      <w:r>
        <w:rPr>
          <w:rFonts w:ascii="Times New Roman" w:hAnsi="Times New Roman" w:eastAsia="Times New Roman" w:cs="Times New Roman"/>
          <w:sz w:val="15"/>
          <w:szCs w:val="15"/>
          <w:spacing w:val="12"/>
          <w:w w:val="101"/>
          <w:position w:val="1"/>
        </w:rPr>
        <w:t xml:space="preserve"> </w:t>
      </w:r>
      <w:r>
        <w:rPr>
          <w:rFonts w:ascii="SimSun" w:hAnsi="SimSun" w:eastAsia="SimSun" w:cs="SimSun"/>
          <w:sz w:val="24"/>
          <w:szCs w:val="24"/>
          <w:position w:val="2"/>
        </w:rPr>
        <w:t>产生量</w:t>
      </w:r>
      <w:r>
        <w:rPr>
          <w:rFonts w:ascii="Times New Roman" w:hAnsi="Times New Roman" w:eastAsia="Times New Roman" w:cs="Times New Roman"/>
          <w:sz w:val="24"/>
          <w:szCs w:val="24"/>
          <w:position w:val="2"/>
        </w:rPr>
        <w:t>=5664t/a×17Skg</w:t>
      </w:r>
      <w:r>
        <w:rPr>
          <w:rFonts w:ascii="Times New Roman" w:hAnsi="Times New Roman" w:eastAsia="Times New Roman" w:cs="Times New Roman"/>
          <w:sz w:val="24"/>
          <w:szCs w:val="24"/>
          <w:spacing w:val="-1"/>
          <w:position w:val="2"/>
        </w:rPr>
        <w:t>/t-</w:t>
      </w:r>
      <w:r>
        <w:rPr>
          <w:rFonts w:ascii="SimSun" w:hAnsi="SimSun" w:eastAsia="SimSun" w:cs="SimSun"/>
          <w:sz w:val="24"/>
          <w:szCs w:val="24"/>
          <w:spacing w:val="-1"/>
          <w:position w:val="2"/>
        </w:rPr>
        <w:t>原料</w:t>
      </w:r>
      <w:r>
        <w:rPr>
          <w:rFonts w:ascii="Times New Roman" w:hAnsi="Times New Roman" w:eastAsia="Times New Roman" w:cs="Times New Roman"/>
          <w:sz w:val="24"/>
          <w:szCs w:val="24"/>
          <w:spacing w:val="-1"/>
          <w:position w:val="2"/>
        </w:rPr>
        <w:t>×10</w:t>
      </w:r>
      <w:r>
        <w:rPr>
          <w:rFonts w:ascii="Times New Roman" w:hAnsi="Times New Roman" w:eastAsia="Times New Roman" w:cs="Times New Roman"/>
          <w:sz w:val="15"/>
          <w:szCs w:val="15"/>
          <w:spacing w:val="-1"/>
          <w:position w:val="9"/>
        </w:rPr>
        <w:t>-3</w:t>
      </w:r>
      <w:r>
        <w:rPr>
          <w:rFonts w:ascii="Times New Roman" w:hAnsi="Times New Roman" w:eastAsia="Times New Roman" w:cs="Times New Roman"/>
          <w:sz w:val="24"/>
          <w:szCs w:val="24"/>
          <w:spacing w:val="-1"/>
          <w:position w:val="2"/>
        </w:rPr>
        <w:t>=5.777t/a</w:t>
      </w:r>
      <w:r>
        <w:rPr>
          <w:rFonts w:ascii="SimSun" w:hAnsi="SimSun" w:eastAsia="SimSun" w:cs="SimSun"/>
          <w:sz w:val="24"/>
          <w:szCs w:val="24"/>
          <w:spacing w:val="-1"/>
          <w:position w:val="2"/>
        </w:rPr>
        <w:t>；</w:t>
      </w:r>
    </w:p>
    <w:p>
      <w:pPr>
        <w:ind w:left="590"/>
        <w:spacing w:before="179" w:line="322" w:lineRule="exact"/>
        <w:rPr>
          <w:rFonts w:ascii="SimSun" w:hAnsi="SimSun" w:eastAsia="SimSun" w:cs="SimSun"/>
          <w:sz w:val="24"/>
          <w:szCs w:val="24"/>
        </w:rPr>
      </w:pPr>
      <w:r>
        <w:rPr>
          <w:rFonts w:ascii="Times New Roman" w:hAnsi="Times New Roman" w:eastAsia="Times New Roman" w:cs="Times New Roman"/>
          <w:sz w:val="24"/>
          <w:szCs w:val="24"/>
          <w:position w:val="2"/>
        </w:rPr>
        <w:t>NOx </w:t>
      </w:r>
      <w:r>
        <w:rPr>
          <w:rFonts w:ascii="SimSun" w:hAnsi="SimSun" w:eastAsia="SimSun" w:cs="SimSun"/>
          <w:sz w:val="24"/>
          <w:szCs w:val="24"/>
          <w:position w:val="2"/>
        </w:rPr>
        <w:t>产生量</w:t>
      </w:r>
      <w:r>
        <w:rPr>
          <w:rFonts w:ascii="Times New Roman" w:hAnsi="Times New Roman" w:eastAsia="Times New Roman" w:cs="Times New Roman"/>
          <w:sz w:val="24"/>
          <w:szCs w:val="24"/>
          <w:position w:val="2"/>
        </w:rPr>
        <w:t>=5664t/a×0.71kg/t-</w:t>
      </w:r>
      <w:r>
        <w:rPr>
          <w:rFonts w:ascii="SimSun" w:hAnsi="SimSun" w:eastAsia="SimSun" w:cs="SimSun"/>
          <w:sz w:val="24"/>
          <w:szCs w:val="24"/>
          <w:position w:val="2"/>
        </w:rPr>
        <w:t>原料</w:t>
      </w:r>
      <w:r>
        <w:rPr>
          <w:rFonts w:ascii="Times New Roman" w:hAnsi="Times New Roman" w:eastAsia="Times New Roman" w:cs="Times New Roman"/>
          <w:sz w:val="24"/>
          <w:szCs w:val="24"/>
          <w:position w:val="2"/>
        </w:rPr>
        <w:t>×10</w:t>
      </w:r>
      <w:r>
        <w:rPr>
          <w:rFonts w:ascii="Times New Roman" w:hAnsi="Times New Roman" w:eastAsia="Times New Roman" w:cs="Times New Roman"/>
          <w:sz w:val="15"/>
          <w:szCs w:val="15"/>
          <w:position w:val="10"/>
        </w:rPr>
        <w:t>-3</w:t>
      </w:r>
      <w:r>
        <w:rPr>
          <w:rFonts w:ascii="Times New Roman" w:hAnsi="Times New Roman" w:eastAsia="Times New Roman" w:cs="Times New Roman"/>
          <w:sz w:val="24"/>
          <w:szCs w:val="24"/>
          <w:position w:val="2"/>
        </w:rPr>
        <w:t>=4.021t/a</w:t>
      </w:r>
      <w:r>
        <w:rPr>
          <w:rFonts w:ascii="SimSun" w:hAnsi="SimSun" w:eastAsia="SimSun" w:cs="SimSun"/>
          <w:sz w:val="24"/>
          <w:szCs w:val="24"/>
          <w:position w:val="2"/>
        </w:rPr>
        <w:t>；</w:t>
      </w:r>
    </w:p>
    <w:p>
      <w:pPr>
        <w:ind w:left="603"/>
        <w:spacing w:before="177" w:line="323" w:lineRule="exact"/>
        <w:rPr>
          <w:rFonts w:ascii="SimSun" w:hAnsi="SimSun" w:eastAsia="SimSun" w:cs="SimSun"/>
          <w:sz w:val="24"/>
          <w:szCs w:val="24"/>
        </w:rPr>
      </w:pPr>
      <w:r>
        <w:rPr>
          <w:rFonts w:ascii="SimSun" w:hAnsi="SimSun" w:eastAsia="SimSun" w:cs="SimSun"/>
          <w:sz w:val="24"/>
          <w:szCs w:val="24"/>
          <w:position w:val="2"/>
        </w:rPr>
        <w:t>烟尘产生量</w:t>
      </w:r>
      <w:r>
        <w:rPr>
          <w:rFonts w:ascii="Times New Roman" w:hAnsi="Times New Roman" w:eastAsia="Times New Roman" w:cs="Times New Roman"/>
          <w:sz w:val="24"/>
          <w:szCs w:val="24"/>
          <w:position w:val="2"/>
        </w:rPr>
        <w:t>=5664t/a×0.5kg/t-</w:t>
      </w:r>
      <w:r>
        <w:rPr>
          <w:rFonts w:ascii="SimSun" w:hAnsi="SimSun" w:eastAsia="SimSun" w:cs="SimSun"/>
          <w:sz w:val="24"/>
          <w:szCs w:val="24"/>
          <w:position w:val="2"/>
        </w:rPr>
        <w:t>原料</w:t>
      </w:r>
      <w:r>
        <w:rPr>
          <w:rFonts w:ascii="Times New Roman" w:hAnsi="Times New Roman" w:eastAsia="Times New Roman" w:cs="Times New Roman"/>
          <w:sz w:val="24"/>
          <w:szCs w:val="24"/>
          <w:position w:val="2"/>
        </w:rPr>
        <w:t>×10</w:t>
      </w:r>
      <w:r>
        <w:rPr>
          <w:rFonts w:ascii="Times New Roman" w:hAnsi="Times New Roman" w:eastAsia="Times New Roman" w:cs="Times New Roman"/>
          <w:sz w:val="15"/>
          <w:szCs w:val="15"/>
          <w:position w:val="9"/>
        </w:rPr>
        <w:t>-3</w:t>
      </w:r>
      <w:r>
        <w:rPr>
          <w:rFonts w:ascii="Times New Roman" w:hAnsi="Times New Roman" w:eastAsia="Times New Roman" w:cs="Times New Roman"/>
          <w:sz w:val="24"/>
          <w:szCs w:val="24"/>
          <w:position w:val="2"/>
        </w:rPr>
        <w:t>=2.</w:t>
      </w:r>
      <w:r>
        <w:rPr>
          <w:rFonts w:ascii="Times New Roman" w:hAnsi="Times New Roman" w:eastAsia="Times New Roman" w:cs="Times New Roman"/>
          <w:sz w:val="24"/>
          <w:szCs w:val="24"/>
          <w:spacing w:val="-1"/>
          <w:position w:val="2"/>
        </w:rPr>
        <w:t>832t/a</w:t>
      </w:r>
      <w:r>
        <w:rPr>
          <w:rFonts w:ascii="SimSun" w:hAnsi="SimSun" w:eastAsia="SimSun" w:cs="SimSun"/>
          <w:sz w:val="24"/>
          <w:szCs w:val="24"/>
          <w:spacing w:val="-1"/>
          <w:position w:val="2"/>
        </w:rPr>
        <w:t>；</w:t>
      </w:r>
    </w:p>
    <w:p>
      <w:pPr>
        <w:ind w:left="603"/>
        <w:spacing w:before="222" w:line="217" w:lineRule="auto"/>
        <w:rPr>
          <w:rFonts w:ascii="SimSun" w:hAnsi="SimSun" w:eastAsia="SimSun" w:cs="SimSun"/>
          <w:sz w:val="24"/>
          <w:szCs w:val="24"/>
        </w:rPr>
      </w:pPr>
      <w:r>
        <w:rPr>
          <w:rFonts w:ascii="SimSun" w:hAnsi="SimSun" w:eastAsia="SimSun" w:cs="SimSun"/>
          <w:sz w:val="24"/>
          <w:szCs w:val="24"/>
          <w:spacing w:val="-2"/>
        </w:rPr>
        <w:t>③污染物排放量</w:t>
      </w:r>
    </w:p>
    <w:p>
      <w:pPr>
        <w:ind w:left="122" w:right="113" w:firstLine="483"/>
        <w:spacing w:before="217" w:line="323" w:lineRule="auto"/>
        <w:rPr>
          <w:rFonts w:ascii="SimSun" w:hAnsi="SimSun" w:eastAsia="SimSun" w:cs="SimSun"/>
          <w:sz w:val="24"/>
          <w:szCs w:val="24"/>
        </w:rPr>
      </w:pPr>
      <w:r>
        <w:rPr>
          <w:rFonts w:ascii="SimSun" w:hAnsi="SimSun" w:eastAsia="SimSun" w:cs="SimSun"/>
          <w:sz w:val="24"/>
          <w:szCs w:val="24"/>
        </w:rPr>
        <w:t>本项目锅炉采用旋风</w:t>
      </w:r>
      <w:r>
        <w:rPr>
          <w:rFonts w:ascii="Times New Roman" w:hAnsi="Times New Roman" w:eastAsia="Times New Roman" w:cs="Times New Roman"/>
          <w:sz w:val="24"/>
          <w:szCs w:val="24"/>
        </w:rPr>
        <w:t>+</w:t>
      </w:r>
      <w:r>
        <w:rPr>
          <w:rFonts w:ascii="SimSun" w:hAnsi="SimSun" w:eastAsia="SimSun" w:cs="SimSun"/>
          <w:sz w:val="24"/>
          <w:szCs w:val="24"/>
        </w:rPr>
        <w:t>布袋除尘器</w:t>
      </w:r>
      <w:r>
        <w:rPr>
          <w:rFonts w:ascii="Times New Roman" w:hAnsi="Times New Roman" w:eastAsia="Times New Roman" w:cs="Times New Roman"/>
          <w:sz w:val="24"/>
          <w:szCs w:val="24"/>
        </w:rPr>
        <w:t>+</w:t>
      </w:r>
      <w:r>
        <w:rPr>
          <w:rFonts w:ascii="SimSun" w:hAnsi="SimSun" w:eastAsia="SimSun" w:cs="SimSun"/>
          <w:sz w:val="24"/>
          <w:szCs w:val="24"/>
        </w:rPr>
        <w:t>水浴除尘，除尘效率</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99%</w:t>
      </w:r>
      <w:r>
        <w:rPr>
          <w:rFonts w:ascii="Times New Roman" w:hAnsi="Times New Roman" w:eastAsia="Times New Roman" w:cs="Times New Roman"/>
          <w:sz w:val="24"/>
          <w:szCs w:val="24"/>
          <w:spacing w:val="-30"/>
        </w:rPr>
        <w:t xml:space="preserve"> </w:t>
      </w:r>
      <w:r>
        <w:rPr>
          <w:rFonts w:ascii="SimSun" w:hAnsi="SimSun" w:eastAsia="SimSun" w:cs="SimSun"/>
          <w:sz w:val="24"/>
          <w:szCs w:val="24"/>
        </w:rPr>
        <w:t>，则各污染</w:t>
      </w:r>
      <w:r>
        <w:rPr>
          <w:rFonts w:ascii="SimSun" w:hAnsi="SimSun" w:eastAsia="SimSun" w:cs="SimSun"/>
          <w:sz w:val="24"/>
          <w:szCs w:val="24"/>
          <w:spacing w:val="-1"/>
        </w:rPr>
        <w:t>物的</w:t>
      </w:r>
      <w:r>
        <w:rPr>
          <w:rFonts w:ascii="SimSun" w:hAnsi="SimSun" w:eastAsia="SimSun" w:cs="SimSun"/>
          <w:sz w:val="24"/>
          <w:szCs w:val="24"/>
        </w:rPr>
        <w:t xml:space="preserve"> </w:t>
      </w:r>
      <w:r>
        <w:rPr>
          <w:rFonts w:ascii="SimSun" w:hAnsi="SimSun" w:eastAsia="SimSun" w:cs="SimSun"/>
          <w:sz w:val="24"/>
          <w:szCs w:val="24"/>
          <w:spacing w:val="-2"/>
        </w:rPr>
        <w:t>排放情况见下表：</w:t>
      </w:r>
    </w:p>
    <w:p>
      <w:pPr>
        <w:ind w:left="1744"/>
        <w:spacing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3.5-4      </w:t>
      </w:r>
      <w:r>
        <w:rPr>
          <w:rFonts w:ascii="SimSun" w:hAnsi="SimSun" w:eastAsia="SimSun" w:cs="SimSun"/>
          <w:sz w:val="24"/>
          <w:szCs w:val="24"/>
          <w:b/>
          <w:bCs/>
          <w:spacing w:val="-2"/>
        </w:rPr>
        <w:t>生物质锅炉污染物排放浓度及排放量表</w:t>
      </w:r>
    </w:p>
    <w:tbl>
      <w:tblPr>
        <w:tblStyle w:val="TableNormal"/>
        <w:tblW w:w="872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33"/>
        <w:gridCol w:w="1066"/>
        <w:gridCol w:w="1223"/>
        <w:gridCol w:w="1007"/>
        <w:gridCol w:w="1501"/>
        <w:gridCol w:w="1199"/>
        <w:gridCol w:w="988"/>
        <w:gridCol w:w="907"/>
      </w:tblGrid>
      <w:tr>
        <w:trPr>
          <w:trHeight w:val="554" w:hRule="atLeast"/>
        </w:trPr>
        <w:tc>
          <w:tcPr>
            <w:tcW w:w="833" w:type="dxa"/>
            <w:vAlign w:val="top"/>
          </w:tcPr>
          <w:p>
            <w:pPr>
              <w:pStyle w:val="TableText"/>
              <w:ind w:left="314" w:right="205" w:hanging="100"/>
              <w:spacing w:before="37" w:line="234" w:lineRule="auto"/>
              <w:rPr/>
            </w:pPr>
            <w:r>
              <w:rPr>
                <w:spacing w:val="3"/>
              </w:rPr>
              <w:t>污染</w:t>
            </w:r>
            <w:r>
              <w:rPr/>
              <w:t xml:space="preserve"> </w:t>
            </w:r>
            <w:r>
              <w:rPr>
                <w:spacing w:val="1"/>
              </w:rPr>
              <w:t>源</w:t>
            </w:r>
          </w:p>
        </w:tc>
        <w:tc>
          <w:tcPr>
            <w:tcW w:w="1066" w:type="dxa"/>
            <w:vAlign w:val="top"/>
          </w:tcPr>
          <w:p>
            <w:pPr>
              <w:pStyle w:val="TableText"/>
              <w:ind w:left="223"/>
              <w:spacing w:before="171" w:line="228" w:lineRule="auto"/>
              <w:rPr/>
            </w:pPr>
            <w:r>
              <w:rPr>
                <w:spacing w:val="6"/>
              </w:rPr>
              <w:t>污染物</w:t>
            </w:r>
          </w:p>
        </w:tc>
        <w:tc>
          <w:tcPr>
            <w:tcW w:w="1223" w:type="dxa"/>
            <w:vAlign w:val="top"/>
          </w:tcPr>
          <w:p>
            <w:pPr>
              <w:pStyle w:val="TableText"/>
              <w:ind w:left="197"/>
              <w:spacing w:before="36" w:line="228" w:lineRule="auto"/>
              <w:rPr/>
            </w:pPr>
            <w:r>
              <w:rPr>
                <w:spacing w:val="7"/>
              </w:rPr>
              <w:t>产生浓度</w:t>
            </w:r>
          </w:p>
          <w:p>
            <w:pPr>
              <w:pStyle w:val="TableText"/>
              <w:ind w:left="138"/>
              <w:spacing w:before="24" w:line="218" w:lineRule="auto"/>
              <w:rPr/>
            </w:pPr>
            <w:r>
              <w:rPr>
                <w:spacing w:val="3"/>
              </w:rPr>
              <w:t>（</w:t>
            </w:r>
            <w:r>
              <w:rPr>
                <w:rFonts w:ascii="Times New Roman" w:hAnsi="Times New Roman" w:eastAsia="Times New Roman" w:cs="Times New Roman"/>
              </w:rPr>
              <w:t>mg</w:t>
            </w:r>
            <w:r>
              <w:rPr>
                <w:rFonts w:ascii="Times New Roman" w:hAnsi="Times New Roman" w:eastAsia="Times New Roman" w:cs="Times New Roman"/>
                <w:spacing w:val="3"/>
              </w:rPr>
              <w:t>/m</w:t>
            </w:r>
            <w:r>
              <w:rPr>
                <w:rFonts w:ascii="Times New Roman" w:hAnsi="Times New Roman" w:eastAsia="Times New Roman" w:cs="Times New Roman"/>
                <w:sz w:val="13"/>
                <w:szCs w:val="13"/>
                <w:spacing w:val="3"/>
                <w:position w:val="6"/>
              </w:rPr>
              <w:t>3</w:t>
            </w:r>
            <w:r>
              <w:rPr>
                <w:spacing w:val="3"/>
              </w:rPr>
              <w:t>）</w:t>
            </w:r>
          </w:p>
        </w:tc>
        <w:tc>
          <w:tcPr>
            <w:tcW w:w="1007" w:type="dxa"/>
            <w:vAlign w:val="top"/>
          </w:tcPr>
          <w:p>
            <w:pPr>
              <w:pStyle w:val="TableText"/>
              <w:ind w:left="193"/>
              <w:spacing w:before="36" w:line="228" w:lineRule="auto"/>
              <w:rPr/>
            </w:pPr>
            <w:r>
              <w:rPr>
                <w:spacing w:val="6"/>
              </w:rPr>
              <w:t>产生量</w:t>
            </w:r>
          </w:p>
          <w:p>
            <w:pPr>
              <w:pStyle w:val="TableText"/>
              <w:ind w:left="203"/>
              <w:spacing w:before="24" w:line="218" w:lineRule="auto"/>
              <w:rPr/>
            </w:pPr>
            <w:r>
              <w:rPr/>
              <w:t>（</w:t>
            </w:r>
            <w:r>
              <w:rPr>
                <w:rFonts w:ascii="Times New Roman" w:hAnsi="Times New Roman" w:eastAsia="Times New Roman" w:cs="Times New Roman"/>
              </w:rPr>
              <w:t>t/a</w:t>
            </w:r>
            <w:r>
              <w:rPr/>
              <w:t>）</w:t>
            </w:r>
          </w:p>
        </w:tc>
        <w:tc>
          <w:tcPr>
            <w:tcW w:w="1501" w:type="dxa"/>
            <w:vAlign w:val="top"/>
          </w:tcPr>
          <w:p>
            <w:pPr>
              <w:pStyle w:val="TableText"/>
              <w:ind w:left="341"/>
              <w:spacing w:before="171" w:line="228" w:lineRule="auto"/>
              <w:rPr/>
            </w:pPr>
            <w:r>
              <w:rPr>
                <w:spacing w:val="6"/>
              </w:rPr>
              <w:t>治理措施</w:t>
            </w:r>
          </w:p>
        </w:tc>
        <w:tc>
          <w:tcPr>
            <w:tcW w:w="1199" w:type="dxa"/>
            <w:vAlign w:val="top"/>
          </w:tcPr>
          <w:p>
            <w:pPr>
              <w:pStyle w:val="TableText"/>
              <w:ind w:left="186"/>
              <w:spacing w:before="37" w:line="228" w:lineRule="auto"/>
              <w:rPr/>
            </w:pPr>
            <w:r>
              <w:rPr>
                <w:spacing w:val="7"/>
              </w:rPr>
              <w:t>排放浓度</w:t>
            </w:r>
          </w:p>
          <w:p>
            <w:pPr>
              <w:pStyle w:val="TableText"/>
              <w:ind w:left="127"/>
              <w:spacing w:before="23" w:line="218" w:lineRule="auto"/>
              <w:rPr/>
            </w:pPr>
            <w:r>
              <w:rPr>
                <w:spacing w:val="3"/>
              </w:rPr>
              <w:t>（</w:t>
            </w:r>
            <w:r>
              <w:rPr>
                <w:rFonts w:ascii="Times New Roman" w:hAnsi="Times New Roman" w:eastAsia="Times New Roman" w:cs="Times New Roman"/>
              </w:rPr>
              <w:t>mg</w:t>
            </w:r>
            <w:r>
              <w:rPr>
                <w:rFonts w:ascii="Times New Roman" w:hAnsi="Times New Roman" w:eastAsia="Times New Roman" w:cs="Times New Roman"/>
                <w:spacing w:val="3"/>
              </w:rPr>
              <w:t>/m</w:t>
            </w:r>
            <w:r>
              <w:rPr>
                <w:rFonts w:ascii="Times New Roman" w:hAnsi="Times New Roman" w:eastAsia="Times New Roman" w:cs="Times New Roman"/>
                <w:sz w:val="13"/>
                <w:szCs w:val="13"/>
                <w:spacing w:val="3"/>
                <w:position w:val="6"/>
              </w:rPr>
              <w:t>3</w:t>
            </w:r>
            <w:r>
              <w:rPr>
                <w:spacing w:val="3"/>
              </w:rPr>
              <w:t>）</w:t>
            </w:r>
          </w:p>
        </w:tc>
        <w:tc>
          <w:tcPr>
            <w:tcW w:w="988" w:type="dxa"/>
            <w:vAlign w:val="top"/>
          </w:tcPr>
          <w:p>
            <w:pPr>
              <w:pStyle w:val="TableText"/>
              <w:ind w:left="187"/>
              <w:spacing w:before="37" w:line="229" w:lineRule="auto"/>
              <w:rPr/>
            </w:pPr>
            <w:r>
              <w:rPr>
                <w:spacing w:val="6"/>
              </w:rPr>
              <w:t>排放量</w:t>
            </w:r>
          </w:p>
          <w:p>
            <w:pPr>
              <w:pStyle w:val="TableText"/>
              <w:ind w:left="197"/>
              <w:spacing w:before="22" w:line="218" w:lineRule="auto"/>
              <w:rPr/>
            </w:pPr>
            <w:r>
              <w:rPr>
                <w:spacing w:val="-1"/>
              </w:rPr>
              <w:t>（</w:t>
            </w:r>
            <w:r>
              <w:rPr>
                <w:rFonts w:ascii="Times New Roman" w:hAnsi="Times New Roman" w:eastAsia="Times New Roman" w:cs="Times New Roman"/>
                <w:spacing w:val="-1"/>
              </w:rPr>
              <w:t>t/a</w:t>
            </w:r>
            <w:r>
              <w:rPr>
                <w:spacing w:val="-1"/>
              </w:rPr>
              <w:t>）</w:t>
            </w:r>
          </w:p>
        </w:tc>
        <w:tc>
          <w:tcPr>
            <w:tcW w:w="907" w:type="dxa"/>
            <w:vAlign w:val="top"/>
          </w:tcPr>
          <w:p>
            <w:pPr>
              <w:pStyle w:val="TableText"/>
              <w:ind w:left="142"/>
              <w:spacing w:before="37" w:line="229" w:lineRule="auto"/>
              <w:rPr/>
            </w:pPr>
            <w:r>
              <w:rPr>
                <w:spacing w:val="6"/>
              </w:rPr>
              <w:t>排放方</w:t>
            </w:r>
          </w:p>
          <w:p>
            <w:pPr>
              <w:pStyle w:val="TableText"/>
              <w:ind w:left="358"/>
              <w:spacing w:before="22" w:line="218" w:lineRule="auto"/>
              <w:rPr/>
            </w:pPr>
            <w:r>
              <w:rPr/>
              <w:t>式</w:t>
            </w:r>
          </w:p>
        </w:tc>
      </w:tr>
      <w:tr>
        <w:trPr>
          <w:trHeight w:val="398" w:hRule="atLeast"/>
        </w:trPr>
        <w:tc>
          <w:tcPr>
            <w:tcW w:w="833" w:type="dxa"/>
            <w:vAlign w:val="top"/>
            <w:vMerge w:val="restart"/>
            <w:tcBorders>
              <w:bottom w:val="nil"/>
            </w:tcBorders>
          </w:tcPr>
          <w:p>
            <w:pPr>
              <w:spacing w:line="319" w:lineRule="auto"/>
              <w:rPr>
                <w:rFonts w:ascii="Arial"/>
                <w:sz w:val="21"/>
              </w:rPr>
            </w:pPr>
            <w:r/>
          </w:p>
          <w:p>
            <w:pPr>
              <w:spacing w:line="319" w:lineRule="auto"/>
              <w:rPr>
                <w:rFonts w:ascii="Arial"/>
                <w:sz w:val="21"/>
              </w:rPr>
            </w:pPr>
            <w:r/>
          </w:p>
          <w:p>
            <w:pPr>
              <w:pStyle w:val="TableText"/>
              <w:ind w:left="212"/>
              <w:spacing w:before="65" w:line="228" w:lineRule="auto"/>
              <w:rPr/>
            </w:pPr>
            <w:r>
              <w:rPr>
                <w:spacing w:val="4"/>
              </w:rPr>
              <w:t>锅炉</w:t>
            </w:r>
          </w:p>
          <w:p>
            <w:pPr>
              <w:pStyle w:val="TableText"/>
              <w:ind w:left="211"/>
              <w:spacing w:before="26" w:line="228" w:lineRule="auto"/>
              <w:rPr/>
            </w:pPr>
            <w:r>
              <w:rPr>
                <w:spacing w:val="5"/>
              </w:rPr>
              <w:t>废气</w:t>
            </w:r>
          </w:p>
        </w:tc>
        <w:tc>
          <w:tcPr>
            <w:tcW w:w="1066" w:type="dxa"/>
            <w:vAlign w:val="top"/>
          </w:tcPr>
          <w:p>
            <w:pPr>
              <w:ind w:left="373"/>
              <w:spacing w:before="128"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3"/>
                <w:position w:val="-1"/>
              </w:rPr>
              <w:t>2</w:t>
            </w:r>
          </w:p>
        </w:tc>
        <w:tc>
          <w:tcPr>
            <w:tcW w:w="1223" w:type="dxa"/>
            <w:vAlign w:val="top"/>
          </w:tcPr>
          <w:p>
            <w:pPr>
              <w:ind w:left="396"/>
              <w:spacing w:before="12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133.5</w:t>
            </w:r>
          </w:p>
        </w:tc>
        <w:tc>
          <w:tcPr>
            <w:tcW w:w="1007" w:type="dxa"/>
            <w:vAlign w:val="top"/>
          </w:tcPr>
          <w:p>
            <w:pPr>
              <w:ind w:left="274"/>
              <w:spacing w:before="13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5.777</w:t>
            </w:r>
          </w:p>
        </w:tc>
        <w:tc>
          <w:tcPr>
            <w:tcW w:w="1501" w:type="dxa"/>
            <w:vAlign w:val="top"/>
          </w:tcPr>
          <w:p>
            <w:pPr>
              <w:ind w:left="719"/>
              <w:spacing w:before="12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199" w:type="dxa"/>
            <w:vAlign w:val="top"/>
          </w:tcPr>
          <w:p>
            <w:pPr>
              <w:ind w:left="385"/>
              <w:spacing w:before="12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133.5</w:t>
            </w:r>
          </w:p>
        </w:tc>
        <w:tc>
          <w:tcPr>
            <w:tcW w:w="988" w:type="dxa"/>
            <w:vAlign w:val="top"/>
          </w:tcPr>
          <w:p>
            <w:pPr>
              <w:ind w:left="266"/>
              <w:spacing w:before="13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5.777</w:t>
            </w:r>
          </w:p>
        </w:tc>
        <w:tc>
          <w:tcPr>
            <w:tcW w:w="907" w:type="dxa"/>
            <w:vAlign w:val="top"/>
            <w:vMerge w:val="restart"/>
            <w:tcBorders>
              <w:bottom w:val="nil"/>
            </w:tcBorders>
          </w:tcPr>
          <w:p>
            <w:pPr>
              <w:spacing w:line="318" w:lineRule="auto"/>
              <w:rPr>
                <w:rFonts w:ascii="Arial"/>
                <w:sz w:val="21"/>
              </w:rPr>
            </w:pPr>
            <w:r/>
          </w:p>
          <w:p>
            <w:pPr>
              <w:spacing w:line="319" w:lineRule="auto"/>
              <w:rPr>
                <w:rFonts w:ascii="Arial"/>
                <w:sz w:val="21"/>
              </w:rPr>
            </w:pPr>
            <w:r/>
          </w:p>
          <w:p>
            <w:pPr>
              <w:pStyle w:val="TableText"/>
              <w:ind w:left="141" w:right="136" w:hanging="1"/>
              <w:spacing w:before="65" w:line="254" w:lineRule="auto"/>
              <w:rPr/>
            </w:pPr>
            <w:r>
              <w:rPr>
                <w:rFonts w:ascii="Times New Roman" w:hAnsi="Times New Roman" w:eastAsia="Times New Roman" w:cs="Times New Roman"/>
                <w:spacing w:val="1"/>
              </w:rPr>
              <w:t>35m</w:t>
            </w:r>
            <w:r>
              <w:rPr>
                <w:rFonts w:ascii="Times New Roman" w:hAnsi="Times New Roman" w:eastAsia="Times New Roman" w:cs="Times New Roman"/>
                <w:spacing w:val="14"/>
                <w:w w:val="101"/>
              </w:rPr>
              <w:t xml:space="preserve"> </w:t>
            </w:r>
            <w:r>
              <w:rPr>
                <w:spacing w:val="1"/>
              </w:rPr>
              <w:t>高</w:t>
            </w:r>
            <w:r>
              <w:rPr/>
              <w:t xml:space="preserve"> </w:t>
            </w:r>
            <w:r>
              <w:rPr>
                <w:spacing w:val="6"/>
              </w:rPr>
              <w:t>排气筒</w:t>
            </w:r>
          </w:p>
        </w:tc>
      </w:tr>
      <w:tr>
        <w:trPr>
          <w:trHeight w:val="398" w:hRule="atLeast"/>
        </w:trPr>
        <w:tc>
          <w:tcPr>
            <w:tcW w:w="833" w:type="dxa"/>
            <w:vAlign w:val="top"/>
            <w:vMerge w:val="continue"/>
            <w:tcBorders>
              <w:top w:val="nil"/>
              <w:bottom w:val="nil"/>
            </w:tcBorders>
          </w:tcPr>
          <w:p>
            <w:pPr>
              <w:rPr>
                <w:rFonts w:ascii="Arial"/>
                <w:sz w:val="21"/>
              </w:rPr>
            </w:pPr>
            <w:r/>
          </w:p>
        </w:tc>
        <w:tc>
          <w:tcPr>
            <w:tcW w:w="1066" w:type="dxa"/>
            <w:vAlign w:val="top"/>
          </w:tcPr>
          <w:p>
            <w:pPr>
              <w:ind w:left="340"/>
              <w:spacing w:before="128"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NO</w:t>
            </w:r>
            <w:r>
              <w:rPr>
                <w:rFonts w:ascii="Times New Roman" w:hAnsi="Times New Roman" w:eastAsia="Times New Roman" w:cs="Times New Roman"/>
                <w:sz w:val="13"/>
                <w:szCs w:val="13"/>
                <w:spacing w:val="6"/>
                <w:position w:val="-1"/>
              </w:rPr>
              <w:t>x</w:t>
            </w:r>
          </w:p>
        </w:tc>
        <w:tc>
          <w:tcPr>
            <w:tcW w:w="1223" w:type="dxa"/>
            <w:vAlign w:val="top"/>
          </w:tcPr>
          <w:p>
            <w:pPr>
              <w:ind w:left="432"/>
              <w:spacing w:before="12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92.8</w:t>
            </w:r>
          </w:p>
        </w:tc>
        <w:tc>
          <w:tcPr>
            <w:tcW w:w="1007" w:type="dxa"/>
            <w:vAlign w:val="top"/>
          </w:tcPr>
          <w:p>
            <w:pPr>
              <w:ind w:left="268"/>
              <w:spacing w:before="12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4.021</w:t>
            </w:r>
          </w:p>
        </w:tc>
        <w:tc>
          <w:tcPr>
            <w:tcW w:w="1501" w:type="dxa"/>
            <w:vAlign w:val="top"/>
          </w:tcPr>
          <w:p>
            <w:pPr>
              <w:pStyle w:val="TableText"/>
              <w:ind w:left="126"/>
              <w:spacing w:before="92" w:line="227" w:lineRule="auto"/>
              <w:rPr/>
            </w:pPr>
            <w:r>
              <w:rPr>
                <w:spacing w:val="8"/>
              </w:rPr>
              <w:t>低氮燃烧技术</w:t>
            </w:r>
          </w:p>
        </w:tc>
        <w:tc>
          <w:tcPr>
            <w:tcW w:w="1199" w:type="dxa"/>
            <w:vAlign w:val="top"/>
          </w:tcPr>
          <w:p>
            <w:pPr>
              <w:ind w:left="421"/>
              <w:spacing w:before="12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92.8</w:t>
            </w:r>
          </w:p>
        </w:tc>
        <w:tc>
          <w:tcPr>
            <w:tcW w:w="988" w:type="dxa"/>
            <w:vAlign w:val="top"/>
          </w:tcPr>
          <w:p>
            <w:pPr>
              <w:ind w:left="259"/>
              <w:spacing w:before="12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4.021</w:t>
            </w:r>
          </w:p>
        </w:tc>
        <w:tc>
          <w:tcPr>
            <w:tcW w:w="907" w:type="dxa"/>
            <w:vAlign w:val="top"/>
            <w:vMerge w:val="continue"/>
            <w:tcBorders>
              <w:top w:val="nil"/>
              <w:bottom w:val="nil"/>
            </w:tcBorders>
          </w:tcPr>
          <w:p>
            <w:pPr>
              <w:rPr>
                <w:rFonts w:ascii="Arial"/>
                <w:sz w:val="21"/>
              </w:rPr>
            </w:pPr>
            <w:r/>
          </w:p>
        </w:tc>
      </w:tr>
      <w:tr>
        <w:trPr>
          <w:trHeight w:val="1096" w:hRule="atLeast"/>
        </w:trPr>
        <w:tc>
          <w:tcPr>
            <w:tcW w:w="833" w:type="dxa"/>
            <w:vAlign w:val="top"/>
            <w:vMerge w:val="continue"/>
            <w:tcBorders>
              <w:top w:val="nil"/>
            </w:tcBorders>
          </w:tcPr>
          <w:p>
            <w:pPr>
              <w:rPr>
                <w:rFonts w:ascii="Arial"/>
                <w:sz w:val="21"/>
              </w:rPr>
            </w:pPr>
            <w:r/>
          </w:p>
        </w:tc>
        <w:tc>
          <w:tcPr>
            <w:tcW w:w="1066" w:type="dxa"/>
            <w:vAlign w:val="top"/>
          </w:tcPr>
          <w:p>
            <w:pPr>
              <w:spacing w:line="373" w:lineRule="auto"/>
              <w:rPr>
                <w:rFonts w:ascii="Arial"/>
                <w:sz w:val="21"/>
              </w:rPr>
            </w:pPr>
            <w:r/>
          </w:p>
          <w:p>
            <w:pPr>
              <w:pStyle w:val="TableText"/>
              <w:ind w:left="328"/>
              <w:spacing w:before="65" w:line="229" w:lineRule="auto"/>
              <w:rPr/>
            </w:pPr>
            <w:r>
              <w:rPr>
                <w:spacing w:val="4"/>
              </w:rPr>
              <w:t>烟尘</w:t>
            </w:r>
          </w:p>
        </w:tc>
        <w:tc>
          <w:tcPr>
            <w:tcW w:w="1223" w:type="dxa"/>
            <w:vAlign w:val="top"/>
          </w:tcPr>
          <w:p>
            <w:pPr>
              <w:spacing w:line="416" w:lineRule="auto"/>
              <w:rPr>
                <w:rFonts w:ascii="Arial"/>
                <w:sz w:val="21"/>
              </w:rPr>
            </w:pPr>
            <w:r/>
          </w:p>
          <w:p>
            <w:pPr>
              <w:ind w:left="43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65.4</w:t>
            </w:r>
          </w:p>
        </w:tc>
        <w:tc>
          <w:tcPr>
            <w:tcW w:w="1007" w:type="dxa"/>
            <w:vAlign w:val="top"/>
          </w:tcPr>
          <w:p>
            <w:pPr>
              <w:spacing w:line="416" w:lineRule="auto"/>
              <w:rPr>
                <w:rFonts w:ascii="Arial"/>
                <w:sz w:val="21"/>
              </w:rPr>
            </w:pPr>
            <w:r/>
          </w:p>
          <w:p>
            <w:pPr>
              <w:ind w:left="26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2.832</w:t>
            </w:r>
          </w:p>
        </w:tc>
        <w:tc>
          <w:tcPr>
            <w:tcW w:w="1501" w:type="dxa"/>
            <w:vAlign w:val="top"/>
          </w:tcPr>
          <w:p>
            <w:pPr>
              <w:pStyle w:val="TableText"/>
              <w:ind w:left="139"/>
              <w:spacing w:before="32" w:line="228" w:lineRule="auto"/>
              <w:rPr/>
            </w:pPr>
            <w:r>
              <w:rPr>
                <w:spacing w:val="6"/>
              </w:rPr>
              <w:t>陶瓷多管除尘</w:t>
            </w:r>
          </w:p>
          <w:p>
            <w:pPr>
              <w:pStyle w:val="TableText"/>
              <w:ind w:left="173"/>
              <w:spacing w:before="26" w:line="227" w:lineRule="auto"/>
              <w:rPr/>
            </w:pPr>
            <w:r>
              <w:rPr>
                <w:spacing w:val="7"/>
              </w:rPr>
              <w:t>器</w:t>
            </w:r>
            <w:r>
              <w:rPr>
                <w:rFonts w:ascii="Times New Roman" w:hAnsi="Times New Roman" w:eastAsia="Times New Roman" w:cs="Times New Roman"/>
                <w:spacing w:val="7"/>
              </w:rPr>
              <w:t>+</w:t>
            </w:r>
            <w:r>
              <w:rPr>
                <w:spacing w:val="7"/>
              </w:rPr>
              <w:t>布袋除尘</w:t>
            </w:r>
          </w:p>
          <w:p>
            <w:pPr>
              <w:pStyle w:val="TableText"/>
              <w:ind w:left="381"/>
              <w:spacing w:before="24" w:line="228" w:lineRule="auto"/>
              <w:rPr/>
            </w:pPr>
            <w:r>
              <w:rPr>
                <w:spacing w:val="6"/>
              </w:rPr>
              <w:t>器</w:t>
            </w:r>
            <w:r>
              <w:rPr>
                <w:rFonts w:ascii="Times New Roman" w:hAnsi="Times New Roman" w:eastAsia="Times New Roman" w:cs="Times New Roman"/>
                <w:spacing w:val="6"/>
              </w:rPr>
              <w:t>+</w:t>
            </w:r>
            <w:r>
              <w:rPr>
                <w:spacing w:val="6"/>
              </w:rPr>
              <w:t>水浴</w:t>
            </w:r>
          </w:p>
          <w:p>
            <w:pPr>
              <w:pStyle w:val="TableText"/>
              <w:ind w:left="363"/>
              <w:spacing w:before="27" w:line="217" w:lineRule="auto"/>
              <w:rPr/>
            </w:pPr>
            <w:r>
              <w:rPr>
                <w:spacing w:val="2"/>
              </w:rPr>
              <w:t>（</w:t>
            </w:r>
            <w:r>
              <w:rPr>
                <w:rFonts w:ascii="Times New Roman" w:hAnsi="Times New Roman" w:eastAsia="Times New Roman" w:cs="Times New Roman"/>
                <w:spacing w:val="2"/>
              </w:rPr>
              <w:t>99%</w:t>
            </w:r>
            <w:r>
              <w:rPr>
                <w:spacing w:val="2"/>
              </w:rPr>
              <w:t>）</w:t>
            </w:r>
          </w:p>
        </w:tc>
        <w:tc>
          <w:tcPr>
            <w:tcW w:w="1199" w:type="dxa"/>
            <w:vAlign w:val="top"/>
          </w:tcPr>
          <w:p>
            <w:pPr>
              <w:spacing w:line="416" w:lineRule="auto"/>
              <w:rPr>
                <w:rFonts w:ascii="Arial"/>
                <w:sz w:val="21"/>
              </w:rPr>
            </w:pPr>
            <w:r/>
          </w:p>
          <w:p>
            <w:pPr>
              <w:ind w:left="368"/>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0.654</w:t>
            </w:r>
          </w:p>
        </w:tc>
        <w:tc>
          <w:tcPr>
            <w:tcW w:w="988" w:type="dxa"/>
            <w:vAlign w:val="top"/>
          </w:tcPr>
          <w:p>
            <w:pPr>
              <w:spacing w:line="416" w:lineRule="auto"/>
              <w:rPr>
                <w:rFonts w:ascii="Arial"/>
                <w:sz w:val="21"/>
              </w:rPr>
            </w:pPr>
            <w:r/>
          </w:p>
          <w:p>
            <w:pPr>
              <w:ind w:left="21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0.0283</w:t>
            </w:r>
          </w:p>
        </w:tc>
        <w:tc>
          <w:tcPr>
            <w:tcW w:w="907" w:type="dxa"/>
            <w:vAlign w:val="top"/>
            <w:vMerge w:val="continue"/>
            <w:tcBorders>
              <w:top w:val="nil"/>
            </w:tcBorders>
          </w:tcPr>
          <w:p>
            <w:pPr>
              <w:rPr>
                <w:rFonts w:ascii="Arial"/>
                <w:sz w:val="21"/>
              </w:rPr>
            </w:pPr>
            <w:r/>
          </w:p>
        </w:tc>
      </w:tr>
    </w:tbl>
    <w:p>
      <w:pPr>
        <w:ind w:left="127" w:right="110" w:firstLine="596"/>
        <w:spacing w:before="195" w:line="385" w:lineRule="auto"/>
        <w:jc w:val="both"/>
        <w:rPr>
          <w:rFonts w:ascii="SimSun" w:hAnsi="SimSun" w:eastAsia="SimSun" w:cs="SimSun"/>
          <w:sz w:val="24"/>
          <w:szCs w:val="24"/>
        </w:rPr>
      </w:pPr>
      <w:r>
        <w:rPr>
          <w:rFonts w:ascii="SimSun" w:hAnsi="SimSun" w:eastAsia="SimSun" w:cs="SimSun"/>
          <w:sz w:val="24"/>
          <w:szCs w:val="24"/>
          <w:spacing w:val="1"/>
        </w:rPr>
        <w:t>本项目生物质锅炉燃烧废气经低氮燃烧</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1"/>
        </w:rPr>
        <w:t>陶瓷多管除</w:t>
      </w:r>
      <w:r>
        <w:rPr>
          <w:rFonts w:ascii="SimSun" w:hAnsi="SimSun" w:eastAsia="SimSun" w:cs="SimSun"/>
          <w:sz w:val="24"/>
          <w:szCs w:val="24"/>
        </w:rPr>
        <w:t>尘器</w:t>
      </w:r>
      <w:r>
        <w:rPr>
          <w:rFonts w:ascii="Times New Roman" w:hAnsi="Times New Roman" w:eastAsia="Times New Roman" w:cs="Times New Roman"/>
          <w:sz w:val="24"/>
          <w:szCs w:val="24"/>
        </w:rPr>
        <w:t>+</w:t>
      </w:r>
      <w:r>
        <w:rPr>
          <w:rFonts w:ascii="SimSun" w:hAnsi="SimSun" w:eastAsia="SimSun" w:cs="SimSun"/>
          <w:sz w:val="24"/>
          <w:szCs w:val="24"/>
        </w:rPr>
        <w:t>布袋除尘器</w:t>
      </w:r>
      <w:r>
        <w:rPr>
          <w:rFonts w:ascii="Times New Roman" w:hAnsi="Times New Roman" w:eastAsia="Times New Roman" w:cs="Times New Roman"/>
          <w:sz w:val="24"/>
          <w:szCs w:val="24"/>
        </w:rPr>
        <w:t>+</w:t>
      </w:r>
      <w:r>
        <w:rPr>
          <w:rFonts w:ascii="SimSun" w:hAnsi="SimSun" w:eastAsia="SimSun" w:cs="SimSun"/>
          <w:sz w:val="24"/>
          <w:szCs w:val="24"/>
        </w:rPr>
        <w:t>水浴 </w:t>
      </w:r>
      <w:r>
        <w:rPr>
          <w:rFonts w:ascii="SimSun" w:hAnsi="SimSun" w:eastAsia="SimSun" w:cs="SimSun"/>
          <w:sz w:val="24"/>
          <w:szCs w:val="24"/>
          <w:spacing w:val="1"/>
        </w:rPr>
        <w:t>处理后满足《锅炉大气污染物排放标准》（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13271-2014</w:t>
      </w:r>
      <w:r>
        <w:rPr>
          <w:rFonts w:ascii="SimSun" w:hAnsi="SimSun" w:eastAsia="SimSun" w:cs="SimSun"/>
          <w:sz w:val="24"/>
          <w:szCs w:val="24"/>
          <w:spacing w:val="1"/>
        </w:rPr>
        <w:t>）中标准要求，处</w:t>
      </w:r>
      <w:r>
        <w:rPr>
          <w:rFonts w:ascii="SimSun" w:hAnsi="SimSun" w:eastAsia="SimSun" w:cs="SimSun"/>
          <w:sz w:val="24"/>
          <w:szCs w:val="24"/>
        </w:rPr>
        <w:t>理后 </w:t>
      </w:r>
      <w:r>
        <w:rPr>
          <w:rFonts w:ascii="SimSun" w:hAnsi="SimSun" w:eastAsia="SimSun" w:cs="SimSun"/>
          <w:sz w:val="24"/>
          <w:szCs w:val="24"/>
          <w:spacing w:val="-2"/>
        </w:rPr>
        <w:t>的烟气经</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35m </w:t>
      </w:r>
      <w:r>
        <w:rPr>
          <w:rFonts w:ascii="SimSun" w:hAnsi="SimSun" w:eastAsia="SimSun" w:cs="SimSun"/>
          <w:sz w:val="24"/>
          <w:szCs w:val="24"/>
          <w:spacing w:val="-2"/>
        </w:rPr>
        <w:t>高排气筒排放。</w:t>
      </w:r>
    </w:p>
    <w:p>
      <w:pPr>
        <w:ind w:left="598"/>
        <w:spacing w:line="220" w:lineRule="auto"/>
        <w:rPr>
          <w:rFonts w:ascii="SimSun" w:hAnsi="SimSun" w:eastAsia="SimSun" w:cs="SimSun"/>
          <w:sz w:val="24"/>
          <w:szCs w:val="24"/>
        </w:rPr>
      </w:pPr>
      <w:r>
        <w:rPr>
          <w:rFonts w:ascii="Times New Roman" w:hAnsi="Times New Roman" w:eastAsia="Times New Roman" w:cs="Times New Roman"/>
          <w:sz w:val="24"/>
          <w:szCs w:val="24"/>
          <w:spacing w:val="-5"/>
        </w:rPr>
        <w:t>2</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5"/>
        </w:rPr>
        <w:t>、无组织废气</w:t>
      </w:r>
    </w:p>
    <w:p>
      <w:pPr>
        <w:ind w:left="120" w:right="4967" w:firstLine="493"/>
        <w:spacing w:before="212" w:line="445" w:lineRule="auto"/>
        <w:rPr>
          <w:rFonts w:ascii="SimSun" w:hAnsi="SimSun" w:eastAsia="SimSun" w:cs="SimSun"/>
          <w:sz w:val="19"/>
          <w:szCs w:val="19"/>
        </w:rPr>
      </w:pPr>
      <w:r>
        <w:pict>
          <v:shape id="_x0000_s492" style="position:absolute;margin-left:164.97pt;margin-top:37.552pt;mso-position-vertical-relative:text;mso-position-horizontal-relative:text;width:58.85pt;height:13.75pt;z-index:251870208;"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28"/>
                    </w:rPr>
                    <w:t xml:space="preserve">   </w:t>
                  </w:r>
                  <w:r>
                    <w:rPr>
                      <w:rFonts w:ascii="Times New Roman" w:hAnsi="Times New Roman" w:eastAsia="Times New Roman" w:cs="Times New Roman"/>
                      <w:sz w:val="18"/>
                      <w:szCs w:val="18"/>
                      <w:spacing w:val="3"/>
                      <w:position w:val="2"/>
                    </w:rPr>
                    <w:t>95</w:t>
                  </w:r>
                </w:p>
              </w:txbxContent>
            </v:textbox>
          </v:shape>
        </w:pict>
      </w: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）洗毛恶臭气体（</w:t>
      </w:r>
      <w:r>
        <w:rPr>
          <w:rFonts w:ascii="Times New Roman" w:hAnsi="Times New Roman" w:eastAsia="Times New Roman" w:cs="Times New Roman"/>
          <w:sz w:val="24"/>
          <w:szCs w:val="24"/>
          <w:spacing w:val="-3"/>
        </w:rPr>
        <w:t>G</w:t>
      </w:r>
      <w:r>
        <w:rPr>
          <w:rFonts w:ascii="Times New Roman" w:hAnsi="Times New Roman" w:eastAsia="Times New Roman" w:cs="Times New Roman"/>
          <w:sz w:val="15"/>
          <w:szCs w:val="15"/>
          <w:spacing w:val="-3"/>
          <w:position w:val="-1"/>
        </w:rPr>
        <w:t>1-3-</w:t>
      </w:r>
      <w:r>
        <w:rPr>
          <w:rFonts w:ascii="Times New Roman" w:hAnsi="Times New Roman" w:eastAsia="Times New Roman" w:cs="Times New Roman"/>
          <w:sz w:val="15"/>
          <w:szCs w:val="15"/>
          <w:spacing w:val="-8"/>
          <w:position w:val="-1"/>
        </w:rPr>
        <w:t xml:space="preserve"> </w:t>
      </w:r>
      <w:r>
        <w:rPr>
          <w:rFonts w:ascii="Times New Roman" w:hAnsi="Times New Roman" w:eastAsia="Times New Roman" w:cs="Times New Roman"/>
          <w:sz w:val="15"/>
          <w:szCs w:val="15"/>
          <w:spacing w:val="-3"/>
          <w:position w:val="-1"/>
        </w:rPr>
        <w:t>1~4</w:t>
      </w:r>
      <w:r>
        <w:rPr>
          <w:rFonts w:ascii="SimSun" w:hAnsi="SimSun" w:eastAsia="SimSun" w:cs="SimSun"/>
          <w:sz w:val="24"/>
          <w:szCs w:val="24"/>
          <w:spacing w:val="-3"/>
        </w:rPr>
        <w:t>）</w:t>
      </w:r>
      <w:r>
        <w:rPr>
          <w:rFonts w:ascii="SimSun" w:hAnsi="SimSun" w:eastAsia="SimSun" w:cs="SimSun"/>
          <w:sz w:val="24"/>
          <w:szCs w:val="24"/>
        </w:rPr>
        <w:t xml:space="preserve"> </w:t>
      </w:r>
      <w:r>
        <w:rPr>
          <w:rFonts w:ascii="SimSun" w:hAnsi="SimSun" w:eastAsia="SimSun" w:cs="SimSun"/>
          <w:sz w:val="19"/>
          <w:szCs w:val="19"/>
          <w:spacing w:val="9"/>
        </w:rPr>
        <w:t>锡林郭勒盟中安环境技术咨询有限责</w:t>
      </w:r>
    </w:p>
    <w:p>
      <w:pPr>
        <w:spacing w:line="445" w:lineRule="auto"/>
        <w:sectPr>
          <w:headerReference w:type="default" r:id="rId105"/>
          <w:pgSz w:w="11907" w:h="16840"/>
          <w:pgMar w:top="1567" w:right="1589" w:bottom="400" w:left="1588" w:header="1221" w:footer="0" w:gutter="0"/>
        </w:sectPr>
        <w:rPr>
          <w:rFonts w:ascii="SimSun" w:hAnsi="SimSun" w:eastAsia="SimSun" w:cs="SimSun"/>
          <w:sz w:val="19"/>
          <w:szCs w:val="19"/>
        </w:rPr>
      </w:pPr>
    </w:p>
    <w:p>
      <w:pPr>
        <w:pStyle w:val="BodyText"/>
        <w:spacing w:line="248" w:lineRule="auto"/>
        <w:rPr/>
      </w:pPr>
      <w:r>
        <w:pict>
          <v:shape id="_x0000_s494" style="position:absolute;margin-left:0.440002pt;margin-top:0.539368pt;mso-position-vertical-relative:text;mso-position-horizontal-relative:text;width:425.25pt;height:0.75pt;z-index:251873280;" fillcolor="#000000" filled="true" stroked="false" coordsize="8505,15" coordorigin="0,0" path="m,l8505,0l8505,14l0,14l0,0xe"/>
        </w:pict>
      </w:r>
      <w:r/>
    </w:p>
    <w:p>
      <w:pPr>
        <w:ind w:left="16" w:right="80" w:firstLine="480"/>
        <w:spacing w:before="78" w:line="383" w:lineRule="auto"/>
        <w:jc w:val="both"/>
        <w:rPr>
          <w:rFonts w:ascii="SimSun" w:hAnsi="SimSun" w:eastAsia="SimSun" w:cs="SimSun"/>
          <w:sz w:val="24"/>
          <w:szCs w:val="24"/>
        </w:rPr>
      </w:pPr>
      <w:r>
        <w:rPr>
          <w:rFonts w:ascii="SimSun" w:hAnsi="SimSun" w:eastAsia="SimSun" w:cs="SimSun"/>
          <w:sz w:val="24"/>
          <w:szCs w:val="24"/>
        </w:rPr>
        <w:t>洗毛车间内恶臭来源于羊毛清洗工序，羊毛本身带有</w:t>
      </w:r>
      <w:r>
        <w:rPr>
          <w:rFonts w:ascii="SimSun" w:hAnsi="SimSun" w:eastAsia="SimSun" w:cs="SimSun"/>
          <w:sz w:val="24"/>
          <w:szCs w:val="24"/>
          <w:spacing w:val="-1"/>
        </w:rPr>
        <w:t>特有的臭味，在温水中</w:t>
      </w:r>
      <w:r>
        <w:rPr>
          <w:rFonts w:ascii="SimSun" w:hAnsi="SimSun" w:eastAsia="SimSun" w:cs="SimSun"/>
          <w:sz w:val="24"/>
          <w:szCs w:val="24"/>
        </w:rPr>
        <w:t xml:space="preserve">  </w:t>
      </w:r>
      <w:r>
        <w:rPr>
          <w:rFonts w:ascii="SimSun" w:hAnsi="SimSun" w:eastAsia="SimSun" w:cs="SimSun"/>
          <w:sz w:val="24"/>
          <w:szCs w:val="24"/>
        </w:rPr>
        <w:t>进行清洗时，臭味会随水蒸气一并挥发到车间空气中。另外</w:t>
      </w:r>
      <w:r>
        <w:rPr>
          <w:rFonts w:ascii="SimSun" w:hAnsi="SimSun" w:eastAsia="SimSun" w:cs="SimSun"/>
          <w:sz w:val="24"/>
          <w:szCs w:val="24"/>
          <w:spacing w:val="-1"/>
        </w:rPr>
        <w:t>洗毛废水含有高浓度</w:t>
      </w:r>
      <w:r>
        <w:rPr>
          <w:rFonts w:ascii="SimSun" w:hAnsi="SimSun" w:eastAsia="SimSun" w:cs="SimSun"/>
          <w:sz w:val="24"/>
          <w:szCs w:val="24"/>
        </w:rPr>
        <w:t xml:space="preserve">  </w:t>
      </w:r>
      <w:r>
        <w:rPr>
          <w:rFonts w:ascii="SimSun" w:hAnsi="SimSun" w:eastAsia="SimSun" w:cs="SimSun"/>
          <w:sz w:val="24"/>
          <w:szCs w:val="24"/>
          <w:spacing w:val="-5"/>
        </w:rPr>
        <w:t>的</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5"/>
        </w:rPr>
        <w:t>COD</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BOD</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5"/>
        </w:rPr>
        <w:t>，浓度约在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10000mg/L</w:t>
      </w:r>
      <w:r>
        <w:rPr>
          <w:rFonts w:ascii="Times New Roman" w:hAnsi="Times New Roman" w:eastAsia="Times New Roman" w:cs="Times New Roman"/>
          <w:sz w:val="24"/>
          <w:szCs w:val="24"/>
          <w:spacing w:val="39"/>
        </w:rPr>
        <w:t xml:space="preserve"> </w:t>
      </w:r>
      <w:r>
        <w:rPr>
          <w:rFonts w:ascii="SimSun" w:hAnsi="SimSun" w:eastAsia="SimSun" w:cs="SimSun"/>
          <w:sz w:val="24"/>
          <w:szCs w:val="24"/>
          <w:spacing w:val="-5"/>
        </w:rPr>
        <w:t>以上，其主要是羊粪、羊毛脂等，在温水中</w:t>
      </w:r>
      <w:r>
        <w:rPr>
          <w:rFonts w:ascii="SimSun" w:hAnsi="SimSun" w:eastAsia="SimSun" w:cs="SimSun"/>
          <w:sz w:val="24"/>
          <w:szCs w:val="24"/>
        </w:rPr>
        <w:t xml:space="preserve"> </w:t>
      </w:r>
      <w:r>
        <w:rPr>
          <w:rFonts w:ascii="SimSun" w:hAnsi="SimSun" w:eastAsia="SimSun" w:cs="SimSun"/>
          <w:sz w:val="24"/>
          <w:szCs w:val="24"/>
          <w:spacing w:val="-3"/>
        </w:rPr>
        <w:t>会迅速腐败，产生恶臭气体，挥发出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NH</w:t>
      </w:r>
      <w:r>
        <w:rPr>
          <w:rFonts w:ascii="Times New Roman" w:hAnsi="Times New Roman" w:eastAsia="Times New Roman" w:cs="Times New Roman"/>
          <w:sz w:val="15"/>
          <w:szCs w:val="15"/>
          <w:spacing w:val="-3"/>
          <w:position w:val="-1"/>
        </w:rPr>
        <w:t>3</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H</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15"/>
          <w:szCs w:val="15"/>
          <w:spacing w:val="-21"/>
          <w:position w:val="-1"/>
        </w:rPr>
        <w:t xml:space="preserve"> </w:t>
      </w:r>
      <w:r>
        <w:rPr>
          <w:rFonts w:ascii="Times New Roman" w:hAnsi="Times New Roman" w:eastAsia="Times New Roman" w:cs="Times New Roman"/>
          <w:sz w:val="24"/>
          <w:szCs w:val="24"/>
          <w:spacing w:val="-3"/>
        </w:rPr>
        <w:t>S</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3"/>
        </w:rPr>
        <w:t>、臭气浓度。</w:t>
      </w:r>
    </w:p>
    <w:p>
      <w:pPr>
        <w:ind w:left="39" w:firstLine="463"/>
        <w:spacing w:before="8" w:line="384" w:lineRule="auto"/>
        <w:rPr>
          <w:rFonts w:ascii="SimSun" w:hAnsi="SimSun" w:eastAsia="SimSun" w:cs="SimSun"/>
          <w:sz w:val="24"/>
          <w:szCs w:val="24"/>
        </w:rPr>
      </w:pPr>
      <w:r>
        <w:rPr>
          <w:rFonts w:ascii="SimSun" w:hAnsi="SimSun" w:eastAsia="SimSun" w:cs="SimSun"/>
          <w:sz w:val="24"/>
          <w:szCs w:val="24"/>
        </w:rPr>
        <w:t>项目西厂区洗毛车间恶臭气体来源为浸泡、洗涤及废水收集池、</w:t>
      </w:r>
      <w:r>
        <w:rPr>
          <w:rFonts w:ascii="Times New Roman" w:hAnsi="Times New Roman" w:eastAsia="Times New Roman" w:cs="Times New Roman"/>
          <w:sz w:val="24"/>
          <w:szCs w:val="24"/>
        </w:rPr>
        <w:t>TS </w:t>
      </w:r>
      <w:r>
        <w:rPr>
          <w:rFonts w:ascii="SimSun" w:hAnsi="SimSun" w:eastAsia="SimSun" w:cs="SimSun"/>
          <w:sz w:val="24"/>
          <w:szCs w:val="24"/>
        </w:rPr>
        <w:t>调节池、</w:t>
      </w:r>
      <w:r>
        <w:rPr>
          <w:rFonts w:ascii="SimSun" w:hAnsi="SimSun" w:eastAsia="SimSun" w:cs="SimSun"/>
          <w:sz w:val="24"/>
          <w:szCs w:val="24"/>
          <w:spacing w:val="10"/>
        </w:rPr>
        <w:t xml:space="preserve"> </w:t>
      </w:r>
      <w:r>
        <w:rPr>
          <w:rFonts w:ascii="SimSun" w:hAnsi="SimSun" w:eastAsia="SimSun" w:cs="SimSun"/>
          <w:sz w:val="24"/>
          <w:szCs w:val="24"/>
          <w:spacing w:val="-2"/>
        </w:rPr>
        <w:t>固液分离池等。东厂区洗毛车间恶臭气体来源</w:t>
      </w:r>
      <w:r>
        <w:rPr>
          <w:rFonts w:ascii="SimSun" w:hAnsi="SimSun" w:eastAsia="SimSun" w:cs="SimSun"/>
          <w:sz w:val="24"/>
          <w:szCs w:val="24"/>
          <w:spacing w:val="-3"/>
        </w:rPr>
        <w:t>为浸泡、洗涤过程少量的恶臭气体。</w:t>
      </w:r>
    </w:p>
    <w:p>
      <w:pPr>
        <w:ind w:left="18" w:firstLine="480"/>
        <w:spacing w:before="4" w:line="384" w:lineRule="auto"/>
        <w:rPr>
          <w:rFonts w:ascii="SimSun" w:hAnsi="SimSun" w:eastAsia="SimSun" w:cs="SimSun"/>
          <w:sz w:val="24"/>
          <w:szCs w:val="24"/>
        </w:rPr>
      </w:pPr>
      <w:r>
        <w:rPr>
          <w:rFonts w:ascii="SimSun" w:hAnsi="SimSun" w:eastAsia="SimSun" w:cs="SimSun"/>
          <w:sz w:val="24"/>
          <w:szCs w:val="24"/>
          <w:spacing w:val="-1"/>
        </w:rPr>
        <w:t>本项目每条洗毛生产线设</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1"/>
        </w:rPr>
        <w:t>6 </w:t>
      </w:r>
      <w:r>
        <w:rPr>
          <w:rFonts w:ascii="SimSun" w:hAnsi="SimSun" w:eastAsia="SimSun" w:cs="SimSun"/>
          <w:sz w:val="24"/>
          <w:szCs w:val="24"/>
          <w:spacing w:val="-1"/>
        </w:rPr>
        <w:t>个洗槽，洗槽为梯形漏斗状槽体，羊毛原毛中的</w:t>
      </w:r>
      <w:r>
        <w:rPr>
          <w:rFonts w:ascii="SimSun" w:hAnsi="SimSun" w:eastAsia="SimSun" w:cs="SimSun"/>
          <w:sz w:val="24"/>
          <w:szCs w:val="24"/>
        </w:rPr>
        <w:t xml:space="preserve">  </w:t>
      </w:r>
      <w:r>
        <w:rPr>
          <w:rFonts w:ascii="SimSun" w:hAnsi="SimSun" w:eastAsia="SimSun" w:cs="SimSun"/>
          <w:sz w:val="24"/>
          <w:szCs w:val="24"/>
          <w:spacing w:val="-2"/>
        </w:rPr>
        <w:t>杂草、泥沙、羊粪便等杂物，主要在一槽、二槽、三槽中洗涤去除。四槽、五槽、</w:t>
      </w:r>
      <w:r>
        <w:rPr>
          <w:rFonts w:ascii="SimSun" w:hAnsi="SimSun" w:eastAsia="SimSun" w:cs="SimSun"/>
          <w:sz w:val="24"/>
          <w:szCs w:val="24"/>
          <w:spacing w:val="5"/>
        </w:rPr>
        <w:t xml:space="preserve"> </w:t>
      </w:r>
      <w:r>
        <w:rPr>
          <w:rFonts w:ascii="SimSun" w:hAnsi="SimSun" w:eastAsia="SimSun" w:cs="SimSun"/>
          <w:sz w:val="24"/>
          <w:szCs w:val="24"/>
        </w:rPr>
        <w:t>六槽为羊毛清洗工段，羊毛已较为干净，恶臭也大大减</w:t>
      </w:r>
      <w:r>
        <w:rPr>
          <w:rFonts w:ascii="SimSun" w:hAnsi="SimSun" w:eastAsia="SimSun" w:cs="SimSun"/>
          <w:sz w:val="24"/>
          <w:szCs w:val="24"/>
          <w:spacing w:val="-1"/>
        </w:rPr>
        <w:t>少。因此洗毛车间的臭气</w:t>
      </w:r>
      <w:r>
        <w:rPr>
          <w:rFonts w:ascii="SimSun" w:hAnsi="SimSun" w:eastAsia="SimSun" w:cs="SimSun"/>
          <w:sz w:val="24"/>
          <w:szCs w:val="24"/>
        </w:rPr>
        <w:t xml:space="preserve">  </w:t>
      </w:r>
      <w:r>
        <w:rPr>
          <w:rFonts w:ascii="SimSun" w:hAnsi="SimSun" w:eastAsia="SimSun" w:cs="SimSun"/>
          <w:sz w:val="24"/>
          <w:szCs w:val="24"/>
          <w:spacing w:val="-1"/>
        </w:rPr>
        <w:t>产生点主要为洗毛生产线的一槽、二槽、三槽。</w:t>
      </w:r>
    </w:p>
    <w:p>
      <w:pPr>
        <w:ind w:left="499"/>
        <w:spacing w:before="1" w:line="218" w:lineRule="auto"/>
        <w:rPr>
          <w:rFonts w:ascii="SimSun" w:hAnsi="SimSun" w:eastAsia="SimSun" w:cs="SimSun"/>
          <w:sz w:val="24"/>
          <w:szCs w:val="24"/>
        </w:rPr>
      </w:pPr>
      <w:r>
        <w:rPr>
          <w:rFonts w:ascii="SimSun" w:hAnsi="SimSun" w:eastAsia="SimSun" w:cs="SimSun"/>
          <w:sz w:val="24"/>
          <w:szCs w:val="24"/>
          <w:spacing w:val="-1"/>
        </w:rPr>
        <w:t>本环评调查了同类洗毛企业恶臭因子的产生源强，具体见表</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1"/>
        </w:rPr>
        <w:t>3.5-5</w:t>
      </w:r>
      <w:r>
        <w:rPr>
          <w:rFonts w:ascii="SimSun" w:hAnsi="SimSun" w:eastAsia="SimSun" w:cs="SimSun"/>
          <w:sz w:val="24"/>
          <w:szCs w:val="24"/>
          <w:spacing w:val="-1"/>
        </w:rPr>
        <w:t>。</w:t>
      </w:r>
    </w:p>
    <w:p>
      <w:pPr>
        <w:ind w:left="2724"/>
        <w:spacing w:before="215"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6"/>
        </w:rPr>
        <w:t xml:space="preserve"> </w:t>
      </w:r>
      <w:r>
        <w:rPr>
          <w:rFonts w:ascii="Times New Roman" w:hAnsi="Times New Roman" w:eastAsia="Times New Roman" w:cs="Times New Roman"/>
          <w:sz w:val="24"/>
          <w:szCs w:val="24"/>
          <w:b/>
          <w:bCs/>
          <w:spacing w:val="-2"/>
        </w:rPr>
        <w:t>3.5-5      </w:t>
      </w:r>
      <w:r>
        <w:rPr>
          <w:rFonts w:ascii="SimSun" w:hAnsi="SimSun" w:eastAsia="SimSun" w:cs="SimSun"/>
          <w:sz w:val="24"/>
          <w:szCs w:val="24"/>
          <w:b/>
          <w:bCs/>
          <w:spacing w:val="-2"/>
        </w:rPr>
        <w:t>恶臭因子产生源强</w:t>
      </w:r>
    </w:p>
    <w:p>
      <w:pPr>
        <w:spacing w:line="20" w:lineRule="exact"/>
        <w:rPr/>
      </w:pPr>
      <w:r/>
    </w:p>
    <w:tbl>
      <w:tblPr>
        <w:tblStyle w:val="TableNormal"/>
        <w:tblW w:w="851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41"/>
        <w:gridCol w:w="1985"/>
        <w:gridCol w:w="2405"/>
        <w:gridCol w:w="2386"/>
      </w:tblGrid>
      <w:tr>
        <w:trPr>
          <w:trHeight w:val="279" w:hRule="atLeast"/>
        </w:trPr>
        <w:tc>
          <w:tcPr>
            <w:tcW w:w="1741" w:type="dxa"/>
            <w:vAlign w:val="top"/>
          </w:tcPr>
          <w:p>
            <w:pPr>
              <w:pStyle w:val="TableText"/>
              <w:ind w:left="456"/>
              <w:spacing w:before="35" w:line="216" w:lineRule="auto"/>
              <w:rPr/>
            </w:pPr>
            <w:r>
              <w:rPr>
                <w:spacing w:val="7"/>
              </w:rPr>
              <w:t>产物单元</w:t>
            </w:r>
          </w:p>
        </w:tc>
        <w:tc>
          <w:tcPr>
            <w:tcW w:w="1985" w:type="dxa"/>
            <w:vAlign w:val="top"/>
          </w:tcPr>
          <w:p>
            <w:pPr>
              <w:pStyle w:val="TableText"/>
              <w:ind w:left="231"/>
              <w:spacing w:before="35" w:line="216" w:lineRule="auto"/>
              <w:rPr/>
            </w:pPr>
            <w:r>
              <w:rPr>
                <w:rFonts w:ascii="Times New Roman" w:hAnsi="Times New Roman" w:eastAsia="Times New Roman" w:cs="Times New Roman"/>
              </w:rPr>
              <w:t>NH</w:t>
            </w:r>
            <w:r>
              <w:rPr>
                <w:rFonts w:ascii="Times New Roman" w:hAnsi="Times New Roman" w:eastAsia="Times New Roman" w:cs="Times New Roman"/>
                <w:sz w:val="13"/>
                <w:szCs w:val="13"/>
                <w:spacing w:val="8"/>
                <w:position w:val="-1"/>
              </w:rPr>
              <w:t>3</w:t>
            </w:r>
            <w:r>
              <w:rPr>
                <w:spacing w:val="8"/>
              </w:rPr>
              <w:t>（</w:t>
            </w:r>
            <w:r>
              <w:rPr>
                <w:rFonts w:ascii="Times New Roman" w:hAnsi="Times New Roman" w:eastAsia="Times New Roman" w:cs="Times New Roman"/>
              </w:rPr>
              <w:t>mg</w:t>
            </w:r>
            <w:r>
              <w:rPr>
                <w:rFonts w:ascii="Times New Roman" w:hAnsi="Times New Roman" w:eastAsia="Times New Roman" w:cs="Times New Roman"/>
                <w:spacing w:val="8"/>
              </w:rPr>
              <w:t>/h.m</w:t>
            </w:r>
            <w:r>
              <w:rPr>
                <w:rFonts w:ascii="Times New Roman" w:hAnsi="Times New Roman" w:eastAsia="Times New Roman" w:cs="Times New Roman"/>
                <w:sz w:val="13"/>
                <w:szCs w:val="13"/>
                <w:spacing w:val="8"/>
                <w:position w:val="6"/>
              </w:rPr>
              <w:t>2</w:t>
            </w:r>
            <w:r>
              <w:rPr>
                <w:spacing w:val="8"/>
              </w:rPr>
              <w:t>）</w:t>
            </w:r>
          </w:p>
        </w:tc>
        <w:tc>
          <w:tcPr>
            <w:tcW w:w="2405" w:type="dxa"/>
            <w:vAlign w:val="top"/>
          </w:tcPr>
          <w:p>
            <w:pPr>
              <w:pStyle w:val="TableText"/>
              <w:ind w:left="467"/>
              <w:spacing w:before="35" w:line="216" w:lineRule="auto"/>
              <w:rPr/>
            </w:pPr>
            <w:r>
              <w:rPr>
                <w:rFonts w:ascii="Times New Roman" w:hAnsi="Times New Roman" w:eastAsia="Times New Roman" w:cs="Times New Roman"/>
                <w:spacing w:val="5"/>
              </w:rPr>
              <w:t>H</w:t>
            </w:r>
            <w:r>
              <w:rPr>
                <w:rFonts w:ascii="Times New Roman" w:hAnsi="Times New Roman" w:eastAsia="Times New Roman" w:cs="Times New Roman"/>
                <w:sz w:val="13"/>
                <w:szCs w:val="13"/>
                <w:spacing w:val="5"/>
                <w:position w:val="-1"/>
              </w:rPr>
              <w:t>2</w:t>
            </w:r>
            <w:r>
              <w:rPr>
                <w:rFonts w:ascii="Times New Roman" w:hAnsi="Times New Roman" w:eastAsia="Times New Roman" w:cs="Times New Roman"/>
                <w:spacing w:val="5"/>
              </w:rPr>
              <w:t>S</w:t>
            </w:r>
            <w:r>
              <w:rPr>
                <w:spacing w:val="5"/>
              </w:rPr>
              <w:t>（</w:t>
            </w:r>
            <w:r>
              <w:rPr>
                <w:rFonts w:ascii="Times New Roman" w:hAnsi="Times New Roman" w:eastAsia="Times New Roman" w:cs="Times New Roman"/>
              </w:rPr>
              <w:t>mg</w:t>
            </w:r>
            <w:r>
              <w:rPr>
                <w:rFonts w:ascii="Times New Roman" w:hAnsi="Times New Roman" w:eastAsia="Times New Roman" w:cs="Times New Roman"/>
                <w:spacing w:val="5"/>
              </w:rPr>
              <w:t>/h.m</w:t>
            </w:r>
            <w:r>
              <w:rPr>
                <w:rFonts w:ascii="Times New Roman" w:hAnsi="Times New Roman" w:eastAsia="Times New Roman" w:cs="Times New Roman"/>
                <w:sz w:val="13"/>
                <w:szCs w:val="13"/>
                <w:spacing w:val="5"/>
                <w:position w:val="6"/>
              </w:rPr>
              <w:t>2</w:t>
            </w:r>
            <w:r>
              <w:rPr>
                <w:spacing w:val="5"/>
              </w:rPr>
              <w:t>）</w:t>
            </w:r>
          </w:p>
        </w:tc>
        <w:tc>
          <w:tcPr>
            <w:tcW w:w="2386" w:type="dxa"/>
            <w:vAlign w:val="top"/>
          </w:tcPr>
          <w:p>
            <w:pPr>
              <w:pStyle w:val="TableText"/>
              <w:ind w:left="776"/>
              <w:spacing w:before="35" w:line="216" w:lineRule="auto"/>
              <w:rPr/>
            </w:pPr>
            <w:r>
              <w:rPr>
                <w:spacing w:val="7"/>
              </w:rPr>
              <w:t>臭气浓度</w:t>
            </w:r>
          </w:p>
        </w:tc>
      </w:tr>
      <w:tr>
        <w:trPr>
          <w:trHeight w:val="280" w:hRule="atLeast"/>
        </w:trPr>
        <w:tc>
          <w:tcPr>
            <w:tcW w:w="1741" w:type="dxa"/>
            <w:vAlign w:val="top"/>
          </w:tcPr>
          <w:p>
            <w:pPr>
              <w:pStyle w:val="TableText"/>
              <w:ind w:left="664"/>
              <w:spacing w:before="34" w:line="217" w:lineRule="auto"/>
              <w:rPr/>
            </w:pPr>
            <w:r>
              <w:rPr>
                <w:spacing w:val="5"/>
              </w:rPr>
              <w:t>洗槽</w:t>
            </w:r>
          </w:p>
        </w:tc>
        <w:tc>
          <w:tcPr>
            <w:tcW w:w="1985" w:type="dxa"/>
            <w:vAlign w:val="top"/>
          </w:tcPr>
          <w:p>
            <w:pPr>
              <w:ind w:left="69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14.4-72</w:t>
            </w:r>
          </w:p>
        </w:tc>
        <w:tc>
          <w:tcPr>
            <w:tcW w:w="2405" w:type="dxa"/>
            <w:vAlign w:val="top"/>
          </w:tcPr>
          <w:p>
            <w:pPr>
              <w:ind w:left="80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0.72-4.32</w:t>
            </w:r>
          </w:p>
        </w:tc>
        <w:tc>
          <w:tcPr>
            <w:tcW w:w="2386" w:type="dxa"/>
            <w:vAlign w:val="top"/>
          </w:tcPr>
          <w:p>
            <w:pPr>
              <w:ind w:left="100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1500</w:t>
            </w:r>
          </w:p>
        </w:tc>
      </w:tr>
    </w:tbl>
    <w:p>
      <w:pPr>
        <w:ind w:left="13" w:firstLine="486"/>
        <w:spacing w:before="193" w:line="384" w:lineRule="auto"/>
        <w:jc w:val="both"/>
        <w:rPr>
          <w:rFonts w:ascii="SimSun" w:hAnsi="SimSun" w:eastAsia="SimSun" w:cs="SimSun"/>
          <w:sz w:val="24"/>
          <w:szCs w:val="24"/>
        </w:rPr>
      </w:pPr>
      <w:r>
        <w:rPr>
          <w:rFonts w:ascii="SimSun" w:hAnsi="SimSun" w:eastAsia="SimSun" w:cs="SimSun"/>
          <w:sz w:val="24"/>
          <w:szCs w:val="24"/>
          <w:spacing w:val="-2"/>
        </w:rPr>
        <w:t>本项目一槽、二槽、三槽</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2"/>
        </w:rPr>
        <w:t>3 </w:t>
      </w:r>
      <w:r>
        <w:rPr>
          <w:rFonts w:ascii="SimSun" w:hAnsi="SimSun" w:eastAsia="SimSun" w:cs="SimSun"/>
          <w:sz w:val="24"/>
          <w:szCs w:val="24"/>
          <w:spacing w:val="-2"/>
        </w:rPr>
        <w:t>个洗槽总的面积</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30m</w:t>
      </w:r>
      <w:r>
        <w:rPr>
          <w:rFonts w:ascii="Times New Roman" w:hAnsi="Times New Roman" w:eastAsia="Times New Roman" w:cs="Times New Roman"/>
          <w:sz w:val="15"/>
          <w:szCs w:val="15"/>
          <w:spacing w:val="-2"/>
          <w:position w:val="8"/>
        </w:rPr>
        <w:t>2</w:t>
      </w:r>
      <w:r>
        <w:rPr>
          <w:rFonts w:ascii="Times New Roman" w:hAnsi="Times New Roman" w:eastAsia="Times New Roman" w:cs="Times New Roman"/>
          <w:sz w:val="15"/>
          <w:szCs w:val="15"/>
          <w:spacing w:val="-7"/>
          <w:position w:val="8"/>
        </w:rPr>
        <w:t xml:space="preserve"> </w:t>
      </w:r>
      <w:r>
        <w:rPr>
          <w:rFonts w:ascii="SimSun" w:hAnsi="SimSun" w:eastAsia="SimSun" w:cs="SimSun"/>
          <w:sz w:val="24"/>
          <w:szCs w:val="24"/>
          <w:spacing w:val="-2"/>
        </w:rPr>
        <w:t>，本次评价源强折中，分别</w:t>
      </w:r>
      <w:r>
        <w:rPr>
          <w:rFonts w:ascii="SimSun" w:hAnsi="SimSun" w:eastAsia="SimSun" w:cs="SimSun"/>
          <w:sz w:val="24"/>
          <w:szCs w:val="24"/>
        </w:rPr>
        <w:t xml:space="preserve"> </w:t>
      </w:r>
      <w:r>
        <w:rPr>
          <w:rFonts w:ascii="SimSun" w:hAnsi="SimSun" w:eastAsia="SimSun" w:cs="SimSun"/>
          <w:sz w:val="24"/>
          <w:szCs w:val="24"/>
          <w:spacing w:val="-4"/>
        </w:rPr>
        <w:t>取</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NH</w:t>
      </w:r>
      <w:r>
        <w:rPr>
          <w:rFonts w:ascii="Times New Roman" w:hAnsi="Times New Roman" w:eastAsia="Times New Roman" w:cs="Times New Roman"/>
          <w:sz w:val="15"/>
          <w:szCs w:val="15"/>
          <w:spacing w:val="-4"/>
          <w:position w:val="-1"/>
        </w:rPr>
        <w:t>3</w:t>
      </w:r>
      <w:r>
        <w:rPr>
          <w:rFonts w:ascii="Times New Roman" w:hAnsi="Times New Roman" w:eastAsia="Times New Roman" w:cs="Times New Roman"/>
          <w:sz w:val="24"/>
          <w:szCs w:val="24"/>
          <w:spacing w:val="-4"/>
        </w:rPr>
        <w:t>28.8mg/h.m</w:t>
      </w:r>
      <w:r>
        <w:rPr>
          <w:rFonts w:ascii="Times New Roman" w:hAnsi="Times New Roman" w:eastAsia="Times New Roman" w:cs="Times New Roman"/>
          <w:sz w:val="15"/>
          <w:szCs w:val="15"/>
          <w:spacing w:val="-4"/>
          <w:position w:val="7"/>
        </w:rPr>
        <w:t>2</w:t>
      </w:r>
      <w:r>
        <w:rPr>
          <w:rFonts w:ascii="SimSun" w:hAnsi="SimSun" w:eastAsia="SimSun" w:cs="SimSun"/>
          <w:sz w:val="24"/>
          <w:szCs w:val="24"/>
          <w:spacing w:val="-4"/>
        </w:rPr>
        <w:t>、</w:t>
      </w:r>
      <w:r>
        <w:rPr>
          <w:rFonts w:ascii="Times New Roman" w:hAnsi="Times New Roman" w:eastAsia="Times New Roman" w:cs="Times New Roman"/>
          <w:sz w:val="24"/>
          <w:szCs w:val="24"/>
          <w:spacing w:val="-4"/>
        </w:rPr>
        <w:t>H</w:t>
      </w:r>
      <w:r>
        <w:rPr>
          <w:rFonts w:ascii="Times New Roman" w:hAnsi="Times New Roman" w:eastAsia="Times New Roman" w:cs="Times New Roman"/>
          <w:sz w:val="15"/>
          <w:szCs w:val="15"/>
          <w:spacing w:val="-4"/>
          <w:position w:val="-1"/>
        </w:rPr>
        <w:t>2</w:t>
      </w:r>
      <w:r>
        <w:rPr>
          <w:rFonts w:ascii="Times New Roman" w:hAnsi="Times New Roman" w:eastAsia="Times New Roman" w:cs="Times New Roman"/>
          <w:sz w:val="24"/>
          <w:szCs w:val="24"/>
          <w:spacing w:val="-4"/>
        </w:rPr>
        <w:t>S1.8mg/h.m</w:t>
      </w:r>
      <w:r>
        <w:rPr>
          <w:rFonts w:ascii="Times New Roman" w:hAnsi="Times New Roman" w:eastAsia="Times New Roman" w:cs="Times New Roman"/>
          <w:sz w:val="15"/>
          <w:szCs w:val="15"/>
          <w:spacing w:val="-4"/>
          <w:position w:val="7"/>
        </w:rPr>
        <w:t>2</w:t>
      </w:r>
      <w:r>
        <w:rPr>
          <w:rFonts w:ascii="SimSun" w:hAnsi="SimSun" w:eastAsia="SimSun" w:cs="SimSun"/>
          <w:sz w:val="24"/>
          <w:szCs w:val="24"/>
          <w:spacing w:val="-4"/>
        </w:rPr>
        <w:t>，经计算每个洗毛车间的产生量为</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4"/>
        </w:rPr>
        <w:t>NH</w:t>
      </w:r>
      <w:r>
        <w:rPr>
          <w:rFonts w:ascii="Times New Roman" w:hAnsi="Times New Roman" w:eastAsia="Times New Roman" w:cs="Times New Roman"/>
          <w:sz w:val="15"/>
          <w:szCs w:val="15"/>
          <w:spacing w:val="-4"/>
          <w:position w:val="-1"/>
        </w:rPr>
        <w:t>3</w:t>
      </w:r>
      <w:r>
        <w:rPr>
          <w:rFonts w:ascii="Times New Roman" w:hAnsi="Times New Roman" w:eastAsia="Times New Roman" w:cs="Times New Roman"/>
          <w:sz w:val="24"/>
          <w:szCs w:val="24"/>
          <w:spacing w:val="-4"/>
        </w:rPr>
        <w:t>0.006t/a</w:t>
      </w:r>
      <w:r>
        <w:rPr>
          <w:rFonts w:ascii="SimSun" w:hAnsi="SimSun" w:eastAsia="SimSun" w:cs="SimSun"/>
          <w:sz w:val="24"/>
          <w:szCs w:val="24"/>
          <w:spacing w:val="-4"/>
        </w:rPr>
        <w:t>、</w:t>
      </w:r>
      <w:r>
        <w:rPr>
          <w:rFonts w:ascii="SimSun" w:hAnsi="SimSun" w:eastAsia="SimSun" w:cs="SimSun"/>
          <w:sz w:val="24"/>
          <w:szCs w:val="24"/>
        </w:rPr>
        <w:t xml:space="preserve"> </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24"/>
          <w:szCs w:val="24"/>
          <w:spacing w:val="-1"/>
        </w:rPr>
        <w:t>S0.00039t/a</w:t>
      </w:r>
      <w:r>
        <w:rPr>
          <w:rFonts w:ascii="SimSun" w:hAnsi="SimSun" w:eastAsia="SimSun" w:cs="SimSun"/>
          <w:sz w:val="24"/>
          <w:szCs w:val="24"/>
          <w:spacing w:val="-1"/>
        </w:rPr>
        <w:t>。</w:t>
      </w:r>
      <w:r>
        <w:rPr>
          <w:rFonts w:ascii="Times New Roman" w:hAnsi="Times New Roman" w:eastAsia="Times New Roman" w:cs="Times New Roman"/>
          <w:sz w:val="24"/>
          <w:szCs w:val="24"/>
          <w:spacing w:val="-1"/>
        </w:rPr>
        <w:t>2 </w:t>
      </w:r>
      <w:r>
        <w:rPr>
          <w:rFonts w:ascii="SimSun" w:hAnsi="SimSun" w:eastAsia="SimSun" w:cs="SimSun"/>
          <w:sz w:val="24"/>
          <w:szCs w:val="24"/>
          <w:spacing w:val="-1"/>
        </w:rPr>
        <w:t>个洗毛车间共产生</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1"/>
        </w:rPr>
        <w:t>NH</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24"/>
          <w:szCs w:val="24"/>
          <w:spacing w:val="-1"/>
        </w:rPr>
        <w:t>0.012t/a</w:t>
      </w:r>
      <w:r>
        <w:rPr>
          <w:rFonts w:ascii="SimSun" w:hAnsi="SimSun" w:eastAsia="SimSun" w:cs="SimSun"/>
          <w:sz w:val="24"/>
          <w:szCs w:val="24"/>
          <w:spacing w:val="-1"/>
        </w:rPr>
        <w:t>、</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24"/>
          <w:szCs w:val="24"/>
          <w:spacing w:val="-1"/>
        </w:rPr>
        <w:t>S0.00078t/a</w:t>
      </w:r>
      <w:r>
        <w:rPr>
          <w:rFonts w:ascii="SimSun" w:hAnsi="SimSun" w:eastAsia="SimSun" w:cs="SimSun"/>
          <w:sz w:val="24"/>
          <w:szCs w:val="24"/>
          <w:spacing w:val="-1"/>
        </w:rPr>
        <w:t>。</w:t>
      </w:r>
      <w:r>
        <w:rPr>
          <w:rFonts w:ascii="SimSun" w:hAnsi="SimSun" w:eastAsia="SimSun" w:cs="SimSun"/>
          <w:sz w:val="24"/>
          <w:szCs w:val="24"/>
          <w:spacing w:val="-2"/>
        </w:rPr>
        <w:t>洗槽周边喷洒生</w:t>
      </w:r>
      <w:r>
        <w:rPr>
          <w:rFonts w:ascii="SimSun" w:hAnsi="SimSun" w:eastAsia="SimSun" w:cs="SimSun"/>
          <w:sz w:val="24"/>
          <w:szCs w:val="24"/>
        </w:rPr>
        <w:t xml:space="preserve"> </w:t>
      </w:r>
      <w:r>
        <w:rPr>
          <w:rFonts w:ascii="SimSun" w:hAnsi="SimSun" w:eastAsia="SimSun" w:cs="SimSun"/>
          <w:sz w:val="24"/>
          <w:szCs w:val="24"/>
          <w:spacing w:val="-1"/>
        </w:rPr>
        <w:t>物除臭剂，同时加强车间通风，废气无组织排放。</w:t>
      </w:r>
    </w:p>
    <w:p>
      <w:pPr>
        <w:ind w:left="510"/>
        <w:spacing w:before="5"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）梳绒车间粉尘（</w:t>
      </w:r>
      <w:r>
        <w:rPr>
          <w:rFonts w:ascii="Times New Roman" w:hAnsi="Times New Roman" w:eastAsia="Times New Roman" w:cs="Times New Roman"/>
          <w:sz w:val="24"/>
          <w:szCs w:val="24"/>
          <w:spacing w:val="-3"/>
        </w:rPr>
        <w:t>G</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15"/>
          <w:szCs w:val="15"/>
          <w:spacing w:val="-8"/>
          <w:position w:val="-1"/>
        </w:rPr>
        <w:t xml:space="preserve"> </w:t>
      </w:r>
      <w:r>
        <w:rPr>
          <w:rFonts w:ascii="Times New Roman" w:hAnsi="Times New Roman" w:eastAsia="Times New Roman" w:cs="Times New Roman"/>
          <w:sz w:val="15"/>
          <w:szCs w:val="15"/>
          <w:spacing w:val="-3"/>
          <w:position w:val="-1"/>
        </w:rPr>
        <w:t>1</w:t>
      </w:r>
      <w:r>
        <w:rPr>
          <w:rFonts w:ascii="SimSun" w:hAnsi="SimSun" w:eastAsia="SimSun" w:cs="SimSun"/>
          <w:sz w:val="24"/>
          <w:szCs w:val="24"/>
          <w:spacing w:val="-3"/>
        </w:rPr>
        <w:t>）</w:t>
      </w:r>
    </w:p>
    <w:p>
      <w:pPr>
        <w:ind w:left="20" w:right="80" w:firstLine="477"/>
        <w:spacing w:before="214" w:line="385" w:lineRule="auto"/>
        <w:rPr>
          <w:rFonts w:ascii="SimSun" w:hAnsi="SimSun" w:eastAsia="SimSun" w:cs="SimSun"/>
          <w:sz w:val="24"/>
          <w:szCs w:val="24"/>
        </w:rPr>
      </w:pPr>
      <w:r>
        <w:rPr>
          <w:rFonts w:ascii="SimSun" w:hAnsi="SimSun" w:eastAsia="SimSun" w:cs="SimSun"/>
          <w:sz w:val="24"/>
          <w:szCs w:val="24"/>
          <w:spacing w:val="3"/>
        </w:rPr>
        <w:t>梳绒车间开松、梳绒过程中会有绒尘产生，梳绒车间全封闭建</w:t>
      </w:r>
      <w:r>
        <w:rPr>
          <w:rFonts w:ascii="SimSun" w:hAnsi="SimSun" w:eastAsia="SimSun" w:cs="SimSun"/>
          <w:sz w:val="24"/>
          <w:szCs w:val="24"/>
          <w:spacing w:val="2"/>
        </w:rPr>
        <w:t>设，设备自带</w:t>
      </w:r>
      <w:r>
        <w:rPr>
          <w:rFonts w:ascii="SimSun" w:hAnsi="SimSun" w:eastAsia="SimSun" w:cs="SimSun"/>
          <w:sz w:val="24"/>
          <w:szCs w:val="24"/>
        </w:rPr>
        <w:t xml:space="preserve"> </w:t>
      </w:r>
      <w:r>
        <w:rPr>
          <w:rFonts w:ascii="SimSun" w:hAnsi="SimSun" w:eastAsia="SimSun" w:cs="SimSun"/>
          <w:sz w:val="24"/>
          <w:szCs w:val="24"/>
          <w:spacing w:val="-2"/>
        </w:rPr>
        <w:t>滤袋，对粉尘的抑制率为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90%</w:t>
      </w:r>
      <w:r>
        <w:rPr>
          <w:rFonts w:ascii="SimSun" w:hAnsi="SimSun" w:eastAsia="SimSun" w:cs="SimSun"/>
          <w:sz w:val="24"/>
          <w:szCs w:val="24"/>
          <w:spacing w:val="-2"/>
        </w:rPr>
        <w:t>。</w:t>
      </w:r>
    </w:p>
    <w:p>
      <w:pPr>
        <w:ind w:left="20" w:right="80" w:firstLine="478"/>
        <w:spacing w:before="3" w:line="384" w:lineRule="auto"/>
        <w:rPr>
          <w:rFonts w:ascii="SimSun" w:hAnsi="SimSun" w:eastAsia="SimSun" w:cs="SimSun"/>
          <w:sz w:val="24"/>
          <w:szCs w:val="24"/>
        </w:rPr>
      </w:pPr>
      <w:r>
        <w:rPr>
          <w:rFonts w:ascii="SimSun" w:hAnsi="SimSun" w:eastAsia="SimSun" w:cs="SimSun"/>
          <w:sz w:val="24"/>
          <w:szCs w:val="24"/>
          <w:spacing w:val="-1"/>
        </w:rPr>
        <w:t>类比同类工程，梳绒车间粉尘产生量按照洗净毛量的</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1"/>
        </w:rPr>
        <w:t>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
        </w:rPr>
        <w:t>1%</w:t>
      </w:r>
      <w:r>
        <w:rPr>
          <w:rFonts w:ascii="SimSun" w:hAnsi="SimSun" w:eastAsia="SimSun" w:cs="SimSun"/>
          <w:sz w:val="24"/>
          <w:szCs w:val="24"/>
          <w:spacing w:val="-1"/>
        </w:rPr>
        <w:t>计算，本项目年梳</w:t>
      </w:r>
      <w:r>
        <w:rPr>
          <w:rFonts w:ascii="SimSun" w:hAnsi="SimSun" w:eastAsia="SimSun" w:cs="SimSun"/>
          <w:sz w:val="24"/>
          <w:szCs w:val="24"/>
        </w:rPr>
        <w:t xml:space="preserve"> </w:t>
      </w:r>
      <w:r>
        <w:rPr>
          <w:rFonts w:ascii="SimSun" w:hAnsi="SimSun" w:eastAsia="SimSun" w:cs="SimSun"/>
          <w:sz w:val="24"/>
          <w:szCs w:val="24"/>
          <w:spacing w:val="-3"/>
        </w:rPr>
        <w:t>绒洗净毛</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3"/>
        </w:rPr>
        <w:t>545</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3"/>
        </w:rPr>
        <w:t>吨，粉尘产生量为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0.55t/a</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，排放量为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0.06t/a</w:t>
      </w:r>
      <w:r>
        <w:rPr>
          <w:rFonts w:ascii="SimSun" w:hAnsi="SimSun" w:eastAsia="SimSun" w:cs="SimSun"/>
          <w:sz w:val="24"/>
          <w:szCs w:val="24"/>
          <w:spacing w:val="-3"/>
        </w:rPr>
        <w:t>。</w:t>
      </w:r>
    </w:p>
    <w:p>
      <w:pPr>
        <w:ind w:left="510"/>
        <w:spacing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）厌氧发酵罐区臭气（</w:t>
      </w:r>
      <w:r>
        <w:rPr>
          <w:rFonts w:ascii="Times New Roman" w:hAnsi="Times New Roman" w:eastAsia="Times New Roman" w:cs="Times New Roman"/>
          <w:sz w:val="24"/>
          <w:szCs w:val="24"/>
          <w:spacing w:val="-1"/>
        </w:rPr>
        <w:t>G</w:t>
      </w:r>
      <w:r>
        <w:rPr>
          <w:rFonts w:ascii="Times New Roman" w:hAnsi="Times New Roman" w:eastAsia="Times New Roman" w:cs="Times New Roman"/>
          <w:sz w:val="15"/>
          <w:szCs w:val="15"/>
          <w:spacing w:val="-1"/>
          <w:position w:val="-1"/>
        </w:rPr>
        <w:t>3-2</w:t>
      </w:r>
      <w:r>
        <w:rPr>
          <w:rFonts w:ascii="SimSun" w:hAnsi="SimSun" w:eastAsia="SimSun" w:cs="SimSun"/>
          <w:sz w:val="24"/>
          <w:szCs w:val="24"/>
          <w:spacing w:val="-1"/>
        </w:rPr>
        <w:t>）</w:t>
      </w:r>
    </w:p>
    <w:p>
      <w:pPr>
        <w:ind w:left="21" w:right="80" w:firstLine="478"/>
        <w:spacing w:before="215" w:line="385" w:lineRule="auto"/>
        <w:rPr>
          <w:rFonts w:ascii="SimSun" w:hAnsi="SimSun" w:eastAsia="SimSun" w:cs="SimSun"/>
          <w:sz w:val="24"/>
          <w:szCs w:val="24"/>
        </w:rPr>
      </w:pPr>
      <w:r>
        <w:rPr>
          <w:rFonts w:ascii="SimSun" w:hAnsi="SimSun" w:eastAsia="SimSun" w:cs="SimSun"/>
          <w:sz w:val="24"/>
          <w:szCs w:val="24"/>
          <w:spacing w:val="3"/>
        </w:rPr>
        <w:t>厌氧发酵装置臭气主要来自厌氧发酵罐等处管道少量逸散</w:t>
      </w:r>
      <w:r>
        <w:rPr>
          <w:rFonts w:ascii="SimSun" w:hAnsi="SimSun" w:eastAsia="SimSun" w:cs="SimSun"/>
          <w:sz w:val="24"/>
          <w:szCs w:val="24"/>
          <w:spacing w:val="2"/>
        </w:rPr>
        <w:t>，厌氧发酵罐区喷</w:t>
      </w:r>
      <w:r>
        <w:rPr>
          <w:rFonts w:ascii="SimSun" w:hAnsi="SimSun" w:eastAsia="SimSun" w:cs="SimSun"/>
          <w:sz w:val="24"/>
          <w:szCs w:val="24"/>
        </w:rPr>
        <w:t xml:space="preserve"> </w:t>
      </w:r>
      <w:r>
        <w:rPr>
          <w:rFonts w:ascii="SimSun" w:hAnsi="SimSun" w:eastAsia="SimSun" w:cs="SimSun"/>
          <w:sz w:val="24"/>
          <w:szCs w:val="24"/>
          <w:spacing w:val="-3"/>
        </w:rPr>
        <w:t>洒生物除臭剂对</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NH</w:t>
      </w:r>
      <w:r>
        <w:rPr>
          <w:rFonts w:ascii="Times New Roman" w:hAnsi="Times New Roman" w:eastAsia="Times New Roman" w:cs="Times New Roman"/>
          <w:sz w:val="15"/>
          <w:szCs w:val="15"/>
          <w:spacing w:val="-3"/>
          <w:position w:val="-1"/>
        </w:rPr>
        <w:t>3</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H</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15"/>
          <w:szCs w:val="15"/>
          <w:spacing w:val="-21"/>
          <w:position w:val="-1"/>
        </w:rPr>
        <w:t xml:space="preserve"> </w:t>
      </w:r>
      <w:r>
        <w:rPr>
          <w:rFonts w:ascii="Times New Roman" w:hAnsi="Times New Roman" w:eastAsia="Times New Roman" w:cs="Times New Roman"/>
          <w:sz w:val="24"/>
          <w:szCs w:val="24"/>
          <w:spacing w:val="-3"/>
        </w:rPr>
        <w:t>S </w:t>
      </w:r>
      <w:r>
        <w:rPr>
          <w:rFonts w:ascii="SimSun" w:hAnsi="SimSun" w:eastAsia="SimSun" w:cs="SimSun"/>
          <w:sz w:val="24"/>
          <w:szCs w:val="24"/>
          <w:spacing w:val="-3"/>
        </w:rPr>
        <w:t>处理效率为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60%</w:t>
      </w:r>
      <w:r>
        <w:rPr>
          <w:rFonts w:ascii="SimSun" w:hAnsi="SimSun" w:eastAsia="SimSun" w:cs="SimSun"/>
          <w:sz w:val="24"/>
          <w:szCs w:val="24"/>
          <w:spacing w:val="-3"/>
        </w:rPr>
        <w:t>。</w:t>
      </w:r>
    </w:p>
    <w:p>
      <w:pPr>
        <w:ind w:left="500"/>
        <w:spacing w:before="1" w:line="218" w:lineRule="auto"/>
        <w:rPr>
          <w:rFonts w:ascii="SimSun" w:hAnsi="SimSun" w:eastAsia="SimSun" w:cs="SimSun"/>
          <w:sz w:val="24"/>
          <w:szCs w:val="24"/>
        </w:rPr>
      </w:pPr>
      <w:r>
        <w:rPr>
          <w:rFonts w:ascii="SimSun" w:hAnsi="SimSun" w:eastAsia="SimSun" w:cs="SimSun"/>
          <w:sz w:val="24"/>
          <w:szCs w:val="24"/>
          <w:spacing w:val="3"/>
        </w:rPr>
        <w:t>参照洛阳市环境保护设计研究所有关研究（《城市污水</w:t>
      </w:r>
      <w:r>
        <w:rPr>
          <w:rFonts w:ascii="SimSun" w:hAnsi="SimSun" w:eastAsia="SimSun" w:cs="SimSun"/>
          <w:sz w:val="24"/>
          <w:szCs w:val="24"/>
          <w:spacing w:val="2"/>
        </w:rPr>
        <w:t>处理厂恶臭影响及对</w:t>
      </w:r>
    </w:p>
    <w:p>
      <w:pPr>
        <w:pStyle w:val="BodyText"/>
        <w:spacing w:line="269" w:lineRule="auto"/>
        <w:rPr/>
      </w:pPr>
      <w:r/>
    </w:p>
    <w:p>
      <w:pPr>
        <w:pStyle w:val="BodyText"/>
        <w:spacing w:line="269" w:lineRule="auto"/>
        <w:rPr/>
      </w:pPr>
      <w:r/>
    </w:p>
    <w:p>
      <w:pPr>
        <w:ind w:left="5321"/>
        <w:spacing w:before="62" w:line="227" w:lineRule="auto"/>
        <w:rPr>
          <w:rFonts w:ascii="SimSun" w:hAnsi="SimSun" w:eastAsia="SimSun" w:cs="SimSun"/>
          <w:sz w:val="19"/>
          <w:szCs w:val="19"/>
        </w:rPr>
      </w:pPr>
      <w:r>
        <w:pict>
          <v:shape id="_x0000_s496" style="position:absolute;margin-left:207.909pt;margin-top:2.10328pt;mso-position-vertical-relative:text;mso-position-horizontal-relative:text;width:58.8pt;height:13.75pt;z-index:251872256;"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spacing w:val="1"/>
                      <w:position w:val="2"/>
                    </w:rPr>
                    <w:t>96        </w:t>
                  </w:r>
                  <w:r>
                    <w:rPr>
                      <w:rFonts w:ascii="SimSun" w:hAnsi="SimSun" w:eastAsia="SimSun" w:cs="SimSun"/>
                      <w:sz w:val="19"/>
                      <w:szCs w:val="19"/>
                      <w:spacing w:val="1"/>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48"/>
          <w:pgSz w:w="11907" w:h="16840"/>
          <w:pgMar w:top="1567" w:right="1621" w:bottom="400" w:left="1692" w:header="1221" w:footer="0" w:gutter="0"/>
        </w:sectPr>
        <w:rPr>
          <w:rFonts w:ascii="SimSun" w:hAnsi="SimSun" w:eastAsia="SimSun" w:cs="SimSun"/>
          <w:sz w:val="19"/>
          <w:szCs w:val="19"/>
        </w:rPr>
      </w:pPr>
    </w:p>
    <w:p>
      <w:pPr>
        <w:pStyle w:val="BodyText"/>
        <w:spacing w:line="266" w:lineRule="auto"/>
        <w:rPr/>
      </w:pPr>
      <w:r>
        <w:pict>
          <v:shape id="_x0000_s500" style="position:absolute;margin-left:0.690002pt;margin-top:0.710938pt;mso-position-vertical-relative:text;mso-position-horizontal-relative:text;width:425.25pt;height:0.75pt;z-index:251875328;" fillcolor="#000000" filled="true" stroked="false" coordsize="8505,15" coordorigin="0,0" path="m,l8505,0l8505,14l0,14l0,0xe"/>
        </w:pict>
      </w:r>
      <w:r/>
    </w:p>
    <w:p>
      <w:pPr>
        <w:ind w:left="25" w:right="61"/>
        <w:spacing w:before="78" w:line="385" w:lineRule="auto"/>
        <w:rPr>
          <w:rFonts w:ascii="SimSun" w:hAnsi="SimSun" w:eastAsia="SimSun" w:cs="SimSun"/>
          <w:sz w:val="24"/>
          <w:szCs w:val="24"/>
        </w:rPr>
      </w:pPr>
      <w:r>
        <w:rPr>
          <w:rFonts w:ascii="SimSun" w:hAnsi="SimSun" w:eastAsia="SimSun" w:cs="SimSun"/>
          <w:sz w:val="24"/>
          <w:szCs w:val="24"/>
          <w:spacing w:val="1"/>
        </w:rPr>
        <w:t>策分析》（王喜红</w:t>
      </w:r>
      <w:r>
        <w:rPr>
          <w:rFonts w:ascii="Times New Roman" w:hAnsi="Times New Roman" w:eastAsia="Times New Roman" w:cs="Times New Roman"/>
          <w:sz w:val="24"/>
          <w:szCs w:val="24"/>
          <w:spacing w:val="1"/>
        </w:rPr>
        <w:t>.</w:t>
      </w:r>
      <w:r>
        <w:rPr>
          <w:rFonts w:ascii="SimSun" w:hAnsi="SimSun" w:eastAsia="SimSun" w:cs="SimSun"/>
          <w:sz w:val="24"/>
          <w:szCs w:val="24"/>
          <w:spacing w:val="1"/>
        </w:rPr>
        <w:t>黑龙江环境通报，</w:t>
      </w:r>
      <w:r>
        <w:rPr>
          <w:rFonts w:ascii="Times New Roman" w:hAnsi="Times New Roman" w:eastAsia="Times New Roman" w:cs="Times New Roman"/>
          <w:sz w:val="24"/>
          <w:szCs w:val="24"/>
          <w:spacing w:val="1"/>
        </w:rPr>
        <w:t>2011</w:t>
      </w:r>
      <w:r>
        <w:rPr>
          <w:rFonts w:ascii="SimSun" w:hAnsi="SimSun" w:eastAsia="SimSun" w:cs="SimSun"/>
          <w:sz w:val="24"/>
          <w:szCs w:val="24"/>
          <w:spacing w:val="1"/>
        </w:rPr>
        <w:t>（</w:t>
      </w:r>
      <w:r>
        <w:rPr>
          <w:rFonts w:ascii="Times New Roman" w:hAnsi="Times New Roman" w:eastAsia="Times New Roman" w:cs="Times New Roman"/>
          <w:sz w:val="24"/>
          <w:szCs w:val="24"/>
          <w:spacing w:val="1"/>
        </w:rPr>
        <w:t>9</w:t>
      </w:r>
      <w:r>
        <w:rPr>
          <w:rFonts w:ascii="SimSun" w:hAnsi="SimSun" w:eastAsia="SimSun" w:cs="SimSun"/>
          <w:sz w:val="24"/>
          <w:szCs w:val="24"/>
          <w:spacing w:val="10"/>
        </w:rPr>
        <w:t>）：</w:t>
      </w:r>
      <w:r>
        <w:rPr>
          <w:rFonts w:ascii="Times New Roman" w:hAnsi="Times New Roman" w:eastAsia="Times New Roman" w:cs="Times New Roman"/>
          <w:sz w:val="24"/>
          <w:szCs w:val="24"/>
          <w:spacing w:val="1"/>
        </w:rPr>
        <w:t>82-84</w:t>
      </w:r>
      <w:r>
        <w:rPr>
          <w:rFonts w:ascii="SimSun" w:hAnsi="SimSun" w:eastAsia="SimSun" w:cs="SimSun"/>
          <w:sz w:val="24"/>
          <w:szCs w:val="24"/>
          <w:spacing w:val="10"/>
        </w:rPr>
        <w:t>），</w:t>
      </w:r>
      <w:r>
        <w:rPr>
          <w:rFonts w:ascii="SimSun" w:hAnsi="SimSun" w:eastAsia="SimSun" w:cs="SimSun"/>
          <w:sz w:val="24"/>
          <w:szCs w:val="24"/>
          <w:spacing w:val="1"/>
        </w:rPr>
        <w:t>厌</w:t>
      </w:r>
      <w:r>
        <w:rPr>
          <w:rFonts w:ascii="SimSun" w:hAnsi="SimSun" w:eastAsia="SimSun" w:cs="SimSun"/>
          <w:sz w:val="24"/>
          <w:szCs w:val="24"/>
        </w:rPr>
        <w:t>氧发酵等处臭气产</w:t>
      </w:r>
      <w:r>
        <w:rPr>
          <w:rFonts w:ascii="SimSun" w:hAnsi="SimSun" w:eastAsia="SimSun" w:cs="SimSun"/>
          <w:sz w:val="24"/>
          <w:szCs w:val="24"/>
          <w:spacing w:val="1"/>
        </w:rPr>
        <w:t xml:space="preserve"> </w:t>
      </w:r>
      <w:r>
        <w:rPr>
          <w:rFonts w:ascii="SimSun" w:hAnsi="SimSun" w:eastAsia="SimSun" w:cs="SimSun"/>
          <w:sz w:val="24"/>
          <w:szCs w:val="24"/>
          <w:spacing w:val="-2"/>
        </w:rPr>
        <w:t>生源强见表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3.5-6</w:t>
      </w:r>
      <w:r>
        <w:rPr>
          <w:rFonts w:ascii="SimSun" w:hAnsi="SimSun" w:eastAsia="SimSun" w:cs="SimSun"/>
          <w:sz w:val="24"/>
          <w:szCs w:val="24"/>
          <w:spacing w:val="-2"/>
        </w:rPr>
        <w:t>。</w:t>
      </w:r>
    </w:p>
    <w:p>
      <w:pPr>
        <w:ind w:left="2729"/>
        <w:spacing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6"/>
        </w:rPr>
        <w:t xml:space="preserve"> </w:t>
      </w:r>
      <w:r>
        <w:rPr>
          <w:rFonts w:ascii="Times New Roman" w:hAnsi="Times New Roman" w:eastAsia="Times New Roman" w:cs="Times New Roman"/>
          <w:sz w:val="24"/>
          <w:szCs w:val="24"/>
          <w:b/>
          <w:bCs/>
          <w:spacing w:val="-2"/>
        </w:rPr>
        <w:t>3.5-6      </w:t>
      </w:r>
      <w:r>
        <w:rPr>
          <w:rFonts w:ascii="SimSun" w:hAnsi="SimSun" w:eastAsia="SimSun" w:cs="SimSun"/>
          <w:sz w:val="24"/>
          <w:szCs w:val="24"/>
          <w:b/>
          <w:bCs/>
          <w:spacing w:val="-2"/>
        </w:rPr>
        <w:t>沼气主要特性参数</w:t>
      </w:r>
    </w:p>
    <w:p>
      <w:pPr>
        <w:spacing w:line="19" w:lineRule="exact"/>
        <w:rPr/>
      </w:pPr>
      <w:r/>
    </w:p>
    <w:tbl>
      <w:tblPr>
        <w:tblStyle w:val="TableNormal"/>
        <w:tblW w:w="8526"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732"/>
        <w:gridCol w:w="2807"/>
        <w:gridCol w:w="2987"/>
      </w:tblGrid>
      <w:tr>
        <w:trPr>
          <w:trHeight w:val="296" w:hRule="atLeast"/>
        </w:trPr>
        <w:tc>
          <w:tcPr>
            <w:tcW w:w="2732" w:type="dxa"/>
            <w:vAlign w:val="top"/>
          </w:tcPr>
          <w:p>
            <w:pPr>
              <w:pStyle w:val="TableText"/>
              <w:ind w:left="951"/>
              <w:spacing w:before="43" w:line="224" w:lineRule="auto"/>
              <w:rPr/>
            </w:pPr>
            <w:r>
              <w:rPr>
                <w:spacing w:val="7"/>
              </w:rPr>
              <w:t>产污单元</w:t>
            </w:r>
          </w:p>
        </w:tc>
        <w:tc>
          <w:tcPr>
            <w:tcW w:w="2807" w:type="dxa"/>
            <w:vAlign w:val="top"/>
          </w:tcPr>
          <w:p>
            <w:pPr>
              <w:pStyle w:val="TableText"/>
              <w:ind w:left="219"/>
              <w:spacing w:before="43" w:line="221" w:lineRule="auto"/>
              <w:rPr/>
            </w:pPr>
            <w:r>
              <w:rPr>
                <w:rFonts w:ascii="Times New Roman" w:hAnsi="Times New Roman" w:eastAsia="Times New Roman" w:cs="Times New Roman"/>
              </w:rPr>
              <w:t>NH</w:t>
            </w:r>
            <w:r>
              <w:rPr>
                <w:rFonts w:ascii="Times New Roman" w:hAnsi="Times New Roman" w:eastAsia="Times New Roman" w:cs="Times New Roman"/>
                <w:sz w:val="13"/>
                <w:szCs w:val="13"/>
                <w:spacing w:val="7"/>
                <w:position w:val="-1"/>
              </w:rPr>
              <w:t>3</w:t>
            </w:r>
            <w:r>
              <w:rPr>
                <w:rFonts w:ascii="Times New Roman" w:hAnsi="Times New Roman" w:eastAsia="Times New Roman" w:cs="Times New Roman"/>
                <w:sz w:val="13"/>
                <w:szCs w:val="13"/>
                <w:spacing w:val="18"/>
                <w:w w:val="101"/>
                <w:position w:val="-1"/>
              </w:rPr>
              <w:t xml:space="preserve"> </w:t>
            </w:r>
            <w:r>
              <w:rPr>
                <w:spacing w:val="7"/>
              </w:rPr>
              <w:t>产生强度（</w:t>
            </w:r>
            <w:r>
              <w:rPr>
                <w:rFonts w:ascii="Times New Roman" w:hAnsi="Times New Roman" w:eastAsia="Times New Roman" w:cs="Times New Roman"/>
              </w:rPr>
              <w:t>mg</w:t>
            </w:r>
            <w:r>
              <w:rPr>
                <w:rFonts w:ascii="Times New Roman" w:hAnsi="Times New Roman" w:eastAsia="Times New Roman" w:cs="Times New Roman"/>
                <w:spacing w:val="7"/>
              </w:rPr>
              <w:t>/s.m</w:t>
            </w:r>
            <w:r>
              <w:rPr>
                <w:rFonts w:ascii="Times New Roman" w:hAnsi="Times New Roman" w:eastAsia="Times New Roman" w:cs="Times New Roman"/>
                <w:sz w:val="13"/>
                <w:szCs w:val="13"/>
                <w:spacing w:val="7"/>
                <w:position w:val="6"/>
              </w:rPr>
              <w:t>2</w:t>
            </w:r>
            <w:r>
              <w:rPr>
                <w:spacing w:val="7"/>
              </w:rPr>
              <w:t>）</w:t>
            </w:r>
          </w:p>
        </w:tc>
        <w:tc>
          <w:tcPr>
            <w:tcW w:w="2987" w:type="dxa"/>
            <w:vAlign w:val="top"/>
          </w:tcPr>
          <w:p>
            <w:pPr>
              <w:pStyle w:val="TableText"/>
              <w:ind w:left="322"/>
              <w:spacing w:before="43" w:line="221" w:lineRule="auto"/>
              <w:rPr/>
            </w:pPr>
            <w:r>
              <w:rPr>
                <w:rFonts w:ascii="Times New Roman" w:hAnsi="Times New Roman" w:eastAsia="Times New Roman" w:cs="Times New Roman"/>
                <w:spacing w:val="6"/>
              </w:rPr>
              <w:t>H</w:t>
            </w:r>
            <w:r>
              <w:rPr>
                <w:rFonts w:ascii="Times New Roman" w:hAnsi="Times New Roman" w:eastAsia="Times New Roman" w:cs="Times New Roman"/>
                <w:sz w:val="13"/>
                <w:szCs w:val="13"/>
                <w:spacing w:val="6"/>
                <w:position w:val="-1"/>
              </w:rPr>
              <w:t>2</w:t>
            </w:r>
            <w:r>
              <w:rPr>
                <w:rFonts w:ascii="Times New Roman" w:hAnsi="Times New Roman" w:eastAsia="Times New Roman" w:cs="Times New Roman"/>
                <w:spacing w:val="6"/>
              </w:rPr>
              <w:t>S </w:t>
            </w:r>
            <w:r>
              <w:rPr>
                <w:spacing w:val="6"/>
              </w:rPr>
              <w:t>产生强度（</w:t>
            </w:r>
            <w:r>
              <w:rPr>
                <w:rFonts w:ascii="Times New Roman" w:hAnsi="Times New Roman" w:eastAsia="Times New Roman" w:cs="Times New Roman"/>
              </w:rPr>
              <w:t>mg</w:t>
            </w:r>
            <w:r>
              <w:rPr>
                <w:rFonts w:ascii="Times New Roman" w:hAnsi="Times New Roman" w:eastAsia="Times New Roman" w:cs="Times New Roman"/>
                <w:spacing w:val="6"/>
              </w:rPr>
              <w:t>/s.m</w:t>
            </w:r>
            <w:r>
              <w:rPr>
                <w:rFonts w:ascii="Times New Roman" w:hAnsi="Times New Roman" w:eastAsia="Times New Roman" w:cs="Times New Roman"/>
                <w:sz w:val="13"/>
                <w:szCs w:val="13"/>
                <w:spacing w:val="6"/>
                <w:position w:val="6"/>
              </w:rPr>
              <w:t>2</w:t>
            </w:r>
            <w:r>
              <w:rPr>
                <w:spacing w:val="6"/>
              </w:rPr>
              <w:t>）</w:t>
            </w:r>
          </w:p>
        </w:tc>
      </w:tr>
      <w:tr>
        <w:trPr>
          <w:trHeight w:val="291" w:hRule="atLeast"/>
        </w:trPr>
        <w:tc>
          <w:tcPr>
            <w:tcW w:w="2732" w:type="dxa"/>
            <w:vAlign w:val="top"/>
          </w:tcPr>
          <w:p>
            <w:pPr>
              <w:pStyle w:val="TableText"/>
              <w:ind w:left="743"/>
              <w:spacing w:before="40" w:line="222" w:lineRule="auto"/>
              <w:rPr/>
            </w:pPr>
            <w:r>
              <w:rPr>
                <w:spacing w:val="8"/>
              </w:rPr>
              <w:t>厌氧发酵装置</w:t>
            </w:r>
          </w:p>
        </w:tc>
        <w:tc>
          <w:tcPr>
            <w:tcW w:w="2807" w:type="dxa"/>
            <w:vAlign w:val="top"/>
          </w:tcPr>
          <w:p>
            <w:pPr>
              <w:ind w:left="901"/>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0.004-0.010</w:t>
            </w:r>
          </w:p>
        </w:tc>
        <w:tc>
          <w:tcPr>
            <w:tcW w:w="2987" w:type="dxa"/>
            <w:vAlign w:val="top"/>
          </w:tcPr>
          <w:p>
            <w:pPr>
              <w:ind w:left="885"/>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0.0002-0.0006</w:t>
            </w:r>
          </w:p>
        </w:tc>
      </w:tr>
      <w:tr>
        <w:trPr>
          <w:trHeight w:val="296" w:hRule="atLeast"/>
        </w:trPr>
        <w:tc>
          <w:tcPr>
            <w:tcW w:w="8526" w:type="dxa"/>
            <w:vAlign w:val="top"/>
            <w:gridSpan w:val="3"/>
          </w:tcPr>
          <w:p>
            <w:pPr>
              <w:pStyle w:val="TableText"/>
              <w:ind w:left="12"/>
              <w:spacing w:before="42" w:line="225" w:lineRule="auto"/>
              <w:rPr/>
            </w:pPr>
            <w:r>
              <w:rPr>
                <w:spacing w:val="8"/>
              </w:rPr>
              <w:t>注：本次评价取最大值。</w:t>
            </w:r>
          </w:p>
        </w:tc>
      </w:tr>
    </w:tbl>
    <w:p>
      <w:pPr>
        <w:ind w:left="23" w:firstLine="481"/>
        <w:spacing w:before="36" w:line="359" w:lineRule="auto"/>
        <w:jc w:val="both"/>
        <w:rPr>
          <w:rFonts w:ascii="SimSun" w:hAnsi="SimSun" w:eastAsia="SimSun" w:cs="SimSun"/>
          <w:sz w:val="24"/>
          <w:szCs w:val="24"/>
        </w:rPr>
      </w:pPr>
      <w:r>
        <w:rPr>
          <w:rFonts w:ascii="SimSun" w:hAnsi="SimSun" w:eastAsia="SimSun" w:cs="SimSun"/>
          <w:sz w:val="24"/>
          <w:szCs w:val="24"/>
          <w:spacing w:val="-2"/>
        </w:rPr>
        <w:t>厌氧发酵装置罐区面积</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80m</w:t>
      </w:r>
      <w:r>
        <w:rPr>
          <w:rFonts w:ascii="Times New Roman" w:hAnsi="Times New Roman" w:eastAsia="Times New Roman" w:cs="Times New Roman"/>
          <w:sz w:val="15"/>
          <w:szCs w:val="15"/>
          <w:spacing w:val="-2"/>
          <w:position w:val="7"/>
        </w:rPr>
        <w:t>2 </w:t>
      </w:r>
      <w:r>
        <w:rPr>
          <w:rFonts w:ascii="SimSun" w:hAnsi="SimSun" w:eastAsia="SimSun" w:cs="SimSun"/>
          <w:sz w:val="24"/>
          <w:szCs w:val="24"/>
          <w:spacing w:val="-2"/>
        </w:rPr>
        <w:t>。通过计算，厌氧</w:t>
      </w:r>
      <w:r>
        <w:rPr>
          <w:rFonts w:ascii="SimSun" w:hAnsi="SimSun" w:eastAsia="SimSun" w:cs="SimSun"/>
          <w:sz w:val="24"/>
          <w:szCs w:val="24"/>
          <w:spacing w:val="-3"/>
        </w:rPr>
        <w:t>发酵装置臭气中</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3"/>
        </w:rPr>
        <w:t>NH</w:t>
      </w:r>
      <w:r>
        <w:rPr>
          <w:rFonts w:ascii="Times New Roman" w:hAnsi="Times New Roman" w:eastAsia="Times New Roman" w:cs="Times New Roman"/>
          <w:sz w:val="15"/>
          <w:szCs w:val="15"/>
          <w:spacing w:val="-3"/>
          <w:position w:val="-1"/>
        </w:rPr>
        <w:t>3</w:t>
      </w:r>
      <w:r>
        <w:rPr>
          <w:rFonts w:ascii="Times New Roman" w:hAnsi="Times New Roman" w:eastAsia="Times New Roman" w:cs="Times New Roman"/>
          <w:sz w:val="15"/>
          <w:szCs w:val="15"/>
          <w:spacing w:val="9"/>
          <w:w w:val="101"/>
          <w:position w:val="-1"/>
        </w:rPr>
        <w:t xml:space="preserve"> </w:t>
      </w:r>
      <w:r>
        <w:rPr>
          <w:rFonts w:ascii="SimSun" w:hAnsi="SimSun" w:eastAsia="SimSun" w:cs="SimSun"/>
          <w:sz w:val="24"/>
          <w:szCs w:val="24"/>
          <w:spacing w:val="-3"/>
        </w:rPr>
        <w:t>产生量为</w:t>
      </w:r>
      <w:r>
        <w:rPr>
          <w:rFonts w:ascii="SimSun" w:hAnsi="SimSun" w:eastAsia="SimSun" w:cs="SimSun"/>
          <w:sz w:val="24"/>
          <w:szCs w:val="24"/>
        </w:rPr>
        <w:t xml:space="preserve"> </w:t>
      </w:r>
      <w:r>
        <w:rPr>
          <w:rFonts w:ascii="Times New Roman" w:hAnsi="Times New Roman" w:eastAsia="Times New Roman" w:cs="Times New Roman"/>
          <w:sz w:val="24"/>
          <w:szCs w:val="24"/>
          <w:spacing w:val="-3"/>
        </w:rPr>
        <w:t>0.02t/a</w:t>
      </w:r>
      <w:r>
        <w:rPr>
          <w:rFonts w:ascii="SimSun" w:hAnsi="SimSun" w:eastAsia="SimSun" w:cs="SimSun"/>
          <w:sz w:val="24"/>
          <w:szCs w:val="24"/>
          <w:spacing w:val="-3"/>
        </w:rPr>
        <w:t>、</w:t>
      </w:r>
      <w:r>
        <w:rPr>
          <w:rFonts w:ascii="Times New Roman" w:hAnsi="Times New Roman" w:eastAsia="Times New Roman" w:cs="Times New Roman"/>
          <w:sz w:val="24"/>
          <w:szCs w:val="24"/>
          <w:spacing w:val="-3"/>
        </w:rPr>
        <w:t>H</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24"/>
          <w:szCs w:val="24"/>
          <w:spacing w:val="-3"/>
        </w:rPr>
        <w:t>S </w:t>
      </w:r>
      <w:r>
        <w:rPr>
          <w:rFonts w:ascii="SimSun" w:hAnsi="SimSun" w:eastAsia="SimSun" w:cs="SimSun"/>
          <w:sz w:val="24"/>
          <w:szCs w:val="24"/>
          <w:spacing w:val="-3"/>
        </w:rPr>
        <w:t>产生量为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0.0012t/a</w:t>
      </w:r>
      <w:r>
        <w:rPr>
          <w:rFonts w:ascii="SimSun" w:hAnsi="SimSun" w:eastAsia="SimSun" w:cs="SimSun"/>
          <w:sz w:val="24"/>
          <w:szCs w:val="24"/>
          <w:spacing w:val="-3"/>
        </w:rPr>
        <w:t>，</w:t>
      </w:r>
      <w:r>
        <w:rPr>
          <w:rFonts w:ascii="Times New Roman" w:hAnsi="Times New Roman" w:eastAsia="Times New Roman" w:cs="Times New Roman"/>
          <w:sz w:val="24"/>
          <w:szCs w:val="24"/>
          <w:spacing w:val="-3"/>
        </w:rPr>
        <w:t>NH</w:t>
      </w:r>
      <w:r>
        <w:rPr>
          <w:rFonts w:ascii="Times New Roman" w:hAnsi="Times New Roman" w:eastAsia="Times New Roman" w:cs="Times New Roman"/>
          <w:sz w:val="15"/>
          <w:szCs w:val="15"/>
          <w:spacing w:val="-3"/>
          <w:position w:val="-1"/>
        </w:rPr>
        <w:t>3</w:t>
      </w:r>
      <w:r>
        <w:rPr>
          <w:rFonts w:ascii="Times New Roman" w:hAnsi="Times New Roman" w:eastAsia="Times New Roman" w:cs="Times New Roman"/>
          <w:sz w:val="15"/>
          <w:szCs w:val="15"/>
          <w:spacing w:val="9"/>
          <w:w w:val="101"/>
          <w:position w:val="-1"/>
        </w:rPr>
        <w:t xml:space="preserve"> </w:t>
      </w:r>
      <w:r>
        <w:rPr>
          <w:rFonts w:ascii="SimSun" w:hAnsi="SimSun" w:eastAsia="SimSun" w:cs="SimSun"/>
          <w:sz w:val="24"/>
          <w:szCs w:val="24"/>
          <w:spacing w:val="-3"/>
        </w:rPr>
        <w:t>排放量为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0.008t/a</w:t>
      </w:r>
      <w:r>
        <w:rPr>
          <w:rFonts w:ascii="SimSun" w:hAnsi="SimSun" w:eastAsia="SimSun" w:cs="SimSun"/>
          <w:sz w:val="24"/>
          <w:szCs w:val="24"/>
          <w:spacing w:val="-4"/>
        </w:rPr>
        <w:t>、</w:t>
      </w:r>
      <w:r>
        <w:rPr>
          <w:rFonts w:ascii="Times New Roman" w:hAnsi="Times New Roman" w:eastAsia="Times New Roman" w:cs="Times New Roman"/>
          <w:sz w:val="24"/>
          <w:szCs w:val="24"/>
          <w:spacing w:val="-4"/>
        </w:rPr>
        <w:t>H</w:t>
      </w:r>
      <w:r>
        <w:rPr>
          <w:rFonts w:ascii="Times New Roman" w:hAnsi="Times New Roman" w:eastAsia="Times New Roman" w:cs="Times New Roman"/>
          <w:sz w:val="15"/>
          <w:szCs w:val="15"/>
          <w:spacing w:val="-4"/>
          <w:position w:val="-1"/>
        </w:rPr>
        <w:t>2</w:t>
      </w:r>
      <w:r>
        <w:rPr>
          <w:rFonts w:ascii="Times New Roman" w:hAnsi="Times New Roman" w:eastAsia="Times New Roman" w:cs="Times New Roman"/>
          <w:sz w:val="24"/>
          <w:szCs w:val="24"/>
          <w:spacing w:val="-4"/>
        </w:rPr>
        <w:t>S </w:t>
      </w:r>
      <w:r>
        <w:rPr>
          <w:rFonts w:ascii="SimSun" w:hAnsi="SimSun" w:eastAsia="SimSun" w:cs="SimSun"/>
          <w:sz w:val="24"/>
          <w:szCs w:val="24"/>
          <w:spacing w:val="-4"/>
        </w:rPr>
        <w:t>排放量为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0.00048t/a</w:t>
      </w:r>
      <w:r>
        <w:rPr>
          <w:rFonts w:ascii="SimSun" w:hAnsi="SimSun" w:eastAsia="SimSun" w:cs="SimSun"/>
          <w:sz w:val="24"/>
          <w:szCs w:val="24"/>
          <w:spacing w:val="-4"/>
        </w:rPr>
        <w:t>，</w:t>
      </w:r>
      <w:r>
        <w:rPr>
          <w:rFonts w:ascii="SimSun" w:hAnsi="SimSun" w:eastAsia="SimSun" w:cs="SimSun"/>
          <w:sz w:val="24"/>
          <w:szCs w:val="24"/>
        </w:rPr>
        <w:t xml:space="preserve"> </w:t>
      </w:r>
      <w:r>
        <w:rPr>
          <w:rFonts w:ascii="SimSun" w:hAnsi="SimSun" w:eastAsia="SimSun" w:cs="SimSun"/>
          <w:sz w:val="24"/>
          <w:szCs w:val="24"/>
          <w:spacing w:val="-2"/>
        </w:rPr>
        <w:t>无组织排放。</w:t>
      </w:r>
    </w:p>
    <w:p>
      <w:pPr>
        <w:ind w:left="515"/>
        <w:spacing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）沼渣晾晒区臭气（</w:t>
      </w:r>
      <w:r>
        <w:rPr>
          <w:rFonts w:ascii="Times New Roman" w:hAnsi="Times New Roman" w:eastAsia="Times New Roman" w:cs="Times New Roman"/>
          <w:sz w:val="24"/>
          <w:szCs w:val="24"/>
          <w:spacing w:val="-1"/>
        </w:rPr>
        <w:t>G</w:t>
      </w:r>
      <w:r>
        <w:rPr>
          <w:rFonts w:ascii="Times New Roman" w:hAnsi="Times New Roman" w:eastAsia="Times New Roman" w:cs="Times New Roman"/>
          <w:sz w:val="15"/>
          <w:szCs w:val="15"/>
          <w:spacing w:val="-1"/>
          <w:position w:val="-1"/>
        </w:rPr>
        <w:t>3-3</w:t>
      </w:r>
      <w:r>
        <w:rPr>
          <w:rFonts w:ascii="SimSun" w:hAnsi="SimSun" w:eastAsia="SimSun" w:cs="SimSun"/>
          <w:sz w:val="24"/>
          <w:szCs w:val="24"/>
          <w:spacing w:val="-1"/>
        </w:rPr>
        <w:t>）</w:t>
      </w:r>
    </w:p>
    <w:p>
      <w:pPr>
        <w:ind w:left="18" w:right="59" w:firstLine="486"/>
        <w:spacing w:before="177" w:line="357" w:lineRule="auto"/>
        <w:rPr>
          <w:rFonts w:ascii="SimSun" w:hAnsi="SimSun" w:eastAsia="SimSun" w:cs="SimSun"/>
          <w:sz w:val="24"/>
          <w:szCs w:val="24"/>
        </w:rPr>
      </w:pPr>
      <w:r>
        <w:rPr>
          <w:rFonts w:ascii="SimSun" w:hAnsi="SimSun" w:eastAsia="SimSun" w:cs="SimSun"/>
          <w:sz w:val="24"/>
          <w:szCs w:val="24"/>
          <w:spacing w:val="3"/>
        </w:rPr>
        <w:t>本项目沼渣晾晒区的沼渣已进行厌氧发酵，在晾晒棚自然晾干，</w:t>
      </w:r>
      <w:r>
        <w:rPr>
          <w:rFonts w:ascii="SimSun" w:hAnsi="SimSun" w:eastAsia="SimSun" w:cs="SimSun"/>
          <w:sz w:val="24"/>
          <w:szCs w:val="24"/>
          <w:spacing w:val="2"/>
        </w:rPr>
        <w:t>使含水率小</w:t>
      </w:r>
      <w:r>
        <w:rPr>
          <w:rFonts w:ascii="SimSun" w:hAnsi="SimSun" w:eastAsia="SimSun" w:cs="SimSun"/>
          <w:sz w:val="24"/>
          <w:szCs w:val="24"/>
        </w:rPr>
        <w:t xml:space="preserve"> </w:t>
      </w:r>
      <w:r>
        <w:rPr>
          <w:rFonts w:ascii="SimSun" w:hAnsi="SimSun" w:eastAsia="SimSun" w:cs="SimSun"/>
          <w:sz w:val="24"/>
          <w:szCs w:val="24"/>
        </w:rPr>
        <w:t>于</w:t>
      </w:r>
      <w:r>
        <w:rPr>
          <w:rFonts w:ascii="SimSun" w:hAnsi="SimSun" w:eastAsia="SimSun" w:cs="SimSun"/>
          <w:sz w:val="24"/>
          <w:szCs w:val="24"/>
          <w:spacing w:val="-42"/>
        </w:rPr>
        <w:t xml:space="preserve"> </w:t>
      </w:r>
      <w:r>
        <w:rPr>
          <w:rFonts w:ascii="Times New Roman" w:hAnsi="Times New Roman" w:eastAsia="Times New Roman" w:cs="Times New Roman"/>
          <w:sz w:val="24"/>
          <w:szCs w:val="24"/>
        </w:rPr>
        <w:t>30%</w:t>
      </w:r>
      <w:r>
        <w:rPr>
          <w:rFonts w:ascii="Times New Roman" w:hAnsi="Times New Roman" w:eastAsia="Times New Roman" w:cs="Times New Roman"/>
          <w:sz w:val="24"/>
          <w:szCs w:val="24"/>
          <w:spacing w:val="-29"/>
        </w:rPr>
        <w:t xml:space="preserve"> </w:t>
      </w:r>
      <w:r>
        <w:rPr>
          <w:rFonts w:ascii="SimSun" w:hAnsi="SimSun" w:eastAsia="SimSun" w:cs="SimSun"/>
          <w:sz w:val="24"/>
          <w:szCs w:val="24"/>
        </w:rPr>
        <w:t>，晾晒过程中在微生物的作用下，会产生恶臭气体，主要污染物为</w:t>
      </w:r>
      <w:r>
        <w:rPr>
          <w:rFonts w:ascii="SimSun" w:hAnsi="SimSun" w:eastAsia="SimSun" w:cs="SimSun"/>
          <w:sz w:val="24"/>
          <w:szCs w:val="24"/>
          <w:spacing w:val="-58"/>
        </w:rPr>
        <w:t xml:space="preserve"> </w:t>
      </w:r>
      <w:r>
        <w:rPr>
          <w:rFonts w:ascii="Times New Roman" w:hAnsi="Times New Roman" w:eastAsia="Times New Roman" w:cs="Times New Roman"/>
          <w:sz w:val="24"/>
          <w:szCs w:val="24"/>
        </w:rPr>
        <w:t>NH</w:t>
      </w:r>
      <w:r>
        <w:rPr>
          <w:rFonts w:ascii="Times New Roman" w:hAnsi="Times New Roman" w:eastAsia="Times New Roman" w:cs="Times New Roman"/>
          <w:sz w:val="15"/>
          <w:szCs w:val="15"/>
          <w:position w:val="-1"/>
        </w:rPr>
        <w:t>3</w:t>
      </w:r>
      <w:r>
        <w:rPr>
          <w:rFonts w:ascii="Times New Roman" w:hAnsi="Times New Roman" w:eastAsia="Times New Roman" w:cs="Times New Roman"/>
          <w:sz w:val="15"/>
          <w:szCs w:val="15"/>
          <w:spacing w:val="-10"/>
          <w:position w:val="-1"/>
        </w:rPr>
        <w:t xml:space="preserve"> </w:t>
      </w:r>
      <w:r>
        <w:rPr>
          <w:rFonts w:ascii="SimSun" w:hAnsi="SimSun" w:eastAsia="SimSun" w:cs="SimSun"/>
          <w:sz w:val="24"/>
          <w:szCs w:val="24"/>
        </w:rPr>
        <w:t>、 </w:t>
      </w:r>
      <w:r>
        <w:rPr>
          <w:rFonts w:ascii="Times New Roman" w:hAnsi="Times New Roman" w:eastAsia="Times New Roman" w:cs="Times New Roman"/>
          <w:sz w:val="24"/>
          <w:szCs w:val="24"/>
          <w:spacing w:val="-2"/>
        </w:rPr>
        <w:t>H</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24"/>
          <w:szCs w:val="24"/>
          <w:spacing w:val="-2"/>
        </w:rPr>
        <w:t>S </w:t>
      </w:r>
      <w:r>
        <w:rPr>
          <w:rFonts w:ascii="SimSun" w:hAnsi="SimSun" w:eastAsia="SimSun" w:cs="SimSun"/>
          <w:sz w:val="24"/>
          <w:szCs w:val="24"/>
          <w:spacing w:val="-2"/>
        </w:rPr>
        <w:t>和臭气浓度。臭气浓度为无量纲，</w:t>
      </w:r>
      <w:r>
        <w:rPr>
          <w:rFonts w:ascii="Times New Roman" w:hAnsi="Times New Roman" w:eastAsia="Times New Roman" w:cs="Times New Roman"/>
          <w:sz w:val="24"/>
          <w:szCs w:val="24"/>
          <w:spacing w:val="-3"/>
        </w:rPr>
        <w:t>NH</w:t>
      </w:r>
      <w:r>
        <w:rPr>
          <w:rFonts w:ascii="Times New Roman" w:hAnsi="Times New Roman" w:eastAsia="Times New Roman" w:cs="Times New Roman"/>
          <w:sz w:val="15"/>
          <w:szCs w:val="15"/>
          <w:spacing w:val="-3"/>
          <w:position w:val="-1"/>
        </w:rPr>
        <w:t>3</w:t>
      </w:r>
      <w:r>
        <w:rPr>
          <w:rFonts w:ascii="Times New Roman" w:hAnsi="Times New Roman" w:eastAsia="Times New Roman" w:cs="Times New Roman"/>
          <w:sz w:val="15"/>
          <w:szCs w:val="15"/>
          <w:spacing w:val="15"/>
          <w:position w:val="-1"/>
        </w:rPr>
        <w:t xml:space="preserve"> </w:t>
      </w:r>
      <w:r>
        <w:rPr>
          <w:rFonts w:ascii="SimSun" w:hAnsi="SimSun" w:eastAsia="SimSun" w:cs="SimSun"/>
          <w:sz w:val="24"/>
          <w:szCs w:val="24"/>
          <w:spacing w:val="-3"/>
        </w:rPr>
        <w:t>为无色气体，有强烈刺激气味，嗅觉阈</w:t>
      </w:r>
      <w:r>
        <w:rPr>
          <w:rFonts w:ascii="SimSun" w:hAnsi="SimSun" w:eastAsia="SimSun" w:cs="SimSun"/>
          <w:sz w:val="24"/>
          <w:szCs w:val="24"/>
        </w:rPr>
        <w:t xml:space="preserve"> </w:t>
      </w:r>
      <w:r>
        <w:rPr>
          <w:rFonts w:ascii="SimSun" w:hAnsi="SimSun" w:eastAsia="SimSun" w:cs="SimSun"/>
          <w:sz w:val="24"/>
          <w:szCs w:val="24"/>
        </w:rPr>
        <w:t>值为</w:t>
      </w:r>
      <w:r>
        <w:rPr>
          <w:rFonts w:ascii="SimSun" w:hAnsi="SimSun" w:eastAsia="SimSun" w:cs="SimSun"/>
          <w:sz w:val="24"/>
          <w:szCs w:val="24"/>
          <w:spacing w:val="-51"/>
        </w:rPr>
        <w:t xml:space="preserve"> </w:t>
      </w:r>
      <w:r>
        <w:rPr>
          <w:rFonts w:ascii="Times New Roman" w:hAnsi="Times New Roman" w:eastAsia="Times New Roman" w:cs="Times New Roman"/>
          <w:sz w:val="24"/>
          <w:szCs w:val="24"/>
        </w:rPr>
        <w:t>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rPr>
        <w:t>1ppm</w:t>
      </w:r>
      <w:r>
        <w:rPr>
          <w:rFonts w:ascii="Times New Roman" w:hAnsi="Times New Roman" w:eastAsia="Times New Roman" w:cs="Times New Roman"/>
          <w:sz w:val="24"/>
          <w:szCs w:val="24"/>
          <w:spacing w:val="-28"/>
        </w:rPr>
        <w:t xml:space="preserve"> </w:t>
      </w:r>
      <w:r>
        <w:rPr>
          <w:rFonts w:ascii="SimSun" w:hAnsi="SimSun" w:eastAsia="SimSun" w:cs="SimSun"/>
          <w:sz w:val="24"/>
          <w:szCs w:val="24"/>
        </w:rPr>
        <w:t>，</w:t>
      </w:r>
      <w:r>
        <w:rPr>
          <w:rFonts w:ascii="Times New Roman" w:hAnsi="Times New Roman" w:eastAsia="Times New Roman" w:cs="Times New Roman"/>
          <w:sz w:val="24"/>
          <w:szCs w:val="24"/>
        </w:rPr>
        <w:t>H</w:t>
      </w:r>
      <w:r>
        <w:rPr>
          <w:rFonts w:ascii="Times New Roman" w:hAnsi="Times New Roman" w:eastAsia="Times New Roman" w:cs="Times New Roman"/>
          <w:sz w:val="15"/>
          <w:szCs w:val="15"/>
          <w:position w:val="-1"/>
        </w:rPr>
        <w:t>2</w:t>
      </w:r>
      <w:r>
        <w:rPr>
          <w:rFonts w:ascii="Times New Roman" w:hAnsi="Times New Roman" w:eastAsia="Times New Roman" w:cs="Times New Roman"/>
          <w:sz w:val="15"/>
          <w:szCs w:val="15"/>
          <w:spacing w:val="-21"/>
          <w:position w:val="-1"/>
        </w:rPr>
        <w:t xml:space="preserve"> </w:t>
      </w:r>
      <w:r>
        <w:rPr>
          <w:rFonts w:ascii="Times New Roman" w:hAnsi="Times New Roman" w:eastAsia="Times New Roman" w:cs="Times New Roman"/>
          <w:sz w:val="24"/>
          <w:szCs w:val="24"/>
        </w:rPr>
        <w:t>S </w:t>
      </w:r>
      <w:r>
        <w:rPr>
          <w:rFonts w:ascii="SimSun" w:hAnsi="SimSun" w:eastAsia="SimSun" w:cs="SimSun"/>
          <w:sz w:val="24"/>
          <w:szCs w:val="24"/>
        </w:rPr>
        <w:t>为无色气体，有恶臭和毒</w:t>
      </w:r>
      <w:r>
        <w:rPr>
          <w:rFonts w:ascii="SimSun" w:hAnsi="SimSun" w:eastAsia="SimSun" w:cs="SimSun"/>
          <w:sz w:val="24"/>
          <w:szCs w:val="24"/>
          <w:spacing w:val="-1"/>
        </w:rPr>
        <w:t>性，具有臭鸡蛋气味，其嗅觉阅值为</w:t>
      </w:r>
      <w:r>
        <w:rPr>
          <w:rFonts w:ascii="SimSun" w:hAnsi="SimSun" w:eastAsia="SimSun" w:cs="SimSun"/>
          <w:sz w:val="24"/>
          <w:szCs w:val="24"/>
        </w:rPr>
        <w:t xml:space="preserve"> </w:t>
      </w:r>
      <w:r>
        <w:rPr>
          <w:rFonts w:ascii="Times New Roman" w:hAnsi="Times New Roman" w:eastAsia="Times New Roman" w:cs="Times New Roman"/>
          <w:sz w:val="24"/>
          <w:szCs w:val="24"/>
          <w:spacing w:val="-1"/>
        </w:rPr>
        <w:t>0.0005ppm</w:t>
      </w:r>
      <w:r>
        <w:rPr>
          <w:rFonts w:ascii="SimSun" w:hAnsi="SimSun" w:eastAsia="SimSun" w:cs="SimSun"/>
          <w:sz w:val="24"/>
          <w:szCs w:val="24"/>
          <w:spacing w:val="-1"/>
        </w:rPr>
        <w:t>。</w:t>
      </w:r>
    </w:p>
    <w:p>
      <w:pPr>
        <w:ind w:left="25" w:right="61" w:firstLine="480"/>
        <w:spacing w:before="17" w:line="358" w:lineRule="auto"/>
        <w:jc w:val="both"/>
        <w:rPr>
          <w:rFonts w:ascii="SimSun" w:hAnsi="SimSun" w:eastAsia="SimSun" w:cs="SimSun"/>
          <w:sz w:val="24"/>
          <w:szCs w:val="24"/>
        </w:rPr>
      </w:pPr>
      <w:r>
        <w:rPr>
          <w:rFonts w:ascii="SimSun" w:hAnsi="SimSun" w:eastAsia="SimSun" w:cs="SimSun"/>
          <w:sz w:val="24"/>
          <w:szCs w:val="24"/>
          <w:spacing w:val="1"/>
        </w:rPr>
        <w:t>参照《排放源统计调查产排污核算方法和系数手册》中“</w:t>
      </w:r>
      <w:r>
        <w:rPr>
          <w:rFonts w:ascii="Times New Roman" w:hAnsi="Times New Roman" w:eastAsia="Times New Roman" w:cs="Times New Roman"/>
          <w:sz w:val="24"/>
          <w:szCs w:val="24"/>
          <w:spacing w:val="1"/>
        </w:rPr>
        <w:t>2625 </w:t>
      </w:r>
      <w:r>
        <w:rPr>
          <w:rFonts w:ascii="SimSun" w:hAnsi="SimSun" w:eastAsia="SimSun" w:cs="SimSun"/>
          <w:sz w:val="24"/>
          <w:szCs w:val="24"/>
        </w:rPr>
        <w:t>有机肥料及微 </w:t>
      </w:r>
      <w:r>
        <w:rPr>
          <w:rFonts w:ascii="SimSun" w:hAnsi="SimSun" w:eastAsia="SimSun" w:cs="SimSun"/>
          <w:sz w:val="24"/>
          <w:szCs w:val="24"/>
          <w:spacing w:val="-4"/>
        </w:rPr>
        <w:t>生物肥料制造行业系数手册</w:t>
      </w:r>
      <w:r>
        <w:rPr>
          <w:rFonts w:ascii="SimSun" w:hAnsi="SimSun" w:eastAsia="SimSun" w:cs="SimSun"/>
          <w:sz w:val="24"/>
          <w:szCs w:val="24"/>
          <w:spacing w:val="-88"/>
        </w:rPr>
        <w:t xml:space="preserve"> </w:t>
      </w:r>
      <w:r>
        <w:rPr>
          <w:rFonts w:ascii="SimSun" w:hAnsi="SimSun" w:eastAsia="SimSun" w:cs="SimSun"/>
          <w:sz w:val="24"/>
          <w:szCs w:val="24"/>
          <w:spacing w:val="-4"/>
        </w:rPr>
        <w:t>”，熟化过程中氨的产生系数为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0.01kg/</w:t>
      </w:r>
      <w:r>
        <w:rPr>
          <w:rFonts w:ascii="SimSun" w:hAnsi="SimSun" w:eastAsia="SimSun" w:cs="SimSun"/>
          <w:sz w:val="24"/>
          <w:szCs w:val="24"/>
          <w:spacing w:val="-4"/>
        </w:rPr>
        <w:t>（</w:t>
      </w:r>
      <w:r>
        <w:rPr>
          <w:rFonts w:ascii="Times New Roman" w:hAnsi="Times New Roman" w:eastAsia="Times New Roman" w:cs="Times New Roman"/>
          <w:sz w:val="24"/>
          <w:szCs w:val="24"/>
          <w:spacing w:val="-4"/>
        </w:rPr>
        <w:t>t</w:t>
      </w:r>
      <w:r>
        <w:rPr>
          <w:rFonts w:ascii="SimSun" w:hAnsi="SimSun" w:eastAsia="SimSun" w:cs="SimSun"/>
          <w:sz w:val="24"/>
          <w:szCs w:val="24"/>
          <w:spacing w:val="-4"/>
        </w:rPr>
        <w:t>·产品</w:t>
      </w:r>
      <w:r>
        <w:rPr>
          <w:rFonts w:ascii="Times New Roman" w:hAnsi="Times New Roman" w:eastAsia="Times New Roman" w:cs="Times New Roman"/>
          <w:sz w:val="24"/>
          <w:szCs w:val="24"/>
          <w:spacing w:val="-4"/>
        </w:rPr>
        <w:t>)</w:t>
      </w:r>
      <w:r>
        <w:rPr>
          <w:rFonts w:ascii="SimSun" w:hAnsi="SimSun" w:eastAsia="SimSun" w:cs="SimSun"/>
          <w:sz w:val="24"/>
          <w:szCs w:val="24"/>
          <w:spacing w:val="-4"/>
        </w:rPr>
        <w:t>，本</w:t>
      </w:r>
      <w:r>
        <w:rPr>
          <w:rFonts w:ascii="SimSun" w:hAnsi="SimSun" w:eastAsia="SimSun" w:cs="SimSun"/>
          <w:sz w:val="24"/>
          <w:szCs w:val="24"/>
        </w:rPr>
        <w:t xml:space="preserve"> </w:t>
      </w:r>
      <w:r>
        <w:rPr>
          <w:rFonts w:ascii="SimSun" w:hAnsi="SimSun" w:eastAsia="SimSun" w:cs="SimSun"/>
          <w:sz w:val="24"/>
          <w:szCs w:val="24"/>
          <w:spacing w:val="-2"/>
        </w:rPr>
        <w:t>项目沼渣量为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3006.38t/a</w:t>
      </w:r>
      <w:r>
        <w:rPr>
          <w:rFonts w:ascii="SimSun" w:hAnsi="SimSun" w:eastAsia="SimSun" w:cs="SimSun"/>
          <w:sz w:val="24"/>
          <w:szCs w:val="24"/>
          <w:spacing w:val="-2"/>
        </w:rPr>
        <w:t>，则产生</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2"/>
        </w:rPr>
        <w:t>NH</w:t>
      </w:r>
      <w:r>
        <w:rPr>
          <w:rFonts w:ascii="Times New Roman" w:hAnsi="Times New Roman" w:eastAsia="Times New Roman" w:cs="Times New Roman"/>
          <w:sz w:val="15"/>
          <w:szCs w:val="15"/>
          <w:spacing w:val="-2"/>
          <w:position w:val="-1"/>
        </w:rPr>
        <w:t>3</w:t>
      </w:r>
      <w:r>
        <w:rPr>
          <w:rFonts w:ascii="Times New Roman" w:hAnsi="Times New Roman" w:eastAsia="Times New Roman" w:cs="Times New Roman"/>
          <w:sz w:val="15"/>
          <w:szCs w:val="15"/>
          <w:spacing w:val="9"/>
          <w:w w:val="102"/>
          <w:position w:val="-1"/>
        </w:rPr>
        <w:t xml:space="preserve"> </w:t>
      </w:r>
      <w:r>
        <w:rPr>
          <w:rFonts w:ascii="SimSun" w:hAnsi="SimSun" w:eastAsia="SimSun" w:cs="SimSun"/>
          <w:sz w:val="24"/>
          <w:szCs w:val="24"/>
          <w:spacing w:val="-2"/>
        </w:rPr>
        <w:t>量</w:t>
      </w:r>
      <w:r>
        <w:rPr>
          <w:rFonts w:ascii="SimSun" w:hAnsi="SimSun" w:eastAsia="SimSun" w:cs="SimSun"/>
          <w:sz w:val="24"/>
          <w:szCs w:val="24"/>
          <w:spacing w:val="-3"/>
        </w:rPr>
        <w:t>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0.03t/a</w:t>
      </w:r>
      <w:r>
        <w:rPr>
          <w:rFonts w:ascii="SimSun" w:hAnsi="SimSun" w:eastAsia="SimSun" w:cs="SimSun"/>
          <w:sz w:val="24"/>
          <w:szCs w:val="24"/>
          <w:spacing w:val="-3"/>
        </w:rPr>
        <w:t>，</w:t>
      </w:r>
      <w:r>
        <w:rPr>
          <w:rFonts w:ascii="Times New Roman" w:hAnsi="Times New Roman" w:eastAsia="Times New Roman" w:cs="Times New Roman"/>
          <w:sz w:val="24"/>
          <w:szCs w:val="24"/>
          <w:spacing w:val="-3"/>
        </w:rPr>
        <w:t>H</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24"/>
          <w:szCs w:val="24"/>
          <w:spacing w:val="-3"/>
        </w:rPr>
        <w:t>S </w:t>
      </w:r>
      <w:r>
        <w:rPr>
          <w:rFonts w:ascii="SimSun" w:hAnsi="SimSun" w:eastAsia="SimSun" w:cs="SimSun"/>
          <w:sz w:val="24"/>
          <w:szCs w:val="24"/>
          <w:spacing w:val="-3"/>
        </w:rPr>
        <w:t>产生量一般为</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3"/>
        </w:rPr>
        <w:t>NH</w:t>
      </w:r>
      <w:r>
        <w:rPr>
          <w:rFonts w:ascii="Times New Roman" w:hAnsi="Times New Roman" w:eastAsia="Times New Roman" w:cs="Times New Roman"/>
          <w:sz w:val="15"/>
          <w:szCs w:val="15"/>
          <w:spacing w:val="-3"/>
          <w:position w:val="-1"/>
        </w:rPr>
        <w:t>3  </w:t>
      </w:r>
      <w:r>
        <w:rPr>
          <w:rFonts w:ascii="SimSun" w:hAnsi="SimSun" w:eastAsia="SimSun" w:cs="SimSun"/>
          <w:sz w:val="24"/>
          <w:szCs w:val="24"/>
          <w:spacing w:val="-3"/>
        </w:rPr>
        <w:t>的十分</w:t>
      </w:r>
      <w:r>
        <w:rPr>
          <w:rFonts w:ascii="SimSun" w:hAnsi="SimSun" w:eastAsia="SimSun" w:cs="SimSun"/>
          <w:sz w:val="24"/>
          <w:szCs w:val="24"/>
        </w:rPr>
        <w:t xml:space="preserve"> </w:t>
      </w:r>
      <w:r>
        <w:rPr>
          <w:rFonts w:ascii="SimSun" w:hAnsi="SimSun" w:eastAsia="SimSun" w:cs="SimSun"/>
          <w:sz w:val="24"/>
          <w:szCs w:val="24"/>
          <w:spacing w:val="-2"/>
        </w:rPr>
        <w:t>之一即</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0.003ta</w:t>
      </w:r>
      <w:r>
        <w:rPr>
          <w:rFonts w:ascii="SimSun" w:hAnsi="SimSun" w:eastAsia="SimSun" w:cs="SimSun"/>
          <w:sz w:val="24"/>
          <w:szCs w:val="24"/>
          <w:spacing w:val="-2"/>
        </w:rPr>
        <w:t>。</w:t>
      </w:r>
    </w:p>
    <w:p>
      <w:pPr>
        <w:ind w:left="23" w:right="61" w:firstLine="481"/>
        <w:spacing w:before="5" w:line="357" w:lineRule="auto"/>
        <w:jc w:val="both"/>
        <w:rPr>
          <w:rFonts w:ascii="SimSun" w:hAnsi="SimSun" w:eastAsia="SimSun" w:cs="SimSun"/>
          <w:sz w:val="24"/>
          <w:szCs w:val="24"/>
        </w:rPr>
      </w:pPr>
      <w:r>
        <w:rPr>
          <w:rFonts w:ascii="SimSun" w:hAnsi="SimSun" w:eastAsia="SimSun" w:cs="SimSun"/>
          <w:sz w:val="24"/>
          <w:szCs w:val="24"/>
          <w:spacing w:val="2"/>
        </w:rPr>
        <w:t>本项目晾晒区采取喷洒生物除臭剂措施，根据《关于</w:t>
      </w:r>
      <w:r>
        <w:rPr>
          <w:rFonts w:ascii="SimSun" w:hAnsi="SimSun" w:eastAsia="SimSun" w:cs="SimSun"/>
          <w:sz w:val="24"/>
          <w:szCs w:val="24"/>
          <w:spacing w:val="-47"/>
        </w:rPr>
        <w:t xml:space="preserve"> </w:t>
      </w:r>
      <w:r>
        <w:rPr>
          <w:rFonts w:ascii="Times New Roman" w:hAnsi="Times New Roman" w:eastAsia="Times New Roman" w:cs="Times New Roman"/>
          <w:sz w:val="24"/>
          <w:szCs w:val="24"/>
        </w:rPr>
        <w:t>EM</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2"/>
        </w:rPr>
        <w:t>菌除臭在环境保护</w:t>
      </w:r>
      <w:r>
        <w:rPr>
          <w:rFonts w:ascii="SimSun" w:hAnsi="SimSun" w:eastAsia="SimSun" w:cs="SimSun"/>
          <w:sz w:val="24"/>
          <w:szCs w:val="24"/>
        </w:rPr>
        <w:t xml:space="preserve"> </w:t>
      </w:r>
      <w:r>
        <w:rPr>
          <w:rFonts w:ascii="SimSun" w:hAnsi="SimSun" w:eastAsia="SimSun" w:cs="SimSun"/>
          <w:sz w:val="24"/>
          <w:szCs w:val="24"/>
        </w:rPr>
        <w:t>应用的文献综述》</w:t>
      </w:r>
      <w:r>
        <w:rPr>
          <w:rFonts w:ascii="Times New Roman" w:hAnsi="Times New Roman" w:eastAsia="Times New Roman" w:cs="Times New Roman"/>
          <w:sz w:val="24"/>
          <w:szCs w:val="24"/>
        </w:rPr>
        <w:t>(</w:t>
      </w:r>
      <w:r>
        <w:rPr>
          <w:rFonts w:ascii="SimSun" w:hAnsi="SimSun" w:eastAsia="SimSun" w:cs="SimSun"/>
          <w:sz w:val="24"/>
          <w:szCs w:val="24"/>
        </w:rPr>
        <w:t>黄以豪</w:t>
      </w:r>
      <w:r>
        <w:rPr>
          <w:rFonts w:ascii="Times New Roman" w:hAnsi="Times New Roman" w:eastAsia="Times New Roman" w:cs="Times New Roman"/>
          <w:sz w:val="24"/>
          <w:szCs w:val="24"/>
        </w:rPr>
        <w:t>)</w:t>
      </w:r>
      <w:r>
        <w:rPr>
          <w:rFonts w:ascii="SimSun" w:hAnsi="SimSun" w:eastAsia="SimSun" w:cs="SimSun"/>
          <w:sz w:val="24"/>
          <w:szCs w:val="24"/>
        </w:rPr>
        <w:t>一文中研究表明</w:t>
      </w:r>
      <w:r>
        <w:rPr>
          <w:rFonts w:ascii="Times New Roman" w:hAnsi="Times New Roman" w:eastAsia="Times New Roman" w:cs="Times New Roman"/>
          <w:sz w:val="24"/>
          <w:szCs w:val="24"/>
        </w:rPr>
        <w:t>EM </w:t>
      </w:r>
      <w:r>
        <w:rPr>
          <w:rFonts w:ascii="SimSun" w:hAnsi="SimSun" w:eastAsia="SimSun" w:cs="SimSun"/>
          <w:sz w:val="24"/>
          <w:szCs w:val="24"/>
        </w:rPr>
        <w:t>菌对粪便产生的</w:t>
      </w:r>
      <w:r>
        <w:rPr>
          <w:rFonts w:ascii="SimSun" w:hAnsi="SimSun" w:eastAsia="SimSun" w:cs="SimSun"/>
          <w:sz w:val="24"/>
          <w:szCs w:val="24"/>
          <w:spacing w:val="-55"/>
        </w:rPr>
        <w:t xml:space="preserve"> </w:t>
      </w:r>
      <w:r>
        <w:rPr>
          <w:rFonts w:ascii="Times New Roman" w:hAnsi="Times New Roman" w:eastAsia="Times New Roman" w:cs="Times New Roman"/>
          <w:sz w:val="24"/>
          <w:szCs w:val="24"/>
        </w:rPr>
        <w:t>NH</w:t>
      </w:r>
      <w:r>
        <w:rPr>
          <w:rFonts w:ascii="Times New Roman" w:hAnsi="Times New Roman" w:eastAsia="Times New Roman" w:cs="Times New Roman"/>
          <w:sz w:val="15"/>
          <w:szCs w:val="15"/>
          <w:position w:val="-1"/>
        </w:rPr>
        <w:t>3</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rPr>
        <w:t>、</w:t>
      </w:r>
      <w:r>
        <w:rPr>
          <w:rFonts w:ascii="Times New Roman" w:hAnsi="Times New Roman" w:eastAsia="Times New Roman" w:cs="Times New Roman"/>
          <w:sz w:val="24"/>
          <w:szCs w:val="24"/>
        </w:rPr>
        <w:t>H</w:t>
      </w:r>
      <w:r>
        <w:rPr>
          <w:rFonts w:ascii="Times New Roman" w:hAnsi="Times New Roman" w:eastAsia="Times New Roman" w:cs="Times New Roman"/>
          <w:sz w:val="15"/>
          <w:szCs w:val="15"/>
          <w:position w:val="-1"/>
        </w:rPr>
        <w:t>2</w:t>
      </w:r>
      <w:r>
        <w:rPr>
          <w:rFonts w:ascii="Times New Roman" w:hAnsi="Times New Roman" w:eastAsia="Times New Roman" w:cs="Times New Roman"/>
          <w:sz w:val="24"/>
          <w:szCs w:val="24"/>
        </w:rPr>
        <w:t>S </w:t>
      </w:r>
      <w:r>
        <w:rPr>
          <w:rFonts w:ascii="SimSun" w:hAnsi="SimSun" w:eastAsia="SimSun" w:cs="SimSun"/>
          <w:sz w:val="24"/>
          <w:szCs w:val="24"/>
        </w:rPr>
        <w:t>均具有 </w:t>
      </w:r>
      <w:r>
        <w:rPr>
          <w:rFonts w:ascii="SimSun" w:hAnsi="SimSun" w:eastAsia="SimSun" w:cs="SimSun"/>
          <w:sz w:val="24"/>
          <w:szCs w:val="24"/>
          <w:spacing w:val="-5"/>
        </w:rPr>
        <w:t>较高的去除能力，其去除效率分别达到</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78.4%</w:t>
      </w:r>
      <w:r>
        <w:rPr>
          <w:rFonts w:ascii="SimSun" w:hAnsi="SimSun" w:eastAsia="SimSun" w:cs="SimSun"/>
          <w:sz w:val="24"/>
          <w:szCs w:val="24"/>
          <w:spacing w:val="-5"/>
        </w:rPr>
        <w:t>、</w:t>
      </w:r>
      <w:r>
        <w:rPr>
          <w:rFonts w:ascii="Times New Roman" w:hAnsi="Times New Roman" w:eastAsia="Times New Roman" w:cs="Times New Roman"/>
          <w:sz w:val="24"/>
          <w:szCs w:val="24"/>
          <w:spacing w:val="-5"/>
        </w:rPr>
        <w:t>66.7%</w:t>
      </w:r>
      <w:r>
        <w:rPr>
          <w:rFonts w:ascii="SimSun" w:hAnsi="SimSun" w:eastAsia="SimSun" w:cs="SimSun"/>
          <w:sz w:val="24"/>
          <w:szCs w:val="24"/>
          <w:spacing w:val="-5"/>
        </w:rPr>
        <w:t>，本次评价酒生物</w:t>
      </w:r>
      <w:r>
        <w:rPr>
          <w:rFonts w:ascii="SimSun" w:hAnsi="SimSun" w:eastAsia="SimSun" w:cs="SimSun"/>
          <w:sz w:val="24"/>
          <w:szCs w:val="24"/>
          <w:spacing w:val="-6"/>
        </w:rPr>
        <w:t>除臭剂</w:t>
      </w:r>
      <w:r>
        <w:rPr>
          <w:rFonts w:ascii="Times New Roman" w:hAnsi="Times New Roman" w:eastAsia="Times New Roman" w:cs="Times New Roman"/>
          <w:sz w:val="24"/>
          <w:szCs w:val="24"/>
          <w:spacing w:val="-6"/>
        </w:rPr>
        <w:t>(EM</w:t>
      </w:r>
      <w:r>
        <w:rPr>
          <w:rFonts w:ascii="Times New Roman" w:hAnsi="Times New Roman" w:eastAsia="Times New Roman" w:cs="Times New Roman"/>
          <w:sz w:val="24"/>
          <w:szCs w:val="24"/>
        </w:rPr>
        <w:t xml:space="preserve"> </w:t>
      </w:r>
      <w:r>
        <w:rPr>
          <w:rFonts w:ascii="SimSun" w:hAnsi="SimSun" w:eastAsia="SimSun" w:cs="SimSun"/>
          <w:sz w:val="24"/>
          <w:szCs w:val="24"/>
          <w:spacing w:val="3"/>
        </w:rPr>
        <w:t>菌</w:t>
      </w:r>
      <w:r>
        <w:rPr>
          <w:rFonts w:ascii="Times New Roman" w:hAnsi="Times New Roman" w:eastAsia="Times New Roman" w:cs="Times New Roman"/>
          <w:sz w:val="24"/>
          <w:szCs w:val="24"/>
          <w:spacing w:val="3"/>
        </w:rPr>
        <w:t>)</w:t>
      </w:r>
      <w:r>
        <w:rPr>
          <w:rFonts w:ascii="SimSun" w:hAnsi="SimSun" w:eastAsia="SimSun" w:cs="SimSun"/>
          <w:sz w:val="24"/>
          <w:szCs w:val="24"/>
          <w:spacing w:val="3"/>
        </w:rPr>
        <w:t>对</w:t>
      </w:r>
      <w:r>
        <w:rPr>
          <w:rFonts w:ascii="SimSun" w:hAnsi="SimSun" w:eastAsia="SimSun" w:cs="SimSun"/>
          <w:sz w:val="24"/>
          <w:szCs w:val="24"/>
          <w:spacing w:val="-53"/>
        </w:rPr>
        <w:t xml:space="preserve"> </w:t>
      </w:r>
      <w:r>
        <w:rPr>
          <w:rFonts w:ascii="Times New Roman" w:hAnsi="Times New Roman" w:eastAsia="Times New Roman" w:cs="Times New Roman"/>
          <w:sz w:val="24"/>
          <w:szCs w:val="24"/>
        </w:rPr>
        <w:t>NH</w:t>
      </w:r>
      <w:r>
        <w:rPr>
          <w:rFonts w:ascii="Times New Roman" w:hAnsi="Times New Roman" w:eastAsia="Times New Roman" w:cs="Times New Roman"/>
          <w:sz w:val="15"/>
          <w:szCs w:val="15"/>
          <w:spacing w:val="3"/>
          <w:position w:val="-1"/>
        </w:rPr>
        <w:t>3 </w:t>
      </w:r>
      <w:r>
        <w:rPr>
          <w:rFonts w:ascii="SimSun" w:hAnsi="SimSun" w:eastAsia="SimSun" w:cs="SimSun"/>
          <w:sz w:val="24"/>
          <w:szCs w:val="24"/>
          <w:spacing w:val="3"/>
        </w:rPr>
        <w:t>、</w:t>
      </w:r>
      <w:r>
        <w:rPr>
          <w:rFonts w:ascii="Times New Roman" w:hAnsi="Times New Roman" w:eastAsia="Times New Roman" w:cs="Times New Roman"/>
          <w:sz w:val="24"/>
          <w:szCs w:val="24"/>
          <w:spacing w:val="3"/>
        </w:rPr>
        <w:t>H</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24"/>
          <w:szCs w:val="24"/>
          <w:spacing w:val="3"/>
        </w:rPr>
        <w:t>S</w:t>
      </w:r>
      <w:r>
        <w:rPr>
          <w:rFonts w:ascii="Times New Roman" w:hAnsi="Times New Roman" w:eastAsia="Times New Roman" w:cs="Times New Roman"/>
          <w:sz w:val="24"/>
          <w:szCs w:val="24"/>
          <w:spacing w:val="38"/>
        </w:rPr>
        <w:t xml:space="preserve"> </w:t>
      </w:r>
      <w:r>
        <w:rPr>
          <w:rFonts w:ascii="SimSun" w:hAnsi="SimSun" w:eastAsia="SimSun" w:cs="SimSun"/>
          <w:sz w:val="24"/>
          <w:szCs w:val="24"/>
          <w:spacing w:val="3"/>
        </w:rPr>
        <w:t>的去除效率按</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3"/>
        </w:rPr>
        <w:t>60%</w:t>
      </w:r>
      <w:r>
        <w:rPr>
          <w:rFonts w:ascii="SimSun" w:hAnsi="SimSun" w:eastAsia="SimSun" w:cs="SimSun"/>
          <w:sz w:val="24"/>
          <w:szCs w:val="24"/>
          <w:spacing w:val="3"/>
        </w:rPr>
        <w:t>计，喷洒生物除臭剂后晾晒区</w:t>
      </w:r>
      <w:r>
        <w:rPr>
          <w:rFonts w:ascii="SimSun" w:hAnsi="SimSun" w:eastAsia="SimSun" w:cs="SimSun"/>
          <w:sz w:val="24"/>
          <w:szCs w:val="24"/>
          <w:spacing w:val="-53"/>
        </w:rPr>
        <w:t xml:space="preserve"> </w:t>
      </w:r>
      <w:r>
        <w:rPr>
          <w:rFonts w:ascii="Times New Roman" w:hAnsi="Times New Roman" w:eastAsia="Times New Roman" w:cs="Times New Roman"/>
          <w:sz w:val="24"/>
          <w:szCs w:val="24"/>
        </w:rPr>
        <w:t>NH</w:t>
      </w:r>
      <w:r>
        <w:rPr>
          <w:rFonts w:ascii="Times New Roman" w:hAnsi="Times New Roman" w:eastAsia="Times New Roman" w:cs="Times New Roman"/>
          <w:sz w:val="15"/>
          <w:szCs w:val="15"/>
          <w:spacing w:val="3"/>
          <w:position w:val="-1"/>
        </w:rPr>
        <w:t>3</w:t>
      </w:r>
      <w:r>
        <w:rPr>
          <w:rFonts w:ascii="Times New Roman" w:hAnsi="Times New Roman" w:eastAsia="Times New Roman" w:cs="Times New Roman"/>
          <w:sz w:val="15"/>
          <w:szCs w:val="15"/>
          <w:spacing w:val="16"/>
          <w:w w:val="101"/>
          <w:position w:val="-1"/>
        </w:rPr>
        <w:t xml:space="preserve"> </w:t>
      </w:r>
      <w:r>
        <w:rPr>
          <w:rFonts w:ascii="SimSun" w:hAnsi="SimSun" w:eastAsia="SimSun" w:cs="SimSun"/>
          <w:sz w:val="24"/>
          <w:szCs w:val="24"/>
          <w:spacing w:val="3"/>
        </w:rPr>
        <w:t>排放量为</w:t>
      </w:r>
      <w:r>
        <w:rPr>
          <w:rFonts w:ascii="SimSun" w:hAnsi="SimSun" w:eastAsia="SimSun" w:cs="SimSun"/>
          <w:sz w:val="24"/>
          <w:szCs w:val="24"/>
        </w:rPr>
        <w:t xml:space="preserve"> </w:t>
      </w:r>
      <w:r>
        <w:rPr>
          <w:rFonts w:ascii="Times New Roman" w:hAnsi="Times New Roman" w:eastAsia="Times New Roman" w:cs="Times New Roman"/>
          <w:sz w:val="24"/>
          <w:szCs w:val="24"/>
          <w:spacing w:val="-1"/>
        </w:rPr>
        <w:t>0.012t/a</w:t>
      </w:r>
      <w:r>
        <w:rPr>
          <w:rFonts w:ascii="SimSun" w:hAnsi="SimSun" w:eastAsia="SimSun" w:cs="SimSun"/>
          <w:sz w:val="24"/>
          <w:szCs w:val="24"/>
          <w:spacing w:val="-1"/>
        </w:rPr>
        <w:t>；</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24"/>
          <w:szCs w:val="24"/>
          <w:spacing w:val="-1"/>
        </w:rPr>
        <w:t>S </w:t>
      </w:r>
      <w:r>
        <w:rPr>
          <w:rFonts w:ascii="SimSun" w:hAnsi="SimSun" w:eastAsia="SimSun" w:cs="SimSun"/>
          <w:sz w:val="24"/>
          <w:szCs w:val="24"/>
          <w:spacing w:val="-1"/>
        </w:rPr>
        <w:t>排放量为</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0.0012t/a</w:t>
      </w:r>
      <w:r>
        <w:rPr>
          <w:rFonts w:ascii="SimSun" w:hAnsi="SimSun" w:eastAsia="SimSun" w:cs="SimSun"/>
          <w:sz w:val="24"/>
          <w:szCs w:val="24"/>
          <w:spacing w:val="-1"/>
        </w:rPr>
        <w:t>。</w:t>
      </w:r>
    </w:p>
    <w:p>
      <w:pPr>
        <w:ind w:left="504"/>
        <w:spacing w:before="16" w:line="219" w:lineRule="auto"/>
        <w:rPr>
          <w:rFonts w:ascii="SimSun" w:hAnsi="SimSun" w:eastAsia="SimSun" w:cs="SimSun"/>
          <w:sz w:val="24"/>
          <w:szCs w:val="24"/>
        </w:rPr>
      </w:pPr>
      <w:r>
        <w:rPr>
          <w:rFonts w:ascii="SimSun" w:hAnsi="SimSun" w:eastAsia="SimSun" w:cs="SimSun"/>
          <w:sz w:val="24"/>
          <w:szCs w:val="24"/>
          <w:spacing w:val="-1"/>
        </w:rPr>
        <w:t>本项目大气污染源排放分析详见表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3.5-7</w:t>
      </w:r>
      <w:r>
        <w:rPr>
          <w:rFonts w:ascii="SimSun" w:hAnsi="SimSun" w:eastAsia="SimSun" w:cs="SimSun"/>
          <w:sz w:val="24"/>
          <w:szCs w:val="24"/>
          <w:spacing w:val="-1"/>
        </w:rPr>
        <w:t>。</w:t>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21"/>
        <w:spacing w:before="62" w:line="227" w:lineRule="auto"/>
        <w:rPr>
          <w:rFonts w:ascii="SimSun" w:hAnsi="SimSun" w:eastAsia="SimSun" w:cs="SimSun"/>
          <w:sz w:val="19"/>
          <w:szCs w:val="19"/>
        </w:rPr>
      </w:pPr>
      <w:r>
        <w:pict>
          <v:shape id="_x0000_s502" style="position:absolute;margin-left:160.02pt;margin-top:2.11884pt;mso-position-vertical-relative:text;mso-position-horizontal-relative:text;width:58.85pt;height:13.75pt;z-index:25187430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28"/>
                    </w:rPr>
                    <w:t xml:space="preserve">   </w:t>
                  </w:r>
                  <w:r>
                    <w:rPr>
                      <w:rFonts w:ascii="Times New Roman" w:hAnsi="Times New Roman" w:eastAsia="Times New Roman" w:cs="Times New Roman"/>
                      <w:sz w:val="18"/>
                      <w:szCs w:val="18"/>
                      <w:spacing w:val="3"/>
                      <w:position w:val="2"/>
                    </w:rPr>
                    <w:t>97</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06"/>
          <w:pgSz w:w="11907" w:h="16840"/>
          <w:pgMar w:top="1567" w:right="1640" w:bottom="400" w:left="1687" w:header="1221" w:footer="0" w:gutter="0"/>
        </w:sectPr>
        <w:rPr>
          <w:rFonts w:ascii="SimSun" w:hAnsi="SimSun" w:eastAsia="SimSun" w:cs="SimSun"/>
          <w:sz w:val="19"/>
          <w:szCs w:val="19"/>
        </w:rPr>
      </w:pPr>
    </w:p>
    <w:p>
      <w:pPr>
        <w:ind w:left="4920"/>
        <w:spacing w:before="168" w:line="212" w:lineRule="auto"/>
        <w:rPr>
          <w:rFonts w:ascii="SimSun" w:hAnsi="SimSun" w:eastAsia="SimSun" w:cs="SimSun"/>
          <w:sz w:val="24"/>
          <w:szCs w:val="24"/>
        </w:rPr>
      </w:pPr>
      <w:r>
        <w:pict>
          <v:shape id="_x0000_s506" style="position:absolute;margin-left:85.05pt;margin-top:78.87pt;mso-position-vertical-relative:page;mso-position-horizontal-relative:page;width:671.8pt;height:0.75pt;z-index:251876352;" o:allowincell="f" fillcolor="#000000" filled="true" stroked="false" coordsize="13435,15" coordorigin="0,0" path="m,l13435,0l13435,14l0,14l0,0xe"/>
        </w:pict>
      </w:r>
      <w:r>
        <w:rPr>
          <w:rFonts w:ascii="SimSun" w:hAnsi="SimSun" w:eastAsia="SimSun" w:cs="SimSun"/>
          <w:sz w:val="24"/>
          <w:szCs w:val="24"/>
          <w:b/>
          <w:bCs/>
          <w:spacing w:val="-2"/>
        </w:rPr>
        <w:t>表</w:t>
      </w:r>
      <w:r>
        <w:rPr>
          <w:rFonts w:ascii="Times New Roman" w:hAnsi="Times New Roman" w:eastAsia="Times New Roman" w:cs="Times New Roman"/>
          <w:sz w:val="24"/>
          <w:szCs w:val="24"/>
          <w:b/>
          <w:bCs/>
          <w:spacing w:val="-2"/>
        </w:rPr>
        <w:t>3.5-7      </w:t>
      </w:r>
      <w:r>
        <w:rPr>
          <w:rFonts w:ascii="SimSun" w:hAnsi="SimSun" w:eastAsia="SimSun" w:cs="SimSun"/>
          <w:sz w:val="24"/>
          <w:szCs w:val="24"/>
          <w:b/>
          <w:bCs/>
          <w:spacing w:val="-2"/>
        </w:rPr>
        <w:t>本项目大气污染源分析一览表</w:t>
      </w:r>
    </w:p>
    <w:tbl>
      <w:tblPr>
        <w:tblStyle w:val="TableNormal"/>
        <w:tblW w:w="1405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46"/>
        <w:gridCol w:w="1054"/>
        <w:gridCol w:w="582"/>
        <w:gridCol w:w="422"/>
        <w:gridCol w:w="844"/>
        <w:gridCol w:w="661"/>
        <w:gridCol w:w="827"/>
        <w:gridCol w:w="683"/>
        <w:gridCol w:w="709"/>
        <w:gridCol w:w="917"/>
        <w:gridCol w:w="2167"/>
        <w:gridCol w:w="472"/>
        <w:gridCol w:w="641"/>
        <w:gridCol w:w="810"/>
        <w:gridCol w:w="447"/>
        <w:gridCol w:w="924"/>
        <w:gridCol w:w="422"/>
        <w:gridCol w:w="45"/>
        <w:gridCol w:w="447"/>
        <w:gridCol w:w="532"/>
      </w:tblGrid>
      <w:tr>
        <w:trPr>
          <w:trHeight w:val="243" w:hRule="atLeast"/>
        </w:trPr>
        <w:tc>
          <w:tcPr>
            <w:tcW w:w="446" w:type="dxa"/>
            <w:vAlign w:val="top"/>
            <w:vMerge w:val="restart"/>
            <w:tcBorders>
              <w:bottom w:val="nil"/>
            </w:tcBorders>
          </w:tcPr>
          <w:p>
            <w:pPr>
              <w:pStyle w:val="TableText"/>
              <w:ind w:left="48"/>
              <w:spacing w:before="256" w:line="219" w:lineRule="auto"/>
              <w:rPr>
                <w:sz w:val="18"/>
                <w:szCs w:val="18"/>
              </w:rPr>
            </w:pPr>
            <w:r>
              <w:rPr>
                <w:sz w:val="18"/>
                <w:szCs w:val="18"/>
                <w:spacing w:val="-5"/>
              </w:rPr>
              <w:t>编号</w:t>
            </w:r>
          </w:p>
        </w:tc>
        <w:tc>
          <w:tcPr>
            <w:tcW w:w="1054" w:type="dxa"/>
            <w:vAlign w:val="top"/>
            <w:vMerge w:val="restart"/>
            <w:tcBorders>
              <w:bottom w:val="nil"/>
            </w:tcBorders>
          </w:tcPr>
          <w:p>
            <w:pPr>
              <w:pStyle w:val="TableText"/>
              <w:ind w:left="260"/>
              <w:spacing w:before="255" w:line="220" w:lineRule="auto"/>
              <w:rPr>
                <w:sz w:val="18"/>
                <w:szCs w:val="18"/>
              </w:rPr>
            </w:pPr>
            <w:r>
              <w:rPr>
                <w:sz w:val="18"/>
                <w:szCs w:val="18"/>
                <w:spacing w:val="-3"/>
              </w:rPr>
              <w:t>污染源</w:t>
            </w:r>
          </w:p>
        </w:tc>
        <w:tc>
          <w:tcPr>
            <w:tcW w:w="582" w:type="dxa"/>
            <w:vAlign w:val="top"/>
            <w:vMerge w:val="restart"/>
            <w:tcBorders>
              <w:bottom w:val="nil"/>
            </w:tcBorders>
          </w:tcPr>
          <w:p>
            <w:pPr>
              <w:pStyle w:val="TableText"/>
              <w:ind w:left="114"/>
              <w:spacing w:before="256" w:line="219" w:lineRule="auto"/>
              <w:rPr>
                <w:sz w:val="18"/>
                <w:szCs w:val="18"/>
              </w:rPr>
            </w:pPr>
            <w:r>
              <w:rPr>
                <w:sz w:val="18"/>
                <w:szCs w:val="18"/>
                <w:spacing w:val="-4"/>
              </w:rPr>
              <w:t>类型</w:t>
            </w:r>
          </w:p>
        </w:tc>
        <w:tc>
          <w:tcPr>
            <w:tcW w:w="422" w:type="dxa"/>
            <w:vAlign w:val="top"/>
            <w:vMerge w:val="restart"/>
            <w:tcBorders>
              <w:bottom w:val="nil"/>
            </w:tcBorders>
          </w:tcPr>
          <w:p>
            <w:pPr>
              <w:pStyle w:val="TableText"/>
              <w:ind w:left="33"/>
              <w:spacing w:before="140" w:line="221" w:lineRule="auto"/>
              <w:rPr>
                <w:sz w:val="18"/>
                <w:szCs w:val="18"/>
              </w:rPr>
            </w:pPr>
            <w:r>
              <w:rPr>
                <w:sz w:val="18"/>
                <w:szCs w:val="18"/>
                <w:spacing w:val="-4"/>
              </w:rPr>
              <w:t>排放</w:t>
            </w:r>
          </w:p>
          <w:p>
            <w:pPr>
              <w:pStyle w:val="TableText"/>
              <w:ind w:left="34"/>
              <w:spacing w:before="17" w:line="221" w:lineRule="auto"/>
              <w:rPr>
                <w:sz w:val="18"/>
                <w:szCs w:val="18"/>
              </w:rPr>
            </w:pPr>
            <w:r>
              <w:rPr>
                <w:sz w:val="18"/>
                <w:szCs w:val="18"/>
                <w:spacing w:val="-4"/>
              </w:rPr>
              <w:t>方式</w:t>
            </w:r>
          </w:p>
        </w:tc>
        <w:tc>
          <w:tcPr>
            <w:tcW w:w="844" w:type="dxa"/>
            <w:vAlign w:val="top"/>
            <w:vMerge w:val="restart"/>
            <w:tcBorders>
              <w:bottom w:val="nil"/>
            </w:tcBorders>
          </w:tcPr>
          <w:p>
            <w:pPr>
              <w:pStyle w:val="TableText"/>
              <w:ind w:left="157" w:right="60" w:hanging="91"/>
              <w:spacing w:before="140" w:line="241" w:lineRule="auto"/>
              <w:rPr>
                <w:sz w:val="18"/>
                <w:szCs w:val="18"/>
              </w:rPr>
            </w:pPr>
            <w:r>
              <w:rPr>
                <w:sz w:val="18"/>
                <w:szCs w:val="18"/>
                <w:spacing w:val="-3"/>
              </w:rPr>
              <w:t>污染源核</w:t>
            </w:r>
            <w:r>
              <w:rPr>
                <w:sz w:val="18"/>
                <w:szCs w:val="18"/>
                <w:spacing w:val="2"/>
              </w:rPr>
              <w:t xml:space="preserve"> </w:t>
            </w:r>
            <w:r>
              <w:rPr>
                <w:sz w:val="18"/>
                <w:szCs w:val="18"/>
                <w:spacing w:val="-3"/>
              </w:rPr>
              <w:t>算方法</w:t>
            </w:r>
          </w:p>
        </w:tc>
        <w:tc>
          <w:tcPr>
            <w:tcW w:w="3797" w:type="dxa"/>
            <w:vAlign w:val="top"/>
            <w:gridSpan w:val="5"/>
          </w:tcPr>
          <w:p>
            <w:pPr>
              <w:pStyle w:val="TableText"/>
              <w:ind w:left="1363"/>
              <w:spacing w:before="32" w:line="206" w:lineRule="auto"/>
              <w:rPr>
                <w:sz w:val="18"/>
                <w:szCs w:val="18"/>
              </w:rPr>
            </w:pPr>
            <w:r>
              <w:rPr>
                <w:sz w:val="18"/>
                <w:szCs w:val="18"/>
                <w:spacing w:val="-2"/>
              </w:rPr>
              <w:t>污染物的产生</w:t>
            </w:r>
          </w:p>
        </w:tc>
        <w:tc>
          <w:tcPr>
            <w:tcW w:w="2639" w:type="dxa"/>
            <w:vAlign w:val="top"/>
            <w:gridSpan w:val="2"/>
          </w:tcPr>
          <w:p>
            <w:pPr>
              <w:pStyle w:val="TableText"/>
              <w:ind w:left="694"/>
              <w:spacing w:before="32" w:line="206" w:lineRule="auto"/>
              <w:rPr>
                <w:sz w:val="18"/>
                <w:szCs w:val="18"/>
              </w:rPr>
            </w:pPr>
            <w:r>
              <w:rPr>
                <w:sz w:val="18"/>
                <w:szCs w:val="18"/>
                <w:spacing w:val="-2"/>
              </w:rPr>
              <w:t>拟采取治理措施</w:t>
            </w:r>
          </w:p>
        </w:tc>
        <w:tc>
          <w:tcPr>
            <w:tcW w:w="2822" w:type="dxa"/>
            <w:vAlign w:val="top"/>
            <w:gridSpan w:val="4"/>
          </w:tcPr>
          <w:p>
            <w:pPr>
              <w:pStyle w:val="TableText"/>
              <w:ind w:left="877"/>
              <w:spacing w:before="32" w:line="206" w:lineRule="auto"/>
              <w:rPr>
                <w:sz w:val="18"/>
                <w:szCs w:val="18"/>
              </w:rPr>
            </w:pPr>
            <w:r>
              <w:rPr>
                <w:sz w:val="18"/>
                <w:szCs w:val="18"/>
                <w:spacing w:val="-2"/>
              </w:rPr>
              <w:t>污染物的排放</w:t>
            </w:r>
          </w:p>
        </w:tc>
        <w:tc>
          <w:tcPr>
            <w:tcW w:w="1446" w:type="dxa"/>
            <w:vAlign w:val="top"/>
            <w:gridSpan w:val="4"/>
          </w:tcPr>
          <w:p>
            <w:pPr>
              <w:pStyle w:val="TableText"/>
              <w:ind w:left="367"/>
              <w:spacing w:before="32" w:line="206" w:lineRule="auto"/>
              <w:rPr>
                <w:sz w:val="18"/>
                <w:szCs w:val="18"/>
              </w:rPr>
            </w:pPr>
            <w:r>
              <w:rPr>
                <w:sz w:val="18"/>
                <w:szCs w:val="18"/>
                <w:spacing w:val="-2"/>
              </w:rPr>
              <w:t>排放参数</w:t>
            </w:r>
          </w:p>
        </w:tc>
      </w:tr>
      <w:tr>
        <w:trPr>
          <w:trHeight w:val="445" w:hRule="atLeast"/>
        </w:trPr>
        <w:tc>
          <w:tcPr>
            <w:tcW w:w="446" w:type="dxa"/>
            <w:vAlign w:val="top"/>
            <w:vMerge w:val="continue"/>
            <w:tcBorders>
              <w:top w:val="nil"/>
            </w:tcBorders>
          </w:tcPr>
          <w:p>
            <w:pPr>
              <w:rPr>
                <w:rFonts w:ascii="Arial"/>
                <w:sz w:val="21"/>
              </w:rPr>
            </w:pPr>
            <w:r/>
          </w:p>
        </w:tc>
        <w:tc>
          <w:tcPr>
            <w:tcW w:w="1054" w:type="dxa"/>
            <w:vAlign w:val="top"/>
            <w:vMerge w:val="continue"/>
            <w:tcBorders>
              <w:top w:val="nil"/>
            </w:tcBorders>
          </w:tcPr>
          <w:p>
            <w:pPr>
              <w:rPr>
                <w:rFonts w:ascii="Arial"/>
                <w:sz w:val="21"/>
              </w:rPr>
            </w:pPr>
            <w:r/>
          </w:p>
        </w:tc>
        <w:tc>
          <w:tcPr>
            <w:tcW w:w="582" w:type="dxa"/>
            <w:vAlign w:val="top"/>
            <w:vMerge w:val="continue"/>
            <w:tcBorders>
              <w:top w:val="nil"/>
            </w:tcBorders>
          </w:tcPr>
          <w:p>
            <w:pPr>
              <w:rPr>
                <w:rFonts w:ascii="Arial"/>
                <w:sz w:val="21"/>
              </w:rPr>
            </w:pPr>
            <w:r/>
          </w:p>
        </w:tc>
        <w:tc>
          <w:tcPr>
            <w:tcW w:w="422" w:type="dxa"/>
            <w:vAlign w:val="top"/>
            <w:vMerge w:val="continue"/>
            <w:tcBorders>
              <w:top w:val="nil"/>
            </w:tcBorders>
          </w:tcPr>
          <w:p>
            <w:pPr>
              <w:rPr>
                <w:rFonts w:ascii="Arial"/>
                <w:sz w:val="21"/>
              </w:rPr>
            </w:pPr>
            <w:r/>
          </w:p>
        </w:tc>
        <w:tc>
          <w:tcPr>
            <w:tcW w:w="844" w:type="dxa"/>
            <w:vAlign w:val="top"/>
            <w:vMerge w:val="continue"/>
            <w:tcBorders>
              <w:top w:val="nil"/>
            </w:tcBorders>
          </w:tcPr>
          <w:p>
            <w:pPr>
              <w:rPr>
                <w:rFonts w:ascii="Arial"/>
                <w:sz w:val="21"/>
              </w:rPr>
            </w:pPr>
            <w:r/>
          </w:p>
        </w:tc>
        <w:tc>
          <w:tcPr>
            <w:tcW w:w="661" w:type="dxa"/>
            <w:vAlign w:val="top"/>
          </w:tcPr>
          <w:p>
            <w:pPr>
              <w:pStyle w:val="TableText"/>
              <w:ind w:left="89" w:right="59" w:hanging="26"/>
              <w:spacing w:before="27" w:line="222" w:lineRule="auto"/>
              <w:rPr>
                <w:rFonts w:ascii="Times New Roman" w:hAnsi="Times New Roman" w:eastAsia="Times New Roman" w:cs="Times New Roman"/>
                <w:sz w:val="18"/>
                <w:szCs w:val="18"/>
              </w:rPr>
            </w:pPr>
            <w:r>
              <w:rPr>
                <w:sz w:val="18"/>
                <w:szCs w:val="18"/>
                <w:spacing w:val="-3"/>
              </w:rPr>
              <w:t>排气量</w:t>
            </w:r>
            <w:r>
              <w:rPr>
                <w:sz w:val="18"/>
                <w:szCs w:val="18"/>
              </w:rPr>
              <w:t xml:space="preserve"> </w:t>
            </w:r>
            <w:r>
              <w:rPr>
                <w:rFonts w:ascii="Times New Roman" w:hAnsi="Times New Roman" w:eastAsia="Times New Roman" w:cs="Times New Roman"/>
                <w:sz w:val="18"/>
                <w:szCs w:val="18"/>
              </w:rPr>
              <w:t>Nm</w:t>
            </w:r>
            <w:r>
              <w:rPr>
                <w:rFonts w:ascii="Times New Roman" w:hAnsi="Times New Roman" w:eastAsia="Times New Roman" w:cs="Times New Roman"/>
                <w:sz w:val="11"/>
                <w:szCs w:val="11"/>
                <w:spacing w:val="2"/>
                <w:position w:val="5"/>
              </w:rPr>
              <w:t>3</w:t>
            </w:r>
            <w:r>
              <w:rPr>
                <w:rFonts w:ascii="Times New Roman" w:hAnsi="Times New Roman" w:eastAsia="Times New Roman" w:cs="Times New Roman"/>
                <w:sz w:val="18"/>
                <w:szCs w:val="18"/>
                <w:spacing w:val="2"/>
              </w:rPr>
              <w:t>/h</w:t>
            </w:r>
          </w:p>
        </w:tc>
        <w:tc>
          <w:tcPr>
            <w:tcW w:w="827" w:type="dxa"/>
            <w:vAlign w:val="top"/>
          </w:tcPr>
          <w:p>
            <w:pPr>
              <w:pStyle w:val="TableText"/>
              <w:ind w:left="148"/>
              <w:spacing w:before="130" w:line="220" w:lineRule="auto"/>
              <w:rPr>
                <w:sz w:val="18"/>
                <w:szCs w:val="18"/>
              </w:rPr>
            </w:pPr>
            <w:r>
              <w:rPr>
                <w:sz w:val="18"/>
                <w:szCs w:val="18"/>
                <w:spacing w:val="-3"/>
              </w:rPr>
              <w:t>污染物</w:t>
            </w:r>
          </w:p>
        </w:tc>
        <w:tc>
          <w:tcPr>
            <w:tcW w:w="683" w:type="dxa"/>
            <w:vAlign w:val="top"/>
          </w:tcPr>
          <w:p>
            <w:pPr>
              <w:pStyle w:val="TableText"/>
              <w:ind w:left="34" w:right="35" w:firstLine="130"/>
              <w:spacing w:before="27" w:line="222" w:lineRule="auto"/>
              <w:rPr>
                <w:rFonts w:ascii="Times New Roman" w:hAnsi="Times New Roman" w:eastAsia="Times New Roman" w:cs="Times New Roman"/>
                <w:sz w:val="11"/>
                <w:szCs w:val="11"/>
              </w:rPr>
            </w:pPr>
            <w:r>
              <w:rPr>
                <w:sz w:val="18"/>
                <w:szCs w:val="18"/>
                <w:spacing w:val="-4"/>
              </w:rPr>
              <w:t>浓度</w:t>
            </w:r>
            <w:r>
              <w:rPr>
                <w:sz w:val="18"/>
                <w:szCs w:val="18"/>
              </w:rPr>
              <w:t xml:space="preserve">  </w:t>
            </w:r>
            <w:r>
              <w:rPr>
                <w:rFonts w:ascii="Times New Roman" w:hAnsi="Times New Roman" w:eastAsia="Times New Roman" w:cs="Times New Roman"/>
                <w:sz w:val="18"/>
                <w:szCs w:val="18"/>
              </w:rPr>
              <w:t>mg</w:t>
            </w:r>
            <w:r>
              <w:rPr>
                <w:rFonts w:ascii="Times New Roman" w:hAnsi="Times New Roman" w:eastAsia="Times New Roman" w:cs="Times New Roman"/>
                <w:sz w:val="18"/>
                <w:szCs w:val="18"/>
                <w:spacing w:val="1"/>
              </w:rPr>
              <w:t>/</w:t>
            </w:r>
            <w:r>
              <w:rPr>
                <w:rFonts w:ascii="Times New Roman" w:hAnsi="Times New Roman" w:eastAsia="Times New Roman" w:cs="Times New Roman"/>
                <w:sz w:val="18"/>
                <w:szCs w:val="18"/>
              </w:rPr>
              <w:t>Nm</w:t>
            </w:r>
            <w:r>
              <w:rPr>
                <w:rFonts w:ascii="Times New Roman" w:hAnsi="Times New Roman" w:eastAsia="Times New Roman" w:cs="Times New Roman"/>
                <w:sz w:val="11"/>
                <w:szCs w:val="11"/>
                <w:spacing w:val="1"/>
                <w:position w:val="5"/>
              </w:rPr>
              <w:t>3</w:t>
            </w:r>
          </w:p>
        </w:tc>
        <w:tc>
          <w:tcPr>
            <w:tcW w:w="709" w:type="dxa"/>
            <w:vAlign w:val="top"/>
          </w:tcPr>
          <w:p>
            <w:pPr>
              <w:pStyle w:val="TableText"/>
              <w:ind w:left="190" w:right="173" w:hanging="14"/>
              <w:spacing w:before="27" w:line="222" w:lineRule="auto"/>
              <w:rPr>
                <w:rFonts w:ascii="Times New Roman" w:hAnsi="Times New Roman" w:eastAsia="Times New Roman" w:cs="Times New Roman"/>
                <w:sz w:val="18"/>
                <w:szCs w:val="18"/>
              </w:rPr>
            </w:pPr>
            <w:r>
              <w:rPr>
                <w:sz w:val="18"/>
                <w:szCs w:val="18"/>
                <w:spacing w:val="-4"/>
              </w:rPr>
              <w:t>速率</w:t>
            </w:r>
            <w:r>
              <w:rPr>
                <w:sz w:val="18"/>
                <w:szCs w:val="18"/>
              </w:rPr>
              <w:t xml:space="preserve"> </w:t>
            </w:r>
            <w:r>
              <w:rPr>
                <w:rFonts w:ascii="Times New Roman" w:hAnsi="Times New Roman" w:eastAsia="Times New Roman" w:cs="Times New Roman"/>
                <w:sz w:val="18"/>
                <w:szCs w:val="18"/>
                <w:spacing w:val="-1"/>
              </w:rPr>
              <w:t>kg/h</w:t>
            </w:r>
          </w:p>
        </w:tc>
        <w:tc>
          <w:tcPr>
            <w:tcW w:w="917" w:type="dxa"/>
            <w:vAlign w:val="top"/>
          </w:tcPr>
          <w:p>
            <w:pPr>
              <w:pStyle w:val="TableText"/>
              <w:ind w:left="80"/>
              <w:spacing w:before="130" w:line="219" w:lineRule="auto"/>
              <w:rPr>
                <w:rFonts w:ascii="Times New Roman" w:hAnsi="Times New Roman" w:eastAsia="Times New Roman" w:cs="Times New Roman"/>
                <w:sz w:val="18"/>
                <w:szCs w:val="18"/>
              </w:rPr>
            </w:pPr>
            <w:r>
              <w:rPr>
                <w:sz w:val="18"/>
                <w:szCs w:val="18"/>
                <w:spacing w:val="-2"/>
              </w:rPr>
              <w:t>产生量</w:t>
            </w:r>
            <w:r>
              <w:rPr>
                <w:sz w:val="18"/>
                <w:szCs w:val="18"/>
                <w:spacing w:val="-43"/>
              </w:rPr>
              <w:t xml:space="preserve"> </w:t>
            </w:r>
            <w:r>
              <w:rPr>
                <w:rFonts w:ascii="Times New Roman" w:hAnsi="Times New Roman" w:eastAsia="Times New Roman" w:cs="Times New Roman"/>
                <w:sz w:val="18"/>
                <w:szCs w:val="18"/>
                <w:spacing w:val="-2"/>
              </w:rPr>
              <w:t>t/a</w:t>
            </w:r>
          </w:p>
        </w:tc>
        <w:tc>
          <w:tcPr>
            <w:tcW w:w="2167" w:type="dxa"/>
            <w:vAlign w:val="top"/>
          </w:tcPr>
          <w:p>
            <w:pPr>
              <w:pStyle w:val="TableText"/>
              <w:ind w:left="910"/>
              <w:spacing w:before="130" w:line="229" w:lineRule="auto"/>
              <w:rPr>
                <w:sz w:val="18"/>
                <w:szCs w:val="18"/>
              </w:rPr>
            </w:pPr>
            <w:r>
              <w:rPr>
                <w:sz w:val="18"/>
                <w:szCs w:val="18"/>
                <w:spacing w:val="-5"/>
              </w:rPr>
              <w:t>工艺</w:t>
            </w:r>
          </w:p>
        </w:tc>
        <w:tc>
          <w:tcPr>
            <w:tcW w:w="472" w:type="dxa"/>
            <w:vAlign w:val="top"/>
          </w:tcPr>
          <w:p>
            <w:pPr>
              <w:pStyle w:val="TableText"/>
              <w:ind w:left="65"/>
              <w:spacing w:before="27" w:line="219" w:lineRule="auto"/>
              <w:rPr>
                <w:sz w:val="18"/>
                <w:szCs w:val="18"/>
              </w:rPr>
            </w:pPr>
            <w:r>
              <w:rPr>
                <w:sz w:val="18"/>
                <w:szCs w:val="18"/>
                <w:spacing w:val="-6"/>
              </w:rPr>
              <w:t>效率</w:t>
            </w:r>
          </w:p>
          <w:p>
            <w:pPr>
              <w:ind w:left="133"/>
              <w:spacing w:before="3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641" w:type="dxa"/>
            <w:vAlign w:val="top"/>
          </w:tcPr>
          <w:p>
            <w:pPr>
              <w:pStyle w:val="TableText"/>
              <w:ind w:left="15" w:right="14" w:firstLine="127"/>
              <w:spacing w:before="27" w:line="222" w:lineRule="auto"/>
              <w:rPr>
                <w:rFonts w:ascii="Times New Roman" w:hAnsi="Times New Roman" w:eastAsia="Times New Roman" w:cs="Times New Roman"/>
                <w:sz w:val="11"/>
                <w:szCs w:val="11"/>
              </w:rPr>
            </w:pPr>
            <w:r>
              <w:rPr>
                <w:sz w:val="18"/>
                <w:szCs w:val="18"/>
                <w:spacing w:val="-4"/>
              </w:rPr>
              <w:t>浓度</w:t>
            </w:r>
            <w:r>
              <w:rPr>
                <w:sz w:val="18"/>
                <w:szCs w:val="18"/>
              </w:rPr>
              <w:t xml:space="preserve">  </w:t>
            </w:r>
            <w:r>
              <w:rPr>
                <w:rFonts w:ascii="Times New Roman" w:hAnsi="Times New Roman" w:eastAsia="Times New Roman" w:cs="Times New Roman"/>
                <w:sz w:val="18"/>
                <w:szCs w:val="18"/>
              </w:rPr>
              <w:t>mg/Nm</w:t>
            </w:r>
            <w:r>
              <w:rPr>
                <w:rFonts w:ascii="Times New Roman" w:hAnsi="Times New Roman" w:eastAsia="Times New Roman" w:cs="Times New Roman"/>
                <w:sz w:val="11"/>
                <w:szCs w:val="11"/>
                <w:position w:val="5"/>
              </w:rPr>
              <w:t>3</w:t>
            </w:r>
          </w:p>
        </w:tc>
        <w:tc>
          <w:tcPr>
            <w:tcW w:w="810" w:type="dxa"/>
            <w:vAlign w:val="top"/>
          </w:tcPr>
          <w:p>
            <w:pPr>
              <w:pStyle w:val="TableText"/>
              <w:ind w:left="46"/>
              <w:spacing w:before="130" w:line="212" w:lineRule="auto"/>
              <w:rPr>
                <w:rFonts w:ascii="Times New Roman" w:hAnsi="Times New Roman" w:eastAsia="Times New Roman" w:cs="Times New Roman"/>
                <w:sz w:val="18"/>
                <w:szCs w:val="18"/>
              </w:rPr>
            </w:pPr>
            <w:r>
              <w:rPr>
                <w:sz w:val="18"/>
                <w:szCs w:val="18"/>
                <w:spacing w:val="-2"/>
              </w:rPr>
              <w:t>速率</w:t>
            </w:r>
            <w:r>
              <w:rPr>
                <w:sz w:val="18"/>
                <w:szCs w:val="18"/>
                <w:spacing w:val="-45"/>
              </w:rPr>
              <w:t xml:space="preserve"> </w:t>
            </w:r>
            <w:r>
              <w:rPr>
                <w:rFonts w:ascii="Times New Roman" w:hAnsi="Times New Roman" w:eastAsia="Times New Roman" w:cs="Times New Roman"/>
                <w:sz w:val="18"/>
                <w:szCs w:val="18"/>
                <w:spacing w:val="-2"/>
              </w:rPr>
              <w:t>kg/h</w:t>
            </w:r>
          </w:p>
        </w:tc>
        <w:tc>
          <w:tcPr>
            <w:tcW w:w="447" w:type="dxa"/>
            <w:vAlign w:val="top"/>
          </w:tcPr>
          <w:p>
            <w:pPr>
              <w:pStyle w:val="TableText"/>
              <w:ind w:left="112" w:right="40" w:hanging="55"/>
              <w:spacing w:before="27" w:line="222" w:lineRule="auto"/>
              <w:rPr>
                <w:rFonts w:ascii="Times New Roman" w:hAnsi="Times New Roman" w:eastAsia="Times New Roman" w:cs="Times New Roman"/>
                <w:sz w:val="18"/>
                <w:szCs w:val="18"/>
              </w:rPr>
            </w:pPr>
            <w:r>
              <w:rPr>
                <w:sz w:val="18"/>
                <w:szCs w:val="18"/>
                <w:spacing w:val="-8"/>
              </w:rPr>
              <w:t>时间</w:t>
            </w:r>
            <w:r>
              <w:rPr>
                <w:sz w:val="18"/>
                <w:szCs w:val="18"/>
              </w:rPr>
              <w:t xml:space="preserve"> </w:t>
            </w:r>
            <w:r>
              <w:rPr>
                <w:rFonts w:ascii="Times New Roman" w:hAnsi="Times New Roman" w:eastAsia="Times New Roman" w:cs="Times New Roman"/>
                <w:sz w:val="18"/>
                <w:szCs w:val="18"/>
              </w:rPr>
              <w:t>h/a</w:t>
            </w:r>
          </w:p>
        </w:tc>
        <w:tc>
          <w:tcPr>
            <w:tcW w:w="924" w:type="dxa"/>
            <w:vAlign w:val="top"/>
          </w:tcPr>
          <w:p>
            <w:pPr>
              <w:pStyle w:val="TableText"/>
              <w:ind w:left="84"/>
              <w:spacing w:before="129" w:line="221" w:lineRule="auto"/>
              <w:rPr>
                <w:rFonts w:ascii="Times New Roman" w:hAnsi="Times New Roman" w:eastAsia="Times New Roman" w:cs="Times New Roman"/>
                <w:sz w:val="18"/>
                <w:szCs w:val="18"/>
              </w:rPr>
            </w:pPr>
            <w:r>
              <w:rPr>
                <w:sz w:val="18"/>
                <w:szCs w:val="18"/>
                <w:spacing w:val="-2"/>
              </w:rPr>
              <w:t>排放量</w:t>
            </w:r>
            <w:r>
              <w:rPr>
                <w:sz w:val="18"/>
                <w:szCs w:val="18"/>
                <w:spacing w:val="-40"/>
              </w:rPr>
              <w:t xml:space="preserve"> </w:t>
            </w:r>
            <w:r>
              <w:rPr>
                <w:rFonts w:ascii="Times New Roman" w:hAnsi="Times New Roman" w:eastAsia="Times New Roman" w:cs="Times New Roman"/>
                <w:sz w:val="18"/>
                <w:szCs w:val="18"/>
                <w:spacing w:val="-2"/>
              </w:rPr>
              <w:t>t/a</w:t>
            </w:r>
          </w:p>
        </w:tc>
        <w:tc>
          <w:tcPr>
            <w:tcW w:w="422" w:type="dxa"/>
            <w:vAlign w:val="top"/>
          </w:tcPr>
          <w:p>
            <w:pPr>
              <w:pStyle w:val="TableText"/>
              <w:ind w:left="45"/>
              <w:spacing w:before="27" w:line="219" w:lineRule="auto"/>
              <w:rPr>
                <w:sz w:val="18"/>
                <w:szCs w:val="18"/>
              </w:rPr>
            </w:pPr>
            <w:r>
              <w:rPr>
                <w:sz w:val="18"/>
                <w:szCs w:val="18"/>
                <w:spacing w:val="-6"/>
              </w:rPr>
              <w:t>高度</w:t>
            </w:r>
          </w:p>
          <w:p>
            <w:pPr>
              <w:ind w:left="118"/>
              <w:spacing w:before="3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w:t>
            </w:r>
          </w:p>
        </w:tc>
        <w:tc>
          <w:tcPr>
            <w:tcW w:w="492" w:type="dxa"/>
            <w:vAlign w:val="top"/>
            <w:gridSpan w:val="2"/>
          </w:tcPr>
          <w:p>
            <w:pPr>
              <w:pStyle w:val="TableText"/>
              <w:ind w:left="89"/>
              <w:spacing w:before="27" w:line="219" w:lineRule="auto"/>
              <w:rPr>
                <w:sz w:val="18"/>
                <w:szCs w:val="18"/>
              </w:rPr>
            </w:pPr>
            <w:r>
              <w:rPr>
                <w:sz w:val="18"/>
                <w:szCs w:val="18"/>
                <w:spacing w:val="-15"/>
              </w:rPr>
              <w:t>内径</w:t>
            </w:r>
          </w:p>
          <w:p>
            <w:pPr>
              <w:ind w:left="147"/>
              <w:spacing w:before="3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w:t>
            </w:r>
          </w:p>
        </w:tc>
        <w:tc>
          <w:tcPr>
            <w:tcW w:w="532" w:type="dxa"/>
            <w:vAlign w:val="top"/>
          </w:tcPr>
          <w:p>
            <w:pPr>
              <w:pStyle w:val="TableText"/>
              <w:ind w:left="83"/>
              <w:spacing w:before="27" w:line="220" w:lineRule="auto"/>
              <w:rPr>
                <w:sz w:val="18"/>
                <w:szCs w:val="18"/>
              </w:rPr>
            </w:pPr>
            <w:r>
              <w:rPr>
                <w:sz w:val="18"/>
                <w:szCs w:val="18"/>
                <w:spacing w:val="-5"/>
              </w:rPr>
              <w:t>温度</w:t>
            </w:r>
          </w:p>
          <w:p>
            <w:pPr>
              <w:ind w:left="137"/>
              <w:spacing w:before="3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r>
      <w:tr>
        <w:trPr>
          <w:trHeight w:val="1171" w:hRule="atLeast"/>
        </w:trPr>
        <w:tc>
          <w:tcPr>
            <w:tcW w:w="446" w:type="dxa"/>
            <w:vAlign w:val="top"/>
          </w:tcPr>
          <w:p>
            <w:pPr>
              <w:spacing w:line="470" w:lineRule="auto"/>
              <w:rPr>
                <w:rFonts w:ascii="Arial"/>
                <w:sz w:val="21"/>
              </w:rPr>
            </w:pPr>
            <w:r/>
          </w:p>
          <w:p>
            <w:pPr>
              <w:ind w:left="36"/>
              <w:spacing w:before="51" w:line="202" w:lineRule="auto"/>
              <w:rPr>
                <w:rFonts w:ascii="Times New Roman" w:hAnsi="Times New Roman" w:eastAsia="Times New Roman" w:cs="Times New Roman"/>
                <w:sz w:val="11"/>
                <w:szCs w:val="11"/>
              </w:rPr>
            </w:pPr>
            <w:r>
              <w:rPr>
                <w:rFonts w:ascii="Times New Roman" w:hAnsi="Times New Roman" w:eastAsia="Times New Roman" w:cs="Times New Roman"/>
                <w:sz w:val="18"/>
                <w:szCs w:val="18"/>
                <w:spacing w:val="-3"/>
              </w:rPr>
              <w:t>G</w:t>
            </w:r>
            <w:r>
              <w:rPr>
                <w:rFonts w:ascii="Times New Roman" w:hAnsi="Times New Roman" w:eastAsia="Times New Roman" w:cs="Times New Roman"/>
                <w:sz w:val="11"/>
                <w:szCs w:val="11"/>
                <w:spacing w:val="-3"/>
              </w:rPr>
              <w:t>1-</w:t>
            </w:r>
            <w:r>
              <w:rPr>
                <w:rFonts w:ascii="Times New Roman" w:hAnsi="Times New Roman" w:eastAsia="Times New Roman" w:cs="Times New Roman"/>
                <w:sz w:val="11"/>
                <w:szCs w:val="11"/>
                <w:spacing w:val="-11"/>
              </w:rPr>
              <w:t xml:space="preserve"> </w:t>
            </w:r>
            <w:r>
              <w:rPr>
                <w:rFonts w:ascii="Times New Roman" w:hAnsi="Times New Roman" w:eastAsia="Times New Roman" w:cs="Times New Roman"/>
                <w:sz w:val="11"/>
                <w:szCs w:val="11"/>
                <w:spacing w:val="-3"/>
              </w:rPr>
              <w:t>1-</w:t>
            </w:r>
            <w:r>
              <w:rPr>
                <w:rFonts w:ascii="Times New Roman" w:hAnsi="Times New Roman" w:eastAsia="Times New Roman" w:cs="Times New Roman"/>
                <w:sz w:val="11"/>
                <w:szCs w:val="11"/>
                <w:spacing w:val="-14"/>
              </w:rPr>
              <w:t xml:space="preserve"> </w:t>
            </w:r>
            <w:r>
              <w:rPr>
                <w:rFonts w:ascii="Times New Roman" w:hAnsi="Times New Roman" w:eastAsia="Times New Roman" w:cs="Times New Roman"/>
                <w:sz w:val="11"/>
                <w:szCs w:val="11"/>
                <w:spacing w:val="-3"/>
              </w:rPr>
              <w:t>1</w:t>
            </w:r>
          </w:p>
        </w:tc>
        <w:tc>
          <w:tcPr>
            <w:tcW w:w="1054" w:type="dxa"/>
            <w:vAlign w:val="top"/>
          </w:tcPr>
          <w:p>
            <w:pPr>
              <w:pStyle w:val="TableText"/>
              <w:ind w:left="77"/>
              <w:spacing w:before="261" w:line="219" w:lineRule="auto"/>
              <w:rPr>
                <w:sz w:val="18"/>
                <w:szCs w:val="18"/>
              </w:rPr>
            </w:pPr>
            <w:r>
              <w:rPr>
                <w:sz w:val="18"/>
                <w:szCs w:val="18"/>
                <w:spacing w:val="-2"/>
              </w:rPr>
              <w:t>洗毛车间开</w:t>
            </w:r>
          </w:p>
          <w:p>
            <w:pPr>
              <w:pStyle w:val="TableText"/>
              <w:ind w:left="79"/>
              <w:spacing w:before="19" w:line="219" w:lineRule="auto"/>
              <w:rPr>
                <w:sz w:val="18"/>
                <w:szCs w:val="18"/>
              </w:rPr>
            </w:pPr>
            <w:r>
              <w:rPr>
                <w:sz w:val="18"/>
                <w:szCs w:val="18"/>
                <w:spacing w:val="-2"/>
              </w:rPr>
              <w:t>松除杂粉尘</w:t>
            </w:r>
          </w:p>
          <w:p>
            <w:pPr>
              <w:pStyle w:val="TableText"/>
              <w:ind w:left="88"/>
              <w:spacing w:before="19" w:line="219" w:lineRule="auto"/>
              <w:rPr>
                <w:sz w:val="18"/>
                <w:szCs w:val="18"/>
              </w:rPr>
            </w:pPr>
            <w:r>
              <w:rPr>
                <w:sz w:val="18"/>
                <w:szCs w:val="18"/>
                <w:spacing w:val="-4"/>
              </w:rPr>
              <w:t>（东厂区）</w:t>
            </w:r>
          </w:p>
        </w:tc>
        <w:tc>
          <w:tcPr>
            <w:tcW w:w="582" w:type="dxa"/>
            <w:vAlign w:val="top"/>
          </w:tcPr>
          <w:p>
            <w:pPr>
              <w:spacing w:line="432" w:lineRule="auto"/>
              <w:rPr>
                <w:rFonts w:ascii="Arial"/>
                <w:sz w:val="21"/>
              </w:rPr>
            </w:pPr>
            <w:r/>
          </w:p>
          <w:p>
            <w:pPr>
              <w:pStyle w:val="TableText"/>
              <w:ind w:left="26"/>
              <w:spacing w:before="59" w:line="220" w:lineRule="auto"/>
              <w:rPr>
                <w:sz w:val="18"/>
                <w:szCs w:val="18"/>
              </w:rPr>
            </w:pPr>
            <w:r>
              <w:rPr>
                <w:sz w:val="18"/>
                <w:szCs w:val="18"/>
                <w:spacing w:val="-3"/>
              </w:rPr>
              <w:t>有组织</w:t>
            </w:r>
          </w:p>
        </w:tc>
        <w:tc>
          <w:tcPr>
            <w:tcW w:w="422" w:type="dxa"/>
            <w:vAlign w:val="top"/>
          </w:tcPr>
          <w:p>
            <w:pPr>
              <w:spacing w:line="432" w:lineRule="auto"/>
              <w:rPr>
                <w:rFonts w:ascii="Arial"/>
                <w:sz w:val="21"/>
              </w:rPr>
            </w:pPr>
            <w:r/>
          </w:p>
          <w:p>
            <w:pPr>
              <w:pStyle w:val="TableText"/>
              <w:ind w:left="34"/>
              <w:spacing w:before="59" w:line="220" w:lineRule="auto"/>
              <w:rPr>
                <w:sz w:val="18"/>
                <w:szCs w:val="18"/>
              </w:rPr>
            </w:pPr>
            <w:r>
              <w:rPr>
                <w:sz w:val="18"/>
                <w:szCs w:val="18"/>
                <w:spacing w:val="-4"/>
              </w:rPr>
              <w:t>连续</w:t>
            </w:r>
          </w:p>
        </w:tc>
        <w:tc>
          <w:tcPr>
            <w:tcW w:w="844" w:type="dxa"/>
            <w:vAlign w:val="top"/>
          </w:tcPr>
          <w:p>
            <w:pPr>
              <w:spacing w:line="318" w:lineRule="auto"/>
              <w:rPr>
                <w:rFonts w:ascii="Arial"/>
                <w:sz w:val="21"/>
              </w:rPr>
            </w:pPr>
            <w:r/>
          </w:p>
          <w:p>
            <w:pPr>
              <w:pStyle w:val="TableText"/>
              <w:ind w:left="65"/>
              <w:spacing w:before="58" w:line="219" w:lineRule="auto"/>
              <w:rPr>
                <w:sz w:val="18"/>
                <w:szCs w:val="18"/>
              </w:rPr>
            </w:pPr>
            <w:r>
              <w:rPr>
                <w:sz w:val="18"/>
                <w:szCs w:val="18"/>
                <w:spacing w:val="-2"/>
              </w:rPr>
              <w:t>物料衡算</w:t>
            </w:r>
          </w:p>
          <w:p>
            <w:pPr>
              <w:pStyle w:val="TableText"/>
              <w:ind w:left="337"/>
              <w:spacing w:before="19" w:line="225" w:lineRule="auto"/>
              <w:rPr>
                <w:sz w:val="18"/>
                <w:szCs w:val="18"/>
              </w:rPr>
            </w:pPr>
            <w:r>
              <w:rPr>
                <w:sz w:val="18"/>
                <w:szCs w:val="18"/>
              </w:rPr>
              <w:t>法</w:t>
            </w:r>
          </w:p>
        </w:tc>
        <w:tc>
          <w:tcPr>
            <w:tcW w:w="661" w:type="dxa"/>
            <w:vAlign w:val="top"/>
          </w:tcPr>
          <w:p>
            <w:pPr>
              <w:spacing w:line="470" w:lineRule="auto"/>
              <w:rPr>
                <w:rFonts w:ascii="Arial"/>
                <w:sz w:val="21"/>
              </w:rPr>
            </w:pPr>
            <w:r/>
          </w:p>
          <w:p>
            <w:pPr>
              <w:ind w:left="14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2000</w:t>
            </w:r>
          </w:p>
        </w:tc>
        <w:tc>
          <w:tcPr>
            <w:tcW w:w="827" w:type="dxa"/>
            <w:vAlign w:val="top"/>
          </w:tcPr>
          <w:p>
            <w:pPr>
              <w:spacing w:line="432" w:lineRule="auto"/>
              <w:rPr>
                <w:rFonts w:ascii="Arial"/>
                <w:sz w:val="21"/>
              </w:rPr>
            </w:pPr>
            <w:r/>
          </w:p>
          <w:p>
            <w:pPr>
              <w:pStyle w:val="TableText"/>
              <w:ind w:left="146"/>
              <w:spacing w:before="59" w:line="220" w:lineRule="auto"/>
              <w:rPr>
                <w:sz w:val="18"/>
                <w:szCs w:val="18"/>
              </w:rPr>
            </w:pPr>
            <w:r>
              <w:rPr>
                <w:sz w:val="18"/>
                <w:szCs w:val="18"/>
                <w:spacing w:val="-3"/>
              </w:rPr>
              <w:t>颗粒物</w:t>
            </w:r>
          </w:p>
        </w:tc>
        <w:tc>
          <w:tcPr>
            <w:tcW w:w="683" w:type="dxa"/>
            <w:vAlign w:val="top"/>
          </w:tcPr>
          <w:p>
            <w:pPr>
              <w:spacing w:line="470" w:lineRule="auto"/>
              <w:rPr>
                <w:rFonts w:ascii="Arial"/>
                <w:sz w:val="21"/>
              </w:rPr>
            </w:pPr>
            <w:r/>
          </w:p>
          <w:p>
            <w:pPr>
              <w:ind w:left="14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5.208</w:t>
            </w:r>
          </w:p>
        </w:tc>
        <w:tc>
          <w:tcPr>
            <w:tcW w:w="709" w:type="dxa"/>
            <w:vAlign w:val="top"/>
          </w:tcPr>
          <w:p>
            <w:pPr>
              <w:spacing w:line="470" w:lineRule="auto"/>
              <w:rPr>
                <w:rFonts w:ascii="Arial"/>
                <w:sz w:val="21"/>
              </w:rPr>
            </w:pPr>
            <w:r/>
          </w:p>
          <w:p>
            <w:pPr>
              <w:ind w:left="10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0.0104</w:t>
            </w:r>
          </w:p>
        </w:tc>
        <w:tc>
          <w:tcPr>
            <w:tcW w:w="917" w:type="dxa"/>
            <w:vAlign w:val="top"/>
          </w:tcPr>
          <w:p>
            <w:pPr>
              <w:spacing w:line="470" w:lineRule="auto"/>
              <w:rPr>
                <w:rFonts w:ascii="Arial"/>
                <w:sz w:val="21"/>
              </w:rPr>
            </w:pPr>
            <w:r/>
          </w:p>
          <w:p>
            <w:pPr>
              <w:ind w:left="26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0.075</w:t>
            </w:r>
          </w:p>
        </w:tc>
        <w:tc>
          <w:tcPr>
            <w:tcW w:w="2167" w:type="dxa"/>
            <w:vAlign w:val="top"/>
          </w:tcPr>
          <w:p>
            <w:pPr>
              <w:pStyle w:val="TableText"/>
              <w:spacing w:before="27" w:line="219" w:lineRule="auto"/>
              <w:jc w:val="right"/>
              <w:rPr>
                <w:sz w:val="18"/>
                <w:szCs w:val="18"/>
              </w:rPr>
            </w:pPr>
            <w:r>
              <w:rPr>
                <w:sz w:val="18"/>
                <w:szCs w:val="18"/>
                <w:spacing w:val="-1"/>
              </w:rPr>
              <w:t>经一套布袋除尘器处理后，</w:t>
            </w:r>
          </w:p>
          <w:p>
            <w:pPr>
              <w:pStyle w:val="TableText"/>
              <w:ind w:left="162"/>
              <w:spacing w:before="19" w:line="219" w:lineRule="auto"/>
              <w:rPr>
                <w:sz w:val="18"/>
                <w:szCs w:val="18"/>
              </w:rPr>
            </w:pPr>
            <w:r>
              <w:rPr>
                <w:sz w:val="18"/>
                <w:szCs w:val="18"/>
                <w:spacing w:val="-4"/>
              </w:rPr>
              <w:t>通过</w:t>
            </w:r>
            <w:r>
              <w:rPr>
                <w:sz w:val="18"/>
                <w:szCs w:val="18"/>
                <w:spacing w:val="-21"/>
              </w:rPr>
              <w:t xml:space="preserve"> </w:t>
            </w:r>
            <w:r>
              <w:rPr>
                <w:rFonts w:ascii="Times New Roman" w:hAnsi="Times New Roman" w:eastAsia="Times New Roman" w:cs="Times New Roman"/>
                <w:sz w:val="18"/>
                <w:szCs w:val="18"/>
                <w:spacing w:val="-4"/>
              </w:rPr>
              <w:t>15m</w:t>
            </w:r>
            <w:r>
              <w:rPr>
                <w:rFonts w:ascii="Times New Roman" w:hAnsi="Times New Roman" w:eastAsia="Times New Roman" w:cs="Times New Roman"/>
                <w:sz w:val="18"/>
                <w:szCs w:val="18"/>
                <w:spacing w:val="12"/>
              </w:rPr>
              <w:t xml:space="preserve"> </w:t>
            </w:r>
            <w:r>
              <w:rPr>
                <w:sz w:val="18"/>
                <w:szCs w:val="18"/>
                <w:spacing w:val="-4"/>
              </w:rPr>
              <w:t>高排气筒排放</w:t>
            </w:r>
          </w:p>
          <w:p>
            <w:pPr>
              <w:pStyle w:val="TableText"/>
              <w:ind w:left="23"/>
              <w:spacing w:before="19" w:line="219" w:lineRule="auto"/>
              <w:rPr>
                <w:sz w:val="18"/>
                <w:szCs w:val="18"/>
              </w:rPr>
            </w:pPr>
            <w:r>
              <w:rPr>
                <w:sz w:val="18"/>
                <w:szCs w:val="18"/>
                <w:spacing w:val="-2"/>
              </w:rPr>
              <w:t>（</w:t>
            </w:r>
            <w:r>
              <w:rPr>
                <w:rFonts w:ascii="Times New Roman" w:hAnsi="Times New Roman" w:eastAsia="Times New Roman" w:cs="Times New Roman"/>
                <w:sz w:val="18"/>
                <w:szCs w:val="18"/>
                <w:spacing w:val="-2"/>
              </w:rPr>
              <w:t>DA001</w:t>
            </w:r>
            <w:r>
              <w:rPr>
                <w:sz w:val="18"/>
                <w:szCs w:val="18"/>
                <w:spacing w:val="2"/>
              </w:rPr>
              <w:t>），</w:t>
            </w:r>
            <w:r>
              <w:rPr>
                <w:sz w:val="18"/>
                <w:szCs w:val="18"/>
                <w:spacing w:val="-2"/>
              </w:rPr>
              <w:t>集气罩收集效</w:t>
            </w:r>
          </w:p>
          <w:p>
            <w:pPr>
              <w:pStyle w:val="TableText"/>
              <w:ind w:left="9"/>
              <w:spacing w:before="21" w:line="219" w:lineRule="auto"/>
              <w:rPr>
                <w:sz w:val="18"/>
                <w:szCs w:val="18"/>
              </w:rPr>
            </w:pPr>
            <w:r>
              <w:rPr>
                <w:sz w:val="18"/>
                <w:szCs w:val="18"/>
                <w:spacing w:val="-3"/>
              </w:rPr>
              <w:t>率</w:t>
            </w:r>
            <w:r>
              <w:rPr>
                <w:sz w:val="18"/>
                <w:szCs w:val="18"/>
                <w:spacing w:val="-33"/>
              </w:rPr>
              <w:t xml:space="preserve"> </w:t>
            </w:r>
            <w:r>
              <w:rPr>
                <w:rFonts w:ascii="Times New Roman" w:hAnsi="Times New Roman" w:eastAsia="Times New Roman" w:cs="Times New Roman"/>
                <w:sz w:val="18"/>
                <w:szCs w:val="18"/>
                <w:spacing w:val="-3"/>
              </w:rPr>
              <w:t>90%</w:t>
            </w:r>
            <w:r>
              <w:rPr>
                <w:sz w:val="18"/>
                <w:szCs w:val="18"/>
                <w:spacing w:val="-3"/>
              </w:rPr>
              <w:t>，布袋除尘器除尘效</w:t>
            </w:r>
          </w:p>
          <w:p>
            <w:pPr>
              <w:pStyle w:val="TableText"/>
              <w:ind w:left="720"/>
              <w:spacing w:before="19" w:line="204" w:lineRule="auto"/>
              <w:rPr>
                <w:sz w:val="18"/>
                <w:szCs w:val="18"/>
              </w:rPr>
            </w:pPr>
            <w:r>
              <w:rPr>
                <w:sz w:val="18"/>
                <w:szCs w:val="18"/>
                <w:spacing w:val="-4"/>
              </w:rPr>
              <w:t>率</w:t>
            </w:r>
            <w:r>
              <w:rPr>
                <w:sz w:val="18"/>
                <w:szCs w:val="18"/>
                <w:spacing w:val="-34"/>
              </w:rPr>
              <w:t xml:space="preserve"> </w:t>
            </w:r>
            <w:r>
              <w:rPr>
                <w:rFonts w:ascii="Times New Roman" w:hAnsi="Times New Roman" w:eastAsia="Times New Roman" w:cs="Times New Roman"/>
                <w:sz w:val="18"/>
                <w:szCs w:val="18"/>
                <w:spacing w:val="-4"/>
              </w:rPr>
              <w:t>99%</w:t>
            </w:r>
            <w:r>
              <w:rPr>
                <w:sz w:val="18"/>
                <w:szCs w:val="18"/>
                <w:spacing w:val="-4"/>
              </w:rPr>
              <w:t>。</w:t>
            </w:r>
          </w:p>
        </w:tc>
        <w:tc>
          <w:tcPr>
            <w:tcW w:w="472" w:type="dxa"/>
            <w:vAlign w:val="top"/>
          </w:tcPr>
          <w:p>
            <w:pPr>
              <w:spacing w:line="470" w:lineRule="auto"/>
              <w:rPr>
                <w:rFonts w:ascii="Arial"/>
                <w:sz w:val="21"/>
              </w:rPr>
            </w:pPr>
            <w:r/>
          </w:p>
          <w:p>
            <w:pPr>
              <w:ind w:left="1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99</w:t>
            </w:r>
          </w:p>
        </w:tc>
        <w:tc>
          <w:tcPr>
            <w:tcW w:w="641" w:type="dxa"/>
            <w:vAlign w:val="top"/>
          </w:tcPr>
          <w:p>
            <w:pPr>
              <w:spacing w:line="470" w:lineRule="auto"/>
              <w:rPr>
                <w:rFonts w:ascii="Arial"/>
                <w:sz w:val="21"/>
              </w:rPr>
            </w:pPr>
            <w:r/>
          </w:p>
          <w:p>
            <w:pPr>
              <w:ind w:left="121"/>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0.052</w:t>
            </w:r>
          </w:p>
        </w:tc>
        <w:tc>
          <w:tcPr>
            <w:tcW w:w="810" w:type="dxa"/>
            <w:vAlign w:val="top"/>
          </w:tcPr>
          <w:p>
            <w:pPr>
              <w:spacing w:line="470" w:lineRule="auto"/>
              <w:rPr>
                <w:rFonts w:ascii="Arial"/>
                <w:sz w:val="21"/>
              </w:rPr>
            </w:pPr>
            <w:r/>
          </w:p>
          <w:p>
            <w:pPr>
              <w:ind w:left="162"/>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0.0001</w:t>
            </w:r>
          </w:p>
        </w:tc>
        <w:tc>
          <w:tcPr>
            <w:tcW w:w="447" w:type="dxa"/>
            <w:vAlign w:val="top"/>
          </w:tcPr>
          <w:p>
            <w:pPr>
              <w:spacing w:line="470" w:lineRule="auto"/>
              <w:rPr>
                <w:rFonts w:ascii="Arial"/>
                <w:sz w:val="21"/>
              </w:rPr>
            </w:pPr>
            <w:r/>
          </w:p>
          <w:p>
            <w:pPr>
              <w:ind w:left="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7200</w:t>
            </w:r>
          </w:p>
        </w:tc>
        <w:tc>
          <w:tcPr>
            <w:tcW w:w="924" w:type="dxa"/>
            <w:vAlign w:val="top"/>
          </w:tcPr>
          <w:p>
            <w:pPr>
              <w:spacing w:line="470" w:lineRule="auto"/>
              <w:rPr>
                <w:rFonts w:ascii="Arial"/>
                <w:sz w:val="21"/>
              </w:rPr>
            </w:pPr>
            <w:r/>
          </w:p>
          <w:p>
            <w:pPr>
              <w:ind w:left="17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0.00067</w:t>
            </w:r>
          </w:p>
        </w:tc>
        <w:tc>
          <w:tcPr>
            <w:tcW w:w="422" w:type="dxa"/>
            <w:vAlign w:val="top"/>
          </w:tcPr>
          <w:p>
            <w:pPr>
              <w:spacing w:line="470" w:lineRule="auto"/>
              <w:rPr>
                <w:rFonts w:ascii="Arial"/>
                <w:sz w:val="21"/>
              </w:rPr>
            </w:pPr>
            <w:r/>
          </w:p>
          <w:p>
            <w:pPr>
              <w:ind w:left="141"/>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492" w:type="dxa"/>
            <w:vAlign w:val="top"/>
            <w:gridSpan w:val="2"/>
          </w:tcPr>
          <w:p>
            <w:pPr>
              <w:spacing w:line="470" w:lineRule="auto"/>
              <w:rPr>
                <w:rFonts w:ascii="Arial"/>
                <w:sz w:val="21"/>
              </w:rPr>
            </w:pPr>
            <w:r/>
          </w:p>
          <w:p>
            <w:pPr>
              <w:ind w:left="132"/>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0.2</w:t>
            </w:r>
          </w:p>
        </w:tc>
        <w:tc>
          <w:tcPr>
            <w:tcW w:w="532" w:type="dxa"/>
            <w:vAlign w:val="top"/>
          </w:tcPr>
          <w:p>
            <w:pPr>
              <w:spacing w:line="470" w:lineRule="auto"/>
              <w:rPr>
                <w:rFonts w:ascii="Arial"/>
                <w:sz w:val="21"/>
              </w:rPr>
            </w:pPr>
            <w:r/>
          </w:p>
          <w:p>
            <w:pPr>
              <w:ind w:left="17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25</w:t>
            </w:r>
          </w:p>
        </w:tc>
      </w:tr>
      <w:tr>
        <w:trPr>
          <w:trHeight w:val="1171" w:hRule="atLeast"/>
        </w:trPr>
        <w:tc>
          <w:tcPr>
            <w:tcW w:w="446" w:type="dxa"/>
            <w:vAlign w:val="top"/>
          </w:tcPr>
          <w:p>
            <w:pPr>
              <w:spacing w:line="472" w:lineRule="auto"/>
              <w:rPr>
                <w:rFonts w:ascii="Arial"/>
                <w:sz w:val="21"/>
              </w:rPr>
            </w:pPr>
            <w:r/>
          </w:p>
          <w:p>
            <w:pPr>
              <w:ind w:left="36"/>
              <w:spacing w:before="52" w:line="199" w:lineRule="auto"/>
              <w:rPr>
                <w:rFonts w:ascii="Times New Roman" w:hAnsi="Times New Roman" w:eastAsia="Times New Roman" w:cs="Times New Roman"/>
                <w:sz w:val="11"/>
                <w:szCs w:val="11"/>
              </w:rPr>
            </w:pPr>
            <w:r>
              <w:rPr>
                <w:rFonts w:ascii="Times New Roman" w:hAnsi="Times New Roman" w:eastAsia="Times New Roman" w:cs="Times New Roman"/>
                <w:sz w:val="18"/>
                <w:szCs w:val="18"/>
                <w:spacing w:val="-2"/>
              </w:rPr>
              <w:t>G</w:t>
            </w:r>
            <w:r>
              <w:rPr>
                <w:rFonts w:ascii="Times New Roman" w:hAnsi="Times New Roman" w:eastAsia="Times New Roman" w:cs="Times New Roman"/>
                <w:sz w:val="11"/>
                <w:szCs w:val="11"/>
                <w:spacing w:val="-2"/>
              </w:rPr>
              <w:t>1-</w:t>
            </w:r>
            <w:r>
              <w:rPr>
                <w:rFonts w:ascii="Times New Roman" w:hAnsi="Times New Roman" w:eastAsia="Times New Roman" w:cs="Times New Roman"/>
                <w:sz w:val="11"/>
                <w:szCs w:val="11"/>
                <w:spacing w:val="-14"/>
              </w:rPr>
              <w:t xml:space="preserve"> </w:t>
            </w:r>
            <w:r>
              <w:rPr>
                <w:rFonts w:ascii="Times New Roman" w:hAnsi="Times New Roman" w:eastAsia="Times New Roman" w:cs="Times New Roman"/>
                <w:sz w:val="11"/>
                <w:szCs w:val="11"/>
                <w:spacing w:val="-2"/>
              </w:rPr>
              <w:t>1-2</w:t>
            </w:r>
          </w:p>
        </w:tc>
        <w:tc>
          <w:tcPr>
            <w:tcW w:w="1054" w:type="dxa"/>
            <w:vAlign w:val="top"/>
          </w:tcPr>
          <w:p>
            <w:pPr>
              <w:pStyle w:val="TableText"/>
              <w:ind w:left="77"/>
              <w:spacing w:before="263" w:line="219" w:lineRule="auto"/>
              <w:rPr>
                <w:sz w:val="18"/>
                <w:szCs w:val="18"/>
              </w:rPr>
            </w:pPr>
            <w:r>
              <w:rPr>
                <w:sz w:val="18"/>
                <w:szCs w:val="18"/>
                <w:spacing w:val="-2"/>
              </w:rPr>
              <w:t>洗毛车间开</w:t>
            </w:r>
          </w:p>
          <w:p>
            <w:pPr>
              <w:pStyle w:val="TableText"/>
              <w:ind w:left="79"/>
              <w:spacing w:before="19" w:line="219" w:lineRule="auto"/>
              <w:rPr>
                <w:sz w:val="18"/>
                <w:szCs w:val="18"/>
              </w:rPr>
            </w:pPr>
            <w:r>
              <w:rPr>
                <w:sz w:val="18"/>
                <w:szCs w:val="18"/>
                <w:spacing w:val="-2"/>
              </w:rPr>
              <w:t>松除杂粉尘</w:t>
            </w:r>
          </w:p>
          <w:p>
            <w:pPr>
              <w:pStyle w:val="TableText"/>
              <w:ind w:left="88"/>
              <w:spacing w:before="19" w:line="220" w:lineRule="auto"/>
              <w:rPr>
                <w:sz w:val="18"/>
                <w:szCs w:val="18"/>
              </w:rPr>
            </w:pPr>
            <w:r>
              <w:rPr>
                <w:sz w:val="18"/>
                <w:szCs w:val="18"/>
                <w:spacing w:val="-4"/>
              </w:rPr>
              <w:t>（西厂区）</w:t>
            </w:r>
          </w:p>
        </w:tc>
        <w:tc>
          <w:tcPr>
            <w:tcW w:w="582" w:type="dxa"/>
            <w:vAlign w:val="top"/>
          </w:tcPr>
          <w:p>
            <w:pPr>
              <w:spacing w:line="435" w:lineRule="auto"/>
              <w:rPr>
                <w:rFonts w:ascii="Arial"/>
                <w:sz w:val="21"/>
              </w:rPr>
            </w:pPr>
            <w:r/>
          </w:p>
          <w:p>
            <w:pPr>
              <w:pStyle w:val="TableText"/>
              <w:ind w:left="26"/>
              <w:spacing w:before="58" w:line="220" w:lineRule="auto"/>
              <w:rPr>
                <w:sz w:val="18"/>
                <w:szCs w:val="18"/>
              </w:rPr>
            </w:pPr>
            <w:r>
              <w:rPr>
                <w:sz w:val="18"/>
                <w:szCs w:val="18"/>
                <w:spacing w:val="-3"/>
              </w:rPr>
              <w:t>有组织</w:t>
            </w:r>
          </w:p>
        </w:tc>
        <w:tc>
          <w:tcPr>
            <w:tcW w:w="422" w:type="dxa"/>
            <w:vAlign w:val="top"/>
          </w:tcPr>
          <w:p>
            <w:pPr>
              <w:spacing w:line="435" w:lineRule="auto"/>
              <w:rPr>
                <w:rFonts w:ascii="Arial"/>
                <w:sz w:val="21"/>
              </w:rPr>
            </w:pPr>
            <w:r/>
          </w:p>
          <w:p>
            <w:pPr>
              <w:pStyle w:val="TableText"/>
              <w:ind w:left="34"/>
              <w:spacing w:before="58" w:line="220" w:lineRule="auto"/>
              <w:rPr>
                <w:sz w:val="18"/>
                <w:szCs w:val="18"/>
              </w:rPr>
            </w:pPr>
            <w:r>
              <w:rPr>
                <w:sz w:val="18"/>
                <w:szCs w:val="18"/>
                <w:spacing w:val="-4"/>
              </w:rPr>
              <w:t>连续</w:t>
            </w:r>
          </w:p>
        </w:tc>
        <w:tc>
          <w:tcPr>
            <w:tcW w:w="844" w:type="dxa"/>
            <w:vAlign w:val="top"/>
          </w:tcPr>
          <w:p>
            <w:pPr>
              <w:spacing w:line="318" w:lineRule="auto"/>
              <w:rPr>
                <w:rFonts w:ascii="Arial"/>
                <w:sz w:val="21"/>
              </w:rPr>
            </w:pPr>
            <w:r/>
          </w:p>
          <w:p>
            <w:pPr>
              <w:pStyle w:val="TableText"/>
              <w:ind w:left="65"/>
              <w:spacing w:before="58" w:line="219" w:lineRule="auto"/>
              <w:rPr>
                <w:sz w:val="18"/>
                <w:szCs w:val="18"/>
              </w:rPr>
            </w:pPr>
            <w:r>
              <w:rPr>
                <w:sz w:val="18"/>
                <w:szCs w:val="18"/>
                <w:spacing w:val="-2"/>
              </w:rPr>
              <w:t>物料衡算</w:t>
            </w:r>
          </w:p>
          <w:p>
            <w:pPr>
              <w:pStyle w:val="TableText"/>
              <w:ind w:left="337"/>
              <w:spacing w:before="19" w:line="225" w:lineRule="auto"/>
              <w:rPr>
                <w:sz w:val="18"/>
                <w:szCs w:val="18"/>
              </w:rPr>
            </w:pPr>
            <w:r>
              <w:rPr>
                <w:sz w:val="18"/>
                <w:szCs w:val="18"/>
              </w:rPr>
              <w:t>法</w:t>
            </w:r>
          </w:p>
        </w:tc>
        <w:tc>
          <w:tcPr>
            <w:tcW w:w="661" w:type="dxa"/>
            <w:vAlign w:val="top"/>
          </w:tcPr>
          <w:p>
            <w:pPr>
              <w:spacing w:line="472" w:lineRule="auto"/>
              <w:rPr>
                <w:rFonts w:ascii="Arial"/>
                <w:sz w:val="21"/>
              </w:rPr>
            </w:pPr>
            <w:r/>
          </w:p>
          <w:p>
            <w:pPr>
              <w:ind w:left="14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2000</w:t>
            </w:r>
          </w:p>
        </w:tc>
        <w:tc>
          <w:tcPr>
            <w:tcW w:w="827" w:type="dxa"/>
            <w:vAlign w:val="top"/>
          </w:tcPr>
          <w:p>
            <w:pPr>
              <w:spacing w:line="435" w:lineRule="auto"/>
              <w:rPr>
                <w:rFonts w:ascii="Arial"/>
                <w:sz w:val="21"/>
              </w:rPr>
            </w:pPr>
            <w:r/>
          </w:p>
          <w:p>
            <w:pPr>
              <w:pStyle w:val="TableText"/>
              <w:ind w:left="146"/>
              <w:spacing w:before="58" w:line="220" w:lineRule="auto"/>
              <w:rPr>
                <w:sz w:val="18"/>
                <w:szCs w:val="18"/>
              </w:rPr>
            </w:pPr>
            <w:r>
              <w:rPr>
                <w:sz w:val="18"/>
                <w:szCs w:val="18"/>
                <w:spacing w:val="-3"/>
              </w:rPr>
              <w:t>颗粒物</w:t>
            </w:r>
          </w:p>
        </w:tc>
        <w:tc>
          <w:tcPr>
            <w:tcW w:w="683" w:type="dxa"/>
            <w:vAlign w:val="top"/>
          </w:tcPr>
          <w:p>
            <w:pPr>
              <w:spacing w:line="472" w:lineRule="auto"/>
              <w:rPr>
                <w:rFonts w:ascii="Arial"/>
                <w:sz w:val="21"/>
              </w:rPr>
            </w:pPr>
            <w:r/>
          </w:p>
          <w:p>
            <w:pPr>
              <w:ind w:left="14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5.208</w:t>
            </w:r>
          </w:p>
        </w:tc>
        <w:tc>
          <w:tcPr>
            <w:tcW w:w="709" w:type="dxa"/>
            <w:vAlign w:val="top"/>
          </w:tcPr>
          <w:p>
            <w:pPr>
              <w:spacing w:line="472" w:lineRule="auto"/>
              <w:rPr>
                <w:rFonts w:ascii="Arial"/>
                <w:sz w:val="21"/>
              </w:rPr>
            </w:pPr>
            <w:r/>
          </w:p>
          <w:p>
            <w:pPr>
              <w:ind w:left="10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0.0104</w:t>
            </w:r>
          </w:p>
        </w:tc>
        <w:tc>
          <w:tcPr>
            <w:tcW w:w="917" w:type="dxa"/>
            <w:vAlign w:val="top"/>
          </w:tcPr>
          <w:p>
            <w:pPr>
              <w:spacing w:line="472" w:lineRule="auto"/>
              <w:rPr>
                <w:rFonts w:ascii="Arial"/>
                <w:sz w:val="21"/>
              </w:rPr>
            </w:pPr>
            <w:r/>
          </w:p>
          <w:p>
            <w:pPr>
              <w:ind w:left="26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0.075</w:t>
            </w:r>
          </w:p>
        </w:tc>
        <w:tc>
          <w:tcPr>
            <w:tcW w:w="2167" w:type="dxa"/>
            <w:vAlign w:val="top"/>
          </w:tcPr>
          <w:p>
            <w:pPr>
              <w:pStyle w:val="TableText"/>
              <w:spacing w:before="27" w:line="219" w:lineRule="auto"/>
              <w:jc w:val="right"/>
              <w:rPr>
                <w:sz w:val="18"/>
                <w:szCs w:val="18"/>
              </w:rPr>
            </w:pPr>
            <w:r>
              <w:rPr>
                <w:sz w:val="18"/>
                <w:szCs w:val="18"/>
                <w:spacing w:val="-1"/>
              </w:rPr>
              <w:t>经一套布袋除尘器处理后，</w:t>
            </w:r>
          </w:p>
          <w:p>
            <w:pPr>
              <w:pStyle w:val="TableText"/>
              <w:ind w:left="162"/>
              <w:spacing w:before="22" w:line="219" w:lineRule="auto"/>
              <w:rPr>
                <w:sz w:val="18"/>
                <w:szCs w:val="18"/>
              </w:rPr>
            </w:pPr>
            <w:r>
              <w:rPr>
                <w:sz w:val="18"/>
                <w:szCs w:val="18"/>
                <w:spacing w:val="-4"/>
              </w:rPr>
              <w:t>通过</w:t>
            </w:r>
            <w:r>
              <w:rPr>
                <w:sz w:val="18"/>
                <w:szCs w:val="18"/>
                <w:spacing w:val="-21"/>
              </w:rPr>
              <w:t xml:space="preserve"> </w:t>
            </w:r>
            <w:r>
              <w:rPr>
                <w:rFonts w:ascii="Times New Roman" w:hAnsi="Times New Roman" w:eastAsia="Times New Roman" w:cs="Times New Roman"/>
                <w:sz w:val="18"/>
                <w:szCs w:val="18"/>
                <w:spacing w:val="-4"/>
              </w:rPr>
              <w:t>15m</w:t>
            </w:r>
            <w:r>
              <w:rPr>
                <w:rFonts w:ascii="Times New Roman" w:hAnsi="Times New Roman" w:eastAsia="Times New Roman" w:cs="Times New Roman"/>
                <w:sz w:val="18"/>
                <w:szCs w:val="18"/>
                <w:spacing w:val="12"/>
              </w:rPr>
              <w:t xml:space="preserve"> </w:t>
            </w:r>
            <w:r>
              <w:rPr>
                <w:sz w:val="18"/>
                <w:szCs w:val="18"/>
                <w:spacing w:val="-4"/>
              </w:rPr>
              <w:t>高排气筒排放</w:t>
            </w:r>
          </w:p>
          <w:p>
            <w:pPr>
              <w:pStyle w:val="TableText"/>
              <w:ind w:left="23"/>
              <w:spacing w:before="19" w:line="219" w:lineRule="auto"/>
              <w:rPr>
                <w:sz w:val="18"/>
                <w:szCs w:val="18"/>
              </w:rPr>
            </w:pPr>
            <w:r>
              <w:rPr>
                <w:sz w:val="18"/>
                <w:szCs w:val="18"/>
                <w:spacing w:val="-2"/>
              </w:rPr>
              <w:t>（</w:t>
            </w:r>
            <w:r>
              <w:rPr>
                <w:rFonts w:ascii="Times New Roman" w:hAnsi="Times New Roman" w:eastAsia="Times New Roman" w:cs="Times New Roman"/>
                <w:sz w:val="18"/>
                <w:szCs w:val="18"/>
                <w:spacing w:val="-2"/>
              </w:rPr>
              <w:t>DA002</w:t>
            </w:r>
            <w:r>
              <w:rPr>
                <w:sz w:val="18"/>
                <w:szCs w:val="18"/>
                <w:spacing w:val="2"/>
              </w:rPr>
              <w:t>），</w:t>
            </w:r>
            <w:r>
              <w:rPr>
                <w:sz w:val="18"/>
                <w:szCs w:val="18"/>
                <w:spacing w:val="-2"/>
              </w:rPr>
              <w:t>集气罩收集效</w:t>
            </w:r>
          </w:p>
          <w:p>
            <w:pPr>
              <w:pStyle w:val="TableText"/>
              <w:ind w:left="9"/>
              <w:spacing w:before="18" w:line="219" w:lineRule="auto"/>
              <w:rPr>
                <w:sz w:val="18"/>
                <w:szCs w:val="18"/>
              </w:rPr>
            </w:pPr>
            <w:r>
              <w:rPr>
                <w:sz w:val="18"/>
                <w:szCs w:val="18"/>
                <w:spacing w:val="-3"/>
              </w:rPr>
              <w:t>率</w:t>
            </w:r>
            <w:r>
              <w:rPr>
                <w:sz w:val="18"/>
                <w:szCs w:val="18"/>
                <w:spacing w:val="-33"/>
              </w:rPr>
              <w:t xml:space="preserve"> </w:t>
            </w:r>
            <w:r>
              <w:rPr>
                <w:rFonts w:ascii="Times New Roman" w:hAnsi="Times New Roman" w:eastAsia="Times New Roman" w:cs="Times New Roman"/>
                <w:sz w:val="18"/>
                <w:szCs w:val="18"/>
                <w:spacing w:val="-3"/>
              </w:rPr>
              <w:t>90%</w:t>
            </w:r>
            <w:r>
              <w:rPr>
                <w:sz w:val="18"/>
                <w:szCs w:val="18"/>
                <w:spacing w:val="-3"/>
              </w:rPr>
              <w:t>，布袋除尘器除尘效</w:t>
            </w:r>
          </w:p>
          <w:p>
            <w:pPr>
              <w:pStyle w:val="TableText"/>
              <w:ind w:left="720"/>
              <w:spacing w:before="19" w:line="204" w:lineRule="auto"/>
              <w:rPr>
                <w:sz w:val="18"/>
                <w:szCs w:val="18"/>
              </w:rPr>
            </w:pPr>
            <w:r>
              <w:rPr>
                <w:sz w:val="18"/>
                <w:szCs w:val="18"/>
                <w:spacing w:val="-4"/>
              </w:rPr>
              <w:t>率</w:t>
            </w:r>
            <w:r>
              <w:rPr>
                <w:sz w:val="18"/>
                <w:szCs w:val="18"/>
                <w:spacing w:val="-34"/>
              </w:rPr>
              <w:t xml:space="preserve"> </w:t>
            </w:r>
            <w:r>
              <w:rPr>
                <w:rFonts w:ascii="Times New Roman" w:hAnsi="Times New Roman" w:eastAsia="Times New Roman" w:cs="Times New Roman"/>
                <w:sz w:val="18"/>
                <w:szCs w:val="18"/>
                <w:spacing w:val="-4"/>
              </w:rPr>
              <w:t>99%</w:t>
            </w:r>
            <w:r>
              <w:rPr>
                <w:sz w:val="18"/>
                <w:szCs w:val="18"/>
                <w:spacing w:val="-4"/>
              </w:rPr>
              <w:t>。</w:t>
            </w:r>
          </w:p>
        </w:tc>
        <w:tc>
          <w:tcPr>
            <w:tcW w:w="472" w:type="dxa"/>
            <w:vAlign w:val="top"/>
          </w:tcPr>
          <w:p>
            <w:pPr>
              <w:spacing w:line="472" w:lineRule="auto"/>
              <w:rPr>
                <w:rFonts w:ascii="Arial"/>
                <w:sz w:val="21"/>
              </w:rPr>
            </w:pPr>
            <w:r/>
          </w:p>
          <w:p>
            <w:pPr>
              <w:ind w:left="1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99</w:t>
            </w:r>
          </w:p>
        </w:tc>
        <w:tc>
          <w:tcPr>
            <w:tcW w:w="641" w:type="dxa"/>
            <w:vAlign w:val="top"/>
          </w:tcPr>
          <w:p>
            <w:pPr>
              <w:spacing w:line="472" w:lineRule="auto"/>
              <w:rPr>
                <w:rFonts w:ascii="Arial"/>
                <w:sz w:val="21"/>
              </w:rPr>
            </w:pPr>
            <w:r/>
          </w:p>
          <w:p>
            <w:pPr>
              <w:ind w:left="121"/>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0.052</w:t>
            </w:r>
          </w:p>
        </w:tc>
        <w:tc>
          <w:tcPr>
            <w:tcW w:w="810" w:type="dxa"/>
            <w:vAlign w:val="top"/>
          </w:tcPr>
          <w:p>
            <w:pPr>
              <w:spacing w:line="472" w:lineRule="auto"/>
              <w:rPr>
                <w:rFonts w:ascii="Arial"/>
                <w:sz w:val="21"/>
              </w:rPr>
            </w:pPr>
            <w:r/>
          </w:p>
          <w:p>
            <w:pPr>
              <w:ind w:left="162"/>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0.0001</w:t>
            </w:r>
          </w:p>
        </w:tc>
        <w:tc>
          <w:tcPr>
            <w:tcW w:w="447" w:type="dxa"/>
            <w:vAlign w:val="top"/>
          </w:tcPr>
          <w:p>
            <w:pPr>
              <w:spacing w:line="472" w:lineRule="auto"/>
              <w:rPr>
                <w:rFonts w:ascii="Arial"/>
                <w:sz w:val="21"/>
              </w:rPr>
            </w:pPr>
            <w:r/>
          </w:p>
          <w:p>
            <w:pPr>
              <w:ind w:left="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7200</w:t>
            </w:r>
          </w:p>
        </w:tc>
        <w:tc>
          <w:tcPr>
            <w:tcW w:w="924" w:type="dxa"/>
            <w:vAlign w:val="top"/>
          </w:tcPr>
          <w:p>
            <w:pPr>
              <w:spacing w:line="472" w:lineRule="auto"/>
              <w:rPr>
                <w:rFonts w:ascii="Arial"/>
                <w:sz w:val="21"/>
              </w:rPr>
            </w:pPr>
            <w:r/>
          </w:p>
          <w:p>
            <w:pPr>
              <w:ind w:left="17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0.00067</w:t>
            </w:r>
          </w:p>
        </w:tc>
        <w:tc>
          <w:tcPr>
            <w:tcW w:w="422" w:type="dxa"/>
            <w:vAlign w:val="top"/>
          </w:tcPr>
          <w:p>
            <w:pPr>
              <w:spacing w:line="472" w:lineRule="auto"/>
              <w:rPr>
                <w:rFonts w:ascii="Arial"/>
                <w:sz w:val="21"/>
              </w:rPr>
            </w:pPr>
            <w:r/>
          </w:p>
          <w:p>
            <w:pPr>
              <w:ind w:left="141"/>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492" w:type="dxa"/>
            <w:vAlign w:val="top"/>
            <w:gridSpan w:val="2"/>
          </w:tcPr>
          <w:p>
            <w:pPr>
              <w:spacing w:line="472" w:lineRule="auto"/>
              <w:rPr>
                <w:rFonts w:ascii="Arial"/>
                <w:sz w:val="21"/>
              </w:rPr>
            </w:pPr>
            <w:r/>
          </w:p>
          <w:p>
            <w:pPr>
              <w:ind w:left="132"/>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0.2</w:t>
            </w:r>
          </w:p>
        </w:tc>
        <w:tc>
          <w:tcPr>
            <w:tcW w:w="532" w:type="dxa"/>
            <w:vAlign w:val="top"/>
          </w:tcPr>
          <w:p>
            <w:pPr>
              <w:spacing w:line="472" w:lineRule="auto"/>
              <w:rPr>
                <w:rFonts w:ascii="Arial"/>
                <w:sz w:val="21"/>
              </w:rPr>
            </w:pPr>
            <w:r/>
          </w:p>
          <w:p>
            <w:pPr>
              <w:ind w:left="17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25</w:t>
            </w:r>
          </w:p>
        </w:tc>
      </w:tr>
      <w:tr>
        <w:trPr>
          <w:trHeight w:val="433" w:hRule="atLeast"/>
        </w:trPr>
        <w:tc>
          <w:tcPr>
            <w:tcW w:w="446" w:type="dxa"/>
            <w:vAlign w:val="top"/>
            <w:vMerge w:val="restart"/>
            <w:tcBorders>
              <w:bottom w:val="nil"/>
            </w:tcBorders>
          </w:tcPr>
          <w:p>
            <w:pPr>
              <w:spacing w:line="269" w:lineRule="auto"/>
              <w:rPr>
                <w:rFonts w:ascii="Arial"/>
                <w:sz w:val="21"/>
              </w:rPr>
            </w:pPr>
            <w:r/>
          </w:p>
          <w:p>
            <w:pPr>
              <w:ind w:left="84"/>
              <w:spacing w:before="52" w:line="204" w:lineRule="auto"/>
              <w:rPr>
                <w:rFonts w:ascii="Times New Roman" w:hAnsi="Times New Roman" w:eastAsia="Times New Roman" w:cs="Times New Roman"/>
                <w:sz w:val="11"/>
                <w:szCs w:val="11"/>
              </w:rPr>
            </w:pPr>
            <w:r>
              <w:rPr>
                <w:rFonts w:ascii="Times New Roman" w:hAnsi="Times New Roman" w:eastAsia="Times New Roman" w:cs="Times New Roman"/>
                <w:sz w:val="18"/>
                <w:szCs w:val="18"/>
                <w:spacing w:val="-1"/>
              </w:rPr>
              <w:t>G</w:t>
            </w:r>
            <w:r>
              <w:rPr>
                <w:rFonts w:ascii="Times New Roman" w:hAnsi="Times New Roman" w:eastAsia="Times New Roman" w:cs="Times New Roman"/>
                <w:sz w:val="11"/>
                <w:szCs w:val="11"/>
                <w:spacing w:val="-1"/>
              </w:rPr>
              <w:t>1-3</w:t>
            </w:r>
          </w:p>
        </w:tc>
        <w:tc>
          <w:tcPr>
            <w:tcW w:w="1054" w:type="dxa"/>
            <w:vAlign w:val="top"/>
            <w:vMerge w:val="restart"/>
            <w:tcBorders>
              <w:bottom w:val="nil"/>
            </w:tcBorders>
          </w:tcPr>
          <w:p>
            <w:pPr>
              <w:pStyle w:val="TableText"/>
              <w:ind w:left="6" w:firstLine="70"/>
              <w:spacing w:before="176" w:line="241" w:lineRule="auto"/>
              <w:rPr>
                <w:sz w:val="18"/>
                <w:szCs w:val="18"/>
              </w:rPr>
            </w:pPr>
            <w:r>
              <w:rPr>
                <w:sz w:val="18"/>
                <w:szCs w:val="18"/>
                <w:spacing w:val="-4"/>
              </w:rPr>
              <w:t>洗毛恶臭气</w:t>
            </w:r>
            <w:r>
              <w:rPr>
                <w:sz w:val="18"/>
                <w:szCs w:val="18"/>
              </w:rPr>
              <w:t xml:space="preserve">  </w:t>
            </w:r>
            <w:r>
              <w:rPr>
                <w:sz w:val="18"/>
                <w:szCs w:val="18"/>
                <w:spacing w:val="-7"/>
              </w:rPr>
              <w:t>体（东厂区）</w:t>
            </w:r>
          </w:p>
        </w:tc>
        <w:tc>
          <w:tcPr>
            <w:tcW w:w="582" w:type="dxa"/>
            <w:vAlign w:val="top"/>
            <w:vMerge w:val="restart"/>
            <w:tcBorders>
              <w:bottom w:val="nil"/>
            </w:tcBorders>
          </w:tcPr>
          <w:p>
            <w:pPr>
              <w:pStyle w:val="TableText"/>
              <w:ind w:left="26"/>
              <w:spacing w:before="292" w:line="220" w:lineRule="auto"/>
              <w:rPr>
                <w:sz w:val="18"/>
                <w:szCs w:val="18"/>
              </w:rPr>
            </w:pPr>
            <w:r>
              <w:rPr>
                <w:sz w:val="18"/>
                <w:szCs w:val="18"/>
                <w:spacing w:val="-3"/>
              </w:rPr>
              <w:t>无组织</w:t>
            </w:r>
          </w:p>
        </w:tc>
        <w:tc>
          <w:tcPr>
            <w:tcW w:w="422" w:type="dxa"/>
            <w:vAlign w:val="top"/>
            <w:vMerge w:val="restart"/>
            <w:tcBorders>
              <w:bottom w:val="nil"/>
            </w:tcBorders>
          </w:tcPr>
          <w:p>
            <w:pPr>
              <w:pStyle w:val="TableText"/>
              <w:ind w:left="34"/>
              <w:spacing w:before="292" w:line="220" w:lineRule="auto"/>
              <w:rPr>
                <w:sz w:val="18"/>
                <w:szCs w:val="18"/>
              </w:rPr>
            </w:pPr>
            <w:r>
              <w:rPr>
                <w:sz w:val="18"/>
                <w:szCs w:val="18"/>
                <w:spacing w:val="-4"/>
              </w:rPr>
              <w:t>连续</w:t>
            </w:r>
          </w:p>
        </w:tc>
        <w:tc>
          <w:tcPr>
            <w:tcW w:w="844" w:type="dxa"/>
            <w:vAlign w:val="top"/>
            <w:vMerge w:val="restart"/>
            <w:tcBorders>
              <w:bottom w:val="nil"/>
            </w:tcBorders>
          </w:tcPr>
          <w:p>
            <w:pPr>
              <w:pStyle w:val="TableText"/>
              <w:ind w:left="65"/>
              <w:spacing w:before="292" w:line="219" w:lineRule="auto"/>
              <w:rPr>
                <w:sz w:val="18"/>
                <w:szCs w:val="18"/>
              </w:rPr>
            </w:pPr>
            <w:r>
              <w:rPr>
                <w:sz w:val="18"/>
                <w:szCs w:val="18"/>
                <w:spacing w:val="-2"/>
              </w:rPr>
              <w:t>产物系数</w:t>
            </w:r>
          </w:p>
        </w:tc>
        <w:tc>
          <w:tcPr>
            <w:tcW w:w="661" w:type="dxa"/>
            <w:vAlign w:val="top"/>
            <w:vMerge w:val="restart"/>
            <w:tcBorders>
              <w:bottom w:val="nil"/>
            </w:tcBorders>
          </w:tcPr>
          <w:p>
            <w:pPr>
              <w:spacing w:line="270" w:lineRule="auto"/>
              <w:rPr>
                <w:rFonts w:ascii="Arial"/>
                <w:sz w:val="21"/>
              </w:rPr>
            </w:pPr>
            <w:r/>
          </w:p>
          <w:p>
            <w:pPr>
              <w:ind w:left="14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2000</w:t>
            </w:r>
          </w:p>
        </w:tc>
        <w:tc>
          <w:tcPr>
            <w:tcW w:w="827" w:type="dxa"/>
            <w:vAlign w:val="top"/>
          </w:tcPr>
          <w:p>
            <w:pPr>
              <w:ind w:left="248"/>
              <w:spacing w:before="160" w:line="190" w:lineRule="auto"/>
              <w:rPr>
                <w:rFonts w:ascii="Times New Roman" w:hAnsi="Times New Roman" w:eastAsia="Times New Roman" w:cs="Times New Roman"/>
                <w:sz w:val="11"/>
                <w:szCs w:val="11"/>
              </w:rPr>
            </w:pPr>
            <w:r>
              <w:rPr>
                <w:rFonts w:ascii="Times New Roman" w:hAnsi="Times New Roman" w:eastAsia="Times New Roman" w:cs="Times New Roman"/>
                <w:sz w:val="18"/>
                <w:szCs w:val="18"/>
              </w:rPr>
              <w:t>NH</w:t>
            </w:r>
            <w:r>
              <w:rPr>
                <w:rFonts w:ascii="Times New Roman" w:hAnsi="Times New Roman" w:eastAsia="Times New Roman" w:cs="Times New Roman"/>
                <w:sz w:val="11"/>
                <w:szCs w:val="11"/>
                <w:spacing w:val="3"/>
                <w:position w:val="-1"/>
              </w:rPr>
              <w:t>3</w:t>
            </w:r>
          </w:p>
        </w:tc>
        <w:tc>
          <w:tcPr>
            <w:tcW w:w="683" w:type="dxa"/>
            <w:vAlign w:val="top"/>
          </w:tcPr>
          <w:p>
            <w:pPr>
              <w:ind w:left="313"/>
              <w:spacing w:before="154"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709" w:type="dxa"/>
            <w:vAlign w:val="top"/>
          </w:tcPr>
          <w:p>
            <w:pPr>
              <w:ind w:left="64"/>
              <w:spacing w:before="15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0.00083</w:t>
            </w:r>
          </w:p>
        </w:tc>
        <w:tc>
          <w:tcPr>
            <w:tcW w:w="917" w:type="dxa"/>
            <w:vAlign w:val="top"/>
          </w:tcPr>
          <w:p>
            <w:pPr>
              <w:ind w:left="260"/>
              <w:spacing w:before="15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0.006</w:t>
            </w:r>
          </w:p>
        </w:tc>
        <w:tc>
          <w:tcPr>
            <w:tcW w:w="2167" w:type="dxa"/>
            <w:vAlign w:val="top"/>
            <w:vMerge w:val="restart"/>
            <w:tcBorders>
              <w:bottom w:val="nil"/>
            </w:tcBorders>
          </w:tcPr>
          <w:p>
            <w:pPr>
              <w:pStyle w:val="TableText"/>
              <w:ind w:left="15"/>
              <w:spacing w:before="176" w:line="219" w:lineRule="auto"/>
              <w:rPr>
                <w:rFonts w:ascii="Times New Roman" w:hAnsi="Times New Roman" w:eastAsia="Times New Roman" w:cs="Times New Roman"/>
                <w:sz w:val="18"/>
                <w:szCs w:val="18"/>
              </w:rPr>
            </w:pPr>
            <w:r>
              <w:rPr>
                <w:sz w:val="18"/>
                <w:szCs w:val="18"/>
                <w:spacing w:val="-6"/>
              </w:rPr>
              <w:t>喷洒生物除臭剂，</w:t>
            </w:r>
            <w:r>
              <w:rPr>
                <w:rFonts w:ascii="Times New Roman" w:hAnsi="Times New Roman" w:eastAsia="Times New Roman" w:cs="Times New Roman"/>
                <w:sz w:val="18"/>
                <w:szCs w:val="18"/>
                <w:spacing w:val="-6"/>
              </w:rPr>
              <w:t>NH</w:t>
            </w:r>
            <w:r>
              <w:rPr>
                <w:rFonts w:ascii="Times New Roman" w:hAnsi="Times New Roman" w:eastAsia="Times New Roman" w:cs="Times New Roman"/>
                <w:sz w:val="11"/>
                <w:szCs w:val="11"/>
                <w:spacing w:val="-6"/>
                <w:position w:val="-1"/>
              </w:rPr>
              <w:t>3</w:t>
            </w:r>
            <w:r>
              <w:rPr>
                <w:sz w:val="18"/>
                <w:szCs w:val="18"/>
                <w:spacing w:val="-6"/>
              </w:rPr>
              <w:t>、</w:t>
            </w:r>
            <w:r>
              <w:rPr>
                <w:rFonts w:ascii="Times New Roman" w:hAnsi="Times New Roman" w:eastAsia="Times New Roman" w:cs="Times New Roman"/>
                <w:sz w:val="18"/>
                <w:szCs w:val="18"/>
                <w:spacing w:val="-6"/>
              </w:rPr>
              <w:t>H</w:t>
            </w:r>
            <w:r>
              <w:rPr>
                <w:rFonts w:ascii="Times New Roman" w:hAnsi="Times New Roman" w:eastAsia="Times New Roman" w:cs="Times New Roman"/>
                <w:sz w:val="11"/>
                <w:szCs w:val="11"/>
                <w:spacing w:val="-6"/>
                <w:position w:val="-1"/>
              </w:rPr>
              <w:t>2</w:t>
            </w:r>
            <w:r>
              <w:rPr>
                <w:rFonts w:ascii="Times New Roman" w:hAnsi="Times New Roman" w:eastAsia="Times New Roman" w:cs="Times New Roman"/>
                <w:sz w:val="18"/>
                <w:szCs w:val="18"/>
                <w:spacing w:val="-6"/>
              </w:rPr>
              <w:t>S</w:t>
            </w:r>
          </w:p>
          <w:p>
            <w:pPr>
              <w:pStyle w:val="TableText"/>
              <w:ind w:left="373"/>
              <w:spacing w:before="19" w:line="219" w:lineRule="auto"/>
              <w:rPr>
                <w:sz w:val="18"/>
                <w:szCs w:val="18"/>
              </w:rPr>
            </w:pPr>
            <w:r>
              <w:rPr>
                <w:sz w:val="18"/>
                <w:szCs w:val="18"/>
                <w:spacing w:val="-4"/>
              </w:rPr>
              <w:t>的去除效率</w:t>
            </w:r>
            <w:r>
              <w:rPr>
                <w:sz w:val="18"/>
                <w:szCs w:val="18"/>
                <w:spacing w:val="-32"/>
              </w:rPr>
              <w:t xml:space="preserve"> </w:t>
            </w:r>
            <w:r>
              <w:rPr>
                <w:rFonts w:ascii="Times New Roman" w:hAnsi="Times New Roman" w:eastAsia="Times New Roman" w:cs="Times New Roman"/>
                <w:sz w:val="18"/>
                <w:szCs w:val="18"/>
                <w:spacing w:val="-4"/>
              </w:rPr>
              <w:t>60%</w:t>
            </w:r>
            <w:r>
              <w:rPr>
                <w:sz w:val="18"/>
                <w:szCs w:val="18"/>
                <w:spacing w:val="-4"/>
              </w:rPr>
              <w:t>。</w:t>
            </w:r>
          </w:p>
        </w:tc>
        <w:tc>
          <w:tcPr>
            <w:tcW w:w="472" w:type="dxa"/>
            <w:vAlign w:val="top"/>
          </w:tcPr>
          <w:p>
            <w:pPr>
              <w:ind w:left="150"/>
              <w:spacing w:before="15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60</w:t>
            </w:r>
          </w:p>
        </w:tc>
        <w:tc>
          <w:tcPr>
            <w:tcW w:w="641" w:type="dxa"/>
            <w:vAlign w:val="top"/>
          </w:tcPr>
          <w:p>
            <w:pPr>
              <w:ind w:left="292"/>
              <w:spacing w:before="154"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810" w:type="dxa"/>
            <w:vAlign w:val="top"/>
          </w:tcPr>
          <w:p>
            <w:pPr>
              <w:ind w:left="116"/>
              <w:spacing w:before="15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0.00033</w:t>
            </w:r>
          </w:p>
        </w:tc>
        <w:tc>
          <w:tcPr>
            <w:tcW w:w="447" w:type="dxa"/>
            <w:vAlign w:val="top"/>
            <w:vMerge w:val="restart"/>
            <w:tcBorders>
              <w:bottom w:val="nil"/>
            </w:tcBorders>
          </w:tcPr>
          <w:p>
            <w:pPr>
              <w:spacing w:line="270" w:lineRule="auto"/>
              <w:rPr>
                <w:rFonts w:ascii="Arial"/>
                <w:sz w:val="21"/>
              </w:rPr>
            </w:pPr>
            <w:r/>
          </w:p>
          <w:p>
            <w:pPr>
              <w:ind w:left="48"/>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7200</w:t>
            </w:r>
          </w:p>
        </w:tc>
        <w:tc>
          <w:tcPr>
            <w:tcW w:w="924" w:type="dxa"/>
            <w:vAlign w:val="top"/>
          </w:tcPr>
          <w:p>
            <w:pPr>
              <w:ind w:left="218"/>
              <w:spacing w:before="15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0.0024</w:t>
            </w:r>
          </w:p>
        </w:tc>
        <w:tc>
          <w:tcPr>
            <w:tcW w:w="1446" w:type="dxa"/>
            <w:vAlign w:val="top"/>
            <w:gridSpan w:val="4"/>
            <w:vMerge w:val="restart"/>
            <w:tcBorders>
              <w:bottom w:val="nil"/>
            </w:tcBorders>
          </w:tcPr>
          <w:p>
            <w:pPr>
              <w:pStyle w:val="TableText"/>
              <w:ind w:left="452" w:right="5" w:hanging="442"/>
              <w:spacing w:before="177" w:line="241"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60m×25m</w:t>
            </w:r>
            <w:r>
              <w:rPr>
                <w:sz w:val="18"/>
                <w:szCs w:val="18"/>
                <w:spacing w:val="-4"/>
              </w:rPr>
              <w:t>，排放高</w:t>
            </w:r>
            <w:r>
              <w:rPr>
                <w:sz w:val="18"/>
                <w:szCs w:val="18"/>
                <w:spacing w:val="6"/>
              </w:rPr>
              <w:t xml:space="preserve"> </w:t>
            </w:r>
            <w:r>
              <w:rPr>
                <w:sz w:val="18"/>
                <w:szCs w:val="18"/>
                <w:spacing w:val="-7"/>
              </w:rPr>
              <w:t>度</w:t>
            </w:r>
            <w:r>
              <w:rPr>
                <w:sz w:val="18"/>
                <w:szCs w:val="18"/>
                <w:spacing w:val="-23"/>
              </w:rPr>
              <w:t xml:space="preserve"> </w:t>
            </w:r>
            <w:r>
              <w:rPr>
                <w:rFonts w:ascii="Times New Roman" w:hAnsi="Times New Roman" w:eastAsia="Times New Roman" w:cs="Times New Roman"/>
                <w:sz w:val="18"/>
                <w:szCs w:val="18"/>
                <w:spacing w:val="-7"/>
              </w:rPr>
              <w:t>10m</w:t>
            </w:r>
          </w:p>
        </w:tc>
      </w:tr>
      <w:tr>
        <w:trPr>
          <w:trHeight w:val="328" w:hRule="atLeast"/>
        </w:trPr>
        <w:tc>
          <w:tcPr>
            <w:tcW w:w="446" w:type="dxa"/>
            <w:vAlign w:val="top"/>
            <w:vMerge w:val="continue"/>
            <w:tcBorders>
              <w:top w:val="nil"/>
            </w:tcBorders>
          </w:tcPr>
          <w:p>
            <w:pPr>
              <w:rPr>
                <w:rFonts w:ascii="Arial"/>
                <w:sz w:val="21"/>
              </w:rPr>
            </w:pPr>
            <w:r/>
          </w:p>
        </w:tc>
        <w:tc>
          <w:tcPr>
            <w:tcW w:w="1054" w:type="dxa"/>
            <w:vAlign w:val="top"/>
            <w:vMerge w:val="continue"/>
            <w:tcBorders>
              <w:top w:val="nil"/>
            </w:tcBorders>
          </w:tcPr>
          <w:p>
            <w:pPr>
              <w:rPr>
                <w:rFonts w:ascii="Arial"/>
                <w:sz w:val="21"/>
              </w:rPr>
            </w:pPr>
            <w:r/>
          </w:p>
        </w:tc>
        <w:tc>
          <w:tcPr>
            <w:tcW w:w="582" w:type="dxa"/>
            <w:vAlign w:val="top"/>
            <w:vMerge w:val="continue"/>
            <w:tcBorders>
              <w:top w:val="nil"/>
            </w:tcBorders>
          </w:tcPr>
          <w:p>
            <w:pPr>
              <w:rPr>
                <w:rFonts w:ascii="Arial"/>
                <w:sz w:val="21"/>
              </w:rPr>
            </w:pPr>
            <w:r/>
          </w:p>
        </w:tc>
        <w:tc>
          <w:tcPr>
            <w:tcW w:w="422" w:type="dxa"/>
            <w:vAlign w:val="top"/>
            <w:vMerge w:val="continue"/>
            <w:tcBorders>
              <w:top w:val="nil"/>
            </w:tcBorders>
          </w:tcPr>
          <w:p>
            <w:pPr>
              <w:rPr>
                <w:rFonts w:ascii="Arial"/>
                <w:sz w:val="21"/>
              </w:rPr>
            </w:pPr>
            <w:r/>
          </w:p>
        </w:tc>
        <w:tc>
          <w:tcPr>
            <w:tcW w:w="844" w:type="dxa"/>
            <w:vAlign w:val="top"/>
            <w:vMerge w:val="continue"/>
            <w:tcBorders>
              <w:top w:val="nil"/>
            </w:tcBorders>
          </w:tcPr>
          <w:p>
            <w:pPr>
              <w:rPr>
                <w:rFonts w:ascii="Arial"/>
                <w:sz w:val="21"/>
              </w:rPr>
            </w:pPr>
            <w:r/>
          </w:p>
        </w:tc>
        <w:tc>
          <w:tcPr>
            <w:tcW w:w="661" w:type="dxa"/>
            <w:vAlign w:val="top"/>
            <w:vMerge w:val="continue"/>
            <w:tcBorders>
              <w:top w:val="nil"/>
            </w:tcBorders>
          </w:tcPr>
          <w:p>
            <w:pPr>
              <w:rPr>
                <w:rFonts w:ascii="Arial"/>
                <w:sz w:val="21"/>
              </w:rPr>
            </w:pPr>
            <w:r/>
          </w:p>
        </w:tc>
        <w:tc>
          <w:tcPr>
            <w:tcW w:w="827" w:type="dxa"/>
            <w:vAlign w:val="top"/>
          </w:tcPr>
          <w:p>
            <w:pPr>
              <w:ind w:left="267"/>
              <w:spacing w:before="105" w:line="194"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H</w:t>
            </w:r>
            <w:r>
              <w:rPr>
                <w:rFonts w:ascii="Times New Roman" w:hAnsi="Times New Roman" w:eastAsia="Times New Roman" w:cs="Times New Roman"/>
                <w:sz w:val="11"/>
                <w:szCs w:val="11"/>
                <w:spacing w:val="-1"/>
                <w:position w:val="-1"/>
              </w:rPr>
              <w:t>2</w:t>
            </w:r>
            <w:r>
              <w:rPr>
                <w:rFonts w:ascii="Times New Roman" w:hAnsi="Times New Roman" w:eastAsia="Times New Roman" w:cs="Times New Roman"/>
                <w:sz w:val="18"/>
                <w:szCs w:val="18"/>
                <w:spacing w:val="-1"/>
              </w:rPr>
              <w:t>S</w:t>
            </w:r>
          </w:p>
        </w:tc>
        <w:tc>
          <w:tcPr>
            <w:tcW w:w="683" w:type="dxa"/>
            <w:vAlign w:val="top"/>
          </w:tcPr>
          <w:p>
            <w:pPr>
              <w:ind w:left="313"/>
              <w:spacing w:before="102"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709" w:type="dxa"/>
            <w:vAlign w:val="top"/>
          </w:tcPr>
          <w:p>
            <w:pPr>
              <w:ind w:left="21"/>
              <w:spacing w:before="10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0.000054</w:t>
            </w:r>
          </w:p>
        </w:tc>
        <w:tc>
          <w:tcPr>
            <w:tcW w:w="917" w:type="dxa"/>
            <w:vAlign w:val="top"/>
          </w:tcPr>
          <w:p>
            <w:pPr>
              <w:ind w:left="168"/>
              <w:spacing w:before="10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0.00039</w:t>
            </w:r>
          </w:p>
        </w:tc>
        <w:tc>
          <w:tcPr>
            <w:tcW w:w="2167" w:type="dxa"/>
            <w:vAlign w:val="top"/>
            <w:vMerge w:val="continue"/>
            <w:tcBorders>
              <w:top w:val="nil"/>
            </w:tcBorders>
          </w:tcPr>
          <w:p>
            <w:pPr>
              <w:rPr>
                <w:rFonts w:ascii="Arial"/>
                <w:sz w:val="21"/>
              </w:rPr>
            </w:pPr>
            <w:r/>
          </w:p>
        </w:tc>
        <w:tc>
          <w:tcPr>
            <w:tcW w:w="472" w:type="dxa"/>
            <w:vAlign w:val="top"/>
          </w:tcPr>
          <w:p>
            <w:pPr>
              <w:ind w:left="150"/>
              <w:spacing w:before="10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60</w:t>
            </w:r>
          </w:p>
        </w:tc>
        <w:tc>
          <w:tcPr>
            <w:tcW w:w="641" w:type="dxa"/>
            <w:vAlign w:val="top"/>
          </w:tcPr>
          <w:p>
            <w:pPr>
              <w:ind w:left="292"/>
              <w:spacing w:before="102"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810" w:type="dxa"/>
            <w:vAlign w:val="top"/>
          </w:tcPr>
          <w:p>
            <w:pPr>
              <w:ind w:left="25"/>
              <w:spacing w:before="10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0.0000022</w:t>
            </w:r>
          </w:p>
        </w:tc>
        <w:tc>
          <w:tcPr>
            <w:tcW w:w="447" w:type="dxa"/>
            <w:vAlign w:val="top"/>
            <w:vMerge w:val="continue"/>
            <w:tcBorders>
              <w:top w:val="nil"/>
            </w:tcBorders>
          </w:tcPr>
          <w:p>
            <w:pPr>
              <w:rPr>
                <w:rFonts w:ascii="Arial"/>
                <w:sz w:val="21"/>
              </w:rPr>
            </w:pPr>
            <w:r/>
          </w:p>
        </w:tc>
        <w:tc>
          <w:tcPr>
            <w:tcW w:w="924" w:type="dxa"/>
            <w:vAlign w:val="top"/>
          </w:tcPr>
          <w:p>
            <w:pPr>
              <w:ind w:left="129"/>
              <w:spacing w:before="10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0.000016</w:t>
            </w:r>
          </w:p>
        </w:tc>
        <w:tc>
          <w:tcPr>
            <w:tcW w:w="1446" w:type="dxa"/>
            <w:vAlign w:val="top"/>
            <w:gridSpan w:val="4"/>
            <w:vMerge w:val="continue"/>
            <w:tcBorders>
              <w:top w:val="nil"/>
            </w:tcBorders>
          </w:tcPr>
          <w:p>
            <w:pPr>
              <w:rPr>
                <w:rFonts w:ascii="Arial"/>
                <w:sz w:val="21"/>
              </w:rPr>
            </w:pPr>
            <w:r/>
          </w:p>
        </w:tc>
      </w:tr>
      <w:tr>
        <w:trPr>
          <w:trHeight w:val="363" w:hRule="atLeast"/>
        </w:trPr>
        <w:tc>
          <w:tcPr>
            <w:tcW w:w="446" w:type="dxa"/>
            <w:vAlign w:val="top"/>
            <w:vMerge w:val="restart"/>
            <w:tcBorders>
              <w:bottom w:val="nil"/>
            </w:tcBorders>
          </w:tcPr>
          <w:p>
            <w:pPr>
              <w:spacing w:line="264" w:lineRule="auto"/>
              <w:rPr>
                <w:rFonts w:ascii="Arial"/>
                <w:sz w:val="21"/>
              </w:rPr>
            </w:pPr>
            <w:r/>
          </w:p>
          <w:p>
            <w:pPr>
              <w:ind w:left="84"/>
              <w:spacing w:before="52" w:line="202" w:lineRule="auto"/>
              <w:rPr>
                <w:rFonts w:ascii="Times New Roman" w:hAnsi="Times New Roman" w:eastAsia="Times New Roman" w:cs="Times New Roman"/>
                <w:sz w:val="11"/>
                <w:szCs w:val="11"/>
              </w:rPr>
            </w:pPr>
            <w:r>
              <w:rPr>
                <w:rFonts w:ascii="Times New Roman" w:hAnsi="Times New Roman" w:eastAsia="Times New Roman" w:cs="Times New Roman"/>
                <w:sz w:val="18"/>
                <w:szCs w:val="18"/>
                <w:spacing w:val="-1"/>
              </w:rPr>
              <w:t>G</w:t>
            </w:r>
            <w:r>
              <w:rPr>
                <w:rFonts w:ascii="Times New Roman" w:hAnsi="Times New Roman" w:eastAsia="Times New Roman" w:cs="Times New Roman"/>
                <w:sz w:val="11"/>
                <w:szCs w:val="11"/>
                <w:spacing w:val="-1"/>
              </w:rPr>
              <w:t>1-4</w:t>
            </w:r>
          </w:p>
        </w:tc>
        <w:tc>
          <w:tcPr>
            <w:tcW w:w="1054" w:type="dxa"/>
            <w:vAlign w:val="top"/>
            <w:vMerge w:val="restart"/>
            <w:tcBorders>
              <w:bottom w:val="nil"/>
            </w:tcBorders>
          </w:tcPr>
          <w:p>
            <w:pPr>
              <w:pStyle w:val="TableText"/>
              <w:ind w:left="6" w:firstLine="70"/>
              <w:spacing w:before="168" w:line="244" w:lineRule="auto"/>
              <w:rPr>
                <w:sz w:val="18"/>
                <w:szCs w:val="18"/>
              </w:rPr>
            </w:pPr>
            <w:r>
              <w:rPr>
                <w:sz w:val="18"/>
                <w:szCs w:val="18"/>
                <w:spacing w:val="-4"/>
              </w:rPr>
              <w:t>洗毛恶臭气</w:t>
            </w:r>
            <w:r>
              <w:rPr>
                <w:sz w:val="18"/>
                <w:szCs w:val="18"/>
              </w:rPr>
              <w:t xml:space="preserve">  </w:t>
            </w:r>
            <w:r>
              <w:rPr>
                <w:sz w:val="18"/>
                <w:szCs w:val="18"/>
                <w:spacing w:val="-7"/>
              </w:rPr>
              <w:t>体（西厂区）</w:t>
            </w:r>
          </w:p>
        </w:tc>
        <w:tc>
          <w:tcPr>
            <w:tcW w:w="582" w:type="dxa"/>
            <w:vAlign w:val="top"/>
            <w:vMerge w:val="restart"/>
            <w:tcBorders>
              <w:bottom w:val="nil"/>
            </w:tcBorders>
          </w:tcPr>
          <w:p>
            <w:pPr>
              <w:pStyle w:val="TableText"/>
              <w:ind w:left="26"/>
              <w:spacing w:before="286" w:line="220" w:lineRule="auto"/>
              <w:rPr>
                <w:sz w:val="18"/>
                <w:szCs w:val="18"/>
              </w:rPr>
            </w:pPr>
            <w:r>
              <w:rPr>
                <w:sz w:val="18"/>
                <w:szCs w:val="18"/>
                <w:spacing w:val="-3"/>
              </w:rPr>
              <w:t>无组织</w:t>
            </w:r>
          </w:p>
        </w:tc>
        <w:tc>
          <w:tcPr>
            <w:tcW w:w="422" w:type="dxa"/>
            <w:vAlign w:val="top"/>
            <w:vMerge w:val="restart"/>
            <w:tcBorders>
              <w:bottom w:val="nil"/>
            </w:tcBorders>
          </w:tcPr>
          <w:p>
            <w:pPr>
              <w:pStyle w:val="TableText"/>
              <w:ind w:left="34"/>
              <w:spacing w:before="286" w:line="220" w:lineRule="auto"/>
              <w:rPr>
                <w:sz w:val="18"/>
                <w:szCs w:val="18"/>
              </w:rPr>
            </w:pPr>
            <w:r>
              <w:rPr>
                <w:sz w:val="18"/>
                <w:szCs w:val="18"/>
                <w:spacing w:val="-4"/>
              </w:rPr>
              <w:t>连续</w:t>
            </w:r>
          </w:p>
        </w:tc>
        <w:tc>
          <w:tcPr>
            <w:tcW w:w="844" w:type="dxa"/>
            <w:vAlign w:val="top"/>
            <w:vMerge w:val="restart"/>
            <w:tcBorders>
              <w:bottom w:val="nil"/>
            </w:tcBorders>
          </w:tcPr>
          <w:p>
            <w:pPr>
              <w:pStyle w:val="TableText"/>
              <w:ind w:left="65"/>
              <w:spacing w:before="287" w:line="219" w:lineRule="auto"/>
              <w:rPr>
                <w:sz w:val="18"/>
                <w:szCs w:val="18"/>
              </w:rPr>
            </w:pPr>
            <w:r>
              <w:rPr>
                <w:sz w:val="18"/>
                <w:szCs w:val="18"/>
                <w:spacing w:val="-2"/>
              </w:rPr>
              <w:t>产物系数</w:t>
            </w:r>
          </w:p>
        </w:tc>
        <w:tc>
          <w:tcPr>
            <w:tcW w:w="661" w:type="dxa"/>
            <w:vAlign w:val="top"/>
            <w:vMerge w:val="restart"/>
            <w:tcBorders>
              <w:bottom w:val="nil"/>
            </w:tcBorders>
          </w:tcPr>
          <w:p>
            <w:pPr>
              <w:spacing w:line="264" w:lineRule="auto"/>
              <w:rPr>
                <w:rFonts w:ascii="Arial"/>
                <w:sz w:val="21"/>
              </w:rPr>
            </w:pPr>
            <w:r/>
          </w:p>
          <w:p>
            <w:pPr>
              <w:ind w:left="14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2000</w:t>
            </w:r>
          </w:p>
        </w:tc>
        <w:tc>
          <w:tcPr>
            <w:tcW w:w="827" w:type="dxa"/>
            <w:vAlign w:val="top"/>
          </w:tcPr>
          <w:p>
            <w:pPr>
              <w:ind w:left="248"/>
              <w:spacing w:before="125" w:line="199" w:lineRule="auto"/>
              <w:rPr>
                <w:rFonts w:ascii="Times New Roman" w:hAnsi="Times New Roman" w:eastAsia="Times New Roman" w:cs="Times New Roman"/>
                <w:sz w:val="11"/>
                <w:szCs w:val="11"/>
              </w:rPr>
            </w:pPr>
            <w:r>
              <w:rPr>
                <w:rFonts w:ascii="Times New Roman" w:hAnsi="Times New Roman" w:eastAsia="Times New Roman" w:cs="Times New Roman"/>
                <w:sz w:val="18"/>
                <w:szCs w:val="18"/>
              </w:rPr>
              <w:t>NH</w:t>
            </w:r>
            <w:r>
              <w:rPr>
                <w:rFonts w:ascii="Times New Roman" w:hAnsi="Times New Roman" w:eastAsia="Times New Roman" w:cs="Times New Roman"/>
                <w:sz w:val="11"/>
                <w:szCs w:val="11"/>
                <w:spacing w:val="3"/>
              </w:rPr>
              <w:t>3</w:t>
            </w:r>
          </w:p>
        </w:tc>
        <w:tc>
          <w:tcPr>
            <w:tcW w:w="683" w:type="dxa"/>
            <w:vAlign w:val="top"/>
          </w:tcPr>
          <w:p>
            <w:pPr>
              <w:ind w:left="313"/>
              <w:spacing w:before="120"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709" w:type="dxa"/>
            <w:vAlign w:val="top"/>
          </w:tcPr>
          <w:p>
            <w:pPr>
              <w:ind w:left="64"/>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0.00083</w:t>
            </w:r>
          </w:p>
        </w:tc>
        <w:tc>
          <w:tcPr>
            <w:tcW w:w="917" w:type="dxa"/>
            <w:vAlign w:val="top"/>
          </w:tcPr>
          <w:p>
            <w:pPr>
              <w:ind w:left="260"/>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0.006</w:t>
            </w:r>
          </w:p>
        </w:tc>
        <w:tc>
          <w:tcPr>
            <w:tcW w:w="2167" w:type="dxa"/>
            <w:vAlign w:val="top"/>
            <w:vMerge w:val="restart"/>
            <w:tcBorders>
              <w:bottom w:val="nil"/>
            </w:tcBorders>
          </w:tcPr>
          <w:p>
            <w:pPr>
              <w:pStyle w:val="TableText"/>
              <w:ind w:left="15"/>
              <w:spacing w:before="168" w:line="219" w:lineRule="auto"/>
              <w:rPr>
                <w:rFonts w:ascii="Times New Roman" w:hAnsi="Times New Roman" w:eastAsia="Times New Roman" w:cs="Times New Roman"/>
                <w:sz w:val="18"/>
                <w:szCs w:val="18"/>
              </w:rPr>
            </w:pPr>
            <w:r>
              <w:rPr>
                <w:sz w:val="18"/>
                <w:szCs w:val="18"/>
                <w:spacing w:val="-6"/>
              </w:rPr>
              <w:t>喷洒生物除臭剂，</w:t>
            </w:r>
            <w:r>
              <w:rPr>
                <w:rFonts w:ascii="Times New Roman" w:hAnsi="Times New Roman" w:eastAsia="Times New Roman" w:cs="Times New Roman"/>
                <w:sz w:val="18"/>
                <w:szCs w:val="18"/>
                <w:spacing w:val="-6"/>
              </w:rPr>
              <w:t>NH</w:t>
            </w:r>
            <w:r>
              <w:rPr>
                <w:rFonts w:ascii="Times New Roman" w:hAnsi="Times New Roman" w:eastAsia="Times New Roman" w:cs="Times New Roman"/>
                <w:sz w:val="11"/>
                <w:szCs w:val="11"/>
                <w:spacing w:val="-6"/>
                <w:position w:val="-1"/>
              </w:rPr>
              <w:t>3</w:t>
            </w:r>
            <w:r>
              <w:rPr>
                <w:sz w:val="18"/>
                <w:szCs w:val="18"/>
                <w:spacing w:val="-6"/>
              </w:rPr>
              <w:t>、</w:t>
            </w:r>
            <w:r>
              <w:rPr>
                <w:rFonts w:ascii="Times New Roman" w:hAnsi="Times New Roman" w:eastAsia="Times New Roman" w:cs="Times New Roman"/>
                <w:sz w:val="18"/>
                <w:szCs w:val="18"/>
                <w:spacing w:val="-6"/>
              </w:rPr>
              <w:t>H</w:t>
            </w:r>
            <w:r>
              <w:rPr>
                <w:rFonts w:ascii="Times New Roman" w:hAnsi="Times New Roman" w:eastAsia="Times New Roman" w:cs="Times New Roman"/>
                <w:sz w:val="11"/>
                <w:szCs w:val="11"/>
                <w:spacing w:val="-6"/>
                <w:position w:val="-1"/>
              </w:rPr>
              <w:t>2</w:t>
            </w:r>
            <w:r>
              <w:rPr>
                <w:rFonts w:ascii="Times New Roman" w:hAnsi="Times New Roman" w:eastAsia="Times New Roman" w:cs="Times New Roman"/>
                <w:sz w:val="18"/>
                <w:szCs w:val="18"/>
                <w:spacing w:val="-6"/>
              </w:rPr>
              <w:t>S</w:t>
            </w:r>
          </w:p>
          <w:p>
            <w:pPr>
              <w:pStyle w:val="TableText"/>
              <w:ind w:left="373"/>
              <w:spacing w:before="22" w:line="219" w:lineRule="auto"/>
              <w:rPr>
                <w:sz w:val="18"/>
                <w:szCs w:val="18"/>
              </w:rPr>
            </w:pPr>
            <w:r>
              <w:rPr>
                <w:sz w:val="18"/>
                <w:szCs w:val="18"/>
                <w:spacing w:val="-4"/>
              </w:rPr>
              <w:t>的去除效率</w:t>
            </w:r>
            <w:r>
              <w:rPr>
                <w:sz w:val="18"/>
                <w:szCs w:val="18"/>
                <w:spacing w:val="-32"/>
              </w:rPr>
              <w:t xml:space="preserve"> </w:t>
            </w:r>
            <w:r>
              <w:rPr>
                <w:rFonts w:ascii="Times New Roman" w:hAnsi="Times New Roman" w:eastAsia="Times New Roman" w:cs="Times New Roman"/>
                <w:sz w:val="18"/>
                <w:szCs w:val="18"/>
                <w:spacing w:val="-4"/>
              </w:rPr>
              <w:t>60%</w:t>
            </w:r>
            <w:r>
              <w:rPr>
                <w:sz w:val="18"/>
                <w:szCs w:val="18"/>
                <w:spacing w:val="-4"/>
              </w:rPr>
              <w:t>。</w:t>
            </w:r>
          </w:p>
        </w:tc>
        <w:tc>
          <w:tcPr>
            <w:tcW w:w="472" w:type="dxa"/>
            <w:vAlign w:val="top"/>
          </w:tcPr>
          <w:p>
            <w:pPr>
              <w:ind w:left="150"/>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60</w:t>
            </w:r>
          </w:p>
        </w:tc>
        <w:tc>
          <w:tcPr>
            <w:tcW w:w="641" w:type="dxa"/>
            <w:vAlign w:val="top"/>
          </w:tcPr>
          <w:p>
            <w:pPr>
              <w:ind w:left="292"/>
              <w:spacing w:before="120"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810" w:type="dxa"/>
            <w:vAlign w:val="top"/>
          </w:tcPr>
          <w:p>
            <w:pPr>
              <w:ind w:left="116"/>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0.00033</w:t>
            </w:r>
          </w:p>
        </w:tc>
        <w:tc>
          <w:tcPr>
            <w:tcW w:w="447" w:type="dxa"/>
            <w:vAlign w:val="top"/>
            <w:vMerge w:val="restart"/>
            <w:tcBorders>
              <w:bottom w:val="nil"/>
            </w:tcBorders>
          </w:tcPr>
          <w:p>
            <w:pPr>
              <w:spacing w:line="264" w:lineRule="auto"/>
              <w:rPr>
                <w:rFonts w:ascii="Arial"/>
                <w:sz w:val="21"/>
              </w:rPr>
            </w:pPr>
            <w:r/>
          </w:p>
          <w:p>
            <w:pPr>
              <w:ind w:left="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7200</w:t>
            </w:r>
          </w:p>
        </w:tc>
        <w:tc>
          <w:tcPr>
            <w:tcW w:w="924" w:type="dxa"/>
            <w:vAlign w:val="top"/>
          </w:tcPr>
          <w:p>
            <w:pPr>
              <w:ind w:left="218"/>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0.0024</w:t>
            </w:r>
          </w:p>
        </w:tc>
        <w:tc>
          <w:tcPr>
            <w:tcW w:w="1446" w:type="dxa"/>
            <w:vAlign w:val="top"/>
            <w:gridSpan w:val="4"/>
            <w:vMerge w:val="restart"/>
            <w:tcBorders>
              <w:bottom w:val="nil"/>
            </w:tcBorders>
          </w:tcPr>
          <w:p>
            <w:pPr>
              <w:pStyle w:val="TableText"/>
              <w:ind w:left="55"/>
              <w:spacing w:before="168" w:line="221" w:lineRule="auto"/>
              <w:rPr>
                <w:sz w:val="18"/>
                <w:szCs w:val="18"/>
              </w:rPr>
            </w:pPr>
            <w:r>
              <w:rPr>
                <w:rFonts w:ascii="Times New Roman" w:hAnsi="Times New Roman" w:eastAsia="Times New Roman" w:cs="Times New Roman"/>
                <w:sz w:val="18"/>
                <w:szCs w:val="18"/>
                <w:spacing w:val="-4"/>
              </w:rPr>
              <w:t>100m×20m</w:t>
            </w:r>
            <w:r>
              <w:rPr>
                <w:rFonts w:ascii="Times New Roman" w:hAnsi="Times New Roman" w:eastAsia="Times New Roman" w:cs="Times New Roman"/>
                <w:sz w:val="18"/>
                <w:szCs w:val="18"/>
                <w:spacing w:val="-24"/>
              </w:rPr>
              <w:t xml:space="preserve"> </w:t>
            </w:r>
            <w:r>
              <w:rPr>
                <w:sz w:val="18"/>
                <w:szCs w:val="18"/>
                <w:spacing w:val="-4"/>
              </w:rPr>
              <w:t>，排放</w:t>
            </w:r>
          </w:p>
          <w:p>
            <w:pPr>
              <w:pStyle w:val="TableText"/>
              <w:ind w:left="369"/>
              <w:spacing w:before="20" w:line="219" w:lineRule="auto"/>
              <w:rPr>
                <w:rFonts w:ascii="Times New Roman" w:hAnsi="Times New Roman" w:eastAsia="Times New Roman" w:cs="Times New Roman"/>
                <w:sz w:val="18"/>
                <w:szCs w:val="18"/>
              </w:rPr>
            </w:pPr>
            <w:r>
              <w:rPr>
                <w:sz w:val="18"/>
                <w:szCs w:val="18"/>
                <w:spacing w:val="-7"/>
              </w:rPr>
              <w:t>高度</w:t>
            </w:r>
            <w:r>
              <w:rPr>
                <w:sz w:val="18"/>
                <w:szCs w:val="18"/>
                <w:spacing w:val="-22"/>
              </w:rPr>
              <w:t xml:space="preserve"> </w:t>
            </w:r>
            <w:r>
              <w:rPr>
                <w:rFonts w:ascii="Times New Roman" w:hAnsi="Times New Roman" w:eastAsia="Times New Roman" w:cs="Times New Roman"/>
                <w:sz w:val="18"/>
                <w:szCs w:val="18"/>
                <w:spacing w:val="-7"/>
              </w:rPr>
              <w:t>10m</w:t>
            </w:r>
          </w:p>
        </w:tc>
      </w:tr>
      <w:tr>
        <w:trPr>
          <w:trHeight w:val="385" w:hRule="atLeast"/>
        </w:trPr>
        <w:tc>
          <w:tcPr>
            <w:tcW w:w="446" w:type="dxa"/>
            <w:vAlign w:val="top"/>
            <w:vMerge w:val="continue"/>
            <w:tcBorders>
              <w:top w:val="nil"/>
            </w:tcBorders>
          </w:tcPr>
          <w:p>
            <w:pPr>
              <w:rPr>
                <w:rFonts w:ascii="Arial"/>
                <w:sz w:val="21"/>
              </w:rPr>
            </w:pPr>
            <w:r/>
          </w:p>
        </w:tc>
        <w:tc>
          <w:tcPr>
            <w:tcW w:w="1054" w:type="dxa"/>
            <w:vAlign w:val="top"/>
            <w:vMerge w:val="continue"/>
            <w:tcBorders>
              <w:top w:val="nil"/>
            </w:tcBorders>
          </w:tcPr>
          <w:p>
            <w:pPr>
              <w:rPr>
                <w:rFonts w:ascii="Arial"/>
                <w:sz w:val="21"/>
              </w:rPr>
            </w:pPr>
            <w:r/>
          </w:p>
        </w:tc>
        <w:tc>
          <w:tcPr>
            <w:tcW w:w="582" w:type="dxa"/>
            <w:vAlign w:val="top"/>
            <w:vMerge w:val="continue"/>
            <w:tcBorders>
              <w:top w:val="nil"/>
            </w:tcBorders>
          </w:tcPr>
          <w:p>
            <w:pPr>
              <w:rPr>
                <w:rFonts w:ascii="Arial"/>
                <w:sz w:val="21"/>
              </w:rPr>
            </w:pPr>
            <w:r/>
          </w:p>
        </w:tc>
        <w:tc>
          <w:tcPr>
            <w:tcW w:w="422" w:type="dxa"/>
            <w:vAlign w:val="top"/>
            <w:vMerge w:val="continue"/>
            <w:tcBorders>
              <w:top w:val="nil"/>
            </w:tcBorders>
          </w:tcPr>
          <w:p>
            <w:pPr>
              <w:rPr>
                <w:rFonts w:ascii="Arial"/>
                <w:sz w:val="21"/>
              </w:rPr>
            </w:pPr>
            <w:r/>
          </w:p>
        </w:tc>
        <w:tc>
          <w:tcPr>
            <w:tcW w:w="844" w:type="dxa"/>
            <w:vAlign w:val="top"/>
            <w:vMerge w:val="continue"/>
            <w:tcBorders>
              <w:top w:val="nil"/>
            </w:tcBorders>
          </w:tcPr>
          <w:p>
            <w:pPr>
              <w:rPr>
                <w:rFonts w:ascii="Arial"/>
                <w:sz w:val="21"/>
              </w:rPr>
            </w:pPr>
            <w:r/>
          </w:p>
        </w:tc>
        <w:tc>
          <w:tcPr>
            <w:tcW w:w="661" w:type="dxa"/>
            <w:vAlign w:val="top"/>
            <w:vMerge w:val="continue"/>
            <w:tcBorders>
              <w:top w:val="nil"/>
            </w:tcBorders>
          </w:tcPr>
          <w:p>
            <w:pPr>
              <w:rPr>
                <w:rFonts w:ascii="Arial"/>
                <w:sz w:val="21"/>
              </w:rPr>
            </w:pPr>
            <w:r/>
          </w:p>
        </w:tc>
        <w:tc>
          <w:tcPr>
            <w:tcW w:w="827" w:type="dxa"/>
            <w:vAlign w:val="top"/>
          </w:tcPr>
          <w:p>
            <w:pPr>
              <w:ind w:left="267"/>
              <w:spacing w:before="131" w:line="194"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H</w:t>
            </w:r>
            <w:r>
              <w:rPr>
                <w:rFonts w:ascii="Times New Roman" w:hAnsi="Times New Roman" w:eastAsia="Times New Roman" w:cs="Times New Roman"/>
                <w:sz w:val="11"/>
                <w:szCs w:val="11"/>
                <w:spacing w:val="-1"/>
                <w:position w:val="-1"/>
              </w:rPr>
              <w:t>2</w:t>
            </w:r>
            <w:r>
              <w:rPr>
                <w:rFonts w:ascii="Times New Roman" w:hAnsi="Times New Roman" w:eastAsia="Times New Roman" w:cs="Times New Roman"/>
                <w:sz w:val="18"/>
                <w:szCs w:val="18"/>
                <w:spacing w:val="-1"/>
              </w:rPr>
              <w:t>S</w:t>
            </w:r>
          </w:p>
        </w:tc>
        <w:tc>
          <w:tcPr>
            <w:tcW w:w="683" w:type="dxa"/>
            <w:vAlign w:val="top"/>
          </w:tcPr>
          <w:p>
            <w:pPr>
              <w:ind w:left="313"/>
              <w:spacing w:before="129"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709" w:type="dxa"/>
            <w:vAlign w:val="top"/>
          </w:tcPr>
          <w:p>
            <w:pPr>
              <w:ind w:left="21"/>
              <w:spacing w:before="13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0.000054</w:t>
            </w:r>
          </w:p>
        </w:tc>
        <w:tc>
          <w:tcPr>
            <w:tcW w:w="917" w:type="dxa"/>
            <w:vAlign w:val="top"/>
          </w:tcPr>
          <w:p>
            <w:pPr>
              <w:ind w:left="168"/>
              <w:spacing w:before="13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0.00039</w:t>
            </w:r>
          </w:p>
        </w:tc>
        <w:tc>
          <w:tcPr>
            <w:tcW w:w="2167" w:type="dxa"/>
            <w:vAlign w:val="top"/>
            <w:vMerge w:val="continue"/>
            <w:tcBorders>
              <w:top w:val="nil"/>
            </w:tcBorders>
          </w:tcPr>
          <w:p>
            <w:pPr>
              <w:rPr>
                <w:rFonts w:ascii="Arial"/>
                <w:sz w:val="21"/>
              </w:rPr>
            </w:pPr>
            <w:r/>
          </w:p>
        </w:tc>
        <w:tc>
          <w:tcPr>
            <w:tcW w:w="472" w:type="dxa"/>
            <w:vAlign w:val="top"/>
          </w:tcPr>
          <w:p>
            <w:pPr>
              <w:ind w:left="150"/>
              <w:spacing w:before="13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60</w:t>
            </w:r>
          </w:p>
        </w:tc>
        <w:tc>
          <w:tcPr>
            <w:tcW w:w="641" w:type="dxa"/>
            <w:vAlign w:val="top"/>
          </w:tcPr>
          <w:p>
            <w:pPr>
              <w:ind w:left="292"/>
              <w:spacing w:before="129"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810" w:type="dxa"/>
            <w:vAlign w:val="top"/>
          </w:tcPr>
          <w:p>
            <w:pPr>
              <w:ind w:left="25"/>
              <w:spacing w:before="13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0.0000022</w:t>
            </w:r>
          </w:p>
        </w:tc>
        <w:tc>
          <w:tcPr>
            <w:tcW w:w="447" w:type="dxa"/>
            <w:vAlign w:val="top"/>
            <w:vMerge w:val="continue"/>
            <w:tcBorders>
              <w:top w:val="nil"/>
            </w:tcBorders>
          </w:tcPr>
          <w:p>
            <w:pPr>
              <w:rPr>
                <w:rFonts w:ascii="Arial"/>
                <w:sz w:val="21"/>
              </w:rPr>
            </w:pPr>
            <w:r/>
          </w:p>
        </w:tc>
        <w:tc>
          <w:tcPr>
            <w:tcW w:w="924" w:type="dxa"/>
            <w:vAlign w:val="top"/>
          </w:tcPr>
          <w:p>
            <w:pPr>
              <w:ind w:left="129"/>
              <w:spacing w:before="13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0.000016</w:t>
            </w:r>
          </w:p>
        </w:tc>
        <w:tc>
          <w:tcPr>
            <w:tcW w:w="1446" w:type="dxa"/>
            <w:vAlign w:val="top"/>
            <w:gridSpan w:val="4"/>
            <w:vMerge w:val="continue"/>
            <w:tcBorders>
              <w:top w:val="nil"/>
            </w:tcBorders>
          </w:tcPr>
          <w:p>
            <w:pPr>
              <w:rPr>
                <w:rFonts w:ascii="Arial"/>
                <w:sz w:val="21"/>
              </w:rPr>
            </w:pPr>
            <w:r/>
          </w:p>
        </w:tc>
      </w:tr>
      <w:tr>
        <w:trPr>
          <w:trHeight w:val="472" w:hRule="atLeast"/>
        </w:trPr>
        <w:tc>
          <w:tcPr>
            <w:tcW w:w="446" w:type="dxa"/>
            <w:vAlign w:val="top"/>
          </w:tcPr>
          <w:p>
            <w:pPr>
              <w:ind w:left="84"/>
              <w:spacing w:before="176" w:line="202" w:lineRule="auto"/>
              <w:rPr>
                <w:rFonts w:ascii="Times New Roman" w:hAnsi="Times New Roman" w:eastAsia="Times New Roman" w:cs="Times New Roman"/>
                <w:sz w:val="11"/>
                <w:szCs w:val="11"/>
              </w:rPr>
            </w:pPr>
            <w:r>
              <w:rPr>
                <w:rFonts w:ascii="Times New Roman" w:hAnsi="Times New Roman" w:eastAsia="Times New Roman" w:cs="Times New Roman"/>
                <w:sz w:val="18"/>
                <w:szCs w:val="18"/>
                <w:spacing w:val="-2"/>
              </w:rPr>
              <w:t>G</w:t>
            </w:r>
            <w:r>
              <w:rPr>
                <w:rFonts w:ascii="Times New Roman" w:hAnsi="Times New Roman" w:eastAsia="Times New Roman" w:cs="Times New Roman"/>
                <w:sz w:val="11"/>
                <w:szCs w:val="11"/>
                <w:spacing w:val="-2"/>
              </w:rPr>
              <w:t>2-</w:t>
            </w:r>
            <w:r>
              <w:rPr>
                <w:rFonts w:ascii="Times New Roman" w:hAnsi="Times New Roman" w:eastAsia="Times New Roman" w:cs="Times New Roman"/>
                <w:sz w:val="11"/>
                <w:szCs w:val="11"/>
                <w:spacing w:val="-10"/>
              </w:rPr>
              <w:t xml:space="preserve"> </w:t>
            </w:r>
            <w:r>
              <w:rPr>
                <w:rFonts w:ascii="Times New Roman" w:hAnsi="Times New Roman" w:eastAsia="Times New Roman" w:cs="Times New Roman"/>
                <w:sz w:val="11"/>
                <w:szCs w:val="11"/>
                <w:spacing w:val="-2"/>
              </w:rPr>
              <w:t>1</w:t>
            </w:r>
          </w:p>
        </w:tc>
        <w:tc>
          <w:tcPr>
            <w:tcW w:w="1054" w:type="dxa"/>
            <w:vAlign w:val="top"/>
          </w:tcPr>
          <w:p>
            <w:pPr>
              <w:pStyle w:val="TableText"/>
              <w:ind w:left="77"/>
              <w:spacing w:before="30" w:line="219" w:lineRule="auto"/>
              <w:rPr>
                <w:sz w:val="18"/>
                <w:szCs w:val="18"/>
              </w:rPr>
            </w:pPr>
            <w:r>
              <w:rPr>
                <w:sz w:val="18"/>
                <w:szCs w:val="18"/>
                <w:spacing w:val="-2"/>
              </w:rPr>
              <w:t>梳绒车间粉</w:t>
            </w:r>
          </w:p>
          <w:p>
            <w:pPr>
              <w:pStyle w:val="TableText"/>
              <w:ind w:left="440"/>
              <w:spacing w:before="18" w:line="204" w:lineRule="auto"/>
              <w:rPr>
                <w:sz w:val="18"/>
                <w:szCs w:val="18"/>
              </w:rPr>
            </w:pPr>
            <w:r>
              <w:rPr>
                <w:sz w:val="18"/>
                <w:szCs w:val="18"/>
              </w:rPr>
              <w:t>尘</w:t>
            </w:r>
          </w:p>
        </w:tc>
        <w:tc>
          <w:tcPr>
            <w:tcW w:w="582" w:type="dxa"/>
            <w:vAlign w:val="top"/>
          </w:tcPr>
          <w:p>
            <w:pPr>
              <w:pStyle w:val="TableText"/>
              <w:ind w:left="26"/>
              <w:spacing w:before="145" w:line="220" w:lineRule="auto"/>
              <w:rPr>
                <w:sz w:val="18"/>
                <w:szCs w:val="18"/>
              </w:rPr>
            </w:pPr>
            <w:r>
              <w:rPr>
                <w:sz w:val="18"/>
                <w:szCs w:val="18"/>
                <w:spacing w:val="-3"/>
              </w:rPr>
              <w:t>无组织</w:t>
            </w:r>
          </w:p>
        </w:tc>
        <w:tc>
          <w:tcPr>
            <w:tcW w:w="422" w:type="dxa"/>
            <w:vAlign w:val="top"/>
          </w:tcPr>
          <w:p>
            <w:pPr>
              <w:pStyle w:val="TableText"/>
              <w:ind w:left="34"/>
              <w:spacing w:before="145" w:line="220" w:lineRule="auto"/>
              <w:rPr>
                <w:sz w:val="18"/>
                <w:szCs w:val="18"/>
              </w:rPr>
            </w:pPr>
            <w:r>
              <w:rPr>
                <w:sz w:val="18"/>
                <w:szCs w:val="18"/>
                <w:spacing w:val="-4"/>
              </w:rPr>
              <w:t>连续</w:t>
            </w:r>
          </w:p>
        </w:tc>
        <w:tc>
          <w:tcPr>
            <w:tcW w:w="844" w:type="dxa"/>
            <w:vAlign w:val="top"/>
          </w:tcPr>
          <w:p>
            <w:pPr>
              <w:pStyle w:val="TableText"/>
              <w:ind w:left="245"/>
              <w:spacing w:before="145" w:line="219" w:lineRule="auto"/>
              <w:rPr>
                <w:sz w:val="18"/>
                <w:szCs w:val="18"/>
              </w:rPr>
            </w:pPr>
            <w:r>
              <w:rPr>
                <w:sz w:val="18"/>
                <w:szCs w:val="18"/>
                <w:spacing w:val="-4"/>
              </w:rPr>
              <w:t>类比</w:t>
            </w:r>
          </w:p>
        </w:tc>
        <w:tc>
          <w:tcPr>
            <w:tcW w:w="661" w:type="dxa"/>
            <w:vAlign w:val="top"/>
          </w:tcPr>
          <w:p>
            <w:pPr>
              <w:ind w:left="301"/>
              <w:spacing w:before="173"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827" w:type="dxa"/>
            <w:vAlign w:val="top"/>
          </w:tcPr>
          <w:p>
            <w:pPr>
              <w:pStyle w:val="TableText"/>
              <w:ind w:left="146"/>
              <w:spacing w:before="145" w:line="220" w:lineRule="auto"/>
              <w:rPr>
                <w:sz w:val="18"/>
                <w:szCs w:val="18"/>
              </w:rPr>
            </w:pPr>
            <w:r>
              <w:rPr>
                <w:sz w:val="18"/>
                <w:szCs w:val="18"/>
                <w:spacing w:val="-3"/>
              </w:rPr>
              <w:t>颗粒物</w:t>
            </w:r>
          </w:p>
        </w:tc>
        <w:tc>
          <w:tcPr>
            <w:tcW w:w="683" w:type="dxa"/>
            <w:vAlign w:val="top"/>
          </w:tcPr>
          <w:p>
            <w:pPr>
              <w:ind w:left="313"/>
              <w:spacing w:before="173"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709" w:type="dxa"/>
            <w:vAlign w:val="top"/>
          </w:tcPr>
          <w:p>
            <w:pPr>
              <w:ind w:left="155"/>
              <w:spacing w:before="17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0.076</w:t>
            </w:r>
          </w:p>
        </w:tc>
        <w:tc>
          <w:tcPr>
            <w:tcW w:w="917" w:type="dxa"/>
            <w:vAlign w:val="top"/>
          </w:tcPr>
          <w:p>
            <w:pPr>
              <w:ind w:left="303"/>
              <w:spacing w:before="17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0.55</w:t>
            </w:r>
          </w:p>
        </w:tc>
        <w:tc>
          <w:tcPr>
            <w:tcW w:w="2167" w:type="dxa"/>
            <w:vAlign w:val="top"/>
          </w:tcPr>
          <w:p>
            <w:pPr>
              <w:pStyle w:val="TableText"/>
              <w:ind w:left="7"/>
              <w:spacing w:before="30" w:line="219" w:lineRule="auto"/>
              <w:rPr>
                <w:sz w:val="18"/>
                <w:szCs w:val="18"/>
              </w:rPr>
            </w:pPr>
            <w:r>
              <w:rPr>
                <w:sz w:val="18"/>
                <w:szCs w:val="18"/>
                <w:spacing w:val="-1"/>
              </w:rPr>
              <w:t>梳绒车间全封闭，设备自带</w:t>
            </w:r>
          </w:p>
          <w:p>
            <w:pPr>
              <w:pStyle w:val="TableText"/>
              <w:ind w:left="909"/>
              <w:spacing w:before="18" w:line="204" w:lineRule="auto"/>
              <w:rPr>
                <w:sz w:val="18"/>
                <w:szCs w:val="18"/>
              </w:rPr>
            </w:pPr>
            <w:r>
              <w:rPr>
                <w:sz w:val="18"/>
                <w:szCs w:val="18"/>
                <w:spacing w:val="-5"/>
              </w:rPr>
              <w:t>滤袋</w:t>
            </w:r>
          </w:p>
        </w:tc>
        <w:tc>
          <w:tcPr>
            <w:tcW w:w="472" w:type="dxa"/>
            <w:vAlign w:val="top"/>
          </w:tcPr>
          <w:p>
            <w:pPr>
              <w:ind w:left="150"/>
              <w:spacing w:before="17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90</w:t>
            </w:r>
          </w:p>
        </w:tc>
        <w:tc>
          <w:tcPr>
            <w:tcW w:w="641" w:type="dxa"/>
            <w:vAlign w:val="top"/>
          </w:tcPr>
          <w:p>
            <w:pPr>
              <w:ind w:left="292"/>
              <w:spacing w:before="173"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810" w:type="dxa"/>
            <w:vAlign w:val="top"/>
          </w:tcPr>
          <w:p>
            <w:pPr>
              <w:ind w:left="162"/>
              <w:spacing w:before="17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0.0083</w:t>
            </w:r>
          </w:p>
        </w:tc>
        <w:tc>
          <w:tcPr>
            <w:tcW w:w="447" w:type="dxa"/>
            <w:vAlign w:val="top"/>
          </w:tcPr>
          <w:p>
            <w:pPr>
              <w:ind w:left="48"/>
              <w:spacing w:before="17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7200</w:t>
            </w:r>
          </w:p>
        </w:tc>
        <w:tc>
          <w:tcPr>
            <w:tcW w:w="924" w:type="dxa"/>
            <w:vAlign w:val="top"/>
          </w:tcPr>
          <w:p>
            <w:pPr>
              <w:ind w:left="309"/>
              <w:spacing w:before="17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0.06</w:t>
            </w:r>
          </w:p>
        </w:tc>
        <w:tc>
          <w:tcPr>
            <w:tcW w:w="1446" w:type="dxa"/>
            <w:vAlign w:val="top"/>
            <w:gridSpan w:val="4"/>
          </w:tcPr>
          <w:p>
            <w:pPr>
              <w:pStyle w:val="TableText"/>
              <w:ind w:left="453" w:right="5" w:hanging="443"/>
              <w:spacing w:before="31" w:line="221"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90m×22m</w:t>
            </w:r>
            <w:r>
              <w:rPr>
                <w:sz w:val="18"/>
                <w:szCs w:val="18"/>
                <w:spacing w:val="-4"/>
              </w:rPr>
              <w:t>，排放高</w:t>
            </w:r>
            <w:r>
              <w:rPr>
                <w:sz w:val="18"/>
                <w:szCs w:val="18"/>
                <w:spacing w:val="7"/>
              </w:rPr>
              <w:t xml:space="preserve"> </w:t>
            </w:r>
            <w:r>
              <w:rPr>
                <w:sz w:val="18"/>
                <w:szCs w:val="18"/>
                <w:spacing w:val="-7"/>
              </w:rPr>
              <w:t>度</w:t>
            </w:r>
            <w:r>
              <w:rPr>
                <w:sz w:val="18"/>
                <w:szCs w:val="18"/>
                <w:spacing w:val="-23"/>
              </w:rPr>
              <w:t xml:space="preserve"> </w:t>
            </w:r>
            <w:r>
              <w:rPr>
                <w:rFonts w:ascii="Times New Roman" w:hAnsi="Times New Roman" w:eastAsia="Times New Roman" w:cs="Times New Roman"/>
                <w:sz w:val="18"/>
                <w:szCs w:val="18"/>
                <w:spacing w:val="-7"/>
              </w:rPr>
              <w:t>10m</w:t>
            </w:r>
          </w:p>
        </w:tc>
      </w:tr>
      <w:tr>
        <w:trPr>
          <w:trHeight w:val="759" w:hRule="atLeast"/>
        </w:trPr>
        <w:tc>
          <w:tcPr>
            <w:tcW w:w="446" w:type="dxa"/>
            <w:vAlign w:val="top"/>
            <w:vMerge w:val="restart"/>
            <w:tcBorders>
              <w:bottom w:val="nil"/>
            </w:tcBorders>
          </w:tcPr>
          <w:p>
            <w:pPr>
              <w:spacing w:line="293" w:lineRule="auto"/>
              <w:rPr>
                <w:rFonts w:ascii="Arial"/>
                <w:sz w:val="21"/>
              </w:rPr>
            </w:pPr>
            <w:r/>
          </w:p>
          <w:p>
            <w:pPr>
              <w:spacing w:line="293" w:lineRule="auto"/>
              <w:rPr>
                <w:rFonts w:ascii="Arial"/>
                <w:sz w:val="21"/>
              </w:rPr>
            </w:pPr>
            <w:r/>
          </w:p>
          <w:p>
            <w:pPr>
              <w:ind w:left="84"/>
              <w:spacing w:before="52" w:line="204" w:lineRule="auto"/>
              <w:rPr>
                <w:rFonts w:ascii="Times New Roman" w:hAnsi="Times New Roman" w:eastAsia="Times New Roman" w:cs="Times New Roman"/>
                <w:sz w:val="11"/>
                <w:szCs w:val="11"/>
              </w:rPr>
            </w:pPr>
            <w:r>
              <w:rPr>
                <w:rFonts w:ascii="Times New Roman" w:hAnsi="Times New Roman" w:eastAsia="Times New Roman" w:cs="Times New Roman"/>
                <w:sz w:val="18"/>
                <w:szCs w:val="18"/>
                <w:spacing w:val="-2"/>
              </w:rPr>
              <w:t>G</w:t>
            </w:r>
            <w:r>
              <w:rPr>
                <w:rFonts w:ascii="Times New Roman" w:hAnsi="Times New Roman" w:eastAsia="Times New Roman" w:cs="Times New Roman"/>
                <w:sz w:val="11"/>
                <w:szCs w:val="11"/>
                <w:spacing w:val="-2"/>
              </w:rPr>
              <w:t>3-</w:t>
            </w:r>
            <w:r>
              <w:rPr>
                <w:rFonts w:ascii="Times New Roman" w:hAnsi="Times New Roman" w:eastAsia="Times New Roman" w:cs="Times New Roman"/>
                <w:sz w:val="11"/>
                <w:szCs w:val="11"/>
                <w:spacing w:val="-12"/>
              </w:rPr>
              <w:t xml:space="preserve"> </w:t>
            </w:r>
            <w:r>
              <w:rPr>
                <w:rFonts w:ascii="Times New Roman" w:hAnsi="Times New Roman" w:eastAsia="Times New Roman" w:cs="Times New Roman"/>
                <w:sz w:val="11"/>
                <w:szCs w:val="11"/>
                <w:spacing w:val="-2"/>
              </w:rPr>
              <w:t>1</w:t>
            </w:r>
          </w:p>
        </w:tc>
        <w:tc>
          <w:tcPr>
            <w:tcW w:w="1054" w:type="dxa"/>
            <w:vAlign w:val="top"/>
            <w:vMerge w:val="restart"/>
            <w:tcBorders>
              <w:bottom w:val="nil"/>
            </w:tcBorders>
          </w:tcPr>
          <w:p>
            <w:pPr>
              <w:spacing w:line="435" w:lineRule="auto"/>
              <w:rPr>
                <w:rFonts w:ascii="Arial"/>
                <w:sz w:val="21"/>
              </w:rPr>
            </w:pPr>
            <w:r/>
          </w:p>
          <w:p>
            <w:pPr>
              <w:pStyle w:val="TableText"/>
              <w:ind w:left="77"/>
              <w:spacing w:before="59" w:line="219" w:lineRule="auto"/>
              <w:rPr>
                <w:sz w:val="18"/>
                <w:szCs w:val="18"/>
              </w:rPr>
            </w:pPr>
            <w:r>
              <w:rPr>
                <w:sz w:val="18"/>
                <w:szCs w:val="18"/>
                <w:spacing w:val="-2"/>
              </w:rPr>
              <w:t>废水收集池</w:t>
            </w:r>
          </w:p>
          <w:p>
            <w:pPr>
              <w:pStyle w:val="TableText"/>
              <w:ind w:left="80"/>
              <w:spacing w:before="19" w:line="219" w:lineRule="auto"/>
              <w:rPr>
                <w:sz w:val="18"/>
                <w:szCs w:val="18"/>
              </w:rPr>
            </w:pPr>
            <w:r>
              <w:rPr>
                <w:sz w:val="18"/>
                <w:szCs w:val="18"/>
                <w:spacing w:val="-2"/>
              </w:rPr>
              <w:t>等恶臭气体</w:t>
            </w:r>
          </w:p>
        </w:tc>
        <w:tc>
          <w:tcPr>
            <w:tcW w:w="582" w:type="dxa"/>
            <w:vAlign w:val="top"/>
            <w:vMerge w:val="restart"/>
            <w:tcBorders>
              <w:bottom w:val="nil"/>
            </w:tcBorders>
          </w:tcPr>
          <w:p>
            <w:pPr>
              <w:spacing w:line="276" w:lineRule="auto"/>
              <w:rPr>
                <w:rFonts w:ascii="Arial"/>
                <w:sz w:val="21"/>
              </w:rPr>
            </w:pPr>
            <w:r/>
          </w:p>
          <w:p>
            <w:pPr>
              <w:spacing w:line="276" w:lineRule="auto"/>
              <w:rPr>
                <w:rFonts w:ascii="Arial"/>
                <w:sz w:val="21"/>
              </w:rPr>
            </w:pPr>
            <w:r/>
          </w:p>
          <w:p>
            <w:pPr>
              <w:pStyle w:val="TableText"/>
              <w:ind w:left="26"/>
              <w:spacing w:before="58" w:line="220" w:lineRule="auto"/>
              <w:rPr>
                <w:sz w:val="18"/>
                <w:szCs w:val="18"/>
              </w:rPr>
            </w:pPr>
            <w:r>
              <w:rPr>
                <w:sz w:val="18"/>
                <w:szCs w:val="18"/>
                <w:spacing w:val="-3"/>
              </w:rPr>
              <w:t>有组织</w:t>
            </w:r>
          </w:p>
        </w:tc>
        <w:tc>
          <w:tcPr>
            <w:tcW w:w="422" w:type="dxa"/>
            <w:vAlign w:val="top"/>
            <w:vMerge w:val="restart"/>
            <w:tcBorders>
              <w:bottom w:val="nil"/>
            </w:tcBorders>
          </w:tcPr>
          <w:p>
            <w:pPr>
              <w:spacing w:line="276" w:lineRule="auto"/>
              <w:rPr>
                <w:rFonts w:ascii="Arial"/>
                <w:sz w:val="21"/>
              </w:rPr>
            </w:pPr>
            <w:r/>
          </w:p>
          <w:p>
            <w:pPr>
              <w:spacing w:line="276" w:lineRule="auto"/>
              <w:rPr>
                <w:rFonts w:ascii="Arial"/>
                <w:sz w:val="21"/>
              </w:rPr>
            </w:pPr>
            <w:r/>
          </w:p>
          <w:p>
            <w:pPr>
              <w:pStyle w:val="TableText"/>
              <w:ind w:left="34"/>
              <w:spacing w:before="58" w:line="220" w:lineRule="auto"/>
              <w:rPr>
                <w:sz w:val="18"/>
                <w:szCs w:val="18"/>
              </w:rPr>
            </w:pPr>
            <w:r>
              <w:rPr>
                <w:sz w:val="18"/>
                <w:szCs w:val="18"/>
                <w:spacing w:val="-4"/>
              </w:rPr>
              <w:t>连续</w:t>
            </w:r>
          </w:p>
        </w:tc>
        <w:tc>
          <w:tcPr>
            <w:tcW w:w="844" w:type="dxa"/>
            <w:vAlign w:val="top"/>
          </w:tcPr>
          <w:p>
            <w:pPr>
              <w:pStyle w:val="TableText"/>
              <w:ind w:left="65"/>
              <w:spacing w:before="290" w:line="219" w:lineRule="auto"/>
              <w:rPr>
                <w:sz w:val="18"/>
                <w:szCs w:val="18"/>
              </w:rPr>
            </w:pPr>
            <w:r>
              <w:rPr>
                <w:sz w:val="18"/>
                <w:szCs w:val="18"/>
                <w:spacing w:val="-2"/>
              </w:rPr>
              <w:t>产物系数</w:t>
            </w:r>
          </w:p>
        </w:tc>
        <w:tc>
          <w:tcPr>
            <w:tcW w:w="661" w:type="dxa"/>
            <w:vAlign w:val="top"/>
            <w:vMerge w:val="restart"/>
            <w:tcBorders>
              <w:bottom w:val="nil"/>
            </w:tcBorders>
          </w:tcPr>
          <w:p>
            <w:pPr>
              <w:spacing w:line="293" w:lineRule="auto"/>
              <w:rPr>
                <w:rFonts w:ascii="Arial"/>
                <w:sz w:val="21"/>
              </w:rPr>
            </w:pPr>
            <w:r/>
          </w:p>
          <w:p>
            <w:pPr>
              <w:spacing w:line="294" w:lineRule="auto"/>
              <w:rPr>
                <w:rFonts w:ascii="Arial"/>
                <w:sz w:val="21"/>
              </w:rPr>
            </w:pPr>
            <w:r/>
          </w:p>
          <w:p>
            <w:pPr>
              <w:ind w:left="14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2000</w:t>
            </w:r>
          </w:p>
        </w:tc>
        <w:tc>
          <w:tcPr>
            <w:tcW w:w="827" w:type="dxa"/>
            <w:vAlign w:val="top"/>
          </w:tcPr>
          <w:p>
            <w:pPr>
              <w:spacing w:line="270" w:lineRule="auto"/>
              <w:rPr>
                <w:rFonts w:ascii="Arial"/>
                <w:sz w:val="21"/>
              </w:rPr>
            </w:pPr>
            <w:r/>
          </w:p>
          <w:p>
            <w:pPr>
              <w:ind w:left="248"/>
              <w:spacing w:before="52" w:line="190" w:lineRule="auto"/>
              <w:rPr>
                <w:rFonts w:ascii="Times New Roman" w:hAnsi="Times New Roman" w:eastAsia="Times New Roman" w:cs="Times New Roman"/>
                <w:sz w:val="11"/>
                <w:szCs w:val="11"/>
              </w:rPr>
            </w:pPr>
            <w:r>
              <w:rPr>
                <w:rFonts w:ascii="Times New Roman" w:hAnsi="Times New Roman" w:eastAsia="Times New Roman" w:cs="Times New Roman"/>
                <w:sz w:val="18"/>
                <w:szCs w:val="18"/>
              </w:rPr>
              <w:t>NH</w:t>
            </w:r>
            <w:r>
              <w:rPr>
                <w:rFonts w:ascii="Times New Roman" w:hAnsi="Times New Roman" w:eastAsia="Times New Roman" w:cs="Times New Roman"/>
                <w:sz w:val="11"/>
                <w:szCs w:val="11"/>
                <w:spacing w:val="3"/>
                <w:position w:val="-1"/>
              </w:rPr>
              <w:t>3</w:t>
            </w:r>
          </w:p>
        </w:tc>
        <w:tc>
          <w:tcPr>
            <w:tcW w:w="683" w:type="dxa"/>
            <w:vAlign w:val="top"/>
          </w:tcPr>
          <w:p>
            <w:pPr>
              <w:spacing w:line="268" w:lineRule="auto"/>
              <w:rPr>
                <w:rFonts w:ascii="Arial"/>
                <w:sz w:val="21"/>
              </w:rPr>
            </w:pPr>
            <w:r/>
          </w:p>
          <w:p>
            <w:pPr>
              <w:ind w:left="157"/>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198.6</w:t>
            </w:r>
          </w:p>
        </w:tc>
        <w:tc>
          <w:tcPr>
            <w:tcW w:w="709" w:type="dxa"/>
            <w:vAlign w:val="top"/>
          </w:tcPr>
          <w:p>
            <w:pPr>
              <w:spacing w:line="268" w:lineRule="auto"/>
              <w:rPr>
                <w:rFonts w:ascii="Arial"/>
                <w:sz w:val="21"/>
              </w:rPr>
            </w:pPr>
            <w:r/>
          </w:p>
          <w:p>
            <w:pPr>
              <w:ind w:left="10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0.3972</w:t>
            </w:r>
          </w:p>
        </w:tc>
        <w:tc>
          <w:tcPr>
            <w:tcW w:w="917" w:type="dxa"/>
            <w:vAlign w:val="top"/>
          </w:tcPr>
          <w:p>
            <w:pPr>
              <w:spacing w:line="268" w:lineRule="auto"/>
              <w:rPr>
                <w:rFonts w:ascii="Arial"/>
                <w:sz w:val="21"/>
              </w:rPr>
            </w:pPr>
            <w:r/>
          </w:p>
          <w:p>
            <w:pPr>
              <w:ind w:left="300"/>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2.86</w:t>
            </w:r>
          </w:p>
        </w:tc>
        <w:tc>
          <w:tcPr>
            <w:tcW w:w="2167" w:type="dxa"/>
            <w:vAlign w:val="top"/>
            <w:vMerge w:val="restart"/>
            <w:tcBorders>
              <w:bottom w:val="nil"/>
            </w:tcBorders>
          </w:tcPr>
          <w:p>
            <w:pPr>
              <w:pStyle w:val="TableText"/>
              <w:ind w:left="97"/>
              <w:spacing w:before="31" w:line="219" w:lineRule="auto"/>
              <w:rPr>
                <w:sz w:val="18"/>
                <w:szCs w:val="18"/>
              </w:rPr>
            </w:pPr>
            <w:r>
              <w:rPr>
                <w:sz w:val="18"/>
                <w:szCs w:val="18"/>
                <w:spacing w:val="-1"/>
              </w:rPr>
              <w:t>恶臭气体经废气收集管道</w:t>
            </w:r>
          </w:p>
          <w:p>
            <w:pPr>
              <w:pStyle w:val="TableText"/>
              <w:ind w:left="14"/>
              <w:spacing w:before="19" w:line="219" w:lineRule="auto"/>
              <w:rPr>
                <w:sz w:val="18"/>
                <w:szCs w:val="18"/>
              </w:rPr>
            </w:pPr>
            <w:r>
              <w:rPr>
                <w:sz w:val="18"/>
                <w:szCs w:val="18"/>
                <w:spacing w:val="-2"/>
              </w:rPr>
              <w:t>收集后，通过一套活性炭吸</w:t>
            </w:r>
          </w:p>
          <w:p>
            <w:pPr>
              <w:pStyle w:val="TableText"/>
              <w:ind w:left="111"/>
              <w:spacing w:before="18" w:line="219" w:lineRule="auto"/>
              <w:rPr>
                <w:sz w:val="18"/>
                <w:szCs w:val="18"/>
              </w:rPr>
            </w:pPr>
            <w:r>
              <w:rPr>
                <w:sz w:val="18"/>
                <w:szCs w:val="18"/>
                <w:spacing w:val="-2"/>
              </w:rPr>
              <w:t>附装置处理，处理后通过</w:t>
            </w:r>
          </w:p>
          <w:p>
            <w:pPr>
              <w:pStyle w:val="TableText"/>
              <w:ind w:left="377"/>
              <w:spacing w:before="19" w:line="219" w:lineRule="auto"/>
              <w:rPr>
                <w:sz w:val="18"/>
                <w:szCs w:val="18"/>
              </w:rPr>
            </w:pPr>
            <w:r>
              <w:rPr>
                <w:rFonts w:ascii="Times New Roman" w:hAnsi="Times New Roman" w:eastAsia="Times New Roman" w:cs="Times New Roman"/>
                <w:sz w:val="18"/>
                <w:szCs w:val="18"/>
                <w:spacing w:val="-4"/>
              </w:rPr>
              <w:t>15m</w:t>
            </w:r>
            <w:r>
              <w:rPr>
                <w:rFonts w:ascii="Times New Roman" w:hAnsi="Times New Roman" w:eastAsia="Times New Roman" w:cs="Times New Roman"/>
                <w:sz w:val="18"/>
                <w:szCs w:val="18"/>
                <w:spacing w:val="16"/>
              </w:rPr>
              <w:t xml:space="preserve"> </w:t>
            </w:r>
            <w:r>
              <w:rPr>
                <w:sz w:val="18"/>
                <w:szCs w:val="18"/>
                <w:spacing w:val="-4"/>
              </w:rPr>
              <w:t>高排气筒排放</w:t>
            </w:r>
          </w:p>
          <w:p>
            <w:pPr>
              <w:pStyle w:val="TableText"/>
              <w:ind w:left="23"/>
              <w:spacing w:before="19" w:line="219" w:lineRule="auto"/>
              <w:rPr>
                <w:sz w:val="18"/>
                <w:szCs w:val="18"/>
              </w:rPr>
            </w:pPr>
            <w:r>
              <w:rPr>
                <w:sz w:val="18"/>
                <w:szCs w:val="18"/>
                <w:spacing w:val="-2"/>
              </w:rPr>
              <w:t>（</w:t>
            </w:r>
            <w:r>
              <w:rPr>
                <w:rFonts w:ascii="Times New Roman" w:hAnsi="Times New Roman" w:eastAsia="Times New Roman" w:cs="Times New Roman"/>
                <w:sz w:val="18"/>
                <w:szCs w:val="18"/>
                <w:spacing w:val="-2"/>
              </w:rPr>
              <w:t>DA003</w:t>
            </w:r>
            <w:r>
              <w:rPr>
                <w:sz w:val="18"/>
                <w:szCs w:val="18"/>
                <w:spacing w:val="-2"/>
              </w:rPr>
              <w:t>）。活性炭恶臭气</w:t>
            </w:r>
          </w:p>
          <w:p>
            <w:pPr>
              <w:pStyle w:val="TableText"/>
              <w:ind w:left="358"/>
              <w:spacing w:before="21" w:line="202" w:lineRule="auto"/>
              <w:rPr>
                <w:sz w:val="18"/>
                <w:szCs w:val="18"/>
              </w:rPr>
            </w:pPr>
            <w:r>
              <w:rPr>
                <w:sz w:val="18"/>
                <w:szCs w:val="18"/>
                <w:spacing w:val="-2"/>
              </w:rPr>
              <w:t>体去除效率</w:t>
            </w:r>
            <w:r>
              <w:rPr>
                <w:sz w:val="18"/>
                <w:szCs w:val="18"/>
                <w:spacing w:val="-35"/>
              </w:rPr>
              <w:t xml:space="preserve"> </w:t>
            </w:r>
            <w:r>
              <w:rPr>
                <w:rFonts w:ascii="Times New Roman" w:hAnsi="Times New Roman" w:eastAsia="Times New Roman" w:cs="Times New Roman"/>
                <w:sz w:val="18"/>
                <w:szCs w:val="18"/>
                <w:spacing w:val="-2"/>
              </w:rPr>
              <w:t>90%</w:t>
            </w:r>
            <w:r>
              <w:rPr>
                <w:sz w:val="18"/>
                <w:szCs w:val="18"/>
                <w:spacing w:val="-2"/>
              </w:rPr>
              <w:t>。</w:t>
            </w:r>
          </w:p>
        </w:tc>
        <w:tc>
          <w:tcPr>
            <w:tcW w:w="472" w:type="dxa"/>
            <w:vAlign w:val="top"/>
          </w:tcPr>
          <w:p>
            <w:pPr>
              <w:spacing w:line="268" w:lineRule="auto"/>
              <w:rPr>
                <w:rFonts w:ascii="Arial"/>
                <w:sz w:val="21"/>
              </w:rPr>
            </w:pPr>
            <w:r/>
          </w:p>
          <w:p>
            <w:pPr>
              <w:ind w:left="150"/>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90</w:t>
            </w:r>
          </w:p>
        </w:tc>
        <w:tc>
          <w:tcPr>
            <w:tcW w:w="641" w:type="dxa"/>
            <w:vAlign w:val="top"/>
          </w:tcPr>
          <w:p>
            <w:pPr>
              <w:spacing w:line="268" w:lineRule="auto"/>
              <w:rPr>
                <w:rFonts w:ascii="Arial"/>
                <w:sz w:val="21"/>
              </w:rPr>
            </w:pPr>
            <w:r/>
          </w:p>
          <w:p>
            <w:pPr>
              <w:ind w:left="136"/>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17.85</w:t>
            </w:r>
          </w:p>
        </w:tc>
        <w:tc>
          <w:tcPr>
            <w:tcW w:w="810" w:type="dxa"/>
            <w:vAlign w:val="top"/>
          </w:tcPr>
          <w:p>
            <w:pPr>
              <w:spacing w:line="268" w:lineRule="auto"/>
              <w:rPr>
                <w:rFonts w:ascii="Arial"/>
                <w:sz w:val="21"/>
              </w:rPr>
            </w:pPr>
            <w:r/>
          </w:p>
          <w:p>
            <w:pPr>
              <w:ind w:left="162"/>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0.0357</w:t>
            </w:r>
          </w:p>
        </w:tc>
        <w:tc>
          <w:tcPr>
            <w:tcW w:w="447" w:type="dxa"/>
            <w:vAlign w:val="top"/>
            <w:vMerge w:val="restart"/>
            <w:tcBorders>
              <w:bottom w:val="nil"/>
            </w:tcBorders>
          </w:tcPr>
          <w:p>
            <w:pPr>
              <w:spacing w:line="293" w:lineRule="auto"/>
              <w:rPr>
                <w:rFonts w:ascii="Arial"/>
                <w:sz w:val="21"/>
              </w:rPr>
            </w:pPr>
            <w:r/>
          </w:p>
          <w:p>
            <w:pPr>
              <w:spacing w:line="294" w:lineRule="auto"/>
              <w:rPr>
                <w:rFonts w:ascii="Arial"/>
                <w:sz w:val="21"/>
              </w:rPr>
            </w:pPr>
            <w:r/>
          </w:p>
          <w:p>
            <w:pPr>
              <w:ind w:left="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7200</w:t>
            </w:r>
          </w:p>
        </w:tc>
        <w:tc>
          <w:tcPr>
            <w:tcW w:w="924" w:type="dxa"/>
            <w:vAlign w:val="top"/>
          </w:tcPr>
          <w:p>
            <w:pPr>
              <w:spacing w:line="268" w:lineRule="auto"/>
              <w:rPr>
                <w:rFonts w:ascii="Arial"/>
                <w:sz w:val="21"/>
              </w:rPr>
            </w:pPr>
            <w:r/>
          </w:p>
          <w:p>
            <w:pPr>
              <w:ind w:left="263"/>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0.286</w:t>
            </w:r>
          </w:p>
        </w:tc>
        <w:tc>
          <w:tcPr>
            <w:tcW w:w="467" w:type="dxa"/>
            <w:vAlign w:val="top"/>
            <w:gridSpan w:val="2"/>
            <w:vMerge w:val="restart"/>
            <w:tcBorders>
              <w:bottom w:val="nil"/>
            </w:tcBorders>
          </w:tcPr>
          <w:p>
            <w:pPr>
              <w:spacing w:line="293" w:lineRule="auto"/>
              <w:rPr>
                <w:rFonts w:ascii="Arial"/>
                <w:sz w:val="21"/>
              </w:rPr>
            </w:pPr>
            <w:r/>
          </w:p>
          <w:p>
            <w:pPr>
              <w:spacing w:line="294" w:lineRule="auto"/>
              <w:rPr>
                <w:rFonts w:ascii="Arial"/>
                <w:sz w:val="21"/>
              </w:rPr>
            </w:pPr>
            <w:r/>
          </w:p>
          <w:p>
            <w:pPr>
              <w:ind w:left="16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447" w:type="dxa"/>
            <w:vAlign w:val="top"/>
            <w:vMerge w:val="restart"/>
            <w:tcBorders>
              <w:bottom w:val="nil"/>
            </w:tcBorders>
          </w:tcPr>
          <w:p>
            <w:pPr>
              <w:spacing w:line="293" w:lineRule="auto"/>
              <w:rPr>
                <w:rFonts w:ascii="Arial"/>
                <w:sz w:val="21"/>
              </w:rPr>
            </w:pPr>
            <w:r/>
          </w:p>
          <w:p>
            <w:pPr>
              <w:spacing w:line="294" w:lineRule="auto"/>
              <w:rPr>
                <w:rFonts w:ascii="Arial"/>
                <w:sz w:val="21"/>
              </w:rPr>
            </w:pPr>
            <w:r/>
          </w:p>
          <w:p>
            <w:pPr>
              <w:ind w:left="13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0.2</w:t>
            </w:r>
          </w:p>
        </w:tc>
        <w:tc>
          <w:tcPr>
            <w:tcW w:w="532" w:type="dxa"/>
            <w:vAlign w:val="top"/>
            <w:vMerge w:val="restart"/>
            <w:tcBorders>
              <w:bottom w:val="nil"/>
            </w:tcBorders>
          </w:tcPr>
          <w:p>
            <w:pPr>
              <w:spacing w:line="293" w:lineRule="auto"/>
              <w:rPr>
                <w:rFonts w:ascii="Arial"/>
                <w:sz w:val="21"/>
              </w:rPr>
            </w:pPr>
            <w:r/>
          </w:p>
          <w:p>
            <w:pPr>
              <w:spacing w:line="294" w:lineRule="auto"/>
              <w:rPr>
                <w:rFonts w:ascii="Arial"/>
                <w:sz w:val="21"/>
              </w:rPr>
            </w:pPr>
            <w:r/>
          </w:p>
          <w:p>
            <w:pPr>
              <w:ind w:left="191"/>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25</w:t>
            </w:r>
          </w:p>
        </w:tc>
      </w:tr>
      <w:tr>
        <w:trPr>
          <w:trHeight w:val="640" w:hRule="atLeast"/>
        </w:trPr>
        <w:tc>
          <w:tcPr>
            <w:tcW w:w="446" w:type="dxa"/>
            <w:vAlign w:val="top"/>
            <w:vMerge w:val="continue"/>
            <w:tcBorders>
              <w:top w:val="nil"/>
            </w:tcBorders>
          </w:tcPr>
          <w:p>
            <w:pPr>
              <w:rPr>
                <w:rFonts w:ascii="Arial"/>
                <w:sz w:val="21"/>
              </w:rPr>
            </w:pPr>
            <w:r/>
          </w:p>
        </w:tc>
        <w:tc>
          <w:tcPr>
            <w:tcW w:w="1054" w:type="dxa"/>
            <w:vAlign w:val="top"/>
            <w:vMerge w:val="continue"/>
            <w:tcBorders>
              <w:top w:val="nil"/>
            </w:tcBorders>
          </w:tcPr>
          <w:p>
            <w:pPr>
              <w:rPr>
                <w:rFonts w:ascii="Arial"/>
                <w:sz w:val="21"/>
              </w:rPr>
            </w:pPr>
            <w:r/>
          </w:p>
        </w:tc>
        <w:tc>
          <w:tcPr>
            <w:tcW w:w="582" w:type="dxa"/>
            <w:vAlign w:val="top"/>
            <w:vMerge w:val="continue"/>
            <w:tcBorders>
              <w:top w:val="nil"/>
            </w:tcBorders>
          </w:tcPr>
          <w:p>
            <w:pPr>
              <w:rPr>
                <w:rFonts w:ascii="Arial"/>
                <w:sz w:val="21"/>
              </w:rPr>
            </w:pPr>
            <w:r/>
          </w:p>
        </w:tc>
        <w:tc>
          <w:tcPr>
            <w:tcW w:w="422" w:type="dxa"/>
            <w:vAlign w:val="top"/>
            <w:vMerge w:val="continue"/>
            <w:tcBorders>
              <w:top w:val="nil"/>
            </w:tcBorders>
          </w:tcPr>
          <w:p>
            <w:pPr>
              <w:rPr>
                <w:rFonts w:ascii="Arial"/>
                <w:sz w:val="21"/>
              </w:rPr>
            </w:pPr>
            <w:r/>
          </w:p>
        </w:tc>
        <w:tc>
          <w:tcPr>
            <w:tcW w:w="844" w:type="dxa"/>
            <w:vAlign w:val="top"/>
          </w:tcPr>
          <w:p>
            <w:pPr>
              <w:pStyle w:val="TableText"/>
              <w:ind w:left="65"/>
              <w:spacing w:before="232" w:line="219" w:lineRule="auto"/>
              <w:rPr>
                <w:sz w:val="18"/>
                <w:szCs w:val="18"/>
              </w:rPr>
            </w:pPr>
            <w:r>
              <w:rPr>
                <w:sz w:val="18"/>
                <w:szCs w:val="18"/>
                <w:spacing w:val="-2"/>
              </w:rPr>
              <w:t>产物系数</w:t>
            </w:r>
          </w:p>
        </w:tc>
        <w:tc>
          <w:tcPr>
            <w:tcW w:w="661" w:type="dxa"/>
            <w:vAlign w:val="top"/>
            <w:vMerge w:val="continue"/>
            <w:tcBorders>
              <w:top w:val="nil"/>
            </w:tcBorders>
          </w:tcPr>
          <w:p>
            <w:pPr>
              <w:rPr>
                <w:rFonts w:ascii="Arial"/>
                <w:sz w:val="21"/>
              </w:rPr>
            </w:pPr>
            <w:r/>
          </w:p>
        </w:tc>
        <w:tc>
          <w:tcPr>
            <w:tcW w:w="827" w:type="dxa"/>
            <w:vAlign w:val="top"/>
          </w:tcPr>
          <w:p>
            <w:pPr>
              <w:ind w:left="267"/>
              <w:spacing w:before="262" w:line="194"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H</w:t>
            </w:r>
            <w:r>
              <w:rPr>
                <w:rFonts w:ascii="Times New Roman" w:hAnsi="Times New Roman" w:eastAsia="Times New Roman" w:cs="Times New Roman"/>
                <w:sz w:val="11"/>
                <w:szCs w:val="11"/>
                <w:spacing w:val="-1"/>
                <w:position w:val="-1"/>
              </w:rPr>
              <w:t>2</w:t>
            </w:r>
            <w:r>
              <w:rPr>
                <w:rFonts w:ascii="Times New Roman" w:hAnsi="Times New Roman" w:eastAsia="Times New Roman" w:cs="Times New Roman"/>
                <w:sz w:val="18"/>
                <w:szCs w:val="18"/>
                <w:spacing w:val="-1"/>
              </w:rPr>
              <w:t>S</w:t>
            </w:r>
          </w:p>
        </w:tc>
        <w:tc>
          <w:tcPr>
            <w:tcW w:w="683" w:type="dxa"/>
            <w:vAlign w:val="top"/>
          </w:tcPr>
          <w:p>
            <w:pPr>
              <w:ind w:left="111"/>
              <w:spacing w:before="26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11.875</w:t>
            </w:r>
          </w:p>
        </w:tc>
        <w:tc>
          <w:tcPr>
            <w:tcW w:w="709" w:type="dxa"/>
            <w:vAlign w:val="top"/>
          </w:tcPr>
          <w:p>
            <w:pPr>
              <w:ind w:left="109"/>
              <w:spacing w:before="26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0.0237</w:t>
            </w:r>
          </w:p>
        </w:tc>
        <w:tc>
          <w:tcPr>
            <w:tcW w:w="917" w:type="dxa"/>
            <w:vAlign w:val="top"/>
          </w:tcPr>
          <w:p>
            <w:pPr>
              <w:ind w:left="260"/>
              <w:spacing w:before="26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0.171</w:t>
            </w:r>
          </w:p>
        </w:tc>
        <w:tc>
          <w:tcPr>
            <w:tcW w:w="2167" w:type="dxa"/>
            <w:vAlign w:val="top"/>
            <w:vMerge w:val="continue"/>
            <w:tcBorders>
              <w:top w:val="nil"/>
            </w:tcBorders>
          </w:tcPr>
          <w:p>
            <w:pPr>
              <w:rPr>
                <w:rFonts w:ascii="Arial"/>
                <w:sz w:val="21"/>
              </w:rPr>
            </w:pPr>
            <w:r/>
          </w:p>
        </w:tc>
        <w:tc>
          <w:tcPr>
            <w:tcW w:w="472" w:type="dxa"/>
            <w:vAlign w:val="top"/>
          </w:tcPr>
          <w:p>
            <w:pPr>
              <w:ind w:left="150"/>
              <w:spacing w:before="26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90</w:t>
            </w:r>
          </w:p>
        </w:tc>
        <w:tc>
          <w:tcPr>
            <w:tcW w:w="641" w:type="dxa"/>
            <w:vAlign w:val="top"/>
          </w:tcPr>
          <w:p>
            <w:pPr>
              <w:ind w:left="136"/>
              <w:spacing w:before="26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1.065</w:t>
            </w:r>
          </w:p>
        </w:tc>
        <w:tc>
          <w:tcPr>
            <w:tcW w:w="810" w:type="dxa"/>
            <w:vAlign w:val="top"/>
          </w:tcPr>
          <w:p>
            <w:pPr>
              <w:ind w:left="116"/>
              <w:spacing w:before="26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0.00213</w:t>
            </w:r>
          </w:p>
        </w:tc>
        <w:tc>
          <w:tcPr>
            <w:tcW w:w="447" w:type="dxa"/>
            <w:vAlign w:val="top"/>
            <w:vMerge w:val="continue"/>
            <w:tcBorders>
              <w:top w:val="nil"/>
            </w:tcBorders>
          </w:tcPr>
          <w:p>
            <w:pPr>
              <w:rPr>
                <w:rFonts w:ascii="Arial"/>
                <w:sz w:val="21"/>
              </w:rPr>
            </w:pPr>
            <w:r/>
          </w:p>
        </w:tc>
        <w:tc>
          <w:tcPr>
            <w:tcW w:w="924" w:type="dxa"/>
            <w:vAlign w:val="top"/>
          </w:tcPr>
          <w:p>
            <w:pPr>
              <w:ind w:left="263"/>
              <w:spacing w:before="26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0.017</w:t>
            </w:r>
          </w:p>
        </w:tc>
        <w:tc>
          <w:tcPr>
            <w:tcW w:w="467" w:type="dxa"/>
            <w:vAlign w:val="top"/>
            <w:gridSpan w:val="2"/>
            <w:vMerge w:val="continue"/>
            <w:tcBorders>
              <w:top w:val="nil"/>
            </w:tcBorders>
          </w:tcPr>
          <w:p>
            <w:pPr>
              <w:rPr>
                <w:rFonts w:ascii="Arial"/>
                <w:sz w:val="21"/>
              </w:rPr>
            </w:pPr>
            <w:r/>
          </w:p>
        </w:tc>
        <w:tc>
          <w:tcPr>
            <w:tcW w:w="447" w:type="dxa"/>
            <w:vAlign w:val="top"/>
            <w:vMerge w:val="continue"/>
            <w:tcBorders>
              <w:top w:val="nil"/>
            </w:tcBorders>
          </w:tcPr>
          <w:p>
            <w:pPr>
              <w:rPr>
                <w:rFonts w:ascii="Arial"/>
                <w:sz w:val="21"/>
              </w:rPr>
            </w:pPr>
            <w:r/>
          </w:p>
        </w:tc>
        <w:tc>
          <w:tcPr>
            <w:tcW w:w="532" w:type="dxa"/>
            <w:vAlign w:val="top"/>
            <w:vMerge w:val="continue"/>
            <w:tcBorders>
              <w:top w:val="nil"/>
            </w:tcBorders>
          </w:tcPr>
          <w:p>
            <w:pPr>
              <w:rPr>
                <w:rFonts w:ascii="Arial"/>
                <w:sz w:val="21"/>
              </w:rPr>
            </w:pPr>
            <w:r/>
          </w:p>
        </w:tc>
      </w:tr>
      <w:tr>
        <w:trPr>
          <w:trHeight w:val="474" w:hRule="atLeast"/>
        </w:trPr>
        <w:tc>
          <w:tcPr>
            <w:tcW w:w="446" w:type="dxa"/>
            <w:vAlign w:val="top"/>
            <w:vMerge w:val="restart"/>
            <w:tcBorders>
              <w:bottom w:val="nil"/>
            </w:tcBorders>
          </w:tcPr>
          <w:p>
            <w:pPr>
              <w:spacing w:line="329" w:lineRule="auto"/>
              <w:rPr>
                <w:rFonts w:ascii="Arial"/>
                <w:sz w:val="21"/>
              </w:rPr>
            </w:pPr>
            <w:r/>
          </w:p>
          <w:p>
            <w:pPr>
              <w:ind w:left="84"/>
              <w:spacing w:before="52" w:line="201" w:lineRule="auto"/>
              <w:rPr>
                <w:rFonts w:ascii="Times New Roman" w:hAnsi="Times New Roman" w:eastAsia="Times New Roman" w:cs="Times New Roman"/>
                <w:sz w:val="11"/>
                <w:szCs w:val="11"/>
              </w:rPr>
            </w:pPr>
            <w:r>
              <w:rPr>
                <w:rFonts w:ascii="Times New Roman" w:hAnsi="Times New Roman" w:eastAsia="Times New Roman" w:cs="Times New Roman"/>
                <w:sz w:val="18"/>
                <w:szCs w:val="18"/>
              </w:rPr>
              <w:t>G</w:t>
            </w:r>
            <w:r>
              <w:rPr>
                <w:rFonts w:ascii="Times New Roman" w:hAnsi="Times New Roman" w:eastAsia="Times New Roman" w:cs="Times New Roman"/>
                <w:sz w:val="11"/>
                <w:szCs w:val="11"/>
              </w:rPr>
              <w:t>3-2</w:t>
            </w:r>
          </w:p>
        </w:tc>
        <w:tc>
          <w:tcPr>
            <w:tcW w:w="1054" w:type="dxa"/>
            <w:vAlign w:val="top"/>
            <w:vMerge w:val="restart"/>
            <w:tcBorders>
              <w:bottom w:val="nil"/>
            </w:tcBorders>
          </w:tcPr>
          <w:p>
            <w:pPr>
              <w:pStyle w:val="TableText"/>
              <w:ind w:left="79"/>
              <w:spacing w:before="234" w:line="219" w:lineRule="auto"/>
              <w:rPr>
                <w:sz w:val="18"/>
                <w:szCs w:val="18"/>
              </w:rPr>
            </w:pPr>
            <w:r>
              <w:rPr>
                <w:sz w:val="18"/>
                <w:szCs w:val="18"/>
                <w:spacing w:val="-2"/>
              </w:rPr>
              <w:t>厌氧发酵罐</w:t>
            </w:r>
          </w:p>
          <w:p>
            <w:pPr>
              <w:pStyle w:val="TableText"/>
              <w:ind w:left="271"/>
              <w:spacing w:before="19" w:line="219" w:lineRule="auto"/>
              <w:rPr>
                <w:sz w:val="18"/>
                <w:szCs w:val="18"/>
              </w:rPr>
            </w:pPr>
            <w:r>
              <w:rPr>
                <w:sz w:val="18"/>
                <w:szCs w:val="18"/>
                <w:spacing w:val="-7"/>
              </w:rPr>
              <w:t>区臭气</w:t>
            </w:r>
          </w:p>
        </w:tc>
        <w:tc>
          <w:tcPr>
            <w:tcW w:w="582" w:type="dxa"/>
            <w:vAlign w:val="top"/>
            <w:vMerge w:val="restart"/>
            <w:tcBorders>
              <w:bottom w:val="nil"/>
            </w:tcBorders>
          </w:tcPr>
          <w:p>
            <w:pPr>
              <w:spacing w:line="292" w:lineRule="auto"/>
              <w:rPr>
                <w:rFonts w:ascii="Arial"/>
                <w:sz w:val="21"/>
              </w:rPr>
            </w:pPr>
            <w:r/>
          </w:p>
          <w:p>
            <w:pPr>
              <w:pStyle w:val="TableText"/>
              <w:ind w:left="26"/>
              <w:spacing w:before="58" w:line="220" w:lineRule="auto"/>
              <w:rPr>
                <w:sz w:val="18"/>
                <w:szCs w:val="18"/>
              </w:rPr>
            </w:pPr>
            <w:r>
              <w:rPr>
                <w:sz w:val="18"/>
                <w:szCs w:val="18"/>
                <w:spacing w:val="-3"/>
              </w:rPr>
              <w:t>无组织</w:t>
            </w:r>
          </w:p>
        </w:tc>
        <w:tc>
          <w:tcPr>
            <w:tcW w:w="422" w:type="dxa"/>
            <w:vAlign w:val="top"/>
            <w:vMerge w:val="restart"/>
            <w:tcBorders>
              <w:bottom w:val="nil"/>
            </w:tcBorders>
          </w:tcPr>
          <w:p>
            <w:pPr>
              <w:spacing w:line="292" w:lineRule="auto"/>
              <w:rPr>
                <w:rFonts w:ascii="Arial"/>
                <w:sz w:val="21"/>
              </w:rPr>
            </w:pPr>
            <w:r/>
          </w:p>
          <w:p>
            <w:pPr>
              <w:pStyle w:val="TableText"/>
              <w:ind w:left="34"/>
              <w:spacing w:before="58" w:line="220" w:lineRule="auto"/>
              <w:rPr>
                <w:sz w:val="18"/>
                <w:szCs w:val="18"/>
              </w:rPr>
            </w:pPr>
            <w:r>
              <w:rPr>
                <w:sz w:val="18"/>
                <w:szCs w:val="18"/>
                <w:spacing w:val="-4"/>
              </w:rPr>
              <w:t>连续</w:t>
            </w:r>
          </w:p>
        </w:tc>
        <w:tc>
          <w:tcPr>
            <w:tcW w:w="844" w:type="dxa"/>
            <w:vAlign w:val="top"/>
            <w:vMerge w:val="restart"/>
            <w:tcBorders>
              <w:bottom w:val="nil"/>
            </w:tcBorders>
          </w:tcPr>
          <w:p>
            <w:pPr>
              <w:pStyle w:val="TableText"/>
              <w:ind w:left="65"/>
              <w:spacing w:before="235" w:line="219" w:lineRule="auto"/>
              <w:rPr>
                <w:sz w:val="18"/>
                <w:szCs w:val="18"/>
              </w:rPr>
            </w:pPr>
            <w:r>
              <w:rPr>
                <w:sz w:val="18"/>
                <w:szCs w:val="18"/>
                <w:spacing w:val="-2"/>
              </w:rPr>
              <w:t>物料衡算</w:t>
            </w:r>
          </w:p>
          <w:p>
            <w:pPr>
              <w:pStyle w:val="TableText"/>
              <w:ind w:left="337"/>
              <w:spacing w:before="19" w:line="225" w:lineRule="auto"/>
              <w:rPr>
                <w:sz w:val="18"/>
                <w:szCs w:val="18"/>
              </w:rPr>
            </w:pPr>
            <w:r>
              <w:rPr>
                <w:sz w:val="18"/>
                <w:szCs w:val="18"/>
              </w:rPr>
              <w:t>法</w:t>
            </w:r>
          </w:p>
        </w:tc>
        <w:tc>
          <w:tcPr>
            <w:tcW w:w="661" w:type="dxa"/>
            <w:vAlign w:val="top"/>
            <w:vMerge w:val="restart"/>
            <w:tcBorders>
              <w:bottom w:val="nil"/>
            </w:tcBorders>
          </w:tcPr>
          <w:p>
            <w:pPr>
              <w:spacing w:line="326" w:lineRule="auto"/>
              <w:rPr>
                <w:rFonts w:ascii="Arial"/>
                <w:sz w:val="21"/>
              </w:rPr>
            </w:pPr>
            <w:r/>
          </w:p>
          <w:p>
            <w:pPr>
              <w:ind w:left="301"/>
              <w:spacing w:before="52"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827" w:type="dxa"/>
            <w:vAlign w:val="top"/>
          </w:tcPr>
          <w:p>
            <w:pPr>
              <w:ind w:left="248"/>
              <w:spacing w:before="182" w:line="190" w:lineRule="auto"/>
              <w:rPr>
                <w:rFonts w:ascii="Times New Roman" w:hAnsi="Times New Roman" w:eastAsia="Times New Roman" w:cs="Times New Roman"/>
                <w:sz w:val="11"/>
                <w:szCs w:val="11"/>
              </w:rPr>
            </w:pPr>
            <w:r>
              <w:rPr>
                <w:rFonts w:ascii="Times New Roman" w:hAnsi="Times New Roman" w:eastAsia="Times New Roman" w:cs="Times New Roman"/>
                <w:sz w:val="18"/>
                <w:szCs w:val="18"/>
              </w:rPr>
              <w:t>NH</w:t>
            </w:r>
            <w:r>
              <w:rPr>
                <w:rFonts w:ascii="Times New Roman" w:hAnsi="Times New Roman" w:eastAsia="Times New Roman" w:cs="Times New Roman"/>
                <w:sz w:val="11"/>
                <w:szCs w:val="11"/>
                <w:spacing w:val="3"/>
                <w:position w:val="-1"/>
              </w:rPr>
              <w:t>3</w:t>
            </w:r>
          </w:p>
        </w:tc>
        <w:tc>
          <w:tcPr>
            <w:tcW w:w="683" w:type="dxa"/>
            <w:vAlign w:val="top"/>
          </w:tcPr>
          <w:p>
            <w:pPr>
              <w:ind w:left="313"/>
              <w:spacing w:before="176"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709" w:type="dxa"/>
            <w:vAlign w:val="top"/>
          </w:tcPr>
          <w:p>
            <w:pPr>
              <w:ind w:left="109"/>
              <w:spacing w:before="17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0.0027</w:t>
            </w:r>
          </w:p>
        </w:tc>
        <w:tc>
          <w:tcPr>
            <w:tcW w:w="917" w:type="dxa"/>
            <w:vAlign w:val="top"/>
          </w:tcPr>
          <w:p>
            <w:pPr>
              <w:ind w:left="303"/>
              <w:spacing w:before="17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0.02</w:t>
            </w:r>
          </w:p>
        </w:tc>
        <w:tc>
          <w:tcPr>
            <w:tcW w:w="2167" w:type="dxa"/>
            <w:vAlign w:val="top"/>
            <w:vMerge w:val="restart"/>
            <w:tcBorders>
              <w:bottom w:val="nil"/>
            </w:tcBorders>
          </w:tcPr>
          <w:p>
            <w:pPr>
              <w:pStyle w:val="TableText"/>
              <w:ind w:left="97"/>
              <w:spacing w:before="116" w:line="219" w:lineRule="auto"/>
              <w:rPr>
                <w:sz w:val="18"/>
                <w:szCs w:val="18"/>
              </w:rPr>
            </w:pPr>
            <w:r>
              <w:rPr>
                <w:sz w:val="18"/>
                <w:szCs w:val="18"/>
                <w:spacing w:val="-1"/>
              </w:rPr>
              <w:t>厌氧发酵罐区喷洒生物除</w:t>
            </w:r>
          </w:p>
          <w:p>
            <w:pPr>
              <w:pStyle w:val="TableText"/>
              <w:ind w:left="42"/>
              <w:spacing w:before="21" w:line="219" w:lineRule="auto"/>
              <w:rPr>
                <w:sz w:val="18"/>
                <w:szCs w:val="18"/>
              </w:rPr>
            </w:pPr>
            <w:r>
              <w:rPr>
                <w:sz w:val="18"/>
                <w:szCs w:val="18"/>
                <w:spacing w:val="-4"/>
              </w:rPr>
              <w:t>臭剂，</w:t>
            </w:r>
            <w:r>
              <w:rPr>
                <w:rFonts w:ascii="Times New Roman" w:hAnsi="Times New Roman" w:eastAsia="Times New Roman" w:cs="Times New Roman"/>
                <w:sz w:val="18"/>
                <w:szCs w:val="18"/>
                <w:spacing w:val="-4"/>
              </w:rPr>
              <w:t>NH</w:t>
            </w:r>
            <w:r>
              <w:rPr>
                <w:rFonts w:ascii="Times New Roman" w:hAnsi="Times New Roman" w:eastAsia="Times New Roman" w:cs="Times New Roman"/>
                <w:sz w:val="11"/>
                <w:szCs w:val="11"/>
                <w:spacing w:val="-4"/>
                <w:position w:val="-1"/>
              </w:rPr>
              <w:t>3</w:t>
            </w:r>
            <w:r>
              <w:rPr>
                <w:rFonts w:ascii="Times New Roman" w:hAnsi="Times New Roman" w:eastAsia="Times New Roman" w:cs="Times New Roman"/>
                <w:sz w:val="11"/>
                <w:szCs w:val="11"/>
                <w:spacing w:val="2"/>
                <w:position w:val="-1"/>
              </w:rPr>
              <w:t xml:space="preserve"> </w:t>
            </w:r>
            <w:r>
              <w:rPr>
                <w:sz w:val="18"/>
                <w:szCs w:val="18"/>
                <w:spacing w:val="-4"/>
              </w:rPr>
              <w:t>、</w:t>
            </w:r>
            <w:r>
              <w:rPr>
                <w:rFonts w:ascii="Times New Roman" w:hAnsi="Times New Roman" w:eastAsia="Times New Roman" w:cs="Times New Roman"/>
                <w:sz w:val="18"/>
                <w:szCs w:val="18"/>
                <w:spacing w:val="-4"/>
              </w:rPr>
              <w:t>H</w:t>
            </w:r>
            <w:r>
              <w:rPr>
                <w:rFonts w:ascii="Times New Roman" w:hAnsi="Times New Roman" w:eastAsia="Times New Roman" w:cs="Times New Roman"/>
                <w:sz w:val="11"/>
                <w:szCs w:val="11"/>
                <w:spacing w:val="-4"/>
                <w:position w:val="-1"/>
              </w:rPr>
              <w:t>2</w:t>
            </w:r>
            <w:r>
              <w:rPr>
                <w:rFonts w:ascii="Times New Roman" w:hAnsi="Times New Roman" w:eastAsia="Times New Roman" w:cs="Times New Roman"/>
                <w:sz w:val="18"/>
                <w:szCs w:val="18"/>
                <w:spacing w:val="-4"/>
              </w:rPr>
              <w:t>S</w:t>
            </w:r>
            <w:r>
              <w:rPr>
                <w:rFonts w:ascii="Times New Roman" w:hAnsi="Times New Roman" w:eastAsia="Times New Roman" w:cs="Times New Roman"/>
                <w:sz w:val="18"/>
                <w:szCs w:val="18"/>
                <w:spacing w:val="23"/>
                <w:w w:val="101"/>
              </w:rPr>
              <w:t xml:space="preserve"> </w:t>
            </w:r>
            <w:r>
              <w:rPr>
                <w:sz w:val="18"/>
                <w:szCs w:val="18"/>
                <w:spacing w:val="-4"/>
              </w:rPr>
              <w:t>的去除效</w:t>
            </w:r>
          </w:p>
          <w:p>
            <w:pPr>
              <w:pStyle w:val="TableText"/>
              <w:ind w:left="720"/>
              <w:spacing w:before="19" w:line="219" w:lineRule="auto"/>
              <w:rPr>
                <w:sz w:val="18"/>
                <w:szCs w:val="18"/>
              </w:rPr>
            </w:pPr>
            <w:r>
              <w:rPr>
                <w:sz w:val="18"/>
                <w:szCs w:val="18"/>
                <w:spacing w:val="-4"/>
              </w:rPr>
              <w:t>率</w:t>
            </w:r>
            <w:r>
              <w:rPr>
                <w:sz w:val="18"/>
                <w:szCs w:val="18"/>
                <w:spacing w:val="-34"/>
              </w:rPr>
              <w:t xml:space="preserve"> </w:t>
            </w:r>
            <w:r>
              <w:rPr>
                <w:rFonts w:ascii="Times New Roman" w:hAnsi="Times New Roman" w:eastAsia="Times New Roman" w:cs="Times New Roman"/>
                <w:sz w:val="18"/>
                <w:szCs w:val="18"/>
                <w:spacing w:val="-4"/>
              </w:rPr>
              <w:t>60%</w:t>
            </w:r>
            <w:r>
              <w:rPr>
                <w:sz w:val="18"/>
                <w:szCs w:val="18"/>
                <w:spacing w:val="-4"/>
              </w:rPr>
              <w:t>。</w:t>
            </w:r>
          </w:p>
        </w:tc>
        <w:tc>
          <w:tcPr>
            <w:tcW w:w="472" w:type="dxa"/>
            <w:vAlign w:val="top"/>
          </w:tcPr>
          <w:p>
            <w:pPr>
              <w:ind w:left="150"/>
              <w:spacing w:before="17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60</w:t>
            </w:r>
          </w:p>
        </w:tc>
        <w:tc>
          <w:tcPr>
            <w:tcW w:w="641" w:type="dxa"/>
            <w:vAlign w:val="top"/>
          </w:tcPr>
          <w:p>
            <w:pPr>
              <w:ind w:left="292"/>
              <w:spacing w:before="176"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810" w:type="dxa"/>
            <w:vAlign w:val="top"/>
          </w:tcPr>
          <w:p>
            <w:pPr>
              <w:ind w:left="116"/>
              <w:spacing w:before="17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0.00112</w:t>
            </w:r>
          </w:p>
        </w:tc>
        <w:tc>
          <w:tcPr>
            <w:tcW w:w="447" w:type="dxa"/>
            <w:vAlign w:val="top"/>
            <w:vMerge w:val="restart"/>
            <w:tcBorders>
              <w:bottom w:val="nil"/>
            </w:tcBorders>
          </w:tcPr>
          <w:p>
            <w:pPr>
              <w:spacing w:line="329" w:lineRule="auto"/>
              <w:rPr>
                <w:rFonts w:ascii="Arial"/>
                <w:sz w:val="21"/>
              </w:rPr>
            </w:pPr>
            <w:r/>
          </w:p>
          <w:p>
            <w:pPr>
              <w:ind w:left="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7200</w:t>
            </w:r>
          </w:p>
        </w:tc>
        <w:tc>
          <w:tcPr>
            <w:tcW w:w="924" w:type="dxa"/>
            <w:vAlign w:val="top"/>
          </w:tcPr>
          <w:p>
            <w:pPr>
              <w:ind w:left="263"/>
              <w:spacing w:before="17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0.008</w:t>
            </w:r>
          </w:p>
        </w:tc>
        <w:tc>
          <w:tcPr>
            <w:tcW w:w="1446" w:type="dxa"/>
            <w:vAlign w:val="top"/>
            <w:gridSpan w:val="4"/>
            <w:vMerge w:val="restart"/>
            <w:tcBorders>
              <w:bottom w:val="nil"/>
            </w:tcBorders>
          </w:tcPr>
          <w:p>
            <w:pPr>
              <w:pStyle w:val="TableText"/>
              <w:ind w:left="452" w:right="5" w:hanging="442"/>
              <w:spacing w:before="235" w:line="241"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33m×12m</w:t>
            </w:r>
            <w:r>
              <w:rPr>
                <w:sz w:val="18"/>
                <w:szCs w:val="18"/>
                <w:spacing w:val="-4"/>
              </w:rPr>
              <w:t>，排放高</w:t>
            </w:r>
            <w:r>
              <w:rPr>
                <w:sz w:val="18"/>
                <w:szCs w:val="18"/>
                <w:spacing w:val="6"/>
              </w:rPr>
              <w:t xml:space="preserve"> </w:t>
            </w:r>
            <w:r>
              <w:rPr>
                <w:sz w:val="18"/>
                <w:szCs w:val="18"/>
                <w:spacing w:val="-7"/>
              </w:rPr>
              <w:t>度</w:t>
            </w:r>
            <w:r>
              <w:rPr>
                <w:sz w:val="18"/>
                <w:szCs w:val="18"/>
                <w:spacing w:val="-23"/>
              </w:rPr>
              <w:t xml:space="preserve"> </w:t>
            </w:r>
            <w:r>
              <w:rPr>
                <w:rFonts w:ascii="Times New Roman" w:hAnsi="Times New Roman" w:eastAsia="Times New Roman" w:cs="Times New Roman"/>
                <w:sz w:val="18"/>
                <w:szCs w:val="18"/>
                <w:spacing w:val="-7"/>
              </w:rPr>
              <w:t>15m</w:t>
            </w:r>
          </w:p>
        </w:tc>
      </w:tr>
      <w:tr>
        <w:trPr>
          <w:trHeight w:val="402" w:hRule="atLeast"/>
        </w:trPr>
        <w:tc>
          <w:tcPr>
            <w:tcW w:w="446" w:type="dxa"/>
            <w:vAlign w:val="top"/>
            <w:vMerge w:val="continue"/>
            <w:tcBorders>
              <w:top w:val="nil"/>
            </w:tcBorders>
          </w:tcPr>
          <w:p>
            <w:pPr>
              <w:rPr>
                <w:rFonts w:ascii="Arial"/>
                <w:sz w:val="21"/>
              </w:rPr>
            </w:pPr>
            <w:r/>
          </w:p>
        </w:tc>
        <w:tc>
          <w:tcPr>
            <w:tcW w:w="1054" w:type="dxa"/>
            <w:vAlign w:val="top"/>
            <w:vMerge w:val="continue"/>
            <w:tcBorders>
              <w:top w:val="nil"/>
            </w:tcBorders>
          </w:tcPr>
          <w:p>
            <w:pPr>
              <w:rPr>
                <w:rFonts w:ascii="Arial"/>
                <w:sz w:val="21"/>
              </w:rPr>
            </w:pPr>
            <w:r/>
          </w:p>
        </w:tc>
        <w:tc>
          <w:tcPr>
            <w:tcW w:w="582" w:type="dxa"/>
            <w:vAlign w:val="top"/>
            <w:vMerge w:val="continue"/>
            <w:tcBorders>
              <w:top w:val="nil"/>
            </w:tcBorders>
          </w:tcPr>
          <w:p>
            <w:pPr>
              <w:rPr>
                <w:rFonts w:ascii="Arial"/>
                <w:sz w:val="21"/>
              </w:rPr>
            </w:pPr>
            <w:r/>
          </w:p>
        </w:tc>
        <w:tc>
          <w:tcPr>
            <w:tcW w:w="422" w:type="dxa"/>
            <w:vAlign w:val="top"/>
            <w:vMerge w:val="continue"/>
            <w:tcBorders>
              <w:top w:val="nil"/>
            </w:tcBorders>
          </w:tcPr>
          <w:p>
            <w:pPr>
              <w:rPr>
                <w:rFonts w:ascii="Arial"/>
                <w:sz w:val="21"/>
              </w:rPr>
            </w:pPr>
            <w:r/>
          </w:p>
        </w:tc>
        <w:tc>
          <w:tcPr>
            <w:tcW w:w="844" w:type="dxa"/>
            <w:vAlign w:val="top"/>
            <w:vMerge w:val="continue"/>
            <w:tcBorders>
              <w:top w:val="nil"/>
            </w:tcBorders>
          </w:tcPr>
          <w:p>
            <w:pPr>
              <w:rPr>
                <w:rFonts w:ascii="Arial"/>
                <w:sz w:val="21"/>
              </w:rPr>
            </w:pPr>
            <w:r/>
          </w:p>
        </w:tc>
        <w:tc>
          <w:tcPr>
            <w:tcW w:w="661" w:type="dxa"/>
            <w:vAlign w:val="top"/>
            <w:vMerge w:val="continue"/>
            <w:tcBorders>
              <w:top w:val="nil"/>
            </w:tcBorders>
          </w:tcPr>
          <w:p>
            <w:pPr>
              <w:rPr>
                <w:rFonts w:ascii="Arial"/>
                <w:sz w:val="21"/>
              </w:rPr>
            </w:pPr>
            <w:r/>
          </w:p>
        </w:tc>
        <w:tc>
          <w:tcPr>
            <w:tcW w:w="827" w:type="dxa"/>
            <w:vAlign w:val="top"/>
          </w:tcPr>
          <w:p>
            <w:pPr>
              <w:ind w:left="267"/>
              <w:spacing w:before="144" w:line="199"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H</w:t>
            </w:r>
            <w:r>
              <w:rPr>
                <w:rFonts w:ascii="Times New Roman" w:hAnsi="Times New Roman" w:eastAsia="Times New Roman" w:cs="Times New Roman"/>
                <w:sz w:val="11"/>
                <w:szCs w:val="11"/>
                <w:spacing w:val="-1"/>
              </w:rPr>
              <w:t>2</w:t>
            </w:r>
            <w:r>
              <w:rPr>
                <w:rFonts w:ascii="Times New Roman" w:hAnsi="Times New Roman" w:eastAsia="Times New Roman" w:cs="Times New Roman"/>
                <w:sz w:val="18"/>
                <w:szCs w:val="18"/>
                <w:spacing w:val="-1"/>
              </w:rPr>
              <w:t>S</w:t>
            </w:r>
          </w:p>
        </w:tc>
        <w:tc>
          <w:tcPr>
            <w:tcW w:w="683" w:type="dxa"/>
            <w:vAlign w:val="top"/>
          </w:tcPr>
          <w:p>
            <w:pPr>
              <w:ind w:left="313"/>
              <w:spacing w:before="141"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709" w:type="dxa"/>
            <w:vAlign w:val="top"/>
          </w:tcPr>
          <w:p>
            <w:pPr>
              <w:ind w:left="64"/>
              <w:spacing w:before="14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0.00017</w:t>
            </w:r>
          </w:p>
        </w:tc>
        <w:tc>
          <w:tcPr>
            <w:tcW w:w="917" w:type="dxa"/>
            <w:vAlign w:val="top"/>
          </w:tcPr>
          <w:p>
            <w:pPr>
              <w:ind w:left="214"/>
              <w:spacing w:before="14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0.0012</w:t>
            </w:r>
          </w:p>
        </w:tc>
        <w:tc>
          <w:tcPr>
            <w:tcW w:w="2167" w:type="dxa"/>
            <w:vAlign w:val="top"/>
            <w:vMerge w:val="continue"/>
            <w:tcBorders>
              <w:top w:val="nil"/>
            </w:tcBorders>
          </w:tcPr>
          <w:p>
            <w:pPr>
              <w:rPr>
                <w:rFonts w:ascii="Arial"/>
                <w:sz w:val="21"/>
              </w:rPr>
            </w:pPr>
            <w:r/>
          </w:p>
        </w:tc>
        <w:tc>
          <w:tcPr>
            <w:tcW w:w="472" w:type="dxa"/>
            <w:vAlign w:val="top"/>
          </w:tcPr>
          <w:p>
            <w:pPr>
              <w:ind w:left="150"/>
              <w:spacing w:before="14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60</w:t>
            </w:r>
          </w:p>
        </w:tc>
        <w:tc>
          <w:tcPr>
            <w:tcW w:w="641" w:type="dxa"/>
            <w:vAlign w:val="top"/>
          </w:tcPr>
          <w:p>
            <w:pPr>
              <w:ind w:left="292"/>
              <w:spacing w:before="141"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810" w:type="dxa"/>
            <w:vAlign w:val="top"/>
          </w:tcPr>
          <w:p>
            <w:pPr>
              <w:ind w:left="71"/>
              <w:spacing w:before="14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0.000066</w:t>
            </w:r>
          </w:p>
        </w:tc>
        <w:tc>
          <w:tcPr>
            <w:tcW w:w="447" w:type="dxa"/>
            <w:vAlign w:val="top"/>
            <w:vMerge w:val="continue"/>
            <w:tcBorders>
              <w:top w:val="nil"/>
            </w:tcBorders>
          </w:tcPr>
          <w:p>
            <w:pPr>
              <w:rPr>
                <w:rFonts w:ascii="Arial"/>
                <w:sz w:val="21"/>
              </w:rPr>
            </w:pPr>
            <w:r/>
          </w:p>
        </w:tc>
        <w:tc>
          <w:tcPr>
            <w:tcW w:w="924" w:type="dxa"/>
            <w:vAlign w:val="top"/>
          </w:tcPr>
          <w:p>
            <w:pPr>
              <w:ind w:left="174"/>
              <w:spacing w:before="14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0.00048</w:t>
            </w:r>
          </w:p>
        </w:tc>
        <w:tc>
          <w:tcPr>
            <w:tcW w:w="1446" w:type="dxa"/>
            <w:vAlign w:val="top"/>
            <w:gridSpan w:val="4"/>
            <w:vMerge w:val="continue"/>
            <w:tcBorders>
              <w:top w:val="nil"/>
            </w:tcBorders>
          </w:tcPr>
          <w:p>
            <w:pPr>
              <w:rPr>
                <w:rFonts w:ascii="Arial"/>
                <w:sz w:val="21"/>
              </w:rPr>
            </w:pPr>
            <w:r/>
          </w:p>
        </w:tc>
      </w:tr>
      <w:tr>
        <w:trPr>
          <w:trHeight w:val="402" w:hRule="atLeast"/>
        </w:trPr>
        <w:tc>
          <w:tcPr>
            <w:tcW w:w="446" w:type="dxa"/>
            <w:vAlign w:val="top"/>
            <w:vMerge w:val="restart"/>
            <w:tcBorders>
              <w:bottom w:val="nil"/>
            </w:tcBorders>
          </w:tcPr>
          <w:p>
            <w:pPr>
              <w:spacing w:line="292" w:lineRule="auto"/>
              <w:rPr>
                <w:rFonts w:ascii="Arial"/>
                <w:sz w:val="21"/>
              </w:rPr>
            </w:pPr>
            <w:r/>
          </w:p>
          <w:p>
            <w:pPr>
              <w:ind w:left="84"/>
              <w:spacing w:before="52" w:line="204" w:lineRule="auto"/>
              <w:rPr>
                <w:rFonts w:ascii="Times New Roman" w:hAnsi="Times New Roman" w:eastAsia="Times New Roman" w:cs="Times New Roman"/>
                <w:sz w:val="11"/>
                <w:szCs w:val="11"/>
              </w:rPr>
            </w:pPr>
            <w:r>
              <w:rPr>
                <w:rFonts w:ascii="Times New Roman" w:hAnsi="Times New Roman" w:eastAsia="Times New Roman" w:cs="Times New Roman"/>
                <w:sz w:val="18"/>
                <w:szCs w:val="18"/>
              </w:rPr>
              <w:t>G</w:t>
            </w:r>
            <w:r>
              <w:rPr>
                <w:rFonts w:ascii="Times New Roman" w:hAnsi="Times New Roman" w:eastAsia="Times New Roman" w:cs="Times New Roman"/>
                <w:sz w:val="11"/>
                <w:szCs w:val="11"/>
              </w:rPr>
              <w:t>3-3</w:t>
            </w:r>
          </w:p>
        </w:tc>
        <w:tc>
          <w:tcPr>
            <w:tcW w:w="1054" w:type="dxa"/>
            <w:vAlign w:val="top"/>
            <w:vMerge w:val="restart"/>
            <w:tcBorders>
              <w:bottom w:val="nil"/>
            </w:tcBorders>
          </w:tcPr>
          <w:p>
            <w:pPr>
              <w:spacing w:line="255" w:lineRule="auto"/>
              <w:rPr>
                <w:rFonts w:ascii="Arial"/>
                <w:sz w:val="21"/>
              </w:rPr>
            </w:pPr>
            <w:r/>
          </w:p>
          <w:p>
            <w:pPr>
              <w:pStyle w:val="TableText"/>
              <w:ind w:left="82"/>
              <w:spacing w:before="59" w:line="221" w:lineRule="auto"/>
              <w:rPr>
                <w:sz w:val="18"/>
                <w:szCs w:val="18"/>
              </w:rPr>
            </w:pPr>
            <w:r>
              <w:rPr>
                <w:sz w:val="18"/>
                <w:szCs w:val="18"/>
                <w:spacing w:val="-3"/>
              </w:rPr>
              <w:t>沼渣晾晒区</w:t>
            </w:r>
          </w:p>
        </w:tc>
        <w:tc>
          <w:tcPr>
            <w:tcW w:w="582" w:type="dxa"/>
            <w:vAlign w:val="top"/>
            <w:vMerge w:val="restart"/>
            <w:tcBorders>
              <w:bottom w:val="nil"/>
            </w:tcBorders>
          </w:tcPr>
          <w:p>
            <w:pPr>
              <w:spacing w:line="255" w:lineRule="auto"/>
              <w:rPr>
                <w:rFonts w:ascii="Arial"/>
                <w:sz w:val="21"/>
              </w:rPr>
            </w:pPr>
            <w:r/>
          </w:p>
          <w:p>
            <w:pPr>
              <w:pStyle w:val="TableText"/>
              <w:ind w:left="26"/>
              <w:spacing w:before="59" w:line="220" w:lineRule="auto"/>
              <w:rPr>
                <w:sz w:val="18"/>
                <w:szCs w:val="18"/>
              </w:rPr>
            </w:pPr>
            <w:r>
              <w:rPr>
                <w:sz w:val="18"/>
                <w:szCs w:val="18"/>
                <w:spacing w:val="-3"/>
              </w:rPr>
              <w:t>无组织</w:t>
            </w:r>
          </w:p>
        </w:tc>
        <w:tc>
          <w:tcPr>
            <w:tcW w:w="422" w:type="dxa"/>
            <w:vAlign w:val="top"/>
            <w:vMerge w:val="restart"/>
            <w:tcBorders>
              <w:bottom w:val="nil"/>
            </w:tcBorders>
          </w:tcPr>
          <w:p>
            <w:pPr>
              <w:spacing w:line="255" w:lineRule="auto"/>
              <w:rPr>
                <w:rFonts w:ascii="Arial"/>
                <w:sz w:val="21"/>
              </w:rPr>
            </w:pPr>
            <w:r/>
          </w:p>
          <w:p>
            <w:pPr>
              <w:pStyle w:val="TableText"/>
              <w:ind w:left="34"/>
              <w:spacing w:before="59" w:line="220" w:lineRule="auto"/>
              <w:rPr>
                <w:sz w:val="18"/>
                <w:szCs w:val="18"/>
              </w:rPr>
            </w:pPr>
            <w:r>
              <w:rPr>
                <w:sz w:val="18"/>
                <w:szCs w:val="18"/>
                <w:spacing w:val="-4"/>
              </w:rPr>
              <w:t>连续</w:t>
            </w:r>
          </w:p>
        </w:tc>
        <w:tc>
          <w:tcPr>
            <w:tcW w:w="844" w:type="dxa"/>
            <w:vAlign w:val="top"/>
            <w:vMerge w:val="restart"/>
            <w:tcBorders>
              <w:bottom w:val="nil"/>
            </w:tcBorders>
          </w:tcPr>
          <w:p>
            <w:pPr>
              <w:spacing w:line="256" w:lineRule="auto"/>
              <w:rPr>
                <w:rFonts w:ascii="Arial"/>
                <w:sz w:val="21"/>
              </w:rPr>
            </w:pPr>
            <w:r/>
          </w:p>
          <w:p>
            <w:pPr>
              <w:pStyle w:val="TableText"/>
              <w:ind w:left="65"/>
              <w:spacing w:before="58" w:line="219" w:lineRule="auto"/>
              <w:rPr>
                <w:sz w:val="18"/>
                <w:szCs w:val="18"/>
              </w:rPr>
            </w:pPr>
            <w:r>
              <w:rPr>
                <w:sz w:val="18"/>
                <w:szCs w:val="18"/>
                <w:spacing w:val="-2"/>
              </w:rPr>
              <w:t>产物系数</w:t>
            </w:r>
          </w:p>
        </w:tc>
        <w:tc>
          <w:tcPr>
            <w:tcW w:w="661" w:type="dxa"/>
            <w:vAlign w:val="top"/>
            <w:vMerge w:val="restart"/>
            <w:tcBorders>
              <w:bottom w:val="nil"/>
            </w:tcBorders>
          </w:tcPr>
          <w:p>
            <w:pPr>
              <w:spacing w:line="290" w:lineRule="auto"/>
              <w:rPr>
                <w:rFonts w:ascii="Arial"/>
                <w:sz w:val="21"/>
              </w:rPr>
            </w:pPr>
            <w:r/>
          </w:p>
          <w:p>
            <w:pPr>
              <w:ind w:left="301"/>
              <w:spacing w:before="52"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827" w:type="dxa"/>
            <w:vAlign w:val="top"/>
          </w:tcPr>
          <w:p>
            <w:pPr>
              <w:ind w:left="248"/>
              <w:spacing w:before="146" w:line="190" w:lineRule="auto"/>
              <w:rPr>
                <w:rFonts w:ascii="Times New Roman" w:hAnsi="Times New Roman" w:eastAsia="Times New Roman" w:cs="Times New Roman"/>
                <w:sz w:val="11"/>
                <w:szCs w:val="11"/>
              </w:rPr>
            </w:pPr>
            <w:r>
              <w:rPr>
                <w:rFonts w:ascii="Times New Roman" w:hAnsi="Times New Roman" w:eastAsia="Times New Roman" w:cs="Times New Roman"/>
                <w:sz w:val="18"/>
                <w:szCs w:val="18"/>
              </w:rPr>
              <w:t>NH</w:t>
            </w:r>
            <w:r>
              <w:rPr>
                <w:rFonts w:ascii="Times New Roman" w:hAnsi="Times New Roman" w:eastAsia="Times New Roman" w:cs="Times New Roman"/>
                <w:sz w:val="11"/>
                <w:szCs w:val="11"/>
                <w:spacing w:val="3"/>
                <w:position w:val="-1"/>
              </w:rPr>
              <w:t>3</w:t>
            </w:r>
          </w:p>
        </w:tc>
        <w:tc>
          <w:tcPr>
            <w:tcW w:w="683" w:type="dxa"/>
            <w:vAlign w:val="top"/>
          </w:tcPr>
          <w:p>
            <w:pPr>
              <w:ind w:left="313"/>
              <w:spacing w:before="139"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709" w:type="dxa"/>
            <w:vAlign w:val="top"/>
          </w:tcPr>
          <w:p>
            <w:pPr>
              <w:ind w:left="64"/>
              <w:spacing w:before="14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0.00417</w:t>
            </w:r>
          </w:p>
        </w:tc>
        <w:tc>
          <w:tcPr>
            <w:tcW w:w="917" w:type="dxa"/>
            <w:vAlign w:val="top"/>
          </w:tcPr>
          <w:p>
            <w:pPr>
              <w:ind w:left="303"/>
              <w:spacing w:before="14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0.03</w:t>
            </w:r>
          </w:p>
        </w:tc>
        <w:tc>
          <w:tcPr>
            <w:tcW w:w="2167" w:type="dxa"/>
            <w:vAlign w:val="top"/>
            <w:vMerge w:val="restart"/>
            <w:tcBorders>
              <w:bottom w:val="nil"/>
            </w:tcBorders>
          </w:tcPr>
          <w:p>
            <w:pPr>
              <w:pStyle w:val="TableText"/>
              <w:ind w:left="105"/>
              <w:spacing w:before="198" w:line="219" w:lineRule="auto"/>
              <w:rPr>
                <w:sz w:val="18"/>
                <w:szCs w:val="18"/>
              </w:rPr>
            </w:pPr>
            <w:r>
              <w:rPr>
                <w:sz w:val="18"/>
                <w:szCs w:val="18"/>
                <w:spacing w:val="-2"/>
              </w:rPr>
              <w:t>晾晒区喷洒生物除臭剂，</w:t>
            </w:r>
          </w:p>
          <w:p>
            <w:pPr>
              <w:pStyle w:val="TableText"/>
              <w:ind w:left="25"/>
              <w:spacing w:before="19" w:line="219"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NH</w:t>
            </w:r>
            <w:r>
              <w:rPr>
                <w:rFonts w:ascii="Times New Roman" w:hAnsi="Times New Roman" w:eastAsia="Times New Roman" w:cs="Times New Roman"/>
                <w:sz w:val="11"/>
                <w:szCs w:val="11"/>
                <w:spacing w:val="-3"/>
                <w:position w:val="-1"/>
              </w:rPr>
              <w:t>3</w:t>
            </w:r>
            <w:r>
              <w:rPr>
                <w:rFonts w:ascii="Times New Roman" w:hAnsi="Times New Roman" w:eastAsia="Times New Roman" w:cs="Times New Roman"/>
                <w:sz w:val="11"/>
                <w:szCs w:val="11"/>
                <w:spacing w:val="-6"/>
                <w:position w:val="-1"/>
              </w:rPr>
              <w:t xml:space="preserve"> </w:t>
            </w:r>
            <w:r>
              <w:rPr>
                <w:sz w:val="18"/>
                <w:szCs w:val="18"/>
                <w:spacing w:val="-3"/>
              </w:rPr>
              <w:t>、</w:t>
            </w:r>
            <w:r>
              <w:rPr>
                <w:rFonts w:ascii="Times New Roman" w:hAnsi="Times New Roman" w:eastAsia="Times New Roman" w:cs="Times New Roman"/>
                <w:sz w:val="18"/>
                <w:szCs w:val="18"/>
                <w:spacing w:val="-3"/>
              </w:rPr>
              <w:t>H</w:t>
            </w:r>
            <w:r>
              <w:rPr>
                <w:rFonts w:ascii="Times New Roman" w:hAnsi="Times New Roman" w:eastAsia="Times New Roman" w:cs="Times New Roman"/>
                <w:sz w:val="11"/>
                <w:szCs w:val="11"/>
                <w:spacing w:val="-3"/>
                <w:position w:val="-1"/>
              </w:rPr>
              <w:t>2</w:t>
            </w:r>
            <w:r>
              <w:rPr>
                <w:rFonts w:ascii="Times New Roman" w:hAnsi="Times New Roman" w:eastAsia="Times New Roman" w:cs="Times New Roman"/>
                <w:sz w:val="18"/>
                <w:szCs w:val="18"/>
                <w:spacing w:val="-3"/>
              </w:rPr>
              <w:t>S</w:t>
            </w:r>
            <w:r>
              <w:rPr>
                <w:rFonts w:ascii="Times New Roman" w:hAnsi="Times New Roman" w:eastAsia="Times New Roman" w:cs="Times New Roman"/>
                <w:sz w:val="18"/>
                <w:szCs w:val="18"/>
                <w:spacing w:val="23"/>
              </w:rPr>
              <w:t xml:space="preserve"> </w:t>
            </w:r>
            <w:r>
              <w:rPr>
                <w:sz w:val="18"/>
                <w:szCs w:val="18"/>
                <w:spacing w:val="-3"/>
              </w:rPr>
              <w:t>的去除效率</w:t>
            </w:r>
            <w:r>
              <w:rPr>
                <w:sz w:val="18"/>
                <w:szCs w:val="18"/>
                <w:spacing w:val="-37"/>
              </w:rPr>
              <w:t xml:space="preserve"> </w:t>
            </w:r>
            <w:r>
              <w:rPr>
                <w:rFonts w:ascii="Times New Roman" w:hAnsi="Times New Roman" w:eastAsia="Times New Roman" w:cs="Times New Roman"/>
                <w:sz w:val="18"/>
                <w:szCs w:val="18"/>
                <w:spacing w:val="-3"/>
              </w:rPr>
              <w:t>60%</w:t>
            </w:r>
          </w:p>
        </w:tc>
        <w:tc>
          <w:tcPr>
            <w:tcW w:w="472" w:type="dxa"/>
            <w:vAlign w:val="top"/>
          </w:tcPr>
          <w:p>
            <w:pPr>
              <w:ind w:left="150"/>
              <w:spacing w:before="14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60</w:t>
            </w:r>
          </w:p>
        </w:tc>
        <w:tc>
          <w:tcPr>
            <w:tcW w:w="641" w:type="dxa"/>
            <w:vAlign w:val="top"/>
          </w:tcPr>
          <w:p>
            <w:pPr>
              <w:ind w:left="292"/>
              <w:spacing w:before="139"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810" w:type="dxa"/>
            <w:vAlign w:val="top"/>
          </w:tcPr>
          <w:p>
            <w:pPr>
              <w:ind w:left="162"/>
              <w:spacing w:before="14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0.0017</w:t>
            </w:r>
          </w:p>
        </w:tc>
        <w:tc>
          <w:tcPr>
            <w:tcW w:w="447" w:type="dxa"/>
            <w:vAlign w:val="top"/>
            <w:vMerge w:val="restart"/>
            <w:tcBorders>
              <w:bottom w:val="nil"/>
            </w:tcBorders>
          </w:tcPr>
          <w:p>
            <w:pPr>
              <w:spacing w:line="293" w:lineRule="auto"/>
              <w:rPr>
                <w:rFonts w:ascii="Arial"/>
                <w:sz w:val="21"/>
              </w:rPr>
            </w:pPr>
            <w:r/>
          </w:p>
          <w:p>
            <w:pPr>
              <w:ind w:left="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7200</w:t>
            </w:r>
          </w:p>
        </w:tc>
        <w:tc>
          <w:tcPr>
            <w:tcW w:w="924" w:type="dxa"/>
            <w:vAlign w:val="top"/>
          </w:tcPr>
          <w:p>
            <w:pPr>
              <w:ind w:left="263"/>
              <w:spacing w:before="14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0.012</w:t>
            </w:r>
          </w:p>
        </w:tc>
        <w:tc>
          <w:tcPr>
            <w:tcW w:w="1446" w:type="dxa"/>
            <w:vAlign w:val="top"/>
            <w:gridSpan w:val="4"/>
            <w:vMerge w:val="restart"/>
            <w:tcBorders>
              <w:bottom w:val="nil"/>
            </w:tcBorders>
          </w:tcPr>
          <w:p>
            <w:pPr>
              <w:pStyle w:val="TableText"/>
              <w:ind w:left="55"/>
              <w:spacing w:before="198" w:line="219" w:lineRule="auto"/>
              <w:rPr>
                <w:sz w:val="18"/>
                <w:szCs w:val="18"/>
              </w:rPr>
            </w:pPr>
            <w:r>
              <w:rPr>
                <w:rFonts w:ascii="Times New Roman" w:hAnsi="Times New Roman" w:eastAsia="Times New Roman" w:cs="Times New Roman"/>
                <w:sz w:val="18"/>
                <w:szCs w:val="18"/>
                <w:spacing w:val="-5"/>
              </w:rPr>
              <w:t>15m×9m</w:t>
            </w:r>
            <w:r>
              <w:rPr>
                <w:rFonts w:ascii="Times New Roman" w:hAnsi="Times New Roman" w:eastAsia="Times New Roman" w:cs="Times New Roman"/>
                <w:sz w:val="18"/>
                <w:szCs w:val="18"/>
                <w:spacing w:val="-19"/>
              </w:rPr>
              <w:t xml:space="preserve"> </w:t>
            </w:r>
            <w:r>
              <w:rPr>
                <w:sz w:val="18"/>
                <w:szCs w:val="18"/>
                <w:spacing w:val="-5"/>
              </w:rPr>
              <w:t>，排放高</w:t>
            </w:r>
          </w:p>
          <w:p>
            <w:pPr>
              <w:pStyle w:val="TableText"/>
              <w:ind w:left="453"/>
              <w:spacing w:before="19" w:line="220" w:lineRule="auto"/>
              <w:rPr>
                <w:rFonts w:ascii="Times New Roman" w:hAnsi="Times New Roman" w:eastAsia="Times New Roman" w:cs="Times New Roman"/>
                <w:sz w:val="18"/>
                <w:szCs w:val="18"/>
              </w:rPr>
            </w:pPr>
            <w:r>
              <w:rPr>
                <w:sz w:val="18"/>
                <w:szCs w:val="18"/>
                <w:spacing w:val="-7"/>
              </w:rPr>
              <w:t>度</w:t>
            </w:r>
            <w:r>
              <w:rPr>
                <w:sz w:val="18"/>
                <w:szCs w:val="18"/>
                <w:spacing w:val="-23"/>
              </w:rPr>
              <w:t xml:space="preserve"> </w:t>
            </w:r>
            <w:r>
              <w:rPr>
                <w:rFonts w:ascii="Times New Roman" w:hAnsi="Times New Roman" w:eastAsia="Times New Roman" w:cs="Times New Roman"/>
                <w:sz w:val="18"/>
                <w:szCs w:val="18"/>
                <w:spacing w:val="-7"/>
              </w:rPr>
              <w:t>10m</w:t>
            </w:r>
          </w:p>
        </w:tc>
      </w:tr>
      <w:tr>
        <w:trPr>
          <w:trHeight w:val="404" w:hRule="atLeast"/>
        </w:trPr>
        <w:tc>
          <w:tcPr>
            <w:tcW w:w="446" w:type="dxa"/>
            <w:vAlign w:val="top"/>
            <w:vMerge w:val="continue"/>
            <w:tcBorders>
              <w:top w:val="nil"/>
            </w:tcBorders>
          </w:tcPr>
          <w:p>
            <w:pPr>
              <w:rPr>
                <w:rFonts w:ascii="Arial"/>
                <w:sz w:val="21"/>
              </w:rPr>
            </w:pPr>
            <w:r/>
          </w:p>
        </w:tc>
        <w:tc>
          <w:tcPr>
            <w:tcW w:w="1054" w:type="dxa"/>
            <w:vAlign w:val="top"/>
            <w:vMerge w:val="continue"/>
            <w:tcBorders>
              <w:top w:val="nil"/>
            </w:tcBorders>
          </w:tcPr>
          <w:p>
            <w:pPr>
              <w:rPr>
                <w:rFonts w:ascii="Arial"/>
                <w:sz w:val="21"/>
              </w:rPr>
            </w:pPr>
            <w:r/>
          </w:p>
        </w:tc>
        <w:tc>
          <w:tcPr>
            <w:tcW w:w="582" w:type="dxa"/>
            <w:vAlign w:val="top"/>
            <w:vMerge w:val="continue"/>
            <w:tcBorders>
              <w:top w:val="nil"/>
            </w:tcBorders>
          </w:tcPr>
          <w:p>
            <w:pPr>
              <w:rPr>
                <w:rFonts w:ascii="Arial"/>
                <w:sz w:val="21"/>
              </w:rPr>
            </w:pPr>
            <w:r/>
          </w:p>
        </w:tc>
        <w:tc>
          <w:tcPr>
            <w:tcW w:w="422" w:type="dxa"/>
            <w:vAlign w:val="top"/>
            <w:vMerge w:val="continue"/>
            <w:tcBorders>
              <w:top w:val="nil"/>
            </w:tcBorders>
          </w:tcPr>
          <w:p>
            <w:pPr>
              <w:rPr>
                <w:rFonts w:ascii="Arial"/>
                <w:sz w:val="21"/>
              </w:rPr>
            </w:pPr>
            <w:r/>
          </w:p>
        </w:tc>
        <w:tc>
          <w:tcPr>
            <w:tcW w:w="844" w:type="dxa"/>
            <w:vAlign w:val="top"/>
            <w:vMerge w:val="continue"/>
            <w:tcBorders>
              <w:top w:val="nil"/>
            </w:tcBorders>
          </w:tcPr>
          <w:p>
            <w:pPr>
              <w:rPr>
                <w:rFonts w:ascii="Arial"/>
                <w:sz w:val="21"/>
              </w:rPr>
            </w:pPr>
            <w:r/>
          </w:p>
        </w:tc>
        <w:tc>
          <w:tcPr>
            <w:tcW w:w="661" w:type="dxa"/>
            <w:vAlign w:val="top"/>
            <w:vMerge w:val="continue"/>
            <w:tcBorders>
              <w:top w:val="nil"/>
            </w:tcBorders>
          </w:tcPr>
          <w:p>
            <w:pPr>
              <w:rPr>
                <w:rFonts w:ascii="Arial"/>
                <w:sz w:val="21"/>
              </w:rPr>
            </w:pPr>
            <w:r/>
          </w:p>
        </w:tc>
        <w:tc>
          <w:tcPr>
            <w:tcW w:w="827" w:type="dxa"/>
            <w:vAlign w:val="top"/>
          </w:tcPr>
          <w:p>
            <w:pPr>
              <w:ind w:left="267"/>
              <w:spacing w:before="143" w:line="194"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H</w:t>
            </w:r>
            <w:r>
              <w:rPr>
                <w:rFonts w:ascii="Times New Roman" w:hAnsi="Times New Roman" w:eastAsia="Times New Roman" w:cs="Times New Roman"/>
                <w:sz w:val="11"/>
                <w:szCs w:val="11"/>
                <w:spacing w:val="-1"/>
                <w:position w:val="-1"/>
              </w:rPr>
              <w:t>2</w:t>
            </w:r>
            <w:r>
              <w:rPr>
                <w:rFonts w:ascii="Times New Roman" w:hAnsi="Times New Roman" w:eastAsia="Times New Roman" w:cs="Times New Roman"/>
                <w:sz w:val="18"/>
                <w:szCs w:val="18"/>
                <w:spacing w:val="-1"/>
              </w:rPr>
              <w:t>S</w:t>
            </w:r>
          </w:p>
        </w:tc>
        <w:tc>
          <w:tcPr>
            <w:tcW w:w="683" w:type="dxa"/>
            <w:vAlign w:val="top"/>
          </w:tcPr>
          <w:p>
            <w:pPr>
              <w:ind w:left="313"/>
              <w:spacing w:before="140"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709" w:type="dxa"/>
            <w:vAlign w:val="top"/>
          </w:tcPr>
          <w:p>
            <w:pPr>
              <w:ind w:left="109"/>
              <w:spacing w:before="14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0.0041</w:t>
            </w:r>
          </w:p>
        </w:tc>
        <w:tc>
          <w:tcPr>
            <w:tcW w:w="917" w:type="dxa"/>
            <w:vAlign w:val="top"/>
          </w:tcPr>
          <w:p>
            <w:pPr>
              <w:ind w:left="260"/>
              <w:spacing w:before="14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0.003</w:t>
            </w:r>
          </w:p>
        </w:tc>
        <w:tc>
          <w:tcPr>
            <w:tcW w:w="2167" w:type="dxa"/>
            <w:vAlign w:val="top"/>
            <w:vMerge w:val="continue"/>
            <w:tcBorders>
              <w:top w:val="nil"/>
            </w:tcBorders>
          </w:tcPr>
          <w:p>
            <w:pPr>
              <w:rPr>
                <w:rFonts w:ascii="Arial"/>
                <w:sz w:val="21"/>
              </w:rPr>
            </w:pPr>
            <w:r/>
          </w:p>
        </w:tc>
        <w:tc>
          <w:tcPr>
            <w:tcW w:w="472" w:type="dxa"/>
            <w:vAlign w:val="top"/>
          </w:tcPr>
          <w:p>
            <w:pPr>
              <w:ind w:left="150"/>
              <w:spacing w:before="14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60</w:t>
            </w:r>
          </w:p>
        </w:tc>
        <w:tc>
          <w:tcPr>
            <w:tcW w:w="641" w:type="dxa"/>
            <w:vAlign w:val="top"/>
          </w:tcPr>
          <w:p>
            <w:pPr>
              <w:ind w:left="292"/>
              <w:spacing w:before="140"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810" w:type="dxa"/>
            <w:vAlign w:val="top"/>
          </w:tcPr>
          <w:p>
            <w:pPr>
              <w:ind w:left="116"/>
              <w:spacing w:before="14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0.00017</w:t>
            </w:r>
          </w:p>
        </w:tc>
        <w:tc>
          <w:tcPr>
            <w:tcW w:w="447" w:type="dxa"/>
            <w:vAlign w:val="top"/>
            <w:vMerge w:val="continue"/>
            <w:tcBorders>
              <w:top w:val="nil"/>
            </w:tcBorders>
          </w:tcPr>
          <w:p>
            <w:pPr>
              <w:rPr>
                <w:rFonts w:ascii="Arial"/>
                <w:sz w:val="21"/>
              </w:rPr>
            </w:pPr>
            <w:r/>
          </w:p>
        </w:tc>
        <w:tc>
          <w:tcPr>
            <w:tcW w:w="924" w:type="dxa"/>
            <w:vAlign w:val="top"/>
          </w:tcPr>
          <w:p>
            <w:pPr>
              <w:ind w:left="218"/>
              <w:spacing w:before="14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0.0012</w:t>
            </w:r>
          </w:p>
        </w:tc>
        <w:tc>
          <w:tcPr>
            <w:tcW w:w="1446" w:type="dxa"/>
            <w:vAlign w:val="top"/>
            <w:gridSpan w:val="4"/>
            <w:vMerge w:val="continue"/>
            <w:tcBorders>
              <w:top w:val="nil"/>
            </w:tcBorders>
          </w:tcPr>
          <w:p>
            <w:pPr>
              <w:rPr>
                <w:rFonts w:ascii="Arial"/>
                <w:sz w:val="21"/>
              </w:rPr>
            </w:pPr>
            <w:r/>
          </w:p>
        </w:tc>
      </w:tr>
    </w:tbl>
    <w:p>
      <w:pPr>
        <w:ind w:left="6944"/>
        <w:spacing w:before="239" w:line="227" w:lineRule="auto"/>
        <w:rPr>
          <w:rFonts w:ascii="SimSun" w:hAnsi="SimSun" w:eastAsia="SimSun" w:cs="SimSun"/>
          <w:sz w:val="19"/>
          <w:szCs w:val="19"/>
        </w:rPr>
      </w:pPr>
      <w:r>
        <w:rPr>
          <w:rFonts w:ascii="Times New Roman" w:hAnsi="Times New Roman" w:eastAsia="Times New Roman" w:cs="Times New Roman"/>
          <w:sz w:val="18"/>
          <w:szCs w:val="18"/>
          <w:spacing w:val="4"/>
          <w:position w:val="2"/>
        </w:rPr>
        <w:t>98                                                            </w:t>
      </w:r>
      <w:r>
        <w:rPr>
          <w:rFonts w:ascii="SimSun" w:hAnsi="SimSun" w:eastAsia="SimSun" w:cs="SimSun"/>
          <w:sz w:val="19"/>
          <w:szCs w:val="19"/>
          <w:spacing w:val="4"/>
        </w:rPr>
        <w:t>锡林郭勒盟</w:t>
      </w:r>
      <w:r>
        <w:rPr>
          <w:rFonts w:ascii="SimSun" w:hAnsi="SimSun" w:eastAsia="SimSun" w:cs="SimSun"/>
          <w:sz w:val="19"/>
          <w:szCs w:val="19"/>
          <w:spacing w:val="3"/>
        </w:rPr>
        <w:t>中安环境技术咨询有限责任公司</w:t>
      </w:r>
    </w:p>
    <w:p>
      <w:pPr>
        <w:spacing w:line="227" w:lineRule="auto"/>
        <w:sectPr>
          <w:headerReference w:type="default" r:id="rId107"/>
          <w:pgSz w:w="16839" w:h="11905"/>
          <w:pgMar w:top="1567" w:right="1390" w:bottom="400" w:left="1390" w:header="1221" w:footer="0" w:gutter="0"/>
        </w:sectPr>
        <w:rPr>
          <w:rFonts w:ascii="SimSun" w:hAnsi="SimSun" w:eastAsia="SimSun" w:cs="SimSun"/>
          <w:sz w:val="19"/>
          <w:szCs w:val="19"/>
        </w:rPr>
      </w:pPr>
    </w:p>
    <w:p>
      <w:pPr>
        <w:spacing w:line="151" w:lineRule="exact"/>
        <w:rPr/>
      </w:pPr>
      <w:r>
        <w:pict>
          <v:shape id="_x0000_s508" style="position:absolute;margin-left:85.05pt;margin-top:79.11pt;mso-position-vertical-relative:page;mso-position-horizontal-relative:page;width:671.8pt;height:0.75pt;z-index:251878400;" o:allowincell="f" fillcolor="#000000" filled="true" stroked="false" coordsize="13435,15" coordorigin="0,0" path="m,l13435,0l13435,14l0,14l0,0xe"/>
        </w:pict>
      </w:r>
      <w:r/>
    </w:p>
    <w:tbl>
      <w:tblPr>
        <w:tblStyle w:val="TableNormal"/>
        <w:tblW w:w="1405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46"/>
        <w:gridCol w:w="1054"/>
        <w:gridCol w:w="582"/>
        <w:gridCol w:w="422"/>
        <w:gridCol w:w="844"/>
        <w:gridCol w:w="661"/>
        <w:gridCol w:w="827"/>
        <w:gridCol w:w="683"/>
        <w:gridCol w:w="709"/>
        <w:gridCol w:w="916"/>
        <w:gridCol w:w="2167"/>
        <w:gridCol w:w="472"/>
        <w:gridCol w:w="641"/>
        <w:gridCol w:w="810"/>
        <w:gridCol w:w="447"/>
        <w:gridCol w:w="924"/>
        <w:gridCol w:w="430"/>
        <w:gridCol w:w="470"/>
        <w:gridCol w:w="547"/>
      </w:tblGrid>
      <w:tr>
        <w:trPr>
          <w:trHeight w:val="242" w:hRule="atLeast"/>
        </w:trPr>
        <w:tc>
          <w:tcPr>
            <w:tcW w:w="446" w:type="dxa"/>
            <w:vAlign w:val="top"/>
            <w:vMerge w:val="restart"/>
            <w:tcBorders>
              <w:bottom w:val="nil"/>
            </w:tcBorders>
          </w:tcPr>
          <w:p>
            <w:pPr>
              <w:pStyle w:val="TableText"/>
              <w:ind w:left="48"/>
              <w:spacing w:before="256" w:line="219" w:lineRule="auto"/>
              <w:rPr>
                <w:sz w:val="18"/>
                <w:szCs w:val="18"/>
              </w:rPr>
            </w:pPr>
            <w:r>
              <w:rPr>
                <w:sz w:val="18"/>
                <w:szCs w:val="18"/>
                <w:spacing w:val="-5"/>
              </w:rPr>
              <w:t>编号</w:t>
            </w:r>
          </w:p>
        </w:tc>
        <w:tc>
          <w:tcPr>
            <w:tcW w:w="1054" w:type="dxa"/>
            <w:vAlign w:val="top"/>
            <w:vMerge w:val="restart"/>
            <w:tcBorders>
              <w:bottom w:val="nil"/>
            </w:tcBorders>
          </w:tcPr>
          <w:p>
            <w:pPr>
              <w:pStyle w:val="TableText"/>
              <w:ind w:left="260"/>
              <w:spacing w:before="256" w:line="220" w:lineRule="auto"/>
              <w:rPr>
                <w:sz w:val="18"/>
                <w:szCs w:val="18"/>
              </w:rPr>
            </w:pPr>
            <w:r>
              <w:rPr>
                <w:sz w:val="18"/>
                <w:szCs w:val="18"/>
                <w:spacing w:val="-3"/>
              </w:rPr>
              <w:t>污染源</w:t>
            </w:r>
          </w:p>
        </w:tc>
        <w:tc>
          <w:tcPr>
            <w:tcW w:w="582" w:type="dxa"/>
            <w:vAlign w:val="top"/>
            <w:vMerge w:val="restart"/>
            <w:tcBorders>
              <w:bottom w:val="nil"/>
            </w:tcBorders>
          </w:tcPr>
          <w:p>
            <w:pPr>
              <w:pStyle w:val="TableText"/>
              <w:ind w:left="114"/>
              <w:spacing w:before="256" w:line="219" w:lineRule="auto"/>
              <w:rPr>
                <w:sz w:val="18"/>
                <w:szCs w:val="18"/>
              </w:rPr>
            </w:pPr>
            <w:r>
              <w:rPr>
                <w:sz w:val="18"/>
                <w:szCs w:val="18"/>
                <w:spacing w:val="-4"/>
              </w:rPr>
              <w:t>类型</w:t>
            </w:r>
          </w:p>
        </w:tc>
        <w:tc>
          <w:tcPr>
            <w:tcW w:w="422" w:type="dxa"/>
            <w:vAlign w:val="top"/>
            <w:vMerge w:val="restart"/>
            <w:tcBorders>
              <w:bottom w:val="nil"/>
            </w:tcBorders>
          </w:tcPr>
          <w:p>
            <w:pPr>
              <w:pStyle w:val="TableText"/>
              <w:ind w:left="33"/>
              <w:spacing w:before="140" w:line="221" w:lineRule="auto"/>
              <w:rPr>
                <w:sz w:val="18"/>
                <w:szCs w:val="18"/>
              </w:rPr>
            </w:pPr>
            <w:r>
              <w:rPr>
                <w:sz w:val="18"/>
                <w:szCs w:val="18"/>
                <w:spacing w:val="-4"/>
              </w:rPr>
              <w:t>排放</w:t>
            </w:r>
          </w:p>
          <w:p>
            <w:pPr>
              <w:pStyle w:val="TableText"/>
              <w:ind w:left="34"/>
              <w:spacing w:before="17" w:line="221" w:lineRule="auto"/>
              <w:rPr>
                <w:sz w:val="18"/>
                <w:szCs w:val="18"/>
              </w:rPr>
            </w:pPr>
            <w:r>
              <w:rPr>
                <w:sz w:val="18"/>
                <w:szCs w:val="18"/>
                <w:spacing w:val="-4"/>
              </w:rPr>
              <w:t>方式</w:t>
            </w:r>
          </w:p>
        </w:tc>
        <w:tc>
          <w:tcPr>
            <w:tcW w:w="844" w:type="dxa"/>
            <w:vAlign w:val="top"/>
            <w:vMerge w:val="restart"/>
            <w:tcBorders>
              <w:bottom w:val="nil"/>
            </w:tcBorders>
          </w:tcPr>
          <w:p>
            <w:pPr>
              <w:pStyle w:val="TableText"/>
              <w:ind w:left="157" w:right="60" w:hanging="91"/>
              <w:spacing w:before="140" w:line="241" w:lineRule="auto"/>
              <w:rPr>
                <w:sz w:val="18"/>
                <w:szCs w:val="18"/>
              </w:rPr>
            </w:pPr>
            <w:r>
              <w:rPr>
                <w:sz w:val="18"/>
                <w:szCs w:val="18"/>
                <w:spacing w:val="-3"/>
              </w:rPr>
              <w:t>污染源核</w:t>
            </w:r>
            <w:r>
              <w:rPr>
                <w:sz w:val="18"/>
                <w:szCs w:val="18"/>
                <w:spacing w:val="2"/>
              </w:rPr>
              <w:t xml:space="preserve"> </w:t>
            </w:r>
            <w:r>
              <w:rPr>
                <w:sz w:val="18"/>
                <w:szCs w:val="18"/>
                <w:spacing w:val="-3"/>
              </w:rPr>
              <w:t>算方法</w:t>
            </w:r>
          </w:p>
        </w:tc>
        <w:tc>
          <w:tcPr>
            <w:tcW w:w="3796" w:type="dxa"/>
            <w:vAlign w:val="top"/>
            <w:gridSpan w:val="5"/>
          </w:tcPr>
          <w:p>
            <w:pPr>
              <w:pStyle w:val="TableText"/>
              <w:ind w:left="1363"/>
              <w:spacing w:before="33" w:line="204" w:lineRule="auto"/>
              <w:rPr>
                <w:sz w:val="18"/>
                <w:szCs w:val="18"/>
              </w:rPr>
            </w:pPr>
            <w:r>
              <w:rPr>
                <w:sz w:val="18"/>
                <w:szCs w:val="18"/>
                <w:spacing w:val="-2"/>
              </w:rPr>
              <w:t>污染物的产生</w:t>
            </w:r>
          </w:p>
        </w:tc>
        <w:tc>
          <w:tcPr>
            <w:tcW w:w="2639" w:type="dxa"/>
            <w:vAlign w:val="top"/>
            <w:gridSpan w:val="2"/>
          </w:tcPr>
          <w:p>
            <w:pPr>
              <w:pStyle w:val="TableText"/>
              <w:ind w:left="695"/>
              <w:spacing w:before="33" w:line="204" w:lineRule="auto"/>
              <w:rPr>
                <w:sz w:val="18"/>
                <w:szCs w:val="18"/>
              </w:rPr>
            </w:pPr>
            <w:r>
              <w:rPr>
                <w:sz w:val="18"/>
                <w:szCs w:val="18"/>
                <w:spacing w:val="-2"/>
              </w:rPr>
              <w:t>拟采取治理措施</w:t>
            </w:r>
          </w:p>
        </w:tc>
        <w:tc>
          <w:tcPr>
            <w:tcW w:w="2822" w:type="dxa"/>
            <w:vAlign w:val="top"/>
            <w:gridSpan w:val="4"/>
          </w:tcPr>
          <w:p>
            <w:pPr>
              <w:pStyle w:val="TableText"/>
              <w:ind w:left="878"/>
              <w:spacing w:before="33" w:line="204" w:lineRule="auto"/>
              <w:rPr>
                <w:sz w:val="18"/>
                <w:szCs w:val="18"/>
              </w:rPr>
            </w:pPr>
            <w:r>
              <w:rPr>
                <w:sz w:val="18"/>
                <w:szCs w:val="18"/>
                <w:spacing w:val="-2"/>
              </w:rPr>
              <w:t>污染物的排放</w:t>
            </w:r>
          </w:p>
        </w:tc>
        <w:tc>
          <w:tcPr>
            <w:tcW w:w="1447" w:type="dxa"/>
            <w:vAlign w:val="top"/>
            <w:gridSpan w:val="3"/>
          </w:tcPr>
          <w:p>
            <w:pPr>
              <w:pStyle w:val="TableText"/>
              <w:ind w:left="368"/>
              <w:spacing w:before="33" w:line="204" w:lineRule="auto"/>
              <w:rPr>
                <w:sz w:val="18"/>
                <w:szCs w:val="18"/>
              </w:rPr>
            </w:pPr>
            <w:r>
              <w:rPr>
                <w:sz w:val="18"/>
                <w:szCs w:val="18"/>
                <w:spacing w:val="-2"/>
              </w:rPr>
              <w:t>排放参数</w:t>
            </w:r>
          </w:p>
        </w:tc>
      </w:tr>
      <w:tr>
        <w:trPr>
          <w:trHeight w:val="445" w:hRule="atLeast"/>
        </w:trPr>
        <w:tc>
          <w:tcPr>
            <w:tcW w:w="446" w:type="dxa"/>
            <w:vAlign w:val="top"/>
            <w:vMerge w:val="continue"/>
            <w:tcBorders>
              <w:top w:val="nil"/>
            </w:tcBorders>
          </w:tcPr>
          <w:p>
            <w:pPr>
              <w:rPr>
                <w:rFonts w:ascii="Arial"/>
                <w:sz w:val="21"/>
              </w:rPr>
            </w:pPr>
            <w:r/>
          </w:p>
        </w:tc>
        <w:tc>
          <w:tcPr>
            <w:tcW w:w="1054" w:type="dxa"/>
            <w:vAlign w:val="top"/>
            <w:vMerge w:val="continue"/>
            <w:tcBorders>
              <w:top w:val="nil"/>
            </w:tcBorders>
          </w:tcPr>
          <w:p>
            <w:pPr>
              <w:rPr>
                <w:rFonts w:ascii="Arial"/>
                <w:sz w:val="21"/>
              </w:rPr>
            </w:pPr>
            <w:r/>
          </w:p>
        </w:tc>
        <w:tc>
          <w:tcPr>
            <w:tcW w:w="582" w:type="dxa"/>
            <w:vAlign w:val="top"/>
            <w:vMerge w:val="continue"/>
            <w:tcBorders>
              <w:top w:val="nil"/>
            </w:tcBorders>
          </w:tcPr>
          <w:p>
            <w:pPr>
              <w:rPr>
                <w:rFonts w:ascii="Arial"/>
                <w:sz w:val="21"/>
              </w:rPr>
            </w:pPr>
            <w:r/>
          </w:p>
        </w:tc>
        <w:tc>
          <w:tcPr>
            <w:tcW w:w="422" w:type="dxa"/>
            <w:vAlign w:val="top"/>
            <w:vMerge w:val="continue"/>
            <w:tcBorders>
              <w:top w:val="nil"/>
            </w:tcBorders>
          </w:tcPr>
          <w:p>
            <w:pPr>
              <w:rPr>
                <w:rFonts w:ascii="Arial"/>
                <w:sz w:val="21"/>
              </w:rPr>
            </w:pPr>
            <w:r/>
          </w:p>
        </w:tc>
        <w:tc>
          <w:tcPr>
            <w:tcW w:w="844" w:type="dxa"/>
            <w:vAlign w:val="top"/>
            <w:vMerge w:val="continue"/>
            <w:tcBorders>
              <w:top w:val="nil"/>
            </w:tcBorders>
          </w:tcPr>
          <w:p>
            <w:pPr>
              <w:rPr>
                <w:rFonts w:ascii="Arial"/>
                <w:sz w:val="21"/>
              </w:rPr>
            </w:pPr>
            <w:r/>
          </w:p>
        </w:tc>
        <w:tc>
          <w:tcPr>
            <w:tcW w:w="661" w:type="dxa"/>
            <w:vAlign w:val="top"/>
          </w:tcPr>
          <w:p>
            <w:pPr>
              <w:pStyle w:val="TableText"/>
              <w:ind w:left="89" w:right="59" w:hanging="26"/>
              <w:spacing w:before="28" w:line="221" w:lineRule="auto"/>
              <w:rPr>
                <w:rFonts w:ascii="Times New Roman" w:hAnsi="Times New Roman" w:eastAsia="Times New Roman" w:cs="Times New Roman"/>
                <w:sz w:val="18"/>
                <w:szCs w:val="18"/>
              </w:rPr>
            </w:pPr>
            <w:r>
              <w:rPr>
                <w:sz w:val="18"/>
                <w:szCs w:val="18"/>
                <w:spacing w:val="-3"/>
              </w:rPr>
              <w:t>排气量</w:t>
            </w:r>
            <w:r>
              <w:rPr>
                <w:sz w:val="18"/>
                <w:szCs w:val="18"/>
              </w:rPr>
              <w:t xml:space="preserve"> </w:t>
            </w:r>
            <w:r>
              <w:rPr>
                <w:rFonts w:ascii="Times New Roman" w:hAnsi="Times New Roman" w:eastAsia="Times New Roman" w:cs="Times New Roman"/>
                <w:sz w:val="18"/>
                <w:szCs w:val="18"/>
              </w:rPr>
              <w:t>Nm</w:t>
            </w:r>
            <w:r>
              <w:rPr>
                <w:rFonts w:ascii="Times New Roman" w:hAnsi="Times New Roman" w:eastAsia="Times New Roman" w:cs="Times New Roman"/>
                <w:sz w:val="11"/>
                <w:szCs w:val="11"/>
                <w:spacing w:val="2"/>
                <w:position w:val="5"/>
              </w:rPr>
              <w:t>3</w:t>
            </w:r>
            <w:r>
              <w:rPr>
                <w:rFonts w:ascii="Times New Roman" w:hAnsi="Times New Roman" w:eastAsia="Times New Roman" w:cs="Times New Roman"/>
                <w:sz w:val="18"/>
                <w:szCs w:val="18"/>
                <w:spacing w:val="2"/>
              </w:rPr>
              <w:t>/h</w:t>
            </w:r>
          </w:p>
        </w:tc>
        <w:tc>
          <w:tcPr>
            <w:tcW w:w="827" w:type="dxa"/>
            <w:vAlign w:val="top"/>
          </w:tcPr>
          <w:p>
            <w:pPr>
              <w:pStyle w:val="TableText"/>
              <w:ind w:left="148"/>
              <w:spacing w:before="131" w:line="220" w:lineRule="auto"/>
              <w:rPr>
                <w:sz w:val="18"/>
                <w:szCs w:val="18"/>
              </w:rPr>
            </w:pPr>
            <w:r>
              <w:rPr>
                <w:sz w:val="18"/>
                <w:szCs w:val="18"/>
                <w:spacing w:val="-3"/>
              </w:rPr>
              <w:t>污染物</w:t>
            </w:r>
          </w:p>
        </w:tc>
        <w:tc>
          <w:tcPr>
            <w:tcW w:w="683" w:type="dxa"/>
            <w:vAlign w:val="top"/>
          </w:tcPr>
          <w:p>
            <w:pPr>
              <w:pStyle w:val="TableText"/>
              <w:ind w:left="34" w:right="35" w:firstLine="130"/>
              <w:spacing w:before="28" w:line="221" w:lineRule="auto"/>
              <w:rPr>
                <w:rFonts w:ascii="Times New Roman" w:hAnsi="Times New Roman" w:eastAsia="Times New Roman" w:cs="Times New Roman"/>
                <w:sz w:val="11"/>
                <w:szCs w:val="11"/>
              </w:rPr>
            </w:pPr>
            <w:r>
              <w:rPr>
                <w:sz w:val="18"/>
                <w:szCs w:val="18"/>
                <w:spacing w:val="-4"/>
              </w:rPr>
              <w:t>浓度</w:t>
            </w:r>
            <w:r>
              <w:rPr>
                <w:sz w:val="18"/>
                <w:szCs w:val="18"/>
              </w:rPr>
              <w:t xml:space="preserve">  </w:t>
            </w:r>
            <w:r>
              <w:rPr>
                <w:rFonts w:ascii="Times New Roman" w:hAnsi="Times New Roman" w:eastAsia="Times New Roman" w:cs="Times New Roman"/>
                <w:sz w:val="18"/>
                <w:szCs w:val="18"/>
              </w:rPr>
              <w:t>mg</w:t>
            </w:r>
            <w:r>
              <w:rPr>
                <w:rFonts w:ascii="Times New Roman" w:hAnsi="Times New Roman" w:eastAsia="Times New Roman" w:cs="Times New Roman"/>
                <w:sz w:val="18"/>
                <w:szCs w:val="18"/>
                <w:spacing w:val="1"/>
              </w:rPr>
              <w:t>/</w:t>
            </w:r>
            <w:r>
              <w:rPr>
                <w:rFonts w:ascii="Times New Roman" w:hAnsi="Times New Roman" w:eastAsia="Times New Roman" w:cs="Times New Roman"/>
                <w:sz w:val="18"/>
                <w:szCs w:val="18"/>
              </w:rPr>
              <w:t>Nm</w:t>
            </w:r>
            <w:r>
              <w:rPr>
                <w:rFonts w:ascii="Times New Roman" w:hAnsi="Times New Roman" w:eastAsia="Times New Roman" w:cs="Times New Roman"/>
                <w:sz w:val="11"/>
                <w:szCs w:val="11"/>
                <w:spacing w:val="1"/>
                <w:position w:val="5"/>
              </w:rPr>
              <w:t>3</w:t>
            </w:r>
          </w:p>
        </w:tc>
        <w:tc>
          <w:tcPr>
            <w:tcW w:w="709" w:type="dxa"/>
            <w:vAlign w:val="top"/>
          </w:tcPr>
          <w:p>
            <w:pPr>
              <w:pStyle w:val="TableText"/>
              <w:ind w:left="190" w:right="173" w:hanging="14"/>
              <w:spacing w:before="28" w:line="221" w:lineRule="auto"/>
              <w:rPr>
                <w:rFonts w:ascii="Times New Roman" w:hAnsi="Times New Roman" w:eastAsia="Times New Roman" w:cs="Times New Roman"/>
                <w:sz w:val="18"/>
                <w:szCs w:val="18"/>
              </w:rPr>
            </w:pPr>
            <w:r>
              <w:rPr>
                <w:sz w:val="18"/>
                <w:szCs w:val="18"/>
                <w:spacing w:val="-4"/>
              </w:rPr>
              <w:t>速率</w:t>
            </w:r>
            <w:r>
              <w:rPr>
                <w:sz w:val="18"/>
                <w:szCs w:val="18"/>
              </w:rPr>
              <w:t xml:space="preserve"> </w:t>
            </w:r>
            <w:r>
              <w:rPr>
                <w:rFonts w:ascii="Times New Roman" w:hAnsi="Times New Roman" w:eastAsia="Times New Roman" w:cs="Times New Roman"/>
                <w:sz w:val="18"/>
                <w:szCs w:val="18"/>
                <w:spacing w:val="-1"/>
              </w:rPr>
              <w:t>kg/h</w:t>
            </w:r>
          </w:p>
        </w:tc>
        <w:tc>
          <w:tcPr>
            <w:tcW w:w="916" w:type="dxa"/>
            <w:vAlign w:val="top"/>
          </w:tcPr>
          <w:p>
            <w:pPr>
              <w:pStyle w:val="TableText"/>
              <w:ind w:left="80"/>
              <w:spacing w:before="131" w:line="219" w:lineRule="auto"/>
              <w:rPr>
                <w:rFonts w:ascii="Times New Roman" w:hAnsi="Times New Roman" w:eastAsia="Times New Roman" w:cs="Times New Roman"/>
                <w:sz w:val="18"/>
                <w:szCs w:val="18"/>
              </w:rPr>
            </w:pPr>
            <w:r>
              <w:rPr>
                <w:sz w:val="18"/>
                <w:szCs w:val="18"/>
                <w:spacing w:val="-2"/>
              </w:rPr>
              <w:t>产生量</w:t>
            </w:r>
            <w:r>
              <w:rPr>
                <w:sz w:val="18"/>
                <w:szCs w:val="18"/>
                <w:spacing w:val="-43"/>
              </w:rPr>
              <w:t xml:space="preserve"> </w:t>
            </w:r>
            <w:r>
              <w:rPr>
                <w:rFonts w:ascii="Times New Roman" w:hAnsi="Times New Roman" w:eastAsia="Times New Roman" w:cs="Times New Roman"/>
                <w:sz w:val="18"/>
                <w:szCs w:val="18"/>
                <w:spacing w:val="-2"/>
              </w:rPr>
              <w:t>t/a</w:t>
            </w:r>
          </w:p>
        </w:tc>
        <w:tc>
          <w:tcPr>
            <w:tcW w:w="2167" w:type="dxa"/>
            <w:vAlign w:val="top"/>
          </w:tcPr>
          <w:p>
            <w:pPr>
              <w:pStyle w:val="TableText"/>
              <w:ind w:left="911"/>
              <w:spacing w:before="131" w:line="229" w:lineRule="auto"/>
              <w:rPr>
                <w:sz w:val="18"/>
                <w:szCs w:val="18"/>
              </w:rPr>
            </w:pPr>
            <w:r>
              <w:rPr>
                <w:sz w:val="18"/>
                <w:szCs w:val="18"/>
                <w:spacing w:val="-5"/>
              </w:rPr>
              <w:t>工艺</w:t>
            </w:r>
          </w:p>
        </w:tc>
        <w:tc>
          <w:tcPr>
            <w:tcW w:w="472" w:type="dxa"/>
            <w:vAlign w:val="top"/>
          </w:tcPr>
          <w:p>
            <w:pPr>
              <w:pStyle w:val="TableText"/>
              <w:ind w:left="66"/>
              <w:spacing w:before="28" w:line="219" w:lineRule="auto"/>
              <w:rPr>
                <w:sz w:val="18"/>
                <w:szCs w:val="18"/>
              </w:rPr>
            </w:pPr>
            <w:r>
              <w:rPr>
                <w:sz w:val="18"/>
                <w:szCs w:val="18"/>
                <w:spacing w:val="-6"/>
              </w:rPr>
              <w:t>效率</w:t>
            </w:r>
          </w:p>
          <w:p>
            <w:pPr>
              <w:ind w:left="134"/>
              <w:spacing w:before="32" w:line="18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641" w:type="dxa"/>
            <w:vAlign w:val="top"/>
          </w:tcPr>
          <w:p>
            <w:pPr>
              <w:pStyle w:val="TableText"/>
              <w:ind w:left="16" w:right="13" w:firstLine="127"/>
              <w:spacing w:before="28" w:line="221" w:lineRule="auto"/>
              <w:rPr>
                <w:rFonts w:ascii="Times New Roman" w:hAnsi="Times New Roman" w:eastAsia="Times New Roman" w:cs="Times New Roman"/>
                <w:sz w:val="11"/>
                <w:szCs w:val="11"/>
              </w:rPr>
            </w:pPr>
            <w:r>
              <w:rPr>
                <w:sz w:val="18"/>
                <w:szCs w:val="18"/>
                <w:spacing w:val="-4"/>
              </w:rPr>
              <w:t>浓度</w:t>
            </w:r>
            <w:r>
              <w:rPr>
                <w:sz w:val="18"/>
                <w:szCs w:val="18"/>
              </w:rPr>
              <w:t xml:space="preserve">  </w:t>
            </w:r>
            <w:r>
              <w:rPr>
                <w:rFonts w:ascii="Times New Roman" w:hAnsi="Times New Roman" w:eastAsia="Times New Roman" w:cs="Times New Roman"/>
                <w:sz w:val="18"/>
                <w:szCs w:val="18"/>
              </w:rPr>
              <w:t>mg/Nm</w:t>
            </w:r>
            <w:r>
              <w:rPr>
                <w:rFonts w:ascii="Times New Roman" w:hAnsi="Times New Roman" w:eastAsia="Times New Roman" w:cs="Times New Roman"/>
                <w:sz w:val="11"/>
                <w:szCs w:val="11"/>
                <w:position w:val="5"/>
              </w:rPr>
              <w:t>3</w:t>
            </w:r>
          </w:p>
        </w:tc>
        <w:tc>
          <w:tcPr>
            <w:tcW w:w="810" w:type="dxa"/>
            <w:vAlign w:val="top"/>
          </w:tcPr>
          <w:p>
            <w:pPr>
              <w:pStyle w:val="TableText"/>
              <w:ind w:left="47"/>
              <w:spacing w:before="131" w:line="212" w:lineRule="auto"/>
              <w:rPr>
                <w:rFonts w:ascii="Times New Roman" w:hAnsi="Times New Roman" w:eastAsia="Times New Roman" w:cs="Times New Roman"/>
                <w:sz w:val="18"/>
                <w:szCs w:val="18"/>
              </w:rPr>
            </w:pPr>
            <w:r>
              <w:rPr>
                <w:sz w:val="18"/>
                <w:szCs w:val="18"/>
                <w:spacing w:val="-2"/>
              </w:rPr>
              <w:t>速率</w:t>
            </w:r>
            <w:r>
              <w:rPr>
                <w:sz w:val="18"/>
                <w:szCs w:val="18"/>
                <w:spacing w:val="-45"/>
              </w:rPr>
              <w:t xml:space="preserve"> </w:t>
            </w:r>
            <w:r>
              <w:rPr>
                <w:rFonts w:ascii="Times New Roman" w:hAnsi="Times New Roman" w:eastAsia="Times New Roman" w:cs="Times New Roman"/>
                <w:sz w:val="18"/>
                <w:szCs w:val="18"/>
                <w:spacing w:val="-2"/>
              </w:rPr>
              <w:t>kg/h</w:t>
            </w:r>
          </w:p>
        </w:tc>
        <w:tc>
          <w:tcPr>
            <w:tcW w:w="447" w:type="dxa"/>
            <w:vAlign w:val="top"/>
          </w:tcPr>
          <w:p>
            <w:pPr>
              <w:pStyle w:val="TableText"/>
              <w:ind w:left="113" w:right="39" w:hanging="55"/>
              <w:spacing w:before="28" w:line="221" w:lineRule="auto"/>
              <w:rPr>
                <w:rFonts w:ascii="Times New Roman" w:hAnsi="Times New Roman" w:eastAsia="Times New Roman" w:cs="Times New Roman"/>
                <w:sz w:val="18"/>
                <w:szCs w:val="18"/>
              </w:rPr>
            </w:pPr>
            <w:r>
              <w:rPr>
                <w:sz w:val="18"/>
                <w:szCs w:val="18"/>
                <w:spacing w:val="-8"/>
              </w:rPr>
              <w:t>时间</w:t>
            </w:r>
            <w:r>
              <w:rPr>
                <w:sz w:val="18"/>
                <w:szCs w:val="18"/>
              </w:rPr>
              <w:t xml:space="preserve"> </w:t>
            </w:r>
            <w:r>
              <w:rPr>
                <w:rFonts w:ascii="Times New Roman" w:hAnsi="Times New Roman" w:eastAsia="Times New Roman" w:cs="Times New Roman"/>
                <w:sz w:val="18"/>
                <w:szCs w:val="18"/>
              </w:rPr>
              <w:t>h/a</w:t>
            </w:r>
          </w:p>
        </w:tc>
        <w:tc>
          <w:tcPr>
            <w:tcW w:w="924" w:type="dxa"/>
            <w:vAlign w:val="top"/>
          </w:tcPr>
          <w:p>
            <w:pPr>
              <w:pStyle w:val="TableText"/>
              <w:ind w:left="85"/>
              <w:spacing w:before="131" w:line="221" w:lineRule="auto"/>
              <w:rPr>
                <w:rFonts w:ascii="Times New Roman" w:hAnsi="Times New Roman" w:eastAsia="Times New Roman" w:cs="Times New Roman"/>
                <w:sz w:val="18"/>
                <w:szCs w:val="18"/>
              </w:rPr>
            </w:pPr>
            <w:r>
              <w:rPr>
                <w:sz w:val="18"/>
                <w:szCs w:val="18"/>
                <w:spacing w:val="-2"/>
              </w:rPr>
              <w:t>排放量</w:t>
            </w:r>
            <w:r>
              <w:rPr>
                <w:sz w:val="18"/>
                <w:szCs w:val="18"/>
                <w:spacing w:val="-40"/>
              </w:rPr>
              <w:t xml:space="preserve"> </w:t>
            </w:r>
            <w:r>
              <w:rPr>
                <w:rFonts w:ascii="Times New Roman" w:hAnsi="Times New Roman" w:eastAsia="Times New Roman" w:cs="Times New Roman"/>
                <w:sz w:val="18"/>
                <w:szCs w:val="18"/>
                <w:spacing w:val="-2"/>
              </w:rPr>
              <w:t>t/a</w:t>
            </w:r>
          </w:p>
        </w:tc>
        <w:tc>
          <w:tcPr>
            <w:tcW w:w="430" w:type="dxa"/>
            <w:vAlign w:val="top"/>
          </w:tcPr>
          <w:p>
            <w:pPr>
              <w:pStyle w:val="TableText"/>
              <w:ind w:left="46"/>
              <w:spacing w:before="28" w:line="219" w:lineRule="auto"/>
              <w:rPr>
                <w:sz w:val="18"/>
                <w:szCs w:val="18"/>
              </w:rPr>
            </w:pPr>
            <w:r>
              <w:rPr>
                <w:sz w:val="18"/>
                <w:szCs w:val="18"/>
                <w:spacing w:val="-6"/>
              </w:rPr>
              <w:t>高度</w:t>
            </w:r>
          </w:p>
          <w:p>
            <w:pPr>
              <w:ind w:left="119"/>
              <w:spacing w:before="32" w:line="18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w:t>
            </w:r>
          </w:p>
        </w:tc>
        <w:tc>
          <w:tcPr>
            <w:tcW w:w="470" w:type="dxa"/>
            <w:vAlign w:val="top"/>
          </w:tcPr>
          <w:p>
            <w:pPr>
              <w:pStyle w:val="TableText"/>
              <w:ind w:left="82"/>
              <w:spacing w:before="28" w:line="219" w:lineRule="auto"/>
              <w:rPr>
                <w:sz w:val="18"/>
                <w:szCs w:val="18"/>
              </w:rPr>
            </w:pPr>
            <w:r>
              <w:rPr>
                <w:sz w:val="18"/>
                <w:szCs w:val="18"/>
                <w:spacing w:val="-15"/>
              </w:rPr>
              <w:t>内径</w:t>
            </w:r>
          </w:p>
          <w:p>
            <w:pPr>
              <w:ind w:left="140"/>
              <w:spacing w:before="32" w:line="18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w:t>
            </w:r>
          </w:p>
        </w:tc>
        <w:tc>
          <w:tcPr>
            <w:tcW w:w="547" w:type="dxa"/>
            <w:vAlign w:val="top"/>
          </w:tcPr>
          <w:p>
            <w:pPr>
              <w:pStyle w:val="TableText"/>
              <w:ind w:left="98"/>
              <w:spacing w:before="28" w:line="220" w:lineRule="auto"/>
              <w:rPr>
                <w:sz w:val="18"/>
                <w:szCs w:val="18"/>
              </w:rPr>
            </w:pPr>
            <w:r>
              <w:rPr>
                <w:sz w:val="18"/>
                <w:szCs w:val="18"/>
                <w:spacing w:val="-5"/>
              </w:rPr>
              <w:t>温度</w:t>
            </w:r>
          </w:p>
          <w:p>
            <w:pPr>
              <w:ind w:left="152"/>
              <w:spacing w:before="31" w:line="18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r>
      <w:tr>
        <w:trPr>
          <w:trHeight w:val="471" w:hRule="atLeast"/>
        </w:trPr>
        <w:tc>
          <w:tcPr>
            <w:tcW w:w="446" w:type="dxa"/>
            <w:vAlign w:val="top"/>
          </w:tcPr>
          <w:p>
            <w:pPr>
              <w:ind w:left="84"/>
              <w:spacing w:before="173" w:line="202" w:lineRule="auto"/>
              <w:rPr>
                <w:rFonts w:ascii="Times New Roman" w:hAnsi="Times New Roman" w:eastAsia="Times New Roman" w:cs="Times New Roman"/>
                <w:sz w:val="11"/>
                <w:szCs w:val="11"/>
              </w:rPr>
            </w:pPr>
            <w:r>
              <w:rPr>
                <w:rFonts w:ascii="Times New Roman" w:hAnsi="Times New Roman" w:eastAsia="Times New Roman" w:cs="Times New Roman"/>
                <w:sz w:val="18"/>
                <w:szCs w:val="18"/>
                <w:spacing w:val="-1"/>
              </w:rPr>
              <w:t>G</w:t>
            </w:r>
            <w:r>
              <w:rPr>
                <w:rFonts w:ascii="Times New Roman" w:hAnsi="Times New Roman" w:eastAsia="Times New Roman" w:cs="Times New Roman"/>
                <w:sz w:val="11"/>
                <w:szCs w:val="11"/>
                <w:spacing w:val="-1"/>
              </w:rPr>
              <w:t>4-</w:t>
            </w:r>
            <w:r>
              <w:rPr>
                <w:rFonts w:ascii="Times New Roman" w:hAnsi="Times New Roman" w:eastAsia="Times New Roman" w:cs="Times New Roman"/>
                <w:sz w:val="11"/>
                <w:szCs w:val="11"/>
                <w:spacing w:val="-14"/>
              </w:rPr>
              <w:t xml:space="preserve"> </w:t>
            </w:r>
            <w:r>
              <w:rPr>
                <w:rFonts w:ascii="Times New Roman" w:hAnsi="Times New Roman" w:eastAsia="Times New Roman" w:cs="Times New Roman"/>
                <w:sz w:val="11"/>
                <w:szCs w:val="11"/>
                <w:spacing w:val="-1"/>
              </w:rPr>
              <w:t>1</w:t>
            </w:r>
          </w:p>
        </w:tc>
        <w:tc>
          <w:tcPr>
            <w:tcW w:w="1054" w:type="dxa"/>
            <w:vAlign w:val="top"/>
          </w:tcPr>
          <w:p>
            <w:pPr>
              <w:pStyle w:val="TableText"/>
              <w:ind w:left="171"/>
              <w:spacing w:before="144" w:line="219" w:lineRule="auto"/>
              <w:rPr>
                <w:sz w:val="18"/>
                <w:szCs w:val="18"/>
              </w:rPr>
            </w:pPr>
            <w:r>
              <w:rPr>
                <w:sz w:val="18"/>
                <w:szCs w:val="18"/>
                <w:spacing w:val="-3"/>
              </w:rPr>
              <w:t>餐饮油烟</w:t>
            </w:r>
          </w:p>
        </w:tc>
        <w:tc>
          <w:tcPr>
            <w:tcW w:w="582" w:type="dxa"/>
            <w:vAlign w:val="top"/>
          </w:tcPr>
          <w:p>
            <w:pPr>
              <w:pStyle w:val="TableText"/>
              <w:ind w:left="26"/>
              <w:spacing w:before="144" w:line="220" w:lineRule="auto"/>
              <w:rPr>
                <w:sz w:val="18"/>
                <w:szCs w:val="18"/>
              </w:rPr>
            </w:pPr>
            <w:r>
              <w:rPr>
                <w:sz w:val="18"/>
                <w:szCs w:val="18"/>
                <w:spacing w:val="-3"/>
              </w:rPr>
              <w:t>有组织</w:t>
            </w:r>
          </w:p>
        </w:tc>
        <w:tc>
          <w:tcPr>
            <w:tcW w:w="422" w:type="dxa"/>
            <w:vAlign w:val="top"/>
          </w:tcPr>
          <w:p>
            <w:pPr>
              <w:pStyle w:val="TableText"/>
              <w:ind w:left="47"/>
              <w:spacing w:before="144" w:line="219" w:lineRule="auto"/>
              <w:rPr>
                <w:sz w:val="18"/>
                <w:szCs w:val="18"/>
              </w:rPr>
            </w:pPr>
            <w:r>
              <w:rPr>
                <w:sz w:val="18"/>
                <w:szCs w:val="18"/>
                <w:spacing w:val="-11"/>
              </w:rPr>
              <w:t>间断</w:t>
            </w:r>
          </w:p>
        </w:tc>
        <w:tc>
          <w:tcPr>
            <w:tcW w:w="844" w:type="dxa"/>
            <w:vAlign w:val="top"/>
          </w:tcPr>
          <w:p>
            <w:pPr>
              <w:pStyle w:val="TableText"/>
              <w:ind w:left="65"/>
              <w:spacing w:before="29" w:line="219" w:lineRule="auto"/>
              <w:rPr>
                <w:sz w:val="18"/>
                <w:szCs w:val="18"/>
              </w:rPr>
            </w:pPr>
            <w:r>
              <w:rPr>
                <w:sz w:val="18"/>
                <w:szCs w:val="18"/>
                <w:spacing w:val="-2"/>
              </w:rPr>
              <w:t>产污系数</w:t>
            </w:r>
          </w:p>
          <w:p>
            <w:pPr>
              <w:pStyle w:val="TableText"/>
              <w:ind w:left="337"/>
              <w:spacing w:before="18" w:line="204" w:lineRule="auto"/>
              <w:rPr>
                <w:sz w:val="18"/>
                <w:szCs w:val="18"/>
              </w:rPr>
            </w:pPr>
            <w:r>
              <w:rPr>
                <w:sz w:val="18"/>
                <w:szCs w:val="18"/>
              </w:rPr>
              <w:t>法</w:t>
            </w:r>
          </w:p>
        </w:tc>
        <w:tc>
          <w:tcPr>
            <w:tcW w:w="661" w:type="dxa"/>
            <w:vAlign w:val="top"/>
          </w:tcPr>
          <w:p>
            <w:pPr>
              <w:ind w:left="149"/>
              <w:spacing w:before="17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2000</w:t>
            </w:r>
          </w:p>
        </w:tc>
        <w:tc>
          <w:tcPr>
            <w:tcW w:w="827" w:type="dxa"/>
            <w:vAlign w:val="top"/>
          </w:tcPr>
          <w:p>
            <w:pPr>
              <w:pStyle w:val="TableText"/>
              <w:ind w:left="238"/>
              <w:spacing w:before="144" w:line="221" w:lineRule="auto"/>
              <w:rPr>
                <w:sz w:val="18"/>
                <w:szCs w:val="18"/>
              </w:rPr>
            </w:pPr>
            <w:r>
              <w:rPr>
                <w:sz w:val="18"/>
                <w:szCs w:val="18"/>
                <w:spacing w:val="-5"/>
              </w:rPr>
              <w:t>油烟</w:t>
            </w:r>
          </w:p>
        </w:tc>
        <w:tc>
          <w:tcPr>
            <w:tcW w:w="683" w:type="dxa"/>
            <w:vAlign w:val="top"/>
          </w:tcPr>
          <w:p>
            <w:pPr>
              <w:ind w:left="231"/>
              <w:spacing w:before="176"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7.5</w:t>
            </w:r>
          </w:p>
        </w:tc>
        <w:tc>
          <w:tcPr>
            <w:tcW w:w="709" w:type="dxa"/>
            <w:vAlign w:val="top"/>
          </w:tcPr>
          <w:p>
            <w:pPr>
              <w:ind w:left="155"/>
              <w:spacing w:before="17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0.015</w:t>
            </w:r>
          </w:p>
        </w:tc>
        <w:tc>
          <w:tcPr>
            <w:tcW w:w="916" w:type="dxa"/>
            <w:vAlign w:val="top"/>
          </w:tcPr>
          <w:p>
            <w:pPr>
              <w:ind w:left="260"/>
              <w:spacing w:before="17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0.027</w:t>
            </w:r>
          </w:p>
        </w:tc>
        <w:tc>
          <w:tcPr>
            <w:tcW w:w="2167" w:type="dxa"/>
            <w:vAlign w:val="top"/>
          </w:tcPr>
          <w:p>
            <w:pPr>
              <w:pStyle w:val="TableText"/>
              <w:ind w:left="493"/>
              <w:spacing w:before="144" w:line="220" w:lineRule="auto"/>
              <w:rPr>
                <w:sz w:val="18"/>
                <w:szCs w:val="18"/>
              </w:rPr>
            </w:pPr>
            <w:r>
              <w:rPr>
                <w:rFonts w:ascii="Times New Roman" w:hAnsi="Times New Roman" w:eastAsia="Times New Roman" w:cs="Times New Roman"/>
                <w:sz w:val="18"/>
                <w:szCs w:val="18"/>
                <w:spacing w:val="-7"/>
              </w:rPr>
              <w:t>1</w:t>
            </w:r>
            <w:r>
              <w:rPr>
                <w:rFonts w:ascii="Times New Roman" w:hAnsi="Times New Roman" w:eastAsia="Times New Roman" w:cs="Times New Roman"/>
                <w:sz w:val="18"/>
                <w:szCs w:val="18"/>
                <w:spacing w:val="28"/>
                <w:w w:val="101"/>
              </w:rPr>
              <w:t xml:space="preserve"> </w:t>
            </w:r>
            <w:r>
              <w:rPr>
                <w:sz w:val="18"/>
                <w:szCs w:val="18"/>
                <w:spacing w:val="-7"/>
              </w:rPr>
              <w:t>台油烟净化器</w:t>
            </w:r>
          </w:p>
        </w:tc>
        <w:tc>
          <w:tcPr>
            <w:tcW w:w="472" w:type="dxa"/>
            <w:vAlign w:val="top"/>
          </w:tcPr>
          <w:p>
            <w:pPr>
              <w:ind w:left="150"/>
              <w:spacing w:before="176"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75</w:t>
            </w:r>
          </w:p>
        </w:tc>
        <w:tc>
          <w:tcPr>
            <w:tcW w:w="641" w:type="dxa"/>
            <w:vAlign w:val="top"/>
          </w:tcPr>
          <w:p>
            <w:pPr>
              <w:ind w:left="182"/>
              <w:spacing w:before="17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1.88</w:t>
            </w:r>
          </w:p>
        </w:tc>
        <w:tc>
          <w:tcPr>
            <w:tcW w:w="810" w:type="dxa"/>
            <w:vAlign w:val="top"/>
          </w:tcPr>
          <w:p>
            <w:pPr>
              <w:ind w:left="163"/>
              <w:spacing w:before="17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0.0038</w:t>
            </w:r>
          </w:p>
        </w:tc>
        <w:tc>
          <w:tcPr>
            <w:tcW w:w="447" w:type="dxa"/>
            <w:vAlign w:val="top"/>
          </w:tcPr>
          <w:p>
            <w:pPr>
              <w:ind w:left="63"/>
              <w:spacing w:before="17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1800</w:t>
            </w:r>
          </w:p>
        </w:tc>
        <w:tc>
          <w:tcPr>
            <w:tcW w:w="924" w:type="dxa"/>
            <w:vAlign w:val="top"/>
          </w:tcPr>
          <w:p>
            <w:pPr>
              <w:ind w:left="219"/>
              <w:spacing w:before="17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0.0068</w:t>
            </w:r>
          </w:p>
        </w:tc>
        <w:tc>
          <w:tcPr>
            <w:tcW w:w="1447" w:type="dxa"/>
            <w:vAlign w:val="top"/>
            <w:gridSpan w:val="3"/>
          </w:tcPr>
          <w:p>
            <w:pPr>
              <w:pStyle w:val="TableText"/>
              <w:ind w:left="98"/>
              <w:spacing w:before="29" w:line="220" w:lineRule="auto"/>
              <w:rPr>
                <w:sz w:val="18"/>
                <w:szCs w:val="18"/>
              </w:rPr>
            </w:pPr>
            <w:r>
              <w:rPr>
                <w:sz w:val="18"/>
                <w:szCs w:val="18"/>
                <w:spacing w:val="-2"/>
              </w:rPr>
              <w:t>经食堂专用烟道</w:t>
            </w:r>
          </w:p>
          <w:p>
            <w:pPr>
              <w:pStyle w:val="TableText"/>
              <w:ind w:left="278"/>
              <w:spacing w:before="18" w:line="204" w:lineRule="auto"/>
              <w:rPr>
                <w:sz w:val="18"/>
                <w:szCs w:val="18"/>
              </w:rPr>
            </w:pPr>
            <w:r>
              <w:rPr>
                <w:sz w:val="18"/>
                <w:szCs w:val="18"/>
                <w:spacing w:val="-2"/>
              </w:rPr>
              <w:t>至屋顶排放</w:t>
            </w:r>
          </w:p>
        </w:tc>
      </w:tr>
      <w:tr>
        <w:trPr>
          <w:trHeight w:val="354" w:hRule="atLeast"/>
        </w:trPr>
        <w:tc>
          <w:tcPr>
            <w:tcW w:w="446" w:type="dxa"/>
            <w:vAlign w:val="top"/>
            <w:vMerge w:val="restart"/>
            <w:tcBorders>
              <w:bottom w:val="nil"/>
            </w:tcBorders>
          </w:tcPr>
          <w:p>
            <w:pPr>
              <w:spacing w:line="413" w:lineRule="auto"/>
              <w:rPr>
                <w:rFonts w:ascii="Arial"/>
                <w:sz w:val="21"/>
              </w:rPr>
            </w:pPr>
            <w:r/>
          </w:p>
          <w:p>
            <w:pPr>
              <w:ind w:left="84"/>
              <w:spacing w:before="52" w:line="202" w:lineRule="auto"/>
              <w:rPr>
                <w:rFonts w:ascii="Times New Roman" w:hAnsi="Times New Roman" w:eastAsia="Times New Roman" w:cs="Times New Roman"/>
                <w:sz w:val="11"/>
                <w:szCs w:val="11"/>
              </w:rPr>
            </w:pPr>
            <w:r>
              <w:rPr>
                <w:rFonts w:ascii="Times New Roman" w:hAnsi="Times New Roman" w:eastAsia="Times New Roman" w:cs="Times New Roman"/>
                <w:sz w:val="18"/>
                <w:szCs w:val="18"/>
              </w:rPr>
              <w:t>G</w:t>
            </w:r>
            <w:r>
              <w:rPr>
                <w:rFonts w:ascii="Times New Roman" w:hAnsi="Times New Roman" w:eastAsia="Times New Roman" w:cs="Times New Roman"/>
                <w:sz w:val="11"/>
                <w:szCs w:val="11"/>
              </w:rPr>
              <w:t>4-2</w:t>
            </w:r>
          </w:p>
        </w:tc>
        <w:tc>
          <w:tcPr>
            <w:tcW w:w="1054" w:type="dxa"/>
            <w:vAlign w:val="top"/>
            <w:vMerge w:val="restart"/>
            <w:tcBorders>
              <w:bottom w:val="nil"/>
            </w:tcBorders>
          </w:tcPr>
          <w:p>
            <w:pPr>
              <w:spacing w:line="261" w:lineRule="auto"/>
              <w:rPr>
                <w:rFonts w:ascii="Arial"/>
                <w:sz w:val="21"/>
              </w:rPr>
            </w:pPr>
            <w:r/>
          </w:p>
          <w:p>
            <w:pPr>
              <w:pStyle w:val="TableText"/>
              <w:ind w:left="82"/>
              <w:spacing w:before="58" w:line="220" w:lineRule="auto"/>
              <w:rPr>
                <w:sz w:val="18"/>
                <w:szCs w:val="18"/>
              </w:rPr>
            </w:pPr>
            <w:r>
              <w:rPr>
                <w:sz w:val="18"/>
                <w:szCs w:val="18"/>
                <w:spacing w:val="-3"/>
              </w:rPr>
              <w:t>沼气锅炉烟</w:t>
            </w:r>
          </w:p>
          <w:p>
            <w:pPr>
              <w:pStyle w:val="TableText"/>
              <w:ind w:left="439"/>
              <w:spacing w:before="18" w:line="221" w:lineRule="auto"/>
              <w:rPr>
                <w:sz w:val="18"/>
                <w:szCs w:val="18"/>
              </w:rPr>
            </w:pPr>
            <w:r>
              <w:rPr>
                <w:sz w:val="18"/>
                <w:szCs w:val="18"/>
              </w:rPr>
              <w:t>气</w:t>
            </w:r>
          </w:p>
        </w:tc>
        <w:tc>
          <w:tcPr>
            <w:tcW w:w="582" w:type="dxa"/>
            <w:vAlign w:val="top"/>
            <w:vMerge w:val="restart"/>
            <w:tcBorders>
              <w:bottom w:val="nil"/>
            </w:tcBorders>
          </w:tcPr>
          <w:p>
            <w:pPr>
              <w:spacing w:line="375" w:lineRule="auto"/>
              <w:rPr>
                <w:rFonts w:ascii="Arial"/>
                <w:sz w:val="21"/>
              </w:rPr>
            </w:pPr>
            <w:r/>
          </w:p>
          <w:p>
            <w:pPr>
              <w:pStyle w:val="TableText"/>
              <w:ind w:left="26"/>
              <w:spacing w:before="59" w:line="220" w:lineRule="auto"/>
              <w:rPr>
                <w:sz w:val="18"/>
                <w:szCs w:val="18"/>
              </w:rPr>
            </w:pPr>
            <w:r>
              <w:rPr>
                <w:sz w:val="18"/>
                <w:szCs w:val="18"/>
                <w:spacing w:val="-3"/>
              </w:rPr>
              <w:t>有组织</w:t>
            </w:r>
          </w:p>
        </w:tc>
        <w:tc>
          <w:tcPr>
            <w:tcW w:w="422" w:type="dxa"/>
            <w:vAlign w:val="top"/>
            <w:vMerge w:val="restart"/>
            <w:tcBorders>
              <w:bottom w:val="nil"/>
            </w:tcBorders>
          </w:tcPr>
          <w:p>
            <w:pPr>
              <w:spacing w:line="375" w:lineRule="auto"/>
              <w:rPr>
                <w:rFonts w:ascii="Arial"/>
                <w:sz w:val="21"/>
              </w:rPr>
            </w:pPr>
            <w:r/>
          </w:p>
          <w:p>
            <w:pPr>
              <w:pStyle w:val="TableText"/>
              <w:ind w:left="34"/>
              <w:spacing w:before="59" w:line="220" w:lineRule="auto"/>
              <w:rPr>
                <w:sz w:val="18"/>
                <w:szCs w:val="18"/>
              </w:rPr>
            </w:pPr>
            <w:r>
              <w:rPr>
                <w:sz w:val="18"/>
                <w:szCs w:val="18"/>
                <w:spacing w:val="-4"/>
              </w:rPr>
              <w:t>连续</w:t>
            </w:r>
          </w:p>
        </w:tc>
        <w:tc>
          <w:tcPr>
            <w:tcW w:w="844" w:type="dxa"/>
            <w:vAlign w:val="top"/>
            <w:vMerge w:val="restart"/>
            <w:tcBorders>
              <w:bottom w:val="nil"/>
            </w:tcBorders>
          </w:tcPr>
          <w:p>
            <w:pPr>
              <w:pStyle w:val="TableText"/>
              <w:ind w:left="8" w:right="3" w:firstLine="56"/>
              <w:spacing w:before="203" w:line="239" w:lineRule="auto"/>
              <w:rPr>
                <w:sz w:val="18"/>
                <w:szCs w:val="18"/>
              </w:rPr>
            </w:pPr>
            <w:r>
              <w:rPr>
                <w:sz w:val="18"/>
                <w:szCs w:val="18"/>
                <w:spacing w:val="-2"/>
              </w:rPr>
              <w:t>产污系数</w:t>
            </w:r>
            <w:r>
              <w:rPr>
                <w:sz w:val="18"/>
                <w:szCs w:val="18"/>
              </w:rPr>
              <w:t xml:space="preserve"> </w:t>
            </w:r>
            <w:r>
              <w:rPr>
                <w:sz w:val="18"/>
                <w:szCs w:val="18"/>
                <w:spacing w:val="-16"/>
              </w:rPr>
              <w:t>法、物料</w:t>
            </w:r>
            <w:r>
              <w:rPr>
                <w:sz w:val="18"/>
                <w:szCs w:val="18"/>
                <w:spacing w:val="-11"/>
              </w:rPr>
              <w:t>衡</w:t>
            </w:r>
          </w:p>
          <w:p>
            <w:pPr>
              <w:pStyle w:val="TableText"/>
              <w:ind w:left="246"/>
              <w:spacing w:line="219" w:lineRule="auto"/>
              <w:rPr>
                <w:sz w:val="18"/>
                <w:szCs w:val="18"/>
              </w:rPr>
            </w:pPr>
            <w:r>
              <w:rPr>
                <w:sz w:val="18"/>
                <w:szCs w:val="18"/>
                <w:spacing w:val="-5"/>
              </w:rPr>
              <w:t>算法</w:t>
            </w:r>
          </w:p>
        </w:tc>
        <w:tc>
          <w:tcPr>
            <w:tcW w:w="661" w:type="dxa"/>
            <w:vAlign w:val="top"/>
            <w:vMerge w:val="restart"/>
            <w:tcBorders>
              <w:bottom w:val="nil"/>
            </w:tcBorders>
          </w:tcPr>
          <w:p>
            <w:pPr>
              <w:spacing w:line="413" w:lineRule="auto"/>
              <w:rPr>
                <w:rFonts w:ascii="Arial"/>
                <w:sz w:val="21"/>
              </w:rPr>
            </w:pPr>
            <w:r/>
          </w:p>
          <w:p>
            <w:pPr>
              <w:ind w:left="56"/>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1169.96</w:t>
            </w:r>
          </w:p>
        </w:tc>
        <w:tc>
          <w:tcPr>
            <w:tcW w:w="827" w:type="dxa"/>
            <w:vAlign w:val="top"/>
          </w:tcPr>
          <w:p>
            <w:pPr>
              <w:pStyle w:val="TableText"/>
              <w:ind w:left="146"/>
              <w:spacing w:before="86" w:line="220" w:lineRule="auto"/>
              <w:rPr>
                <w:sz w:val="18"/>
                <w:szCs w:val="18"/>
              </w:rPr>
            </w:pPr>
            <w:r>
              <w:rPr>
                <w:sz w:val="18"/>
                <w:szCs w:val="18"/>
                <w:spacing w:val="-3"/>
              </w:rPr>
              <w:t>颗粒物</w:t>
            </w:r>
          </w:p>
        </w:tc>
        <w:tc>
          <w:tcPr>
            <w:tcW w:w="683" w:type="dxa"/>
            <w:vAlign w:val="top"/>
          </w:tcPr>
          <w:p>
            <w:pPr>
              <w:ind w:left="157"/>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15.38</w:t>
            </w:r>
          </w:p>
        </w:tc>
        <w:tc>
          <w:tcPr>
            <w:tcW w:w="709" w:type="dxa"/>
            <w:vAlign w:val="top"/>
          </w:tcPr>
          <w:p>
            <w:pPr>
              <w:ind w:left="155"/>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0.018</w:t>
            </w:r>
          </w:p>
        </w:tc>
        <w:tc>
          <w:tcPr>
            <w:tcW w:w="916" w:type="dxa"/>
            <w:vAlign w:val="top"/>
          </w:tcPr>
          <w:p>
            <w:pPr>
              <w:ind w:left="260"/>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0.132</w:t>
            </w:r>
          </w:p>
        </w:tc>
        <w:tc>
          <w:tcPr>
            <w:tcW w:w="2167" w:type="dxa"/>
            <w:vAlign w:val="top"/>
            <w:vMerge w:val="restart"/>
            <w:tcBorders>
              <w:bottom w:val="nil"/>
            </w:tcBorders>
          </w:tcPr>
          <w:p>
            <w:pPr>
              <w:spacing w:line="260" w:lineRule="auto"/>
              <w:rPr>
                <w:rFonts w:ascii="Arial"/>
                <w:sz w:val="21"/>
              </w:rPr>
            </w:pPr>
            <w:r/>
          </w:p>
          <w:p>
            <w:pPr>
              <w:pStyle w:val="TableText"/>
              <w:ind w:left="193" w:right="2" w:hanging="185"/>
              <w:spacing w:before="59" w:line="241" w:lineRule="auto"/>
              <w:rPr>
                <w:sz w:val="18"/>
                <w:szCs w:val="18"/>
              </w:rPr>
            </w:pPr>
            <w:r>
              <w:rPr>
                <w:sz w:val="18"/>
                <w:szCs w:val="18"/>
                <w:spacing w:val="-8"/>
              </w:rPr>
              <w:t>低氮燃烧技术，通过</w:t>
            </w:r>
            <w:r>
              <w:rPr>
                <w:sz w:val="18"/>
                <w:szCs w:val="18"/>
                <w:spacing w:val="-13"/>
              </w:rPr>
              <w:t xml:space="preserve"> </w:t>
            </w:r>
            <w:r>
              <w:rPr>
                <w:rFonts w:ascii="Times New Roman" w:hAnsi="Times New Roman" w:eastAsia="Times New Roman" w:cs="Times New Roman"/>
                <w:sz w:val="18"/>
                <w:szCs w:val="18"/>
                <w:spacing w:val="-8"/>
              </w:rPr>
              <w:t>10m</w:t>
            </w:r>
            <w:r>
              <w:rPr>
                <w:rFonts w:ascii="Times New Roman" w:hAnsi="Times New Roman" w:eastAsia="Times New Roman" w:cs="Times New Roman"/>
                <w:sz w:val="18"/>
                <w:szCs w:val="18"/>
                <w:spacing w:val="12"/>
              </w:rPr>
              <w:t xml:space="preserve"> </w:t>
            </w:r>
            <w:r>
              <w:rPr>
                <w:sz w:val="18"/>
                <w:szCs w:val="18"/>
                <w:spacing w:val="-8"/>
              </w:rPr>
              <w:t>高</w:t>
            </w:r>
            <w:r>
              <w:rPr>
                <w:sz w:val="18"/>
                <w:szCs w:val="18"/>
              </w:rPr>
              <w:t xml:space="preserve"> </w:t>
            </w:r>
            <w:r>
              <w:rPr>
                <w:sz w:val="18"/>
                <w:szCs w:val="18"/>
                <w:spacing w:val="-1"/>
              </w:rPr>
              <w:t>排气筒排放（</w:t>
            </w:r>
            <w:r>
              <w:rPr>
                <w:rFonts w:ascii="Times New Roman" w:hAnsi="Times New Roman" w:eastAsia="Times New Roman" w:cs="Times New Roman"/>
                <w:sz w:val="18"/>
                <w:szCs w:val="18"/>
                <w:spacing w:val="-1"/>
              </w:rPr>
              <w:t>DA004</w:t>
            </w:r>
            <w:r>
              <w:rPr>
                <w:sz w:val="18"/>
                <w:szCs w:val="18"/>
                <w:spacing w:val="-1"/>
              </w:rPr>
              <w:t>）</w:t>
            </w:r>
          </w:p>
        </w:tc>
        <w:tc>
          <w:tcPr>
            <w:tcW w:w="472" w:type="dxa"/>
            <w:vAlign w:val="top"/>
          </w:tcPr>
          <w:p>
            <w:pPr>
              <w:ind w:left="209"/>
              <w:spacing w:before="114"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641" w:type="dxa"/>
            <w:vAlign w:val="top"/>
          </w:tcPr>
          <w:p>
            <w:pPr>
              <w:ind w:left="137"/>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15.38</w:t>
            </w:r>
          </w:p>
        </w:tc>
        <w:tc>
          <w:tcPr>
            <w:tcW w:w="810" w:type="dxa"/>
            <w:vAlign w:val="top"/>
          </w:tcPr>
          <w:p>
            <w:pPr>
              <w:ind w:left="206"/>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0.018</w:t>
            </w:r>
          </w:p>
        </w:tc>
        <w:tc>
          <w:tcPr>
            <w:tcW w:w="447" w:type="dxa"/>
            <w:vAlign w:val="top"/>
            <w:vMerge w:val="restart"/>
            <w:tcBorders>
              <w:bottom w:val="nil"/>
            </w:tcBorders>
          </w:tcPr>
          <w:p>
            <w:pPr>
              <w:spacing w:line="413" w:lineRule="auto"/>
              <w:rPr>
                <w:rFonts w:ascii="Arial"/>
                <w:sz w:val="21"/>
              </w:rPr>
            </w:pPr>
            <w:r/>
          </w:p>
          <w:p>
            <w:pPr>
              <w:ind w:left="4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7200</w:t>
            </w:r>
          </w:p>
        </w:tc>
        <w:tc>
          <w:tcPr>
            <w:tcW w:w="924" w:type="dxa"/>
            <w:vAlign w:val="top"/>
          </w:tcPr>
          <w:p>
            <w:pPr>
              <w:ind w:left="264"/>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0.132</w:t>
            </w:r>
          </w:p>
        </w:tc>
        <w:tc>
          <w:tcPr>
            <w:tcW w:w="430" w:type="dxa"/>
            <w:vAlign w:val="top"/>
            <w:vMerge w:val="restart"/>
            <w:tcBorders>
              <w:bottom w:val="nil"/>
            </w:tcBorders>
          </w:tcPr>
          <w:p>
            <w:pPr>
              <w:spacing w:line="413" w:lineRule="auto"/>
              <w:rPr>
                <w:rFonts w:ascii="Arial"/>
                <w:sz w:val="21"/>
              </w:rPr>
            </w:pPr>
            <w:r/>
          </w:p>
          <w:p>
            <w:pPr>
              <w:ind w:left="14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10</w:t>
            </w:r>
          </w:p>
        </w:tc>
        <w:tc>
          <w:tcPr>
            <w:tcW w:w="470" w:type="dxa"/>
            <w:vAlign w:val="top"/>
            <w:vMerge w:val="restart"/>
            <w:tcBorders>
              <w:bottom w:val="nil"/>
            </w:tcBorders>
          </w:tcPr>
          <w:p>
            <w:pPr>
              <w:spacing w:line="413" w:lineRule="auto"/>
              <w:rPr>
                <w:rFonts w:ascii="Arial"/>
                <w:sz w:val="21"/>
              </w:rPr>
            </w:pPr>
            <w:r/>
          </w:p>
          <w:p>
            <w:pPr>
              <w:ind w:left="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0.20</w:t>
            </w:r>
          </w:p>
        </w:tc>
        <w:tc>
          <w:tcPr>
            <w:tcW w:w="547" w:type="dxa"/>
            <w:vAlign w:val="top"/>
            <w:vMerge w:val="restart"/>
            <w:tcBorders>
              <w:bottom w:val="nil"/>
            </w:tcBorders>
          </w:tcPr>
          <w:p>
            <w:pPr>
              <w:spacing w:line="413" w:lineRule="auto"/>
              <w:rPr>
                <w:rFonts w:ascii="Arial"/>
                <w:sz w:val="21"/>
              </w:rPr>
            </w:pPr>
            <w:r/>
          </w:p>
          <w:p>
            <w:pPr>
              <w:ind w:left="156"/>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120</w:t>
            </w:r>
          </w:p>
        </w:tc>
      </w:tr>
      <w:tr>
        <w:trPr>
          <w:trHeight w:val="362" w:hRule="atLeast"/>
        </w:trPr>
        <w:tc>
          <w:tcPr>
            <w:tcW w:w="446" w:type="dxa"/>
            <w:vAlign w:val="top"/>
            <w:vMerge w:val="continue"/>
            <w:tcBorders>
              <w:top w:val="nil"/>
              <w:bottom w:val="nil"/>
            </w:tcBorders>
          </w:tcPr>
          <w:p>
            <w:pPr>
              <w:rPr>
                <w:rFonts w:ascii="Arial"/>
                <w:sz w:val="21"/>
              </w:rPr>
            </w:pPr>
            <w:r/>
          </w:p>
        </w:tc>
        <w:tc>
          <w:tcPr>
            <w:tcW w:w="1054" w:type="dxa"/>
            <w:vAlign w:val="top"/>
            <w:vMerge w:val="continue"/>
            <w:tcBorders>
              <w:top w:val="nil"/>
              <w:bottom w:val="nil"/>
            </w:tcBorders>
          </w:tcPr>
          <w:p>
            <w:pPr>
              <w:rPr>
                <w:rFonts w:ascii="Arial"/>
                <w:sz w:val="21"/>
              </w:rPr>
            </w:pPr>
            <w:r/>
          </w:p>
        </w:tc>
        <w:tc>
          <w:tcPr>
            <w:tcW w:w="582" w:type="dxa"/>
            <w:vAlign w:val="top"/>
            <w:vMerge w:val="continue"/>
            <w:tcBorders>
              <w:top w:val="nil"/>
              <w:bottom w:val="nil"/>
            </w:tcBorders>
          </w:tcPr>
          <w:p>
            <w:pPr>
              <w:rPr>
                <w:rFonts w:ascii="Arial"/>
                <w:sz w:val="21"/>
              </w:rPr>
            </w:pPr>
            <w:r/>
          </w:p>
        </w:tc>
        <w:tc>
          <w:tcPr>
            <w:tcW w:w="422" w:type="dxa"/>
            <w:vAlign w:val="top"/>
            <w:vMerge w:val="continue"/>
            <w:tcBorders>
              <w:top w:val="nil"/>
              <w:bottom w:val="nil"/>
            </w:tcBorders>
          </w:tcPr>
          <w:p>
            <w:pPr>
              <w:rPr>
                <w:rFonts w:ascii="Arial"/>
                <w:sz w:val="21"/>
              </w:rPr>
            </w:pPr>
            <w:r/>
          </w:p>
        </w:tc>
        <w:tc>
          <w:tcPr>
            <w:tcW w:w="844" w:type="dxa"/>
            <w:vAlign w:val="top"/>
            <w:vMerge w:val="continue"/>
            <w:tcBorders>
              <w:top w:val="nil"/>
              <w:bottom w:val="nil"/>
            </w:tcBorders>
          </w:tcPr>
          <w:p>
            <w:pPr>
              <w:rPr>
                <w:rFonts w:ascii="Arial"/>
                <w:sz w:val="21"/>
              </w:rPr>
            </w:pPr>
            <w:r/>
          </w:p>
        </w:tc>
        <w:tc>
          <w:tcPr>
            <w:tcW w:w="661" w:type="dxa"/>
            <w:vAlign w:val="top"/>
            <w:vMerge w:val="continue"/>
            <w:tcBorders>
              <w:top w:val="nil"/>
              <w:bottom w:val="nil"/>
            </w:tcBorders>
          </w:tcPr>
          <w:p>
            <w:pPr>
              <w:rPr>
                <w:rFonts w:ascii="Arial"/>
                <w:sz w:val="21"/>
              </w:rPr>
            </w:pPr>
            <w:r/>
          </w:p>
        </w:tc>
        <w:tc>
          <w:tcPr>
            <w:tcW w:w="827" w:type="dxa"/>
            <w:vAlign w:val="top"/>
          </w:tcPr>
          <w:p>
            <w:pPr>
              <w:ind w:left="275"/>
              <w:spacing w:before="122" w:line="194" w:lineRule="auto"/>
              <w:rPr>
                <w:rFonts w:ascii="Times New Roman" w:hAnsi="Times New Roman" w:eastAsia="Times New Roman" w:cs="Times New Roman"/>
                <w:sz w:val="11"/>
                <w:szCs w:val="11"/>
              </w:rPr>
            </w:pPr>
            <w:r>
              <w:rPr>
                <w:rFonts w:ascii="Times New Roman" w:hAnsi="Times New Roman" w:eastAsia="Times New Roman" w:cs="Times New Roman"/>
                <w:sz w:val="18"/>
                <w:szCs w:val="18"/>
                <w:spacing w:val="-3"/>
              </w:rPr>
              <w:t>SO</w:t>
            </w:r>
            <w:r>
              <w:rPr>
                <w:rFonts w:ascii="Times New Roman" w:hAnsi="Times New Roman" w:eastAsia="Times New Roman" w:cs="Times New Roman"/>
                <w:sz w:val="11"/>
                <w:szCs w:val="11"/>
                <w:spacing w:val="-3"/>
                <w:position w:val="-1"/>
              </w:rPr>
              <w:t>2</w:t>
            </w:r>
          </w:p>
        </w:tc>
        <w:tc>
          <w:tcPr>
            <w:tcW w:w="683" w:type="dxa"/>
            <w:vAlign w:val="top"/>
          </w:tcPr>
          <w:p>
            <w:pPr>
              <w:ind w:left="184"/>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4.48</w:t>
            </w:r>
          </w:p>
        </w:tc>
        <w:tc>
          <w:tcPr>
            <w:tcW w:w="709" w:type="dxa"/>
            <w:vAlign w:val="top"/>
          </w:tcPr>
          <w:p>
            <w:pPr>
              <w:ind w:left="109"/>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0.0052</w:t>
            </w:r>
          </w:p>
        </w:tc>
        <w:tc>
          <w:tcPr>
            <w:tcW w:w="916" w:type="dxa"/>
            <w:vAlign w:val="top"/>
          </w:tcPr>
          <w:p>
            <w:pPr>
              <w:ind w:left="214"/>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0.0378</w:t>
            </w:r>
          </w:p>
        </w:tc>
        <w:tc>
          <w:tcPr>
            <w:tcW w:w="2167" w:type="dxa"/>
            <w:vAlign w:val="top"/>
            <w:vMerge w:val="continue"/>
            <w:tcBorders>
              <w:top w:val="nil"/>
              <w:bottom w:val="nil"/>
            </w:tcBorders>
          </w:tcPr>
          <w:p>
            <w:pPr>
              <w:rPr>
                <w:rFonts w:ascii="Arial"/>
                <w:sz w:val="21"/>
              </w:rPr>
            </w:pPr>
            <w:r/>
          </w:p>
        </w:tc>
        <w:tc>
          <w:tcPr>
            <w:tcW w:w="472" w:type="dxa"/>
            <w:vAlign w:val="top"/>
          </w:tcPr>
          <w:p>
            <w:pPr>
              <w:ind w:left="209"/>
              <w:spacing w:before="119"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641" w:type="dxa"/>
            <w:vAlign w:val="top"/>
          </w:tcPr>
          <w:p>
            <w:pPr>
              <w:ind w:left="164"/>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4.48</w:t>
            </w:r>
          </w:p>
        </w:tc>
        <w:tc>
          <w:tcPr>
            <w:tcW w:w="810" w:type="dxa"/>
            <w:vAlign w:val="top"/>
          </w:tcPr>
          <w:p>
            <w:pPr>
              <w:ind w:left="163"/>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0.0052</w:t>
            </w:r>
          </w:p>
        </w:tc>
        <w:tc>
          <w:tcPr>
            <w:tcW w:w="447" w:type="dxa"/>
            <w:vAlign w:val="top"/>
            <w:vMerge w:val="continue"/>
            <w:tcBorders>
              <w:top w:val="nil"/>
              <w:bottom w:val="nil"/>
            </w:tcBorders>
          </w:tcPr>
          <w:p>
            <w:pPr>
              <w:rPr>
                <w:rFonts w:ascii="Arial"/>
                <w:sz w:val="21"/>
              </w:rPr>
            </w:pPr>
            <w:r/>
          </w:p>
        </w:tc>
        <w:tc>
          <w:tcPr>
            <w:tcW w:w="924" w:type="dxa"/>
            <w:vAlign w:val="top"/>
          </w:tcPr>
          <w:p>
            <w:pPr>
              <w:ind w:left="219"/>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0.0378</w:t>
            </w:r>
          </w:p>
        </w:tc>
        <w:tc>
          <w:tcPr>
            <w:tcW w:w="430" w:type="dxa"/>
            <w:vAlign w:val="top"/>
            <w:vMerge w:val="continue"/>
            <w:tcBorders>
              <w:top w:val="nil"/>
              <w:bottom w:val="nil"/>
            </w:tcBorders>
          </w:tcPr>
          <w:p>
            <w:pPr>
              <w:rPr>
                <w:rFonts w:ascii="Arial"/>
                <w:sz w:val="21"/>
              </w:rPr>
            </w:pPr>
            <w:r/>
          </w:p>
        </w:tc>
        <w:tc>
          <w:tcPr>
            <w:tcW w:w="470" w:type="dxa"/>
            <w:vAlign w:val="top"/>
            <w:vMerge w:val="continue"/>
            <w:tcBorders>
              <w:top w:val="nil"/>
              <w:bottom w:val="nil"/>
            </w:tcBorders>
          </w:tcPr>
          <w:p>
            <w:pPr>
              <w:rPr>
                <w:rFonts w:ascii="Arial"/>
                <w:sz w:val="21"/>
              </w:rPr>
            </w:pPr>
            <w:r/>
          </w:p>
        </w:tc>
        <w:tc>
          <w:tcPr>
            <w:tcW w:w="547" w:type="dxa"/>
            <w:vAlign w:val="top"/>
            <w:vMerge w:val="continue"/>
            <w:tcBorders>
              <w:top w:val="nil"/>
              <w:bottom w:val="nil"/>
            </w:tcBorders>
          </w:tcPr>
          <w:p>
            <w:pPr>
              <w:rPr>
                <w:rFonts w:ascii="Arial"/>
                <w:sz w:val="21"/>
              </w:rPr>
            </w:pPr>
            <w:r/>
          </w:p>
        </w:tc>
      </w:tr>
      <w:tr>
        <w:trPr>
          <w:trHeight w:val="328" w:hRule="atLeast"/>
        </w:trPr>
        <w:tc>
          <w:tcPr>
            <w:tcW w:w="446" w:type="dxa"/>
            <w:vAlign w:val="top"/>
            <w:vMerge w:val="continue"/>
            <w:tcBorders>
              <w:top w:val="nil"/>
            </w:tcBorders>
          </w:tcPr>
          <w:p>
            <w:pPr>
              <w:rPr>
                <w:rFonts w:ascii="Arial"/>
                <w:sz w:val="21"/>
              </w:rPr>
            </w:pPr>
            <w:r/>
          </w:p>
        </w:tc>
        <w:tc>
          <w:tcPr>
            <w:tcW w:w="1054" w:type="dxa"/>
            <w:vAlign w:val="top"/>
            <w:vMerge w:val="continue"/>
            <w:tcBorders>
              <w:top w:val="nil"/>
            </w:tcBorders>
          </w:tcPr>
          <w:p>
            <w:pPr>
              <w:rPr>
                <w:rFonts w:ascii="Arial"/>
                <w:sz w:val="21"/>
              </w:rPr>
            </w:pPr>
            <w:r/>
          </w:p>
        </w:tc>
        <w:tc>
          <w:tcPr>
            <w:tcW w:w="582" w:type="dxa"/>
            <w:vAlign w:val="top"/>
            <w:vMerge w:val="continue"/>
            <w:tcBorders>
              <w:top w:val="nil"/>
            </w:tcBorders>
          </w:tcPr>
          <w:p>
            <w:pPr>
              <w:rPr>
                <w:rFonts w:ascii="Arial"/>
                <w:sz w:val="21"/>
              </w:rPr>
            </w:pPr>
            <w:r/>
          </w:p>
        </w:tc>
        <w:tc>
          <w:tcPr>
            <w:tcW w:w="422" w:type="dxa"/>
            <w:vAlign w:val="top"/>
            <w:vMerge w:val="continue"/>
            <w:tcBorders>
              <w:top w:val="nil"/>
            </w:tcBorders>
          </w:tcPr>
          <w:p>
            <w:pPr>
              <w:rPr>
                <w:rFonts w:ascii="Arial"/>
                <w:sz w:val="21"/>
              </w:rPr>
            </w:pPr>
            <w:r/>
          </w:p>
        </w:tc>
        <w:tc>
          <w:tcPr>
            <w:tcW w:w="844" w:type="dxa"/>
            <w:vAlign w:val="top"/>
            <w:vMerge w:val="continue"/>
            <w:tcBorders>
              <w:top w:val="nil"/>
            </w:tcBorders>
          </w:tcPr>
          <w:p>
            <w:pPr>
              <w:rPr>
                <w:rFonts w:ascii="Arial"/>
                <w:sz w:val="21"/>
              </w:rPr>
            </w:pPr>
            <w:r/>
          </w:p>
        </w:tc>
        <w:tc>
          <w:tcPr>
            <w:tcW w:w="661" w:type="dxa"/>
            <w:vAlign w:val="top"/>
            <w:vMerge w:val="continue"/>
            <w:tcBorders>
              <w:top w:val="nil"/>
            </w:tcBorders>
          </w:tcPr>
          <w:p>
            <w:pPr>
              <w:rPr>
                <w:rFonts w:ascii="Arial"/>
                <w:sz w:val="21"/>
              </w:rPr>
            </w:pPr>
            <w:r/>
          </w:p>
        </w:tc>
        <w:tc>
          <w:tcPr>
            <w:tcW w:w="827" w:type="dxa"/>
            <w:vAlign w:val="top"/>
          </w:tcPr>
          <w:p>
            <w:pPr>
              <w:ind w:left="248"/>
              <w:spacing w:before="106" w:line="194" w:lineRule="auto"/>
              <w:rPr>
                <w:rFonts w:ascii="Times New Roman" w:hAnsi="Times New Roman" w:eastAsia="Times New Roman" w:cs="Times New Roman"/>
                <w:sz w:val="11"/>
                <w:szCs w:val="11"/>
              </w:rPr>
            </w:pPr>
            <w:r>
              <w:rPr>
                <w:rFonts w:ascii="Times New Roman" w:hAnsi="Times New Roman" w:eastAsia="Times New Roman" w:cs="Times New Roman"/>
                <w:sz w:val="18"/>
                <w:szCs w:val="18"/>
                <w:spacing w:val="1"/>
              </w:rPr>
              <w:t>NO</w:t>
            </w:r>
            <w:r>
              <w:rPr>
                <w:rFonts w:ascii="Times New Roman" w:hAnsi="Times New Roman" w:eastAsia="Times New Roman" w:cs="Times New Roman"/>
                <w:sz w:val="11"/>
                <w:szCs w:val="11"/>
                <w:spacing w:val="1"/>
                <w:position w:val="-1"/>
              </w:rPr>
              <w:t>x</w:t>
            </w:r>
          </w:p>
        </w:tc>
        <w:tc>
          <w:tcPr>
            <w:tcW w:w="683" w:type="dxa"/>
            <w:vAlign w:val="top"/>
          </w:tcPr>
          <w:p>
            <w:pPr>
              <w:ind w:left="111"/>
              <w:spacing w:before="10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120.73</w:t>
            </w:r>
          </w:p>
        </w:tc>
        <w:tc>
          <w:tcPr>
            <w:tcW w:w="709" w:type="dxa"/>
            <w:vAlign w:val="top"/>
          </w:tcPr>
          <w:p>
            <w:pPr>
              <w:ind w:left="155"/>
              <w:spacing w:before="10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0.141</w:t>
            </w:r>
          </w:p>
        </w:tc>
        <w:tc>
          <w:tcPr>
            <w:tcW w:w="916" w:type="dxa"/>
            <w:vAlign w:val="top"/>
          </w:tcPr>
          <w:p>
            <w:pPr>
              <w:ind w:left="274"/>
              <w:spacing w:before="10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1.017</w:t>
            </w:r>
          </w:p>
        </w:tc>
        <w:tc>
          <w:tcPr>
            <w:tcW w:w="2167" w:type="dxa"/>
            <w:vAlign w:val="top"/>
            <w:vMerge w:val="continue"/>
            <w:tcBorders>
              <w:top w:val="nil"/>
            </w:tcBorders>
          </w:tcPr>
          <w:p>
            <w:pPr>
              <w:rPr>
                <w:rFonts w:ascii="Arial"/>
                <w:sz w:val="21"/>
              </w:rPr>
            </w:pPr>
            <w:r/>
          </w:p>
        </w:tc>
        <w:tc>
          <w:tcPr>
            <w:tcW w:w="472" w:type="dxa"/>
            <w:vAlign w:val="top"/>
          </w:tcPr>
          <w:p>
            <w:pPr>
              <w:ind w:left="209"/>
              <w:spacing w:before="103"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641" w:type="dxa"/>
            <w:vAlign w:val="top"/>
          </w:tcPr>
          <w:p>
            <w:pPr>
              <w:ind w:left="91"/>
              <w:spacing w:before="10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120.73</w:t>
            </w:r>
          </w:p>
        </w:tc>
        <w:tc>
          <w:tcPr>
            <w:tcW w:w="810" w:type="dxa"/>
            <w:vAlign w:val="top"/>
          </w:tcPr>
          <w:p>
            <w:pPr>
              <w:ind w:left="206"/>
              <w:spacing w:before="10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0.</w:t>
            </w:r>
            <w:r>
              <w:rPr>
                <w:rFonts w:ascii="Times New Roman" w:hAnsi="Times New Roman" w:eastAsia="Times New Roman" w:cs="Times New Roman"/>
                <w:sz w:val="18"/>
                <w:szCs w:val="18"/>
                <w:spacing w:val="-20"/>
              </w:rPr>
              <w:t xml:space="preserve"> </w:t>
            </w:r>
            <w:r>
              <w:rPr>
                <w:rFonts w:ascii="Times New Roman" w:hAnsi="Times New Roman" w:eastAsia="Times New Roman" w:cs="Times New Roman"/>
                <w:sz w:val="18"/>
                <w:szCs w:val="18"/>
                <w:spacing w:val="-6"/>
              </w:rPr>
              <w:t>141</w:t>
            </w:r>
          </w:p>
        </w:tc>
        <w:tc>
          <w:tcPr>
            <w:tcW w:w="447" w:type="dxa"/>
            <w:vAlign w:val="top"/>
            <w:vMerge w:val="continue"/>
            <w:tcBorders>
              <w:top w:val="nil"/>
            </w:tcBorders>
          </w:tcPr>
          <w:p>
            <w:pPr>
              <w:rPr>
                <w:rFonts w:ascii="Arial"/>
                <w:sz w:val="21"/>
              </w:rPr>
            </w:pPr>
            <w:r/>
          </w:p>
        </w:tc>
        <w:tc>
          <w:tcPr>
            <w:tcW w:w="924" w:type="dxa"/>
            <w:vAlign w:val="top"/>
          </w:tcPr>
          <w:p>
            <w:pPr>
              <w:ind w:left="279"/>
              <w:spacing w:before="10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1.017</w:t>
            </w:r>
          </w:p>
        </w:tc>
        <w:tc>
          <w:tcPr>
            <w:tcW w:w="430" w:type="dxa"/>
            <w:vAlign w:val="top"/>
            <w:vMerge w:val="continue"/>
            <w:tcBorders>
              <w:top w:val="nil"/>
            </w:tcBorders>
          </w:tcPr>
          <w:p>
            <w:pPr>
              <w:rPr>
                <w:rFonts w:ascii="Arial"/>
                <w:sz w:val="21"/>
              </w:rPr>
            </w:pPr>
            <w:r/>
          </w:p>
        </w:tc>
        <w:tc>
          <w:tcPr>
            <w:tcW w:w="470" w:type="dxa"/>
            <w:vAlign w:val="top"/>
            <w:vMerge w:val="continue"/>
            <w:tcBorders>
              <w:top w:val="nil"/>
            </w:tcBorders>
          </w:tcPr>
          <w:p>
            <w:pPr>
              <w:rPr>
                <w:rFonts w:ascii="Arial"/>
                <w:sz w:val="21"/>
              </w:rPr>
            </w:pPr>
            <w:r/>
          </w:p>
        </w:tc>
        <w:tc>
          <w:tcPr>
            <w:tcW w:w="547" w:type="dxa"/>
            <w:vAlign w:val="top"/>
            <w:vMerge w:val="continue"/>
            <w:tcBorders>
              <w:top w:val="nil"/>
            </w:tcBorders>
          </w:tcPr>
          <w:p>
            <w:pPr>
              <w:rPr>
                <w:rFonts w:ascii="Arial"/>
                <w:sz w:val="21"/>
              </w:rPr>
            </w:pPr>
            <w:r/>
          </w:p>
        </w:tc>
      </w:tr>
      <w:tr>
        <w:trPr>
          <w:trHeight w:val="354" w:hRule="atLeast"/>
        </w:trPr>
        <w:tc>
          <w:tcPr>
            <w:tcW w:w="446" w:type="dxa"/>
            <w:vAlign w:val="top"/>
            <w:vMerge w:val="restart"/>
            <w:tcBorders>
              <w:bottom w:val="nil"/>
            </w:tcBorders>
          </w:tcPr>
          <w:p>
            <w:pPr>
              <w:spacing w:line="426" w:lineRule="auto"/>
              <w:rPr>
                <w:rFonts w:ascii="Arial"/>
                <w:sz w:val="21"/>
              </w:rPr>
            </w:pPr>
            <w:r/>
          </w:p>
          <w:p>
            <w:pPr>
              <w:ind w:left="84"/>
              <w:spacing w:before="52" w:line="201" w:lineRule="auto"/>
              <w:rPr>
                <w:rFonts w:ascii="Times New Roman" w:hAnsi="Times New Roman" w:eastAsia="Times New Roman" w:cs="Times New Roman"/>
                <w:sz w:val="11"/>
                <w:szCs w:val="11"/>
              </w:rPr>
            </w:pPr>
            <w:r>
              <w:rPr>
                <w:rFonts w:ascii="Times New Roman" w:hAnsi="Times New Roman" w:eastAsia="Times New Roman" w:cs="Times New Roman"/>
                <w:sz w:val="18"/>
                <w:szCs w:val="18"/>
              </w:rPr>
              <w:t>G</w:t>
            </w:r>
            <w:r>
              <w:rPr>
                <w:rFonts w:ascii="Times New Roman" w:hAnsi="Times New Roman" w:eastAsia="Times New Roman" w:cs="Times New Roman"/>
                <w:sz w:val="11"/>
                <w:szCs w:val="11"/>
              </w:rPr>
              <w:t>4-3</w:t>
            </w:r>
          </w:p>
        </w:tc>
        <w:tc>
          <w:tcPr>
            <w:tcW w:w="1054" w:type="dxa"/>
            <w:vAlign w:val="top"/>
            <w:vMerge w:val="restart"/>
            <w:tcBorders>
              <w:bottom w:val="nil"/>
            </w:tcBorders>
          </w:tcPr>
          <w:p>
            <w:pPr>
              <w:spacing w:line="272" w:lineRule="auto"/>
              <w:rPr>
                <w:rFonts w:ascii="Arial"/>
                <w:sz w:val="21"/>
              </w:rPr>
            </w:pPr>
            <w:r/>
          </w:p>
          <w:p>
            <w:pPr>
              <w:pStyle w:val="TableText"/>
              <w:ind w:left="80"/>
              <w:spacing w:before="59" w:line="220" w:lineRule="auto"/>
              <w:rPr>
                <w:sz w:val="18"/>
                <w:szCs w:val="18"/>
              </w:rPr>
            </w:pPr>
            <w:r>
              <w:rPr>
                <w:sz w:val="18"/>
                <w:szCs w:val="18"/>
                <w:spacing w:val="-2"/>
              </w:rPr>
              <w:t>生物质锅炉</w:t>
            </w:r>
          </w:p>
          <w:p>
            <w:pPr>
              <w:pStyle w:val="TableText"/>
              <w:ind w:left="350"/>
              <w:spacing w:before="18" w:line="221" w:lineRule="auto"/>
              <w:rPr>
                <w:sz w:val="18"/>
                <w:szCs w:val="18"/>
              </w:rPr>
            </w:pPr>
            <w:r>
              <w:rPr>
                <w:sz w:val="18"/>
                <w:szCs w:val="18"/>
                <w:spacing w:val="-4"/>
              </w:rPr>
              <w:t>烟气</w:t>
            </w:r>
          </w:p>
        </w:tc>
        <w:tc>
          <w:tcPr>
            <w:tcW w:w="582" w:type="dxa"/>
            <w:vAlign w:val="top"/>
            <w:vMerge w:val="restart"/>
            <w:tcBorders>
              <w:bottom w:val="nil"/>
            </w:tcBorders>
          </w:tcPr>
          <w:p>
            <w:pPr>
              <w:spacing w:line="389" w:lineRule="auto"/>
              <w:rPr>
                <w:rFonts w:ascii="Arial"/>
                <w:sz w:val="21"/>
              </w:rPr>
            </w:pPr>
            <w:r/>
          </w:p>
          <w:p>
            <w:pPr>
              <w:pStyle w:val="TableText"/>
              <w:ind w:left="26"/>
              <w:spacing w:before="59" w:line="220" w:lineRule="auto"/>
              <w:rPr>
                <w:sz w:val="18"/>
                <w:szCs w:val="18"/>
              </w:rPr>
            </w:pPr>
            <w:r>
              <w:rPr>
                <w:sz w:val="18"/>
                <w:szCs w:val="18"/>
                <w:spacing w:val="-3"/>
              </w:rPr>
              <w:t>有组织</w:t>
            </w:r>
          </w:p>
        </w:tc>
        <w:tc>
          <w:tcPr>
            <w:tcW w:w="422" w:type="dxa"/>
            <w:vAlign w:val="top"/>
            <w:vMerge w:val="restart"/>
            <w:tcBorders>
              <w:bottom w:val="nil"/>
            </w:tcBorders>
          </w:tcPr>
          <w:p>
            <w:pPr>
              <w:spacing w:line="389" w:lineRule="auto"/>
              <w:rPr>
                <w:rFonts w:ascii="Arial"/>
                <w:sz w:val="21"/>
              </w:rPr>
            </w:pPr>
            <w:r/>
          </w:p>
          <w:p>
            <w:pPr>
              <w:pStyle w:val="TableText"/>
              <w:ind w:left="34"/>
              <w:spacing w:before="59" w:line="220" w:lineRule="auto"/>
              <w:rPr>
                <w:sz w:val="18"/>
                <w:szCs w:val="18"/>
              </w:rPr>
            </w:pPr>
            <w:r>
              <w:rPr>
                <w:sz w:val="18"/>
                <w:szCs w:val="18"/>
                <w:spacing w:val="-4"/>
              </w:rPr>
              <w:t>连续</w:t>
            </w:r>
          </w:p>
        </w:tc>
        <w:tc>
          <w:tcPr>
            <w:tcW w:w="844" w:type="dxa"/>
            <w:vAlign w:val="top"/>
            <w:vMerge w:val="restart"/>
            <w:tcBorders>
              <w:bottom w:val="nil"/>
            </w:tcBorders>
          </w:tcPr>
          <w:p>
            <w:pPr>
              <w:spacing w:line="272" w:lineRule="auto"/>
              <w:rPr>
                <w:rFonts w:ascii="Arial"/>
                <w:sz w:val="21"/>
              </w:rPr>
            </w:pPr>
            <w:r/>
          </w:p>
          <w:p>
            <w:pPr>
              <w:pStyle w:val="TableText"/>
              <w:ind w:left="65"/>
              <w:spacing w:before="59" w:line="219" w:lineRule="auto"/>
              <w:rPr>
                <w:sz w:val="18"/>
                <w:szCs w:val="18"/>
              </w:rPr>
            </w:pPr>
            <w:r>
              <w:rPr>
                <w:sz w:val="18"/>
                <w:szCs w:val="18"/>
                <w:spacing w:val="-2"/>
              </w:rPr>
              <w:t>产污系数</w:t>
            </w:r>
          </w:p>
          <w:p>
            <w:pPr>
              <w:pStyle w:val="TableText"/>
              <w:ind w:left="337"/>
              <w:spacing w:before="19" w:line="225" w:lineRule="auto"/>
              <w:rPr>
                <w:sz w:val="18"/>
                <w:szCs w:val="18"/>
              </w:rPr>
            </w:pPr>
            <w:r>
              <w:rPr>
                <w:sz w:val="18"/>
                <w:szCs w:val="18"/>
              </w:rPr>
              <w:t>法</w:t>
            </w:r>
          </w:p>
        </w:tc>
        <w:tc>
          <w:tcPr>
            <w:tcW w:w="661" w:type="dxa"/>
            <w:vAlign w:val="top"/>
            <w:vMerge w:val="restart"/>
            <w:tcBorders>
              <w:bottom w:val="nil"/>
            </w:tcBorders>
          </w:tcPr>
          <w:p>
            <w:pPr>
              <w:spacing w:line="427" w:lineRule="auto"/>
              <w:rPr>
                <w:rFonts w:ascii="Arial"/>
                <w:sz w:val="21"/>
              </w:rPr>
            </w:pPr>
            <w:r/>
          </w:p>
          <w:p>
            <w:pPr>
              <w:ind w:left="15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6009</w:t>
            </w:r>
          </w:p>
        </w:tc>
        <w:tc>
          <w:tcPr>
            <w:tcW w:w="827" w:type="dxa"/>
            <w:vAlign w:val="top"/>
          </w:tcPr>
          <w:p>
            <w:pPr>
              <w:pStyle w:val="TableText"/>
              <w:ind w:left="146"/>
              <w:spacing w:before="88" w:line="220" w:lineRule="auto"/>
              <w:rPr>
                <w:sz w:val="18"/>
                <w:szCs w:val="18"/>
              </w:rPr>
            </w:pPr>
            <w:r>
              <w:rPr>
                <w:sz w:val="18"/>
                <w:szCs w:val="18"/>
                <w:spacing w:val="-3"/>
              </w:rPr>
              <w:t>颗粒物</w:t>
            </w:r>
          </w:p>
        </w:tc>
        <w:tc>
          <w:tcPr>
            <w:tcW w:w="683" w:type="dxa"/>
            <w:vAlign w:val="top"/>
          </w:tcPr>
          <w:p>
            <w:pPr>
              <w:ind w:left="189"/>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65.4</w:t>
            </w:r>
          </w:p>
        </w:tc>
        <w:tc>
          <w:tcPr>
            <w:tcW w:w="709" w:type="dxa"/>
            <w:vAlign w:val="top"/>
          </w:tcPr>
          <w:p>
            <w:pPr>
              <w:ind w:left="326"/>
              <w:spacing w:before="115"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916" w:type="dxa"/>
            <w:vAlign w:val="top"/>
          </w:tcPr>
          <w:p>
            <w:pPr>
              <w:ind w:left="257"/>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2.832</w:t>
            </w:r>
          </w:p>
        </w:tc>
        <w:tc>
          <w:tcPr>
            <w:tcW w:w="2167" w:type="dxa"/>
            <w:vAlign w:val="top"/>
            <w:vMerge w:val="restart"/>
            <w:tcBorders>
              <w:bottom w:val="nil"/>
            </w:tcBorders>
          </w:tcPr>
          <w:p>
            <w:pPr>
              <w:pStyle w:val="TableText"/>
              <w:ind w:left="57"/>
              <w:spacing w:before="99" w:line="219" w:lineRule="auto"/>
              <w:rPr>
                <w:sz w:val="18"/>
                <w:szCs w:val="18"/>
              </w:rPr>
            </w:pPr>
            <w:r>
              <w:rPr>
                <w:sz w:val="18"/>
                <w:szCs w:val="18"/>
                <w:spacing w:val="-2"/>
              </w:rPr>
              <w:t>陶瓷多管除尘器</w:t>
            </w:r>
            <w:r>
              <w:rPr>
                <w:rFonts w:ascii="Times New Roman" w:hAnsi="Times New Roman" w:eastAsia="Times New Roman" w:cs="Times New Roman"/>
                <w:sz w:val="18"/>
                <w:szCs w:val="18"/>
                <w:spacing w:val="-2"/>
              </w:rPr>
              <w:t>+</w:t>
            </w:r>
            <w:r>
              <w:rPr>
                <w:sz w:val="18"/>
                <w:szCs w:val="18"/>
                <w:spacing w:val="-2"/>
              </w:rPr>
              <w:t>布袋除尘</w:t>
            </w:r>
          </w:p>
          <w:p>
            <w:pPr>
              <w:pStyle w:val="TableText"/>
              <w:ind w:left="47"/>
              <w:spacing w:before="19" w:line="219" w:lineRule="auto"/>
              <w:rPr>
                <w:sz w:val="18"/>
                <w:szCs w:val="18"/>
              </w:rPr>
            </w:pPr>
            <w:r>
              <w:rPr>
                <w:sz w:val="18"/>
                <w:szCs w:val="18"/>
                <w:spacing w:val="-1"/>
              </w:rPr>
              <w:t>器</w:t>
            </w:r>
            <w:r>
              <w:rPr>
                <w:rFonts w:ascii="Times New Roman" w:hAnsi="Times New Roman" w:eastAsia="Times New Roman" w:cs="Times New Roman"/>
                <w:sz w:val="18"/>
                <w:szCs w:val="18"/>
                <w:spacing w:val="-1"/>
              </w:rPr>
              <w:t>+</w:t>
            </w:r>
            <w:r>
              <w:rPr>
                <w:sz w:val="18"/>
                <w:szCs w:val="18"/>
                <w:spacing w:val="-1"/>
              </w:rPr>
              <w:t>水浴除尘，烟气处理后</w:t>
            </w:r>
          </w:p>
          <w:p>
            <w:pPr>
              <w:pStyle w:val="TableText"/>
              <w:ind w:left="163"/>
              <w:spacing w:before="19" w:line="219" w:lineRule="auto"/>
              <w:rPr>
                <w:sz w:val="18"/>
                <w:szCs w:val="18"/>
              </w:rPr>
            </w:pPr>
            <w:r>
              <w:rPr>
                <w:sz w:val="18"/>
                <w:szCs w:val="18"/>
                <w:spacing w:val="-3"/>
              </w:rPr>
              <w:t>通过</w:t>
            </w:r>
            <w:r>
              <w:rPr>
                <w:sz w:val="18"/>
                <w:szCs w:val="18"/>
                <w:spacing w:val="-32"/>
              </w:rPr>
              <w:t xml:space="preserve"> </w:t>
            </w:r>
            <w:r>
              <w:rPr>
                <w:rFonts w:ascii="Times New Roman" w:hAnsi="Times New Roman" w:eastAsia="Times New Roman" w:cs="Times New Roman"/>
                <w:sz w:val="18"/>
                <w:szCs w:val="18"/>
                <w:spacing w:val="-3"/>
              </w:rPr>
              <w:t>35m</w:t>
            </w:r>
            <w:r>
              <w:rPr>
                <w:rFonts w:ascii="Times New Roman" w:hAnsi="Times New Roman" w:eastAsia="Times New Roman" w:cs="Times New Roman"/>
                <w:sz w:val="18"/>
                <w:szCs w:val="18"/>
                <w:spacing w:val="12"/>
              </w:rPr>
              <w:t xml:space="preserve"> </w:t>
            </w:r>
            <w:r>
              <w:rPr>
                <w:sz w:val="18"/>
                <w:szCs w:val="18"/>
                <w:spacing w:val="-3"/>
              </w:rPr>
              <w:t>高排气筒排放</w:t>
            </w:r>
          </w:p>
          <w:p>
            <w:pPr>
              <w:pStyle w:val="TableText"/>
              <w:spacing w:before="19" w:line="219" w:lineRule="auto"/>
              <w:jc w:val="right"/>
              <w:rPr>
                <w:sz w:val="18"/>
                <w:szCs w:val="18"/>
              </w:rPr>
            </w:pPr>
            <w:r>
              <w:rPr>
                <w:sz w:val="18"/>
                <w:szCs w:val="18"/>
                <w:spacing w:val="-9"/>
              </w:rPr>
              <w:t>（</w:t>
            </w:r>
            <w:r>
              <w:rPr>
                <w:rFonts w:ascii="Times New Roman" w:hAnsi="Times New Roman" w:eastAsia="Times New Roman" w:cs="Times New Roman"/>
                <w:sz w:val="18"/>
                <w:szCs w:val="18"/>
                <w:spacing w:val="-9"/>
              </w:rPr>
              <w:t>DA005</w:t>
            </w:r>
            <w:r>
              <w:rPr>
                <w:sz w:val="18"/>
                <w:szCs w:val="18"/>
                <w:spacing w:val="-41"/>
              </w:rPr>
              <w:t>），</w:t>
            </w:r>
            <w:r>
              <w:rPr>
                <w:sz w:val="18"/>
                <w:szCs w:val="18"/>
                <w:spacing w:val="-9"/>
              </w:rPr>
              <w:t>除尘效率</w:t>
            </w:r>
            <w:r>
              <w:rPr>
                <w:sz w:val="18"/>
                <w:szCs w:val="18"/>
                <w:spacing w:val="-41"/>
              </w:rPr>
              <w:t xml:space="preserve"> </w:t>
            </w:r>
            <w:r>
              <w:rPr>
                <w:rFonts w:ascii="Times New Roman" w:hAnsi="Times New Roman" w:eastAsia="Times New Roman" w:cs="Times New Roman"/>
                <w:sz w:val="18"/>
                <w:szCs w:val="18"/>
                <w:spacing w:val="-9"/>
              </w:rPr>
              <w:t>99%</w:t>
            </w:r>
            <w:r>
              <w:rPr>
                <w:sz w:val="18"/>
                <w:szCs w:val="18"/>
                <w:spacing w:val="-9"/>
              </w:rPr>
              <w:t>。</w:t>
            </w:r>
          </w:p>
        </w:tc>
        <w:tc>
          <w:tcPr>
            <w:tcW w:w="472" w:type="dxa"/>
            <w:vAlign w:val="top"/>
          </w:tcPr>
          <w:p>
            <w:pPr>
              <w:ind w:left="151"/>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99</w:t>
            </w:r>
          </w:p>
        </w:tc>
        <w:tc>
          <w:tcPr>
            <w:tcW w:w="641" w:type="dxa"/>
            <w:vAlign w:val="top"/>
          </w:tcPr>
          <w:p>
            <w:pPr>
              <w:ind w:left="122"/>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0.654</w:t>
            </w:r>
          </w:p>
        </w:tc>
        <w:tc>
          <w:tcPr>
            <w:tcW w:w="810" w:type="dxa"/>
            <w:vAlign w:val="top"/>
          </w:tcPr>
          <w:p>
            <w:pPr>
              <w:ind w:left="206"/>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0.004</w:t>
            </w:r>
          </w:p>
        </w:tc>
        <w:tc>
          <w:tcPr>
            <w:tcW w:w="447" w:type="dxa"/>
            <w:vAlign w:val="top"/>
            <w:vMerge w:val="restart"/>
            <w:tcBorders>
              <w:bottom w:val="nil"/>
            </w:tcBorders>
          </w:tcPr>
          <w:p>
            <w:pPr>
              <w:spacing w:line="427" w:lineRule="auto"/>
              <w:rPr>
                <w:rFonts w:ascii="Arial"/>
                <w:sz w:val="21"/>
              </w:rPr>
            </w:pPr>
            <w:r/>
          </w:p>
          <w:p>
            <w:pPr>
              <w:ind w:left="4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7200</w:t>
            </w:r>
          </w:p>
        </w:tc>
        <w:tc>
          <w:tcPr>
            <w:tcW w:w="924" w:type="dxa"/>
            <w:vAlign w:val="top"/>
          </w:tcPr>
          <w:p>
            <w:pPr>
              <w:ind w:left="219"/>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0.0283</w:t>
            </w:r>
          </w:p>
        </w:tc>
        <w:tc>
          <w:tcPr>
            <w:tcW w:w="430" w:type="dxa"/>
            <w:vAlign w:val="top"/>
            <w:vMerge w:val="restart"/>
            <w:tcBorders>
              <w:bottom w:val="nil"/>
            </w:tcBorders>
          </w:tcPr>
          <w:p>
            <w:pPr>
              <w:spacing w:line="427" w:lineRule="auto"/>
              <w:rPr>
                <w:rFonts w:ascii="Arial"/>
                <w:sz w:val="21"/>
              </w:rPr>
            </w:pPr>
            <w:r/>
          </w:p>
          <w:p>
            <w:pPr>
              <w:ind w:left="131"/>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35</w:t>
            </w:r>
          </w:p>
        </w:tc>
        <w:tc>
          <w:tcPr>
            <w:tcW w:w="470" w:type="dxa"/>
            <w:vAlign w:val="top"/>
            <w:vMerge w:val="restart"/>
            <w:tcBorders>
              <w:bottom w:val="nil"/>
            </w:tcBorders>
          </w:tcPr>
          <w:p>
            <w:pPr>
              <w:spacing w:line="427" w:lineRule="auto"/>
              <w:rPr>
                <w:rFonts w:ascii="Arial"/>
                <w:sz w:val="21"/>
              </w:rPr>
            </w:pPr>
            <w:r/>
          </w:p>
          <w:p>
            <w:pPr>
              <w:ind w:left="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0.45</w:t>
            </w:r>
          </w:p>
        </w:tc>
        <w:tc>
          <w:tcPr>
            <w:tcW w:w="547" w:type="dxa"/>
            <w:vAlign w:val="top"/>
            <w:vMerge w:val="restart"/>
            <w:tcBorders>
              <w:bottom w:val="nil"/>
            </w:tcBorders>
          </w:tcPr>
          <w:p>
            <w:pPr>
              <w:spacing w:line="427" w:lineRule="auto"/>
              <w:rPr>
                <w:rFonts w:ascii="Arial"/>
                <w:sz w:val="21"/>
              </w:rPr>
            </w:pPr>
            <w:r/>
          </w:p>
          <w:p>
            <w:pPr>
              <w:ind w:left="156"/>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120</w:t>
            </w:r>
          </w:p>
        </w:tc>
      </w:tr>
      <w:tr>
        <w:trPr>
          <w:trHeight w:val="281" w:hRule="atLeast"/>
        </w:trPr>
        <w:tc>
          <w:tcPr>
            <w:tcW w:w="446" w:type="dxa"/>
            <w:vAlign w:val="top"/>
            <w:vMerge w:val="continue"/>
            <w:tcBorders>
              <w:top w:val="nil"/>
              <w:bottom w:val="nil"/>
            </w:tcBorders>
          </w:tcPr>
          <w:p>
            <w:pPr>
              <w:rPr>
                <w:rFonts w:ascii="Arial"/>
                <w:sz w:val="21"/>
              </w:rPr>
            </w:pPr>
            <w:r/>
          </w:p>
        </w:tc>
        <w:tc>
          <w:tcPr>
            <w:tcW w:w="1054" w:type="dxa"/>
            <w:vAlign w:val="top"/>
            <w:vMerge w:val="continue"/>
            <w:tcBorders>
              <w:top w:val="nil"/>
              <w:bottom w:val="nil"/>
            </w:tcBorders>
          </w:tcPr>
          <w:p>
            <w:pPr>
              <w:rPr>
                <w:rFonts w:ascii="Arial"/>
                <w:sz w:val="21"/>
              </w:rPr>
            </w:pPr>
            <w:r/>
          </w:p>
        </w:tc>
        <w:tc>
          <w:tcPr>
            <w:tcW w:w="582" w:type="dxa"/>
            <w:vAlign w:val="top"/>
            <w:vMerge w:val="continue"/>
            <w:tcBorders>
              <w:top w:val="nil"/>
              <w:bottom w:val="nil"/>
            </w:tcBorders>
          </w:tcPr>
          <w:p>
            <w:pPr>
              <w:rPr>
                <w:rFonts w:ascii="Arial"/>
                <w:sz w:val="21"/>
              </w:rPr>
            </w:pPr>
            <w:r/>
          </w:p>
        </w:tc>
        <w:tc>
          <w:tcPr>
            <w:tcW w:w="422" w:type="dxa"/>
            <w:vAlign w:val="top"/>
            <w:vMerge w:val="continue"/>
            <w:tcBorders>
              <w:top w:val="nil"/>
              <w:bottom w:val="nil"/>
            </w:tcBorders>
          </w:tcPr>
          <w:p>
            <w:pPr>
              <w:rPr>
                <w:rFonts w:ascii="Arial"/>
                <w:sz w:val="21"/>
              </w:rPr>
            </w:pPr>
            <w:r/>
          </w:p>
        </w:tc>
        <w:tc>
          <w:tcPr>
            <w:tcW w:w="844" w:type="dxa"/>
            <w:vAlign w:val="top"/>
            <w:vMerge w:val="continue"/>
            <w:tcBorders>
              <w:top w:val="nil"/>
              <w:bottom w:val="nil"/>
            </w:tcBorders>
          </w:tcPr>
          <w:p>
            <w:pPr>
              <w:rPr>
                <w:rFonts w:ascii="Arial"/>
                <w:sz w:val="21"/>
              </w:rPr>
            </w:pPr>
            <w:r/>
          </w:p>
        </w:tc>
        <w:tc>
          <w:tcPr>
            <w:tcW w:w="661" w:type="dxa"/>
            <w:vAlign w:val="top"/>
            <w:vMerge w:val="continue"/>
            <w:tcBorders>
              <w:top w:val="nil"/>
              <w:bottom w:val="nil"/>
            </w:tcBorders>
          </w:tcPr>
          <w:p>
            <w:pPr>
              <w:rPr>
                <w:rFonts w:ascii="Arial"/>
                <w:sz w:val="21"/>
              </w:rPr>
            </w:pPr>
            <w:r/>
          </w:p>
        </w:tc>
        <w:tc>
          <w:tcPr>
            <w:tcW w:w="827" w:type="dxa"/>
            <w:vAlign w:val="top"/>
          </w:tcPr>
          <w:p>
            <w:pPr>
              <w:ind w:left="275"/>
              <w:spacing w:before="81" w:line="194" w:lineRule="auto"/>
              <w:rPr>
                <w:rFonts w:ascii="Times New Roman" w:hAnsi="Times New Roman" w:eastAsia="Times New Roman" w:cs="Times New Roman"/>
                <w:sz w:val="11"/>
                <w:szCs w:val="11"/>
              </w:rPr>
            </w:pPr>
            <w:r>
              <w:rPr>
                <w:rFonts w:ascii="Times New Roman" w:hAnsi="Times New Roman" w:eastAsia="Times New Roman" w:cs="Times New Roman"/>
                <w:sz w:val="18"/>
                <w:szCs w:val="18"/>
                <w:spacing w:val="-3"/>
              </w:rPr>
              <w:t>SO</w:t>
            </w:r>
            <w:r>
              <w:rPr>
                <w:rFonts w:ascii="Times New Roman" w:hAnsi="Times New Roman" w:eastAsia="Times New Roman" w:cs="Times New Roman"/>
                <w:sz w:val="11"/>
                <w:szCs w:val="11"/>
                <w:spacing w:val="-3"/>
                <w:position w:val="-1"/>
              </w:rPr>
              <w:t>2</w:t>
            </w:r>
          </w:p>
        </w:tc>
        <w:tc>
          <w:tcPr>
            <w:tcW w:w="683" w:type="dxa"/>
            <w:vAlign w:val="top"/>
          </w:tcPr>
          <w:p>
            <w:pPr>
              <w:ind w:left="157"/>
              <w:spacing w:before="8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133.5</w:t>
            </w:r>
          </w:p>
        </w:tc>
        <w:tc>
          <w:tcPr>
            <w:tcW w:w="709" w:type="dxa"/>
            <w:vAlign w:val="top"/>
          </w:tcPr>
          <w:p>
            <w:pPr>
              <w:ind w:left="326"/>
              <w:spacing w:before="78"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916" w:type="dxa"/>
            <w:vAlign w:val="top"/>
          </w:tcPr>
          <w:p>
            <w:pPr>
              <w:ind w:left="262"/>
              <w:spacing w:before="84"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5.777</w:t>
            </w:r>
          </w:p>
        </w:tc>
        <w:tc>
          <w:tcPr>
            <w:tcW w:w="2167" w:type="dxa"/>
            <w:vAlign w:val="top"/>
            <w:vMerge w:val="continue"/>
            <w:tcBorders>
              <w:top w:val="nil"/>
              <w:bottom w:val="nil"/>
            </w:tcBorders>
          </w:tcPr>
          <w:p>
            <w:pPr>
              <w:rPr>
                <w:rFonts w:ascii="Arial"/>
                <w:sz w:val="21"/>
              </w:rPr>
            </w:pPr>
            <w:r/>
          </w:p>
        </w:tc>
        <w:tc>
          <w:tcPr>
            <w:tcW w:w="472" w:type="dxa"/>
            <w:vAlign w:val="top"/>
          </w:tcPr>
          <w:p>
            <w:pPr>
              <w:ind w:left="209"/>
              <w:spacing w:before="78"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641" w:type="dxa"/>
            <w:vAlign w:val="top"/>
          </w:tcPr>
          <w:p>
            <w:pPr>
              <w:ind w:left="137"/>
              <w:spacing w:before="8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133.5</w:t>
            </w:r>
          </w:p>
        </w:tc>
        <w:tc>
          <w:tcPr>
            <w:tcW w:w="810" w:type="dxa"/>
            <w:vAlign w:val="top"/>
          </w:tcPr>
          <w:p>
            <w:pPr>
              <w:ind w:left="252"/>
              <w:spacing w:before="8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0.80</w:t>
            </w:r>
          </w:p>
        </w:tc>
        <w:tc>
          <w:tcPr>
            <w:tcW w:w="447" w:type="dxa"/>
            <w:vAlign w:val="top"/>
            <w:vMerge w:val="continue"/>
            <w:tcBorders>
              <w:top w:val="nil"/>
              <w:bottom w:val="nil"/>
            </w:tcBorders>
          </w:tcPr>
          <w:p>
            <w:pPr>
              <w:rPr>
                <w:rFonts w:ascii="Arial"/>
                <w:sz w:val="21"/>
              </w:rPr>
            </w:pPr>
            <w:r/>
          </w:p>
        </w:tc>
        <w:tc>
          <w:tcPr>
            <w:tcW w:w="924" w:type="dxa"/>
            <w:vAlign w:val="top"/>
          </w:tcPr>
          <w:p>
            <w:pPr>
              <w:ind w:left="266"/>
              <w:spacing w:before="84"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5.777</w:t>
            </w:r>
          </w:p>
        </w:tc>
        <w:tc>
          <w:tcPr>
            <w:tcW w:w="430" w:type="dxa"/>
            <w:vAlign w:val="top"/>
            <w:vMerge w:val="continue"/>
            <w:tcBorders>
              <w:top w:val="nil"/>
              <w:bottom w:val="nil"/>
            </w:tcBorders>
          </w:tcPr>
          <w:p>
            <w:pPr>
              <w:rPr>
                <w:rFonts w:ascii="Arial"/>
                <w:sz w:val="21"/>
              </w:rPr>
            </w:pPr>
            <w:r/>
          </w:p>
        </w:tc>
        <w:tc>
          <w:tcPr>
            <w:tcW w:w="470" w:type="dxa"/>
            <w:vAlign w:val="top"/>
            <w:vMerge w:val="continue"/>
            <w:tcBorders>
              <w:top w:val="nil"/>
              <w:bottom w:val="nil"/>
            </w:tcBorders>
          </w:tcPr>
          <w:p>
            <w:pPr>
              <w:rPr>
                <w:rFonts w:ascii="Arial"/>
                <w:sz w:val="21"/>
              </w:rPr>
            </w:pPr>
            <w:r/>
          </w:p>
        </w:tc>
        <w:tc>
          <w:tcPr>
            <w:tcW w:w="547" w:type="dxa"/>
            <w:vAlign w:val="top"/>
            <w:vMerge w:val="continue"/>
            <w:tcBorders>
              <w:top w:val="nil"/>
              <w:bottom w:val="nil"/>
            </w:tcBorders>
          </w:tcPr>
          <w:p>
            <w:pPr>
              <w:rPr>
                <w:rFonts w:ascii="Arial"/>
                <w:sz w:val="21"/>
              </w:rPr>
            </w:pPr>
            <w:r/>
          </w:p>
        </w:tc>
      </w:tr>
      <w:tr>
        <w:trPr>
          <w:trHeight w:val="435" w:hRule="atLeast"/>
        </w:trPr>
        <w:tc>
          <w:tcPr>
            <w:tcW w:w="446" w:type="dxa"/>
            <w:vAlign w:val="top"/>
            <w:vMerge w:val="continue"/>
            <w:tcBorders>
              <w:top w:val="nil"/>
            </w:tcBorders>
          </w:tcPr>
          <w:p>
            <w:pPr>
              <w:rPr>
                <w:rFonts w:ascii="Arial"/>
                <w:sz w:val="21"/>
              </w:rPr>
            </w:pPr>
            <w:r/>
          </w:p>
        </w:tc>
        <w:tc>
          <w:tcPr>
            <w:tcW w:w="1054" w:type="dxa"/>
            <w:vAlign w:val="top"/>
            <w:vMerge w:val="continue"/>
            <w:tcBorders>
              <w:top w:val="nil"/>
            </w:tcBorders>
          </w:tcPr>
          <w:p>
            <w:pPr>
              <w:rPr>
                <w:rFonts w:ascii="Arial"/>
                <w:sz w:val="21"/>
              </w:rPr>
            </w:pPr>
            <w:r/>
          </w:p>
        </w:tc>
        <w:tc>
          <w:tcPr>
            <w:tcW w:w="582" w:type="dxa"/>
            <w:vAlign w:val="top"/>
            <w:vMerge w:val="continue"/>
            <w:tcBorders>
              <w:top w:val="nil"/>
            </w:tcBorders>
          </w:tcPr>
          <w:p>
            <w:pPr>
              <w:rPr>
                <w:rFonts w:ascii="Arial"/>
                <w:sz w:val="21"/>
              </w:rPr>
            </w:pPr>
            <w:r/>
          </w:p>
        </w:tc>
        <w:tc>
          <w:tcPr>
            <w:tcW w:w="422" w:type="dxa"/>
            <w:vAlign w:val="top"/>
            <w:vMerge w:val="continue"/>
            <w:tcBorders>
              <w:top w:val="nil"/>
            </w:tcBorders>
          </w:tcPr>
          <w:p>
            <w:pPr>
              <w:rPr>
                <w:rFonts w:ascii="Arial"/>
                <w:sz w:val="21"/>
              </w:rPr>
            </w:pPr>
            <w:r/>
          </w:p>
        </w:tc>
        <w:tc>
          <w:tcPr>
            <w:tcW w:w="844" w:type="dxa"/>
            <w:vAlign w:val="top"/>
            <w:vMerge w:val="continue"/>
            <w:tcBorders>
              <w:top w:val="nil"/>
            </w:tcBorders>
          </w:tcPr>
          <w:p>
            <w:pPr>
              <w:rPr>
                <w:rFonts w:ascii="Arial"/>
                <w:sz w:val="21"/>
              </w:rPr>
            </w:pPr>
            <w:r/>
          </w:p>
        </w:tc>
        <w:tc>
          <w:tcPr>
            <w:tcW w:w="661" w:type="dxa"/>
            <w:vAlign w:val="top"/>
            <w:vMerge w:val="continue"/>
            <w:tcBorders>
              <w:top w:val="nil"/>
            </w:tcBorders>
          </w:tcPr>
          <w:p>
            <w:pPr>
              <w:rPr>
                <w:rFonts w:ascii="Arial"/>
                <w:sz w:val="21"/>
              </w:rPr>
            </w:pPr>
            <w:r/>
          </w:p>
        </w:tc>
        <w:tc>
          <w:tcPr>
            <w:tcW w:w="827" w:type="dxa"/>
            <w:vAlign w:val="top"/>
          </w:tcPr>
          <w:p>
            <w:pPr>
              <w:ind w:left="248"/>
              <w:spacing w:before="157" w:line="194" w:lineRule="auto"/>
              <w:rPr>
                <w:rFonts w:ascii="Times New Roman" w:hAnsi="Times New Roman" w:eastAsia="Times New Roman" w:cs="Times New Roman"/>
                <w:sz w:val="11"/>
                <w:szCs w:val="11"/>
              </w:rPr>
            </w:pPr>
            <w:r>
              <w:rPr>
                <w:rFonts w:ascii="Times New Roman" w:hAnsi="Times New Roman" w:eastAsia="Times New Roman" w:cs="Times New Roman"/>
                <w:sz w:val="18"/>
                <w:szCs w:val="18"/>
                <w:spacing w:val="1"/>
              </w:rPr>
              <w:t>NO</w:t>
            </w:r>
            <w:r>
              <w:rPr>
                <w:rFonts w:ascii="Times New Roman" w:hAnsi="Times New Roman" w:eastAsia="Times New Roman" w:cs="Times New Roman"/>
                <w:sz w:val="11"/>
                <w:szCs w:val="11"/>
                <w:spacing w:val="1"/>
                <w:position w:val="-1"/>
              </w:rPr>
              <w:t>x</w:t>
            </w:r>
          </w:p>
        </w:tc>
        <w:tc>
          <w:tcPr>
            <w:tcW w:w="683" w:type="dxa"/>
            <w:vAlign w:val="top"/>
          </w:tcPr>
          <w:p>
            <w:pPr>
              <w:ind w:left="188"/>
              <w:spacing w:before="15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92.8</w:t>
            </w:r>
          </w:p>
        </w:tc>
        <w:tc>
          <w:tcPr>
            <w:tcW w:w="709" w:type="dxa"/>
            <w:vAlign w:val="top"/>
          </w:tcPr>
          <w:p>
            <w:pPr>
              <w:ind w:left="326"/>
              <w:spacing w:before="154"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916" w:type="dxa"/>
            <w:vAlign w:val="top"/>
          </w:tcPr>
          <w:p>
            <w:pPr>
              <w:ind w:left="256"/>
              <w:spacing w:before="15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4.021</w:t>
            </w:r>
          </w:p>
        </w:tc>
        <w:tc>
          <w:tcPr>
            <w:tcW w:w="2167" w:type="dxa"/>
            <w:vAlign w:val="top"/>
            <w:vMerge w:val="continue"/>
            <w:tcBorders>
              <w:top w:val="nil"/>
            </w:tcBorders>
          </w:tcPr>
          <w:p>
            <w:pPr>
              <w:rPr>
                <w:rFonts w:ascii="Arial"/>
                <w:sz w:val="21"/>
              </w:rPr>
            </w:pPr>
            <w:r/>
          </w:p>
        </w:tc>
        <w:tc>
          <w:tcPr>
            <w:tcW w:w="472" w:type="dxa"/>
            <w:vAlign w:val="top"/>
          </w:tcPr>
          <w:p>
            <w:pPr>
              <w:ind w:left="209"/>
              <w:spacing w:before="154"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641" w:type="dxa"/>
            <w:vAlign w:val="top"/>
          </w:tcPr>
          <w:p>
            <w:pPr>
              <w:ind w:left="169"/>
              <w:spacing w:before="15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92.8</w:t>
            </w:r>
          </w:p>
        </w:tc>
        <w:tc>
          <w:tcPr>
            <w:tcW w:w="810" w:type="dxa"/>
            <w:vAlign w:val="top"/>
          </w:tcPr>
          <w:p>
            <w:pPr>
              <w:ind w:left="206"/>
              <w:spacing w:before="15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0.557</w:t>
            </w:r>
          </w:p>
        </w:tc>
        <w:tc>
          <w:tcPr>
            <w:tcW w:w="447" w:type="dxa"/>
            <w:vAlign w:val="top"/>
            <w:vMerge w:val="continue"/>
            <w:tcBorders>
              <w:top w:val="nil"/>
            </w:tcBorders>
          </w:tcPr>
          <w:p>
            <w:pPr>
              <w:rPr>
                <w:rFonts w:ascii="Arial"/>
                <w:sz w:val="21"/>
              </w:rPr>
            </w:pPr>
            <w:r/>
          </w:p>
        </w:tc>
        <w:tc>
          <w:tcPr>
            <w:tcW w:w="924" w:type="dxa"/>
            <w:vAlign w:val="top"/>
          </w:tcPr>
          <w:p>
            <w:pPr>
              <w:ind w:left="261"/>
              <w:spacing w:before="15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4.021</w:t>
            </w:r>
          </w:p>
        </w:tc>
        <w:tc>
          <w:tcPr>
            <w:tcW w:w="430" w:type="dxa"/>
            <w:vAlign w:val="top"/>
            <w:vMerge w:val="continue"/>
            <w:tcBorders>
              <w:top w:val="nil"/>
            </w:tcBorders>
          </w:tcPr>
          <w:p>
            <w:pPr>
              <w:rPr>
                <w:rFonts w:ascii="Arial"/>
                <w:sz w:val="21"/>
              </w:rPr>
            </w:pPr>
            <w:r/>
          </w:p>
        </w:tc>
        <w:tc>
          <w:tcPr>
            <w:tcW w:w="470" w:type="dxa"/>
            <w:vAlign w:val="top"/>
            <w:vMerge w:val="continue"/>
            <w:tcBorders>
              <w:top w:val="nil"/>
            </w:tcBorders>
          </w:tcPr>
          <w:p>
            <w:pPr>
              <w:rPr>
                <w:rFonts w:ascii="Arial"/>
                <w:sz w:val="21"/>
              </w:rPr>
            </w:pPr>
            <w:r/>
          </w:p>
        </w:tc>
        <w:tc>
          <w:tcPr>
            <w:tcW w:w="547" w:type="dxa"/>
            <w:vAlign w:val="top"/>
            <w:vMerge w:val="continue"/>
            <w:tcBorders>
              <w:top w:val="nil"/>
            </w:tcBorders>
          </w:tcPr>
          <w:p>
            <w:pPr>
              <w:rPr>
                <w:rFonts w:ascii="Arial"/>
                <w:sz w:val="21"/>
              </w:rPr>
            </w:pPr>
            <w:r/>
          </w:p>
        </w:tc>
      </w:tr>
    </w:tbl>
    <w:p>
      <w:pPr>
        <w:pStyle w:val="BodyText"/>
        <w:rPr/>
      </w:pPr>
      <w:r/>
    </w:p>
    <w:p>
      <w:pPr>
        <w:sectPr>
          <w:footerReference w:type="default" r:id="rId108"/>
          <w:pgSz w:w="16839" w:h="11905"/>
          <w:pgMar w:top="1567" w:right="1390" w:bottom="1481" w:left="1390" w:header="1221" w:footer="1247" w:gutter="0"/>
        </w:sectPr>
        <w:rPr/>
      </w:pPr>
    </w:p>
    <w:p>
      <w:pPr>
        <w:ind w:left="4"/>
        <w:spacing w:before="169" w:line="219" w:lineRule="auto"/>
        <w:outlineLvl w:val="3"/>
        <w:rPr>
          <w:rFonts w:ascii="SimSun" w:hAnsi="SimSun" w:eastAsia="SimSun" w:cs="SimSun"/>
          <w:sz w:val="24"/>
          <w:szCs w:val="24"/>
        </w:rPr>
      </w:pPr>
      <w:r>
        <w:pict>
          <v:shape id="_x0000_s510" style="position:absolute;margin-left:85.05pt;margin-top:78.87pt;mso-position-vertical-relative:page;mso-position-horizontal-relative:page;width:425.25pt;height:0.75pt;z-index:251880448;" o:allowincell="f" fillcolor="#000000" filled="true" stroked="false" coordsize="8505,15" coordorigin="0,0" path="m,l8505,0l8505,14l0,14l0,0xe"/>
        </w:pict>
      </w:r>
      <w:r>
        <w:rPr>
          <w:rFonts w:ascii="Times New Roman" w:hAnsi="Times New Roman" w:eastAsia="Times New Roman" w:cs="Times New Roman"/>
          <w:sz w:val="24"/>
          <w:szCs w:val="24"/>
          <w:b/>
          <w:bCs/>
          <w:spacing w:val="-2"/>
        </w:rPr>
        <w:t>3.5.1.2 </w:t>
      </w:r>
      <w:r>
        <w:rPr>
          <w:rFonts w:ascii="SimSun" w:hAnsi="SimSun" w:eastAsia="SimSun" w:cs="SimSun"/>
          <w:sz w:val="24"/>
          <w:szCs w:val="24"/>
          <w:b/>
          <w:bCs/>
          <w:spacing w:val="-2"/>
        </w:rPr>
        <w:t>废水排放分析</w:t>
      </w:r>
    </w:p>
    <w:p>
      <w:pPr>
        <w:ind w:left="556"/>
        <w:spacing w:before="180" w:line="219" w:lineRule="auto"/>
        <w:rPr>
          <w:rFonts w:ascii="SimSun" w:hAnsi="SimSun" w:eastAsia="SimSun" w:cs="SimSun"/>
          <w:sz w:val="24"/>
          <w:szCs w:val="24"/>
        </w:rPr>
      </w:pPr>
      <w:r>
        <w:rPr>
          <w:rFonts w:ascii="Times New Roman" w:hAnsi="Times New Roman" w:eastAsia="Times New Roman" w:cs="Times New Roman"/>
          <w:sz w:val="24"/>
          <w:szCs w:val="24"/>
          <w:b/>
          <w:bCs/>
          <w:spacing w:val="-6"/>
        </w:rPr>
        <w:t>1</w:t>
      </w:r>
      <w:r>
        <w:rPr>
          <w:rFonts w:ascii="Times New Roman" w:hAnsi="Times New Roman" w:eastAsia="Times New Roman" w:cs="Times New Roman"/>
          <w:sz w:val="24"/>
          <w:szCs w:val="24"/>
          <w:b/>
          <w:bCs/>
          <w:spacing w:val="-33"/>
        </w:rPr>
        <w:t xml:space="preserve"> </w:t>
      </w:r>
      <w:r>
        <w:rPr>
          <w:rFonts w:ascii="SimSun" w:hAnsi="SimSun" w:eastAsia="SimSun" w:cs="SimSun"/>
          <w:sz w:val="24"/>
          <w:szCs w:val="24"/>
          <w:b/>
          <w:bCs/>
          <w:spacing w:val="-6"/>
        </w:rPr>
        <w:t>、废水产排情况分析</w:t>
      </w:r>
    </w:p>
    <w:p>
      <w:pPr>
        <w:ind w:left="12" w:right="78" w:firstLine="538"/>
        <w:spacing w:before="184" w:line="359" w:lineRule="auto"/>
        <w:jc w:val="both"/>
        <w:rPr>
          <w:rFonts w:ascii="SimSun" w:hAnsi="SimSun" w:eastAsia="SimSun" w:cs="SimSun"/>
          <w:sz w:val="24"/>
          <w:szCs w:val="24"/>
        </w:rPr>
      </w:pPr>
      <w:r>
        <w:rPr>
          <w:rFonts w:ascii="SimSun" w:hAnsi="SimSun" w:eastAsia="SimSun" w:cs="SimSun"/>
          <w:sz w:val="24"/>
          <w:szCs w:val="24"/>
          <w:spacing w:val="-3"/>
        </w:rPr>
        <w:t>本项目生产、生活废水产生量为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59220m</w:t>
      </w:r>
      <w:r>
        <w:rPr>
          <w:rFonts w:ascii="Times New Roman" w:hAnsi="Times New Roman" w:eastAsia="Times New Roman" w:cs="Times New Roman"/>
          <w:sz w:val="15"/>
          <w:szCs w:val="15"/>
          <w:spacing w:val="-3"/>
          <w:position w:val="8"/>
        </w:rPr>
        <w:t>3</w:t>
      </w:r>
      <w:r>
        <w:rPr>
          <w:rFonts w:ascii="Times New Roman" w:hAnsi="Times New Roman" w:eastAsia="Times New Roman" w:cs="Times New Roman"/>
          <w:sz w:val="24"/>
          <w:szCs w:val="24"/>
          <w:spacing w:val="-3"/>
        </w:rPr>
        <w:t>/a</w:t>
      </w:r>
      <w:r>
        <w:rPr>
          <w:rFonts w:ascii="SimSun" w:hAnsi="SimSun" w:eastAsia="SimSun" w:cs="SimSun"/>
          <w:sz w:val="24"/>
          <w:szCs w:val="24"/>
          <w:spacing w:val="-3"/>
        </w:rPr>
        <w:t>，生产废水全部综合利用；生活污</w:t>
      </w:r>
      <w:r>
        <w:rPr>
          <w:rFonts w:ascii="SimSun" w:hAnsi="SimSun" w:eastAsia="SimSun" w:cs="SimSun"/>
          <w:sz w:val="24"/>
          <w:szCs w:val="24"/>
        </w:rPr>
        <w:t xml:space="preserve"> </w:t>
      </w:r>
      <w:r>
        <w:rPr>
          <w:rFonts w:ascii="SimSun" w:hAnsi="SimSun" w:eastAsia="SimSun" w:cs="SimSun"/>
          <w:sz w:val="24"/>
          <w:szCs w:val="24"/>
          <w:spacing w:val="3"/>
        </w:rPr>
        <w:t>水中的冲厕废水进入厌氧发酵装置，不外排；洗浴</w:t>
      </w:r>
      <w:r>
        <w:rPr>
          <w:rFonts w:ascii="SimSun" w:hAnsi="SimSun" w:eastAsia="SimSun" w:cs="SimSun"/>
          <w:sz w:val="24"/>
          <w:szCs w:val="24"/>
          <w:spacing w:val="2"/>
        </w:rPr>
        <w:t>和食堂废水经独立管道进入污</w:t>
      </w:r>
      <w:r>
        <w:rPr>
          <w:rFonts w:ascii="SimSun" w:hAnsi="SimSun" w:eastAsia="SimSun" w:cs="SimSun"/>
          <w:sz w:val="24"/>
          <w:szCs w:val="24"/>
        </w:rPr>
        <w:t xml:space="preserve"> </w:t>
      </w:r>
      <w:r>
        <w:rPr>
          <w:rFonts w:ascii="SimSun" w:hAnsi="SimSun" w:eastAsia="SimSun" w:cs="SimSun"/>
          <w:sz w:val="24"/>
          <w:szCs w:val="24"/>
          <w:spacing w:val="-1"/>
        </w:rPr>
        <w:t>水管网，进入明安图镇污水处理厂。</w:t>
      </w:r>
    </w:p>
    <w:p>
      <w:pPr>
        <w:ind w:left="561"/>
        <w:spacing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）生产废水</w:t>
      </w:r>
    </w:p>
    <w:p>
      <w:pPr>
        <w:ind w:left="8" w:right="77" w:firstLine="481"/>
        <w:spacing w:before="181" w:line="359" w:lineRule="auto"/>
        <w:rPr>
          <w:rFonts w:ascii="SimSun" w:hAnsi="SimSun" w:eastAsia="SimSun" w:cs="SimSun"/>
          <w:sz w:val="24"/>
          <w:szCs w:val="24"/>
        </w:rPr>
      </w:pPr>
      <w:r>
        <w:rPr>
          <w:rFonts w:ascii="SimSun" w:hAnsi="SimSun" w:eastAsia="SimSun" w:cs="SimSun"/>
          <w:sz w:val="24"/>
          <w:szCs w:val="24"/>
          <w:spacing w:val="-1"/>
        </w:rPr>
        <w:t>根据《内蒙古自治区地方标准 行业用水定额》（</w:t>
      </w:r>
      <w:r>
        <w:rPr>
          <w:rFonts w:ascii="Times New Roman" w:hAnsi="Times New Roman" w:eastAsia="Times New Roman" w:cs="Times New Roman"/>
          <w:sz w:val="24"/>
          <w:szCs w:val="24"/>
          <w:spacing w:val="-1"/>
        </w:rPr>
        <w:t>DB15/T385-</w:t>
      </w:r>
      <w:r>
        <w:rPr>
          <w:rFonts w:ascii="Times New Roman" w:hAnsi="Times New Roman" w:eastAsia="Times New Roman" w:cs="Times New Roman"/>
          <w:sz w:val="24"/>
          <w:szCs w:val="24"/>
          <w:spacing w:val="-2"/>
        </w:rPr>
        <w:t>2020</w:t>
      </w:r>
      <w:r>
        <w:rPr>
          <w:rFonts w:ascii="SimSun" w:hAnsi="SimSun" w:eastAsia="SimSun" w:cs="SimSun"/>
          <w:sz w:val="24"/>
          <w:szCs w:val="24"/>
          <w:spacing w:val="-4"/>
        </w:rPr>
        <w:t>），</w:t>
      </w:r>
      <w:r>
        <w:rPr>
          <w:rFonts w:ascii="SimSun" w:hAnsi="SimSun" w:eastAsia="SimSun" w:cs="SimSun"/>
          <w:sz w:val="24"/>
          <w:szCs w:val="24"/>
          <w:spacing w:val="-2"/>
        </w:rPr>
        <w:t>洗净毛</w:t>
      </w:r>
      <w:r>
        <w:rPr>
          <w:rFonts w:ascii="SimSun" w:hAnsi="SimSun" w:eastAsia="SimSun" w:cs="SimSun"/>
          <w:sz w:val="24"/>
          <w:szCs w:val="24"/>
        </w:rPr>
        <w:t xml:space="preserve"> </w:t>
      </w:r>
      <w:r>
        <w:rPr>
          <w:rFonts w:ascii="SimSun" w:hAnsi="SimSun" w:eastAsia="SimSun" w:cs="SimSun"/>
          <w:sz w:val="24"/>
          <w:szCs w:val="24"/>
          <w:spacing w:val="-3"/>
        </w:rPr>
        <w:t>用水定额为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16m</w:t>
      </w:r>
      <w:r>
        <w:rPr>
          <w:rFonts w:ascii="Times New Roman" w:hAnsi="Times New Roman" w:eastAsia="Times New Roman" w:cs="Times New Roman"/>
          <w:sz w:val="15"/>
          <w:szCs w:val="15"/>
          <w:spacing w:val="-3"/>
          <w:position w:val="8"/>
        </w:rPr>
        <w:t>3</w:t>
      </w:r>
      <w:r>
        <w:rPr>
          <w:rFonts w:ascii="Times New Roman" w:hAnsi="Times New Roman" w:eastAsia="Times New Roman" w:cs="Times New Roman"/>
          <w:sz w:val="24"/>
          <w:szCs w:val="24"/>
          <w:spacing w:val="-3"/>
        </w:rPr>
        <w:t>/t</w:t>
      </w:r>
      <w:r>
        <w:rPr>
          <w:rFonts w:ascii="SimSun" w:hAnsi="SimSun" w:eastAsia="SimSun" w:cs="SimSun"/>
          <w:sz w:val="24"/>
          <w:szCs w:val="24"/>
          <w:spacing w:val="-3"/>
        </w:rPr>
        <w:t>（原毛</w:t>
      </w:r>
      <w:r>
        <w:rPr>
          <w:rFonts w:ascii="SimSun" w:hAnsi="SimSun" w:eastAsia="SimSun" w:cs="SimSun"/>
          <w:sz w:val="24"/>
          <w:szCs w:val="24"/>
          <w:spacing w:val="-19"/>
        </w:rPr>
        <w:t>）；</w:t>
      </w:r>
      <w:r>
        <w:rPr>
          <w:rFonts w:ascii="SimSun" w:hAnsi="SimSun" w:eastAsia="SimSun" w:cs="SimSun"/>
          <w:sz w:val="24"/>
          <w:szCs w:val="24"/>
          <w:spacing w:val="-3"/>
        </w:rPr>
        <w:t>本项目洗槽水逆流补水，底部安装循环水自动排污装</w:t>
      </w:r>
      <w:r>
        <w:rPr>
          <w:rFonts w:ascii="SimSun" w:hAnsi="SimSun" w:eastAsia="SimSun" w:cs="SimSun"/>
          <w:sz w:val="24"/>
          <w:szCs w:val="24"/>
        </w:rPr>
        <w:t xml:space="preserve"> </w:t>
      </w:r>
      <w:r>
        <w:rPr>
          <w:rFonts w:ascii="SimSun" w:hAnsi="SimSun" w:eastAsia="SimSun" w:cs="SimSun"/>
          <w:sz w:val="24"/>
          <w:szCs w:val="24"/>
          <w:spacing w:val="-2"/>
        </w:rPr>
        <w:t>置，只有</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w:t>
      </w:r>
      <w:r>
        <w:rPr>
          <w:rFonts w:ascii="Times New Roman" w:hAnsi="Times New Roman" w:eastAsia="Times New Roman" w:cs="Times New Roman"/>
          <w:sz w:val="24"/>
          <w:szCs w:val="24"/>
          <w:spacing w:val="-2"/>
        </w:rPr>
        <w:t>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号补充新鲜水，</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号补充部分新鲜水。</w:t>
      </w:r>
      <w:r>
        <w:rPr>
          <w:rFonts w:ascii="SimSun" w:hAnsi="SimSun" w:eastAsia="SimSun" w:cs="SimSun"/>
          <w:sz w:val="24"/>
          <w:szCs w:val="24"/>
          <w:spacing w:val="-3"/>
        </w:rPr>
        <w:t>根据建设单位提供的设计</w:t>
      </w:r>
      <w:r>
        <w:rPr>
          <w:rFonts w:ascii="SimSun" w:hAnsi="SimSun" w:eastAsia="SimSun" w:cs="SimSun"/>
          <w:sz w:val="24"/>
          <w:szCs w:val="24"/>
        </w:rPr>
        <w:t xml:space="preserve"> </w:t>
      </w:r>
      <w:r>
        <w:rPr>
          <w:rFonts w:ascii="SimSun" w:hAnsi="SimSun" w:eastAsia="SimSun" w:cs="SimSun"/>
          <w:sz w:val="24"/>
          <w:szCs w:val="24"/>
          <w:spacing w:val="1"/>
        </w:rPr>
        <w:t>资料，新水用量为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2.75m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/t-</w:t>
      </w:r>
      <w:r>
        <w:rPr>
          <w:rFonts w:ascii="SimSun" w:hAnsi="SimSun" w:eastAsia="SimSun" w:cs="SimSun"/>
          <w:sz w:val="24"/>
          <w:szCs w:val="24"/>
          <w:spacing w:val="1"/>
        </w:rPr>
        <w:t>洗净毛，每天新水补水量为</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165m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r>
        <w:rPr>
          <w:rFonts w:ascii="Times New Roman" w:hAnsi="Times New Roman" w:eastAsia="Times New Roman" w:cs="Times New Roman"/>
          <w:sz w:val="24"/>
          <w:szCs w:val="24"/>
          <w:spacing w:val="1"/>
        </w:rPr>
        <w:t>49500m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/a</w:t>
      </w:r>
      <w:r>
        <w:rPr>
          <w:rFonts w:ascii="SimSun" w:hAnsi="SimSun" w:eastAsia="SimSun" w:cs="SimSun"/>
          <w:sz w:val="24"/>
          <w:szCs w:val="24"/>
          <w:spacing w:val="15"/>
        </w:rPr>
        <w:t>），</w:t>
      </w:r>
      <w:r>
        <w:rPr>
          <w:rFonts w:ascii="SimSun" w:hAnsi="SimSun" w:eastAsia="SimSun" w:cs="SimSun"/>
          <w:sz w:val="24"/>
          <w:szCs w:val="24"/>
        </w:rPr>
        <w:t xml:space="preserve"> </w:t>
      </w:r>
      <w:r>
        <w:rPr>
          <w:rFonts w:ascii="SimSun" w:hAnsi="SimSun" w:eastAsia="SimSun" w:cs="SimSun"/>
          <w:sz w:val="24"/>
          <w:szCs w:val="24"/>
          <w:spacing w:val="7"/>
        </w:rPr>
        <w:t>其</w:t>
      </w:r>
      <w:r>
        <w:rPr>
          <w:rFonts w:ascii="SimSun" w:hAnsi="SimSun" w:eastAsia="SimSun" w:cs="SimSun"/>
          <w:sz w:val="24"/>
          <w:szCs w:val="24"/>
          <w:spacing w:val="-52"/>
        </w:rPr>
        <w:t xml:space="preserve"> </w:t>
      </w:r>
      <w:r>
        <w:rPr>
          <w:rFonts w:ascii="SimSun" w:hAnsi="SimSun" w:eastAsia="SimSun" w:cs="SimSun"/>
          <w:sz w:val="24"/>
          <w:szCs w:val="24"/>
          <w:spacing w:val="7"/>
        </w:rPr>
        <w:t>中蒸汽冷凝</w:t>
      </w:r>
      <w:r>
        <w:rPr>
          <w:rFonts w:ascii="SimSun" w:hAnsi="SimSun" w:eastAsia="SimSun" w:cs="SimSun"/>
          <w:sz w:val="24"/>
          <w:szCs w:val="24"/>
          <w:spacing w:val="-71"/>
        </w:rPr>
        <w:t xml:space="preserve"> </w:t>
      </w:r>
      <w:r>
        <w:rPr>
          <w:rFonts w:ascii="SimSun" w:hAnsi="SimSun" w:eastAsia="SimSun" w:cs="SimSun"/>
          <w:sz w:val="24"/>
          <w:szCs w:val="24"/>
          <w:spacing w:val="7"/>
        </w:rPr>
        <w:t>水可补水量</w:t>
      </w:r>
      <w:r>
        <w:rPr>
          <w:rFonts w:ascii="SimSun" w:hAnsi="SimSun" w:eastAsia="SimSun" w:cs="SimSun"/>
          <w:sz w:val="24"/>
          <w:szCs w:val="24"/>
          <w:spacing w:val="-72"/>
        </w:rPr>
        <w:t xml:space="preserve"> </w:t>
      </w:r>
      <w:r>
        <w:rPr>
          <w:rFonts w:ascii="SimSun" w:hAnsi="SimSun" w:eastAsia="SimSun" w:cs="SimSun"/>
          <w:sz w:val="24"/>
          <w:szCs w:val="24"/>
          <w:spacing w:val="7"/>
        </w:rPr>
        <w:t>为 </w:t>
      </w:r>
      <w:r>
        <w:rPr>
          <w:rFonts w:ascii="Times New Roman" w:hAnsi="Times New Roman" w:eastAsia="Times New Roman" w:cs="Times New Roman"/>
          <w:sz w:val="24"/>
          <w:szCs w:val="24"/>
          <w:spacing w:val="7"/>
        </w:rPr>
        <w:t>108m</w:t>
      </w:r>
      <w:r>
        <w:rPr>
          <w:rFonts w:ascii="Times New Roman" w:hAnsi="Times New Roman" w:eastAsia="Times New Roman" w:cs="Times New Roman"/>
          <w:sz w:val="15"/>
          <w:szCs w:val="15"/>
          <w:spacing w:val="7"/>
          <w:position w:val="7"/>
        </w:rPr>
        <w:t>3</w:t>
      </w:r>
      <w:r>
        <w:rPr>
          <w:rFonts w:ascii="Times New Roman" w:hAnsi="Times New Roman" w:eastAsia="Times New Roman" w:cs="Times New Roman"/>
          <w:sz w:val="24"/>
          <w:szCs w:val="24"/>
          <w:spacing w:val="7"/>
        </w:rPr>
        <w:t>/d</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7"/>
        </w:rPr>
        <w:t>（</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7"/>
        </w:rPr>
        <w:t>32400m</w:t>
      </w:r>
      <w:r>
        <w:rPr>
          <w:rFonts w:ascii="Times New Roman" w:hAnsi="Times New Roman" w:eastAsia="Times New Roman" w:cs="Times New Roman"/>
          <w:sz w:val="15"/>
          <w:szCs w:val="15"/>
          <w:spacing w:val="7"/>
          <w:position w:val="7"/>
        </w:rPr>
        <w:t>3</w:t>
      </w:r>
      <w:r>
        <w:rPr>
          <w:rFonts w:ascii="Times New Roman" w:hAnsi="Times New Roman" w:eastAsia="Times New Roman" w:cs="Times New Roman"/>
          <w:sz w:val="24"/>
          <w:szCs w:val="24"/>
          <w:spacing w:val="7"/>
        </w:rPr>
        <w:t>/a </w:t>
      </w:r>
      <w:r>
        <w:rPr>
          <w:rFonts w:ascii="SimSun" w:hAnsi="SimSun" w:eastAsia="SimSun" w:cs="SimSun"/>
          <w:sz w:val="24"/>
          <w:szCs w:val="24"/>
          <w:spacing w:val="-10"/>
        </w:rPr>
        <w:t>）</w:t>
      </w:r>
      <w:r>
        <w:rPr>
          <w:rFonts w:ascii="SimSun" w:hAnsi="SimSun" w:eastAsia="SimSun" w:cs="SimSun"/>
          <w:sz w:val="24"/>
          <w:szCs w:val="24"/>
          <w:spacing w:val="-55"/>
        </w:rPr>
        <w:t xml:space="preserve"> </w:t>
      </w:r>
      <w:r>
        <w:rPr>
          <w:rFonts w:ascii="SimSun" w:hAnsi="SimSun" w:eastAsia="SimSun" w:cs="SimSun"/>
          <w:sz w:val="24"/>
          <w:szCs w:val="24"/>
          <w:spacing w:val="-10"/>
        </w:rPr>
        <w:t>，</w:t>
      </w:r>
      <w:r>
        <w:rPr>
          <w:rFonts w:ascii="SimSun" w:hAnsi="SimSun" w:eastAsia="SimSun" w:cs="SimSun"/>
          <w:sz w:val="24"/>
          <w:szCs w:val="24"/>
          <w:spacing w:val="7"/>
        </w:rPr>
        <w:t>新鲜水用量为 </w:t>
      </w:r>
      <w:r>
        <w:rPr>
          <w:rFonts w:ascii="Times New Roman" w:hAnsi="Times New Roman" w:eastAsia="Times New Roman" w:cs="Times New Roman"/>
          <w:sz w:val="24"/>
          <w:szCs w:val="24"/>
          <w:spacing w:val="6"/>
        </w:rPr>
        <w:t>57m</w:t>
      </w:r>
      <w:r>
        <w:rPr>
          <w:rFonts w:ascii="Times New Roman" w:hAnsi="Times New Roman" w:eastAsia="Times New Roman" w:cs="Times New Roman"/>
          <w:sz w:val="15"/>
          <w:szCs w:val="15"/>
          <w:spacing w:val="6"/>
          <w:position w:val="7"/>
        </w:rPr>
        <w:t>3</w:t>
      </w:r>
      <w:r>
        <w:rPr>
          <w:rFonts w:ascii="Times New Roman" w:hAnsi="Times New Roman" w:eastAsia="Times New Roman" w:cs="Times New Roman"/>
          <w:sz w:val="24"/>
          <w:szCs w:val="24"/>
          <w:spacing w:val="6"/>
        </w:rPr>
        <w:t>/d</w:t>
      </w:r>
      <w:r>
        <w:rPr>
          <w:rFonts w:ascii="Times New Roman" w:hAnsi="Times New Roman" w:eastAsia="Times New Roman" w:cs="Times New Roman"/>
          <w:sz w:val="24"/>
          <w:szCs w:val="2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17100m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/a</w:t>
      </w:r>
      <w:r>
        <w:rPr>
          <w:rFonts w:ascii="SimSun" w:hAnsi="SimSun" w:eastAsia="SimSun" w:cs="SimSun"/>
          <w:sz w:val="24"/>
          <w:szCs w:val="24"/>
          <w:spacing w:val="-1"/>
        </w:rPr>
        <w:t>）。洗毛废水排水量为</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1"/>
        </w:rPr>
        <w:t>135m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r>
        <w:rPr>
          <w:rFonts w:ascii="Times New Roman" w:hAnsi="Times New Roman" w:eastAsia="Times New Roman" w:cs="Times New Roman"/>
          <w:sz w:val="24"/>
          <w:szCs w:val="24"/>
          <w:spacing w:val="-1"/>
        </w:rPr>
        <w:t>40500m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/a</w:t>
      </w:r>
      <w:r>
        <w:rPr>
          <w:rFonts w:ascii="SimSun" w:hAnsi="SimSun" w:eastAsia="SimSun" w:cs="SimSun"/>
          <w:sz w:val="24"/>
          <w:szCs w:val="24"/>
          <w:spacing w:val="-1"/>
        </w:rPr>
        <w:t>）。</w:t>
      </w:r>
    </w:p>
    <w:p>
      <w:pPr>
        <w:ind w:left="8" w:firstLine="482"/>
        <w:spacing w:before="2" w:line="357" w:lineRule="auto"/>
        <w:jc w:val="both"/>
        <w:rPr>
          <w:rFonts w:ascii="SimSun" w:hAnsi="SimSun" w:eastAsia="SimSun" w:cs="SimSun"/>
          <w:sz w:val="24"/>
          <w:szCs w:val="24"/>
        </w:rPr>
      </w:pPr>
      <w:r>
        <w:rPr>
          <w:rFonts w:ascii="SimSun" w:hAnsi="SimSun" w:eastAsia="SimSun" w:cs="SimSun"/>
          <w:sz w:val="24"/>
          <w:szCs w:val="24"/>
        </w:rPr>
        <w:t>参照《排放源统计调查产排污核算方法和系数手册</w:t>
      </w:r>
      <w:r>
        <w:rPr>
          <w:rFonts w:ascii="Times New Roman" w:hAnsi="Times New Roman" w:eastAsia="Times New Roman" w:cs="Times New Roman"/>
          <w:sz w:val="24"/>
          <w:szCs w:val="24"/>
        </w:rPr>
        <w:t>-1721</w:t>
      </w:r>
      <w:r>
        <w:rPr>
          <w:rFonts w:ascii="SimSun" w:hAnsi="SimSun" w:eastAsia="SimSun" w:cs="SimSun"/>
          <w:sz w:val="24"/>
          <w:szCs w:val="24"/>
        </w:rPr>
        <w:t>毛条和毛纱线加工行</w:t>
      </w:r>
      <w:r>
        <w:rPr>
          <w:rFonts w:ascii="SimSun" w:hAnsi="SimSun" w:eastAsia="SimSun" w:cs="SimSun"/>
          <w:sz w:val="24"/>
          <w:szCs w:val="24"/>
          <w:spacing w:val="10"/>
        </w:rPr>
        <w:t xml:space="preserve"> </w:t>
      </w:r>
      <w:r>
        <w:rPr>
          <w:rFonts w:ascii="SimSun" w:hAnsi="SimSun" w:eastAsia="SimSun" w:cs="SimSun"/>
          <w:sz w:val="24"/>
          <w:szCs w:val="24"/>
          <w:spacing w:val="-6"/>
        </w:rPr>
        <w:t>业系数手册》，洗毛废水各污染物平均浓度为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7"/>
        </w:rPr>
        <w:t>COD</w:t>
      </w:r>
      <w:r>
        <w:rPr>
          <w:rFonts w:ascii="SimSun" w:hAnsi="SimSun" w:eastAsia="SimSun" w:cs="SimSun"/>
          <w:sz w:val="24"/>
          <w:szCs w:val="24"/>
          <w:spacing w:val="-7"/>
        </w:rPr>
        <w:t>：</w:t>
      </w:r>
      <w:r>
        <w:rPr>
          <w:rFonts w:ascii="Times New Roman" w:hAnsi="Times New Roman" w:eastAsia="Times New Roman" w:cs="Times New Roman"/>
          <w:sz w:val="24"/>
          <w:szCs w:val="24"/>
          <w:spacing w:val="-7"/>
        </w:rPr>
        <w:t>9378mg/L</w:t>
      </w:r>
      <w:r>
        <w:rPr>
          <w:rFonts w:ascii="SimSun" w:hAnsi="SimSun" w:eastAsia="SimSun" w:cs="SimSun"/>
          <w:sz w:val="24"/>
          <w:szCs w:val="24"/>
          <w:spacing w:val="-7"/>
        </w:rPr>
        <w:t>、氨氮：</w:t>
      </w:r>
      <w:r>
        <w:rPr>
          <w:rFonts w:ascii="Times New Roman" w:hAnsi="Times New Roman" w:eastAsia="Times New Roman" w:cs="Times New Roman"/>
          <w:sz w:val="24"/>
          <w:szCs w:val="24"/>
          <w:spacing w:val="-7"/>
        </w:rPr>
        <w:t>118.6mg/L</w:t>
      </w:r>
      <w:r>
        <w:rPr>
          <w:rFonts w:ascii="SimSun" w:hAnsi="SimSun" w:eastAsia="SimSun" w:cs="SimSun"/>
          <w:sz w:val="24"/>
          <w:szCs w:val="24"/>
          <w:spacing w:val="-7"/>
        </w:rPr>
        <w:t>、</w:t>
      </w:r>
      <w:r>
        <w:rPr>
          <w:rFonts w:ascii="SimSun" w:hAnsi="SimSun" w:eastAsia="SimSun" w:cs="SimSun"/>
          <w:sz w:val="24"/>
          <w:szCs w:val="24"/>
        </w:rPr>
        <w:t xml:space="preserve"> </w:t>
      </w:r>
      <w:r>
        <w:rPr>
          <w:rFonts w:ascii="SimSun" w:hAnsi="SimSun" w:eastAsia="SimSun" w:cs="SimSun"/>
          <w:sz w:val="24"/>
          <w:szCs w:val="24"/>
          <w:spacing w:val="-2"/>
        </w:rPr>
        <w:t>总磷：</w:t>
      </w:r>
      <w:r>
        <w:rPr>
          <w:rFonts w:ascii="Times New Roman" w:hAnsi="Times New Roman" w:eastAsia="Times New Roman" w:cs="Times New Roman"/>
          <w:sz w:val="24"/>
          <w:szCs w:val="24"/>
          <w:spacing w:val="-2"/>
        </w:rPr>
        <w:t>219mg/L</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、总氮：</w:t>
      </w:r>
      <w:r>
        <w:rPr>
          <w:rFonts w:ascii="Times New Roman" w:hAnsi="Times New Roman" w:eastAsia="Times New Roman" w:cs="Times New Roman"/>
          <w:sz w:val="24"/>
          <w:szCs w:val="24"/>
          <w:spacing w:val="-2"/>
        </w:rPr>
        <w:t>7.96mg/L</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2"/>
        </w:rPr>
        <w:t>。类比《内蒙古嘉谊畜产品有限公司年加工</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300</w:t>
      </w:r>
      <w:r>
        <w:rPr>
          <w:rFonts w:ascii="Times New Roman" w:hAnsi="Times New Roman" w:eastAsia="Times New Roman" w:cs="Times New Roman"/>
          <w:sz w:val="24"/>
          <w:szCs w:val="24"/>
        </w:rPr>
        <w:t xml:space="preserve">   </w:t>
      </w:r>
      <w:r>
        <w:rPr>
          <w:rFonts w:ascii="SimSun" w:hAnsi="SimSun" w:eastAsia="SimSun" w:cs="SimSun"/>
          <w:sz w:val="24"/>
          <w:szCs w:val="24"/>
          <w:spacing w:val="-2"/>
        </w:rPr>
        <w:t>万张绵山羊皮、分梳</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1000</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2"/>
        </w:rPr>
        <w:t>吨无毛绒建设项目验收监测报告》，确定本项目洗羊毛</w:t>
      </w:r>
      <w:r>
        <w:rPr>
          <w:rFonts w:ascii="SimSun" w:hAnsi="SimSun" w:eastAsia="SimSun" w:cs="SimSun"/>
          <w:sz w:val="24"/>
          <w:szCs w:val="24"/>
        </w:rPr>
        <w:t xml:space="preserve"> </w:t>
      </w:r>
      <w:r>
        <w:rPr>
          <w:rFonts w:ascii="SimSun" w:hAnsi="SimSun" w:eastAsia="SimSun" w:cs="SimSun"/>
          <w:sz w:val="24"/>
          <w:szCs w:val="24"/>
          <w:spacing w:val="-8"/>
        </w:rPr>
        <w:t>废水中其他污染物浓度分别为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8"/>
        </w:rPr>
        <w:t>BOD</w:t>
      </w:r>
      <w:r>
        <w:rPr>
          <w:rFonts w:ascii="Times New Roman" w:hAnsi="Times New Roman" w:eastAsia="Times New Roman" w:cs="Times New Roman"/>
          <w:sz w:val="15"/>
          <w:szCs w:val="15"/>
          <w:spacing w:val="-8"/>
          <w:position w:val="-1"/>
        </w:rPr>
        <w:t>5</w:t>
      </w:r>
      <w:r>
        <w:rPr>
          <w:rFonts w:ascii="SimSun" w:hAnsi="SimSun" w:eastAsia="SimSun" w:cs="SimSun"/>
          <w:sz w:val="24"/>
          <w:szCs w:val="24"/>
          <w:spacing w:val="-8"/>
        </w:rPr>
        <w:t>：</w:t>
      </w:r>
      <w:r>
        <w:rPr>
          <w:rFonts w:ascii="Times New Roman" w:hAnsi="Times New Roman" w:eastAsia="Times New Roman" w:cs="Times New Roman"/>
          <w:sz w:val="24"/>
          <w:szCs w:val="24"/>
          <w:spacing w:val="-8"/>
        </w:rPr>
        <w:t>720mg/L</w:t>
      </w:r>
      <w:r>
        <w:rPr>
          <w:rFonts w:ascii="SimSun" w:hAnsi="SimSun" w:eastAsia="SimSun" w:cs="SimSun"/>
          <w:sz w:val="24"/>
          <w:szCs w:val="24"/>
          <w:spacing w:val="-8"/>
        </w:rPr>
        <w:t>、</w:t>
      </w:r>
      <w:r>
        <w:rPr>
          <w:rFonts w:ascii="Times New Roman" w:hAnsi="Times New Roman" w:eastAsia="Times New Roman" w:cs="Times New Roman"/>
          <w:sz w:val="24"/>
          <w:szCs w:val="24"/>
          <w:spacing w:val="-8"/>
        </w:rPr>
        <w:t>SS</w:t>
      </w:r>
      <w:r>
        <w:rPr>
          <w:rFonts w:ascii="SimSun" w:hAnsi="SimSun" w:eastAsia="SimSun" w:cs="SimSun"/>
          <w:sz w:val="24"/>
          <w:szCs w:val="24"/>
          <w:spacing w:val="-8"/>
        </w:rPr>
        <w:t>：</w:t>
      </w:r>
      <w:r>
        <w:rPr>
          <w:rFonts w:ascii="Times New Roman" w:hAnsi="Times New Roman" w:eastAsia="Times New Roman" w:cs="Times New Roman"/>
          <w:sz w:val="24"/>
          <w:szCs w:val="24"/>
          <w:spacing w:val="-8"/>
        </w:rPr>
        <w:t>700mg/L</w:t>
      </w:r>
      <w:r>
        <w:rPr>
          <w:rFonts w:ascii="SimSun" w:hAnsi="SimSun" w:eastAsia="SimSun" w:cs="SimSun"/>
          <w:sz w:val="24"/>
          <w:szCs w:val="24"/>
          <w:spacing w:val="-8"/>
        </w:rPr>
        <w:t>、动植物油：</w:t>
      </w:r>
      <w:r>
        <w:rPr>
          <w:rFonts w:ascii="Times New Roman" w:hAnsi="Times New Roman" w:eastAsia="Times New Roman" w:cs="Times New Roman"/>
          <w:sz w:val="24"/>
          <w:szCs w:val="24"/>
          <w:spacing w:val="-8"/>
        </w:rPr>
        <w:t>50mg/L</w:t>
      </w:r>
      <w:r>
        <w:rPr>
          <w:rFonts w:ascii="SimSun" w:hAnsi="SimSun" w:eastAsia="SimSun" w:cs="SimSun"/>
          <w:sz w:val="24"/>
          <w:szCs w:val="24"/>
          <w:spacing w:val="-8"/>
        </w:rPr>
        <w:t>。</w:t>
      </w:r>
    </w:p>
    <w:p>
      <w:pPr>
        <w:ind w:left="501"/>
        <w:spacing w:before="12"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）车间地面冲洗水</w:t>
      </w:r>
    </w:p>
    <w:p>
      <w:pPr>
        <w:ind w:left="12" w:right="77" w:firstLine="479"/>
        <w:spacing w:before="179" w:line="359" w:lineRule="auto"/>
        <w:rPr>
          <w:rFonts w:ascii="SimSun" w:hAnsi="SimSun" w:eastAsia="SimSun" w:cs="SimSun"/>
          <w:sz w:val="24"/>
          <w:szCs w:val="24"/>
        </w:rPr>
      </w:pPr>
      <w:r>
        <w:rPr>
          <w:rFonts w:ascii="SimSun" w:hAnsi="SimSun" w:eastAsia="SimSun" w:cs="SimSun"/>
          <w:sz w:val="24"/>
          <w:szCs w:val="24"/>
          <w:spacing w:val="12"/>
        </w:rPr>
        <w:t>车间地面冲洗废水按照用水量的</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12"/>
        </w:rPr>
        <w:t>90%</w:t>
      </w:r>
      <w:r>
        <w:rPr>
          <w:rFonts w:ascii="SimSun" w:hAnsi="SimSun" w:eastAsia="SimSun" w:cs="SimSun"/>
          <w:sz w:val="24"/>
          <w:szCs w:val="24"/>
          <w:spacing w:val="12"/>
        </w:rPr>
        <w:t>计，车间地</w:t>
      </w:r>
      <w:r>
        <w:rPr>
          <w:rFonts w:ascii="SimSun" w:hAnsi="SimSun" w:eastAsia="SimSun" w:cs="SimSun"/>
          <w:sz w:val="24"/>
          <w:szCs w:val="24"/>
          <w:spacing w:val="11"/>
        </w:rPr>
        <w:t>面冲洗废水量为</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11"/>
        </w:rPr>
        <w:t>4.5m</w:t>
      </w:r>
      <w:r>
        <w:rPr>
          <w:rFonts w:ascii="Times New Roman" w:hAnsi="Times New Roman" w:eastAsia="Times New Roman" w:cs="Times New Roman"/>
          <w:sz w:val="15"/>
          <w:szCs w:val="15"/>
          <w:spacing w:val="11"/>
          <w:position w:val="7"/>
        </w:rPr>
        <w:t>3</w:t>
      </w:r>
      <w:r>
        <w:rPr>
          <w:rFonts w:ascii="Times New Roman" w:hAnsi="Times New Roman" w:eastAsia="Times New Roman" w:cs="Times New Roman"/>
          <w:sz w:val="24"/>
          <w:szCs w:val="24"/>
          <w:spacing w:val="11"/>
        </w:rPr>
        <w:t>/d</w:t>
      </w:r>
      <w:r>
        <w:rPr>
          <w:rFonts w:ascii="Times New Roman" w:hAnsi="Times New Roman" w:eastAsia="Times New Roman" w:cs="Times New Roman"/>
          <w:sz w:val="24"/>
          <w:szCs w:val="2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1350m</w:t>
      </w:r>
      <w:r>
        <w:rPr>
          <w:rFonts w:ascii="Times New Roman" w:hAnsi="Times New Roman" w:eastAsia="Times New Roman" w:cs="Times New Roman"/>
          <w:sz w:val="15"/>
          <w:szCs w:val="15"/>
          <w:spacing w:val="-3"/>
          <w:position w:val="8"/>
        </w:rPr>
        <w:t>3</w:t>
      </w:r>
      <w:r>
        <w:rPr>
          <w:rFonts w:ascii="Times New Roman" w:hAnsi="Times New Roman" w:eastAsia="Times New Roman" w:cs="Times New Roman"/>
          <w:sz w:val="24"/>
          <w:szCs w:val="24"/>
          <w:spacing w:val="-3"/>
        </w:rPr>
        <w:t>/a</w:t>
      </w:r>
      <w:r>
        <w:rPr>
          <w:rFonts w:ascii="SimSun" w:hAnsi="SimSun" w:eastAsia="SimSun" w:cs="SimSun"/>
          <w:sz w:val="24"/>
          <w:szCs w:val="24"/>
          <w:spacing w:val="-3"/>
        </w:rPr>
        <w:t>）。经与其他同类项目类比，确定地面冲洗废水中各污染物平均浓度分</w:t>
      </w:r>
      <w:r>
        <w:rPr>
          <w:rFonts w:ascii="SimSun" w:hAnsi="SimSun" w:eastAsia="SimSun" w:cs="SimSun"/>
          <w:sz w:val="24"/>
          <w:szCs w:val="24"/>
          <w:spacing w:val="15"/>
        </w:rPr>
        <w:t xml:space="preserve"> </w:t>
      </w:r>
      <w:r>
        <w:rPr>
          <w:rFonts w:ascii="SimSun" w:hAnsi="SimSun" w:eastAsia="SimSun" w:cs="SimSun"/>
          <w:sz w:val="24"/>
          <w:szCs w:val="24"/>
          <w:spacing w:val="-2"/>
        </w:rPr>
        <w:t>别为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COD</w:t>
      </w:r>
      <w:r>
        <w:rPr>
          <w:rFonts w:ascii="SimSun" w:hAnsi="SimSun" w:eastAsia="SimSun" w:cs="SimSun"/>
          <w:sz w:val="24"/>
          <w:szCs w:val="24"/>
          <w:spacing w:val="-2"/>
        </w:rPr>
        <w:t>：</w:t>
      </w:r>
      <w:r>
        <w:rPr>
          <w:rFonts w:ascii="Times New Roman" w:hAnsi="Times New Roman" w:eastAsia="Times New Roman" w:cs="Times New Roman"/>
          <w:sz w:val="24"/>
          <w:szCs w:val="24"/>
          <w:spacing w:val="-2"/>
        </w:rPr>
        <w:t>300mg/L</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BOD</w:t>
      </w:r>
      <w:r>
        <w:rPr>
          <w:rFonts w:ascii="Times New Roman" w:hAnsi="Times New Roman" w:eastAsia="Times New Roman" w:cs="Times New Roman"/>
          <w:sz w:val="15"/>
          <w:szCs w:val="15"/>
          <w:spacing w:val="-2"/>
          <w:position w:val="-1"/>
        </w:rPr>
        <w:t>5 </w:t>
      </w:r>
      <w:r>
        <w:rPr>
          <w:rFonts w:ascii="SimSun" w:hAnsi="SimSun" w:eastAsia="SimSun" w:cs="SimSun"/>
          <w:sz w:val="24"/>
          <w:szCs w:val="24"/>
          <w:spacing w:val="-2"/>
        </w:rPr>
        <w:t>：</w:t>
      </w:r>
      <w:r>
        <w:rPr>
          <w:rFonts w:ascii="Times New Roman" w:hAnsi="Times New Roman" w:eastAsia="Times New Roman" w:cs="Times New Roman"/>
          <w:sz w:val="24"/>
          <w:szCs w:val="24"/>
          <w:spacing w:val="-2"/>
        </w:rPr>
        <w:t>200mg/L</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SS</w:t>
      </w:r>
      <w:r>
        <w:rPr>
          <w:rFonts w:ascii="SimSun" w:hAnsi="SimSun" w:eastAsia="SimSun" w:cs="SimSun"/>
          <w:sz w:val="24"/>
          <w:szCs w:val="24"/>
          <w:spacing w:val="-2"/>
        </w:rPr>
        <w:t>：</w:t>
      </w:r>
      <w:r>
        <w:rPr>
          <w:rFonts w:ascii="Times New Roman" w:hAnsi="Times New Roman" w:eastAsia="Times New Roman" w:cs="Times New Roman"/>
          <w:sz w:val="24"/>
          <w:szCs w:val="24"/>
          <w:spacing w:val="-2"/>
        </w:rPr>
        <w:t>500mg/L</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2"/>
        </w:rPr>
        <w:t>、氨氮：</w:t>
      </w:r>
      <w:r>
        <w:rPr>
          <w:rFonts w:ascii="Times New Roman" w:hAnsi="Times New Roman" w:eastAsia="Times New Roman" w:cs="Times New Roman"/>
          <w:sz w:val="24"/>
          <w:szCs w:val="24"/>
          <w:spacing w:val="-2"/>
        </w:rPr>
        <w:t>30mg/L</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、动植物</w:t>
      </w:r>
      <w:r>
        <w:rPr>
          <w:rFonts w:ascii="SimSun" w:hAnsi="SimSun" w:eastAsia="SimSun" w:cs="SimSun"/>
          <w:sz w:val="24"/>
          <w:szCs w:val="24"/>
        </w:rPr>
        <w:t xml:space="preserve"> </w:t>
      </w:r>
      <w:r>
        <w:rPr>
          <w:rFonts w:ascii="SimSun" w:hAnsi="SimSun" w:eastAsia="SimSun" w:cs="SimSun"/>
          <w:sz w:val="24"/>
          <w:szCs w:val="24"/>
          <w:spacing w:val="-2"/>
        </w:rPr>
        <w:t>油：</w:t>
      </w:r>
      <w:r>
        <w:rPr>
          <w:rFonts w:ascii="Times New Roman" w:hAnsi="Times New Roman" w:eastAsia="Times New Roman" w:cs="Times New Roman"/>
          <w:sz w:val="24"/>
          <w:szCs w:val="24"/>
          <w:spacing w:val="-2"/>
        </w:rPr>
        <w:t>50mg/L</w:t>
      </w:r>
      <w:r>
        <w:rPr>
          <w:rFonts w:ascii="SimSun" w:hAnsi="SimSun" w:eastAsia="SimSun" w:cs="SimSun"/>
          <w:sz w:val="24"/>
          <w:szCs w:val="24"/>
          <w:spacing w:val="-2"/>
        </w:rPr>
        <w:t>。</w:t>
      </w:r>
    </w:p>
    <w:p>
      <w:pPr>
        <w:ind w:left="501"/>
        <w:spacing w:before="5"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）锅炉、纯水装置排污水</w:t>
      </w:r>
    </w:p>
    <w:p>
      <w:pPr>
        <w:ind w:left="12" w:right="80" w:firstLine="477"/>
        <w:spacing w:before="182" w:line="359" w:lineRule="auto"/>
        <w:rPr>
          <w:rFonts w:ascii="SimSun" w:hAnsi="SimSun" w:eastAsia="SimSun" w:cs="SimSun"/>
          <w:sz w:val="24"/>
          <w:szCs w:val="24"/>
        </w:rPr>
      </w:pPr>
      <w:r>
        <w:rPr>
          <w:rFonts w:ascii="SimSun" w:hAnsi="SimSun" w:eastAsia="SimSun" w:cs="SimSun"/>
          <w:sz w:val="24"/>
          <w:szCs w:val="24"/>
          <w:spacing w:val="3"/>
        </w:rPr>
        <w:t>锅炉和纯水处理装置排水用作锅炉草木灰抑尘及厂区内道路</w:t>
      </w:r>
      <w:r>
        <w:rPr>
          <w:rFonts w:ascii="SimSun" w:hAnsi="SimSun" w:eastAsia="SimSun" w:cs="SimSun"/>
          <w:sz w:val="24"/>
          <w:szCs w:val="24"/>
          <w:spacing w:val="2"/>
        </w:rPr>
        <w:t>抑尘用水，多余</w:t>
      </w:r>
      <w:r>
        <w:rPr>
          <w:rFonts w:ascii="SimSun" w:hAnsi="SimSun" w:eastAsia="SimSun" w:cs="SimSun"/>
          <w:sz w:val="24"/>
          <w:szCs w:val="24"/>
        </w:rPr>
        <w:t xml:space="preserve"> </w:t>
      </w:r>
      <w:r>
        <w:rPr>
          <w:rFonts w:ascii="SimSun" w:hAnsi="SimSun" w:eastAsia="SimSun" w:cs="SimSun"/>
          <w:sz w:val="24"/>
          <w:szCs w:val="24"/>
          <w:spacing w:val="3"/>
        </w:rPr>
        <w:t>部分排入市政污水管网，进入明安图镇污水</w:t>
      </w:r>
      <w:r>
        <w:rPr>
          <w:rFonts w:ascii="SimSun" w:hAnsi="SimSun" w:eastAsia="SimSun" w:cs="SimSun"/>
          <w:sz w:val="24"/>
          <w:szCs w:val="24"/>
          <w:spacing w:val="2"/>
        </w:rPr>
        <w:t>处理厂。锅炉排污水量按蒸汽供应量</w:t>
      </w:r>
      <w:r>
        <w:rPr>
          <w:rFonts w:ascii="SimSun" w:hAnsi="SimSun" w:eastAsia="SimSun" w:cs="SimSun"/>
          <w:sz w:val="24"/>
          <w:szCs w:val="24"/>
        </w:rPr>
        <w:t xml:space="preserve"> </w:t>
      </w:r>
      <w:r>
        <w:rPr>
          <w:rFonts w:ascii="SimSun" w:hAnsi="SimSun" w:eastAsia="SimSun" w:cs="SimSun"/>
          <w:sz w:val="24"/>
          <w:szCs w:val="24"/>
          <w:spacing w:val="-2"/>
        </w:rPr>
        <w:t>的</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w:t>
      </w:r>
      <w:r>
        <w:rPr>
          <w:rFonts w:ascii="SimSun" w:hAnsi="SimSun" w:eastAsia="SimSun" w:cs="SimSun"/>
          <w:sz w:val="24"/>
          <w:szCs w:val="24"/>
          <w:spacing w:val="-2"/>
        </w:rPr>
        <w:t>计，</w:t>
      </w:r>
      <w:r>
        <w:rPr>
          <w:rFonts w:ascii="Times New Roman" w:hAnsi="Times New Roman" w:eastAsia="Times New Roman" w:cs="Times New Roman"/>
          <w:sz w:val="24"/>
          <w:szCs w:val="24"/>
          <w:spacing w:val="-2"/>
        </w:rPr>
        <w:t>6m</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r>
        <w:rPr>
          <w:rFonts w:ascii="Times New Roman" w:hAnsi="Times New Roman" w:eastAsia="Times New Roman" w:cs="Times New Roman"/>
          <w:sz w:val="24"/>
          <w:szCs w:val="24"/>
          <w:spacing w:val="-2"/>
        </w:rPr>
        <w:t>180m</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24"/>
          <w:szCs w:val="24"/>
          <w:spacing w:val="-2"/>
        </w:rPr>
        <w:t>/a</w:t>
      </w:r>
      <w:r>
        <w:rPr>
          <w:rFonts w:ascii="SimSun" w:hAnsi="SimSun" w:eastAsia="SimSun" w:cs="SimSun"/>
          <w:sz w:val="24"/>
          <w:szCs w:val="24"/>
          <w:spacing w:val="11"/>
        </w:rPr>
        <w:t>）；</w:t>
      </w:r>
      <w:r>
        <w:rPr>
          <w:rFonts w:ascii="SimSun" w:hAnsi="SimSun" w:eastAsia="SimSun" w:cs="SimSun"/>
          <w:sz w:val="24"/>
          <w:szCs w:val="24"/>
          <w:spacing w:val="-2"/>
        </w:rPr>
        <w:t>锅炉补水采用纯水，纯水制水率为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75%</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，排污量为</w:t>
      </w:r>
    </w:p>
    <w:p>
      <w:pPr>
        <w:ind w:left="11" w:right="77" w:hanging="7"/>
        <w:spacing w:before="2" w:line="309" w:lineRule="auto"/>
        <w:rPr>
          <w:rFonts w:ascii="SimSun" w:hAnsi="SimSun" w:eastAsia="SimSun" w:cs="SimSun"/>
          <w:sz w:val="24"/>
          <w:szCs w:val="24"/>
        </w:rPr>
      </w:pPr>
      <w:r>
        <w:rPr>
          <w:rFonts w:ascii="Times New Roman" w:hAnsi="Times New Roman" w:eastAsia="Times New Roman" w:cs="Times New Roman"/>
          <w:sz w:val="24"/>
          <w:szCs w:val="24"/>
          <w:spacing w:val="-1"/>
        </w:rPr>
        <w:t>42.3m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SimSun" w:hAnsi="SimSun" w:eastAsia="SimSun" w:cs="SimSun"/>
          <w:sz w:val="24"/>
          <w:szCs w:val="24"/>
          <w:spacing w:val="-6"/>
        </w:rPr>
        <w:t>（</w:t>
      </w:r>
      <w:r>
        <w:rPr>
          <w:rFonts w:ascii="Times New Roman" w:hAnsi="Times New Roman" w:eastAsia="Times New Roman" w:cs="Times New Roman"/>
          <w:sz w:val="24"/>
          <w:szCs w:val="24"/>
          <w:spacing w:val="-6"/>
        </w:rPr>
        <w:t>12690t/a</w:t>
      </w:r>
      <w:r>
        <w:rPr>
          <w:rFonts w:ascii="SimSun" w:hAnsi="SimSun" w:eastAsia="SimSun" w:cs="SimSun"/>
          <w:sz w:val="24"/>
          <w:szCs w:val="24"/>
          <w:spacing w:val="-40"/>
          <w:w w:val="62"/>
        </w:rPr>
        <w:t>）；</w:t>
      </w:r>
      <w:r>
        <w:rPr>
          <w:rFonts w:ascii="SimSun" w:hAnsi="SimSun" w:eastAsia="SimSun" w:cs="SimSun"/>
          <w:sz w:val="24"/>
          <w:szCs w:val="24"/>
          <w:spacing w:val="-6"/>
        </w:rPr>
        <w:t>锅炉、纯水装置总排水量为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6"/>
        </w:rPr>
        <w:t>48.3m</w:t>
      </w:r>
      <w:r>
        <w:rPr>
          <w:rFonts w:ascii="Times New Roman" w:hAnsi="Times New Roman" w:eastAsia="Times New Roman" w:cs="Times New Roman"/>
          <w:sz w:val="15"/>
          <w:szCs w:val="15"/>
          <w:spacing w:val="-6"/>
          <w:position w:val="7"/>
        </w:rPr>
        <w:t>3</w:t>
      </w:r>
      <w:r>
        <w:rPr>
          <w:rFonts w:ascii="Times New Roman" w:hAnsi="Times New Roman" w:eastAsia="Times New Roman" w:cs="Times New Roman"/>
          <w:sz w:val="24"/>
          <w:szCs w:val="24"/>
          <w:spacing w:val="-6"/>
        </w:rPr>
        <w:t>/d</w:t>
      </w:r>
      <w:r>
        <w:rPr>
          <w:rFonts w:ascii="SimSun" w:hAnsi="SimSun" w:eastAsia="SimSun" w:cs="SimSun"/>
          <w:sz w:val="24"/>
          <w:szCs w:val="24"/>
          <w:spacing w:val="-9"/>
        </w:rPr>
        <w:t>（</w:t>
      </w:r>
      <w:r>
        <w:rPr>
          <w:rFonts w:ascii="Times New Roman" w:hAnsi="Times New Roman" w:eastAsia="Times New Roman" w:cs="Times New Roman"/>
          <w:sz w:val="24"/>
          <w:szCs w:val="24"/>
          <w:spacing w:val="-9"/>
        </w:rPr>
        <w:t>14490t/a</w:t>
      </w:r>
      <w:r>
        <w:rPr>
          <w:rFonts w:ascii="SimSun" w:hAnsi="SimSun" w:eastAsia="SimSun" w:cs="SimSun"/>
          <w:sz w:val="24"/>
          <w:szCs w:val="24"/>
          <w:spacing w:val="-40"/>
          <w:w w:val="62"/>
        </w:rPr>
        <w:t>），</w:t>
      </w:r>
      <w:r>
        <w:rPr>
          <w:rFonts w:ascii="SimSun" w:hAnsi="SimSun" w:eastAsia="SimSun" w:cs="SimSun"/>
          <w:sz w:val="24"/>
          <w:szCs w:val="24"/>
          <w:spacing w:val="-9"/>
        </w:rPr>
        <w:t>其中</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9"/>
        </w:rPr>
        <w:t>8.033m</w:t>
      </w:r>
      <w:r>
        <w:rPr>
          <w:rFonts w:ascii="Times New Roman" w:hAnsi="Times New Roman" w:eastAsia="Times New Roman" w:cs="Times New Roman"/>
          <w:sz w:val="15"/>
          <w:szCs w:val="15"/>
          <w:spacing w:val="4"/>
          <w:position w:val="7"/>
        </w:rPr>
        <w:t>3</w:t>
      </w:r>
      <w:r>
        <w:rPr>
          <w:rFonts w:ascii="Times New Roman" w:hAnsi="Times New Roman" w:eastAsia="Times New Roman" w:cs="Times New Roman"/>
          <w:sz w:val="24"/>
          <w:szCs w:val="24"/>
          <w:spacing w:val="4"/>
        </w:rPr>
        <w:t>/d</w:t>
      </w:r>
      <w:r>
        <w:rPr>
          <w:rFonts w:ascii="Times New Roman" w:hAnsi="Times New Roman" w:eastAsia="Times New Roman" w:cs="Times New Roman"/>
          <w:sz w:val="24"/>
          <w:szCs w:val="2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2409.9t/a</w:t>
      </w:r>
      <w:r>
        <w:rPr>
          <w:rFonts w:ascii="SimSun" w:hAnsi="SimSun" w:eastAsia="SimSun" w:cs="SimSun"/>
          <w:sz w:val="24"/>
          <w:szCs w:val="24"/>
          <w:spacing w:val="-3"/>
        </w:rPr>
        <w:t>）用于锅炉草木灰和道路抑尘，剩余</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40.267m</w:t>
      </w:r>
      <w:r>
        <w:rPr>
          <w:rFonts w:ascii="Times New Roman" w:hAnsi="Times New Roman" w:eastAsia="Times New Roman" w:cs="Times New Roman"/>
          <w:sz w:val="15"/>
          <w:szCs w:val="15"/>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r>
        <w:rPr>
          <w:rFonts w:ascii="Times New Roman" w:hAnsi="Times New Roman" w:eastAsia="Times New Roman" w:cs="Times New Roman"/>
          <w:sz w:val="24"/>
          <w:szCs w:val="24"/>
          <w:spacing w:val="-3"/>
        </w:rPr>
        <w:t>12080.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1t/a</w:t>
      </w:r>
      <w:r>
        <w:rPr>
          <w:rFonts w:ascii="SimSun" w:hAnsi="SimSun" w:eastAsia="SimSun" w:cs="SimSun"/>
          <w:sz w:val="24"/>
          <w:szCs w:val="24"/>
          <w:spacing w:val="-3"/>
        </w:rPr>
        <w:t>）排入市政</w:t>
      </w:r>
      <w:r>
        <w:rPr>
          <w:rFonts w:ascii="SimSun" w:hAnsi="SimSun" w:eastAsia="SimSun" w:cs="SimSun"/>
          <w:sz w:val="24"/>
          <w:szCs w:val="24"/>
        </w:rPr>
        <w:t xml:space="preserve"> </w:t>
      </w:r>
      <w:r>
        <w:rPr>
          <w:rFonts w:ascii="SimSun" w:hAnsi="SimSun" w:eastAsia="SimSun" w:cs="SimSun"/>
          <w:sz w:val="24"/>
          <w:szCs w:val="24"/>
          <w:spacing w:val="-2"/>
        </w:rPr>
        <w:t>污水管网，进入明安图镇污水处理厂。主要污染物为</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2"/>
        </w:rPr>
        <w:t>TDS</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，浓度约</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3000mg/L</w:t>
      </w:r>
      <w:r>
        <w:rPr>
          <w:rFonts w:ascii="SimSun" w:hAnsi="SimSun" w:eastAsia="SimSun" w:cs="SimSun"/>
          <w:sz w:val="24"/>
          <w:szCs w:val="24"/>
          <w:spacing w:val="-2"/>
        </w:rPr>
        <w:t>。</w:t>
      </w:r>
    </w:p>
    <w:p>
      <w:pPr>
        <w:ind w:left="4137"/>
        <w:spacing w:before="276" w:line="227" w:lineRule="auto"/>
        <w:rPr>
          <w:rFonts w:ascii="SimSun" w:hAnsi="SimSun" w:eastAsia="SimSun" w:cs="SimSun"/>
          <w:sz w:val="19"/>
          <w:szCs w:val="19"/>
        </w:rPr>
      </w:pPr>
      <w:r>
        <w:rPr>
          <w:rFonts w:ascii="Times New Roman" w:hAnsi="Times New Roman" w:eastAsia="Times New Roman" w:cs="Times New Roman"/>
          <w:sz w:val="18"/>
          <w:szCs w:val="18"/>
          <w:spacing w:val="7"/>
          <w:position w:val="2"/>
        </w:rPr>
        <w:t>100</w:t>
      </w:r>
      <w:r>
        <w:rPr>
          <w:rFonts w:ascii="Times New Roman" w:hAnsi="Times New Roman" w:eastAsia="Times New Roman" w:cs="Times New Roman"/>
          <w:sz w:val="18"/>
          <w:szCs w:val="18"/>
          <w:spacing w:val="2"/>
          <w:position w:val="2"/>
        </w:rPr>
        <w:t xml:space="preserve">       </w:t>
      </w:r>
      <w:r>
        <w:rPr>
          <w:rFonts w:ascii="SimSun" w:hAnsi="SimSun" w:eastAsia="SimSun" w:cs="SimSun"/>
          <w:sz w:val="19"/>
          <w:szCs w:val="19"/>
          <w:spacing w:val="7"/>
        </w:rPr>
        <w:t>锡林郭勒盟中安环境技术咨询有限责任公司</w:t>
      </w:r>
    </w:p>
    <w:p>
      <w:pPr>
        <w:spacing w:line="227" w:lineRule="auto"/>
        <w:sectPr>
          <w:headerReference w:type="default" r:id="rId11"/>
          <w:footerReference w:type="default" r:id="rId3"/>
          <w:pgSz w:w="11907" w:h="16840"/>
          <w:pgMar w:top="1567" w:right="1621" w:bottom="400" w:left="1701" w:header="1221" w:footer="0" w:gutter="0"/>
        </w:sectPr>
        <w:rPr>
          <w:rFonts w:ascii="SimSun" w:hAnsi="SimSun" w:eastAsia="SimSun" w:cs="SimSun"/>
          <w:sz w:val="19"/>
          <w:szCs w:val="19"/>
        </w:rPr>
      </w:pPr>
    </w:p>
    <w:p>
      <w:pPr>
        <w:ind w:left="501"/>
        <w:spacing w:before="188" w:line="219" w:lineRule="auto"/>
        <w:rPr>
          <w:rFonts w:ascii="SimSun" w:hAnsi="SimSun" w:eastAsia="SimSun" w:cs="SimSun"/>
          <w:sz w:val="24"/>
          <w:szCs w:val="24"/>
        </w:rPr>
      </w:pPr>
      <w:r>
        <w:pict>
          <v:shape id="_x0000_s512" style="position:absolute;margin-left:85.05pt;margin-top:79.11pt;mso-position-vertical-relative:page;mso-position-horizontal-relative:page;width:425.25pt;height:0.75pt;z-index:251882496;" o:allowincell="f" fillcolor="#000000" filled="true" stroked="false" coordsize="8505,15" coordorigin="0,0" path="m,l8505,0l8505,14l0,14l0,0xe"/>
        </w:pict>
      </w: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）生活污水</w:t>
      </w:r>
    </w:p>
    <w:p>
      <w:pPr>
        <w:ind w:left="9" w:firstLine="481"/>
        <w:spacing w:before="178" w:line="385" w:lineRule="auto"/>
        <w:rPr>
          <w:rFonts w:ascii="SimSun" w:hAnsi="SimSun" w:eastAsia="SimSun" w:cs="SimSun"/>
          <w:sz w:val="24"/>
          <w:szCs w:val="24"/>
        </w:rPr>
      </w:pPr>
      <w:r>
        <w:rPr>
          <w:rFonts w:ascii="SimSun" w:hAnsi="SimSun" w:eastAsia="SimSun" w:cs="SimSun"/>
          <w:sz w:val="24"/>
          <w:szCs w:val="24"/>
          <w:spacing w:val="9"/>
        </w:rPr>
        <w:t>本项目劳动定员 </w:t>
      </w:r>
      <w:r>
        <w:rPr>
          <w:rFonts w:ascii="Times New Roman" w:hAnsi="Times New Roman" w:eastAsia="Times New Roman" w:cs="Times New Roman"/>
          <w:sz w:val="24"/>
          <w:szCs w:val="24"/>
          <w:spacing w:val="9"/>
        </w:rPr>
        <w:t>100</w:t>
      </w:r>
      <w:r>
        <w:rPr>
          <w:rFonts w:ascii="Times New Roman" w:hAnsi="Times New Roman" w:eastAsia="Times New Roman" w:cs="Times New Roman"/>
          <w:sz w:val="24"/>
          <w:szCs w:val="24"/>
          <w:spacing w:val="40"/>
          <w:w w:val="101"/>
        </w:rPr>
        <w:t xml:space="preserve"> </w:t>
      </w:r>
      <w:r>
        <w:rPr>
          <w:rFonts w:ascii="SimSun" w:hAnsi="SimSun" w:eastAsia="SimSun" w:cs="SimSun"/>
          <w:sz w:val="24"/>
          <w:szCs w:val="24"/>
          <w:spacing w:val="9"/>
        </w:rPr>
        <w:t>人，参照《内蒙古自治区地方标准</w:t>
      </w:r>
      <w:r>
        <w:rPr>
          <w:rFonts w:ascii="SimSun" w:hAnsi="SimSun" w:eastAsia="SimSun" w:cs="SimSun"/>
          <w:sz w:val="24"/>
          <w:szCs w:val="24"/>
          <w:spacing w:val="47"/>
        </w:rPr>
        <w:t xml:space="preserve"> </w:t>
      </w:r>
      <w:r>
        <w:rPr>
          <w:rFonts w:ascii="SimSun" w:hAnsi="SimSun" w:eastAsia="SimSun" w:cs="SimSun"/>
          <w:sz w:val="24"/>
          <w:szCs w:val="24"/>
          <w:spacing w:val="9"/>
        </w:rPr>
        <w:t>行业用水定额》</w:t>
      </w:r>
      <w:r>
        <w:rPr>
          <w:rFonts w:ascii="SimSun" w:hAnsi="SimSun" w:eastAsia="SimSun" w:cs="SimSun"/>
          <w:sz w:val="24"/>
          <w:szCs w:val="2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DB15/T385-2020</w:t>
      </w:r>
      <w:r>
        <w:rPr>
          <w:rFonts w:ascii="SimSun" w:hAnsi="SimSun" w:eastAsia="SimSun" w:cs="SimSun"/>
          <w:sz w:val="24"/>
          <w:szCs w:val="24"/>
          <w:spacing w:val="-13"/>
        </w:rPr>
        <w:t>），</w:t>
      </w:r>
      <w:r>
        <w:rPr>
          <w:rFonts w:ascii="SimSun" w:hAnsi="SimSun" w:eastAsia="SimSun" w:cs="SimSun"/>
          <w:sz w:val="24"/>
          <w:szCs w:val="24"/>
          <w:spacing w:val="-2"/>
        </w:rPr>
        <w:t>生活用水量按照</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120</w:t>
      </w:r>
      <w:r>
        <w:rPr>
          <w:rFonts w:ascii="Times New Roman" w:hAnsi="Times New Roman" w:eastAsia="Times New Roman" w:cs="Times New Roman"/>
          <w:sz w:val="24"/>
          <w:szCs w:val="24"/>
          <w:spacing w:val="-3"/>
        </w:rPr>
        <w:t>L/</w:t>
      </w:r>
      <w:r>
        <w:rPr>
          <w:rFonts w:ascii="SimSun" w:hAnsi="SimSun" w:eastAsia="SimSun" w:cs="SimSun"/>
          <w:sz w:val="24"/>
          <w:szCs w:val="24"/>
          <w:spacing w:val="-3"/>
        </w:rPr>
        <w:t>人</w:t>
      </w:r>
      <w:r>
        <w:rPr>
          <w:rFonts w:ascii="Times New Roman" w:hAnsi="Times New Roman" w:eastAsia="Times New Roman" w:cs="Times New Roman"/>
          <w:sz w:val="24"/>
          <w:szCs w:val="24"/>
          <w:spacing w:val="-3"/>
        </w:rPr>
        <w:t>·d </w:t>
      </w:r>
      <w:r>
        <w:rPr>
          <w:rFonts w:ascii="SimSun" w:hAnsi="SimSun" w:eastAsia="SimSun" w:cs="SimSun"/>
          <w:sz w:val="24"/>
          <w:szCs w:val="24"/>
          <w:spacing w:val="-3"/>
        </w:rPr>
        <w:t>计算（包括员工工作、生活、洗</w:t>
      </w:r>
      <w:r>
        <w:rPr>
          <w:rFonts w:ascii="SimSun" w:hAnsi="SimSun" w:eastAsia="SimSun" w:cs="SimSun"/>
          <w:sz w:val="24"/>
          <w:szCs w:val="24"/>
        </w:rPr>
        <w:t xml:space="preserve"> </w:t>
      </w:r>
      <w:r>
        <w:rPr>
          <w:rFonts w:ascii="SimSun" w:hAnsi="SimSun" w:eastAsia="SimSun" w:cs="SimSun"/>
          <w:sz w:val="24"/>
          <w:szCs w:val="24"/>
          <w:spacing w:val="-4"/>
        </w:rPr>
        <w:t>浴、食堂用水等</w:t>
      </w:r>
      <w:r>
        <w:rPr>
          <w:rFonts w:ascii="SimSun" w:hAnsi="SimSun" w:eastAsia="SimSun" w:cs="SimSun"/>
          <w:sz w:val="24"/>
          <w:szCs w:val="24"/>
          <w:spacing w:val="-16"/>
        </w:rPr>
        <w:t>），</w:t>
      </w:r>
      <w:r>
        <w:rPr>
          <w:rFonts w:ascii="SimSun" w:hAnsi="SimSun" w:eastAsia="SimSun" w:cs="SimSun"/>
          <w:sz w:val="24"/>
          <w:szCs w:val="24"/>
          <w:spacing w:val="-4"/>
        </w:rPr>
        <w:t>生活用水量为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12m</w:t>
      </w:r>
      <w:r>
        <w:rPr>
          <w:rFonts w:ascii="Times New Roman" w:hAnsi="Times New Roman" w:eastAsia="Times New Roman" w:cs="Times New Roman"/>
          <w:sz w:val="15"/>
          <w:szCs w:val="15"/>
          <w:spacing w:val="-4"/>
          <w:position w:val="8"/>
        </w:rPr>
        <w:t>3</w:t>
      </w:r>
      <w:r>
        <w:rPr>
          <w:rFonts w:ascii="Times New Roman" w:hAnsi="Times New Roman" w:eastAsia="Times New Roman" w:cs="Times New Roman"/>
          <w:sz w:val="24"/>
          <w:szCs w:val="24"/>
          <w:spacing w:val="-4"/>
        </w:rPr>
        <w:t>/d</w:t>
      </w:r>
      <w:r>
        <w:rPr>
          <w:rFonts w:ascii="SimSun" w:hAnsi="SimSun" w:eastAsia="SimSun" w:cs="SimSun"/>
          <w:sz w:val="24"/>
          <w:szCs w:val="24"/>
          <w:spacing w:val="-4"/>
        </w:rPr>
        <w:t>（</w:t>
      </w:r>
      <w:r>
        <w:rPr>
          <w:rFonts w:ascii="Times New Roman" w:hAnsi="Times New Roman" w:eastAsia="Times New Roman" w:cs="Times New Roman"/>
          <w:sz w:val="24"/>
          <w:szCs w:val="24"/>
          <w:spacing w:val="-4"/>
        </w:rPr>
        <w:t>3600m</w:t>
      </w:r>
      <w:r>
        <w:rPr>
          <w:rFonts w:ascii="Times New Roman" w:hAnsi="Times New Roman" w:eastAsia="Times New Roman" w:cs="Times New Roman"/>
          <w:sz w:val="15"/>
          <w:szCs w:val="15"/>
          <w:spacing w:val="-4"/>
          <w:position w:val="8"/>
        </w:rPr>
        <w:t>3</w:t>
      </w:r>
      <w:r>
        <w:rPr>
          <w:rFonts w:ascii="Times New Roman" w:hAnsi="Times New Roman" w:eastAsia="Times New Roman" w:cs="Times New Roman"/>
          <w:sz w:val="24"/>
          <w:szCs w:val="24"/>
          <w:spacing w:val="-4"/>
        </w:rPr>
        <w:t>/a</w:t>
      </w:r>
      <w:r>
        <w:rPr>
          <w:rFonts w:ascii="SimSun" w:hAnsi="SimSun" w:eastAsia="SimSun" w:cs="SimSun"/>
          <w:sz w:val="24"/>
          <w:szCs w:val="24"/>
          <w:spacing w:val="-4"/>
        </w:rPr>
        <w:t>）。其中洗浴用水量按照</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60L/</w:t>
      </w:r>
      <w:r>
        <w:rPr>
          <w:rFonts w:ascii="Times New Roman" w:hAnsi="Times New Roman" w:eastAsia="Times New Roman" w:cs="Times New Roman"/>
          <w:sz w:val="24"/>
          <w:szCs w:val="24"/>
        </w:rPr>
        <w:t xml:space="preserve">  </w:t>
      </w:r>
      <w:r>
        <w:rPr>
          <w:rFonts w:ascii="SimSun" w:hAnsi="SimSun" w:eastAsia="SimSun" w:cs="SimSun"/>
          <w:sz w:val="24"/>
          <w:szCs w:val="24"/>
          <w:spacing w:val="-2"/>
        </w:rPr>
        <w:t>人</w:t>
      </w:r>
      <w:r>
        <w:rPr>
          <w:rFonts w:ascii="Times New Roman" w:hAnsi="Times New Roman" w:eastAsia="Times New Roman" w:cs="Times New Roman"/>
          <w:sz w:val="24"/>
          <w:szCs w:val="24"/>
          <w:spacing w:val="-2"/>
        </w:rPr>
        <w:t>·d </w:t>
      </w:r>
      <w:r>
        <w:rPr>
          <w:rFonts w:ascii="SimSun" w:hAnsi="SimSun" w:eastAsia="SimSun" w:cs="SimSun"/>
          <w:sz w:val="24"/>
          <w:szCs w:val="24"/>
          <w:spacing w:val="-2"/>
        </w:rPr>
        <w:t>计算，洗浴用水量为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6m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r>
        <w:rPr>
          <w:rFonts w:ascii="Times New Roman" w:hAnsi="Times New Roman" w:eastAsia="Times New Roman" w:cs="Times New Roman"/>
          <w:sz w:val="24"/>
          <w:szCs w:val="24"/>
          <w:spacing w:val="-2"/>
        </w:rPr>
        <w:t>1800m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/a</w:t>
      </w:r>
      <w:r>
        <w:rPr>
          <w:rFonts w:ascii="SimSun" w:hAnsi="SimSun" w:eastAsia="SimSun" w:cs="SimSun"/>
          <w:sz w:val="24"/>
          <w:szCs w:val="24"/>
          <w:spacing w:val="-2"/>
        </w:rPr>
        <w:t>）。食堂用水量按照</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20L/</w:t>
      </w:r>
      <w:r>
        <w:rPr>
          <w:rFonts w:ascii="SimSun" w:hAnsi="SimSun" w:eastAsia="SimSun" w:cs="SimSun"/>
          <w:sz w:val="24"/>
          <w:szCs w:val="24"/>
          <w:spacing w:val="-2"/>
        </w:rPr>
        <w:t>人</w:t>
      </w:r>
      <w:r>
        <w:rPr>
          <w:rFonts w:ascii="Times New Roman" w:hAnsi="Times New Roman" w:eastAsia="Times New Roman" w:cs="Times New Roman"/>
          <w:sz w:val="24"/>
          <w:szCs w:val="24"/>
          <w:spacing w:val="-2"/>
        </w:rPr>
        <w:t>·d </w:t>
      </w:r>
      <w:r>
        <w:rPr>
          <w:rFonts w:ascii="SimSun" w:hAnsi="SimSun" w:eastAsia="SimSun" w:cs="SimSun"/>
          <w:sz w:val="24"/>
          <w:szCs w:val="24"/>
          <w:spacing w:val="-2"/>
        </w:rPr>
        <w:t>计</w:t>
      </w:r>
      <w:r>
        <w:rPr>
          <w:rFonts w:ascii="SimSun" w:hAnsi="SimSun" w:eastAsia="SimSun" w:cs="SimSun"/>
          <w:sz w:val="24"/>
          <w:szCs w:val="24"/>
          <w:spacing w:val="-3"/>
        </w:rPr>
        <w:t>算，食</w:t>
      </w:r>
      <w:r>
        <w:rPr>
          <w:rFonts w:ascii="SimSun" w:hAnsi="SimSun" w:eastAsia="SimSun" w:cs="SimSun"/>
          <w:sz w:val="24"/>
          <w:szCs w:val="24"/>
        </w:rPr>
        <w:t xml:space="preserve"> </w:t>
      </w:r>
      <w:r>
        <w:rPr>
          <w:rFonts w:ascii="SimSun" w:hAnsi="SimSun" w:eastAsia="SimSun" w:cs="SimSun"/>
          <w:sz w:val="24"/>
          <w:szCs w:val="24"/>
          <w:spacing w:val="-2"/>
        </w:rPr>
        <w:t>堂用水量为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/d</w:t>
      </w:r>
      <w:r>
        <w:rPr>
          <w:rFonts w:ascii="SimSun" w:hAnsi="SimSun" w:eastAsia="SimSun" w:cs="SimSun"/>
          <w:sz w:val="24"/>
          <w:szCs w:val="24"/>
          <w:spacing w:val="-16"/>
        </w:rPr>
        <w:t>（</w:t>
      </w:r>
      <w:r>
        <w:rPr>
          <w:rFonts w:ascii="Times New Roman" w:hAnsi="Times New Roman" w:eastAsia="Times New Roman" w:cs="Times New Roman"/>
          <w:sz w:val="24"/>
          <w:szCs w:val="24"/>
          <w:spacing w:val="-16"/>
        </w:rPr>
        <w:t>600m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/a</w:t>
      </w:r>
      <w:r>
        <w:rPr>
          <w:rFonts w:ascii="SimSun" w:hAnsi="SimSun" w:eastAsia="SimSun" w:cs="SimSun"/>
          <w:sz w:val="24"/>
          <w:szCs w:val="24"/>
          <w:spacing w:val="-8"/>
        </w:rPr>
        <w:t>）。冲厕用水量按照</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8"/>
        </w:rPr>
        <w:t>40L/</w:t>
      </w:r>
      <w:r>
        <w:rPr>
          <w:rFonts w:ascii="SimSun" w:hAnsi="SimSun" w:eastAsia="SimSun" w:cs="SimSun"/>
          <w:sz w:val="24"/>
          <w:szCs w:val="24"/>
          <w:spacing w:val="-8"/>
        </w:rPr>
        <w:t>人</w:t>
      </w:r>
      <w:r>
        <w:rPr>
          <w:rFonts w:ascii="Times New Roman" w:hAnsi="Times New Roman" w:eastAsia="Times New Roman" w:cs="Times New Roman"/>
          <w:sz w:val="24"/>
          <w:szCs w:val="24"/>
          <w:spacing w:val="-8"/>
        </w:rPr>
        <w:t>·d </w:t>
      </w:r>
      <w:r>
        <w:rPr>
          <w:rFonts w:ascii="SimSun" w:hAnsi="SimSun" w:eastAsia="SimSun" w:cs="SimSun"/>
          <w:sz w:val="24"/>
          <w:szCs w:val="24"/>
          <w:spacing w:val="-8"/>
        </w:rPr>
        <w:t>计算，冲厕用水量为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8"/>
        </w:rPr>
        <w:t>4m</w:t>
      </w:r>
      <w:r>
        <w:rPr>
          <w:rFonts w:ascii="Times New Roman" w:hAnsi="Times New Roman" w:eastAsia="Times New Roman" w:cs="Times New Roman"/>
          <w:sz w:val="15"/>
          <w:szCs w:val="15"/>
          <w:spacing w:val="-8"/>
          <w:position w:val="7"/>
        </w:rPr>
        <w:t>3</w:t>
      </w:r>
      <w:r>
        <w:rPr>
          <w:rFonts w:ascii="Times New Roman" w:hAnsi="Times New Roman" w:eastAsia="Times New Roman" w:cs="Times New Roman"/>
          <w:sz w:val="24"/>
          <w:szCs w:val="24"/>
          <w:spacing w:val="-8"/>
        </w:rPr>
        <w:t>/d</w:t>
      </w:r>
      <w:r>
        <w:rPr>
          <w:rFonts w:ascii="Times New Roman" w:hAnsi="Times New Roman" w:eastAsia="Times New Roman" w:cs="Times New Roman"/>
          <w:sz w:val="24"/>
          <w:szCs w:val="24"/>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1200m</w:t>
      </w:r>
      <w:r>
        <w:rPr>
          <w:rFonts w:ascii="Times New Roman" w:hAnsi="Times New Roman" w:eastAsia="Times New Roman" w:cs="Times New Roman"/>
          <w:sz w:val="15"/>
          <w:szCs w:val="15"/>
          <w:spacing w:val="4"/>
          <w:position w:val="8"/>
        </w:rPr>
        <w:t>3</w:t>
      </w:r>
      <w:r>
        <w:rPr>
          <w:rFonts w:ascii="Times New Roman" w:hAnsi="Times New Roman" w:eastAsia="Times New Roman" w:cs="Times New Roman"/>
          <w:sz w:val="24"/>
          <w:szCs w:val="24"/>
          <w:spacing w:val="4"/>
        </w:rPr>
        <w:t>/a</w:t>
      </w:r>
      <w:r>
        <w:rPr>
          <w:rFonts w:ascii="SimSun" w:hAnsi="SimSun" w:eastAsia="SimSun" w:cs="SimSun"/>
          <w:sz w:val="24"/>
          <w:szCs w:val="24"/>
          <w:spacing w:val="4"/>
        </w:rPr>
        <w:t>）</w:t>
      </w:r>
      <w:r>
        <w:rPr>
          <w:rFonts w:ascii="SimSun" w:hAnsi="SimSun" w:eastAsia="SimSun" w:cs="SimSun"/>
          <w:sz w:val="24"/>
          <w:szCs w:val="24"/>
          <w:spacing w:val="-62"/>
        </w:rPr>
        <w:t xml:space="preserve"> </w:t>
      </w:r>
      <w:r>
        <w:rPr>
          <w:rFonts w:ascii="SimSun" w:hAnsi="SimSun" w:eastAsia="SimSun" w:cs="SimSun"/>
          <w:sz w:val="24"/>
          <w:szCs w:val="24"/>
          <w:spacing w:val="4"/>
        </w:rPr>
        <w:t>。外排水量按照用水量的</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4"/>
        </w:rPr>
        <w:t>80%</w:t>
      </w:r>
      <w:r>
        <w:rPr>
          <w:rFonts w:ascii="SimSun" w:hAnsi="SimSun" w:eastAsia="SimSun" w:cs="SimSun"/>
          <w:sz w:val="24"/>
          <w:szCs w:val="24"/>
          <w:spacing w:val="4"/>
        </w:rPr>
        <w:t>计算，则外排生活污水量为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4"/>
        </w:rPr>
        <w:t>4.8m</w:t>
      </w:r>
      <w:r>
        <w:rPr>
          <w:rFonts w:ascii="Times New Roman" w:hAnsi="Times New Roman" w:eastAsia="Times New Roman" w:cs="Times New Roman"/>
          <w:sz w:val="15"/>
          <w:szCs w:val="15"/>
          <w:spacing w:val="4"/>
          <w:position w:val="8"/>
        </w:rPr>
        <w:t>3</w:t>
      </w:r>
      <w:r>
        <w:rPr>
          <w:rFonts w:ascii="Times New Roman" w:hAnsi="Times New Roman" w:eastAsia="Times New Roman" w:cs="Times New Roman"/>
          <w:sz w:val="24"/>
          <w:szCs w:val="24"/>
          <w:spacing w:val="4"/>
        </w:rPr>
        <w:t>/d</w:t>
      </w:r>
      <w:r>
        <w:rPr>
          <w:rFonts w:ascii="Times New Roman" w:hAnsi="Times New Roman" w:eastAsia="Times New Roman" w:cs="Times New Roman"/>
          <w:sz w:val="24"/>
          <w:szCs w:val="24"/>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1440m</w:t>
      </w:r>
      <w:r>
        <w:rPr>
          <w:rFonts w:ascii="Times New Roman" w:hAnsi="Times New Roman" w:eastAsia="Times New Roman" w:cs="Times New Roman"/>
          <w:sz w:val="15"/>
          <w:szCs w:val="15"/>
          <w:spacing w:val="4"/>
          <w:position w:val="7"/>
        </w:rPr>
        <w:t>3</w:t>
      </w:r>
      <w:r>
        <w:rPr>
          <w:rFonts w:ascii="Times New Roman" w:hAnsi="Times New Roman" w:eastAsia="Times New Roman" w:cs="Times New Roman"/>
          <w:sz w:val="24"/>
          <w:szCs w:val="24"/>
          <w:spacing w:val="4"/>
        </w:rPr>
        <w:t>/a</w:t>
      </w:r>
      <w:r>
        <w:rPr>
          <w:rFonts w:ascii="SimSun" w:hAnsi="SimSun" w:eastAsia="SimSun" w:cs="SimSun"/>
          <w:sz w:val="24"/>
          <w:szCs w:val="24"/>
          <w:spacing w:val="4"/>
        </w:rPr>
        <w:t>）。类比分析及参照《生活</w:t>
      </w:r>
      <w:r>
        <w:rPr>
          <w:rFonts w:ascii="SimSun" w:hAnsi="SimSun" w:eastAsia="SimSun" w:cs="SimSun"/>
          <w:sz w:val="24"/>
          <w:szCs w:val="24"/>
          <w:spacing w:val="3"/>
        </w:rPr>
        <w:t>污染源产排污系数手册》，污染物浓度为</w:t>
      </w:r>
      <w:r>
        <w:rPr>
          <w:rFonts w:ascii="SimSun" w:hAnsi="SimSun" w:eastAsia="SimSun" w:cs="SimSun"/>
          <w:sz w:val="24"/>
          <w:szCs w:val="24"/>
        </w:rPr>
        <w:t xml:space="preserve"> </w:t>
      </w:r>
      <w:r>
        <w:rPr>
          <w:rFonts w:ascii="Times New Roman" w:hAnsi="Times New Roman" w:eastAsia="Times New Roman" w:cs="Times New Roman"/>
          <w:sz w:val="24"/>
          <w:szCs w:val="24"/>
          <w:spacing w:val="-10"/>
        </w:rPr>
        <w:t>COD</w:t>
      </w:r>
      <w:r>
        <w:rPr>
          <w:rFonts w:ascii="SimSun" w:hAnsi="SimSun" w:eastAsia="SimSun" w:cs="SimSun"/>
          <w:sz w:val="24"/>
          <w:szCs w:val="24"/>
          <w:spacing w:val="-10"/>
        </w:rPr>
        <w:t>：</w:t>
      </w:r>
      <w:r>
        <w:rPr>
          <w:rFonts w:ascii="Times New Roman" w:hAnsi="Times New Roman" w:eastAsia="Times New Roman" w:cs="Times New Roman"/>
          <w:sz w:val="24"/>
          <w:szCs w:val="24"/>
          <w:spacing w:val="-10"/>
        </w:rPr>
        <w:t>350mg/L</w:t>
      </w:r>
      <w:r>
        <w:rPr>
          <w:rFonts w:ascii="SimSun" w:hAnsi="SimSun" w:eastAsia="SimSun" w:cs="SimSun"/>
          <w:sz w:val="24"/>
          <w:szCs w:val="24"/>
          <w:spacing w:val="-10"/>
        </w:rPr>
        <w:t>、</w:t>
      </w:r>
      <w:r>
        <w:rPr>
          <w:rFonts w:ascii="Times New Roman" w:hAnsi="Times New Roman" w:eastAsia="Times New Roman" w:cs="Times New Roman"/>
          <w:sz w:val="24"/>
          <w:szCs w:val="24"/>
          <w:spacing w:val="-10"/>
        </w:rPr>
        <w:t>BOD</w:t>
      </w:r>
      <w:r>
        <w:rPr>
          <w:rFonts w:ascii="Times New Roman" w:hAnsi="Times New Roman" w:eastAsia="Times New Roman" w:cs="Times New Roman"/>
          <w:sz w:val="15"/>
          <w:szCs w:val="15"/>
          <w:spacing w:val="4"/>
          <w:position w:val="-1"/>
        </w:rPr>
        <w:t>5</w:t>
      </w:r>
      <w:r>
        <w:rPr>
          <w:rFonts w:ascii="SimSun" w:hAnsi="SimSun" w:eastAsia="SimSun" w:cs="SimSun"/>
          <w:sz w:val="24"/>
          <w:szCs w:val="24"/>
          <w:spacing w:val="-11"/>
        </w:rPr>
        <w:t>：</w:t>
      </w:r>
      <w:r>
        <w:rPr>
          <w:rFonts w:ascii="Times New Roman" w:hAnsi="Times New Roman" w:eastAsia="Times New Roman" w:cs="Times New Roman"/>
          <w:sz w:val="24"/>
          <w:szCs w:val="24"/>
          <w:spacing w:val="-11"/>
        </w:rPr>
        <w:t>210mg/L</w:t>
      </w:r>
      <w:r>
        <w:rPr>
          <w:rFonts w:ascii="SimSun" w:hAnsi="SimSun" w:eastAsia="SimSun" w:cs="SimSun"/>
          <w:sz w:val="24"/>
          <w:szCs w:val="24"/>
          <w:spacing w:val="-11"/>
        </w:rPr>
        <w:t>、氨氮：</w:t>
      </w:r>
      <w:r>
        <w:rPr>
          <w:rFonts w:ascii="Times New Roman" w:hAnsi="Times New Roman" w:eastAsia="Times New Roman" w:cs="Times New Roman"/>
          <w:sz w:val="24"/>
          <w:szCs w:val="24"/>
          <w:spacing w:val="-11"/>
        </w:rPr>
        <w:t>30mg/L</w:t>
      </w:r>
      <w:r>
        <w:rPr>
          <w:rFonts w:ascii="SimSun" w:hAnsi="SimSun" w:eastAsia="SimSun" w:cs="SimSun"/>
          <w:sz w:val="24"/>
          <w:szCs w:val="24"/>
          <w:spacing w:val="-11"/>
        </w:rPr>
        <w:t>、</w:t>
      </w:r>
      <w:r>
        <w:rPr>
          <w:rFonts w:ascii="Times New Roman" w:hAnsi="Times New Roman" w:eastAsia="Times New Roman" w:cs="Times New Roman"/>
          <w:sz w:val="24"/>
          <w:szCs w:val="24"/>
          <w:spacing w:val="-11"/>
        </w:rPr>
        <w:t>S</w:t>
      </w:r>
      <w:r>
        <w:rPr>
          <w:rFonts w:ascii="Times New Roman" w:hAnsi="Times New Roman" w:eastAsia="Times New Roman" w:cs="Times New Roman"/>
          <w:sz w:val="24"/>
          <w:szCs w:val="24"/>
          <w:spacing w:val="-12"/>
        </w:rPr>
        <w:t>S</w:t>
      </w:r>
      <w:r>
        <w:rPr>
          <w:rFonts w:ascii="SimSun" w:hAnsi="SimSun" w:eastAsia="SimSun" w:cs="SimSun"/>
          <w:sz w:val="24"/>
          <w:szCs w:val="24"/>
          <w:spacing w:val="-12"/>
        </w:rPr>
        <w:t>：</w:t>
      </w:r>
      <w:r>
        <w:rPr>
          <w:rFonts w:ascii="Times New Roman" w:hAnsi="Times New Roman" w:eastAsia="Times New Roman" w:cs="Times New Roman"/>
          <w:sz w:val="24"/>
          <w:szCs w:val="24"/>
          <w:spacing w:val="-12"/>
        </w:rPr>
        <w:t>250mg/L</w:t>
      </w:r>
      <w:r>
        <w:rPr>
          <w:rFonts w:ascii="SimSun" w:hAnsi="SimSun" w:eastAsia="SimSun" w:cs="SimSun"/>
          <w:sz w:val="24"/>
          <w:szCs w:val="24"/>
          <w:spacing w:val="-12"/>
        </w:rPr>
        <w:t>、动植物油</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2"/>
        </w:rPr>
        <w:t>80mg/L</w:t>
      </w:r>
      <w:r>
        <w:rPr>
          <w:rFonts w:ascii="SimSun" w:hAnsi="SimSun" w:eastAsia="SimSun" w:cs="SimSun"/>
          <w:sz w:val="24"/>
          <w:szCs w:val="24"/>
          <w:spacing w:val="-12"/>
        </w:rPr>
        <w:t>、</w:t>
      </w:r>
      <w:r>
        <w:rPr>
          <w:rFonts w:ascii="SimSun" w:hAnsi="SimSun" w:eastAsia="SimSun" w:cs="SimSun"/>
          <w:sz w:val="24"/>
          <w:szCs w:val="24"/>
        </w:rPr>
        <w:t xml:space="preserve"> </w:t>
      </w:r>
      <w:r>
        <w:rPr>
          <w:rFonts w:ascii="SimSun" w:hAnsi="SimSun" w:eastAsia="SimSun" w:cs="SimSun"/>
          <w:sz w:val="24"/>
          <w:szCs w:val="24"/>
          <w:spacing w:val="-4"/>
        </w:rPr>
        <w:t>总磷</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4"/>
        </w:rPr>
        <w:t>5.</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4"/>
        </w:rPr>
        <w:t>12mg/L</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、总氮</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71.2mg/L</w:t>
      </w:r>
      <w:r>
        <w:rPr>
          <w:rFonts w:ascii="SimSun" w:hAnsi="SimSun" w:eastAsia="SimSun" w:cs="SimSun"/>
          <w:sz w:val="24"/>
          <w:szCs w:val="24"/>
          <w:spacing w:val="-4"/>
        </w:rPr>
        <w:t>。</w:t>
      </w:r>
    </w:p>
    <w:p>
      <w:pPr>
        <w:ind w:left="561"/>
        <w:spacing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5</w:t>
      </w:r>
      <w:r>
        <w:rPr>
          <w:rFonts w:ascii="SimSun" w:hAnsi="SimSun" w:eastAsia="SimSun" w:cs="SimSun"/>
          <w:sz w:val="24"/>
          <w:szCs w:val="24"/>
          <w:spacing w:val="-3"/>
        </w:rPr>
        <w:t>）</w:t>
      </w:r>
      <w:r>
        <w:rPr>
          <w:rFonts w:ascii="Times New Roman" w:hAnsi="Times New Roman" w:eastAsia="Times New Roman" w:cs="Times New Roman"/>
          <w:sz w:val="24"/>
          <w:szCs w:val="24"/>
          <w:spacing w:val="-3"/>
        </w:rPr>
        <w:t>TS </w:t>
      </w:r>
      <w:r>
        <w:rPr>
          <w:rFonts w:ascii="SimSun" w:hAnsi="SimSun" w:eastAsia="SimSun" w:cs="SimSun"/>
          <w:sz w:val="24"/>
          <w:szCs w:val="24"/>
          <w:spacing w:val="-3"/>
        </w:rPr>
        <w:t>调质后废水</w:t>
      </w:r>
    </w:p>
    <w:p>
      <w:pPr>
        <w:ind w:left="9" w:right="80" w:firstLine="541"/>
        <w:spacing w:before="216" w:line="383" w:lineRule="auto"/>
        <w:rPr>
          <w:rFonts w:ascii="SimSun" w:hAnsi="SimSun" w:eastAsia="SimSun" w:cs="SimSun"/>
          <w:sz w:val="24"/>
          <w:szCs w:val="24"/>
        </w:rPr>
      </w:pPr>
      <w:r>
        <w:rPr>
          <w:rFonts w:ascii="SimSun" w:hAnsi="SimSun" w:eastAsia="SimSun" w:cs="SimSun"/>
          <w:sz w:val="24"/>
          <w:szCs w:val="24"/>
          <w:spacing w:val="-4"/>
        </w:rPr>
        <w:t>本项目洗毛废水、车间地面冲洗水、生活污水需要在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TS </w:t>
      </w:r>
      <w:r>
        <w:rPr>
          <w:rFonts w:ascii="SimSun" w:hAnsi="SimSun" w:eastAsia="SimSun" w:cs="SimSun"/>
          <w:sz w:val="24"/>
          <w:szCs w:val="24"/>
          <w:spacing w:val="-4"/>
        </w:rPr>
        <w:t>调节池内加入牛羊粪</w:t>
      </w:r>
      <w:r>
        <w:rPr>
          <w:rFonts w:ascii="SimSun" w:hAnsi="SimSun" w:eastAsia="SimSun" w:cs="SimSun"/>
          <w:sz w:val="24"/>
          <w:szCs w:val="24"/>
        </w:rPr>
        <w:t xml:space="preserve"> </w:t>
      </w:r>
      <w:r>
        <w:rPr>
          <w:rFonts w:ascii="SimSun" w:hAnsi="SimSun" w:eastAsia="SimSun" w:cs="SimSun"/>
          <w:sz w:val="24"/>
          <w:szCs w:val="24"/>
          <w:spacing w:val="5"/>
        </w:rPr>
        <w:t>调节水质，使调质后水中</w:t>
      </w:r>
      <w:r>
        <w:rPr>
          <w:rFonts w:ascii="SimSun" w:hAnsi="SimSun" w:eastAsia="SimSun" w:cs="SimSun"/>
          <w:sz w:val="24"/>
          <w:szCs w:val="24"/>
          <w:spacing w:val="-35"/>
        </w:rPr>
        <w:t xml:space="preserve"> </w:t>
      </w:r>
      <w:r>
        <w:rPr>
          <w:rFonts w:ascii="Times New Roman" w:hAnsi="Times New Roman" w:eastAsia="Times New Roman" w:cs="Times New Roman"/>
          <w:sz w:val="24"/>
          <w:szCs w:val="24"/>
        </w:rPr>
        <w:t>TS</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5"/>
        </w:rPr>
        <w:t>大于</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5"/>
        </w:rPr>
        <w:t>5%</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5"/>
        </w:rPr>
        <w:t>。类比同类项目经调质后各污染物浓度为</w:t>
      </w:r>
      <w:r>
        <w:rPr>
          <w:rFonts w:ascii="SimSun" w:hAnsi="SimSun" w:eastAsia="SimSun" w:cs="SimSun"/>
          <w:sz w:val="24"/>
          <w:szCs w:val="24"/>
        </w:rPr>
        <w:t xml:space="preserve"> </w:t>
      </w:r>
      <w:r>
        <w:rPr>
          <w:rFonts w:ascii="Times New Roman" w:hAnsi="Times New Roman" w:eastAsia="Times New Roman" w:cs="Times New Roman"/>
          <w:sz w:val="24"/>
          <w:szCs w:val="24"/>
          <w:spacing w:val="-2"/>
        </w:rPr>
        <w:t>COD</w:t>
      </w:r>
      <w:r>
        <w:rPr>
          <w:rFonts w:ascii="SimSun" w:hAnsi="SimSun" w:eastAsia="SimSun" w:cs="SimSun"/>
          <w:sz w:val="24"/>
          <w:szCs w:val="24"/>
          <w:spacing w:val="-2"/>
        </w:rPr>
        <w:t>：</w:t>
      </w:r>
      <w:r>
        <w:rPr>
          <w:rFonts w:ascii="Times New Roman" w:hAnsi="Times New Roman" w:eastAsia="Times New Roman" w:cs="Times New Roman"/>
          <w:sz w:val="24"/>
          <w:szCs w:val="24"/>
          <w:spacing w:val="-2"/>
        </w:rPr>
        <w:t>15000mg/L</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、氨氮：</w:t>
      </w:r>
      <w:r>
        <w:rPr>
          <w:rFonts w:ascii="Times New Roman" w:hAnsi="Times New Roman" w:eastAsia="Times New Roman" w:cs="Times New Roman"/>
          <w:sz w:val="24"/>
          <w:szCs w:val="24"/>
          <w:spacing w:val="-2"/>
        </w:rPr>
        <w:t>1000mg/L</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、总磷：</w:t>
      </w:r>
      <w:r>
        <w:rPr>
          <w:rFonts w:ascii="Times New Roman" w:hAnsi="Times New Roman" w:eastAsia="Times New Roman" w:cs="Times New Roman"/>
          <w:sz w:val="24"/>
          <w:szCs w:val="24"/>
          <w:spacing w:val="-2"/>
        </w:rPr>
        <w:t>300mg/L</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、总氮：</w:t>
      </w:r>
      <w:r>
        <w:rPr>
          <w:rFonts w:ascii="Times New Roman" w:hAnsi="Times New Roman" w:eastAsia="Times New Roman" w:cs="Times New Roman"/>
          <w:sz w:val="24"/>
          <w:szCs w:val="24"/>
          <w:spacing w:val="-2"/>
        </w:rPr>
        <w:t>50mg/</w:t>
      </w:r>
      <w:r>
        <w:rPr>
          <w:rFonts w:ascii="Times New Roman" w:hAnsi="Times New Roman" w:eastAsia="Times New Roman" w:cs="Times New Roman"/>
          <w:sz w:val="24"/>
          <w:szCs w:val="24"/>
          <w:spacing w:val="-3"/>
        </w:rPr>
        <w:t>L</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BOD</w:t>
      </w:r>
      <w:r>
        <w:rPr>
          <w:rFonts w:ascii="Times New Roman" w:hAnsi="Times New Roman" w:eastAsia="Times New Roman" w:cs="Times New Roman"/>
          <w:sz w:val="15"/>
          <w:szCs w:val="15"/>
          <w:spacing w:val="-3"/>
          <w:position w:val="-1"/>
        </w:rPr>
        <w:t>5 </w:t>
      </w:r>
      <w:r>
        <w:rPr>
          <w:rFonts w:ascii="SimSun" w:hAnsi="SimSun" w:eastAsia="SimSun" w:cs="SimSun"/>
          <w:sz w:val="24"/>
          <w:szCs w:val="24"/>
          <w:spacing w:val="-3"/>
        </w:rPr>
        <w:t>：</w:t>
      </w:r>
      <w:r>
        <w:rPr>
          <w:rFonts w:ascii="SimSun" w:hAnsi="SimSun" w:eastAsia="SimSun" w:cs="SimSun"/>
          <w:sz w:val="24"/>
          <w:szCs w:val="24"/>
        </w:rPr>
        <w:t xml:space="preserve"> </w:t>
      </w:r>
      <w:r>
        <w:rPr>
          <w:rFonts w:ascii="Times New Roman" w:hAnsi="Times New Roman" w:eastAsia="Times New Roman" w:cs="Times New Roman"/>
          <w:sz w:val="24"/>
          <w:szCs w:val="24"/>
          <w:spacing w:val="-2"/>
        </w:rPr>
        <w:t>10000mg/L</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SS</w:t>
      </w:r>
      <w:r>
        <w:rPr>
          <w:rFonts w:ascii="SimSun" w:hAnsi="SimSun" w:eastAsia="SimSun" w:cs="SimSun"/>
          <w:sz w:val="24"/>
          <w:szCs w:val="24"/>
          <w:spacing w:val="-2"/>
        </w:rPr>
        <w:t>：</w:t>
      </w:r>
      <w:r>
        <w:rPr>
          <w:rFonts w:ascii="Times New Roman" w:hAnsi="Times New Roman" w:eastAsia="Times New Roman" w:cs="Times New Roman"/>
          <w:sz w:val="24"/>
          <w:szCs w:val="24"/>
          <w:spacing w:val="-2"/>
        </w:rPr>
        <w:t>12000mg/L</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、动植物油：</w:t>
      </w:r>
      <w:r>
        <w:rPr>
          <w:rFonts w:ascii="Times New Roman" w:hAnsi="Times New Roman" w:eastAsia="Times New Roman" w:cs="Times New Roman"/>
          <w:sz w:val="24"/>
          <w:szCs w:val="24"/>
          <w:spacing w:val="-2"/>
        </w:rPr>
        <w:t>50mg/L</w:t>
      </w:r>
      <w:r>
        <w:rPr>
          <w:rFonts w:ascii="SimSun" w:hAnsi="SimSun" w:eastAsia="SimSun" w:cs="SimSun"/>
          <w:sz w:val="24"/>
          <w:szCs w:val="24"/>
          <w:spacing w:val="-2"/>
        </w:rPr>
        <w:t>。</w:t>
      </w:r>
    </w:p>
    <w:p>
      <w:pPr>
        <w:ind w:left="550"/>
        <w:spacing w:before="6" w:line="219" w:lineRule="auto"/>
        <w:rPr>
          <w:rFonts w:ascii="SimSun" w:hAnsi="SimSun" w:eastAsia="SimSun" w:cs="SimSun"/>
          <w:sz w:val="24"/>
          <w:szCs w:val="24"/>
        </w:rPr>
      </w:pPr>
      <w:r>
        <w:rPr>
          <w:rFonts w:ascii="SimSun" w:hAnsi="SimSun" w:eastAsia="SimSun" w:cs="SimSun"/>
          <w:sz w:val="24"/>
          <w:szCs w:val="24"/>
          <w:spacing w:val="-2"/>
        </w:rPr>
        <w:t>本项目废水具体产排污情况见表</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2"/>
        </w:rPr>
        <w:t>3.5-8</w:t>
      </w:r>
      <w:r>
        <w:rPr>
          <w:rFonts w:ascii="SimSun" w:hAnsi="SimSun" w:eastAsia="SimSun" w:cs="SimSun"/>
          <w:sz w:val="24"/>
          <w:szCs w:val="24"/>
          <w:spacing w:val="-2"/>
        </w:rPr>
        <w:t>。</w:t>
      </w:r>
    </w:p>
    <w:p>
      <w:pPr>
        <w:spacing w:line="219" w:lineRule="auto"/>
        <w:sectPr>
          <w:footerReference w:type="default" r:id="rId109"/>
          <w:pgSz w:w="11907" w:h="16840"/>
          <w:pgMar w:top="1567" w:right="1621" w:bottom="1481" w:left="1701" w:header="1221" w:footer="1247" w:gutter="0"/>
        </w:sectPr>
        <w:rPr>
          <w:rFonts w:ascii="SimSun" w:hAnsi="SimSun" w:eastAsia="SimSun" w:cs="SimSun"/>
          <w:sz w:val="24"/>
          <w:szCs w:val="24"/>
        </w:rPr>
      </w:pPr>
    </w:p>
    <w:p>
      <w:pPr>
        <w:ind w:left="4036"/>
        <w:spacing w:before="168" w:line="212" w:lineRule="auto"/>
        <w:rPr>
          <w:rFonts w:ascii="SimSun" w:hAnsi="SimSun" w:eastAsia="SimSun" w:cs="SimSun"/>
          <w:sz w:val="24"/>
          <w:szCs w:val="24"/>
        </w:rPr>
      </w:pPr>
      <w:r>
        <w:pict>
          <v:shape id="_x0000_s516" style="position:absolute;margin-left:85.05pt;margin-top:78.87pt;mso-position-vertical-relative:page;mso-position-horizontal-relative:page;width:671.95pt;height:0.75pt;z-index:251884544;" o:allowincell="f" fillcolor="#000000" filled="true" stroked="false" coordsize="13439,15" coordorigin="0,0" path="m,l13438,0l13438,14l0,14l0,0xe"/>
        </w:pict>
      </w:r>
      <w:r>
        <w:rPr>
          <w:rFonts w:ascii="SimSun" w:hAnsi="SimSun" w:eastAsia="SimSun" w:cs="SimSun"/>
          <w:sz w:val="24"/>
          <w:szCs w:val="24"/>
          <w:b/>
          <w:bCs/>
          <w:spacing w:val="-1"/>
        </w:rPr>
        <w:t>表</w:t>
      </w:r>
      <w:r>
        <w:rPr>
          <w:rFonts w:ascii="Times New Roman" w:hAnsi="Times New Roman" w:eastAsia="Times New Roman" w:cs="Times New Roman"/>
          <w:sz w:val="24"/>
          <w:szCs w:val="24"/>
          <w:b/>
          <w:bCs/>
          <w:spacing w:val="-1"/>
        </w:rPr>
        <w:t>3.5-8      </w:t>
      </w:r>
      <w:r>
        <w:rPr>
          <w:rFonts w:ascii="SimSun" w:hAnsi="SimSun" w:eastAsia="SimSun" w:cs="SimSun"/>
          <w:sz w:val="24"/>
          <w:szCs w:val="24"/>
          <w:b/>
          <w:bCs/>
          <w:spacing w:val="-1"/>
        </w:rPr>
        <w:t>本项目废水产生情况汇</w:t>
      </w:r>
      <w:r>
        <w:rPr>
          <w:rFonts w:ascii="SimSun" w:hAnsi="SimSun" w:eastAsia="SimSun" w:cs="SimSun"/>
          <w:sz w:val="24"/>
          <w:szCs w:val="24"/>
          <w:b/>
          <w:bCs/>
          <w:spacing w:val="-2"/>
        </w:rPr>
        <w:t>总表（</w:t>
      </w:r>
      <w:r>
        <w:rPr>
          <w:rFonts w:ascii="Times New Roman" w:hAnsi="Times New Roman" w:eastAsia="Times New Roman" w:cs="Times New Roman"/>
          <w:sz w:val="24"/>
          <w:szCs w:val="24"/>
          <w:b/>
          <w:bCs/>
          <w:spacing w:val="-2"/>
        </w:rPr>
        <w:t>pH</w:t>
      </w:r>
      <w:r>
        <w:rPr>
          <w:rFonts w:ascii="SimSun" w:hAnsi="SimSun" w:eastAsia="SimSun" w:cs="SimSun"/>
          <w:sz w:val="24"/>
          <w:szCs w:val="24"/>
          <w:b/>
          <w:bCs/>
          <w:spacing w:val="-2"/>
        </w:rPr>
        <w:t>无量纲）</w:t>
      </w:r>
    </w:p>
    <w:tbl>
      <w:tblPr>
        <w:tblStyle w:val="TableNormal"/>
        <w:tblW w:w="13568"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07"/>
        <w:gridCol w:w="1500"/>
        <w:gridCol w:w="1330"/>
        <w:gridCol w:w="1627"/>
        <w:gridCol w:w="1986"/>
        <w:gridCol w:w="1175"/>
        <w:gridCol w:w="1977"/>
        <w:gridCol w:w="3166"/>
      </w:tblGrid>
      <w:tr>
        <w:trPr>
          <w:trHeight w:val="554" w:hRule="atLeast"/>
        </w:trPr>
        <w:tc>
          <w:tcPr>
            <w:tcW w:w="807" w:type="dxa"/>
            <w:vAlign w:val="top"/>
          </w:tcPr>
          <w:p>
            <w:pPr>
              <w:pStyle w:val="TableText"/>
              <w:ind w:left="200"/>
              <w:spacing w:before="170" w:line="228" w:lineRule="auto"/>
              <w:rPr/>
            </w:pPr>
            <w:r>
              <w:rPr>
                <w:spacing w:val="3"/>
              </w:rPr>
              <w:t>编号</w:t>
            </w:r>
          </w:p>
        </w:tc>
        <w:tc>
          <w:tcPr>
            <w:tcW w:w="1500" w:type="dxa"/>
            <w:vAlign w:val="top"/>
          </w:tcPr>
          <w:p>
            <w:pPr>
              <w:pStyle w:val="TableText"/>
              <w:ind w:left="439"/>
              <w:spacing w:before="171" w:line="228" w:lineRule="auto"/>
              <w:rPr/>
            </w:pPr>
            <w:r>
              <w:rPr>
                <w:spacing w:val="6"/>
              </w:rPr>
              <w:t>污染源</w:t>
            </w:r>
          </w:p>
        </w:tc>
        <w:tc>
          <w:tcPr>
            <w:tcW w:w="1330" w:type="dxa"/>
            <w:vAlign w:val="top"/>
          </w:tcPr>
          <w:p>
            <w:pPr>
              <w:pStyle w:val="TableText"/>
              <w:ind w:left="353"/>
              <w:spacing w:before="36" w:line="228" w:lineRule="auto"/>
              <w:rPr/>
            </w:pPr>
            <w:r>
              <w:rPr>
                <w:spacing w:val="7"/>
              </w:rPr>
              <w:t>废水量</w:t>
            </w:r>
          </w:p>
          <w:p>
            <w:pPr>
              <w:pStyle w:val="TableText"/>
              <w:ind w:left="277"/>
              <w:spacing w:before="24" w:line="218" w:lineRule="auto"/>
              <w:rPr/>
            </w:pPr>
            <w:r>
              <w:rPr>
                <w:spacing w:val="1"/>
              </w:rPr>
              <w:t>（</w:t>
            </w:r>
            <w:r>
              <w:rPr>
                <w:rFonts w:ascii="Times New Roman" w:hAnsi="Times New Roman" w:eastAsia="Times New Roman" w:cs="Times New Roman"/>
                <w:spacing w:val="1"/>
              </w:rPr>
              <w:t>m</w:t>
            </w:r>
            <w:r>
              <w:rPr>
                <w:rFonts w:ascii="Times New Roman" w:hAnsi="Times New Roman" w:eastAsia="Times New Roman" w:cs="Times New Roman"/>
                <w:sz w:val="13"/>
                <w:szCs w:val="13"/>
                <w:spacing w:val="1"/>
                <w:position w:val="6"/>
              </w:rPr>
              <w:t>3</w:t>
            </w:r>
            <w:r>
              <w:rPr>
                <w:rFonts w:ascii="Times New Roman" w:hAnsi="Times New Roman" w:eastAsia="Times New Roman" w:cs="Times New Roman"/>
                <w:spacing w:val="1"/>
              </w:rPr>
              <w:t>/a</w:t>
            </w:r>
            <w:r>
              <w:rPr>
                <w:spacing w:val="1"/>
              </w:rPr>
              <w:t>）</w:t>
            </w:r>
          </w:p>
        </w:tc>
        <w:tc>
          <w:tcPr>
            <w:tcW w:w="1627" w:type="dxa"/>
            <w:vAlign w:val="top"/>
          </w:tcPr>
          <w:p>
            <w:pPr>
              <w:pStyle w:val="TableText"/>
              <w:ind w:left="295"/>
              <w:spacing w:before="171" w:line="228" w:lineRule="auto"/>
              <w:rPr/>
            </w:pPr>
            <w:r>
              <w:rPr>
                <w:spacing w:val="7"/>
              </w:rPr>
              <w:t>主要污染物</w:t>
            </w:r>
          </w:p>
        </w:tc>
        <w:tc>
          <w:tcPr>
            <w:tcW w:w="1986" w:type="dxa"/>
            <w:vAlign w:val="top"/>
          </w:tcPr>
          <w:p>
            <w:pPr>
              <w:pStyle w:val="TableText"/>
              <w:ind w:left="142"/>
              <w:spacing w:before="170" w:line="221" w:lineRule="auto"/>
              <w:rPr/>
            </w:pPr>
            <w:r>
              <w:rPr>
                <w:spacing w:val="7"/>
              </w:rPr>
              <w:t>产生浓度（</w:t>
            </w:r>
            <w:r>
              <w:rPr>
                <w:rFonts w:ascii="Times New Roman" w:hAnsi="Times New Roman" w:eastAsia="Times New Roman" w:cs="Times New Roman"/>
              </w:rPr>
              <w:t>mg</w:t>
            </w:r>
            <w:r>
              <w:rPr>
                <w:rFonts w:ascii="Times New Roman" w:hAnsi="Times New Roman" w:eastAsia="Times New Roman" w:cs="Times New Roman"/>
                <w:spacing w:val="7"/>
              </w:rPr>
              <w:t>/L</w:t>
            </w:r>
            <w:r>
              <w:rPr>
                <w:spacing w:val="7"/>
              </w:rPr>
              <w:t>）</w:t>
            </w:r>
          </w:p>
        </w:tc>
        <w:tc>
          <w:tcPr>
            <w:tcW w:w="6318" w:type="dxa"/>
            <w:vAlign w:val="top"/>
            <w:gridSpan w:val="3"/>
          </w:tcPr>
          <w:p>
            <w:pPr>
              <w:pStyle w:val="TableText"/>
              <w:ind w:left="2323"/>
              <w:spacing w:before="170" w:line="227" w:lineRule="auto"/>
              <w:rPr/>
            </w:pPr>
            <w:r>
              <w:rPr>
                <w:spacing w:val="8"/>
              </w:rPr>
              <w:t>拟处置方案及去向</w:t>
            </w:r>
          </w:p>
        </w:tc>
      </w:tr>
      <w:tr>
        <w:trPr>
          <w:trHeight w:val="2059" w:hRule="atLeast"/>
        </w:trPr>
        <w:tc>
          <w:tcPr>
            <w:tcW w:w="807" w:type="dxa"/>
            <w:vAlign w:val="top"/>
          </w:tcPr>
          <w:p>
            <w:pPr>
              <w:spacing w:line="299" w:lineRule="auto"/>
              <w:rPr>
                <w:rFonts w:ascii="Arial"/>
                <w:sz w:val="21"/>
              </w:rPr>
            </w:pPr>
            <w:r/>
          </w:p>
          <w:p>
            <w:pPr>
              <w:spacing w:line="299" w:lineRule="auto"/>
              <w:rPr>
                <w:rFonts w:ascii="Arial"/>
                <w:sz w:val="21"/>
              </w:rPr>
            </w:pPr>
            <w:r/>
          </w:p>
          <w:p>
            <w:pPr>
              <w:spacing w:line="300" w:lineRule="auto"/>
              <w:rPr>
                <w:rFonts w:ascii="Arial"/>
                <w:sz w:val="21"/>
              </w:rPr>
            </w:pPr>
            <w:r/>
          </w:p>
          <w:p>
            <w:pPr>
              <w:ind w:left="214"/>
              <w:spacing w:before="57" w:line="20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W</w:t>
            </w:r>
            <w:r>
              <w:rPr>
                <w:rFonts w:ascii="Times New Roman" w:hAnsi="Times New Roman" w:eastAsia="Times New Roman" w:cs="Times New Roman"/>
                <w:sz w:val="13"/>
                <w:szCs w:val="13"/>
                <w:spacing w:val="3"/>
              </w:rPr>
              <w:t>1-1</w:t>
            </w:r>
          </w:p>
        </w:tc>
        <w:tc>
          <w:tcPr>
            <w:tcW w:w="1500" w:type="dxa"/>
            <w:vAlign w:val="top"/>
          </w:tcPr>
          <w:p>
            <w:pPr>
              <w:spacing w:line="283" w:lineRule="auto"/>
              <w:rPr>
                <w:rFonts w:ascii="Arial"/>
                <w:sz w:val="21"/>
              </w:rPr>
            </w:pPr>
            <w:r/>
          </w:p>
          <w:p>
            <w:pPr>
              <w:spacing w:line="284" w:lineRule="auto"/>
              <w:rPr>
                <w:rFonts w:ascii="Arial"/>
                <w:sz w:val="21"/>
              </w:rPr>
            </w:pPr>
            <w:r/>
          </w:p>
          <w:p>
            <w:pPr>
              <w:spacing w:line="284" w:lineRule="auto"/>
              <w:rPr>
                <w:rFonts w:ascii="Arial"/>
                <w:sz w:val="21"/>
              </w:rPr>
            </w:pPr>
            <w:r/>
          </w:p>
          <w:p>
            <w:pPr>
              <w:pStyle w:val="TableText"/>
              <w:ind w:left="334"/>
              <w:spacing w:before="65" w:line="228" w:lineRule="auto"/>
              <w:rPr/>
            </w:pPr>
            <w:r>
              <w:rPr>
                <w:spacing w:val="7"/>
              </w:rPr>
              <w:t>洗毛废水</w:t>
            </w:r>
          </w:p>
        </w:tc>
        <w:tc>
          <w:tcPr>
            <w:tcW w:w="1330" w:type="dxa"/>
            <w:vAlign w:val="top"/>
          </w:tcPr>
          <w:p>
            <w:pPr>
              <w:spacing w:line="298" w:lineRule="auto"/>
              <w:rPr>
                <w:rFonts w:ascii="Arial"/>
                <w:sz w:val="21"/>
              </w:rPr>
            </w:pPr>
            <w:r/>
          </w:p>
          <w:p>
            <w:pPr>
              <w:spacing w:line="298" w:lineRule="auto"/>
              <w:rPr>
                <w:rFonts w:ascii="Arial"/>
                <w:sz w:val="21"/>
              </w:rPr>
            </w:pPr>
            <w:r/>
          </w:p>
          <w:p>
            <w:pPr>
              <w:spacing w:line="299" w:lineRule="auto"/>
              <w:rPr>
                <w:rFonts w:ascii="Arial"/>
                <w:sz w:val="21"/>
              </w:rPr>
            </w:pPr>
            <w:r/>
          </w:p>
          <w:p>
            <w:pPr>
              <w:ind w:left="402"/>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40500</w:t>
            </w:r>
          </w:p>
        </w:tc>
        <w:tc>
          <w:tcPr>
            <w:tcW w:w="1627" w:type="dxa"/>
            <w:vAlign w:val="top"/>
          </w:tcPr>
          <w:p>
            <w:pPr>
              <w:ind w:left="681"/>
              <w:spacing w:before="56"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pH</w:t>
            </w:r>
          </w:p>
          <w:p>
            <w:pPr>
              <w:ind w:left="542"/>
              <w:spacing w:before="51"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COD</w:t>
            </w:r>
            <w:r>
              <w:rPr>
                <w:rFonts w:ascii="Times New Roman" w:hAnsi="Times New Roman" w:eastAsia="Times New Roman" w:cs="Times New Roman"/>
                <w:sz w:val="13"/>
                <w:szCs w:val="13"/>
                <w:spacing w:val="3"/>
                <w:position w:val="-1"/>
              </w:rPr>
              <w:t>cr</w:t>
            </w:r>
          </w:p>
          <w:p>
            <w:pPr>
              <w:ind w:left="557"/>
              <w:spacing w:before="46"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5"/>
              </w:rPr>
              <w:t>BOD</w:t>
            </w:r>
            <w:r>
              <w:rPr>
                <w:rFonts w:ascii="Times New Roman" w:hAnsi="Times New Roman" w:eastAsia="Times New Roman" w:cs="Times New Roman"/>
                <w:sz w:val="13"/>
                <w:szCs w:val="13"/>
                <w:spacing w:val="5"/>
                <w:position w:val="-1"/>
              </w:rPr>
              <w:t>5</w:t>
            </w:r>
          </w:p>
          <w:p>
            <w:pPr>
              <w:ind w:left="706"/>
              <w:spacing w:before="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SS</w:t>
            </w:r>
          </w:p>
          <w:p>
            <w:pPr>
              <w:pStyle w:val="TableText"/>
              <w:ind w:left="608"/>
              <w:spacing w:before="33" w:line="227" w:lineRule="auto"/>
              <w:rPr/>
            </w:pPr>
            <w:r>
              <w:rPr>
                <w:spacing w:val="4"/>
              </w:rPr>
              <w:t>氨氮</w:t>
            </w:r>
          </w:p>
          <w:p>
            <w:pPr>
              <w:pStyle w:val="TableText"/>
              <w:ind w:left="613"/>
              <w:spacing w:before="28" w:line="228" w:lineRule="auto"/>
              <w:rPr/>
            </w:pPr>
            <w:r>
              <w:rPr>
                <w:spacing w:val="2"/>
              </w:rPr>
              <w:t>总磷</w:t>
            </w:r>
          </w:p>
          <w:p>
            <w:pPr>
              <w:pStyle w:val="TableText"/>
              <w:ind w:left="613"/>
              <w:spacing w:before="24" w:line="227" w:lineRule="auto"/>
              <w:rPr/>
            </w:pPr>
            <w:r>
              <w:rPr>
                <w:spacing w:val="2"/>
              </w:rPr>
              <w:t>总氮</w:t>
            </w:r>
          </w:p>
          <w:p>
            <w:pPr>
              <w:pStyle w:val="TableText"/>
              <w:ind w:left="400"/>
              <w:spacing w:before="26" w:line="218" w:lineRule="auto"/>
              <w:rPr/>
            </w:pPr>
            <w:r>
              <w:rPr>
                <w:spacing w:val="7"/>
              </w:rPr>
              <w:t>动植物油</w:t>
            </w:r>
          </w:p>
        </w:tc>
        <w:tc>
          <w:tcPr>
            <w:tcW w:w="1986" w:type="dxa"/>
            <w:vAlign w:val="top"/>
          </w:tcPr>
          <w:p>
            <w:pPr>
              <w:ind w:left="837"/>
              <w:spacing w:before="11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6~8</w:t>
            </w:r>
          </w:p>
          <w:p>
            <w:pPr>
              <w:ind w:left="724"/>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~9378</w:t>
            </w:r>
          </w:p>
          <w:p>
            <w:pPr>
              <w:ind w:left="779"/>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~720</w:t>
            </w:r>
          </w:p>
          <w:p>
            <w:pPr>
              <w:ind w:left="779"/>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~700</w:t>
            </w:r>
          </w:p>
          <w:p>
            <w:pPr>
              <w:ind w:left="700"/>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w:t>
            </w:r>
            <w:r>
              <w:rPr>
                <w:rFonts w:ascii="Times New Roman" w:hAnsi="Times New Roman" w:eastAsia="Times New Roman" w:cs="Times New Roman"/>
                <w:sz w:val="20"/>
                <w:szCs w:val="20"/>
                <w:spacing w:val="-21"/>
              </w:rPr>
              <w:t xml:space="preserve"> </w:t>
            </w:r>
            <w:r>
              <w:rPr>
                <w:rFonts w:ascii="Times New Roman" w:hAnsi="Times New Roman" w:eastAsia="Times New Roman" w:cs="Times New Roman"/>
                <w:sz w:val="20"/>
                <w:szCs w:val="20"/>
                <w:spacing w:val="-1"/>
              </w:rPr>
              <w:t>118.6</w:t>
            </w:r>
          </w:p>
          <w:p>
            <w:pPr>
              <w:ind w:left="779"/>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~219</w:t>
            </w:r>
          </w:p>
          <w:p>
            <w:pPr>
              <w:ind w:left="753"/>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~7.96</w:t>
            </w:r>
          </w:p>
          <w:p>
            <w:pPr>
              <w:ind w:left="830"/>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~50</w:t>
            </w:r>
          </w:p>
        </w:tc>
        <w:tc>
          <w:tcPr>
            <w:tcW w:w="1175" w:type="dxa"/>
            <w:vAlign w:val="top"/>
            <w:vMerge w:val="restart"/>
            <w:tcBorders>
              <w:bottom w:val="nil"/>
            </w:tcBorders>
          </w:tcPr>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pStyle w:val="TableText"/>
              <w:ind w:left="71"/>
              <w:spacing w:before="65" w:line="228" w:lineRule="auto"/>
              <w:rPr/>
            </w:pPr>
            <w:r>
              <w:rPr>
                <w:spacing w:val="7"/>
              </w:rPr>
              <w:t>调质后废水</w:t>
            </w:r>
          </w:p>
        </w:tc>
        <w:tc>
          <w:tcPr>
            <w:tcW w:w="1977" w:type="dxa"/>
            <w:vAlign w:val="top"/>
            <w:vMerge w:val="restart"/>
            <w:tcBorders>
              <w:bottom w:val="nil"/>
            </w:tcBorders>
          </w:tcPr>
          <w:p>
            <w:pPr>
              <w:spacing w:line="268" w:lineRule="auto"/>
              <w:rPr>
                <w:rFonts w:ascii="Arial"/>
                <w:sz w:val="21"/>
              </w:rPr>
            </w:pPr>
            <w:r/>
          </w:p>
          <w:p>
            <w:pPr>
              <w:spacing w:line="268" w:lineRule="auto"/>
              <w:rPr>
                <w:rFonts w:ascii="Arial"/>
                <w:sz w:val="21"/>
              </w:rPr>
            </w:pPr>
            <w:r/>
          </w:p>
          <w:p>
            <w:pPr>
              <w:spacing w:line="268" w:lineRule="auto"/>
              <w:rPr>
                <w:rFonts w:ascii="Arial"/>
                <w:sz w:val="21"/>
              </w:rPr>
            </w:pPr>
            <w:r/>
          </w:p>
          <w:p>
            <w:pPr>
              <w:pStyle w:val="TableText"/>
              <w:ind w:left="613"/>
              <w:spacing w:before="65" w:line="221" w:lineRule="auto"/>
              <w:rPr>
                <w:rFonts w:ascii="Times New Roman" w:hAnsi="Times New Roman" w:eastAsia="Times New Roman" w:cs="Times New Roman"/>
              </w:rPr>
            </w:pPr>
            <w:r>
              <w:rPr>
                <w:rFonts w:ascii="Times New Roman" w:hAnsi="Times New Roman" w:eastAsia="Times New Roman" w:cs="Times New Roman"/>
              </w:rPr>
              <w:t>pH</w:t>
            </w:r>
            <w:r>
              <w:rPr>
                <w:spacing w:val="8"/>
              </w:rPr>
              <w:t>：</w:t>
            </w:r>
            <w:r>
              <w:rPr>
                <w:rFonts w:ascii="Times New Roman" w:hAnsi="Times New Roman" w:eastAsia="Times New Roman" w:cs="Times New Roman"/>
                <w:spacing w:val="8"/>
              </w:rPr>
              <w:t>6-8</w:t>
            </w:r>
          </w:p>
          <w:p>
            <w:pPr>
              <w:pStyle w:val="TableText"/>
              <w:ind w:left="125"/>
              <w:spacing w:before="34" w:line="221" w:lineRule="auto"/>
              <w:rPr>
                <w:rFonts w:ascii="Times New Roman" w:hAnsi="Times New Roman" w:eastAsia="Times New Roman" w:cs="Times New Roman"/>
              </w:rPr>
            </w:pPr>
            <w:r>
              <w:rPr>
                <w:rFonts w:ascii="Times New Roman" w:hAnsi="Times New Roman" w:eastAsia="Times New Roman" w:cs="Times New Roman"/>
              </w:rPr>
              <w:t>COD</w:t>
            </w:r>
            <w:r>
              <w:rPr>
                <w:rFonts w:ascii="Times New Roman" w:hAnsi="Times New Roman" w:eastAsia="Times New Roman" w:cs="Times New Roman"/>
                <w:sz w:val="13"/>
                <w:szCs w:val="13"/>
                <w:position w:val="-1"/>
              </w:rPr>
              <w:t>cr</w:t>
            </w:r>
            <w:r>
              <w:rPr>
                <w:rFonts w:ascii="Times New Roman" w:hAnsi="Times New Roman" w:eastAsia="Times New Roman" w:cs="Times New Roman"/>
                <w:sz w:val="13"/>
                <w:szCs w:val="13"/>
                <w:spacing w:val="-8"/>
                <w:position w:val="-1"/>
              </w:rPr>
              <w:t xml:space="preserve"> </w:t>
            </w:r>
            <w:r>
              <w:rPr>
                <w:spacing w:val="6"/>
              </w:rPr>
              <w:t>：</w:t>
            </w:r>
            <w:r>
              <w:rPr>
                <w:rFonts w:ascii="Times New Roman" w:hAnsi="Times New Roman" w:eastAsia="Times New Roman" w:cs="Times New Roman"/>
                <w:spacing w:val="6"/>
              </w:rPr>
              <w:t>15000</w:t>
            </w:r>
            <w:r>
              <w:rPr>
                <w:rFonts w:ascii="Times New Roman" w:hAnsi="Times New Roman" w:eastAsia="Times New Roman" w:cs="Times New Roman"/>
              </w:rPr>
              <w:t>mg</w:t>
            </w:r>
            <w:r>
              <w:rPr>
                <w:rFonts w:ascii="Times New Roman" w:hAnsi="Times New Roman" w:eastAsia="Times New Roman" w:cs="Times New Roman"/>
                <w:spacing w:val="6"/>
              </w:rPr>
              <w:t>/L</w:t>
            </w:r>
          </w:p>
          <w:p>
            <w:pPr>
              <w:pStyle w:val="TableText"/>
              <w:ind w:left="288" w:right="135" w:hanging="148"/>
              <w:spacing w:before="32" w:line="242" w:lineRule="auto"/>
              <w:rPr>
                <w:rFonts w:ascii="Times New Roman" w:hAnsi="Times New Roman" w:eastAsia="Times New Roman" w:cs="Times New Roman"/>
              </w:rPr>
            </w:pPr>
            <w:r>
              <w:rPr>
                <w:rFonts w:ascii="Times New Roman" w:hAnsi="Times New Roman" w:eastAsia="Times New Roman" w:cs="Times New Roman"/>
              </w:rPr>
              <w:t>BOD</w:t>
            </w:r>
            <w:r>
              <w:rPr>
                <w:rFonts w:ascii="Times New Roman" w:hAnsi="Times New Roman" w:eastAsia="Times New Roman" w:cs="Times New Roman"/>
                <w:sz w:val="13"/>
                <w:szCs w:val="13"/>
                <w:spacing w:val="5"/>
                <w:position w:val="-1"/>
              </w:rPr>
              <w:t>5</w:t>
            </w:r>
            <w:r>
              <w:rPr>
                <w:rFonts w:ascii="Times New Roman" w:hAnsi="Times New Roman" w:eastAsia="Times New Roman" w:cs="Times New Roman"/>
                <w:sz w:val="13"/>
                <w:szCs w:val="13"/>
                <w:spacing w:val="-4"/>
                <w:position w:val="-1"/>
              </w:rPr>
              <w:t xml:space="preserve"> </w:t>
            </w:r>
            <w:r>
              <w:rPr>
                <w:spacing w:val="5"/>
              </w:rPr>
              <w:t>：</w:t>
            </w:r>
            <w:r>
              <w:rPr>
                <w:rFonts w:ascii="Times New Roman" w:hAnsi="Times New Roman" w:eastAsia="Times New Roman" w:cs="Times New Roman"/>
                <w:spacing w:val="5"/>
              </w:rPr>
              <w:t>10000</w:t>
            </w:r>
            <w:r>
              <w:rPr>
                <w:rFonts w:ascii="Times New Roman" w:hAnsi="Times New Roman" w:eastAsia="Times New Roman" w:cs="Times New Roman"/>
              </w:rPr>
              <w:t>mg</w:t>
            </w:r>
            <w:r>
              <w:rPr>
                <w:rFonts w:ascii="Times New Roman" w:hAnsi="Times New Roman" w:eastAsia="Times New Roman" w:cs="Times New Roman"/>
                <w:spacing w:val="5"/>
              </w:rPr>
              <w:t>/L</w:t>
            </w:r>
            <w:r>
              <w:rPr>
                <w:rFonts w:ascii="Times New Roman" w:hAnsi="Times New Roman" w:eastAsia="Times New Roman" w:cs="Times New Roman"/>
              </w:rPr>
              <w:t xml:space="preserve"> </w:t>
            </w:r>
            <w:r>
              <w:rPr>
                <w:rFonts w:ascii="Times New Roman" w:hAnsi="Times New Roman" w:eastAsia="Times New Roman" w:cs="Times New Roman"/>
              </w:rPr>
              <w:t>SS</w:t>
            </w:r>
            <w:r>
              <w:rPr>
                <w:spacing w:val="6"/>
              </w:rPr>
              <w:t>：</w:t>
            </w:r>
            <w:r>
              <w:rPr>
                <w:rFonts w:ascii="Times New Roman" w:hAnsi="Times New Roman" w:eastAsia="Times New Roman" w:cs="Times New Roman"/>
                <w:spacing w:val="6"/>
              </w:rPr>
              <w:t>12000</w:t>
            </w:r>
            <w:r>
              <w:rPr>
                <w:rFonts w:ascii="Times New Roman" w:hAnsi="Times New Roman" w:eastAsia="Times New Roman" w:cs="Times New Roman"/>
              </w:rPr>
              <w:t>mg</w:t>
            </w:r>
            <w:r>
              <w:rPr>
                <w:rFonts w:ascii="Times New Roman" w:hAnsi="Times New Roman" w:eastAsia="Times New Roman" w:cs="Times New Roman"/>
                <w:spacing w:val="6"/>
              </w:rPr>
              <w:t>/L</w:t>
            </w:r>
          </w:p>
          <w:p>
            <w:pPr>
              <w:pStyle w:val="TableText"/>
              <w:ind w:left="243"/>
              <w:spacing w:before="20" w:line="221" w:lineRule="auto"/>
              <w:rPr>
                <w:rFonts w:ascii="Times New Roman" w:hAnsi="Times New Roman" w:eastAsia="Times New Roman" w:cs="Times New Roman"/>
              </w:rPr>
            </w:pPr>
            <w:r>
              <w:rPr>
                <w:spacing w:val="6"/>
              </w:rPr>
              <w:t>氨氮：</w:t>
            </w:r>
            <w:r>
              <w:rPr>
                <w:rFonts w:ascii="Times New Roman" w:hAnsi="Times New Roman" w:eastAsia="Times New Roman" w:cs="Times New Roman"/>
                <w:spacing w:val="6"/>
              </w:rPr>
              <w:t>1000</w:t>
            </w:r>
            <w:r>
              <w:rPr>
                <w:rFonts w:ascii="Times New Roman" w:hAnsi="Times New Roman" w:eastAsia="Times New Roman" w:cs="Times New Roman"/>
              </w:rPr>
              <w:t>mg</w:t>
            </w:r>
            <w:r>
              <w:rPr>
                <w:rFonts w:ascii="Times New Roman" w:hAnsi="Times New Roman" w:eastAsia="Times New Roman" w:cs="Times New Roman"/>
                <w:spacing w:val="6"/>
              </w:rPr>
              <w:t>/L</w:t>
            </w:r>
          </w:p>
          <w:p>
            <w:pPr>
              <w:pStyle w:val="TableText"/>
              <w:ind w:left="301"/>
              <w:spacing w:before="34" w:line="221" w:lineRule="auto"/>
              <w:rPr>
                <w:rFonts w:ascii="Times New Roman" w:hAnsi="Times New Roman" w:eastAsia="Times New Roman" w:cs="Times New Roman"/>
              </w:rPr>
            </w:pPr>
            <w:r>
              <w:rPr>
                <w:spacing w:val="6"/>
              </w:rPr>
              <w:t>总磷：</w:t>
            </w:r>
            <w:r>
              <w:rPr>
                <w:rFonts w:ascii="Times New Roman" w:hAnsi="Times New Roman" w:eastAsia="Times New Roman" w:cs="Times New Roman"/>
                <w:spacing w:val="6"/>
              </w:rPr>
              <w:t>300</w:t>
            </w:r>
            <w:r>
              <w:rPr>
                <w:rFonts w:ascii="Times New Roman" w:hAnsi="Times New Roman" w:eastAsia="Times New Roman" w:cs="Times New Roman"/>
              </w:rPr>
              <w:t>mg</w:t>
            </w:r>
            <w:r>
              <w:rPr>
                <w:rFonts w:ascii="Times New Roman" w:hAnsi="Times New Roman" w:eastAsia="Times New Roman" w:cs="Times New Roman"/>
                <w:spacing w:val="6"/>
              </w:rPr>
              <w:t>/L</w:t>
            </w:r>
          </w:p>
          <w:p>
            <w:pPr>
              <w:pStyle w:val="TableText"/>
              <w:ind w:left="354"/>
              <w:spacing w:before="31" w:line="221" w:lineRule="auto"/>
              <w:rPr>
                <w:rFonts w:ascii="Times New Roman" w:hAnsi="Times New Roman" w:eastAsia="Times New Roman" w:cs="Times New Roman"/>
              </w:rPr>
            </w:pPr>
            <w:r>
              <w:rPr>
                <w:spacing w:val="6"/>
              </w:rPr>
              <w:t>总氮：</w:t>
            </w:r>
            <w:r>
              <w:rPr>
                <w:rFonts w:ascii="Times New Roman" w:hAnsi="Times New Roman" w:eastAsia="Times New Roman" w:cs="Times New Roman"/>
                <w:spacing w:val="6"/>
              </w:rPr>
              <w:t>50</w:t>
            </w:r>
            <w:r>
              <w:rPr>
                <w:rFonts w:ascii="Times New Roman" w:hAnsi="Times New Roman" w:eastAsia="Times New Roman" w:cs="Times New Roman"/>
              </w:rPr>
              <w:t>mg</w:t>
            </w:r>
            <w:r>
              <w:rPr>
                <w:rFonts w:ascii="Times New Roman" w:hAnsi="Times New Roman" w:eastAsia="Times New Roman" w:cs="Times New Roman"/>
                <w:spacing w:val="6"/>
              </w:rPr>
              <w:t>/L</w:t>
            </w:r>
          </w:p>
          <w:p>
            <w:pPr>
              <w:pStyle w:val="TableText"/>
              <w:ind w:left="138"/>
              <w:spacing w:before="34" w:line="221" w:lineRule="auto"/>
              <w:rPr>
                <w:rFonts w:ascii="Times New Roman" w:hAnsi="Times New Roman" w:eastAsia="Times New Roman" w:cs="Times New Roman"/>
              </w:rPr>
            </w:pPr>
            <w:r>
              <w:rPr>
                <w:spacing w:val="7"/>
              </w:rPr>
              <w:t>动植物油：</w:t>
            </w:r>
            <w:r>
              <w:rPr>
                <w:rFonts w:ascii="Times New Roman" w:hAnsi="Times New Roman" w:eastAsia="Times New Roman" w:cs="Times New Roman"/>
                <w:spacing w:val="7"/>
              </w:rPr>
              <w:t>50</w:t>
            </w:r>
            <w:r>
              <w:rPr>
                <w:rFonts w:ascii="Times New Roman" w:hAnsi="Times New Roman" w:eastAsia="Times New Roman" w:cs="Times New Roman"/>
              </w:rPr>
              <w:t>mg</w:t>
            </w:r>
            <w:r>
              <w:rPr>
                <w:rFonts w:ascii="Times New Roman" w:hAnsi="Times New Roman" w:eastAsia="Times New Roman" w:cs="Times New Roman"/>
                <w:spacing w:val="7"/>
              </w:rPr>
              <w:t>/L</w:t>
            </w:r>
          </w:p>
        </w:tc>
        <w:tc>
          <w:tcPr>
            <w:tcW w:w="3166" w:type="dxa"/>
            <w:vAlign w:val="top"/>
            <w:vMerge w:val="restart"/>
            <w:tcBorders>
              <w:bottom w:val="nil"/>
            </w:tcBorders>
          </w:tcPr>
          <w:p>
            <w:pPr>
              <w:spacing w:line="246"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pStyle w:val="TableText"/>
              <w:ind w:left="20"/>
              <w:spacing w:before="65" w:line="227" w:lineRule="auto"/>
              <w:rPr/>
            </w:pPr>
            <w:r>
              <w:rPr>
                <w:spacing w:val="8"/>
              </w:rPr>
              <w:t>收集输送至厌氧发酵罐厌氧发酵，</w:t>
            </w:r>
          </w:p>
          <w:p>
            <w:pPr>
              <w:pStyle w:val="TableText"/>
              <w:ind w:left="14"/>
              <w:spacing w:before="25" w:line="227" w:lineRule="auto"/>
              <w:rPr/>
            </w:pPr>
            <w:r>
              <w:rPr>
                <w:spacing w:val="9"/>
              </w:rPr>
              <w:t>厌氧发酵达到沼肥标准后还田利用</w:t>
            </w:r>
          </w:p>
          <w:p>
            <w:pPr>
              <w:pStyle w:val="TableText"/>
              <w:ind w:left="1074"/>
              <w:spacing w:before="25" w:line="228" w:lineRule="auto"/>
              <w:rPr/>
            </w:pPr>
            <w:r>
              <w:rPr>
                <w:spacing w:val="2"/>
              </w:rPr>
              <w:t>（自用）。</w:t>
            </w:r>
          </w:p>
        </w:tc>
      </w:tr>
      <w:tr>
        <w:trPr>
          <w:trHeight w:val="1484" w:hRule="atLeast"/>
        </w:trPr>
        <w:tc>
          <w:tcPr>
            <w:tcW w:w="807" w:type="dxa"/>
            <w:vAlign w:val="top"/>
          </w:tcPr>
          <w:p>
            <w:pPr>
              <w:spacing w:line="307" w:lineRule="auto"/>
              <w:rPr>
                <w:rFonts w:ascii="Arial"/>
                <w:sz w:val="21"/>
              </w:rPr>
            </w:pPr>
            <w:r/>
          </w:p>
          <w:p>
            <w:pPr>
              <w:spacing w:line="307" w:lineRule="auto"/>
              <w:rPr>
                <w:rFonts w:ascii="Arial"/>
                <w:sz w:val="21"/>
              </w:rPr>
            </w:pPr>
            <w:r/>
          </w:p>
          <w:p>
            <w:pPr>
              <w:ind w:left="214"/>
              <w:spacing w:before="58" w:line="20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W</w:t>
            </w:r>
            <w:r>
              <w:rPr>
                <w:rFonts w:ascii="Times New Roman" w:hAnsi="Times New Roman" w:eastAsia="Times New Roman" w:cs="Times New Roman"/>
                <w:sz w:val="13"/>
                <w:szCs w:val="13"/>
                <w:spacing w:val="3"/>
              </w:rPr>
              <w:t>4-1</w:t>
            </w:r>
          </w:p>
        </w:tc>
        <w:tc>
          <w:tcPr>
            <w:tcW w:w="1500" w:type="dxa"/>
            <w:vAlign w:val="top"/>
          </w:tcPr>
          <w:p>
            <w:pPr>
              <w:spacing w:line="283" w:lineRule="auto"/>
              <w:rPr>
                <w:rFonts w:ascii="Arial"/>
                <w:sz w:val="21"/>
              </w:rPr>
            </w:pPr>
            <w:r/>
          </w:p>
          <w:p>
            <w:pPr>
              <w:spacing w:line="284" w:lineRule="auto"/>
              <w:rPr>
                <w:rFonts w:ascii="Arial"/>
                <w:sz w:val="21"/>
              </w:rPr>
            </w:pPr>
            <w:r/>
          </w:p>
          <w:p>
            <w:pPr>
              <w:pStyle w:val="TableText"/>
              <w:ind w:left="123"/>
              <w:spacing w:before="65" w:line="228" w:lineRule="auto"/>
              <w:rPr/>
            </w:pPr>
            <w:r>
              <w:rPr>
                <w:spacing w:val="8"/>
              </w:rPr>
              <w:t>地面冲洗废水</w:t>
            </w:r>
          </w:p>
        </w:tc>
        <w:tc>
          <w:tcPr>
            <w:tcW w:w="1330" w:type="dxa"/>
            <w:vAlign w:val="top"/>
          </w:tcPr>
          <w:p>
            <w:pPr>
              <w:spacing w:line="305" w:lineRule="auto"/>
              <w:rPr>
                <w:rFonts w:ascii="Arial"/>
                <w:sz w:val="21"/>
              </w:rPr>
            </w:pPr>
            <w:r/>
          </w:p>
          <w:p>
            <w:pPr>
              <w:spacing w:line="306" w:lineRule="auto"/>
              <w:rPr>
                <w:rFonts w:ascii="Arial"/>
                <w:sz w:val="21"/>
              </w:rPr>
            </w:pPr>
            <w:r/>
          </w:p>
          <w:p>
            <w:pPr>
              <w:ind w:left="476"/>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1350</w:t>
            </w:r>
          </w:p>
        </w:tc>
        <w:tc>
          <w:tcPr>
            <w:tcW w:w="1627" w:type="dxa"/>
            <w:vAlign w:val="top"/>
          </w:tcPr>
          <w:p>
            <w:pPr>
              <w:ind w:left="681"/>
              <w:spacing w:before="56"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pH</w:t>
            </w:r>
          </w:p>
          <w:p>
            <w:pPr>
              <w:ind w:left="542"/>
              <w:spacing w:before="53"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COD</w:t>
            </w:r>
            <w:r>
              <w:rPr>
                <w:rFonts w:ascii="Times New Roman" w:hAnsi="Times New Roman" w:eastAsia="Times New Roman" w:cs="Times New Roman"/>
                <w:sz w:val="13"/>
                <w:szCs w:val="13"/>
                <w:spacing w:val="3"/>
                <w:position w:val="-1"/>
              </w:rPr>
              <w:t>cr</w:t>
            </w:r>
          </w:p>
          <w:p>
            <w:pPr>
              <w:ind w:left="557"/>
              <w:spacing w:before="46"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5"/>
              </w:rPr>
              <w:t>BOD</w:t>
            </w:r>
            <w:r>
              <w:rPr>
                <w:rFonts w:ascii="Times New Roman" w:hAnsi="Times New Roman" w:eastAsia="Times New Roman" w:cs="Times New Roman"/>
                <w:sz w:val="13"/>
                <w:szCs w:val="13"/>
                <w:spacing w:val="5"/>
                <w:position w:val="-1"/>
              </w:rPr>
              <w:t>5</w:t>
            </w:r>
          </w:p>
          <w:p>
            <w:pPr>
              <w:ind w:left="511"/>
              <w:spacing w:before="51" w:line="20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NH</w:t>
            </w:r>
            <w:r>
              <w:rPr>
                <w:rFonts w:ascii="Times New Roman" w:hAnsi="Times New Roman" w:eastAsia="Times New Roman" w:cs="Times New Roman"/>
                <w:sz w:val="13"/>
                <w:szCs w:val="13"/>
                <w:spacing w:val="9"/>
              </w:rPr>
              <w:t>3</w:t>
            </w:r>
            <w:r>
              <w:rPr>
                <w:rFonts w:ascii="Times New Roman" w:hAnsi="Times New Roman" w:eastAsia="Times New Roman" w:cs="Times New Roman"/>
                <w:sz w:val="20"/>
                <w:szCs w:val="20"/>
                <w:spacing w:val="9"/>
              </w:rPr>
              <w:t>-N</w:t>
            </w:r>
          </w:p>
          <w:p>
            <w:pPr>
              <w:ind w:left="706"/>
              <w:spacing w:before="3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SS</w:t>
            </w:r>
          </w:p>
          <w:p>
            <w:pPr>
              <w:pStyle w:val="TableText"/>
              <w:ind w:left="400"/>
              <w:spacing w:before="36" w:line="215" w:lineRule="auto"/>
              <w:rPr/>
            </w:pPr>
            <w:r>
              <w:rPr>
                <w:spacing w:val="7"/>
              </w:rPr>
              <w:t>动植物油</w:t>
            </w:r>
          </w:p>
        </w:tc>
        <w:tc>
          <w:tcPr>
            <w:tcW w:w="1986" w:type="dxa"/>
            <w:vAlign w:val="top"/>
          </w:tcPr>
          <w:p>
            <w:pPr>
              <w:ind w:left="83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6~9</w:t>
            </w:r>
          </w:p>
          <w:p>
            <w:pPr>
              <w:ind w:left="779"/>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~300</w:t>
            </w:r>
          </w:p>
          <w:p>
            <w:pPr>
              <w:ind w:left="779"/>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~200</w:t>
            </w:r>
          </w:p>
          <w:p>
            <w:pPr>
              <w:ind w:left="830"/>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~30</w:t>
            </w:r>
          </w:p>
          <w:p>
            <w:pPr>
              <w:ind w:left="779"/>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~500</w:t>
            </w:r>
          </w:p>
          <w:p>
            <w:pPr>
              <w:ind w:left="830"/>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~50</w:t>
            </w:r>
          </w:p>
        </w:tc>
        <w:tc>
          <w:tcPr>
            <w:tcW w:w="1175" w:type="dxa"/>
            <w:vAlign w:val="top"/>
            <w:vMerge w:val="continue"/>
            <w:tcBorders>
              <w:top w:val="nil"/>
              <w:bottom w:val="nil"/>
            </w:tcBorders>
          </w:tcPr>
          <w:p>
            <w:pPr>
              <w:rPr>
                <w:rFonts w:ascii="Arial"/>
                <w:sz w:val="21"/>
              </w:rPr>
            </w:pPr>
            <w:r/>
          </w:p>
        </w:tc>
        <w:tc>
          <w:tcPr>
            <w:tcW w:w="1977" w:type="dxa"/>
            <w:vAlign w:val="top"/>
            <w:vMerge w:val="continue"/>
            <w:tcBorders>
              <w:top w:val="nil"/>
              <w:bottom w:val="nil"/>
            </w:tcBorders>
          </w:tcPr>
          <w:p>
            <w:pPr>
              <w:rPr>
                <w:rFonts w:ascii="Arial"/>
                <w:sz w:val="21"/>
              </w:rPr>
            </w:pPr>
            <w:r/>
          </w:p>
        </w:tc>
        <w:tc>
          <w:tcPr>
            <w:tcW w:w="3166" w:type="dxa"/>
            <w:vAlign w:val="top"/>
            <w:vMerge w:val="continue"/>
            <w:tcBorders>
              <w:top w:val="nil"/>
              <w:bottom w:val="nil"/>
            </w:tcBorders>
          </w:tcPr>
          <w:p>
            <w:pPr>
              <w:rPr>
                <w:rFonts w:ascii="Arial"/>
                <w:sz w:val="21"/>
              </w:rPr>
            </w:pPr>
            <w:r/>
          </w:p>
        </w:tc>
      </w:tr>
      <w:tr>
        <w:trPr>
          <w:trHeight w:val="317" w:hRule="atLeast"/>
        </w:trPr>
        <w:tc>
          <w:tcPr>
            <w:tcW w:w="807" w:type="dxa"/>
            <w:vAlign w:val="top"/>
            <w:vMerge w:val="restart"/>
            <w:tcBorders>
              <w:bottom w:val="nil"/>
            </w:tcBorders>
          </w:tcPr>
          <w:p>
            <w:pPr>
              <w:spacing w:line="284" w:lineRule="auto"/>
              <w:rPr>
                <w:rFonts w:ascii="Arial"/>
                <w:sz w:val="21"/>
              </w:rPr>
            </w:pPr>
            <w:r/>
          </w:p>
          <w:p>
            <w:pPr>
              <w:spacing w:line="284" w:lineRule="auto"/>
              <w:rPr>
                <w:rFonts w:ascii="Arial"/>
                <w:sz w:val="21"/>
              </w:rPr>
            </w:pPr>
            <w:r/>
          </w:p>
          <w:p>
            <w:pPr>
              <w:spacing w:line="284" w:lineRule="auto"/>
              <w:rPr>
                <w:rFonts w:ascii="Arial"/>
                <w:sz w:val="21"/>
              </w:rPr>
            </w:pPr>
            <w:r/>
          </w:p>
          <w:p>
            <w:pPr>
              <w:ind w:left="214"/>
              <w:spacing w:before="57" w:line="20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W</w:t>
            </w:r>
            <w:r>
              <w:rPr>
                <w:rFonts w:ascii="Times New Roman" w:hAnsi="Times New Roman" w:eastAsia="Times New Roman" w:cs="Times New Roman"/>
                <w:sz w:val="13"/>
                <w:szCs w:val="13"/>
                <w:spacing w:val="3"/>
              </w:rPr>
              <w:t>4-2</w:t>
            </w:r>
          </w:p>
        </w:tc>
        <w:tc>
          <w:tcPr>
            <w:tcW w:w="1500" w:type="dxa"/>
            <w:vAlign w:val="top"/>
            <w:vMerge w:val="restart"/>
            <w:tcBorders>
              <w:bottom w:val="nil"/>
            </w:tcBorders>
          </w:tcPr>
          <w:p>
            <w:pPr>
              <w:spacing w:line="267" w:lineRule="auto"/>
              <w:rPr>
                <w:rFonts w:ascii="Arial"/>
                <w:sz w:val="21"/>
              </w:rPr>
            </w:pPr>
            <w:r/>
          </w:p>
          <w:p>
            <w:pPr>
              <w:spacing w:line="267" w:lineRule="auto"/>
              <w:rPr>
                <w:rFonts w:ascii="Arial"/>
                <w:sz w:val="21"/>
              </w:rPr>
            </w:pPr>
            <w:r/>
          </w:p>
          <w:p>
            <w:pPr>
              <w:spacing w:line="268" w:lineRule="auto"/>
              <w:rPr>
                <w:rFonts w:ascii="Arial"/>
                <w:sz w:val="21"/>
              </w:rPr>
            </w:pPr>
            <w:r/>
          </w:p>
          <w:p>
            <w:pPr>
              <w:pStyle w:val="TableText"/>
              <w:ind w:left="336"/>
              <w:spacing w:before="65" w:line="228" w:lineRule="auto"/>
              <w:rPr/>
            </w:pPr>
            <w:r>
              <w:rPr>
                <w:spacing w:val="6"/>
              </w:rPr>
              <w:t>生活污水</w:t>
            </w:r>
          </w:p>
        </w:tc>
        <w:tc>
          <w:tcPr>
            <w:tcW w:w="1330" w:type="dxa"/>
            <w:vAlign w:val="top"/>
            <w:vMerge w:val="restart"/>
            <w:tcBorders>
              <w:bottom w:val="nil"/>
            </w:tcBorders>
          </w:tcPr>
          <w:p>
            <w:pPr>
              <w:spacing w:line="282" w:lineRule="auto"/>
              <w:rPr>
                <w:rFonts w:ascii="Arial"/>
                <w:sz w:val="21"/>
              </w:rPr>
            </w:pPr>
            <w:r/>
          </w:p>
          <w:p>
            <w:pPr>
              <w:spacing w:line="283" w:lineRule="auto"/>
              <w:rPr>
                <w:rFonts w:ascii="Arial"/>
                <w:sz w:val="21"/>
              </w:rPr>
            </w:pPr>
            <w:r/>
          </w:p>
          <w:p>
            <w:pPr>
              <w:spacing w:line="283" w:lineRule="auto"/>
              <w:rPr>
                <w:rFonts w:ascii="Arial"/>
                <w:sz w:val="21"/>
              </w:rPr>
            </w:pPr>
            <w:r/>
          </w:p>
          <w:p>
            <w:pPr>
              <w:ind w:left="455"/>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2880</w:t>
            </w:r>
          </w:p>
        </w:tc>
        <w:tc>
          <w:tcPr>
            <w:tcW w:w="1627" w:type="dxa"/>
            <w:vAlign w:val="top"/>
            <w:vMerge w:val="restart"/>
            <w:tcBorders>
              <w:bottom w:val="nil"/>
            </w:tcBorders>
          </w:tcPr>
          <w:p>
            <w:pPr>
              <w:ind w:left="681"/>
              <w:spacing w:before="143"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pH</w:t>
            </w:r>
          </w:p>
          <w:p>
            <w:pPr>
              <w:ind w:left="542"/>
              <w:spacing w:before="51"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COD</w:t>
            </w:r>
            <w:r>
              <w:rPr>
                <w:rFonts w:ascii="Times New Roman" w:hAnsi="Times New Roman" w:eastAsia="Times New Roman" w:cs="Times New Roman"/>
                <w:sz w:val="13"/>
                <w:szCs w:val="13"/>
                <w:spacing w:val="3"/>
                <w:position w:val="-1"/>
              </w:rPr>
              <w:t>cr</w:t>
            </w:r>
          </w:p>
          <w:p>
            <w:pPr>
              <w:ind w:left="557"/>
              <w:spacing w:before="45" w:line="205"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5"/>
              </w:rPr>
              <w:t>BOD</w:t>
            </w:r>
            <w:r>
              <w:rPr>
                <w:rFonts w:ascii="Times New Roman" w:hAnsi="Times New Roman" w:eastAsia="Times New Roman" w:cs="Times New Roman"/>
                <w:sz w:val="13"/>
                <w:szCs w:val="13"/>
                <w:spacing w:val="5"/>
                <w:position w:val="-1"/>
              </w:rPr>
              <w:t>5</w:t>
            </w:r>
          </w:p>
          <w:p>
            <w:pPr>
              <w:ind w:left="706"/>
              <w:spacing w:before="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SS</w:t>
            </w:r>
          </w:p>
          <w:p>
            <w:pPr>
              <w:pStyle w:val="TableText"/>
              <w:ind w:left="608"/>
              <w:spacing w:before="34" w:line="227" w:lineRule="auto"/>
              <w:rPr/>
            </w:pPr>
            <w:r>
              <w:rPr>
                <w:spacing w:val="4"/>
              </w:rPr>
              <w:t>氨氮</w:t>
            </w:r>
          </w:p>
          <w:p>
            <w:pPr>
              <w:pStyle w:val="TableText"/>
              <w:ind w:left="613"/>
              <w:spacing w:before="27" w:line="228" w:lineRule="auto"/>
              <w:rPr/>
            </w:pPr>
            <w:r>
              <w:rPr>
                <w:spacing w:val="2"/>
              </w:rPr>
              <w:t>总磷</w:t>
            </w:r>
          </w:p>
          <w:p>
            <w:pPr>
              <w:pStyle w:val="TableText"/>
              <w:ind w:left="613"/>
              <w:spacing w:before="25" w:line="227" w:lineRule="auto"/>
              <w:rPr/>
            </w:pPr>
            <w:r>
              <w:rPr>
                <w:spacing w:val="2"/>
              </w:rPr>
              <w:t>总氮</w:t>
            </w:r>
          </w:p>
        </w:tc>
        <w:tc>
          <w:tcPr>
            <w:tcW w:w="1986" w:type="dxa"/>
            <w:vAlign w:val="top"/>
            <w:vMerge w:val="restart"/>
            <w:tcBorders>
              <w:bottom w:val="nil"/>
            </w:tcBorders>
          </w:tcPr>
          <w:p>
            <w:pPr>
              <w:pStyle w:val="TableText"/>
              <w:ind w:left="789"/>
              <w:spacing w:before="150" w:line="265" w:lineRule="exact"/>
              <w:rPr>
                <w:rFonts w:ascii="Times New Roman" w:hAnsi="Times New Roman" w:eastAsia="Times New Roman" w:cs="Times New Roman"/>
              </w:rPr>
            </w:pPr>
            <w:r>
              <w:rPr>
                <w:rFonts w:ascii="Times New Roman" w:hAnsi="Times New Roman" w:eastAsia="Times New Roman" w:cs="Times New Roman"/>
                <w:spacing w:val="3"/>
                <w:position w:val="1"/>
              </w:rPr>
              <w:t>6</w:t>
            </w:r>
            <w:r>
              <w:rPr>
                <w:spacing w:val="3"/>
                <w:position w:val="1"/>
              </w:rPr>
              <w:t>～</w:t>
            </w:r>
            <w:r>
              <w:rPr>
                <w:rFonts w:ascii="Times New Roman" w:hAnsi="Times New Roman" w:eastAsia="Times New Roman" w:cs="Times New Roman"/>
                <w:spacing w:val="3"/>
                <w:position w:val="1"/>
              </w:rPr>
              <w:t>9</w:t>
            </w:r>
          </w:p>
          <w:p>
            <w:pPr>
              <w:ind w:left="779"/>
              <w:spacing w:before="2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~400</w:t>
            </w:r>
          </w:p>
          <w:p>
            <w:pPr>
              <w:ind w:left="779"/>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~300</w:t>
            </w:r>
          </w:p>
          <w:p>
            <w:pPr>
              <w:ind w:left="779"/>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~250</w:t>
            </w:r>
          </w:p>
          <w:p>
            <w:pPr>
              <w:ind w:left="830"/>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~35</w:t>
            </w:r>
          </w:p>
          <w:p>
            <w:pPr>
              <w:ind w:left="753"/>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12</w:t>
            </w:r>
          </w:p>
          <w:p>
            <w:pPr>
              <w:ind w:left="753"/>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~71.2</w:t>
            </w:r>
          </w:p>
        </w:tc>
        <w:tc>
          <w:tcPr>
            <w:tcW w:w="1175" w:type="dxa"/>
            <w:vAlign w:val="top"/>
            <w:vMerge w:val="continue"/>
            <w:tcBorders>
              <w:top w:val="nil"/>
            </w:tcBorders>
          </w:tcPr>
          <w:p>
            <w:pPr>
              <w:rPr>
                <w:rFonts w:ascii="Arial"/>
                <w:sz w:val="21"/>
              </w:rPr>
            </w:pPr>
            <w:r/>
          </w:p>
        </w:tc>
        <w:tc>
          <w:tcPr>
            <w:tcW w:w="1977" w:type="dxa"/>
            <w:vAlign w:val="top"/>
            <w:vMerge w:val="continue"/>
            <w:tcBorders>
              <w:top w:val="nil"/>
            </w:tcBorders>
          </w:tcPr>
          <w:p>
            <w:pPr>
              <w:rPr>
                <w:rFonts w:ascii="Arial"/>
                <w:sz w:val="21"/>
              </w:rPr>
            </w:pPr>
            <w:r/>
          </w:p>
        </w:tc>
        <w:tc>
          <w:tcPr>
            <w:tcW w:w="3166" w:type="dxa"/>
            <w:vAlign w:val="top"/>
            <w:vMerge w:val="continue"/>
            <w:tcBorders>
              <w:top w:val="nil"/>
            </w:tcBorders>
          </w:tcPr>
          <w:p>
            <w:pPr>
              <w:rPr>
                <w:rFonts w:ascii="Arial"/>
                <w:sz w:val="21"/>
              </w:rPr>
            </w:pPr>
            <w:r/>
          </w:p>
        </w:tc>
      </w:tr>
      <w:tr>
        <w:trPr>
          <w:trHeight w:val="1638" w:hRule="atLeast"/>
        </w:trPr>
        <w:tc>
          <w:tcPr>
            <w:tcW w:w="807" w:type="dxa"/>
            <w:vAlign w:val="top"/>
            <w:vMerge w:val="continue"/>
            <w:tcBorders>
              <w:top w:val="nil"/>
            </w:tcBorders>
          </w:tcPr>
          <w:p>
            <w:pPr>
              <w:rPr>
                <w:rFonts w:ascii="Arial"/>
                <w:sz w:val="21"/>
              </w:rPr>
            </w:pPr>
            <w:r/>
          </w:p>
        </w:tc>
        <w:tc>
          <w:tcPr>
            <w:tcW w:w="1500" w:type="dxa"/>
            <w:vAlign w:val="top"/>
            <w:vMerge w:val="continue"/>
            <w:tcBorders>
              <w:top w:val="nil"/>
            </w:tcBorders>
          </w:tcPr>
          <w:p>
            <w:pPr>
              <w:rPr>
                <w:rFonts w:ascii="Arial"/>
                <w:sz w:val="21"/>
              </w:rPr>
            </w:pPr>
            <w:r/>
          </w:p>
        </w:tc>
        <w:tc>
          <w:tcPr>
            <w:tcW w:w="1330" w:type="dxa"/>
            <w:vAlign w:val="top"/>
            <w:vMerge w:val="continue"/>
            <w:tcBorders>
              <w:top w:val="nil"/>
            </w:tcBorders>
          </w:tcPr>
          <w:p>
            <w:pPr>
              <w:rPr>
                <w:rFonts w:ascii="Arial"/>
                <w:sz w:val="21"/>
              </w:rPr>
            </w:pPr>
            <w:r/>
          </w:p>
        </w:tc>
        <w:tc>
          <w:tcPr>
            <w:tcW w:w="1627" w:type="dxa"/>
            <w:vAlign w:val="top"/>
            <w:vMerge w:val="continue"/>
            <w:tcBorders>
              <w:top w:val="nil"/>
            </w:tcBorders>
          </w:tcPr>
          <w:p>
            <w:pPr>
              <w:rPr>
                <w:rFonts w:ascii="Arial"/>
                <w:sz w:val="21"/>
              </w:rPr>
            </w:pPr>
            <w:r/>
          </w:p>
        </w:tc>
        <w:tc>
          <w:tcPr>
            <w:tcW w:w="1986" w:type="dxa"/>
            <w:vAlign w:val="top"/>
            <w:vMerge w:val="continue"/>
            <w:tcBorders>
              <w:top w:val="nil"/>
            </w:tcBorders>
          </w:tcPr>
          <w:p>
            <w:pPr>
              <w:rPr>
                <w:rFonts w:ascii="Arial"/>
                <w:sz w:val="21"/>
              </w:rPr>
            </w:pPr>
            <w:r/>
          </w:p>
        </w:tc>
        <w:tc>
          <w:tcPr>
            <w:tcW w:w="6318" w:type="dxa"/>
            <w:vAlign w:val="top"/>
            <w:gridSpan w:val="3"/>
          </w:tcPr>
          <w:p>
            <w:pPr>
              <w:pStyle w:val="TableText"/>
              <w:ind w:left="21"/>
              <w:spacing w:before="32" w:line="228" w:lineRule="auto"/>
              <w:rPr/>
            </w:pPr>
            <w:r>
              <w:rPr>
                <w:spacing w:val="9"/>
              </w:rPr>
              <w:t>东厂区和西厂区员工洗浴废水通过独立管道系统外排市政污水管网，</w:t>
            </w:r>
          </w:p>
          <w:p>
            <w:pPr>
              <w:pStyle w:val="TableText"/>
              <w:ind w:left="12"/>
              <w:spacing w:before="26" w:line="228" w:lineRule="auto"/>
              <w:rPr/>
            </w:pPr>
            <w:r>
              <w:rPr>
                <w:spacing w:val="10"/>
              </w:rPr>
              <w:t>进入明安图镇污水处理厂。食堂废水经隔油池处理</w:t>
            </w:r>
            <w:r>
              <w:rPr>
                <w:spacing w:val="9"/>
              </w:rPr>
              <w:t>后，与洗浴废水一</w:t>
            </w:r>
          </w:p>
          <w:p>
            <w:pPr>
              <w:pStyle w:val="TableText"/>
              <w:ind w:left="34"/>
              <w:spacing w:before="24" w:line="228" w:lineRule="auto"/>
              <w:rPr/>
            </w:pPr>
            <w:r>
              <w:rPr>
                <w:spacing w:val="9"/>
              </w:rPr>
              <w:t>同通过独立管道系统外排市政污水管网，进</w:t>
            </w:r>
            <w:r>
              <w:rPr>
                <w:spacing w:val="8"/>
              </w:rPr>
              <w:t>入明安图镇污水处理厂。</w:t>
            </w:r>
          </w:p>
          <w:p>
            <w:pPr>
              <w:pStyle w:val="TableText"/>
              <w:ind w:left="16"/>
              <w:spacing w:before="26" w:line="228" w:lineRule="auto"/>
              <w:rPr/>
            </w:pPr>
            <w:r>
              <w:rPr>
                <w:spacing w:val="7"/>
              </w:rPr>
              <w:t>西厂区、东厂区冲厕水经独立管道输送至西厂区废水收集</w:t>
            </w:r>
            <w:r>
              <w:rPr>
                <w:spacing w:val="6"/>
              </w:rPr>
              <w:t>池，</w:t>
            </w:r>
            <w:r>
              <w:rPr>
                <w:rFonts w:ascii="Times New Roman" w:hAnsi="Times New Roman" w:eastAsia="Times New Roman" w:cs="Times New Roman"/>
              </w:rPr>
              <w:t>TS</w:t>
            </w:r>
            <w:r>
              <w:rPr>
                <w:rFonts w:ascii="Times New Roman" w:hAnsi="Times New Roman" w:eastAsia="Times New Roman" w:cs="Times New Roman"/>
                <w:spacing w:val="6"/>
              </w:rPr>
              <w:t xml:space="preserve"> </w:t>
            </w:r>
            <w:r>
              <w:rPr>
                <w:spacing w:val="6"/>
              </w:rPr>
              <w:t>调节</w:t>
            </w:r>
          </w:p>
          <w:p>
            <w:pPr>
              <w:pStyle w:val="TableText"/>
              <w:ind w:left="14"/>
              <w:spacing w:before="24" w:line="227" w:lineRule="auto"/>
              <w:rPr/>
            </w:pPr>
            <w:r>
              <w:rPr>
                <w:spacing w:val="9"/>
              </w:rPr>
              <w:t>池调质后进入厌氧发酵装置，厌氧发酵达到沼肥标准后还田利用（自</w:t>
            </w:r>
          </w:p>
          <w:p>
            <w:pPr>
              <w:pStyle w:val="TableText"/>
              <w:ind w:left="2850"/>
              <w:spacing w:before="26" w:line="216" w:lineRule="auto"/>
              <w:rPr/>
            </w:pPr>
            <w:r>
              <w:rPr>
                <w:spacing w:val="-1"/>
              </w:rPr>
              <w:t>用）。</w:t>
            </w:r>
          </w:p>
        </w:tc>
      </w:tr>
      <w:tr>
        <w:trPr>
          <w:trHeight w:val="970" w:hRule="atLeast"/>
        </w:trPr>
        <w:tc>
          <w:tcPr>
            <w:tcW w:w="807" w:type="dxa"/>
            <w:vAlign w:val="top"/>
          </w:tcPr>
          <w:p>
            <w:pPr>
              <w:spacing w:line="360" w:lineRule="auto"/>
              <w:rPr>
                <w:rFonts w:ascii="Arial"/>
                <w:sz w:val="21"/>
              </w:rPr>
            </w:pPr>
            <w:r/>
          </w:p>
          <w:p>
            <w:pPr>
              <w:ind w:left="214"/>
              <w:spacing w:before="58" w:line="20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W</w:t>
            </w:r>
            <w:r>
              <w:rPr>
                <w:rFonts w:ascii="Times New Roman" w:hAnsi="Times New Roman" w:eastAsia="Times New Roman" w:cs="Times New Roman"/>
                <w:sz w:val="13"/>
                <w:szCs w:val="13"/>
                <w:spacing w:val="3"/>
              </w:rPr>
              <w:t>4-3</w:t>
            </w:r>
          </w:p>
        </w:tc>
        <w:tc>
          <w:tcPr>
            <w:tcW w:w="1500" w:type="dxa"/>
            <w:vAlign w:val="top"/>
          </w:tcPr>
          <w:p>
            <w:pPr>
              <w:spacing w:line="314" w:lineRule="auto"/>
              <w:rPr>
                <w:rFonts w:ascii="Arial"/>
                <w:sz w:val="21"/>
              </w:rPr>
            </w:pPr>
            <w:r/>
          </w:p>
          <w:p>
            <w:pPr>
              <w:pStyle w:val="TableText"/>
              <w:ind w:left="126"/>
              <w:spacing w:before="65" w:line="228" w:lineRule="auto"/>
              <w:rPr/>
            </w:pPr>
            <w:r>
              <w:rPr>
                <w:spacing w:val="7"/>
              </w:rPr>
              <w:t>纯水制备排污</w:t>
            </w:r>
          </w:p>
        </w:tc>
        <w:tc>
          <w:tcPr>
            <w:tcW w:w="1330" w:type="dxa"/>
            <w:vAlign w:val="top"/>
          </w:tcPr>
          <w:p>
            <w:pPr>
              <w:spacing w:line="358" w:lineRule="auto"/>
              <w:rPr>
                <w:rFonts w:ascii="Arial"/>
                <w:sz w:val="21"/>
              </w:rPr>
            </w:pPr>
            <w:r/>
          </w:p>
          <w:p>
            <w:pPr>
              <w:ind w:left="42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12690</w:t>
            </w:r>
          </w:p>
        </w:tc>
        <w:tc>
          <w:tcPr>
            <w:tcW w:w="1627" w:type="dxa"/>
            <w:vAlign w:val="top"/>
          </w:tcPr>
          <w:p>
            <w:pPr>
              <w:ind w:left="706"/>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SS</w:t>
            </w:r>
          </w:p>
          <w:p>
            <w:pPr>
              <w:ind w:left="618"/>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TDS</w:t>
            </w:r>
          </w:p>
          <w:p>
            <w:pPr>
              <w:ind w:left="542"/>
              <w:spacing w:before="53"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COD</w:t>
            </w:r>
            <w:r>
              <w:rPr>
                <w:rFonts w:ascii="Times New Roman" w:hAnsi="Times New Roman" w:eastAsia="Times New Roman" w:cs="Times New Roman"/>
                <w:sz w:val="13"/>
                <w:szCs w:val="13"/>
                <w:spacing w:val="3"/>
                <w:position w:val="-1"/>
              </w:rPr>
              <w:t>cr</w:t>
            </w:r>
          </w:p>
          <w:p>
            <w:pPr>
              <w:ind w:left="681"/>
              <w:spacing w:before="52" w:line="18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pH</w:t>
            </w:r>
          </w:p>
        </w:tc>
        <w:tc>
          <w:tcPr>
            <w:tcW w:w="1986" w:type="dxa"/>
            <w:vAlign w:val="top"/>
          </w:tcPr>
          <w:p>
            <w:pPr>
              <w:ind w:left="830"/>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~50</w:t>
            </w:r>
          </w:p>
          <w:p>
            <w:pPr>
              <w:ind w:left="724"/>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~3000</w:t>
            </w:r>
          </w:p>
          <w:p>
            <w:pPr>
              <w:ind w:left="779"/>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100</w:t>
            </w:r>
          </w:p>
          <w:p>
            <w:pPr>
              <w:ind w:left="837"/>
              <w:spacing w:before="56" w:line="18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6~9</w:t>
            </w:r>
          </w:p>
        </w:tc>
        <w:tc>
          <w:tcPr>
            <w:tcW w:w="6318" w:type="dxa"/>
            <w:vAlign w:val="top"/>
            <w:gridSpan w:val="3"/>
            <w:vMerge w:val="restart"/>
            <w:tcBorders>
              <w:bottom w:val="nil"/>
            </w:tcBorders>
          </w:tcPr>
          <w:p>
            <w:pPr>
              <w:rPr>
                <w:rFonts w:ascii="Arial"/>
                <w:sz w:val="21"/>
              </w:rPr>
            </w:pPr>
            <w:r/>
          </w:p>
          <w:p>
            <w:pPr>
              <w:spacing w:line="241" w:lineRule="auto"/>
              <w:rPr>
                <w:rFonts w:ascii="Arial"/>
                <w:sz w:val="21"/>
              </w:rPr>
            </w:pPr>
            <w:r/>
          </w:p>
          <w:p>
            <w:pPr>
              <w:spacing w:line="241" w:lineRule="auto"/>
              <w:rPr>
                <w:rFonts w:ascii="Arial"/>
                <w:sz w:val="21"/>
              </w:rPr>
            </w:pPr>
            <w:r/>
          </w:p>
          <w:p>
            <w:pPr>
              <w:pStyle w:val="TableText"/>
              <w:spacing w:before="65" w:line="228" w:lineRule="auto"/>
              <w:jc w:val="right"/>
              <w:rPr/>
            </w:pPr>
            <w:r>
              <w:rPr>
                <w:spacing w:val="3"/>
              </w:rPr>
              <w:t>用作草木灰抑尘及厂区内道路抑尘用水；多余部分排入市政污水管网，</w:t>
            </w:r>
          </w:p>
          <w:p>
            <w:pPr>
              <w:pStyle w:val="TableText"/>
              <w:ind w:left="1901"/>
              <w:spacing w:before="26" w:line="228" w:lineRule="auto"/>
              <w:rPr/>
            </w:pPr>
            <w:r>
              <w:rPr>
                <w:spacing w:val="8"/>
              </w:rPr>
              <w:t>进入明安图镇污水处理厂。</w:t>
            </w:r>
          </w:p>
        </w:tc>
      </w:tr>
      <w:tr>
        <w:trPr>
          <w:trHeight w:val="1093" w:hRule="atLeast"/>
        </w:trPr>
        <w:tc>
          <w:tcPr>
            <w:tcW w:w="807" w:type="dxa"/>
            <w:vAlign w:val="top"/>
          </w:tcPr>
          <w:p>
            <w:pPr>
              <w:spacing w:line="420" w:lineRule="auto"/>
              <w:rPr>
                <w:rFonts w:ascii="Arial"/>
                <w:sz w:val="21"/>
              </w:rPr>
            </w:pPr>
            <w:r/>
          </w:p>
          <w:p>
            <w:pPr>
              <w:ind w:left="214"/>
              <w:spacing w:before="57" w:line="20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W</w:t>
            </w:r>
            <w:r>
              <w:rPr>
                <w:rFonts w:ascii="Times New Roman" w:hAnsi="Times New Roman" w:eastAsia="Times New Roman" w:cs="Times New Roman"/>
                <w:sz w:val="13"/>
                <w:szCs w:val="13"/>
                <w:spacing w:val="3"/>
              </w:rPr>
              <w:t>4-4</w:t>
            </w:r>
          </w:p>
        </w:tc>
        <w:tc>
          <w:tcPr>
            <w:tcW w:w="1500" w:type="dxa"/>
            <w:vAlign w:val="top"/>
          </w:tcPr>
          <w:p>
            <w:pPr>
              <w:spacing w:line="374" w:lineRule="auto"/>
              <w:rPr>
                <w:rFonts w:ascii="Arial"/>
                <w:sz w:val="21"/>
              </w:rPr>
            </w:pPr>
            <w:r/>
          </w:p>
          <w:p>
            <w:pPr>
              <w:pStyle w:val="TableText"/>
              <w:ind w:left="334"/>
              <w:spacing w:before="65" w:line="228" w:lineRule="auto"/>
              <w:rPr/>
            </w:pPr>
            <w:r>
              <w:rPr>
                <w:spacing w:val="7"/>
              </w:rPr>
              <w:t>锅炉排污</w:t>
            </w:r>
          </w:p>
        </w:tc>
        <w:tc>
          <w:tcPr>
            <w:tcW w:w="1330" w:type="dxa"/>
            <w:vAlign w:val="top"/>
          </w:tcPr>
          <w:p>
            <w:pPr>
              <w:spacing w:line="417" w:lineRule="auto"/>
              <w:rPr>
                <w:rFonts w:ascii="Arial"/>
                <w:sz w:val="21"/>
              </w:rPr>
            </w:pPr>
            <w:r/>
          </w:p>
          <w:p>
            <w:pPr>
              <w:ind w:left="476"/>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1800</w:t>
            </w:r>
          </w:p>
        </w:tc>
        <w:tc>
          <w:tcPr>
            <w:tcW w:w="1627" w:type="dxa"/>
            <w:vAlign w:val="top"/>
          </w:tcPr>
          <w:p>
            <w:pPr>
              <w:ind w:left="706"/>
              <w:spacing w:before="11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SS</w:t>
            </w:r>
          </w:p>
          <w:p>
            <w:pPr>
              <w:ind w:left="618"/>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TDS</w:t>
            </w:r>
          </w:p>
          <w:p>
            <w:pPr>
              <w:ind w:left="542"/>
              <w:spacing w:before="53"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COD</w:t>
            </w:r>
            <w:r>
              <w:rPr>
                <w:rFonts w:ascii="Times New Roman" w:hAnsi="Times New Roman" w:eastAsia="Times New Roman" w:cs="Times New Roman"/>
                <w:sz w:val="13"/>
                <w:szCs w:val="13"/>
                <w:spacing w:val="3"/>
                <w:position w:val="-1"/>
              </w:rPr>
              <w:t>cr</w:t>
            </w:r>
          </w:p>
          <w:p>
            <w:pPr>
              <w:ind w:left="681"/>
              <w:spacing w:before="5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pH</w:t>
            </w:r>
          </w:p>
        </w:tc>
        <w:tc>
          <w:tcPr>
            <w:tcW w:w="1986" w:type="dxa"/>
            <w:vAlign w:val="top"/>
          </w:tcPr>
          <w:p>
            <w:pPr>
              <w:ind w:left="830"/>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~50</w:t>
            </w:r>
          </w:p>
          <w:p>
            <w:pPr>
              <w:ind w:left="724"/>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~3000</w:t>
            </w:r>
          </w:p>
          <w:p>
            <w:pPr>
              <w:ind w:left="779"/>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100</w:t>
            </w:r>
          </w:p>
          <w:p>
            <w:pPr>
              <w:ind w:left="837"/>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6~9</w:t>
            </w:r>
          </w:p>
        </w:tc>
        <w:tc>
          <w:tcPr>
            <w:tcW w:w="6318" w:type="dxa"/>
            <w:vAlign w:val="top"/>
            <w:gridSpan w:val="3"/>
            <w:vMerge w:val="continue"/>
            <w:tcBorders>
              <w:top w:val="nil"/>
            </w:tcBorders>
          </w:tcPr>
          <w:p>
            <w:pPr>
              <w:rPr>
                <w:rFonts w:ascii="Arial"/>
                <w:sz w:val="21"/>
              </w:rPr>
            </w:pPr>
            <w:r/>
          </w:p>
        </w:tc>
      </w:tr>
    </w:tbl>
    <w:p>
      <w:pPr>
        <w:ind w:left="6672"/>
        <w:spacing w:before="258" w:line="227" w:lineRule="auto"/>
        <w:rPr>
          <w:rFonts w:ascii="SimSun" w:hAnsi="SimSun" w:eastAsia="SimSun" w:cs="SimSun"/>
          <w:sz w:val="19"/>
          <w:szCs w:val="19"/>
        </w:rPr>
      </w:pPr>
      <w:r>
        <w:rPr>
          <w:rFonts w:ascii="Times New Roman" w:hAnsi="Times New Roman" w:eastAsia="Times New Roman" w:cs="Times New Roman"/>
          <w:sz w:val="18"/>
          <w:szCs w:val="18"/>
          <w:spacing w:val="4"/>
          <w:position w:val="2"/>
        </w:rPr>
        <w:t>102                                                  </w:t>
      </w:r>
      <w:r>
        <w:rPr>
          <w:rFonts w:ascii="Times New Roman" w:hAnsi="Times New Roman" w:eastAsia="Times New Roman" w:cs="Times New Roman"/>
          <w:sz w:val="18"/>
          <w:szCs w:val="18"/>
          <w:spacing w:val="3"/>
          <w:position w:val="2"/>
        </w:rPr>
        <w:t xml:space="preserve">         </w:t>
      </w:r>
      <w:r>
        <w:rPr>
          <w:rFonts w:ascii="SimSun" w:hAnsi="SimSun" w:eastAsia="SimSun" w:cs="SimSun"/>
          <w:sz w:val="19"/>
          <w:szCs w:val="19"/>
          <w:spacing w:val="3"/>
        </w:rPr>
        <w:t>锡林郭勒盟中安环境技术咨询有限责任公司</w:t>
      </w:r>
    </w:p>
    <w:p>
      <w:pPr>
        <w:spacing w:line="227" w:lineRule="auto"/>
        <w:sectPr>
          <w:headerReference w:type="default" r:id="rId110"/>
          <w:footerReference w:type="default" r:id="rId3"/>
          <w:pgSz w:w="16840" w:h="11907"/>
          <w:pgMar w:top="1567" w:right="1633" w:bottom="400" w:left="1633" w:header="1221" w:footer="0" w:gutter="0"/>
        </w:sectPr>
        <w:rPr>
          <w:rFonts w:ascii="SimSun" w:hAnsi="SimSun" w:eastAsia="SimSun" w:cs="SimSun"/>
          <w:sz w:val="19"/>
          <w:szCs w:val="19"/>
        </w:rPr>
      </w:pPr>
    </w:p>
    <w:p>
      <w:pPr>
        <w:spacing w:line="151" w:lineRule="exact"/>
        <w:rPr/>
      </w:pPr>
      <w:r>
        <w:pict>
          <v:shape id="_x0000_s518" style="position:absolute;margin-left:85.05pt;margin-top:79.11pt;mso-position-vertical-relative:page;mso-position-horizontal-relative:page;width:671.95pt;height:0.75pt;z-index:251886592;" o:allowincell="f" fillcolor="#000000" filled="true" stroked="false" coordsize="13439,15" coordorigin="0,0" path="m,l13438,0l13438,14l0,14l0,0xe"/>
        </w:pict>
      </w:r>
      <w:r/>
    </w:p>
    <w:tbl>
      <w:tblPr>
        <w:tblStyle w:val="TableNormal"/>
        <w:tblW w:w="13568"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07"/>
        <w:gridCol w:w="1500"/>
        <w:gridCol w:w="1330"/>
        <w:gridCol w:w="1627"/>
        <w:gridCol w:w="1986"/>
        <w:gridCol w:w="1175"/>
        <w:gridCol w:w="1977"/>
        <w:gridCol w:w="3166"/>
      </w:tblGrid>
      <w:tr>
        <w:trPr>
          <w:trHeight w:val="554" w:hRule="atLeast"/>
        </w:trPr>
        <w:tc>
          <w:tcPr>
            <w:tcW w:w="807" w:type="dxa"/>
            <w:vAlign w:val="top"/>
          </w:tcPr>
          <w:p>
            <w:pPr>
              <w:pStyle w:val="TableText"/>
              <w:ind w:left="200"/>
              <w:spacing w:before="170" w:line="228" w:lineRule="auto"/>
              <w:rPr/>
            </w:pPr>
            <w:r>
              <w:rPr>
                <w:spacing w:val="3"/>
              </w:rPr>
              <w:t>编号</w:t>
            </w:r>
          </w:p>
        </w:tc>
        <w:tc>
          <w:tcPr>
            <w:tcW w:w="1500" w:type="dxa"/>
            <w:vAlign w:val="top"/>
          </w:tcPr>
          <w:p>
            <w:pPr>
              <w:pStyle w:val="TableText"/>
              <w:ind w:left="439"/>
              <w:spacing w:before="171" w:line="228" w:lineRule="auto"/>
              <w:rPr/>
            </w:pPr>
            <w:r>
              <w:rPr>
                <w:spacing w:val="6"/>
              </w:rPr>
              <w:t>污染源</w:t>
            </w:r>
          </w:p>
        </w:tc>
        <w:tc>
          <w:tcPr>
            <w:tcW w:w="1330" w:type="dxa"/>
            <w:vAlign w:val="top"/>
          </w:tcPr>
          <w:p>
            <w:pPr>
              <w:pStyle w:val="TableText"/>
              <w:ind w:left="353"/>
              <w:spacing w:before="36" w:line="228" w:lineRule="auto"/>
              <w:rPr/>
            </w:pPr>
            <w:r>
              <w:rPr>
                <w:spacing w:val="7"/>
              </w:rPr>
              <w:t>废水量</w:t>
            </w:r>
          </w:p>
          <w:p>
            <w:pPr>
              <w:pStyle w:val="TableText"/>
              <w:ind w:left="277"/>
              <w:spacing w:before="24" w:line="218" w:lineRule="auto"/>
              <w:rPr/>
            </w:pPr>
            <w:r>
              <w:rPr>
                <w:spacing w:val="1"/>
              </w:rPr>
              <w:t>（</w:t>
            </w:r>
            <w:r>
              <w:rPr>
                <w:rFonts w:ascii="Times New Roman" w:hAnsi="Times New Roman" w:eastAsia="Times New Roman" w:cs="Times New Roman"/>
                <w:spacing w:val="1"/>
              </w:rPr>
              <w:t>m</w:t>
            </w:r>
            <w:r>
              <w:rPr>
                <w:rFonts w:ascii="Times New Roman" w:hAnsi="Times New Roman" w:eastAsia="Times New Roman" w:cs="Times New Roman"/>
                <w:sz w:val="13"/>
                <w:szCs w:val="13"/>
                <w:spacing w:val="1"/>
                <w:position w:val="6"/>
              </w:rPr>
              <w:t>3</w:t>
            </w:r>
            <w:r>
              <w:rPr>
                <w:rFonts w:ascii="Times New Roman" w:hAnsi="Times New Roman" w:eastAsia="Times New Roman" w:cs="Times New Roman"/>
                <w:spacing w:val="1"/>
              </w:rPr>
              <w:t>/a</w:t>
            </w:r>
            <w:r>
              <w:rPr>
                <w:spacing w:val="1"/>
              </w:rPr>
              <w:t>）</w:t>
            </w:r>
          </w:p>
        </w:tc>
        <w:tc>
          <w:tcPr>
            <w:tcW w:w="1627" w:type="dxa"/>
            <w:vAlign w:val="top"/>
          </w:tcPr>
          <w:p>
            <w:pPr>
              <w:pStyle w:val="TableText"/>
              <w:ind w:left="295"/>
              <w:spacing w:before="171" w:line="228" w:lineRule="auto"/>
              <w:rPr/>
            </w:pPr>
            <w:r>
              <w:rPr>
                <w:spacing w:val="7"/>
              </w:rPr>
              <w:t>主要污染物</w:t>
            </w:r>
          </w:p>
        </w:tc>
        <w:tc>
          <w:tcPr>
            <w:tcW w:w="1986" w:type="dxa"/>
            <w:vAlign w:val="top"/>
          </w:tcPr>
          <w:p>
            <w:pPr>
              <w:pStyle w:val="TableText"/>
              <w:ind w:left="142"/>
              <w:spacing w:before="171" w:line="221" w:lineRule="auto"/>
              <w:rPr/>
            </w:pPr>
            <w:r>
              <w:rPr>
                <w:spacing w:val="7"/>
              </w:rPr>
              <w:t>产生浓度（</w:t>
            </w:r>
            <w:r>
              <w:rPr>
                <w:rFonts w:ascii="Times New Roman" w:hAnsi="Times New Roman" w:eastAsia="Times New Roman" w:cs="Times New Roman"/>
              </w:rPr>
              <w:t>mg</w:t>
            </w:r>
            <w:r>
              <w:rPr>
                <w:rFonts w:ascii="Times New Roman" w:hAnsi="Times New Roman" w:eastAsia="Times New Roman" w:cs="Times New Roman"/>
                <w:spacing w:val="7"/>
              </w:rPr>
              <w:t>/L</w:t>
            </w:r>
            <w:r>
              <w:rPr>
                <w:spacing w:val="7"/>
              </w:rPr>
              <w:t>）</w:t>
            </w:r>
          </w:p>
        </w:tc>
        <w:tc>
          <w:tcPr>
            <w:tcW w:w="6318" w:type="dxa"/>
            <w:vAlign w:val="top"/>
            <w:gridSpan w:val="3"/>
          </w:tcPr>
          <w:p>
            <w:pPr>
              <w:pStyle w:val="TableText"/>
              <w:ind w:left="2323"/>
              <w:spacing w:before="170" w:line="227" w:lineRule="auto"/>
              <w:rPr/>
            </w:pPr>
            <w:r>
              <w:rPr>
                <w:spacing w:val="8"/>
              </w:rPr>
              <w:t>拟处置方案及去向</w:t>
            </w:r>
          </w:p>
        </w:tc>
      </w:tr>
      <w:tr>
        <w:trPr>
          <w:trHeight w:val="2056" w:hRule="atLeast"/>
        </w:trPr>
        <w:tc>
          <w:tcPr>
            <w:tcW w:w="807" w:type="dxa"/>
            <w:vAlign w:val="top"/>
          </w:tcPr>
          <w:p>
            <w:pPr>
              <w:spacing w:line="299" w:lineRule="auto"/>
              <w:rPr>
                <w:rFonts w:ascii="Arial"/>
                <w:sz w:val="21"/>
              </w:rPr>
            </w:pPr>
            <w:r/>
          </w:p>
          <w:p>
            <w:pPr>
              <w:spacing w:line="299" w:lineRule="auto"/>
              <w:rPr>
                <w:rFonts w:ascii="Arial"/>
                <w:sz w:val="21"/>
              </w:rPr>
            </w:pPr>
            <w:r/>
          </w:p>
          <w:p>
            <w:pPr>
              <w:spacing w:line="300" w:lineRule="auto"/>
              <w:rPr>
                <w:rFonts w:ascii="Arial"/>
                <w:sz w:val="21"/>
              </w:rPr>
            </w:pPr>
            <w:r/>
          </w:p>
          <w:p>
            <w:pPr>
              <w:ind w:left="214"/>
              <w:spacing w:before="58" w:line="20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W</w:t>
            </w:r>
            <w:r>
              <w:rPr>
                <w:rFonts w:ascii="Times New Roman" w:hAnsi="Times New Roman" w:eastAsia="Times New Roman" w:cs="Times New Roman"/>
                <w:sz w:val="13"/>
                <w:szCs w:val="13"/>
                <w:spacing w:val="3"/>
              </w:rPr>
              <w:t>1-1</w:t>
            </w:r>
          </w:p>
        </w:tc>
        <w:tc>
          <w:tcPr>
            <w:tcW w:w="1500" w:type="dxa"/>
            <w:vAlign w:val="top"/>
          </w:tcPr>
          <w:p>
            <w:pPr>
              <w:spacing w:line="283" w:lineRule="auto"/>
              <w:rPr>
                <w:rFonts w:ascii="Arial"/>
                <w:sz w:val="21"/>
              </w:rPr>
            </w:pPr>
            <w:r/>
          </w:p>
          <w:p>
            <w:pPr>
              <w:spacing w:line="284" w:lineRule="auto"/>
              <w:rPr>
                <w:rFonts w:ascii="Arial"/>
                <w:sz w:val="21"/>
              </w:rPr>
            </w:pPr>
            <w:r/>
          </w:p>
          <w:p>
            <w:pPr>
              <w:spacing w:line="284" w:lineRule="auto"/>
              <w:rPr>
                <w:rFonts w:ascii="Arial"/>
                <w:sz w:val="21"/>
              </w:rPr>
            </w:pPr>
            <w:r/>
          </w:p>
          <w:p>
            <w:pPr>
              <w:pStyle w:val="TableText"/>
              <w:ind w:left="334"/>
              <w:spacing w:before="65" w:line="228" w:lineRule="auto"/>
              <w:rPr/>
            </w:pPr>
            <w:r>
              <w:rPr>
                <w:spacing w:val="7"/>
              </w:rPr>
              <w:t>洗毛废水</w:t>
            </w:r>
          </w:p>
        </w:tc>
        <w:tc>
          <w:tcPr>
            <w:tcW w:w="1330" w:type="dxa"/>
            <w:vAlign w:val="top"/>
          </w:tcPr>
          <w:p>
            <w:pPr>
              <w:spacing w:line="298" w:lineRule="auto"/>
              <w:rPr>
                <w:rFonts w:ascii="Arial"/>
                <w:sz w:val="21"/>
              </w:rPr>
            </w:pPr>
            <w:r/>
          </w:p>
          <w:p>
            <w:pPr>
              <w:spacing w:line="298" w:lineRule="auto"/>
              <w:rPr>
                <w:rFonts w:ascii="Arial"/>
                <w:sz w:val="21"/>
              </w:rPr>
            </w:pPr>
            <w:r/>
          </w:p>
          <w:p>
            <w:pPr>
              <w:spacing w:line="299" w:lineRule="auto"/>
              <w:rPr>
                <w:rFonts w:ascii="Arial"/>
                <w:sz w:val="21"/>
              </w:rPr>
            </w:pPr>
            <w:r/>
          </w:p>
          <w:p>
            <w:pPr>
              <w:ind w:left="402"/>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40500</w:t>
            </w:r>
          </w:p>
        </w:tc>
        <w:tc>
          <w:tcPr>
            <w:tcW w:w="1627" w:type="dxa"/>
            <w:vAlign w:val="top"/>
          </w:tcPr>
          <w:p>
            <w:pPr>
              <w:ind w:left="681"/>
              <w:spacing w:before="53"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pH</w:t>
            </w:r>
          </w:p>
          <w:p>
            <w:pPr>
              <w:ind w:left="542"/>
              <w:spacing w:before="53"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COD</w:t>
            </w:r>
            <w:r>
              <w:rPr>
                <w:rFonts w:ascii="Times New Roman" w:hAnsi="Times New Roman" w:eastAsia="Times New Roman" w:cs="Times New Roman"/>
                <w:sz w:val="13"/>
                <w:szCs w:val="13"/>
                <w:spacing w:val="3"/>
                <w:position w:val="-1"/>
              </w:rPr>
              <w:t>cr</w:t>
            </w:r>
          </w:p>
          <w:p>
            <w:pPr>
              <w:ind w:left="557"/>
              <w:spacing w:before="46"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5"/>
              </w:rPr>
              <w:t>BOD</w:t>
            </w:r>
            <w:r>
              <w:rPr>
                <w:rFonts w:ascii="Times New Roman" w:hAnsi="Times New Roman" w:eastAsia="Times New Roman" w:cs="Times New Roman"/>
                <w:sz w:val="13"/>
                <w:szCs w:val="13"/>
                <w:spacing w:val="5"/>
                <w:position w:val="-1"/>
              </w:rPr>
              <w:t>5</w:t>
            </w:r>
          </w:p>
          <w:p>
            <w:pPr>
              <w:ind w:left="706"/>
              <w:spacing w:before="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SS</w:t>
            </w:r>
          </w:p>
          <w:p>
            <w:pPr>
              <w:pStyle w:val="TableText"/>
              <w:ind w:left="608"/>
              <w:spacing w:before="34" w:line="227" w:lineRule="auto"/>
              <w:rPr/>
            </w:pPr>
            <w:r>
              <w:rPr>
                <w:spacing w:val="4"/>
              </w:rPr>
              <w:t>氨氮</w:t>
            </w:r>
          </w:p>
          <w:p>
            <w:pPr>
              <w:pStyle w:val="TableText"/>
              <w:ind w:left="613"/>
              <w:spacing w:before="28" w:line="228" w:lineRule="auto"/>
              <w:rPr/>
            </w:pPr>
            <w:r>
              <w:rPr>
                <w:spacing w:val="2"/>
              </w:rPr>
              <w:t>总磷</w:t>
            </w:r>
          </w:p>
          <w:p>
            <w:pPr>
              <w:pStyle w:val="TableText"/>
              <w:ind w:left="613"/>
              <w:spacing w:before="24" w:line="227" w:lineRule="auto"/>
              <w:rPr/>
            </w:pPr>
            <w:r>
              <w:rPr>
                <w:spacing w:val="2"/>
              </w:rPr>
              <w:t>总氮</w:t>
            </w:r>
          </w:p>
          <w:p>
            <w:pPr>
              <w:pStyle w:val="TableText"/>
              <w:ind w:left="400"/>
              <w:spacing w:before="26" w:line="215" w:lineRule="auto"/>
              <w:rPr/>
            </w:pPr>
            <w:r>
              <w:rPr>
                <w:spacing w:val="7"/>
              </w:rPr>
              <w:t>动植物油</w:t>
            </w:r>
          </w:p>
        </w:tc>
        <w:tc>
          <w:tcPr>
            <w:tcW w:w="1986" w:type="dxa"/>
            <w:vAlign w:val="top"/>
          </w:tcPr>
          <w:p>
            <w:pPr>
              <w:ind w:left="837"/>
              <w:spacing w:before="11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6~8</w:t>
            </w:r>
          </w:p>
          <w:p>
            <w:pPr>
              <w:ind w:left="724"/>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~9378</w:t>
            </w:r>
          </w:p>
          <w:p>
            <w:pPr>
              <w:ind w:left="779"/>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~720</w:t>
            </w:r>
          </w:p>
          <w:p>
            <w:pPr>
              <w:ind w:left="779"/>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~700</w:t>
            </w:r>
          </w:p>
          <w:p>
            <w:pPr>
              <w:ind w:left="700"/>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w:t>
            </w:r>
            <w:r>
              <w:rPr>
                <w:rFonts w:ascii="Times New Roman" w:hAnsi="Times New Roman" w:eastAsia="Times New Roman" w:cs="Times New Roman"/>
                <w:sz w:val="20"/>
                <w:szCs w:val="20"/>
                <w:spacing w:val="-21"/>
              </w:rPr>
              <w:t xml:space="preserve"> </w:t>
            </w:r>
            <w:r>
              <w:rPr>
                <w:rFonts w:ascii="Times New Roman" w:hAnsi="Times New Roman" w:eastAsia="Times New Roman" w:cs="Times New Roman"/>
                <w:sz w:val="20"/>
                <w:szCs w:val="20"/>
                <w:spacing w:val="-1"/>
              </w:rPr>
              <w:t>118.6</w:t>
            </w:r>
          </w:p>
          <w:p>
            <w:pPr>
              <w:ind w:left="779"/>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~219</w:t>
            </w:r>
          </w:p>
          <w:p>
            <w:pPr>
              <w:ind w:left="753"/>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~7.96</w:t>
            </w:r>
          </w:p>
          <w:p>
            <w:pPr>
              <w:ind w:left="830"/>
              <w:spacing w:before="5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~50</w:t>
            </w:r>
          </w:p>
        </w:tc>
        <w:tc>
          <w:tcPr>
            <w:tcW w:w="1175" w:type="dxa"/>
            <w:vAlign w:val="top"/>
          </w:tcPr>
          <w:p>
            <w:pPr>
              <w:spacing w:line="283" w:lineRule="auto"/>
              <w:rPr>
                <w:rFonts w:ascii="Arial"/>
                <w:sz w:val="21"/>
              </w:rPr>
            </w:pPr>
            <w:r/>
          </w:p>
          <w:p>
            <w:pPr>
              <w:spacing w:line="284" w:lineRule="auto"/>
              <w:rPr>
                <w:rFonts w:ascii="Arial"/>
                <w:sz w:val="21"/>
              </w:rPr>
            </w:pPr>
            <w:r/>
          </w:p>
          <w:p>
            <w:pPr>
              <w:spacing w:line="284" w:lineRule="auto"/>
              <w:rPr>
                <w:rFonts w:ascii="Arial"/>
                <w:sz w:val="21"/>
              </w:rPr>
            </w:pPr>
            <w:r/>
          </w:p>
          <w:p>
            <w:pPr>
              <w:pStyle w:val="TableText"/>
              <w:ind w:left="71"/>
              <w:spacing w:before="65" w:line="228" w:lineRule="auto"/>
              <w:rPr/>
            </w:pPr>
            <w:r>
              <w:rPr>
                <w:spacing w:val="7"/>
              </w:rPr>
              <w:t>调质后废水</w:t>
            </w:r>
          </w:p>
        </w:tc>
        <w:tc>
          <w:tcPr>
            <w:tcW w:w="1977" w:type="dxa"/>
            <w:vAlign w:val="top"/>
          </w:tcPr>
          <w:p>
            <w:pPr>
              <w:pStyle w:val="TableText"/>
              <w:ind w:left="613"/>
              <w:spacing w:before="32" w:line="221" w:lineRule="auto"/>
              <w:rPr>
                <w:rFonts w:ascii="Times New Roman" w:hAnsi="Times New Roman" w:eastAsia="Times New Roman" w:cs="Times New Roman"/>
              </w:rPr>
            </w:pPr>
            <w:r>
              <w:pict>
                <v:shape id="_x0000_s520" style="position:absolute;margin-left:-92.6707pt;margin-top:95.8824pt;mso-position-vertical-relative:top-margin-area;mso-position-horizontal-relative:right-margin-area;width:87.25pt;height:14.35pt;z-index:251887616;" filled="false" stroked="false" type="#_x0000_t202">
                  <v:fill on="false"/>
                  <v:stroke on="false"/>
                  <v:path/>
                  <v:imagedata o:title=""/>
                  <o:lock v:ext="edit" aspectratio="false"/>
                  <v:textbox inset="0mm,0mm,0mm,0mm">
                    <w:txbxContent>
                      <w:p>
                        <w:pPr>
                          <w:pStyle w:val="TableText"/>
                          <w:ind w:left="20"/>
                          <w:spacing w:before="19" w:line="228" w:lineRule="auto"/>
                          <w:rPr>
                            <w:rFonts w:ascii="Times New Roman" w:hAnsi="Times New Roman" w:eastAsia="Times New Roman" w:cs="Times New Roman"/>
                          </w:rPr>
                        </w:pPr>
                        <w:r>
                          <w:rPr>
                            <w:spacing w:val="5"/>
                          </w:rPr>
                          <w:t>动植物油：</w:t>
                        </w:r>
                        <w:r>
                          <w:rPr>
                            <w:rFonts w:ascii="Times New Roman" w:hAnsi="Times New Roman" w:eastAsia="Times New Roman" w:cs="Times New Roman"/>
                            <w:spacing w:val="5"/>
                          </w:rPr>
                          <w:t>50     /L</w:t>
                        </w:r>
                      </w:p>
                    </w:txbxContent>
                  </v:textbox>
                </v:shape>
              </w:pict>
            </w:r>
            <w:r>
              <w:rPr>
                <w:rFonts w:ascii="Times New Roman" w:hAnsi="Times New Roman" w:eastAsia="Times New Roman" w:cs="Times New Roman"/>
              </w:rPr>
              <w:t>pH</w:t>
            </w:r>
            <w:r>
              <w:rPr>
                <w:spacing w:val="8"/>
              </w:rPr>
              <w:t>：</w:t>
            </w:r>
            <w:r>
              <w:rPr>
                <w:rFonts w:ascii="Times New Roman" w:hAnsi="Times New Roman" w:eastAsia="Times New Roman" w:cs="Times New Roman"/>
                <w:spacing w:val="8"/>
              </w:rPr>
              <w:t>6-8</w:t>
            </w:r>
          </w:p>
          <w:p>
            <w:pPr>
              <w:pStyle w:val="TableText"/>
              <w:ind w:left="125"/>
              <w:spacing w:before="31" w:line="221" w:lineRule="auto"/>
              <w:rPr>
                <w:rFonts w:ascii="Times New Roman" w:hAnsi="Times New Roman" w:eastAsia="Times New Roman" w:cs="Times New Roman"/>
              </w:rPr>
            </w:pPr>
            <w:r>
              <w:rPr>
                <w:rFonts w:ascii="Times New Roman" w:hAnsi="Times New Roman" w:eastAsia="Times New Roman" w:cs="Times New Roman"/>
              </w:rPr>
              <w:t>COD</w:t>
            </w:r>
            <w:r>
              <w:rPr>
                <w:rFonts w:ascii="Times New Roman" w:hAnsi="Times New Roman" w:eastAsia="Times New Roman" w:cs="Times New Roman"/>
                <w:sz w:val="13"/>
                <w:szCs w:val="13"/>
                <w:position w:val="-1"/>
              </w:rPr>
              <w:t>cr</w:t>
            </w:r>
            <w:r>
              <w:rPr>
                <w:rFonts w:ascii="Times New Roman" w:hAnsi="Times New Roman" w:eastAsia="Times New Roman" w:cs="Times New Roman"/>
                <w:sz w:val="13"/>
                <w:szCs w:val="13"/>
                <w:spacing w:val="-8"/>
                <w:position w:val="-1"/>
              </w:rPr>
              <w:t xml:space="preserve"> </w:t>
            </w:r>
            <w:r>
              <w:rPr>
                <w:spacing w:val="6"/>
              </w:rPr>
              <w:t>：</w:t>
            </w:r>
            <w:r>
              <w:rPr>
                <w:rFonts w:ascii="Times New Roman" w:hAnsi="Times New Roman" w:eastAsia="Times New Roman" w:cs="Times New Roman"/>
                <w:spacing w:val="6"/>
              </w:rPr>
              <w:t>15000</w:t>
            </w:r>
            <w:r>
              <w:rPr>
                <w:rFonts w:ascii="Times New Roman" w:hAnsi="Times New Roman" w:eastAsia="Times New Roman" w:cs="Times New Roman"/>
              </w:rPr>
              <w:t>mg</w:t>
            </w:r>
            <w:r>
              <w:rPr>
                <w:rFonts w:ascii="Times New Roman" w:hAnsi="Times New Roman" w:eastAsia="Times New Roman" w:cs="Times New Roman"/>
                <w:spacing w:val="6"/>
              </w:rPr>
              <w:t>/L</w:t>
            </w:r>
          </w:p>
          <w:p>
            <w:pPr>
              <w:pStyle w:val="TableText"/>
              <w:ind w:left="288" w:right="135" w:hanging="148"/>
              <w:spacing w:before="32" w:line="242" w:lineRule="auto"/>
              <w:rPr>
                <w:rFonts w:ascii="Times New Roman" w:hAnsi="Times New Roman" w:eastAsia="Times New Roman" w:cs="Times New Roman"/>
              </w:rPr>
            </w:pPr>
            <w:r>
              <w:rPr>
                <w:rFonts w:ascii="Times New Roman" w:hAnsi="Times New Roman" w:eastAsia="Times New Roman" w:cs="Times New Roman"/>
              </w:rPr>
              <w:t>BOD</w:t>
            </w:r>
            <w:r>
              <w:rPr>
                <w:rFonts w:ascii="Times New Roman" w:hAnsi="Times New Roman" w:eastAsia="Times New Roman" w:cs="Times New Roman"/>
                <w:sz w:val="13"/>
                <w:szCs w:val="13"/>
                <w:spacing w:val="5"/>
                <w:position w:val="-1"/>
              </w:rPr>
              <w:t>5</w:t>
            </w:r>
            <w:r>
              <w:rPr>
                <w:rFonts w:ascii="Times New Roman" w:hAnsi="Times New Roman" w:eastAsia="Times New Roman" w:cs="Times New Roman"/>
                <w:sz w:val="13"/>
                <w:szCs w:val="13"/>
                <w:spacing w:val="-4"/>
                <w:position w:val="-1"/>
              </w:rPr>
              <w:t xml:space="preserve"> </w:t>
            </w:r>
            <w:r>
              <w:rPr>
                <w:spacing w:val="5"/>
              </w:rPr>
              <w:t>：</w:t>
            </w:r>
            <w:r>
              <w:rPr>
                <w:rFonts w:ascii="Times New Roman" w:hAnsi="Times New Roman" w:eastAsia="Times New Roman" w:cs="Times New Roman"/>
                <w:spacing w:val="5"/>
              </w:rPr>
              <w:t>10000</w:t>
            </w:r>
            <w:r>
              <w:rPr>
                <w:rFonts w:ascii="Times New Roman" w:hAnsi="Times New Roman" w:eastAsia="Times New Roman" w:cs="Times New Roman"/>
              </w:rPr>
              <w:t>mg</w:t>
            </w:r>
            <w:r>
              <w:rPr>
                <w:rFonts w:ascii="Times New Roman" w:hAnsi="Times New Roman" w:eastAsia="Times New Roman" w:cs="Times New Roman"/>
                <w:spacing w:val="5"/>
              </w:rPr>
              <w:t>/L</w:t>
            </w:r>
            <w:r>
              <w:rPr>
                <w:rFonts w:ascii="Times New Roman" w:hAnsi="Times New Roman" w:eastAsia="Times New Roman" w:cs="Times New Roman"/>
              </w:rPr>
              <w:t xml:space="preserve"> </w:t>
            </w:r>
            <w:r>
              <w:rPr>
                <w:rFonts w:ascii="Times New Roman" w:hAnsi="Times New Roman" w:eastAsia="Times New Roman" w:cs="Times New Roman"/>
              </w:rPr>
              <w:t>SS</w:t>
            </w:r>
            <w:r>
              <w:rPr>
                <w:spacing w:val="6"/>
              </w:rPr>
              <w:t>：</w:t>
            </w:r>
            <w:r>
              <w:rPr>
                <w:rFonts w:ascii="Times New Roman" w:hAnsi="Times New Roman" w:eastAsia="Times New Roman" w:cs="Times New Roman"/>
                <w:spacing w:val="6"/>
              </w:rPr>
              <w:t>12000</w:t>
            </w:r>
            <w:r>
              <w:rPr>
                <w:rFonts w:ascii="Times New Roman" w:hAnsi="Times New Roman" w:eastAsia="Times New Roman" w:cs="Times New Roman"/>
              </w:rPr>
              <w:t>mg</w:t>
            </w:r>
            <w:r>
              <w:rPr>
                <w:rFonts w:ascii="Times New Roman" w:hAnsi="Times New Roman" w:eastAsia="Times New Roman" w:cs="Times New Roman"/>
                <w:spacing w:val="6"/>
              </w:rPr>
              <w:t>/L</w:t>
            </w:r>
          </w:p>
          <w:p>
            <w:pPr>
              <w:pStyle w:val="TableText"/>
              <w:ind w:left="243"/>
              <w:spacing w:before="20" w:line="221" w:lineRule="auto"/>
              <w:rPr>
                <w:rFonts w:ascii="Times New Roman" w:hAnsi="Times New Roman" w:eastAsia="Times New Roman" w:cs="Times New Roman"/>
              </w:rPr>
            </w:pPr>
            <w:r>
              <w:rPr>
                <w:spacing w:val="6"/>
              </w:rPr>
              <w:t>氨氮：</w:t>
            </w:r>
            <w:r>
              <w:rPr>
                <w:rFonts w:ascii="Times New Roman" w:hAnsi="Times New Roman" w:eastAsia="Times New Roman" w:cs="Times New Roman"/>
                <w:spacing w:val="6"/>
              </w:rPr>
              <w:t>1000</w:t>
            </w:r>
            <w:r>
              <w:rPr>
                <w:rFonts w:ascii="Times New Roman" w:hAnsi="Times New Roman" w:eastAsia="Times New Roman" w:cs="Times New Roman"/>
              </w:rPr>
              <w:t>mg</w:t>
            </w:r>
            <w:r>
              <w:rPr>
                <w:rFonts w:ascii="Times New Roman" w:hAnsi="Times New Roman" w:eastAsia="Times New Roman" w:cs="Times New Roman"/>
                <w:spacing w:val="6"/>
              </w:rPr>
              <w:t>/L</w:t>
            </w:r>
          </w:p>
          <w:p>
            <w:pPr>
              <w:pStyle w:val="TableText"/>
              <w:ind w:left="301"/>
              <w:spacing w:before="34" w:line="221" w:lineRule="auto"/>
              <w:rPr>
                <w:rFonts w:ascii="Times New Roman" w:hAnsi="Times New Roman" w:eastAsia="Times New Roman" w:cs="Times New Roman"/>
              </w:rPr>
            </w:pPr>
            <w:r>
              <w:rPr>
                <w:spacing w:val="6"/>
              </w:rPr>
              <w:t>总磷：</w:t>
            </w:r>
            <w:r>
              <w:rPr>
                <w:rFonts w:ascii="Times New Roman" w:hAnsi="Times New Roman" w:eastAsia="Times New Roman" w:cs="Times New Roman"/>
                <w:spacing w:val="6"/>
              </w:rPr>
              <w:t>300</w:t>
            </w:r>
            <w:r>
              <w:rPr>
                <w:rFonts w:ascii="Times New Roman" w:hAnsi="Times New Roman" w:eastAsia="Times New Roman" w:cs="Times New Roman"/>
              </w:rPr>
              <w:t>mg</w:t>
            </w:r>
            <w:r>
              <w:rPr>
                <w:rFonts w:ascii="Times New Roman" w:hAnsi="Times New Roman" w:eastAsia="Times New Roman" w:cs="Times New Roman"/>
                <w:spacing w:val="6"/>
              </w:rPr>
              <w:t>/L</w:t>
            </w:r>
          </w:p>
          <w:p>
            <w:pPr>
              <w:pStyle w:val="TableText"/>
              <w:ind w:left="354"/>
              <w:spacing w:before="34" w:line="221" w:lineRule="auto"/>
              <w:rPr>
                <w:rFonts w:ascii="Times New Roman" w:hAnsi="Times New Roman" w:eastAsia="Times New Roman" w:cs="Times New Roman"/>
              </w:rPr>
            </w:pPr>
            <w:r>
              <w:rPr>
                <w:spacing w:val="6"/>
              </w:rPr>
              <w:t>总氮：</w:t>
            </w:r>
            <w:r>
              <w:rPr>
                <w:rFonts w:ascii="Times New Roman" w:hAnsi="Times New Roman" w:eastAsia="Times New Roman" w:cs="Times New Roman"/>
                <w:spacing w:val="6"/>
              </w:rPr>
              <w:t>50</w:t>
            </w:r>
            <w:r>
              <w:rPr>
                <w:rFonts w:ascii="Times New Roman" w:hAnsi="Times New Roman" w:eastAsia="Times New Roman" w:cs="Times New Roman"/>
              </w:rPr>
              <w:t>mg</w:t>
            </w:r>
            <w:r>
              <w:rPr>
                <w:rFonts w:ascii="Times New Roman" w:hAnsi="Times New Roman" w:eastAsia="Times New Roman" w:cs="Times New Roman"/>
                <w:spacing w:val="6"/>
              </w:rPr>
              <w:t>/L</w:t>
            </w:r>
          </w:p>
        </w:tc>
        <w:tc>
          <w:tcPr>
            <w:tcW w:w="3166" w:type="dxa"/>
            <w:vAlign w:val="top"/>
          </w:tcPr>
          <w:p>
            <w:pPr>
              <w:spacing w:line="290" w:lineRule="auto"/>
              <w:rPr>
                <w:rFonts w:ascii="Arial"/>
                <w:sz w:val="21"/>
              </w:rPr>
            </w:pPr>
            <w:r/>
          </w:p>
          <w:p>
            <w:pPr>
              <w:spacing w:line="290" w:lineRule="auto"/>
              <w:rPr>
                <w:rFonts w:ascii="Arial"/>
                <w:sz w:val="21"/>
              </w:rPr>
            </w:pPr>
            <w:r/>
          </w:p>
          <w:p>
            <w:pPr>
              <w:pStyle w:val="TableText"/>
              <w:ind w:left="20"/>
              <w:spacing w:before="65" w:line="227" w:lineRule="auto"/>
              <w:rPr/>
            </w:pPr>
            <w:r>
              <w:rPr>
                <w:spacing w:val="8"/>
              </w:rPr>
              <w:t>收集输送至厌氧发酵罐厌氧发酵，</w:t>
            </w:r>
          </w:p>
          <w:p>
            <w:pPr>
              <w:pStyle w:val="TableText"/>
              <w:ind w:left="14"/>
              <w:spacing w:before="27" w:line="227" w:lineRule="auto"/>
              <w:rPr/>
            </w:pPr>
            <w:r>
              <w:rPr>
                <w:spacing w:val="9"/>
              </w:rPr>
              <w:t>厌氧发酵达到沼肥标准后还田利用</w:t>
            </w:r>
          </w:p>
          <w:p>
            <w:pPr>
              <w:pStyle w:val="TableText"/>
              <w:ind w:left="1074"/>
              <w:spacing w:before="25" w:line="228" w:lineRule="auto"/>
              <w:rPr/>
            </w:pPr>
            <w:r>
              <w:rPr>
                <w:spacing w:val="2"/>
              </w:rPr>
              <w:t>（自用）。</w:t>
            </w:r>
          </w:p>
        </w:tc>
      </w:tr>
      <w:tr>
        <w:trPr>
          <w:trHeight w:val="281" w:hRule="atLeast"/>
        </w:trPr>
        <w:tc>
          <w:tcPr>
            <w:tcW w:w="807" w:type="dxa"/>
            <w:vAlign w:val="top"/>
          </w:tcPr>
          <w:p>
            <w:pPr>
              <w:ind w:left="370"/>
              <w:spacing w:before="6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500" w:type="dxa"/>
            <w:vAlign w:val="top"/>
          </w:tcPr>
          <w:p>
            <w:pPr>
              <w:pStyle w:val="TableText"/>
              <w:ind w:left="544"/>
              <w:spacing w:before="34" w:line="218" w:lineRule="auto"/>
              <w:rPr/>
            </w:pPr>
            <w:r>
              <w:rPr>
                <w:spacing w:val="4"/>
              </w:rPr>
              <w:t>合计</w:t>
            </w:r>
          </w:p>
        </w:tc>
        <w:tc>
          <w:tcPr>
            <w:tcW w:w="1330" w:type="dxa"/>
            <w:vAlign w:val="top"/>
          </w:tcPr>
          <w:p>
            <w:pPr>
              <w:ind w:left="408"/>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59220</w:t>
            </w:r>
          </w:p>
        </w:tc>
        <w:tc>
          <w:tcPr>
            <w:tcW w:w="1627" w:type="dxa"/>
            <w:vAlign w:val="top"/>
          </w:tcPr>
          <w:p>
            <w:pPr>
              <w:ind w:left="782"/>
              <w:spacing w:before="6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986" w:type="dxa"/>
            <w:vAlign w:val="top"/>
          </w:tcPr>
          <w:p>
            <w:pPr>
              <w:ind w:left="962"/>
              <w:spacing w:before="6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6318" w:type="dxa"/>
            <w:vAlign w:val="top"/>
            <w:gridSpan w:val="3"/>
          </w:tcPr>
          <w:p>
            <w:pPr>
              <w:ind w:left="2566"/>
              <w:spacing w:line="84" w:lineRule="exact"/>
              <w:rPr>
                <w:rFonts w:ascii="Times New Roman" w:hAnsi="Times New Roman" w:eastAsia="Times New Roman" w:cs="Times New Roman"/>
                <w:sz w:val="12"/>
                <w:szCs w:val="12"/>
              </w:rPr>
            </w:pPr>
            <w:r>
              <w:rPr>
                <w:rFonts w:ascii="Times New Roman" w:hAnsi="Times New Roman" w:eastAsia="Times New Roman" w:cs="Times New Roman"/>
                <w:sz w:val="12"/>
                <w:szCs w:val="12"/>
                <w:spacing w:val="9"/>
                <w:w w:val="161"/>
                <w:position w:val="1"/>
              </w:rPr>
              <w:t>mg</w:t>
            </w:r>
          </w:p>
          <w:p>
            <w:pPr>
              <w:ind w:left="3126"/>
              <w:spacing w:line="18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bl>
    <w:p>
      <w:pPr>
        <w:pStyle w:val="BodyText"/>
        <w:rPr/>
      </w:pPr>
      <w:r/>
    </w:p>
    <w:p>
      <w:pPr>
        <w:sectPr>
          <w:footerReference w:type="default" r:id="rId111"/>
          <w:pgSz w:w="16840" w:h="11907"/>
          <w:pgMar w:top="1567" w:right="1633" w:bottom="1480" w:left="1633" w:header="1221" w:footer="1246" w:gutter="0"/>
        </w:sectPr>
        <w:rPr/>
      </w:pPr>
    </w:p>
    <w:p>
      <w:pPr>
        <w:ind w:left="515"/>
        <w:spacing w:before="168" w:line="219" w:lineRule="auto"/>
        <w:rPr>
          <w:rFonts w:ascii="SimSun" w:hAnsi="SimSun" w:eastAsia="SimSun" w:cs="SimSun"/>
          <w:sz w:val="24"/>
          <w:szCs w:val="24"/>
        </w:rPr>
      </w:pPr>
      <w:r>
        <w:pict>
          <v:shape id="_x0000_s524" style="position:absolute;margin-left:85.05pt;margin-top:78.87pt;mso-position-vertical-relative:page;mso-position-horizontal-relative:page;width:425.25pt;height:0.75pt;z-index:251888640;" o:allowincell="f" fillcolor="#000000" filled="true" stroked="false" coordsize="8505,15" coordorigin="0,0" path="m,l8505,0l8505,14l0,14l0,0xe"/>
        </w:pict>
      </w:r>
      <w:r>
        <w:rPr>
          <w:rFonts w:ascii="Times New Roman" w:hAnsi="Times New Roman" w:eastAsia="Times New Roman" w:cs="Times New Roman"/>
          <w:sz w:val="24"/>
          <w:szCs w:val="24"/>
          <w:b/>
          <w:bCs/>
          <w:spacing w:val="-4"/>
        </w:rPr>
        <w:t>2</w:t>
      </w:r>
      <w:r>
        <w:rPr>
          <w:rFonts w:ascii="Times New Roman" w:hAnsi="Times New Roman" w:eastAsia="Times New Roman" w:cs="Times New Roman"/>
          <w:sz w:val="24"/>
          <w:szCs w:val="24"/>
          <w:b/>
          <w:bCs/>
          <w:spacing w:val="-29"/>
        </w:rPr>
        <w:t xml:space="preserve"> </w:t>
      </w:r>
      <w:r>
        <w:rPr>
          <w:rFonts w:ascii="SimSun" w:hAnsi="SimSun" w:eastAsia="SimSun" w:cs="SimSun"/>
          <w:sz w:val="24"/>
          <w:szCs w:val="24"/>
          <w:b/>
          <w:bCs/>
          <w:spacing w:val="-4"/>
        </w:rPr>
        <w:t>、沼液肥综合利用土地消纳可行性</w:t>
      </w:r>
    </w:p>
    <w:p>
      <w:pPr>
        <w:ind w:left="37" w:right="37" w:firstLine="481"/>
        <w:spacing w:before="179" w:line="360" w:lineRule="auto"/>
        <w:jc w:val="both"/>
        <w:rPr>
          <w:rFonts w:ascii="SimSun" w:hAnsi="SimSun" w:eastAsia="SimSun" w:cs="SimSun"/>
          <w:sz w:val="24"/>
          <w:szCs w:val="24"/>
        </w:rPr>
      </w:pPr>
      <w:r>
        <w:rPr>
          <w:rFonts w:ascii="SimSun" w:hAnsi="SimSun" w:eastAsia="SimSun" w:cs="SimSun"/>
          <w:sz w:val="24"/>
          <w:szCs w:val="24"/>
          <w:spacing w:val="13"/>
        </w:rPr>
        <w:t>本项</w:t>
      </w:r>
      <w:r>
        <w:rPr>
          <w:rFonts w:ascii="SimSun" w:hAnsi="SimSun" w:eastAsia="SimSun" w:cs="SimSun"/>
          <w:sz w:val="24"/>
          <w:szCs w:val="24"/>
          <w:spacing w:val="-40"/>
        </w:rPr>
        <w:t xml:space="preserve"> </w:t>
      </w:r>
      <w:r>
        <w:rPr>
          <w:rFonts w:ascii="SimSun" w:hAnsi="SimSun" w:eastAsia="SimSun" w:cs="SimSun"/>
          <w:sz w:val="24"/>
          <w:szCs w:val="24"/>
          <w:spacing w:val="13"/>
        </w:rPr>
        <w:t>目</w:t>
      </w:r>
      <w:r>
        <w:rPr>
          <w:rFonts w:ascii="SimSun" w:hAnsi="SimSun" w:eastAsia="SimSun" w:cs="SimSun"/>
          <w:sz w:val="24"/>
          <w:szCs w:val="24"/>
          <w:spacing w:val="-63"/>
        </w:rPr>
        <w:t xml:space="preserve"> </w:t>
      </w:r>
      <w:r>
        <w:rPr>
          <w:rFonts w:ascii="SimSun" w:hAnsi="SimSun" w:eastAsia="SimSun" w:cs="SimSun"/>
          <w:sz w:val="24"/>
          <w:szCs w:val="24"/>
          <w:spacing w:val="13"/>
        </w:rPr>
        <w:t>已租赁内蒙古锡林郭勒盟正镶白旗星耀镇查干宝恩木村</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13"/>
        </w:rPr>
        <w:t>669.6</w:t>
      </w:r>
      <w:r>
        <w:rPr>
          <w:rFonts w:ascii="Times New Roman" w:hAnsi="Times New Roman" w:eastAsia="Times New Roman" w:cs="Times New Roman"/>
          <w:sz w:val="24"/>
          <w:szCs w:val="24"/>
          <w:spacing w:val="33"/>
          <w:w w:val="101"/>
        </w:rPr>
        <w:t xml:space="preserve"> </w:t>
      </w:r>
      <w:r>
        <w:rPr>
          <w:rFonts w:ascii="SimSun" w:hAnsi="SimSun" w:eastAsia="SimSun" w:cs="SimSun"/>
          <w:sz w:val="24"/>
          <w:szCs w:val="24"/>
          <w:spacing w:val="13"/>
        </w:rPr>
        <w:t>亩</w:t>
      </w:r>
      <w:r>
        <w:rPr>
          <w:rFonts w:ascii="SimSun" w:hAnsi="SimSun" w:eastAsia="SimSun" w:cs="SimSun"/>
          <w:sz w:val="24"/>
          <w:szCs w:val="2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44.64hm</w:t>
      </w:r>
      <w:r>
        <w:rPr>
          <w:rFonts w:ascii="Times New Roman" w:hAnsi="Times New Roman" w:eastAsia="Times New Roman" w:cs="Times New Roman"/>
          <w:sz w:val="15"/>
          <w:szCs w:val="15"/>
          <w:spacing w:val="-2"/>
          <w:position w:val="8"/>
        </w:rPr>
        <w:t>2 </w:t>
      </w:r>
      <w:r>
        <w:rPr>
          <w:rFonts w:ascii="SimSun" w:hAnsi="SimSun" w:eastAsia="SimSun" w:cs="SimSun"/>
          <w:sz w:val="24"/>
          <w:szCs w:val="24"/>
          <w:spacing w:val="-34"/>
        </w:rPr>
        <w:t>），</w:t>
      </w:r>
      <w:r>
        <w:rPr>
          <w:rFonts w:ascii="SimSun" w:hAnsi="SimSun" w:eastAsia="SimSun" w:cs="SimSun"/>
          <w:sz w:val="24"/>
          <w:szCs w:val="24"/>
          <w:spacing w:val="-2"/>
        </w:rPr>
        <w:t>主要种植燕麦，液态肥料夏季用于耕地施肥。本项目已租赁内蒙古</w:t>
      </w:r>
      <w:r>
        <w:rPr>
          <w:rFonts w:ascii="SimSun" w:hAnsi="SimSun" w:eastAsia="SimSun" w:cs="SimSun"/>
          <w:sz w:val="24"/>
          <w:szCs w:val="24"/>
        </w:rPr>
        <w:t xml:space="preserve"> </w:t>
      </w:r>
      <w:r>
        <w:rPr>
          <w:rFonts w:ascii="SimSun" w:hAnsi="SimSun" w:eastAsia="SimSun" w:cs="SimSun"/>
          <w:sz w:val="24"/>
          <w:szCs w:val="24"/>
          <w:spacing w:val="-3"/>
        </w:rPr>
        <w:t>锡林郭勒盟正镶白旗星耀镇新河村委会永大组</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3"/>
        </w:rPr>
        <w:t>100 </w:t>
      </w:r>
      <w:r>
        <w:rPr>
          <w:rFonts w:ascii="SimSun" w:hAnsi="SimSun" w:eastAsia="SimSun" w:cs="SimSun"/>
          <w:sz w:val="24"/>
          <w:szCs w:val="24"/>
          <w:spacing w:val="-3"/>
        </w:rPr>
        <w:t>座大棚（约</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3"/>
        </w:rPr>
        <w:t>400 </w:t>
      </w:r>
      <w:r>
        <w:rPr>
          <w:rFonts w:ascii="SimSun" w:hAnsi="SimSun" w:eastAsia="SimSun" w:cs="SimSun"/>
          <w:sz w:val="24"/>
          <w:szCs w:val="24"/>
          <w:spacing w:val="-3"/>
        </w:rPr>
        <w:t>亩</w:t>
      </w:r>
      <w:r>
        <w:rPr>
          <w:rFonts w:ascii="SimSun" w:hAnsi="SimSun" w:eastAsia="SimSun" w:cs="SimSun"/>
          <w:sz w:val="24"/>
          <w:szCs w:val="24"/>
          <w:spacing w:val="-50"/>
          <w:w w:val="76"/>
        </w:rPr>
        <w:t>）（</w:t>
      </w:r>
      <w:r>
        <w:rPr>
          <w:rFonts w:ascii="SimSun" w:hAnsi="SimSun" w:eastAsia="SimSun" w:cs="SimSun"/>
          <w:sz w:val="24"/>
          <w:szCs w:val="24"/>
          <w:spacing w:val="-3"/>
        </w:rPr>
        <w:t>见附</w:t>
      </w:r>
      <w:r>
        <w:rPr>
          <w:rFonts w:ascii="SimSun" w:hAnsi="SimSun" w:eastAsia="SimSun" w:cs="SimSun"/>
          <w:sz w:val="24"/>
          <w:szCs w:val="24"/>
          <w:spacing w:val="-4"/>
        </w:rPr>
        <w:t>件</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4</w:t>
      </w:r>
      <w:r>
        <w:rPr>
          <w:rFonts w:ascii="SimSun" w:hAnsi="SimSun" w:eastAsia="SimSun" w:cs="SimSun"/>
          <w:sz w:val="24"/>
          <w:szCs w:val="24"/>
          <w:spacing w:val="-50"/>
          <w:w w:val="76"/>
        </w:rPr>
        <w:t>），</w:t>
      </w:r>
      <w:r>
        <w:rPr>
          <w:rFonts w:ascii="SimSun" w:hAnsi="SimSun" w:eastAsia="SimSun" w:cs="SimSun"/>
          <w:sz w:val="24"/>
          <w:szCs w:val="24"/>
        </w:rPr>
        <w:t xml:space="preserve"> </w:t>
      </w:r>
      <w:r>
        <w:rPr>
          <w:rFonts w:ascii="SimSun" w:hAnsi="SimSun" w:eastAsia="SimSun" w:cs="SimSun"/>
          <w:sz w:val="24"/>
          <w:szCs w:val="24"/>
          <w:spacing w:val="-1"/>
        </w:rPr>
        <w:t>主要种植樱桃、西红柿，用于本项目冬季液肥消纳。</w:t>
      </w:r>
    </w:p>
    <w:p>
      <w:pPr>
        <w:ind w:left="39" w:firstLine="479"/>
        <w:spacing w:line="359" w:lineRule="auto"/>
        <w:jc w:val="both"/>
        <w:rPr>
          <w:rFonts w:ascii="SimSun" w:hAnsi="SimSun" w:eastAsia="SimSun" w:cs="SimSun"/>
          <w:sz w:val="24"/>
          <w:szCs w:val="24"/>
        </w:rPr>
      </w:pPr>
      <w:r>
        <w:rPr>
          <w:rFonts w:ascii="SimSun" w:hAnsi="SimSun" w:eastAsia="SimSun" w:cs="SimSun"/>
          <w:sz w:val="24"/>
          <w:szCs w:val="24"/>
        </w:rPr>
        <w:t>根据</w:t>
      </w:r>
      <w:r>
        <w:rPr>
          <w:rFonts w:ascii="SimSun" w:hAnsi="SimSun" w:eastAsia="SimSun" w:cs="SimSun"/>
          <w:sz w:val="24"/>
          <w:szCs w:val="24"/>
          <w:spacing w:val="-45"/>
        </w:rPr>
        <w:t xml:space="preserve"> </w:t>
      </w:r>
      <w:r>
        <w:rPr>
          <w:rFonts w:ascii="Times New Roman" w:hAnsi="Times New Roman" w:eastAsia="Times New Roman" w:cs="Times New Roman"/>
          <w:sz w:val="24"/>
          <w:szCs w:val="24"/>
        </w:rPr>
        <w:t>7.2.1.4</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rPr>
        <w:t>章节分析，从土地消纳容量角度分析，项目固液分离后的沼液肥 </w:t>
      </w:r>
      <w:r>
        <w:rPr>
          <w:rFonts w:ascii="SimSun" w:hAnsi="SimSun" w:eastAsia="SimSun" w:cs="SimSun"/>
          <w:sz w:val="24"/>
          <w:szCs w:val="24"/>
          <w:spacing w:val="-1"/>
        </w:rPr>
        <w:t>用于规划农田施肥/大棚施肥土地消纳可行，项目沼液肥去向可满足《畜禽养殖业</w:t>
      </w:r>
      <w:r>
        <w:rPr>
          <w:rFonts w:ascii="SimSun" w:hAnsi="SimSun" w:eastAsia="SimSun" w:cs="SimSun"/>
          <w:sz w:val="24"/>
          <w:szCs w:val="24"/>
          <w:spacing w:val="7"/>
        </w:rPr>
        <w:t xml:space="preserve"> </w:t>
      </w:r>
      <w:r>
        <w:rPr>
          <w:rFonts w:ascii="SimSun" w:hAnsi="SimSun" w:eastAsia="SimSun" w:cs="SimSun"/>
          <w:sz w:val="24"/>
          <w:szCs w:val="24"/>
          <w:spacing w:val="-10"/>
        </w:rPr>
        <w:t>污染治理工程技术规范》（</w:t>
      </w:r>
      <w:r>
        <w:rPr>
          <w:rFonts w:ascii="Times New Roman" w:hAnsi="Times New Roman" w:eastAsia="Times New Roman" w:cs="Times New Roman"/>
          <w:sz w:val="24"/>
          <w:szCs w:val="24"/>
          <w:spacing w:val="-10"/>
        </w:rPr>
        <w:t>HJ/497-2009</w:t>
      </w:r>
      <w:r>
        <w:rPr>
          <w:rFonts w:ascii="SimSun" w:hAnsi="SimSun" w:eastAsia="SimSun" w:cs="SimSun"/>
          <w:sz w:val="24"/>
          <w:szCs w:val="24"/>
          <w:spacing w:val="-10"/>
        </w:rPr>
        <w:t>）、《沼肥施用技术规范》（</w:t>
      </w:r>
      <w:r>
        <w:rPr>
          <w:rFonts w:ascii="Times New Roman" w:hAnsi="Times New Roman" w:eastAsia="Times New Roman" w:cs="Times New Roman"/>
          <w:sz w:val="24"/>
          <w:szCs w:val="24"/>
          <w:spacing w:val="-10"/>
        </w:rPr>
        <w:t>NY/T2065-20</w:t>
      </w:r>
      <w:r>
        <w:rPr>
          <w:rFonts w:ascii="Times New Roman" w:hAnsi="Times New Roman" w:eastAsia="Times New Roman" w:cs="Times New Roman"/>
          <w:sz w:val="24"/>
          <w:szCs w:val="24"/>
          <w:spacing w:val="-11"/>
        </w:rPr>
        <w:t>11</w:t>
      </w:r>
      <w:r>
        <w:rPr>
          <w:rFonts w:ascii="SimSun" w:hAnsi="SimSun" w:eastAsia="SimSun" w:cs="SimSun"/>
          <w:sz w:val="24"/>
          <w:szCs w:val="24"/>
          <w:spacing w:val="-11"/>
        </w:rPr>
        <w:t>）</w:t>
      </w:r>
      <w:r>
        <w:rPr>
          <w:rFonts w:ascii="SimSun" w:hAnsi="SimSun" w:eastAsia="SimSun" w:cs="SimSun"/>
          <w:sz w:val="24"/>
          <w:szCs w:val="24"/>
        </w:rPr>
        <w:t xml:space="preserve"> </w:t>
      </w:r>
      <w:r>
        <w:rPr>
          <w:rFonts w:ascii="SimSun" w:hAnsi="SimSun" w:eastAsia="SimSun" w:cs="SimSun"/>
          <w:sz w:val="24"/>
          <w:szCs w:val="24"/>
          <w:spacing w:val="-4"/>
        </w:rPr>
        <w:t>要求。</w:t>
      </w:r>
    </w:p>
    <w:p>
      <w:pPr>
        <w:ind w:left="33"/>
        <w:spacing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3"/>
        </w:rPr>
        <w:t>3.5.1.3</w:t>
      </w:r>
      <w:r>
        <w:rPr>
          <w:rFonts w:ascii="Times New Roman" w:hAnsi="Times New Roman" w:eastAsia="Times New Roman" w:cs="Times New Roman"/>
          <w:sz w:val="24"/>
          <w:szCs w:val="24"/>
          <w:b/>
          <w:bCs/>
          <w:spacing w:val="31"/>
        </w:rPr>
        <w:t xml:space="preserve"> </w:t>
      </w:r>
      <w:r>
        <w:rPr>
          <w:rFonts w:ascii="SimSun" w:hAnsi="SimSun" w:eastAsia="SimSun" w:cs="SimSun"/>
          <w:sz w:val="24"/>
          <w:szCs w:val="24"/>
          <w:b/>
          <w:bCs/>
          <w:spacing w:val="-3"/>
        </w:rPr>
        <w:t>噪声产生、治理与排放情况</w:t>
      </w:r>
    </w:p>
    <w:p>
      <w:pPr>
        <w:ind w:left="37" w:right="96" w:firstLine="481"/>
        <w:spacing w:before="180" w:line="359" w:lineRule="auto"/>
        <w:jc w:val="both"/>
        <w:rPr>
          <w:rFonts w:ascii="SimSun" w:hAnsi="SimSun" w:eastAsia="SimSun" w:cs="SimSun"/>
          <w:sz w:val="24"/>
          <w:szCs w:val="24"/>
        </w:rPr>
      </w:pPr>
      <w:r>
        <w:rPr>
          <w:rFonts w:ascii="SimSun" w:hAnsi="SimSun" w:eastAsia="SimSun" w:cs="SimSun"/>
          <w:sz w:val="24"/>
          <w:szCs w:val="24"/>
          <w:spacing w:val="3"/>
        </w:rPr>
        <w:t>本项目噪声源较多，设计主要采取建筑隔声和消声、减振</w:t>
      </w:r>
      <w:r>
        <w:rPr>
          <w:rFonts w:ascii="SimSun" w:hAnsi="SimSun" w:eastAsia="SimSun" w:cs="SimSun"/>
          <w:sz w:val="24"/>
          <w:szCs w:val="24"/>
          <w:spacing w:val="2"/>
        </w:rPr>
        <w:t>、距离衰减等措施</w:t>
      </w:r>
      <w:r>
        <w:rPr>
          <w:rFonts w:ascii="SimSun" w:hAnsi="SimSun" w:eastAsia="SimSun" w:cs="SimSun"/>
          <w:sz w:val="24"/>
          <w:szCs w:val="24"/>
        </w:rPr>
        <w:t xml:space="preserve"> </w:t>
      </w:r>
      <w:r>
        <w:rPr>
          <w:rFonts w:ascii="SimSun" w:hAnsi="SimSun" w:eastAsia="SimSun" w:cs="SimSun"/>
          <w:sz w:val="24"/>
          <w:szCs w:val="24"/>
          <w:spacing w:val="3"/>
        </w:rPr>
        <w:t>降低噪声，采取措施后可以确保厂界环境噪声达到《工业</w:t>
      </w:r>
      <w:r>
        <w:rPr>
          <w:rFonts w:ascii="SimSun" w:hAnsi="SimSun" w:eastAsia="SimSun" w:cs="SimSun"/>
          <w:sz w:val="24"/>
          <w:szCs w:val="24"/>
          <w:spacing w:val="2"/>
        </w:rPr>
        <w:t>企业厂界环境噪声排放</w:t>
      </w:r>
      <w:r>
        <w:rPr>
          <w:rFonts w:ascii="SimSun" w:hAnsi="SimSun" w:eastAsia="SimSun" w:cs="SimSun"/>
          <w:sz w:val="24"/>
          <w:szCs w:val="24"/>
        </w:rPr>
        <w:t xml:space="preserve"> </w:t>
      </w:r>
      <w:r>
        <w:rPr>
          <w:rFonts w:ascii="SimSun" w:hAnsi="SimSun" w:eastAsia="SimSun" w:cs="SimSun"/>
          <w:sz w:val="24"/>
          <w:szCs w:val="24"/>
          <w:spacing w:val="3"/>
        </w:rPr>
        <w:t>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3"/>
        </w:rPr>
        <w:t>12348-2008</w:t>
      </w:r>
      <w:r>
        <w:rPr>
          <w:rFonts w:ascii="SimSun" w:hAnsi="SimSun" w:eastAsia="SimSun" w:cs="SimSun"/>
          <w:sz w:val="24"/>
          <w:szCs w:val="24"/>
          <w:spacing w:val="3"/>
        </w:rPr>
        <w:t>）</w:t>
      </w:r>
      <w:r>
        <w:rPr>
          <w:rFonts w:ascii="Times New Roman" w:hAnsi="Times New Roman" w:eastAsia="Times New Roman" w:cs="Times New Roman"/>
          <w:sz w:val="24"/>
          <w:szCs w:val="24"/>
          <w:spacing w:val="3"/>
        </w:rPr>
        <w:t>2 </w:t>
      </w:r>
      <w:r>
        <w:rPr>
          <w:rFonts w:ascii="SimSun" w:hAnsi="SimSun" w:eastAsia="SimSun" w:cs="SimSun"/>
          <w:sz w:val="24"/>
          <w:szCs w:val="24"/>
          <w:spacing w:val="3"/>
        </w:rPr>
        <w:t>类标准的要</w:t>
      </w:r>
      <w:r>
        <w:rPr>
          <w:rFonts w:ascii="SimSun" w:hAnsi="SimSun" w:eastAsia="SimSun" w:cs="SimSun"/>
          <w:sz w:val="24"/>
          <w:szCs w:val="24"/>
          <w:spacing w:val="2"/>
        </w:rPr>
        <w:t>求。本项目主要噪声源源强及防治措施见</w:t>
      </w:r>
      <w:r>
        <w:rPr>
          <w:rFonts w:ascii="SimSun" w:hAnsi="SimSun" w:eastAsia="SimSun" w:cs="SimSun"/>
          <w:sz w:val="24"/>
          <w:szCs w:val="24"/>
        </w:rPr>
        <w:t xml:space="preserve"> </w:t>
      </w:r>
      <w:r>
        <w:rPr>
          <w:rFonts w:ascii="SimSun" w:hAnsi="SimSun" w:eastAsia="SimSun" w:cs="SimSun"/>
          <w:sz w:val="24"/>
          <w:szCs w:val="24"/>
          <w:spacing w:val="-3"/>
        </w:rPr>
        <w:t>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3.5-9</w:t>
      </w:r>
      <w:r>
        <w:rPr>
          <w:rFonts w:ascii="SimSun" w:hAnsi="SimSun" w:eastAsia="SimSun" w:cs="SimSun"/>
          <w:sz w:val="24"/>
          <w:szCs w:val="24"/>
          <w:spacing w:val="-3"/>
        </w:rPr>
        <w:t>。</w:t>
      </w:r>
    </w:p>
    <w:p>
      <w:pPr>
        <w:ind w:left="1780"/>
        <w:spacing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3.5-9      </w:t>
      </w:r>
      <w:r>
        <w:rPr>
          <w:rFonts w:ascii="SimSun" w:hAnsi="SimSun" w:eastAsia="SimSun" w:cs="SimSun"/>
          <w:sz w:val="24"/>
          <w:szCs w:val="24"/>
          <w:b/>
          <w:bCs/>
          <w:spacing w:val="-2"/>
        </w:rPr>
        <w:t>室内噪声污染源及其治理措施一览表</w:t>
      </w:r>
    </w:p>
    <w:tbl>
      <w:tblPr>
        <w:tblStyle w:val="TableNormal"/>
        <w:tblW w:w="8556"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53"/>
        <w:gridCol w:w="563"/>
        <w:gridCol w:w="1151"/>
        <w:gridCol w:w="306"/>
        <w:gridCol w:w="325"/>
        <w:gridCol w:w="419"/>
        <w:gridCol w:w="423"/>
        <w:gridCol w:w="505"/>
        <w:gridCol w:w="607"/>
        <w:gridCol w:w="495"/>
        <w:gridCol w:w="454"/>
        <w:gridCol w:w="637"/>
        <w:gridCol w:w="454"/>
        <w:gridCol w:w="654"/>
        <w:gridCol w:w="740"/>
        <w:gridCol w:w="570"/>
      </w:tblGrid>
      <w:tr>
        <w:trPr>
          <w:trHeight w:val="281" w:hRule="atLeast"/>
        </w:trPr>
        <w:tc>
          <w:tcPr>
            <w:tcW w:w="253" w:type="dxa"/>
            <w:vAlign w:val="top"/>
            <w:vMerge w:val="restart"/>
            <w:textDirection w:val="tbRlV"/>
            <w:tcBorders>
              <w:bottom w:val="nil"/>
            </w:tcBorders>
          </w:tcPr>
          <w:p>
            <w:pPr>
              <w:pStyle w:val="TableText"/>
              <w:ind w:left="313"/>
              <w:spacing w:before="19" w:line="218" w:lineRule="auto"/>
              <w:rPr/>
            </w:pPr>
            <w:r>
              <w:rPr>
                <w:spacing w:val="8"/>
              </w:rPr>
              <w:t>序</w:t>
            </w:r>
            <w:r>
              <w:rPr>
                <w:spacing w:val="-38"/>
              </w:rPr>
              <w:t xml:space="preserve"> </w:t>
            </w:r>
            <w:r>
              <w:rPr>
                <w:spacing w:val="8"/>
              </w:rPr>
              <w:t>号</w:t>
            </w:r>
          </w:p>
        </w:tc>
        <w:tc>
          <w:tcPr>
            <w:tcW w:w="563" w:type="dxa"/>
            <w:vAlign w:val="top"/>
            <w:vMerge w:val="restart"/>
            <w:tcBorders>
              <w:bottom w:val="nil"/>
            </w:tcBorders>
          </w:tcPr>
          <w:p>
            <w:pPr>
              <w:pStyle w:val="TableText"/>
              <w:ind w:left="77"/>
              <w:spacing w:before="176" w:line="228" w:lineRule="auto"/>
              <w:rPr/>
            </w:pPr>
            <w:r>
              <w:rPr>
                <w:spacing w:val="3"/>
              </w:rPr>
              <w:t>建筑</w:t>
            </w:r>
          </w:p>
          <w:p>
            <w:pPr>
              <w:pStyle w:val="TableText"/>
              <w:ind w:left="176" w:right="73" w:hanging="102"/>
              <w:spacing w:before="23" w:line="253" w:lineRule="auto"/>
              <w:rPr/>
            </w:pPr>
            <w:r>
              <w:rPr>
                <w:spacing w:val="4"/>
              </w:rPr>
              <w:t>物名</w:t>
            </w:r>
            <w:r>
              <w:rPr/>
              <w:t xml:space="preserve"> </w:t>
            </w:r>
            <w:r>
              <w:rPr>
                <w:spacing w:val="1"/>
              </w:rPr>
              <w:t>称</w:t>
            </w:r>
          </w:p>
        </w:tc>
        <w:tc>
          <w:tcPr>
            <w:tcW w:w="1151" w:type="dxa"/>
            <w:vAlign w:val="top"/>
            <w:vMerge w:val="restart"/>
            <w:tcBorders>
              <w:bottom w:val="nil"/>
            </w:tcBorders>
          </w:tcPr>
          <w:p>
            <w:pPr>
              <w:spacing w:line="380" w:lineRule="auto"/>
              <w:rPr>
                <w:rFonts w:ascii="Arial"/>
                <w:sz w:val="21"/>
              </w:rPr>
            </w:pPr>
            <w:r/>
          </w:p>
          <w:p>
            <w:pPr>
              <w:pStyle w:val="TableText"/>
              <w:ind w:left="163"/>
              <w:spacing w:before="65" w:line="228" w:lineRule="auto"/>
              <w:rPr/>
            </w:pPr>
            <w:r>
              <w:rPr>
                <w:spacing w:val="6"/>
              </w:rPr>
              <w:t>声源名称</w:t>
            </w:r>
          </w:p>
        </w:tc>
        <w:tc>
          <w:tcPr>
            <w:tcW w:w="306" w:type="dxa"/>
            <w:vAlign w:val="top"/>
            <w:vMerge w:val="restart"/>
            <w:textDirection w:val="tbRlV"/>
            <w:tcBorders>
              <w:bottom w:val="nil"/>
            </w:tcBorders>
          </w:tcPr>
          <w:p>
            <w:pPr>
              <w:pStyle w:val="TableText"/>
              <w:ind w:left="313"/>
              <w:spacing w:before="47" w:line="216" w:lineRule="auto"/>
              <w:rPr/>
            </w:pPr>
            <w:r>
              <w:rPr>
                <w:spacing w:val="8"/>
              </w:rPr>
              <w:t>单</w:t>
            </w:r>
            <w:r>
              <w:rPr>
                <w:spacing w:val="-38"/>
              </w:rPr>
              <w:t xml:space="preserve"> </w:t>
            </w:r>
            <w:r>
              <w:rPr>
                <w:spacing w:val="8"/>
              </w:rPr>
              <w:t>位</w:t>
            </w:r>
          </w:p>
        </w:tc>
        <w:tc>
          <w:tcPr>
            <w:tcW w:w="325" w:type="dxa"/>
            <w:vAlign w:val="top"/>
            <w:vMerge w:val="restart"/>
            <w:textDirection w:val="tbRlV"/>
            <w:tcBorders>
              <w:bottom w:val="nil"/>
            </w:tcBorders>
          </w:tcPr>
          <w:p>
            <w:pPr>
              <w:pStyle w:val="TableText"/>
              <w:ind w:left="313"/>
              <w:spacing w:before="57" w:line="216" w:lineRule="auto"/>
              <w:rPr/>
            </w:pPr>
            <w:r>
              <w:rPr>
                <w:spacing w:val="8"/>
              </w:rPr>
              <w:t>数</w:t>
            </w:r>
            <w:r>
              <w:rPr>
                <w:spacing w:val="-38"/>
              </w:rPr>
              <w:t xml:space="preserve"> </w:t>
            </w:r>
            <w:r>
              <w:rPr>
                <w:spacing w:val="8"/>
              </w:rPr>
              <w:t>量</w:t>
            </w:r>
          </w:p>
        </w:tc>
        <w:tc>
          <w:tcPr>
            <w:tcW w:w="1347" w:type="dxa"/>
            <w:vAlign w:val="top"/>
            <w:gridSpan w:val="3"/>
          </w:tcPr>
          <w:p>
            <w:pPr>
              <w:pStyle w:val="TableText"/>
              <w:ind w:left="52"/>
              <w:spacing w:before="34" w:line="218" w:lineRule="auto"/>
              <w:rPr/>
            </w:pPr>
            <w:r>
              <w:rPr>
                <w:spacing w:val="7"/>
              </w:rPr>
              <w:t>空间位置分布</w:t>
            </w:r>
          </w:p>
        </w:tc>
        <w:tc>
          <w:tcPr>
            <w:tcW w:w="607" w:type="dxa"/>
            <w:vAlign w:val="top"/>
            <w:vMerge w:val="restart"/>
            <w:tcBorders>
              <w:bottom w:val="nil"/>
            </w:tcBorders>
          </w:tcPr>
          <w:p>
            <w:pPr>
              <w:spacing w:line="260" w:lineRule="auto"/>
              <w:rPr>
                <w:rFonts w:ascii="Arial"/>
                <w:sz w:val="21"/>
              </w:rPr>
            </w:pPr>
            <w:r/>
          </w:p>
          <w:p>
            <w:pPr>
              <w:pStyle w:val="TableText"/>
              <w:ind w:left="1" w:right="8" w:firstLine="95"/>
              <w:spacing w:before="65" w:line="259" w:lineRule="auto"/>
              <w:rPr>
                <w:rFonts w:ascii="Times New Roman" w:hAnsi="Times New Roman" w:eastAsia="Times New Roman" w:cs="Times New Roman"/>
              </w:rPr>
            </w:pPr>
            <w:r>
              <w:rPr>
                <w:spacing w:val="5"/>
              </w:rPr>
              <w:t>源强</w:t>
            </w:r>
            <w:r>
              <w:rPr/>
              <w:t xml:space="preserve">  </w:t>
            </w:r>
            <w:r>
              <w:rPr>
                <w:rFonts w:ascii="Times New Roman" w:hAnsi="Times New Roman" w:eastAsia="Times New Roman" w:cs="Times New Roman"/>
                <w:spacing w:val="6"/>
              </w:rPr>
              <w:t>/</w:t>
            </w:r>
            <w:r>
              <w:rPr>
                <w:rFonts w:ascii="Times New Roman" w:hAnsi="Times New Roman" w:eastAsia="Times New Roman" w:cs="Times New Roman"/>
              </w:rPr>
              <w:t>dB</w:t>
            </w:r>
            <w:r>
              <w:rPr>
                <w:rFonts w:ascii="Times New Roman" w:hAnsi="Times New Roman" w:eastAsia="Times New Roman" w:cs="Times New Roman"/>
                <w:spacing w:val="6"/>
              </w:rPr>
              <w:t>(A)</w:t>
            </w:r>
          </w:p>
        </w:tc>
        <w:tc>
          <w:tcPr>
            <w:tcW w:w="495" w:type="dxa"/>
            <w:vAlign w:val="top"/>
            <w:vMerge w:val="restart"/>
            <w:tcBorders>
              <w:bottom w:val="nil"/>
            </w:tcBorders>
          </w:tcPr>
          <w:p>
            <w:pPr>
              <w:pStyle w:val="TableText"/>
              <w:ind w:left="47"/>
              <w:spacing w:before="176" w:line="228" w:lineRule="auto"/>
              <w:rPr/>
            </w:pPr>
            <w:r>
              <w:rPr>
                <w:spacing w:val="2"/>
              </w:rPr>
              <w:t>声源</w:t>
            </w:r>
          </w:p>
          <w:p>
            <w:pPr>
              <w:pStyle w:val="TableText"/>
              <w:ind w:left="42"/>
              <w:spacing w:before="24" w:line="228" w:lineRule="auto"/>
              <w:rPr/>
            </w:pPr>
            <w:r>
              <w:rPr>
                <w:spacing w:val="5"/>
              </w:rPr>
              <w:t>控制</w:t>
            </w:r>
          </w:p>
          <w:p>
            <w:pPr>
              <w:pStyle w:val="TableText"/>
              <w:ind w:left="42"/>
              <w:spacing w:before="24" w:line="228" w:lineRule="auto"/>
              <w:rPr/>
            </w:pPr>
            <w:r>
              <w:rPr>
                <w:spacing w:val="4"/>
              </w:rPr>
              <w:t>措施</w:t>
            </w:r>
          </w:p>
        </w:tc>
        <w:tc>
          <w:tcPr>
            <w:tcW w:w="454" w:type="dxa"/>
            <w:vAlign w:val="top"/>
            <w:vMerge w:val="restart"/>
            <w:tcBorders>
              <w:bottom w:val="nil"/>
            </w:tcBorders>
          </w:tcPr>
          <w:p>
            <w:pPr>
              <w:pStyle w:val="TableText"/>
              <w:ind w:left="19"/>
              <w:spacing w:before="39" w:line="236" w:lineRule="auto"/>
              <w:rPr/>
            </w:pPr>
            <w:r>
              <w:rPr>
                <w:spacing w:val="5"/>
              </w:rPr>
              <w:t>距室</w:t>
            </w:r>
          </w:p>
          <w:p>
            <w:pPr>
              <w:pStyle w:val="TableText"/>
              <w:ind w:left="46"/>
              <w:spacing w:before="15" w:line="228" w:lineRule="auto"/>
              <w:rPr/>
            </w:pPr>
            <w:r>
              <w:rPr>
                <w:spacing w:val="-8"/>
              </w:rPr>
              <w:t>内边</w:t>
            </w:r>
          </w:p>
          <w:p>
            <w:pPr>
              <w:pStyle w:val="TableText"/>
              <w:ind w:left="19" w:right="12" w:firstLine="6"/>
              <w:spacing w:before="26" w:line="237" w:lineRule="auto"/>
              <w:rPr>
                <w:rFonts w:ascii="Times New Roman" w:hAnsi="Times New Roman" w:eastAsia="Times New Roman" w:cs="Times New Roman"/>
              </w:rPr>
            </w:pPr>
            <w:r>
              <w:rPr>
                <w:spacing w:val="2"/>
              </w:rPr>
              <w:t>界距</w:t>
            </w:r>
            <w:r>
              <w:rPr/>
              <w:t xml:space="preserve"> </w:t>
            </w:r>
            <w:r>
              <w:rPr>
                <w:spacing w:val="2"/>
              </w:rPr>
              <w:t>离</w:t>
            </w:r>
            <w:r>
              <w:rPr>
                <w:rFonts w:ascii="Times New Roman" w:hAnsi="Times New Roman" w:eastAsia="Times New Roman" w:cs="Times New Roman"/>
                <w:spacing w:val="2"/>
              </w:rPr>
              <w:t>/m</w:t>
            </w:r>
          </w:p>
        </w:tc>
        <w:tc>
          <w:tcPr>
            <w:tcW w:w="637" w:type="dxa"/>
            <w:vAlign w:val="top"/>
            <w:vMerge w:val="restart"/>
            <w:tcBorders>
              <w:bottom w:val="nil"/>
            </w:tcBorders>
          </w:tcPr>
          <w:p>
            <w:pPr>
              <w:pStyle w:val="TableText"/>
              <w:ind w:left="117"/>
              <w:spacing w:before="55" w:line="228" w:lineRule="auto"/>
              <w:rPr/>
            </w:pPr>
            <w:r>
              <w:rPr>
                <w:spacing w:val="3"/>
              </w:rPr>
              <w:t>室内</w:t>
            </w:r>
          </w:p>
          <w:p>
            <w:pPr>
              <w:pStyle w:val="TableText"/>
              <w:ind w:left="113"/>
              <w:spacing w:before="24" w:line="229" w:lineRule="auto"/>
              <w:rPr/>
            </w:pPr>
            <w:r>
              <w:rPr>
                <w:spacing w:val="5"/>
              </w:rPr>
              <w:t>边界</w:t>
            </w:r>
          </w:p>
          <w:p>
            <w:pPr>
              <w:pStyle w:val="TableText"/>
              <w:ind w:left="17" w:right="22" w:firstLine="100"/>
              <w:spacing w:before="23" w:line="244" w:lineRule="auto"/>
              <w:rPr>
                <w:rFonts w:ascii="Times New Roman" w:hAnsi="Times New Roman" w:eastAsia="Times New Roman" w:cs="Times New Roman"/>
              </w:rPr>
            </w:pPr>
            <w:r>
              <w:rPr>
                <w:spacing w:val="2"/>
              </w:rPr>
              <w:t>声级</w:t>
            </w:r>
            <w:r>
              <w:rPr/>
              <w:t xml:space="preserve">  </w:t>
            </w:r>
            <w:r>
              <w:rPr>
                <w:rFonts w:ascii="Times New Roman" w:hAnsi="Times New Roman" w:eastAsia="Times New Roman" w:cs="Times New Roman"/>
                <w:spacing w:val="6"/>
              </w:rPr>
              <w:t>/</w:t>
            </w:r>
            <w:r>
              <w:rPr>
                <w:rFonts w:ascii="Times New Roman" w:hAnsi="Times New Roman" w:eastAsia="Times New Roman" w:cs="Times New Roman"/>
              </w:rPr>
              <w:t>dB</w:t>
            </w:r>
            <w:r>
              <w:rPr>
                <w:rFonts w:ascii="Times New Roman" w:hAnsi="Times New Roman" w:eastAsia="Times New Roman" w:cs="Times New Roman"/>
                <w:spacing w:val="6"/>
              </w:rPr>
              <w:t>(A)</w:t>
            </w:r>
          </w:p>
        </w:tc>
        <w:tc>
          <w:tcPr>
            <w:tcW w:w="454" w:type="dxa"/>
            <w:vAlign w:val="top"/>
            <w:vMerge w:val="restart"/>
            <w:tcBorders>
              <w:bottom w:val="nil"/>
            </w:tcBorders>
          </w:tcPr>
          <w:p>
            <w:pPr>
              <w:spacing w:line="246" w:lineRule="auto"/>
              <w:rPr>
                <w:rFonts w:ascii="Arial"/>
                <w:sz w:val="21"/>
              </w:rPr>
            </w:pPr>
            <w:r/>
          </w:p>
          <w:p>
            <w:pPr>
              <w:pStyle w:val="TableText"/>
              <w:ind w:left="21"/>
              <w:spacing w:before="65" w:line="228" w:lineRule="auto"/>
              <w:rPr/>
            </w:pPr>
            <w:r>
              <w:rPr>
                <w:spacing w:val="4"/>
              </w:rPr>
              <w:t>运行</w:t>
            </w:r>
          </w:p>
          <w:p>
            <w:pPr>
              <w:pStyle w:val="TableText"/>
              <w:ind w:left="31"/>
              <w:spacing w:before="23" w:line="229" w:lineRule="auto"/>
              <w:rPr/>
            </w:pPr>
            <w:r>
              <w:rPr>
                <w:spacing w:val="-1"/>
              </w:rPr>
              <w:t>时段</w:t>
            </w:r>
          </w:p>
        </w:tc>
        <w:tc>
          <w:tcPr>
            <w:tcW w:w="654" w:type="dxa"/>
            <w:vAlign w:val="top"/>
            <w:vMerge w:val="restart"/>
            <w:tcBorders>
              <w:bottom w:val="nil"/>
            </w:tcBorders>
          </w:tcPr>
          <w:p>
            <w:pPr>
              <w:pStyle w:val="TableText"/>
              <w:ind w:left="21"/>
              <w:spacing w:before="56" w:line="228" w:lineRule="auto"/>
              <w:rPr/>
            </w:pPr>
            <w:r>
              <w:rPr>
                <w:spacing w:val="6"/>
              </w:rPr>
              <w:t>建筑物</w:t>
            </w:r>
          </w:p>
          <w:p>
            <w:pPr>
              <w:pStyle w:val="TableText"/>
              <w:ind w:left="18"/>
              <w:spacing w:before="24" w:line="228" w:lineRule="auto"/>
              <w:rPr/>
            </w:pPr>
            <w:r>
              <w:rPr>
                <w:spacing w:val="7"/>
              </w:rPr>
              <w:t>插入损</w:t>
            </w:r>
          </w:p>
          <w:p>
            <w:pPr>
              <w:pStyle w:val="TableText"/>
              <w:ind w:left="232"/>
              <w:spacing w:before="23" w:line="229" w:lineRule="auto"/>
              <w:rPr/>
            </w:pPr>
            <w:r>
              <w:rPr/>
              <w:t>失</w:t>
            </w:r>
          </w:p>
          <w:p>
            <w:pPr>
              <w:ind w:left="27"/>
              <w:spacing w:before="42"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rPr>
              <w:t>dB</w:t>
            </w:r>
            <w:r>
              <w:rPr>
                <w:rFonts w:ascii="Times New Roman" w:hAnsi="Times New Roman" w:eastAsia="Times New Roman" w:cs="Times New Roman"/>
                <w:sz w:val="20"/>
                <w:szCs w:val="20"/>
                <w:spacing w:val="6"/>
              </w:rPr>
              <w:t>(A)</w:t>
            </w:r>
          </w:p>
        </w:tc>
        <w:tc>
          <w:tcPr>
            <w:tcW w:w="1310" w:type="dxa"/>
            <w:vAlign w:val="top"/>
            <w:gridSpan w:val="2"/>
          </w:tcPr>
          <w:p>
            <w:pPr>
              <w:pStyle w:val="TableText"/>
              <w:ind w:left="32"/>
              <w:spacing w:before="34" w:line="218" w:lineRule="auto"/>
              <w:rPr/>
            </w:pPr>
            <w:r>
              <w:rPr>
                <w:spacing w:val="7"/>
              </w:rPr>
              <w:t>建筑物外噪声</w:t>
            </w:r>
          </w:p>
        </w:tc>
      </w:tr>
      <w:tr>
        <w:trPr>
          <w:trHeight w:val="821" w:hRule="atLeast"/>
        </w:trPr>
        <w:tc>
          <w:tcPr>
            <w:tcW w:w="253" w:type="dxa"/>
            <w:vAlign w:val="top"/>
            <w:vMerge w:val="continue"/>
            <w:textDirection w:val="tbRlV"/>
            <w:tcBorders>
              <w:top w:val="nil"/>
            </w:tcBorders>
          </w:tcPr>
          <w:p>
            <w:pPr>
              <w:rPr>
                <w:rFonts w:ascii="Arial"/>
                <w:sz w:val="21"/>
              </w:rPr>
            </w:pPr>
            <w:r/>
          </w:p>
        </w:tc>
        <w:tc>
          <w:tcPr>
            <w:tcW w:w="563" w:type="dxa"/>
            <w:vAlign w:val="top"/>
            <w:vMerge w:val="continue"/>
            <w:tcBorders>
              <w:top w:val="nil"/>
            </w:tcBorders>
          </w:tcPr>
          <w:p>
            <w:pPr>
              <w:rPr>
                <w:rFonts w:ascii="Arial"/>
                <w:sz w:val="21"/>
              </w:rPr>
            </w:pPr>
            <w:r/>
          </w:p>
        </w:tc>
        <w:tc>
          <w:tcPr>
            <w:tcW w:w="1151" w:type="dxa"/>
            <w:vAlign w:val="top"/>
            <w:vMerge w:val="continue"/>
            <w:tcBorders>
              <w:top w:val="nil"/>
            </w:tcBorders>
          </w:tcPr>
          <w:p>
            <w:pPr>
              <w:rPr>
                <w:rFonts w:ascii="Arial"/>
                <w:sz w:val="21"/>
              </w:rPr>
            </w:pPr>
            <w:r/>
          </w:p>
        </w:tc>
        <w:tc>
          <w:tcPr>
            <w:tcW w:w="306" w:type="dxa"/>
            <w:vAlign w:val="top"/>
            <w:vMerge w:val="continue"/>
            <w:textDirection w:val="tbRlV"/>
            <w:tcBorders>
              <w:top w:val="nil"/>
            </w:tcBorders>
          </w:tcPr>
          <w:p>
            <w:pPr>
              <w:rPr>
                <w:rFonts w:ascii="Arial"/>
                <w:sz w:val="21"/>
              </w:rPr>
            </w:pPr>
            <w:r/>
          </w:p>
        </w:tc>
        <w:tc>
          <w:tcPr>
            <w:tcW w:w="325" w:type="dxa"/>
            <w:vAlign w:val="top"/>
            <w:vMerge w:val="continue"/>
            <w:textDirection w:val="tbRlV"/>
            <w:tcBorders>
              <w:top w:val="nil"/>
            </w:tcBorders>
          </w:tcPr>
          <w:p>
            <w:pPr>
              <w:rPr>
                <w:rFonts w:ascii="Arial"/>
                <w:sz w:val="21"/>
              </w:rPr>
            </w:pPr>
            <w:r/>
          </w:p>
        </w:tc>
        <w:tc>
          <w:tcPr>
            <w:tcW w:w="419" w:type="dxa"/>
            <w:vAlign w:val="top"/>
          </w:tcPr>
          <w:p>
            <w:pPr>
              <w:spacing w:line="282" w:lineRule="auto"/>
              <w:rPr>
                <w:rFonts w:ascii="Arial"/>
                <w:sz w:val="21"/>
              </w:rPr>
            </w:pPr>
            <w:r/>
          </w:p>
          <w:p>
            <w:pPr>
              <w:ind w:left="130"/>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X</w:t>
            </w:r>
          </w:p>
        </w:tc>
        <w:tc>
          <w:tcPr>
            <w:tcW w:w="423" w:type="dxa"/>
            <w:vAlign w:val="top"/>
          </w:tcPr>
          <w:p>
            <w:pPr>
              <w:spacing w:line="282" w:lineRule="auto"/>
              <w:rPr>
                <w:rFonts w:ascii="Arial"/>
                <w:sz w:val="21"/>
              </w:rPr>
            </w:pPr>
            <w:r/>
          </w:p>
          <w:p>
            <w:pPr>
              <w:ind w:left="131"/>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Y</w:t>
            </w:r>
          </w:p>
        </w:tc>
        <w:tc>
          <w:tcPr>
            <w:tcW w:w="505" w:type="dxa"/>
            <w:vAlign w:val="top"/>
          </w:tcPr>
          <w:p>
            <w:pPr>
              <w:spacing w:line="282" w:lineRule="auto"/>
              <w:rPr>
                <w:rFonts w:ascii="Arial"/>
                <w:sz w:val="21"/>
              </w:rPr>
            </w:pPr>
            <w:r/>
          </w:p>
          <w:p>
            <w:pPr>
              <w:ind w:left="187"/>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Z</w:t>
            </w:r>
          </w:p>
        </w:tc>
        <w:tc>
          <w:tcPr>
            <w:tcW w:w="607" w:type="dxa"/>
            <w:vAlign w:val="top"/>
            <w:vMerge w:val="continue"/>
            <w:tcBorders>
              <w:top w:val="nil"/>
            </w:tcBorders>
          </w:tcPr>
          <w:p>
            <w:pPr>
              <w:rPr>
                <w:rFonts w:ascii="Arial"/>
                <w:sz w:val="21"/>
              </w:rPr>
            </w:pPr>
            <w:r/>
          </w:p>
        </w:tc>
        <w:tc>
          <w:tcPr>
            <w:tcW w:w="495" w:type="dxa"/>
            <w:vAlign w:val="top"/>
            <w:vMerge w:val="continue"/>
            <w:tcBorders>
              <w:top w:val="nil"/>
            </w:tcBorders>
          </w:tcPr>
          <w:p>
            <w:pPr>
              <w:rPr>
                <w:rFonts w:ascii="Arial"/>
                <w:sz w:val="21"/>
              </w:rPr>
            </w:pPr>
            <w:r/>
          </w:p>
        </w:tc>
        <w:tc>
          <w:tcPr>
            <w:tcW w:w="454" w:type="dxa"/>
            <w:vAlign w:val="top"/>
            <w:vMerge w:val="continue"/>
            <w:tcBorders>
              <w:top w:val="nil"/>
            </w:tcBorders>
          </w:tcPr>
          <w:p>
            <w:pPr>
              <w:rPr>
                <w:rFonts w:ascii="Arial"/>
                <w:sz w:val="21"/>
              </w:rPr>
            </w:pPr>
            <w:r/>
          </w:p>
        </w:tc>
        <w:tc>
          <w:tcPr>
            <w:tcW w:w="637" w:type="dxa"/>
            <w:vAlign w:val="top"/>
            <w:vMerge w:val="continue"/>
            <w:tcBorders>
              <w:top w:val="nil"/>
            </w:tcBorders>
          </w:tcPr>
          <w:p>
            <w:pPr>
              <w:rPr>
                <w:rFonts w:ascii="Arial"/>
                <w:sz w:val="21"/>
              </w:rPr>
            </w:pPr>
            <w:r/>
          </w:p>
        </w:tc>
        <w:tc>
          <w:tcPr>
            <w:tcW w:w="454" w:type="dxa"/>
            <w:vAlign w:val="top"/>
            <w:vMerge w:val="continue"/>
            <w:tcBorders>
              <w:top w:val="nil"/>
            </w:tcBorders>
          </w:tcPr>
          <w:p>
            <w:pPr>
              <w:rPr>
                <w:rFonts w:ascii="Arial"/>
                <w:sz w:val="21"/>
              </w:rPr>
            </w:pPr>
            <w:r/>
          </w:p>
        </w:tc>
        <w:tc>
          <w:tcPr>
            <w:tcW w:w="654" w:type="dxa"/>
            <w:vAlign w:val="top"/>
            <w:vMerge w:val="continue"/>
            <w:tcBorders>
              <w:top w:val="nil"/>
            </w:tcBorders>
          </w:tcPr>
          <w:p>
            <w:pPr>
              <w:rPr>
                <w:rFonts w:ascii="Arial"/>
                <w:sz w:val="21"/>
              </w:rPr>
            </w:pPr>
            <w:r/>
          </w:p>
        </w:tc>
        <w:tc>
          <w:tcPr>
            <w:tcW w:w="740" w:type="dxa"/>
            <w:vAlign w:val="top"/>
          </w:tcPr>
          <w:p>
            <w:pPr>
              <w:pStyle w:val="TableText"/>
              <w:ind w:left="72" w:right="53" w:hanging="7"/>
              <w:spacing w:before="182" w:line="259" w:lineRule="auto"/>
              <w:rPr>
                <w:rFonts w:ascii="Times New Roman" w:hAnsi="Times New Roman" w:eastAsia="Times New Roman" w:cs="Times New Roman"/>
              </w:rPr>
            </w:pPr>
            <w:r>
              <w:rPr>
                <w:spacing w:val="5"/>
              </w:rPr>
              <w:t>声压级</w:t>
            </w:r>
            <w:r>
              <w:rPr/>
              <w:t xml:space="preserve"> </w:t>
            </w:r>
            <w:r>
              <w:rPr>
                <w:rFonts w:ascii="Times New Roman" w:hAnsi="Times New Roman" w:eastAsia="Times New Roman" w:cs="Times New Roman"/>
                <w:spacing w:val="6"/>
              </w:rPr>
              <w:t>/</w:t>
            </w:r>
            <w:r>
              <w:rPr>
                <w:rFonts w:ascii="Times New Roman" w:hAnsi="Times New Roman" w:eastAsia="Times New Roman" w:cs="Times New Roman"/>
              </w:rPr>
              <w:t>dB</w:t>
            </w:r>
            <w:r>
              <w:rPr>
                <w:rFonts w:ascii="Times New Roman" w:hAnsi="Times New Roman" w:eastAsia="Times New Roman" w:cs="Times New Roman"/>
                <w:spacing w:val="6"/>
              </w:rPr>
              <w:t>(A)</w:t>
            </w:r>
          </w:p>
        </w:tc>
        <w:tc>
          <w:tcPr>
            <w:tcW w:w="570" w:type="dxa"/>
            <w:vAlign w:val="top"/>
          </w:tcPr>
          <w:p>
            <w:pPr>
              <w:pStyle w:val="TableText"/>
              <w:ind w:left="84"/>
              <w:spacing w:before="32" w:line="228" w:lineRule="auto"/>
              <w:rPr/>
            </w:pPr>
            <w:r>
              <w:rPr>
                <w:spacing w:val="3"/>
              </w:rPr>
              <w:t>建筑</w:t>
            </w:r>
          </w:p>
          <w:p>
            <w:pPr>
              <w:pStyle w:val="TableText"/>
              <w:ind w:left="81"/>
              <w:spacing w:before="24" w:line="228" w:lineRule="auto"/>
              <w:rPr/>
            </w:pPr>
            <w:r>
              <w:rPr>
                <w:spacing w:val="4"/>
              </w:rPr>
              <w:t>物外</w:t>
            </w:r>
          </w:p>
          <w:p>
            <w:pPr>
              <w:pStyle w:val="TableText"/>
              <w:ind w:left="80"/>
              <w:spacing w:before="23" w:line="219" w:lineRule="auto"/>
              <w:rPr/>
            </w:pPr>
            <w:r>
              <w:rPr>
                <w:spacing w:val="5"/>
              </w:rPr>
              <w:t>距离</w:t>
            </w:r>
          </w:p>
        </w:tc>
      </w:tr>
      <w:tr>
        <w:trPr>
          <w:trHeight w:val="277" w:hRule="atLeast"/>
        </w:trPr>
        <w:tc>
          <w:tcPr>
            <w:tcW w:w="253" w:type="dxa"/>
            <w:vAlign w:val="top"/>
            <w:vMerge w:val="restart"/>
            <w:tcBorders>
              <w:bottom w:val="nil"/>
            </w:tcBorders>
          </w:tcPr>
          <w:p>
            <w:pPr>
              <w:spacing w:line="285" w:lineRule="auto"/>
              <w:rPr>
                <w:rFonts w:ascii="Arial"/>
                <w:sz w:val="21"/>
              </w:rPr>
            </w:pPr>
            <w:r/>
          </w:p>
          <w:p>
            <w:pPr>
              <w:spacing w:line="285" w:lineRule="auto"/>
              <w:rPr>
                <w:rFonts w:ascii="Arial"/>
                <w:sz w:val="21"/>
              </w:rPr>
            </w:pPr>
            <w:r/>
          </w:p>
          <w:p>
            <w:pPr>
              <w:ind w:left="94"/>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563" w:type="dxa"/>
            <w:vAlign w:val="top"/>
            <w:vMerge w:val="restart"/>
            <w:tcBorders>
              <w:bottom w:val="nil"/>
            </w:tcBorders>
          </w:tcPr>
          <w:p>
            <w:pPr>
              <w:spacing w:line="257" w:lineRule="auto"/>
              <w:rPr>
                <w:rFonts w:ascii="Arial"/>
                <w:sz w:val="21"/>
              </w:rPr>
            </w:pPr>
            <w:r/>
          </w:p>
          <w:p>
            <w:pPr>
              <w:pStyle w:val="TableText"/>
              <w:ind w:left="73"/>
              <w:spacing w:before="65" w:line="229" w:lineRule="auto"/>
              <w:rPr/>
            </w:pPr>
            <w:r>
              <w:rPr>
                <w:spacing w:val="5"/>
              </w:rPr>
              <w:t>洗毛</w:t>
            </w:r>
          </w:p>
          <w:p>
            <w:pPr>
              <w:pStyle w:val="TableText"/>
              <w:ind w:left="76"/>
              <w:spacing w:before="22" w:line="228" w:lineRule="auto"/>
              <w:rPr/>
            </w:pPr>
            <w:r>
              <w:rPr>
                <w:spacing w:val="3"/>
              </w:rPr>
              <w:t>车间</w:t>
            </w:r>
          </w:p>
          <w:p>
            <w:pPr>
              <w:pStyle w:val="TableText"/>
              <w:ind w:left="181"/>
              <w:spacing w:before="102" w:line="156" w:lineRule="exact"/>
              <w:rPr/>
            </w:pPr>
            <w:r>
              <w:rPr>
                <w:position w:val="-4"/>
              </w:rPr>
              <w:t>一</w:t>
            </w:r>
          </w:p>
        </w:tc>
        <w:tc>
          <w:tcPr>
            <w:tcW w:w="1151" w:type="dxa"/>
            <w:vAlign w:val="top"/>
          </w:tcPr>
          <w:p>
            <w:pPr>
              <w:pStyle w:val="TableText"/>
              <w:ind w:left="262"/>
              <w:spacing w:before="31" w:line="217" w:lineRule="auto"/>
              <w:rPr/>
            </w:pPr>
            <w:r>
              <w:rPr>
                <w:spacing w:val="7"/>
              </w:rPr>
              <w:t>解包机</w:t>
            </w:r>
          </w:p>
        </w:tc>
        <w:tc>
          <w:tcPr>
            <w:tcW w:w="306" w:type="dxa"/>
            <w:vAlign w:val="top"/>
          </w:tcPr>
          <w:p>
            <w:pPr>
              <w:pStyle w:val="TableText"/>
              <w:ind w:left="69"/>
              <w:spacing w:before="31" w:line="217" w:lineRule="auto"/>
              <w:rPr/>
            </w:pPr>
            <w:r>
              <w:rPr/>
              <w:t>台</w:t>
            </w:r>
          </w:p>
        </w:tc>
        <w:tc>
          <w:tcPr>
            <w:tcW w:w="325" w:type="dxa"/>
            <w:vAlign w:val="top"/>
          </w:tcPr>
          <w:p>
            <w:pPr>
              <w:ind w:left="130"/>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19" w:type="dxa"/>
            <w:vAlign w:val="top"/>
          </w:tcPr>
          <w:p>
            <w:pPr>
              <w:ind w:left="51"/>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219</w:t>
            </w:r>
          </w:p>
        </w:tc>
        <w:tc>
          <w:tcPr>
            <w:tcW w:w="423" w:type="dxa"/>
            <w:vAlign w:val="top"/>
          </w:tcPr>
          <w:p>
            <w:pPr>
              <w:ind w:left="75"/>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163</w:t>
            </w:r>
          </w:p>
        </w:tc>
        <w:tc>
          <w:tcPr>
            <w:tcW w:w="505" w:type="dxa"/>
            <w:vAlign w:val="top"/>
          </w:tcPr>
          <w:p>
            <w:pPr>
              <w:ind w:left="220"/>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07" w:type="dxa"/>
            <w:vAlign w:val="top"/>
          </w:tcPr>
          <w:p>
            <w:pPr>
              <w:ind w:left="208"/>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85</w:t>
            </w:r>
          </w:p>
        </w:tc>
        <w:tc>
          <w:tcPr>
            <w:tcW w:w="495" w:type="dxa"/>
            <w:vAlign w:val="top"/>
            <w:vMerge w:val="restart"/>
            <w:tcBorders>
              <w:bottom w:val="nil"/>
            </w:tcBorders>
          </w:tcPr>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1" w:lineRule="auto"/>
              <w:rPr>
                <w:rFonts w:ascii="Arial"/>
                <w:sz w:val="21"/>
              </w:rPr>
            </w:pPr>
            <w:r/>
          </w:p>
          <w:p>
            <w:pPr>
              <w:spacing w:line="261" w:lineRule="auto"/>
              <w:rPr>
                <w:rFonts w:ascii="Arial"/>
                <w:sz w:val="21"/>
              </w:rPr>
            </w:pPr>
            <w:r/>
          </w:p>
          <w:p>
            <w:pPr>
              <w:spacing w:line="261" w:lineRule="auto"/>
              <w:rPr>
                <w:rFonts w:ascii="Arial"/>
                <w:sz w:val="21"/>
              </w:rPr>
            </w:pPr>
            <w:r/>
          </w:p>
          <w:p>
            <w:pPr>
              <w:pStyle w:val="TableText"/>
              <w:ind w:left="47" w:right="72" w:firstLine="111"/>
              <w:spacing w:before="65" w:line="250" w:lineRule="auto"/>
              <w:rPr/>
            </w:pPr>
            <w:r>
              <w:rPr>
                <w:spacing w:val="-12"/>
              </w:rPr>
              <w:t>隔</w:t>
            </w:r>
            <w:r>
              <w:rPr/>
              <w:t xml:space="preserve"> </w:t>
            </w:r>
            <w:r>
              <w:rPr>
                <w:spacing w:val="-15"/>
              </w:rPr>
              <w:t>声、</w:t>
            </w:r>
          </w:p>
          <w:p>
            <w:pPr>
              <w:pStyle w:val="TableText"/>
              <w:ind w:left="42"/>
              <w:spacing w:line="228" w:lineRule="auto"/>
              <w:rPr/>
            </w:pPr>
            <w:r>
              <w:rPr>
                <w:spacing w:val="4"/>
              </w:rPr>
              <w:t>减振</w:t>
            </w:r>
          </w:p>
        </w:tc>
        <w:tc>
          <w:tcPr>
            <w:tcW w:w="454" w:type="dxa"/>
            <w:vAlign w:val="top"/>
          </w:tcPr>
          <w:p>
            <w:pPr>
              <w:ind w:left="96"/>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637" w:type="dxa"/>
            <w:vAlign w:val="top"/>
          </w:tcPr>
          <w:p>
            <w:pPr>
              <w:ind w:left="87"/>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77.04</w:t>
            </w:r>
          </w:p>
        </w:tc>
        <w:tc>
          <w:tcPr>
            <w:tcW w:w="454" w:type="dxa"/>
            <w:vAlign w:val="top"/>
          </w:tcPr>
          <w:p>
            <w:pPr>
              <w:pStyle w:val="TableText"/>
              <w:ind w:left="21"/>
              <w:spacing w:before="31" w:line="217" w:lineRule="auto"/>
              <w:rPr/>
            </w:pPr>
            <w:r>
              <w:rPr>
                <w:spacing w:val="6"/>
              </w:rPr>
              <w:t>全天</w:t>
            </w:r>
          </w:p>
        </w:tc>
        <w:tc>
          <w:tcPr>
            <w:tcW w:w="654" w:type="dxa"/>
            <w:vAlign w:val="top"/>
          </w:tcPr>
          <w:p>
            <w:pPr>
              <w:ind w:left="223"/>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2"/>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52.04</w:t>
            </w:r>
          </w:p>
        </w:tc>
        <w:tc>
          <w:tcPr>
            <w:tcW w:w="570" w:type="dxa"/>
            <w:vAlign w:val="top"/>
          </w:tcPr>
          <w:p>
            <w:pPr>
              <w:ind w:left="172"/>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bottom w:val="nil"/>
            </w:tcBorders>
          </w:tcPr>
          <w:p>
            <w:pPr>
              <w:rPr>
                <w:rFonts w:ascii="Arial"/>
                <w:sz w:val="21"/>
              </w:rPr>
            </w:pPr>
            <w:r/>
          </w:p>
        </w:tc>
        <w:tc>
          <w:tcPr>
            <w:tcW w:w="563" w:type="dxa"/>
            <w:vAlign w:val="top"/>
            <w:vMerge w:val="continue"/>
            <w:tcBorders>
              <w:top w:val="nil"/>
              <w:bottom w:val="nil"/>
            </w:tcBorders>
          </w:tcPr>
          <w:p>
            <w:pPr>
              <w:rPr>
                <w:rFonts w:ascii="Arial"/>
                <w:sz w:val="21"/>
              </w:rPr>
            </w:pPr>
            <w:r/>
          </w:p>
        </w:tc>
        <w:tc>
          <w:tcPr>
            <w:tcW w:w="1151" w:type="dxa"/>
            <w:vAlign w:val="top"/>
          </w:tcPr>
          <w:p>
            <w:pPr>
              <w:pStyle w:val="TableText"/>
              <w:ind w:left="273"/>
              <w:spacing w:before="33" w:line="216" w:lineRule="auto"/>
              <w:rPr/>
            </w:pPr>
            <w:r>
              <w:rPr>
                <w:spacing w:val="3"/>
              </w:rPr>
              <w:t>喂毛机</w:t>
            </w:r>
          </w:p>
        </w:tc>
        <w:tc>
          <w:tcPr>
            <w:tcW w:w="306" w:type="dxa"/>
            <w:vAlign w:val="top"/>
          </w:tcPr>
          <w:p>
            <w:pPr>
              <w:pStyle w:val="TableText"/>
              <w:ind w:left="69"/>
              <w:spacing w:before="33" w:line="216" w:lineRule="auto"/>
              <w:rPr/>
            </w:pPr>
            <w:r>
              <w:rPr/>
              <w:t>台</w:t>
            </w:r>
          </w:p>
        </w:tc>
        <w:tc>
          <w:tcPr>
            <w:tcW w:w="325" w:type="dxa"/>
            <w:vAlign w:val="top"/>
          </w:tcPr>
          <w:p>
            <w:pPr>
              <w:ind w:left="109"/>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419" w:type="dxa"/>
            <w:vAlign w:val="top"/>
          </w:tcPr>
          <w:p>
            <w:pPr>
              <w:ind w:left="51"/>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214</w:t>
            </w:r>
          </w:p>
        </w:tc>
        <w:tc>
          <w:tcPr>
            <w:tcW w:w="423" w:type="dxa"/>
            <w:vAlign w:val="top"/>
          </w:tcPr>
          <w:p>
            <w:pPr>
              <w:ind w:left="75"/>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166</w:t>
            </w:r>
          </w:p>
        </w:tc>
        <w:tc>
          <w:tcPr>
            <w:tcW w:w="505" w:type="dxa"/>
            <w:vAlign w:val="top"/>
          </w:tcPr>
          <w:p>
            <w:pPr>
              <w:ind w:left="220"/>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07" w:type="dxa"/>
            <w:vAlign w:val="top"/>
          </w:tcPr>
          <w:p>
            <w:pPr>
              <w:ind w:left="203"/>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70</w:t>
            </w:r>
          </w:p>
        </w:tc>
        <w:tc>
          <w:tcPr>
            <w:tcW w:w="495" w:type="dxa"/>
            <w:vAlign w:val="top"/>
            <w:vMerge w:val="continue"/>
            <w:tcBorders>
              <w:top w:val="nil"/>
              <w:bottom w:val="nil"/>
            </w:tcBorders>
          </w:tcPr>
          <w:p>
            <w:pPr>
              <w:rPr>
                <w:rFonts w:ascii="Arial"/>
                <w:sz w:val="21"/>
              </w:rPr>
            </w:pPr>
            <w:r/>
          </w:p>
        </w:tc>
        <w:tc>
          <w:tcPr>
            <w:tcW w:w="454" w:type="dxa"/>
            <w:vAlign w:val="top"/>
          </w:tcPr>
          <w:p>
            <w:pPr>
              <w:ind w:left="179"/>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637" w:type="dxa"/>
            <w:vAlign w:val="top"/>
          </w:tcPr>
          <w:p>
            <w:pPr>
              <w:ind w:left="88"/>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60.46</w:t>
            </w:r>
          </w:p>
        </w:tc>
        <w:tc>
          <w:tcPr>
            <w:tcW w:w="454" w:type="dxa"/>
            <w:vAlign w:val="top"/>
          </w:tcPr>
          <w:p>
            <w:pPr>
              <w:pStyle w:val="TableText"/>
              <w:ind w:left="21"/>
              <w:spacing w:before="33" w:line="216" w:lineRule="auto"/>
              <w:rPr/>
            </w:pPr>
            <w:r>
              <w:rPr>
                <w:spacing w:val="6"/>
              </w:rPr>
              <w:t>全天</w:t>
            </w:r>
          </w:p>
        </w:tc>
        <w:tc>
          <w:tcPr>
            <w:tcW w:w="654" w:type="dxa"/>
            <w:vAlign w:val="top"/>
          </w:tcPr>
          <w:p>
            <w:pPr>
              <w:ind w:left="223"/>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0"/>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35.46</w:t>
            </w:r>
          </w:p>
        </w:tc>
        <w:tc>
          <w:tcPr>
            <w:tcW w:w="570" w:type="dxa"/>
            <w:vAlign w:val="top"/>
          </w:tcPr>
          <w:p>
            <w:pPr>
              <w:ind w:left="17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bottom w:val="nil"/>
            </w:tcBorders>
          </w:tcPr>
          <w:p>
            <w:pPr>
              <w:rPr>
                <w:rFonts w:ascii="Arial"/>
                <w:sz w:val="21"/>
              </w:rPr>
            </w:pPr>
            <w:r/>
          </w:p>
        </w:tc>
        <w:tc>
          <w:tcPr>
            <w:tcW w:w="563" w:type="dxa"/>
            <w:vAlign w:val="top"/>
            <w:vMerge w:val="continue"/>
            <w:tcBorders>
              <w:top w:val="nil"/>
              <w:bottom w:val="nil"/>
            </w:tcBorders>
          </w:tcPr>
          <w:p>
            <w:pPr>
              <w:rPr>
                <w:rFonts w:ascii="Arial"/>
                <w:sz w:val="21"/>
              </w:rPr>
            </w:pPr>
            <w:r/>
          </w:p>
        </w:tc>
        <w:tc>
          <w:tcPr>
            <w:tcW w:w="1151" w:type="dxa"/>
            <w:vAlign w:val="top"/>
          </w:tcPr>
          <w:p>
            <w:pPr>
              <w:pStyle w:val="TableText"/>
              <w:ind w:left="263"/>
              <w:spacing w:before="34" w:line="215" w:lineRule="auto"/>
              <w:rPr/>
            </w:pPr>
            <w:r>
              <w:rPr>
                <w:spacing w:val="6"/>
              </w:rPr>
              <w:t>开松机</w:t>
            </w:r>
          </w:p>
        </w:tc>
        <w:tc>
          <w:tcPr>
            <w:tcW w:w="306" w:type="dxa"/>
            <w:vAlign w:val="top"/>
          </w:tcPr>
          <w:p>
            <w:pPr>
              <w:pStyle w:val="TableText"/>
              <w:ind w:left="69"/>
              <w:spacing w:before="34" w:line="215" w:lineRule="auto"/>
              <w:rPr/>
            </w:pPr>
            <w:r>
              <w:rPr/>
              <w:t>台</w:t>
            </w:r>
          </w:p>
        </w:tc>
        <w:tc>
          <w:tcPr>
            <w:tcW w:w="325" w:type="dxa"/>
            <w:vAlign w:val="top"/>
          </w:tcPr>
          <w:p>
            <w:pPr>
              <w:ind w:left="13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19" w:type="dxa"/>
            <w:vAlign w:val="top"/>
          </w:tcPr>
          <w:p>
            <w:pPr>
              <w:ind w:left="5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210</w:t>
            </w:r>
          </w:p>
        </w:tc>
        <w:tc>
          <w:tcPr>
            <w:tcW w:w="423" w:type="dxa"/>
            <w:vAlign w:val="top"/>
          </w:tcPr>
          <w:p>
            <w:pPr>
              <w:ind w:left="7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173</w:t>
            </w:r>
          </w:p>
        </w:tc>
        <w:tc>
          <w:tcPr>
            <w:tcW w:w="505" w:type="dxa"/>
            <w:vAlign w:val="top"/>
          </w:tcPr>
          <w:p>
            <w:pPr>
              <w:ind w:left="22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07" w:type="dxa"/>
            <w:vAlign w:val="top"/>
          </w:tcPr>
          <w:p>
            <w:pPr>
              <w:ind w:left="20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495" w:type="dxa"/>
            <w:vAlign w:val="top"/>
            <w:vMerge w:val="continue"/>
            <w:tcBorders>
              <w:top w:val="nil"/>
              <w:bottom w:val="nil"/>
            </w:tcBorders>
          </w:tcPr>
          <w:p>
            <w:pPr>
              <w:rPr>
                <w:rFonts w:ascii="Arial"/>
                <w:sz w:val="21"/>
              </w:rPr>
            </w:pPr>
            <w:r/>
          </w:p>
        </w:tc>
        <w:tc>
          <w:tcPr>
            <w:tcW w:w="454" w:type="dxa"/>
            <w:vAlign w:val="top"/>
          </w:tcPr>
          <w:p>
            <w:pPr>
              <w:ind w:left="181"/>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637" w:type="dxa"/>
            <w:vAlign w:val="top"/>
          </w:tcPr>
          <w:p>
            <w:pPr>
              <w:ind w:left="8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76.02</w:t>
            </w:r>
          </w:p>
        </w:tc>
        <w:tc>
          <w:tcPr>
            <w:tcW w:w="454" w:type="dxa"/>
            <w:vAlign w:val="top"/>
          </w:tcPr>
          <w:p>
            <w:pPr>
              <w:pStyle w:val="TableText"/>
              <w:ind w:left="21"/>
              <w:spacing w:before="34" w:line="215" w:lineRule="auto"/>
              <w:rPr/>
            </w:pPr>
            <w:r>
              <w:rPr>
                <w:spacing w:val="6"/>
              </w:rPr>
              <w:t>全天</w:t>
            </w:r>
          </w:p>
        </w:tc>
        <w:tc>
          <w:tcPr>
            <w:tcW w:w="654" w:type="dxa"/>
            <w:vAlign w:val="top"/>
          </w:tcPr>
          <w:p>
            <w:pPr>
              <w:ind w:left="22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51.02</w:t>
            </w:r>
          </w:p>
        </w:tc>
        <w:tc>
          <w:tcPr>
            <w:tcW w:w="570" w:type="dxa"/>
            <w:vAlign w:val="top"/>
          </w:tcPr>
          <w:p>
            <w:pPr>
              <w:ind w:left="17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bottom w:val="nil"/>
            </w:tcBorders>
          </w:tcPr>
          <w:p>
            <w:pPr>
              <w:rPr>
                <w:rFonts w:ascii="Arial"/>
                <w:sz w:val="21"/>
              </w:rPr>
            </w:pPr>
            <w:r/>
          </w:p>
        </w:tc>
        <w:tc>
          <w:tcPr>
            <w:tcW w:w="563" w:type="dxa"/>
            <w:vAlign w:val="top"/>
            <w:vMerge w:val="continue"/>
            <w:tcBorders>
              <w:top w:val="nil"/>
              <w:bottom w:val="nil"/>
            </w:tcBorders>
          </w:tcPr>
          <w:p>
            <w:pPr>
              <w:rPr>
                <w:rFonts w:ascii="Arial"/>
                <w:sz w:val="21"/>
              </w:rPr>
            </w:pPr>
            <w:r/>
          </w:p>
        </w:tc>
        <w:tc>
          <w:tcPr>
            <w:tcW w:w="1151" w:type="dxa"/>
            <w:vAlign w:val="top"/>
          </w:tcPr>
          <w:p>
            <w:pPr>
              <w:pStyle w:val="TableText"/>
              <w:ind w:left="263"/>
              <w:spacing w:before="33" w:line="216" w:lineRule="auto"/>
              <w:rPr/>
            </w:pPr>
            <w:r>
              <w:rPr>
                <w:spacing w:val="6"/>
              </w:rPr>
              <w:t>压水机</w:t>
            </w:r>
          </w:p>
        </w:tc>
        <w:tc>
          <w:tcPr>
            <w:tcW w:w="306" w:type="dxa"/>
            <w:vAlign w:val="top"/>
          </w:tcPr>
          <w:p>
            <w:pPr>
              <w:pStyle w:val="TableText"/>
              <w:ind w:left="69"/>
              <w:spacing w:before="33" w:line="216" w:lineRule="auto"/>
              <w:rPr/>
            </w:pPr>
            <w:r>
              <w:rPr/>
              <w:t>台</w:t>
            </w:r>
          </w:p>
        </w:tc>
        <w:tc>
          <w:tcPr>
            <w:tcW w:w="325" w:type="dxa"/>
            <w:vAlign w:val="top"/>
          </w:tcPr>
          <w:p>
            <w:pPr>
              <w:ind w:left="11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419" w:type="dxa"/>
            <w:vAlign w:val="top"/>
          </w:tcPr>
          <w:p>
            <w:pPr>
              <w:ind w:left="51"/>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206</w:t>
            </w:r>
          </w:p>
        </w:tc>
        <w:tc>
          <w:tcPr>
            <w:tcW w:w="423" w:type="dxa"/>
            <w:vAlign w:val="top"/>
          </w:tcPr>
          <w:p>
            <w:pPr>
              <w:ind w:left="75"/>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178</w:t>
            </w:r>
          </w:p>
        </w:tc>
        <w:tc>
          <w:tcPr>
            <w:tcW w:w="505" w:type="dxa"/>
            <w:vAlign w:val="top"/>
          </w:tcPr>
          <w:p>
            <w:pPr>
              <w:ind w:left="220"/>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07" w:type="dxa"/>
            <w:vAlign w:val="top"/>
          </w:tcPr>
          <w:p>
            <w:pPr>
              <w:ind w:left="20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495" w:type="dxa"/>
            <w:vAlign w:val="top"/>
            <w:vMerge w:val="continue"/>
            <w:tcBorders>
              <w:top w:val="nil"/>
              <w:bottom w:val="nil"/>
            </w:tcBorders>
          </w:tcPr>
          <w:p>
            <w:pPr>
              <w:rPr>
                <w:rFonts w:ascii="Arial"/>
                <w:sz w:val="21"/>
              </w:rPr>
            </w:pPr>
            <w:r/>
          </w:p>
        </w:tc>
        <w:tc>
          <w:tcPr>
            <w:tcW w:w="454" w:type="dxa"/>
            <w:vAlign w:val="top"/>
          </w:tcPr>
          <w:p>
            <w:pPr>
              <w:ind w:left="181"/>
              <w:spacing w:before="7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637" w:type="dxa"/>
            <w:vAlign w:val="top"/>
          </w:tcPr>
          <w:p>
            <w:pPr>
              <w:ind w:left="89"/>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51.02</w:t>
            </w:r>
          </w:p>
        </w:tc>
        <w:tc>
          <w:tcPr>
            <w:tcW w:w="454" w:type="dxa"/>
            <w:vAlign w:val="top"/>
          </w:tcPr>
          <w:p>
            <w:pPr>
              <w:pStyle w:val="TableText"/>
              <w:ind w:left="21"/>
              <w:spacing w:before="33" w:line="216" w:lineRule="auto"/>
              <w:rPr/>
            </w:pPr>
            <w:r>
              <w:rPr>
                <w:spacing w:val="6"/>
              </w:rPr>
              <w:t>全天</w:t>
            </w:r>
          </w:p>
        </w:tc>
        <w:tc>
          <w:tcPr>
            <w:tcW w:w="654" w:type="dxa"/>
            <w:vAlign w:val="top"/>
          </w:tcPr>
          <w:p>
            <w:pPr>
              <w:ind w:left="223"/>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36"/>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26.02</w:t>
            </w:r>
          </w:p>
        </w:tc>
        <w:tc>
          <w:tcPr>
            <w:tcW w:w="570" w:type="dxa"/>
            <w:vAlign w:val="top"/>
          </w:tcPr>
          <w:p>
            <w:pPr>
              <w:ind w:left="17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tcBorders>
          </w:tcPr>
          <w:p>
            <w:pPr>
              <w:rPr>
                <w:rFonts w:ascii="Arial"/>
                <w:sz w:val="21"/>
              </w:rPr>
            </w:pPr>
            <w:r/>
          </w:p>
        </w:tc>
        <w:tc>
          <w:tcPr>
            <w:tcW w:w="563" w:type="dxa"/>
            <w:vAlign w:val="top"/>
            <w:vMerge w:val="continue"/>
            <w:tcBorders>
              <w:top w:val="nil"/>
            </w:tcBorders>
          </w:tcPr>
          <w:p>
            <w:pPr>
              <w:rPr>
                <w:rFonts w:ascii="Arial"/>
                <w:sz w:val="21"/>
              </w:rPr>
            </w:pPr>
            <w:r/>
          </w:p>
        </w:tc>
        <w:tc>
          <w:tcPr>
            <w:tcW w:w="1151" w:type="dxa"/>
            <w:vAlign w:val="top"/>
          </w:tcPr>
          <w:p>
            <w:pPr>
              <w:pStyle w:val="TableText"/>
              <w:ind w:left="53"/>
              <w:spacing w:before="34" w:line="215" w:lineRule="auto"/>
              <w:rPr/>
            </w:pPr>
            <w:r>
              <w:rPr>
                <w:spacing w:val="8"/>
              </w:rPr>
              <w:t>平帘烘干机</w:t>
            </w:r>
          </w:p>
        </w:tc>
        <w:tc>
          <w:tcPr>
            <w:tcW w:w="306" w:type="dxa"/>
            <w:vAlign w:val="top"/>
          </w:tcPr>
          <w:p>
            <w:pPr>
              <w:pStyle w:val="TableText"/>
              <w:ind w:left="69"/>
              <w:spacing w:before="34" w:line="215" w:lineRule="auto"/>
              <w:rPr/>
            </w:pPr>
            <w:r>
              <w:rPr/>
              <w:t>台</w:t>
            </w:r>
          </w:p>
        </w:tc>
        <w:tc>
          <w:tcPr>
            <w:tcW w:w="325" w:type="dxa"/>
            <w:vAlign w:val="top"/>
          </w:tcPr>
          <w:p>
            <w:pPr>
              <w:ind w:left="13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19" w:type="dxa"/>
            <w:vAlign w:val="top"/>
          </w:tcPr>
          <w:p>
            <w:pPr>
              <w:ind w:left="5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204</w:t>
            </w:r>
          </w:p>
        </w:tc>
        <w:tc>
          <w:tcPr>
            <w:tcW w:w="423" w:type="dxa"/>
            <w:vAlign w:val="top"/>
          </w:tcPr>
          <w:p>
            <w:pPr>
              <w:ind w:left="7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182</w:t>
            </w:r>
          </w:p>
        </w:tc>
        <w:tc>
          <w:tcPr>
            <w:tcW w:w="505" w:type="dxa"/>
            <w:vAlign w:val="top"/>
          </w:tcPr>
          <w:p>
            <w:pPr>
              <w:ind w:left="14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1.2</w:t>
            </w:r>
          </w:p>
        </w:tc>
        <w:tc>
          <w:tcPr>
            <w:tcW w:w="607" w:type="dxa"/>
            <w:vAlign w:val="top"/>
          </w:tcPr>
          <w:p>
            <w:pPr>
              <w:ind w:left="20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85</w:t>
            </w:r>
          </w:p>
        </w:tc>
        <w:tc>
          <w:tcPr>
            <w:tcW w:w="495" w:type="dxa"/>
            <w:vAlign w:val="top"/>
            <w:vMerge w:val="continue"/>
            <w:tcBorders>
              <w:top w:val="nil"/>
              <w:bottom w:val="nil"/>
            </w:tcBorders>
          </w:tcPr>
          <w:p>
            <w:pPr>
              <w:rPr>
                <w:rFonts w:ascii="Arial"/>
                <w:sz w:val="21"/>
              </w:rPr>
            </w:pPr>
            <w:r/>
          </w:p>
        </w:tc>
        <w:tc>
          <w:tcPr>
            <w:tcW w:w="454" w:type="dxa"/>
            <w:vAlign w:val="top"/>
          </w:tcPr>
          <w:p>
            <w:pPr>
              <w:ind w:left="18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637" w:type="dxa"/>
            <w:vAlign w:val="top"/>
          </w:tcPr>
          <w:p>
            <w:pPr>
              <w:ind w:left="8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66.94</w:t>
            </w:r>
          </w:p>
        </w:tc>
        <w:tc>
          <w:tcPr>
            <w:tcW w:w="454" w:type="dxa"/>
            <w:vAlign w:val="top"/>
          </w:tcPr>
          <w:p>
            <w:pPr>
              <w:pStyle w:val="TableText"/>
              <w:ind w:left="21"/>
              <w:spacing w:before="34" w:line="215" w:lineRule="auto"/>
              <w:rPr/>
            </w:pPr>
            <w:r>
              <w:rPr>
                <w:spacing w:val="6"/>
              </w:rPr>
              <w:t>全天</w:t>
            </w:r>
          </w:p>
        </w:tc>
        <w:tc>
          <w:tcPr>
            <w:tcW w:w="654" w:type="dxa"/>
            <w:vAlign w:val="top"/>
          </w:tcPr>
          <w:p>
            <w:pPr>
              <w:ind w:left="22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3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41.94</w:t>
            </w:r>
          </w:p>
        </w:tc>
        <w:tc>
          <w:tcPr>
            <w:tcW w:w="570" w:type="dxa"/>
            <w:vAlign w:val="top"/>
          </w:tcPr>
          <w:p>
            <w:pPr>
              <w:ind w:left="17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restart"/>
            <w:tcBorders>
              <w:bottom w:val="nil"/>
            </w:tcBorders>
          </w:tcPr>
          <w:p>
            <w:pPr>
              <w:spacing w:line="286" w:lineRule="auto"/>
              <w:rPr>
                <w:rFonts w:ascii="Arial"/>
                <w:sz w:val="21"/>
              </w:rPr>
            </w:pPr>
            <w:r/>
          </w:p>
          <w:p>
            <w:pPr>
              <w:spacing w:line="287" w:lineRule="auto"/>
              <w:rPr>
                <w:rFonts w:ascii="Arial"/>
                <w:sz w:val="21"/>
              </w:rPr>
            </w:pPr>
            <w:r/>
          </w:p>
          <w:p>
            <w:pPr>
              <w:ind w:left="74"/>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563" w:type="dxa"/>
            <w:vAlign w:val="top"/>
            <w:vMerge w:val="restart"/>
            <w:tcBorders>
              <w:bottom w:val="nil"/>
            </w:tcBorders>
          </w:tcPr>
          <w:p>
            <w:pPr>
              <w:spacing w:line="258" w:lineRule="auto"/>
              <w:rPr>
                <w:rFonts w:ascii="Arial"/>
                <w:sz w:val="21"/>
              </w:rPr>
            </w:pPr>
            <w:r/>
          </w:p>
          <w:p>
            <w:pPr>
              <w:pStyle w:val="TableText"/>
              <w:ind w:left="73"/>
              <w:spacing w:before="65" w:line="229" w:lineRule="auto"/>
              <w:rPr/>
            </w:pPr>
            <w:r>
              <w:rPr>
                <w:spacing w:val="5"/>
              </w:rPr>
              <w:t>洗毛</w:t>
            </w:r>
          </w:p>
          <w:p>
            <w:pPr>
              <w:pStyle w:val="TableText"/>
              <w:ind w:left="76"/>
              <w:spacing w:before="22" w:line="228" w:lineRule="auto"/>
              <w:rPr/>
            </w:pPr>
            <w:r>
              <w:rPr>
                <w:spacing w:val="3"/>
              </w:rPr>
              <w:t>车间</w:t>
            </w:r>
          </w:p>
          <w:p>
            <w:pPr>
              <w:pStyle w:val="TableText"/>
              <w:ind w:left="181"/>
              <w:spacing w:before="66" w:line="183" w:lineRule="auto"/>
              <w:rPr/>
            </w:pPr>
            <w:r>
              <w:rPr/>
              <w:t>二</w:t>
            </w:r>
          </w:p>
        </w:tc>
        <w:tc>
          <w:tcPr>
            <w:tcW w:w="1151" w:type="dxa"/>
            <w:vAlign w:val="top"/>
          </w:tcPr>
          <w:p>
            <w:pPr>
              <w:pStyle w:val="TableText"/>
              <w:ind w:left="262"/>
              <w:spacing w:before="35" w:line="214" w:lineRule="auto"/>
              <w:rPr/>
            </w:pPr>
            <w:r>
              <w:rPr>
                <w:spacing w:val="7"/>
              </w:rPr>
              <w:t>解包机</w:t>
            </w:r>
          </w:p>
        </w:tc>
        <w:tc>
          <w:tcPr>
            <w:tcW w:w="306" w:type="dxa"/>
            <w:vAlign w:val="top"/>
          </w:tcPr>
          <w:p>
            <w:pPr>
              <w:pStyle w:val="TableText"/>
              <w:ind w:left="69"/>
              <w:spacing w:before="35" w:line="214" w:lineRule="auto"/>
              <w:rPr/>
            </w:pPr>
            <w:r>
              <w:rPr/>
              <w:t>台</w:t>
            </w:r>
          </w:p>
        </w:tc>
        <w:tc>
          <w:tcPr>
            <w:tcW w:w="325" w:type="dxa"/>
            <w:vAlign w:val="top"/>
          </w:tcPr>
          <w:p>
            <w:pPr>
              <w:ind w:left="13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19" w:type="dxa"/>
            <w:vAlign w:val="top"/>
          </w:tcPr>
          <w:p>
            <w:pPr>
              <w:ind w:left="2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22.5</w:t>
            </w:r>
          </w:p>
        </w:tc>
        <w:tc>
          <w:tcPr>
            <w:tcW w:w="423" w:type="dxa"/>
            <w:vAlign w:val="top"/>
          </w:tcPr>
          <w:p>
            <w:pPr>
              <w:ind w:left="10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33</w:t>
            </w:r>
          </w:p>
        </w:tc>
        <w:tc>
          <w:tcPr>
            <w:tcW w:w="505" w:type="dxa"/>
            <w:vAlign w:val="top"/>
          </w:tcPr>
          <w:p>
            <w:pPr>
              <w:ind w:left="22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07" w:type="dxa"/>
            <w:vAlign w:val="top"/>
          </w:tcPr>
          <w:p>
            <w:pPr>
              <w:ind w:left="208"/>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85</w:t>
            </w:r>
          </w:p>
        </w:tc>
        <w:tc>
          <w:tcPr>
            <w:tcW w:w="495" w:type="dxa"/>
            <w:vAlign w:val="top"/>
            <w:vMerge w:val="continue"/>
            <w:tcBorders>
              <w:top w:val="nil"/>
              <w:bottom w:val="nil"/>
            </w:tcBorders>
          </w:tcPr>
          <w:p>
            <w:pPr>
              <w:rPr>
                <w:rFonts w:ascii="Arial"/>
                <w:sz w:val="21"/>
              </w:rPr>
            </w:pPr>
            <w:r/>
          </w:p>
        </w:tc>
        <w:tc>
          <w:tcPr>
            <w:tcW w:w="454" w:type="dxa"/>
            <w:vAlign w:val="top"/>
          </w:tcPr>
          <w:p>
            <w:pPr>
              <w:ind w:left="9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637" w:type="dxa"/>
            <w:vAlign w:val="top"/>
          </w:tcPr>
          <w:p>
            <w:pPr>
              <w:ind w:left="8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77.04</w:t>
            </w:r>
          </w:p>
        </w:tc>
        <w:tc>
          <w:tcPr>
            <w:tcW w:w="454" w:type="dxa"/>
            <w:vAlign w:val="top"/>
          </w:tcPr>
          <w:p>
            <w:pPr>
              <w:pStyle w:val="TableText"/>
              <w:ind w:left="21"/>
              <w:spacing w:before="35" w:line="214" w:lineRule="auto"/>
              <w:rPr/>
            </w:pPr>
            <w:r>
              <w:rPr>
                <w:spacing w:val="6"/>
              </w:rPr>
              <w:t>全天</w:t>
            </w:r>
          </w:p>
        </w:tc>
        <w:tc>
          <w:tcPr>
            <w:tcW w:w="654" w:type="dxa"/>
            <w:vAlign w:val="top"/>
          </w:tcPr>
          <w:p>
            <w:pPr>
              <w:ind w:left="22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52.04</w:t>
            </w:r>
          </w:p>
        </w:tc>
        <w:tc>
          <w:tcPr>
            <w:tcW w:w="570" w:type="dxa"/>
            <w:vAlign w:val="top"/>
          </w:tcPr>
          <w:p>
            <w:pPr>
              <w:ind w:left="17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bottom w:val="nil"/>
            </w:tcBorders>
          </w:tcPr>
          <w:p>
            <w:pPr>
              <w:rPr>
                <w:rFonts w:ascii="Arial"/>
                <w:sz w:val="21"/>
              </w:rPr>
            </w:pPr>
            <w:r/>
          </w:p>
        </w:tc>
        <w:tc>
          <w:tcPr>
            <w:tcW w:w="563" w:type="dxa"/>
            <w:vAlign w:val="top"/>
            <w:vMerge w:val="continue"/>
            <w:tcBorders>
              <w:top w:val="nil"/>
              <w:bottom w:val="nil"/>
            </w:tcBorders>
          </w:tcPr>
          <w:p>
            <w:pPr>
              <w:rPr>
                <w:rFonts w:ascii="Arial"/>
                <w:sz w:val="21"/>
              </w:rPr>
            </w:pPr>
            <w:r/>
          </w:p>
        </w:tc>
        <w:tc>
          <w:tcPr>
            <w:tcW w:w="1151" w:type="dxa"/>
            <w:vAlign w:val="top"/>
          </w:tcPr>
          <w:p>
            <w:pPr>
              <w:pStyle w:val="TableText"/>
              <w:ind w:left="273"/>
              <w:spacing w:before="34" w:line="215" w:lineRule="auto"/>
              <w:rPr/>
            </w:pPr>
            <w:r>
              <w:rPr>
                <w:spacing w:val="3"/>
              </w:rPr>
              <w:t>喂毛机</w:t>
            </w:r>
          </w:p>
        </w:tc>
        <w:tc>
          <w:tcPr>
            <w:tcW w:w="306" w:type="dxa"/>
            <w:vAlign w:val="top"/>
          </w:tcPr>
          <w:p>
            <w:pPr>
              <w:pStyle w:val="TableText"/>
              <w:ind w:left="69"/>
              <w:spacing w:before="34" w:line="215" w:lineRule="auto"/>
              <w:rPr/>
            </w:pPr>
            <w:r>
              <w:rPr/>
              <w:t>台</w:t>
            </w:r>
          </w:p>
        </w:tc>
        <w:tc>
          <w:tcPr>
            <w:tcW w:w="325" w:type="dxa"/>
            <w:vAlign w:val="top"/>
          </w:tcPr>
          <w:p>
            <w:pPr>
              <w:ind w:left="10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419" w:type="dxa"/>
            <w:vAlign w:val="top"/>
          </w:tcPr>
          <w:p>
            <w:pPr>
              <w:ind w:left="2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27.6</w:t>
            </w:r>
          </w:p>
        </w:tc>
        <w:tc>
          <w:tcPr>
            <w:tcW w:w="423" w:type="dxa"/>
            <w:vAlign w:val="top"/>
          </w:tcPr>
          <w:p>
            <w:pPr>
              <w:ind w:left="10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34</w:t>
            </w:r>
          </w:p>
        </w:tc>
        <w:tc>
          <w:tcPr>
            <w:tcW w:w="505" w:type="dxa"/>
            <w:vAlign w:val="top"/>
          </w:tcPr>
          <w:p>
            <w:pPr>
              <w:ind w:left="22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07" w:type="dxa"/>
            <w:vAlign w:val="top"/>
          </w:tcPr>
          <w:p>
            <w:pPr>
              <w:ind w:left="20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70</w:t>
            </w:r>
          </w:p>
        </w:tc>
        <w:tc>
          <w:tcPr>
            <w:tcW w:w="495" w:type="dxa"/>
            <w:vAlign w:val="top"/>
            <w:vMerge w:val="continue"/>
            <w:tcBorders>
              <w:top w:val="nil"/>
              <w:bottom w:val="nil"/>
            </w:tcBorders>
          </w:tcPr>
          <w:p>
            <w:pPr>
              <w:rPr>
                <w:rFonts w:ascii="Arial"/>
                <w:sz w:val="21"/>
              </w:rPr>
            </w:pPr>
            <w:r/>
          </w:p>
        </w:tc>
        <w:tc>
          <w:tcPr>
            <w:tcW w:w="454" w:type="dxa"/>
            <w:vAlign w:val="top"/>
          </w:tcPr>
          <w:p>
            <w:pPr>
              <w:ind w:left="17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637" w:type="dxa"/>
            <w:vAlign w:val="top"/>
          </w:tcPr>
          <w:p>
            <w:pPr>
              <w:ind w:left="8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60.46</w:t>
            </w:r>
          </w:p>
        </w:tc>
        <w:tc>
          <w:tcPr>
            <w:tcW w:w="454" w:type="dxa"/>
            <w:vAlign w:val="top"/>
          </w:tcPr>
          <w:p>
            <w:pPr>
              <w:pStyle w:val="TableText"/>
              <w:ind w:left="21"/>
              <w:spacing w:before="34" w:line="215" w:lineRule="auto"/>
              <w:rPr/>
            </w:pPr>
            <w:r>
              <w:rPr>
                <w:spacing w:val="6"/>
              </w:rPr>
              <w:t>全天</w:t>
            </w:r>
          </w:p>
        </w:tc>
        <w:tc>
          <w:tcPr>
            <w:tcW w:w="654" w:type="dxa"/>
            <w:vAlign w:val="top"/>
          </w:tcPr>
          <w:p>
            <w:pPr>
              <w:ind w:left="22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35.46</w:t>
            </w:r>
          </w:p>
        </w:tc>
        <w:tc>
          <w:tcPr>
            <w:tcW w:w="570" w:type="dxa"/>
            <w:vAlign w:val="top"/>
          </w:tcPr>
          <w:p>
            <w:pPr>
              <w:ind w:left="17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8" w:hRule="atLeast"/>
        </w:trPr>
        <w:tc>
          <w:tcPr>
            <w:tcW w:w="253" w:type="dxa"/>
            <w:vAlign w:val="top"/>
            <w:vMerge w:val="continue"/>
            <w:tcBorders>
              <w:top w:val="nil"/>
              <w:bottom w:val="nil"/>
            </w:tcBorders>
          </w:tcPr>
          <w:p>
            <w:pPr>
              <w:rPr>
                <w:rFonts w:ascii="Arial"/>
                <w:sz w:val="21"/>
              </w:rPr>
            </w:pPr>
            <w:r/>
          </w:p>
        </w:tc>
        <w:tc>
          <w:tcPr>
            <w:tcW w:w="563" w:type="dxa"/>
            <w:vAlign w:val="top"/>
            <w:vMerge w:val="continue"/>
            <w:tcBorders>
              <w:top w:val="nil"/>
              <w:bottom w:val="nil"/>
            </w:tcBorders>
          </w:tcPr>
          <w:p>
            <w:pPr>
              <w:rPr>
                <w:rFonts w:ascii="Arial"/>
                <w:sz w:val="21"/>
              </w:rPr>
            </w:pPr>
            <w:r/>
          </w:p>
        </w:tc>
        <w:tc>
          <w:tcPr>
            <w:tcW w:w="1151" w:type="dxa"/>
            <w:vAlign w:val="top"/>
          </w:tcPr>
          <w:p>
            <w:pPr>
              <w:pStyle w:val="TableText"/>
              <w:ind w:left="263"/>
              <w:spacing w:before="35" w:line="215" w:lineRule="auto"/>
              <w:rPr/>
            </w:pPr>
            <w:r>
              <w:rPr>
                <w:spacing w:val="6"/>
              </w:rPr>
              <w:t>开松机</w:t>
            </w:r>
          </w:p>
        </w:tc>
        <w:tc>
          <w:tcPr>
            <w:tcW w:w="306" w:type="dxa"/>
            <w:vAlign w:val="top"/>
          </w:tcPr>
          <w:p>
            <w:pPr>
              <w:pStyle w:val="TableText"/>
              <w:ind w:left="69"/>
              <w:spacing w:before="35" w:line="215" w:lineRule="auto"/>
              <w:rPr/>
            </w:pPr>
            <w:r>
              <w:rPr/>
              <w:t>台</w:t>
            </w:r>
          </w:p>
        </w:tc>
        <w:tc>
          <w:tcPr>
            <w:tcW w:w="325" w:type="dxa"/>
            <w:vAlign w:val="top"/>
          </w:tcPr>
          <w:p>
            <w:pPr>
              <w:ind w:left="13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19" w:type="dxa"/>
            <w:vAlign w:val="top"/>
          </w:tcPr>
          <w:p>
            <w:pPr>
              <w:ind w:left="108"/>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34</w:t>
            </w:r>
          </w:p>
        </w:tc>
        <w:tc>
          <w:tcPr>
            <w:tcW w:w="423" w:type="dxa"/>
            <w:vAlign w:val="top"/>
          </w:tcPr>
          <w:p>
            <w:pPr>
              <w:ind w:left="10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37</w:t>
            </w:r>
          </w:p>
        </w:tc>
        <w:tc>
          <w:tcPr>
            <w:tcW w:w="505" w:type="dxa"/>
            <w:vAlign w:val="top"/>
          </w:tcPr>
          <w:p>
            <w:pPr>
              <w:ind w:left="22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07" w:type="dxa"/>
            <w:vAlign w:val="top"/>
          </w:tcPr>
          <w:p>
            <w:pPr>
              <w:ind w:left="20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495" w:type="dxa"/>
            <w:vAlign w:val="top"/>
            <w:vMerge w:val="continue"/>
            <w:tcBorders>
              <w:top w:val="nil"/>
              <w:bottom w:val="nil"/>
            </w:tcBorders>
          </w:tcPr>
          <w:p>
            <w:pPr>
              <w:rPr>
                <w:rFonts w:ascii="Arial"/>
                <w:sz w:val="21"/>
              </w:rPr>
            </w:pPr>
            <w:r/>
          </w:p>
        </w:tc>
        <w:tc>
          <w:tcPr>
            <w:tcW w:w="454" w:type="dxa"/>
            <w:vAlign w:val="top"/>
          </w:tcPr>
          <w:p>
            <w:pPr>
              <w:ind w:left="181"/>
              <w:spacing w:before="7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637" w:type="dxa"/>
            <w:vAlign w:val="top"/>
          </w:tcPr>
          <w:p>
            <w:pPr>
              <w:ind w:left="8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76.02</w:t>
            </w:r>
          </w:p>
        </w:tc>
        <w:tc>
          <w:tcPr>
            <w:tcW w:w="454" w:type="dxa"/>
            <w:vAlign w:val="top"/>
          </w:tcPr>
          <w:p>
            <w:pPr>
              <w:pStyle w:val="TableText"/>
              <w:ind w:left="21"/>
              <w:spacing w:before="35" w:line="215" w:lineRule="auto"/>
              <w:rPr/>
            </w:pPr>
            <w:r>
              <w:rPr>
                <w:spacing w:val="6"/>
              </w:rPr>
              <w:t>全天</w:t>
            </w:r>
          </w:p>
        </w:tc>
        <w:tc>
          <w:tcPr>
            <w:tcW w:w="654" w:type="dxa"/>
            <w:vAlign w:val="top"/>
          </w:tcPr>
          <w:p>
            <w:pPr>
              <w:ind w:left="22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51.02</w:t>
            </w:r>
          </w:p>
        </w:tc>
        <w:tc>
          <w:tcPr>
            <w:tcW w:w="570" w:type="dxa"/>
            <w:vAlign w:val="top"/>
          </w:tcPr>
          <w:p>
            <w:pPr>
              <w:ind w:left="17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bottom w:val="nil"/>
            </w:tcBorders>
          </w:tcPr>
          <w:p>
            <w:pPr>
              <w:rPr>
                <w:rFonts w:ascii="Arial"/>
                <w:sz w:val="21"/>
              </w:rPr>
            </w:pPr>
            <w:r/>
          </w:p>
        </w:tc>
        <w:tc>
          <w:tcPr>
            <w:tcW w:w="563" w:type="dxa"/>
            <w:vAlign w:val="top"/>
            <w:vMerge w:val="continue"/>
            <w:tcBorders>
              <w:top w:val="nil"/>
              <w:bottom w:val="nil"/>
            </w:tcBorders>
          </w:tcPr>
          <w:p>
            <w:pPr>
              <w:rPr>
                <w:rFonts w:ascii="Arial"/>
                <w:sz w:val="21"/>
              </w:rPr>
            </w:pPr>
            <w:r/>
          </w:p>
        </w:tc>
        <w:tc>
          <w:tcPr>
            <w:tcW w:w="1151" w:type="dxa"/>
            <w:vAlign w:val="top"/>
          </w:tcPr>
          <w:p>
            <w:pPr>
              <w:pStyle w:val="TableText"/>
              <w:ind w:left="263"/>
              <w:spacing w:before="35" w:line="214" w:lineRule="auto"/>
              <w:rPr/>
            </w:pPr>
            <w:r>
              <w:rPr>
                <w:spacing w:val="6"/>
              </w:rPr>
              <w:t>压水机</w:t>
            </w:r>
          </w:p>
        </w:tc>
        <w:tc>
          <w:tcPr>
            <w:tcW w:w="306" w:type="dxa"/>
            <w:vAlign w:val="top"/>
          </w:tcPr>
          <w:p>
            <w:pPr>
              <w:pStyle w:val="TableText"/>
              <w:ind w:left="69"/>
              <w:spacing w:before="35" w:line="214" w:lineRule="auto"/>
              <w:rPr/>
            </w:pPr>
            <w:r>
              <w:rPr/>
              <w:t>台</w:t>
            </w:r>
          </w:p>
        </w:tc>
        <w:tc>
          <w:tcPr>
            <w:tcW w:w="325" w:type="dxa"/>
            <w:vAlign w:val="top"/>
          </w:tcPr>
          <w:p>
            <w:pPr>
              <w:ind w:left="11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419" w:type="dxa"/>
            <w:vAlign w:val="top"/>
          </w:tcPr>
          <w:p>
            <w:pPr>
              <w:ind w:right="4"/>
              <w:spacing w:before="71"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39.</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423" w:type="dxa"/>
            <w:vAlign w:val="top"/>
          </w:tcPr>
          <w:p>
            <w:pPr>
              <w:ind w:left="3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39.2</w:t>
            </w:r>
          </w:p>
        </w:tc>
        <w:tc>
          <w:tcPr>
            <w:tcW w:w="505" w:type="dxa"/>
            <w:vAlign w:val="top"/>
          </w:tcPr>
          <w:p>
            <w:pPr>
              <w:ind w:left="22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07" w:type="dxa"/>
            <w:vAlign w:val="top"/>
          </w:tcPr>
          <w:p>
            <w:pPr>
              <w:ind w:left="20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495" w:type="dxa"/>
            <w:vAlign w:val="top"/>
            <w:vMerge w:val="continue"/>
            <w:tcBorders>
              <w:top w:val="nil"/>
              <w:bottom w:val="nil"/>
            </w:tcBorders>
          </w:tcPr>
          <w:p>
            <w:pPr>
              <w:rPr>
                <w:rFonts w:ascii="Arial"/>
                <w:sz w:val="21"/>
              </w:rPr>
            </w:pPr>
            <w:r/>
          </w:p>
        </w:tc>
        <w:tc>
          <w:tcPr>
            <w:tcW w:w="454" w:type="dxa"/>
            <w:vAlign w:val="top"/>
          </w:tcPr>
          <w:p>
            <w:pPr>
              <w:ind w:left="181"/>
              <w:spacing w:before="7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637" w:type="dxa"/>
            <w:vAlign w:val="top"/>
          </w:tcPr>
          <w:p>
            <w:pPr>
              <w:ind w:left="8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51.02</w:t>
            </w:r>
          </w:p>
        </w:tc>
        <w:tc>
          <w:tcPr>
            <w:tcW w:w="454" w:type="dxa"/>
            <w:vAlign w:val="top"/>
          </w:tcPr>
          <w:p>
            <w:pPr>
              <w:pStyle w:val="TableText"/>
              <w:ind w:left="21"/>
              <w:spacing w:before="35" w:line="214" w:lineRule="auto"/>
              <w:rPr/>
            </w:pPr>
            <w:r>
              <w:rPr>
                <w:spacing w:val="6"/>
              </w:rPr>
              <w:t>全天</w:t>
            </w:r>
          </w:p>
        </w:tc>
        <w:tc>
          <w:tcPr>
            <w:tcW w:w="654" w:type="dxa"/>
            <w:vAlign w:val="top"/>
          </w:tcPr>
          <w:p>
            <w:pPr>
              <w:ind w:left="22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3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26.02</w:t>
            </w:r>
          </w:p>
        </w:tc>
        <w:tc>
          <w:tcPr>
            <w:tcW w:w="570" w:type="dxa"/>
            <w:vAlign w:val="top"/>
          </w:tcPr>
          <w:p>
            <w:pPr>
              <w:ind w:left="17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tcBorders>
          </w:tcPr>
          <w:p>
            <w:pPr>
              <w:rPr>
                <w:rFonts w:ascii="Arial"/>
                <w:sz w:val="21"/>
              </w:rPr>
            </w:pPr>
            <w:r/>
          </w:p>
        </w:tc>
        <w:tc>
          <w:tcPr>
            <w:tcW w:w="563" w:type="dxa"/>
            <w:vAlign w:val="top"/>
            <w:vMerge w:val="continue"/>
            <w:tcBorders>
              <w:top w:val="nil"/>
            </w:tcBorders>
          </w:tcPr>
          <w:p>
            <w:pPr>
              <w:rPr>
                <w:rFonts w:ascii="Arial"/>
                <w:sz w:val="21"/>
              </w:rPr>
            </w:pPr>
            <w:r/>
          </w:p>
        </w:tc>
        <w:tc>
          <w:tcPr>
            <w:tcW w:w="1151" w:type="dxa"/>
            <w:vAlign w:val="top"/>
          </w:tcPr>
          <w:p>
            <w:pPr>
              <w:pStyle w:val="TableText"/>
              <w:ind w:left="53"/>
              <w:spacing w:before="34" w:line="215" w:lineRule="auto"/>
              <w:rPr/>
            </w:pPr>
            <w:r>
              <w:rPr>
                <w:spacing w:val="8"/>
              </w:rPr>
              <w:t>平帘烘干机</w:t>
            </w:r>
          </w:p>
        </w:tc>
        <w:tc>
          <w:tcPr>
            <w:tcW w:w="306" w:type="dxa"/>
            <w:vAlign w:val="top"/>
          </w:tcPr>
          <w:p>
            <w:pPr>
              <w:pStyle w:val="TableText"/>
              <w:ind w:left="69"/>
              <w:spacing w:before="34" w:line="215" w:lineRule="auto"/>
              <w:rPr/>
            </w:pPr>
            <w:r>
              <w:rPr/>
              <w:t>台</w:t>
            </w:r>
          </w:p>
        </w:tc>
        <w:tc>
          <w:tcPr>
            <w:tcW w:w="325" w:type="dxa"/>
            <w:vAlign w:val="top"/>
          </w:tcPr>
          <w:p>
            <w:pPr>
              <w:ind w:left="13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19" w:type="dxa"/>
            <w:vAlign w:val="top"/>
          </w:tcPr>
          <w:p>
            <w:pPr>
              <w:ind w:left="24"/>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44.8</w:t>
            </w:r>
          </w:p>
        </w:tc>
        <w:tc>
          <w:tcPr>
            <w:tcW w:w="423" w:type="dxa"/>
            <w:vAlign w:val="top"/>
          </w:tcPr>
          <w:p>
            <w:pPr>
              <w:ind w:left="2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40.4</w:t>
            </w:r>
          </w:p>
        </w:tc>
        <w:tc>
          <w:tcPr>
            <w:tcW w:w="505" w:type="dxa"/>
            <w:vAlign w:val="top"/>
          </w:tcPr>
          <w:p>
            <w:pPr>
              <w:ind w:left="14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1.2</w:t>
            </w:r>
          </w:p>
        </w:tc>
        <w:tc>
          <w:tcPr>
            <w:tcW w:w="607" w:type="dxa"/>
            <w:vAlign w:val="top"/>
          </w:tcPr>
          <w:p>
            <w:pPr>
              <w:ind w:left="20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85</w:t>
            </w:r>
          </w:p>
        </w:tc>
        <w:tc>
          <w:tcPr>
            <w:tcW w:w="495" w:type="dxa"/>
            <w:vAlign w:val="top"/>
            <w:vMerge w:val="continue"/>
            <w:tcBorders>
              <w:top w:val="nil"/>
              <w:bottom w:val="nil"/>
            </w:tcBorders>
          </w:tcPr>
          <w:p>
            <w:pPr>
              <w:rPr>
                <w:rFonts w:ascii="Arial"/>
                <w:sz w:val="21"/>
              </w:rPr>
            </w:pPr>
            <w:r/>
          </w:p>
        </w:tc>
        <w:tc>
          <w:tcPr>
            <w:tcW w:w="454" w:type="dxa"/>
            <w:vAlign w:val="top"/>
          </w:tcPr>
          <w:p>
            <w:pPr>
              <w:ind w:left="18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637" w:type="dxa"/>
            <w:vAlign w:val="top"/>
          </w:tcPr>
          <w:p>
            <w:pPr>
              <w:ind w:left="8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66.94</w:t>
            </w:r>
          </w:p>
        </w:tc>
        <w:tc>
          <w:tcPr>
            <w:tcW w:w="454" w:type="dxa"/>
            <w:vAlign w:val="top"/>
          </w:tcPr>
          <w:p>
            <w:pPr>
              <w:pStyle w:val="TableText"/>
              <w:ind w:left="21"/>
              <w:spacing w:before="34" w:line="215" w:lineRule="auto"/>
              <w:rPr/>
            </w:pPr>
            <w:r>
              <w:rPr>
                <w:spacing w:val="6"/>
              </w:rPr>
              <w:t>全天</w:t>
            </w:r>
          </w:p>
        </w:tc>
        <w:tc>
          <w:tcPr>
            <w:tcW w:w="654" w:type="dxa"/>
            <w:vAlign w:val="top"/>
          </w:tcPr>
          <w:p>
            <w:pPr>
              <w:ind w:left="22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3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41.94</w:t>
            </w:r>
          </w:p>
        </w:tc>
        <w:tc>
          <w:tcPr>
            <w:tcW w:w="570" w:type="dxa"/>
            <w:vAlign w:val="top"/>
          </w:tcPr>
          <w:p>
            <w:pPr>
              <w:ind w:left="17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8" w:hRule="atLeast"/>
        </w:trPr>
        <w:tc>
          <w:tcPr>
            <w:tcW w:w="253" w:type="dxa"/>
            <w:vAlign w:val="top"/>
            <w:vMerge w:val="restart"/>
            <w:tcBorders>
              <w:bottom w:val="nil"/>
            </w:tcBorders>
          </w:tcPr>
          <w:p>
            <w:pPr>
              <w:ind w:left="78"/>
              <w:spacing w:before="21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563" w:type="dxa"/>
            <w:vAlign w:val="top"/>
            <w:vMerge w:val="restart"/>
            <w:tcBorders>
              <w:bottom w:val="nil"/>
            </w:tcBorders>
          </w:tcPr>
          <w:p>
            <w:pPr>
              <w:pStyle w:val="TableText"/>
              <w:ind w:left="73"/>
              <w:spacing w:before="39" w:line="228" w:lineRule="auto"/>
              <w:rPr/>
            </w:pPr>
            <w:r>
              <w:rPr>
                <w:spacing w:val="5"/>
              </w:rPr>
              <w:t>梳绒</w:t>
            </w:r>
          </w:p>
          <w:p>
            <w:pPr>
              <w:pStyle w:val="TableText"/>
              <w:ind w:left="76"/>
              <w:spacing w:before="24" w:line="220" w:lineRule="auto"/>
              <w:rPr/>
            </w:pPr>
            <w:r>
              <w:rPr>
                <w:spacing w:val="3"/>
              </w:rPr>
              <w:t>车间</w:t>
            </w:r>
          </w:p>
        </w:tc>
        <w:tc>
          <w:tcPr>
            <w:tcW w:w="1151" w:type="dxa"/>
            <w:vAlign w:val="top"/>
          </w:tcPr>
          <w:p>
            <w:pPr>
              <w:pStyle w:val="TableText"/>
              <w:ind w:left="263"/>
              <w:spacing w:before="35" w:line="215" w:lineRule="auto"/>
              <w:rPr/>
            </w:pPr>
            <w:r>
              <w:rPr>
                <w:spacing w:val="6"/>
              </w:rPr>
              <w:t>开松机</w:t>
            </w:r>
          </w:p>
        </w:tc>
        <w:tc>
          <w:tcPr>
            <w:tcW w:w="306" w:type="dxa"/>
            <w:vAlign w:val="top"/>
          </w:tcPr>
          <w:p>
            <w:pPr>
              <w:pStyle w:val="TableText"/>
              <w:ind w:left="69"/>
              <w:spacing w:before="35" w:line="215" w:lineRule="auto"/>
              <w:rPr/>
            </w:pPr>
            <w:r>
              <w:rPr/>
              <w:t>台</w:t>
            </w:r>
          </w:p>
        </w:tc>
        <w:tc>
          <w:tcPr>
            <w:tcW w:w="325" w:type="dxa"/>
            <w:vAlign w:val="top"/>
          </w:tcPr>
          <w:p>
            <w:pPr>
              <w:ind w:left="11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19" w:type="dxa"/>
            <w:vAlign w:val="top"/>
          </w:tcPr>
          <w:p>
            <w:pPr>
              <w:ind w:left="11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81</w:t>
            </w:r>
          </w:p>
        </w:tc>
        <w:tc>
          <w:tcPr>
            <w:tcW w:w="423" w:type="dxa"/>
            <w:vAlign w:val="top"/>
          </w:tcPr>
          <w:p>
            <w:pPr>
              <w:ind w:left="7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124</w:t>
            </w:r>
          </w:p>
        </w:tc>
        <w:tc>
          <w:tcPr>
            <w:tcW w:w="505" w:type="dxa"/>
            <w:vAlign w:val="top"/>
          </w:tcPr>
          <w:p>
            <w:pPr>
              <w:ind w:left="22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07" w:type="dxa"/>
            <w:vAlign w:val="top"/>
          </w:tcPr>
          <w:p>
            <w:pPr>
              <w:ind w:left="20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495" w:type="dxa"/>
            <w:vAlign w:val="top"/>
            <w:vMerge w:val="continue"/>
            <w:tcBorders>
              <w:top w:val="nil"/>
              <w:bottom w:val="nil"/>
            </w:tcBorders>
          </w:tcPr>
          <w:p>
            <w:pPr>
              <w:rPr>
                <w:rFonts w:ascii="Arial"/>
                <w:sz w:val="21"/>
              </w:rPr>
            </w:pPr>
            <w:r/>
          </w:p>
        </w:tc>
        <w:tc>
          <w:tcPr>
            <w:tcW w:w="454" w:type="dxa"/>
            <w:vAlign w:val="top"/>
          </w:tcPr>
          <w:p>
            <w:pPr>
              <w:ind w:left="9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637" w:type="dxa"/>
            <w:vAlign w:val="top"/>
          </w:tcPr>
          <w:p>
            <w:pPr>
              <w:ind w:left="9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82.04</w:t>
            </w:r>
          </w:p>
        </w:tc>
        <w:tc>
          <w:tcPr>
            <w:tcW w:w="454" w:type="dxa"/>
            <w:vAlign w:val="top"/>
          </w:tcPr>
          <w:p>
            <w:pPr>
              <w:pStyle w:val="TableText"/>
              <w:ind w:left="21"/>
              <w:spacing w:before="35" w:line="215" w:lineRule="auto"/>
              <w:rPr/>
            </w:pPr>
            <w:r>
              <w:rPr>
                <w:spacing w:val="6"/>
              </w:rPr>
              <w:t>全天</w:t>
            </w:r>
          </w:p>
        </w:tc>
        <w:tc>
          <w:tcPr>
            <w:tcW w:w="654" w:type="dxa"/>
            <w:vAlign w:val="top"/>
          </w:tcPr>
          <w:p>
            <w:pPr>
              <w:ind w:left="22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57.04</w:t>
            </w:r>
          </w:p>
        </w:tc>
        <w:tc>
          <w:tcPr>
            <w:tcW w:w="570" w:type="dxa"/>
            <w:vAlign w:val="top"/>
          </w:tcPr>
          <w:p>
            <w:pPr>
              <w:ind w:left="17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tcBorders>
          </w:tcPr>
          <w:p>
            <w:pPr>
              <w:rPr>
                <w:rFonts w:ascii="Arial"/>
                <w:sz w:val="21"/>
              </w:rPr>
            </w:pPr>
            <w:r/>
          </w:p>
        </w:tc>
        <w:tc>
          <w:tcPr>
            <w:tcW w:w="563" w:type="dxa"/>
            <w:vAlign w:val="top"/>
            <w:vMerge w:val="continue"/>
            <w:tcBorders>
              <w:top w:val="nil"/>
            </w:tcBorders>
          </w:tcPr>
          <w:p>
            <w:pPr>
              <w:rPr>
                <w:rFonts w:ascii="Arial"/>
                <w:sz w:val="21"/>
              </w:rPr>
            </w:pPr>
            <w:r/>
          </w:p>
        </w:tc>
        <w:tc>
          <w:tcPr>
            <w:tcW w:w="1151" w:type="dxa"/>
            <w:vAlign w:val="top"/>
          </w:tcPr>
          <w:p>
            <w:pPr>
              <w:pStyle w:val="TableText"/>
              <w:ind w:left="265"/>
              <w:spacing w:before="35" w:line="214" w:lineRule="auto"/>
              <w:rPr/>
            </w:pPr>
            <w:r>
              <w:rPr>
                <w:spacing w:val="6"/>
              </w:rPr>
              <w:t>分梳机</w:t>
            </w:r>
          </w:p>
        </w:tc>
        <w:tc>
          <w:tcPr>
            <w:tcW w:w="306" w:type="dxa"/>
            <w:vAlign w:val="top"/>
          </w:tcPr>
          <w:p>
            <w:pPr>
              <w:pStyle w:val="TableText"/>
              <w:ind w:left="69"/>
              <w:spacing w:before="35" w:line="214" w:lineRule="auto"/>
              <w:rPr/>
            </w:pPr>
            <w:r>
              <w:rPr/>
              <w:t>台</w:t>
            </w:r>
          </w:p>
        </w:tc>
        <w:tc>
          <w:tcPr>
            <w:tcW w:w="325" w:type="dxa"/>
            <w:vAlign w:val="top"/>
          </w:tcPr>
          <w:p>
            <w:pPr>
              <w:ind w:left="6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67</w:t>
            </w:r>
          </w:p>
        </w:tc>
        <w:tc>
          <w:tcPr>
            <w:tcW w:w="419" w:type="dxa"/>
            <w:vAlign w:val="top"/>
          </w:tcPr>
          <w:p>
            <w:pPr>
              <w:ind w:left="11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85</w:t>
            </w:r>
          </w:p>
        </w:tc>
        <w:tc>
          <w:tcPr>
            <w:tcW w:w="423" w:type="dxa"/>
            <w:vAlign w:val="top"/>
          </w:tcPr>
          <w:p>
            <w:pPr>
              <w:ind w:left="7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119</w:t>
            </w:r>
          </w:p>
        </w:tc>
        <w:tc>
          <w:tcPr>
            <w:tcW w:w="505" w:type="dxa"/>
            <w:vAlign w:val="top"/>
          </w:tcPr>
          <w:p>
            <w:pPr>
              <w:ind w:left="22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07" w:type="dxa"/>
            <w:vAlign w:val="top"/>
          </w:tcPr>
          <w:p>
            <w:pPr>
              <w:ind w:left="20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95</w:t>
            </w:r>
          </w:p>
        </w:tc>
        <w:tc>
          <w:tcPr>
            <w:tcW w:w="495" w:type="dxa"/>
            <w:vAlign w:val="top"/>
            <w:vMerge w:val="continue"/>
            <w:tcBorders>
              <w:top w:val="nil"/>
              <w:bottom w:val="nil"/>
            </w:tcBorders>
          </w:tcPr>
          <w:p>
            <w:pPr>
              <w:rPr>
                <w:rFonts w:ascii="Arial"/>
                <w:sz w:val="21"/>
              </w:rPr>
            </w:pPr>
            <w:r/>
          </w:p>
        </w:tc>
        <w:tc>
          <w:tcPr>
            <w:tcW w:w="454" w:type="dxa"/>
            <w:vAlign w:val="top"/>
          </w:tcPr>
          <w:p>
            <w:pPr>
              <w:ind w:left="9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637" w:type="dxa"/>
            <w:vAlign w:val="top"/>
          </w:tcPr>
          <w:p>
            <w:pPr>
              <w:ind w:left="9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87.04</w:t>
            </w:r>
          </w:p>
        </w:tc>
        <w:tc>
          <w:tcPr>
            <w:tcW w:w="454" w:type="dxa"/>
            <w:vAlign w:val="top"/>
          </w:tcPr>
          <w:p>
            <w:pPr>
              <w:pStyle w:val="TableText"/>
              <w:ind w:left="21"/>
              <w:spacing w:before="35" w:line="214" w:lineRule="auto"/>
              <w:rPr/>
            </w:pPr>
            <w:r>
              <w:rPr>
                <w:spacing w:val="6"/>
              </w:rPr>
              <w:t>全天</w:t>
            </w:r>
          </w:p>
        </w:tc>
        <w:tc>
          <w:tcPr>
            <w:tcW w:w="654" w:type="dxa"/>
            <w:vAlign w:val="top"/>
          </w:tcPr>
          <w:p>
            <w:pPr>
              <w:ind w:left="22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62.04</w:t>
            </w:r>
          </w:p>
        </w:tc>
        <w:tc>
          <w:tcPr>
            <w:tcW w:w="570" w:type="dxa"/>
            <w:vAlign w:val="top"/>
          </w:tcPr>
          <w:p>
            <w:pPr>
              <w:ind w:left="17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restart"/>
            <w:tcBorders>
              <w:bottom w:val="nil"/>
            </w:tcBorders>
          </w:tcPr>
          <w:p>
            <w:pPr>
              <w:spacing w:line="358" w:lineRule="auto"/>
              <w:rPr>
                <w:rFonts w:ascii="Arial"/>
                <w:sz w:val="21"/>
              </w:rPr>
            </w:pPr>
            <w:r/>
          </w:p>
          <w:p>
            <w:pPr>
              <w:spacing w:line="358" w:lineRule="auto"/>
              <w:rPr>
                <w:rFonts w:ascii="Arial"/>
                <w:sz w:val="21"/>
              </w:rPr>
            </w:pPr>
            <w:r/>
          </w:p>
          <w:p>
            <w:pPr>
              <w:ind w:left="7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563" w:type="dxa"/>
            <w:vAlign w:val="top"/>
            <w:vMerge w:val="restart"/>
            <w:tcBorders>
              <w:bottom w:val="nil"/>
            </w:tcBorders>
          </w:tcPr>
          <w:p>
            <w:pPr>
              <w:spacing w:line="268" w:lineRule="auto"/>
              <w:rPr>
                <w:rFonts w:ascii="Arial"/>
                <w:sz w:val="21"/>
              </w:rPr>
            </w:pPr>
            <w:r/>
          </w:p>
          <w:p>
            <w:pPr>
              <w:spacing w:line="269" w:lineRule="auto"/>
              <w:rPr>
                <w:rFonts w:ascii="Arial"/>
                <w:sz w:val="21"/>
              </w:rPr>
            </w:pPr>
            <w:r/>
          </w:p>
          <w:p>
            <w:pPr>
              <w:pStyle w:val="TableText"/>
              <w:ind w:left="75"/>
              <w:spacing w:before="65" w:line="227" w:lineRule="auto"/>
              <w:rPr/>
            </w:pPr>
            <w:r>
              <w:rPr>
                <w:spacing w:val="4"/>
              </w:rPr>
              <w:t>厌氧</w:t>
            </w:r>
          </w:p>
          <w:p>
            <w:pPr>
              <w:pStyle w:val="TableText"/>
              <w:ind w:left="78"/>
              <w:spacing w:before="25" w:line="228" w:lineRule="auto"/>
              <w:rPr/>
            </w:pPr>
            <w:r>
              <w:rPr>
                <w:spacing w:val="3"/>
              </w:rPr>
              <w:t>发酵</w:t>
            </w:r>
          </w:p>
        </w:tc>
        <w:tc>
          <w:tcPr>
            <w:tcW w:w="1151" w:type="dxa"/>
            <w:vAlign w:val="top"/>
          </w:tcPr>
          <w:p>
            <w:pPr>
              <w:pStyle w:val="TableText"/>
              <w:ind w:left="263"/>
              <w:spacing w:before="34" w:line="215" w:lineRule="auto"/>
              <w:rPr/>
            </w:pPr>
            <w:r>
              <w:rPr>
                <w:spacing w:val="6"/>
              </w:rPr>
              <w:t>脱水机</w:t>
            </w:r>
          </w:p>
        </w:tc>
        <w:tc>
          <w:tcPr>
            <w:tcW w:w="306" w:type="dxa"/>
            <w:vAlign w:val="top"/>
          </w:tcPr>
          <w:p>
            <w:pPr>
              <w:pStyle w:val="TableText"/>
              <w:ind w:left="69"/>
              <w:spacing w:before="34" w:line="215" w:lineRule="auto"/>
              <w:rPr/>
            </w:pPr>
            <w:r>
              <w:rPr/>
              <w:t>台</w:t>
            </w:r>
          </w:p>
        </w:tc>
        <w:tc>
          <w:tcPr>
            <w:tcW w:w="325" w:type="dxa"/>
            <w:vAlign w:val="top"/>
          </w:tcPr>
          <w:p>
            <w:pPr>
              <w:ind w:left="11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419" w:type="dxa"/>
            <w:vAlign w:val="top"/>
          </w:tcPr>
          <w:p>
            <w:pPr>
              <w:ind w:left="108"/>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91</w:t>
            </w:r>
          </w:p>
        </w:tc>
        <w:tc>
          <w:tcPr>
            <w:tcW w:w="423" w:type="dxa"/>
            <w:vAlign w:val="top"/>
          </w:tcPr>
          <w:p>
            <w:pPr>
              <w:ind w:left="7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121</w:t>
            </w:r>
          </w:p>
        </w:tc>
        <w:tc>
          <w:tcPr>
            <w:tcW w:w="505" w:type="dxa"/>
            <w:vAlign w:val="top"/>
          </w:tcPr>
          <w:p>
            <w:pPr>
              <w:ind w:left="12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0.8</w:t>
            </w:r>
          </w:p>
        </w:tc>
        <w:tc>
          <w:tcPr>
            <w:tcW w:w="607" w:type="dxa"/>
            <w:vAlign w:val="top"/>
          </w:tcPr>
          <w:p>
            <w:pPr>
              <w:ind w:left="208"/>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85</w:t>
            </w:r>
          </w:p>
        </w:tc>
        <w:tc>
          <w:tcPr>
            <w:tcW w:w="495" w:type="dxa"/>
            <w:vAlign w:val="top"/>
            <w:vMerge w:val="continue"/>
            <w:tcBorders>
              <w:top w:val="nil"/>
              <w:bottom w:val="nil"/>
            </w:tcBorders>
          </w:tcPr>
          <w:p>
            <w:pPr>
              <w:rPr>
                <w:rFonts w:ascii="Arial"/>
                <w:sz w:val="21"/>
              </w:rPr>
            </w:pPr>
            <w:r/>
          </w:p>
        </w:tc>
        <w:tc>
          <w:tcPr>
            <w:tcW w:w="454" w:type="dxa"/>
            <w:vAlign w:val="top"/>
          </w:tcPr>
          <w:p>
            <w:pPr>
              <w:ind w:left="17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637" w:type="dxa"/>
            <w:vAlign w:val="top"/>
          </w:tcPr>
          <w:p>
            <w:pPr>
              <w:ind w:left="8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72.96</w:t>
            </w:r>
          </w:p>
        </w:tc>
        <w:tc>
          <w:tcPr>
            <w:tcW w:w="454" w:type="dxa"/>
            <w:vAlign w:val="top"/>
          </w:tcPr>
          <w:p>
            <w:pPr>
              <w:pStyle w:val="TableText"/>
              <w:ind w:left="21"/>
              <w:spacing w:before="34" w:line="215" w:lineRule="auto"/>
              <w:rPr/>
            </w:pPr>
            <w:r>
              <w:rPr>
                <w:spacing w:val="6"/>
              </w:rPr>
              <w:t>全天</w:t>
            </w:r>
          </w:p>
        </w:tc>
        <w:tc>
          <w:tcPr>
            <w:tcW w:w="654" w:type="dxa"/>
            <w:vAlign w:val="top"/>
          </w:tcPr>
          <w:p>
            <w:pPr>
              <w:ind w:left="22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3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47.96</w:t>
            </w:r>
          </w:p>
        </w:tc>
        <w:tc>
          <w:tcPr>
            <w:tcW w:w="570" w:type="dxa"/>
            <w:vAlign w:val="top"/>
          </w:tcPr>
          <w:p>
            <w:pPr>
              <w:ind w:left="17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8" w:hRule="atLeast"/>
        </w:trPr>
        <w:tc>
          <w:tcPr>
            <w:tcW w:w="253" w:type="dxa"/>
            <w:vAlign w:val="top"/>
            <w:vMerge w:val="continue"/>
            <w:tcBorders>
              <w:top w:val="nil"/>
              <w:bottom w:val="nil"/>
            </w:tcBorders>
          </w:tcPr>
          <w:p>
            <w:pPr>
              <w:rPr>
                <w:rFonts w:ascii="Arial"/>
                <w:sz w:val="21"/>
              </w:rPr>
            </w:pPr>
            <w:r/>
          </w:p>
        </w:tc>
        <w:tc>
          <w:tcPr>
            <w:tcW w:w="563" w:type="dxa"/>
            <w:vAlign w:val="top"/>
            <w:vMerge w:val="continue"/>
            <w:tcBorders>
              <w:top w:val="nil"/>
              <w:bottom w:val="nil"/>
            </w:tcBorders>
          </w:tcPr>
          <w:p>
            <w:pPr>
              <w:rPr>
                <w:rFonts w:ascii="Arial"/>
                <w:sz w:val="21"/>
              </w:rPr>
            </w:pPr>
            <w:r/>
          </w:p>
        </w:tc>
        <w:tc>
          <w:tcPr>
            <w:tcW w:w="1151" w:type="dxa"/>
            <w:vAlign w:val="top"/>
          </w:tcPr>
          <w:p>
            <w:pPr>
              <w:pStyle w:val="TableText"/>
              <w:ind w:left="53"/>
              <w:spacing w:before="35" w:line="215" w:lineRule="auto"/>
              <w:rPr/>
            </w:pPr>
            <w:r>
              <w:rPr>
                <w:spacing w:val="8"/>
              </w:rPr>
              <w:t>潜水搅拌机</w:t>
            </w:r>
          </w:p>
        </w:tc>
        <w:tc>
          <w:tcPr>
            <w:tcW w:w="306" w:type="dxa"/>
            <w:vAlign w:val="top"/>
          </w:tcPr>
          <w:p>
            <w:pPr>
              <w:pStyle w:val="TableText"/>
              <w:ind w:left="69"/>
              <w:spacing w:before="35" w:line="215" w:lineRule="auto"/>
              <w:rPr/>
            </w:pPr>
            <w:r>
              <w:rPr/>
              <w:t>台</w:t>
            </w:r>
          </w:p>
        </w:tc>
        <w:tc>
          <w:tcPr>
            <w:tcW w:w="325" w:type="dxa"/>
            <w:vAlign w:val="top"/>
          </w:tcPr>
          <w:p>
            <w:pPr>
              <w:ind w:left="10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419" w:type="dxa"/>
            <w:vAlign w:val="top"/>
          </w:tcPr>
          <w:p>
            <w:pPr>
              <w:ind w:left="10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423" w:type="dxa"/>
            <w:vAlign w:val="top"/>
          </w:tcPr>
          <w:p>
            <w:pPr>
              <w:ind w:left="7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106</w:t>
            </w:r>
          </w:p>
        </w:tc>
        <w:tc>
          <w:tcPr>
            <w:tcW w:w="505" w:type="dxa"/>
            <w:vAlign w:val="top"/>
          </w:tcPr>
          <w:p>
            <w:pPr>
              <w:ind w:left="8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-1.5</w:t>
            </w:r>
          </w:p>
        </w:tc>
        <w:tc>
          <w:tcPr>
            <w:tcW w:w="607" w:type="dxa"/>
            <w:vAlign w:val="top"/>
          </w:tcPr>
          <w:p>
            <w:pPr>
              <w:ind w:left="20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85</w:t>
            </w:r>
          </w:p>
        </w:tc>
        <w:tc>
          <w:tcPr>
            <w:tcW w:w="495" w:type="dxa"/>
            <w:vAlign w:val="top"/>
            <w:vMerge w:val="continue"/>
            <w:tcBorders>
              <w:top w:val="nil"/>
              <w:bottom w:val="nil"/>
            </w:tcBorders>
          </w:tcPr>
          <w:p>
            <w:pPr>
              <w:rPr>
                <w:rFonts w:ascii="Arial"/>
                <w:sz w:val="21"/>
              </w:rPr>
            </w:pPr>
            <w:r/>
          </w:p>
        </w:tc>
        <w:tc>
          <w:tcPr>
            <w:tcW w:w="454" w:type="dxa"/>
            <w:vAlign w:val="top"/>
          </w:tcPr>
          <w:p>
            <w:pPr>
              <w:ind w:left="17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637" w:type="dxa"/>
            <w:vAlign w:val="top"/>
          </w:tcPr>
          <w:p>
            <w:pPr>
              <w:ind w:left="8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75.46</w:t>
            </w:r>
          </w:p>
        </w:tc>
        <w:tc>
          <w:tcPr>
            <w:tcW w:w="454" w:type="dxa"/>
            <w:vAlign w:val="top"/>
          </w:tcPr>
          <w:p>
            <w:pPr>
              <w:pStyle w:val="TableText"/>
              <w:ind w:left="21"/>
              <w:spacing w:before="35" w:line="215" w:lineRule="auto"/>
              <w:rPr/>
            </w:pPr>
            <w:r>
              <w:rPr>
                <w:spacing w:val="6"/>
              </w:rPr>
              <w:t>全天</w:t>
            </w:r>
          </w:p>
        </w:tc>
        <w:tc>
          <w:tcPr>
            <w:tcW w:w="654" w:type="dxa"/>
            <w:vAlign w:val="top"/>
          </w:tcPr>
          <w:p>
            <w:pPr>
              <w:ind w:left="22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50.46</w:t>
            </w:r>
          </w:p>
        </w:tc>
        <w:tc>
          <w:tcPr>
            <w:tcW w:w="570" w:type="dxa"/>
            <w:vAlign w:val="top"/>
          </w:tcPr>
          <w:p>
            <w:pPr>
              <w:ind w:left="17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bottom w:val="nil"/>
            </w:tcBorders>
          </w:tcPr>
          <w:p>
            <w:pPr>
              <w:rPr>
                <w:rFonts w:ascii="Arial"/>
                <w:sz w:val="21"/>
              </w:rPr>
            </w:pPr>
            <w:r/>
          </w:p>
        </w:tc>
        <w:tc>
          <w:tcPr>
            <w:tcW w:w="563" w:type="dxa"/>
            <w:vAlign w:val="top"/>
            <w:vMerge w:val="continue"/>
            <w:tcBorders>
              <w:top w:val="nil"/>
              <w:bottom w:val="nil"/>
            </w:tcBorders>
          </w:tcPr>
          <w:p>
            <w:pPr>
              <w:rPr>
                <w:rFonts w:ascii="Arial"/>
                <w:sz w:val="21"/>
              </w:rPr>
            </w:pPr>
            <w:r/>
          </w:p>
        </w:tc>
        <w:tc>
          <w:tcPr>
            <w:tcW w:w="1151" w:type="dxa"/>
            <w:vAlign w:val="top"/>
          </w:tcPr>
          <w:p>
            <w:pPr>
              <w:pStyle w:val="TableText"/>
              <w:ind w:left="371"/>
              <w:spacing w:before="33" w:line="216" w:lineRule="auto"/>
              <w:rPr/>
            </w:pPr>
            <w:r>
              <w:rPr>
                <w:spacing w:val="3"/>
              </w:rPr>
              <w:t>水泵</w:t>
            </w:r>
          </w:p>
        </w:tc>
        <w:tc>
          <w:tcPr>
            <w:tcW w:w="306" w:type="dxa"/>
            <w:vAlign w:val="top"/>
          </w:tcPr>
          <w:p>
            <w:pPr>
              <w:pStyle w:val="TableText"/>
              <w:ind w:left="69"/>
              <w:spacing w:before="33" w:line="216" w:lineRule="auto"/>
              <w:rPr/>
            </w:pPr>
            <w:r>
              <w:rPr/>
              <w:t>台</w:t>
            </w:r>
          </w:p>
        </w:tc>
        <w:tc>
          <w:tcPr>
            <w:tcW w:w="325" w:type="dxa"/>
            <w:vAlign w:val="top"/>
          </w:tcPr>
          <w:p>
            <w:pPr>
              <w:ind w:left="10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419" w:type="dxa"/>
            <w:vAlign w:val="top"/>
          </w:tcPr>
          <w:p>
            <w:pPr>
              <w:ind w:left="104"/>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423" w:type="dxa"/>
            <w:vAlign w:val="top"/>
          </w:tcPr>
          <w:p>
            <w:pPr>
              <w:ind w:left="11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54</w:t>
            </w:r>
          </w:p>
        </w:tc>
        <w:tc>
          <w:tcPr>
            <w:tcW w:w="505" w:type="dxa"/>
            <w:vAlign w:val="top"/>
          </w:tcPr>
          <w:p>
            <w:pPr>
              <w:ind w:left="124"/>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607" w:type="dxa"/>
            <w:vAlign w:val="top"/>
          </w:tcPr>
          <w:p>
            <w:pPr>
              <w:ind w:left="20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95</w:t>
            </w:r>
          </w:p>
        </w:tc>
        <w:tc>
          <w:tcPr>
            <w:tcW w:w="495" w:type="dxa"/>
            <w:vAlign w:val="top"/>
            <w:vMerge w:val="continue"/>
            <w:tcBorders>
              <w:top w:val="nil"/>
              <w:bottom w:val="nil"/>
            </w:tcBorders>
          </w:tcPr>
          <w:p>
            <w:pPr>
              <w:rPr>
                <w:rFonts w:ascii="Arial"/>
                <w:sz w:val="21"/>
              </w:rPr>
            </w:pPr>
            <w:r/>
          </w:p>
        </w:tc>
        <w:tc>
          <w:tcPr>
            <w:tcW w:w="454" w:type="dxa"/>
            <w:vAlign w:val="top"/>
          </w:tcPr>
          <w:p>
            <w:pPr>
              <w:ind w:left="9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637" w:type="dxa"/>
            <w:vAlign w:val="top"/>
          </w:tcPr>
          <w:p>
            <w:pPr>
              <w:ind w:left="9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87.04</w:t>
            </w:r>
          </w:p>
        </w:tc>
        <w:tc>
          <w:tcPr>
            <w:tcW w:w="454" w:type="dxa"/>
            <w:vAlign w:val="top"/>
          </w:tcPr>
          <w:p>
            <w:pPr>
              <w:pStyle w:val="TableText"/>
              <w:ind w:left="21"/>
              <w:spacing w:before="33" w:line="216" w:lineRule="auto"/>
              <w:rPr/>
            </w:pPr>
            <w:r>
              <w:rPr>
                <w:spacing w:val="6"/>
              </w:rPr>
              <w:t>全天</w:t>
            </w:r>
          </w:p>
        </w:tc>
        <w:tc>
          <w:tcPr>
            <w:tcW w:w="654" w:type="dxa"/>
            <w:vAlign w:val="top"/>
          </w:tcPr>
          <w:p>
            <w:pPr>
              <w:ind w:left="22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62.04</w:t>
            </w:r>
          </w:p>
        </w:tc>
        <w:tc>
          <w:tcPr>
            <w:tcW w:w="570" w:type="dxa"/>
            <w:vAlign w:val="top"/>
          </w:tcPr>
          <w:p>
            <w:pPr>
              <w:ind w:left="17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bottom w:val="nil"/>
            </w:tcBorders>
          </w:tcPr>
          <w:p>
            <w:pPr>
              <w:rPr>
                <w:rFonts w:ascii="Arial"/>
                <w:sz w:val="21"/>
              </w:rPr>
            </w:pPr>
            <w:r/>
          </w:p>
        </w:tc>
        <w:tc>
          <w:tcPr>
            <w:tcW w:w="563" w:type="dxa"/>
            <w:vAlign w:val="top"/>
            <w:vMerge w:val="continue"/>
            <w:tcBorders>
              <w:top w:val="nil"/>
              <w:bottom w:val="nil"/>
            </w:tcBorders>
          </w:tcPr>
          <w:p>
            <w:pPr>
              <w:rPr>
                <w:rFonts w:ascii="Arial"/>
                <w:sz w:val="21"/>
              </w:rPr>
            </w:pPr>
            <w:r/>
          </w:p>
        </w:tc>
        <w:tc>
          <w:tcPr>
            <w:tcW w:w="1151" w:type="dxa"/>
            <w:vAlign w:val="top"/>
          </w:tcPr>
          <w:p>
            <w:pPr>
              <w:pStyle w:val="TableText"/>
              <w:ind w:left="160"/>
              <w:spacing w:before="34" w:line="215" w:lineRule="auto"/>
              <w:rPr/>
            </w:pPr>
            <w:r>
              <w:rPr>
                <w:spacing w:val="7"/>
              </w:rPr>
              <w:t>脱硫设备</w:t>
            </w:r>
          </w:p>
        </w:tc>
        <w:tc>
          <w:tcPr>
            <w:tcW w:w="306" w:type="dxa"/>
            <w:vAlign w:val="top"/>
          </w:tcPr>
          <w:p>
            <w:pPr>
              <w:pStyle w:val="TableText"/>
              <w:ind w:left="53"/>
              <w:spacing w:before="34" w:line="215" w:lineRule="auto"/>
              <w:rPr/>
            </w:pPr>
            <w:r>
              <w:rPr/>
              <w:t>套</w:t>
            </w:r>
          </w:p>
        </w:tc>
        <w:tc>
          <w:tcPr>
            <w:tcW w:w="325" w:type="dxa"/>
            <w:vAlign w:val="top"/>
          </w:tcPr>
          <w:p>
            <w:pPr>
              <w:ind w:left="13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19" w:type="dxa"/>
            <w:vAlign w:val="top"/>
          </w:tcPr>
          <w:p>
            <w:pPr>
              <w:ind w:left="8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5.6</w:t>
            </w:r>
          </w:p>
        </w:tc>
        <w:tc>
          <w:tcPr>
            <w:tcW w:w="423" w:type="dxa"/>
            <w:vAlign w:val="top"/>
          </w:tcPr>
          <w:p>
            <w:pPr>
              <w:ind w:left="2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25.6</w:t>
            </w:r>
          </w:p>
        </w:tc>
        <w:tc>
          <w:tcPr>
            <w:tcW w:w="505" w:type="dxa"/>
            <w:vAlign w:val="top"/>
          </w:tcPr>
          <w:p>
            <w:pPr>
              <w:ind w:left="20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607" w:type="dxa"/>
            <w:vAlign w:val="top"/>
          </w:tcPr>
          <w:p>
            <w:pPr>
              <w:ind w:left="205"/>
              <w:spacing w:before="7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55</w:t>
            </w:r>
          </w:p>
        </w:tc>
        <w:tc>
          <w:tcPr>
            <w:tcW w:w="495" w:type="dxa"/>
            <w:vAlign w:val="top"/>
            <w:vMerge w:val="continue"/>
            <w:tcBorders>
              <w:top w:val="nil"/>
              <w:bottom w:val="nil"/>
            </w:tcBorders>
          </w:tcPr>
          <w:p>
            <w:pPr>
              <w:rPr>
                <w:rFonts w:ascii="Arial"/>
                <w:sz w:val="21"/>
              </w:rPr>
            </w:pPr>
            <w:r/>
          </w:p>
        </w:tc>
        <w:tc>
          <w:tcPr>
            <w:tcW w:w="454" w:type="dxa"/>
            <w:vAlign w:val="top"/>
          </w:tcPr>
          <w:p>
            <w:pPr>
              <w:ind w:left="181"/>
              <w:spacing w:before="7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637" w:type="dxa"/>
            <w:vAlign w:val="top"/>
          </w:tcPr>
          <w:p>
            <w:pPr>
              <w:ind w:left="8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54.</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3"/>
              </w:rPr>
              <w:t>12</w:t>
            </w:r>
          </w:p>
        </w:tc>
        <w:tc>
          <w:tcPr>
            <w:tcW w:w="454" w:type="dxa"/>
            <w:vAlign w:val="top"/>
          </w:tcPr>
          <w:p>
            <w:pPr>
              <w:pStyle w:val="TableText"/>
              <w:ind w:left="21"/>
              <w:spacing w:before="34" w:line="215" w:lineRule="auto"/>
              <w:rPr/>
            </w:pPr>
            <w:r>
              <w:rPr>
                <w:spacing w:val="4"/>
              </w:rPr>
              <w:t>全天</w:t>
            </w:r>
          </w:p>
        </w:tc>
        <w:tc>
          <w:tcPr>
            <w:tcW w:w="654" w:type="dxa"/>
            <w:vAlign w:val="top"/>
          </w:tcPr>
          <w:p>
            <w:pPr>
              <w:ind w:left="22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34.</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12</w:t>
            </w:r>
          </w:p>
        </w:tc>
        <w:tc>
          <w:tcPr>
            <w:tcW w:w="570" w:type="dxa"/>
            <w:vAlign w:val="top"/>
          </w:tcPr>
          <w:p>
            <w:pPr>
              <w:ind w:left="17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bottom w:val="nil"/>
            </w:tcBorders>
          </w:tcPr>
          <w:p>
            <w:pPr>
              <w:rPr>
                <w:rFonts w:ascii="Arial"/>
                <w:sz w:val="21"/>
              </w:rPr>
            </w:pPr>
            <w:r/>
          </w:p>
        </w:tc>
        <w:tc>
          <w:tcPr>
            <w:tcW w:w="563" w:type="dxa"/>
            <w:vAlign w:val="top"/>
            <w:vMerge w:val="continue"/>
            <w:tcBorders>
              <w:top w:val="nil"/>
              <w:bottom w:val="nil"/>
            </w:tcBorders>
          </w:tcPr>
          <w:p>
            <w:pPr>
              <w:rPr>
                <w:rFonts w:ascii="Arial"/>
                <w:sz w:val="21"/>
              </w:rPr>
            </w:pPr>
            <w:r/>
          </w:p>
        </w:tc>
        <w:tc>
          <w:tcPr>
            <w:tcW w:w="1151" w:type="dxa"/>
            <w:vAlign w:val="top"/>
          </w:tcPr>
          <w:p>
            <w:pPr>
              <w:pStyle w:val="TableText"/>
              <w:ind w:left="369"/>
              <w:spacing w:before="35" w:line="214" w:lineRule="auto"/>
              <w:rPr/>
            </w:pPr>
            <w:r>
              <w:rPr>
                <w:spacing w:val="4"/>
              </w:rPr>
              <w:t>风机</w:t>
            </w:r>
          </w:p>
        </w:tc>
        <w:tc>
          <w:tcPr>
            <w:tcW w:w="306" w:type="dxa"/>
            <w:vAlign w:val="top"/>
          </w:tcPr>
          <w:p>
            <w:pPr>
              <w:pStyle w:val="TableText"/>
              <w:ind w:left="69"/>
              <w:spacing w:before="35" w:line="214" w:lineRule="auto"/>
              <w:rPr/>
            </w:pPr>
            <w:r>
              <w:rPr/>
              <w:t>台</w:t>
            </w:r>
          </w:p>
        </w:tc>
        <w:tc>
          <w:tcPr>
            <w:tcW w:w="325" w:type="dxa"/>
            <w:vAlign w:val="top"/>
          </w:tcPr>
          <w:p>
            <w:pPr>
              <w:ind w:left="11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419" w:type="dxa"/>
            <w:vAlign w:val="top"/>
          </w:tcPr>
          <w:p>
            <w:pPr>
              <w:ind w:left="16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423" w:type="dxa"/>
            <w:vAlign w:val="top"/>
          </w:tcPr>
          <w:p>
            <w:pPr>
              <w:ind w:left="10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26</w:t>
            </w:r>
          </w:p>
        </w:tc>
        <w:tc>
          <w:tcPr>
            <w:tcW w:w="505" w:type="dxa"/>
            <w:vAlign w:val="top"/>
          </w:tcPr>
          <w:p>
            <w:pPr>
              <w:ind w:left="12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0.5</w:t>
            </w:r>
          </w:p>
        </w:tc>
        <w:tc>
          <w:tcPr>
            <w:tcW w:w="607" w:type="dxa"/>
            <w:vAlign w:val="top"/>
          </w:tcPr>
          <w:p>
            <w:pPr>
              <w:ind w:left="20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495" w:type="dxa"/>
            <w:vAlign w:val="top"/>
            <w:vMerge w:val="continue"/>
            <w:tcBorders>
              <w:top w:val="nil"/>
              <w:bottom w:val="nil"/>
            </w:tcBorders>
          </w:tcPr>
          <w:p>
            <w:pPr>
              <w:rPr>
                <w:rFonts w:ascii="Arial"/>
                <w:sz w:val="21"/>
              </w:rPr>
            </w:pPr>
            <w:r/>
          </w:p>
        </w:tc>
        <w:tc>
          <w:tcPr>
            <w:tcW w:w="454" w:type="dxa"/>
            <w:vAlign w:val="top"/>
          </w:tcPr>
          <w:p>
            <w:pPr>
              <w:ind w:left="17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637" w:type="dxa"/>
            <w:vAlign w:val="top"/>
          </w:tcPr>
          <w:p>
            <w:pPr>
              <w:ind w:left="8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76.31</w:t>
            </w:r>
          </w:p>
        </w:tc>
        <w:tc>
          <w:tcPr>
            <w:tcW w:w="454" w:type="dxa"/>
            <w:vAlign w:val="top"/>
          </w:tcPr>
          <w:p>
            <w:pPr>
              <w:pStyle w:val="TableText"/>
              <w:ind w:left="21"/>
              <w:spacing w:before="35" w:line="214" w:lineRule="auto"/>
              <w:rPr/>
            </w:pPr>
            <w:r>
              <w:rPr>
                <w:spacing w:val="4"/>
              </w:rPr>
              <w:t>全天</w:t>
            </w:r>
          </w:p>
        </w:tc>
        <w:tc>
          <w:tcPr>
            <w:tcW w:w="654" w:type="dxa"/>
            <w:vAlign w:val="top"/>
          </w:tcPr>
          <w:p>
            <w:pPr>
              <w:ind w:left="22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56.31</w:t>
            </w:r>
          </w:p>
        </w:tc>
        <w:tc>
          <w:tcPr>
            <w:tcW w:w="570" w:type="dxa"/>
            <w:vAlign w:val="top"/>
          </w:tcPr>
          <w:p>
            <w:pPr>
              <w:ind w:left="17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tcBorders>
          </w:tcPr>
          <w:p>
            <w:pPr>
              <w:rPr>
                <w:rFonts w:ascii="Arial"/>
                <w:sz w:val="21"/>
              </w:rPr>
            </w:pPr>
            <w:r/>
          </w:p>
        </w:tc>
        <w:tc>
          <w:tcPr>
            <w:tcW w:w="563" w:type="dxa"/>
            <w:vAlign w:val="top"/>
            <w:vMerge w:val="continue"/>
            <w:tcBorders>
              <w:top w:val="nil"/>
            </w:tcBorders>
          </w:tcPr>
          <w:p>
            <w:pPr>
              <w:rPr>
                <w:rFonts w:ascii="Arial"/>
                <w:sz w:val="21"/>
              </w:rPr>
            </w:pPr>
            <w:r/>
          </w:p>
        </w:tc>
        <w:tc>
          <w:tcPr>
            <w:tcW w:w="1151" w:type="dxa"/>
            <w:vAlign w:val="top"/>
          </w:tcPr>
          <w:p>
            <w:pPr>
              <w:pStyle w:val="TableText"/>
              <w:ind w:left="369"/>
              <w:spacing w:before="34" w:line="215" w:lineRule="auto"/>
              <w:rPr/>
            </w:pPr>
            <w:r>
              <w:rPr>
                <w:spacing w:val="4"/>
              </w:rPr>
              <w:t>泵类</w:t>
            </w:r>
          </w:p>
        </w:tc>
        <w:tc>
          <w:tcPr>
            <w:tcW w:w="306" w:type="dxa"/>
            <w:vAlign w:val="top"/>
          </w:tcPr>
          <w:p>
            <w:pPr>
              <w:pStyle w:val="TableText"/>
              <w:ind w:left="69"/>
              <w:spacing w:before="34" w:line="215" w:lineRule="auto"/>
              <w:rPr/>
            </w:pPr>
            <w:r>
              <w:rPr/>
              <w:t>台</w:t>
            </w:r>
          </w:p>
        </w:tc>
        <w:tc>
          <w:tcPr>
            <w:tcW w:w="325" w:type="dxa"/>
            <w:vAlign w:val="top"/>
          </w:tcPr>
          <w:p>
            <w:pPr>
              <w:ind w:left="11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419" w:type="dxa"/>
            <w:vAlign w:val="top"/>
          </w:tcPr>
          <w:p>
            <w:pPr>
              <w:ind w:left="12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423" w:type="dxa"/>
            <w:vAlign w:val="top"/>
          </w:tcPr>
          <w:p>
            <w:pPr>
              <w:ind w:left="12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17</w:t>
            </w:r>
          </w:p>
        </w:tc>
        <w:tc>
          <w:tcPr>
            <w:tcW w:w="505" w:type="dxa"/>
            <w:vAlign w:val="top"/>
          </w:tcPr>
          <w:p>
            <w:pPr>
              <w:ind w:left="12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607" w:type="dxa"/>
            <w:vAlign w:val="top"/>
          </w:tcPr>
          <w:p>
            <w:pPr>
              <w:ind w:left="208"/>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80</w:t>
            </w:r>
          </w:p>
        </w:tc>
        <w:tc>
          <w:tcPr>
            <w:tcW w:w="495" w:type="dxa"/>
            <w:vAlign w:val="top"/>
            <w:vMerge w:val="continue"/>
            <w:tcBorders>
              <w:top w:val="nil"/>
            </w:tcBorders>
          </w:tcPr>
          <w:p>
            <w:pPr>
              <w:rPr>
                <w:rFonts w:ascii="Arial"/>
                <w:sz w:val="21"/>
              </w:rPr>
            </w:pPr>
            <w:r/>
          </w:p>
        </w:tc>
        <w:tc>
          <w:tcPr>
            <w:tcW w:w="454" w:type="dxa"/>
            <w:vAlign w:val="top"/>
          </w:tcPr>
          <w:p>
            <w:pPr>
              <w:ind w:left="17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637" w:type="dxa"/>
            <w:vAlign w:val="top"/>
          </w:tcPr>
          <w:p>
            <w:pPr>
              <w:ind w:left="88"/>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62.</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3"/>
              </w:rPr>
              <w:t>11</w:t>
            </w:r>
          </w:p>
        </w:tc>
        <w:tc>
          <w:tcPr>
            <w:tcW w:w="454" w:type="dxa"/>
            <w:vAlign w:val="top"/>
          </w:tcPr>
          <w:p>
            <w:pPr>
              <w:pStyle w:val="TableText"/>
              <w:ind w:left="21"/>
              <w:spacing w:before="34" w:line="215" w:lineRule="auto"/>
              <w:rPr/>
            </w:pPr>
            <w:r>
              <w:rPr>
                <w:spacing w:val="4"/>
              </w:rPr>
              <w:t>全天</w:t>
            </w:r>
          </w:p>
        </w:tc>
        <w:tc>
          <w:tcPr>
            <w:tcW w:w="654" w:type="dxa"/>
            <w:vAlign w:val="top"/>
          </w:tcPr>
          <w:p>
            <w:pPr>
              <w:ind w:left="22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3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11</w:t>
            </w:r>
          </w:p>
        </w:tc>
        <w:tc>
          <w:tcPr>
            <w:tcW w:w="570" w:type="dxa"/>
            <w:vAlign w:val="top"/>
          </w:tcPr>
          <w:p>
            <w:pPr>
              <w:ind w:left="17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9" w:hRule="atLeast"/>
        </w:trPr>
        <w:tc>
          <w:tcPr>
            <w:tcW w:w="253" w:type="dxa"/>
            <w:vAlign w:val="top"/>
          </w:tcPr>
          <w:p>
            <w:pPr>
              <w:ind w:left="80"/>
              <w:spacing w:before="7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563" w:type="dxa"/>
            <w:vAlign w:val="top"/>
          </w:tcPr>
          <w:p>
            <w:pPr>
              <w:pStyle w:val="TableText"/>
              <w:ind w:left="74"/>
              <w:spacing w:before="36" w:line="215" w:lineRule="auto"/>
              <w:rPr/>
            </w:pPr>
            <w:r>
              <w:rPr>
                <w:spacing w:val="4"/>
              </w:rPr>
              <w:t>锅炉</w:t>
            </w:r>
          </w:p>
        </w:tc>
        <w:tc>
          <w:tcPr>
            <w:tcW w:w="1151" w:type="dxa"/>
            <w:vAlign w:val="top"/>
          </w:tcPr>
          <w:p>
            <w:pPr>
              <w:pStyle w:val="TableText"/>
              <w:ind w:left="55"/>
              <w:spacing w:before="36" w:line="215" w:lineRule="auto"/>
              <w:rPr/>
            </w:pPr>
            <w:r>
              <w:rPr>
                <w:spacing w:val="7"/>
              </w:rPr>
              <w:t>生物质锅炉</w:t>
            </w:r>
          </w:p>
        </w:tc>
        <w:tc>
          <w:tcPr>
            <w:tcW w:w="306" w:type="dxa"/>
            <w:vAlign w:val="top"/>
          </w:tcPr>
          <w:p>
            <w:pPr>
              <w:pStyle w:val="TableText"/>
              <w:ind w:left="69"/>
              <w:spacing w:before="36" w:line="215" w:lineRule="auto"/>
              <w:rPr/>
            </w:pPr>
            <w:r>
              <w:rPr/>
              <w:t>台</w:t>
            </w:r>
          </w:p>
        </w:tc>
        <w:tc>
          <w:tcPr>
            <w:tcW w:w="325" w:type="dxa"/>
            <w:vAlign w:val="top"/>
          </w:tcPr>
          <w:p>
            <w:pPr>
              <w:ind w:left="13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19" w:type="dxa"/>
            <w:vAlign w:val="top"/>
          </w:tcPr>
          <w:p>
            <w:pPr>
              <w:ind w:left="7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131</w:t>
            </w:r>
          </w:p>
        </w:tc>
        <w:tc>
          <w:tcPr>
            <w:tcW w:w="423" w:type="dxa"/>
            <w:vAlign w:val="top"/>
          </w:tcPr>
          <w:p>
            <w:pPr>
              <w:ind w:left="11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59</w:t>
            </w:r>
          </w:p>
        </w:tc>
        <w:tc>
          <w:tcPr>
            <w:tcW w:w="505" w:type="dxa"/>
            <w:vAlign w:val="top"/>
          </w:tcPr>
          <w:p>
            <w:pPr>
              <w:ind w:left="14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w:t>
            </w:r>
          </w:p>
        </w:tc>
        <w:tc>
          <w:tcPr>
            <w:tcW w:w="607" w:type="dxa"/>
            <w:vAlign w:val="top"/>
          </w:tcPr>
          <w:p>
            <w:pPr>
              <w:ind w:left="20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85</w:t>
            </w:r>
          </w:p>
        </w:tc>
        <w:tc>
          <w:tcPr>
            <w:tcW w:w="495" w:type="dxa"/>
            <w:vAlign w:val="top"/>
          </w:tcPr>
          <w:p>
            <w:pPr>
              <w:pStyle w:val="TableText"/>
              <w:ind w:left="158"/>
              <w:spacing w:before="36" w:line="215" w:lineRule="auto"/>
              <w:rPr/>
            </w:pPr>
            <w:r>
              <w:rPr/>
              <w:t>隔</w:t>
            </w:r>
          </w:p>
        </w:tc>
        <w:tc>
          <w:tcPr>
            <w:tcW w:w="454" w:type="dxa"/>
            <w:vAlign w:val="top"/>
          </w:tcPr>
          <w:p>
            <w:pPr>
              <w:ind w:left="17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637" w:type="dxa"/>
            <w:vAlign w:val="top"/>
          </w:tcPr>
          <w:p>
            <w:pPr>
              <w:ind w:left="8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75.46</w:t>
            </w:r>
          </w:p>
        </w:tc>
        <w:tc>
          <w:tcPr>
            <w:tcW w:w="454" w:type="dxa"/>
            <w:vAlign w:val="top"/>
          </w:tcPr>
          <w:p>
            <w:pPr>
              <w:pStyle w:val="TableText"/>
              <w:ind w:left="21"/>
              <w:spacing w:before="36" w:line="215" w:lineRule="auto"/>
              <w:rPr/>
            </w:pPr>
            <w:r>
              <w:rPr>
                <w:spacing w:val="6"/>
              </w:rPr>
              <w:t>全天</w:t>
            </w:r>
          </w:p>
        </w:tc>
        <w:tc>
          <w:tcPr>
            <w:tcW w:w="654" w:type="dxa"/>
            <w:vAlign w:val="top"/>
          </w:tcPr>
          <w:p>
            <w:pPr>
              <w:ind w:left="22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50.46</w:t>
            </w:r>
          </w:p>
        </w:tc>
        <w:tc>
          <w:tcPr>
            <w:tcW w:w="570" w:type="dxa"/>
            <w:vAlign w:val="top"/>
          </w:tcPr>
          <w:p>
            <w:pPr>
              <w:ind w:left="17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bl>
    <w:p>
      <w:pPr>
        <w:pStyle w:val="BodyText"/>
        <w:spacing w:line="265" w:lineRule="auto"/>
        <w:rPr/>
      </w:pPr>
      <w:r/>
    </w:p>
    <w:p>
      <w:pPr>
        <w:ind w:left="4166"/>
        <w:spacing w:before="62" w:line="225" w:lineRule="auto"/>
        <w:rPr>
          <w:rFonts w:ascii="SimSun" w:hAnsi="SimSun" w:eastAsia="SimSun" w:cs="SimSun"/>
          <w:sz w:val="19"/>
          <w:szCs w:val="19"/>
        </w:rPr>
      </w:pPr>
      <w:r>
        <w:rPr>
          <w:rFonts w:ascii="Times New Roman" w:hAnsi="Times New Roman" w:eastAsia="Times New Roman" w:cs="Times New Roman"/>
          <w:sz w:val="18"/>
          <w:szCs w:val="18"/>
          <w:spacing w:val="7"/>
          <w:position w:val="2"/>
        </w:rPr>
        <w:t>104</w:t>
      </w:r>
      <w:r>
        <w:rPr>
          <w:rFonts w:ascii="Times New Roman" w:hAnsi="Times New Roman" w:eastAsia="Times New Roman" w:cs="Times New Roman"/>
          <w:sz w:val="18"/>
          <w:szCs w:val="18"/>
          <w:spacing w:val="2"/>
          <w:position w:val="2"/>
        </w:rPr>
        <w:t xml:space="preserve">       </w:t>
      </w:r>
      <w:r>
        <w:rPr>
          <w:rFonts w:ascii="SimSun" w:hAnsi="SimSun" w:eastAsia="SimSun" w:cs="SimSun"/>
          <w:sz w:val="19"/>
          <w:szCs w:val="19"/>
          <w:spacing w:val="7"/>
        </w:rPr>
        <w:t>锡林郭勒盟中安环境技术咨询有限责任公司</w:t>
      </w:r>
    </w:p>
    <w:p>
      <w:pPr>
        <w:spacing w:line="225" w:lineRule="auto"/>
        <w:sectPr>
          <w:headerReference w:type="default" r:id="rId112"/>
          <w:footerReference w:type="default" r:id="rId3"/>
          <w:pgSz w:w="11907" w:h="16840"/>
          <w:pgMar w:top="1567" w:right="1603" w:bottom="400" w:left="1672" w:header="1221" w:footer="0" w:gutter="0"/>
        </w:sectPr>
        <w:rPr>
          <w:rFonts w:ascii="SimSun" w:hAnsi="SimSun" w:eastAsia="SimSun" w:cs="SimSun"/>
          <w:sz w:val="19"/>
          <w:szCs w:val="19"/>
        </w:rPr>
      </w:pPr>
    </w:p>
    <w:p>
      <w:pPr>
        <w:spacing w:line="151" w:lineRule="exact"/>
        <w:rPr/>
      </w:pPr>
      <w:r>
        <w:pict>
          <v:shape id="_x0000_s528" style="position:absolute;margin-left:85.05pt;margin-top:79.11pt;mso-position-vertical-relative:page;mso-position-horizontal-relative:page;width:425.25pt;height:0.75pt;z-index:251890688;" o:allowincell="f" fillcolor="#000000" filled="true" stroked="false" coordsize="8505,15" coordorigin="0,0" path="m,l8505,0l8505,14l0,14l0,0xe"/>
        </w:pict>
      </w:r>
      <w:r/>
    </w:p>
    <w:tbl>
      <w:tblPr>
        <w:tblStyle w:val="TableNormal"/>
        <w:tblW w:w="8556"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53"/>
        <w:gridCol w:w="563"/>
        <w:gridCol w:w="1151"/>
        <w:gridCol w:w="306"/>
        <w:gridCol w:w="325"/>
        <w:gridCol w:w="419"/>
        <w:gridCol w:w="423"/>
        <w:gridCol w:w="505"/>
        <w:gridCol w:w="607"/>
        <w:gridCol w:w="495"/>
        <w:gridCol w:w="454"/>
        <w:gridCol w:w="637"/>
        <w:gridCol w:w="454"/>
        <w:gridCol w:w="654"/>
        <w:gridCol w:w="740"/>
        <w:gridCol w:w="570"/>
      </w:tblGrid>
      <w:tr>
        <w:trPr>
          <w:trHeight w:val="281" w:hRule="atLeast"/>
        </w:trPr>
        <w:tc>
          <w:tcPr>
            <w:tcW w:w="253" w:type="dxa"/>
            <w:vAlign w:val="top"/>
            <w:vMerge w:val="restart"/>
            <w:textDirection w:val="tbRlV"/>
            <w:tcBorders>
              <w:bottom w:val="nil"/>
            </w:tcBorders>
          </w:tcPr>
          <w:p>
            <w:pPr>
              <w:pStyle w:val="TableText"/>
              <w:ind w:left="312"/>
              <w:spacing w:before="19" w:line="218" w:lineRule="auto"/>
              <w:rPr/>
            </w:pPr>
            <w:r>
              <w:rPr>
                <w:spacing w:val="8"/>
              </w:rPr>
              <w:t>序</w:t>
            </w:r>
            <w:r>
              <w:rPr>
                <w:spacing w:val="-35"/>
              </w:rPr>
              <w:t xml:space="preserve"> </w:t>
            </w:r>
            <w:r>
              <w:rPr>
                <w:spacing w:val="8"/>
              </w:rPr>
              <w:t>号</w:t>
            </w:r>
          </w:p>
        </w:tc>
        <w:tc>
          <w:tcPr>
            <w:tcW w:w="563" w:type="dxa"/>
            <w:vAlign w:val="top"/>
            <w:vMerge w:val="restart"/>
            <w:tcBorders>
              <w:bottom w:val="nil"/>
            </w:tcBorders>
          </w:tcPr>
          <w:p>
            <w:pPr>
              <w:pStyle w:val="TableText"/>
              <w:ind w:left="77"/>
              <w:spacing w:before="176" w:line="228" w:lineRule="auto"/>
              <w:rPr/>
            </w:pPr>
            <w:r>
              <w:rPr>
                <w:spacing w:val="3"/>
              </w:rPr>
              <w:t>建筑</w:t>
            </w:r>
          </w:p>
          <w:p>
            <w:pPr>
              <w:pStyle w:val="TableText"/>
              <w:ind w:left="176" w:right="73" w:hanging="102"/>
              <w:spacing w:before="25" w:line="253" w:lineRule="auto"/>
              <w:rPr/>
            </w:pPr>
            <w:r>
              <w:rPr>
                <w:spacing w:val="4"/>
              </w:rPr>
              <w:t>物名</w:t>
            </w:r>
            <w:r>
              <w:rPr/>
              <w:t xml:space="preserve"> </w:t>
            </w:r>
            <w:r>
              <w:rPr>
                <w:spacing w:val="1"/>
              </w:rPr>
              <w:t>称</w:t>
            </w:r>
          </w:p>
        </w:tc>
        <w:tc>
          <w:tcPr>
            <w:tcW w:w="1151" w:type="dxa"/>
            <w:vAlign w:val="top"/>
            <w:vMerge w:val="restart"/>
            <w:tcBorders>
              <w:bottom w:val="nil"/>
            </w:tcBorders>
          </w:tcPr>
          <w:p>
            <w:pPr>
              <w:spacing w:line="382" w:lineRule="auto"/>
              <w:rPr>
                <w:rFonts w:ascii="Arial"/>
                <w:sz w:val="21"/>
              </w:rPr>
            </w:pPr>
            <w:r/>
          </w:p>
          <w:p>
            <w:pPr>
              <w:pStyle w:val="TableText"/>
              <w:ind w:left="163"/>
              <w:spacing w:before="65" w:line="228" w:lineRule="auto"/>
              <w:rPr/>
            </w:pPr>
            <w:r>
              <w:rPr>
                <w:spacing w:val="6"/>
              </w:rPr>
              <w:t>声源名称</w:t>
            </w:r>
          </w:p>
        </w:tc>
        <w:tc>
          <w:tcPr>
            <w:tcW w:w="306" w:type="dxa"/>
            <w:vAlign w:val="top"/>
            <w:vMerge w:val="restart"/>
            <w:textDirection w:val="tbRlV"/>
            <w:tcBorders>
              <w:bottom w:val="nil"/>
            </w:tcBorders>
          </w:tcPr>
          <w:p>
            <w:pPr>
              <w:pStyle w:val="TableText"/>
              <w:ind w:left="312"/>
              <w:spacing w:before="47" w:line="216" w:lineRule="auto"/>
              <w:rPr/>
            </w:pPr>
            <w:r>
              <w:rPr>
                <w:spacing w:val="8"/>
              </w:rPr>
              <w:t>单</w:t>
            </w:r>
            <w:r>
              <w:rPr>
                <w:spacing w:val="-35"/>
              </w:rPr>
              <w:t xml:space="preserve"> </w:t>
            </w:r>
            <w:r>
              <w:rPr>
                <w:spacing w:val="8"/>
              </w:rPr>
              <w:t>位</w:t>
            </w:r>
          </w:p>
        </w:tc>
        <w:tc>
          <w:tcPr>
            <w:tcW w:w="325" w:type="dxa"/>
            <w:vAlign w:val="top"/>
            <w:vMerge w:val="restart"/>
            <w:textDirection w:val="tbRlV"/>
            <w:tcBorders>
              <w:bottom w:val="nil"/>
            </w:tcBorders>
          </w:tcPr>
          <w:p>
            <w:pPr>
              <w:pStyle w:val="TableText"/>
              <w:ind w:left="312"/>
              <w:spacing w:before="57" w:line="216" w:lineRule="auto"/>
              <w:rPr/>
            </w:pPr>
            <w:r>
              <w:rPr>
                <w:spacing w:val="8"/>
              </w:rPr>
              <w:t>数</w:t>
            </w:r>
            <w:r>
              <w:rPr>
                <w:spacing w:val="-35"/>
              </w:rPr>
              <w:t xml:space="preserve"> </w:t>
            </w:r>
            <w:r>
              <w:rPr>
                <w:spacing w:val="8"/>
              </w:rPr>
              <w:t>量</w:t>
            </w:r>
          </w:p>
        </w:tc>
        <w:tc>
          <w:tcPr>
            <w:tcW w:w="1347" w:type="dxa"/>
            <w:vAlign w:val="top"/>
            <w:gridSpan w:val="3"/>
          </w:tcPr>
          <w:p>
            <w:pPr>
              <w:pStyle w:val="TableText"/>
              <w:ind w:left="52"/>
              <w:spacing w:before="36" w:line="216" w:lineRule="auto"/>
              <w:rPr/>
            </w:pPr>
            <w:r>
              <w:rPr>
                <w:spacing w:val="7"/>
              </w:rPr>
              <w:t>空间位置分布</w:t>
            </w:r>
          </w:p>
        </w:tc>
        <w:tc>
          <w:tcPr>
            <w:tcW w:w="607" w:type="dxa"/>
            <w:vAlign w:val="top"/>
            <w:vMerge w:val="restart"/>
            <w:tcBorders>
              <w:bottom w:val="nil"/>
            </w:tcBorders>
          </w:tcPr>
          <w:p>
            <w:pPr>
              <w:spacing w:line="262" w:lineRule="auto"/>
              <w:rPr>
                <w:rFonts w:ascii="Arial"/>
                <w:sz w:val="21"/>
              </w:rPr>
            </w:pPr>
            <w:r/>
          </w:p>
          <w:p>
            <w:pPr>
              <w:pStyle w:val="TableText"/>
              <w:ind w:left="1" w:right="8" w:firstLine="95"/>
              <w:spacing w:before="65" w:line="259" w:lineRule="auto"/>
              <w:rPr>
                <w:rFonts w:ascii="Times New Roman" w:hAnsi="Times New Roman" w:eastAsia="Times New Roman" w:cs="Times New Roman"/>
              </w:rPr>
            </w:pPr>
            <w:r>
              <w:rPr>
                <w:spacing w:val="5"/>
              </w:rPr>
              <w:t>源强</w:t>
            </w:r>
            <w:r>
              <w:rPr/>
              <w:t xml:space="preserve">  </w:t>
            </w:r>
            <w:r>
              <w:rPr>
                <w:rFonts w:ascii="Times New Roman" w:hAnsi="Times New Roman" w:eastAsia="Times New Roman" w:cs="Times New Roman"/>
                <w:spacing w:val="6"/>
              </w:rPr>
              <w:t>/</w:t>
            </w:r>
            <w:r>
              <w:rPr>
                <w:rFonts w:ascii="Times New Roman" w:hAnsi="Times New Roman" w:eastAsia="Times New Roman" w:cs="Times New Roman"/>
              </w:rPr>
              <w:t>dB</w:t>
            </w:r>
            <w:r>
              <w:rPr>
                <w:rFonts w:ascii="Times New Roman" w:hAnsi="Times New Roman" w:eastAsia="Times New Roman" w:cs="Times New Roman"/>
                <w:spacing w:val="6"/>
              </w:rPr>
              <w:t>(A)</w:t>
            </w:r>
          </w:p>
        </w:tc>
        <w:tc>
          <w:tcPr>
            <w:tcW w:w="495" w:type="dxa"/>
            <w:vAlign w:val="top"/>
            <w:vMerge w:val="restart"/>
            <w:tcBorders>
              <w:bottom w:val="nil"/>
            </w:tcBorders>
          </w:tcPr>
          <w:p>
            <w:pPr>
              <w:pStyle w:val="TableText"/>
              <w:ind w:left="47"/>
              <w:spacing w:before="176" w:line="228" w:lineRule="auto"/>
              <w:rPr/>
            </w:pPr>
            <w:r>
              <w:rPr>
                <w:spacing w:val="2"/>
              </w:rPr>
              <w:t>声源</w:t>
            </w:r>
          </w:p>
          <w:p>
            <w:pPr>
              <w:pStyle w:val="TableText"/>
              <w:ind w:left="42"/>
              <w:spacing w:before="26" w:line="228" w:lineRule="auto"/>
              <w:rPr/>
            </w:pPr>
            <w:r>
              <w:rPr>
                <w:spacing w:val="5"/>
              </w:rPr>
              <w:t>控制</w:t>
            </w:r>
          </w:p>
          <w:p>
            <w:pPr>
              <w:pStyle w:val="TableText"/>
              <w:ind w:left="42"/>
              <w:spacing w:before="24" w:line="228" w:lineRule="auto"/>
              <w:rPr/>
            </w:pPr>
            <w:r>
              <w:rPr>
                <w:spacing w:val="4"/>
              </w:rPr>
              <w:t>措施</w:t>
            </w:r>
          </w:p>
        </w:tc>
        <w:tc>
          <w:tcPr>
            <w:tcW w:w="454" w:type="dxa"/>
            <w:vAlign w:val="top"/>
            <w:vMerge w:val="restart"/>
            <w:tcBorders>
              <w:bottom w:val="nil"/>
            </w:tcBorders>
          </w:tcPr>
          <w:p>
            <w:pPr>
              <w:pStyle w:val="TableText"/>
              <w:ind w:left="19"/>
              <w:spacing w:before="40" w:line="236" w:lineRule="auto"/>
              <w:rPr/>
            </w:pPr>
            <w:r>
              <w:rPr>
                <w:spacing w:val="5"/>
              </w:rPr>
              <w:t>距室</w:t>
            </w:r>
          </w:p>
          <w:p>
            <w:pPr>
              <w:pStyle w:val="TableText"/>
              <w:ind w:left="46"/>
              <w:spacing w:before="15" w:line="228" w:lineRule="auto"/>
              <w:rPr/>
            </w:pPr>
            <w:r>
              <w:rPr>
                <w:spacing w:val="-8"/>
              </w:rPr>
              <w:t>内边</w:t>
            </w:r>
          </w:p>
          <w:p>
            <w:pPr>
              <w:pStyle w:val="TableText"/>
              <w:ind w:left="19" w:right="12" w:firstLine="6"/>
              <w:spacing w:before="24" w:line="236" w:lineRule="auto"/>
              <w:rPr>
                <w:rFonts w:ascii="Times New Roman" w:hAnsi="Times New Roman" w:eastAsia="Times New Roman" w:cs="Times New Roman"/>
              </w:rPr>
            </w:pPr>
            <w:r>
              <w:rPr>
                <w:spacing w:val="2"/>
              </w:rPr>
              <w:t>界距</w:t>
            </w:r>
            <w:r>
              <w:rPr/>
              <w:t xml:space="preserve"> </w:t>
            </w:r>
            <w:r>
              <w:rPr>
                <w:spacing w:val="2"/>
              </w:rPr>
              <w:t>离</w:t>
            </w:r>
            <w:r>
              <w:rPr>
                <w:rFonts w:ascii="Times New Roman" w:hAnsi="Times New Roman" w:eastAsia="Times New Roman" w:cs="Times New Roman"/>
                <w:spacing w:val="2"/>
              </w:rPr>
              <w:t>/m</w:t>
            </w:r>
          </w:p>
        </w:tc>
        <w:tc>
          <w:tcPr>
            <w:tcW w:w="637" w:type="dxa"/>
            <w:vAlign w:val="top"/>
            <w:vMerge w:val="restart"/>
            <w:tcBorders>
              <w:bottom w:val="nil"/>
            </w:tcBorders>
          </w:tcPr>
          <w:p>
            <w:pPr>
              <w:pStyle w:val="TableText"/>
              <w:ind w:left="117"/>
              <w:spacing w:before="55" w:line="228" w:lineRule="auto"/>
              <w:rPr/>
            </w:pPr>
            <w:r>
              <w:rPr>
                <w:spacing w:val="3"/>
              </w:rPr>
              <w:t>室内</w:t>
            </w:r>
          </w:p>
          <w:p>
            <w:pPr>
              <w:pStyle w:val="TableText"/>
              <w:ind w:left="113"/>
              <w:spacing w:before="27" w:line="229" w:lineRule="auto"/>
              <w:rPr/>
            </w:pPr>
            <w:r>
              <w:rPr>
                <w:spacing w:val="5"/>
              </w:rPr>
              <w:t>边界</w:t>
            </w:r>
          </w:p>
          <w:p>
            <w:pPr>
              <w:pStyle w:val="TableText"/>
              <w:ind w:left="17" w:right="22" w:firstLine="100"/>
              <w:spacing w:before="23" w:line="242" w:lineRule="auto"/>
              <w:rPr>
                <w:rFonts w:ascii="Times New Roman" w:hAnsi="Times New Roman" w:eastAsia="Times New Roman" w:cs="Times New Roman"/>
              </w:rPr>
            </w:pPr>
            <w:r>
              <w:rPr>
                <w:spacing w:val="2"/>
              </w:rPr>
              <w:t>声级</w:t>
            </w:r>
            <w:r>
              <w:rPr/>
              <w:t xml:space="preserve">  </w:t>
            </w:r>
            <w:r>
              <w:rPr>
                <w:rFonts w:ascii="Times New Roman" w:hAnsi="Times New Roman" w:eastAsia="Times New Roman" w:cs="Times New Roman"/>
                <w:spacing w:val="6"/>
              </w:rPr>
              <w:t>/</w:t>
            </w:r>
            <w:r>
              <w:rPr>
                <w:rFonts w:ascii="Times New Roman" w:hAnsi="Times New Roman" w:eastAsia="Times New Roman" w:cs="Times New Roman"/>
              </w:rPr>
              <w:t>dB</w:t>
            </w:r>
            <w:r>
              <w:rPr>
                <w:rFonts w:ascii="Times New Roman" w:hAnsi="Times New Roman" w:eastAsia="Times New Roman" w:cs="Times New Roman"/>
                <w:spacing w:val="6"/>
              </w:rPr>
              <w:t>(A)</w:t>
            </w:r>
          </w:p>
        </w:tc>
        <w:tc>
          <w:tcPr>
            <w:tcW w:w="454" w:type="dxa"/>
            <w:vAlign w:val="top"/>
            <w:vMerge w:val="restart"/>
            <w:tcBorders>
              <w:bottom w:val="nil"/>
            </w:tcBorders>
          </w:tcPr>
          <w:p>
            <w:pPr>
              <w:spacing w:line="246" w:lineRule="auto"/>
              <w:rPr>
                <w:rFonts w:ascii="Arial"/>
                <w:sz w:val="21"/>
              </w:rPr>
            </w:pPr>
            <w:r/>
          </w:p>
          <w:p>
            <w:pPr>
              <w:pStyle w:val="TableText"/>
              <w:ind w:left="21"/>
              <w:spacing w:before="65" w:line="228" w:lineRule="auto"/>
              <w:rPr/>
            </w:pPr>
            <w:r>
              <w:rPr>
                <w:spacing w:val="4"/>
              </w:rPr>
              <w:t>运行</w:t>
            </w:r>
          </w:p>
          <w:p>
            <w:pPr>
              <w:pStyle w:val="TableText"/>
              <w:ind w:left="31"/>
              <w:spacing w:before="26" w:line="229" w:lineRule="auto"/>
              <w:rPr/>
            </w:pPr>
            <w:r>
              <w:rPr>
                <w:spacing w:val="-1"/>
              </w:rPr>
              <w:t>时段</w:t>
            </w:r>
          </w:p>
        </w:tc>
        <w:tc>
          <w:tcPr>
            <w:tcW w:w="654" w:type="dxa"/>
            <w:vAlign w:val="top"/>
            <w:vMerge w:val="restart"/>
            <w:tcBorders>
              <w:bottom w:val="nil"/>
            </w:tcBorders>
          </w:tcPr>
          <w:p>
            <w:pPr>
              <w:pStyle w:val="TableText"/>
              <w:ind w:left="21"/>
              <w:spacing w:before="56" w:line="228" w:lineRule="auto"/>
              <w:rPr/>
            </w:pPr>
            <w:r>
              <w:rPr>
                <w:spacing w:val="6"/>
              </w:rPr>
              <w:t>建筑物</w:t>
            </w:r>
          </w:p>
          <w:p>
            <w:pPr>
              <w:pStyle w:val="TableText"/>
              <w:ind w:left="18"/>
              <w:spacing w:before="26" w:line="228" w:lineRule="auto"/>
              <w:rPr/>
            </w:pPr>
            <w:r>
              <w:rPr>
                <w:spacing w:val="7"/>
              </w:rPr>
              <w:t>插入损</w:t>
            </w:r>
          </w:p>
          <w:p>
            <w:pPr>
              <w:pStyle w:val="TableText"/>
              <w:ind w:left="232"/>
              <w:spacing w:before="23" w:line="229" w:lineRule="auto"/>
              <w:rPr/>
            </w:pPr>
            <w:r>
              <w:rPr/>
              <w:t>失</w:t>
            </w:r>
          </w:p>
          <w:p>
            <w:pPr>
              <w:ind w:left="27"/>
              <w:spacing w:before="40"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rPr>
              <w:t>dB</w:t>
            </w:r>
            <w:r>
              <w:rPr>
                <w:rFonts w:ascii="Times New Roman" w:hAnsi="Times New Roman" w:eastAsia="Times New Roman" w:cs="Times New Roman"/>
                <w:sz w:val="20"/>
                <w:szCs w:val="20"/>
                <w:spacing w:val="6"/>
              </w:rPr>
              <w:t>(A)</w:t>
            </w:r>
          </w:p>
        </w:tc>
        <w:tc>
          <w:tcPr>
            <w:tcW w:w="1310" w:type="dxa"/>
            <w:vAlign w:val="top"/>
            <w:gridSpan w:val="2"/>
          </w:tcPr>
          <w:p>
            <w:pPr>
              <w:pStyle w:val="TableText"/>
              <w:ind w:left="32"/>
              <w:spacing w:before="36" w:line="216" w:lineRule="auto"/>
              <w:rPr/>
            </w:pPr>
            <w:r>
              <w:rPr>
                <w:spacing w:val="7"/>
              </w:rPr>
              <w:t>建筑物外噪声</w:t>
            </w:r>
          </w:p>
        </w:tc>
      </w:tr>
      <w:tr>
        <w:trPr>
          <w:trHeight w:val="819" w:hRule="atLeast"/>
        </w:trPr>
        <w:tc>
          <w:tcPr>
            <w:tcW w:w="253" w:type="dxa"/>
            <w:vAlign w:val="top"/>
            <w:vMerge w:val="continue"/>
            <w:textDirection w:val="tbRlV"/>
            <w:tcBorders>
              <w:top w:val="nil"/>
            </w:tcBorders>
          </w:tcPr>
          <w:p>
            <w:pPr>
              <w:rPr>
                <w:rFonts w:ascii="Arial"/>
                <w:sz w:val="21"/>
              </w:rPr>
            </w:pPr>
            <w:r/>
          </w:p>
        </w:tc>
        <w:tc>
          <w:tcPr>
            <w:tcW w:w="563" w:type="dxa"/>
            <w:vAlign w:val="top"/>
            <w:vMerge w:val="continue"/>
            <w:tcBorders>
              <w:top w:val="nil"/>
            </w:tcBorders>
          </w:tcPr>
          <w:p>
            <w:pPr>
              <w:rPr>
                <w:rFonts w:ascii="Arial"/>
                <w:sz w:val="21"/>
              </w:rPr>
            </w:pPr>
            <w:r/>
          </w:p>
        </w:tc>
        <w:tc>
          <w:tcPr>
            <w:tcW w:w="1151" w:type="dxa"/>
            <w:vAlign w:val="top"/>
            <w:vMerge w:val="continue"/>
            <w:tcBorders>
              <w:top w:val="nil"/>
            </w:tcBorders>
          </w:tcPr>
          <w:p>
            <w:pPr>
              <w:rPr>
                <w:rFonts w:ascii="Arial"/>
                <w:sz w:val="21"/>
              </w:rPr>
            </w:pPr>
            <w:r/>
          </w:p>
        </w:tc>
        <w:tc>
          <w:tcPr>
            <w:tcW w:w="306" w:type="dxa"/>
            <w:vAlign w:val="top"/>
            <w:vMerge w:val="continue"/>
            <w:textDirection w:val="tbRlV"/>
            <w:tcBorders>
              <w:top w:val="nil"/>
            </w:tcBorders>
          </w:tcPr>
          <w:p>
            <w:pPr>
              <w:rPr>
                <w:rFonts w:ascii="Arial"/>
                <w:sz w:val="21"/>
              </w:rPr>
            </w:pPr>
            <w:r/>
          </w:p>
        </w:tc>
        <w:tc>
          <w:tcPr>
            <w:tcW w:w="325" w:type="dxa"/>
            <w:vAlign w:val="top"/>
            <w:vMerge w:val="continue"/>
            <w:textDirection w:val="tbRlV"/>
            <w:tcBorders>
              <w:top w:val="nil"/>
            </w:tcBorders>
          </w:tcPr>
          <w:p>
            <w:pPr>
              <w:rPr>
                <w:rFonts w:ascii="Arial"/>
                <w:sz w:val="21"/>
              </w:rPr>
            </w:pPr>
            <w:r/>
          </w:p>
        </w:tc>
        <w:tc>
          <w:tcPr>
            <w:tcW w:w="419" w:type="dxa"/>
            <w:vAlign w:val="top"/>
          </w:tcPr>
          <w:p>
            <w:pPr>
              <w:spacing w:line="284" w:lineRule="auto"/>
              <w:rPr>
                <w:rFonts w:ascii="Arial"/>
                <w:sz w:val="21"/>
              </w:rPr>
            </w:pPr>
            <w:r/>
          </w:p>
          <w:p>
            <w:pPr>
              <w:ind w:left="130"/>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X</w:t>
            </w:r>
          </w:p>
        </w:tc>
        <w:tc>
          <w:tcPr>
            <w:tcW w:w="423" w:type="dxa"/>
            <w:vAlign w:val="top"/>
          </w:tcPr>
          <w:p>
            <w:pPr>
              <w:spacing w:line="284" w:lineRule="auto"/>
              <w:rPr>
                <w:rFonts w:ascii="Arial"/>
                <w:sz w:val="21"/>
              </w:rPr>
            </w:pPr>
            <w:r/>
          </w:p>
          <w:p>
            <w:pPr>
              <w:ind w:left="131"/>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Y</w:t>
            </w:r>
          </w:p>
        </w:tc>
        <w:tc>
          <w:tcPr>
            <w:tcW w:w="505" w:type="dxa"/>
            <w:vAlign w:val="top"/>
          </w:tcPr>
          <w:p>
            <w:pPr>
              <w:spacing w:line="284" w:lineRule="auto"/>
              <w:rPr>
                <w:rFonts w:ascii="Arial"/>
                <w:sz w:val="21"/>
              </w:rPr>
            </w:pPr>
            <w:r/>
          </w:p>
          <w:p>
            <w:pPr>
              <w:ind w:left="187"/>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Z</w:t>
            </w:r>
          </w:p>
        </w:tc>
        <w:tc>
          <w:tcPr>
            <w:tcW w:w="607" w:type="dxa"/>
            <w:vAlign w:val="top"/>
            <w:vMerge w:val="continue"/>
            <w:tcBorders>
              <w:top w:val="nil"/>
            </w:tcBorders>
          </w:tcPr>
          <w:p>
            <w:pPr>
              <w:rPr>
                <w:rFonts w:ascii="Arial"/>
                <w:sz w:val="21"/>
              </w:rPr>
            </w:pPr>
            <w:r/>
          </w:p>
        </w:tc>
        <w:tc>
          <w:tcPr>
            <w:tcW w:w="495" w:type="dxa"/>
            <w:vAlign w:val="top"/>
            <w:vMerge w:val="continue"/>
            <w:tcBorders>
              <w:top w:val="nil"/>
            </w:tcBorders>
          </w:tcPr>
          <w:p>
            <w:pPr>
              <w:rPr>
                <w:rFonts w:ascii="Arial"/>
                <w:sz w:val="21"/>
              </w:rPr>
            </w:pPr>
            <w:r/>
          </w:p>
        </w:tc>
        <w:tc>
          <w:tcPr>
            <w:tcW w:w="454" w:type="dxa"/>
            <w:vAlign w:val="top"/>
            <w:vMerge w:val="continue"/>
            <w:tcBorders>
              <w:top w:val="nil"/>
            </w:tcBorders>
          </w:tcPr>
          <w:p>
            <w:pPr>
              <w:rPr>
                <w:rFonts w:ascii="Arial"/>
                <w:sz w:val="21"/>
              </w:rPr>
            </w:pPr>
            <w:r/>
          </w:p>
        </w:tc>
        <w:tc>
          <w:tcPr>
            <w:tcW w:w="637" w:type="dxa"/>
            <w:vAlign w:val="top"/>
            <w:vMerge w:val="continue"/>
            <w:tcBorders>
              <w:top w:val="nil"/>
            </w:tcBorders>
          </w:tcPr>
          <w:p>
            <w:pPr>
              <w:rPr>
                <w:rFonts w:ascii="Arial"/>
                <w:sz w:val="21"/>
              </w:rPr>
            </w:pPr>
            <w:r/>
          </w:p>
        </w:tc>
        <w:tc>
          <w:tcPr>
            <w:tcW w:w="454" w:type="dxa"/>
            <w:vAlign w:val="top"/>
            <w:vMerge w:val="continue"/>
            <w:tcBorders>
              <w:top w:val="nil"/>
            </w:tcBorders>
          </w:tcPr>
          <w:p>
            <w:pPr>
              <w:rPr>
                <w:rFonts w:ascii="Arial"/>
                <w:sz w:val="21"/>
              </w:rPr>
            </w:pPr>
            <w:r/>
          </w:p>
        </w:tc>
        <w:tc>
          <w:tcPr>
            <w:tcW w:w="654" w:type="dxa"/>
            <w:vAlign w:val="top"/>
            <w:vMerge w:val="continue"/>
            <w:tcBorders>
              <w:top w:val="nil"/>
            </w:tcBorders>
          </w:tcPr>
          <w:p>
            <w:pPr>
              <w:rPr>
                <w:rFonts w:ascii="Arial"/>
                <w:sz w:val="21"/>
              </w:rPr>
            </w:pPr>
            <w:r/>
          </w:p>
        </w:tc>
        <w:tc>
          <w:tcPr>
            <w:tcW w:w="740" w:type="dxa"/>
            <w:vAlign w:val="top"/>
          </w:tcPr>
          <w:p>
            <w:pPr>
              <w:pStyle w:val="TableText"/>
              <w:ind w:left="72" w:right="53" w:hanging="7"/>
              <w:spacing w:before="182" w:line="259" w:lineRule="auto"/>
              <w:rPr>
                <w:rFonts w:ascii="Times New Roman" w:hAnsi="Times New Roman" w:eastAsia="Times New Roman" w:cs="Times New Roman"/>
              </w:rPr>
            </w:pPr>
            <w:r>
              <w:rPr>
                <w:spacing w:val="5"/>
              </w:rPr>
              <w:t>声压级</w:t>
            </w:r>
            <w:r>
              <w:rPr/>
              <w:t xml:space="preserve"> </w:t>
            </w:r>
            <w:r>
              <w:rPr>
                <w:rFonts w:ascii="Times New Roman" w:hAnsi="Times New Roman" w:eastAsia="Times New Roman" w:cs="Times New Roman"/>
                <w:spacing w:val="6"/>
              </w:rPr>
              <w:t>/</w:t>
            </w:r>
            <w:r>
              <w:rPr>
                <w:rFonts w:ascii="Times New Roman" w:hAnsi="Times New Roman" w:eastAsia="Times New Roman" w:cs="Times New Roman"/>
              </w:rPr>
              <w:t>dB</w:t>
            </w:r>
            <w:r>
              <w:rPr>
                <w:rFonts w:ascii="Times New Roman" w:hAnsi="Times New Roman" w:eastAsia="Times New Roman" w:cs="Times New Roman"/>
                <w:spacing w:val="6"/>
              </w:rPr>
              <w:t>(A)</w:t>
            </w:r>
          </w:p>
        </w:tc>
        <w:tc>
          <w:tcPr>
            <w:tcW w:w="570" w:type="dxa"/>
            <w:vAlign w:val="top"/>
          </w:tcPr>
          <w:p>
            <w:pPr>
              <w:pStyle w:val="TableText"/>
              <w:ind w:left="84"/>
              <w:spacing w:before="31" w:line="228" w:lineRule="auto"/>
              <w:rPr/>
            </w:pPr>
            <w:r>
              <w:rPr>
                <w:spacing w:val="3"/>
              </w:rPr>
              <w:t>建筑</w:t>
            </w:r>
          </w:p>
          <w:p>
            <w:pPr>
              <w:pStyle w:val="TableText"/>
              <w:ind w:left="81"/>
              <w:spacing w:before="26" w:line="228" w:lineRule="auto"/>
              <w:rPr/>
            </w:pPr>
            <w:r>
              <w:rPr>
                <w:spacing w:val="4"/>
              </w:rPr>
              <w:t>物外</w:t>
            </w:r>
          </w:p>
          <w:p>
            <w:pPr>
              <w:pStyle w:val="TableText"/>
              <w:ind w:left="80"/>
              <w:spacing w:before="23" w:line="215" w:lineRule="auto"/>
              <w:rPr/>
            </w:pPr>
            <w:r>
              <w:rPr>
                <w:spacing w:val="5"/>
              </w:rPr>
              <w:t>距离</w:t>
            </w:r>
          </w:p>
        </w:tc>
      </w:tr>
      <w:tr>
        <w:trPr>
          <w:trHeight w:val="277" w:hRule="atLeast"/>
        </w:trPr>
        <w:tc>
          <w:tcPr>
            <w:tcW w:w="253" w:type="dxa"/>
            <w:vAlign w:val="top"/>
            <w:vMerge w:val="restart"/>
            <w:tcBorders>
              <w:bottom w:val="nil"/>
            </w:tcBorders>
          </w:tcPr>
          <w:p>
            <w:pPr>
              <w:rPr>
                <w:rFonts w:ascii="Arial"/>
                <w:sz w:val="21"/>
              </w:rPr>
            </w:pPr>
            <w:r/>
          </w:p>
        </w:tc>
        <w:tc>
          <w:tcPr>
            <w:tcW w:w="563" w:type="dxa"/>
            <w:vAlign w:val="top"/>
            <w:vMerge w:val="restart"/>
            <w:tcBorders>
              <w:bottom w:val="nil"/>
            </w:tcBorders>
          </w:tcPr>
          <w:p>
            <w:pPr>
              <w:pStyle w:val="TableText"/>
              <w:ind w:left="178"/>
              <w:spacing w:before="35" w:line="228" w:lineRule="auto"/>
              <w:rPr/>
            </w:pPr>
            <w:r>
              <w:rPr/>
              <w:t>房</w:t>
            </w:r>
          </w:p>
        </w:tc>
        <w:tc>
          <w:tcPr>
            <w:tcW w:w="1151" w:type="dxa"/>
            <w:vAlign w:val="top"/>
          </w:tcPr>
          <w:p>
            <w:pPr>
              <w:pStyle w:val="TableText"/>
              <w:ind w:left="162"/>
              <w:spacing w:before="35" w:line="214" w:lineRule="auto"/>
              <w:rPr/>
            </w:pPr>
            <w:r>
              <w:rPr>
                <w:spacing w:val="6"/>
              </w:rPr>
              <w:t>蒸汽锅炉</w:t>
            </w:r>
          </w:p>
        </w:tc>
        <w:tc>
          <w:tcPr>
            <w:tcW w:w="306" w:type="dxa"/>
            <w:vAlign w:val="top"/>
          </w:tcPr>
          <w:p>
            <w:pPr>
              <w:pStyle w:val="TableText"/>
              <w:ind w:left="69"/>
              <w:spacing w:before="35" w:line="214" w:lineRule="auto"/>
              <w:rPr/>
            </w:pPr>
            <w:r>
              <w:rPr/>
              <w:t>台</w:t>
            </w:r>
          </w:p>
        </w:tc>
        <w:tc>
          <w:tcPr>
            <w:tcW w:w="325" w:type="dxa"/>
            <w:vAlign w:val="top"/>
          </w:tcPr>
          <w:p>
            <w:pPr>
              <w:ind w:left="13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19" w:type="dxa"/>
            <w:vAlign w:val="top"/>
          </w:tcPr>
          <w:p>
            <w:pPr>
              <w:ind w:left="7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129</w:t>
            </w:r>
          </w:p>
        </w:tc>
        <w:tc>
          <w:tcPr>
            <w:tcW w:w="423" w:type="dxa"/>
            <w:vAlign w:val="top"/>
          </w:tcPr>
          <w:p>
            <w:pPr>
              <w:ind w:left="10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505" w:type="dxa"/>
            <w:vAlign w:val="top"/>
          </w:tcPr>
          <w:p>
            <w:pPr>
              <w:ind w:left="14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w:t>
            </w:r>
          </w:p>
        </w:tc>
        <w:tc>
          <w:tcPr>
            <w:tcW w:w="607" w:type="dxa"/>
            <w:vAlign w:val="top"/>
          </w:tcPr>
          <w:p>
            <w:pPr>
              <w:ind w:left="20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85</w:t>
            </w:r>
          </w:p>
        </w:tc>
        <w:tc>
          <w:tcPr>
            <w:tcW w:w="495" w:type="dxa"/>
            <w:vAlign w:val="top"/>
            <w:vMerge w:val="restart"/>
            <w:tcBorders>
              <w:bottom w:val="nil"/>
            </w:tcBorders>
          </w:tcPr>
          <w:p>
            <w:pPr>
              <w:pStyle w:val="TableText"/>
              <w:ind w:left="47"/>
              <w:spacing w:before="35" w:line="228" w:lineRule="auto"/>
              <w:rPr/>
            </w:pPr>
            <w:r>
              <w:rPr>
                <w:spacing w:val="-2"/>
              </w:rPr>
              <w:t>声、</w:t>
            </w:r>
          </w:p>
          <w:p>
            <w:pPr>
              <w:pStyle w:val="TableText"/>
              <w:ind w:left="42"/>
              <w:spacing w:before="24" w:line="227" w:lineRule="auto"/>
              <w:rPr/>
            </w:pPr>
            <w:r>
              <w:rPr>
                <w:spacing w:val="4"/>
              </w:rPr>
              <w:t>减振</w:t>
            </w:r>
          </w:p>
        </w:tc>
        <w:tc>
          <w:tcPr>
            <w:tcW w:w="454" w:type="dxa"/>
            <w:vAlign w:val="top"/>
          </w:tcPr>
          <w:p>
            <w:pPr>
              <w:ind w:left="17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637" w:type="dxa"/>
            <w:vAlign w:val="top"/>
          </w:tcPr>
          <w:p>
            <w:pPr>
              <w:ind w:left="8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75.46</w:t>
            </w:r>
          </w:p>
        </w:tc>
        <w:tc>
          <w:tcPr>
            <w:tcW w:w="454" w:type="dxa"/>
            <w:vAlign w:val="top"/>
          </w:tcPr>
          <w:p>
            <w:pPr>
              <w:pStyle w:val="TableText"/>
              <w:ind w:left="21"/>
              <w:spacing w:before="35" w:line="214" w:lineRule="auto"/>
              <w:rPr/>
            </w:pPr>
            <w:r>
              <w:rPr>
                <w:spacing w:val="6"/>
              </w:rPr>
              <w:t>全天</w:t>
            </w:r>
          </w:p>
        </w:tc>
        <w:tc>
          <w:tcPr>
            <w:tcW w:w="654" w:type="dxa"/>
            <w:vAlign w:val="top"/>
          </w:tcPr>
          <w:p>
            <w:pPr>
              <w:ind w:left="22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50.46</w:t>
            </w:r>
          </w:p>
        </w:tc>
        <w:tc>
          <w:tcPr>
            <w:tcW w:w="570" w:type="dxa"/>
            <w:vAlign w:val="top"/>
          </w:tcPr>
          <w:p>
            <w:pPr>
              <w:ind w:left="17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81" w:hRule="atLeast"/>
        </w:trPr>
        <w:tc>
          <w:tcPr>
            <w:tcW w:w="253" w:type="dxa"/>
            <w:vAlign w:val="top"/>
            <w:vMerge w:val="continue"/>
            <w:tcBorders>
              <w:top w:val="nil"/>
            </w:tcBorders>
          </w:tcPr>
          <w:p>
            <w:pPr>
              <w:rPr>
                <w:rFonts w:ascii="Arial"/>
                <w:sz w:val="21"/>
              </w:rPr>
            </w:pPr>
            <w:r/>
          </w:p>
        </w:tc>
        <w:tc>
          <w:tcPr>
            <w:tcW w:w="563" w:type="dxa"/>
            <w:vAlign w:val="top"/>
            <w:vMerge w:val="continue"/>
            <w:tcBorders>
              <w:top w:val="nil"/>
            </w:tcBorders>
          </w:tcPr>
          <w:p>
            <w:pPr>
              <w:rPr>
                <w:rFonts w:ascii="Arial"/>
                <w:sz w:val="21"/>
              </w:rPr>
            </w:pPr>
            <w:r/>
          </w:p>
        </w:tc>
        <w:tc>
          <w:tcPr>
            <w:tcW w:w="1151" w:type="dxa"/>
            <w:vAlign w:val="top"/>
          </w:tcPr>
          <w:p>
            <w:pPr>
              <w:pStyle w:val="TableText"/>
              <w:ind w:left="162"/>
              <w:spacing w:before="33" w:line="219" w:lineRule="auto"/>
              <w:rPr/>
            </w:pPr>
            <w:r>
              <w:rPr>
                <w:spacing w:val="6"/>
              </w:rPr>
              <w:t>纯水制备</w:t>
            </w:r>
          </w:p>
        </w:tc>
        <w:tc>
          <w:tcPr>
            <w:tcW w:w="306" w:type="dxa"/>
            <w:vAlign w:val="top"/>
          </w:tcPr>
          <w:p>
            <w:pPr>
              <w:pStyle w:val="TableText"/>
              <w:ind w:left="53"/>
              <w:spacing w:before="33" w:line="219" w:lineRule="auto"/>
              <w:rPr/>
            </w:pPr>
            <w:r>
              <w:rPr/>
              <w:t>套</w:t>
            </w:r>
          </w:p>
        </w:tc>
        <w:tc>
          <w:tcPr>
            <w:tcW w:w="325" w:type="dxa"/>
            <w:vAlign w:val="top"/>
          </w:tcPr>
          <w:p>
            <w:pPr>
              <w:ind w:left="13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19" w:type="dxa"/>
            <w:vAlign w:val="top"/>
          </w:tcPr>
          <w:p>
            <w:pPr>
              <w:ind w:left="71"/>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126</w:t>
            </w:r>
          </w:p>
        </w:tc>
        <w:tc>
          <w:tcPr>
            <w:tcW w:w="423" w:type="dxa"/>
            <w:vAlign w:val="top"/>
          </w:tcPr>
          <w:p>
            <w:pPr>
              <w:ind w:left="111"/>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58</w:t>
            </w:r>
          </w:p>
        </w:tc>
        <w:tc>
          <w:tcPr>
            <w:tcW w:w="505" w:type="dxa"/>
            <w:vAlign w:val="top"/>
          </w:tcPr>
          <w:p>
            <w:pPr>
              <w:ind w:left="12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0.5</w:t>
            </w:r>
          </w:p>
        </w:tc>
        <w:tc>
          <w:tcPr>
            <w:tcW w:w="607" w:type="dxa"/>
            <w:vAlign w:val="top"/>
          </w:tcPr>
          <w:p>
            <w:pPr>
              <w:ind w:left="205"/>
              <w:spacing w:before="7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55</w:t>
            </w:r>
          </w:p>
        </w:tc>
        <w:tc>
          <w:tcPr>
            <w:tcW w:w="495" w:type="dxa"/>
            <w:vAlign w:val="top"/>
            <w:vMerge w:val="continue"/>
            <w:tcBorders>
              <w:top w:val="nil"/>
            </w:tcBorders>
          </w:tcPr>
          <w:p>
            <w:pPr>
              <w:rPr>
                <w:rFonts w:ascii="Arial"/>
                <w:sz w:val="21"/>
              </w:rPr>
            </w:pPr>
            <w:r/>
          </w:p>
        </w:tc>
        <w:tc>
          <w:tcPr>
            <w:tcW w:w="454" w:type="dxa"/>
            <w:vAlign w:val="top"/>
          </w:tcPr>
          <w:p>
            <w:pPr>
              <w:ind w:left="11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w:t>
            </w:r>
          </w:p>
        </w:tc>
        <w:tc>
          <w:tcPr>
            <w:tcW w:w="637" w:type="dxa"/>
            <w:vAlign w:val="top"/>
          </w:tcPr>
          <w:p>
            <w:pPr>
              <w:ind w:left="8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45.46</w:t>
            </w:r>
          </w:p>
        </w:tc>
        <w:tc>
          <w:tcPr>
            <w:tcW w:w="454" w:type="dxa"/>
            <w:vAlign w:val="top"/>
          </w:tcPr>
          <w:p>
            <w:pPr>
              <w:pStyle w:val="TableText"/>
              <w:ind w:left="21"/>
              <w:spacing w:before="33" w:line="219" w:lineRule="auto"/>
              <w:rPr/>
            </w:pPr>
            <w:r>
              <w:rPr>
                <w:spacing w:val="6"/>
              </w:rPr>
              <w:t>全天</w:t>
            </w:r>
          </w:p>
        </w:tc>
        <w:tc>
          <w:tcPr>
            <w:tcW w:w="654" w:type="dxa"/>
            <w:vAlign w:val="top"/>
          </w:tcPr>
          <w:p>
            <w:pPr>
              <w:ind w:left="22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3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20.46</w:t>
            </w:r>
          </w:p>
        </w:tc>
        <w:tc>
          <w:tcPr>
            <w:tcW w:w="570" w:type="dxa"/>
            <w:vAlign w:val="top"/>
          </w:tcPr>
          <w:p>
            <w:pPr>
              <w:ind w:left="17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bl>
    <w:p>
      <w:pPr>
        <w:ind w:left="33"/>
        <w:spacing w:before="35"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4"/>
        </w:rPr>
        <w:t>3.5.1.4</w:t>
      </w:r>
      <w:r>
        <w:rPr>
          <w:rFonts w:ascii="Times New Roman" w:hAnsi="Times New Roman" w:eastAsia="Times New Roman" w:cs="Times New Roman"/>
          <w:sz w:val="24"/>
          <w:szCs w:val="24"/>
          <w:b/>
          <w:bCs/>
          <w:spacing w:val="42"/>
        </w:rPr>
        <w:t xml:space="preserve"> </w:t>
      </w:r>
      <w:r>
        <w:rPr>
          <w:rFonts w:ascii="SimSun" w:hAnsi="SimSun" w:eastAsia="SimSun" w:cs="SimSun"/>
          <w:sz w:val="24"/>
          <w:szCs w:val="24"/>
          <w:b/>
          <w:bCs/>
          <w:spacing w:val="-4"/>
        </w:rPr>
        <w:t>固体废物处置分析</w:t>
      </w:r>
    </w:p>
    <w:p>
      <w:pPr>
        <w:ind w:left="41" w:right="87" w:firstLine="478"/>
        <w:spacing w:before="179" w:line="360" w:lineRule="auto"/>
        <w:rPr>
          <w:rFonts w:ascii="SimSun" w:hAnsi="SimSun" w:eastAsia="SimSun" w:cs="SimSun"/>
          <w:sz w:val="24"/>
          <w:szCs w:val="24"/>
        </w:rPr>
      </w:pPr>
      <w:r>
        <w:rPr>
          <w:rFonts w:ascii="SimSun" w:hAnsi="SimSun" w:eastAsia="SimSun" w:cs="SimSun"/>
          <w:sz w:val="24"/>
          <w:szCs w:val="24"/>
          <w:spacing w:val="-1"/>
        </w:rPr>
        <w:t>本项目固体废物产生总量为</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10617.428t/a</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1"/>
        </w:rPr>
        <w:t>，其</w:t>
      </w:r>
      <w:r>
        <w:rPr>
          <w:rFonts w:ascii="SimSun" w:hAnsi="SimSun" w:eastAsia="SimSun" w:cs="SimSun"/>
          <w:sz w:val="24"/>
          <w:szCs w:val="24"/>
          <w:spacing w:val="-2"/>
        </w:rPr>
        <w:t>中一般工业固废</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2"/>
        </w:rPr>
        <w:t>10585.838t/a</w:t>
      </w:r>
      <w:r>
        <w:rPr>
          <w:rFonts w:ascii="SimSun" w:hAnsi="SimSun" w:eastAsia="SimSun" w:cs="SimSun"/>
          <w:sz w:val="24"/>
          <w:szCs w:val="24"/>
          <w:spacing w:val="-2"/>
        </w:rPr>
        <w:t>，</w:t>
      </w:r>
      <w:r>
        <w:rPr>
          <w:rFonts w:ascii="SimSun" w:hAnsi="SimSun" w:eastAsia="SimSun" w:cs="SimSun"/>
          <w:sz w:val="24"/>
          <w:szCs w:val="24"/>
        </w:rPr>
        <w:t xml:space="preserve"> </w:t>
      </w:r>
      <w:r>
        <w:rPr>
          <w:rFonts w:ascii="SimSun" w:hAnsi="SimSun" w:eastAsia="SimSun" w:cs="SimSun"/>
          <w:sz w:val="24"/>
          <w:szCs w:val="24"/>
          <w:spacing w:val="-4"/>
        </w:rPr>
        <w:t>危险废物</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4"/>
        </w:rPr>
        <w:t>16.59t/a</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，生活垃圾</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15t/a</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4"/>
        </w:rPr>
        <w:t>，全部得到了合理处置。</w:t>
      </w:r>
    </w:p>
    <w:p>
      <w:pPr>
        <w:ind w:left="537"/>
        <w:spacing w:line="220" w:lineRule="auto"/>
        <w:rPr>
          <w:rFonts w:ascii="SimSun" w:hAnsi="SimSun" w:eastAsia="SimSun" w:cs="SimSun"/>
          <w:sz w:val="24"/>
          <w:szCs w:val="24"/>
        </w:rPr>
      </w:pPr>
      <w:r>
        <w:rPr>
          <w:rFonts w:ascii="Times New Roman" w:hAnsi="Times New Roman" w:eastAsia="Times New Roman" w:cs="Times New Roman"/>
          <w:sz w:val="24"/>
          <w:szCs w:val="24"/>
          <w:spacing w:val="-10"/>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0"/>
        </w:rPr>
        <w:t>、生活垃圾</w:t>
      </w:r>
    </w:p>
    <w:p>
      <w:pPr>
        <w:ind w:left="44" w:right="41" w:firstLine="499"/>
        <w:spacing w:before="178" w:line="352" w:lineRule="auto"/>
        <w:rPr>
          <w:rFonts w:ascii="SimSun" w:hAnsi="SimSun" w:eastAsia="SimSun" w:cs="SimSun"/>
          <w:sz w:val="24"/>
          <w:szCs w:val="24"/>
        </w:rPr>
      </w:pPr>
      <w:r>
        <w:rPr>
          <w:rFonts w:ascii="SimSun" w:hAnsi="SimSun" w:eastAsia="SimSun" w:cs="SimSun"/>
          <w:sz w:val="24"/>
          <w:szCs w:val="24"/>
        </w:rPr>
        <w:t>本项目劳动定员为 </w:t>
      </w:r>
      <w:r>
        <w:rPr>
          <w:rFonts w:ascii="Times New Roman" w:hAnsi="Times New Roman" w:eastAsia="Times New Roman" w:cs="Times New Roman"/>
          <w:sz w:val="24"/>
          <w:szCs w:val="24"/>
        </w:rPr>
        <w:t>100</w:t>
      </w:r>
      <w:r>
        <w:rPr>
          <w:rFonts w:ascii="Times New Roman" w:hAnsi="Times New Roman" w:eastAsia="Times New Roman" w:cs="Times New Roman"/>
          <w:sz w:val="24"/>
          <w:szCs w:val="24"/>
          <w:spacing w:val="32"/>
        </w:rPr>
        <w:t xml:space="preserve"> </w:t>
      </w:r>
      <w:r>
        <w:rPr>
          <w:rFonts w:ascii="SimSun" w:hAnsi="SimSun" w:eastAsia="SimSun" w:cs="SimSun"/>
          <w:sz w:val="24"/>
          <w:szCs w:val="24"/>
        </w:rPr>
        <w:t>人，按</w:t>
      </w:r>
      <w:r>
        <w:rPr>
          <w:rFonts w:ascii="SimSun" w:hAnsi="SimSun" w:eastAsia="SimSun" w:cs="SimSun"/>
          <w:sz w:val="24"/>
          <w:szCs w:val="24"/>
          <w:spacing w:val="-37"/>
        </w:rPr>
        <w:t xml:space="preserve"> </w:t>
      </w:r>
      <w:r>
        <w:rPr>
          <w:rFonts w:ascii="Times New Roman" w:hAnsi="Times New Roman" w:eastAsia="Times New Roman" w:cs="Times New Roman"/>
          <w:sz w:val="24"/>
          <w:szCs w:val="24"/>
        </w:rPr>
        <w:t>0.5kg/</w:t>
      </w:r>
      <w:r>
        <w:rPr>
          <w:rFonts w:ascii="SimSun" w:hAnsi="SimSun" w:eastAsia="SimSun" w:cs="SimSun"/>
          <w:sz w:val="24"/>
          <w:szCs w:val="24"/>
        </w:rPr>
        <w:t>人 ·</w:t>
      </w:r>
      <w:r>
        <w:rPr>
          <w:rFonts w:ascii="Times New Roman" w:hAnsi="Times New Roman" w:eastAsia="Times New Roman" w:cs="Times New Roman"/>
          <w:sz w:val="24"/>
          <w:szCs w:val="24"/>
        </w:rPr>
        <w:t>d</w:t>
      </w:r>
      <w:r>
        <w:rPr>
          <w:rFonts w:ascii="Times New Roman" w:hAnsi="Times New Roman" w:eastAsia="Times New Roman" w:cs="Times New Roman"/>
          <w:sz w:val="24"/>
          <w:szCs w:val="24"/>
          <w:spacing w:val="16"/>
        </w:rPr>
        <w:t xml:space="preserve"> </w:t>
      </w:r>
      <w:r>
        <w:rPr>
          <w:rFonts w:ascii="SimSun" w:hAnsi="SimSun" w:eastAsia="SimSun" w:cs="SimSun"/>
          <w:sz w:val="24"/>
          <w:szCs w:val="24"/>
        </w:rPr>
        <w:t>计，产生量为 </w:t>
      </w:r>
      <w:r>
        <w:rPr>
          <w:rFonts w:ascii="Times New Roman" w:hAnsi="Times New Roman" w:eastAsia="Times New Roman" w:cs="Times New Roman"/>
          <w:sz w:val="24"/>
          <w:szCs w:val="24"/>
        </w:rPr>
        <w:t>15t/a</w:t>
      </w:r>
      <w:r>
        <w:rPr>
          <w:rFonts w:ascii="Times New Roman" w:hAnsi="Times New Roman" w:eastAsia="Times New Roman" w:cs="Times New Roman"/>
          <w:sz w:val="24"/>
          <w:szCs w:val="24"/>
          <w:spacing w:val="-22"/>
        </w:rPr>
        <w:t xml:space="preserve"> </w:t>
      </w:r>
      <w:r>
        <w:rPr>
          <w:rFonts w:ascii="SimSun" w:hAnsi="SimSun" w:eastAsia="SimSun" w:cs="SimSun"/>
          <w:sz w:val="24"/>
          <w:szCs w:val="24"/>
        </w:rPr>
        <w:t>，生活垃圾 </w:t>
      </w:r>
      <w:r>
        <w:rPr>
          <w:rFonts w:ascii="SimSun" w:hAnsi="SimSun" w:eastAsia="SimSun" w:cs="SimSun"/>
          <w:sz w:val="24"/>
          <w:szCs w:val="24"/>
          <w:spacing w:val="9"/>
        </w:rPr>
        <w:t>定时收集，垃圾桶密封无渗漏，集中收集后，</w:t>
      </w:r>
      <w:r>
        <w:rPr>
          <w:rFonts w:ascii="SimSun" w:hAnsi="SimSun" w:eastAsia="SimSun" w:cs="SimSun"/>
          <w:sz w:val="24"/>
          <w:szCs w:val="24"/>
          <w:spacing w:val="-68"/>
        </w:rPr>
        <w:t xml:space="preserve"> </w:t>
      </w:r>
      <w:r>
        <w:rPr>
          <w:rFonts w:ascii="SimSun" w:hAnsi="SimSun" w:eastAsia="SimSun" w:cs="SimSun"/>
          <w:sz w:val="24"/>
          <w:szCs w:val="24"/>
          <w:spacing w:val="9"/>
        </w:rPr>
        <w:t>由环卫部门清运</w:t>
      </w:r>
      <w:r>
        <w:rPr>
          <w:rFonts w:ascii="SimSun" w:hAnsi="SimSun" w:eastAsia="SimSun" w:cs="SimSun"/>
          <w:sz w:val="24"/>
          <w:szCs w:val="24"/>
          <w:spacing w:val="8"/>
        </w:rPr>
        <w:t>处理。</w:t>
      </w:r>
    </w:p>
    <w:p>
      <w:pPr>
        <w:ind w:left="514"/>
        <w:spacing w:before="19" w:line="220" w:lineRule="auto"/>
        <w:rPr>
          <w:rFonts w:ascii="SimSun" w:hAnsi="SimSun" w:eastAsia="SimSun" w:cs="SimSun"/>
          <w:sz w:val="24"/>
          <w:szCs w:val="24"/>
        </w:rPr>
      </w:pP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4"/>
        </w:rPr>
        <w:t>、一般工业固体废物</w:t>
      </w:r>
    </w:p>
    <w:p>
      <w:pPr>
        <w:ind w:left="517"/>
        <w:spacing w:before="182" w:line="217" w:lineRule="auto"/>
        <w:rPr>
          <w:rFonts w:ascii="SimSun" w:hAnsi="SimSun" w:eastAsia="SimSun" w:cs="SimSun"/>
          <w:sz w:val="24"/>
          <w:szCs w:val="24"/>
        </w:rPr>
      </w:pPr>
      <w:r>
        <w:rPr>
          <w:rFonts w:ascii="SimSun" w:hAnsi="SimSun" w:eastAsia="SimSun" w:cs="SimSun"/>
          <w:sz w:val="24"/>
          <w:szCs w:val="24"/>
          <w:spacing w:val="-2"/>
        </w:rPr>
        <w:t>①废包装袋</w:t>
      </w:r>
    </w:p>
    <w:p>
      <w:pPr>
        <w:ind w:left="37" w:right="28" w:firstLine="492"/>
        <w:spacing w:before="186" w:line="32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）废包装物来自原毛包的解包工序，其主要成分为高密度聚乙</w:t>
      </w:r>
      <w:r>
        <w:rPr>
          <w:rFonts w:ascii="SimSun" w:hAnsi="SimSun" w:eastAsia="SimSun" w:cs="SimSun"/>
          <w:sz w:val="24"/>
          <w:szCs w:val="24"/>
          <w:spacing w:val="-2"/>
        </w:rPr>
        <w:t>烯（包布）</w:t>
      </w:r>
      <w:r>
        <w:rPr>
          <w:rFonts w:ascii="SimSun" w:hAnsi="SimSun" w:eastAsia="SimSun" w:cs="SimSun"/>
          <w:sz w:val="24"/>
          <w:szCs w:val="24"/>
        </w:rPr>
        <w:t xml:space="preserve"> </w:t>
      </w:r>
      <w:r>
        <w:rPr>
          <w:rFonts w:ascii="SimSun" w:hAnsi="SimSun" w:eastAsia="SimSun" w:cs="SimSun"/>
          <w:sz w:val="24"/>
          <w:szCs w:val="24"/>
          <w:spacing w:val="3"/>
        </w:rPr>
        <w:t>和钢丝（包索</w:t>
      </w:r>
      <w:r>
        <w:rPr>
          <w:rFonts w:ascii="SimSun" w:hAnsi="SimSun" w:eastAsia="SimSun" w:cs="SimSun"/>
          <w:sz w:val="24"/>
          <w:szCs w:val="24"/>
          <w:spacing w:val="9"/>
        </w:rPr>
        <w:t>），</w:t>
      </w:r>
      <w:r>
        <w:rPr>
          <w:rFonts w:ascii="SimSun" w:hAnsi="SimSun" w:eastAsia="SimSun" w:cs="SimSun"/>
          <w:sz w:val="24"/>
          <w:szCs w:val="24"/>
          <w:spacing w:val="3"/>
        </w:rPr>
        <w:t>年产生废包装袋约</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3"/>
        </w:rPr>
        <w:t>30</w:t>
      </w:r>
      <w:r>
        <w:rPr>
          <w:rFonts w:ascii="Times New Roman" w:hAnsi="Times New Roman" w:eastAsia="Times New Roman" w:cs="Times New Roman"/>
          <w:sz w:val="24"/>
          <w:szCs w:val="24"/>
          <w:spacing w:val="22"/>
          <w:w w:val="101"/>
        </w:rPr>
        <w:t xml:space="preserve"> </w:t>
      </w:r>
      <w:r>
        <w:rPr>
          <w:rFonts w:ascii="SimSun" w:hAnsi="SimSun" w:eastAsia="SimSun" w:cs="SimSun"/>
          <w:sz w:val="24"/>
          <w:szCs w:val="24"/>
          <w:spacing w:val="3"/>
        </w:rPr>
        <w:t>万个，每个约</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3"/>
        </w:rPr>
        <w:t>0.</w:t>
      </w:r>
      <w:r>
        <w:rPr>
          <w:rFonts w:ascii="Times New Roman" w:hAnsi="Times New Roman" w:eastAsia="Times New Roman" w:cs="Times New Roman"/>
          <w:sz w:val="24"/>
          <w:szCs w:val="24"/>
          <w:spacing w:val="2"/>
        </w:rPr>
        <w:t>25</w:t>
      </w:r>
      <w:r>
        <w:rPr>
          <w:rFonts w:ascii="Times New Roman" w:hAnsi="Times New Roman" w:eastAsia="Times New Roman" w:cs="Times New Roman"/>
          <w:sz w:val="24"/>
          <w:szCs w:val="24"/>
        </w:rPr>
        <w:t>kg</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2"/>
        </w:rPr>
        <w:t>，年产生废包装物</w:t>
      </w:r>
      <w:r>
        <w:rPr>
          <w:rFonts w:ascii="SimSun" w:hAnsi="SimSun" w:eastAsia="SimSun" w:cs="SimSun"/>
          <w:sz w:val="24"/>
          <w:szCs w:val="24"/>
        </w:rPr>
        <w:t xml:space="preserve"> </w:t>
      </w:r>
      <w:r>
        <w:rPr>
          <w:rFonts w:ascii="SimSun" w:hAnsi="SimSun" w:eastAsia="SimSun" w:cs="SimSun"/>
          <w:sz w:val="24"/>
          <w:szCs w:val="24"/>
          <w:spacing w:val="-1"/>
        </w:rPr>
        <w:t>约</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1"/>
        </w:rPr>
        <w:t>75t</w:t>
      </w:r>
      <w:r>
        <w:rPr>
          <w:rFonts w:ascii="SimSun" w:hAnsi="SimSun" w:eastAsia="SimSun" w:cs="SimSun"/>
          <w:sz w:val="24"/>
          <w:szCs w:val="24"/>
          <w:spacing w:val="-1"/>
        </w:rPr>
        <w:t>，属于一般固废，在一般固废暂存库内扎</w:t>
      </w:r>
      <w:r>
        <w:rPr>
          <w:rFonts w:ascii="SimSun" w:hAnsi="SimSun" w:eastAsia="SimSun" w:cs="SimSun"/>
          <w:sz w:val="24"/>
          <w:szCs w:val="24"/>
          <w:spacing w:val="-2"/>
        </w:rPr>
        <w:t>捆临时贮存，定期外售废品回收企</w:t>
      </w:r>
      <w:r>
        <w:rPr>
          <w:rFonts w:ascii="SimSun" w:hAnsi="SimSun" w:eastAsia="SimSun" w:cs="SimSun"/>
          <w:sz w:val="24"/>
          <w:szCs w:val="24"/>
        </w:rPr>
        <w:t xml:space="preserve"> </w:t>
      </w:r>
      <w:r>
        <w:rPr>
          <w:rFonts w:ascii="SimSun" w:hAnsi="SimSun" w:eastAsia="SimSun" w:cs="SimSun"/>
          <w:sz w:val="24"/>
          <w:szCs w:val="24"/>
          <w:spacing w:val="-2"/>
        </w:rPr>
        <w:t>业综合利用。</w:t>
      </w:r>
    </w:p>
    <w:p>
      <w:pPr>
        <w:ind w:left="39" w:right="29" w:firstLine="504"/>
        <w:spacing w:before="179" w:line="312"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2</w:t>
      </w:r>
      <w:r>
        <w:rPr>
          <w:rFonts w:ascii="SimSun" w:hAnsi="SimSun" w:eastAsia="SimSun" w:cs="SimSun"/>
          <w:sz w:val="24"/>
          <w:szCs w:val="24"/>
          <w:spacing w:val="5"/>
        </w:rPr>
        <w:t>）分选杂物来自分选工序，主要成分为砂石、木块等，根据物料平衡分</w:t>
      </w:r>
      <w:r>
        <w:rPr>
          <w:rFonts w:ascii="SimSun" w:hAnsi="SimSun" w:eastAsia="SimSun" w:cs="SimSun"/>
          <w:sz w:val="24"/>
          <w:szCs w:val="24"/>
          <w:spacing w:val="14"/>
        </w:rPr>
        <w:t xml:space="preserve"> </w:t>
      </w:r>
      <w:r>
        <w:rPr>
          <w:rFonts w:ascii="SimSun" w:hAnsi="SimSun" w:eastAsia="SimSun" w:cs="SimSun"/>
          <w:sz w:val="24"/>
          <w:szCs w:val="24"/>
          <w:spacing w:val="5"/>
        </w:rPr>
        <w:t>析，年产生量约</w:t>
      </w:r>
      <w:r>
        <w:rPr>
          <w:rFonts w:ascii="SimSun" w:hAnsi="SimSun" w:eastAsia="SimSun" w:cs="SimSun"/>
          <w:sz w:val="24"/>
          <w:szCs w:val="24"/>
          <w:spacing w:val="-16"/>
        </w:rPr>
        <w:t xml:space="preserve"> </w:t>
      </w:r>
      <w:r>
        <w:rPr>
          <w:rFonts w:ascii="Times New Roman" w:hAnsi="Times New Roman" w:eastAsia="Times New Roman" w:cs="Times New Roman"/>
          <w:sz w:val="24"/>
          <w:szCs w:val="24"/>
          <w:spacing w:val="5"/>
        </w:rPr>
        <w:t>1850t/a</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5"/>
        </w:rPr>
        <w:t>，属于一般固废，根据其成分特征，在一般固废暂存间</w:t>
      </w:r>
      <w:r>
        <w:rPr>
          <w:rFonts w:ascii="SimSun" w:hAnsi="SimSun" w:eastAsia="SimSun" w:cs="SimSun"/>
          <w:sz w:val="24"/>
          <w:szCs w:val="24"/>
        </w:rPr>
        <w:t xml:space="preserve"> </w:t>
      </w:r>
      <w:r>
        <w:rPr>
          <w:rFonts w:ascii="SimSun" w:hAnsi="SimSun" w:eastAsia="SimSun" w:cs="SimSun"/>
          <w:sz w:val="24"/>
          <w:szCs w:val="24"/>
          <w:spacing w:val="5"/>
        </w:rPr>
        <w:t>贮存，定期外运委托当地环卫部门清运处理。</w:t>
      </w:r>
    </w:p>
    <w:p>
      <w:pPr>
        <w:ind w:left="37" w:right="34" w:firstLine="506"/>
        <w:spacing w:before="185" w:line="331"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）开松杂质来自原毛开松除杂工序，主要成分为杂草、泥沙、羊粪便等，</w:t>
      </w:r>
      <w:r>
        <w:rPr>
          <w:rFonts w:ascii="SimSun" w:hAnsi="SimSun" w:eastAsia="SimSun" w:cs="SimSun"/>
          <w:sz w:val="24"/>
          <w:szCs w:val="24"/>
          <w:spacing w:val="9"/>
        </w:rPr>
        <w:t xml:space="preserve"> </w:t>
      </w:r>
      <w:r>
        <w:rPr>
          <w:rFonts w:ascii="SimSun" w:hAnsi="SimSun" w:eastAsia="SimSun" w:cs="SimSun"/>
          <w:sz w:val="24"/>
          <w:szCs w:val="24"/>
          <w:spacing w:val="4"/>
        </w:rPr>
        <w:t>根据物料平衡分析，年产生量约</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4"/>
        </w:rPr>
        <w:t>7882.85t/a</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4"/>
        </w:rPr>
        <w:t>，属于一般固</w:t>
      </w:r>
      <w:r>
        <w:rPr>
          <w:rFonts w:ascii="SimSun" w:hAnsi="SimSun" w:eastAsia="SimSun" w:cs="SimSun"/>
          <w:sz w:val="24"/>
          <w:szCs w:val="24"/>
          <w:spacing w:val="3"/>
        </w:rPr>
        <w:t>废，在一般固废暂存间</w:t>
      </w:r>
      <w:r>
        <w:rPr>
          <w:rFonts w:ascii="SimSun" w:hAnsi="SimSun" w:eastAsia="SimSun" w:cs="SimSun"/>
          <w:sz w:val="24"/>
          <w:szCs w:val="24"/>
        </w:rPr>
        <w:t xml:space="preserve"> </w:t>
      </w:r>
      <w:r>
        <w:rPr>
          <w:rFonts w:ascii="SimSun" w:hAnsi="SimSun" w:eastAsia="SimSun" w:cs="SimSun"/>
          <w:sz w:val="24"/>
          <w:szCs w:val="24"/>
          <w:spacing w:val="10"/>
        </w:rPr>
        <w:t>内袋装暂存，根据其成分特征，外运内蒙古盎</w:t>
      </w:r>
      <w:r>
        <w:rPr>
          <w:rFonts w:ascii="SimSun" w:hAnsi="SimSun" w:eastAsia="SimSun" w:cs="SimSun"/>
          <w:sz w:val="24"/>
          <w:szCs w:val="24"/>
          <w:spacing w:val="9"/>
        </w:rPr>
        <w:t>然农业发展有限公司有机肥厂做</w:t>
      </w:r>
      <w:r>
        <w:rPr>
          <w:rFonts w:ascii="SimSun" w:hAnsi="SimSun" w:eastAsia="SimSun" w:cs="SimSun"/>
          <w:sz w:val="24"/>
          <w:szCs w:val="24"/>
        </w:rPr>
        <w:t xml:space="preserve"> </w:t>
      </w:r>
      <w:r>
        <w:rPr>
          <w:rFonts w:ascii="SimSun" w:hAnsi="SimSun" w:eastAsia="SimSun" w:cs="SimSun"/>
          <w:sz w:val="24"/>
          <w:szCs w:val="24"/>
          <w:spacing w:val="10"/>
        </w:rPr>
        <w:t>有机肥，待内蒙古源浩羊绒制品有限公司废弃</w:t>
      </w:r>
      <w:r>
        <w:rPr>
          <w:rFonts w:ascii="SimSun" w:hAnsi="SimSun" w:eastAsia="SimSun" w:cs="SimSun"/>
          <w:sz w:val="24"/>
          <w:szCs w:val="24"/>
          <w:spacing w:val="9"/>
        </w:rPr>
        <w:t>物高效循环利用项目（二期）有</w:t>
      </w:r>
      <w:r>
        <w:rPr>
          <w:rFonts w:ascii="SimSun" w:hAnsi="SimSun" w:eastAsia="SimSun" w:cs="SimSun"/>
          <w:sz w:val="24"/>
          <w:szCs w:val="24"/>
        </w:rPr>
        <w:t xml:space="preserve"> </w:t>
      </w:r>
      <w:r>
        <w:rPr>
          <w:rFonts w:ascii="SimSun" w:hAnsi="SimSun" w:eastAsia="SimSun" w:cs="SimSun"/>
          <w:sz w:val="24"/>
          <w:szCs w:val="24"/>
          <w:spacing w:val="6"/>
        </w:rPr>
        <w:t>机肥生产线建成后用于生产有机肥。</w:t>
      </w:r>
    </w:p>
    <w:p>
      <w:pPr>
        <w:ind w:left="38" w:right="36" w:firstLine="505"/>
        <w:spacing w:before="185" w:line="312"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4</w:t>
      </w:r>
      <w:r>
        <w:rPr>
          <w:rFonts w:ascii="SimSun" w:hAnsi="SimSun" w:eastAsia="SimSun" w:cs="SimSun"/>
          <w:sz w:val="24"/>
          <w:szCs w:val="24"/>
          <w:spacing w:val="5"/>
        </w:rPr>
        <w:t>）开松除杂布袋除尘器收集粉尘，主要成分为细颗粒的羊粪、碎毛、泥</w:t>
      </w:r>
      <w:r>
        <w:rPr>
          <w:rFonts w:ascii="SimSun" w:hAnsi="SimSun" w:eastAsia="SimSun" w:cs="SimSun"/>
          <w:sz w:val="24"/>
          <w:szCs w:val="24"/>
          <w:spacing w:val="14"/>
        </w:rPr>
        <w:t xml:space="preserve"> </w:t>
      </w:r>
      <w:r>
        <w:rPr>
          <w:rFonts w:ascii="SimSun" w:hAnsi="SimSun" w:eastAsia="SimSun" w:cs="SimSun"/>
          <w:sz w:val="24"/>
          <w:szCs w:val="24"/>
          <w:spacing w:val="3"/>
        </w:rPr>
        <w:t>土等，根据废气排放分析，收集粉尘产生量为</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3"/>
        </w:rPr>
        <w:t>0.</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3"/>
        </w:rPr>
        <w:t>148t/a</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3"/>
        </w:rPr>
        <w:t>，在一般固废暂存间内袋</w:t>
      </w:r>
      <w:r>
        <w:rPr>
          <w:rFonts w:ascii="SimSun" w:hAnsi="SimSun" w:eastAsia="SimSun" w:cs="SimSun"/>
          <w:sz w:val="24"/>
          <w:szCs w:val="24"/>
        </w:rPr>
        <w:t xml:space="preserve"> </w:t>
      </w:r>
      <w:r>
        <w:rPr>
          <w:rFonts w:ascii="SimSun" w:hAnsi="SimSun" w:eastAsia="SimSun" w:cs="SimSun"/>
          <w:sz w:val="24"/>
          <w:szCs w:val="24"/>
          <w:spacing w:val="7"/>
        </w:rPr>
        <w:t>装暂存，外运内蒙古盎然农业发展有限公司有机肥厂做有机肥。</w:t>
      </w:r>
    </w:p>
    <w:p>
      <w:pPr>
        <w:ind w:left="39" w:right="25" w:firstLine="504"/>
        <w:spacing w:before="180" w:line="289" w:lineRule="auto"/>
        <w:rPr>
          <w:rFonts w:ascii="SimSun" w:hAnsi="SimSun" w:eastAsia="SimSun" w:cs="SimSun"/>
          <w:sz w:val="24"/>
          <w:szCs w:val="24"/>
        </w:rPr>
      </w:pPr>
      <w:r>
        <w:rPr>
          <w:rFonts w:ascii="SimSun" w:hAnsi="SimSun" w:eastAsia="SimSun" w:cs="SimSun"/>
          <w:sz w:val="24"/>
          <w:szCs w:val="24"/>
          <w:spacing w:val="6"/>
        </w:rPr>
        <w:t>（</w:t>
      </w:r>
      <w:r>
        <w:rPr>
          <w:rFonts w:ascii="Times New Roman" w:hAnsi="Times New Roman" w:eastAsia="Times New Roman" w:cs="Times New Roman"/>
          <w:sz w:val="24"/>
          <w:szCs w:val="24"/>
          <w:spacing w:val="6"/>
        </w:rPr>
        <w:t>5</w:t>
      </w:r>
      <w:r>
        <w:rPr>
          <w:rFonts w:ascii="SimSun" w:hAnsi="SimSun" w:eastAsia="SimSun" w:cs="SimSun"/>
          <w:sz w:val="24"/>
          <w:szCs w:val="24"/>
          <w:spacing w:val="6"/>
        </w:rPr>
        <w:t>）废水收集池沉淀杂质来自于洗毛车间废水收集池，</w:t>
      </w:r>
      <w:r>
        <w:rPr>
          <w:rFonts w:ascii="SimSun" w:hAnsi="SimSun" w:eastAsia="SimSun" w:cs="SimSun"/>
          <w:sz w:val="24"/>
          <w:szCs w:val="24"/>
          <w:spacing w:val="5"/>
        </w:rPr>
        <w:t>主要成分为泥沙、</w:t>
      </w:r>
      <w:r>
        <w:rPr>
          <w:rFonts w:ascii="SimSun" w:hAnsi="SimSun" w:eastAsia="SimSun" w:cs="SimSun"/>
          <w:sz w:val="24"/>
          <w:szCs w:val="24"/>
        </w:rPr>
        <w:t xml:space="preserve"> </w:t>
      </w:r>
      <w:r>
        <w:rPr>
          <w:rFonts w:ascii="SimSun" w:hAnsi="SimSun" w:eastAsia="SimSun" w:cs="SimSun"/>
          <w:sz w:val="24"/>
          <w:szCs w:val="24"/>
          <w:spacing w:val="4"/>
        </w:rPr>
        <w:t>石子等，根据物料平衡分析，年产生量约</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4"/>
        </w:rPr>
        <w:t>242t/a</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25"/>
        </w:rPr>
        <w:t>，，</w:t>
      </w:r>
      <w:r>
        <w:rPr>
          <w:rFonts w:ascii="SimSun" w:hAnsi="SimSun" w:eastAsia="SimSun" w:cs="SimSun"/>
          <w:sz w:val="24"/>
          <w:szCs w:val="24"/>
          <w:spacing w:val="4"/>
        </w:rPr>
        <w:t>属于一般固废</w:t>
      </w:r>
      <w:r>
        <w:rPr>
          <w:rFonts w:ascii="SimSun" w:hAnsi="SimSun" w:eastAsia="SimSun" w:cs="SimSun"/>
          <w:sz w:val="24"/>
          <w:szCs w:val="24"/>
          <w:spacing w:val="3"/>
        </w:rPr>
        <w:t>，根据其成分</w:t>
      </w:r>
    </w:p>
    <w:p>
      <w:pPr>
        <w:spacing w:line="289" w:lineRule="auto"/>
        <w:sectPr>
          <w:headerReference w:type="default" r:id="rId113"/>
          <w:footerReference w:type="default" r:id="rId114"/>
          <w:pgSz w:w="11907" w:h="16840"/>
          <w:pgMar w:top="1567" w:right="1673" w:bottom="1481" w:left="1672" w:header="1221" w:footer="1250" w:gutter="0"/>
        </w:sectPr>
        <w:rPr>
          <w:rFonts w:ascii="SimSun" w:hAnsi="SimSun" w:eastAsia="SimSun" w:cs="SimSun"/>
          <w:sz w:val="24"/>
          <w:szCs w:val="24"/>
        </w:rPr>
      </w:pPr>
    </w:p>
    <w:p>
      <w:pPr>
        <w:ind w:left="9"/>
        <w:spacing w:before="169" w:line="219" w:lineRule="auto"/>
        <w:rPr>
          <w:rFonts w:ascii="SimSun" w:hAnsi="SimSun" w:eastAsia="SimSun" w:cs="SimSun"/>
          <w:sz w:val="24"/>
          <w:szCs w:val="24"/>
        </w:rPr>
      </w:pPr>
      <w:r>
        <w:pict>
          <v:shape id="_x0000_s530" style="position:absolute;margin-left:85.05pt;margin-top:78.87pt;mso-position-vertical-relative:page;mso-position-horizontal-relative:page;width:425.25pt;height:0.75pt;z-index:251893760;" o:allowincell="f" fillcolor="#000000" filled="true" stroked="false" coordsize="8505,15" coordorigin="0,0" path="m,l8505,0l8505,14l0,14l0,0xe"/>
        </w:pict>
      </w:r>
      <w:r>
        <w:rPr>
          <w:rFonts w:ascii="SimSun" w:hAnsi="SimSun" w:eastAsia="SimSun" w:cs="SimSun"/>
          <w:sz w:val="24"/>
          <w:szCs w:val="24"/>
          <w:spacing w:val="6"/>
        </w:rPr>
        <w:t>特征，定期外运委托当地环卫部门清运处理。</w:t>
      </w:r>
    </w:p>
    <w:p>
      <w:pPr>
        <w:ind w:left="8" w:right="68" w:firstLine="506"/>
        <w:spacing w:before="178" w:line="313"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6</w:t>
      </w:r>
      <w:r>
        <w:rPr>
          <w:rFonts w:ascii="SimSun" w:hAnsi="SimSun" w:eastAsia="SimSun" w:cs="SimSun"/>
          <w:sz w:val="24"/>
          <w:szCs w:val="24"/>
          <w:spacing w:val="5"/>
        </w:rPr>
        <w:t>）梳绒短纤维及杂毛来自梳绒工序产生，主要成分为短纤维及杂毛，根</w:t>
      </w:r>
      <w:r>
        <w:rPr>
          <w:rFonts w:ascii="SimSun" w:hAnsi="SimSun" w:eastAsia="SimSun" w:cs="SimSun"/>
          <w:sz w:val="24"/>
          <w:szCs w:val="24"/>
          <w:spacing w:val="14"/>
        </w:rPr>
        <w:t xml:space="preserve"> </w:t>
      </w:r>
      <w:r>
        <w:rPr>
          <w:rFonts w:ascii="SimSun" w:hAnsi="SimSun" w:eastAsia="SimSun" w:cs="SimSun"/>
          <w:sz w:val="24"/>
          <w:szCs w:val="24"/>
          <w:spacing w:val="7"/>
        </w:rPr>
        <w:t>据物料平衡分析，年产生量约</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7"/>
        </w:rPr>
        <w:t>244.94t/a</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7"/>
        </w:rPr>
        <w:t>，属于一般固废，袋装</w:t>
      </w:r>
      <w:r>
        <w:rPr>
          <w:rFonts w:ascii="SimSun" w:hAnsi="SimSun" w:eastAsia="SimSun" w:cs="SimSun"/>
          <w:sz w:val="24"/>
          <w:szCs w:val="24"/>
          <w:spacing w:val="6"/>
        </w:rPr>
        <w:t>后在洗净毛库房</w:t>
      </w:r>
      <w:r>
        <w:rPr>
          <w:rFonts w:ascii="SimSun" w:hAnsi="SimSun" w:eastAsia="SimSun" w:cs="SimSun"/>
          <w:sz w:val="24"/>
          <w:szCs w:val="24"/>
        </w:rPr>
        <w:t xml:space="preserve"> </w:t>
      </w:r>
      <w:r>
        <w:rPr>
          <w:rFonts w:ascii="SimSun" w:hAnsi="SimSun" w:eastAsia="SimSun" w:cs="SimSun"/>
          <w:sz w:val="24"/>
          <w:szCs w:val="24"/>
          <w:spacing w:val="6"/>
        </w:rPr>
        <w:t>内分隔贮存，定期外售综合利用（工业毛毡等）。</w:t>
      </w:r>
    </w:p>
    <w:p>
      <w:pPr>
        <w:ind w:left="4" w:right="61" w:firstLine="511"/>
        <w:spacing w:before="184" w:line="312"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7</w:t>
      </w:r>
      <w:r>
        <w:rPr>
          <w:rFonts w:ascii="SimSun" w:hAnsi="SimSun" w:eastAsia="SimSun" w:cs="SimSun"/>
          <w:sz w:val="24"/>
          <w:szCs w:val="24"/>
        </w:rPr>
        <w:t>）沼气脱硫装置脱硫剂每</w:t>
      </w:r>
      <w:r>
        <w:rPr>
          <w:rFonts w:ascii="SimSun" w:hAnsi="SimSun" w:eastAsia="SimSun" w:cs="SimSun"/>
          <w:sz w:val="24"/>
          <w:szCs w:val="24"/>
          <w:spacing w:val="-32"/>
        </w:rPr>
        <w:t xml:space="preserve"> </w:t>
      </w:r>
      <w:r>
        <w:rPr>
          <w:rFonts w:ascii="Times New Roman" w:hAnsi="Times New Roman" w:eastAsia="Times New Roman" w:cs="Times New Roman"/>
          <w:sz w:val="24"/>
          <w:szCs w:val="24"/>
        </w:rPr>
        <w:t>180 </w:t>
      </w:r>
      <w:r>
        <w:rPr>
          <w:rFonts w:ascii="SimSun" w:hAnsi="SimSun" w:eastAsia="SimSun" w:cs="SimSun"/>
          <w:sz w:val="24"/>
          <w:szCs w:val="24"/>
        </w:rPr>
        <w:t>天更换一次，废</w:t>
      </w:r>
      <w:r>
        <w:rPr>
          <w:rFonts w:ascii="SimSun" w:hAnsi="SimSun" w:eastAsia="SimSun" w:cs="SimSun"/>
          <w:sz w:val="24"/>
          <w:szCs w:val="24"/>
          <w:spacing w:val="-1"/>
        </w:rPr>
        <w:t>脱硫剂主要成分为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Fe</w:t>
      </w:r>
      <w:r>
        <w:rPr>
          <w:rFonts w:ascii="Times New Roman" w:hAnsi="Times New Roman" w:eastAsia="Times New Roman" w:cs="Times New Roman"/>
          <w:sz w:val="15"/>
          <w:szCs w:val="15"/>
          <w:spacing w:val="-1"/>
        </w:rPr>
        <w:t>2</w:t>
      </w:r>
      <w:r>
        <w:rPr>
          <w:rFonts w:ascii="Times New Roman" w:hAnsi="Times New Roman" w:eastAsia="Times New Roman" w:cs="Times New Roman"/>
          <w:sz w:val="24"/>
          <w:szCs w:val="24"/>
          <w:spacing w:val="-1"/>
        </w:rPr>
        <w:t>O</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1"/>
        </w:rPr>
        <w:t>、</w:t>
      </w:r>
      <w:r>
        <w:rPr>
          <w:rFonts w:ascii="SimSun" w:hAnsi="SimSun" w:eastAsia="SimSun" w:cs="SimSun"/>
          <w:sz w:val="24"/>
          <w:szCs w:val="24"/>
        </w:rPr>
        <w:t xml:space="preserve"> </w:t>
      </w:r>
      <w:r>
        <w:rPr>
          <w:rFonts w:ascii="Times New Roman" w:hAnsi="Times New Roman" w:eastAsia="Times New Roman" w:cs="Times New Roman"/>
          <w:sz w:val="24"/>
          <w:szCs w:val="24"/>
          <w:spacing w:val="-4"/>
        </w:rPr>
        <w:t>Fe</w:t>
      </w:r>
      <w:r>
        <w:rPr>
          <w:rFonts w:ascii="Times New Roman" w:hAnsi="Times New Roman" w:eastAsia="Times New Roman" w:cs="Times New Roman"/>
          <w:sz w:val="15"/>
          <w:szCs w:val="15"/>
          <w:spacing w:val="-4"/>
        </w:rPr>
        <w:t>2</w:t>
      </w:r>
      <w:r>
        <w:rPr>
          <w:rFonts w:ascii="Times New Roman" w:hAnsi="Times New Roman" w:eastAsia="Times New Roman" w:cs="Times New Roman"/>
          <w:sz w:val="24"/>
          <w:szCs w:val="24"/>
          <w:spacing w:val="-4"/>
        </w:rPr>
        <w:t>S</w:t>
      </w:r>
      <w:r>
        <w:rPr>
          <w:rFonts w:ascii="Times New Roman" w:hAnsi="Times New Roman" w:eastAsia="Times New Roman" w:cs="Times New Roman"/>
          <w:sz w:val="15"/>
          <w:szCs w:val="15"/>
          <w:spacing w:val="-4"/>
          <w:position w:val="-1"/>
        </w:rPr>
        <w:t>3</w:t>
      </w:r>
      <w:r>
        <w:rPr>
          <w:rFonts w:ascii="Times New Roman" w:hAnsi="Times New Roman" w:eastAsia="Times New Roman" w:cs="Times New Roman"/>
          <w:sz w:val="15"/>
          <w:szCs w:val="15"/>
          <w:spacing w:val="28"/>
          <w:w w:val="101"/>
          <w:position w:val="-1"/>
        </w:rPr>
        <w:t xml:space="preserve"> </w:t>
      </w:r>
      <w:r>
        <w:rPr>
          <w:rFonts w:ascii="SimSun" w:hAnsi="SimSun" w:eastAsia="SimSun" w:cs="SimSun"/>
          <w:sz w:val="24"/>
          <w:szCs w:val="24"/>
          <w:spacing w:val="-4"/>
        </w:rPr>
        <w:t>及单质硫，年产生量为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7.</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4"/>
        </w:rPr>
        <w:t>1t/a</w:t>
      </w:r>
      <w:r>
        <w:rPr>
          <w:rFonts w:ascii="SimSun" w:hAnsi="SimSun" w:eastAsia="SimSun" w:cs="SimSun"/>
          <w:sz w:val="24"/>
          <w:szCs w:val="24"/>
          <w:spacing w:val="-4"/>
        </w:rPr>
        <w:t>。废脱硫剂属于不溶性无机物，无毒无害；属于</w:t>
      </w:r>
      <w:r>
        <w:rPr>
          <w:rFonts w:ascii="SimSun" w:hAnsi="SimSun" w:eastAsia="SimSun" w:cs="SimSun"/>
          <w:sz w:val="24"/>
          <w:szCs w:val="24"/>
        </w:rPr>
        <w:t xml:space="preserve"> </w:t>
      </w:r>
      <w:r>
        <w:rPr>
          <w:rFonts w:ascii="SimSun" w:hAnsi="SimSun" w:eastAsia="SimSun" w:cs="SimSun"/>
          <w:sz w:val="24"/>
          <w:szCs w:val="24"/>
        </w:rPr>
        <w:t>一般固废，在一般固体废弃物贮存库内袋装暂存，由</w:t>
      </w:r>
      <w:r>
        <w:rPr>
          <w:rFonts w:ascii="SimSun" w:hAnsi="SimSun" w:eastAsia="SimSun" w:cs="SimSun"/>
          <w:sz w:val="24"/>
          <w:szCs w:val="24"/>
          <w:spacing w:val="-1"/>
        </w:rPr>
        <w:t>厂家回收。</w:t>
      </w:r>
    </w:p>
    <w:p>
      <w:pPr>
        <w:ind w:left="10" w:right="59" w:firstLine="491"/>
        <w:spacing w:before="182" w:line="32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8</w:t>
      </w:r>
      <w:r>
        <w:rPr>
          <w:rFonts w:ascii="SimSun" w:hAnsi="SimSun" w:eastAsia="SimSun" w:cs="SimSun"/>
          <w:sz w:val="24"/>
          <w:szCs w:val="24"/>
          <w:spacing w:val="1"/>
        </w:rPr>
        <w:t>）锅炉房纯水制备装置采用反渗透制备工艺，运行过程中</w:t>
      </w:r>
      <w:r>
        <w:rPr>
          <w:rFonts w:ascii="Times New Roman" w:hAnsi="Times New Roman" w:eastAsia="Times New Roman" w:cs="Times New Roman"/>
          <w:sz w:val="24"/>
          <w:szCs w:val="24"/>
        </w:rPr>
        <w:t>RO</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膜、过滤器</w:t>
      </w:r>
      <w:r>
        <w:rPr>
          <w:rFonts w:ascii="SimSun" w:hAnsi="SimSun" w:eastAsia="SimSun" w:cs="SimSun"/>
          <w:sz w:val="24"/>
          <w:szCs w:val="24"/>
          <w:spacing w:val="14"/>
        </w:rPr>
        <w:t xml:space="preserve"> </w:t>
      </w:r>
      <w:r>
        <w:rPr>
          <w:rFonts w:ascii="SimSun" w:hAnsi="SimSun" w:eastAsia="SimSun" w:cs="SimSun"/>
          <w:sz w:val="24"/>
          <w:szCs w:val="24"/>
          <w:spacing w:val="-1"/>
        </w:rPr>
        <w:t>组件需要定期，更换周期</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3</w:t>
      </w:r>
      <w:r>
        <w:rPr>
          <w:rFonts w:ascii="SimSun" w:hAnsi="SimSun" w:eastAsia="SimSun" w:cs="SimSun"/>
          <w:sz w:val="24"/>
          <w:szCs w:val="24"/>
          <w:spacing w:val="-1"/>
        </w:rPr>
        <w:t>～</w:t>
      </w:r>
      <w:r>
        <w:rPr>
          <w:rFonts w:ascii="Times New Roman" w:hAnsi="Times New Roman" w:eastAsia="Times New Roman" w:cs="Times New Roman"/>
          <w:sz w:val="24"/>
          <w:szCs w:val="24"/>
          <w:spacing w:val="-1"/>
        </w:rPr>
        <w:t>5 </w:t>
      </w:r>
      <w:r>
        <w:rPr>
          <w:rFonts w:ascii="SimSun" w:hAnsi="SimSun" w:eastAsia="SimSun" w:cs="SimSun"/>
          <w:sz w:val="24"/>
          <w:szCs w:val="24"/>
          <w:spacing w:val="-1"/>
        </w:rPr>
        <w:t>年，更换产生废</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RO </w:t>
      </w:r>
      <w:r>
        <w:rPr>
          <w:rFonts w:ascii="SimSun" w:hAnsi="SimSun" w:eastAsia="SimSun" w:cs="SimSun"/>
          <w:sz w:val="24"/>
          <w:szCs w:val="24"/>
          <w:spacing w:val="-1"/>
        </w:rPr>
        <w:t>膜、废过滤器组件，产生量为</w:t>
      </w:r>
      <w:r>
        <w:rPr>
          <w:rFonts w:ascii="SimSun" w:hAnsi="SimSun" w:eastAsia="SimSun" w:cs="SimSun"/>
          <w:sz w:val="24"/>
          <w:szCs w:val="24"/>
        </w:rPr>
        <w:t xml:space="preserve"> </w:t>
      </w:r>
      <w:r>
        <w:rPr>
          <w:rFonts w:ascii="Times New Roman" w:hAnsi="Times New Roman" w:eastAsia="Times New Roman" w:cs="Times New Roman"/>
          <w:sz w:val="24"/>
          <w:szCs w:val="24"/>
          <w:spacing w:val="5"/>
        </w:rPr>
        <w:t>3.5t/a</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5"/>
        </w:rPr>
        <w:t>，属于一般工业固废，更换后在一般固体废弃物贮存库内暂存，</w:t>
      </w:r>
      <w:r>
        <w:rPr>
          <w:rFonts w:ascii="SimSun" w:hAnsi="SimSun" w:eastAsia="SimSun" w:cs="SimSun"/>
          <w:sz w:val="24"/>
          <w:szCs w:val="24"/>
          <w:spacing w:val="-70"/>
        </w:rPr>
        <w:t xml:space="preserve"> </w:t>
      </w:r>
      <w:r>
        <w:rPr>
          <w:rFonts w:ascii="SimSun" w:hAnsi="SimSun" w:eastAsia="SimSun" w:cs="SimSun"/>
          <w:sz w:val="24"/>
          <w:szCs w:val="24"/>
          <w:spacing w:val="5"/>
        </w:rPr>
        <w:t>由其生产</w:t>
      </w:r>
      <w:r>
        <w:rPr>
          <w:rFonts w:ascii="SimSun" w:hAnsi="SimSun" w:eastAsia="SimSun" w:cs="SimSun"/>
          <w:sz w:val="24"/>
          <w:szCs w:val="24"/>
        </w:rPr>
        <w:t xml:space="preserve"> </w:t>
      </w:r>
      <w:r>
        <w:rPr>
          <w:rFonts w:ascii="SimSun" w:hAnsi="SimSun" w:eastAsia="SimSun" w:cs="SimSun"/>
          <w:sz w:val="24"/>
          <w:szCs w:val="24"/>
          <w:spacing w:val="-2"/>
        </w:rPr>
        <w:t>厂家回收。</w:t>
      </w:r>
    </w:p>
    <w:p>
      <w:pPr>
        <w:ind w:left="8" w:right="59" w:firstLine="506"/>
        <w:spacing w:before="183" w:line="312"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9</w:t>
      </w:r>
      <w:r>
        <w:rPr>
          <w:rFonts w:ascii="SimSun" w:hAnsi="SimSun" w:eastAsia="SimSun" w:cs="SimSun"/>
          <w:sz w:val="24"/>
          <w:szCs w:val="24"/>
          <w:spacing w:val="5"/>
        </w:rPr>
        <w:t>）锅炉草木灰来自生物质锅炉燃烧生物质燃料产生，包含炉渣和除尘灰</w:t>
      </w:r>
      <w:r>
        <w:rPr>
          <w:rFonts w:ascii="SimSun" w:hAnsi="SimSun" w:eastAsia="SimSun" w:cs="SimSun"/>
          <w:sz w:val="24"/>
          <w:szCs w:val="24"/>
          <w:spacing w:val="14"/>
        </w:rPr>
        <w:t xml:space="preserve"> </w:t>
      </w:r>
      <w:r>
        <w:rPr>
          <w:rFonts w:ascii="SimSun" w:hAnsi="SimSun" w:eastAsia="SimSun" w:cs="SimSun"/>
          <w:sz w:val="24"/>
          <w:szCs w:val="24"/>
          <w:spacing w:val="4"/>
        </w:rPr>
        <w:t>两部分，主要成分为草木灰，年产生量为</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4"/>
        </w:rPr>
        <w:t>279.8t/a</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4"/>
        </w:rPr>
        <w:t>，属于一般固废，装袋后在一</w:t>
      </w:r>
      <w:r>
        <w:rPr>
          <w:rFonts w:ascii="SimSun" w:hAnsi="SimSun" w:eastAsia="SimSun" w:cs="SimSun"/>
          <w:sz w:val="24"/>
          <w:szCs w:val="24"/>
        </w:rPr>
        <w:t xml:space="preserve"> </w:t>
      </w:r>
      <w:r>
        <w:rPr>
          <w:rFonts w:ascii="SimSun" w:hAnsi="SimSun" w:eastAsia="SimSun" w:cs="SimSun"/>
          <w:sz w:val="24"/>
          <w:szCs w:val="24"/>
          <w:spacing w:val="-1"/>
        </w:rPr>
        <w:t>般固体废弃物贮存库内暂存，定期外售作为肥料还田。</w:t>
      </w:r>
    </w:p>
    <w:p>
      <w:pPr>
        <w:ind w:left="11" w:right="68" w:firstLine="503"/>
        <w:spacing w:before="181" w:line="29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10</w:t>
      </w:r>
      <w:r>
        <w:rPr>
          <w:rFonts w:ascii="SimSun" w:hAnsi="SimSun" w:eastAsia="SimSun" w:cs="SimSun"/>
          <w:sz w:val="24"/>
          <w:szCs w:val="24"/>
          <w:spacing w:val="3"/>
        </w:rPr>
        <w:t>）布袋除尘器定期更换破损布袋，废布袋更换量约</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3"/>
        </w:rPr>
        <w:t>0.5t/a</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3"/>
        </w:rPr>
        <w:t>，由其生产厂</w:t>
      </w:r>
      <w:r>
        <w:rPr>
          <w:rFonts w:ascii="SimSun" w:hAnsi="SimSun" w:eastAsia="SimSun" w:cs="SimSun"/>
          <w:sz w:val="24"/>
          <w:szCs w:val="24"/>
        </w:rPr>
        <w:t xml:space="preserve"> </w:t>
      </w:r>
      <w:r>
        <w:rPr>
          <w:rFonts w:ascii="SimSun" w:hAnsi="SimSun" w:eastAsia="SimSun" w:cs="SimSun"/>
          <w:sz w:val="24"/>
          <w:szCs w:val="24"/>
          <w:spacing w:val="1"/>
        </w:rPr>
        <w:t>家回收。</w:t>
      </w:r>
    </w:p>
    <w:p>
      <w:pPr>
        <w:ind w:left="490"/>
        <w:spacing w:before="183" w:line="220" w:lineRule="auto"/>
        <w:rPr>
          <w:rFonts w:ascii="SimSun" w:hAnsi="SimSun" w:eastAsia="SimSun" w:cs="SimSun"/>
          <w:sz w:val="24"/>
          <w:szCs w:val="24"/>
        </w:rPr>
      </w:pPr>
      <w:r>
        <w:rPr>
          <w:rFonts w:ascii="Times New Roman" w:hAnsi="Times New Roman" w:eastAsia="Times New Roman" w:cs="Times New Roman"/>
          <w:sz w:val="24"/>
          <w:szCs w:val="24"/>
          <w:spacing w:val="-6"/>
        </w:rPr>
        <w:t>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6"/>
        </w:rPr>
        <w:t>、危险废物</w:t>
      </w:r>
    </w:p>
    <w:p>
      <w:pPr>
        <w:ind w:left="8" w:right="61" w:firstLine="480"/>
        <w:spacing w:before="181" w:line="324" w:lineRule="auto"/>
        <w:rPr>
          <w:rFonts w:ascii="SimSun" w:hAnsi="SimSun" w:eastAsia="SimSun" w:cs="SimSun"/>
          <w:sz w:val="24"/>
          <w:szCs w:val="24"/>
        </w:rPr>
      </w:pPr>
      <w:r>
        <w:rPr>
          <w:rFonts w:ascii="SimSun" w:hAnsi="SimSun" w:eastAsia="SimSun" w:cs="SimSun"/>
          <w:sz w:val="24"/>
          <w:szCs w:val="24"/>
          <w:spacing w:val="10"/>
        </w:rPr>
        <w:t>①废水收集池等恶臭气体处理采用活性炭吸附，活性炭吸附恶臭气体量为</w:t>
      </w:r>
      <w:r>
        <w:rPr>
          <w:rFonts w:ascii="SimSun" w:hAnsi="SimSun" w:eastAsia="SimSun" w:cs="SimSun"/>
          <w:sz w:val="24"/>
          <w:szCs w:val="24"/>
          <w:spacing w:val="13"/>
        </w:rPr>
        <w:t xml:space="preserve"> </w:t>
      </w:r>
      <w:r>
        <w:rPr>
          <w:rFonts w:ascii="Times New Roman" w:hAnsi="Times New Roman" w:eastAsia="Times New Roman" w:cs="Times New Roman"/>
          <w:sz w:val="24"/>
          <w:szCs w:val="24"/>
          <w:spacing w:val="-3"/>
        </w:rPr>
        <w:t>0.2t/t-</w:t>
      </w:r>
      <w:r>
        <w:rPr>
          <w:rFonts w:ascii="SimSun" w:hAnsi="SimSun" w:eastAsia="SimSun" w:cs="SimSun"/>
          <w:sz w:val="24"/>
          <w:szCs w:val="24"/>
          <w:spacing w:val="-3"/>
        </w:rPr>
        <w:t>活性炭，根据恶臭气体去除量（约</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2.72t/a</w:t>
      </w:r>
      <w:r>
        <w:rPr>
          <w:rFonts w:ascii="SimSun" w:hAnsi="SimSun" w:eastAsia="SimSun" w:cs="SimSun"/>
          <w:sz w:val="24"/>
          <w:szCs w:val="24"/>
          <w:spacing w:val="1"/>
        </w:rPr>
        <w:t>），</w:t>
      </w:r>
      <w:r>
        <w:rPr>
          <w:rFonts w:ascii="SimSun" w:hAnsi="SimSun" w:eastAsia="SimSun" w:cs="SimSun"/>
          <w:sz w:val="24"/>
          <w:szCs w:val="24"/>
          <w:spacing w:val="-3"/>
        </w:rPr>
        <w:t>废活性炭年产生量为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13.6t</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，被</w:t>
      </w:r>
      <w:r>
        <w:rPr>
          <w:rFonts w:ascii="SimSun" w:hAnsi="SimSun" w:eastAsia="SimSun" w:cs="SimSun"/>
          <w:sz w:val="24"/>
          <w:szCs w:val="24"/>
        </w:rPr>
        <w:t xml:space="preserve"> </w:t>
      </w:r>
      <w:r>
        <w:rPr>
          <w:rFonts w:ascii="SimSun" w:hAnsi="SimSun" w:eastAsia="SimSun" w:cs="SimSun"/>
          <w:sz w:val="24"/>
          <w:szCs w:val="24"/>
          <w:spacing w:val="5"/>
        </w:rPr>
        <w:t>列入《国家危险废物名录（</w:t>
      </w:r>
      <w:r>
        <w:rPr>
          <w:rFonts w:ascii="Times New Roman" w:hAnsi="Times New Roman" w:eastAsia="Times New Roman" w:cs="Times New Roman"/>
          <w:sz w:val="24"/>
          <w:szCs w:val="24"/>
          <w:spacing w:val="5"/>
        </w:rPr>
        <w:t>2025 </w:t>
      </w:r>
      <w:r>
        <w:rPr>
          <w:rFonts w:ascii="SimSun" w:hAnsi="SimSun" w:eastAsia="SimSun" w:cs="SimSun"/>
          <w:sz w:val="24"/>
          <w:szCs w:val="24"/>
          <w:spacing w:val="5"/>
        </w:rPr>
        <w:t>年）》中，危废类别为</w:t>
      </w:r>
      <w:r>
        <w:rPr>
          <w:rFonts w:ascii="SimSun" w:hAnsi="SimSun" w:eastAsia="SimSun" w:cs="SimSun"/>
          <w:sz w:val="24"/>
          <w:szCs w:val="24"/>
          <w:spacing w:val="-34"/>
        </w:rPr>
        <w:t xml:space="preserve"> </w:t>
      </w:r>
      <w:r>
        <w:rPr>
          <w:rFonts w:ascii="Times New Roman" w:hAnsi="Times New Roman" w:eastAsia="Times New Roman" w:cs="Times New Roman"/>
          <w:sz w:val="24"/>
          <w:szCs w:val="24"/>
        </w:rPr>
        <w:t>HW</w:t>
      </w:r>
      <w:r>
        <w:rPr>
          <w:rFonts w:ascii="Times New Roman" w:hAnsi="Times New Roman" w:eastAsia="Times New Roman" w:cs="Times New Roman"/>
          <w:sz w:val="24"/>
          <w:szCs w:val="24"/>
          <w:spacing w:val="5"/>
        </w:rPr>
        <w:t>49</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5"/>
        </w:rPr>
        <w:t>其他废物，危废</w:t>
      </w:r>
      <w:r>
        <w:rPr>
          <w:rFonts w:ascii="SimSun" w:hAnsi="SimSun" w:eastAsia="SimSun" w:cs="SimSun"/>
          <w:sz w:val="24"/>
          <w:szCs w:val="24"/>
        </w:rPr>
        <w:t xml:space="preserve"> </w:t>
      </w:r>
      <w:r>
        <w:rPr>
          <w:rFonts w:ascii="SimSun" w:hAnsi="SimSun" w:eastAsia="SimSun" w:cs="SimSun"/>
          <w:sz w:val="24"/>
          <w:szCs w:val="24"/>
        </w:rPr>
        <w:t>代码为</w:t>
      </w:r>
      <w:r>
        <w:rPr>
          <w:rFonts w:ascii="SimSun" w:hAnsi="SimSun" w:eastAsia="SimSun" w:cs="SimSun"/>
          <w:sz w:val="24"/>
          <w:szCs w:val="24"/>
          <w:spacing w:val="-31"/>
        </w:rPr>
        <w:t xml:space="preserve"> </w:t>
      </w:r>
      <w:r>
        <w:rPr>
          <w:rFonts w:ascii="Times New Roman" w:hAnsi="Times New Roman" w:eastAsia="Times New Roman" w:cs="Times New Roman"/>
          <w:sz w:val="24"/>
          <w:szCs w:val="24"/>
        </w:rPr>
        <w:t>900-039-49</w:t>
      </w:r>
      <w:r>
        <w:rPr>
          <w:rFonts w:ascii="Times New Roman" w:hAnsi="Times New Roman" w:eastAsia="Times New Roman" w:cs="Times New Roman"/>
          <w:sz w:val="24"/>
          <w:szCs w:val="24"/>
          <w:spacing w:val="-26"/>
        </w:rPr>
        <w:t xml:space="preserve"> </w:t>
      </w:r>
      <w:r>
        <w:rPr>
          <w:rFonts w:ascii="SimSun" w:hAnsi="SimSun" w:eastAsia="SimSun" w:cs="SimSun"/>
          <w:sz w:val="24"/>
          <w:szCs w:val="24"/>
        </w:rPr>
        <w:t>，属于危险废物，暂存于危废暂存间，委托有资质单位处置。</w:t>
      </w:r>
    </w:p>
    <w:p>
      <w:pPr>
        <w:ind w:left="5" w:right="61" w:firstLine="482"/>
        <w:spacing w:before="182" w:line="324" w:lineRule="auto"/>
        <w:rPr>
          <w:rFonts w:ascii="SimSun" w:hAnsi="SimSun" w:eastAsia="SimSun" w:cs="SimSun"/>
          <w:sz w:val="24"/>
          <w:szCs w:val="24"/>
        </w:rPr>
      </w:pPr>
      <w:r>
        <w:rPr>
          <w:rFonts w:ascii="SimSun" w:hAnsi="SimSun" w:eastAsia="SimSun" w:cs="SimSun"/>
          <w:sz w:val="24"/>
          <w:szCs w:val="24"/>
          <w:spacing w:val="3"/>
        </w:rPr>
        <w:t>②设备保养、检修、维修产生的废矿物油，主要</w:t>
      </w:r>
      <w:r>
        <w:rPr>
          <w:rFonts w:ascii="SimSun" w:hAnsi="SimSun" w:eastAsia="SimSun" w:cs="SimSun"/>
          <w:sz w:val="24"/>
          <w:szCs w:val="24"/>
          <w:spacing w:val="2"/>
        </w:rPr>
        <w:t>废润滑油等，被列入《国家</w:t>
      </w:r>
      <w:r>
        <w:rPr>
          <w:rFonts w:ascii="SimSun" w:hAnsi="SimSun" w:eastAsia="SimSun" w:cs="SimSun"/>
          <w:sz w:val="24"/>
          <w:szCs w:val="24"/>
        </w:rPr>
        <w:t xml:space="preserve"> </w:t>
      </w:r>
      <w:r>
        <w:rPr>
          <w:rFonts w:ascii="SimSun" w:hAnsi="SimSun" w:eastAsia="SimSun" w:cs="SimSun"/>
          <w:sz w:val="24"/>
          <w:szCs w:val="24"/>
          <w:spacing w:val="6"/>
        </w:rPr>
        <w:t>危险废物名录（</w:t>
      </w:r>
      <w:r>
        <w:rPr>
          <w:rFonts w:ascii="Times New Roman" w:hAnsi="Times New Roman" w:eastAsia="Times New Roman" w:cs="Times New Roman"/>
          <w:sz w:val="24"/>
          <w:szCs w:val="24"/>
          <w:spacing w:val="6"/>
        </w:rPr>
        <w:t>2025</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6"/>
        </w:rPr>
        <w:t>年）》中，危废类别为</w:t>
      </w:r>
      <w:r>
        <w:rPr>
          <w:rFonts w:ascii="SimSun" w:hAnsi="SimSun" w:eastAsia="SimSun" w:cs="SimSun"/>
          <w:sz w:val="24"/>
          <w:szCs w:val="24"/>
          <w:spacing w:val="-44"/>
        </w:rPr>
        <w:t xml:space="preserve"> </w:t>
      </w:r>
      <w:r>
        <w:rPr>
          <w:rFonts w:ascii="Times New Roman" w:hAnsi="Times New Roman" w:eastAsia="Times New Roman" w:cs="Times New Roman"/>
          <w:sz w:val="24"/>
          <w:szCs w:val="24"/>
        </w:rPr>
        <w:t>HW</w:t>
      </w:r>
      <w:r>
        <w:rPr>
          <w:rFonts w:ascii="Times New Roman" w:hAnsi="Times New Roman" w:eastAsia="Times New Roman" w:cs="Times New Roman"/>
          <w:sz w:val="24"/>
          <w:szCs w:val="24"/>
          <w:spacing w:val="6"/>
        </w:rPr>
        <w:t>08</w:t>
      </w:r>
      <w:r>
        <w:rPr>
          <w:rFonts w:ascii="Times New Roman" w:hAnsi="Times New Roman" w:eastAsia="Times New Roman" w:cs="Times New Roman"/>
          <w:sz w:val="24"/>
          <w:szCs w:val="24"/>
          <w:spacing w:val="5"/>
        </w:rPr>
        <w:t xml:space="preserve"> </w:t>
      </w:r>
      <w:r>
        <w:rPr>
          <w:rFonts w:ascii="SimSun" w:hAnsi="SimSun" w:eastAsia="SimSun" w:cs="SimSun"/>
          <w:sz w:val="24"/>
          <w:szCs w:val="24"/>
          <w:spacing w:val="5"/>
        </w:rPr>
        <w:t>废矿物油与含矿物油废物，</w:t>
      </w:r>
      <w:r>
        <w:rPr>
          <w:rFonts w:ascii="SimSun" w:hAnsi="SimSun" w:eastAsia="SimSun" w:cs="SimSun"/>
          <w:sz w:val="24"/>
          <w:szCs w:val="24"/>
        </w:rPr>
        <w:t xml:space="preserve"> </w:t>
      </w:r>
      <w:r>
        <w:rPr>
          <w:rFonts w:ascii="SimSun" w:hAnsi="SimSun" w:eastAsia="SimSun" w:cs="SimSun"/>
          <w:sz w:val="24"/>
          <w:szCs w:val="24"/>
          <w:spacing w:val="3"/>
        </w:rPr>
        <w:t>危废代码为</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3"/>
        </w:rPr>
        <w:t>900-214-08</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900-217-08</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900-249-08</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3"/>
        </w:rPr>
        <w:t>，</w:t>
      </w:r>
      <w:r>
        <w:rPr>
          <w:rFonts w:ascii="SimSun" w:hAnsi="SimSun" w:eastAsia="SimSun" w:cs="SimSun"/>
          <w:sz w:val="24"/>
          <w:szCs w:val="24"/>
          <w:spacing w:val="2"/>
        </w:rPr>
        <w:t>属于危险废物，年产生量为</w:t>
      </w:r>
      <w:r>
        <w:rPr>
          <w:rFonts w:ascii="SimSun" w:hAnsi="SimSun" w:eastAsia="SimSun" w:cs="SimSun"/>
          <w:sz w:val="24"/>
          <w:szCs w:val="24"/>
        </w:rPr>
        <w:t xml:space="preserve"> </w:t>
      </w:r>
      <w:r>
        <w:rPr>
          <w:rFonts w:ascii="Times New Roman" w:hAnsi="Times New Roman" w:eastAsia="Times New Roman" w:cs="Times New Roman"/>
          <w:sz w:val="24"/>
          <w:szCs w:val="24"/>
          <w:spacing w:val="-1"/>
        </w:rPr>
        <w:t>2.73t/a</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，桶装后在危废暂存间内分隔暂存，委托有资质单位处</w:t>
      </w:r>
      <w:r>
        <w:rPr>
          <w:rFonts w:ascii="SimSun" w:hAnsi="SimSun" w:eastAsia="SimSun" w:cs="SimSun"/>
          <w:sz w:val="24"/>
          <w:szCs w:val="24"/>
          <w:spacing w:val="-2"/>
        </w:rPr>
        <w:t>理。</w:t>
      </w:r>
    </w:p>
    <w:p>
      <w:pPr>
        <w:ind w:left="11" w:firstLine="476"/>
        <w:spacing w:before="183" w:line="324" w:lineRule="auto"/>
        <w:rPr>
          <w:rFonts w:ascii="SimSun" w:hAnsi="SimSun" w:eastAsia="SimSun" w:cs="SimSun"/>
          <w:sz w:val="24"/>
          <w:szCs w:val="24"/>
        </w:rPr>
      </w:pPr>
      <w:r>
        <w:rPr>
          <w:rFonts w:ascii="SimSun" w:hAnsi="SimSun" w:eastAsia="SimSun" w:cs="SimSun"/>
          <w:sz w:val="24"/>
          <w:szCs w:val="24"/>
          <w:spacing w:val="3"/>
        </w:rPr>
        <w:t>③本项目生产过程中生产设备检修、保养、维护，润滑油定期更</w:t>
      </w:r>
      <w:r>
        <w:rPr>
          <w:rFonts w:ascii="SimSun" w:hAnsi="SimSun" w:eastAsia="SimSun" w:cs="SimSun"/>
          <w:sz w:val="24"/>
          <w:szCs w:val="24"/>
          <w:spacing w:val="2"/>
        </w:rPr>
        <w:t>换等，使用</w:t>
      </w:r>
      <w:r>
        <w:rPr>
          <w:rFonts w:ascii="SimSun" w:hAnsi="SimSun" w:eastAsia="SimSun" w:cs="SimSun"/>
          <w:sz w:val="24"/>
          <w:szCs w:val="24"/>
        </w:rPr>
        <w:t xml:space="preserve"> </w:t>
      </w:r>
      <w:r>
        <w:rPr>
          <w:rFonts w:ascii="SimSun" w:hAnsi="SimSun" w:eastAsia="SimSun" w:cs="SimSun"/>
          <w:sz w:val="24"/>
          <w:szCs w:val="24"/>
          <w:spacing w:val="7"/>
        </w:rPr>
        <w:t>润滑油等产生废油桶，被列入《国家危险废物名录（</w:t>
      </w:r>
      <w:r>
        <w:rPr>
          <w:rFonts w:ascii="Times New Roman" w:hAnsi="Times New Roman" w:eastAsia="Times New Roman" w:cs="Times New Roman"/>
          <w:sz w:val="24"/>
          <w:szCs w:val="24"/>
          <w:spacing w:val="7"/>
        </w:rPr>
        <w:t>2025</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6"/>
        </w:rPr>
        <w:t>年）》中，危废类别</w:t>
      </w:r>
      <w:r>
        <w:rPr>
          <w:rFonts w:ascii="SimSun" w:hAnsi="SimSun" w:eastAsia="SimSun" w:cs="SimSun"/>
          <w:sz w:val="24"/>
          <w:szCs w:val="24"/>
        </w:rPr>
        <w:t xml:space="preserve"> </w:t>
      </w:r>
      <w:r>
        <w:rPr>
          <w:rFonts w:ascii="SimSun" w:hAnsi="SimSun" w:eastAsia="SimSun" w:cs="SimSun"/>
          <w:sz w:val="24"/>
          <w:szCs w:val="24"/>
          <w:spacing w:val="-3"/>
        </w:rPr>
        <w:t>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HW08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废矿物油与含矿物油废物，危废代码为</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4"/>
        </w:rPr>
        <w:t>900-249-08</w:t>
      </w:r>
      <w:r>
        <w:rPr>
          <w:rFonts w:ascii="SimSun" w:hAnsi="SimSun" w:eastAsia="SimSun" w:cs="SimSun"/>
          <w:sz w:val="24"/>
          <w:szCs w:val="24"/>
          <w:spacing w:val="-4"/>
        </w:rPr>
        <w:t>，年产生量为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0.26t/a</w:t>
      </w:r>
      <w:r>
        <w:rPr>
          <w:rFonts w:ascii="SimSun" w:hAnsi="SimSun" w:eastAsia="SimSun" w:cs="SimSun"/>
          <w:sz w:val="24"/>
          <w:szCs w:val="24"/>
          <w:spacing w:val="-4"/>
        </w:rPr>
        <w:t>，</w:t>
      </w:r>
      <w:r>
        <w:rPr>
          <w:rFonts w:ascii="SimSun" w:hAnsi="SimSun" w:eastAsia="SimSun" w:cs="SimSun"/>
          <w:sz w:val="24"/>
          <w:szCs w:val="24"/>
        </w:rPr>
        <w:t xml:space="preserve"> </w:t>
      </w:r>
      <w:r>
        <w:rPr>
          <w:rFonts w:ascii="SimSun" w:hAnsi="SimSun" w:eastAsia="SimSun" w:cs="SimSun"/>
          <w:sz w:val="24"/>
          <w:szCs w:val="24"/>
          <w:spacing w:val="-1"/>
        </w:rPr>
        <w:t>属于危险废物，在危废暂存间内暂存，定期委托有资质单位处理。</w:t>
      </w:r>
    </w:p>
    <w:p>
      <w:pPr>
        <w:ind w:left="5312"/>
        <w:spacing w:before="264" w:line="227" w:lineRule="auto"/>
        <w:rPr>
          <w:rFonts w:ascii="SimSun" w:hAnsi="SimSun" w:eastAsia="SimSun" w:cs="SimSun"/>
          <w:sz w:val="19"/>
          <w:szCs w:val="19"/>
        </w:rPr>
      </w:pPr>
      <w:r>
        <w:pict>
          <v:shape id="_x0000_s532" style="position:absolute;margin-left:205.883pt;margin-top:12.2032pt;mso-position-vertical-relative:text;mso-position-horizontal-relative:text;width:60.35pt;height:13.75pt;z-index:251892736;"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position w:val="2"/>
                    </w:rPr>
                    <w:t>106       </w:t>
                  </w:r>
                  <w:r>
                    <w:rPr>
                      <w:rFonts w:ascii="SimSun" w:hAnsi="SimSun" w:eastAsia="SimSun" w:cs="SimSun"/>
                      <w:sz w:val="19"/>
                      <w:szCs w:val="19"/>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16"/>
          <w:footerReference w:type="default" r:id="rId3"/>
          <w:pgSz w:w="11907" w:h="16840"/>
          <w:pgMar w:top="1567" w:right="1640" w:bottom="400" w:left="1701" w:header="1221" w:footer="0" w:gutter="0"/>
        </w:sectPr>
        <w:rPr>
          <w:rFonts w:ascii="SimSun" w:hAnsi="SimSun" w:eastAsia="SimSun" w:cs="SimSun"/>
          <w:sz w:val="19"/>
          <w:szCs w:val="19"/>
        </w:rPr>
      </w:pPr>
    </w:p>
    <w:p>
      <w:pPr>
        <w:ind w:left="498"/>
        <w:spacing w:before="187" w:line="219" w:lineRule="auto"/>
        <w:rPr>
          <w:rFonts w:ascii="SimSun" w:hAnsi="SimSun" w:eastAsia="SimSun" w:cs="SimSun"/>
          <w:sz w:val="24"/>
          <w:szCs w:val="24"/>
        </w:rPr>
      </w:pPr>
      <w:r>
        <w:pict>
          <v:shape id="_x0000_s534" style="position:absolute;margin-left:85.05pt;margin-top:79.11pt;mso-position-vertical-relative:page;mso-position-horizontal-relative:page;width:425.25pt;height:0.75pt;z-index:251895808;" o:allowincell="f" fillcolor="#000000" filled="true" stroked="false" coordsize="8505,15" coordorigin="0,0" path="m,l8505,0l8505,14l0,14l0,0xe"/>
        </w:pict>
      </w:r>
      <w:r>
        <w:rPr>
          <w:rFonts w:ascii="SimSun" w:hAnsi="SimSun" w:eastAsia="SimSun" w:cs="SimSun"/>
          <w:sz w:val="24"/>
          <w:szCs w:val="24"/>
          <w:spacing w:val="-1"/>
        </w:rPr>
        <w:t>本项目固体废物产生情况及处置措施详见表</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3.5-10</w:t>
      </w:r>
      <w:r>
        <w:rPr>
          <w:rFonts w:ascii="SimSun" w:hAnsi="SimSun" w:eastAsia="SimSun" w:cs="SimSun"/>
          <w:sz w:val="24"/>
          <w:szCs w:val="24"/>
          <w:spacing w:val="-1"/>
        </w:rPr>
        <w:t>。</w:t>
      </w:r>
    </w:p>
    <w:p>
      <w:pPr>
        <w:ind w:left="1687"/>
        <w:spacing w:before="181" w:line="212" w:lineRule="auto"/>
        <w:rPr>
          <w:rFonts w:ascii="Times New Roman" w:hAnsi="Times New Roman" w:eastAsia="Times New Roman" w:cs="Times New Roman"/>
          <w:sz w:val="24"/>
          <w:szCs w:val="24"/>
        </w:rPr>
      </w:pPr>
      <w:r>
        <w:rPr>
          <w:rFonts w:ascii="SimSun" w:hAnsi="SimSun" w:eastAsia="SimSun" w:cs="SimSun"/>
          <w:sz w:val="24"/>
          <w:szCs w:val="24"/>
          <w:b/>
          <w:bCs/>
          <w:spacing w:val="-2"/>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2"/>
        </w:rPr>
        <w:t>3.5-10      </w:t>
      </w:r>
      <w:r>
        <w:rPr>
          <w:rFonts w:ascii="SimSun" w:hAnsi="SimSun" w:eastAsia="SimSun" w:cs="SimSun"/>
          <w:sz w:val="24"/>
          <w:szCs w:val="24"/>
          <w:b/>
          <w:bCs/>
          <w:spacing w:val="-2"/>
        </w:rPr>
        <w:t>固废污染源排放一览表</w:t>
      </w:r>
      <w:r>
        <w:rPr>
          <w:rFonts w:ascii="SimSun" w:hAnsi="SimSun" w:eastAsia="SimSun" w:cs="SimSun"/>
          <w:sz w:val="24"/>
          <w:szCs w:val="24"/>
          <w:spacing w:val="3"/>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t/a</w:t>
      </w:r>
    </w:p>
    <w:tbl>
      <w:tblPr>
        <w:tblStyle w:val="TableNormal"/>
        <w:tblW w:w="851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53"/>
        <w:gridCol w:w="145"/>
        <w:gridCol w:w="1466"/>
        <w:gridCol w:w="902"/>
        <w:gridCol w:w="1442"/>
        <w:gridCol w:w="989"/>
        <w:gridCol w:w="1606"/>
        <w:gridCol w:w="1611"/>
      </w:tblGrid>
      <w:tr>
        <w:trPr>
          <w:trHeight w:val="281" w:hRule="atLeast"/>
        </w:trPr>
        <w:tc>
          <w:tcPr>
            <w:tcW w:w="498" w:type="dxa"/>
            <w:vAlign w:val="top"/>
            <w:gridSpan w:val="2"/>
          </w:tcPr>
          <w:p>
            <w:pPr>
              <w:pStyle w:val="TableText"/>
              <w:ind w:left="44"/>
              <w:spacing w:before="35" w:line="217" w:lineRule="auto"/>
              <w:rPr/>
            </w:pPr>
            <w:r>
              <w:rPr>
                <w:spacing w:val="3"/>
              </w:rPr>
              <w:t>编号</w:t>
            </w:r>
          </w:p>
        </w:tc>
        <w:tc>
          <w:tcPr>
            <w:tcW w:w="1466" w:type="dxa"/>
            <w:vAlign w:val="top"/>
          </w:tcPr>
          <w:p>
            <w:pPr>
              <w:pStyle w:val="TableText"/>
              <w:ind w:left="333"/>
              <w:spacing w:before="35" w:line="217" w:lineRule="auto"/>
              <w:rPr/>
            </w:pPr>
            <w:r>
              <w:rPr>
                <w:spacing w:val="2"/>
              </w:rPr>
              <w:t>固废名称</w:t>
            </w:r>
          </w:p>
        </w:tc>
        <w:tc>
          <w:tcPr>
            <w:tcW w:w="902" w:type="dxa"/>
            <w:vAlign w:val="top"/>
          </w:tcPr>
          <w:p>
            <w:pPr>
              <w:pStyle w:val="TableText"/>
              <w:ind w:left="140"/>
              <w:spacing w:before="35" w:line="217" w:lineRule="auto"/>
              <w:rPr/>
            </w:pPr>
            <w:r>
              <w:rPr>
                <w:spacing w:val="6"/>
              </w:rPr>
              <w:t>产生量</w:t>
            </w:r>
          </w:p>
        </w:tc>
        <w:tc>
          <w:tcPr>
            <w:tcW w:w="1442" w:type="dxa"/>
            <w:vAlign w:val="top"/>
          </w:tcPr>
          <w:p>
            <w:pPr>
              <w:pStyle w:val="TableText"/>
              <w:ind w:left="308"/>
              <w:spacing w:before="35" w:line="217" w:lineRule="auto"/>
              <w:rPr/>
            </w:pPr>
            <w:r>
              <w:rPr>
                <w:spacing w:val="6"/>
              </w:rPr>
              <w:t>主要成分</w:t>
            </w:r>
          </w:p>
        </w:tc>
        <w:tc>
          <w:tcPr>
            <w:tcW w:w="989" w:type="dxa"/>
            <w:vAlign w:val="top"/>
          </w:tcPr>
          <w:p>
            <w:pPr>
              <w:pStyle w:val="TableText"/>
              <w:ind w:left="291"/>
              <w:spacing w:before="35" w:line="217" w:lineRule="auto"/>
              <w:rPr/>
            </w:pPr>
            <w:r>
              <w:rPr>
                <w:spacing w:val="3"/>
              </w:rPr>
              <w:t>属性</w:t>
            </w:r>
          </w:p>
        </w:tc>
        <w:tc>
          <w:tcPr>
            <w:tcW w:w="1606" w:type="dxa"/>
            <w:vAlign w:val="top"/>
          </w:tcPr>
          <w:p>
            <w:pPr>
              <w:pStyle w:val="TableText"/>
              <w:ind w:left="391"/>
              <w:spacing w:before="35" w:line="217" w:lineRule="auto"/>
              <w:rPr/>
            </w:pPr>
            <w:r>
              <w:rPr>
                <w:spacing w:val="7"/>
              </w:rPr>
              <w:t>贮存位置</w:t>
            </w:r>
          </w:p>
        </w:tc>
        <w:tc>
          <w:tcPr>
            <w:tcW w:w="1611" w:type="dxa"/>
            <w:vAlign w:val="top"/>
          </w:tcPr>
          <w:p>
            <w:pPr>
              <w:pStyle w:val="TableText"/>
              <w:ind w:left="75"/>
              <w:spacing w:before="35" w:line="217" w:lineRule="auto"/>
              <w:rPr/>
            </w:pPr>
            <w:r>
              <w:rPr>
                <w:spacing w:val="8"/>
              </w:rPr>
              <w:t>拟采取处理措施</w:t>
            </w:r>
          </w:p>
        </w:tc>
      </w:tr>
      <w:tr>
        <w:trPr>
          <w:trHeight w:val="822" w:hRule="atLeast"/>
        </w:trPr>
        <w:tc>
          <w:tcPr>
            <w:tcW w:w="498" w:type="dxa"/>
            <w:vAlign w:val="top"/>
            <w:gridSpan w:val="2"/>
          </w:tcPr>
          <w:p>
            <w:pPr>
              <w:spacing w:line="281" w:lineRule="auto"/>
              <w:rPr>
                <w:rFonts w:ascii="Arial"/>
                <w:sz w:val="21"/>
              </w:rPr>
            </w:pPr>
            <w:r/>
          </w:p>
          <w:p>
            <w:pPr>
              <w:ind w:left="110"/>
              <w:spacing w:before="58"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1-1</w:t>
            </w:r>
          </w:p>
        </w:tc>
        <w:tc>
          <w:tcPr>
            <w:tcW w:w="1466" w:type="dxa"/>
            <w:vAlign w:val="top"/>
          </w:tcPr>
          <w:p>
            <w:pPr>
              <w:pStyle w:val="TableText"/>
              <w:ind w:left="314"/>
              <w:spacing w:before="305" w:line="228" w:lineRule="auto"/>
              <w:rPr/>
            </w:pPr>
            <w:r>
              <w:rPr>
                <w:spacing w:val="7"/>
              </w:rPr>
              <w:t>废包装物</w:t>
            </w:r>
          </w:p>
        </w:tc>
        <w:tc>
          <w:tcPr>
            <w:tcW w:w="902" w:type="dxa"/>
            <w:vAlign w:val="top"/>
          </w:tcPr>
          <w:p>
            <w:pPr>
              <w:spacing w:line="284" w:lineRule="auto"/>
              <w:rPr>
                <w:rFonts w:ascii="Arial"/>
                <w:sz w:val="21"/>
              </w:rPr>
            </w:pPr>
            <w:r/>
          </w:p>
          <w:p>
            <w:pPr>
              <w:ind w:left="348"/>
              <w:spacing w:before="5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75</w:t>
            </w:r>
          </w:p>
        </w:tc>
        <w:tc>
          <w:tcPr>
            <w:tcW w:w="1442" w:type="dxa"/>
            <w:vAlign w:val="top"/>
          </w:tcPr>
          <w:p>
            <w:pPr>
              <w:pStyle w:val="TableText"/>
              <w:ind w:left="18" w:right="3" w:firstLine="81"/>
              <w:spacing w:before="34" w:line="250" w:lineRule="auto"/>
              <w:rPr/>
            </w:pPr>
            <w:r>
              <w:rPr>
                <w:spacing w:val="7"/>
              </w:rPr>
              <w:t>高密度聚乙烯</w:t>
            </w:r>
            <w:r>
              <w:rPr/>
              <w:t xml:space="preserve">  </w:t>
            </w:r>
            <w:r>
              <w:rPr>
                <w:spacing w:val="2"/>
              </w:rPr>
              <w:t>（包布）和钢丝</w:t>
            </w:r>
          </w:p>
          <w:p>
            <w:pPr>
              <w:pStyle w:val="TableText"/>
              <w:ind w:left="316"/>
              <w:spacing w:before="1" w:line="217" w:lineRule="auto"/>
              <w:rPr/>
            </w:pPr>
            <w:r>
              <w:rPr>
                <w:spacing w:val="2"/>
              </w:rPr>
              <w:t>（包索）</w:t>
            </w:r>
          </w:p>
        </w:tc>
        <w:tc>
          <w:tcPr>
            <w:tcW w:w="989" w:type="dxa"/>
            <w:vAlign w:val="top"/>
          </w:tcPr>
          <w:p>
            <w:pPr>
              <w:pStyle w:val="TableText"/>
              <w:ind w:left="84"/>
              <w:spacing w:before="305" w:line="228" w:lineRule="auto"/>
              <w:rPr/>
            </w:pPr>
            <w:r>
              <w:rPr>
                <w:spacing w:val="6"/>
              </w:rPr>
              <w:t>一般固废</w:t>
            </w:r>
          </w:p>
        </w:tc>
        <w:tc>
          <w:tcPr>
            <w:tcW w:w="1606" w:type="dxa"/>
            <w:vAlign w:val="top"/>
          </w:tcPr>
          <w:p>
            <w:pPr>
              <w:pStyle w:val="TableText"/>
              <w:ind w:left="77"/>
              <w:spacing w:before="304" w:line="228" w:lineRule="auto"/>
              <w:rPr/>
            </w:pPr>
            <w:r>
              <w:rPr>
                <w:spacing w:val="8"/>
              </w:rPr>
              <w:t>一般固废暂存间</w:t>
            </w:r>
          </w:p>
        </w:tc>
        <w:tc>
          <w:tcPr>
            <w:tcW w:w="1611" w:type="dxa"/>
            <w:vAlign w:val="top"/>
          </w:tcPr>
          <w:p>
            <w:pPr>
              <w:pStyle w:val="TableText"/>
              <w:ind w:left="285" w:right="69" w:hanging="206"/>
              <w:spacing w:before="168" w:line="254" w:lineRule="auto"/>
              <w:rPr/>
            </w:pPr>
            <w:r>
              <w:rPr>
                <w:spacing w:val="8"/>
              </w:rPr>
              <w:t>外售废品回收企</w:t>
            </w:r>
            <w:r>
              <w:rPr/>
              <w:t xml:space="preserve"> </w:t>
            </w:r>
            <w:r>
              <w:rPr>
                <w:spacing w:val="8"/>
              </w:rPr>
              <w:t>业综合利用</w:t>
            </w:r>
          </w:p>
        </w:tc>
      </w:tr>
      <w:tr>
        <w:trPr>
          <w:trHeight w:val="549" w:hRule="atLeast"/>
        </w:trPr>
        <w:tc>
          <w:tcPr>
            <w:tcW w:w="498" w:type="dxa"/>
            <w:vAlign w:val="top"/>
            <w:gridSpan w:val="2"/>
          </w:tcPr>
          <w:p>
            <w:pPr>
              <w:ind w:left="110"/>
              <w:spacing w:before="205"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1-2</w:t>
            </w:r>
          </w:p>
        </w:tc>
        <w:tc>
          <w:tcPr>
            <w:tcW w:w="1466" w:type="dxa"/>
            <w:vAlign w:val="top"/>
          </w:tcPr>
          <w:p>
            <w:pPr>
              <w:pStyle w:val="TableText"/>
              <w:ind w:left="317"/>
              <w:spacing w:before="166" w:line="228" w:lineRule="auto"/>
              <w:rPr/>
            </w:pPr>
            <w:r>
              <w:rPr>
                <w:spacing w:val="6"/>
              </w:rPr>
              <w:t>分选杂物</w:t>
            </w:r>
          </w:p>
        </w:tc>
        <w:tc>
          <w:tcPr>
            <w:tcW w:w="902" w:type="dxa"/>
            <w:vAlign w:val="top"/>
          </w:tcPr>
          <w:p>
            <w:pPr>
              <w:ind w:left="262"/>
              <w:spacing w:before="2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1850</w:t>
            </w:r>
          </w:p>
        </w:tc>
        <w:tc>
          <w:tcPr>
            <w:tcW w:w="1442" w:type="dxa"/>
            <w:vAlign w:val="top"/>
          </w:tcPr>
          <w:p>
            <w:pPr>
              <w:pStyle w:val="TableText"/>
              <w:ind w:left="199"/>
              <w:spacing w:before="166" w:line="228" w:lineRule="auto"/>
              <w:rPr/>
            </w:pPr>
            <w:r>
              <w:rPr>
                <w:spacing w:val="8"/>
              </w:rPr>
              <w:t>砂石、木块</w:t>
            </w:r>
          </w:p>
        </w:tc>
        <w:tc>
          <w:tcPr>
            <w:tcW w:w="989" w:type="dxa"/>
            <w:vAlign w:val="top"/>
          </w:tcPr>
          <w:p>
            <w:pPr>
              <w:pStyle w:val="TableText"/>
              <w:ind w:left="84"/>
              <w:spacing w:before="166" w:line="228" w:lineRule="auto"/>
              <w:rPr/>
            </w:pPr>
            <w:r>
              <w:rPr>
                <w:spacing w:val="6"/>
              </w:rPr>
              <w:t>一般固废</w:t>
            </w:r>
          </w:p>
        </w:tc>
        <w:tc>
          <w:tcPr>
            <w:tcW w:w="1606" w:type="dxa"/>
            <w:vAlign w:val="top"/>
          </w:tcPr>
          <w:p>
            <w:pPr>
              <w:pStyle w:val="TableText"/>
              <w:ind w:left="77"/>
              <w:spacing w:before="166" w:line="228" w:lineRule="auto"/>
              <w:rPr/>
            </w:pPr>
            <w:r>
              <w:rPr>
                <w:spacing w:val="8"/>
              </w:rPr>
              <w:t>一般固废暂存间</w:t>
            </w:r>
          </w:p>
        </w:tc>
        <w:tc>
          <w:tcPr>
            <w:tcW w:w="1611" w:type="dxa"/>
            <w:vAlign w:val="top"/>
          </w:tcPr>
          <w:p>
            <w:pPr>
              <w:pStyle w:val="TableText"/>
              <w:ind w:left="309" w:right="69" w:hanging="235"/>
              <w:spacing w:before="32" w:line="234" w:lineRule="auto"/>
              <w:rPr/>
            </w:pPr>
            <w:r>
              <w:rPr>
                <w:spacing w:val="8"/>
              </w:rPr>
              <w:t>委托当地环卫部</w:t>
            </w:r>
            <w:r>
              <w:rPr>
                <w:spacing w:val="4"/>
              </w:rPr>
              <w:t xml:space="preserve"> </w:t>
            </w:r>
            <w:r>
              <w:rPr>
                <w:spacing w:val="3"/>
              </w:rPr>
              <w:t>门清运处理</w:t>
            </w:r>
          </w:p>
        </w:tc>
      </w:tr>
      <w:tr>
        <w:trPr>
          <w:trHeight w:val="2728" w:hRule="atLeast"/>
        </w:trPr>
        <w:tc>
          <w:tcPr>
            <w:tcW w:w="498" w:type="dxa"/>
            <w:vAlign w:val="top"/>
            <w:gridSpan w:val="2"/>
          </w:tcPr>
          <w:p>
            <w:pPr>
              <w:spacing w:line="245"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ind w:left="110"/>
              <w:spacing w:before="58" w:line="21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1-3</w:t>
            </w:r>
          </w:p>
        </w:tc>
        <w:tc>
          <w:tcPr>
            <w:tcW w:w="1466" w:type="dxa"/>
            <w:vAlign w:val="top"/>
          </w:tcPr>
          <w:p>
            <w:pPr>
              <w:spacing w:line="296" w:lineRule="auto"/>
              <w:rPr>
                <w:rFonts w:ascii="Arial"/>
                <w:sz w:val="21"/>
              </w:rPr>
            </w:pPr>
            <w:r/>
          </w:p>
          <w:p>
            <w:pPr>
              <w:spacing w:line="296" w:lineRule="auto"/>
              <w:rPr>
                <w:rFonts w:ascii="Arial"/>
                <w:sz w:val="21"/>
              </w:rPr>
            </w:pPr>
            <w:r/>
          </w:p>
          <w:p>
            <w:pPr>
              <w:spacing w:line="297" w:lineRule="auto"/>
              <w:rPr>
                <w:rFonts w:ascii="Arial"/>
                <w:sz w:val="21"/>
              </w:rPr>
            </w:pPr>
            <w:r/>
          </w:p>
          <w:p>
            <w:pPr>
              <w:spacing w:line="297" w:lineRule="auto"/>
              <w:rPr>
                <w:rFonts w:ascii="Arial"/>
                <w:sz w:val="21"/>
              </w:rPr>
            </w:pPr>
            <w:r/>
          </w:p>
          <w:p>
            <w:pPr>
              <w:pStyle w:val="TableText"/>
              <w:ind w:left="315"/>
              <w:spacing w:before="65" w:line="228" w:lineRule="auto"/>
              <w:rPr/>
            </w:pPr>
            <w:r>
              <w:rPr>
                <w:spacing w:val="7"/>
              </w:rPr>
              <w:t>开松杂质</w:t>
            </w:r>
          </w:p>
        </w:tc>
        <w:tc>
          <w:tcPr>
            <w:tcW w:w="902" w:type="dxa"/>
            <w:vAlign w:val="top"/>
          </w:tcPr>
          <w:p>
            <w:pPr>
              <w:spacing w:line="245"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ind w:left="11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7882.85</w:t>
            </w:r>
          </w:p>
        </w:tc>
        <w:tc>
          <w:tcPr>
            <w:tcW w:w="1442" w:type="dxa"/>
            <w:vAlign w:val="top"/>
          </w:tcPr>
          <w:p>
            <w:pPr>
              <w:spacing w:line="304" w:lineRule="auto"/>
              <w:rPr>
                <w:rFonts w:ascii="Arial"/>
                <w:sz w:val="21"/>
              </w:rPr>
            </w:pPr>
            <w:r/>
          </w:p>
          <w:p>
            <w:pPr>
              <w:spacing w:line="305" w:lineRule="auto"/>
              <w:rPr>
                <w:rFonts w:ascii="Arial"/>
                <w:sz w:val="21"/>
              </w:rPr>
            </w:pPr>
            <w:r/>
          </w:p>
          <w:p>
            <w:pPr>
              <w:spacing w:line="305" w:lineRule="auto"/>
              <w:rPr>
                <w:rFonts w:ascii="Arial"/>
                <w:sz w:val="21"/>
              </w:rPr>
            </w:pPr>
            <w:r/>
          </w:p>
          <w:p>
            <w:pPr>
              <w:pStyle w:val="TableText"/>
              <w:ind w:left="10"/>
              <w:spacing w:before="65" w:line="228" w:lineRule="auto"/>
              <w:rPr/>
            </w:pPr>
            <w:r>
              <w:rPr>
                <w:spacing w:val="3"/>
              </w:rPr>
              <w:t>杂草、泥沙、石</w:t>
            </w:r>
          </w:p>
          <w:p>
            <w:pPr>
              <w:pStyle w:val="TableText"/>
              <w:ind w:left="95"/>
              <w:spacing w:before="24" w:line="228" w:lineRule="auto"/>
              <w:rPr/>
            </w:pPr>
            <w:r>
              <w:rPr>
                <w:spacing w:val="8"/>
              </w:rPr>
              <w:t>子及少量的羊</w:t>
            </w:r>
          </w:p>
          <w:p>
            <w:pPr>
              <w:pStyle w:val="TableText"/>
              <w:ind w:left="413"/>
              <w:spacing w:before="25" w:line="228" w:lineRule="auto"/>
              <w:rPr/>
            </w:pPr>
            <w:r>
              <w:rPr>
                <w:spacing w:val="6"/>
              </w:rPr>
              <w:t>粪便等</w:t>
            </w:r>
          </w:p>
        </w:tc>
        <w:tc>
          <w:tcPr>
            <w:tcW w:w="989" w:type="dxa"/>
            <w:vAlign w:val="top"/>
          </w:tcPr>
          <w:p>
            <w:pPr>
              <w:spacing w:line="296" w:lineRule="auto"/>
              <w:rPr>
                <w:rFonts w:ascii="Arial"/>
                <w:sz w:val="21"/>
              </w:rPr>
            </w:pPr>
            <w:r/>
          </w:p>
          <w:p>
            <w:pPr>
              <w:spacing w:line="296" w:lineRule="auto"/>
              <w:rPr>
                <w:rFonts w:ascii="Arial"/>
                <w:sz w:val="21"/>
              </w:rPr>
            </w:pPr>
            <w:r/>
          </w:p>
          <w:p>
            <w:pPr>
              <w:spacing w:line="297" w:lineRule="auto"/>
              <w:rPr>
                <w:rFonts w:ascii="Arial"/>
                <w:sz w:val="21"/>
              </w:rPr>
            </w:pPr>
            <w:r/>
          </w:p>
          <w:p>
            <w:pPr>
              <w:spacing w:line="297" w:lineRule="auto"/>
              <w:rPr>
                <w:rFonts w:ascii="Arial"/>
                <w:sz w:val="21"/>
              </w:rPr>
            </w:pPr>
            <w:r/>
          </w:p>
          <w:p>
            <w:pPr>
              <w:pStyle w:val="TableText"/>
              <w:ind w:left="84"/>
              <w:spacing w:before="65" w:line="228" w:lineRule="auto"/>
              <w:rPr/>
            </w:pPr>
            <w:r>
              <w:rPr>
                <w:spacing w:val="6"/>
              </w:rPr>
              <w:t>一般固废</w:t>
            </w:r>
          </w:p>
        </w:tc>
        <w:tc>
          <w:tcPr>
            <w:tcW w:w="1606" w:type="dxa"/>
            <w:vAlign w:val="top"/>
          </w:tcPr>
          <w:p>
            <w:pPr>
              <w:spacing w:line="296" w:lineRule="auto"/>
              <w:rPr>
                <w:rFonts w:ascii="Arial"/>
                <w:sz w:val="21"/>
              </w:rPr>
            </w:pPr>
            <w:r/>
          </w:p>
          <w:p>
            <w:pPr>
              <w:spacing w:line="296" w:lineRule="auto"/>
              <w:rPr>
                <w:rFonts w:ascii="Arial"/>
                <w:sz w:val="21"/>
              </w:rPr>
            </w:pPr>
            <w:r/>
          </w:p>
          <w:p>
            <w:pPr>
              <w:spacing w:line="297" w:lineRule="auto"/>
              <w:rPr>
                <w:rFonts w:ascii="Arial"/>
                <w:sz w:val="21"/>
              </w:rPr>
            </w:pPr>
            <w:r/>
          </w:p>
          <w:p>
            <w:pPr>
              <w:spacing w:line="297" w:lineRule="auto"/>
              <w:rPr>
                <w:rFonts w:ascii="Arial"/>
                <w:sz w:val="21"/>
              </w:rPr>
            </w:pPr>
            <w:r/>
          </w:p>
          <w:p>
            <w:pPr>
              <w:pStyle w:val="TableText"/>
              <w:ind w:left="77"/>
              <w:spacing w:before="65" w:line="228" w:lineRule="auto"/>
              <w:rPr/>
            </w:pPr>
            <w:r>
              <w:rPr>
                <w:spacing w:val="8"/>
              </w:rPr>
              <w:t>一般固废暂存间</w:t>
            </w:r>
          </w:p>
        </w:tc>
        <w:tc>
          <w:tcPr>
            <w:tcW w:w="1611" w:type="dxa"/>
            <w:vAlign w:val="top"/>
          </w:tcPr>
          <w:p>
            <w:pPr>
              <w:pStyle w:val="TableText"/>
              <w:ind w:left="79"/>
              <w:spacing w:before="32" w:line="228" w:lineRule="auto"/>
              <w:rPr/>
            </w:pPr>
            <w:r>
              <w:rPr>
                <w:spacing w:val="8"/>
              </w:rPr>
              <w:t>外运内蒙古盎然</w:t>
            </w:r>
          </w:p>
          <w:p>
            <w:pPr>
              <w:pStyle w:val="TableText"/>
              <w:ind w:left="75"/>
              <w:spacing w:before="27" w:line="228" w:lineRule="auto"/>
              <w:rPr/>
            </w:pPr>
            <w:r>
              <w:rPr>
                <w:spacing w:val="8"/>
              </w:rPr>
              <w:t>农业发展有限公</w:t>
            </w:r>
          </w:p>
          <w:p>
            <w:pPr>
              <w:pStyle w:val="TableText"/>
              <w:ind w:left="83"/>
              <w:spacing w:before="23" w:line="227" w:lineRule="auto"/>
              <w:rPr/>
            </w:pPr>
            <w:r>
              <w:rPr>
                <w:spacing w:val="7"/>
              </w:rPr>
              <w:t>司有机肥厂做有</w:t>
            </w:r>
          </w:p>
          <w:p>
            <w:pPr>
              <w:pStyle w:val="TableText"/>
              <w:ind w:left="12"/>
              <w:spacing w:before="27" w:line="227" w:lineRule="auto"/>
              <w:rPr/>
            </w:pPr>
            <w:r>
              <w:rPr>
                <w:spacing w:val="-2"/>
              </w:rPr>
              <w:t>机肥，待内蒙古源</w:t>
            </w:r>
          </w:p>
          <w:p>
            <w:pPr>
              <w:pStyle w:val="TableText"/>
              <w:ind w:left="76"/>
              <w:spacing w:before="25" w:line="228" w:lineRule="auto"/>
              <w:rPr/>
            </w:pPr>
            <w:r>
              <w:rPr>
                <w:spacing w:val="8"/>
              </w:rPr>
              <w:t>浩羊绒制品有限</w:t>
            </w:r>
          </w:p>
          <w:p>
            <w:pPr>
              <w:pStyle w:val="TableText"/>
              <w:ind w:left="82"/>
              <w:spacing w:before="24" w:line="228" w:lineRule="auto"/>
              <w:rPr/>
            </w:pPr>
            <w:r>
              <w:rPr>
                <w:spacing w:val="7"/>
              </w:rPr>
              <w:t>公司废弃物高效</w:t>
            </w:r>
          </w:p>
          <w:p>
            <w:pPr>
              <w:pStyle w:val="TableText"/>
              <w:ind w:left="13"/>
              <w:spacing w:before="26" w:line="228" w:lineRule="auto"/>
              <w:rPr/>
            </w:pPr>
            <w:r>
              <w:rPr>
                <w:spacing w:val="-2"/>
              </w:rPr>
              <w:t>循环利用项目（二</w:t>
            </w:r>
          </w:p>
          <w:p>
            <w:pPr>
              <w:pStyle w:val="TableText"/>
              <w:ind w:left="15"/>
              <w:spacing w:before="27" w:line="227" w:lineRule="auto"/>
              <w:rPr/>
            </w:pPr>
            <w:r>
              <w:rPr>
                <w:spacing w:val="-3"/>
              </w:rPr>
              <w:t>期）有机肥生产线</w:t>
            </w:r>
          </w:p>
          <w:p>
            <w:pPr>
              <w:pStyle w:val="TableText"/>
              <w:ind w:left="78"/>
              <w:spacing w:before="25" w:line="228" w:lineRule="auto"/>
              <w:rPr/>
            </w:pPr>
            <w:r>
              <w:rPr>
                <w:spacing w:val="8"/>
              </w:rPr>
              <w:t>建成后用于生产</w:t>
            </w:r>
          </w:p>
          <w:p>
            <w:pPr>
              <w:pStyle w:val="TableText"/>
              <w:ind w:left="390"/>
              <w:spacing w:before="27" w:line="215" w:lineRule="auto"/>
              <w:rPr/>
            </w:pPr>
            <w:r>
              <w:rPr>
                <w:spacing w:val="4"/>
              </w:rPr>
              <w:t>有机肥。</w:t>
            </w:r>
          </w:p>
        </w:tc>
      </w:tr>
      <w:tr>
        <w:trPr>
          <w:trHeight w:val="1093" w:hRule="atLeast"/>
        </w:trPr>
        <w:tc>
          <w:tcPr>
            <w:tcW w:w="498" w:type="dxa"/>
            <w:vAlign w:val="top"/>
            <w:gridSpan w:val="2"/>
          </w:tcPr>
          <w:p>
            <w:pPr>
              <w:spacing w:line="416" w:lineRule="auto"/>
              <w:rPr>
                <w:rFonts w:ascii="Arial"/>
                <w:sz w:val="21"/>
              </w:rPr>
            </w:pPr>
            <w:r/>
          </w:p>
          <w:p>
            <w:pPr>
              <w:ind w:left="110"/>
              <w:spacing w:before="58" w:line="21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1-5</w:t>
            </w:r>
          </w:p>
        </w:tc>
        <w:tc>
          <w:tcPr>
            <w:tcW w:w="1466" w:type="dxa"/>
            <w:vAlign w:val="top"/>
          </w:tcPr>
          <w:p>
            <w:pPr>
              <w:pStyle w:val="TableText"/>
              <w:ind w:left="107"/>
              <w:spacing w:before="167" w:line="227" w:lineRule="auto"/>
              <w:rPr/>
            </w:pPr>
            <w:r>
              <w:rPr>
                <w:spacing w:val="8"/>
              </w:rPr>
              <w:t>开松除杂布袋</w:t>
            </w:r>
          </w:p>
          <w:p>
            <w:pPr>
              <w:pStyle w:val="TableText"/>
              <w:ind w:left="118"/>
              <w:spacing w:before="27" w:line="228" w:lineRule="auto"/>
              <w:rPr/>
            </w:pPr>
            <w:r>
              <w:rPr>
                <w:spacing w:val="6"/>
              </w:rPr>
              <w:t>除尘器收集粉</w:t>
            </w:r>
          </w:p>
          <w:p>
            <w:pPr>
              <w:pStyle w:val="TableText"/>
              <w:ind w:left="633"/>
              <w:spacing w:before="24" w:line="234" w:lineRule="auto"/>
              <w:rPr/>
            </w:pPr>
            <w:r>
              <w:rPr/>
              <w:t>尘</w:t>
            </w:r>
          </w:p>
        </w:tc>
        <w:tc>
          <w:tcPr>
            <w:tcW w:w="902" w:type="dxa"/>
            <w:vAlign w:val="top"/>
          </w:tcPr>
          <w:p>
            <w:pPr>
              <w:spacing w:line="416" w:lineRule="auto"/>
              <w:rPr>
                <w:rFonts w:ascii="Arial"/>
                <w:sz w:val="21"/>
              </w:rPr>
            </w:pPr>
            <w:r/>
          </w:p>
          <w:p>
            <w:pPr>
              <w:ind w:left="218"/>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0.148</w:t>
            </w:r>
          </w:p>
        </w:tc>
        <w:tc>
          <w:tcPr>
            <w:tcW w:w="1442" w:type="dxa"/>
            <w:vAlign w:val="top"/>
          </w:tcPr>
          <w:p>
            <w:pPr>
              <w:spacing w:line="373" w:lineRule="auto"/>
              <w:rPr>
                <w:rFonts w:ascii="Arial"/>
                <w:sz w:val="21"/>
              </w:rPr>
            </w:pPr>
            <w:r/>
          </w:p>
          <w:p>
            <w:pPr>
              <w:pStyle w:val="TableText"/>
              <w:ind w:left="10"/>
              <w:spacing w:before="65" w:line="228" w:lineRule="auto"/>
              <w:rPr/>
            </w:pPr>
            <w:r>
              <w:rPr>
                <w:spacing w:val="3"/>
              </w:rPr>
              <w:t>泥沙、羊粪便等</w:t>
            </w:r>
          </w:p>
        </w:tc>
        <w:tc>
          <w:tcPr>
            <w:tcW w:w="989" w:type="dxa"/>
            <w:vAlign w:val="top"/>
          </w:tcPr>
          <w:p>
            <w:pPr>
              <w:spacing w:line="374" w:lineRule="auto"/>
              <w:rPr>
                <w:rFonts w:ascii="Arial"/>
                <w:sz w:val="21"/>
              </w:rPr>
            </w:pPr>
            <w:r/>
          </w:p>
          <w:p>
            <w:pPr>
              <w:pStyle w:val="TableText"/>
              <w:ind w:left="84"/>
              <w:spacing w:before="65" w:line="228" w:lineRule="auto"/>
              <w:rPr/>
            </w:pPr>
            <w:r>
              <w:rPr>
                <w:spacing w:val="6"/>
              </w:rPr>
              <w:t>一般固废</w:t>
            </w:r>
          </w:p>
        </w:tc>
        <w:tc>
          <w:tcPr>
            <w:tcW w:w="1606" w:type="dxa"/>
            <w:vAlign w:val="top"/>
          </w:tcPr>
          <w:p>
            <w:pPr>
              <w:spacing w:line="373" w:lineRule="auto"/>
              <w:rPr>
                <w:rFonts w:ascii="Arial"/>
                <w:sz w:val="21"/>
              </w:rPr>
            </w:pPr>
            <w:r/>
          </w:p>
          <w:p>
            <w:pPr>
              <w:pStyle w:val="TableText"/>
              <w:ind w:left="77"/>
              <w:spacing w:before="65" w:line="228" w:lineRule="auto"/>
              <w:rPr/>
            </w:pPr>
            <w:r>
              <w:rPr>
                <w:spacing w:val="8"/>
              </w:rPr>
              <w:t>一般固废暂存间</w:t>
            </w:r>
          </w:p>
        </w:tc>
        <w:tc>
          <w:tcPr>
            <w:tcW w:w="1611" w:type="dxa"/>
            <w:vAlign w:val="top"/>
          </w:tcPr>
          <w:p>
            <w:pPr>
              <w:pStyle w:val="TableText"/>
              <w:ind w:left="79"/>
              <w:spacing w:before="32" w:line="228" w:lineRule="auto"/>
              <w:rPr/>
            </w:pPr>
            <w:r>
              <w:rPr>
                <w:spacing w:val="8"/>
              </w:rPr>
              <w:t>外运内蒙古盎然</w:t>
            </w:r>
          </w:p>
          <w:p>
            <w:pPr>
              <w:pStyle w:val="TableText"/>
              <w:ind w:left="75"/>
              <w:spacing w:before="24" w:line="228" w:lineRule="auto"/>
              <w:rPr/>
            </w:pPr>
            <w:r>
              <w:rPr>
                <w:spacing w:val="8"/>
              </w:rPr>
              <w:t>农业发展有限公</w:t>
            </w:r>
          </w:p>
          <w:p>
            <w:pPr>
              <w:pStyle w:val="TableText"/>
              <w:ind w:left="83"/>
              <w:spacing w:before="26" w:line="227" w:lineRule="auto"/>
              <w:rPr/>
            </w:pPr>
            <w:r>
              <w:rPr>
                <w:spacing w:val="7"/>
              </w:rPr>
              <w:t>司有机肥厂做有</w:t>
            </w:r>
          </w:p>
          <w:p>
            <w:pPr>
              <w:pStyle w:val="TableText"/>
              <w:ind w:left="494"/>
              <w:spacing w:before="27" w:line="214" w:lineRule="auto"/>
              <w:rPr/>
            </w:pPr>
            <w:r>
              <w:rPr>
                <w:spacing w:val="3"/>
              </w:rPr>
              <w:t>机肥。</w:t>
            </w:r>
          </w:p>
        </w:tc>
      </w:tr>
      <w:tr>
        <w:trPr>
          <w:trHeight w:val="550" w:hRule="atLeast"/>
        </w:trPr>
        <w:tc>
          <w:tcPr>
            <w:tcW w:w="498" w:type="dxa"/>
            <w:vAlign w:val="top"/>
            <w:gridSpan w:val="2"/>
          </w:tcPr>
          <w:p>
            <w:pPr>
              <w:ind w:left="110"/>
              <w:spacing w:before="206" w:line="21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1-6</w:t>
            </w:r>
          </w:p>
        </w:tc>
        <w:tc>
          <w:tcPr>
            <w:tcW w:w="1466" w:type="dxa"/>
            <w:vAlign w:val="top"/>
          </w:tcPr>
          <w:p>
            <w:pPr>
              <w:pStyle w:val="TableText"/>
              <w:ind w:left="105"/>
              <w:spacing w:before="33" w:line="228" w:lineRule="auto"/>
              <w:rPr/>
            </w:pPr>
            <w:r>
              <w:rPr>
                <w:spacing w:val="8"/>
              </w:rPr>
              <w:t>废水收集池沉</w:t>
            </w:r>
          </w:p>
          <w:p>
            <w:pPr>
              <w:pStyle w:val="TableText"/>
              <w:ind w:left="423"/>
              <w:spacing w:before="27" w:line="214" w:lineRule="auto"/>
              <w:rPr/>
            </w:pPr>
            <w:r>
              <w:rPr>
                <w:spacing w:val="6"/>
              </w:rPr>
              <w:t>淀杂质</w:t>
            </w:r>
          </w:p>
        </w:tc>
        <w:tc>
          <w:tcPr>
            <w:tcW w:w="902" w:type="dxa"/>
            <w:vAlign w:val="top"/>
          </w:tcPr>
          <w:p>
            <w:pPr>
              <w:ind w:left="294"/>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242</w:t>
            </w:r>
          </w:p>
        </w:tc>
        <w:tc>
          <w:tcPr>
            <w:tcW w:w="1442" w:type="dxa"/>
            <w:vAlign w:val="top"/>
          </w:tcPr>
          <w:p>
            <w:pPr>
              <w:pStyle w:val="TableText"/>
              <w:ind w:left="96"/>
              <w:spacing w:before="170" w:line="228" w:lineRule="auto"/>
              <w:rPr/>
            </w:pPr>
            <w:r>
              <w:rPr>
                <w:spacing w:val="7"/>
              </w:rPr>
              <w:t>泥沙、石子等</w:t>
            </w:r>
          </w:p>
        </w:tc>
        <w:tc>
          <w:tcPr>
            <w:tcW w:w="989" w:type="dxa"/>
            <w:vAlign w:val="top"/>
          </w:tcPr>
          <w:p>
            <w:pPr>
              <w:pStyle w:val="TableText"/>
              <w:ind w:left="84"/>
              <w:spacing w:before="171" w:line="228" w:lineRule="auto"/>
              <w:rPr/>
            </w:pPr>
            <w:r>
              <w:rPr>
                <w:spacing w:val="6"/>
              </w:rPr>
              <w:t>一般固废</w:t>
            </w:r>
          </w:p>
        </w:tc>
        <w:tc>
          <w:tcPr>
            <w:tcW w:w="1606" w:type="dxa"/>
            <w:vAlign w:val="top"/>
          </w:tcPr>
          <w:p>
            <w:pPr>
              <w:pStyle w:val="TableText"/>
              <w:ind w:left="77"/>
              <w:spacing w:before="170" w:line="228" w:lineRule="auto"/>
              <w:rPr/>
            </w:pPr>
            <w:r>
              <w:rPr>
                <w:spacing w:val="8"/>
              </w:rPr>
              <w:t>一般固废暂存间</w:t>
            </w:r>
          </w:p>
        </w:tc>
        <w:tc>
          <w:tcPr>
            <w:tcW w:w="1611" w:type="dxa"/>
            <w:vAlign w:val="top"/>
          </w:tcPr>
          <w:p>
            <w:pPr>
              <w:pStyle w:val="TableText"/>
              <w:ind w:left="288" w:right="69" w:hanging="214"/>
              <w:spacing w:before="35" w:line="233" w:lineRule="auto"/>
              <w:rPr/>
            </w:pPr>
            <w:r>
              <w:rPr>
                <w:spacing w:val="8"/>
              </w:rPr>
              <w:t>委托环卫部门定</w:t>
            </w:r>
            <w:r>
              <w:rPr>
                <w:spacing w:val="4"/>
              </w:rPr>
              <w:t xml:space="preserve"> </w:t>
            </w:r>
            <w:r>
              <w:rPr>
                <w:spacing w:val="7"/>
              </w:rPr>
              <w:t>期清运处理</w:t>
            </w:r>
          </w:p>
        </w:tc>
      </w:tr>
      <w:tr>
        <w:trPr>
          <w:trHeight w:val="549" w:hRule="atLeast"/>
        </w:trPr>
        <w:tc>
          <w:tcPr>
            <w:tcW w:w="498" w:type="dxa"/>
            <w:vAlign w:val="top"/>
            <w:gridSpan w:val="2"/>
          </w:tcPr>
          <w:p>
            <w:pPr>
              <w:ind w:left="110"/>
              <w:spacing w:before="206"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2-1</w:t>
            </w:r>
          </w:p>
        </w:tc>
        <w:tc>
          <w:tcPr>
            <w:tcW w:w="1466" w:type="dxa"/>
            <w:vAlign w:val="top"/>
          </w:tcPr>
          <w:p>
            <w:pPr>
              <w:pStyle w:val="TableText"/>
              <w:ind w:left="105"/>
              <w:spacing w:before="33" w:line="228" w:lineRule="auto"/>
              <w:rPr/>
            </w:pPr>
            <w:r>
              <w:rPr>
                <w:spacing w:val="8"/>
              </w:rPr>
              <w:t>梳绒短纤维及</w:t>
            </w:r>
          </w:p>
          <w:p>
            <w:pPr>
              <w:pStyle w:val="TableText"/>
              <w:ind w:left="528"/>
              <w:spacing w:before="26" w:line="214" w:lineRule="auto"/>
              <w:rPr/>
            </w:pPr>
            <w:r>
              <w:rPr>
                <w:spacing w:val="3"/>
              </w:rPr>
              <w:t>杂毛</w:t>
            </w:r>
          </w:p>
        </w:tc>
        <w:tc>
          <w:tcPr>
            <w:tcW w:w="902" w:type="dxa"/>
            <w:vAlign w:val="top"/>
          </w:tcPr>
          <w:p>
            <w:pPr>
              <w:ind w:left="162"/>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244.94</w:t>
            </w:r>
          </w:p>
        </w:tc>
        <w:tc>
          <w:tcPr>
            <w:tcW w:w="1442" w:type="dxa"/>
            <w:vAlign w:val="top"/>
          </w:tcPr>
          <w:p>
            <w:pPr>
              <w:pStyle w:val="TableText"/>
              <w:ind w:left="97"/>
              <w:spacing w:before="170" w:line="228" w:lineRule="auto"/>
              <w:rPr/>
            </w:pPr>
            <w:r>
              <w:rPr>
                <w:spacing w:val="7"/>
              </w:rPr>
              <w:t>短纤维及杂毛</w:t>
            </w:r>
          </w:p>
        </w:tc>
        <w:tc>
          <w:tcPr>
            <w:tcW w:w="989" w:type="dxa"/>
            <w:vAlign w:val="top"/>
          </w:tcPr>
          <w:p>
            <w:pPr>
              <w:pStyle w:val="TableText"/>
              <w:ind w:left="84"/>
              <w:spacing w:before="170" w:line="228" w:lineRule="auto"/>
              <w:rPr/>
            </w:pPr>
            <w:r>
              <w:rPr>
                <w:spacing w:val="6"/>
              </w:rPr>
              <w:t>一般固废</w:t>
            </w:r>
          </w:p>
        </w:tc>
        <w:tc>
          <w:tcPr>
            <w:tcW w:w="1606" w:type="dxa"/>
            <w:vAlign w:val="top"/>
          </w:tcPr>
          <w:p>
            <w:pPr>
              <w:pStyle w:val="TableText"/>
              <w:ind w:left="77"/>
              <w:spacing w:before="170" w:line="228" w:lineRule="auto"/>
              <w:rPr/>
            </w:pPr>
            <w:r>
              <w:rPr>
                <w:spacing w:val="8"/>
              </w:rPr>
              <w:t>一般固废暂存间</w:t>
            </w:r>
          </w:p>
        </w:tc>
        <w:tc>
          <w:tcPr>
            <w:tcW w:w="1611" w:type="dxa"/>
            <w:vAlign w:val="top"/>
          </w:tcPr>
          <w:p>
            <w:pPr>
              <w:pStyle w:val="TableText"/>
              <w:ind w:left="17"/>
              <w:spacing w:before="34" w:line="228" w:lineRule="auto"/>
              <w:rPr/>
            </w:pPr>
            <w:r>
              <w:rPr>
                <w:spacing w:val="-3"/>
              </w:rPr>
              <w:t>外售综合利用（工</w:t>
            </w:r>
          </w:p>
          <w:p>
            <w:pPr>
              <w:pStyle w:val="TableText"/>
              <w:ind w:left="286"/>
              <w:spacing w:before="26" w:line="214" w:lineRule="auto"/>
              <w:rPr/>
            </w:pPr>
            <w:r>
              <w:rPr>
                <w:spacing w:val="6"/>
              </w:rPr>
              <w:t>业毛毡等）</w:t>
            </w:r>
          </w:p>
        </w:tc>
      </w:tr>
      <w:tr>
        <w:trPr>
          <w:trHeight w:val="550" w:hRule="atLeast"/>
        </w:trPr>
        <w:tc>
          <w:tcPr>
            <w:tcW w:w="498" w:type="dxa"/>
            <w:vAlign w:val="top"/>
            <w:gridSpan w:val="2"/>
          </w:tcPr>
          <w:p>
            <w:pPr>
              <w:ind w:left="110"/>
              <w:spacing w:before="206" w:line="21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3-</w:t>
            </w:r>
            <w:r>
              <w:rPr>
                <w:rFonts w:ascii="Times New Roman" w:hAnsi="Times New Roman" w:eastAsia="Times New Roman" w:cs="Times New Roman"/>
                <w:sz w:val="13"/>
                <w:szCs w:val="13"/>
                <w:spacing w:val="-16"/>
              </w:rPr>
              <w:t xml:space="preserve"> </w:t>
            </w:r>
            <w:r>
              <w:rPr>
                <w:rFonts w:ascii="Times New Roman" w:hAnsi="Times New Roman" w:eastAsia="Times New Roman" w:cs="Times New Roman"/>
                <w:sz w:val="13"/>
                <w:szCs w:val="13"/>
                <w:spacing w:val="-1"/>
              </w:rPr>
              <w:t>1</w:t>
            </w:r>
          </w:p>
        </w:tc>
        <w:tc>
          <w:tcPr>
            <w:tcW w:w="1466" w:type="dxa"/>
            <w:vAlign w:val="top"/>
          </w:tcPr>
          <w:p>
            <w:pPr>
              <w:pStyle w:val="TableText"/>
              <w:ind w:left="314"/>
              <w:spacing w:before="171" w:line="228" w:lineRule="auto"/>
              <w:rPr/>
            </w:pPr>
            <w:r>
              <w:rPr>
                <w:spacing w:val="7"/>
              </w:rPr>
              <w:t>废活性炭</w:t>
            </w:r>
          </w:p>
        </w:tc>
        <w:tc>
          <w:tcPr>
            <w:tcW w:w="902" w:type="dxa"/>
            <w:vAlign w:val="top"/>
          </w:tcPr>
          <w:p>
            <w:pPr>
              <w:ind w:left="286"/>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13.6</w:t>
            </w:r>
          </w:p>
        </w:tc>
        <w:tc>
          <w:tcPr>
            <w:tcW w:w="1442" w:type="dxa"/>
            <w:vAlign w:val="top"/>
          </w:tcPr>
          <w:p>
            <w:pPr>
              <w:pStyle w:val="TableText"/>
              <w:ind w:left="161"/>
              <w:spacing w:before="170" w:line="228" w:lineRule="auto"/>
              <w:rPr/>
            </w:pPr>
            <w:r>
              <w:rPr>
                <w:rFonts w:ascii="Times New Roman" w:hAnsi="Times New Roman" w:eastAsia="Times New Roman" w:cs="Times New Roman"/>
                <w:spacing w:val="-3"/>
              </w:rPr>
              <w:t>C</w:t>
            </w:r>
            <w:r>
              <w:rPr>
                <w:rFonts w:ascii="Times New Roman" w:hAnsi="Times New Roman" w:eastAsia="Times New Roman" w:cs="Times New Roman"/>
                <w:spacing w:val="-25"/>
              </w:rPr>
              <w:t xml:space="preserve"> </w:t>
            </w:r>
            <w:r>
              <w:rPr>
                <w:spacing w:val="-3"/>
              </w:rPr>
              <w:t>、</w:t>
            </w:r>
            <w:r>
              <w:rPr>
                <w:rFonts w:ascii="Times New Roman" w:hAnsi="Times New Roman" w:eastAsia="Times New Roman" w:cs="Times New Roman"/>
                <w:spacing w:val="-3"/>
              </w:rPr>
              <w:t>O</w:t>
            </w:r>
            <w:r>
              <w:rPr>
                <w:rFonts w:ascii="Times New Roman" w:hAnsi="Times New Roman" w:eastAsia="Times New Roman" w:cs="Times New Roman"/>
                <w:spacing w:val="-27"/>
              </w:rPr>
              <w:t xml:space="preserve"> </w:t>
            </w:r>
            <w:r>
              <w:rPr>
                <w:spacing w:val="-3"/>
              </w:rPr>
              <w:t>、</w:t>
            </w:r>
            <w:r>
              <w:rPr>
                <w:rFonts w:ascii="Times New Roman" w:hAnsi="Times New Roman" w:eastAsia="Times New Roman" w:cs="Times New Roman"/>
                <w:spacing w:val="-3"/>
              </w:rPr>
              <w:t>H</w:t>
            </w:r>
            <w:r>
              <w:rPr>
                <w:rFonts w:ascii="Times New Roman" w:hAnsi="Times New Roman" w:eastAsia="Times New Roman" w:cs="Times New Roman"/>
                <w:spacing w:val="13"/>
              </w:rPr>
              <w:t xml:space="preserve"> </w:t>
            </w:r>
            <w:r>
              <w:rPr>
                <w:spacing w:val="-3"/>
              </w:rPr>
              <w:t>等</w:t>
            </w:r>
          </w:p>
        </w:tc>
        <w:tc>
          <w:tcPr>
            <w:tcW w:w="989" w:type="dxa"/>
            <w:vAlign w:val="top"/>
          </w:tcPr>
          <w:p>
            <w:pPr>
              <w:pStyle w:val="TableText"/>
              <w:ind w:left="83"/>
              <w:spacing w:before="171" w:line="228" w:lineRule="auto"/>
              <w:rPr/>
            </w:pPr>
            <w:r>
              <w:rPr>
                <w:spacing w:val="6"/>
              </w:rPr>
              <w:t>危险废物</w:t>
            </w:r>
          </w:p>
        </w:tc>
        <w:tc>
          <w:tcPr>
            <w:tcW w:w="1606" w:type="dxa"/>
            <w:vAlign w:val="top"/>
          </w:tcPr>
          <w:p>
            <w:pPr>
              <w:pStyle w:val="TableText"/>
              <w:ind w:left="287"/>
              <w:spacing w:before="170" w:line="228" w:lineRule="auto"/>
              <w:rPr/>
            </w:pPr>
            <w:r>
              <w:rPr>
                <w:spacing w:val="7"/>
              </w:rPr>
              <w:t>危废暂存间</w:t>
            </w:r>
          </w:p>
        </w:tc>
        <w:tc>
          <w:tcPr>
            <w:tcW w:w="1611" w:type="dxa"/>
            <w:vAlign w:val="top"/>
          </w:tcPr>
          <w:p>
            <w:pPr>
              <w:pStyle w:val="TableText"/>
              <w:ind w:left="604" w:right="69" w:hanging="530"/>
              <w:spacing w:before="37" w:line="232" w:lineRule="auto"/>
              <w:rPr/>
            </w:pPr>
            <w:r>
              <w:rPr>
                <w:spacing w:val="8"/>
              </w:rPr>
              <w:t>委托有资质单位</w:t>
            </w:r>
            <w:r>
              <w:rPr>
                <w:spacing w:val="4"/>
              </w:rPr>
              <w:t xml:space="preserve"> </w:t>
            </w:r>
            <w:r>
              <w:rPr>
                <w:spacing w:val="2"/>
              </w:rPr>
              <w:t>处理</w:t>
            </w:r>
          </w:p>
        </w:tc>
      </w:tr>
      <w:tr>
        <w:trPr>
          <w:trHeight w:val="550" w:hRule="atLeast"/>
        </w:trPr>
        <w:tc>
          <w:tcPr>
            <w:tcW w:w="498" w:type="dxa"/>
            <w:vAlign w:val="top"/>
            <w:gridSpan w:val="2"/>
          </w:tcPr>
          <w:p>
            <w:pPr>
              <w:ind w:left="110"/>
              <w:spacing w:before="205" w:line="205"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w:t>
            </w:r>
            <w:r>
              <w:rPr>
                <w:rFonts w:ascii="Times New Roman" w:hAnsi="Times New Roman" w:eastAsia="Times New Roman" w:cs="Times New Roman"/>
                <w:sz w:val="13"/>
                <w:szCs w:val="13"/>
                <w:position w:val="-1"/>
              </w:rPr>
              <w:t>3-2</w:t>
            </w:r>
          </w:p>
        </w:tc>
        <w:tc>
          <w:tcPr>
            <w:tcW w:w="1466" w:type="dxa"/>
            <w:vAlign w:val="top"/>
          </w:tcPr>
          <w:p>
            <w:pPr>
              <w:pStyle w:val="TableText"/>
              <w:ind w:left="314"/>
              <w:spacing w:before="170" w:line="227" w:lineRule="auto"/>
              <w:rPr/>
            </w:pPr>
            <w:r>
              <w:rPr>
                <w:spacing w:val="7"/>
              </w:rPr>
              <w:t>废脱硫剂</w:t>
            </w:r>
          </w:p>
        </w:tc>
        <w:tc>
          <w:tcPr>
            <w:tcW w:w="902" w:type="dxa"/>
            <w:vAlign w:val="top"/>
          </w:tcPr>
          <w:p>
            <w:pPr>
              <w:ind w:left="322"/>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rPr>
              <w:t>1</w:t>
            </w:r>
          </w:p>
        </w:tc>
        <w:tc>
          <w:tcPr>
            <w:tcW w:w="1442" w:type="dxa"/>
            <w:vAlign w:val="top"/>
          </w:tcPr>
          <w:p>
            <w:pPr>
              <w:pStyle w:val="TableText"/>
              <w:spacing w:before="206" w:line="192" w:lineRule="auto"/>
              <w:jc w:val="right"/>
              <w:rPr>
                <w:rFonts w:ascii="Times New Roman" w:hAnsi="Times New Roman" w:eastAsia="Times New Roman" w:cs="Times New Roman"/>
              </w:rPr>
            </w:pPr>
            <w:r>
              <w:rPr>
                <w:rFonts w:ascii="Times New Roman" w:hAnsi="Times New Roman" w:eastAsia="Times New Roman" w:cs="Times New Roman"/>
              </w:rPr>
              <w:t>Fe</w:t>
            </w:r>
            <w:r>
              <w:rPr>
                <w:rFonts w:ascii="Times New Roman" w:hAnsi="Times New Roman" w:eastAsia="Times New Roman" w:cs="Times New Roman"/>
                <w:sz w:val="13"/>
                <w:szCs w:val="13"/>
              </w:rPr>
              <w:t>2</w:t>
            </w:r>
            <w:r>
              <w:rPr>
                <w:rFonts w:ascii="Times New Roman" w:hAnsi="Times New Roman" w:eastAsia="Times New Roman" w:cs="Times New Roman"/>
              </w:rPr>
              <w:t>O</w:t>
            </w:r>
            <w:r>
              <w:rPr>
                <w:rFonts w:ascii="Times New Roman" w:hAnsi="Times New Roman" w:eastAsia="Times New Roman" w:cs="Times New Roman"/>
                <w:sz w:val="13"/>
                <w:szCs w:val="13"/>
                <w:position w:val="-1"/>
              </w:rPr>
              <w:t>3</w:t>
            </w:r>
            <w:r>
              <w:rPr/>
              <w:t>、</w:t>
            </w:r>
            <w:r>
              <w:rPr>
                <w:rFonts w:ascii="Times New Roman" w:hAnsi="Times New Roman" w:eastAsia="Times New Roman" w:cs="Times New Roman"/>
              </w:rPr>
              <w:t>Fe</w:t>
            </w:r>
            <w:r>
              <w:rPr>
                <w:rFonts w:ascii="Times New Roman" w:hAnsi="Times New Roman" w:eastAsia="Times New Roman" w:cs="Times New Roman"/>
                <w:sz w:val="13"/>
                <w:szCs w:val="13"/>
              </w:rPr>
              <w:t>2</w:t>
            </w:r>
            <w:r>
              <w:rPr>
                <w:rFonts w:ascii="Times New Roman" w:hAnsi="Times New Roman" w:eastAsia="Times New Roman" w:cs="Times New Roman"/>
              </w:rPr>
              <w:t>S</w:t>
            </w:r>
            <w:r>
              <w:rPr>
                <w:rFonts w:ascii="Times New Roman" w:hAnsi="Times New Roman" w:eastAsia="Times New Roman" w:cs="Times New Roman"/>
                <w:sz w:val="13"/>
                <w:szCs w:val="13"/>
                <w:position w:val="-1"/>
              </w:rPr>
              <w:t>3</w:t>
            </w:r>
            <w:r>
              <w:rPr/>
              <w:t>、</w:t>
            </w:r>
            <w:r>
              <w:rPr>
                <w:rFonts w:ascii="Times New Roman" w:hAnsi="Times New Roman" w:eastAsia="Times New Roman" w:cs="Times New Roman"/>
              </w:rPr>
              <w:t>S</w:t>
            </w:r>
          </w:p>
        </w:tc>
        <w:tc>
          <w:tcPr>
            <w:tcW w:w="989" w:type="dxa"/>
            <w:vAlign w:val="top"/>
          </w:tcPr>
          <w:p>
            <w:pPr>
              <w:pStyle w:val="TableText"/>
              <w:ind w:left="84"/>
              <w:spacing w:before="170" w:line="228" w:lineRule="auto"/>
              <w:rPr/>
            </w:pPr>
            <w:r>
              <w:rPr>
                <w:spacing w:val="6"/>
              </w:rPr>
              <w:t>一般固废</w:t>
            </w:r>
          </w:p>
        </w:tc>
        <w:tc>
          <w:tcPr>
            <w:tcW w:w="1606" w:type="dxa"/>
            <w:vAlign w:val="top"/>
          </w:tcPr>
          <w:p>
            <w:pPr>
              <w:pStyle w:val="TableText"/>
              <w:ind w:left="77"/>
              <w:spacing w:before="169" w:line="228" w:lineRule="auto"/>
              <w:rPr/>
            </w:pPr>
            <w:r>
              <w:rPr>
                <w:spacing w:val="8"/>
              </w:rPr>
              <w:t>一般固废暂存间</w:t>
            </w:r>
          </w:p>
        </w:tc>
        <w:tc>
          <w:tcPr>
            <w:tcW w:w="1611" w:type="dxa"/>
            <w:vAlign w:val="top"/>
          </w:tcPr>
          <w:p>
            <w:pPr>
              <w:pStyle w:val="TableText"/>
              <w:ind w:left="714" w:right="69" w:hanging="613"/>
              <w:spacing w:before="35" w:line="233" w:lineRule="auto"/>
              <w:rPr/>
            </w:pPr>
            <w:r>
              <w:rPr>
                <w:spacing w:val="5"/>
              </w:rPr>
              <w:t>由其生产厂家回</w:t>
            </w:r>
            <w:r>
              <w:rPr/>
              <w:t xml:space="preserve"> </w:t>
            </w:r>
            <w:r>
              <w:rPr/>
              <w:t>收</w:t>
            </w:r>
          </w:p>
        </w:tc>
      </w:tr>
      <w:tr>
        <w:trPr>
          <w:trHeight w:val="549" w:hRule="atLeast"/>
        </w:trPr>
        <w:tc>
          <w:tcPr>
            <w:tcW w:w="498" w:type="dxa"/>
            <w:vAlign w:val="top"/>
            <w:gridSpan w:val="2"/>
          </w:tcPr>
          <w:p>
            <w:pPr>
              <w:ind w:left="110"/>
              <w:spacing w:before="205"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4-1</w:t>
            </w:r>
          </w:p>
        </w:tc>
        <w:tc>
          <w:tcPr>
            <w:tcW w:w="1466" w:type="dxa"/>
            <w:vAlign w:val="top"/>
          </w:tcPr>
          <w:p>
            <w:pPr>
              <w:pStyle w:val="TableText"/>
              <w:ind w:left="316"/>
              <w:spacing w:before="170" w:line="228" w:lineRule="auto"/>
              <w:rPr/>
            </w:pPr>
            <w:r>
              <w:rPr>
                <w:spacing w:val="6"/>
              </w:rPr>
              <w:t>生活垃圾</w:t>
            </w:r>
          </w:p>
        </w:tc>
        <w:tc>
          <w:tcPr>
            <w:tcW w:w="902" w:type="dxa"/>
            <w:vAlign w:val="top"/>
          </w:tcPr>
          <w:p>
            <w:pPr>
              <w:ind w:left="365"/>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1442" w:type="dxa"/>
            <w:vAlign w:val="top"/>
          </w:tcPr>
          <w:p>
            <w:pPr>
              <w:pStyle w:val="TableText"/>
              <w:ind w:left="622" w:right="3" w:hanging="612"/>
              <w:spacing w:before="36" w:line="232" w:lineRule="auto"/>
              <w:rPr/>
            </w:pPr>
            <w:r>
              <w:rPr>
                <w:spacing w:val="3"/>
              </w:rPr>
              <w:t>纸张、食物残渣</w:t>
            </w:r>
            <w:r>
              <w:rPr>
                <w:spacing w:val="1"/>
              </w:rPr>
              <w:t xml:space="preserve"> </w:t>
            </w:r>
            <w:r>
              <w:rPr/>
              <w:t>等</w:t>
            </w:r>
          </w:p>
        </w:tc>
        <w:tc>
          <w:tcPr>
            <w:tcW w:w="989" w:type="dxa"/>
            <w:vAlign w:val="top"/>
          </w:tcPr>
          <w:p>
            <w:pPr>
              <w:ind w:left="464"/>
              <w:spacing w:before="201"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606" w:type="dxa"/>
            <w:vAlign w:val="top"/>
          </w:tcPr>
          <w:p>
            <w:pPr>
              <w:pStyle w:val="TableText"/>
              <w:ind w:left="495"/>
              <w:spacing w:before="169" w:line="228" w:lineRule="auto"/>
              <w:rPr/>
            </w:pPr>
            <w:r>
              <w:rPr>
                <w:spacing w:val="6"/>
              </w:rPr>
              <w:t>垃圾桶</w:t>
            </w:r>
          </w:p>
        </w:tc>
        <w:tc>
          <w:tcPr>
            <w:tcW w:w="1611" w:type="dxa"/>
            <w:vAlign w:val="top"/>
          </w:tcPr>
          <w:p>
            <w:pPr>
              <w:pStyle w:val="TableText"/>
              <w:ind w:left="708" w:right="69" w:hanging="634"/>
              <w:spacing w:before="36" w:line="232" w:lineRule="auto"/>
              <w:rPr/>
            </w:pPr>
            <w:r>
              <w:rPr>
                <w:spacing w:val="8"/>
              </w:rPr>
              <w:t>委托环卫部门清</w:t>
            </w:r>
            <w:r>
              <w:rPr>
                <w:spacing w:val="4"/>
              </w:rPr>
              <w:t xml:space="preserve"> </w:t>
            </w:r>
            <w:r>
              <w:rPr/>
              <w:t>理</w:t>
            </w:r>
          </w:p>
        </w:tc>
      </w:tr>
      <w:tr>
        <w:trPr>
          <w:trHeight w:val="549" w:hRule="atLeast"/>
        </w:trPr>
        <w:tc>
          <w:tcPr>
            <w:tcW w:w="498" w:type="dxa"/>
            <w:vAlign w:val="top"/>
            <w:gridSpan w:val="2"/>
          </w:tcPr>
          <w:p>
            <w:pPr>
              <w:ind w:left="110"/>
              <w:spacing w:before="208"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4-2</w:t>
            </w:r>
          </w:p>
        </w:tc>
        <w:tc>
          <w:tcPr>
            <w:tcW w:w="1466" w:type="dxa"/>
            <w:vAlign w:val="top"/>
          </w:tcPr>
          <w:p>
            <w:pPr>
              <w:pStyle w:val="TableText"/>
              <w:ind w:left="315" w:right="11" w:hanging="304"/>
              <w:spacing w:before="36" w:line="232" w:lineRule="auto"/>
              <w:rPr/>
            </w:pPr>
            <w:r>
              <w:rPr>
                <w:spacing w:val="8"/>
              </w:rPr>
              <w:t>废</w:t>
            </w:r>
            <w:r>
              <w:rPr>
                <w:spacing w:val="-40"/>
              </w:rPr>
              <w:t xml:space="preserve"> </w:t>
            </w:r>
            <w:r>
              <w:rPr>
                <w:rFonts w:ascii="Times New Roman" w:hAnsi="Times New Roman" w:eastAsia="Times New Roman" w:cs="Times New Roman"/>
              </w:rPr>
              <w:t>RO</w:t>
            </w:r>
            <w:r>
              <w:rPr>
                <w:rFonts w:ascii="Times New Roman" w:hAnsi="Times New Roman" w:eastAsia="Times New Roman" w:cs="Times New Roman"/>
                <w:spacing w:val="8"/>
              </w:rPr>
              <w:t xml:space="preserve"> </w:t>
            </w:r>
            <w:r>
              <w:rPr>
                <w:spacing w:val="8"/>
              </w:rPr>
              <w:t>膜、废过</w:t>
            </w:r>
            <w:r>
              <w:rPr/>
              <w:t xml:space="preserve"> </w:t>
            </w:r>
            <w:r>
              <w:rPr>
                <w:spacing w:val="6"/>
              </w:rPr>
              <w:t>滤器组件</w:t>
            </w:r>
          </w:p>
        </w:tc>
        <w:tc>
          <w:tcPr>
            <w:tcW w:w="902" w:type="dxa"/>
            <w:vAlign w:val="top"/>
          </w:tcPr>
          <w:p>
            <w:pPr>
              <w:ind w:left="323"/>
              <w:spacing w:before="2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3.5</w:t>
            </w:r>
          </w:p>
        </w:tc>
        <w:tc>
          <w:tcPr>
            <w:tcW w:w="1442" w:type="dxa"/>
            <w:vAlign w:val="top"/>
          </w:tcPr>
          <w:p>
            <w:pPr>
              <w:pStyle w:val="TableText"/>
              <w:ind w:left="23"/>
              <w:spacing w:before="36" w:line="228" w:lineRule="auto"/>
              <w:rPr/>
            </w:pPr>
            <w:r>
              <w:rPr>
                <w:rFonts w:ascii="Times New Roman" w:hAnsi="Times New Roman" w:eastAsia="Times New Roman" w:cs="Times New Roman"/>
              </w:rPr>
              <w:t>RO</w:t>
            </w:r>
            <w:r>
              <w:rPr>
                <w:rFonts w:ascii="Times New Roman" w:hAnsi="Times New Roman" w:eastAsia="Times New Roman" w:cs="Times New Roman"/>
                <w:spacing w:val="10"/>
              </w:rPr>
              <w:t xml:space="preserve"> </w:t>
            </w:r>
            <w:r>
              <w:rPr>
                <w:spacing w:val="10"/>
              </w:rPr>
              <w:t>膜、过滤器</w:t>
            </w:r>
          </w:p>
          <w:p>
            <w:pPr>
              <w:pStyle w:val="TableText"/>
              <w:ind w:left="517"/>
              <w:spacing w:before="24" w:line="214" w:lineRule="auto"/>
              <w:rPr/>
            </w:pPr>
            <w:r>
              <w:rPr>
                <w:spacing w:val="3"/>
              </w:rPr>
              <w:t>组件</w:t>
            </w:r>
          </w:p>
        </w:tc>
        <w:tc>
          <w:tcPr>
            <w:tcW w:w="989" w:type="dxa"/>
            <w:vAlign w:val="top"/>
          </w:tcPr>
          <w:p>
            <w:pPr>
              <w:pStyle w:val="TableText"/>
              <w:ind w:left="84"/>
              <w:spacing w:before="170" w:line="228" w:lineRule="auto"/>
              <w:rPr/>
            </w:pPr>
            <w:r>
              <w:rPr>
                <w:spacing w:val="6"/>
              </w:rPr>
              <w:t>一般固废</w:t>
            </w:r>
          </w:p>
        </w:tc>
        <w:tc>
          <w:tcPr>
            <w:tcW w:w="1606" w:type="dxa"/>
            <w:vAlign w:val="top"/>
          </w:tcPr>
          <w:p>
            <w:pPr>
              <w:pStyle w:val="TableText"/>
              <w:ind w:left="77"/>
              <w:spacing w:before="169" w:line="228" w:lineRule="auto"/>
              <w:rPr/>
            </w:pPr>
            <w:r>
              <w:rPr>
                <w:spacing w:val="8"/>
              </w:rPr>
              <w:t>一般固废暂存间</w:t>
            </w:r>
          </w:p>
        </w:tc>
        <w:tc>
          <w:tcPr>
            <w:tcW w:w="1611" w:type="dxa"/>
            <w:vAlign w:val="top"/>
          </w:tcPr>
          <w:p>
            <w:pPr>
              <w:pStyle w:val="TableText"/>
              <w:ind w:left="714" w:right="69" w:hanging="613"/>
              <w:spacing w:before="36" w:line="232" w:lineRule="auto"/>
              <w:rPr/>
            </w:pPr>
            <w:r>
              <w:rPr>
                <w:spacing w:val="5"/>
              </w:rPr>
              <w:t>由其生产厂家回</w:t>
            </w:r>
            <w:r>
              <w:rPr/>
              <w:t xml:space="preserve"> </w:t>
            </w:r>
            <w:r>
              <w:rPr/>
              <w:t>收</w:t>
            </w:r>
          </w:p>
        </w:tc>
      </w:tr>
      <w:tr>
        <w:trPr>
          <w:trHeight w:val="550" w:hRule="atLeast"/>
        </w:trPr>
        <w:tc>
          <w:tcPr>
            <w:tcW w:w="498" w:type="dxa"/>
            <w:vAlign w:val="top"/>
            <w:gridSpan w:val="2"/>
          </w:tcPr>
          <w:p>
            <w:pPr>
              <w:ind w:left="110"/>
              <w:spacing w:before="208" w:line="21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4-3</w:t>
            </w:r>
          </w:p>
        </w:tc>
        <w:tc>
          <w:tcPr>
            <w:tcW w:w="1466" w:type="dxa"/>
            <w:vAlign w:val="top"/>
          </w:tcPr>
          <w:p>
            <w:pPr>
              <w:pStyle w:val="TableText"/>
              <w:ind w:left="211"/>
              <w:spacing w:before="170" w:line="228" w:lineRule="auto"/>
              <w:rPr/>
            </w:pPr>
            <w:r>
              <w:rPr>
                <w:spacing w:val="8"/>
              </w:rPr>
              <w:t>锅炉草木灰</w:t>
            </w:r>
          </w:p>
        </w:tc>
        <w:tc>
          <w:tcPr>
            <w:tcW w:w="902" w:type="dxa"/>
            <w:vAlign w:val="top"/>
          </w:tcPr>
          <w:p>
            <w:pPr>
              <w:ind w:left="215"/>
              <w:spacing w:before="2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279.8</w:t>
            </w:r>
          </w:p>
        </w:tc>
        <w:tc>
          <w:tcPr>
            <w:tcW w:w="1442" w:type="dxa"/>
            <w:vAlign w:val="top"/>
          </w:tcPr>
          <w:p>
            <w:pPr>
              <w:pStyle w:val="TableText"/>
              <w:ind w:left="413"/>
              <w:spacing w:before="170" w:line="228" w:lineRule="auto"/>
              <w:rPr/>
            </w:pPr>
            <w:r>
              <w:rPr>
                <w:spacing w:val="6"/>
              </w:rPr>
              <w:t>草木灰</w:t>
            </w:r>
          </w:p>
        </w:tc>
        <w:tc>
          <w:tcPr>
            <w:tcW w:w="989" w:type="dxa"/>
            <w:vAlign w:val="top"/>
          </w:tcPr>
          <w:p>
            <w:pPr>
              <w:pStyle w:val="TableText"/>
              <w:ind w:left="84"/>
              <w:spacing w:before="170" w:line="228" w:lineRule="auto"/>
              <w:rPr/>
            </w:pPr>
            <w:r>
              <w:rPr>
                <w:spacing w:val="6"/>
              </w:rPr>
              <w:t>一般固废</w:t>
            </w:r>
          </w:p>
        </w:tc>
        <w:tc>
          <w:tcPr>
            <w:tcW w:w="1606" w:type="dxa"/>
            <w:vAlign w:val="top"/>
          </w:tcPr>
          <w:p>
            <w:pPr>
              <w:pStyle w:val="TableText"/>
              <w:ind w:left="77"/>
              <w:spacing w:before="170" w:line="228" w:lineRule="auto"/>
              <w:rPr/>
            </w:pPr>
            <w:r>
              <w:rPr>
                <w:spacing w:val="8"/>
              </w:rPr>
              <w:t>一般固废暂存间</w:t>
            </w:r>
          </w:p>
        </w:tc>
        <w:tc>
          <w:tcPr>
            <w:tcW w:w="1611" w:type="dxa"/>
            <w:vAlign w:val="top"/>
          </w:tcPr>
          <w:p>
            <w:pPr>
              <w:pStyle w:val="TableText"/>
              <w:ind w:left="731" w:right="69" w:hanging="652"/>
              <w:spacing w:before="35" w:line="233" w:lineRule="auto"/>
              <w:rPr/>
            </w:pPr>
            <w:r>
              <w:rPr>
                <w:spacing w:val="8"/>
              </w:rPr>
              <w:t>外售作为肥料还</w:t>
            </w:r>
            <w:r>
              <w:rPr/>
              <w:t xml:space="preserve"> </w:t>
            </w:r>
            <w:r>
              <w:rPr/>
              <w:t>田</w:t>
            </w:r>
          </w:p>
        </w:tc>
      </w:tr>
      <w:tr>
        <w:trPr>
          <w:trHeight w:val="550" w:hRule="atLeast"/>
        </w:trPr>
        <w:tc>
          <w:tcPr>
            <w:tcW w:w="353" w:type="dxa"/>
            <w:vAlign w:val="top"/>
            <w:tcBorders>
              <w:right w:val="nil"/>
            </w:tcBorders>
          </w:tcPr>
          <w:p>
            <w:pPr>
              <w:ind w:left="18"/>
              <w:spacing w:before="86"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1-4</w:t>
            </w:r>
          </w:p>
          <w:p>
            <w:pPr>
              <w:ind w:left="18"/>
              <w:spacing w:before="56" w:line="20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4-4</w:t>
            </w:r>
          </w:p>
        </w:tc>
        <w:tc>
          <w:tcPr>
            <w:tcW w:w="145" w:type="dxa"/>
            <w:vAlign w:val="top"/>
            <w:tcBorders>
              <w:left w:val="nil"/>
            </w:tcBorders>
          </w:tcPr>
          <w:p>
            <w:pPr>
              <w:pStyle w:val="TableText"/>
              <w:spacing w:before="237" w:line="52" w:lineRule="exact"/>
              <w:jc w:val="right"/>
              <w:rPr>
                <w:sz w:val="10"/>
                <w:szCs w:val="10"/>
              </w:rPr>
            </w:pPr>
            <w:r>
              <w:rPr>
                <w:sz w:val="10"/>
                <w:szCs w:val="10"/>
                <w:spacing w:val="-21"/>
                <w:w w:val="97"/>
                <w:position w:val="1"/>
              </w:rPr>
              <w:t>、</w:t>
            </w:r>
          </w:p>
        </w:tc>
        <w:tc>
          <w:tcPr>
            <w:tcW w:w="1466" w:type="dxa"/>
            <w:vAlign w:val="top"/>
          </w:tcPr>
          <w:p>
            <w:pPr>
              <w:pStyle w:val="TableText"/>
              <w:ind w:left="419"/>
              <w:spacing w:before="169" w:line="227" w:lineRule="auto"/>
              <w:rPr/>
            </w:pPr>
            <w:r>
              <w:rPr>
                <w:spacing w:val="7"/>
              </w:rPr>
              <w:t>废布袋</w:t>
            </w:r>
          </w:p>
        </w:tc>
        <w:tc>
          <w:tcPr>
            <w:tcW w:w="902" w:type="dxa"/>
            <w:vAlign w:val="top"/>
          </w:tcPr>
          <w:p>
            <w:pPr>
              <w:ind w:left="322"/>
              <w:spacing w:before="2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0.5</w:t>
            </w:r>
          </w:p>
        </w:tc>
        <w:tc>
          <w:tcPr>
            <w:tcW w:w="1442" w:type="dxa"/>
            <w:vAlign w:val="top"/>
          </w:tcPr>
          <w:p>
            <w:pPr>
              <w:pStyle w:val="TableText"/>
              <w:ind w:left="200"/>
              <w:spacing w:before="169" w:line="227" w:lineRule="auto"/>
              <w:rPr/>
            </w:pPr>
            <w:r>
              <w:rPr>
                <w:spacing w:val="8"/>
              </w:rPr>
              <w:t>布袋除尘器</w:t>
            </w:r>
          </w:p>
        </w:tc>
        <w:tc>
          <w:tcPr>
            <w:tcW w:w="989" w:type="dxa"/>
            <w:vAlign w:val="top"/>
          </w:tcPr>
          <w:p>
            <w:pPr>
              <w:pStyle w:val="TableText"/>
              <w:ind w:left="84"/>
              <w:spacing w:before="170" w:line="228" w:lineRule="auto"/>
              <w:rPr/>
            </w:pPr>
            <w:r>
              <w:rPr>
                <w:spacing w:val="6"/>
              </w:rPr>
              <w:t>一般固废</w:t>
            </w:r>
          </w:p>
        </w:tc>
        <w:tc>
          <w:tcPr>
            <w:tcW w:w="1606" w:type="dxa"/>
            <w:vAlign w:val="top"/>
          </w:tcPr>
          <w:p>
            <w:pPr>
              <w:pStyle w:val="TableText"/>
              <w:ind w:left="77"/>
              <w:spacing w:before="169" w:line="228" w:lineRule="auto"/>
              <w:rPr/>
            </w:pPr>
            <w:r>
              <w:rPr>
                <w:spacing w:val="8"/>
              </w:rPr>
              <w:t>一般固废暂存间</w:t>
            </w:r>
          </w:p>
        </w:tc>
        <w:tc>
          <w:tcPr>
            <w:tcW w:w="1611" w:type="dxa"/>
            <w:vAlign w:val="top"/>
          </w:tcPr>
          <w:p>
            <w:pPr>
              <w:pStyle w:val="TableText"/>
              <w:ind w:left="714" w:right="69" w:hanging="613"/>
              <w:spacing w:before="35" w:line="233" w:lineRule="auto"/>
              <w:rPr/>
            </w:pPr>
            <w:r>
              <w:rPr>
                <w:spacing w:val="5"/>
              </w:rPr>
              <w:t>由其生产厂家回</w:t>
            </w:r>
            <w:r>
              <w:rPr/>
              <w:t xml:space="preserve"> </w:t>
            </w:r>
            <w:r>
              <w:rPr/>
              <w:t>收</w:t>
            </w:r>
          </w:p>
        </w:tc>
      </w:tr>
      <w:tr>
        <w:trPr>
          <w:trHeight w:val="549" w:hRule="atLeast"/>
        </w:trPr>
        <w:tc>
          <w:tcPr>
            <w:tcW w:w="498" w:type="dxa"/>
            <w:vAlign w:val="top"/>
            <w:gridSpan w:val="2"/>
          </w:tcPr>
          <w:p>
            <w:pPr>
              <w:ind w:left="110"/>
              <w:spacing w:before="207"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4-1</w:t>
            </w:r>
          </w:p>
        </w:tc>
        <w:tc>
          <w:tcPr>
            <w:tcW w:w="1466" w:type="dxa"/>
            <w:vAlign w:val="top"/>
          </w:tcPr>
          <w:p>
            <w:pPr>
              <w:pStyle w:val="TableText"/>
              <w:ind w:left="314"/>
              <w:spacing w:before="168" w:line="228" w:lineRule="auto"/>
              <w:rPr/>
            </w:pPr>
            <w:r>
              <w:rPr>
                <w:spacing w:val="7"/>
              </w:rPr>
              <w:t>废矿物油</w:t>
            </w:r>
          </w:p>
        </w:tc>
        <w:tc>
          <w:tcPr>
            <w:tcW w:w="902" w:type="dxa"/>
            <w:vAlign w:val="top"/>
          </w:tcPr>
          <w:p>
            <w:pPr>
              <w:ind w:left="266"/>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2.73</w:t>
            </w:r>
          </w:p>
        </w:tc>
        <w:tc>
          <w:tcPr>
            <w:tcW w:w="1442" w:type="dxa"/>
            <w:vAlign w:val="top"/>
          </w:tcPr>
          <w:p>
            <w:pPr>
              <w:pStyle w:val="TableText"/>
              <w:ind w:left="199"/>
              <w:spacing w:before="168" w:line="228" w:lineRule="auto"/>
              <w:rPr/>
            </w:pPr>
            <w:r>
              <w:rPr>
                <w:spacing w:val="8"/>
              </w:rPr>
              <w:t>废润滑油等</w:t>
            </w:r>
          </w:p>
        </w:tc>
        <w:tc>
          <w:tcPr>
            <w:tcW w:w="989" w:type="dxa"/>
            <w:vAlign w:val="top"/>
          </w:tcPr>
          <w:p>
            <w:pPr>
              <w:pStyle w:val="TableText"/>
              <w:ind w:left="83"/>
              <w:spacing w:before="169" w:line="228" w:lineRule="auto"/>
              <w:rPr/>
            </w:pPr>
            <w:r>
              <w:rPr>
                <w:spacing w:val="6"/>
              </w:rPr>
              <w:t>危险废物</w:t>
            </w:r>
          </w:p>
        </w:tc>
        <w:tc>
          <w:tcPr>
            <w:tcW w:w="1606" w:type="dxa"/>
            <w:vAlign w:val="top"/>
          </w:tcPr>
          <w:p>
            <w:pPr>
              <w:pStyle w:val="TableText"/>
              <w:ind w:left="287"/>
              <w:spacing w:before="168" w:line="228" w:lineRule="auto"/>
              <w:rPr/>
            </w:pPr>
            <w:r>
              <w:rPr>
                <w:spacing w:val="7"/>
              </w:rPr>
              <w:t>危废暂存间</w:t>
            </w:r>
          </w:p>
        </w:tc>
        <w:tc>
          <w:tcPr>
            <w:tcW w:w="1611" w:type="dxa"/>
            <w:vAlign w:val="top"/>
          </w:tcPr>
          <w:p>
            <w:pPr>
              <w:pStyle w:val="TableText"/>
              <w:ind w:left="604" w:right="69" w:hanging="530"/>
              <w:spacing w:before="34" w:line="233" w:lineRule="auto"/>
              <w:rPr/>
            </w:pPr>
            <w:r>
              <w:rPr>
                <w:spacing w:val="8"/>
              </w:rPr>
              <w:t>委托有资质单位</w:t>
            </w:r>
            <w:r>
              <w:rPr>
                <w:spacing w:val="4"/>
              </w:rPr>
              <w:t xml:space="preserve"> </w:t>
            </w:r>
            <w:r>
              <w:rPr>
                <w:spacing w:val="2"/>
              </w:rPr>
              <w:t>处理</w:t>
            </w:r>
          </w:p>
        </w:tc>
      </w:tr>
      <w:tr>
        <w:trPr>
          <w:trHeight w:val="550" w:hRule="atLeast"/>
        </w:trPr>
        <w:tc>
          <w:tcPr>
            <w:tcW w:w="498" w:type="dxa"/>
            <w:vAlign w:val="top"/>
            <w:gridSpan w:val="2"/>
          </w:tcPr>
          <w:p>
            <w:pPr>
              <w:ind w:left="110"/>
              <w:spacing w:before="208"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4-2</w:t>
            </w:r>
          </w:p>
        </w:tc>
        <w:tc>
          <w:tcPr>
            <w:tcW w:w="1466" w:type="dxa"/>
            <w:vAlign w:val="top"/>
          </w:tcPr>
          <w:p>
            <w:pPr>
              <w:pStyle w:val="TableText"/>
              <w:ind w:left="419"/>
              <w:spacing w:before="171" w:line="228" w:lineRule="auto"/>
              <w:rPr/>
            </w:pPr>
            <w:r>
              <w:rPr>
                <w:spacing w:val="7"/>
              </w:rPr>
              <w:t>废油桶</w:t>
            </w:r>
          </w:p>
        </w:tc>
        <w:tc>
          <w:tcPr>
            <w:tcW w:w="902" w:type="dxa"/>
            <w:vAlign w:val="top"/>
          </w:tcPr>
          <w:p>
            <w:pPr>
              <w:ind w:left="269"/>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0.26</w:t>
            </w:r>
          </w:p>
        </w:tc>
        <w:tc>
          <w:tcPr>
            <w:tcW w:w="1442" w:type="dxa"/>
            <w:vAlign w:val="top"/>
          </w:tcPr>
          <w:p>
            <w:pPr>
              <w:pStyle w:val="TableText"/>
              <w:ind w:left="412"/>
              <w:spacing w:before="171" w:line="228" w:lineRule="auto"/>
              <w:rPr/>
            </w:pPr>
            <w:r>
              <w:rPr>
                <w:spacing w:val="6"/>
              </w:rPr>
              <w:t>石油类</w:t>
            </w:r>
          </w:p>
        </w:tc>
        <w:tc>
          <w:tcPr>
            <w:tcW w:w="989" w:type="dxa"/>
            <w:vAlign w:val="top"/>
          </w:tcPr>
          <w:p>
            <w:pPr>
              <w:pStyle w:val="TableText"/>
              <w:ind w:left="83"/>
              <w:spacing w:before="172" w:line="228" w:lineRule="auto"/>
              <w:rPr/>
            </w:pPr>
            <w:r>
              <w:rPr>
                <w:spacing w:val="6"/>
              </w:rPr>
              <w:t>危险废物</w:t>
            </w:r>
          </w:p>
        </w:tc>
        <w:tc>
          <w:tcPr>
            <w:tcW w:w="1606" w:type="dxa"/>
            <w:vAlign w:val="top"/>
          </w:tcPr>
          <w:p>
            <w:pPr>
              <w:pStyle w:val="TableText"/>
              <w:ind w:left="287"/>
              <w:spacing w:before="171" w:line="228" w:lineRule="auto"/>
              <w:rPr/>
            </w:pPr>
            <w:r>
              <w:rPr>
                <w:spacing w:val="7"/>
              </w:rPr>
              <w:t>危废暂存间</w:t>
            </w:r>
          </w:p>
        </w:tc>
        <w:tc>
          <w:tcPr>
            <w:tcW w:w="1611" w:type="dxa"/>
            <w:vAlign w:val="top"/>
          </w:tcPr>
          <w:p>
            <w:pPr>
              <w:pStyle w:val="TableText"/>
              <w:ind w:left="604" w:right="69" w:hanging="530"/>
              <w:spacing w:before="35" w:line="233" w:lineRule="auto"/>
              <w:rPr/>
            </w:pPr>
            <w:r>
              <w:rPr>
                <w:spacing w:val="8"/>
              </w:rPr>
              <w:t>委托有资质单位</w:t>
            </w:r>
            <w:r>
              <w:rPr>
                <w:spacing w:val="4"/>
              </w:rPr>
              <w:t xml:space="preserve"> </w:t>
            </w:r>
            <w:r>
              <w:rPr>
                <w:spacing w:val="2"/>
              </w:rPr>
              <w:t>处理</w:t>
            </w:r>
          </w:p>
        </w:tc>
      </w:tr>
      <w:tr>
        <w:trPr>
          <w:trHeight w:val="281" w:hRule="atLeast"/>
        </w:trPr>
        <w:tc>
          <w:tcPr>
            <w:tcW w:w="498" w:type="dxa"/>
            <w:vAlign w:val="top"/>
            <w:gridSpan w:val="2"/>
          </w:tcPr>
          <w:p>
            <w:pPr>
              <w:ind w:left="217"/>
              <w:spacing w:before="6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466" w:type="dxa"/>
            <w:vAlign w:val="top"/>
          </w:tcPr>
          <w:p>
            <w:pPr>
              <w:pStyle w:val="TableText"/>
              <w:ind w:left="527"/>
              <w:spacing w:before="34" w:line="218" w:lineRule="auto"/>
              <w:rPr/>
            </w:pPr>
            <w:r>
              <w:rPr>
                <w:spacing w:val="4"/>
              </w:rPr>
              <w:t>合计</w:t>
            </w:r>
          </w:p>
        </w:tc>
        <w:tc>
          <w:tcPr>
            <w:tcW w:w="902" w:type="dxa"/>
            <w:vAlign w:val="top"/>
          </w:tcPr>
          <w:p>
            <w:pPr>
              <w:ind w:right="2"/>
              <w:spacing w:before="70"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10617.428</w:t>
            </w:r>
          </w:p>
        </w:tc>
        <w:tc>
          <w:tcPr>
            <w:tcW w:w="1442" w:type="dxa"/>
            <w:vAlign w:val="top"/>
          </w:tcPr>
          <w:p>
            <w:pPr>
              <w:ind w:left="689"/>
              <w:spacing w:before="6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989" w:type="dxa"/>
            <w:vAlign w:val="top"/>
          </w:tcPr>
          <w:p>
            <w:pPr>
              <w:ind w:left="464"/>
              <w:spacing w:before="6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606" w:type="dxa"/>
            <w:vAlign w:val="top"/>
          </w:tcPr>
          <w:p>
            <w:pPr>
              <w:rPr>
                <w:rFonts w:ascii="Arial"/>
                <w:sz w:val="21"/>
              </w:rPr>
            </w:pPr>
            <w:r/>
          </w:p>
        </w:tc>
        <w:tc>
          <w:tcPr>
            <w:tcW w:w="1611" w:type="dxa"/>
            <w:vAlign w:val="top"/>
          </w:tcPr>
          <w:p>
            <w:pPr>
              <w:ind w:left="773"/>
              <w:spacing w:before="6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bl>
    <w:p>
      <w:pPr>
        <w:ind w:left="18" w:right="7" w:firstLine="479"/>
        <w:spacing w:before="36" w:line="359" w:lineRule="auto"/>
        <w:rPr>
          <w:rFonts w:ascii="SimSun" w:hAnsi="SimSun" w:eastAsia="SimSun" w:cs="SimSun"/>
          <w:sz w:val="24"/>
          <w:szCs w:val="24"/>
        </w:rPr>
      </w:pPr>
      <w:r>
        <w:rPr>
          <w:rFonts w:ascii="SimSun" w:hAnsi="SimSun" w:eastAsia="SimSun" w:cs="SimSun"/>
          <w:sz w:val="24"/>
          <w:szCs w:val="24"/>
          <w:spacing w:val="3"/>
        </w:rPr>
        <w:t>根据《建设项目危险废物环境影响评价指南》和《</w:t>
      </w:r>
      <w:r>
        <w:rPr>
          <w:rFonts w:ascii="SimSun" w:hAnsi="SimSun" w:eastAsia="SimSun" w:cs="SimSun"/>
          <w:sz w:val="24"/>
          <w:szCs w:val="24"/>
          <w:spacing w:val="2"/>
        </w:rPr>
        <w:t>国家危险废物名录（</w:t>
      </w:r>
      <w:r>
        <w:rPr>
          <w:rFonts w:ascii="Times New Roman" w:hAnsi="Times New Roman" w:eastAsia="Times New Roman" w:cs="Times New Roman"/>
          <w:sz w:val="24"/>
          <w:szCs w:val="24"/>
          <w:spacing w:val="2"/>
        </w:rPr>
        <w:t>2025</w:t>
      </w:r>
      <w:r>
        <w:rPr>
          <w:rFonts w:ascii="Times New Roman" w:hAnsi="Times New Roman" w:eastAsia="Times New Roman" w:cs="Times New Roman"/>
          <w:sz w:val="24"/>
          <w:szCs w:val="24"/>
        </w:rPr>
        <w:t xml:space="preserve"> </w:t>
      </w:r>
      <w:r>
        <w:rPr>
          <w:rFonts w:ascii="SimSun" w:hAnsi="SimSun" w:eastAsia="SimSun" w:cs="SimSun"/>
          <w:sz w:val="24"/>
          <w:szCs w:val="24"/>
          <w:spacing w:val="-1"/>
        </w:rPr>
        <w:t>年版）》，确定本项目的危险废物为废矿物油、废油桶，详细信息见表</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1"/>
        </w:rPr>
        <w:t>3.5-11</w:t>
      </w:r>
      <w:r>
        <w:rPr>
          <w:rFonts w:ascii="SimSun" w:hAnsi="SimSun" w:eastAsia="SimSun" w:cs="SimSun"/>
          <w:sz w:val="24"/>
          <w:szCs w:val="24"/>
          <w:spacing w:val="-1"/>
        </w:rPr>
        <w:t>。</w:t>
      </w:r>
    </w:p>
    <w:p>
      <w:pPr>
        <w:ind w:left="2783"/>
        <w:spacing w:line="220"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4"/>
        </w:rPr>
        <w:t xml:space="preserve"> </w:t>
      </w:r>
      <w:r>
        <w:rPr>
          <w:rFonts w:ascii="Times New Roman" w:hAnsi="Times New Roman" w:eastAsia="Times New Roman" w:cs="Times New Roman"/>
          <w:sz w:val="24"/>
          <w:szCs w:val="24"/>
          <w:b/>
          <w:bCs/>
          <w:spacing w:val="-2"/>
        </w:rPr>
        <w:t>3.5-11      </w:t>
      </w:r>
      <w:r>
        <w:rPr>
          <w:rFonts w:ascii="SimSun" w:hAnsi="SimSun" w:eastAsia="SimSun" w:cs="SimSun"/>
          <w:sz w:val="24"/>
          <w:szCs w:val="24"/>
          <w:b/>
          <w:bCs/>
          <w:spacing w:val="-2"/>
        </w:rPr>
        <w:t>危险废物汇总表</w:t>
      </w:r>
    </w:p>
    <w:p>
      <w:pPr>
        <w:ind w:left="15"/>
        <w:spacing w:before="270" w:line="227" w:lineRule="auto"/>
        <w:rPr>
          <w:rFonts w:ascii="SimSun" w:hAnsi="SimSun" w:eastAsia="SimSun" w:cs="SimSun"/>
          <w:sz w:val="19"/>
          <w:szCs w:val="19"/>
        </w:rPr>
      </w:pPr>
      <w:r>
        <w:pict>
          <v:shape id="_x0000_s536" style="position:absolute;margin-left:159.72pt;margin-top:12.5163pt;mso-position-vertical-relative:text;mso-position-horizontal-relative:text;width:61pt;height:13.75pt;z-index:25189478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rPr>
                    <w:t>任公司</w:t>
                  </w:r>
                  <w:r>
                    <w:rPr>
                      <w:rFonts w:ascii="SimSun" w:hAnsi="SimSun" w:eastAsia="SimSun" w:cs="SimSun"/>
                      <w:sz w:val="19"/>
                      <w:szCs w:val="19"/>
                      <w:spacing w:val="18"/>
                    </w:rPr>
                    <w:t xml:space="preserve">   </w:t>
                  </w:r>
                  <w:r>
                    <w:rPr>
                      <w:rFonts w:ascii="Times New Roman" w:hAnsi="Times New Roman" w:eastAsia="Times New Roman" w:cs="Times New Roman"/>
                      <w:sz w:val="18"/>
                      <w:szCs w:val="18"/>
                      <w:position w:val="2"/>
                    </w:rPr>
                    <w:t>107</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95"/>
          <w:pgSz w:w="11907" w:h="16840"/>
          <w:pgMar w:top="1567" w:right="1694" w:bottom="400" w:left="1693" w:header="1221" w:footer="0" w:gutter="0"/>
        </w:sectPr>
        <w:rPr>
          <w:rFonts w:ascii="SimSun" w:hAnsi="SimSun" w:eastAsia="SimSun" w:cs="SimSun"/>
          <w:sz w:val="19"/>
          <w:szCs w:val="19"/>
        </w:rPr>
      </w:pPr>
    </w:p>
    <w:p>
      <w:pPr>
        <w:spacing w:line="133" w:lineRule="exact"/>
        <w:rPr/>
      </w:pPr>
      <w:r>
        <w:pict>
          <v:shape id="_x0000_s540" style="position:absolute;margin-left:85.05pt;margin-top:78.87pt;mso-position-vertical-relative:page;mso-position-horizontal-relative:page;width:425.25pt;height:0.75pt;z-index:251897856;" o:allowincell="f" fillcolor="#000000" filled="true" stroked="false" coordsize="8505,15" coordorigin="0,0" path="m,l8505,0l8505,14l0,14l0,0xe"/>
        </w:pict>
      </w:r>
      <w:r/>
    </w:p>
    <w:tbl>
      <w:tblPr>
        <w:tblStyle w:val="TableNormal"/>
        <w:tblW w:w="8521" w:type="dxa"/>
        <w:tblInd w:w="177"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63"/>
        <w:gridCol w:w="784"/>
        <w:gridCol w:w="1399"/>
        <w:gridCol w:w="1095"/>
        <w:gridCol w:w="786"/>
        <w:gridCol w:w="942"/>
        <w:gridCol w:w="464"/>
        <w:gridCol w:w="829"/>
        <w:gridCol w:w="469"/>
        <w:gridCol w:w="522"/>
        <w:gridCol w:w="768"/>
      </w:tblGrid>
      <w:tr>
        <w:trPr>
          <w:trHeight w:val="554" w:hRule="atLeast"/>
        </w:trPr>
        <w:tc>
          <w:tcPr>
            <w:tcW w:w="463" w:type="dxa"/>
            <w:vAlign w:val="top"/>
          </w:tcPr>
          <w:p>
            <w:pPr>
              <w:pStyle w:val="TableText"/>
              <w:ind w:left="25"/>
              <w:spacing w:before="172" w:line="229" w:lineRule="auto"/>
              <w:rPr/>
            </w:pPr>
            <w:r>
              <w:rPr>
                <w:spacing w:val="5"/>
              </w:rPr>
              <w:t>序号</w:t>
            </w:r>
          </w:p>
        </w:tc>
        <w:tc>
          <w:tcPr>
            <w:tcW w:w="784" w:type="dxa"/>
            <w:vAlign w:val="top"/>
          </w:tcPr>
          <w:p>
            <w:pPr>
              <w:pStyle w:val="TableText"/>
              <w:ind w:left="84"/>
              <w:spacing w:before="35" w:line="228" w:lineRule="auto"/>
              <w:rPr/>
            </w:pPr>
            <w:r>
              <w:rPr>
                <w:spacing w:val="6"/>
              </w:rPr>
              <w:t>危险废</w:t>
            </w:r>
          </w:p>
          <w:p>
            <w:pPr>
              <w:pStyle w:val="TableText"/>
              <w:ind w:left="81"/>
              <w:spacing w:before="26" w:line="217" w:lineRule="auto"/>
              <w:rPr/>
            </w:pPr>
            <w:r>
              <w:rPr>
                <w:spacing w:val="6"/>
              </w:rPr>
              <w:t>物名称</w:t>
            </w:r>
          </w:p>
        </w:tc>
        <w:tc>
          <w:tcPr>
            <w:tcW w:w="1399" w:type="dxa"/>
            <w:vAlign w:val="top"/>
          </w:tcPr>
          <w:p>
            <w:pPr>
              <w:pStyle w:val="TableText"/>
              <w:ind w:left="75"/>
              <w:spacing w:before="171" w:line="228" w:lineRule="auto"/>
              <w:rPr/>
            </w:pPr>
            <w:r>
              <w:rPr>
                <w:spacing w:val="7"/>
              </w:rPr>
              <w:t>危险废物类别</w:t>
            </w:r>
          </w:p>
        </w:tc>
        <w:tc>
          <w:tcPr>
            <w:tcW w:w="1095" w:type="dxa"/>
            <w:vAlign w:val="top"/>
          </w:tcPr>
          <w:p>
            <w:pPr>
              <w:pStyle w:val="TableText"/>
              <w:ind w:left="30"/>
              <w:spacing w:before="35" w:line="228" w:lineRule="auto"/>
              <w:rPr/>
            </w:pPr>
            <w:r>
              <w:rPr>
                <w:spacing w:val="7"/>
              </w:rPr>
              <w:t>危险废物代</w:t>
            </w:r>
          </w:p>
          <w:p>
            <w:pPr>
              <w:pStyle w:val="TableText"/>
              <w:ind w:left="446"/>
              <w:spacing w:before="26" w:line="217" w:lineRule="auto"/>
              <w:rPr/>
            </w:pPr>
            <w:r>
              <w:rPr>
                <w:spacing w:val="1"/>
              </w:rPr>
              <w:t>码</w:t>
            </w:r>
          </w:p>
        </w:tc>
        <w:tc>
          <w:tcPr>
            <w:tcW w:w="786" w:type="dxa"/>
            <w:vAlign w:val="top"/>
          </w:tcPr>
          <w:p>
            <w:pPr>
              <w:pStyle w:val="TableText"/>
              <w:ind w:left="84"/>
              <w:spacing w:before="35" w:line="228" w:lineRule="auto"/>
              <w:rPr/>
            </w:pPr>
            <w:r>
              <w:rPr>
                <w:spacing w:val="6"/>
              </w:rPr>
              <w:t>产生量</w:t>
            </w:r>
          </w:p>
          <w:p>
            <w:pPr>
              <w:pStyle w:val="TableText"/>
              <w:ind w:left="94"/>
              <w:spacing w:before="26" w:line="217" w:lineRule="auto"/>
              <w:rPr/>
            </w:pPr>
            <w:r>
              <w:rPr>
                <w:spacing w:val="-1"/>
              </w:rPr>
              <w:t>（</w:t>
            </w:r>
            <w:r>
              <w:rPr>
                <w:rFonts w:ascii="Times New Roman" w:hAnsi="Times New Roman" w:eastAsia="Times New Roman" w:cs="Times New Roman"/>
                <w:spacing w:val="-1"/>
              </w:rPr>
              <w:t>t/a</w:t>
            </w:r>
            <w:r>
              <w:rPr>
                <w:spacing w:val="-1"/>
              </w:rPr>
              <w:t>）</w:t>
            </w:r>
          </w:p>
        </w:tc>
        <w:tc>
          <w:tcPr>
            <w:tcW w:w="942" w:type="dxa"/>
            <w:vAlign w:val="top"/>
          </w:tcPr>
          <w:p>
            <w:pPr>
              <w:pStyle w:val="TableText"/>
              <w:ind w:left="161" w:right="50" w:hanging="104"/>
              <w:spacing w:before="34" w:line="235" w:lineRule="auto"/>
              <w:rPr/>
            </w:pPr>
            <w:r>
              <w:rPr>
                <w:spacing w:val="7"/>
              </w:rPr>
              <w:t>产生工序</w:t>
            </w:r>
            <w:r>
              <w:rPr/>
              <w:t xml:space="preserve"> </w:t>
            </w:r>
            <w:r>
              <w:rPr>
                <w:spacing w:val="7"/>
              </w:rPr>
              <w:t>及装置</w:t>
            </w:r>
          </w:p>
        </w:tc>
        <w:tc>
          <w:tcPr>
            <w:tcW w:w="464" w:type="dxa"/>
            <w:vAlign w:val="top"/>
          </w:tcPr>
          <w:p>
            <w:pPr>
              <w:pStyle w:val="TableText"/>
              <w:ind w:left="32"/>
              <w:spacing w:before="172" w:line="230" w:lineRule="auto"/>
              <w:rPr/>
            </w:pPr>
            <w:r>
              <w:rPr>
                <w:spacing w:val="3"/>
              </w:rPr>
              <w:t>形态</w:t>
            </w:r>
          </w:p>
        </w:tc>
        <w:tc>
          <w:tcPr>
            <w:tcW w:w="829" w:type="dxa"/>
            <w:vAlign w:val="top"/>
          </w:tcPr>
          <w:p>
            <w:pPr>
              <w:pStyle w:val="TableText"/>
              <w:ind w:left="109"/>
              <w:spacing w:before="35" w:line="229" w:lineRule="auto"/>
              <w:rPr/>
            </w:pPr>
            <w:r>
              <w:rPr>
                <w:spacing w:val="6"/>
              </w:rPr>
              <w:t>主要成</w:t>
            </w:r>
          </w:p>
          <w:p>
            <w:pPr>
              <w:pStyle w:val="TableText"/>
              <w:ind w:left="319"/>
              <w:spacing w:before="25" w:line="217" w:lineRule="auto"/>
              <w:rPr/>
            </w:pPr>
            <w:r>
              <w:rPr/>
              <w:t>分</w:t>
            </w:r>
          </w:p>
        </w:tc>
        <w:tc>
          <w:tcPr>
            <w:tcW w:w="469" w:type="dxa"/>
            <w:vAlign w:val="top"/>
          </w:tcPr>
          <w:p>
            <w:pPr>
              <w:pStyle w:val="TableText"/>
              <w:ind w:left="32"/>
              <w:spacing w:before="35" w:line="228" w:lineRule="auto"/>
              <w:rPr/>
            </w:pPr>
            <w:r>
              <w:rPr>
                <w:spacing w:val="4"/>
              </w:rPr>
              <w:t>产废</w:t>
            </w:r>
          </w:p>
          <w:p>
            <w:pPr>
              <w:pStyle w:val="TableText"/>
              <w:ind w:left="33"/>
              <w:spacing w:before="26" w:line="217" w:lineRule="auto"/>
              <w:rPr/>
            </w:pPr>
            <w:r>
              <w:rPr>
                <w:spacing w:val="4"/>
              </w:rPr>
              <w:t>周期</w:t>
            </w:r>
          </w:p>
        </w:tc>
        <w:tc>
          <w:tcPr>
            <w:tcW w:w="522" w:type="dxa"/>
            <w:vAlign w:val="top"/>
          </w:tcPr>
          <w:p>
            <w:pPr>
              <w:pStyle w:val="TableText"/>
              <w:ind w:left="60"/>
              <w:spacing w:before="35" w:line="228" w:lineRule="auto"/>
              <w:rPr/>
            </w:pPr>
            <w:r>
              <w:rPr>
                <w:spacing w:val="3"/>
              </w:rPr>
              <w:t>危险</w:t>
            </w:r>
          </w:p>
          <w:p>
            <w:pPr>
              <w:pStyle w:val="TableText"/>
              <w:ind w:left="57"/>
              <w:spacing w:before="26" w:line="217" w:lineRule="auto"/>
              <w:rPr/>
            </w:pPr>
            <w:r>
              <w:rPr>
                <w:spacing w:val="4"/>
              </w:rPr>
              <w:t>特性</w:t>
            </w:r>
          </w:p>
        </w:tc>
        <w:tc>
          <w:tcPr>
            <w:tcW w:w="768" w:type="dxa"/>
            <w:vAlign w:val="top"/>
          </w:tcPr>
          <w:p>
            <w:pPr>
              <w:pStyle w:val="TableText"/>
              <w:ind w:left="77"/>
              <w:spacing w:before="35" w:line="228" w:lineRule="auto"/>
              <w:rPr/>
            </w:pPr>
            <w:r>
              <w:rPr>
                <w:spacing w:val="6"/>
              </w:rPr>
              <w:t>污染防</w:t>
            </w:r>
          </w:p>
          <w:p>
            <w:pPr>
              <w:pStyle w:val="TableText"/>
              <w:ind w:left="80"/>
              <w:spacing w:before="26" w:line="217" w:lineRule="auto"/>
              <w:rPr/>
            </w:pPr>
            <w:r>
              <w:rPr>
                <w:spacing w:val="5"/>
              </w:rPr>
              <w:t>治措施</w:t>
            </w:r>
          </w:p>
        </w:tc>
      </w:tr>
      <w:tr>
        <w:trPr>
          <w:trHeight w:val="818" w:hRule="atLeast"/>
        </w:trPr>
        <w:tc>
          <w:tcPr>
            <w:tcW w:w="463" w:type="dxa"/>
            <w:vAlign w:val="top"/>
          </w:tcPr>
          <w:p>
            <w:pPr>
              <w:spacing w:line="278" w:lineRule="auto"/>
              <w:rPr>
                <w:rFonts w:ascii="Arial"/>
                <w:sz w:val="21"/>
              </w:rPr>
            </w:pPr>
            <w:r/>
          </w:p>
          <w:p>
            <w:pPr>
              <w:ind w:left="201"/>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784" w:type="dxa"/>
            <w:vAlign w:val="top"/>
          </w:tcPr>
          <w:p>
            <w:pPr>
              <w:pStyle w:val="TableText"/>
              <w:ind w:left="81"/>
              <w:spacing w:before="165" w:line="228" w:lineRule="auto"/>
              <w:rPr/>
            </w:pPr>
            <w:r>
              <w:rPr>
                <w:spacing w:val="7"/>
              </w:rPr>
              <w:t>废活性</w:t>
            </w:r>
          </w:p>
          <w:p>
            <w:pPr>
              <w:pStyle w:val="TableText"/>
              <w:ind w:left="294"/>
              <w:spacing w:before="23" w:line="229" w:lineRule="auto"/>
              <w:rPr/>
            </w:pPr>
            <w:r>
              <w:rPr/>
              <w:t>炭</w:t>
            </w:r>
          </w:p>
        </w:tc>
        <w:tc>
          <w:tcPr>
            <w:tcW w:w="1399" w:type="dxa"/>
            <w:vAlign w:val="top"/>
          </w:tcPr>
          <w:p>
            <w:pPr>
              <w:pStyle w:val="TableText"/>
              <w:ind w:left="78"/>
              <w:spacing w:before="165" w:line="228" w:lineRule="auto"/>
              <w:rPr/>
            </w:pPr>
            <w:r>
              <w:rPr>
                <w:rFonts w:ascii="Times New Roman" w:hAnsi="Times New Roman" w:eastAsia="Times New Roman" w:cs="Times New Roman"/>
              </w:rPr>
              <w:t>HW</w:t>
            </w:r>
            <w:r>
              <w:rPr>
                <w:rFonts w:ascii="Times New Roman" w:hAnsi="Times New Roman" w:eastAsia="Times New Roman" w:cs="Times New Roman"/>
                <w:spacing w:val="8"/>
              </w:rPr>
              <w:t>49</w:t>
            </w:r>
            <w:r>
              <w:rPr>
                <w:rFonts w:ascii="Times New Roman" w:hAnsi="Times New Roman" w:eastAsia="Times New Roman" w:cs="Times New Roman"/>
                <w:spacing w:val="13"/>
              </w:rPr>
              <w:t xml:space="preserve"> </w:t>
            </w:r>
            <w:r>
              <w:rPr>
                <w:spacing w:val="8"/>
              </w:rPr>
              <w:t>其他废</w:t>
            </w:r>
          </w:p>
          <w:p>
            <w:pPr>
              <w:pStyle w:val="TableText"/>
              <w:ind w:left="598"/>
              <w:spacing w:before="23" w:line="229" w:lineRule="auto"/>
              <w:rPr/>
            </w:pPr>
            <w:r>
              <w:rPr/>
              <w:t>物</w:t>
            </w:r>
          </w:p>
        </w:tc>
        <w:tc>
          <w:tcPr>
            <w:tcW w:w="1095" w:type="dxa"/>
            <w:vAlign w:val="top"/>
          </w:tcPr>
          <w:p>
            <w:pPr>
              <w:spacing w:line="278" w:lineRule="auto"/>
              <w:rPr>
                <w:rFonts w:ascii="Arial"/>
                <w:sz w:val="21"/>
              </w:rPr>
            </w:pPr>
            <w:r/>
          </w:p>
          <w:p>
            <w:pPr>
              <w:ind w:left="6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900-039-49</w:t>
            </w:r>
          </w:p>
        </w:tc>
        <w:tc>
          <w:tcPr>
            <w:tcW w:w="786" w:type="dxa"/>
            <w:vAlign w:val="top"/>
          </w:tcPr>
          <w:p>
            <w:pPr>
              <w:spacing w:line="278" w:lineRule="auto"/>
              <w:rPr>
                <w:rFonts w:ascii="Arial"/>
                <w:sz w:val="21"/>
              </w:rPr>
            </w:pPr>
            <w:r/>
          </w:p>
          <w:p>
            <w:pPr>
              <w:ind w:left="230"/>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13.6</w:t>
            </w:r>
          </w:p>
        </w:tc>
        <w:tc>
          <w:tcPr>
            <w:tcW w:w="942" w:type="dxa"/>
            <w:vAlign w:val="top"/>
          </w:tcPr>
          <w:p>
            <w:pPr>
              <w:pStyle w:val="TableText"/>
              <w:ind w:left="57"/>
              <w:spacing w:before="164" w:line="228" w:lineRule="auto"/>
              <w:rPr/>
            </w:pPr>
            <w:r>
              <w:rPr>
                <w:spacing w:val="7"/>
              </w:rPr>
              <w:t>恶臭气态</w:t>
            </w:r>
          </w:p>
          <w:p>
            <w:pPr>
              <w:pStyle w:val="TableText"/>
              <w:ind w:left="61"/>
              <w:spacing w:before="24" w:line="228" w:lineRule="auto"/>
              <w:rPr/>
            </w:pPr>
            <w:r>
              <w:rPr>
                <w:spacing w:val="6"/>
              </w:rPr>
              <w:t>处理装置</w:t>
            </w:r>
          </w:p>
        </w:tc>
        <w:tc>
          <w:tcPr>
            <w:tcW w:w="464" w:type="dxa"/>
            <w:vAlign w:val="top"/>
          </w:tcPr>
          <w:p>
            <w:pPr>
              <w:pStyle w:val="TableText"/>
              <w:ind w:left="47"/>
              <w:spacing w:before="302" w:line="228" w:lineRule="auto"/>
              <w:rPr/>
            </w:pPr>
            <w:r>
              <w:rPr>
                <w:spacing w:val="-5"/>
              </w:rPr>
              <w:t>固态</w:t>
            </w:r>
          </w:p>
        </w:tc>
        <w:tc>
          <w:tcPr>
            <w:tcW w:w="829" w:type="dxa"/>
            <w:vAlign w:val="top"/>
          </w:tcPr>
          <w:p>
            <w:pPr>
              <w:spacing w:line="271" w:lineRule="auto"/>
              <w:rPr>
                <w:rFonts w:ascii="Arial"/>
                <w:sz w:val="21"/>
              </w:rPr>
            </w:pPr>
            <w:r/>
          </w:p>
          <w:p>
            <w:pPr>
              <w:pStyle w:val="TableText"/>
              <w:ind w:right="1"/>
              <w:spacing w:before="65" w:line="186" w:lineRule="auto"/>
              <w:jc w:val="right"/>
              <w:rPr>
                <w:rFonts w:ascii="Times New Roman" w:hAnsi="Times New Roman" w:eastAsia="Times New Roman" w:cs="Times New Roman"/>
              </w:rPr>
            </w:pPr>
            <w:r>
              <w:rPr>
                <w:rFonts w:ascii="Times New Roman" w:hAnsi="Times New Roman" w:eastAsia="Times New Roman" w:cs="Times New Roman"/>
                <w:spacing w:val="-13"/>
              </w:rPr>
              <w:t>C</w:t>
            </w:r>
            <w:r>
              <w:rPr>
                <w:rFonts w:ascii="Times New Roman" w:hAnsi="Times New Roman" w:eastAsia="Times New Roman" w:cs="Times New Roman"/>
                <w:spacing w:val="-25"/>
              </w:rPr>
              <w:t xml:space="preserve"> </w:t>
            </w:r>
            <w:r>
              <w:rPr>
                <w:spacing w:val="-13"/>
              </w:rPr>
              <w:t>、</w:t>
            </w:r>
            <w:r>
              <w:rPr>
                <w:rFonts w:ascii="Times New Roman" w:hAnsi="Times New Roman" w:eastAsia="Times New Roman" w:cs="Times New Roman"/>
                <w:spacing w:val="-13"/>
              </w:rPr>
              <w:t>H</w:t>
            </w:r>
            <w:r>
              <w:rPr>
                <w:rFonts w:ascii="Times New Roman" w:hAnsi="Times New Roman" w:eastAsia="Times New Roman" w:cs="Times New Roman"/>
                <w:spacing w:val="-27"/>
              </w:rPr>
              <w:t xml:space="preserve"> </w:t>
            </w:r>
            <w:r>
              <w:rPr>
                <w:spacing w:val="-12"/>
              </w:rPr>
              <w:t>、</w:t>
            </w:r>
            <w:r>
              <w:rPr>
                <w:rFonts w:ascii="Times New Roman" w:hAnsi="Times New Roman" w:eastAsia="Times New Roman" w:cs="Times New Roman"/>
                <w:spacing w:val="-9"/>
              </w:rPr>
              <w:t>O</w:t>
            </w:r>
          </w:p>
        </w:tc>
        <w:tc>
          <w:tcPr>
            <w:tcW w:w="469" w:type="dxa"/>
            <w:vAlign w:val="top"/>
          </w:tcPr>
          <w:p>
            <w:pPr>
              <w:pStyle w:val="TableText"/>
              <w:ind w:left="134" w:right="21" w:hanging="102"/>
              <w:spacing w:before="165" w:line="252" w:lineRule="auto"/>
              <w:rPr/>
            </w:pPr>
            <w:r>
              <w:rPr>
                <w:spacing w:val="4"/>
              </w:rPr>
              <w:t>每季</w:t>
            </w:r>
            <w:r>
              <w:rPr/>
              <w:t xml:space="preserve"> </w:t>
            </w:r>
            <w:r>
              <w:rPr>
                <w:spacing w:val="1"/>
              </w:rPr>
              <w:t>度</w:t>
            </w:r>
          </w:p>
        </w:tc>
        <w:tc>
          <w:tcPr>
            <w:tcW w:w="522" w:type="dxa"/>
            <w:vAlign w:val="top"/>
          </w:tcPr>
          <w:p>
            <w:pPr>
              <w:spacing w:line="281" w:lineRule="auto"/>
              <w:rPr>
                <w:rFonts w:ascii="Arial"/>
                <w:sz w:val="21"/>
              </w:rPr>
            </w:pPr>
            <w:r/>
          </w:p>
          <w:p>
            <w:pPr>
              <w:ind w:left="202"/>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T</w:t>
            </w:r>
          </w:p>
        </w:tc>
        <w:tc>
          <w:tcPr>
            <w:tcW w:w="768" w:type="dxa"/>
            <w:vAlign w:val="top"/>
            <w:vMerge w:val="restart"/>
            <w:tcBorders>
              <w:bottom w:val="nil"/>
            </w:tcBorders>
          </w:tcPr>
          <w:p>
            <w:pPr>
              <w:spacing w:line="262" w:lineRule="auto"/>
              <w:rPr>
                <w:rFonts w:ascii="Arial"/>
                <w:sz w:val="21"/>
              </w:rPr>
            </w:pPr>
            <w:r/>
          </w:p>
          <w:p>
            <w:pPr>
              <w:spacing w:line="262" w:lineRule="auto"/>
              <w:rPr>
                <w:rFonts w:ascii="Arial"/>
                <w:sz w:val="21"/>
              </w:rPr>
            </w:pPr>
            <w:r/>
          </w:p>
          <w:p>
            <w:pPr>
              <w:spacing w:line="263" w:lineRule="auto"/>
              <w:rPr>
                <w:rFonts w:ascii="Arial"/>
                <w:sz w:val="21"/>
              </w:rPr>
            </w:pPr>
            <w:r/>
          </w:p>
          <w:p>
            <w:pPr>
              <w:pStyle w:val="TableText"/>
              <w:ind w:left="75"/>
              <w:spacing w:before="65" w:line="228" w:lineRule="auto"/>
              <w:rPr/>
            </w:pPr>
            <w:r>
              <w:rPr>
                <w:spacing w:val="7"/>
              </w:rPr>
              <w:t>委托有</w:t>
            </w:r>
          </w:p>
          <w:p>
            <w:pPr>
              <w:pStyle w:val="TableText"/>
              <w:ind w:left="84"/>
              <w:spacing w:before="24" w:line="228" w:lineRule="auto"/>
              <w:rPr/>
            </w:pPr>
            <w:r>
              <w:rPr>
                <w:spacing w:val="3"/>
              </w:rPr>
              <w:t>资质单</w:t>
            </w:r>
          </w:p>
          <w:p>
            <w:pPr>
              <w:pStyle w:val="TableText"/>
              <w:ind w:left="75"/>
              <w:spacing w:before="26" w:line="229" w:lineRule="auto"/>
              <w:rPr/>
            </w:pPr>
            <w:r>
              <w:rPr>
                <w:spacing w:val="6"/>
              </w:rPr>
              <w:t>位处理</w:t>
            </w:r>
          </w:p>
        </w:tc>
      </w:tr>
      <w:tr>
        <w:trPr>
          <w:trHeight w:val="820" w:hRule="atLeast"/>
        </w:trPr>
        <w:tc>
          <w:tcPr>
            <w:tcW w:w="463" w:type="dxa"/>
            <w:vAlign w:val="top"/>
          </w:tcPr>
          <w:p>
            <w:pPr>
              <w:spacing w:line="281" w:lineRule="auto"/>
              <w:rPr>
                <w:rFonts w:ascii="Arial"/>
                <w:sz w:val="21"/>
              </w:rPr>
            </w:pPr>
            <w:r/>
          </w:p>
          <w:p>
            <w:pPr>
              <w:ind w:left="181"/>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784" w:type="dxa"/>
            <w:vAlign w:val="top"/>
          </w:tcPr>
          <w:p>
            <w:pPr>
              <w:pStyle w:val="TableText"/>
              <w:ind w:left="81"/>
              <w:spacing w:before="167" w:line="228" w:lineRule="auto"/>
              <w:rPr/>
            </w:pPr>
            <w:r>
              <w:rPr>
                <w:spacing w:val="7"/>
              </w:rPr>
              <w:t>废矿物</w:t>
            </w:r>
          </w:p>
          <w:p>
            <w:pPr>
              <w:pStyle w:val="TableText"/>
              <w:ind w:left="294"/>
              <w:spacing w:before="26" w:line="232" w:lineRule="auto"/>
              <w:rPr/>
            </w:pPr>
            <w:r>
              <w:rPr/>
              <w:t>油</w:t>
            </w:r>
          </w:p>
        </w:tc>
        <w:tc>
          <w:tcPr>
            <w:tcW w:w="1399" w:type="dxa"/>
            <w:vAlign w:val="top"/>
          </w:tcPr>
          <w:p>
            <w:pPr>
              <w:pStyle w:val="TableText"/>
              <w:ind w:left="76" w:right="71" w:firstLine="1"/>
              <w:spacing w:before="34" w:line="250" w:lineRule="auto"/>
              <w:rPr/>
            </w:pPr>
            <w:r>
              <w:rPr>
                <w:rFonts w:ascii="Times New Roman" w:hAnsi="Times New Roman" w:eastAsia="Times New Roman" w:cs="Times New Roman"/>
              </w:rPr>
              <w:t>HW</w:t>
            </w:r>
            <w:r>
              <w:rPr>
                <w:rFonts w:ascii="Times New Roman" w:hAnsi="Times New Roman" w:eastAsia="Times New Roman" w:cs="Times New Roman"/>
                <w:spacing w:val="9"/>
              </w:rPr>
              <w:t>08 </w:t>
            </w:r>
            <w:r>
              <w:rPr>
                <w:spacing w:val="9"/>
              </w:rPr>
              <w:t>废矿物</w:t>
            </w:r>
            <w:r>
              <w:rPr/>
              <w:t xml:space="preserve"> </w:t>
            </w:r>
            <w:r>
              <w:rPr>
                <w:spacing w:val="7"/>
              </w:rPr>
              <w:t>油与含矿物油</w:t>
            </w:r>
          </w:p>
          <w:p>
            <w:pPr>
              <w:pStyle w:val="TableText"/>
              <w:ind w:left="492"/>
              <w:spacing w:line="216" w:lineRule="auto"/>
              <w:rPr/>
            </w:pPr>
            <w:r>
              <w:rPr>
                <w:spacing w:val="5"/>
              </w:rPr>
              <w:t>废物</w:t>
            </w:r>
          </w:p>
        </w:tc>
        <w:tc>
          <w:tcPr>
            <w:tcW w:w="1095" w:type="dxa"/>
            <w:vAlign w:val="top"/>
          </w:tcPr>
          <w:p>
            <w:pPr>
              <w:ind w:left="63"/>
              <w:spacing w:before="9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900-214-08</w:t>
            </w:r>
          </w:p>
          <w:p>
            <w:pPr>
              <w:ind w:left="63"/>
              <w:spacing w:before="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900-217-08</w:t>
            </w:r>
          </w:p>
          <w:p>
            <w:pPr>
              <w:ind w:left="63"/>
              <w:spacing w:before="5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900-249-08</w:t>
            </w:r>
          </w:p>
        </w:tc>
        <w:tc>
          <w:tcPr>
            <w:tcW w:w="786" w:type="dxa"/>
            <w:vAlign w:val="top"/>
          </w:tcPr>
          <w:p>
            <w:pPr>
              <w:spacing w:line="281" w:lineRule="auto"/>
              <w:rPr>
                <w:rFonts w:ascii="Arial"/>
                <w:sz w:val="21"/>
              </w:rPr>
            </w:pPr>
            <w:r/>
          </w:p>
          <w:p>
            <w:pPr>
              <w:ind w:left="210"/>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2.73</w:t>
            </w:r>
          </w:p>
        </w:tc>
        <w:tc>
          <w:tcPr>
            <w:tcW w:w="942" w:type="dxa"/>
            <w:vAlign w:val="top"/>
          </w:tcPr>
          <w:p>
            <w:pPr>
              <w:pStyle w:val="TableText"/>
              <w:ind w:left="12" w:firstLine="143"/>
              <w:spacing w:before="34" w:line="250" w:lineRule="auto"/>
              <w:rPr/>
            </w:pPr>
            <w:r>
              <w:rPr>
                <w:spacing w:val="-9"/>
              </w:rPr>
              <w:t>设备保</w:t>
            </w:r>
            <w:r>
              <w:rPr/>
              <w:t xml:space="preserve">   </w:t>
            </w:r>
            <w:r>
              <w:rPr>
                <w:spacing w:val="-16"/>
              </w:rPr>
              <w:t>养、检修、</w:t>
            </w:r>
          </w:p>
          <w:p>
            <w:pPr>
              <w:pStyle w:val="TableText"/>
              <w:ind w:left="269"/>
              <w:spacing w:line="216" w:lineRule="auto"/>
              <w:rPr/>
            </w:pPr>
            <w:r>
              <w:rPr>
                <w:spacing w:val="3"/>
              </w:rPr>
              <w:t>维修</w:t>
            </w:r>
          </w:p>
        </w:tc>
        <w:tc>
          <w:tcPr>
            <w:tcW w:w="464" w:type="dxa"/>
            <w:vAlign w:val="top"/>
          </w:tcPr>
          <w:p>
            <w:pPr>
              <w:pStyle w:val="TableText"/>
              <w:ind w:left="31"/>
              <w:spacing w:before="305" w:line="228" w:lineRule="auto"/>
              <w:rPr/>
            </w:pPr>
            <w:r>
              <w:rPr>
                <w:spacing w:val="3"/>
              </w:rPr>
              <w:t>液态</w:t>
            </w:r>
          </w:p>
        </w:tc>
        <w:tc>
          <w:tcPr>
            <w:tcW w:w="829" w:type="dxa"/>
            <w:vAlign w:val="top"/>
          </w:tcPr>
          <w:p>
            <w:pPr>
              <w:pStyle w:val="TableText"/>
              <w:ind w:left="108"/>
              <w:spacing w:before="305" w:line="228" w:lineRule="auto"/>
              <w:rPr/>
            </w:pPr>
            <w:r>
              <w:rPr>
                <w:spacing w:val="6"/>
              </w:rPr>
              <w:t>石油烃</w:t>
            </w:r>
          </w:p>
        </w:tc>
        <w:tc>
          <w:tcPr>
            <w:tcW w:w="469" w:type="dxa"/>
            <w:vAlign w:val="top"/>
          </w:tcPr>
          <w:p>
            <w:pPr>
              <w:pStyle w:val="TableText"/>
              <w:ind w:left="32"/>
              <w:spacing w:before="304" w:line="228" w:lineRule="auto"/>
              <w:rPr/>
            </w:pPr>
            <w:r>
              <w:rPr>
                <w:spacing w:val="4"/>
              </w:rPr>
              <w:t>每天</w:t>
            </w:r>
          </w:p>
        </w:tc>
        <w:tc>
          <w:tcPr>
            <w:tcW w:w="522" w:type="dxa"/>
            <w:vAlign w:val="top"/>
          </w:tcPr>
          <w:p>
            <w:pPr>
              <w:spacing w:line="277" w:lineRule="auto"/>
              <w:rPr>
                <w:rFonts w:ascii="Arial"/>
                <w:sz w:val="21"/>
              </w:rPr>
            </w:pPr>
            <w:r/>
          </w:p>
          <w:p>
            <w:pPr>
              <w:ind w:left="137"/>
              <w:spacing w:before="5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T/I</w:t>
            </w:r>
          </w:p>
        </w:tc>
        <w:tc>
          <w:tcPr>
            <w:tcW w:w="768" w:type="dxa"/>
            <w:vAlign w:val="top"/>
            <w:vMerge w:val="continue"/>
            <w:tcBorders>
              <w:top w:val="nil"/>
              <w:bottom w:val="nil"/>
            </w:tcBorders>
          </w:tcPr>
          <w:p>
            <w:pPr>
              <w:rPr>
                <w:rFonts w:ascii="Arial"/>
                <w:sz w:val="21"/>
              </w:rPr>
            </w:pPr>
            <w:r/>
          </w:p>
        </w:tc>
      </w:tr>
      <w:tr>
        <w:trPr>
          <w:trHeight w:val="825" w:hRule="atLeast"/>
        </w:trPr>
        <w:tc>
          <w:tcPr>
            <w:tcW w:w="463" w:type="dxa"/>
            <w:vAlign w:val="top"/>
          </w:tcPr>
          <w:p>
            <w:pPr>
              <w:spacing w:line="281" w:lineRule="auto"/>
              <w:rPr>
                <w:rFonts w:ascii="Arial"/>
                <w:sz w:val="21"/>
              </w:rPr>
            </w:pPr>
            <w:r/>
          </w:p>
          <w:p>
            <w:pPr>
              <w:ind w:left="185"/>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784" w:type="dxa"/>
            <w:vAlign w:val="top"/>
          </w:tcPr>
          <w:p>
            <w:pPr>
              <w:pStyle w:val="TableText"/>
              <w:ind w:left="81"/>
              <w:spacing w:before="304" w:line="228" w:lineRule="auto"/>
              <w:rPr/>
            </w:pPr>
            <w:r>
              <w:rPr>
                <w:spacing w:val="7"/>
              </w:rPr>
              <w:t>废油桶</w:t>
            </w:r>
          </w:p>
        </w:tc>
        <w:tc>
          <w:tcPr>
            <w:tcW w:w="1399" w:type="dxa"/>
            <w:vAlign w:val="top"/>
          </w:tcPr>
          <w:p>
            <w:pPr>
              <w:pStyle w:val="TableText"/>
              <w:ind w:left="76" w:right="71" w:firstLine="1"/>
              <w:spacing w:before="35" w:line="251" w:lineRule="auto"/>
              <w:rPr/>
            </w:pPr>
            <w:r>
              <w:rPr>
                <w:rFonts w:ascii="Times New Roman" w:hAnsi="Times New Roman" w:eastAsia="Times New Roman" w:cs="Times New Roman"/>
              </w:rPr>
              <w:t>HW</w:t>
            </w:r>
            <w:r>
              <w:rPr>
                <w:rFonts w:ascii="Times New Roman" w:hAnsi="Times New Roman" w:eastAsia="Times New Roman" w:cs="Times New Roman"/>
                <w:spacing w:val="9"/>
              </w:rPr>
              <w:t>08 </w:t>
            </w:r>
            <w:r>
              <w:rPr>
                <w:spacing w:val="9"/>
              </w:rPr>
              <w:t>废矿物</w:t>
            </w:r>
            <w:r>
              <w:rPr/>
              <w:t xml:space="preserve"> </w:t>
            </w:r>
            <w:r>
              <w:rPr>
                <w:spacing w:val="7"/>
              </w:rPr>
              <w:t>油与含矿物油</w:t>
            </w:r>
          </w:p>
          <w:p>
            <w:pPr>
              <w:pStyle w:val="TableText"/>
              <w:ind w:left="492"/>
              <w:spacing w:before="1" w:line="217" w:lineRule="auto"/>
              <w:rPr/>
            </w:pPr>
            <w:r>
              <w:rPr>
                <w:spacing w:val="5"/>
              </w:rPr>
              <w:t>废物</w:t>
            </w:r>
          </w:p>
        </w:tc>
        <w:tc>
          <w:tcPr>
            <w:tcW w:w="1095" w:type="dxa"/>
            <w:vAlign w:val="top"/>
          </w:tcPr>
          <w:p>
            <w:pPr>
              <w:spacing w:line="281" w:lineRule="auto"/>
              <w:rPr>
                <w:rFonts w:ascii="Arial"/>
                <w:sz w:val="21"/>
              </w:rPr>
            </w:pPr>
            <w:r/>
          </w:p>
          <w:p>
            <w:pPr>
              <w:ind w:left="6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900-249-08</w:t>
            </w:r>
          </w:p>
        </w:tc>
        <w:tc>
          <w:tcPr>
            <w:tcW w:w="786" w:type="dxa"/>
            <w:vAlign w:val="top"/>
          </w:tcPr>
          <w:p>
            <w:pPr>
              <w:spacing w:line="281" w:lineRule="auto"/>
              <w:rPr>
                <w:rFonts w:ascii="Arial"/>
                <w:sz w:val="21"/>
              </w:rPr>
            </w:pPr>
            <w:r/>
          </w:p>
          <w:p>
            <w:pPr>
              <w:ind w:left="21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0.26</w:t>
            </w:r>
          </w:p>
        </w:tc>
        <w:tc>
          <w:tcPr>
            <w:tcW w:w="942" w:type="dxa"/>
            <w:vAlign w:val="top"/>
          </w:tcPr>
          <w:p>
            <w:pPr>
              <w:pStyle w:val="TableText"/>
              <w:ind w:left="12" w:firstLine="143"/>
              <w:spacing w:before="35" w:line="251" w:lineRule="auto"/>
              <w:rPr/>
            </w:pPr>
            <w:r>
              <w:rPr>
                <w:spacing w:val="-9"/>
              </w:rPr>
              <w:t>设备保</w:t>
            </w:r>
            <w:r>
              <w:rPr/>
              <w:t xml:space="preserve">   </w:t>
            </w:r>
            <w:r>
              <w:rPr>
                <w:spacing w:val="-16"/>
              </w:rPr>
              <w:t>养、检修、</w:t>
            </w:r>
          </w:p>
          <w:p>
            <w:pPr>
              <w:pStyle w:val="TableText"/>
              <w:ind w:left="269"/>
              <w:spacing w:before="1" w:line="217" w:lineRule="auto"/>
              <w:rPr/>
            </w:pPr>
            <w:r>
              <w:rPr>
                <w:spacing w:val="3"/>
              </w:rPr>
              <w:t>维修</w:t>
            </w:r>
          </w:p>
        </w:tc>
        <w:tc>
          <w:tcPr>
            <w:tcW w:w="464" w:type="dxa"/>
            <w:vAlign w:val="top"/>
          </w:tcPr>
          <w:p>
            <w:pPr>
              <w:pStyle w:val="TableText"/>
              <w:ind w:left="47"/>
              <w:spacing w:before="305" w:line="228" w:lineRule="auto"/>
              <w:rPr/>
            </w:pPr>
            <w:r>
              <w:rPr>
                <w:spacing w:val="-5"/>
              </w:rPr>
              <w:t>固态</w:t>
            </w:r>
          </w:p>
        </w:tc>
        <w:tc>
          <w:tcPr>
            <w:tcW w:w="829" w:type="dxa"/>
            <w:vAlign w:val="top"/>
          </w:tcPr>
          <w:p>
            <w:pPr>
              <w:pStyle w:val="TableText"/>
              <w:ind w:left="108"/>
              <w:spacing w:before="305" w:line="228" w:lineRule="auto"/>
              <w:rPr/>
            </w:pPr>
            <w:r>
              <w:rPr>
                <w:spacing w:val="6"/>
              </w:rPr>
              <w:t>石油烃</w:t>
            </w:r>
          </w:p>
        </w:tc>
        <w:tc>
          <w:tcPr>
            <w:tcW w:w="469" w:type="dxa"/>
            <w:vAlign w:val="top"/>
          </w:tcPr>
          <w:p>
            <w:pPr>
              <w:pStyle w:val="TableText"/>
              <w:ind w:left="32"/>
              <w:spacing w:before="304" w:line="228" w:lineRule="auto"/>
              <w:rPr/>
            </w:pPr>
            <w:r>
              <w:rPr>
                <w:spacing w:val="4"/>
              </w:rPr>
              <w:t>每月</w:t>
            </w:r>
          </w:p>
        </w:tc>
        <w:tc>
          <w:tcPr>
            <w:tcW w:w="522" w:type="dxa"/>
            <w:vAlign w:val="top"/>
          </w:tcPr>
          <w:p>
            <w:pPr>
              <w:spacing w:line="278" w:lineRule="auto"/>
              <w:rPr>
                <w:rFonts w:ascii="Arial"/>
                <w:sz w:val="21"/>
              </w:rPr>
            </w:pPr>
            <w:r/>
          </w:p>
          <w:p>
            <w:pPr>
              <w:ind w:left="137"/>
              <w:spacing w:before="5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T/I</w:t>
            </w:r>
          </w:p>
        </w:tc>
        <w:tc>
          <w:tcPr>
            <w:tcW w:w="768" w:type="dxa"/>
            <w:vAlign w:val="top"/>
            <w:vMerge w:val="continue"/>
            <w:tcBorders>
              <w:top w:val="nil"/>
            </w:tcBorders>
          </w:tcPr>
          <w:p>
            <w:pPr>
              <w:rPr>
                <w:rFonts w:ascii="Arial"/>
                <w:sz w:val="21"/>
              </w:rPr>
            </w:pPr>
            <w:r/>
          </w:p>
        </w:tc>
      </w:tr>
    </w:tbl>
    <w:p>
      <w:pPr>
        <w:ind w:left="197"/>
        <w:spacing w:before="161" w:line="222" w:lineRule="auto"/>
        <w:outlineLvl w:val="2"/>
        <w:rPr>
          <w:rFonts w:ascii="SimHei" w:hAnsi="SimHei" w:eastAsia="SimHei" w:cs="SimHei"/>
          <w:sz w:val="28"/>
          <w:szCs w:val="28"/>
        </w:rPr>
      </w:pPr>
      <w:bookmarkStart w:name="bookmark67" w:id="84"/>
      <w:bookmarkEnd w:id="84"/>
      <w:r>
        <w:rPr>
          <w:rFonts w:ascii="Times New Roman" w:hAnsi="Times New Roman" w:eastAsia="Times New Roman" w:cs="Times New Roman"/>
          <w:sz w:val="28"/>
          <w:szCs w:val="28"/>
          <w:spacing w:val="-1"/>
        </w:rPr>
        <w:t>3.5.2 </w:t>
      </w:r>
      <w:r>
        <w:rPr>
          <w:rFonts w:ascii="SimHei" w:hAnsi="SimHei" w:eastAsia="SimHei" w:cs="SimHei"/>
          <w:sz w:val="28"/>
          <w:szCs w:val="28"/>
          <w:spacing w:val="-1"/>
        </w:rPr>
        <w:t>非正常工况污染物排放分析</w:t>
      </w:r>
    </w:p>
    <w:p>
      <w:pPr>
        <w:pStyle w:val="BodyText"/>
        <w:spacing w:line="241" w:lineRule="auto"/>
        <w:rPr/>
      </w:pPr>
      <w:r/>
    </w:p>
    <w:p>
      <w:pPr>
        <w:ind w:left="197" w:right="183" w:firstLine="484"/>
        <w:spacing w:before="78" w:line="359" w:lineRule="auto"/>
        <w:jc w:val="both"/>
        <w:rPr>
          <w:rFonts w:ascii="SimSun" w:hAnsi="SimSun" w:eastAsia="SimSun" w:cs="SimSun"/>
          <w:sz w:val="24"/>
          <w:szCs w:val="24"/>
        </w:rPr>
      </w:pPr>
      <w:r>
        <w:rPr>
          <w:rFonts w:ascii="SimSun" w:hAnsi="SimSun" w:eastAsia="SimSun" w:cs="SimSun"/>
          <w:sz w:val="24"/>
          <w:szCs w:val="24"/>
          <w:spacing w:val="3"/>
        </w:rPr>
        <w:t>非正常工况指生产过程中开停车（工、炉）、设备</w:t>
      </w:r>
      <w:r>
        <w:rPr>
          <w:rFonts w:ascii="SimSun" w:hAnsi="SimSun" w:eastAsia="SimSun" w:cs="SimSun"/>
          <w:sz w:val="24"/>
          <w:szCs w:val="24"/>
          <w:spacing w:val="2"/>
        </w:rPr>
        <w:t>检修、工艺设备运转异常</w:t>
      </w:r>
      <w:r>
        <w:rPr>
          <w:rFonts w:ascii="SimSun" w:hAnsi="SimSun" w:eastAsia="SimSun" w:cs="SimSun"/>
          <w:sz w:val="24"/>
          <w:szCs w:val="24"/>
        </w:rPr>
        <w:t xml:space="preserve"> </w:t>
      </w:r>
      <w:r>
        <w:rPr>
          <w:rFonts w:ascii="SimSun" w:hAnsi="SimSun" w:eastAsia="SimSun" w:cs="SimSun"/>
          <w:sz w:val="24"/>
          <w:szCs w:val="24"/>
          <w:spacing w:val="3"/>
        </w:rPr>
        <w:t>等非正常工况下的污染物排放，以及污染排放控制措</w:t>
      </w:r>
      <w:r>
        <w:rPr>
          <w:rFonts w:ascii="SimSun" w:hAnsi="SimSun" w:eastAsia="SimSun" w:cs="SimSun"/>
          <w:sz w:val="24"/>
          <w:szCs w:val="24"/>
          <w:spacing w:val="2"/>
        </w:rPr>
        <w:t>施达不到应有效率等情况下</w:t>
      </w:r>
      <w:r>
        <w:rPr>
          <w:rFonts w:ascii="SimSun" w:hAnsi="SimSun" w:eastAsia="SimSun" w:cs="SimSun"/>
          <w:sz w:val="24"/>
          <w:szCs w:val="24"/>
        </w:rPr>
        <w:t xml:space="preserve"> </w:t>
      </w:r>
      <w:r>
        <w:rPr>
          <w:rFonts w:ascii="SimSun" w:hAnsi="SimSun" w:eastAsia="SimSun" w:cs="SimSun"/>
          <w:sz w:val="24"/>
          <w:szCs w:val="24"/>
          <w:spacing w:val="-1"/>
        </w:rPr>
        <w:t>污染物的排放，本次评价考虑以下非正常工况排放情况：</w:t>
      </w:r>
    </w:p>
    <w:p>
      <w:pPr>
        <w:ind w:left="197" w:right="183" w:firstLine="479"/>
        <w:spacing w:line="289" w:lineRule="auto"/>
        <w:rPr>
          <w:rFonts w:ascii="SimSun" w:hAnsi="SimSun" w:eastAsia="SimSun" w:cs="SimSun"/>
          <w:sz w:val="24"/>
          <w:szCs w:val="24"/>
        </w:rPr>
      </w:pPr>
      <w:r>
        <w:rPr>
          <w:rFonts w:ascii="SimSun" w:hAnsi="SimSun" w:eastAsia="SimSun" w:cs="SimSun"/>
          <w:sz w:val="24"/>
          <w:szCs w:val="24"/>
          <w:spacing w:val="10"/>
        </w:rPr>
        <w:t>①考虑因故障等原因导致废气处理设施处理效率下降的非正常工况排放情</w:t>
      </w:r>
      <w:r>
        <w:rPr>
          <w:rFonts w:ascii="SimSun" w:hAnsi="SimSun" w:eastAsia="SimSun" w:cs="SimSun"/>
          <w:sz w:val="24"/>
          <w:szCs w:val="24"/>
          <w:spacing w:val="13"/>
        </w:rPr>
        <w:t xml:space="preserve"> </w:t>
      </w:r>
      <w:r>
        <w:rPr>
          <w:rFonts w:ascii="SimSun" w:hAnsi="SimSun" w:eastAsia="SimSun" w:cs="SimSun"/>
          <w:sz w:val="24"/>
          <w:szCs w:val="24"/>
          <w:spacing w:val="-2"/>
        </w:rPr>
        <w:t>况，考虑洗毛车间废气处理设施效率下降为</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2"/>
        </w:rPr>
        <w:t>0</w:t>
      </w:r>
      <w:r>
        <w:rPr>
          <w:rFonts w:ascii="Times New Roman" w:hAnsi="Times New Roman" w:eastAsia="Times New Roman" w:cs="Times New Roman"/>
          <w:sz w:val="24"/>
          <w:szCs w:val="24"/>
          <w:spacing w:val="29"/>
          <w:w w:val="101"/>
        </w:rPr>
        <w:t xml:space="preserve"> </w:t>
      </w:r>
      <w:r>
        <w:rPr>
          <w:rFonts w:ascii="SimSun" w:hAnsi="SimSun" w:eastAsia="SimSun" w:cs="SimSun"/>
          <w:sz w:val="24"/>
          <w:szCs w:val="24"/>
          <w:spacing w:val="-2"/>
        </w:rPr>
        <w:t>的非正常工况排放情况。</w:t>
      </w:r>
    </w:p>
    <w:p>
      <w:pPr>
        <w:ind w:left="196" w:right="186" w:firstLine="479"/>
        <w:spacing w:before="182" w:line="289" w:lineRule="auto"/>
        <w:rPr>
          <w:rFonts w:ascii="SimSun" w:hAnsi="SimSun" w:eastAsia="SimSun" w:cs="SimSun"/>
          <w:sz w:val="24"/>
          <w:szCs w:val="24"/>
        </w:rPr>
      </w:pPr>
      <w:r>
        <w:rPr>
          <w:rFonts w:ascii="SimSun" w:hAnsi="SimSun" w:eastAsia="SimSun" w:cs="SimSun"/>
          <w:sz w:val="24"/>
          <w:szCs w:val="24"/>
          <w:spacing w:val="3"/>
        </w:rPr>
        <w:t>②当沼气利用或储存设备发生故障时，沼气进入应急火炬放</w:t>
      </w:r>
      <w:r>
        <w:rPr>
          <w:rFonts w:ascii="SimSun" w:hAnsi="SimSun" w:eastAsia="SimSun" w:cs="SimSun"/>
          <w:sz w:val="24"/>
          <w:szCs w:val="24"/>
          <w:spacing w:val="2"/>
        </w:rPr>
        <w:t>散，沼气应急火</w:t>
      </w:r>
      <w:r>
        <w:rPr>
          <w:rFonts w:ascii="SimSun" w:hAnsi="SimSun" w:eastAsia="SimSun" w:cs="SimSun"/>
          <w:sz w:val="24"/>
          <w:szCs w:val="24"/>
        </w:rPr>
        <w:t xml:space="preserve"> </w:t>
      </w:r>
      <w:r>
        <w:rPr>
          <w:rFonts w:ascii="SimSun" w:hAnsi="SimSun" w:eastAsia="SimSun" w:cs="SimSun"/>
          <w:sz w:val="24"/>
          <w:szCs w:val="24"/>
          <w:spacing w:val="-2"/>
        </w:rPr>
        <w:t>炬高度为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，烟囱设点火装置，当有沼气通过时</w:t>
      </w:r>
      <w:r>
        <w:rPr>
          <w:rFonts w:ascii="SimSun" w:hAnsi="SimSun" w:eastAsia="SimSun" w:cs="SimSun"/>
          <w:sz w:val="24"/>
          <w:szCs w:val="24"/>
          <w:spacing w:val="-3"/>
        </w:rPr>
        <w:t>，点火装置打开，燃烧后外排。</w:t>
      </w:r>
    </w:p>
    <w:p>
      <w:pPr>
        <w:ind w:left="676"/>
        <w:spacing w:before="181" w:line="219" w:lineRule="auto"/>
        <w:rPr>
          <w:rFonts w:ascii="SimSun" w:hAnsi="SimSun" w:eastAsia="SimSun" w:cs="SimSun"/>
          <w:sz w:val="24"/>
          <w:szCs w:val="24"/>
        </w:rPr>
      </w:pPr>
      <w:r>
        <w:rPr>
          <w:rFonts w:ascii="SimSun" w:hAnsi="SimSun" w:eastAsia="SimSun" w:cs="SimSun"/>
          <w:sz w:val="24"/>
          <w:szCs w:val="24"/>
          <w:spacing w:val="-1"/>
        </w:rPr>
        <w:t>本项目污染源非正常状况下废气排放情况分析见表</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1"/>
        </w:rPr>
        <w:t>3.5-12 </w:t>
      </w:r>
      <w:r>
        <w:rPr>
          <w:rFonts w:ascii="SimSun" w:hAnsi="SimSun" w:eastAsia="SimSun" w:cs="SimSun"/>
          <w:sz w:val="24"/>
          <w:szCs w:val="24"/>
          <w:spacing w:val="-1"/>
        </w:rPr>
        <w:t>所示。</w:t>
      </w:r>
    </w:p>
    <w:p>
      <w:pPr>
        <w:ind w:left="209"/>
        <w:spacing w:before="184" w:line="212" w:lineRule="auto"/>
        <w:rPr>
          <w:rFonts w:ascii="Times New Roman" w:hAnsi="Times New Roman" w:eastAsia="Times New Roman" w:cs="Times New Roman"/>
          <w:sz w:val="24"/>
          <w:szCs w:val="24"/>
        </w:rPr>
      </w:pPr>
      <w:r>
        <w:rPr>
          <w:rFonts w:ascii="SimSun" w:hAnsi="SimSun" w:eastAsia="SimSun" w:cs="SimSun"/>
          <w:sz w:val="24"/>
          <w:szCs w:val="24"/>
          <w:b/>
          <w:bCs/>
          <w:spacing w:val="-2"/>
        </w:rPr>
        <w:t>表</w:t>
      </w:r>
      <w:r>
        <w:rPr>
          <w:rFonts w:ascii="SimSun" w:hAnsi="SimSun" w:eastAsia="SimSun" w:cs="SimSun"/>
          <w:sz w:val="24"/>
          <w:szCs w:val="24"/>
          <w:spacing w:val="-46"/>
        </w:rPr>
        <w:t xml:space="preserve"> </w:t>
      </w:r>
      <w:r>
        <w:rPr>
          <w:rFonts w:ascii="Times New Roman" w:hAnsi="Times New Roman" w:eastAsia="Times New Roman" w:cs="Times New Roman"/>
          <w:sz w:val="24"/>
          <w:szCs w:val="24"/>
          <w:b/>
          <w:bCs/>
          <w:spacing w:val="-2"/>
        </w:rPr>
        <w:t>3.5-12      </w:t>
      </w:r>
      <w:r>
        <w:rPr>
          <w:rFonts w:ascii="SimSun" w:hAnsi="SimSun" w:eastAsia="SimSun" w:cs="SimSun"/>
          <w:sz w:val="24"/>
          <w:szCs w:val="24"/>
          <w:b/>
          <w:bCs/>
          <w:spacing w:val="-2"/>
        </w:rPr>
        <w:t>非正常工况大气污染源排放情况</w:t>
      </w:r>
      <w:r>
        <w:rPr>
          <w:rFonts w:ascii="SimSun" w:hAnsi="SimSun" w:eastAsia="SimSun" w:cs="SimSun"/>
          <w:sz w:val="24"/>
          <w:szCs w:val="24"/>
          <w:spacing w:val="-2"/>
        </w:rPr>
        <w:t xml:space="preserve">    </w:t>
      </w:r>
      <w:r>
        <w:rPr>
          <w:rFonts w:ascii="SimSun" w:hAnsi="SimSun" w:eastAsia="SimSun" w:cs="SimSun"/>
          <w:sz w:val="24"/>
          <w:szCs w:val="24"/>
          <w:b/>
          <w:bCs/>
          <w:spacing w:val="-2"/>
        </w:rPr>
        <w:t>单位：浓度</w:t>
      </w:r>
      <w:r>
        <w:rPr>
          <w:rFonts w:ascii="SimSun" w:hAnsi="SimSun" w:eastAsia="SimSun" w:cs="SimSun"/>
          <w:sz w:val="24"/>
          <w:szCs w:val="24"/>
          <w:spacing w:val="-51"/>
        </w:rPr>
        <w:t xml:space="preserve"> </w:t>
      </w:r>
      <w:r>
        <w:rPr>
          <w:rFonts w:ascii="Times New Roman" w:hAnsi="Times New Roman" w:eastAsia="Times New Roman" w:cs="Times New Roman"/>
          <w:sz w:val="24"/>
          <w:szCs w:val="24"/>
          <w:b/>
          <w:bCs/>
          <w:spacing w:val="-2"/>
        </w:rPr>
        <w:t>mg/Nm</w:t>
      </w:r>
      <w:r>
        <w:rPr>
          <w:rFonts w:ascii="Times New Roman" w:hAnsi="Times New Roman" w:eastAsia="Times New Roman" w:cs="Times New Roman"/>
          <w:sz w:val="15"/>
          <w:szCs w:val="15"/>
          <w:b/>
          <w:bCs/>
          <w:spacing w:val="-2"/>
          <w:position w:val="8"/>
        </w:rPr>
        <w:t>3</w:t>
      </w:r>
      <w:r>
        <w:rPr>
          <w:rFonts w:ascii="Times New Roman" w:hAnsi="Times New Roman" w:eastAsia="Times New Roman" w:cs="Times New Roman"/>
          <w:sz w:val="15"/>
          <w:szCs w:val="15"/>
          <w:b/>
          <w:bCs/>
          <w:spacing w:val="-13"/>
          <w:position w:val="8"/>
        </w:rPr>
        <w:t xml:space="preserve"> </w:t>
      </w:r>
      <w:r>
        <w:rPr>
          <w:rFonts w:ascii="SimSun" w:hAnsi="SimSun" w:eastAsia="SimSun" w:cs="SimSun"/>
          <w:sz w:val="24"/>
          <w:szCs w:val="24"/>
          <w:b/>
          <w:bCs/>
          <w:spacing w:val="-2"/>
        </w:rPr>
        <w:t>、速率</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2"/>
        </w:rPr>
        <w:t>kg/h</w:t>
      </w:r>
    </w:p>
    <w:tbl>
      <w:tblPr>
        <w:tblStyle w:val="TableNormal"/>
        <w:tblW w:w="887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98"/>
        <w:gridCol w:w="835"/>
        <w:gridCol w:w="770"/>
        <w:gridCol w:w="1296"/>
        <w:gridCol w:w="717"/>
        <w:gridCol w:w="984"/>
        <w:gridCol w:w="840"/>
        <w:gridCol w:w="770"/>
        <w:gridCol w:w="727"/>
        <w:gridCol w:w="833"/>
      </w:tblGrid>
      <w:tr>
        <w:trPr>
          <w:trHeight w:val="269" w:hRule="atLeast"/>
        </w:trPr>
        <w:tc>
          <w:tcPr>
            <w:tcW w:w="1098" w:type="dxa"/>
            <w:vAlign w:val="top"/>
            <w:vMerge w:val="restart"/>
            <w:tcBorders>
              <w:bottom w:val="nil"/>
            </w:tcBorders>
          </w:tcPr>
          <w:p>
            <w:pPr>
              <w:pStyle w:val="TableText"/>
              <w:ind w:left="241"/>
              <w:spacing w:before="170" w:line="228" w:lineRule="auto"/>
              <w:rPr/>
            </w:pPr>
            <w:r>
              <w:rPr>
                <w:spacing w:val="6"/>
              </w:rPr>
              <w:t>污染源</w:t>
            </w:r>
          </w:p>
        </w:tc>
        <w:tc>
          <w:tcPr>
            <w:tcW w:w="835" w:type="dxa"/>
            <w:vAlign w:val="top"/>
            <w:vMerge w:val="restart"/>
            <w:tcBorders>
              <w:bottom w:val="nil"/>
            </w:tcBorders>
          </w:tcPr>
          <w:p>
            <w:pPr>
              <w:pStyle w:val="TableText"/>
              <w:ind w:left="138" w:right="102" w:hanging="32"/>
              <w:spacing w:before="45" w:line="243" w:lineRule="auto"/>
              <w:rPr>
                <w:rFonts w:ascii="Times New Roman" w:hAnsi="Times New Roman" w:eastAsia="Times New Roman" w:cs="Times New Roman"/>
              </w:rPr>
            </w:pPr>
            <w:r>
              <w:rPr>
                <w:spacing w:val="6"/>
              </w:rPr>
              <w:t>排气量</w:t>
            </w:r>
            <w:r>
              <w:rPr>
                <w:spacing w:val="1"/>
              </w:rPr>
              <w:t xml:space="preserve"> </w:t>
            </w:r>
            <w:r>
              <w:rPr>
                <w:rFonts w:ascii="Times New Roman" w:hAnsi="Times New Roman" w:eastAsia="Times New Roman" w:cs="Times New Roman"/>
              </w:rPr>
              <w:t>Nm</w:t>
            </w:r>
            <w:r>
              <w:rPr>
                <w:rFonts w:ascii="Times New Roman" w:hAnsi="Times New Roman" w:eastAsia="Times New Roman" w:cs="Times New Roman"/>
                <w:sz w:val="13"/>
                <w:szCs w:val="13"/>
                <w:spacing w:val="8"/>
                <w:position w:val="6"/>
              </w:rPr>
              <w:t>3</w:t>
            </w:r>
            <w:r>
              <w:rPr>
                <w:rFonts w:ascii="Times New Roman" w:hAnsi="Times New Roman" w:eastAsia="Times New Roman" w:cs="Times New Roman"/>
                <w:spacing w:val="8"/>
              </w:rPr>
              <w:t>/h</w:t>
            </w:r>
          </w:p>
        </w:tc>
        <w:tc>
          <w:tcPr>
            <w:tcW w:w="770" w:type="dxa"/>
            <w:vAlign w:val="top"/>
            <w:vMerge w:val="restart"/>
            <w:tcBorders>
              <w:bottom w:val="nil"/>
            </w:tcBorders>
          </w:tcPr>
          <w:p>
            <w:pPr>
              <w:pStyle w:val="TableText"/>
              <w:ind w:left="77"/>
              <w:spacing w:before="175" w:line="228" w:lineRule="auto"/>
              <w:rPr/>
            </w:pPr>
            <w:r>
              <w:rPr>
                <w:spacing w:val="6"/>
              </w:rPr>
              <w:t>污染物</w:t>
            </w:r>
          </w:p>
        </w:tc>
        <w:tc>
          <w:tcPr>
            <w:tcW w:w="1296" w:type="dxa"/>
            <w:vAlign w:val="top"/>
            <w:vMerge w:val="restart"/>
            <w:tcBorders>
              <w:bottom w:val="nil"/>
            </w:tcBorders>
          </w:tcPr>
          <w:p>
            <w:pPr>
              <w:pStyle w:val="TableText"/>
              <w:ind w:left="26"/>
              <w:spacing w:before="36" w:line="228" w:lineRule="auto"/>
              <w:rPr/>
            </w:pPr>
            <w:r>
              <w:rPr>
                <w:spacing w:val="7"/>
              </w:rPr>
              <w:t>非正常排放原</w:t>
            </w:r>
          </w:p>
          <w:p>
            <w:pPr>
              <w:pStyle w:val="TableText"/>
              <w:ind w:left="565"/>
              <w:spacing w:before="23" w:line="217" w:lineRule="auto"/>
              <w:rPr/>
            </w:pPr>
            <w:r>
              <w:rPr/>
              <w:t>因</w:t>
            </w:r>
          </w:p>
        </w:tc>
        <w:tc>
          <w:tcPr>
            <w:tcW w:w="717" w:type="dxa"/>
            <w:vAlign w:val="top"/>
            <w:vMerge w:val="restart"/>
            <w:tcBorders>
              <w:bottom w:val="nil"/>
            </w:tcBorders>
          </w:tcPr>
          <w:p>
            <w:pPr>
              <w:pStyle w:val="TableText"/>
              <w:ind w:left="259" w:right="41" w:hanging="206"/>
              <w:spacing w:before="35" w:line="234" w:lineRule="auto"/>
              <w:rPr/>
            </w:pPr>
            <w:r>
              <w:rPr>
                <w:spacing w:val="5"/>
              </w:rPr>
              <w:t>处理效</w:t>
            </w:r>
            <w:r>
              <w:rPr/>
              <w:t xml:space="preserve"> </w:t>
            </w:r>
            <w:r>
              <w:rPr/>
              <w:t>率</w:t>
            </w:r>
          </w:p>
        </w:tc>
        <w:tc>
          <w:tcPr>
            <w:tcW w:w="1824" w:type="dxa"/>
            <w:vAlign w:val="top"/>
            <w:gridSpan w:val="2"/>
          </w:tcPr>
          <w:p>
            <w:pPr>
              <w:pStyle w:val="TableText"/>
              <w:ind w:left="289"/>
              <w:spacing w:before="33" w:line="208" w:lineRule="auto"/>
              <w:rPr/>
            </w:pPr>
            <w:r>
              <w:rPr>
                <w:spacing w:val="7"/>
              </w:rPr>
              <w:t>污染物的排放</w:t>
            </w:r>
          </w:p>
        </w:tc>
        <w:tc>
          <w:tcPr>
            <w:tcW w:w="2330" w:type="dxa"/>
            <w:vAlign w:val="top"/>
            <w:gridSpan w:val="3"/>
          </w:tcPr>
          <w:p>
            <w:pPr>
              <w:pStyle w:val="TableText"/>
              <w:ind w:left="751"/>
              <w:spacing w:before="33" w:line="208" w:lineRule="auto"/>
              <w:rPr/>
            </w:pPr>
            <w:r>
              <w:rPr>
                <w:spacing w:val="7"/>
              </w:rPr>
              <w:t>排放参数</w:t>
            </w:r>
          </w:p>
        </w:tc>
      </w:tr>
      <w:tr>
        <w:trPr>
          <w:trHeight w:val="278" w:hRule="atLeast"/>
        </w:trPr>
        <w:tc>
          <w:tcPr>
            <w:tcW w:w="1098" w:type="dxa"/>
            <w:vAlign w:val="top"/>
            <w:vMerge w:val="continue"/>
            <w:tcBorders>
              <w:top w:val="nil"/>
            </w:tcBorders>
          </w:tcPr>
          <w:p>
            <w:pPr>
              <w:rPr>
                <w:rFonts w:ascii="Arial"/>
                <w:sz w:val="21"/>
              </w:rPr>
            </w:pPr>
            <w:r/>
          </w:p>
        </w:tc>
        <w:tc>
          <w:tcPr>
            <w:tcW w:w="835" w:type="dxa"/>
            <w:vAlign w:val="top"/>
            <w:vMerge w:val="continue"/>
            <w:tcBorders>
              <w:top w:val="nil"/>
            </w:tcBorders>
          </w:tcPr>
          <w:p>
            <w:pPr>
              <w:rPr>
                <w:rFonts w:ascii="Arial"/>
                <w:sz w:val="21"/>
              </w:rPr>
            </w:pPr>
            <w:r/>
          </w:p>
        </w:tc>
        <w:tc>
          <w:tcPr>
            <w:tcW w:w="770" w:type="dxa"/>
            <w:vAlign w:val="top"/>
            <w:vMerge w:val="continue"/>
            <w:tcBorders>
              <w:top w:val="nil"/>
            </w:tcBorders>
          </w:tcPr>
          <w:p>
            <w:pPr>
              <w:rPr>
                <w:rFonts w:ascii="Arial"/>
                <w:sz w:val="21"/>
              </w:rPr>
            </w:pPr>
            <w:r/>
          </w:p>
        </w:tc>
        <w:tc>
          <w:tcPr>
            <w:tcW w:w="1296" w:type="dxa"/>
            <w:vAlign w:val="top"/>
            <w:vMerge w:val="continue"/>
            <w:tcBorders>
              <w:top w:val="nil"/>
            </w:tcBorders>
          </w:tcPr>
          <w:p>
            <w:pPr>
              <w:rPr>
                <w:rFonts w:ascii="Arial"/>
                <w:sz w:val="21"/>
              </w:rPr>
            </w:pPr>
            <w:r/>
          </w:p>
        </w:tc>
        <w:tc>
          <w:tcPr>
            <w:tcW w:w="717" w:type="dxa"/>
            <w:vAlign w:val="top"/>
            <w:vMerge w:val="continue"/>
            <w:tcBorders>
              <w:top w:val="nil"/>
            </w:tcBorders>
          </w:tcPr>
          <w:p>
            <w:pPr>
              <w:rPr>
                <w:rFonts w:ascii="Arial"/>
                <w:sz w:val="21"/>
              </w:rPr>
            </w:pPr>
            <w:r/>
          </w:p>
        </w:tc>
        <w:tc>
          <w:tcPr>
            <w:tcW w:w="984" w:type="dxa"/>
            <w:vAlign w:val="top"/>
          </w:tcPr>
          <w:p>
            <w:pPr>
              <w:pStyle w:val="TableText"/>
              <w:ind w:left="287"/>
              <w:spacing w:before="35" w:line="215" w:lineRule="auto"/>
              <w:rPr/>
            </w:pPr>
            <w:r>
              <w:rPr>
                <w:spacing w:val="4"/>
              </w:rPr>
              <w:t>浓度</w:t>
            </w:r>
          </w:p>
        </w:tc>
        <w:tc>
          <w:tcPr>
            <w:tcW w:w="840" w:type="dxa"/>
            <w:vAlign w:val="top"/>
          </w:tcPr>
          <w:p>
            <w:pPr>
              <w:pStyle w:val="TableText"/>
              <w:ind w:left="215"/>
              <w:spacing w:before="35" w:line="215" w:lineRule="auto"/>
              <w:rPr/>
            </w:pPr>
            <w:r>
              <w:rPr>
                <w:spacing w:val="5"/>
              </w:rPr>
              <w:t>速率</w:t>
            </w:r>
          </w:p>
        </w:tc>
        <w:tc>
          <w:tcPr>
            <w:tcW w:w="770" w:type="dxa"/>
            <w:vAlign w:val="top"/>
          </w:tcPr>
          <w:p>
            <w:pPr>
              <w:pStyle w:val="TableText"/>
              <w:ind w:left="77"/>
              <w:spacing w:before="35" w:line="215" w:lineRule="auto"/>
              <w:rPr>
                <w:rFonts w:ascii="Times New Roman" w:hAnsi="Times New Roman" w:eastAsia="Times New Roman" w:cs="Times New Roman"/>
              </w:rPr>
            </w:pPr>
            <w:r>
              <w:rPr>
                <w:spacing w:val="3"/>
              </w:rPr>
              <w:t>高度</w:t>
            </w:r>
            <w:r>
              <w:rPr>
                <w:rFonts w:ascii="Times New Roman" w:hAnsi="Times New Roman" w:eastAsia="Times New Roman" w:cs="Times New Roman"/>
                <w:spacing w:val="3"/>
              </w:rPr>
              <w:t>/m</w:t>
            </w:r>
          </w:p>
        </w:tc>
        <w:tc>
          <w:tcPr>
            <w:tcW w:w="727" w:type="dxa"/>
            <w:vAlign w:val="top"/>
          </w:tcPr>
          <w:p>
            <w:pPr>
              <w:pStyle w:val="TableText"/>
              <w:ind w:left="76"/>
              <w:spacing w:before="35" w:line="215" w:lineRule="auto"/>
              <w:rPr>
                <w:rFonts w:ascii="Times New Roman" w:hAnsi="Times New Roman" w:eastAsia="Times New Roman" w:cs="Times New Roman"/>
              </w:rPr>
            </w:pPr>
            <w:r>
              <w:rPr>
                <w:spacing w:val="-2"/>
              </w:rPr>
              <w:t>内径</w:t>
            </w:r>
            <w:r>
              <w:rPr>
                <w:rFonts w:ascii="Times New Roman" w:hAnsi="Times New Roman" w:eastAsia="Times New Roman" w:cs="Times New Roman"/>
                <w:spacing w:val="-2"/>
              </w:rPr>
              <w:t>/m</w:t>
            </w:r>
          </w:p>
        </w:tc>
        <w:tc>
          <w:tcPr>
            <w:tcW w:w="833" w:type="dxa"/>
            <w:vAlign w:val="top"/>
          </w:tcPr>
          <w:p>
            <w:pPr>
              <w:pStyle w:val="TableText"/>
              <w:ind w:left="76"/>
              <w:spacing w:before="35" w:line="215" w:lineRule="auto"/>
              <w:rPr>
                <w:rFonts w:ascii="Times New Roman" w:hAnsi="Times New Roman" w:eastAsia="Times New Roman" w:cs="Times New Roman"/>
              </w:rPr>
            </w:pPr>
            <w:r>
              <w:rPr>
                <w:spacing w:val="5"/>
              </w:rPr>
              <w:t>温度</w:t>
            </w:r>
            <w:r>
              <w:rPr>
                <w:rFonts w:ascii="Times New Roman" w:hAnsi="Times New Roman" w:eastAsia="Times New Roman" w:cs="Times New Roman"/>
                <w:spacing w:val="5"/>
              </w:rPr>
              <w:t>/℃</w:t>
            </w:r>
          </w:p>
        </w:tc>
      </w:tr>
      <w:tr>
        <w:trPr>
          <w:trHeight w:val="821" w:hRule="atLeast"/>
        </w:trPr>
        <w:tc>
          <w:tcPr>
            <w:tcW w:w="1098" w:type="dxa"/>
            <w:vAlign w:val="top"/>
          </w:tcPr>
          <w:p>
            <w:pPr>
              <w:pStyle w:val="TableText"/>
              <w:ind w:left="29"/>
              <w:spacing w:before="32" w:line="228" w:lineRule="auto"/>
              <w:rPr/>
            </w:pPr>
            <w:r>
              <w:rPr>
                <w:spacing w:val="5"/>
              </w:rPr>
              <w:t>开松除杂、</w:t>
            </w:r>
          </w:p>
          <w:p>
            <w:pPr>
              <w:pStyle w:val="TableText"/>
              <w:ind w:left="27"/>
              <w:spacing w:before="24" w:line="228" w:lineRule="auto"/>
              <w:rPr/>
            </w:pPr>
            <w:r>
              <w:rPr>
                <w:spacing w:val="8"/>
              </w:rPr>
              <w:t>洗毛（东厂</w:t>
            </w:r>
          </w:p>
          <w:p>
            <w:pPr>
              <w:pStyle w:val="TableText"/>
              <w:ind w:left="361"/>
              <w:spacing w:before="27" w:line="215" w:lineRule="auto"/>
              <w:rPr/>
            </w:pPr>
            <w:r>
              <w:rPr>
                <w:spacing w:val="-8"/>
              </w:rPr>
              <w:t>区）</w:t>
            </w:r>
          </w:p>
        </w:tc>
        <w:tc>
          <w:tcPr>
            <w:tcW w:w="835" w:type="dxa"/>
            <w:vAlign w:val="top"/>
          </w:tcPr>
          <w:p>
            <w:pPr>
              <w:spacing w:line="281" w:lineRule="auto"/>
              <w:rPr>
                <w:rFonts w:ascii="Arial"/>
                <w:sz w:val="21"/>
              </w:rPr>
            </w:pPr>
            <w:r/>
          </w:p>
          <w:p>
            <w:pPr>
              <w:ind w:left="208"/>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2000</w:t>
            </w:r>
          </w:p>
        </w:tc>
        <w:tc>
          <w:tcPr>
            <w:tcW w:w="770" w:type="dxa"/>
            <w:vAlign w:val="top"/>
          </w:tcPr>
          <w:p>
            <w:pPr>
              <w:pStyle w:val="TableText"/>
              <w:ind w:left="74"/>
              <w:spacing w:before="304" w:line="228" w:lineRule="auto"/>
              <w:rPr/>
            </w:pPr>
            <w:r>
              <w:rPr>
                <w:spacing w:val="7"/>
              </w:rPr>
              <w:t>颗粒物</w:t>
            </w:r>
          </w:p>
        </w:tc>
        <w:tc>
          <w:tcPr>
            <w:tcW w:w="1296" w:type="dxa"/>
            <w:vAlign w:val="top"/>
          </w:tcPr>
          <w:p>
            <w:pPr>
              <w:pStyle w:val="TableText"/>
              <w:ind w:left="23"/>
              <w:spacing w:before="169" w:line="227" w:lineRule="auto"/>
              <w:rPr/>
            </w:pPr>
            <w:r>
              <w:rPr>
                <w:spacing w:val="8"/>
              </w:rPr>
              <w:t>布袋除尘器破</w:t>
            </w:r>
          </w:p>
          <w:p>
            <w:pPr>
              <w:pStyle w:val="TableText"/>
              <w:ind w:left="548"/>
              <w:spacing w:before="25" w:line="229" w:lineRule="auto"/>
              <w:rPr/>
            </w:pPr>
            <w:r>
              <w:rPr/>
              <w:t>损</w:t>
            </w:r>
          </w:p>
        </w:tc>
        <w:tc>
          <w:tcPr>
            <w:tcW w:w="717" w:type="dxa"/>
            <w:vAlign w:val="top"/>
          </w:tcPr>
          <w:p>
            <w:pPr>
              <w:spacing w:line="285" w:lineRule="auto"/>
              <w:rPr>
                <w:rFonts w:ascii="Arial"/>
                <w:sz w:val="21"/>
              </w:rPr>
            </w:pPr>
            <w:r/>
          </w:p>
          <w:p>
            <w:pPr>
              <w:ind w:left="310"/>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984" w:type="dxa"/>
            <w:vAlign w:val="top"/>
          </w:tcPr>
          <w:p>
            <w:pPr>
              <w:spacing w:line="281" w:lineRule="auto"/>
              <w:rPr>
                <w:rFonts w:ascii="Arial"/>
                <w:sz w:val="21"/>
              </w:rPr>
            </w:pPr>
            <w:r/>
          </w:p>
          <w:p>
            <w:pPr>
              <w:ind w:left="26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5.208</w:t>
            </w:r>
          </w:p>
        </w:tc>
        <w:tc>
          <w:tcPr>
            <w:tcW w:w="840" w:type="dxa"/>
            <w:vAlign w:val="top"/>
          </w:tcPr>
          <w:p>
            <w:pPr>
              <w:spacing w:line="281" w:lineRule="auto"/>
              <w:rPr>
                <w:rFonts w:ascii="Arial"/>
                <w:sz w:val="21"/>
              </w:rPr>
            </w:pPr>
            <w:r/>
          </w:p>
          <w:p>
            <w:pPr>
              <w:ind w:left="136"/>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0.0104</w:t>
            </w:r>
          </w:p>
        </w:tc>
        <w:tc>
          <w:tcPr>
            <w:tcW w:w="770" w:type="dxa"/>
            <w:vAlign w:val="top"/>
          </w:tcPr>
          <w:p>
            <w:pPr>
              <w:spacing w:line="281" w:lineRule="auto"/>
              <w:rPr>
                <w:rFonts w:ascii="Arial"/>
                <w:sz w:val="21"/>
              </w:rPr>
            </w:pPr>
            <w:r/>
          </w:p>
          <w:p>
            <w:pPr>
              <w:ind w:left="304"/>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727" w:type="dxa"/>
            <w:vAlign w:val="top"/>
          </w:tcPr>
          <w:p>
            <w:pPr>
              <w:spacing w:line="281" w:lineRule="auto"/>
              <w:rPr>
                <w:rFonts w:ascii="Arial"/>
                <w:sz w:val="21"/>
              </w:rPr>
            </w:pPr>
            <w:r/>
          </w:p>
          <w:p>
            <w:pPr>
              <w:ind w:left="23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833" w:type="dxa"/>
            <w:vAlign w:val="top"/>
          </w:tcPr>
          <w:p>
            <w:pPr>
              <w:spacing w:line="281" w:lineRule="auto"/>
              <w:rPr>
                <w:rFonts w:ascii="Arial"/>
                <w:sz w:val="21"/>
              </w:rPr>
            </w:pPr>
            <w:r/>
          </w:p>
          <w:p>
            <w:pPr>
              <w:ind w:left="31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r>
      <w:tr>
        <w:trPr>
          <w:trHeight w:val="821" w:hRule="atLeast"/>
        </w:trPr>
        <w:tc>
          <w:tcPr>
            <w:tcW w:w="1098" w:type="dxa"/>
            <w:vAlign w:val="top"/>
          </w:tcPr>
          <w:p>
            <w:pPr>
              <w:pStyle w:val="TableText"/>
              <w:ind w:left="29"/>
              <w:spacing w:before="34" w:line="228" w:lineRule="auto"/>
              <w:rPr/>
            </w:pPr>
            <w:r>
              <w:rPr>
                <w:spacing w:val="5"/>
              </w:rPr>
              <w:t>开松除杂、</w:t>
            </w:r>
          </w:p>
          <w:p>
            <w:pPr>
              <w:pStyle w:val="TableText"/>
              <w:ind w:left="27"/>
              <w:spacing w:before="24" w:line="228" w:lineRule="auto"/>
              <w:rPr/>
            </w:pPr>
            <w:r>
              <w:rPr>
                <w:spacing w:val="8"/>
              </w:rPr>
              <w:t>洗毛（西厂</w:t>
            </w:r>
          </w:p>
          <w:p>
            <w:pPr>
              <w:pStyle w:val="TableText"/>
              <w:ind w:left="361"/>
              <w:spacing w:before="24" w:line="215" w:lineRule="auto"/>
              <w:rPr/>
            </w:pPr>
            <w:r>
              <w:rPr>
                <w:spacing w:val="-8"/>
              </w:rPr>
              <w:t>区）</w:t>
            </w:r>
          </w:p>
        </w:tc>
        <w:tc>
          <w:tcPr>
            <w:tcW w:w="835" w:type="dxa"/>
            <w:vAlign w:val="top"/>
          </w:tcPr>
          <w:p>
            <w:pPr>
              <w:spacing w:line="283" w:lineRule="auto"/>
              <w:rPr>
                <w:rFonts w:ascii="Arial"/>
                <w:sz w:val="21"/>
              </w:rPr>
            </w:pPr>
            <w:r/>
          </w:p>
          <w:p>
            <w:pPr>
              <w:ind w:left="208"/>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2000</w:t>
            </w:r>
          </w:p>
        </w:tc>
        <w:tc>
          <w:tcPr>
            <w:tcW w:w="770" w:type="dxa"/>
            <w:vAlign w:val="top"/>
          </w:tcPr>
          <w:p>
            <w:pPr>
              <w:rPr>
                <w:rFonts w:ascii="Arial"/>
                <w:sz w:val="21"/>
              </w:rPr>
            </w:pPr>
            <w:r/>
          </w:p>
          <w:p>
            <w:pPr>
              <w:pStyle w:val="TableText"/>
              <w:ind w:left="74"/>
              <w:spacing w:before="65" w:line="228" w:lineRule="auto"/>
              <w:rPr/>
            </w:pPr>
            <w:r>
              <w:rPr>
                <w:spacing w:val="7"/>
              </w:rPr>
              <w:t>颗粒物</w:t>
            </w:r>
          </w:p>
        </w:tc>
        <w:tc>
          <w:tcPr>
            <w:tcW w:w="1296" w:type="dxa"/>
            <w:vAlign w:val="top"/>
          </w:tcPr>
          <w:p>
            <w:pPr>
              <w:pStyle w:val="TableText"/>
              <w:ind w:left="23"/>
              <w:spacing w:before="169" w:line="227" w:lineRule="auto"/>
              <w:rPr/>
            </w:pPr>
            <w:r>
              <w:rPr>
                <w:spacing w:val="8"/>
              </w:rPr>
              <w:t>布袋除尘器破</w:t>
            </w:r>
          </w:p>
          <w:p>
            <w:pPr>
              <w:pStyle w:val="TableText"/>
              <w:ind w:left="548"/>
              <w:spacing w:before="27" w:line="229" w:lineRule="auto"/>
              <w:rPr/>
            </w:pPr>
            <w:r>
              <w:rPr/>
              <w:t>损</w:t>
            </w:r>
          </w:p>
        </w:tc>
        <w:tc>
          <w:tcPr>
            <w:tcW w:w="717" w:type="dxa"/>
            <w:vAlign w:val="top"/>
          </w:tcPr>
          <w:p>
            <w:pPr>
              <w:spacing w:line="285" w:lineRule="auto"/>
              <w:rPr>
                <w:rFonts w:ascii="Arial"/>
                <w:sz w:val="21"/>
              </w:rPr>
            </w:pPr>
            <w:r/>
          </w:p>
          <w:p>
            <w:pPr>
              <w:ind w:left="310"/>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984" w:type="dxa"/>
            <w:vAlign w:val="top"/>
          </w:tcPr>
          <w:p>
            <w:pPr>
              <w:spacing w:line="283" w:lineRule="auto"/>
              <w:rPr>
                <w:rFonts w:ascii="Arial"/>
                <w:sz w:val="21"/>
              </w:rPr>
            </w:pPr>
            <w:r/>
          </w:p>
          <w:p>
            <w:pPr>
              <w:ind w:left="26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5.208</w:t>
            </w:r>
          </w:p>
        </w:tc>
        <w:tc>
          <w:tcPr>
            <w:tcW w:w="840" w:type="dxa"/>
            <w:vAlign w:val="top"/>
          </w:tcPr>
          <w:p>
            <w:pPr>
              <w:spacing w:line="283" w:lineRule="auto"/>
              <w:rPr>
                <w:rFonts w:ascii="Arial"/>
                <w:sz w:val="21"/>
              </w:rPr>
            </w:pPr>
            <w:r/>
          </w:p>
          <w:p>
            <w:pPr>
              <w:ind w:left="136"/>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0.0104</w:t>
            </w:r>
          </w:p>
        </w:tc>
        <w:tc>
          <w:tcPr>
            <w:tcW w:w="770" w:type="dxa"/>
            <w:vAlign w:val="top"/>
          </w:tcPr>
          <w:p>
            <w:pPr>
              <w:spacing w:line="283" w:lineRule="auto"/>
              <w:rPr>
                <w:rFonts w:ascii="Arial"/>
                <w:sz w:val="21"/>
              </w:rPr>
            </w:pPr>
            <w:r/>
          </w:p>
          <w:p>
            <w:pPr>
              <w:ind w:left="304"/>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727" w:type="dxa"/>
            <w:vAlign w:val="top"/>
          </w:tcPr>
          <w:p>
            <w:pPr>
              <w:spacing w:line="283" w:lineRule="auto"/>
              <w:rPr>
                <w:rFonts w:ascii="Arial"/>
                <w:sz w:val="21"/>
              </w:rPr>
            </w:pPr>
            <w:r/>
          </w:p>
          <w:p>
            <w:pPr>
              <w:ind w:left="23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833" w:type="dxa"/>
            <w:vAlign w:val="top"/>
          </w:tcPr>
          <w:p>
            <w:pPr>
              <w:spacing w:line="283" w:lineRule="auto"/>
              <w:rPr>
                <w:rFonts w:ascii="Arial"/>
                <w:sz w:val="21"/>
              </w:rPr>
            </w:pPr>
            <w:r/>
          </w:p>
          <w:p>
            <w:pPr>
              <w:ind w:left="31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r>
      <w:tr>
        <w:trPr>
          <w:trHeight w:val="265" w:hRule="atLeast"/>
        </w:trPr>
        <w:tc>
          <w:tcPr>
            <w:tcW w:w="1098" w:type="dxa"/>
            <w:vAlign w:val="top"/>
            <w:vMerge w:val="restart"/>
            <w:tcBorders>
              <w:bottom w:val="nil"/>
            </w:tcBorders>
          </w:tcPr>
          <w:p>
            <w:pPr>
              <w:pStyle w:val="TableText"/>
              <w:ind w:left="27"/>
              <w:spacing w:before="34" w:line="228" w:lineRule="auto"/>
              <w:rPr/>
            </w:pPr>
            <w:r>
              <w:rPr>
                <w:spacing w:val="8"/>
              </w:rPr>
              <w:t>废水收集池</w:t>
            </w:r>
          </w:p>
          <w:p>
            <w:pPr>
              <w:pStyle w:val="TableText"/>
              <w:ind w:left="30"/>
              <w:spacing w:before="26" w:line="213" w:lineRule="auto"/>
              <w:rPr/>
            </w:pPr>
            <w:r>
              <w:rPr>
                <w:spacing w:val="7"/>
              </w:rPr>
              <w:t>等恶臭气体</w:t>
            </w:r>
          </w:p>
        </w:tc>
        <w:tc>
          <w:tcPr>
            <w:tcW w:w="835" w:type="dxa"/>
            <w:vAlign w:val="top"/>
            <w:vMerge w:val="restart"/>
            <w:tcBorders>
              <w:bottom w:val="nil"/>
            </w:tcBorders>
          </w:tcPr>
          <w:p>
            <w:pPr>
              <w:ind w:left="208"/>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2000</w:t>
            </w:r>
          </w:p>
        </w:tc>
        <w:tc>
          <w:tcPr>
            <w:tcW w:w="770" w:type="dxa"/>
            <w:vAlign w:val="top"/>
          </w:tcPr>
          <w:p>
            <w:pPr>
              <w:ind w:left="192"/>
              <w:spacing w:before="69" w:line="194"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NH</w:t>
            </w:r>
            <w:r>
              <w:rPr>
                <w:rFonts w:ascii="Times New Roman" w:hAnsi="Times New Roman" w:eastAsia="Times New Roman" w:cs="Times New Roman"/>
                <w:sz w:val="13"/>
                <w:szCs w:val="13"/>
                <w:spacing w:val="7"/>
                <w:position w:val="-1"/>
              </w:rPr>
              <w:t>3</w:t>
            </w:r>
          </w:p>
        </w:tc>
        <w:tc>
          <w:tcPr>
            <w:tcW w:w="1296" w:type="dxa"/>
            <w:vAlign w:val="top"/>
            <w:vMerge w:val="restart"/>
            <w:tcBorders>
              <w:bottom w:val="nil"/>
            </w:tcBorders>
          </w:tcPr>
          <w:p>
            <w:pPr>
              <w:pStyle w:val="TableText"/>
              <w:ind w:left="26"/>
              <w:spacing w:before="35" w:line="228" w:lineRule="auto"/>
              <w:rPr/>
            </w:pPr>
            <w:r>
              <w:rPr>
                <w:spacing w:val="7"/>
              </w:rPr>
              <w:t>活性炭失效或</w:t>
            </w:r>
          </w:p>
          <w:p>
            <w:pPr>
              <w:pStyle w:val="TableText"/>
              <w:ind w:left="442"/>
              <w:spacing w:before="26" w:line="213" w:lineRule="auto"/>
              <w:rPr/>
            </w:pPr>
            <w:r>
              <w:rPr>
                <w:spacing w:val="5"/>
              </w:rPr>
              <w:t>饱和</w:t>
            </w:r>
          </w:p>
        </w:tc>
        <w:tc>
          <w:tcPr>
            <w:tcW w:w="717" w:type="dxa"/>
            <w:vAlign w:val="top"/>
          </w:tcPr>
          <w:p>
            <w:pPr>
              <w:ind w:left="310"/>
              <w:spacing w:before="69"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984" w:type="dxa"/>
            <w:vAlign w:val="top"/>
          </w:tcPr>
          <w:p>
            <w:pPr>
              <w:ind w:left="277"/>
              <w:spacing w:before="6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198.6</w:t>
            </w:r>
          </w:p>
        </w:tc>
        <w:tc>
          <w:tcPr>
            <w:tcW w:w="840" w:type="dxa"/>
            <w:vAlign w:val="top"/>
          </w:tcPr>
          <w:p>
            <w:pPr>
              <w:ind w:left="136"/>
              <w:spacing w:before="6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0.3972</w:t>
            </w:r>
          </w:p>
        </w:tc>
        <w:tc>
          <w:tcPr>
            <w:tcW w:w="770" w:type="dxa"/>
            <w:vAlign w:val="top"/>
            <w:vMerge w:val="restart"/>
            <w:tcBorders>
              <w:bottom w:val="nil"/>
            </w:tcBorders>
          </w:tcPr>
          <w:p>
            <w:pPr>
              <w:ind w:left="304"/>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727" w:type="dxa"/>
            <w:vAlign w:val="top"/>
            <w:vMerge w:val="restart"/>
            <w:tcBorders>
              <w:bottom w:val="nil"/>
            </w:tcBorders>
          </w:tcPr>
          <w:p>
            <w:pPr>
              <w:ind w:left="239"/>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833" w:type="dxa"/>
            <w:vAlign w:val="top"/>
            <w:vMerge w:val="restart"/>
            <w:tcBorders>
              <w:bottom w:val="nil"/>
            </w:tcBorders>
          </w:tcPr>
          <w:p>
            <w:pPr>
              <w:ind w:left="313"/>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r>
      <w:tr>
        <w:trPr>
          <w:trHeight w:val="279" w:hRule="atLeast"/>
        </w:trPr>
        <w:tc>
          <w:tcPr>
            <w:tcW w:w="1098" w:type="dxa"/>
            <w:vAlign w:val="top"/>
            <w:vMerge w:val="continue"/>
            <w:tcBorders>
              <w:top w:val="nil"/>
            </w:tcBorders>
          </w:tcPr>
          <w:p>
            <w:pPr>
              <w:rPr>
                <w:rFonts w:ascii="Arial"/>
                <w:sz w:val="21"/>
              </w:rPr>
            </w:pPr>
            <w:r/>
          </w:p>
        </w:tc>
        <w:tc>
          <w:tcPr>
            <w:tcW w:w="835" w:type="dxa"/>
            <w:vAlign w:val="top"/>
            <w:vMerge w:val="continue"/>
            <w:tcBorders>
              <w:top w:val="nil"/>
            </w:tcBorders>
          </w:tcPr>
          <w:p>
            <w:pPr>
              <w:rPr>
                <w:rFonts w:ascii="Arial"/>
                <w:sz w:val="21"/>
              </w:rPr>
            </w:pPr>
            <w:r/>
          </w:p>
        </w:tc>
        <w:tc>
          <w:tcPr>
            <w:tcW w:w="770" w:type="dxa"/>
            <w:vAlign w:val="top"/>
          </w:tcPr>
          <w:p>
            <w:pPr>
              <w:ind w:left="217"/>
              <w:spacing w:before="72"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1296" w:type="dxa"/>
            <w:vAlign w:val="top"/>
            <w:vMerge w:val="continue"/>
            <w:tcBorders>
              <w:top w:val="nil"/>
            </w:tcBorders>
          </w:tcPr>
          <w:p>
            <w:pPr>
              <w:rPr>
                <w:rFonts w:ascii="Arial"/>
                <w:sz w:val="21"/>
              </w:rPr>
            </w:pPr>
            <w:r/>
          </w:p>
        </w:tc>
        <w:tc>
          <w:tcPr>
            <w:tcW w:w="717" w:type="dxa"/>
            <w:vAlign w:val="top"/>
          </w:tcPr>
          <w:p>
            <w:pPr>
              <w:ind w:left="310"/>
              <w:spacing w:before="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984" w:type="dxa"/>
            <w:vAlign w:val="top"/>
          </w:tcPr>
          <w:p>
            <w:pPr>
              <w:ind w:left="22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11.875</w:t>
            </w:r>
          </w:p>
        </w:tc>
        <w:tc>
          <w:tcPr>
            <w:tcW w:w="840" w:type="dxa"/>
            <w:vAlign w:val="top"/>
          </w:tcPr>
          <w:p>
            <w:pPr>
              <w:ind w:left="13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0.0237</w:t>
            </w:r>
          </w:p>
        </w:tc>
        <w:tc>
          <w:tcPr>
            <w:tcW w:w="770" w:type="dxa"/>
            <w:vAlign w:val="top"/>
            <w:vMerge w:val="continue"/>
            <w:tcBorders>
              <w:top w:val="nil"/>
            </w:tcBorders>
          </w:tcPr>
          <w:p>
            <w:pPr>
              <w:rPr>
                <w:rFonts w:ascii="Arial"/>
                <w:sz w:val="21"/>
              </w:rPr>
            </w:pPr>
            <w:r/>
          </w:p>
        </w:tc>
        <w:tc>
          <w:tcPr>
            <w:tcW w:w="727" w:type="dxa"/>
            <w:vAlign w:val="top"/>
            <w:vMerge w:val="continue"/>
            <w:tcBorders>
              <w:top w:val="nil"/>
            </w:tcBorders>
          </w:tcPr>
          <w:p>
            <w:pPr>
              <w:rPr>
                <w:rFonts w:ascii="Arial"/>
                <w:sz w:val="21"/>
              </w:rPr>
            </w:pPr>
            <w:r/>
          </w:p>
        </w:tc>
        <w:tc>
          <w:tcPr>
            <w:tcW w:w="833" w:type="dxa"/>
            <w:vAlign w:val="top"/>
            <w:vMerge w:val="continue"/>
            <w:tcBorders>
              <w:top w:val="nil"/>
            </w:tcBorders>
          </w:tcPr>
          <w:p>
            <w:pPr>
              <w:rPr>
                <w:rFonts w:ascii="Arial"/>
                <w:sz w:val="21"/>
              </w:rPr>
            </w:pPr>
            <w:r/>
          </w:p>
        </w:tc>
      </w:tr>
      <w:tr>
        <w:trPr>
          <w:trHeight w:val="277" w:hRule="atLeast"/>
        </w:trPr>
        <w:tc>
          <w:tcPr>
            <w:tcW w:w="1098" w:type="dxa"/>
            <w:vAlign w:val="top"/>
            <w:vMerge w:val="restart"/>
            <w:tcBorders>
              <w:bottom w:val="nil"/>
            </w:tcBorders>
          </w:tcPr>
          <w:p>
            <w:pPr>
              <w:pStyle w:val="TableText"/>
              <w:ind w:left="30"/>
              <w:spacing w:before="170" w:line="228" w:lineRule="auto"/>
              <w:rPr/>
            </w:pPr>
            <w:r>
              <w:rPr>
                <w:spacing w:val="7"/>
              </w:rPr>
              <w:t>生物质锅炉</w:t>
            </w:r>
          </w:p>
          <w:p>
            <w:pPr>
              <w:pStyle w:val="TableText"/>
              <w:ind w:left="344"/>
              <w:spacing w:before="24" w:line="228" w:lineRule="auto"/>
              <w:rPr/>
            </w:pPr>
            <w:r>
              <w:rPr>
                <w:spacing w:val="5"/>
              </w:rPr>
              <w:t>废气</w:t>
            </w:r>
          </w:p>
        </w:tc>
        <w:tc>
          <w:tcPr>
            <w:tcW w:w="835" w:type="dxa"/>
            <w:vAlign w:val="top"/>
            <w:vMerge w:val="restart"/>
            <w:tcBorders>
              <w:bottom w:val="nil"/>
            </w:tcBorders>
          </w:tcPr>
          <w:p>
            <w:pPr>
              <w:spacing w:line="283" w:lineRule="auto"/>
              <w:rPr>
                <w:rFonts w:ascii="Arial"/>
                <w:sz w:val="21"/>
              </w:rPr>
            </w:pPr>
            <w:r/>
          </w:p>
          <w:p>
            <w:pPr>
              <w:ind w:left="21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6009</w:t>
            </w:r>
          </w:p>
        </w:tc>
        <w:tc>
          <w:tcPr>
            <w:tcW w:w="770" w:type="dxa"/>
            <w:vAlign w:val="top"/>
          </w:tcPr>
          <w:p>
            <w:pPr>
              <w:pStyle w:val="TableText"/>
              <w:ind w:left="74"/>
              <w:spacing w:before="35" w:line="214" w:lineRule="auto"/>
              <w:rPr/>
            </w:pPr>
            <w:r>
              <w:rPr>
                <w:spacing w:val="7"/>
              </w:rPr>
              <w:t>颗粒物</w:t>
            </w:r>
          </w:p>
        </w:tc>
        <w:tc>
          <w:tcPr>
            <w:tcW w:w="1296" w:type="dxa"/>
            <w:vAlign w:val="top"/>
            <w:vMerge w:val="restart"/>
            <w:tcBorders>
              <w:bottom w:val="nil"/>
            </w:tcBorders>
          </w:tcPr>
          <w:p>
            <w:pPr>
              <w:pStyle w:val="TableText"/>
              <w:ind w:left="35"/>
              <w:spacing w:before="306" w:line="228" w:lineRule="auto"/>
              <w:rPr/>
            </w:pPr>
            <w:r>
              <w:rPr>
                <w:spacing w:val="6"/>
              </w:rPr>
              <w:t>除尘设施损坏</w:t>
            </w:r>
          </w:p>
        </w:tc>
        <w:tc>
          <w:tcPr>
            <w:tcW w:w="717" w:type="dxa"/>
            <w:vAlign w:val="top"/>
          </w:tcPr>
          <w:p>
            <w:pPr>
              <w:ind w:left="310"/>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984" w:type="dxa"/>
            <w:vAlign w:val="top"/>
          </w:tcPr>
          <w:p>
            <w:pPr>
              <w:ind w:left="31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65.4</w:t>
            </w:r>
          </w:p>
        </w:tc>
        <w:tc>
          <w:tcPr>
            <w:tcW w:w="840" w:type="dxa"/>
            <w:vAlign w:val="top"/>
          </w:tcPr>
          <w:p>
            <w:pPr>
              <w:ind w:left="19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0.393</w:t>
            </w:r>
          </w:p>
        </w:tc>
        <w:tc>
          <w:tcPr>
            <w:tcW w:w="770" w:type="dxa"/>
            <w:vAlign w:val="top"/>
            <w:vMerge w:val="restart"/>
            <w:tcBorders>
              <w:bottom w:val="nil"/>
            </w:tcBorders>
          </w:tcPr>
          <w:p>
            <w:pPr>
              <w:spacing w:line="283" w:lineRule="auto"/>
              <w:rPr>
                <w:rFonts w:ascii="Arial"/>
                <w:sz w:val="21"/>
              </w:rPr>
            </w:pPr>
            <w:r/>
          </w:p>
          <w:p>
            <w:pPr>
              <w:ind w:left="288"/>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35</w:t>
            </w:r>
          </w:p>
        </w:tc>
        <w:tc>
          <w:tcPr>
            <w:tcW w:w="727" w:type="dxa"/>
            <w:vAlign w:val="top"/>
            <w:vMerge w:val="restart"/>
            <w:tcBorders>
              <w:bottom w:val="nil"/>
            </w:tcBorders>
          </w:tcPr>
          <w:p>
            <w:pPr>
              <w:spacing w:line="283" w:lineRule="auto"/>
              <w:rPr>
                <w:rFonts w:ascii="Arial"/>
                <w:sz w:val="21"/>
              </w:rPr>
            </w:pPr>
            <w:r/>
          </w:p>
          <w:p>
            <w:pPr>
              <w:ind w:left="186"/>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0.45</w:t>
            </w:r>
          </w:p>
        </w:tc>
        <w:tc>
          <w:tcPr>
            <w:tcW w:w="833" w:type="dxa"/>
            <w:vAlign w:val="top"/>
            <w:vMerge w:val="restart"/>
            <w:tcBorders>
              <w:bottom w:val="nil"/>
            </w:tcBorders>
          </w:tcPr>
          <w:p>
            <w:pPr>
              <w:spacing w:line="283" w:lineRule="auto"/>
              <w:rPr>
                <w:rFonts w:ascii="Arial"/>
                <w:sz w:val="21"/>
              </w:rPr>
            </w:pPr>
            <w:r/>
          </w:p>
          <w:p>
            <w:pPr>
              <w:ind w:left="280"/>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120</w:t>
            </w:r>
          </w:p>
        </w:tc>
      </w:tr>
      <w:tr>
        <w:trPr>
          <w:trHeight w:val="265" w:hRule="atLeast"/>
        </w:trPr>
        <w:tc>
          <w:tcPr>
            <w:tcW w:w="1098" w:type="dxa"/>
            <w:vAlign w:val="top"/>
            <w:vMerge w:val="continue"/>
            <w:tcBorders>
              <w:top w:val="nil"/>
              <w:bottom w:val="nil"/>
            </w:tcBorders>
          </w:tcPr>
          <w:p>
            <w:pPr>
              <w:rPr>
                <w:rFonts w:ascii="Arial"/>
                <w:sz w:val="21"/>
              </w:rPr>
            </w:pPr>
            <w:r/>
          </w:p>
        </w:tc>
        <w:tc>
          <w:tcPr>
            <w:tcW w:w="835" w:type="dxa"/>
            <w:vAlign w:val="top"/>
            <w:vMerge w:val="continue"/>
            <w:tcBorders>
              <w:top w:val="nil"/>
              <w:bottom w:val="nil"/>
            </w:tcBorders>
          </w:tcPr>
          <w:p>
            <w:pPr>
              <w:rPr>
                <w:rFonts w:ascii="Arial"/>
                <w:sz w:val="21"/>
              </w:rPr>
            </w:pPr>
            <w:r/>
          </w:p>
        </w:tc>
        <w:tc>
          <w:tcPr>
            <w:tcW w:w="770" w:type="dxa"/>
            <w:vAlign w:val="top"/>
          </w:tcPr>
          <w:p>
            <w:pPr>
              <w:ind w:left="227"/>
              <w:spacing w:before="65" w:line="19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3"/>
                <w:position w:val="-1"/>
              </w:rPr>
              <w:t>2</w:t>
            </w:r>
          </w:p>
        </w:tc>
        <w:tc>
          <w:tcPr>
            <w:tcW w:w="1296" w:type="dxa"/>
            <w:vAlign w:val="top"/>
            <w:vMerge w:val="continue"/>
            <w:tcBorders>
              <w:top w:val="nil"/>
              <w:bottom w:val="nil"/>
            </w:tcBorders>
          </w:tcPr>
          <w:p>
            <w:pPr>
              <w:rPr>
                <w:rFonts w:ascii="Arial"/>
                <w:sz w:val="21"/>
              </w:rPr>
            </w:pPr>
            <w:r/>
          </w:p>
        </w:tc>
        <w:tc>
          <w:tcPr>
            <w:tcW w:w="717" w:type="dxa"/>
            <w:vAlign w:val="top"/>
          </w:tcPr>
          <w:p>
            <w:pPr>
              <w:ind w:left="310"/>
              <w:spacing w:before="70" w:line="193"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984" w:type="dxa"/>
            <w:vAlign w:val="top"/>
          </w:tcPr>
          <w:p>
            <w:pPr>
              <w:ind w:left="277"/>
              <w:spacing w:before="6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133.5</w:t>
            </w:r>
          </w:p>
        </w:tc>
        <w:tc>
          <w:tcPr>
            <w:tcW w:w="840" w:type="dxa"/>
            <w:vAlign w:val="top"/>
          </w:tcPr>
          <w:p>
            <w:pPr>
              <w:ind w:left="241"/>
              <w:spacing w:before="6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0.80</w:t>
            </w:r>
          </w:p>
        </w:tc>
        <w:tc>
          <w:tcPr>
            <w:tcW w:w="770" w:type="dxa"/>
            <w:vAlign w:val="top"/>
            <w:vMerge w:val="continue"/>
            <w:tcBorders>
              <w:top w:val="nil"/>
              <w:bottom w:val="nil"/>
            </w:tcBorders>
          </w:tcPr>
          <w:p>
            <w:pPr>
              <w:rPr>
                <w:rFonts w:ascii="Arial"/>
                <w:sz w:val="21"/>
              </w:rPr>
            </w:pPr>
            <w:r/>
          </w:p>
        </w:tc>
        <w:tc>
          <w:tcPr>
            <w:tcW w:w="727" w:type="dxa"/>
            <w:vAlign w:val="top"/>
            <w:vMerge w:val="continue"/>
            <w:tcBorders>
              <w:top w:val="nil"/>
              <w:bottom w:val="nil"/>
            </w:tcBorders>
          </w:tcPr>
          <w:p>
            <w:pPr>
              <w:rPr>
                <w:rFonts w:ascii="Arial"/>
                <w:sz w:val="21"/>
              </w:rPr>
            </w:pPr>
            <w:r/>
          </w:p>
        </w:tc>
        <w:tc>
          <w:tcPr>
            <w:tcW w:w="833" w:type="dxa"/>
            <w:vAlign w:val="top"/>
            <w:vMerge w:val="continue"/>
            <w:tcBorders>
              <w:top w:val="nil"/>
              <w:bottom w:val="nil"/>
            </w:tcBorders>
          </w:tcPr>
          <w:p>
            <w:pPr>
              <w:rPr>
                <w:rFonts w:ascii="Arial"/>
                <w:sz w:val="21"/>
              </w:rPr>
            </w:pPr>
            <w:r/>
          </w:p>
        </w:tc>
      </w:tr>
      <w:tr>
        <w:trPr>
          <w:trHeight w:val="269" w:hRule="atLeast"/>
        </w:trPr>
        <w:tc>
          <w:tcPr>
            <w:tcW w:w="1098" w:type="dxa"/>
            <w:vAlign w:val="top"/>
            <w:vMerge w:val="continue"/>
            <w:tcBorders>
              <w:top w:val="nil"/>
            </w:tcBorders>
          </w:tcPr>
          <w:p>
            <w:pPr>
              <w:rPr>
                <w:rFonts w:ascii="Arial"/>
                <w:sz w:val="21"/>
              </w:rPr>
            </w:pPr>
            <w:r/>
          </w:p>
        </w:tc>
        <w:tc>
          <w:tcPr>
            <w:tcW w:w="835" w:type="dxa"/>
            <w:vAlign w:val="top"/>
            <w:vMerge w:val="continue"/>
            <w:tcBorders>
              <w:top w:val="nil"/>
            </w:tcBorders>
          </w:tcPr>
          <w:p>
            <w:pPr>
              <w:rPr>
                <w:rFonts w:ascii="Arial"/>
                <w:sz w:val="21"/>
              </w:rPr>
            </w:pPr>
            <w:r/>
          </w:p>
        </w:tc>
        <w:tc>
          <w:tcPr>
            <w:tcW w:w="770" w:type="dxa"/>
            <w:vAlign w:val="top"/>
          </w:tcPr>
          <w:p>
            <w:pPr>
              <w:ind w:left="175"/>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NOx</w:t>
            </w:r>
          </w:p>
        </w:tc>
        <w:tc>
          <w:tcPr>
            <w:tcW w:w="1296" w:type="dxa"/>
            <w:vAlign w:val="top"/>
            <w:vMerge w:val="continue"/>
            <w:tcBorders>
              <w:top w:val="nil"/>
            </w:tcBorders>
          </w:tcPr>
          <w:p>
            <w:pPr>
              <w:rPr>
                <w:rFonts w:ascii="Arial"/>
                <w:sz w:val="21"/>
              </w:rPr>
            </w:pPr>
            <w:r/>
          </w:p>
        </w:tc>
        <w:tc>
          <w:tcPr>
            <w:tcW w:w="717" w:type="dxa"/>
            <w:vAlign w:val="top"/>
          </w:tcPr>
          <w:p>
            <w:pPr>
              <w:ind w:left="310"/>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984" w:type="dxa"/>
            <w:vAlign w:val="top"/>
          </w:tcPr>
          <w:p>
            <w:pPr>
              <w:ind w:left="314"/>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92.8</w:t>
            </w:r>
          </w:p>
        </w:tc>
        <w:tc>
          <w:tcPr>
            <w:tcW w:w="840" w:type="dxa"/>
            <w:vAlign w:val="top"/>
          </w:tcPr>
          <w:p>
            <w:pPr>
              <w:ind w:left="191"/>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0.557</w:t>
            </w:r>
          </w:p>
        </w:tc>
        <w:tc>
          <w:tcPr>
            <w:tcW w:w="770" w:type="dxa"/>
            <w:vAlign w:val="top"/>
            <w:vMerge w:val="continue"/>
            <w:tcBorders>
              <w:top w:val="nil"/>
            </w:tcBorders>
          </w:tcPr>
          <w:p>
            <w:pPr>
              <w:rPr>
                <w:rFonts w:ascii="Arial"/>
                <w:sz w:val="21"/>
              </w:rPr>
            </w:pPr>
            <w:r/>
          </w:p>
        </w:tc>
        <w:tc>
          <w:tcPr>
            <w:tcW w:w="727" w:type="dxa"/>
            <w:vAlign w:val="top"/>
            <w:vMerge w:val="continue"/>
            <w:tcBorders>
              <w:top w:val="nil"/>
            </w:tcBorders>
          </w:tcPr>
          <w:p>
            <w:pPr>
              <w:rPr>
                <w:rFonts w:ascii="Arial"/>
                <w:sz w:val="21"/>
              </w:rPr>
            </w:pPr>
            <w:r/>
          </w:p>
        </w:tc>
        <w:tc>
          <w:tcPr>
            <w:tcW w:w="833" w:type="dxa"/>
            <w:vAlign w:val="top"/>
            <w:vMerge w:val="continue"/>
            <w:tcBorders>
              <w:top w:val="nil"/>
            </w:tcBorders>
          </w:tcPr>
          <w:p>
            <w:pPr>
              <w:rPr>
                <w:rFonts w:ascii="Arial"/>
                <w:sz w:val="21"/>
              </w:rPr>
            </w:pPr>
            <w:r/>
          </w:p>
        </w:tc>
      </w:tr>
    </w:tbl>
    <w:p>
      <w:pPr>
        <w:ind w:left="197"/>
        <w:spacing w:before="163" w:line="222" w:lineRule="auto"/>
        <w:outlineLvl w:val="2"/>
        <w:rPr>
          <w:rFonts w:ascii="SimHei" w:hAnsi="SimHei" w:eastAsia="SimHei" w:cs="SimHei"/>
          <w:sz w:val="28"/>
          <w:szCs w:val="28"/>
        </w:rPr>
      </w:pPr>
      <w:bookmarkStart w:name="bookmark68" w:id="85"/>
      <w:bookmarkEnd w:id="85"/>
      <w:r>
        <w:rPr>
          <w:rFonts w:ascii="Times New Roman" w:hAnsi="Times New Roman" w:eastAsia="Times New Roman" w:cs="Times New Roman"/>
          <w:sz w:val="28"/>
          <w:szCs w:val="28"/>
          <w:spacing w:val="-1"/>
        </w:rPr>
        <w:t>3.5.3 </w:t>
      </w:r>
      <w:r>
        <w:rPr>
          <w:rFonts w:ascii="SimHei" w:hAnsi="SimHei" w:eastAsia="SimHei" w:cs="SimHei"/>
          <w:sz w:val="28"/>
          <w:szCs w:val="28"/>
          <w:spacing w:val="-1"/>
        </w:rPr>
        <w:t>污染物达标排放分析</w:t>
      </w:r>
    </w:p>
    <w:p>
      <w:pPr>
        <w:pStyle w:val="BodyText"/>
        <w:spacing w:line="242" w:lineRule="auto"/>
        <w:rPr/>
      </w:pPr>
      <w:r/>
    </w:p>
    <w:p>
      <w:pPr>
        <w:ind w:left="190"/>
        <w:spacing w:before="79"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3.5.3.1 </w:t>
      </w:r>
      <w:r>
        <w:rPr>
          <w:rFonts w:ascii="SimSun" w:hAnsi="SimSun" w:eastAsia="SimSun" w:cs="SimSun"/>
          <w:sz w:val="24"/>
          <w:szCs w:val="24"/>
          <w:b/>
          <w:bCs/>
          <w:spacing w:val="-2"/>
        </w:rPr>
        <w:t>大气污染物达标排放分析</w:t>
      </w:r>
    </w:p>
    <w:p>
      <w:pPr>
        <w:ind w:left="679"/>
        <w:spacing w:before="181" w:line="219" w:lineRule="auto"/>
        <w:rPr>
          <w:rFonts w:ascii="SimSun" w:hAnsi="SimSun" w:eastAsia="SimSun" w:cs="SimSun"/>
          <w:sz w:val="24"/>
          <w:szCs w:val="24"/>
        </w:rPr>
      </w:pPr>
      <w:r>
        <w:rPr>
          <w:rFonts w:ascii="SimSun" w:hAnsi="SimSun" w:eastAsia="SimSun" w:cs="SimSun"/>
          <w:sz w:val="24"/>
          <w:szCs w:val="24"/>
          <w:spacing w:val="-1"/>
        </w:rPr>
        <w:t>本项目有组织大气污染物达标排放分析见表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3.5-13</w:t>
      </w:r>
      <w:r>
        <w:rPr>
          <w:rFonts w:ascii="SimSun" w:hAnsi="SimSun" w:eastAsia="SimSun" w:cs="SimSun"/>
          <w:sz w:val="24"/>
          <w:szCs w:val="24"/>
          <w:spacing w:val="-1"/>
        </w:rPr>
        <w:t>。</w:t>
      </w:r>
    </w:p>
    <w:p>
      <w:pPr>
        <w:pStyle w:val="BodyText"/>
        <w:spacing w:line="275" w:lineRule="auto"/>
        <w:rPr/>
      </w:pPr>
      <w:r/>
    </w:p>
    <w:p>
      <w:pPr>
        <w:pStyle w:val="BodyText"/>
        <w:spacing w:line="275" w:lineRule="auto"/>
        <w:rPr/>
      </w:pPr>
      <w:r/>
    </w:p>
    <w:p>
      <w:pPr>
        <w:ind w:left="5498"/>
        <w:spacing w:before="62" w:line="227" w:lineRule="auto"/>
        <w:rPr>
          <w:rFonts w:ascii="SimSun" w:hAnsi="SimSun" w:eastAsia="SimSun" w:cs="SimSun"/>
          <w:sz w:val="19"/>
          <w:szCs w:val="19"/>
        </w:rPr>
      </w:pPr>
      <w:r>
        <w:pict>
          <v:shape id="_x0000_s542" style="position:absolute;margin-left:215.173pt;margin-top:2.09955pt;mso-position-vertical-relative:text;mso-position-horizontal-relative:text;width:60.35pt;height:13.75pt;z-index:251896832;"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position w:val="2"/>
                    </w:rPr>
                    <w:t>108       </w:t>
                  </w:r>
                  <w:r>
                    <w:rPr>
                      <w:rFonts w:ascii="SimSun" w:hAnsi="SimSun" w:eastAsia="SimSun" w:cs="SimSun"/>
                      <w:sz w:val="19"/>
                      <w:szCs w:val="19"/>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115"/>
          <w:pgSz w:w="11907" w:h="16840"/>
          <w:pgMar w:top="1567" w:right="1516" w:bottom="400" w:left="1515" w:header="1221" w:footer="0" w:gutter="0"/>
        </w:sectPr>
        <w:rPr>
          <w:rFonts w:ascii="SimSun" w:hAnsi="SimSun" w:eastAsia="SimSun" w:cs="SimSun"/>
          <w:sz w:val="19"/>
          <w:szCs w:val="19"/>
        </w:rPr>
      </w:pPr>
    </w:p>
    <w:p>
      <w:pPr>
        <w:ind w:left="1333"/>
        <w:spacing w:before="187" w:line="211" w:lineRule="auto"/>
        <w:rPr>
          <w:rFonts w:ascii="SimSun" w:hAnsi="SimSun" w:eastAsia="SimSun" w:cs="SimSun"/>
          <w:sz w:val="24"/>
          <w:szCs w:val="24"/>
        </w:rPr>
      </w:pPr>
      <w:r>
        <w:pict>
          <v:shape id="_x0000_s546" style="position:absolute;margin-left:85.05pt;margin-top:79.11pt;mso-position-vertical-relative:page;mso-position-horizontal-relative:page;width:425.25pt;height:0.75pt;z-index:251899904;" o:allowincell="f" fillcolor="#000000" filled="true" stroked="false" coordsize="8505,15" coordorigin="0,0" path="m,l8505,0l8505,14l0,14l0,0xe"/>
        </w:pict>
      </w:r>
      <w:r>
        <w:rPr>
          <w:rFonts w:ascii="SimSun" w:hAnsi="SimSun" w:eastAsia="SimSun" w:cs="SimSun"/>
          <w:sz w:val="24"/>
          <w:szCs w:val="24"/>
          <w:b/>
          <w:bCs/>
          <w:spacing w:val="-1"/>
        </w:rPr>
        <w:t>表</w:t>
      </w:r>
      <w:r>
        <w:rPr>
          <w:rFonts w:ascii="Times New Roman" w:hAnsi="Times New Roman" w:eastAsia="Times New Roman" w:cs="Times New Roman"/>
          <w:sz w:val="24"/>
          <w:szCs w:val="24"/>
          <w:b/>
          <w:bCs/>
          <w:spacing w:val="-1"/>
        </w:rPr>
        <w:t>3.5-13      </w:t>
      </w:r>
      <w:r>
        <w:rPr>
          <w:rFonts w:ascii="SimSun" w:hAnsi="SimSun" w:eastAsia="SimSun" w:cs="SimSun"/>
          <w:sz w:val="24"/>
          <w:szCs w:val="24"/>
          <w:b/>
          <w:bCs/>
          <w:spacing w:val="-1"/>
        </w:rPr>
        <w:t>本项目有组织大气污</w:t>
      </w:r>
      <w:r>
        <w:rPr>
          <w:rFonts w:ascii="SimSun" w:hAnsi="SimSun" w:eastAsia="SimSun" w:cs="SimSun"/>
          <w:sz w:val="24"/>
          <w:szCs w:val="24"/>
          <w:b/>
          <w:bCs/>
          <w:spacing w:val="-2"/>
        </w:rPr>
        <w:t>染物达标排放分析一览表</w:t>
      </w:r>
    </w:p>
    <w:tbl>
      <w:tblPr>
        <w:tblStyle w:val="TableNormal"/>
        <w:tblW w:w="8686"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71"/>
        <w:gridCol w:w="1007"/>
        <w:gridCol w:w="899"/>
        <w:gridCol w:w="916"/>
        <w:gridCol w:w="909"/>
        <w:gridCol w:w="721"/>
        <w:gridCol w:w="824"/>
        <w:gridCol w:w="893"/>
        <w:gridCol w:w="1394"/>
        <w:gridCol w:w="452"/>
      </w:tblGrid>
      <w:tr>
        <w:trPr>
          <w:trHeight w:val="259" w:hRule="atLeast"/>
        </w:trPr>
        <w:tc>
          <w:tcPr>
            <w:tcW w:w="671" w:type="dxa"/>
            <w:vAlign w:val="top"/>
            <w:vMerge w:val="restart"/>
            <w:tcBorders>
              <w:bottom w:val="nil"/>
            </w:tcBorders>
          </w:tcPr>
          <w:p>
            <w:pPr>
              <w:pStyle w:val="TableText"/>
              <w:ind w:left="132"/>
              <w:spacing w:before="279" w:line="228" w:lineRule="auto"/>
              <w:rPr/>
            </w:pPr>
            <w:r>
              <w:rPr>
                <w:spacing w:val="3"/>
              </w:rPr>
              <w:t>编号</w:t>
            </w:r>
          </w:p>
        </w:tc>
        <w:tc>
          <w:tcPr>
            <w:tcW w:w="1007" w:type="dxa"/>
            <w:vAlign w:val="top"/>
            <w:vMerge w:val="restart"/>
            <w:tcBorders>
              <w:bottom w:val="nil"/>
            </w:tcBorders>
          </w:tcPr>
          <w:p>
            <w:pPr>
              <w:pStyle w:val="TableText"/>
              <w:ind w:left="193"/>
              <w:spacing w:before="280" w:line="228" w:lineRule="auto"/>
              <w:rPr/>
            </w:pPr>
            <w:r>
              <w:rPr>
                <w:spacing w:val="6"/>
              </w:rPr>
              <w:t>污染源</w:t>
            </w:r>
          </w:p>
        </w:tc>
        <w:tc>
          <w:tcPr>
            <w:tcW w:w="3445" w:type="dxa"/>
            <w:vAlign w:val="top"/>
            <w:gridSpan w:val="4"/>
          </w:tcPr>
          <w:p>
            <w:pPr>
              <w:pStyle w:val="TableText"/>
              <w:ind w:left="1099"/>
              <w:spacing w:before="25" w:line="206" w:lineRule="auto"/>
              <w:rPr/>
            </w:pPr>
            <w:r>
              <w:rPr>
                <w:spacing w:val="7"/>
              </w:rPr>
              <w:t>污染物的排放</w:t>
            </w:r>
          </w:p>
        </w:tc>
        <w:tc>
          <w:tcPr>
            <w:tcW w:w="1717" w:type="dxa"/>
            <w:vAlign w:val="top"/>
            <w:gridSpan w:val="2"/>
          </w:tcPr>
          <w:p>
            <w:pPr>
              <w:pStyle w:val="TableText"/>
              <w:ind w:left="446"/>
              <w:spacing w:before="25" w:line="206" w:lineRule="auto"/>
              <w:rPr/>
            </w:pPr>
            <w:r>
              <w:rPr>
                <w:spacing w:val="7"/>
              </w:rPr>
              <w:t>排放标准</w:t>
            </w:r>
          </w:p>
        </w:tc>
        <w:tc>
          <w:tcPr>
            <w:tcW w:w="1394" w:type="dxa"/>
            <w:vAlign w:val="top"/>
            <w:vMerge w:val="restart"/>
            <w:tcBorders>
              <w:bottom w:val="nil"/>
            </w:tcBorders>
          </w:tcPr>
          <w:p>
            <w:pPr>
              <w:pStyle w:val="TableText"/>
              <w:ind w:left="285"/>
              <w:spacing w:before="279" w:line="228" w:lineRule="auto"/>
              <w:rPr/>
            </w:pPr>
            <w:r>
              <w:rPr>
                <w:spacing w:val="7"/>
              </w:rPr>
              <w:t>标准来源</w:t>
            </w:r>
          </w:p>
        </w:tc>
        <w:tc>
          <w:tcPr>
            <w:tcW w:w="452" w:type="dxa"/>
            <w:vAlign w:val="top"/>
            <w:vMerge w:val="restart"/>
            <w:tcBorders>
              <w:bottom w:val="nil"/>
            </w:tcBorders>
          </w:tcPr>
          <w:p>
            <w:pPr>
              <w:pStyle w:val="TableText"/>
              <w:ind w:left="24"/>
              <w:spacing w:before="155" w:line="228" w:lineRule="auto"/>
              <w:rPr/>
            </w:pPr>
            <w:r>
              <w:rPr>
                <w:spacing w:val="3"/>
              </w:rPr>
              <w:t>是否</w:t>
            </w:r>
          </w:p>
          <w:p>
            <w:pPr>
              <w:pStyle w:val="TableText"/>
              <w:ind w:left="20"/>
              <w:spacing w:before="2" w:line="228" w:lineRule="auto"/>
              <w:rPr/>
            </w:pPr>
            <w:r>
              <w:rPr>
                <w:spacing w:val="5"/>
              </w:rPr>
              <w:t>达标</w:t>
            </w:r>
          </w:p>
        </w:tc>
      </w:tr>
      <w:tr>
        <w:trPr>
          <w:trHeight w:val="504" w:hRule="atLeast"/>
        </w:trPr>
        <w:tc>
          <w:tcPr>
            <w:tcW w:w="671" w:type="dxa"/>
            <w:vAlign w:val="top"/>
            <w:vMerge w:val="continue"/>
            <w:tcBorders>
              <w:top w:val="nil"/>
            </w:tcBorders>
          </w:tcPr>
          <w:p>
            <w:pPr>
              <w:rPr>
                <w:rFonts w:ascii="Arial"/>
                <w:sz w:val="21"/>
              </w:rPr>
            </w:pPr>
            <w:r/>
          </w:p>
        </w:tc>
        <w:tc>
          <w:tcPr>
            <w:tcW w:w="1007" w:type="dxa"/>
            <w:vAlign w:val="top"/>
            <w:vMerge w:val="continue"/>
            <w:tcBorders>
              <w:top w:val="nil"/>
            </w:tcBorders>
          </w:tcPr>
          <w:p>
            <w:pPr>
              <w:rPr>
                <w:rFonts w:ascii="Arial"/>
                <w:sz w:val="21"/>
              </w:rPr>
            </w:pPr>
            <w:r/>
          </w:p>
        </w:tc>
        <w:tc>
          <w:tcPr>
            <w:tcW w:w="899" w:type="dxa"/>
            <w:vAlign w:val="top"/>
          </w:tcPr>
          <w:p>
            <w:pPr>
              <w:pStyle w:val="TableText"/>
              <w:ind w:left="142"/>
              <w:spacing w:before="146" w:line="228" w:lineRule="auto"/>
              <w:rPr/>
            </w:pPr>
            <w:r>
              <w:rPr>
                <w:spacing w:val="6"/>
              </w:rPr>
              <w:t>污染物</w:t>
            </w:r>
          </w:p>
        </w:tc>
        <w:tc>
          <w:tcPr>
            <w:tcW w:w="916" w:type="dxa"/>
            <w:vAlign w:val="top"/>
          </w:tcPr>
          <w:p>
            <w:pPr>
              <w:pStyle w:val="TableText"/>
              <w:ind w:left="101" w:right="99" w:firstLine="152"/>
              <w:spacing w:before="20" w:line="232" w:lineRule="auto"/>
              <w:rPr>
                <w:rFonts w:ascii="Times New Roman" w:hAnsi="Times New Roman" w:eastAsia="Times New Roman" w:cs="Times New Roman"/>
                <w:sz w:val="13"/>
                <w:szCs w:val="13"/>
              </w:rPr>
            </w:pPr>
            <w:r>
              <w:rPr>
                <w:spacing w:val="4"/>
              </w:rPr>
              <w:t>浓度</w:t>
            </w:r>
            <w:r>
              <w:rPr/>
              <w:t xml:space="preserve">  </w:t>
            </w:r>
            <w:r>
              <w:rPr>
                <w:rFonts w:ascii="Times New Roman" w:hAnsi="Times New Roman" w:eastAsia="Times New Roman" w:cs="Times New Roman"/>
              </w:rPr>
              <w:t>mg</w:t>
            </w:r>
            <w:r>
              <w:rPr>
                <w:rFonts w:ascii="Times New Roman" w:hAnsi="Times New Roman" w:eastAsia="Times New Roman" w:cs="Times New Roman"/>
                <w:spacing w:val="16"/>
              </w:rPr>
              <w:t>/</w:t>
            </w:r>
            <w:r>
              <w:rPr>
                <w:rFonts w:ascii="Times New Roman" w:hAnsi="Times New Roman" w:eastAsia="Times New Roman" w:cs="Times New Roman"/>
              </w:rPr>
              <w:t>Nm</w:t>
            </w:r>
            <w:r>
              <w:rPr>
                <w:rFonts w:ascii="Times New Roman" w:hAnsi="Times New Roman" w:eastAsia="Times New Roman" w:cs="Times New Roman"/>
                <w:sz w:val="13"/>
                <w:szCs w:val="13"/>
                <w:spacing w:val="16"/>
                <w:position w:val="6"/>
              </w:rPr>
              <w:t>3</w:t>
            </w:r>
          </w:p>
        </w:tc>
        <w:tc>
          <w:tcPr>
            <w:tcW w:w="909" w:type="dxa"/>
            <w:vAlign w:val="top"/>
          </w:tcPr>
          <w:p>
            <w:pPr>
              <w:pStyle w:val="TableText"/>
              <w:ind w:left="38"/>
              <w:spacing w:before="145" w:line="221" w:lineRule="auto"/>
              <w:rPr>
                <w:rFonts w:ascii="Times New Roman" w:hAnsi="Times New Roman" w:eastAsia="Times New Roman" w:cs="Times New Roman"/>
              </w:rPr>
            </w:pPr>
            <w:r>
              <w:rPr>
                <w:spacing w:val="6"/>
              </w:rPr>
              <w:t>速率</w:t>
            </w:r>
            <w:r>
              <w:rPr>
                <w:spacing w:val="-44"/>
              </w:rPr>
              <w:t xml:space="preserve"> </w:t>
            </w:r>
            <w:r>
              <w:rPr>
                <w:rFonts w:ascii="Times New Roman" w:hAnsi="Times New Roman" w:eastAsia="Times New Roman" w:cs="Times New Roman"/>
              </w:rPr>
              <w:t>kg</w:t>
            </w:r>
            <w:r>
              <w:rPr>
                <w:rFonts w:ascii="Times New Roman" w:hAnsi="Times New Roman" w:eastAsia="Times New Roman" w:cs="Times New Roman"/>
                <w:spacing w:val="6"/>
              </w:rPr>
              <w:t>/h</w:t>
            </w:r>
          </w:p>
        </w:tc>
        <w:tc>
          <w:tcPr>
            <w:tcW w:w="721" w:type="dxa"/>
            <w:vAlign w:val="top"/>
          </w:tcPr>
          <w:p>
            <w:pPr>
              <w:pStyle w:val="TableText"/>
              <w:ind w:left="52" w:right="37" w:firstLine="1"/>
              <w:spacing w:before="21" w:line="218" w:lineRule="auto"/>
              <w:rPr>
                <w:rFonts w:ascii="Times New Roman" w:hAnsi="Times New Roman" w:eastAsia="Times New Roman" w:cs="Times New Roman"/>
              </w:rPr>
            </w:pPr>
            <w:r>
              <w:rPr>
                <w:spacing w:val="6"/>
              </w:rPr>
              <w:t>排气筒</w:t>
            </w:r>
            <w:r>
              <w:rPr>
                <w:spacing w:val="1"/>
              </w:rPr>
              <w:t xml:space="preserve"> </w:t>
            </w:r>
            <w:r>
              <w:rPr>
                <w:spacing w:val="3"/>
              </w:rPr>
              <w:t>高度</w:t>
            </w:r>
            <w:r>
              <w:rPr>
                <w:rFonts w:ascii="Times New Roman" w:hAnsi="Times New Roman" w:eastAsia="Times New Roman" w:cs="Times New Roman"/>
                <w:spacing w:val="3"/>
              </w:rPr>
              <w:t>/m</w:t>
            </w:r>
          </w:p>
        </w:tc>
        <w:tc>
          <w:tcPr>
            <w:tcW w:w="824" w:type="dxa"/>
            <w:vAlign w:val="top"/>
          </w:tcPr>
          <w:p>
            <w:pPr>
              <w:pStyle w:val="TableText"/>
              <w:ind w:left="58" w:right="52" w:firstLine="150"/>
              <w:spacing w:before="20" w:line="232" w:lineRule="auto"/>
              <w:rPr>
                <w:rFonts w:ascii="Times New Roman" w:hAnsi="Times New Roman" w:eastAsia="Times New Roman" w:cs="Times New Roman"/>
                <w:sz w:val="13"/>
                <w:szCs w:val="13"/>
              </w:rPr>
            </w:pPr>
            <w:r>
              <w:rPr>
                <w:spacing w:val="6"/>
              </w:rPr>
              <w:t>浓度</w:t>
            </w:r>
            <w:r>
              <w:rPr/>
              <w:t xml:space="preserve">  </w:t>
            </w:r>
            <w:r>
              <w:rPr>
                <w:rFonts w:ascii="Times New Roman" w:hAnsi="Times New Roman" w:eastAsia="Times New Roman" w:cs="Times New Roman"/>
              </w:rPr>
              <w:t>mg</w:t>
            </w:r>
            <w:r>
              <w:rPr>
                <w:rFonts w:ascii="Times New Roman" w:hAnsi="Times New Roman" w:eastAsia="Times New Roman" w:cs="Times New Roman"/>
                <w:spacing w:val="15"/>
              </w:rPr>
              <w:t>/</w:t>
            </w:r>
            <w:r>
              <w:rPr>
                <w:rFonts w:ascii="Times New Roman" w:hAnsi="Times New Roman" w:eastAsia="Times New Roman" w:cs="Times New Roman"/>
              </w:rPr>
              <w:t>Nm</w:t>
            </w:r>
            <w:r>
              <w:rPr>
                <w:rFonts w:ascii="Times New Roman" w:hAnsi="Times New Roman" w:eastAsia="Times New Roman" w:cs="Times New Roman"/>
                <w:sz w:val="13"/>
                <w:szCs w:val="13"/>
                <w:spacing w:val="15"/>
                <w:position w:val="6"/>
              </w:rPr>
              <w:t>3</w:t>
            </w:r>
          </w:p>
        </w:tc>
        <w:tc>
          <w:tcPr>
            <w:tcW w:w="893" w:type="dxa"/>
            <w:vAlign w:val="top"/>
          </w:tcPr>
          <w:p>
            <w:pPr>
              <w:pStyle w:val="TableText"/>
              <w:ind w:left="29"/>
              <w:spacing w:before="145" w:line="221" w:lineRule="auto"/>
              <w:rPr>
                <w:rFonts w:ascii="Times New Roman" w:hAnsi="Times New Roman" w:eastAsia="Times New Roman" w:cs="Times New Roman"/>
              </w:rPr>
            </w:pPr>
            <w:r>
              <w:rPr>
                <w:spacing w:val="6"/>
              </w:rPr>
              <w:t>速率</w:t>
            </w:r>
            <w:r>
              <w:rPr>
                <w:spacing w:val="-44"/>
              </w:rPr>
              <w:t xml:space="preserve"> </w:t>
            </w:r>
            <w:r>
              <w:rPr>
                <w:rFonts w:ascii="Times New Roman" w:hAnsi="Times New Roman" w:eastAsia="Times New Roman" w:cs="Times New Roman"/>
              </w:rPr>
              <w:t>kg</w:t>
            </w:r>
            <w:r>
              <w:rPr>
                <w:rFonts w:ascii="Times New Roman" w:hAnsi="Times New Roman" w:eastAsia="Times New Roman" w:cs="Times New Roman"/>
                <w:spacing w:val="6"/>
              </w:rPr>
              <w:t>/h</w:t>
            </w:r>
          </w:p>
        </w:tc>
        <w:tc>
          <w:tcPr>
            <w:tcW w:w="1394" w:type="dxa"/>
            <w:vAlign w:val="top"/>
            <w:vMerge w:val="continue"/>
            <w:tcBorders>
              <w:top w:val="nil"/>
            </w:tcBorders>
          </w:tcPr>
          <w:p>
            <w:pPr>
              <w:rPr>
                <w:rFonts w:ascii="Arial"/>
                <w:sz w:val="21"/>
              </w:rPr>
            </w:pPr>
            <w:r/>
          </w:p>
        </w:tc>
        <w:tc>
          <w:tcPr>
            <w:tcW w:w="452" w:type="dxa"/>
            <w:vAlign w:val="top"/>
            <w:vMerge w:val="continue"/>
            <w:tcBorders>
              <w:top w:val="nil"/>
            </w:tcBorders>
          </w:tcPr>
          <w:p>
            <w:pPr>
              <w:rPr>
                <w:rFonts w:ascii="Arial"/>
                <w:sz w:val="21"/>
              </w:rPr>
            </w:pPr>
            <w:r/>
          </w:p>
        </w:tc>
      </w:tr>
      <w:tr>
        <w:trPr>
          <w:trHeight w:val="821" w:hRule="atLeast"/>
        </w:trPr>
        <w:tc>
          <w:tcPr>
            <w:tcW w:w="671" w:type="dxa"/>
            <w:vAlign w:val="top"/>
          </w:tcPr>
          <w:p>
            <w:pPr>
              <w:spacing w:line="275" w:lineRule="auto"/>
              <w:rPr>
                <w:rFonts w:ascii="Arial"/>
                <w:sz w:val="21"/>
              </w:rPr>
            </w:pPr>
            <w:r/>
          </w:p>
          <w:p>
            <w:pPr>
              <w:pStyle w:val="TableText"/>
              <w:ind w:left="12"/>
              <w:spacing w:before="65" w:line="199" w:lineRule="auto"/>
              <w:rPr/>
            </w:pPr>
            <w:r>
              <w:rPr>
                <w:rFonts w:ascii="Times New Roman" w:hAnsi="Times New Roman" w:eastAsia="Times New Roman" w:cs="Times New Roman"/>
                <w:spacing w:val="-1"/>
              </w:rPr>
              <w:t>G</w:t>
            </w:r>
            <w:r>
              <w:rPr>
                <w:rFonts w:ascii="Times New Roman" w:hAnsi="Times New Roman" w:eastAsia="Times New Roman" w:cs="Times New Roman"/>
                <w:sz w:val="13"/>
                <w:szCs w:val="13"/>
                <w:spacing w:val="-1"/>
              </w:rPr>
              <w:t>1-1-</w:t>
            </w:r>
            <w:r>
              <w:rPr>
                <w:rFonts w:ascii="Times New Roman" w:hAnsi="Times New Roman" w:eastAsia="Times New Roman" w:cs="Times New Roman"/>
                <w:sz w:val="13"/>
                <w:szCs w:val="13"/>
                <w:spacing w:val="-15"/>
              </w:rPr>
              <w:t xml:space="preserve"> </w:t>
            </w:r>
            <w:r>
              <w:rPr>
                <w:rFonts w:ascii="Times New Roman" w:hAnsi="Times New Roman" w:eastAsia="Times New Roman" w:cs="Times New Roman"/>
                <w:sz w:val="13"/>
                <w:szCs w:val="13"/>
                <w:spacing w:val="-1"/>
              </w:rPr>
              <w:t>1</w:t>
            </w:r>
            <w:r>
              <w:rPr>
                <w:spacing w:val="-1"/>
              </w:rPr>
              <w:t>、</w:t>
            </w:r>
          </w:p>
        </w:tc>
        <w:tc>
          <w:tcPr>
            <w:tcW w:w="1007" w:type="dxa"/>
            <w:vAlign w:val="top"/>
          </w:tcPr>
          <w:p>
            <w:pPr>
              <w:pStyle w:val="TableText"/>
              <w:spacing w:before="32" w:line="228" w:lineRule="auto"/>
              <w:jc w:val="right"/>
              <w:rPr/>
            </w:pPr>
            <w:r>
              <w:rPr>
                <w:spacing w:val="-2"/>
              </w:rPr>
              <w:t>开松除杂、</w:t>
            </w:r>
          </w:p>
          <w:p>
            <w:pPr>
              <w:pStyle w:val="TableText"/>
              <w:ind w:left="8"/>
              <w:spacing w:before="26" w:line="228" w:lineRule="auto"/>
              <w:rPr/>
            </w:pPr>
            <w:r>
              <w:rPr>
                <w:spacing w:val="-3"/>
              </w:rPr>
              <w:t>洗毛（东厂</w:t>
            </w:r>
          </w:p>
          <w:p>
            <w:pPr>
              <w:pStyle w:val="TableText"/>
              <w:ind w:left="313"/>
              <w:spacing w:before="24" w:line="216" w:lineRule="auto"/>
              <w:rPr/>
            </w:pPr>
            <w:r>
              <w:rPr>
                <w:spacing w:val="-8"/>
              </w:rPr>
              <w:t>区）</w:t>
            </w:r>
          </w:p>
        </w:tc>
        <w:tc>
          <w:tcPr>
            <w:tcW w:w="899" w:type="dxa"/>
            <w:vAlign w:val="top"/>
          </w:tcPr>
          <w:p>
            <w:pPr>
              <w:rPr>
                <w:rFonts w:ascii="Arial"/>
                <w:sz w:val="21"/>
              </w:rPr>
            </w:pPr>
            <w:r/>
          </w:p>
          <w:p>
            <w:pPr>
              <w:pStyle w:val="TableText"/>
              <w:ind w:left="139"/>
              <w:spacing w:before="65" w:line="228" w:lineRule="auto"/>
              <w:rPr/>
            </w:pPr>
            <w:r>
              <w:rPr>
                <w:spacing w:val="7"/>
              </w:rPr>
              <w:t>颗粒物</w:t>
            </w:r>
          </w:p>
        </w:tc>
        <w:tc>
          <w:tcPr>
            <w:tcW w:w="916" w:type="dxa"/>
            <w:vAlign w:val="top"/>
          </w:tcPr>
          <w:p>
            <w:pPr>
              <w:spacing w:line="282" w:lineRule="auto"/>
              <w:rPr>
                <w:rFonts w:ascii="Arial"/>
                <w:sz w:val="21"/>
              </w:rPr>
            </w:pPr>
            <w:r/>
          </w:p>
          <w:p>
            <w:pPr>
              <w:ind w:left="227"/>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0.052</w:t>
            </w:r>
          </w:p>
        </w:tc>
        <w:tc>
          <w:tcPr>
            <w:tcW w:w="909" w:type="dxa"/>
            <w:vAlign w:val="top"/>
          </w:tcPr>
          <w:p>
            <w:pPr>
              <w:spacing w:line="282" w:lineRule="auto"/>
              <w:rPr>
                <w:rFonts w:ascii="Arial"/>
                <w:sz w:val="21"/>
              </w:rPr>
            </w:pPr>
            <w:r/>
          </w:p>
          <w:p>
            <w:pPr>
              <w:ind w:left="172"/>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0.0001</w:t>
            </w:r>
          </w:p>
        </w:tc>
        <w:tc>
          <w:tcPr>
            <w:tcW w:w="721" w:type="dxa"/>
            <w:vAlign w:val="top"/>
          </w:tcPr>
          <w:p>
            <w:pPr>
              <w:spacing w:line="282" w:lineRule="auto"/>
              <w:rPr>
                <w:rFonts w:ascii="Arial"/>
                <w:sz w:val="21"/>
              </w:rPr>
            </w:pPr>
            <w:r/>
          </w:p>
          <w:p>
            <w:pPr>
              <w:ind w:left="27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824" w:type="dxa"/>
            <w:vAlign w:val="top"/>
          </w:tcPr>
          <w:p>
            <w:pPr>
              <w:spacing w:line="282" w:lineRule="auto"/>
              <w:rPr>
                <w:rFonts w:ascii="Arial"/>
                <w:sz w:val="21"/>
              </w:rPr>
            </w:pPr>
            <w:r/>
          </w:p>
          <w:p>
            <w:pPr>
              <w:ind w:left="278"/>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120</w:t>
            </w:r>
          </w:p>
        </w:tc>
        <w:tc>
          <w:tcPr>
            <w:tcW w:w="893" w:type="dxa"/>
            <w:vAlign w:val="top"/>
          </w:tcPr>
          <w:p>
            <w:pPr>
              <w:spacing w:line="282" w:lineRule="auto"/>
              <w:rPr>
                <w:rFonts w:ascii="Arial"/>
                <w:sz w:val="21"/>
              </w:rPr>
            </w:pPr>
            <w:r/>
          </w:p>
          <w:p>
            <w:pPr>
              <w:ind w:left="32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3.5</w:t>
            </w:r>
          </w:p>
        </w:tc>
        <w:tc>
          <w:tcPr>
            <w:tcW w:w="1394" w:type="dxa"/>
            <w:vAlign w:val="top"/>
          </w:tcPr>
          <w:p>
            <w:pPr>
              <w:ind w:left="51"/>
              <w:spacing w:before="21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5"/>
              </w:rPr>
              <w:t>16297-1996</w:t>
            </w:r>
          </w:p>
          <w:p>
            <w:pPr>
              <w:pStyle w:val="TableText"/>
              <w:ind w:left="409"/>
              <w:spacing w:before="27" w:line="228" w:lineRule="auto"/>
              <w:rPr/>
            </w:pPr>
            <w:r>
              <w:rPr/>
              <w:t>中二级</w:t>
            </w:r>
          </w:p>
        </w:tc>
        <w:tc>
          <w:tcPr>
            <w:tcW w:w="452" w:type="dxa"/>
            <w:vAlign w:val="top"/>
          </w:tcPr>
          <w:p>
            <w:pPr>
              <w:rPr>
                <w:rFonts w:ascii="Arial"/>
                <w:sz w:val="21"/>
              </w:rPr>
            </w:pPr>
            <w:r/>
          </w:p>
          <w:p>
            <w:pPr>
              <w:pStyle w:val="TableText"/>
              <w:ind w:left="20"/>
              <w:spacing w:before="65" w:line="228" w:lineRule="auto"/>
              <w:rPr/>
            </w:pPr>
            <w:r>
              <w:rPr>
                <w:spacing w:val="5"/>
              </w:rPr>
              <w:t>达标</w:t>
            </w:r>
          </w:p>
        </w:tc>
      </w:tr>
      <w:tr>
        <w:trPr>
          <w:trHeight w:val="820" w:hRule="atLeast"/>
        </w:trPr>
        <w:tc>
          <w:tcPr>
            <w:tcW w:w="671" w:type="dxa"/>
            <w:vAlign w:val="top"/>
          </w:tcPr>
          <w:p>
            <w:pPr>
              <w:pStyle w:val="TableText"/>
              <w:ind w:left="172" w:right="40" w:hanging="160"/>
              <w:spacing w:before="222" w:line="258" w:lineRule="auto"/>
              <w:rPr>
                <w:rFonts w:ascii="Times New Roman" w:hAnsi="Times New Roman" w:eastAsia="Times New Roman" w:cs="Times New Roman"/>
                <w:sz w:val="13"/>
                <w:szCs w:val="13"/>
              </w:rPr>
            </w:pPr>
            <w:r>
              <w:rPr>
                <w:rFonts w:ascii="Times New Roman" w:hAnsi="Times New Roman" w:eastAsia="Times New Roman" w:cs="Times New Roman"/>
                <w:spacing w:val="-5"/>
              </w:rPr>
              <w:t>G</w:t>
            </w:r>
            <w:r>
              <w:rPr>
                <w:rFonts w:ascii="Times New Roman" w:hAnsi="Times New Roman" w:eastAsia="Times New Roman" w:cs="Times New Roman"/>
                <w:sz w:val="13"/>
                <w:szCs w:val="13"/>
                <w:spacing w:val="-5"/>
              </w:rPr>
              <w:t>1-1-</w:t>
            </w:r>
            <w:r>
              <w:rPr>
                <w:rFonts w:ascii="Times New Roman" w:hAnsi="Times New Roman" w:eastAsia="Times New Roman" w:cs="Times New Roman"/>
                <w:sz w:val="13"/>
                <w:szCs w:val="13"/>
                <w:spacing w:val="-12"/>
              </w:rPr>
              <w:t xml:space="preserve"> </w:t>
            </w:r>
            <w:r>
              <w:rPr>
                <w:rFonts w:ascii="Times New Roman" w:hAnsi="Times New Roman" w:eastAsia="Times New Roman" w:cs="Times New Roman"/>
                <w:sz w:val="13"/>
                <w:szCs w:val="13"/>
                <w:spacing w:val="-5"/>
              </w:rPr>
              <w:t>1</w:t>
            </w:r>
            <w:r>
              <w:rPr>
                <w:spacing w:val="-5"/>
              </w:rPr>
              <w:t>、</w:t>
            </w:r>
            <w:r>
              <w:rPr/>
              <w:t xml:space="preserve"> </w:t>
            </w:r>
            <w:r>
              <w:rPr>
                <w:rFonts w:ascii="Times New Roman" w:hAnsi="Times New Roman" w:eastAsia="Times New Roman" w:cs="Times New Roman"/>
                <w:spacing w:val="1"/>
              </w:rPr>
              <w:t>G</w:t>
            </w:r>
            <w:r>
              <w:rPr>
                <w:rFonts w:ascii="Times New Roman" w:hAnsi="Times New Roman" w:eastAsia="Times New Roman" w:cs="Times New Roman"/>
                <w:sz w:val="13"/>
                <w:szCs w:val="13"/>
                <w:spacing w:val="1"/>
              </w:rPr>
              <w:t>1-4</w:t>
            </w:r>
          </w:p>
        </w:tc>
        <w:tc>
          <w:tcPr>
            <w:tcW w:w="1007" w:type="dxa"/>
            <w:vAlign w:val="top"/>
          </w:tcPr>
          <w:p>
            <w:pPr>
              <w:pStyle w:val="TableText"/>
              <w:spacing w:before="34" w:line="228" w:lineRule="auto"/>
              <w:jc w:val="right"/>
              <w:rPr/>
            </w:pPr>
            <w:r>
              <w:rPr>
                <w:spacing w:val="-2"/>
              </w:rPr>
              <w:t>开松除杂、</w:t>
            </w:r>
          </w:p>
          <w:p>
            <w:pPr>
              <w:pStyle w:val="TableText"/>
              <w:ind w:left="8"/>
              <w:spacing w:before="25" w:line="228" w:lineRule="auto"/>
              <w:rPr/>
            </w:pPr>
            <w:r>
              <w:rPr>
                <w:spacing w:val="-3"/>
              </w:rPr>
              <w:t>洗毛（西厂</w:t>
            </w:r>
          </w:p>
          <w:p>
            <w:pPr>
              <w:pStyle w:val="TableText"/>
              <w:ind w:left="313"/>
              <w:spacing w:before="25" w:line="213" w:lineRule="auto"/>
              <w:rPr/>
            </w:pPr>
            <w:r>
              <w:rPr>
                <w:spacing w:val="-8"/>
              </w:rPr>
              <w:t>区）</w:t>
            </w:r>
          </w:p>
        </w:tc>
        <w:tc>
          <w:tcPr>
            <w:tcW w:w="899" w:type="dxa"/>
            <w:vAlign w:val="top"/>
          </w:tcPr>
          <w:p>
            <w:pPr>
              <w:pStyle w:val="TableText"/>
              <w:ind w:left="139"/>
              <w:spacing w:before="306" w:line="228" w:lineRule="auto"/>
              <w:rPr/>
            </w:pPr>
            <w:r>
              <w:rPr>
                <w:spacing w:val="7"/>
              </w:rPr>
              <w:t>颗粒物</w:t>
            </w:r>
          </w:p>
        </w:tc>
        <w:tc>
          <w:tcPr>
            <w:tcW w:w="916" w:type="dxa"/>
            <w:vAlign w:val="top"/>
          </w:tcPr>
          <w:p>
            <w:pPr>
              <w:spacing w:line="282" w:lineRule="auto"/>
              <w:rPr>
                <w:rFonts w:ascii="Arial"/>
                <w:sz w:val="21"/>
              </w:rPr>
            </w:pPr>
            <w:r/>
          </w:p>
          <w:p>
            <w:pPr>
              <w:ind w:left="227"/>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0.052</w:t>
            </w:r>
          </w:p>
        </w:tc>
        <w:tc>
          <w:tcPr>
            <w:tcW w:w="909" w:type="dxa"/>
            <w:vAlign w:val="top"/>
          </w:tcPr>
          <w:p>
            <w:pPr>
              <w:spacing w:line="282" w:lineRule="auto"/>
              <w:rPr>
                <w:rFonts w:ascii="Arial"/>
                <w:sz w:val="21"/>
              </w:rPr>
            </w:pPr>
            <w:r/>
          </w:p>
          <w:p>
            <w:pPr>
              <w:ind w:left="172"/>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0.0001</w:t>
            </w:r>
          </w:p>
        </w:tc>
        <w:tc>
          <w:tcPr>
            <w:tcW w:w="721" w:type="dxa"/>
            <w:vAlign w:val="top"/>
          </w:tcPr>
          <w:p>
            <w:pPr>
              <w:spacing w:line="282" w:lineRule="auto"/>
              <w:rPr>
                <w:rFonts w:ascii="Arial"/>
                <w:sz w:val="21"/>
              </w:rPr>
            </w:pPr>
            <w:r/>
          </w:p>
          <w:p>
            <w:pPr>
              <w:ind w:left="27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824" w:type="dxa"/>
            <w:vAlign w:val="top"/>
          </w:tcPr>
          <w:p>
            <w:pPr>
              <w:spacing w:line="282" w:lineRule="auto"/>
              <w:rPr>
                <w:rFonts w:ascii="Arial"/>
                <w:sz w:val="21"/>
              </w:rPr>
            </w:pPr>
            <w:r/>
          </w:p>
          <w:p>
            <w:pPr>
              <w:ind w:left="278"/>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120</w:t>
            </w:r>
          </w:p>
        </w:tc>
        <w:tc>
          <w:tcPr>
            <w:tcW w:w="893" w:type="dxa"/>
            <w:vAlign w:val="top"/>
          </w:tcPr>
          <w:p>
            <w:pPr>
              <w:spacing w:line="282" w:lineRule="auto"/>
              <w:rPr>
                <w:rFonts w:ascii="Arial"/>
                <w:sz w:val="21"/>
              </w:rPr>
            </w:pPr>
            <w:r/>
          </w:p>
          <w:p>
            <w:pPr>
              <w:ind w:left="32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3.5</w:t>
            </w:r>
          </w:p>
        </w:tc>
        <w:tc>
          <w:tcPr>
            <w:tcW w:w="1394" w:type="dxa"/>
            <w:vAlign w:val="top"/>
          </w:tcPr>
          <w:p>
            <w:pPr>
              <w:ind w:left="51"/>
              <w:spacing w:before="21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5"/>
              </w:rPr>
              <w:t>16297-1996</w:t>
            </w:r>
          </w:p>
          <w:p>
            <w:pPr>
              <w:pStyle w:val="TableText"/>
              <w:ind w:left="409"/>
              <w:spacing w:before="27" w:line="228" w:lineRule="auto"/>
              <w:rPr/>
            </w:pPr>
            <w:r>
              <w:rPr/>
              <w:t>中二级</w:t>
            </w:r>
          </w:p>
        </w:tc>
        <w:tc>
          <w:tcPr>
            <w:tcW w:w="452" w:type="dxa"/>
            <w:vAlign w:val="top"/>
          </w:tcPr>
          <w:p>
            <w:pPr>
              <w:pStyle w:val="TableText"/>
              <w:ind w:left="20"/>
              <w:spacing w:before="306" w:line="228" w:lineRule="auto"/>
              <w:rPr/>
            </w:pPr>
            <w:r>
              <w:rPr>
                <w:spacing w:val="5"/>
              </w:rPr>
              <w:t>达标</w:t>
            </w:r>
          </w:p>
        </w:tc>
      </w:tr>
      <w:tr>
        <w:trPr>
          <w:trHeight w:val="255" w:hRule="atLeast"/>
        </w:trPr>
        <w:tc>
          <w:tcPr>
            <w:tcW w:w="671" w:type="dxa"/>
            <w:vAlign w:val="top"/>
            <w:vMerge w:val="restart"/>
            <w:tcBorders>
              <w:bottom w:val="nil"/>
            </w:tcBorders>
          </w:tcPr>
          <w:p>
            <w:pPr>
              <w:spacing w:line="285" w:lineRule="auto"/>
              <w:rPr>
                <w:rFonts w:ascii="Arial"/>
                <w:sz w:val="21"/>
              </w:rPr>
            </w:pPr>
            <w:r/>
          </w:p>
          <w:p>
            <w:pPr>
              <w:ind w:left="173"/>
              <w:spacing w:before="57" w:line="21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G</w:t>
            </w:r>
            <w:r>
              <w:rPr>
                <w:rFonts w:ascii="Times New Roman" w:hAnsi="Times New Roman" w:eastAsia="Times New Roman" w:cs="Times New Roman"/>
                <w:sz w:val="13"/>
                <w:szCs w:val="13"/>
                <w:spacing w:val="1"/>
              </w:rPr>
              <w:t>3-1</w:t>
            </w:r>
          </w:p>
        </w:tc>
        <w:tc>
          <w:tcPr>
            <w:tcW w:w="1007" w:type="dxa"/>
            <w:vAlign w:val="top"/>
            <w:vMerge w:val="restart"/>
            <w:tcBorders>
              <w:bottom w:val="nil"/>
            </w:tcBorders>
          </w:tcPr>
          <w:p>
            <w:pPr>
              <w:pStyle w:val="TableText"/>
              <w:ind w:left="88"/>
              <w:spacing w:before="34" w:line="228" w:lineRule="auto"/>
              <w:rPr/>
            </w:pPr>
            <w:r>
              <w:rPr>
                <w:spacing w:val="7"/>
              </w:rPr>
              <w:t>废水收集</w:t>
            </w:r>
          </w:p>
          <w:p>
            <w:pPr>
              <w:pStyle w:val="TableText"/>
              <w:ind w:left="88"/>
              <w:spacing w:before="26" w:line="228" w:lineRule="auto"/>
              <w:rPr/>
            </w:pPr>
            <w:r>
              <w:rPr>
                <w:spacing w:val="7"/>
              </w:rPr>
              <w:t>池等恶臭</w:t>
            </w:r>
          </w:p>
          <w:p>
            <w:pPr>
              <w:pStyle w:val="TableText"/>
              <w:ind w:left="298"/>
              <w:spacing w:before="24" w:line="214" w:lineRule="auto"/>
              <w:rPr/>
            </w:pPr>
            <w:r>
              <w:rPr>
                <w:spacing w:val="4"/>
              </w:rPr>
              <w:t>气体</w:t>
            </w:r>
          </w:p>
        </w:tc>
        <w:tc>
          <w:tcPr>
            <w:tcW w:w="899" w:type="dxa"/>
            <w:vAlign w:val="top"/>
          </w:tcPr>
          <w:p>
            <w:pPr>
              <w:ind w:left="259"/>
              <w:spacing w:before="64" w:line="18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916" w:type="dxa"/>
            <w:vAlign w:val="top"/>
          </w:tcPr>
          <w:p>
            <w:pPr>
              <w:ind w:left="244"/>
              <w:spacing w:before="61"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17.85</w:t>
            </w:r>
          </w:p>
        </w:tc>
        <w:tc>
          <w:tcPr>
            <w:tcW w:w="909" w:type="dxa"/>
            <w:vAlign w:val="top"/>
          </w:tcPr>
          <w:p>
            <w:pPr>
              <w:ind w:left="172"/>
              <w:spacing w:before="61"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0.0357</w:t>
            </w:r>
          </w:p>
        </w:tc>
        <w:tc>
          <w:tcPr>
            <w:tcW w:w="721" w:type="dxa"/>
            <w:vAlign w:val="top"/>
            <w:vMerge w:val="restart"/>
            <w:tcBorders>
              <w:bottom w:val="nil"/>
            </w:tcBorders>
          </w:tcPr>
          <w:p>
            <w:pPr>
              <w:spacing w:line="285" w:lineRule="auto"/>
              <w:rPr>
                <w:rFonts w:ascii="Arial"/>
                <w:sz w:val="21"/>
              </w:rPr>
            </w:pPr>
            <w:r/>
          </w:p>
          <w:p>
            <w:pPr>
              <w:ind w:left="27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824" w:type="dxa"/>
            <w:vAlign w:val="top"/>
          </w:tcPr>
          <w:p>
            <w:pPr>
              <w:ind w:left="38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893" w:type="dxa"/>
            <w:vAlign w:val="top"/>
          </w:tcPr>
          <w:p>
            <w:pPr>
              <w:ind w:left="318"/>
              <w:spacing w:before="61"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4.9</w:t>
            </w:r>
          </w:p>
        </w:tc>
        <w:tc>
          <w:tcPr>
            <w:tcW w:w="1394" w:type="dxa"/>
            <w:vAlign w:val="top"/>
            <w:vMerge w:val="restart"/>
            <w:tcBorders>
              <w:bottom w:val="nil"/>
            </w:tcBorders>
          </w:tcPr>
          <w:p>
            <w:pPr>
              <w:pStyle w:val="TableText"/>
              <w:ind w:left="24"/>
              <w:spacing w:before="220" w:line="186" w:lineRule="auto"/>
              <w:rPr/>
            </w:pPr>
            <w:r>
              <w:rPr>
                <w:rFonts w:ascii="Times New Roman" w:hAnsi="Times New Roman" w:eastAsia="Times New Roman" w:cs="Times New Roman"/>
              </w:rPr>
              <w:t>GB</w:t>
            </w:r>
            <w:r>
              <w:rPr>
                <w:rFonts w:ascii="Times New Roman" w:hAnsi="Times New Roman" w:eastAsia="Times New Roman" w:cs="Times New Roman"/>
                <w:spacing w:val="4"/>
              </w:rPr>
              <w:t>14554-93</w:t>
            </w:r>
            <w:r>
              <w:rPr>
                <w:rFonts w:ascii="Times New Roman" w:hAnsi="Times New Roman" w:eastAsia="Times New Roman" w:cs="Times New Roman"/>
                <w:spacing w:val="22"/>
              </w:rPr>
              <w:t xml:space="preserve"> </w:t>
            </w:r>
            <w:r>
              <w:rPr>
                <w:spacing w:val="4"/>
              </w:rPr>
              <w:t>二</w:t>
            </w:r>
          </w:p>
          <w:p>
            <w:pPr>
              <w:pStyle w:val="TableText"/>
              <w:ind w:left="393"/>
              <w:spacing w:before="12" w:line="228" w:lineRule="auto"/>
              <w:rPr/>
            </w:pPr>
            <w:r>
              <w:rPr>
                <w:spacing w:val="5"/>
              </w:rPr>
              <w:t>级标准</w:t>
            </w:r>
          </w:p>
        </w:tc>
        <w:tc>
          <w:tcPr>
            <w:tcW w:w="452" w:type="dxa"/>
            <w:vAlign w:val="top"/>
          </w:tcPr>
          <w:p>
            <w:pPr>
              <w:pStyle w:val="TableText"/>
              <w:ind w:left="20"/>
              <w:spacing w:before="26" w:line="202" w:lineRule="auto"/>
              <w:rPr/>
            </w:pPr>
            <w:r>
              <w:rPr>
                <w:spacing w:val="5"/>
              </w:rPr>
              <w:t>达标</w:t>
            </w:r>
          </w:p>
        </w:tc>
      </w:tr>
      <w:tr>
        <w:trPr>
          <w:trHeight w:val="562" w:hRule="atLeast"/>
        </w:trPr>
        <w:tc>
          <w:tcPr>
            <w:tcW w:w="671" w:type="dxa"/>
            <w:vAlign w:val="top"/>
            <w:vMerge w:val="continue"/>
            <w:tcBorders>
              <w:top w:val="nil"/>
            </w:tcBorders>
          </w:tcPr>
          <w:p>
            <w:pPr>
              <w:rPr>
                <w:rFonts w:ascii="Arial"/>
                <w:sz w:val="21"/>
              </w:rPr>
            </w:pPr>
            <w:r/>
          </w:p>
        </w:tc>
        <w:tc>
          <w:tcPr>
            <w:tcW w:w="1007" w:type="dxa"/>
            <w:vAlign w:val="top"/>
            <w:vMerge w:val="continue"/>
            <w:tcBorders>
              <w:top w:val="nil"/>
            </w:tcBorders>
          </w:tcPr>
          <w:p>
            <w:pPr>
              <w:rPr>
                <w:rFonts w:ascii="Arial"/>
                <w:sz w:val="21"/>
              </w:rPr>
            </w:pPr>
            <w:r/>
          </w:p>
        </w:tc>
        <w:tc>
          <w:tcPr>
            <w:tcW w:w="899" w:type="dxa"/>
            <w:vAlign w:val="top"/>
          </w:tcPr>
          <w:p>
            <w:pPr>
              <w:ind w:left="282"/>
              <w:spacing w:before="214"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916" w:type="dxa"/>
            <w:vAlign w:val="top"/>
          </w:tcPr>
          <w:p>
            <w:pPr>
              <w:ind w:left="244"/>
              <w:spacing w:before="21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1.065</w:t>
            </w:r>
          </w:p>
        </w:tc>
        <w:tc>
          <w:tcPr>
            <w:tcW w:w="909" w:type="dxa"/>
            <w:vAlign w:val="top"/>
          </w:tcPr>
          <w:p>
            <w:pPr>
              <w:ind w:left="119"/>
              <w:spacing w:before="21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0.00213</w:t>
            </w:r>
          </w:p>
        </w:tc>
        <w:tc>
          <w:tcPr>
            <w:tcW w:w="721" w:type="dxa"/>
            <w:vAlign w:val="top"/>
            <w:vMerge w:val="continue"/>
            <w:tcBorders>
              <w:top w:val="nil"/>
            </w:tcBorders>
          </w:tcPr>
          <w:p>
            <w:pPr>
              <w:rPr>
                <w:rFonts w:ascii="Arial"/>
                <w:sz w:val="21"/>
              </w:rPr>
            </w:pPr>
            <w:r/>
          </w:p>
        </w:tc>
        <w:tc>
          <w:tcPr>
            <w:tcW w:w="824" w:type="dxa"/>
            <w:vAlign w:val="top"/>
          </w:tcPr>
          <w:p>
            <w:pPr>
              <w:ind w:left="383"/>
              <w:spacing w:before="21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893" w:type="dxa"/>
            <w:vAlign w:val="top"/>
          </w:tcPr>
          <w:p>
            <w:pPr>
              <w:ind w:left="269"/>
              <w:spacing w:before="21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0.33</w:t>
            </w:r>
          </w:p>
        </w:tc>
        <w:tc>
          <w:tcPr>
            <w:tcW w:w="1394" w:type="dxa"/>
            <w:vAlign w:val="top"/>
            <w:vMerge w:val="continue"/>
            <w:tcBorders>
              <w:top w:val="nil"/>
            </w:tcBorders>
          </w:tcPr>
          <w:p>
            <w:pPr>
              <w:rPr>
                <w:rFonts w:ascii="Arial"/>
                <w:sz w:val="21"/>
              </w:rPr>
            </w:pPr>
            <w:r/>
          </w:p>
        </w:tc>
        <w:tc>
          <w:tcPr>
            <w:tcW w:w="452" w:type="dxa"/>
            <w:vAlign w:val="top"/>
          </w:tcPr>
          <w:p>
            <w:pPr>
              <w:pStyle w:val="TableText"/>
              <w:ind w:left="20"/>
              <w:spacing w:before="178" w:line="228" w:lineRule="auto"/>
              <w:rPr/>
            </w:pPr>
            <w:r>
              <w:rPr>
                <w:spacing w:val="5"/>
              </w:rPr>
              <w:t>达标</w:t>
            </w:r>
          </w:p>
        </w:tc>
      </w:tr>
      <w:tr>
        <w:trPr>
          <w:trHeight w:val="505" w:hRule="atLeast"/>
        </w:trPr>
        <w:tc>
          <w:tcPr>
            <w:tcW w:w="671" w:type="dxa"/>
            <w:vAlign w:val="top"/>
          </w:tcPr>
          <w:p>
            <w:pPr>
              <w:ind w:left="173"/>
              <w:spacing w:before="187"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G</w:t>
            </w:r>
            <w:r>
              <w:rPr>
                <w:rFonts w:ascii="Times New Roman" w:hAnsi="Times New Roman" w:eastAsia="Times New Roman" w:cs="Times New Roman"/>
                <w:sz w:val="13"/>
                <w:szCs w:val="13"/>
                <w:spacing w:val="1"/>
              </w:rPr>
              <w:t>4-1</w:t>
            </w:r>
          </w:p>
        </w:tc>
        <w:tc>
          <w:tcPr>
            <w:tcW w:w="1007" w:type="dxa"/>
            <w:vAlign w:val="top"/>
          </w:tcPr>
          <w:p>
            <w:pPr>
              <w:pStyle w:val="TableText"/>
              <w:ind w:left="90"/>
              <w:spacing w:before="148" w:line="228" w:lineRule="auto"/>
              <w:rPr/>
            </w:pPr>
            <w:r>
              <w:rPr>
                <w:spacing w:val="6"/>
              </w:rPr>
              <w:t>餐饮油烟</w:t>
            </w:r>
          </w:p>
        </w:tc>
        <w:tc>
          <w:tcPr>
            <w:tcW w:w="899" w:type="dxa"/>
            <w:vAlign w:val="top"/>
          </w:tcPr>
          <w:p>
            <w:pPr>
              <w:pStyle w:val="TableText"/>
              <w:ind w:left="249"/>
              <w:spacing w:before="151" w:line="229" w:lineRule="auto"/>
              <w:rPr/>
            </w:pPr>
            <w:r>
              <w:rPr>
                <w:spacing w:val="3"/>
              </w:rPr>
              <w:t>油烟</w:t>
            </w:r>
          </w:p>
        </w:tc>
        <w:tc>
          <w:tcPr>
            <w:tcW w:w="916" w:type="dxa"/>
            <w:vAlign w:val="top"/>
          </w:tcPr>
          <w:p>
            <w:pPr>
              <w:ind w:left="296"/>
              <w:spacing w:before="1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1.88</w:t>
            </w:r>
          </w:p>
        </w:tc>
        <w:tc>
          <w:tcPr>
            <w:tcW w:w="909" w:type="dxa"/>
            <w:vAlign w:val="top"/>
          </w:tcPr>
          <w:p>
            <w:pPr>
              <w:ind w:left="172"/>
              <w:spacing w:before="1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0.0038</w:t>
            </w:r>
          </w:p>
        </w:tc>
        <w:tc>
          <w:tcPr>
            <w:tcW w:w="721" w:type="dxa"/>
            <w:vAlign w:val="top"/>
          </w:tcPr>
          <w:p>
            <w:pPr>
              <w:ind w:left="331"/>
              <w:spacing w:before="183"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824" w:type="dxa"/>
            <w:vAlign w:val="top"/>
          </w:tcPr>
          <w:p>
            <w:pPr>
              <w:ind w:left="363"/>
              <w:spacing w:before="1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893" w:type="dxa"/>
            <w:vAlign w:val="top"/>
          </w:tcPr>
          <w:p>
            <w:pPr>
              <w:pStyle w:val="TableText"/>
              <w:ind w:left="37"/>
              <w:spacing w:before="23" w:line="228" w:lineRule="auto"/>
              <w:rPr/>
            </w:pPr>
            <w:r>
              <w:rPr>
                <w:spacing w:val="6"/>
              </w:rPr>
              <w:t>处理效率</w:t>
            </w:r>
          </w:p>
          <w:p>
            <w:pPr>
              <w:ind w:left="197"/>
              <w:spacing w:before="41"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≥75%</w:t>
            </w:r>
          </w:p>
        </w:tc>
        <w:tc>
          <w:tcPr>
            <w:tcW w:w="1394" w:type="dxa"/>
            <w:vAlign w:val="top"/>
          </w:tcPr>
          <w:p>
            <w:pPr>
              <w:ind w:left="51"/>
              <w:spacing w:before="6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5"/>
              </w:rPr>
              <w:t>18483-2001</w:t>
            </w:r>
          </w:p>
          <w:p>
            <w:pPr>
              <w:pStyle w:val="TableText"/>
              <w:ind w:left="515"/>
              <w:spacing w:before="29" w:line="202" w:lineRule="auto"/>
              <w:rPr/>
            </w:pPr>
            <w:r>
              <w:rPr>
                <w:spacing w:val="-5"/>
              </w:rPr>
              <w:t>中型</w:t>
            </w:r>
          </w:p>
        </w:tc>
        <w:tc>
          <w:tcPr>
            <w:tcW w:w="452" w:type="dxa"/>
            <w:vAlign w:val="top"/>
          </w:tcPr>
          <w:p>
            <w:pPr>
              <w:pStyle w:val="TableText"/>
              <w:ind w:left="20"/>
              <w:spacing w:before="151" w:line="228" w:lineRule="auto"/>
              <w:rPr/>
            </w:pPr>
            <w:r>
              <w:rPr>
                <w:spacing w:val="5"/>
              </w:rPr>
              <w:t>达标</w:t>
            </w:r>
          </w:p>
        </w:tc>
      </w:tr>
      <w:tr>
        <w:trPr>
          <w:trHeight w:val="278" w:hRule="atLeast"/>
        </w:trPr>
        <w:tc>
          <w:tcPr>
            <w:tcW w:w="671" w:type="dxa"/>
            <w:vAlign w:val="top"/>
            <w:vMerge w:val="restart"/>
            <w:tcBorders>
              <w:bottom w:val="nil"/>
            </w:tcBorders>
          </w:tcPr>
          <w:p>
            <w:pPr>
              <w:spacing w:line="273" w:lineRule="auto"/>
              <w:rPr>
                <w:rFonts w:ascii="Arial"/>
                <w:sz w:val="21"/>
              </w:rPr>
            </w:pPr>
            <w:r/>
          </w:p>
          <w:p>
            <w:pPr>
              <w:ind w:left="173"/>
              <w:spacing w:before="58"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G</w:t>
            </w:r>
            <w:r>
              <w:rPr>
                <w:rFonts w:ascii="Times New Roman" w:hAnsi="Times New Roman" w:eastAsia="Times New Roman" w:cs="Times New Roman"/>
                <w:sz w:val="13"/>
                <w:szCs w:val="13"/>
                <w:spacing w:val="1"/>
              </w:rPr>
              <w:t>4-2</w:t>
            </w:r>
          </w:p>
        </w:tc>
        <w:tc>
          <w:tcPr>
            <w:tcW w:w="1007" w:type="dxa"/>
            <w:vAlign w:val="top"/>
            <w:vMerge w:val="restart"/>
            <w:tcBorders>
              <w:bottom w:val="nil"/>
            </w:tcBorders>
          </w:tcPr>
          <w:p>
            <w:pPr>
              <w:pStyle w:val="TableText"/>
              <w:ind w:left="298" w:right="83" w:hanging="205"/>
              <w:spacing w:before="160" w:line="252" w:lineRule="auto"/>
              <w:rPr/>
            </w:pPr>
            <w:r>
              <w:rPr>
                <w:spacing w:val="6"/>
              </w:rPr>
              <w:t>沼气锅炉</w:t>
            </w:r>
            <w:r>
              <w:rPr/>
              <w:t xml:space="preserve"> </w:t>
            </w:r>
            <w:r>
              <w:rPr>
                <w:spacing w:val="4"/>
              </w:rPr>
              <w:t>烟气</w:t>
            </w:r>
          </w:p>
        </w:tc>
        <w:tc>
          <w:tcPr>
            <w:tcW w:w="899" w:type="dxa"/>
            <w:vAlign w:val="top"/>
          </w:tcPr>
          <w:p>
            <w:pPr>
              <w:pStyle w:val="TableText"/>
              <w:ind w:left="139"/>
              <w:spacing w:before="37" w:line="213" w:lineRule="auto"/>
              <w:rPr/>
            </w:pPr>
            <w:r>
              <w:rPr>
                <w:spacing w:val="7"/>
              </w:rPr>
              <w:t>颗粒物</w:t>
            </w:r>
          </w:p>
        </w:tc>
        <w:tc>
          <w:tcPr>
            <w:tcW w:w="916" w:type="dxa"/>
            <w:vAlign w:val="top"/>
          </w:tcPr>
          <w:p>
            <w:pPr>
              <w:ind w:left="244"/>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15.38</w:t>
            </w:r>
          </w:p>
        </w:tc>
        <w:tc>
          <w:tcPr>
            <w:tcW w:w="909" w:type="dxa"/>
            <w:vAlign w:val="top"/>
          </w:tcPr>
          <w:p>
            <w:pPr>
              <w:ind w:left="223"/>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0.018</w:t>
            </w:r>
          </w:p>
        </w:tc>
        <w:tc>
          <w:tcPr>
            <w:tcW w:w="721" w:type="dxa"/>
            <w:vAlign w:val="top"/>
            <w:vMerge w:val="restart"/>
            <w:tcBorders>
              <w:bottom w:val="nil"/>
            </w:tcBorders>
          </w:tcPr>
          <w:p>
            <w:pPr>
              <w:spacing w:line="273" w:lineRule="auto"/>
              <w:rPr>
                <w:rFonts w:ascii="Arial"/>
                <w:sz w:val="21"/>
              </w:rPr>
            </w:pPr>
            <w:r/>
          </w:p>
          <w:p>
            <w:pPr>
              <w:ind w:left="27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824" w:type="dxa"/>
            <w:vAlign w:val="top"/>
          </w:tcPr>
          <w:p>
            <w:pPr>
              <w:ind w:left="310"/>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893" w:type="dxa"/>
            <w:vAlign w:val="top"/>
          </w:tcPr>
          <w:p>
            <w:pPr>
              <w:ind w:left="416"/>
              <w:spacing w:before="69"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394" w:type="dxa"/>
            <w:vAlign w:val="top"/>
            <w:vMerge w:val="restart"/>
            <w:tcBorders>
              <w:bottom w:val="nil"/>
            </w:tcBorders>
          </w:tcPr>
          <w:p>
            <w:pPr>
              <w:spacing w:line="424" w:lineRule="auto"/>
              <w:rPr>
                <w:rFonts w:ascii="Arial"/>
                <w:sz w:val="21"/>
              </w:rPr>
            </w:pPr>
            <w:r/>
          </w:p>
          <w:p>
            <w:pPr>
              <w:pStyle w:val="TableText"/>
              <w:ind w:left="12" w:right="1"/>
              <w:spacing w:before="57" w:line="232" w:lineRule="auto"/>
              <w:jc w:val="both"/>
              <w:rPr/>
            </w:pPr>
            <w:r>
              <w:rPr>
                <w:rFonts w:ascii="Times New Roman" w:hAnsi="Times New Roman" w:eastAsia="Times New Roman" w:cs="Times New Roman"/>
              </w:rPr>
              <w:t>GB</w:t>
            </w:r>
            <w:r>
              <w:rPr>
                <w:rFonts w:ascii="Times New Roman" w:hAnsi="Times New Roman" w:eastAsia="Times New Roman" w:cs="Times New Roman"/>
                <w:spacing w:val="34"/>
                <w:w w:val="101"/>
              </w:rPr>
              <w:t xml:space="preserve"> </w:t>
            </w:r>
            <w:r>
              <w:rPr>
                <w:rFonts w:ascii="Times New Roman" w:hAnsi="Times New Roman" w:eastAsia="Times New Roman" w:cs="Times New Roman"/>
                <w:spacing w:val="2"/>
              </w:rPr>
              <w:t>13271-2014</w:t>
            </w:r>
            <w:r>
              <w:rPr>
                <w:rFonts w:ascii="Times New Roman" w:hAnsi="Times New Roman" w:eastAsia="Times New Roman" w:cs="Times New Roman"/>
              </w:rPr>
              <w:t xml:space="preserve"> </w:t>
            </w:r>
            <w:r>
              <w:rPr>
                <w:spacing w:val="-7"/>
              </w:rPr>
              <w:t>表</w:t>
            </w:r>
            <w:r>
              <w:rPr>
                <w:spacing w:val="-40"/>
              </w:rPr>
              <w:t xml:space="preserve"> </w:t>
            </w:r>
            <w:r>
              <w:rPr>
                <w:rFonts w:ascii="Times New Roman" w:hAnsi="Times New Roman" w:eastAsia="Times New Roman" w:cs="Times New Roman"/>
                <w:spacing w:val="-7"/>
              </w:rPr>
              <w:t>2</w:t>
            </w:r>
            <w:r>
              <w:rPr>
                <w:rFonts w:ascii="Times New Roman" w:hAnsi="Times New Roman" w:eastAsia="Times New Roman" w:cs="Times New Roman"/>
                <w:spacing w:val="13"/>
              </w:rPr>
              <w:t xml:space="preserve"> </w:t>
            </w:r>
            <w:r>
              <w:rPr>
                <w:spacing w:val="-7"/>
              </w:rPr>
              <w:t>燃气、燃煤</w:t>
            </w:r>
            <w:r>
              <w:rPr/>
              <w:t xml:space="preserve"> </w:t>
            </w:r>
            <w:r>
              <w:rPr>
                <w:spacing w:val="18"/>
              </w:rPr>
              <w:t>锅炉标准限值</w:t>
            </w:r>
          </w:p>
        </w:tc>
        <w:tc>
          <w:tcPr>
            <w:tcW w:w="452" w:type="dxa"/>
            <w:vAlign w:val="top"/>
          </w:tcPr>
          <w:p>
            <w:pPr>
              <w:pStyle w:val="TableText"/>
              <w:ind w:left="20"/>
              <w:spacing w:before="37" w:line="213" w:lineRule="auto"/>
              <w:rPr/>
            </w:pPr>
            <w:r>
              <w:rPr>
                <w:spacing w:val="5"/>
              </w:rPr>
              <w:t>达标</w:t>
            </w:r>
          </w:p>
        </w:tc>
      </w:tr>
      <w:tr>
        <w:trPr>
          <w:trHeight w:val="255" w:hRule="atLeast"/>
        </w:trPr>
        <w:tc>
          <w:tcPr>
            <w:tcW w:w="671" w:type="dxa"/>
            <w:vAlign w:val="top"/>
            <w:vMerge w:val="continue"/>
            <w:tcBorders>
              <w:top w:val="nil"/>
              <w:bottom w:val="nil"/>
            </w:tcBorders>
          </w:tcPr>
          <w:p>
            <w:pPr>
              <w:rPr>
                <w:rFonts w:ascii="Arial"/>
                <w:sz w:val="21"/>
              </w:rPr>
            </w:pPr>
            <w:r/>
          </w:p>
        </w:tc>
        <w:tc>
          <w:tcPr>
            <w:tcW w:w="1007" w:type="dxa"/>
            <w:vAlign w:val="top"/>
            <w:vMerge w:val="continue"/>
            <w:tcBorders>
              <w:top w:val="nil"/>
              <w:bottom w:val="nil"/>
            </w:tcBorders>
          </w:tcPr>
          <w:p>
            <w:pPr>
              <w:rPr>
                <w:rFonts w:ascii="Arial"/>
                <w:sz w:val="21"/>
              </w:rPr>
            </w:pPr>
            <w:r/>
          </w:p>
        </w:tc>
        <w:tc>
          <w:tcPr>
            <w:tcW w:w="899" w:type="dxa"/>
            <w:vAlign w:val="top"/>
          </w:tcPr>
          <w:p>
            <w:pPr>
              <w:ind w:left="291"/>
              <w:spacing w:before="59" w:line="194"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3"/>
                <w:position w:val="-1"/>
              </w:rPr>
              <w:t>2</w:t>
            </w:r>
          </w:p>
        </w:tc>
        <w:tc>
          <w:tcPr>
            <w:tcW w:w="916" w:type="dxa"/>
            <w:vAlign w:val="top"/>
          </w:tcPr>
          <w:p>
            <w:pPr>
              <w:ind w:left="275"/>
              <w:spacing w:before="59"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4.48</w:t>
            </w:r>
          </w:p>
        </w:tc>
        <w:tc>
          <w:tcPr>
            <w:tcW w:w="909" w:type="dxa"/>
            <w:vAlign w:val="top"/>
          </w:tcPr>
          <w:p>
            <w:pPr>
              <w:ind w:left="172"/>
              <w:spacing w:before="59"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0.0052</w:t>
            </w:r>
          </w:p>
        </w:tc>
        <w:tc>
          <w:tcPr>
            <w:tcW w:w="721" w:type="dxa"/>
            <w:vAlign w:val="top"/>
            <w:vMerge w:val="continue"/>
            <w:tcBorders>
              <w:top w:val="nil"/>
              <w:bottom w:val="nil"/>
            </w:tcBorders>
          </w:tcPr>
          <w:p>
            <w:pPr>
              <w:rPr>
                <w:rFonts w:ascii="Arial"/>
                <w:sz w:val="21"/>
              </w:rPr>
            </w:pPr>
            <w:r/>
          </w:p>
        </w:tc>
        <w:tc>
          <w:tcPr>
            <w:tcW w:w="824" w:type="dxa"/>
            <w:vAlign w:val="top"/>
          </w:tcPr>
          <w:p>
            <w:pPr>
              <w:ind w:left="316"/>
              <w:spacing w:before="59"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893" w:type="dxa"/>
            <w:vAlign w:val="top"/>
          </w:tcPr>
          <w:p>
            <w:pPr>
              <w:ind w:left="416"/>
              <w:spacing w:before="55"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394" w:type="dxa"/>
            <w:vAlign w:val="top"/>
            <w:vMerge w:val="continue"/>
            <w:tcBorders>
              <w:top w:val="nil"/>
              <w:bottom w:val="nil"/>
            </w:tcBorders>
          </w:tcPr>
          <w:p>
            <w:pPr>
              <w:rPr>
                <w:rFonts w:ascii="Arial"/>
                <w:sz w:val="21"/>
              </w:rPr>
            </w:pPr>
            <w:r/>
          </w:p>
        </w:tc>
        <w:tc>
          <w:tcPr>
            <w:tcW w:w="452" w:type="dxa"/>
            <w:vAlign w:val="top"/>
          </w:tcPr>
          <w:p>
            <w:pPr>
              <w:pStyle w:val="TableText"/>
              <w:ind w:left="20"/>
              <w:spacing w:before="22" w:line="205" w:lineRule="auto"/>
              <w:rPr/>
            </w:pPr>
            <w:r>
              <w:rPr>
                <w:spacing w:val="5"/>
              </w:rPr>
              <w:t>达标</w:t>
            </w:r>
          </w:p>
        </w:tc>
      </w:tr>
      <w:tr>
        <w:trPr>
          <w:trHeight w:val="255" w:hRule="atLeast"/>
        </w:trPr>
        <w:tc>
          <w:tcPr>
            <w:tcW w:w="671" w:type="dxa"/>
            <w:vAlign w:val="top"/>
            <w:vMerge w:val="continue"/>
            <w:tcBorders>
              <w:top w:val="nil"/>
            </w:tcBorders>
          </w:tcPr>
          <w:p>
            <w:pPr>
              <w:rPr>
                <w:rFonts w:ascii="Arial"/>
                <w:sz w:val="21"/>
              </w:rPr>
            </w:pPr>
            <w:r/>
          </w:p>
        </w:tc>
        <w:tc>
          <w:tcPr>
            <w:tcW w:w="1007" w:type="dxa"/>
            <w:vAlign w:val="top"/>
            <w:vMerge w:val="continue"/>
            <w:tcBorders>
              <w:top w:val="nil"/>
            </w:tcBorders>
          </w:tcPr>
          <w:p>
            <w:pPr>
              <w:rPr>
                <w:rFonts w:ascii="Arial"/>
                <w:sz w:val="21"/>
              </w:rPr>
            </w:pPr>
            <w:r/>
          </w:p>
        </w:tc>
        <w:tc>
          <w:tcPr>
            <w:tcW w:w="899" w:type="dxa"/>
            <w:vAlign w:val="top"/>
          </w:tcPr>
          <w:p>
            <w:pPr>
              <w:ind w:left="259"/>
              <w:spacing w:before="61" w:line="19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NO</w:t>
            </w:r>
            <w:r>
              <w:rPr>
                <w:rFonts w:ascii="Times New Roman" w:hAnsi="Times New Roman" w:eastAsia="Times New Roman" w:cs="Times New Roman"/>
                <w:sz w:val="13"/>
                <w:szCs w:val="13"/>
                <w:spacing w:val="6"/>
                <w:position w:val="-1"/>
              </w:rPr>
              <w:t>x</w:t>
            </w:r>
          </w:p>
        </w:tc>
        <w:tc>
          <w:tcPr>
            <w:tcW w:w="916" w:type="dxa"/>
            <w:vAlign w:val="top"/>
          </w:tcPr>
          <w:p>
            <w:pPr>
              <w:ind w:left="191"/>
              <w:spacing w:before="6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120.73</w:t>
            </w:r>
          </w:p>
        </w:tc>
        <w:tc>
          <w:tcPr>
            <w:tcW w:w="909" w:type="dxa"/>
            <w:vAlign w:val="top"/>
          </w:tcPr>
          <w:p>
            <w:pPr>
              <w:ind w:left="223"/>
              <w:spacing w:before="6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141</w:t>
            </w:r>
          </w:p>
        </w:tc>
        <w:tc>
          <w:tcPr>
            <w:tcW w:w="721" w:type="dxa"/>
            <w:vAlign w:val="top"/>
            <w:vMerge w:val="continue"/>
            <w:tcBorders>
              <w:top w:val="nil"/>
            </w:tcBorders>
          </w:tcPr>
          <w:p>
            <w:pPr>
              <w:rPr>
                <w:rFonts w:ascii="Arial"/>
                <w:sz w:val="21"/>
              </w:rPr>
            </w:pPr>
            <w:r/>
          </w:p>
        </w:tc>
        <w:tc>
          <w:tcPr>
            <w:tcW w:w="824" w:type="dxa"/>
            <w:vAlign w:val="top"/>
          </w:tcPr>
          <w:p>
            <w:pPr>
              <w:ind w:left="257"/>
              <w:spacing w:before="6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w:t>
            </w:r>
          </w:p>
        </w:tc>
        <w:tc>
          <w:tcPr>
            <w:tcW w:w="893" w:type="dxa"/>
            <w:vAlign w:val="top"/>
          </w:tcPr>
          <w:p>
            <w:pPr>
              <w:ind w:left="416"/>
              <w:spacing w:before="57" w:line="19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394" w:type="dxa"/>
            <w:vAlign w:val="top"/>
            <w:vMerge w:val="continue"/>
            <w:tcBorders>
              <w:top w:val="nil"/>
              <w:bottom w:val="nil"/>
            </w:tcBorders>
          </w:tcPr>
          <w:p>
            <w:pPr>
              <w:rPr>
                <w:rFonts w:ascii="Arial"/>
                <w:sz w:val="21"/>
              </w:rPr>
            </w:pPr>
            <w:r/>
          </w:p>
        </w:tc>
        <w:tc>
          <w:tcPr>
            <w:tcW w:w="452" w:type="dxa"/>
            <w:vAlign w:val="top"/>
          </w:tcPr>
          <w:p>
            <w:pPr>
              <w:pStyle w:val="TableText"/>
              <w:ind w:left="20"/>
              <w:spacing w:before="25" w:line="203" w:lineRule="auto"/>
              <w:rPr/>
            </w:pPr>
            <w:r>
              <w:rPr>
                <w:spacing w:val="5"/>
              </w:rPr>
              <w:t>达标</w:t>
            </w:r>
          </w:p>
        </w:tc>
      </w:tr>
      <w:tr>
        <w:trPr>
          <w:trHeight w:val="277" w:hRule="atLeast"/>
        </w:trPr>
        <w:tc>
          <w:tcPr>
            <w:tcW w:w="671" w:type="dxa"/>
            <w:vAlign w:val="top"/>
            <w:vMerge w:val="restart"/>
            <w:tcBorders>
              <w:bottom w:val="nil"/>
            </w:tcBorders>
          </w:tcPr>
          <w:p>
            <w:pPr>
              <w:spacing w:line="271" w:lineRule="auto"/>
              <w:rPr>
                <w:rFonts w:ascii="Arial"/>
                <w:sz w:val="21"/>
              </w:rPr>
            </w:pPr>
            <w:r/>
          </w:p>
          <w:p>
            <w:pPr>
              <w:ind w:left="173"/>
              <w:spacing w:before="58" w:line="21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G</w:t>
            </w:r>
            <w:r>
              <w:rPr>
                <w:rFonts w:ascii="Times New Roman" w:hAnsi="Times New Roman" w:eastAsia="Times New Roman" w:cs="Times New Roman"/>
                <w:sz w:val="13"/>
                <w:szCs w:val="13"/>
                <w:spacing w:val="1"/>
              </w:rPr>
              <w:t>4-3</w:t>
            </w:r>
          </w:p>
        </w:tc>
        <w:tc>
          <w:tcPr>
            <w:tcW w:w="1007" w:type="dxa"/>
            <w:vAlign w:val="top"/>
            <w:vMerge w:val="restart"/>
            <w:tcBorders>
              <w:bottom w:val="nil"/>
            </w:tcBorders>
          </w:tcPr>
          <w:p>
            <w:pPr>
              <w:pStyle w:val="TableText"/>
              <w:ind w:left="194" w:right="83" w:hanging="104"/>
              <w:spacing w:before="158" w:line="252" w:lineRule="auto"/>
              <w:rPr/>
            </w:pPr>
            <w:r>
              <w:rPr>
                <w:spacing w:val="6"/>
              </w:rPr>
              <w:t>生物质锅</w:t>
            </w:r>
            <w:r>
              <w:rPr>
                <w:spacing w:val="2"/>
              </w:rPr>
              <w:t xml:space="preserve"> </w:t>
            </w:r>
            <w:r>
              <w:rPr>
                <w:spacing w:val="6"/>
              </w:rPr>
              <w:t>炉烟气</w:t>
            </w:r>
          </w:p>
        </w:tc>
        <w:tc>
          <w:tcPr>
            <w:tcW w:w="899" w:type="dxa"/>
            <w:vAlign w:val="top"/>
          </w:tcPr>
          <w:p>
            <w:pPr>
              <w:pStyle w:val="TableText"/>
              <w:ind w:left="139"/>
              <w:spacing w:before="36" w:line="213" w:lineRule="auto"/>
              <w:rPr/>
            </w:pPr>
            <w:r>
              <w:rPr>
                <w:spacing w:val="7"/>
              </w:rPr>
              <w:t>颗粒物</w:t>
            </w:r>
          </w:p>
        </w:tc>
        <w:tc>
          <w:tcPr>
            <w:tcW w:w="916" w:type="dxa"/>
            <w:vAlign w:val="top"/>
          </w:tcPr>
          <w:p>
            <w:pPr>
              <w:ind w:left="22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0.654</w:t>
            </w:r>
          </w:p>
        </w:tc>
        <w:tc>
          <w:tcPr>
            <w:tcW w:w="909" w:type="dxa"/>
            <w:vAlign w:val="top"/>
          </w:tcPr>
          <w:p>
            <w:pPr>
              <w:ind w:left="22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0.004</w:t>
            </w:r>
          </w:p>
        </w:tc>
        <w:tc>
          <w:tcPr>
            <w:tcW w:w="721" w:type="dxa"/>
            <w:vAlign w:val="top"/>
            <w:vMerge w:val="restart"/>
            <w:tcBorders>
              <w:bottom w:val="nil"/>
            </w:tcBorders>
          </w:tcPr>
          <w:p>
            <w:pPr>
              <w:spacing w:line="271" w:lineRule="auto"/>
              <w:rPr>
                <w:rFonts w:ascii="Arial"/>
                <w:sz w:val="21"/>
              </w:rPr>
            </w:pPr>
            <w:r/>
          </w:p>
          <w:p>
            <w:pPr>
              <w:ind w:left="26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35</w:t>
            </w:r>
          </w:p>
        </w:tc>
        <w:tc>
          <w:tcPr>
            <w:tcW w:w="824" w:type="dxa"/>
            <w:vAlign w:val="top"/>
          </w:tcPr>
          <w:p>
            <w:pPr>
              <w:ind w:left="31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893" w:type="dxa"/>
            <w:vAlign w:val="top"/>
          </w:tcPr>
          <w:p>
            <w:pPr>
              <w:ind w:left="416"/>
              <w:spacing w:before="6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394" w:type="dxa"/>
            <w:vAlign w:val="top"/>
            <w:vMerge w:val="continue"/>
            <w:tcBorders>
              <w:top w:val="nil"/>
              <w:bottom w:val="nil"/>
            </w:tcBorders>
          </w:tcPr>
          <w:p>
            <w:pPr>
              <w:rPr>
                <w:rFonts w:ascii="Arial"/>
                <w:sz w:val="21"/>
              </w:rPr>
            </w:pPr>
            <w:r/>
          </w:p>
        </w:tc>
        <w:tc>
          <w:tcPr>
            <w:tcW w:w="452" w:type="dxa"/>
            <w:vAlign w:val="top"/>
          </w:tcPr>
          <w:p>
            <w:pPr>
              <w:pStyle w:val="TableText"/>
              <w:ind w:left="20"/>
              <w:spacing w:before="36" w:line="213" w:lineRule="auto"/>
              <w:rPr/>
            </w:pPr>
            <w:r>
              <w:rPr>
                <w:spacing w:val="5"/>
              </w:rPr>
              <w:t>达标</w:t>
            </w:r>
          </w:p>
        </w:tc>
      </w:tr>
      <w:tr>
        <w:trPr>
          <w:trHeight w:val="255" w:hRule="atLeast"/>
        </w:trPr>
        <w:tc>
          <w:tcPr>
            <w:tcW w:w="671" w:type="dxa"/>
            <w:vAlign w:val="top"/>
            <w:vMerge w:val="continue"/>
            <w:tcBorders>
              <w:top w:val="nil"/>
              <w:bottom w:val="nil"/>
            </w:tcBorders>
          </w:tcPr>
          <w:p>
            <w:pPr>
              <w:rPr>
                <w:rFonts w:ascii="Arial"/>
                <w:sz w:val="21"/>
              </w:rPr>
            </w:pPr>
            <w:r/>
          </w:p>
        </w:tc>
        <w:tc>
          <w:tcPr>
            <w:tcW w:w="1007" w:type="dxa"/>
            <w:vAlign w:val="top"/>
            <w:vMerge w:val="continue"/>
            <w:tcBorders>
              <w:top w:val="nil"/>
              <w:bottom w:val="nil"/>
            </w:tcBorders>
          </w:tcPr>
          <w:p>
            <w:pPr>
              <w:rPr>
                <w:rFonts w:ascii="Arial"/>
                <w:sz w:val="21"/>
              </w:rPr>
            </w:pPr>
            <w:r/>
          </w:p>
        </w:tc>
        <w:tc>
          <w:tcPr>
            <w:tcW w:w="899" w:type="dxa"/>
            <w:vAlign w:val="top"/>
          </w:tcPr>
          <w:p>
            <w:pPr>
              <w:ind w:left="291"/>
              <w:spacing w:before="61" w:line="19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3"/>
                <w:position w:val="-1"/>
              </w:rPr>
              <w:t>2</w:t>
            </w:r>
          </w:p>
        </w:tc>
        <w:tc>
          <w:tcPr>
            <w:tcW w:w="916" w:type="dxa"/>
            <w:vAlign w:val="top"/>
          </w:tcPr>
          <w:p>
            <w:pPr>
              <w:ind w:left="244"/>
              <w:spacing w:before="6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133.5</w:t>
            </w:r>
          </w:p>
        </w:tc>
        <w:tc>
          <w:tcPr>
            <w:tcW w:w="909" w:type="dxa"/>
            <w:vAlign w:val="top"/>
          </w:tcPr>
          <w:p>
            <w:pPr>
              <w:ind w:left="278"/>
              <w:spacing w:before="6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0.80</w:t>
            </w:r>
          </w:p>
        </w:tc>
        <w:tc>
          <w:tcPr>
            <w:tcW w:w="721" w:type="dxa"/>
            <w:vAlign w:val="top"/>
            <w:vMerge w:val="continue"/>
            <w:tcBorders>
              <w:top w:val="nil"/>
              <w:bottom w:val="nil"/>
            </w:tcBorders>
          </w:tcPr>
          <w:p>
            <w:pPr>
              <w:rPr>
                <w:rFonts w:ascii="Arial"/>
                <w:sz w:val="21"/>
              </w:rPr>
            </w:pPr>
            <w:r/>
          </w:p>
        </w:tc>
        <w:tc>
          <w:tcPr>
            <w:tcW w:w="824" w:type="dxa"/>
            <w:vAlign w:val="top"/>
          </w:tcPr>
          <w:p>
            <w:pPr>
              <w:ind w:left="262"/>
              <w:spacing w:before="6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300</w:t>
            </w:r>
          </w:p>
        </w:tc>
        <w:tc>
          <w:tcPr>
            <w:tcW w:w="893" w:type="dxa"/>
            <w:vAlign w:val="top"/>
          </w:tcPr>
          <w:p>
            <w:pPr>
              <w:ind w:left="416"/>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394" w:type="dxa"/>
            <w:vAlign w:val="top"/>
            <w:vMerge w:val="continue"/>
            <w:tcBorders>
              <w:top w:val="nil"/>
              <w:bottom w:val="nil"/>
            </w:tcBorders>
          </w:tcPr>
          <w:p>
            <w:pPr>
              <w:rPr>
                <w:rFonts w:ascii="Arial"/>
                <w:sz w:val="21"/>
              </w:rPr>
            </w:pPr>
            <w:r/>
          </w:p>
        </w:tc>
        <w:tc>
          <w:tcPr>
            <w:tcW w:w="452" w:type="dxa"/>
            <w:vAlign w:val="top"/>
          </w:tcPr>
          <w:p>
            <w:pPr>
              <w:pStyle w:val="TableText"/>
              <w:ind w:left="20"/>
              <w:spacing w:before="25" w:line="203" w:lineRule="auto"/>
              <w:rPr/>
            </w:pPr>
            <w:r>
              <w:rPr>
                <w:spacing w:val="5"/>
              </w:rPr>
              <w:t>达标</w:t>
            </w:r>
          </w:p>
        </w:tc>
      </w:tr>
      <w:tr>
        <w:trPr>
          <w:trHeight w:val="259" w:hRule="atLeast"/>
        </w:trPr>
        <w:tc>
          <w:tcPr>
            <w:tcW w:w="671" w:type="dxa"/>
            <w:vAlign w:val="top"/>
            <w:vMerge w:val="continue"/>
            <w:tcBorders>
              <w:top w:val="nil"/>
            </w:tcBorders>
          </w:tcPr>
          <w:p>
            <w:pPr>
              <w:rPr>
                <w:rFonts w:ascii="Arial"/>
                <w:sz w:val="21"/>
              </w:rPr>
            </w:pPr>
            <w:r/>
          </w:p>
        </w:tc>
        <w:tc>
          <w:tcPr>
            <w:tcW w:w="1007" w:type="dxa"/>
            <w:vAlign w:val="top"/>
            <w:vMerge w:val="continue"/>
            <w:tcBorders>
              <w:top w:val="nil"/>
            </w:tcBorders>
          </w:tcPr>
          <w:p>
            <w:pPr>
              <w:rPr>
                <w:rFonts w:ascii="Arial"/>
                <w:sz w:val="21"/>
              </w:rPr>
            </w:pPr>
            <w:r/>
          </w:p>
        </w:tc>
        <w:tc>
          <w:tcPr>
            <w:tcW w:w="899" w:type="dxa"/>
            <w:vAlign w:val="top"/>
          </w:tcPr>
          <w:p>
            <w:pPr>
              <w:ind w:left="259"/>
              <w:spacing w:before="60" w:line="197"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NO</w:t>
            </w:r>
            <w:r>
              <w:rPr>
                <w:rFonts w:ascii="Times New Roman" w:hAnsi="Times New Roman" w:eastAsia="Times New Roman" w:cs="Times New Roman"/>
                <w:sz w:val="13"/>
                <w:szCs w:val="13"/>
                <w:spacing w:val="6"/>
                <w:position w:val="-1"/>
              </w:rPr>
              <w:t>x</w:t>
            </w:r>
          </w:p>
        </w:tc>
        <w:tc>
          <w:tcPr>
            <w:tcW w:w="916" w:type="dxa"/>
            <w:vAlign w:val="top"/>
          </w:tcPr>
          <w:p>
            <w:pPr>
              <w:ind w:left="280"/>
              <w:spacing w:before="6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92.8</w:t>
            </w:r>
          </w:p>
        </w:tc>
        <w:tc>
          <w:tcPr>
            <w:tcW w:w="909" w:type="dxa"/>
            <w:vAlign w:val="top"/>
          </w:tcPr>
          <w:p>
            <w:pPr>
              <w:ind w:left="223"/>
              <w:spacing w:before="6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0.557</w:t>
            </w:r>
          </w:p>
        </w:tc>
        <w:tc>
          <w:tcPr>
            <w:tcW w:w="721" w:type="dxa"/>
            <w:vAlign w:val="top"/>
            <w:vMerge w:val="continue"/>
            <w:tcBorders>
              <w:top w:val="nil"/>
            </w:tcBorders>
          </w:tcPr>
          <w:p>
            <w:pPr>
              <w:rPr>
                <w:rFonts w:ascii="Arial"/>
                <w:sz w:val="21"/>
              </w:rPr>
            </w:pPr>
            <w:r/>
          </w:p>
        </w:tc>
        <w:tc>
          <w:tcPr>
            <w:tcW w:w="824" w:type="dxa"/>
            <w:vAlign w:val="top"/>
          </w:tcPr>
          <w:p>
            <w:pPr>
              <w:ind w:left="262"/>
              <w:spacing w:before="6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300</w:t>
            </w:r>
          </w:p>
        </w:tc>
        <w:tc>
          <w:tcPr>
            <w:tcW w:w="893" w:type="dxa"/>
            <w:vAlign w:val="top"/>
          </w:tcPr>
          <w:p>
            <w:pPr>
              <w:ind w:left="416"/>
              <w:spacing w:before="5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394" w:type="dxa"/>
            <w:vAlign w:val="top"/>
            <w:vMerge w:val="continue"/>
            <w:tcBorders>
              <w:top w:val="nil"/>
            </w:tcBorders>
          </w:tcPr>
          <w:p>
            <w:pPr>
              <w:rPr>
                <w:rFonts w:ascii="Arial"/>
                <w:sz w:val="21"/>
              </w:rPr>
            </w:pPr>
            <w:r/>
          </w:p>
        </w:tc>
        <w:tc>
          <w:tcPr>
            <w:tcW w:w="452" w:type="dxa"/>
            <w:vAlign w:val="top"/>
          </w:tcPr>
          <w:p>
            <w:pPr>
              <w:pStyle w:val="TableText"/>
              <w:ind w:left="20"/>
              <w:spacing w:before="24" w:line="207" w:lineRule="auto"/>
              <w:rPr/>
            </w:pPr>
            <w:r>
              <w:rPr>
                <w:spacing w:val="5"/>
              </w:rPr>
              <w:t>达标</w:t>
            </w:r>
          </w:p>
        </w:tc>
      </w:tr>
    </w:tbl>
    <w:p>
      <w:pPr>
        <w:ind w:left="98"/>
        <w:spacing w:before="36"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3.5.3.2 </w:t>
      </w:r>
      <w:r>
        <w:rPr>
          <w:rFonts w:ascii="SimSun" w:hAnsi="SimSun" w:eastAsia="SimSun" w:cs="SimSun"/>
          <w:sz w:val="24"/>
          <w:szCs w:val="24"/>
          <w:b/>
          <w:bCs/>
          <w:spacing w:val="-2"/>
        </w:rPr>
        <w:t>水污染物达标排放分析</w:t>
      </w:r>
    </w:p>
    <w:p>
      <w:pPr>
        <w:ind w:left="642"/>
        <w:spacing w:before="180" w:line="217" w:lineRule="auto"/>
        <w:rPr>
          <w:rFonts w:ascii="SimSun" w:hAnsi="SimSun" w:eastAsia="SimSun" w:cs="SimSun"/>
          <w:sz w:val="24"/>
          <w:szCs w:val="24"/>
        </w:rPr>
      </w:pPr>
      <w:r>
        <w:rPr>
          <w:rFonts w:ascii="SimSun" w:hAnsi="SimSun" w:eastAsia="SimSun" w:cs="SimSun"/>
          <w:sz w:val="24"/>
          <w:szCs w:val="24"/>
          <w:spacing w:val="-2"/>
        </w:rPr>
        <w:t>①生产废水</w:t>
      </w:r>
    </w:p>
    <w:p>
      <w:pPr>
        <w:ind w:left="101" w:right="13" w:firstLine="542"/>
        <w:spacing w:before="185" w:line="359" w:lineRule="auto"/>
        <w:rPr>
          <w:rFonts w:ascii="SimSun" w:hAnsi="SimSun" w:eastAsia="SimSun" w:cs="SimSun"/>
          <w:sz w:val="24"/>
          <w:szCs w:val="24"/>
        </w:rPr>
      </w:pPr>
      <w:r>
        <w:rPr>
          <w:rFonts w:ascii="SimSun" w:hAnsi="SimSun" w:eastAsia="SimSun" w:cs="SimSun"/>
          <w:sz w:val="24"/>
          <w:szCs w:val="24"/>
          <w:spacing w:val="1"/>
        </w:rPr>
        <w:t>本项目洗毛废水、洗毛车间地面冲洗水全部进入废水收集池，收集调质后输 </w:t>
      </w:r>
      <w:r>
        <w:rPr>
          <w:rFonts w:ascii="SimSun" w:hAnsi="SimSun" w:eastAsia="SimSun" w:cs="SimSun"/>
          <w:sz w:val="24"/>
          <w:szCs w:val="24"/>
          <w:spacing w:val="-2"/>
        </w:rPr>
        <w:t>送至厌氧发酵罐厌氧发酵，厌氧发酵达到沼肥标准后还田利用（自用</w:t>
      </w:r>
      <w:r>
        <w:rPr>
          <w:rFonts w:ascii="SimSun" w:hAnsi="SimSun" w:eastAsia="SimSun" w:cs="SimSun"/>
          <w:sz w:val="24"/>
          <w:szCs w:val="24"/>
          <w:spacing w:val="3"/>
        </w:rPr>
        <w:t>），</w:t>
      </w:r>
      <w:r>
        <w:rPr>
          <w:rFonts w:ascii="SimSun" w:hAnsi="SimSun" w:eastAsia="SimSun" w:cs="SimSun"/>
          <w:sz w:val="24"/>
          <w:szCs w:val="24"/>
          <w:spacing w:val="-3"/>
        </w:rPr>
        <w:t>不外排。</w:t>
      </w:r>
    </w:p>
    <w:p>
      <w:pPr>
        <w:ind w:left="581"/>
        <w:spacing w:line="217" w:lineRule="auto"/>
        <w:rPr>
          <w:rFonts w:ascii="SimSun" w:hAnsi="SimSun" w:eastAsia="SimSun" w:cs="SimSun"/>
          <w:sz w:val="24"/>
          <w:szCs w:val="24"/>
        </w:rPr>
      </w:pPr>
      <w:r>
        <w:rPr>
          <w:rFonts w:ascii="SimSun" w:hAnsi="SimSun" w:eastAsia="SimSun" w:cs="SimSun"/>
          <w:sz w:val="24"/>
          <w:szCs w:val="24"/>
          <w:spacing w:val="-2"/>
        </w:rPr>
        <w:t>②生活污水</w:t>
      </w:r>
    </w:p>
    <w:p>
      <w:pPr>
        <w:ind w:left="103" w:right="32" w:firstLine="481"/>
        <w:spacing w:before="187" w:line="359" w:lineRule="auto"/>
        <w:rPr>
          <w:rFonts w:ascii="SimSun" w:hAnsi="SimSun" w:eastAsia="SimSun" w:cs="SimSun"/>
          <w:sz w:val="24"/>
          <w:szCs w:val="24"/>
        </w:rPr>
      </w:pPr>
      <w:r>
        <w:rPr>
          <w:rFonts w:ascii="SimSun" w:hAnsi="SimSun" w:eastAsia="SimSun" w:cs="SimSun"/>
          <w:sz w:val="24"/>
          <w:szCs w:val="24"/>
          <w:spacing w:val="3"/>
        </w:rPr>
        <w:t>生活污水中东厂区和西厂区员工洗浴废水通过独立管道</w:t>
      </w:r>
      <w:r>
        <w:rPr>
          <w:rFonts w:ascii="SimSun" w:hAnsi="SimSun" w:eastAsia="SimSun" w:cs="SimSun"/>
          <w:sz w:val="24"/>
          <w:szCs w:val="24"/>
          <w:spacing w:val="2"/>
        </w:rPr>
        <w:t>系统外排市政污水管</w:t>
      </w:r>
      <w:r>
        <w:rPr>
          <w:rFonts w:ascii="SimSun" w:hAnsi="SimSun" w:eastAsia="SimSun" w:cs="SimSun"/>
          <w:sz w:val="24"/>
          <w:szCs w:val="24"/>
        </w:rPr>
        <w:t xml:space="preserve"> </w:t>
      </w:r>
      <w:r>
        <w:rPr>
          <w:rFonts w:ascii="SimSun" w:hAnsi="SimSun" w:eastAsia="SimSun" w:cs="SimSun"/>
          <w:sz w:val="24"/>
          <w:szCs w:val="24"/>
          <w:spacing w:val="3"/>
        </w:rPr>
        <w:t>网，进入明安图镇污水处理厂。食堂废水经隔油池处理后</w:t>
      </w:r>
      <w:r>
        <w:rPr>
          <w:rFonts w:ascii="SimSun" w:hAnsi="SimSun" w:eastAsia="SimSun" w:cs="SimSun"/>
          <w:sz w:val="24"/>
          <w:szCs w:val="24"/>
          <w:spacing w:val="2"/>
        </w:rPr>
        <w:t>，与洗浴废水一同通过</w:t>
      </w:r>
      <w:r>
        <w:rPr>
          <w:rFonts w:ascii="SimSun" w:hAnsi="SimSun" w:eastAsia="SimSun" w:cs="SimSun"/>
          <w:sz w:val="24"/>
          <w:szCs w:val="24"/>
        </w:rPr>
        <w:t xml:space="preserve"> </w:t>
      </w:r>
      <w:r>
        <w:rPr>
          <w:rFonts w:ascii="SimSun" w:hAnsi="SimSun" w:eastAsia="SimSun" w:cs="SimSun"/>
          <w:sz w:val="24"/>
          <w:szCs w:val="24"/>
          <w:spacing w:val="3"/>
        </w:rPr>
        <w:t>独立管道系统外排市政污水管网，进入明安图镇污</w:t>
      </w:r>
      <w:r>
        <w:rPr>
          <w:rFonts w:ascii="SimSun" w:hAnsi="SimSun" w:eastAsia="SimSun" w:cs="SimSun"/>
          <w:sz w:val="24"/>
          <w:szCs w:val="24"/>
          <w:spacing w:val="2"/>
        </w:rPr>
        <w:t>水处理厂。西厂区冲厕水经独</w:t>
      </w:r>
      <w:r>
        <w:rPr>
          <w:rFonts w:ascii="SimSun" w:hAnsi="SimSun" w:eastAsia="SimSun" w:cs="SimSun"/>
          <w:sz w:val="24"/>
          <w:szCs w:val="24"/>
        </w:rPr>
        <w:t xml:space="preserve"> </w:t>
      </w:r>
      <w:r>
        <w:rPr>
          <w:rFonts w:ascii="SimSun" w:hAnsi="SimSun" w:eastAsia="SimSun" w:cs="SimSun"/>
          <w:sz w:val="24"/>
          <w:szCs w:val="24"/>
          <w:spacing w:val="-1"/>
        </w:rPr>
        <w:t>立管道排入化粪池（容积</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30m</w:t>
      </w:r>
      <w:r>
        <w:rPr>
          <w:rFonts w:ascii="Times New Roman" w:hAnsi="Times New Roman" w:eastAsia="Times New Roman" w:cs="Times New Roman"/>
          <w:sz w:val="15"/>
          <w:szCs w:val="15"/>
          <w:spacing w:val="-1"/>
          <w:position w:val="7"/>
        </w:rPr>
        <w:t>3 </w:t>
      </w:r>
      <w:r>
        <w:rPr>
          <w:rFonts w:ascii="SimSun" w:hAnsi="SimSun" w:eastAsia="SimSun" w:cs="SimSun"/>
          <w:sz w:val="24"/>
          <w:szCs w:val="24"/>
          <w:spacing w:val="-1"/>
        </w:rPr>
        <w:t>）预处理后，输送至西厂区废水收集池与洗毛废水</w:t>
      </w:r>
      <w:r>
        <w:rPr>
          <w:rFonts w:ascii="SimSun" w:hAnsi="SimSun" w:eastAsia="SimSun" w:cs="SimSun"/>
          <w:sz w:val="24"/>
          <w:szCs w:val="24"/>
        </w:rPr>
        <w:t xml:space="preserve"> </w:t>
      </w:r>
      <w:r>
        <w:rPr>
          <w:rFonts w:ascii="SimSun" w:hAnsi="SimSun" w:eastAsia="SimSun" w:cs="SimSun"/>
          <w:sz w:val="24"/>
          <w:szCs w:val="24"/>
          <w:spacing w:val="-2"/>
        </w:rPr>
        <w:t>混合，然后进入</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TS </w:t>
      </w:r>
      <w:r>
        <w:rPr>
          <w:rFonts w:ascii="SimSun" w:hAnsi="SimSun" w:eastAsia="SimSun" w:cs="SimSun"/>
          <w:sz w:val="24"/>
          <w:szCs w:val="24"/>
          <w:spacing w:val="-2"/>
        </w:rPr>
        <w:t>调节池调质后进入厌氧发酵装置，厌氧发酵达到沼肥标准后还</w:t>
      </w:r>
      <w:r>
        <w:rPr>
          <w:rFonts w:ascii="SimSun" w:hAnsi="SimSun" w:eastAsia="SimSun" w:cs="SimSun"/>
          <w:sz w:val="24"/>
          <w:szCs w:val="24"/>
        </w:rPr>
        <w:t xml:space="preserve"> </w:t>
      </w:r>
      <w:r>
        <w:rPr>
          <w:rFonts w:ascii="SimSun" w:hAnsi="SimSun" w:eastAsia="SimSun" w:cs="SimSun"/>
          <w:sz w:val="24"/>
          <w:szCs w:val="24"/>
          <w:spacing w:val="-11"/>
        </w:rPr>
        <w:t>田利用（自用）。东厂区冲厕水与洗毛废水一起进入东厂区洗毛废水收集池（</w:t>
      </w:r>
      <w:r>
        <w:rPr>
          <w:rFonts w:ascii="Times New Roman" w:hAnsi="Times New Roman" w:eastAsia="Times New Roman" w:cs="Times New Roman"/>
          <w:sz w:val="24"/>
          <w:szCs w:val="24"/>
          <w:spacing w:val="-11"/>
        </w:rPr>
        <w:t>10m</w:t>
      </w:r>
      <w:r>
        <w:rPr>
          <w:rFonts w:ascii="Times New Roman" w:hAnsi="Times New Roman" w:eastAsia="Times New Roman" w:cs="Times New Roman"/>
          <w:sz w:val="15"/>
          <w:szCs w:val="15"/>
          <w:spacing w:val="-11"/>
          <w:position w:val="8"/>
        </w:rPr>
        <w:t>3</w:t>
      </w:r>
      <w:r>
        <w:rPr>
          <w:rFonts w:ascii="SimSun" w:hAnsi="SimSun" w:eastAsia="SimSun" w:cs="SimSun"/>
          <w:sz w:val="24"/>
          <w:szCs w:val="24"/>
          <w:spacing w:val="-55"/>
          <w:w w:val="87"/>
        </w:rPr>
        <w:t>），</w:t>
      </w:r>
      <w:r>
        <w:rPr>
          <w:rFonts w:ascii="SimSun" w:hAnsi="SimSun" w:eastAsia="SimSun" w:cs="SimSun"/>
          <w:sz w:val="24"/>
          <w:szCs w:val="24"/>
          <w:spacing w:val="3"/>
        </w:rPr>
        <w:t xml:space="preserve"> </w:t>
      </w:r>
      <w:r>
        <w:rPr>
          <w:rFonts w:ascii="SimSun" w:hAnsi="SimSun" w:eastAsia="SimSun" w:cs="SimSun"/>
          <w:sz w:val="24"/>
          <w:szCs w:val="24"/>
        </w:rPr>
        <w:t>然后通过管道输送至西厂区废水收集池，</w:t>
      </w:r>
      <w:r>
        <w:rPr>
          <w:rFonts w:ascii="Times New Roman" w:hAnsi="Times New Roman" w:eastAsia="Times New Roman" w:cs="Times New Roman"/>
          <w:sz w:val="24"/>
          <w:szCs w:val="24"/>
        </w:rPr>
        <w:t>TS </w:t>
      </w:r>
      <w:r>
        <w:rPr>
          <w:rFonts w:ascii="SimSun" w:hAnsi="SimSun" w:eastAsia="SimSun" w:cs="SimSun"/>
          <w:sz w:val="24"/>
          <w:szCs w:val="24"/>
        </w:rPr>
        <w:t>调节池调质后进入</w:t>
      </w:r>
      <w:r>
        <w:rPr>
          <w:rFonts w:ascii="SimSun" w:hAnsi="SimSun" w:eastAsia="SimSun" w:cs="SimSun"/>
          <w:sz w:val="24"/>
          <w:szCs w:val="24"/>
          <w:spacing w:val="-1"/>
        </w:rPr>
        <w:t>厌氧发酵装置，厌</w:t>
      </w:r>
      <w:r>
        <w:rPr>
          <w:rFonts w:ascii="SimSun" w:hAnsi="SimSun" w:eastAsia="SimSun" w:cs="SimSun"/>
          <w:sz w:val="24"/>
          <w:szCs w:val="24"/>
        </w:rPr>
        <w:t xml:space="preserve"> </w:t>
      </w:r>
      <w:r>
        <w:rPr>
          <w:rFonts w:ascii="SimSun" w:hAnsi="SimSun" w:eastAsia="SimSun" w:cs="SimSun"/>
          <w:sz w:val="24"/>
          <w:szCs w:val="24"/>
          <w:spacing w:val="3"/>
        </w:rPr>
        <w:t>氧发酵达到沼肥标准后还田利用（自用）。外排生</w:t>
      </w:r>
      <w:r>
        <w:rPr>
          <w:rFonts w:ascii="SimSun" w:hAnsi="SimSun" w:eastAsia="SimSun" w:cs="SimSun"/>
          <w:sz w:val="24"/>
          <w:szCs w:val="24"/>
          <w:spacing w:val="2"/>
        </w:rPr>
        <w:t>活污水水质满足《污水综合排</w:t>
      </w:r>
      <w:r>
        <w:rPr>
          <w:rFonts w:ascii="SimSun" w:hAnsi="SimSun" w:eastAsia="SimSun" w:cs="SimSun"/>
          <w:sz w:val="24"/>
          <w:szCs w:val="24"/>
        </w:rPr>
        <w:t xml:space="preserve"> </w:t>
      </w:r>
      <w:r>
        <w:rPr>
          <w:rFonts w:ascii="SimSun" w:hAnsi="SimSun" w:eastAsia="SimSun" w:cs="SimSun"/>
          <w:sz w:val="24"/>
          <w:szCs w:val="24"/>
          <w:spacing w:val="2"/>
        </w:rPr>
        <w:t>放标准》（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21"/>
        </w:rPr>
        <w:t xml:space="preserve"> </w:t>
      </w:r>
      <w:r>
        <w:rPr>
          <w:rFonts w:ascii="Times New Roman" w:hAnsi="Times New Roman" w:eastAsia="Times New Roman" w:cs="Times New Roman"/>
          <w:sz w:val="24"/>
          <w:szCs w:val="24"/>
          <w:spacing w:val="2"/>
        </w:rPr>
        <w:t>8978-1996</w:t>
      </w:r>
      <w:r>
        <w:rPr>
          <w:rFonts w:ascii="SimSun" w:hAnsi="SimSun" w:eastAsia="SimSun" w:cs="SimSun"/>
          <w:sz w:val="24"/>
          <w:szCs w:val="24"/>
          <w:spacing w:val="2"/>
        </w:rPr>
        <w:t>）表</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4 </w:t>
      </w:r>
      <w:r>
        <w:rPr>
          <w:rFonts w:ascii="SimSun" w:hAnsi="SimSun" w:eastAsia="SimSun" w:cs="SimSun"/>
          <w:sz w:val="24"/>
          <w:szCs w:val="24"/>
          <w:spacing w:val="2"/>
        </w:rPr>
        <w:t>三级标准，其中氨氮满足《污水排</w:t>
      </w:r>
      <w:r>
        <w:rPr>
          <w:rFonts w:ascii="SimSun" w:hAnsi="SimSun" w:eastAsia="SimSun" w:cs="SimSun"/>
          <w:sz w:val="24"/>
          <w:szCs w:val="24"/>
          <w:spacing w:val="1"/>
        </w:rPr>
        <w:t>入城镇下水道</w:t>
      </w:r>
      <w:r>
        <w:rPr>
          <w:rFonts w:ascii="SimSun" w:hAnsi="SimSun" w:eastAsia="SimSun" w:cs="SimSun"/>
          <w:sz w:val="24"/>
          <w:szCs w:val="24"/>
        </w:rPr>
        <w:t xml:space="preserve"> </w:t>
      </w:r>
      <w:r>
        <w:rPr>
          <w:rFonts w:ascii="SimSun" w:hAnsi="SimSun" w:eastAsia="SimSun" w:cs="SimSun"/>
          <w:sz w:val="24"/>
          <w:szCs w:val="24"/>
          <w:spacing w:val="-2"/>
        </w:rPr>
        <w:t>水质标准》（</w:t>
      </w:r>
      <w:r>
        <w:rPr>
          <w:rFonts w:ascii="Times New Roman" w:hAnsi="Times New Roman" w:eastAsia="Times New Roman" w:cs="Times New Roman"/>
          <w:sz w:val="24"/>
          <w:szCs w:val="24"/>
          <w:spacing w:val="-2"/>
        </w:rPr>
        <w:t>GB/T31962-2015</w:t>
      </w:r>
      <w:r>
        <w:rPr>
          <w:rFonts w:ascii="SimSun" w:hAnsi="SimSun" w:eastAsia="SimSun" w:cs="SimSun"/>
          <w:sz w:val="24"/>
          <w:szCs w:val="24"/>
          <w:spacing w:val="-2"/>
        </w:rPr>
        <w:t>）表</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31"/>
          <w:w w:val="101"/>
        </w:rPr>
        <w:t xml:space="preserve"> </w:t>
      </w:r>
      <w:r>
        <w:rPr>
          <w:rFonts w:ascii="SimSun" w:hAnsi="SimSun" w:eastAsia="SimSun" w:cs="SimSun"/>
          <w:sz w:val="24"/>
          <w:szCs w:val="24"/>
          <w:spacing w:val="-2"/>
        </w:rPr>
        <w:t>中</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A </w:t>
      </w:r>
      <w:r>
        <w:rPr>
          <w:rFonts w:ascii="SimSun" w:hAnsi="SimSun" w:eastAsia="SimSun" w:cs="SimSun"/>
          <w:sz w:val="24"/>
          <w:szCs w:val="24"/>
          <w:spacing w:val="-2"/>
        </w:rPr>
        <w:t>级标准（参照执行</w:t>
      </w:r>
      <w:r>
        <w:rPr>
          <w:rFonts w:ascii="SimSun" w:hAnsi="SimSun" w:eastAsia="SimSun" w:cs="SimSun"/>
          <w:sz w:val="24"/>
          <w:szCs w:val="24"/>
          <w:spacing w:val="4"/>
        </w:rPr>
        <w:t>），</w:t>
      </w:r>
      <w:r>
        <w:rPr>
          <w:rFonts w:ascii="SimSun" w:hAnsi="SimSun" w:eastAsia="SimSun" w:cs="SimSun"/>
          <w:sz w:val="24"/>
          <w:szCs w:val="24"/>
          <w:spacing w:val="-2"/>
        </w:rPr>
        <w:t>达</w:t>
      </w:r>
      <w:r>
        <w:rPr>
          <w:rFonts w:ascii="SimSun" w:hAnsi="SimSun" w:eastAsia="SimSun" w:cs="SimSun"/>
          <w:sz w:val="24"/>
          <w:szCs w:val="24"/>
          <w:spacing w:val="-3"/>
        </w:rPr>
        <w:t>标排放。</w:t>
      </w:r>
    </w:p>
    <w:p>
      <w:pPr>
        <w:ind w:left="581"/>
        <w:spacing w:line="217" w:lineRule="auto"/>
        <w:rPr>
          <w:rFonts w:ascii="SimSun" w:hAnsi="SimSun" w:eastAsia="SimSun" w:cs="SimSun"/>
          <w:sz w:val="24"/>
          <w:szCs w:val="24"/>
        </w:rPr>
      </w:pPr>
      <w:r>
        <w:rPr>
          <w:rFonts w:ascii="SimSun" w:hAnsi="SimSun" w:eastAsia="SimSun" w:cs="SimSun"/>
          <w:sz w:val="24"/>
          <w:szCs w:val="24"/>
          <w:spacing w:val="-1"/>
        </w:rPr>
        <w:t>③锅炉、纯水装置排污水</w:t>
      </w:r>
    </w:p>
    <w:p>
      <w:pPr>
        <w:pStyle w:val="BodyText"/>
        <w:spacing w:line="283" w:lineRule="auto"/>
        <w:rPr/>
      </w:pPr>
      <w:r/>
    </w:p>
    <w:p>
      <w:pPr>
        <w:pStyle w:val="BodyText"/>
        <w:spacing w:line="283" w:lineRule="auto"/>
        <w:rPr/>
      </w:pPr>
      <w:r/>
    </w:p>
    <w:p>
      <w:pPr>
        <w:ind w:left="101"/>
        <w:spacing w:before="62" w:line="227" w:lineRule="auto"/>
        <w:rPr>
          <w:rFonts w:ascii="SimSun" w:hAnsi="SimSun" w:eastAsia="SimSun" w:cs="SimSun"/>
          <w:sz w:val="19"/>
          <w:szCs w:val="19"/>
        </w:rPr>
      </w:pPr>
      <w:r>
        <w:pict>
          <v:shape id="_x0000_s548" style="position:absolute;margin-left:164.02pt;margin-top:2.10834pt;mso-position-vertical-relative:text;mso-position-horizontal-relative:text;width:61pt;height:13.75pt;z-index:25189888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rPr>
                    <w:t>任公司</w:t>
                  </w:r>
                  <w:r>
                    <w:rPr>
                      <w:rFonts w:ascii="SimSun" w:hAnsi="SimSun" w:eastAsia="SimSun" w:cs="SimSun"/>
                      <w:sz w:val="19"/>
                      <w:szCs w:val="19"/>
                      <w:spacing w:val="18"/>
                    </w:rPr>
                    <w:t xml:space="preserve">   </w:t>
                  </w:r>
                  <w:r>
                    <w:rPr>
                      <w:rFonts w:ascii="Times New Roman" w:hAnsi="Times New Roman" w:eastAsia="Times New Roman" w:cs="Times New Roman"/>
                      <w:sz w:val="18"/>
                      <w:szCs w:val="18"/>
                      <w:position w:val="2"/>
                    </w:rPr>
                    <w:t>109</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16"/>
          <w:pgSz w:w="11907" w:h="16840"/>
          <w:pgMar w:top="1567" w:right="1608" w:bottom="400" w:left="1607" w:header="1221" w:footer="0" w:gutter="0"/>
        </w:sectPr>
        <w:rPr>
          <w:rFonts w:ascii="SimSun" w:hAnsi="SimSun" w:eastAsia="SimSun" w:cs="SimSun"/>
          <w:sz w:val="19"/>
          <w:szCs w:val="19"/>
        </w:rPr>
      </w:pPr>
    </w:p>
    <w:p>
      <w:pPr>
        <w:pStyle w:val="BodyText"/>
        <w:spacing w:line="248" w:lineRule="auto"/>
        <w:rPr/>
      </w:pPr>
      <w:r>
        <w:pict>
          <v:shape id="_x0000_s550" style="position:absolute;margin-left:0.440002pt;margin-top:0.518005pt;mso-position-vertical-relative:text;mso-position-horizontal-relative:text;width:425.25pt;height:0.75pt;z-index:251901952;" fillcolor="#000000" filled="true" stroked="false" coordsize="8505,15" coordorigin="0,0" path="m,l8505,0l8505,14l0,14l0,0xe"/>
        </w:pict>
      </w:r>
      <w:r/>
    </w:p>
    <w:p>
      <w:pPr>
        <w:ind w:left="21" w:right="9" w:firstLine="477"/>
        <w:spacing w:before="78" w:line="372" w:lineRule="auto"/>
        <w:rPr>
          <w:rFonts w:ascii="SimSun" w:hAnsi="SimSun" w:eastAsia="SimSun" w:cs="SimSun"/>
          <w:sz w:val="24"/>
          <w:szCs w:val="24"/>
        </w:rPr>
      </w:pPr>
      <w:r>
        <w:rPr>
          <w:rFonts w:ascii="SimSun" w:hAnsi="SimSun" w:eastAsia="SimSun" w:cs="SimSun"/>
          <w:sz w:val="24"/>
          <w:szCs w:val="24"/>
          <w:spacing w:val="3"/>
        </w:rPr>
        <w:t>锅炉和纯水处理装置排水用作锅炉草木灰抑尘及厂区内道路</w:t>
      </w:r>
      <w:r>
        <w:rPr>
          <w:rFonts w:ascii="SimSun" w:hAnsi="SimSun" w:eastAsia="SimSun" w:cs="SimSun"/>
          <w:sz w:val="24"/>
          <w:szCs w:val="24"/>
          <w:spacing w:val="2"/>
        </w:rPr>
        <w:t>抑尘用水，多余</w:t>
      </w:r>
      <w:r>
        <w:rPr>
          <w:rFonts w:ascii="SimSun" w:hAnsi="SimSun" w:eastAsia="SimSun" w:cs="SimSun"/>
          <w:sz w:val="24"/>
          <w:szCs w:val="24"/>
        </w:rPr>
        <w:t xml:space="preserve"> </w:t>
      </w:r>
      <w:r>
        <w:rPr>
          <w:rFonts w:ascii="SimSun" w:hAnsi="SimSun" w:eastAsia="SimSun" w:cs="SimSun"/>
          <w:sz w:val="24"/>
          <w:szCs w:val="24"/>
          <w:spacing w:val="-1"/>
        </w:rPr>
        <w:t>部分排入市政污水管网，进入明安图镇污水处理厂。</w:t>
      </w:r>
    </w:p>
    <w:p>
      <w:pPr>
        <w:ind w:left="20"/>
        <w:spacing w:line="222" w:lineRule="auto"/>
        <w:outlineLvl w:val="2"/>
        <w:rPr>
          <w:rFonts w:ascii="SimHei" w:hAnsi="SimHei" w:eastAsia="SimHei" w:cs="SimHei"/>
          <w:sz w:val="28"/>
          <w:szCs w:val="28"/>
        </w:rPr>
      </w:pPr>
      <w:bookmarkStart w:name="bookmark69" w:id="86"/>
      <w:bookmarkEnd w:id="86"/>
      <w:r>
        <w:rPr>
          <w:rFonts w:ascii="Times New Roman" w:hAnsi="Times New Roman" w:eastAsia="Times New Roman" w:cs="Times New Roman"/>
          <w:sz w:val="28"/>
          <w:szCs w:val="28"/>
          <w:spacing w:val="-1"/>
        </w:rPr>
        <w:t>3.5.4 </w:t>
      </w:r>
      <w:r>
        <w:rPr>
          <w:rFonts w:ascii="SimHei" w:hAnsi="SimHei" w:eastAsia="SimHei" w:cs="SimHei"/>
          <w:sz w:val="28"/>
          <w:szCs w:val="28"/>
          <w:spacing w:val="-1"/>
        </w:rPr>
        <w:t>污染物排放情况</w:t>
      </w:r>
    </w:p>
    <w:p>
      <w:pPr>
        <w:ind w:left="502"/>
        <w:spacing w:before="319" w:line="219" w:lineRule="auto"/>
        <w:rPr>
          <w:rFonts w:ascii="SimSun" w:hAnsi="SimSun" w:eastAsia="SimSun" w:cs="SimSun"/>
          <w:sz w:val="24"/>
          <w:szCs w:val="24"/>
        </w:rPr>
      </w:pPr>
      <w:r>
        <w:rPr>
          <w:rFonts w:ascii="SimSun" w:hAnsi="SimSun" w:eastAsia="SimSun" w:cs="SimSun"/>
          <w:sz w:val="24"/>
          <w:szCs w:val="24"/>
          <w:spacing w:val="-1"/>
        </w:rPr>
        <w:t>本项目运营期污染物产生及排放情况见表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3.5-14</w:t>
      </w:r>
      <w:r>
        <w:rPr>
          <w:rFonts w:ascii="SimSun" w:hAnsi="SimSun" w:eastAsia="SimSun" w:cs="SimSun"/>
          <w:sz w:val="24"/>
          <w:szCs w:val="24"/>
          <w:spacing w:val="-1"/>
        </w:rPr>
        <w:t>。</w:t>
      </w:r>
    </w:p>
    <w:p>
      <w:pPr>
        <w:ind w:left="996"/>
        <w:spacing w:before="183" w:line="213" w:lineRule="auto"/>
        <w:rPr>
          <w:rFonts w:ascii="Times New Roman" w:hAnsi="Times New Roman" w:eastAsia="Times New Roman" w:cs="Times New Roman"/>
          <w:sz w:val="24"/>
          <w:szCs w:val="24"/>
        </w:rPr>
      </w:pPr>
      <w:r>
        <w:rPr>
          <w:rFonts w:ascii="SimSun" w:hAnsi="SimSun" w:eastAsia="SimSun" w:cs="SimSun"/>
          <w:sz w:val="24"/>
          <w:szCs w:val="24"/>
          <w:b/>
          <w:bCs/>
          <w:spacing w:val="-1"/>
        </w:rPr>
        <w:t>表</w:t>
      </w:r>
      <w:r>
        <w:rPr>
          <w:rFonts w:ascii="Times New Roman" w:hAnsi="Times New Roman" w:eastAsia="Times New Roman" w:cs="Times New Roman"/>
          <w:sz w:val="24"/>
          <w:szCs w:val="24"/>
          <w:b/>
          <w:bCs/>
          <w:spacing w:val="-1"/>
        </w:rPr>
        <w:t>3.5-14      </w:t>
      </w:r>
      <w:r>
        <w:rPr>
          <w:rFonts w:ascii="SimSun" w:hAnsi="SimSun" w:eastAsia="SimSun" w:cs="SimSun"/>
          <w:sz w:val="24"/>
          <w:szCs w:val="24"/>
          <w:b/>
          <w:bCs/>
          <w:spacing w:val="-1"/>
        </w:rPr>
        <w:t>运营期污染物产生及排放情况一览表</w:t>
      </w:r>
      <w:r>
        <w:rPr>
          <w:rFonts w:ascii="SimSun" w:hAnsi="SimSun" w:eastAsia="SimSun" w:cs="SimSun"/>
          <w:sz w:val="24"/>
          <w:szCs w:val="24"/>
          <w:spacing w:val="-1"/>
        </w:rPr>
        <w:t xml:space="preserve">    </w:t>
      </w:r>
      <w:r>
        <w:rPr>
          <w:rFonts w:ascii="SimSun" w:hAnsi="SimSun" w:eastAsia="SimSun" w:cs="SimSun"/>
          <w:sz w:val="24"/>
          <w:szCs w:val="24"/>
          <w:b/>
          <w:bCs/>
          <w:spacing w:val="-1"/>
        </w:rPr>
        <w:t>单位：</w:t>
      </w:r>
      <w:r>
        <w:rPr>
          <w:rFonts w:ascii="Times New Roman" w:hAnsi="Times New Roman" w:eastAsia="Times New Roman" w:cs="Times New Roman"/>
          <w:sz w:val="24"/>
          <w:szCs w:val="24"/>
          <w:b/>
          <w:bCs/>
          <w:spacing w:val="-2"/>
        </w:rPr>
        <w:t>t/a</w:t>
      </w:r>
    </w:p>
    <w:tbl>
      <w:tblPr>
        <w:tblStyle w:val="TableNormal"/>
        <w:tblW w:w="8516"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51"/>
        <w:gridCol w:w="2774"/>
        <w:gridCol w:w="2496"/>
        <w:gridCol w:w="1995"/>
      </w:tblGrid>
      <w:tr>
        <w:trPr>
          <w:trHeight w:val="281" w:hRule="atLeast"/>
        </w:trPr>
        <w:tc>
          <w:tcPr>
            <w:tcW w:w="1251" w:type="dxa"/>
            <w:vAlign w:val="top"/>
          </w:tcPr>
          <w:p>
            <w:pPr>
              <w:pStyle w:val="TableText"/>
              <w:ind w:left="420"/>
              <w:spacing w:before="35" w:line="217" w:lineRule="auto"/>
              <w:rPr/>
            </w:pPr>
            <w:r>
              <w:rPr>
                <w:spacing w:val="4"/>
              </w:rPr>
              <w:t>类别</w:t>
            </w:r>
          </w:p>
        </w:tc>
        <w:tc>
          <w:tcPr>
            <w:tcW w:w="2774" w:type="dxa"/>
            <w:vAlign w:val="top"/>
          </w:tcPr>
          <w:p>
            <w:pPr>
              <w:pStyle w:val="TableText"/>
              <w:ind w:left="1079"/>
              <w:spacing w:before="35" w:line="217" w:lineRule="auto"/>
              <w:rPr/>
            </w:pPr>
            <w:r>
              <w:rPr>
                <w:spacing w:val="6"/>
              </w:rPr>
              <w:t>污染物</w:t>
            </w:r>
          </w:p>
        </w:tc>
        <w:tc>
          <w:tcPr>
            <w:tcW w:w="2496" w:type="dxa"/>
            <w:vAlign w:val="top"/>
          </w:tcPr>
          <w:p>
            <w:pPr>
              <w:pStyle w:val="TableText"/>
              <w:ind w:left="938"/>
              <w:spacing w:before="35" w:line="217" w:lineRule="auto"/>
              <w:rPr/>
            </w:pPr>
            <w:r>
              <w:rPr>
                <w:spacing w:val="6"/>
              </w:rPr>
              <w:t>产生量</w:t>
            </w:r>
          </w:p>
        </w:tc>
        <w:tc>
          <w:tcPr>
            <w:tcW w:w="1995" w:type="dxa"/>
            <w:vAlign w:val="top"/>
          </w:tcPr>
          <w:p>
            <w:pPr>
              <w:pStyle w:val="TableText"/>
              <w:ind w:left="686"/>
              <w:spacing w:before="35" w:line="217" w:lineRule="auto"/>
              <w:rPr/>
            </w:pPr>
            <w:r>
              <w:rPr>
                <w:spacing w:val="6"/>
              </w:rPr>
              <w:t>排放量</w:t>
            </w:r>
          </w:p>
        </w:tc>
      </w:tr>
      <w:tr>
        <w:trPr>
          <w:trHeight w:val="277" w:hRule="atLeast"/>
        </w:trPr>
        <w:tc>
          <w:tcPr>
            <w:tcW w:w="1251" w:type="dxa"/>
            <w:vAlign w:val="top"/>
            <w:vMerge w:val="restart"/>
            <w:tcBorders>
              <w:bottom w:val="nil"/>
            </w:tcBorders>
          </w:tcPr>
          <w:p>
            <w:pPr>
              <w:spacing w:line="303" w:lineRule="auto"/>
              <w:rPr>
                <w:rFonts w:ascii="Arial"/>
                <w:sz w:val="21"/>
              </w:rPr>
            </w:pPr>
            <w:r/>
          </w:p>
          <w:p>
            <w:pPr>
              <w:spacing w:line="304" w:lineRule="auto"/>
              <w:rPr>
                <w:rFonts w:ascii="Arial"/>
                <w:sz w:val="21"/>
              </w:rPr>
            </w:pPr>
            <w:r/>
          </w:p>
          <w:p>
            <w:pPr>
              <w:pStyle w:val="TableText"/>
              <w:ind w:left="419"/>
              <w:spacing w:before="65" w:line="228" w:lineRule="auto"/>
              <w:rPr/>
            </w:pPr>
            <w:r>
              <w:rPr>
                <w:spacing w:val="5"/>
              </w:rPr>
              <w:t>废气</w:t>
            </w:r>
          </w:p>
        </w:tc>
        <w:tc>
          <w:tcPr>
            <w:tcW w:w="2774" w:type="dxa"/>
            <w:vAlign w:val="top"/>
          </w:tcPr>
          <w:p>
            <w:pPr>
              <w:pStyle w:val="TableText"/>
              <w:ind w:left="1076"/>
              <w:spacing w:before="32" w:line="216" w:lineRule="auto"/>
              <w:rPr/>
            </w:pPr>
            <w:r>
              <w:rPr>
                <w:spacing w:val="7"/>
              </w:rPr>
              <w:t>颗粒物</w:t>
            </w:r>
          </w:p>
        </w:tc>
        <w:tc>
          <w:tcPr>
            <w:tcW w:w="2496" w:type="dxa"/>
            <w:vAlign w:val="top"/>
          </w:tcPr>
          <w:p>
            <w:pPr>
              <w:ind w:left="1018"/>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114</w:t>
            </w:r>
          </w:p>
        </w:tc>
        <w:tc>
          <w:tcPr>
            <w:tcW w:w="1995" w:type="dxa"/>
            <w:vAlign w:val="top"/>
          </w:tcPr>
          <w:p>
            <w:pPr>
              <w:ind w:left="71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0.2216</w:t>
            </w:r>
          </w:p>
        </w:tc>
      </w:tr>
      <w:tr>
        <w:trPr>
          <w:trHeight w:val="246" w:hRule="atLeast"/>
        </w:trPr>
        <w:tc>
          <w:tcPr>
            <w:tcW w:w="1251" w:type="dxa"/>
            <w:vAlign w:val="top"/>
            <w:vMerge w:val="continue"/>
            <w:tcBorders>
              <w:top w:val="nil"/>
              <w:bottom w:val="nil"/>
            </w:tcBorders>
          </w:tcPr>
          <w:p>
            <w:pPr>
              <w:rPr>
                <w:rFonts w:ascii="Arial"/>
                <w:sz w:val="21"/>
              </w:rPr>
            </w:pPr>
            <w:r/>
          </w:p>
        </w:tc>
        <w:tc>
          <w:tcPr>
            <w:tcW w:w="2774" w:type="dxa"/>
            <w:vAlign w:val="top"/>
          </w:tcPr>
          <w:p>
            <w:pPr>
              <w:ind w:left="1228"/>
              <w:spacing w:before="52" w:line="19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3"/>
                <w:position w:val="-1"/>
              </w:rPr>
              <w:t>2</w:t>
            </w:r>
          </w:p>
        </w:tc>
        <w:tc>
          <w:tcPr>
            <w:tcW w:w="2496" w:type="dxa"/>
            <w:vAlign w:val="top"/>
          </w:tcPr>
          <w:p>
            <w:pPr>
              <w:ind w:left="1019"/>
              <w:spacing w:before="52"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5.815</w:t>
            </w:r>
          </w:p>
        </w:tc>
        <w:tc>
          <w:tcPr>
            <w:tcW w:w="1995" w:type="dxa"/>
            <w:vAlign w:val="top"/>
          </w:tcPr>
          <w:p>
            <w:pPr>
              <w:ind w:left="767"/>
              <w:spacing w:before="52"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5.815</w:t>
            </w:r>
          </w:p>
        </w:tc>
      </w:tr>
      <w:tr>
        <w:trPr>
          <w:trHeight w:val="246" w:hRule="atLeast"/>
        </w:trPr>
        <w:tc>
          <w:tcPr>
            <w:tcW w:w="1251" w:type="dxa"/>
            <w:vAlign w:val="top"/>
            <w:vMerge w:val="continue"/>
            <w:tcBorders>
              <w:top w:val="nil"/>
              <w:bottom w:val="nil"/>
            </w:tcBorders>
          </w:tcPr>
          <w:p>
            <w:pPr>
              <w:rPr>
                <w:rFonts w:ascii="Arial"/>
                <w:sz w:val="21"/>
              </w:rPr>
            </w:pPr>
            <w:r/>
          </w:p>
        </w:tc>
        <w:tc>
          <w:tcPr>
            <w:tcW w:w="2774" w:type="dxa"/>
            <w:vAlign w:val="top"/>
          </w:tcPr>
          <w:p>
            <w:pPr>
              <w:ind w:left="1194"/>
              <w:spacing w:before="53" w:line="190"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NO</w:t>
            </w:r>
            <w:r>
              <w:rPr>
                <w:rFonts w:ascii="Times New Roman" w:hAnsi="Times New Roman" w:eastAsia="Times New Roman" w:cs="Times New Roman"/>
                <w:sz w:val="13"/>
                <w:szCs w:val="13"/>
                <w:spacing w:val="7"/>
                <w:position w:val="-1"/>
              </w:rPr>
              <w:t>x</w:t>
            </w:r>
          </w:p>
        </w:tc>
        <w:tc>
          <w:tcPr>
            <w:tcW w:w="2496" w:type="dxa"/>
            <w:vAlign w:val="top"/>
          </w:tcPr>
          <w:p>
            <w:pPr>
              <w:ind w:left="1019"/>
              <w:spacing w:before="54"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5.038</w:t>
            </w:r>
          </w:p>
        </w:tc>
        <w:tc>
          <w:tcPr>
            <w:tcW w:w="1995" w:type="dxa"/>
            <w:vAlign w:val="top"/>
          </w:tcPr>
          <w:p>
            <w:pPr>
              <w:ind w:left="767"/>
              <w:spacing w:before="54"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5.038</w:t>
            </w:r>
          </w:p>
        </w:tc>
      </w:tr>
      <w:tr>
        <w:trPr>
          <w:trHeight w:val="247" w:hRule="atLeast"/>
        </w:trPr>
        <w:tc>
          <w:tcPr>
            <w:tcW w:w="1251" w:type="dxa"/>
            <w:vAlign w:val="top"/>
            <w:vMerge w:val="continue"/>
            <w:tcBorders>
              <w:top w:val="nil"/>
              <w:bottom w:val="nil"/>
            </w:tcBorders>
          </w:tcPr>
          <w:p>
            <w:pPr>
              <w:rPr>
                <w:rFonts w:ascii="Arial"/>
                <w:sz w:val="21"/>
              </w:rPr>
            </w:pPr>
            <w:r/>
          </w:p>
        </w:tc>
        <w:tc>
          <w:tcPr>
            <w:tcW w:w="2774" w:type="dxa"/>
            <w:vAlign w:val="top"/>
          </w:tcPr>
          <w:p>
            <w:pPr>
              <w:ind w:left="1194"/>
              <w:spacing w:before="58" w:line="18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NH</w:t>
            </w:r>
            <w:r>
              <w:rPr>
                <w:rFonts w:ascii="Times New Roman" w:hAnsi="Times New Roman" w:eastAsia="Times New Roman" w:cs="Times New Roman"/>
                <w:sz w:val="13"/>
                <w:szCs w:val="13"/>
                <w:spacing w:val="7"/>
                <w:position w:val="-1"/>
              </w:rPr>
              <w:t>3</w:t>
            </w:r>
          </w:p>
        </w:tc>
        <w:tc>
          <w:tcPr>
            <w:tcW w:w="2496" w:type="dxa"/>
            <w:vAlign w:val="top"/>
          </w:tcPr>
          <w:p>
            <w:pPr>
              <w:ind w:left="1014"/>
              <w:spacing w:before="55"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2.922</w:t>
            </w:r>
          </w:p>
        </w:tc>
        <w:tc>
          <w:tcPr>
            <w:tcW w:w="1995" w:type="dxa"/>
            <w:vAlign w:val="top"/>
          </w:tcPr>
          <w:p>
            <w:pPr>
              <w:ind w:left="712"/>
              <w:spacing w:before="55"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0.2818</w:t>
            </w:r>
          </w:p>
        </w:tc>
      </w:tr>
      <w:tr>
        <w:trPr>
          <w:trHeight w:val="246" w:hRule="atLeast"/>
        </w:trPr>
        <w:tc>
          <w:tcPr>
            <w:tcW w:w="1251" w:type="dxa"/>
            <w:vAlign w:val="top"/>
            <w:vMerge w:val="continue"/>
            <w:tcBorders>
              <w:top w:val="nil"/>
              <w:bottom w:val="nil"/>
            </w:tcBorders>
          </w:tcPr>
          <w:p>
            <w:pPr>
              <w:rPr>
                <w:rFonts w:ascii="Arial"/>
                <w:sz w:val="21"/>
              </w:rPr>
            </w:pPr>
            <w:r/>
          </w:p>
        </w:tc>
        <w:tc>
          <w:tcPr>
            <w:tcW w:w="2774" w:type="dxa"/>
            <w:vAlign w:val="top"/>
          </w:tcPr>
          <w:p>
            <w:pPr>
              <w:ind w:left="1219"/>
              <w:spacing w:before="52"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2496" w:type="dxa"/>
            <w:vAlign w:val="top"/>
          </w:tcPr>
          <w:p>
            <w:pPr>
              <w:ind w:left="1017"/>
              <w:spacing w:before="52"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0.176</w:t>
            </w:r>
          </w:p>
        </w:tc>
        <w:tc>
          <w:tcPr>
            <w:tcW w:w="1995" w:type="dxa"/>
            <w:vAlign w:val="top"/>
          </w:tcPr>
          <w:p>
            <w:pPr>
              <w:ind w:left="712"/>
              <w:spacing w:before="52"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0.0171</w:t>
            </w:r>
          </w:p>
        </w:tc>
      </w:tr>
      <w:tr>
        <w:trPr>
          <w:trHeight w:val="277" w:hRule="atLeast"/>
        </w:trPr>
        <w:tc>
          <w:tcPr>
            <w:tcW w:w="1251" w:type="dxa"/>
            <w:vAlign w:val="top"/>
            <w:vMerge w:val="continue"/>
            <w:tcBorders>
              <w:top w:val="nil"/>
            </w:tcBorders>
          </w:tcPr>
          <w:p>
            <w:pPr>
              <w:rPr>
                <w:rFonts w:ascii="Arial"/>
                <w:sz w:val="21"/>
              </w:rPr>
            </w:pPr>
            <w:r/>
          </w:p>
        </w:tc>
        <w:tc>
          <w:tcPr>
            <w:tcW w:w="2774" w:type="dxa"/>
            <w:vAlign w:val="top"/>
          </w:tcPr>
          <w:p>
            <w:pPr>
              <w:pStyle w:val="TableText"/>
              <w:ind w:left="1184"/>
              <w:spacing w:before="31" w:line="217" w:lineRule="auto"/>
              <w:rPr/>
            </w:pPr>
            <w:r>
              <w:rPr>
                <w:spacing w:val="3"/>
              </w:rPr>
              <w:t>油烟</w:t>
            </w:r>
          </w:p>
        </w:tc>
        <w:tc>
          <w:tcPr>
            <w:tcW w:w="2496" w:type="dxa"/>
            <w:vAlign w:val="top"/>
          </w:tcPr>
          <w:p>
            <w:pPr>
              <w:ind w:left="101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0.027</w:t>
            </w:r>
          </w:p>
        </w:tc>
        <w:tc>
          <w:tcPr>
            <w:tcW w:w="1995" w:type="dxa"/>
            <w:vAlign w:val="top"/>
          </w:tcPr>
          <w:p>
            <w:pPr>
              <w:ind w:left="71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0.0068</w:t>
            </w:r>
          </w:p>
        </w:tc>
      </w:tr>
      <w:tr>
        <w:trPr>
          <w:trHeight w:val="277" w:hRule="atLeast"/>
        </w:trPr>
        <w:tc>
          <w:tcPr>
            <w:tcW w:w="1251" w:type="dxa"/>
            <w:vAlign w:val="top"/>
            <w:vMerge w:val="restart"/>
            <w:tcBorders>
              <w:bottom w:val="nil"/>
            </w:tcBorders>
          </w:tcPr>
          <w:p>
            <w:pPr>
              <w:pStyle w:val="TableText"/>
              <w:ind w:left="419"/>
              <w:spacing w:before="285" w:line="228" w:lineRule="auto"/>
              <w:rPr/>
            </w:pPr>
            <w:r>
              <w:rPr>
                <w:spacing w:val="5"/>
              </w:rPr>
              <w:t>废水</w:t>
            </w:r>
          </w:p>
        </w:tc>
        <w:tc>
          <w:tcPr>
            <w:tcW w:w="2774" w:type="dxa"/>
            <w:vAlign w:val="top"/>
          </w:tcPr>
          <w:p>
            <w:pPr>
              <w:pStyle w:val="TableText"/>
              <w:ind w:left="858"/>
              <w:spacing w:before="32" w:line="216" w:lineRule="auto"/>
              <w:rPr>
                <w:rFonts w:ascii="Times New Roman" w:hAnsi="Times New Roman" w:eastAsia="Times New Roman" w:cs="Times New Roman"/>
              </w:rPr>
            </w:pPr>
            <w:r>
              <w:rPr>
                <w:spacing w:val="5"/>
              </w:rPr>
              <w:t>废水量</w:t>
            </w:r>
            <w:r>
              <w:rPr>
                <w:spacing w:val="-46"/>
              </w:rPr>
              <w:t xml:space="preserve"> </w:t>
            </w:r>
            <w:r>
              <w:rPr>
                <w:rFonts w:ascii="Times New Roman" w:hAnsi="Times New Roman" w:eastAsia="Times New Roman" w:cs="Times New Roman"/>
                <w:spacing w:val="5"/>
              </w:rPr>
              <w:t>m</w:t>
            </w:r>
            <w:r>
              <w:rPr>
                <w:rFonts w:ascii="Times New Roman" w:hAnsi="Times New Roman" w:eastAsia="Times New Roman" w:cs="Times New Roman"/>
                <w:sz w:val="13"/>
                <w:szCs w:val="13"/>
                <w:spacing w:val="5"/>
                <w:position w:val="6"/>
              </w:rPr>
              <w:t>3</w:t>
            </w:r>
            <w:r>
              <w:rPr>
                <w:rFonts w:ascii="Times New Roman" w:hAnsi="Times New Roman" w:eastAsia="Times New Roman" w:cs="Times New Roman"/>
                <w:spacing w:val="5"/>
              </w:rPr>
              <w:t>/a</w:t>
            </w:r>
          </w:p>
        </w:tc>
        <w:tc>
          <w:tcPr>
            <w:tcW w:w="2496" w:type="dxa"/>
            <w:vAlign w:val="top"/>
          </w:tcPr>
          <w:p>
            <w:pPr>
              <w:ind w:left="104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2880</w:t>
            </w:r>
          </w:p>
        </w:tc>
        <w:tc>
          <w:tcPr>
            <w:tcW w:w="1995" w:type="dxa"/>
            <w:vAlign w:val="top"/>
          </w:tcPr>
          <w:p>
            <w:pPr>
              <w:ind w:left="78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2880</w:t>
            </w:r>
          </w:p>
        </w:tc>
      </w:tr>
      <w:tr>
        <w:trPr>
          <w:trHeight w:val="247" w:hRule="atLeast"/>
        </w:trPr>
        <w:tc>
          <w:tcPr>
            <w:tcW w:w="1251" w:type="dxa"/>
            <w:vAlign w:val="top"/>
            <w:vMerge w:val="continue"/>
            <w:tcBorders>
              <w:top w:val="nil"/>
              <w:bottom w:val="nil"/>
            </w:tcBorders>
          </w:tcPr>
          <w:p>
            <w:pPr>
              <w:rPr>
                <w:rFonts w:ascii="Arial"/>
                <w:sz w:val="21"/>
              </w:rPr>
            </w:pPr>
            <w:r/>
          </w:p>
        </w:tc>
        <w:tc>
          <w:tcPr>
            <w:tcW w:w="2774" w:type="dxa"/>
            <w:vAlign w:val="top"/>
          </w:tcPr>
          <w:p>
            <w:pPr>
              <w:ind w:left="1115"/>
              <w:spacing w:before="55" w:line="18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COD</w:t>
            </w:r>
            <w:r>
              <w:rPr>
                <w:rFonts w:ascii="Times New Roman" w:hAnsi="Times New Roman" w:eastAsia="Times New Roman" w:cs="Times New Roman"/>
                <w:sz w:val="13"/>
                <w:szCs w:val="13"/>
                <w:spacing w:val="3"/>
                <w:position w:val="-1"/>
              </w:rPr>
              <w:t>cr</w:t>
            </w:r>
          </w:p>
        </w:tc>
        <w:tc>
          <w:tcPr>
            <w:tcW w:w="2496" w:type="dxa"/>
            <w:vAlign w:val="top"/>
          </w:tcPr>
          <w:p>
            <w:pPr>
              <w:ind w:left="1034"/>
              <w:spacing w:before="56"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1.152</w:t>
            </w:r>
          </w:p>
        </w:tc>
        <w:tc>
          <w:tcPr>
            <w:tcW w:w="1995" w:type="dxa"/>
            <w:vAlign w:val="top"/>
          </w:tcPr>
          <w:p>
            <w:pPr>
              <w:ind w:left="782"/>
              <w:spacing w:before="56"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1.152</w:t>
            </w:r>
          </w:p>
        </w:tc>
      </w:tr>
      <w:tr>
        <w:trPr>
          <w:trHeight w:val="246" w:hRule="atLeast"/>
        </w:trPr>
        <w:tc>
          <w:tcPr>
            <w:tcW w:w="1251" w:type="dxa"/>
            <w:vAlign w:val="top"/>
            <w:vMerge w:val="continue"/>
            <w:tcBorders>
              <w:top w:val="nil"/>
            </w:tcBorders>
          </w:tcPr>
          <w:p>
            <w:pPr>
              <w:rPr>
                <w:rFonts w:ascii="Arial"/>
                <w:sz w:val="21"/>
              </w:rPr>
            </w:pPr>
            <w:r/>
          </w:p>
        </w:tc>
        <w:tc>
          <w:tcPr>
            <w:tcW w:w="2774" w:type="dxa"/>
            <w:vAlign w:val="top"/>
          </w:tcPr>
          <w:p>
            <w:pPr>
              <w:ind w:left="1083"/>
              <w:spacing w:before="56" w:line="18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NH</w:t>
            </w:r>
            <w:r>
              <w:rPr>
                <w:rFonts w:ascii="Times New Roman" w:hAnsi="Times New Roman" w:eastAsia="Times New Roman" w:cs="Times New Roman"/>
                <w:sz w:val="13"/>
                <w:szCs w:val="13"/>
                <w:spacing w:val="9"/>
              </w:rPr>
              <w:t>3</w:t>
            </w:r>
            <w:r>
              <w:rPr>
                <w:rFonts w:ascii="Times New Roman" w:hAnsi="Times New Roman" w:eastAsia="Times New Roman" w:cs="Times New Roman"/>
                <w:sz w:val="20"/>
                <w:szCs w:val="20"/>
                <w:spacing w:val="9"/>
              </w:rPr>
              <w:t>-N</w:t>
            </w:r>
          </w:p>
        </w:tc>
        <w:tc>
          <w:tcPr>
            <w:tcW w:w="2496" w:type="dxa"/>
            <w:vAlign w:val="top"/>
          </w:tcPr>
          <w:p>
            <w:pPr>
              <w:ind w:left="1070"/>
              <w:spacing w:before="53"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0.10</w:t>
            </w:r>
          </w:p>
        </w:tc>
        <w:tc>
          <w:tcPr>
            <w:tcW w:w="1995" w:type="dxa"/>
            <w:vAlign w:val="top"/>
          </w:tcPr>
          <w:p>
            <w:pPr>
              <w:ind w:left="818"/>
              <w:spacing w:before="53"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0.10</w:t>
            </w:r>
          </w:p>
        </w:tc>
      </w:tr>
      <w:tr>
        <w:trPr>
          <w:trHeight w:val="276" w:hRule="atLeast"/>
        </w:trPr>
        <w:tc>
          <w:tcPr>
            <w:tcW w:w="1251" w:type="dxa"/>
            <w:vAlign w:val="top"/>
            <w:vMerge w:val="restart"/>
            <w:tcBorders>
              <w:bottom w:val="nil"/>
            </w:tcBorders>
          </w:tcPr>
          <w:p>
            <w:pPr>
              <w:spacing w:line="250" w:lineRule="auto"/>
              <w:rPr>
                <w:rFonts w:ascii="Arial"/>
                <w:sz w:val="21"/>
              </w:rPr>
            </w:pPr>
            <w:r/>
          </w:p>
          <w:p>
            <w:pPr>
              <w:pStyle w:val="TableText"/>
              <w:ind w:left="438"/>
              <w:spacing w:before="65" w:line="228" w:lineRule="auto"/>
              <w:rPr/>
            </w:pPr>
            <w:r>
              <w:rPr>
                <w:spacing w:val="-5"/>
              </w:rPr>
              <w:t>固废</w:t>
            </w:r>
          </w:p>
        </w:tc>
        <w:tc>
          <w:tcPr>
            <w:tcW w:w="2774" w:type="dxa"/>
            <w:vAlign w:val="top"/>
          </w:tcPr>
          <w:p>
            <w:pPr>
              <w:pStyle w:val="TableText"/>
              <w:ind w:left="975"/>
              <w:spacing w:before="33" w:line="215" w:lineRule="auto"/>
              <w:rPr/>
            </w:pPr>
            <w:r>
              <w:rPr>
                <w:spacing w:val="6"/>
              </w:rPr>
              <w:t>一般固废</w:t>
            </w:r>
          </w:p>
        </w:tc>
        <w:tc>
          <w:tcPr>
            <w:tcW w:w="2496" w:type="dxa"/>
            <w:vAlign w:val="top"/>
          </w:tcPr>
          <w:p>
            <w:pPr>
              <w:ind w:left="82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10585.838</w:t>
            </w:r>
          </w:p>
        </w:tc>
        <w:tc>
          <w:tcPr>
            <w:tcW w:w="1995" w:type="dxa"/>
            <w:vAlign w:val="top"/>
          </w:tcPr>
          <w:p>
            <w:pPr>
              <w:ind w:left="95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r>
      <w:tr>
        <w:trPr>
          <w:trHeight w:val="277" w:hRule="atLeast"/>
        </w:trPr>
        <w:tc>
          <w:tcPr>
            <w:tcW w:w="1251" w:type="dxa"/>
            <w:vAlign w:val="top"/>
            <w:vMerge w:val="continue"/>
            <w:tcBorders>
              <w:top w:val="nil"/>
              <w:bottom w:val="nil"/>
            </w:tcBorders>
          </w:tcPr>
          <w:p>
            <w:pPr>
              <w:rPr>
                <w:rFonts w:ascii="Arial"/>
                <w:sz w:val="21"/>
              </w:rPr>
            </w:pPr>
            <w:r/>
          </w:p>
        </w:tc>
        <w:tc>
          <w:tcPr>
            <w:tcW w:w="2774" w:type="dxa"/>
            <w:vAlign w:val="top"/>
          </w:tcPr>
          <w:p>
            <w:pPr>
              <w:pStyle w:val="TableText"/>
              <w:ind w:left="974"/>
              <w:spacing w:before="35" w:line="214" w:lineRule="auto"/>
              <w:rPr/>
            </w:pPr>
            <w:r>
              <w:rPr>
                <w:spacing w:val="6"/>
              </w:rPr>
              <w:t>危险固废</w:t>
            </w:r>
          </w:p>
        </w:tc>
        <w:tc>
          <w:tcPr>
            <w:tcW w:w="2496" w:type="dxa"/>
            <w:vAlign w:val="top"/>
          </w:tcPr>
          <w:p>
            <w:pPr>
              <w:ind w:left="103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16.59</w:t>
            </w:r>
          </w:p>
        </w:tc>
        <w:tc>
          <w:tcPr>
            <w:tcW w:w="1995" w:type="dxa"/>
            <w:vAlign w:val="top"/>
          </w:tcPr>
          <w:p>
            <w:pPr>
              <w:ind w:left="95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r>
      <w:tr>
        <w:trPr>
          <w:trHeight w:val="281" w:hRule="atLeast"/>
        </w:trPr>
        <w:tc>
          <w:tcPr>
            <w:tcW w:w="1251" w:type="dxa"/>
            <w:vAlign w:val="top"/>
            <w:vMerge w:val="continue"/>
            <w:tcBorders>
              <w:top w:val="nil"/>
            </w:tcBorders>
          </w:tcPr>
          <w:p>
            <w:pPr>
              <w:rPr>
                <w:rFonts w:ascii="Arial"/>
                <w:sz w:val="21"/>
              </w:rPr>
            </w:pPr>
            <w:r/>
          </w:p>
        </w:tc>
        <w:tc>
          <w:tcPr>
            <w:tcW w:w="2774" w:type="dxa"/>
            <w:vAlign w:val="top"/>
          </w:tcPr>
          <w:p>
            <w:pPr>
              <w:pStyle w:val="TableText"/>
              <w:ind w:left="973"/>
              <w:spacing w:before="33" w:line="219" w:lineRule="auto"/>
              <w:rPr/>
            </w:pPr>
            <w:r>
              <w:rPr>
                <w:spacing w:val="6"/>
              </w:rPr>
              <w:t>生活垃圾</w:t>
            </w:r>
          </w:p>
        </w:tc>
        <w:tc>
          <w:tcPr>
            <w:tcW w:w="2496" w:type="dxa"/>
            <w:vAlign w:val="top"/>
          </w:tcPr>
          <w:p>
            <w:pPr>
              <w:ind w:left="116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1995" w:type="dxa"/>
            <w:vAlign w:val="top"/>
          </w:tcPr>
          <w:p>
            <w:pPr>
              <w:ind w:left="91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r>
    </w:tbl>
    <w:p>
      <w:pPr>
        <w:ind w:left="21"/>
        <w:spacing w:before="202" w:line="223" w:lineRule="auto"/>
        <w:outlineLvl w:val="1"/>
        <w:rPr>
          <w:rFonts w:ascii="SimHei" w:hAnsi="SimHei" w:eastAsia="SimHei" w:cs="SimHei"/>
          <w:sz w:val="30"/>
          <w:szCs w:val="30"/>
        </w:rPr>
      </w:pPr>
      <w:bookmarkStart w:name="bookmark70" w:id="87"/>
      <w:bookmarkEnd w:id="87"/>
      <w:r>
        <w:rPr>
          <w:rFonts w:ascii="Times New Roman" w:hAnsi="Times New Roman" w:eastAsia="Times New Roman" w:cs="Times New Roman"/>
          <w:sz w:val="30"/>
          <w:szCs w:val="30"/>
          <w:spacing w:val="-4"/>
        </w:rPr>
        <w:t>3.6</w:t>
      </w:r>
      <w:r>
        <w:rPr>
          <w:rFonts w:ascii="Times New Roman" w:hAnsi="Times New Roman" w:eastAsia="Times New Roman" w:cs="Times New Roman"/>
          <w:sz w:val="30"/>
          <w:szCs w:val="30"/>
          <w:spacing w:val="21"/>
        </w:rPr>
        <w:t xml:space="preserve"> </w:t>
      </w:r>
      <w:r>
        <w:rPr>
          <w:rFonts w:ascii="SimHei" w:hAnsi="SimHei" w:eastAsia="SimHei" w:cs="SimHei"/>
          <w:sz w:val="30"/>
          <w:szCs w:val="30"/>
          <w:spacing w:val="-4"/>
        </w:rPr>
        <w:t>总量控制指标</w:t>
      </w:r>
    </w:p>
    <w:p>
      <w:pPr>
        <w:pStyle w:val="BodyText"/>
        <w:spacing w:line="443" w:lineRule="auto"/>
        <w:rPr/>
      </w:pPr>
      <w:r/>
    </w:p>
    <w:p>
      <w:pPr>
        <w:ind w:left="17" w:right="6" w:firstLine="480"/>
        <w:spacing w:before="78" w:line="379" w:lineRule="auto"/>
        <w:rPr>
          <w:rFonts w:ascii="SimSun" w:hAnsi="SimSun" w:eastAsia="SimSun" w:cs="SimSun"/>
          <w:sz w:val="24"/>
          <w:szCs w:val="24"/>
        </w:rPr>
      </w:pPr>
      <w:r>
        <w:rPr>
          <w:rFonts w:ascii="SimSun" w:hAnsi="SimSun" w:eastAsia="SimSun" w:cs="SimSun"/>
          <w:sz w:val="24"/>
          <w:szCs w:val="24"/>
          <w:spacing w:val="-3"/>
        </w:rPr>
        <w:t>根据《国务院关于印发</w:t>
      </w:r>
      <w:r>
        <w:rPr>
          <w:rFonts w:ascii="Times New Roman" w:hAnsi="Times New Roman" w:eastAsia="Times New Roman" w:cs="Times New Roman"/>
          <w:sz w:val="24"/>
          <w:szCs w:val="24"/>
          <w:spacing w:val="-3"/>
        </w:rPr>
        <w:t>“</w:t>
      </w:r>
      <w:r>
        <w:rPr>
          <w:rFonts w:ascii="SimSun" w:hAnsi="SimSun" w:eastAsia="SimSun" w:cs="SimSun"/>
          <w:sz w:val="24"/>
          <w:szCs w:val="24"/>
          <w:spacing w:val="-3"/>
        </w:rPr>
        <w:t>十四五</w:t>
      </w:r>
      <w:r>
        <w:rPr>
          <w:rFonts w:ascii="Times New Roman" w:hAnsi="Times New Roman" w:eastAsia="Times New Roman" w:cs="Times New Roman"/>
          <w:sz w:val="24"/>
          <w:szCs w:val="24"/>
          <w:spacing w:val="-3"/>
        </w:rPr>
        <w:t>”</w:t>
      </w:r>
      <w:r>
        <w:rPr>
          <w:rFonts w:ascii="SimSun" w:hAnsi="SimSun" w:eastAsia="SimSun" w:cs="SimSun"/>
          <w:sz w:val="24"/>
          <w:szCs w:val="24"/>
          <w:spacing w:val="-3"/>
        </w:rPr>
        <w:t>节能减排综合工作方案的通知》</w:t>
      </w:r>
      <w:r>
        <w:rPr>
          <w:rFonts w:ascii="Times New Roman" w:hAnsi="Times New Roman" w:eastAsia="Times New Roman" w:cs="Times New Roman"/>
          <w:sz w:val="24"/>
          <w:szCs w:val="24"/>
          <w:spacing w:val="-3"/>
        </w:rPr>
        <w:t>(</w:t>
      </w:r>
      <w:r>
        <w:rPr>
          <w:rFonts w:ascii="SimSun" w:hAnsi="SimSun" w:eastAsia="SimSun" w:cs="SimSun"/>
          <w:sz w:val="24"/>
          <w:szCs w:val="24"/>
          <w:spacing w:val="-3"/>
        </w:rPr>
        <w:t>国发</w:t>
      </w:r>
      <w:r>
        <w:rPr>
          <w:rFonts w:ascii="Times New Roman" w:hAnsi="Times New Roman" w:eastAsia="Times New Roman" w:cs="Times New Roman"/>
          <w:sz w:val="24"/>
          <w:szCs w:val="24"/>
          <w:spacing w:val="-3"/>
        </w:rPr>
        <w:t>[2021]33</w:t>
      </w:r>
      <w:r>
        <w:rPr>
          <w:rFonts w:ascii="Times New Roman" w:hAnsi="Times New Roman" w:eastAsia="Times New Roman" w:cs="Times New Roman"/>
          <w:sz w:val="24"/>
          <w:szCs w:val="24"/>
          <w:spacing w:val="2"/>
        </w:rPr>
        <w:t xml:space="preserve"> </w:t>
      </w:r>
      <w:r>
        <w:rPr>
          <w:rFonts w:ascii="SimSun" w:hAnsi="SimSun" w:eastAsia="SimSun" w:cs="SimSun"/>
          <w:sz w:val="24"/>
          <w:szCs w:val="24"/>
        </w:rPr>
        <w:t>号</w:t>
      </w:r>
      <w:r>
        <w:rPr>
          <w:rFonts w:ascii="Times New Roman" w:hAnsi="Times New Roman" w:eastAsia="Times New Roman" w:cs="Times New Roman"/>
          <w:sz w:val="24"/>
          <w:szCs w:val="24"/>
        </w:rPr>
        <w:t>)</w:t>
      </w:r>
      <w:r>
        <w:rPr>
          <w:rFonts w:ascii="SimSun" w:hAnsi="SimSun" w:eastAsia="SimSun" w:cs="SimSun"/>
          <w:sz w:val="24"/>
          <w:szCs w:val="24"/>
        </w:rPr>
        <w:t>中的规定，实施污染物排放总量控制的指标有化学需氧量、氨氮、氮氧化物、</w:t>
      </w:r>
      <w:r>
        <w:rPr>
          <w:rFonts w:ascii="SimSun" w:hAnsi="SimSun" w:eastAsia="SimSun" w:cs="SimSun"/>
          <w:sz w:val="24"/>
          <w:szCs w:val="24"/>
          <w:spacing w:val="16"/>
        </w:rPr>
        <w:t xml:space="preserve"> </w:t>
      </w:r>
      <w:r>
        <w:rPr>
          <w:rFonts w:ascii="SimSun" w:hAnsi="SimSun" w:eastAsia="SimSun" w:cs="SimSun"/>
          <w:sz w:val="24"/>
          <w:szCs w:val="24"/>
          <w:spacing w:val="-1"/>
        </w:rPr>
        <w:t>挥发性有机物四项污染物。</w:t>
      </w:r>
    </w:p>
    <w:p>
      <w:pPr>
        <w:ind w:left="16" w:right="6" w:firstLine="482"/>
        <w:spacing w:before="21" w:line="385" w:lineRule="auto"/>
        <w:jc w:val="both"/>
        <w:rPr>
          <w:rFonts w:ascii="SimSun" w:hAnsi="SimSun" w:eastAsia="SimSun" w:cs="SimSun"/>
          <w:sz w:val="24"/>
          <w:szCs w:val="24"/>
        </w:rPr>
      </w:pPr>
      <w:r>
        <w:rPr>
          <w:rFonts w:ascii="SimSun" w:hAnsi="SimSun" w:eastAsia="SimSun" w:cs="SimSun"/>
          <w:sz w:val="24"/>
          <w:szCs w:val="24"/>
          <w:spacing w:val="3"/>
        </w:rPr>
        <w:t>本项目建成后，生产废水全部进入厌氧发酵装置，厌氧发酵达到</w:t>
      </w:r>
      <w:r>
        <w:rPr>
          <w:rFonts w:ascii="SimSun" w:hAnsi="SimSun" w:eastAsia="SimSun" w:cs="SimSun"/>
          <w:sz w:val="24"/>
          <w:szCs w:val="24"/>
          <w:spacing w:val="2"/>
        </w:rPr>
        <w:t>沼肥标准后</w:t>
      </w:r>
      <w:r>
        <w:rPr>
          <w:rFonts w:ascii="SimSun" w:hAnsi="SimSun" w:eastAsia="SimSun" w:cs="SimSun"/>
          <w:sz w:val="24"/>
          <w:szCs w:val="24"/>
        </w:rPr>
        <w:t xml:space="preserve"> </w:t>
      </w:r>
      <w:r>
        <w:rPr>
          <w:rFonts w:ascii="SimSun" w:hAnsi="SimSun" w:eastAsia="SimSun" w:cs="SimSun"/>
          <w:sz w:val="24"/>
          <w:szCs w:val="24"/>
          <w:spacing w:val="3"/>
        </w:rPr>
        <w:t>还田利用。生活污水中的食堂废水和洗浴废水通过独立</w:t>
      </w:r>
      <w:r>
        <w:rPr>
          <w:rFonts w:ascii="SimSun" w:hAnsi="SimSun" w:eastAsia="SimSun" w:cs="SimSun"/>
          <w:sz w:val="24"/>
          <w:szCs w:val="24"/>
          <w:spacing w:val="2"/>
        </w:rPr>
        <w:t>管道外排污水管网，最终</w:t>
      </w:r>
      <w:r>
        <w:rPr>
          <w:rFonts w:ascii="SimSun" w:hAnsi="SimSun" w:eastAsia="SimSun" w:cs="SimSun"/>
          <w:sz w:val="24"/>
          <w:szCs w:val="24"/>
        </w:rPr>
        <w:t xml:space="preserve"> </w:t>
      </w:r>
      <w:r>
        <w:rPr>
          <w:rFonts w:ascii="SimSun" w:hAnsi="SimSun" w:eastAsia="SimSun" w:cs="SimSun"/>
          <w:sz w:val="24"/>
          <w:szCs w:val="24"/>
        </w:rPr>
        <w:t>进入明安图镇污水处理厂，</w:t>
      </w:r>
      <w:r>
        <w:rPr>
          <w:rFonts w:ascii="Times New Roman" w:hAnsi="Times New Roman" w:eastAsia="Times New Roman" w:cs="Times New Roman"/>
          <w:sz w:val="24"/>
          <w:szCs w:val="24"/>
        </w:rPr>
        <w:t>COD</w:t>
      </w:r>
      <w:r>
        <w:rPr>
          <w:rFonts w:ascii="Times New Roman" w:hAnsi="Times New Roman" w:eastAsia="Times New Roman" w:cs="Times New Roman"/>
          <w:sz w:val="15"/>
          <w:szCs w:val="15"/>
          <w:position w:val="-1"/>
        </w:rPr>
        <w:t>Cr</w:t>
      </w:r>
      <w:r>
        <w:rPr>
          <w:rFonts w:ascii="Times New Roman" w:hAnsi="Times New Roman" w:eastAsia="Times New Roman" w:cs="Times New Roman"/>
          <w:sz w:val="15"/>
          <w:szCs w:val="15"/>
          <w:spacing w:val="-7"/>
          <w:position w:val="-1"/>
        </w:rPr>
        <w:t xml:space="preserve"> </w:t>
      </w:r>
      <w:r>
        <w:rPr>
          <w:rFonts w:ascii="SimSun" w:hAnsi="SimSun" w:eastAsia="SimSun" w:cs="SimSun"/>
          <w:sz w:val="24"/>
          <w:szCs w:val="24"/>
        </w:rPr>
        <w:t>、氨氮排放量分别为</w:t>
      </w:r>
      <w:r>
        <w:rPr>
          <w:rFonts w:ascii="SimSun" w:hAnsi="SimSun" w:eastAsia="SimSun" w:cs="SimSun"/>
          <w:sz w:val="24"/>
          <w:szCs w:val="24"/>
          <w:spacing w:val="-49"/>
        </w:rPr>
        <w:t xml:space="preserve"> </w:t>
      </w:r>
      <w:r>
        <w:rPr>
          <w:rFonts w:ascii="Times New Roman" w:hAnsi="Times New Roman" w:eastAsia="Times New Roman" w:cs="Times New Roman"/>
          <w:sz w:val="24"/>
          <w:szCs w:val="24"/>
        </w:rPr>
        <w:t>0.84t/a</w:t>
      </w:r>
      <w:r>
        <w:rPr>
          <w:rFonts w:ascii="Times New Roman" w:hAnsi="Times New Roman" w:eastAsia="Times New Roman" w:cs="Times New Roman"/>
          <w:sz w:val="24"/>
          <w:szCs w:val="24"/>
          <w:spacing w:val="-29"/>
        </w:rPr>
        <w:t xml:space="preserve"> </w:t>
      </w:r>
      <w:r>
        <w:rPr>
          <w:rFonts w:ascii="SimSun" w:hAnsi="SimSun" w:eastAsia="SimSun" w:cs="SimSun"/>
          <w:sz w:val="24"/>
          <w:szCs w:val="24"/>
        </w:rPr>
        <w:t>、</w:t>
      </w:r>
      <w:r>
        <w:rPr>
          <w:rFonts w:ascii="Times New Roman" w:hAnsi="Times New Roman" w:eastAsia="Times New Roman" w:cs="Times New Roman"/>
          <w:sz w:val="24"/>
          <w:szCs w:val="24"/>
        </w:rPr>
        <w:t>0.072t/</w:t>
      </w:r>
      <w:r>
        <w:rPr>
          <w:rFonts w:ascii="Times New Roman" w:hAnsi="Times New Roman" w:eastAsia="Times New Roman" w:cs="Times New Roman"/>
          <w:sz w:val="24"/>
          <w:szCs w:val="24"/>
          <w:spacing w:val="-1"/>
        </w:rPr>
        <w:t>a</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1"/>
        </w:rPr>
        <w:t>，总量已</w:t>
      </w:r>
      <w:r>
        <w:rPr>
          <w:rFonts w:ascii="SimSun" w:hAnsi="SimSun" w:eastAsia="SimSun" w:cs="SimSun"/>
          <w:sz w:val="24"/>
          <w:szCs w:val="24"/>
        </w:rPr>
        <w:t xml:space="preserve"> </w:t>
      </w:r>
      <w:r>
        <w:rPr>
          <w:rFonts w:ascii="SimSun" w:hAnsi="SimSun" w:eastAsia="SimSun" w:cs="SimSun"/>
          <w:sz w:val="24"/>
          <w:szCs w:val="24"/>
          <w:spacing w:val="-1"/>
        </w:rPr>
        <w:t>包含在污水处理厂总量指标中，不需要进行申请。</w:t>
      </w:r>
    </w:p>
    <w:p>
      <w:pPr>
        <w:ind w:left="502"/>
        <w:spacing w:before="1" w:line="218" w:lineRule="auto"/>
        <w:rPr>
          <w:rFonts w:ascii="SimSun" w:hAnsi="SimSun" w:eastAsia="SimSun" w:cs="SimSun"/>
          <w:sz w:val="24"/>
          <w:szCs w:val="24"/>
        </w:rPr>
      </w:pPr>
      <w:r>
        <w:rPr>
          <w:rFonts w:ascii="SimSun" w:hAnsi="SimSun" w:eastAsia="SimSun" w:cs="SimSun"/>
          <w:sz w:val="24"/>
          <w:szCs w:val="24"/>
          <w:spacing w:val="-1"/>
        </w:rPr>
        <w:t>本项目大气污染物排放总量指标为氮氧化物</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5.038t/a</w:t>
      </w:r>
      <w:r>
        <w:rPr>
          <w:rFonts w:ascii="SimSun" w:hAnsi="SimSun" w:eastAsia="SimSun" w:cs="SimSun"/>
          <w:sz w:val="24"/>
          <w:szCs w:val="24"/>
          <w:spacing w:val="-1"/>
        </w:rPr>
        <w:t>。</w:t>
      </w:r>
    </w:p>
    <w:p>
      <w:pPr>
        <w:pStyle w:val="BodyText"/>
        <w:rPr/>
      </w:pPr>
      <w:r/>
    </w:p>
    <w:p>
      <w:pPr>
        <w:pStyle w:val="BodyText"/>
        <w:rPr/>
      </w:pPr>
      <w:r/>
    </w:p>
    <w:p>
      <w:pPr>
        <w:pStyle w:val="BodyText"/>
        <w:rPr/>
      </w:pPr>
      <w:r/>
    </w:p>
    <w:p>
      <w:pPr>
        <w:pStyle w:val="BodyText"/>
        <w:rPr/>
      </w:pPr>
      <w:r/>
    </w:p>
    <w:p>
      <w:pPr>
        <w:pStyle w:val="BodyText"/>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ind w:right="9"/>
        <w:spacing w:before="63" w:line="227" w:lineRule="auto"/>
        <w:jc w:val="right"/>
        <w:rPr>
          <w:rFonts w:ascii="SimSun" w:hAnsi="SimSun" w:eastAsia="SimSun" w:cs="SimSun"/>
          <w:sz w:val="19"/>
          <w:szCs w:val="19"/>
        </w:rPr>
      </w:pPr>
      <w:r>
        <w:pict>
          <v:shape id="_x0000_s552" style="position:absolute;margin-left:206.323pt;margin-top:2.13453pt;mso-position-vertical-relative:text;mso-position-horizontal-relative:text;width:60.35pt;height:13.75pt;z-index:251900928;"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position w:val="2"/>
                    </w:rPr>
                    <w:t>110       </w:t>
                  </w:r>
                  <w:r>
                    <w:rPr>
                      <w:rFonts w:ascii="SimSun" w:hAnsi="SimSun" w:eastAsia="SimSun" w:cs="SimSun"/>
                      <w:sz w:val="19"/>
                      <w:szCs w:val="19"/>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93"/>
          <w:pgSz w:w="11907" w:h="16840"/>
          <w:pgMar w:top="1567" w:right="1693" w:bottom="400" w:left="1692" w:header="1221" w:footer="0" w:gutter="0"/>
        </w:sectPr>
        <w:rPr>
          <w:rFonts w:ascii="SimSun" w:hAnsi="SimSun" w:eastAsia="SimSun" w:cs="SimSun"/>
          <w:sz w:val="19"/>
          <w:szCs w:val="19"/>
        </w:rPr>
      </w:pPr>
    </w:p>
    <w:p>
      <w:pPr>
        <w:ind w:left="6"/>
        <w:spacing w:before="204" w:line="227" w:lineRule="auto"/>
        <w:outlineLvl w:val="0"/>
        <w:rPr>
          <w:rFonts w:ascii="SimHei" w:hAnsi="SimHei" w:eastAsia="SimHei" w:cs="SimHei"/>
          <w:sz w:val="35"/>
          <w:szCs w:val="35"/>
        </w:rPr>
      </w:pPr>
      <w:r>
        <w:pict>
          <v:shape id="_x0000_s554" style="position:absolute;margin-left:85.05pt;margin-top:79.11pt;mso-position-vertical-relative:page;mso-position-horizontal-relative:page;width:425.25pt;height:0.75pt;z-index:251905024;" o:allowincell="f" fillcolor="#000000" filled="true" stroked="false" coordsize="8505,15" coordorigin="0,0" path="m,l8505,0l8505,14l0,14l0,0xe"/>
        </w:pict>
      </w:r>
      <w:bookmarkStart w:name="bookmark71" w:id="88"/>
      <w:bookmarkEnd w:id="88"/>
      <w:bookmarkStart w:name="bookmark72" w:id="89"/>
      <w:bookmarkEnd w:id="89"/>
      <w:bookmarkStart w:name="bookmark73" w:id="90"/>
      <w:bookmarkEnd w:id="90"/>
      <w:r>
        <w:rPr>
          <w:rFonts w:ascii="Times New Roman" w:hAnsi="Times New Roman" w:eastAsia="Times New Roman" w:cs="Times New Roman"/>
          <w:sz w:val="35"/>
          <w:szCs w:val="35"/>
          <w:spacing w:val="8"/>
        </w:rPr>
        <w:t>4 </w:t>
      </w:r>
      <w:r>
        <w:rPr>
          <w:rFonts w:ascii="SimHei" w:hAnsi="SimHei" w:eastAsia="SimHei" w:cs="SimHei"/>
          <w:sz w:val="35"/>
          <w:szCs w:val="35"/>
          <w:spacing w:val="8"/>
        </w:rPr>
        <w:t>环境现状调查与评价</w:t>
      </w:r>
    </w:p>
    <w:p>
      <w:pPr>
        <w:ind w:left="5"/>
        <w:spacing w:before="261" w:line="222" w:lineRule="auto"/>
        <w:outlineLvl w:val="1"/>
        <w:rPr>
          <w:rFonts w:ascii="SimHei" w:hAnsi="SimHei" w:eastAsia="SimHei" w:cs="SimHei"/>
          <w:sz w:val="30"/>
          <w:szCs w:val="30"/>
        </w:rPr>
      </w:pPr>
      <w:bookmarkStart w:name="bookmark231" w:id="91"/>
      <w:bookmarkEnd w:id="91"/>
      <w:r>
        <w:rPr>
          <w:rFonts w:ascii="Times New Roman" w:hAnsi="Times New Roman" w:eastAsia="Times New Roman" w:cs="Times New Roman"/>
          <w:sz w:val="30"/>
          <w:szCs w:val="30"/>
          <w:spacing w:val="-4"/>
        </w:rPr>
        <w:t>4.1</w:t>
      </w:r>
      <w:r>
        <w:rPr>
          <w:rFonts w:ascii="Times New Roman" w:hAnsi="Times New Roman" w:eastAsia="Times New Roman" w:cs="Times New Roman"/>
          <w:sz w:val="30"/>
          <w:szCs w:val="30"/>
          <w:spacing w:val="49"/>
          <w:w w:val="101"/>
        </w:rPr>
        <w:t xml:space="preserve"> </w:t>
      </w:r>
      <w:r>
        <w:rPr>
          <w:rFonts w:ascii="SimHei" w:hAnsi="SimHei" w:eastAsia="SimHei" w:cs="SimHei"/>
          <w:sz w:val="30"/>
          <w:szCs w:val="30"/>
          <w:spacing w:val="-4"/>
        </w:rPr>
        <w:t>自然环境现状调查与评价</w:t>
      </w:r>
    </w:p>
    <w:p>
      <w:pPr>
        <w:pStyle w:val="BodyText"/>
        <w:spacing w:line="245" w:lineRule="auto"/>
        <w:rPr/>
      </w:pPr>
      <w:r/>
    </w:p>
    <w:p>
      <w:pPr>
        <w:ind w:left="5"/>
        <w:spacing w:before="91" w:line="223" w:lineRule="auto"/>
        <w:outlineLvl w:val="2"/>
        <w:rPr>
          <w:rFonts w:ascii="SimHei" w:hAnsi="SimHei" w:eastAsia="SimHei" w:cs="SimHei"/>
          <w:sz w:val="28"/>
          <w:szCs w:val="28"/>
        </w:rPr>
      </w:pPr>
      <w:bookmarkStart w:name="bookmark232" w:id="92"/>
      <w:bookmarkEnd w:id="92"/>
      <w:r>
        <w:rPr>
          <w:rFonts w:ascii="Times New Roman" w:hAnsi="Times New Roman" w:eastAsia="Times New Roman" w:cs="Times New Roman"/>
          <w:sz w:val="28"/>
          <w:szCs w:val="28"/>
          <w:spacing w:val="-1"/>
        </w:rPr>
        <w:t>4.1.1 </w:t>
      </w:r>
      <w:r>
        <w:rPr>
          <w:rFonts w:ascii="SimHei" w:hAnsi="SimHei" w:eastAsia="SimHei" w:cs="SimHei"/>
          <w:sz w:val="28"/>
          <w:szCs w:val="28"/>
          <w:spacing w:val="-1"/>
        </w:rPr>
        <w:t>地理位置</w:t>
      </w:r>
    </w:p>
    <w:p>
      <w:pPr>
        <w:pStyle w:val="BodyText"/>
        <w:spacing w:line="243" w:lineRule="auto"/>
        <w:rPr/>
      </w:pPr>
      <w:r/>
    </w:p>
    <w:p>
      <w:pPr>
        <w:ind w:left="8" w:firstLine="485"/>
        <w:spacing w:before="78" w:line="359" w:lineRule="auto"/>
        <w:jc w:val="both"/>
        <w:rPr>
          <w:rFonts w:ascii="SimSun" w:hAnsi="SimSun" w:eastAsia="SimSun" w:cs="SimSun"/>
          <w:sz w:val="24"/>
          <w:szCs w:val="24"/>
        </w:rPr>
      </w:pPr>
      <w:r>
        <w:rPr>
          <w:rFonts w:ascii="SimSun" w:hAnsi="SimSun" w:eastAsia="SimSun" w:cs="SimSun"/>
          <w:sz w:val="24"/>
          <w:szCs w:val="24"/>
          <w:spacing w:val="3"/>
        </w:rPr>
        <w:t>正镶白旗位于内蒙古锡林郭勒草原的西南部，浑善达克</w:t>
      </w:r>
      <w:r>
        <w:rPr>
          <w:rFonts w:ascii="SimSun" w:hAnsi="SimSun" w:eastAsia="SimSun" w:cs="SimSun"/>
          <w:sz w:val="24"/>
          <w:szCs w:val="24"/>
          <w:spacing w:val="2"/>
        </w:rPr>
        <w:t>沙地南缘的典型草原</w:t>
      </w:r>
      <w:r>
        <w:rPr>
          <w:rFonts w:ascii="SimSun" w:hAnsi="SimSun" w:eastAsia="SimSun" w:cs="SimSun"/>
          <w:sz w:val="24"/>
          <w:szCs w:val="24"/>
        </w:rPr>
        <w:t xml:space="preserve"> </w:t>
      </w:r>
      <w:r>
        <w:rPr>
          <w:rFonts w:ascii="SimSun" w:hAnsi="SimSun" w:eastAsia="SimSun" w:cs="SimSun"/>
          <w:sz w:val="24"/>
          <w:szCs w:val="24"/>
          <w:spacing w:val="3"/>
        </w:rPr>
        <w:t>区，是锡盟南部重要的新型绿色工业基地、锡盟南部重要</w:t>
      </w:r>
      <w:r>
        <w:rPr>
          <w:rFonts w:ascii="SimSun" w:hAnsi="SimSun" w:eastAsia="SimSun" w:cs="SimSun"/>
          <w:sz w:val="24"/>
          <w:szCs w:val="24"/>
          <w:spacing w:val="2"/>
        </w:rPr>
        <w:t>的商贸物流节点和集散</w:t>
      </w:r>
      <w:r>
        <w:rPr>
          <w:rFonts w:ascii="SimSun" w:hAnsi="SimSun" w:eastAsia="SimSun" w:cs="SimSun"/>
          <w:sz w:val="24"/>
          <w:szCs w:val="24"/>
        </w:rPr>
        <w:t xml:space="preserve"> </w:t>
      </w:r>
      <w:r>
        <w:rPr>
          <w:rFonts w:ascii="SimSun" w:hAnsi="SimSun" w:eastAsia="SimSun" w:cs="SimSun"/>
          <w:sz w:val="24"/>
          <w:szCs w:val="24"/>
          <w:spacing w:val="-9"/>
        </w:rPr>
        <w:t>中心、京津地区重要的生态屏障。旗人民政府所在地明安图镇。全旗</w:t>
      </w:r>
      <w:r>
        <w:rPr>
          <w:rFonts w:ascii="SimSun" w:hAnsi="SimSun" w:eastAsia="SimSun" w:cs="SimSun"/>
          <w:sz w:val="24"/>
          <w:szCs w:val="24"/>
          <w:spacing w:val="-10"/>
        </w:rPr>
        <w:t>南北长</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0"/>
        </w:rPr>
        <w:t>112km</w:t>
      </w:r>
      <w:r>
        <w:rPr>
          <w:rFonts w:ascii="SimSun" w:hAnsi="SimSun" w:eastAsia="SimSun" w:cs="SimSun"/>
          <w:sz w:val="24"/>
          <w:szCs w:val="24"/>
          <w:spacing w:val="-10"/>
        </w:rPr>
        <w:t>，</w:t>
      </w:r>
      <w:r>
        <w:rPr>
          <w:rFonts w:ascii="SimSun" w:hAnsi="SimSun" w:eastAsia="SimSun" w:cs="SimSun"/>
          <w:sz w:val="24"/>
          <w:szCs w:val="24"/>
        </w:rPr>
        <w:t xml:space="preserve"> </w:t>
      </w:r>
      <w:r>
        <w:rPr>
          <w:rFonts w:ascii="SimSun" w:hAnsi="SimSun" w:eastAsia="SimSun" w:cs="SimSun"/>
          <w:sz w:val="24"/>
          <w:szCs w:val="24"/>
          <w:spacing w:val="-3"/>
        </w:rPr>
        <w:t>东西宽 </w:t>
      </w:r>
      <w:r>
        <w:rPr>
          <w:rFonts w:ascii="Times New Roman" w:hAnsi="Times New Roman" w:eastAsia="Times New Roman" w:cs="Times New Roman"/>
          <w:sz w:val="24"/>
          <w:szCs w:val="24"/>
          <w:spacing w:val="-3"/>
        </w:rPr>
        <w:t>88km</w:t>
      </w:r>
      <w:r>
        <w:rPr>
          <w:rFonts w:ascii="SimSun" w:hAnsi="SimSun" w:eastAsia="SimSun" w:cs="SimSun"/>
          <w:sz w:val="24"/>
          <w:szCs w:val="24"/>
          <w:spacing w:val="-3"/>
        </w:rPr>
        <w:t>，总土地面积 </w:t>
      </w:r>
      <w:r>
        <w:rPr>
          <w:rFonts w:ascii="Times New Roman" w:hAnsi="Times New Roman" w:eastAsia="Times New Roman" w:cs="Times New Roman"/>
          <w:sz w:val="24"/>
          <w:szCs w:val="24"/>
          <w:spacing w:val="-3"/>
        </w:rPr>
        <w:t>6229km</w:t>
      </w:r>
      <w:r>
        <w:rPr>
          <w:rFonts w:ascii="Times New Roman" w:hAnsi="Times New Roman" w:eastAsia="Times New Roman" w:cs="Times New Roman"/>
          <w:sz w:val="15"/>
          <w:szCs w:val="15"/>
          <w:spacing w:val="-3"/>
          <w:position w:val="8"/>
        </w:rPr>
        <w:t>2</w:t>
      </w:r>
      <w:r>
        <w:rPr>
          <w:rFonts w:ascii="SimSun" w:hAnsi="SimSun" w:eastAsia="SimSun" w:cs="SimSun"/>
          <w:sz w:val="24"/>
          <w:szCs w:val="24"/>
          <w:spacing w:val="-3"/>
        </w:rPr>
        <w:t>。南邻京津冀发达地区，背靠大草原，东西连</w:t>
      </w:r>
      <w:r>
        <w:rPr>
          <w:rFonts w:ascii="SimSun" w:hAnsi="SimSun" w:eastAsia="SimSun" w:cs="SimSun"/>
          <w:sz w:val="24"/>
          <w:szCs w:val="24"/>
          <w:spacing w:val="11"/>
        </w:rPr>
        <w:t xml:space="preserve"> </w:t>
      </w:r>
      <w:r>
        <w:rPr>
          <w:rFonts w:ascii="SimSun" w:hAnsi="SimSun" w:eastAsia="SimSun" w:cs="SimSun"/>
          <w:sz w:val="24"/>
          <w:szCs w:val="24"/>
        </w:rPr>
        <w:t>接蒙东蒙西经济区，是内蒙古自治区距环渤海经</w:t>
      </w:r>
      <w:r>
        <w:rPr>
          <w:rFonts w:ascii="SimSun" w:hAnsi="SimSun" w:eastAsia="SimSun" w:cs="SimSun"/>
          <w:sz w:val="24"/>
          <w:szCs w:val="24"/>
          <w:spacing w:val="-1"/>
        </w:rPr>
        <w:t>济圈最近的地区之一。</w:t>
      </w:r>
    </w:p>
    <w:p>
      <w:pPr>
        <w:ind w:left="13" w:firstLine="477"/>
        <w:spacing w:before="2" w:line="359" w:lineRule="auto"/>
        <w:jc w:val="both"/>
        <w:rPr>
          <w:rFonts w:ascii="SimSun" w:hAnsi="SimSun" w:eastAsia="SimSun" w:cs="SimSun"/>
          <w:sz w:val="24"/>
          <w:szCs w:val="24"/>
        </w:rPr>
      </w:pPr>
      <w:r>
        <w:drawing>
          <wp:anchor distT="0" distB="0" distL="0" distR="0" simplePos="0" relativeHeight="251902976" behindDoc="1" locked="0" layoutInCell="1" allowOverlap="1">
            <wp:simplePos x="0" y="0"/>
            <wp:positionH relativeFrom="column">
              <wp:posOffset>380</wp:posOffset>
            </wp:positionH>
            <wp:positionV relativeFrom="paragraph">
              <wp:posOffset>868083</wp:posOffset>
            </wp:positionV>
            <wp:extent cx="5196840" cy="3592067"/>
            <wp:effectExtent l="0" t="0" r="0" b="0"/>
            <wp:wrapNone/>
            <wp:docPr id="52" name="IM 52"/>
            <wp:cNvGraphicFramePr/>
            <a:graphic>
              <a:graphicData uri="http://schemas.openxmlformats.org/drawingml/2006/picture">
                <pic:pic>
                  <pic:nvPicPr>
                    <pic:cNvPr id="52" name="IM 52"/>
                    <pic:cNvPicPr/>
                  </pic:nvPicPr>
                  <pic:blipFill>
                    <a:blip r:embed="rId117"/>
                    <a:stretch>
                      <a:fillRect/>
                    </a:stretch>
                  </pic:blipFill>
                  <pic:spPr>
                    <a:xfrm rot="0">
                      <a:off x="0" y="0"/>
                      <a:ext cx="5196840" cy="3592067"/>
                    </a:xfrm>
                    <a:prstGeom prst="rect">
                      <a:avLst/>
                    </a:prstGeom>
                  </pic:spPr>
                </pic:pic>
              </a:graphicData>
            </a:graphic>
          </wp:anchor>
        </w:drawing>
      </w:r>
      <w:r>
        <w:rPr>
          <w:rFonts w:ascii="SimSun" w:hAnsi="SimSun" w:eastAsia="SimSun" w:cs="SimSun"/>
          <w:sz w:val="24"/>
          <w:szCs w:val="24"/>
          <w:spacing w:val="-3"/>
        </w:rPr>
        <w:t>本项目位于锡林郭勒盟正镶白旗明安图镇乌宁巴图西街，西厂区中心坐标为：</w:t>
      </w:r>
      <w:r>
        <w:rPr>
          <w:rFonts w:ascii="SimSun" w:hAnsi="SimSun" w:eastAsia="SimSun" w:cs="SimSun"/>
          <w:sz w:val="24"/>
          <w:szCs w:val="24"/>
          <w:spacing w:val="15"/>
        </w:rPr>
        <w:t xml:space="preserve"> </w:t>
      </w:r>
      <w:r>
        <w:rPr>
          <w:rFonts w:ascii="SimSun" w:hAnsi="SimSun" w:eastAsia="SimSun" w:cs="SimSun"/>
          <w:sz w:val="24"/>
          <w:szCs w:val="24"/>
          <w:spacing w:val="-9"/>
        </w:rPr>
        <w:t>东经</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9"/>
        </w:rPr>
        <w:t>114°58'</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9"/>
        </w:rPr>
        <w:t>15.2245"</w:t>
      </w:r>
      <w:r>
        <w:rPr>
          <w:rFonts w:ascii="SimSun" w:hAnsi="SimSun" w:eastAsia="SimSun" w:cs="SimSun"/>
          <w:sz w:val="24"/>
          <w:szCs w:val="24"/>
          <w:spacing w:val="-9"/>
        </w:rPr>
        <w:t>，北纬</w:t>
      </w:r>
      <w:r>
        <w:rPr>
          <w:rFonts w:ascii="SimSun" w:hAnsi="SimSun" w:eastAsia="SimSun" w:cs="SimSun"/>
          <w:sz w:val="24"/>
          <w:szCs w:val="24"/>
          <w:spacing w:val="-61"/>
        </w:rPr>
        <w:t xml:space="preserve"> </w:t>
      </w:r>
      <w:r>
        <w:rPr>
          <w:rFonts w:ascii="Times New Roman" w:hAnsi="Times New Roman" w:eastAsia="Times New Roman" w:cs="Times New Roman"/>
          <w:sz w:val="24"/>
          <w:szCs w:val="24"/>
          <w:spacing w:val="-9"/>
        </w:rPr>
        <w:t>42°</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9"/>
        </w:rPr>
        <w:t>17'41.176"</w:t>
      </w:r>
      <w:r>
        <w:rPr>
          <w:rFonts w:ascii="SimSun" w:hAnsi="SimSun" w:eastAsia="SimSun" w:cs="SimSun"/>
          <w:sz w:val="24"/>
          <w:szCs w:val="24"/>
          <w:spacing w:val="-9"/>
        </w:rPr>
        <w:t>；东厂区中心坐标为：东经</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9"/>
        </w:rPr>
        <w:t>114°58'20</w:t>
      </w:r>
      <w:r>
        <w:rPr>
          <w:rFonts w:ascii="Times New Roman" w:hAnsi="Times New Roman" w:eastAsia="Times New Roman" w:cs="Times New Roman"/>
          <w:sz w:val="24"/>
          <w:szCs w:val="24"/>
          <w:spacing w:val="-10"/>
        </w:rPr>
        <w:t>.873"</w:t>
      </w:r>
      <w:r>
        <w:rPr>
          <w:rFonts w:ascii="SimSun" w:hAnsi="SimSun" w:eastAsia="SimSun" w:cs="SimSun"/>
          <w:sz w:val="24"/>
          <w:szCs w:val="24"/>
          <w:spacing w:val="-10"/>
        </w:rPr>
        <w:t>，</w:t>
      </w:r>
      <w:r>
        <w:rPr>
          <w:rFonts w:ascii="SimSun" w:hAnsi="SimSun" w:eastAsia="SimSun" w:cs="SimSun"/>
          <w:sz w:val="24"/>
          <w:szCs w:val="24"/>
        </w:rPr>
        <w:t xml:space="preserve"> </w:t>
      </w:r>
      <w:r>
        <w:rPr>
          <w:rFonts w:ascii="SimSun" w:hAnsi="SimSun" w:eastAsia="SimSun" w:cs="SimSun"/>
          <w:sz w:val="24"/>
          <w:szCs w:val="24"/>
          <w:spacing w:val="-2"/>
        </w:rPr>
        <w:t>北纬</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42°</w:t>
      </w:r>
      <w:r>
        <w:rPr>
          <w:rFonts w:ascii="Times New Roman" w:hAnsi="Times New Roman" w:eastAsia="Times New Roman" w:cs="Times New Roman"/>
          <w:sz w:val="24"/>
          <w:szCs w:val="24"/>
          <w:spacing w:val="-34"/>
        </w:rPr>
        <w:t xml:space="preserve"> </w:t>
      </w:r>
      <w:r>
        <w:rPr>
          <w:rFonts w:ascii="Times New Roman" w:hAnsi="Times New Roman" w:eastAsia="Times New Roman" w:cs="Times New Roman"/>
          <w:sz w:val="24"/>
          <w:szCs w:val="24"/>
          <w:spacing w:val="-2"/>
        </w:rPr>
        <w:t>17'415.354"</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，本项目地</w:t>
      </w:r>
      <w:r>
        <w:rPr>
          <w:rFonts w:ascii="SimSun" w:hAnsi="SimSun" w:eastAsia="SimSun" w:cs="SimSun"/>
          <w:sz w:val="24"/>
          <w:szCs w:val="24"/>
          <w:spacing w:val="-3"/>
        </w:rPr>
        <w:t>理位置详见图</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4.1-1</w:t>
      </w:r>
      <w:r>
        <w:rPr>
          <w:rFonts w:ascii="SimSun" w:hAnsi="SimSun" w:eastAsia="SimSun" w:cs="SimSun"/>
          <w:sz w:val="24"/>
          <w:szCs w:val="24"/>
          <w:spacing w:val="-3"/>
        </w:rPr>
        <w:t>。</w:t>
      </w:r>
    </w:p>
    <w:p>
      <w:pPr>
        <w:ind w:firstLine="281"/>
        <w:spacing w:line="1397" w:lineRule="exact"/>
        <w:rPr/>
      </w:pPr>
      <w:r>
        <w:rPr>
          <w:position w:val="-27"/>
        </w:rPr>
        <w:drawing>
          <wp:inline distT="0" distB="0" distL="0" distR="0">
            <wp:extent cx="883920" cy="886967"/>
            <wp:effectExtent l="0" t="0" r="0" b="0"/>
            <wp:docPr id="54" name="IM 54"/>
            <wp:cNvGraphicFramePr/>
            <a:graphic>
              <a:graphicData uri="http://schemas.openxmlformats.org/drawingml/2006/picture">
                <pic:pic>
                  <pic:nvPicPr>
                    <pic:cNvPr id="54" name="IM 54"/>
                    <pic:cNvPicPr/>
                  </pic:nvPicPr>
                  <pic:blipFill>
                    <a:blip r:embed="rId118"/>
                    <a:stretch>
                      <a:fillRect/>
                    </a:stretch>
                  </pic:blipFill>
                  <pic:spPr>
                    <a:xfrm rot="0">
                      <a:off x="0" y="0"/>
                      <a:ext cx="883920" cy="886967"/>
                    </a:xfrm>
                    <a:prstGeom prst="rect">
                      <a:avLst/>
                    </a:prstGeom>
                  </pic:spPr>
                </pic:pic>
              </a:graphicData>
            </a:graphic>
          </wp:inline>
        </w:drawing>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ind w:firstLine="1232"/>
        <w:spacing w:line="957" w:lineRule="exact"/>
        <w:rPr/>
      </w:pPr>
      <w:r>
        <w:rPr>
          <w:position w:val="-19"/>
        </w:rPr>
        <w:pict>
          <v:group id="_x0000_s556" style="mso-position-vertical-relative:line;mso-position-horizontal-relative:char;width:105.05pt;height:47.85pt;" filled="false" stroked="false" coordsize="2101,956" coordorigin="0,0">
            <v:shape id="_x0000_s558" style="position:absolute;left:0;top:0;width:2101;height:956;" filled="false" stroked="false" type="#_x0000_t75">
              <v:imagedata o:title="" r:id="rId119"/>
            </v:shape>
            <v:shape id="_x0000_s560" style="position:absolute;left:-20;top:-20;width:2141;height:996;" filled="false" stroked="false" type="#_x0000_t202">
              <v:fill on="false"/>
              <v:stroke on="false"/>
              <v:path/>
              <v:imagedata o:title=""/>
              <o:lock v:ext="edit" aspectratio="false"/>
              <v:textbox inset="0mm,0mm,0mm,0mm">
                <w:txbxContent>
                  <w:p>
                    <w:pPr>
                      <w:spacing w:line="288" w:lineRule="auto"/>
                      <w:rPr>
                        <w:rFonts w:ascii="Arial"/>
                        <w:sz w:val="21"/>
                      </w:rPr>
                    </w:pPr>
                    <w:r/>
                  </w:p>
                  <w:p>
                    <w:pPr>
                      <w:spacing w:line="289" w:lineRule="auto"/>
                      <w:rPr>
                        <w:rFonts w:ascii="Arial"/>
                        <w:sz w:val="21"/>
                      </w:rPr>
                    </w:pPr>
                    <w:r/>
                  </w:p>
                  <w:p>
                    <w:pPr>
                      <w:ind w:left="81"/>
                      <w:spacing w:before="78" w:line="219" w:lineRule="auto"/>
                      <w:rPr>
                        <w:rFonts w:ascii="SimSun" w:hAnsi="SimSun" w:eastAsia="SimSun" w:cs="SimSun"/>
                        <w:sz w:val="24"/>
                        <w:szCs w:val="24"/>
                      </w:rPr>
                    </w:pPr>
                    <w:r>
                      <w:rPr>
                        <w:rFonts w:ascii="SimSun" w:hAnsi="SimSun" w:eastAsia="SimSun" w:cs="SimSun"/>
                        <w:sz w:val="24"/>
                        <w:szCs w:val="24"/>
                        <w:b/>
                        <w:bCs/>
                        <w:spacing w:val="-4"/>
                      </w:rPr>
                      <w:t>拟建项目位置</w:t>
                    </w:r>
                  </w:p>
                </w:txbxContent>
              </v:textbox>
            </v:shape>
          </v:group>
        </w:pict>
      </w:r>
    </w:p>
    <w:p>
      <w:pPr>
        <w:ind w:left="1655"/>
        <w:spacing w:before="254" w:line="219" w:lineRule="auto"/>
        <w:rPr>
          <w:rFonts w:ascii="SimSun" w:hAnsi="SimSun" w:eastAsia="SimSun" w:cs="SimSun"/>
          <w:sz w:val="24"/>
          <w:szCs w:val="24"/>
        </w:rPr>
      </w:pPr>
      <w:bookmarkStart w:name="bookmark74" w:id="93"/>
      <w:bookmarkEnd w:id="93"/>
      <w:r>
        <w:rPr>
          <w:rFonts w:ascii="SimSun" w:hAnsi="SimSun" w:eastAsia="SimSun" w:cs="SimSun"/>
          <w:sz w:val="24"/>
          <w:szCs w:val="24"/>
          <w:b/>
          <w:bCs/>
          <w:spacing w:val="-3"/>
        </w:rPr>
        <w:t>图</w:t>
      </w:r>
      <w:r>
        <w:rPr>
          <w:rFonts w:ascii="SimSun" w:hAnsi="SimSun" w:eastAsia="SimSun" w:cs="SimSun"/>
          <w:sz w:val="24"/>
          <w:szCs w:val="24"/>
          <w:spacing w:val="-37"/>
        </w:rPr>
        <w:t xml:space="preserve"> </w:t>
      </w:r>
      <w:r>
        <w:rPr>
          <w:rFonts w:ascii="Times New Roman" w:hAnsi="Times New Roman" w:eastAsia="Times New Roman" w:cs="Times New Roman"/>
          <w:sz w:val="24"/>
          <w:szCs w:val="24"/>
          <w:b/>
          <w:bCs/>
          <w:spacing w:val="-3"/>
        </w:rPr>
        <w:t>4.1-1      </w:t>
      </w:r>
      <w:r>
        <w:rPr>
          <w:rFonts w:ascii="SimSun" w:hAnsi="SimSun" w:eastAsia="SimSun" w:cs="SimSun"/>
          <w:sz w:val="24"/>
          <w:szCs w:val="24"/>
          <w:b/>
          <w:bCs/>
          <w:spacing w:val="-3"/>
        </w:rPr>
        <w:t>本项目地理位置图（锡林郭勒盟范围）</w:t>
      </w:r>
    </w:p>
    <w:p>
      <w:pPr>
        <w:ind w:left="5"/>
        <w:spacing w:before="306" w:line="223" w:lineRule="auto"/>
        <w:outlineLvl w:val="2"/>
        <w:rPr>
          <w:rFonts w:ascii="SimHei" w:hAnsi="SimHei" w:eastAsia="SimHei" w:cs="SimHei"/>
          <w:sz w:val="28"/>
          <w:szCs w:val="28"/>
        </w:rPr>
      </w:pPr>
      <w:bookmarkStart w:name="bookmark233" w:id="94"/>
      <w:bookmarkEnd w:id="94"/>
      <w:r>
        <w:rPr>
          <w:rFonts w:ascii="Times New Roman" w:hAnsi="Times New Roman" w:eastAsia="Times New Roman" w:cs="Times New Roman"/>
          <w:sz w:val="28"/>
          <w:szCs w:val="28"/>
          <w:spacing w:val="-1"/>
        </w:rPr>
        <w:t>4.1.2 </w:t>
      </w:r>
      <w:r>
        <w:rPr>
          <w:rFonts w:ascii="SimHei" w:hAnsi="SimHei" w:eastAsia="SimHei" w:cs="SimHei"/>
          <w:sz w:val="28"/>
          <w:szCs w:val="28"/>
          <w:spacing w:val="-1"/>
        </w:rPr>
        <w:t>地形地貌</w:t>
      </w:r>
    </w:p>
    <w:p>
      <w:pPr>
        <w:pStyle w:val="BodyText"/>
        <w:spacing w:line="241" w:lineRule="auto"/>
        <w:rPr/>
      </w:pPr>
      <w:r/>
    </w:p>
    <w:p>
      <w:pPr>
        <w:spacing w:before="78" w:line="219" w:lineRule="auto"/>
        <w:jc w:val="right"/>
        <w:rPr>
          <w:rFonts w:ascii="SimSun" w:hAnsi="SimSun" w:eastAsia="SimSun" w:cs="SimSun"/>
          <w:sz w:val="24"/>
          <w:szCs w:val="24"/>
        </w:rPr>
      </w:pPr>
      <w:r>
        <w:rPr>
          <w:rFonts w:ascii="SimSun" w:hAnsi="SimSun" w:eastAsia="SimSun" w:cs="SimSun"/>
          <w:sz w:val="24"/>
          <w:szCs w:val="24"/>
          <w:spacing w:val="-3"/>
        </w:rPr>
        <w:t>正镶白旗属阴山紧缩山地东延部分，内蒙古高原的东南边缘，地形南高北低，</w:t>
      </w:r>
    </w:p>
    <w:p>
      <w:pPr>
        <w:pStyle w:val="BodyText"/>
        <w:spacing w:line="392" w:lineRule="auto"/>
        <w:rPr/>
      </w:pPr>
      <w:r/>
    </w:p>
    <w:p>
      <w:pPr>
        <w:ind w:left="7"/>
        <w:spacing w:before="63" w:line="227" w:lineRule="auto"/>
        <w:rPr>
          <w:rFonts w:ascii="SimSun" w:hAnsi="SimSun" w:eastAsia="SimSun" w:cs="SimSun"/>
          <w:sz w:val="19"/>
          <w:szCs w:val="19"/>
        </w:rPr>
      </w:pPr>
      <w:r>
        <w:pict>
          <v:shape id="_x0000_s562" style="position:absolute;margin-left:159.33pt;margin-top:2.1293pt;mso-position-vertical-relative:text;mso-position-horizontal-relative:text;width:61pt;height:13.75pt;z-index:25190400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rPr>
                    <w:t>任公司</w:t>
                  </w:r>
                  <w:r>
                    <w:rPr>
                      <w:rFonts w:ascii="SimSun" w:hAnsi="SimSun" w:eastAsia="SimSun" w:cs="SimSun"/>
                      <w:sz w:val="19"/>
                      <w:szCs w:val="19"/>
                      <w:spacing w:val="18"/>
                    </w:rPr>
                    <w:t xml:space="preserve">   </w:t>
                  </w:r>
                  <w:r>
                    <w:rPr>
                      <w:rFonts w:ascii="Times New Roman" w:hAnsi="Times New Roman" w:eastAsia="Times New Roman" w:cs="Times New Roman"/>
                      <w:sz w:val="18"/>
                      <w:szCs w:val="18"/>
                      <w:position w:val="2"/>
                    </w:rPr>
                    <w:t>111</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6"/>
          <w:pgSz w:w="11907" w:h="16840"/>
          <w:pgMar w:top="1567" w:right="1640" w:bottom="400" w:left="1701" w:header="1221" w:footer="0" w:gutter="0"/>
        </w:sectPr>
        <w:rPr>
          <w:rFonts w:ascii="SimSun" w:hAnsi="SimSun" w:eastAsia="SimSun" w:cs="SimSun"/>
          <w:sz w:val="19"/>
          <w:szCs w:val="19"/>
        </w:rPr>
      </w:pPr>
    </w:p>
    <w:p>
      <w:pPr>
        <w:ind w:left="9" w:right="2" w:firstLine="22"/>
        <w:spacing w:before="167" w:line="359" w:lineRule="auto"/>
        <w:jc w:val="both"/>
        <w:rPr>
          <w:rFonts w:ascii="SimSun" w:hAnsi="SimSun" w:eastAsia="SimSun" w:cs="SimSun"/>
          <w:sz w:val="24"/>
          <w:szCs w:val="24"/>
        </w:rPr>
      </w:pPr>
      <w:r>
        <w:pict>
          <v:shape id="_x0000_s566" style="position:absolute;margin-left:85.05pt;margin-top:78.87pt;mso-position-vertical-relative:page;mso-position-horizontal-relative:page;width:425.25pt;height:0.75pt;z-index:251907072;" o:allowincell="f" fillcolor="#000000" filled="true" stroked="false" coordsize="8505,15" coordorigin="0,0" path="m,l8505,0l8505,14l0,14l0,0xe"/>
        </w:pict>
      </w:r>
      <w:r>
        <w:rPr>
          <w:rFonts w:ascii="SimSun" w:hAnsi="SimSun" w:eastAsia="SimSun" w:cs="SimSun"/>
          <w:sz w:val="24"/>
          <w:szCs w:val="24"/>
          <w:spacing w:val="-2"/>
        </w:rPr>
        <w:t>中部微隆起，由东南向西北倾斜，海拔在</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1100</w:t>
      </w:r>
      <w:r>
        <w:rPr>
          <w:rFonts w:ascii="SimSun" w:hAnsi="SimSun" w:eastAsia="SimSun" w:cs="SimSun"/>
          <w:sz w:val="24"/>
          <w:szCs w:val="24"/>
          <w:spacing w:val="-2"/>
        </w:rPr>
        <w:t>—</w:t>
      </w:r>
      <w:r>
        <w:rPr>
          <w:rFonts w:ascii="Times New Roman" w:hAnsi="Times New Roman" w:eastAsia="Times New Roman" w:cs="Times New Roman"/>
          <w:sz w:val="24"/>
          <w:szCs w:val="24"/>
          <w:spacing w:val="-2"/>
        </w:rPr>
        <w:t>1400 </w:t>
      </w:r>
      <w:r>
        <w:rPr>
          <w:rFonts w:ascii="SimSun" w:hAnsi="SimSun" w:eastAsia="SimSun" w:cs="SimSun"/>
          <w:sz w:val="24"/>
          <w:szCs w:val="24"/>
          <w:spacing w:val="-2"/>
        </w:rPr>
        <w:t>米。最高点是八支箭汗海日</w:t>
      </w:r>
      <w:r>
        <w:rPr>
          <w:rFonts w:ascii="SimSun" w:hAnsi="SimSun" w:eastAsia="SimSun" w:cs="SimSun"/>
          <w:sz w:val="24"/>
          <w:szCs w:val="24"/>
        </w:rPr>
        <w:t xml:space="preserve"> </w:t>
      </w:r>
      <w:r>
        <w:rPr>
          <w:rFonts w:ascii="SimSun" w:hAnsi="SimSun" w:eastAsia="SimSun" w:cs="SimSun"/>
          <w:sz w:val="24"/>
          <w:szCs w:val="24"/>
          <w:spacing w:val="-7"/>
        </w:rPr>
        <w:t>罕山，海拔为</w:t>
      </w:r>
      <w:r>
        <w:rPr>
          <w:rFonts w:ascii="SimSun" w:hAnsi="SimSun" w:eastAsia="SimSun" w:cs="SimSun"/>
          <w:sz w:val="24"/>
          <w:szCs w:val="24"/>
          <w:spacing w:val="-16"/>
        </w:rPr>
        <w:t xml:space="preserve"> </w:t>
      </w:r>
      <w:r>
        <w:rPr>
          <w:rFonts w:ascii="Times New Roman" w:hAnsi="Times New Roman" w:eastAsia="Times New Roman" w:cs="Times New Roman"/>
          <w:sz w:val="24"/>
          <w:szCs w:val="24"/>
          <w:spacing w:val="-7"/>
        </w:rPr>
        <w:t>1764 </w:t>
      </w:r>
      <w:r>
        <w:rPr>
          <w:rFonts w:ascii="SimSun" w:hAnsi="SimSun" w:eastAsia="SimSun" w:cs="SimSun"/>
          <w:sz w:val="24"/>
          <w:szCs w:val="24"/>
          <w:spacing w:val="-7"/>
        </w:rPr>
        <w:t>米，最低点在乌兰察布苏木苏尼格盆地的乌兰淖境内，海拔</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104</w:t>
      </w:r>
      <w:r>
        <w:rPr>
          <w:rFonts w:ascii="Times New Roman" w:hAnsi="Times New Roman" w:eastAsia="Times New Roman" w:cs="Times New Roman"/>
          <w:sz w:val="24"/>
          <w:szCs w:val="24"/>
        </w:rPr>
        <w:t xml:space="preserve"> </w:t>
      </w:r>
      <w:r>
        <w:rPr>
          <w:rFonts w:ascii="SimSun" w:hAnsi="SimSun" w:eastAsia="SimSun" w:cs="SimSun"/>
          <w:sz w:val="24"/>
          <w:szCs w:val="24"/>
          <w:spacing w:val="-5"/>
        </w:rPr>
        <w:t>米。</w:t>
      </w:r>
    </w:p>
    <w:p>
      <w:pPr>
        <w:ind w:left="8" w:firstLine="485"/>
        <w:spacing w:before="6" w:line="359" w:lineRule="auto"/>
        <w:rPr>
          <w:rFonts w:ascii="SimSun" w:hAnsi="SimSun" w:eastAsia="SimSun" w:cs="SimSun"/>
          <w:sz w:val="24"/>
          <w:szCs w:val="24"/>
        </w:rPr>
      </w:pPr>
      <w:r>
        <w:rPr>
          <w:rFonts w:ascii="SimSun" w:hAnsi="SimSun" w:eastAsia="SimSun" w:cs="SimSun"/>
          <w:sz w:val="24"/>
          <w:szCs w:val="24"/>
          <w:spacing w:val="3"/>
        </w:rPr>
        <w:t>正镶白旗地处浑善达克沙地南缘与丘陵相接地区，南半</w:t>
      </w:r>
      <w:r>
        <w:rPr>
          <w:rFonts w:ascii="SimSun" w:hAnsi="SimSun" w:eastAsia="SimSun" w:cs="SimSun"/>
          <w:sz w:val="24"/>
          <w:szCs w:val="24"/>
          <w:spacing w:val="2"/>
        </w:rPr>
        <w:t>部为丘陵和低山丘陵</w:t>
      </w:r>
      <w:r>
        <w:rPr>
          <w:rFonts w:ascii="SimSun" w:hAnsi="SimSun" w:eastAsia="SimSun" w:cs="SimSun"/>
          <w:sz w:val="24"/>
          <w:szCs w:val="24"/>
        </w:rPr>
        <w:t xml:space="preserve"> </w:t>
      </w:r>
      <w:r>
        <w:rPr>
          <w:rFonts w:ascii="SimSun" w:hAnsi="SimSun" w:eastAsia="SimSun" w:cs="SimSun"/>
          <w:sz w:val="24"/>
          <w:szCs w:val="24"/>
          <w:spacing w:val="-2"/>
        </w:rPr>
        <w:t>区，面积</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2637.11 </w:t>
      </w:r>
      <w:r>
        <w:rPr>
          <w:rFonts w:ascii="SimSun" w:hAnsi="SimSun" w:eastAsia="SimSun" w:cs="SimSun"/>
          <w:sz w:val="24"/>
          <w:szCs w:val="24"/>
          <w:spacing w:val="-2"/>
        </w:rPr>
        <w:t>平方公里，地势起伏，有着广阔的天</w:t>
      </w:r>
      <w:r>
        <w:rPr>
          <w:rFonts w:ascii="SimSun" w:hAnsi="SimSun" w:eastAsia="SimSun" w:cs="SimSun"/>
          <w:sz w:val="24"/>
          <w:szCs w:val="24"/>
          <w:spacing w:val="-3"/>
        </w:rPr>
        <w:t>然牧场。北半部为大面积沙</w:t>
      </w:r>
      <w:r>
        <w:rPr>
          <w:rFonts w:ascii="SimSun" w:hAnsi="SimSun" w:eastAsia="SimSun" w:cs="SimSun"/>
          <w:sz w:val="24"/>
          <w:szCs w:val="24"/>
        </w:rPr>
        <w:t xml:space="preserve"> </w:t>
      </w:r>
      <w:r>
        <w:rPr>
          <w:rFonts w:ascii="SimSun" w:hAnsi="SimSun" w:eastAsia="SimSun" w:cs="SimSun"/>
          <w:sz w:val="24"/>
          <w:szCs w:val="24"/>
          <w:spacing w:val="-3"/>
        </w:rPr>
        <w:t>丘沙地，面积为</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3"/>
        </w:rPr>
        <w:t>2785.94 </w:t>
      </w:r>
      <w:r>
        <w:rPr>
          <w:rFonts w:ascii="SimSun" w:hAnsi="SimSun" w:eastAsia="SimSun" w:cs="SimSun"/>
          <w:sz w:val="24"/>
          <w:szCs w:val="24"/>
          <w:spacing w:val="-3"/>
        </w:rPr>
        <w:t>平方公里，占全旗总面积的</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3"/>
        </w:rPr>
        <w:t>45%</w:t>
      </w:r>
      <w:r>
        <w:rPr>
          <w:rFonts w:ascii="SimSun" w:hAnsi="SimSun" w:eastAsia="SimSun" w:cs="SimSun"/>
          <w:sz w:val="24"/>
          <w:szCs w:val="24"/>
          <w:spacing w:val="-3"/>
        </w:rPr>
        <w:t>。介于低山丘陵与沙地之</w:t>
      </w:r>
      <w:r>
        <w:rPr>
          <w:rFonts w:ascii="SimSun" w:hAnsi="SimSun" w:eastAsia="SimSun" w:cs="SimSun"/>
          <w:sz w:val="24"/>
          <w:szCs w:val="24"/>
        </w:rPr>
        <w:t xml:space="preserve"> </w:t>
      </w:r>
      <w:r>
        <w:rPr>
          <w:rFonts w:ascii="SimSun" w:hAnsi="SimSun" w:eastAsia="SimSun" w:cs="SimSun"/>
          <w:sz w:val="24"/>
          <w:szCs w:val="24"/>
          <w:spacing w:val="1"/>
        </w:rPr>
        <w:t>间为一窄长的低丘地，面积为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766.98 </w:t>
      </w:r>
      <w:r>
        <w:rPr>
          <w:rFonts w:ascii="SimSun" w:hAnsi="SimSun" w:eastAsia="SimSun" w:cs="SimSun"/>
          <w:sz w:val="24"/>
          <w:szCs w:val="24"/>
          <w:spacing w:val="1"/>
        </w:rPr>
        <w:t>平方公里。地区</w:t>
      </w:r>
      <w:r>
        <w:rPr>
          <w:rFonts w:ascii="SimSun" w:hAnsi="SimSun" w:eastAsia="SimSun" w:cs="SimSun"/>
          <w:sz w:val="24"/>
          <w:szCs w:val="24"/>
        </w:rPr>
        <w:t>地貌可分为构造剥蚀类型、 </w:t>
      </w:r>
      <w:r>
        <w:rPr>
          <w:rFonts w:ascii="SimSun" w:hAnsi="SimSun" w:eastAsia="SimSun" w:cs="SimSun"/>
          <w:sz w:val="24"/>
          <w:szCs w:val="24"/>
          <w:spacing w:val="3"/>
        </w:rPr>
        <w:t>剥蚀堆积和堆积三个类型。根据形态，全旗可分为：低山</w:t>
      </w:r>
      <w:r>
        <w:rPr>
          <w:rFonts w:ascii="SimSun" w:hAnsi="SimSun" w:eastAsia="SimSun" w:cs="SimSun"/>
          <w:sz w:val="24"/>
          <w:szCs w:val="24"/>
          <w:spacing w:val="2"/>
        </w:rPr>
        <w:t>丘陵、低丘河谷洼地、</w:t>
      </w:r>
      <w:r>
        <w:rPr>
          <w:rFonts w:ascii="SimSun" w:hAnsi="SimSun" w:eastAsia="SimSun" w:cs="SimSun"/>
          <w:sz w:val="24"/>
          <w:szCs w:val="24"/>
        </w:rPr>
        <w:t xml:space="preserve"> </w:t>
      </w:r>
      <w:r>
        <w:rPr>
          <w:rFonts w:ascii="SimSun" w:hAnsi="SimSun" w:eastAsia="SimSun" w:cs="SimSun"/>
          <w:sz w:val="24"/>
          <w:szCs w:val="24"/>
          <w:spacing w:val="-1"/>
        </w:rPr>
        <w:t>低丘河谷平地以及风积沙丘地等六类地貌。</w:t>
      </w:r>
    </w:p>
    <w:p>
      <w:pPr>
        <w:ind w:left="5"/>
        <w:spacing w:before="121" w:line="223" w:lineRule="auto"/>
        <w:outlineLvl w:val="2"/>
        <w:rPr>
          <w:rFonts w:ascii="SimHei" w:hAnsi="SimHei" w:eastAsia="SimHei" w:cs="SimHei"/>
          <w:sz w:val="28"/>
          <w:szCs w:val="28"/>
        </w:rPr>
      </w:pPr>
      <w:bookmarkStart w:name="bookmark75" w:id="95"/>
      <w:bookmarkEnd w:id="95"/>
      <w:r>
        <w:rPr>
          <w:rFonts w:ascii="Times New Roman" w:hAnsi="Times New Roman" w:eastAsia="Times New Roman" w:cs="Times New Roman"/>
          <w:sz w:val="28"/>
          <w:szCs w:val="28"/>
          <w:spacing w:val="-1"/>
        </w:rPr>
        <w:t>4.1.3 </w:t>
      </w:r>
      <w:r>
        <w:rPr>
          <w:rFonts w:ascii="SimHei" w:hAnsi="SimHei" w:eastAsia="SimHei" w:cs="SimHei"/>
          <w:sz w:val="28"/>
          <w:szCs w:val="28"/>
          <w:spacing w:val="-1"/>
        </w:rPr>
        <w:t>地质条件</w:t>
      </w:r>
    </w:p>
    <w:p>
      <w:pPr>
        <w:pStyle w:val="BodyText"/>
        <w:spacing w:line="243" w:lineRule="auto"/>
        <w:rPr/>
      </w:pPr>
      <w:r/>
    </w:p>
    <w:p>
      <w:pPr>
        <w:ind w:left="8" w:firstLine="485"/>
        <w:spacing w:before="79" w:line="359" w:lineRule="auto"/>
        <w:jc w:val="both"/>
        <w:rPr>
          <w:rFonts w:ascii="SimSun" w:hAnsi="SimSun" w:eastAsia="SimSun" w:cs="SimSun"/>
          <w:sz w:val="24"/>
          <w:szCs w:val="24"/>
        </w:rPr>
      </w:pPr>
      <w:r>
        <w:rPr>
          <w:rFonts w:ascii="SimSun" w:hAnsi="SimSun" w:eastAsia="SimSun" w:cs="SimSun"/>
          <w:sz w:val="24"/>
          <w:szCs w:val="24"/>
          <w:spacing w:val="3"/>
        </w:rPr>
        <w:t>正镶白旗区域大地构造位置属于华北地台北缘、</w:t>
      </w:r>
      <w:r>
        <w:rPr>
          <w:rFonts w:ascii="SimSun" w:hAnsi="SimSun" w:eastAsia="SimSun" w:cs="SimSun"/>
          <w:sz w:val="24"/>
          <w:szCs w:val="24"/>
          <w:spacing w:val="2"/>
        </w:rPr>
        <w:t>内蒙古中部地槽褶皱系的温</w:t>
      </w:r>
      <w:r>
        <w:rPr>
          <w:rFonts w:ascii="SimSun" w:hAnsi="SimSun" w:eastAsia="SimSun" w:cs="SimSun"/>
          <w:sz w:val="24"/>
          <w:szCs w:val="24"/>
        </w:rPr>
        <w:t xml:space="preserve"> </w:t>
      </w:r>
      <w:r>
        <w:rPr>
          <w:rFonts w:ascii="SimSun" w:hAnsi="SimSun" w:eastAsia="SimSun" w:cs="SimSun"/>
          <w:sz w:val="24"/>
          <w:szCs w:val="24"/>
          <w:spacing w:val="6"/>
        </w:rPr>
        <w:t>都尔庙—翁牛特旗加里东地槽褶皱带。大 部分为新华夏构造侏罗系的北东向构</w:t>
      </w:r>
      <w:r>
        <w:rPr>
          <w:rFonts w:ascii="SimSun" w:hAnsi="SimSun" w:eastAsia="SimSun" w:cs="SimSun"/>
          <w:sz w:val="24"/>
          <w:szCs w:val="24"/>
          <w:spacing w:val="3"/>
        </w:rPr>
        <w:t xml:space="preserve"> </w:t>
      </w:r>
      <w:r>
        <w:rPr>
          <w:rFonts w:ascii="SimSun" w:hAnsi="SimSun" w:eastAsia="SimSun" w:cs="SimSun"/>
          <w:sz w:val="24"/>
          <w:szCs w:val="24"/>
          <w:spacing w:val="3"/>
        </w:rPr>
        <w:t>造。近东西向的褶皱构造次之。区域褶皱、断裂较发育。</w:t>
      </w:r>
      <w:r>
        <w:rPr>
          <w:rFonts w:ascii="SimSun" w:hAnsi="SimSun" w:eastAsia="SimSun" w:cs="SimSun"/>
          <w:sz w:val="24"/>
          <w:szCs w:val="24"/>
          <w:spacing w:val="2"/>
        </w:rPr>
        <w:t>此外，低山丘陵及丘陵</w:t>
      </w:r>
      <w:r>
        <w:rPr>
          <w:rFonts w:ascii="SimSun" w:hAnsi="SimSun" w:eastAsia="SimSun" w:cs="SimSun"/>
          <w:sz w:val="24"/>
          <w:szCs w:val="24"/>
        </w:rPr>
        <w:t xml:space="preserve"> </w:t>
      </w:r>
      <w:r>
        <w:rPr>
          <w:rFonts w:ascii="SimSun" w:hAnsi="SimSun" w:eastAsia="SimSun" w:cs="SimSun"/>
          <w:sz w:val="24"/>
          <w:szCs w:val="24"/>
          <w:spacing w:val="3"/>
        </w:rPr>
        <w:t>地区岩石浅部发育与褶皱、断裂构造相一致的北东、北西</w:t>
      </w:r>
      <w:r>
        <w:rPr>
          <w:rFonts w:ascii="SimSun" w:hAnsi="SimSun" w:eastAsia="SimSun" w:cs="SimSun"/>
          <w:sz w:val="24"/>
          <w:szCs w:val="24"/>
          <w:spacing w:val="2"/>
        </w:rPr>
        <w:t>向及近南北、近东西向</w:t>
      </w:r>
      <w:r>
        <w:rPr>
          <w:rFonts w:ascii="SimSun" w:hAnsi="SimSun" w:eastAsia="SimSun" w:cs="SimSun"/>
          <w:sz w:val="24"/>
          <w:szCs w:val="24"/>
        </w:rPr>
        <w:t xml:space="preserve"> </w:t>
      </w:r>
      <w:r>
        <w:rPr>
          <w:rFonts w:ascii="SimSun" w:hAnsi="SimSun" w:eastAsia="SimSun" w:cs="SimSun"/>
          <w:sz w:val="24"/>
          <w:szCs w:val="24"/>
          <w:spacing w:val="3"/>
        </w:rPr>
        <w:t>的构造裂隙。区域内地形平缓，表层为第四系沙、砂土混</w:t>
      </w:r>
      <w:r>
        <w:rPr>
          <w:rFonts w:ascii="SimSun" w:hAnsi="SimSun" w:eastAsia="SimSun" w:cs="SimSun"/>
          <w:sz w:val="24"/>
          <w:szCs w:val="24"/>
          <w:spacing w:val="2"/>
        </w:rPr>
        <w:t>合的风积、冲洪积物，</w:t>
      </w:r>
      <w:r>
        <w:rPr>
          <w:rFonts w:ascii="SimSun" w:hAnsi="SimSun" w:eastAsia="SimSun" w:cs="SimSun"/>
          <w:sz w:val="24"/>
          <w:szCs w:val="24"/>
        </w:rPr>
        <w:t xml:space="preserve"> </w:t>
      </w:r>
      <w:r>
        <w:rPr>
          <w:rFonts w:ascii="SimSun" w:hAnsi="SimSun" w:eastAsia="SimSun" w:cs="SimSun"/>
          <w:sz w:val="24"/>
          <w:szCs w:val="24"/>
          <w:spacing w:val="3"/>
        </w:rPr>
        <w:t>其下是第三系、白垩系泥岩、砾粒岩。区内无断层通</w:t>
      </w:r>
      <w:r>
        <w:rPr>
          <w:rFonts w:ascii="SimSun" w:hAnsi="SimSun" w:eastAsia="SimSun" w:cs="SimSun"/>
          <w:sz w:val="24"/>
          <w:szCs w:val="24"/>
          <w:spacing w:val="2"/>
        </w:rPr>
        <w:t>过，地质构造简单。新构造</w:t>
      </w:r>
      <w:r>
        <w:rPr>
          <w:rFonts w:ascii="SimSun" w:hAnsi="SimSun" w:eastAsia="SimSun" w:cs="SimSun"/>
          <w:sz w:val="24"/>
          <w:szCs w:val="24"/>
        </w:rPr>
        <w:t xml:space="preserve"> </w:t>
      </w:r>
      <w:r>
        <w:rPr>
          <w:rFonts w:ascii="SimSun" w:hAnsi="SimSun" w:eastAsia="SimSun" w:cs="SimSun"/>
          <w:sz w:val="24"/>
          <w:szCs w:val="24"/>
          <w:spacing w:val="3"/>
        </w:rPr>
        <w:t>运动使区域地壳呈阶段性整体升降，处于相对稳定状态。</w:t>
      </w:r>
      <w:r>
        <w:rPr>
          <w:rFonts w:ascii="SimSun" w:hAnsi="SimSun" w:eastAsia="SimSun" w:cs="SimSun"/>
          <w:sz w:val="24"/>
          <w:szCs w:val="24"/>
          <w:spacing w:val="2"/>
        </w:rPr>
        <w:t>根据《中国地震动峰值</w:t>
      </w:r>
      <w:r>
        <w:rPr>
          <w:rFonts w:ascii="SimSun" w:hAnsi="SimSun" w:eastAsia="SimSun" w:cs="SimSun"/>
          <w:sz w:val="24"/>
          <w:szCs w:val="24"/>
        </w:rPr>
        <w:t xml:space="preserve"> </w:t>
      </w:r>
      <w:r>
        <w:rPr>
          <w:rFonts w:ascii="SimSun" w:hAnsi="SimSun" w:eastAsia="SimSun" w:cs="SimSun"/>
          <w:sz w:val="24"/>
          <w:szCs w:val="24"/>
          <w:spacing w:val="-2"/>
        </w:rPr>
        <w:t>加速度图规划区内地震设防烈度为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 </w:t>
      </w:r>
      <w:r>
        <w:rPr>
          <w:rFonts w:ascii="SimSun" w:hAnsi="SimSun" w:eastAsia="SimSun" w:cs="SimSun"/>
          <w:sz w:val="24"/>
          <w:szCs w:val="24"/>
          <w:spacing w:val="-2"/>
        </w:rPr>
        <w:t>度，地震动峰值加速度为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0.05g</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2"/>
        </w:rPr>
        <w:t>。区域地壳稳</w:t>
      </w:r>
      <w:r>
        <w:rPr>
          <w:rFonts w:ascii="SimSun" w:hAnsi="SimSun" w:eastAsia="SimSun" w:cs="SimSun"/>
          <w:sz w:val="24"/>
          <w:szCs w:val="24"/>
        </w:rPr>
        <w:t xml:space="preserve"> </w:t>
      </w:r>
      <w:r>
        <w:rPr>
          <w:rFonts w:ascii="SimSun" w:hAnsi="SimSun" w:eastAsia="SimSun" w:cs="SimSun"/>
          <w:sz w:val="24"/>
          <w:szCs w:val="24"/>
          <w:spacing w:val="-2"/>
        </w:rPr>
        <w:t>定性良好。</w:t>
      </w:r>
    </w:p>
    <w:p>
      <w:pPr>
        <w:ind w:left="5"/>
        <w:spacing w:before="125" w:line="222" w:lineRule="auto"/>
        <w:outlineLvl w:val="2"/>
        <w:rPr>
          <w:rFonts w:ascii="SimHei" w:hAnsi="SimHei" w:eastAsia="SimHei" w:cs="SimHei"/>
          <w:sz w:val="28"/>
          <w:szCs w:val="28"/>
        </w:rPr>
      </w:pPr>
      <w:bookmarkStart w:name="bookmark76" w:id="96"/>
      <w:bookmarkEnd w:id="96"/>
      <w:r>
        <w:rPr>
          <w:rFonts w:ascii="Times New Roman" w:hAnsi="Times New Roman" w:eastAsia="Times New Roman" w:cs="Times New Roman"/>
          <w:sz w:val="28"/>
          <w:szCs w:val="28"/>
          <w:spacing w:val="-1"/>
        </w:rPr>
        <w:t>4.1.4 </w:t>
      </w:r>
      <w:r>
        <w:rPr>
          <w:rFonts w:ascii="SimHei" w:hAnsi="SimHei" w:eastAsia="SimHei" w:cs="SimHei"/>
          <w:sz w:val="28"/>
          <w:szCs w:val="28"/>
          <w:spacing w:val="-1"/>
        </w:rPr>
        <w:t>水文条件</w:t>
      </w:r>
    </w:p>
    <w:p>
      <w:pPr>
        <w:pStyle w:val="BodyText"/>
        <w:spacing w:line="243" w:lineRule="auto"/>
        <w:rPr/>
      </w:pPr>
      <w:r/>
    </w:p>
    <w:p>
      <w:pPr>
        <w:ind w:left="8" w:firstLine="485"/>
        <w:spacing w:before="79" w:line="359" w:lineRule="auto"/>
        <w:jc w:val="both"/>
        <w:rPr>
          <w:rFonts w:ascii="SimSun" w:hAnsi="SimSun" w:eastAsia="SimSun" w:cs="SimSun"/>
          <w:sz w:val="24"/>
          <w:szCs w:val="24"/>
        </w:rPr>
      </w:pPr>
      <w:r>
        <w:rPr>
          <w:rFonts w:ascii="SimSun" w:hAnsi="SimSun" w:eastAsia="SimSun" w:cs="SimSun"/>
          <w:sz w:val="24"/>
          <w:szCs w:val="24"/>
          <w:spacing w:val="3"/>
        </w:rPr>
        <w:t>正镶白旗地表水资源匮乏，境内河流均属季节性河流，</w:t>
      </w:r>
      <w:r>
        <w:rPr>
          <w:rFonts w:ascii="SimSun" w:hAnsi="SimSun" w:eastAsia="SimSun" w:cs="SimSun"/>
          <w:sz w:val="24"/>
          <w:szCs w:val="24"/>
          <w:spacing w:val="2"/>
        </w:rPr>
        <w:t>流量小且不稳定。主</w:t>
      </w:r>
      <w:r>
        <w:rPr>
          <w:rFonts w:ascii="SimSun" w:hAnsi="SimSun" w:eastAsia="SimSun" w:cs="SimSun"/>
          <w:sz w:val="24"/>
          <w:szCs w:val="24"/>
        </w:rPr>
        <w:t xml:space="preserve"> </w:t>
      </w:r>
      <w:r>
        <w:rPr>
          <w:rFonts w:ascii="SimSun" w:hAnsi="SimSun" w:eastAsia="SimSun" w:cs="SimSun"/>
          <w:sz w:val="24"/>
          <w:szCs w:val="24"/>
          <w:spacing w:val="3"/>
        </w:rPr>
        <w:t>要河流有四条，这些河流与乌兰淖尔、呼鲁斯台淖尔共分</w:t>
      </w:r>
      <w:r>
        <w:rPr>
          <w:rFonts w:ascii="SimSun" w:hAnsi="SimSun" w:eastAsia="SimSun" w:cs="SimSun"/>
          <w:sz w:val="24"/>
          <w:szCs w:val="24"/>
          <w:spacing w:val="2"/>
        </w:rPr>
        <w:t>六大水系。其中较大的</w:t>
      </w:r>
      <w:r>
        <w:rPr>
          <w:rFonts w:ascii="SimSun" w:hAnsi="SimSun" w:eastAsia="SimSun" w:cs="SimSun"/>
          <w:sz w:val="24"/>
          <w:szCs w:val="24"/>
        </w:rPr>
        <w:t xml:space="preserve"> </w:t>
      </w:r>
      <w:r>
        <w:rPr>
          <w:rFonts w:ascii="SimSun" w:hAnsi="SimSun" w:eastAsia="SimSun" w:cs="SimSun"/>
          <w:sz w:val="24"/>
          <w:szCs w:val="24"/>
          <w:spacing w:val="-3"/>
        </w:rPr>
        <w:t>河流有哈拉巴郭勒，发源于太仆寺旗的火石梁</w:t>
      </w:r>
      <w:r>
        <w:rPr>
          <w:rFonts w:ascii="SimSun" w:hAnsi="SimSun" w:eastAsia="SimSun" w:cs="SimSun"/>
          <w:sz w:val="24"/>
          <w:szCs w:val="24"/>
          <w:spacing w:val="-4"/>
        </w:rPr>
        <w:t>，流域集水面积</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1566km</w:t>
      </w:r>
      <w:r>
        <w:rPr>
          <w:rFonts w:ascii="Times New Roman" w:hAnsi="Times New Roman" w:eastAsia="Times New Roman" w:cs="Times New Roman"/>
          <w:sz w:val="15"/>
          <w:szCs w:val="15"/>
          <w:spacing w:val="-4"/>
          <w:position w:val="7"/>
        </w:rPr>
        <w:t>2</w:t>
      </w:r>
      <w:r>
        <w:rPr>
          <w:rFonts w:ascii="SimSun" w:hAnsi="SimSun" w:eastAsia="SimSun" w:cs="SimSun"/>
          <w:sz w:val="24"/>
          <w:szCs w:val="24"/>
          <w:spacing w:val="-4"/>
        </w:rPr>
        <w:t>，流经旗境</w:t>
      </w:r>
      <w:r>
        <w:rPr>
          <w:rFonts w:ascii="SimSun" w:hAnsi="SimSun" w:eastAsia="SimSun" w:cs="SimSun"/>
          <w:sz w:val="24"/>
          <w:szCs w:val="24"/>
        </w:rPr>
        <w:t xml:space="preserve"> </w:t>
      </w:r>
      <w:r>
        <w:rPr>
          <w:rFonts w:ascii="SimSun" w:hAnsi="SimSun" w:eastAsia="SimSun" w:cs="SimSun"/>
          <w:sz w:val="24"/>
          <w:szCs w:val="24"/>
          <w:spacing w:val="-1"/>
        </w:rPr>
        <w:t>内河段长</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48.4km,</w:t>
      </w:r>
      <w:r>
        <w:rPr>
          <w:rFonts w:ascii="SimSun" w:hAnsi="SimSun" w:eastAsia="SimSun" w:cs="SimSun"/>
          <w:sz w:val="24"/>
          <w:szCs w:val="24"/>
          <w:spacing w:val="-1"/>
        </w:rPr>
        <w:t>河床明显，切割不深，最终流入正蓝旗的宝沙岱淖；布日斯台郭</w:t>
      </w:r>
      <w:r>
        <w:rPr>
          <w:rFonts w:ascii="SimSun" w:hAnsi="SimSun" w:eastAsia="SimSun" w:cs="SimSun"/>
          <w:sz w:val="24"/>
          <w:szCs w:val="24"/>
        </w:rPr>
        <w:t xml:space="preserve"> </w:t>
      </w:r>
      <w:r>
        <w:rPr>
          <w:rFonts w:ascii="SimSun" w:hAnsi="SimSun" w:eastAsia="SimSun" w:cs="SimSun"/>
          <w:sz w:val="24"/>
          <w:szCs w:val="24"/>
          <w:spacing w:val="-4"/>
        </w:rPr>
        <w:t>勒，发源于乌盟化德县的六十顷，集水面积</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1502km</w:t>
      </w:r>
      <w:r>
        <w:rPr>
          <w:rFonts w:ascii="Times New Roman" w:hAnsi="Times New Roman" w:eastAsia="Times New Roman" w:cs="Times New Roman"/>
          <w:sz w:val="15"/>
          <w:szCs w:val="15"/>
          <w:spacing w:val="-4"/>
          <w:position w:val="7"/>
        </w:rPr>
        <w:t>2</w:t>
      </w:r>
      <w:r>
        <w:rPr>
          <w:rFonts w:ascii="SimSun" w:hAnsi="SimSun" w:eastAsia="SimSun" w:cs="SimSun"/>
          <w:sz w:val="24"/>
          <w:szCs w:val="24"/>
          <w:spacing w:val="-4"/>
        </w:rPr>
        <w:t>，旗内河长</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134</w:t>
      </w:r>
      <w:r>
        <w:rPr>
          <w:rFonts w:ascii="Times New Roman" w:hAnsi="Times New Roman" w:eastAsia="Times New Roman" w:cs="Times New Roman"/>
          <w:sz w:val="24"/>
          <w:szCs w:val="24"/>
          <w:spacing w:val="-5"/>
        </w:rPr>
        <w:t>km</w:t>
      </w:r>
      <w:r>
        <w:rPr>
          <w:rFonts w:ascii="SimSun" w:hAnsi="SimSun" w:eastAsia="SimSun" w:cs="SimSun"/>
          <w:sz w:val="24"/>
          <w:szCs w:val="24"/>
          <w:spacing w:val="-5"/>
        </w:rPr>
        <w:t>，产流注入</w:t>
      </w:r>
      <w:r>
        <w:rPr>
          <w:rFonts w:ascii="SimSun" w:hAnsi="SimSun" w:eastAsia="SimSun" w:cs="SimSun"/>
          <w:sz w:val="24"/>
          <w:szCs w:val="24"/>
        </w:rPr>
        <w:t xml:space="preserve"> </w:t>
      </w:r>
      <w:r>
        <w:rPr>
          <w:rFonts w:ascii="SimSun" w:hAnsi="SimSun" w:eastAsia="SimSun" w:cs="SimSun"/>
          <w:sz w:val="24"/>
          <w:szCs w:val="24"/>
          <w:spacing w:val="-1"/>
        </w:rPr>
        <w:t>该郭勒后，流入正镶白旗北部沙区，入渗补给地下水。</w:t>
      </w:r>
    </w:p>
    <w:p>
      <w:pPr>
        <w:ind w:right="2"/>
        <w:spacing w:line="218" w:lineRule="auto"/>
        <w:jc w:val="right"/>
        <w:rPr>
          <w:rFonts w:ascii="SimSun" w:hAnsi="SimSun" w:eastAsia="SimSun" w:cs="SimSun"/>
          <w:sz w:val="24"/>
          <w:szCs w:val="24"/>
        </w:rPr>
      </w:pPr>
      <w:r>
        <w:rPr>
          <w:rFonts w:ascii="SimSun" w:hAnsi="SimSun" w:eastAsia="SimSun" w:cs="SimSun"/>
          <w:sz w:val="24"/>
          <w:szCs w:val="24"/>
          <w:spacing w:val="1"/>
        </w:rPr>
        <w:t>正镶白旗全旗大小淖泊</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1"/>
        </w:rPr>
        <w:t>105</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1"/>
        </w:rPr>
        <w:t>处，大部分分布于北部沙区，其中长年有水的有</w:t>
      </w:r>
    </w:p>
    <w:p>
      <w:pPr>
        <w:pStyle w:val="BodyText"/>
        <w:spacing w:line="378" w:lineRule="auto"/>
        <w:rPr/>
      </w:pPr>
      <w:r/>
    </w:p>
    <w:p>
      <w:pPr>
        <w:ind w:right="2"/>
        <w:spacing w:before="63" w:line="227" w:lineRule="auto"/>
        <w:jc w:val="right"/>
        <w:rPr>
          <w:rFonts w:ascii="SimSun" w:hAnsi="SimSun" w:eastAsia="SimSun" w:cs="SimSun"/>
          <w:sz w:val="19"/>
          <w:szCs w:val="19"/>
        </w:rPr>
      </w:pPr>
      <w:r>
        <w:pict>
          <v:shape id="_x0000_s568" style="position:absolute;margin-left:205.883pt;margin-top:2.11255pt;mso-position-vertical-relative:text;mso-position-horizontal-relative:text;width:60.35pt;height:13.75pt;z-index:251906048;"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position w:val="2"/>
                    </w:rPr>
                    <w:t>112       </w:t>
                  </w:r>
                  <w:r>
                    <w:rPr>
                      <w:rFonts w:ascii="SimSun" w:hAnsi="SimSun" w:eastAsia="SimSun" w:cs="SimSun"/>
                      <w:sz w:val="19"/>
                      <w:szCs w:val="19"/>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120"/>
          <w:pgSz w:w="11907" w:h="16840"/>
          <w:pgMar w:top="1567" w:right="1700" w:bottom="400" w:left="1701" w:header="1221" w:footer="0" w:gutter="0"/>
        </w:sectPr>
        <w:rPr>
          <w:rFonts w:ascii="SimSun" w:hAnsi="SimSun" w:eastAsia="SimSun" w:cs="SimSun"/>
          <w:sz w:val="19"/>
          <w:szCs w:val="19"/>
        </w:rPr>
      </w:pPr>
    </w:p>
    <w:p>
      <w:pPr>
        <w:ind w:left="11" w:right="18" w:hanging="6"/>
        <w:spacing w:before="186" w:line="360" w:lineRule="auto"/>
        <w:jc w:val="both"/>
        <w:rPr>
          <w:rFonts w:ascii="SimSun" w:hAnsi="SimSun" w:eastAsia="SimSun" w:cs="SimSun"/>
          <w:sz w:val="24"/>
          <w:szCs w:val="24"/>
        </w:rPr>
      </w:pPr>
      <w:r>
        <w:pict>
          <v:shape id="_x0000_s570" style="position:absolute;margin-left:85.05pt;margin-top:79.11pt;mso-position-vertical-relative:page;mso-position-horizontal-relative:page;width:425.25pt;height:0.75pt;z-index:251909120;" o:allowincell="f" fillcolor="#000000" filled="true" stroked="false" coordsize="8505,15" coordorigin="0,0" path="m,l8505,0l8505,14l0,14l0,0xe"/>
        </w:pict>
      </w:r>
      <w:r>
        <w:rPr>
          <w:rFonts w:ascii="Times New Roman" w:hAnsi="Times New Roman" w:eastAsia="Times New Roman" w:cs="Times New Roman"/>
          <w:sz w:val="24"/>
          <w:szCs w:val="24"/>
          <w:spacing w:val="-1"/>
        </w:rPr>
        <w:t>20 </w:t>
      </w:r>
      <w:r>
        <w:rPr>
          <w:rFonts w:ascii="SimSun" w:hAnsi="SimSun" w:eastAsia="SimSun" w:cs="SimSun"/>
          <w:sz w:val="24"/>
          <w:szCs w:val="24"/>
          <w:spacing w:val="-1"/>
        </w:rPr>
        <w:t>个总面积</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22km</w:t>
      </w:r>
      <w:r>
        <w:rPr>
          <w:rFonts w:ascii="Times New Roman" w:hAnsi="Times New Roman" w:eastAsia="Times New Roman" w:cs="Times New Roman"/>
          <w:sz w:val="15"/>
          <w:szCs w:val="15"/>
          <w:spacing w:val="-1"/>
          <w:position w:val="8"/>
        </w:rPr>
        <w:t>2</w:t>
      </w:r>
      <w:r>
        <w:rPr>
          <w:rFonts w:ascii="Times New Roman" w:hAnsi="Times New Roman" w:eastAsia="Times New Roman" w:cs="Times New Roman"/>
          <w:sz w:val="15"/>
          <w:szCs w:val="15"/>
          <w:spacing w:val="-7"/>
          <w:position w:val="8"/>
        </w:rPr>
        <w:t xml:space="preserve"> </w:t>
      </w:r>
      <w:r>
        <w:rPr>
          <w:rFonts w:ascii="SimSun" w:hAnsi="SimSun" w:eastAsia="SimSun" w:cs="SimSun"/>
          <w:sz w:val="24"/>
          <w:szCs w:val="24"/>
          <w:spacing w:val="-1"/>
        </w:rPr>
        <w:t>，蓄水量</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446.3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万</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8"/>
        </w:rPr>
        <w:t>3 </w:t>
      </w:r>
      <w:r>
        <w:rPr>
          <w:rFonts w:ascii="SimSun" w:hAnsi="SimSun" w:eastAsia="SimSun" w:cs="SimSun"/>
          <w:sz w:val="24"/>
          <w:szCs w:val="24"/>
          <w:spacing w:val="-1"/>
        </w:rPr>
        <w:t>。较大的有乌兰淖尔、沙</w:t>
      </w:r>
      <w:r>
        <w:rPr>
          <w:rFonts w:ascii="SimSun" w:hAnsi="SimSun" w:eastAsia="SimSun" w:cs="SimSun"/>
          <w:sz w:val="24"/>
          <w:szCs w:val="24"/>
          <w:spacing w:val="-2"/>
        </w:rPr>
        <w:t>日盖淖尔、伊和</w:t>
      </w:r>
      <w:r>
        <w:rPr>
          <w:rFonts w:ascii="SimSun" w:hAnsi="SimSun" w:eastAsia="SimSun" w:cs="SimSun"/>
          <w:sz w:val="24"/>
          <w:szCs w:val="24"/>
        </w:rPr>
        <w:t xml:space="preserve"> </w:t>
      </w:r>
      <w:r>
        <w:rPr>
          <w:rFonts w:ascii="SimSun" w:hAnsi="SimSun" w:eastAsia="SimSun" w:cs="SimSun"/>
          <w:sz w:val="24"/>
          <w:szCs w:val="24"/>
          <w:spacing w:val="-2"/>
        </w:rPr>
        <w:t>淖尔、雹拉坦嘎达淖尔、衙门淖尔、哈尔盖淖</w:t>
      </w:r>
      <w:r>
        <w:rPr>
          <w:rFonts w:ascii="SimSun" w:hAnsi="SimSun" w:eastAsia="SimSun" w:cs="SimSun"/>
          <w:sz w:val="24"/>
          <w:szCs w:val="24"/>
          <w:spacing w:val="-3"/>
        </w:rPr>
        <w:t>尔、浩雷淖尔、夏日布日都淖尔等，</w:t>
      </w:r>
      <w:r>
        <w:rPr>
          <w:rFonts w:ascii="SimSun" w:hAnsi="SimSun" w:eastAsia="SimSun" w:cs="SimSun"/>
          <w:sz w:val="24"/>
          <w:szCs w:val="24"/>
        </w:rPr>
        <w:t xml:space="preserve"> </w:t>
      </w:r>
      <w:r>
        <w:rPr>
          <w:rFonts w:ascii="SimSun" w:hAnsi="SimSun" w:eastAsia="SimSun" w:cs="SimSun"/>
          <w:sz w:val="24"/>
          <w:szCs w:val="24"/>
          <w:spacing w:val="-1"/>
        </w:rPr>
        <w:t>蓄水工程有新河水库和在建的达哈尔塘坝。</w:t>
      </w:r>
    </w:p>
    <w:p>
      <w:pPr>
        <w:ind w:left="5"/>
        <w:spacing w:before="122" w:line="223" w:lineRule="auto"/>
        <w:outlineLvl w:val="2"/>
        <w:rPr>
          <w:rFonts w:ascii="SimHei" w:hAnsi="SimHei" w:eastAsia="SimHei" w:cs="SimHei"/>
          <w:sz w:val="28"/>
          <w:szCs w:val="28"/>
        </w:rPr>
      </w:pPr>
      <w:bookmarkStart w:name="bookmark77" w:id="97"/>
      <w:bookmarkEnd w:id="97"/>
      <w:r>
        <w:rPr>
          <w:rFonts w:ascii="Times New Roman" w:hAnsi="Times New Roman" w:eastAsia="Times New Roman" w:cs="Times New Roman"/>
          <w:sz w:val="28"/>
          <w:szCs w:val="28"/>
          <w:spacing w:val="-1"/>
        </w:rPr>
        <w:t>4.1.5 </w:t>
      </w:r>
      <w:r>
        <w:rPr>
          <w:rFonts w:ascii="SimHei" w:hAnsi="SimHei" w:eastAsia="SimHei" w:cs="SimHei"/>
          <w:sz w:val="28"/>
          <w:szCs w:val="28"/>
          <w:spacing w:val="-1"/>
        </w:rPr>
        <w:t>气候气象</w:t>
      </w:r>
    </w:p>
    <w:p>
      <w:pPr>
        <w:pStyle w:val="BodyText"/>
        <w:rPr/>
      </w:pPr>
      <w:r/>
    </w:p>
    <w:p>
      <w:pPr>
        <w:ind w:left="8" w:right="78" w:firstLine="485"/>
        <w:spacing w:before="78" w:line="359" w:lineRule="auto"/>
        <w:jc w:val="both"/>
        <w:rPr>
          <w:rFonts w:ascii="SimSun" w:hAnsi="SimSun" w:eastAsia="SimSun" w:cs="SimSun"/>
          <w:sz w:val="24"/>
          <w:szCs w:val="24"/>
        </w:rPr>
      </w:pPr>
      <w:r>
        <w:rPr>
          <w:rFonts w:ascii="SimSun" w:hAnsi="SimSun" w:eastAsia="SimSun" w:cs="SimSun"/>
          <w:sz w:val="24"/>
          <w:szCs w:val="24"/>
          <w:spacing w:val="3"/>
        </w:rPr>
        <w:t>正镶白旗属中温带干旱大陆性气候，主要的气候特征为</w:t>
      </w:r>
      <w:r>
        <w:rPr>
          <w:rFonts w:ascii="SimSun" w:hAnsi="SimSun" w:eastAsia="SimSun" w:cs="SimSun"/>
          <w:sz w:val="24"/>
          <w:szCs w:val="24"/>
          <w:spacing w:val="2"/>
        </w:rPr>
        <w:t>：冬长春短，夏热秋</w:t>
      </w:r>
      <w:r>
        <w:rPr>
          <w:rFonts w:ascii="SimSun" w:hAnsi="SimSun" w:eastAsia="SimSun" w:cs="SimSun"/>
          <w:sz w:val="24"/>
          <w:szCs w:val="24"/>
        </w:rPr>
        <w:t xml:space="preserve"> </w:t>
      </w:r>
      <w:r>
        <w:rPr>
          <w:rFonts w:ascii="SimSun" w:hAnsi="SimSun" w:eastAsia="SimSun" w:cs="SimSun"/>
          <w:sz w:val="24"/>
          <w:szCs w:val="24"/>
          <w:spacing w:val="3"/>
        </w:rPr>
        <w:t>凉，无霜期短，降水量少而集中，昼夜温差大，光照充足</w:t>
      </w:r>
      <w:r>
        <w:rPr>
          <w:rFonts w:ascii="SimSun" w:hAnsi="SimSun" w:eastAsia="SimSun" w:cs="SimSun"/>
          <w:sz w:val="24"/>
          <w:szCs w:val="24"/>
          <w:spacing w:val="2"/>
        </w:rPr>
        <w:t>，雨热同季。年平均温</w:t>
      </w:r>
      <w:r>
        <w:rPr>
          <w:rFonts w:ascii="SimSun" w:hAnsi="SimSun" w:eastAsia="SimSun" w:cs="SimSun"/>
          <w:sz w:val="24"/>
          <w:szCs w:val="24"/>
        </w:rPr>
        <w:t xml:space="preserve"> </w:t>
      </w:r>
      <w:r>
        <w:rPr>
          <w:rFonts w:ascii="SimSun" w:hAnsi="SimSun" w:eastAsia="SimSun" w:cs="SimSun"/>
          <w:sz w:val="24"/>
          <w:szCs w:val="24"/>
          <w:spacing w:val="-8"/>
        </w:rPr>
        <w:t>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8"/>
        </w:rPr>
        <w:t>1.9℃</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8"/>
        </w:rPr>
        <w:t>,</w:t>
      </w:r>
      <w:r>
        <w:rPr>
          <w:rFonts w:ascii="SimSun" w:hAnsi="SimSun" w:eastAsia="SimSun" w:cs="SimSun"/>
          <w:sz w:val="24"/>
          <w:szCs w:val="24"/>
          <w:spacing w:val="57"/>
        </w:rPr>
        <w:t xml:space="preserve"> </w:t>
      </w:r>
      <w:r>
        <w:rPr>
          <w:rFonts w:ascii="SimSun" w:hAnsi="SimSun" w:eastAsia="SimSun" w:cs="SimSun"/>
          <w:sz w:val="24"/>
          <w:szCs w:val="24"/>
          <w:spacing w:val="-8"/>
        </w:rPr>
        <w:t>最冷月（</w:t>
      </w:r>
      <w:r>
        <w:rPr>
          <w:rFonts w:ascii="Times New Roman" w:hAnsi="Times New Roman" w:eastAsia="Times New Roman" w:cs="Times New Roman"/>
          <w:sz w:val="24"/>
          <w:szCs w:val="24"/>
          <w:spacing w:val="-8"/>
        </w:rPr>
        <w:t>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8"/>
        </w:rPr>
        <w:t>月份）平均气温</w:t>
      </w:r>
      <w:r>
        <w:rPr>
          <w:rFonts w:ascii="Times New Roman" w:hAnsi="Times New Roman" w:eastAsia="Times New Roman" w:cs="Times New Roman"/>
          <w:sz w:val="24"/>
          <w:szCs w:val="24"/>
          <w:spacing w:val="-8"/>
        </w:rPr>
        <w:t>-19.</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8"/>
        </w:rPr>
        <w:t>1℃</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8"/>
        </w:rPr>
        <w:t>,</w:t>
      </w:r>
      <w:r>
        <w:rPr>
          <w:rFonts w:ascii="SimSun" w:hAnsi="SimSun" w:eastAsia="SimSun" w:cs="SimSun"/>
          <w:sz w:val="24"/>
          <w:szCs w:val="24"/>
          <w:spacing w:val="56"/>
        </w:rPr>
        <w:t xml:space="preserve"> </w:t>
      </w:r>
      <w:r>
        <w:rPr>
          <w:rFonts w:ascii="SimSun" w:hAnsi="SimSun" w:eastAsia="SimSun" w:cs="SimSun"/>
          <w:sz w:val="24"/>
          <w:szCs w:val="24"/>
          <w:spacing w:val="-8"/>
        </w:rPr>
        <w:t>最热月（</w:t>
      </w:r>
      <w:r>
        <w:rPr>
          <w:rFonts w:ascii="Times New Roman" w:hAnsi="Times New Roman" w:eastAsia="Times New Roman" w:cs="Times New Roman"/>
          <w:sz w:val="24"/>
          <w:szCs w:val="24"/>
          <w:spacing w:val="-8"/>
        </w:rPr>
        <w:t>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8"/>
        </w:rPr>
        <w:t>月份）平均气温</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8"/>
        </w:rPr>
        <w:t>1</w:t>
      </w:r>
      <w:r>
        <w:rPr>
          <w:rFonts w:ascii="Times New Roman" w:hAnsi="Times New Roman" w:eastAsia="Times New Roman" w:cs="Times New Roman"/>
          <w:sz w:val="24"/>
          <w:szCs w:val="24"/>
          <w:spacing w:val="-9"/>
        </w:rPr>
        <w:t>7.6℃</w:t>
      </w:r>
      <w:r>
        <w:rPr>
          <w:rFonts w:ascii="SimSun" w:hAnsi="SimSun" w:eastAsia="SimSun" w:cs="SimSun"/>
          <w:sz w:val="24"/>
          <w:szCs w:val="24"/>
          <w:spacing w:val="-9"/>
        </w:rPr>
        <w:t>;</w:t>
      </w:r>
    </w:p>
    <w:p>
      <w:pPr>
        <w:ind w:left="9" w:right="80" w:firstLine="1"/>
        <w:spacing w:before="2" w:line="360" w:lineRule="auto"/>
        <w:jc w:val="both"/>
        <w:rPr>
          <w:rFonts w:ascii="SimSun" w:hAnsi="SimSun" w:eastAsia="SimSun" w:cs="SimSun"/>
          <w:sz w:val="24"/>
          <w:szCs w:val="24"/>
        </w:rPr>
      </w:pPr>
      <w:r>
        <w:rPr>
          <w:rFonts w:ascii="SimSun" w:hAnsi="SimSun" w:eastAsia="SimSun" w:cs="SimSun"/>
          <w:sz w:val="24"/>
          <w:szCs w:val="24"/>
          <w:spacing w:val="-3"/>
        </w:rPr>
        <w:t>年均降水量：南部丘陵草原</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3"/>
        </w:rPr>
        <w:t>360mm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，北部沙区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268mm</w:t>
      </w:r>
      <w:r>
        <w:rPr>
          <w:rFonts w:ascii="SimSun" w:hAnsi="SimSun" w:eastAsia="SimSun" w:cs="SimSun"/>
          <w:sz w:val="24"/>
          <w:szCs w:val="24"/>
          <w:spacing w:val="-3"/>
        </w:rPr>
        <w:t>；年均蒸发量：中南部丘陵</w:t>
      </w:r>
      <w:r>
        <w:rPr>
          <w:rFonts w:ascii="SimSun" w:hAnsi="SimSun" w:eastAsia="SimSun" w:cs="SimSun"/>
          <w:sz w:val="24"/>
          <w:szCs w:val="24"/>
        </w:rPr>
        <w:t xml:space="preserve"> </w:t>
      </w:r>
      <w:r>
        <w:rPr>
          <w:rFonts w:ascii="SimSun" w:hAnsi="SimSun" w:eastAsia="SimSun" w:cs="SimSun"/>
          <w:sz w:val="24"/>
          <w:szCs w:val="24"/>
          <w:spacing w:val="-8"/>
        </w:rPr>
        <w:t>草原</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8"/>
        </w:rPr>
        <w:t>1932mm</w:t>
      </w:r>
      <w:r>
        <w:rPr>
          <w:rFonts w:ascii="SimSun" w:hAnsi="SimSun" w:eastAsia="SimSun" w:cs="SimSun"/>
          <w:sz w:val="24"/>
          <w:szCs w:val="24"/>
          <w:spacing w:val="-8"/>
        </w:rPr>
        <w:t>，北部沙区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8"/>
        </w:rPr>
        <w:t>2300mm</w:t>
      </w:r>
      <w:r>
        <w:rPr>
          <w:rFonts w:ascii="SimSun" w:hAnsi="SimSun" w:eastAsia="SimSun" w:cs="SimSun"/>
          <w:sz w:val="24"/>
          <w:szCs w:val="24"/>
          <w:spacing w:val="-8"/>
        </w:rPr>
        <w:t>；无霜期：中南部丘陵草原</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8"/>
        </w:rPr>
        <w:t>112</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8"/>
        </w:rPr>
        <w:t>天，北部沙区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8"/>
        </w:rPr>
        <w:t>135</w:t>
      </w:r>
      <w:r>
        <w:rPr>
          <w:rFonts w:ascii="Times New Roman" w:hAnsi="Times New Roman" w:eastAsia="Times New Roman" w:cs="Times New Roman"/>
          <w:sz w:val="24"/>
          <w:szCs w:val="24"/>
        </w:rPr>
        <w:t xml:space="preserve"> </w:t>
      </w:r>
      <w:r>
        <w:rPr>
          <w:rFonts w:ascii="SimSun" w:hAnsi="SimSun" w:eastAsia="SimSun" w:cs="SimSun"/>
          <w:sz w:val="24"/>
          <w:szCs w:val="24"/>
          <w:spacing w:val="-2"/>
        </w:rPr>
        <w:t>天；日照时数：中南部丘陵草原</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2889</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小时，北部沙区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3200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小时；</w:t>
      </w:r>
      <w:r>
        <w:rPr>
          <w:rFonts w:ascii="Times New Roman" w:hAnsi="Times New Roman" w:eastAsia="Times New Roman" w:cs="Times New Roman"/>
          <w:sz w:val="24"/>
          <w:szCs w:val="24"/>
          <w:spacing w:val="-3"/>
        </w:rPr>
        <w:t>≥10℃</w:t>
      </w:r>
      <w:r>
        <w:rPr>
          <w:rFonts w:ascii="SimSun" w:hAnsi="SimSun" w:eastAsia="SimSun" w:cs="SimSun"/>
          <w:sz w:val="24"/>
          <w:szCs w:val="24"/>
          <w:spacing w:val="-3"/>
        </w:rPr>
        <w:t>的有效积</w:t>
      </w:r>
      <w:r>
        <w:rPr>
          <w:rFonts w:ascii="SimSun" w:hAnsi="SimSun" w:eastAsia="SimSun" w:cs="SimSun"/>
          <w:sz w:val="24"/>
          <w:szCs w:val="24"/>
        </w:rPr>
        <w:t xml:space="preserve"> </w:t>
      </w:r>
      <w:r>
        <w:rPr>
          <w:rFonts w:ascii="SimSun" w:hAnsi="SimSun" w:eastAsia="SimSun" w:cs="SimSun"/>
          <w:sz w:val="24"/>
          <w:szCs w:val="24"/>
          <w:spacing w:val="-3"/>
        </w:rPr>
        <w:t>温：中南部丘陵草原</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2000℃</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w:t>
      </w:r>
      <w:r>
        <w:rPr>
          <w:rFonts w:ascii="SimSun" w:hAnsi="SimSun" w:eastAsia="SimSun" w:cs="SimSun"/>
          <w:sz w:val="24"/>
          <w:szCs w:val="24"/>
          <w:spacing w:val="50"/>
        </w:rPr>
        <w:t xml:space="preserve"> </w:t>
      </w:r>
      <w:r>
        <w:rPr>
          <w:rFonts w:ascii="SimSun" w:hAnsi="SimSun" w:eastAsia="SimSun" w:cs="SimSun"/>
          <w:sz w:val="24"/>
          <w:szCs w:val="24"/>
          <w:spacing w:val="-3"/>
        </w:rPr>
        <w:t>北部沙区</w:t>
      </w:r>
      <w:r>
        <w:rPr>
          <w:rFonts w:ascii="Times New Roman" w:hAnsi="Times New Roman" w:eastAsia="Times New Roman" w:cs="Times New Roman"/>
          <w:sz w:val="24"/>
          <w:szCs w:val="24"/>
          <w:spacing w:val="-3"/>
        </w:rPr>
        <w:t>2350℃</w:t>
      </w:r>
      <w:r>
        <w:rPr>
          <w:rFonts w:ascii="SimSun" w:hAnsi="SimSun" w:eastAsia="SimSun" w:cs="SimSun"/>
          <w:sz w:val="24"/>
          <w:szCs w:val="24"/>
          <w:spacing w:val="-3"/>
        </w:rPr>
        <w:t>；年平均风速</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4m/s</w:t>
      </w:r>
      <w:r>
        <w:rPr>
          <w:rFonts w:ascii="SimSun" w:hAnsi="SimSun" w:eastAsia="SimSun" w:cs="SimSun"/>
          <w:sz w:val="24"/>
          <w:szCs w:val="24"/>
          <w:spacing w:val="-3"/>
        </w:rPr>
        <w:t>，全年大风日数</w:t>
      </w:r>
      <w:r>
        <w:rPr>
          <w:rFonts w:ascii="SimSun" w:hAnsi="SimSun" w:eastAsia="SimSun" w:cs="SimSun"/>
          <w:sz w:val="24"/>
          <w:szCs w:val="24"/>
        </w:rPr>
        <w:t xml:space="preserve"> </w:t>
      </w:r>
      <w:r>
        <w:rPr>
          <w:rFonts w:ascii="Times New Roman" w:hAnsi="Times New Roman" w:eastAsia="Times New Roman" w:cs="Times New Roman"/>
          <w:sz w:val="24"/>
          <w:szCs w:val="24"/>
          <w:spacing w:val="-1"/>
        </w:rPr>
        <w:t>78 </w:t>
      </w:r>
      <w:r>
        <w:rPr>
          <w:rFonts w:ascii="SimSun" w:hAnsi="SimSun" w:eastAsia="SimSun" w:cs="SimSun"/>
          <w:sz w:val="24"/>
          <w:szCs w:val="24"/>
          <w:spacing w:val="-1"/>
        </w:rPr>
        <w:t>天（</w:t>
      </w:r>
      <w:r>
        <w:rPr>
          <w:rFonts w:ascii="Times New Roman" w:hAnsi="Times New Roman" w:eastAsia="Times New Roman" w:cs="Times New Roman"/>
          <w:sz w:val="24"/>
          <w:szCs w:val="24"/>
          <w:spacing w:val="-1"/>
        </w:rPr>
        <w:t>6-8 </w:t>
      </w:r>
      <w:r>
        <w:rPr>
          <w:rFonts w:ascii="SimSun" w:hAnsi="SimSun" w:eastAsia="SimSun" w:cs="SimSun"/>
          <w:sz w:val="24"/>
          <w:szCs w:val="24"/>
          <w:spacing w:val="-1"/>
        </w:rPr>
        <w:t>级</w:t>
      </w:r>
      <w:r>
        <w:rPr>
          <w:rFonts w:ascii="SimSun" w:hAnsi="SimSun" w:eastAsia="SimSun" w:cs="SimSun"/>
          <w:sz w:val="24"/>
          <w:szCs w:val="24"/>
          <w:spacing w:val="10"/>
        </w:rPr>
        <w:t>），</w:t>
      </w:r>
      <w:r>
        <w:rPr>
          <w:rFonts w:ascii="SimSun" w:hAnsi="SimSun" w:eastAsia="SimSun" w:cs="SimSun"/>
          <w:sz w:val="24"/>
          <w:szCs w:val="24"/>
          <w:spacing w:val="-1"/>
        </w:rPr>
        <w:t>多为西北风。风能、太阳能</w:t>
      </w:r>
      <w:r>
        <w:rPr>
          <w:rFonts w:ascii="SimSun" w:hAnsi="SimSun" w:eastAsia="SimSun" w:cs="SimSun"/>
          <w:sz w:val="24"/>
          <w:szCs w:val="24"/>
          <w:spacing w:val="-2"/>
        </w:rPr>
        <w:t>资源富集。</w:t>
      </w:r>
    </w:p>
    <w:p>
      <w:pPr>
        <w:ind w:left="5"/>
        <w:spacing w:before="118" w:line="222" w:lineRule="auto"/>
        <w:outlineLvl w:val="2"/>
        <w:rPr>
          <w:rFonts w:ascii="SimHei" w:hAnsi="SimHei" w:eastAsia="SimHei" w:cs="SimHei"/>
          <w:sz w:val="28"/>
          <w:szCs w:val="28"/>
        </w:rPr>
      </w:pPr>
      <w:bookmarkStart w:name="bookmark78" w:id="98"/>
      <w:bookmarkEnd w:id="98"/>
      <w:r>
        <w:rPr>
          <w:rFonts w:ascii="Times New Roman" w:hAnsi="Times New Roman" w:eastAsia="Times New Roman" w:cs="Times New Roman"/>
          <w:sz w:val="28"/>
          <w:szCs w:val="28"/>
          <w:spacing w:val="-1"/>
        </w:rPr>
        <w:t>4.1.6 </w:t>
      </w:r>
      <w:r>
        <w:rPr>
          <w:rFonts w:ascii="SimHei" w:hAnsi="SimHei" w:eastAsia="SimHei" w:cs="SimHei"/>
          <w:sz w:val="28"/>
          <w:szCs w:val="28"/>
          <w:spacing w:val="-1"/>
        </w:rPr>
        <w:t>动物植被</w:t>
      </w:r>
    </w:p>
    <w:p>
      <w:pPr>
        <w:pStyle w:val="BodyText"/>
        <w:spacing w:line="244" w:lineRule="auto"/>
        <w:rPr/>
      </w:pPr>
      <w:r/>
    </w:p>
    <w:p>
      <w:pPr>
        <w:ind w:left="11" w:firstLine="478"/>
        <w:spacing w:before="78" w:line="359" w:lineRule="auto"/>
        <w:jc w:val="both"/>
        <w:rPr>
          <w:rFonts w:ascii="SimSun" w:hAnsi="SimSun" w:eastAsia="SimSun" w:cs="SimSun"/>
          <w:sz w:val="24"/>
          <w:szCs w:val="24"/>
        </w:rPr>
      </w:pPr>
      <w:r>
        <w:rPr>
          <w:rFonts w:ascii="SimSun" w:hAnsi="SimSun" w:eastAsia="SimSun" w:cs="SimSun"/>
          <w:sz w:val="24"/>
          <w:szCs w:val="24"/>
          <w:spacing w:val="-2"/>
        </w:rPr>
        <w:t>野生动物资源主要有以草类植物根部为食的臼啮动物布氏田鼠、达乌尔黄鼠、</w:t>
      </w:r>
      <w:r>
        <w:rPr>
          <w:rFonts w:ascii="SimSun" w:hAnsi="SimSun" w:eastAsia="SimSun" w:cs="SimSun"/>
          <w:sz w:val="24"/>
          <w:szCs w:val="24"/>
          <w:spacing w:val="1"/>
        </w:rPr>
        <w:t xml:space="preserve"> </w:t>
      </w:r>
      <w:r>
        <w:rPr>
          <w:rFonts w:ascii="SimSun" w:hAnsi="SimSun" w:eastAsia="SimSun" w:cs="SimSun"/>
          <w:sz w:val="24"/>
          <w:szCs w:val="24"/>
          <w:spacing w:val="3"/>
        </w:rPr>
        <w:t>草原鼬鼠和狍子，野兔等，肉食类动物以狼、狐狸、</w:t>
      </w:r>
      <w:r>
        <w:rPr>
          <w:rFonts w:ascii="SimSun" w:hAnsi="SimSun" w:eastAsia="SimSun" w:cs="SimSun"/>
          <w:sz w:val="24"/>
          <w:szCs w:val="24"/>
          <w:spacing w:val="2"/>
        </w:rPr>
        <w:t>艾鼬等，个体大，具有一定</w:t>
      </w:r>
      <w:r>
        <w:rPr>
          <w:rFonts w:ascii="SimSun" w:hAnsi="SimSun" w:eastAsia="SimSun" w:cs="SimSun"/>
          <w:sz w:val="24"/>
          <w:szCs w:val="24"/>
        </w:rPr>
        <w:t xml:space="preserve"> </w:t>
      </w:r>
      <w:r>
        <w:rPr>
          <w:rFonts w:ascii="SimSun" w:hAnsi="SimSun" w:eastAsia="SimSun" w:cs="SimSun"/>
          <w:sz w:val="24"/>
          <w:szCs w:val="24"/>
          <w:spacing w:val="-2"/>
        </w:rPr>
        <w:t>的皮毛价值。</w:t>
      </w:r>
    </w:p>
    <w:p>
      <w:pPr>
        <w:ind w:left="4" w:right="78" w:firstLine="485"/>
        <w:spacing w:before="7" w:line="359" w:lineRule="auto"/>
        <w:rPr>
          <w:rFonts w:ascii="SimSun" w:hAnsi="SimSun" w:eastAsia="SimSun" w:cs="SimSun"/>
          <w:sz w:val="24"/>
          <w:szCs w:val="24"/>
        </w:rPr>
      </w:pPr>
      <w:r>
        <w:rPr>
          <w:rFonts w:ascii="SimSun" w:hAnsi="SimSun" w:eastAsia="SimSun" w:cs="SimSun"/>
          <w:sz w:val="24"/>
          <w:szCs w:val="24"/>
          <w:spacing w:val="3"/>
        </w:rPr>
        <w:t>全旗属于中温带半干旱、干旱性大陆性气候，地带性植被以典型草</w:t>
      </w:r>
      <w:r>
        <w:rPr>
          <w:rFonts w:ascii="SimSun" w:hAnsi="SimSun" w:eastAsia="SimSun" w:cs="SimSun"/>
          <w:sz w:val="24"/>
          <w:szCs w:val="24"/>
          <w:spacing w:val="2"/>
        </w:rPr>
        <w:t>原植被和</w:t>
      </w:r>
      <w:r>
        <w:rPr>
          <w:rFonts w:ascii="SimSun" w:hAnsi="SimSun" w:eastAsia="SimSun" w:cs="SimSun"/>
          <w:sz w:val="24"/>
          <w:szCs w:val="24"/>
        </w:rPr>
        <w:t xml:space="preserve"> </w:t>
      </w:r>
      <w:r>
        <w:rPr>
          <w:rFonts w:ascii="SimSun" w:hAnsi="SimSun" w:eastAsia="SimSun" w:cs="SimSun"/>
          <w:sz w:val="24"/>
          <w:szCs w:val="24"/>
          <w:spacing w:val="3"/>
        </w:rPr>
        <w:t>沙生植被为主，其次还有低山丘陵草甸草原植被、河泛地及湖盆地草</w:t>
      </w:r>
      <w:r>
        <w:rPr>
          <w:rFonts w:ascii="SimSun" w:hAnsi="SimSun" w:eastAsia="SimSun" w:cs="SimSun"/>
          <w:sz w:val="24"/>
          <w:szCs w:val="24"/>
          <w:spacing w:val="2"/>
        </w:rPr>
        <w:t>甸植被。全</w:t>
      </w:r>
      <w:r>
        <w:rPr>
          <w:rFonts w:ascii="SimSun" w:hAnsi="SimSun" w:eastAsia="SimSun" w:cs="SimSun"/>
          <w:sz w:val="24"/>
          <w:szCs w:val="24"/>
        </w:rPr>
        <w:t xml:space="preserve"> </w:t>
      </w:r>
      <w:r>
        <w:rPr>
          <w:rFonts w:ascii="SimSun" w:hAnsi="SimSun" w:eastAsia="SimSun" w:cs="SimSun"/>
          <w:sz w:val="24"/>
          <w:szCs w:val="24"/>
          <w:spacing w:val="3"/>
        </w:rPr>
        <w:t>旗的草原植被主要分布在中北部地区，南部农区在山顶、山坡、沟谷</w:t>
      </w:r>
      <w:r>
        <w:rPr>
          <w:rFonts w:ascii="SimSun" w:hAnsi="SimSun" w:eastAsia="SimSun" w:cs="SimSun"/>
          <w:sz w:val="24"/>
          <w:szCs w:val="24"/>
          <w:spacing w:val="2"/>
        </w:rPr>
        <w:t>低洼地和田</w:t>
      </w:r>
      <w:r>
        <w:rPr>
          <w:rFonts w:ascii="SimSun" w:hAnsi="SimSun" w:eastAsia="SimSun" w:cs="SimSun"/>
          <w:sz w:val="24"/>
          <w:szCs w:val="24"/>
        </w:rPr>
        <w:t xml:space="preserve"> </w:t>
      </w:r>
      <w:r>
        <w:rPr>
          <w:rFonts w:ascii="SimSun" w:hAnsi="SimSun" w:eastAsia="SimSun" w:cs="SimSun"/>
          <w:sz w:val="24"/>
          <w:szCs w:val="24"/>
          <w:spacing w:val="3"/>
        </w:rPr>
        <w:t>间地梗等地段有零星分布。由于受自然条件限制，正镶白旗林木资源</w:t>
      </w:r>
      <w:r>
        <w:rPr>
          <w:rFonts w:ascii="SimSun" w:hAnsi="SimSun" w:eastAsia="SimSun" w:cs="SimSun"/>
          <w:sz w:val="24"/>
          <w:szCs w:val="24"/>
          <w:spacing w:val="2"/>
        </w:rPr>
        <w:t>甚少，仅在</w:t>
      </w:r>
      <w:r>
        <w:rPr>
          <w:rFonts w:ascii="SimSun" w:hAnsi="SimSun" w:eastAsia="SimSun" w:cs="SimSun"/>
          <w:sz w:val="24"/>
          <w:szCs w:val="24"/>
        </w:rPr>
        <w:t xml:space="preserve"> </w:t>
      </w:r>
      <w:r>
        <w:rPr>
          <w:rFonts w:ascii="SimSun" w:hAnsi="SimSun" w:eastAsia="SimSun" w:cs="SimSun"/>
          <w:sz w:val="24"/>
          <w:szCs w:val="24"/>
          <w:spacing w:val="-1"/>
        </w:rPr>
        <w:t>一些特殊生境下，分布有适于干旱草原生物气候的天然</w:t>
      </w:r>
      <w:r>
        <w:rPr>
          <w:rFonts w:ascii="SimSun" w:hAnsi="SimSun" w:eastAsia="SimSun" w:cs="SimSun"/>
          <w:sz w:val="24"/>
          <w:szCs w:val="24"/>
          <w:spacing w:val="-2"/>
        </w:rPr>
        <w:t>树种。经普查，共有</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17 </w:t>
      </w:r>
      <w:r>
        <w:rPr>
          <w:rFonts w:ascii="SimSun" w:hAnsi="SimSun" w:eastAsia="SimSun" w:cs="SimSun"/>
          <w:sz w:val="24"/>
          <w:szCs w:val="24"/>
          <w:spacing w:val="-2"/>
        </w:rPr>
        <w:t>科</w:t>
      </w:r>
      <w:r>
        <w:rPr>
          <w:rFonts w:ascii="SimSun" w:hAnsi="SimSun" w:eastAsia="SimSun" w:cs="SimSun"/>
          <w:sz w:val="24"/>
          <w:szCs w:val="24"/>
        </w:rPr>
        <w:t xml:space="preserve"> </w:t>
      </w:r>
      <w:r>
        <w:rPr>
          <w:rFonts w:ascii="Times New Roman" w:hAnsi="Times New Roman" w:eastAsia="Times New Roman" w:cs="Times New Roman"/>
          <w:sz w:val="24"/>
          <w:szCs w:val="24"/>
          <w:spacing w:val="1"/>
        </w:rPr>
        <w:t>42 </w:t>
      </w:r>
      <w:r>
        <w:rPr>
          <w:rFonts w:ascii="SimSun" w:hAnsi="SimSun" w:eastAsia="SimSun" w:cs="SimSun"/>
          <w:sz w:val="24"/>
          <w:szCs w:val="24"/>
          <w:spacing w:val="1"/>
        </w:rPr>
        <w:t>种。乔木主要有黄榆、白榆、茶条槭，蓄积</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446 </w:t>
      </w:r>
      <w:r>
        <w:rPr>
          <w:rFonts w:ascii="SimSun" w:hAnsi="SimSun" w:eastAsia="SimSun" w:cs="SimSun"/>
          <w:sz w:val="24"/>
          <w:szCs w:val="24"/>
          <w:spacing w:val="1"/>
        </w:rPr>
        <w:t>立方米；灌木主要</w:t>
      </w:r>
      <w:r>
        <w:rPr>
          <w:rFonts w:ascii="SimSun" w:hAnsi="SimSun" w:eastAsia="SimSun" w:cs="SimSun"/>
          <w:sz w:val="24"/>
          <w:szCs w:val="24"/>
        </w:rPr>
        <w:t>有小红柳、 </w:t>
      </w:r>
      <w:r>
        <w:rPr>
          <w:rFonts w:ascii="SimSun" w:hAnsi="SimSun" w:eastAsia="SimSun" w:cs="SimSun"/>
          <w:sz w:val="24"/>
          <w:szCs w:val="24"/>
          <w:spacing w:val="3"/>
        </w:rPr>
        <w:t>柄扁桃、枸子木、绣线菊、茶蔗子、胡枝子、优若藜、黄栌木、锦鸡</w:t>
      </w:r>
      <w:r>
        <w:rPr>
          <w:rFonts w:ascii="SimSun" w:hAnsi="SimSun" w:eastAsia="SimSun" w:cs="SimSun"/>
          <w:sz w:val="24"/>
          <w:szCs w:val="24"/>
          <w:spacing w:val="2"/>
        </w:rPr>
        <w:t>儿。正镶白</w:t>
      </w:r>
      <w:r>
        <w:rPr>
          <w:rFonts w:ascii="SimSun" w:hAnsi="SimSun" w:eastAsia="SimSun" w:cs="SimSun"/>
          <w:sz w:val="24"/>
          <w:szCs w:val="24"/>
        </w:rPr>
        <w:t xml:space="preserve"> </w:t>
      </w:r>
      <w:r>
        <w:rPr>
          <w:rFonts w:ascii="SimSun" w:hAnsi="SimSun" w:eastAsia="SimSun" w:cs="SimSun"/>
          <w:sz w:val="24"/>
          <w:szCs w:val="24"/>
          <w:spacing w:val="3"/>
        </w:rPr>
        <w:t>旗牧草种类繁多，其中优质高产牧草有羊草、冰草、沙生冰草、糙隐</w:t>
      </w:r>
      <w:r>
        <w:rPr>
          <w:rFonts w:ascii="SimSun" w:hAnsi="SimSun" w:eastAsia="SimSun" w:cs="SimSun"/>
          <w:sz w:val="24"/>
          <w:szCs w:val="24"/>
          <w:spacing w:val="2"/>
        </w:rPr>
        <w:t>子草、细叶</w:t>
      </w:r>
      <w:r>
        <w:rPr>
          <w:rFonts w:ascii="SimSun" w:hAnsi="SimSun" w:eastAsia="SimSun" w:cs="SimSun"/>
          <w:sz w:val="24"/>
          <w:szCs w:val="24"/>
        </w:rPr>
        <w:t xml:space="preserve"> </w:t>
      </w:r>
      <w:r>
        <w:rPr>
          <w:rFonts w:ascii="SimSun" w:hAnsi="SimSun" w:eastAsia="SimSun" w:cs="SimSun"/>
          <w:sz w:val="24"/>
          <w:szCs w:val="24"/>
          <w:spacing w:val="3"/>
        </w:rPr>
        <w:t>葱、多根葱、蒙古葱、冷蒿、蓖齿蒿、茵陈蒿、黄蒿、克氏针茅、石</w:t>
      </w:r>
      <w:r>
        <w:rPr>
          <w:rFonts w:ascii="SimSun" w:hAnsi="SimSun" w:eastAsia="SimSun" w:cs="SimSun"/>
          <w:sz w:val="24"/>
          <w:szCs w:val="24"/>
          <w:spacing w:val="2"/>
        </w:rPr>
        <w:t>生针茅、贝</w:t>
      </w:r>
      <w:r>
        <w:rPr>
          <w:rFonts w:ascii="SimSun" w:hAnsi="SimSun" w:eastAsia="SimSun" w:cs="SimSun"/>
          <w:sz w:val="24"/>
          <w:szCs w:val="24"/>
        </w:rPr>
        <w:t xml:space="preserve"> </w:t>
      </w:r>
      <w:r>
        <w:rPr>
          <w:rFonts w:ascii="SimSun" w:hAnsi="SimSun" w:eastAsia="SimSun" w:cs="SimSun"/>
          <w:sz w:val="24"/>
          <w:szCs w:val="24"/>
          <w:spacing w:val="3"/>
        </w:rPr>
        <w:t>加尔针茅、短花针茅、芨芨草、沙竹、苔草、冷苔、寸草苔、花苜蓿</w:t>
      </w:r>
      <w:r>
        <w:rPr>
          <w:rFonts w:ascii="SimSun" w:hAnsi="SimSun" w:eastAsia="SimSun" w:cs="SimSun"/>
          <w:sz w:val="24"/>
          <w:szCs w:val="24"/>
          <w:spacing w:val="2"/>
        </w:rPr>
        <w:t>、花旗竿、</w:t>
      </w:r>
      <w:r>
        <w:rPr>
          <w:rFonts w:ascii="SimSun" w:hAnsi="SimSun" w:eastAsia="SimSun" w:cs="SimSun"/>
          <w:sz w:val="24"/>
          <w:szCs w:val="24"/>
        </w:rPr>
        <w:t xml:space="preserve"> </w:t>
      </w:r>
      <w:r>
        <w:rPr>
          <w:rFonts w:ascii="SimSun" w:hAnsi="SimSun" w:eastAsia="SimSun" w:cs="SimSun"/>
          <w:sz w:val="24"/>
          <w:szCs w:val="24"/>
        </w:rPr>
        <w:t>达乌里沁芭、阿尔泰狗娃花、麻花头、草芸香、白里香、</w:t>
      </w:r>
      <w:r>
        <w:rPr>
          <w:rFonts w:ascii="SimSun" w:hAnsi="SimSun" w:eastAsia="SimSun" w:cs="SimSun"/>
          <w:sz w:val="24"/>
          <w:szCs w:val="24"/>
          <w:spacing w:val="-1"/>
        </w:rPr>
        <w:t>萎陵菜等。</w:t>
      </w:r>
    </w:p>
    <w:p>
      <w:pPr>
        <w:pStyle w:val="BodyText"/>
        <w:spacing w:line="294" w:lineRule="auto"/>
        <w:rPr/>
      </w:pPr>
      <w:r/>
    </w:p>
    <w:p>
      <w:pPr>
        <w:ind w:left="7"/>
        <w:spacing w:before="62" w:line="227" w:lineRule="auto"/>
        <w:rPr>
          <w:rFonts w:ascii="SimSun" w:hAnsi="SimSun" w:eastAsia="SimSun" w:cs="SimSun"/>
          <w:sz w:val="19"/>
          <w:szCs w:val="19"/>
        </w:rPr>
      </w:pPr>
      <w:r>
        <w:pict>
          <v:shape id="_x0000_s572" style="position:absolute;margin-left:159.33pt;margin-top:2.09753pt;mso-position-vertical-relative:text;mso-position-horizontal-relative:text;width:61pt;height:13.75pt;z-index:25190809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rPr>
                    <w:t>任公司</w:t>
                  </w:r>
                  <w:r>
                    <w:rPr>
                      <w:rFonts w:ascii="SimSun" w:hAnsi="SimSun" w:eastAsia="SimSun" w:cs="SimSun"/>
                      <w:sz w:val="19"/>
                      <w:szCs w:val="19"/>
                      <w:spacing w:val="18"/>
                    </w:rPr>
                    <w:t xml:space="preserve">   </w:t>
                  </w:r>
                  <w:r>
                    <w:rPr>
                      <w:rFonts w:ascii="Times New Roman" w:hAnsi="Times New Roman" w:eastAsia="Times New Roman" w:cs="Times New Roman"/>
                      <w:sz w:val="18"/>
                      <w:szCs w:val="18"/>
                      <w:position w:val="2"/>
                    </w:rPr>
                    <w:t>113</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1"/>
          <w:pgSz w:w="11907" w:h="16840"/>
          <w:pgMar w:top="1567" w:right="1621" w:bottom="400" w:left="1701" w:header="1221" w:footer="0" w:gutter="0"/>
        </w:sectPr>
        <w:rPr>
          <w:rFonts w:ascii="SimSun" w:hAnsi="SimSun" w:eastAsia="SimSun" w:cs="SimSun"/>
          <w:sz w:val="19"/>
          <w:szCs w:val="19"/>
        </w:rPr>
      </w:pPr>
    </w:p>
    <w:p>
      <w:pPr>
        <w:ind w:left="10" w:right="99" w:firstLine="481"/>
        <w:spacing w:before="167" w:line="359" w:lineRule="auto"/>
        <w:jc w:val="both"/>
        <w:rPr>
          <w:rFonts w:ascii="SimSun" w:hAnsi="SimSun" w:eastAsia="SimSun" w:cs="SimSun"/>
          <w:sz w:val="24"/>
          <w:szCs w:val="24"/>
        </w:rPr>
      </w:pPr>
      <w:r>
        <w:pict>
          <v:shape id="_x0000_s574" style="position:absolute;margin-left:85.05pt;margin-top:78.87pt;mso-position-vertical-relative:page;mso-position-horizontal-relative:page;width:425.25pt;height:0.75pt;z-index:251911168;" o:allowincell="f" fillcolor="#000000" filled="true" stroked="false" coordsize="8505,15" coordorigin="0,0" path="m,l8505,0l8505,14l0,14l0,0xe"/>
        </w:pict>
      </w:r>
      <w:r>
        <w:rPr>
          <w:rFonts w:ascii="SimSun" w:hAnsi="SimSun" w:eastAsia="SimSun" w:cs="SimSun"/>
          <w:sz w:val="24"/>
          <w:szCs w:val="24"/>
          <w:spacing w:val="2"/>
        </w:rPr>
        <w:t>药材：麻黄、甘草、李核（仁）、杏核（仁</w:t>
      </w:r>
      <w:r>
        <w:rPr>
          <w:rFonts w:ascii="SimSun" w:hAnsi="SimSun" w:eastAsia="SimSun" w:cs="SimSun"/>
          <w:sz w:val="24"/>
          <w:szCs w:val="24"/>
          <w:spacing w:val="1"/>
        </w:rPr>
        <w:t>）、车前子、蒲公英、葶苈子、</w:t>
      </w:r>
      <w:r>
        <w:rPr>
          <w:rFonts w:ascii="SimSun" w:hAnsi="SimSun" w:eastAsia="SimSun" w:cs="SimSun"/>
          <w:sz w:val="24"/>
          <w:szCs w:val="24"/>
        </w:rPr>
        <w:t xml:space="preserve"> </w:t>
      </w:r>
      <w:r>
        <w:rPr>
          <w:rFonts w:ascii="SimSun" w:hAnsi="SimSun" w:eastAsia="SimSun" w:cs="SimSun"/>
          <w:sz w:val="24"/>
          <w:szCs w:val="24"/>
          <w:spacing w:val="2"/>
        </w:rPr>
        <w:t>益母草、充玉子、青蒿、艾叶、大蓟、小蓟</w:t>
      </w:r>
      <w:r>
        <w:rPr>
          <w:rFonts w:ascii="SimSun" w:hAnsi="SimSun" w:eastAsia="SimSun" w:cs="SimSun"/>
          <w:sz w:val="24"/>
          <w:szCs w:val="24"/>
          <w:spacing w:val="1"/>
        </w:rPr>
        <w:t>、韭菜子、野米壳、猪毛菜、狼毒、</w:t>
      </w:r>
      <w:r>
        <w:rPr>
          <w:rFonts w:ascii="SimSun" w:hAnsi="SimSun" w:eastAsia="SimSun" w:cs="SimSun"/>
          <w:sz w:val="24"/>
          <w:szCs w:val="24"/>
        </w:rPr>
        <w:t xml:space="preserve"> </w:t>
      </w:r>
      <w:r>
        <w:rPr>
          <w:rFonts w:ascii="SimSun" w:hAnsi="SimSun" w:eastAsia="SimSun" w:cs="SimSun"/>
          <w:sz w:val="24"/>
          <w:szCs w:val="24"/>
          <w:spacing w:val="-1"/>
        </w:rPr>
        <w:t>麻黄根、黄芥籽、星星草、野菊花等。</w:t>
      </w:r>
    </w:p>
    <w:p>
      <w:pPr>
        <w:ind w:left="11" w:right="59" w:firstLine="482"/>
        <w:spacing w:before="2" w:line="360" w:lineRule="auto"/>
        <w:jc w:val="both"/>
        <w:rPr>
          <w:rFonts w:ascii="SimSun" w:hAnsi="SimSun" w:eastAsia="SimSun" w:cs="SimSun"/>
          <w:sz w:val="24"/>
          <w:szCs w:val="24"/>
        </w:rPr>
      </w:pPr>
      <w:r>
        <w:rPr>
          <w:rFonts w:ascii="SimSun" w:hAnsi="SimSun" w:eastAsia="SimSun" w:cs="SimSun"/>
          <w:sz w:val="24"/>
          <w:szCs w:val="24"/>
          <w:spacing w:val="3"/>
        </w:rPr>
        <w:t>正镶白旗植被为干草原类型，西北部有荒漠草原侵入迹</w:t>
      </w:r>
      <w:r>
        <w:rPr>
          <w:rFonts w:ascii="SimSun" w:hAnsi="SimSun" w:eastAsia="SimSun" w:cs="SimSun"/>
          <w:sz w:val="24"/>
          <w:szCs w:val="24"/>
          <w:spacing w:val="2"/>
        </w:rPr>
        <w:t>象。北部沙地植被为</w:t>
      </w:r>
      <w:r>
        <w:rPr>
          <w:rFonts w:ascii="SimSun" w:hAnsi="SimSun" w:eastAsia="SimSun" w:cs="SimSun"/>
          <w:sz w:val="24"/>
          <w:szCs w:val="24"/>
        </w:rPr>
        <w:t xml:space="preserve"> </w:t>
      </w:r>
      <w:r>
        <w:rPr>
          <w:rFonts w:ascii="SimSun" w:hAnsi="SimSun" w:eastAsia="SimSun" w:cs="SimSun"/>
          <w:sz w:val="24"/>
          <w:szCs w:val="24"/>
          <w:spacing w:val="3"/>
        </w:rPr>
        <w:t>沙生植物。小叶锦鸡在正镶白旗全境广泛分布，使草</w:t>
      </w:r>
      <w:r>
        <w:rPr>
          <w:rFonts w:ascii="SimSun" w:hAnsi="SimSun" w:eastAsia="SimSun" w:cs="SimSun"/>
          <w:sz w:val="24"/>
          <w:szCs w:val="24"/>
          <w:spacing w:val="2"/>
        </w:rPr>
        <w:t>原群具有明显灌丛化景观特</w:t>
      </w:r>
      <w:r>
        <w:rPr>
          <w:rFonts w:ascii="SimSun" w:hAnsi="SimSun" w:eastAsia="SimSun" w:cs="SimSun"/>
          <w:sz w:val="24"/>
          <w:szCs w:val="24"/>
        </w:rPr>
        <w:t xml:space="preserve"> </w:t>
      </w:r>
      <w:r>
        <w:rPr>
          <w:rFonts w:ascii="SimSun" w:hAnsi="SimSun" w:eastAsia="SimSun" w:cs="SimSun"/>
          <w:sz w:val="24"/>
          <w:szCs w:val="24"/>
          <w:spacing w:val="3"/>
        </w:rPr>
        <w:t>征。冷蒿普遍出现在群落中，随着草场退化的程度而</w:t>
      </w:r>
      <w:r>
        <w:rPr>
          <w:rFonts w:ascii="SimSun" w:hAnsi="SimSun" w:eastAsia="SimSun" w:cs="SimSun"/>
          <w:sz w:val="24"/>
          <w:szCs w:val="24"/>
          <w:spacing w:val="2"/>
        </w:rPr>
        <w:t>成为建群种和优势种。境内</w:t>
      </w:r>
      <w:r>
        <w:rPr>
          <w:rFonts w:ascii="SimSun" w:hAnsi="SimSun" w:eastAsia="SimSun" w:cs="SimSun"/>
          <w:sz w:val="24"/>
          <w:szCs w:val="24"/>
        </w:rPr>
        <w:t xml:space="preserve"> </w:t>
      </w:r>
      <w:r>
        <w:rPr>
          <w:rFonts w:ascii="SimSun" w:hAnsi="SimSun" w:eastAsia="SimSun" w:cs="SimSun"/>
          <w:sz w:val="24"/>
          <w:szCs w:val="24"/>
          <w:spacing w:val="-1"/>
        </w:rPr>
        <w:t>一年生植物种类较多，在多雨年份，可为群落之优势植物。</w:t>
      </w:r>
    </w:p>
    <w:p>
      <w:pPr>
        <w:ind w:left="5"/>
        <w:spacing w:before="120" w:line="222" w:lineRule="auto"/>
        <w:outlineLvl w:val="2"/>
        <w:rPr>
          <w:rFonts w:ascii="SimHei" w:hAnsi="SimHei" w:eastAsia="SimHei" w:cs="SimHei"/>
          <w:sz w:val="28"/>
          <w:szCs w:val="28"/>
        </w:rPr>
      </w:pPr>
      <w:bookmarkStart w:name="bookmark79" w:id="99"/>
      <w:bookmarkEnd w:id="99"/>
      <w:r>
        <w:rPr>
          <w:rFonts w:ascii="Times New Roman" w:hAnsi="Times New Roman" w:eastAsia="Times New Roman" w:cs="Times New Roman"/>
          <w:sz w:val="28"/>
          <w:szCs w:val="28"/>
          <w:spacing w:val="-1"/>
        </w:rPr>
        <w:t>4.1.7 </w:t>
      </w:r>
      <w:r>
        <w:rPr>
          <w:rFonts w:ascii="SimHei" w:hAnsi="SimHei" w:eastAsia="SimHei" w:cs="SimHei"/>
          <w:sz w:val="28"/>
          <w:szCs w:val="28"/>
          <w:spacing w:val="-1"/>
        </w:rPr>
        <w:t>矿产资源</w:t>
      </w:r>
    </w:p>
    <w:p>
      <w:pPr>
        <w:ind w:left="8" w:firstLine="486"/>
        <w:spacing w:before="314" w:line="360" w:lineRule="auto"/>
        <w:jc w:val="both"/>
        <w:rPr>
          <w:rFonts w:ascii="SimSun" w:hAnsi="SimSun" w:eastAsia="SimSun" w:cs="SimSun"/>
          <w:sz w:val="24"/>
          <w:szCs w:val="24"/>
        </w:rPr>
      </w:pPr>
      <w:r>
        <w:rPr>
          <w:rFonts w:ascii="SimSun" w:hAnsi="SimSun" w:eastAsia="SimSun" w:cs="SimSun"/>
          <w:sz w:val="24"/>
          <w:szCs w:val="24"/>
          <w:spacing w:val="3"/>
        </w:rPr>
        <w:t>正镶白旗境内矿产资源有油气、煤炭、铁、银、铅、锌</w:t>
      </w:r>
      <w:r>
        <w:rPr>
          <w:rFonts w:ascii="SimSun" w:hAnsi="SimSun" w:eastAsia="SimSun" w:cs="SimSun"/>
          <w:sz w:val="24"/>
          <w:szCs w:val="24"/>
          <w:spacing w:val="2"/>
        </w:rPr>
        <w:t>、钛钼、花岗岩、石</w:t>
      </w:r>
      <w:r>
        <w:rPr>
          <w:rFonts w:ascii="SimSun" w:hAnsi="SimSun" w:eastAsia="SimSun" w:cs="SimSun"/>
          <w:sz w:val="24"/>
          <w:szCs w:val="24"/>
        </w:rPr>
        <w:t xml:space="preserve"> </w:t>
      </w:r>
      <w:r>
        <w:rPr>
          <w:rFonts w:ascii="SimSun" w:hAnsi="SimSun" w:eastAsia="SimSun" w:cs="SimSun"/>
          <w:sz w:val="24"/>
          <w:szCs w:val="24"/>
          <w:spacing w:val="-4"/>
        </w:rPr>
        <w:t>灰岩、萤石、芒硝、云母等</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40 </w:t>
      </w:r>
      <w:r>
        <w:rPr>
          <w:rFonts w:ascii="SimSun" w:hAnsi="SimSun" w:eastAsia="SimSun" w:cs="SimSun"/>
          <w:sz w:val="24"/>
          <w:szCs w:val="24"/>
          <w:spacing w:val="-4"/>
        </w:rPr>
        <w:t>余种。现设置采矿权</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28 </w:t>
      </w:r>
      <w:r>
        <w:rPr>
          <w:rFonts w:ascii="SimSun" w:hAnsi="SimSun" w:eastAsia="SimSun" w:cs="SimSun"/>
          <w:sz w:val="24"/>
          <w:szCs w:val="24"/>
          <w:spacing w:val="-4"/>
        </w:rPr>
        <w:t>个，其中：金属矿</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 </w:t>
      </w:r>
      <w:r>
        <w:rPr>
          <w:rFonts w:ascii="SimSun" w:hAnsi="SimSun" w:eastAsia="SimSun" w:cs="SimSun"/>
          <w:sz w:val="24"/>
          <w:szCs w:val="24"/>
          <w:spacing w:val="-4"/>
        </w:rPr>
        <w:t>个（额</w:t>
      </w:r>
      <w:r>
        <w:rPr>
          <w:rFonts w:ascii="SimSun" w:hAnsi="SimSun" w:eastAsia="SimSun" w:cs="SimSun"/>
          <w:sz w:val="24"/>
          <w:szCs w:val="24"/>
        </w:rPr>
        <w:t xml:space="preserve"> </w:t>
      </w:r>
      <w:r>
        <w:rPr>
          <w:rFonts w:ascii="SimSun" w:hAnsi="SimSun" w:eastAsia="SimSun" w:cs="SimSun"/>
          <w:sz w:val="24"/>
          <w:szCs w:val="24"/>
          <w:spacing w:val="-2"/>
        </w:rPr>
        <w:t>里图铁矿，面积</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0.638 </w:t>
      </w:r>
      <w:r>
        <w:rPr>
          <w:rFonts w:ascii="SimSun" w:hAnsi="SimSun" w:eastAsia="SimSun" w:cs="SimSun"/>
          <w:sz w:val="24"/>
          <w:szCs w:val="24"/>
          <w:spacing w:val="-2"/>
        </w:rPr>
        <w:t>平方公里、红光铅锌矿面积</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0.23 </w:t>
      </w:r>
      <w:r>
        <w:rPr>
          <w:rFonts w:ascii="SimSun" w:hAnsi="SimSun" w:eastAsia="SimSun" w:cs="SimSun"/>
          <w:sz w:val="24"/>
          <w:szCs w:val="24"/>
          <w:spacing w:val="-2"/>
        </w:rPr>
        <w:t>平方公里</w:t>
      </w:r>
      <w:r>
        <w:rPr>
          <w:rFonts w:ascii="SimSun" w:hAnsi="SimSun" w:eastAsia="SimSun" w:cs="SimSun"/>
          <w:sz w:val="24"/>
          <w:szCs w:val="24"/>
          <w:spacing w:val="5"/>
        </w:rPr>
        <w:t>）；</w:t>
      </w:r>
      <w:r>
        <w:rPr>
          <w:rFonts w:ascii="SimSun" w:hAnsi="SimSun" w:eastAsia="SimSun" w:cs="SimSun"/>
          <w:sz w:val="24"/>
          <w:szCs w:val="24"/>
          <w:spacing w:val="-2"/>
        </w:rPr>
        <w:t>萤石矿</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12 </w:t>
      </w:r>
      <w:r>
        <w:rPr>
          <w:rFonts w:ascii="SimSun" w:hAnsi="SimSun" w:eastAsia="SimSun" w:cs="SimSun"/>
          <w:sz w:val="24"/>
          <w:szCs w:val="24"/>
          <w:spacing w:val="-2"/>
        </w:rPr>
        <w:t>个</w:t>
      </w:r>
      <w:r>
        <w:rPr>
          <w:rFonts w:ascii="SimSun" w:hAnsi="SimSun" w:eastAsia="SimSun" w:cs="SimSun"/>
          <w:sz w:val="24"/>
          <w:szCs w:val="2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42 </w:t>
      </w:r>
      <w:r>
        <w:rPr>
          <w:rFonts w:ascii="SimSun" w:hAnsi="SimSun" w:eastAsia="SimSun" w:cs="SimSun"/>
          <w:sz w:val="24"/>
          <w:szCs w:val="24"/>
          <w:spacing w:val="-2"/>
        </w:rPr>
        <w:t>个采矿区，总面积</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15.97 </w:t>
      </w:r>
      <w:r>
        <w:rPr>
          <w:rFonts w:ascii="SimSun" w:hAnsi="SimSun" w:eastAsia="SimSun" w:cs="SimSun"/>
          <w:sz w:val="24"/>
          <w:szCs w:val="24"/>
          <w:spacing w:val="-2"/>
        </w:rPr>
        <w:t>平方公里</w:t>
      </w:r>
      <w:r>
        <w:rPr>
          <w:rFonts w:ascii="SimSun" w:hAnsi="SimSun" w:eastAsia="SimSun" w:cs="SimSun"/>
          <w:sz w:val="24"/>
          <w:szCs w:val="24"/>
          <w:spacing w:val="-15"/>
        </w:rPr>
        <w:t>）；</w:t>
      </w:r>
      <w:r>
        <w:rPr>
          <w:rFonts w:ascii="SimSun" w:hAnsi="SimSun" w:eastAsia="SimSun" w:cs="SimSun"/>
          <w:sz w:val="24"/>
          <w:szCs w:val="24"/>
          <w:spacing w:val="-2"/>
        </w:rPr>
        <w:t>石灰岩矿</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 </w:t>
      </w:r>
      <w:r>
        <w:rPr>
          <w:rFonts w:ascii="SimSun" w:hAnsi="SimSun" w:eastAsia="SimSun" w:cs="SimSun"/>
          <w:sz w:val="24"/>
          <w:szCs w:val="24"/>
          <w:spacing w:val="-2"/>
        </w:rPr>
        <w:t>个，</w:t>
      </w:r>
      <w:r>
        <w:rPr>
          <w:rFonts w:ascii="SimSun" w:hAnsi="SimSun" w:eastAsia="SimSun" w:cs="SimSun"/>
          <w:sz w:val="24"/>
          <w:szCs w:val="24"/>
          <w:spacing w:val="-3"/>
        </w:rPr>
        <w:t>总面积为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0.084 </w:t>
      </w:r>
      <w:r>
        <w:rPr>
          <w:rFonts w:ascii="SimSun" w:hAnsi="SimSun" w:eastAsia="SimSun" w:cs="SimSun"/>
          <w:sz w:val="24"/>
          <w:szCs w:val="24"/>
          <w:spacing w:val="-3"/>
        </w:rPr>
        <w:t>平方公</w:t>
      </w:r>
      <w:r>
        <w:rPr>
          <w:rFonts w:ascii="SimSun" w:hAnsi="SimSun" w:eastAsia="SimSun" w:cs="SimSun"/>
          <w:sz w:val="24"/>
          <w:szCs w:val="24"/>
        </w:rPr>
        <w:t xml:space="preserve"> </w:t>
      </w:r>
      <w:r>
        <w:rPr>
          <w:rFonts w:ascii="SimSun" w:hAnsi="SimSun" w:eastAsia="SimSun" w:cs="SimSun"/>
          <w:sz w:val="24"/>
          <w:szCs w:val="24"/>
          <w:spacing w:val="-7"/>
        </w:rPr>
        <w:t>里；花岗岩矿</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7"/>
        </w:rPr>
        <w:t>1 </w:t>
      </w:r>
      <w:r>
        <w:rPr>
          <w:rFonts w:ascii="SimSun" w:hAnsi="SimSun" w:eastAsia="SimSun" w:cs="SimSun"/>
          <w:sz w:val="24"/>
          <w:szCs w:val="24"/>
          <w:spacing w:val="-7"/>
        </w:rPr>
        <w:t>个，面积为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7"/>
        </w:rPr>
        <w:t>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7"/>
        </w:rPr>
        <w:t>125 </w:t>
      </w:r>
      <w:r>
        <w:rPr>
          <w:rFonts w:ascii="SimSun" w:hAnsi="SimSun" w:eastAsia="SimSun" w:cs="SimSun"/>
          <w:sz w:val="24"/>
          <w:szCs w:val="24"/>
          <w:spacing w:val="-7"/>
        </w:rPr>
        <w:t>平方公里；云母矿</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 </w:t>
      </w:r>
      <w:r>
        <w:rPr>
          <w:rFonts w:ascii="SimSun" w:hAnsi="SimSun" w:eastAsia="SimSun" w:cs="SimSun"/>
          <w:sz w:val="24"/>
          <w:szCs w:val="24"/>
          <w:spacing w:val="-7"/>
        </w:rPr>
        <w:t>个，面积为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7"/>
        </w:rPr>
        <w:t>0.071 </w:t>
      </w:r>
      <w:r>
        <w:rPr>
          <w:rFonts w:ascii="SimSun" w:hAnsi="SimSun" w:eastAsia="SimSun" w:cs="SimSun"/>
          <w:sz w:val="24"/>
          <w:szCs w:val="24"/>
          <w:spacing w:val="-7"/>
        </w:rPr>
        <w:t>平方公里；</w:t>
      </w:r>
      <w:r>
        <w:rPr>
          <w:rFonts w:ascii="SimSun" w:hAnsi="SimSun" w:eastAsia="SimSun" w:cs="SimSun"/>
          <w:sz w:val="24"/>
          <w:szCs w:val="24"/>
        </w:rPr>
        <w:t xml:space="preserve"> </w:t>
      </w:r>
      <w:r>
        <w:rPr>
          <w:rFonts w:ascii="SimSun" w:hAnsi="SimSun" w:eastAsia="SimSun" w:cs="SimSun"/>
          <w:sz w:val="24"/>
          <w:szCs w:val="24"/>
          <w:spacing w:val="-6"/>
        </w:rPr>
        <w:t>芒硝矿</w:t>
      </w:r>
      <w:r>
        <w:rPr>
          <w:rFonts w:ascii="SimSun" w:hAnsi="SimSun" w:eastAsia="SimSun" w:cs="SimSun"/>
          <w:sz w:val="24"/>
          <w:szCs w:val="24"/>
          <w:spacing w:val="-21"/>
        </w:rPr>
        <w:t xml:space="preserve"> </w:t>
      </w:r>
      <w:r>
        <w:rPr>
          <w:rFonts w:ascii="Times New Roman" w:hAnsi="Times New Roman" w:eastAsia="Times New Roman" w:cs="Times New Roman"/>
          <w:sz w:val="24"/>
          <w:szCs w:val="24"/>
          <w:spacing w:val="-6"/>
        </w:rPr>
        <w:t>1 </w:t>
      </w:r>
      <w:r>
        <w:rPr>
          <w:rFonts w:ascii="SimSun" w:hAnsi="SimSun" w:eastAsia="SimSun" w:cs="SimSun"/>
          <w:sz w:val="24"/>
          <w:szCs w:val="24"/>
          <w:spacing w:val="-6"/>
        </w:rPr>
        <w:t>个，面积为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6"/>
        </w:rPr>
        <w:t>0.653 </w:t>
      </w:r>
      <w:r>
        <w:rPr>
          <w:rFonts w:ascii="SimSun" w:hAnsi="SimSun" w:eastAsia="SimSun" w:cs="SimSun"/>
          <w:sz w:val="24"/>
          <w:szCs w:val="24"/>
          <w:spacing w:val="-6"/>
        </w:rPr>
        <w:t>平方公里；砖瓦粘土矿</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6"/>
        </w:rPr>
        <w:t>3 </w:t>
      </w:r>
      <w:r>
        <w:rPr>
          <w:rFonts w:ascii="SimSun" w:hAnsi="SimSun" w:eastAsia="SimSun" w:cs="SimSun"/>
          <w:sz w:val="24"/>
          <w:szCs w:val="24"/>
          <w:spacing w:val="-6"/>
        </w:rPr>
        <w:t>个，总面积为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6"/>
        </w:rPr>
        <w:t>0.409 </w:t>
      </w:r>
      <w:r>
        <w:rPr>
          <w:rFonts w:ascii="SimSun" w:hAnsi="SimSun" w:eastAsia="SimSun" w:cs="SimSun"/>
          <w:sz w:val="24"/>
          <w:szCs w:val="24"/>
          <w:spacing w:val="-6"/>
        </w:rPr>
        <w:t>平方公里；</w:t>
      </w:r>
      <w:r>
        <w:rPr>
          <w:rFonts w:ascii="SimSun" w:hAnsi="SimSun" w:eastAsia="SimSun" w:cs="SimSun"/>
          <w:sz w:val="24"/>
          <w:szCs w:val="24"/>
        </w:rPr>
        <w:t xml:space="preserve"> </w:t>
      </w:r>
      <w:r>
        <w:rPr>
          <w:rFonts w:ascii="SimSun" w:hAnsi="SimSun" w:eastAsia="SimSun" w:cs="SimSun"/>
          <w:sz w:val="24"/>
          <w:szCs w:val="24"/>
          <w:spacing w:val="-2"/>
        </w:rPr>
        <w:t>石料场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 </w:t>
      </w:r>
      <w:r>
        <w:rPr>
          <w:rFonts w:ascii="SimSun" w:hAnsi="SimSun" w:eastAsia="SimSun" w:cs="SimSun"/>
          <w:sz w:val="24"/>
          <w:szCs w:val="24"/>
          <w:spacing w:val="-2"/>
        </w:rPr>
        <w:t>个，总面积为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0.</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2"/>
        </w:rPr>
        <w:t>136 </w:t>
      </w:r>
      <w:r>
        <w:rPr>
          <w:rFonts w:ascii="SimSun" w:hAnsi="SimSun" w:eastAsia="SimSun" w:cs="SimSun"/>
          <w:sz w:val="24"/>
          <w:szCs w:val="24"/>
          <w:spacing w:val="-2"/>
        </w:rPr>
        <w:t>平方公里</w:t>
      </w:r>
      <w:r>
        <w:rPr>
          <w:rFonts w:ascii="SimSun" w:hAnsi="SimSun" w:eastAsia="SimSun" w:cs="SimSun"/>
          <w:sz w:val="24"/>
          <w:szCs w:val="24"/>
          <w:spacing w:val="-3"/>
        </w:rPr>
        <w:t>；采砂场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个，面积为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0.098 </w:t>
      </w:r>
      <w:r>
        <w:rPr>
          <w:rFonts w:ascii="SimSun" w:hAnsi="SimSun" w:eastAsia="SimSun" w:cs="SimSun"/>
          <w:sz w:val="24"/>
          <w:szCs w:val="24"/>
          <w:spacing w:val="-3"/>
        </w:rPr>
        <w:t>平方公里。设</w:t>
      </w:r>
      <w:r>
        <w:rPr>
          <w:rFonts w:ascii="SimSun" w:hAnsi="SimSun" w:eastAsia="SimSun" w:cs="SimSun"/>
          <w:sz w:val="24"/>
          <w:szCs w:val="24"/>
        </w:rPr>
        <w:t xml:space="preserve"> </w:t>
      </w:r>
      <w:r>
        <w:rPr>
          <w:rFonts w:ascii="SimSun" w:hAnsi="SimSun" w:eastAsia="SimSun" w:cs="SimSun"/>
          <w:sz w:val="24"/>
          <w:szCs w:val="24"/>
        </w:rPr>
        <w:t>置探矿权</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34 </w:t>
      </w:r>
      <w:r>
        <w:rPr>
          <w:rFonts w:ascii="SimSun" w:hAnsi="SimSun" w:eastAsia="SimSun" w:cs="SimSun"/>
          <w:sz w:val="24"/>
          <w:szCs w:val="24"/>
        </w:rPr>
        <w:t>个，其中：煤炭勘查项目</w:t>
      </w:r>
      <w:r>
        <w:rPr>
          <w:rFonts w:ascii="SimSun" w:hAnsi="SimSun" w:eastAsia="SimSun" w:cs="SimSun"/>
          <w:sz w:val="24"/>
          <w:szCs w:val="24"/>
          <w:spacing w:val="-32"/>
        </w:rPr>
        <w:t xml:space="preserve"> </w:t>
      </w:r>
      <w:r>
        <w:rPr>
          <w:rFonts w:ascii="Times New Roman" w:hAnsi="Times New Roman" w:eastAsia="Times New Roman" w:cs="Times New Roman"/>
          <w:sz w:val="24"/>
          <w:szCs w:val="24"/>
        </w:rPr>
        <w:t>1 </w:t>
      </w:r>
      <w:r>
        <w:rPr>
          <w:rFonts w:ascii="SimSun" w:hAnsi="SimSun" w:eastAsia="SimSun" w:cs="SimSun"/>
          <w:sz w:val="24"/>
          <w:szCs w:val="24"/>
        </w:rPr>
        <w:t>个，面积为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365.7 </w:t>
      </w:r>
      <w:r>
        <w:rPr>
          <w:rFonts w:ascii="SimSun" w:hAnsi="SimSun" w:eastAsia="SimSun" w:cs="SimSun"/>
          <w:sz w:val="24"/>
          <w:szCs w:val="24"/>
          <w:spacing w:val="-1"/>
        </w:rPr>
        <w:t>平方公里；石油勘查项</w:t>
      </w:r>
      <w:r>
        <w:rPr>
          <w:rFonts w:ascii="SimSun" w:hAnsi="SimSun" w:eastAsia="SimSun" w:cs="SimSun"/>
          <w:sz w:val="24"/>
          <w:szCs w:val="24"/>
        </w:rPr>
        <w:t xml:space="preserve"> </w:t>
      </w:r>
      <w:r>
        <w:rPr>
          <w:rFonts w:ascii="SimSun" w:hAnsi="SimSun" w:eastAsia="SimSun" w:cs="SimSun"/>
          <w:sz w:val="24"/>
          <w:szCs w:val="24"/>
          <w:spacing w:val="-2"/>
        </w:rPr>
        <w:t>目</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个，陕西延长石油（集团）有限公司在我旗登记的油气勘查面积</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1273</w:t>
      </w:r>
      <w:r>
        <w:rPr>
          <w:rFonts w:ascii="Times New Roman" w:hAnsi="Times New Roman" w:eastAsia="Times New Roman" w:cs="Times New Roman"/>
          <w:sz w:val="24"/>
          <w:szCs w:val="24"/>
          <w:spacing w:val="-3"/>
        </w:rPr>
        <w:t xml:space="preserve"> </w:t>
      </w:r>
      <w:r>
        <w:rPr>
          <w:rFonts w:ascii="SimSun" w:hAnsi="SimSun" w:eastAsia="SimSun" w:cs="SimSun"/>
          <w:sz w:val="24"/>
          <w:szCs w:val="24"/>
          <w:spacing w:val="-3"/>
        </w:rPr>
        <w:t>平方公</w:t>
      </w:r>
      <w:r>
        <w:rPr>
          <w:rFonts w:ascii="SimSun" w:hAnsi="SimSun" w:eastAsia="SimSun" w:cs="SimSun"/>
          <w:sz w:val="24"/>
          <w:szCs w:val="24"/>
        </w:rPr>
        <w:t xml:space="preserve"> </w:t>
      </w:r>
      <w:r>
        <w:rPr>
          <w:rFonts w:ascii="SimSun" w:hAnsi="SimSun" w:eastAsia="SimSun" w:cs="SimSun"/>
          <w:sz w:val="24"/>
          <w:szCs w:val="24"/>
        </w:rPr>
        <w:t>里；金属勘查项目</w:t>
      </w:r>
      <w:r>
        <w:rPr>
          <w:rFonts w:ascii="Times New Roman" w:hAnsi="Times New Roman" w:eastAsia="Times New Roman" w:cs="Times New Roman"/>
          <w:sz w:val="24"/>
          <w:szCs w:val="24"/>
        </w:rPr>
        <w:t>32 </w:t>
      </w:r>
      <w:r>
        <w:rPr>
          <w:rFonts w:ascii="SimSun" w:hAnsi="SimSun" w:eastAsia="SimSun" w:cs="SimSun"/>
          <w:sz w:val="24"/>
          <w:szCs w:val="24"/>
        </w:rPr>
        <w:t>个（多金属勘查</w:t>
      </w:r>
      <w:r>
        <w:rPr>
          <w:rFonts w:ascii="SimSun" w:hAnsi="SimSun" w:eastAsia="SimSun" w:cs="SimSun"/>
          <w:sz w:val="24"/>
          <w:szCs w:val="24"/>
          <w:spacing w:val="-14"/>
        </w:rPr>
        <w:t xml:space="preserve"> </w:t>
      </w:r>
      <w:r>
        <w:rPr>
          <w:rFonts w:ascii="Times New Roman" w:hAnsi="Times New Roman" w:eastAsia="Times New Roman" w:cs="Times New Roman"/>
          <w:sz w:val="24"/>
          <w:szCs w:val="24"/>
        </w:rPr>
        <w:t>10 </w:t>
      </w:r>
      <w:r>
        <w:rPr>
          <w:rFonts w:ascii="SimSun" w:hAnsi="SimSun" w:eastAsia="SimSun" w:cs="SimSun"/>
          <w:sz w:val="24"/>
          <w:szCs w:val="24"/>
        </w:rPr>
        <w:t>个，总面积</w:t>
      </w:r>
      <w:r>
        <w:rPr>
          <w:rFonts w:ascii="SimSun" w:hAnsi="SimSun" w:eastAsia="SimSun" w:cs="SimSun"/>
          <w:sz w:val="24"/>
          <w:szCs w:val="24"/>
          <w:spacing w:val="-55"/>
        </w:rPr>
        <w:t xml:space="preserve"> </w:t>
      </w:r>
      <w:r>
        <w:rPr>
          <w:rFonts w:ascii="Times New Roman" w:hAnsi="Times New Roman" w:eastAsia="Times New Roman" w:cs="Times New Roman"/>
          <w:sz w:val="24"/>
          <w:szCs w:val="24"/>
        </w:rPr>
        <w:t>236.64 </w:t>
      </w:r>
      <w:r>
        <w:rPr>
          <w:rFonts w:ascii="SimSun" w:hAnsi="SimSun" w:eastAsia="SimSun" w:cs="SimSun"/>
          <w:sz w:val="24"/>
          <w:szCs w:val="24"/>
        </w:rPr>
        <w:t>平方公里；金矿勘查  </w:t>
      </w:r>
      <w:r>
        <w:rPr>
          <w:rFonts w:ascii="Times New Roman" w:hAnsi="Times New Roman" w:eastAsia="Times New Roman" w:cs="Times New Roman"/>
          <w:sz w:val="24"/>
          <w:szCs w:val="24"/>
          <w:spacing w:val="-6"/>
        </w:rPr>
        <w:t>1 </w:t>
      </w:r>
      <w:r>
        <w:rPr>
          <w:rFonts w:ascii="SimSun" w:hAnsi="SimSun" w:eastAsia="SimSun" w:cs="SimSun"/>
          <w:sz w:val="24"/>
          <w:szCs w:val="24"/>
          <w:spacing w:val="-6"/>
        </w:rPr>
        <w:t>个，面积</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6"/>
        </w:rPr>
        <w:t>7.59 </w:t>
      </w:r>
      <w:r>
        <w:rPr>
          <w:rFonts w:ascii="SimSun" w:hAnsi="SimSun" w:eastAsia="SimSun" w:cs="SimSun"/>
          <w:sz w:val="24"/>
          <w:szCs w:val="24"/>
          <w:spacing w:val="-6"/>
        </w:rPr>
        <w:t>平方公里；铅矿勘查</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6"/>
        </w:rPr>
        <w:t>7 </w:t>
      </w:r>
      <w:r>
        <w:rPr>
          <w:rFonts w:ascii="SimSun" w:hAnsi="SimSun" w:eastAsia="SimSun" w:cs="SimSun"/>
          <w:sz w:val="24"/>
          <w:szCs w:val="24"/>
          <w:spacing w:val="-6"/>
        </w:rPr>
        <w:t>个</w:t>
      </w:r>
      <w:r>
        <w:rPr>
          <w:rFonts w:ascii="SimSun" w:hAnsi="SimSun" w:eastAsia="SimSun" w:cs="SimSun"/>
          <w:sz w:val="24"/>
          <w:szCs w:val="24"/>
          <w:spacing w:val="-7"/>
        </w:rPr>
        <w:t>，总面积</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203.6 </w:t>
      </w:r>
      <w:r>
        <w:rPr>
          <w:rFonts w:ascii="SimSun" w:hAnsi="SimSun" w:eastAsia="SimSun" w:cs="SimSun"/>
          <w:sz w:val="24"/>
          <w:szCs w:val="24"/>
          <w:spacing w:val="-7"/>
        </w:rPr>
        <w:t>平方公里；铁矿勘查</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7"/>
        </w:rPr>
        <w:t>5 </w:t>
      </w:r>
      <w:r>
        <w:rPr>
          <w:rFonts w:ascii="SimSun" w:hAnsi="SimSun" w:eastAsia="SimSun" w:cs="SimSun"/>
          <w:sz w:val="24"/>
          <w:szCs w:val="24"/>
          <w:spacing w:val="-7"/>
        </w:rPr>
        <w:t>个，</w:t>
      </w:r>
      <w:r>
        <w:rPr>
          <w:rFonts w:ascii="SimSun" w:hAnsi="SimSun" w:eastAsia="SimSun" w:cs="SimSun"/>
          <w:sz w:val="24"/>
          <w:szCs w:val="24"/>
        </w:rPr>
        <w:t xml:space="preserve"> </w:t>
      </w:r>
      <w:r>
        <w:rPr>
          <w:rFonts w:ascii="SimSun" w:hAnsi="SimSun" w:eastAsia="SimSun" w:cs="SimSun"/>
          <w:sz w:val="24"/>
          <w:szCs w:val="24"/>
        </w:rPr>
        <w:t>总面积</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62.88 </w:t>
      </w:r>
      <w:r>
        <w:rPr>
          <w:rFonts w:ascii="SimSun" w:hAnsi="SimSun" w:eastAsia="SimSun" w:cs="SimSun"/>
          <w:sz w:val="24"/>
          <w:szCs w:val="24"/>
        </w:rPr>
        <w:t>平方公里；铜矿勘查</w:t>
      </w:r>
      <w:r>
        <w:rPr>
          <w:rFonts w:ascii="SimSun" w:hAnsi="SimSun" w:eastAsia="SimSun" w:cs="SimSun"/>
          <w:sz w:val="24"/>
          <w:szCs w:val="24"/>
          <w:spacing w:val="-56"/>
        </w:rPr>
        <w:t xml:space="preserve"> </w:t>
      </w:r>
      <w:r>
        <w:rPr>
          <w:rFonts w:ascii="Times New Roman" w:hAnsi="Times New Roman" w:eastAsia="Times New Roman" w:cs="Times New Roman"/>
          <w:sz w:val="24"/>
          <w:szCs w:val="24"/>
        </w:rPr>
        <w:t>4 </w:t>
      </w:r>
      <w:r>
        <w:rPr>
          <w:rFonts w:ascii="SimSun" w:hAnsi="SimSun" w:eastAsia="SimSun" w:cs="SimSun"/>
          <w:sz w:val="24"/>
          <w:szCs w:val="24"/>
        </w:rPr>
        <w:t>个，总面积</w:t>
      </w:r>
      <w:r>
        <w:rPr>
          <w:rFonts w:ascii="SimSun" w:hAnsi="SimSun" w:eastAsia="SimSun" w:cs="SimSun"/>
          <w:sz w:val="24"/>
          <w:szCs w:val="24"/>
          <w:spacing w:val="-49"/>
        </w:rPr>
        <w:t xml:space="preserve"> </w:t>
      </w:r>
      <w:r>
        <w:rPr>
          <w:rFonts w:ascii="Times New Roman" w:hAnsi="Times New Roman" w:eastAsia="Times New Roman" w:cs="Times New Roman"/>
          <w:sz w:val="24"/>
          <w:szCs w:val="24"/>
        </w:rPr>
        <w:t>60.</w:t>
      </w:r>
      <w:r>
        <w:rPr>
          <w:rFonts w:ascii="Times New Roman" w:hAnsi="Times New Roman" w:eastAsia="Times New Roman" w:cs="Times New Roman"/>
          <w:sz w:val="24"/>
          <w:szCs w:val="24"/>
          <w:spacing w:val="-1"/>
        </w:rPr>
        <w:t>11 </w:t>
      </w:r>
      <w:r>
        <w:rPr>
          <w:rFonts w:ascii="SimSun" w:hAnsi="SimSun" w:eastAsia="SimSun" w:cs="SimSun"/>
          <w:sz w:val="24"/>
          <w:szCs w:val="24"/>
          <w:spacing w:val="-1"/>
        </w:rPr>
        <w:t>平方公里；银矿勘查</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5 </w:t>
      </w:r>
      <w:r>
        <w:rPr>
          <w:rFonts w:ascii="SimSun" w:hAnsi="SimSun" w:eastAsia="SimSun" w:cs="SimSun"/>
          <w:sz w:val="24"/>
          <w:szCs w:val="24"/>
          <w:spacing w:val="-1"/>
        </w:rPr>
        <w:t>个，</w:t>
      </w:r>
      <w:r>
        <w:rPr>
          <w:rFonts w:ascii="SimSun" w:hAnsi="SimSun" w:eastAsia="SimSun" w:cs="SimSun"/>
          <w:sz w:val="24"/>
          <w:szCs w:val="24"/>
        </w:rPr>
        <w:t xml:space="preserve"> </w:t>
      </w:r>
      <w:r>
        <w:rPr>
          <w:rFonts w:ascii="SimSun" w:hAnsi="SimSun" w:eastAsia="SimSun" w:cs="SimSun"/>
          <w:sz w:val="24"/>
          <w:szCs w:val="24"/>
          <w:spacing w:val="-2"/>
        </w:rPr>
        <w:t>总面积</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54.56 </w:t>
      </w:r>
      <w:r>
        <w:rPr>
          <w:rFonts w:ascii="SimSun" w:hAnsi="SimSun" w:eastAsia="SimSun" w:cs="SimSun"/>
          <w:sz w:val="24"/>
          <w:szCs w:val="24"/>
          <w:spacing w:val="-2"/>
        </w:rPr>
        <w:t>平方公里）。</w:t>
      </w:r>
    </w:p>
    <w:p>
      <w:pPr>
        <w:ind w:left="5"/>
        <w:spacing w:before="158" w:line="222" w:lineRule="auto"/>
        <w:outlineLvl w:val="1"/>
        <w:rPr>
          <w:rFonts w:ascii="SimHei" w:hAnsi="SimHei" w:eastAsia="SimHei" w:cs="SimHei"/>
          <w:sz w:val="30"/>
          <w:szCs w:val="30"/>
        </w:rPr>
      </w:pPr>
      <w:bookmarkStart w:name="bookmark80" w:id="100"/>
      <w:bookmarkEnd w:id="100"/>
      <w:r>
        <w:rPr>
          <w:rFonts w:ascii="Times New Roman" w:hAnsi="Times New Roman" w:eastAsia="Times New Roman" w:cs="Times New Roman"/>
          <w:sz w:val="30"/>
          <w:szCs w:val="30"/>
          <w:spacing w:val="-1"/>
        </w:rPr>
        <w:t>4.2 </w:t>
      </w:r>
      <w:r>
        <w:rPr>
          <w:rFonts w:ascii="SimHei" w:hAnsi="SimHei" w:eastAsia="SimHei" w:cs="SimHei"/>
          <w:sz w:val="30"/>
          <w:szCs w:val="30"/>
          <w:spacing w:val="-1"/>
        </w:rPr>
        <w:t>环境质量现状调查与评价</w:t>
      </w:r>
    </w:p>
    <w:p>
      <w:pPr>
        <w:pStyle w:val="BodyText"/>
        <w:spacing w:line="291" w:lineRule="auto"/>
        <w:rPr/>
      </w:pPr>
      <w:r/>
    </w:p>
    <w:p>
      <w:pPr>
        <w:ind w:left="8" w:right="59" w:firstLine="481"/>
        <w:spacing w:before="78" w:line="359" w:lineRule="auto"/>
        <w:jc w:val="both"/>
        <w:rPr>
          <w:rFonts w:ascii="SimSun" w:hAnsi="SimSun" w:eastAsia="SimSun" w:cs="SimSun"/>
          <w:sz w:val="24"/>
          <w:szCs w:val="24"/>
        </w:rPr>
      </w:pPr>
      <w:r>
        <w:rPr>
          <w:rFonts w:ascii="SimSun" w:hAnsi="SimSun" w:eastAsia="SimSun" w:cs="SimSun"/>
          <w:sz w:val="24"/>
          <w:szCs w:val="24"/>
          <w:spacing w:val="3"/>
        </w:rPr>
        <w:t>本次评价内蒙古源浩羊绒制品有限公司委托内蒙古航峰检测技术</w:t>
      </w:r>
      <w:r>
        <w:rPr>
          <w:rFonts w:ascii="SimSun" w:hAnsi="SimSun" w:eastAsia="SimSun" w:cs="SimSun"/>
          <w:sz w:val="24"/>
          <w:szCs w:val="24"/>
          <w:spacing w:val="2"/>
        </w:rPr>
        <w:t>有限公司对</w:t>
      </w:r>
      <w:r>
        <w:rPr>
          <w:rFonts w:ascii="SimSun" w:hAnsi="SimSun" w:eastAsia="SimSun" w:cs="SimSun"/>
          <w:sz w:val="24"/>
          <w:szCs w:val="24"/>
        </w:rPr>
        <w:t xml:space="preserve"> </w:t>
      </w:r>
      <w:r>
        <w:rPr>
          <w:rFonts w:ascii="SimSun" w:hAnsi="SimSun" w:eastAsia="SimSun" w:cs="SimSun"/>
          <w:sz w:val="24"/>
          <w:szCs w:val="24"/>
          <w:spacing w:val="3"/>
        </w:rPr>
        <w:t>项目评价区域大气环境、地下水环境、声环境、土壤</w:t>
      </w:r>
      <w:r>
        <w:rPr>
          <w:rFonts w:ascii="SimSun" w:hAnsi="SimSun" w:eastAsia="SimSun" w:cs="SimSun"/>
          <w:sz w:val="24"/>
          <w:szCs w:val="24"/>
          <w:spacing w:val="2"/>
        </w:rPr>
        <w:t>质量现状进行监测，采样时</w:t>
      </w:r>
      <w:r>
        <w:rPr>
          <w:rFonts w:ascii="SimSun" w:hAnsi="SimSun" w:eastAsia="SimSun" w:cs="SimSun"/>
          <w:sz w:val="24"/>
          <w:szCs w:val="24"/>
        </w:rPr>
        <w:t xml:space="preserve"> </w:t>
      </w:r>
      <w:r>
        <w:rPr>
          <w:rFonts w:ascii="SimSun" w:hAnsi="SimSun" w:eastAsia="SimSun" w:cs="SimSun"/>
          <w:sz w:val="24"/>
          <w:szCs w:val="24"/>
          <w:spacing w:val="-6"/>
        </w:rPr>
        <w:t>间为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2025 </w:t>
      </w:r>
      <w:r>
        <w:rPr>
          <w:rFonts w:ascii="SimSun" w:hAnsi="SimSun" w:eastAsia="SimSun" w:cs="SimSun"/>
          <w:sz w:val="24"/>
          <w:szCs w:val="24"/>
          <w:spacing w:val="-6"/>
        </w:rPr>
        <w:t>年</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6"/>
        </w:rPr>
        <w:t>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月</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6"/>
        </w:rPr>
        <w:t>9  </w:t>
      </w:r>
      <w:r>
        <w:rPr>
          <w:rFonts w:ascii="SimSun" w:hAnsi="SimSun" w:eastAsia="SimSun" w:cs="SimSun"/>
          <w:sz w:val="24"/>
          <w:szCs w:val="24"/>
          <w:spacing w:val="-6"/>
        </w:rPr>
        <w:t>日～</w:t>
      </w:r>
      <w:r>
        <w:rPr>
          <w:rFonts w:ascii="Times New Roman" w:hAnsi="Times New Roman" w:eastAsia="Times New Roman" w:cs="Times New Roman"/>
          <w:sz w:val="24"/>
          <w:szCs w:val="24"/>
          <w:spacing w:val="-6"/>
        </w:rPr>
        <w:t>15  </w:t>
      </w:r>
      <w:r>
        <w:rPr>
          <w:rFonts w:ascii="SimSun" w:hAnsi="SimSun" w:eastAsia="SimSun" w:cs="SimSun"/>
          <w:sz w:val="24"/>
          <w:szCs w:val="24"/>
          <w:spacing w:val="-6"/>
        </w:rPr>
        <w:t>日。</w:t>
      </w:r>
      <w:r>
        <w:rPr>
          <w:rFonts w:ascii="Times New Roman" w:hAnsi="Times New Roman" w:eastAsia="Times New Roman" w:cs="Times New Roman"/>
          <w:sz w:val="24"/>
          <w:szCs w:val="24"/>
          <w:spacing w:val="-6"/>
        </w:rPr>
        <w:t>2025 </w:t>
      </w:r>
      <w:r>
        <w:rPr>
          <w:rFonts w:ascii="SimSun" w:hAnsi="SimSun" w:eastAsia="SimSun" w:cs="SimSun"/>
          <w:sz w:val="24"/>
          <w:szCs w:val="24"/>
          <w:spacing w:val="-6"/>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6"/>
        </w:rPr>
        <w:t>3</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6"/>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10  </w:t>
      </w:r>
      <w:r>
        <w:rPr>
          <w:rFonts w:ascii="SimSun" w:hAnsi="SimSun" w:eastAsia="SimSun" w:cs="SimSun"/>
          <w:sz w:val="24"/>
          <w:szCs w:val="24"/>
          <w:spacing w:val="-6"/>
        </w:rPr>
        <w:t>日对地下水环境质</w:t>
      </w:r>
      <w:r>
        <w:rPr>
          <w:rFonts w:ascii="SimSun" w:hAnsi="SimSun" w:eastAsia="SimSun" w:cs="SimSun"/>
          <w:sz w:val="24"/>
          <w:szCs w:val="24"/>
          <w:spacing w:val="-7"/>
        </w:rPr>
        <w:t>量现状进行补充</w:t>
      </w:r>
      <w:r>
        <w:rPr>
          <w:rFonts w:ascii="SimSun" w:hAnsi="SimSun" w:eastAsia="SimSun" w:cs="SimSun"/>
          <w:sz w:val="24"/>
          <w:szCs w:val="24"/>
        </w:rPr>
        <w:t xml:space="preserve"> </w:t>
      </w:r>
      <w:r>
        <w:rPr>
          <w:rFonts w:ascii="SimSun" w:hAnsi="SimSun" w:eastAsia="SimSun" w:cs="SimSun"/>
          <w:sz w:val="24"/>
          <w:szCs w:val="24"/>
          <w:spacing w:val="-2"/>
        </w:rPr>
        <w:t>采样监测。</w:t>
      </w:r>
    </w:p>
    <w:p>
      <w:pPr>
        <w:ind w:left="485"/>
        <w:spacing w:line="219" w:lineRule="auto"/>
        <w:rPr>
          <w:rFonts w:ascii="SimSun" w:hAnsi="SimSun" w:eastAsia="SimSun" w:cs="SimSun"/>
          <w:sz w:val="24"/>
          <w:szCs w:val="24"/>
        </w:rPr>
      </w:pPr>
      <w:r>
        <w:rPr>
          <w:rFonts w:ascii="Times New Roman" w:hAnsi="Times New Roman" w:eastAsia="Times New Roman" w:cs="Times New Roman"/>
          <w:sz w:val="24"/>
          <w:szCs w:val="24"/>
          <w:spacing w:val="-3"/>
        </w:rPr>
        <w:t>2025 </w:t>
      </w:r>
      <w:r>
        <w:rPr>
          <w:rFonts w:ascii="SimSun" w:hAnsi="SimSun" w:eastAsia="SimSun" w:cs="SimSun"/>
          <w:sz w:val="24"/>
          <w:szCs w:val="24"/>
          <w:spacing w:val="-3"/>
        </w:rPr>
        <w:t>年</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3"/>
        </w:rPr>
        <w:t>5 </w:t>
      </w:r>
      <w:r>
        <w:rPr>
          <w:rFonts w:ascii="SimSun" w:hAnsi="SimSun" w:eastAsia="SimSun" w:cs="SimSun"/>
          <w:sz w:val="24"/>
          <w:szCs w:val="24"/>
          <w:spacing w:val="-3"/>
        </w:rPr>
        <w:t>月</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15</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日内蒙古源浩羊绒制品有限公</w:t>
      </w:r>
      <w:r>
        <w:rPr>
          <w:rFonts w:ascii="SimSun" w:hAnsi="SimSun" w:eastAsia="SimSun" w:cs="SimSun"/>
          <w:sz w:val="24"/>
          <w:szCs w:val="24"/>
          <w:spacing w:val="-4"/>
        </w:rPr>
        <w:t>司委托内蒙古三方监测环保有限</w:t>
      </w:r>
    </w:p>
    <w:p>
      <w:pPr>
        <w:pStyle w:val="BodyText"/>
        <w:spacing w:line="267" w:lineRule="auto"/>
        <w:rPr/>
      </w:pPr>
      <w:r/>
    </w:p>
    <w:p>
      <w:pPr>
        <w:ind w:left="5312"/>
        <w:spacing w:before="63" w:line="227" w:lineRule="auto"/>
        <w:rPr>
          <w:rFonts w:ascii="SimSun" w:hAnsi="SimSun" w:eastAsia="SimSun" w:cs="SimSun"/>
          <w:sz w:val="19"/>
          <w:szCs w:val="19"/>
        </w:rPr>
      </w:pPr>
      <w:r>
        <w:pict>
          <v:shape id="_x0000_s576" style="position:absolute;margin-left:205.883pt;margin-top:2.13091pt;mso-position-vertical-relative:text;mso-position-horizontal-relative:text;width:60.35pt;height:13.75pt;z-index:251910144;"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position w:val="2"/>
                    </w:rPr>
                    <w:t>114       </w:t>
                  </w:r>
                  <w:r>
                    <w:rPr>
                      <w:rFonts w:ascii="SimSun" w:hAnsi="SimSun" w:eastAsia="SimSun" w:cs="SimSun"/>
                      <w:sz w:val="19"/>
                      <w:szCs w:val="19"/>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16"/>
          <w:pgSz w:w="11907" w:h="16840"/>
          <w:pgMar w:top="1567" w:right="1640" w:bottom="400" w:left="1701" w:header="1221" w:footer="0" w:gutter="0"/>
        </w:sectPr>
        <w:rPr>
          <w:rFonts w:ascii="SimSun" w:hAnsi="SimSun" w:eastAsia="SimSun" w:cs="SimSun"/>
          <w:sz w:val="19"/>
          <w:szCs w:val="19"/>
        </w:rPr>
      </w:pPr>
    </w:p>
    <w:p>
      <w:pPr>
        <w:ind w:left="25"/>
        <w:spacing w:before="188" w:line="219" w:lineRule="auto"/>
        <w:rPr>
          <w:rFonts w:ascii="SimSun" w:hAnsi="SimSun" w:eastAsia="SimSun" w:cs="SimSun"/>
          <w:sz w:val="24"/>
          <w:szCs w:val="24"/>
        </w:rPr>
      </w:pPr>
      <w:r>
        <w:pict>
          <v:shape id="_x0000_s578" style="position:absolute;margin-left:85.05pt;margin-top:79.11pt;mso-position-vertical-relative:page;mso-position-horizontal-relative:page;width:425.25pt;height:0.75pt;z-index:251913216;" o:allowincell="f" fillcolor="#000000" filled="true" stroked="false" coordsize="8505,15" coordorigin="0,0" path="m,l8505,0l8505,14l0,14l0,0xe"/>
        </w:pict>
      </w:r>
      <w:r>
        <w:rPr>
          <w:rFonts w:ascii="SimSun" w:hAnsi="SimSun" w:eastAsia="SimSun" w:cs="SimSun"/>
          <w:sz w:val="24"/>
          <w:szCs w:val="24"/>
          <w:spacing w:val="-2"/>
        </w:rPr>
        <w:t>公司对敏感点声环境质量补充监测。</w:t>
      </w:r>
    </w:p>
    <w:p>
      <w:pPr>
        <w:ind w:left="12"/>
        <w:spacing w:before="150" w:line="222" w:lineRule="auto"/>
        <w:outlineLvl w:val="2"/>
        <w:rPr>
          <w:rFonts w:ascii="SimHei" w:hAnsi="SimHei" w:eastAsia="SimHei" w:cs="SimHei"/>
          <w:sz w:val="28"/>
          <w:szCs w:val="28"/>
        </w:rPr>
      </w:pPr>
      <w:bookmarkStart w:name="bookmark81" w:id="101"/>
      <w:bookmarkEnd w:id="101"/>
      <w:r>
        <w:rPr>
          <w:rFonts w:ascii="Times New Roman" w:hAnsi="Times New Roman" w:eastAsia="Times New Roman" w:cs="Times New Roman"/>
          <w:sz w:val="28"/>
          <w:szCs w:val="28"/>
          <w:spacing w:val="-1"/>
        </w:rPr>
        <w:t>4.2.1 </w:t>
      </w:r>
      <w:r>
        <w:rPr>
          <w:rFonts w:ascii="SimHei" w:hAnsi="SimHei" w:eastAsia="SimHei" w:cs="SimHei"/>
          <w:sz w:val="28"/>
          <w:szCs w:val="28"/>
          <w:spacing w:val="-1"/>
        </w:rPr>
        <w:t>大气环境质量现状监测与评价</w:t>
      </w:r>
    </w:p>
    <w:p>
      <w:pPr>
        <w:pStyle w:val="BodyText"/>
        <w:spacing w:line="243" w:lineRule="auto"/>
        <w:rPr/>
      </w:pPr>
      <w:r/>
    </w:p>
    <w:p>
      <w:pPr>
        <w:ind w:left="14"/>
        <w:spacing w:before="78"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4.2.1.1 </w:t>
      </w:r>
      <w:r>
        <w:rPr>
          <w:rFonts w:ascii="SimSun" w:hAnsi="SimSun" w:eastAsia="SimSun" w:cs="SimSun"/>
          <w:sz w:val="24"/>
          <w:szCs w:val="24"/>
          <w:b/>
          <w:bCs/>
          <w:spacing w:val="-2"/>
        </w:rPr>
        <w:t>达标区判断</w:t>
      </w:r>
    </w:p>
    <w:p>
      <w:pPr>
        <w:ind w:left="17" w:right="5" w:firstLine="480"/>
        <w:spacing w:before="183" w:line="359" w:lineRule="auto"/>
        <w:jc w:val="both"/>
        <w:rPr>
          <w:rFonts w:ascii="SimSun" w:hAnsi="SimSun" w:eastAsia="SimSun" w:cs="SimSun"/>
          <w:sz w:val="24"/>
          <w:szCs w:val="24"/>
        </w:rPr>
      </w:pPr>
      <w:r>
        <w:rPr>
          <w:rFonts w:ascii="SimSun" w:hAnsi="SimSun" w:eastAsia="SimSun" w:cs="SimSun"/>
          <w:sz w:val="24"/>
          <w:szCs w:val="24"/>
          <w:spacing w:val="-3"/>
        </w:rPr>
        <w:t>根据《环境影响评价技术导则 大气环境》（</w:t>
      </w:r>
      <w:r>
        <w:rPr>
          <w:rFonts w:ascii="Times New Roman" w:hAnsi="Times New Roman" w:eastAsia="Times New Roman" w:cs="Times New Roman"/>
          <w:sz w:val="24"/>
          <w:szCs w:val="24"/>
          <w:spacing w:val="-3"/>
        </w:rPr>
        <w:t>HJ2.2-2018</w:t>
      </w:r>
      <w:r>
        <w:rPr>
          <w:rFonts w:ascii="SimSun" w:hAnsi="SimSun" w:eastAsia="SimSun" w:cs="SimSun"/>
          <w:sz w:val="24"/>
          <w:szCs w:val="24"/>
          <w:spacing w:val="-3"/>
        </w:rPr>
        <w:t>）中</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6.2.1.1 </w:t>
      </w:r>
      <w:r>
        <w:rPr>
          <w:rFonts w:ascii="SimSun" w:hAnsi="SimSun" w:eastAsia="SimSun" w:cs="SimSun"/>
          <w:sz w:val="24"/>
          <w:szCs w:val="24"/>
          <w:spacing w:val="-3"/>
        </w:rPr>
        <w:t>规定</w:t>
      </w:r>
      <w:r>
        <w:rPr>
          <w:rFonts w:ascii="Times New Roman" w:hAnsi="Times New Roman" w:eastAsia="Times New Roman" w:cs="Times New Roman"/>
          <w:sz w:val="24"/>
          <w:szCs w:val="24"/>
          <w:spacing w:val="-3"/>
        </w:rPr>
        <w:t>“</w:t>
      </w:r>
      <w:r>
        <w:rPr>
          <w:rFonts w:ascii="SimSun" w:hAnsi="SimSun" w:eastAsia="SimSun" w:cs="SimSun"/>
          <w:sz w:val="24"/>
          <w:szCs w:val="24"/>
          <w:spacing w:val="-3"/>
        </w:rPr>
        <w:t>项目</w:t>
      </w:r>
      <w:r>
        <w:rPr>
          <w:rFonts w:ascii="SimSun" w:hAnsi="SimSun" w:eastAsia="SimSun" w:cs="SimSun"/>
          <w:sz w:val="24"/>
          <w:szCs w:val="24"/>
        </w:rPr>
        <w:t xml:space="preserve"> </w:t>
      </w:r>
      <w:r>
        <w:rPr>
          <w:rFonts w:ascii="SimSun" w:hAnsi="SimSun" w:eastAsia="SimSun" w:cs="SimSun"/>
          <w:sz w:val="24"/>
          <w:szCs w:val="24"/>
          <w:spacing w:val="3"/>
        </w:rPr>
        <w:t>所在区域达标判定，优先采用国家或地方生态环境主管</w:t>
      </w:r>
      <w:r>
        <w:rPr>
          <w:rFonts w:ascii="SimSun" w:hAnsi="SimSun" w:eastAsia="SimSun" w:cs="SimSun"/>
          <w:sz w:val="24"/>
          <w:szCs w:val="24"/>
          <w:spacing w:val="2"/>
        </w:rPr>
        <w:t>部门公开发布的评价基准</w:t>
      </w:r>
      <w:r>
        <w:rPr>
          <w:rFonts w:ascii="SimSun" w:hAnsi="SimSun" w:eastAsia="SimSun" w:cs="SimSun"/>
          <w:sz w:val="24"/>
          <w:szCs w:val="24"/>
        </w:rPr>
        <w:t xml:space="preserve"> </w:t>
      </w:r>
      <w:r>
        <w:rPr>
          <w:rFonts w:ascii="SimSun" w:hAnsi="SimSun" w:eastAsia="SimSun" w:cs="SimSun"/>
          <w:sz w:val="24"/>
          <w:szCs w:val="24"/>
          <w:spacing w:val="1"/>
        </w:rPr>
        <w:t>年环境，质量公告或环境质量报告中的数据或结论</w:t>
      </w:r>
      <w:r>
        <w:rPr>
          <w:rFonts w:ascii="Times New Roman" w:hAnsi="Times New Roman" w:eastAsia="Times New Roman" w:cs="Times New Roman"/>
          <w:sz w:val="24"/>
          <w:szCs w:val="24"/>
          <w:spacing w:val="1"/>
        </w:rPr>
        <w:t>”</w:t>
      </w:r>
      <w:r>
        <w:rPr>
          <w:rFonts w:ascii="SimSun" w:hAnsi="SimSun" w:eastAsia="SimSun" w:cs="SimSun"/>
          <w:sz w:val="24"/>
          <w:szCs w:val="24"/>
          <w:spacing w:val="1"/>
        </w:rPr>
        <w:t>以及</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1"/>
        </w:rPr>
        <w:t>6.2.1.3 </w:t>
      </w:r>
      <w:r>
        <w:rPr>
          <w:rFonts w:ascii="SimSun" w:hAnsi="SimSun" w:eastAsia="SimSun" w:cs="SimSun"/>
          <w:sz w:val="24"/>
          <w:szCs w:val="24"/>
          <w:spacing w:val="1"/>
        </w:rPr>
        <w:t>规定</w:t>
      </w:r>
      <w:r>
        <w:rPr>
          <w:rFonts w:ascii="Times New Roman" w:hAnsi="Times New Roman" w:eastAsia="Times New Roman" w:cs="Times New Roman"/>
          <w:sz w:val="24"/>
          <w:szCs w:val="24"/>
          <w:spacing w:val="1"/>
        </w:rPr>
        <w:t>“</w:t>
      </w:r>
      <w:r>
        <w:rPr>
          <w:rFonts w:ascii="SimSun" w:hAnsi="SimSun" w:eastAsia="SimSun" w:cs="SimSun"/>
          <w:sz w:val="24"/>
          <w:szCs w:val="24"/>
          <w:spacing w:val="1"/>
        </w:rPr>
        <w:t>评价范围内</w:t>
      </w:r>
      <w:r>
        <w:rPr>
          <w:rFonts w:ascii="SimSun" w:hAnsi="SimSun" w:eastAsia="SimSun" w:cs="SimSun"/>
          <w:sz w:val="24"/>
          <w:szCs w:val="24"/>
        </w:rPr>
        <w:t xml:space="preserve"> </w:t>
      </w:r>
      <w:r>
        <w:rPr>
          <w:rFonts w:ascii="SimSun" w:hAnsi="SimSun" w:eastAsia="SimSun" w:cs="SimSun"/>
          <w:sz w:val="24"/>
          <w:szCs w:val="24"/>
          <w:spacing w:val="3"/>
        </w:rPr>
        <w:t>没有环境空气质量监测网数据或公开发布的环境空气质</w:t>
      </w:r>
      <w:r>
        <w:rPr>
          <w:rFonts w:ascii="SimSun" w:hAnsi="SimSun" w:eastAsia="SimSun" w:cs="SimSun"/>
          <w:sz w:val="24"/>
          <w:szCs w:val="24"/>
          <w:spacing w:val="2"/>
        </w:rPr>
        <w:t>量现状数据的，可选择符</w:t>
      </w:r>
      <w:r>
        <w:rPr>
          <w:rFonts w:ascii="SimSun" w:hAnsi="SimSun" w:eastAsia="SimSun" w:cs="SimSun"/>
          <w:sz w:val="24"/>
          <w:szCs w:val="24"/>
        </w:rPr>
        <w:t xml:space="preserve"> </w:t>
      </w:r>
      <w:r>
        <w:rPr>
          <w:rFonts w:ascii="SimSun" w:hAnsi="SimSun" w:eastAsia="SimSun" w:cs="SimSun"/>
          <w:sz w:val="24"/>
          <w:szCs w:val="24"/>
          <w:spacing w:val="2"/>
        </w:rPr>
        <w:t>合</w:t>
      </w:r>
      <w:r>
        <w:rPr>
          <w:rFonts w:ascii="SimSun" w:hAnsi="SimSun" w:eastAsia="SimSun" w:cs="SimSun"/>
          <w:sz w:val="24"/>
          <w:szCs w:val="24"/>
          <w:spacing w:val="-54"/>
        </w:rPr>
        <w:t xml:space="preserve"> </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2"/>
        </w:rPr>
        <w:t>664 </w:t>
      </w:r>
      <w:r>
        <w:rPr>
          <w:rFonts w:ascii="SimSun" w:hAnsi="SimSun" w:eastAsia="SimSun" w:cs="SimSun"/>
          <w:sz w:val="24"/>
          <w:szCs w:val="24"/>
          <w:spacing w:val="2"/>
        </w:rPr>
        <w:t>规定，并且与评价范围地理位置邻近，地</w:t>
      </w:r>
      <w:r>
        <w:rPr>
          <w:rFonts w:ascii="SimSun" w:hAnsi="SimSun" w:eastAsia="SimSun" w:cs="SimSun"/>
          <w:sz w:val="24"/>
          <w:szCs w:val="24"/>
          <w:spacing w:val="1"/>
        </w:rPr>
        <w:t>形、气候条件相近的环境空气</w:t>
      </w:r>
      <w:r>
        <w:rPr>
          <w:rFonts w:ascii="SimSun" w:hAnsi="SimSun" w:eastAsia="SimSun" w:cs="SimSun"/>
          <w:sz w:val="24"/>
          <w:szCs w:val="24"/>
        </w:rPr>
        <w:t xml:space="preserve"> </w:t>
      </w:r>
      <w:r>
        <w:rPr>
          <w:rFonts w:ascii="SimSun" w:hAnsi="SimSun" w:eastAsia="SimSun" w:cs="SimSun"/>
          <w:sz w:val="24"/>
          <w:szCs w:val="24"/>
          <w:spacing w:val="-1"/>
        </w:rPr>
        <w:t>质量城市点或区域点监测数据</w:t>
      </w:r>
      <w:r>
        <w:rPr>
          <w:rFonts w:ascii="Times New Roman" w:hAnsi="Times New Roman" w:eastAsia="Times New Roman" w:cs="Times New Roman"/>
          <w:sz w:val="24"/>
          <w:szCs w:val="24"/>
          <w:spacing w:val="-1"/>
        </w:rPr>
        <w:t>”</w:t>
      </w:r>
      <w:r>
        <w:rPr>
          <w:rFonts w:ascii="SimSun" w:hAnsi="SimSun" w:eastAsia="SimSun" w:cs="SimSun"/>
          <w:sz w:val="24"/>
          <w:szCs w:val="24"/>
          <w:spacing w:val="-1"/>
        </w:rPr>
        <w:t>。</w:t>
      </w:r>
    </w:p>
    <w:p>
      <w:pPr>
        <w:ind w:left="17" w:right="7" w:firstLine="481"/>
        <w:spacing w:line="359" w:lineRule="auto"/>
        <w:jc w:val="both"/>
        <w:rPr>
          <w:rFonts w:ascii="SimSun" w:hAnsi="SimSun" w:eastAsia="SimSun" w:cs="SimSun"/>
          <w:sz w:val="24"/>
          <w:szCs w:val="24"/>
        </w:rPr>
      </w:pPr>
      <w:r>
        <w:rPr>
          <w:rFonts w:ascii="SimSun" w:hAnsi="SimSun" w:eastAsia="SimSun" w:cs="SimSun"/>
          <w:sz w:val="24"/>
          <w:szCs w:val="24"/>
          <w:spacing w:val="-1"/>
        </w:rPr>
        <w:t>本项目位于锡林郭勒盟正镶白旗，评价基准年为</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年。根据内蒙古自治区</w:t>
      </w:r>
      <w:r>
        <w:rPr>
          <w:rFonts w:ascii="SimSun" w:hAnsi="SimSun" w:eastAsia="SimSun" w:cs="SimSun"/>
          <w:sz w:val="24"/>
          <w:szCs w:val="24"/>
        </w:rPr>
        <w:t xml:space="preserve"> </w:t>
      </w:r>
      <w:r>
        <w:rPr>
          <w:rFonts w:ascii="SimSun" w:hAnsi="SimSun" w:eastAsia="SimSun" w:cs="SimSun"/>
          <w:sz w:val="24"/>
          <w:szCs w:val="24"/>
          <w:spacing w:val="-1"/>
        </w:rPr>
        <w:t>生态环境厅发布的《内蒙古自治区生态环境状况公报</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2024</w:t>
      </w:r>
      <w:r>
        <w:rPr>
          <w:rFonts w:ascii="SimSun" w:hAnsi="SimSun" w:eastAsia="SimSun" w:cs="SimSun"/>
          <w:sz w:val="24"/>
          <w:szCs w:val="24"/>
          <w:spacing w:val="-1"/>
        </w:rPr>
        <w:t>》</w:t>
      </w:r>
      <w:r>
        <w:rPr>
          <w:rFonts w:ascii="Times New Roman" w:hAnsi="Times New Roman" w:eastAsia="Times New Roman" w:cs="Times New Roman"/>
          <w:sz w:val="24"/>
          <w:szCs w:val="24"/>
          <w:spacing w:val="-1"/>
        </w:rPr>
        <w:t>P5“2024 </w:t>
      </w:r>
      <w:r>
        <w:rPr>
          <w:rFonts w:ascii="SimSun" w:hAnsi="SimSun" w:eastAsia="SimSun" w:cs="SimSun"/>
          <w:sz w:val="24"/>
          <w:szCs w:val="24"/>
          <w:spacing w:val="-1"/>
        </w:rPr>
        <w:t>年，全区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12</w:t>
      </w:r>
      <w:r>
        <w:rPr>
          <w:rFonts w:ascii="Times New Roman" w:hAnsi="Times New Roman" w:eastAsia="Times New Roman" w:cs="Times New Roman"/>
          <w:sz w:val="24"/>
          <w:szCs w:val="24"/>
        </w:rPr>
        <w:t xml:space="preserve">  </w:t>
      </w:r>
      <w:r>
        <w:rPr>
          <w:rFonts w:ascii="SimSun" w:hAnsi="SimSun" w:eastAsia="SimSun" w:cs="SimSun"/>
          <w:sz w:val="24"/>
          <w:szCs w:val="24"/>
          <w:spacing w:val="-1"/>
        </w:rPr>
        <w:t>盟市环境空气质量均达标</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
        </w:rPr>
        <w:t>，故本项目所在区域为环境空气质量达标</w:t>
      </w:r>
      <w:r>
        <w:rPr>
          <w:rFonts w:ascii="SimSun" w:hAnsi="SimSun" w:eastAsia="SimSun" w:cs="SimSun"/>
          <w:sz w:val="24"/>
          <w:szCs w:val="24"/>
          <w:spacing w:val="-2"/>
        </w:rPr>
        <w:t>区。根据公报</w:t>
      </w:r>
      <w:r>
        <w:rPr>
          <w:rFonts w:ascii="SimSun" w:hAnsi="SimSun" w:eastAsia="SimSun" w:cs="SimSun"/>
          <w:sz w:val="24"/>
          <w:szCs w:val="24"/>
        </w:rPr>
        <w:t xml:space="preserve"> </w:t>
      </w:r>
      <w:r>
        <w:rPr>
          <w:rFonts w:ascii="SimSun" w:hAnsi="SimSun" w:eastAsia="SimSun" w:cs="SimSun"/>
          <w:sz w:val="24"/>
          <w:szCs w:val="24"/>
        </w:rPr>
        <w:t>监测数据，</w:t>
      </w:r>
      <w:r>
        <w:rPr>
          <w:rFonts w:ascii="Times New Roman" w:hAnsi="Times New Roman" w:eastAsia="Times New Roman" w:cs="Times New Roman"/>
          <w:sz w:val="24"/>
          <w:szCs w:val="24"/>
        </w:rPr>
        <w:t>6 </w:t>
      </w:r>
      <w:r>
        <w:rPr>
          <w:rFonts w:ascii="SimSun" w:hAnsi="SimSun" w:eastAsia="SimSun" w:cs="SimSun"/>
          <w:sz w:val="24"/>
          <w:szCs w:val="24"/>
        </w:rPr>
        <w:t>项基本污染物中，细颗粒物、可吸入颗粒物、</w:t>
      </w:r>
      <w:r>
        <w:rPr>
          <w:rFonts w:ascii="Times New Roman" w:hAnsi="Times New Roman" w:eastAsia="Times New Roman" w:cs="Times New Roman"/>
          <w:sz w:val="24"/>
          <w:szCs w:val="24"/>
        </w:rPr>
        <w:t>SO</w:t>
      </w:r>
      <w:r>
        <w:rPr>
          <w:rFonts w:ascii="Times New Roman" w:hAnsi="Times New Roman" w:eastAsia="Times New Roman" w:cs="Times New Roman"/>
          <w:sz w:val="15"/>
          <w:szCs w:val="15"/>
          <w:position w:val="-1"/>
        </w:rPr>
        <w:t>2</w:t>
      </w:r>
      <w:r>
        <w:rPr>
          <w:rFonts w:ascii="Times New Roman" w:hAnsi="Times New Roman" w:eastAsia="Times New Roman" w:cs="Times New Roman"/>
          <w:sz w:val="15"/>
          <w:szCs w:val="15"/>
          <w:spacing w:val="-10"/>
          <w:position w:val="-1"/>
        </w:rPr>
        <w:t xml:space="preserve"> </w:t>
      </w:r>
      <w:r>
        <w:rPr>
          <w:rFonts w:ascii="SimSun" w:hAnsi="SimSun" w:eastAsia="SimSun" w:cs="SimSun"/>
          <w:sz w:val="24"/>
          <w:szCs w:val="24"/>
        </w:rPr>
        <w:t>、</w:t>
      </w:r>
      <w:r>
        <w:rPr>
          <w:rFonts w:ascii="Times New Roman" w:hAnsi="Times New Roman" w:eastAsia="Times New Roman" w:cs="Times New Roman"/>
          <w:sz w:val="24"/>
          <w:szCs w:val="24"/>
        </w:rPr>
        <w:t>NO</w:t>
      </w:r>
      <w:r>
        <w:rPr>
          <w:rFonts w:ascii="Times New Roman" w:hAnsi="Times New Roman" w:eastAsia="Times New Roman" w:cs="Times New Roman"/>
          <w:sz w:val="15"/>
          <w:szCs w:val="15"/>
          <w:position w:val="-1"/>
        </w:rPr>
        <w:t>2</w:t>
      </w:r>
      <w:r>
        <w:rPr>
          <w:rFonts w:ascii="Times New Roman" w:hAnsi="Times New Roman" w:eastAsia="Times New Roman" w:cs="Times New Roman"/>
          <w:sz w:val="15"/>
          <w:szCs w:val="15"/>
          <w:spacing w:val="10"/>
          <w:position w:val="-1"/>
        </w:rPr>
        <w:t xml:space="preserve"> </w:t>
      </w:r>
      <w:r>
        <w:rPr>
          <w:rFonts w:ascii="SimSun" w:hAnsi="SimSun" w:eastAsia="SimSun" w:cs="SimSun"/>
          <w:sz w:val="24"/>
          <w:szCs w:val="24"/>
          <w:spacing w:val="-1"/>
        </w:rPr>
        <w:t>年均浓度，</w:t>
      </w:r>
      <w:r>
        <w:rPr>
          <w:rFonts w:ascii="SimSun" w:hAnsi="SimSun" w:eastAsia="SimSun" w:cs="SimSun"/>
          <w:sz w:val="24"/>
          <w:szCs w:val="24"/>
        </w:rPr>
        <w:t xml:space="preserve"> </w:t>
      </w:r>
      <w:r>
        <w:rPr>
          <w:rFonts w:ascii="Times New Roman" w:hAnsi="Times New Roman" w:eastAsia="Times New Roman" w:cs="Times New Roman"/>
          <w:sz w:val="24"/>
          <w:szCs w:val="24"/>
          <w:spacing w:val="-6"/>
        </w:rPr>
        <w:t>CO24</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6"/>
        </w:rPr>
        <w:t>小时平均第</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6"/>
        </w:rPr>
        <w:t>95</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6"/>
        </w:rPr>
        <w:t>百分位数、</w:t>
      </w:r>
      <w:r>
        <w:rPr>
          <w:rFonts w:ascii="Times New Roman" w:hAnsi="Times New Roman" w:eastAsia="Times New Roman" w:cs="Times New Roman"/>
          <w:sz w:val="24"/>
          <w:szCs w:val="24"/>
          <w:spacing w:val="-6"/>
        </w:rPr>
        <w:t>O</w:t>
      </w:r>
      <w:r>
        <w:rPr>
          <w:rFonts w:ascii="Times New Roman" w:hAnsi="Times New Roman" w:eastAsia="Times New Roman" w:cs="Times New Roman"/>
          <w:sz w:val="15"/>
          <w:szCs w:val="15"/>
          <w:spacing w:val="-6"/>
          <w:position w:val="-1"/>
        </w:rPr>
        <w:t>3  </w:t>
      </w:r>
      <w:r>
        <w:rPr>
          <w:rFonts w:ascii="SimSun" w:hAnsi="SimSun" w:eastAsia="SimSun" w:cs="SimSun"/>
          <w:sz w:val="24"/>
          <w:szCs w:val="24"/>
          <w:spacing w:val="-6"/>
        </w:rPr>
        <w:t>日最大</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6"/>
        </w:rPr>
        <w:t>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6"/>
        </w:rPr>
        <w:t>小时平均第</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6"/>
        </w:rPr>
        <w:t>90</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6"/>
        </w:rPr>
        <w:t>百分位数，具体浓度值</w:t>
      </w:r>
      <w:r>
        <w:rPr>
          <w:rFonts w:ascii="SimSun" w:hAnsi="SimSun" w:eastAsia="SimSun" w:cs="SimSun"/>
          <w:sz w:val="24"/>
          <w:szCs w:val="24"/>
        </w:rPr>
        <w:t xml:space="preserve"> </w:t>
      </w:r>
      <w:r>
        <w:rPr>
          <w:rFonts w:ascii="SimSun" w:hAnsi="SimSun" w:eastAsia="SimSun" w:cs="SimSun"/>
          <w:sz w:val="24"/>
          <w:szCs w:val="24"/>
          <w:spacing w:val="-2"/>
        </w:rPr>
        <w:t>结果见表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4.2-1</w:t>
      </w:r>
      <w:r>
        <w:rPr>
          <w:rFonts w:ascii="SimSun" w:hAnsi="SimSun" w:eastAsia="SimSun" w:cs="SimSun"/>
          <w:sz w:val="24"/>
          <w:szCs w:val="24"/>
          <w:spacing w:val="-2"/>
        </w:rPr>
        <w:t>。</w:t>
      </w:r>
    </w:p>
    <w:p>
      <w:pPr>
        <w:ind w:left="859"/>
        <w:spacing w:line="212" w:lineRule="auto"/>
        <w:rPr>
          <w:rFonts w:ascii="Times New Roman" w:hAnsi="Times New Roman" w:eastAsia="Times New Roman" w:cs="Times New Roman"/>
          <w:sz w:val="15"/>
          <w:szCs w:val="15"/>
        </w:rPr>
      </w:pPr>
      <w:r>
        <w:rPr>
          <w:rFonts w:ascii="SimSun" w:hAnsi="SimSun" w:eastAsia="SimSun" w:cs="SimSun"/>
          <w:sz w:val="24"/>
          <w:szCs w:val="24"/>
          <w:b/>
          <w:bCs/>
          <w:spacing w:val="-1"/>
        </w:rPr>
        <w:t>表</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1"/>
        </w:rPr>
        <w:t>4.2-1      </w:t>
      </w:r>
      <w:r>
        <w:rPr>
          <w:rFonts w:ascii="SimSun" w:hAnsi="SimSun" w:eastAsia="SimSun" w:cs="SimSun"/>
          <w:sz w:val="24"/>
          <w:szCs w:val="24"/>
          <w:b/>
          <w:bCs/>
          <w:spacing w:val="-1"/>
        </w:rPr>
        <w:t>锡林郭勒盟环境空气质量达标区判定表</w:t>
      </w:r>
      <w:r>
        <w:rPr>
          <w:rFonts w:ascii="SimSun" w:hAnsi="SimSun" w:eastAsia="SimSun" w:cs="SimSun"/>
          <w:sz w:val="24"/>
          <w:szCs w:val="24"/>
          <w:spacing w:val="-1"/>
        </w:rPr>
        <w:t xml:space="preserve">    </w:t>
      </w:r>
      <w:r>
        <w:rPr>
          <w:rFonts w:ascii="SimSun" w:hAnsi="SimSun" w:eastAsia="SimSun" w:cs="SimSun"/>
          <w:sz w:val="24"/>
          <w:szCs w:val="24"/>
          <w:b/>
          <w:bCs/>
          <w:spacing w:val="-1"/>
        </w:rPr>
        <w:t>单位</w:t>
      </w:r>
      <w:r>
        <w:rPr>
          <w:rFonts w:ascii="Times New Roman" w:hAnsi="Times New Roman" w:eastAsia="Times New Roman" w:cs="Times New Roman"/>
          <w:sz w:val="24"/>
          <w:szCs w:val="24"/>
          <w:b/>
          <w:bCs/>
          <w:spacing w:val="-1"/>
        </w:rPr>
        <w:t>μ</w:t>
      </w:r>
      <w:r>
        <w:rPr>
          <w:rFonts w:ascii="Times New Roman" w:hAnsi="Times New Roman" w:eastAsia="Times New Roman" w:cs="Times New Roman"/>
          <w:sz w:val="24"/>
          <w:szCs w:val="24"/>
          <w:b/>
          <w:bCs/>
          <w:spacing w:val="-2"/>
        </w:rPr>
        <w:t>g/m</w:t>
      </w:r>
      <w:r>
        <w:rPr>
          <w:rFonts w:ascii="Times New Roman" w:hAnsi="Times New Roman" w:eastAsia="Times New Roman" w:cs="Times New Roman"/>
          <w:sz w:val="15"/>
          <w:szCs w:val="15"/>
          <w:b/>
          <w:bCs/>
          <w:spacing w:val="-2"/>
          <w:position w:val="8"/>
        </w:rPr>
        <w:t>3</w:t>
      </w:r>
    </w:p>
    <w:tbl>
      <w:tblPr>
        <w:tblStyle w:val="TableNormal"/>
        <w:tblW w:w="851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09"/>
        <w:gridCol w:w="2370"/>
        <w:gridCol w:w="1380"/>
        <w:gridCol w:w="1566"/>
        <w:gridCol w:w="992"/>
        <w:gridCol w:w="997"/>
      </w:tblGrid>
      <w:tr>
        <w:trPr>
          <w:trHeight w:val="281" w:hRule="atLeast"/>
        </w:trPr>
        <w:tc>
          <w:tcPr>
            <w:tcW w:w="1209" w:type="dxa"/>
            <w:vAlign w:val="top"/>
          </w:tcPr>
          <w:p>
            <w:pPr>
              <w:pStyle w:val="TableText"/>
              <w:ind w:left="296"/>
              <w:spacing w:before="35" w:line="217" w:lineRule="auto"/>
              <w:rPr/>
            </w:pPr>
            <w:r>
              <w:rPr>
                <w:spacing w:val="6"/>
              </w:rPr>
              <w:t>污染物</w:t>
            </w:r>
          </w:p>
        </w:tc>
        <w:tc>
          <w:tcPr>
            <w:tcW w:w="2370" w:type="dxa"/>
            <w:vAlign w:val="top"/>
          </w:tcPr>
          <w:p>
            <w:pPr>
              <w:pStyle w:val="TableText"/>
              <w:ind w:left="665"/>
              <w:spacing w:before="35" w:line="217" w:lineRule="auto"/>
              <w:rPr/>
            </w:pPr>
            <w:r>
              <w:rPr>
                <w:spacing w:val="7"/>
              </w:rPr>
              <w:t>年评价指标</w:t>
            </w:r>
          </w:p>
        </w:tc>
        <w:tc>
          <w:tcPr>
            <w:tcW w:w="1380" w:type="dxa"/>
            <w:vAlign w:val="top"/>
          </w:tcPr>
          <w:p>
            <w:pPr>
              <w:pStyle w:val="TableText"/>
              <w:ind w:left="22"/>
              <w:spacing w:before="35" w:line="217" w:lineRule="auto"/>
              <w:rPr/>
            </w:pPr>
            <w:r>
              <w:rPr>
                <w:spacing w:val="2"/>
              </w:rPr>
              <w:t>浓度</w:t>
            </w:r>
            <w:r>
              <w:rPr>
                <w:spacing w:val="25"/>
              </w:rPr>
              <w:t xml:space="preserve"> </w:t>
            </w:r>
            <w:r>
              <w:rPr>
                <w:spacing w:val="2"/>
              </w:rPr>
              <w:t>(</w:t>
            </w:r>
            <w:r>
              <w:rPr>
                <w:rFonts w:ascii="Times New Roman" w:hAnsi="Times New Roman" w:eastAsia="Times New Roman" w:cs="Times New Roman"/>
                <w:spacing w:val="2"/>
              </w:rPr>
              <w:t>μg/m</w:t>
            </w:r>
            <w:r>
              <w:rPr>
                <w:rFonts w:ascii="Times New Roman" w:hAnsi="Times New Roman" w:eastAsia="Times New Roman" w:cs="Times New Roman"/>
                <w:sz w:val="13"/>
                <w:szCs w:val="13"/>
                <w:spacing w:val="2"/>
                <w:position w:val="6"/>
              </w:rPr>
              <w:t>3</w:t>
            </w:r>
            <w:r>
              <w:rPr>
                <w:spacing w:val="2"/>
              </w:rPr>
              <w:t>）</w:t>
            </w:r>
          </w:p>
        </w:tc>
        <w:tc>
          <w:tcPr>
            <w:tcW w:w="1566" w:type="dxa"/>
            <w:vAlign w:val="top"/>
          </w:tcPr>
          <w:p>
            <w:pPr>
              <w:pStyle w:val="TableText"/>
              <w:ind w:left="11"/>
              <w:spacing w:before="35" w:line="217" w:lineRule="auto"/>
              <w:rPr/>
            </w:pPr>
            <w:r>
              <w:rPr>
                <w:spacing w:val="3"/>
              </w:rPr>
              <w:t>标准值</w:t>
            </w:r>
            <w:r>
              <w:rPr>
                <w:spacing w:val="24"/>
              </w:rPr>
              <w:t xml:space="preserve"> </w:t>
            </w:r>
            <w:r>
              <w:rPr>
                <w:spacing w:val="3"/>
              </w:rPr>
              <w:t>(</w:t>
            </w:r>
            <w:r>
              <w:rPr>
                <w:rFonts w:ascii="Times New Roman" w:hAnsi="Times New Roman" w:eastAsia="Times New Roman" w:cs="Times New Roman"/>
                <w:spacing w:val="3"/>
              </w:rPr>
              <w:t>μg/m</w:t>
            </w:r>
            <w:r>
              <w:rPr>
                <w:rFonts w:ascii="Times New Roman" w:hAnsi="Times New Roman" w:eastAsia="Times New Roman" w:cs="Times New Roman"/>
                <w:sz w:val="13"/>
                <w:szCs w:val="13"/>
                <w:spacing w:val="3"/>
                <w:position w:val="6"/>
              </w:rPr>
              <w:t>3</w:t>
            </w:r>
            <w:r>
              <w:rPr>
                <w:spacing w:val="3"/>
              </w:rPr>
              <w:t>）</w:t>
            </w:r>
          </w:p>
        </w:tc>
        <w:tc>
          <w:tcPr>
            <w:tcW w:w="992" w:type="dxa"/>
            <w:vAlign w:val="top"/>
          </w:tcPr>
          <w:p>
            <w:pPr>
              <w:pStyle w:val="TableText"/>
              <w:ind w:left="106"/>
              <w:spacing w:before="35" w:line="217" w:lineRule="auto"/>
              <w:rPr>
                <w:rFonts w:ascii="Times New Roman" w:hAnsi="Times New Roman" w:eastAsia="Times New Roman" w:cs="Times New Roman"/>
              </w:rPr>
            </w:pPr>
            <w:r>
              <w:rPr>
                <w:spacing w:val="-1"/>
              </w:rPr>
              <w:t>占标率</w:t>
            </w:r>
            <w:r>
              <w:rPr>
                <w:rFonts w:ascii="Times New Roman" w:hAnsi="Times New Roman" w:eastAsia="Times New Roman" w:cs="Times New Roman"/>
                <w:spacing w:val="-1"/>
              </w:rPr>
              <w:t>/%</w:t>
            </w:r>
          </w:p>
        </w:tc>
        <w:tc>
          <w:tcPr>
            <w:tcW w:w="997" w:type="dxa"/>
            <w:vAlign w:val="top"/>
          </w:tcPr>
          <w:p>
            <w:pPr>
              <w:pStyle w:val="TableText"/>
              <w:ind w:left="82"/>
              <w:spacing w:before="35" w:line="217" w:lineRule="auto"/>
              <w:rPr/>
            </w:pPr>
            <w:r>
              <w:rPr>
                <w:spacing w:val="7"/>
              </w:rPr>
              <w:t>达标情况</w:t>
            </w:r>
          </w:p>
        </w:tc>
      </w:tr>
      <w:tr>
        <w:trPr>
          <w:trHeight w:val="276" w:hRule="atLeast"/>
        </w:trPr>
        <w:tc>
          <w:tcPr>
            <w:tcW w:w="1209" w:type="dxa"/>
            <w:vAlign w:val="top"/>
          </w:tcPr>
          <w:p>
            <w:pPr>
              <w:ind w:left="446"/>
              <w:spacing w:before="66"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3"/>
                <w:position w:val="-1"/>
              </w:rPr>
              <w:t>2</w:t>
            </w:r>
          </w:p>
        </w:tc>
        <w:tc>
          <w:tcPr>
            <w:tcW w:w="2370" w:type="dxa"/>
            <w:vAlign w:val="top"/>
          </w:tcPr>
          <w:p>
            <w:pPr>
              <w:pStyle w:val="TableText"/>
              <w:ind w:left="454"/>
              <w:spacing w:before="30" w:line="217" w:lineRule="auto"/>
              <w:rPr/>
            </w:pPr>
            <w:r>
              <w:rPr>
                <w:spacing w:val="8"/>
              </w:rPr>
              <w:t>年平均质量浓度</w:t>
            </w:r>
          </w:p>
        </w:tc>
        <w:tc>
          <w:tcPr>
            <w:tcW w:w="1380" w:type="dxa"/>
            <w:vAlign w:val="top"/>
          </w:tcPr>
          <w:p>
            <w:pPr>
              <w:ind w:left="642"/>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566" w:type="dxa"/>
            <w:vAlign w:val="top"/>
          </w:tcPr>
          <w:p>
            <w:pPr>
              <w:ind w:left="683"/>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992" w:type="dxa"/>
            <w:vAlign w:val="top"/>
          </w:tcPr>
          <w:p>
            <w:pPr>
              <w:ind w:left="282"/>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15.00</w:t>
            </w:r>
          </w:p>
        </w:tc>
        <w:tc>
          <w:tcPr>
            <w:tcW w:w="997" w:type="dxa"/>
            <w:vAlign w:val="top"/>
            <w:vMerge w:val="restart"/>
            <w:tcBorders>
              <w:bottom w:val="nil"/>
            </w:tcBorders>
          </w:tcPr>
          <w:p>
            <w:pPr>
              <w:spacing w:line="267" w:lineRule="auto"/>
              <w:rPr>
                <w:rFonts w:ascii="Arial"/>
                <w:sz w:val="21"/>
              </w:rPr>
            </w:pPr>
            <w:r/>
          </w:p>
          <w:p>
            <w:pPr>
              <w:spacing w:line="268" w:lineRule="auto"/>
              <w:rPr>
                <w:rFonts w:ascii="Arial"/>
                <w:sz w:val="21"/>
              </w:rPr>
            </w:pPr>
            <w:r/>
          </w:p>
          <w:p>
            <w:pPr>
              <w:spacing w:line="268" w:lineRule="auto"/>
              <w:rPr>
                <w:rFonts w:ascii="Arial"/>
                <w:sz w:val="21"/>
              </w:rPr>
            </w:pPr>
            <w:r/>
          </w:p>
          <w:p>
            <w:pPr>
              <w:pStyle w:val="TableText"/>
              <w:ind w:left="293"/>
              <w:spacing w:before="65" w:line="228" w:lineRule="auto"/>
              <w:rPr/>
            </w:pPr>
            <w:r>
              <w:rPr>
                <w:spacing w:val="5"/>
              </w:rPr>
              <w:t>达标</w:t>
            </w:r>
          </w:p>
        </w:tc>
      </w:tr>
      <w:tr>
        <w:trPr>
          <w:trHeight w:val="277" w:hRule="atLeast"/>
        </w:trPr>
        <w:tc>
          <w:tcPr>
            <w:tcW w:w="1209" w:type="dxa"/>
            <w:vAlign w:val="top"/>
          </w:tcPr>
          <w:p>
            <w:pPr>
              <w:ind w:left="413"/>
              <w:spacing w:before="68"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NO</w:t>
            </w:r>
            <w:r>
              <w:rPr>
                <w:rFonts w:ascii="Times New Roman" w:hAnsi="Times New Roman" w:eastAsia="Times New Roman" w:cs="Times New Roman"/>
                <w:sz w:val="13"/>
                <w:szCs w:val="13"/>
                <w:spacing w:val="6"/>
                <w:position w:val="-1"/>
              </w:rPr>
              <w:t>2</w:t>
            </w:r>
          </w:p>
        </w:tc>
        <w:tc>
          <w:tcPr>
            <w:tcW w:w="2370" w:type="dxa"/>
            <w:vAlign w:val="top"/>
          </w:tcPr>
          <w:p>
            <w:pPr>
              <w:pStyle w:val="TableText"/>
              <w:ind w:left="454"/>
              <w:spacing w:before="33" w:line="216" w:lineRule="auto"/>
              <w:rPr/>
            </w:pPr>
            <w:r>
              <w:rPr>
                <w:spacing w:val="8"/>
              </w:rPr>
              <w:t>年平均质量浓度</w:t>
            </w:r>
          </w:p>
        </w:tc>
        <w:tc>
          <w:tcPr>
            <w:tcW w:w="1380" w:type="dxa"/>
            <w:vAlign w:val="top"/>
          </w:tcPr>
          <w:p>
            <w:pPr>
              <w:ind w:left="605"/>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566" w:type="dxa"/>
            <w:vAlign w:val="top"/>
          </w:tcPr>
          <w:p>
            <w:pPr>
              <w:ind w:left="678"/>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w:t>
            </w:r>
          </w:p>
        </w:tc>
        <w:tc>
          <w:tcPr>
            <w:tcW w:w="992" w:type="dxa"/>
            <w:vAlign w:val="top"/>
          </w:tcPr>
          <w:p>
            <w:pPr>
              <w:ind w:left="26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25.00</w:t>
            </w:r>
          </w:p>
        </w:tc>
        <w:tc>
          <w:tcPr>
            <w:tcW w:w="997" w:type="dxa"/>
            <w:vAlign w:val="top"/>
            <w:vMerge w:val="continue"/>
            <w:tcBorders>
              <w:top w:val="nil"/>
              <w:bottom w:val="nil"/>
            </w:tcBorders>
          </w:tcPr>
          <w:p>
            <w:pPr>
              <w:rPr>
                <w:rFonts w:ascii="Arial"/>
                <w:sz w:val="21"/>
              </w:rPr>
            </w:pPr>
            <w:r/>
          </w:p>
        </w:tc>
      </w:tr>
      <w:tr>
        <w:trPr>
          <w:trHeight w:val="277" w:hRule="atLeast"/>
        </w:trPr>
        <w:tc>
          <w:tcPr>
            <w:tcW w:w="1209" w:type="dxa"/>
            <w:vAlign w:val="top"/>
          </w:tcPr>
          <w:p>
            <w:pPr>
              <w:ind w:left="386"/>
              <w:spacing w:before="72"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PM</w:t>
            </w:r>
            <w:r>
              <w:rPr>
                <w:rFonts w:ascii="Times New Roman" w:hAnsi="Times New Roman" w:eastAsia="Times New Roman" w:cs="Times New Roman"/>
                <w:sz w:val="13"/>
                <w:szCs w:val="13"/>
                <w:spacing w:val="8"/>
                <w:position w:val="-1"/>
              </w:rPr>
              <w:t>10</w:t>
            </w:r>
          </w:p>
        </w:tc>
        <w:tc>
          <w:tcPr>
            <w:tcW w:w="2370" w:type="dxa"/>
            <w:vAlign w:val="top"/>
          </w:tcPr>
          <w:p>
            <w:pPr>
              <w:pStyle w:val="TableText"/>
              <w:ind w:left="454"/>
              <w:spacing w:before="34" w:line="215" w:lineRule="auto"/>
              <w:rPr/>
            </w:pPr>
            <w:r>
              <w:rPr>
                <w:spacing w:val="8"/>
              </w:rPr>
              <w:t>年平均质量浓度</w:t>
            </w:r>
          </w:p>
        </w:tc>
        <w:tc>
          <w:tcPr>
            <w:tcW w:w="1380" w:type="dxa"/>
            <w:vAlign w:val="top"/>
          </w:tcPr>
          <w:p>
            <w:pPr>
              <w:ind w:left="59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51</w:t>
            </w:r>
          </w:p>
        </w:tc>
        <w:tc>
          <w:tcPr>
            <w:tcW w:w="1566" w:type="dxa"/>
            <w:vAlign w:val="top"/>
          </w:tcPr>
          <w:p>
            <w:pPr>
              <w:ind w:left="68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70</w:t>
            </w:r>
          </w:p>
        </w:tc>
        <w:tc>
          <w:tcPr>
            <w:tcW w:w="992" w:type="dxa"/>
            <w:vAlign w:val="top"/>
          </w:tcPr>
          <w:p>
            <w:pPr>
              <w:ind w:left="26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72.86</w:t>
            </w:r>
          </w:p>
        </w:tc>
        <w:tc>
          <w:tcPr>
            <w:tcW w:w="997" w:type="dxa"/>
            <w:vAlign w:val="top"/>
            <w:vMerge w:val="continue"/>
            <w:tcBorders>
              <w:top w:val="nil"/>
              <w:bottom w:val="nil"/>
            </w:tcBorders>
          </w:tcPr>
          <w:p>
            <w:pPr>
              <w:rPr>
                <w:rFonts w:ascii="Arial"/>
                <w:sz w:val="21"/>
              </w:rPr>
            </w:pPr>
            <w:r/>
          </w:p>
        </w:tc>
      </w:tr>
      <w:tr>
        <w:trPr>
          <w:trHeight w:val="276" w:hRule="atLeast"/>
        </w:trPr>
        <w:tc>
          <w:tcPr>
            <w:tcW w:w="1209" w:type="dxa"/>
            <w:vAlign w:val="top"/>
          </w:tcPr>
          <w:p>
            <w:pPr>
              <w:ind w:left="369"/>
              <w:spacing w:before="71"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PM</w:t>
            </w:r>
            <w:r>
              <w:rPr>
                <w:rFonts w:ascii="Times New Roman" w:hAnsi="Times New Roman" w:eastAsia="Times New Roman" w:cs="Times New Roman"/>
                <w:sz w:val="13"/>
                <w:szCs w:val="13"/>
                <w:spacing w:val="6"/>
                <w:position w:val="-1"/>
              </w:rPr>
              <w:t>2.5</w:t>
            </w:r>
          </w:p>
        </w:tc>
        <w:tc>
          <w:tcPr>
            <w:tcW w:w="2370" w:type="dxa"/>
            <w:vAlign w:val="top"/>
          </w:tcPr>
          <w:p>
            <w:pPr>
              <w:pStyle w:val="TableText"/>
              <w:ind w:left="454"/>
              <w:spacing w:before="33" w:line="215" w:lineRule="auto"/>
              <w:rPr/>
            </w:pPr>
            <w:r>
              <w:rPr>
                <w:spacing w:val="8"/>
              </w:rPr>
              <w:t>年平均质量浓度</w:t>
            </w:r>
          </w:p>
        </w:tc>
        <w:tc>
          <w:tcPr>
            <w:tcW w:w="1380" w:type="dxa"/>
            <w:vAlign w:val="top"/>
          </w:tcPr>
          <w:p>
            <w:pPr>
              <w:ind w:left="605"/>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1566" w:type="dxa"/>
            <w:vAlign w:val="top"/>
          </w:tcPr>
          <w:p>
            <w:pPr>
              <w:ind w:left="683"/>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35</w:t>
            </w:r>
          </w:p>
        </w:tc>
        <w:tc>
          <w:tcPr>
            <w:tcW w:w="992" w:type="dxa"/>
            <w:vAlign w:val="top"/>
          </w:tcPr>
          <w:p>
            <w:pPr>
              <w:ind w:left="266"/>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34.29</w:t>
            </w:r>
          </w:p>
        </w:tc>
        <w:tc>
          <w:tcPr>
            <w:tcW w:w="997" w:type="dxa"/>
            <w:vAlign w:val="top"/>
            <w:vMerge w:val="continue"/>
            <w:tcBorders>
              <w:top w:val="nil"/>
              <w:bottom w:val="nil"/>
            </w:tcBorders>
          </w:tcPr>
          <w:p>
            <w:pPr>
              <w:rPr>
                <w:rFonts w:ascii="Arial"/>
                <w:sz w:val="21"/>
              </w:rPr>
            </w:pPr>
            <w:r/>
          </w:p>
        </w:tc>
      </w:tr>
      <w:tr>
        <w:trPr>
          <w:trHeight w:val="277" w:hRule="atLeast"/>
        </w:trPr>
        <w:tc>
          <w:tcPr>
            <w:tcW w:w="1209" w:type="dxa"/>
            <w:vAlign w:val="top"/>
          </w:tcPr>
          <w:p>
            <w:pPr>
              <w:ind w:left="46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CO</w:t>
            </w:r>
          </w:p>
        </w:tc>
        <w:tc>
          <w:tcPr>
            <w:tcW w:w="2370" w:type="dxa"/>
            <w:vAlign w:val="top"/>
          </w:tcPr>
          <w:p>
            <w:pPr>
              <w:pStyle w:val="TableText"/>
              <w:ind w:left="192"/>
              <w:spacing w:before="35" w:line="214" w:lineRule="auto"/>
              <w:rPr/>
            </w:pPr>
            <w:r>
              <w:rPr>
                <w:spacing w:val="5"/>
              </w:rPr>
              <w:t>第</w:t>
            </w:r>
            <w:r>
              <w:rPr>
                <w:spacing w:val="-34"/>
              </w:rPr>
              <w:t xml:space="preserve"> </w:t>
            </w:r>
            <w:r>
              <w:rPr>
                <w:rFonts w:ascii="Times New Roman" w:hAnsi="Times New Roman" w:eastAsia="Times New Roman" w:cs="Times New Roman"/>
                <w:spacing w:val="5"/>
              </w:rPr>
              <w:t>95</w:t>
            </w:r>
            <w:r>
              <w:rPr>
                <w:rFonts w:ascii="Times New Roman" w:hAnsi="Times New Roman" w:eastAsia="Times New Roman" w:cs="Times New Roman"/>
                <w:spacing w:val="19"/>
              </w:rPr>
              <w:t xml:space="preserve"> </w:t>
            </w:r>
            <w:r>
              <w:rPr>
                <w:spacing w:val="5"/>
              </w:rPr>
              <w:t>百分位数日平均</w:t>
            </w:r>
          </w:p>
        </w:tc>
        <w:tc>
          <w:tcPr>
            <w:tcW w:w="1380" w:type="dxa"/>
            <w:vAlign w:val="top"/>
          </w:tcPr>
          <w:p>
            <w:pPr>
              <w:ind w:left="53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400</w:t>
            </w:r>
          </w:p>
        </w:tc>
        <w:tc>
          <w:tcPr>
            <w:tcW w:w="1566" w:type="dxa"/>
            <w:vAlign w:val="top"/>
          </w:tcPr>
          <w:p>
            <w:pPr>
              <w:ind w:left="57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4000</w:t>
            </w:r>
          </w:p>
        </w:tc>
        <w:tc>
          <w:tcPr>
            <w:tcW w:w="992" w:type="dxa"/>
            <w:vAlign w:val="top"/>
          </w:tcPr>
          <w:p>
            <w:pPr>
              <w:ind w:left="28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10.00</w:t>
            </w:r>
          </w:p>
        </w:tc>
        <w:tc>
          <w:tcPr>
            <w:tcW w:w="997" w:type="dxa"/>
            <w:vAlign w:val="top"/>
            <w:vMerge w:val="continue"/>
            <w:tcBorders>
              <w:top w:val="nil"/>
              <w:bottom w:val="nil"/>
            </w:tcBorders>
          </w:tcPr>
          <w:p>
            <w:pPr>
              <w:rPr>
                <w:rFonts w:ascii="Arial"/>
                <w:sz w:val="21"/>
              </w:rPr>
            </w:pPr>
            <w:r/>
          </w:p>
        </w:tc>
      </w:tr>
      <w:tr>
        <w:trPr>
          <w:trHeight w:val="553" w:hRule="atLeast"/>
        </w:trPr>
        <w:tc>
          <w:tcPr>
            <w:tcW w:w="1209" w:type="dxa"/>
            <w:vAlign w:val="top"/>
          </w:tcPr>
          <w:p>
            <w:pPr>
              <w:ind w:left="497"/>
              <w:spacing w:before="206"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O</w:t>
            </w:r>
            <w:r>
              <w:rPr>
                <w:rFonts w:ascii="Times New Roman" w:hAnsi="Times New Roman" w:eastAsia="Times New Roman" w:cs="Times New Roman"/>
                <w:sz w:val="13"/>
                <w:szCs w:val="13"/>
                <w:spacing w:val="1"/>
                <w:position w:val="-1"/>
              </w:rPr>
              <w:t>3</w:t>
            </w:r>
          </w:p>
        </w:tc>
        <w:tc>
          <w:tcPr>
            <w:tcW w:w="2370" w:type="dxa"/>
            <w:vAlign w:val="top"/>
          </w:tcPr>
          <w:p>
            <w:pPr>
              <w:pStyle w:val="TableText"/>
              <w:ind w:left="506"/>
              <w:spacing w:before="35" w:line="228" w:lineRule="auto"/>
              <w:rPr/>
            </w:pPr>
            <w:r>
              <w:rPr>
                <w:spacing w:val="3"/>
              </w:rPr>
              <w:t>第</w:t>
            </w:r>
            <w:r>
              <w:rPr>
                <w:spacing w:val="-37"/>
              </w:rPr>
              <w:t xml:space="preserve"> </w:t>
            </w:r>
            <w:r>
              <w:rPr>
                <w:rFonts w:ascii="Times New Roman" w:hAnsi="Times New Roman" w:eastAsia="Times New Roman" w:cs="Times New Roman"/>
                <w:spacing w:val="3"/>
              </w:rPr>
              <w:t>90</w:t>
            </w:r>
            <w:r>
              <w:rPr>
                <w:rFonts w:ascii="Times New Roman" w:hAnsi="Times New Roman" w:eastAsia="Times New Roman" w:cs="Times New Roman"/>
                <w:spacing w:val="20"/>
              </w:rPr>
              <w:t xml:space="preserve"> </w:t>
            </w:r>
            <w:r>
              <w:rPr>
                <w:spacing w:val="3"/>
              </w:rPr>
              <w:t>百分位数</w:t>
            </w:r>
          </w:p>
          <w:p>
            <w:pPr>
              <w:pStyle w:val="TableText"/>
              <w:ind w:left="273"/>
              <w:spacing w:before="24" w:line="218" w:lineRule="auto"/>
              <w:rPr/>
            </w:pPr>
            <w:r>
              <w:rPr>
                <w:rFonts w:ascii="Times New Roman" w:hAnsi="Times New Roman" w:eastAsia="Times New Roman" w:cs="Times New Roman"/>
                <w:spacing w:val="6"/>
              </w:rPr>
              <w:t>8</w:t>
            </w:r>
            <w:r>
              <w:rPr>
                <w:rFonts w:ascii="Times New Roman" w:hAnsi="Times New Roman" w:eastAsia="Times New Roman" w:cs="Times New Roman"/>
                <w:spacing w:val="18"/>
              </w:rPr>
              <w:t xml:space="preserve"> </w:t>
            </w:r>
            <w:r>
              <w:rPr>
                <w:spacing w:val="6"/>
              </w:rPr>
              <w:t>小时平均质量浓度</w:t>
            </w:r>
          </w:p>
        </w:tc>
        <w:tc>
          <w:tcPr>
            <w:tcW w:w="1380" w:type="dxa"/>
            <w:vAlign w:val="top"/>
          </w:tcPr>
          <w:p>
            <w:pPr>
              <w:ind w:left="555"/>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127</w:t>
            </w:r>
          </w:p>
        </w:tc>
        <w:tc>
          <w:tcPr>
            <w:tcW w:w="1566" w:type="dxa"/>
            <w:vAlign w:val="top"/>
          </w:tcPr>
          <w:p>
            <w:pPr>
              <w:ind w:left="648"/>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160</w:t>
            </w:r>
          </w:p>
        </w:tc>
        <w:tc>
          <w:tcPr>
            <w:tcW w:w="992" w:type="dxa"/>
            <w:vAlign w:val="top"/>
          </w:tcPr>
          <w:p>
            <w:pPr>
              <w:ind w:left="266"/>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79.38</w:t>
            </w:r>
          </w:p>
        </w:tc>
        <w:tc>
          <w:tcPr>
            <w:tcW w:w="997" w:type="dxa"/>
            <w:vAlign w:val="top"/>
            <w:vMerge w:val="continue"/>
            <w:tcBorders>
              <w:top w:val="nil"/>
            </w:tcBorders>
          </w:tcPr>
          <w:p>
            <w:pPr>
              <w:rPr>
                <w:rFonts w:ascii="Arial"/>
                <w:sz w:val="21"/>
              </w:rPr>
            </w:pPr>
            <w:r/>
          </w:p>
        </w:tc>
      </w:tr>
    </w:tbl>
    <w:p>
      <w:pPr>
        <w:ind w:left="17" w:right="7" w:firstLine="482"/>
        <w:spacing w:before="156" w:line="359" w:lineRule="auto"/>
        <w:jc w:val="both"/>
        <w:rPr>
          <w:rFonts w:ascii="SimSun" w:hAnsi="SimSun" w:eastAsia="SimSun" w:cs="SimSun"/>
          <w:sz w:val="24"/>
          <w:szCs w:val="24"/>
        </w:rPr>
      </w:pPr>
      <w:r>
        <w:rPr>
          <w:rFonts w:ascii="SimSun" w:hAnsi="SimSun" w:eastAsia="SimSun" w:cs="SimSun"/>
          <w:sz w:val="24"/>
          <w:szCs w:val="24"/>
        </w:rPr>
        <w:t>从表</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4.2-1 </w:t>
      </w:r>
      <w:r>
        <w:rPr>
          <w:rFonts w:ascii="SimSun" w:hAnsi="SimSun" w:eastAsia="SimSun" w:cs="SimSun"/>
          <w:sz w:val="24"/>
          <w:szCs w:val="24"/>
        </w:rPr>
        <w:t>可以看出，基本污染物年评价指标中，</w:t>
      </w:r>
      <w:r>
        <w:rPr>
          <w:rFonts w:ascii="Times New Roman" w:hAnsi="Times New Roman" w:eastAsia="Times New Roman" w:cs="Times New Roman"/>
          <w:sz w:val="24"/>
          <w:szCs w:val="24"/>
        </w:rPr>
        <w:t>6 </w:t>
      </w:r>
      <w:r>
        <w:rPr>
          <w:rFonts w:ascii="SimSun" w:hAnsi="SimSun" w:eastAsia="SimSun" w:cs="SimSun"/>
          <w:sz w:val="24"/>
          <w:szCs w:val="24"/>
        </w:rPr>
        <w:t>项基本污染物浓度指标均 </w:t>
      </w:r>
      <w:r>
        <w:rPr>
          <w:rFonts w:ascii="SimSun" w:hAnsi="SimSun" w:eastAsia="SimSun" w:cs="SimSun"/>
          <w:sz w:val="24"/>
          <w:szCs w:val="24"/>
          <w:spacing w:val="-2"/>
        </w:rPr>
        <w:t>满足《环境空气质量标准》（</w:t>
      </w:r>
      <w:r>
        <w:rPr>
          <w:rFonts w:ascii="Times New Roman" w:hAnsi="Times New Roman" w:eastAsia="Times New Roman" w:cs="Times New Roman"/>
          <w:sz w:val="24"/>
          <w:szCs w:val="24"/>
          <w:spacing w:val="-2"/>
        </w:rPr>
        <w:t>GB3095-2012</w:t>
      </w:r>
      <w:r>
        <w:rPr>
          <w:rFonts w:ascii="SimSun" w:hAnsi="SimSun" w:eastAsia="SimSun" w:cs="SimSun"/>
          <w:sz w:val="24"/>
          <w:szCs w:val="24"/>
          <w:spacing w:val="-2"/>
        </w:rPr>
        <w:t>）及修改单二级标准限值，项目所在区</w:t>
      </w:r>
      <w:r>
        <w:rPr>
          <w:rFonts w:ascii="SimSun" w:hAnsi="SimSun" w:eastAsia="SimSun" w:cs="SimSun"/>
          <w:sz w:val="24"/>
          <w:szCs w:val="24"/>
          <w:spacing w:val="1"/>
        </w:rPr>
        <w:t xml:space="preserve"> </w:t>
      </w:r>
      <w:r>
        <w:rPr>
          <w:rFonts w:ascii="SimSun" w:hAnsi="SimSun" w:eastAsia="SimSun" w:cs="SimSun"/>
          <w:sz w:val="24"/>
          <w:szCs w:val="24"/>
          <w:spacing w:val="-1"/>
        </w:rPr>
        <w:t>域城市环境空气质量达标，属达标区。</w:t>
      </w:r>
    </w:p>
    <w:p>
      <w:pPr>
        <w:ind w:left="14"/>
        <w:spacing w:before="1" w:line="217"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4.2.1.2 </w:t>
      </w:r>
      <w:r>
        <w:rPr>
          <w:rFonts w:ascii="SimSun" w:hAnsi="SimSun" w:eastAsia="SimSun" w:cs="SimSun"/>
          <w:sz w:val="24"/>
          <w:szCs w:val="24"/>
          <w:b/>
          <w:bCs/>
          <w:spacing w:val="-2"/>
        </w:rPr>
        <w:t>其他污染物环境质量现状监测与评价</w:t>
      </w:r>
    </w:p>
    <w:p>
      <w:pPr>
        <w:ind w:left="509"/>
        <w:spacing w:before="184"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）监测布点</w:t>
      </w:r>
    </w:p>
    <w:p>
      <w:pPr>
        <w:ind w:left="31" w:right="7" w:firstLine="467"/>
        <w:spacing w:before="182" w:line="361" w:lineRule="auto"/>
        <w:rPr>
          <w:rFonts w:ascii="SimSun" w:hAnsi="SimSun" w:eastAsia="SimSun" w:cs="SimSun"/>
          <w:sz w:val="24"/>
          <w:szCs w:val="24"/>
        </w:rPr>
      </w:pPr>
      <w:r>
        <w:rPr>
          <w:rFonts w:ascii="SimSun" w:hAnsi="SimSun" w:eastAsia="SimSun" w:cs="SimSun"/>
          <w:sz w:val="24"/>
          <w:szCs w:val="24"/>
          <w:spacing w:val="1"/>
        </w:rPr>
        <w:t>按照《环境影响评价技术导则 大气环境》（</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1"/>
        </w:rPr>
        <w:t>2.2-2018</w:t>
      </w:r>
      <w:r>
        <w:rPr>
          <w:rFonts w:ascii="SimSun" w:hAnsi="SimSun" w:eastAsia="SimSun" w:cs="SimSun"/>
          <w:sz w:val="24"/>
          <w:szCs w:val="24"/>
          <w:spacing w:val="1"/>
        </w:rPr>
        <w:t>）要求对本项目排放</w:t>
      </w:r>
      <w:r>
        <w:rPr>
          <w:rFonts w:ascii="SimSun" w:hAnsi="SimSun" w:eastAsia="SimSun" w:cs="SimSun"/>
          <w:sz w:val="24"/>
          <w:szCs w:val="24"/>
          <w:spacing w:val="7"/>
        </w:rPr>
        <w:t xml:space="preserve"> </w:t>
      </w:r>
      <w:r>
        <w:rPr>
          <w:rFonts w:ascii="SimSun" w:hAnsi="SimSun" w:eastAsia="SimSun" w:cs="SimSun"/>
          <w:sz w:val="24"/>
          <w:szCs w:val="24"/>
          <w:spacing w:val="1"/>
        </w:rPr>
        <w:t>除基本污染物外的其他污染物进行补充监测，本次评价在项目西厂区内布置</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个</w:t>
      </w:r>
    </w:p>
    <w:p>
      <w:pPr>
        <w:pStyle w:val="BodyText"/>
        <w:spacing w:line="411" w:lineRule="auto"/>
        <w:rPr/>
      </w:pPr>
      <w:r/>
    </w:p>
    <w:p>
      <w:pPr>
        <w:ind w:left="15"/>
        <w:spacing w:before="63" w:line="227" w:lineRule="auto"/>
        <w:rPr>
          <w:rFonts w:ascii="SimSun" w:hAnsi="SimSun" w:eastAsia="SimSun" w:cs="SimSun"/>
          <w:sz w:val="19"/>
          <w:szCs w:val="19"/>
        </w:rPr>
      </w:pPr>
      <w:r>
        <w:pict>
          <v:shape id="_x0000_s580" style="position:absolute;margin-left:159.72pt;margin-top:2.12531pt;mso-position-vertical-relative:text;mso-position-horizontal-relative:text;width:61pt;height:13.75pt;z-index:251912192;"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rPr>
                    <w:t>任公司</w:t>
                  </w:r>
                  <w:r>
                    <w:rPr>
                      <w:rFonts w:ascii="SimSun" w:hAnsi="SimSun" w:eastAsia="SimSun" w:cs="SimSun"/>
                      <w:sz w:val="19"/>
                      <w:szCs w:val="19"/>
                      <w:spacing w:val="18"/>
                    </w:rPr>
                    <w:t xml:space="preserve">   </w:t>
                  </w:r>
                  <w:r>
                    <w:rPr>
                      <w:rFonts w:ascii="Times New Roman" w:hAnsi="Times New Roman" w:eastAsia="Times New Roman" w:cs="Times New Roman"/>
                      <w:sz w:val="18"/>
                      <w:szCs w:val="18"/>
                      <w:position w:val="2"/>
                    </w:rPr>
                    <w:t>115</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95"/>
          <w:pgSz w:w="11907" w:h="16840"/>
          <w:pgMar w:top="1567" w:right="1694" w:bottom="400" w:left="1693" w:header="1221" w:footer="0" w:gutter="0"/>
        </w:sectPr>
        <w:rPr>
          <w:rFonts w:ascii="SimSun" w:hAnsi="SimSun" w:eastAsia="SimSun" w:cs="SimSun"/>
          <w:sz w:val="19"/>
          <w:szCs w:val="19"/>
        </w:rPr>
      </w:pPr>
    </w:p>
    <w:p>
      <w:pPr>
        <w:ind w:left="25"/>
        <w:spacing w:before="168" w:line="219" w:lineRule="auto"/>
        <w:rPr>
          <w:rFonts w:ascii="SimSun" w:hAnsi="SimSun" w:eastAsia="SimSun" w:cs="SimSun"/>
          <w:sz w:val="24"/>
          <w:szCs w:val="24"/>
        </w:rPr>
      </w:pPr>
      <w:r>
        <w:pict>
          <v:shape id="_x0000_s584" style="position:absolute;margin-left:85.05pt;margin-top:78.87pt;mso-position-vertical-relative:page;mso-position-horizontal-relative:page;width:425.25pt;height:0.75pt;z-index:251915264;" o:allowincell="f" fillcolor="#000000" filled="true" stroked="false" coordsize="8505,15" coordorigin="0,0" path="m,l8505,0l8505,14l0,14l0,0xe"/>
        </w:pict>
      </w:r>
      <w:r>
        <w:rPr>
          <w:rFonts w:ascii="SimSun" w:hAnsi="SimSun" w:eastAsia="SimSun" w:cs="SimSun"/>
          <w:sz w:val="24"/>
          <w:szCs w:val="24"/>
          <w:spacing w:val="-2"/>
        </w:rPr>
        <w:t>监测点，监测点信息详见表</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2"/>
        </w:rPr>
        <w:t>4.2-2</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2"/>
        </w:rPr>
        <w:t>。监测布点详细位置见图</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4.2-1</w:t>
      </w:r>
      <w:r>
        <w:rPr>
          <w:rFonts w:ascii="SimSun" w:hAnsi="SimSun" w:eastAsia="SimSun" w:cs="SimSun"/>
          <w:sz w:val="24"/>
          <w:szCs w:val="24"/>
          <w:spacing w:val="-2"/>
        </w:rPr>
        <w:t>。</w:t>
      </w:r>
    </w:p>
    <w:p>
      <w:pPr>
        <w:ind w:left="2128"/>
        <w:spacing w:before="181"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4.2-2      </w:t>
      </w:r>
      <w:r>
        <w:rPr>
          <w:rFonts w:ascii="SimSun" w:hAnsi="SimSun" w:eastAsia="SimSun" w:cs="SimSun"/>
          <w:sz w:val="24"/>
          <w:szCs w:val="24"/>
          <w:b/>
          <w:bCs/>
          <w:spacing w:val="-2"/>
        </w:rPr>
        <w:t>大气环境补充监测布点一览表</w:t>
      </w:r>
    </w:p>
    <w:tbl>
      <w:tblPr>
        <w:tblStyle w:val="TableNormal"/>
        <w:tblW w:w="8516" w:type="dxa"/>
        <w:tblInd w:w="8"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78"/>
        <w:gridCol w:w="3406"/>
        <w:gridCol w:w="3832"/>
      </w:tblGrid>
      <w:tr>
        <w:trPr>
          <w:trHeight w:val="279" w:hRule="atLeast"/>
        </w:trPr>
        <w:tc>
          <w:tcPr>
            <w:tcW w:w="1278" w:type="dxa"/>
            <w:vAlign w:val="top"/>
          </w:tcPr>
          <w:p>
            <w:pPr>
              <w:pStyle w:val="TableText"/>
              <w:ind w:left="434"/>
              <w:spacing w:before="37" w:line="214" w:lineRule="auto"/>
              <w:rPr/>
            </w:pPr>
            <w:r>
              <w:rPr>
                <w:spacing w:val="5"/>
              </w:rPr>
              <w:t>序号</w:t>
            </w:r>
          </w:p>
        </w:tc>
        <w:tc>
          <w:tcPr>
            <w:tcW w:w="3406" w:type="dxa"/>
            <w:vAlign w:val="top"/>
          </w:tcPr>
          <w:p>
            <w:pPr>
              <w:pStyle w:val="TableText"/>
              <w:ind w:left="1288"/>
              <w:spacing w:before="37" w:line="214" w:lineRule="auto"/>
              <w:rPr/>
            </w:pPr>
            <w:r>
              <w:rPr>
                <w:spacing w:val="7"/>
              </w:rPr>
              <w:t>布点位置</w:t>
            </w:r>
          </w:p>
        </w:tc>
        <w:tc>
          <w:tcPr>
            <w:tcW w:w="3832" w:type="dxa"/>
            <w:vAlign w:val="top"/>
          </w:tcPr>
          <w:p>
            <w:pPr>
              <w:pStyle w:val="TableText"/>
              <w:ind w:left="1710"/>
              <w:spacing w:before="37" w:line="214" w:lineRule="auto"/>
              <w:rPr/>
            </w:pPr>
            <w:r>
              <w:rPr>
                <w:spacing w:val="4"/>
              </w:rPr>
              <w:t>坐标</w:t>
            </w:r>
          </w:p>
        </w:tc>
      </w:tr>
      <w:tr>
        <w:trPr>
          <w:trHeight w:val="280" w:hRule="atLeast"/>
        </w:trPr>
        <w:tc>
          <w:tcPr>
            <w:tcW w:w="1278" w:type="dxa"/>
            <w:vAlign w:val="top"/>
          </w:tcPr>
          <w:p>
            <w:pPr>
              <w:ind w:left="60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3406" w:type="dxa"/>
            <w:vAlign w:val="top"/>
          </w:tcPr>
          <w:p>
            <w:pPr>
              <w:pStyle w:val="TableText"/>
              <w:ind w:left="1080"/>
              <w:spacing w:before="33" w:line="218" w:lineRule="auto"/>
              <w:rPr/>
            </w:pPr>
            <w:r>
              <w:rPr>
                <w:spacing w:val="7"/>
              </w:rPr>
              <w:t>项目西厂区内</w:t>
            </w:r>
          </w:p>
        </w:tc>
        <w:tc>
          <w:tcPr>
            <w:tcW w:w="3832" w:type="dxa"/>
            <w:vAlign w:val="top"/>
          </w:tcPr>
          <w:p>
            <w:pPr>
              <w:ind w:left="41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E114°58'</w:t>
            </w:r>
            <w:r>
              <w:rPr>
                <w:rFonts w:ascii="Times New Roman" w:hAnsi="Times New Roman" w:eastAsia="Times New Roman" w:cs="Times New Roman"/>
                <w:sz w:val="20"/>
                <w:szCs w:val="20"/>
                <w:spacing w:val="-27"/>
              </w:rPr>
              <w:t xml:space="preserve"> </w:t>
            </w:r>
            <w:r>
              <w:rPr>
                <w:rFonts w:ascii="Times New Roman" w:hAnsi="Times New Roman" w:eastAsia="Times New Roman" w:cs="Times New Roman"/>
                <w:sz w:val="20"/>
                <w:szCs w:val="20"/>
                <w:spacing w:val="3"/>
              </w:rPr>
              <w:t>14.615"    N42</w:t>
            </w:r>
            <w:r>
              <w:rPr>
                <w:rFonts w:ascii="Times New Roman" w:hAnsi="Times New Roman" w:eastAsia="Times New Roman" w:cs="Times New Roman"/>
                <w:sz w:val="20"/>
                <w:szCs w:val="20"/>
                <w:spacing w:val="2"/>
              </w:rPr>
              <w:t>°</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17'45.358"</w:t>
            </w:r>
          </w:p>
        </w:tc>
      </w:tr>
    </w:tbl>
    <w:p>
      <w:pPr>
        <w:ind w:left="516"/>
        <w:spacing w:before="34"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）监测因子</w:t>
      </w:r>
    </w:p>
    <w:p>
      <w:pPr>
        <w:ind w:left="502"/>
        <w:spacing w:before="182" w:line="219" w:lineRule="auto"/>
        <w:rPr>
          <w:rFonts w:ascii="SimSun" w:hAnsi="SimSun" w:eastAsia="SimSun" w:cs="SimSun"/>
          <w:sz w:val="24"/>
          <w:szCs w:val="24"/>
        </w:rPr>
      </w:pPr>
      <w:r>
        <w:rPr>
          <w:rFonts w:ascii="Times New Roman" w:hAnsi="Times New Roman" w:eastAsia="Times New Roman" w:cs="Times New Roman"/>
          <w:sz w:val="24"/>
          <w:szCs w:val="24"/>
          <w:spacing w:val="-5"/>
        </w:rPr>
        <w:t>TSP</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H</w:t>
      </w:r>
      <w:r>
        <w:rPr>
          <w:rFonts w:ascii="Times New Roman" w:hAnsi="Times New Roman" w:eastAsia="Times New Roman" w:cs="Times New Roman"/>
          <w:sz w:val="15"/>
          <w:szCs w:val="15"/>
          <w:spacing w:val="-5"/>
          <w:position w:val="-1"/>
        </w:rPr>
        <w:t>2</w:t>
      </w:r>
      <w:r>
        <w:rPr>
          <w:rFonts w:ascii="Times New Roman" w:hAnsi="Times New Roman" w:eastAsia="Times New Roman" w:cs="Times New Roman"/>
          <w:sz w:val="24"/>
          <w:szCs w:val="24"/>
          <w:spacing w:val="-5"/>
        </w:rPr>
        <w:t>S</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NH</w:t>
      </w:r>
      <w:r>
        <w:rPr>
          <w:rFonts w:ascii="Times New Roman" w:hAnsi="Times New Roman" w:eastAsia="Times New Roman" w:cs="Times New Roman"/>
          <w:sz w:val="15"/>
          <w:szCs w:val="15"/>
          <w:spacing w:val="-5"/>
          <w:position w:val="-1"/>
        </w:rPr>
        <w:t>3</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5"/>
        </w:rPr>
        <w:t>、臭气浓度。</w:t>
      </w:r>
    </w:p>
    <w:p>
      <w:pPr>
        <w:ind w:left="516"/>
        <w:spacing w:before="183"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）监测时间及频率</w:t>
      </w:r>
    </w:p>
    <w:p>
      <w:pPr>
        <w:ind w:left="505"/>
        <w:spacing w:before="179" w:line="219" w:lineRule="auto"/>
        <w:rPr>
          <w:rFonts w:ascii="SimSun" w:hAnsi="SimSun" w:eastAsia="SimSun" w:cs="SimSun"/>
          <w:sz w:val="24"/>
          <w:szCs w:val="24"/>
        </w:rPr>
      </w:pPr>
      <w:r>
        <w:rPr>
          <w:rFonts w:ascii="SimSun" w:hAnsi="SimSun" w:eastAsia="SimSun" w:cs="SimSun"/>
          <w:sz w:val="24"/>
          <w:szCs w:val="24"/>
          <w:spacing w:val="-7"/>
        </w:rPr>
        <w:t>监测采样时间为</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7"/>
        </w:rPr>
        <w:t>2025 </w:t>
      </w:r>
      <w:r>
        <w:rPr>
          <w:rFonts w:ascii="SimSun" w:hAnsi="SimSun" w:eastAsia="SimSun" w:cs="SimSun"/>
          <w:sz w:val="24"/>
          <w:szCs w:val="24"/>
          <w:spacing w:val="-7"/>
        </w:rPr>
        <w:t>年</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2</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7"/>
        </w:rPr>
        <w:t>月</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7"/>
        </w:rPr>
        <w:t>9  </w:t>
      </w:r>
      <w:r>
        <w:rPr>
          <w:rFonts w:ascii="SimSun" w:hAnsi="SimSun" w:eastAsia="SimSun" w:cs="SimSun"/>
          <w:sz w:val="24"/>
          <w:szCs w:val="24"/>
          <w:spacing w:val="-7"/>
        </w:rPr>
        <w:t>日～</w:t>
      </w:r>
      <w:r>
        <w:rPr>
          <w:rFonts w:ascii="Times New Roman" w:hAnsi="Times New Roman" w:eastAsia="Times New Roman" w:cs="Times New Roman"/>
          <w:sz w:val="24"/>
          <w:szCs w:val="24"/>
          <w:spacing w:val="-7"/>
        </w:rPr>
        <w:t>15  </w:t>
      </w:r>
      <w:r>
        <w:rPr>
          <w:rFonts w:ascii="SimSun" w:hAnsi="SimSun" w:eastAsia="SimSun" w:cs="SimSun"/>
          <w:sz w:val="24"/>
          <w:szCs w:val="24"/>
          <w:spacing w:val="-7"/>
        </w:rPr>
        <w:t>日。</w:t>
      </w:r>
    </w:p>
    <w:p>
      <w:pPr>
        <w:ind w:left="24" w:firstLine="478"/>
        <w:spacing w:before="183" w:line="359" w:lineRule="auto"/>
        <w:rPr>
          <w:rFonts w:ascii="SimSun" w:hAnsi="SimSun" w:eastAsia="SimSun" w:cs="SimSun"/>
          <w:sz w:val="24"/>
          <w:szCs w:val="24"/>
        </w:rPr>
      </w:pPr>
      <w:r>
        <w:rPr>
          <w:rFonts w:ascii="Times New Roman" w:hAnsi="Times New Roman" w:eastAsia="Times New Roman" w:cs="Times New Roman"/>
          <w:sz w:val="24"/>
          <w:szCs w:val="24"/>
        </w:rPr>
        <w:t>TSP</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监测日均值，连续监测</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1"/>
        </w:rPr>
        <w:t>7</w:t>
      </w:r>
      <w:r>
        <w:rPr>
          <w:rFonts w:ascii="Times New Roman" w:hAnsi="Times New Roman" w:eastAsia="Times New Roman" w:cs="Times New Roman"/>
          <w:sz w:val="24"/>
          <w:szCs w:val="24"/>
          <w:spacing w:val="19"/>
          <w:w w:val="101"/>
        </w:rPr>
        <w:t xml:space="preserve"> </w:t>
      </w:r>
      <w:r>
        <w:rPr>
          <w:rFonts w:ascii="SimSun" w:hAnsi="SimSun" w:eastAsia="SimSun" w:cs="SimSun"/>
          <w:sz w:val="24"/>
          <w:szCs w:val="24"/>
          <w:spacing w:val="1"/>
        </w:rPr>
        <w:t>天，每日应有</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24</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1"/>
        </w:rPr>
        <w:t>小时的采样时间；</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24"/>
          <w:szCs w:val="24"/>
          <w:spacing w:val="1"/>
        </w:rPr>
        <w:t>S</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rPr>
        <w:t>NH</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position w:val="-1"/>
        </w:rPr>
        <w:t xml:space="preserve">   </w:t>
      </w:r>
      <w:r>
        <w:rPr>
          <w:rFonts w:ascii="SimSun" w:hAnsi="SimSun" w:eastAsia="SimSun" w:cs="SimSun"/>
          <w:sz w:val="24"/>
          <w:szCs w:val="24"/>
          <w:spacing w:val="-5"/>
        </w:rPr>
        <w:t>监测</w:t>
      </w:r>
      <w:r>
        <w:rPr>
          <w:rFonts w:ascii="SimSun" w:hAnsi="SimSun" w:eastAsia="SimSun" w:cs="SimSun"/>
          <w:sz w:val="24"/>
          <w:szCs w:val="24"/>
          <w:spacing w:val="-17"/>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小时浓度值，连续监测</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5"/>
        </w:rPr>
        <w:t>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天，每天监测</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5"/>
        </w:rPr>
        <w:t>4</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5"/>
        </w:rPr>
        <w:t>次，采样时间分别为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5"/>
        </w:rPr>
        <w:t>02:00-03:00</w:t>
      </w:r>
      <w:r>
        <w:rPr>
          <w:rFonts w:ascii="SimSun" w:hAnsi="SimSun" w:eastAsia="SimSun" w:cs="SimSun"/>
          <w:sz w:val="24"/>
          <w:szCs w:val="24"/>
          <w:spacing w:val="-5"/>
        </w:rPr>
        <w:t>、</w:t>
      </w:r>
      <w:r>
        <w:rPr>
          <w:rFonts w:ascii="SimSun" w:hAnsi="SimSun" w:eastAsia="SimSun" w:cs="SimSun"/>
          <w:sz w:val="24"/>
          <w:szCs w:val="24"/>
        </w:rPr>
        <w:t xml:space="preserve"> </w:t>
      </w:r>
      <w:r>
        <w:rPr>
          <w:rFonts w:ascii="Times New Roman" w:hAnsi="Times New Roman" w:eastAsia="Times New Roman" w:cs="Times New Roman"/>
          <w:sz w:val="24"/>
          <w:szCs w:val="24"/>
          <w:spacing w:val="-2"/>
        </w:rPr>
        <w:t>08:00-09:00</w:t>
      </w:r>
      <w:r>
        <w:rPr>
          <w:rFonts w:ascii="SimSun" w:hAnsi="SimSun" w:eastAsia="SimSun" w:cs="SimSun"/>
          <w:sz w:val="24"/>
          <w:szCs w:val="24"/>
          <w:spacing w:val="-2"/>
        </w:rPr>
        <w:t>、</w:t>
      </w:r>
      <w:r>
        <w:rPr>
          <w:rFonts w:ascii="Times New Roman" w:hAnsi="Times New Roman" w:eastAsia="Times New Roman" w:cs="Times New Roman"/>
          <w:sz w:val="24"/>
          <w:szCs w:val="24"/>
          <w:spacing w:val="-2"/>
        </w:rPr>
        <w:t>14:00-15:00</w:t>
      </w:r>
      <w:r>
        <w:rPr>
          <w:rFonts w:ascii="SimSun" w:hAnsi="SimSun" w:eastAsia="SimSun" w:cs="SimSun"/>
          <w:sz w:val="24"/>
          <w:szCs w:val="24"/>
          <w:spacing w:val="-3"/>
        </w:rPr>
        <w:t>、</w:t>
      </w:r>
      <w:r>
        <w:rPr>
          <w:rFonts w:ascii="Times New Roman" w:hAnsi="Times New Roman" w:eastAsia="Times New Roman" w:cs="Times New Roman"/>
          <w:sz w:val="24"/>
          <w:szCs w:val="24"/>
          <w:spacing w:val="-3"/>
        </w:rPr>
        <w:t>20:00-21:00</w:t>
      </w:r>
      <w:r>
        <w:rPr>
          <w:rFonts w:ascii="SimSun" w:hAnsi="SimSun" w:eastAsia="SimSun" w:cs="SimSun"/>
          <w:sz w:val="24"/>
          <w:szCs w:val="24"/>
          <w:spacing w:val="-3"/>
        </w:rPr>
        <w:t>（以下按时间顺序简称</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次、</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次、</w:t>
      </w: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次、</w:t>
      </w: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rPr>
        <w:t xml:space="preserve">  </w:t>
      </w:r>
      <w:r>
        <w:rPr>
          <w:rFonts w:ascii="SimSun" w:hAnsi="SimSun" w:eastAsia="SimSun" w:cs="SimSun"/>
          <w:sz w:val="24"/>
          <w:szCs w:val="24"/>
        </w:rPr>
        <w:t>次</w:t>
      </w:r>
      <w:r>
        <w:rPr>
          <w:rFonts w:ascii="SimSun" w:hAnsi="SimSun" w:eastAsia="SimSun" w:cs="SimSun"/>
          <w:sz w:val="24"/>
          <w:szCs w:val="24"/>
          <w:spacing w:val="-18"/>
        </w:rPr>
        <w:t>），</w:t>
      </w:r>
      <w:r>
        <w:rPr>
          <w:rFonts w:ascii="SimSun" w:hAnsi="SimSun" w:eastAsia="SimSun" w:cs="SimSun"/>
          <w:sz w:val="24"/>
          <w:szCs w:val="24"/>
        </w:rPr>
        <w:t>每次采样时间不少于</w:t>
      </w:r>
      <w:r>
        <w:rPr>
          <w:rFonts w:ascii="Times New Roman" w:hAnsi="Times New Roman" w:eastAsia="Times New Roman" w:cs="Times New Roman"/>
          <w:sz w:val="24"/>
          <w:szCs w:val="24"/>
        </w:rPr>
        <w:t>45min</w:t>
      </w:r>
      <w:r>
        <w:rPr>
          <w:rFonts w:ascii="SimSun" w:hAnsi="SimSun" w:eastAsia="SimSun" w:cs="SimSun"/>
          <w:sz w:val="24"/>
          <w:szCs w:val="24"/>
        </w:rPr>
        <w:t>；臭气浓度连续监测</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7 </w:t>
      </w:r>
      <w:r>
        <w:rPr>
          <w:rFonts w:ascii="SimSun" w:hAnsi="SimSun" w:eastAsia="SimSun" w:cs="SimSun"/>
          <w:sz w:val="24"/>
          <w:szCs w:val="24"/>
          <w:spacing w:val="-1"/>
        </w:rPr>
        <w:t>天，每天样品采样次数不</w:t>
      </w:r>
      <w:r>
        <w:rPr>
          <w:rFonts w:ascii="SimSun" w:hAnsi="SimSun" w:eastAsia="SimSun" w:cs="SimSun"/>
          <w:sz w:val="24"/>
          <w:szCs w:val="24"/>
        </w:rPr>
        <w:t xml:space="preserve"> </w:t>
      </w:r>
      <w:r>
        <w:rPr>
          <w:rFonts w:ascii="SimSun" w:hAnsi="SimSun" w:eastAsia="SimSun" w:cs="SimSun"/>
          <w:sz w:val="24"/>
          <w:szCs w:val="24"/>
          <w:spacing w:val="-3"/>
        </w:rPr>
        <w:t>得少于</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次，取其最大测定值。</w:t>
      </w:r>
    </w:p>
    <w:p>
      <w:pPr>
        <w:ind w:left="516"/>
        <w:spacing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）分析方法</w:t>
      </w:r>
    </w:p>
    <w:p>
      <w:pPr>
        <w:ind w:left="506"/>
        <w:spacing w:before="182" w:line="219" w:lineRule="auto"/>
        <w:rPr>
          <w:rFonts w:ascii="SimSun" w:hAnsi="SimSun" w:eastAsia="SimSun" w:cs="SimSun"/>
          <w:sz w:val="24"/>
          <w:szCs w:val="24"/>
        </w:rPr>
      </w:pPr>
      <w:r>
        <w:rPr>
          <w:rFonts w:ascii="SimSun" w:hAnsi="SimSun" w:eastAsia="SimSun" w:cs="SimSun"/>
          <w:sz w:val="24"/>
          <w:szCs w:val="24"/>
          <w:spacing w:val="-2"/>
        </w:rPr>
        <w:t>按照《环境空气质量标准》（</w:t>
      </w:r>
      <w:r>
        <w:rPr>
          <w:rFonts w:ascii="Times New Roman" w:hAnsi="Times New Roman" w:eastAsia="Times New Roman" w:cs="Times New Roman"/>
          <w:sz w:val="24"/>
          <w:szCs w:val="24"/>
          <w:spacing w:val="-2"/>
        </w:rPr>
        <w:t>GB3095-2012</w:t>
      </w:r>
      <w:r>
        <w:rPr>
          <w:rFonts w:ascii="SimSun" w:hAnsi="SimSun" w:eastAsia="SimSun" w:cs="SimSun"/>
          <w:sz w:val="24"/>
          <w:szCs w:val="24"/>
          <w:spacing w:val="-2"/>
        </w:rPr>
        <w:t>）及其修改单、《空气</w:t>
      </w:r>
      <w:r>
        <w:rPr>
          <w:rFonts w:ascii="SimSun" w:hAnsi="SimSun" w:eastAsia="SimSun" w:cs="SimSun"/>
          <w:sz w:val="24"/>
          <w:szCs w:val="24"/>
          <w:spacing w:val="-3"/>
        </w:rPr>
        <w:t>和废气监测</w:t>
      </w:r>
    </w:p>
    <w:p>
      <w:pPr>
        <w:ind w:left="27"/>
        <w:spacing w:before="181" w:line="219" w:lineRule="auto"/>
        <w:rPr>
          <w:rFonts w:ascii="SimSun" w:hAnsi="SimSun" w:eastAsia="SimSun" w:cs="SimSun"/>
          <w:sz w:val="24"/>
          <w:szCs w:val="24"/>
        </w:rPr>
      </w:pPr>
      <w:r>
        <w:rPr>
          <w:rFonts w:ascii="SimSun" w:hAnsi="SimSun" w:eastAsia="SimSun" w:cs="SimSun"/>
          <w:sz w:val="24"/>
          <w:szCs w:val="24"/>
          <w:spacing w:val="-1"/>
        </w:rPr>
        <w:t>分析方法》等进行。具体分析方法及最低检出限见表</w:t>
      </w:r>
      <w:r>
        <w:rPr>
          <w:rFonts w:ascii="Times New Roman" w:hAnsi="Times New Roman" w:eastAsia="Times New Roman" w:cs="Times New Roman"/>
          <w:sz w:val="24"/>
          <w:szCs w:val="24"/>
          <w:spacing w:val="-1"/>
        </w:rPr>
        <w:t>4.2-3</w:t>
      </w:r>
      <w:r>
        <w:rPr>
          <w:rFonts w:ascii="SimSun" w:hAnsi="SimSun" w:eastAsia="SimSun" w:cs="SimSun"/>
          <w:sz w:val="24"/>
          <w:szCs w:val="24"/>
          <w:spacing w:val="-1"/>
        </w:rPr>
        <w:t>。</w:t>
      </w:r>
    </w:p>
    <w:p>
      <w:pPr>
        <w:ind w:left="2279"/>
        <w:spacing w:before="183" w:line="213" w:lineRule="auto"/>
        <w:rPr>
          <w:rFonts w:ascii="SimSun" w:hAnsi="SimSun" w:eastAsia="SimSun" w:cs="SimSun"/>
          <w:sz w:val="24"/>
          <w:szCs w:val="24"/>
        </w:rPr>
      </w:pPr>
      <w:r>
        <w:rPr>
          <w:rFonts w:ascii="SimSun" w:hAnsi="SimSun" w:eastAsia="SimSun" w:cs="SimSun"/>
          <w:sz w:val="24"/>
          <w:szCs w:val="24"/>
          <w:b/>
          <w:bCs/>
          <w:spacing w:val="-2"/>
        </w:rPr>
        <w:t>表</w:t>
      </w:r>
      <w:r>
        <w:rPr>
          <w:rFonts w:ascii="Times New Roman" w:hAnsi="Times New Roman" w:eastAsia="Times New Roman" w:cs="Times New Roman"/>
          <w:sz w:val="24"/>
          <w:szCs w:val="24"/>
          <w:b/>
          <w:bCs/>
          <w:spacing w:val="-2"/>
        </w:rPr>
        <w:t>4.2-3      </w:t>
      </w:r>
      <w:r>
        <w:rPr>
          <w:rFonts w:ascii="SimSun" w:hAnsi="SimSun" w:eastAsia="SimSun" w:cs="SimSun"/>
          <w:sz w:val="24"/>
          <w:szCs w:val="24"/>
          <w:b/>
          <w:bCs/>
          <w:spacing w:val="-2"/>
        </w:rPr>
        <w:t>环境空气质量监测分析方法</w:t>
      </w:r>
    </w:p>
    <w:tbl>
      <w:tblPr>
        <w:tblStyle w:val="TableNormal"/>
        <w:tblW w:w="8528"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68"/>
        <w:gridCol w:w="2697"/>
        <w:gridCol w:w="2839"/>
        <w:gridCol w:w="1424"/>
      </w:tblGrid>
      <w:tr>
        <w:trPr>
          <w:trHeight w:val="295" w:hRule="atLeast"/>
        </w:trPr>
        <w:tc>
          <w:tcPr>
            <w:tcW w:w="1568" w:type="dxa"/>
            <w:vAlign w:val="top"/>
          </w:tcPr>
          <w:p>
            <w:pPr>
              <w:pStyle w:val="TableText"/>
              <w:ind w:left="369"/>
              <w:spacing w:before="49" w:line="217" w:lineRule="auto"/>
              <w:rPr/>
            </w:pPr>
            <w:r>
              <w:rPr>
                <w:spacing w:val="7"/>
              </w:rPr>
              <w:t>监测项目</w:t>
            </w:r>
          </w:p>
        </w:tc>
        <w:tc>
          <w:tcPr>
            <w:tcW w:w="2697" w:type="dxa"/>
            <w:vAlign w:val="top"/>
          </w:tcPr>
          <w:p>
            <w:pPr>
              <w:pStyle w:val="TableText"/>
              <w:ind w:left="934"/>
              <w:spacing w:before="49" w:line="217" w:lineRule="auto"/>
              <w:rPr/>
            </w:pPr>
            <w:r>
              <w:rPr>
                <w:spacing w:val="6"/>
              </w:rPr>
              <w:t>分析方法</w:t>
            </w:r>
          </w:p>
        </w:tc>
        <w:tc>
          <w:tcPr>
            <w:tcW w:w="2839" w:type="dxa"/>
            <w:vAlign w:val="top"/>
          </w:tcPr>
          <w:p>
            <w:pPr>
              <w:pStyle w:val="TableText"/>
              <w:ind w:left="1005"/>
              <w:spacing w:before="49" w:line="217" w:lineRule="auto"/>
              <w:rPr/>
            </w:pPr>
            <w:r>
              <w:rPr>
                <w:spacing w:val="7"/>
              </w:rPr>
              <w:t>方法来源</w:t>
            </w:r>
          </w:p>
        </w:tc>
        <w:tc>
          <w:tcPr>
            <w:tcW w:w="1424" w:type="dxa"/>
            <w:vAlign w:val="top"/>
          </w:tcPr>
          <w:p>
            <w:pPr>
              <w:pStyle w:val="TableText"/>
              <w:ind w:left="196"/>
              <w:spacing w:before="49" w:line="217" w:lineRule="auto"/>
              <w:rPr/>
            </w:pPr>
            <w:r>
              <w:rPr>
                <w:spacing w:val="7"/>
              </w:rPr>
              <w:t>最低检出限</w:t>
            </w:r>
          </w:p>
        </w:tc>
      </w:tr>
      <w:tr>
        <w:trPr>
          <w:trHeight w:val="291" w:hRule="atLeast"/>
        </w:trPr>
        <w:tc>
          <w:tcPr>
            <w:tcW w:w="1568" w:type="dxa"/>
            <w:vAlign w:val="top"/>
          </w:tcPr>
          <w:p>
            <w:pPr>
              <w:ind w:left="607"/>
              <w:spacing w:before="8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TSP</w:t>
            </w:r>
          </w:p>
        </w:tc>
        <w:tc>
          <w:tcPr>
            <w:tcW w:w="2697" w:type="dxa"/>
            <w:vAlign w:val="top"/>
          </w:tcPr>
          <w:p>
            <w:pPr>
              <w:pStyle w:val="TableText"/>
              <w:ind w:left="1038"/>
              <w:spacing w:before="48" w:line="215" w:lineRule="auto"/>
              <w:rPr/>
            </w:pPr>
            <w:r>
              <w:rPr>
                <w:spacing w:val="6"/>
              </w:rPr>
              <w:t>重量法</w:t>
            </w:r>
          </w:p>
        </w:tc>
        <w:tc>
          <w:tcPr>
            <w:tcW w:w="2839" w:type="dxa"/>
            <w:vAlign w:val="top"/>
          </w:tcPr>
          <w:p>
            <w:pPr>
              <w:ind w:left="822"/>
              <w:spacing w:before="8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35"/>
              </w:rPr>
              <w:t xml:space="preserve"> </w:t>
            </w:r>
            <w:r>
              <w:rPr>
                <w:rFonts w:ascii="Times New Roman" w:hAnsi="Times New Roman" w:eastAsia="Times New Roman" w:cs="Times New Roman"/>
                <w:sz w:val="20"/>
                <w:szCs w:val="20"/>
                <w:spacing w:val="2"/>
              </w:rPr>
              <w:t>1263-2022</w:t>
            </w:r>
          </w:p>
        </w:tc>
        <w:tc>
          <w:tcPr>
            <w:tcW w:w="1424" w:type="dxa"/>
            <w:vAlign w:val="top"/>
          </w:tcPr>
          <w:p>
            <w:pPr>
              <w:ind w:left="205"/>
              <w:spacing w:before="79"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0.007</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/m³</w:t>
            </w:r>
          </w:p>
        </w:tc>
      </w:tr>
      <w:tr>
        <w:trPr>
          <w:trHeight w:val="292" w:hRule="atLeast"/>
        </w:trPr>
        <w:tc>
          <w:tcPr>
            <w:tcW w:w="1568" w:type="dxa"/>
            <w:vAlign w:val="top"/>
          </w:tcPr>
          <w:p>
            <w:pPr>
              <w:pStyle w:val="TableText"/>
              <w:ind w:left="685"/>
              <w:spacing w:before="49" w:line="215" w:lineRule="auto"/>
              <w:rPr/>
            </w:pPr>
            <w:r>
              <w:rPr/>
              <w:t>氨</w:t>
            </w:r>
          </w:p>
        </w:tc>
        <w:tc>
          <w:tcPr>
            <w:tcW w:w="2697" w:type="dxa"/>
            <w:vAlign w:val="top"/>
          </w:tcPr>
          <w:p>
            <w:pPr>
              <w:pStyle w:val="TableText"/>
              <w:ind w:left="410"/>
              <w:spacing w:before="49" w:line="215" w:lineRule="auto"/>
              <w:rPr/>
            </w:pPr>
            <w:r>
              <w:rPr>
                <w:spacing w:val="8"/>
              </w:rPr>
              <w:t>纳氏试剂分光光度法</w:t>
            </w:r>
          </w:p>
        </w:tc>
        <w:tc>
          <w:tcPr>
            <w:tcW w:w="2839" w:type="dxa"/>
            <w:vAlign w:val="top"/>
          </w:tcPr>
          <w:p>
            <w:pPr>
              <w:ind w:left="875"/>
              <w:spacing w:before="8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15"/>
              </w:rPr>
              <w:t xml:space="preserve"> </w:t>
            </w:r>
            <w:r>
              <w:rPr>
                <w:rFonts w:ascii="Times New Roman" w:hAnsi="Times New Roman" w:eastAsia="Times New Roman" w:cs="Times New Roman"/>
                <w:sz w:val="20"/>
                <w:szCs w:val="20"/>
                <w:spacing w:val="4"/>
              </w:rPr>
              <w:t>533-2009</w:t>
            </w:r>
          </w:p>
        </w:tc>
        <w:tc>
          <w:tcPr>
            <w:tcW w:w="1424" w:type="dxa"/>
            <w:vAlign w:val="top"/>
          </w:tcPr>
          <w:p>
            <w:pPr>
              <w:ind w:left="253"/>
              <w:spacing w:before="64" w:line="21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5"/>
              </w:rPr>
              <w:t>0.01</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5"/>
              </w:rPr>
              <w:t>/m</w:t>
            </w:r>
            <w:r>
              <w:rPr>
                <w:rFonts w:ascii="Times New Roman" w:hAnsi="Times New Roman" w:eastAsia="Times New Roman" w:cs="Times New Roman"/>
                <w:sz w:val="13"/>
                <w:szCs w:val="13"/>
                <w:spacing w:val="5"/>
                <w:position w:val="6"/>
              </w:rPr>
              <w:t>3</w:t>
            </w:r>
          </w:p>
        </w:tc>
      </w:tr>
      <w:tr>
        <w:trPr>
          <w:trHeight w:val="291" w:hRule="atLeast"/>
        </w:trPr>
        <w:tc>
          <w:tcPr>
            <w:tcW w:w="1568" w:type="dxa"/>
            <w:vAlign w:val="top"/>
          </w:tcPr>
          <w:p>
            <w:pPr>
              <w:pStyle w:val="TableText"/>
              <w:ind w:left="473"/>
              <w:spacing w:before="50" w:line="213" w:lineRule="auto"/>
              <w:rPr/>
            </w:pPr>
            <w:r>
              <w:rPr>
                <w:spacing w:val="7"/>
              </w:rPr>
              <w:t>硫化氢</w:t>
            </w:r>
          </w:p>
        </w:tc>
        <w:tc>
          <w:tcPr>
            <w:tcW w:w="2697" w:type="dxa"/>
            <w:vAlign w:val="top"/>
          </w:tcPr>
          <w:p>
            <w:pPr>
              <w:pStyle w:val="TableText"/>
              <w:ind w:left="410"/>
              <w:spacing w:before="50" w:line="213" w:lineRule="auto"/>
              <w:rPr/>
            </w:pPr>
            <w:r>
              <w:rPr>
                <w:spacing w:val="8"/>
              </w:rPr>
              <w:t>亚甲基蓝分光光度法</w:t>
            </w:r>
          </w:p>
        </w:tc>
        <w:tc>
          <w:tcPr>
            <w:tcW w:w="2839" w:type="dxa"/>
            <w:vAlign w:val="top"/>
          </w:tcPr>
          <w:p>
            <w:pPr>
              <w:pStyle w:val="TableText"/>
              <w:ind w:left="66"/>
              <w:spacing w:before="50" w:line="213" w:lineRule="auto"/>
              <w:rPr/>
            </w:pPr>
            <w:r>
              <w:rPr>
                <w:spacing w:val="8"/>
              </w:rPr>
              <w:t>《空气和废气监测分析方法》</w:t>
            </w:r>
          </w:p>
        </w:tc>
        <w:tc>
          <w:tcPr>
            <w:tcW w:w="1424" w:type="dxa"/>
            <w:vAlign w:val="top"/>
          </w:tcPr>
          <w:p>
            <w:pPr>
              <w:ind w:left="200"/>
              <w:spacing w:before="65" w:line="21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5"/>
              </w:rPr>
              <w:t>0.001</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5"/>
              </w:rPr>
              <w:t>/m</w:t>
            </w:r>
            <w:r>
              <w:rPr>
                <w:rFonts w:ascii="Times New Roman" w:hAnsi="Times New Roman" w:eastAsia="Times New Roman" w:cs="Times New Roman"/>
                <w:sz w:val="13"/>
                <w:szCs w:val="13"/>
                <w:spacing w:val="5"/>
                <w:position w:val="6"/>
              </w:rPr>
              <w:t>3</w:t>
            </w:r>
          </w:p>
        </w:tc>
      </w:tr>
      <w:tr>
        <w:trPr>
          <w:trHeight w:val="296" w:hRule="atLeast"/>
        </w:trPr>
        <w:tc>
          <w:tcPr>
            <w:tcW w:w="1568" w:type="dxa"/>
            <w:vAlign w:val="top"/>
          </w:tcPr>
          <w:p>
            <w:pPr>
              <w:pStyle w:val="TableText"/>
              <w:ind w:left="368"/>
              <w:spacing w:before="51" w:line="216" w:lineRule="auto"/>
              <w:rPr/>
            </w:pPr>
            <w:r>
              <w:rPr>
                <w:spacing w:val="7"/>
              </w:rPr>
              <w:t>臭气浓度</w:t>
            </w:r>
          </w:p>
        </w:tc>
        <w:tc>
          <w:tcPr>
            <w:tcW w:w="2697" w:type="dxa"/>
            <w:vAlign w:val="top"/>
          </w:tcPr>
          <w:p>
            <w:pPr>
              <w:pStyle w:val="TableText"/>
              <w:ind w:left="512"/>
              <w:spacing w:before="51" w:line="216" w:lineRule="auto"/>
              <w:rPr/>
            </w:pPr>
            <w:r>
              <w:rPr>
                <w:spacing w:val="8"/>
              </w:rPr>
              <w:t>三点比较式臭袋法</w:t>
            </w:r>
          </w:p>
        </w:tc>
        <w:tc>
          <w:tcPr>
            <w:tcW w:w="2839" w:type="dxa"/>
            <w:vAlign w:val="top"/>
          </w:tcPr>
          <w:p>
            <w:pPr>
              <w:ind w:left="796"/>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35"/>
                <w:w w:val="101"/>
              </w:rPr>
              <w:t xml:space="preserve"> </w:t>
            </w:r>
            <w:r>
              <w:rPr>
                <w:rFonts w:ascii="Times New Roman" w:hAnsi="Times New Roman" w:eastAsia="Times New Roman" w:cs="Times New Roman"/>
                <w:sz w:val="20"/>
                <w:szCs w:val="20"/>
                <w:spacing w:val="2"/>
              </w:rPr>
              <w:t>1262 -2022</w:t>
            </w:r>
          </w:p>
        </w:tc>
        <w:tc>
          <w:tcPr>
            <w:tcW w:w="1424" w:type="dxa"/>
            <w:vAlign w:val="top"/>
          </w:tcPr>
          <w:p>
            <w:pPr>
              <w:ind w:left="680"/>
              <w:spacing w:before="83"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bl>
    <w:p>
      <w:pPr>
        <w:ind w:left="516"/>
        <w:spacing w:before="35"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6</w:t>
      </w:r>
      <w:r>
        <w:rPr>
          <w:rFonts w:ascii="SimSun" w:hAnsi="SimSun" w:eastAsia="SimSun" w:cs="SimSun"/>
          <w:sz w:val="24"/>
          <w:szCs w:val="24"/>
          <w:spacing w:val="-3"/>
        </w:rPr>
        <w:t>）监测结果</w:t>
      </w:r>
    </w:p>
    <w:p>
      <w:pPr>
        <w:ind w:left="505"/>
        <w:spacing w:before="182" w:line="219" w:lineRule="auto"/>
        <w:rPr>
          <w:rFonts w:ascii="SimSun" w:hAnsi="SimSun" w:eastAsia="SimSun" w:cs="SimSun"/>
          <w:sz w:val="24"/>
          <w:szCs w:val="24"/>
        </w:rPr>
      </w:pPr>
      <w:r>
        <w:rPr>
          <w:rFonts w:ascii="SimSun" w:hAnsi="SimSun" w:eastAsia="SimSun" w:cs="SimSun"/>
          <w:sz w:val="24"/>
          <w:szCs w:val="24"/>
          <w:spacing w:val="-1"/>
        </w:rPr>
        <w:t>监测结果见表</w:t>
      </w:r>
      <w:r>
        <w:rPr>
          <w:rFonts w:ascii="Times New Roman" w:hAnsi="Times New Roman" w:eastAsia="Times New Roman" w:cs="Times New Roman"/>
          <w:sz w:val="24"/>
          <w:szCs w:val="24"/>
          <w:spacing w:val="-1"/>
        </w:rPr>
        <w:t>4.2-4</w:t>
      </w:r>
      <w:r>
        <w:rPr>
          <w:rFonts w:ascii="SimSun" w:hAnsi="SimSun" w:eastAsia="SimSun" w:cs="SimSun"/>
          <w:sz w:val="24"/>
          <w:szCs w:val="24"/>
          <w:spacing w:val="-1"/>
        </w:rPr>
        <w:t>。</w:t>
      </w:r>
    </w:p>
    <w:p>
      <w:pPr>
        <w:ind w:left="1917"/>
        <w:spacing w:before="183" w:line="211" w:lineRule="auto"/>
        <w:rPr>
          <w:rFonts w:ascii="SimSun" w:hAnsi="SimSun" w:eastAsia="SimSun" w:cs="SimSun"/>
          <w:sz w:val="24"/>
          <w:szCs w:val="24"/>
        </w:rPr>
      </w:pPr>
      <w:r>
        <w:rPr>
          <w:rFonts w:ascii="SimSun" w:hAnsi="SimSun" w:eastAsia="SimSun" w:cs="SimSun"/>
          <w:sz w:val="24"/>
          <w:szCs w:val="24"/>
          <w:b/>
          <w:bCs/>
          <w:spacing w:val="-2"/>
        </w:rPr>
        <w:t>表</w:t>
      </w:r>
      <w:r>
        <w:rPr>
          <w:rFonts w:ascii="Times New Roman" w:hAnsi="Times New Roman" w:eastAsia="Times New Roman" w:cs="Times New Roman"/>
          <w:sz w:val="24"/>
          <w:szCs w:val="24"/>
          <w:b/>
          <w:bCs/>
          <w:spacing w:val="-2"/>
        </w:rPr>
        <w:t>4.2-4      </w:t>
      </w:r>
      <w:r>
        <w:rPr>
          <w:rFonts w:ascii="SimSun" w:hAnsi="SimSun" w:eastAsia="SimSun" w:cs="SimSun"/>
          <w:sz w:val="24"/>
          <w:szCs w:val="24"/>
          <w:b/>
          <w:bCs/>
          <w:spacing w:val="-2"/>
        </w:rPr>
        <w:t>环境空气质量现状补充监测结果表</w:t>
      </w:r>
    </w:p>
    <w:tbl>
      <w:tblPr>
        <w:tblStyle w:val="TableNormal"/>
        <w:tblW w:w="8526" w:type="dxa"/>
        <w:tblInd w:w="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98"/>
        <w:gridCol w:w="1159"/>
        <w:gridCol w:w="1461"/>
        <w:gridCol w:w="1301"/>
        <w:gridCol w:w="1002"/>
        <w:gridCol w:w="1003"/>
        <w:gridCol w:w="1002"/>
      </w:tblGrid>
      <w:tr>
        <w:trPr>
          <w:trHeight w:val="825" w:hRule="atLeast"/>
        </w:trPr>
        <w:tc>
          <w:tcPr>
            <w:tcW w:w="1598" w:type="dxa"/>
            <w:vAlign w:val="top"/>
          </w:tcPr>
          <w:p>
            <w:pPr>
              <w:pStyle w:val="TableText"/>
              <w:ind w:left="385"/>
              <w:spacing w:before="304" w:line="229" w:lineRule="auto"/>
              <w:rPr/>
            </w:pPr>
            <w:r>
              <w:rPr>
                <w:spacing w:val="7"/>
              </w:rPr>
              <w:t>监测点位</w:t>
            </w:r>
          </w:p>
        </w:tc>
        <w:tc>
          <w:tcPr>
            <w:tcW w:w="1159" w:type="dxa"/>
            <w:vAlign w:val="top"/>
          </w:tcPr>
          <w:p>
            <w:pPr>
              <w:pStyle w:val="TableText"/>
              <w:ind w:left="165"/>
              <w:spacing w:before="304" w:line="228" w:lineRule="auto"/>
              <w:rPr/>
            </w:pPr>
            <w:r>
              <w:rPr>
                <w:spacing w:val="7"/>
              </w:rPr>
              <w:t>监测项目</w:t>
            </w:r>
          </w:p>
        </w:tc>
        <w:tc>
          <w:tcPr>
            <w:tcW w:w="1461" w:type="dxa"/>
            <w:vAlign w:val="top"/>
          </w:tcPr>
          <w:p>
            <w:pPr>
              <w:pStyle w:val="TableText"/>
              <w:ind w:left="224" w:right="99" w:hanging="112"/>
              <w:spacing w:before="184" w:line="221" w:lineRule="auto"/>
              <w:rPr>
                <w:rFonts w:ascii="Times New Roman" w:hAnsi="Times New Roman" w:eastAsia="Times New Roman" w:cs="Times New Roman"/>
                <w:sz w:val="13"/>
                <w:szCs w:val="13"/>
              </w:rPr>
            </w:pPr>
            <w:r>
              <w:rPr>
                <w:spacing w:val="7"/>
              </w:rPr>
              <w:t>小时均值浓度</w:t>
            </w:r>
            <w:r>
              <w:rPr/>
              <w:t xml:space="preserve"> </w:t>
            </w:r>
            <w:r>
              <w:rPr>
                <w:spacing w:val="5"/>
              </w:rPr>
              <w:t>范围</w:t>
            </w:r>
            <w:r>
              <w:rPr>
                <w:spacing w:val="-40"/>
              </w:rPr>
              <w:t xml:space="preserve"> </w:t>
            </w:r>
            <w:r>
              <w:rPr>
                <w:rFonts w:ascii="Times New Roman" w:hAnsi="Times New Roman" w:eastAsia="Times New Roman" w:cs="Times New Roman"/>
              </w:rPr>
              <w:t>mg</w:t>
            </w:r>
            <w:r>
              <w:rPr>
                <w:rFonts w:ascii="Times New Roman" w:hAnsi="Times New Roman" w:eastAsia="Times New Roman" w:cs="Times New Roman"/>
                <w:spacing w:val="5"/>
              </w:rPr>
              <w:t>/m</w:t>
            </w:r>
            <w:r>
              <w:rPr>
                <w:rFonts w:ascii="Times New Roman" w:hAnsi="Times New Roman" w:eastAsia="Times New Roman" w:cs="Times New Roman"/>
                <w:sz w:val="13"/>
                <w:szCs w:val="13"/>
                <w:spacing w:val="5"/>
                <w:position w:val="6"/>
              </w:rPr>
              <w:t>3</w:t>
            </w:r>
          </w:p>
        </w:tc>
        <w:tc>
          <w:tcPr>
            <w:tcW w:w="1301" w:type="dxa"/>
            <w:vAlign w:val="top"/>
          </w:tcPr>
          <w:p>
            <w:pPr>
              <w:pStyle w:val="TableText"/>
              <w:ind w:left="61"/>
              <w:spacing w:before="183" w:line="222" w:lineRule="auto"/>
              <w:rPr/>
            </w:pPr>
            <w:r>
              <w:rPr>
                <w:spacing w:val="2"/>
              </w:rPr>
              <w:t>日均值浓度范</w:t>
            </w:r>
          </w:p>
          <w:p>
            <w:pPr>
              <w:pStyle w:val="TableText"/>
              <w:ind w:left="265"/>
              <w:spacing w:line="221" w:lineRule="auto"/>
              <w:rPr>
                <w:rFonts w:ascii="Times New Roman" w:hAnsi="Times New Roman" w:eastAsia="Times New Roman" w:cs="Times New Roman"/>
                <w:sz w:val="13"/>
                <w:szCs w:val="13"/>
              </w:rPr>
            </w:pPr>
            <w:r>
              <w:rPr>
                <w:spacing w:val="1"/>
              </w:rPr>
              <w:t>围</w:t>
            </w:r>
            <w:r>
              <w:rPr>
                <w:spacing w:val="-44"/>
              </w:rPr>
              <w:t xml:space="preserve"> </w:t>
            </w:r>
            <w:r>
              <w:rPr>
                <w:rFonts w:ascii="Times New Roman" w:hAnsi="Times New Roman" w:eastAsia="Times New Roman" w:cs="Times New Roman"/>
              </w:rPr>
              <w:t>mg</w:t>
            </w:r>
            <w:r>
              <w:rPr>
                <w:rFonts w:ascii="Times New Roman" w:hAnsi="Times New Roman" w:eastAsia="Times New Roman" w:cs="Times New Roman"/>
                <w:spacing w:val="1"/>
              </w:rPr>
              <w:t>/m</w:t>
            </w:r>
            <w:r>
              <w:rPr>
                <w:rFonts w:ascii="Times New Roman" w:hAnsi="Times New Roman" w:eastAsia="Times New Roman" w:cs="Times New Roman"/>
                <w:sz w:val="13"/>
                <w:szCs w:val="13"/>
                <w:spacing w:val="1"/>
                <w:position w:val="6"/>
              </w:rPr>
              <w:t>3</w:t>
            </w:r>
          </w:p>
        </w:tc>
        <w:tc>
          <w:tcPr>
            <w:tcW w:w="1002" w:type="dxa"/>
            <w:vAlign w:val="top"/>
          </w:tcPr>
          <w:p>
            <w:pPr>
              <w:pStyle w:val="TableText"/>
              <w:ind w:left="222" w:right="182" w:hanging="28"/>
              <w:spacing w:before="184" w:line="235" w:lineRule="auto"/>
              <w:rPr>
                <w:rFonts w:ascii="Times New Roman" w:hAnsi="Times New Roman" w:eastAsia="Times New Roman" w:cs="Times New Roman"/>
                <w:sz w:val="13"/>
                <w:szCs w:val="13"/>
              </w:rPr>
            </w:pPr>
            <w:r>
              <w:rPr>
                <w:spacing w:val="6"/>
              </w:rPr>
              <w:t>标准值</w:t>
            </w:r>
            <w:r>
              <w:rPr>
                <w:spacing w:val="1"/>
              </w:rPr>
              <w:t xml:space="preserve"> </w:t>
            </w:r>
            <w:r>
              <w:rPr>
                <w:rFonts w:ascii="Times New Roman" w:hAnsi="Times New Roman" w:eastAsia="Times New Roman" w:cs="Times New Roman"/>
              </w:rPr>
              <w:t>mg</w:t>
            </w:r>
            <w:r>
              <w:rPr>
                <w:rFonts w:ascii="Times New Roman" w:hAnsi="Times New Roman" w:eastAsia="Times New Roman" w:cs="Times New Roman"/>
                <w:spacing w:val="8"/>
              </w:rPr>
              <w:t>/m</w:t>
            </w:r>
            <w:r>
              <w:rPr>
                <w:rFonts w:ascii="Times New Roman" w:hAnsi="Times New Roman" w:eastAsia="Times New Roman" w:cs="Times New Roman"/>
                <w:sz w:val="13"/>
                <w:szCs w:val="13"/>
                <w:spacing w:val="8"/>
                <w:position w:val="5"/>
              </w:rPr>
              <w:t>3</w:t>
            </w:r>
          </w:p>
        </w:tc>
        <w:tc>
          <w:tcPr>
            <w:tcW w:w="1003" w:type="dxa"/>
            <w:vAlign w:val="top"/>
          </w:tcPr>
          <w:p>
            <w:pPr>
              <w:pStyle w:val="TableText"/>
              <w:ind w:left="94"/>
              <w:spacing w:before="35" w:line="228" w:lineRule="auto"/>
              <w:rPr/>
            </w:pPr>
            <w:r>
              <w:rPr>
                <w:spacing w:val="5"/>
              </w:rPr>
              <w:t>小时值浓</w:t>
            </w:r>
          </w:p>
          <w:p>
            <w:pPr>
              <w:pStyle w:val="TableText"/>
              <w:ind w:left="402"/>
              <w:spacing w:before="27" w:line="228" w:lineRule="auto"/>
              <w:rPr/>
            </w:pPr>
            <w:r>
              <w:rPr>
                <w:spacing w:val="1"/>
              </w:rPr>
              <w:t>度</w:t>
            </w:r>
          </w:p>
          <w:p>
            <w:pPr>
              <w:pStyle w:val="TableText"/>
              <w:ind w:left="105"/>
              <w:spacing w:before="23" w:line="217" w:lineRule="auto"/>
              <w:rPr>
                <w:rFonts w:ascii="Times New Roman" w:hAnsi="Times New Roman" w:eastAsia="Times New Roman" w:cs="Times New Roman"/>
              </w:rPr>
            </w:pPr>
            <w:r>
              <w:rPr>
                <w:spacing w:val="7"/>
              </w:rPr>
              <w:t>超标率</w:t>
            </w:r>
            <w:r>
              <w:rPr>
                <w:rFonts w:ascii="Times New Roman" w:hAnsi="Times New Roman" w:eastAsia="Times New Roman" w:cs="Times New Roman"/>
                <w:spacing w:val="7"/>
              </w:rPr>
              <w:t>%</w:t>
            </w:r>
          </w:p>
        </w:tc>
        <w:tc>
          <w:tcPr>
            <w:tcW w:w="1002" w:type="dxa"/>
            <w:vAlign w:val="top"/>
          </w:tcPr>
          <w:p>
            <w:pPr>
              <w:pStyle w:val="TableText"/>
              <w:ind w:left="123"/>
              <w:spacing w:before="35" w:line="228" w:lineRule="auto"/>
              <w:rPr/>
            </w:pPr>
            <w:r>
              <w:rPr>
                <w:spacing w:val="-2"/>
              </w:rPr>
              <w:t>日均值浓</w:t>
            </w:r>
          </w:p>
          <w:p>
            <w:pPr>
              <w:pStyle w:val="TableText"/>
              <w:ind w:left="400"/>
              <w:spacing w:before="27" w:line="228" w:lineRule="auto"/>
              <w:rPr/>
            </w:pPr>
            <w:r>
              <w:rPr>
                <w:spacing w:val="1"/>
              </w:rPr>
              <w:t>度</w:t>
            </w:r>
          </w:p>
          <w:p>
            <w:pPr>
              <w:pStyle w:val="TableText"/>
              <w:ind w:left="103"/>
              <w:spacing w:before="23" w:line="217" w:lineRule="auto"/>
              <w:rPr>
                <w:rFonts w:ascii="Times New Roman" w:hAnsi="Times New Roman" w:eastAsia="Times New Roman" w:cs="Times New Roman"/>
              </w:rPr>
            </w:pPr>
            <w:r>
              <w:rPr>
                <w:spacing w:val="7"/>
              </w:rPr>
              <w:t>超标率</w:t>
            </w:r>
            <w:r>
              <w:rPr>
                <w:rFonts w:ascii="Times New Roman" w:hAnsi="Times New Roman" w:eastAsia="Times New Roman" w:cs="Times New Roman"/>
                <w:spacing w:val="7"/>
              </w:rPr>
              <w:t>%</w:t>
            </w:r>
          </w:p>
        </w:tc>
      </w:tr>
      <w:tr>
        <w:trPr>
          <w:trHeight w:val="246" w:hRule="atLeast"/>
        </w:trPr>
        <w:tc>
          <w:tcPr>
            <w:tcW w:w="1598" w:type="dxa"/>
            <w:vAlign w:val="top"/>
            <w:vMerge w:val="restart"/>
            <w:tcBorders>
              <w:bottom w:val="nil"/>
            </w:tcBorders>
          </w:tcPr>
          <w:p>
            <w:pPr>
              <w:spacing w:line="373" w:lineRule="auto"/>
              <w:rPr>
                <w:rFonts w:ascii="Arial"/>
                <w:sz w:val="21"/>
              </w:rPr>
            </w:pPr>
            <w:r/>
          </w:p>
          <w:p>
            <w:pPr>
              <w:pStyle w:val="TableText"/>
              <w:ind w:left="179"/>
              <w:spacing w:before="65" w:line="228" w:lineRule="auto"/>
              <w:rPr/>
            </w:pPr>
            <w:r>
              <w:rPr>
                <w:spacing w:val="7"/>
              </w:rPr>
              <w:t>项目西厂区内</w:t>
            </w:r>
          </w:p>
        </w:tc>
        <w:tc>
          <w:tcPr>
            <w:tcW w:w="1159" w:type="dxa"/>
            <w:vAlign w:val="top"/>
          </w:tcPr>
          <w:p>
            <w:pPr>
              <w:ind w:left="400"/>
              <w:spacing w:before="54"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TSP</w:t>
            </w:r>
          </w:p>
        </w:tc>
        <w:tc>
          <w:tcPr>
            <w:tcW w:w="1461" w:type="dxa"/>
            <w:vAlign w:val="top"/>
          </w:tcPr>
          <w:p>
            <w:pPr>
              <w:ind w:left="699"/>
              <w:spacing w:before="46" w:line="19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301" w:type="dxa"/>
            <w:vAlign w:val="top"/>
          </w:tcPr>
          <w:p>
            <w:pPr>
              <w:ind w:left="73"/>
              <w:spacing w:before="50"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00.058~0.198</w:t>
            </w:r>
          </w:p>
        </w:tc>
        <w:tc>
          <w:tcPr>
            <w:tcW w:w="1002" w:type="dxa"/>
            <w:vAlign w:val="top"/>
          </w:tcPr>
          <w:p>
            <w:pPr>
              <w:ind w:left="375"/>
              <w:spacing w:before="50"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0.3</w:t>
            </w:r>
          </w:p>
        </w:tc>
        <w:tc>
          <w:tcPr>
            <w:tcW w:w="1003" w:type="dxa"/>
            <w:vAlign w:val="top"/>
          </w:tcPr>
          <w:p>
            <w:pPr>
              <w:ind w:left="472"/>
              <w:spacing w:before="51" w:line="193"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02" w:type="dxa"/>
            <w:vAlign w:val="top"/>
          </w:tcPr>
          <w:p>
            <w:pPr>
              <w:ind w:left="453"/>
              <w:spacing w:before="54"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r>
      <w:tr>
        <w:trPr>
          <w:trHeight w:val="276" w:hRule="atLeast"/>
        </w:trPr>
        <w:tc>
          <w:tcPr>
            <w:tcW w:w="1598" w:type="dxa"/>
            <w:vAlign w:val="top"/>
            <w:vMerge w:val="continue"/>
            <w:tcBorders>
              <w:top w:val="nil"/>
              <w:bottom w:val="nil"/>
            </w:tcBorders>
          </w:tcPr>
          <w:p>
            <w:pPr>
              <w:rPr>
                <w:rFonts w:ascii="Arial"/>
                <w:sz w:val="21"/>
              </w:rPr>
            </w:pPr>
            <w:r/>
          </w:p>
        </w:tc>
        <w:tc>
          <w:tcPr>
            <w:tcW w:w="1159" w:type="dxa"/>
            <w:vAlign w:val="top"/>
          </w:tcPr>
          <w:p>
            <w:pPr>
              <w:pStyle w:val="TableText"/>
              <w:ind w:left="478"/>
              <w:spacing w:before="34" w:line="214" w:lineRule="auto"/>
              <w:rPr/>
            </w:pPr>
            <w:r>
              <w:rPr/>
              <w:t>氨</w:t>
            </w:r>
          </w:p>
        </w:tc>
        <w:tc>
          <w:tcPr>
            <w:tcW w:w="1461" w:type="dxa"/>
            <w:vAlign w:val="top"/>
          </w:tcPr>
          <w:p>
            <w:pPr>
              <w:ind w:left="195"/>
              <w:spacing w:before="6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00.01L~0.03</w:t>
            </w:r>
          </w:p>
        </w:tc>
        <w:tc>
          <w:tcPr>
            <w:tcW w:w="1301" w:type="dxa"/>
            <w:vAlign w:val="top"/>
          </w:tcPr>
          <w:p>
            <w:pPr>
              <w:ind w:left="620"/>
              <w:spacing w:before="61"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02" w:type="dxa"/>
            <w:vAlign w:val="top"/>
          </w:tcPr>
          <w:p>
            <w:pPr>
              <w:ind w:left="322"/>
              <w:spacing w:before="6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003" w:type="dxa"/>
            <w:vAlign w:val="top"/>
          </w:tcPr>
          <w:p>
            <w:pPr>
              <w:ind w:left="45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002" w:type="dxa"/>
            <w:vAlign w:val="top"/>
          </w:tcPr>
          <w:p>
            <w:pPr>
              <w:ind w:left="470"/>
              <w:spacing w:before="6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276" w:hRule="atLeast"/>
        </w:trPr>
        <w:tc>
          <w:tcPr>
            <w:tcW w:w="1598" w:type="dxa"/>
            <w:vAlign w:val="top"/>
            <w:vMerge w:val="continue"/>
            <w:tcBorders>
              <w:top w:val="nil"/>
              <w:bottom w:val="nil"/>
            </w:tcBorders>
          </w:tcPr>
          <w:p>
            <w:pPr>
              <w:rPr>
                <w:rFonts w:ascii="Arial"/>
                <w:sz w:val="21"/>
              </w:rPr>
            </w:pPr>
            <w:r/>
          </w:p>
        </w:tc>
        <w:tc>
          <w:tcPr>
            <w:tcW w:w="1159" w:type="dxa"/>
            <w:vAlign w:val="top"/>
          </w:tcPr>
          <w:p>
            <w:pPr>
              <w:pStyle w:val="TableText"/>
              <w:ind w:left="269"/>
              <w:spacing w:before="34" w:line="214" w:lineRule="auto"/>
              <w:rPr/>
            </w:pPr>
            <w:r>
              <w:rPr>
                <w:spacing w:val="7"/>
              </w:rPr>
              <w:t>硫化氢</w:t>
            </w:r>
          </w:p>
        </w:tc>
        <w:tc>
          <w:tcPr>
            <w:tcW w:w="1461" w:type="dxa"/>
            <w:vAlign w:val="top"/>
          </w:tcPr>
          <w:p>
            <w:pPr>
              <w:ind w:left="197"/>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0.001L0.003</w:t>
            </w:r>
          </w:p>
        </w:tc>
        <w:tc>
          <w:tcPr>
            <w:tcW w:w="1301" w:type="dxa"/>
            <w:vAlign w:val="top"/>
          </w:tcPr>
          <w:p>
            <w:pPr>
              <w:ind w:left="620"/>
              <w:spacing w:before="63"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02" w:type="dxa"/>
            <w:vAlign w:val="top"/>
          </w:tcPr>
          <w:p>
            <w:pPr>
              <w:ind w:left="375"/>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1003" w:type="dxa"/>
            <w:vAlign w:val="top"/>
          </w:tcPr>
          <w:p>
            <w:pPr>
              <w:ind w:left="45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002" w:type="dxa"/>
            <w:vAlign w:val="top"/>
          </w:tcPr>
          <w:p>
            <w:pPr>
              <w:ind w:left="470"/>
              <w:spacing w:before="6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282" w:hRule="atLeast"/>
        </w:trPr>
        <w:tc>
          <w:tcPr>
            <w:tcW w:w="1598" w:type="dxa"/>
            <w:vAlign w:val="top"/>
            <w:vMerge w:val="continue"/>
            <w:tcBorders>
              <w:top w:val="nil"/>
            </w:tcBorders>
          </w:tcPr>
          <w:p>
            <w:pPr>
              <w:rPr>
                <w:rFonts w:ascii="Arial"/>
                <w:sz w:val="21"/>
              </w:rPr>
            </w:pPr>
            <w:r/>
          </w:p>
        </w:tc>
        <w:tc>
          <w:tcPr>
            <w:tcW w:w="1159" w:type="dxa"/>
            <w:vAlign w:val="top"/>
          </w:tcPr>
          <w:p>
            <w:pPr>
              <w:pStyle w:val="TableText"/>
              <w:ind w:left="164"/>
              <w:spacing w:before="36" w:line="217" w:lineRule="auto"/>
              <w:rPr/>
            </w:pPr>
            <w:r>
              <w:rPr>
                <w:spacing w:val="7"/>
              </w:rPr>
              <w:t>臭气浓度</w:t>
            </w:r>
          </w:p>
        </w:tc>
        <w:tc>
          <w:tcPr>
            <w:tcW w:w="1461" w:type="dxa"/>
            <w:vAlign w:val="top"/>
          </w:tcPr>
          <w:p>
            <w:pPr>
              <w:pStyle w:val="TableText"/>
              <w:ind w:left="542"/>
              <w:spacing w:before="33" w:line="220" w:lineRule="auto"/>
              <w:rPr>
                <w:rFonts w:ascii="Times New Roman" w:hAnsi="Times New Roman" w:eastAsia="Times New Roman" w:cs="Times New Roman"/>
              </w:rPr>
            </w:pPr>
            <w:r>
              <w:rPr>
                <w:spacing w:val="28"/>
                <w:w w:val="103"/>
              </w:rPr>
              <w:t>&lt;</w:t>
            </w:r>
            <w:r>
              <w:rPr>
                <w:rFonts w:ascii="Times New Roman" w:hAnsi="Times New Roman" w:eastAsia="Times New Roman" w:cs="Times New Roman"/>
                <w:spacing w:val="28"/>
                <w:w w:val="103"/>
              </w:rPr>
              <w:t>10</w:t>
            </w:r>
          </w:p>
        </w:tc>
        <w:tc>
          <w:tcPr>
            <w:tcW w:w="1301" w:type="dxa"/>
            <w:vAlign w:val="top"/>
          </w:tcPr>
          <w:p>
            <w:pPr>
              <w:ind w:left="620"/>
              <w:spacing w:before="6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02" w:type="dxa"/>
            <w:vAlign w:val="top"/>
          </w:tcPr>
          <w:p>
            <w:pPr>
              <w:ind w:left="471"/>
              <w:spacing w:before="6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03" w:type="dxa"/>
            <w:vAlign w:val="top"/>
          </w:tcPr>
          <w:p>
            <w:pPr>
              <w:ind w:left="472"/>
              <w:spacing w:before="6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02" w:type="dxa"/>
            <w:vAlign w:val="top"/>
          </w:tcPr>
          <w:p>
            <w:pPr>
              <w:ind w:left="470"/>
              <w:spacing w:before="6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bl>
    <w:p>
      <w:pPr>
        <w:ind w:left="25" w:right="21" w:firstLine="508"/>
        <w:spacing w:before="35" w:line="361" w:lineRule="auto"/>
        <w:jc w:val="both"/>
        <w:rPr>
          <w:rFonts w:ascii="SimSun" w:hAnsi="SimSun" w:eastAsia="SimSun" w:cs="SimSun"/>
          <w:sz w:val="24"/>
          <w:szCs w:val="24"/>
        </w:rPr>
      </w:pPr>
      <w:r>
        <w:rPr>
          <w:rFonts w:ascii="SimSun" w:hAnsi="SimSun" w:eastAsia="SimSun" w:cs="SimSun"/>
          <w:sz w:val="24"/>
          <w:szCs w:val="24"/>
          <w:spacing w:val="14"/>
        </w:rPr>
        <w:t>由表</w:t>
      </w:r>
      <w:r>
        <w:rPr>
          <w:rFonts w:ascii="Times New Roman" w:hAnsi="Times New Roman" w:eastAsia="Times New Roman" w:cs="Times New Roman"/>
          <w:sz w:val="24"/>
          <w:szCs w:val="24"/>
          <w:spacing w:val="14"/>
        </w:rPr>
        <w:t>4.3-4</w:t>
      </w:r>
      <w:r>
        <w:rPr>
          <w:rFonts w:ascii="SimSun" w:hAnsi="SimSun" w:eastAsia="SimSun" w:cs="SimSun"/>
          <w:sz w:val="24"/>
          <w:szCs w:val="24"/>
          <w:spacing w:val="14"/>
        </w:rPr>
        <w:t>可以看出</w:t>
      </w:r>
      <w:r>
        <w:rPr>
          <w:rFonts w:ascii="SimSun" w:hAnsi="SimSun" w:eastAsia="SimSun" w:cs="SimSun"/>
          <w:sz w:val="24"/>
          <w:szCs w:val="24"/>
          <w:spacing w:val="-62"/>
        </w:rPr>
        <w:t xml:space="preserve"> </w:t>
      </w:r>
      <w:r>
        <w:rPr>
          <w:rFonts w:ascii="SimSun" w:hAnsi="SimSun" w:eastAsia="SimSun" w:cs="SimSun"/>
          <w:sz w:val="24"/>
          <w:szCs w:val="24"/>
          <w:spacing w:val="14"/>
        </w:rPr>
        <w:t>，</w:t>
      </w:r>
      <w:r>
        <w:rPr>
          <w:rFonts w:ascii="Times New Roman" w:hAnsi="Times New Roman" w:eastAsia="Times New Roman" w:cs="Times New Roman"/>
          <w:sz w:val="24"/>
          <w:szCs w:val="24"/>
        </w:rPr>
        <w:t>TSP</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14"/>
        </w:rPr>
        <w:t>日平均值监测结果满足《环境空气质量标准》</w:t>
      </w:r>
      <w:r>
        <w:rPr>
          <w:rFonts w:ascii="SimSun" w:hAnsi="SimSun" w:eastAsia="SimSun" w:cs="SimSun"/>
          <w:sz w:val="24"/>
          <w:szCs w:val="24"/>
        </w:rPr>
        <w:t xml:space="preserve"> </w:t>
      </w:r>
      <w:r>
        <w:rPr>
          <w:rFonts w:ascii="SimSun" w:hAnsi="SimSun" w:eastAsia="SimSun" w:cs="SimSun"/>
          <w:sz w:val="24"/>
          <w:szCs w:val="24"/>
          <w:spacing w:val="-8"/>
        </w:rPr>
        <w:t>（</w:t>
      </w:r>
      <w:r>
        <w:rPr>
          <w:rFonts w:ascii="Times New Roman" w:hAnsi="Times New Roman" w:eastAsia="Times New Roman" w:cs="Times New Roman"/>
          <w:sz w:val="24"/>
          <w:szCs w:val="24"/>
          <w:spacing w:val="-8"/>
        </w:rPr>
        <w:t>GB3095-2012</w:t>
      </w:r>
      <w:r>
        <w:rPr>
          <w:rFonts w:ascii="SimSun" w:hAnsi="SimSun" w:eastAsia="SimSun" w:cs="SimSun"/>
          <w:sz w:val="24"/>
          <w:szCs w:val="24"/>
          <w:spacing w:val="-8"/>
        </w:rPr>
        <w:t>）二级标准；</w:t>
      </w:r>
      <w:r>
        <w:rPr>
          <w:rFonts w:ascii="Times New Roman" w:hAnsi="Times New Roman" w:eastAsia="Times New Roman" w:cs="Times New Roman"/>
          <w:sz w:val="24"/>
          <w:szCs w:val="24"/>
          <w:spacing w:val="-8"/>
        </w:rPr>
        <w:t>H</w:t>
      </w:r>
      <w:r>
        <w:rPr>
          <w:rFonts w:ascii="Times New Roman" w:hAnsi="Times New Roman" w:eastAsia="Times New Roman" w:cs="Times New Roman"/>
          <w:sz w:val="15"/>
          <w:szCs w:val="15"/>
          <w:spacing w:val="-8"/>
          <w:position w:val="-1"/>
        </w:rPr>
        <w:t>2</w:t>
      </w:r>
      <w:r>
        <w:rPr>
          <w:rFonts w:ascii="Times New Roman" w:hAnsi="Times New Roman" w:eastAsia="Times New Roman" w:cs="Times New Roman"/>
          <w:sz w:val="24"/>
          <w:szCs w:val="24"/>
          <w:spacing w:val="-8"/>
        </w:rPr>
        <w:t>S</w:t>
      </w:r>
      <w:r>
        <w:rPr>
          <w:rFonts w:ascii="SimSun" w:hAnsi="SimSun" w:eastAsia="SimSun" w:cs="SimSun"/>
          <w:sz w:val="24"/>
          <w:szCs w:val="24"/>
          <w:spacing w:val="-17"/>
        </w:rPr>
        <w:t>、</w:t>
      </w:r>
      <w:r>
        <w:rPr>
          <w:rFonts w:ascii="Times New Roman" w:hAnsi="Times New Roman" w:eastAsia="Times New Roman" w:cs="Times New Roman"/>
          <w:sz w:val="24"/>
          <w:szCs w:val="24"/>
          <w:spacing w:val="-17"/>
        </w:rPr>
        <w:t>NH</w:t>
      </w:r>
      <w:r>
        <w:rPr>
          <w:rFonts w:ascii="Times New Roman" w:hAnsi="Times New Roman" w:eastAsia="Times New Roman" w:cs="Times New Roman"/>
          <w:sz w:val="15"/>
          <w:szCs w:val="15"/>
          <w:spacing w:val="-4"/>
          <w:position w:val="-1"/>
        </w:rPr>
        <w:t>3</w:t>
      </w:r>
      <w:r>
        <w:rPr>
          <w:rFonts w:ascii="SimSun" w:hAnsi="SimSun" w:eastAsia="SimSun" w:cs="SimSun"/>
          <w:sz w:val="24"/>
          <w:szCs w:val="24"/>
          <w:spacing w:val="-4"/>
        </w:rPr>
        <w:t>小时监测值满足《环境影响评价技术导则 大</w:t>
      </w:r>
      <w:r>
        <w:rPr>
          <w:rFonts w:ascii="SimSun" w:hAnsi="SimSun" w:eastAsia="SimSun" w:cs="SimSun"/>
          <w:sz w:val="24"/>
          <w:szCs w:val="24"/>
          <w:spacing w:val="18"/>
        </w:rPr>
        <w:t xml:space="preserve"> </w:t>
      </w:r>
      <w:r>
        <w:rPr>
          <w:rFonts w:ascii="SimSun" w:hAnsi="SimSun" w:eastAsia="SimSun" w:cs="SimSun"/>
          <w:sz w:val="24"/>
          <w:szCs w:val="24"/>
          <w:spacing w:val="-3"/>
        </w:rPr>
        <w:t>气环境》（</w:t>
      </w:r>
      <w:r>
        <w:rPr>
          <w:rFonts w:ascii="Times New Roman" w:hAnsi="Times New Roman" w:eastAsia="Times New Roman" w:cs="Times New Roman"/>
          <w:sz w:val="24"/>
          <w:szCs w:val="24"/>
          <w:spacing w:val="-3"/>
        </w:rPr>
        <w:t>HJ 2.2-2018</w:t>
      </w:r>
      <w:r>
        <w:rPr>
          <w:rFonts w:ascii="SimSun" w:hAnsi="SimSun" w:eastAsia="SimSun" w:cs="SimSun"/>
          <w:sz w:val="24"/>
          <w:szCs w:val="24"/>
          <w:spacing w:val="-3"/>
        </w:rPr>
        <w:t>）附录</w:t>
      </w:r>
      <w:r>
        <w:rPr>
          <w:rFonts w:ascii="Times New Roman" w:hAnsi="Times New Roman" w:eastAsia="Times New Roman" w:cs="Times New Roman"/>
          <w:sz w:val="24"/>
          <w:szCs w:val="24"/>
          <w:spacing w:val="-3"/>
        </w:rPr>
        <w:t>D</w:t>
      </w:r>
      <w:r>
        <w:rPr>
          <w:rFonts w:ascii="SimSun" w:hAnsi="SimSun" w:eastAsia="SimSun" w:cs="SimSun"/>
          <w:sz w:val="24"/>
          <w:szCs w:val="24"/>
          <w:spacing w:val="-3"/>
        </w:rPr>
        <w:t>其他污染物</w:t>
      </w:r>
      <w:r>
        <w:rPr>
          <w:rFonts w:ascii="SimSun" w:hAnsi="SimSun" w:eastAsia="SimSun" w:cs="SimSun"/>
          <w:sz w:val="24"/>
          <w:szCs w:val="24"/>
          <w:spacing w:val="-4"/>
        </w:rPr>
        <w:t>空气质量浓度参考限值表</w:t>
      </w:r>
      <w:r>
        <w:rPr>
          <w:rFonts w:ascii="Times New Roman" w:hAnsi="Times New Roman" w:eastAsia="Times New Roman" w:cs="Times New Roman"/>
          <w:sz w:val="24"/>
          <w:szCs w:val="24"/>
          <w:spacing w:val="-4"/>
        </w:rPr>
        <w:t>D.</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4"/>
        </w:rPr>
        <w:t>1</w:t>
      </w:r>
      <w:r>
        <w:rPr>
          <w:rFonts w:ascii="SimSun" w:hAnsi="SimSun" w:eastAsia="SimSun" w:cs="SimSun"/>
          <w:sz w:val="24"/>
          <w:szCs w:val="24"/>
          <w:spacing w:val="-4"/>
        </w:rPr>
        <w:t>标准限值；</w:t>
      </w:r>
    </w:p>
    <w:p>
      <w:pPr>
        <w:ind w:left="5327"/>
        <w:spacing w:before="151" w:line="227" w:lineRule="auto"/>
        <w:rPr>
          <w:rFonts w:ascii="SimSun" w:hAnsi="SimSun" w:eastAsia="SimSun" w:cs="SimSun"/>
          <w:sz w:val="19"/>
          <w:szCs w:val="19"/>
        </w:rPr>
      </w:pPr>
      <w:r>
        <w:pict>
          <v:shape id="_x0000_s586" style="position:absolute;margin-left:206.623pt;margin-top:6.55509pt;mso-position-vertical-relative:text;mso-position-horizontal-relative:text;width:60.35pt;height:13.75pt;z-index:251914240;"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position w:val="2"/>
                    </w:rPr>
                    <w:t>116       </w:t>
                  </w:r>
                  <w:r>
                    <w:rPr>
                      <w:rFonts w:ascii="SimSun" w:hAnsi="SimSun" w:eastAsia="SimSun" w:cs="SimSun"/>
                      <w:sz w:val="19"/>
                      <w:szCs w:val="19"/>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121"/>
          <w:pgSz w:w="11907" w:h="16840"/>
          <w:pgMar w:top="1567" w:right="1621" w:bottom="400" w:left="1686" w:header="1221" w:footer="0" w:gutter="0"/>
        </w:sectPr>
        <w:rPr>
          <w:rFonts w:ascii="SimSun" w:hAnsi="SimSun" w:eastAsia="SimSun" w:cs="SimSun"/>
          <w:sz w:val="19"/>
          <w:szCs w:val="19"/>
        </w:rPr>
      </w:pPr>
    </w:p>
    <w:p>
      <w:pPr>
        <w:ind w:left="9"/>
        <w:spacing w:before="187" w:line="218" w:lineRule="auto"/>
        <w:rPr>
          <w:rFonts w:ascii="SimSun" w:hAnsi="SimSun" w:eastAsia="SimSun" w:cs="SimSun"/>
          <w:sz w:val="24"/>
          <w:szCs w:val="24"/>
        </w:rPr>
      </w:pPr>
      <w:r>
        <w:pict>
          <v:shape id="_x0000_s588" style="position:absolute;margin-left:85.05pt;margin-top:79.11pt;mso-position-vertical-relative:page;mso-position-horizontal-relative:page;width:425.25pt;height:0.75pt;z-index:251917312;" o:allowincell="f" fillcolor="#000000" filled="true" stroked="false" coordsize="8505,15" coordorigin="0,0" path="m,l8505,0l8505,14l0,14l0,0xe"/>
        </w:pict>
      </w:r>
      <w:r>
        <w:rPr>
          <w:rFonts w:ascii="SimSun" w:hAnsi="SimSun" w:eastAsia="SimSun" w:cs="SimSun"/>
          <w:sz w:val="24"/>
          <w:szCs w:val="24"/>
          <w:spacing w:val="-1"/>
        </w:rPr>
        <w:t>臭气浓度无质量标准，不进行评价。</w:t>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7"/>
        <w:spacing w:before="62" w:line="227" w:lineRule="auto"/>
        <w:rPr>
          <w:rFonts w:ascii="SimSun" w:hAnsi="SimSun" w:eastAsia="SimSun" w:cs="SimSun"/>
          <w:sz w:val="19"/>
          <w:szCs w:val="19"/>
        </w:rPr>
      </w:pPr>
      <w:r>
        <w:pict>
          <v:shape id="_x0000_s590" style="position:absolute;margin-left:159.33pt;margin-top:2.11481pt;mso-position-vertical-relative:text;mso-position-horizontal-relative:text;width:61pt;height:13.75pt;z-index:251916288;"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rPr>
                    <w:t>任公司</w:t>
                  </w:r>
                  <w:r>
                    <w:rPr>
                      <w:rFonts w:ascii="SimSun" w:hAnsi="SimSun" w:eastAsia="SimSun" w:cs="SimSun"/>
                      <w:sz w:val="19"/>
                      <w:szCs w:val="19"/>
                      <w:spacing w:val="18"/>
                    </w:rPr>
                    <w:t xml:space="preserve">   </w:t>
                  </w:r>
                  <w:r>
                    <w:rPr>
                      <w:rFonts w:ascii="Times New Roman" w:hAnsi="Times New Roman" w:eastAsia="Times New Roman" w:cs="Times New Roman"/>
                      <w:sz w:val="18"/>
                      <w:szCs w:val="18"/>
                      <w:position w:val="2"/>
                    </w:rPr>
                    <w:t>117</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2"/>
          <w:pgSz w:w="11907" w:h="16840"/>
          <w:pgMar w:top="1567" w:right="1700" w:bottom="400" w:left="1701" w:header="1221" w:footer="0" w:gutter="0"/>
        </w:sectPr>
        <w:rPr>
          <w:rFonts w:ascii="SimSun" w:hAnsi="SimSun" w:eastAsia="SimSun" w:cs="SimSun"/>
          <w:sz w:val="19"/>
          <w:szCs w:val="19"/>
        </w:rPr>
      </w:pPr>
    </w:p>
    <w:p>
      <w:pPr>
        <w:pStyle w:val="BodyText"/>
        <w:spacing w:line="269" w:lineRule="auto"/>
        <w:rPr/>
      </w:pPr>
      <w:r/>
    </w:p>
    <w:p>
      <w:pPr>
        <w:pStyle w:val="BodyText"/>
        <w:spacing w:line="269" w:lineRule="auto"/>
        <w:rPr/>
      </w:pPr>
      <w:r/>
    </w:p>
    <w:p>
      <w:pPr>
        <w:pStyle w:val="BodyText"/>
        <w:spacing w:line="270" w:lineRule="auto"/>
        <w:rPr/>
      </w:pPr>
      <w:r/>
    </w:p>
    <w:p>
      <w:pPr>
        <w:ind w:left="3497"/>
        <w:spacing w:before="65"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53" w:lineRule="exact"/>
        <w:rPr/>
      </w:pPr>
      <w:r>
        <w:rPr>
          <w:position w:val="-1"/>
        </w:rPr>
        <w:pict>
          <v:shape id="_x0000_s592" style="mso-position-vertical-relative:line;mso-position-horizontal-relative:char;width:671.95pt;height:2.65pt;" fillcolor="#000000" filled="true" stroked="false" coordsize="13439,53" coordorigin="0,0" path="m,l13438,0l13438,28l0,28l0,0xem0,38l13438,38l13438,52l0,52l0,38xe"/>
        </w:pict>
      </w:r>
    </w:p>
    <w:p>
      <w:pPr>
        <w:ind w:firstLine="2016"/>
        <w:spacing w:before="1" w:line="8295" w:lineRule="exact"/>
        <w:rPr/>
      </w:pPr>
      <w:r>
        <w:rPr>
          <w:position w:val="-165"/>
        </w:rPr>
        <w:drawing>
          <wp:inline distT="0" distB="0" distL="0" distR="0">
            <wp:extent cx="5972556" cy="5266944"/>
            <wp:effectExtent l="0" t="0" r="0" b="0"/>
            <wp:docPr id="56" name="IM 56"/>
            <wp:cNvGraphicFramePr/>
            <a:graphic>
              <a:graphicData uri="http://schemas.openxmlformats.org/drawingml/2006/picture">
                <pic:pic>
                  <pic:nvPicPr>
                    <pic:cNvPr id="56" name="IM 56"/>
                    <pic:cNvPicPr/>
                  </pic:nvPicPr>
                  <pic:blipFill>
                    <a:blip r:embed="rId122"/>
                    <a:stretch>
                      <a:fillRect/>
                    </a:stretch>
                  </pic:blipFill>
                  <pic:spPr>
                    <a:xfrm rot="0">
                      <a:off x="0" y="0"/>
                      <a:ext cx="5972556" cy="5266944"/>
                    </a:xfrm>
                    <a:prstGeom prst="rect">
                      <a:avLst/>
                    </a:prstGeom>
                  </pic:spPr>
                </pic:pic>
              </a:graphicData>
            </a:graphic>
          </wp:inline>
        </w:drawing>
      </w:r>
    </w:p>
    <w:p>
      <w:pPr>
        <w:ind w:left="3551"/>
        <w:spacing w:before="36" w:line="219" w:lineRule="auto"/>
        <w:rPr>
          <w:rFonts w:ascii="SimSun" w:hAnsi="SimSun" w:eastAsia="SimSun" w:cs="SimSun"/>
          <w:sz w:val="24"/>
          <w:szCs w:val="24"/>
        </w:rPr>
      </w:pPr>
      <w:r>
        <w:rPr>
          <w:rFonts w:ascii="SimSun" w:hAnsi="SimSun" w:eastAsia="SimSun" w:cs="SimSun"/>
          <w:sz w:val="24"/>
          <w:szCs w:val="24"/>
          <w:b/>
          <w:bCs/>
          <w:spacing w:val="-2"/>
        </w:rPr>
        <w:t>图</w:t>
      </w:r>
      <w:r>
        <w:rPr>
          <w:rFonts w:ascii="Times New Roman" w:hAnsi="Times New Roman" w:eastAsia="Times New Roman" w:cs="Times New Roman"/>
          <w:sz w:val="24"/>
          <w:szCs w:val="24"/>
          <w:b/>
          <w:bCs/>
          <w:spacing w:val="-2"/>
        </w:rPr>
        <w:t>4.2-1      </w:t>
      </w:r>
      <w:r>
        <w:rPr>
          <w:rFonts w:ascii="SimSun" w:hAnsi="SimSun" w:eastAsia="SimSun" w:cs="SimSun"/>
          <w:sz w:val="24"/>
          <w:szCs w:val="24"/>
          <w:b/>
          <w:bCs/>
          <w:spacing w:val="-2"/>
        </w:rPr>
        <w:t>大气环境、土壤环境及声环境质量现</w:t>
      </w:r>
      <w:r>
        <w:rPr>
          <w:rFonts w:ascii="SimSun" w:hAnsi="SimSun" w:eastAsia="SimSun" w:cs="SimSun"/>
          <w:sz w:val="24"/>
          <w:szCs w:val="24"/>
          <w:b/>
          <w:bCs/>
          <w:spacing w:val="-3"/>
        </w:rPr>
        <w:t>状监测布点图</w:t>
      </w:r>
    </w:p>
    <w:p>
      <w:pPr>
        <w:spacing w:before="97" w:line="227" w:lineRule="auto"/>
        <w:jc w:val="right"/>
        <w:rPr>
          <w:rFonts w:ascii="SimSun" w:hAnsi="SimSun" w:eastAsia="SimSun" w:cs="SimSun"/>
          <w:sz w:val="19"/>
          <w:szCs w:val="19"/>
        </w:rPr>
      </w:pPr>
      <w:r>
        <w:rPr>
          <w:rFonts w:ascii="Times New Roman" w:hAnsi="Times New Roman" w:eastAsia="Times New Roman" w:cs="Times New Roman"/>
          <w:sz w:val="18"/>
          <w:szCs w:val="18"/>
          <w:spacing w:val="4"/>
          <w:position w:val="2"/>
        </w:rPr>
        <w:t>118                                                  </w:t>
      </w:r>
      <w:r>
        <w:rPr>
          <w:rFonts w:ascii="Times New Roman" w:hAnsi="Times New Roman" w:eastAsia="Times New Roman" w:cs="Times New Roman"/>
          <w:sz w:val="18"/>
          <w:szCs w:val="18"/>
          <w:spacing w:val="3"/>
          <w:position w:val="2"/>
        </w:rPr>
        <w:t xml:space="preserve">         </w:t>
      </w:r>
      <w:r>
        <w:rPr>
          <w:rFonts w:ascii="SimSun" w:hAnsi="SimSun" w:eastAsia="SimSun" w:cs="SimSun"/>
          <w:sz w:val="19"/>
          <w:szCs w:val="19"/>
          <w:spacing w:val="3"/>
        </w:rPr>
        <w:t>锡林郭勒盟中安环境技术咨询有限责任公司</w:t>
      </w:r>
    </w:p>
    <w:p>
      <w:pPr>
        <w:spacing w:line="227" w:lineRule="auto"/>
        <w:sectPr>
          <w:headerReference w:type="default" r:id="rId10"/>
          <w:pgSz w:w="16840" w:h="11907"/>
          <w:pgMar w:top="400" w:right="1700" w:bottom="400" w:left="1701" w:header="0" w:footer="0" w:gutter="0"/>
        </w:sectPr>
        <w:rPr>
          <w:rFonts w:ascii="SimSun" w:hAnsi="SimSun" w:eastAsia="SimSun" w:cs="SimSun"/>
          <w:sz w:val="19"/>
          <w:szCs w:val="19"/>
        </w:rPr>
      </w:pPr>
    </w:p>
    <w:p>
      <w:pPr>
        <w:ind w:left="5"/>
        <w:spacing w:before="313" w:line="222" w:lineRule="auto"/>
        <w:outlineLvl w:val="2"/>
        <w:rPr>
          <w:rFonts w:ascii="SimHei" w:hAnsi="SimHei" w:eastAsia="SimHei" w:cs="SimHei"/>
          <w:sz w:val="28"/>
          <w:szCs w:val="28"/>
        </w:rPr>
      </w:pPr>
      <w:r>
        <w:pict>
          <v:shape id="_x0000_s594" style="position:absolute;margin-left:85.05pt;margin-top:79.11pt;mso-position-vertical-relative:page;mso-position-horizontal-relative:page;width:425.25pt;height:0.75pt;z-index:251921408;" o:allowincell="f" fillcolor="#000000" filled="true" stroked="false" coordsize="8505,15" coordorigin="0,0" path="m,l8505,0l8505,14l0,14l0,0xe"/>
        </w:pict>
      </w:r>
      <w:bookmarkStart w:name="bookmark234" w:id="102"/>
      <w:bookmarkEnd w:id="102"/>
      <w:r>
        <w:rPr>
          <w:rFonts w:ascii="Times New Roman" w:hAnsi="Times New Roman" w:eastAsia="Times New Roman" w:cs="Times New Roman"/>
          <w:sz w:val="28"/>
          <w:szCs w:val="28"/>
          <w:spacing w:val="-1"/>
        </w:rPr>
        <w:t>4.2.2 </w:t>
      </w:r>
      <w:r>
        <w:rPr>
          <w:rFonts w:ascii="SimHei" w:hAnsi="SimHei" w:eastAsia="SimHei" w:cs="SimHei"/>
          <w:sz w:val="28"/>
          <w:szCs w:val="28"/>
          <w:spacing w:val="-1"/>
        </w:rPr>
        <w:t>地下水环境质量现状监测与评价</w:t>
      </w:r>
    </w:p>
    <w:p>
      <w:pPr>
        <w:pStyle w:val="BodyText"/>
        <w:rPr/>
      </w:pPr>
      <w:r/>
    </w:p>
    <w:p>
      <w:pPr>
        <w:ind w:left="6"/>
        <w:spacing w:before="78" w:line="219" w:lineRule="auto"/>
        <w:outlineLvl w:val="3"/>
        <w:rPr>
          <w:rFonts w:ascii="SimSun" w:hAnsi="SimSun" w:eastAsia="SimSun" w:cs="SimSun"/>
          <w:sz w:val="24"/>
          <w:szCs w:val="24"/>
        </w:rPr>
      </w:pPr>
      <w:bookmarkStart w:name="bookmark82" w:id="103"/>
      <w:bookmarkEnd w:id="103"/>
      <w:r>
        <w:rPr>
          <w:rFonts w:ascii="Times New Roman" w:hAnsi="Times New Roman" w:eastAsia="Times New Roman" w:cs="Times New Roman"/>
          <w:sz w:val="24"/>
          <w:szCs w:val="24"/>
          <w:b/>
          <w:bCs/>
          <w:spacing w:val="-2"/>
        </w:rPr>
        <w:t>4.2.2.1 </w:t>
      </w:r>
      <w:r>
        <w:rPr>
          <w:rFonts w:ascii="SimSun" w:hAnsi="SimSun" w:eastAsia="SimSun" w:cs="SimSun"/>
          <w:sz w:val="24"/>
          <w:szCs w:val="24"/>
          <w:b/>
          <w:bCs/>
          <w:spacing w:val="-2"/>
        </w:rPr>
        <w:t>地下水位调查</w:t>
      </w:r>
    </w:p>
    <w:p>
      <w:pPr>
        <w:ind w:left="8" w:right="1" w:firstLine="481"/>
        <w:spacing w:before="185" w:line="357" w:lineRule="auto"/>
        <w:jc w:val="both"/>
        <w:rPr>
          <w:rFonts w:ascii="SimSun" w:hAnsi="SimSun" w:eastAsia="SimSun" w:cs="SimSun"/>
          <w:sz w:val="24"/>
          <w:szCs w:val="24"/>
        </w:rPr>
      </w:pPr>
      <w:r>
        <w:rPr>
          <w:rFonts w:ascii="SimSun" w:hAnsi="SimSun" w:eastAsia="SimSun" w:cs="SimSun"/>
          <w:sz w:val="24"/>
          <w:szCs w:val="24"/>
        </w:rPr>
        <w:t>本项目所在区地貌属丘陵山区，根据《环境影响评价技术导则</w:t>
      </w:r>
      <w:r>
        <w:rPr>
          <w:rFonts w:ascii="Times New Roman" w:hAnsi="Times New Roman" w:eastAsia="Times New Roman" w:cs="Times New Roman"/>
          <w:sz w:val="24"/>
          <w:szCs w:val="24"/>
        </w:rPr>
        <w:t>·</w:t>
      </w:r>
      <w:r>
        <w:rPr>
          <w:rFonts w:ascii="SimSun" w:hAnsi="SimSun" w:eastAsia="SimSun" w:cs="SimSun"/>
          <w:sz w:val="24"/>
          <w:szCs w:val="24"/>
        </w:rPr>
        <w:t>地下水环境》</w:t>
      </w:r>
      <w:r>
        <w:rPr>
          <w:rFonts w:ascii="SimSun" w:hAnsi="SimSun" w:eastAsia="SimSun" w:cs="SimSun"/>
          <w:sz w:val="24"/>
          <w:szCs w:val="24"/>
          <w:spacing w:val="4"/>
        </w:rPr>
        <w:t xml:space="preserve"> </w:t>
      </w:r>
      <w:r>
        <w:rPr>
          <w:rFonts w:ascii="Times New Roman" w:hAnsi="Times New Roman" w:eastAsia="Times New Roman" w:cs="Times New Roman"/>
          <w:sz w:val="24"/>
          <w:szCs w:val="24"/>
          <w:spacing w:val="-1"/>
        </w:rPr>
        <w:t>(HJ610-2016)</w:t>
      </w:r>
      <w:r>
        <w:rPr>
          <w:rFonts w:ascii="SimSun" w:hAnsi="SimSun" w:eastAsia="SimSun" w:cs="SimSun"/>
          <w:sz w:val="24"/>
          <w:szCs w:val="24"/>
          <w:spacing w:val="-1"/>
        </w:rPr>
        <w:t>相关要求需开展枯丰两期水位监测，本次评</w:t>
      </w:r>
      <w:r>
        <w:rPr>
          <w:rFonts w:ascii="SimSun" w:hAnsi="SimSun" w:eastAsia="SimSun" w:cs="SimSun"/>
          <w:sz w:val="24"/>
          <w:szCs w:val="24"/>
          <w:spacing w:val="-2"/>
        </w:rPr>
        <w:t>价收集了一期水位监测数</w:t>
      </w:r>
      <w:r>
        <w:rPr>
          <w:rFonts w:ascii="SimSun" w:hAnsi="SimSun" w:eastAsia="SimSun" w:cs="SimSun"/>
          <w:sz w:val="24"/>
          <w:szCs w:val="24"/>
        </w:rPr>
        <w:t xml:space="preserve"> </w:t>
      </w:r>
      <w:r>
        <w:rPr>
          <w:rFonts w:ascii="SimSun" w:hAnsi="SimSun" w:eastAsia="SimSun" w:cs="SimSun"/>
          <w:sz w:val="24"/>
          <w:szCs w:val="24"/>
          <w:spacing w:val="-2"/>
        </w:rPr>
        <w:t>据，监测时间为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2024 </w:t>
      </w:r>
      <w:r>
        <w:rPr>
          <w:rFonts w:ascii="SimSun" w:hAnsi="SimSun" w:eastAsia="SimSun" w:cs="SimSun"/>
          <w:sz w:val="24"/>
          <w:szCs w:val="24"/>
          <w:spacing w:val="-2"/>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9</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2"/>
        </w:rPr>
        <w:t>月</w:t>
      </w:r>
      <w:r>
        <w:rPr>
          <w:rFonts w:ascii="Times New Roman" w:hAnsi="Times New Roman" w:eastAsia="Times New Roman" w:cs="Times New Roman"/>
          <w:sz w:val="24"/>
          <w:szCs w:val="24"/>
          <w:spacing w:val="-2"/>
        </w:rPr>
        <w:t>(</w:t>
      </w:r>
      <w:r>
        <w:rPr>
          <w:rFonts w:ascii="SimSun" w:hAnsi="SimSun" w:eastAsia="SimSun" w:cs="SimSun"/>
          <w:sz w:val="24"/>
          <w:szCs w:val="24"/>
          <w:spacing w:val="-2"/>
        </w:rPr>
        <w:t>丰水期</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、并在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2025 </w:t>
      </w:r>
      <w:r>
        <w:rPr>
          <w:rFonts w:ascii="SimSun" w:hAnsi="SimSun" w:eastAsia="SimSun" w:cs="SimSun"/>
          <w:sz w:val="24"/>
          <w:szCs w:val="24"/>
          <w:spacing w:val="-2"/>
        </w:rPr>
        <w:t>年</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月</w:t>
      </w:r>
      <w:r>
        <w:rPr>
          <w:rFonts w:ascii="Times New Roman" w:hAnsi="Times New Roman" w:eastAsia="Times New Roman" w:cs="Times New Roman"/>
          <w:sz w:val="24"/>
          <w:szCs w:val="24"/>
          <w:spacing w:val="-2"/>
        </w:rPr>
        <w:t>(</w:t>
      </w:r>
      <w:r>
        <w:rPr>
          <w:rFonts w:ascii="SimSun" w:hAnsi="SimSun" w:eastAsia="SimSun" w:cs="SimSun"/>
          <w:sz w:val="24"/>
          <w:szCs w:val="24"/>
          <w:spacing w:val="-2"/>
        </w:rPr>
        <w:t>枯水期</w:t>
      </w:r>
      <w:r>
        <w:rPr>
          <w:rFonts w:ascii="Times New Roman" w:hAnsi="Times New Roman" w:eastAsia="Times New Roman" w:cs="Times New Roman"/>
          <w:sz w:val="24"/>
          <w:szCs w:val="24"/>
          <w:spacing w:val="-2"/>
        </w:rPr>
        <w:t>)</w:t>
      </w:r>
      <w:r>
        <w:rPr>
          <w:rFonts w:ascii="SimSun" w:hAnsi="SimSun" w:eastAsia="SimSun" w:cs="SimSun"/>
          <w:sz w:val="24"/>
          <w:szCs w:val="24"/>
          <w:spacing w:val="-2"/>
        </w:rPr>
        <w:t>开展了一期水位</w:t>
      </w:r>
      <w:r>
        <w:rPr>
          <w:rFonts w:ascii="SimSun" w:hAnsi="SimSun" w:eastAsia="SimSun" w:cs="SimSun"/>
          <w:sz w:val="24"/>
          <w:szCs w:val="24"/>
        </w:rPr>
        <w:t xml:space="preserve"> </w:t>
      </w:r>
      <w:r>
        <w:rPr>
          <w:rFonts w:ascii="SimSun" w:hAnsi="SimSun" w:eastAsia="SimSun" w:cs="SimSun"/>
          <w:sz w:val="24"/>
          <w:szCs w:val="24"/>
          <w:spacing w:val="-2"/>
        </w:rPr>
        <w:t>监测。根据水位监测结果表</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4.3-6</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2"/>
        </w:rPr>
        <w:t>分析，评价区潜水地下水流向大致为由东向西径</w:t>
      </w:r>
      <w:r>
        <w:rPr>
          <w:rFonts w:ascii="SimSun" w:hAnsi="SimSun" w:eastAsia="SimSun" w:cs="SimSun"/>
          <w:sz w:val="24"/>
          <w:szCs w:val="24"/>
        </w:rPr>
        <w:t xml:space="preserve"> </w:t>
      </w:r>
      <w:r>
        <w:rPr>
          <w:rFonts w:ascii="SimSun" w:hAnsi="SimSun" w:eastAsia="SimSun" w:cs="SimSun"/>
          <w:sz w:val="24"/>
          <w:szCs w:val="24"/>
          <w:spacing w:val="-3"/>
        </w:rPr>
        <w:t>流，水力坡度约为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w:t>
      </w:r>
      <w:r>
        <w:rPr>
          <w:rFonts w:ascii="Times New Roman" w:hAnsi="Times New Roman" w:eastAsia="Times New Roman" w:cs="Times New Roman"/>
          <w:sz w:val="24"/>
          <w:szCs w:val="24"/>
          <w:spacing w:val="-33"/>
        </w:rPr>
        <w:t xml:space="preserve"> </w:t>
      </w:r>
      <w:r>
        <w:rPr>
          <w:rFonts w:ascii="Times New Roman" w:hAnsi="Times New Roman" w:eastAsia="Times New Roman" w:cs="Times New Roman"/>
          <w:sz w:val="24"/>
          <w:szCs w:val="24"/>
          <w:spacing w:val="-3"/>
        </w:rPr>
        <w:t>10%</w:t>
      </w:r>
      <w:r>
        <w:rPr>
          <w:rFonts w:ascii="SimSun" w:hAnsi="SimSun" w:eastAsia="SimSun" w:cs="SimSun"/>
          <w:sz w:val="24"/>
          <w:szCs w:val="24"/>
          <w:spacing w:val="-3"/>
        </w:rPr>
        <w:t>之间。</w:t>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ind w:left="7"/>
        <w:spacing w:before="62" w:line="227" w:lineRule="auto"/>
        <w:rPr>
          <w:rFonts w:ascii="SimSun" w:hAnsi="SimSun" w:eastAsia="SimSun" w:cs="SimSun"/>
          <w:sz w:val="19"/>
          <w:szCs w:val="19"/>
        </w:rPr>
      </w:pPr>
      <w:r>
        <w:pict>
          <v:shape id="_x0000_s596" style="position:absolute;margin-left:109.841pt;margin-top:2.09372pt;mso-position-vertical-relative:text;mso-position-horizontal-relative:text;width:110.5pt;height:13.75pt;z-index:25192038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3"/>
                      <w:position w:val="2"/>
                    </w:rPr>
                    <w:t>119</w:t>
                  </w:r>
                </w:p>
              </w:txbxContent>
            </v:textbox>
          </v:shape>
        </w:pict>
      </w:r>
      <w:r>
        <w:rPr>
          <w:rFonts w:ascii="SimSun" w:hAnsi="SimSun" w:eastAsia="SimSun" w:cs="SimSun"/>
          <w:sz w:val="19"/>
          <w:szCs w:val="19"/>
          <w:spacing w:val="9"/>
        </w:rPr>
        <w:t>锡林郭勒盟中安环境技术</w:t>
      </w:r>
    </w:p>
    <w:p>
      <w:pPr>
        <w:spacing w:line="227" w:lineRule="auto"/>
        <w:sectPr>
          <w:headerReference w:type="default" r:id="rId2"/>
          <w:pgSz w:w="11907" w:h="16840"/>
          <w:pgMar w:top="1567" w:right="1700" w:bottom="400" w:left="1701" w:header="1221" w:footer="0" w:gutter="0"/>
        </w:sectPr>
        <w:rPr>
          <w:rFonts w:ascii="SimSun" w:hAnsi="SimSun" w:eastAsia="SimSun" w:cs="SimSun"/>
          <w:sz w:val="19"/>
          <w:szCs w:val="19"/>
        </w:rPr>
      </w:pPr>
    </w:p>
    <w:p>
      <w:pPr>
        <w:ind w:left="4399"/>
        <w:spacing w:before="144" w:line="212" w:lineRule="auto"/>
        <w:rPr>
          <w:rFonts w:ascii="SimSun" w:hAnsi="SimSun" w:eastAsia="SimSun" w:cs="SimSun"/>
          <w:sz w:val="24"/>
          <w:szCs w:val="24"/>
        </w:rPr>
      </w:pPr>
      <w:r>
        <w:rPr>
          <w:rFonts w:ascii="SimSun" w:hAnsi="SimSun" w:eastAsia="SimSun" w:cs="SimSun"/>
          <w:sz w:val="24"/>
          <w:szCs w:val="24"/>
          <w:b/>
          <w:bCs/>
          <w:spacing w:val="-2"/>
        </w:rPr>
        <w:t>表</w:t>
      </w:r>
      <w:r>
        <w:rPr>
          <w:rFonts w:ascii="Times New Roman" w:hAnsi="Times New Roman" w:eastAsia="Times New Roman" w:cs="Times New Roman"/>
          <w:sz w:val="24"/>
          <w:szCs w:val="24"/>
          <w:b/>
          <w:bCs/>
          <w:spacing w:val="-2"/>
        </w:rPr>
        <w:t>4.2-5      </w:t>
      </w:r>
      <w:r>
        <w:rPr>
          <w:rFonts w:ascii="SimSun" w:hAnsi="SimSun" w:eastAsia="SimSun" w:cs="SimSun"/>
          <w:sz w:val="24"/>
          <w:szCs w:val="24"/>
          <w:b/>
          <w:bCs/>
          <w:spacing w:val="-2"/>
        </w:rPr>
        <w:t>地下水水位调查点位及调查结果表</w:t>
      </w:r>
    </w:p>
    <w:tbl>
      <w:tblPr>
        <w:tblStyle w:val="TableNormal"/>
        <w:tblW w:w="1349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72"/>
        <w:gridCol w:w="1311"/>
        <w:gridCol w:w="1284"/>
        <w:gridCol w:w="594"/>
        <w:gridCol w:w="902"/>
        <w:gridCol w:w="977"/>
        <w:gridCol w:w="1322"/>
        <w:gridCol w:w="902"/>
        <w:gridCol w:w="1272"/>
        <w:gridCol w:w="1308"/>
        <w:gridCol w:w="1959"/>
        <w:gridCol w:w="1189"/>
      </w:tblGrid>
      <w:tr>
        <w:trPr>
          <w:trHeight w:val="282" w:hRule="atLeast"/>
        </w:trPr>
        <w:tc>
          <w:tcPr>
            <w:tcW w:w="472" w:type="dxa"/>
            <w:vAlign w:val="top"/>
            <w:vMerge w:val="restart"/>
            <w:tcBorders>
              <w:bottom w:val="nil"/>
            </w:tcBorders>
          </w:tcPr>
          <w:p>
            <w:pPr>
              <w:pStyle w:val="TableText"/>
              <w:ind w:left="32"/>
              <w:spacing w:before="175" w:line="228" w:lineRule="auto"/>
              <w:rPr/>
            </w:pPr>
            <w:r>
              <w:rPr>
                <w:spacing w:val="3"/>
              </w:rPr>
              <w:t>编号</w:t>
            </w:r>
          </w:p>
        </w:tc>
        <w:tc>
          <w:tcPr>
            <w:tcW w:w="1311" w:type="dxa"/>
            <w:vAlign w:val="top"/>
            <w:vMerge w:val="restart"/>
            <w:tcBorders>
              <w:bottom w:val="nil"/>
            </w:tcBorders>
          </w:tcPr>
          <w:p>
            <w:pPr>
              <w:pStyle w:val="TableText"/>
              <w:ind w:left="451"/>
              <w:spacing w:before="176" w:line="228" w:lineRule="auto"/>
              <w:rPr/>
            </w:pPr>
            <w:r>
              <w:rPr>
                <w:spacing w:val="3"/>
              </w:rPr>
              <w:t>经度</w:t>
            </w:r>
          </w:p>
        </w:tc>
        <w:tc>
          <w:tcPr>
            <w:tcW w:w="1284" w:type="dxa"/>
            <w:vAlign w:val="top"/>
            <w:vMerge w:val="restart"/>
            <w:tcBorders>
              <w:bottom w:val="nil"/>
            </w:tcBorders>
          </w:tcPr>
          <w:p>
            <w:pPr>
              <w:pStyle w:val="TableText"/>
              <w:ind w:left="437"/>
              <w:spacing w:before="176" w:line="228" w:lineRule="auto"/>
              <w:rPr/>
            </w:pPr>
            <w:r>
              <w:rPr>
                <w:spacing w:val="4"/>
              </w:rPr>
              <w:t>纬度</w:t>
            </w:r>
          </w:p>
        </w:tc>
        <w:tc>
          <w:tcPr>
            <w:tcW w:w="594" w:type="dxa"/>
            <w:vAlign w:val="top"/>
            <w:vMerge w:val="restart"/>
            <w:tcBorders>
              <w:bottom w:val="nil"/>
            </w:tcBorders>
          </w:tcPr>
          <w:p>
            <w:pPr>
              <w:pStyle w:val="TableText"/>
              <w:ind w:left="91"/>
              <w:spacing w:before="41" w:line="228" w:lineRule="auto"/>
              <w:rPr/>
            </w:pPr>
            <w:r>
              <w:rPr>
                <w:spacing w:val="4"/>
              </w:rPr>
              <w:t>井深</w:t>
            </w:r>
          </w:p>
          <w:p>
            <w:pPr>
              <w:pStyle w:val="TableText"/>
              <w:ind w:left="19"/>
              <w:spacing w:before="23" w:line="223" w:lineRule="auto"/>
              <w:rPr/>
            </w:pPr>
            <w:r>
              <w:rPr>
                <w:spacing w:val="-1"/>
              </w:rPr>
              <w:t>（</w:t>
            </w:r>
            <w:r>
              <w:rPr>
                <w:rFonts w:ascii="Times New Roman" w:hAnsi="Times New Roman" w:eastAsia="Times New Roman" w:cs="Times New Roman"/>
                <w:spacing w:val="-1"/>
              </w:rPr>
              <w:t>m</w:t>
            </w:r>
            <w:r>
              <w:rPr>
                <w:spacing w:val="-1"/>
              </w:rPr>
              <w:t>）</w:t>
            </w:r>
          </w:p>
        </w:tc>
        <w:tc>
          <w:tcPr>
            <w:tcW w:w="902" w:type="dxa"/>
            <w:vAlign w:val="top"/>
            <w:vMerge w:val="restart"/>
            <w:tcBorders>
              <w:bottom w:val="nil"/>
            </w:tcBorders>
          </w:tcPr>
          <w:p>
            <w:pPr>
              <w:pStyle w:val="TableText"/>
              <w:ind w:left="34"/>
              <w:spacing w:before="40" w:line="228" w:lineRule="auto"/>
              <w:rPr/>
            </w:pPr>
            <w:r>
              <w:rPr>
                <w:spacing w:val="7"/>
              </w:rPr>
              <w:t>地表高程</w:t>
            </w:r>
          </w:p>
          <w:p>
            <w:pPr>
              <w:pStyle w:val="TableText"/>
              <w:ind w:left="174"/>
              <w:spacing w:before="24" w:line="223" w:lineRule="auto"/>
              <w:rPr/>
            </w:pPr>
            <w:r>
              <w:rPr>
                <w:spacing w:val="-1"/>
              </w:rPr>
              <w:t>（</w:t>
            </w:r>
            <w:r>
              <w:rPr>
                <w:rFonts w:ascii="Times New Roman" w:hAnsi="Times New Roman" w:eastAsia="Times New Roman" w:cs="Times New Roman"/>
                <w:spacing w:val="-1"/>
              </w:rPr>
              <w:t>m</w:t>
            </w:r>
            <w:r>
              <w:rPr>
                <w:spacing w:val="-1"/>
              </w:rPr>
              <w:t>）</w:t>
            </w:r>
          </w:p>
        </w:tc>
        <w:tc>
          <w:tcPr>
            <w:tcW w:w="2299" w:type="dxa"/>
            <w:vAlign w:val="top"/>
            <w:gridSpan w:val="2"/>
          </w:tcPr>
          <w:p>
            <w:pPr>
              <w:pStyle w:val="TableText"/>
              <w:ind w:left="74"/>
              <w:spacing w:before="36" w:line="217" w:lineRule="auto"/>
              <w:rPr/>
            </w:pPr>
            <w:r>
              <w:rPr>
                <w:rFonts w:ascii="Times New Roman" w:hAnsi="Times New Roman" w:eastAsia="Times New Roman" w:cs="Times New Roman"/>
                <w:spacing w:val="4"/>
              </w:rPr>
              <w:t>2024 </w:t>
            </w:r>
            <w:r>
              <w:rPr>
                <w:spacing w:val="4"/>
              </w:rPr>
              <w:t>年</w:t>
            </w:r>
            <w:r>
              <w:rPr>
                <w:spacing w:val="-33"/>
              </w:rPr>
              <w:t xml:space="preserve"> </w:t>
            </w:r>
            <w:r>
              <w:rPr>
                <w:rFonts w:ascii="Times New Roman" w:hAnsi="Times New Roman" w:eastAsia="Times New Roman" w:cs="Times New Roman"/>
                <w:spacing w:val="4"/>
              </w:rPr>
              <w:t>9</w:t>
            </w:r>
            <w:r>
              <w:rPr>
                <w:rFonts w:ascii="Times New Roman" w:hAnsi="Times New Roman" w:eastAsia="Times New Roman" w:cs="Times New Roman"/>
                <w:spacing w:val="14"/>
                <w:w w:val="101"/>
              </w:rPr>
              <w:t xml:space="preserve"> </w:t>
            </w:r>
            <w:r>
              <w:rPr>
                <w:spacing w:val="4"/>
              </w:rPr>
              <w:t>月（丰水期）</w:t>
            </w:r>
          </w:p>
        </w:tc>
        <w:tc>
          <w:tcPr>
            <w:tcW w:w="2174" w:type="dxa"/>
            <w:vAlign w:val="top"/>
            <w:gridSpan w:val="2"/>
          </w:tcPr>
          <w:p>
            <w:pPr>
              <w:pStyle w:val="TableText"/>
              <w:ind w:left="12"/>
              <w:spacing w:before="36" w:line="217" w:lineRule="auto"/>
              <w:rPr/>
            </w:pPr>
            <w:r>
              <w:rPr>
                <w:rFonts w:ascii="Times New Roman" w:hAnsi="Times New Roman" w:eastAsia="Times New Roman" w:cs="Times New Roman"/>
                <w:spacing w:val="4"/>
              </w:rPr>
              <w:t>2025 </w:t>
            </w:r>
            <w:r>
              <w:rPr>
                <w:spacing w:val="4"/>
              </w:rPr>
              <w:t>年</w:t>
            </w:r>
            <w:r>
              <w:rPr>
                <w:spacing w:val="-33"/>
              </w:rPr>
              <w:t xml:space="preserve"> </w:t>
            </w:r>
            <w:r>
              <w:rPr>
                <w:rFonts w:ascii="Times New Roman" w:hAnsi="Times New Roman" w:eastAsia="Times New Roman" w:cs="Times New Roman"/>
                <w:spacing w:val="4"/>
              </w:rPr>
              <w:t>2</w:t>
            </w:r>
            <w:r>
              <w:rPr>
                <w:rFonts w:ascii="Times New Roman" w:hAnsi="Times New Roman" w:eastAsia="Times New Roman" w:cs="Times New Roman"/>
                <w:spacing w:val="14"/>
                <w:w w:val="101"/>
              </w:rPr>
              <w:t xml:space="preserve"> </w:t>
            </w:r>
            <w:r>
              <w:rPr>
                <w:spacing w:val="4"/>
              </w:rPr>
              <w:t>月（枯水期）</w:t>
            </w:r>
          </w:p>
        </w:tc>
        <w:tc>
          <w:tcPr>
            <w:tcW w:w="1308" w:type="dxa"/>
            <w:vAlign w:val="top"/>
            <w:vMerge w:val="restart"/>
            <w:tcBorders>
              <w:bottom w:val="nil"/>
            </w:tcBorders>
          </w:tcPr>
          <w:p>
            <w:pPr>
              <w:pStyle w:val="TableText"/>
              <w:ind w:left="242"/>
              <w:spacing w:before="175" w:line="228" w:lineRule="auto"/>
              <w:rPr/>
            </w:pPr>
            <w:r>
              <w:rPr>
                <w:spacing w:val="6"/>
              </w:rPr>
              <w:t>水井功能</w:t>
            </w:r>
          </w:p>
        </w:tc>
        <w:tc>
          <w:tcPr>
            <w:tcW w:w="1959" w:type="dxa"/>
            <w:vAlign w:val="top"/>
            <w:vMerge w:val="restart"/>
            <w:tcBorders>
              <w:bottom w:val="nil"/>
            </w:tcBorders>
          </w:tcPr>
          <w:p>
            <w:pPr>
              <w:pStyle w:val="TableText"/>
              <w:ind w:left="568"/>
              <w:spacing w:before="175" w:line="228" w:lineRule="auto"/>
              <w:rPr/>
            </w:pPr>
            <w:r>
              <w:rPr>
                <w:spacing w:val="6"/>
              </w:rPr>
              <w:t>取水类型</w:t>
            </w:r>
          </w:p>
        </w:tc>
        <w:tc>
          <w:tcPr>
            <w:tcW w:w="1189" w:type="dxa"/>
            <w:vAlign w:val="top"/>
            <w:vMerge w:val="restart"/>
            <w:tcBorders>
              <w:bottom w:val="nil"/>
            </w:tcBorders>
          </w:tcPr>
          <w:p>
            <w:pPr>
              <w:pStyle w:val="TableText"/>
              <w:ind w:left="393"/>
              <w:spacing w:before="175" w:line="229" w:lineRule="auto"/>
              <w:rPr/>
            </w:pPr>
            <w:r>
              <w:rPr>
                <w:spacing w:val="3"/>
              </w:rPr>
              <w:t>备注</w:t>
            </w:r>
          </w:p>
        </w:tc>
      </w:tr>
      <w:tr>
        <w:trPr>
          <w:trHeight w:val="277" w:hRule="atLeast"/>
        </w:trPr>
        <w:tc>
          <w:tcPr>
            <w:tcW w:w="472" w:type="dxa"/>
            <w:vAlign w:val="top"/>
            <w:vMerge w:val="continue"/>
            <w:tcBorders>
              <w:top w:val="nil"/>
            </w:tcBorders>
          </w:tcPr>
          <w:p>
            <w:pPr>
              <w:rPr>
                <w:rFonts w:ascii="Arial"/>
                <w:sz w:val="21"/>
              </w:rPr>
            </w:pPr>
            <w:r/>
          </w:p>
        </w:tc>
        <w:tc>
          <w:tcPr>
            <w:tcW w:w="1311" w:type="dxa"/>
            <w:vAlign w:val="top"/>
            <w:vMerge w:val="continue"/>
            <w:tcBorders>
              <w:top w:val="nil"/>
            </w:tcBorders>
          </w:tcPr>
          <w:p>
            <w:pPr>
              <w:rPr>
                <w:rFonts w:ascii="Arial"/>
                <w:sz w:val="21"/>
              </w:rPr>
            </w:pPr>
            <w:r/>
          </w:p>
        </w:tc>
        <w:tc>
          <w:tcPr>
            <w:tcW w:w="1284" w:type="dxa"/>
            <w:vAlign w:val="top"/>
            <w:vMerge w:val="continue"/>
            <w:tcBorders>
              <w:top w:val="nil"/>
            </w:tcBorders>
          </w:tcPr>
          <w:p>
            <w:pPr>
              <w:rPr>
                <w:rFonts w:ascii="Arial"/>
                <w:sz w:val="21"/>
              </w:rPr>
            </w:pPr>
            <w:r/>
          </w:p>
        </w:tc>
        <w:tc>
          <w:tcPr>
            <w:tcW w:w="594" w:type="dxa"/>
            <w:vAlign w:val="top"/>
            <w:vMerge w:val="continue"/>
            <w:tcBorders>
              <w:top w:val="nil"/>
            </w:tcBorders>
          </w:tcPr>
          <w:p>
            <w:pPr>
              <w:rPr>
                <w:rFonts w:ascii="Arial"/>
                <w:sz w:val="21"/>
              </w:rPr>
            </w:pPr>
            <w:r/>
          </w:p>
        </w:tc>
        <w:tc>
          <w:tcPr>
            <w:tcW w:w="902" w:type="dxa"/>
            <w:vAlign w:val="top"/>
            <w:vMerge w:val="continue"/>
            <w:tcBorders>
              <w:top w:val="nil"/>
            </w:tcBorders>
          </w:tcPr>
          <w:p>
            <w:pPr>
              <w:rPr>
                <w:rFonts w:ascii="Arial"/>
                <w:sz w:val="21"/>
              </w:rPr>
            </w:pPr>
            <w:r/>
          </w:p>
        </w:tc>
        <w:tc>
          <w:tcPr>
            <w:tcW w:w="977" w:type="dxa"/>
            <w:vAlign w:val="top"/>
          </w:tcPr>
          <w:p>
            <w:pPr>
              <w:pStyle w:val="TableText"/>
              <w:spacing w:before="29" w:line="219" w:lineRule="auto"/>
              <w:jc w:val="right"/>
              <w:rPr/>
            </w:pPr>
            <w:r>
              <w:rPr>
                <w:spacing w:val="1"/>
              </w:rPr>
              <w:t>埋深（</w:t>
            </w:r>
            <w:r>
              <w:rPr>
                <w:rFonts w:ascii="Times New Roman" w:hAnsi="Times New Roman" w:eastAsia="Times New Roman" w:cs="Times New Roman"/>
                <w:spacing w:val="1"/>
              </w:rPr>
              <w:t>m</w:t>
            </w:r>
            <w:r>
              <w:rPr>
                <w:spacing w:val="1"/>
              </w:rPr>
              <w:t>）</w:t>
            </w:r>
          </w:p>
        </w:tc>
        <w:tc>
          <w:tcPr>
            <w:tcW w:w="1322" w:type="dxa"/>
            <w:vAlign w:val="top"/>
          </w:tcPr>
          <w:p>
            <w:pPr>
              <w:pStyle w:val="TableText"/>
              <w:spacing w:before="29" w:line="219" w:lineRule="auto"/>
              <w:jc w:val="right"/>
              <w:rPr/>
            </w:pPr>
            <w:r>
              <w:rPr>
                <w:spacing w:val="-8"/>
              </w:rPr>
              <w:t>水位标高（</w:t>
            </w:r>
            <w:r>
              <w:rPr>
                <w:rFonts w:ascii="Times New Roman" w:hAnsi="Times New Roman" w:eastAsia="Times New Roman" w:cs="Times New Roman"/>
                <w:spacing w:val="-8"/>
              </w:rPr>
              <w:t>m</w:t>
            </w:r>
            <w:r>
              <w:rPr>
                <w:spacing w:val="-8"/>
              </w:rPr>
              <w:t>）</w:t>
            </w:r>
          </w:p>
        </w:tc>
        <w:tc>
          <w:tcPr>
            <w:tcW w:w="902" w:type="dxa"/>
            <w:vAlign w:val="top"/>
          </w:tcPr>
          <w:p>
            <w:pPr>
              <w:pStyle w:val="TableText"/>
              <w:spacing w:before="29" w:line="219" w:lineRule="auto"/>
              <w:jc w:val="right"/>
              <w:rPr/>
            </w:pPr>
            <w:r>
              <w:rPr>
                <w:spacing w:val="-15"/>
              </w:rPr>
              <w:t>埋深（</w:t>
            </w:r>
            <w:r>
              <w:rPr>
                <w:rFonts w:ascii="Times New Roman" w:hAnsi="Times New Roman" w:eastAsia="Times New Roman" w:cs="Times New Roman"/>
                <w:spacing w:val="-15"/>
              </w:rPr>
              <w:t>m</w:t>
            </w:r>
            <w:r>
              <w:rPr>
                <w:spacing w:val="-15"/>
              </w:rPr>
              <w:t>）</w:t>
            </w:r>
          </w:p>
        </w:tc>
        <w:tc>
          <w:tcPr>
            <w:tcW w:w="1272" w:type="dxa"/>
            <w:vAlign w:val="top"/>
          </w:tcPr>
          <w:p>
            <w:pPr>
              <w:pStyle w:val="TableText"/>
              <w:spacing w:before="29" w:line="219" w:lineRule="auto"/>
              <w:jc w:val="right"/>
              <w:rPr/>
            </w:pPr>
            <w:r>
              <w:rPr>
                <w:spacing w:val="-15"/>
              </w:rPr>
              <w:t>水位标高（</w:t>
            </w:r>
            <w:r>
              <w:rPr>
                <w:rFonts w:ascii="Times New Roman" w:hAnsi="Times New Roman" w:eastAsia="Times New Roman" w:cs="Times New Roman"/>
                <w:spacing w:val="-15"/>
              </w:rPr>
              <w:t>m</w:t>
            </w:r>
            <w:r>
              <w:rPr>
                <w:spacing w:val="-15"/>
              </w:rPr>
              <w:t>）</w:t>
            </w:r>
          </w:p>
        </w:tc>
        <w:tc>
          <w:tcPr>
            <w:tcW w:w="1308" w:type="dxa"/>
            <w:vAlign w:val="top"/>
            <w:vMerge w:val="continue"/>
            <w:tcBorders>
              <w:top w:val="nil"/>
            </w:tcBorders>
          </w:tcPr>
          <w:p>
            <w:pPr>
              <w:rPr>
                <w:rFonts w:ascii="Arial"/>
                <w:sz w:val="21"/>
              </w:rPr>
            </w:pPr>
            <w:r/>
          </w:p>
        </w:tc>
        <w:tc>
          <w:tcPr>
            <w:tcW w:w="1959" w:type="dxa"/>
            <w:vAlign w:val="top"/>
            <w:vMerge w:val="continue"/>
            <w:tcBorders>
              <w:top w:val="nil"/>
            </w:tcBorders>
          </w:tcPr>
          <w:p>
            <w:pPr>
              <w:rPr>
                <w:rFonts w:ascii="Arial"/>
                <w:sz w:val="21"/>
              </w:rPr>
            </w:pPr>
            <w:r/>
          </w:p>
        </w:tc>
        <w:tc>
          <w:tcPr>
            <w:tcW w:w="1189" w:type="dxa"/>
            <w:vAlign w:val="top"/>
            <w:vMerge w:val="continue"/>
            <w:tcBorders>
              <w:top w:val="nil"/>
            </w:tcBorders>
          </w:tcPr>
          <w:p>
            <w:pPr>
              <w:rPr>
                <w:rFonts w:ascii="Arial"/>
                <w:sz w:val="21"/>
              </w:rPr>
            </w:pPr>
            <w:r/>
          </w:p>
        </w:tc>
      </w:tr>
      <w:tr>
        <w:trPr>
          <w:trHeight w:val="277" w:hRule="atLeast"/>
        </w:trPr>
        <w:tc>
          <w:tcPr>
            <w:tcW w:w="472" w:type="dxa"/>
            <w:vAlign w:val="top"/>
          </w:tcPr>
          <w:p>
            <w:pPr>
              <w:ind w:left="81"/>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S01</w:t>
            </w:r>
          </w:p>
        </w:tc>
        <w:tc>
          <w:tcPr>
            <w:tcW w:w="1311" w:type="dxa"/>
            <w:vAlign w:val="top"/>
          </w:tcPr>
          <w:p>
            <w:pPr>
              <w:ind w:left="72"/>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114°58'24.62"</w:t>
            </w:r>
          </w:p>
        </w:tc>
        <w:tc>
          <w:tcPr>
            <w:tcW w:w="1284" w:type="dxa"/>
            <w:vAlign w:val="top"/>
          </w:tcPr>
          <w:p>
            <w:pPr>
              <w:ind w:left="91"/>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42°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17'49.01"</w:t>
            </w:r>
          </w:p>
        </w:tc>
        <w:tc>
          <w:tcPr>
            <w:tcW w:w="594" w:type="dxa"/>
            <w:vAlign w:val="top"/>
          </w:tcPr>
          <w:p>
            <w:pPr>
              <w:ind w:left="213"/>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902" w:type="dxa"/>
            <w:vAlign w:val="top"/>
          </w:tcPr>
          <w:p>
            <w:pPr>
              <w:ind w:left="130"/>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1328.96</w:t>
            </w:r>
          </w:p>
        </w:tc>
        <w:tc>
          <w:tcPr>
            <w:tcW w:w="977" w:type="dxa"/>
            <w:vAlign w:val="top"/>
          </w:tcPr>
          <w:p>
            <w:pPr>
              <w:ind w:left="309"/>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6.04</w:t>
            </w:r>
          </w:p>
        </w:tc>
        <w:tc>
          <w:tcPr>
            <w:tcW w:w="1322" w:type="dxa"/>
            <w:vAlign w:val="top"/>
          </w:tcPr>
          <w:p>
            <w:pPr>
              <w:ind w:left="341"/>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1322.92</w:t>
            </w:r>
          </w:p>
        </w:tc>
        <w:tc>
          <w:tcPr>
            <w:tcW w:w="902" w:type="dxa"/>
            <w:vAlign w:val="top"/>
          </w:tcPr>
          <w:p>
            <w:pPr>
              <w:ind w:left="273"/>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6.62</w:t>
            </w:r>
          </w:p>
        </w:tc>
        <w:tc>
          <w:tcPr>
            <w:tcW w:w="1272" w:type="dxa"/>
            <w:vAlign w:val="top"/>
          </w:tcPr>
          <w:p>
            <w:pPr>
              <w:ind w:left="316"/>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1322.34</w:t>
            </w:r>
          </w:p>
        </w:tc>
        <w:tc>
          <w:tcPr>
            <w:tcW w:w="1308" w:type="dxa"/>
            <w:vAlign w:val="top"/>
          </w:tcPr>
          <w:p>
            <w:pPr>
              <w:pStyle w:val="TableText"/>
              <w:ind w:left="242"/>
              <w:spacing w:before="31" w:line="217" w:lineRule="auto"/>
              <w:rPr/>
            </w:pPr>
            <w:r>
              <w:rPr>
                <w:spacing w:val="6"/>
              </w:rPr>
              <w:t>灌溉水井</w:t>
            </w:r>
          </w:p>
        </w:tc>
        <w:tc>
          <w:tcPr>
            <w:tcW w:w="1959" w:type="dxa"/>
            <w:vAlign w:val="top"/>
          </w:tcPr>
          <w:p>
            <w:pPr>
              <w:pStyle w:val="TableText"/>
              <w:ind w:left="147"/>
              <w:spacing w:before="31" w:line="217" w:lineRule="auto"/>
              <w:rPr/>
            </w:pPr>
            <w:r>
              <w:rPr>
                <w:spacing w:val="8"/>
              </w:rPr>
              <w:t>松散岩类孔隙潜水</w:t>
            </w:r>
          </w:p>
        </w:tc>
        <w:tc>
          <w:tcPr>
            <w:tcW w:w="1189" w:type="dxa"/>
            <w:vAlign w:val="top"/>
          </w:tcPr>
          <w:p>
            <w:pPr>
              <w:pStyle w:val="TableText"/>
              <w:ind w:left="76"/>
              <w:spacing w:before="31" w:line="217" w:lineRule="auto"/>
              <w:rPr/>
            </w:pPr>
            <w:r>
              <w:rPr>
                <w:spacing w:val="7"/>
              </w:rPr>
              <w:t>水质、水位</w:t>
            </w:r>
          </w:p>
        </w:tc>
      </w:tr>
      <w:tr>
        <w:trPr>
          <w:trHeight w:val="277" w:hRule="atLeast"/>
        </w:trPr>
        <w:tc>
          <w:tcPr>
            <w:tcW w:w="472" w:type="dxa"/>
            <w:vAlign w:val="top"/>
          </w:tcPr>
          <w:p>
            <w:pPr>
              <w:ind w:left="81"/>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S02</w:t>
            </w:r>
          </w:p>
        </w:tc>
        <w:tc>
          <w:tcPr>
            <w:tcW w:w="1311" w:type="dxa"/>
            <w:vAlign w:val="top"/>
          </w:tcPr>
          <w:p>
            <w:pPr>
              <w:ind w:left="7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114°58'22.34"</w:t>
            </w:r>
          </w:p>
        </w:tc>
        <w:tc>
          <w:tcPr>
            <w:tcW w:w="1284" w:type="dxa"/>
            <w:vAlign w:val="top"/>
          </w:tcPr>
          <w:p>
            <w:pPr>
              <w:ind w:left="91"/>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42°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17'44.18"</w:t>
            </w:r>
          </w:p>
        </w:tc>
        <w:tc>
          <w:tcPr>
            <w:tcW w:w="594" w:type="dxa"/>
            <w:vAlign w:val="top"/>
          </w:tcPr>
          <w:p>
            <w:pPr>
              <w:ind w:left="213"/>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902" w:type="dxa"/>
            <w:vAlign w:val="top"/>
          </w:tcPr>
          <w:p>
            <w:pPr>
              <w:ind w:left="183"/>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1326.9</w:t>
            </w:r>
          </w:p>
        </w:tc>
        <w:tc>
          <w:tcPr>
            <w:tcW w:w="977" w:type="dxa"/>
            <w:vAlign w:val="top"/>
          </w:tcPr>
          <w:p>
            <w:pPr>
              <w:ind w:left="30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4.61</w:t>
            </w:r>
          </w:p>
        </w:tc>
        <w:tc>
          <w:tcPr>
            <w:tcW w:w="1322" w:type="dxa"/>
            <w:vAlign w:val="top"/>
          </w:tcPr>
          <w:p>
            <w:pPr>
              <w:ind w:left="341"/>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1322.29</w:t>
            </w:r>
          </w:p>
        </w:tc>
        <w:tc>
          <w:tcPr>
            <w:tcW w:w="902" w:type="dxa"/>
            <w:vAlign w:val="top"/>
          </w:tcPr>
          <w:p>
            <w:pPr>
              <w:ind w:left="275"/>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5.22</w:t>
            </w:r>
          </w:p>
        </w:tc>
        <w:tc>
          <w:tcPr>
            <w:tcW w:w="1272" w:type="dxa"/>
            <w:vAlign w:val="top"/>
          </w:tcPr>
          <w:p>
            <w:pPr>
              <w:ind w:left="316"/>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1321.68</w:t>
            </w:r>
          </w:p>
        </w:tc>
        <w:tc>
          <w:tcPr>
            <w:tcW w:w="1308" w:type="dxa"/>
            <w:vAlign w:val="top"/>
          </w:tcPr>
          <w:p>
            <w:pPr>
              <w:pStyle w:val="TableText"/>
              <w:ind w:left="243"/>
              <w:spacing w:before="33" w:line="216" w:lineRule="auto"/>
              <w:rPr/>
            </w:pPr>
            <w:r>
              <w:rPr>
                <w:spacing w:val="6"/>
              </w:rPr>
              <w:t>企业水井</w:t>
            </w:r>
          </w:p>
        </w:tc>
        <w:tc>
          <w:tcPr>
            <w:tcW w:w="1959" w:type="dxa"/>
            <w:vAlign w:val="top"/>
          </w:tcPr>
          <w:p>
            <w:pPr>
              <w:pStyle w:val="TableText"/>
              <w:ind w:left="147"/>
              <w:spacing w:before="33" w:line="216" w:lineRule="auto"/>
              <w:rPr/>
            </w:pPr>
            <w:r>
              <w:rPr>
                <w:spacing w:val="8"/>
              </w:rPr>
              <w:t>松散岩类孔隙潜水</w:t>
            </w:r>
          </w:p>
        </w:tc>
        <w:tc>
          <w:tcPr>
            <w:tcW w:w="1189" w:type="dxa"/>
            <w:vAlign w:val="top"/>
          </w:tcPr>
          <w:p>
            <w:pPr>
              <w:pStyle w:val="TableText"/>
              <w:ind w:left="76"/>
              <w:spacing w:before="33" w:line="216" w:lineRule="auto"/>
              <w:rPr/>
            </w:pPr>
            <w:r>
              <w:rPr>
                <w:spacing w:val="7"/>
              </w:rPr>
              <w:t>水质、水位</w:t>
            </w:r>
          </w:p>
        </w:tc>
      </w:tr>
      <w:tr>
        <w:trPr>
          <w:trHeight w:val="277" w:hRule="atLeast"/>
        </w:trPr>
        <w:tc>
          <w:tcPr>
            <w:tcW w:w="472" w:type="dxa"/>
            <w:vAlign w:val="top"/>
          </w:tcPr>
          <w:p>
            <w:pPr>
              <w:ind w:left="81"/>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S03</w:t>
            </w:r>
          </w:p>
        </w:tc>
        <w:tc>
          <w:tcPr>
            <w:tcW w:w="1311" w:type="dxa"/>
            <w:vAlign w:val="top"/>
          </w:tcPr>
          <w:p>
            <w:pPr>
              <w:ind w:left="72"/>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114°58'01.03"</w:t>
            </w:r>
          </w:p>
        </w:tc>
        <w:tc>
          <w:tcPr>
            <w:tcW w:w="1284" w:type="dxa"/>
            <w:vAlign w:val="top"/>
          </w:tcPr>
          <w:p>
            <w:pPr>
              <w:ind w:left="91"/>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42°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17'47.32"</w:t>
            </w:r>
          </w:p>
        </w:tc>
        <w:tc>
          <w:tcPr>
            <w:tcW w:w="594" w:type="dxa"/>
            <w:vAlign w:val="top"/>
          </w:tcPr>
          <w:p>
            <w:pPr>
              <w:ind w:left="213"/>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902" w:type="dxa"/>
            <w:vAlign w:val="top"/>
          </w:tcPr>
          <w:p>
            <w:pPr>
              <w:ind w:left="130"/>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1327.33</w:t>
            </w:r>
          </w:p>
        </w:tc>
        <w:tc>
          <w:tcPr>
            <w:tcW w:w="977" w:type="dxa"/>
            <w:vAlign w:val="top"/>
          </w:tcPr>
          <w:p>
            <w:pPr>
              <w:ind w:left="362"/>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1322" w:type="dxa"/>
            <w:vAlign w:val="top"/>
          </w:tcPr>
          <w:p>
            <w:pPr>
              <w:ind w:left="341"/>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1321.23</w:t>
            </w:r>
          </w:p>
        </w:tc>
        <w:tc>
          <w:tcPr>
            <w:tcW w:w="902" w:type="dxa"/>
            <w:vAlign w:val="top"/>
          </w:tcPr>
          <w:p>
            <w:pPr>
              <w:ind w:left="273"/>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6.65</w:t>
            </w:r>
          </w:p>
        </w:tc>
        <w:tc>
          <w:tcPr>
            <w:tcW w:w="1272" w:type="dxa"/>
            <w:vAlign w:val="top"/>
          </w:tcPr>
          <w:p>
            <w:pPr>
              <w:ind w:left="316"/>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1320.68</w:t>
            </w:r>
          </w:p>
        </w:tc>
        <w:tc>
          <w:tcPr>
            <w:tcW w:w="1308" w:type="dxa"/>
            <w:vAlign w:val="top"/>
          </w:tcPr>
          <w:p>
            <w:pPr>
              <w:pStyle w:val="TableText"/>
              <w:ind w:left="242"/>
              <w:spacing w:before="31" w:line="217" w:lineRule="auto"/>
              <w:rPr/>
            </w:pPr>
            <w:r>
              <w:rPr>
                <w:spacing w:val="6"/>
              </w:rPr>
              <w:t>灌溉水井</w:t>
            </w:r>
          </w:p>
        </w:tc>
        <w:tc>
          <w:tcPr>
            <w:tcW w:w="1959" w:type="dxa"/>
            <w:vAlign w:val="top"/>
          </w:tcPr>
          <w:p>
            <w:pPr>
              <w:pStyle w:val="TableText"/>
              <w:ind w:left="147"/>
              <w:spacing w:before="31" w:line="217" w:lineRule="auto"/>
              <w:rPr/>
            </w:pPr>
            <w:r>
              <w:rPr>
                <w:spacing w:val="8"/>
              </w:rPr>
              <w:t>松散岩类孔隙潜水</w:t>
            </w:r>
          </w:p>
        </w:tc>
        <w:tc>
          <w:tcPr>
            <w:tcW w:w="1189" w:type="dxa"/>
            <w:vAlign w:val="top"/>
          </w:tcPr>
          <w:p>
            <w:pPr>
              <w:pStyle w:val="TableText"/>
              <w:ind w:left="76"/>
              <w:spacing w:before="31" w:line="217" w:lineRule="auto"/>
              <w:rPr/>
            </w:pPr>
            <w:r>
              <w:rPr>
                <w:spacing w:val="7"/>
              </w:rPr>
              <w:t>水质、水位</w:t>
            </w:r>
          </w:p>
        </w:tc>
      </w:tr>
      <w:tr>
        <w:trPr>
          <w:trHeight w:val="277" w:hRule="atLeast"/>
        </w:trPr>
        <w:tc>
          <w:tcPr>
            <w:tcW w:w="472" w:type="dxa"/>
            <w:vAlign w:val="top"/>
          </w:tcPr>
          <w:p>
            <w:pPr>
              <w:ind w:left="81"/>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S04</w:t>
            </w:r>
          </w:p>
        </w:tc>
        <w:tc>
          <w:tcPr>
            <w:tcW w:w="1311" w:type="dxa"/>
            <w:vAlign w:val="top"/>
          </w:tcPr>
          <w:p>
            <w:pPr>
              <w:ind w:left="7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114°57'56.79"</w:t>
            </w:r>
          </w:p>
        </w:tc>
        <w:tc>
          <w:tcPr>
            <w:tcW w:w="1284" w:type="dxa"/>
            <w:vAlign w:val="top"/>
          </w:tcPr>
          <w:p>
            <w:pPr>
              <w:ind w:left="91"/>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42°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17'47.07"</w:t>
            </w:r>
          </w:p>
        </w:tc>
        <w:tc>
          <w:tcPr>
            <w:tcW w:w="594" w:type="dxa"/>
            <w:vAlign w:val="top"/>
          </w:tcPr>
          <w:p>
            <w:pPr>
              <w:ind w:left="213"/>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902" w:type="dxa"/>
            <w:vAlign w:val="top"/>
          </w:tcPr>
          <w:p>
            <w:pPr>
              <w:ind w:left="130"/>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1326.26</w:t>
            </w:r>
          </w:p>
        </w:tc>
        <w:tc>
          <w:tcPr>
            <w:tcW w:w="977" w:type="dxa"/>
            <w:vAlign w:val="top"/>
          </w:tcPr>
          <w:p>
            <w:pPr>
              <w:ind w:left="310"/>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5.06</w:t>
            </w:r>
          </w:p>
        </w:tc>
        <w:tc>
          <w:tcPr>
            <w:tcW w:w="1322" w:type="dxa"/>
            <w:vAlign w:val="top"/>
          </w:tcPr>
          <w:p>
            <w:pPr>
              <w:ind w:left="39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1321.2</w:t>
            </w:r>
          </w:p>
        </w:tc>
        <w:tc>
          <w:tcPr>
            <w:tcW w:w="902" w:type="dxa"/>
            <w:vAlign w:val="top"/>
          </w:tcPr>
          <w:p>
            <w:pPr>
              <w:ind w:left="32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5.6</w:t>
            </w:r>
          </w:p>
        </w:tc>
        <w:tc>
          <w:tcPr>
            <w:tcW w:w="1272" w:type="dxa"/>
            <w:vAlign w:val="top"/>
          </w:tcPr>
          <w:p>
            <w:pPr>
              <w:ind w:left="316"/>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1320.66</w:t>
            </w:r>
          </w:p>
        </w:tc>
        <w:tc>
          <w:tcPr>
            <w:tcW w:w="1308" w:type="dxa"/>
            <w:vAlign w:val="top"/>
          </w:tcPr>
          <w:p>
            <w:pPr>
              <w:pStyle w:val="TableText"/>
              <w:ind w:left="242"/>
              <w:spacing w:before="33" w:line="216" w:lineRule="auto"/>
              <w:rPr/>
            </w:pPr>
            <w:r>
              <w:rPr>
                <w:spacing w:val="6"/>
              </w:rPr>
              <w:t>灌溉水井</w:t>
            </w:r>
          </w:p>
        </w:tc>
        <w:tc>
          <w:tcPr>
            <w:tcW w:w="1959" w:type="dxa"/>
            <w:vAlign w:val="top"/>
          </w:tcPr>
          <w:p>
            <w:pPr>
              <w:pStyle w:val="TableText"/>
              <w:ind w:left="147"/>
              <w:spacing w:before="33" w:line="216" w:lineRule="auto"/>
              <w:rPr/>
            </w:pPr>
            <w:r>
              <w:rPr>
                <w:spacing w:val="8"/>
              </w:rPr>
              <w:t>松散岩类孔隙潜水</w:t>
            </w:r>
          </w:p>
        </w:tc>
        <w:tc>
          <w:tcPr>
            <w:tcW w:w="1189" w:type="dxa"/>
            <w:vAlign w:val="top"/>
          </w:tcPr>
          <w:p>
            <w:pPr>
              <w:pStyle w:val="TableText"/>
              <w:ind w:left="393"/>
              <w:spacing w:before="33" w:line="216" w:lineRule="auto"/>
              <w:rPr/>
            </w:pPr>
            <w:r>
              <w:rPr>
                <w:spacing w:val="3"/>
              </w:rPr>
              <w:t>水位</w:t>
            </w:r>
          </w:p>
        </w:tc>
      </w:tr>
      <w:tr>
        <w:trPr>
          <w:trHeight w:val="277" w:hRule="atLeast"/>
        </w:trPr>
        <w:tc>
          <w:tcPr>
            <w:tcW w:w="472" w:type="dxa"/>
            <w:vAlign w:val="top"/>
          </w:tcPr>
          <w:p>
            <w:pPr>
              <w:ind w:left="8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S05</w:t>
            </w:r>
          </w:p>
        </w:tc>
        <w:tc>
          <w:tcPr>
            <w:tcW w:w="1311" w:type="dxa"/>
            <w:vAlign w:val="top"/>
          </w:tcPr>
          <w:p>
            <w:pPr>
              <w:ind w:left="7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114°57'36.50"</w:t>
            </w:r>
          </w:p>
        </w:tc>
        <w:tc>
          <w:tcPr>
            <w:tcW w:w="1284" w:type="dxa"/>
            <w:vAlign w:val="top"/>
          </w:tcPr>
          <w:p>
            <w:pPr>
              <w:ind w:left="9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42°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17'30.94"</w:t>
            </w:r>
          </w:p>
        </w:tc>
        <w:tc>
          <w:tcPr>
            <w:tcW w:w="594" w:type="dxa"/>
            <w:vAlign w:val="top"/>
          </w:tcPr>
          <w:p>
            <w:pPr>
              <w:ind w:left="21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902" w:type="dxa"/>
            <w:vAlign w:val="top"/>
          </w:tcPr>
          <w:p>
            <w:pPr>
              <w:ind w:left="13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1318.85</w:t>
            </w:r>
          </w:p>
        </w:tc>
        <w:tc>
          <w:tcPr>
            <w:tcW w:w="977" w:type="dxa"/>
            <w:vAlign w:val="top"/>
          </w:tcPr>
          <w:p>
            <w:pPr>
              <w:ind w:left="32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1.71</w:t>
            </w:r>
          </w:p>
        </w:tc>
        <w:tc>
          <w:tcPr>
            <w:tcW w:w="1322" w:type="dxa"/>
            <w:vAlign w:val="top"/>
          </w:tcPr>
          <w:p>
            <w:pPr>
              <w:ind w:left="34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1317.</w:t>
            </w:r>
            <w:r>
              <w:rPr>
                <w:rFonts w:ascii="Times New Roman" w:hAnsi="Times New Roman" w:eastAsia="Times New Roman" w:cs="Times New Roman"/>
                <w:sz w:val="20"/>
                <w:szCs w:val="20"/>
                <w:spacing w:val="-22"/>
              </w:rPr>
              <w:t xml:space="preserve"> </w:t>
            </w:r>
            <w:r>
              <w:rPr>
                <w:rFonts w:ascii="Times New Roman" w:hAnsi="Times New Roman" w:eastAsia="Times New Roman" w:cs="Times New Roman"/>
                <w:sz w:val="20"/>
                <w:szCs w:val="20"/>
                <w:spacing w:val="-3"/>
              </w:rPr>
              <w:t>14</w:t>
            </w:r>
          </w:p>
        </w:tc>
        <w:tc>
          <w:tcPr>
            <w:tcW w:w="902" w:type="dxa"/>
            <w:vAlign w:val="top"/>
          </w:tcPr>
          <w:p>
            <w:pPr>
              <w:ind w:left="32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2.2</w:t>
            </w:r>
          </w:p>
        </w:tc>
        <w:tc>
          <w:tcPr>
            <w:tcW w:w="1272" w:type="dxa"/>
            <w:vAlign w:val="top"/>
          </w:tcPr>
          <w:p>
            <w:pPr>
              <w:ind w:left="31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1316.65</w:t>
            </w:r>
          </w:p>
        </w:tc>
        <w:tc>
          <w:tcPr>
            <w:tcW w:w="1308" w:type="dxa"/>
            <w:vAlign w:val="top"/>
          </w:tcPr>
          <w:p>
            <w:pPr>
              <w:pStyle w:val="TableText"/>
              <w:ind w:left="242"/>
              <w:spacing w:before="34" w:line="215" w:lineRule="auto"/>
              <w:rPr/>
            </w:pPr>
            <w:r>
              <w:rPr>
                <w:spacing w:val="6"/>
              </w:rPr>
              <w:t>灌溉水井</w:t>
            </w:r>
          </w:p>
        </w:tc>
        <w:tc>
          <w:tcPr>
            <w:tcW w:w="1959" w:type="dxa"/>
            <w:vAlign w:val="top"/>
          </w:tcPr>
          <w:p>
            <w:pPr>
              <w:pStyle w:val="TableText"/>
              <w:ind w:left="147"/>
              <w:spacing w:before="34" w:line="215" w:lineRule="auto"/>
              <w:rPr/>
            </w:pPr>
            <w:r>
              <w:rPr>
                <w:spacing w:val="8"/>
              </w:rPr>
              <w:t>松散岩类孔隙潜水</w:t>
            </w:r>
          </w:p>
        </w:tc>
        <w:tc>
          <w:tcPr>
            <w:tcW w:w="1189" w:type="dxa"/>
            <w:vAlign w:val="top"/>
          </w:tcPr>
          <w:p>
            <w:pPr>
              <w:pStyle w:val="TableText"/>
              <w:ind w:left="76"/>
              <w:spacing w:before="34" w:line="215" w:lineRule="auto"/>
              <w:rPr/>
            </w:pPr>
            <w:r>
              <w:rPr>
                <w:spacing w:val="7"/>
              </w:rPr>
              <w:t>水质、水位</w:t>
            </w:r>
          </w:p>
        </w:tc>
      </w:tr>
      <w:tr>
        <w:trPr>
          <w:trHeight w:val="277" w:hRule="atLeast"/>
        </w:trPr>
        <w:tc>
          <w:tcPr>
            <w:tcW w:w="472" w:type="dxa"/>
            <w:vAlign w:val="top"/>
          </w:tcPr>
          <w:p>
            <w:pPr>
              <w:ind w:left="81"/>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S06</w:t>
            </w:r>
          </w:p>
        </w:tc>
        <w:tc>
          <w:tcPr>
            <w:tcW w:w="1311" w:type="dxa"/>
            <w:vAlign w:val="top"/>
          </w:tcPr>
          <w:p>
            <w:pPr>
              <w:ind w:left="7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114°57'04.93"</w:t>
            </w:r>
          </w:p>
        </w:tc>
        <w:tc>
          <w:tcPr>
            <w:tcW w:w="1284" w:type="dxa"/>
            <w:vAlign w:val="top"/>
          </w:tcPr>
          <w:p>
            <w:pPr>
              <w:ind w:left="91"/>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42°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17'27.00"</w:t>
            </w:r>
          </w:p>
        </w:tc>
        <w:tc>
          <w:tcPr>
            <w:tcW w:w="594" w:type="dxa"/>
            <w:vAlign w:val="top"/>
          </w:tcPr>
          <w:p>
            <w:pPr>
              <w:ind w:left="213"/>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902" w:type="dxa"/>
            <w:vAlign w:val="top"/>
          </w:tcPr>
          <w:p>
            <w:pPr>
              <w:ind w:left="130"/>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1319.55</w:t>
            </w:r>
          </w:p>
        </w:tc>
        <w:tc>
          <w:tcPr>
            <w:tcW w:w="977" w:type="dxa"/>
            <w:vAlign w:val="top"/>
          </w:tcPr>
          <w:p>
            <w:pPr>
              <w:ind w:left="30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4.44</w:t>
            </w:r>
          </w:p>
        </w:tc>
        <w:tc>
          <w:tcPr>
            <w:tcW w:w="1322" w:type="dxa"/>
            <w:vAlign w:val="top"/>
          </w:tcPr>
          <w:p>
            <w:pPr>
              <w:ind w:left="341"/>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1315.</w:t>
            </w:r>
            <w:r>
              <w:rPr>
                <w:rFonts w:ascii="Times New Roman" w:hAnsi="Times New Roman" w:eastAsia="Times New Roman" w:cs="Times New Roman"/>
                <w:sz w:val="20"/>
                <w:szCs w:val="20"/>
                <w:spacing w:val="-22"/>
              </w:rPr>
              <w:t xml:space="preserve"> </w:t>
            </w:r>
            <w:r>
              <w:rPr>
                <w:rFonts w:ascii="Times New Roman" w:hAnsi="Times New Roman" w:eastAsia="Times New Roman" w:cs="Times New Roman"/>
                <w:sz w:val="20"/>
                <w:szCs w:val="20"/>
                <w:spacing w:val="-3"/>
              </w:rPr>
              <w:t>11</w:t>
            </w:r>
          </w:p>
        </w:tc>
        <w:tc>
          <w:tcPr>
            <w:tcW w:w="902" w:type="dxa"/>
            <w:vAlign w:val="top"/>
          </w:tcPr>
          <w:p>
            <w:pPr>
              <w:ind w:left="275"/>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5.07</w:t>
            </w:r>
          </w:p>
        </w:tc>
        <w:tc>
          <w:tcPr>
            <w:tcW w:w="1272" w:type="dxa"/>
            <w:vAlign w:val="top"/>
          </w:tcPr>
          <w:p>
            <w:pPr>
              <w:ind w:left="316"/>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1314.48</w:t>
            </w:r>
          </w:p>
        </w:tc>
        <w:tc>
          <w:tcPr>
            <w:tcW w:w="1308" w:type="dxa"/>
            <w:vAlign w:val="top"/>
          </w:tcPr>
          <w:p>
            <w:pPr>
              <w:pStyle w:val="TableText"/>
              <w:ind w:left="242"/>
              <w:spacing w:before="33" w:line="216" w:lineRule="auto"/>
              <w:rPr/>
            </w:pPr>
            <w:r>
              <w:rPr>
                <w:spacing w:val="6"/>
              </w:rPr>
              <w:t>灌溉水井</w:t>
            </w:r>
          </w:p>
        </w:tc>
        <w:tc>
          <w:tcPr>
            <w:tcW w:w="1959" w:type="dxa"/>
            <w:vAlign w:val="top"/>
          </w:tcPr>
          <w:p>
            <w:pPr>
              <w:pStyle w:val="TableText"/>
              <w:ind w:left="147"/>
              <w:spacing w:before="33" w:line="216" w:lineRule="auto"/>
              <w:rPr/>
            </w:pPr>
            <w:r>
              <w:rPr>
                <w:spacing w:val="8"/>
              </w:rPr>
              <w:t>松散岩类孔隙潜水</w:t>
            </w:r>
          </w:p>
        </w:tc>
        <w:tc>
          <w:tcPr>
            <w:tcW w:w="1189" w:type="dxa"/>
            <w:vAlign w:val="top"/>
          </w:tcPr>
          <w:p>
            <w:pPr>
              <w:pStyle w:val="TableText"/>
              <w:ind w:left="393"/>
              <w:spacing w:before="33" w:line="216" w:lineRule="auto"/>
              <w:rPr/>
            </w:pPr>
            <w:r>
              <w:rPr>
                <w:spacing w:val="3"/>
              </w:rPr>
              <w:t>水位</w:t>
            </w:r>
          </w:p>
        </w:tc>
      </w:tr>
      <w:tr>
        <w:trPr>
          <w:trHeight w:val="277" w:hRule="atLeast"/>
        </w:trPr>
        <w:tc>
          <w:tcPr>
            <w:tcW w:w="472" w:type="dxa"/>
            <w:vAlign w:val="top"/>
          </w:tcPr>
          <w:p>
            <w:pPr>
              <w:ind w:left="8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S07</w:t>
            </w:r>
          </w:p>
        </w:tc>
        <w:tc>
          <w:tcPr>
            <w:tcW w:w="1311" w:type="dxa"/>
            <w:vAlign w:val="top"/>
          </w:tcPr>
          <w:p>
            <w:pPr>
              <w:ind w:left="7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114°56'40.65"</w:t>
            </w:r>
          </w:p>
        </w:tc>
        <w:tc>
          <w:tcPr>
            <w:tcW w:w="1284" w:type="dxa"/>
            <w:vAlign w:val="top"/>
          </w:tcPr>
          <w:p>
            <w:pPr>
              <w:ind w:left="9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42°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17'31.48"</w:t>
            </w:r>
          </w:p>
        </w:tc>
        <w:tc>
          <w:tcPr>
            <w:tcW w:w="594" w:type="dxa"/>
            <w:vAlign w:val="top"/>
          </w:tcPr>
          <w:p>
            <w:pPr>
              <w:ind w:left="21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18</w:t>
            </w:r>
          </w:p>
        </w:tc>
        <w:tc>
          <w:tcPr>
            <w:tcW w:w="902" w:type="dxa"/>
            <w:vAlign w:val="top"/>
          </w:tcPr>
          <w:p>
            <w:pPr>
              <w:ind w:left="13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1321.56</w:t>
            </w:r>
          </w:p>
        </w:tc>
        <w:tc>
          <w:tcPr>
            <w:tcW w:w="977" w:type="dxa"/>
            <w:vAlign w:val="top"/>
          </w:tcPr>
          <w:p>
            <w:pPr>
              <w:ind w:left="30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9.18</w:t>
            </w:r>
          </w:p>
        </w:tc>
        <w:tc>
          <w:tcPr>
            <w:tcW w:w="1322" w:type="dxa"/>
            <w:vAlign w:val="top"/>
          </w:tcPr>
          <w:p>
            <w:pPr>
              <w:ind w:left="34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1312.38</w:t>
            </w:r>
          </w:p>
        </w:tc>
        <w:tc>
          <w:tcPr>
            <w:tcW w:w="902" w:type="dxa"/>
            <w:vAlign w:val="top"/>
          </w:tcPr>
          <w:p>
            <w:pPr>
              <w:ind w:left="27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9.65</w:t>
            </w:r>
          </w:p>
        </w:tc>
        <w:tc>
          <w:tcPr>
            <w:tcW w:w="1272" w:type="dxa"/>
            <w:vAlign w:val="top"/>
          </w:tcPr>
          <w:p>
            <w:pPr>
              <w:ind w:left="31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1311.91</w:t>
            </w:r>
          </w:p>
        </w:tc>
        <w:tc>
          <w:tcPr>
            <w:tcW w:w="1308" w:type="dxa"/>
            <w:vAlign w:val="top"/>
          </w:tcPr>
          <w:p>
            <w:pPr>
              <w:pStyle w:val="TableText"/>
              <w:ind w:left="30"/>
              <w:spacing w:before="34" w:line="215" w:lineRule="auto"/>
              <w:rPr/>
            </w:pPr>
            <w:r>
              <w:rPr>
                <w:spacing w:val="7"/>
              </w:rPr>
              <w:t>生活饮用水井</w:t>
            </w:r>
          </w:p>
        </w:tc>
        <w:tc>
          <w:tcPr>
            <w:tcW w:w="1959" w:type="dxa"/>
            <w:vAlign w:val="top"/>
          </w:tcPr>
          <w:p>
            <w:pPr>
              <w:pStyle w:val="TableText"/>
              <w:ind w:left="147"/>
              <w:spacing w:before="34" w:line="215" w:lineRule="auto"/>
              <w:rPr/>
            </w:pPr>
            <w:r>
              <w:rPr>
                <w:spacing w:val="8"/>
              </w:rPr>
              <w:t>松散岩类孔隙潜水</w:t>
            </w:r>
          </w:p>
        </w:tc>
        <w:tc>
          <w:tcPr>
            <w:tcW w:w="1189" w:type="dxa"/>
            <w:vAlign w:val="top"/>
          </w:tcPr>
          <w:p>
            <w:pPr>
              <w:pStyle w:val="TableText"/>
              <w:ind w:left="76"/>
              <w:spacing w:before="34" w:line="215" w:lineRule="auto"/>
              <w:rPr/>
            </w:pPr>
            <w:r>
              <w:rPr>
                <w:spacing w:val="7"/>
              </w:rPr>
              <w:t>水质、水位</w:t>
            </w:r>
          </w:p>
        </w:tc>
      </w:tr>
      <w:tr>
        <w:trPr>
          <w:trHeight w:val="277" w:hRule="atLeast"/>
        </w:trPr>
        <w:tc>
          <w:tcPr>
            <w:tcW w:w="472" w:type="dxa"/>
            <w:vAlign w:val="top"/>
          </w:tcPr>
          <w:p>
            <w:pPr>
              <w:ind w:left="81"/>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S08</w:t>
            </w:r>
          </w:p>
        </w:tc>
        <w:tc>
          <w:tcPr>
            <w:tcW w:w="1311" w:type="dxa"/>
            <w:vAlign w:val="top"/>
          </w:tcPr>
          <w:p>
            <w:pPr>
              <w:ind w:left="7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114°58'30.93"</w:t>
            </w:r>
          </w:p>
        </w:tc>
        <w:tc>
          <w:tcPr>
            <w:tcW w:w="1284" w:type="dxa"/>
            <w:vAlign w:val="top"/>
          </w:tcPr>
          <w:p>
            <w:pPr>
              <w:ind w:left="91"/>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42°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17'41.44"</w:t>
            </w:r>
          </w:p>
        </w:tc>
        <w:tc>
          <w:tcPr>
            <w:tcW w:w="594" w:type="dxa"/>
            <w:vAlign w:val="top"/>
          </w:tcPr>
          <w:p>
            <w:pPr>
              <w:ind w:left="25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902" w:type="dxa"/>
            <w:vAlign w:val="top"/>
          </w:tcPr>
          <w:p>
            <w:pPr>
              <w:ind w:left="13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1326.06</w:t>
            </w:r>
          </w:p>
        </w:tc>
        <w:tc>
          <w:tcPr>
            <w:tcW w:w="977" w:type="dxa"/>
            <w:vAlign w:val="top"/>
          </w:tcPr>
          <w:p>
            <w:pPr>
              <w:ind w:left="30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3"/>
              </w:rPr>
              <w:t>14</w:t>
            </w:r>
          </w:p>
        </w:tc>
        <w:tc>
          <w:tcPr>
            <w:tcW w:w="1322" w:type="dxa"/>
            <w:vAlign w:val="top"/>
          </w:tcPr>
          <w:p>
            <w:pPr>
              <w:ind w:left="341"/>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1323.92</w:t>
            </w:r>
          </w:p>
        </w:tc>
        <w:tc>
          <w:tcPr>
            <w:tcW w:w="902" w:type="dxa"/>
            <w:vAlign w:val="top"/>
          </w:tcPr>
          <w:p>
            <w:pPr>
              <w:ind w:left="26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2.69</w:t>
            </w:r>
          </w:p>
        </w:tc>
        <w:tc>
          <w:tcPr>
            <w:tcW w:w="1272" w:type="dxa"/>
            <w:vAlign w:val="top"/>
          </w:tcPr>
          <w:p>
            <w:pPr>
              <w:ind w:left="31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1323.37</w:t>
            </w:r>
          </w:p>
        </w:tc>
        <w:tc>
          <w:tcPr>
            <w:tcW w:w="1308" w:type="dxa"/>
            <w:vAlign w:val="top"/>
          </w:tcPr>
          <w:p>
            <w:pPr>
              <w:pStyle w:val="TableText"/>
              <w:ind w:left="242"/>
              <w:spacing w:before="35" w:line="214" w:lineRule="auto"/>
              <w:rPr/>
            </w:pPr>
            <w:r>
              <w:rPr>
                <w:spacing w:val="6"/>
              </w:rPr>
              <w:t>灌溉水井</w:t>
            </w:r>
          </w:p>
        </w:tc>
        <w:tc>
          <w:tcPr>
            <w:tcW w:w="1959" w:type="dxa"/>
            <w:vAlign w:val="top"/>
          </w:tcPr>
          <w:p>
            <w:pPr>
              <w:pStyle w:val="TableText"/>
              <w:ind w:left="147"/>
              <w:spacing w:before="35" w:line="214" w:lineRule="auto"/>
              <w:rPr/>
            </w:pPr>
            <w:r>
              <w:rPr>
                <w:spacing w:val="8"/>
              </w:rPr>
              <w:t>松散岩类孔隙潜水</w:t>
            </w:r>
          </w:p>
        </w:tc>
        <w:tc>
          <w:tcPr>
            <w:tcW w:w="1189" w:type="dxa"/>
            <w:vAlign w:val="top"/>
          </w:tcPr>
          <w:p>
            <w:pPr>
              <w:pStyle w:val="TableText"/>
              <w:ind w:left="393"/>
              <w:spacing w:before="35" w:line="214" w:lineRule="auto"/>
              <w:rPr/>
            </w:pPr>
            <w:r>
              <w:rPr>
                <w:spacing w:val="3"/>
              </w:rPr>
              <w:t>水位</w:t>
            </w:r>
          </w:p>
        </w:tc>
      </w:tr>
      <w:tr>
        <w:trPr>
          <w:trHeight w:val="277" w:hRule="atLeast"/>
        </w:trPr>
        <w:tc>
          <w:tcPr>
            <w:tcW w:w="472" w:type="dxa"/>
            <w:vAlign w:val="top"/>
          </w:tcPr>
          <w:p>
            <w:pPr>
              <w:ind w:left="8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S09</w:t>
            </w:r>
          </w:p>
        </w:tc>
        <w:tc>
          <w:tcPr>
            <w:tcW w:w="1311" w:type="dxa"/>
            <w:vAlign w:val="top"/>
          </w:tcPr>
          <w:p>
            <w:pPr>
              <w:ind w:left="7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114°58'</w:t>
            </w:r>
            <w:r>
              <w:rPr>
                <w:rFonts w:ascii="Times New Roman" w:hAnsi="Times New Roman" w:eastAsia="Times New Roman" w:cs="Times New Roman"/>
                <w:sz w:val="20"/>
                <w:szCs w:val="20"/>
                <w:spacing w:val="-19"/>
              </w:rPr>
              <w:t xml:space="preserve"> </w:t>
            </w:r>
            <w:r>
              <w:rPr>
                <w:rFonts w:ascii="Times New Roman" w:hAnsi="Times New Roman" w:eastAsia="Times New Roman" w:cs="Times New Roman"/>
                <w:sz w:val="20"/>
                <w:szCs w:val="20"/>
                <w:spacing w:val="-2"/>
              </w:rPr>
              <w:t>19.</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11"</w:t>
            </w:r>
          </w:p>
        </w:tc>
        <w:tc>
          <w:tcPr>
            <w:tcW w:w="1284" w:type="dxa"/>
            <w:vAlign w:val="top"/>
          </w:tcPr>
          <w:p>
            <w:pPr>
              <w:ind w:left="9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42°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17'32.02"</w:t>
            </w:r>
          </w:p>
        </w:tc>
        <w:tc>
          <w:tcPr>
            <w:tcW w:w="594" w:type="dxa"/>
            <w:vAlign w:val="top"/>
          </w:tcPr>
          <w:p>
            <w:pPr>
              <w:ind w:left="21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902" w:type="dxa"/>
            <w:vAlign w:val="top"/>
          </w:tcPr>
          <w:p>
            <w:pPr>
              <w:ind w:left="13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1325.49</w:t>
            </w:r>
          </w:p>
        </w:tc>
        <w:tc>
          <w:tcPr>
            <w:tcW w:w="977" w:type="dxa"/>
            <w:vAlign w:val="top"/>
          </w:tcPr>
          <w:p>
            <w:pPr>
              <w:ind w:left="30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3.77</w:t>
            </w:r>
          </w:p>
        </w:tc>
        <w:tc>
          <w:tcPr>
            <w:tcW w:w="1322" w:type="dxa"/>
            <w:vAlign w:val="top"/>
          </w:tcPr>
          <w:p>
            <w:pPr>
              <w:ind w:left="34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1321.72</w:t>
            </w:r>
          </w:p>
        </w:tc>
        <w:tc>
          <w:tcPr>
            <w:tcW w:w="902" w:type="dxa"/>
            <w:vAlign w:val="top"/>
          </w:tcPr>
          <w:p>
            <w:pPr>
              <w:ind w:left="26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4.22</w:t>
            </w:r>
          </w:p>
        </w:tc>
        <w:tc>
          <w:tcPr>
            <w:tcW w:w="1272" w:type="dxa"/>
            <w:vAlign w:val="top"/>
          </w:tcPr>
          <w:p>
            <w:pPr>
              <w:ind w:left="31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1321.27</w:t>
            </w:r>
          </w:p>
        </w:tc>
        <w:tc>
          <w:tcPr>
            <w:tcW w:w="1308" w:type="dxa"/>
            <w:vAlign w:val="top"/>
          </w:tcPr>
          <w:p>
            <w:pPr>
              <w:pStyle w:val="TableText"/>
              <w:ind w:left="30"/>
              <w:spacing w:before="34" w:line="215" w:lineRule="auto"/>
              <w:rPr/>
            </w:pPr>
            <w:r>
              <w:rPr>
                <w:spacing w:val="7"/>
              </w:rPr>
              <w:t>生活饮用水井</w:t>
            </w:r>
          </w:p>
        </w:tc>
        <w:tc>
          <w:tcPr>
            <w:tcW w:w="1959" w:type="dxa"/>
            <w:vAlign w:val="top"/>
          </w:tcPr>
          <w:p>
            <w:pPr>
              <w:pStyle w:val="TableText"/>
              <w:ind w:left="147"/>
              <w:spacing w:before="34" w:line="215" w:lineRule="auto"/>
              <w:rPr/>
            </w:pPr>
            <w:r>
              <w:rPr>
                <w:spacing w:val="8"/>
              </w:rPr>
              <w:t>松散岩类孔隙潜水</w:t>
            </w:r>
          </w:p>
        </w:tc>
        <w:tc>
          <w:tcPr>
            <w:tcW w:w="1189" w:type="dxa"/>
            <w:vAlign w:val="top"/>
          </w:tcPr>
          <w:p>
            <w:pPr>
              <w:pStyle w:val="TableText"/>
              <w:ind w:left="393"/>
              <w:spacing w:before="34" w:line="215" w:lineRule="auto"/>
              <w:rPr/>
            </w:pPr>
            <w:r>
              <w:rPr>
                <w:spacing w:val="3"/>
              </w:rPr>
              <w:t>水位</w:t>
            </w:r>
          </w:p>
        </w:tc>
      </w:tr>
      <w:tr>
        <w:trPr>
          <w:trHeight w:val="277" w:hRule="atLeast"/>
        </w:trPr>
        <w:tc>
          <w:tcPr>
            <w:tcW w:w="472" w:type="dxa"/>
            <w:vAlign w:val="top"/>
          </w:tcPr>
          <w:p>
            <w:pPr>
              <w:ind w:left="81"/>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S10</w:t>
            </w:r>
          </w:p>
        </w:tc>
        <w:tc>
          <w:tcPr>
            <w:tcW w:w="1311" w:type="dxa"/>
            <w:vAlign w:val="top"/>
          </w:tcPr>
          <w:p>
            <w:pPr>
              <w:ind w:left="7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114°57'38.33"</w:t>
            </w:r>
          </w:p>
        </w:tc>
        <w:tc>
          <w:tcPr>
            <w:tcW w:w="1284" w:type="dxa"/>
            <w:vAlign w:val="top"/>
          </w:tcPr>
          <w:p>
            <w:pPr>
              <w:ind w:left="91"/>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42°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17'52.04"</w:t>
            </w:r>
          </w:p>
        </w:tc>
        <w:tc>
          <w:tcPr>
            <w:tcW w:w="594" w:type="dxa"/>
            <w:vAlign w:val="top"/>
          </w:tcPr>
          <w:p>
            <w:pPr>
              <w:ind w:left="21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902" w:type="dxa"/>
            <w:vAlign w:val="top"/>
          </w:tcPr>
          <w:p>
            <w:pPr>
              <w:ind w:left="13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1329.97</w:t>
            </w:r>
          </w:p>
        </w:tc>
        <w:tc>
          <w:tcPr>
            <w:tcW w:w="977" w:type="dxa"/>
            <w:vAlign w:val="top"/>
          </w:tcPr>
          <w:p>
            <w:pPr>
              <w:ind w:left="36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6.7</w:t>
            </w:r>
          </w:p>
        </w:tc>
        <w:tc>
          <w:tcPr>
            <w:tcW w:w="1322" w:type="dxa"/>
            <w:vAlign w:val="top"/>
          </w:tcPr>
          <w:p>
            <w:pPr>
              <w:ind w:left="341"/>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1323.27</w:t>
            </w:r>
          </w:p>
        </w:tc>
        <w:tc>
          <w:tcPr>
            <w:tcW w:w="902" w:type="dxa"/>
            <w:vAlign w:val="top"/>
          </w:tcPr>
          <w:p>
            <w:pPr>
              <w:ind w:left="27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7.33</w:t>
            </w:r>
          </w:p>
        </w:tc>
        <w:tc>
          <w:tcPr>
            <w:tcW w:w="1272" w:type="dxa"/>
            <w:vAlign w:val="top"/>
          </w:tcPr>
          <w:p>
            <w:pPr>
              <w:ind w:left="31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1322.64</w:t>
            </w:r>
          </w:p>
        </w:tc>
        <w:tc>
          <w:tcPr>
            <w:tcW w:w="1308" w:type="dxa"/>
            <w:vAlign w:val="top"/>
          </w:tcPr>
          <w:p>
            <w:pPr>
              <w:pStyle w:val="TableText"/>
              <w:ind w:left="242"/>
              <w:spacing w:before="35" w:line="214" w:lineRule="auto"/>
              <w:rPr/>
            </w:pPr>
            <w:r>
              <w:rPr>
                <w:spacing w:val="6"/>
              </w:rPr>
              <w:t>灌溉水井</w:t>
            </w:r>
          </w:p>
        </w:tc>
        <w:tc>
          <w:tcPr>
            <w:tcW w:w="1959" w:type="dxa"/>
            <w:vAlign w:val="top"/>
          </w:tcPr>
          <w:p>
            <w:pPr>
              <w:pStyle w:val="TableText"/>
              <w:ind w:left="147"/>
              <w:spacing w:before="35" w:line="214" w:lineRule="auto"/>
              <w:rPr/>
            </w:pPr>
            <w:r>
              <w:rPr>
                <w:spacing w:val="8"/>
              </w:rPr>
              <w:t>松散岩类孔隙潜水</w:t>
            </w:r>
          </w:p>
        </w:tc>
        <w:tc>
          <w:tcPr>
            <w:tcW w:w="1189" w:type="dxa"/>
            <w:vAlign w:val="top"/>
          </w:tcPr>
          <w:p>
            <w:pPr>
              <w:pStyle w:val="TableText"/>
              <w:ind w:left="393"/>
              <w:spacing w:before="35" w:line="214" w:lineRule="auto"/>
              <w:rPr/>
            </w:pPr>
            <w:r>
              <w:rPr>
                <w:spacing w:val="3"/>
              </w:rPr>
              <w:t>水位</w:t>
            </w:r>
          </w:p>
        </w:tc>
      </w:tr>
      <w:tr>
        <w:trPr>
          <w:trHeight w:val="277" w:hRule="atLeast"/>
        </w:trPr>
        <w:tc>
          <w:tcPr>
            <w:tcW w:w="472" w:type="dxa"/>
            <w:vAlign w:val="top"/>
          </w:tcPr>
          <w:p>
            <w:pPr>
              <w:ind w:left="81"/>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S11</w:t>
            </w:r>
          </w:p>
        </w:tc>
        <w:tc>
          <w:tcPr>
            <w:tcW w:w="1311" w:type="dxa"/>
            <w:vAlign w:val="top"/>
          </w:tcPr>
          <w:p>
            <w:pPr>
              <w:ind w:left="72"/>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114°57'34.25"</w:t>
            </w:r>
          </w:p>
        </w:tc>
        <w:tc>
          <w:tcPr>
            <w:tcW w:w="1284" w:type="dxa"/>
            <w:vAlign w:val="top"/>
          </w:tcPr>
          <w:p>
            <w:pPr>
              <w:ind w:left="91"/>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42°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rPr>
              <w:t>17'</w:t>
            </w:r>
            <w:r>
              <w:rPr>
                <w:rFonts w:ascii="Times New Roman" w:hAnsi="Times New Roman" w:eastAsia="Times New Roman" w:cs="Times New Roman"/>
                <w:sz w:val="20"/>
                <w:szCs w:val="20"/>
                <w:spacing w:val="-27"/>
              </w:rPr>
              <w:t xml:space="preserve"> </w:t>
            </w:r>
            <w:r>
              <w:rPr>
                <w:rFonts w:ascii="Times New Roman" w:hAnsi="Times New Roman" w:eastAsia="Times New Roman" w:cs="Times New Roman"/>
                <w:sz w:val="20"/>
                <w:szCs w:val="20"/>
              </w:rPr>
              <w:t>12.10"</w:t>
            </w:r>
          </w:p>
        </w:tc>
        <w:tc>
          <w:tcPr>
            <w:tcW w:w="594" w:type="dxa"/>
            <w:vAlign w:val="top"/>
          </w:tcPr>
          <w:p>
            <w:pPr>
              <w:ind w:left="193"/>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902" w:type="dxa"/>
            <w:vAlign w:val="top"/>
          </w:tcPr>
          <w:p>
            <w:pPr>
              <w:ind w:left="130"/>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1332.34</w:t>
            </w:r>
          </w:p>
        </w:tc>
        <w:tc>
          <w:tcPr>
            <w:tcW w:w="977" w:type="dxa"/>
            <w:vAlign w:val="top"/>
          </w:tcPr>
          <w:p>
            <w:pPr>
              <w:ind w:left="272"/>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17.</w:t>
            </w:r>
            <w:r>
              <w:rPr>
                <w:rFonts w:ascii="Times New Roman" w:hAnsi="Times New Roman" w:eastAsia="Times New Roman" w:cs="Times New Roman"/>
                <w:sz w:val="20"/>
                <w:szCs w:val="20"/>
                <w:spacing w:val="-22"/>
              </w:rPr>
              <w:t xml:space="preserve"> </w:t>
            </w:r>
            <w:r>
              <w:rPr>
                <w:rFonts w:ascii="Times New Roman" w:hAnsi="Times New Roman" w:eastAsia="Times New Roman" w:cs="Times New Roman"/>
                <w:sz w:val="20"/>
                <w:szCs w:val="20"/>
                <w:spacing w:val="-6"/>
              </w:rPr>
              <w:t>11</w:t>
            </w:r>
          </w:p>
        </w:tc>
        <w:tc>
          <w:tcPr>
            <w:tcW w:w="1322" w:type="dxa"/>
            <w:vAlign w:val="top"/>
          </w:tcPr>
          <w:p>
            <w:pPr>
              <w:ind w:left="341"/>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1315.23</w:t>
            </w:r>
          </w:p>
        </w:tc>
        <w:tc>
          <w:tcPr>
            <w:tcW w:w="902" w:type="dxa"/>
            <w:vAlign w:val="top"/>
          </w:tcPr>
          <w:p>
            <w:pPr>
              <w:ind w:left="236"/>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17.63</w:t>
            </w:r>
          </w:p>
        </w:tc>
        <w:tc>
          <w:tcPr>
            <w:tcW w:w="1272" w:type="dxa"/>
            <w:vAlign w:val="top"/>
          </w:tcPr>
          <w:p>
            <w:pPr>
              <w:ind w:left="316"/>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1314.71</w:t>
            </w:r>
          </w:p>
        </w:tc>
        <w:tc>
          <w:tcPr>
            <w:tcW w:w="1308" w:type="dxa"/>
            <w:vAlign w:val="top"/>
          </w:tcPr>
          <w:p>
            <w:pPr>
              <w:pStyle w:val="TableText"/>
              <w:ind w:left="242"/>
              <w:spacing w:before="36" w:line="213" w:lineRule="auto"/>
              <w:rPr/>
            </w:pPr>
            <w:r>
              <w:rPr>
                <w:spacing w:val="6"/>
              </w:rPr>
              <w:t>灌溉水井</w:t>
            </w:r>
          </w:p>
        </w:tc>
        <w:tc>
          <w:tcPr>
            <w:tcW w:w="1959" w:type="dxa"/>
            <w:vAlign w:val="top"/>
          </w:tcPr>
          <w:p>
            <w:pPr>
              <w:pStyle w:val="TableText"/>
              <w:ind w:left="147"/>
              <w:spacing w:before="36" w:line="213" w:lineRule="auto"/>
              <w:rPr/>
            </w:pPr>
            <w:r>
              <w:rPr>
                <w:spacing w:val="8"/>
              </w:rPr>
              <w:t>松散岩类孔隙潜水</w:t>
            </w:r>
          </w:p>
        </w:tc>
        <w:tc>
          <w:tcPr>
            <w:tcW w:w="1189" w:type="dxa"/>
            <w:vAlign w:val="top"/>
          </w:tcPr>
          <w:p>
            <w:pPr>
              <w:pStyle w:val="TableText"/>
              <w:ind w:left="393"/>
              <w:spacing w:before="36" w:line="213" w:lineRule="auto"/>
              <w:rPr/>
            </w:pPr>
            <w:r>
              <w:rPr>
                <w:spacing w:val="3"/>
              </w:rPr>
              <w:t>水位</w:t>
            </w:r>
          </w:p>
        </w:tc>
      </w:tr>
      <w:tr>
        <w:trPr>
          <w:trHeight w:val="277" w:hRule="atLeast"/>
        </w:trPr>
        <w:tc>
          <w:tcPr>
            <w:tcW w:w="472" w:type="dxa"/>
            <w:vAlign w:val="top"/>
          </w:tcPr>
          <w:p>
            <w:pPr>
              <w:ind w:left="81"/>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S12</w:t>
            </w:r>
          </w:p>
        </w:tc>
        <w:tc>
          <w:tcPr>
            <w:tcW w:w="1311" w:type="dxa"/>
            <w:vAlign w:val="top"/>
          </w:tcPr>
          <w:p>
            <w:pPr>
              <w:ind w:left="7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114°56'45.15"</w:t>
            </w:r>
          </w:p>
        </w:tc>
        <w:tc>
          <w:tcPr>
            <w:tcW w:w="1284" w:type="dxa"/>
            <w:vAlign w:val="top"/>
          </w:tcPr>
          <w:p>
            <w:pPr>
              <w:ind w:left="91"/>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42°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rPr>
              <w:t>17'</w:t>
            </w:r>
            <w:r>
              <w:rPr>
                <w:rFonts w:ascii="Times New Roman" w:hAnsi="Times New Roman" w:eastAsia="Times New Roman" w:cs="Times New Roman"/>
                <w:sz w:val="20"/>
                <w:szCs w:val="20"/>
                <w:spacing w:val="-27"/>
              </w:rPr>
              <w:t xml:space="preserve"> </w:t>
            </w:r>
            <w:r>
              <w:rPr>
                <w:rFonts w:ascii="Times New Roman" w:hAnsi="Times New Roman" w:eastAsia="Times New Roman" w:cs="Times New Roman"/>
                <w:sz w:val="20"/>
                <w:szCs w:val="20"/>
              </w:rPr>
              <w:t>10.92"</w:t>
            </w:r>
          </w:p>
        </w:tc>
        <w:tc>
          <w:tcPr>
            <w:tcW w:w="594" w:type="dxa"/>
            <w:vAlign w:val="top"/>
          </w:tcPr>
          <w:p>
            <w:pPr>
              <w:ind w:left="24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902" w:type="dxa"/>
            <w:vAlign w:val="top"/>
          </w:tcPr>
          <w:p>
            <w:pPr>
              <w:ind w:left="13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1311.91</w:t>
            </w:r>
          </w:p>
        </w:tc>
        <w:tc>
          <w:tcPr>
            <w:tcW w:w="977" w:type="dxa"/>
            <w:vAlign w:val="top"/>
          </w:tcPr>
          <w:p>
            <w:pPr>
              <w:ind w:left="30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3.09</w:t>
            </w:r>
          </w:p>
        </w:tc>
        <w:tc>
          <w:tcPr>
            <w:tcW w:w="1322" w:type="dxa"/>
            <w:vAlign w:val="top"/>
          </w:tcPr>
          <w:p>
            <w:pPr>
              <w:ind w:left="341"/>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1308.82</w:t>
            </w:r>
          </w:p>
        </w:tc>
        <w:tc>
          <w:tcPr>
            <w:tcW w:w="902" w:type="dxa"/>
            <w:vAlign w:val="top"/>
          </w:tcPr>
          <w:p>
            <w:pPr>
              <w:ind w:left="27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3.58</w:t>
            </w:r>
          </w:p>
        </w:tc>
        <w:tc>
          <w:tcPr>
            <w:tcW w:w="1272" w:type="dxa"/>
            <w:vAlign w:val="top"/>
          </w:tcPr>
          <w:p>
            <w:pPr>
              <w:ind w:left="31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1308.33</w:t>
            </w:r>
          </w:p>
        </w:tc>
        <w:tc>
          <w:tcPr>
            <w:tcW w:w="1308" w:type="dxa"/>
            <w:vAlign w:val="top"/>
          </w:tcPr>
          <w:p>
            <w:pPr>
              <w:pStyle w:val="TableText"/>
              <w:ind w:left="242"/>
              <w:spacing w:before="35" w:line="214" w:lineRule="auto"/>
              <w:rPr/>
            </w:pPr>
            <w:r>
              <w:rPr>
                <w:spacing w:val="6"/>
              </w:rPr>
              <w:t>灌溉水井</w:t>
            </w:r>
          </w:p>
        </w:tc>
        <w:tc>
          <w:tcPr>
            <w:tcW w:w="1959" w:type="dxa"/>
            <w:vAlign w:val="top"/>
          </w:tcPr>
          <w:p>
            <w:pPr>
              <w:pStyle w:val="TableText"/>
              <w:ind w:left="147"/>
              <w:spacing w:before="35" w:line="214" w:lineRule="auto"/>
              <w:rPr/>
            </w:pPr>
            <w:r>
              <w:rPr>
                <w:spacing w:val="8"/>
              </w:rPr>
              <w:t>松散岩类孔隙潜水</w:t>
            </w:r>
          </w:p>
        </w:tc>
        <w:tc>
          <w:tcPr>
            <w:tcW w:w="1189" w:type="dxa"/>
            <w:vAlign w:val="top"/>
          </w:tcPr>
          <w:p>
            <w:pPr>
              <w:pStyle w:val="TableText"/>
              <w:ind w:left="393"/>
              <w:spacing w:before="35" w:line="214" w:lineRule="auto"/>
              <w:rPr/>
            </w:pPr>
            <w:r>
              <w:rPr>
                <w:spacing w:val="3"/>
              </w:rPr>
              <w:t>水位</w:t>
            </w:r>
          </w:p>
        </w:tc>
      </w:tr>
      <w:tr>
        <w:trPr>
          <w:trHeight w:val="277" w:hRule="atLeast"/>
        </w:trPr>
        <w:tc>
          <w:tcPr>
            <w:tcW w:w="472" w:type="dxa"/>
            <w:vAlign w:val="top"/>
          </w:tcPr>
          <w:p>
            <w:pPr>
              <w:ind w:left="81"/>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S13</w:t>
            </w:r>
          </w:p>
        </w:tc>
        <w:tc>
          <w:tcPr>
            <w:tcW w:w="1311" w:type="dxa"/>
            <w:vAlign w:val="top"/>
          </w:tcPr>
          <w:p>
            <w:pPr>
              <w:ind w:left="72"/>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114°56'</w:t>
            </w:r>
            <w:r>
              <w:rPr>
                <w:rFonts w:ascii="Times New Roman" w:hAnsi="Times New Roman" w:eastAsia="Times New Roman" w:cs="Times New Roman"/>
                <w:sz w:val="20"/>
                <w:szCs w:val="20"/>
                <w:spacing w:val="-20"/>
              </w:rPr>
              <w:t xml:space="preserve"> </w:t>
            </w:r>
            <w:r>
              <w:rPr>
                <w:rFonts w:ascii="Times New Roman" w:hAnsi="Times New Roman" w:eastAsia="Times New Roman" w:cs="Times New Roman"/>
                <w:sz w:val="20"/>
                <w:szCs w:val="20"/>
              </w:rPr>
              <w:t>18.41"</w:t>
            </w:r>
          </w:p>
        </w:tc>
        <w:tc>
          <w:tcPr>
            <w:tcW w:w="1284" w:type="dxa"/>
            <w:vAlign w:val="top"/>
          </w:tcPr>
          <w:p>
            <w:pPr>
              <w:ind w:left="91"/>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42°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17'23.90"</w:t>
            </w:r>
          </w:p>
        </w:tc>
        <w:tc>
          <w:tcPr>
            <w:tcW w:w="594" w:type="dxa"/>
            <w:vAlign w:val="top"/>
          </w:tcPr>
          <w:p>
            <w:pPr>
              <w:ind w:left="213"/>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902" w:type="dxa"/>
            <w:vAlign w:val="top"/>
          </w:tcPr>
          <w:p>
            <w:pPr>
              <w:ind w:left="130"/>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1311.56</w:t>
            </w:r>
          </w:p>
        </w:tc>
        <w:tc>
          <w:tcPr>
            <w:tcW w:w="977" w:type="dxa"/>
            <w:vAlign w:val="top"/>
          </w:tcPr>
          <w:p>
            <w:pPr>
              <w:ind w:left="309"/>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3.61</w:t>
            </w:r>
          </w:p>
        </w:tc>
        <w:tc>
          <w:tcPr>
            <w:tcW w:w="1322" w:type="dxa"/>
            <w:vAlign w:val="top"/>
          </w:tcPr>
          <w:p>
            <w:pPr>
              <w:ind w:left="341"/>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1307.95</w:t>
            </w:r>
          </w:p>
        </w:tc>
        <w:tc>
          <w:tcPr>
            <w:tcW w:w="902" w:type="dxa"/>
            <w:vAlign w:val="top"/>
          </w:tcPr>
          <w:p>
            <w:pPr>
              <w:ind w:left="268"/>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4.32</w:t>
            </w:r>
          </w:p>
        </w:tc>
        <w:tc>
          <w:tcPr>
            <w:tcW w:w="1272" w:type="dxa"/>
            <w:vAlign w:val="top"/>
          </w:tcPr>
          <w:p>
            <w:pPr>
              <w:ind w:left="316"/>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1307.24</w:t>
            </w:r>
          </w:p>
        </w:tc>
        <w:tc>
          <w:tcPr>
            <w:tcW w:w="1308" w:type="dxa"/>
            <w:vAlign w:val="top"/>
          </w:tcPr>
          <w:p>
            <w:pPr>
              <w:pStyle w:val="TableText"/>
              <w:ind w:left="30"/>
              <w:spacing w:before="36" w:line="213" w:lineRule="auto"/>
              <w:rPr/>
            </w:pPr>
            <w:r>
              <w:rPr>
                <w:spacing w:val="7"/>
              </w:rPr>
              <w:t>生活饮用水井</w:t>
            </w:r>
          </w:p>
        </w:tc>
        <w:tc>
          <w:tcPr>
            <w:tcW w:w="1959" w:type="dxa"/>
            <w:vAlign w:val="top"/>
          </w:tcPr>
          <w:p>
            <w:pPr>
              <w:pStyle w:val="TableText"/>
              <w:ind w:left="147"/>
              <w:spacing w:before="36" w:line="213" w:lineRule="auto"/>
              <w:rPr/>
            </w:pPr>
            <w:r>
              <w:rPr>
                <w:spacing w:val="8"/>
              </w:rPr>
              <w:t>松散岩类孔隙潜水</w:t>
            </w:r>
          </w:p>
        </w:tc>
        <w:tc>
          <w:tcPr>
            <w:tcW w:w="1189" w:type="dxa"/>
            <w:vAlign w:val="top"/>
          </w:tcPr>
          <w:p>
            <w:pPr>
              <w:pStyle w:val="TableText"/>
              <w:ind w:left="76"/>
              <w:spacing w:before="36" w:line="213" w:lineRule="auto"/>
              <w:rPr/>
            </w:pPr>
            <w:r>
              <w:rPr>
                <w:spacing w:val="7"/>
              </w:rPr>
              <w:t>水质、水位</w:t>
            </w:r>
          </w:p>
        </w:tc>
      </w:tr>
      <w:tr>
        <w:trPr>
          <w:trHeight w:val="278" w:hRule="atLeast"/>
        </w:trPr>
        <w:tc>
          <w:tcPr>
            <w:tcW w:w="472" w:type="dxa"/>
            <w:vAlign w:val="top"/>
          </w:tcPr>
          <w:p>
            <w:pPr>
              <w:ind w:left="81"/>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S14</w:t>
            </w:r>
          </w:p>
        </w:tc>
        <w:tc>
          <w:tcPr>
            <w:tcW w:w="1311" w:type="dxa"/>
            <w:vAlign w:val="top"/>
          </w:tcPr>
          <w:p>
            <w:pPr>
              <w:ind w:left="72"/>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114°55'52.50"</w:t>
            </w:r>
          </w:p>
        </w:tc>
        <w:tc>
          <w:tcPr>
            <w:tcW w:w="1284" w:type="dxa"/>
            <w:vAlign w:val="top"/>
          </w:tcPr>
          <w:p>
            <w:pPr>
              <w:ind w:left="91"/>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42°</w:t>
            </w:r>
            <w:r>
              <w:rPr>
                <w:rFonts w:ascii="Times New Roman" w:hAnsi="Times New Roman" w:eastAsia="Times New Roman" w:cs="Times New Roman"/>
                <w:sz w:val="20"/>
                <w:szCs w:val="20"/>
                <w:spacing w:val="-15"/>
              </w:rPr>
              <w:t xml:space="preserve"> </w:t>
            </w:r>
            <w:r>
              <w:rPr>
                <w:rFonts w:ascii="Times New Roman" w:hAnsi="Times New Roman" w:eastAsia="Times New Roman" w:cs="Times New Roman"/>
                <w:sz w:val="20"/>
                <w:szCs w:val="20"/>
                <w:spacing w:val="-1"/>
              </w:rPr>
              <w:t>17'27.</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12"</w:t>
            </w:r>
          </w:p>
        </w:tc>
        <w:tc>
          <w:tcPr>
            <w:tcW w:w="594" w:type="dxa"/>
            <w:vAlign w:val="top"/>
          </w:tcPr>
          <w:p>
            <w:pPr>
              <w:ind w:left="213"/>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16</w:t>
            </w:r>
          </w:p>
        </w:tc>
        <w:tc>
          <w:tcPr>
            <w:tcW w:w="902" w:type="dxa"/>
            <w:vAlign w:val="top"/>
          </w:tcPr>
          <w:p>
            <w:pPr>
              <w:ind w:left="130"/>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1316.71</w:t>
            </w:r>
          </w:p>
        </w:tc>
        <w:tc>
          <w:tcPr>
            <w:tcW w:w="977" w:type="dxa"/>
            <w:vAlign w:val="top"/>
          </w:tcPr>
          <w:p>
            <w:pPr>
              <w:ind w:left="272"/>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12.74</w:t>
            </w:r>
          </w:p>
        </w:tc>
        <w:tc>
          <w:tcPr>
            <w:tcW w:w="1322" w:type="dxa"/>
            <w:vAlign w:val="top"/>
          </w:tcPr>
          <w:p>
            <w:pPr>
              <w:ind w:left="341"/>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1303.97</w:t>
            </w:r>
          </w:p>
        </w:tc>
        <w:tc>
          <w:tcPr>
            <w:tcW w:w="902" w:type="dxa"/>
            <w:vAlign w:val="top"/>
          </w:tcPr>
          <w:p>
            <w:pPr>
              <w:ind w:left="236"/>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13.33</w:t>
            </w:r>
          </w:p>
        </w:tc>
        <w:tc>
          <w:tcPr>
            <w:tcW w:w="1272" w:type="dxa"/>
            <w:vAlign w:val="top"/>
          </w:tcPr>
          <w:p>
            <w:pPr>
              <w:ind w:left="316"/>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1303.38</w:t>
            </w:r>
          </w:p>
        </w:tc>
        <w:tc>
          <w:tcPr>
            <w:tcW w:w="1308" w:type="dxa"/>
            <w:vAlign w:val="top"/>
          </w:tcPr>
          <w:p>
            <w:pPr>
              <w:pStyle w:val="TableText"/>
              <w:ind w:left="30"/>
              <w:spacing w:before="37" w:line="213" w:lineRule="auto"/>
              <w:rPr/>
            </w:pPr>
            <w:r>
              <w:rPr>
                <w:spacing w:val="7"/>
              </w:rPr>
              <w:t>生活饮用水井</w:t>
            </w:r>
          </w:p>
        </w:tc>
        <w:tc>
          <w:tcPr>
            <w:tcW w:w="1959" w:type="dxa"/>
            <w:vAlign w:val="top"/>
          </w:tcPr>
          <w:p>
            <w:pPr>
              <w:pStyle w:val="TableText"/>
              <w:ind w:left="147"/>
              <w:spacing w:before="37" w:line="213" w:lineRule="auto"/>
              <w:rPr/>
            </w:pPr>
            <w:r>
              <w:rPr>
                <w:spacing w:val="8"/>
              </w:rPr>
              <w:t>松散岩类孔隙潜水</w:t>
            </w:r>
          </w:p>
        </w:tc>
        <w:tc>
          <w:tcPr>
            <w:tcW w:w="1189" w:type="dxa"/>
            <w:vAlign w:val="top"/>
          </w:tcPr>
          <w:p>
            <w:pPr>
              <w:pStyle w:val="TableText"/>
              <w:ind w:left="76"/>
              <w:spacing w:before="37" w:line="213" w:lineRule="auto"/>
              <w:rPr/>
            </w:pPr>
            <w:r>
              <w:rPr>
                <w:spacing w:val="7"/>
              </w:rPr>
              <w:t>水质、水位</w:t>
            </w:r>
          </w:p>
        </w:tc>
      </w:tr>
      <w:tr>
        <w:trPr>
          <w:trHeight w:val="281" w:hRule="atLeast"/>
        </w:trPr>
        <w:tc>
          <w:tcPr>
            <w:tcW w:w="472" w:type="dxa"/>
            <w:vAlign w:val="top"/>
          </w:tcPr>
          <w:p>
            <w:pPr>
              <w:ind w:left="8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S15</w:t>
            </w:r>
          </w:p>
        </w:tc>
        <w:tc>
          <w:tcPr>
            <w:tcW w:w="1311" w:type="dxa"/>
            <w:vAlign w:val="top"/>
          </w:tcPr>
          <w:p>
            <w:pPr>
              <w:ind w:left="7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114°59'34.28"</w:t>
            </w:r>
          </w:p>
        </w:tc>
        <w:tc>
          <w:tcPr>
            <w:tcW w:w="1284" w:type="dxa"/>
            <w:vAlign w:val="top"/>
          </w:tcPr>
          <w:p>
            <w:pPr>
              <w:ind w:left="9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42°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18'56.26"</w:t>
            </w:r>
          </w:p>
        </w:tc>
        <w:tc>
          <w:tcPr>
            <w:tcW w:w="594" w:type="dxa"/>
            <w:vAlign w:val="top"/>
          </w:tcPr>
          <w:p>
            <w:pPr>
              <w:ind w:left="19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902" w:type="dxa"/>
            <w:vAlign w:val="top"/>
          </w:tcPr>
          <w:p>
            <w:pPr>
              <w:ind w:left="13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1372.69</w:t>
            </w:r>
          </w:p>
        </w:tc>
        <w:tc>
          <w:tcPr>
            <w:tcW w:w="977" w:type="dxa"/>
            <w:vAlign w:val="top"/>
          </w:tcPr>
          <w:p>
            <w:pPr>
              <w:ind w:left="27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16.22</w:t>
            </w:r>
          </w:p>
        </w:tc>
        <w:tc>
          <w:tcPr>
            <w:tcW w:w="1322" w:type="dxa"/>
            <w:vAlign w:val="top"/>
          </w:tcPr>
          <w:p>
            <w:pPr>
              <w:ind w:left="34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1356.47</w:t>
            </w:r>
          </w:p>
        </w:tc>
        <w:tc>
          <w:tcPr>
            <w:tcW w:w="902" w:type="dxa"/>
            <w:vAlign w:val="top"/>
          </w:tcPr>
          <w:p>
            <w:pPr>
              <w:ind w:left="23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17.34</w:t>
            </w:r>
          </w:p>
        </w:tc>
        <w:tc>
          <w:tcPr>
            <w:tcW w:w="1272" w:type="dxa"/>
            <w:vAlign w:val="top"/>
          </w:tcPr>
          <w:p>
            <w:pPr>
              <w:ind w:left="31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1355.35</w:t>
            </w:r>
          </w:p>
        </w:tc>
        <w:tc>
          <w:tcPr>
            <w:tcW w:w="1308" w:type="dxa"/>
            <w:vAlign w:val="top"/>
          </w:tcPr>
          <w:p>
            <w:pPr>
              <w:pStyle w:val="TableText"/>
              <w:ind w:left="243"/>
              <w:spacing w:before="34" w:line="218" w:lineRule="auto"/>
              <w:rPr/>
            </w:pPr>
            <w:r>
              <w:rPr>
                <w:spacing w:val="6"/>
              </w:rPr>
              <w:t>企业水井</w:t>
            </w:r>
          </w:p>
        </w:tc>
        <w:tc>
          <w:tcPr>
            <w:tcW w:w="1959" w:type="dxa"/>
            <w:vAlign w:val="top"/>
          </w:tcPr>
          <w:p>
            <w:pPr>
              <w:pStyle w:val="TableText"/>
              <w:ind w:left="147"/>
              <w:spacing w:before="34" w:line="218" w:lineRule="auto"/>
              <w:rPr/>
            </w:pPr>
            <w:r>
              <w:rPr>
                <w:spacing w:val="8"/>
              </w:rPr>
              <w:t>松散岩类孔隙潜水</w:t>
            </w:r>
          </w:p>
        </w:tc>
        <w:tc>
          <w:tcPr>
            <w:tcW w:w="1189" w:type="dxa"/>
            <w:vAlign w:val="top"/>
          </w:tcPr>
          <w:p>
            <w:pPr>
              <w:pStyle w:val="TableText"/>
              <w:ind w:left="393"/>
              <w:spacing w:before="34" w:line="218" w:lineRule="auto"/>
              <w:rPr/>
            </w:pPr>
            <w:r>
              <w:rPr>
                <w:spacing w:val="3"/>
              </w:rPr>
              <w:t>水位</w:t>
            </w:r>
          </w:p>
        </w:tc>
      </w:tr>
    </w:tbl>
    <w:p>
      <w:pPr>
        <w:pStyle w:val="BodyText"/>
        <w:rPr/>
      </w:pPr>
      <w:r/>
    </w:p>
    <w:p>
      <w:pPr>
        <w:sectPr>
          <w:headerReference w:type="default" r:id="rId123"/>
          <w:footerReference w:type="default" r:id="rId124"/>
          <w:pgSz w:w="16840" w:h="11907"/>
          <w:pgMar w:top="1591" w:right="1671" w:bottom="1600" w:left="1671" w:header="1221" w:footer="1366" w:gutter="0"/>
        </w:sectPr>
        <w:rPr/>
      </w:pPr>
    </w:p>
    <w:p>
      <w:pPr>
        <w:spacing w:before="150" w:line="9722" w:lineRule="exact"/>
        <w:rPr/>
      </w:pPr>
      <w:r>
        <w:pict>
          <v:shape id="_x0000_s600" style="position:absolute;margin-left:85.05pt;margin-top:79.11pt;mso-position-vertical-relative:page;mso-position-horizontal-relative:page;width:425.25pt;height:0.75pt;z-index:251925504;" o:allowincell="f" fillcolor="#000000" filled="true" stroked="false" coordsize="8505,15" coordorigin="0,0" path="m,l8505,0l8505,14l0,14l0,0xe"/>
        </w:pict>
      </w:r>
      <w:r>
        <w:rPr>
          <w:position w:val="-194"/>
        </w:rPr>
        <w:drawing>
          <wp:inline distT="0" distB="0" distL="0" distR="0">
            <wp:extent cx="5394959" cy="6173723"/>
            <wp:effectExtent l="0" t="0" r="0" b="0"/>
            <wp:docPr id="58" name="IM 58"/>
            <wp:cNvGraphicFramePr/>
            <a:graphic>
              <a:graphicData uri="http://schemas.openxmlformats.org/drawingml/2006/picture">
                <pic:pic>
                  <pic:nvPicPr>
                    <pic:cNvPr id="58" name="IM 58"/>
                    <pic:cNvPicPr/>
                  </pic:nvPicPr>
                  <pic:blipFill>
                    <a:blip r:embed="rId125"/>
                    <a:stretch>
                      <a:fillRect/>
                    </a:stretch>
                  </pic:blipFill>
                  <pic:spPr>
                    <a:xfrm rot="0">
                      <a:off x="0" y="0"/>
                      <a:ext cx="5394959" cy="6173723"/>
                    </a:xfrm>
                    <a:prstGeom prst="rect">
                      <a:avLst/>
                    </a:prstGeom>
                  </pic:spPr>
                </pic:pic>
              </a:graphicData>
            </a:graphic>
          </wp:inline>
        </w:drawing>
      </w:r>
    </w:p>
    <w:p>
      <w:pPr>
        <w:ind w:left="2939"/>
        <w:spacing w:before="64" w:line="219" w:lineRule="auto"/>
        <w:rPr>
          <w:rFonts w:ascii="SimSun" w:hAnsi="SimSun" w:eastAsia="SimSun" w:cs="SimSun"/>
          <w:sz w:val="24"/>
          <w:szCs w:val="24"/>
        </w:rPr>
      </w:pPr>
      <w:r>
        <w:rPr>
          <w:rFonts w:ascii="Times New Roman" w:hAnsi="Times New Roman" w:eastAsia="Times New Roman" w:cs="Times New Roman"/>
          <w:sz w:val="24"/>
          <w:szCs w:val="24"/>
          <w:b/>
          <w:bCs/>
          <w:spacing w:val="-4"/>
        </w:rPr>
        <w:t>a.2024 </w:t>
      </w:r>
      <w:r>
        <w:rPr>
          <w:rFonts w:ascii="SimSun" w:hAnsi="SimSun" w:eastAsia="SimSun" w:cs="SimSun"/>
          <w:sz w:val="24"/>
          <w:szCs w:val="24"/>
          <w:b/>
          <w:bCs/>
          <w:spacing w:val="-4"/>
        </w:rPr>
        <w:t>年</w:t>
      </w:r>
      <w:r>
        <w:rPr>
          <w:rFonts w:ascii="SimSun" w:hAnsi="SimSun" w:eastAsia="SimSun" w:cs="SimSun"/>
          <w:sz w:val="24"/>
          <w:szCs w:val="24"/>
          <w:spacing w:val="-40"/>
        </w:rPr>
        <w:t xml:space="preserve"> </w:t>
      </w:r>
      <w:r>
        <w:rPr>
          <w:rFonts w:ascii="Times New Roman" w:hAnsi="Times New Roman" w:eastAsia="Times New Roman" w:cs="Times New Roman"/>
          <w:sz w:val="24"/>
          <w:szCs w:val="24"/>
          <w:b/>
          <w:bCs/>
          <w:spacing w:val="-4"/>
        </w:rPr>
        <w:t>9</w:t>
      </w:r>
      <w:r>
        <w:rPr>
          <w:rFonts w:ascii="Times New Roman" w:hAnsi="Times New Roman" w:eastAsia="Times New Roman" w:cs="Times New Roman"/>
          <w:sz w:val="24"/>
          <w:szCs w:val="24"/>
          <w:b/>
          <w:bCs/>
          <w:spacing w:val="15"/>
        </w:rPr>
        <w:t xml:space="preserve"> </w:t>
      </w:r>
      <w:r>
        <w:rPr>
          <w:rFonts w:ascii="SimSun" w:hAnsi="SimSun" w:eastAsia="SimSun" w:cs="SimSun"/>
          <w:sz w:val="24"/>
          <w:szCs w:val="24"/>
          <w:b/>
          <w:bCs/>
          <w:spacing w:val="-4"/>
        </w:rPr>
        <w:t>月（丰水期）</w:t>
      </w:r>
    </w:p>
    <w:p>
      <w:pPr>
        <w:pStyle w:val="BodyText"/>
        <w:spacing w:line="248"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ind w:left="7"/>
        <w:spacing w:before="62" w:line="227" w:lineRule="auto"/>
        <w:rPr>
          <w:rFonts w:ascii="SimSun" w:hAnsi="SimSun" w:eastAsia="SimSun" w:cs="SimSun"/>
          <w:sz w:val="19"/>
          <w:szCs w:val="19"/>
        </w:rPr>
      </w:pPr>
      <w:r>
        <w:pict>
          <v:shape id="_x0000_s602" style="position:absolute;margin-left:59.614pt;margin-top:2.11801pt;mso-position-vertical-relative:text;mso-position-horizontal-relative:text;width:160.75pt;height:13.75pt;z-index:25192448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6"/>
                    </w:rPr>
                    <w:t>安环境技术咨询有限责任公司</w:t>
                  </w:r>
                  <w:r>
                    <w:rPr>
                      <w:rFonts w:ascii="SimSun" w:hAnsi="SimSun" w:eastAsia="SimSun" w:cs="SimSun"/>
                      <w:sz w:val="19"/>
                      <w:szCs w:val="19"/>
                      <w:spacing w:val="17"/>
                    </w:rPr>
                    <w:t xml:space="preserve">   </w:t>
                  </w:r>
                  <w:r>
                    <w:rPr>
                      <w:rFonts w:ascii="Times New Roman" w:hAnsi="Times New Roman" w:eastAsia="Times New Roman" w:cs="Times New Roman"/>
                      <w:sz w:val="18"/>
                      <w:szCs w:val="18"/>
                      <w:spacing w:val="6"/>
                      <w:position w:val="2"/>
                    </w:rPr>
                    <w:t>121</w:t>
                  </w:r>
                </w:p>
              </w:txbxContent>
            </v:textbox>
          </v:shape>
        </w:pict>
      </w:r>
      <w:r>
        <w:rPr>
          <w:rFonts w:ascii="SimSun" w:hAnsi="SimSun" w:eastAsia="SimSun" w:cs="SimSun"/>
          <w:sz w:val="19"/>
          <w:szCs w:val="19"/>
          <w:spacing w:val="8"/>
        </w:rPr>
        <w:t>锡林郭勒盟中</w:t>
      </w:r>
    </w:p>
    <w:p>
      <w:pPr>
        <w:spacing w:line="227" w:lineRule="auto"/>
        <w:sectPr>
          <w:headerReference w:type="default" r:id="rId2"/>
          <w:footerReference w:type="default" r:id="rId3"/>
          <w:pgSz w:w="11907" w:h="16840"/>
          <w:pgMar w:top="1567" w:right="1700" w:bottom="400" w:left="1701" w:header="1221" w:footer="0" w:gutter="0"/>
        </w:sectPr>
        <w:rPr>
          <w:rFonts w:ascii="SimSun" w:hAnsi="SimSun" w:eastAsia="SimSun" w:cs="SimSun"/>
          <w:sz w:val="19"/>
          <w:szCs w:val="19"/>
        </w:rPr>
      </w:pPr>
    </w:p>
    <w:p>
      <w:pPr>
        <w:spacing w:before="133" w:line="9730" w:lineRule="exact"/>
        <w:rPr/>
      </w:pPr>
      <w:r>
        <w:pict>
          <v:shape id="_x0000_s604" style="position:absolute;margin-left:85.05pt;margin-top:78.87pt;mso-position-vertical-relative:page;mso-position-horizontal-relative:page;width:425.25pt;height:0.75pt;z-index:251927552;" o:allowincell="f" fillcolor="#000000" filled="true" stroked="false" coordsize="8505,15" coordorigin="0,0" path="m,l8505,0l8505,14l0,14l0,0xe"/>
        </w:pict>
      </w:r>
      <w:r>
        <w:rPr>
          <w:position w:val="-194"/>
        </w:rPr>
        <w:drawing>
          <wp:inline distT="0" distB="0" distL="0" distR="0">
            <wp:extent cx="5394959" cy="6178295"/>
            <wp:effectExtent l="0" t="0" r="0" b="0"/>
            <wp:docPr id="60" name="IM 60"/>
            <wp:cNvGraphicFramePr/>
            <a:graphic>
              <a:graphicData uri="http://schemas.openxmlformats.org/drawingml/2006/picture">
                <pic:pic>
                  <pic:nvPicPr>
                    <pic:cNvPr id="60" name="IM 60"/>
                    <pic:cNvPicPr/>
                  </pic:nvPicPr>
                  <pic:blipFill>
                    <a:blip r:embed="rId126"/>
                    <a:stretch>
                      <a:fillRect/>
                    </a:stretch>
                  </pic:blipFill>
                  <pic:spPr>
                    <a:xfrm rot="0">
                      <a:off x="0" y="0"/>
                      <a:ext cx="5394959" cy="6178295"/>
                    </a:xfrm>
                    <a:prstGeom prst="rect">
                      <a:avLst/>
                    </a:prstGeom>
                  </pic:spPr>
                </pic:pic>
              </a:graphicData>
            </a:graphic>
          </wp:inline>
        </w:drawing>
      </w:r>
    </w:p>
    <w:p>
      <w:pPr>
        <w:ind w:left="2926"/>
        <w:spacing w:before="56" w:line="219" w:lineRule="auto"/>
        <w:rPr>
          <w:rFonts w:ascii="SimSun" w:hAnsi="SimSun" w:eastAsia="SimSun" w:cs="SimSun"/>
          <w:sz w:val="24"/>
          <w:szCs w:val="24"/>
        </w:rPr>
      </w:pPr>
      <w:r>
        <w:rPr>
          <w:rFonts w:ascii="Times New Roman" w:hAnsi="Times New Roman" w:eastAsia="Times New Roman" w:cs="Times New Roman"/>
          <w:sz w:val="24"/>
          <w:szCs w:val="24"/>
          <w:b/>
          <w:bCs/>
          <w:spacing w:val="-3"/>
        </w:rPr>
        <w:t>b.2025 </w:t>
      </w:r>
      <w:r>
        <w:rPr>
          <w:rFonts w:ascii="SimSun" w:hAnsi="SimSun" w:eastAsia="SimSun" w:cs="SimSun"/>
          <w:sz w:val="24"/>
          <w:szCs w:val="24"/>
          <w:b/>
          <w:bCs/>
          <w:spacing w:val="-3"/>
        </w:rPr>
        <w:t>年</w:t>
      </w:r>
      <w:r>
        <w:rPr>
          <w:rFonts w:ascii="SimSun" w:hAnsi="SimSun" w:eastAsia="SimSun" w:cs="SimSun"/>
          <w:sz w:val="24"/>
          <w:szCs w:val="24"/>
          <w:spacing w:val="-49"/>
        </w:rPr>
        <w:t xml:space="preserve"> </w:t>
      </w:r>
      <w:r>
        <w:rPr>
          <w:rFonts w:ascii="Times New Roman" w:hAnsi="Times New Roman" w:eastAsia="Times New Roman" w:cs="Times New Roman"/>
          <w:sz w:val="24"/>
          <w:szCs w:val="24"/>
          <w:b/>
          <w:bCs/>
          <w:spacing w:val="-3"/>
        </w:rPr>
        <w:t>2</w:t>
      </w:r>
      <w:r>
        <w:rPr>
          <w:rFonts w:ascii="Times New Roman" w:hAnsi="Times New Roman" w:eastAsia="Times New Roman" w:cs="Times New Roman"/>
          <w:sz w:val="24"/>
          <w:szCs w:val="24"/>
          <w:b/>
          <w:bCs/>
          <w:spacing w:val="16"/>
        </w:rPr>
        <w:t xml:space="preserve"> </w:t>
      </w:r>
      <w:r>
        <w:rPr>
          <w:rFonts w:ascii="SimSun" w:hAnsi="SimSun" w:eastAsia="SimSun" w:cs="SimSun"/>
          <w:sz w:val="24"/>
          <w:szCs w:val="24"/>
          <w:b/>
          <w:bCs/>
          <w:spacing w:val="-3"/>
        </w:rPr>
        <w:t>月（枯水期）</w:t>
      </w:r>
    </w:p>
    <w:p>
      <w:pPr>
        <w:ind w:left="1295"/>
        <w:spacing w:before="183" w:line="219" w:lineRule="auto"/>
        <w:rPr>
          <w:rFonts w:ascii="SimSun" w:hAnsi="SimSun" w:eastAsia="SimSun" w:cs="SimSun"/>
          <w:sz w:val="24"/>
          <w:szCs w:val="24"/>
        </w:rPr>
      </w:pPr>
      <w:r>
        <w:rPr>
          <w:rFonts w:ascii="SimSun" w:hAnsi="SimSun" w:eastAsia="SimSun" w:cs="SimSun"/>
          <w:sz w:val="24"/>
          <w:szCs w:val="24"/>
          <w:b/>
          <w:bCs/>
          <w:spacing w:val="-2"/>
        </w:rPr>
        <w:t>图</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2"/>
        </w:rPr>
        <w:t>4.2-2      </w:t>
      </w:r>
      <w:r>
        <w:rPr>
          <w:rFonts w:ascii="SimSun" w:hAnsi="SimSun" w:eastAsia="SimSun" w:cs="SimSun"/>
          <w:sz w:val="24"/>
          <w:szCs w:val="24"/>
          <w:b/>
          <w:bCs/>
          <w:spacing w:val="-2"/>
        </w:rPr>
        <w:t>地下水水位监测</w:t>
      </w:r>
      <w:r>
        <w:rPr>
          <w:rFonts w:ascii="SimSun" w:hAnsi="SimSun" w:eastAsia="SimSun" w:cs="SimSun"/>
          <w:sz w:val="24"/>
          <w:szCs w:val="24"/>
          <w:b/>
          <w:bCs/>
          <w:spacing w:val="-3"/>
        </w:rPr>
        <w:t>点及现状等水位线图（潜水）</w:t>
      </w:r>
    </w:p>
    <w:p>
      <w:pPr>
        <w:ind w:left="6"/>
        <w:spacing w:before="58"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4.2.2.2 </w:t>
      </w:r>
      <w:r>
        <w:rPr>
          <w:rFonts w:ascii="SimSun" w:hAnsi="SimSun" w:eastAsia="SimSun" w:cs="SimSun"/>
          <w:sz w:val="24"/>
          <w:szCs w:val="24"/>
          <w:b/>
          <w:bCs/>
          <w:spacing w:val="-2"/>
        </w:rPr>
        <w:t>地下水水质现状监测</w:t>
      </w:r>
    </w:p>
    <w:p>
      <w:pPr>
        <w:ind w:left="501"/>
        <w:spacing w:before="180" w:line="221"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）监测点设置</w:t>
      </w:r>
    </w:p>
    <w:p>
      <w:pPr>
        <w:ind w:left="8" w:firstLine="481"/>
        <w:spacing w:before="180" w:line="360" w:lineRule="auto"/>
        <w:rPr>
          <w:rFonts w:ascii="SimSun" w:hAnsi="SimSun" w:eastAsia="SimSun" w:cs="SimSun"/>
          <w:sz w:val="24"/>
          <w:szCs w:val="24"/>
        </w:rPr>
      </w:pPr>
      <w:r>
        <w:rPr>
          <w:rFonts w:ascii="SimSun" w:hAnsi="SimSun" w:eastAsia="SimSun" w:cs="SimSun"/>
          <w:sz w:val="24"/>
          <w:szCs w:val="24"/>
          <w:spacing w:val="-1"/>
        </w:rPr>
        <w:t>本项目所在区地貌属丘陵山区，根据《环境影响评价技术导则 地下水环境》</w:t>
      </w:r>
      <w:r>
        <w:rPr>
          <w:rFonts w:ascii="SimSun" w:hAnsi="SimSun" w:eastAsia="SimSun" w:cs="SimSun"/>
          <w:sz w:val="24"/>
          <w:szCs w:val="24"/>
          <w:spacing w:val="13"/>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HJ610 2016</w:t>
      </w:r>
      <w:r>
        <w:rPr>
          <w:rFonts w:ascii="SimSun" w:hAnsi="SimSun" w:eastAsia="SimSun" w:cs="SimSun"/>
          <w:sz w:val="24"/>
          <w:szCs w:val="24"/>
          <w:spacing w:val="-3"/>
        </w:rPr>
        <w:t>）相关要求需开展一期水质监测。本次评价地下水水质委托内蒙古航</w:t>
      </w:r>
      <w:r>
        <w:rPr>
          <w:rFonts w:ascii="SimSun" w:hAnsi="SimSun" w:eastAsia="SimSun" w:cs="SimSun"/>
          <w:sz w:val="24"/>
          <w:szCs w:val="24"/>
          <w:spacing w:val="10"/>
        </w:rPr>
        <w:t xml:space="preserve"> </w:t>
      </w:r>
      <w:r>
        <w:rPr>
          <w:rFonts w:ascii="SimSun" w:hAnsi="SimSun" w:eastAsia="SimSun" w:cs="SimSun"/>
          <w:sz w:val="24"/>
          <w:szCs w:val="24"/>
          <w:spacing w:val="-5"/>
        </w:rPr>
        <w:t>峰检测技术有限公司在评价期进行</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 </w:t>
      </w:r>
      <w:r>
        <w:rPr>
          <w:rFonts w:ascii="SimSun" w:hAnsi="SimSun" w:eastAsia="SimSun" w:cs="SimSun"/>
          <w:sz w:val="24"/>
          <w:szCs w:val="24"/>
          <w:spacing w:val="-5"/>
        </w:rPr>
        <w:t>期监测，监测采样</w:t>
      </w:r>
      <w:r>
        <w:rPr>
          <w:rFonts w:ascii="SimSun" w:hAnsi="SimSun" w:eastAsia="SimSun" w:cs="SimSun"/>
          <w:sz w:val="24"/>
          <w:szCs w:val="24"/>
          <w:spacing w:val="-6"/>
        </w:rPr>
        <w:t>时间为</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6"/>
        </w:rPr>
        <w:t>2025 </w:t>
      </w:r>
      <w:r>
        <w:rPr>
          <w:rFonts w:ascii="SimSun" w:hAnsi="SimSun" w:eastAsia="SimSun" w:cs="SimSun"/>
          <w:sz w:val="24"/>
          <w:szCs w:val="24"/>
          <w:spacing w:val="-6"/>
        </w:rPr>
        <w:t>年</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15  </w:t>
      </w:r>
      <w:r>
        <w:rPr>
          <w:rFonts w:ascii="SimSun" w:hAnsi="SimSun" w:eastAsia="SimSun" w:cs="SimSun"/>
          <w:sz w:val="24"/>
          <w:szCs w:val="24"/>
          <w:spacing w:val="-6"/>
        </w:rPr>
        <w:t>日，</w:t>
      </w:r>
      <w:r>
        <w:rPr>
          <w:rFonts w:ascii="SimSun" w:hAnsi="SimSun" w:eastAsia="SimSun" w:cs="SimSun"/>
          <w:sz w:val="24"/>
          <w:szCs w:val="24"/>
        </w:rPr>
        <w:t xml:space="preserve"> </w:t>
      </w:r>
      <w:r>
        <w:rPr>
          <w:rFonts w:ascii="SimSun" w:hAnsi="SimSun" w:eastAsia="SimSun" w:cs="SimSun"/>
          <w:sz w:val="24"/>
          <w:szCs w:val="24"/>
          <w:spacing w:val="-2"/>
        </w:rPr>
        <w:t>共设置</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7 </w:t>
      </w:r>
      <w:r>
        <w:rPr>
          <w:rFonts w:ascii="SimSun" w:hAnsi="SimSun" w:eastAsia="SimSun" w:cs="SimSun"/>
          <w:sz w:val="24"/>
          <w:szCs w:val="24"/>
          <w:spacing w:val="-2"/>
        </w:rPr>
        <w:t>个监测点位。</w:t>
      </w:r>
    </w:p>
    <w:p>
      <w:pPr>
        <w:ind w:left="5312"/>
        <w:spacing w:before="135" w:line="227" w:lineRule="auto"/>
        <w:rPr>
          <w:rFonts w:ascii="SimSun" w:hAnsi="SimSun" w:eastAsia="SimSun" w:cs="SimSun"/>
          <w:sz w:val="19"/>
          <w:szCs w:val="19"/>
        </w:rPr>
      </w:pPr>
      <w:r>
        <w:pict>
          <v:shape id="_x0000_s606" style="position:absolute;margin-left:205.883pt;margin-top:5.74819pt;mso-position-vertical-relative:text;mso-position-horizontal-relative:text;width:60.35pt;height:13.75pt;z-index:251926528;"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position w:val="2"/>
                    </w:rPr>
                    <w:t>122       </w:t>
                  </w:r>
                  <w:r>
                    <w:rPr>
                      <w:rFonts w:ascii="SimSun" w:hAnsi="SimSun" w:eastAsia="SimSun" w:cs="SimSun"/>
                      <w:sz w:val="19"/>
                      <w:szCs w:val="19"/>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16"/>
          <w:pgSz w:w="11907" w:h="16840"/>
          <w:pgMar w:top="1567" w:right="1640" w:bottom="400" w:left="1701" w:header="1221" w:footer="0" w:gutter="0"/>
        </w:sectPr>
        <w:rPr>
          <w:rFonts w:ascii="SimSun" w:hAnsi="SimSun" w:eastAsia="SimSun" w:cs="SimSun"/>
          <w:sz w:val="19"/>
          <w:szCs w:val="19"/>
        </w:rPr>
      </w:pPr>
    </w:p>
    <w:p>
      <w:pPr>
        <w:ind w:left="2305"/>
        <w:spacing w:before="187" w:line="211" w:lineRule="auto"/>
        <w:rPr>
          <w:rFonts w:ascii="SimSun" w:hAnsi="SimSun" w:eastAsia="SimSun" w:cs="SimSun"/>
          <w:sz w:val="24"/>
          <w:szCs w:val="24"/>
        </w:rPr>
      </w:pPr>
      <w:r>
        <w:pict>
          <v:shape id="_x0000_s608" style="position:absolute;margin-left:85.05pt;margin-top:79.11pt;mso-position-vertical-relative:page;mso-position-horizontal-relative:page;width:425.25pt;height:0.75pt;z-index:251929600;" o:allowincell="f" fillcolor="#000000" filled="true" stroked="false" coordsize="8505,15" coordorigin="0,0" path="m,l8505,0l8505,14l0,14l0,0xe"/>
        </w:pict>
      </w: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4.2-6        </w:t>
      </w:r>
      <w:r>
        <w:rPr>
          <w:rFonts w:ascii="SimSun" w:hAnsi="SimSun" w:eastAsia="SimSun" w:cs="SimSun"/>
          <w:sz w:val="24"/>
          <w:szCs w:val="24"/>
          <w:b/>
          <w:bCs/>
          <w:spacing w:val="-2"/>
        </w:rPr>
        <w:t>地下水水质监测点一览表</w:t>
      </w:r>
    </w:p>
    <w:tbl>
      <w:tblPr>
        <w:tblStyle w:val="TableNormal"/>
        <w:tblW w:w="851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99"/>
        <w:gridCol w:w="1064"/>
        <w:gridCol w:w="1598"/>
        <w:gridCol w:w="1464"/>
        <w:gridCol w:w="1466"/>
        <w:gridCol w:w="2128"/>
      </w:tblGrid>
      <w:tr>
        <w:trPr>
          <w:trHeight w:val="282" w:hRule="atLeast"/>
        </w:trPr>
        <w:tc>
          <w:tcPr>
            <w:tcW w:w="799" w:type="dxa"/>
            <w:vAlign w:val="top"/>
            <w:vMerge w:val="restart"/>
            <w:tcBorders>
              <w:bottom w:val="nil"/>
            </w:tcBorders>
          </w:tcPr>
          <w:p>
            <w:pPr>
              <w:pStyle w:val="TableText"/>
              <w:ind w:left="197"/>
              <w:spacing w:before="176" w:line="228" w:lineRule="auto"/>
              <w:rPr/>
            </w:pPr>
            <w:r>
              <w:rPr>
                <w:spacing w:val="3"/>
              </w:rPr>
              <w:t>编号</w:t>
            </w:r>
          </w:p>
        </w:tc>
        <w:tc>
          <w:tcPr>
            <w:tcW w:w="1064" w:type="dxa"/>
            <w:vAlign w:val="top"/>
            <w:vMerge w:val="restart"/>
            <w:tcBorders>
              <w:bottom w:val="nil"/>
            </w:tcBorders>
          </w:tcPr>
          <w:p>
            <w:pPr>
              <w:pStyle w:val="TableText"/>
              <w:ind w:left="35"/>
              <w:spacing w:before="177" w:line="228" w:lineRule="auto"/>
              <w:rPr/>
            </w:pPr>
            <w:r>
              <w:rPr>
                <w:spacing w:val="5"/>
              </w:rPr>
              <w:t>井深（</w:t>
            </w:r>
            <w:r>
              <w:rPr>
                <w:rFonts w:ascii="Times New Roman" w:hAnsi="Times New Roman" w:eastAsia="Times New Roman" w:cs="Times New Roman"/>
                <w:spacing w:val="5"/>
              </w:rPr>
              <w:t>m</w:t>
            </w:r>
            <w:r>
              <w:rPr>
                <w:spacing w:val="5"/>
              </w:rPr>
              <w:t>）</w:t>
            </w:r>
          </w:p>
        </w:tc>
        <w:tc>
          <w:tcPr>
            <w:tcW w:w="3062" w:type="dxa"/>
            <w:vAlign w:val="top"/>
            <w:gridSpan w:val="2"/>
          </w:tcPr>
          <w:p>
            <w:pPr>
              <w:pStyle w:val="TableText"/>
              <w:ind w:left="1326"/>
              <w:spacing w:before="34" w:line="219" w:lineRule="auto"/>
              <w:rPr/>
            </w:pPr>
            <w:r>
              <w:rPr>
                <w:spacing w:val="4"/>
              </w:rPr>
              <w:t>坐标</w:t>
            </w:r>
          </w:p>
        </w:tc>
        <w:tc>
          <w:tcPr>
            <w:tcW w:w="1466" w:type="dxa"/>
            <w:vAlign w:val="top"/>
            <w:vMerge w:val="restart"/>
            <w:tcBorders>
              <w:bottom w:val="nil"/>
            </w:tcBorders>
          </w:tcPr>
          <w:p>
            <w:pPr>
              <w:pStyle w:val="TableText"/>
              <w:ind w:left="323"/>
              <w:spacing w:before="176" w:line="228" w:lineRule="auto"/>
              <w:rPr/>
            </w:pPr>
            <w:r>
              <w:rPr>
                <w:spacing w:val="6"/>
              </w:rPr>
              <w:t>水井功能</w:t>
            </w:r>
          </w:p>
        </w:tc>
        <w:tc>
          <w:tcPr>
            <w:tcW w:w="2128" w:type="dxa"/>
            <w:vAlign w:val="top"/>
            <w:vMerge w:val="restart"/>
            <w:tcBorders>
              <w:bottom w:val="nil"/>
            </w:tcBorders>
          </w:tcPr>
          <w:p>
            <w:pPr>
              <w:pStyle w:val="TableText"/>
              <w:ind w:left="652"/>
              <w:spacing w:before="176" w:line="228" w:lineRule="auto"/>
              <w:rPr/>
            </w:pPr>
            <w:r>
              <w:rPr>
                <w:spacing w:val="6"/>
              </w:rPr>
              <w:t>取水类型</w:t>
            </w:r>
          </w:p>
        </w:tc>
      </w:tr>
      <w:tr>
        <w:trPr>
          <w:trHeight w:val="276" w:hRule="atLeast"/>
        </w:trPr>
        <w:tc>
          <w:tcPr>
            <w:tcW w:w="799" w:type="dxa"/>
            <w:vAlign w:val="top"/>
            <w:vMerge w:val="continue"/>
            <w:tcBorders>
              <w:top w:val="nil"/>
            </w:tcBorders>
          </w:tcPr>
          <w:p>
            <w:pPr>
              <w:rPr>
                <w:rFonts w:ascii="Arial"/>
                <w:sz w:val="21"/>
              </w:rPr>
            </w:pPr>
            <w:r/>
          </w:p>
        </w:tc>
        <w:tc>
          <w:tcPr>
            <w:tcW w:w="1064" w:type="dxa"/>
            <w:vAlign w:val="top"/>
            <w:vMerge w:val="continue"/>
            <w:tcBorders>
              <w:top w:val="nil"/>
            </w:tcBorders>
          </w:tcPr>
          <w:p>
            <w:pPr>
              <w:rPr>
                <w:rFonts w:ascii="Arial"/>
                <w:sz w:val="21"/>
              </w:rPr>
            </w:pPr>
            <w:r/>
          </w:p>
        </w:tc>
        <w:tc>
          <w:tcPr>
            <w:tcW w:w="1598" w:type="dxa"/>
            <w:vAlign w:val="top"/>
          </w:tcPr>
          <w:p>
            <w:pPr>
              <w:pStyle w:val="TableText"/>
              <w:ind w:left="595"/>
              <w:spacing w:before="31" w:line="216" w:lineRule="auto"/>
              <w:rPr/>
            </w:pPr>
            <w:r>
              <w:rPr>
                <w:spacing w:val="3"/>
              </w:rPr>
              <w:t>经度</w:t>
            </w:r>
          </w:p>
        </w:tc>
        <w:tc>
          <w:tcPr>
            <w:tcW w:w="1464" w:type="dxa"/>
            <w:vAlign w:val="top"/>
          </w:tcPr>
          <w:p>
            <w:pPr>
              <w:pStyle w:val="TableText"/>
              <w:ind w:left="527"/>
              <w:spacing w:before="31" w:line="216" w:lineRule="auto"/>
              <w:rPr/>
            </w:pPr>
            <w:r>
              <w:rPr>
                <w:spacing w:val="4"/>
              </w:rPr>
              <w:t>纬度</w:t>
            </w:r>
          </w:p>
        </w:tc>
        <w:tc>
          <w:tcPr>
            <w:tcW w:w="1466" w:type="dxa"/>
            <w:vAlign w:val="top"/>
            <w:vMerge w:val="continue"/>
            <w:tcBorders>
              <w:top w:val="nil"/>
            </w:tcBorders>
          </w:tcPr>
          <w:p>
            <w:pPr>
              <w:rPr>
                <w:rFonts w:ascii="Arial"/>
                <w:sz w:val="21"/>
              </w:rPr>
            </w:pPr>
            <w:r/>
          </w:p>
        </w:tc>
        <w:tc>
          <w:tcPr>
            <w:tcW w:w="2128" w:type="dxa"/>
            <w:vAlign w:val="top"/>
            <w:vMerge w:val="continue"/>
            <w:tcBorders>
              <w:top w:val="nil"/>
            </w:tcBorders>
          </w:tcPr>
          <w:p>
            <w:pPr>
              <w:rPr>
                <w:rFonts w:ascii="Arial"/>
                <w:sz w:val="21"/>
              </w:rPr>
            </w:pPr>
            <w:r/>
          </w:p>
        </w:tc>
      </w:tr>
      <w:tr>
        <w:trPr>
          <w:trHeight w:val="276" w:hRule="atLeast"/>
        </w:trPr>
        <w:tc>
          <w:tcPr>
            <w:tcW w:w="799" w:type="dxa"/>
            <w:vAlign w:val="top"/>
          </w:tcPr>
          <w:p>
            <w:pPr>
              <w:ind w:left="246"/>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S01</w:t>
            </w:r>
          </w:p>
        </w:tc>
        <w:tc>
          <w:tcPr>
            <w:tcW w:w="1064" w:type="dxa"/>
            <w:vAlign w:val="top"/>
          </w:tcPr>
          <w:p>
            <w:pPr>
              <w:ind w:left="447"/>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1598" w:type="dxa"/>
            <w:vAlign w:val="top"/>
          </w:tcPr>
          <w:p>
            <w:pPr>
              <w:ind w:left="218"/>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114°58'24.62"</w:t>
            </w:r>
          </w:p>
        </w:tc>
        <w:tc>
          <w:tcPr>
            <w:tcW w:w="1464" w:type="dxa"/>
            <w:vAlign w:val="top"/>
          </w:tcPr>
          <w:p>
            <w:pPr>
              <w:ind w:left="183"/>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42°</w:t>
            </w:r>
            <w:r>
              <w:rPr>
                <w:rFonts w:ascii="Times New Roman" w:hAnsi="Times New Roman" w:eastAsia="Times New Roman" w:cs="Times New Roman"/>
                <w:sz w:val="20"/>
                <w:szCs w:val="20"/>
                <w:spacing w:val="-16"/>
              </w:rPr>
              <w:t xml:space="preserve"> </w:t>
            </w:r>
            <w:r>
              <w:rPr>
                <w:rFonts w:ascii="Times New Roman" w:hAnsi="Times New Roman" w:eastAsia="Times New Roman" w:cs="Times New Roman"/>
                <w:sz w:val="20"/>
                <w:szCs w:val="20"/>
                <w:spacing w:val="1"/>
              </w:rPr>
              <w:t>17'49.01"</w:t>
            </w:r>
          </w:p>
        </w:tc>
        <w:tc>
          <w:tcPr>
            <w:tcW w:w="1466" w:type="dxa"/>
            <w:vAlign w:val="top"/>
          </w:tcPr>
          <w:p>
            <w:pPr>
              <w:pStyle w:val="TableText"/>
              <w:ind w:left="323"/>
              <w:spacing w:before="30" w:line="217" w:lineRule="auto"/>
              <w:rPr/>
            </w:pPr>
            <w:r>
              <w:rPr>
                <w:spacing w:val="6"/>
              </w:rPr>
              <w:t>灌溉水井</w:t>
            </w:r>
          </w:p>
        </w:tc>
        <w:tc>
          <w:tcPr>
            <w:tcW w:w="2128" w:type="dxa"/>
            <w:vAlign w:val="top"/>
          </w:tcPr>
          <w:p>
            <w:pPr>
              <w:pStyle w:val="TableText"/>
              <w:ind w:left="230"/>
              <w:spacing w:before="30" w:line="217" w:lineRule="auto"/>
              <w:rPr/>
            </w:pPr>
            <w:r>
              <w:rPr>
                <w:spacing w:val="8"/>
              </w:rPr>
              <w:t>松散岩类孔隙潜水</w:t>
            </w:r>
          </w:p>
        </w:tc>
      </w:tr>
      <w:tr>
        <w:trPr>
          <w:trHeight w:val="277" w:hRule="atLeast"/>
        </w:trPr>
        <w:tc>
          <w:tcPr>
            <w:tcW w:w="799" w:type="dxa"/>
            <w:vAlign w:val="top"/>
          </w:tcPr>
          <w:p>
            <w:pPr>
              <w:ind w:left="24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S02</w:t>
            </w:r>
          </w:p>
        </w:tc>
        <w:tc>
          <w:tcPr>
            <w:tcW w:w="1064" w:type="dxa"/>
            <w:vAlign w:val="top"/>
          </w:tcPr>
          <w:p>
            <w:pPr>
              <w:ind w:left="44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1598" w:type="dxa"/>
            <w:vAlign w:val="top"/>
          </w:tcPr>
          <w:p>
            <w:pPr>
              <w:ind w:left="21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114°58'22.34"</w:t>
            </w:r>
          </w:p>
        </w:tc>
        <w:tc>
          <w:tcPr>
            <w:tcW w:w="1464" w:type="dxa"/>
            <w:vAlign w:val="top"/>
          </w:tcPr>
          <w:p>
            <w:pPr>
              <w:ind w:left="18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42°</w:t>
            </w:r>
            <w:r>
              <w:rPr>
                <w:rFonts w:ascii="Times New Roman" w:hAnsi="Times New Roman" w:eastAsia="Times New Roman" w:cs="Times New Roman"/>
                <w:sz w:val="20"/>
                <w:szCs w:val="20"/>
                <w:spacing w:val="-16"/>
              </w:rPr>
              <w:t xml:space="preserve"> </w:t>
            </w:r>
            <w:r>
              <w:rPr>
                <w:rFonts w:ascii="Times New Roman" w:hAnsi="Times New Roman" w:eastAsia="Times New Roman" w:cs="Times New Roman"/>
                <w:sz w:val="20"/>
                <w:szCs w:val="20"/>
                <w:spacing w:val="1"/>
              </w:rPr>
              <w:t>17'44.18"</w:t>
            </w:r>
          </w:p>
        </w:tc>
        <w:tc>
          <w:tcPr>
            <w:tcW w:w="1466" w:type="dxa"/>
            <w:vAlign w:val="top"/>
          </w:tcPr>
          <w:p>
            <w:pPr>
              <w:pStyle w:val="TableText"/>
              <w:ind w:left="323"/>
              <w:spacing w:before="32" w:line="216" w:lineRule="auto"/>
              <w:rPr/>
            </w:pPr>
            <w:r>
              <w:rPr>
                <w:spacing w:val="6"/>
              </w:rPr>
              <w:t>企业水井</w:t>
            </w:r>
          </w:p>
        </w:tc>
        <w:tc>
          <w:tcPr>
            <w:tcW w:w="2128" w:type="dxa"/>
            <w:vAlign w:val="top"/>
          </w:tcPr>
          <w:p>
            <w:pPr>
              <w:pStyle w:val="TableText"/>
              <w:ind w:left="230"/>
              <w:spacing w:before="32" w:line="216" w:lineRule="auto"/>
              <w:rPr/>
            </w:pPr>
            <w:r>
              <w:rPr>
                <w:spacing w:val="8"/>
              </w:rPr>
              <w:t>松散岩类孔隙潜水</w:t>
            </w:r>
          </w:p>
        </w:tc>
      </w:tr>
      <w:tr>
        <w:trPr>
          <w:trHeight w:val="277" w:hRule="atLeast"/>
        </w:trPr>
        <w:tc>
          <w:tcPr>
            <w:tcW w:w="799" w:type="dxa"/>
            <w:vAlign w:val="top"/>
          </w:tcPr>
          <w:p>
            <w:pPr>
              <w:ind w:left="24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S03</w:t>
            </w:r>
          </w:p>
        </w:tc>
        <w:tc>
          <w:tcPr>
            <w:tcW w:w="1064" w:type="dxa"/>
            <w:vAlign w:val="top"/>
          </w:tcPr>
          <w:p>
            <w:pPr>
              <w:ind w:left="44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1598" w:type="dxa"/>
            <w:vAlign w:val="top"/>
          </w:tcPr>
          <w:p>
            <w:pPr>
              <w:ind w:left="218"/>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114°58'01.03"</w:t>
            </w:r>
          </w:p>
        </w:tc>
        <w:tc>
          <w:tcPr>
            <w:tcW w:w="1464" w:type="dxa"/>
            <w:vAlign w:val="top"/>
          </w:tcPr>
          <w:p>
            <w:pPr>
              <w:ind w:left="18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42°</w:t>
            </w:r>
            <w:r>
              <w:rPr>
                <w:rFonts w:ascii="Times New Roman" w:hAnsi="Times New Roman" w:eastAsia="Times New Roman" w:cs="Times New Roman"/>
                <w:sz w:val="20"/>
                <w:szCs w:val="20"/>
                <w:spacing w:val="-16"/>
              </w:rPr>
              <w:t xml:space="preserve"> </w:t>
            </w:r>
            <w:r>
              <w:rPr>
                <w:rFonts w:ascii="Times New Roman" w:hAnsi="Times New Roman" w:eastAsia="Times New Roman" w:cs="Times New Roman"/>
                <w:sz w:val="20"/>
                <w:szCs w:val="20"/>
                <w:spacing w:val="1"/>
              </w:rPr>
              <w:t>17'47.32"</w:t>
            </w:r>
          </w:p>
        </w:tc>
        <w:tc>
          <w:tcPr>
            <w:tcW w:w="1466" w:type="dxa"/>
            <w:vAlign w:val="top"/>
          </w:tcPr>
          <w:p>
            <w:pPr>
              <w:pStyle w:val="TableText"/>
              <w:ind w:left="323"/>
              <w:spacing w:before="35" w:line="214" w:lineRule="auto"/>
              <w:rPr/>
            </w:pPr>
            <w:r>
              <w:rPr>
                <w:spacing w:val="6"/>
              </w:rPr>
              <w:t>灌溉水井</w:t>
            </w:r>
          </w:p>
        </w:tc>
        <w:tc>
          <w:tcPr>
            <w:tcW w:w="2128" w:type="dxa"/>
            <w:vAlign w:val="top"/>
          </w:tcPr>
          <w:p>
            <w:pPr>
              <w:pStyle w:val="TableText"/>
              <w:ind w:left="230"/>
              <w:spacing w:before="35" w:line="214" w:lineRule="auto"/>
              <w:rPr/>
            </w:pPr>
            <w:r>
              <w:rPr>
                <w:spacing w:val="8"/>
              </w:rPr>
              <w:t>松散岩类孔隙潜水</w:t>
            </w:r>
          </w:p>
        </w:tc>
      </w:tr>
      <w:tr>
        <w:trPr>
          <w:trHeight w:val="277" w:hRule="atLeast"/>
        </w:trPr>
        <w:tc>
          <w:tcPr>
            <w:tcW w:w="799" w:type="dxa"/>
            <w:vAlign w:val="top"/>
          </w:tcPr>
          <w:p>
            <w:pPr>
              <w:ind w:left="24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S05</w:t>
            </w:r>
          </w:p>
        </w:tc>
        <w:tc>
          <w:tcPr>
            <w:tcW w:w="1064" w:type="dxa"/>
            <w:vAlign w:val="top"/>
          </w:tcPr>
          <w:p>
            <w:pPr>
              <w:ind w:left="44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598" w:type="dxa"/>
            <w:vAlign w:val="top"/>
          </w:tcPr>
          <w:p>
            <w:pPr>
              <w:ind w:left="21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114°57'36.50"</w:t>
            </w:r>
          </w:p>
        </w:tc>
        <w:tc>
          <w:tcPr>
            <w:tcW w:w="1464" w:type="dxa"/>
            <w:vAlign w:val="top"/>
          </w:tcPr>
          <w:p>
            <w:pPr>
              <w:ind w:left="18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42°</w:t>
            </w:r>
            <w:r>
              <w:rPr>
                <w:rFonts w:ascii="Times New Roman" w:hAnsi="Times New Roman" w:eastAsia="Times New Roman" w:cs="Times New Roman"/>
                <w:sz w:val="20"/>
                <w:szCs w:val="20"/>
                <w:spacing w:val="-16"/>
              </w:rPr>
              <w:t xml:space="preserve"> </w:t>
            </w:r>
            <w:r>
              <w:rPr>
                <w:rFonts w:ascii="Times New Roman" w:hAnsi="Times New Roman" w:eastAsia="Times New Roman" w:cs="Times New Roman"/>
                <w:sz w:val="20"/>
                <w:szCs w:val="20"/>
                <w:spacing w:val="1"/>
              </w:rPr>
              <w:t>17'30.94"</w:t>
            </w:r>
          </w:p>
        </w:tc>
        <w:tc>
          <w:tcPr>
            <w:tcW w:w="1466" w:type="dxa"/>
            <w:vAlign w:val="top"/>
          </w:tcPr>
          <w:p>
            <w:pPr>
              <w:pStyle w:val="TableText"/>
              <w:ind w:left="323"/>
              <w:spacing w:before="32" w:line="216" w:lineRule="auto"/>
              <w:rPr/>
            </w:pPr>
            <w:r>
              <w:rPr>
                <w:spacing w:val="6"/>
              </w:rPr>
              <w:t>灌溉水井</w:t>
            </w:r>
          </w:p>
        </w:tc>
        <w:tc>
          <w:tcPr>
            <w:tcW w:w="2128" w:type="dxa"/>
            <w:vAlign w:val="top"/>
          </w:tcPr>
          <w:p>
            <w:pPr>
              <w:pStyle w:val="TableText"/>
              <w:ind w:left="230"/>
              <w:spacing w:before="32" w:line="216" w:lineRule="auto"/>
              <w:rPr/>
            </w:pPr>
            <w:r>
              <w:rPr>
                <w:spacing w:val="8"/>
              </w:rPr>
              <w:t>松散岩类孔隙潜水</w:t>
            </w:r>
          </w:p>
        </w:tc>
      </w:tr>
      <w:tr>
        <w:trPr>
          <w:trHeight w:val="277" w:hRule="atLeast"/>
        </w:trPr>
        <w:tc>
          <w:tcPr>
            <w:tcW w:w="799" w:type="dxa"/>
            <w:vAlign w:val="top"/>
          </w:tcPr>
          <w:p>
            <w:pPr>
              <w:ind w:left="24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S07</w:t>
            </w:r>
          </w:p>
        </w:tc>
        <w:tc>
          <w:tcPr>
            <w:tcW w:w="1064" w:type="dxa"/>
            <w:vAlign w:val="top"/>
          </w:tcPr>
          <w:p>
            <w:pPr>
              <w:ind w:left="44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18</w:t>
            </w:r>
          </w:p>
        </w:tc>
        <w:tc>
          <w:tcPr>
            <w:tcW w:w="1598" w:type="dxa"/>
            <w:vAlign w:val="top"/>
          </w:tcPr>
          <w:p>
            <w:pPr>
              <w:ind w:left="218"/>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114°56'40.65"</w:t>
            </w:r>
          </w:p>
        </w:tc>
        <w:tc>
          <w:tcPr>
            <w:tcW w:w="1464" w:type="dxa"/>
            <w:vAlign w:val="top"/>
          </w:tcPr>
          <w:p>
            <w:pPr>
              <w:ind w:left="18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42°</w:t>
            </w:r>
            <w:r>
              <w:rPr>
                <w:rFonts w:ascii="Times New Roman" w:hAnsi="Times New Roman" w:eastAsia="Times New Roman" w:cs="Times New Roman"/>
                <w:sz w:val="20"/>
                <w:szCs w:val="20"/>
                <w:spacing w:val="-16"/>
              </w:rPr>
              <w:t xml:space="preserve"> </w:t>
            </w:r>
            <w:r>
              <w:rPr>
                <w:rFonts w:ascii="Times New Roman" w:hAnsi="Times New Roman" w:eastAsia="Times New Roman" w:cs="Times New Roman"/>
                <w:sz w:val="20"/>
                <w:szCs w:val="20"/>
                <w:spacing w:val="1"/>
              </w:rPr>
              <w:t>17'31.48"</w:t>
            </w:r>
          </w:p>
        </w:tc>
        <w:tc>
          <w:tcPr>
            <w:tcW w:w="1466" w:type="dxa"/>
            <w:vAlign w:val="top"/>
          </w:tcPr>
          <w:p>
            <w:pPr>
              <w:pStyle w:val="TableText"/>
              <w:ind w:left="111"/>
              <w:spacing w:before="35" w:line="214" w:lineRule="auto"/>
              <w:rPr/>
            </w:pPr>
            <w:r>
              <w:rPr>
                <w:spacing w:val="7"/>
              </w:rPr>
              <w:t>生活饮用水井</w:t>
            </w:r>
          </w:p>
        </w:tc>
        <w:tc>
          <w:tcPr>
            <w:tcW w:w="2128" w:type="dxa"/>
            <w:vAlign w:val="top"/>
          </w:tcPr>
          <w:p>
            <w:pPr>
              <w:pStyle w:val="TableText"/>
              <w:ind w:left="230"/>
              <w:spacing w:before="35" w:line="214" w:lineRule="auto"/>
              <w:rPr/>
            </w:pPr>
            <w:r>
              <w:rPr>
                <w:spacing w:val="8"/>
              </w:rPr>
              <w:t>松散岩类孔隙潜水</w:t>
            </w:r>
          </w:p>
        </w:tc>
      </w:tr>
      <w:tr>
        <w:trPr>
          <w:trHeight w:val="277" w:hRule="atLeast"/>
        </w:trPr>
        <w:tc>
          <w:tcPr>
            <w:tcW w:w="799" w:type="dxa"/>
            <w:vAlign w:val="top"/>
          </w:tcPr>
          <w:p>
            <w:pPr>
              <w:ind w:left="24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S13</w:t>
            </w:r>
          </w:p>
        </w:tc>
        <w:tc>
          <w:tcPr>
            <w:tcW w:w="1064" w:type="dxa"/>
            <w:vAlign w:val="top"/>
          </w:tcPr>
          <w:p>
            <w:pPr>
              <w:ind w:left="44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598" w:type="dxa"/>
            <w:vAlign w:val="top"/>
          </w:tcPr>
          <w:p>
            <w:pPr>
              <w:ind w:left="21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114°56'</w:t>
            </w:r>
            <w:r>
              <w:rPr>
                <w:rFonts w:ascii="Times New Roman" w:hAnsi="Times New Roman" w:eastAsia="Times New Roman" w:cs="Times New Roman"/>
                <w:sz w:val="20"/>
                <w:szCs w:val="20"/>
                <w:spacing w:val="-20"/>
              </w:rPr>
              <w:t xml:space="preserve"> </w:t>
            </w:r>
            <w:r>
              <w:rPr>
                <w:rFonts w:ascii="Times New Roman" w:hAnsi="Times New Roman" w:eastAsia="Times New Roman" w:cs="Times New Roman"/>
                <w:sz w:val="20"/>
                <w:szCs w:val="20"/>
              </w:rPr>
              <w:t>18.41"</w:t>
            </w:r>
          </w:p>
        </w:tc>
        <w:tc>
          <w:tcPr>
            <w:tcW w:w="1464" w:type="dxa"/>
            <w:vAlign w:val="top"/>
          </w:tcPr>
          <w:p>
            <w:pPr>
              <w:ind w:left="18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42°</w:t>
            </w:r>
            <w:r>
              <w:rPr>
                <w:rFonts w:ascii="Times New Roman" w:hAnsi="Times New Roman" w:eastAsia="Times New Roman" w:cs="Times New Roman"/>
                <w:sz w:val="20"/>
                <w:szCs w:val="20"/>
                <w:spacing w:val="-16"/>
              </w:rPr>
              <w:t xml:space="preserve"> </w:t>
            </w:r>
            <w:r>
              <w:rPr>
                <w:rFonts w:ascii="Times New Roman" w:hAnsi="Times New Roman" w:eastAsia="Times New Roman" w:cs="Times New Roman"/>
                <w:sz w:val="20"/>
                <w:szCs w:val="20"/>
                <w:spacing w:val="1"/>
              </w:rPr>
              <w:t>17'23.90"</w:t>
            </w:r>
          </w:p>
        </w:tc>
        <w:tc>
          <w:tcPr>
            <w:tcW w:w="1466" w:type="dxa"/>
            <w:vAlign w:val="top"/>
          </w:tcPr>
          <w:p>
            <w:pPr>
              <w:pStyle w:val="TableText"/>
              <w:ind w:left="111"/>
              <w:spacing w:before="36" w:line="213" w:lineRule="auto"/>
              <w:rPr/>
            </w:pPr>
            <w:r>
              <w:rPr>
                <w:spacing w:val="7"/>
              </w:rPr>
              <w:t>生活饮用水井</w:t>
            </w:r>
          </w:p>
        </w:tc>
        <w:tc>
          <w:tcPr>
            <w:tcW w:w="2128" w:type="dxa"/>
            <w:vAlign w:val="top"/>
          </w:tcPr>
          <w:p>
            <w:pPr>
              <w:pStyle w:val="TableText"/>
              <w:ind w:left="230"/>
              <w:spacing w:before="36" w:line="213" w:lineRule="auto"/>
              <w:rPr/>
            </w:pPr>
            <w:r>
              <w:rPr>
                <w:spacing w:val="8"/>
              </w:rPr>
              <w:t>松散岩类孔隙潜水</w:t>
            </w:r>
          </w:p>
        </w:tc>
      </w:tr>
      <w:tr>
        <w:trPr>
          <w:trHeight w:val="281" w:hRule="atLeast"/>
        </w:trPr>
        <w:tc>
          <w:tcPr>
            <w:tcW w:w="799" w:type="dxa"/>
            <w:vAlign w:val="top"/>
          </w:tcPr>
          <w:p>
            <w:pPr>
              <w:ind w:left="246"/>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S14</w:t>
            </w:r>
          </w:p>
        </w:tc>
        <w:tc>
          <w:tcPr>
            <w:tcW w:w="1064" w:type="dxa"/>
            <w:vAlign w:val="top"/>
          </w:tcPr>
          <w:p>
            <w:pPr>
              <w:ind w:left="447"/>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16</w:t>
            </w:r>
          </w:p>
        </w:tc>
        <w:tc>
          <w:tcPr>
            <w:tcW w:w="1598" w:type="dxa"/>
            <w:vAlign w:val="top"/>
          </w:tcPr>
          <w:p>
            <w:pPr>
              <w:ind w:left="218"/>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114°55'52.50"</w:t>
            </w:r>
          </w:p>
        </w:tc>
        <w:tc>
          <w:tcPr>
            <w:tcW w:w="1464" w:type="dxa"/>
            <w:vAlign w:val="top"/>
          </w:tcPr>
          <w:p>
            <w:pPr>
              <w:ind w:left="183"/>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42°</w:t>
            </w:r>
            <w:r>
              <w:rPr>
                <w:rFonts w:ascii="Times New Roman" w:hAnsi="Times New Roman" w:eastAsia="Times New Roman" w:cs="Times New Roman"/>
                <w:sz w:val="20"/>
                <w:szCs w:val="20"/>
                <w:spacing w:val="-17"/>
              </w:rPr>
              <w:t xml:space="preserve"> </w:t>
            </w:r>
            <w:r>
              <w:rPr>
                <w:rFonts w:ascii="Times New Roman" w:hAnsi="Times New Roman" w:eastAsia="Times New Roman" w:cs="Times New Roman"/>
                <w:sz w:val="20"/>
                <w:szCs w:val="20"/>
                <w:spacing w:val="-1"/>
              </w:rPr>
              <w:t>17'27.</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12"</w:t>
            </w:r>
          </w:p>
        </w:tc>
        <w:tc>
          <w:tcPr>
            <w:tcW w:w="1466" w:type="dxa"/>
            <w:vAlign w:val="top"/>
          </w:tcPr>
          <w:p>
            <w:pPr>
              <w:pStyle w:val="TableText"/>
              <w:ind w:left="111"/>
              <w:spacing w:before="36" w:line="216" w:lineRule="auto"/>
              <w:rPr/>
            </w:pPr>
            <w:r>
              <w:rPr>
                <w:spacing w:val="7"/>
              </w:rPr>
              <w:t>生活饮用水井</w:t>
            </w:r>
          </w:p>
        </w:tc>
        <w:tc>
          <w:tcPr>
            <w:tcW w:w="2128" w:type="dxa"/>
            <w:vAlign w:val="top"/>
          </w:tcPr>
          <w:p>
            <w:pPr>
              <w:pStyle w:val="TableText"/>
              <w:ind w:left="230"/>
              <w:spacing w:before="36" w:line="216" w:lineRule="auto"/>
              <w:rPr/>
            </w:pPr>
            <w:r>
              <w:rPr>
                <w:spacing w:val="8"/>
              </w:rPr>
              <w:t>松散岩类孔隙潜水</w:t>
            </w:r>
          </w:p>
        </w:tc>
      </w:tr>
    </w:tbl>
    <w:p>
      <w:pPr>
        <w:ind w:firstLine="10"/>
        <w:spacing w:before="120" w:line="7268" w:lineRule="exact"/>
        <w:rPr/>
      </w:pPr>
      <w:r>
        <w:rPr>
          <w:position w:val="-145"/>
        </w:rPr>
        <w:drawing>
          <wp:inline distT="0" distB="0" distL="0" distR="0">
            <wp:extent cx="5396483" cy="4614671"/>
            <wp:effectExtent l="0" t="0" r="0" b="0"/>
            <wp:docPr id="62" name="IM 62"/>
            <wp:cNvGraphicFramePr/>
            <a:graphic>
              <a:graphicData uri="http://schemas.openxmlformats.org/drawingml/2006/picture">
                <pic:pic>
                  <pic:nvPicPr>
                    <pic:cNvPr id="62" name="IM 62"/>
                    <pic:cNvPicPr/>
                  </pic:nvPicPr>
                  <pic:blipFill>
                    <a:blip r:embed="rId127"/>
                    <a:stretch>
                      <a:fillRect/>
                    </a:stretch>
                  </pic:blipFill>
                  <pic:spPr>
                    <a:xfrm rot="0">
                      <a:off x="0" y="0"/>
                      <a:ext cx="5396483" cy="4614671"/>
                    </a:xfrm>
                    <a:prstGeom prst="rect">
                      <a:avLst/>
                    </a:prstGeom>
                  </pic:spPr>
                </pic:pic>
              </a:graphicData>
            </a:graphic>
          </wp:inline>
        </w:drawing>
      </w:r>
    </w:p>
    <w:p>
      <w:pPr>
        <w:ind w:left="2208"/>
        <w:spacing w:before="195"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38"/>
        </w:rPr>
        <w:t xml:space="preserve"> </w:t>
      </w:r>
      <w:r>
        <w:rPr>
          <w:rFonts w:ascii="Times New Roman" w:hAnsi="Times New Roman" w:eastAsia="Times New Roman" w:cs="Times New Roman"/>
          <w:sz w:val="24"/>
          <w:szCs w:val="24"/>
          <w:b/>
          <w:bCs/>
          <w:spacing w:val="-3"/>
        </w:rPr>
        <w:t>4.2-3        </w:t>
      </w:r>
      <w:r>
        <w:rPr>
          <w:rFonts w:ascii="SimSun" w:hAnsi="SimSun" w:eastAsia="SimSun" w:cs="SimSun"/>
          <w:sz w:val="24"/>
          <w:szCs w:val="24"/>
          <w:b/>
          <w:bCs/>
          <w:spacing w:val="-3"/>
        </w:rPr>
        <w:t>地下水水质监测布点示意图</w:t>
      </w:r>
    </w:p>
    <w:p>
      <w:pPr>
        <w:ind w:left="27" w:right="18" w:firstLine="472"/>
        <w:spacing w:before="184" w:line="358" w:lineRule="auto"/>
        <w:rPr>
          <w:rFonts w:ascii="SimSun" w:hAnsi="SimSun" w:eastAsia="SimSun" w:cs="SimSun"/>
          <w:sz w:val="24"/>
          <w:szCs w:val="24"/>
        </w:rPr>
      </w:pPr>
      <w:r>
        <w:rPr>
          <w:rFonts w:ascii="SimSun" w:hAnsi="SimSun" w:eastAsia="SimSun" w:cs="SimSun"/>
          <w:sz w:val="24"/>
          <w:szCs w:val="24"/>
          <w:spacing w:val="-4"/>
        </w:rPr>
        <w:t>布设的监测点中厂区上游监测点</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个（</w:t>
      </w:r>
      <w:r>
        <w:rPr>
          <w:rFonts w:ascii="Times New Roman" w:hAnsi="Times New Roman" w:eastAsia="Times New Roman" w:cs="Times New Roman"/>
          <w:sz w:val="24"/>
          <w:szCs w:val="24"/>
          <w:spacing w:val="-4"/>
        </w:rPr>
        <w:t>S01</w:t>
      </w:r>
      <w:r>
        <w:rPr>
          <w:rFonts w:ascii="SimSun" w:hAnsi="SimSun" w:eastAsia="SimSun" w:cs="SimSun"/>
          <w:sz w:val="24"/>
          <w:szCs w:val="24"/>
          <w:spacing w:val="-40"/>
        </w:rPr>
        <w:t>），</w:t>
      </w:r>
      <w:r>
        <w:rPr>
          <w:rFonts w:ascii="SimSun" w:hAnsi="SimSun" w:eastAsia="SimSun" w:cs="SimSun"/>
          <w:sz w:val="24"/>
          <w:szCs w:val="24"/>
          <w:spacing w:val="-4"/>
        </w:rPr>
        <w:t>侧向监测点</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 </w:t>
      </w:r>
      <w:r>
        <w:rPr>
          <w:rFonts w:ascii="SimSun" w:hAnsi="SimSun" w:eastAsia="SimSun" w:cs="SimSun"/>
          <w:sz w:val="24"/>
          <w:szCs w:val="24"/>
          <w:spacing w:val="-4"/>
        </w:rPr>
        <w:t>个（</w:t>
      </w:r>
      <w:r>
        <w:rPr>
          <w:rFonts w:ascii="Times New Roman" w:hAnsi="Times New Roman" w:eastAsia="Times New Roman" w:cs="Times New Roman"/>
          <w:sz w:val="24"/>
          <w:szCs w:val="24"/>
          <w:spacing w:val="-4"/>
        </w:rPr>
        <w:t>S02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S03</w:t>
      </w:r>
      <w:r>
        <w:rPr>
          <w:rFonts w:ascii="SimSun" w:hAnsi="SimSun" w:eastAsia="SimSun" w:cs="SimSun"/>
          <w:sz w:val="24"/>
          <w:szCs w:val="24"/>
          <w:spacing w:val="-40"/>
        </w:rPr>
        <w:t>），</w:t>
      </w:r>
      <w:r>
        <w:rPr>
          <w:rFonts w:ascii="SimSun" w:hAnsi="SimSun" w:eastAsia="SimSun" w:cs="SimSun"/>
          <w:sz w:val="24"/>
          <w:szCs w:val="24"/>
        </w:rPr>
        <w:t xml:space="preserve"> </w:t>
      </w:r>
      <w:r>
        <w:rPr>
          <w:rFonts w:ascii="SimSun" w:hAnsi="SimSun" w:eastAsia="SimSun" w:cs="SimSun"/>
          <w:sz w:val="24"/>
          <w:szCs w:val="24"/>
          <w:spacing w:val="-2"/>
        </w:rPr>
        <w:t>下游监测点</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 </w:t>
      </w:r>
      <w:r>
        <w:rPr>
          <w:rFonts w:ascii="SimSun" w:hAnsi="SimSun" w:eastAsia="SimSun" w:cs="SimSun"/>
          <w:sz w:val="24"/>
          <w:szCs w:val="24"/>
          <w:spacing w:val="-2"/>
        </w:rPr>
        <w:t>个（</w:t>
      </w:r>
      <w:r>
        <w:rPr>
          <w:rFonts w:ascii="Times New Roman" w:hAnsi="Times New Roman" w:eastAsia="Times New Roman" w:cs="Times New Roman"/>
          <w:sz w:val="24"/>
          <w:szCs w:val="24"/>
          <w:spacing w:val="-2"/>
        </w:rPr>
        <w:t>S05</w:t>
      </w:r>
      <w:r>
        <w:rPr>
          <w:rFonts w:ascii="SimSun" w:hAnsi="SimSun" w:eastAsia="SimSun" w:cs="SimSun"/>
          <w:sz w:val="24"/>
          <w:szCs w:val="24"/>
          <w:spacing w:val="-2"/>
        </w:rPr>
        <w:t>、</w:t>
      </w:r>
      <w:r>
        <w:rPr>
          <w:rFonts w:ascii="Times New Roman" w:hAnsi="Times New Roman" w:eastAsia="Times New Roman" w:cs="Times New Roman"/>
          <w:sz w:val="24"/>
          <w:szCs w:val="24"/>
          <w:spacing w:val="-2"/>
        </w:rPr>
        <w:t>S07</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S13</w:t>
      </w:r>
      <w:r>
        <w:rPr>
          <w:rFonts w:ascii="SimSun" w:hAnsi="SimSun" w:eastAsia="SimSun" w:cs="SimSun"/>
          <w:sz w:val="24"/>
          <w:szCs w:val="24"/>
          <w:spacing w:val="-2"/>
        </w:rPr>
        <w:t>、</w:t>
      </w:r>
      <w:r>
        <w:rPr>
          <w:rFonts w:ascii="Times New Roman" w:hAnsi="Times New Roman" w:eastAsia="Times New Roman" w:cs="Times New Roman"/>
          <w:sz w:val="24"/>
          <w:szCs w:val="24"/>
          <w:spacing w:val="-2"/>
        </w:rPr>
        <w:t>S14</w:t>
      </w:r>
      <w:r>
        <w:rPr>
          <w:rFonts w:ascii="SimSun" w:hAnsi="SimSun" w:eastAsia="SimSun" w:cs="SimSun"/>
          <w:sz w:val="24"/>
          <w:szCs w:val="24"/>
          <w:spacing w:val="10"/>
        </w:rPr>
        <w:t>），</w:t>
      </w:r>
      <w:r>
        <w:rPr>
          <w:rFonts w:ascii="SimSun" w:hAnsi="SimSun" w:eastAsia="SimSun" w:cs="SimSun"/>
          <w:sz w:val="24"/>
          <w:szCs w:val="24"/>
          <w:spacing w:val="-2"/>
        </w:rPr>
        <w:t>均为潜水含水层监测点。</w:t>
      </w:r>
    </w:p>
    <w:p>
      <w:pPr>
        <w:ind w:left="511"/>
        <w:spacing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）监测项目</w:t>
      </w:r>
    </w:p>
    <w:p>
      <w:pPr>
        <w:ind w:left="21" w:firstLine="472"/>
        <w:spacing w:before="182" w:line="351" w:lineRule="auto"/>
        <w:rPr>
          <w:rFonts w:ascii="SimSun" w:hAnsi="SimSun" w:eastAsia="SimSun" w:cs="SimSun"/>
          <w:sz w:val="24"/>
          <w:szCs w:val="24"/>
        </w:rPr>
      </w:pPr>
      <w:r>
        <w:rPr>
          <w:rFonts w:ascii="Times New Roman" w:hAnsi="Times New Roman" w:eastAsia="Times New Roman" w:cs="Times New Roman"/>
          <w:sz w:val="24"/>
          <w:szCs w:val="24"/>
          <w:spacing w:val="-1"/>
        </w:rPr>
        <w:t>K</w:t>
      </w:r>
      <w:r>
        <w:rPr>
          <w:rFonts w:ascii="Times New Roman" w:hAnsi="Times New Roman" w:eastAsia="Times New Roman" w:cs="Times New Roman"/>
          <w:sz w:val="15"/>
          <w:szCs w:val="15"/>
          <w:spacing w:val="-1"/>
          <w:position w:val="7"/>
        </w:rPr>
        <w:t>+</w:t>
      </w:r>
      <w:r>
        <w:rPr>
          <w:rFonts w:ascii="Times New Roman" w:hAnsi="Times New Roman" w:eastAsia="Times New Roman" w:cs="Times New Roman"/>
          <w:sz w:val="15"/>
          <w:szCs w:val="15"/>
          <w:spacing w:val="4"/>
          <w:position w:val="7"/>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Na</w:t>
      </w:r>
      <w:r>
        <w:rPr>
          <w:rFonts w:ascii="Times New Roman" w:hAnsi="Times New Roman" w:eastAsia="Times New Roman" w:cs="Times New Roman"/>
          <w:sz w:val="15"/>
          <w:szCs w:val="15"/>
          <w:spacing w:val="-5"/>
          <w:position w:val="7"/>
        </w:rPr>
        <w:t>+</w:t>
      </w:r>
      <w:r>
        <w:rPr>
          <w:rFonts w:ascii="Times New Roman" w:hAnsi="Times New Roman" w:eastAsia="Times New Roman" w:cs="Times New Roman"/>
          <w:sz w:val="15"/>
          <w:szCs w:val="15"/>
          <w:spacing w:val="-13"/>
          <w:position w:val="7"/>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Ca</w:t>
      </w:r>
      <w:r>
        <w:rPr>
          <w:rFonts w:ascii="Times New Roman" w:hAnsi="Times New Roman" w:eastAsia="Times New Roman" w:cs="Times New Roman"/>
          <w:sz w:val="15"/>
          <w:szCs w:val="15"/>
          <w:spacing w:val="-5"/>
          <w:position w:val="7"/>
        </w:rPr>
        <w:t>2+</w:t>
      </w:r>
      <w:r>
        <w:rPr>
          <w:rFonts w:ascii="Times New Roman" w:hAnsi="Times New Roman" w:eastAsia="Times New Roman" w:cs="Times New Roman"/>
          <w:sz w:val="15"/>
          <w:szCs w:val="15"/>
          <w:spacing w:val="-12"/>
          <w:position w:val="7"/>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Mg</w:t>
      </w:r>
      <w:r>
        <w:rPr>
          <w:rFonts w:ascii="Times New Roman" w:hAnsi="Times New Roman" w:eastAsia="Times New Roman" w:cs="Times New Roman"/>
          <w:sz w:val="15"/>
          <w:szCs w:val="15"/>
          <w:spacing w:val="-5"/>
          <w:position w:val="7"/>
        </w:rPr>
        <w:t>2+</w:t>
      </w:r>
      <w:r>
        <w:rPr>
          <w:rFonts w:ascii="Times New Roman" w:hAnsi="Times New Roman" w:eastAsia="Times New Roman" w:cs="Times New Roman"/>
          <w:sz w:val="15"/>
          <w:szCs w:val="15"/>
          <w:spacing w:val="-16"/>
          <w:position w:val="7"/>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CO</w:t>
      </w:r>
      <w:r>
        <w:rPr>
          <w:rFonts w:ascii="Times New Roman" w:hAnsi="Times New Roman" w:eastAsia="Times New Roman" w:cs="Times New Roman"/>
          <w:sz w:val="15"/>
          <w:szCs w:val="15"/>
          <w:spacing w:val="-5"/>
          <w:position w:val="-2"/>
        </w:rPr>
        <w:t>3</w:t>
      </w:r>
      <w:r>
        <w:rPr>
          <w:rFonts w:ascii="Times New Roman" w:hAnsi="Times New Roman" w:eastAsia="Times New Roman" w:cs="Times New Roman"/>
          <w:sz w:val="15"/>
          <w:szCs w:val="15"/>
          <w:spacing w:val="-5"/>
          <w:position w:val="7"/>
        </w:rPr>
        <w:t>2-</w:t>
      </w:r>
      <w:r>
        <w:rPr>
          <w:rFonts w:ascii="Times New Roman" w:hAnsi="Times New Roman" w:eastAsia="Times New Roman" w:cs="Times New Roman"/>
          <w:sz w:val="15"/>
          <w:szCs w:val="15"/>
          <w:spacing w:val="-15"/>
          <w:position w:val="7"/>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HCO</w:t>
      </w:r>
      <w:r>
        <w:rPr>
          <w:rFonts w:ascii="Times New Roman" w:hAnsi="Times New Roman" w:eastAsia="Times New Roman" w:cs="Times New Roman"/>
          <w:sz w:val="15"/>
          <w:szCs w:val="15"/>
          <w:spacing w:val="-5"/>
          <w:position w:val="-2"/>
        </w:rPr>
        <w:t>3</w:t>
      </w:r>
      <w:r>
        <w:rPr>
          <w:rFonts w:ascii="Times New Roman" w:hAnsi="Times New Roman" w:eastAsia="Times New Roman" w:cs="Times New Roman"/>
          <w:sz w:val="15"/>
          <w:szCs w:val="15"/>
          <w:spacing w:val="-5"/>
          <w:position w:val="7"/>
        </w:rPr>
        <w:t>-</w:t>
      </w:r>
      <w:r>
        <w:rPr>
          <w:rFonts w:ascii="Times New Roman" w:hAnsi="Times New Roman" w:eastAsia="Times New Roman" w:cs="Times New Roman"/>
          <w:sz w:val="15"/>
          <w:szCs w:val="15"/>
          <w:spacing w:val="-13"/>
          <w:position w:val="7"/>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Cl</w:t>
      </w:r>
      <w:r>
        <w:rPr>
          <w:rFonts w:ascii="Times New Roman" w:hAnsi="Times New Roman" w:eastAsia="Times New Roman" w:cs="Times New Roman"/>
          <w:sz w:val="15"/>
          <w:szCs w:val="15"/>
          <w:spacing w:val="-5"/>
          <w:position w:val="7"/>
        </w:rPr>
        <w:t>-</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SO</w:t>
      </w:r>
      <w:r>
        <w:rPr>
          <w:rFonts w:ascii="Times New Roman" w:hAnsi="Times New Roman" w:eastAsia="Times New Roman" w:cs="Times New Roman"/>
          <w:sz w:val="15"/>
          <w:szCs w:val="15"/>
          <w:spacing w:val="-5"/>
          <w:position w:val="-2"/>
        </w:rPr>
        <w:t>4</w:t>
      </w:r>
      <w:r>
        <w:rPr>
          <w:rFonts w:ascii="Times New Roman" w:hAnsi="Times New Roman" w:eastAsia="Times New Roman" w:cs="Times New Roman"/>
          <w:sz w:val="15"/>
          <w:szCs w:val="15"/>
          <w:spacing w:val="-5"/>
          <w:position w:val="7"/>
        </w:rPr>
        <w:t>2-</w:t>
      </w:r>
      <w:r>
        <w:rPr>
          <w:rFonts w:ascii="Times New Roman" w:hAnsi="Times New Roman" w:eastAsia="Times New Roman" w:cs="Times New Roman"/>
          <w:sz w:val="15"/>
          <w:szCs w:val="15"/>
          <w:spacing w:val="-12"/>
          <w:position w:val="7"/>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pH</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5"/>
        </w:rPr>
        <w:t>、总硬度、硝酸盐氮、</w:t>
      </w:r>
      <w:r>
        <w:rPr>
          <w:rFonts w:ascii="SimSun" w:hAnsi="SimSun" w:eastAsia="SimSun" w:cs="SimSun"/>
          <w:sz w:val="24"/>
          <w:szCs w:val="24"/>
        </w:rPr>
        <w:t xml:space="preserve"> </w:t>
      </w:r>
      <w:r>
        <w:rPr>
          <w:rFonts w:ascii="SimSun" w:hAnsi="SimSun" w:eastAsia="SimSun" w:cs="SimSun"/>
          <w:sz w:val="24"/>
          <w:szCs w:val="24"/>
          <w:spacing w:val="-2"/>
        </w:rPr>
        <w:t>亚硝酸盐氮、氨氮、耗氧量、硫酸盐、氯化物、氟化物、氰化物、溶解性总固体、</w:t>
      </w:r>
    </w:p>
    <w:p>
      <w:pPr>
        <w:pStyle w:val="BodyText"/>
        <w:spacing w:line="349" w:lineRule="auto"/>
        <w:rPr/>
      </w:pPr>
      <w:r/>
    </w:p>
    <w:p>
      <w:pPr>
        <w:ind w:left="17"/>
        <w:spacing w:before="62" w:line="227" w:lineRule="auto"/>
        <w:rPr>
          <w:rFonts w:ascii="SimSun" w:hAnsi="SimSun" w:eastAsia="SimSun" w:cs="SimSun"/>
          <w:sz w:val="19"/>
          <w:szCs w:val="19"/>
        </w:rPr>
      </w:pPr>
      <w:r>
        <w:pict>
          <v:shape id="_x0000_s610" style="position:absolute;margin-left:159.82pt;margin-top:2.102pt;mso-position-vertical-relative:text;mso-position-horizontal-relative:text;width:61pt;height:13.75pt;z-index:25192857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rPr>
                    <w:t>任公司</w:t>
                  </w:r>
                  <w:r>
                    <w:rPr>
                      <w:rFonts w:ascii="SimSun" w:hAnsi="SimSun" w:eastAsia="SimSun" w:cs="SimSun"/>
                      <w:sz w:val="19"/>
                      <w:szCs w:val="19"/>
                      <w:spacing w:val="18"/>
                    </w:rPr>
                    <w:t xml:space="preserve">   </w:t>
                  </w:r>
                  <w:r>
                    <w:rPr>
                      <w:rFonts w:ascii="Times New Roman" w:hAnsi="Times New Roman" w:eastAsia="Times New Roman" w:cs="Times New Roman"/>
                      <w:sz w:val="18"/>
                      <w:szCs w:val="18"/>
                      <w:position w:val="2"/>
                    </w:rPr>
                    <w:t>123</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51"/>
          <w:pgSz w:w="11907" w:h="16840"/>
          <w:pgMar w:top="1567" w:right="1621" w:bottom="400" w:left="1691" w:header="1221" w:footer="0" w:gutter="0"/>
        </w:sectPr>
        <w:rPr>
          <w:rFonts w:ascii="SimSun" w:hAnsi="SimSun" w:eastAsia="SimSun" w:cs="SimSun"/>
          <w:sz w:val="19"/>
          <w:szCs w:val="19"/>
        </w:rPr>
      </w:pPr>
    </w:p>
    <w:p>
      <w:pPr>
        <w:ind w:left="16" w:right="152"/>
        <w:spacing w:before="167" w:line="359" w:lineRule="auto"/>
        <w:jc w:val="both"/>
        <w:rPr>
          <w:rFonts w:ascii="SimSun" w:hAnsi="SimSun" w:eastAsia="SimSun" w:cs="SimSun"/>
          <w:sz w:val="24"/>
          <w:szCs w:val="24"/>
        </w:rPr>
      </w:pPr>
      <w:r>
        <w:pict>
          <v:shape id="_x0000_s612" style="position:absolute;margin-left:85.05pt;margin-top:78.87pt;mso-position-vertical-relative:page;mso-position-horizontal-relative:page;width:425.25pt;height:0.75pt;z-index:251931648;" o:allowincell="f" fillcolor="#000000" filled="true" stroked="false" coordsize="8505,15" coordorigin="0,0" path="m,l8505,0l8505,14l0,14l0,0xe"/>
        </w:pict>
      </w:r>
      <w:r>
        <w:rPr>
          <w:rFonts w:ascii="SimSun" w:hAnsi="SimSun" w:eastAsia="SimSun" w:cs="SimSun"/>
          <w:sz w:val="24"/>
          <w:szCs w:val="24"/>
          <w:spacing w:val="-1"/>
        </w:rPr>
        <w:t>挥发性酚类、铬（六价）、总大肠菌群、菌落</w:t>
      </w:r>
      <w:r>
        <w:rPr>
          <w:rFonts w:ascii="SimSun" w:hAnsi="SimSun" w:eastAsia="SimSun" w:cs="SimSun"/>
          <w:sz w:val="24"/>
          <w:szCs w:val="24"/>
          <w:spacing w:val="-2"/>
        </w:rPr>
        <w:t>总数、砷、汞、铅、铁、锰、镉、</w:t>
      </w:r>
      <w:r>
        <w:rPr>
          <w:rFonts w:ascii="SimSun" w:hAnsi="SimSun" w:eastAsia="SimSun" w:cs="SimSun"/>
          <w:sz w:val="24"/>
          <w:szCs w:val="24"/>
        </w:rPr>
        <w:t xml:space="preserve"> </w:t>
      </w:r>
      <w:r>
        <w:rPr>
          <w:rFonts w:ascii="SimSun" w:hAnsi="SimSun" w:eastAsia="SimSun" w:cs="SimSun"/>
          <w:sz w:val="24"/>
          <w:szCs w:val="24"/>
          <w:spacing w:val="-1"/>
        </w:rPr>
        <w:t>硒、铝、铜、锌、碘化物、硫化物、阴离子表面</w:t>
      </w:r>
      <w:r>
        <w:rPr>
          <w:rFonts w:ascii="SimSun" w:hAnsi="SimSun" w:eastAsia="SimSun" w:cs="SimSun"/>
          <w:sz w:val="24"/>
          <w:szCs w:val="24"/>
          <w:spacing w:val="-2"/>
        </w:rPr>
        <w:t>活性剂、苯、甲苯、三氯甲烷、</w:t>
      </w:r>
      <w:r>
        <w:rPr>
          <w:rFonts w:ascii="SimSun" w:hAnsi="SimSun" w:eastAsia="SimSun" w:cs="SimSun"/>
          <w:sz w:val="24"/>
          <w:szCs w:val="24"/>
        </w:rPr>
        <w:t xml:space="preserve"> </w:t>
      </w:r>
      <w:r>
        <w:rPr>
          <w:rFonts w:ascii="SimSun" w:hAnsi="SimSun" w:eastAsia="SimSun" w:cs="SimSun"/>
          <w:sz w:val="24"/>
          <w:szCs w:val="24"/>
          <w:spacing w:val="-1"/>
        </w:rPr>
        <w:t>四氯化碳、石油类。</w:t>
      </w:r>
    </w:p>
    <w:p>
      <w:pPr>
        <w:ind w:left="510"/>
        <w:spacing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）监测分析方法</w:t>
      </w:r>
    </w:p>
    <w:p>
      <w:pPr>
        <w:ind w:left="17" w:right="112" w:firstLine="482"/>
        <w:spacing w:before="182" w:line="359" w:lineRule="auto"/>
        <w:rPr>
          <w:rFonts w:ascii="SimSun" w:hAnsi="SimSun" w:eastAsia="SimSun" w:cs="SimSun"/>
          <w:sz w:val="24"/>
          <w:szCs w:val="24"/>
        </w:rPr>
      </w:pPr>
      <w:r>
        <w:rPr>
          <w:rFonts w:ascii="SimSun" w:hAnsi="SimSun" w:eastAsia="SimSun" w:cs="SimSun"/>
          <w:sz w:val="24"/>
          <w:szCs w:val="24"/>
        </w:rPr>
        <w:t>按照《环境监测技术规范》及《水和废水监测</w:t>
      </w:r>
      <w:r>
        <w:rPr>
          <w:rFonts w:ascii="SimSun" w:hAnsi="SimSun" w:eastAsia="SimSun" w:cs="SimSun"/>
          <w:sz w:val="24"/>
          <w:szCs w:val="24"/>
          <w:spacing w:val="-1"/>
        </w:rPr>
        <w:t>分析方法》有关要求进行，见</w:t>
      </w:r>
      <w:r>
        <w:rPr>
          <w:rFonts w:ascii="SimSun" w:hAnsi="SimSun" w:eastAsia="SimSun" w:cs="SimSun"/>
          <w:sz w:val="24"/>
          <w:szCs w:val="24"/>
        </w:rPr>
        <w:t xml:space="preserve"> </w:t>
      </w:r>
      <w:r>
        <w:rPr>
          <w:rFonts w:ascii="SimSun" w:hAnsi="SimSun" w:eastAsia="SimSun" w:cs="SimSun"/>
          <w:sz w:val="24"/>
          <w:szCs w:val="24"/>
          <w:spacing w:val="-2"/>
        </w:rPr>
        <w:t>表</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2"/>
        </w:rPr>
        <w:t>4.2-7</w:t>
      </w:r>
      <w:r>
        <w:rPr>
          <w:rFonts w:ascii="SimSun" w:hAnsi="SimSun" w:eastAsia="SimSun" w:cs="SimSun"/>
          <w:sz w:val="24"/>
          <w:szCs w:val="24"/>
          <w:spacing w:val="-2"/>
        </w:rPr>
        <w:t>。</w:t>
      </w:r>
    </w:p>
    <w:p>
      <w:pPr>
        <w:ind w:left="1851"/>
        <w:spacing w:before="1" w:line="212" w:lineRule="auto"/>
        <w:rPr>
          <w:rFonts w:ascii="SimSun" w:hAnsi="SimSun" w:eastAsia="SimSun" w:cs="SimSun"/>
          <w:sz w:val="24"/>
          <w:szCs w:val="24"/>
        </w:rPr>
      </w:pPr>
      <w:r>
        <w:rPr>
          <w:rFonts w:ascii="SimSun" w:hAnsi="SimSun" w:eastAsia="SimSun" w:cs="SimSun"/>
          <w:sz w:val="24"/>
          <w:szCs w:val="24"/>
          <w:b/>
          <w:bCs/>
          <w:spacing w:val="-1"/>
        </w:rPr>
        <w:t>表</w:t>
      </w:r>
      <w:r>
        <w:rPr>
          <w:rFonts w:ascii="Times New Roman" w:hAnsi="Times New Roman" w:eastAsia="Times New Roman" w:cs="Times New Roman"/>
          <w:sz w:val="24"/>
          <w:szCs w:val="24"/>
          <w:b/>
          <w:bCs/>
          <w:spacing w:val="-1"/>
        </w:rPr>
        <w:t>4.2-7        </w:t>
      </w:r>
      <w:r>
        <w:rPr>
          <w:rFonts w:ascii="SimSun" w:hAnsi="SimSun" w:eastAsia="SimSun" w:cs="SimSun"/>
          <w:sz w:val="24"/>
          <w:szCs w:val="24"/>
          <w:b/>
          <w:bCs/>
          <w:spacing w:val="-1"/>
        </w:rPr>
        <w:t>地下水环境质量</w:t>
      </w:r>
      <w:r>
        <w:rPr>
          <w:rFonts w:ascii="SimSun" w:hAnsi="SimSun" w:eastAsia="SimSun" w:cs="SimSun"/>
          <w:sz w:val="24"/>
          <w:szCs w:val="24"/>
          <w:b/>
          <w:bCs/>
          <w:spacing w:val="-2"/>
        </w:rPr>
        <w:t>现状监测分析方法</w:t>
      </w:r>
    </w:p>
    <w:tbl>
      <w:tblPr>
        <w:tblStyle w:val="TableNormal"/>
        <w:tblW w:w="8516"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78"/>
        <w:gridCol w:w="1202"/>
        <w:gridCol w:w="5521"/>
        <w:gridCol w:w="1115"/>
      </w:tblGrid>
      <w:tr>
        <w:trPr>
          <w:trHeight w:val="281" w:hRule="atLeast"/>
        </w:trPr>
        <w:tc>
          <w:tcPr>
            <w:tcW w:w="678" w:type="dxa"/>
            <w:vAlign w:val="top"/>
          </w:tcPr>
          <w:p>
            <w:pPr>
              <w:pStyle w:val="TableText"/>
              <w:ind w:left="134"/>
              <w:spacing w:before="34" w:line="218" w:lineRule="auto"/>
              <w:rPr/>
            </w:pPr>
            <w:r>
              <w:rPr>
                <w:spacing w:val="5"/>
              </w:rPr>
              <w:t>序号</w:t>
            </w:r>
          </w:p>
        </w:tc>
        <w:tc>
          <w:tcPr>
            <w:tcW w:w="1202" w:type="dxa"/>
            <w:vAlign w:val="top"/>
          </w:tcPr>
          <w:p>
            <w:pPr>
              <w:pStyle w:val="TableText"/>
              <w:ind w:left="184"/>
              <w:spacing w:before="34" w:line="218" w:lineRule="auto"/>
              <w:rPr/>
            </w:pPr>
            <w:r>
              <w:rPr>
                <w:spacing w:val="7"/>
              </w:rPr>
              <w:t>检测项目</w:t>
            </w:r>
          </w:p>
        </w:tc>
        <w:tc>
          <w:tcPr>
            <w:tcW w:w="5521" w:type="dxa"/>
            <w:vAlign w:val="top"/>
          </w:tcPr>
          <w:p>
            <w:pPr>
              <w:pStyle w:val="TableText"/>
              <w:ind w:left="2346"/>
              <w:spacing w:before="34" w:line="218" w:lineRule="auto"/>
              <w:rPr/>
            </w:pPr>
            <w:r>
              <w:rPr>
                <w:spacing w:val="7"/>
              </w:rPr>
              <w:t>检测依据</w:t>
            </w:r>
          </w:p>
        </w:tc>
        <w:tc>
          <w:tcPr>
            <w:tcW w:w="1115" w:type="dxa"/>
            <w:vAlign w:val="top"/>
          </w:tcPr>
          <w:p>
            <w:pPr>
              <w:pStyle w:val="TableText"/>
              <w:ind w:left="248"/>
              <w:spacing w:before="34" w:line="218" w:lineRule="auto"/>
              <w:rPr/>
            </w:pPr>
            <w:r>
              <w:rPr>
                <w:spacing w:val="6"/>
              </w:rPr>
              <w:t>检出限</w:t>
            </w:r>
          </w:p>
        </w:tc>
      </w:tr>
      <w:tr>
        <w:trPr>
          <w:trHeight w:val="277" w:hRule="atLeast"/>
        </w:trPr>
        <w:tc>
          <w:tcPr>
            <w:tcW w:w="678" w:type="dxa"/>
            <w:vAlign w:val="top"/>
          </w:tcPr>
          <w:p>
            <w:pPr>
              <w:ind w:left="30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202" w:type="dxa"/>
            <w:vAlign w:val="top"/>
          </w:tcPr>
          <w:p>
            <w:pPr>
              <w:pStyle w:val="TableText"/>
              <w:ind w:left="336"/>
              <w:spacing w:before="32" w:line="216" w:lineRule="auto"/>
              <w:rPr/>
            </w:pPr>
            <w:r>
              <w:rPr>
                <w:rFonts w:ascii="Times New Roman" w:hAnsi="Times New Roman" w:eastAsia="Times New Roman" w:cs="Times New Roman"/>
              </w:rPr>
              <w:t>pH</w:t>
            </w:r>
            <w:r>
              <w:rPr>
                <w:rFonts w:ascii="Times New Roman" w:hAnsi="Times New Roman" w:eastAsia="Times New Roman" w:cs="Times New Roman"/>
                <w:spacing w:val="11"/>
              </w:rPr>
              <w:t xml:space="preserve"> </w:t>
            </w:r>
            <w:r>
              <w:rPr>
                <w:spacing w:val="13"/>
              </w:rPr>
              <w:t>值</w:t>
            </w:r>
          </w:p>
        </w:tc>
        <w:tc>
          <w:tcPr>
            <w:tcW w:w="5521" w:type="dxa"/>
            <w:vAlign w:val="top"/>
          </w:tcPr>
          <w:p>
            <w:pPr>
              <w:pStyle w:val="TableText"/>
              <w:ind w:left="708"/>
              <w:spacing w:before="32" w:line="216" w:lineRule="auto"/>
              <w:rPr>
                <w:rFonts w:ascii="Times New Roman" w:hAnsi="Times New Roman" w:eastAsia="Times New Roman" w:cs="Times New Roman"/>
              </w:rPr>
            </w:pPr>
            <w:r>
              <w:rPr>
                <w:spacing w:val="5"/>
              </w:rPr>
              <w:t>《水质 </w:t>
            </w:r>
            <w:r>
              <w:rPr>
                <w:rFonts w:ascii="Times New Roman" w:hAnsi="Times New Roman" w:eastAsia="Times New Roman" w:cs="Times New Roman"/>
              </w:rPr>
              <w:t>pH</w:t>
            </w:r>
            <w:r>
              <w:rPr>
                <w:rFonts w:ascii="Times New Roman" w:hAnsi="Times New Roman" w:eastAsia="Times New Roman" w:cs="Times New Roman"/>
                <w:spacing w:val="5"/>
              </w:rPr>
              <w:t xml:space="preserve"> </w:t>
            </w:r>
            <w:r>
              <w:rPr>
                <w:spacing w:val="5"/>
              </w:rPr>
              <w:t>值的测定</w:t>
            </w:r>
            <w:r>
              <w:rPr>
                <w:spacing w:val="38"/>
              </w:rPr>
              <w:t xml:space="preserve"> </w:t>
            </w:r>
            <w:r>
              <w:rPr>
                <w:spacing w:val="5"/>
              </w:rPr>
              <w:t>电极法》 </w:t>
            </w:r>
            <w:r>
              <w:rPr>
                <w:rFonts w:ascii="Times New Roman" w:hAnsi="Times New Roman" w:eastAsia="Times New Roman" w:cs="Times New Roman"/>
              </w:rPr>
              <w:t>HJ</w:t>
            </w:r>
            <w:r>
              <w:rPr>
                <w:rFonts w:ascii="Times New Roman" w:hAnsi="Times New Roman" w:eastAsia="Times New Roman" w:cs="Times New Roman"/>
                <w:spacing w:val="28"/>
              </w:rPr>
              <w:t xml:space="preserve"> </w:t>
            </w:r>
            <w:r>
              <w:rPr>
                <w:rFonts w:ascii="Times New Roman" w:hAnsi="Times New Roman" w:eastAsia="Times New Roman" w:cs="Times New Roman"/>
                <w:spacing w:val="5"/>
              </w:rPr>
              <w:t>1147-2020</w:t>
            </w:r>
          </w:p>
        </w:tc>
        <w:tc>
          <w:tcPr>
            <w:tcW w:w="1115" w:type="dxa"/>
            <w:vAlign w:val="top"/>
          </w:tcPr>
          <w:p>
            <w:pPr>
              <w:ind w:left="526"/>
              <w:spacing w:before="6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549" w:hRule="atLeast"/>
        </w:trPr>
        <w:tc>
          <w:tcPr>
            <w:tcW w:w="678" w:type="dxa"/>
            <w:vAlign w:val="top"/>
          </w:tcPr>
          <w:p>
            <w:pPr>
              <w:ind w:left="287"/>
              <w:spacing w:before="2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202" w:type="dxa"/>
            <w:vAlign w:val="top"/>
          </w:tcPr>
          <w:p>
            <w:pPr>
              <w:pStyle w:val="TableText"/>
              <w:ind w:left="291"/>
              <w:spacing w:before="168" w:line="226" w:lineRule="auto"/>
              <w:rPr/>
            </w:pPr>
            <w:r>
              <w:rPr>
                <w:spacing w:val="6"/>
              </w:rPr>
              <w:t>六价铬</w:t>
            </w:r>
          </w:p>
        </w:tc>
        <w:tc>
          <w:tcPr>
            <w:tcW w:w="5521" w:type="dxa"/>
            <w:vAlign w:val="top"/>
          </w:tcPr>
          <w:p>
            <w:pPr>
              <w:pStyle w:val="TableText"/>
              <w:ind w:left="933"/>
              <w:spacing w:before="30" w:line="228" w:lineRule="auto"/>
              <w:rPr/>
            </w:pPr>
            <w:r>
              <w:rPr>
                <w:spacing w:val="8"/>
              </w:rPr>
              <w:t>《生活饮用水标准检验方法 金属指标》</w:t>
            </w:r>
          </w:p>
          <w:p>
            <w:pPr>
              <w:pStyle w:val="TableText"/>
              <w:ind w:left="548"/>
              <w:spacing w:before="27" w:line="216" w:lineRule="auto"/>
              <w:rPr/>
            </w:pPr>
            <w:r>
              <w:rPr>
                <w:rFonts w:ascii="Times New Roman" w:hAnsi="Times New Roman" w:eastAsia="Times New Roman" w:cs="Times New Roman"/>
              </w:rPr>
              <w:t>GB</w:t>
            </w:r>
            <w:r>
              <w:rPr>
                <w:rFonts w:ascii="Times New Roman" w:hAnsi="Times New Roman" w:eastAsia="Times New Roman" w:cs="Times New Roman"/>
                <w:spacing w:val="4"/>
              </w:rPr>
              <w:t>/T</w:t>
            </w:r>
            <w:r>
              <w:rPr>
                <w:rFonts w:ascii="Times New Roman" w:hAnsi="Times New Roman" w:eastAsia="Times New Roman" w:cs="Times New Roman"/>
                <w:spacing w:val="29"/>
              </w:rPr>
              <w:t xml:space="preserve"> </w:t>
            </w:r>
            <w:r>
              <w:rPr>
                <w:rFonts w:ascii="Times New Roman" w:hAnsi="Times New Roman" w:eastAsia="Times New Roman" w:cs="Times New Roman"/>
                <w:spacing w:val="4"/>
              </w:rPr>
              <w:t>5750.6-2023</w:t>
            </w:r>
            <w:r>
              <w:rPr>
                <w:rFonts w:ascii="Times New Roman" w:hAnsi="Times New Roman" w:eastAsia="Times New Roman" w:cs="Times New Roman"/>
                <w:spacing w:val="28"/>
              </w:rPr>
              <w:t xml:space="preserve"> </w:t>
            </w:r>
            <w:r>
              <w:rPr>
                <w:rFonts w:ascii="Times New Roman" w:hAnsi="Times New Roman" w:eastAsia="Times New Roman" w:cs="Times New Roman"/>
                <w:spacing w:val="4"/>
              </w:rPr>
              <w:t>13.</w:t>
            </w:r>
            <w:r>
              <w:rPr>
                <w:rFonts w:ascii="Times New Roman" w:hAnsi="Times New Roman" w:eastAsia="Times New Roman" w:cs="Times New Roman"/>
                <w:spacing w:val="-25"/>
              </w:rPr>
              <w:t xml:space="preserve"> </w:t>
            </w:r>
            <w:r>
              <w:rPr>
                <w:rFonts w:ascii="Times New Roman" w:hAnsi="Times New Roman" w:eastAsia="Times New Roman" w:cs="Times New Roman"/>
                <w:spacing w:val="4"/>
              </w:rPr>
              <w:t>1  </w:t>
            </w:r>
            <w:r>
              <w:rPr>
                <w:spacing w:val="4"/>
              </w:rPr>
              <w:t>二苯碳酰二肼分光光度法</w:t>
            </w:r>
          </w:p>
        </w:tc>
        <w:tc>
          <w:tcPr>
            <w:tcW w:w="1115" w:type="dxa"/>
            <w:vAlign w:val="top"/>
          </w:tcPr>
          <w:p>
            <w:pPr>
              <w:ind w:left="98"/>
              <w:spacing w:before="200"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0.004</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/L</w:t>
            </w:r>
          </w:p>
        </w:tc>
      </w:tr>
      <w:tr>
        <w:trPr>
          <w:trHeight w:val="549" w:hRule="atLeast"/>
        </w:trPr>
        <w:tc>
          <w:tcPr>
            <w:tcW w:w="678" w:type="dxa"/>
            <w:vAlign w:val="top"/>
          </w:tcPr>
          <w:p>
            <w:pPr>
              <w:ind w:left="291"/>
              <w:spacing w:before="2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202" w:type="dxa"/>
            <w:vAlign w:val="top"/>
          </w:tcPr>
          <w:p>
            <w:pPr>
              <w:pStyle w:val="TableText"/>
              <w:ind w:left="288"/>
              <w:spacing w:before="168" w:line="228" w:lineRule="auto"/>
              <w:rPr/>
            </w:pPr>
            <w:r>
              <w:rPr>
                <w:spacing w:val="7"/>
              </w:rPr>
              <w:t>氰化物</w:t>
            </w:r>
          </w:p>
        </w:tc>
        <w:tc>
          <w:tcPr>
            <w:tcW w:w="5521" w:type="dxa"/>
            <w:vAlign w:val="top"/>
          </w:tcPr>
          <w:p>
            <w:pPr>
              <w:pStyle w:val="TableText"/>
              <w:ind w:left="619"/>
              <w:spacing w:before="31" w:line="227" w:lineRule="auto"/>
              <w:rPr/>
            </w:pPr>
            <w:r>
              <w:rPr>
                <w:spacing w:val="8"/>
              </w:rPr>
              <w:t>《生活饮用水标准检验方法 无机非金属指标》</w:t>
            </w:r>
          </w:p>
          <w:p>
            <w:pPr>
              <w:pStyle w:val="TableText"/>
              <w:ind w:left="462"/>
              <w:spacing w:before="27" w:line="216" w:lineRule="auto"/>
              <w:rPr/>
            </w:pPr>
            <w:r>
              <w:rPr>
                <w:rFonts w:ascii="Times New Roman" w:hAnsi="Times New Roman" w:eastAsia="Times New Roman" w:cs="Times New Roman"/>
              </w:rPr>
              <w:t>GB</w:t>
            </w:r>
            <w:r>
              <w:rPr>
                <w:rFonts w:ascii="Times New Roman" w:hAnsi="Times New Roman" w:eastAsia="Times New Roman" w:cs="Times New Roman"/>
                <w:spacing w:val="5"/>
              </w:rPr>
              <w:t>/T</w:t>
            </w:r>
            <w:r>
              <w:rPr>
                <w:rFonts w:ascii="Times New Roman" w:hAnsi="Times New Roman" w:eastAsia="Times New Roman" w:cs="Times New Roman"/>
                <w:spacing w:val="23"/>
                <w:w w:val="101"/>
              </w:rPr>
              <w:t xml:space="preserve"> </w:t>
            </w:r>
            <w:r>
              <w:rPr>
                <w:rFonts w:ascii="Times New Roman" w:hAnsi="Times New Roman" w:eastAsia="Times New Roman" w:cs="Times New Roman"/>
                <w:spacing w:val="5"/>
              </w:rPr>
              <w:t>5750.5-2023 7.</w:t>
            </w:r>
            <w:r>
              <w:rPr>
                <w:rFonts w:ascii="Times New Roman" w:hAnsi="Times New Roman" w:eastAsia="Times New Roman" w:cs="Times New Roman"/>
                <w:spacing w:val="-25"/>
              </w:rPr>
              <w:t xml:space="preserve"> </w:t>
            </w:r>
            <w:r>
              <w:rPr>
                <w:rFonts w:ascii="Times New Roman" w:hAnsi="Times New Roman" w:eastAsia="Times New Roman" w:cs="Times New Roman"/>
                <w:spacing w:val="5"/>
              </w:rPr>
              <w:t>1  </w:t>
            </w:r>
            <w:r>
              <w:rPr>
                <w:spacing w:val="5"/>
              </w:rPr>
              <w:t>异烟酸</w:t>
            </w:r>
            <w:r>
              <w:rPr>
                <w:rFonts w:ascii="Times New Roman" w:hAnsi="Times New Roman" w:eastAsia="Times New Roman" w:cs="Times New Roman"/>
                <w:spacing w:val="5"/>
              </w:rPr>
              <w:t>-</w:t>
            </w:r>
            <w:r>
              <w:rPr>
                <w:spacing w:val="5"/>
              </w:rPr>
              <w:t>吡唑啉酮分光光度法</w:t>
            </w:r>
          </w:p>
        </w:tc>
        <w:tc>
          <w:tcPr>
            <w:tcW w:w="1115" w:type="dxa"/>
            <w:vAlign w:val="top"/>
          </w:tcPr>
          <w:p>
            <w:pPr>
              <w:ind w:left="98"/>
              <w:spacing w:before="200"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0.002</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/L</w:t>
            </w:r>
          </w:p>
        </w:tc>
      </w:tr>
      <w:tr>
        <w:trPr>
          <w:trHeight w:val="277" w:hRule="atLeast"/>
        </w:trPr>
        <w:tc>
          <w:tcPr>
            <w:tcW w:w="678" w:type="dxa"/>
            <w:vAlign w:val="top"/>
          </w:tcPr>
          <w:p>
            <w:pPr>
              <w:ind w:left="28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202" w:type="dxa"/>
            <w:vAlign w:val="top"/>
          </w:tcPr>
          <w:p>
            <w:pPr>
              <w:pStyle w:val="TableText"/>
              <w:ind w:left="500"/>
              <w:spacing w:before="34" w:line="215" w:lineRule="auto"/>
              <w:rPr/>
            </w:pPr>
            <w:r>
              <w:rPr>
                <w:spacing w:val="1"/>
              </w:rPr>
              <w:t>砷</w:t>
            </w:r>
          </w:p>
        </w:tc>
        <w:tc>
          <w:tcPr>
            <w:tcW w:w="5521" w:type="dxa"/>
            <w:vAlign w:val="top"/>
            <w:vMerge w:val="restart"/>
            <w:tcBorders>
              <w:bottom w:val="nil"/>
            </w:tcBorders>
          </w:tcPr>
          <w:p>
            <w:pPr>
              <w:pStyle w:val="TableText"/>
              <w:ind w:left="566"/>
              <w:spacing w:before="53" w:line="228" w:lineRule="auto"/>
              <w:rPr/>
            </w:pPr>
            <w:r>
              <w:rPr>
                <w:spacing w:val="8"/>
              </w:rPr>
              <w:t>《水质汞、砷、硒、铋和锑的测定原子荧光法》</w:t>
            </w:r>
          </w:p>
          <w:p>
            <w:pPr>
              <w:ind w:left="2215"/>
              <w:spacing w:before="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15"/>
              </w:rPr>
              <w:t xml:space="preserve"> </w:t>
            </w:r>
            <w:r>
              <w:rPr>
                <w:rFonts w:ascii="Times New Roman" w:hAnsi="Times New Roman" w:eastAsia="Times New Roman" w:cs="Times New Roman"/>
                <w:sz w:val="20"/>
                <w:szCs w:val="20"/>
                <w:spacing w:val="4"/>
              </w:rPr>
              <w:t>694-2014</w:t>
            </w:r>
          </w:p>
        </w:tc>
        <w:tc>
          <w:tcPr>
            <w:tcW w:w="1115" w:type="dxa"/>
            <w:vAlign w:val="top"/>
          </w:tcPr>
          <w:p>
            <w:pPr>
              <w:ind w:left="61"/>
              <w:spacing w:before="50" w:line="21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3×10</w:t>
            </w:r>
            <w:r>
              <w:rPr>
                <w:rFonts w:ascii="Times New Roman" w:hAnsi="Times New Roman" w:eastAsia="Times New Roman" w:cs="Times New Roman"/>
                <w:sz w:val="13"/>
                <w:szCs w:val="13"/>
                <w:spacing w:val="4"/>
                <w:position w:val="6"/>
              </w:rPr>
              <w:t>-4</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/L</w:t>
            </w:r>
          </w:p>
        </w:tc>
      </w:tr>
      <w:tr>
        <w:trPr>
          <w:trHeight w:val="277" w:hRule="atLeast"/>
        </w:trPr>
        <w:tc>
          <w:tcPr>
            <w:tcW w:w="678" w:type="dxa"/>
            <w:vAlign w:val="top"/>
          </w:tcPr>
          <w:p>
            <w:pPr>
              <w:ind w:left="292"/>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202" w:type="dxa"/>
            <w:vAlign w:val="top"/>
          </w:tcPr>
          <w:p>
            <w:pPr>
              <w:pStyle w:val="TableText"/>
              <w:ind w:left="194"/>
              <w:spacing w:before="33" w:line="216" w:lineRule="auto"/>
              <w:rPr/>
            </w:pPr>
            <w:r>
              <w:rPr>
                <w:spacing w:val="4"/>
              </w:rPr>
              <w:t>（总）汞</w:t>
            </w:r>
          </w:p>
        </w:tc>
        <w:tc>
          <w:tcPr>
            <w:tcW w:w="5521" w:type="dxa"/>
            <w:vAlign w:val="top"/>
            <w:vMerge w:val="continue"/>
            <w:tcBorders>
              <w:top w:val="nil"/>
            </w:tcBorders>
          </w:tcPr>
          <w:p>
            <w:pPr>
              <w:rPr>
                <w:rFonts w:ascii="Arial"/>
                <w:sz w:val="21"/>
              </w:rPr>
            </w:pPr>
            <w:r/>
          </w:p>
        </w:tc>
        <w:tc>
          <w:tcPr>
            <w:tcW w:w="1115" w:type="dxa"/>
            <w:vAlign w:val="top"/>
          </w:tcPr>
          <w:p>
            <w:pPr>
              <w:ind w:left="56"/>
              <w:spacing w:before="50" w:line="21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4×10</w:t>
            </w:r>
            <w:r>
              <w:rPr>
                <w:rFonts w:ascii="Times New Roman" w:hAnsi="Times New Roman" w:eastAsia="Times New Roman" w:cs="Times New Roman"/>
                <w:sz w:val="13"/>
                <w:szCs w:val="13"/>
                <w:spacing w:val="5"/>
                <w:position w:val="6"/>
              </w:rPr>
              <w:t>-5</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5"/>
              </w:rPr>
              <w:t>/L</w:t>
            </w:r>
          </w:p>
        </w:tc>
      </w:tr>
      <w:tr>
        <w:trPr>
          <w:trHeight w:val="549" w:hRule="atLeast"/>
        </w:trPr>
        <w:tc>
          <w:tcPr>
            <w:tcW w:w="678" w:type="dxa"/>
            <w:vAlign w:val="top"/>
          </w:tcPr>
          <w:p>
            <w:pPr>
              <w:ind w:left="291"/>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202" w:type="dxa"/>
            <w:vAlign w:val="top"/>
          </w:tcPr>
          <w:p>
            <w:pPr>
              <w:ind w:left="520"/>
              <w:spacing w:before="210" w:line="19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F</w:t>
            </w:r>
            <w:r>
              <w:rPr>
                <w:rFonts w:ascii="Times New Roman" w:hAnsi="Times New Roman" w:eastAsia="Times New Roman" w:cs="Times New Roman"/>
                <w:sz w:val="13"/>
                <w:szCs w:val="13"/>
                <w:spacing w:val="1"/>
                <w:position w:val="6"/>
              </w:rPr>
              <w:t>-</w:t>
            </w:r>
          </w:p>
        </w:tc>
        <w:tc>
          <w:tcPr>
            <w:tcW w:w="5521" w:type="dxa"/>
            <w:vAlign w:val="top"/>
          </w:tcPr>
          <w:p>
            <w:pPr>
              <w:pStyle w:val="TableText"/>
              <w:spacing w:before="34" w:line="227" w:lineRule="auto"/>
              <w:jc w:val="right"/>
              <w:rPr/>
            </w:pPr>
            <w:r>
              <w:rPr>
                <w:spacing w:val="-2"/>
              </w:rPr>
              <w:t>《水质 无机阴离子（</w:t>
            </w:r>
            <w:r>
              <w:rPr>
                <w:rFonts w:ascii="Times New Roman" w:hAnsi="Times New Roman" w:eastAsia="Times New Roman" w:cs="Times New Roman"/>
                <w:spacing w:val="-2"/>
              </w:rPr>
              <w:t>F</w:t>
            </w:r>
            <w:r>
              <w:rPr>
                <w:rFonts w:ascii="Times New Roman" w:hAnsi="Times New Roman" w:eastAsia="Times New Roman" w:cs="Times New Roman"/>
                <w:sz w:val="13"/>
                <w:szCs w:val="13"/>
                <w:spacing w:val="-2"/>
                <w:position w:val="6"/>
              </w:rPr>
              <w:t>-</w:t>
            </w:r>
            <w:r>
              <w:rPr>
                <w:spacing w:val="-2"/>
              </w:rPr>
              <w:t>、</w:t>
            </w:r>
            <w:r>
              <w:rPr>
                <w:rFonts w:ascii="Times New Roman" w:hAnsi="Times New Roman" w:eastAsia="Times New Roman" w:cs="Times New Roman"/>
                <w:spacing w:val="-2"/>
              </w:rPr>
              <w:t>Cl</w:t>
            </w:r>
            <w:r>
              <w:rPr>
                <w:rFonts w:ascii="Times New Roman" w:hAnsi="Times New Roman" w:eastAsia="Times New Roman" w:cs="Times New Roman"/>
                <w:sz w:val="13"/>
                <w:szCs w:val="13"/>
                <w:spacing w:val="-2"/>
                <w:position w:val="6"/>
              </w:rPr>
              <w:t>-</w:t>
            </w:r>
            <w:r>
              <w:rPr>
                <w:spacing w:val="-2"/>
              </w:rPr>
              <w:t>、</w:t>
            </w:r>
            <w:r>
              <w:rPr>
                <w:rFonts w:ascii="Times New Roman" w:hAnsi="Times New Roman" w:eastAsia="Times New Roman" w:cs="Times New Roman"/>
                <w:spacing w:val="-2"/>
              </w:rPr>
              <w:t>NO</w:t>
            </w:r>
            <w:r>
              <w:rPr>
                <w:rFonts w:ascii="Times New Roman" w:hAnsi="Times New Roman" w:eastAsia="Times New Roman" w:cs="Times New Roman"/>
                <w:sz w:val="13"/>
                <w:szCs w:val="13"/>
                <w:spacing w:val="-2"/>
                <w:position w:val="-1"/>
              </w:rPr>
              <w:t>2</w:t>
            </w:r>
            <w:r>
              <w:rPr>
                <w:rFonts w:ascii="Times New Roman" w:hAnsi="Times New Roman" w:eastAsia="Times New Roman" w:cs="Times New Roman"/>
                <w:sz w:val="13"/>
                <w:szCs w:val="13"/>
                <w:spacing w:val="-2"/>
                <w:position w:val="6"/>
              </w:rPr>
              <w:t>-</w:t>
            </w:r>
            <w:r>
              <w:rPr>
                <w:spacing w:val="-2"/>
              </w:rPr>
              <w:t>、</w:t>
            </w:r>
            <w:r>
              <w:rPr>
                <w:rFonts w:ascii="Times New Roman" w:hAnsi="Times New Roman" w:eastAsia="Times New Roman" w:cs="Times New Roman"/>
                <w:spacing w:val="-2"/>
              </w:rPr>
              <w:t>Br</w:t>
            </w:r>
            <w:r>
              <w:rPr>
                <w:rFonts w:ascii="Times New Roman" w:hAnsi="Times New Roman" w:eastAsia="Times New Roman" w:cs="Times New Roman"/>
                <w:sz w:val="13"/>
                <w:szCs w:val="13"/>
                <w:spacing w:val="-2"/>
                <w:position w:val="6"/>
              </w:rPr>
              <w:t>-</w:t>
            </w:r>
            <w:r>
              <w:rPr>
                <w:spacing w:val="-2"/>
              </w:rPr>
              <w:t>、</w:t>
            </w:r>
            <w:r>
              <w:rPr>
                <w:rFonts w:ascii="Times New Roman" w:hAnsi="Times New Roman" w:eastAsia="Times New Roman" w:cs="Times New Roman"/>
                <w:spacing w:val="-2"/>
              </w:rPr>
              <w:t>NO</w:t>
            </w:r>
            <w:r>
              <w:rPr>
                <w:rFonts w:ascii="Times New Roman" w:hAnsi="Times New Roman" w:eastAsia="Times New Roman" w:cs="Times New Roman"/>
                <w:sz w:val="13"/>
                <w:szCs w:val="13"/>
                <w:spacing w:val="-2"/>
                <w:position w:val="-1"/>
              </w:rPr>
              <w:t>3</w:t>
            </w:r>
            <w:r>
              <w:rPr>
                <w:rFonts w:ascii="Times New Roman" w:hAnsi="Times New Roman" w:eastAsia="Times New Roman" w:cs="Times New Roman"/>
                <w:sz w:val="13"/>
                <w:szCs w:val="13"/>
                <w:spacing w:val="-2"/>
                <w:position w:val="6"/>
              </w:rPr>
              <w:t>-</w:t>
            </w:r>
            <w:r>
              <w:rPr>
                <w:spacing w:val="-2"/>
              </w:rPr>
              <w:t>、</w:t>
            </w:r>
            <w:r>
              <w:rPr>
                <w:rFonts w:ascii="Times New Roman" w:hAnsi="Times New Roman" w:eastAsia="Times New Roman" w:cs="Times New Roman"/>
                <w:spacing w:val="-2"/>
              </w:rPr>
              <w:t>PO</w:t>
            </w:r>
            <w:r>
              <w:rPr>
                <w:rFonts w:ascii="Times New Roman" w:hAnsi="Times New Roman" w:eastAsia="Times New Roman" w:cs="Times New Roman"/>
                <w:sz w:val="13"/>
                <w:szCs w:val="13"/>
                <w:spacing w:val="-2"/>
                <w:position w:val="-1"/>
              </w:rPr>
              <w:t>4</w:t>
            </w:r>
            <w:r>
              <w:rPr>
                <w:rFonts w:ascii="Times New Roman" w:hAnsi="Times New Roman" w:eastAsia="Times New Roman" w:cs="Times New Roman"/>
                <w:sz w:val="13"/>
                <w:szCs w:val="13"/>
                <w:spacing w:val="-2"/>
                <w:position w:val="6"/>
              </w:rPr>
              <w:t>3-</w:t>
            </w:r>
            <w:r>
              <w:rPr>
                <w:spacing w:val="-2"/>
              </w:rPr>
              <w:t>、</w:t>
            </w:r>
            <w:r>
              <w:rPr>
                <w:rFonts w:ascii="Times New Roman" w:hAnsi="Times New Roman" w:eastAsia="Times New Roman" w:cs="Times New Roman"/>
                <w:spacing w:val="-2"/>
              </w:rPr>
              <w:t>SO</w:t>
            </w:r>
            <w:r>
              <w:rPr>
                <w:rFonts w:ascii="Times New Roman" w:hAnsi="Times New Roman" w:eastAsia="Times New Roman" w:cs="Times New Roman"/>
                <w:sz w:val="13"/>
                <w:szCs w:val="13"/>
                <w:spacing w:val="-2"/>
                <w:position w:val="-1"/>
              </w:rPr>
              <w:t>3</w:t>
            </w:r>
            <w:r>
              <w:rPr>
                <w:rFonts w:ascii="Times New Roman" w:hAnsi="Times New Roman" w:eastAsia="Times New Roman" w:cs="Times New Roman"/>
                <w:sz w:val="13"/>
                <w:szCs w:val="13"/>
                <w:spacing w:val="-2"/>
                <w:position w:val="6"/>
              </w:rPr>
              <w:t>2-</w:t>
            </w:r>
            <w:r>
              <w:rPr>
                <w:spacing w:val="-2"/>
              </w:rPr>
              <w:t>、</w:t>
            </w:r>
          </w:p>
          <w:p>
            <w:pPr>
              <w:pStyle w:val="TableText"/>
              <w:ind w:left="950"/>
              <w:spacing w:before="25" w:line="206" w:lineRule="auto"/>
              <w:rPr>
                <w:rFonts w:ascii="Times New Roman" w:hAnsi="Times New Roman" w:eastAsia="Times New Roman" w:cs="Times New Roman"/>
              </w:rPr>
            </w:pPr>
            <w:r>
              <w:rPr>
                <w:rFonts w:ascii="Times New Roman" w:hAnsi="Times New Roman" w:eastAsia="Times New Roman" w:cs="Times New Roman"/>
              </w:rPr>
              <w:t>SO</w:t>
            </w:r>
            <w:r>
              <w:rPr>
                <w:rFonts w:ascii="Times New Roman" w:hAnsi="Times New Roman" w:eastAsia="Times New Roman" w:cs="Times New Roman"/>
                <w:sz w:val="13"/>
                <w:szCs w:val="13"/>
                <w:spacing w:val="6"/>
                <w:position w:val="-1"/>
              </w:rPr>
              <w:t>4</w:t>
            </w:r>
            <w:r>
              <w:rPr>
                <w:rFonts w:ascii="Times New Roman" w:hAnsi="Times New Roman" w:eastAsia="Times New Roman" w:cs="Times New Roman"/>
                <w:sz w:val="13"/>
                <w:szCs w:val="13"/>
                <w:spacing w:val="6"/>
                <w:position w:val="1"/>
              </w:rPr>
              <w:t>2-</w:t>
            </w:r>
            <w:r>
              <w:rPr>
                <w:spacing w:val="6"/>
                <w:position w:val="1"/>
              </w:rPr>
              <w:t>）</w:t>
            </w:r>
            <w:r>
              <w:rPr>
                <w:spacing w:val="6"/>
              </w:rPr>
              <w:t>的测定 离子色谱法》</w:t>
            </w:r>
            <w:r>
              <w:rPr>
                <w:rFonts w:ascii="Times New Roman" w:hAnsi="Times New Roman" w:eastAsia="Times New Roman" w:cs="Times New Roman"/>
              </w:rPr>
              <w:t>HJ</w:t>
            </w:r>
            <w:r>
              <w:rPr>
                <w:rFonts w:ascii="Times New Roman" w:hAnsi="Times New Roman" w:eastAsia="Times New Roman" w:cs="Times New Roman"/>
                <w:spacing w:val="31"/>
                <w:w w:val="101"/>
              </w:rPr>
              <w:t xml:space="preserve"> </w:t>
            </w:r>
            <w:r>
              <w:rPr>
                <w:rFonts w:ascii="Times New Roman" w:hAnsi="Times New Roman" w:eastAsia="Times New Roman" w:cs="Times New Roman"/>
                <w:spacing w:val="6"/>
              </w:rPr>
              <w:t>84-2016</w:t>
            </w:r>
          </w:p>
        </w:tc>
        <w:tc>
          <w:tcPr>
            <w:tcW w:w="1115" w:type="dxa"/>
            <w:vAlign w:val="top"/>
          </w:tcPr>
          <w:p>
            <w:pPr>
              <w:ind w:left="98"/>
              <w:spacing w:before="20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0.006</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/L</w:t>
            </w:r>
          </w:p>
        </w:tc>
      </w:tr>
      <w:tr>
        <w:trPr>
          <w:trHeight w:val="550" w:hRule="atLeast"/>
        </w:trPr>
        <w:tc>
          <w:tcPr>
            <w:tcW w:w="678" w:type="dxa"/>
            <w:vAlign w:val="top"/>
          </w:tcPr>
          <w:p>
            <w:pPr>
              <w:ind w:left="290"/>
              <w:spacing w:before="20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202" w:type="dxa"/>
            <w:vAlign w:val="top"/>
          </w:tcPr>
          <w:p>
            <w:pPr>
              <w:pStyle w:val="TableText"/>
              <w:ind w:left="500"/>
              <w:spacing w:before="169" w:line="232" w:lineRule="auto"/>
              <w:rPr/>
            </w:pPr>
            <w:r>
              <w:rPr/>
              <w:t>铅</w:t>
            </w:r>
          </w:p>
        </w:tc>
        <w:tc>
          <w:tcPr>
            <w:tcW w:w="5521" w:type="dxa"/>
            <w:vAlign w:val="top"/>
          </w:tcPr>
          <w:p>
            <w:pPr>
              <w:pStyle w:val="TableText"/>
              <w:ind w:left="648" w:right="4" w:hanging="610"/>
              <w:spacing w:before="35" w:line="233" w:lineRule="auto"/>
              <w:rPr/>
            </w:pPr>
            <w:r>
              <w:rPr>
                <w:spacing w:val="-11"/>
              </w:rPr>
              <w:t>《水和废水监测分析方法》</w:t>
            </w:r>
            <w:r>
              <w:rPr>
                <w:spacing w:val="-25"/>
              </w:rPr>
              <w:t xml:space="preserve"> </w:t>
            </w:r>
            <w:r>
              <w:rPr>
                <w:rFonts w:ascii="Times New Roman" w:hAnsi="Times New Roman" w:eastAsia="Times New Roman" w:cs="Times New Roman"/>
                <w:spacing w:val="-11"/>
              </w:rPr>
              <w:t>(</w:t>
            </w:r>
            <w:r>
              <w:rPr>
                <w:spacing w:val="-11"/>
              </w:rPr>
              <w:t>第四版增补版</w:t>
            </w:r>
            <w:r>
              <w:rPr>
                <w:rFonts w:ascii="Times New Roman" w:hAnsi="Times New Roman" w:eastAsia="Times New Roman" w:cs="Times New Roman"/>
                <w:spacing w:val="-11"/>
              </w:rPr>
              <w:t>)</w:t>
            </w:r>
            <w:r>
              <w:rPr>
                <w:spacing w:val="-11"/>
              </w:rPr>
              <w:t>国家环</w:t>
            </w:r>
            <w:r>
              <w:rPr>
                <w:spacing w:val="-12"/>
              </w:rPr>
              <w:t>境保护总局第三</w:t>
            </w:r>
            <w:r>
              <w:rPr/>
              <w:t xml:space="preserve"> </w:t>
            </w:r>
            <w:r>
              <w:rPr>
                <w:spacing w:val="-10"/>
              </w:rPr>
              <w:t>篇</w:t>
            </w:r>
            <w:r>
              <w:rPr>
                <w:spacing w:val="-30"/>
              </w:rPr>
              <w:t xml:space="preserve"> </w:t>
            </w:r>
            <w:r>
              <w:rPr>
                <w:spacing w:val="-10"/>
              </w:rPr>
              <w:t>第四章</w:t>
            </w:r>
            <w:r>
              <w:rPr>
                <w:spacing w:val="-31"/>
              </w:rPr>
              <w:t xml:space="preserve"> </w:t>
            </w:r>
            <w:r>
              <w:rPr>
                <w:spacing w:val="-10"/>
              </w:rPr>
              <w:t>十六、铅（五）石墨炉原子吸收法（</w:t>
            </w:r>
            <w:r>
              <w:rPr>
                <w:rFonts w:ascii="Times New Roman" w:hAnsi="Times New Roman" w:eastAsia="Times New Roman" w:cs="Times New Roman"/>
                <w:spacing w:val="-10"/>
              </w:rPr>
              <w:t>B</w:t>
            </w:r>
            <w:r>
              <w:rPr>
                <w:spacing w:val="-10"/>
              </w:rPr>
              <w:t>）</w:t>
            </w:r>
          </w:p>
        </w:tc>
        <w:tc>
          <w:tcPr>
            <w:tcW w:w="1115" w:type="dxa"/>
            <w:vAlign w:val="top"/>
          </w:tcPr>
          <w:p>
            <w:pPr>
              <w:ind w:left="77"/>
              <w:spacing w:before="187" w:line="21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1×10</w:t>
            </w:r>
            <w:r>
              <w:rPr>
                <w:rFonts w:ascii="Times New Roman" w:hAnsi="Times New Roman" w:eastAsia="Times New Roman" w:cs="Times New Roman"/>
                <w:sz w:val="13"/>
                <w:szCs w:val="13"/>
                <w:spacing w:val="2"/>
                <w:position w:val="6"/>
              </w:rPr>
              <w:t>-3</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2"/>
              </w:rPr>
              <w:t>/L</w:t>
            </w:r>
          </w:p>
        </w:tc>
      </w:tr>
      <w:tr>
        <w:trPr>
          <w:trHeight w:val="549" w:hRule="atLeast"/>
        </w:trPr>
        <w:tc>
          <w:tcPr>
            <w:tcW w:w="678" w:type="dxa"/>
            <w:vAlign w:val="top"/>
          </w:tcPr>
          <w:p>
            <w:pPr>
              <w:ind w:left="295"/>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202" w:type="dxa"/>
            <w:vAlign w:val="top"/>
          </w:tcPr>
          <w:p>
            <w:pPr>
              <w:pStyle w:val="TableText"/>
              <w:ind w:left="508"/>
              <w:spacing w:before="168" w:line="231" w:lineRule="auto"/>
              <w:rPr/>
            </w:pPr>
            <w:r>
              <w:rPr>
                <w:spacing w:val="2"/>
              </w:rPr>
              <w:t>镉</w:t>
            </w:r>
          </w:p>
        </w:tc>
        <w:tc>
          <w:tcPr>
            <w:tcW w:w="5521" w:type="dxa"/>
            <w:vAlign w:val="top"/>
          </w:tcPr>
          <w:p>
            <w:pPr>
              <w:pStyle w:val="TableText"/>
              <w:ind w:left="84" w:right="4" w:hanging="46"/>
              <w:spacing w:before="34" w:line="233" w:lineRule="auto"/>
              <w:rPr/>
            </w:pPr>
            <w:r>
              <w:rPr>
                <w:spacing w:val="-11"/>
              </w:rPr>
              <w:t>《水和废水监测分析方法》</w:t>
            </w:r>
            <w:r>
              <w:rPr>
                <w:spacing w:val="-25"/>
              </w:rPr>
              <w:t xml:space="preserve"> </w:t>
            </w:r>
            <w:r>
              <w:rPr>
                <w:rFonts w:ascii="Times New Roman" w:hAnsi="Times New Roman" w:eastAsia="Times New Roman" w:cs="Times New Roman"/>
                <w:spacing w:val="-11"/>
              </w:rPr>
              <w:t>(</w:t>
            </w:r>
            <w:r>
              <w:rPr>
                <w:spacing w:val="-11"/>
              </w:rPr>
              <w:t>第四版增补版</w:t>
            </w:r>
            <w:r>
              <w:rPr>
                <w:rFonts w:ascii="Times New Roman" w:hAnsi="Times New Roman" w:eastAsia="Times New Roman" w:cs="Times New Roman"/>
                <w:spacing w:val="-11"/>
              </w:rPr>
              <w:t>)</w:t>
            </w:r>
            <w:r>
              <w:rPr>
                <w:spacing w:val="-11"/>
              </w:rPr>
              <w:t>国家环</w:t>
            </w:r>
            <w:r>
              <w:rPr>
                <w:spacing w:val="-12"/>
              </w:rPr>
              <w:t>境保护总局第三</w:t>
            </w:r>
            <w:r>
              <w:rPr/>
              <w:t xml:space="preserve"> </w:t>
            </w:r>
            <w:r>
              <w:rPr>
                <w:spacing w:val="-11"/>
              </w:rPr>
              <w:t>篇</w:t>
            </w:r>
            <w:r>
              <w:rPr>
                <w:spacing w:val="-12"/>
              </w:rPr>
              <w:t xml:space="preserve"> </w:t>
            </w:r>
            <w:r>
              <w:rPr>
                <w:spacing w:val="-11"/>
              </w:rPr>
              <w:t>第四章</w:t>
            </w:r>
            <w:r>
              <w:rPr>
                <w:spacing w:val="-33"/>
              </w:rPr>
              <w:t xml:space="preserve"> </w:t>
            </w:r>
            <w:r>
              <w:rPr>
                <w:spacing w:val="-11"/>
              </w:rPr>
              <w:t>七、镉（四）石墨炉原子吸收法测定镉、铜和铅（</w:t>
            </w:r>
            <w:r>
              <w:rPr>
                <w:rFonts w:ascii="Times New Roman" w:hAnsi="Times New Roman" w:eastAsia="Times New Roman" w:cs="Times New Roman"/>
                <w:spacing w:val="-11"/>
              </w:rPr>
              <w:t>B</w:t>
            </w:r>
            <w:r>
              <w:rPr>
                <w:spacing w:val="-11"/>
              </w:rPr>
              <w:t>）</w:t>
            </w:r>
          </w:p>
        </w:tc>
        <w:tc>
          <w:tcPr>
            <w:tcW w:w="1115" w:type="dxa"/>
            <w:vAlign w:val="top"/>
          </w:tcPr>
          <w:p>
            <w:pPr>
              <w:ind w:left="77"/>
              <w:spacing w:before="186" w:line="21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1×10</w:t>
            </w:r>
            <w:r>
              <w:rPr>
                <w:rFonts w:ascii="Times New Roman" w:hAnsi="Times New Roman" w:eastAsia="Times New Roman" w:cs="Times New Roman"/>
                <w:sz w:val="13"/>
                <w:szCs w:val="13"/>
                <w:spacing w:val="2"/>
                <w:position w:val="6"/>
              </w:rPr>
              <w:t>-4</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2"/>
              </w:rPr>
              <w:t>/L</w:t>
            </w:r>
          </w:p>
        </w:tc>
      </w:tr>
      <w:tr>
        <w:trPr>
          <w:trHeight w:val="550" w:hRule="atLeast"/>
        </w:trPr>
        <w:tc>
          <w:tcPr>
            <w:tcW w:w="678" w:type="dxa"/>
            <w:vAlign w:val="top"/>
          </w:tcPr>
          <w:p>
            <w:pPr>
              <w:ind w:left="291"/>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202" w:type="dxa"/>
            <w:vAlign w:val="top"/>
          </w:tcPr>
          <w:p>
            <w:pPr>
              <w:pStyle w:val="TableText"/>
              <w:ind w:left="10" w:firstLine="71"/>
              <w:spacing w:before="35" w:line="233" w:lineRule="auto"/>
              <w:rPr/>
            </w:pPr>
            <w:r>
              <w:rPr>
                <w:spacing w:val="-7"/>
              </w:rPr>
              <w:t>高锰酸盐指</w:t>
            </w:r>
            <w:r>
              <w:rPr>
                <w:spacing w:val="1"/>
              </w:rPr>
              <w:t xml:space="preserve">  </w:t>
            </w:r>
            <w:r>
              <w:rPr>
                <w:spacing w:val="-22"/>
              </w:rPr>
              <w:t>数（以</w:t>
            </w:r>
            <w:r>
              <w:rPr>
                <w:spacing w:val="-42"/>
              </w:rPr>
              <w:t xml:space="preserve"> </w:t>
            </w:r>
            <w:r>
              <w:rPr>
                <w:rFonts w:ascii="Times New Roman" w:hAnsi="Times New Roman" w:eastAsia="Times New Roman" w:cs="Times New Roman"/>
                <w:spacing w:val="-22"/>
              </w:rPr>
              <w:t>O</w:t>
            </w:r>
            <w:r>
              <w:rPr>
                <w:rFonts w:ascii="Times New Roman" w:hAnsi="Times New Roman" w:eastAsia="Times New Roman" w:cs="Times New Roman"/>
                <w:sz w:val="13"/>
                <w:szCs w:val="13"/>
                <w:spacing w:val="-1"/>
                <w:position w:val="-1"/>
              </w:rPr>
              <w:t>2</w:t>
            </w:r>
            <w:r>
              <w:rPr>
                <w:rFonts w:ascii="Times New Roman" w:hAnsi="Times New Roman" w:eastAsia="Times New Roman" w:cs="Times New Roman"/>
                <w:sz w:val="13"/>
                <w:szCs w:val="13"/>
                <w:spacing w:val="8"/>
                <w:w w:val="101"/>
                <w:position w:val="-1"/>
              </w:rPr>
              <w:t xml:space="preserve"> </w:t>
            </w:r>
            <w:r>
              <w:rPr>
                <w:spacing w:val="-17"/>
              </w:rPr>
              <w:t>计）</w:t>
            </w:r>
          </w:p>
        </w:tc>
        <w:tc>
          <w:tcPr>
            <w:tcW w:w="5521" w:type="dxa"/>
            <w:vAlign w:val="top"/>
          </w:tcPr>
          <w:p>
            <w:pPr>
              <w:pStyle w:val="TableText"/>
              <w:ind w:left="812" w:right="619" w:hanging="193"/>
              <w:spacing w:before="35" w:line="233" w:lineRule="auto"/>
              <w:rPr/>
            </w:pPr>
            <w:r>
              <w:rPr>
                <w:spacing w:val="8"/>
              </w:rPr>
              <w:t>《生活饮用水标准检验方法 有机物综合指标》 </w:t>
            </w:r>
            <w:r>
              <w:rPr>
                <w:rFonts w:ascii="Times New Roman" w:hAnsi="Times New Roman" w:eastAsia="Times New Roman" w:cs="Times New Roman"/>
              </w:rPr>
              <w:t>GB</w:t>
            </w:r>
            <w:r>
              <w:rPr>
                <w:rFonts w:ascii="Times New Roman" w:hAnsi="Times New Roman" w:eastAsia="Times New Roman" w:cs="Times New Roman"/>
                <w:spacing w:val="5"/>
              </w:rPr>
              <w:t>/T</w:t>
            </w:r>
            <w:r>
              <w:rPr>
                <w:rFonts w:ascii="Times New Roman" w:hAnsi="Times New Roman" w:eastAsia="Times New Roman" w:cs="Times New Roman"/>
                <w:spacing w:val="15"/>
                <w:w w:val="101"/>
              </w:rPr>
              <w:t xml:space="preserve"> </w:t>
            </w:r>
            <w:r>
              <w:rPr>
                <w:rFonts w:ascii="Times New Roman" w:hAnsi="Times New Roman" w:eastAsia="Times New Roman" w:cs="Times New Roman"/>
                <w:spacing w:val="5"/>
              </w:rPr>
              <w:t>5750.7-2023 4.</w:t>
            </w:r>
            <w:r>
              <w:rPr>
                <w:rFonts w:ascii="Times New Roman" w:hAnsi="Times New Roman" w:eastAsia="Times New Roman" w:cs="Times New Roman"/>
                <w:spacing w:val="-25"/>
              </w:rPr>
              <w:t xml:space="preserve"> </w:t>
            </w:r>
            <w:r>
              <w:rPr>
                <w:rFonts w:ascii="Times New Roman" w:hAnsi="Times New Roman" w:eastAsia="Times New Roman" w:cs="Times New Roman"/>
                <w:spacing w:val="5"/>
              </w:rPr>
              <w:t>1  </w:t>
            </w:r>
            <w:r>
              <w:rPr>
                <w:spacing w:val="5"/>
              </w:rPr>
              <w:t>酸性高锰酸</w:t>
            </w:r>
            <w:r>
              <w:rPr>
                <w:spacing w:val="4"/>
              </w:rPr>
              <w:t>钾滴定法</w:t>
            </w:r>
          </w:p>
        </w:tc>
        <w:tc>
          <w:tcPr>
            <w:tcW w:w="1115" w:type="dxa"/>
            <w:vAlign w:val="top"/>
          </w:tcPr>
          <w:p>
            <w:pPr>
              <w:ind w:left="151"/>
              <w:spacing w:before="20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0.05</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/L</w:t>
            </w:r>
          </w:p>
        </w:tc>
      </w:tr>
      <w:tr>
        <w:trPr>
          <w:trHeight w:val="550" w:hRule="atLeast"/>
        </w:trPr>
        <w:tc>
          <w:tcPr>
            <w:tcW w:w="678" w:type="dxa"/>
            <w:vAlign w:val="top"/>
          </w:tcPr>
          <w:p>
            <w:pPr>
              <w:ind w:left="256"/>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202" w:type="dxa"/>
            <w:vAlign w:val="top"/>
          </w:tcPr>
          <w:p>
            <w:pPr>
              <w:ind w:left="481"/>
              <w:spacing w:before="202"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Cl</w:t>
            </w:r>
            <w:r>
              <w:rPr>
                <w:rFonts w:ascii="Times New Roman" w:hAnsi="Times New Roman" w:eastAsia="Times New Roman" w:cs="Times New Roman"/>
                <w:sz w:val="13"/>
                <w:szCs w:val="13"/>
                <w:spacing w:val="5"/>
                <w:position w:val="6"/>
              </w:rPr>
              <w:t>-</w:t>
            </w:r>
          </w:p>
        </w:tc>
        <w:tc>
          <w:tcPr>
            <w:tcW w:w="5521" w:type="dxa"/>
            <w:vAlign w:val="top"/>
          </w:tcPr>
          <w:p>
            <w:pPr>
              <w:pStyle w:val="TableText"/>
              <w:spacing w:before="36" w:line="227" w:lineRule="auto"/>
              <w:jc w:val="right"/>
              <w:rPr/>
            </w:pPr>
            <w:r>
              <w:rPr>
                <w:spacing w:val="-2"/>
              </w:rPr>
              <w:t>《水质 无机阴离子（</w:t>
            </w:r>
            <w:r>
              <w:rPr>
                <w:rFonts w:ascii="Times New Roman" w:hAnsi="Times New Roman" w:eastAsia="Times New Roman" w:cs="Times New Roman"/>
                <w:spacing w:val="-2"/>
              </w:rPr>
              <w:t>F</w:t>
            </w:r>
            <w:r>
              <w:rPr>
                <w:rFonts w:ascii="Times New Roman" w:hAnsi="Times New Roman" w:eastAsia="Times New Roman" w:cs="Times New Roman"/>
                <w:sz w:val="13"/>
                <w:szCs w:val="13"/>
                <w:spacing w:val="-2"/>
                <w:position w:val="6"/>
              </w:rPr>
              <w:t>-</w:t>
            </w:r>
            <w:r>
              <w:rPr>
                <w:spacing w:val="-2"/>
              </w:rPr>
              <w:t>、</w:t>
            </w:r>
            <w:r>
              <w:rPr>
                <w:rFonts w:ascii="Times New Roman" w:hAnsi="Times New Roman" w:eastAsia="Times New Roman" w:cs="Times New Roman"/>
                <w:spacing w:val="-2"/>
              </w:rPr>
              <w:t>Cl</w:t>
            </w:r>
            <w:r>
              <w:rPr>
                <w:rFonts w:ascii="Times New Roman" w:hAnsi="Times New Roman" w:eastAsia="Times New Roman" w:cs="Times New Roman"/>
                <w:sz w:val="13"/>
                <w:szCs w:val="13"/>
                <w:spacing w:val="-2"/>
                <w:position w:val="6"/>
              </w:rPr>
              <w:t>-</w:t>
            </w:r>
            <w:r>
              <w:rPr>
                <w:spacing w:val="-2"/>
              </w:rPr>
              <w:t>、</w:t>
            </w:r>
            <w:r>
              <w:rPr>
                <w:rFonts w:ascii="Times New Roman" w:hAnsi="Times New Roman" w:eastAsia="Times New Roman" w:cs="Times New Roman"/>
                <w:spacing w:val="-2"/>
              </w:rPr>
              <w:t>NO</w:t>
            </w:r>
            <w:r>
              <w:rPr>
                <w:rFonts w:ascii="Times New Roman" w:hAnsi="Times New Roman" w:eastAsia="Times New Roman" w:cs="Times New Roman"/>
                <w:sz w:val="13"/>
                <w:szCs w:val="13"/>
                <w:spacing w:val="-2"/>
                <w:position w:val="-1"/>
              </w:rPr>
              <w:t>2</w:t>
            </w:r>
            <w:r>
              <w:rPr>
                <w:rFonts w:ascii="Times New Roman" w:hAnsi="Times New Roman" w:eastAsia="Times New Roman" w:cs="Times New Roman"/>
                <w:sz w:val="13"/>
                <w:szCs w:val="13"/>
                <w:spacing w:val="-2"/>
                <w:position w:val="6"/>
              </w:rPr>
              <w:t>-</w:t>
            </w:r>
            <w:r>
              <w:rPr>
                <w:spacing w:val="-2"/>
              </w:rPr>
              <w:t>、</w:t>
            </w:r>
            <w:r>
              <w:rPr>
                <w:rFonts w:ascii="Times New Roman" w:hAnsi="Times New Roman" w:eastAsia="Times New Roman" w:cs="Times New Roman"/>
                <w:spacing w:val="-2"/>
              </w:rPr>
              <w:t>Br</w:t>
            </w:r>
            <w:r>
              <w:rPr>
                <w:rFonts w:ascii="Times New Roman" w:hAnsi="Times New Roman" w:eastAsia="Times New Roman" w:cs="Times New Roman"/>
                <w:sz w:val="13"/>
                <w:szCs w:val="13"/>
                <w:spacing w:val="-2"/>
                <w:position w:val="6"/>
              </w:rPr>
              <w:t>-</w:t>
            </w:r>
            <w:r>
              <w:rPr>
                <w:spacing w:val="-2"/>
              </w:rPr>
              <w:t>、</w:t>
            </w:r>
            <w:r>
              <w:rPr>
                <w:rFonts w:ascii="Times New Roman" w:hAnsi="Times New Roman" w:eastAsia="Times New Roman" w:cs="Times New Roman"/>
                <w:spacing w:val="-2"/>
              </w:rPr>
              <w:t>NO</w:t>
            </w:r>
            <w:r>
              <w:rPr>
                <w:rFonts w:ascii="Times New Roman" w:hAnsi="Times New Roman" w:eastAsia="Times New Roman" w:cs="Times New Roman"/>
                <w:sz w:val="13"/>
                <w:szCs w:val="13"/>
                <w:spacing w:val="-2"/>
                <w:position w:val="-1"/>
              </w:rPr>
              <w:t>3</w:t>
            </w:r>
            <w:r>
              <w:rPr>
                <w:rFonts w:ascii="Times New Roman" w:hAnsi="Times New Roman" w:eastAsia="Times New Roman" w:cs="Times New Roman"/>
                <w:sz w:val="13"/>
                <w:szCs w:val="13"/>
                <w:spacing w:val="-2"/>
                <w:position w:val="6"/>
              </w:rPr>
              <w:t>-</w:t>
            </w:r>
            <w:r>
              <w:rPr>
                <w:spacing w:val="-2"/>
              </w:rPr>
              <w:t>、</w:t>
            </w:r>
            <w:r>
              <w:rPr>
                <w:rFonts w:ascii="Times New Roman" w:hAnsi="Times New Roman" w:eastAsia="Times New Roman" w:cs="Times New Roman"/>
                <w:spacing w:val="-2"/>
              </w:rPr>
              <w:t>PO</w:t>
            </w:r>
            <w:r>
              <w:rPr>
                <w:rFonts w:ascii="Times New Roman" w:hAnsi="Times New Roman" w:eastAsia="Times New Roman" w:cs="Times New Roman"/>
                <w:sz w:val="13"/>
                <w:szCs w:val="13"/>
                <w:spacing w:val="-2"/>
                <w:position w:val="-1"/>
              </w:rPr>
              <w:t>4</w:t>
            </w:r>
            <w:r>
              <w:rPr>
                <w:rFonts w:ascii="Times New Roman" w:hAnsi="Times New Roman" w:eastAsia="Times New Roman" w:cs="Times New Roman"/>
                <w:sz w:val="13"/>
                <w:szCs w:val="13"/>
                <w:spacing w:val="-2"/>
                <w:position w:val="6"/>
              </w:rPr>
              <w:t>3-</w:t>
            </w:r>
            <w:r>
              <w:rPr>
                <w:spacing w:val="-2"/>
              </w:rPr>
              <w:t>、</w:t>
            </w:r>
            <w:r>
              <w:rPr>
                <w:rFonts w:ascii="Times New Roman" w:hAnsi="Times New Roman" w:eastAsia="Times New Roman" w:cs="Times New Roman"/>
                <w:spacing w:val="-2"/>
              </w:rPr>
              <w:t>SO</w:t>
            </w:r>
            <w:r>
              <w:rPr>
                <w:rFonts w:ascii="Times New Roman" w:hAnsi="Times New Roman" w:eastAsia="Times New Roman" w:cs="Times New Roman"/>
                <w:sz w:val="13"/>
                <w:szCs w:val="13"/>
                <w:spacing w:val="-2"/>
                <w:position w:val="-1"/>
              </w:rPr>
              <w:t>3</w:t>
            </w:r>
            <w:r>
              <w:rPr>
                <w:rFonts w:ascii="Times New Roman" w:hAnsi="Times New Roman" w:eastAsia="Times New Roman" w:cs="Times New Roman"/>
                <w:sz w:val="13"/>
                <w:szCs w:val="13"/>
                <w:spacing w:val="-2"/>
                <w:position w:val="6"/>
              </w:rPr>
              <w:t>2-</w:t>
            </w:r>
            <w:r>
              <w:rPr>
                <w:spacing w:val="-2"/>
              </w:rPr>
              <w:t>、</w:t>
            </w:r>
          </w:p>
          <w:p>
            <w:pPr>
              <w:pStyle w:val="TableText"/>
              <w:ind w:left="950"/>
              <w:spacing w:before="25" w:line="205" w:lineRule="auto"/>
              <w:rPr>
                <w:rFonts w:ascii="Times New Roman" w:hAnsi="Times New Roman" w:eastAsia="Times New Roman" w:cs="Times New Roman"/>
              </w:rPr>
            </w:pPr>
            <w:r>
              <w:rPr>
                <w:rFonts w:ascii="Times New Roman" w:hAnsi="Times New Roman" w:eastAsia="Times New Roman" w:cs="Times New Roman"/>
              </w:rPr>
              <w:t>SO</w:t>
            </w:r>
            <w:r>
              <w:rPr>
                <w:rFonts w:ascii="Times New Roman" w:hAnsi="Times New Roman" w:eastAsia="Times New Roman" w:cs="Times New Roman"/>
                <w:sz w:val="13"/>
                <w:szCs w:val="13"/>
                <w:spacing w:val="6"/>
                <w:position w:val="-1"/>
              </w:rPr>
              <w:t>4</w:t>
            </w:r>
            <w:r>
              <w:rPr>
                <w:rFonts w:ascii="Times New Roman" w:hAnsi="Times New Roman" w:eastAsia="Times New Roman" w:cs="Times New Roman"/>
                <w:sz w:val="13"/>
                <w:szCs w:val="13"/>
                <w:spacing w:val="6"/>
                <w:position w:val="1"/>
              </w:rPr>
              <w:t>2-</w:t>
            </w:r>
            <w:r>
              <w:rPr>
                <w:spacing w:val="6"/>
                <w:position w:val="1"/>
              </w:rPr>
              <w:t>）</w:t>
            </w:r>
            <w:r>
              <w:rPr>
                <w:spacing w:val="6"/>
              </w:rPr>
              <w:t>的测定 离子色谱法》</w:t>
            </w:r>
            <w:r>
              <w:rPr>
                <w:rFonts w:ascii="Times New Roman" w:hAnsi="Times New Roman" w:eastAsia="Times New Roman" w:cs="Times New Roman"/>
              </w:rPr>
              <w:t>HJ</w:t>
            </w:r>
            <w:r>
              <w:rPr>
                <w:rFonts w:ascii="Times New Roman" w:hAnsi="Times New Roman" w:eastAsia="Times New Roman" w:cs="Times New Roman"/>
                <w:spacing w:val="31"/>
                <w:w w:val="101"/>
              </w:rPr>
              <w:t xml:space="preserve"> </w:t>
            </w:r>
            <w:r>
              <w:rPr>
                <w:rFonts w:ascii="Times New Roman" w:hAnsi="Times New Roman" w:eastAsia="Times New Roman" w:cs="Times New Roman"/>
                <w:spacing w:val="6"/>
              </w:rPr>
              <w:t>84-2016</w:t>
            </w:r>
          </w:p>
        </w:tc>
        <w:tc>
          <w:tcPr>
            <w:tcW w:w="1115" w:type="dxa"/>
            <w:vAlign w:val="top"/>
          </w:tcPr>
          <w:p>
            <w:pPr>
              <w:ind w:left="98"/>
              <w:spacing w:before="202"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0.007</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/L</w:t>
            </w:r>
          </w:p>
        </w:tc>
      </w:tr>
      <w:tr>
        <w:trPr>
          <w:trHeight w:val="549" w:hRule="atLeast"/>
        </w:trPr>
        <w:tc>
          <w:tcPr>
            <w:tcW w:w="678" w:type="dxa"/>
            <w:vAlign w:val="top"/>
          </w:tcPr>
          <w:p>
            <w:pPr>
              <w:ind w:left="256"/>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11</w:t>
            </w:r>
          </w:p>
        </w:tc>
        <w:tc>
          <w:tcPr>
            <w:tcW w:w="1202" w:type="dxa"/>
            <w:vAlign w:val="top"/>
          </w:tcPr>
          <w:p>
            <w:pPr>
              <w:pStyle w:val="TableText"/>
              <w:spacing w:before="170" w:line="228" w:lineRule="auto"/>
              <w:jc w:val="right"/>
              <w:rPr/>
            </w:pPr>
            <w:r>
              <w:rPr>
                <w:spacing w:val="-11"/>
              </w:rPr>
              <w:t>氨（以</w:t>
            </w:r>
            <w:r>
              <w:rPr>
                <w:spacing w:val="-51"/>
              </w:rPr>
              <w:t xml:space="preserve"> </w:t>
            </w:r>
            <w:r>
              <w:rPr>
                <w:rFonts w:ascii="Times New Roman" w:hAnsi="Times New Roman" w:eastAsia="Times New Roman" w:cs="Times New Roman"/>
                <w:spacing w:val="-11"/>
              </w:rPr>
              <w:t>N</w:t>
            </w:r>
            <w:r>
              <w:rPr>
                <w:rFonts w:ascii="Times New Roman" w:hAnsi="Times New Roman" w:eastAsia="Times New Roman" w:cs="Times New Roman"/>
                <w:spacing w:val="9"/>
              </w:rPr>
              <w:t xml:space="preserve"> </w:t>
            </w:r>
            <w:r>
              <w:rPr>
                <w:spacing w:val="-11"/>
              </w:rPr>
              <w:t>计）</w:t>
            </w:r>
          </w:p>
        </w:tc>
        <w:tc>
          <w:tcPr>
            <w:tcW w:w="5521" w:type="dxa"/>
            <w:vAlign w:val="top"/>
          </w:tcPr>
          <w:p>
            <w:pPr>
              <w:pStyle w:val="TableText"/>
              <w:ind w:left="759" w:right="619" w:hanging="140"/>
              <w:spacing w:before="34" w:line="233" w:lineRule="auto"/>
              <w:rPr/>
            </w:pPr>
            <w:r>
              <w:rPr>
                <w:spacing w:val="8"/>
              </w:rPr>
              <w:t>《生活饮用水标准检验方法 无机非金属指标》 </w:t>
            </w:r>
            <w:r>
              <w:rPr>
                <w:rFonts w:ascii="Times New Roman" w:hAnsi="Times New Roman" w:eastAsia="Times New Roman" w:cs="Times New Roman"/>
              </w:rPr>
              <w:t>GB</w:t>
            </w:r>
            <w:r>
              <w:rPr>
                <w:rFonts w:ascii="Times New Roman" w:hAnsi="Times New Roman" w:eastAsia="Times New Roman" w:cs="Times New Roman"/>
                <w:spacing w:val="4"/>
              </w:rPr>
              <w:t>/T</w:t>
            </w:r>
            <w:r>
              <w:rPr>
                <w:rFonts w:ascii="Times New Roman" w:hAnsi="Times New Roman" w:eastAsia="Times New Roman" w:cs="Times New Roman"/>
                <w:spacing w:val="17"/>
              </w:rPr>
              <w:t xml:space="preserve"> </w:t>
            </w:r>
            <w:r>
              <w:rPr>
                <w:rFonts w:ascii="Times New Roman" w:hAnsi="Times New Roman" w:eastAsia="Times New Roman" w:cs="Times New Roman"/>
                <w:spacing w:val="4"/>
              </w:rPr>
              <w:t>5750.5-2023</w:t>
            </w:r>
            <w:r>
              <w:rPr>
                <w:rFonts w:ascii="Times New Roman" w:hAnsi="Times New Roman" w:eastAsia="Times New Roman" w:cs="Times New Roman"/>
                <w:spacing w:val="26"/>
              </w:rPr>
              <w:t xml:space="preserve"> </w:t>
            </w:r>
            <w:r>
              <w:rPr>
                <w:rFonts w:ascii="Times New Roman" w:hAnsi="Times New Roman" w:eastAsia="Times New Roman" w:cs="Times New Roman"/>
                <w:spacing w:val="4"/>
              </w:rPr>
              <w:t>11.</w:t>
            </w:r>
            <w:r>
              <w:rPr>
                <w:rFonts w:ascii="Times New Roman" w:hAnsi="Times New Roman" w:eastAsia="Times New Roman" w:cs="Times New Roman"/>
                <w:spacing w:val="-25"/>
              </w:rPr>
              <w:t xml:space="preserve"> </w:t>
            </w:r>
            <w:r>
              <w:rPr>
                <w:rFonts w:ascii="Times New Roman" w:hAnsi="Times New Roman" w:eastAsia="Times New Roman" w:cs="Times New Roman"/>
                <w:spacing w:val="4"/>
              </w:rPr>
              <w:t>1  </w:t>
            </w:r>
            <w:r>
              <w:rPr>
                <w:spacing w:val="4"/>
              </w:rPr>
              <w:t>纳氏试剂分光光度法</w:t>
            </w:r>
          </w:p>
        </w:tc>
        <w:tc>
          <w:tcPr>
            <w:tcW w:w="1115" w:type="dxa"/>
            <w:vAlign w:val="top"/>
          </w:tcPr>
          <w:p>
            <w:pPr>
              <w:ind w:left="151"/>
              <w:spacing w:before="202"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0.02</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/L</w:t>
            </w:r>
          </w:p>
        </w:tc>
      </w:tr>
      <w:tr>
        <w:trPr>
          <w:trHeight w:val="519" w:hRule="atLeast"/>
        </w:trPr>
        <w:tc>
          <w:tcPr>
            <w:tcW w:w="678" w:type="dxa"/>
            <w:vAlign w:val="top"/>
          </w:tcPr>
          <w:p>
            <w:pPr>
              <w:ind w:left="256"/>
              <w:spacing w:before="1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1202" w:type="dxa"/>
            <w:vAlign w:val="top"/>
          </w:tcPr>
          <w:p>
            <w:pPr>
              <w:pStyle w:val="TableText"/>
              <w:ind w:left="185"/>
              <w:spacing w:before="156" w:line="227" w:lineRule="auto"/>
              <w:rPr/>
            </w:pPr>
            <w:r>
              <w:rPr>
                <w:spacing w:val="6"/>
              </w:rPr>
              <w:t>硝酸盐氮</w:t>
            </w:r>
          </w:p>
        </w:tc>
        <w:tc>
          <w:tcPr>
            <w:tcW w:w="5521" w:type="dxa"/>
            <w:vAlign w:val="top"/>
          </w:tcPr>
          <w:p>
            <w:pPr>
              <w:pStyle w:val="TableText"/>
              <w:ind w:left="357"/>
              <w:spacing w:before="36" w:line="227" w:lineRule="auto"/>
              <w:rPr/>
            </w:pPr>
            <w:r>
              <w:rPr>
                <w:spacing w:val="9"/>
              </w:rPr>
              <w:t>《水质 硝酸盐氮的测定 紫外分光光度法（试行）》</w:t>
            </w:r>
          </w:p>
          <w:p>
            <w:pPr>
              <w:ind w:left="2123"/>
              <w:spacing w:before="4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/T 346-2007</w:t>
            </w:r>
          </w:p>
        </w:tc>
        <w:tc>
          <w:tcPr>
            <w:tcW w:w="1115" w:type="dxa"/>
            <w:vAlign w:val="top"/>
          </w:tcPr>
          <w:p>
            <w:pPr>
              <w:ind w:left="151"/>
              <w:spacing w:before="18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0.08</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/L</w:t>
            </w:r>
          </w:p>
        </w:tc>
      </w:tr>
      <w:tr>
        <w:trPr>
          <w:trHeight w:val="550" w:hRule="atLeast"/>
        </w:trPr>
        <w:tc>
          <w:tcPr>
            <w:tcW w:w="678" w:type="dxa"/>
            <w:vAlign w:val="top"/>
          </w:tcPr>
          <w:p>
            <w:pPr>
              <w:ind w:left="266"/>
              <w:spacing w:before="2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rPr>
              <w:t>13</w:t>
            </w:r>
          </w:p>
        </w:tc>
        <w:tc>
          <w:tcPr>
            <w:tcW w:w="1202" w:type="dxa"/>
            <w:vAlign w:val="top"/>
          </w:tcPr>
          <w:p>
            <w:pPr>
              <w:pStyle w:val="TableText"/>
              <w:ind w:left="10"/>
              <w:spacing w:before="35" w:line="229" w:lineRule="auto"/>
              <w:rPr/>
            </w:pPr>
            <w:r>
              <w:rPr>
                <w:spacing w:val="-3"/>
              </w:rPr>
              <w:t>亚硝酸盐（以</w:t>
            </w:r>
          </w:p>
          <w:p>
            <w:pPr>
              <w:pStyle w:val="TableText"/>
              <w:ind w:left="281"/>
              <w:spacing w:before="23" w:line="215" w:lineRule="auto"/>
              <w:rPr/>
            </w:pPr>
            <w:r>
              <w:rPr>
                <w:rFonts w:ascii="Times New Roman" w:hAnsi="Times New Roman" w:eastAsia="Times New Roman" w:cs="Times New Roman"/>
                <w:spacing w:val="3"/>
              </w:rPr>
              <w:t>N</w:t>
            </w:r>
            <w:r>
              <w:rPr>
                <w:rFonts w:ascii="Times New Roman" w:hAnsi="Times New Roman" w:eastAsia="Times New Roman" w:cs="Times New Roman"/>
                <w:spacing w:val="11"/>
              </w:rPr>
              <w:t xml:space="preserve"> </w:t>
            </w:r>
            <w:r>
              <w:rPr>
                <w:spacing w:val="3"/>
              </w:rPr>
              <w:t>计）</w:t>
            </w:r>
          </w:p>
        </w:tc>
        <w:tc>
          <w:tcPr>
            <w:tcW w:w="5521" w:type="dxa"/>
            <w:vAlign w:val="top"/>
          </w:tcPr>
          <w:p>
            <w:pPr>
              <w:pStyle w:val="TableText"/>
              <w:ind w:left="759" w:right="619" w:hanging="140"/>
              <w:spacing w:before="35" w:line="233" w:lineRule="auto"/>
              <w:rPr/>
            </w:pPr>
            <w:r>
              <w:rPr>
                <w:spacing w:val="8"/>
              </w:rPr>
              <w:t>《生活饮用水标准检验方法 无机非金属指标》 </w:t>
            </w:r>
            <w:r>
              <w:rPr>
                <w:rFonts w:ascii="Times New Roman" w:hAnsi="Times New Roman" w:eastAsia="Times New Roman" w:cs="Times New Roman"/>
              </w:rPr>
              <w:t>GB</w:t>
            </w:r>
            <w:r>
              <w:rPr>
                <w:rFonts w:ascii="Times New Roman" w:hAnsi="Times New Roman" w:eastAsia="Times New Roman" w:cs="Times New Roman"/>
                <w:spacing w:val="4"/>
              </w:rPr>
              <w:t>/T</w:t>
            </w:r>
            <w:r>
              <w:rPr>
                <w:rFonts w:ascii="Times New Roman" w:hAnsi="Times New Roman" w:eastAsia="Times New Roman" w:cs="Times New Roman"/>
                <w:spacing w:val="17"/>
              </w:rPr>
              <w:t xml:space="preserve"> </w:t>
            </w:r>
            <w:r>
              <w:rPr>
                <w:rFonts w:ascii="Times New Roman" w:hAnsi="Times New Roman" w:eastAsia="Times New Roman" w:cs="Times New Roman"/>
                <w:spacing w:val="4"/>
              </w:rPr>
              <w:t>5750.5-2023</w:t>
            </w:r>
            <w:r>
              <w:rPr>
                <w:rFonts w:ascii="Times New Roman" w:hAnsi="Times New Roman" w:eastAsia="Times New Roman" w:cs="Times New Roman"/>
                <w:spacing w:val="26"/>
              </w:rPr>
              <w:t xml:space="preserve"> </w:t>
            </w:r>
            <w:r>
              <w:rPr>
                <w:rFonts w:ascii="Times New Roman" w:hAnsi="Times New Roman" w:eastAsia="Times New Roman" w:cs="Times New Roman"/>
                <w:spacing w:val="4"/>
              </w:rPr>
              <w:t>12.</w:t>
            </w:r>
            <w:r>
              <w:rPr>
                <w:rFonts w:ascii="Times New Roman" w:hAnsi="Times New Roman" w:eastAsia="Times New Roman" w:cs="Times New Roman"/>
                <w:spacing w:val="-25"/>
              </w:rPr>
              <w:t xml:space="preserve"> </w:t>
            </w:r>
            <w:r>
              <w:rPr>
                <w:rFonts w:ascii="Times New Roman" w:hAnsi="Times New Roman" w:eastAsia="Times New Roman" w:cs="Times New Roman"/>
                <w:spacing w:val="4"/>
              </w:rPr>
              <w:t>1  </w:t>
            </w:r>
            <w:r>
              <w:rPr>
                <w:spacing w:val="4"/>
              </w:rPr>
              <w:t>重氮偶合分光光度法</w:t>
            </w:r>
          </w:p>
        </w:tc>
        <w:tc>
          <w:tcPr>
            <w:tcW w:w="1115" w:type="dxa"/>
            <w:vAlign w:val="top"/>
          </w:tcPr>
          <w:p>
            <w:pPr>
              <w:ind w:left="98"/>
              <w:spacing w:before="20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0.001</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/L</w:t>
            </w:r>
          </w:p>
        </w:tc>
      </w:tr>
      <w:tr>
        <w:trPr>
          <w:trHeight w:val="519" w:hRule="atLeast"/>
        </w:trPr>
        <w:tc>
          <w:tcPr>
            <w:tcW w:w="678" w:type="dxa"/>
            <w:vAlign w:val="top"/>
          </w:tcPr>
          <w:p>
            <w:pPr>
              <w:ind w:left="256"/>
              <w:spacing w:before="1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14</w:t>
            </w:r>
          </w:p>
        </w:tc>
        <w:tc>
          <w:tcPr>
            <w:tcW w:w="1202" w:type="dxa"/>
            <w:vAlign w:val="top"/>
          </w:tcPr>
          <w:p>
            <w:pPr>
              <w:pStyle w:val="TableText"/>
              <w:ind w:left="288"/>
              <w:spacing w:before="155" w:line="228" w:lineRule="auto"/>
              <w:rPr/>
            </w:pPr>
            <w:r>
              <w:rPr>
                <w:spacing w:val="7"/>
              </w:rPr>
              <w:t>挥发酚</w:t>
            </w:r>
          </w:p>
        </w:tc>
        <w:tc>
          <w:tcPr>
            <w:tcW w:w="5521" w:type="dxa"/>
            <w:vAlign w:val="top"/>
          </w:tcPr>
          <w:p>
            <w:pPr>
              <w:pStyle w:val="TableText"/>
              <w:ind w:left="374"/>
              <w:spacing w:before="34" w:line="228" w:lineRule="auto"/>
              <w:rPr/>
            </w:pPr>
            <w:r>
              <w:rPr>
                <w:spacing w:val="8"/>
              </w:rPr>
              <w:t>《水质 挥发酚的测定 </w:t>
            </w:r>
            <w:r>
              <w:rPr>
                <w:rFonts w:ascii="Times New Roman" w:hAnsi="Times New Roman" w:eastAsia="Times New Roman" w:cs="Times New Roman"/>
                <w:spacing w:val="8"/>
              </w:rPr>
              <w:t>4-</w:t>
            </w:r>
            <w:r>
              <w:rPr>
                <w:spacing w:val="8"/>
              </w:rPr>
              <w:t>氨基安替比林分光光度法》</w:t>
            </w:r>
          </w:p>
          <w:p>
            <w:pPr>
              <w:ind w:left="2215"/>
              <w:spacing w:before="46"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15"/>
              </w:rPr>
              <w:t xml:space="preserve"> </w:t>
            </w:r>
            <w:r>
              <w:rPr>
                <w:rFonts w:ascii="Times New Roman" w:hAnsi="Times New Roman" w:eastAsia="Times New Roman" w:cs="Times New Roman"/>
                <w:sz w:val="20"/>
                <w:szCs w:val="20"/>
                <w:spacing w:val="4"/>
              </w:rPr>
              <w:t>503-2009</w:t>
            </w:r>
          </w:p>
        </w:tc>
        <w:tc>
          <w:tcPr>
            <w:tcW w:w="1115" w:type="dxa"/>
            <w:vAlign w:val="top"/>
          </w:tcPr>
          <w:p>
            <w:pPr>
              <w:ind w:left="46"/>
              <w:spacing w:before="1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0.0003</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/L</w:t>
            </w:r>
          </w:p>
        </w:tc>
      </w:tr>
      <w:tr>
        <w:trPr>
          <w:trHeight w:val="549" w:hRule="atLeast"/>
        </w:trPr>
        <w:tc>
          <w:tcPr>
            <w:tcW w:w="678" w:type="dxa"/>
            <w:vAlign w:val="top"/>
          </w:tcPr>
          <w:p>
            <w:pPr>
              <w:ind w:left="256"/>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1202" w:type="dxa"/>
            <w:vAlign w:val="top"/>
          </w:tcPr>
          <w:p>
            <w:pPr>
              <w:ind w:left="385"/>
              <w:spacing w:before="186" w:line="210"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2"/>
                <w:position w:val="-2"/>
              </w:rPr>
              <w:t>4</w:t>
            </w:r>
            <w:r>
              <w:rPr>
                <w:rFonts w:ascii="Times New Roman" w:hAnsi="Times New Roman" w:eastAsia="Times New Roman" w:cs="Times New Roman"/>
                <w:sz w:val="13"/>
                <w:szCs w:val="13"/>
                <w:spacing w:val="2"/>
                <w:position w:val="6"/>
              </w:rPr>
              <w:t>2-</w:t>
            </w:r>
          </w:p>
        </w:tc>
        <w:tc>
          <w:tcPr>
            <w:tcW w:w="5521" w:type="dxa"/>
            <w:vAlign w:val="top"/>
          </w:tcPr>
          <w:p>
            <w:pPr>
              <w:pStyle w:val="TableText"/>
              <w:spacing w:before="33" w:line="227" w:lineRule="auto"/>
              <w:jc w:val="right"/>
              <w:rPr/>
            </w:pPr>
            <w:r>
              <w:rPr>
                <w:spacing w:val="-2"/>
              </w:rPr>
              <w:t>《水质 无机阴离子（</w:t>
            </w:r>
            <w:r>
              <w:rPr>
                <w:rFonts w:ascii="Times New Roman" w:hAnsi="Times New Roman" w:eastAsia="Times New Roman" w:cs="Times New Roman"/>
                <w:spacing w:val="-2"/>
              </w:rPr>
              <w:t>F</w:t>
            </w:r>
            <w:r>
              <w:rPr>
                <w:rFonts w:ascii="Times New Roman" w:hAnsi="Times New Roman" w:eastAsia="Times New Roman" w:cs="Times New Roman"/>
                <w:sz w:val="13"/>
                <w:szCs w:val="13"/>
                <w:spacing w:val="-2"/>
                <w:position w:val="6"/>
              </w:rPr>
              <w:t>-</w:t>
            </w:r>
            <w:r>
              <w:rPr>
                <w:spacing w:val="-2"/>
              </w:rPr>
              <w:t>、</w:t>
            </w:r>
            <w:r>
              <w:rPr>
                <w:rFonts w:ascii="Times New Roman" w:hAnsi="Times New Roman" w:eastAsia="Times New Roman" w:cs="Times New Roman"/>
                <w:spacing w:val="-2"/>
              </w:rPr>
              <w:t>Cl</w:t>
            </w:r>
            <w:r>
              <w:rPr>
                <w:rFonts w:ascii="Times New Roman" w:hAnsi="Times New Roman" w:eastAsia="Times New Roman" w:cs="Times New Roman"/>
                <w:sz w:val="13"/>
                <w:szCs w:val="13"/>
                <w:spacing w:val="-2"/>
                <w:position w:val="6"/>
              </w:rPr>
              <w:t>-</w:t>
            </w:r>
            <w:r>
              <w:rPr>
                <w:spacing w:val="-2"/>
              </w:rPr>
              <w:t>、</w:t>
            </w:r>
            <w:r>
              <w:rPr>
                <w:rFonts w:ascii="Times New Roman" w:hAnsi="Times New Roman" w:eastAsia="Times New Roman" w:cs="Times New Roman"/>
                <w:spacing w:val="-2"/>
              </w:rPr>
              <w:t>NO</w:t>
            </w:r>
            <w:r>
              <w:rPr>
                <w:rFonts w:ascii="Times New Roman" w:hAnsi="Times New Roman" w:eastAsia="Times New Roman" w:cs="Times New Roman"/>
                <w:sz w:val="13"/>
                <w:szCs w:val="13"/>
                <w:spacing w:val="-2"/>
                <w:position w:val="-1"/>
              </w:rPr>
              <w:t>2</w:t>
            </w:r>
            <w:r>
              <w:rPr>
                <w:rFonts w:ascii="Times New Roman" w:hAnsi="Times New Roman" w:eastAsia="Times New Roman" w:cs="Times New Roman"/>
                <w:sz w:val="13"/>
                <w:szCs w:val="13"/>
                <w:spacing w:val="-2"/>
                <w:position w:val="6"/>
              </w:rPr>
              <w:t>-</w:t>
            </w:r>
            <w:r>
              <w:rPr>
                <w:spacing w:val="-2"/>
              </w:rPr>
              <w:t>、</w:t>
            </w:r>
            <w:r>
              <w:rPr>
                <w:rFonts w:ascii="Times New Roman" w:hAnsi="Times New Roman" w:eastAsia="Times New Roman" w:cs="Times New Roman"/>
                <w:spacing w:val="-2"/>
              </w:rPr>
              <w:t>Br</w:t>
            </w:r>
            <w:r>
              <w:rPr>
                <w:rFonts w:ascii="Times New Roman" w:hAnsi="Times New Roman" w:eastAsia="Times New Roman" w:cs="Times New Roman"/>
                <w:sz w:val="13"/>
                <w:szCs w:val="13"/>
                <w:spacing w:val="-2"/>
                <w:position w:val="6"/>
              </w:rPr>
              <w:t>-</w:t>
            </w:r>
            <w:r>
              <w:rPr>
                <w:spacing w:val="-2"/>
              </w:rPr>
              <w:t>、</w:t>
            </w:r>
            <w:r>
              <w:rPr>
                <w:rFonts w:ascii="Times New Roman" w:hAnsi="Times New Roman" w:eastAsia="Times New Roman" w:cs="Times New Roman"/>
                <w:spacing w:val="-2"/>
              </w:rPr>
              <w:t>NO</w:t>
            </w:r>
            <w:r>
              <w:rPr>
                <w:rFonts w:ascii="Times New Roman" w:hAnsi="Times New Roman" w:eastAsia="Times New Roman" w:cs="Times New Roman"/>
                <w:sz w:val="13"/>
                <w:szCs w:val="13"/>
                <w:spacing w:val="-2"/>
                <w:position w:val="-1"/>
              </w:rPr>
              <w:t>3</w:t>
            </w:r>
            <w:r>
              <w:rPr>
                <w:rFonts w:ascii="Times New Roman" w:hAnsi="Times New Roman" w:eastAsia="Times New Roman" w:cs="Times New Roman"/>
                <w:sz w:val="13"/>
                <w:szCs w:val="13"/>
                <w:spacing w:val="-2"/>
                <w:position w:val="6"/>
              </w:rPr>
              <w:t>-</w:t>
            </w:r>
            <w:r>
              <w:rPr>
                <w:spacing w:val="-2"/>
              </w:rPr>
              <w:t>、</w:t>
            </w:r>
            <w:r>
              <w:rPr>
                <w:rFonts w:ascii="Times New Roman" w:hAnsi="Times New Roman" w:eastAsia="Times New Roman" w:cs="Times New Roman"/>
                <w:spacing w:val="-2"/>
              </w:rPr>
              <w:t>PO</w:t>
            </w:r>
            <w:r>
              <w:rPr>
                <w:rFonts w:ascii="Times New Roman" w:hAnsi="Times New Roman" w:eastAsia="Times New Roman" w:cs="Times New Roman"/>
                <w:sz w:val="13"/>
                <w:szCs w:val="13"/>
                <w:spacing w:val="-2"/>
                <w:position w:val="-1"/>
              </w:rPr>
              <w:t>4</w:t>
            </w:r>
            <w:r>
              <w:rPr>
                <w:rFonts w:ascii="Times New Roman" w:hAnsi="Times New Roman" w:eastAsia="Times New Roman" w:cs="Times New Roman"/>
                <w:sz w:val="13"/>
                <w:szCs w:val="13"/>
                <w:spacing w:val="-2"/>
                <w:position w:val="6"/>
              </w:rPr>
              <w:t>3-</w:t>
            </w:r>
            <w:r>
              <w:rPr>
                <w:spacing w:val="-2"/>
              </w:rPr>
              <w:t>、</w:t>
            </w:r>
            <w:r>
              <w:rPr>
                <w:rFonts w:ascii="Times New Roman" w:hAnsi="Times New Roman" w:eastAsia="Times New Roman" w:cs="Times New Roman"/>
                <w:spacing w:val="-2"/>
              </w:rPr>
              <w:t>SO</w:t>
            </w:r>
            <w:r>
              <w:rPr>
                <w:rFonts w:ascii="Times New Roman" w:hAnsi="Times New Roman" w:eastAsia="Times New Roman" w:cs="Times New Roman"/>
                <w:sz w:val="13"/>
                <w:szCs w:val="13"/>
                <w:spacing w:val="-2"/>
                <w:position w:val="-1"/>
              </w:rPr>
              <w:t>3</w:t>
            </w:r>
            <w:r>
              <w:rPr>
                <w:rFonts w:ascii="Times New Roman" w:hAnsi="Times New Roman" w:eastAsia="Times New Roman" w:cs="Times New Roman"/>
                <w:sz w:val="13"/>
                <w:szCs w:val="13"/>
                <w:spacing w:val="-2"/>
                <w:position w:val="6"/>
              </w:rPr>
              <w:t>2-</w:t>
            </w:r>
            <w:r>
              <w:rPr>
                <w:spacing w:val="-2"/>
              </w:rPr>
              <w:t>、</w:t>
            </w:r>
          </w:p>
          <w:p>
            <w:pPr>
              <w:pStyle w:val="TableText"/>
              <w:ind w:left="950"/>
              <w:spacing w:before="24" w:line="207" w:lineRule="auto"/>
              <w:rPr>
                <w:rFonts w:ascii="Times New Roman" w:hAnsi="Times New Roman" w:eastAsia="Times New Roman" w:cs="Times New Roman"/>
              </w:rPr>
            </w:pPr>
            <w:r>
              <w:rPr>
                <w:rFonts w:ascii="Times New Roman" w:hAnsi="Times New Roman" w:eastAsia="Times New Roman" w:cs="Times New Roman"/>
              </w:rPr>
              <w:t>SO</w:t>
            </w:r>
            <w:r>
              <w:rPr>
                <w:rFonts w:ascii="Times New Roman" w:hAnsi="Times New Roman" w:eastAsia="Times New Roman" w:cs="Times New Roman"/>
                <w:sz w:val="13"/>
                <w:szCs w:val="13"/>
                <w:spacing w:val="6"/>
                <w:position w:val="-1"/>
              </w:rPr>
              <w:t>4</w:t>
            </w:r>
            <w:r>
              <w:rPr>
                <w:rFonts w:ascii="Times New Roman" w:hAnsi="Times New Roman" w:eastAsia="Times New Roman" w:cs="Times New Roman"/>
                <w:sz w:val="13"/>
                <w:szCs w:val="13"/>
                <w:spacing w:val="6"/>
                <w:position w:val="1"/>
              </w:rPr>
              <w:t>2-</w:t>
            </w:r>
            <w:r>
              <w:rPr>
                <w:spacing w:val="6"/>
                <w:position w:val="1"/>
              </w:rPr>
              <w:t>）</w:t>
            </w:r>
            <w:r>
              <w:rPr>
                <w:spacing w:val="6"/>
              </w:rPr>
              <w:t>的测定 离子色谱法》</w:t>
            </w:r>
            <w:r>
              <w:rPr>
                <w:rFonts w:ascii="Times New Roman" w:hAnsi="Times New Roman" w:eastAsia="Times New Roman" w:cs="Times New Roman"/>
              </w:rPr>
              <w:t>HJ</w:t>
            </w:r>
            <w:r>
              <w:rPr>
                <w:rFonts w:ascii="Times New Roman" w:hAnsi="Times New Roman" w:eastAsia="Times New Roman" w:cs="Times New Roman"/>
                <w:spacing w:val="31"/>
                <w:w w:val="101"/>
              </w:rPr>
              <w:t xml:space="preserve"> </w:t>
            </w:r>
            <w:r>
              <w:rPr>
                <w:rFonts w:ascii="Times New Roman" w:hAnsi="Times New Roman" w:eastAsia="Times New Roman" w:cs="Times New Roman"/>
                <w:spacing w:val="6"/>
              </w:rPr>
              <w:t>84-2016</w:t>
            </w:r>
          </w:p>
        </w:tc>
        <w:tc>
          <w:tcPr>
            <w:tcW w:w="1115" w:type="dxa"/>
            <w:vAlign w:val="top"/>
          </w:tcPr>
          <w:p>
            <w:pPr>
              <w:ind w:left="72"/>
              <w:spacing w:before="202"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0.018 </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/L</w:t>
            </w:r>
          </w:p>
        </w:tc>
      </w:tr>
      <w:tr>
        <w:trPr>
          <w:trHeight w:val="549" w:hRule="atLeast"/>
        </w:trPr>
        <w:tc>
          <w:tcPr>
            <w:tcW w:w="678" w:type="dxa"/>
            <w:vAlign w:val="top"/>
          </w:tcPr>
          <w:p>
            <w:pPr>
              <w:ind w:left="256"/>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16</w:t>
            </w:r>
          </w:p>
        </w:tc>
        <w:tc>
          <w:tcPr>
            <w:tcW w:w="1202" w:type="dxa"/>
            <w:vAlign w:val="top"/>
          </w:tcPr>
          <w:p>
            <w:pPr>
              <w:pStyle w:val="TableText"/>
              <w:ind w:left="295"/>
              <w:spacing w:before="171" w:line="228" w:lineRule="auto"/>
              <w:rPr/>
            </w:pPr>
            <w:r>
              <w:rPr>
                <w:spacing w:val="5"/>
              </w:rPr>
              <w:t>总硬度</w:t>
            </w:r>
          </w:p>
        </w:tc>
        <w:tc>
          <w:tcPr>
            <w:tcW w:w="5521" w:type="dxa"/>
            <w:vAlign w:val="top"/>
          </w:tcPr>
          <w:p>
            <w:pPr>
              <w:pStyle w:val="TableText"/>
              <w:ind w:left="816" w:right="157" w:hanging="646"/>
              <w:spacing w:before="34" w:line="233" w:lineRule="auto"/>
              <w:rPr/>
            </w:pPr>
            <w:r>
              <w:rPr>
                <w:spacing w:val="9"/>
              </w:rPr>
              <w:t>《生活饮用水标准检验方法 感官性状和物理指标》</w:t>
            </w:r>
            <w:r>
              <w:rPr>
                <w:rFonts w:ascii="Times New Roman" w:hAnsi="Times New Roman" w:eastAsia="Times New Roman" w:cs="Times New Roman"/>
              </w:rPr>
              <w:t>GB</w:t>
            </w:r>
            <w:r>
              <w:rPr>
                <w:rFonts w:ascii="Times New Roman" w:hAnsi="Times New Roman" w:eastAsia="Times New Roman" w:cs="Times New Roman"/>
                <w:spacing w:val="9"/>
              </w:rPr>
              <w:t>/T</w:t>
            </w:r>
            <w:r>
              <w:rPr>
                <w:rFonts w:ascii="Times New Roman" w:hAnsi="Times New Roman" w:eastAsia="Times New Roman" w:cs="Times New Roman"/>
                <w:spacing w:val="6"/>
              </w:rPr>
              <w:t xml:space="preserve"> </w:t>
            </w:r>
            <w:r>
              <w:rPr>
                <w:rFonts w:ascii="Times New Roman" w:hAnsi="Times New Roman" w:eastAsia="Times New Roman" w:cs="Times New Roman"/>
                <w:spacing w:val="3"/>
              </w:rPr>
              <w:t>5750.4-2023</w:t>
            </w:r>
            <w:r>
              <w:rPr>
                <w:rFonts w:ascii="Times New Roman" w:hAnsi="Times New Roman" w:eastAsia="Times New Roman" w:cs="Times New Roman"/>
                <w:spacing w:val="36"/>
                <w:w w:val="101"/>
              </w:rPr>
              <w:t xml:space="preserve"> </w:t>
            </w:r>
            <w:r>
              <w:rPr>
                <w:rFonts w:ascii="Times New Roman" w:hAnsi="Times New Roman" w:eastAsia="Times New Roman" w:cs="Times New Roman"/>
                <w:spacing w:val="3"/>
              </w:rPr>
              <w:t>10.</w:t>
            </w:r>
            <w:r>
              <w:rPr>
                <w:rFonts w:ascii="Times New Roman" w:hAnsi="Times New Roman" w:eastAsia="Times New Roman" w:cs="Times New Roman"/>
                <w:spacing w:val="-25"/>
              </w:rPr>
              <w:t xml:space="preserve"> </w:t>
            </w:r>
            <w:r>
              <w:rPr>
                <w:rFonts w:ascii="Times New Roman" w:hAnsi="Times New Roman" w:eastAsia="Times New Roman" w:cs="Times New Roman"/>
                <w:spacing w:val="3"/>
              </w:rPr>
              <w:t>1</w:t>
            </w:r>
            <w:r>
              <w:rPr>
                <w:rFonts w:ascii="Times New Roman" w:hAnsi="Times New Roman" w:eastAsia="Times New Roman" w:cs="Times New Roman"/>
                <w:spacing w:val="16"/>
              </w:rPr>
              <w:t xml:space="preserve">  </w:t>
            </w:r>
            <w:r>
              <w:rPr>
                <w:spacing w:val="3"/>
              </w:rPr>
              <w:t>乙二胺四乙酸二钠滴定法</w:t>
            </w:r>
          </w:p>
        </w:tc>
        <w:tc>
          <w:tcPr>
            <w:tcW w:w="1115" w:type="dxa"/>
            <w:vAlign w:val="top"/>
          </w:tcPr>
          <w:p>
            <w:pPr>
              <w:ind w:left="221"/>
              <w:spacing w:before="20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1"/>
              </w:rPr>
              <w:t>/L</w:t>
            </w:r>
          </w:p>
        </w:tc>
      </w:tr>
      <w:tr>
        <w:trPr>
          <w:trHeight w:val="550" w:hRule="atLeast"/>
        </w:trPr>
        <w:tc>
          <w:tcPr>
            <w:tcW w:w="678" w:type="dxa"/>
            <w:vAlign w:val="top"/>
          </w:tcPr>
          <w:p>
            <w:pPr>
              <w:ind w:left="256"/>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17</w:t>
            </w:r>
          </w:p>
        </w:tc>
        <w:tc>
          <w:tcPr>
            <w:tcW w:w="1202" w:type="dxa"/>
            <w:vAlign w:val="top"/>
          </w:tcPr>
          <w:p>
            <w:pPr>
              <w:pStyle w:val="TableText"/>
              <w:ind w:left="83"/>
              <w:spacing w:before="37" w:line="228" w:lineRule="auto"/>
              <w:rPr/>
            </w:pPr>
            <w:r>
              <w:rPr>
                <w:spacing w:val="7"/>
              </w:rPr>
              <w:t>溶解性总固</w:t>
            </w:r>
          </w:p>
          <w:p>
            <w:pPr>
              <w:pStyle w:val="TableText"/>
              <w:ind w:left="500"/>
              <w:spacing w:before="23" w:line="214" w:lineRule="auto"/>
              <w:rPr/>
            </w:pPr>
            <w:r>
              <w:rPr/>
              <w:t>体</w:t>
            </w:r>
          </w:p>
        </w:tc>
        <w:tc>
          <w:tcPr>
            <w:tcW w:w="5521" w:type="dxa"/>
            <w:vAlign w:val="top"/>
          </w:tcPr>
          <w:p>
            <w:pPr>
              <w:pStyle w:val="TableText"/>
              <w:ind w:left="170"/>
              <w:spacing w:before="36" w:line="228" w:lineRule="auto"/>
              <w:rPr>
                <w:rFonts w:ascii="Times New Roman" w:hAnsi="Times New Roman" w:eastAsia="Times New Roman" w:cs="Times New Roman"/>
              </w:rPr>
            </w:pPr>
            <w:r>
              <w:rPr>
                <w:spacing w:val="9"/>
              </w:rPr>
              <w:t>《生活饮用水标准检验方法 感官性状和物理指标》</w:t>
            </w:r>
            <w:r>
              <w:rPr>
                <w:rFonts w:ascii="Times New Roman" w:hAnsi="Times New Roman" w:eastAsia="Times New Roman" w:cs="Times New Roman"/>
              </w:rPr>
              <w:t>GB</w:t>
            </w:r>
            <w:r>
              <w:rPr>
                <w:rFonts w:ascii="Times New Roman" w:hAnsi="Times New Roman" w:eastAsia="Times New Roman" w:cs="Times New Roman"/>
                <w:spacing w:val="9"/>
              </w:rPr>
              <w:t>/T</w:t>
            </w:r>
          </w:p>
          <w:p>
            <w:pPr>
              <w:pStyle w:val="TableText"/>
              <w:ind w:left="1657"/>
              <w:spacing w:before="24" w:line="214" w:lineRule="auto"/>
              <w:rPr/>
            </w:pPr>
            <w:r>
              <w:rPr>
                <w:rFonts w:ascii="Times New Roman" w:hAnsi="Times New Roman" w:eastAsia="Times New Roman" w:cs="Times New Roman"/>
                <w:spacing w:val="2"/>
              </w:rPr>
              <w:t>5750.4-2023</w:t>
            </w:r>
            <w:r>
              <w:rPr>
                <w:rFonts w:ascii="Times New Roman" w:hAnsi="Times New Roman" w:eastAsia="Times New Roman" w:cs="Times New Roman"/>
                <w:spacing w:val="27"/>
                <w:w w:val="101"/>
              </w:rPr>
              <w:t xml:space="preserve"> </w:t>
            </w:r>
            <w:r>
              <w:rPr>
                <w:rFonts w:ascii="Times New Roman" w:hAnsi="Times New Roman" w:eastAsia="Times New Roman" w:cs="Times New Roman"/>
                <w:spacing w:val="2"/>
              </w:rPr>
              <w:t>11.</w:t>
            </w:r>
            <w:r>
              <w:rPr>
                <w:rFonts w:ascii="Times New Roman" w:hAnsi="Times New Roman" w:eastAsia="Times New Roman" w:cs="Times New Roman"/>
                <w:spacing w:val="-25"/>
              </w:rPr>
              <w:t xml:space="preserve"> </w:t>
            </w:r>
            <w:r>
              <w:rPr>
                <w:rFonts w:ascii="Times New Roman" w:hAnsi="Times New Roman" w:eastAsia="Times New Roman" w:cs="Times New Roman"/>
                <w:spacing w:val="2"/>
              </w:rPr>
              <w:t>1  </w:t>
            </w:r>
            <w:r>
              <w:rPr>
                <w:spacing w:val="2"/>
              </w:rPr>
              <w:t>称量法</w:t>
            </w:r>
          </w:p>
        </w:tc>
        <w:tc>
          <w:tcPr>
            <w:tcW w:w="1115" w:type="dxa"/>
            <w:vAlign w:val="top"/>
          </w:tcPr>
          <w:p>
            <w:pPr>
              <w:ind w:left="526"/>
              <w:spacing w:before="203"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277" w:hRule="atLeast"/>
        </w:trPr>
        <w:tc>
          <w:tcPr>
            <w:tcW w:w="678" w:type="dxa"/>
            <w:vAlign w:val="top"/>
          </w:tcPr>
          <w:p>
            <w:pPr>
              <w:ind w:left="25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18</w:t>
            </w:r>
          </w:p>
        </w:tc>
        <w:tc>
          <w:tcPr>
            <w:tcW w:w="1202" w:type="dxa"/>
            <w:vAlign w:val="top"/>
          </w:tcPr>
          <w:p>
            <w:pPr>
              <w:pStyle w:val="TableText"/>
              <w:ind w:left="500"/>
              <w:spacing w:before="34" w:line="215" w:lineRule="auto"/>
              <w:rPr/>
            </w:pPr>
            <w:r>
              <w:rPr>
                <w:spacing w:val="1"/>
              </w:rPr>
              <w:t>铁</w:t>
            </w:r>
          </w:p>
        </w:tc>
        <w:tc>
          <w:tcPr>
            <w:tcW w:w="5521" w:type="dxa"/>
            <w:vAlign w:val="top"/>
            <w:vMerge w:val="restart"/>
            <w:tcBorders>
              <w:bottom w:val="nil"/>
            </w:tcBorders>
          </w:tcPr>
          <w:p>
            <w:pPr>
              <w:pStyle w:val="TableText"/>
              <w:ind w:left="566"/>
              <w:spacing w:before="55" w:line="228" w:lineRule="auto"/>
              <w:rPr/>
            </w:pPr>
            <w:r>
              <w:rPr>
                <w:spacing w:val="8"/>
              </w:rPr>
              <w:t>《水质铁、锰的测定火焰原子吸收分光光度法》</w:t>
            </w:r>
          </w:p>
          <w:p>
            <w:pPr>
              <w:ind w:left="2190"/>
              <w:spacing w:before="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29"/>
                <w:w w:val="101"/>
              </w:rPr>
              <w:t xml:space="preserve"> </w:t>
            </w:r>
            <w:r>
              <w:rPr>
                <w:rFonts w:ascii="Times New Roman" w:hAnsi="Times New Roman" w:eastAsia="Times New Roman" w:cs="Times New Roman"/>
                <w:sz w:val="20"/>
                <w:szCs w:val="20"/>
                <w:spacing w:val="2"/>
              </w:rPr>
              <w:t>11911-89</w:t>
            </w:r>
          </w:p>
        </w:tc>
        <w:tc>
          <w:tcPr>
            <w:tcW w:w="1115" w:type="dxa"/>
            <w:vAlign w:val="top"/>
          </w:tcPr>
          <w:p>
            <w:pPr>
              <w:ind w:left="125"/>
              <w:spacing w:before="6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0.03 </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/L</w:t>
            </w:r>
          </w:p>
        </w:tc>
      </w:tr>
      <w:tr>
        <w:trPr>
          <w:trHeight w:val="277" w:hRule="atLeast"/>
        </w:trPr>
        <w:tc>
          <w:tcPr>
            <w:tcW w:w="678" w:type="dxa"/>
            <w:vAlign w:val="top"/>
          </w:tcPr>
          <w:p>
            <w:pPr>
              <w:ind w:left="25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19</w:t>
            </w:r>
          </w:p>
        </w:tc>
        <w:tc>
          <w:tcPr>
            <w:tcW w:w="1202" w:type="dxa"/>
            <w:vAlign w:val="top"/>
          </w:tcPr>
          <w:p>
            <w:pPr>
              <w:pStyle w:val="TableText"/>
              <w:ind w:left="500"/>
              <w:spacing w:before="35" w:line="214" w:lineRule="auto"/>
              <w:rPr/>
            </w:pPr>
            <w:r>
              <w:rPr/>
              <w:t>锰</w:t>
            </w:r>
          </w:p>
        </w:tc>
        <w:tc>
          <w:tcPr>
            <w:tcW w:w="5521" w:type="dxa"/>
            <w:vAlign w:val="top"/>
            <w:vMerge w:val="continue"/>
            <w:tcBorders>
              <w:top w:val="nil"/>
            </w:tcBorders>
          </w:tcPr>
          <w:p>
            <w:pPr>
              <w:rPr>
                <w:rFonts w:ascii="Arial"/>
                <w:sz w:val="21"/>
              </w:rPr>
            </w:pPr>
            <w:r/>
          </w:p>
        </w:tc>
        <w:tc>
          <w:tcPr>
            <w:tcW w:w="1115" w:type="dxa"/>
            <w:vAlign w:val="top"/>
          </w:tcPr>
          <w:p>
            <w:pPr>
              <w:ind w:left="151"/>
              <w:spacing w:before="6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0.01</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5"/>
              </w:rPr>
              <w:t>/L</w:t>
            </w:r>
          </w:p>
        </w:tc>
      </w:tr>
      <w:tr>
        <w:trPr>
          <w:trHeight w:val="278" w:hRule="atLeast"/>
        </w:trPr>
        <w:tc>
          <w:tcPr>
            <w:tcW w:w="678" w:type="dxa"/>
            <w:vAlign w:val="top"/>
          </w:tcPr>
          <w:p>
            <w:pPr>
              <w:ind w:left="236"/>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1202" w:type="dxa"/>
            <w:vAlign w:val="top"/>
          </w:tcPr>
          <w:p>
            <w:pPr>
              <w:pStyle w:val="TableText"/>
              <w:ind w:left="500"/>
              <w:spacing w:before="36" w:line="214" w:lineRule="auto"/>
              <w:rPr/>
            </w:pPr>
            <w:r>
              <w:rPr/>
              <w:t>钾</w:t>
            </w:r>
          </w:p>
        </w:tc>
        <w:tc>
          <w:tcPr>
            <w:tcW w:w="5521" w:type="dxa"/>
            <w:vAlign w:val="top"/>
            <w:vMerge w:val="restart"/>
            <w:tcBorders>
              <w:bottom w:val="nil"/>
            </w:tcBorders>
          </w:tcPr>
          <w:p>
            <w:pPr>
              <w:pStyle w:val="TableText"/>
              <w:ind w:left="566"/>
              <w:spacing w:before="55" w:line="228" w:lineRule="auto"/>
              <w:rPr/>
            </w:pPr>
            <w:r>
              <w:rPr>
                <w:spacing w:val="8"/>
              </w:rPr>
              <w:t>《水质钾和钠的测定火焰原子吸收分光光度法》</w:t>
            </w:r>
          </w:p>
          <w:p>
            <w:pPr>
              <w:ind w:left="2190"/>
              <w:spacing w:before="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29"/>
                <w:w w:val="101"/>
              </w:rPr>
              <w:t xml:space="preserve"> </w:t>
            </w:r>
            <w:r>
              <w:rPr>
                <w:rFonts w:ascii="Times New Roman" w:hAnsi="Times New Roman" w:eastAsia="Times New Roman" w:cs="Times New Roman"/>
                <w:sz w:val="20"/>
                <w:szCs w:val="20"/>
                <w:spacing w:val="2"/>
              </w:rPr>
              <w:t>11904-89</w:t>
            </w:r>
          </w:p>
        </w:tc>
        <w:tc>
          <w:tcPr>
            <w:tcW w:w="1115" w:type="dxa"/>
            <w:vAlign w:val="top"/>
          </w:tcPr>
          <w:p>
            <w:pPr>
              <w:ind w:left="151"/>
              <w:spacing w:before="6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0.05</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5"/>
              </w:rPr>
              <w:t>/L</w:t>
            </w:r>
          </w:p>
        </w:tc>
      </w:tr>
      <w:tr>
        <w:trPr>
          <w:trHeight w:val="277" w:hRule="atLeast"/>
        </w:trPr>
        <w:tc>
          <w:tcPr>
            <w:tcW w:w="678" w:type="dxa"/>
            <w:vAlign w:val="top"/>
          </w:tcPr>
          <w:p>
            <w:pPr>
              <w:ind w:left="23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21</w:t>
            </w:r>
          </w:p>
        </w:tc>
        <w:tc>
          <w:tcPr>
            <w:tcW w:w="1202" w:type="dxa"/>
            <w:vAlign w:val="top"/>
          </w:tcPr>
          <w:p>
            <w:pPr>
              <w:pStyle w:val="TableText"/>
              <w:ind w:left="500"/>
              <w:spacing w:before="34" w:line="215" w:lineRule="auto"/>
              <w:rPr/>
            </w:pPr>
            <w:r>
              <w:rPr>
                <w:spacing w:val="1"/>
              </w:rPr>
              <w:t>钠</w:t>
            </w:r>
          </w:p>
        </w:tc>
        <w:tc>
          <w:tcPr>
            <w:tcW w:w="5521" w:type="dxa"/>
            <w:vAlign w:val="top"/>
            <w:vMerge w:val="continue"/>
            <w:tcBorders>
              <w:top w:val="nil"/>
            </w:tcBorders>
          </w:tcPr>
          <w:p>
            <w:pPr>
              <w:rPr>
                <w:rFonts w:ascii="Arial"/>
                <w:sz w:val="21"/>
              </w:rPr>
            </w:pPr>
            <w:r/>
          </w:p>
        </w:tc>
        <w:tc>
          <w:tcPr>
            <w:tcW w:w="1115" w:type="dxa"/>
            <w:vAlign w:val="top"/>
          </w:tcPr>
          <w:p>
            <w:pPr>
              <w:ind w:left="151"/>
              <w:spacing w:before="6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0.01</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5"/>
              </w:rPr>
              <w:t>/L</w:t>
            </w:r>
          </w:p>
        </w:tc>
      </w:tr>
      <w:tr>
        <w:trPr>
          <w:trHeight w:val="279" w:hRule="atLeast"/>
        </w:trPr>
        <w:tc>
          <w:tcPr>
            <w:tcW w:w="678" w:type="dxa"/>
            <w:vAlign w:val="top"/>
          </w:tcPr>
          <w:p>
            <w:pPr>
              <w:ind w:left="23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22</w:t>
            </w:r>
          </w:p>
        </w:tc>
        <w:tc>
          <w:tcPr>
            <w:tcW w:w="1202" w:type="dxa"/>
            <w:vAlign w:val="top"/>
          </w:tcPr>
          <w:p>
            <w:pPr>
              <w:pStyle w:val="TableText"/>
              <w:ind w:left="500"/>
              <w:spacing w:before="36" w:line="215" w:lineRule="auto"/>
              <w:rPr/>
            </w:pPr>
            <w:r>
              <w:rPr>
                <w:spacing w:val="1"/>
              </w:rPr>
              <w:t>钙</w:t>
            </w:r>
          </w:p>
        </w:tc>
        <w:tc>
          <w:tcPr>
            <w:tcW w:w="5521" w:type="dxa"/>
            <w:vAlign w:val="top"/>
          </w:tcPr>
          <w:p>
            <w:pPr>
              <w:pStyle w:val="TableText"/>
              <w:ind w:left="672"/>
              <w:spacing w:before="36" w:line="215" w:lineRule="auto"/>
              <w:rPr/>
            </w:pPr>
            <w:r>
              <w:rPr>
                <w:spacing w:val="8"/>
              </w:rPr>
              <w:t>《水质 钙和镁的测定 原子吸收分光光度法》</w:t>
            </w:r>
          </w:p>
        </w:tc>
        <w:tc>
          <w:tcPr>
            <w:tcW w:w="1115" w:type="dxa"/>
            <w:vAlign w:val="top"/>
          </w:tcPr>
          <w:p>
            <w:pPr>
              <w:ind w:left="151"/>
              <w:spacing w:before="6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0.02</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5"/>
              </w:rPr>
              <w:t>/L</w:t>
            </w:r>
          </w:p>
        </w:tc>
      </w:tr>
    </w:tbl>
    <w:p>
      <w:pPr>
        <w:ind w:right="9"/>
        <w:spacing w:before="172" w:line="227" w:lineRule="auto"/>
        <w:jc w:val="right"/>
        <w:rPr>
          <w:rFonts w:ascii="SimSun" w:hAnsi="SimSun" w:eastAsia="SimSun" w:cs="SimSun"/>
          <w:sz w:val="19"/>
          <w:szCs w:val="19"/>
        </w:rPr>
      </w:pPr>
      <w:r>
        <w:pict>
          <v:shape id="_x0000_s614" style="position:absolute;margin-left:206.323pt;margin-top:7.64092pt;mso-position-vertical-relative:text;mso-position-horizontal-relative:text;width:60.35pt;height:13.75pt;z-index:251930624;"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position w:val="2"/>
                    </w:rPr>
                    <w:t>124       </w:t>
                  </w:r>
                  <w:r>
                    <w:rPr>
                      <w:rFonts w:ascii="SimSun" w:hAnsi="SimSun" w:eastAsia="SimSun" w:cs="SimSun"/>
                      <w:sz w:val="19"/>
                      <w:szCs w:val="19"/>
                    </w:rPr>
                    <w:t>锡林郭</w:t>
                  </w:r>
                </w:p>
              </w:txbxContent>
            </v:textbox>
          </v:shape>
        </w:pict>
      </w:r>
      <w:r>
        <w:rPr>
          <w:rFonts w:ascii="SimSun" w:hAnsi="SimSun" w:eastAsia="SimSun" w:cs="SimSun"/>
          <w:sz w:val="19"/>
          <w:szCs w:val="19"/>
          <w:spacing w:val="9"/>
        </w:rPr>
        <w:t>勒盟中安环境技术咨询有限责任公司</w:t>
      </w:r>
    </w:p>
    <w:p>
      <w:pPr>
        <w:spacing w:line="227" w:lineRule="auto"/>
        <w:sectPr>
          <w:headerReference w:type="default" r:id="rId93"/>
          <w:pgSz w:w="11907" w:h="16840"/>
          <w:pgMar w:top="1567" w:right="1693" w:bottom="400" w:left="1692" w:header="1221" w:footer="0" w:gutter="0"/>
        </w:sectPr>
        <w:rPr>
          <w:rFonts w:ascii="SimSun" w:hAnsi="SimSun" w:eastAsia="SimSun" w:cs="SimSun"/>
          <w:sz w:val="19"/>
          <w:szCs w:val="19"/>
        </w:rPr>
      </w:pPr>
    </w:p>
    <w:p>
      <w:pPr>
        <w:spacing w:line="151" w:lineRule="exact"/>
        <w:rPr/>
      </w:pPr>
      <w:r>
        <w:pict>
          <v:shape id="_x0000_s616" style="position:absolute;margin-left:85.05pt;margin-top:79.11pt;mso-position-vertical-relative:page;mso-position-horizontal-relative:page;width:425.25pt;height:0.75pt;z-index:251933696;" o:allowincell="f" fillcolor="#000000" filled="true" stroked="false" coordsize="8505,15" coordorigin="0,0" path="m,l8505,0l8505,14l0,14l0,0xe"/>
        </w:pict>
      </w:r>
      <w:r/>
    </w:p>
    <w:tbl>
      <w:tblPr>
        <w:tblStyle w:val="TableNormal"/>
        <w:tblW w:w="8516"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78"/>
        <w:gridCol w:w="1202"/>
        <w:gridCol w:w="5521"/>
        <w:gridCol w:w="1115"/>
      </w:tblGrid>
      <w:tr>
        <w:trPr>
          <w:trHeight w:val="281" w:hRule="atLeast"/>
        </w:trPr>
        <w:tc>
          <w:tcPr>
            <w:tcW w:w="678" w:type="dxa"/>
            <w:vAlign w:val="top"/>
          </w:tcPr>
          <w:p>
            <w:pPr>
              <w:pStyle w:val="TableText"/>
              <w:ind w:left="134"/>
              <w:spacing w:before="36" w:line="216" w:lineRule="auto"/>
              <w:rPr/>
            </w:pPr>
            <w:r>
              <w:rPr>
                <w:spacing w:val="5"/>
              </w:rPr>
              <w:t>序号</w:t>
            </w:r>
          </w:p>
        </w:tc>
        <w:tc>
          <w:tcPr>
            <w:tcW w:w="1202" w:type="dxa"/>
            <w:vAlign w:val="top"/>
          </w:tcPr>
          <w:p>
            <w:pPr>
              <w:pStyle w:val="TableText"/>
              <w:ind w:left="184"/>
              <w:spacing w:before="36" w:line="216" w:lineRule="auto"/>
              <w:rPr/>
            </w:pPr>
            <w:r>
              <w:rPr>
                <w:spacing w:val="7"/>
              </w:rPr>
              <w:t>检测项目</w:t>
            </w:r>
          </w:p>
        </w:tc>
        <w:tc>
          <w:tcPr>
            <w:tcW w:w="5521" w:type="dxa"/>
            <w:vAlign w:val="top"/>
          </w:tcPr>
          <w:p>
            <w:pPr>
              <w:pStyle w:val="TableText"/>
              <w:ind w:left="2346"/>
              <w:spacing w:before="36" w:line="216" w:lineRule="auto"/>
              <w:rPr/>
            </w:pPr>
            <w:r>
              <w:rPr>
                <w:spacing w:val="7"/>
              </w:rPr>
              <w:t>检测依据</w:t>
            </w:r>
          </w:p>
        </w:tc>
        <w:tc>
          <w:tcPr>
            <w:tcW w:w="1115" w:type="dxa"/>
            <w:vAlign w:val="top"/>
          </w:tcPr>
          <w:p>
            <w:pPr>
              <w:pStyle w:val="TableText"/>
              <w:ind w:left="248"/>
              <w:spacing w:before="36" w:line="216" w:lineRule="auto"/>
              <w:rPr/>
            </w:pPr>
            <w:r>
              <w:rPr>
                <w:spacing w:val="6"/>
              </w:rPr>
              <w:t>检出限</w:t>
            </w:r>
          </w:p>
        </w:tc>
      </w:tr>
      <w:tr>
        <w:trPr>
          <w:trHeight w:val="278" w:hRule="atLeast"/>
        </w:trPr>
        <w:tc>
          <w:tcPr>
            <w:tcW w:w="678" w:type="dxa"/>
            <w:vAlign w:val="top"/>
          </w:tcPr>
          <w:p>
            <w:pPr>
              <w:ind w:left="236"/>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23</w:t>
            </w:r>
          </w:p>
        </w:tc>
        <w:tc>
          <w:tcPr>
            <w:tcW w:w="1202" w:type="dxa"/>
            <w:vAlign w:val="top"/>
          </w:tcPr>
          <w:p>
            <w:pPr>
              <w:pStyle w:val="TableText"/>
              <w:ind w:left="500"/>
              <w:spacing w:before="31" w:line="218" w:lineRule="auto"/>
              <w:rPr/>
            </w:pPr>
            <w:r>
              <w:rPr>
                <w:spacing w:val="1"/>
              </w:rPr>
              <w:t>镁</w:t>
            </w:r>
          </w:p>
        </w:tc>
        <w:tc>
          <w:tcPr>
            <w:tcW w:w="5521" w:type="dxa"/>
            <w:vAlign w:val="top"/>
          </w:tcPr>
          <w:p>
            <w:pPr>
              <w:ind w:left="2190"/>
              <w:spacing w:before="5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29"/>
                <w:w w:val="101"/>
              </w:rPr>
              <w:t xml:space="preserve"> </w:t>
            </w:r>
            <w:r>
              <w:rPr>
                <w:rFonts w:ascii="Times New Roman" w:hAnsi="Times New Roman" w:eastAsia="Times New Roman" w:cs="Times New Roman"/>
                <w:sz w:val="20"/>
                <w:szCs w:val="20"/>
                <w:spacing w:val="2"/>
              </w:rPr>
              <w:t>11905-89</w:t>
            </w:r>
          </w:p>
        </w:tc>
        <w:tc>
          <w:tcPr>
            <w:tcW w:w="1115" w:type="dxa"/>
            <w:vAlign w:val="top"/>
          </w:tcPr>
          <w:p>
            <w:pPr>
              <w:ind w:left="98"/>
              <w:spacing w:before="6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0.002</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/L</w:t>
            </w:r>
          </w:p>
        </w:tc>
      </w:tr>
      <w:tr>
        <w:trPr>
          <w:trHeight w:val="277" w:hRule="atLeast"/>
        </w:trPr>
        <w:tc>
          <w:tcPr>
            <w:tcW w:w="678" w:type="dxa"/>
            <w:vAlign w:val="top"/>
          </w:tcPr>
          <w:p>
            <w:pPr>
              <w:ind w:left="236"/>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24</w:t>
            </w:r>
          </w:p>
        </w:tc>
        <w:tc>
          <w:tcPr>
            <w:tcW w:w="1202" w:type="dxa"/>
            <w:vAlign w:val="top"/>
          </w:tcPr>
          <w:p>
            <w:pPr>
              <w:pStyle w:val="TableText"/>
              <w:ind w:left="289"/>
              <w:spacing w:before="31" w:line="217" w:lineRule="auto"/>
              <w:rPr/>
            </w:pPr>
            <w:r>
              <w:rPr>
                <w:spacing w:val="6"/>
              </w:rPr>
              <w:t>碳酸盐</w:t>
            </w:r>
          </w:p>
        </w:tc>
        <w:tc>
          <w:tcPr>
            <w:tcW w:w="5521" w:type="dxa"/>
            <w:vAlign w:val="top"/>
            <w:vMerge w:val="restart"/>
            <w:tcBorders>
              <w:bottom w:val="nil"/>
            </w:tcBorders>
          </w:tcPr>
          <w:p>
            <w:pPr>
              <w:pStyle w:val="TableText"/>
              <w:ind w:left="41"/>
              <w:spacing w:before="31" w:line="228" w:lineRule="auto"/>
              <w:rPr/>
            </w:pPr>
            <w:r>
              <w:rPr>
                <w:spacing w:val="9"/>
              </w:rPr>
              <w:t>《水和废水监测分析方法》（第四版增补版）国家环境保护</w:t>
            </w:r>
          </w:p>
          <w:p>
            <w:pPr>
              <w:pStyle w:val="TableText"/>
              <w:ind w:left="14"/>
              <w:spacing w:before="24" w:line="227" w:lineRule="auto"/>
              <w:rPr/>
            </w:pPr>
            <w:r>
              <w:rPr>
                <w:spacing w:val="5"/>
              </w:rPr>
              <w:t>总局（</w:t>
            </w:r>
            <w:r>
              <w:rPr>
                <w:rFonts w:ascii="Times New Roman" w:hAnsi="Times New Roman" w:eastAsia="Times New Roman" w:cs="Times New Roman"/>
                <w:spacing w:val="5"/>
              </w:rPr>
              <w:t>2002 </w:t>
            </w:r>
            <w:r>
              <w:rPr>
                <w:spacing w:val="5"/>
              </w:rPr>
              <w:t>年） 第三篇 第一章 十二</w:t>
            </w:r>
            <w:r>
              <w:rPr>
                <w:spacing w:val="4"/>
              </w:rPr>
              <w:t>、碱度（总碱度、重碳</w:t>
            </w:r>
          </w:p>
          <w:p>
            <w:pPr>
              <w:pStyle w:val="TableText"/>
              <w:ind w:left="598"/>
              <w:spacing w:before="28" w:line="217" w:lineRule="auto"/>
              <w:rPr/>
            </w:pPr>
            <w:r>
              <w:rPr>
                <w:spacing w:val="10"/>
              </w:rPr>
              <w:t>酸盐和碳酸盐</w:t>
            </w:r>
            <w:r>
              <w:rPr>
                <w:spacing w:val="-3"/>
              </w:rPr>
              <w:t>）（</w:t>
            </w:r>
            <w:r>
              <w:rPr>
                <w:spacing w:val="10"/>
              </w:rPr>
              <w:t>一）酸碱指示剂滴定法（</w:t>
            </w:r>
            <w:r>
              <w:rPr>
                <w:rFonts w:ascii="Times New Roman" w:hAnsi="Times New Roman" w:eastAsia="Times New Roman" w:cs="Times New Roman"/>
                <w:spacing w:val="10"/>
              </w:rPr>
              <w:t>B</w:t>
            </w:r>
            <w:r>
              <w:rPr>
                <w:spacing w:val="10"/>
              </w:rPr>
              <w:t>）</w:t>
            </w:r>
          </w:p>
        </w:tc>
        <w:tc>
          <w:tcPr>
            <w:tcW w:w="1115" w:type="dxa"/>
            <w:vAlign w:val="top"/>
          </w:tcPr>
          <w:p>
            <w:pPr>
              <w:ind w:left="526"/>
              <w:spacing w:before="63"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540" w:hRule="atLeast"/>
        </w:trPr>
        <w:tc>
          <w:tcPr>
            <w:tcW w:w="678" w:type="dxa"/>
            <w:vAlign w:val="top"/>
          </w:tcPr>
          <w:p>
            <w:pPr>
              <w:ind w:left="236"/>
              <w:spacing w:before="19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1202" w:type="dxa"/>
            <w:vAlign w:val="top"/>
          </w:tcPr>
          <w:p>
            <w:pPr>
              <w:pStyle w:val="TableText"/>
              <w:ind w:left="184"/>
              <w:spacing w:before="162" w:line="228" w:lineRule="auto"/>
              <w:rPr/>
            </w:pPr>
            <w:r>
              <w:rPr>
                <w:spacing w:val="7"/>
              </w:rPr>
              <w:t>重碳酸盐</w:t>
            </w:r>
          </w:p>
        </w:tc>
        <w:tc>
          <w:tcPr>
            <w:tcW w:w="5521" w:type="dxa"/>
            <w:vAlign w:val="top"/>
            <w:vMerge w:val="continue"/>
            <w:tcBorders>
              <w:top w:val="nil"/>
            </w:tcBorders>
          </w:tcPr>
          <w:p>
            <w:pPr>
              <w:rPr>
                <w:rFonts w:ascii="Arial"/>
                <w:sz w:val="21"/>
              </w:rPr>
            </w:pPr>
            <w:r/>
          </w:p>
        </w:tc>
        <w:tc>
          <w:tcPr>
            <w:tcW w:w="1115" w:type="dxa"/>
            <w:vAlign w:val="top"/>
          </w:tcPr>
          <w:p>
            <w:pPr>
              <w:ind w:left="526"/>
              <w:spacing w:before="19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548" w:hRule="atLeast"/>
        </w:trPr>
        <w:tc>
          <w:tcPr>
            <w:tcW w:w="678" w:type="dxa"/>
            <w:vAlign w:val="top"/>
          </w:tcPr>
          <w:p>
            <w:pPr>
              <w:ind w:left="236"/>
              <w:spacing w:before="2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26</w:t>
            </w:r>
          </w:p>
        </w:tc>
        <w:tc>
          <w:tcPr>
            <w:tcW w:w="1202" w:type="dxa"/>
            <w:vAlign w:val="top"/>
          </w:tcPr>
          <w:p>
            <w:pPr>
              <w:pStyle w:val="TableText"/>
              <w:ind w:left="184"/>
              <w:spacing w:before="166" w:line="228" w:lineRule="auto"/>
              <w:rPr/>
            </w:pPr>
            <w:r>
              <w:rPr>
                <w:spacing w:val="7"/>
              </w:rPr>
              <w:t>细菌总数</w:t>
            </w:r>
          </w:p>
        </w:tc>
        <w:tc>
          <w:tcPr>
            <w:tcW w:w="5521" w:type="dxa"/>
            <w:vAlign w:val="top"/>
          </w:tcPr>
          <w:p>
            <w:pPr>
              <w:pStyle w:val="TableText"/>
              <w:ind w:left="1179" w:right="830" w:hanging="351"/>
              <w:spacing w:before="31" w:line="234" w:lineRule="auto"/>
              <w:rPr/>
            </w:pPr>
            <w:r>
              <w:rPr>
                <w:spacing w:val="8"/>
              </w:rPr>
              <w:t>《生活饮用水标准检验方法 微生物指标》</w:t>
            </w:r>
            <w:r>
              <w:rPr>
                <w:spacing w:val="4"/>
              </w:rPr>
              <w:t xml:space="preserve"> </w:t>
            </w:r>
            <w:r>
              <w:rPr>
                <w:rFonts w:ascii="Times New Roman" w:hAnsi="Times New Roman" w:eastAsia="Times New Roman" w:cs="Times New Roman"/>
              </w:rPr>
              <w:t>GB</w:t>
            </w:r>
            <w:r>
              <w:rPr>
                <w:rFonts w:ascii="Times New Roman" w:hAnsi="Times New Roman" w:eastAsia="Times New Roman" w:cs="Times New Roman"/>
                <w:spacing w:val="4"/>
              </w:rPr>
              <w:t>/T</w:t>
            </w:r>
            <w:r>
              <w:rPr>
                <w:rFonts w:ascii="Times New Roman" w:hAnsi="Times New Roman" w:eastAsia="Times New Roman" w:cs="Times New Roman"/>
                <w:spacing w:val="15"/>
              </w:rPr>
              <w:t xml:space="preserve"> </w:t>
            </w:r>
            <w:r>
              <w:rPr>
                <w:rFonts w:ascii="Times New Roman" w:hAnsi="Times New Roman" w:eastAsia="Times New Roman" w:cs="Times New Roman"/>
                <w:spacing w:val="4"/>
              </w:rPr>
              <w:t>5750.12-2023 4.</w:t>
            </w:r>
            <w:r>
              <w:rPr>
                <w:rFonts w:ascii="Times New Roman" w:hAnsi="Times New Roman" w:eastAsia="Times New Roman" w:cs="Times New Roman"/>
                <w:spacing w:val="-25"/>
              </w:rPr>
              <w:t xml:space="preserve"> </w:t>
            </w:r>
            <w:r>
              <w:rPr>
                <w:rFonts w:ascii="Times New Roman" w:hAnsi="Times New Roman" w:eastAsia="Times New Roman" w:cs="Times New Roman"/>
                <w:spacing w:val="4"/>
              </w:rPr>
              <w:t>1  </w:t>
            </w:r>
            <w:r>
              <w:rPr>
                <w:spacing w:val="4"/>
              </w:rPr>
              <w:t>平皿计数法</w:t>
            </w:r>
          </w:p>
        </w:tc>
        <w:tc>
          <w:tcPr>
            <w:tcW w:w="1115" w:type="dxa"/>
            <w:vAlign w:val="top"/>
          </w:tcPr>
          <w:p>
            <w:pPr>
              <w:ind w:left="526"/>
              <w:spacing w:before="199"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549" w:hRule="atLeast"/>
        </w:trPr>
        <w:tc>
          <w:tcPr>
            <w:tcW w:w="678" w:type="dxa"/>
            <w:vAlign w:val="top"/>
          </w:tcPr>
          <w:p>
            <w:pPr>
              <w:ind w:left="236"/>
              <w:spacing w:before="2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27</w:t>
            </w:r>
          </w:p>
        </w:tc>
        <w:tc>
          <w:tcPr>
            <w:tcW w:w="1202" w:type="dxa"/>
            <w:vAlign w:val="top"/>
          </w:tcPr>
          <w:p>
            <w:pPr>
              <w:pStyle w:val="TableText"/>
              <w:ind w:left="86"/>
              <w:spacing w:before="168" w:line="228" w:lineRule="auto"/>
              <w:rPr/>
            </w:pPr>
            <w:r>
              <w:rPr>
                <w:spacing w:val="7"/>
              </w:rPr>
              <w:t>总大肠菌群</w:t>
            </w:r>
          </w:p>
        </w:tc>
        <w:tc>
          <w:tcPr>
            <w:tcW w:w="5521" w:type="dxa"/>
            <w:vAlign w:val="top"/>
          </w:tcPr>
          <w:p>
            <w:pPr>
              <w:pStyle w:val="TableText"/>
              <w:ind w:left="1179" w:right="830" w:hanging="351"/>
              <w:spacing w:before="34" w:line="233" w:lineRule="auto"/>
              <w:rPr/>
            </w:pPr>
            <w:r>
              <w:rPr>
                <w:spacing w:val="8"/>
              </w:rPr>
              <w:t>《生活饮用水标准检验方法 微生物指标》</w:t>
            </w:r>
            <w:r>
              <w:rPr>
                <w:spacing w:val="4"/>
              </w:rPr>
              <w:t xml:space="preserve"> </w:t>
            </w:r>
            <w:r>
              <w:rPr>
                <w:rFonts w:ascii="Times New Roman" w:hAnsi="Times New Roman" w:eastAsia="Times New Roman" w:cs="Times New Roman"/>
              </w:rPr>
              <w:t>GB</w:t>
            </w:r>
            <w:r>
              <w:rPr>
                <w:rFonts w:ascii="Times New Roman" w:hAnsi="Times New Roman" w:eastAsia="Times New Roman" w:cs="Times New Roman"/>
                <w:spacing w:val="3"/>
              </w:rPr>
              <w:t>/T</w:t>
            </w:r>
            <w:r>
              <w:rPr>
                <w:rFonts w:ascii="Times New Roman" w:hAnsi="Times New Roman" w:eastAsia="Times New Roman" w:cs="Times New Roman"/>
                <w:spacing w:val="23"/>
                <w:w w:val="101"/>
              </w:rPr>
              <w:t xml:space="preserve"> </w:t>
            </w:r>
            <w:r>
              <w:rPr>
                <w:rFonts w:ascii="Times New Roman" w:hAnsi="Times New Roman" w:eastAsia="Times New Roman" w:cs="Times New Roman"/>
                <w:spacing w:val="3"/>
              </w:rPr>
              <w:t>5750.12-2023 5.</w:t>
            </w:r>
            <w:r>
              <w:rPr>
                <w:rFonts w:ascii="Times New Roman" w:hAnsi="Times New Roman" w:eastAsia="Times New Roman" w:cs="Times New Roman"/>
                <w:spacing w:val="-25"/>
              </w:rPr>
              <w:t xml:space="preserve"> </w:t>
            </w:r>
            <w:r>
              <w:rPr>
                <w:rFonts w:ascii="Times New Roman" w:hAnsi="Times New Roman" w:eastAsia="Times New Roman" w:cs="Times New Roman"/>
                <w:spacing w:val="3"/>
              </w:rPr>
              <w:t>1</w:t>
            </w:r>
            <w:r>
              <w:rPr>
                <w:rFonts w:ascii="Times New Roman" w:hAnsi="Times New Roman" w:eastAsia="Times New Roman" w:cs="Times New Roman"/>
                <w:spacing w:val="11"/>
              </w:rPr>
              <w:t xml:space="preserve">  </w:t>
            </w:r>
            <w:r>
              <w:rPr>
                <w:spacing w:val="3"/>
              </w:rPr>
              <w:t>多管发酵法</w:t>
            </w:r>
          </w:p>
        </w:tc>
        <w:tc>
          <w:tcPr>
            <w:tcW w:w="1115" w:type="dxa"/>
            <w:vAlign w:val="top"/>
          </w:tcPr>
          <w:p>
            <w:pPr>
              <w:ind w:left="526"/>
              <w:spacing w:before="20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277" w:hRule="atLeast"/>
        </w:trPr>
        <w:tc>
          <w:tcPr>
            <w:tcW w:w="678" w:type="dxa"/>
            <w:vAlign w:val="top"/>
          </w:tcPr>
          <w:p>
            <w:pPr>
              <w:ind w:left="23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c>
          <w:tcPr>
            <w:tcW w:w="1202" w:type="dxa"/>
            <w:vAlign w:val="top"/>
          </w:tcPr>
          <w:p>
            <w:pPr>
              <w:pStyle w:val="TableText"/>
              <w:ind w:left="293"/>
              <w:spacing w:before="34" w:line="215" w:lineRule="auto"/>
              <w:rPr/>
            </w:pPr>
            <w:r>
              <w:rPr>
                <w:spacing w:val="5"/>
              </w:rPr>
              <w:t>氯化物</w:t>
            </w:r>
          </w:p>
        </w:tc>
        <w:tc>
          <w:tcPr>
            <w:tcW w:w="5521" w:type="dxa"/>
            <w:vAlign w:val="top"/>
          </w:tcPr>
          <w:p>
            <w:pPr>
              <w:pStyle w:val="TableText"/>
              <w:ind w:left="413"/>
              <w:spacing w:before="34" w:line="215" w:lineRule="auto"/>
              <w:rPr>
                <w:rFonts w:ascii="Times New Roman" w:hAnsi="Times New Roman" w:eastAsia="Times New Roman" w:cs="Times New Roman"/>
              </w:rPr>
            </w:pPr>
            <w:r>
              <w:rPr>
                <w:spacing w:val="7"/>
              </w:rPr>
              <w:t>《水质 氯化物的测定 硝酸银滴定法》</w:t>
            </w:r>
            <w:r>
              <w:rPr>
                <w:rFonts w:ascii="Times New Roman" w:hAnsi="Times New Roman" w:eastAsia="Times New Roman" w:cs="Times New Roman"/>
              </w:rPr>
              <w:t>GB</w:t>
            </w:r>
            <w:r>
              <w:rPr>
                <w:rFonts w:ascii="Times New Roman" w:hAnsi="Times New Roman" w:eastAsia="Times New Roman" w:cs="Times New Roman"/>
                <w:spacing w:val="27"/>
                <w:w w:val="101"/>
              </w:rPr>
              <w:t xml:space="preserve"> </w:t>
            </w:r>
            <w:r>
              <w:rPr>
                <w:rFonts w:ascii="Times New Roman" w:hAnsi="Times New Roman" w:eastAsia="Times New Roman" w:cs="Times New Roman"/>
                <w:spacing w:val="7"/>
              </w:rPr>
              <w:t>1189</w:t>
            </w:r>
            <w:r>
              <w:rPr>
                <w:rFonts w:ascii="Times New Roman" w:hAnsi="Times New Roman" w:eastAsia="Times New Roman" w:cs="Times New Roman"/>
                <w:spacing w:val="6"/>
              </w:rPr>
              <w:t>6-89</w:t>
            </w:r>
          </w:p>
        </w:tc>
        <w:tc>
          <w:tcPr>
            <w:tcW w:w="1115" w:type="dxa"/>
            <w:vAlign w:val="top"/>
          </w:tcPr>
          <w:p>
            <w:pPr>
              <w:ind w:left="247"/>
              <w:spacing w:before="6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1"/>
              </w:rPr>
              <w:t>/L</w:t>
            </w:r>
          </w:p>
        </w:tc>
      </w:tr>
      <w:tr>
        <w:trPr>
          <w:trHeight w:val="519" w:hRule="atLeast"/>
        </w:trPr>
        <w:tc>
          <w:tcPr>
            <w:tcW w:w="678" w:type="dxa"/>
            <w:vAlign w:val="top"/>
          </w:tcPr>
          <w:p>
            <w:pPr>
              <w:ind w:left="236"/>
              <w:spacing w:before="1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29</w:t>
            </w:r>
          </w:p>
        </w:tc>
        <w:tc>
          <w:tcPr>
            <w:tcW w:w="1202" w:type="dxa"/>
            <w:vAlign w:val="top"/>
          </w:tcPr>
          <w:p>
            <w:pPr>
              <w:pStyle w:val="TableText"/>
              <w:ind w:left="288"/>
              <w:spacing w:before="153" w:line="229" w:lineRule="auto"/>
              <w:rPr/>
            </w:pPr>
            <w:r>
              <w:rPr>
                <w:spacing w:val="7"/>
              </w:rPr>
              <w:t>硫酸盐</w:t>
            </w:r>
          </w:p>
        </w:tc>
        <w:tc>
          <w:tcPr>
            <w:tcW w:w="5521" w:type="dxa"/>
            <w:vAlign w:val="top"/>
          </w:tcPr>
          <w:p>
            <w:pPr>
              <w:pStyle w:val="TableText"/>
              <w:ind w:left="357"/>
              <w:spacing w:before="32" w:line="228" w:lineRule="auto"/>
              <w:rPr/>
            </w:pPr>
            <w:r>
              <w:rPr>
                <w:spacing w:val="9"/>
              </w:rPr>
              <w:t>《水质 硫酸盐的测定 铬酸钡分光光度法（试行）》</w:t>
            </w:r>
          </w:p>
          <w:p>
            <w:pPr>
              <w:ind w:left="2123"/>
              <w:spacing w:before="4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5"/>
              </w:rPr>
              <w:t>/T 342-2007</w:t>
            </w:r>
          </w:p>
        </w:tc>
        <w:tc>
          <w:tcPr>
            <w:tcW w:w="1115" w:type="dxa"/>
            <w:vAlign w:val="top"/>
          </w:tcPr>
          <w:p>
            <w:pPr>
              <w:ind w:left="286"/>
              <w:spacing w:before="1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8</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/L</w:t>
            </w:r>
          </w:p>
        </w:tc>
      </w:tr>
      <w:tr>
        <w:trPr>
          <w:trHeight w:val="278" w:hRule="atLeast"/>
        </w:trPr>
        <w:tc>
          <w:tcPr>
            <w:tcW w:w="678" w:type="dxa"/>
            <w:vAlign w:val="top"/>
          </w:tcPr>
          <w:p>
            <w:pPr>
              <w:ind w:left="24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1202" w:type="dxa"/>
            <w:vAlign w:val="top"/>
          </w:tcPr>
          <w:p>
            <w:pPr>
              <w:pStyle w:val="TableText"/>
              <w:ind w:left="290"/>
              <w:spacing w:before="35" w:line="215" w:lineRule="auto"/>
              <w:rPr/>
            </w:pPr>
            <w:r>
              <w:rPr>
                <w:spacing w:val="6"/>
              </w:rPr>
              <w:t>石油类</w:t>
            </w:r>
          </w:p>
        </w:tc>
        <w:tc>
          <w:tcPr>
            <w:tcW w:w="5521" w:type="dxa"/>
            <w:vAlign w:val="top"/>
          </w:tcPr>
          <w:p>
            <w:pPr>
              <w:pStyle w:val="TableText"/>
              <w:spacing w:before="35" w:line="215" w:lineRule="auto"/>
              <w:jc w:val="right"/>
              <w:rPr>
                <w:rFonts w:ascii="Times New Roman" w:hAnsi="Times New Roman" w:eastAsia="Times New Roman" w:cs="Times New Roman"/>
              </w:rPr>
            </w:pPr>
            <w:r>
              <w:rPr>
                <w:spacing w:val="2"/>
              </w:rPr>
              <w:t>《水质 石油类的测定 紫外分光光度法（试行）》</w:t>
            </w:r>
            <w:r>
              <w:rPr>
                <w:rFonts w:ascii="Times New Roman" w:hAnsi="Times New Roman" w:eastAsia="Times New Roman" w:cs="Times New Roman"/>
              </w:rPr>
              <w:t>HJ</w:t>
            </w:r>
            <w:r>
              <w:rPr>
                <w:rFonts w:ascii="Times New Roman" w:hAnsi="Times New Roman" w:eastAsia="Times New Roman" w:cs="Times New Roman"/>
                <w:spacing w:val="2"/>
              </w:rPr>
              <w:t xml:space="preserve"> 970-</w:t>
            </w:r>
            <w:r>
              <w:rPr>
                <w:rFonts w:ascii="Times New Roman" w:hAnsi="Times New Roman" w:eastAsia="Times New Roman" w:cs="Times New Roman"/>
                <w:spacing w:val="1"/>
              </w:rPr>
              <w:t>2018</w:t>
            </w:r>
          </w:p>
        </w:tc>
        <w:tc>
          <w:tcPr>
            <w:tcW w:w="1115" w:type="dxa"/>
            <w:vAlign w:val="top"/>
          </w:tcPr>
          <w:p>
            <w:pPr>
              <w:ind w:left="151"/>
              <w:spacing w:before="6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0.01</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/L</w:t>
            </w:r>
          </w:p>
        </w:tc>
      </w:tr>
      <w:tr>
        <w:trPr>
          <w:trHeight w:val="549" w:hRule="atLeast"/>
        </w:trPr>
        <w:tc>
          <w:tcPr>
            <w:tcW w:w="678" w:type="dxa"/>
            <w:vAlign w:val="top"/>
          </w:tcPr>
          <w:p>
            <w:pPr>
              <w:ind w:left="240"/>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31</w:t>
            </w:r>
          </w:p>
        </w:tc>
        <w:tc>
          <w:tcPr>
            <w:tcW w:w="1202" w:type="dxa"/>
            <w:vAlign w:val="top"/>
          </w:tcPr>
          <w:p>
            <w:pPr>
              <w:pStyle w:val="TableText"/>
              <w:ind w:left="292" w:right="77" w:hanging="195"/>
              <w:spacing w:before="32" w:line="234" w:lineRule="auto"/>
              <w:rPr/>
            </w:pPr>
            <w:r>
              <w:rPr>
                <w:spacing w:val="4"/>
              </w:rPr>
              <w:t>阴离子表面</w:t>
            </w:r>
            <w:r>
              <w:rPr>
                <w:spacing w:val="1"/>
              </w:rPr>
              <w:t xml:space="preserve"> </w:t>
            </w:r>
            <w:r>
              <w:rPr>
                <w:spacing w:val="5"/>
              </w:rPr>
              <w:t>活性剂</w:t>
            </w:r>
          </w:p>
        </w:tc>
        <w:tc>
          <w:tcPr>
            <w:tcW w:w="5521" w:type="dxa"/>
            <w:vAlign w:val="top"/>
          </w:tcPr>
          <w:p>
            <w:pPr>
              <w:pStyle w:val="TableText"/>
              <w:ind w:left="862" w:right="410" w:hanging="454"/>
              <w:spacing w:before="32" w:line="234" w:lineRule="auto"/>
              <w:rPr/>
            </w:pPr>
            <w:r>
              <w:rPr>
                <w:spacing w:val="8"/>
              </w:rPr>
              <w:t>《生活饮用水标准检验方法 感官性状和物理指标》</w:t>
            </w:r>
            <w:r>
              <w:rPr>
                <w:spacing w:val="12"/>
              </w:rPr>
              <w:t xml:space="preserve"> </w:t>
            </w:r>
            <w:r>
              <w:rPr>
                <w:rFonts w:ascii="Times New Roman" w:hAnsi="Times New Roman" w:eastAsia="Times New Roman" w:cs="Times New Roman"/>
              </w:rPr>
              <w:t>GB</w:t>
            </w:r>
            <w:r>
              <w:rPr>
                <w:rFonts w:ascii="Times New Roman" w:hAnsi="Times New Roman" w:eastAsia="Times New Roman" w:cs="Times New Roman"/>
                <w:spacing w:val="4"/>
              </w:rPr>
              <w:t>/T</w:t>
            </w:r>
            <w:r>
              <w:rPr>
                <w:rFonts w:ascii="Times New Roman" w:hAnsi="Times New Roman" w:eastAsia="Times New Roman" w:cs="Times New Roman"/>
                <w:spacing w:val="15"/>
                <w:w w:val="101"/>
              </w:rPr>
              <w:t xml:space="preserve"> </w:t>
            </w:r>
            <w:r>
              <w:rPr>
                <w:rFonts w:ascii="Times New Roman" w:hAnsi="Times New Roman" w:eastAsia="Times New Roman" w:cs="Times New Roman"/>
                <w:spacing w:val="4"/>
              </w:rPr>
              <w:t>5750.4-2023</w:t>
            </w:r>
            <w:r>
              <w:rPr>
                <w:rFonts w:ascii="Times New Roman" w:hAnsi="Times New Roman" w:eastAsia="Times New Roman" w:cs="Times New Roman"/>
                <w:spacing w:val="28"/>
                <w:w w:val="101"/>
              </w:rPr>
              <w:t xml:space="preserve"> </w:t>
            </w:r>
            <w:r>
              <w:rPr>
                <w:rFonts w:ascii="Times New Roman" w:hAnsi="Times New Roman" w:eastAsia="Times New Roman" w:cs="Times New Roman"/>
                <w:spacing w:val="4"/>
              </w:rPr>
              <w:t>13.</w:t>
            </w:r>
            <w:r>
              <w:rPr>
                <w:rFonts w:ascii="Times New Roman" w:hAnsi="Times New Roman" w:eastAsia="Times New Roman" w:cs="Times New Roman"/>
                <w:spacing w:val="-25"/>
              </w:rPr>
              <w:t xml:space="preserve"> </w:t>
            </w:r>
            <w:r>
              <w:rPr>
                <w:rFonts w:ascii="Times New Roman" w:hAnsi="Times New Roman" w:eastAsia="Times New Roman" w:cs="Times New Roman"/>
                <w:spacing w:val="4"/>
              </w:rPr>
              <w:t>1  </w:t>
            </w:r>
            <w:r>
              <w:rPr>
                <w:spacing w:val="4"/>
              </w:rPr>
              <w:t>亚甲</w:t>
            </w:r>
            <w:r>
              <w:rPr>
                <w:spacing w:val="3"/>
              </w:rPr>
              <w:t>蓝分光光度法</w:t>
            </w:r>
          </w:p>
        </w:tc>
        <w:tc>
          <w:tcPr>
            <w:tcW w:w="1115" w:type="dxa"/>
            <w:vAlign w:val="top"/>
          </w:tcPr>
          <w:p>
            <w:pPr>
              <w:ind w:left="98"/>
              <w:spacing w:before="201"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0.050</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/L</w:t>
            </w:r>
          </w:p>
        </w:tc>
      </w:tr>
      <w:tr>
        <w:trPr>
          <w:trHeight w:val="549" w:hRule="atLeast"/>
        </w:trPr>
        <w:tc>
          <w:tcPr>
            <w:tcW w:w="678" w:type="dxa"/>
            <w:vAlign w:val="top"/>
          </w:tcPr>
          <w:p>
            <w:pPr>
              <w:ind w:left="240"/>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32</w:t>
            </w:r>
          </w:p>
        </w:tc>
        <w:tc>
          <w:tcPr>
            <w:tcW w:w="1202" w:type="dxa"/>
            <w:vAlign w:val="top"/>
          </w:tcPr>
          <w:p>
            <w:pPr>
              <w:pStyle w:val="TableText"/>
              <w:ind w:left="288"/>
              <w:spacing w:before="169" w:line="229" w:lineRule="auto"/>
              <w:rPr/>
            </w:pPr>
            <w:r>
              <w:rPr>
                <w:spacing w:val="7"/>
              </w:rPr>
              <w:t>碘化物</w:t>
            </w:r>
          </w:p>
        </w:tc>
        <w:tc>
          <w:tcPr>
            <w:tcW w:w="5521" w:type="dxa"/>
            <w:vAlign w:val="top"/>
          </w:tcPr>
          <w:p>
            <w:pPr>
              <w:pStyle w:val="TableText"/>
              <w:ind w:right="1"/>
              <w:spacing w:before="35" w:line="228" w:lineRule="auto"/>
              <w:jc w:val="right"/>
              <w:rPr/>
            </w:pPr>
            <w:r>
              <w:rPr>
                <w:spacing w:val="6"/>
              </w:rPr>
              <w:t>《地下水质分析方法 第</w:t>
            </w:r>
            <w:r>
              <w:rPr>
                <w:spacing w:val="-26"/>
              </w:rPr>
              <w:t xml:space="preserve"> </w:t>
            </w:r>
            <w:r>
              <w:rPr>
                <w:rFonts w:ascii="Times New Roman" w:hAnsi="Times New Roman" w:eastAsia="Times New Roman" w:cs="Times New Roman"/>
                <w:spacing w:val="6"/>
              </w:rPr>
              <w:t>56 </w:t>
            </w:r>
            <w:r>
              <w:rPr>
                <w:spacing w:val="6"/>
              </w:rPr>
              <w:t>部分：碘化物的测定 淀粉分光光</w:t>
            </w:r>
          </w:p>
          <w:p>
            <w:pPr>
              <w:pStyle w:val="TableText"/>
              <w:ind w:left="1604"/>
              <w:spacing w:before="25" w:line="214" w:lineRule="auto"/>
              <w:rPr>
                <w:rFonts w:ascii="Times New Roman" w:hAnsi="Times New Roman" w:eastAsia="Times New Roman" w:cs="Times New Roman"/>
              </w:rPr>
            </w:pPr>
            <w:r>
              <w:rPr>
                <w:spacing w:val="5"/>
              </w:rPr>
              <w:t>度法》</w:t>
            </w:r>
            <w:r>
              <w:rPr>
                <w:rFonts w:ascii="Times New Roman" w:hAnsi="Times New Roman" w:eastAsia="Times New Roman" w:cs="Times New Roman"/>
              </w:rPr>
              <w:t>DZ</w:t>
            </w:r>
            <w:r>
              <w:rPr>
                <w:rFonts w:ascii="Times New Roman" w:hAnsi="Times New Roman" w:eastAsia="Times New Roman" w:cs="Times New Roman"/>
                <w:spacing w:val="5"/>
              </w:rPr>
              <w:t>/T 0064.56-2021</w:t>
            </w:r>
          </w:p>
        </w:tc>
        <w:tc>
          <w:tcPr>
            <w:tcW w:w="1115" w:type="dxa"/>
            <w:vAlign w:val="top"/>
          </w:tcPr>
          <w:p>
            <w:pPr>
              <w:ind w:left="246"/>
              <w:spacing w:before="201"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25µg/L</w:t>
            </w:r>
          </w:p>
        </w:tc>
      </w:tr>
      <w:tr>
        <w:trPr>
          <w:trHeight w:val="277" w:hRule="atLeast"/>
        </w:trPr>
        <w:tc>
          <w:tcPr>
            <w:tcW w:w="678" w:type="dxa"/>
            <w:vAlign w:val="top"/>
          </w:tcPr>
          <w:p>
            <w:pPr>
              <w:ind w:left="24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33</w:t>
            </w:r>
          </w:p>
        </w:tc>
        <w:tc>
          <w:tcPr>
            <w:tcW w:w="1202" w:type="dxa"/>
            <w:vAlign w:val="top"/>
          </w:tcPr>
          <w:p>
            <w:pPr>
              <w:pStyle w:val="TableText"/>
              <w:ind w:left="510"/>
              <w:spacing w:before="33" w:line="216" w:lineRule="auto"/>
              <w:rPr/>
            </w:pPr>
            <w:r>
              <w:rPr/>
              <w:t>铜</w:t>
            </w:r>
          </w:p>
        </w:tc>
        <w:tc>
          <w:tcPr>
            <w:tcW w:w="5521" w:type="dxa"/>
            <w:vAlign w:val="top"/>
            <w:vMerge w:val="restart"/>
            <w:tcBorders>
              <w:bottom w:val="nil"/>
            </w:tcBorders>
          </w:tcPr>
          <w:p>
            <w:pPr>
              <w:pStyle w:val="TableText"/>
              <w:ind w:left="60"/>
              <w:spacing w:before="174" w:line="228" w:lineRule="auto"/>
              <w:rPr>
                <w:rFonts w:ascii="Times New Roman" w:hAnsi="Times New Roman" w:eastAsia="Times New Roman" w:cs="Times New Roman"/>
              </w:rPr>
            </w:pPr>
            <w:r>
              <w:rPr>
                <w:spacing w:val="-9"/>
              </w:rPr>
              <w:t>《水质</w:t>
            </w:r>
            <w:r>
              <w:rPr>
                <w:spacing w:val="-30"/>
              </w:rPr>
              <w:t xml:space="preserve"> </w:t>
            </w:r>
            <w:r>
              <w:rPr>
                <w:spacing w:val="-9"/>
              </w:rPr>
              <w:t>铜、锌、铅、镉的测定</w:t>
            </w:r>
            <w:r>
              <w:rPr>
                <w:spacing w:val="-27"/>
              </w:rPr>
              <w:t xml:space="preserve"> </w:t>
            </w:r>
            <w:r>
              <w:rPr>
                <w:spacing w:val="-9"/>
              </w:rPr>
              <w:t>原子吸收分光光度法》</w:t>
            </w:r>
            <w:r>
              <w:rPr>
                <w:rFonts w:ascii="Times New Roman" w:hAnsi="Times New Roman" w:eastAsia="Times New Roman" w:cs="Times New Roman"/>
                <w:spacing w:val="-9"/>
              </w:rPr>
              <w:t>GB</w:t>
            </w:r>
            <w:r>
              <w:rPr>
                <w:rFonts w:ascii="Times New Roman" w:hAnsi="Times New Roman" w:eastAsia="Times New Roman" w:cs="Times New Roman"/>
                <w:spacing w:val="-16"/>
              </w:rPr>
              <w:t xml:space="preserve"> </w:t>
            </w:r>
            <w:r>
              <w:rPr>
                <w:rFonts w:ascii="Times New Roman" w:hAnsi="Times New Roman" w:eastAsia="Times New Roman" w:cs="Times New Roman"/>
                <w:spacing w:val="-9"/>
              </w:rPr>
              <w:t>74</w:t>
            </w:r>
            <w:r>
              <w:rPr>
                <w:rFonts w:ascii="Times New Roman" w:hAnsi="Times New Roman" w:eastAsia="Times New Roman" w:cs="Times New Roman"/>
                <w:spacing w:val="-10"/>
              </w:rPr>
              <w:t>75-87</w:t>
            </w:r>
          </w:p>
        </w:tc>
        <w:tc>
          <w:tcPr>
            <w:tcW w:w="1115" w:type="dxa"/>
            <w:vAlign w:val="top"/>
          </w:tcPr>
          <w:p>
            <w:pPr>
              <w:ind w:left="151"/>
              <w:spacing w:before="6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0.05</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5"/>
              </w:rPr>
              <w:t>/L</w:t>
            </w:r>
          </w:p>
        </w:tc>
      </w:tr>
      <w:tr>
        <w:trPr>
          <w:trHeight w:val="278" w:hRule="atLeast"/>
        </w:trPr>
        <w:tc>
          <w:tcPr>
            <w:tcW w:w="678" w:type="dxa"/>
            <w:vAlign w:val="top"/>
          </w:tcPr>
          <w:p>
            <w:pPr>
              <w:ind w:left="24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34</w:t>
            </w:r>
          </w:p>
        </w:tc>
        <w:tc>
          <w:tcPr>
            <w:tcW w:w="1202" w:type="dxa"/>
            <w:vAlign w:val="top"/>
          </w:tcPr>
          <w:p>
            <w:pPr>
              <w:pStyle w:val="TableText"/>
              <w:ind w:left="509"/>
              <w:spacing w:before="35" w:line="215" w:lineRule="auto"/>
              <w:rPr/>
            </w:pPr>
            <w:r>
              <w:rPr>
                <w:spacing w:val="1"/>
              </w:rPr>
              <w:t>锌</w:t>
            </w:r>
          </w:p>
        </w:tc>
        <w:tc>
          <w:tcPr>
            <w:tcW w:w="5521" w:type="dxa"/>
            <w:vAlign w:val="top"/>
            <w:vMerge w:val="continue"/>
            <w:tcBorders>
              <w:top w:val="nil"/>
            </w:tcBorders>
          </w:tcPr>
          <w:p>
            <w:pPr>
              <w:rPr>
                <w:rFonts w:ascii="Arial"/>
                <w:sz w:val="21"/>
              </w:rPr>
            </w:pPr>
            <w:r/>
          </w:p>
        </w:tc>
        <w:tc>
          <w:tcPr>
            <w:tcW w:w="1115" w:type="dxa"/>
            <w:vAlign w:val="top"/>
          </w:tcPr>
          <w:p>
            <w:pPr>
              <w:ind w:left="151"/>
              <w:spacing w:before="6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0.05</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5"/>
              </w:rPr>
              <w:t>/L</w:t>
            </w:r>
          </w:p>
        </w:tc>
      </w:tr>
      <w:tr>
        <w:trPr>
          <w:trHeight w:val="549" w:hRule="atLeast"/>
        </w:trPr>
        <w:tc>
          <w:tcPr>
            <w:tcW w:w="678" w:type="dxa"/>
            <w:vAlign w:val="top"/>
          </w:tcPr>
          <w:p>
            <w:pPr>
              <w:ind w:left="240"/>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35</w:t>
            </w:r>
          </w:p>
        </w:tc>
        <w:tc>
          <w:tcPr>
            <w:tcW w:w="1202" w:type="dxa"/>
            <w:vAlign w:val="top"/>
          </w:tcPr>
          <w:p>
            <w:pPr>
              <w:pStyle w:val="TableText"/>
              <w:ind w:left="397"/>
              <w:spacing w:before="169" w:line="228" w:lineRule="auto"/>
              <w:rPr/>
            </w:pPr>
            <w:r>
              <w:rPr>
                <w:spacing w:val="3"/>
              </w:rPr>
              <w:t>色度</w:t>
            </w:r>
          </w:p>
        </w:tc>
        <w:tc>
          <w:tcPr>
            <w:tcW w:w="5521" w:type="dxa"/>
            <w:vAlign w:val="top"/>
          </w:tcPr>
          <w:p>
            <w:pPr>
              <w:pStyle w:val="TableText"/>
              <w:ind w:left="987" w:right="410" w:hanging="579"/>
              <w:spacing w:before="34" w:line="233" w:lineRule="auto"/>
              <w:rPr/>
            </w:pPr>
            <w:r>
              <w:rPr>
                <w:spacing w:val="8"/>
              </w:rPr>
              <w:t>《生活饮用水标准检验方法 感官性状和物理指标》</w:t>
            </w:r>
            <w:r>
              <w:rPr>
                <w:spacing w:val="12"/>
              </w:rPr>
              <w:t xml:space="preserve"> </w:t>
            </w:r>
            <w:r>
              <w:rPr>
                <w:rFonts w:ascii="Times New Roman" w:hAnsi="Times New Roman" w:eastAsia="Times New Roman" w:cs="Times New Roman"/>
              </w:rPr>
              <w:t>GB</w:t>
            </w:r>
            <w:r>
              <w:rPr>
                <w:rFonts w:ascii="Times New Roman" w:hAnsi="Times New Roman" w:eastAsia="Times New Roman" w:cs="Times New Roman"/>
                <w:spacing w:val="4"/>
              </w:rPr>
              <w:t>/T</w:t>
            </w:r>
            <w:r>
              <w:rPr>
                <w:rFonts w:ascii="Times New Roman" w:hAnsi="Times New Roman" w:eastAsia="Times New Roman" w:cs="Times New Roman"/>
                <w:spacing w:val="24"/>
              </w:rPr>
              <w:t xml:space="preserve"> </w:t>
            </w:r>
            <w:r>
              <w:rPr>
                <w:rFonts w:ascii="Times New Roman" w:hAnsi="Times New Roman" w:eastAsia="Times New Roman" w:cs="Times New Roman"/>
                <w:spacing w:val="4"/>
              </w:rPr>
              <w:t>5750.4-2023 4.</w:t>
            </w:r>
            <w:r>
              <w:rPr>
                <w:rFonts w:ascii="Times New Roman" w:hAnsi="Times New Roman" w:eastAsia="Times New Roman" w:cs="Times New Roman"/>
                <w:spacing w:val="-25"/>
              </w:rPr>
              <w:t xml:space="preserve"> </w:t>
            </w:r>
            <w:r>
              <w:rPr>
                <w:rFonts w:ascii="Times New Roman" w:hAnsi="Times New Roman" w:eastAsia="Times New Roman" w:cs="Times New Roman"/>
                <w:spacing w:val="4"/>
              </w:rPr>
              <w:t>1  </w:t>
            </w:r>
            <w:r>
              <w:rPr>
                <w:spacing w:val="4"/>
              </w:rPr>
              <w:t>铂</w:t>
            </w:r>
            <w:r>
              <w:rPr>
                <w:rFonts w:ascii="Times New Roman" w:hAnsi="Times New Roman" w:eastAsia="Times New Roman" w:cs="Times New Roman"/>
                <w:spacing w:val="4"/>
              </w:rPr>
              <w:t>-</w:t>
            </w:r>
            <w:r>
              <w:rPr>
                <w:spacing w:val="4"/>
              </w:rPr>
              <w:t>钴标准比色法</w:t>
            </w:r>
          </w:p>
        </w:tc>
        <w:tc>
          <w:tcPr>
            <w:tcW w:w="1115" w:type="dxa"/>
            <w:vAlign w:val="top"/>
          </w:tcPr>
          <w:p>
            <w:pPr>
              <w:pStyle w:val="TableText"/>
              <w:ind w:left="379"/>
              <w:spacing w:before="169" w:line="228" w:lineRule="auto"/>
              <w:rPr/>
            </w:pPr>
            <w:r>
              <w:rPr>
                <w:rFonts w:ascii="Times New Roman" w:hAnsi="Times New Roman" w:eastAsia="Times New Roman" w:cs="Times New Roman"/>
                <w:spacing w:val="-2"/>
              </w:rPr>
              <w:t>5</w:t>
            </w:r>
            <w:r>
              <w:rPr>
                <w:rFonts w:ascii="Times New Roman" w:hAnsi="Times New Roman" w:eastAsia="Times New Roman" w:cs="Times New Roman"/>
                <w:spacing w:val="11"/>
              </w:rPr>
              <w:t xml:space="preserve"> </w:t>
            </w:r>
            <w:r>
              <w:rPr>
                <w:spacing w:val="-2"/>
              </w:rPr>
              <w:t>度</w:t>
            </w:r>
          </w:p>
        </w:tc>
      </w:tr>
      <w:tr>
        <w:trPr>
          <w:trHeight w:val="549" w:hRule="atLeast"/>
        </w:trPr>
        <w:tc>
          <w:tcPr>
            <w:tcW w:w="678" w:type="dxa"/>
            <w:vAlign w:val="top"/>
          </w:tcPr>
          <w:p>
            <w:pPr>
              <w:ind w:left="240"/>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36</w:t>
            </w:r>
          </w:p>
        </w:tc>
        <w:tc>
          <w:tcPr>
            <w:tcW w:w="1202" w:type="dxa"/>
            <w:vAlign w:val="top"/>
          </w:tcPr>
          <w:p>
            <w:pPr>
              <w:pStyle w:val="TableText"/>
              <w:ind w:left="289"/>
              <w:spacing w:before="169" w:line="228" w:lineRule="auto"/>
              <w:rPr/>
            </w:pPr>
            <w:r>
              <w:rPr>
                <w:spacing w:val="6"/>
              </w:rPr>
              <w:t>臭和味</w:t>
            </w:r>
          </w:p>
        </w:tc>
        <w:tc>
          <w:tcPr>
            <w:tcW w:w="5521" w:type="dxa"/>
            <w:vAlign w:val="top"/>
          </w:tcPr>
          <w:p>
            <w:pPr>
              <w:pStyle w:val="TableText"/>
              <w:ind w:left="170"/>
              <w:spacing w:before="34" w:line="228" w:lineRule="auto"/>
              <w:rPr>
                <w:rFonts w:ascii="Times New Roman" w:hAnsi="Times New Roman" w:eastAsia="Times New Roman" w:cs="Times New Roman"/>
              </w:rPr>
            </w:pPr>
            <w:r>
              <w:rPr>
                <w:spacing w:val="9"/>
              </w:rPr>
              <w:t>《生活饮用水标准检验方法 感官性状和物理指标》</w:t>
            </w:r>
            <w:r>
              <w:rPr>
                <w:rFonts w:ascii="Times New Roman" w:hAnsi="Times New Roman" w:eastAsia="Times New Roman" w:cs="Times New Roman"/>
              </w:rPr>
              <w:t>GB</w:t>
            </w:r>
            <w:r>
              <w:rPr>
                <w:rFonts w:ascii="Times New Roman" w:hAnsi="Times New Roman" w:eastAsia="Times New Roman" w:cs="Times New Roman"/>
                <w:spacing w:val="9"/>
              </w:rPr>
              <w:t>/T</w:t>
            </w:r>
          </w:p>
          <w:p>
            <w:pPr>
              <w:pStyle w:val="TableText"/>
              <w:ind w:left="1393"/>
              <w:spacing w:before="24" w:line="215" w:lineRule="auto"/>
              <w:rPr/>
            </w:pPr>
            <w:r>
              <w:rPr>
                <w:rFonts w:ascii="Times New Roman" w:hAnsi="Times New Roman" w:eastAsia="Times New Roman" w:cs="Times New Roman"/>
                <w:spacing w:val="3"/>
              </w:rPr>
              <w:t>5750.4-2023 6.</w:t>
            </w:r>
            <w:r>
              <w:rPr>
                <w:rFonts w:ascii="Times New Roman" w:hAnsi="Times New Roman" w:eastAsia="Times New Roman" w:cs="Times New Roman"/>
                <w:spacing w:val="-18"/>
              </w:rPr>
              <w:t xml:space="preserve"> </w:t>
            </w:r>
            <w:r>
              <w:rPr>
                <w:rFonts w:ascii="Times New Roman" w:hAnsi="Times New Roman" w:eastAsia="Times New Roman" w:cs="Times New Roman"/>
                <w:spacing w:val="3"/>
              </w:rPr>
              <w:t>1</w:t>
            </w:r>
            <w:r>
              <w:rPr>
                <w:rFonts w:ascii="Times New Roman" w:hAnsi="Times New Roman" w:eastAsia="Times New Roman" w:cs="Times New Roman"/>
                <w:spacing w:val="11"/>
              </w:rPr>
              <w:t xml:space="preserve">  </w:t>
            </w:r>
            <w:r>
              <w:rPr>
                <w:spacing w:val="3"/>
              </w:rPr>
              <w:t>嗅气和尝味法</w:t>
            </w:r>
          </w:p>
        </w:tc>
        <w:tc>
          <w:tcPr>
            <w:tcW w:w="1115" w:type="dxa"/>
            <w:vAlign w:val="top"/>
          </w:tcPr>
          <w:p>
            <w:pPr>
              <w:ind w:left="526"/>
              <w:spacing w:before="20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550" w:hRule="atLeast"/>
        </w:trPr>
        <w:tc>
          <w:tcPr>
            <w:tcW w:w="678" w:type="dxa"/>
            <w:vAlign w:val="top"/>
          </w:tcPr>
          <w:p>
            <w:pPr>
              <w:ind w:left="240"/>
              <w:spacing w:before="2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37</w:t>
            </w:r>
          </w:p>
        </w:tc>
        <w:tc>
          <w:tcPr>
            <w:tcW w:w="1202" w:type="dxa"/>
            <w:vAlign w:val="top"/>
          </w:tcPr>
          <w:p>
            <w:pPr>
              <w:pStyle w:val="TableText"/>
              <w:ind w:left="291"/>
              <w:spacing w:before="172" w:line="228" w:lineRule="auto"/>
              <w:rPr/>
            </w:pPr>
            <w:r>
              <w:rPr>
                <w:spacing w:val="6"/>
              </w:rPr>
              <w:t>浑浊度</w:t>
            </w:r>
          </w:p>
        </w:tc>
        <w:tc>
          <w:tcPr>
            <w:tcW w:w="5521" w:type="dxa"/>
            <w:vAlign w:val="top"/>
          </w:tcPr>
          <w:p>
            <w:pPr>
              <w:pStyle w:val="TableText"/>
              <w:ind w:left="567" w:right="410" w:hanging="159"/>
              <w:spacing w:before="35" w:line="233" w:lineRule="auto"/>
              <w:rPr/>
            </w:pPr>
            <w:r>
              <w:rPr>
                <w:spacing w:val="8"/>
              </w:rPr>
              <w:t>《生活饮用水标准检验方法 感官性状和物理指标》</w:t>
            </w:r>
            <w:r>
              <w:rPr>
                <w:spacing w:val="12"/>
              </w:rPr>
              <w:t xml:space="preserve"> </w:t>
            </w:r>
            <w:r>
              <w:rPr>
                <w:rFonts w:ascii="Times New Roman" w:hAnsi="Times New Roman" w:eastAsia="Times New Roman" w:cs="Times New Roman"/>
              </w:rPr>
              <w:t>GB</w:t>
            </w:r>
            <w:r>
              <w:rPr>
                <w:rFonts w:ascii="Times New Roman" w:hAnsi="Times New Roman" w:eastAsia="Times New Roman" w:cs="Times New Roman"/>
                <w:spacing w:val="4"/>
              </w:rPr>
              <w:t>/T</w:t>
            </w:r>
            <w:r>
              <w:rPr>
                <w:rFonts w:ascii="Times New Roman" w:hAnsi="Times New Roman" w:eastAsia="Times New Roman" w:cs="Times New Roman"/>
                <w:spacing w:val="19"/>
              </w:rPr>
              <w:t xml:space="preserve"> </w:t>
            </w:r>
            <w:r>
              <w:rPr>
                <w:rFonts w:ascii="Times New Roman" w:hAnsi="Times New Roman" w:eastAsia="Times New Roman" w:cs="Times New Roman"/>
                <w:spacing w:val="4"/>
              </w:rPr>
              <w:t>5750.4-2023 5.2   </w:t>
            </w:r>
            <w:r>
              <w:rPr>
                <w:spacing w:val="4"/>
              </w:rPr>
              <w:t>目视比浊法</w:t>
            </w:r>
            <w:r>
              <w:rPr>
                <w:rFonts w:ascii="Times New Roman" w:hAnsi="Times New Roman" w:eastAsia="Times New Roman" w:cs="Times New Roman"/>
                <w:spacing w:val="4"/>
              </w:rPr>
              <w:t>-</w:t>
            </w:r>
            <w:r>
              <w:rPr>
                <w:spacing w:val="4"/>
              </w:rPr>
              <w:t>福尔马肼标准</w:t>
            </w:r>
          </w:p>
        </w:tc>
        <w:tc>
          <w:tcPr>
            <w:tcW w:w="1115" w:type="dxa"/>
            <w:vAlign w:val="top"/>
          </w:tcPr>
          <w:p>
            <w:pPr>
              <w:ind w:left="310"/>
              <w:spacing w:before="2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1NTU</w:t>
            </w:r>
          </w:p>
        </w:tc>
      </w:tr>
      <w:tr>
        <w:trPr>
          <w:trHeight w:val="549" w:hRule="atLeast"/>
        </w:trPr>
        <w:tc>
          <w:tcPr>
            <w:tcW w:w="678" w:type="dxa"/>
            <w:vAlign w:val="top"/>
          </w:tcPr>
          <w:p>
            <w:pPr>
              <w:ind w:left="250"/>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38</w:t>
            </w:r>
          </w:p>
        </w:tc>
        <w:tc>
          <w:tcPr>
            <w:tcW w:w="1202" w:type="dxa"/>
            <w:vAlign w:val="top"/>
          </w:tcPr>
          <w:p>
            <w:pPr>
              <w:pStyle w:val="TableText"/>
              <w:ind w:left="101"/>
              <w:spacing w:before="169" w:line="228" w:lineRule="auto"/>
              <w:rPr/>
            </w:pPr>
            <w:r>
              <w:rPr>
                <w:spacing w:val="4"/>
              </w:rPr>
              <w:t>肉眼可见物</w:t>
            </w:r>
          </w:p>
        </w:tc>
        <w:tc>
          <w:tcPr>
            <w:tcW w:w="5521" w:type="dxa"/>
            <w:vAlign w:val="top"/>
          </w:tcPr>
          <w:p>
            <w:pPr>
              <w:pStyle w:val="TableText"/>
              <w:ind w:left="408"/>
              <w:spacing w:before="34" w:line="228" w:lineRule="auto"/>
              <w:rPr/>
            </w:pPr>
            <w:r>
              <w:rPr>
                <w:spacing w:val="8"/>
              </w:rPr>
              <w:t>《生活饮用水标准检验方法 感官性状和物理指标》</w:t>
            </w:r>
          </w:p>
          <w:p>
            <w:pPr>
              <w:pStyle w:val="TableText"/>
              <w:ind w:left="1258"/>
              <w:spacing w:before="24" w:line="215" w:lineRule="auto"/>
              <w:rPr/>
            </w:pPr>
            <w:r>
              <w:rPr>
                <w:rFonts w:ascii="Times New Roman" w:hAnsi="Times New Roman" w:eastAsia="Times New Roman" w:cs="Times New Roman"/>
              </w:rPr>
              <w:t>GB</w:t>
            </w:r>
            <w:r>
              <w:rPr>
                <w:rFonts w:ascii="Times New Roman" w:hAnsi="Times New Roman" w:eastAsia="Times New Roman" w:cs="Times New Roman"/>
                <w:spacing w:val="4"/>
              </w:rPr>
              <w:t>/T 5750.4-2023 7.</w:t>
            </w:r>
            <w:r>
              <w:rPr>
                <w:rFonts w:ascii="Times New Roman" w:hAnsi="Times New Roman" w:eastAsia="Times New Roman" w:cs="Times New Roman"/>
                <w:spacing w:val="-22"/>
              </w:rPr>
              <w:t xml:space="preserve"> </w:t>
            </w:r>
            <w:r>
              <w:rPr>
                <w:rFonts w:ascii="Times New Roman" w:hAnsi="Times New Roman" w:eastAsia="Times New Roman" w:cs="Times New Roman"/>
                <w:spacing w:val="4"/>
              </w:rPr>
              <w:t>1</w:t>
            </w:r>
            <w:r>
              <w:rPr>
                <w:rFonts w:ascii="Times New Roman" w:hAnsi="Times New Roman" w:eastAsia="Times New Roman" w:cs="Times New Roman"/>
                <w:spacing w:val="11"/>
              </w:rPr>
              <w:t xml:space="preserve"> </w:t>
            </w:r>
            <w:r>
              <w:rPr>
                <w:spacing w:val="4"/>
              </w:rPr>
              <w:t>直接观察法</w:t>
            </w:r>
          </w:p>
        </w:tc>
        <w:tc>
          <w:tcPr>
            <w:tcW w:w="1115" w:type="dxa"/>
            <w:vAlign w:val="top"/>
          </w:tcPr>
          <w:p>
            <w:pPr>
              <w:ind w:left="526"/>
              <w:spacing w:before="203"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519" w:hRule="atLeast"/>
        </w:trPr>
        <w:tc>
          <w:tcPr>
            <w:tcW w:w="678" w:type="dxa"/>
            <w:vAlign w:val="top"/>
          </w:tcPr>
          <w:p>
            <w:pPr>
              <w:ind w:left="250"/>
              <w:spacing w:before="1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39</w:t>
            </w:r>
          </w:p>
        </w:tc>
        <w:tc>
          <w:tcPr>
            <w:tcW w:w="1202" w:type="dxa"/>
            <w:vAlign w:val="top"/>
          </w:tcPr>
          <w:p>
            <w:pPr>
              <w:pStyle w:val="TableText"/>
              <w:ind w:left="288"/>
              <w:spacing w:before="155" w:line="229" w:lineRule="auto"/>
              <w:rPr/>
            </w:pPr>
            <w:r>
              <w:rPr>
                <w:spacing w:val="7"/>
              </w:rPr>
              <w:t>硫化物</w:t>
            </w:r>
          </w:p>
        </w:tc>
        <w:tc>
          <w:tcPr>
            <w:tcW w:w="5521" w:type="dxa"/>
            <w:vAlign w:val="top"/>
          </w:tcPr>
          <w:p>
            <w:pPr>
              <w:pStyle w:val="TableText"/>
              <w:ind w:left="672"/>
              <w:spacing w:before="35" w:line="228" w:lineRule="auto"/>
              <w:rPr/>
            </w:pPr>
            <w:r>
              <w:rPr>
                <w:spacing w:val="8"/>
              </w:rPr>
              <w:t>《水质 硫化物的测定 亚甲基蓝分光光度法》</w:t>
            </w:r>
          </w:p>
          <w:p>
            <w:pPr>
              <w:ind w:left="2164"/>
              <w:spacing w:before="46"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32"/>
                <w:w w:val="101"/>
              </w:rPr>
              <w:t xml:space="preserve"> </w:t>
            </w:r>
            <w:r>
              <w:rPr>
                <w:rFonts w:ascii="Times New Roman" w:hAnsi="Times New Roman" w:eastAsia="Times New Roman" w:cs="Times New Roman"/>
                <w:sz w:val="20"/>
                <w:szCs w:val="20"/>
                <w:spacing w:val="2"/>
              </w:rPr>
              <w:t>1226-2021</w:t>
            </w:r>
          </w:p>
        </w:tc>
        <w:tc>
          <w:tcPr>
            <w:tcW w:w="1115" w:type="dxa"/>
            <w:vAlign w:val="top"/>
          </w:tcPr>
          <w:p>
            <w:pPr>
              <w:ind w:left="98"/>
              <w:spacing w:before="1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0.003</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/L</w:t>
            </w:r>
          </w:p>
        </w:tc>
      </w:tr>
      <w:tr>
        <w:trPr>
          <w:trHeight w:val="519" w:hRule="atLeast"/>
        </w:trPr>
        <w:tc>
          <w:tcPr>
            <w:tcW w:w="678" w:type="dxa"/>
            <w:vAlign w:val="top"/>
          </w:tcPr>
          <w:p>
            <w:pPr>
              <w:ind w:left="235"/>
              <w:spacing w:before="1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w:t>
            </w:r>
          </w:p>
        </w:tc>
        <w:tc>
          <w:tcPr>
            <w:tcW w:w="1202" w:type="dxa"/>
            <w:vAlign w:val="top"/>
          </w:tcPr>
          <w:p>
            <w:pPr>
              <w:pStyle w:val="TableText"/>
              <w:ind w:left="499"/>
              <w:spacing w:before="156" w:line="231" w:lineRule="auto"/>
              <w:rPr/>
            </w:pPr>
            <w:r>
              <w:rPr>
                <w:spacing w:val="2"/>
              </w:rPr>
              <w:t>硒</w:t>
            </w:r>
          </w:p>
        </w:tc>
        <w:tc>
          <w:tcPr>
            <w:tcW w:w="5521" w:type="dxa"/>
            <w:vAlign w:val="top"/>
          </w:tcPr>
          <w:p>
            <w:pPr>
              <w:pStyle w:val="TableText"/>
              <w:ind w:left="461"/>
              <w:spacing w:before="36" w:line="228" w:lineRule="auto"/>
              <w:rPr/>
            </w:pPr>
            <w:r>
              <w:rPr>
                <w:spacing w:val="8"/>
              </w:rPr>
              <w:t>《水质 汞、砷、硒、铋和锑的测定 原子荧光法》</w:t>
            </w:r>
          </w:p>
          <w:p>
            <w:pPr>
              <w:ind w:left="2215"/>
              <w:spacing w:before="46" w:line="18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15"/>
              </w:rPr>
              <w:t xml:space="preserve"> </w:t>
            </w:r>
            <w:r>
              <w:rPr>
                <w:rFonts w:ascii="Times New Roman" w:hAnsi="Times New Roman" w:eastAsia="Times New Roman" w:cs="Times New Roman"/>
                <w:sz w:val="20"/>
                <w:szCs w:val="20"/>
                <w:spacing w:val="4"/>
              </w:rPr>
              <w:t>694-2014</w:t>
            </w:r>
          </w:p>
        </w:tc>
        <w:tc>
          <w:tcPr>
            <w:tcW w:w="1115" w:type="dxa"/>
            <w:vAlign w:val="top"/>
          </w:tcPr>
          <w:p>
            <w:pPr>
              <w:ind w:left="56"/>
              <w:spacing w:before="172" w:line="21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4×10</w:t>
            </w:r>
            <w:r>
              <w:rPr>
                <w:rFonts w:ascii="Times New Roman" w:hAnsi="Times New Roman" w:eastAsia="Times New Roman" w:cs="Times New Roman"/>
                <w:sz w:val="13"/>
                <w:szCs w:val="13"/>
                <w:spacing w:val="5"/>
                <w:position w:val="6"/>
              </w:rPr>
              <w:t>-4</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5"/>
              </w:rPr>
              <w:t>/L</w:t>
            </w:r>
          </w:p>
        </w:tc>
      </w:tr>
      <w:tr>
        <w:trPr>
          <w:trHeight w:val="550" w:hRule="atLeast"/>
        </w:trPr>
        <w:tc>
          <w:tcPr>
            <w:tcW w:w="678" w:type="dxa"/>
            <w:vAlign w:val="top"/>
          </w:tcPr>
          <w:p>
            <w:pPr>
              <w:ind w:left="235"/>
              <w:spacing w:before="20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41</w:t>
            </w:r>
          </w:p>
        </w:tc>
        <w:tc>
          <w:tcPr>
            <w:tcW w:w="1202" w:type="dxa"/>
            <w:vAlign w:val="top"/>
          </w:tcPr>
          <w:p>
            <w:pPr>
              <w:pStyle w:val="TableText"/>
              <w:ind w:left="501"/>
              <w:spacing w:before="171" w:line="233" w:lineRule="auto"/>
              <w:rPr/>
            </w:pPr>
            <w:r>
              <w:rPr/>
              <w:t>铝</w:t>
            </w:r>
          </w:p>
        </w:tc>
        <w:tc>
          <w:tcPr>
            <w:tcW w:w="5521" w:type="dxa"/>
            <w:vAlign w:val="top"/>
          </w:tcPr>
          <w:p>
            <w:pPr>
              <w:pStyle w:val="TableText"/>
              <w:spacing w:before="35" w:line="228" w:lineRule="auto"/>
              <w:jc w:val="right"/>
              <w:rPr>
                <w:rFonts w:ascii="Times New Roman" w:hAnsi="Times New Roman" w:eastAsia="Times New Roman" w:cs="Times New Roman"/>
              </w:rPr>
            </w:pPr>
            <w:r>
              <w:rPr>
                <w:spacing w:val="5"/>
              </w:rPr>
              <w:t>《生活饮用水标准检验方法 金属指标》</w:t>
            </w:r>
            <w:r>
              <w:rPr>
                <w:rFonts w:ascii="Times New Roman" w:hAnsi="Times New Roman" w:eastAsia="Times New Roman" w:cs="Times New Roman"/>
              </w:rPr>
              <w:t>GB</w:t>
            </w:r>
            <w:r>
              <w:rPr>
                <w:rFonts w:ascii="Times New Roman" w:hAnsi="Times New Roman" w:eastAsia="Times New Roman" w:cs="Times New Roman"/>
                <w:spacing w:val="5"/>
              </w:rPr>
              <w:t>/T</w:t>
            </w:r>
            <w:r>
              <w:rPr>
                <w:rFonts w:ascii="Times New Roman" w:hAnsi="Times New Roman" w:eastAsia="Times New Roman" w:cs="Times New Roman"/>
                <w:spacing w:val="15"/>
              </w:rPr>
              <w:t xml:space="preserve"> </w:t>
            </w:r>
            <w:r>
              <w:rPr>
                <w:rFonts w:ascii="Times New Roman" w:hAnsi="Times New Roman" w:eastAsia="Times New Roman" w:cs="Times New Roman"/>
                <w:spacing w:val="5"/>
              </w:rPr>
              <w:t>57</w:t>
            </w:r>
            <w:r>
              <w:rPr>
                <w:rFonts w:ascii="Times New Roman" w:hAnsi="Times New Roman" w:eastAsia="Times New Roman" w:cs="Times New Roman"/>
                <w:spacing w:val="4"/>
              </w:rPr>
              <w:t>50.6-2023 4.3</w:t>
            </w:r>
          </w:p>
          <w:p>
            <w:pPr>
              <w:pStyle w:val="TableText"/>
              <w:ind w:left="1508"/>
              <w:spacing w:before="24" w:line="215" w:lineRule="auto"/>
              <w:rPr/>
            </w:pPr>
            <w:r>
              <w:rPr>
                <w:spacing w:val="8"/>
              </w:rPr>
              <w:t>无火焰原子吸收分光光度法</w:t>
            </w:r>
          </w:p>
        </w:tc>
        <w:tc>
          <w:tcPr>
            <w:tcW w:w="1115" w:type="dxa"/>
            <w:vAlign w:val="top"/>
          </w:tcPr>
          <w:p>
            <w:pPr>
              <w:ind w:left="151"/>
              <w:spacing w:before="20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0.01</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/L</w:t>
            </w:r>
          </w:p>
        </w:tc>
      </w:tr>
      <w:tr>
        <w:trPr>
          <w:trHeight w:val="277" w:hRule="atLeast"/>
        </w:trPr>
        <w:tc>
          <w:tcPr>
            <w:tcW w:w="678" w:type="dxa"/>
            <w:vAlign w:val="top"/>
          </w:tcPr>
          <w:p>
            <w:pPr>
              <w:ind w:left="23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w:t>
            </w:r>
          </w:p>
        </w:tc>
        <w:tc>
          <w:tcPr>
            <w:tcW w:w="1202" w:type="dxa"/>
            <w:vAlign w:val="top"/>
          </w:tcPr>
          <w:p>
            <w:pPr>
              <w:pStyle w:val="TableText"/>
              <w:ind w:left="503"/>
              <w:spacing w:before="35" w:line="214" w:lineRule="auto"/>
              <w:rPr/>
            </w:pPr>
            <w:r>
              <w:rPr/>
              <w:t>苯</w:t>
            </w:r>
          </w:p>
        </w:tc>
        <w:tc>
          <w:tcPr>
            <w:tcW w:w="5521" w:type="dxa"/>
            <w:vAlign w:val="top"/>
            <w:vMerge w:val="restart"/>
            <w:tcBorders>
              <w:bottom w:val="nil"/>
            </w:tcBorders>
          </w:tcPr>
          <w:p>
            <w:pPr>
              <w:pStyle w:val="TableText"/>
              <w:ind w:left="852"/>
              <w:spacing w:before="54" w:line="227" w:lineRule="auto"/>
              <w:rPr/>
            </w:pPr>
            <w:r>
              <w:rPr>
                <w:spacing w:val="7"/>
              </w:rPr>
              <w:t>《水质 苯系物的测定 顶空</w:t>
            </w:r>
            <w:r>
              <w:rPr>
                <w:rFonts w:ascii="Times New Roman" w:hAnsi="Times New Roman" w:eastAsia="Times New Roman" w:cs="Times New Roman"/>
                <w:spacing w:val="7"/>
              </w:rPr>
              <w:t>/</w:t>
            </w:r>
            <w:r>
              <w:rPr>
                <w:spacing w:val="7"/>
              </w:rPr>
              <w:t>气相色谱法》</w:t>
            </w:r>
          </w:p>
          <w:p>
            <w:pPr>
              <w:ind w:left="2164"/>
              <w:spacing w:before="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32"/>
                <w:w w:val="101"/>
              </w:rPr>
              <w:t xml:space="preserve"> </w:t>
            </w:r>
            <w:r>
              <w:rPr>
                <w:rFonts w:ascii="Times New Roman" w:hAnsi="Times New Roman" w:eastAsia="Times New Roman" w:cs="Times New Roman"/>
                <w:sz w:val="20"/>
                <w:szCs w:val="20"/>
                <w:spacing w:val="2"/>
              </w:rPr>
              <w:t>1067-2019</w:t>
            </w:r>
          </w:p>
        </w:tc>
        <w:tc>
          <w:tcPr>
            <w:tcW w:w="1115" w:type="dxa"/>
            <w:vAlign w:val="top"/>
          </w:tcPr>
          <w:p>
            <w:pPr>
              <w:ind w:left="98"/>
              <w:spacing w:before="6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0.002</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/L</w:t>
            </w:r>
          </w:p>
        </w:tc>
      </w:tr>
      <w:tr>
        <w:trPr>
          <w:trHeight w:val="277" w:hRule="atLeast"/>
        </w:trPr>
        <w:tc>
          <w:tcPr>
            <w:tcW w:w="678" w:type="dxa"/>
            <w:vAlign w:val="top"/>
          </w:tcPr>
          <w:p>
            <w:pPr>
              <w:ind w:left="235"/>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43</w:t>
            </w:r>
          </w:p>
        </w:tc>
        <w:tc>
          <w:tcPr>
            <w:tcW w:w="1202" w:type="dxa"/>
            <w:vAlign w:val="top"/>
          </w:tcPr>
          <w:p>
            <w:pPr>
              <w:pStyle w:val="TableText"/>
              <w:ind w:left="422"/>
              <w:spacing w:before="37" w:line="212" w:lineRule="auto"/>
              <w:rPr/>
            </w:pPr>
            <w:r>
              <w:rPr>
                <w:spacing w:val="-9"/>
              </w:rPr>
              <w:t>甲苯</w:t>
            </w:r>
          </w:p>
        </w:tc>
        <w:tc>
          <w:tcPr>
            <w:tcW w:w="5521" w:type="dxa"/>
            <w:vAlign w:val="top"/>
            <w:vMerge w:val="continue"/>
            <w:tcBorders>
              <w:top w:val="nil"/>
            </w:tcBorders>
          </w:tcPr>
          <w:p>
            <w:pPr>
              <w:rPr>
                <w:rFonts w:ascii="Arial"/>
                <w:sz w:val="21"/>
              </w:rPr>
            </w:pPr>
            <w:r/>
          </w:p>
        </w:tc>
        <w:tc>
          <w:tcPr>
            <w:tcW w:w="1115" w:type="dxa"/>
            <w:vAlign w:val="top"/>
          </w:tcPr>
          <w:p>
            <w:pPr>
              <w:ind w:left="98"/>
              <w:spacing w:before="6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0.002</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/L</w:t>
            </w:r>
          </w:p>
        </w:tc>
      </w:tr>
      <w:tr>
        <w:trPr>
          <w:trHeight w:val="278" w:hRule="atLeast"/>
        </w:trPr>
        <w:tc>
          <w:tcPr>
            <w:tcW w:w="678" w:type="dxa"/>
            <w:vAlign w:val="top"/>
          </w:tcPr>
          <w:p>
            <w:pPr>
              <w:ind w:left="23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w:t>
            </w:r>
          </w:p>
        </w:tc>
        <w:tc>
          <w:tcPr>
            <w:tcW w:w="1202" w:type="dxa"/>
            <w:vAlign w:val="top"/>
          </w:tcPr>
          <w:p>
            <w:pPr>
              <w:pStyle w:val="TableText"/>
              <w:ind w:left="184"/>
              <w:spacing w:before="36" w:line="214" w:lineRule="auto"/>
              <w:rPr/>
            </w:pPr>
            <w:r>
              <w:rPr>
                <w:spacing w:val="7"/>
              </w:rPr>
              <w:t>三氯甲烷</w:t>
            </w:r>
          </w:p>
        </w:tc>
        <w:tc>
          <w:tcPr>
            <w:tcW w:w="5521" w:type="dxa"/>
            <w:vAlign w:val="top"/>
            <w:vMerge w:val="restart"/>
            <w:tcBorders>
              <w:bottom w:val="nil"/>
            </w:tcBorders>
          </w:tcPr>
          <w:p>
            <w:pPr>
              <w:pStyle w:val="TableText"/>
              <w:ind w:left="566"/>
              <w:spacing w:before="56" w:line="228" w:lineRule="auto"/>
              <w:rPr/>
            </w:pPr>
            <w:r>
              <w:rPr>
                <w:spacing w:val="8"/>
              </w:rPr>
              <w:t>《水质 挥发性卤代烃的测定 顶空气相色谱法》</w:t>
            </w:r>
          </w:p>
          <w:p>
            <w:pPr>
              <w:ind w:left="2215"/>
              <w:spacing w:before="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15"/>
              </w:rPr>
              <w:t xml:space="preserve"> </w:t>
            </w:r>
            <w:r>
              <w:rPr>
                <w:rFonts w:ascii="Times New Roman" w:hAnsi="Times New Roman" w:eastAsia="Times New Roman" w:cs="Times New Roman"/>
                <w:sz w:val="20"/>
                <w:szCs w:val="20"/>
                <w:spacing w:val="4"/>
              </w:rPr>
              <w:t>620-2011</w:t>
            </w:r>
          </w:p>
        </w:tc>
        <w:tc>
          <w:tcPr>
            <w:tcW w:w="1115" w:type="dxa"/>
            <w:vAlign w:val="top"/>
          </w:tcPr>
          <w:p>
            <w:pPr>
              <w:ind w:left="173"/>
              <w:spacing w:before="6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0.02µg/L</w:t>
            </w:r>
          </w:p>
        </w:tc>
      </w:tr>
      <w:tr>
        <w:trPr>
          <w:trHeight w:val="281" w:hRule="atLeast"/>
        </w:trPr>
        <w:tc>
          <w:tcPr>
            <w:tcW w:w="678" w:type="dxa"/>
            <w:vAlign w:val="top"/>
          </w:tcPr>
          <w:p>
            <w:pPr>
              <w:ind w:left="23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45</w:t>
            </w:r>
          </w:p>
        </w:tc>
        <w:tc>
          <w:tcPr>
            <w:tcW w:w="1202" w:type="dxa"/>
            <w:vAlign w:val="top"/>
          </w:tcPr>
          <w:p>
            <w:pPr>
              <w:pStyle w:val="TableText"/>
              <w:ind w:left="203"/>
              <w:spacing w:before="35" w:line="217" w:lineRule="auto"/>
              <w:rPr/>
            </w:pPr>
            <w:r>
              <w:rPr>
                <w:spacing w:val="2"/>
              </w:rPr>
              <w:t>四氯化碳</w:t>
            </w:r>
          </w:p>
        </w:tc>
        <w:tc>
          <w:tcPr>
            <w:tcW w:w="5521" w:type="dxa"/>
            <w:vAlign w:val="top"/>
            <w:vMerge w:val="continue"/>
            <w:tcBorders>
              <w:top w:val="nil"/>
            </w:tcBorders>
          </w:tcPr>
          <w:p>
            <w:pPr>
              <w:rPr>
                <w:rFonts w:ascii="Arial"/>
                <w:sz w:val="21"/>
              </w:rPr>
            </w:pPr>
            <w:r/>
          </w:p>
        </w:tc>
        <w:tc>
          <w:tcPr>
            <w:tcW w:w="1115" w:type="dxa"/>
            <w:vAlign w:val="top"/>
          </w:tcPr>
          <w:p>
            <w:pPr>
              <w:ind w:left="173"/>
              <w:spacing w:before="6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0.03µg/L</w:t>
            </w:r>
          </w:p>
        </w:tc>
      </w:tr>
    </w:tbl>
    <w:p>
      <w:pPr>
        <w:ind w:left="512"/>
        <w:spacing w:before="36" w:line="218"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）评价方法</w:t>
      </w:r>
    </w:p>
    <w:p>
      <w:pPr>
        <w:ind w:left="18" w:right="6" w:firstLine="480"/>
        <w:spacing w:before="182" w:line="360" w:lineRule="auto"/>
        <w:rPr>
          <w:rFonts w:ascii="SimSun" w:hAnsi="SimSun" w:eastAsia="SimSun" w:cs="SimSun"/>
          <w:sz w:val="24"/>
          <w:szCs w:val="24"/>
        </w:rPr>
      </w:pPr>
      <w:r>
        <w:rPr>
          <w:rFonts w:ascii="SimSun" w:hAnsi="SimSun" w:eastAsia="SimSun" w:cs="SimSun"/>
          <w:sz w:val="24"/>
          <w:szCs w:val="24"/>
          <w:spacing w:val="3"/>
        </w:rPr>
        <w:t>本次评价采用单项污染因子指数进行评价，结合地下水水质标准</w:t>
      </w:r>
      <w:r>
        <w:rPr>
          <w:rFonts w:ascii="SimSun" w:hAnsi="SimSun" w:eastAsia="SimSun" w:cs="SimSun"/>
          <w:sz w:val="24"/>
          <w:szCs w:val="24"/>
          <w:spacing w:val="2"/>
        </w:rPr>
        <w:t>，对评价区</w:t>
      </w:r>
      <w:r>
        <w:rPr>
          <w:rFonts w:ascii="SimSun" w:hAnsi="SimSun" w:eastAsia="SimSun" w:cs="SimSun"/>
          <w:sz w:val="24"/>
          <w:szCs w:val="24"/>
        </w:rPr>
        <w:t xml:space="preserve"> </w:t>
      </w:r>
      <w:r>
        <w:rPr>
          <w:rFonts w:ascii="SimSun" w:hAnsi="SimSun" w:eastAsia="SimSun" w:cs="SimSun"/>
          <w:sz w:val="24"/>
          <w:szCs w:val="24"/>
          <w:spacing w:val="-1"/>
        </w:rPr>
        <w:t>地表水水质优劣进行评述。</w:t>
      </w:r>
    </w:p>
    <w:p>
      <w:pPr>
        <w:ind w:left="501"/>
        <w:spacing w:before="21" w:line="680" w:lineRule="exact"/>
        <w:rPr>
          <w:sz w:val="24"/>
          <w:szCs w:val="24"/>
        </w:rPr>
      </w:pPr>
      <w:r>
        <w:rPr>
          <w:rFonts w:ascii="SimSun" w:hAnsi="SimSun" w:eastAsia="SimSun" w:cs="SimSun"/>
          <w:sz w:val="24"/>
          <w:szCs w:val="24"/>
          <w:spacing w:val="-2"/>
          <w:position w:val="-8"/>
        </w:rPr>
        <w:t>水质指数基本表达式为：</w:t>
      </w:r>
      <w:r>
        <w:rPr>
          <w:rFonts w:ascii="SimSun" w:hAnsi="SimSun" w:eastAsia="SimSun" w:cs="SimSun"/>
          <w:sz w:val="24"/>
          <w:szCs w:val="24"/>
          <w:spacing w:val="-72"/>
          <w:position w:val="-8"/>
        </w:rPr>
        <w:t xml:space="preserve"> </w:t>
      </w:r>
      <w:r>
        <w:rPr>
          <w:sz w:val="24"/>
          <w:szCs w:val="24"/>
          <w:position w:val="-2"/>
        </w:rPr>
        <w:drawing>
          <wp:inline distT="0" distB="0" distL="0" distR="0">
            <wp:extent cx="512369" cy="339470"/>
            <wp:effectExtent l="0" t="0" r="0" b="0"/>
            <wp:docPr id="64" name="IM 64"/>
            <wp:cNvGraphicFramePr/>
            <a:graphic>
              <a:graphicData uri="http://schemas.openxmlformats.org/drawingml/2006/picture">
                <pic:pic>
                  <pic:nvPicPr>
                    <pic:cNvPr id="64" name="IM 64"/>
                    <pic:cNvPicPr/>
                  </pic:nvPicPr>
                  <pic:blipFill>
                    <a:blip r:embed="rId128"/>
                    <a:stretch>
                      <a:fillRect/>
                    </a:stretch>
                  </pic:blipFill>
                  <pic:spPr>
                    <a:xfrm rot="0">
                      <a:off x="0" y="0"/>
                      <a:ext cx="512369" cy="339470"/>
                    </a:xfrm>
                    <a:prstGeom prst="rect">
                      <a:avLst/>
                    </a:prstGeom>
                  </pic:spPr>
                </pic:pic>
              </a:graphicData>
            </a:graphic>
          </wp:inline>
        </w:drawing>
      </w:r>
    </w:p>
    <w:p>
      <w:pPr>
        <w:ind w:left="503"/>
        <w:spacing w:before="65" w:line="392" w:lineRule="exact"/>
        <w:rPr>
          <w:rFonts w:ascii="SimSun" w:hAnsi="SimSun" w:eastAsia="SimSun" w:cs="SimSun"/>
          <w:sz w:val="24"/>
          <w:szCs w:val="24"/>
        </w:rPr>
      </w:pPr>
      <w:r>
        <w:rPr>
          <w:rFonts w:ascii="SimSun" w:hAnsi="SimSun" w:eastAsia="SimSun" w:cs="SimSun"/>
          <w:sz w:val="24"/>
          <w:szCs w:val="24"/>
          <w:spacing w:val="-2"/>
          <w:position w:val="-3"/>
        </w:rPr>
        <w:t>式中：</w:t>
      </w:r>
      <w:r>
        <w:rPr>
          <w:rFonts w:ascii="SimSun" w:hAnsi="SimSun" w:eastAsia="SimSun" w:cs="SimSun"/>
          <w:sz w:val="24"/>
          <w:szCs w:val="24"/>
          <w:spacing w:val="-67"/>
          <w:position w:val="-3"/>
        </w:rPr>
        <w:t xml:space="preserve"> </w:t>
      </w:r>
      <w:r>
        <w:rPr>
          <w:sz w:val="24"/>
          <w:szCs w:val="24"/>
          <w:position w:val="2"/>
        </w:rPr>
        <w:drawing>
          <wp:inline distT="0" distB="0" distL="0" distR="0">
            <wp:extent cx="192505" cy="166420"/>
            <wp:effectExtent l="0" t="0" r="0" b="0"/>
            <wp:docPr id="66" name="IM 66"/>
            <wp:cNvGraphicFramePr/>
            <a:graphic>
              <a:graphicData uri="http://schemas.openxmlformats.org/drawingml/2006/picture">
                <pic:pic>
                  <pic:nvPicPr>
                    <pic:cNvPr id="66" name="IM 66"/>
                    <pic:cNvPicPr/>
                  </pic:nvPicPr>
                  <pic:blipFill>
                    <a:blip r:embed="rId129"/>
                    <a:stretch>
                      <a:fillRect/>
                    </a:stretch>
                  </pic:blipFill>
                  <pic:spPr>
                    <a:xfrm rot="0">
                      <a:off x="0" y="0"/>
                      <a:ext cx="192505" cy="166420"/>
                    </a:xfrm>
                    <a:prstGeom prst="rect">
                      <a:avLst/>
                    </a:prstGeom>
                  </pic:spPr>
                </pic:pic>
              </a:graphicData>
            </a:graphic>
          </wp:inline>
        </w:drawing>
      </w:r>
      <w:r>
        <w:rPr>
          <w:rFonts w:ascii="SimSun" w:hAnsi="SimSun" w:eastAsia="SimSun" w:cs="SimSun"/>
          <w:sz w:val="24"/>
          <w:szCs w:val="24"/>
          <w:spacing w:val="-103"/>
          <w:position w:val="-3"/>
        </w:rPr>
        <w:t xml:space="preserve"> </w:t>
      </w:r>
      <w:r>
        <w:rPr>
          <w:rFonts w:ascii="Times New Roman" w:hAnsi="Times New Roman" w:eastAsia="Times New Roman" w:cs="Times New Roman"/>
          <w:sz w:val="24"/>
          <w:szCs w:val="24"/>
          <w:spacing w:val="-2"/>
          <w:position w:val="-3"/>
        </w:rPr>
        <w:t>—</w:t>
      </w:r>
      <w:r>
        <w:rPr>
          <w:rFonts w:ascii="SimSun" w:hAnsi="SimSun" w:eastAsia="SimSun" w:cs="SimSun"/>
          <w:sz w:val="24"/>
          <w:szCs w:val="24"/>
          <w:spacing w:val="-2"/>
          <w:position w:val="-3"/>
        </w:rPr>
        <w:t>第</w:t>
      </w:r>
      <w:r>
        <w:rPr>
          <w:rFonts w:ascii="SimSun" w:hAnsi="SimSun" w:eastAsia="SimSun" w:cs="SimSun"/>
          <w:sz w:val="24"/>
          <w:szCs w:val="24"/>
          <w:spacing w:val="-53"/>
          <w:position w:val="-3"/>
        </w:rPr>
        <w:t xml:space="preserve"> </w:t>
      </w:r>
      <w:r>
        <w:rPr>
          <w:rFonts w:ascii="Times New Roman" w:hAnsi="Times New Roman" w:eastAsia="Times New Roman" w:cs="Times New Roman"/>
          <w:sz w:val="24"/>
          <w:szCs w:val="24"/>
          <w:spacing w:val="-2"/>
          <w:position w:val="-3"/>
        </w:rPr>
        <w:t>i </w:t>
      </w:r>
      <w:r>
        <w:rPr>
          <w:rFonts w:ascii="SimSun" w:hAnsi="SimSun" w:eastAsia="SimSun" w:cs="SimSun"/>
          <w:sz w:val="24"/>
          <w:szCs w:val="24"/>
          <w:spacing w:val="-2"/>
          <w:position w:val="-3"/>
        </w:rPr>
        <w:t>种污染物的水质污染指数；</w:t>
      </w:r>
    </w:p>
    <w:p>
      <w:pPr>
        <w:pStyle w:val="BodyText"/>
        <w:spacing w:line="250" w:lineRule="auto"/>
        <w:rPr/>
      </w:pPr>
      <w:r/>
    </w:p>
    <w:p>
      <w:pPr>
        <w:pStyle w:val="BodyText"/>
        <w:spacing w:line="251" w:lineRule="auto"/>
        <w:rPr/>
      </w:pPr>
      <w:r/>
    </w:p>
    <w:p>
      <w:pPr>
        <w:pStyle w:val="BodyText"/>
        <w:spacing w:line="251" w:lineRule="auto"/>
        <w:rPr/>
      </w:pPr>
      <w:r/>
    </w:p>
    <w:p>
      <w:pPr>
        <w:ind w:left="16"/>
        <w:spacing w:before="61" w:line="227" w:lineRule="auto"/>
        <w:rPr>
          <w:rFonts w:ascii="SimSun" w:hAnsi="SimSun" w:eastAsia="SimSun" w:cs="SimSun"/>
          <w:sz w:val="19"/>
          <w:szCs w:val="19"/>
        </w:rPr>
      </w:pPr>
      <w:r>
        <w:pict>
          <v:shape id="_x0000_s618" style="position:absolute;margin-left:159.77pt;margin-top:2.09042pt;mso-position-vertical-relative:text;mso-position-horizontal-relative:text;width:61pt;height:13.75pt;z-index:251932672;"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rPr>
                    <w:t>任公司</w:t>
                  </w:r>
                  <w:r>
                    <w:rPr>
                      <w:rFonts w:ascii="SimSun" w:hAnsi="SimSun" w:eastAsia="SimSun" w:cs="SimSun"/>
                      <w:sz w:val="19"/>
                      <w:szCs w:val="19"/>
                      <w:spacing w:val="18"/>
                    </w:rPr>
                    <w:t xml:space="preserve">   </w:t>
                  </w:r>
                  <w:r>
                    <w:rPr>
                      <w:rFonts w:ascii="Times New Roman" w:hAnsi="Times New Roman" w:eastAsia="Times New Roman" w:cs="Times New Roman"/>
                      <w:sz w:val="18"/>
                      <w:szCs w:val="18"/>
                      <w:position w:val="2"/>
                    </w:rPr>
                    <w:t>125</w:t>
                  </w:r>
                </w:p>
              </w:txbxContent>
            </v:textbox>
          </v:shape>
        </w:pict>
      </w:r>
      <w:r>
        <w:rPr>
          <w:rFonts w:ascii="SimSun" w:hAnsi="SimSun" w:eastAsia="SimSun" w:cs="SimSun"/>
          <w:sz w:val="19"/>
          <w:szCs w:val="19"/>
          <w:spacing w:val="9"/>
        </w:rPr>
        <w:t>锡林郭勒盟中安环境技术咨询有限责</w:t>
      </w:r>
    </w:p>
    <w:p>
      <w:pPr>
        <w:spacing w:line="227" w:lineRule="auto"/>
        <w:sectPr>
          <w:pgSz w:w="11907" w:h="16840"/>
          <w:pgMar w:top="1567" w:right="1693" w:bottom="400" w:left="1692" w:header="1221" w:footer="0" w:gutter="0"/>
        </w:sectPr>
        <w:rPr>
          <w:rFonts w:ascii="SimSun" w:hAnsi="SimSun" w:eastAsia="SimSun" w:cs="SimSun"/>
          <w:sz w:val="19"/>
          <w:szCs w:val="19"/>
        </w:rPr>
      </w:pPr>
    </w:p>
    <w:p>
      <w:pPr>
        <w:pStyle w:val="BodyText"/>
        <w:ind w:left="1239"/>
        <w:spacing w:before="192" w:line="398" w:lineRule="exact"/>
        <w:rPr>
          <w:rFonts w:ascii="SimSun" w:hAnsi="SimSun" w:eastAsia="SimSun" w:cs="SimSun"/>
          <w:sz w:val="24"/>
          <w:szCs w:val="24"/>
        </w:rPr>
      </w:pPr>
      <w:r>
        <w:pict>
          <v:shape id="_x0000_s620" style="position:absolute;margin-left:0pt;margin-top:0.47998pt;mso-position-vertical-relative:text;mso-position-horizontal-relative:text;width:425.25pt;height:0.75pt;z-index:251935744;" fillcolor="#000000" filled="true" stroked="false" coordsize="8505,15" coordorigin="0,0" path="m,l8505,0l8505,14l0,14l0,0xe"/>
        </w:pict>
      </w:r>
      <w:r>
        <w:rPr>
          <w:sz w:val="24"/>
          <w:szCs w:val="24"/>
          <w:spacing w:val="-1"/>
          <w:position w:val="10"/>
        </w:rPr>
        <w:t>Gi</w:t>
      </w:r>
      <w:r>
        <w:rPr>
          <w:sz w:val="24"/>
          <w:szCs w:val="24"/>
          <w:spacing w:val="-2"/>
          <w:position w:val="10"/>
        </w:rPr>
        <w:t xml:space="preserve"> </w:t>
      </w:r>
      <w:r>
        <w:rPr>
          <w:rFonts w:ascii="Times New Roman" w:hAnsi="Times New Roman" w:eastAsia="Times New Roman" w:cs="Times New Roman"/>
          <w:sz w:val="24"/>
          <w:szCs w:val="24"/>
          <w:spacing w:val="-1"/>
          <w:position w:val="1"/>
        </w:rPr>
        <w:t>—</w:t>
      </w:r>
      <w:r>
        <w:rPr>
          <w:rFonts w:ascii="SimSun" w:hAnsi="SimSun" w:eastAsia="SimSun" w:cs="SimSun"/>
          <w:sz w:val="24"/>
          <w:szCs w:val="24"/>
          <w:spacing w:val="-1"/>
          <w:position w:val="1"/>
        </w:rPr>
        <w:t>地下水中第</w:t>
      </w:r>
      <w:r>
        <w:rPr>
          <w:rFonts w:ascii="SimSun" w:hAnsi="SimSun" w:eastAsia="SimSun" w:cs="SimSun"/>
          <w:sz w:val="24"/>
          <w:szCs w:val="24"/>
          <w:spacing w:val="-53"/>
          <w:position w:val="1"/>
        </w:rPr>
        <w:t xml:space="preserve"> </w:t>
      </w:r>
      <w:r>
        <w:rPr>
          <w:rFonts w:ascii="Times New Roman" w:hAnsi="Times New Roman" w:eastAsia="Times New Roman" w:cs="Times New Roman"/>
          <w:sz w:val="24"/>
          <w:szCs w:val="24"/>
          <w:spacing w:val="-1"/>
          <w:position w:val="1"/>
        </w:rPr>
        <w:t>i </w:t>
      </w:r>
      <w:r>
        <w:rPr>
          <w:rFonts w:ascii="SimSun" w:hAnsi="SimSun" w:eastAsia="SimSun" w:cs="SimSun"/>
          <w:sz w:val="24"/>
          <w:szCs w:val="24"/>
          <w:spacing w:val="-1"/>
          <w:position w:val="1"/>
        </w:rPr>
        <w:t>种污染物的实测浓度，</w:t>
      </w:r>
      <w:r>
        <w:rPr>
          <w:rFonts w:ascii="Times New Roman" w:hAnsi="Times New Roman" w:eastAsia="Times New Roman" w:cs="Times New Roman"/>
          <w:sz w:val="24"/>
          <w:szCs w:val="24"/>
          <w:spacing w:val="-1"/>
          <w:position w:val="1"/>
        </w:rPr>
        <w:t>mg/L</w:t>
      </w:r>
      <w:r>
        <w:rPr>
          <w:rFonts w:ascii="SimSun" w:hAnsi="SimSun" w:eastAsia="SimSun" w:cs="SimSun"/>
          <w:sz w:val="24"/>
          <w:szCs w:val="24"/>
          <w:spacing w:val="-1"/>
          <w:position w:val="1"/>
        </w:rPr>
        <w:t>；</w:t>
      </w:r>
    </w:p>
    <w:p>
      <w:pPr>
        <w:pStyle w:val="BodyText"/>
        <w:ind w:left="1238"/>
        <w:spacing w:before="230" w:line="225" w:lineRule="auto"/>
        <w:rPr>
          <w:rFonts w:ascii="SimSun" w:hAnsi="SimSun" w:eastAsia="SimSun" w:cs="SimSun"/>
          <w:sz w:val="24"/>
          <w:szCs w:val="24"/>
        </w:rPr>
      </w:pPr>
      <w:r>
        <w:rPr>
          <w:sz w:val="24"/>
          <w:szCs w:val="24"/>
          <w:spacing w:val="-1"/>
          <w:position w:val="6"/>
        </w:rPr>
        <w:t>ca</w:t>
      </w:r>
      <w:r>
        <w:rPr>
          <w:sz w:val="24"/>
          <w:szCs w:val="24"/>
          <w:spacing w:val="-1"/>
          <w:position w:val="6"/>
        </w:rPr>
        <w:t xml:space="preserve"> </w:t>
      </w: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第</w:t>
      </w:r>
      <w:r>
        <w:rPr>
          <w:rFonts w:ascii="SimSun" w:hAnsi="SimSun" w:eastAsia="SimSun" w:cs="SimSun"/>
          <w:sz w:val="24"/>
          <w:szCs w:val="24"/>
          <w:spacing w:val="-42"/>
          <w:position w:val="-2"/>
        </w:rPr>
        <w:t xml:space="preserve"> </w:t>
      </w:r>
      <w:r>
        <w:rPr>
          <w:rFonts w:ascii="Times New Roman" w:hAnsi="Times New Roman" w:eastAsia="Times New Roman" w:cs="Times New Roman"/>
          <w:sz w:val="24"/>
          <w:szCs w:val="24"/>
          <w:spacing w:val="-1"/>
          <w:position w:val="-2"/>
        </w:rPr>
        <w:t>i </w:t>
      </w:r>
      <w:r>
        <w:rPr>
          <w:rFonts w:ascii="SimSun" w:hAnsi="SimSun" w:eastAsia="SimSun" w:cs="SimSun"/>
          <w:sz w:val="24"/>
          <w:szCs w:val="24"/>
          <w:spacing w:val="-1"/>
          <w:position w:val="-2"/>
        </w:rPr>
        <w:t>种污染物的评价标准，</w:t>
      </w:r>
      <w:r>
        <w:rPr>
          <w:rFonts w:ascii="Times New Roman" w:hAnsi="Times New Roman" w:eastAsia="Times New Roman" w:cs="Times New Roman"/>
          <w:sz w:val="24"/>
          <w:szCs w:val="24"/>
          <w:spacing w:val="-1"/>
          <w:position w:val="-2"/>
        </w:rPr>
        <w:t>mg/L</w:t>
      </w:r>
      <w:r>
        <w:rPr>
          <w:rFonts w:ascii="SimSun" w:hAnsi="SimSun" w:eastAsia="SimSun" w:cs="SimSun"/>
          <w:sz w:val="24"/>
          <w:szCs w:val="24"/>
          <w:spacing w:val="-1"/>
          <w:position w:val="-2"/>
        </w:rPr>
        <w:t>。</w:t>
      </w:r>
    </w:p>
    <w:p>
      <w:pPr>
        <w:ind w:right="28"/>
        <w:spacing w:before="229" w:line="394" w:lineRule="exact"/>
        <w:jc w:val="right"/>
        <w:rPr>
          <w:rFonts w:ascii="SimSun" w:hAnsi="SimSun" w:eastAsia="SimSun" w:cs="SimSun"/>
          <w:sz w:val="24"/>
          <w:szCs w:val="24"/>
        </w:rPr>
      </w:pPr>
      <w:r>
        <w:rPr>
          <w:rFonts w:ascii="SimSun" w:hAnsi="SimSun" w:eastAsia="SimSun" w:cs="SimSun"/>
          <w:sz w:val="24"/>
          <w:szCs w:val="24"/>
          <w:position w:val="2"/>
        </w:rPr>
        <w:drawing>
          <wp:inline distT="0" distB="0" distL="0" distR="0">
            <wp:extent cx="192505" cy="166420"/>
            <wp:effectExtent l="0" t="0" r="0" b="0"/>
            <wp:docPr id="68" name="IM 68"/>
            <wp:cNvGraphicFramePr/>
            <a:graphic>
              <a:graphicData uri="http://schemas.openxmlformats.org/drawingml/2006/picture">
                <pic:pic>
                  <pic:nvPicPr>
                    <pic:cNvPr id="68" name="IM 68"/>
                    <pic:cNvPicPr/>
                  </pic:nvPicPr>
                  <pic:blipFill>
                    <a:blip r:embed="rId130"/>
                    <a:stretch>
                      <a:fillRect/>
                    </a:stretch>
                  </pic:blipFill>
                  <pic:spPr>
                    <a:xfrm rot="0">
                      <a:off x="0" y="0"/>
                      <a:ext cx="192505" cy="166420"/>
                    </a:xfrm>
                    <a:prstGeom prst="rect">
                      <a:avLst/>
                    </a:prstGeom>
                  </pic:spPr>
                </pic:pic>
              </a:graphicData>
            </a:graphic>
          </wp:inline>
        </w:drawing>
      </w:r>
      <w:r>
        <w:rPr>
          <w:rFonts w:ascii="SimSun" w:hAnsi="SimSun" w:eastAsia="SimSun" w:cs="SimSun"/>
          <w:sz w:val="24"/>
          <w:szCs w:val="24"/>
          <w:spacing w:val="-1"/>
          <w:position w:val="-3"/>
        </w:rPr>
        <w:t>值越小，说明水质越好，当</w:t>
      </w:r>
      <w:r>
        <w:rPr>
          <w:rFonts w:ascii="SimSun" w:hAnsi="SimSun" w:eastAsia="SimSun" w:cs="SimSun"/>
          <w:sz w:val="24"/>
          <w:szCs w:val="24"/>
          <w:spacing w:val="-75"/>
          <w:position w:val="-3"/>
        </w:rPr>
        <w:t xml:space="preserve"> </w:t>
      </w:r>
      <w:r>
        <w:rPr>
          <w:sz w:val="24"/>
          <w:szCs w:val="24"/>
          <w:position w:val="2"/>
        </w:rPr>
        <w:drawing>
          <wp:inline distT="0" distB="0" distL="0" distR="0">
            <wp:extent cx="192505" cy="166420"/>
            <wp:effectExtent l="0" t="0" r="0" b="0"/>
            <wp:docPr id="70" name="IM 70"/>
            <wp:cNvGraphicFramePr/>
            <a:graphic>
              <a:graphicData uri="http://schemas.openxmlformats.org/drawingml/2006/picture">
                <pic:pic>
                  <pic:nvPicPr>
                    <pic:cNvPr id="70" name="IM 70"/>
                    <pic:cNvPicPr/>
                  </pic:nvPicPr>
                  <pic:blipFill>
                    <a:blip r:embed="rId131"/>
                    <a:stretch>
                      <a:fillRect/>
                    </a:stretch>
                  </pic:blipFill>
                  <pic:spPr>
                    <a:xfrm rot="0">
                      <a:off x="0" y="0"/>
                      <a:ext cx="192505" cy="166420"/>
                    </a:xfrm>
                    <a:prstGeom prst="rect">
                      <a:avLst/>
                    </a:prstGeom>
                  </pic:spPr>
                </pic:pic>
              </a:graphicData>
            </a:graphic>
          </wp:inline>
        </w:drawing>
      </w:r>
      <w:r>
        <w:rPr>
          <w:rFonts w:ascii="SimSun" w:hAnsi="SimSun" w:eastAsia="SimSun" w:cs="SimSun"/>
          <w:sz w:val="24"/>
          <w:szCs w:val="24"/>
          <w:spacing w:val="-1"/>
          <w:position w:val="-3"/>
        </w:rPr>
        <w:t>超过</w:t>
      </w:r>
      <w:r>
        <w:rPr>
          <w:rFonts w:ascii="SimSun" w:hAnsi="SimSun" w:eastAsia="SimSun" w:cs="SimSun"/>
          <w:sz w:val="24"/>
          <w:szCs w:val="24"/>
          <w:spacing w:val="-32"/>
          <w:position w:val="-3"/>
        </w:rPr>
        <w:t xml:space="preserve"> </w:t>
      </w:r>
      <w:r>
        <w:rPr>
          <w:rFonts w:ascii="Times New Roman" w:hAnsi="Times New Roman" w:eastAsia="Times New Roman" w:cs="Times New Roman"/>
          <w:sz w:val="24"/>
          <w:szCs w:val="24"/>
          <w:spacing w:val="-1"/>
          <w:position w:val="-3"/>
        </w:rPr>
        <w:t>1</w:t>
      </w:r>
      <w:r>
        <w:rPr>
          <w:rFonts w:ascii="Times New Roman" w:hAnsi="Times New Roman" w:eastAsia="Times New Roman" w:cs="Times New Roman"/>
          <w:sz w:val="24"/>
          <w:szCs w:val="24"/>
          <w:spacing w:val="-31"/>
          <w:position w:val="-3"/>
        </w:rPr>
        <w:t xml:space="preserve"> </w:t>
      </w:r>
      <w:r>
        <w:rPr>
          <w:rFonts w:ascii="SimSun" w:hAnsi="SimSun" w:eastAsia="SimSun" w:cs="SimSun"/>
          <w:sz w:val="24"/>
          <w:szCs w:val="24"/>
          <w:spacing w:val="-1"/>
          <w:position w:val="-3"/>
        </w:rPr>
        <w:t>，表明该污染物浓度已超标。</w:t>
      </w:r>
    </w:p>
    <w:p>
      <w:pPr>
        <w:spacing w:line="111" w:lineRule="exact"/>
        <w:rPr/>
      </w:pPr>
      <w:r/>
    </w:p>
    <w:p>
      <w:pPr>
        <w:spacing w:line="111" w:lineRule="exact"/>
        <w:sectPr>
          <w:headerReference w:type="default" r:id="rId40"/>
          <w:pgSz w:w="11907" w:h="16840"/>
          <w:pgMar w:top="1567" w:right="1596" w:bottom="400" w:left="1701" w:header="1221" w:footer="0" w:gutter="0"/>
          <w:cols w:equalWidth="0" w:num="1">
            <w:col w:w="8610" w:space="0"/>
          </w:cols>
        </w:sectPr>
        <w:rPr/>
      </w:pPr>
    </w:p>
    <w:p>
      <w:pPr>
        <w:ind w:left="490"/>
        <w:spacing w:before="69" w:line="210" w:lineRule="auto"/>
        <w:rPr>
          <w:rFonts w:ascii="SimSun" w:hAnsi="SimSun" w:eastAsia="SimSun" w:cs="SimSun"/>
          <w:sz w:val="24"/>
          <w:szCs w:val="24"/>
        </w:rPr>
      </w:pPr>
      <w:r>
        <w:rPr>
          <w:rFonts w:ascii="SimSun" w:hAnsi="SimSun" w:eastAsia="SimSun" w:cs="SimSun"/>
          <w:sz w:val="24"/>
          <w:szCs w:val="24"/>
          <w:spacing w:val="-3"/>
        </w:rPr>
        <w:t>其中，</w:t>
      </w:r>
      <w:r>
        <w:rPr>
          <w:rFonts w:ascii="Times New Roman" w:hAnsi="Times New Roman" w:eastAsia="Times New Roman" w:cs="Times New Roman"/>
          <w:sz w:val="24"/>
          <w:szCs w:val="24"/>
          <w:spacing w:val="-3"/>
        </w:rPr>
        <w:t>pH</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的水质指数表达式为：</w:t>
      </w:r>
    </w:p>
    <w:p>
      <w:pPr>
        <w:ind w:firstLine="1907"/>
        <w:spacing w:before="232" w:line="262" w:lineRule="exact"/>
        <w:rPr/>
      </w:pPr>
      <w:r>
        <w:rPr>
          <w:position w:val="-5"/>
        </w:rPr>
        <w:drawing>
          <wp:inline distT="0" distB="0" distL="0" distR="0">
            <wp:extent cx="1985038" cy="166420"/>
            <wp:effectExtent l="0" t="0" r="0" b="0"/>
            <wp:docPr id="72" name="IM 72"/>
            <wp:cNvGraphicFramePr/>
            <a:graphic>
              <a:graphicData uri="http://schemas.openxmlformats.org/drawingml/2006/picture">
                <pic:pic>
                  <pic:nvPicPr>
                    <pic:cNvPr id="72" name="IM 72"/>
                    <pic:cNvPicPr/>
                  </pic:nvPicPr>
                  <pic:blipFill>
                    <a:blip r:embed="rId132"/>
                    <a:stretch>
                      <a:fillRect/>
                    </a:stretch>
                  </pic:blipFill>
                  <pic:spPr>
                    <a:xfrm rot="0">
                      <a:off x="0" y="0"/>
                      <a:ext cx="1985038" cy="166420"/>
                    </a:xfrm>
                    <a:prstGeom prst="rect">
                      <a:avLst/>
                    </a:prstGeom>
                  </pic:spPr>
                </pic:pic>
              </a:graphicData>
            </a:graphic>
          </wp:inline>
        </w:drawing>
      </w:r>
    </w:p>
    <w:p>
      <w:pPr>
        <w:ind w:firstLine="1967"/>
        <w:spacing w:before="194" w:line="262" w:lineRule="exact"/>
        <w:rPr/>
      </w:pPr>
      <w:r>
        <w:rPr>
          <w:position w:val="-5"/>
        </w:rPr>
        <w:drawing>
          <wp:inline distT="0" distB="0" distL="0" distR="0">
            <wp:extent cx="1985038" cy="166420"/>
            <wp:effectExtent l="0" t="0" r="0" b="0"/>
            <wp:docPr id="74" name="IM 74"/>
            <wp:cNvGraphicFramePr/>
            <a:graphic>
              <a:graphicData uri="http://schemas.openxmlformats.org/drawingml/2006/picture">
                <pic:pic>
                  <pic:nvPicPr>
                    <pic:cNvPr id="74" name="IM 74"/>
                    <pic:cNvPicPr/>
                  </pic:nvPicPr>
                  <pic:blipFill>
                    <a:blip r:embed="rId133"/>
                    <a:stretch>
                      <a:fillRect/>
                    </a:stretch>
                  </pic:blipFill>
                  <pic:spPr>
                    <a:xfrm rot="0">
                      <a:off x="0" y="0"/>
                      <a:ext cx="1985038" cy="166420"/>
                    </a:xfrm>
                    <a:prstGeom prst="rect">
                      <a:avLst/>
                    </a:prstGeom>
                  </pic:spPr>
                </pic:pic>
              </a:graphicData>
            </a:graphic>
          </wp:inline>
        </w:drawing>
      </w:r>
    </w:p>
    <w:p>
      <w:pPr>
        <w:pStyle w:val="BodyText"/>
        <w:ind w:left="494"/>
        <w:spacing w:before="197" w:line="382" w:lineRule="exact"/>
        <w:rPr>
          <w:rFonts w:ascii="SimSun" w:hAnsi="SimSun" w:eastAsia="SimSun" w:cs="SimSun"/>
          <w:sz w:val="24"/>
          <w:szCs w:val="24"/>
        </w:rPr>
      </w:pPr>
      <w:r>
        <w:rPr>
          <w:rFonts w:ascii="SimSun" w:hAnsi="SimSun" w:eastAsia="SimSun" w:cs="SimSun"/>
          <w:sz w:val="24"/>
          <w:szCs w:val="24"/>
          <w:spacing w:val="3"/>
          <w:position w:val="2"/>
        </w:rPr>
        <w:t>式中：</w:t>
      </w:r>
      <w:r>
        <w:rPr>
          <w:sz w:val="28"/>
          <w:szCs w:val="28"/>
          <w:position w:val="6"/>
        </w:rPr>
        <w:t>Sxv</w:t>
      </w:r>
      <w:r>
        <w:rPr>
          <w:rFonts w:ascii="Times New Roman" w:hAnsi="Times New Roman" w:eastAsia="Times New Roman" w:cs="Times New Roman"/>
          <w:sz w:val="24"/>
          <w:szCs w:val="24"/>
          <w:spacing w:val="3"/>
          <w:position w:val="2"/>
        </w:rPr>
        <w:t>—</w:t>
      </w:r>
      <w:r>
        <w:rPr>
          <w:rFonts w:ascii="Times New Roman" w:hAnsi="Times New Roman" w:eastAsia="Times New Roman" w:cs="Times New Roman"/>
          <w:sz w:val="24"/>
          <w:szCs w:val="24"/>
          <w:position w:val="2"/>
        </w:rPr>
        <w:t>pH</w:t>
      </w:r>
      <w:r>
        <w:rPr>
          <w:rFonts w:ascii="Times New Roman" w:hAnsi="Times New Roman" w:eastAsia="Times New Roman" w:cs="Times New Roman"/>
          <w:sz w:val="24"/>
          <w:szCs w:val="24"/>
          <w:spacing w:val="28"/>
          <w:position w:val="2"/>
        </w:rPr>
        <w:t xml:space="preserve"> </w:t>
      </w:r>
      <w:r>
        <w:rPr>
          <w:rFonts w:ascii="SimSun" w:hAnsi="SimSun" w:eastAsia="SimSun" w:cs="SimSun"/>
          <w:sz w:val="24"/>
          <w:szCs w:val="24"/>
          <w:spacing w:val="3"/>
          <w:position w:val="2"/>
        </w:rPr>
        <w:t>的标准指数；</w:t>
      </w:r>
    </w:p>
    <w:p>
      <w:pPr>
        <w:spacing w:line="54" w:lineRule="exact"/>
        <w:rPr/>
      </w:pPr>
      <w:r/>
    </w:p>
    <w:p>
      <w:pPr>
        <w:pStyle w:val="BodyText"/>
        <w:spacing w:line="14" w:lineRule="auto"/>
        <w:rPr>
          <w:sz w:val="2"/>
        </w:rPr>
      </w:pPr>
      <w:r>
        <w:rPr>
          <w:sz w:val="2"/>
          <w:szCs w:val="2"/>
        </w:rPr>
        <w:br w:type="column"/>
      </w:r>
    </w:p>
    <w:p>
      <w:pPr>
        <w:pStyle w:val="BodyText"/>
        <w:spacing w:line="243" w:lineRule="auto"/>
        <w:rPr/>
      </w:pPr>
      <w:r/>
    </w:p>
    <w:p>
      <w:pPr>
        <w:pStyle w:val="BodyText"/>
        <w:spacing w:line="244" w:lineRule="auto"/>
        <w:rPr/>
      </w:pPr>
      <w:r/>
    </w:p>
    <w:p>
      <w:pPr>
        <w:pStyle w:val="BodyText"/>
        <w:spacing w:before="84" w:line="222" w:lineRule="auto"/>
        <w:rPr>
          <w:rFonts w:ascii="SimSun" w:hAnsi="SimSun" w:eastAsia="SimSun" w:cs="SimSun"/>
          <w:sz w:val="24"/>
          <w:szCs w:val="24"/>
        </w:rPr>
      </w:pPr>
      <w:r>
        <w:rPr>
          <w:rFonts w:ascii="SimSun" w:hAnsi="SimSun" w:eastAsia="SimSun" w:cs="SimSun"/>
          <w:sz w:val="24"/>
          <w:szCs w:val="24"/>
          <w:spacing w:val="-2"/>
          <w:position w:val="-5"/>
        </w:rPr>
        <w:t>（</w:t>
      </w:r>
      <w:r>
        <w:rPr>
          <w:sz w:val="29"/>
          <w:szCs w:val="29"/>
          <w:spacing w:val="-2"/>
          <w:position w:val="4"/>
        </w:rPr>
        <w:t>px;E7.0</w:t>
      </w:r>
      <w:r>
        <w:rPr>
          <w:sz w:val="29"/>
          <w:szCs w:val="29"/>
          <w:spacing w:val="-19"/>
          <w:position w:val="4"/>
        </w:rPr>
        <w:t xml:space="preserve"> </w:t>
      </w:r>
      <w:r>
        <w:rPr>
          <w:rFonts w:ascii="SimSun" w:hAnsi="SimSun" w:eastAsia="SimSun" w:cs="SimSun"/>
          <w:sz w:val="24"/>
          <w:szCs w:val="24"/>
          <w:spacing w:val="-2"/>
          <w:position w:val="-5"/>
        </w:rPr>
        <w:t>）</w:t>
      </w:r>
    </w:p>
    <w:p>
      <w:pPr>
        <w:pStyle w:val="BodyText"/>
        <w:ind w:left="60"/>
        <w:spacing w:before="48" w:line="198" w:lineRule="auto"/>
        <w:rPr>
          <w:rFonts w:ascii="SimSun" w:hAnsi="SimSun" w:eastAsia="SimSun" w:cs="SimSun"/>
          <w:sz w:val="24"/>
          <w:szCs w:val="24"/>
        </w:rPr>
      </w:pPr>
      <w:r>
        <w:rPr>
          <w:rFonts w:ascii="SimSun" w:hAnsi="SimSun" w:eastAsia="SimSun" w:cs="SimSun"/>
          <w:sz w:val="24"/>
          <w:szCs w:val="24"/>
          <w:position w:val="-5"/>
        </w:rPr>
        <w:t>（</w:t>
      </w:r>
      <w:r>
        <w:rPr>
          <w:sz w:val="34"/>
          <w:szCs w:val="34"/>
          <w:position w:val="4"/>
        </w:rPr>
        <w:t>px7.0</w:t>
      </w:r>
      <w:r>
        <w:rPr>
          <w:sz w:val="34"/>
          <w:szCs w:val="34"/>
          <w:spacing w:val="-20"/>
          <w:position w:val="4"/>
        </w:rPr>
        <w:t xml:space="preserve"> </w:t>
      </w:r>
      <w:r>
        <w:rPr>
          <w:rFonts w:ascii="SimSun" w:hAnsi="SimSun" w:eastAsia="SimSun" w:cs="SimSun"/>
          <w:sz w:val="24"/>
          <w:szCs w:val="24"/>
          <w:position w:val="-5"/>
        </w:rPr>
        <w:t>）</w:t>
      </w:r>
    </w:p>
    <w:p>
      <w:pPr>
        <w:spacing w:line="198" w:lineRule="auto"/>
        <w:sectPr>
          <w:type w:val="continuous"/>
          <w:pgSz w:w="11907" w:h="16840"/>
          <w:pgMar w:top="1567" w:right="1596" w:bottom="400" w:left="1701" w:header="1221" w:footer="0" w:gutter="0"/>
          <w:cols w:equalWidth="0" w:num="2">
            <w:col w:w="5094" w:space="34"/>
            <w:col w:w="3481" w:space="0"/>
          </w:cols>
        </w:sectPr>
        <w:rPr>
          <w:rFonts w:ascii="SimSun" w:hAnsi="SimSun" w:eastAsia="SimSun" w:cs="SimSun"/>
          <w:sz w:val="24"/>
          <w:szCs w:val="24"/>
        </w:rPr>
      </w:pPr>
    </w:p>
    <w:p>
      <w:pPr>
        <w:ind w:left="1220"/>
        <w:spacing w:before="160" w:line="234" w:lineRule="auto"/>
        <w:rPr>
          <w:rFonts w:ascii="SimSun" w:hAnsi="SimSun" w:eastAsia="SimSun" w:cs="SimSun"/>
          <w:sz w:val="24"/>
          <w:szCs w:val="24"/>
        </w:rPr>
      </w:pPr>
      <w:r>
        <w:rPr>
          <w:rFonts w:ascii="Times New Roman" w:hAnsi="Times New Roman" w:eastAsia="Times New Roman" w:cs="Times New Roman"/>
          <w:sz w:val="24"/>
          <w:szCs w:val="24"/>
          <w:position w:val="6"/>
        </w:rPr>
        <w:drawing>
          <wp:inline distT="0" distB="0" distL="0" distR="0">
            <wp:extent cx="276270" cy="175179"/>
            <wp:effectExtent l="0" t="0" r="0" b="0"/>
            <wp:docPr id="76" name="IM 76"/>
            <wp:cNvGraphicFramePr/>
            <a:graphic>
              <a:graphicData uri="http://schemas.openxmlformats.org/drawingml/2006/picture">
                <pic:pic>
                  <pic:nvPicPr>
                    <pic:cNvPr id="76" name="IM 76"/>
                    <pic:cNvPicPr/>
                  </pic:nvPicPr>
                  <pic:blipFill>
                    <a:blip r:embed="rId134"/>
                    <a:stretch>
                      <a:fillRect/>
                    </a:stretch>
                  </pic:blipFill>
                  <pic:spPr>
                    <a:xfrm rot="0">
                      <a:off x="0" y="0"/>
                      <a:ext cx="276270" cy="175179"/>
                    </a:xfrm>
                    <a:prstGeom prst="rect">
                      <a:avLst/>
                    </a:prstGeom>
                  </pic:spPr>
                </pic:pic>
              </a:graphicData>
            </a:graphic>
          </wp:inline>
        </w:drawing>
      </w:r>
      <w:r>
        <w:rPr>
          <w:rFonts w:ascii="Times New Roman" w:hAnsi="Times New Roman" w:eastAsia="Times New Roman" w:cs="Times New Roman"/>
          <w:sz w:val="24"/>
          <w:szCs w:val="24"/>
          <w:spacing w:val="-8"/>
        </w:rPr>
        <w:t xml:space="preserve"> </w:t>
      </w:r>
      <w:r>
        <w:rPr>
          <w:rFonts w:ascii="Times New Roman" w:hAnsi="Times New Roman" w:eastAsia="Times New Roman" w:cs="Times New Roman"/>
          <w:sz w:val="24"/>
          <w:szCs w:val="24"/>
        </w:rPr>
        <w:t>—</w:t>
      </w:r>
      <w:r>
        <w:rPr>
          <w:rFonts w:ascii="SimSun" w:hAnsi="SimSun" w:eastAsia="SimSun" w:cs="SimSun"/>
          <w:sz w:val="24"/>
          <w:szCs w:val="24"/>
        </w:rPr>
        <w:t>监测点的</w:t>
      </w:r>
      <w:r>
        <w:rPr>
          <w:rFonts w:ascii="SimSun" w:hAnsi="SimSun" w:eastAsia="SimSun" w:cs="SimSun"/>
          <w:sz w:val="24"/>
          <w:szCs w:val="24"/>
          <w:spacing w:val="-60"/>
        </w:rPr>
        <w:t xml:space="preserve"> </w:t>
      </w:r>
      <w:r>
        <w:rPr>
          <w:rFonts w:ascii="Times New Roman" w:hAnsi="Times New Roman" w:eastAsia="Times New Roman" w:cs="Times New Roman"/>
          <w:sz w:val="24"/>
          <w:szCs w:val="24"/>
        </w:rPr>
        <w:t>pH </w:t>
      </w:r>
      <w:r>
        <w:rPr>
          <w:rFonts w:ascii="SimSun" w:hAnsi="SimSun" w:eastAsia="SimSun" w:cs="SimSun"/>
          <w:sz w:val="24"/>
          <w:szCs w:val="24"/>
        </w:rPr>
        <w:t>值；</w:t>
      </w:r>
    </w:p>
    <w:p>
      <w:pPr>
        <w:ind w:left="1220"/>
        <w:spacing w:before="217" w:line="239" w:lineRule="auto"/>
        <w:rPr>
          <w:rFonts w:ascii="SimSun" w:hAnsi="SimSun" w:eastAsia="SimSun" w:cs="SimSun"/>
          <w:sz w:val="24"/>
          <w:szCs w:val="24"/>
        </w:rPr>
      </w:pPr>
      <w:r>
        <w:rPr>
          <w:rFonts w:ascii="Times New Roman" w:hAnsi="Times New Roman" w:eastAsia="Times New Roman" w:cs="Times New Roman"/>
          <w:sz w:val="24"/>
          <w:szCs w:val="24"/>
          <w:position w:val="6"/>
        </w:rPr>
        <w:drawing>
          <wp:inline distT="0" distB="0" distL="0" distR="0">
            <wp:extent cx="314325" cy="152400"/>
            <wp:effectExtent l="0" t="0" r="0" b="0"/>
            <wp:docPr id="78" name="IM 78"/>
            <wp:cNvGraphicFramePr/>
            <a:graphic>
              <a:graphicData uri="http://schemas.openxmlformats.org/drawingml/2006/picture">
                <pic:pic>
                  <pic:nvPicPr>
                    <pic:cNvPr id="78" name="IM 78"/>
                    <pic:cNvPicPr/>
                  </pic:nvPicPr>
                  <pic:blipFill>
                    <a:blip r:embed="rId135"/>
                    <a:stretch>
                      <a:fillRect/>
                    </a:stretch>
                  </pic:blipFill>
                  <pic:spPr>
                    <a:xfrm rot="0">
                      <a:off x="0" y="0"/>
                      <a:ext cx="314325" cy="152400"/>
                    </a:xfrm>
                    <a:prstGeom prst="rect">
                      <a:avLst/>
                    </a:prstGeom>
                  </pic:spPr>
                </pic:pic>
              </a:graphicData>
            </a:graphic>
          </wp:inline>
        </w:drawing>
      </w:r>
      <w:r>
        <w:rPr>
          <w:rFonts w:ascii="Times New Roman" w:hAnsi="Times New Roman" w:eastAsia="Times New Roman" w:cs="Times New Roman"/>
          <w:sz w:val="24"/>
          <w:szCs w:val="24"/>
          <w:spacing w:val="-8"/>
        </w:rPr>
        <w:t xml:space="preserve"> </w:t>
      </w:r>
      <w:r>
        <w:rPr>
          <w:rFonts w:ascii="Times New Roman" w:hAnsi="Times New Roman" w:eastAsia="Times New Roman" w:cs="Times New Roman"/>
          <w:sz w:val="24"/>
          <w:szCs w:val="24"/>
        </w:rPr>
        <w:t>—</w:t>
      </w:r>
      <w:r>
        <w:rPr>
          <w:rFonts w:ascii="SimSun" w:hAnsi="SimSun" w:eastAsia="SimSun" w:cs="SimSun"/>
          <w:sz w:val="24"/>
          <w:szCs w:val="24"/>
        </w:rPr>
        <w:t>地下水水质标准的</w:t>
      </w:r>
      <w:r>
        <w:rPr>
          <w:rFonts w:ascii="SimSun" w:hAnsi="SimSun" w:eastAsia="SimSun" w:cs="SimSun"/>
          <w:sz w:val="24"/>
          <w:szCs w:val="24"/>
          <w:spacing w:val="-60"/>
        </w:rPr>
        <w:t xml:space="preserve"> </w:t>
      </w:r>
      <w:r>
        <w:rPr>
          <w:rFonts w:ascii="Times New Roman" w:hAnsi="Times New Roman" w:eastAsia="Times New Roman" w:cs="Times New Roman"/>
          <w:sz w:val="24"/>
          <w:szCs w:val="24"/>
        </w:rPr>
        <w:t>pH </w:t>
      </w:r>
      <w:r>
        <w:rPr>
          <w:rFonts w:ascii="SimSun" w:hAnsi="SimSun" w:eastAsia="SimSun" w:cs="SimSun"/>
          <w:sz w:val="24"/>
          <w:szCs w:val="24"/>
        </w:rPr>
        <w:t>值下限；</w:t>
      </w:r>
    </w:p>
    <w:p>
      <w:pPr>
        <w:ind w:left="1220"/>
        <w:spacing w:before="231" w:line="238" w:lineRule="auto"/>
        <w:rPr>
          <w:rFonts w:ascii="SimSun" w:hAnsi="SimSun" w:eastAsia="SimSun" w:cs="SimSun"/>
          <w:sz w:val="24"/>
          <w:szCs w:val="24"/>
        </w:rPr>
      </w:pPr>
      <w:r>
        <w:rPr>
          <w:rFonts w:ascii="Times New Roman" w:hAnsi="Times New Roman" w:eastAsia="Times New Roman" w:cs="Times New Roman"/>
          <w:sz w:val="24"/>
          <w:szCs w:val="24"/>
          <w:position w:val="6"/>
        </w:rPr>
        <w:drawing>
          <wp:inline distT="0" distB="0" distL="0" distR="0">
            <wp:extent cx="301751" cy="144378"/>
            <wp:effectExtent l="0" t="0" r="0" b="0"/>
            <wp:docPr id="80" name="IM 80"/>
            <wp:cNvGraphicFramePr/>
            <a:graphic>
              <a:graphicData uri="http://schemas.openxmlformats.org/drawingml/2006/picture">
                <pic:pic>
                  <pic:nvPicPr>
                    <pic:cNvPr id="80" name="IM 80"/>
                    <pic:cNvPicPr/>
                  </pic:nvPicPr>
                  <pic:blipFill>
                    <a:blip r:embed="rId136"/>
                    <a:stretch>
                      <a:fillRect/>
                    </a:stretch>
                  </pic:blipFill>
                  <pic:spPr>
                    <a:xfrm rot="0">
                      <a:off x="0" y="0"/>
                      <a:ext cx="301751" cy="144378"/>
                    </a:xfrm>
                    <a:prstGeom prst="rect">
                      <a:avLst/>
                    </a:prstGeom>
                  </pic:spPr>
                </pic:pic>
              </a:graphicData>
            </a:graphic>
          </wp:inline>
        </w:drawing>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rPr>
        <w:t>—</w:t>
      </w:r>
      <w:r>
        <w:rPr>
          <w:rFonts w:ascii="SimSun" w:hAnsi="SimSun" w:eastAsia="SimSun" w:cs="SimSun"/>
          <w:sz w:val="24"/>
          <w:szCs w:val="24"/>
        </w:rPr>
        <w:t>地下水水质标准的</w:t>
      </w:r>
      <w:r>
        <w:rPr>
          <w:rFonts w:ascii="SimSun" w:hAnsi="SimSun" w:eastAsia="SimSun" w:cs="SimSun"/>
          <w:sz w:val="24"/>
          <w:szCs w:val="24"/>
          <w:spacing w:val="-60"/>
        </w:rPr>
        <w:t xml:space="preserve"> </w:t>
      </w:r>
      <w:r>
        <w:rPr>
          <w:rFonts w:ascii="Times New Roman" w:hAnsi="Times New Roman" w:eastAsia="Times New Roman" w:cs="Times New Roman"/>
          <w:sz w:val="24"/>
          <w:szCs w:val="24"/>
        </w:rPr>
        <w:t>pH </w:t>
      </w:r>
      <w:r>
        <w:rPr>
          <w:rFonts w:ascii="SimSun" w:hAnsi="SimSun" w:eastAsia="SimSun" w:cs="SimSun"/>
          <w:sz w:val="24"/>
          <w:szCs w:val="24"/>
        </w:rPr>
        <w:t>值上限。</w:t>
      </w:r>
    </w:p>
    <w:p>
      <w:pPr>
        <w:ind w:left="501"/>
        <w:spacing w:before="191"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5</w:t>
      </w:r>
      <w:r>
        <w:rPr>
          <w:rFonts w:ascii="SimSun" w:hAnsi="SimSun" w:eastAsia="SimSun" w:cs="SimSun"/>
          <w:sz w:val="24"/>
          <w:szCs w:val="24"/>
          <w:spacing w:val="-2"/>
        </w:rPr>
        <w:t>）水质现状监测结果</w:t>
      </w:r>
    </w:p>
    <w:p>
      <w:pPr>
        <w:ind w:left="4" w:firstLine="514"/>
        <w:spacing w:before="183" w:line="358" w:lineRule="auto"/>
        <w:jc w:val="both"/>
        <w:rPr>
          <w:rFonts w:ascii="SimSun" w:hAnsi="SimSun" w:eastAsia="SimSun" w:cs="SimSun"/>
          <w:sz w:val="24"/>
          <w:szCs w:val="24"/>
        </w:rPr>
      </w:pPr>
      <w:r>
        <w:rPr>
          <w:rFonts w:ascii="SimSun" w:hAnsi="SimSun" w:eastAsia="SimSun" w:cs="SimSun"/>
          <w:sz w:val="24"/>
          <w:szCs w:val="24"/>
          <w:spacing w:val="-5"/>
        </w:rPr>
        <w:t>由监测结果可知，硫酸盐、氯化物、钠、总硬度及溶解性总固体在</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5"/>
        </w:rPr>
        <w:t>S02</w:t>
      </w:r>
      <w:r>
        <w:rPr>
          <w:rFonts w:ascii="SimSun" w:hAnsi="SimSun" w:eastAsia="SimSun" w:cs="SimSun"/>
          <w:sz w:val="24"/>
          <w:szCs w:val="24"/>
          <w:spacing w:val="-5"/>
        </w:rPr>
        <w:t>、</w:t>
      </w:r>
      <w:r>
        <w:rPr>
          <w:rFonts w:ascii="Times New Roman" w:hAnsi="Times New Roman" w:eastAsia="Times New Roman" w:cs="Times New Roman"/>
          <w:sz w:val="24"/>
          <w:szCs w:val="24"/>
          <w:spacing w:val="-5"/>
        </w:rPr>
        <w:t>S03</w:t>
      </w:r>
      <w:r>
        <w:rPr>
          <w:rFonts w:ascii="SimSun" w:hAnsi="SimSun" w:eastAsia="SimSun" w:cs="SimSun"/>
          <w:sz w:val="24"/>
          <w:szCs w:val="24"/>
          <w:spacing w:val="-5"/>
        </w:rPr>
        <w:t>、</w:t>
      </w:r>
      <w:r>
        <w:rPr>
          <w:rFonts w:ascii="SimSun" w:hAnsi="SimSun" w:eastAsia="SimSun" w:cs="SimSun"/>
          <w:sz w:val="24"/>
          <w:szCs w:val="24"/>
        </w:rPr>
        <w:t xml:space="preserve"> </w:t>
      </w:r>
      <w:r>
        <w:rPr>
          <w:rFonts w:ascii="Times New Roman" w:hAnsi="Times New Roman" w:eastAsia="Times New Roman" w:cs="Times New Roman"/>
          <w:sz w:val="24"/>
          <w:szCs w:val="24"/>
          <w:spacing w:val="-3"/>
        </w:rPr>
        <w:t>S05</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S07 </w:t>
      </w:r>
      <w:r>
        <w:rPr>
          <w:rFonts w:ascii="SimSun" w:hAnsi="SimSun" w:eastAsia="SimSun" w:cs="SimSun"/>
          <w:sz w:val="24"/>
          <w:szCs w:val="24"/>
          <w:spacing w:val="-3"/>
        </w:rPr>
        <w:t>监测点出现超标，氟化物在</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3"/>
        </w:rPr>
        <w:t>S02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S03</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S05</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S07</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S13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S14 </w:t>
      </w:r>
      <w:r>
        <w:rPr>
          <w:rFonts w:ascii="SimSun" w:hAnsi="SimSun" w:eastAsia="SimSun" w:cs="SimSun"/>
          <w:sz w:val="24"/>
          <w:szCs w:val="24"/>
          <w:spacing w:val="-3"/>
        </w:rPr>
        <w:t>监测点出</w:t>
      </w:r>
      <w:r>
        <w:rPr>
          <w:rFonts w:ascii="SimSun" w:hAnsi="SimSun" w:eastAsia="SimSun" w:cs="SimSun"/>
          <w:sz w:val="24"/>
          <w:szCs w:val="24"/>
        </w:rPr>
        <w:t xml:space="preserve">  </w:t>
      </w:r>
      <w:r>
        <w:rPr>
          <w:rFonts w:ascii="SimSun" w:hAnsi="SimSun" w:eastAsia="SimSun" w:cs="SimSun"/>
          <w:sz w:val="24"/>
          <w:szCs w:val="24"/>
          <w:spacing w:val="-7"/>
        </w:rPr>
        <w:t>现超标，除以上因子外其余各监测因子标准指数均小于</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7"/>
        </w:rPr>
        <w:t>1</w:t>
      </w:r>
      <w:r>
        <w:rPr>
          <w:rFonts w:ascii="SimSun" w:hAnsi="SimSun" w:eastAsia="SimSun" w:cs="SimSun"/>
          <w:sz w:val="24"/>
          <w:szCs w:val="24"/>
          <w:spacing w:val="-7"/>
        </w:rPr>
        <w:t>，满足《地下水质量标准》</w:t>
      </w:r>
      <w:r>
        <w:rPr>
          <w:rFonts w:ascii="SimSun" w:hAnsi="SimSun" w:eastAsia="SimSun" w:cs="SimSun"/>
          <w:sz w:val="24"/>
          <w:szCs w:val="24"/>
        </w:rPr>
        <w:t xml:space="preserve"> </w:t>
      </w:r>
      <w:r>
        <w:rPr>
          <w:rFonts w:ascii="SimSun" w:hAnsi="SimSun" w:eastAsia="SimSun" w:cs="SimSun"/>
          <w:sz w:val="24"/>
          <w:szCs w:val="24"/>
        </w:rPr>
        <w:t>（</w:t>
      </w:r>
      <w:r>
        <w:rPr>
          <w:rFonts w:ascii="Times New Roman" w:hAnsi="Times New Roman" w:eastAsia="Times New Roman" w:cs="Times New Roman"/>
          <w:sz w:val="24"/>
          <w:szCs w:val="24"/>
        </w:rPr>
        <w:t>GB/T14848-2017</w:t>
      </w:r>
      <w:r>
        <w:rPr>
          <w:rFonts w:ascii="Times New Roman" w:hAnsi="Times New Roman" w:eastAsia="Times New Roman" w:cs="Times New Roman"/>
          <w:sz w:val="24"/>
          <w:szCs w:val="24"/>
          <w:spacing w:val="16"/>
        </w:rPr>
        <w:t xml:space="preserve"> </w:t>
      </w:r>
      <w:r>
        <w:rPr>
          <w:rFonts w:ascii="SimSun" w:hAnsi="SimSun" w:eastAsia="SimSun" w:cs="SimSun"/>
          <w:sz w:val="24"/>
          <w:szCs w:val="24"/>
        </w:rPr>
        <w:t>）</w:t>
      </w:r>
      <w:r>
        <w:rPr>
          <w:rFonts w:ascii="SimSun" w:hAnsi="SimSun" w:eastAsia="SimSun" w:cs="SimSun"/>
          <w:sz w:val="24"/>
          <w:szCs w:val="24"/>
          <w:spacing w:val="-50"/>
        </w:rPr>
        <w:t xml:space="preserve"> </w:t>
      </w:r>
      <w:r>
        <w:rPr>
          <w:rFonts w:ascii="SimSun" w:hAnsi="SimSun" w:eastAsia="SimSun" w:cs="SimSun"/>
          <w:sz w:val="24"/>
          <w:szCs w:val="24"/>
        </w:rPr>
        <w:t>中 </w:t>
      </w:r>
      <w:r>
        <w:rPr>
          <w:rFonts w:ascii="Times New Roman" w:hAnsi="Times New Roman" w:eastAsia="Times New Roman" w:cs="Times New Roman"/>
          <w:sz w:val="24"/>
          <w:szCs w:val="24"/>
        </w:rPr>
        <w:t>III</w:t>
      </w:r>
      <w:r>
        <w:rPr>
          <w:rFonts w:ascii="Times New Roman" w:hAnsi="Times New Roman" w:eastAsia="Times New Roman" w:cs="Times New Roman"/>
          <w:sz w:val="24"/>
          <w:szCs w:val="24"/>
          <w:spacing w:val="52"/>
        </w:rPr>
        <w:t xml:space="preserve"> </w:t>
      </w:r>
      <w:r>
        <w:rPr>
          <w:rFonts w:ascii="SimSun" w:hAnsi="SimSun" w:eastAsia="SimSun" w:cs="SimSun"/>
          <w:sz w:val="24"/>
          <w:szCs w:val="24"/>
        </w:rPr>
        <w:t>类</w:t>
      </w:r>
      <w:r>
        <w:rPr>
          <w:rFonts w:ascii="SimSun" w:hAnsi="SimSun" w:eastAsia="SimSun" w:cs="SimSun"/>
          <w:sz w:val="24"/>
          <w:szCs w:val="24"/>
          <w:spacing w:val="-72"/>
        </w:rPr>
        <w:t xml:space="preserve"> </w:t>
      </w:r>
      <w:r>
        <w:rPr>
          <w:rFonts w:ascii="SimSun" w:hAnsi="SimSun" w:eastAsia="SimSun" w:cs="SimSun"/>
          <w:sz w:val="24"/>
          <w:szCs w:val="24"/>
        </w:rPr>
        <w:t>标</w:t>
      </w:r>
      <w:r>
        <w:rPr>
          <w:rFonts w:ascii="SimSun" w:hAnsi="SimSun" w:eastAsia="SimSun" w:cs="SimSun"/>
          <w:sz w:val="24"/>
          <w:szCs w:val="24"/>
          <w:spacing w:val="-70"/>
        </w:rPr>
        <w:t xml:space="preserve"> </w:t>
      </w:r>
      <w:r>
        <w:rPr>
          <w:rFonts w:ascii="SimSun" w:hAnsi="SimSun" w:eastAsia="SimSun" w:cs="SimSun"/>
          <w:sz w:val="24"/>
          <w:szCs w:val="24"/>
          <w:spacing w:val="-1"/>
        </w:rPr>
        <w:t>准</w:t>
      </w:r>
      <w:r>
        <w:rPr>
          <w:rFonts w:ascii="SimSun" w:hAnsi="SimSun" w:eastAsia="SimSun" w:cs="SimSun"/>
          <w:sz w:val="24"/>
          <w:szCs w:val="24"/>
          <w:spacing w:val="-53"/>
        </w:rPr>
        <w:t xml:space="preserve"> </w:t>
      </w:r>
      <w:r>
        <w:rPr>
          <w:rFonts w:ascii="SimSun" w:hAnsi="SimSun" w:eastAsia="SimSun" w:cs="SimSun"/>
          <w:sz w:val="24"/>
          <w:szCs w:val="24"/>
          <w:spacing w:val="-1"/>
        </w:rPr>
        <w:t>，</w:t>
      </w:r>
      <w:r>
        <w:rPr>
          <w:rFonts w:ascii="SimSun" w:hAnsi="SimSun" w:eastAsia="SimSun" w:cs="SimSun"/>
          <w:sz w:val="24"/>
          <w:szCs w:val="24"/>
          <w:spacing w:val="-71"/>
        </w:rPr>
        <w:t xml:space="preserve"> </w:t>
      </w:r>
      <w:r>
        <w:rPr>
          <w:rFonts w:ascii="SimSun" w:hAnsi="SimSun" w:eastAsia="SimSun" w:cs="SimSun"/>
          <w:sz w:val="24"/>
          <w:szCs w:val="24"/>
          <w:spacing w:val="-1"/>
        </w:rPr>
        <w:t>石</w:t>
      </w:r>
      <w:r>
        <w:rPr>
          <w:rFonts w:ascii="SimSun" w:hAnsi="SimSun" w:eastAsia="SimSun" w:cs="SimSun"/>
          <w:sz w:val="24"/>
          <w:szCs w:val="24"/>
          <w:spacing w:val="-68"/>
        </w:rPr>
        <w:t xml:space="preserve"> </w:t>
      </w:r>
      <w:r>
        <w:rPr>
          <w:rFonts w:ascii="SimSun" w:hAnsi="SimSun" w:eastAsia="SimSun" w:cs="SimSun"/>
          <w:sz w:val="24"/>
          <w:szCs w:val="24"/>
          <w:spacing w:val="-1"/>
        </w:rPr>
        <w:t>油类满</w:t>
      </w:r>
      <w:r>
        <w:rPr>
          <w:rFonts w:ascii="SimSun" w:hAnsi="SimSun" w:eastAsia="SimSun" w:cs="SimSun"/>
          <w:sz w:val="24"/>
          <w:szCs w:val="24"/>
          <w:spacing w:val="-69"/>
        </w:rPr>
        <w:t xml:space="preserve"> </w:t>
      </w:r>
      <w:r>
        <w:rPr>
          <w:rFonts w:ascii="SimSun" w:hAnsi="SimSun" w:eastAsia="SimSun" w:cs="SimSun"/>
          <w:sz w:val="24"/>
          <w:szCs w:val="24"/>
          <w:spacing w:val="-1"/>
        </w:rPr>
        <w:t>足《</w:t>
      </w:r>
      <w:r>
        <w:rPr>
          <w:rFonts w:ascii="SimSun" w:hAnsi="SimSun" w:eastAsia="SimSun" w:cs="SimSun"/>
          <w:sz w:val="24"/>
          <w:szCs w:val="24"/>
          <w:spacing w:val="-48"/>
        </w:rPr>
        <w:t xml:space="preserve"> </w:t>
      </w:r>
      <w:r>
        <w:rPr>
          <w:rFonts w:ascii="SimSun" w:hAnsi="SimSun" w:eastAsia="SimSun" w:cs="SimSun"/>
          <w:sz w:val="24"/>
          <w:szCs w:val="24"/>
          <w:spacing w:val="-1"/>
        </w:rPr>
        <w:t>地表</w:t>
      </w:r>
      <w:r>
        <w:rPr>
          <w:rFonts w:ascii="SimSun" w:hAnsi="SimSun" w:eastAsia="SimSun" w:cs="SimSun"/>
          <w:sz w:val="24"/>
          <w:szCs w:val="24"/>
          <w:spacing w:val="-72"/>
        </w:rPr>
        <w:t xml:space="preserve"> </w:t>
      </w:r>
      <w:r>
        <w:rPr>
          <w:rFonts w:ascii="SimSun" w:hAnsi="SimSun" w:eastAsia="SimSun" w:cs="SimSun"/>
          <w:sz w:val="24"/>
          <w:szCs w:val="24"/>
          <w:spacing w:val="-1"/>
        </w:rPr>
        <w:t>水环</w:t>
      </w:r>
      <w:r>
        <w:rPr>
          <w:rFonts w:ascii="SimSun" w:hAnsi="SimSun" w:eastAsia="SimSun" w:cs="SimSun"/>
          <w:sz w:val="24"/>
          <w:szCs w:val="24"/>
          <w:spacing w:val="-71"/>
        </w:rPr>
        <w:t xml:space="preserve"> </w:t>
      </w:r>
      <w:r>
        <w:rPr>
          <w:rFonts w:ascii="SimSun" w:hAnsi="SimSun" w:eastAsia="SimSun" w:cs="SimSun"/>
          <w:sz w:val="24"/>
          <w:szCs w:val="24"/>
          <w:spacing w:val="-1"/>
        </w:rPr>
        <w:t>境</w:t>
      </w:r>
      <w:r>
        <w:rPr>
          <w:rFonts w:ascii="SimSun" w:hAnsi="SimSun" w:eastAsia="SimSun" w:cs="SimSun"/>
          <w:sz w:val="24"/>
          <w:szCs w:val="24"/>
          <w:spacing w:val="-72"/>
        </w:rPr>
        <w:t xml:space="preserve"> </w:t>
      </w:r>
      <w:r>
        <w:rPr>
          <w:rFonts w:ascii="SimSun" w:hAnsi="SimSun" w:eastAsia="SimSun" w:cs="SimSun"/>
          <w:sz w:val="24"/>
          <w:szCs w:val="24"/>
          <w:spacing w:val="-1"/>
        </w:rPr>
        <w:t>质量</w:t>
      </w:r>
      <w:r>
        <w:rPr>
          <w:rFonts w:ascii="SimSun" w:hAnsi="SimSun" w:eastAsia="SimSun" w:cs="SimSun"/>
          <w:sz w:val="24"/>
          <w:szCs w:val="24"/>
          <w:spacing w:val="-71"/>
        </w:rPr>
        <w:t xml:space="preserve"> </w:t>
      </w:r>
      <w:r>
        <w:rPr>
          <w:rFonts w:ascii="SimSun" w:hAnsi="SimSun" w:eastAsia="SimSun" w:cs="SimSun"/>
          <w:sz w:val="24"/>
          <w:szCs w:val="24"/>
          <w:spacing w:val="-1"/>
        </w:rPr>
        <w:t>标</w:t>
      </w:r>
      <w:r>
        <w:rPr>
          <w:rFonts w:ascii="SimSun" w:hAnsi="SimSun" w:eastAsia="SimSun" w:cs="SimSun"/>
          <w:sz w:val="24"/>
          <w:szCs w:val="24"/>
          <w:spacing w:val="-70"/>
        </w:rPr>
        <w:t xml:space="preserve"> </w:t>
      </w:r>
      <w:r>
        <w:rPr>
          <w:rFonts w:ascii="SimSun" w:hAnsi="SimSun" w:eastAsia="SimSun" w:cs="SimSun"/>
          <w:sz w:val="24"/>
          <w:szCs w:val="24"/>
          <w:spacing w:val="-1"/>
        </w:rPr>
        <w:t>准</w:t>
      </w:r>
      <w:r>
        <w:rPr>
          <w:rFonts w:ascii="SimSun" w:hAnsi="SimSun" w:eastAsia="SimSun" w:cs="SimSun"/>
          <w:sz w:val="24"/>
          <w:szCs w:val="24"/>
          <w:spacing w:val="-59"/>
        </w:rPr>
        <w:t xml:space="preserve"> </w:t>
      </w:r>
      <w:r>
        <w:rPr>
          <w:rFonts w:ascii="SimSun" w:hAnsi="SimSun" w:eastAsia="SimSun" w:cs="SimSun"/>
          <w:sz w:val="24"/>
          <w:szCs w:val="24"/>
          <w:spacing w:val="-1"/>
        </w:rPr>
        <w:t>》</w:t>
      </w:r>
      <w:r>
        <w:rPr>
          <w:rFonts w:ascii="SimSun" w:hAnsi="SimSun" w:eastAsia="SimSun" w:cs="SimSun"/>
          <w:sz w:val="24"/>
          <w:szCs w:val="2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GB3838-2002</w:t>
      </w:r>
      <w:r>
        <w:rPr>
          <w:rFonts w:ascii="SimSun" w:hAnsi="SimSun" w:eastAsia="SimSun" w:cs="SimSun"/>
          <w:sz w:val="24"/>
          <w:szCs w:val="24"/>
          <w:spacing w:val="-2"/>
        </w:rPr>
        <w:t>）中Ⅲ类标准。分析认为上述因子超标主要原因与区域背景较高有</w:t>
      </w:r>
      <w:r>
        <w:rPr>
          <w:rFonts w:ascii="SimSun" w:hAnsi="SimSun" w:eastAsia="SimSun" w:cs="SimSun"/>
          <w:sz w:val="24"/>
          <w:szCs w:val="24"/>
          <w:spacing w:val="3"/>
        </w:rPr>
        <w:t xml:space="preserve">  </w:t>
      </w:r>
      <w:r>
        <w:rPr>
          <w:rFonts w:ascii="SimSun" w:hAnsi="SimSun" w:eastAsia="SimSun" w:cs="SimSun"/>
          <w:sz w:val="24"/>
          <w:szCs w:val="24"/>
          <w:spacing w:val="1"/>
        </w:rPr>
        <w:t>关，根据内蒙古第十地质矿产勘查开发有限责任公司</w:t>
      </w:r>
      <w:r>
        <w:rPr>
          <w:rFonts w:ascii="Times New Roman" w:hAnsi="Times New Roman" w:eastAsia="Times New Roman" w:cs="Times New Roman"/>
          <w:sz w:val="24"/>
          <w:szCs w:val="24"/>
          <w:spacing w:val="1"/>
        </w:rPr>
        <w:t>2022 </w:t>
      </w:r>
      <w:r>
        <w:rPr>
          <w:rFonts w:ascii="SimSun" w:hAnsi="SimSun" w:eastAsia="SimSun" w:cs="SimSun"/>
          <w:sz w:val="24"/>
          <w:szCs w:val="24"/>
          <w:spacing w:val="1"/>
        </w:rPr>
        <w:t>年提交的《内蒙古自治</w:t>
      </w:r>
      <w:r>
        <w:rPr>
          <w:rFonts w:ascii="SimSun" w:hAnsi="SimSun" w:eastAsia="SimSun" w:cs="SimSun"/>
          <w:sz w:val="24"/>
          <w:szCs w:val="24"/>
        </w:rPr>
        <w:t xml:space="preserve">  </w:t>
      </w:r>
      <w:r>
        <w:rPr>
          <w:rFonts w:ascii="SimSun" w:hAnsi="SimSun" w:eastAsia="SimSun" w:cs="SimSun"/>
          <w:sz w:val="24"/>
          <w:szCs w:val="24"/>
          <w:spacing w:val="4"/>
        </w:rPr>
        <w:t>区正镶白旗中部严重缺水地区人畜饮水找水勘查报告》</w:t>
      </w:r>
      <w:r>
        <w:rPr>
          <w:rFonts w:ascii="SimSun" w:hAnsi="SimSun" w:eastAsia="SimSun" w:cs="SimSun"/>
          <w:sz w:val="24"/>
          <w:szCs w:val="24"/>
          <w:spacing w:val="3"/>
        </w:rPr>
        <w:t>，评价区为低山丘陵区，</w:t>
      </w:r>
      <w:r>
        <w:rPr>
          <w:rFonts w:ascii="SimSun" w:hAnsi="SimSun" w:eastAsia="SimSun" w:cs="SimSun"/>
          <w:sz w:val="24"/>
          <w:szCs w:val="24"/>
        </w:rPr>
        <w:t xml:space="preserve"> </w:t>
      </w:r>
      <w:r>
        <w:rPr>
          <w:rFonts w:ascii="SimSun" w:hAnsi="SimSun" w:eastAsia="SimSun" w:cs="SimSun"/>
          <w:sz w:val="24"/>
          <w:szCs w:val="24"/>
          <w:spacing w:val="3"/>
        </w:rPr>
        <w:t>该区主要由基岩组成，由华力西晚期、燕山早期的花岗岩和上侏罗系</w:t>
      </w:r>
      <w:r>
        <w:rPr>
          <w:rFonts w:ascii="SimSun" w:hAnsi="SimSun" w:eastAsia="SimSun" w:cs="SimSun"/>
          <w:sz w:val="24"/>
          <w:szCs w:val="24"/>
          <w:spacing w:val="2"/>
        </w:rPr>
        <w:t>、下二叠系</w:t>
      </w:r>
      <w:r>
        <w:rPr>
          <w:rFonts w:ascii="SimSun" w:hAnsi="SimSun" w:eastAsia="SimSun" w:cs="SimSun"/>
          <w:sz w:val="24"/>
          <w:szCs w:val="24"/>
        </w:rPr>
        <w:t xml:space="preserve">  </w:t>
      </w:r>
      <w:r>
        <w:rPr>
          <w:rFonts w:ascii="SimSun" w:hAnsi="SimSun" w:eastAsia="SimSun" w:cs="SimSun"/>
          <w:sz w:val="24"/>
          <w:szCs w:val="24"/>
          <w:spacing w:val="3"/>
        </w:rPr>
        <w:t>的凝灰岩、流纹岩、安山岩及太古界的片岩、片麻岩等组成。含水岩</w:t>
      </w:r>
      <w:r>
        <w:rPr>
          <w:rFonts w:ascii="SimSun" w:hAnsi="SimSun" w:eastAsia="SimSun" w:cs="SimSun"/>
          <w:sz w:val="24"/>
          <w:szCs w:val="24"/>
          <w:spacing w:val="2"/>
        </w:rPr>
        <w:t>类划分为第</w:t>
      </w:r>
      <w:r>
        <w:rPr>
          <w:rFonts w:ascii="SimSun" w:hAnsi="SimSun" w:eastAsia="SimSun" w:cs="SimSun"/>
          <w:sz w:val="24"/>
          <w:szCs w:val="24"/>
        </w:rPr>
        <w:t xml:space="preserve">  </w:t>
      </w:r>
      <w:r>
        <w:rPr>
          <w:rFonts w:ascii="SimSun" w:hAnsi="SimSun" w:eastAsia="SimSun" w:cs="SimSun"/>
          <w:sz w:val="24"/>
          <w:szCs w:val="24"/>
          <w:spacing w:val="3"/>
        </w:rPr>
        <w:t>四系松散岩类孔隙潜水、碎屑岩类裂隙孔隙水以及基岩裂隙水，本次</w:t>
      </w:r>
      <w:r>
        <w:rPr>
          <w:rFonts w:ascii="SimSun" w:hAnsi="SimSun" w:eastAsia="SimSun" w:cs="SimSun"/>
          <w:sz w:val="24"/>
          <w:szCs w:val="24"/>
          <w:spacing w:val="2"/>
        </w:rPr>
        <w:t>采样检测的</w:t>
      </w:r>
      <w:r>
        <w:rPr>
          <w:rFonts w:ascii="SimSun" w:hAnsi="SimSun" w:eastAsia="SimSun" w:cs="SimSun"/>
          <w:sz w:val="24"/>
          <w:szCs w:val="24"/>
        </w:rPr>
        <w:t xml:space="preserve">  </w:t>
      </w:r>
      <w:r>
        <w:rPr>
          <w:rFonts w:ascii="SimSun" w:hAnsi="SimSun" w:eastAsia="SimSun" w:cs="SimSun"/>
          <w:sz w:val="24"/>
          <w:szCs w:val="24"/>
          <w:spacing w:val="3"/>
        </w:rPr>
        <w:t>松散岩类孔隙水主要接受大气降水和两侧基岩裂系水径流补给，地下</w:t>
      </w:r>
      <w:r>
        <w:rPr>
          <w:rFonts w:ascii="SimSun" w:hAnsi="SimSun" w:eastAsia="SimSun" w:cs="SimSun"/>
          <w:sz w:val="24"/>
          <w:szCs w:val="24"/>
          <w:spacing w:val="2"/>
        </w:rPr>
        <w:t>水水化学特</w:t>
      </w:r>
      <w:r>
        <w:rPr>
          <w:rFonts w:ascii="SimSun" w:hAnsi="SimSun" w:eastAsia="SimSun" w:cs="SimSun"/>
          <w:sz w:val="24"/>
          <w:szCs w:val="24"/>
        </w:rPr>
        <w:t xml:space="preserve">  </w:t>
      </w:r>
      <w:r>
        <w:rPr>
          <w:rFonts w:ascii="SimSun" w:hAnsi="SimSun" w:eastAsia="SimSun" w:cs="SimSun"/>
          <w:sz w:val="24"/>
          <w:szCs w:val="24"/>
          <w:spacing w:val="3"/>
        </w:rPr>
        <w:t>征受其地形、岩性和气候条件的影响，水化学以溶滤作用为主，评价</w:t>
      </w:r>
      <w:r>
        <w:rPr>
          <w:rFonts w:ascii="SimSun" w:hAnsi="SimSun" w:eastAsia="SimSun" w:cs="SimSun"/>
          <w:sz w:val="24"/>
          <w:szCs w:val="24"/>
          <w:spacing w:val="2"/>
        </w:rPr>
        <w:t>区内溶解性</w:t>
      </w:r>
      <w:r>
        <w:rPr>
          <w:rFonts w:ascii="SimSun" w:hAnsi="SimSun" w:eastAsia="SimSun" w:cs="SimSun"/>
          <w:sz w:val="24"/>
          <w:szCs w:val="24"/>
        </w:rPr>
        <w:t xml:space="preserve">  </w:t>
      </w:r>
      <w:r>
        <w:rPr>
          <w:rFonts w:ascii="SimSun" w:hAnsi="SimSun" w:eastAsia="SimSun" w:cs="SimSun"/>
          <w:sz w:val="24"/>
          <w:szCs w:val="24"/>
          <w:spacing w:val="-3"/>
        </w:rPr>
        <w:t>总固体受地貌条件的控制，位于补给径流区的低山丘陵区溶解性总固体小于</w:t>
      </w:r>
      <w:r>
        <w:rPr>
          <w:rFonts w:ascii="SimSun" w:hAnsi="SimSun" w:eastAsia="SimSun" w:cs="SimSun"/>
          <w:sz w:val="24"/>
          <w:szCs w:val="24"/>
          <w:spacing w:val="-16"/>
        </w:rPr>
        <w:t xml:space="preserve"> </w:t>
      </w:r>
      <w:r>
        <w:rPr>
          <w:rFonts w:ascii="Times New Roman" w:hAnsi="Times New Roman" w:eastAsia="Times New Roman" w:cs="Times New Roman"/>
          <w:sz w:val="24"/>
          <w:szCs w:val="24"/>
          <w:spacing w:val="-3"/>
        </w:rPr>
        <w:t>1g/L</w:t>
      </w:r>
      <w:r>
        <w:rPr>
          <w:rFonts w:ascii="SimSun" w:hAnsi="SimSun" w:eastAsia="SimSun" w:cs="SimSun"/>
          <w:sz w:val="24"/>
          <w:szCs w:val="24"/>
          <w:spacing w:val="-3"/>
        </w:rPr>
        <w:t>；</w:t>
      </w:r>
      <w:r>
        <w:rPr>
          <w:rFonts w:ascii="SimSun" w:hAnsi="SimSun" w:eastAsia="SimSun" w:cs="SimSun"/>
          <w:sz w:val="24"/>
          <w:szCs w:val="24"/>
        </w:rPr>
        <w:t xml:space="preserve"> </w:t>
      </w:r>
      <w:r>
        <w:rPr>
          <w:rFonts w:ascii="SimSun" w:hAnsi="SimSun" w:eastAsia="SimSun" w:cs="SimSun"/>
          <w:sz w:val="24"/>
          <w:szCs w:val="24"/>
          <w:spacing w:val="1"/>
        </w:rPr>
        <w:t>径流排泄区的沟谷洼地的溶解性总固体为</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
        </w:rPr>
        <w:t>1-3g/L</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1"/>
        </w:rPr>
        <w:t>。地形较高的丘陵区域水化学类</w:t>
      </w:r>
      <w:r>
        <w:rPr>
          <w:rFonts w:ascii="SimSun" w:hAnsi="SimSun" w:eastAsia="SimSun" w:cs="SimSun"/>
          <w:sz w:val="24"/>
          <w:szCs w:val="24"/>
        </w:rPr>
        <w:t xml:space="preserve">  </w:t>
      </w:r>
      <w:r>
        <w:rPr>
          <w:rFonts w:ascii="SimSun" w:hAnsi="SimSun" w:eastAsia="SimSun" w:cs="SimSun"/>
          <w:sz w:val="24"/>
          <w:szCs w:val="24"/>
        </w:rPr>
        <w:t>型</w:t>
      </w:r>
      <w:r>
        <w:rPr>
          <w:rFonts w:ascii="SimSun" w:hAnsi="SimSun" w:eastAsia="SimSun" w:cs="SimSun"/>
          <w:sz w:val="24"/>
          <w:szCs w:val="24"/>
          <w:spacing w:val="-69"/>
        </w:rPr>
        <w:t xml:space="preserve"> </w:t>
      </w:r>
      <w:r>
        <w:rPr>
          <w:rFonts w:ascii="SimSun" w:hAnsi="SimSun" w:eastAsia="SimSun" w:cs="SimSun"/>
          <w:sz w:val="24"/>
          <w:szCs w:val="24"/>
        </w:rPr>
        <w:t>多为</w:t>
      </w:r>
      <w:r>
        <w:rPr>
          <w:rFonts w:ascii="SimSun" w:hAnsi="SimSun" w:eastAsia="SimSun" w:cs="SimSun"/>
          <w:sz w:val="24"/>
          <w:szCs w:val="24"/>
          <w:spacing w:val="-27"/>
        </w:rPr>
        <w:t xml:space="preserve"> </w:t>
      </w:r>
      <w:r>
        <w:rPr>
          <w:rFonts w:ascii="Times New Roman" w:hAnsi="Times New Roman" w:eastAsia="Times New Roman" w:cs="Times New Roman"/>
          <w:sz w:val="24"/>
          <w:szCs w:val="24"/>
        </w:rPr>
        <w:t>HCO</w:t>
      </w:r>
      <w:r>
        <w:rPr>
          <w:rFonts w:ascii="Times New Roman" w:hAnsi="Times New Roman" w:eastAsia="Times New Roman" w:cs="Times New Roman"/>
          <w:sz w:val="15"/>
          <w:szCs w:val="15"/>
        </w:rPr>
        <w:t>3</w:t>
      </w:r>
      <w:r>
        <w:rPr>
          <w:rFonts w:ascii="Times New Roman" w:hAnsi="Times New Roman" w:eastAsia="Times New Roman" w:cs="Times New Roman"/>
          <w:sz w:val="24"/>
          <w:szCs w:val="24"/>
        </w:rPr>
        <w:t>-Ca  </w:t>
      </w:r>
      <w:r>
        <w:rPr>
          <w:rFonts w:ascii="SimSun" w:hAnsi="SimSun" w:eastAsia="SimSun" w:cs="SimSun"/>
          <w:sz w:val="24"/>
          <w:szCs w:val="24"/>
        </w:rPr>
        <w:t>·</w:t>
      </w:r>
      <w:r>
        <w:rPr>
          <w:rFonts w:ascii="SimSun" w:hAnsi="SimSun" w:eastAsia="SimSun" w:cs="SimSun"/>
          <w:sz w:val="24"/>
          <w:szCs w:val="24"/>
          <w:spacing w:val="-84"/>
        </w:rPr>
        <w:t xml:space="preserve"> </w:t>
      </w:r>
      <w:r>
        <w:rPr>
          <w:rFonts w:ascii="Times New Roman" w:hAnsi="Times New Roman" w:eastAsia="Times New Roman" w:cs="Times New Roman"/>
          <w:sz w:val="24"/>
          <w:szCs w:val="24"/>
        </w:rPr>
        <w:t>Mg</w:t>
      </w:r>
      <w:r>
        <w:rPr>
          <w:rFonts w:ascii="Times New Roman" w:hAnsi="Times New Roman" w:eastAsia="Times New Roman" w:cs="Times New Roman"/>
          <w:sz w:val="24"/>
          <w:szCs w:val="24"/>
          <w:spacing w:val="48"/>
        </w:rPr>
        <w:t xml:space="preserve"> </w:t>
      </w:r>
      <w:r>
        <w:rPr>
          <w:rFonts w:ascii="SimSun" w:hAnsi="SimSun" w:eastAsia="SimSun" w:cs="SimSun"/>
          <w:sz w:val="24"/>
          <w:szCs w:val="24"/>
        </w:rPr>
        <w:t>型或</w:t>
      </w:r>
      <w:r>
        <w:rPr>
          <w:rFonts w:ascii="SimSun" w:hAnsi="SimSun" w:eastAsia="SimSun" w:cs="SimSun"/>
          <w:sz w:val="24"/>
          <w:szCs w:val="24"/>
          <w:spacing w:val="-23"/>
        </w:rPr>
        <w:t xml:space="preserve"> </w:t>
      </w:r>
      <w:r>
        <w:rPr>
          <w:rFonts w:ascii="Times New Roman" w:hAnsi="Times New Roman" w:eastAsia="Times New Roman" w:cs="Times New Roman"/>
          <w:sz w:val="24"/>
          <w:szCs w:val="24"/>
        </w:rPr>
        <w:t>HCO</w:t>
      </w:r>
      <w:r>
        <w:rPr>
          <w:rFonts w:ascii="Times New Roman" w:hAnsi="Times New Roman" w:eastAsia="Times New Roman" w:cs="Times New Roman"/>
          <w:sz w:val="15"/>
          <w:szCs w:val="15"/>
        </w:rPr>
        <w:t>3</w:t>
      </w:r>
      <w:r>
        <w:rPr>
          <w:rFonts w:ascii="Times New Roman" w:hAnsi="Times New Roman" w:eastAsia="Times New Roman" w:cs="Times New Roman"/>
          <w:sz w:val="24"/>
          <w:szCs w:val="24"/>
        </w:rPr>
        <w:t>-Ca  </w:t>
      </w:r>
      <w:r>
        <w:rPr>
          <w:rFonts w:ascii="SimSun" w:hAnsi="SimSun" w:eastAsia="SimSun" w:cs="SimSun"/>
          <w:sz w:val="24"/>
          <w:szCs w:val="24"/>
        </w:rPr>
        <w:t>·</w:t>
      </w:r>
      <w:r>
        <w:rPr>
          <w:rFonts w:ascii="SimSun" w:hAnsi="SimSun" w:eastAsia="SimSun" w:cs="SimSun"/>
          <w:sz w:val="24"/>
          <w:szCs w:val="24"/>
          <w:spacing w:val="-91"/>
        </w:rPr>
        <w:t xml:space="preserve"> </w:t>
      </w:r>
      <w:r>
        <w:rPr>
          <w:rFonts w:ascii="Times New Roman" w:hAnsi="Times New Roman" w:eastAsia="Times New Roman" w:cs="Times New Roman"/>
          <w:sz w:val="24"/>
          <w:szCs w:val="24"/>
        </w:rPr>
        <w:t>Na</w:t>
      </w:r>
      <w:r>
        <w:rPr>
          <w:rFonts w:ascii="Times New Roman" w:hAnsi="Times New Roman" w:eastAsia="Times New Roman" w:cs="Times New Roman"/>
          <w:sz w:val="24"/>
          <w:szCs w:val="24"/>
          <w:spacing w:val="49"/>
          <w:w w:val="101"/>
        </w:rPr>
        <w:t xml:space="preserve"> </w:t>
      </w:r>
      <w:r>
        <w:rPr>
          <w:rFonts w:ascii="SimSun" w:hAnsi="SimSun" w:eastAsia="SimSun" w:cs="SimSun"/>
          <w:sz w:val="24"/>
          <w:szCs w:val="24"/>
        </w:rPr>
        <w:t>型</w:t>
      </w:r>
      <w:r>
        <w:rPr>
          <w:rFonts w:ascii="SimSun" w:hAnsi="SimSun" w:eastAsia="SimSun" w:cs="SimSun"/>
          <w:sz w:val="24"/>
          <w:szCs w:val="24"/>
          <w:spacing w:val="-59"/>
        </w:rPr>
        <w:t xml:space="preserve"> </w:t>
      </w:r>
      <w:r>
        <w:rPr>
          <w:rFonts w:ascii="SimSun" w:hAnsi="SimSun" w:eastAsia="SimSun" w:cs="SimSun"/>
          <w:sz w:val="24"/>
          <w:szCs w:val="24"/>
        </w:rPr>
        <w:t>；丘</w:t>
      </w:r>
      <w:r>
        <w:rPr>
          <w:rFonts w:ascii="SimSun" w:hAnsi="SimSun" w:eastAsia="SimSun" w:cs="SimSun"/>
          <w:sz w:val="24"/>
          <w:szCs w:val="24"/>
          <w:spacing w:val="-61"/>
        </w:rPr>
        <w:t xml:space="preserve"> </w:t>
      </w:r>
      <w:r>
        <w:rPr>
          <w:rFonts w:ascii="SimSun" w:hAnsi="SimSun" w:eastAsia="SimSun" w:cs="SimSun"/>
          <w:sz w:val="24"/>
          <w:szCs w:val="24"/>
        </w:rPr>
        <w:t>间洼地</w:t>
      </w:r>
      <w:r>
        <w:rPr>
          <w:rFonts w:ascii="SimSun" w:hAnsi="SimSun" w:eastAsia="SimSun" w:cs="SimSun"/>
          <w:sz w:val="24"/>
          <w:szCs w:val="24"/>
          <w:spacing w:val="-60"/>
        </w:rPr>
        <w:t xml:space="preserve"> </w:t>
      </w:r>
      <w:r>
        <w:rPr>
          <w:rFonts w:ascii="SimSun" w:hAnsi="SimSun" w:eastAsia="SimSun" w:cs="SimSun"/>
          <w:sz w:val="24"/>
          <w:szCs w:val="24"/>
          <w:spacing w:val="-1"/>
        </w:rPr>
        <w:t>的水化学类型</w:t>
      </w:r>
      <w:r>
        <w:rPr>
          <w:rFonts w:ascii="SimSun" w:hAnsi="SimSun" w:eastAsia="SimSun" w:cs="SimSun"/>
          <w:sz w:val="24"/>
          <w:szCs w:val="24"/>
          <w:spacing w:val="-68"/>
        </w:rPr>
        <w:t xml:space="preserve"> </w:t>
      </w:r>
      <w:r>
        <w:rPr>
          <w:rFonts w:ascii="SimSun" w:hAnsi="SimSun" w:eastAsia="SimSun" w:cs="SimSun"/>
          <w:sz w:val="24"/>
          <w:szCs w:val="24"/>
          <w:spacing w:val="-1"/>
        </w:rPr>
        <w:t>多为</w:t>
      </w:r>
      <w:r>
        <w:rPr>
          <w:rFonts w:ascii="SimSun" w:hAnsi="SimSun" w:eastAsia="SimSun" w:cs="SimSun"/>
          <w:sz w:val="24"/>
          <w:szCs w:val="24"/>
        </w:rPr>
        <w:t xml:space="preserve">  </w:t>
      </w:r>
      <w:r>
        <w:rPr>
          <w:rFonts w:ascii="Times New Roman" w:hAnsi="Times New Roman" w:eastAsia="Times New Roman" w:cs="Times New Roman"/>
          <w:sz w:val="24"/>
          <w:szCs w:val="24"/>
          <w:spacing w:val="-1"/>
        </w:rPr>
        <w:t>HCO</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spacing w:val="8"/>
          <w:position w:val="-1"/>
        </w:rPr>
        <w:t xml:space="preserve">  </w:t>
      </w:r>
      <w:r>
        <w:rPr>
          <w:rFonts w:ascii="SimSun" w:hAnsi="SimSun" w:eastAsia="SimSun" w:cs="SimSun"/>
          <w:sz w:val="24"/>
          <w:szCs w:val="24"/>
          <w:spacing w:val="-14"/>
        </w:rPr>
        <w:t>·</w:t>
      </w:r>
      <w:r>
        <w:rPr>
          <w:rFonts w:ascii="Times New Roman" w:hAnsi="Times New Roman" w:eastAsia="Times New Roman" w:cs="Times New Roman"/>
          <w:sz w:val="24"/>
          <w:szCs w:val="24"/>
          <w:spacing w:val="-14"/>
        </w:rPr>
        <w:t>Cl-Na</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4"/>
        </w:rPr>
        <w:t>·</w:t>
      </w:r>
      <w:r>
        <w:rPr>
          <w:rFonts w:ascii="Times New Roman" w:hAnsi="Times New Roman" w:eastAsia="Times New Roman" w:cs="Times New Roman"/>
          <w:sz w:val="24"/>
          <w:szCs w:val="24"/>
          <w:spacing w:val="-14"/>
        </w:rPr>
        <w:t>Mg</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4"/>
        </w:rPr>
        <w:t>，局部为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4"/>
        </w:rPr>
        <w:t>HCO</w:t>
      </w:r>
      <w:r>
        <w:rPr>
          <w:rFonts w:ascii="Times New Roman" w:hAnsi="Times New Roman" w:eastAsia="Times New Roman" w:cs="Times New Roman"/>
          <w:sz w:val="15"/>
          <w:szCs w:val="15"/>
          <w:spacing w:val="4"/>
          <w:position w:val="-1"/>
        </w:rPr>
        <w:t>3</w:t>
      </w:r>
      <w:r>
        <w:rPr>
          <w:rFonts w:ascii="Times New Roman" w:hAnsi="Times New Roman" w:eastAsia="Times New Roman" w:cs="Times New Roman"/>
          <w:sz w:val="15"/>
          <w:szCs w:val="15"/>
          <w:spacing w:val="8"/>
          <w:position w:val="-1"/>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Cl-Na</w:t>
      </w:r>
      <w:r>
        <w:rPr>
          <w:rFonts w:ascii="SimSun" w:hAnsi="SimSun" w:eastAsia="SimSun" w:cs="SimSun"/>
          <w:sz w:val="24"/>
          <w:szCs w:val="24"/>
          <w:spacing w:val="-5"/>
        </w:rPr>
        <w:t>·</w:t>
      </w:r>
      <w:r>
        <w:rPr>
          <w:rFonts w:ascii="Times New Roman" w:hAnsi="Times New Roman" w:eastAsia="Times New Roman" w:cs="Times New Roman"/>
          <w:sz w:val="24"/>
          <w:szCs w:val="24"/>
          <w:spacing w:val="-5"/>
        </w:rPr>
        <w:t>Ca</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5"/>
        </w:rPr>
        <w:t>或</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Cl</w:t>
      </w:r>
      <w:r>
        <w:rPr>
          <w:rFonts w:ascii="SimSun" w:hAnsi="SimSun" w:eastAsia="SimSun" w:cs="SimSun"/>
          <w:sz w:val="24"/>
          <w:szCs w:val="24"/>
          <w:spacing w:val="-5"/>
        </w:rPr>
        <w:t>·</w:t>
      </w:r>
      <w:r>
        <w:rPr>
          <w:rFonts w:ascii="Times New Roman" w:hAnsi="Times New Roman" w:eastAsia="Times New Roman" w:cs="Times New Roman"/>
          <w:sz w:val="24"/>
          <w:szCs w:val="24"/>
          <w:spacing w:val="-5"/>
        </w:rPr>
        <w:t>HCO</w:t>
      </w:r>
      <w:r>
        <w:rPr>
          <w:rFonts w:ascii="Times New Roman" w:hAnsi="Times New Roman" w:eastAsia="Times New Roman" w:cs="Times New Roman"/>
          <w:sz w:val="15"/>
          <w:szCs w:val="15"/>
          <w:spacing w:val="-5"/>
        </w:rPr>
        <w:t>3</w:t>
      </w:r>
      <w:r>
        <w:rPr>
          <w:rFonts w:ascii="Times New Roman" w:hAnsi="Times New Roman" w:eastAsia="Times New Roman" w:cs="Times New Roman"/>
          <w:sz w:val="24"/>
          <w:szCs w:val="24"/>
          <w:spacing w:val="-5"/>
        </w:rPr>
        <w:t>-Na</w:t>
      </w:r>
      <w:r>
        <w:rPr>
          <w:rFonts w:ascii="SimSun" w:hAnsi="SimSun" w:eastAsia="SimSun" w:cs="SimSun"/>
          <w:sz w:val="24"/>
          <w:szCs w:val="24"/>
          <w:spacing w:val="-5"/>
        </w:rPr>
        <w:t>·</w:t>
      </w:r>
      <w:r>
        <w:rPr>
          <w:rFonts w:ascii="Times New Roman" w:hAnsi="Times New Roman" w:eastAsia="Times New Roman" w:cs="Times New Roman"/>
          <w:sz w:val="24"/>
          <w:szCs w:val="24"/>
          <w:spacing w:val="-5"/>
        </w:rPr>
        <w:t>Mg</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5"/>
        </w:rPr>
        <w:t>型；低洼地</w:t>
      </w:r>
    </w:p>
    <w:p>
      <w:pPr>
        <w:ind w:left="5312"/>
        <w:spacing w:line="193" w:lineRule="auto"/>
        <w:rPr>
          <w:rFonts w:ascii="SimSun" w:hAnsi="SimSun" w:eastAsia="SimSun" w:cs="SimSun"/>
          <w:sz w:val="19"/>
          <w:szCs w:val="19"/>
        </w:rPr>
      </w:pPr>
      <w:r>
        <w:pict>
          <v:shape id="_x0000_s622" style="position:absolute;margin-left:205.883pt;margin-top:-0.99141pt;mso-position-vertical-relative:text;mso-position-horizontal-relative:text;width:60.35pt;height:13.75pt;z-index:251934720;"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9"/>
                      <w:szCs w:val="19"/>
                    </w:rPr>
                  </w:pPr>
                  <w:r>
                    <w:rPr>
                      <w:rFonts w:ascii="Times New Roman" w:hAnsi="Times New Roman" w:eastAsia="Times New Roman" w:cs="Times New Roman"/>
                      <w:sz w:val="18"/>
                      <w:szCs w:val="18"/>
                      <w:position w:val="2"/>
                    </w:rPr>
                    <w:t>126       </w:t>
                  </w:r>
                  <w:r>
                    <w:rPr>
                      <w:rFonts w:ascii="SimSun" w:hAnsi="SimSun" w:eastAsia="SimSun" w:cs="SimSun"/>
                      <w:sz w:val="19"/>
                      <w:szCs w:val="19"/>
                    </w:rPr>
                    <w:t>锡林郭</w:t>
                  </w:r>
                </w:p>
              </w:txbxContent>
            </v:textbox>
          </v:shape>
        </w:pict>
      </w:r>
      <w:r>
        <w:rPr>
          <w:rFonts w:ascii="SimSun" w:hAnsi="SimSun" w:eastAsia="SimSun" w:cs="SimSun"/>
          <w:sz w:val="19"/>
          <w:szCs w:val="19"/>
          <w:spacing w:val="9"/>
        </w:rPr>
        <w:t>勒盟中安环境技术咨询有限责任公司</w:t>
      </w:r>
    </w:p>
    <w:p>
      <w:pPr>
        <w:spacing w:line="193" w:lineRule="auto"/>
        <w:sectPr>
          <w:type w:val="continuous"/>
          <w:pgSz w:w="11907" w:h="16840"/>
          <w:pgMar w:top="1567" w:right="1596" w:bottom="400" w:left="1701" w:header="1221" w:footer="0" w:gutter="0"/>
          <w:cols w:equalWidth="0" w:num="1">
            <w:col w:w="8610" w:space="0"/>
          </w:cols>
        </w:sectPr>
        <w:rPr>
          <w:rFonts w:ascii="SimSun" w:hAnsi="SimSun" w:eastAsia="SimSun" w:cs="SimSun"/>
          <w:sz w:val="19"/>
          <w:szCs w:val="19"/>
        </w:rPr>
      </w:pPr>
    </w:p>
    <w:p>
      <w:pPr>
        <w:ind w:left="4" w:firstLine="24"/>
        <w:spacing w:before="184" w:line="359" w:lineRule="auto"/>
        <w:jc w:val="both"/>
        <w:rPr>
          <w:rFonts w:ascii="SimSun" w:hAnsi="SimSun" w:eastAsia="SimSun" w:cs="SimSun"/>
          <w:sz w:val="24"/>
          <w:szCs w:val="24"/>
        </w:rPr>
      </w:pPr>
      <w:r>
        <w:pict>
          <v:shape id="_x0000_s624" style="position:absolute;margin-left:85.05pt;margin-top:79.11pt;mso-position-vertical-relative:page;mso-position-horizontal-relative:page;width:425.25pt;height:0.75pt;z-index:251937792;" o:allowincell="f" fillcolor="#000000" filled="true" stroked="false" coordsize="8505,15" coordorigin="0,0" path="m,l8505,0l8505,14l0,14l0,0xe"/>
        </w:pict>
      </w:r>
      <w:r>
        <w:rPr>
          <w:rFonts w:ascii="SimSun" w:hAnsi="SimSun" w:eastAsia="SimSun" w:cs="SimSun"/>
          <w:sz w:val="24"/>
          <w:szCs w:val="24"/>
          <w:spacing w:val="-5"/>
        </w:rPr>
        <w:t>的水化学类型为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5"/>
        </w:rPr>
        <w:t>HCO</w:t>
      </w:r>
      <w:r>
        <w:rPr>
          <w:rFonts w:ascii="Times New Roman" w:hAnsi="Times New Roman" w:eastAsia="Times New Roman" w:cs="Times New Roman"/>
          <w:sz w:val="15"/>
          <w:szCs w:val="15"/>
          <w:spacing w:val="-5"/>
          <w:position w:val="-1"/>
        </w:rPr>
        <w:t>3  </w:t>
      </w:r>
      <w:r>
        <w:rPr>
          <w:rFonts w:ascii="SimSun" w:hAnsi="SimSun" w:eastAsia="SimSun" w:cs="SimSun"/>
          <w:sz w:val="24"/>
          <w:szCs w:val="24"/>
          <w:spacing w:val="-5"/>
        </w:rPr>
        <w:t>·</w:t>
      </w:r>
      <w:r>
        <w:rPr>
          <w:rFonts w:ascii="Times New Roman" w:hAnsi="Times New Roman" w:eastAsia="Times New Roman" w:cs="Times New Roman"/>
          <w:sz w:val="24"/>
          <w:szCs w:val="24"/>
          <w:spacing w:val="-5"/>
        </w:rPr>
        <w:t>SO</w:t>
      </w:r>
      <w:r>
        <w:rPr>
          <w:rFonts w:ascii="Times New Roman" w:hAnsi="Times New Roman" w:eastAsia="Times New Roman" w:cs="Times New Roman"/>
          <w:sz w:val="15"/>
          <w:szCs w:val="15"/>
          <w:spacing w:val="-5"/>
        </w:rPr>
        <w:t>4  </w:t>
      </w:r>
      <w:r>
        <w:rPr>
          <w:rFonts w:ascii="Times New Roman" w:hAnsi="Times New Roman" w:eastAsia="Times New Roman" w:cs="Times New Roman"/>
          <w:sz w:val="24"/>
          <w:szCs w:val="24"/>
          <w:spacing w:val="-5"/>
        </w:rPr>
        <w:t>-Na</w:t>
      </w:r>
      <w:r>
        <w:rPr>
          <w:rFonts w:ascii="SimSun" w:hAnsi="SimSun" w:eastAsia="SimSun" w:cs="SimSun"/>
          <w:sz w:val="24"/>
          <w:szCs w:val="24"/>
          <w:spacing w:val="-5"/>
        </w:rPr>
        <w:t>·</w:t>
      </w:r>
      <w:r>
        <w:rPr>
          <w:rFonts w:ascii="Times New Roman" w:hAnsi="Times New Roman" w:eastAsia="Times New Roman" w:cs="Times New Roman"/>
          <w:sz w:val="24"/>
          <w:szCs w:val="24"/>
          <w:spacing w:val="-5"/>
        </w:rPr>
        <w:t>Mg </w:t>
      </w:r>
      <w:r>
        <w:rPr>
          <w:rFonts w:ascii="SimSun" w:hAnsi="SimSun" w:eastAsia="SimSun" w:cs="SimSun"/>
          <w:sz w:val="24"/>
          <w:szCs w:val="24"/>
          <w:spacing w:val="-5"/>
        </w:rPr>
        <w:t>和</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5"/>
        </w:rPr>
        <w:t>Cl</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SO</w:t>
      </w:r>
      <w:r>
        <w:rPr>
          <w:rFonts w:ascii="Times New Roman" w:hAnsi="Times New Roman" w:eastAsia="Times New Roman" w:cs="Times New Roman"/>
          <w:sz w:val="15"/>
          <w:szCs w:val="15"/>
          <w:spacing w:val="-5"/>
        </w:rPr>
        <w:t>4</w:t>
      </w:r>
      <w:r>
        <w:rPr>
          <w:rFonts w:ascii="Times New Roman" w:hAnsi="Times New Roman" w:eastAsia="Times New Roman" w:cs="Times New Roman"/>
          <w:sz w:val="24"/>
          <w:szCs w:val="24"/>
          <w:spacing w:val="-5"/>
        </w:rPr>
        <w:t>-Na</w:t>
      </w:r>
      <w:r>
        <w:rPr>
          <w:rFonts w:ascii="SimSun" w:hAnsi="SimSun" w:eastAsia="SimSun" w:cs="SimSun"/>
          <w:sz w:val="24"/>
          <w:szCs w:val="24"/>
          <w:spacing w:val="-5"/>
        </w:rPr>
        <w:t>·</w:t>
      </w:r>
      <w:r>
        <w:rPr>
          <w:rFonts w:ascii="Times New Roman" w:hAnsi="Times New Roman" w:eastAsia="Times New Roman" w:cs="Times New Roman"/>
          <w:sz w:val="24"/>
          <w:szCs w:val="24"/>
          <w:spacing w:val="-5"/>
        </w:rPr>
        <w:t>Mg</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5"/>
        </w:rPr>
        <w:t>型。阴离子以</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5"/>
        </w:rPr>
        <w:t>HCO</w:t>
      </w:r>
      <w:r>
        <w:rPr>
          <w:rFonts w:ascii="Times New Roman" w:hAnsi="Times New Roman" w:eastAsia="Times New Roman" w:cs="Times New Roman"/>
          <w:sz w:val="15"/>
          <w:szCs w:val="15"/>
          <w:spacing w:val="-5"/>
          <w:position w:val="-1"/>
        </w:rPr>
        <w:t>3</w:t>
      </w:r>
      <w:r>
        <w:rPr>
          <w:rFonts w:ascii="Times New Roman" w:hAnsi="Times New Roman" w:eastAsia="Times New Roman" w:cs="Times New Roman"/>
          <w:sz w:val="15"/>
          <w:szCs w:val="15"/>
          <w:spacing w:val="10"/>
          <w:position w:val="-1"/>
        </w:rPr>
        <w:t xml:space="preserve"> </w:t>
      </w:r>
      <w:r>
        <w:rPr>
          <w:rFonts w:ascii="SimSun" w:hAnsi="SimSun" w:eastAsia="SimSun" w:cs="SimSun"/>
          <w:sz w:val="24"/>
          <w:szCs w:val="24"/>
          <w:spacing w:val="-5"/>
        </w:rPr>
        <w:t>和</w:t>
      </w:r>
      <w:r>
        <w:rPr>
          <w:rFonts w:ascii="SimSun" w:hAnsi="SimSun" w:eastAsia="SimSun" w:cs="SimSun"/>
          <w:sz w:val="24"/>
          <w:szCs w:val="24"/>
        </w:rPr>
        <w:t xml:space="preserve"> </w:t>
      </w:r>
      <w:r>
        <w:rPr>
          <w:rFonts w:ascii="Times New Roman" w:hAnsi="Times New Roman" w:eastAsia="Times New Roman" w:cs="Times New Roman"/>
          <w:sz w:val="24"/>
          <w:szCs w:val="24"/>
          <w:spacing w:val="-1"/>
        </w:rPr>
        <w:t>HCO</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spacing w:val="9"/>
          <w:position w:val="-1"/>
        </w:rPr>
        <w:t xml:space="preserve">  </w:t>
      </w:r>
      <w:r>
        <w:rPr>
          <w:rFonts w:ascii="SimSun" w:hAnsi="SimSun" w:eastAsia="SimSun" w:cs="SimSun"/>
          <w:sz w:val="24"/>
          <w:szCs w:val="24"/>
          <w:spacing w:val="-9"/>
        </w:rPr>
        <w:t>·</w:t>
      </w:r>
      <w:r>
        <w:rPr>
          <w:rFonts w:ascii="Times New Roman" w:hAnsi="Times New Roman" w:eastAsia="Times New Roman" w:cs="Times New Roman"/>
          <w:sz w:val="24"/>
          <w:szCs w:val="24"/>
          <w:spacing w:val="-9"/>
        </w:rPr>
        <w:t>Cl</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9"/>
        </w:rPr>
        <w:t>型为主，反映了区域内以溶滤作用为主的特点，并与地貌关系比较密切。</w:t>
      </w:r>
      <w:r>
        <w:rPr>
          <w:rFonts w:ascii="SimSun" w:hAnsi="SimSun" w:eastAsia="SimSun" w:cs="SimSun"/>
          <w:sz w:val="24"/>
          <w:szCs w:val="24"/>
        </w:rPr>
        <w:t xml:space="preserve"> </w:t>
      </w:r>
      <w:r>
        <w:rPr>
          <w:rFonts w:ascii="SimSun" w:hAnsi="SimSun" w:eastAsia="SimSun" w:cs="SimSun"/>
          <w:sz w:val="24"/>
          <w:szCs w:val="24"/>
          <w:spacing w:val="-5"/>
        </w:rPr>
        <w:t>低山丘陵区、丘陵区，多属于</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5"/>
        </w:rPr>
        <w:t>HCO</w:t>
      </w:r>
      <w:r>
        <w:rPr>
          <w:rFonts w:ascii="Times New Roman" w:hAnsi="Times New Roman" w:eastAsia="Times New Roman" w:cs="Times New Roman"/>
          <w:sz w:val="15"/>
          <w:szCs w:val="15"/>
          <w:spacing w:val="-5"/>
          <w:position w:val="-1"/>
        </w:rPr>
        <w:t>3</w:t>
      </w:r>
      <w:r>
        <w:rPr>
          <w:rFonts w:ascii="Times New Roman" w:hAnsi="Times New Roman" w:eastAsia="Times New Roman" w:cs="Times New Roman"/>
          <w:sz w:val="15"/>
          <w:szCs w:val="15"/>
          <w:spacing w:val="19"/>
          <w:position w:val="-1"/>
        </w:rPr>
        <w:t xml:space="preserve"> </w:t>
      </w:r>
      <w:r>
        <w:rPr>
          <w:rFonts w:ascii="SimSun" w:hAnsi="SimSun" w:eastAsia="SimSun" w:cs="SimSun"/>
          <w:sz w:val="24"/>
          <w:szCs w:val="24"/>
          <w:spacing w:val="-5"/>
        </w:rPr>
        <w:t>型水；丘间洼地多属于</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5"/>
        </w:rPr>
        <w:t>HCO</w:t>
      </w:r>
      <w:r>
        <w:rPr>
          <w:rFonts w:ascii="Times New Roman" w:hAnsi="Times New Roman" w:eastAsia="Times New Roman" w:cs="Times New Roman"/>
          <w:sz w:val="15"/>
          <w:szCs w:val="15"/>
          <w:spacing w:val="-5"/>
          <w:position w:val="-1"/>
        </w:rPr>
        <w:t>3  </w:t>
      </w:r>
      <w:r>
        <w:rPr>
          <w:rFonts w:ascii="SimSun" w:hAnsi="SimSun" w:eastAsia="SimSun" w:cs="SimSun"/>
          <w:sz w:val="24"/>
          <w:szCs w:val="24"/>
          <w:spacing w:val="-5"/>
        </w:rPr>
        <w:t>·</w:t>
      </w:r>
      <w:r>
        <w:rPr>
          <w:rFonts w:ascii="Times New Roman" w:hAnsi="Times New Roman" w:eastAsia="Times New Roman" w:cs="Times New Roman"/>
          <w:sz w:val="24"/>
          <w:szCs w:val="24"/>
          <w:spacing w:val="-5"/>
        </w:rPr>
        <w:t>Cl</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型水；局部</w:t>
      </w:r>
      <w:r>
        <w:rPr>
          <w:rFonts w:ascii="SimSun" w:hAnsi="SimSun" w:eastAsia="SimSun" w:cs="SimSun"/>
          <w:sz w:val="24"/>
          <w:szCs w:val="24"/>
        </w:rPr>
        <w:t xml:space="preserve"> </w:t>
      </w:r>
      <w:r>
        <w:rPr>
          <w:rFonts w:ascii="SimSun" w:hAnsi="SimSun" w:eastAsia="SimSun" w:cs="SimSun"/>
          <w:sz w:val="24"/>
          <w:szCs w:val="24"/>
          <w:spacing w:val="-6"/>
        </w:rPr>
        <w:t>低洼地带属于</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6"/>
        </w:rPr>
        <w:t>Cl</w:t>
      </w:r>
      <w:r>
        <w:rPr>
          <w:rFonts w:ascii="Times New Roman" w:hAnsi="Times New Roman" w:eastAsia="Times New Roman" w:cs="Times New Roman"/>
          <w:sz w:val="24"/>
          <w:szCs w:val="24"/>
          <w:spacing w:val="38"/>
        </w:rPr>
        <w:t xml:space="preserve"> </w:t>
      </w:r>
      <w:r>
        <w:rPr>
          <w:rFonts w:ascii="SimSun" w:hAnsi="SimSun" w:eastAsia="SimSun" w:cs="SimSun"/>
          <w:sz w:val="24"/>
          <w:szCs w:val="24"/>
          <w:spacing w:val="-6"/>
        </w:rPr>
        <w:t>·</w:t>
      </w:r>
      <w:r>
        <w:rPr>
          <w:rFonts w:ascii="Times New Roman" w:hAnsi="Times New Roman" w:eastAsia="Times New Roman" w:cs="Times New Roman"/>
          <w:sz w:val="24"/>
          <w:szCs w:val="24"/>
          <w:spacing w:val="-6"/>
        </w:rPr>
        <w:t>HCO</w:t>
      </w:r>
      <w:r>
        <w:rPr>
          <w:rFonts w:ascii="Times New Roman" w:hAnsi="Times New Roman" w:eastAsia="Times New Roman" w:cs="Times New Roman"/>
          <w:sz w:val="15"/>
          <w:szCs w:val="15"/>
          <w:spacing w:val="-6"/>
          <w:position w:val="-1"/>
        </w:rPr>
        <w:t>3</w:t>
      </w:r>
      <w:r>
        <w:rPr>
          <w:rFonts w:ascii="Times New Roman" w:hAnsi="Times New Roman" w:eastAsia="Times New Roman" w:cs="Times New Roman"/>
          <w:sz w:val="15"/>
          <w:szCs w:val="15"/>
          <w:spacing w:val="19"/>
          <w:position w:val="-1"/>
        </w:rPr>
        <w:t xml:space="preserve"> </w:t>
      </w:r>
      <w:r>
        <w:rPr>
          <w:rFonts w:ascii="SimSun" w:hAnsi="SimSun" w:eastAsia="SimSun" w:cs="SimSun"/>
          <w:sz w:val="24"/>
          <w:szCs w:val="24"/>
          <w:spacing w:val="-6"/>
        </w:rPr>
        <w:t>或</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6"/>
        </w:rPr>
        <w:t>Cl</w:t>
      </w:r>
      <w:r>
        <w:rPr>
          <w:rFonts w:ascii="Times New Roman" w:hAnsi="Times New Roman" w:eastAsia="Times New Roman" w:cs="Times New Roman"/>
          <w:sz w:val="24"/>
          <w:szCs w:val="24"/>
          <w:spacing w:val="35"/>
          <w:w w:val="101"/>
        </w:rPr>
        <w:t xml:space="preserve"> </w:t>
      </w:r>
      <w:r>
        <w:rPr>
          <w:rFonts w:ascii="SimSun" w:hAnsi="SimSun" w:eastAsia="SimSun" w:cs="SimSun"/>
          <w:sz w:val="24"/>
          <w:szCs w:val="24"/>
          <w:spacing w:val="-34"/>
        </w:rPr>
        <w:t>·</w:t>
      </w:r>
      <w:r>
        <w:rPr>
          <w:rFonts w:ascii="SimSun" w:hAnsi="SimSun" w:eastAsia="SimSun" w:cs="SimSun"/>
          <w:sz w:val="24"/>
          <w:szCs w:val="24"/>
          <w:spacing w:val="-101"/>
        </w:rPr>
        <w:t xml:space="preserve"> </w:t>
      </w:r>
      <w:r>
        <w:rPr>
          <w:rFonts w:ascii="Times New Roman" w:hAnsi="Times New Roman" w:eastAsia="Times New Roman" w:cs="Times New Roman"/>
          <w:sz w:val="24"/>
          <w:szCs w:val="24"/>
          <w:spacing w:val="-34"/>
        </w:rPr>
        <w:t>SO</w:t>
      </w:r>
      <w:r>
        <w:rPr>
          <w:rFonts w:ascii="Times New Roman" w:hAnsi="Times New Roman" w:eastAsia="Times New Roman" w:cs="Times New Roman"/>
          <w:sz w:val="15"/>
          <w:szCs w:val="15"/>
          <w:spacing w:val="-3"/>
          <w:position w:val="-1"/>
        </w:rPr>
        <w:t>4</w:t>
      </w:r>
      <w:r>
        <w:rPr>
          <w:rFonts w:ascii="Times New Roman" w:hAnsi="Times New Roman" w:eastAsia="Times New Roman" w:cs="Times New Roman"/>
          <w:sz w:val="15"/>
          <w:szCs w:val="15"/>
          <w:spacing w:val="24"/>
          <w:w w:val="101"/>
          <w:position w:val="-1"/>
        </w:rPr>
        <w:t xml:space="preserve"> </w:t>
      </w:r>
      <w:r>
        <w:rPr>
          <w:rFonts w:ascii="SimSun" w:hAnsi="SimSun" w:eastAsia="SimSun" w:cs="SimSun"/>
          <w:sz w:val="24"/>
          <w:szCs w:val="24"/>
          <w:spacing w:val="-3"/>
        </w:rPr>
        <w:t>型水。阳离子以</w:t>
      </w:r>
      <w:r>
        <w:rPr>
          <w:rFonts w:ascii="SimSun" w:hAnsi="SimSun" w:eastAsia="SimSun" w:cs="SimSun"/>
          <w:sz w:val="24"/>
          <w:szCs w:val="24"/>
          <w:spacing w:val="-61"/>
        </w:rPr>
        <w:t xml:space="preserve"> </w:t>
      </w:r>
      <w:r>
        <w:rPr>
          <w:rFonts w:ascii="Times New Roman" w:hAnsi="Times New Roman" w:eastAsia="Times New Roman" w:cs="Times New Roman"/>
          <w:sz w:val="24"/>
          <w:szCs w:val="24"/>
          <w:spacing w:val="-3"/>
        </w:rPr>
        <w:t>Na</w:t>
      </w:r>
      <w:r>
        <w:rPr>
          <w:rFonts w:ascii="Times New Roman" w:hAnsi="Times New Roman" w:eastAsia="Times New Roman" w:cs="Times New Roman"/>
          <w:sz w:val="24"/>
          <w:szCs w:val="24"/>
          <w:spacing w:val="39"/>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Mg</w:t>
      </w:r>
      <w:r>
        <w:rPr>
          <w:rFonts w:ascii="Times New Roman" w:hAnsi="Times New Roman" w:eastAsia="Times New Roman" w:cs="Times New Roman"/>
          <w:sz w:val="24"/>
          <w:szCs w:val="24"/>
          <w:spacing w:val="21"/>
          <w:w w:val="101"/>
        </w:rPr>
        <w:t xml:space="preserve"> </w:t>
      </w:r>
      <w:r>
        <w:rPr>
          <w:rFonts w:ascii="SimSun" w:hAnsi="SimSun" w:eastAsia="SimSun" w:cs="SimSun"/>
          <w:sz w:val="24"/>
          <w:szCs w:val="24"/>
          <w:spacing w:val="-3"/>
        </w:rPr>
        <w:t>型水为主，其次是</w:t>
      </w:r>
      <w:r>
        <w:rPr>
          <w:rFonts w:ascii="SimSun" w:hAnsi="SimSun" w:eastAsia="SimSun" w:cs="SimSun"/>
          <w:sz w:val="24"/>
          <w:szCs w:val="24"/>
        </w:rPr>
        <w:t xml:space="preserve"> </w:t>
      </w:r>
      <w:r>
        <w:rPr>
          <w:rFonts w:ascii="Times New Roman" w:hAnsi="Times New Roman" w:eastAsia="Times New Roman" w:cs="Times New Roman"/>
          <w:sz w:val="24"/>
          <w:szCs w:val="24"/>
          <w:spacing w:val="-4"/>
        </w:rPr>
        <w:t>Ca</w:t>
      </w:r>
      <w:r>
        <w:rPr>
          <w:rFonts w:ascii="SimSun" w:hAnsi="SimSun" w:eastAsia="SimSun" w:cs="SimSun"/>
          <w:sz w:val="24"/>
          <w:szCs w:val="24"/>
          <w:spacing w:val="-4"/>
        </w:rPr>
        <w:t>·</w:t>
      </w:r>
      <w:r>
        <w:rPr>
          <w:rFonts w:ascii="Times New Roman" w:hAnsi="Times New Roman" w:eastAsia="Times New Roman" w:cs="Times New Roman"/>
          <w:sz w:val="24"/>
          <w:szCs w:val="24"/>
          <w:spacing w:val="-4"/>
        </w:rPr>
        <w:t>Mg </w:t>
      </w:r>
      <w:r>
        <w:rPr>
          <w:rFonts w:ascii="SimSun" w:hAnsi="SimSun" w:eastAsia="SimSun" w:cs="SimSun"/>
          <w:sz w:val="24"/>
          <w:szCs w:val="24"/>
          <w:spacing w:val="-4"/>
        </w:rPr>
        <w:t>或</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4"/>
        </w:rPr>
        <w:t>Ca</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Na</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4"/>
        </w:rPr>
        <w:t>型水，反映了水化学受岩性的影响。评价区内火山岩和侵入岩</w:t>
      </w:r>
      <w:r>
        <w:rPr>
          <w:rFonts w:ascii="SimSun" w:hAnsi="SimSun" w:eastAsia="SimSun" w:cs="SimSun"/>
          <w:sz w:val="24"/>
          <w:szCs w:val="24"/>
        </w:rPr>
        <w:t xml:space="preserve"> </w:t>
      </w:r>
      <w:r>
        <w:rPr>
          <w:rFonts w:ascii="SimSun" w:hAnsi="SimSun" w:eastAsia="SimSun" w:cs="SimSun"/>
          <w:sz w:val="24"/>
          <w:szCs w:val="24"/>
          <w:spacing w:val="1"/>
        </w:rPr>
        <w:t>较多，地下水溶解火成岩中长石矿物的</w:t>
      </w:r>
      <w:r>
        <w:rPr>
          <w:rFonts w:ascii="SimSun" w:hAnsi="SimSun" w:eastAsia="SimSun" w:cs="SimSun"/>
          <w:sz w:val="24"/>
          <w:szCs w:val="24"/>
          <w:spacing w:val="-63"/>
        </w:rPr>
        <w:t xml:space="preserve"> </w:t>
      </w:r>
      <w:r>
        <w:rPr>
          <w:rFonts w:ascii="Times New Roman" w:hAnsi="Times New Roman" w:eastAsia="Times New Roman" w:cs="Times New Roman"/>
          <w:sz w:val="24"/>
          <w:szCs w:val="24"/>
        </w:rPr>
        <w:t>Na</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离子，因此</w:t>
      </w:r>
      <w:r>
        <w:rPr>
          <w:rFonts w:ascii="SimSun" w:hAnsi="SimSun" w:eastAsia="SimSun" w:cs="SimSun"/>
          <w:sz w:val="24"/>
          <w:szCs w:val="24"/>
          <w:spacing w:val="-63"/>
        </w:rPr>
        <w:t xml:space="preserve"> </w:t>
      </w:r>
      <w:r>
        <w:rPr>
          <w:rFonts w:ascii="Times New Roman" w:hAnsi="Times New Roman" w:eastAsia="Times New Roman" w:cs="Times New Roman"/>
          <w:sz w:val="24"/>
          <w:szCs w:val="24"/>
        </w:rPr>
        <w:t>Na</w:t>
      </w:r>
      <w:r>
        <w:rPr>
          <w:rFonts w:ascii="Times New Roman" w:hAnsi="Times New Roman" w:eastAsia="Times New Roman" w:cs="Times New Roman"/>
          <w:sz w:val="24"/>
          <w:szCs w:val="24"/>
          <w:spacing w:val="1"/>
        </w:rPr>
        <w:t xml:space="preserve"> </w:t>
      </w:r>
      <w:r>
        <w:rPr>
          <w:rFonts w:ascii="SimSun" w:hAnsi="SimSun" w:eastAsia="SimSun" w:cs="SimSun"/>
          <w:sz w:val="24"/>
          <w:szCs w:val="24"/>
        </w:rPr>
        <w:t>离子含量较高。区域内 </w:t>
      </w:r>
      <w:r>
        <w:rPr>
          <w:rFonts w:ascii="SimSun" w:hAnsi="SimSun" w:eastAsia="SimSun" w:cs="SimSun"/>
          <w:sz w:val="24"/>
          <w:szCs w:val="24"/>
          <w:spacing w:val="-2"/>
        </w:rPr>
        <w:t>燕山侵入岩内有萤石矿脉，地下水溶解了岩石矿脉中的氟、钙，使得地下水含氟、</w:t>
      </w:r>
      <w:r>
        <w:rPr>
          <w:rFonts w:ascii="SimSun" w:hAnsi="SimSun" w:eastAsia="SimSun" w:cs="SimSun"/>
          <w:sz w:val="24"/>
          <w:szCs w:val="24"/>
          <w:spacing w:val="10"/>
        </w:rPr>
        <w:t xml:space="preserve"> </w:t>
      </w:r>
      <w:r>
        <w:rPr>
          <w:rFonts w:ascii="SimSun" w:hAnsi="SimSun" w:eastAsia="SimSun" w:cs="SimSun"/>
          <w:sz w:val="24"/>
          <w:szCs w:val="24"/>
          <w:spacing w:val="3"/>
        </w:rPr>
        <w:t>总硬度偏高。根据《正镶白旗地下水（饮用水源）环境本底调查分析</w:t>
      </w:r>
      <w:r>
        <w:rPr>
          <w:rFonts w:ascii="SimSun" w:hAnsi="SimSun" w:eastAsia="SimSun" w:cs="SimSun"/>
          <w:sz w:val="24"/>
          <w:szCs w:val="24"/>
          <w:spacing w:val="2"/>
        </w:rPr>
        <w:t>报告》，氟</w:t>
      </w:r>
      <w:r>
        <w:rPr>
          <w:rFonts w:ascii="SimSun" w:hAnsi="SimSun" w:eastAsia="SimSun" w:cs="SimSun"/>
          <w:sz w:val="24"/>
          <w:szCs w:val="24"/>
        </w:rPr>
        <w:t xml:space="preserve"> </w:t>
      </w:r>
      <w:r>
        <w:rPr>
          <w:rFonts w:ascii="SimSun" w:hAnsi="SimSun" w:eastAsia="SimSun" w:cs="SimSun"/>
          <w:sz w:val="24"/>
          <w:szCs w:val="24"/>
          <w:spacing w:val="-1"/>
        </w:rPr>
        <w:t>化物、钠、氯化物、溶解性总固体为该区域本底值。</w:t>
      </w:r>
    </w:p>
    <w:p>
      <w:pPr>
        <w:ind w:left="9" w:right="183" w:firstLine="482"/>
        <w:spacing w:before="3" w:line="359" w:lineRule="auto"/>
        <w:jc w:val="both"/>
        <w:rPr>
          <w:rFonts w:ascii="SimSun" w:hAnsi="SimSun" w:eastAsia="SimSun" w:cs="SimSun"/>
          <w:sz w:val="24"/>
          <w:szCs w:val="24"/>
        </w:rPr>
      </w:pPr>
      <w:r>
        <w:rPr>
          <w:rFonts w:ascii="SimSun" w:hAnsi="SimSun" w:eastAsia="SimSun" w:cs="SimSun"/>
          <w:sz w:val="24"/>
          <w:szCs w:val="24"/>
        </w:rPr>
        <w:t>综上所述，评价区内硫酸盐、氯化物、钠、</w:t>
      </w:r>
      <w:r>
        <w:rPr>
          <w:rFonts w:ascii="SimSun" w:hAnsi="SimSun" w:eastAsia="SimSun" w:cs="SimSun"/>
          <w:sz w:val="24"/>
          <w:szCs w:val="24"/>
          <w:spacing w:val="-1"/>
        </w:rPr>
        <w:t>总硬度及溶解性总固体、氟化物</w:t>
      </w:r>
      <w:r>
        <w:rPr>
          <w:rFonts w:ascii="SimSun" w:hAnsi="SimSun" w:eastAsia="SimSun" w:cs="SimSun"/>
          <w:sz w:val="24"/>
          <w:szCs w:val="24"/>
        </w:rPr>
        <w:t xml:space="preserve"> </w:t>
      </w:r>
      <w:r>
        <w:rPr>
          <w:rFonts w:ascii="SimSun" w:hAnsi="SimSun" w:eastAsia="SimSun" w:cs="SimSun"/>
          <w:sz w:val="24"/>
          <w:szCs w:val="24"/>
        </w:rPr>
        <w:t>等超标项目在地下水中的富集是长期地质作用和地球化</w:t>
      </w:r>
      <w:r>
        <w:rPr>
          <w:rFonts w:ascii="SimSun" w:hAnsi="SimSun" w:eastAsia="SimSun" w:cs="SimSun"/>
          <w:sz w:val="24"/>
          <w:szCs w:val="24"/>
          <w:spacing w:val="-1"/>
        </w:rPr>
        <w:t>学演变的结果，其主要受</w:t>
      </w:r>
      <w:r>
        <w:rPr>
          <w:rFonts w:ascii="SimSun" w:hAnsi="SimSun" w:eastAsia="SimSun" w:cs="SimSun"/>
          <w:sz w:val="24"/>
          <w:szCs w:val="24"/>
        </w:rPr>
        <w:t xml:space="preserve"> </w:t>
      </w:r>
      <w:r>
        <w:rPr>
          <w:rFonts w:ascii="SimSun" w:hAnsi="SimSun" w:eastAsia="SimSun" w:cs="SimSun"/>
          <w:sz w:val="24"/>
          <w:szCs w:val="24"/>
        </w:rPr>
        <w:t>不同的气候、地形地貌、岩土类型、水文地质和水文地</w:t>
      </w:r>
      <w:r>
        <w:rPr>
          <w:rFonts w:ascii="SimSun" w:hAnsi="SimSun" w:eastAsia="SimSun" w:cs="SimSun"/>
          <w:sz w:val="24"/>
          <w:szCs w:val="24"/>
          <w:spacing w:val="-1"/>
        </w:rPr>
        <w:t>球化学等自然地理及地质</w:t>
      </w:r>
      <w:r>
        <w:rPr>
          <w:rFonts w:ascii="SimSun" w:hAnsi="SimSun" w:eastAsia="SimSun" w:cs="SimSun"/>
          <w:sz w:val="24"/>
          <w:szCs w:val="24"/>
        </w:rPr>
        <w:t xml:space="preserve"> </w:t>
      </w:r>
      <w:r>
        <w:rPr>
          <w:rFonts w:ascii="SimSun" w:hAnsi="SimSun" w:eastAsia="SimSun" w:cs="SimSun"/>
          <w:sz w:val="24"/>
          <w:szCs w:val="24"/>
          <w:spacing w:val="-1"/>
        </w:rPr>
        <w:t>环境因素的影响，非人类社会活动影响。</w:t>
      </w:r>
    </w:p>
    <w:p>
      <w:pPr>
        <w:ind w:left="4" w:right="80" w:firstLine="485"/>
        <w:spacing w:line="379" w:lineRule="auto"/>
        <w:rPr>
          <w:rFonts w:ascii="SimSun" w:hAnsi="SimSun" w:eastAsia="SimSun" w:cs="SimSun"/>
          <w:sz w:val="24"/>
          <w:szCs w:val="24"/>
        </w:rPr>
      </w:pPr>
      <w:r>
        <w:rPr>
          <w:rFonts w:ascii="SimSun" w:hAnsi="SimSun" w:eastAsia="SimSun" w:cs="SimSun"/>
          <w:sz w:val="24"/>
          <w:szCs w:val="24"/>
          <w:spacing w:val="46"/>
        </w:rPr>
        <w:t>根据地下水现状检测接测结果得出评价区地下水化学类型主要为</w:t>
      </w:r>
      <w:r>
        <w:rPr>
          <w:rFonts w:ascii="SimSun" w:hAnsi="SimSun" w:eastAsia="SimSun" w:cs="SimSun"/>
          <w:sz w:val="24"/>
          <w:szCs w:val="24"/>
          <w:spacing w:val="4"/>
        </w:rPr>
        <w:t xml:space="preserve"> </w:t>
      </w:r>
      <w:r>
        <w:rPr>
          <w:rFonts w:ascii="Times New Roman" w:hAnsi="Times New Roman" w:eastAsia="Times New Roman" w:cs="Times New Roman"/>
          <w:sz w:val="24"/>
          <w:szCs w:val="24"/>
          <w:spacing w:val="-2"/>
        </w:rPr>
        <w:t>HCO</w:t>
      </w:r>
      <w:r>
        <w:rPr>
          <w:rFonts w:ascii="Times New Roman" w:hAnsi="Times New Roman" w:eastAsia="Times New Roman" w:cs="Times New Roman"/>
          <w:sz w:val="15"/>
          <w:szCs w:val="15"/>
          <w:spacing w:val="-2"/>
        </w:rPr>
        <w:t>3</w:t>
      </w:r>
      <w:r>
        <w:rPr>
          <w:rFonts w:ascii="Times New Roman" w:hAnsi="Times New Roman" w:eastAsia="Times New Roman" w:cs="Times New Roman"/>
          <w:sz w:val="24"/>
          <w:szCs w:val="24"/>
          <w:spacing w:val="-2"/>
        </w:rPr>
        <w:t>-Ca·Na   </w:t>
      </w:r>
      <w:r>
        <w:rPr>
          <w:rFonts w:ascii="SimSun" w:hAnsi="SimSun" w:eastAsia="SimSun" w:cs="SimSun"/>
          <w:sz w:val="24"/>
          <w:szCs w:val="24"/>
          <w:spacing w:val="-2"/>
        </w:rPr>
        <w:t>、  </w:t>
      </w:r>
      <w:r>
        <w:rPr>
          <w:rFonts w:ascii="Times New Roman" w:hAnsi="Times New Roman" w:eastAsia="Times New Roman" w:cs="Times New Roman"/>
          <w:sz w:val="24"/>
          <w:szCs w:val="24"/>
          <w:spacing w:val="-2"/>
        </w:rPr>
        <w:t>Cl·HCO</w:t>
      </w:r>
      <w:r>
        <w:rPr>
          <w:rFonts w:ascii="Times New Roman" w:hAnsi="Times New Roman" w:eastAsia="Times New Roman" w:cs="Times New Roman"/>
          <w:sz w:val="15"/>
          <w:szCs w:val="15"/>
          <w:spacing w:val="-2"/>
        </w:rPr>
        <w:t>3</w:t>
      </w:r>
      <w:r>
        <w:rPr>
          <w:rFonts w:ascii="Times New Roman" w:hAnsi="Times New Roman" w:eastAsia="Times New Roman" w:cs="Times New Roman"/>
          <w:sz w:val="24"/>
          <w:szCs w:val="24"/>
          <w:spacing w:val="-2"/>
        </w:rPr>
        <w:t>-Na·Ca   </w:t>
      </w:r>
      <w:r>
        <w:rPr>
          <w:rFonts w:ascii="SimSun" w:hAnsi="SimSun" w:eastAsia="SimSun" w:cs="SimSun"/>
          <w:sz w:val="24"/>
          <w:szCs w:val="24"/>
          <w:spacing w:val="-2"/>
        </w:rPr>
        <w:t>、  </w:t>
      </w:r>
      <w:r>
        <w:rPr>
          <w:rFonts w:ascii="Times New Roman" w:hAnsi="Times New Roman" w:eastAsia="Times New Roman" w:cs="Times New Roman"/>
          <w:sz w:val="24"/>
          <w:szCs w:val="24"/>
          <w:spacing w:val="-2"/>
        </w:rPr>
        <w:t>Cl·HCO</w:t>
      </w:r>
      <w:r>
        <w:rPr>
          <w:rFonts w:ascii="Times New Roman" w:hAnsi="Times New Roman" w:eastAsia="Times New Roman" w:cs="Times New Roman"/>
          <w:sz w:val="15"/>
          <w:szCs w:val="15"/>
          <w:spacing w:val="-2"/>
        </w:rPr>
        <w:t>3</w:t>
      </w:r>
      <w:r>
        <w:rPr>
          <w:rFonts w:ascii="Times New Roman" w:hAnsi="Times New Roman" w:eastAsia="Times New Roman" w:cs="Times New Roman"/>
          <w:sz w:val="24"/>
          <w:szCs w:val="24"/>
          <w:spacing w:val="-2"/>
        </w:rPr>
        <w:t>-Ca·Na   </w:t>
      </w:r>
      <w:r>
        <w:rPr>
          <w:rFonts w:ascii="SimSun" w:hAnsi="SimSun" w:eastAsia="SimSun" w:cs="SimSun"/>
          <w:sz w:val="24"/>
          <w:szCs w:val="24"/>
          <w:spacing w:val="-2"/>
        </w:rPr>
        <w:t>、  </w:t>
      </w:r>
      <w:r>
        <w:rPr>
          <w:rFonts w:ascii="Times New Roman" w:hAnsi="Times New Roman" w:eastAsia="Times New Roman" w:cs="Times New Roman"/>
          <w:sz w:val="24"/>
          <w:szCs w:val="24"/>
          <w:spacing w:val="-2"/>
        </w:rPr>
        <w:t>Cl·HCO</w:t>
      </w:r>
      <w:r>
        <w:rPr>
          <w:rFonts w:ascii="Times New Roman" w:hAnsi="Times New Roman" w:eastAsia="Times New Roman" w:cs="Times New Roman"/>
          <w:sz w:val="15"/>
          <w:szCs w:val="15"/>
          <w:spacing w:val="-2"/>
          <w:position w:val="-1"/>
        </w:rPr>
        <w:t>3</w:t>
      </w:r>
      <w:r>
        <w:rPr>
          <w:rFonts w:ascii="Times New Roman" w:hAnsi="Times New Roman" w:eastAsia="Times New Roman" w:cs="Times New Roman"/>
          <w:sz w:val="24"/>
          <w:szCs w:val="24"/>
          <w:spacing w:val="-2"/>
        </w:rPr>
        <w:t>·SO</w:t>
      </w:r>
      <w:r>
        <w:rPr>
          <w:rFonts w:ascii="Times New Roman" w:hAnsi="Times New Roman" w:eastAsia="Times New Roman" w:cs="Times New Roman"/>
          <w:sz w:val="15"/>
          <w:szCs w:val="15"/>
          <w:spacing w:val="-2"/>
        </w:rPr>
        <w:t>4</w:t>
      </w:r>
      <w:r>
        <w:rPr>
          <w:rFonts w:ascii="Times New Roman" w:hAnsi="Times New Roman" w:eastAsia="Times New Roman" w:cs="Times New Roman"/>
          <w:sz w:val="24"/>
          <w:szCs w:val="24"/>
          <w:spacing w:val="-2"/>
        </w:rPr>
        <w:t>-Na </w:t>
      </w:r>
      <w:r>
        <w:rPr>
          <w:rFonts w:ascii="Times New Roman" w:hAnsi="Times New Roman" w:eastAsia="Times New Roman" w:cs="Times New Roman"/>
          <w:sz w:val="24"/>
          <w:szCs w:val="24"/>
          <w:spacing w:val="-3"/>
        </w:rPr>
        <w:t xml:space="preserve">   </w:t>
      </w:r>
      <w:r>
        <w:rPr>
          <w:rFonts w:ascii="SimSun" w:hAnsi="SimSun" w:eastAsia="SimSun" w:cs="SimSun"/>
          <w:sz w:val="24"/>
          <w:szCs w:val="24"/>
          <w:spacing w:val="-3"/>
        </w:rPr>
        <w:t>、</w:t>
      </w:r>
      <w:r>
        <w:rPr>
          <w:rFonts w:ascii="SimSun" w:hAnsi="SimSun" w:eastAsia="SimSun" w:cs="SimSun"/>
          <w:sz w:val="24"/>
          <w:szCs w:val="24"/>
        </w:rPr>
        <w:t xml:space="preserve"> </w:t>
      </w:r>
      <w:r>
        <w:rPr>
          <w:rFonts w:ascii="Times New Roman" w:hAnsi="Times New Roman" w:eastAsia="Times New Roman" w:cs="Times New Roman"/>
          <w:sz w:val="24"/>
          <w:szCs w:val="24"/>
          <w:spacing w:val="-1"/>
        </w:rPr>
        <w:t>Cl·HCO</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24"/>
          <w:szCs w:val="24"/>
          <w:spacing w:val="-1"/>
        </w:rPr>
        <w:t>·SO</w:t>
      </w:r>
      <w:r>
        <w:rPr>
          <w:rFonts w:ascii="Times New Roman" w:hAnsi="Times New Roman" w:eastAsia="Times New Roman" w:cs="Times New Roman"/>
          <w:sz w:val="15"/>
          <w:szCs w:val="15"/>
          <w:spacing w:val="-1"/>
        </w:rPr>
        <w:t>4</w:t>
      </w:r>
      <w:r>
        <w:rPr>
          <w:rFonts w:ascii="Times New Roman" w:hAnsi="Times New Roman" w:eastAsia="Times New Roman" w:cs="Times New Roman"/>
          <w:sz w:val="24"/>
          <w:szCs w:val="24"/>
          <w:spacing w:val="-1"/>
        </w:rPr>
        <w:t>-Na·Ca</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1"/>
        </w:rPr>
        <w:t>型。</w:t>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ind w:left="7"/>
        <w:spacing w:before="62" w:line="227" w:lineRule="auto"/>
        <w:rPr>
          <w:rFonts w:ascii="SimSun" w:hAnsi="SimSun" w:eastAsia="SimSun" w:cs="SimSun"/>
          <w:sz w:val="19"/>
          <w:szCs w:val="19"/>
        </w:rPr>
      </w:pPr>
      <w:r>
        <w:pict>
          <v:shape id="_x0000_s626" style="position:absolute;margin-left:159.33pt;margin-top:2.11337pt;mso-position-vertical-relative:text;mso-position-horizontal-relative:text;width:61pt;height:13.75pt;z-index:251936768;"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rPr>
                    <w:t>任公司</w:t>
                  </w:r>
                  <w:r>
                    <w:rPr>
                      <w:rFonts w:ascii="SimSun" w:hAnsi="SimSun" w:eastAsia="SimSun" w:cs="SimSun"/>
                      <w:sz w:val="19"/>
                      <w:szCs w:val="19"/>
                      <w:spacing w:val="18"/>
                    </w:rPr>
                    <w:t xml:space="preserve">   </w:t>
                  </w:r>
                  <w:r>
                    <w:rPr>
                      <w:rFonts w:ascii="Times New Roman" w:hAnsi="Times New Roman" w:eastAsia="Times New Roman" w:cs="Times New Roman"/>
                      <w:sz w:val="18"/>
                      <w:szCs w:val="18"/>
                      <w:position w:val="2"/>
                    </w:rPr>
                    <w:t>127</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1"/>
          <w:pgSz w:w="11907" w:h="16840"/>
          <w:pgMar w:top="1567" w:right="1621" w:bottom="400" w:left="1701" w:header="1221" w:footer="0" w:gutter="0"/>
        </w:sectPr>
        <w:rPr>
          <w:rFonts w:ascii="SimSun" w:hAnsi="SimSun" w:eastAsia="SimSun" w:cs="SimSun"/>
          <w:sz w:val="19"/>
          <w:szCs w:val="19"/>
        </w:rPr>
      </w:pPr>
    </w:p>
    <w:p>
      <w:pPr>
        <w:ind w:left="4646"/>
        <w:spacing w:before="168" w:line="212" w:lineRule="auto"/>
        <w:rPr>
          <w:rFonts w:ascii="SimSun" w:hAnsi="SimSun" w:eastAsia="SimSun" w:cs="SimSun"/>
          <w:sz w:val="24"/>
          <w:szCs w:val="24"/>
        </w:rPr>
      </w:pPr>
      <w:r>
        <w:pict>
          <v:shape id="_x0000_s630" style="position:absolute;margin-left:85.05pt;margin-top:78.87pt;mso-position-vertical-relative:page;mso-position-horizontal-relative:page;width:671.95pt;height:0.75pt;z-index:251938816;" o:allowincell="f" fillcolor="#000000" filled="true" stroked="false" coordsize="13439,15" coordorigin="0,0" path="m,l13438,0l13438,14l0,14l0,0xe"/>
        </w:pict>
      </w: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4.2-8        </w:t>
      </w:r>
      <w:r>
        <w:rPr>
          <w:rFonts w:ascii="SimSun" w:hAnsi="SimSun" w:eastAsia="SimSun" w:cs="SimSun"/>
          <w:sz w:val="24"/>
          <w:szCs w:val="24"/>
          <w:b/>
          <w:bCs/>
          <w:spacing w:val="-2"/>
        </w:rPr>
        <w:t>地下水水质监测及评价结果</w:t>
      </w:r>
    </w:p>
    <w:tbl>
      <w:tblPr>
        <w:tblStyle w:val="TableNormal"/>
        <w:tblW w:w="1344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65"/>
        <w:gridCol w:w="1099"/>
        <w:gridCol w:w="683"/>
        <w:gridCol w:w="818"/>
        <w:gridCol w:w="635"/>
        <w:gridCol w:w="810"/>
        <w:gridCol w:w="622"/>
        <w:gridCol w:w="865"/>
        <w:gridCol w:w="608"/>
        <w:gridCol w:w="810"/>
        <w:gridCol w:w="611"/>
        <w:gridCol w:w="919"/>
        <w:gridCol w:w="654"/>
        <w:gridCol w:w="852"/>
        <w:gridCol w:w="632"/>
        <w:gridCol w:w="824"/>
        <w:gridCol w:w="637"/>
      </w:tblGrid>
      <w:tr>
        <w:trPr>
          <w:trHeight w:val="293" w:hRule="atLeast"/>
        </w:trPr>
        <w:tc>
          <w:tcPr>
            <w:tcW w:w="1365" w:type="dxa"/>
            <w:vAlign w:val="top"/>
            <w:vMerge w:val="restart"/>
            <w:tcBorders>
              <w:bottom w:val="nil"/>
            </w:tcBorders>
          </w:tcPr>
          <w:p>
            <w:pPr>
              <w:spacing w:line="251" w:lineRule="auto"/>
              <w:rPr>
                <w:rFonts w:ascii="Arial"/>
                <w:sz w:val="21"/>
              </w:rPr>
            </w:pPr>
            <w:r/>
          </w:p>
          <w:p>
            <w:pPr>
              <w:pStyle w:val="TableText"/>
              <w:ind w:left="269"/>
              <w:spacing w:before="65" w:line="228" w:lineRule="auto"/>
              <w:rPr/>
            </w:pPr>
            <w:r>
              <w:rPr>
                <w:spacing w:val="7"/>
              </w:rPr>
              <w:t>监测项目</w:t>
            </w:r>
          </w:p>
        </w:tc>
        <w:tc>
          <w:tcPr>
            <w:tcW w:w="1099" w:type="dxa"/>
            <w:vAlign w:val="top"/>
            <w:vMerge w:val="restart"/>
            <w:tcBorders>
              <w:bottom w:val="nil"/>
            </w:tcBorders>
          </w:tcPr>
          <w:p>
            <w:pPr>
              <w:spacing w:line="251" w:lineRule="auto"/>
              <w:rPr>
                <w:rFonts w:ascii="Arial"/>
                <w:sz w:val="21"/>
              </w:rPr>
            </w:pPr>
            <w:r/>
          </w:p>
          <w:p>
            <w:pPr>
              <w:pStyle w:val="TableText"/>
              <w:ind w:left="345"/>
              <w:spacing w:before="65" w:line="228" w:lineRule="auto"/>
              <w:rPr/>
            </w:pPr>
            <w:r>
              <w:rPr>
                <w:spacing w:val="3"/>
              </w:rPr>
              <w:t>单位</w:t>
            </w:r>
          </w:p>
        </w:tc>
        <w:tc>
          <w:tcPr>
            <w:tcW w:w="683" w:type="dxa"/>
            <w:vAlign w:val="top"/>
            <w:vMerge w:val="restart"/>
            <w:tcBorders>
              <w:bottom w:val="nil"/>
            </w:tcBorders>
          </w:tcPr>
          <w:p>
            <w:pPr>
              <w:spacing w:line="250" w:lineRule="auto"/>
              <w:rPr>
                <w:rFonts w:ascii="Arial"/>
                <w:sz w:val="21"/>
              </w:rPr>
            </w:pPr>
            <w:r/>
          </w:p>
          <w:p>
            <w:pPr>
              <w:pStyle w:val="TableText"/>
              <w:ind w:left="32"/>
              <w:spacing w:before="65" w:line="228" w:lineRule="auto"/>
              <w:rPr/>
            </w:pPr>
            <w:r>
              <w:rPr>
                <w:spacing w:val="6"/>
              </w:rPr>
              <w:t>标准值</w:t>
            </w:r>
          </w:p>
        </w:tc>
        <w:tc>
          <w:tcPr>
            <w:tcW w:w="1453" w:type="dxa"/>
            <w:vAlign w:val="top"/>
            <w:gridSpan w:val="2"/>
          </w:tcPr>
          <w:p>
            <w:pPr>
              <w:ind w:left="573"/>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S01</w:t>
            </w:r>
          </w:p>
        </w:tc>
        <w:tc>
          <w:tcPr>
            <w:tcW w:w="1432" w:type="dxa"/>
            <w:vAlign w:val="top"/>
            <w:gridSpan w:val="2"/>
          </w:tcPr>
          <w:p>
            <w:pPr>
              <w:ind w:left="562"/>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S02</w:t>
            </w:r>
          </w:p>
        </w:tc>
        <w:tc>
          <w:tcPr>
            <w:tcW w:w="1473" w:type="dxa"/>
            <w:vAlign w:val="top"/>
            <w:gridSpan w:val="2"/>
          </w:tcPr>
          <w:p>
            <w:pPr>
              <w:ind w:left="582"/>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S03</w:t>
            </w:r>
          </w:p>
        </w:tc>
        <w:tc>
          <w:tcPr>
            <w:tcW w:w="1421" w:type="dxa"/>
            <w:vAlign w:val="top"/>
            <w:gridSpan w:val="2"/>
          </w:tcPr>
          <w:p>
            <w:pPr>
              <w:ind w:left="556"/>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S05</w:t>
            </w:r>
          </w:p>
        </w:tc>
        <w:tc>
          <w:tcPr>
            <w:tcW w:w="1573" w:type="dxa"/>
            <w:vAlign w:val="top"/>
            <w:gridSpan w:val="2"/>
          </w:tcPr>
          <w:p>
            <w:pPr>
              <w:ind w:left="633"/>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S07</w:t>
            </w:r>
          </w:p>
        </w:tc>
        <w:tc>
          <w:tcPr>
            <w:tcW w:w="1484" w:type="dxa"/>
            <w:vAlign w:val="top"/>
            <w:gridSpan w:val="2"/>
          </w:tcPr>
          <w:p>
            <w:pPr>
              <w:ind w:left="591"/>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S13</w:t>
            </w:r>
          </w:p>
        </w:tc>
        <w:tc>
          <w:tcPr>
            <w:tcW w:w="1461" w:type="dxa"/>
            <w:vAlign w:val="top"/>
            <w:gridSpan w:val="2"/>
          </w:tcPr>
          <w:p>
            <w:pPr>
              <w:ind w:left="578"/>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S14</w:t>
            </w:r>
          </w:p>
        </w:tc>
      </w:tr>
      <w:tr>
        <w:trPr>
          <w:trHeight w:val="549" w:hRule="atLeast"/>
        </w:trPr>
        <w:tc>
          <w:tcPr>
            <w:tcW w:w="1365" w:type="dxa"/>
            <w:vAlign w:val="top"/>
            <w:vMerge w:val="continue"/>
            <w:tcBorders>
              <w:top w:val="nil"/>
            </w:tcBorders>
          </w:tcPr>
          <w:p>
            <w:pPr>
              <w:rPr>
                <w:rFonts w:ascii="Arial"/>
                <w:sz w:val="21"/>
              </w:rPr>
            </w:pPr>
            <w:r/>
          </w:p>
        </w:tc>
        <w:tc>
          <w:tcPr>
            <w:tcW w:w="1099" w:type="dxa"/>
            <w:vAlign w:val="top"/>
            <w:vMerge w:val="continue"/>
            <w:tcBorders>
              <w:top w:val="nil"/>
            </w:tcBorders>
          </w:tcPr>
          <w:p>
            <w:pPr>
              <w:rPr>
                <w:rFonts w:ascii="Arial"/>
                <w:sz w:val="21"/>
              </w:rPr>
            </w:pPr>
            <w:r/>
          </w:p>
        </w:tc>
        <w:tc>
          <w:tcPr>
            <w:tcW w:w="683" w:type="dxa"/>
            <w:vAlign w:val="top"/>
            <w:vMerge w:val="continue"/>
            <w:tcBorders>
              <w:top w:val="nil"/>
            </w:tcBorders>
          </w:tcPr>
          <w:p>
            <w:pPr>
              <w:rPr>
                <w:rFonts w:ascii="Arial"/>
                <w:sz w:val="21"/>
              </w:rPr>
            </w:pPr>
            <w:r/>
          </w:p>
        </w:tc>
        <w:tc>
          <w:tcPr>
            <w:tcW w:w="818" w:type="dxa"/>
            <w:vAlign w:val="top"/>
          </w:tcPr>
          <w:p>
            <w:pPr>
              <w:pStyle w:val="TableText"/>
              <w:ind w:left="98"/>
              <w:spacing w:before="167" w:line="228" w:lineRule="auto"/>
              <w:rPr/>
            </w:pPr>
            <w:r>
              <w:rPr>
                <w:spacing w:val="6"/>
              </w:rPr>
              <w:t>监测值</w:t>
            </w:r>
          </w:p>
        </w:tc>
        <w:tc>
          <w:tcPr>
            <w:tcW w:w="635" w:type="dxa"/>
            <w:vAlign w:val="top"/>
          </w:tcPr>
          <w:p>
            <w:pPr>
              <w:pStyle w:val="TableText"/>
              <w:ind w:left="113"/>
              <w:spacing w:before="31" w:line="228" w:lineRule="auto"/>
              <w:rPr/>
            </w:pPr>
            <w:r>
              <w:rPr>
                <w:spacing w:val="4"/>
              </w:rPr>
              <w:t>标准</w:t>
            </w:r>
          </w:p>
          <w:p>
            <w:pPr>
              <w:pStyle w:val="TableText"/>
              <w:ind w:left="115"/>
              <w:spacing w:before="26" w:line="216" w:lineRule="auto"/>
              <w:rPr/>
            </w:pPr>
            <w:r>
              <w:rPr>
                <w:spacing w:val="3"/>
              </w:rPr>
              <w:t>指数</w:t>
            </w:r>
          </w:p>
        </w:tc>
        <w:tc>
          <w:tcPr>
            <w:tcW w:w="810" w:type="dxa"/>
            <w:vAlign w:val="top"/>
          </w:tcPr>
          <w:p>
            <w:pPr>
              <w:pStyle w:val="TableText"/>
              <w:ind w:left="95"/>
              <w:spacing w:before="167" w:line="228" w:lineRule="auto"/>
              <w:rPr/>
            </w:pPr>
            <w:r>
              <w:rPr>
                <w:spacing w:val="6"/>
              </w:rPr>
              <w:t>监测值</w:t>
            </w:r>
          </w:p>
        </w:tc>
        <w:tc>
          <w:tcPr>
            <w:tcW w:w="622" w:type="dxa"/>
            <w:vAlign w:val="top"/>
          </w:tcPr>
          <w:p>
            <w:pPr>
              <w:pStyle w:val="TableText"/>
              <w:ind w:left="105"/>
              <w:spacing w:before="31" w:line="228" w:lineRule="auto"/>
              <w:rPr/>
            </w:pPr>
            <w:r>
              <w:rPr>
                <w:spacing w:val="4"/>
              </w:rPr>
              <w:t>标准</w:t>
            </w:r>
          </w:p>
          <w:p>
            <w:pPr>
              <w:pStyle w:val="TableText"/>
              <w:ind w:left="107"/>
              <w:spacing w:before="26" w:line="216" w:lineRule="auto"/>
              <w:rPr/>
            </w:pPr>
            <w:r>
              <w:rPr>
                <w:spacing w:val="3"/>
              </w:rPr>
              <w:t>指数</w:t>
            </w:r>
          </w:p>
        </w:tc>
        <w:tc>
          <w:tcPr>
            <w:tcW w:w="865" w:type="dxa"/>
            <w:vAlign w:val="top"/>
          </w:tcPr>
          <w:p>
            <w:pPr>
              <w:pStyle w:val="TableText"/>
              <w:ind w:left="124"/>
              <w:spacing w:before="167" w:line="228" w:lineRule="auto"/>
              <w:rPr/>
            </w:pPr>
            <w:r>
              <w:rPr>
                <w:spacing w:val="6"/>
              </w:rPr>
              <w:t>监测值</w:t>
            </w:r>
          </w:p>
        </w:tc>
        <w:tc>
          <w:tcPr>
            <w:tcW w:w="608" w:type="dxa"/>
            <w:vAlign w:val="top"/>
          </w:tcPr>
          <w:p>
            <w:pPr>
              <w:pStyle w:val="TableText"/>
              <w:ind w:left="99"/>
              <w:spacing w:before="31" w:line="228" w:lineRule="auto"/>
              <w:rPr/>
            </w:pPr>
            <w:r>
              <w:rPr>
                <w:spacing w:val="4"/>
              </w:rPr>
              <w:t>标准</w:t>
            </w:r>
          </w:p>
          <w:p>
            <w:pPr>
              <w:pStyle w:val="TableText"/>
              <w:ind w:left="101"/>
              <w:spacing w:before="26" w:line="216" w:lineRule="auto"/>
              <w:rPr/>
            </w:pPr>
            <w:r>
              <w:rPr>
                <w:spacing w:val="3"/>
              </w:rPr>
              <w:t>指数</w:t>
            </w:r>
          </w:p>
        </w:tc>
        <w:tc>
          <w:tcPr>
            <w:tcW w:w="810" w:type="dxa"/>
            <w:vAlign w:val="top"/>
          </w:tcPr>
          <w:p>
            <w:pPr>
              <w:pStyle w:val="TableText"/>
              <w:ind w:left="96"/>
              <w:spacing w:before="167" w:line="228" w:lineRule="auto"/>
              <w:rPr/>
            </w:pPr>
            <w:r>
              <w:rPr>
                <w:spacing w:val="6"/>
              </w:rPr>
              <w:t>监测值</w:t>
            </w:r>
          </w:p>
        </w:tc>
        <w:tc>
          <w:tcPr>
            <w:tcW w:w="611" w:type="dxa"/>
            <w:vAlign w:val="top"/>
          </w:tcPr>
          <w:p>
            <w:pPr>
              <w:pStyle w:val="TableText"/>
              <w:ind w:left="102"/>
              <w:spacing w:before="31" w:line="228" w:lineRule="auto"/>
              <w:rPr/>
            </w:pPr>
            <w:r>
              <w:rPr>
                <w:spacing w:val="4"/>
              </w:rPr>
              <w:t>标准</w:t>
            </w:r>
          </w:p>
          <w:p>
            <w:pPr>
              <w:pStyle w:val="TableText"/>
              <w:ind w:left="104"/>
              <w:spacing w:before="26" w:line="216" w:lineRule="auto"/>
              <w:rPr/>
            </w:pPr>
            <w:r>
              <w:rPr>
                <w:spacing w:val="3"/>
              </w:rPr>
              <w:t>指数</w:t>
            </w:r>
          </w:p>
        </w:tc>
        <w:tc>
          <w:tcPr>
            <w:tcW w:w="919" w:type="dxa"/>
            <w:vAlign w:val="top"/>
          </w:tcPr>
          <w:p>
            <w:pPr>
              <w:pStyle w:val="TableText"/>
              <w:ind w:left="151"/>
              <w:spacing w:before="167" w:line="228" w:lineRule="auto"/>
              <w:rPr/>
            </w:pPr>
            <w:r>
              <w:rPr>
                <w:spacing w:val="6"/>
              </w:rPr>
              <w:t>监测值</w:t>
            </w:r>
          </w:p>
        </w:tc>
        <w:tc>
          <w:tcPr>
            <w:tcW w:w="654" w:type="dxa"/>
            <w:vAlign w:val="top"/>
          </w:tcPr>
          <w:p>
            <w:pPr>
              <w:pStyle w:val="TableText"/>
              <w:ind w:left="19"/>
              <w:spacing w:before="31" w:line="228" w:lineRule="auto"/>
              <w:rPr/>
            </w:pPr>
            <w:r>
              <w:rPr>
                <w:spacing w:val="6"/>
              </w:rPr>
              <w:t>标准指</w:t>
            </w:r>
          </w:p>
          <w:p>
            <w:pPr>
              <w:pStyle w:val="TableText"/>
              <w:ind w:left="229"/>
              <w:spacing w:before="26" w:line="216" w:lineRule="auto"/>
              <w:rPr/>
            </w:pPr>
            <w:r>
              <w:rPr/>
              <w:t>数</w:t>
            </w:r>
          </w:p>
        </w:tc>
        <w:tc>
          <w:tcPr>
            <w:tcW w:w="852" w:type="dxa"/>
            <w:vAlign w:val="top"/>
          </w:tcPr>
          <w:p>
            <w:pPr>
              <w:pStyle w:val="TableText"/>
              <w:ind w:left="119"/>
              <w:spacing w:before="167" w:line="228" w:lineRule="auto"/>
              <w:rPr/>
            </w:pPr>
            <w:r>
              <w:rPr>
                <w:spacing w:val="6"/>
              </w:rPr>
              <w:t>监测值</w:t>
            </w:r>
          </w:p>
        </w:tc>
        <w:tc>
          <w:tcPr>
            <w:tcW w:w="632" w:type="dxa"/>
            <w:vAlign w:val="top"/>
          </w:tcPr>
          <w:p>
            <w:pPr>
              <w:pStyle w:val="TableText"/>
              <w:ind w:left="114"/>
              <w:spacing w:before="31" w:line="228" w:lineRule="auto"/>
              <w:rPr/>
            </w:pPr>
            <w:r>
              <w:rPr>
                <w:spacing w:val="4"/>
              </w:rPr>
              <w:t>标准</w:t>
            </w:r>
          </w:p>
          <w:p>
            <w:pPr>
              <w:pStyle w:val="TableText"/>
              <w:ind w:left="116"/>
              <w:spacing w:before="26" w:line="216" w:lineRule="auto"/>
              <w:rPr/>
            </w:pPr>
            <w:r>
              <w:rPr>
                <w:spacing w:val="3"/>
              </w:rPr>
              <w:t>指数</w:t>
            </w:r>
          </w:p>
        </w:tc>
        <w:tc>
          <w:tcPr>
            <w:tcW w:w="824" w:type="dxa"/>
            <w:vAlign w:val="top"/>
          </w:tcPr>
          <w:p>
            <w:pPr>
              <w:pStyle w:val="TableText"/>
              <w:ind w:left="106"/>
              <w:spacing w:before="167" w:line="228" w:lineRule="auto"/>
              <w:rPr/>
            </w:pPr>
            <w:r>
              <w:rPr>
                <w:spacing w:val="6"/>
              </w:rPr>
              <w:t>监测值</w:t>
            </w:r>
          </w:p>
        </w:tc>
        <w:tc>
          <w:tcPr>
            <w:tcW w:w="637" w:type="dxa"/>
            <w:vAlign w:val="top"/>
          </w:tcPr>
          <w:p>
            <w:pPr>
              <w:pStyle w:val="TableText"/>
              <w:ind w:left="115"/>
              <w:spacing w:before="31" w:line="228" w:lineRule="auto"/>
              <w:rPr/>
            </w:pPr>
            <w:r>
              <w:rPr>
                <w:spacing w:val="4"/>
              </w:rPr>
              <w:t>标准</w:t>
            </w:r>
          </w:p>
          <w:p>
            <w:pPr>
              <w:pStyle w:val="TableText"/>
              <w:ind w:left="117"/>
              <w:spacing w:before="26" w:line="216" w:lineRule="auto"/>
              <w:rPr/>
            </w:pPr>
            <w:r>
              <w:rPr>
                <w:spacing w:val="3"/>
              </w:rPr>
              <w:t>指数</w:t>
            </w:r>
          </w:p>
        </w:tc>
      </w:tr>
      <w:tr>
        <w:trPr>
          <w:trHeight w:val="277" w:hRule="atLeast"/>
        </w:trPr>
        <w:tc>
          <w:tcPr>
            <w:tcW w:w="1365" w:type="dxa"/>
            <w:vAlign w:val="top"/>
          </w:tcPr>
          <w:p>
            <w:pPr>
              <w:ind w:left="550"/>
              <w:spacing w:before="70"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pH</w:t>
            </w:r>
          </w:p>
        </w:tc>
        <w:tc>
          <w:tcPr>
            <w:tcW w:w="1099" w:type="dxa"/>
            <w:vAlign w:val="top"/>
          </w:tcPr>
          <w:p>
            <w:pPr>
              <w:pStyle w:val="TableText"/>
              <w:ind w:left="239"/>
              <w:spacing w:before="31" w:line="217" w:lineRule="auto"/>
              <w:rPr/>
            </w:pPr>
            <w:r>
              <w:rPr>
                <w:spacing w:val="6"/>
              </w:rPr>
              <w:t>无量纲</w:t>
            </w:r>
          </w:p>
        </w:tc>
        <w:tc>
          <w:tcPr>
            <w:tcW w:w="683" w:type="dxa"/>
            <w:vAlign w:val="top"/>
          </w:tcPr>
          <w:p>
            <w:pPr>
              <w:ind w:left="27"/>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6.5~8.5</w:t>
            </w:r>
          </w:p>
        </w:tc>
        <w:tc>
          <w:tcPr>
            <w:tcW w:w="818" w:type="dxa"/>
            <w:vAlign w:val="top"/>
          </w:tcPr>
          <w:p>
            <w:pPr>
              <w:ind w:left="282"/>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7.2</w:t>
            </w:r>
          </w:p>
        </w:tc>
        <w:tc>
          <w:tcPr>
            <w:tcW w:w="635" w:type="dxa"/>
            <w:vAlign w:val="top"/>
          </w:tcPr>
          <w:p>
            <w:pPr>
              <w:ind w:left="138"/>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0.13</w:t>
            </w:r>
          </w:p>
        </w:tc>
        <w:tc>
          <w:tcPr>
            <w:tcW w:w="810" w:type="dxa"/>
            <w:vAlign w:val="top"/>
          </w:tcPr>
          <w:p>
            <w:pPr>
              <w:ind w:left="276"/>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7.3</w:t>
            </w:r>
          </w:p>
        </w:tc>
        <w:tc>
          <w:tcPr>
            <w:tcW w:w="622" w:type="dxa"/>
            <w:vAlign w:val="top"/>
          </w:tcPr>
          <w:p>
            <w:pPr>
              <w:ind w:left="130"/>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0.20</w:t>
            </w:r>
          </w:p>
        </w:tc>
        <w:tc>
          <w:tcPr>
            <w:tcW w:w="865" w:type="dxa"/>
            <w:vAlign w:val="top"/>
          </w:tcPr>
          <w:p>
            <w:pPr>
              <w:ind w:left="305"/>
              <w:spacing w:before="70"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7.5</w:t>
            </w:r>
          </w:p>
        </w:tc>
        <w:tc>
          <w:tcPr>
            <w:tcW w:w="608" w:type="dxa"/>
            <w:vAlign w:val="top"/>
          </w:tcPr>
          <w:p>
            <w:pPr>
              <w:ind w:left="124"/>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0.33</w:t>
            </w:r>
          </w:p>
        </w:tc>
        <w:tc>
          <w:tcPr>
            <w:tcW w:w="810" w:type="dxa"/>
            <w:vAlign w:val="top"/>
          </w:tcPr>
          <w:p>
            <w:pPr>
              <w:ind w:left="277"/>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7.6</w:t>
            </w:r>
          </w:p>
        </w:tc>
        <w:tc>
          <w:tcPr>
            <w:tcW w:w="611" w:type="dxa"/>
            <w:vAlign w:val="top"/>
          </w:tcPr>
          <w:p>
            <w:pPr>
              <w:ind w:left="125"/>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0.40</w:t>
            </w:r>
          </w:p>
        </w:tc>
        <w:tc>
          <w:tcPr>
            <w:tcW w:w="919" w:type="dxa"/>
            <w:vAlign w:val="top"/>
          </w:tcPr>
          <w:p>
            <w:pPr>
              <w:ind w:left="332"/>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7.4</w:t>
            </w:r>
          </w:p>
        </w:tc>
        <w:tc>
          <w:tcPr>
            <w:tcW w:w="654" w:type="dxa"/>
            <w:vAlign w:val="top"/>
          </w:tcPr>
          <w:p>
            <w:pPr>
              <w:ind w:left="150"/>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0.27</w:t>
            </w:r>
          </w:p>
        </w:tc>
        <w:tc>
          <w:tcPr>
            <w:tcW w:w="852" w:type="dxa"/>
            <w:vAlign w:val="top"/>
          </w:tcPr>
          <w:p>
            <w:pPr>
              <w:ind w:left="300"/>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7.3</w:t>
            </w:r>
          </w:p>
        </w:tc>
        <w:tc>
          <w:tcPr>
            <w:tcW w:w="632" w:type="dxa"/>
            <w:vAlign w:val="top"/>
          </w:tcPr>
          <w:p>
            <w:pPr>
              <w:ind w:left="139"/>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0.20</w:t>
            </w:r>
          </w:p>
        </w:tc>
        <w:tc>
          <w:tcPr>
            <w:tcW w:w="824" w:type="dxa"/>
            <w:vAlign w:val="top"/>
          </w:tcPr>
          <w:p>
            <w:pPr>
              <w:ind w:left="287"/>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7.4</w:t>
            </w:r>
          </w:p>
        </w:tc>
        <w:tc>
          <w:tcPr>
            <w:tcW w:w="637" w:type="dxa"/>
            <w:vAlign w:val="top"/>
          </w:tcPr>
          <w:p>
            <w:pPr>
              <w:ind w:left="140"/>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0.27</w:t>
            </w:r>
          </w:p>
        </w:tc>
      </w:tr>
      <w:tr>
        <w:trPr>
          <w:trHeight w:val="288" w:hRule="atLeast"/>
        </w:trPr>
        <w:tc>
          <w:tcPr>
            <w:tcW w:w="1365" w:type="dxa"/>
            <w:vAlign w:val="top"/>
          </w:tcPr>
          <w:p>
            <w:pPr>
              <w:pStyle w:val="TableText"/>
              <w:ind w:left="377"/>
              <w:spacing w:before="37" w:line="222" w:lineRule="auto"/>
              <w:rPr/>
            </w:pPr>
            <w:r>
              <w:rPr>
                <w:spacing w:val="5"/>
              </w:rPr>
              <w:t>总硬度</w:t>
            </w:r>
          </w:p>
        </w:tc>
        <w:tc>
          <w:tcPr>
            <w:tcW w:w="1099" w:type="dxa"/>
            <w:vAlign w:val="top"/>
          </w:tcPr>
          <w:p>
            <w:pPr>
              <w:ind w:left="320"/>
              <w:spacing w:before="72"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124"/>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≤450</w:t>
            </w:r>
          </w:p>
        </w:tc>
        <w:tc>
          <w:tcPr>
            <w:tcW w:w="818" w:type="dxa"/>
            <w:vAlign w:val="top"/>
          </w:tcPr>
          <w:p>
            <w:pPr>
              <w:ind w:left="272"/>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191</w:t>
            </w:r>
          </w:p>
        </w:tc>
        <w:tc>
          <w:tcPr>
            <w:tcW w:w="635" w:type="dxa"/>
            <w:vAlign w:val="top"/>
          </w:tcPr>
          <w:p>
            <w:pPr>
              <w:ind w:left="138"/>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0.42</w:t>
            </w:r>
          </w:p>
        </w:tc>
        <w:tc>
          <w:tcPr>
            <w:tcW w:w="810" w:type="dxa"/>
            <w:vAlign w:val="top"/>
          </w:tcPr>
          <w:p>
            <w:pPr>
              <w:ind w:left="252"/>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716</w:t>
            </w:r>
          </w:p>
        </w:tc>
        <w:tc>
          <w:tcPr>
            <w:tcW w:w="622" w:type="dxa"/>
            <w:vAlign w:val="top"/>
          </w:tcPr>
          <w:p>
            <w:pPr>
              <w:ind w:left="147"/>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1.59</w:t>
            </w:r>
          </w:p>
        </w:tc>
        <w:tc>
          <w:tcPr>
            <w:tcW w:w="865" w:type="dxa"/>
            <w:vAlign w:val="top"/>
          </w:tcPr>
          <w:p>
            <w:pPr>
              <w:ind w:left="284"/>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871</w:t>
            </w:r>
          </w:p>
        </w:tc>
        <w:tc>
          <w:tcPr>
            <w:tcW w:w="608" w:type="dxa"/>
            <w:vAlign w:val="top"/>
          </w:tcPr>
          <w:p>
            <w:pPr>
              <w:ind w:left="141"/>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1.94</w:t>
            </w:r>
          </w:p>
        </w:tc>
        <w:tc>
          <w:tcPr>
            <w:tcW w:w="810" w:type="dxa"/>
            <w:vAlign w:val="top"/>
          </w:tcPr>
          <w:p>
            <w:pPr>
              <w:ind w:left="251"/>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703</w:t>
            </w:r>
          </w:p>
        </w:tc>
        <w:tc>
          <w:tcPr>
            <w:tcW w:w="611" w:type="dxa"/>
            <w:vAlign w:val="top"/>
          </w:tcPr>
          <w:p>
            <w:pPr>
              <w:ind w:left="142"/>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1.56</w:t>
            </w:r>
          </w:p>
        </w:tc>
        <w:tc>
          <w:tcPr>
            <w:tcW w:w="919" w:type="dxa"/>
            <w:vAlign w:val="top"/>
          </w:tcPr>
          <w:p>
            <w:pPr>
              <w:ind w:left="307"/>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688</w:t>
            </w:r>
          </w:p>
        </w:tc>
        <w:tc>
          <w:tcPr>
            <w:tcW w:w="654" w:type="dxa"/>
            <w:vAlign w:val="top"/>
          </w:tcPr>
          <w:p>
            <w:pPr>
              <w:ind w:left="167"/>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1.53</w:t>
            </w:r>
          </w:p>
        </w:tc>
        <w:tc>
          <w:tcPr>
            <w:tcW w:w="852" w:type="dxa"/>
            <w:vAlign w:val="top"/>
          </w:tcPr>
          <w:p>
            <w:pPr>
              <w:ind w:left="293"/>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172</w:t>
            </w:r>
          </w:p>
        </w:tc>
        <w:tc>
          <w:tcPr>
            <w:tcW w:w="632" w:type="dxa"/>
            <w:vAlign w:val="top"/>
          </w:tcPr>
          <w:p>
            <w:pPr>
              <w:ind w:left="139"/>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0.38</w:t>
            </w:r>
          </w:p>
        </w:tc>
        <w:tc>
          <w:tcPr>
            <w:tcW w:w="824" w:type="dxa"/>
            <w:vAlign w:val="top"/>
          </w:tcPr>
          <w:p>
            <w:pPr>
              <w:ind w:left="278"/>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164</w:t>
            </w:r>
          </w:p>
        </w:tc>
        <w:tc>
          <w:tcPr>
            <w:tcW w:w="637" w:type="dxa"/>
            <w:vAlign w:val="top"/>
          </w:tcPr>
          <w:p>
            <w:pPr>
              <w:ind w:left="140"/>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0.36</w:t>
            </w:r>
          </w:p>
        </w:tc>
      </w:tr>
      <w:tr>
        <w:trPr>
          <w:trHeight w:val="288" w:hRule="atLeast"/>
        </w:trPr>
        <w:tc>
          <w:tcPr>
            <w:tcW w:w="1365" w:type="dxa"/>
            <w:vAlign w:val="top"/>
          </w:tcPr>
          <w:p>
            <w:pPr>
              <w:pStyle w:val="TableText"/>
              <w:ind w:left="270"/>
              <w:spacing w:before="39" w:line="220" w:lineRule="auto"/>
              <w:rPr/>
            </w:pPr>
            <w:r>
              <w:rPr>
                <w:spacing w:val="6"/>
              </w:rPr>
              <w:t>硝酸盐氮</w:t>
            </w:r>
          </w:p>
        </w:tc>
        <w:tc>
          <w:tcPr>
            <w:tcW w:w="1099" w:type="dxa"/>
            <w:vAlign w:val="top"/>
          </w:tcPr>
          <w:p>
            <w:pPr>
              <w:ind w:left="320"/>
              <w:spacing w:before="71"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98"/>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≤20.0</w:t>
            </w:r>
          </w:p>
        </w:tc>
        <w:tc>
          <w:tcPr>
            <w:tcW w:w="818" w:type="dxa"/>
            <w:vAlign w:val="top"/>
          </w:tcPr>
          <w:p>
            <w:pPr>
              <w:ind w:left="231"/>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5.63</w:t>
            </w:r>
          </w:p>
        </w:tc>
        <w:tc>
          <w:tcPr>
            <w:tcW w:w="635" w:type="dxa"/>
            <w:vAlign w:val="top"/>
          </w:tcPr>
          <w:p>
            <w:pPr>
              <w:ind w:left="138"/>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0.28</w:t>
            </w:r>
          </w:p>
        </w:tc>
        <w:tc>
          <w:tcPr>
            <w:tcW w:w="810" w:type="dxa"/>
            <w:vAlign w:val="top"/>
          </w:tcPr>
          <w:p>
            <w:pPr>
              <w:ind w:left="230"/>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8.15</w:t>
            </w:r>
          </w:p>
        </w:tc>
        <w:tc>
          <w:tcPr>
            <w:tcW w:w="622" w:type="dxa"/>
            <w:vAlign w:val="top"/>
          </w:tcPr>
          <w:p>
            <w:pPr>
              <w:ind w:left="130"/>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0.41</w:t>
            </w:r>
          </w:p>
        </w:tc>
        <w:tc>
          <w:tcPr>
            <w:tcW w:w="865" w:type="dxa"/>
            <w:vAlign w:val="top"/>
          </w:tcPr>
          <w:p>
            <w:pPr>
              <w:ind w:left="253"/>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3.51</w:t>
            </w:r>
          </w:p>
        </w:tc>
        <w:tc>
          <w:tcPr>
            <w:tcW w:w="608" w:type="dxa"/>
            <w:vAlign w:val="top"/>
          </w:tcPr>
          <w:p>
            <w:pPr>
              <w:ind w:left="124"/>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0.18</w:t>
            </w:r>
          </w:p>
        </w:tc>
        <w:tc>
          <w:tcPr>
            <w:tcW w:w="810" w:type="dxa"/>
            <w:vAlign w:val="top"/>
          </w:tcPr>
          <w:p>
            <w:pPr>
              <w:ind w:left="228"/>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3.62</w:t>
            </w:r>
          </w:p>
        </w:tc>
        <w:tc>
          <w:tcPr>
            <w:tcW w:w="611" w:type="dxa"/>
            <w:vAlign w:val="top"/>
          </w:tcPr>
          <w:p>
            <w:pPr>
              <w:ind w:left="125"/>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0.18</w:t>
            </w:r>
          </w:p>
        </w:tc>
        <w:tc>
          <w:tcPr>
            <w:tcW w:w="919" w:type="dxa"/>
            <w:vAlign w:val="top"/>
          </w:tcPr>
          <w:p>
            <w:pPr>
              <w:ind w:left="283"/>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6.35</w:t>
            </w:r>
          </w:p>
        </w:tc>
        <w:tc>
          <w:tcPr>
            <w:tcW w:w="654" w:type="dxa"/>
            <w:vAlign w:val="top"/>
          </w:tcPr>
          <w:p>
            <w:pPr>
              <w:ind w:left="150"/>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0.32</w:t>
            </w:r>
          </w:p>
        </w:tc>
        <w:tc>
          <w:tcPr>
            <w:tcW w:w="852" w:type="dxa"/>
            <w:vAlign w:val="top"/>
          </w:tcPr>
          <w:p>
            <w:pPr>
              <w:ind w:left="244"/>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2.97</w:t>
            </w:r>
          </w:p>
        </w:tc>
        <w:tc>
          <w:tcPr>
            <w:tcW w:w="632" w:type="dxa"/>
            <w:vAlign w:val="top"/>
          </w:tcPr>
          <w:p>
            <w:pPr>
              <w:ind w:left="139"/>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0.15</w:t>
            </w:r>
          </w:p>
        </w:tc>
        <w:tc>
          <w:tcPr>
            <w:tcW w:w="824" w:type="dxa"/>
            <w:vAlign w:val="top"/>
          </w:tcPr>
          <w:p>
            <w:pPr>
              <w:ind w:left="231"/>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2.59</w:t>
            </w:r>
          </w:p>
        </w:tc>
        <w:tc>
          <w:tcPr>
            <w:tcW w:w="637" w:type="dxa"/>
            <w:vAlign w:val="top"/>
          </w:tcPr>
          <w:p>
            <w:pPr>
              <w:ind w:left="140"/>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0.13</w:t>
            </w:r>
          </w:p>
        </w:tc>
      </w:tr>
      <w:tr>
        <w:trPr>
          <w:trHeight w:val="289" w:hRule="atLeast"/>
        </w:trPr>
        <w:tc>
          <w:tcPr>
            <w:tcW w:w="1365" w:type="dxa"/>
            <w:vAlign w:val="top"/>
          </w:tcPr>
          <w:p>
            <w:pPr>
              <w:pStyle w:val="TableText"/>
              <w:ind w:left="164"/>
              <w:spacing w:before="39" w:line="221" w:lineRule="auto"/>
              <w:rPr/>
            </w:pPr>
            <w:r>
              <w:rPr>
                <w:spacing w:val="7"/>
              </w:rPr>
              <w:t>亚硝酸盐氮</w:t>
            </w:r>
          </w:p>
        </w:tc>
        <w:tc>
          <w:tcPr>
            <w:tcW w:w="1099" w:type="dxa"/>
            <w:vAlign w:val="top"/>
          </w:tcPr>
          <w:p>
            <w:pPr>
              <w:ind w:left="320"/>
              <w:spacing w:before="7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98"/>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≤1.00</w:t>
            </w:r>
          </w:p>
        </w:tc>
        <w:tc>
          <w:tcPr>
            <w:tcW w:w="818" w:type="dxa"/>
            <w:vAlign w:val="top"/>
          </w:tcPr>
          <w:p>
            <w:pPr>
              <w:ind w:left="176"/>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0.003</w:t>
            </w:r>
          </w:p>
        </w:tc>
        <w:tc>
          <w:tcPr>
            <w:tcW w:w="635" w:type="dxa"/>
            <w:vAlign w:val="top"/>
          </w:tcPr>
          <w:p>
            <w:pPr>
              <w:ind w:left="138"/>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810" w:type="dxa"/>
            <w:vAlign w:val="top"/>
          </w:tcPr>
          <w:p>
            <w:pPr>
              <w:ind w:left="172"/>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0.006</w:t>
            </w:r>
          </w:p>
        </w:tc>
        <w:tc>
          <w:tcPr>
            <w:tcW w:w="622" w:type="dxa"/>
            <w:vAlign w:val="top"/>
          </w:tcPr>
          <w:p>
            <w:pPr>
              <w:ind w:left="130"/>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865" w:type="dxa"/>
            <w:vAlign w:val="top"/>
          </w:tcPr>
          <w:p>
            <w:pPr>
              <w:ind w:left="200"/>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0.009</w:t>
            </w:r>
          </w:p>
        </w:tc>
        <w:tc>
          <w:tcPr>
            <w:tcW w:w="608" w:type="dxa"/>
            <w:vAlign w:val="top"/>
          </w:tcPr>
          <w:p>
            <w:pPr>
              <w:ind w:left="124"/>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810" w:type="dxa"/>
            <w:vAlign w:val="top"/>
          </w:tcPr>
          <w:p>
            <w:pPr>
              <w:ind w:left="174"/>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0.006</w:t>
            </w:r>
          </w:p>
        </w:tc>
        <w:tc>
          <w:tcPr>
            <w:tcW w:w="611" w:type="dxa"/>
            <w:vAlign w:val="top"/>
          </w:tcPr>
          <w:p>
            <w:pPr>
              <w:ind w:left="125"/>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919" w:type="dxa"/>
            <w:vAlign w:val="top"/>
          </w:tcPr>
          <w:p>
            <w:pPr>
              <w:ind w:left="229"/>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0.019</w:t>
            </w:r>
          </w:p>
        </w:tc>
        <w:tc>
          <w:tcPr>
            <w:tcW w:w="654" w:type="dxa"/>
            <w:vAlign w:val="top"/>
          </w:tcPr>
          <w:p>
            <w:pPr>
              <w:ind w:left="150"/>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c>
          <w:tcPr>
            <w:tcW w:w="852" w:type="dxa"/>
            <w:vAlign w:val="top"/>
          </w:tcPr>
          <w:p>
            <w:pPr>
              <w:ind w:left="132"/>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0.001L</w:t>
            </w:r>
          </w:p>
        </w:tc>
        <w:tc>
          <w:tcPr>
            <w:tcW w:w="632" w:type="dxa"/>
            <w:vAlign w:val="top"/>
          </w:tcPr>
          <w:p>
            <w:pPr>
              <w:ind w:left="289"/>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117"/>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0.001L</w:t>
            </w:r>
          </w:p>
        </w:tc>
        <w:tc>
          <w:tcPr>
            <w:tcW w:w="637" w:type="dxa"/>
            <w:vAlign w:val="top"/>
          </w:tcPr>
          <w:p>
            <w:pPr>
              <w:ind w:left="290"/>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89" w:hRule="atLeast"/>
        </w:trPr>
        <w:tc>
          <w:tcPr>
            <w:tcW w:w="1365" w:type="dxa"/>
            <w:vAlign w:val="top"/>
          </w:tcPr>
          <w:p>
            <w:pPr>
              <w:pStyle w:val="TableText"/>
              <w:ind w:left="477"/>
              <w:spacing w:before="40" w:line="220" w:lineRule="auto"/>
              <w:rPr/>
            </w:pPr>
            <w:r>
              <w:rPr>
                <w:spacing w:val="4"/>
              </w:rPr>
              <w:t>氨氮</w:t>
            </w:r>
          </w:p>
        </w:tc>
        <w:tc>
          <w:tcPr>
            <w:tcW w:w="1099" w:type="dxa"/>
            <w:vAlign w:val="top"/>
          </w:tcPr>
          <w:p>
            <w:pPr>
              <w:ind w:left="320"/>
              <w:spacing w:before="72"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151"/>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≤0.5</w:t>
            </w:r>
          </w:p>
        </w:tc>
        <w:tc>
          <w:tcPr>
            <w:tcW w:w="818" w:type="dxa"/>
            <w:vAlign w:val="top"/>
          </w:tcPr>
          <w:p>
            <w:pPr>
              <w:ind w:left="229"/>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0.25</w:t>
            </w:r>
          </w:p>
        </w:tc>
        <w:tc>
          <w:tcPr>
            <w:tcW w:w="635" w:type="dxa"/>
            <w:vAlign w:val="top"/>
          </w:tcPr>
          <w:p>
            <w:pPr>
              <w:ind w:left="138"/>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0.50</w:t>
            </w:r>
          </w:p>
        </w:tc>
        <w:tc>
          <w:tcPr>
            <w:tcW w:w="810" w:type="dxa"/>
            <w:vAlign w:val="top"/>
          </w:tcPr>
          <w:p>
            <w:pPr>
              <w:ind w:left="225"/>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11</w:t>
            </w:r>
          </w:p>
        </w:tc>
        <w:tc>
          <w:tcPr>
            <w:tcW w:w="622" w:type="dxa"/>
            <w:vAlign w:val="top"/>
          </w:tcPr>
          <w:p>
            <w:pPr>
              <w:ind w:left="130"/>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0.22</w:t>
            </w:r>
          </w:p>
        </w:tc>
        <w:tc>
          <w:tcPr>
            <w:tcW w:w="865" w:type="dxa"/>
            <w:vAlign w:val="top"/>
          </w:tcPr>
          <w:p>
            <w:pPr>
              <w:ind w:left="252"/>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0.38</w:t>
            </w:r>
          </w:p>
        </w:tc>
        <w:tc>
          <w:tcPr>
            <w:tcW w:w="608" w:type="dxa"/>
            <w:vAlign w:val="top"/>
          </w:tcPr>
          <w:p>
            <w:pPr>
              <w:ind w:left="124"/>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0.76</w:t>
            </w:r>
          </w:p>
        </w:tc>
        <w:tc>
          <w:tcPr>
            <w:tcW w:w="810" w:type="dxa"/>
            <w:vAlign w:val="top"/>
          </w:tcPr>
          <w:p>
            <w:pPr>
              <w:ind w:left="227"/>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0.22</w:t>
            </w:r>
          </w:p>
        </w:tc>
        <w:tc>
          <w:tcPr>
            <w:tcW w:w="611" w:type="dxa"/>
            <w:vAlign w:val="top"/>
          </w:tcPr>
          <w:p>
            <w:pPr>
              <w:ind w:left="125"/>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0.44</w:t>
            </w:r>
          </w:p>
        </w:tc>
        <w:tc>
          <w:tcPr>
            <w:tcW w:w="919" w:type="dxa"/>
            <w:vAlign w:val="top"/>
          </w:tcPr>
          <w:p>
            <w:pPr>
              <w:ind w:left="332"/>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0.3</w:t>
            </w:r>
          </w:p>
        </w:tc>
        <w:tc>
          <w:tcPr>
            <w:tcW w:w="654" w:type="dxa"/>
            <w:vAlign w:val="top"/>
          </w:tcPr>
          <w:p>
            <w:pPr>
              <w:ind w:left="150"/>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0.60</w:t>
            </w:r>
          </w:p>
        </w:tc>
        <w:tc>
          <w:tcPr>
            <w:tcW w:w="852" w:type="dxa"/>
            <w:vAlign w:val="top"/>
          </w:tcPr>
          <w:p>
            <w:pPr>
              <w:ind w:left="185"/>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0.02L</w:t>
            </w:r>
          </w:p>
        </w:tc>
        <w:tc>
          <w:tcPr>
            <w:tcW w:w="632" w:type="dxa"/>
            <w:vAlign w:val="top"/>
          </w:tcPr>
          <w:p>
            <w:pPr>
              <w:ind w:left="289"/>
              <w:spacing w:before="165"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172"/>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0.02L</w:t>
            </w:r>
          </w:p>
        </w:tc>
        <w:tc>
          <w:tcPr>
            <w:tcW w:w="637" w:type="dxa"/>
            <w:vAlign w:val="top"/>
          </w:tcPr>
          <w:p>
            <w:pPr>
              <w:ind w:left="290"/>
              <w:spacing w:before="165"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89" w:hRule="atLeast"/>
        </w:trPr>
        <w:tc>
          <w:tcPr>
            <w:tcW w:w="1365" w:type="dxa"/>
            <w:vAlign w:val="top"/>
          </w:tcPr>
          <w:p>
            <w:pPr>
              <w:pStyle w:val="TableText"/>
              <w:ind w:left="372"/>
              <w:spacing w:before="39" w:line="221" w:lineRule="auto"/>
              <w:rPr/>
            </w:pPr>
            <w:r>
              <w:rPr>
                <w:spacing w:val="6"/>
              </w:rPr>
              <w:t>耗氧量</w:t>
            </w:r>
          </w:p>
        </w:tc>
        <w:tc>
          <w:tcPr>
            <w:tcW w:w="1099" w:type="dxa"/>
            <w:vAlign w:val="top"/>
          </w:tcPr>
          <w:p>
            <w:pPr>
              <w:ind w:left="320"/>
              <w:spacing w:before="7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151"/>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w:t>
            </w:r>
          </w:p>
        </w:tc>
        <w:tc>
          <w:tcPr>
            <w:tcW w:w="818" w:type="dxa"/>
            <w:vAlign w:val="top"/>
          </w:tcPr>
          <w:p>
            <w:pPr>
              <w:ind w:left="246"/>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1.22</w:t>
            </w:r>
          </w:p>
        </w:tc>
        <w:tc>
          <w:tcPr>
            <w:tcW w:w="635" w:type="dxa"/>
            <w:vAlign w:val="top"/>
          </w:tcPr>
          <w:p>
            <w:pPr>
              <w:ind w:left="138"/>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0.41</w:t>
            </w:r>
          </w:p>
        </w:tc>
        <w:tc>
          <w:tcPr>
            <w:tcW w:w="810" w:type="dxa"/>
            <w:vAlign w:val="top"/>
          </w:tcPr>
          <w:p>
            <w:pPr>
              <w:ind w:left="225"/>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0.98</w:t>
            </w:r>
          </w:p>
        </w:tc>
        <w:tc>
          <w:tcPr>
            <w:tcW w:w="622" w:type="dxa"/>
            <w:vAlign w:val="top"/>
          </w:tcPr>
          <w:p>
            <w:pPr>
              <w:ind w:left="130"/>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0.33</w:t>
            </w:r>
          </w:p>
        </w:tc>
        <w:tc>
          <w:tcPr>
            <w:tcW w:w="865" w:type="dxa"/>
            <w:vAlign w:val="top"/>
          </w:tcPr>
          <w:p>
            <w:pPr>
              <w:ind w:left="269"/>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1.86</w:t>
            </w:r>
          </w:p>
        </w:tc>
        <w:tc>
          <w:tcPr>
            <w:tcW w:w="608" w:type="dxa"/>
            <w:vAlign w:val="top"/>
          </w:tcPr>
          <w:p>
            <w:pPr>
              <w:ind w:left="124"/>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0.62</w:t>
            </w:r>
          </w:p>
        </w:tc>
        <w:tc>
          <w:tcPr>
            <w:tcW w:w="810" w:type="dxa"/>
            <w:vAlign w:val="top"/>
          </w:tcPr>
          <w:p>
            <w:pPr>
              <w:ind w:left="244"/>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1.09</w:t>
            </w:r>
          </w:p>
        </w:tc>
        <w:tc>
          <w:tcPr>
            <w:tcW w:w="611" w:type="dxa"/>
            <w:vAlign w:val="top"/>
          </w:tcPr>
          <w:p>
            <w:pPr>
              <w:ind w:left="125"/>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0.36</w:t>
            </w:r>
          </w:p>
        </w:tc>
        <w:tc>
          <w:tcPr>
            <w:tcW w:w="919" w:type="dxa"/>
            <w:vAlign w:val="top"/>
          </w:tcPr>
          <w:p>
            <w:pPr>
              <w:ind w:left="278"/>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2.21</w:t>
            </w:r>
          </w:p>
        </w:tc>
        <w:tc>
          <w:tcPr>
            <w:tcW w:w="654" w:type="dxa"/>
            <w:vAlign w:val="top"/>
          </w:tcPr>
          <w:p>
            <w:pPr>
              <w:ind w:left="150"/>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0.74</w:t>
            </w:r>
          </w:p>
        </w:tc>
        <w:tc>
          <w:tcPr>
            <w:tcW w:w="852" w:type="dxa"/>
            <w:vAlign w:val="top"/>
          </w:tcPr>
          <w:p>
            <w:pPr>
              <w:ind w:left="247"/>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0.97</w:t>
            </w:r>
          </w:p>
        </w:tc>
        <w:tc>
          <w:tcPr>
            <w:tcW w:w="632" w:type="dxa"/>
            <w:vAlign w:val="top"/>
          </w:tcPr>
          <w:p>
            <w:pPr>
              <w:ind w:left="139"/>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0.32</w:t>
            </w:r>
          </w:p>
        </w:tc>
        <w:tc>
          <w:tcPr>
            <w:tcW w:w="824" w:type="dxa"/>
            <w:vAlign w:val="top"/>
          </w:tcPr>
          <w:p>
            <w:pPr>
              <w:ind w:left="234"/>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0.80</w:t>
            </w:r>
          </w:p>
        </w:tc>
        <w:tc>
          <w:tcPr>
            <w:tcW w:w="637" w:type="dxa"/>
            <w:vAlign w:val="top"/>
          </w:tcPr>
          <w:p>
            <w:pPr>
              <w:ind w:left="140"/>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0.27</w:t>
            </w:r>
          </w:p>
        </w:tc>
      </w:tr>
      <w:tr>
        <w:trPr>
          <w:trHeight w:val="288" w:hRule="atLeast"/>
        </w:trPr>
        <w:tc>
          <w:tcPr>
            <w:tcW w:w="1365" w:type="dxa"/>
            <w:vAlign w:val="top"/>
          </w:tcPr>
          <w:p>
            <w:pPr>
              <w:pStyle w:val="TableText"/>
              <w:ind w:left="371"/>
              <w:spacing w:before="40" w:line="219" w:lineRule="auto"/>
              <w:rPr/>
            </w:pPr>
            <w:r>
              <w:rPr>
                <w:spacing w:val="7"/>
              </w:rPr>
              <w:t>硫酸盐</w:t>
            </w:r>
          </w:p>
        </w:tc>
        <w:tc>
          <w:tcPr>
            <w:tcW w:w="1099" w:type="dxa"/>
            <w:vAlign w:val="top"/>
          </w:tcPr>
          <w:p>
            <w:pPr>
              <w:ind w:left="320"/>
              <w:spacing w:before="72"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124"/>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≤250</w:t>
            </w:r>
          </w:p>
        </w:tc>
        <w:tc>
          <w:tcPr>
            <w:tcW w:w="818" w:type="dxa"/>
            <w:vAlign w:val="top"/>
          </w:tcPr>
          <w:p>
            <w:pPr>
              <w:ind w:left="304"/>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45</w:t>
            </w:r>
          </w:p>
        </w:tc>
        <w:tc>
          <w:tcPr>
            <w:tcW w:w="635" w:type="dxa"/>
            <w:vAlign w:val="top"/>
          </w:tcPr>
          <w:p>
            <w:pPr>
              <w:ind w:left="138"/>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0.18</w:t>
            </w:r>
          </w:p>
        </w:tc>
        <w:tc>
          <w:tcPr>
            <w:tcW w:w="810" w:type="dxa"/>
            <w:vAlign w:val="top"/>
          </w:tcPr>
          <w:p>
            <w:pPr>
              <w:ind w:left="253"/>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308</w:t>
            </w:r>
          </w:p>
        </w:tc>
        <w:tc>
          <w:tcPr>
            <w:tcW w:w="622" w:type="dxa"/>
            <w:vAlign w:val="top"/>
          </w:tcPr>
          <w:p>
            <w:pPr>
              <w:ind w:left="147"/>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1.23</w:t>
            </w:r>
          </w:p>
        </w:tc>
        <w:tc>
          <w:tcPr>
            <w:tcW w:w="865" w:type="dxa"/>
            <w:vAlign w:val="top"/>
          </w:tcPr>
          <w:p>
            <w:pPr>
              <w:ind w:left="280"/>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331</w:t>
            </w:r>
          </w:p>
        </w:tc>
        <w:tc>
          <w:tcPr>
            <w:tcW w:w="608" w:type="dxa"/>
            <w:vAlign w:val="top"/>
          </w:tcPr>
          <w:p>
            <w:pPr>
              <w:ind w:left="141"/>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1.32</w:t>
            </w:r>
          </w:p>
        </w:tc>
        <w:tc>
          <w:tcPr>
            <w:tcW w:w="810" w:type="dxa"/>
            <w:vAlign w:val="top"/>
          </w:tcPr>
          <w:p>
            <w:pPr>
              <w:ind w:left="246"/>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406</w:t>
            </w:r>
          </w:p>
        </w:tc>
        <w:tc>
          <w:tcPr>
            <w:tcW w:w="611" w:type="dxa"/>
            <w:vAlign w:val="top"/>
          </w:tcPr>
          <w:p>
            <w:pPr>
              <w:ind w:left="142"/>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1.62</w:t>
            </w:r>
          </w:p>
        </w:tc>
        <w:tc>
          <w:tcPr>
            <w:tcW w:w="919" w:type="dxa"/>
            <w:vAlign w:val="top"/>
          </w:tcPr>
          <w:p>
            <w:pPr>
              <w:ind w:left="302"/>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295</w:t>
            </w:r>
          </w:p>
        </w:tc>
        <w:tc>
          <w:tcPr>
            <w:tcW w:w="654" w:type="dxa"/>
            <w:vAlign w:val="top"/>
          </w:tcPr>
          <w:p>
            <w:pPr>
              <w:ind w:left="167"/>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1.18</w:t>
            </w:r>
          </w:p>
        </w:tc>
        <w:tc>
          <w:tcPr>
            <w:tcW w:w="852" w:type="dxa"/>
            <w:vAlign w:val="top"/>
          </w:tcPr>
          <w:p>
            <w:pPr>
              <w:ind w:left="323"/>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27</w:t>
            </w:r>
          </w:p>
        </w:tc>
        <w:tc>
          <w:tcPr>
            <w:tcW w:w="632" w:type="dxa"/>
            <w:vAlign w:val="top"/>
          </w:tcPr>
          <w:p>
            <w:pPr>
              <w:ind w:left="139"/>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11</w:t>
            </w:r>
          </w:p>
        </w:tc>
        <w:tc>
          <w:tcPr>
            <w:tcW w:w="824" w:type="dxa"/>
            <w:vAlign w:val="top"/>
          </w:tcPr>
          <w:p>
            <w:pPr>
              <w:ind w:left="310"/>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637" w:type="dxa"/>
            <w:vAlign w:val="top"/>
          </w:tcPr>
          <w:p>
            <w:pPr>
              <w:ind w:left="140"/>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0.10</w:t>
            </w:r>
          </w:p>
        </w:tc>
      </w:tr>
      <w:tr>
        <w:trPr>
          <w:trHeight w:val="289" w:hRule="atLeast"/>
        </w:trPr>
        <w:tc>
          <w:tcPr>
            <w:tcW w:w="1365" w:type="dxa"/>
            <w:vAlign w:val="top"/>
          </w:tcPr>
          <w:p>
            <w:pPr>
              <w:pStyle w:val="TableText"/>
              <w:ind w:left="375"/>
              <w:spacing w:before="40" w:line="220" w:lineRule="auto"/>
              <w:rPr/>
            </w:pPr>
            <w:r>
              <w:rPr>
                <w:spacing w:val="5"/>
              </w:rPr>
              <w:t>氯化物</w:t>
            </w:r>
          </w:p>
        </w:tc>
        <w:tc>
          <w:tcPr>
            <w:tcW w:w="1099" w:type="dxa"/>
            <w:vAlign w:val="top"/>
          </w:tcPr>
          <w:p>
            <w:pPr>
              <w:ind w:left="320"/>
              <w:spacing w:before="7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124"/>
              <w:spacing w:before="7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≤250</w:t>
            </w:r>
          </w:p>
        </w:tc>
        <w:tc>
          <w:tcPr>
            <w:tcW w:w="818" w:type="dxa"/>
            <w:vAlign w:val="top"/>
          </w:tcPr>
          <w:p>
            <w:pPr>
              <w:ind w:left="309"/>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35</w:t>
            </w:r>
          </w:p>
        </w:tc>
        <w:tc>
          <w:tcPr>
            <w:tcW w:w="635" w:type="dxa"/>
            <w:vAlign w:val="top"/>
          </w:tcPr>
          <w:p>
            <w:pPr>
              <w:ind w:left="138"/>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0.</w:t>
            </w:r>
            <w:r>
              <w:rPr>
                <w:rFonts w:ascii="Times New Roman" w:hAnsi="Times New Roman" w:eastAsia="Times New Roman" w:cs="Times New Roman"/>
                <w:sz w:val="20"/>
                <w:szCs w:val="20"/>
                <w:spacing w:val="-23"/>
              </w:rPr>
              <w:t xml:space="preserve"> </w:t>
            </w:r>
            <w:r>
              <w:rPr>
                <w:rFonts w:ascii="Times New Roman" w:hAnsi="Times New Roman" w:eastAsia="Times New Roman" w:cs="Times New Roman"/>
                <w:sz w:val="20"/>
                <w:szCs w:val="20"/>
                <w:spacing w:val="-5"/>
              </w:rPr>
              <w:t>14</w:t>
            </w:r>
          </w:p>
        </w:tc>
        <w:tc>
          <w:tcPr>
            <w:tcW w:w="810" w:type="dxa"/>
            <w:vAlign w:val="top"/>
          </w:tcPr>
          <w:p>
            <w:pPr>
              <w:ind w:left="24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480</w:t>
            </w:r>
          </w:p>
        </w:tc>
        <w:tc>
          <w:tcPr>
            <w:tcW w:w="622" w:type="dxa"/>
            <w:vAlign w:val="top"/>
          </w:tcPr>
          <w:p>
            <w:pPr>
              <w:ind w:left="14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1.92</w:t>
            </w:r>
          </w:p>
        </w:tc>
        <w:tc>
          <w:tcPr>
            <w:tcW w:w="865" w:type="dxa"/>
            <w:vAlign w:val="top"/>
          </w:tcPr>
          <w:p>
            <w:pPr>
              <w:ind w:left="281"/>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501</w:t>
            </w:r>
          </w:p>
        </w:tc>
        <w:tc>
          <w:tcPr>
            <w:tcW w:w="608" w:type="dxa"/>
            <w:vAlign w:val="top"/>
          </w:tcPr>
          <w:p>
            <w:pPr>
              <w:ind w:left="121"/>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w:t>
            </w:r>
          </w:p>
        </w:tc>
        <w:tc>
          <w:tcPr>
            <w:tcW w:w="810" w:type="dxa"/>
            <w:vAlign w:val="top"/>
          </w:tcPr>
          <w:p>
            <w:pPr>
              <w:ind w:left="253"/>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543</w:t>
            </w:r>
          </w:p>
        </w:tc>
        <w:tc>
          <w:tcPr>
            <w:tcW w:w="611" w:type="dxa"/>
            <w:vAlign w:val="top"/>
          </w:tcPr>
          <w:p>
            <w:pPr>
              <w:ind w:left="121"/>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2.17</w:t>
            </w:r>
          </w:p>
        </w:tc>
        <w:tc>
          <w:tcPr>
            <w:tcW w:w="919" w:type="dxa"/>
            <w:vAlign w:val="top"/>
          </w:tcPr>
          <w:p>
            <w:pPr>
              <w:ind w:left="301"/>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403</w:t>
            </w:r>
          </w:p>
        </w:tc>
        <w:tc>
          <w:tcPr>
            <w:tcW w:w="654" w:type="dxa"/>
            <w:vAlign w:val="top"/>
          </w:tcPr>
          <w:p>
            <w:pPr>
              <w:ind w:left="16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1.61</w:t>
            </w:r>
          </w:p>
        </w:tc>
        <w:tc>
          <w:tcPr>
            <w:tcW w:w="852" w:type="dxa"/>
            <w:vAlign w:val="top"/>
          </w:tcPr>
          <w:p>
            <w:pPr>
              <w:ind w:left="343"/>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13</w:t>
            </w:r>
          </w:p>
        </w:tc>
        <w:tc>
          <w:tcPr>
            <w:tcW w:w="632" w:type="dxa"/>
            <w:vAlign w:val="top"/>
          </w:tcPr>
          <w:p>
            <w:pPr>
              <w:ind w:left="139"/>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0.05</w:t>
            </w:r>
          </w:p>
        </w:tc>
        <w:tc>
          <w:tcPr>
            <w:tcW w:w="824" w:type="dxa"/>
            <w:vAlign w:val="top"/>
          </w:tcPr>
          <w:p>
            <w:pPr>
              <w:ind w:left="330"/>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637" w:type="dxa"/>
            <w:vAlign w:val="top"/>
          </w:tcPr>
          <w:p>
            <w:pPr>
              <w:ind w:left="140"/>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r>
      <w:tr>
        <w:trPr>
          <w:trHeight w:val="289" w:hRule="atLeast"/>
        </w:trPr>
        <w:tc>
          <w:tcPr>
            <w:tcW w:w="1365" w:type="dxa"/>
            <w:vAlign w:val="top"/>
          </w:tcPr>
          <w:p>
            <w:pPr>
              <w:pStyle w:val="TableText"/>
              <w:ind w:left="582"/>
              <w:spacing w:before="41" w:line="219" w:lineRule="auto"/>
              <w:rPr/>
            </w:pPr>
            <w:r>
              <w:rPr>
                <w:spacing w:val="1"/>
              </w:rPr>
              <w:t>钠</w:t>
            </w:r>
          </w:p>
        </w:tc>
        <w:tc>
          <w:tcPr>
            <w:tcW w:w="1099" w:type="dxa"/>
            <w:vAlign w:val="top"/>
          </w:tcPr>
          <w:p>
            <w:pPr>
              <w:ind w:left="320"/>
              <w:spacing w:before="7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124"/>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≤200</w:t>
            </w:r>
          </w:p>
        </w:tc>
        <w:tc>
          <w:tcPr>
            <w:tcW w:w="818" w:type="dxa"/>
            <w:vAlign w:val="top"/>
          </w:tcPr>
          <w:p>
            <w:pPr>
              <w:ind w:left="224"/>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48.</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2"/>
              </w:rPr>
              <w:t>1</w:t>
            </w:r>
          </w:p>
        </w:tc>
        <w:tc>
          <w:tcPr>
            <w:tcW w:w="635" w:type="dxa"/>
            <w:vAlign w:val="top"/>
          </w:tcPr>
          <w:p>
            <w:pPr>
              <w:ind w:left="138"/>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0.24</w:t>
            </w:r>
          </w:p>
        </w:tc>
        <w:tc>
          <w:tcPr>
            <w:tcW w:w="810" w:type="dxa"/>
            <w:vAlign w:val="top"/>
          </w:tcPr>
          <w:p>
            <w:pPr>
              <w:ind w:left="253"/>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355</w:t>
            </w:r>
          </w:p>
        </w:tc>
        <w:tc>
          <w:tcPr>
            <w:tcW w:w="622" w:type="dxa"/>
            <w:vAlign w:val="top"/>
          </w:tcPr>
          <w:p>
            <w:pPr>
              <w:ind w:left="147"/>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1.78</w:t>
            </w:r>
          </w:p>
        </w:tc>
        <w:tc>
          <w:tcPr>
            <w:tcW w:w="865" w:type="dxa"/>
            <w:vAlign w:val="top"/>
          </w:tcPr>
          <w:p>
            <w:pPr>
              <w:ind w:left="276"/>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242</w:t>
            </w:r>
          </w:p>
        </w:tc>
        <w:tc>
          <w:tcPr>
            <w:tcW w:w="608" w:type="dxa"/>
            <w:vAlign w:val="top"/>
          </w:tcPr>
          <w:p>
            <w:pPr>
              <w:ind w:left="141"/>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1.21</w:t>
            </w:r>
          </w:p>
        </w:tc>
        <w:tc>
          <w:tcPr>
            <w:tcW w:w="810" w:type="dxa"/>
            <w:vAlign w:val="top"/>
          </w:tcPr>
          <w:p>
            <w:pPr>
              <w:ind w:left="246"/>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486</w:t>
            </w:r>
          </w:p>
        </w:tc>
        <w:tc>
          <w:tcPr>
            <w:tcW w:w="611" w:type="dxa"/>
            <w:vAlign w:val="top"/>
          </w:tcPr>
          <w:p>
            <w:pPr>
              <w:ind w:left="121"/>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2.43</w:t>
            </w:r>
          </w:p>
        </w:tc>
        <w:tc>
          <w:tcPr>
            <w:tcW w:w="919" w:type="dxa"/>
            <w:vAlign w:val="top"/>
          </w:tcPr>
          <w:p>
            <w:pPr>
              <w:ind w:left="302"/>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253</w:t>
            </w:r>
          </w:p>
        </w:tc>
        <w:tc>
          <w:tcPr>
            <w:tcW w:w="654" w:type="dxa"/>
            <w:vAlign w:val="top"/>
          </w:tcPr>
          <w:p>
            <w:pPr>
              <w:ind w:left="167"/>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1.27</w:t>
            </w:r>
          </w:p>
        </w:tc>
        <w:tc>
          <w:tcPr>
            <w:tcW w:w="852" w:type="dxa"/>
            <w:vAlign w:val="top"/>
          </w:tcPr>
          <w:p>
            <w:pPr>
              <w:ind w:left="248"/>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32.0</w:t>
            </w:r>
          </w:p>
        </w:tc>
        <w:tc>
          <w:tcPr>
            <w:tcW w:w="632" w:type="dxa"/>
            <w:vAlign w:val="top"/>
          </w:tcPr>
          <w:p>
            <w:pPr>
              <w:ind w:left="139"/>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0.16</w:t>
            </w:r>
          </w:p>
        </w:tc>
        <w:tc>
          <w:tcPr>
            <w:tcW w:w="824" w:type="dxa"/>
            <w:vAlign w:val="top"/>
          </w:tcPr>
          <w:p>
            <w:pPr>
              <w:ind w:left="235"/>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32.3</w:t>
            </w:r>
          </w:p>
        </w:tc>
        <w:tc>
          <w:tcPr>
            <w:tcW w:w="637" w:type="dxa"/>
            <w:vAlign w:val="top"/>
          </w:tcPr>
          <w:p>
            <w:pPr>
              <w:ind w:left="140"/>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0.16</w:t>
            </w:r>
          </w:p>
        </w:tc>
      </w:tr>
      <w:tr>
        <w:trPr>
          <w:trHeight w:val="289" w:hRule="atLeast"/>
        </w:trPr>
        <w:tc>
          <w:tcPr>
            <w:tcW w:w="1365" w:type="dxa"/>
            <w:vAlign w:val="top"/>
          </w:tcPr>
          <w:p>
            <w:pPr>
              <w:pStyle w:val="TableText"/>
              <w:ind w:left="372"/>
              <w:spacing w:before="40" w:line="220" w:lineRule="auto"/>
              <w:rPr/>
            </w:pPr>
            <w:r>
              <w:rPr>
                <w:spacing w:val="6"/>
              </w:rPr>
              <w:t>氟化物</w:t>
            </w:r>
          </w:p>
        </w:tc>
        <w:tc>
          <w:tcPr>
            <w:tcW w:w="1099" w:type="dxa"/>
            <w:vAlign w:val="top"/>
          </w:tcPr>
          <w:p>
            <w:pPr>
              <w:ind w:left="320"/>
              <w:spacing w:before="7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151"/>
              <w:spacing w:before="7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w:t>
            </w:r>
          </w:p>
        </w:tc>
        <w:tc>
          <w:tcPr>
            <w:tcW w:w="818" w:type="dxa"/>
            <w:vAlign w:val="top"/>
          </w:tcPr>
          <w:p>
            <w:pPr>
              <w:ind w:left="176"/>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0.873</w:t>
            </w:r>
          </w:p>
        </w:tc>
        <w:tc>
          <w:tcPr>
            <w:tcW w:w="635" w:type="dxa"/>
            <w:vAlign w:val="top"/>
          </w:tcPr>
          <w:p>
            <w:pPr>
              <w:ind w:left="138"/>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0.87</w:t>
            </w:r>
          </w:p>
        </w:tc>
        <w:tc>
          <w:tcPr>
            <w:tcW w:w="810" w:type="dxa"/>
            <w:vAlign w:val="top"/>
          </w:tcPr>
          <w:p>
            <w:pPr>
              <w:ind w:left="242"/>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1.88</w:t>
            </w:r>
          </w:p>
        </w:tc>
        <w:tc>
          <w:tcPr>
            <w:tcW w:w="622" w:type="dxa"/>
            <w:vAlign w:val="top"/>
          </w:tcPr>
          <w:p>
            <w:pPr>
              <w:ind w:left="14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1.88</w:t>
            </w:r>
          </w:p>
        </w:tc>
        <w:tc>
          <w:tcPr>
            <w:tcW w:w="865" w:type="dxa"/>
            <w:vAlign w:val="top"/>
          </w:tcPr>
          <w:p>
            <w:pPr>
              <w:ind w:left="249"/>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2.04</w:t>
            </w:r>
          </w:p>
        </w:tc>
        <w:tc>
          <w:tcPr>
            <w:tcW w:w="608" w:type="dxa"/>
            <w:vAlign w:val="top"/>
          </w:tcPr>
          <w:p>
            <w:pPr>
              <w:ind w:left="121"/>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2.04</w:t>
            </w:r>
          </w:p>
        </w:tc>
        <w:tc>
          <w:tcPr>
            <w:tcW w:w="810" w:type="dxa"/>
            <w:vAlign w:val="top"/>
          </w:tcPr>
          <w:p>
            <w:pPr>
              <w:ind w:left="223"/>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2.22</w:t>
            </w:r>
          </w:p>
        </w:tc>
        <w:tc>
          <w:tcPr>
            <w:tcW w:w="611" w:type="dxa"/>
            <w:vAlign w:val="top"/>
          </w:tcPr>
          <w:p>
            <w:pPr>
              <w:ind w:left="121"/>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2.22</w:t>
            </w:r>
          </w:p>
        </w:tc>
        <w:tc>
          <w:tcPr>
            <w:tcW w:w="919" w:type="dxa"/>
            <w:vAlign w:val="top"/>
          </w:tcPr>
          <w:p>
            <w:pPr>
              <w:ind w:left="299"/>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1.61</w:t>
            </w:r>
          </w:p>
        </w:tc>
        <w:tc>
          <w:tcPr>
            <w:tcW w:w="654" w:type="dxa"/>
            <w:vAlign w:val="top"/>
          </w:tcPr>
          <w:p>
            <w:pPr>
              <w:ind w:left="16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1.61</w:t>
            </w:r>
          </w:p>
        </w:tc>
        <w:tc>
          <w:tcPr>
            <w:tcW w:w="852" w:type="dxa"/>
            <w:vAlign w:val="top"/>
          </w:tcPr>
          <w:p>
            <w:pPr>
              <w:ind w:left="244"/>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2.20</w:t>
            </w:r>
          </w:p>
        </w:tc>
        <w:tc>
          <w:tcPr>
            <w:tcW w:w="632" w:type="dxa"/>
            <w:vAlign w:val="top"/>
          </w:tcPr>
          <w:p>
            <w:pPr>
              <w:ind w:left="136"/>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2.20</w:t>
            </w:r>
          </w:p>
        </w:tc>
        <w:tc>
          <w:tcPr>
            <w:tcW w:w="824" w:type="dxa"/>
            <w:vAlign w:val="top"/>
          </w:tcPr>
          <w:p>
            <w:pPr>
              <w:ind w:left="251"/>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1.55</w:t>
            </w:r>
          </w:p>
        </w:tc>
        <w:tc>
          <w:tcPr>
            <w:tcW w:w="637" w:type="dxa"/>
            <w:vAlign w:val="top"/>
          </w:tcPr>
          <w:p>
            <w:pPr>
              <w:ind w:left="15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1.55</w:t>
            </w:r>
          </w:p>
        </w:tc>
      </w:tr>
      <w:tr>
        <w:trPr>
          <w:trHeight w:val="289" w:hRule="atLeast"/>
        </w:trPr>
        <w:tc>
          <w:tcPr>
            <w:tcW w:w="1365" w:type="dxa"/>
            <w:vAlign w:val="top"/>
          </w:tcPr>
          <w:p>
            <w:pPr>
              <w:pStyle w:val="TableText"/>
              <w:ind w:left="371"/>
              <w:spacing w:before="41" w:line="219" w:lineRule="auto"/>
              <w:rPr/>
            </w:pPr>
            <w:r>
              <w:rPr>
                <w:spacing w:val="7"/>
              </w:rPr>
              <w:t>氰化物</w:t>
            </w:r>
          </w:p>
        </w:tc>
        <w:tc>
          <w:tcPr>
            <w:tcW w:w="1099" w:type="dxa"/>
            <w:vAlign w:val="top"/>
          </w:tcPr>
          <w:p>
            <w:pPr>
              <w:ind w:left="320"/>
              <w:spacing w:before="7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98"/>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≤0.05</w:t>
            </w:r>
          </w:p>
        </w:tc>
        <w:tc>
          <w:tcPr>
            <w:tcW w:w="818" w:type="dxa"/>
            <w:vAlign w:val="top"/>
          </w:tcPr>
          <w:p>
            <w:pPr>
              <w:ind w:left="111"/>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0.002L</w:t>
            </w:r>
          </w:p>
        </w:tc>
        <w:tc>
          <w:tcPr>
            <w:tcW w:w="635" w:type="dxa"/>
            <w:vAlign w:val="top"/>
          </w:tcPr>
          <w:p>
            <w:pPr>
              <w:ind w:left="288"/>
              <w:spacing w:before="166"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08"/>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0.002L</w:t>
            </w:r>
          </w:p>
        </w:tc>
        <w:tc>
          <w:tcPr>
            <w:tcW w:w="622" w:type="dxa"/>
            <w:vAlign w:val="top"/>
          </w:tcPr>
          <w:p>
            <w:pPr>
              <w:ind w:left="280"/>
              <w:spacing w:before="166"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65" w:type="dxa"/>
            <w:vAlign w:val="top"/>
          </w:tcPr>
          <w:p>
            <w:pPr>
              <w:ind w:left="135"/>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0.002L</w:t>
            </w:r>
          </w:p>
        </w:tc>
        <w:tc>
          <w:tcPr>
            <w:tcW w:w="608" w:type="dxa"/>
            <w:vAlign w:val="top"/>
          </w:tcPr>
          <w:p>
            <w:pPr>
              <w:ind w:left="274"/>
              <w:spacing w:before="166"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09"/>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0.002L</w:t>
            </w:r>
          </w:p>
        </w:tc>
        <w:tc>
          <w:tcPr>
            <w:tcW w:w="611" w:type="dxa"/>
            <w:vAlign w:val="top"/>
          </w:tcPr>
          <w:p>
            <w:pPr>
              <w:ind w:left="277"/>
              <w:spacing w:before="166"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919" w:type="dxa"/>
            <w:vAlign w:val="top"/>
          </w:tcPr>
          <w:p>
            <w:pPr>
              <w:ind w:left="164"/>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0.002L</w:t>
            </w:r>
          </w:p>
        </w:tc>
        <w:tc>
          <w:tcPr>
            <w:tcW w:w="654" w:type="dxa"/>
            <w:vAlign w:val="top"/>
          </w:tcPr>
          <w:p>
            <w:pPr>
              <w:ind w:left="300"/>
              <w:spacing w:before="166"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52" w:type="dxa"/>
            <w:vAlign w:val="top"/>
          </w:tcPr>
          <w:p>
            <w:pPr>
              <w:ind w:left="132"/>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0.002L</w:t>
            </w:r>
          </w:p>
        </w:tc>
        <w:tc>
          <w:tcPr>
            <w:tcW w:w="632" w:type="dxa"/>
            <w:vAlign w:val="top"/>
          </w:tcPr>
          <w:p>
            <w:pPr>
              <w:ind w:left="289"/>
              <w:spacing w:before="166"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117"/>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0.002L</w:t>
            </w:r>
          </w:p>
        </w:tc>
        <w:tc>
          <w:tcPr>
            <w:tcW w:w="637" w:type="dxa"/>
            <w:vAlign w:val="top"/>
          </w:tcPr>
          <w:p>
            <w:pPr>
              <w:ind w:left="290"/>
              <w:spacing w:before="166"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89" w:hRule="atLeast"/>
        </w:trPr>
        <w:tc>
          <w:tcPr>
            <w:tcW w:w="1365" w:type="dxa"/>
            <w:vAlign w:val="top"/>
          </w:tcPr>
          <w:p>
            <w:pPr>
              <w:pStyle w:val="TableText"/>
              <w:ind w:left="60"/>
              <w:spacing w:before="40" w:line="220" w:lineRule="auto"/>
              <w:rPr/>
            </w:pPr>
            <w:r>
              <w:rPr>
                <w:spacing w:val="7"/>
              </w:rPr>
              <w:t>溶解性总固体</w:t>
            </w:r>
          </w:p>
        </w:tc>
        <w:tc>
          <w:tcPr>
            <w:tcW w:w="1099" w:type="dxa"/>
            <w:vAlign w:val="top"/>
          </w:tcPr>
          <w:p>
            <w:pPr>
              <w:ind w:left="320"/>
              <w:spacing w:before="7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74"/>
              <w:spacing w:before="7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≤1000</w:t>
            </w:r>
          </w:p>
        </w:tc>
        <w:tc>
          <w:tcPr>
            <w:tcW w:w="818" w:type="dxa"/>
            <w:vAlign w:val="top"/>
          </w:tcPr>
          <w:p>
            <w:pPr>
              <w:ind w:left="256"/>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387</w:t>
            </w:r>
          </w:p>
        </w:tc>
        <w:tc>
          <w:tcPr>
            <w:tcW w:w="635" w:type="dxa"/>
            <w:vAlign w:val="top"/>
          </w:tcPr>
          <w:p>
            <w:pPr>
              <w:ind w:left="138"/>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0.39</w:t>
            </w:r>
          </w:p>
        </w:tc>
        <w:tc>
          <w:tcPr>
            <w:tcW w:w="810" w:type="dxa"/>
            <w:vAlign w:val="top"/>
          </w:tcPr>
          <w:p>
            <w:pPr>
              <w:ind w:left="216"/>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1530</w:t>
            </w:r>
          </w:p>
        </w:tc>
        <w:tc>
          <w:tcPr>
            <w:tcW w:w="622" w:type="dxa"/>
            <w:vAlign w:val="top"/>
          </w:tcPr>
          <w:p>
            <w:pPr>
              <w:ind w:left="14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1.53</w:t>
            </w:r>
          </w:p>
        </w:tc>
        <w:tc>
          <w:tcPr>
            <w:tcW w:w="865" w:type="dxa"/>
            <w:vAlign w:val="top"/>
          </w:tcPr>
          <w:p>
            <w:pPr>
              <w:ind w:left="243"/>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1660</w:t>
            </w:r>
          </w:p>
        </w:tc>
        <w:tc>
          <w:tcPr>
            <w:tcW w:w="608" w:type="dxa"/>
            <w:vAlign w:val="top"/>
          </w:tcPr>
          <w:p>
            <w:pPr>
              <w:ind w:left="141"/>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1.66</w:t>
            </w:r>
          </w:p>
        </w:tc>
        <w:tc>
          <w:tcPr>
            <w:tcW w:w="810" w:type="dxa"/>
            <w:vAlign w:val="top"/>
          </w:tcPr>
          <w:p>
            <w:pPr>
              <w:ind w:left="21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1950</w:t>
            </w:r>
          </w:p>
        </w:tc>
        <w:tc>
          <w:tcPr>
            <w:tcW w:w="611" w:type="dxa"/>
            <w:vAlign w:val="top"/>
          </w:tcPr>
          <w:p>
            <w:pPr>
              <w:ind w:left="142"/>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1.95</w:t>
            </w:r>
          </w:p>
        </w:tc>
        <w:tc>
          <w:tcPr>
            <w:tcW w:w="919" w:type="dxa"/>
            <w:vAlign w:val="top"/>
          </w:tcPr>
          <w:p>
            <w:pPr>
              <w:ind w:left="272"/>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1430</w:t>
            </w:r>
          </w:p>
        </w:tc>
        <w:tc>
          <w:tcPr>
            <w:tcW w:w="654" w:type="dxa"/>
            <w:vAlign w:val="top"/>
          </w:tcPr>
          <w:p>
            <w:pPr>
              <w:ind w:left="16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1.43</w:t>
            </w:r>
          </w:p>
        </w:tc>
        <w:tc>
          <w:tcPr>
            <w:tcW w:w="852" w:type="dxa"/>
            <w:vAlign w:val="top"/>
          </w:tcPr>
          <w:p>
            <w:pPr>
              <w:ind w:left="273"/>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255</w:t>
            </w:r>
          </w:p>
        </w:tc>
        <w:tc>
          <w:tcPr>
            <w:tcW w:w="632" w:type="dxa"/>
            <w:vAlign w:val="top"/>
          </w:tcPr>
          <w:p>
            <w:pPr>
              <w:ind w:left="139"/>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0.26</w:t>
            </w:r>
          </w:p>
        </w:tc>
        <w:tc>
          <w:tcPr>
            <w:tcW w:w="824" w:type="dxa"/>
            <w:vAlign w:val="top"/>
          </w:tcPr>
          <w:p>
            <w:pPr>
              <w:ind w:left="25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263</w:t>
            </w:r>
          </w:p>
        </w:tc>
        <w:tc>
          <w:tcPr>
            <w:tcW w:w="637" w:type="dxa"/>
            <w:vAlign w:val="top"/>
          </w:tcPr>
          <w:p>
            <w:pPr>
              <w:ind w:left="140"/>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0.26</w:t>
            </w:r>
          </w:p>
        </w:tc>
      </w:tr>
      <w:tr>
        <w:trPr>
          <w:trHeight w:val="289" w:hRule="atLeast"/>
        </w:trPr>
        <w:tc>
          <w:tcPr>
            <w:tcW w:w="1365" w:type="dxa"/>
            <w:vAlign w:val="top"/>
          </w:tcPr>
          <w:p>
            <w:pPr>
              <w:pStyle w:val="TableText"/>
              <w:ind w:left="162"/>
              <w:spacing w:before="41" w:line="219" w:lineRule="auto"/>
              <w:rPr/>
            </w:pPr>
            <w:r>
              <w:rPr>
                <w:spacing w:val="8"/>
              </w:rPr>
              <w:t>挥发性酚类</w:t>
            </w:r>
          </w:p>
        </w:tc>
        <w:tc>
          <w:tcPr>
            <w:tcW w:w="1099" w:type="dxa"/>
            <w:vAlign w:val="top"/>
          </w:tcPr>
          <w:p>
            <w:pPr>
              <w:ind w:left="320"/>
              <w:spacing w:before="7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45"/>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≤0.002</w:t>
            </w:r>
          </w:p>
        </w:tc>
        <w:tc>
          <w:tcPr>
            <w:tcW w:w="818" w:type="dxa"/>
            <w:vAlign w:val="top"/>
          </w:tcPr>
          <w:p>
            <w:pPr>
              <w:ind w:left="61"/>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0.0003L</w:t>
            </w:r>
          </w:p>
        </w:tc>
        <w:tc>
          <w:tcPr>
            <w:tcW w:w="635" w:type="dxa"/>
            <w:vAlign w:val="top"/>
          </w:tcPr>
          <w:p>
            <w:pPr>
              <w:ind w:left="288"/>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55"/>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0.0003L</w:t>
            </w:r>
          </w:p>
        </w:tc>
        <w:tc>
          <w:tcPr>
            <w:tcW w:w="622" w:type="dxa"/>
            <w:vAlign w:val="top"/>
          </w:tcPr>
          <w:p>
            <w:pPr>
              <w:ind w:left="280"/>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65" w:type="dxa"/>
            <w:vAlign w:val="top"/>
          </w:tcPr>
          <w:p>
            <w:pPr>
              <w:ind w:left="84"/>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0.0003L</w:t>
            </w:r>
          </w:p>
        </w:tc>
        <w:tc>
          <w:tcPr>
            <w:tcW w:w="608" w:type="dxa"/>
            <w:vAlign w:val="top"/>
          </w:tcPr>
          <w:p>
            <w:pPr>
              <w:ind w:left="274"/>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56"/>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0.0003L</w:t>
            </w:r>
          </w:p>
        </w:tc>
        <w:tc>
          <w:tcPr>
            <w:tcW w:w="611" w:type="dxa"/>
            <w:vAlign w:val="top"/>
          </w:tcPr>
          <w:p>
            <w:pPr>
              <w:ind w:left="277"/>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919" w:type="dxa"/>
            <w:vAlign w:val="top"/>
          </w:tcPr>
          <w:p>
            <w:pPr>
              <w:ind w:left="111"/>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0.0003L</w:t>
            </w:r>
          </w:p>
        </w:tc>
        <w:tc>
          <w:tcPr>
            <w:tcW w:w="654" w:type="dxa"/>
            <w:vAlign w:val="top"/>
          </w:tcPr>
          <w:p>
            <w:pPr>
              <w:ind w:left="300"/>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52" w:type="dxa"/>
            <w:vAlign w:val="top"/>
          </w:tcPr>
          <w:p>
            <w:pPr>
              <w:ind w:left="79"/>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0.0003L</w:t>
            </w:r>
          </w:p>
        </w:tc>
        <w:tc>
          <w:tcPr>
            <w:tcW w:w="632" w:type="dxa"/>
            <w:vAlign w:val="top"/>
          </w:tcPr>
          <w:p>
            <w:pPr>
              <w:ind w:left="289"/>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66"/>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0.0003L</w:t>
            </w:r>
          </w:p>
        </w:tc>
        <w:tc>
          <w:tcPr>
            <w:tcW w:w="637" w:type="dxa"/>
            <w:vAlign w:val="top"/>
          </w:tcPr>
          <w:p>
            <w:pPr>
              <w:ind w:left="290"/>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89" w:hRule="atLeast"/>
        </w:trPr>
        <w:tc>
          <w:tcPr>
            <w:tcW w:w="1365" w:type="dxa"/>
            <w:vAlign w:val="top"/>
          </w:tcPr>
          <w:p>
            <w:pPr>
              <w:pStyle w:val="TableText"/>
              <w:ind w:left="162"/>
              <w:spacing w:before="40" w:line="220" w:lineRule="auto"/>
              <w:rPr/>
            </w:pPr>
            <w:r>
              <w:rPr>
                <w:spacing w:val="6"/>
              </w:rPr>
              <w:t>铬（六价）</w:t>
            </w:r>
          </w:p>
        </w:tc>
        <w:tc>
          <w:tcPr>
            <w:tcW w:w="1099" w:type="dxa"/>
            <w:vAlign w:val="top"/>
          </w:tcPr>
          <w:p>
            <w:pPr>
              <w:ind w:left="320"/>
              <w:spacing w:before="7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98"/>
              <w:spacing w:before="7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≤0.05</w:t>
            </w:r>
          </w:p>
        </w:tc>
        <w:tc>
          <w:tcPr>
            <w:tcW w:w="818" w:type="dxa"/>
            <w:vAlign w:val="top"/>
          </w:tcPr>
          <w:p>
            <w:pPr>
              <w:ind w:left="111"/>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0.004L</w:t>
            </w:r>
          </w:p>
        </w:tc>
        <w:tc>
          <w:tcPr>
            <w:tcW w:w="635" w:type="dxa"/>
            <w:vAlign w:val="top"/>
          </w:tcPr>
          <w:p>
            <w:pPr>
              <w:ind w:left="288"/>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08"/>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0.004L</w:t>
            </w:r>
          </w:p>
        </w:tc>
        <w:tc>
          <w:tcPr>
            <w:tcW w:w="622" w:type="dxa"/>
            <w:vAlign w:val="top"/>
          </w:tcPr>
          <w:p>
            <w:pPr>
              <w:ind w:left="280"/>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65" w:type="dxa"/>
            <w:vAlign w:val="top"/>
          </w:tcPr>
          <w:p>
            <w:pPr>
              <w:ind w:left="135"/>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0.004L</w:t>
            </w:r>
          </w:p>
        </w:tc>
        <w:tc>
          <w:tcPr>
            <w:tcW w:w="608" w:type="dxa"/>
            <w:vAlign w:val="top"/>
          </w:tcPr>
          <w:p>
            <w:pPr>
              <w:ind w:left="274"/>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09"/>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0.004L</w:t>
            </w:r>
          </w:p>
        </w:tc>
        <w:tc>
          <w:tcPr>
            <w:tcW w:w="611" w:type="dxa"/>
            <w:vAlign w:val="top"/>
          </w:tcPr>
          <w:p>
            <w:pPr>
              <w:ind w:left="277"/>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919" w:type="dxa"/>
            <w:vAlign w:val="top"/>
          </w:tcPr>
          <w:p>
            <w:pPr>
              <w:ind w:left="164"/>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0.004L</w:t>
            </w:r>
          </w:p>
        </w:tc>
        <w:tc>
          <w:tcPr>
            <w:tcW w:w="654" w:type="dxa"/>
            <w:vAlign w:val="top"/>
          </w:tcPr>
          <w:p>
            <w:pPr>
              <w:ind w:left="300"/>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52" w:type="dxa"/>
            <w:vAlign w:val="top"/>
          </w:tcPr>
          <w:p>
            <w:pPr>
              <w:ind w:left="132"/>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0.004L</w:t>
            </w:r>
          </w:p>
        </w:tc>
        <w:tc>
          <w:tcPr>
            <w:tcW w:w="632" w:type="dxa"/>
            <w:vAlign w:val="top"/>
          </w:tcPr>
          <w:p>
            <w:pPr>
              <w:ind w:left="289"/>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11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0.004L</w:t>
            </w:r>
          </w:p>
        </w:tc>
        <w:tc>
          <w:tcPr>
            <w:tcW w:w="637" w:type="dxa"/>
            <w:vAlign w:val="top"/>
          </w:tcPr>
          <w:p>
            <w:pPr>
              <w:ind w:left="290"/>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89" w:hRule="atLeast"/>
        </w:trPr>
        <w:tc>
          <w:tcPr>
            <w:tcW w:w="1365" w:type="dxa"/>
            <w:vAlign w:val="top"/>
          </w:tcPr>
          <w:p>
            <w:pPr>
              <w:pStyle w:val="TableText"/>
              <w:ind w:left="168"/>
              <w:spacing w:before="41" w:line="219" w:lineRule="auto"/>
              <w:rPr/>
            </w:pPr>
            <w:r>
              <w:rPr>
                <w:spacing w:val="7"/>
              </w:rPr>
              <w:t>总大肠菌群</w:t>
            </w:r>
          </w:p>
        </w:tc>
        <w:tc>
          <w:tcPr>
            <w:tcW w:w="1099" w:type="dxa"/>
            <w:vAlign w:val="top"/>
          </w:tcPr>
          <w:p>
            <w:pPr>
              <w:ind w:left="9"/>
              <w:spacing w:before="73"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CFU</w:t>
            </w:r>
            <w:r>
              <w:rPr>
                <w:rFonts w:ascii="Times New Roman" w:hAnsi="Times New Roman" w:eastAsia="Times New Roman" w:cs="Times New Roman"/>
                <w:sz w:val="20"/>
                <w:szCs w:val="20"/>
                <w:spacing w:val="8"/>
              </w:rPr>
              <w:t>°/100</w:t>
            </w:r>
            <w:r>
              <w:rPr>
                <w:rFonts w:ascii="Times New Roman" w:hAnsi="Times New Roman" w:eastAsia="Times New Roman" w:cs="Times New Roman"/>
                <w:sz w:val="20"/>
                <w:szCs w:val="20"/>
              </w:rPr>
              <w:t>ml</w:t>
            </w:r>
          </w:p>
        </w:tc>
        <w:tc>
          <w:tcPr>
            <w:tcW w:w="683" w:type="dxa"/>
            <w:vAlign w:val="top"/>
          </w:tcPr>
          <w:p>
            <w:pPr>
              <w:ind w:left="151"/>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w:t>
            </w:r>
          </w:p>
        </w:tc>
        <w:tc>
          <w:tcPr>
            <w:tcW w:w="818" w:type="dxa"/>
            <w:vAlign w:val="top"/>
          </w:tcPr>
          <w:p>
            <w:pPr>
              <w:pStyle w:val="TableText"/>
              <w:ind w:left="101"/>
              <w:spacing w:before="41" w:line="219" w:lineRule="auto"/>
              <w:rPr/>
            </w:pPr>
            <w:r>
              <w:rPr>
                <w:spacing w:val="5"/>
              </w:rPr>
              <w:t>未检出</w:t>
            </w:r>
          </w:p>
        </w:tc>
        <w:tc>
          <w:tcPr>
            <w:tcW w:w="635" w:type="dxa"/>
            <w:vAlign w:val="top"/>
          </w:tcPr>
          <w:p>
            <w:pPr>
              <w:ind w:left="288"/>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pStyle w:val="TableText"/>
              <w:ind w:left="97"/>
              <w:spacing w:before="41" w:line="219" w:lineRule="auto"/>
              <w:rPr/>
            </w:pPr>
            <w:r>
              <w:rPr>
                <w:spacing w:val="5"/>
              </w:rPr>
              <w:t>未检出</w:t>
            </w:r>
          </w:p>
        </w:tc>
        <w:tc>
          <w:tcPr>
            <w:tcW w:w="622" w:type="dxa"/>
            <w:vAlign w:val="top"/>
          </w:tcPr>
          <w:p>
            <w:pPr>
              <w:ind w:left="280"/>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65" w:type="dxa"/>
            <w:vAlign w:val="top"/>
          </w:tcPr>
          <w:p>
            <w:pPr>
              <w:pStyle w:val="TableText"/>
              <w:ind w:left="127"/>
              <w:spacing w:before="41" w:line="219" w:lineRule="auto"/>
              <w:rPr/>
            </w:pPr>
            <w:r>
              <w:rPr>
                <w:spacing w:val="5"/>
              </w:rPr>
              <w:t>未检出</w:t>
            </w:r>
          </w:p>
        </w:tc>
        <w:tc>
          <w:tcPr>
            <w:tcW w:w="608" w:type="dxa"/>
            <w:vAlign w:val="top"/>
          </w:tcPr>
          <w:p>
            <w:pPr>
              <w:ind w:left="274"/>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pStyle w:val="TableText"/>
              <w:ind w:left="99"/>
              <w:spacing w:before="41" w:line="219" w:lineRule="auto"/>
              <w:rPr/>
            </w:pPr>
            <w:r>
              <w:rPr>
                <w:spacing w:val="5"/>
              </w:rPr>
              <w:t>未检出</w:t>
            </w:r>
          </w:p>
        </w:tc>
        <w:tc>
          <w:tcPr>
            <w:tcW w:w="611" w:type="dxa"/>
            <w:vAlign w:val="top"/>
          </w:tcPr>
          <w:p>
            <w:pPr>
              <w:ind w:left="277"/>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919" w:type="dxa"/>
            <w:vAlign w:val="top"/>
          </w:tcPr>
          <w:p>
            <w:pPr>
              <w:pStyle w:val="TableText"/>
              <w:ind w:left="154"/>
              <w:spacing w:before="41" w:line="219" w:lineRule="auto"/>
              <w:rPr/>
            </w:pPr>
            <w:r>
              <w:rPr>
                <w:spacing w:val="5"/>
              </w:rPr>
              <w:t>未检出</w:t>
            </w:r>
          </w:p>
        </w:tc>
        <w:tc>
          <w:tcPr>
            <w:tcW w:w="654" w:type="dxa"/>
            <w:vAlign w:val="top"/>
          </w:tcPr>
          <w:p>
            <w:pPr>
              <w:ind w:left="300"/>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52" w:type="dxa"/>
            <w:vAlign w:val="top"/>
          </w:tcPr>
          <w:p>
            <w:pPr>
              <w:pStyle w:val="TableText"/>
              <w:ind w:left="121"/>
              <w:spacing w:before="41" w:line="219" w:lineRule="auto"/>
              <w:rPr/>
            </w:pPr>
            <w:r>
              <w:rPr>
                <w:spacing w:val="5"/>
              </w:rPr>
              <w:t>未检出</w:t>
            </w:r>
          </w:p>
        </w:tc>
        <w:tc>
          <w:tcPr>
            <w:tcW w:w="632" w:type="dxa"/>
            <w:vAlign w:val="top"/>
          </w:tcPr>
          <w:p>
            <w:pPr>
              <w:ind w:left="289"/>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pStyle w:val="TableText"/>
              <w:ind w:left="109"/>
              <w:spacing w:before="41" w:line="219" w:lineRule="auto"/>
              <w:rPr/>
            </w:pPr>
            <w:r>
              <w:rPr>
                <w:spacing w:val="5"/>
              </w:rPr>
              <w:t>未检出</w:t>
            </w:r>
          </w:p>
        </w:tc>
        <w:tc>
          <w:tcPr>
            <w:tcW w:w="637" w:type="dxa"/>
            <w:vAlign w:val="top"/>
          </w:tcPr>
          <w:p>
            <w:pPr>
              <w:ind w:left="290"/>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89" w:hRule="atLeast"/>
        </w:trPr>
        <w:tc>
          <w:tcPr>
            <w:tcW w:w="1365" w:type="dxa"/>
            <w:vAlign w:val="top"/>
          </w:tcPr>
          <w:p>
            <w:pPr>
              <w:pStyle w:val="TableText"/>
              <w:ind w:left="272"/>
              <w:spacing w:before="40" w:line="220" w:lineRule="auto"/>
              <w:rPr/>
            </w:pPr>
            <w:r>
              <w:rPr>
                <w:spacing w:val="6"/>
              </w:rPr>
              <w:t>菌落总数</w:t>
            </w:r>
          </w:p>
        </w:tc>
        <w:tc>
          <w:tcPr>
            <w:tcW w:w="1099" w:type="dxa"/>
            <w:vAlign w:val="top"/>
          </w:tcPr>
          <w:p>
            <w:pPr>
              <w:ind w:left="208"/>
              <w:spacing w:before="7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CFU/ml</w:t>
            </w:r>
          </w:p>
        </w:tc>
        <w:tc>
          <w:tcPr>
            <w:tcW w:w="683" w:type="dxa"/>
            <w:vAlign w:val="top"/>
          </w:tcPr>
          <w:p>
            <w:pPr>
              <w:ind w:left="124"/>
              <w:spacing w:before="7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≤100</w:t>
            </w:r>
          </w:p>
        </w:tc>
        <w:tc>
          <w:tcPr>
            <w:tcW w:w="818" w:type="dxa"/>
            <w:vAlign w:val="top"/>
          </w:tcPr>
          <w:p>
            <w:pPr>
              <w:ind w:left="309"/>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35</w:t>
            </w:r>
          </w:p>
        </w:tc>
        <w:tc>
          <w:tcPr>
            <w:tcW w:w="635" w:type="dxa"/>
            <w:vAlign w:val="top"/>
          </w:tcPr>
          <w:p>
            <w:pPr>
              <w:ind w:left="138"/>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0.35</w:t>
            </w:r>
          </w:p>
        </w:tc>
        <w:tc>
          <w:tcPr>
            <w:tcW w:w="810" w:type="dxa"/>
            <w:vAlign w:val="top"/>
          </w:tcPr>
          <w:p>
            <w:pPr>
              <w:ind w:left="30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53</w:t>
            </w:r>
          </w:p>
        </w:tc>
        <w:tc>
          <w:tcPr>
            <w:tcW w:w="622" w:type="dxa"/>
            <w:vAlign w:val="top"/>
          </w:tcPr>
          <w:p>
            <w:pPr>
              <w:ind w:left="130"/>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0.53</w:t>
            </w:r>
          </w:p>
        </w:tc>
        <w:tc>
          <w:tcPr>
            <w:tcW w:w="865" w:type="dxa"/>
            <w:vAlign w:val="top"/>
          </w:tcPr>
          <w:p>
            <w:pPr>
              <w:ind w:left="332"/>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70</w:t>
            </w:r>
          </w:p>
        </w:tc>
        <w:tc>
          <w:tcPr>
            <w:tcW w:w="608" w:type="dxa"/>
            <w:vAlign w:val="top"/>
          </w:tcPr>
          <w:p>
            <w:pPr>
              <w:ind w:left="124"/>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0.70</w:t>
            </w:r>
          </w:p>
        </w:tc>
        <w:tc>
          <w:tcPr>
            <w:tcW w:w="810" w:type="dxa"/>
            <w:vAlign w:val="top"/>
          </w:tcPr>
          <w:p>
            <w:pPr>
              <w:ind w:left="303"/>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29</w:t>
            </w:r>
          </w:p>
        </w:tc>
        <w:tc>
          <w:tcPr>
            <w:tcW w:w="611" w:type="dxa"/>
            <w:vAlign w:val="top"/>
          </w:tcPr>
          <w:p>
            <w:pPr>
              <w:ind w:left="125"/>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0.29</w:t>
            </w:r>
          </w:p>
        </w:tc>
        <w:tc>
          <w:tcPr>
            <w:tcW w:w="919" w:type="dxa"/>
            <w:vAlign w:val="top"/>
          </w:tcPr>
          <w:p>
            <w:pPr>
              <w:ind w:left="366"/>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85</w:t>
            </w:r>
          </w:p>
        </w:tc>
        <w:tc>
          <w:tcPr>
            <w:tcW w:w="654" w:type="dxa"/>
            <w:vAlign w:val="top"/>
          </w:tcPr>
          <w:p>
            <w:pPr>
              <w:ind w:left="150"/>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0.85</w:t>
            </w:r>
          </w:p>
        </w:tc>
        <w:tc>
          <w:tcPr>
            <w:tcW w:w="852" w:type="dxa"/>
            <w:vAlign w:val="top"/>
          </w:tcPr>
          <w:p>
            <w:pPr>
              <w:ind w:left="326"/>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73</w:t>
            </w:r>
          </w:p>
        </w:tc>
        <w:tc>
          <w:tcPr>
            <w:tcW w:w="632" w:type="dxa"/>
            <w:vAlign w:val="top"/>
          </w:tcPr>
          <w:p>
            <w:pPr>
              <w:rPr>
                <w:rFonts w:ascii="Arial"/>
                <w:sz w:val="21"/>
              </w:rPr>
            </w:pPr>
            <w:r/>
          </w:p>
        </w:tc>
        <w:tc>
          <w:tcPr>
            <w:tcW w:w="824" w:type="dxa"/>
            <w:vAlign w:val="top"/>
          </w:tcPr>
          <w:p>
            <w:pPr>
              <w:ind w:left="316"/>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637" w:type="dxa"/>
            <w:vAlign w:val="top"/>
          </w:tcPr>
          <w:p>
            <w:pPr>
              <w:rPr>
                <w:rFonts w:ascii="Arial"/>
                <w:sz w:val="21"/>
              </w:rPr>
            </w:pPr>
            <w:r/>
          </w:p>
        </w:tc>
      </w:tr>
      <w:tr>
        <w:trPr>
          <w:trHeight w:val="289" w:hRule="atLeast"/>
        </w:trPr>
        <w:tc>
          <w:tcPr>
            <w:tcW w:w="1365" w:type="dxa"/>
            <w:vAlign w:val="top"/>
          </w:tcPr>
          <w:p>
            <w:pPr>
              <w:pStyle w:val="TableText"/>
              <w:ind w:left="582"/>
              <w:spacing w:before="41" w:line="219" w:lineRule="auto"/>
              <w:rPr/>
            </w:pPr>
            <w:r>
              <w:rPr>
                <w:spacing w:val="1"/>
              </w:rPr>
              <w:t>砷</w:t>
            </w:r>
          </w:p>
        </w:tc>
        <w:tc>
          <w:tcPr>
            <w:tcW w:w="1099" w:type="dxa"/>
            <w:vAlign w:val="top"/>
          </w:tcPr>
          <w:p>
            <w:pPr>
              <w:ind w:left="354"/>
              <w:spacing w:before="7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μg/L</w:t>
            </w:r>
          </w:p>
        </w:tc>
        <w:tc>
          <w:tcPr>
            <w:tcW w:w="683" w:type="dxa"/>
            <w:vAlign w:val="top"/>
          </w:tcPr>
          <w:p>
            <w:pPr>
              <w:ind w:left="17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≤50</w:t>
            </w:r>
          </w:p>
        </w:tc>
        <w:tc>
          <w:tcPr>
            <w:tcW w:w="818" w:type="dxa"/>
            <w:vAlign w:val="top"/>
          </w:tcPr>
          <w:p>
            <w:pPr>
              <w:ind w:left="217"/>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0.3L</w:t>
            </w:r>
          </w:p>
        </w:tc>
        <w:tc>
          <w:tcPr>
            <w:tcW w:w="635" w:type="dxa"/>
            <w:vAlign w:val="top"/>
          </w:tcPr>
          <w:p>
            <w:pPr>
              <w:ind w:left="288"/>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213"/>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0.3L</w:t>
            </w:r>
          </w:p>
        </w:tc>
        <w:tc>
          <w:tcPr>
            <w:tcW w:w="622" w:type="dxa"/>
            <w:vAlign w:val="top"/>
          </w:tcPr>
          <w:p>
            <w:pPr>
              <w:ind w:left="280"/>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65" w:type="dxa"/>
            <w:vAlign w:val="top"/>
          </w:tcPr>
          <w:p>
            <w:pPr>
              <w:ind w:left="240"/>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0.3L</w:t>
            </w:r>
          </w:p>
        </w:tc>
        <w:tc>
          <w:tcPr>
            <w:tcW w:w="608" w:type="dxa"/>
            <w:vAlign w:val="top"/>
          </w:tcPr>
          <w:p>
            <w:pPr>
              <w:ind w:left="274"/>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215"/>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0.3L</w:t>
            </w:r>
          </w:p>
        </w:tc>
        <w:tc>
          <w:tcPr>
            <w:tcW w:w="611" w:type="dxa"/>
            <w:vAlign w:val="top"/>
          </w:tcPr>
          <w:p>
            <w:pPr>
              <w:ind w:left="277"/>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919" w:type="dxa"/>
            <w:vAlign w:val="top"/>
          </w:tcPr>
          <w:p>
            <w:pPr>
              <w:ind w:left="270"/>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0.3L</w:t>
            </w:r>
          </w:p>
        </w:tc>
        <w:tc>
          <w:tcPr>
            <w:tcW w:w="654" w:type="dxa"/>
            <w:vAlign w:val="top"/>
          </w:tcPr>
          <w:p>
            <w:pPr>
              <w:ind w:left="300"/>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52" w:type="dxa"/>
            <w:vAlign w:val="top"/>
          </w:tcPr>
          <w:p>
            <w:pPr>
              <w:ind w:left="237"/>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0.3L</w:t>
            </w:r>
          </w:p>
        </w:tc>
        <w:tc>
          <w:tcPr>
            <w:tcW w:w="632" w:type="dxa"/>
            <w:vAlign w:val="top"/>
          </w:tcPr>
          <w:p>
            <w:pPr>
              <w:ind w:left="289"/>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222"/>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0.3L</w:t>
            </w:r>
          </w:p>
        </w:tc>
        <w:tc>
          <w:tcPr>
            <w:tcW w:w="637" w:type="dxa"/>
            <w:vAlign w:val="top"/>
          </w:tcPr>
          <w:p>
            <w:pPr>
              <w:ind w:left="290"/>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89" w:hRule="atLeast"/>
        </w:trPr>
        <w:tc>
          <w:tcPr>
            <w:tcW w:w="1365" w:type="dxa"/>
            <w:vAlign w:val="top"/>
          </w:tcPr>
          <w:p>
            <w:pPr>
              <w:pStyle w:val="TableText"/>
              <w:ind w:left="583"/>
              <w:spacing w:before="40" w:line="220" w:lineRule="auto"/>
              <w:rPr/>
            </w:pPr>
            <w:r>
              <w:rPr/>
              <w:t>汞</w:t>
            </w:r>
          </w:p>
        </w:tc>
        <w:tc>
          <w:tcPr>
            <w:tcW w:w="1099" w:type="dxa"/>
            <w:vAlign w:val="top"/>
          </w:tcPr>
          <w:p>
            <w:pPr>
              <w:ind w:left="354"/>
              <w:spacing w:before="7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μg/L</w:t>
            </w:r>
          </w:p>
        </w:tc>
        <w:tc>
          <w:tcPr>
            <w:tcW w:w="683" w:type="dxa"/>
            <w:vAlign w:val="top"/>
          </w:tcPr>
          <w:p>
            <w:pPr>
              <w:ind w:left="230"/>
              <w:spacing w:before="7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w:t>
            </w:r>
          </w:p>
        </w:tc>
        <w:tc>
          <w:tcPr>
            <w:tcW w:w="818" w:type="dxa"/>
            <w:vAlign w:val="top"/>
          </w:tcPr>
          <w:p>
            <w:pPr>
              <w:ind w:left="164"/>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0.04L</w:t>
            </w:r>
          </w:p>
        </w:tc>
        <w:tc>
          <w:tcPr>
            <w:tcW w:w="635" w:type="dxa"/>
            <w:vAlign w:val="top"/>
          </w:tcPr>
          <w:p>
            <w:pPr>
              <w:ind w:left="288"/>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60"/>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0.04L</w:t>
            </w:r>
          </w:p>
        </w:tc>
        <w:tc>
          <w:tcPr>
            <w:tcW w:w="622" w:type="dxa"/>
            <w:vAlign w:val="top"/>
          </w:tcPr>
          <w:p>
            <w:pPr>
              <w:ind w:left="280"/>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65" w:type="dxa"/>
            <w:vAlign w:val="top"/>
          </w:tcPr>
          <w:p>
            <w:pPr>
              <w:ind w:left="188"/>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0.04L</w:t>
            </w:r>
          </w:p>
        </w:tc>
        <w:tc>
          <w:tcPr>
            <w:tcW w:w="608" w:type="dxa"/>
            <w:vAlign w:val="top"/>
          </w:tcPr>
          <w:p>
            <w:pPr>
              <w:ind w:left="274"/>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62"/>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0.04L</w:t>
            </w:r>
          </w:p>
        </w:tc>
        <w:tc>
          <w:tcPr>
            <w:tcW w:w="611" w:type="dxa"/>
            <w:vAlign w:val="top"/>
          </w:tcPr>
          <w:p>
            <w:pPr>
              <w:ind w:left="277"/>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919" w:type="dxa"/>
            <w:vAlign w:val="top"/>
          </w:tcPr>
          <w:p>
            <w:pPr>
              <w:ind w:left="21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0.04L</w:t>
            </w:r>
          </w:p>
        </w:tc>
        <w:tc>
          <w:tcPr>
            <w:tcW w:w="654" w:type="dxa"/>
            <w:vAlign w:val="top"/>
          </w:tcPr>
          <w:p>
            <w:pPr>
              <w:ind w:left="300"/>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52" w:type="dxa"/>
            <w:vAlign w:val="top"/>
          </w:tcPr>
          <w:p>
            <w:pPr>
              <w:ind w:left="185"/>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0.04L</w:t>
            </w:r>
          </w:p>
        </w:tc>
        <w:tc>
          <w:tcPr>
            <w:tcW w:w="632" w:type="dxa"/>
            <w:vAlign w:val="top"/>
          </w:tcPr>
          <w:p>
            <w:pPr>
              <w:ind w:left="289"/>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172"/>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0.04L</w:t>
            </w:r>
          </w:p>
        </w:tc>
        <w:tc>
          <w:tcPr>
            <w:tcW w:w="637" w:type="dxa"/>
            <w:vAlign w:val="top"/>
          </w:tcPr>
          <w:p>
            <w:pPr>
              <w:ind w:left="290"/>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89" w:hRule="atLeast"/>
        </w:trPr>
        <w:tc>
          <w:tcPr>
            <w:tcW w:w="1365" w:type="dxa"/>
            <w:vAlign w:val="top"/>
          </w:tcPr>
          <w:p>
            <w:pPr>
              <w:pStyle w:val="TableText"/>
              <w:ind w:left="583"/>
              <w:spacing w:before="41" w:line="219" w:lineRule="auto"/>
              <w:rPr/>
            </w:pPr>
            <w:r>
              <w:rPr/>
              <w:t>铅</w:t>
            </w:r>
          </w:p>
        </w:tc>
        <w:tc>
          <w:tcPr>
            <w:tcW w:w="1099" w:type="dxa"/>
            <w:vAlign w:val="top"/>
          </w:tcPr>
          <w:p>
            <w:pPr>
              <w:ind w:left="354"/>
              <w:spacing w:before="7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μg/L</w:t>
            </w:r>
          </w:p>
        </w:tc>
        <w:tc>
          <w:tcPr>
            <w:tcW w:w="683" w:type="dxa"/>
            <w:vAlign w:val="top"/>
          </w:tcPr>
          <w:p>
            <w:pPr>
              <w:ind w:left="17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w:t>
            </w:r>
          </w:p>
        </w:tc>
        <w:tc>
          <w:tcPr>
            <w:tcW w:w="818" w:type="dxa"/>
            <w:vAlign w:val="top"/>
          </w:tcPr>
          <w:p>
            <w:pPr>
              <w:ind w:left="313"/>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1L</w:t>
            </w:r>
          </w:p>
        </w:tc>
        <w:tc>
          <w:tcPr>
            <w:tcW w:w="635" w:type="dxa"/>
            <w:vAlign w:val="top"/>
          </w:tcPr>
          <w:p>
            <w:pPr>
              <w:ind w:left="288"/>
              <w:spacing w:before="166"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309"/>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1L</w:t>
            </w:r>
          </w:p>
        </w:tc>
        <w:tc>
          <w:tcPr>
            <w:tcW w:w="622" w:type="dxa"/>
            <w:vAlign w:val="top"/>
          </w:tcPr>
          <w:p>
            <w:pPr>
              <w:ind w:left="280"/>
              <w:spacing w:before="166"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65" w:type="dxa"/>
            <w:vAlign w:val="top"/>
          </w:tcPr>
          <w:p>
            <w:pPr>
              <w:ind w:left="337"/>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1L</w:t>
            </w:r>
          </w:p>
        </w:tc>
        <w:tc>
          <w:tcPr>
            <w:tcW w:w="608" w:type="dxa"/>
            <w:vAlign w:val="top"/>
          </w:tcPr>
          <w:p>
            <w:pPr>
              <w:ind w:left="274"/>
              <w:spacing w:before="166"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311"/>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1L</w:t>
            </w:r>
          </w:p>
        </w:tc>
        <w:tc>
          <w:tcPr>
            <w:tcW w:w="611" w:type="dxa"/>
            <w:vAlign w:val="top"/>
          </w:tcPr>
          <w:p>
            <w:pPr>
              <w:ind w:left="277"/>
              <w:spacing w:before="166"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919" w:type="dxa"/>
            <w:vAlign w:val="top"/>
          </w:tcPr>
          <w:p>
            <w:pPr>
              <w:ind w:left="366"/>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1L</w:t>
            </w:r>
          </w:p>
        </w:tc>
        <w:tc>
          <w:tcPr>
            <w:tcW w:w="654" w:type="dxa"/>
            <w:vAlign w:val="top"/>
          </w:tcPr>
          <w:p>
            <w:pPr>
              <w:ind w:left="300"/>
              <w:spacing w:before="166"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52" w:type="dxa"/>
            <w:vAlign w:val="top"/>
          </w:tcPr>
          <w:p>
            <w:pPr>
              <w:ind w:left="334"/>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1L</w:t>
            </w:r>
          </w:p>
        </w:tc>
        <w:tc>
          <w:tcPr>
            <w:tcW w:w="632" w:type="dxa"/>
            <w:vAlign w:val="top"/>
          </w:tcPr>
          <w:p>
            <w:pPr>
              <w:ind w:left="289"/>
              <w:spacing w:before="166"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318"/>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1L</w:t>
            </w:r>
          </w:p>
        </w:tc>
        <w:tc>
          <w:tcPr>
            <w:tcW w:w="637" w:type="dxa"/>
            <w:vAlign w:val="top"/>
          </w:tcPr>
          <w:p>
            <w:pPr>
              <w:ind w:left="290"/>
              <w:spacing w:before="166"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89" w:hRule="atLeast"/>
        </w:trPr>
        <w:tc>
          <w:tcPr>
            <w:tcW w:w="1365" w:type="dxa"/>
            <w:vAlign w:val="top"/>
          </w:tcPr>
          <w:p>
            <w:pPr>
              <w:pStyle w:val="TableText"/>
              <w:ind w:left="582"/>
              <w:spacing w:before="40" w:line="220" w:lineRule="auto"/>
              <w:rPr/>
            </w:pPr>
            <w:r>
              <w:rPr>
                <w:spacing w:val="1"/>
              </w:rPr>
              <w:t>铁</w:t>
            </w:r>
          </w:p>
        </w:tc>
        <w:tc>
          <w:tcPr>
            <w:tcW w:w="1099" w:type="dxa"/>
            <w:vAlign w:val="top"/>
          </w:tcPr>
          <w:p>
            <w:pPr>
              <w:ind w:left="320"/>
              <w:spacing w:before="7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151"/>
              <w:spacing w:before="7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≤0.3</w:t>
            </w:r>
          </w:p>
        </w:tc>
        <w:tc>
          <w:tcPr>
            <w:tcW w:w="818" w:type="dxa"/>
            <w:vAlign w:val="top"/>
          </w:tcPr>
          <w:p>
            <w:pPr>
              <w:ind w:left="164"/>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0.03L</w:t>
            </w:r>
          </w:p>
        </w:tc>
        <w:tc>
          <w:tcPr>
            <w:tcW w:w="635" w:type="dxa"/>
            <w:vAlign w:val="top"/>
          </w:tcPr>
          <w:p>
            <w:pPr>
              <w:ind w:left="288"/>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60"/>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0.03L</w:t>
            </w:r>
          </w:p>
        </w:tc>
        <w:tc>
          <w:tcPr>
            <w:tcW w:w="622" w:type="dxa"/>
            <w:vAlign w:val="top"/>
          </w:tcPr>
          <w:p>
            <w:pPr>
              <w:ind w:left="280"/>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65" w:type="dxa"/>
            <w:vAlign w:val="top"/>
          </w:tcPr>
          <w:p>
            <w:pPr>
              <w:ind w:left="188"/>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0.03L</w:t>
            </w:r>
          </w:p>
        </w:tc>
        <w:tc>
          <w:tcPr>
            <w:tcW w:w="608" w:type="dxa"/>
            <w:vAlign w:val="top"/>
          </w:tcPr>
          <w:p>
            <w:pPr>
              <w:ind w:left="274"/>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62"/>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0.03L</w:t>
            </w:r>
          </w:p>
        </w:tc>
        <w:tc>
          <w:tcPr>
            <w:tcW w:w="611" w:type="dxa"/>
            <w:vAlign w:val="top"/>
          </w:tcPr>
          <w:p>
            <w:pPr>
              <w:ind w:left="277"/>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919" w:type="dxa"/>
            <w:vAlign w:val="top"/>
          </w:tcPr>
          <w:p>
            <w:pPr>
              <w:ind w:left="21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0.03L</w:t>
            </w:r>
          </w:p>
        </w:tc>
        <w:tc>
          <w:tcPr>
            <w:tcW w:w="654" w:type="dxa"/>
            <w:vAlign w:val="top"/>
          </w:tcPr>
          <w:p>
            <w:pPr>
              <w:ind w:left="300"/>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52" w:type="dxa"/>
            <w:vAlign w:val="top"/>
          </w:tcPr>
          <w:p>
            <w:pPr>
              <w:ind w:left="185"/>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0.03L</w:t>
            </w:r>
          </w:p>
        </w:tc>
        <w:tc>
          <w:tcPr>
            <w:tcW w:w="632" w:type="dxa"/>
            <w:vAlign w:val="top"/>
          </w:tcPr>
          <w:p>
            <w:pPr>
              <w:ind w:left="289"/>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172"/>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0.03L</w:t>
            </w:r>
          </w:p>
        </w:tc>
        <w:tc>
          <w:tcPr>
            <w:tcW w:w="637" w:type="dxa"/>
            <w:vAlign w:val="top"/>
          </w:tcPr>
          <w:p>
            <w:pPr>
              <w:ind w:left="290"/>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89" w:hRule="atLeast"/>
        </w:trPr>
        <w:tc>
          <w:tcPr>
            <w:tcW w:w="1365" w:type="dxa"/>
            <w:vAlign w:val="top"/>
          </w:tcPr>
          <w:p>
            <w:pPr>
              <w:pStyle w:val="TableText"/>
              <w:ind w:left="583"/>
              <w:spacing w:before="41" w:line="219" w:lineRule="auto"/>
              <w:rPr/>
            </w:pPr>
            <w:r>
              <w:rPr/>
              <w:t>锰</w:t>
            </w:r>
          </w:p>
        </w:tc>
        <w:tc>
          <w:tcPr>
            <w:tcW w:w="1099" w:type="dxa"/>
            <w:vAlign w:val="top"/>
          </w:tcPr>
          <w:p>
            <w:pPr>
              <w:ind w:left="320"/>
              <w:spacing w:before="7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98"/>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≤0.10</w:t>
            </w:r>
          </w:p>
        </w:tc>
        <w:tc>
          <w:tcPr>
            <w:tcW w:w="818" w:type="dxa"/>
            <w:vAlign w:val="top"/>
          </w:tcPr>
          <w:p>
            <w:pPr>
              <w:ind w:left="164"/>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0.01L</w:t>
            </w:r>
          </w:p>
        </w:tc>
        <w:tc>
          <w:tcPr>
            <w:tcW w:w="635" w:type="dxa"/>
            <w:vAlign w:val="top"/>
          </w:tcPr>
          <w:p>
            <w:pPr>
              <w:ind w:left="288"/>
              <w:spacing w:before="166"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60"/>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0.01L</w:t>
            </w:r>
          </w:p>
        </w:tc>
        <w:tc>
          <w:tcPr>
            <w:tcW w:w="622" w:type="dxa"/>
            <w:vAlign w:val="top"/>
          </w:tcPr>
          <w:p>
            <w:pPr>
              <w:ind w:left="280"/>
              <w:spacing w:before="166"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65" w:type="dxa"/>
            <w:vAlign w:val="top"/>
          </w:tcPr>
          <w:p>
            <w:pPr>
              <w:ind w:left="188"/>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0.01L</w:t>
            </w:r>
          </w:p>
        </w:tc>
        <w:tc>
          <w:tcPr>
            <w:tcW w:w="608" w:type="dxa"/>
            <w:vAlign w:val="top"/>
          </w:tcPr>
          <w:p>
            <w:pPr>
              <w:ind w:left="274"/>
              <w:spacing w:before="166"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62"/>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0.01L</w:t>
            </w:r>
          </w:p>
        </w:tc>
        <w:tc>
          <w:tcPr>
            <w:tcW w:w="611" w:type="dxa"/>
            <w:vAlign w:val="top"/>
          </w:tcPr>
          <w:p>
            <w:pPr>
              <w:ind w:left="277"/>
              <w:spacing w:before="166"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919" w:type="dxa"/>
            <w:vAlign w:val="top"/>
          </w:tcPr>
          <w:p>
            <w:pPr>
              <w:ind w:left="217"/>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0.01L</w:t>
            </w:r>
          </w:p>
        </w:tc>
        <w:tc>
          <w:tcPr>
            <w:tcW w:w="654" w:type="dxa"/>
            <w:vAlign w:val="top"/>
          </w:tcPr>
          <w:p>
            <w:pPr>
              <w:ind w:left="300"/>
              <w:spacing w:before="166"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52" w:type="dxa"/>
            <w:vAlign w:val="top"/>
          </w:tcPr>
          <w:p>
            <w:pPr>
              <w:ind w:left="185"/>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0.01L</w:t>
            </w:r>
          </w:p>
        </w:tc>
        <w:tc>
          <w:tcPr>
            <w:tcW w:w="632" w:type="dxa"/>
            <w:vAlign w:val="top"/>
          </w:tcPr>
          <w:p>
            <w:pPr>
              <w:ind w:left="289"/>
              <w:spacing w:before="166"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172"/>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0.01L</w:t>
            </w:r>
          </w:p>
        </w:tc>
        <w:tc>
          <w:tcPr>
            <w:tcW w:w="637" w:type="dxa"/>
            <w:vAlign w:val="top"/>
          </w:tcPr>
          <w:p>
            <w:pPr>
              <w:ind w:left="290"/>
              <w:spacing w:before="166"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89" w:hRule="atLeast"/>
        </w:trPr>
        <w:tc>
          <w:tcPr>
            <w:tcW w:w="1365" w:type="dxa"/>
            <w:vAlign w:val="top"/>
          </w:tcPr>
          <w:p>
            <w:pPr>
              <w:pStyle w:val="TableText"/>
              <w:ind w:left="581"/>
              <w:spacing w:before="40" w:line="220" w:lineRule="auto"/>
              <w:rPr/>
            </w:pPr>
            <w:r>
              <w:rPr>
                <w:spacing w:val="2"/>
              </w:rPr>
              <w:t>镉</w:t>
            </w:r>
          </w:p>
        </w:tc>
        <w:tc>
          <w:tcPr>
            <w:tcW w:w="1099" w:type="dxa"/>
            <w:vAlign w:val="top"/>
          </w:tcPr>
          <w:p>
            <w:pPr>
              <w:ind w:left="354"/>
              <w:spacing w:before="7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μg/L</w:t>
            </w:r>
          </w:p>
        </w:tc>
        <w:tc>
          <w:tcPr>
            <w:tcW w:w="683" w:type="dxa"/>
            <w:vAlign w:val="top"/>
          </w:tcPr>
          <w:p>
            <w:pPr>
              <w:ind w:left="230"/>
              <w:spacing w:before="8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w:t>
            </w:r>
          </w:p>
        </w:tc>
        <w:tc>
          <w:tcPr>
            <w:tcW w:w="818" w:type="dxa"/>
            <w:vAlign w:val="top"/>
          </w:tcPr>
          <w:p>
            <w:pPr>
              <w:ind w:left="21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4"/>
              </w:rPr>
              <w:t>1L</w:t>
            </w:r>
          </w:p>
        </w:tc>
        <w:tc>
          <w:tcPr>
            <w:tcW w:w="635" w:type="dxa"/>
            <w:vAlign w:val="top"/>
          </w:tcPr>
          <w:p>
            <w:pPr>
              <w:ind w:left="288"/>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213"/>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4"/>
              </w:rPr>
              <w:t>1L</w:t>
            </w:r>
          </w:p>
        </w:tc>
        <w:tc>
          <w:tcPr>
            <w:tcW w:w="622" w:type="dxa"/>
            <w:vAlign w:val="top"/>
          </w:tcPr>
          <w:p>
            <w:pPr>
              <w:ind w:left="280"/>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65" w:type="dxa"/>
            <w:vAlign w:val="top"/>
          </w:tcPr>
          <w:p>
            <w:pPr>
              <w:ind w:left="240"/>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4"/>
              </w:rPr>
              <w:t>1L</w:t>
            </w:r>
          </w:p>
        </w:tc>
        <w:tc>
          <w:tcPr>
            <w:tcW w:w="608" w:type="dxa"/>
            <w:vAlign w:val="top"/>
          </w:tcPr>
          <w:p>
            <w:pPr>
              <w:ind w:left="274"/>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215"/>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4"/>
              </w:rPr>
              <w:t>1L</w:t>
            </w:r>
          </w:p>
        </w:tc>
        <w:tc>
          <w:tcPr>
            <w:tcW w:w="611" w:type="dxa"/>
            <w:vAlign w:val="top"/>
          </w:tcPr>
          <w:p>
            <w:pPr>
              <w:ind w:left="277"/>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919" w:type="dxa"/>
            <w:vAlign w:val="top"/>
          </w:tcPr>
          <w:p>
            <w:pPr>
              <w:ind w:left="270"/>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4"/>
              </w:rPr>
              <w:t>1L</w:t>
            </w:r>
          </w:p>
        </w:tc>
        <w:tc>
          <w:tcPr>
            <w:tcW w:w="654" w:type="dxa"/>
            <w:vAlign w:val="top"/>
          </w:tcPr>
          <w:p>
            <w:pPr>
              <w:ind w:left="300"/>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52" w:type="dxa"/>
            <w:vAlign w:val="top"/>
          </w:tcPr>
          <w:p>
            <w:pPr>
              <w:ind w:left="23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4"/>
              </w:rPr>
              <w:t>1L</w:t>
            </w:r>
          </w:p>
        </w:tc>
        <w:tc>
          <w:tcPr>
            <w:tcW w:w="632" w:type="dxa"/>
            <w:vAlign w:val="top"/>
          </w:tcPr>
          <w:p>
            <w:pPr>
              <w:ind w:left="289"/>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222"/>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4"/>
              </w:rPr>
              <w:t>1L</w:t>
            </w:r>
          </w:p>
        </w:tc>
        <w:tc>
          <w:tcPr>
            <w:tcW w:w="637" w:type="dxa"/>
            <w:vAlign w:val="top"/>
          </w:tcPr>
          <w:p>
            <w:pPr>
              <w:ind w:left="290"/>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89" w:hRule="atLeast"/>
        </w:trPr>
        <w:tc>
          <w:tcPr>
            <w:tcW w:w="1365" w:type="dxa"/>
            <w:vAlign w:val="top"/>
          </w:tcPr>
          <w:p>
            <w:pPr>
              <w:pStyle w:val="TableText"/>
              <w:ind w:left="581"/>
              <w:spacing w:before="41" w:line="219" w:lineRule="auto"/>
              <w:rPr/>
            </w:pPr>
            <w:r>
              <w:rPr>
                <w:spacing w:val="2"/>
              </w:rPr>
              <w:t>硒</w:t>
            </w:r>
          </w:p>
        </w:tc>
        <w:tc>
          <w:tcPr>
            <w:tcW w:w="1099" w:type="dxa"/>
            <w:vAlign w:val="top"/>
          </w:tcPr>
          <w:p>
            <w:pPr>
              <w:ind w:left="320"/>
              <w:spacing w:before="7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98"/>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≤0.01</w:t>
            </w:r>
          </w:p>
        </w:tc>
        <w:tc>
          <w:tcPr>
            <w:tcW w:w="818" w:type="dxa"/>
            <w:vAlign w:val="top"/>
          </w:tcPr>
          <w:p>
            <w:pPr>
              <w:ind w:left="61"/>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0.0004L</w:t>
            </w:r>
          </w:p>
        </w:tc>
        <w:tc>
          <w:tcPr>
            <w:tcW w:w="635" w:type="dxa"/>
            <w:vAlign w:val="top"/>
          </w:tcPr>
          <w:p>
            <w:pPr>
              <w:ind w:left="288"/>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55"/>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0.0004L</w:t>
            </w:r>
          </w:p>
        </w:tc>
        <w:tc>
          <w:tcPr>
            <w:tcW w:w="622" w:type="dxa"/>
            <w:vAlign w:val="top"/>
          </w:tcPr>
          <w:p>
            <w:pPr>
              <w:ind w:left="280"/>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65" w:type="dxa"/>
            <w:vAlign w:val="top"/>
          </w:tcPr>
          <w:p>
            <w:pPr>
              <w:ind w:left="84"/>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0.0004L</w:t>
            </w:r>
          </w:p>
        </w:tc>
        <w:tc>
          <w:tcPr>
            <w:tcW w:w="608" w:type="dxa"/>
            <w:vAlign w:val="top"/>
          </w:tcPr>
          <w:p>
            <w:pPr>
              <w:ind w:left="274"/>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56"/>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0.0004L</w:t>
            </w:r>
          </w:p>
        </w:tc>
        <w:tc>
          <w:tcPr>
            <w:tcW w:w="611" w:type="dxa"/>
            <w:vAlign w:val="top"/>
          </w:tcPr>
          <w:p>
            <w:pPr>
              <w:ind w:left="277"/>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919" w:type="dxa"/>
            <w:vAlign w:val="top"/>
          </w:tcPr>
          <w:p>
            <w:pPr>
              <w:ind w:left="111"/>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0.0004L</w:t>
            </w:r>
          </w:p>
        </w:tc>
        <w:tc>
          <w:tcPr>
            <w:tcW w:w="654" w:type="dxa"/>
            <w:vAlign w:val="top"/>
          </w:tcPr>
          <w:p>
            <w:pPr>
              <w:ind w:left="300"/>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52" w:type="dxa"/>
            <w:vAlign w:val="top"/>
          </w:tcPr>
          <w:p>
            <w:pPr>
              <w:ind w:left="79"/>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0.0004L</w:t>
            </w:r>
          </w:p>
        </w:tc>
        <w:tc>
          <w:tcPr>
            <w:tcW w:w="632" w:type="dxa"/>
            <w:vAlign w:val="top"/>
          </w:tcPr>
          <w:p>
            <w:pPr>
              <w:ind w:left="289"/>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66"/>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0.0004L</w:t>
            </w:r>
          </w:p>
        </w:tc>
        <w:tc>
          <w:tcPr>
            <w:tcW w:w="637" w:type="dxa"/>
            <w:vAlign w:val="top"/>
          </w:tcPr>
          <w:p>
            <w:pPr>
              <w:ind w:left="290"/>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91" w:hRule="atLeast"/>
        </w:trPr>
        <w:tc>
          <w:tcPr>
            <w:tcW w:w="1365" w:type="dxa"/>
            <w:vAlign w:val="top"/>
          </w:tcPr>
          <w:p>
            <w:pPr>
              <w:pStyle w:val="TableText"/>
              <w:ind w:left="583"/>
              <w:spacing w:before="40" w:line="222" w:lineRule="auto"/>
              <w:rPr/>
            </w:pPr>
            <w:r>
              <w:rPr/>
              <w:t>铝</w:t>
            </w:r>
          </w:p>
        </w:tc>
        <w:tc>
          <w:tcPr>
            <w:tcW w:w="1099" w:type="dxa"/>
            <w:vAlign w:val="top"/>
          </w:tcPr>
          <w:p>
            <w:pPr>
              <w:ind w:left="320"/>
              <w:spacing w:before="7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98"/>
              <w:spacing w:before="7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≤0.20</w:t>
            </w:r>
          </w:p>
        </w:tc>
        <w:tc>
          <w:tcPr>
            <w:tcW w:w="818" w:type="dxa"/>
            <w:vAlign w:val="top"/>
          </w:tcPr>
          <w:p>
            <w:pPr>
              <w:ind w:left="164"/>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0.01L</w:t>
            </w:r>
          </w:p>
        </w:tc>
        <w:tc>
          <w:tcPr>
            <w:tcW w:w="635" w:type="dxa"/>
            <w:vAlign w:val="top"/>
          </w:tcPr>
          <w:p>
            <w:pPr>
              <w:ind w:left="288"/>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60"/>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0.01L</w:t>
            </w:r>
          </w:p>
        </w:tc>
        <w:tc>
          <w:tcPr>
            <w:tcW w:w="622" w:type="dxa"/>
            <w:vAlign w:val="top"/>
          </w:tcPr>
          <w:p>
            <w:pPr>
              <w:ind w:left="280"/>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65" w:type="dxa"/>
            <w:vAlign w:val="top"/>
          </w:tcPr>
          <w:p>
            <w:pPr>
              <w:ind w:left="188"/>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0.01L</w:t>
            </w:r>
          </w:p>
        </w:tc>
        <w:tc>
          <w:tcPr>
            <w:tcW w:w="608" w:type="dxa"/>
            <w:vAlign w:val="top"/>
          </w:tcPr>
          <w:p>
            <w:pPr>
              <w:ind w:left="274"/>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62"/>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0.01L</w:t>
            </w:r>
          </w:p>
        </w:tc>
        <w:tc>
          <w:tcPr>
            <w:tcW w:w="611" w:type="dxa"/>
            <w:vAlign w:val="top"/>
          </w:tcPr>
          <w:p>
            <w:pPr>
              <w:ind w:left="277"/>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919" w:type="dxa"/>
            <w:vAlign w:val="top"/>
          </w:tcPr>
          <w:p>
            <w:pPr>
              <w:ind w:left="21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0.01L</w:t>
            </w:r>
          </w:p>
        </w:tc>
        <w:tc>
          <w:tcPr>
            <w:tcW w:w="654" w:type="dxa"/>
            <w:vAlign w:val="top"/>
          </w:tcPr>
          <w:p>
            <w:pPr>
              <w:ind w:left="300"/>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52" w:type="dxa"/>
            <w:vAlign w:val="top"/>
          </w:tcPr>
          <w:p>
            <w:pPr>
              <w:ind w:left="185"/>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0.01L</w:t>
            </w:r>
          </w:p>
        </w:tc>
        <w:tc>
          <w:tcPr>
            <w:tcW w:w="632" w:type="dxa"/>
            <w:vAlign w:val="top"/>
          </w:tcPr>
          <w:p>
            <w:pPr>
              <w:ind w:left="289"/>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172"/>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0.01L</w:t>
            </w:r>
          </w:p>
        </w:tc>
        <w:tc>
          <w:tcPr>
            <w:tcW w:w="637" w:type="dxa"/>
            <w:vAlign w:val="top"/>
          </w:tcPr>
          <w:p>
            <w:pPr>
              <w:ind w:left="290"/>
              <w:spacing w:before="167"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bl>
    <w:p>
      <w:pPr>
        <w:pStyle w:val="BodyText"/>
        <w:spacing w:line="330" w:lineRule="auto"/>
        <w:rPr/>
      </w:pPr>
      <w:r/>
    </w:p>
    <w:p>
      <w:pPr>
        <w:ind w:right="5"/>
        <w:spacing w:before="61" w:line="227" w:lineRule="auto"/>
        <w:jc w:val="right"/>
        <w:rPr>
          <w:rFonts w:ascii="SimSun" w:hAnsi="SimSun" w:eastAsia="SimSun" w:cs="SimSun"/>
          <w:sz w:val="19"/>
          <w:szCs w:val="19"/>
        </w:rPr>
      </w:pPr>
      <w:r>
        <w:rPr>
          <w:rFonts w:ascii="Times New Roman" w:hAnsi="Times New Roman" w:eastAsia="Times New Roman" w:cs="Times New Roman"/>
          <w:sz w:val="18"/>
          <w:szCs w:val="18"/>
          <w:spacing w:val="4"/>
          <w:position w:val="2"/>
        </w:rPr>
        <w:t>128                                                  </w:t>
      </w:r>
      <w:r>
        <w:rPr>
          <w:rFonts w:ascii="Times New Roman" w:hAnsi="Times New Roman" w:eastAsia="Times New Roman" w:cs="Times New Roman"/>
          <w:sz w:val="18"/>
          <w:szCs w:val="18"/>
          <w:spacing w:val="3"/>
          <w:position w:val="2"/>
        </w:rPr>
        <w:t xml:space="preserve">         </w:t>
      </w:r>
      <w:r>
        <w:rPr>
          <w:rFonts w:ascii="SimSun" w:hAnsi="SimSun" w:eastAsia="SimSun" w:cs="SimSun"/>
          <w:sz w:val="19"/>
          <w:szCs w:val="19"/>
          <w:spacing w:val="3"/>
        </w:rPr>
        <w:t>锡林郭勒盟中安环境技术咨询有限责任公司</w:t>
      </w:r>
    </w:p>
    <w:p>
      <w:pPr>
        <w:spacing w:line="227" w:lineRule="auto"/>
        <w:sectPr>
          <w:headerReference w:type="default" r:id="rId137"/>
          <w:pgSz w:w="16840" w:h="11907"/>
          <w:pgMar w:top="1567" w:right="1695" w:bottom="400" w:left="1695" w:header="1221" w:footer="0" w:gutter="0"/>
        </w:sectPr>
        <w:rPr>
          <w:rFonts w:ascii="SimSun" w:hAnsi="SimSun" w:eastAsia="SimSun" w:cs="SimSun"/>
          <w:sz w:val="19"/>
          <w:szCs w:val="19"/>
        </w:rPr>
      </w:pPr>
    </w:p>
    <w:p>
      <w:pPr>
        <w:spacing w:line="151" w:lineRule="exact"/>
        <w:rPr/>
      </w:pPr>
      <w:r>
        <w:pict>
          <v:shape id="_x0000_s632" style="position:absolute;margin-left:85.05pt;margin-top:79.11pt;mso-position-vertical-relative:page;mso-position-horizontal-relative:page;width:671.95pt;height:0.75pt;z-index:251940864;" o:allowincell="f" fillcolor="#000000" filled="true" stroked="false" coordsize="13439,15" coordorigin="0,0" path="m,l13438,0l13438,14l0,14l0,0xe"/>
        </w:pict>
      </w:r>
      <w:r/>
    </w:p>
    <w:tbl>
      <w:tblPr>
        <w:tblStyle w:val="TableNormal"/>
        <w:tblW w:w="1344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65"/>
        <w:gridCol w:w="1099"/>
        <w:gridCol w:w="683"/>
        <w:gridCol w:w="818"/>
        <w:gridCol w:w="635"/>
        <w:gridCol w:w="810"/>
        <w:gridCol w:w="622"/>
        <w:gridCol w:w="865"/>
        <w:gridCol w:w="608"/>
        <w:gridCol w:w="810"/>
        <w:gridCol w:w="611"/>
        <w:gridCol w:w="919"/>
        <w:gridCol w:w="654"/>
        <w:gridCol w:w="852"/>
        <w:gridCol w:w="632"/>
        <w:gridCol w:w="824"/>
        <w:gridCol w:w="637"/>
      </w:tblGrid>
      <w:tr>
        <w:trPr>
          <w:trHeight w:val="293" w:hRule="atLeast"/>
        </w:trPr>
        <w:tc>
          <w:tcPr>
            <w:tcW w:w="1365" w:type="dxa"/>
            <w:vAlign w:val="top"/>
            <w:vMerge w:val="restart"/>
            <w:tcBorders>
              <w:bottom w:val="nil"/>
            </w:tcBorders>
          </w:tcPr>
          <w:p>
            <w:pPr>
              <w:spacing w:line="251" w:lineRule="auto"/>
              <w:rPr>
                <w:rFonts w:ascii="Arial"/>
                <w:sz w:val="21"/>
              </w:rPr>
            </w:pPr>
            <w:r/>
          </w:p>
          <w:p>
            <w:pPr>
              <w:pStyle w:val="TableText"/>
              <w:ind w:left="269"/>
              <w:spacing w:before="65" w:line="228" w:lineRule="auto"/>
              <w:rPr/>
            </w:pPr>
            <w:r>
              <w:rPr>
                <w:spacing w:val="7"/>
              </w:rPr>
              <w:t>监测项目</w:t>
            </w:r>
          </w:p>
        </w:tc>
        <w:tc>
          <w:tcPr>
            <w:tcW w:w="1099" w:type="dxa"/>
            <w:vAlign w:val="top"/>
            <w:vMerge w:val="restart"/>
            <w:tcBorders>
              <w:bottom w:val="nil"/>
            </w:tcBorders>
          </w:tcPr>
          <w:p>
            <w:pPr>
              <w:spacing w:line="251" w:lineRule="auto"/>
              <w:rPr>
                <w:rFonts w:ascii="Arial"/>
                <w:sz w:val="21"/>
              </w:rPr>
            </w:pPr>
            <w:r/>
          </w:p>
          <w:p>
            <w:pPr>
              <w:pStyle w:val="TableText"/>
              <w:ind w:left="345"/>
              <w:spacing w:before="65" w:line="228" w:lineRule="auto"/>
              <w:rPr/>
            </w:pPr>
            <w:r>
              <w:rPr>
                <w:spacing w:val="3"/>
              </w:rPr>
              <w:t>单位</w:t>
            </w:r>
          </w:p>
        </w:tc>
        <w:tc>
          <w:tcPr>
            <w:tcW w:w="683" w:type="dxa"/>
            <w:vAlign w:val="top"/>
            <w:vMerge w:val="restart"/>
            <w:tcBorders>
              <w:bottom w:val="nil"/>
            </w:tcBorders>
          </w:tcPr>
          <w:p>
            <w:pPr>
              <w:spacing w:line="250" w:lineRule="auto"/>
              <w:rPr>
                <w:rFonts w:ascii="Arial"/>
                <w:sz w:val="21"/>
              </w:rPr>
            </w:pPr>
            <w:r/>
          </w:p>
          <w:p>
            <w:pPr>
              <w:pStyle w:val="TableText"/>
              <w:ind w:left="32"/>
              <w:spacing w:before="65" w:line="228" w:lineRule="auto"/>
              <w:rPr/>
            </w:pPr>
            <w:r>
              <w:rPr>
                <w:spacing w:val="6"/>
              </w:rPr>
              <w:t>标准值</w:t>
            </w:r>
          </w:p>
        </w:tc>
        <w:tc>
          <w:tcPr>
            <w:tcW w:w="1453" w:type="dxa"/>
            <w:vAlign w:val="top"/>
            <w:gridSpan w:val="2"/>
          </w:tcPr>
          <w:p>
            <w:pPr>
              <w:ind w:left="573"/>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S01</w:t>
            </w:r>
          </w:p>
        </w:tc>
        <w:tc>
          <w:tcPr>
            <w:tcW w:w="1432" w:type="dxa"/>
            <w:vAlign w:val="top"/>
            <w:gridSpan w:val="2"/>
          </w:tcPr>
          <w:p>
            <w:pPr>
              <w:ind w:left="562"/>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S02</w:t>
            </w:r>
          </w:p>
        </w:tc>
        <w:tc>
          <w:tcPr>
            <w:tcW w:w="1473" w:type="dxa"/>
            <w:vAlign w:val="top"/>
            <w:gridSpan w:val="2"/>
          </w:tcPr>
          <w:p>
            <w:pPr>
              <w:ind w:left="582"/>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S03</w:t>
            </w:r>
          </w:p>
        </w:tc>
        <w:tc>
          <w:tcPr>
            <w:tcW w:w="1421" w:type="dxa"/>
            <w:vAlign w:val="top"/>
            <w:gridSpan w:val="2"/>
          </w:tcPr>
          <w:p>
            <w:pPr>
              <w:ind w:left="556"/>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S05</w:t>
            </w:r>
          </w:p>
        </w:tc>
        <w:tc>
          <w:tcPr>
            <w:tcW w:w="1573" w:type="dxa"/>
            <w:vAlign w:val="top"/>
            <w:gridSpan w:val="2"/>
          </w:tcPr>
          <w:p>
            <w:pPr>
              <w:ind w:left="633"/>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S07</w:t>
            </w:r>
          </w:p>
        </w:tc>
        <w:tc>
          <w:tcPr>
            <w:tcW w:w="1484" w:type="dxa"/>
            <w:vAlign w:val="top"/>
            <w:gridSpan w:val="2"/>
          </w:tcPr>
          <w:p>
            <w:pPr>
              <w:ind w:left="591"/>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S13</w:t>
            </w:r>
          </w:p>
        </w:tc>
        <w:tc>
          <w:tcPr>
            <w:tcW w:w="1461" w:type="dxa"/>
            <w:vAlign w:val="top"/>
            <w:gridSpan w:val="2"/>
          </w:tcPr>
          <w:p>
            <w:pPr>
              <w:ind w:left="578"/>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S14</w:t>
            </w:r>
          </w:p>
        </w:tc>
      </w:tr>
      <w:tr>
        <w:trPr>
          <w:trHeight w:val="549" w:hRule="atLeast"/>
        </w:trPr>
        <w:tc>
          <w:tcPr>
            <w:tcW w:w="1365" w:type="dxa"/>
            <w:vAlign w:val="top"/>
            <w:vMerge w:val="continue"/>
            <w:tcBorders>
              <w:top w:val="nil"/>
            </w:tcBorders>
          </w:tcPr>
          <w:p>
            <w:pPr>
              <w:rPr>
                <w:rFonts w:ascii="Arial"/>
                <w:sz w:val="21"/>
              </w:rPr>
            </w:pPr>
            <w:r/>
          </w:p>
        </w:tc>
        <w:tc>
          <w:tcPr>
            <w:tcW w:w="1099" w:type="dxa"/>
            <w:vAlign w:val="top"/>
            <w:vMerge w:val="continue"/>
            <w:tcBorders>
              <w:top w:val="nil"/>
            </w:tcBorders>
          </w:tcPr>
          <w:p>
            <w:pPr>
              <w:rPr>
                <w:rFonts w:ascii="Arial"/>
                <w:sz w:val="21"/>
              </w:rPr>
            </w:pPr>
            <w:r/>
          </w:p>
        </w:tc>
        <w:tc>
          <w:tcPr>
            <w:tcW w:w="683" w:type="dxa"/>
            <w:vAlign w:val="top"/>
            <w:vMerge w:val="continue"/>
            <w:tcBorders>
              <w:top w:val="nil"/>
            </w:tcBorders>
          </w:tcPr>
          <w:p>
            <w:pPr>
              <w:rPr>
                <w:rFonts w:ascii="Arial"/>
                <w:sz w:val="21"/>
              </w:rPr>
            </w:pPr>
            <w:r/>
          </w:p>
        </w:tc>
        <w:tc>
          <w:tcPr>
            <w:tcW w:w="818" w:type="dxa"/>
            <w:vAlign w:val="top"/>
          </w:tcPr>
          <w:p>
            <w:pPr>
              <w:pStyle w:val="TableText"/>
              <w:ind w:left="98"/>
              <w:spacing w:before="167" w:line="228" w:lineRule="auto"/>
              <w:rPr/>
            </w:pPr>
            <w:r>
              <w:rPr>
                <w:spacing w:val="6"/>
              </w:rPr>
              <w:t>监测值</w:t>
            </w:r>
          </w:p>
        </w:tc>
        <w:tc>
          <w:tcPr>
            <w:tcW w:w="635" w:type="dxa"/>
            <w:vAlign w:val="top"/>
          </w:tcPr>
          <w:p>
            <w:pPr>
              <w:pStyle w:val="TableText"/>
              <w:ind w:left="113"/>
              <w:spacing w:before="31" w:line="228" w:lineRule="auto"/>
              <w:rPr/>
            </w:pPr>
            <w:r>
              <w:rPr>
                <w:spacing w:val="4"/>
              </w:rPr>
              <w:t>标准</w:t>
            </w:r>
          </w:p>
          <w:p>
            <w:pPr>
              <w:pStyle w:val="TableText"/>
              <w:ind w:left="115"/>
              <w:spacing w:before="26" w:line="216" w:lineRule="auto"/>
              <w:rPr/>
            </w:pPr>
            <w:r>
              <w:rPr>
                <w:spacing w:val="3"/>
              </w:rPr>
              <w:t>指数</w:t>
            </w:r>
          </w:p>
        </w:tc>
        <w:tc>
          <w:tcPr>
            <w:tcW w:w="810" w:type="dxa"/>
            <w:vAlign w:val="top"/>
          </w:tcPr>
          <w:p>
            <w:pPr>
              <w:pStyle w:val="TableText"/>
              <w:ind w:left="95"/>
              <w:spacing w:before="167" w:line="228" w:lineRule="auto"/>
              <w:rPr/>
            </w:pPr>
            <w:r>
              <w:rPr>
                <w:spacing w:val="6"/>
              </w:rPr>
              <w:t>监测值</w:t>
            </w:r>
          </w:p>
        </w:tc>
        <w:tc>
          <w:tcPr>
            <w:tcW w:w="622" w:type="dxa"/>
            <w:vAlign w:val="top"/>
          </w:tcPr>
          <w:p>
            <w:pPr>
              <w:pStyle w:val="TableText"/>
              <w:ind w:left="105"/>
              <w:spacing w:before="31" w:line="228" w:lineRule="auto"/>
              <w:rPr/>
            </w:pPr>
            <w:r>
              <w:rPr>
                <w:spacing w:val="4"/>
              </w:rPr>
              <w:t>标准</w:t>
            </w:r>
          </w:p>
          <w:p>
            <w:pPr>
              <w:pStyle w:val="TableText"/>
              <w:ind w:left="107"/>
              <w:spacing w:before="26" w:line="216" w:lineRule="auto"/>
              <w:rPr/>
            </w:pPr>
            <w:r>
              <w:rPr>
                <w:spacing w:val="3"/>
              </w:rPr>
              <w:t>指数</w:t>
            </w:r>
          </w:p>
        </w:tc>
        <w:tc>
          <w:tcPr>
            <w:tcW w:w="865" w:type="dxa"/>
            <w:vAlign w:val="top"/>
          </w:tcPr>
          <w:p>
            <w:pPr>
              <w:pStyle w:val="TableText"/>
              <w:ind w:left="124"/>
              <w:spacing w:before="167" w:line="228" w:lineRule="auto"/>
              <w:rPr/>
            </w:pPr>
            <w:r>
              <w:rPr>
                <w:spacing w:val="6"/>
              </w:rPr>
              <w:t>监测值</w:t>
            </w:r>
          </w:p>
        </w:tc>
        <w:tc>
          <w:tcPr>
            <w:tcW w:w="608" w:type="dxa"/>
            <w:vAlign w:val="top"/>
          </w:tcPr>
          <w:p>
            <w:pPr>
              <w:pStyle w:val="TableText"/>
              <w:ind w:left="99"/>
              <w:spacing w:before="31" w:line="228" w:lineRule="auto"/>
              <w:rPr/>
            </w:pPr>
            <w:r>
              <w:rPr>
                <w:spacing w:val="4"/>
              </w:rPr>
              <w:t>标准</w:t>
            </w:r>
          </w:p>
          <w:p>
            <w:pPr>
              <w:pStyle w:val="TableText"/>
              <w:ind w:left="101"/>
              <w:spacing w:before="26" w:line="216" w:lineRule="auto"/>
              <w:rPr/>
            </w:pPr>
            <w:r>
              <w:rPr>
                <w:spacing w:val="3"/>
              </w:rPr>
              <w:t>指数</w:t>
            </w:r>
          </w:p>
        </w:tc>
        <w:tc>
          <w:tcPr>
            <w:tcW w:w="810" w:type="dxa"/>
            <w:vAlign w:val="top"/>
          </w:tcPr>
          <w:p>
            <w:pPr>
              <w:pStyle w:val="TableText"/>
              <w:ind w:left="96"/>
              <w:spacing w:before="167" w:line="228" w:lineRule="auto"/>
              <w:rPr/>
            </w:pPr>
            <w:r>
              <w:rPr>
                <w:spacing w:val="6"/>
              </w:rPr>
              <w:t>监测值</w:t>
            </w:r>
          </w:p>
        </w:tc>
        <w:tc>
          <w:tcPr>
            <w:tcW w:w="611" w:type="dxa"/>
            <w:vAlign w:val="top"/>
          </w:tcPr>
          <w:p>
            <w:pPr>
              <w:pStyle w:val="TableText"/>
              <w:ind w:left="102"/>
              <w:spacing w:before="31" w:line="228" w:lineRule="auto"/>
              <w:rPr/>
            </w:pPr>
            <w:r>
              <w:rPr>
                <w:spacing w:val="4"/>
              </w:rPr>
              <w:t>标准</w:t>
            </w:r>
          </w:p>
          <w:p>
            <w:pPr>
              <w:pStyle w:val="TableText"/>
              <w:ind w:left="104"/>
              <w:spacing w:before="26" w:line="216" w:lineRule="auto"/>
              <w:rPr/>
            </w:pPr>
            <w:r>
              <w:rPr>
                <w:spacing w:val="3"/>
              </w:rPr>
              <w:t>指数</w:t>
            </w:r>
          </w:p>
        </w:tc>
        <w:tc>
          <w:tcPr>
            <w:tcW w:w="919" w:type="dxa"/>
            <w:vAlign w:val="top"/>
          </w:tcPr>
          <w:p>
            <w:pPr>
              <w:pStyle w:val="TableText"/>
              <w:ind w:left="151"/>
              <w:spacing w:before="167" w:line="228" w:lineRule="auto"/>
              <w:rPr/>
            </w:pPr>
            <w:r>
              <w:rPr>
                <w:spacing w:val="6"/>
              </w:rPr>
              <w:t>监测值</w:t>
            </w:r>
          </w:p>
        </w:tc>
        <w:tc>
          <w:tcPr>
            <w:tcW w:w="654" w:type="dxa"/>
            <w:vAlign w:val="top"/>
          </w:tcPr>
          <w:p>
            <w:pPr>
              <w:pStyle w:val="TableText"/>
              <w:ind w:left="19"/>
              <w:spacing w:before="31" w:line="228" w:lineRule="auto"/>
              <w:rPr/>
            </w:pPr>
            <w:r>
              <w:rPr>
                <w:spacing w:val="6"/>
              </w:rPr>
              <w:t>标准指</w:t>
            </w:r>
          </w:p>
          <w:p>
            <w:pPr>
              <w:pStyle w:val="TableText"/>
              <w:ind w:left="229"/>
              <w:spacing w:before="26" w:line="216" w:lineRule="auto"/>
              <w:rPr/>
            </w:pPr>
            <w:r>
              <w:rPr/>
              <w:t>数</w:t>
            </w:r>
          </w:p>
        </w:tc>
        <w:tc>
          <w:tcPr>
            <w:tcW w:w="852" w:type="dxa"/>
            <w:vAlign w:val="top"/>
          </w:tcPr>
          <w:p>
            <w:pPr>
              <w:pStyle w:val="TableText"/>
              <w:ind w:left="119"/>
              <w:spacing w:before="167" w:line="228" w:lineRule="auto"/>
              <w:rPr/>
            </w:pPr>
            <w:r>
              <w:rPr>
                <w:spacing w:val="6"/>
              </w:rPr>
              <w:t>监测值</w:t>
            </w:r>
          </w:p>
        </w:tc>
        <w:tc>
          <w:tcPr>
            <w:tcW w:w="632" w:type="dxa"/>
            <w:vAlign w:val="top"/>
          </w:tcPr>
          <w:p>
            <w:pPr>
              <w:pStyle w:val="TableText"/>
              <w:ind w:left="114"/>
              <w:spacing w:before="31" w:line="228" w:lineRule="auto"/>
              <w:rPr/>
            </w:pPr>
            <w:r>
              <w:rPr>
                <w:spacing w:val="4"/>
              </w:rPr>
              <w:t>标准</w:t>
            </w:r>
          </w:p>
          <w:p>
            <w:pPr>
              <w:pStyle w:val="TableText"/>
              <w:ind w:left="116"/>
              <w:spacing w:before="26" w:line="216" w:lineRule="auto"/>
              <w:rPr/>
            </w:pPr>
            <w:r>
              <w:rPr>
                <w:spacing w:val="3"/>
              </w:rPr>
              <w:t>指数</w:t>
            </w:r>
          </w:p>
        </w:tc>
        <w:tc>
          <w:tcPr>
            <w:tcW w:w="824" w:type="dxa"/>
            <w:vAlign w:val="top"/>
          </w:tcPr>
          <w:p>
            <w:pPr>
              <w:pStyle w:val="TableText"/>
              <w:ind w:left="106"/>
              <w:spacing w:before="167" w:line="228" w:lineRule="auto"/>
              <w:rPr/>
            </w:pPr>
            <w:r>
              <w:rPr>
                <w:spacing w:val="6"/>
              </w:rPr>
              <w:t>监测值</w:t>
            </w:r>
          </w:p>
        </w:tc>
        <w:tc>
          <w:tcPr>
            <w:tcW w:w="637" w:type="dxa"/>
            <w:vAlign w:val="top"/>
          </w:tcPr>
          <w:p>
            <w:pPr>
              <w:pStyle w:val="TableText"/>
              <w:ind w:left="115"/>
              <w:spacing w:before="31" w:line="228" w:lineRule="auto"/>
              <w:rPr/>
            </w:pPr>
            <w:r>
              <w:rPr>
                <w:spacing w:val="4"/>
              </w:rPr>
              <w:t>标准</w:t>
            </w:r>
          </w:p>
          <w:p>
            <w:pPr>
              <w:pStyle w:val="TableText"/>
              <w:ind w:left="117"/>
              <w:spacing w:before="26" w:line="216" w:lineRule="auto"/>
              <w:rPr/>
            </w:pPr>
            <w:r>
              <w:rPr>
                <w:spacing w:val="3"/>
              </w:rPr>
              <w:t>指数</w:t>
            </w:r>
          </w:p>
        </w:tc>
      </w:tr>
      <w:tr>
        <w:trPr>
          <w:trHeight w:val="288" w:hRule="atLeast"/>
        </w:trPr>
        <w:tc>
          <w:tcPr>
            <w:tcW w:w="1365" w:type="dxa"/>
            <w:vAlign w:val="top"/>
          </w:tcPr>
          <w:p>
            <w:pPr>
              <w:pStyle w:val="TableText"/>
              <w:ind w:left="583"/>
              <w:spacing w:before="36" w:line="223" w:lineRule="auto"/>
              <w:rPr/>
            </w:pPr>
            <w:r>
              <w:rPr/>
              <w:t>铜</w:t>
            </w:r>
          </w:p>
        </w:tc>
        <w:tc>
          <w:tcPr>
            <w:tcW w:w="1099" w:type="dxa"/>
            <w:vAlign w:val="top"/>
          </w:tcPr>
          <w:p>
            <w:pPr>
              <w:ind w:left="320"/>
              <w:spacing w:before="71"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98"/>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≤1.00</w:t>
            </w:r>
          </w:p>
        </w:tc>
        <w:tc>
          <w:tcPr>
            <w:tcW w:w="818" w:type="dxa"/>
            <w:vAlign w:val="top"/>
          </w:tcPr>
          <w:p>
            <w:pPr>
              <w:ind w:left="164"/>
              <w:spacing w:before="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0.05L</w:t>
            </w:r>
          </w:p>
        </w:tc>
        <w:tc>
          <w:tcPr>
            <w:tcW w:w="635" w:type="dxa"/>
            <w:vAlign w:val="top"/>
          </w:tcPr>
          <w:p>
            <w:pPr>
              <w:ind w:left="288"/>
              <w:spacing w:before="163"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60"/>
              <w:spacing w:before="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0.05L</w:t>
            </w:r>
          </w:p>
        </w:tc>
        <w:tc>
          <w:tcPr>
            <w:tcW w:w="622" w:type="dxa"/>
            <w:vAlign w:val="top"/>
          </w:tcPr>
          <w:p>
            <w:pPr>
              <w:ind w:left="280"/>
              <w:spacing w:before="163"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65" w:type="dxa"/>
            <w:vAlign w:val="top"/>
          </w:tcPr>
          <w:p>
            <w:pPr>
              <w:ind w:left="188"/>
              <w:spacing w:before="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0.05L</w:t>
            </w:r>
          </w:p>
        </w:tc>
        <w:tc>
          <w:tcPr>
            <w:tcW w:w="608" w:type="dxa"/>
            <w:vAlign w:val="top"/>
          </w:tcPr>
          <w:p>
            <w:pPr>
              <w:ind w:left="274"/>
              <w:spacing w:before="163"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62"/>
              <w:spacing w:before="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0.05L</w:t>
            </w:r>
          </w:p>
        </w:tc>
        <w:tc>
          <w:tcPr>
            <w:tcW w:w="611" w:type="dxa"/>
            <w:vAlign w:val="top"/>
          </w:tcPr>
          <w:p>
            <w:pPr>
              <w:ind w:left="277"/>
              <w:spacing w:before="163"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919" w:type="dxa"/>
            <w:vAlign w:val="top"/>
          </w:tcPr>
          <w:p>
            <w:pPr>
              <w:ind w:left="217"/>
              <w:spacing w:before="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0.05L</w:t>
            </w:r>
          </w:p>
        </w:tc>
        <w:tc>
          <w:tcPr>
            <w:tcW w:w="654" w:type="dxa"/>
            <w:vAlign w:val="top"/>
          </w:tcPr>
          <w:p>
            <w:pPr>
              <w:ind w:left="300"/>
              <w:spacing w:before="163"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52" w:type="dxa"/>
            <w:vAlign w:val="top"/>
          </w:tcPr>
          <w:p>
            <w:pPr>
              <w:ind w:left="185"/>
              <w:spacing w:before="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0.05L</w:t>
            </w:r>
          </w:p>
        </w:tc>
        <w:tc>
          <w:tcPr>
            <w:tcW w:w="632" w:type="dxa"/>
            <w:vAlign w:val="top"/>
          </w:tcPr>
          <w:p>
            <w:pPr>
              <w:ind w:left="289"/>
              <w:spacing w:before="163"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172"/>
              <w:spacing w:before="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0.05L</w:t>
            </w:r>
          </w:p>
        </w:tc>
        <w:tc>
          <w:tcPr>
            <w:tcW w:w="637" w:type="dxa"/>
            <w:vAlign w:val="top"/>
          </w:tcPr>
          <w:p>
            <w:pPr>
              <w:ind w:left="290"/>
              <w:spacing w:before="163"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88" w:hRule="atLeast"/>
        </w:trPr>
        <w:tc>
          <w:tcPr>
            <w:tcW w:w="1365" w:type="dxa"/>
            <w:vAlign w:val="top"/>
          </w:tcPr>
          <w:p>
            <w:pPr>
              <w:pStyle w:val="TableText"/>
              <w:ind w:left="582"/>
              <w:spacing w:before="38" w:line="221" w:lineRule="auto"/>
              <w:rPr/>
            </w:pPr>
            <w:r>
              <w:rPr>
                <w:spacing w:val="1"/>
              </w:rPr>
              <w:t>锌</w:t>
            </w:r>
          </w:p>
        </w:tc>
        <w:tc>
          <w:tcPr>
            <w:tcW w:w="1099" w:type="dxa"/>
            <w:vAlign w:val="top"/>
          </w:tcPr>
          <w:p>
            <w:pPr>
              <w:ind w:left="320"/>
              <w:spacing w:before="70"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98"/>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≤1.00</w:t>
            </w:r>
          </w:p>
        </w:tc>
        <w:tc>
          <w:tcPr>
            <w:tcW w:w="818" w:type="dxa"/>
            <w:vAlign w:val="top"/>
          </w:tcPr>
          <w:p>
            <w:pPr>
              <w:ind w:left="164"/>
              <w:spacing w:before="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0.05L</w:t>
            </w:r>
          </w:p>
        </w:tc>
        <w:tc>
          <w:tcPr>
            <w:tcW w:w="635" w:type="dxa"/>
            <w:vAlign w:val="top"/>
          </w:tcPr>
          <w:p>
            <w:pPr>
              <w:ind w:left="288"/>
              <w:spacing w:before="163"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60"/>
              <w:spacing w:before="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0.05L</w:t>
            </w:r>
          </w:p>
        </w:tc>
        <w:tc>
          <w:tcPr>
            <w:tcW w:w="622" w:type="dxa"/>
            <w:vAlign w:val="top"/>
          </w:tcPr>
          <w:p>
            <w:pPr>
              <w:ind w:left="280"/>
              <w:spacing w:before="163"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65" w:type="dxa"/>
            <w:vAlign w:val="top"/>
          </w:tcPr>
          <w:p>
            <w:pPr>
              <w:ind w:left="188"/>
              <w:spacing w:before="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0.05L</w:t>
            </w:r>
          </w:p>
        </w:tc>
        <w:tc>
          <w:tcPr>
            <w:tcW w:w="608" w:type="dxa"/>
            <w:vAlign w:val="top"/>
          </w:tcPr>
          <w:p>
            <w:pPr>
              <w:ind w:left="274"/>
              <w:spacing w:before="163"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62"/>
              <w:spacing w:before="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0.05L</w:t>
            </w:r>
          </w:p>
        </w:tc>
        <w:tc>
          <w:tcPr>
            <w:tcW w:w="611" w:type="dxa"/>
            <w:vAlign w:val="top"/>
          </w:tcPr>
          <w:p>
            <w:pPr>
              <w:ind w:left="277"/>
              <w:spacing w:before="163"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919" w:type="dxa"/>
            <w:vAlign w:val="top"/>
          </w:tcPr>
          <w:p>
            <w:pPr>
              <w:ind w:left="217"/>
              <w:spacing w:before="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0.05L</w:t>
            </w:r>
          </w:p>
        </w:tc>
        <w:tc>
          <w:tcPr>
            <w:tcW w:w="654" w:type="dxa"/>
            <w:vAlign w:val="top"/>
          </w:tcPr>
          <w:p>
            <w:pPr>
              <w:ind w:left="300"/>
              <w:spacing w:before="163"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52" w:type="dxa"/>
            <w:vAlign w:val="top"/>
          </w:tcPr>
          <w:p>
            <w:pPr>
              <w:ind w:left="185"/>
              <w:spacing w:before="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0.05L</w:t>
            </w:r>
          </w:p>
        </w:tc>
        <w:tc>
          <w:tcPr>
            <w:tcW w:w="632" w:type="dxa"/>
            <w:vAlign w:val="top"/>
          </w:tcPr>
          <w:p>
            <w:pPr>
              <w:ind w:left="289"/>
              <w:spacing w:before="163"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172"/>
              <w:spacing w:before="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0.05L</w:t>
            </w:r>
          </w:p>
        </w:tc>
        <w:tc>
          <w:tcPr>
            <w:tcW w:w="637" w:type="dxa"/>
            <w:vAlign w:val="top"/>
          </w:tcPr>
          <w:p>
            <w:pPr>
              <w:ind w:left="290"/>
              <w:spacing w:before="163"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89" w:hRule="atLeast"/>
        </w:trPr>
        <w:tc>
          <w:tcPr>
            <w:tcW w:w="1365" w:type="dxa"/>
            <w:vAlign w:val="top"/>
          </w:tcPr>
          <w:p>
            <w:pPr>
              <w:pStyle w:val="TableText"/>
              <w:ind w:left="371"/>
              <w:spacing w:before="38" w:line="222" w:lineRule="auto"/>
              <w:rPr/>
            </w:pPr>
            <w:r>
              <w:rPr>
                <w:spacing w:val="7"/>
              </w:rPr>
              <w:t>碘化物</w:t>
            </w:r>
          </w:p>
        </w:tc>
        <w:tc>
          <w:tcPr>
            <w:tcW w:w="1099" w:type="dxa"/>
            <w:vAlign w:val="top"/>
          </w:tcPr>
          <w:p>
            <w:pPr>
              <w:ind w:left="320"/>
              <w:spacing w:before="7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98"/>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≤0.08</w:t>
            </w:r>
          </w:p>
        </w:tc>
        <w:tc>
          <w:tcPr>
            <w:tcW w:w="818" w:type="dxa"/>
            <w:vAlign w:val="top"/>
          </w:tcPr>
          <w:p>
            <w:pPr>
              <w:ind w:left="111"/>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0.025L</w:t>
            </w:r>
          </w:p>
        </w:tc>
        <w:tc>
          <w:tcPr>
            <w:tcW w:w="635" w:type="dxa"/>
            <w:vAlign w:val="top"/>
          </w:tcPr>
          <w:p>
            <w:pPr>
              <w:ind w:left="288"/>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08"/>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0.025L</w:t>
            </w:r>
          </w:p>
        </w:tc>
        <w:tc>
          <w:tcPr>
            <w:tcW w:w="622" w:type="dxa"/>
            <w:vAlign w:val="top"/>
          </w:tcPr>
          <w:p>
            <w:pPr>
              <w:ind w:left="280"/>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65" w:type="dxa"/>
            <w:vAlign w:val="top"/>
          </w:tcPr>
          <w:p>
            <w:pPr>
              <w:ind w:left="135"/>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0.025L</w:t>
            </w:r>
          </w:p>
        </w:tc>
        <w:tc>
          <w:tcPr>
            <w:tcW w:w="608" w:type="dxa"/>
            <w:vAlign w:val="top"/>
          </w:tcPr>
          <w:p>
            <w:pPr>
              <w:ind w:left="274"/>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09"/>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0.025L</w:t>
            </w:r>
          </w:p>
        </w:tc>
        <w:tc>
          <w:tcPr>
            <w:tcW w:w="611" w:type="dxa"/>
            <w:vAlign w:val="top"/>
          </w:tcPr>
          <w:p>
            <w:pPr>
              <w:ind w:left="277"/>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919" w:type="dxa"/>
            <w:vAlign w:val="top"/>
          </w:tcPr>
          <w:p>
            <w:pPr>
              <w:ind w:left="164"/>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0.025L</w:t>
            </w:r>
          </w:p>
        </w:tc>
        <w:tc>
          <w:tcPr>
            <w:tcW w:w="654" w:type="dxa"/>
            <w:vAlign w:val="top"/>
          </w:tcPr>
          <w:p>
            <w:pPr>
              <w:ind w:left="300"/>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52" w:type="dxa"/>
            <w:vAlign w:val="top"/>
          </w:tcPr>
          <w:p>
            <w:pPr>
              <w:ind w:left="132"/>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0.025L</w:t>
            </w:r>
          </w:p>
        </w:tc>
        <w:tc>
          <w:tcPr>
            <w:tcW w:w="632" w:type="dxa"/>
            <w:vAlign w:val="top"/>
          </w:tcPr>
          <w:p>
            <w:pPr>
              <w:ind w:left="289"/>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117"/>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0.025L</w:t>
            </w:r>
          </w:p>
        </w:tc>
        <w:tc>
          <w:tcPr>
            <w:tcW w:w="637" w:type="dxa"/>
            <w:vAlign w:val="top"/>
          </w:tcPr>
          <w:p>
            <w:pPr>
              <w:ind w:left="290"/>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89" w:hRule="atLeast"/>
        </w:trPr>
        <w:tc>
          <w:tcPr>
            <w:tcW w:w="1365" w:type="dxa"/>
            <w:vAlign w:val="top"/>
          </w:tcPr>
          <w:p>
            <w:pPr>
              <w:pStyle w:val="TableText"/>
              <w:ind w:left="371"/>
              <w:spacing w:before="39" w:line="221" w:lineRule="auto"/>
              <w:rPr/>
            </w:pPr>
            <w:r>
              <w:rPr>
                <w:spacing w:val="7"/>
              </w:rPr>
              <w:t>硫化物</w:t>
            </w:r>
          </w:p>
        </w:tc>
        <w:tc>
          <w:tcPr>
            <w:tcW w:w="1099" w:type="dxa"/>
            <w:vAlign w:val="top"/>
          </w:tcPr>
          <w:p>
            <w:pPr>
              <w:ind w:left="320"/>
              <w:spacing w:before="71"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98"/>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≤0.02</w:t>
            </w:r>
          </w:p>
        </w:tc>
        <w:tc>
          <w:tcPr>
            <w:tcW w:w="818" w:type="dxa"/>
            <w:vAlign w:val="top"/>
          </w:tcPr>
          <w:p>
            <w:pPr>
              <w:ind w:left="111"/>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0.003L</w:t>
            </w:r>
          </w:p>
        </w:tc>
        <w:tc>
          <w:tcPr>
            <w:tcW w:w="635" w:type="dxa"/>
            <w:vAlign w:val="top"/>
          </w:tcPr>
          <w:p>
            <w:pPr>
              <w:ind w:left="288"/>
              <w:spacing w:before="164"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08"/>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0.003L</w:t>
            </w:r>
          </w:p>
        </w:tc>
        <w:tc>
          <w:tcPr>
            <w:tcW w:w="622" w:type="dxa"/>
            <w:vAlign w:val="top"/>
          </w:tcPr>
          <w:p>
            <w:pPr>
              <w:ind w:left="280"/>
              <w:spacing w:before="164"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65" w:type="dxa"/>
            <w:vAlign w:val="top"/>
          </w:tcPr>
          <w:p>
            <w:pPr>
              <w:ind w:left="135"/>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0.003L</w:t>
            </w:r>
          </w:p>
        </w:tc>
        <w:tc>
          <w:tcPr>
            <w:tcW w:w="608" w:type="dxa"/>
            <w:vAlign w:val="top"/>
          </w:tcPr>
          <w:p>
            <w:pPr>
              <w:ind w:left="274"/>
              <w:spacing w:before="164"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09"/>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0.003L</w:t>
            </w:r>
          </w:p>
        </w:tc>
        <w:tc>
          <w:tcPr>
            <w:tcW w:w="611" w:type="dxa"/>
            <w:vAlign w:val="top"/>
          </w:tcPr>
          <w:p>
            <w:pPr>
              <w:ind w:left="277"/>
              <w:spacing w:before="164"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919" w:type="dxa"/>
            <w:vAlign w:val="top"/>
          </w:tcPr>
          <w:p>
            <w:pPr>
              <w:ind w:left="164"/>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0.003L</w:t>
            </w:r>
          </w:p>
        </w:tc>
        <w:tc>
          <w:tcPr>
            <w:tcW w:w="654" w:type="dxa"/>
            <w:vAlign w:val="top"/>
          </w:tcPr>
          <w:p>
            <w:pPr>
              <w:ind w:left="300"/>
              <w:spacing w:before="164"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52" w:type="dxa"/>
            <w:vAlign w:val="top"/>
          </w:tcPr>
          <w:p>
            <w:pPr>
              <w:ind w:left="132"/>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0.003L</w:t>
            </w:r>
          </w:p>
        </w:tc>
        <w:tc>
          <w:tcPr>
            <w:tcW w:w="632" w:type="dxa"/>
            <w:vAlign w:val="top"/>
          </w:tcPr>
          <w:p>
            <w:pPr>
              <w:ind w:left="289"/>
              <w:spacing w:before="164"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117"/>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0.003L</w:t>
            </w:r>
          </w:p>
        </w:tc>
        <w:tc>
          <w:tcPr>
            <w:tcW w:w="637" w:type="dxa"/>
            <w:vAlign w:val="top"/>
          </w:tcPr>
          <w:p>
            <w:pPr>
              <w:ind w:left="290"/>
              <w:spacing w:before="164"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548" w:hRule="atLeast"/>
        </w:trPr>
        <w:tc>
          <w:tcPr>
            <w:tcW w:w="1365" w:type="dxa"/>
            <w:vAlign w:val="top"/>
          </w:tcPr>
          <w:p>
            <w:pPr>
              <w:pStyle w:val="TableText"/>
              <w:ind w:left="73"/>
              <w:spacing w:before="34" w:line="228" w:lineRule="auto"/>
              <w:rPr/>
            </w:pPr>
            <w:r>
              <w:rPr>
                <w:spacing w:val="5"/>
              </w:rPr>
              <w:t>阴离子表面活</w:t>
            </w:r>
          </w:p>
          <w:p>
            <w:pPr>
              <w:pStyle w:val="TableText"/>
              <w:ind w:left="480"/>
              <w:spacing w:before="25" w:line="213" w:lineRule="auto"/>
              <w:rPr/>
            </w:pPr>
            <w:r>
              <w:rPr>
                <w:spacing w:val="3"/>
              </w:rPr>
              <w:t>性剂</w:t>
            </w:r>
          </w:p>
        </w:tc>
        <w:tc>
          <w:tcPr>
            <w:tcW w:w="1099" w:type="dxa"/>
            <w:vAlign w:val="top"/>
          </w:tcPr>
          <w:p>
            <w:pPr>
              <w:ind w:left="320"/>
              <w:spacing w:before="202"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151"/>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≤0.3</w:t>
            </w:r>
          </w:p>
        </w:tc>
        <w:tc>
          <w:tcPr>
            <w:tcW w:w="818" w:type="dxa"/>
            <w:vAlign w:val="top"/>
          </w:tcPr>
          <w:p>
            <w:pPr>
              <w:ind w:left="111"/>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0.050L</w:t>
            </w:r>
          </w:p>
        </w:tc>
        <w:tc>
          <w:tcPr>
            <w:tcW w:w="635" w:type="dxa"/>
            <w:vAlign w:val="top"/>
          </w:tcPr>
          <w:p>
            <w:pPr>
              <w:ind w:left="288"/>
              <w:spacing w:before="294"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08"/>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0.050L</w:t>
            </w:r>
          </w:p>
        </w:tc>
        <w:tc>
          <w:tcPr>
            <w:tcW w:w="622" w:type="dxa"/>
            <w:vAlign w:val="top"/>
          </w:tcPr>
          <w:p>
            <w:pPr>
              <w:ind w:left="280"/>
              <w:spacing w:before="294"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65" w:type="dxa"/>
            <w:vAlign w:val="top"/>
          </w:tcPr>
          <w:p>
            <w:pPr>
              <w:ind w:left="135"/>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0.050L</w:t>
            </w:r>
          </w:p>
        </w:tc>
        <w:tc>
          <w:tcPr>
            <w:tcW w:w="608" w:type="dxa"/>
            <w:vAlign w:val="top"/>
          </w:tcPr>
          <w:p>
            <w:pPr>
              <w:ind w:left="274"/>
              <w:spacing w:before="294"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09"/>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0.050L</w:t>
            </w:r>
          </w:p>
        </w:tc>
        <w:tc>
          <w:tcPr>
            <w:tcW w:w="611" w:type="dxa"/>
            <w:vAlign w:val="top"/>
          </w:tcPr>
          <w:p>
            <w:pPr>
              <w:ind w:left="277"/>
              <w:spacing w:before="294"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919" w:type="dxa"/>
            <w:vAlign w:val="top"/>
          </w:tcPr>
          <w:p>
            <w:pPr>
              <w:ind w:left="164"/>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0.050L</w:t>
            </w:r>
          </w:p>
        </w:tc>
        <w:tc>
          <w:tcPr>
            <w:tcW w:w="654" w:type="dxa"/>
            <w:vAlign w:val="top"/>
          </w:tcPr>
          <w:p>
            <w:pPr>
              <w:ind w:left="300"/>
              <w:spacing w:before="294"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52" w:type="dxa"/>
            <w:vAlign w:val="top"/>
          </w:tcPr>
          <w:p>
            <w:pPr>
              <w:ind w:left="132"/>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0.050L</w:t>
            </w:r>
          </w:p>
        </w:tc>
        <w:tc>
          <w:tcPr>
            <w:tcW w:w="632" w:type="dxa"/>
            <w:vAlign w:val="top"/>
          </w:tcPr>
          <w:p>
            <w:pPr>
              <w:ind w:left="289"/>
              <w:spacing w:before="294"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117"/>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0.050L</w:t>
            </w:r>
          </w:p>
        </w:tc>
        <w:tc>
          <w:tcPr>
            <w:tcW w:w="637" w:type="dxa"/>
            <w:vAlign w:val="top"/>
          </w:tcPr>
          <w:p>
            <w:pPr>
              <w:ind w:left="290"/>
              <w:spacing w:before="294"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89" w:hRule="atLeast"/>
        </w:trPr>
        <w:tc>
          <w:tcPr>
            <w:tcW w:w="1365" w:type="dxa"/>
            <w:vAlign w:val="top"/>
          </w:tcPr>
          <w:p>
            <w:pPr>
              <w:pStyle w:val="TableText"/>
              <w:ind w:left="585"/>
              <w:spacing w:before="42" w:line="218" w:lineRule="auto"/>
              <w:rPr/>
            </w:pPr>
            <w:r>
              <w:rPr/>
              <w:t>苯</w:t>
            </w:r>
          </w:p>
        </w:tc>
        <w:tc>
          <w:tcPr>
            <w:tcW w:w="1099" w:type="dxa"/>
            <w:vAlign w:val="top"/>
          </w:tcPr>
          <w:p>
            <w:pPr>
              <w:ind w:left="354"/>
              <w:spacing w:before="7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μg/L</w:t>
            </w:r>
          </w:p>
        </w:tc>
        <w:tc>
          <w:tcPr>
            <w:tcW w:w="683" w:type="dxa"/>
            <w:vAlign w:val="top"/>
          </w:tcPr>
          <w:p>
            <w:pPr>
              <w:ind w:left="17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w:t>
            </w:r>
          </w:p>
        </w:tc>
        <w:tc>
          <w:tcPr>
            <w:tcW w:w="818" w:type="dxa"/>
            <w:vAlign w:val="top"/>
          </w:tcPr>
          <w:p>
            <w:pPr>
              <w:ind w:left="293"/>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2L</w:t>
            </w:r>
          </w:p>
        </w:tc>
        <w:tc>
          <w:tcPr>
            <w:tcW w:w="635" w:type="dxa"/>
            <w:vAlign w:val="top"/>
          </w:tcPr>
          <w:p>
            <w:pPr>
              <w:ind w:left="288"/>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289"/>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2L</w:t>
            </w:r>
          </w:p>
        </w:tc>
        <w:tc>
          <w:tcPr>
            <w:tcW w:w="622" w:type="dxa"/>
            <w:vAlign w:val="top"/>
          </w:tcPr>
          <w:p>
            <w:pPr>
              <w:ind w:left="280"/>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65" w:type="dxa"/>
            <w:vAlign w:val="top"/>
          </w:tcPr>
          <w:p>
            <w:pPr>
              <w:ind w:left="316"/>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2L</w:t>
            </w:r>
          </w:p>
        </w:tc>
        <w:tc>
          <w:tcPr>
            <w:tcW w:w="608" w:type="dxa"/>
            <w:vAlign w:val="top"/>
          </w:tcPr>
          <w:p>
            <w:pPr>
              <w:ind w:left="274"/>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291"/>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2L</w:t>
            </w:r>
          </w:p>
        </w:tc>
        <w:tc>
          <w:tcPr>
            <w:tcW w:w="611" w:type="dxa"/>
            <w:vAlign w:val="top"/>
          </w:tcPr>
          <w:p>
            <w:pPr>
              <w:ind w:left="277"/>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919" w:type="dxa"/>
            <w:vAlign w:val="top"/>
          </w:tcPr>
          <w:p>
            <w:pPr>
              <w:ind w:left="346"/>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2L</w:t>
            </w:r>
          </w:p>
        </w:tc>
        <w:tc>
          <w:tcPr>
            <w:tcW w:w="654" w:type="dxa"/>
            <w:vAlign w:val="top"/>
          </w:tcPr>
          <w:p>
            <w:pPr>
              <w:ind w:left="300"/>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52" w:type="dxa"/>
            <w:vAlign w:val="top"/>
          </w:tcPr>
          <w:p>
            <w:pPr>
              <w:ind w:left="313"/>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2L</w:t>
            </w:r>
          </w:p>
        </w:tc>
        <w:tc>
          <w:tcPr>
            <w:tcW w:w="632" w:type="dxa"/>
            <w:vAlign w:val="top"/>
          </w:tcPr>
          <w:p>
            <w:pPr>
              <w:ind w:left="289"/>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298"/>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2L</w:t>
            </w:r>
          </w:p>
        </w:tc>
        <w:tc>
          <w:tcPr>
            <w:tcW w:w="637" w:type="dxa"/>
            <w:vAlign w:val="top"/>
          </w:tcPr>
          <w:p>
            <w:pPr>
              <w:ind w:left="290"/>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89" w:hRule="atLeast"/>
        </w:trPr>
        <w:tc>
          <w:tcPr>
            <w:tcW w:w="1365" w:type="dxa"/>
            <w:vAlign w:val="top"/>
          </w:tcPr>
          <w:p>
            <w:pPr>
              <w:pStyle w:val="TableText"/>
              <w:ind w:left="504"/>
              <w:spacing w:before="41" w:line="219" w:lineRule="auto"/>
              <w:rPr/>
            </w:pPr>
            <w:r>
              <w:rPr>
                <w:spacing w:val="-9"/>
              </w:rPr>
              <w:t>甲苯</w:t>
            </w:r>
          </w:p>
        </w:tc>
        <w:tc>
          <w:tcPr>
            <w:tcW w:w="1099" w:type="dxa"/>
            <w:vAlign w:val="top"/>
          </w:tcPr>
          <w:p>
            <w:pPr>
              <w:ind w:left="354"/>
              <w:spacing w:before="7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μg/L</w:t>
            </w:r>
          </w:p>
        </w:tc>
        <w:tc>
          <w:tcPr>
            <w:tcW w:w="683" w:type="dxa"/>
            <w:vAlign w:val="top"/>
          </w:tcPr>
          <w:p>
            <w:pPr>
              <w:ind w:left="124"/>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≤700</w:t>
            </w:r>
          </w:p>
        </w:tc>
        <w:tc>
          <w:tcPr>
            <w:tcW w:w="818" w:type="dxa"/>
            <w:vAlign w:val="top"/>
          </w:tcPr>
          <w:p>
            <w:pPr>
              <w:ind w:left="293"/>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2L</w:t>
            </w:r>
          </w:p>
        </w:tc>
        <w:tc>
          <w:tcPr>
            <w:tcW w:w="635" w:type="dxa"/>
            <w:vAlign w:val="top"/>
          </w:tcPr>
          <w:p>
            <w:pPr>
              <w:ind w:left="288"/>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289"/>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2L</w:t>
            </w:r>
          </w:p>
        </w:tc>
        <w:tc>
          <w:tcPr>
            <w:tcW w:w="622" w:type="dxa"/>
            <w:vAlign w:val="top"/>
          </w:tcPr>
          <w:p>
            <w:pPr>
              <w:ind w:left="280"/>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65" w:type="dxa"/>
            <w:vAlign w:val="top"/>
          </w:tcPr>
          <w:p>
            <w:pPr>
              <w:ind w:left="316"/>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2L</w:t>
            </w:r>
          </w:p>
        </w:tc>
        <w:tc>
          <w:tcPr>
            <w:tcW w:w="608" w:type="dxa"/>
            <w:vAlign w:val="top"/>
          </w:tcPr>
          <w:p>
            <w:pPr>
              <w:ind w:left="274"/>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291"/>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2L</w:t>
            </w:r>
          </w:p>
        </w:tc>
        <w:tc>
          <w:tcPr>
            <w:tcW w:w="611" w:type="dxa"/>
            <w:vAlign w:val="top"/>
          </w:tcPr>
          <w:p>
            <w:pPr>
              <w:ind w:left="277"/>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919" w:type="dxa"/>
            <w:vAlign w:val="top"/>
          </w:tcPr>
          <w:p>
            <w:pPr>
              <w:ind w:left="346"/>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2L</w:t>
            </w:r>
          </w:p>
        </w:tc>
        <w:tc>
          <w:tcPr>
            <w:tcW w:w="654" w:type="dxa"/>
            <w:vAlign w:val="top"/>
          </w:tcPr>
          <w:p>
            <w:pPr>
              <w:ind w:left="300"/>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52" w:type="dxa"/>
            <w:vAlign w:val="top"/>
          </w:tcPr>
          <w:p>
            <w:pPr>
              <w:ind w:left="313"/>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2L</w:t>
            </w:r>
          </w:p>
        </w:tc>
        <w:tc>
          <w:tcPr>
            <w:tcW w:w="632" w:type="dxa"/>
            <w:vAlign w:val="top"/>
          </w:tcPr>
          <w:p>
            <w:pPr>
              <w:ind w:left="289"/>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298"/>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2L</w:t>
            </w:r>
          </w:p>
        </w:tc>
        <w:tc>
          <w:tcPr>
            <w:tcW w:w="637" w:type="dxa"/>
            <w:vAlign w:val="top"/>
          </w:tcPr>
          <w:p>
            <w:pPr>
              <w:ind w:left="290"/>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89" w:hRule="atLeast"/>
        </w:trPr>
        <w:tc>
          <w:tcPr>
            <w:tcW w:w="1365" w:type="dxa"/>
            <w:vAlign w:val="top"/>
          </w:tcPr>
          <w:p>
            <w:pPr>
              <w:pStyle w:val="TableText"/>
              <w:ind w:left="268"/>
              <w:spacing w:before="42" w:line="218" w:lineRule="auto"/>
              <w:rPr/>
            </w:pPr>
            <w:r>
              <w:rPr>
                <w:spacing w:val="7"/>
              </w:rPr>
              <w:t>三氯甲烷</w:t>
            </w:r>
          </w:p>
        </w:tc>
        <w:tc>
          <w:tcPr>
            <w:tcW w:w="1099" w:type="dxa"/>
            <w:vAlign w:val="top"/>
          </w:tcPr>
          <w:p>
            <w:pPr>
              <w:ind w:left="354"/>
              <w:spacing w:before="7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μg/L</w:t>
            </w:r>
          </w:p>
        </w:tc>
        <w:tc>
          <w:tcPr>
            <w:tcW w:w="683" w:type="dxa"/>
            <w:vAlign w:val="top"/>
          </w:tcPr>
          <w:p>
            <w:pPr>
              <w:ind w:left="17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≤60</w:t>
            </w:r>
          </w:p>
        </w:tc>
        <w:tc>
          <w:tcPr>
            <w:tcW w:w="818" w:type="dxa"/>
            <w:vAlign w:val="top"/>
          </w:tcPr>
          <w:p>
            <w:pPr>
              <w:ind w:left="164"/>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0.02L</w:t>
            </w:r>
          </w:p>
        </w:tc>
        <w:tc>
          <w:tcPr>
            <w:tcW w:w="635" w:type="dxa"/>
            <w:vAlign w:val="top"/>
          </w:tcPr>
          <w:p>
            <w:pPr>
              <w:ind w:left="288"/>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60"/>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0.02L</w:t>
            </w:r>
          </w:p>
        </w:tc>
        <w:tc>
          <w:tcPr>
            <w:tcW w:w="622" w:type="dxa"/>
            <w:vAlign w:val="top"/>
          </w:tcPr>
          <w:p>
            <w:pPr>
              <w:ind w:left="280"/>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65" w:type="dxa"/>
            <w:vAlign w:val="top"/>
          </w:tcPr>
          <w:p>
            <w:pPr>
              <w:ind w:left="188"/>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0.02L</w:t>
            </w:r>
          </w:p>
        </w:tc>
        <w:tc>
          <w:tcPr>
            <w:tcW w:w="608" w:type="dxa"/>
            <w:vAlign w:val="top"/>
          </w:tcPr>
          <w:p>
            <w:pPr>
              <w:ind w:left="274"/>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62"/>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0.02L</w:t>
            </w:r>
          </w:p>
        </w:tc>
        <w:tc>
          <w:tcPr>
            <w:tcW w:w="611" w:type="dxa"/>
            <w:vAlign w:val="top"/>
          </w:tcPr>
          <w:p>
            <w:pPr>
              <w:ind w:left="277"/>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919" w:type="dxa"/>
            <w:vAlign w:val="top"/>
          </w:tcPr>
          <w:p>
            <w:pPr>
              <w:ind w:left="21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0.02L</w:t>
            </w:r>
          </w:p>
        </w:tc>
        <w:tc>
          <w:tcPr>
            <w:tcW w:w="654" w:type="dxa"/>
            <w:vAlign w:val="top"/>
          </w:tcPr>
          <w:p>
            <w:pPr>
              <w:ind w:left="300"/>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52" w:type="dxa"/>
            <w:vAlign w:val="top"/>
          </w:tcPr>
          <w:p>
            <w:pPr>
              <w:ind w:left="185"/>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0.02L</w:t>
            </w:r>
          </w:p>
        </w:tc>
        <w:tc>
          <w:tcPr>
            <w:tcW w:w="632" w:type="dxa"/>
            <w:vAlign w:val="top"/>
          </w:tcPr>
          <w:p>
            <w:pPr>
              <w:ind w:left="289"/>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172"/>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0.02L</w:t>
            </w:r>
          </w:p>
        </w:tc>
        <w:tc>
          <w:tcPr>
            <w:tcW w:w="637" w:type="dxa"/>
            <w:vAlign w:val="top"/>
          </w:tcPr>
          <w:p>
            <w:pPr>
              <w:ind w:left="290"/>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89" w:hRule="atLeast"/>
        </w:trPr>
        <w:tc>
          <w:tcPr>
            <w:tcW w:w="1365" w:type="dxa"/>
            <w:vAlign w:val="top"/>
          </w:tcPr>
          <w:p>
            <w:pPr>
              <w:pStyle w:val="TableText"/>
              <w:ind w:left="288"/>
              <w:spacing w:before="41" w:line="219" w:lineRule="auto"/>
              <w:rPr/>
            </w:pPr>
            <w:r>
              <w:rPr>
                <w:spacing w:val="2"/>
              </w:rPr>
              <w:t>四氯化碳</w:t>
            </w:r>
          </w:p>
        </w:tc>
        <w:tc>
          <w:tcPr>
            <w:tcW w:w="1099" w:type="dxa"/>
            <w:vAlign w:val="top"/>
          </w:tcPr>
          <w:p>
            <w:pPr>
              <w:ind w:left="354"/>
              <w:spacing w:before="7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μg/L</w:t>
            </w:r>
          </w:p>
        </w:tc>
        <w:tc>
          <w:tcPr>
            <w:tcW w:w="683" w:type="dxa"/>
            <w:vAlign w:val="top"/>
          </w:tcPr>
          <w:p>
            <w:pPr>
              <w:ind w:left="151"/>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w:t>
            </w:r>
          </w:p>
        </w:tc>
        <w:tc>
          <w:tcPr>
            <w:tcW w:w="818" w:type="dxa"/>
            <w:vAlign w:val="top"/>
          </w:tcPr>
          <w:p>
            <w:pPr>
              <w:ind w:left="164"/>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0.03L</w:t>
            </w:r>
          </w:p>
        </w:tc>
        <w:tc>
          <w:tcPr>
            <w:tcW w:w="635" w:type="dxa"/>
            <w:vAlign w:val="top"/>
          </w:tcPr>
          <w:p>
            <w:pPr>
              <w:ind w:left="288"/>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60"/>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0.03L</w:t>
            </w:r>
          </w:p>
        </w:tc>
        <w:tc>
          <w:tcPr>
            <w:tcW w:w="622" w:type="dxa"/>
            <w:vAlign w:val="top"/>
          </w:tcPr>
          <w:p>
            <w:pPr>
              <w:ind w:left="280"/>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65" w:type="dxa"/>
            <w:vAlign w:val="top"/>
          </w:tcPr>
          <w:p>
            <w:pPr>
              <w:ind w:left="188"/>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0.03L</w:t>
            </w:r>
          </w:p>
        </w:tc>
        <w:tc>
          <w:tcPr>
            <w:tcW w:w="608" w:type="dxa"/>
            <w:vAlign w:val="top"/>
          </w:tcPr>
          <w:p>
            <w:pPr>
              <w:ind w:left="274"/>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62"/>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0.03L</w:t>
            </w:r>
          </w:p>
        </w:tc>
        <w:tc>
          <w:tcPr>
            <w:tcW w:w="611" w:type="dxa"/>
            <w:vAlign w:val="top"/>
          </w:tcPr>
          <w:p>
            <w:pPr>
              <w:ind w:left="277"/>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919" w:type="dxa"/>
            <w:vAlign w:val="top"/>
          </w:tcPr>
          <w:p>
            <w:pPr>
              <w:ind w:left="217"/>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0.03L</w:t>
            </w:r>
          </w:p>
        </w:tc>
        <w:tc>
          <w:tcPr>
            <w:tcW w:w="654" w:type="dxa"/>
            <w:vAlign w:val="top"/>
          </w:tcPr>
          <w:p>
            <w:pPr>
              <w:ind w:left="300"/>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52" w:type="dxa"/>
            <w:vAlign w:val="top"/>
          </w:tcPr>
          <w:p>
            <w:pPr>
              <w:ind w:left="185"/>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0.03L</w:t>
            </w:r>
          </w:p>
        </w:tc>
        <w:tc>
          <w:tcPr>
            <w:tcW w:w="632" w:type="dxa"/>
            <w:vAlign w:val="top"/>
          </w:tcPr>
          <w:p>
            <w:pPr>
              <w:ind w:left="289"/>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172"/>
              <w:spacing w:before="7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0.03L</w:t>
            </w:r>
          </w:p>
        </w:tc>
        <w:tc>
          <w:tcPr>
            <w:tcW w:w="637" w:type="dxa"/>
            <w:vAlign w:val="top"/>
          </w:tcPr>
          <w:p>
            <w:pPr>
              <w:ind w:left="290"/>
              <w:spacing w:before="16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93" w:hRule="atLeast"/>
        </w:trPr>
        <w:tc>
          <w:tcPr>
            <w:tcW w:w="1365" w:type="dxa"/>
            <w:vAlign w:val="top"/>
          </w:tcPr>
          <w:p>
            <w:pPr>
              <w:pStyle w:val="TableText"/>
              <w:ind w:left="372"/>
              <w:spacing w:before="42" w:line="222" w:lineRule="auto"/>
              <w:rPr/>
            </w:pPr>
            <w:r>
              <w:rPr>
                <w:spacing w:val="6"/>
              </w:rPr>
              <w:t>石油类</w:t>
            </w:r>
          </w:p>
        </w:tc>
        <w:tc>
          <w:tcPr>
            <w:tcW w:w="1099" w:type="dxa"/>
            <w:vAlign w:val="top"/>
          </w:tcPr>
          <w:p>
            <w:pPr>
              <w:ind w:left="320"/>
              <w:spacing w:before="7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8"/>
              </w:rPr>
              <w:t>/L</w:t>
            </w:r>
          </w:p>
        </w:tc>
        <w:tc>
          <w:tcPr>
            <w:tcW w:w="683" w:type="dxa"/>
            <w:vAlign w:val="top"/>
          </w:tcPr>
          <w:p>
            <w:pPr>
              <w:ind w:left="98"/>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≤0.05</w:t>
            </w:r>
          </w:p>
        </w:tc>
        <w:tc>
          <w:tcPr>
            <w:tcW w:w="818" w:type="dxa"/>
            <w:vAlign w:val="top"/>
          </w:tcPr>
          <w:p>
            <w:pPr>
              <w:ind w:left="164"/>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0.01L</w:t>
            </w:r>
          </w:p>
        </w:tc>
        <w:tc>
          <w:tcPr>
            <w:tcW w:w="635" w:type="dxa"/>
            <w:vAlign w:val="top"/>
          </w:tcPr>
          <w:p>
            <w:pPr>
              <w:ind w:left="288"/>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60"/>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0.01L</w:t>
            </w:r>
          </w:p>
        </w:tc>
        <w:tc>
          <w:tcPr>
            <w:tcW w:w="622" w:type="dxa"/>
            <w:vAlign w:val="top"/>
          </w:tcPr>
          <w:p>
            <w:pPr>
              <w:ind w:left="280"/>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65" w:type="dxa"/>
            <w:vAlign w:val="top"/>
          </w:tcPr>
          <w:p>
            <w:pPr>
              <w:ind w:left="188"/>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0.01L</w:t>
            </w:r>
          </w:p>
        </w:tc>
        <w:tc>
          <w:tcPr>
            <w:tcW w:w="608" w:type="dxa"/>
            <w:vAlign w:val="top"/>
          </w:tcPr>
          <w:p>
            <w:pPr>
              <w:ind w:left="274"/>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10" w:type="dxa"/>
            <w:vAlign w:val="top"/>
          </w:tcPr>
          <w:p>
            <w:pPr>
              <w:ind w:left="162"/>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0.01L</w:t>
            </w:r>
          </w:p>
        </w:tc>
        <w:tc>
          <w:tcPr>
            <w:tcW w:w="611" w:type="dxa"/>
            <w:vAlign w:val="top"/>
          </w:tcPr>
          <w:p>
            <w:pPr>
              <w:ind w:left="277"/>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919" w:type="dxa"/>
            <w:vAlign w:val="top"/>
          </w:tcPr>
          <w:p>
            <w:pPr>
              <w:ind w:left="217"/>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0.01L</w:t>
            </w:r>
          </w:p>
        </w:tc>
        <w:tc>
          <w:tcPr>
            <w:tcW w:w="654" w:type="dxa"/>
            <w:vAlign w:val="top"/>
          </w:tcPr>
          <w:p>
            <w:pPr>
              <w:ind w:left="300"/>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52" w:type="dxa"/>
            <w:vAlign w:val="top"/>
          </w:tcPr>
          <w:p>
            <w:pPr>
              <w:ind w:left="185"/>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0.01L</w:t>
            </w:r>
          </w:p>
        </w:tc>
        <w:tc>
          <w:tcPr>
            <w:tcW w:w="632" w:type="dxa"/>
            <w:vAlign w:val="top"/>
          </w:tcPr>
          <w:p>
            <w:pPr>
              <w:ind w:left="289"/>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824" w:type="dxa"/>
            <w:vAlign w:val="top"/>
          </w:tcPr>
          <w:p>
            <w:pPr>
              <w:ind w:left="172"/>
              <w:spacing w:before="7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0.01L</w:t>
            </w:r>
          </w:p>
        </w:tc>
        <w:tc>
          <w:tcPr>
            <w:tcW w:w="637" w:type="dxa"/>
            <w:vAlign w:val="top"/>
          </w:tcPr>
          <w:p>
            <w:pPr>
              <w:ind w:left="290"/>
              <w:spacing w:before="166"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bl>
    <w:p>
      <w:pPr>
        <w:ind w:left="3321"/>
        <w:spacing w:before="36"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6"/>
        </w:rPr>
        <w:t xml:space="preserve"> </w:t>
      </w:r>
      <w:r>
        <w:rPr>
          <w:rFonts w:ascii="Times New Roman" w:hAnsi="Times New Roman" w:eastAsia="Times New Roman" w:cs="Times New Roman"/>
          <w:sz w:val="24"/>
          <w:szCs w:val="24"/>
          <w:b/>
          <w:bCs/>
          <w:spacing w:val="-2"/>
        </w:rPr>
        <w:t>4.2-9        </w:t>
      </w:r>
      <w:r>
        <w:rPr>
          <w:rFonts w:ascii="SimSun" w:hAnsi="SimSun" w:eastAsia="SimSun" w:cs="SimSun"/>
          <w:sz w:val="24"/>
          <w:szCs w:val="24"/>
          <w:b/>
          <w:bCs/>
          <w:spacing w:val="-2"/>
        </w:rPr>
        <w:t>地下水八大离子监测结果平衡分析及水化学类型分析</w:t>
      </w:r>
    </w:p>
    <w:tbl>
      <w:tblPr>
        <w:tblStyle w:val="TableNormal"/>
        <w:tblW w:w="1344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30"/>
        <w:gridCol w:w="924"/>
        <w:gridCol w:w="1601"/>
        <w:gridCol w:w="1462"/>
        <w:gridCol w:w="1461"/>
        <w:gridCol w:w="1599"/>
        <w:gridCol w:w="1814"/>
        <w:gridCol w:w="1462"/>
        <w:gridCol w:w="1391"/>
      </w:tblGrid>
      <w:tr>
        <w:trPr>
          <w:trHeight w:val="321" w:hRule="atLeast"/>
        </w:trPr>
        <w:tc>
          <w:tcPr>
            <w:tcW w:w="1730" w:type="dxa"/>
            <w:vAlign w:val="top"/>
          </w:tcPr>
          <w:p>
            <w:pPr>
              <w:pStyle w:val="TableText"/>
              <w:ind w:left="663"/>
              <w:spacing w:before="55" w:line="228" w:lineRule="auto"/>
              <w:rPr/>
            </w:pPr>
            <w:r>
              <w:rPr>
                <w:spacing w:val="3"/>
              </w:rPr>
              <w:t>项目</w:t>
            </w:r>
          </w:p>
        </w:tc>
        <w:tc>
          <w:tcPr>
            <w:tcW w:w="924" w:type="dxa"/>
            <w:vAlign w:val="top"/>
          </w:tcPr>
          <w:p>
            <w:pPr>
              <w:pStyle w:val="TableText"/>
              <w:ind w:left="256"/>
              <w:spacing w:before="55" w:line="228" w:lineRule="auto"/>
              <w:rPr/>
            </w:pPr>
            <w:r>
              <w:rPr>
                <w:spacing w:val="3"/>
              </w:rPr>
              <w:t>单位</w:t>
            </w:r>
          </w:p>
        </w:tc>
        <w:tc>
          <w:tcPr>
            <w:tcW w:w="1601" w:type="dxa"/>
            <w:vAlign w:val="top"/>
          </w:tcPr>
          <w:p>
            <w:pPr>
              <w:ind w:left="64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S01</w:t>
            </w:r>
          </w:p>
        </w:tc>
        <w:tc>
          <w:tcPr>
            <w:tcW w:w="1462" w:type="dxa"/>
            <w:vAlign w:val="top"/>
          </w:tcPr>
          <w:p>
            <w:pPr>
              <w:ind w:left="57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S02</w:t>
            </w:r>
          </w:p>
        </w:tc>
        <w:tc>
          <w:tcPr>
            <w:tcW w:w="1461" w:type="dxa"/>
            <w:vAlign w:val="top"/>
          </w:tcPr>
          <w:p>
            <w:pPr>
              <w:ind w:left="57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S03</w:t>
            </w:r>
          </w:p>
        </w:tc>
        <w:tc>
          <w:tcPr>
            <w:tcW w:w="1599" w:type="dxa"/>
            <w:vAlign w:val="top"/>
          </w:tcPr>
          <w:p>
            <w:pPr>
              <w:ind w:left="64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S05</w:t>
            </w:r>
          </w:p>
        </w:tc>
        <w:tc>
          <w:tcPr>
            <w:tcW w:w="1814" w:type="dxa"/>
            <w:vAlign w:val="top"/>
          </w:tcPr>
          <w:p>
            <w:pPr>
              <w:ind w:left="75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S07</w:t>
            </w:r>
          </w:p>
        </w:tc>
        <w:tc>
          <w:tcPr>
            <w:tcW w:w="1462" w:type="dxa"/>
            <w:vAlign w:val="top"/>
          </w:tcPr>
          <w:p>
            <w:pPr>
              <w:ind w:left="5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S13</w:t>
            </w:r>
          </w:p>
        </w:tc>
        <w:tc>
          <w:tcPr>
            <w:tcW w:w="1391" w:type="dxa"/>
            <w:vAlign w:val="top"/>
          </w:tcPr>
          <w:p>
            <w:pPr>
              <w:ind w:left="54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S14</w:t>
            </w:r>
          </w:p>
        </w:tc>
      </w:tr>
      <w:tr>
        <w:trPr>
          <w:trHeight w:val="316" w:hRule="atLeast"/>
        </w:trPr>
        <w:tc>
          <w:tcPr>
            <w:tcW w:w="1730" w:type="dxa"/>
            <w:vAlign w:val="top"/>
          </w:tcPr>
          <w:p>
            <w:pPr>
              <w:ind w:left="751"/>
              <w:spacing w:before="78" w:line="204"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position w:val="-1"/>
              </w:rPr>
              <w:t>K</w:t>
            </w:r>
            <w:r>
              <w:rPr>
                <w:rFonts w:ascii="Times New Roman" w:hAnsi="Times New Roman" w:eastAsia="Times New Roman" w:cs="Times New Roman"/>
                <w:sz w:val="13"/>
                <w:szCs w:val="13"/>
                <w:spacing w:val="3"/>
                <w:position w:val="5"/>
              </w:rPr>
              <w:t>+</w:t>
            </w:r>
          </w:p>
        </w:tc>
        <w:tc>
          <w:tcPr>
            <w:tcW w:w="924" w:type="dxa"/>
            <w:vAlign w:val="top"/>
          </w:tcPr>
          <w:p>
            <w:pPr>
              <w:ind w:left="231"/>
              <w:spacing w:before="82"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1601" w:type="dxa"/>
            <w:vAlign w:val="top"/>
          </w:tcPr>
          <w:p>
            <w:pPr>
              <w:ind w:left="638"/>
              <w:spacing w:before="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12.3</w:t>
            </w:r>
          </w:p>
        </w:tc>
        <w:tc>
          <w:tcPr>
            <w:tcW w:w="1462" w:type="dxa"/>
            <w:vAlign w:val="top"/>
          </w:tcPr>
          <w:p>
            <w:pPr>
              <w:ind w:left="556"/>
              <w:spacing w:before="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8.16</w:t>
            </w:r>
          </w:p>
        </w:tc>
        <w:tc>
          <w:tcPr>
            <w:tcW w:w="1461" w:type="dxa"/>
            <w:vAlign w:val="top"/>
          </w:tcPr>
          <w:p>
            <w:pPr>
              <w:ind w:left="604"/>
              <w:spacing w:before="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9.6</w:t>
            </w:r>
          </w:p>
        </w:tc>
        <w:tc>
          <w:tcPr>
            <w:tcW w:w="1599" w:type="dxa"/>
            <w:vAlign w:val="top"/>
          </w:tcPr>
          <w:p>
            <w:pPr>
              <w:ind w:left="626"/>
              <w:spacing w:before="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8.25</w:t>
            </w:r>
          </w:p>
        </w:tc>
        <w:tc>
          <w:tcPr>
            <w:tcW w:w="1814" w:type="dxa"/>
            <w:vAlign w:val="top"/>
          </w:tcPr>
          <w:p>
            <w:pPr>
              <w:ind w:left="745"/>
              <w:spacing w:before="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10.3</w:t>
            </w:r>
          </w:p>
        </w:tc>
        <w:tc>
          <w:tcPr>
            <w:tcW w:w="1462" w:type="dxa"/>
            <w:vAlign w:val="top"/>
          </w:tcPr>
          <w:p>
            <w:pPr>
              <w:ind w:left="549"/>
              <w:spacing w:before="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4.38</w:t>
            </w:r>
          </w:p>
        </w:tc>
        <w:tc>
          <w:tcPr>
            <w:tcW w:w="1391" w:type="dxa"/>
            <w:vAlign w:val="top"/>
          </w:tcPr>
          <w:p>
            <w:pPr>
              <w:ind w:left="510"/>
              <w:spacing w:before="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4.39</w:t>
            </w:r>
          </w:p>
        </w:tc>
      </w:tr>
      <w:tr>
        <w:trPr>
          <w:trHeight w:val="316" w:hRule="atLeast"/>
        </w:trPr>
        <w:tc>
          <w:tcPr>
            <w:tcW w:w="1730" w:type="dxa"/>
            <w:vAlign w:val="top"/>
          </w:tcPr>
          <w:p>
            <w:pPr>
              <w:ind w:left="699"/>
              <w:spacing w:before="80"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position w:val="-1"/>
              </w:rPr>
              <w:t>Na</w:t>
            </w:r>
            <w:r>
              <w:rPr>
                <w:rFonts w:ascii="Times New Roman" w:hAnsi="Times New Roman" w:eastAsia="Times New Roman" w:cs="Times New Roman"/>
                <w:sz w:val="13"/>
                <w:szCs w:val="13"/>
                <w:spacing w:val="15"/>
                <w:position w:val="5"/>
              </w:rPr>
              <w:t>+</w:t>
            </w:r>
          </w:p>
        </w:tc>
        <w:tc>
          <w:tcPr>
            <w:tcW w:w="924" w:type="dxa"/>
            <w:vAlign w:val="top"/>
          </w:tcPr>
          <w:p>
            <w:pPr>
              <w:ind w:left="231"/>
              <w:spacing w:before="8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1601" w:type="dxa"/>
            <w:vAlign w:val="top"/>
          </w:tcPr>
          <w:p>
            <w:pPr>
              <w:ind w:left="617"/>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48.1</w:t>
            </w:r>
          </w:p>
        </w:tc>
        <w:tc>
          <w:tcPr>
            <w:tcW w:w="1462" w:type="dxa"/>
            <w:vAlign w:val="top"/>
          </w:tcPr>
          <w:p>
            <w:pPr>
              <w:ind w:left="578"/>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355</w:t>
            </w:r>
          </w:p>
        </w:tc>
        <w:tc>
          <w:tcPr>
            <w:tcW w:w="1461" w:type="dxa"/>
            <w:vAlign w:val="top"/>
          </w:tcPr>
          <w:p>
            <w:pPr>
              <w:ind w:left="574"/>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242</w:t>
            </w:r>
          </w:p>
        </w:tc>
        <w:tc>
          <w:tcPr>
            <w:tcW w:w="1599" w:type="dxa"/>
            <w:vAlign w:val="top"/>
          </w:tcPr>
          <w:p>
            <w:pPr>
              <w:ind w:left="643"/>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486</w:t>
            </w:r>
          </w:p>
        </w:tc>
        <w:tc>
          <w:tcPr>
            <w:tcW w:w="1814" w:type="dxa"/>
            <w:vAlign w:val="top"/>
          </w:tcPr>
          <w:p>
            <w:pPr>
              <w:ind w:left="751"/>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253</w:t>
            </w:r>
          </w:p>
        </w:tc>
        <w:tc>
          <w:tcPr>
            <w:tcW w:w="1462" w:type="dxa"/>
            <w:vAlign w:val="top"/>
          </w:tcPr>
          <w:p>
            <w:pPr>
              <w:ind w:left="554"/>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32.0</w:t>
            </w:r>
          </w:p>
        </w:tc>
        <w:tc>
          <w:tcPr>
            <w:tcW w:w="1391" w:type="dxa"/>
            <w:vAlign w:val="top"/>
          </w:tcPr>
          <w:p>
            <w:pPr>
              <w:ind w:left="516"/>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32.3</w:t>
            </w:r>
          </w:p>
        </w:tc>
      </w:tr>
      <w:tr>
        <w:trPr>
          <w:trHeight w:val="316" w:hRule="atLeast"/>
        </w:trPr>
        <w:tc>
          <w:tcPr>
            <w:tcW w:w="1730" w:type="dxa"/>
            <w:vAlign w:val="top"/>
          </w:tcPr>
          <w:p>
            <w:pPr>
              <w:ind w:left="680"/>
              <w:spacing w:before="70" w:line="21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position w:val="-2"/>
              </w:rPr>
              <w:t>Ca</w:t>
            </w:r>
            <w:r>
              <w:rPr>
                <w:rFonts w:ascii="Times New Roman" w:hAnsi="Times New Roman" w:eastAsia="Times New Roman" w:cs="Times New Roman"/>
                <w:sz w:val="13"/>
                <w:szCs w:val="13"/>
                <w:spacing w:val="5"/>
                <w:position w:val="4"/>
              </w:rPr>
              <w:t>2+</w:t>
            </w:r>
          </w:p>
        </w:tc>
        <w:tc>
          <w:tcPr>
            <w:tcW w:w="924" w:type="dxa"/>
            <w:vAlign w:val="top"/>
          </w:tcPr>
          <w:p>
            <w:pPr>
              <w:ind w:left="231"/>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1601" w:type="dxa"/>
            <w:vAlign w:val="top"/>
          </w:tcPr>
          <w:p>
            <w:pPr>
              <w:ind w:left="62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54.6</w:t>
            </w:r>
          </w:p>
        </w:tc>
        <w:tc>
          <w:tcPr>
            <w:tcW w:w="1462" w:type="dxa"/>
            <w:vAlign w:val="top"/>
          </w:tcPr>
          <w:p>
            <w:pPr>
              <w:ind w:left="59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186</w:t>
            </w:r>
          </w:p>
        </w:tc>
        <w:tc>
          <w:tcPr>
            <w:tcW w:w="1461" w:type="dxa"/>
            <w:vAlign w:val="top"/>
          </w:tcPr>
          <w:p>
            <w:pPr>
              <w:ind w:left="57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236</w:t>
            </w:r>
          </w:p>
        </w:tc>
        <w:tc>
          <w:tcPr>
            <w:tcW w:w="1599" w:type="dxa"/>
            <w:vAlign w:val="top"/>
          </w:tcPr>
          <w:p>
            <w:pPr>
              <w:ind w:left="66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161</w:t>
            </w:r>
          </w:p>
        </w:tc>
        <w:tc>
          <w:tcPr>
            <w:tcW w:w="1814" w:type="dxa"/>
            <w:vAlign w:val="top"/>
          </w:tcPr>
          <w:p>
            <w:pPr>
              <w:ind w:left="772"/>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181</w:t>
            </w:r>
          </w:p>
        </w:tc>
        <w:tc>
          <w:tcPr>
            <w:tcW w:w="1462" w:type="dxa"/>
            <w:vAlign w:val="top"/>
          </w:tcPr>
          <w:p>
            <w:pPr>
              <w:ind w:left="556"/>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51.0</w:t>
            </w:r>
          </w:p>
        </w:tc>
        <w:tc>
          <w:tcPr>
            <w:tcW w:w="1391" w:type="dxa"/>
            <w:vAlign w:val="top"/>
          </w:tcPr>
          <w:p>
            <w:pPr>
              <w:ind w:left="51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51.3</w:t>
            </w:r>
          </w:p>
        </w:tc>
      </w:tr>
      <w:tr>
        <w:trPr>
          <w:trHeight w:val="317" w:hRule="atLeast"/>
        </w:trPr>
        <w:tc>
          <w:tcPr>
            <w:tcW w:w="1730" w:type="dxa"/>
            <w:vAlign w:val="top"/>
          </w:tcPr>
          <w:p>
            <w:pPr>
              <w:ind w:left="648"/>
              <w:spacing w:before="70" w:line="21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position w:val="-1"/>
              </w:rPr>
              <w:t>Mg</w:t>
            </w:r>
            <w:r>
              <w:rPr>
                <w:rFonts w:ascii="Times New Roman" w:hAnsi="Times New Roman" w:eastAsia="Times New Roman" w:cs="Times New Roman"/>
                <w:sz w:val="13"/>
                <w:szCs w:val="13"/>
                <w:spacing w:val="8"/>
                <w:position w:val="5"/>
              </w:rPr>
              <w:t>2+</w:t>
            </w:r>
          </w:p>
        </w:tc>
        <w:tc>
          <w:tcPr>
            <w:tcW w:w="924" w:type="dxa"/>
            <w:vAlign w:val="top"/>
          </w:tcPr>
          <w:p>
            <w:pPr>
              <w:ind w:left="231"/>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1601" w:type="dxa"/>
            <w:vAlign w:val="top"/>
          </w:tcPr>
          <w:p>
            <w:pPr>
              <w:ind w:left="63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12.5</w:t>
            </w:r>
          </w:p>
        </w:tc>
        <w:tc>
          <w:tcPr>
            <w:tcW w:w="1462" w:type="dxa"/>
            <w:vAlign w:val="top"/>
          </w:tcPr>
          <w:p>
            <w:pPr>
              <w:ind w:left="55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53.4</w:t>
            </w:r>
          </w:p>
        </w:tc>
        <w:tc>
          <w:tcPr>
            <w:tcW w:w="1461" w:type="dxa"/>
            <w:vAlign w:val="top"/>
          </w:tcPr>
          <w:p>
            <w:pPr>
              <w:ind w:left="552"/>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62.4</w:t>
            </w:r>
          </w:p>
        </w:tc>
        <w:tc>
          <w:tcPr>
            <w:tcW w:w="1599" w:type="dxa"/>
            <w:vAlign w:val="top"/>
          </w:tcPr>
          <w:p>
            <w:pPr>
              <w:ind w:left="70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63</w:t>
            </w:r>
          </w:p>
        </w:tc>
        <w:tc>
          <w:tcPr>
            <w:tcW w:w="1814" w:type="dxa"/>
            <w:vAlign w:val="top"/>
          </w:tcPr>
          <w:p>
            <w:pPr>
              <w:ind w:left="730"/>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62.3</w:t>
            </w:r>
          </w:p>
        </w:tc>
        <w:tc>
          <w:tcPr>
            <w:tcW w:w="1462" w:type="dxa"/>
            <w:vAlign w:val="top"/>
          </w:tcPr>
          <w:p>
            <w:pPr>
              <w:ind w:left="570"/>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10.0</w:t>
            </w:r>
          </w:p>
        </w:tc>
        <w:tc>
          <w:tcPr>
            <w:tcW w:w="1391" w:type="dxa"/>
            <w:vAlign w:val="top"/>
          </w:tcPr>
          <w:p>
            <w:pPr>
              <w:ind w:left="532"/>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10.0</w:t>
            </w:r>
          </w:p>
        </w:tc>
      </w:tr>
      <w:tr>
        <w:trPr>
          <w:trHeight w:val="316" w:hRule="atLeast"/>
        </w:trPr>
        <w:tc>
          <w:tcPr>
            <w:tcW w:w="1730" w:type="dxa"/>
            <w:vAlign w:val="top"/>
          </w:tcPr>
          <w:p>
            <w:pPr>
              <w:ind w:left="632"/>
              <w:spacing w:before="71" w:line="21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CO</w:t>
            </w:r>
            <w:r>
              <w:rPr>
                <w:rFonts w:ascii="Times New Roman" w:hAnsi="Times New Roman" w:eastAsia="Times New Roman" w:cs="Times New Roman"/>
                <w:sz w:val="13"/>
                <w:szCs w:val="13"/>
                <w:spacing w:val="5"/>
                <w:position w:val="-2"/>
              </w:rPr>
              <w:t>3</w:t>
            </w:r>
            <w:r>
              <w:rPr>
                <w:rFonts w:ascii="Times New Roman" w:hAnsi="Times New Roman" w:eastAsia="Times New Roman" w:cs="Times New Roman"/>
                <w:sz w:val="13"/>
                <w:szCs w:val="13"/>
                <w:spacing w:val="5"/>
                <w:position w:val="6"/>
              </w:rPr>
              <w:t>2-</w:t>
            </w:r>
          </w:p>
        </w:tc>
        <w:tc>
          <w:tcPr>
            <w:tcW w:w="924" w:type="dxa"/>
            <w:vAlign w:val="top"/>
          </w:tcPr>
          <w:p>
            <w:pPr>
              <w:ind w:left="231"/>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1601" w:type="dxa"/>
            <w:vAlign w:val="top"/>
          </w:tcPr>
          <w:p>
            <w:pPr>
              <w:ind w:left="750"/>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462" w:type="dxa"/>
            <w:vAlign w:val="top"/>
          </w:tcPr>
          <w:p>
            <w:pPr>
              <w:ind w:left="68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461" w:type="dxa"/>
            <w:vAlign w:val="top"/>
          </w:tcPr>
          <w:p>
            <w:pPr>
              <w:ind w:left="68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599" w:type="dxa"/>
            <w:vAlign w:val="top"/>
          </w:tcPr>
          <w:p>
            <w:pPr>
              <w:ind w:left="75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814" w:type="dxa"/>
            <w:vAlign w:val="top"/>
          </w:tcPr>
          <w:p>
            <w:pPr>
              <w:ind w:left="860"/>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462" w:type="dxa"/>
            <w:vAlign w:val="top"/>
          </w:tcPr>
          <w:p>
            <w:pPr>
              <w:ind w:left="685"/>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391" w:type="dxa"/>
            <w:vAlign w:val="top"/>
          </w:tcPr>
          <w:p>
            <w:pPr>
              <w:ind w:left="64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r>
      <w:tr>
        <w:trPr>
          <w:trHeight w:val="317" w:hRule="atLeast"/>
        </w:trPr>
        <w:tc>
          <w:tcPr>
            <w:tcW w:w="1730" w:type="dxa"/>
            <w:vAlign w:val="top"/>
          </w:tcPr>
          <w:p>
            <w:pPr>
              <w:ind w:left="588"/>
              <w:spacing w:before="91" w:line="197"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HCO</w:t>
            </w:r>
            <w:r>
              <w:rPr>
                <w:rFonts w:ascii="Times New Roman" w:hAnsi="Times New Roman" w:eastAsia="Times New Roman" w:cs="Times New Roman"/>
                <w:sz w:val="13"/>
                <w:szCs w:val="13"/>
                <w:spacing w:val="11"/>
                <w:position w:val="-1"/>
              </w:rPr>
              <w:t>3</w:t>
            </w:r>
            <w:r>
              <w:rPr>
                <w:rFonts w:ascii="Times New Roman" w:hAnsi="Times New Roman" w:eastAsia="Times New Roman" w:cs="Times New Roman"/>
                <w:sz w:val="13"/>
                <w:szCs w:val="13"/>
                <w:spacing w:val="11"/>
                <w:position w:val="7"/>
              </w:rPr>
              <w:t>-</w:t>
            </w:r>
          </w:p>
        </w:tc>
        <w:tc>
          <w:tcPr>
            <w:tcW w:w="924" w:type="dxa"/>
            <w:vAlign w:val="top"/>
          </w:tcPr>
          <w:p>
            <w:pPr>
              <w:ind w:left="231"/>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1601" w:type="dxa"/>
            <w:vAlign w:val="top"/>
          </w:tcPr>
          <w:p>
            <w:pPr>
              <w:ind w:left="64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308</w:t>
            </w:r>
          </w:p>
        </w:tc>
        <w:tc>
          <w:tcPr>
            <w:tcW w:w="1462" w:type="dxa"/>
            <w:vAlign w:val="top"/>
          </w:tcPr>
          <w:p>
            <w:pPr>
              <w:ind w:left="57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451</w:t>
            </w:r>
          </w:p>
        </w:tc>
        <w:tc>
          <w:tcPr>
            <w:tcW w:w="1461" w:type="dxa"/>
            <w:vAlign w:val="top"/>
          </w:tcPr>
          <w:p>
            <w:pPr>
              <w:ind w:left="58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501</w:t>
            </w:r>
          </w:p>
        </w:tc>
        <w:tc>
          <w:tcPr>
            <w:tcW w:w="1599" w:type="dxa"/>
            <w:vAlign w:val="top"/>
          </w:tcPr>
          <w:p>
            <w:pPr>
              <w:ind w:left="65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550</w:t>
            </w:r>
          </w:p>
        </w:tc>
        <w:tc>
          <w:tcPr>
            <w:tcW w:w="1814" w:type="dxa"/>
            <w:vAlign w:val="top"/>
          </w:tcPr>
          <w:p>
            <w:pPr>
              <w:ind w:left="75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410</w:t>
            </w:r>
          </w:p>
        </w:tc>
        <w:tc>
          <w:tcPr>
            <w:tcW w:w="1462" w:type="dxa"/>
            <w:vAlign w:val="top"/>
          </w:tcPr>
          <w:p>
            <w:pPr>
              <w:ind w:left="57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218</w:t>
            </w:r>
          </w:p>
        </w:tc>
        <w:tc>
          <w:tcPr>
            <w:tcW w:w="1391" w:type="dxa"/>
            <w:vAlign w:val="top"/>
          </w:tcPr>
          <w:p>
            <w:pPr>
              <w:ind w:left="54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217</w:t>
            </w:r>
          </w:p>
        </w:tc>
      </w:tr>
      <w:tr>
        <w:trPr>
          <w:trHeight w:val="317" w:hRule="atLeast"/>
        </w:trPr>
        <w:tc>
          <w:tcPr>
            <w:tcW w:w="1730" w:type="dxa"/>
            <w:vAlign w:val="top"/>
          </w:tcPr>
          <w:p>
            <w:pPr>
              <w:ind w:left="748"/>
              <w:spacing w:before="86"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Cl</w:t>
            </w:r>
            <w:r>
              <w:rPr>
                <w:rFonts w:ascii="Times New Roman" w:hAnsi="Times New Roman" w:eastAsia="Times New Roman" w:cs="Times New Roman"/>
                <w:sz w:val="13"/>
                <w:szCs w:val="13"/>
                <w:spacing w:val="5"/>
                <w:position w:val="6"/>
              </w:rPr>
              <w:t>-</w:t>
            </w:r>
          </w:p>
        </w:tc>
        <w:tc>
          <w:tcPr>
            <w:tcW w:w="924" w:type="dxa"/>
            <w:vAlign w:val="top"/>
          </w:tcPr>
          <w:p>
            <w:pPr>
              <w:ind w:left="231"/>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1601" w:type="dxa"/>
            <w:vAlign w:val="top"/>
          </w:tcPr>
          <w:p>
            <w:pPr>
              <w:ind w:left="61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43.6</w:t>
            </w:r>
          </w:p>
        </w:tc>
        <w:tc>
          <w:tcPr>
            <w:tcW w:w="1462" w:type="dxa"/>
            <w:vAlign w:val="top"/>
          </w:tcPr>
          <w:p>
            <w:pPr>
              <w:ind w:left="57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305</w:t>
            </w:r>
          </w:p>
        </w:tc>
        <w:tc>
          <w:tcPr>
            <w:tcW w:w="1461" w:type="dxa"/>
            <w:vAlign w:val="top"/>
          </w:tcPr>
          <w:p>
            <w:pPr>
              <w:ind w:left="57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330</w:t>
            </w:r>
          </w:p>
        </w:tc>
        <w:tc>
          <w:tcPr>
            <w:tcW w:w="1599" w:type="dxa"/>
            <w:vAlign w:val="top"/>
          </w:tcPr>
          <w:p>
            <w:pPr>
              <w:ind w:left="64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406</w:t>
            </w:r>
          </w:p>
        </w:tc>
        <w:tc>
          <w:tcPr>
            <w:tcW w:w="1814" w:type="dxa"/>
            <w:vAlign w:val="top"/>
          </w:tcPr>
          <w:p>
            <w:pPr>
              <w:ind w:left="75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288</w:t>
            </w:r>
          </w:p>
        </w:tc>
        <w:tc>
          <w:tcPr>
            <w:tcW w:w="1462" w:type="dxa"/>
            <w:vAlign w:val="top"/>
          </w:tcPr>
          <w:p>
            <w:pPr>
              <w:ind w:left="570"/>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11.9</w:t>
            </w:r>
          </w:p>
        </w:tc>
        <w:tc>
          <w:tcPr>
            <w:tcW w:w="1391" w:type="dxa"/>
            <w:vAlign w:val="top"/>
          </w:tcPr>
          <w:p>
            <w:pPr>
              <w:ind w:left="532"/>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11.3</w:t>
            </w:r>
          </w:p>
        </w:tc>
      </w:tr>
      <w:tr>
        <w:trPr>
          <w:trHeight w:val="317" w:hRule="atLeast"/>
        </w:trPr>
        <w:tc>
          <w:tcPr>
            <w:tcW w:w="1730" w:type="dxa"/>
            <w:vAlign w:val="top"/>
          </w:tcPr>
          <w:p>
            <w:pPr>
              <w:ind w:left="674"/>
              <w:spacing w:before="72" w:line="210"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2"/>
                <w:position w:val="-2"/>
              </w:rPr>
              <w:t>4</w:t>
            </w:r>
            <w:r>
              <w:rPr>
                <w:rFonts w:ascii="Times New Roman" w:hAnsi="Times New Roman" w:eastAsia="Times New Roman" w:cs="Times New Roman"/>
                <w:sz w:val="13"/>
                <w:szCs w:val="13"/>
                <w:spacing w:val="2"/>
                <w:position w:val="5"/>
              </w:rPr>
              <w:t>2</w:t>
            </w:r>
          </w:p>
        </w:tc>
        <w:tc>
          <w:tcPr>
            <w:tcW w:w="924" w:type="dxa"/>
            <w:vAlign w:val="top"/>
          </w:tcPr>
          <w:p>
            <w:pPr>
              <w:ind w:left="231"/>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/L</w:t>
            </w:r>
          </w:p>
        </w:tc>
        <w:tc>
          <w:tcPr>
            <w:tcW w:w="1601" w:type="dxa"/>
            <w:vAlign w:val="top"/>
          </w:tcPr>
          <w:p>
            <w:pPr>
              <w:ind w:left="61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29.3</w:t>
            </w:r>
          </w:p>
        </w:tc>
        <w:tc>
          <w:tcPr>
            <w:tcW w:w="1462" w:type="dxa"/>
            <w:vAlign w:val="top"/>
          </w:tcPr>
          <w:p>
            <w:pPr>
              <w:ind w:left="57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465</w:t>
            </w:r>
          </w:p>
        </w:tc>
        <w:tc>
          <w:tcPr>
            <w:tcW w:w="1461" w:type="dxa"/>
            <w:vAlign w:val="top"/>
          </w:tcPr>
          <w:p>
            <w:pPr>
              <w:ind w:left="57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494</w:t>
            </w:r>
          </w:p>
        </w:tc>
        <w:tc>
          <w:tcPr>
            <w:tcW w:w="1599" w:type="dxa"/>
            <w:vAlign w:val="top"/>
          </w:tcPr>
          <w:p>
            <w:pPr>
              <w:ind w:left="650"/>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536</w:t>
            </w:r>
          </w:p>
        </w:tc>
        <w:tc>
          <w:tcPr>
            <w:tcW w:w="1814" w:type="dxa"/>
            <w:vAlign w:val="top"/>
          </w:tcPr>
          <w:p>
            <w:pPr>
              <w:ind w:left="756"/>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394</w:t>
            </w:r>
          </w:p>
        </w:tc>
        <w:tc>
          <w:tcPr>
            <w:tcW w:w="1462" w:type="dxa"/>
            <w:vAlign w:val="top"/>
          </w:tcPr>
          <w:p>
            <w:pPr>
              <w:ind w:left="550"/>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27.3</w:t>
            </w:r>
          </w:p>
        </w:tc>
        <w:tc>
          <w:tcPr>
            <w:tcW w:w="1391" w:type="dxa"/>
            <w:vAlign w:val="top"/>
          </w:tcPr>
          <w:p>
            <w:pPr>
              <w:ind w:left="51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25.4</w:t>
            </w:r>
          </w:p>
        </w:tc>
      </w:tr>
      <w:tr>
        <w:trPr>
          <w:trHeight w:val="317" w:hRule="atLeast"/>
        </w:trPr>
        <w:tc>
          <w:tcPr>
            <w:tcW w:w="1730" w:type="dxa"/>
            <w:vAlign w:val="top"/>
          </w:tcPr>
          <w:p>
            <w:pPr>
              <w:pStyle w:val="TableText"/>
              <w:ind w:left="47"/>
              <w:spacing w:before="54" w:line="228" w:lineRule="auto"/>
              <w:rPr/>
            </w:pPr>
            <w:r>
              <w:rPr>
                <w:spacing w:val="6"/>
              </w:rPr>
              <w:t>阴阳离子平衡分析</w:t>
            </w:r>
          </w:p>
        </w:tc>
        <w:tc>
          <w:tcPr>
            <w:tcW w:w="924" w:type="dxa"/>
            <w:vAlign w:val="top"/>
          </w:tcPr>
          <w:p>
            <w:pPr>
              <w:ind w:left="37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w:t>
            </w:r>
          </w:p>
        </w:tc>
        <w:tc>
          <w:tcPr>
            <w:tcW w:w="1601" w:type="dxa"/>
            <w:vAlign w:val="top"/>
          </w:tcPr>
          <w:p>
            <w:pPr>
              <w:ind w:left="52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4.77%</w:t>
            </w:r>
          </w:p>
        </w:tc>
        <w:tc>
          <w:tcPr>
            <w:tcW w:w="1462" w:type="dxa"/>
            <w:vAlign w:val="top"/>
          </w:tcPr>
          <w:p>
            <w:pPr>
              <w:ind w:left="43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-4.44%</w:t>
            </w:r>
          </w:p>
        </w:tc>
        <w:tc>
          <w:tcPr>
            <w:tcW w:w="1461" w:type="dxa"/>
            <w:vAlign w:val="top"/>
          </w:tcPr>
          <w:p>
            <w:pPr>
              <w:ind w:left="46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2.29%</w:t>
            </w:r>
          </w:p>
        </w:tc>
        <w:tc>
          <w:tcPr>
            <w:tcW w:w="1599" w:type="dxa"/>
            <w:vAlign w:val="top"/>
          </w:tcPr>
          <w:p>
            <w:pPr>
              <w:ind w:left="49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-2.98%</w:t>
            </w:r>
          </w:p>
        </w:tc>
        <w:tc>
          <w:tcPr>
            <w:tcW w:w="1814" w:type="dxa"/>
            <w:vAlign w:val="top"/>
          </w:tcPr>
          <w:p>
            <w:pPr>
              <w:ind w:left="60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-3.29%</w:t>
            </w:r>
          </w:p>
        </w:tc>
        <w:tc>
          <w:tcPr>
            <w:tcW w:w="1462" w:type="dxa"/>
            <w:vAlign w:val="top"/>
          </w:tcPr>
          <w:p>
            <w:pPr>
              <w:ind w:left="43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-4.26%</w:t>
            </w:r>
          </w:p>
        </w:tc>
        <w:tc>
          <w:tcPr>
            <w:tcW w:w="1391" w:type="dxa"/>
            <w:vAlign w:val="top"/>
          </w:tcPr>
          <w:p>
            <w:pPr>
              <w:ind w:left="39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-5.37%</w:t>
            </w:r>
          </w:p>
        </w:tc>
      </w:tr>
      <w:tr>
        <w:trPr>
          <w:trHeight w:val="321" w:hRule="atLeast"/>
        </w:trPr>
        <w:tc>
          <w:tcPr>
            <w:tcW w:w="2654" w:type="dxa"/>
            <w:vAlign w:val="top"/>
            <w:gridSpan w:val="2"/>
          </w:tcPr>
          <w:p>
            <w:pPr>
              <w:pStyle w:val="TableText"/>
              <w:ind w:left="811"/>
              <w:spacing w:before="53" w:line="228" w:lineRule="auto"/>
              <w:rPr/>
            </w:pPr>
            <w:r>
              <w:rPr>
                <w:spacing w:val="7"/>
              </w:rPr>
              <w:t>水化学类型</w:t>
            </w:r>
          </w:p>
        </w:tc>
        <w:tc>
          <w:tcPr>
            <w:tcW w:w="1601" w:type="dxa"/>
            <w:vAlign w:val="top"/>
          </w:tcPr>
          <w:p>
            <w:pPr>
              <w:ind w:left="235"/>
              <w:spacing w:before="91" w:line="21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HCO</w:t>
            </w:r>
            <w:r>
              <w:rPr>
                <w:rFonts w:ascii="Times New Roman" w:hAnsi="Times New Roman" w:eastAsia="Times New Roman" w:cs="Times New Roman"/>
                <w:sz w:val="13"/>
                <w:szCs w:val="13"/>
                <w:spacing w:val="15"/>
              </w:rPr>
              <w:t>3</w:t>
            </w:r>
            <w:r>
              <w:rPr>
                <w:rFonts w:ascii="Times New Roman" w:hAnsi="Times New Roman" w:eastAsia="Times New Roman" w:cs="Times New Roman"/>
                <w:sz w:val="20"/>
                <w:szCs w:val="20"/>
                <w:spacing w:val="15"/>
              </w:rPr>
              <w:t>-</w:t>
            </w:r>
            <w:r>
              <w:rPr>
                <w:rFonts w:ascii="Times New Roman" w:hAnsi="Times New Roman" w:eastAsia="Times New Roman" w:cs="Times New Roman"/>
                <w:sz w:val="20"/>
                <w:szCs w:val="20"/>
              </w:rPr>
              <w:t>Ca</w:t>
            </w:r>
            <w:r>
              <w:rPr>
                <w:rFonts w:ascii="Times New Roman" w:hAnsi="Times New Roman" w:eastAsia="Times New Roman" w:cs="Times New Roman"/>
                <w:sz w:val="20"/>
                <w:szCs w:val="20"/>
                <w:spacing w:val="15"/>
              </w:rPr>
              <w:t>·</w:t>
            </w:r>
            <w:r>
              <w:rPr>
                <w:rFonts w:ascii="Times New Roman" w:hAnsi="Times New Roman" w:eastAsia="Times New Roman" w:cs="Times New Roman"/>
                <w:sz w:val="20"/>
                <w:szCs w:val="20"/>
              </w:rPr>
              <w:t>Na</w:t>
            </w:r>
          </w:p>
        </w:tc>
        <w:tc>
          <w:tcPr>
            <w:tcW w:w="1462" w:type="dxa"/>
            <w:vAlign w:val="top"/>
          </w:tcPr>
          <w:p>
            <w:pPr>
              <w:ind w:left="35"/>
              <w:spacing w:before="88" w:line="21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Cl</w:t>
            </w:r>
            <w:r>
              <w:rPr>
                <w:rFonts w:ascii="Times New Roman" w:hAnsi="Times New Roman" w:eastAsia="Times New Roman" w:cs="Times New Roman"/>
                <w:sz w:val="20"/>
                <w:szCs w:val="20"/>
                <w:spacing w:val="14"/>
              </w:rPr>
              <w:t>·</w:t>
            </w:r>
            <w:r>
              <w:rPr>
                <w:rFonts w:ascii="Times New Roman" w:hAnsi="Times New Roman" w:eastAsia="Times New Roman" w:cs="Times New Roman"/>
                <w:sz w:val="20"/>
                <w:szCs w:val="20"/>
              </w:rPr>
              <w:t>HCO</w:t>
            </w:r>
            <w:r>
              <w:rPr>
                <w:rFonts w:ascii="Times New Roman" w:hAnsi="Times New Roman" w:eastAsia="Times New Roman" w:cs="Times New Roman"/>
                <w:sz w:val="13"/>
                <w:szCs w:val="13"/>
                <w:spacing w:val="14"/>
              </w:rPr>
              <w:t>3</w:t>
            </w:r>
            <w:r>
              <w:rPr>
                <w:rFonts w:ascii="Times New Roman" w:hAnsi="Times New Roman" w:eastAsia="Times New Roman" w:cs="Times New Roman"/>
                <w:sz w:val="20"/>
                <w:szCs w:val="20"/>
                <w:spacing w:val="14"/>
              </w:rPr>
              <w:t>-</w:t>
            </w:r>
            <w:r>
              <w:rPr>
                <w:rFonts w:ascii="Times New Roman" w:hAnsi="Times New Roman" w:eastAsia="Times New Roman" w:cs="Times New Roman"/>
                <w:sz w:val="20"/>
                <w:szCs w:val="20"/>
              </w:rPr>
              <w:t>Na</w:t>
            </w:r>
            <w:r>
              <w:rPr>
                <w:rFonts w:ascii="Times New Roman" w:hAnsi="Times New Roman" w:eastAsia="Times New Roman" w:cs="Times New Roman"/>
                <w:sz w:val="20"/>
                <w:szCs w:val="20"/>
                <w:spacing w:val="14"/>
              </w:rPr>
              <w:t>·</w:t>
            </w:r>
            <w:r>
              <w:rPr>
                <w:rFonts w:ascii="Times New Roman" w:hAnsi="Times New Roman" w:eastAsia="Times New Roman" w:cs="Times New Roman"/>
                <w:sz w:val="20"/>
                <w:szCs w:val="20"/>
              </w:rPr>
              <w:t>Ca</w:t>
            </w:r>
          </w:p>
        </w:tc>
        <w:tc>
          <w:tcPr>
            <w:tcW w:w="1461" w:type="dxa"/>
            <w:vAlign w:val="top"/>
          </w:tcPr>
          <w:p>
            <w:pPr>
              <w:ind w:left="35"/>
              <w:spacing w:before="88" w:line="21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Cl</w:t>
            </w:r>
            <w:r>
              <w:rPr>
                <w:rFonts w:ascii="Times New Roman" w:hAnsi="Times New Roman" w:eastAsia="Times New Roman" w:cs="Times New Roman"/>
                <w:sz w:val="20"/>
                <w:szCs w:val="20"/>
                <w:spacing w:val="14"/>
              </w:rPr>
              <w:t>·</w:t>
            </w:r>
            <w:r>
              <w:rPr>
                <w:rFonts w:ascii="Times New Roman" w:hAnsi="Times New Roman" w:eastAsia="Times New Roman" w:cs="Times New Roman"/>
                <w:sz w:val="20"/>
                <w:szCs w:val="20"/>
              </w:rPr>
              <w:t>HCO</w:t>
            </w:r>
            <w:r>
              <w:rPr>
                <w:rFonts w:ascii="Times New Roman" w:hAnsi="Times New Roman" w:eastAsia="Times New Roman" w:cs="Times New Roman"/>
                <w:sz w:val="13"/>
                <w:szCs w:val="13"/>
                <w:spacing w:val="14"/>
              </w:rPr>
              <w:t>3</w:t>
            </w:r>
            <w:r>
              <w:rPr>
                <w:rFonts w:ascii="Times New Roman" w:hAnsi="Times New Roman" w:eastAsia="Times New Roman" w:cs="Times New Roman"/>
                <w:sz w:val="20"/>
                <w:szCs w:val="20"/>
                <w:spacing w:val="14"/>
              </w:rPr>
              <w:t>-</w:t>
            </w:r>
            <w:r>
              <w:rPr>
                <w:rFonts w:ascii="Times New Roman" w:hAnsi="Times New Roman" w:eastAsia="Times New Roman" w:cs="Times New Roman"/>
                <w:sz w:val="20"/>
                <w:szCs w:val="20"/>
              </w:rPr>
              <w:t>Ca</w:t>
            </w:r>
            <w:r>
              <w:rPr>
                <w:rFonts w:ascii="Times New Roman" w:hAnsi="Times New Roman" w:eastAsia="Times New Roman" w:cs="Times New Roman"/>
                <w:sz w:val="20"/>
                <w:szCs w:val="20"/>
                <w:spacing w:val="14"/>
              </w:rPr>
              <w:t>·</w:t>
            </w:r>
            <w:r>
              <w:rPr>
                <w:rFonts w:ascii="Times New Roman" w:hAnsi="Times New Roman" w:eastAsia="Times New Roman" w:cs="Times New Roman"/>
                <w:sz w:val="20"/>
                <w:szCs w:val="20"/>
              </w:rPr>
              <w:t>Na</w:t>
            </w:r>
          </w:p>
        </w:tc>
        <w:tc>
          <w:tcPr>
            <w:tcW w:w="1599" w:type="dxa"/>
            <w:vAlign w:val="top"/>
          </w:tcPr>
          <w:p>
            <w:pPr>
              <w:ind w:left="54"/>
              <w:spacing w:before="88" w:line="20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Cl</w:t>
            </w:r>
            <w:r>
              <w:rPr>
                <w:rFonts w:ascii="Times New Roman" w:hAnsi="Times New Roman" w:eastAsia="Times New Roman" w:cs="Times New Roman"/>
                <w:sz w:val="20"/>
                <w:szCs w:val="20"/>
                <w:spacing w:val="12"/>
              </w:rPr>
              <w:t>·</w:t>
            </w:r>
            <w:r>
              <w:rPr>
                <w:rFonts w:ascii="Times New Roman" w:hAnsi="Times New Roman" w:eastAsia="Times New Roman" w:cs="Times New Roman"/>
                <w:sz w:val="20"/>
                <w:szCs w:val="20"/>
              </w:rPr>
              <w:t>HCO</w:t>
            </w:r>
            <w:r>
              <w:rPr>
                <w:rFonts w:ascii="Times New Roman" w:hAnsi="Times New Roman" w:eastAsia="Times New Roman" w:cs="Times New Roman"/>
                <w:sz w:val="13"/>
                <w:szCs w:val="13"/>
                <w:spacing w:val="12"/>
                <w:position w:val="-1"/>
              </w:rPr>
              <w:t>3</w:t>
            </w:r>
            <w:r>
              <w:rPr>
                <w:rFonts w:ascii="Times New Roman" w:hAnsi="Times New Roman" w:eastAsia="Times New Roman" w:cs="Times New Roman"/>
                <w:sz w:val="20"/>
                <w:szCs w:val="20"/>
                <w:spacing w:val="12"/>
              </w:rPr>
              <w:t>·</w:t>
            </w: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12"/>
              </w:rPr>
              <w:t>4</w:t>
            </w:r>
            <w:r>
              <w:rPr>
                <w:rFonts w:ascii="Times New Roman" w:hAnsi="Times New Roman" w:eastAsia="Times New Roman" w:cs="Times New Roman"/>
                <w:sz w:val="20"/>
                <w:szCs w:val="20"/>
                <w:spacing w:val="12"/>
              </w:rPr>
              <w:t>-</w:t>
            </w:r>
            <w:r>
              <w:rPr>
                <w:rFonts w:ascii="Times New Roman" w:hAnsi="Times New Roman" w:eastAsia="Times New Roman" w:cs="Times New Roman"/>
                <w:sz w:val="20"/>
                <w:szCs w:val="20"/>
              </w:rPr>
              <w:t>Na</w:t>
            </w:r>
          </w:p>
        </w:tc>
        <w:tc>
          <w:tcPr>
            <w:tcW w:w="1814" w:type="dxa"/>
            <w:vAlign w:val="top"/>
          </w:tcPr>
          <w:p>
            <w:pPr>
              <w:ind w:left="11"/>
              <w:spacing w:before="88" w:line="20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Cl</w:t>
            </w:r>
            <w:r>
              <w:rPr>
                <w:rFonts w:ascii="Times New Roman" w:hAnsi="Times New Roman" w:eastAsia="Times New Roman" w:cs="Times New Roman"/>
                <w:sz w:val="20"/>
                <w:szCs w:val="20"/>
                <w:spacing w:val="12"/>
              </w:rPr>
              <w:t>·</w:t>
            </w:r>
            <w:r>
              <w:rPr>
                <w:rFonts w:ascii="Times New Roman" w:hAnsi="Times New Roman" w:eastAsia="Times New Roman" w:cs="Times New Roman"/>
                <w:sz w:val="20"/>
                <w:szCs w:val="20"/>
              </w:rPr>
              <w:t>HCO</w:t>
            </w:r>
            <w:r>
              <w:rPr>
                <w:rFonts w:ascii="Times New Roman" w:hAnsi="Times New Roman" w:eastAsia="Times New Roman" w:cs="Times New Roman"/>
                <w:sz w:val="13"/>
                <w:szCs w:val="13"/>
                <w:spacing w:val="12"/>
                <w:position w:val="-1"/>
              </w:rPr>
              <w:t>3</w:t>
            </w:r>
            <w:r>
              <w:rPr>
                <w:rFonts w:ascii="Times New Roman" w:hAnsi="Times New Roman" w:eastAsia="Times New Roman" w:cs="Times New Roman"/>
                <w:sz w:val="20"/>
                <w:szCs w:val="20"/>
                <w:spacing w:val="12"/>
              </w:rPr>
              <w:t>·</w:t>
            </w: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12"/>
              </w:rPr>
              <w:t>4</w:t>
            </w:r>
            <w:r>
              <w:rPr>
                <w:rFonts w:ascii="Times New Roman" w:hAnsi="Times New Roman" w:eastAsia="Times New Roman" w:cs="Times New Roman"/>
                <w:sz w:val="20"/>
                <w:szCs w:val="20"/>
                <w:spacing w:val="12"/>
              </w:rPr>
              <w:t>-</w:t>
            </w:r>
            <w:r>
              <w:rPr>
                <w:rFonts w:ascii="Times New Roman" w:hAnsi="Times New Roman" w:eastAsia="Times New Roman" w:cs="Times New Roman"/>
                <w:sz w:val="20"/>
                <w:szCs w:val="20"/>
              </w:rPr>
              <w:t>Na</w:t>
            </w:r>
            <w:r>
              <w:rPr>
                <w:rFonts w:ascii="Times New Roman" w:hAnsi="Times New Roman" w:eastAsia="Times New Roman" w:cs="Times New Roman"/>
                <w:sz w:val="20"/>
                <w:szCs w:val="20"/>
                <w:spacing w:val="12"/>
              </w:rPr>
              <w:t>·</w:t>
            </w:r>
            <w:r>
              <w:rPr>
                <w:rFonts w:ascii="Times New Roman" w:hAnsi="Times New Roman" w:eastAsia="Times New Roman" w:cs="Times New Roman"/>
                <w:sz w:val="20"/>
                <w:szCs w:val="20"/>
              </w:rPr>
              <w:t>Ca</w:t>
            </w:r>
          </w:p>
        </w:tc>
        <w:tc>
          <w:tcPr>
            <w:tcW w:w="1462" w:type="dxa"/>
            <w:vAlign w:val="top"/>
          </w:tcPr>
          <w:p>
            <w:pPr>
              <w:ind w:left="168"/>
              <w:spacing w:before="91" w:line="21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HCO</w:t>
            </w:r>
            <w:r>
              <w:rPr>
                <w:rFonts w:ascii="Times New Roman" w:hAnsi="Times New Roman" w:eastAsia="Times New Roman" w:cs="Times New Roman"/>
                <w:sz w:val="13"/>
                <w:szCs w:val="13"/>
                <w:spacing w:val="16"/>
              </w:rPr>
              <w:t>3</w:t>
            </w:r>
            <w:r>
              <w:rPr>
                <w:rFonts w:ascii="Times New Roman" w:hAnsi="Times New Roman" w:eastAsia="Times New Roman" w:cs="Times New Roman"/>
                <w:sz w:val="20"/>
                <w:szCs w:val="20"/>
                <w:spacing w:val="16"/>
              </w:rPr>
              <w:t>-</w:t>
            </w:r>
            <w:r>
              <w:rPr>
                <w:rFonts w:ascii="Times New Roman" w:hAnsi="Times New Roman" w:eastAsia="Times New Roman" w:cs="Times New Roman"/>
                <w:sz w:val="20"/>
                <w:szCs w:val="20"/>
              </w:rPr>
              <w:t>Ca</w:t>
            </w:r>
            <w:r>
              <w:rPr>
                <w:rFonts w:ascii="Times New Roman" w:hAnsi="Times New Roman" w:eastAsia="Times New Roman" w:cs="Times New Roman"/>
                <w:sz w:val="20"/>
                <w:szCs w:val="20"/>
                <w:spacing w:val="16"/>
              </w:rPr>
              <w:t>·</w:t>
            </w:r>
            <w:r>
              <w:rPr>
                <w:rFonts w:ascii="Times New Roman" w:hAnsi="Times New Roman" w:eastAsia="Times New Roman" w:cs="Times New Roman"/>
                <w:sz w:val="20"/>
                <w:szCs w:val="20"/>
              </w:rPr>
              <w:t>Na</w:t>
            </w:r>
          </w:p>
        </w:tc>
        <w:tc>
          <w:tcPr>
            <w:tcW w:w="1391" w:type="dxa"/>
            <w:vAlign w:val="top"/>
          </w:tcPr>
          <w:p>
            <w:pPr>
              <w:ind w:left="131"/>
              <w:spacing w:before="91" w:line="21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HCO</w:t>
            </w:r>
            <w:r>
              <w:rPr>
                <w:rFonts w:ascii="Times New Roman" w:hAnsi="Times New Roman" w:eastAsia="Times New Roman" w:cs="Times New Roman"/>
                <w:sz w:val="13"/>
                <w:szCs w:val="13"/>
                <w:spacing w:val="15"/>
              </w:rPr>
              <w:t>3</w:t>
            </w:r>
            <w:r>
              <w:rPr>
                <w:rFonts w:ascii="Times New Roman" w:hAnsi="Times New Roman" w:eastAsia="Times New Roman" w:cs="Times New Roman"/>
                <w:sz w:val="20"/>
                <w:szCs w:val="20"/>
                <w:spacing w:val="15"/>
              </w:rPr>
              <w:t>-</w:t>
            </w:r>
            <w:r>
              <w:rPr>
                <w:rFonts w:ascii="Times New Roman" w:hAnsi="Times New Roman" w:eastAsia="Times New Roman" w:cs="Times New Roman"/>
                <w:sz w:val="20"/>
                <w:szCs w:val="20"/>
              </w:rPr>
              <w:t>Ca</w:t>
            </w:r>
            <w:r>
              <w:rPr>
                <w:rFonts w:ascii="Times New Roman" w:hAnsi="Times New Roman" w:eastAsia="Times New Roman" w:cs="Times New Roman"/>
                <w:sz w:val="20"/>
                <w:szCs w:val="20"/>
                <w:spacing w:val="15"/>
              </w:rPr>
              <w:t>·</w:t>
            </w:r>
            <w:r>
              <w:rPr>
                <w:rFonts w:ascii="Times New Roman" w:hAnsi="Times New Roman" w:eastAsia="Times New Roman" w:cs="Times New Roman"/>
                <w:sz w:val="20"/>
                <w:szCs w:val="20"/>
              </w:rPr>
              <w:t>Na</w:t>
            </w:r>
          </w:p>
        </w:tc>
      </w:tr>
    </w:tbl>
    <w:p>
      <w:pPr>
        <w:pStyle w:val="BodyText"/>
        <w:rPr/>
      </w:pPr>
      <w:r/>
    </w:p>
    <w:p>
      <w:pPr>
        <w:sectPr>
          <w:footerReference w:type="default" r:id="rId138"/>
          <w:pgSz w:w="16840" w:h="11907"/>
          <w:pgMar w:top="1567" w:right="1695" w:bottom="1480" w:left="1695" w:header="1221" w:footer="1246" w:gutter="0"/>
        </w:sectPr>
        <w:rPr/>
      </w:pPr>
    </w:p>
    <w:p>
      <w:pPr>
        <w:ind w:left="29"/>
        <w:spacing w:before="330" w:line="222" w:lineRule="auto"/>
        <w:outlineLvl w:val="2"/>
        <w:rPr>
          <w:rFonts w:ascii="SimHei" w:hAnsi="SimHei" w:eastAsia="SimHei" w:cs="SimHei"/>
          <w:sz w:val="28"/>
          <w:szCs w:val="28"/>
        </w:rPr>
      </w:pPr>
      <w:r>
        <w:pict>
          <v:shape id="_x0000_s636" style="position:absolute;margin-left:85.05pt;margin-top:78.87pt;mso-position-vertical-relative:page;mso-position-horizontal-relative:page;width:425.25pt;height:0.75pt;z-index:251942912;" o:allowincell="f" fillcolor="#000000" filled="true" stroked="false" coordsize="8505,15" coordorigin="0,0" path="m,l8504,0l8504,14l0,14l0,0xe"/>
        </w:pict>
      </w:r>
      <w:bookmarkStart w:name="bookmark83" w:id="104"/>
      <w:bookmarkEnd w:id="104"/>
      <w:r>
        <w:rPr>
          <w:rFonts w:ascii="Times New Roman" w:hAnsi="Times New Roman" w:eastAsia="Times New Roman" w:cs="Times New Roman"/>
          <w:sz w:val="28"/>
          <w:szCs w:val="28"/>
          <w:spacing w:val="-1"/>
        </w:rPr>
        <w:t>4.2.3 </w:t>
      </w:r>
      <w:r>
        <w:rPr>
          <w:rFonts w:ascii="SimHei" w:hAnsi="SimHei" w:eastAsia="SimHei" w:cs="SimHei"/>
          <w:sz w:val="28"/>
          <w:szCs w:val="28"/>
          <w:spacing w:val="-1"/>
        </w:rPr>
        <w:t>声环境质量现状监测与评价</w:t>
      </w:r>
    </w:p>
    <w:p>
      <w:pPr>
        <w:pStyle w:val="BodyText"/>
        <w:spacing w:line="277" w:lineRule="auto"/>
        <w:rPr/>
      </w:pPr>
      <w:r/>
    </w:p>
    <w:p>
      <w:pPr>
        <w:ind w:left="526"/>
        <w:spacing w:before="78"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）监测布点</w:t>
      </w:r>
    </w:p>
    <w:p>
      <w:pPr>
        <w:ind w:left="34" w:right="80" w:firstLine="480"/>
        <w:spacing w:before="181" w:line="360" w:lineRule="auto"/>
        <w:rPr>
          <w:rFonts w:ascii="SimSun" w:hAnsi="SimSun" w:eastAsia="SimSun" w:cs="SimSun"/>
          <w:sz w:val="24"/>
          <w:szCs w:val="24"/>
        </w:rPr>
      </w:pPr>
      <w:r>
        <w:rPr>
          <w:rFonts w:ascii="SimSun" w:hAnsi="SimSun" w:eastAsia="SimSun" w:cs="SimSun"/>
          <w:sz w:val="24"/>
          <w:szCs w:val="24"/>
          <w:spacing w:val="-1"/>
        </w:rPr>
        <w:t>根据厂界范围形状，在西厂区厂界布置了</w:t>
      </w:r>
      <w:r>
        <w:rPr>
          <w:rFonts w:ascii="Times New Roman" w:hAnsi="Times New Roman" w:eastAsia="Times New Roman" w:cs="Times New Roman"/>
          <w:sz w:val="24"/>
          <w:szCs w:val="24"/>
          <w:spacing w:val="-1"/>
        </w:rPr>
        <w:t>4 </w:t>
      </w:r>
      <w:r>
        <w:rPr>
          <w:rFonts w:ascii="SimSun" w:hAnsi="SimSun" w:eastAsia="SimSun" w:cs="SimSun"/>
          <w:sz w:val="24"/>
          <w:szCs w:val="24"/>
          <w:spacing w:val="-1"/>
        </w:rPr>
        <w:t>个监测点、在东厂区厂界布置了</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4</w:t>
      </w:r>
      <w:r>
        <w:rPr>
          <w:rFonts w:ascii="Times New Roman" w:hAnsi="Times New Roman" w:eastAsia="Times New Roman" w:cs="Times New Roman"/>
          <w:sz w:val="24"/>
          <w:szCs w:val="24"/>
        </w:rPr>
        <w:t xml:space="preserve"> </w:t>
      </w:r>
      <w:r>
        <w:rPr>
          <w:rFonts w:ascii="SimSun" w:hAnsi="SimSun" w:eastAsia="SimSun" w:cs="SimSun"/>
          <w:sz w:val="24"/>
          <w:szCs w:val="24"/>
          <w:spacing w:val="-1"/>
        </w:rPr>
        <w:t>个监测点；周边散户布设</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个监测点；共计</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1"/>
        </w:rPr>
        <w:t>10 </w:t>
      </w:r>
      <w:r>
        <w:rPr>
          <w:rFonts w:ascii="SimSun" w:hAnsi="SimSun" w:eastAsia="SimSun" w:cs="SimSun"/>
          <w:sz w:val="24"/>
          <w:szCs w:val="24"/>
          <w:spacing w:val="-1"/>
        </w:rPr>
        <w:t>个，监测</w:t>
      </w:r>
      <w:r>
        <w:rPr>
          <w:rFonts w:ascii="SimSun" w:hAnsi="SimSun" w:eastAsia="SimSun" w:cs="SimSun"/>
          <w:sz w:val="24"/>
          <w:szCs w:val="24"/>
          <w:spacing w:val="-2"/>
        </w:rPr>
        <w:t>点布置见图</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2"/>
        </w:rPr>
        <w:t>4.3-1</w:t>
      </w:r>
      <w:r>
        <w:rPr>
          <w:rFonts w:ascii="SimSun" w:hAnsi="SimSun" w:eastAsia="SimSun" w:cs="SimSun"/>
          <w:sz w:val="24"/>
          <w:szCs w:val="24"/>
          <w:spacing w:val="-2"/>
        </w:rPr>
        <w:t>。</w:t>
      </w:r>
    </w:p>
    <w:p>
      <w:pPr>
        <w:ind w:left="526"/>
        <w:spacing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）监测时间和频次</w:t>
      </w:r>
    </w:p>
    <w:p>
      <w:pPr>
        <w:ind w:left="513" w:firstLine="1"/>
        <w:spacing w:before="181" w:line="359" w:lineRule="auto"/>
        <w:rPr>
          <w:rFonts w:ascii="SimSun" w:hAnsi="SimSun" w:eastAsia="SimSun" w:cs="SimSun"/>
          <w:sz w:val="24"/>
          <w:szCs w:val="24"/>
        </w:rPr>
      </w:pPr>
      <w:r>
        <w:rPr>
          <w:rFonts w:ascii="SimSun" w:hAnsi="SimSun" w:eastAsia="SimSun" w:cs="SimSun"/>
          <w:sz w:val="24"/>
          <w:szCs w:val="24"/>
          <w:spacing w:val="-9"/>
        </w:rPr>
        <w:t>监测时间为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9"/>
        </w:rPr>
        <w:t>2025 </w:t>
      </w:r>
      <w:r>
        <w:rPr>
          <w:rFonts w:ascii="SimSun" w:hAnsi="SimSun" w:eastAsia="SimSun" w:cs="SimSun"/>
          <w:sz w:val="24"/>
          <w:szCs w:val="24"/>
          <w:spacing w:val="-9"/>
        </w:rPr>
        <w:t>年</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9"/>
        </w:rPr>
        <w:t>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9"/>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9"/>
        </w:rPr>
        <w:t>14  </w:t>
      </w:r>
      <w:r>
        <w:rPr>
          <w:rFonts w:ascii="SimSun" w:hAnsi="SimSun" w:eastAsia="SimSun" w:cs="SimSun"/>
          <w:sz w:val="24"/>
          <w:szCs w:val="24"/>
          <w:spacing w:val="-9"/>
        </w:rPr>
        <w:t>日～</w:t>
      </w:r>
      <w:r>
        <w:rPr>
          <w:rFonts w:ascii="Times New Roman" w:hAnsi="Times New Roman" w:eastAsia="Times New Roman" w:cs="Times New Roman"/>
          <w:sz w:val="24"/>
          <w:szCs w:val="24"/>
          <w:spacing w:val="-9"/>
        </w:rPr>
        <w:t>15  </w:t>
      </w:r>
      <w:r>
        <w:rPr>
          <w:rFonts w:ascii="SimSun" w:hAnsi="SimSun" w:eastAsia="SimSun" w:cs="SimSun"/>
          <w:sz w:val="24"/>
          <w:szCs w:val="24"/>
          <w:spacing w:val="-9"/>
        </w:rPr>
        <w:t>日，昼间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9"/>
        </w:rPr>
        <w:t>14:00</w:t>
      </w:r>
      <w:r>
        <w:rPr>
          <w:rFonts w:ascii="SimSun" w:hAnsi="SimSun" w:eastAsia="SimSun" w:cs="SimSun"/>
          <w:sz w:val="24"/>
          <w:szCs w:val="24"/>
          <w:spacing w:val="-9"/>
        </w:rPr>
        <w:t>～</w:t>
      </w:r>
      <w:r>
        <w:rPr>
          <w:rFonts w:ascii="Times New Roman" w:hAnsi="Times New Roman" w:eastAsia="Times New Roman" w:cs="Times New Roman"/>
          <w:sz w:val="24"/>
          <w:szCs w:val="24"/>
          <w:spacing w:val="-9"/>
        </w:rPr>
        <w:t>15:00</w:t>
      </w:r>
      <w:r>
        <w:rPr>
          <w:rFonts w:ascii="SimSun" w:hAnsi="SimSun" w:eastAsia="SimSun" w:cs="SimSun"/>
          <w:sz w:val="24"/>
          <w:szCs w:val="24"/>
          <w:spacing w:val="-9"/>
        </w:rPr>
        <w:t>，夜间</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9"/>
        </w:rPr>
        <w:t>22:00</w:t>
      </w:r>
      <w:r>
        <w:rPr>
          <w:rFonts w:ascii="SimSun" w:hAnsi="SimSun" w:eastAsia="SimSun" w:cs="SimSun"/>
          <w:sz w:val="24"/>
          <w:szCs w:val="24"/>
          <w:spacing w:val="-9"/>
        </w:rPr>
        <w:t>～</w:t>
      </w:r>
      <w:r>
        <w:rPr>
          <w:rFonts w:ascii="Times New Roman" w:hAnsi="Times New Roman" w:eastAsia="Times New Roman" w:cs="Times New Roman"/>
          <w:sz w:val="24"/>
          <w:szCs w:val="24"/>
          <w:spacing w:val="-9"/>
        </w:rPr>
        <w:t>2</w:t>
      </w:r>
      <w:r>
        <w:rPr>
          <w:rFonts w:ascii="Times New Roman" w:hAnsi="Times New Roman" w:eastAsia="Times New Roman" w:cs="Times New Roman"/>
          <w:sz w:val="24"/>
          <w:szCs w:val="24"/>
          <w:spacing w:val="-10"/>
        </w:rPr>
        <w:t>3:00</w:t>
      </w:r>
      <w:r>
        <w:rPr>
          <w:rFonts w:ascii="SimSun" w:hAnsi="SimSun" w:eastAsia="SimSun" w:cs="SimSun"/>
          <w:sz w:val="24"/>
          <w:szCs w:val="24"/>
          <w:spacing w:val="-10"/>
        </w:rPr>
        <w:t>。</w:t>
      </w:r>
      <w:r>
        <w:rPr>
          <w:rFonts w:ascii="SimSun" w:hAnsi="SimSun" w:eastAsia="SimSun" w:cs="SimSun"/>
          <w:sz w:val="24"/>
          <w:szCs w:val="24"/>
        </w:rPr>
        <w:t xml:space="preserve"> </w:t>
      </w:r>
      <w:r>
        <w:rPr>
          <w:rFonts w:ascii="SimSun" w:hAnsi="SimSun" w:eastAsia="SimSun" w:cs="SimSun"/>
          <w:sz w:val="24"/>
          <w:szCs w:val="24"/>
          <w:spacing w:val="-6"/>
        </w:rPr>
        <w:t>散户声环境质量补充监测时间位</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6"/>
        </w:rPr>
        <w:t>2025 </w:t>
      </w:r>
      <w:r>
        <w:rPr>
          <w:rFonts w:ascii="SimSun" w:hAnsi="SimSun" w:eastAsia="SimSun" w:cs="SimSun"/>
          <w:sz w:val="24"/>
          <w:szCs w:val="24"/>
          <w:spacing w:val="-6"/>
        </w:rPr>
        <w:t>年</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6"/>
        </w:rPr>
        <w:t>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15  </w:t>
      </w:r>
      <w:r>
        <w:rPr>
          <w:rFonts w:ascii="SimSun" w:hAnsi="SimSun" w:eastAsia="SimSun" w:cs="SimSun"/>
          <w:sz w:val="24"/>
          <w:szCs w:val="24"/>
          <w:spacing w:val="-6"/>
        </w:rPr>
        <w:t>日，昼间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14:00</w:t>
      </w:r>
      <w:r>
        <w:rPr>
          <w:rFonts w:ascii="SimSun" w:hAnsi="SimSun" w:eastAsia="SimSun" w:cs="SimSun"/>
          <w:sz w:val="24"/>
          <w:szCs w:val="24"/>
          <w:spacing w:val="-6"/>
        </w:rPr>
        <w:t>～</w:t>
      </w:r>
      <w:r>
        <w:rPr>
          <w:rFonts w:ascii="Times New Roman" w:hAnsi="Times New Roman" w:eastAsia="Times New Roman" w:cs="Times New Roman"/>
          <w:sz w:val="24"/>
          <w:szCs w:val="24"/>
          <w:spacing w:val="-6"/>
        </w:rPr>
        <w:t>15:00</w:t>
      </w:r>
      <w:r>
        <w:rPr>
          <w:rFonts w:ascii="SimSun" w:hAnsi="SimSun" w:eastAsia="SimSun" w:cs="SimSun"/>
          <w:sz w:val="24"/>
          <w:szCs w:val="24"/>
          <w:spacing w:val="-6"/>
        </w:rPr>
        <w:t>，夜间</w:t>
      </w:r>
    </w:p>
    <w:p>
      <w:pPr>
        <w:ind w:left="30"/>
        <w:spacing w:line="219" w:lineRule="auto"/>
        <w:rPr>
          <w:rFonts w:ascii="SimSun" w:hAnsi="SimSun" w:eastAsia="SimSun" w:cs="SimSun"/>
          <w:sz w:val="24"/>
          <w:szCs w:val="24"/>
        </w:rPr>
      </w:pPr>
      <w:r>
        <w:rPr>
          <w:rFonts w:ascii="Times New Roman" w:hAnsi="Times New Roman" w:eastAsia="Times New Roman" w:cs="Times New Roman"/>
          <w:sz w:val="24"/>
          <w:szCs w:val="24"/>
          <w:spacing w:val="-1"/>
        </w:rPr>
        <w:t>22:00</w:t>
      </w:r>
      <w:r>
        <w:rPr>
          <w:rFonts w:ascii="SimSun" w:hAnsi="SimSun" w:eastAsia="SimSun" w:cs="SimSun"/>
          <w:sz w:val="24"/>
          <w:szCs w:val="24"/>
          <w:spacing w:val="-1"/>
        </w:rPr>
        <w:t>～</w:t>
      </w:r>
      <w:r>
        <w:rPr>
          <w:rFonts w:ascii="Times New Roman" w:hAnsi="Times New Roman" w:eastAsia="Times New Roman" w:cs="Times New Roman"/>
          <w:sz w:val="24"/>
          <w:szCs w:val="24"/>
          <w:spacing w:val="-1"/>
        </w:rPr>
        <w:t>23:00</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
        </w:rPr>
        <w:t>，监测单位内蒙古三方监测</w:t>
      </w:r>
      <w:r>
        <w:rPr>
          <w:rFonts w:ascii="SimSun" w:hAnsi="SimSun" w:eastAsia="SimSun" w:cs="SimSun"/>
          <w:sz w:val="24"/>
          <w:szCs w:val="24"/>
          <w:spacing w:val="-2"/>
        </w:rPr>
        <w:t>环保有限公司。</w:t>
      </w:r>
    </w:p>
    <w:p>
      <w:pPr>
        <w:ind w:left="526"/>
        <w:spacing w:before="181"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）监测项目</w:t>
      </w:r>
    </w:p>
    <w:p>
      <w:pPr>
        <w:ind w:left="515"/>
        <w:spacing w:before="182" w:line="219" w:lineRule="auto"/>
        <w:rPr>
          <w:rFonts w:ascii="SimSun" w:hAnsi="SimSun" w:eastAsia="SimSun" w:cs="SimSun"/>
          <w:sz w:val="24"/>
          <w:szCs w:val="24"/>
        </w:rPr>
      </w:pPr>
      <w:r>
        <w:rPr>
          <w:rFonts w:ascii="SimSun" w:hAnsi="SimSun" w:eastAsia="SimSun" w:cs="SimSun"/>
          <w:sz w:val="24"/>
          <w:szCs w:val="24"/>
          <w:spacing w:val="-2"/>
        </w:rPr>
        <w:t>连续等效</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A </w:t>
      </w:r>
      <w:r>
        <w:rPr>
          <w:rFonts w:ascii="SimSun" w:hAnsi="SimSun" w:eastAsia="SimSun" w:cs="SimSun"/>
          <w:sz w:val="24"/>
          <w:szCs w:val="24"/>
          <w:spacing w:val="-2"/>
        </w:rPr>
        <w:t>声级。</w:t>
      </w:r>
    </w:p>
    <w:p>
      <w:pPr>
        <w:ind w:left="526"/>
        <w:spacing w:before="182" w:line="221"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）监测方法</w:t>
      </w:r>
    </w:p>
    <w:p>
      <w:pPr>
        <w:ind w:left="34" w:right="80" w:firstLine="484"/>
        <w:spacing w:before="181" w:line="359" w:lineRule="auto"/>
        <w:rPr>
          <w:rFonts w:ascii="SimSun" w:hAnsi="SimSun" w:eastAsia="SimSun" w:cs="SimSun"/>
          <w:sz w:val="24"/>
          <w:szCs w:val="24"/>
        </w:rPr>
      </w:pPr>
      <w:r>
        <w:rPr>
          <w:rFonts w:ascii="SimSun" w:hAnsi="SimSun" w:eastAsia="SimSun" w:cs="SimSun"/>
          <w:sz w:val="24"/>
          <w:szCs w:val="24"/>
          <w:spacing w:val="-5"/>
        </w:rPr>
        <w:t>具体监测方法按《工业企业厂界环境噪声排放标准》（</w:t>
      </w:r>
      <w:r>
        <w:rPr>
          <w:rFonts w:ascii="Times New Roman" w:hAnsi="Times New Roman" w:eastAsia="Times New Roman" w:cs="Times New Roman"/>
          <w:sz w:val="24"/>
          <w:szCs w:val="24"/>
          <w:spacing w:val="-5"/>
        </w:rPr>
        <w:t>GB12348-20</w:t>
      </w:r>
      <w:r>
        <w:rPr>
          <w:rFonts w:ascii="Times New Roman" w:hAnsi="Times New Roman" w:eastAsia="Times New Roman" w:cs="Times New Roman"/>
          <w:sz w:val="24"/>
          <w:szCs w:val="24"/>
          <w:spacing w:val="-6"/>
        </w:rPr>
        <w:t>08</w:t>
      </w:r>
      <w:r>
        <w:rPr>
          <w:rFonts w:ascii="SimSun" w:hAnsi="SimSun" w:eastAsia="SimSun" w:cs="SimSun"/>
          <w:sz w:val="24"/>
          <w:szCs w:val="24"/>
          <w:spacing w:val="-6"/>
        </w:rPr>
        <w:t>）和《声</w:t>
      </w:r>
      <w:r>
        <w:rPr>
          <w:rFonts w:ascii="SimSun" w:hAnsi="SimSun" w:eastAsia="SimSun" w:cs="SimSun"/>
          <w:sz w:val="24"/>
          <w:szCs w:val="24"/>
        </w:rPr>
        <w:t xml:space="preserve"> </w:t>
      </w:r>
      <w:r>
        <w:rPr>
          <w:rFonts w:ascii="SimSun" w:hAnsi="SimSun" w:eastAsia="SimSun" w:cs="SimSun"/>
          <w:sz w:val="24"/>
          <w:szCs w:val="24"/>
          <w:spacing w:val="-1"/>
        </w:rPr>
        <w:t>环境质量标准》（</w:t>
      </w:r>
      <w:r>
        <w:rPr>
          <w:rFonts w:ascii="Times New Roman" w:hAnsi="Times New Roman" w:eastAsia="Times New Roman" w:cs="Times New Roman"/>
          <w:sz w:val="24"/>
          <w:szCs w:val="24"/>
          <w:spacing w:val="-1"/>
        </w:rPr>
        <w:t>3096-2008</w:t>
      </w:r>
      <w:r>
        <w:rPr>
          <w:rFonts w:ascii="SimSun" w:hAnsi="SimSun" w:eastAsia="SimSun" w:cs="SimSun"/>
          <w:sz w:val="24"/>
          <w:szCs w:val="24"/>
          <w:spacing w:val="-1"/>
        </w:rPr>
        <w:t>）执行。选</w:t>
      </w:r>
      <w:r>
        <w:rPr>
          <w:rFonts w:ascii="SimSun" w:hAnsi="SimSun" w:eastAsia="SimSun" w:cs="SimSun"/>
          <w:sz w:val="24"/>
          <w:szCs w:val="24"/>
          <w:spacing w:val="-2"/>
        </w:rPr>
        <w:t>择无雨、风速小于</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5.5m/s</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2"/>
        </w:rPr>
        <w:t>时进行测量，昼</w:t>
      </w:r>
      <w:r>
        <w:rPr>
          <w:rFonts w:ascii="SimSun" w:hAnsi="SimSun" w:eastAsia="SimSun" w:cs="SimSun"/>
          <w:sz w:val="24"/>
          <w:szCs w:val="24"/>
        </w:rPr>
        <w:t xml:space="preserve"> </w:t>
      </w:r>
      <w:r>
        <w:rPr>
          <w:rFonts w:ascii="SimSun" w:hAnsi="SimSun" w:eastAsia="SimSun" w:cs="SimSun"/>
          <w:sz w:val="24"/>
          <w:szCs w:val="24"/>
          <w:spacing w:val="-2"/>
        </w:rPr>
        <w:t>间（</w:t>
      </w:r>
      <w:r>
        <w:rPr>
          <w:rFonts w:ascii="Times New Roman" w:hAnsi="Times New Roman" w:eastAsia="Times New Roman" w:cs="Times New Roman"/>
          <w:sz w:val="24"/>
          <w:szCs w:val="24"/>
          <w:spacing w:val="-2"/>
        </w:rPr>
        <w:t>6:00</w:t>
      </w:r>
      <w:r>
        <w:rPr>
          <w:rFonts w:ascii="SimSun" w:hAnsi="SimSun" w:eastAsia="SimSun" w:cs="SimSun"/>
          <w:sz w:val="24"/>
          <w:szCs w:val="24"/>
          <w:spacing w:val="-2"/>
        </w:rPr>
        <w:t>～</w:t>
      </w:r>
      <w:r>
        <w:rPr>
          <w:rFonts w:ascii="Times New Roman" w:hAnsi="Times New Roman" w:eastAsia="Times New Roman" w:cs="Times New Roman"/>
          <w:sz w:val="24"/>
          <w:szCs w:val="24"/>
          <w:spacing w:val="-2"/>
        </w:rPr>
        <w:t>22:00</w:t>
      </w:r>
      <w:r>
        <w:rPr>
          <w:rFonts w:ascii="SimSun" w:hAnsi="SimSun" w:eastAsia="SimSun" w:cs="SimSun"/>
          <w:sz w:val="24"/>
          <w:szCs w:val="24"/>
          <w:spacing w:val="11"/>
        </w:rPr>
        <w:t>），</w:t>
      </w:r>
      <w:r>
        <w:rPr>
          <w:rFonts w:ascii="SimSun" w:hAnsi="SimSun" w:eastAsia="SimSun" w:cs="SimSun"/>
          <w:sz w:val="24"/>
          <w:szCs w:val="24"/>
          <w:spacing w:val="-2"/>
        </w:rPr>
        <w:t>夜间（</w:t>
      </w:r>
      <w:r>
        <w:rPr>
          <w:rFonts w:ascii="Times New Roman" w:hAnsi="Times New Roman" w:eastAsia="Times New Roman" w:cs="Times New Roman"/>
          <w:sz w:val="24"/>
          <w:szCs w:val="24"/>
          <w:spacing w:val="-2"/>
        </w:rPr>
        <w:t>22:00</w:t>
      </w:r>
      <w:r>
        <w:rPr>
          <w:rFonts w:ascii="SimSun" w:hAnsi="SimSun" w:eastAsia="SimSun" w:cs="SimSun"/>
          <w:sz w:val="24"/>
          <w:szCs w:val="24"/>
          <w:spacing w:val="-2"/>
        </w:rPr>
        <w:t>～</w:t>
      </w:r>
      <w:r>
        <w:rPr>
          <w:rFonts w:ascii="Times New Roman" w:hAnsi="Times New Roman" w:eastAsia="Times New Roman" w:cs="Times New Roman"/>
          <w:sz w:val="24"/>
          <w:szCs w:val="24"/>
          <w:spacing w:val="-2"/>
        </w:rPr>
        <w:t>6:00</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2"/>
        </w:rPr>
        <w:t>点）。</w:t>
      </w:r>
    </w:p>
    <w:p>
      <w:pPr>
        <w:ind w:left="526"/>
        <w:spacing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5</w:t>
      </w:r>
      <w:r>
        <w:rPr>
          <w:rFonts w:ascii="SimSun" w:hAnsi="SimSun" w:eastAsia="SimSun" w:cs="SimSun"/>
          <w:sz w:val="24"/>
          <w:szCs w:val="24"/>
          <w:spacing w:val="-3"/>
        </w:rPr>
        <w:t>）监测结果</w:t>
      </w:r>
    </w:p>
    <w:p>
      <w:pPr>
        <w:ind w:left="515"/>
        <w:spacing w:before="180" w:line="219" w:lineRule="auto"/>
        <w:rPr>
          <w:rFonts w:ascii="SimSun" w:hAnsi="SimSun" w:eastAsia="SimSun" w:cs="SimSun"/>
          <w:sz w:val="24"/>
          <w:szCs w:val="24"/>
        </w:rPr>
      </w:pPr>
      <w:r>
        <w:rPr>
          <w:rFonts w:ascii="SimSun" w:hAnsi="SimSun" w:eastAsia="SimSun" w:cs="SimSun"/>
          <w:sz w:val="24"/>
          <w:szCs w:val="24"/>
          <w:spacing w:val="-2"/>
        </w:rPr>
        <w:t>监测结果详见表</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4.2-12</w:t>
      </w:r>
      <w:r>
        <w:rPr>
          <w:rFonts w:ascii="SimSun" w:hAnsi="SimSun" w:eastAsia="SimSun" w:cs="SimSun"/>
          <w:sz w:val="24"/>
          <w:szCs w:val="24"/>
          <w:spacing w:val="-2"/>
        </w:rPr>
        <w:t>。</w:t>
      </w:r>
    </w:p>
    <w:p>
      <w:pPr>
        <w:ind w:left="988"/>
        <w:spacing w:before="182" w:line="212" w:lineRule="auto"/>
        <w:rPr>
          <w:rFonts w:ascii="Times New Roman" w:hAnsi="Times New Roman" w:eastAsia="Times New Roman" w:cs="Times New Roman"/>
          <w:sz w:val="24"/>
          <w:szCs w:val="24"/>
        </w:rPr>
      </w:pPr>
      <w:r>
        <w:rPr>
          <w:rFonts w:ascii="SimSun" w:hAnsi="SimSun" w:eastAsia="SimSun" w:cs="SimSun"/>
          <w:sz w:val="24"/>
          <w:szCs w:val="24"/>
          <w:b/>
          <w:bCs/>
          <w:spacing w:val="-1"/>
        </w:rPr>
        <w:t>表</w:t>
      </w:r>
      <w:r>
        <w:rPr>
          <w:rFonts w:ascii="SimSun" w:hAnsi="SimSun" w:eastAsia="SimSun" w:cs="SimSun"/>
          <w:sz w:val="24"/>
          <w:szCs w:val="24"/>
          <w:spacing w:val="-38"/>
        </w:rPr>
        <w:t xml:space="preserve"> </w:t>
      </w:r>
      <w:r>
        <w:rPr>
          <w:rFonts w:ascii="Times New Roman" w:hAnsi="Times New Roman" w:eastAsia="Times New Roman" w:cs="Times New Roman"/>
          <w:sz w:val="24"/>
          <w:szCs w:val="24"/>
          <w:b/>
          <w:bCs/>
          <w:spacing w:val="-1"/>
        </w:rPr>
        <w:t>4.2-12        </w:t>
      </w:r>
      <w:r>
        <w:rPr>
          <w:rFonts w:ascii="SimSun" w:hAnsi="SimSun" w:eastAsia="SimSun" w:cs="SimSun"/>
          <w:sz w:val="24"/>
          <w:szCs w:val="24"/>
          <w:b/>
          <w:bCs/>
          <w:spacing w:val="-1"/>
        </w:rPr>
        <w:t>声环境质量监测结果一览表</w:t>
      </w:r>
      <w:r>
        <w:rPr>
          <w:rFonts w:ascii="SimSun" w:hAnsi="SimSun" w:eastAsia="SimSun" w:cs="SimSun"/>
          <w:sz w:val="24"/>
          <w:szCs w:val="24"/>
          <w:spacing w:val="-1"/>
        </w:rPr>
        <w:t xml:space="preserve">  </w:t>
      </w:r>
      <w:r>
        <w:rPr>
          <w:rFonts w:ascii="SimSun" w:hAnsi="SimSun" w:eastAsia="SimSun" w:cs="SimSun"/>
          <w:sz w:val="24"/>
          <w:szCs w:val="24"/>
          <w:b/>
          <w:bCs/>
          <w:spacing w:val="-1"/>
        </w:rPr>
        <w:t>单位：</w:t>
      </w: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1"/>
        </w:rPr>
        <w:t>Aeq</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r>
        <w:rPr>
          <w:rFonts w:ascii="Times New Roman" w:hAnsi="Times New Roman" w:eastAsia="Times New Roman" w:cs="Times New Roman"/>
          <w:sz w:val="24"/>
          <w:szCs w:val="24"/>
          <w:spacing w:val="-1"/>
        </w:rPr>
        <w:t>A</w:t>
      </w:r>
      <w:r>
        <w:rPr>
          <w:rFonts w:ascii="SimSun" w:hAnsi="SimSun" w:eastAsia="SimSun" w:cs="SimSun"/>
          <w:sz w:val="24"/>
          <w:szCs w:val="24"/>
          <w:spacing w:val="-1"/>
        </w:rPr>
        <w:t>）</w:t>
      </w:r>
      <w:r>
        <w:rPr>
          <w:rFonts w:ascii="Times New Roman" w:hAnsi="Times New Roman" w:eastAsia="Times New Roman" w:cs="Times New Roman"/>
          <w:sz w:val="24"/>
          <w:szCs w:val="24"/>
          <w:spacing w:val="-1"/>
        </w:rPr>
        <w:t>]</w:t>
      </w:r>
    </w:p>
    <w:tbl>
      <w:tblPr>
        <w:tblStyle w:val="TableNormal"/>
        <w:tblW w:w="854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285"/>
        <w:gridCol w:w="1395"/>
        <w:gridCol w:w="2479"/>
        <w:gridCol w:w="2388"/>
      </w:tblGrid>
      <w:tr>
        <w:trPr>
          <w:trHeight w:val="321" w:hRule="atLeast"/>
        </w:trPr>
        <w:tc>
          <w:tcPr>
            <w:tcW w:w="2285" w:type="dxa"/>
            <w:vAlign w:val="top"/>
            <w:vMerge w:val="restart"/>
            <w:tcBorders>
              <w:bottom w:val="nil"/>
            </w:tcBorders>
          </w:tcPr>
          <w:p>
            <w:pPr>
              <w:pStyle w:val="TableText"/>
              <w:ind w:left="730"/>
              <w:spacing w:before="216" w:line="229" w:lineRule="auto"/>
              <w:rPr/>
            </w:pPr>
            <w:r>
              <w:rPr>
                <w:spacing w:val="7"/>
              </w:rPr>
              <w:t>监测点位</w:t>
            </w:r>
          </w:p>
        </w:tc>
        <w:tc>
          <w:tcPr>
            <w:tcW w:w="1395" w:type="dxa"/>
            <w:vAlign w:val="top"/>
            <w:vMerge w:val="restart"/>
            <w:tcBorders>
              <w:bottom w:val="nil"/>
            </w:tcBorders>
          </w:tcPr>
          <w:p>
            <w:pPr>
              <w:pStyle w:val="TableText"/>
              <w:ind w:left="282"/>
              <w:spacing w:before="216" w:line="228" w:lineRule="auto"/>
              <w:rPr/>
            </w:pPr>
            <w:r>
              <w:rPr>
                <w:spacing w:val="7"/>
              </w:rPr>
              <w:t>检测日期</w:t>
            </w:r>
          </w:p>
        </w:tc>
        <w:tc>
          <w:tcPr>
            <w:tcW w:w="4867" w:type="dxa"/>
            <w:vAlign w:val="top"/>
            <w:gridSpan w:val="2"/>
          </w:tcPr>
          <w:p>
            <w:pPr>
              <w:pStyle w:val="TableText"/>
              <w:ind w:left="610"/>
              <w:spacing w:before="55" w:line="221" w:lineRule="auto"/>
              <w:rPr/>
            </w:pPr>
            <w:r>
              <w:rPr>
                <w:spacing w:val="13"/>
              </w:rPr>
              <w:t>检测结果</w:t>
            </w:r>
            <w:r>
              <w:rPr>
                <w:spacing w:val="-43"/>
              </w:rPr>
              <w:t xml:space="preserve"> </w:t>
            </w:r>
            <w:r>
              <w:rPr>
                <w:rFonts w:ascii="Times New Roman" w:hAnsi="Times New Roman" w:eastAsia="Times New Roman" w:cs="Times New Roman"/>
              </w:rPr>
              <w:t>Leq</w:t>
            </w:r>
            <w:r>
              <w:rPr>
                <w:spacing w:val="13"/>
              </w:rPr>
              <w:t>（</w:t>
            </w:r>
            <w:r>
              <w:rPr>
                <w:rFonts w:ascii="Times New Roman" w:hAnsi="Times New Roman" w:eastAsia="Times New Roman" w:cs="Times New Roman"/>
                <w:spacing w:val="13"/>
              </w:rPr>
              <w:t>A</w:t>
            </w:r>
            <w:r>
              <w:rPr>
                <w:spacing w:val="-2"/>
              </w:rPr>
              <w:t>）（</w:t>
            </w:r>
            <w:r>
              <w:rPr>
                <w:spacing w:val="13"/>
              </w:rPr>
              <w:t>单位：</w:t>
            </w:r>
            <w:r>
              <w:rPr>
                <w:rFonts w:ascii="Times New Roman" w:hAnsi="Times New Roman" w:eastAsia="Times New Roman" w:cs="Times New Roman"/>
              </w:rPr>
              <w:t>dB</w:t>
            </w:r>
            <w:r>
              <w:rPr>
                <w:spacing w:val="13"/>
              </w:rPr>
              <w:t>（</w:t>
            </w:r>
            <w:r>
              <w:rPr>
                <w:rFonts w:ascii="Times New Roman" w:hAnsi="Times New Roman" w:eastAsia="Times New Roman" w:cs="Times New Roman"/>
                <w:spacing w:val="13"/>
              </w:rPr>
              <w:t>A</w:t>
            </w:r>
            <w:r>
              <w:rPr>
                <w:spacing w:val="-2"/>
              </w:rPr>
              <w:t>））</w:t>
            </w:r>
          </w:p>
        </w:tc>
      </w:tr>
      <w:tr>
        <w:trPr>
          <w:trHeight w:val="316" w:hRule="atLeast"/>
        </w:trPr>
        <w:tc>
          <w:tcPr>
            <w:tcW w:w="2285" w:type="dxa"/>
            <w:vAlign w:val="top"/>
            <w:vMerge w:val="continue"/>
            <w:tcBorders>
              <w:top w:val="nil"/>
            </w:tcBorders>
          </w:tcPr>
          <w:p>
            <w:pPr>
              <w:rPr>
                <w:rFonts w:ascii="Arial"/>
                <w:sz w:val="21"/>
              </w:rPr>
            </w:pPr>
            <w:r/>
          </w:p>
        </w:tc>
        <w:tc>
          <w:tcPr>
            <w:tcW w:w="1395" w:type="dxa"/>
            <w:vAlign w:val="top"/>
            <w:vMerge w:val="continue"/>
            <w:tcBorders>
              <w:top w:val="nil"/>
            </w:tcBorders>
          </w:tcPr>
          <w:p>
            <w:pPr>
              <w:rPr>
                <w:rFonts w:ascii="Arial"/>
                <w:sz w:val="21"/>
              </w:rPr>
            </w:pPr>
            <w:r/>
          </w:p>
        </w:tc>
        <w:tc>
          <w:tcPr>
            <w:tcW w:w="2479" w:type="dxa"/>
            <w:vAlign w:val="top"/>
          </w:tcPr>
          <w:p>
            <w:pPr>
              <w:pStyle w:val="TableText"/>
              <w:ind w:left="1034"/>
              <w:spacing w:before="50" w:line="231" w:lineRule="auto"/>
              <w:rPr/>
            </w:pPr>
            <w:r>
              <w:rPr>
                <w:spacing w:val="5"/>
              </w:rPr>
              <w:t>昼间</w:t>
            </w:r>
          </w:p>
        </w:tc>
        <w:tc>
          <w:tcPr>
            <w:tcW w:w="2388" w:type="dxa"/>
            <w:vAlign w:val="top"/>
          </w:tcPr>
          <w:p>
            <w:pPr>
              <w:pStyle w:val="TableText"/>
              <w:ind w:left="991"/>
              <w:spacing w:before="50" w:line="228" w:lineRule="auto"/>
              <w:rPr/>
            </w:pPr>
            <w:r>
              <w:rPr>
                <w:spacing w:val="3"/>
              </w:rPr>
              <w:t>夜间</w:t>
            </w:r>
          </w:p>
        </w:tc>
      </w:tr>
      <w:tr>
        <w:trPr>
          <w:trHeight w:val="316" w:hRule="atLeast"/>
        </w:trPr>
        <w:tc>
          <w:tcPr>
            <w:tcW w:w="2285" w:type="dxa"/>
            <w:vAlign w:val="top"/>
          </w:tcPr>
          <w:p>
            <w:pPr>
              <w:pStyle w:val="TableText"/>
              <w:ind w:left="707"/>
              <w:spacing w:before="54" w:line="228" w:lineRule="auto"/>
              <w:rPr>
                <w:rFonts w:ascii="Times New Roman" w:hAnsi="Times New Roman" w:eastAsia="Times New Roman" w:cs="Times New Roman"/>
              </w:rPr>
            </w:pPr>
            <w:r>
              <w:rPr/>
              <w:t>西厂区</w:t>
            </w:r>
            <w:r>
              <w:rPr>
                <w:spacing w:val="-23"/>
              </w:rPr>
              <w:t xml:space="preserve"> </w:t>
            </w:r>
            <w:r>
              <w:rPr>
                <w:rFonts w:ascii="Times New Roman" w:hAnsi="Times New Roman" w:eastAsia="Times New Roman" w:cs="Times New Roman"/>
              </w:rPr>
              <w:t>1#</w:t>
            </w:r>
          </w:p>
        </w:tc>
        <w:tc>
          <w:tcPr>
            <w:tcW w:w="1395" w:type="dxa"/>
            <w:vAlign w:val="top"/>
            <w:vMerge w:val="restart"/>
            <w:tcBorders>
              <w:bottom w:val="nil"/>
            </w:tcBorders>
          </w:tcPr>
          <w:p>
            <w:pPr>
              <w:spacing w:line="287" w:lineRule="auto"/>
              <w:rPr>
                <w:rFonts w:ascii="Arial"/>
                <w:sz w:val="21"/>
              </w:rPr>
            </w:pPr>
            <w:r/>
          </w:p>
          <w:p>
            <w:pPr>
              <w:spacing w:line="288" w:lineRule="auto"/>
              <w:rPr>
                <w:rFonts w:ascii="Arial"/>
                <w:sz w:val="21"/>
              </w:rPr>
            </w:pPr>
            <w:r/>
          </w:p>
          <w:p>
            <w:pPr>
              <w:spacing w:line="288" w:lineRule="auto"/>
              <w:rPr>
                <w:rFonts w:ascii="Arial"/>
                <w:sz w:val="21"/>
              </w:rPr>
            </w:pPr>
            <w:r/>
          </w:p>
          <w:p>
            <w:pPr>
              <w:spacing w:line="288" w:lineRule="auto"/>
              <w:rPr>
                <w:rFonts w:ascii="Arial"/>
                <w:sz w:val="21"/>
              </w:rPr>
            </w:pPr>
            <w:r/>
          </w:p>
          <w:p>
            <w:pPr>
              <w:ind w:left="278"/>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2025.2.</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1"/>
              </w:rPr>
              <w:t>14</w:t>
            </w:r>
          </w:p>
        </w:tc>
        <w:tc>
          <w:tcPr>
            <w:tcW w:w="2479" w:type="dxa"/>
            <w:vAlign w:val="top"/>
          </w:tcPr>
          <w:p>
            <w:pPr>
              <w:ind w:left="114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52</w:t>
            </w:r>
          </w:p>
        </w:tc>
        <w:tc>
          <w:tcPr>
            <w:tcW w:w="2388" w:type="dxa"/>
            <w:vAlign w:val="top"/>
          </w:tcPr>
          <w:p>
            <w:pPr>
              <w:ind w:left="108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43</w:t>
            </w:r>
          </w:p>
        </w:tc>
      </w:tr>
      <w:tr>
        <w:trPr>
          <w:trHeight w:val="317" w:hRule="atLeast"/>
        </w:trPr>
        <w:tc>
          <w:tcPr>
            <w:tcW w:w="2285" w:type="dxa"/>
            <w:vAlign w:val="top"/>
          </w:tcPr>
          <w:p>
            <w:pPr>
              <w:pStyle w:val="TableText"/>
              <w:ind w:left="707"/>
              <w:spacing w:before="55" w:line="228" w:lineRule="auto"/>
              <w:rPr>
                <w:rFonts w:ascii="Times New Roman" w:hAnsi="Times New Roman" w:eastAsia="Times New Roman" w:cs="Times New Roman"/>
              </w:rPr>
            </w:pPr>
            <w:r>
              <w:rPr>
                <w:spacing w:val="4"/>
              </w:rPr>
              <w:t>西厂区</w:t>
            </w:r>
            <w:r>
              <w:rPr>
                <w:spacing w:val="-43"/>
              </w:rPr>
              <w:t xml:space="preserve"> </w:t>
            </w:r>
            <w:r>
              <w:rPr>
                <w:rFonts w:ascii="Times New Roman" w:hAnsi="Times New Roman" w:eastAsia="Times New Roman" w:cs="Times New Roman"/>
                <w:spacing w:val="4"/>
              </w:rPr>
              <w:t>2#</w:t>
            </w:r>
          </w:p>
        </w:tc>
        <w:tc>
          <w:tcPr>
            <w:tcW w:w="1395" w:type="dxa"/>
            <w:vAlign w:val="top"/>
            <w:vMerge w:val="continue"/>
            <w:tcBorders>
              <w:top w:val="nil"/>
              <w:bottom w:val="nil"/>
            </w:tcBorders>
          </w:tcPr>
          <w:p>
            <w:pPr>
              <w:rPr>
                <w:rFonts w:ascii="Arial"/>
                <w:sz w:val="21"/>
              </w:rPr>
            </w:pPr>
            <w:r/>
          </w:p>
        </w:tc>
        <w:tc>
          <w:tcPr>
            <w:tcW w:w="2479" w:type="dxa"/>
            <w:vAlign w:val="top"/>
          </w:tcPr>
          <w:p>
            <w:pPr>
              <w:ind w:left="114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2388" w:type="dxa"/>
            <w:vAlign w:val="top"/>
          </w:tcPr>
          <w:p>
            <w:pPr>
              <w:ind w:left="108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w:t>
            </w:r>
          </w:p>
        </w:tc>
      </w:tr>
      <w:tr>
        <w:trPr>
          <w:trHeight w:val="316" w:hRule="atLeast"/>
        </w:trPr>
        <w:tc>
          <w:tcPr>
            <w:tcW w:w="2285" w:type="dxa"/>
            <w:vAlign w:val="top"/>
          </w:tcPr>
          <w:p>
            <w:pPr>
              <w:pStyle w:val="TableText"/>
              <w:ind w:left="707"/>
              <w:spacing w:before="54" w:line="228" w:lineRule="auto"/>
              <w:rPr>
                <w:rFonts w:ascii="Times New Roman" w:hAnsi="Times New Roman" w:eastAsia="Times New Roman" w:cs="Times New Roman"/>
              </w:rPr>
            </w:pPr>
            <w:r>
              <w:rPr>
                <w:spacing w:val="3"/>
              </w:rPr>
              <w:t>西厂区</w:t>
            </w:r>
            <w:r>
              <w:rPr>
                <w:spacing w:val="-38"/>
              </w:rPr>
              <w:t xml:space="preserve"> </w:t>
            </w:r>
            <w:r>
              <w:rPr>
                <w:rFonts w:ascii="Times New Roman" w:hAnsi="Times New Roman" w:eastAsia="Times New Roman" w:cs="Times New Roman"/>
                <w:spacing w:val="3"/>
              </w:rPr>
              <w:t>3#</w:t>
            </w:r>
          </w:p>
        </w:tc>
        <w:tc>
          <w:tcPr>
            <w:tcW w:w="1395" w:type="dxa"/>
            <w:vAlign w:val="top"/>
            <w:vMerge w:val="continue"/>
            <w:tcBorders>
              <w:top w:val="nil"/>
              <w:bottom w:val="nil"/>
            </w:tcBorders>
          </w:tcPr>
          <w:p>
            <w:pPr>
              <w:rPr>
                <w:rFonts w:ascii="Arial"/>
                <w:sz w:val="21"/>
              </w:rPr>
            </w:pPr>
            <w:r/>
          </w:p>
        </w:tc>
        <w:tc>
          <w:tcPr>
            <w:tcW w:w="2479" w:type="dxa"/>
            <w:vAlign w:val="top"/>
          </w:tcPr>
          <w:p>
            <w:pPr>
              <w:ind w:left="114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51</w:t>
            </w:r>
          </w:p>
        </w:tc>
        <w:tc>
          <w:tcPr>
            <w:tcW w:w="2388" w:type="dxa"/>
            <w:vAlign w:val="top"/>
          </w:tcPr>
          <w:p>
            <w:pPr>
              <w:ind w:left="108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w:t>
            </w:r>
          </w:p>
        </w:tc>
      </w:tr>
      <w:tr>
        <w:trPr>
          <w:trHeight w:val="317" w:hRule="atLeast"/>
        </w:trPr>
        <w:tc>
          <w:tcPr>
            <w:tcW w:w="2285" w:type="dxa"/>
            <w:vAlign w:val="top"/>
          </w:tcPr>
          <w:p>
            <w:pPr>
              <w:pStyle w:val="TableText"/>
              <w:ind w:left="707"/>
              <w:spacing w:before="55" w:line="228" w:lineRule="auto"/>
              <w:rPr>
                <w:rFonts w:ascii="Times New Roman" w:hAnsi="Times New Roman" w:eastAsia="Times New Roman" w:cs="Times New Roman"/>
              </w:rPr>
            </w:pPr>
            <w:r>
              <w:rPr>
                <w:spacing w:val="4"/>
              </w:rPr>
              <w:t>西厂区</w:t>
            </w:r>
            <w:r>
              <w:rPr>
                <w:spacing w:val="-43"/>
              </w:rPr>
              <w:t xml:space="preserve"> </w:t>
            </w:r>
            <w:r>
              <w:rPr>
                <w:rFonts w:ascii="Times New Roman" w:hAnsi="Times New Roman" w:eastAsia="Times New Roman" w:cs="Times New Roman"/>
                <w:spacing w:val="4"/>
              </w:rPr>
              <w:t>4#</w:t>
            </w:r>
          </w:p>
        </w:tc>
        <w:tc>
          <w:tcPr>
            <w:tcW w:w="1395" w:type="dxa"/>
            <w:vAlign w:val="top"/>
            <w:vMerge w:val="continue"/>
            <w:tcBorders>
              <w:top w:val="nil"/>
              <w:bottom w:val="nil"/>
            </w:tcBorders>
          </w:tcPr>
          <w:p>
            <w:pPr>
              <w:rPr>
                <w:rFonts w:ascii="Arial"/>
                <w:sz w:val="21"/>
              </w:rPr>
            </w:pPr>
            <w:r/>
          </w:p>
        </w:tc>
        <w:tc>
          <w:tcPr>
            <w:tcW w:w="2479" w:type="dxa"/>
            <w:vAlign w:val="top"/>
          </w:tcPr>
          <w:p>
            <w:pPr>
              <w:ind w:left="114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53</w:t>
            </w:r>
          </w:p>
        </w:tc>
        <w:tc>
          <w:tcPr>
            <w:tcW w:w="2388" w:type="dxa"/>
            <w:vAlign w:val="top"/>
          </w:tcPr>
          <w:p>
            <w:pPr>
              <w:ind w:left="108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w:t>
            </w:r>
          </w:p>
        </w:tc>
      </w:tr>
      <w:tr>
        <w:trPr>
          <w:trHeight w:val="316" w:hRule="atLeast"/>
        </w:trPr>
        <w:tc>
          <w:tcPr>
            <w:tcW w:w="2285" w:type="dxa"/>
            <w:vAlign w:val="top"/>
          </w:tcPr>
          <w:p>
            <w:pPr>
              <w:pStyle w:val="TableText"/>
              <w:ind w:left="710"/>
              <w:spacing w:before="54" w:line="228" w:lineRule="auto"/>
              <w:rPr>
                <w:rFonts w:ascii="Times New Roman" w:hAnsi="Times New Roman" w:eastAsia="Times New Roman" w:cs="Times New Roman"/>
              </w:rPr>
            </w:pPr>
            <w:r>
              <w:rPr>
                <w:spacing w:val="-1"/>
              </w:rPr>
              <w:t>东厂区</w:t>
            </w:r>
            <w:r>
              <w:rPr>
                <w:spacing w:val="-20"/>
              </w:rPr>
              <w:t xml:space="preserve"> </w:t>
            </w:r>
            <w:r>
              <w:rPr>
                <w:rFonts w:ascii="Times New Roman" w:hAnsi="Times New Roman" w:eastAsia="Times New Roman" w:cs="Times New Roman"/>
                <w:spacing w:val="-1"/>
              </w:rPr>
              <w:t>1#</w:t>
            </w:r>
          </w:p>
        </w:tc>
        <w:tc>
          <w:tcPr>
            <w:tcW w:w="1395" w:type="dxa"/>
            <w:vAlign w:val="top"/>
            <w:vMerge w:val="continue"/>
            <w:tcBorders>
              <w:top w:val="nil"/>
              <w:bottom w:val="nil"/>
            </w:tcBorders>
          </w:tcPr>
          <w:p>
            <w:pPr>
              <w:rPr>
                <w:rFonts w:ascii="Arial"/>
                <w:sz w:val="21"/>
              </w:rPr>
            </w:pPr>
            <w:r/>
          </w:p>
        </w:tc>
        <w:tc>
          <w:tcPr>
            <w:tcW w:w="2479" w:type="dxa"/>
            <w:vAlign w:val="top"/>
          </w:tcPr>
          <w:p>
            <w:pPr>
              <w:ind w:left="114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54</w:t>
            </w:r>
          </w:p>
        </w:tc>
        <w:tc>
          <w:tcPr>
            <w:tcW w:w="2388" w:type="dxa"/>
            <w:vAlign w:val="top"/>
          </w:tcPr>
          <w:p>
            <w:pPr>
              <w:ind w:left="108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w:t>
            </w:r>
          </w:p>
        </w:tc>
      </w:tr>
      <w:tr>
        <w:trPr>
          <w:trHeight w:val="317" w:hRule="atLeast"/>
        </w:trPr>
        <w:tc>
          <w:tcPr>
            <w:tcW w:w="2285" w:type="dxa"/>
            <w:vAlign w:val="top"/>
          </w:tcPr>
          <w:p>
            <w:pPr>
              <w:pStyle w:val="TableText"/>
              <w:ind w:left="710"/>
              <w:spacing w:before="54" w:line="228" w:lineRule="auto"/>
              <w:rPr>
                <w:rFonts w:ascii="Times New Roman" w:hAnsi="Times New Roman" w:eastAsia="Times New Roman" w:cs="Times New Roman"/>
              </w:rPr>
            </w:pPr>
            <w:r>
              <w:rPr>
                <w:spacing w:val="3"/>
              </w:rPr>
              <w:t>东厂区</w:t>
            </w:r>
            <w:r>
              <w:rPr>
                <w:spacing w:val="-40"/>
              </w:rPr>
              <w:t xml:space="preserve"> </w:t>
            </w:r>
            <w:r>
              <w:rPr>
                <w:rFonts w:ascii="Times New Roman" w:hAnsi="Times New Roman" w:eastAsia="Times New Roman" w:cs="Times New Roman"/>
                <w:spacing w:val="3"/>
              </w:rPr>
              <w:t>2#</w:t>
            </w:r>
          </w:p>
        </w:tc>
        <w:tc>
          <w:tcPr>
            <w:tcW w:w="1395" w:type="dxa"/>
            <w:vAlign w:val="top"/>
            <w:vMerge w:val="continue"/>
            <w:tcBorders>
              <w:top w:val="nil"/>
              <w:bottom w:val="nil"/>
            </w:tcBorders>
          </w:tcPr>
          <w:p>
            <w:pPr>
              <w:rPr>
                <w:rFonts w:ascii="Arial"/>
                <w:sz w:val="21"/>
              </w:rPr>
            </w:pPr>
            <w:r/>
          </w:p>
        </w:tc>
        <w:tc>
          <w:tcPr>
            <w:tcW w:w="2479" w:type="dxa"/>
            <w:vAlign w:val="top"/>
          </w:tcPr>
          <w:p>
            <w:pPr>
              <w:ind w:left="114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53</w:t>
            </w:r>
          </w:p>
        </w:tc>
        <w:tc>
          <w:tcPr>
            <w:tcW w:w="2388" w:type="dxa"/>
            <w:vAlign w:val="top"/>
          </w:tcPr>
          <w:p>
            <w:pPr>
              <w:ind w:left="108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43</w:t>
            </w:r>
          </w:p>
        </w:tc>
      </w:tr>
      <w:tr>
        <w:trPr>
          <w:trHeight w:val="317" w:hRule="atLeast"/>
        </w:trPr>
        <w:tc>
          <w:tcPr>
            <w:tcW w:w="2285" w:type="dxa"/>
            <w:vAlign w:val="top"/>
          </w:tcPr>
          <w:p>
            <w:pPr>
              <w:pStyle w:val="TableText"/>
              <w:ind w:left="710"/>
              <w:spacing w:before="56" w:line="228" w:lineRule="auto"/>
              <w:rPr>
                <w:rFonts w:ascii="Times New Roman" w:hAnsi="Times New Roman" w:eastAsia="Times New Roman" w:cs="Times New Roman"/>
              </w:rPr>
            </w:pPr>
            <w:r>
              <w:rPr>
                <w:spacing w:val="3"/>
              </w:rPr>
              <w:t>东厂区</w:t>
            </w:r>
            <w:r>
              <w:rPr>
                <w:spacing w:val="-39"/>
              </w:rPr>
              <w:t xml:space="preserve"> </w:t>
            </w:r>
            <w:r>
              <w:rPr>
                <w:rFonts w:ascii="Times New Roman" w:hAnsi="Times New Roman" w:eastAsia="Times New Roman" w:cs="Times New Roman"/>
                <w:spacing w:val="3"/>
              </w:rPr>
              <w:t>3#</w:t>
            </w:r>
          </w:p>
        </w:tc>
        <w:tc>
          <w:tcPr>
            <w:tcW w:w="1395" w:type="dxa"/>
            <w:vAlign w:val="top"/>
            <w:vMerge w:val="continue"/>
            <w:tcBorders>
              <w:top w:val="nil"/>
              <w:bottom w:val="nil"/>
            </w:tcBorders>
          </w:tcPr>
          <w:p>
            <w:pPr>
              <w:rPr>
                <w:rFonts w:ascii="Arial"/>
                <w:sz w:val="21"/>
              </w:rPr>
            </w:pPr>
            <w:r/>
          </w:p>
        </w:tc>
        <w:tc>
          <w:tcPr>
            <w:tcW w:w="2479" w:type="dxa"/>
            <w:vAlign w:val="top"/>
          </w:tcPr>
          <w:p>
            <w:pPr>
              <w:ind w:left="1143"/>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52</w:t>
            </w:r>
          </w:p>
        </w:tc>
        <w:tc>
          <w:tcPr>
            <w:tcW w:w="2388" w:type="dxa"/>
            <w:vAlign w:val="top"/>
          </w:tcPr>
          <w:p>
            <w:pPr>
              <w:ind w:left="108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43</w:t>
            </w:r>
          </w:p>
        </w:tc>
      </w:tr>
      <w:tr>
        <w:trPr>
          <w:trHeight w:val="317" w:hRule="atLeast"/>
        </w:trPr>
        <w:tc>
          <w:tcPr>
            <w:tcW w:w="2285" w:type="dxa"/>
            <w:vAlign w:val="top"/>
          </w:tcPr>
          <w:p>
            <w:pPr>
              <w:pStyle w:val="TableText"/>
              <w:ind w:left="710"/>
              <w:spacing w:before="56" w:line="228" w:lineRule="auto"/>
              <w:rPr>
                <w:rFonts w:ascii="Times New Roman" w:hAnsi="Times New Roman" w:eastAsia="Times New Roman" w:cs="Times New Roman"/>
              </w:rPr>
            </w:pPr>
            <w:r>
              <w:rPr>
                <w:spacing w:val="4"/>
              </w:rPr>
              <w:t>东厂区</w:t>
            </w:r>
            <w:r>
              <w:rPr>
                <w:spacing w:val="-45"/>
              </w:rPr>
              <w:t xml:space="preserve"> </w:t>
            </w:r>
            <w:r>
              <w:rPr>
                <w:rFonts w:ascii="Times New Roman" w:hAnsi="Times New Roman" w:eastAsia="Times New Roman" w:cs="Times New Roman"/>
                <w:spacing w:val="4"/>
              </w:rPr>
              <w:t>4#</w:t>
            </w:r>
          </w:p>
        </w:tc>
        <w:tc>
          <w:tcPr>
            <w:tcW w:w="1395" w:type="dxa"/>
            <w:vAlign w:val="top"/>
            <w:vMerge w:val="continue"/>
            <w:tcBorders>
              <w:top w:val="nil"/>
            </w:tcBorders>
          </w:tcPr>
          <w:p>
            <w:pPr>
              <w:rPr>
                <w:rFonts w:ascii="Arial"/>
                <w:sz w:val="21"/>
              </w:rPr>
            </w:pPr>
            <w:r/>
          </w:p>
        </w:tc>
        <w:tc>
          <w:tcPr>
            <w:tcW w:w="2479" w:type="dxa"/>
            <w:vAlign w:val="top"/>
          </w:tcPr>
          <w:p>
            <w:pPr>
              <w:ind w:left="114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54</w:t>
            </w:r>
          </w:p>
        </w:tc>
        <w:tc>
          <w:tcPr>
            <w:tcW w:w="2388" w:type="dxa"/>
            <w:vAlign w:val="top"/>
          </w:tcPr>
          <w:p>
            <w:pPr>
              <w:ind w:left="108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43</w:t>
            </w:r>
          </w:p>
        </w:tc>
      </w:tr>
      <w:tr>
        <w:trPr>
          <w:trHeight w:val="317" w:hRule="atLeast"/>
        </w:trPr>
        <w:tc>
          <w:tcPr>
            <w:tcW w:w="2285" w:type="dxa"/>
            <w:vAlign w:val="top"/>
          </w:tcPr>
          <w:p>
            <w:pPr>
              <w:pStyle w:val="TableText"/>
              <w:ind w:left="707"/>
              <w:spacing w:before="56" w:line="228" w:lineRule="auto"/>
              <w:rPr>
                <w:rFonts w:ascii="Times New Roman" w:hAnsi="Times New Roman" w:eastAsia="Times New Roman" w:cs="Times New Roman"/>
              </w:rPr>
            </w:pPr>
            <w:r>
              <w:rPr/>
              <w:t>西厂区</w:t>
            </w:r>
            <w:r>
              <w:rPr>
                <w:spacing w:val="-23"/>
              </w:rPr>
              <w:t xml:space="preserve"> </w:t>
            </w:r>
            <w:r>
              <w:rPr>
                <w:rFonts w:ascii="Times New Roman" w:hAnsi="Times New Roman" w:eastAsia="Times New Roman" w:cs="Times New Roman"/>
              </w:rPr>
              <w:t>1#</w:t>
            </w:r>
          </w:p>
        </w:tc>
        <w:tc>
          <w:tcPr>
            <w:tcW w:w="1395" w:type="dxa"/>
            <w:vAlign w:val="top"/>
            <w:vMerge w:val="restart"/>
            <w:tcBorders>
              <w:bottom w:val="nil"/>
            </w:tcBorders>
          </w:tcPr>
          <w:p>
            <w:pPr>
              <w:spacing w:line="336" w:lineRule="auto"/>
              <w:rPr>
                <w:rFonts w:ascii="Arial"/>
                <w:sz w:val="21"/>
              </w:rPr>
            </w:pPr>
            <w:r/>
          </w:p>
          <w:p>
            <w:pPr>
              <w:spacing w:line="337" w:lineRule="auto"/>
              <w:rPr>
                <w:rFonts w:ascii="Arial"/>
                <w:sz w:val="21"/>
              </w:rPr>
            </w:pPr>
            <w:r/>
          </w:p>
          <w:p>
            <w:pPr>
              <w:ind w:left="278"/>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2024.2.15</w:t>
            </w:r>
          </w:p>
        </w:tc>
        <w:tc>
          <w:tcPr>
            <w:tcW w:w="2479" w:type="dxa"/>
            <w:vAlign w:val="top"/>
          </w:tcPr>
          <w:p>
            <w:pPr>
              <w:ind w:left="114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51</w:t>
            </w:r>
          </w:p>
        </w:tc>
        <w:tc>
          <w:tcPr>
            <w:tcW w:w="2388" w:type="dxa"/>
            <w:vAlign w:val="top"/>
          </w:tcPr>
          <w:p>
            <w:pPr>
              <w:ind w:left="108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w:t>
            </w:r>
          </w:p>
        </w:tc>
      </w:tr>
      <w:tr>
        <w:trPr>
          <w:trHeight w:val="317" w:hRule="atLeast"/>
        </w:trPr>
        <w:tc>
          <w:tcPr>
            <w:tcW w:w="2285" w:type="dxa"/>
            <w:vAlign w:val="top"/>
          </w:tcPr>
          <w:p>
            <w:pPr>
              <w:pStyle w:val="TableText"/>
              <w:ind w:left="707"/>
              <w:spacing w:before="56" w:line="228" w:lineRule="auto"/>
              <w:rPr>
                <w:rFonts w:ascii="Times New Roman" w:hAnsi="Times New Roman" w:eastAsia="Times New Roman" w:cs="Times New Roman"/>
              </w:rPr>
            </w:pPr>
            <w:r>
              <w:rPr>
                <w:spacing w:val="4"/>
              </w:rPr>
              <w:t>西厂区</w:t>
            </w:r>
            <w:r>
              <w:rPr>
                <w:spacing w:val="-43"/>
              </w:rPr>
              <w:t xml:space="preserve"> </w:t>
            </w:r>
            <w:r>
              <w:rPr>
                <w:rFonts w:ascii="Times New Roman" w:hAnsi="Times New Roman" w:eastAsia="Times New Roman" w:cs="Times New Roman"/>
                <w:spacing w:val="4"/>
              </w:rPr>
              <w:t>2#</w:t>
            </w:r>
          </w:p>
        </w:tc>
        <w:tc>
          <w:tcPr>
            <w:tcW w:w="1395" w:type="dxa"/>
            <w:vAlign w:val="top"/>
            <w:vMerge w:val="continue"/>
            <w:tcBorders>
              <w:top w:val="nil"/>
              <w:bottom w:val="nil"/>
            </w:tcBorders>
          </w:tcPr>
          <w:p>
            <w:pPr>
              <w:rPr>
                <w:rFonts w:ascii="Arial"/>
                <w:sz w:val="21"/>
              </w:rPr>
            </w:pPr>
            <w:r/>
          </w:p>
        </w:tc>
        <w:tc>
          <w:tcPr>
            <w:tcW w:w="2479" w:type="dxa"/>
            <w:vAlign w:val="top"/>
          </w:tcPr>
          <w:p>
            <w:pPr>
              <w:ind w:left="114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2388" w:type="dxa"/>
            <w:vAlign w:val="top"/>
          </w:tcPr>
          <w:p>
            <w:pPr>
              <w:ind w:left="108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41</w:t>
            </w:r>
          </w:p>
        </w:tc>
      </w:tr>
      <w:tr>
        <w:trPr>
          <w:trHeight w:val="317" w:hRule="atLeast"/>
        </w:trPr>
        <w:tc>
          <w:tcPr>
            <w:tcW w:w="2285" w:type="dxa"/>
            <w:vAlign w:val="top"/>
          </w:tcPr>
          <w:p>
            <w:pPr>
              <w:pStyle w:val="TableText"/>
              <w:ind w:left="707"/>
              <w:spacing w:before="56" w:line="228" w:lineRule="auto"/>
              <w:rPr>
                <w:rFonts w:ascii="Times New Roman" w:hAnsi="Times New Roman" w:eastAsia="Times New Roman" w:cs="Times New Roman"/>
              </w:rPr>
            </w:pPr>
            <w:r>
              <w:rPr>
                <w:spacing w:val="3"/>
              </w:rPr>
              <w:t>西厂区</w:t>
            </w:r>
            <w:r>
              <w:rPr>
                <w:spacing w:val="-38"/>
              </w:rPr>
              <w:t xml:space="preserve"> </w:t>
            </w:r>
            <w:r>
              <w:rPr>
                <w:rFonts w:ascii="Times New Roman" w:hAnsi="Times New Roman" w:eastAsia="Times New Roman" w:cs="Times New Roman"/>
                <w:spacing w:val="3"/>
              </w:rPr>
              <w:t>3#</w:t>
            </w:r>
          </w:p>
        </w:tc>
        <w:tc>
          <w:tcPr>
            <w:tcW w:w="1395" w:type="dxa"/>
            <w:vAlign w:val="top"/>
            <w:vMerge w:val="continue"/>
            <w:tcBorders>
              <w:top w:val="nil"/>
              <w:bottom w:val="nil"/>
            </w:tcBorders>
          </w:tcPr>
          <w:p>
            <w:pPr>
              <w:rPr>
                <w:rFonts w:ascii="Arial"/>
                <w:sz w:val="21"/>
              </w:rPr>
            </w:pPr>
            <w:r/>
          </w:p>
        </w:tc>
        <w:tc>
          <w:tcPr>
            <w:tcW w:w="2479" w:type="dxa"/>
            <w:vAlign w:val="top"/>
          </w:tcPr>
          <w:p>
            <w:pPr>
              <w:ind w:left="114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2388" w:type="dxa"/>
            <w:vAlign w:val="top"/>
          </w:tcPr>
          <w:p>
            <w:pPr>
              <w:ind w:left="108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41</w:t>
            </w:r>
          </w:p>
        </w:tc>
      </w:tr>
      <w:tr>
        <w:trPr>
          <w:trHeight w:val="317" w:hRule="atLeast"/>
        </w:trPr>
        <w:tc>
          <w:tcPr>
            <w:tcW w:w="2285" w:type="dxa"/>
            <w:vAlign w:val="top"/>
          </w:tcPr>
          <w:p>
            <w:pPr>
              <w:pStyle w:val="TableText"/>
              <w:ind w:left="707"/>
              <w:spacing w:before="55" w:line="228" w:lineRule="auto"/>
              <w:rPr>
                <w:rFonts w:ascii="Times New Roman" w:hAnsi="Times New Roman" w:eastAsia="Times New Roman" w:cs="Times New Roman"/>
              </w:rPr>
            </w:pPr>
            <w:r>
              <w:rPr>
                <w:spacing w:val="4"/>
              </w:rPr>
              <w:t>西厂区</w:t>
            </w:r>
            <w:r>
              <w:rPr>
                <w:spacing w:val="-43"/>
              </w:rPr>
              <w:t xml:space="preserve"> </w:t>
            </w:r>
            <w:r>
              <w:rPr>
                <w:rFonts w:ascii="Times New Roman" w:hAnsi="Times New Roman" w:eastAsia="Times New Roman" w:cs="Times New Roman"/>
                <w:spacing w:val="4"/>
              </w:rPr>
              <w:t>4#</w:t>
            </w:r>
          </w:p>
        </w:tc>
        <w:tc>
          <w:tcPr>
            <w:tcW w:w="1395" w:type="dxa"/>
            <w:vAlign w:val="top"/>
            <w:vMerge w:val="continue"/>
            <w:tcBorders>
              <w:top w:val="nil"/>
              <w:bottom w:val="nil"/>
            </w:tcBorders>
          </w:tcPr>
          <w:p>
            <w:pPr>
              <w:rPr>
                <w:rFonts w:ascii="Arial"/>
                <w:sz w:val="21"/>
              </w:rPr>
            </w:pPr>
            <w:r/>
          </w:p>
        </w:tc>
        <w:tc>
          <w:tcPr>
            <w:tcW w:w="2479" w:type="dxa"/>
            <w:vAlign w:val="top"/>
          </w:tcPr>
          <w:p>
            <w:pPr>
              <w:ind w:left="114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52</w:t>
            </w:r>
          </w:p>
        </w:tc>
        <w:tc>
          <w:tcPr>
            <w:tcW w:w="2388" w:type="dxa"/>
            <w:vAlign w:val="top"/>
          </w:tcPr>
          <w:p>
            <w:pPr>
              <w:ind w:left="108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43</w:t>
            </w:r>
          </w:p>
        </w:tc>
      </w:tr>
      <w:tr>
        <w:trPr>
          <w:trHeight w:val="319" w:hRule="atLeast"/>
        </w:trPr>
        <w:tc>
          <w:tcPr>
            <w:tcW w:w="2285" w:type="dxa"/>
            <w:vAlign w:val="top"/>
          </w:tcPr>
          <w:p>
            <w:pPr>
              <w:pStyle w:val="TableText"/>
              <w:ind w:left="710"/>
              <w:spacing w:before="56" w:line="228" w:lineRule="auto"/>
              <w:rPr>
                <w:rFonts w:ascii="Times New Roman" w:hAnsi="Times New Roman" w:eastAsia="Times New Roman" w:cs="Times New Roman"/>
              </w:rPr>
            </w:pPr>
            <w:r>
              <w:rPr>
                <w:spacing w:val="-1"/>
              </w:rPr>
              <w:t>东厂区</w:t>
            </w:r>
            <w:r>
              <w:rPr>
                <w:spacing w:val="-20"/>
              </w:rPr>
              <w:t xml:space="preserve"> </w:t>
            </w:r>
            <w:r>
              <w:rPr>
                <w:rFonts w:ascii="Times New Roman" w:hAnsi="Times New Roman" w:eastAsia="Times New Roman" w:cs="Times New Roman"/>
                <w:spacing w:val="-1"/>
              </w:rPr>
              <w:t>1#</w:t>
            </w:r>
          </w:p>
        </w:tc>
        <w:tc>
          <w:tcPr>
            <w:tcW w:w="1395" w:type="dxa"/>
            <w:vAlign w:val="top"/>
            <w:vMerge w:val="continue"/>
            <w:tcBorders>
              <w:top w:val="nil"/>
            </w:tcBorders>
          </w:tcPr>
          <w:p>
            <w:pPr>
              <w:rPr>
                <w:rFonts w:ascii="Arial"/>
                <w:sz w:val="21"/>
              </w:rPr>
            </w:pPr>
            <w:r/>
          </w:p>
        </w:tc>
        <w:tc>
          <w:tcPr>
            <w:tcW w:w="2479" w:type="dxa"/>
            <w:vAlign w:val="top"/>
          </w:tcPr>
          <w:p>
            <w:pPr>
              <w:ind w:left="1143"/>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53</w:t>
            </w:r>
          </w:p>
        </w:tc>
        <w:tc>
          <w:tcPr>
            <w:tcW w:w="2388" w:type="dxa"/>
            <w:vAlign w:val="top"/>
          </w:tcPr>
          <w:p>
            <w:pPr>
              <w:ind w:left="108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43</w:t>
            </w:r>
          </w:p>
        </w:tc>
      </w:tr>
    </w:tbl>
    <w:p>
      <w:pPr>
        <w:pStyle w:val="BodyText"/>
        <w:spacing w:line="263" w:lineRule="auto"/>
        <w:rPr/>
      </w:pPr>
      <w:r/>
    </w:p>
    <w:p>
      <w:pPr>
        <w:ind w:left="4162"/>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130</w:t>
      </w:r>
    </w:p>
    <w:p>
      <w:pPr>
        <w:ind w:left="4736"/>
        <w:spacing w:before="287" w:line="22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p>
      <w:pPr>
        <w:spacing w:line="227" w:lineRule="auto"/>
        <w:sectPr>
          <w:headerReference w:type="default" r:id="rId139"/>
          <w:footerReference w:type="default" r:id="rId3"/>
          <w:pgSz w:w="11906" w:h="16839"/>
          <w:pgMar w:top="1567" w:right="1620" w:bottom="400" w:left="1676" w:header="1221" w:footer="0" w:gutter="0"/>
        </w:sectPr>
        <w:rPr>
          <w:rFonts w:ascii="SimSun" w:hAnsi="SimSun" w:eastAsia="SimSun" w:cs="SimSun"/>
          <w:sz w:val="19"/>
          <w:szCs w:val="19"/>
        </w:rPr>
      </w:pPr>
    </w:p>
    <w:p>
      <w:pPr>
        <w:spacing w:line="151" w:lineRule="exact"/>
        <w:rPr/>
      </w:pPr>
      <w:r>
        <w:pict>
          <v:shape id="_x0000_s640" style="position:absolute;margin-left:85.05pt;margin-top:79.11pt;mso-position-vertical-relative:page;mso-position-horizontal-relative:page;width:425.25pt;height:0.75pt;z-index:251944960;" o:allowincell="f" fillcolor="#000000" filled="true" stroked="false" coordsize="8505,15" coordorigin="0,0" path="m,l8504,0l8504,14l0,14l0,0xe"/>
        </w:pict>
      </w:r>
      <w:r/>
    </w:p>
    <w:tbl>
      <w:tblPr>
        <w:tblStyle w:val="TableNormal"/>
        <w:tblW w:w="854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285"/>
        <w:gridCol w:w="1395"/>
        <w:gridCol w:w="2479"/>
        <w:gridCol w:w="2388"/>
      </w:tblGrid>
      <w:tr>
        <w:trPr>
          <w:trHeight w:val="321" w:hRule="atLeast"/>
        </w:trPr>
        <w:tc>
          <w:tcPr>
            <w:tcW w:w="2285" w:type="dxa"/>
            <w:vAlign w:val="top"/>
            <w:vMerge w:val="restart"/>
            <w:tcBorders>
              <w:bottom w:val="nil"/>
            </w:tcBorders>
          </w:tcPr>
          <w:p>
            <w:pPr>
              <w:pStyle w:val="TableText"/>
              <w:ind w:left="730"/>
              <w:spacing w:before="216" w:line="229" w:lineRule="auto"/>
              <w:rPr/>
            </w:pPr>
            <w:r>
              <w:rPr>
                <w:spacing w:val="7"/>
              </w:rPr>
              <w:t>监测点位</w:t>
            </w:r>
          </w:p>
        </w:tc>
        <w:tc>
          <w:tcPr>
            <w:tcW w:w="1395" w:type="dxa"/>
            <w:vAlign w:val="top"/>
            <w:vMerge w:val="restart"/>
            <w:tcBorders>
              <w:bottom w:val="nil"/>
            </w:tcBorders>
          </w:tcPr>
          <w:p>
            <w:pPr>
              <w:pStyle w:val="TableText"/>
              <w:ind w:left="282"/>
              <w:spacing w:before="216" w:line="228" w:lineRule="auto"/>
              <w:rPr/>
            </w:pPr>
            <w:r>
              <w:rPr>
                <w:spacing w:val="7"/>
              </w:rPr>
              <w:t>检测日期</w:t>
            </w:r>
          </w:p>
        </w:tc>
        <w:tc>
          <w:tcPr>
            <w:tcW w:w="4867" w:type="dxa"/>
            <w:vAlign w:val="top"/>
            <w:gridSpan w:val="2"/>
          </w:tcPr>
          <w:p>
            <w:pPr>
              <w:pStyle w:val="TableText"/>
              <w:ind w:left="610"/>
              <w:spacing w:before="55" w:line="221" w:lineRule="auto"/>
              <w:rPr/>
            </w:pPr>
            <w:r>
              <w:rPr>
                <w:spacing w:val="13"/>
              </w:rPr>
              <w:t>检测结果</w:t>
            </w:r>
            <w:r>
              <w:rPr>
                <w:spacing w:val="-43"/>
              </w:rPr>
              <w:t xml:space="preserve"> </w:t>
            </w:r>
            <w:r>
              <w:rPr>
                <w:rFonts w:ascii="Times New Roman" w:hAnsi="Times New Roman" w:eastAsia="Times New Roman" w:cs="Times New Roman"/>
              </w:rPr>
              <w:t>Leq</w:t>
            </w:r>
            <w:r>
              <w:rPr>
                <w:spacing w:val="13"/>
              </w:rPr>
              <w:t>（</w:t>
            </w:r>
            <w:r>
              <w:rPr>
                <w:rFonts w:ascii="Times New Roman" w:hAnsi="Times New Roman" w:eastAsia="Times New Roman" w:cs="Times New Roman"/>
                <w:spacing w:val="13"/>
              </w:rPr>
              <w:t>A</w:t>
            </w:r>
            <w:r>
              <w:rPr>
                <w:spacing w:val="-2"/>
              </w:rPr>
              <w:t>）（</w:t>
            </w:r>
            <w:r>
              <w:rPr>
                <w:spacing w:val="13"/>
              </w:rPr>
              <w:t>单位：</w:t>
            </w:r>
            <w:r>
              <w:rPr>
                <w:rFonts w:ascii="Times New Roman" w:hAnsi="Times New Roman" w:eastAsia="Times New Roman" w:cs="Times New Roman"/>
              </w:rPr>
              <w:t>dB</w:t>
            </w:r>
            <w:r>
              <w:rPr>
                <w:spacing w:val="13"/>
              </w:rPr>
              <w:t>（</w:t>
            </w:r>
            <w:r>
              <w:rPr>
                <w:rFonts w:ascii="Times New Roman" w:hAnsi="Times New Roman" w:eastAsia="Times New Roman" w:cs="Times New Roman"/>
                <w:spacing w:val="13"/>
              </w:rPr>
              <w:t>A</w:t>
            </w:r>
            <w:r>
              <w:rPr>
                <w:spacing w:val="-2"/>
              </w:rPr>
              <w:t>））</w:t>
            </w:r>
          </w:p>
        </w:tc>
      </w:tr>
      <w:tr>
        <w:trPr>
          <w:trHeight w:val="316" w:hRule="atLeast"/>
        </w:trPr>
        <w:tc>
          <w:tcPr>
            <w:tcW w:w="2285" w:type="dxa"/>
            <w:vAlign w:val="top"/>
            <w:vMerge w:val="continue"/>
            <w:tcBorders>
              <w:top w:val="nil"/>
            </w:tcBorders>
          </w:tcPr>
          <w:p>
            <w:pPr>
              <w:rPr>
                <w:rFonts w:ascii="Arial"/>
                <w:sz w:val="21"/>
              </w:rPr>
            </w:pPr>
            <w:r/>
          </w:p>
        </w:tc>
        <w:tc>
          <w:tcPr>
            <w:tcW w:w="1395" w:type="dxa"/>
            <w:vAlign w:val="top"/>
            <w:vMerge w:val="continue"/>
            <w:tcBorders>
              <w:top w:val="nil"/>
            </w:tcBorders>
          </w:tcPr>
          <w:p>
            <w:pPr>
              <w:rPr>
                <w:rFonts w:ascii="Arial"/>
                <w:sz w:val="21"/>
              </w:rPr>
            </w:pPr>
            <w:r/>
          </w:p>
        </w:tc>
        <w:tc>
          <w:tcPr>
            <w:tcW w:w="2479" w:type="dxa"/>
            <w:vAlign w:val="top"/>
          </w:tcPr>
          <w:p>
            <w:pPr>
              <w:pStyle w:val="TableText"/>
              <w:ind w:left="1034"/>
              <w:spacing w:before="50" w:line="231" w:lineRule="auto"/>
              <w:rPr/>
            </w:pPr>
            <w:r>
              <w:rPr>
                <w:spacing w:val="5"/>
              </w:rPr>
              <w:t>昼间</w:t>
            </w:r>
          </w:p>
        </w:tc>
        <w:tc>
          <w:tcPr>
            <w:tcW w:w="2388" w:type="dxa"/>
            <w:vAlign w:val="top"/>
          </w:tcPr>
          <w:p>
            <w:pPr>
              <w:pStyle w:val="TableText"/>
              <w:ind w:left="991"/>
              <w:spacing w:before="51" w:line="228" w:lineRule="auto"/>
              <w:rPr/>
            </w:pPr>
            <w:r>
              <w:rPr>
                <w:spacing w:val="3"/>
              </w:rPr>
              <w:t>夜间</w:t>
            </w:r>
          </w:p>
        </w:tc>
      </w:tr>
      <w:tr>
        <w:trPr>
          <w:trHeight w:val="316" w:hRule="atLeast"/>
        </w:trPr>
        <w:tc>
          <w:tcPr>
            <w:tcW w:w="2285" w:type="dxa"/>
            <w:vAlign w:val="top"/>
          </w:tcPr>
          <w:p>
            <w:pPr>
              <w:pStyle w:val="TableText"/>
              <w:ind w:left="710"/>
              <w:spacing w:before="54" w:line="228" w:lineRule="auto"/>
              <w:rPr>
                <w:rFonts w:ascii="Times New Roman" w:hAnsi="Times New Roman" w:eastAsia="Times New Roman" w:cs="Times New Roman"/>
              </w:rPr>
            </w:pPr>
            <w:r>
              <w:rPr>
                <w:spacing w:val="3"/>
              </w:rPr>
              <w:t>东厂区</w:t>
            </w:r>
            <w:r>
              <w:rPr>
                <w:spacing w:val="-40"/>
              </w:rPr>
              <w:t xml:space="preserve"> </w:t>
            </w:r>
            <w:r>
              <w:rPr>
                <w:rFonts w:ascii="Times New Roman" w:hAnsi="Times New Roman" w:eastAsia="Times New Roman" w:cs="Times New Roman"/>
                <w:spacing w:val="3"/>
              </w:rPr>
              <w:t>2#</w:t>
            </w:r>
          </w:p>
        </w:tc>
        <w:tc>
          <w:tcPr>
            <w:tcW w:w="1395" w:type="dxa"/>
            <w:vAlign w:val="top"/>
            <w:vMerge w:val="restart"/>
            <w:tcBorders>
              <w:bottom w:val="nil"/>
            </w:tcBorders>
          </w:tcPr>
          <w:p>
            <w:pPr>
              <w:rPr>
                <w:rFonts w:ascii="Arial"/>
                <w:sz w:val="21"/>
              </w:rPr>
            </w:pPr>
            <w:r/>
          </w:p>
        </w:tc>
        <w:tc>
          <w:tcPr>
            <w:tcW w:w="2479" w:type="dxa"/>
            <w:vAlign w:val="top"/>
          </w:tcPr>
          <w:p>
            <w:pPr>
              <w:ind w:left="114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52</w:t>
            </w:r>
          </w:p>
        </w:tc>
        <w:tc>
          <w:tcPr>
            <w:tcW w:w="2388" w:type="dxa"/>
            <w:vAlign w:val="top"/>
          </w:tcPr>
          <w:p>
            <w:pPr>
              <w:ind w:left="108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w:t>
            </w:r>
          </w:p>
        </w:tc>
      </w:tr>
      <w:tr>
        <w:trPr>
          <w:trHeight w:val="316" w:hRule="atLeast"/>
        </w:trPr>
        <w:tc>
          <w:tcPr>
            <w:tcW w:w="2285" w:type="dxa"/>
            <w:vAlign w:val="top"/>
          </w:tcPr>
          <w:p>
            <w:pPr>
              <w:pStyle w:val="TableText"/>
              <w:ind w:left="710"/>
              <w:spacing w:before="54" w:line="228" w:lineRule="auto"/>
              <w:rPr>
                <w:rFonts w:ascii="Times New Roman" w:hAnsi="Times New Roman" w:eastAsia="Times New Roman" w:cs="Times New Roman"/>
              </w:rPr>
            </w:pPr>
            <w:r>
              <w:rPr>
                <w:spacing w:val="3"/>
              </w:rPr>
              <w:t>东厂区</w:t>
            </w:r>
            <w:r>
              <w:rPr>
                <w:spacing w:val="-39"/>
              </w:rPr>
              <w:t xml:space="preserve"> </w:t>
            </w:r>
            <w:r>
              <w:rPr>
                <w:rFonts w:ascii="Times New Roman" w:hAnsi="Times New Roman" w:eastAsia="Times New Roman" w:cs="Times New Roman"/>
                <w:spacing w:val="3"/>
              </w:rPr>
              <w:t>3#</w:t>
            </w:r>
          </w:p>
        </w:tc>
        <w:tc>
          <w:tcPr>
            <w:tcW w:w="1395" w:type="dxa"/>
            <w:vAlign w:val="top"/>
            <w:vMerge w:val="continue"/>
            <w:tcBorders>
              <w:top w:val="nil"/>
              <w:bottom w:val="nil"/>
            </w:tcBorders>
          </w:tcPr>
          <w:p>
            <w:pPr>
              <w:rPr>
                <w:rFonts w:ascii="Arial"/>
                <w:sz w:val="21"/>
              </w:rPr>
            </w:pPr>
            <w:r/>
          </w:p>
        </w:tc>
        <w:tc>
          <w:tcPr>
            <w:tcW w:w="2479" w:type="dxa"/>
            <w:vAlign w:val="top"/>
          </w:tcPr>
          <w:p>
            <w:pPr>
              <w:ind w:left="114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51</w:t>
            </w:r>
          </w:p>
        </w:tc>
        <w:tc>
          <w:tcPr>
            <w:tcW w:w="2388" w:type="dxa"/>
            <w:vAlign w:val="top"/>
          </w:tcPr>
          <w:p>
            <w:pPr>
              <w:ind w:left="108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w:t>
            </w:r>
          </w:p>
        </w:tc>
      </w:tr>
      <w:tr>
        <w:trPr>
          <w:trHeight w:val="316" w:hRule="atLeast"/>
        </w:trPr>
        <w:tc>
          <w:tcPr>
            <w:tcW w:w="2285" w:type="dxa"/>
            <w:vAlign w:val="top"/>
          </w:tcPr>
          <w:p>
            <w:pPr>
              <w:pStyle w:val="TableText"/>
              <w:ind w:left="710"/>
              <w:spacing w:before="55" w:line="228" w:lineRule="auto"/>
              <w:rPr>
                <w:rFonts w:ascii="Times New Roman" w:hAnsi="Times New Roman" w:eastAsia="Times New Roman" w:cs="Times New Roman"/>
              </w:rPr>
            </w:pPr>
            <w:r>
              <w:rPr>
                <w:spacing w:val="4"/>
              </w:rPr>
              <w:t>东厂区</w:t>
            </w:r>
            <w:r>
              <w:rPr>
                <w:spacing w:val="-45"/>
              </w:rPr>
              <w:t xml:space="preserve"> </w:t>
            </w:r>
            <w:r>
              <w:rPr>
                <w:rFonts w:ascii="Times New Roman" w:hAnsi="Times New Roman" w:eastAsia="Times New Roman" w:cs="Times New Roman"/>
                <w:spacing w:val="4"/>
              </w:rPr>
              <w:t>4#</w:t>
            </w:r>
          </w:p>
        </w:tc>
        <w:tc>
          <w:tcPr>
            <w:tcW w:w="1395" w:type="dxa"/>
            <w:vAlign w:val="top"/>
            <w:vMerge w:val="continue"/>
            <w:tcBorders>
              <w:top w:val="nil"/>
            </w:tcBorders>
          </w:tcPr>
          <w:p>
            <w:pPr>
              <w:rPr>
                <w:rFonts w:ascii="Arial"/>
                <w:sz w:val="21"/>
              </w:rPr>
            </w:pPr>
            <w:r/>
          </w:p>
        </w:tc>
        <w:tc>
          <w:tcPr>
            <w:tcW w:w="2479" w:type="dxa"/>
            <w:vAlign w:val="top"/>
          </w:tcPr>
          <w:p>
            <w:pPr>
              <w:ind w:left="114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53</w:t>
            </w:r>
          </w:p>
        </w:tc>
        <w:tc>
          <w:tcPr>
            <w:tcW w:w="2388" w:type="dxa"/>
            <w:vAlign w:val="top"/>
          </w:tcPr>
          <w:p>
            <w:pPr>
              <w:ind w:left="108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43</w:t>
            </w:r>
          </w:p>
        </w:tc>
      </w:tr>
      <w:tr>
        <w:trPr>
          <w:trHeight w:val="317" w:hRule="atLeast"/>
        </w:trPr>
        <w:tc>
          <w:tcPr>
            <w:tcW w:w="2285" w:type="dxa"/>
            <w:vAlign w:val="top"/>
          </w:tcPr>
          <w:p>
            <w:pPr>
              <w:pStyle w:val="TableText"/>
              <w:ind w:left="858"/>
              <w:spacing w:before="55" w:line="228" w:lineRule="auto"/>
              <w:rPr>
                <w:rFonts w:ascii="Times New Roman" w:hAnsi="Times New Roman" w:eastAsia="Times New Roman" w:cs="Times New Roman"/>
              </w:rPr>
            </w:pPr>
            <w:r>
              <w:rPr>
                <w:spacing w:val="3"/>
              </w:rPr>
              <w:t>散户</w:t>
            </w:r>
            <w:r>
              <w:rPr>
                <w:spacing w:val="-21"/>
              </w:rPr>
              <w:t xml:space="preserve"> </w:t>
            </w:r>
            <w:r>
              <w:rPr>
                <w:rFonts w:ascii="Times New Roman" w:hAnsi="Times New Roman" w:eastAsia="Times New Roman" w:cs="Times New Roman"/>
                <w:spacing w:val="3"/>
              </w:rPr>
              <w:t>1</w:t>
            </w:r>
          </w:p>
        </w:tc>
        <w:tc>
          <w:tcPr>
            <w:tcW w:w="1395" w:type="dxa"/>
            <w:vAlign w:val="top"/>
            <w:vMerge w:val="restart"/>
            <w:tcBorders>
              <w:bottom w:val="nil"/>
            </w:tcBorders>
          </w:tcPr>
          <w:p>
            <w:pPr>
              <w:ind w:left="278"/>
              <w:spacing w:before="25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2025.5.15</w:t>
            </w:r>
          </w:p>
        </w:tc>
        <w:tc>
          <w:tcPr>
            <w:tcW w:w="2479" w:type="dxa"/>
            <w:vAlign w:val="top"/>
          </w:tcPr>
          <w:p>
            <w:pPr>
              <w:ind w:left="114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51</w:t>
            </w:r>
          </w:p>
        </w:tc>
        <w:tc>
          <w:tcPr>
            <w:tcW w:w="2388" w:type="dxa"/>
            <w:vAlign w:val="top"/>
          </w:tcPr>
          <w:p>
            <w:pPr>
              <w:ind w:left="108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w:t>
            </w:r>
          </w:p>
        </w:tc>
      </w:tr>
      <w:tr>
        <w:trPr>
          <w:trHeight w:val="321" w:hRule="atLeast"/>
        </w:trPr>
        <w:tc>
          <w:tcPr>
            <w:tcW w:w="2285" w:type="dxa"/>
            <w:vAlign w:val="top"/>
          </w:tcPr>
          <w:p>
            <w:pPr>
              <w:pStyle w:val="TableText"/>
              <w:ind w:left="858"/>
              <w:spacing w:before="55" w:line="228" w:lineRule="auto"/>
              <w:rPr>
                <w:rFonts w:ascii="Times New Roman" w:hAnsi="Times New Roman" w:eastAsia="Times New Roman" w:cs="Times New Roman"/>
              </w:rPr>
            </w:pPr>
            <w:r>
              <w:rPr>
                <w:spacing w:val="3"/>
              </w:rPr>
              <w:t>散户</w:t>
            </w:r>
            <w:r>
              <w:rPr>
                <w:spacing w:val="-41"/>
              </w:rPr>
              <w:t xml:space="preserve"> </w:t>
            </w:r>
            <w:r>
              <w:rPr>
                <w:rFonts w:ascii="Times New Roman" w:hAnsi="Times New Roman" w:eastAsia="Times New Roman" w:cs="Times New Roman"/>
                <w:spacing w:val="3"/>
              </w:rPr>
              <w:t>2</w:t>
            </w:r>
          </w:p>
        </w:tc>
        <w:tc>
          <w:tcPr>
            <w:tcW w:w="1395" w:type="dxa"/>
            <w:vAlign w:val="top"/>
            <w:vMerge w:val="continue"/>
            <w:tcBorders>
              <w:top w:val="nil"/>
            </w:tcBorders>
          </w:tcPr>
          <w:p>
            <w:pPr>
              <w:rPr>
                <w:rFonts w:ascii="Arial"/>
                <w:sz w:val="21"/>
              </w:rPr>
            </w:pPr>
            <w:r/>
          </w:p>
        </w:tc>
        <w:tc>
          <w:tcPr>
            <w:tcW w:w="2479" w:type="dxa"/>
            <w:vAlign w:val="top"/>
          </w:tcPr>
          <w:p>
            <w:pPr>
              <w:ind w:left="114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52</w:t>
            </w:r>
          </w:p>
        </w:tc>
        <w:tc>
          <w:tcPr>
            <w:tcW w:w="2388" w:type="dxa"/>
            <w:vAlign w:val="top"/>
          </w:tcPr>
          <w:p>
            <w:pPr>
              <w:ind w:left="108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41</w:t>
            </w:r>
          </w:p>
        </w:tc>
      </w:tr>
    </w:tbl>
    <w:p>
      <w:pPr>
        <w:ind w:left="46" w:firstLine="471"/>
        <w:spacing w:before="37" w:line="356" w:lineRule="auto"/>
        <w:jc w:val="both"/>
        <w:rPr>
          <w:rFonts w:ascii="SimSun" w:hAnsi="SimSun" w:eastAsia="SimSun" w:cs="SimSun"/>
          <w:sz w:val="24"/>
          <w:szCs w:val="24"/>
        </w:rPr>
      </w:pPr>
      <w:r>
        <w:rPr>
          <w:rFonts w:ascii="SimSun" w:hAnsi="SimSun" w:eastAsia="SimSun" w:cs="SimSun"/>
          <w:sz w:val="24"/>
          <w:szCs w:val="24"/>
          <w:spacing w:val="3"/>
        </w:rPr>
        <w:t>从声环境质量现状监测结果来看，本项目厂界声</w:t>
      </w:r>
      <w:r>
        <w:rPr>
          <w:rFonts w:ascii="SimSun" w:hAnsi="SimSun" w:eastAsia="SimSun" w:cs="SimSun"/>
          <w:sz w:val="24"/>
          <w:szCs w:val="24"/>
          <w:spacing w:val="2"/>
        </w:rPr>
        <w:t>环境质量监测点的噪声值昼</w:t>
      </w:r>
      <w:r>
        <w:rPr>
          <w:rFonts w:ascii="SimSun" w:hAnsi="SimSun" w:eastAsia="SimSun" w:cs="SimSun"/>
          <w:sz w:val="24"/>
          <w:szCs w:val="24"/>
        </w:rPr>
        <w:t xml:space="preserve"> </w:t>
      </w:r>
      <w:r>
        <w:rPr>
          <w:rFonts w:ascii="SimSun" w:hAnsi="SimSun" w:eastAsia="SimSun" w:cs="SimSun"/>
          <w:sz w:val="24"/>
          <w:szCs w:val="24"/>
          <w:spacing w:val="2"/>
        </w:rPr>
        <w:t>间在</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2"/>
        </w:rPr>
        <w:t>50</w:t>
      </w:r>
      <w:r>
        <w:rPr>
          <w:rFonts w:ascii="SimSun" w:hAnsi="SimSun" w:eastAsia="SimSun" w:cs="SimSun"/>
          <w:sz w:val="24"/>
          <w:szCs w:val="24"/>
          <w:spacing w:val="2"/>
        </w:rPr>
        <w:t>～</w:t>
      </w:r>
      <w:r>
        <w:rPr>
          <w:rFonts w:ascii="Times New Roman" w:hAnsi="Times New Roman" w:eastAsia="Times New Roman" w:cs="Times New Roman"/>
          <w:sz w:val="24"/>
          <w:szCs w:val="24"/>
          <w:spacing w:val="2"/>
        </w:rPr>
        <w:t>54</w:t>
      </w:r>
      <w:r>
        <w:rPr>
          <w:rFonts w:ascii="Times New Roman" w:hAnsi="Times New Roman" w:eastAsia="Times New Roman" w:cs="Times New Roman"/>
          <w:sz w:val="24"/>
          <w:szCs w:val="24"/>
        </w:rPr>
        <w:t>dB</w:t>
      </w:r>
      <w:r>
        <w:rPr>
          <w:rFonts w:ascii="Times New Roman" w:hAnsi="Times New Roman" w:eastAsia="Times New Roman" w:cs="Times New Roman"/>
          <w:sz w:val="24"/>
          <w:szCs w:val="24"/>
          <w:spacing w:val="2"/>
        </w:rPr>
        <w:t>(A)</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2"/>
        </w:rPr>
        <w:t>，夜间在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41</w:t>
      </w:r>
      <w:r>
        <w:rPr>
          <w:rFonts w:ascii="SimSun" w:hAnsi="SimSun" w:eastAsia="SimSun" w:cs="SimSun"/>
          <w:sz w:val="24"/>
          <w:szCs w:val="24"/>
          <w:spacing w:val="2"/>
        </w:rPr>
        <w:t>～</w:t>
      </w:r>
      <w:r>
        <w:rPr>
          <w:rFonts w:ascii="Times New Roman" w:hAnsi="Times New Roman" w:eastAsia="Times New Roman" w:cs="Times New Roman"/>
          <w:sz w:val="24"/>
          <w:szCs w:val="24"/>
          <w:spacing w:val="2"/>
        </w:rPr>
        <w:t>44</w:t>
      </w:r>
      <w:r>
        <w:rPr>
          <w:rFonts w:ascii="Times New Roman" w:hAnsi="Times New Roman" w:eastAsia="Times New Roman" w:cs="Times New Roman"/>
          <w:sz w:val="24"/>
          <w:szCs w:val="24"/>
        </w:rPr>
        <w:t>dB</w:t>
      </w:r>
      <w:r>
        <w:rPr>
          <w:rFonts w:ascii="Times New Roman" w:hAnsi="Times New Roman" w:eastAsia="Times New Roman" w:cs="Times New Roman"/>
          <w:sz w:val="24"/>
          <w:szCs w:val="24"/>
          <w:spacing w:val="2"/>
        </w:rPr>
        <w:t>(A)</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2"/>
        </w:rPr>
        <w:t>，</w:t>
      </w:r>
      <w:r>
        <w:rPr>
          <w:rFonts w:ascii="SimSun" w:hAnsi="SimSun" w:eastAsia="SimSun" w:cs="SimSun"/>
          <w:sz w:val="24"/>
          <w:szCs w:val="24"/>
          <w:spacing w:val="1"/>
        </w:rPr>
        <w:t>监测值能够满足《声环境质量标准》</w:t>
      </w:r>
      <w:r>
        <w:rPr>
          <w:rFonts w:ascii="SimSun" w:hAnsi="SimSun" w:eastAsia="SimSun" w:cs="SimSun"/>
          <w:sz w:val="24"/>
          <w:szCs w:val="2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GB3096-2008</w:t>
      </w:r>
      <w:r>
        <w:rPr>
          <w:rFonts w:ascii="SimSun" w:hAnsi="SimSun" w:eastAsia="SimSun" w:cs="SimSun"/>
          <w:sz w:val="24"/>
          <w:szCs w:val="24"/>
          <w:spacing w:val="-1"/>
        </w:rPr>
        <w:t>）中的</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类标准限值；敏感点声环境质量满足《声环境质量标准》</w:t>
      </w:r>
    </w:p>
    <w:p>
      <w:pPr>
        <w:ind w:left="46"/>
        <w:spacing w:before="9"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GB3096-2008</w:t>
      </w:r>
      <w:r>
        <w:rPr>
          <w:rFonts w:ascii="SimSun" w:hAnsi="SimSun" w:eastAsia="SimSun" w:cs="SimSun"/>
          <w:sz w:val="24"/>
          <w:szCs w:val="24"/>
          <w:spacing w:val="-1"/>
        </w:rPr>
        <w:t>）中的</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类标准限值；周边声环境质量状况较好。</w:t>
      </w:r>
    </w:p>
    <w:p>
      <w:pPr>
        <w:pStyle w:val="BodyText"/>
        <w:spacing w:line="252" w:lineRule="auto"/>
        <w:rPr/>
      </w:pPr>
      <w:r/>
    </w:p>
    <w:p>
      <w:pPr>
        <w:ind w:left="29"/>
        <w:spacing w:before="91" w:line="222" w:lineRule="auto"/>
        <w:outlineLvl w:val="2"/>
        <w:rPr>
          <w:rFonts w:ascii="SimHei" w:hAnsi="SimHei" w:eastAsia="SimHei" w:cs="SimHei"/>
          <w:sz w:val="28"/>
          <w:szCs w:val="28"/>
        </w:rPr>
      </w:pPr>
      <w:bookmarkStart w:name="bookmark84" w:id="105"/>
      <w:bookmarkEnd w:id="105"/>
      <w:r>
        <w:rPr>
          <w:rFonts w:ascii="Times New Roman" w:hAnsi="Times New Roman" w:eastAsia="Times New Roman" w:cs="Times New Roman"/>
          <w:sz w:val="28"/>
          <w:szCs w:val="28"/>
          <w:spacing w:val="-1"/>
        </w:rPr>
        <w:t>4.2.4 </w:t>
      </w:r>
      <w:r>
        <w:rPr>
          <w:rFonts w:ascii="SimHei" w:hAnsi="SimHei" w:eastAsia="SimHei" w:cs="SimHei"/>
          <w:sz w:val="28"/>
          <w:szCs w:val="28"/>
          <w:spacing w:val="-1"/>
        </w:rPr>
        <w:t>土壤环境质量现状监测与评价</w:t>
      </w:r>
    </w:p>
    <w:p>
      <w:pPr>
        <w:pStyle w:val="BodyText"/>
        <w:spacing w:line="357" w:lineRule="auto"/>
        <w:rPr/>
      </w:pPr>
      <w:r/>
    </w:p>
    <w:p>
      <w:pPr>
        <w:ind w:left="31"/>
        <w:spacing w:before="78"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4.2.4.1 </w:t>
      </w:r>
      <w:r>
        <w:rPr>
          <w:rFonts w:ascii="SimSun" w:hAnsi="SimSun" w:eastAsia="SimSun" w:cs="SimSun"/>
          <w:sz w:val="24"/>
          <w:szCs w:val="24"/>
          <w:b/>
          <w:bCs/>
          <w:spacing w:val="-2"/>
        </w:rPr>
        <w:t>土壤类型</w:t>
      </w:r>
    </w:p>
    <w:p>
      <w:pPr>
        <w:ind w:left="36" w:right="55" w:firstLine="478"/>
        <w:spacing w:before="183" w:line="339" w:lineRule="auto"/>
        <w:rPr>
          <w:rFonts w:ascii="SimSun" w:hAnsi="SimSun" w:eastAsia="SimSun" w:cs="SimSun"/>
          <w:sz w:val="24"/>
          <w:szCs w:val="24"/>
        </w:rPr>
      </w:pPr>
      <w:r>
        <w:rPr>
          <w:rFonts w:ascii="SimSun" w:hAnsi="SimSun" w:eastAsia="SimSun" w:cs="SimSun"/>
          <w:sz w:val="24"/>
          <w:szCs w:val="24"/>
          <w:spacing w:val="3"/>
        </w:rPr>
        <w:t>根据国家土壤信息服务平台（</w:t>
      </w:r>
      <w:hyperlink w:history="true" r:id="rId141">
        <w:r>
          <w:rPr>
            <w:rFonts w:ascii="Times New Roman" w:hAnsi="Times New Roman" w:eastAsia="Times New Roman" w:cs="Times New Roman"/>
            <w:sz w:val="24"/>
            <w:szCs w:val="24"/>
          </w:rPr>
          <w:t>http</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rPr>
          <w:t>www</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rPr>
          <w:t>soilinfo</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rPr>
          <w:t>cn</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rPr>
          <w:t>MAP</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rPr>
          <w:t>index</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rPr>
          <w:t>aspx</w:t>
        </w:r>
      </w:hyperlink>
      <w:r>
        <w:rPr>
          <w:rFonts w:ascii="SimSun" w:hAnsi="SimSun" w:eastAsia="SimSun" w:cs="SimSun"/>
          <w:sz w:val="24"/>
          <w:szCs w:val="24"/>
          <w:spacing w:val="3"/>
        </w:rPr>
        <w:t>）</w:t>
      </w:r>
      <w:r>
        <w:rPr>
          <w:rFonts w:ascii="SimSun" w:hAnsi="SimSun" w:eastAsia="SimSun" w:cs="SimSun"/>
          <w:sz w:val="24"/>
          <w:szCs w:val="24"/>
          <w:spacing w:val="2"/>
        </w:rPr>
        <w:t>查询及</w:t>
      </w:r>
      <w:r>
        <w:rPr>
          <w:rFonts w:ascii="SimSun" w:hAnsi="SimSun" w:eastAsia="SimSun" w:cs="SimSun"/>
          <w:sz w:val="24"/>
          <w:szCs w:val="24"/>
        </w:rPr>
        <w:t xml:space="preserve"> </w:t>
      </w:r>
      <w:r>
        <w:rPr>
          <w:rFonts w:ascii="SimSun" w:hAnsi="SimSun" w:eastAsia="SimSun" w:cs="SimSun"/>
          <w:sz w:val="24"/>
          <w:szCs w:val="24"/>
          <w:spacing w:val="-1"/>
        </w:rPr>
        <w:t>现场调查，本项目调查评价范围内土壤类型为栗钙土。</w:t>
      </w:r>
    </w:p>
    <w:p>
      <w:pPr>
        <w:ind w:firstLine="25"/>
        <w:spacing w:line="4534" w:lineRule="exact"/>
        <w:rPr/>
      </w:pPr>
      <w:r>
        <w:rPr>
          <w:position w:val="-90"/>
        </w:rPr>
        <w:drawing>
          <wp:inline distT="0" distB="0" distL="0" distR="0">
            <wp:extent cx="5388863" cy="2878835"/>
            <wp:effectExtent l="0" t="0" r="0" b="0"/>
            <wp:docPr id="82" name="IM 82"/>
            <wp:cNvGraphicFramePr/>
            <a:graphic>
              <a:graphicData uri="http://schemas.openxmlformats.org/drawingml/2006/picture">
                <pic:pic>
                  <pic:nvPicPr>
                    <pic:cNvPr id="82" name="IM 82"/>
                    <pic:cNvPicPr/>
                  </pic:nvPicPr>
                  <pic:blipFill>
                    <a:blip r:embed="rId142"/>
                    <a:stretch>
                      <a:fillRect/>
                    </a:stretch>
                  </pic:blipFill>
                  <pic:spPr>
                    <a:xfrm rot="0">
                      <a:off x="0" y="0"/>
                      <a:ext cx="5388863" cy="2878835"/>
                    </a:xfrm>
                    <a:prstGeom prst="rect">
                      <a:avLst/>
                    </a:prstGeom>
                  </pic:spPr>
                </pic:pic>
              </a:graphicData>
            </a:graphic>
          </wp:inline>
        </w:drawing>
      </w:r>
    </w:p>
    <w:p>
      <w:pPr>
        <w:ind w:left="3125"/>
        <w:spacing w:before="201" w:line="219" w:lineRule="auto"/>
        <w:rPr>
          <w:rFonts w:ascii="SimSun" w:hAnsi="SimSun" w:eastAsia="SimSun" w:cs="SimSun"/>
          <w:sz w:val="24"/>
          <w:szCs w:val="24"/>
        </w:rPr>
      </w:pPr>
      <w:r>
        <w:rPr>
          <w:rFonts w:ascii="SimSun" w:hAnsi="SimSun" w:eastAsia="SimSun" w:cs="SimSun"/>
          <w:sz w:val="24"/>
          <w:szCs w:val="24"/>
          <w:b/>
          <w:bCs/>
          <w:spacing w:val="-6"/>
        </w:rPr>
        <w:t>图</w:t>
      </w:r>
      <w:r>
        <w:rPr>
          <w:rFonts w:ascii="SimSun" w:hAnsi="SimSun" w:eastAsia="SimSun" w:cs="SimSun"/>
          <w:sz w:val="24"/>
          <w:szCs w:val="24"/>
          <w:spacing w:val="-50"/>
        </w:rPr>
        <w:t xml:space="preserve"> </w:t>
      </w:r>
      <w:r>
        <w:rPr>
          <w:rFonts w:ascii="Times New Roman" w:hAnsi="Times New Roman" w:eastAsia="Times New Roman" w:cs="Times New Roman"/>
          <w:sz w:val="24"/>
          <w:szCs w:val="24"/>
          <w:b/>
          <w:bCs/>
          <w:spacing w:val="-6"/>
        </w:rPr>
        <w:t>4.2-5</w:t>
      </w:r>
      <w:r>
        <w:rPr>
          <w:rFonts w:ascii="Times New Roman" w:hAnsi="Times New Roman" w:eastAsia="Times New Roman" w:cs="Times New Roman"/>
          <w:sz w:val="24"/>
          <w:szCs w:val="24"/>
          <w:b/>
          <w:bCs/>
          <w:spacing w:val="2"/>
        </w:rPr>
        <w:t xml:space="preserve">      </w:t>
      </w:r>
      <w:r>
        <w:rPr>
          <w:rFonts w:ascii="SimSun" w:hAnsi="SimSun" w:eastAsia="SimSun" w:cs="SimSun"/>
          <w:sz w:val="24"/>
          <w:szCs w:val="24"/>
          <w:b/>
          <w:bCs/>
          <w:spacing w:val="-6"/>
        </w:rPr>
        <w:t>土壤类型图</w:t>
      </w:r>
    </w:p>
    <w:p>
      <w:pPr>
        <w:ind w:left="31"/>
        <w:spacing w:before="183"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4.2.4.2 </w:t>
      </w:r>
      <w:r>
        <w:rPr>
          <w:rFonts w:ascii="SimSun" w:hAnsi="SimSun" w:eastAsia="SimSun" w:cs="SimSun"/>
          <w:sz w:val="24"/>
          <w:szCs w:val="24"/>
          <w:b/>
          <w:bCs/>
          <w:spacing w:val="-2"/>
        </w:rPr>
        <w:t>土壤环境现状调查</w:t>
      </w:r>
    </w:p>
    <w:p>
      <w:pPr>
        <w:ind w:left="526"/>
        <w:spacing w:before="183"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）布点原则</w:t>
      </w:r>
    </w:p>
    <w:p>
      <w:pPr>
        <w:ind w:left="32" w:right="55" w:firstLine="482"/>
        <w:spacing w:before="183" w:line="411" w:lineRule="auto"/>
        <w:jc w:val="both"/>
        <w:rPr>
          <w:rFonts w:ascii="Times New Roman" w:hAnsi="Times New Roman" w:eastAsia="Times New Roman" w:cs="Times New Roman"/>
          <w:sz w:val="18"/>
          <w:szCs w:val="18"/>
        </w:rPr>
      </w:pPr>
      <w:r>
        <w:rPr>
          <w:rFonts w:ascii="SimSun" w:hAnsi="SimSun" w:eastAsia="SimSun" w:cs="SimSun"/>
          <w:sz w:val="24"/>
          <w:szCs w:val="24"/>
          <w:spacing w:val="-1"/>
        </w:rPr>
        <w:t>根据《土壤环境影响评价技术导则 土壤环境（试行）》（</w:t>
      </w:r>
      <w:r>
        <w:rPr>
          <w:rFonts w:ascii="Times New Roman" w:hAnsi="Times New Roman" w:eastAsia="Times New Roman" w:cs="Times New Roman"/>
          <w:sz w:val="24"/>
          <w:szCs w:val="24"/>
          <w:spacing w:val="-1"/>
        </w:rPr>
        <w:t>HJ964-2018</w:t>
      </w:r>
      <w:r>
        <w:rPr>
          <w:rFonts w:ascii="SimSun" w:hAnsi="SimSun" w:eastAsia="SimSun" w:cs="SimSun"/>
          <w:sz w:val="24"/>
          <w:szCs w:val="24"/>
          <w:spacing w:val="11"/>
        </w:rPr>
        <w:t>），</w:t>
      </w:r>
      <w:r>
        <w:rPr>
          <w:rFonts w:ascii="SimSun" w:hAnsi="SimSun" w:eastAsia="SimSun" w:cs="SimSun"/>
          <w:sz w:val="24"/>
          <w:szCs w:val="24"/>
          <w:spacing w:val="-1"/>
        </w:rPr>
        <w:t>本</w:t>
      </w:r>
      <w:r>
        <w:rPr>
          <w:rFonts w:ascii="SimSun" w:hAnsi="SimSun" w:eastAsia="SimSun" w:cs="SimSun"/>
          <w:sz w:val="24"/>
          <w:szCs w:val="24"/>
          <w:spacing w:val="1"/>
        </w:rPr>
        <w:t xml:space="preserve"> </w:t>
      </w:r>
      <w:r>
        <w:rPr>
          <w:rFonts w:ascii="SimSun" w:hAnsi="SimSun" w:eastAsia="SimSun" w:cs="SimSun"/>
          <w:sz w:val="24"/>
          <w:szCs w:val="24"/>
          <w:spacing w:val="-2"/>
        </w:rPr>
        <w:t>项目为污染影响类，土壤环境评价等级为二</w:t>
      </w:r>
      <w:r>
        <w:rPr>
          <w:rFonts w:ascii="SimSun" w:hAnsi="SimSun" w:eastAsia="SimSun" w:cs="SimSun"/>
          <w:sz w:val="24"/>
          <w:szCs w:val="24"/>
          <w:spacing w:val="-3"/>
        </w:rPr>
        <w:t>级，厂区内布设</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 </w:t>
      </w:r>
      <w:r>
        <w:rPr>
          <w:rFonts w:ascii="SimSun" w:hAnsi="SimSun" w:eastAsia="SimSun" w:cs="SimSun"/>
          <w:sz w:val="24"/>
          <w:szCs w:val="24"/>
          <w:spacing w:val="-3"/>
        </w:rPr>
        <w:t>个柱状样、</w:t>
      </w:r>
      <w:r>
        <w:rPr>
          <w:rFonts w:ascii="Times New Roman" w:hAnsi="Times New Roman" w:eastAsia="Times New Roman" w:cs="Times New Roman"/>
          <w:sz w:val="24"/>
          <w:szCs w:val="24"/>
          <w:spacing w:val="-3"/>
        </w:rPr>
        <w:t>1 </w:t>
      </w:r>
      <w:r>
        <w:rPr>
          <w:rFonts w:ascii="SimSun" w:hAnsi="SimSun" w:eastAsia="SimSun" w:cs="SimSun"/>
          <w:sz w:val="24"/>
          <w:szCs w:val="24"/>
          <w:spacing w:val="-3"/>
        </w:rPr>
        <w:t>个表层</w:t>
      </w:r>
      <w:r>
        <w:rPr>
          <w:rFonts w:ascii="SimSun" w:hAnsi="SimSun" w:eastAsia="SimSun" w:cs="SimSun"/>
          <w:sz w:val="24"/>
          <w:szCs w:val="24"/>
        </w:rPr>
        <w:t xml:space="preserve"> </w:t>
      </w: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131</w:t>
      </w:r>
    </w:p>
    <w:p>
      <w:pPr>
        <w:spacing w:line="411" w:lineRule="auto"/>
        <w:sectPr>
          <w:headerReference w:type="default" r:id="rId140"/>
          <w:pgSz w:w="11906" w:h="16839"/>
          <w:pgMar w:top="1567" w:right="1645" w:bottom="400" w:left="1676" w:header="1221" w:footer="0" w:gutter="0"/>
        </w:sectPr>
        <w:rPr>
          <w:rFonts w:ascii="Times New Roman" w:hAnsi="Times New Roman" w:eastAsia="Times New Roman" w:cs="Times New Roman"/>
          <w:sz w:val="18"/>
          <w:szCs w:val="18"/>
        </w:rPr>
      </w:pPr>
    </w:p>
    <w:p>
      <w:pPr>
        <w:ind w:left="17"/>
        <w:spacing w:before="247" w:line="219" w:lineRule="auto"/>
        <w:rPr>
          <w:rFonts w:ascii="SimSun" w:hAnsi="SimSun" w:eastAsia="SimSun" w:cs="SimSun"/>
          <w:sz w:val="24"/>
          <w:szCs w:val="24"/>
        </w:rPr>
      </w:pPr>
      <w:r>
        <w:pict>
          <v:shape id="_x0000_s644" style="position:absolute;margin-left:85.05pt;margin-top:78.87pt;mso-position-vertical-relative:page;mso-position-horizontal-relative:page;width:425.25pt;height:0.75pt;z-index:251947008;" o:allowincell="f" fillcolor="#000000" filled="true" stroked="false" coordsize="8505,15" coordorigin="0,0" path="m,l8504,0l8504,14l0,14l0,0xe"/>
        </w:pict>
      </w:r>
      <w:r>
        <w:rPr>
          <w:rFonts w:ascii="SimSun" w:hAnsi="SimSun" w:eastAsia="SimSun" w:cs="SimSun"/>
          <w:sz w:val="24"/>
          <w:szCs w:val="24"/>
          <w:spacing w:val="-1"/>
        </w:rPr>
        <w:t>样，厂区外布设</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个表层样。</w:t>
      </w:r>
    </w:p>
    <w:p>
      <w:pPr>
        <w:ind w:left="510"/>
        <w:spacing w:before="183"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）监测布点</w:t>
      </w:r>
    </w:p>
    <w:p>
      <w:pPr>
        <w:ind w:left="16" w:firstLine="483"/>
        <w:spacing w:before="183" w:line="360" w:lineRule="auto"/>
        <w:rPr>
          <w:rFonts w:ascii="SimSun" w:hAnsi="SimSun" w:eastAsia="SimSun" w:cs="SimSun"/>
          <w:sz w:val="24"/>
          <w:szCs w:val="24"/>
        </w:rPr>
      </w:pPr>
      <w:r>
        <w:rPr>
          <w:rFonts w:ascii="SimSun" w:hAnsi="SimSun" w:eastAsia="SimSun" w:cs="SimSun"/>
          <w:sz w:val="24"/>
          <w:szCs w:val="24"/>
          <w:spacing w:val="9"/>
        </w:rPr>
        <w:t>本项目分为东西两个厂区，在东厂区范围内均匀布置</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9"/>
        </w:rPr>
        <w:t>4</w:t>
      </w:r>
      <w:r>
        <w:rPr>
          <w:rFonts w:ascii="Times New Roman" w:hAnsi="Times New Roman" w:eastAsia="Times New Roman" w:cs="Times New Roman"/>
          <w:sz w:val="24"/>
          <w:szCs w:val="24"/>
          <w:spacing w:val="21"/>
          <w:w w:val="101"/>
        </w:rPr>
        <w:t xml:space="preserve"> </w:t>
      </w:r>
      <w:r>
        <w:rPr>
          <w:rFonts w:ascii="SimSun" w:hAnsi="SimSun" w:eastAsia="SimSun" w:cs="SimSun"/>
          <w:sz w:val="24"/>
          <w:szCs w:val="24"/>
          <w:spacing w:val="9"/>
        </w:rPr>
        <w:t>个监测点，编号为</w:t>
      </w:r>
      <w:r>
        <w:rPr>
          <w:rFonts w:ascii="SimSun" w:hAnsi="SimSun" w:eastAsia="SimSun" w:cs="SimSun"/>
          <w:sz w:val="24"/>
          <w:szCs w:val="24"/>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15"/>
          <w:szCs w:val="15"/>
          <w:spacing w:val="-3"/>
          <w:position w:val="-1"/>
        </w:rPr>
        <w:t>1</w:t>
      </w:r>
      <w:r>
        <w:rPr>
          <w:rFonts w:ascii="Times New Roman" w:hAnsi="Times New Roman" w:eastAsia="Times New Roman" w:cs="Times New Roman"/>
          <w:sz w:val="24"/>
          <w:szCs w:val="24"/>
          <w:spacing w:val="-3"/>
        </w:rPr>
        <w:t>~T</w:t>
      </w:r>
      <w:r>
        <w:rPr>
          <w:rFonts w:ascii="Times New Roman" w:hAnsi="Times New Roman" w:eastAsia="Times New Roman" w:cs="Times New Roman"/>
          <w:sz w:val="15"/>
          <w:szCs w:val="15"/>
          <w:spacing w:val="-3"/>
          <w:position w:val="-1"/>
        </w:rPr>
        <w:t>4</w:t>
      </w:r>
      <w:r>
        <w:rPr>
          <w:rFonts w:ascii="SimSun" w:hAnsi="SimSun" w:eastAsia="SimSun" w:cs="SimSun"/>
          <w:sz w:val="24"/>
          <w:szCs w:val="24"/>
          <w:spacing w:val="-3"/>
        </w:rPr>
        <w:t>，其中</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15"/>
          <w:szCs w:val="15"/>
          <w:spacing w:val="-3"/>
          <w:position w:val="-1"/>
        </w:rPr>
        <w:t>1</w:t>
      </w:r>
      <w:r>
        <w:rPr>
          <w:rFonts w:ascii="Times New Roman" w:hAnsi="Times New Roman" w:eastAsia="Times New Roman" w:cs="Times New Roman"/>
          <w:sz w:val="15"/>
          <w:szCs w:val="15"/>
          <w:spacing w:val="15"/>
          <w:position w:val="-1"/>
        </w:rPr>
        <w:t xml:space="preserve"> </w:t>
      </w:r>
      <w:r>
        <w:rPr>
          <w:rFonts w:ascii="SimSun" w:hAnsi="SimSun" w:eastAsia="SimSun" w:cs="SimSun"/>
          <w:sz w:val="24"/>
          <w:szCs w:val="24"/>
          <w:spacing w:val="-3"/>
        </w:rPr>
        <w:t>取表层样，</w:t>
      </w:r>
      <w:r>
        <w:rPr>
          <w:rFonts w:ascii="Times New Roman" w:hAnsi="Times New Roman" w:eastAsia="Times New Roman" w:cs="Times New Roman"/>
          <w:sz w:val="24"/>
          <w:szCs w:val="24"/>
          <w:spacing w:val="-3"/>
        </w:rPr>
        <w:t>T</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24"/>
          <w:szCs w:val="24"/>
          <w:spacing w:val="-3"/>
        </w:rPr>
        <w:t>~T</w:t>
      </w:r>
      <w:r>
        <w:rPr>
          <w:rFonts w:ascii="Times New Roman" w:hAnsi="Times New Roman" w:eastAsia="Times New Roman" w:cs="Times New Roman"/>
          <w:sz w:val="15"/>
          <w:szCs w:val="15"/>
          <w:spacing w:val="-3"/>
          <w:position w:val="-1"/>
        </w:rPr>
        <w:t>4</w:t>
      </w:r>
      <w:r>
        <w:rPr>
          <w:rFonts w:ascii="Times New Roman" w:hAnsi="Times New Roman" w:eastAsia="Times New Roman" w:cs="Times New Roman"/>
          <w:sz w:val="15"/>
          <w:szCs w:val="15"/>
          <w:spacing w:val="14"/>
          <w:w w:val="101"/>
          <w:position w:val="-1"/>
        </w:rPr>
        <w:t xml:space="preserve"> </w:t>
      </w:r>
      <w:r>
        <w:rPr>
          <w:rFonts w:ascii="SimSun" w:hAnsi="SimSun" w:eastAsia="SimSun" w:cs="SimSun"/>
          <w:sz w:val="24"/>
          <w:szCs w:val="24"/>
          <w:spacing w:val="-3"/>
        </w:rPr>
        <w:t>取柱状</w:t>
      </w:r>
      <w:r>
        <w:rPr>
          <w:rFonts w:ascii="SimSun" w:hAnsi="SimSun" w:eastAsia="SimSun" w:cs="SimSun"/>
          <w:sz w:val="24"/>
          <w:szCs w:val="24"/>
          <w:spacing w:val="-4"/>
        </w:rPr>
        <w:t>样；在西厂区范围内均匀布置</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4 </w:t>
      </w:r>
      <w:r>
        <w:rPr>
          <w:rFonts w:ascii="SimSun" w:hAnsi="SimSun" w:eastAsia="SimSun" w:cs="SimSun"/>
          <w:sz w:val="24"/>
          <w:szCs w:val="24"/>
          <w:spacing w:val="-4"/>
        </w:rPr>
        <w:t>个监测点，</w:t>
      </w:r>
      <w:r>
        <w:rPr>
          <w:rFonts w:ascii="SimSun" w:hAnsi="SimSun" w:eastAsia="SimSun" w:cs="SimSun"/>
          <w:sz w:val="24"/>
          <w:szCs w:val="24"/>
        </w:rPr>
        <w:t xml:space="preserve"> </w:t>
      </w:r>
      <w:r>
        <w:rPr>
          <w:rFonts w:ascii="SimSun" w:hAnsi="SimSun" w:eastAsia="SimSun" w:cs="SimSun"/>
          <w:sz w:val="24"/>
          <w:szCs w:val="24"/>
          <w:spacing w:val="-6"/>
        </w:rPr>
        <w:t>编号为</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6"/>
        </w:rPr>
        <w:t>T</w:t>
      </w:r>
      <w:r>
        <w:rPr>
          <w:rFonts w:ascii="Times New Roman" w:hAnsi="Times New Roman" w:eastAsia="Times New Roman" w:cs="Times New Roman"/>
          <w:sz w:val="15"/>
          <w:szCs w:val="15"/>
          <w:spacing w:val="-6"/>
          <w:position w:val="-1"/>
        </w:rPr>
        <w:t>5</w:t>
      </w:r>
      <w:r>
        <w:rPr>
          <w:rFonts w:ascii="Times New Roman" w:hAnsi="Times New Roman" w:eastAsia="Times New Roman" w:cs="Times New Roman"/>
          <w:sz w:val="24"/>
          <w:szCs w:val="24"/>
          <w:spacing w:val="-6"/>
        </w:rPr>
        <w:t>~T</w:t>
      </w:r>
      <w:r>
        <w:rPr>
          <w:rFonts w:ascii="Times New Roman" w:hAnsi="Times New Roman" w:eastAsia="Times New Roman" w:cs="Times New Roman"/>
          <w:sz w:val="15"/>
          <w:szCs w:val="15"/>
          <w:spacing w:val="-6"/>
          <w:position w:val="-1"/>
        </w:rPr>
        <w:t>8</w:t>
      </w:r>
      <w:r>
        <w:rPr>
          <w:rFonts w:ascii="SimSun" w:hAnsi="SimSun" w:eastAsia="SimSun" w:cs="SimSun"/>
          <w:sz w:val="24"/>
          <w:szCs w:val="24"/>
          <w:spacing w:val="-6"/>
        </w:rPr>
        <w:t>，其中</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6"/>
        </w:rPr>
        <w:t>T</w:t>
      </w:r>
      <w:r>
        <w:rPr>
          <w:rFonts w:ascii="Times New Roman" w:hAnsi="Times New Roman" w:eastAsia="Times New Roman" w:cs="Times New Roman"/>
          <w:sz w:val="15"/>
          <w:szCs w:val="15"/>
          <w:spacing w:val="-6"/>
          <w:position w:val="-1"/>
        </w:rPr>
        <w:t>5</w:t>
      </w:r>
      <w:r>
        <w:rPr>
          <w:rFonts w:ascii="Times New Roman" w:hAnsi="Times New Roman" w:eastAsia="Times New Roman" w:cs="Times New Roman"/>
          <w:sz w:val="15"/>
          <w:szCs w:val="15"/>
          <w:spacing w:val="12"/>
          <w:w w:val="102"/>
          <w:position w:val="-1"/>
        </w:rPr>
        <w:t xml:space="preserve"> </w:t>
      </w:r>
      <w:r>
        <w:rPr>
          <w:rFonts w:ascii="SimSun" w:hAnsi="SimSun" w:eastAsia="SimSun" w:cs="SimSun"/>
          <w:sz w:val="24"/>
          <w:szCs w:val="24"/>
          <w:spacing w:val="-6"/>
        </w:rPr>
        <w:t>取表层样，</w:t>
      </w:r>
      <w:r>
        <w:rPr>
          <w:rFonts w:ascii="Times New Roman" w:hAnsi="Times New Roman" w:eastAsia="Times New Roman" w:cs="Times New Roman"/>
          <w:sz w:val="24"/>
          <w:szCs w:val="24"/>
          <w:spacing w:val="-6"/>
        </w:rPr>
        <w:t>T</w:t>
      </w:r>
      <w:r>
        <w:rPr>
          <w:rFonts w:ascii="Times New Roman" w:hAnsi="Times New Roman" w:eastAsia="Times New Roman" w:cs="Times New Roman"/>
          <w:sz w:val="15"/>
          <w:szCs w:val="15"/>
          <w:spacing w:val="-6"/>
          <w:position w:val="-1"/>
        </w:rPr>
        <w:t>6</w:t>
      </w:r>
      <w:r>
        <w:rPr>
          <w:rFonts w:ascii="Times New Roman" w:hAnsi="Times New Roman" w:eastAsia="Times New Roman" w:cs="Times New Roman"/>
          <w:sz w:val="24"/>
          <w:szCs w:val="24"/>
          <w:spacing w:val="-6"/>
        </w:rPr>
        <w:t>~T</w:t>
      </w:r>
      <w:r>
        <w:rPr>
          <w:rFonts w:ascii="Times New Roman" w:hAnsi="Times New Roman" w:eastAsia="Times New Roman" w:cs="Times New Roman"/>
          <w:sz w:val="15"/>
          <w:szCs w:val="15"/>
          <w:spacing w:val="-6"/>
          <w:position w:val="-1"/>
        </w:rPr>
        <w:t>8</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6"/>
        </w:rPr>
        <w:t>取柱状</w:t>
      </w:r>
      <w:r>
        <w:rPr>
          <w:rFonts w:ascii="SimSun" w:hAnsi="SimSun" w:eastAsia="SimSun" w:cs="SimSun"/>
          <w:sz w:val="24"/>
          <w:szCs w:val="24"/>
          <w:spacing w:val="-7"/>
        </w:rPr>
        <w:t>样；西厂区南部外东侧</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7"/>
        </w:rPr>
        <w:t>50m</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7"/>
        </w:rPr>
        <w:t>处（</w:t>
      </w:r>
      <w:r>
        <w:rPr>
          <w:rFonts w:ascii="Times New Roman" w:hAnsi="Times New Roman" w:eastAsia="Times New Roman" w:cs="Times New Roman"/>
          <w:sz w:val="24"/>
          <w:szCs w:val="24"/>
          <w:spacing w:val="-7"/>
        </w:rPr>
        <w:t>T</w:t>
      </w:r>
      <w:r>
        <w:rPr>
          <w:rFonts w:ascii="Times New Roman" w:hAnsi="Times New Roman" w:eastAsia="Times New Roman" w:cs="Times New Roman"/>
          <w:sz w:val="15"/>
          <w:szCs w:val="15"/>
          <w:spacing w:val="-7"/>
          <w:position w:val="-1"/>
        </w:rPr>
        <w:t>9</w:t>
      </w:r>
      <w:r>
        <w:rPr>
          <w:rFonts w:ascii="SimSun" w:hAnsi="SimSun" w:eastAsia="SimSun" w:cs="SimSun"/>
          <w:sz w:val="24"/>
          <w:szCs w:val="24"/>
          <w:spacing w:val="-7"/>
        </w:rPr>
        <w:t>）</w:t>
      </w:r>
      <w:r>
        <w:rPr>
          <w:rFonts w:ascii="SimSun" w:hAnsi="SimSun" w:eastAsia="SimSun" w:cs="SimSun"/>
          <w:sz w:val="24"/>
          <w:szCs w:val="24"/>
        </w:rPr>
        <w:t xml:space="preserve"> </w:t>
      </w:r>
      <w:r>
        <w:rPr>
          <w:rFonts w:ascii="SimSun" w:hAnsi="SimSun" w:eastAsia="SimSun" w:cs="SimSun"/>
          <w:sz w:val="24"/>
          <w:szCs w:val="24"/>
          <w:spacing w:val="-2"/>
        </w:rPr>
        <w:t>的天然牧草地、东厂区东侧</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2"/>
        </w:rPr>
        <w:t>100m</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2"/>
        </w:rPr>
        <w:t>处（</w:t>
      </w:r>
      <w:r>
        <w:rPr>
          <w:rFonts w:ascii="Times New Roman" w:hAnsi="Times New Roman" w:eastAsia="Times New Roman" w:cs="Times New Roman"/>
          <w:sz w:val="24"/>
          <w:szCs w:val="24"/>
          <w:spacing w:val="-2"/>
        </w:rPr>
        <w:t>T</w:t>
      </w:r>
      <w:r>
        <w:rPr>
          <w:rFonts w:ascii="Times New Roman" w:hAnsi="Times New Roman" w:eastAsia="Times New Roman" w:cs="Times New Roman"/>
          <w:sz w:val="15"/>
          <w:szCs w:val="15"/>
          <w:spacing w:val="-2"/>
          <w:position w:val="-1"/>
        </w:rPr>
        <w:t>10 </w:t>
      </w:r>
      <w:r>
        <w:rPr>
          <w:rFonts w:ascii="SimSun" w:hAnsi="SimSun" w:eastAsia="SimSun" w:cs="SimSun"/>
          <w:sz w:val="24"/>
          <w:szCs w:val="24"/>
          <w:spacing w:val="-2"/>
        </w:rPr>
        <w:t>）耕地、东厂区北侧</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100m</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2"/>
        </w:rPr>
        <w:t>处（</w:t>
      </w:r>
      <w:r>
        <w:rPr>
          <w:rFonts w:ascii="Times New Roman" w:hAnsi="Times New Roman" w:eastAsia="Times New Roman" w:cs="Times New Roman"/>
          <w:sz w:val="24"/>
          <w:szCs w:val="24"/>
          <w:spacing w:val="-2"/>
        </w:rPr>
        <w:t>T</w:t>
      </w:r>
      <w:r>
        <w:rPr>
          <w:rFonts w:ascii="Times New Roman" w:hAnsi="Times New Roman" w:eastAsia="Times New Roman" w:cs="Times New Roman"/>
          <w:sz w:val="15"/>
          <w:szCs w:val="15"/>
          <w:spacing w:val="-2"/>
          <w:position w:val="-1"/>
        </w:rPr>
        <w:t>11 </w:t>
      </w:r>
      <w:r>
        <w:rPr>
          <w:rFonts w:ascii="SimSun" w:hAnsi="SimSun" w:eastAsia="SimSun" w:cs="SimSun"/>
          <w:sz w:val="24"/>
          <w:szCs w:val="24"/>
          <w:spacing w:val="-2"/>
        </w:rPr>
        <w:t>）的</w:t>
      </w:r>
      <w:r>
        <w:rPr>
          <w:rFonts w:ascii="SimSun" w:hAnsi="SimSun" w:eastAsia="SimSun" w:cs="SimSun"/>
          <w:sz w:val="24"/>
          <w:szCs w:val="24"/>
        </w:rPr>
        <w:t xml:space="preserve">  </w:t>
      </w:r>
      <w:r>
        <w:rPr>
          <w:rFonts w:ascii="SimSun" w:hAnsi="SimSun" w:eastAsia="SimSun" w:cs="SimSun"/>
          <w:sz w:val="24"/>
          <w:szCs w:val="24"/>
          <w:spacing w:val="-3"/>
        </w:rPr>
        <w:t>林地分别布置</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个监测点，均取表层样。两个厂区紧邻，厂区外表层样</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3"/>
        </w:rPr>
        <w:t>T1</w:t>
      </w:r>
      <w:r>
        <w:rPr>
          <w:rFonts w:ascii="Times New Roman" w:hAnsi="Times New Roman" w:eastAsia="Times New Roman" w:cs="Times New Roman"/>
          <w:sz w:val="24"/>
          <w:szCs w:val="24"/>
          <w:spacing w:val="-4"/>
        </w:rPr>
        <w:t>1 </w:t>
      </w:r>
      <w:r>
        <w:rPr>
          <w:rFonts w:ascii="SimSun" w:hAnsi="SimSun" w:eastAsia="SimSun" w:cs="SimSun"/>
          <w:sz w:val="24"/>
          <w:szCs w:val="24"/>
          <w:spacing w:val="-4"/>
        </w:rPr>
        <w:t>共用。</w:t>
      </w:r>
    </w:p>
    <w:p>
      <w:pPr>
        <w:ind w:left="499"/>
        <w:spacing w:line="218" w:lineRule="auto"/>
        <w:rPr>
          <w:rFonts w:ascii="SimSun" w:hAnsi="SimSun" w:eastAsia="SimSun" w:cs="SimSun"/>
          <w:sz w:val="24"/>
          <w:szCs w:val="24"/>
        </w:rPr>
      </w:pPr>
      <w:r>
        <w:rPr>
          <w:rFonts w:ascii="SimSun" w:hAnsi="SimSun" w:eastAsia="SimSun" w:cs="SimSun"/>
          <w:sz w:val="24"/>
          <w:szCs w:val="24"/>
          <w:spacing w:val="-1"/>
        </w:rPr>
        <w:t>土壤环境质量现状监测采样点位置详见图</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4.2-1</w:t>
      </w:r>
      <w:r>
        <w:rPr>
          <w:rFonts w:ascii="SimSun" w:hAnsi="SimSun" w:eastAsia="SimSun" w:cs="SimSun"/>
          <w:sz w:val="24"/>
          <w:szCs w:val="24"/>
          <w:spacing w:val="-1"/>
        </w:rPr>
        <w:t>。</w:t>
      </w:r>
    </w:p>
    <w:p>
      <w:pPr>
        <w:ind w:left="510"/>
        <w:spacing w:before="184"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）监测项目</w:t>
      </w:r>
    </w:p>
    <w:p>
      <w:pPr>
        <w:ind w:left="18" w:right="99" w:firstLine="477"/>
        <w:spacing w:before="184" w:line="357" w:lineRule="auto"/>
        <w:rPr>
          <w:rFonts w:ascii="SimSun" w:hAnsi="SimSun" w:eastAsia="SimSun" w:cs="SimSun"/>
          <w:sz w:val="24"/>
          <w:szCs w:val="24"/>
        </w:rPr>
      </w:pPr>
      <w:r>
        <w:rPr>
          <w:rFonts w:ascii="Times New Roman" w:hAnsi="Times New Roman" w:eastAsia="Times New Roman" w:cs="Times New Roman"/>
          <w:sz w:val="24"/>
          <w:szCs w:val="24"/>
          <w:spacing w:val="-4"/>
        </w:rPr>
        <w:t>T</w:t>
      </w:r>
      <w:r>
        <w:rPr>
          <w:rFonts w:ascii="Times New Roman" w:hAnsi="Times New Roman" w:eastAsia="Times New Roman" w:cs="Times New Roman"/>
          <w:sz w:val="15"/>
          <w:szCs w:val="15"/>
          <w:spacing w:val="-4"/>
          <w:position w:val="-1"/>
        </w:rPr>
        <w:t>1</w:t>
      </w:r>
      <w:r>
        <w:rPr>
          <w:rFonts w:ascii="SimSun" w:hAnsi="SimSun" w:eastAsia="SimSun" w:cs="SimSun"/>
          <w:sz w:val="24"/>
          <w:szCs w:val="24"/>
          <w:spacing w:val="-4"/>
        </w:rPr>
        <w:t>、</w:t>
      </w:r>
      <w:r>
        <w:rPr>
          <w:rFonts w:ascii="Times New Roman" w:hAnsi="Times New Roman" w:eastAsia="Times New Roman" w:cs="Times New Roman"/>
          <w:sz w:val="24"/>
          <w:szCs w:val="24"/>
          <w:spacing w:val="-4"/>
        </w:rPr>
        <w:t>T</w:t>
      </w:r>
      <w:r>
        <w:rPr>
          <w:rFonts w:ascii="Times New Roman" w:hAnsi="Times New Roman" w:eastAsia="Times New Roman" w:cs="Times New Roman"/>
          <w:sz w:val="15"/>
          <w:szCs w:val="15"/>
          <w:spacing w:val="-4"/>
          <w:position w:val="-1"/>
        </w:rPr>
        <w:t>5</w:t>
      </w:r>
      <w:r>
        <w:rPr>
          <w:rFonts w:ascii="SimSun" w:hAnsi="SimSun" w:eastAsia="SimSun" w:cs="SimSun"/>
          <w:sz w:val="24"/>
          <w:szCs w:val="24"/>
          <w:spacing w:val="-4"/>
        </w:rPr>
        <w:t>：</w:t>
      </w:r>
      <w:r>
        <w:rPr>
          <w:rFonts w:ascii="Times New Roman" w:hAnsi="Times New Roman" w:eastAsia="Times New Roman" w:cs="Times New Roman"/>
          <w:sz w:val="24"/>
          <w:szCs w:val="24"/>
          <w:spacing w:val="-4"/>
        </w:rPr>
        <w:t>GB36600-2018</w:t>
      </w:r>
      <w:r>
        <w:rPr>
          <w:rFonts w:ascii="Times New Roman" w:hAnsi="Times New Roman" w:eastAsia="Times New Roman" w:cs="Times New Roman"/>
          <w:sz w:val="24"/>
          <w:szCs w:val="24"/>
          <w:spacing w:val="42"/>
        </w:rPr>
        <w:t xml:space="preserve"> </w:t>
      </w:r>
      <w:r>
        <w:rPr>
          <w:rFonts w:ascii="SimSun" w:hAnsi="SimSun" w:eastAsia="SimSun" w:cs="SimSun"/>
          <w:sz w:val="24"/>
          <w:szCs w:val="24"/>
          <w:spacing w:val="-4"/>
        </w:rPr>
        <w:t>中表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45 </w:t>
      </w:r>
      <w:r>
        <w:rPr>
          <w:rFonts w:ascii="SimSun" w:hAnsi="SimSun" w:eastAsia="SimSun" w:cs="SimSun"/>
          <w:sz w:val="24"/>
          <w:szCs w:val="24"/>
          <w:spacing w:val="-4"/>
        </w:rPr>
        <w:t>项（包含重金属和无机物、半挥发性有机</w:t>
      </w:r>
      <w:r>
        <w:rPr>
          <w:rFonts w:ascii="SimSun" w:hAnsi="SimSun" w:eastAsia="SimSun" w:cs="SimSun"/>
          <w:sz w:val="24"/>
          <w:szCs w:val="24"/>
        </w:rPr>
        <w:t xml:space="preserve"> </w:t>
      </w:r>
      <w:r>
        <w:rPr>
          <w:rFonts w:ascii="SimSun" w:hAnsi="SimSun" w:eastAsia="SimSun" w:cs="SimSun"/>
          <w:sz w:val="24"/>
          <w:szCs w:val="24"/>
          <w:spacing w:val="-2"/>
        </w:rPr>
        <w:t>物、挥发性有机物）、表</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2 </w:t>
      </w:r>
      <w:r>
        <w:rPr>
          <w:rFonts w:ascii="SimSun" w:hAnsi="SimSun" w:eastAsia="SimSun" w:cs="SimSun"/>
          <w:sz w:val="24"/>
          <w:szCs w:val="24"/>
          <w:spacing w:val="-2"/>
        </w:rPr>
        <w:t>石油烃（</w:t>
      </w:r>
      <w:r>
        <w:rPr>
          <w:rFonts w:ascii="Times New Roman" w:hAnsi="Times New Roman" w:eastAsia="Times New Roman" w:cs="Times New Roman"/>
          <w:sz w:val="24"/>
          <w:szCs w:val="24"/>
          <w:spacing w:val="-2"/>
        </w:rPr>
        <w:t>C</w:t>
      </w:r>
      <w:r>
        <w:rPr>
          <w:rFonts w:ascii="Times New Roman" w:hAnsi="Times New Roman" w:eastAsia="Times New Roman" w:cs="Times New Roman"/>
          <w:sz w:val="15"/>
          <w:szCs w:val="15"/>
          <w:spacing w:val="-2"/>
        </w:rPr>
        <w:t>10</w:t>
      </w:r>
      <w:r>
        <w:rPr>
          <w:rFonts w:ascii="Times New Roman" w:hAnsi="Times New Roman" w:eastAsia="Times New Roman" w:cs="Times New Roman"/>
          <w:sz w:val="24"/>
          <w:szCs w:val="24"/>
          <w:spacing w:val="-2"/>
        </w:rPr>
        <w:t>-C</w:t>
      </w:r>
      <w:r>
        <w:rPr>
          <w:rFonts w:ascii="Times New Roman" w:hAnsi="Times New Roman" w:eastAsia="Times New Roman" w:cs="Times New Roman"/>
          <w:sz w:val="15"/>
          <w:szCs w:val="15"/>
          <w:spacing w:val="-2"/>
          <w:position w:val="-1"/>
        </w:rPr>
        <w:t>40 </w:t>
      </w:r>
      <w:r>
        <w:rPr>
          <w:rFonts w:ascii="SimSun" w:hAnsi="SimSun" w:eastAsia="SimSun" w:cs="SimSun"/>
          <w:sz w:val="24"/>
          <w:szCs w:val="24"/>
          <w:spacing w:val="5"/>
        </w:rPr>
        <w:t>），</w:t>
      </w:r>
      <w:r>
        <w:rPr>
          <w:rFonts w:ascii="SimSun" w:hAnsi="SimSun" w:eastAsia="SimSun" w:cs="SimSun"/>
          <w:sz w:val="24"/>
          <w:szCs w:val="24"/>
          <w:spacing w:val="-2"/>
        </w:rPr>
        <w:t>以及</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2"/>
        </w:rPr>
        <w:t>pH</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2"/>
        </w:rPr>
        <w:t>、阳离子交换量、氧化还</w:t>
      </w:r>
      <w:r>
        <w:rPr>
          <w:rFonts w:ascii="SimSun" w:hAnsi="SimSun" w:eastAsia="SimSun" w:cs="SimSun"/>
          <w:sz w:val="24"/>
          <w:szCs w:val="24"/>
        </w:rPr>
        <w:t xml:space="preserve"> </w:t>
      </w:r>
      <w:r>
        <w:rPr>
          <w:rFonts w:ascii="SimSun" w:hAnsi="SimSun" w:eastAsia="SimSun" w:cs="SimSun"/>
          <w:sz w:val="24"/>
          <w:szCs w:val="24"/>
          <w:spacing w:val="-1"/>
        </w:rPr>
        <w:t>原电位、渗透率、土壤容重、总孔隙度。</w:t>
      </w:r>
    </w:p>
    <w:p>
      <w:pPr>
        <w:ind w:left="45" w:right="76" w:firstLine="450"/>
        <w:spacing w:before="11" w:line="360" w:lineRule="auto"/>
        <w:rPr>
          <w:rFonts w:ascii="SimSun" w:hAnsi="SimSun" w:eastAsia="SimSun" w:cs="SimSun"/>
          <w:sz w:val="24"/>
          <w:szCs w:val="24"/>
        </w:rPr>
      </w:pPr>
      <w:r>
        <w:rPr>
          <w:rFonts w:ascii="Times New Roman" w:hAnsi="Times New Roman" w:eastAsia="Times New Roman" w:cs="Times New Roman"/>
          <w:sz w:val="24"/>
          <w:szCs w:val="24"/>
          <w:spacing w:val="-1"/>
        </w:rPr>
        <w:t>T</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24"/>
          <w:szCs w:val="24"/>
          <w:spacing w:val="-1"/>
        </w:rPr>
        <w:t>~T</w:t>
      </w:r>
      <w:r>
        <w:rPr>
          <w:rFonts w:ascii="Times New Roman" w:hAnsi="Times New Roman" w:eastAsia="Times New Roman" w:cs="Times New Roman"/>
          <w:sz w:val="15"/>
          <w:szCs w:val="15"/>
          <w:spacing w:val="-1"/>
          <w:position w:val="-1"/>
        </w:rPr>
        <w:t>4</w:t>
      </w:r>
      <w:r>
        <w:rPr>
          <w:rFonts w:ascii="Times New Roman" w:hAnsi="Times New Roman" w:eastAsia="Times New Roman" w:cs="Times New Roman"/>
          <w:sz w:val="15"/>
          <w:szCs w:val="15"/>
          <w:spacing w:val="-9"/>
          <w:position w:val="-1"/>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T</w:t>
      </w:r>
      <w:r>
        <w:rPr>
          <w:rFonts w:ascii="Times New Roman" w:hAnsi="Times New Roman" w:eastAsia="Times New Roman" w:cs="Times New Roman"/>
          <w:sz w:val="15"/>
          <w:szCs w:val="15"/>
          <w:spacing w:val="-1"/>
          <w:position w:val="-1"/>
        </w:rPr>
        <w:t>6</w:t>
      </w:r>
      <w:r>
        <w:rPr>
          <w:rFonts w:ascii="Times New Roman" w:hAnsi="Times New Roman" w:eastAsia="Times New Roman" w:cs="Times New Roman"/>
          <w:sz w:val="24"/>
          <w:szCs w:val="24"/>
          <w:spacing w:val="-1"/>
        </w:rPr>
        <w:t>~T</w:t>
      </w:r>
      <w:r>
        <w:rPr>
          <w:rFonts w:ascii="Times New Roman" w:hAnsi="Times New Roman" w:eastAsia="Times New Roman" w:cs="Times New Roman"/>
          <w:sz w:val="15"/>
          <w:szCs w:val="15"/>
          <w:spacing w:val="-1"/>
          <w:position w:val="-1"/>
        </w:rPr>
        <w:t>8</w:t>
      </w:r>
      <w:r>
        <w:rPr>
          <w:rFonts w:ascii="Times New Roman" w:hAnsi="Times New Roman" w:eastAsia="Times New Roman" w:cs="Times New Roman"/>
          <w:sz w:val="15"/>
          <w:szCs w:val="15"/>
          <w:spacing w:val="-9"/>
          <w:position w:val="-1"/>
        </w:rPr>
        <w:t xml:space="preserve"> </w:t>
      </w:r>
      <w:r>
        <w:rPr>
          <w:rFonts w:ascii="SimSun" w:hAnsi="SimSun" w:eastAsia="SimSun" w:cs="SimSun"/>
          <w:sz w:val="24"/>
          <w:szCs w:val="24"/>
          <w:spacing w:val="-1"/>
        </w:rPr>
        <w:t>：砷、镉、铬（六价）、铜、铅、汞、镍、石油烃（</w:t>
      </w:r>
      <w:r>
        <w:rPr>
          <w:rFonts w:ascii="Times New Roman" w:hAnsi="Times New Roman" w:eastAsia="Times New Roman" w:cs="Times New Roman"/>
          <w:sz w:val="24"/>
          <w:szCs w:val="24"/>
          <w:spacing w:val="-1"/>
        </w:rPr>
        <w:t>C</w:t>
      </w:r>
      <w:r>
        <w:rPr>
          <w:rFonts w:ascii="Times New Roman" w:hAnsi="Times New Roman" w:eastAsia="Times New Roman" w:cs="Times New Roman"/>
          <w:sz w:val="15"/>
          <w:szCs w:val="15"/>
          <w:spacing w:val="-2"/>
        </w:rPr>
        <w:t>10</w:t>
      </w:r>
      <w:r>
        <w:rPr>
          <w:rFonts w:ascii="Times New Roman" w:hAnsi="Times New Roman" w:eastAsia="Times New Roman" w:cs="Times New Roman"/>
          <w:sz w:val="24"/>
          <w:szCs w:val="24"/>
          <w:spacing w:val="-2"/>
        </w:rPr>
        <w:t>-C</w:t>
      </w:r>
      <w:r>
        <w:rPr>
          <w:rFonts w:ascii="Times New Roman" w:hAnsi="Times New Roman" w:eastAsia="Times New Roman" w:cs="Times New Roman"/>
          <w:sz w:val="15"/>
          <w:szCs w:val="15"/>
          <w:spacing w:val="-2"/>
          <w:position w:val="-1"/>
        </w:rPr>
        <w:t>40 </w:t>
      </w:r>
      <w:r>
        <w:rPr>
          <w:rFonts w:ascii="SimSun" w:hAnsi="SimSun" w:eastAsia="SimSun" w:cs="SimSun"/>
          <w:sz w:val="24"/>
          <w:szCs w:val="24"/>
          <w:spacing w:val="-47"/>
        </w:rPr>
        <w:t>），</w:t>
      </w:r>
      <w:r>
        <w:rPr>
          <w:rFonts w:ascii="SimSun" w:hAnsi="SimSun" w:eastAsia="SimSun" w:cs="SimSun"/>
          <w:sz w:val="24"/>
          <w:szCs w:val="24"/>
        </w:rPr>
        <w:t xml:space="preserve"> </w:t>
      </w:r>
      <w:r>
        <w:rPr>
          <w:rFonts w:ascii="SimSun" w:hAnsi="SimSun" w:eastAsia="SimSun" w:cs="SimSun"/>
          <w:sz w:val="24"/>
          <w:szCs w:val="24"/>
          <w:spacing w:val="-2"/>
        </w:rPr>
        <w:t>以及</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pH</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2"/>
        </w:rPr>
        <w:t>、阳离子交换量、氧化还原电位、渗透率、土壤容重、总孔隙度。</w:t>
      </w:r>
    </w:p>
    <w:p>
      <w:pPr>
        <w:ind w:left="36" w:right="138" w:firstLine="460"/>
        <w:spacing w:before="1" w:line="351" w:lineRule="auto"/>
        <w:rPr>
          <w:rFonts w:ascii="SimSun" w:hAnsi="SimSun" w:eastAsia="SimSun" w:cs="SimSun"/>
          <w:sz w:val="24"/>
          <w:szCs w:val="24"/>
        </w:rPr>
      </w:pP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1"/>
        </w:rPr>
        <w:t>9</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1"/>
        </w:rPr>
        <w:t>11</w:t>
      </w:r>
      <w:r>
        <w:rPr>
          <w:rFonts w:ascii="SimSun" w:hAnsi="SimSun" w:eastAsia="SimSun" w:cs="SimSun"/>
          <w:sz w:val="24"/>
          <w:szCs w:val="24"/>
        </w:rPr>
        <w:t>：镉、汞、砷、铅、铬、铜、镍、锌、石油烃（</w:t>
      </w:r>
      <w:r>
        <w:rPr>
          <w:rFonts w:ascii="Times New Roman" w:hAnsi="Times New Roman" w:eastAsia="Times New Roman" w:cs="Times New Roman"/>
          <w:sz w:val="24"/>
          <w:szCs w:val="24"/>
          <w:spacing w:val="-1"/>
        </w:rPr>
        <w:t>C</w:t>
      </w:r>
      <w:r>
        <w:rPr>
          <w:rFonts w:ascii="Times New Roman" w:hAnsi="Times New Roman" w:eastAsia="Times New Roman" w:cs="Times New Roman"/>
          <w:sz w:val="15"/>
          <w:szCs w:val="15"/>
          <w:spacing w:val="-1"/>
        </w:rPr>
        <w:t>10</w:t>
      </w:r>
      <w:r>
        <w:rPr>
          <w:rFonts w:ascii="Times New Roman" w:hAnsi="Times New Roman" w:eastAsia="Times New Roman" w:cs="Times New Roman"/>
          <w:sz w:val="24"/>
          <w:szCs w:val="24"/>
          <w:spacing w:val="-1"/>
        </w:rPr>
        <w:t>-C</w:t>
      </w:r>
      <w:r>
        <w:rPr>
          <w:rFonts w:ascii="Times New Roman" w:hAnsi="Times New Roman" w:eastAsia="Times New Roman" w:cs="Times New Roman"/>
          <w:sz w:val="15"/>
          <w:szCs w:val="15"/>
          <w:spacing w:val="-1"/>
          <w:position w:val="-1"/>
        </w:rPr>
        <w:t>40 </w:t>
      </w:r>
      <w:r>
        <w:rPr>
          <w:rFonts w:ascii="SimSun" w:hAnsi="SimSun" w:eastAsia="SimSun" w:cs="SimSun"/>
          <w:sz w:val="24"/>
          <w:szCs w:val="24"/>
          <w:spacing w:val="3"/>
        </w:rPr>
        <w:t>），</w:t>
      </w:r>
      <w:r>
        <w:rPr>
          <w:rFonts w:ascii="SimSun" w:hAnsi="SimSun" w:eastAsia="SimSun" w:cs="SimSun"/>
          <w:sz w:val="24"/>
          <w:szCs w:val="24"/>
          <w:spacing w:val="-1"/>
        </w:rPr>
        <w:t>以及</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1"/>
        </w:rPr>
        <w:t>pH</w:t>
      </w:r>
      <w:r>
        <w:rPr>
          <w:rFonts w:ascii="SimSun" w:hAnsi="SimSun" w:eastAsia="SimSun" w:cs="SimSun"/>
          <w:sz w:val="24"/>
          <w:szCs w:val="24"/>
          <w:spacing w:val="-1"/>
        </w:rPr>
        <w:t>、</w:t>
      </w:r>
      <w:r>
        <w:rPr>
          <w:rFonts w:ascii="SimSun" w:hAnsi="SimSun" w:eastAsia="SimSun" w:cs="SimSun"/>
          <w:sz w:val="24"/>
          <w:szCs w:val="24"/>
        </w:rPr>
        <w:t xml:space="preserve"> </w:t>
      </w:r>
      <w:r>
        <w:rPr>
          <w:rFonts w:ascii="SimSun" w:hAnsi="SimSun" w:eastAsia="SimSun" w:cs="SimSun"/>
          <w:sz w:val="24"/>
          <w:szCs w:val="24"/>
          <w:spacing w:val="-1"/>
        </w:rPr>
        <w:t>阳离子交换量、氧化还原电位、渗透率、土壤容重、总孔隙度。</w:t>
      </w:r>
    </w:p>
    <w:p>
      <w:pPr>
        <w:ind w:left="510"/>
        <w:spacing w:before="22"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）监测时间与频次</w:t>
      </w:r>
    </w:p>
    <w:p>
      <w:pPr>
        <w:ind w:left="497"/>
        <w:spacing w:before="183" w:line="219" w:lineRule="auto"/>
        <w:rPr>
          <w:rFonts w:ascii="SimSun" w:hAnsi="SimSun" w:eastAsia="SimSun" w:cs="SimSun"/>
          <w:sz w:val="24"/>
          <w:szCs w:val="24"/>
        </w:rPr>
      </w:pPr>
      <w:r>
        <w:rPr>
          <w:rFonts w:ascii="SimSun" w:hAnsi="SimSun" w:eastAsia="SimSun" w:cs="SimSun"/>
          <w:sz w:val="24"/>
          <w:szCs w:val="24"/>
          <w:spacing w:val="-7"/>
        </w:rPr>
        <w:t>采样时间为</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7"/>
        </w:rPr>
        <w:t>2025 </w:t>
      </w:r>
      <w:r>
        <w:rPr>
          <w:rFonts w:ascii="SimSun" w:hAnsi="SimSun" w:eastAsia="SimSun" w:cs="SimSun"/>
          <w:sz w:val="24"/>
          <w:szCs w:val="24"/>
          <w:spacing w:val="-7"/>
        </w:rPr>
        <w:t>年</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7"/>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15  </w:t>
      </w:r>
      <w:r>
        <w:rPr>
          <w:rFonts w:ascii="SimSun" w:hAnsi="SimSun" w:eastAsia="SimSun" w:cs="SimSun"/>
          <w:sz w:val="24"/>
          <w:szCs w:val="24"/>
          <w:spacing w:val="-7"/>
        </w:rPr>
        <w:t>日，监测</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7"/>
        </w:rPr>
        <w:t>天，每个点采样</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7"/>
        </w:rPr>
        <w:t>次。</w:t>
      </w:r>
    </w:p>
    <w:p>
      <w:pPr>
        <w:ind w:left="510"/>
        <w:spacing w:before="184"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）监测分析方法</w:t>
      </w:r>
    </w:p>
    <w:p>
      <w:pPr>
        <w:ind w:left="499"/>
        <w:spacing w:before="182" w:line="219" w:lineRule="auto"/>
        <w:rPr>
          <w:rFonts w:ascii="SimSun" w:hAnsi="SimSun" w:eastAsia="SimSun" w:cs="SimSun"/>
          <w:sz w:val="24"/>
          <w:szCs w:val="24"/>
        </w:rPr>
      </w:pPr>
      <w:r>
        <w:rPr>
          <w:rFonts w:ascii="SimSun" w:hAnsi="SimSun" w:eastAsia="SimSun" w:cs="SimSun"/>
          <w:sz w:val="24"/>
          <w:szCs w:val="24"/>
          <w:spacing w:val="-1"/>
        </w:rPr>
        <w:t>监测分析方法详见表</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1"/>
        </w:rPr>
        <w:t>4.2-13</w:t>
      </w:r>
      <w:r>
        <w:rPr>
          <w:rFonts w:ascii="SimSun" w:hAnsi="SimSun" w:eastAsia="SimSun" w:cs="SimSun"/>
          <w:sz w:val="24"/>
          <w:szCs w:val="24"/>
          <w:spacing w:val="-1"/>
        </w:rPr>
        <w:t>。</w:t>
      </w:r>
    </w:p>
    <w:p>
      <w:pPr>
        <w:ind w:left="1520"/>
        <w:spacing w:before="262"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8"/>
        </w:rPr>
        <w:t xml:space="preserve"> </w:t>
      </w:r>
      <w:r>
        <w:rPr>
          <w:rFonts w:ascii="Times New Roman" w:hAnsi="Times New Roman" w:eastAsia="Times New Roman" w:cs="Times New Roman"/>
          <w:sz w:val="24"/>
          <w:szCs w:val="24"/>
          <w:b/>
          <w:bCs/>
          <w:spacing w:val="-2"/>
        </w:rPr>
        <w:t>4.2-13        </w:t>
      </w:r>
      <w:r>
        <w:rPr>
          <w:rFonts w:ascii="SimSun" w:hAnsi="SimSun" w:eastAsia="SimSun" w:cs="SimSun"/>
          <w:sz w:val="24"/>
          <w:szCs w:val="24"/>
          <w:b/>
          <w:bCs/>
          <w:spacing w:val="-2"/>
        </w:rPr>
        <w:t>土壤监测项目的分析方法及来源一览表</w:t>
      </w:r>
    </w:p>
    <w:p>
      <w:pPr>
        <w:spacing w:line="22" w:lineRule="exact"/>
        <w:rPr/>
      </w:pPr>
      <w:r/>
    </w:p>
    <w:tbl>
      <w:tblPr>
        <w:tblStyle w:val="TableNormal"/>
        <w:tblW w:w="851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48"/>
        <w:gridCol w:w="1806"/>
        <w:gridCol w:w="1075"/>
        <w:gridCol w:w="3291"/>
        <w:gridCol w:w="1995"/>
      </w:tblGrid>
      <w:tr>
        <w:trPr>
          <w:trHeight w:val="321" w:hRule="atLeast"/>
        </w:trPr>
        <w:tc>
          <w:tcPr>
            <w:tcW w:w="2154" w:type="dxa"/>
            <w:vAlign w:val="top"/>
            <w:gridSpan w:val="2"/>
          </w:tcPr>
          <w:p>
            <w:pPr>
              <w:pStyle w:val="TableText"/>
              <w:ind w:left="662"/>
              <w:spacing w:before="55" w:line="228" w:lineRule="auto"/>
              <w:rPr/>
            </w:pPr>
            <w:r>
              <w:rPr>
                <w:spacing w:val="7"/>
              </w:rPr>
              <w:t>检测项目</w:t>
            </w:r>
          </w:p>
        </w:tc>
        <w:tc>
          <w:tcPr>
            <w:tcW w:w="1075" w:type="dxa"/>
            <w:vAlign w:val="top"/>
          </w:tcPr>
          <w:p>
            <w:pPr>
              <w:pStyle w:val="TableText"/>
              <w:ind w:left="227"/>
              <w:spacing w:before="55" w:line="228" w:lineRule="auto"/>
              <w:rPr/>
            </w:pPr>
            <w:r>
              <w:rPr>
                <w:spacing w:val="6"/>
              </w:rPr>
              <w:t>检出限</w:t>
            </w:r>
          </w:p>
        </w:tc>
        <w:tc>
          <w:tcPr>
            <w:tcW w:w="3291" w:type="dxa"/>
            <w:vAlign w:val="top"/>
          </w:tcPr>
          <w:p>
            <w:pPr>
              <w:pStyle w:val="TableText"/>
              <w:ind w:left="810"/>
              <w:spacing w:before="55" w:line="228" w:lineRule="auto"/>
              <w:rPr/>
            </w:pPr>
            <w:r>
              <w:rPr>
                <w:spacing w:val="7"/>
              </w:rPr>
              <w:t>检测标准（方法）</w:t>
            </w:r>
          </w:p>
        </w:tc>
        <w:tc>
          <w:tcPr>
            <w:tcW w:w="1995" w:type="dxa"/>
            <w:vAlign w:val="top"/>
          </w:tcPr>
          <w:p>
            <w:pPr>
              <w:pStyle w:val="TableText"/>
              <w:ind w:left="60"/>
              <w:spacing w:before="55" w:line="228" w:lineRule="auto"/>
              <w:rPr/>
            </w:pPr>
            <w:r>
              <w:rPr>
                <w:spacing w:val="8"/>
              </w:rPr>
              <w:t>主要检测仪器及编号</w:t>
            </w:r>
          </w:p>
        </w:tc>
      </w:tr>
      <w:tr>
        <w:trPr>
          <w:trHeight w:val="317" w:hRule="atLeast"/>
        </w:trPr>
        <w:tc>
          <w:tcPr>
            <w:tcW w:w="348" w:type="dxa"/>
            <w:vAlign w:val="top"/>
            <w:vMerge w:val="restart"/>
            <w:textDirection w:val="tbRlV"/>
            <w:tcBorders>
              <w:bottom w:val="nil"/>
            </w:tcBorders>
          </w:tcPr>
          <w:p>
            <w:pPr>
              <w:pStyle w:val="TableText"/>
              <w:ind w:left="560"/>
              <w:spacing w:before="66" w:line="216" w:lineRule="auto"/>
              <w:rPr/>
            </w:pPr>
            <w:r>
              <w:rPr>
                <w:spacing w:val="6"/>
              </w:rPr>
              <w:t>挥 发 性 有 机 物</w:t>
            </w:r>
          </w:p>
        </w:tc>
        <w:tc>
          <w:tcPr>
            <w:tcW w:w="1806" w:type="dxa"/>
            <w:vAlign w:val="top"/>
          </w:tcPr>
          <w:p>
            <w:pPr>
              <w:pStyle w:val="TableText"/>
              <w:ind w:left="507"/>
              <w:spacing w:before="51" w:line="228" w:lineRule="auto"/>
              <w:rPr/>
            </w:pPr>
            <w:r>
              <w:rPr>
                <w:spacing w:val="2"/>
              </w:rPr>
              <w:t>四氯化碳</w:t>
            </w:r>
          </w:p>
        </w:tc>
        <w:tc>
          <w:tcPr>
            <w:tcW w:w="1075" w:type="dxa"/>
            <w:vAlign w:val="top"/>
          </w:tcPr>
          <w:p>
            <w:pPr>
              <w:ind w:left="157"/>
              <w:spacing w:before="8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restart"/>
            <w:tcBorders>
              <w:bottom w:val="nil"/>
            </w:tcBorders>
          </w:tcPr>
          <w:p>
            <w:pPr>
              <w:spacing w:line="319" w:lineRule="auto"/>
              <w:rPr>
                <w:rFonts w:ascii="Arial"/>
                <w:sz w:val="21"/>
              </w:rPr>
            </w:pPr>
            <w:r/>
          </w:p>
          <w:p>
            <w:pPr>
              <w:spacing w:line="319" w:lineRule="auto"/>
              <w:rPr>
                <w:rFonts w:ascii="Arial"/>
                <w:sz w:val="21"/>
              </w:rPr>
            </w:pPr>
            <w:r/>
          </w:p>
          <w:p>
            <w:pPr>
              <w:spacing w:line="319" w:lineRule="auto"/>
              <w:rPr>
                <w:rFonts w:ascii="Arial"/>
                <w:sz w:val="21"/>
              </w:rPr>
            </w:pPr>
            <w:r/>
          </w:p>
          <w:p>
            <w:pPr>
              <w:pStyle w:val="TableText"/>
              <w:ind w:left="43" w:right="47" w:firstLine="143"/>
              <w:spacing w:before="65" w:line="289" w:lineRule="auto"/>
              <w:rPr/>
            </w:pPr>
            <w:r>
              <w:rPr>
                <w:spacing w:val="8"/>
              </w:rPr>
              <w:t>《土壤和沉积物 挥发性有机物的 </w:t>
            </w:r>
            <w:r>
              <w:rPr>
                <w:spacing w:val="6"/>
              </w:rPr>
              <w:t>测定 吹扫捕集</w:t>
            </w:r>
            <w:r>
              <w:rPr>
                <w:spacing w:val="30"/>
              </w:rPr>
              <w:t xml:space="preserve"> </w:t>
            </w:r>
            <w:r>
              <w:rPr>
                <w:spacing w:val="6"/>
              </w:rPr>
              <w:t>气相色谱</w:t>
            </w:r>
            <w:r>
              <w:rPr>
                <w:rFonts w:ascii="Times New Roman" w:hAnsi="Times New Roman" w:eastAsia="Times New Roman" w:cs="Times New Roman"/>
                <w:spacing w:val="6"/>
              </w:rPr>
              <w:t>-</w:t>
            </w:r>
            <w:r>
              <w:rPr>
                <w:spacing w:val="6"/>
              </w:rPr>
              <w:t>质谱法》</w:t>
            </w:r>
          </w:p>
          <w:p>
            <w:pPr>
              <w:ind w:left="1069"/>
              <w:spacing w:before="29"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w:t>
            </w:r>
            <w:r>
              <w:rPr>
                <w:rFonts w:ascii="Times New Roman" w:hAnsi="Times New Roman" w:eastAsia="Times New Roman" w:cs="Times New Roman"/>
                <w:sz w:val="20"/>
                <w:szCs w:val="20"/>
              </w:rPr>
              <w:t>HJ</w:t>
            </w:r>
            <w:r>
              <w:rPr>
                <w:rFonts w:ascii="Times New Roman" w:hAnsi="Times New Roman" w:eastAsia="Times New Roman" w:cs="Times New Roman"/>
                <w:sz w:val="20"/>
                <w:szCs w:val="20"/>
                <w:spacing w:val="19"/>
              </w:rPr>
              <w:t xml:space="preserve"> </w:t>
            </w:r>
            <w:r>
              <w:rPr>
                <w:rFonts w:ascii="Times New Roman" w:hAnsi="Times New Roman" w:eastAsia="Times New Roman" w:cs="Times New Roman"/>
                <w:sz w:val="20"/>
                <w:szCs w:val="20"/>
                <w:spacing w:val="4"/>
              </w:rPr>
              <w:t>605-2011</w:t>
            </w:r>
          </w:p>
        </w:tc>
        <w:tc>
          <w:tcPr>
            <w:tcW w:w="1995" w:type="dxa"/>
            <w:vAlign w:val="top"/>
            <w:vMerge w:val="restart"/>
            <w:tcBorders>
              <w:bottom w:val="nil"/>
            </w:tcBorders>
          </w:tcPr>
          <w:p>
            <w:pPr>
              <w:spacing w:line="319" w:lineRule="auto"/>
              <w:rPr>
                <w:rFonts w:ascii="Arial"/>
                <w:sz w:val="21"/>
              </w:rPr>
            </w:pPr>
            <w:r/>
          </w:p>
          <w:p>
            <w:pPr>
              <w:spacing w:line="319" w:lineRule="auto"/>
              <w:rPr>
                <w:rFonts w:ascii="Arial"/>
                <w:sz w:val="21"/>
              </w:rPr>
            </w:pPr>
            <w:r/>
          </w:p>
          <w:p>
            <w:pPr>
              <w:spacing w:line="319" w:lineRule="auto"/>
              <w:rPr>
                <w:rFonts w:ascii="Arial"/>
                <w:sz w:val="21"/>
              </w:rPr>
            </w:pPr>
            <w:r/>
          </w:p>
          <w:p>
            <w:pPr>
              <w:pStyle w:val="TableText"/>
              <w:ind w:left="129"/>
              <w:spacing w:before="65" w:line="227" w:lineRule="auto"/>
              <w:rPr/>
            </w:pPr>
            <w:r>
              <w:rPr>
                <w:spacing w:val="7"/>
              </w:rPr>
              <w:t>气相色谱</w:t>
            </w:r>
            <w:r>
              <w:rPr>
                <w:rFonts w:ascii="Times New Roman" w:hAnsi="Times New Roman" w:eastAsia="Times New Roman" w:cs="Times New Roman"/>
                <w:spacing w:val="7"/>
              </w:rPr>
              <w:t>-</w:t>
            </w:r>
            <w:r>
              <w:rPr>
                <w:spacing w:val="7"/>
              </w:rPr>
              <w:t>质联用仪</w:t>
            </w:r>
          </w:p>
          <w:p>
            <w:pPr>
              <w:pStyle w:val="TableText"/>
              <w:ind w:left="305"/>
              <w:spacing w:before="98" w:line="186" w:lineRule="auto"/>
              <w:rPr/>
            </w:pPr>
            <w:r>
              <w:rPr>
                <w:rFonts w:ascii="Times New Roman" w:hAnsi="Times New Roman" w:eastAsia="Times New Roman" w:cs="Times New Roman"/>
                <w:spacing w:val="3"/>
              </w:rPr>
              <w:t>5975C/6890N</w:t>
            </w:r>
            <w:r>
              <w:rPr>
                <w:spacing w:val="3"/>
              </w:rPr>
              <w:t>、</w:t>
            </w:r>
          </w:p>
          <w:p>
            <w:pPr>
              <w:ind w:left="652"/>
              <w:spacing w:before="113" w:line="19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YQ</w:t>
            </w:r>
            <w:r>
              <w:rPr>
                <w:rFonts w:ascii="Times New Roman" w:hAnsi="Times New Roman" w:eastAsia="Times New Roman" w:cs="Times New Roman"/>
                <w:sz w:val="20"/>
                <w:szCs w:val="20"/>
                <w:spacing w:val="7"/>
              </w:rPr>
              <w:t>-169</w:t>
            </w:r>
          </w:p>
        </w:tc>
      </w:tr>
      <w:tr>
        <w:trPr>
          <w:trHeight w:val="316" w:hRule="atLeast"/>
        </w:trPr>
        <w:tc>
          <w:tcPr>
            <w:tcW w:w="348" w:type="dxa"/>
            <w:vAlign w:val="top"/>
            <w:vMerge w:val="continue"/>
            <w:textDirection w:val="tbRlV"/>
            <w:tcBorders>
              <w:top w:val="nil"/>
              <w:bottom w:val="nil"/>
            </w:tcBorders>
          </w:tcPr>
          <w:p>
            <w:pPr>
              <w:rPr>
                <w:rFonts w:ascii="Arial"/>
                <w:sz w:val="21"/>
              </w:rPr>
            </w:pPr>
            <w:r/>
          </w:p>
        </w:tc>
        <w:tc>
          <w:tcPr>
            <w:tcW w:w="1806" w:type="dxa"/>
            <w:vAlign w:val="top"/>
          </w:tcPr>
          <w:p>
            <w:pPr>
              <w:pStyle w:val="TableText"/>
              <w:ind w:left="699"/>
              <w:spacing w:before="51" w:line="228" w:lineRule="auto"/>
              <w:rPr/>
            </w:pPr>
            <w:r>
              <w:rPr>
                <w:spacing w:val="3"/>
              </w:rPr>
              <w:t>氯仿</w:t>
            </w:r>
          </w:p>
        </w:tc>
        <w:tc>
          <w:tcPr>
            <w:tcW w:w="1075" w:type="dxa"/>
            <w:vAlign w:val="top"/>
          </w:tcPr>
          <w:p>
            <w:pPr>
              <w:ind w:left="157"/>
              <w:spacing w:before="8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w:t>
            </w:r>
            <w:r>
              <w:rPr>
                <w:rFonts w:ascii="Times New Roman" w:hAnsi="Times New Roman" w:eastAsia="Times New Roman" w:cs="Times New Roman"/>
                <w:sz w:val="20"/>
                <w:szCs w:val="20"/>
                <w:spacing w:val="16"/>
                <w:w w:val="101"/>
              </w:rPr>
              <w:t xml:space="preserve"> </w:t>
            </w:r>
            <w:r>
              <w:rPr>
                <w:rFonts w:ascii="Times New Roman" w:hAnsi="Times New Roman" w:eastAsia="Times New Roman" w:cs="Times New Roman"/>
                <w:sz w:val="20"/>
                <w:szCs w:val="20"/>
                <w:spacing w:val="-4"/>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6" w:hRule="atLeast"/>
        </w:trPr>
        <w:tc>
          <w:tcPr>
            <w:tcW w:w="348" w:type="dxa"/>
            <w:vAlign w:val="top"/>
            <w:vMerge w:val="continue"/>
            <w:textDirection w:val="tbRlV"/>
            <w:tcBorders>
              <w:top w:val="nil"/>
              <w:bottom w:val="nil"/>
            </w:tcBorders>
          </w:tcPr>
          <w:p>
            <w:pPr>
              <w:rPr>
                <w:rFonts w:ascii="Arial"/>
                <w:sz w:val="21"/>
              </w:rPr>
            </w:pPr>
            <w:r/>
          </w:p>
        </w:tc>
        <w:tc>
          <w:tcPr>
            <w:tcW w:w="1806" w:type="dxa"/>
            <w:vAlign w:val="top"/>
          </w:tcPr>
          <w:p>
            <w:pPr>
              <w:pStyle w:val="TableText"/>
              <w:ind w:left="594"/>
              <w:spacing w:before="54" w:line="228" w:lineRule="auto"/>
              <w:rPr/>
            </w:pPr>
            <w:r>
              <w:rPr>
                <w:spacing w:val="5"/>
              </w:rPr>
              <w:t>氯甲烷</w:t>
            </w:r>
          </w:p>
        </w:tc>
        <w:tc>
          <w:tcPr>
            <w:tcW w:w="1075" w:type="dxa"/>
            <w:vAlign w:val="top"/>
          </w:tcPr>
          <w:p>
            <w:pPr>
              <w:ind w:left="157"/>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extDirection w:val="tbRlV"/>
            <w:tcBorders>
              <w:top w:val="nil"/>
              <w:bottom w:val="nil"/>
            </w:tcBorders>
          </w:tcPr>
          <w:p>
            <w:pPr>
              <w:rPr>
                <w:rFonts w:ascii="Arial"/>
                <w:sz w:val="21"/>
              </w:rPr>
            </w:pPr>
            <w:r/>
          </w:p>
        </w:tc>
        <w:tc>
          <w:tcPr>
            <w:tcW w:w="1806" w:type="dxa"/>
            <w:vAlign w:val="top"/>
          </w:tcPr>
          <w:p>
            <w:pPr>
              <w:pStyle w:val="TableText"/>
              <w:ind w:left="336"/>
              <w:spacing w:before="54" w:line="221" w:lineRule="auto"/>
              <w:rPr/>
            </w:pPr>
            <w:r>
              <w:rPr>
                <w:rFonts w:ascii="Times New Roman" w:hAnsi="Times New Roman" w:eastAsia="Times New Roman" w:cs="Times New Roman"/>
              </w:rPr>
              <w:t>1,</w:t>
            </w:r>
            <w:r>
              <w:rPr>
                <w:rFonts w:ascii="Times New Roman" w:hAnsi="Times New Roman" w:eastAsia="Times New Roman" w:cs="Times New Roman"/>
                <w:spacing w:val="-21"/>
              </w:rPr>
              <w:t xml:space="preserve"> </w:t>
            </w:r>
            <w:r>
              <w:rPr>
                <w:rFonts w:ascii="Times New Roman" w:hAnsi="Times New Roman" w:eastAsia="Times New Roman" w:cs="Times New Roman"/>
              </w:rPr>
              <w:t>1-</w:t>
            </w:r>
            <w:r>
              <w:rPr/>
              <w:t>二氯乙烷</w:t>
            </w:r>
          </w:p>
        </w:tc>
        <w:tc>
          <w:tcPr>
            <w:tcW w:w="1075" w:type="dxa"/>
            <w:vAlign w:val="top"/>
          </w:tcPr>
          <w:p>
            <w:pPr>
              <w:ind w:left="157"/>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6" w:hRule="atLeast"/>
        </w:trPr>
        <w:tc>
          <w:tcPr>
            <w:tcW w:w="348" w:type="dxa"/>
            <w:vAlign w:val="top"/>
            <w:vMerge w:val="continue"/>
            <w:textDirection w:val="tbRlV"/>
            <w:tcBorders>
              <w:top w:val="nil"/>
              <w:bottom w:val="nil"/>
            </w:tcBorders>
          </w:tcPr>
          <w:p>
            <w:pPr>
              <w:rPr>
                <w:rFonts w:ascii="Arial"/>
                <w:sz w:val="21"/>
              </w:rPr>
            </w:pPr>
            <w:r/>
          </w:p>
        </w:tc>
        <w:tc>
          <w:tcPr>
            <w:tcW w:w="1806" w:type="dxa"/>
            <w:vAlign w:val="top"/>
          </w:tcPr>
          <w:p>
            <w:pPr>
              <w:pStyle w:val="TableText"/>
              <w:ind w:left="336"/>
              <w:spacing w:before="54" w:line="221" w:lineRule="auto"/>
              <w:rPr/>
            </w:pPr>
            <w:r>
              <w:rPr>
                <w:rFonts w:ascii="Times New Roman" w:hAnsi="Times New Roman" w:eastAsia="Times New Roman" w:cs="Times New Roman"/>
                <w:spacing w:val="3"/>
              </w:rPr>
              <w:t>1,2-</w:t>
            </w:r>
            <w:r>
              <w:rPr>
                <w:spacing w:val="3"/>
              </w:rPr>
              <w:t>二氯乙烷</w:t>
            </w:r>
          </w:p>
        </w:tc>
        <w:tc>
          <w:tcPr>
            <w:tcW w:w="1075" w:type="dxa"/>
            <w:vAlign w:val="top"/>
          </w:tcPr>
          <w:p>
            <w:pPr>
              <w:ind w:left="157"/>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extDirection w:val="tbRlV"/>
            <w:tcBorders>
              <w:top w:val="nil"/>
              <w:bottom w:val="nil"/>
            </w:tcBorders>
          </w:tcPr>
          <w:p>
            <w:pPr>
              <w:rPr>
                <w:rFonts w:ascii="Arial"/>
                <w:sz w:val="21"/>
              </w:rPr>
            </w:pPr>
            <w:r/>
          </w:p>
        </w:tc>
        <w:tc>
          <w:tcPr>
            <w:tcW w:w="1806" w:type="dxa"/>
            <w:vAlign w:val="top"/>
          </w:tcPr>
          <w:p>
            <w:pPr>
              <w:pStyle w:val="TableText"/>
              <w:ind w:left="345"/>
              <w:spacing w:before="54" w:line="221" w:lineRule="auto"/>
              <w:rPr/>
            </w:pPr>
            <w:r>
              <w:rPr>
                <w:rFonts w:ascii="Times New Roman" w:hAnsi="Times New Roman" w:eastAsia="Times New Roman" w:cs="Times New Roman"/>
                <w:spacing w:val="-2"/>
              </w:rPr>
              <w:t>1,</w:t>
            </w:r>
            <w:r>
              <w:rPr>
                <w:rFonts w:ascii="Times New Roman" w:hAnsi="Times New Roman" w:eastAsia="Times New Roman" w:cs="Times New Roman"/>
                <w:spacing w:val="-23"/>
              </w:rPr>
              <w:t xml:space="preserve"> </w:t>
            </w:r>
            <w:r>
              <w:rPr>
                <w:rFonts w:ascii="Times New Roman" w:hAnsi="Times New Roman" w:eastAsia="Times New Roman" w:cs="Times New Roman"/>
                <w:spacing w:val="-2"/>
              </w:rPr>
              <w:t>1</w:t>
            </w:r>
            <w:r>
              <w:rPr>
                <w:rFonts w:ascii="Times New Roman" w:hAnsi="Times New Roman" w:eastAsia="Times New Roman" w:cs="Times New Roman"/>
                <w:spacing w:val="13"/>
                <w:w w:val="101"/>
              </w:rPr>
              <w:t xml:space="preserve"> </w:t>
            </w:r>
            <w:r>
              <w:rPr>
                <w:spacing w:val="-2"/>
              </w:rPr>
              <w:t>二氯乙烯</w:t>
            </w:r>
          </w:p>
        </w:tc>
        <w:tc>
          <w:tcPr>
            <w:tcW w:w="1075" w:type="dxa"/>
            <w:vAlign w:val="top"/>
          </w:tcPr>
          <w:p>
            <w:pPr>
              <w:ind w:left="157"/>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6" w:hRule="atLeast"/>
        </w:trPr>
        <w:tc>
          <w:tcPr>
            <w:tcW w:w="348" w:type="dxa"/>
            <w:vAlign w:val="top"/>
            <w:vMerge w:val="continue"/>
            <w:textDirection w:val="tbRlV"/>
            <w:tcBorders>
              <w:top w:val="nil"/>
              <w:bottom w:val="nil"/>
            </w:tcBorders>
          </w:tcPr>
          <w:p>
            <w:pPr>
              <w:rPr>
                <w:rFonts w:ascii="Arial"/>
                <w:sz w:val="21"/>
              </w:rPr>
            </w:pPr>
            <w:r/>
          </w:p>
        </w:tc>
        <w:tc>
          <w:tcPr>
            <w:tcW w:w="1806" w:type="dxa"/>
            <w:vAlign w:val="top"/>
          </w:tcPr>
          <w:p>
            <w:pPr>
              <w:pStyle w:val="TableText"/>
              <w:ind w:left="198"/>
              <w:spacing w:before="54" w:line="221" w:lineRule="auto"/>
              <w:rPr/>
            </w:pPr>
            <w:r>
              <w:rPr>
                <w:spacing w:val="1"/>
              </w:rPr>
              <w:t>顺</w:t>
            </w:r>
            <w:r>
              <w:rPr>
                <w:spacing w:val="-18"/>
              </w:rPr>
              <w:t xml:space="preserve"> </w:t>
            </w:r>
            <w:r>
              <w:rPr>
                <w:rFonts w:ascii="Times New Roman" w:hAnsi="Times New Roman" w:eastAsia="Times New Roman" w:cs="Times New Roman"/>
                <w:spacing w:val="1"/>
              </w:rPr>
              <w:t>1,2</w:t>
            </w:r>
            <w:r>
              <w:rPr>
                <w:rFonts w:ascii="Times New Roman" w:hAnsi="Times New Roman" w:eastAsia="Times New Roman" w:cs="Times New Roman"/>
                <w:spacing w:val="16"/>
              </w:rPr>
              <w:t xml:space="preserve"> </w:t>
            </w:r>
            <w:r>
              <w:rPr>
                <w:spacing w:val="1"/>
              </w:rPr>
              <w:t>二氯乙烯</w:t>
            </w:r>
          </w:p>
        </w:tc>
        <w:tc>
          <w:tcPr>
            <w:tcW w:w="1075" w:type="dxa"/>
            <w:vAlign w:val="top"/>
          </w:tcPr>
          <w:p>
            <w:pPr>
              <w:ind w:left="157"/>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extDirection w:val="tbRlV"/>
            <w:tcBorders>
              <w:top w:val="nil"/>
              <w:bottom w:val="nil"/>
            </w:tcBorders>
          </w:tcPr>
          <w:p>
            <w:pPr>
              <w:rPr>
                <w:rFonts w:ascii="Arial"/>
                <w:sz w:val="21"/>
              </w:rPr>
            </w:pPr>
            <w:r/>
          </w:p>
        </w:tc>
        <w:tc>
          <w:tcPr>
            <w:tcW w:w="1806" w:type="dxa"/>
            <w:vAlign w:val="top"/>
          </w:tcPr>
          <w:p>
            <w:pPr>
              <w:pStyle w:val="TableText"/>
              <w:ind w:left="198"/>
              <w:spacing w:before="55" w:line="221" w:lineRule="auto"/>
              <w:rPr/>
            </w:pPr>
            <w:r>
              <w:rPr>
                <w:spacing w:val="1"/>
              </w:rPr>
              <w:t>反</w:t>
            </w:r>
            <w:r>
              <w:rPr>
                <w:spacing w:val="-18"/>
              </w:rPr>
              <w:t xml:space="preserve"> </w:t>
            </w:r>
            <w:r>
              <w:rPr>
                <w:rFonts w:ascii="Times New Roman" w:hAnsi="Times New Roman" w:eastAsia="Times New Roman" w:cs="Times New Roman"/>
                <w:spacing w:val="1"/>
              </w:rPr>
              <w:t>1,2</w:t>
            </w:r>
            <w:r>
              <w:rPr>
                <w:rFonts w:ascii="Times New Roman" w:hAnsi="Times New Roman" w:eastAsia="Times New Roman" w:cs="Times New Roman"/>
                <w:spacing w:val="16"/>
              </w:rPr>
              <w:t xml:space="preserve"> </w:t>
            </w:r>
            <w:r>
              <w:rPr>
                <w:spacing w:val="1"/>
              </w:rPr>
              <w:t>二氯乙烯</w:t>
            </w:r>
          </w:p>
        </w:tc>
        <w:tc>
          <w:tcPr>
            <w:tcW w:w="1075" w:type="dxa"/>
            <w:vAlign w:val="top"/>
          </w:tcPr>
          <w:p>
            <w:pPr>
              <w:ind w:left="157"/>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9" w:hRule="atLeast"/>
        </w:trPr>
        <w:tc>
          <w:tcPr>
            <w:tcW w:w="348" w:type="dxa"/>
            <w:vAlign w:val="top"/>
            <w:vMerge w:val="continue"/>
            <w:textDirection w:val="tbRlV"/>
            <w:tcBorders>
              <w:top w:val="nil"/>
            </w:tcBorders>
          </w:tcPr>
          <w:p>
            <w:pPr>
              <w:rPr>
                <w:rFonts w:ascii="Arial"/>
                <w:sz w:val="21"/>
              </w:rPr>
            </w:pPr>
            <w:r/>
          </w:p>
        </w:tc>
        <w:tc>
          <w:tcPr>
            <w:tcW w:w="1806" w:type="dxa"/>
            <w:vAlign w:val="top"/>
          </w:tcPr>
          <w:p>
            <w:pPr>
              <w:pStyle w:val="TableText"/>
              <w:ind w:left="491"/>
              <w:spacing w:before="57" w:line="228" w:lineRule="auto"/>
              <w:rPr/>
            </w:pPr>
            <w:r>
              <w:rPr>
                <w:spacing w:val="6"/>
              </w:rPr>
              <w:t>二氯甲烷</w:t>
            </w:r>
          </w:p>
        </w:tc>
        <w:tc>
          <w:tcPr>
            <w:tcW w:w="1075" w:type="dxa"/>
            <w:vAlign w:val="top"/>
          </w:tcPr>
          <w:p>
            <w:pPr>
              <w:ind w:left="157"/>
              <w:spacing w:before="89"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1.5</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tcBorders>
          </w:tcPr>
          <w:p>
            <w:pPr>
              <w:rPr>
                <w:rFonts w:ascii="Arial"/>
                <w:sz w:val="21"/>
              </w:rPr>
            </w:pPr>
            <w:r/>
          </w:p>
        </w:tc>
        <w:tc>
          <w:tcPr>
            <w:tcW w:w="1995" w:type="dxa"/>
            <w:vAlign w:val="top"/>
            <w:vMerge w:val="continue"/>
            <w:tcBorders>
              <w:top w:val="nil"/>
            </w:tcBorders>
          </w:tcPr>
          <w:p>
            <w:pPr>
              <w:rPr>
                <w:rFonts w:ascii="Arial"/>
                <w:sz w:val="21"/>
              </w:rPr>
            </w:pPr>
            <w:r/>
          </w:p>
        </w:tc>
      </w:tr>
    </w:tbl>
    <w:p>
      <w:pPr>
        <w:pStyle w:val="BodyText"/>
        <w:spacing w:line="227" w:lineRule="exact"/>
        <w:rPr>
          <w:sz w:val="19"/>
        </w:rPr>
      </w:pPr>
      <w:r/>
    </w:p>
    <w:p>
      <w:pPr>
        <w:spacing w:line="227" w:lineRule="exact"/>
        <w:sectPr>
          <w:headerReference w:type="default" r:id="rId143"/>
          <w:footerReference w:type="default" r:id="rId144"/>
          <w:pgSz w:w="11906" w:h="16839"/>
          <w:pgMar w:top="1567" w:right="1602" w:bottom="1811" w:left="1692" w:header="1221" w:footer="1130" w:gutter="0"/>
        </w:sectPr>
        <w:rPr>
          <w:sz w:val="19"/>
          <w:szCs w:val="19"/>
        </w:rPr>
      </w:pPr>
    </w:p>
    <w:p>
      <w:pPr>
        <w:spacing w:line="151" w:lineRule="exact"/>
        <w:rPr/>
      </w:pPr>
      <w:r>
        <w:pict>
          <v:shape id="_x0000_s648" style="position:absolute;margin-left:85.05pt;margin-top:79.11pt;mso-position-vertical-relative:page;mso-position-horizontal-relative:page;width:425.25pt;height:0.75pt;z-index:251949056;" o:allowincell="f" fillcolor="#000000" filled="true" stroked="false" coordsize="8505,15" coordorigin="0,0" path="m,l8504,0l8504,14l0,14l0,0xe"/>
        </w:pict>
      </w:r>
      <w:r/>
    </w:p>
    <w:tbl>
      <w:tblPr>
        <w:tblStyle w:val="TableNormal"/>
        <w:tblW w:w="851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48"/>
        <w:gridCol w:w="1806"/>
        <w:gridCol w:w="1075"/>
        <w:gridCol w:w="3291"/>
        <w:gridCol w:w="1995"/>
      </w:tblGrid>
      <w:tr>
        <w:trPr>
          <w:trHeight w:val="321" w:hRule="atLeast"/>
        </w:trPr>
        <w:tc>
          <w:tcPr>
            <w:tcW w:w="2154" w:type="dxa"/>
            <w:vAlign w:val="top"/>
            <w:gridSpan w:val="2"/>
          </w:tcPr>
          <w:p>
            <w:pPr>
              <w:pStyle w:val="TableText"/>
              <w:ind w:left="662"/>
              <w:spacing w:before="55" w:line="228" w:lineRule="auto"/>
              <w:rPr/>
            </w:pPr>
            <w:r>
              <w:rPr>
                <w:spacing w:val="7"/>
              </w:rPr>
              <w:t>检测项目</w:t>
            </w:r>
          </w:p>
        </w:tc>
        <w:tc>
          <w:tcPr>
            <w:tcW w:w="1075" w:type="dxa"/>
            <w:vAlign w:val="top"/>
          </w:tcPr>
          <w:p>
            <w:pPr>
              <w:pStyle w:val="TableText"/>
              <w:ind w:left="227"/>
              <w:spacing w:before="55" w:line="228" w:lineRule="auto"/>
              <w:rPr/>
            </w:pPr>
            <w:r>
              <w:rPr>
                <w:spacing w:val="6"/>
              </w:rPr>
              <w:t>检出限</w:t>
            </w:r>
          </w:p>
        </w:tc>
        <w:tc>
          <w:tcPr>
            <w:tcW w:w="3291" w:type="dxa"/>
            <w:vAlign w:val="top"/>
          </w:tcPr>
          <w:p>
            <w:pPr>
              <w:pStyle w:val="TableText"/>
              <w:ind w:left="810"/>
              <w:spacing w:before="55" w:line="228" w:lineRule="auto"/>
              <w:rPr/>
            </w:pPr>
            <w:r>
              <w:rPr>
                <w:spacing w:val="7"/>
              </w:rPr>
              <w:t>检测标准（方法）</w:t>
            </w:r>
          </w:p>
        </w:tc>
        <w:tc>
          <w:tcPr>
            <w:tcW w:w="1995" w:type="dxa"/>
            <w:vAlign w:val="top"/>
          </w:tcPr>
          <w:p>
            <w:pPr>
              <w:pStyle w:val="TableText"/>
              <w:ind w:left="60"/>
              <w:spacing w:before="55" w:line="228" w:lineRule="auto"/>
              <w:rPr/>
            </w:pPr>
            <w:r>
              <w:rPr>
                <w:spacing w:val="8"/>
              </w:rPr>
              <w:t>主要检测仪器及编号</w:t>
            </w:r>
          </w:p>
        </w:tc>
      </w:tr>
      <w:tr>
        <w:trPr>
          <w:trHeight w:val="317" w:hRule="atLeast"/>
        </w:trPr>
        <w:tc>
          <w:tcPr>
            <w:tcW w:w="348" w:type="dxa"/>
            <w:vAlign w:val="top"/>
            <w:vMerge w:val="restart"/>
            <w:tcBorders>
              <w:bottom w:val="nil"/>
            </w:tcBorders>
          </w:tcPr>
          <w:p>
            <w:pPr>
              <w:rPr>
                <w:rFonts w:ascii="Arial"/>
                <w:sz w:val="21"/>
              </w:rPr>
            </w:pPr>
            <w:r/>
          </w:p>
        </w:tc>
        <w:tc>
          <w:tcPr>
            <w:tcW w:w="1806" w:type="dxa"/>
            <w:vAlign w:val="top"/>
          </w:tcPr>
          <w:p>
            <w:pPr>
              <w:pStyle w:val="TableText"/>
              <w:ind w:left="336"/>
              <w:spacing w:before="51" w:line="221" w:lineRule="auto"/>
              <w:rPr/>
            </w:pPr>
            <w:r>
              <w:rPr>
                <w:rFonts w:ascii="Times New Roman" w:hAnsi="Times New Roman" w:eastAsia="Times New Roman" w:cs="Times New Roman"/>
                <w:spacing w:val="3"/>
              </w:rPr>
              <w:t>1,2-</w:t>
            </w:r>
            <w:r>
              <w:rPr>
                <w:spacing w:val="3"/>
              </w:rPr>
              <w:t>二氯丙烷</w:t>
            </w:r>
          </w:p>
        </w:tc>
        <w:tc>
          <w:tcPr>
            <w:tcW w:w="1075" w:type="dxa"/>
            <w:vAlign w:val="top"/>
          </w:tcPr>
          <w:p>
            <w:pPr>
              <w:ind w:left="157"/>
              <w:spacing w:before="8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w:t>
            </w:r>
            <w:r>
              <w:rPr>
                <w:rFonts w:ascii="Times New Roman" w:hAnsi="Times New Roman" w:eastAsia="Times New Roman" w:cs="Times New Roman"/>
                <w:sz w:val="20"/>
                <w:szCs w:val="20"/>
                <w:spacing w:val="16"/>
                <w:w w:val="101"/>
              </w:rPr>
              <w:t xml:space="preserve"> </w:t>
            </w:r>
            <w:r>
              <w:rPr>
                <w:rFonts w:ascii="Times New Roman" w:hAnsi="Times New Roman" w:eastAsia="Times New Roman" w:cs="Times New Roman"/>
                <w:sz w:val="20"/>
                <w:szCs w:val="20"/>
                <w:spacing w:val="-4"/>
              </w:rPr>
              <w:t>μg/kg</w:t>
            </w:r>
          </w:p>
        </w:tc>
        <w:tc>
          <w:tcPr>
            <w:tcW w:w="3291" w:type="dxa"/>
            <w:vAlign w:val="top"/>
            <w:vMerge w:val="restart"/>
            <w:tcBorders>
              <w:bottom w:val="nil"/>
            </w:tcBorders>
          </w:tcPr>
          <w:p>
            <w:pPr>
              <w:rPr>
                <w:rFonts w:ascii="Arial"/>
                <w:sz w:val="21"/>
              </w:rPr>
            </w:pPr>
            <w:r/>
          </w:p>
        </w:tc>
        <w:tc>
          <w:tcPr>
            <w:tcW w:w="1995" w:type="dxa"/>
            <w:vAlign w:val="top"/>
            <w:vMerge w:val="restart"/>
            <w:tcBorders>
              <w:bottom w:val="nil"/>
            </w:tcBorders>
          </w:tcPr>
          <w:p>
            <w:pPr>
              <w:rPr>
                <w:rFonts w:ascii="Arial"/>
                <w:sz w:val="21"/>
              </w:rPr>
            </w:pPr>
            <w:r/>
          </w:p>
        </w:tc>
      </w:tr>
      <w:tr>
        <w:trPr>
          <w:trHeight w:val="317" w:hRule="atLeast"/>
        </w:trPr>
        <w:tc>
          <w:tcPr>
            <w:tcW w:w="348" w:type="dxa"/>
            <w:vAlign w:val="top"/>
            <w:vMerge w:val="continue"/>
            <w:tcBorders>
              <w:top w:val="nil"/>
              <w:bottom w:val="nil"/>
            </w:tcBorders>
          </w:tcPr>
          <w:p>
            <w:pPr>
              <w:rPr>
                <w:rFonts w:ascii="Arial"/>
                <w:sz w:val="21"/>
              </w:rPr>
            </w:pPr>
            <w:r/>
          </w:p>
        </w:tc>
        <w:tc>
          <w:tcPr>
            <w:tcW w:w="1806" w:type="dxa"/>
            <w:vAlign w:val="top"/>
          </w:tcPr>
          <w:p>
            <w:pPr>
              <w:pStyle w:val="TableText"/>
              <w:ind w:left="180"/>
              <w:spacing w:before="53" w:line="221" w:lineRule="auto"/>
              <w:rPr/>
            </w:pPr>
            <w:r>
              <w:rPr>
                <w:rFonts w:ascii="Times New Roman" w:hAnsi="Times New Roman" w:eastAsia="Times New Roman" w:cs="Times New Roman"/>
                <w:spacing w:val="-1"/>
              </w:rPr>
              <w:t>1,</w:t>
            </w:r>
            <w:r>
              <w:rPr>
                <w:rFonts w:ascii="Times New Roman" w:hAnsi="Times New Roman" w:eastAsia="Times New Roman" w:cs="Times New Roman"/>
                <w:spacing w:val="-20"/>
              </w:rPr>
              <w:t xml:space="preserve"> </w:t>
            </w:r>
            <w:r>
              <w:rPr>
                <w:rFonts w:ascii="Times New Roman" w:hAnsi="Times New Roman" w:eastAsia="Times New Roman" w:cs="Times New Roman"/>
                <w:spacing w:val="-1"/>
              </w:rPr>
              <w:t>1,</w:t>
            </w:r>
            <w:r>
              <w:rPr>
                <w:rFonts w:ascii="Times New Roman" w:hAnsi="Times New Roman" w:eastAsia="Times New Roman" w:cs="Times New Roman"/>
                <w:spacing w:val="-25"/>
              </w:rPr>
              <w:t xml:space="preserve"> </w:t>
            </w:r>
            <w:r>
              <w:rPr>
                <w:rFonts w:ascii="Times New Roman" w:hAnsi="Times New Roman" w:eastAsia="Times New Roman" w:cs="Times New Roman"/>
                <w:spacing w:val="-1"/>
              </w:rPr>
              <w:t>1,2-</w:t>
            </w:r>
            <w:r>
              <w:rPr>
                <w:spacing w:val="-1"/>
              </w:rPr>
              <w:t>四氯乙烷</w:t>
            </w:r>
          </w:p>
        </w:tc>
        <w:tc>
          <w:tcPr>
            <w:tcW w:w="1075" w:type="dxa"/>
            <w:vAlign w:val="top"/>
          </w:tcPr>
          <w:p>
            <w:pPr>
              <w:ind w:left="157"/>
              <w:spacing w:before="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cBorders>
              <w:top w:val="nil"/>
              <w:bottom w:val="nil"/>
            </w:tcBorders>
          </w:tcPr>
          <w:p>
            <w:pPr>
              <w:rPr>
                <w:rFonts w:ascii="Arial"/>
                <w:sz w:val="21"/>
              </w:rPr>
            </w:pPr>
            <w:r/>
          </w:p>
        </w:tc>
        <w:tc>
          <w:tcPr>
            <w:tcW w:w="1806" w:type="dxa"/>
            <w:vAlign w:val="top"/>
          </w:tcPr>
          <w:p>
            <w:pPr>
              <w:pStyle w:val="TableText"/>
              <w:ind w:left="180"/>
              <w:spacing w:before="52" w:line="221" w:lineRule="auto"/>
              <w:rPr/>
            </w:pPr>
            <w:r>
              <w:rPr>
                <w:rFonts w:ascii="Times New Roman" w:hAnsi="Times New Roman" w:eastAsia="Times New Roman" w:cs="Times New Roman"/>
                <w:spacing w:val="1"/>
              </w:rPr>
              <w:t>1,</w:t>
            </w:r>
            <w:r>
              <w:rPr>
                <w:rFonts w:ascii="Times New Roman" w:hAnsi="Times New Roman" w:eastAsia="Times New Roman" w:cs="Times New Roman"/>
                <w:spacing w:val="-19"/>
              </w:rPr>
              <w:t xml:space="preserve"> </w:t>
            </w:r>
            <w:r>
              <w:rPr>
                <w:rFonts w:ascii="Times New Roman" w:hAnsi="Times New Roman" w:eastAsia="Times New Roman" w:cs="Times New Roman"/>
                <w:spacing w:val="1"/>
              </w:rPr>
              <w:t>1,2,2-</w:t>
            </w:r>
            <w:r>
              <w:rPr>
                <w:spacing w:val="1"/>
              </w:rPr>
              <w:t>四氯乙烷</w:t>
            </w:r>
          </w:p>
        </w:tc>
        <w:tc>
          <w:tcPr>
            <w:tcW w:w="1075" w:type="dxa"/>
            <w:vAlign w:val="top"/>
          </w:tcPr>
          <w:p>
            <w:pPr>
              <w:ind w:left="157"/>
              <w:spacing w:before="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cBorders>
              <w:top w:val="nil"/>
              <w:bottom w:val="nil"/>
            </w:tcBorders>
          </w:tcPr>
          <w:p>
            <w:pPr>
              <w:rPr>
                <w:rFonts w:ascii="Arial"/>
                <w:sz w:val="21"/>
              </w:rPr>
            </w:pPr>
            <w:r/>
          </w:p>
        </w:tc>
        <w:tc>
          <w:tcPr>
            <w:tcW w:w="1806" w:type="dxa"/>
            <w:vAlign w:val="top"/>
          </w:tcPr>
          <w:p>
            <w:pPr>
              <w:pStyle w:val="TableText"/>
              <w:ind w:left="507"/>
              <w:spacing w:before="52" w:line="228" w:lineRule="auto"/>
              <w:rPr/>
            </w:pPr>
            <w:r>
              <w:rPr>
                <w:spacing w:val="2"/>
              </w:rPr>
              <w:t>四氯乙烯</w:t>
            </w:r>
          </w:p>
        </w:tc>
        <w:tc>
          <w:tcPr>
            <w:tcW w:w="1075" w:type="dxa"/>
            <w:vAlign w:val="top"/>
          </w:tcPr>
          <w:p>
            <w:pPr>
              <w:ind w:left="157"/>
              <w:spacing w:before="8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cBorders>
              <w:top w:val="nil"/>
              <w:bottom w:val="nil"/>
            </w:tcBorders>
          </w:tcPr>
          <w:p>
            <w:pPr>
              <w:rPr>
                <w:rFonts w:ascii="Arial"/>
                <w:sz w:val="21"/>
              </w:rPr>
            </w:pPr>
            <w:r/>
          </w:p>
        </w:tc>
        <w:tc>
          <w:tcPr>
            <w:tcW w:w="1806" w:type="dxa"/>
            <w:vAlign w:val="top"/>
          </w:tcPr>
          <w:p>
            <w:pPr>
              <w:pStyle w:val="TableText"/>
              <w:ind w:left="259"/>
              <w:spacing w:before="51" w:line="221" w:lineRule="auto"/>
              <w:rPr/>
            </w:pPr>
            <w:r>
              <w:rPr>
                <w:rFonts w:ascii="Times New Roman" w:hAnsi="Times New Roman" w:eastAsia="Times New Roman" w:cs="Times New Roman"/>
                <w:spacing w:val="-2"/>
              </w:rPr>
              <w:t>1,</w:t>
            </w:r>
            <w:r>
              <w:rPr>
                <w:rFonts w:ascii="Times New Roman" w:hAnsi="Times New Roman" w:eastAsia="Times New Roman" w:cs="Times New Roman"/>
                <w:spacing w:val="-23"/>
              </w:rPr>
              <w:t xml:space="preserve"> </w:t>
            </w:r>
            <w:r>
              <w:rPr>
                <w:rFonts w:ascii="Times New Roman" w:hAnsi="Times New Roman" w:eastAsia="Times New Roman" w:cs="Times New Roman"/>
                <w:spacing w:val="-2"/>
              </w:rPr>
              <w:t>1,</w:t>
            </w:r>
            <w:r>
              <w:rPr>
                <w:rFonts w:ascii="Times New Roman" w:hAnsi="Times New Roman" w:eastAsia="Times New Roman" w:cs="Times New Roman"/>
                <w:spacing w:val="-25"/>
              </w:rPr>
              <w:t xml:space="preserve"> </w:t>
            </w:r>
            <w:r>
              <w:rPr>
                <w:rFonts w:ascii="Times New Roman" w:hAnsi="Times New Roman" w:eastAsia="Times New Roman" w:cs="Times New Roman"/>
                <w:spacing w:val="-2"/>
              </w:rPr>
              <w:t>1-</w:t>
            </w:r>
            <w:r>
              <w:rPr>
                <w:spacing w:val="-2"/>
              </w:rPr>
              <w:t>三氯乙烷</w:t>
            </w:r>
          </w:p>
        </w:tc>
        <w:tc>
          <w:tcPr>
            <w:tcW w:w="1075" w:type="dxa"/>
            <w:vAlign w:val="top"/>
          </w:tcPr>
          <w:p>
            <w:pPr>
              <w:ind w:left="157"/>
              <w:spacing w:before="8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cBorders>
              <w:top w:val="nil"/>
              <w:bottom w:val="nil"/>
            </w:tcBorders>
          </w:tcPr>
          <w:p>
            <w:pPr>
              <w:rPr>
                <w:rFonts w:ascii="Arial"/>
                <w:sz w:val="21"/>
              </w:rPr>
            </w:pPr>
            <w:r/>
          </w:p>
        </w:tc>
        <w:tc>
          <w:tcPr>
            <w:tcW w:w="1806" w:type="dxa"/>
            <w:vAlign w:val="top"/>
          </w:tcPr>
          <w:p>
            <w:pPr>
              <w:pStyle w:val="TableText"/>
              <w:ind w:left="259"/>
              <w:spacing w:before="51" w:line="221" w:lineRule="auto"/>
              <w:rPr/>
            </w:pPr>
            <w:r>
              <w:rPr>
                <w:rFonts w:ascii="Times New Roman" w:hAnsi="Times New Roman" w:eastAsia="Times New Roman" w:cs="Times New Roman"/>
              </w:rPr>
              <w:t>1,</w:t>
            </w:r>
            <w:r>
              <w:rPr>
                <w:rFonts w:ascii="Times New Roman" w:hAnsi="Times New Roman" w:eastAsia="Times New Roman" w:cs="Times New Roman"/>
                <w:spacing w:val="-18"/>
              </w:rPr>
              <w:t xml:space="preserve"> </w:t>
            </w:r>
            <w:r>
              <w:rPr>
                <w:rFonts w:ascii="Times New Roman" w:hAnsi="Times New Roman" w:eastAsia="Times New Roman" w:cs="Times New Roman"/>
              </w:rPr>
              <w:t>1,2-</w:t>
            </w:r>
            <w:r>
              <w:rPr/>
              <w:t>三氯乙烷</w:t>
            </w:r>
          </w:p>
        </w:tc>
        <w:tc>
          <w:tcPr>
            <w:tcW w:w="1075" w:type="dxa"/>
            <w:vAlign w:val="top"/>
          </w:tcPr>
          <w:p>
            <w:pPr>
              <w:ind w:left="157"/>
              <w:spacing w:before="8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cBorders>
              <w:top w:val="nil"/>
              <w:bottom w:val="nil"/>
            </w:tcBorders>
          </w:tcPr>
          <w:p>
            <w:pPr>
              <w:rPr>
                <w:rFonts w:ascii="Arial"/>
                <w:sz w:val="21"/>
              </w:rPr>
            </w:pPr>
            <w:r/>
          </w:p>
        </w:tc>
        <w:tc>
          <w:tcPr>
            <w:tcW w:w="1806" w:type="dxa"/>
            <w:vAlign w:val="top"/>
          </w:tcPr>
          <w:p>
            <w:pPr>
              <w:pStyle w:val="TableText"/>
              <w:ind w:left="487"/>
              <w:spacing w:before="51" w:line="228" w:lineRule="auto"/>
              <w:rPr/>
            </w:pPr>
            <w:r>
              <w:rPr>
                <w:spacing w:val="7"/>
              </w:rPr>
              <w:t>三氯乙烯</w:t>
            </w:r>
          </w:p>
        </w:tc>
        <w:tc>
          <w:tcPr>
            <w:tcW w:w="1075" w:type="dxa"/>
            <w:vAlign w:val="top"/>
          </w:tcPr>
          <w:p>
            <w:pPr>
              <w:ind w:left="157"/>
              <w:spacing w:before="8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cBorders>
              <w:top w:val="nil"/>
              <w:bottom w:val="nil"/>
            </w:tcBorders>
          </w:tcPr>
          <w:p>
            <w:pPr>
              <w:rPr>
                <w:rFonts w:ascii="Arial"/>
                <w:sz w:val="21"/>
              </w:rPr>
            </w:pPr>
            <w:r/>
          </w:p>
        </w:tc>
        <w:tc>
          <w:tcPr>
            <w:tcW w:w="1806" w:type="dxa"/>
            <w:vAlign w:val="top"/>
          </w:tcPr>
          <w:p>
            <w:pPr>
              <w:pStyle w:val="TableText"/>
              <w:ind w:left="259"/>
              <w:spacing w:before="53" w:line="221" w:lineRule="auto"/>
              <w:rPr/>
            </w:pPr>
            <w:r>
              <w:rPr>
                <w:rFonts w:ascii="Times New Roman" w:hAnsi="Times New Roman" w:eastAsia="Times New Roman" w:cs="Times New Roman"/>
                <w:spacing w:val="3"/>
              </w:rPr>
              <w:t>1,2,3-</w:t>
            </w:r>
            <w:r>
              <w:rPr>
                <w:spacing w:val="3"/>
              </w:rPr>
              <w:t>三氯丙烷</w:t>
            </w:r>
          </w:p>
        </w:tc>
        <w:tc>
          <w:tcPr>
            <w:tcW w:w="1075" w:type="dxa"/>
            <w:vAlign w:val="top"/>
          </w:tcPr>
          <w:p>
            <w:pPr>
              <w:ind w:left="157"/>
              <w:spacing w:before="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cBorders>
              <w:top w:val="nil"/>
              <w:bottom w:val="nil"/>
            </w:tcBorders>
          </w:tcPr>
          <w:p>
            <w:pPr>
              <w:rPr>
                <w:rFonts w:ascii="Arial"/>
                <w:sz w:val="21"/>
              </w:rPr>
            </w:pPr>
            <w:r/>
          </w:p>
        </w:tc>
        <w:tc>
          <w:tcPr>
            <w:tcW w:w="1806" w:type="dxa"/>
            <w:vAlign w:val="top"/>
          </w:tcPr>
          <w:p>
            <w:pPr>
              <w:pStyle w:val="TableText"/>
              <w:ind w:left="594"/>
              <w:spacing w:before="52" w:line="228" w:lineRule="auto"/>
              <w:rPr/>
            </w:pPr>
            <w:r>
              <w:rPr>
                <w:spacing w:val="5"/>
              </w:rPr>
              <w:t>氯乙烯</w:t>
            </w:r>
          </w:p>
        </w:tc>
        <w:tc>
          <w:tcPr>
            <w:tcW w:w="1075" w:type="dxa"/>
            <w:vAlign w:val="top"/>
          </w:tcPr>
          <w:p>
            <w:pPr>
              <w:ind w:left="157"/>
              <w:spacing w:before="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cBorders>
              <w:top w:val="nil"/>
              <w:bottom w:val="nil"/>
            </w:tcBorders>
          </w:tcPr>
          <w:p>
            <w:pPr>
              <w:rPr>
                <w:rFonts w:ascii="Arial"/>
                <w:sz w:val="21"/>
              </w:rPr>
            </w:pPr>
            <w:r/>
          </w:p>
        </w:tc>
        <w:tc>
          <w:tcPr>
            <w:tcW w:w="1806" w:type="dxa"/>
            <w:vAlign w:val="top"/>
          </w:tcPr>
          <w:p>
            <w:pPr>
              <w:pStyle w:val="TableText"/>
              <w:ind w:left="804"/>
              <w:spacing w:before="52" w:line="227" w:lineRule="auto"/>
              <w:rPr/>
            </w:pPr>
            <w:r>
              <w:rPr/>
              <w:t>苯</w:t>
            </w:r>
          </w:p>
        </w:tc>
        <w:tc>
          <w:tcPr>
            <w:tcW w:w="1075" w:type="dxa"/>
            <w:vAlign w:val="top"/>
          </w:tcPr>
          <w:p>
            <w:pPr>
              <w:ind w:left="157"/>
              <w:spacing w:before="8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1.9</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cBorders>
              <w:top w:val="nil"/>
              <w:bottom w:val="nil"/>
            </w:tcBorders>
          </w:tcPr>
          <w:p>
            <w:pPr>
              <w:rPr>
                <w:rFonts w:ascii="Arial"/>
                <w:sz w:val="21"/>
              </w:rPr>
            </w:pPr>
            <w:r/>
          </w:p>
        </w:tc>
        <w:tc>
          <w:tcPr>
            <w:tcW w:w="1806" w:type="dxa"/>
            <w:vAlign w:val="top"/>
          </w:tcPr>
          <w:p>
            <w:pPr>
              <w:pStyle w:val="TableText"/>
              <w:ind w:left="699"/>
              <w:spacing w:before="52" w:line="227" w:lineRule="auto"/>
              <w:rPr/>
            </w:pPr>
            <w:r>
              <w:rPr>
                <w:spacing w:val="3"/>
              </w:rPr>
              <w:t>氯苯</w:t>
            </w:r>
          </w:p>
        </w:tc>
        <w:tc>
          <w:tcPr>
            <w:tcW w:w="1075" w:type="dxa"/>
            <w:vAlign w:val="top"/>
          </w:tcPr>
          <w:p>
            <w:pPr>
              <w:ind w:left="157"/>
              <w:spacing w:before="8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cBorders>
              <w:top w:val="nil"/>
              <w:bottom w:val="nil"/>
            </w:tcBorders>
          </w:tcPr>
          <w:p>
            <w:pPr>
              <w:rPr>
                <w:rFonts w:ascii="Arial"/>
                <w:sz w:val="21"/>
              </w:rPr>
            </w:pPr>
            <w:r/>
          </w:p>
        </w:tc>
        <w:tc>
          <w:tcPr>
            <w:tcW w:w="1806" w:type="dxa"/>
            <w:vAlign w:val="top"/>
          </w:tcPr>
          <w:p>
            <w:pPr>
              <w:pStyle w:val="TableText"/>
              <w:ind w:left="441"/>
              <w:spacing w:before="51" w:line="221" w:lineRule="auto"/>
              <w:rPr/>
            </w:pPr>
            <w:r>
              <w:rPr>
                <w:rFonts w:ascii="Times New Roman" w:hAnsi="Times New Roman" w:eastAsia="Times New Roman" w:cs="Times New Roman"/>
                <w:spacing w:val="3"/>
              </w:rPr>
              <w:t>1,2-</w:t>
            </w:r>
            <w:r>
              <w:rPr>
                <w:spacing w:val="3"/>
              </w:rPr>
              <w:t>二氯苯</w:t>
            </w:r>
          </w:p>
        </w:tc>
        <w:tc>
          <w:tcPr>
            <w:tcW w:w="1075" w:type="dxa"/>
            <w:vAlign w:val="top"/>
          </w:tcPr>
          <w:p>
            <w:pPr>
              <w:ind w:left="157"/>
              <w:spacing w:before="8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1.5</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cBorders>
              <w:top w:val="nil"/>
              <w:bottom w:val="nil"/>
            </w:tcBorders>
          </w:tcPr>
          <w:p>
            <w:pPr>
              <w:rPr>
                <w:rFonts w:ascii="Arial"/>
                <w:sz w:val="21"/>
              </w:rPr>
            </w:pPr>
            <w:r/>
          </w:p>
        </w:tc>
        <w:tc>
          <w:tcPr>
            <w:tcW w:w="1806" w:type="dxa"/>
            <w:vAlign w:val="top"/>
          </w:tcPr>
          <w:p>
            <w:pPr>
              <w:pStyle w:val="TableText"/>
              <w:ind w:left="441"/>
              <w:spacing w:before="51" w:line="221" w:lineRule="auto"/>
              <w:rPr/>
            </w:pPr>
            <w:r>
              <w:rPr>
                <w:rFonts w:ascii="Times New Roman" w:hAnsi="Times New Roman" w:eastAsia="Times New Roman" w:cs="Times New Roman"/>
                <w:spacing w:val="3"/>
              </w:rPr>
              <w:t>1,4-</w:t>
            </w:r>
            <w:r>
              <w:rPr>
                <w:spacing w:val="3"/>
              </w:rPr>
              <w:t>二氯苯</w:t>
            </w:r>
          </w:p>
        </w:tc>
        <w:tc>
          <w:tcPr>
            <w:tcW w:w="1075" w:type="dxa"/>
            <w:vAlign w:val="top"/>
          </w:tcPr>
          <w:p>
            <w:pPr>
              <w:ind w:left="157"/>
              <w:spacing w:before="8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1.5</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cBorders>
              <w:top w:val="nil"/>
              <w:bottom w:val="nil"/>
            </w:tcBorders>
          </w:tcPr>
          <w:p>
            <w:pPr>
              <w:rPr>
                <w:rFonts w:ascii="Arial"/>
                <w:sz w:val="21"/>
              </w:rPr>
            </w:pPr>
            <w:r/>
          </w:p>
        </w:tc>
        <w:tc>
          <w:tcPr>
            <w:tcW w:w="1806" w:type="dxa"/>
            <w:vAlign w:val="top"/>
          </w:tcPr>
          <w:p>
            <w:pPr>
              <w:pStyle w:val="TableText"/>
              <w:ind w:left="717"/>
              <w:spacing w:before="53" w:line="227" w:lineRule="auto"/>
              <w:rPr/>
            </w:pPr>
            <w:r>
              <w:rPr>
                <w:spacing w:val="-6"/>
              </w:rPr>
              <w:t>乙苯</w:t>
            </w:r>
          </w:p>
        </w:tc>
        <w:tc>
          <w:tcPr>
            <w:tcW w:w="1075" w:type="dxa"/>
            <w:vAlign w:val="top"/>
          </w:tcPr>
          <w:p>
            <w:pPr>
              <w:ind w:left="157"/>
              <w:spacing w:before="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cBorders>
              <w:top w:val="nil"/>
              <w:bottom w:val="nil"/>
            </w:tcBorders>
          </w:tcPr>
          <w:p>
            <w:pPr>
              <w:rPr>
                <w:rFonts w:ascii="Arial"/>
                <w:sz w:val="21"/>
              </w:rPr>
            </w:pPr>
            <w:r/>
          </w:p>
        </w:tc>
        <w:tc>
          <w:tcPr>
            <w:tcW w:w="1806" w:type="dxa"/>
            <w:vAlign w:val="top"/>
          </w:tcPr>
          <w:p>
            <w:pPr>
              <w:pStyle w:val="TableText"/>
              <w:ind w:left="593"/>
              <w:spacing w:before="52" w:line="227" w:lineRule="auto"/>
              <w:rPr/>
            </w:pPr>
            <w:r>
              <w:rPr>
                <w:spacing w:val="6"/>
              </w:rPr>
              <w:t>苯乙烯</w:t>
            </w:r>
          </w:p>
        </w:tc>
        <w:tc>
          <w:tcPr>
            <w:tcW w:w="1075" w:type="dxa"/>
            <w:vAlign w:val="top"/>
          </w:tcPr>
          <w:p>
            <w:pPr>
              <w:ind w:left="157"/>
              <w:spacing w:before="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w:t>
            </w:r>
            <w:r>
              <w:rPr>
                <w:rFonts w:ascii="Times New Roman" w:hAnsi="Times New Roman" w:eastAsia="Times New Roman" w:cs="Times New Roman"/>
                <w:sz w:val="20"/>
                <w:szCs w:val="20"/>
                <w:spacing w:val="16"/>
                <w:w w:val="101"/>
              </w:rPr>
              <w:t xml:space="preserve"> </w:t>
            </w:r>
            <w:r>
              <w:rPr>
                <w:rFonts w:ascii="Times New Roman" w:hAnsi="Times New Roman" w:eastAsia="Times New Roman" w:cs="Times New Roman"/>
                <w:sz w:val="20"/>
                <w:szCs w:val="20"/>
                <w:spacing w:val="-4"/>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cBorders>
              <w:top w:val="nil"/>
              <w:bottom w:val="nil"/>
            </w:tcBorders>
          </w:tcPr>
          <w:p>
            <w:pPr>
              <w:rPr>
                <w:rFonts w:ascii="Arial"/>
                <w:sz w:val="21"/>
              </w:rPr>
            </w:pPr>
            <w:r/>
          </w:p>
        </w:tc>
        <w:tc>
          <w:tcPr>
            <w:tcW w:w="1806" w:type="dxa"/>
            <w:vAlign w:val="top"/>
          </w:tcPr>
          <w:p>
            <w:pPr>
              <w:pStyle w:val="TableText"/>
              <w:ind w:left="723"/>
              <w:spacing w:before="52" w:line="227" w:lineRule="auto"/>
              <w:rPr/>
            </w:pPr>
            <w:r>
              <w:rPr>
                <w:spacing w:val="-9"/>
              </w:rPr>
              <w:t>甲苯</w:t>
            </w:r>
          </w:p>
        </w:tc>
        <w:tc>
          <w:tcPr>
            <w:tcW w:w="1075" w:type="dxa"/>
            <w:vAlign w:val="top"/>
          </w:tcPr>
          <w:p>
            <w:pPr>
              <w:ind w:left="157"/>
              <w:spacing w:before="8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628" w:hRule="atLeast"/>
        </w:trPr>
        <w:tc>
          <w:tcPr>
            <w:tcW w:w="348" w:type="dxa"/>
            <w:vAlign w:val="top"/>
            <w:vMerge w:val="continue"/>
            <w:tcBorders>
              <w:top w:val="nil"/>
              <w:bottom w:val="nil"/>
            </w:tcBorders>
          </w:tcPr>
          <w:p>
            <w:pPr>
              <w:rPr>
                <w:rFonts w:ascii="Arial"/>
                <w:sz w:val="21"/>
              </w:rPr>
            </w:pPr>
            <w:r/>
          </w:p>
        </w:tc>
        <w:tc>
          <w:tcPr>
            <w:tcW w:w="1806" w:type="dxa"/>
            <w:vAlign w:val="top"/>
          </w:tcPr>
          <w:p>
            <w:pPr>
              <w:pStyle w:val="TableText"/>
              <w:ind w:left="803" w:right="109" w:hanging="674"/>
              <w:spacing w:before="52" w:line="261" w:lineRule="auto"/>
              <w:rPr/>
            </w:pPr>
            <w:r>
              <w:rPr>
                <w:spacing w:val="6"/>
              </w:rPr>
              <w:t>间二甲苯</w:t>
            </w:r>
            <w:r>
              <w:rPr>
                <w:rFonts w:ascii="Times New Roman" w:hAnsi="Times New Roman" w:eastAsia="Times New Roman" w:cs="Times New Roman"/>
                <w:spacing w:val="6"/>
              </w:rPr>
              <w:t>+</w:t>
            </w:r>
            <w:r>
              <w:rPr>
                <w:spacing w:val="6"/>
              </w:rPr>
              <w:t>对二甲</w:t>
            </w:r>
            <w:r>
              <w:rPr/>
              <w:t xml:space="preserve"> </w:t>
            </w:r>
            <w:r>
              <w:rPr/>
              <w:t>苯</w:t>
            </w:r>
          </w:p>
        </w:tc>
        <w:tc>
          <w:tcPr>
            <w:tcW w:w="1075" w:type="dxa"/>
            <w:vAlign w:val="top"/>
          </w:tcPr>
          <w:p>
            <w:pPr>
              <w:ind w:left="157"/>
              <w:spacing w:before="240"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cBorders>
              <w:top w:val="nil"/>
            </w:tcBorders>
          </w:tcPr>
          <w:p>
            <w:pPr>
              <w:rPr>
                <w:rFonts w:ascii="Arial"/>
                <w:sz w:val="21"/>
              </w:rPr>
            </w:pPr>
            <w:r/>
          </w:p>
        </w:tc>
        <w:tc>
          <w:tcPr>
            <w:tcW w:w="1806" w:type="dxa"/>
            <w:vAlign w:val="top"/>
          </w:tcPr>
          <w:p>
            <w:pPr>
              <w:pStyle w:val="TableText"/>
              <w:ind w:left="486"/>
              <w:spacing w:before="52" w:line="227" w:lineRule="auto"/>
              <w:rPr/>
            </w:pPr>
            <w:r>
              <w:rPr>
                <w:spacing w:val="7"/>
              </w:rPr>
              <w:t>邻二甲苯</w:t>
            </w:r>
          </w:p>
        </w:tc>
        <w:tc>
          <w:tcPr>
            <w:tcW w:w="1075" w:type="dxa"/>
            <w:vAlign w:val="top"/>
          </w:tcPr>
          <w:p>
            <w:pPr>
              <w:ind w:left="157"/>
              <w:spacing w:before="8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w:t>
            </w:r>
            <w:r>
              <w:rPr>
                <w:rFonts w:ascii="Times New Roman" w:hAnsi="Times New Roman" w:eastAsia="Times New Roman" w:cs="Times New Roman"/>
                <w:sz w:val="20"/>
                <w:szCs w:val="20"/>
                <w:spacing w:val="17"/>
                <w:w w:val="101"/>
              </w:rPr>
              <w:t xml:space="preserve"> </w:t>
            </w:r>
            <w:r>
              <w:rPr>
                <w:rFonts w:ascii="Times New Roman" w:hAnsi="Times New Roman" w:eastAsia="Times New Roman" w:cs="Times New Roman"/>
                <w:sz w:val="20"/>
                <w:szCs w:val="20"/>
                <w:spacing w:val="-1"/>
              </w:rPr>
              <w:t>μg/kg</w:t>
            </w:r>
          </w:p>
        </w:tc>
        <w:tc>
          <w:tcPr>
            <w:tcW w:w="3291" w:type="dxa"/>
            <w:vAlign w:val="top"/>
            <w:vMerge w:val="continue"/>
            <w:tcBorders>
              <w:top w:val="nil"/>
            </w:tcBorders>
          </w:tcPr>
          <w:p>
            <w:pPr>
              <w:rPr>
                <w:rFonts w:ascii="Arial"/>
                <w:sz w:val="21"/>
              </w:rPr>
            </w:pPr>
            <w:r/>
          </w:p>
        </w:tc>
        <w:tc>
          <w:tcPr>
            <w:tcW w:w="1995" w:type="dxa"/>
            <w:vAlign w:val="top"/>
            <w:vMerge w:val="continue"/>
            <w:tcBorders>
              <w:top w:val="nil"/>
            </w:tcBorders>
          </w:tcPr>
          <w:p>
            <w:pPr>
              <w:rPr>
                <w:rFonts w:ascii="Arial"/>
                <w:sz w:val="21"/>
              </w:rPr>
            </w:pPr>
            <w:r/>
          </w:p>
        </w:tc>
      </w:tr>
      <w:tr>
        <w:trPr>
          <w:trHeight w:val="317" w:hRule="atLeast"/>
        </w:trPr>
        <w:tc>
          <w:tcPr>
            <w:tcW w:w="348" w:type="dxa"/>
            <w:vAlign w:val="top"/>
            <w:vMerge w:val="restart"/>
            <w:textDirection w:val="tbRlV"/>
            <w:tcBorders>
              <w:bottom w:val="nil"/>
            </w:tcBorders>
          </w:tcPr>
          <w:p>
            <w:pPr>
              <w:pStyle w:val="TableText"/>
              <w:ind w:left="726"/>
              <w:spacing w:before="66" w:line="216" w:lineRule="auto"/>
              <w:rPr/>
            </w:pPr>
            <w:r>
              <w:rPr>
                <w:spacing w:val="6"/>
              </w:rPr>
              <w:t>半 挥 发 性 有 机 物</w:t>
            </w:r>
          </w:p>
        </w:tc>
        <w:tc>
          <w:tcPr>
            <w:tcW w:w="1806" w:type="dxa"/>
            <w:vAlign w:val="top"/>
          </w:tcPr>
          <w:p>
            <w:pPr>
              <w:pStyle w:val="TableText"/>
              <w:ind w:left="592"/>
              <w:spacing w:before="52" w:line="227" w:lineRule="auto"/>
              <w:rPr/>
            </w:pPr>
            <w:r>
              <w:rPr>
                <w:spacing w:val="6"/>
              </w:rPr>
              <w:t>硝基苯</w:t>
            </w:r>
          </w:p>
        </w:tc>
        <w:tc>
          <w:tcPr>
            <w:tcW w:w="1075" w:type="dxa"/>
            <w:vAlign w:val="top"/>
          </w:tcPr>
          <w:p>
            <w:pPr>
              <w:ind w:left="63"/>
              <w:spacing w:before="8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0.09 </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5"/>
              </w:rPr>
              <w:t>/</w:t>
            </w:r>
            <w:r>
              <w:rPr>
                <w:rFonts w:ascii="Times New Roman" w:hAnsi="Times New Roman" w:eastAsia="Times New Roman" w:cs="Times New Roman"/>
                <w:sz w:val="20"/>
                <w:szCs w:val="20"/>
              </w:rPr>
              <w:t>kg</w:t>
            </w:r>
          </w:p>
        </w:tc>
        <w:tc>
          <w:tcPr>
            <w:tcW w:w="3291" w:type="dxa"/>
            <w:vAlign w:val="top"/>
            <w:vMerge w:val="restart"/>
            <w:tcBorders>
              <w:bottom w:val="nil"/>
            </w:tcBorders>
          </w:tcPr>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6" w:lineRule="auto"/>
              <w:rPr>
                <w:rFonts w:ascii="Arial"/>
                <w:sz w:val="21"/>
              </w:rPr>
            </w:pPr>
            <w:r/>
          </w:p>
          <w:p>
            <w:pPr>
              <w:spacing w:line="256" w:lineRule="auto"/>
              <w:rPr>
                <w:rFonts w:ascii="Arial"/>
                <w:sz w:val="21"/>
              </w:rPr>
            </w:pPr>
            <w:r/>
          </w:p>
          <w:p>
            <w:pPr>
              <w:pStyle w:val="TableText"/>
              <w:ind w:left="187"/>
              <w:spacing w:before="65" w:line="227" w:lineRule="auto"/>
              <w:rPr/>
            </w:pPr>
            <w:r>
              <w:rPr>
                <w:spacing w:val="8"/>
              </w:rPr>
              <w:t>《土壤和沉积物 半挥发性有机物</w:t>
            </w:r>
          </w:p>
          <w:p>
            <w:pPr>
              <w:pStyle w:val="TableText"/>
              <w:ind w:left="280"/>
              <w:spacing w:before="66" w:line="227" w:lineRule="auto"/>
              <w:rPr>
                <w:rFonts w:ascii="Times New Roman" w:hAnsi="Times New Roman" w:eastAsia="Times New Roman" w:cs="Times New Roman"/>
              </w:rPr>
            </w:pPr>
            <w:r>
              <w:rPr>
                <w:spacing w:val="7"/>
              </w:rPr>
              <w:t>的测定 气相色谱</w:t>
            </w:r>
            <w:r>
              <w:rPr>
                <w:rFonts w:ascii="Times New Roman" w:hAnsi="Times New Roman" w:eastAsia="Times New Roman" w:cs="Times New Roman"/>
                <w:spacing w:val="7"/>
              </w:rPr>
              <w:t>-</w:t>
            </w:r>
            <w:r>
              <w:rPr>
                <w:spacing w:val="7"/>
              </w:rPr>
              <w:t>质谱法》</w:t>
            </w:r>
            <w:r>
              <w:rPr>
                <w:rFonts w:ascii="Times New Roman" w:hAnsi="Times New Roman" w:eastAsia="Times New Roman" w:cs="Times New Roman"/>
                <w:spacing w:val="7"/>
              </w:rPr>
              <w:t>/</w:t>
            </w:r>
            <w:r>
              <w:rPr>
                <w:rFonts w:ascii="Times New Roman" w:hAnsi="Times New Roman" w:eastAsia="Times New Roman" w:cs="Times New Roman"/>
              </w:rPr>
              <w:t>HJ</w:t>
            </w:r>
          </w:p>
          <w:p>
            <w:pPr>
              <w:ind w:left="1254"/>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834-2017</w:t>
            </w:r>
          </w:p>
        </w:tc>
        <w:tc>
          <w:tcPr>
            <w:tcW w:w="1995" w:type="dxa"/>
            <w:vAlign w:val="top"/>
            <w:vMerge w:val="restart"/>
            <w:tcBorders>
              <w:bottom w:val="nil"/>
            </w:tcBorders>
          </w:tcPr>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6" w:lineRule="auto"/>
              <w:rPr>
                <w:rFonts w:ascii="Arial"/>
                <w:sz w:val="21"/>
              </w:rPr>
            </w:pPr>
            <w:r/>
          </w:p>
          <w:p>
            <w:pPr>
              <w:spacing w:line="256" w:lineRule="auto"/>
              <w:rPr>
                <w:rFonts w:ascii="Arial"/>
                <w:sz w:val="21"/>
              </w:rPr>
            </w:pPr>
            <w:r/>
          </w:p>
          <w:p>
            <w:pPr>
              <w:pStyle w:val="TableText"/>
              <w:ind w:left="129"/>
              <w:spacing w:before="65" w:line="227" w:lineRule="auto"/>
              <w:rPr/>
            </w:pPr>
            <w:r>
              <w:rPr>
                <w:spacing w:val="7"/>
              </w:rPr>
              <w:t>气相色谱</w:t>
            </w:r>
            <w:r>
              <w:rPr>
                <w:rFonts w:ascii="Times New Roman" w:hAnsi="Times New Roman" w:eastAsia="Times New Roman" w:cs="Times New Roman"/>
                <w:spacing w:val="7"/>
              </w:rPr>
              <w:t>-</w:t>
            </w:r>
            <w:r>
              <w:rPr>
                <w:spacing w:val="7"/>
              </w:rPr>
              <w:t>质联用仪</w:t>
            </w:r>
          </w:p>
          <w:p>
            <w:pPr>
              <w:pStyle w:val="TableText"/>
              <w:ind w:left="305"/>
              <w:spacing w:before="98" w:line="186" w:lineRule="auto"/>
              <w:rPr/>
            </w:pPr>
            <w:r>
              <w:rPr>
                <w:rFonts w:ascii="Times New Roman" w:hAnsi="Times New Roman" w:eastAsia="Times New Roman" w:cs="Times New Roman"/>
                <w:spacing w:val="3"/>
              </w:rPr>
              <w:t>5975C/6890N</w:t>
            </w:r>
            <w:r>
              <w:rPr>
                <w:spacing w:val="3"/>
              </w:rPr>
              <w:t>、</w:t>
            </w:r>
          </w:p>
          <w:p>
            <w:pPr>
              <w:ind w:left="652"/>
              <w:spacing w:before="113" w:line="19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YQ</w:t>
            </w:r>
            <w:r>
              <w:rPr>
                <w:rFonts w:ascii="Times New Roman" w:hAnsi="Times New Roman" w:eastAsia="Times New Roman" w:cs="Times New Roman"/>
                <w:sz w:val="20"/>
                <w:szCs w:val="20"/>
                <w:spacing w:val="7"/>
              </w:rPr>
              <w:t>-169</w:t>
            </w:r>
          </w:p>
        </w:tc>
      </w:tr>
      <w:tr>
        <w:trPr>
          <w:trHeight w:val="317" w:hRule="atLeast"/>
        </w:trPr>
        <w:tc>
          <w:tcPr>
            <w:tcW w:w="348" w:type="dxa"/>
            <w:vAlign w:val="top"/>
            <w:vMerge w:val="continue"/>
            <w:textDirection w:val="tbRlV"/>
            <w:tcBorders>
              <w:top w:val="nil"/>
              <w:bottom w:val="nil"/>
            </w:tcBorders>
          </w:tcPr>
          <w:p>
            <w:pPr>
              <w:rPr>
                <w:rFonts w:ascii="Arial"/>
                <w:sz w:val="21"/>
              </w:rPr>
            </w:pPr>
            <w:r/>
          </w:p>
        </w:tc>
        <w:tc>
          <w:tcPr>
            <w:tcW w:w="1806" w:type="dxa"/>
            <w:vAlign w:val="top"/>
          </w:tcPr>
          <w:p>
            <w:pPr>
              <w:pStyle w:val="TableText"/>
              <w:ind w:left="699"/>
              <w:spacing w:before="54" w:line="227" w:lineRule="auto"/>
              <w:rPr/>
            </w:pPr>
            <w:r>
              <w:rPr>
                <w:spacing w:val="3"/>
              </w:rPr>
              <w:t>苯胺</w:t>
            </w:r>
          </w:p>
        </w:tc>
        <w:tc>
          <w:tcPr>
            <w:tcW w:w="1075" w:type="dxa"/>
            <w:vAlign w:val="top"/>
          </w:tcPr>
          <w:p>
            <w:pPr>
              <w:ind w:left="63"/>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0.08 </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5"/>
              </w:rPr>
              <w:t>/</w:t>
            </w:r>
            <w:r>
              <w:rPr>
                <w:rFonts w:ascii="Times New Roman" w:hAnsi="Times New Roman" w:eastAsia="Times New Roman" w:cs="Times New Roman"/>
                <w:sz w:val="20"/>
                <w:szCs w:val="20"/>
              </w:rPr>
              <w:t>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extDirection w:val="tbRlV"/>
            <w:tcBorders>
              <w:top w:val="nil"/>
              <w:bottom w:val="nil"/>
            </w:tcBorders>
          </w:tcPr>
          <w:p>
            <w:pPr>
              <w:rPr>
                <w:rFonts w:ascii="Arial"/>
                <w:sz w:val="21"/>
              </w:rPr>
            </w:pPr>
            <w:r/>
          </w:p>
        </w:tc>
        <w:tc>
          <w:tcPr>
            <w:tcW w:w="1806" w:type="dxa"/>
            <w:vAlign w:val="top"/>
          </w:tcPr>
          <w:p>
            <w:pPr>
              <w:pStyle w:val="TableText"/>
              <w:ind w:left="606"/>
              <w:spacing w:before="53" w:line="228" w:lineRule="auto"/>
              <w:rPr/>
            </w:pPr>
            <w:r>
              <w:rPr>
                <w:rFonts w:ascii="Times New Roman" w:hAnsi="Times New Roman" w:eastAsia="Times New Roman" w:cs="Times New Roman"/>
                <w:spacing w:val="4"/>
              </w:rPr>
              <w:t>2-</w:t>
            </w:r>
            <w:r>
              <w:rPr>
                <w:spacing w:val="4"/>
              </w:rPr>
              <w:t>氯酚</w:t>
            </w:r>
          </w:p>
        </w:tc>
        <w:tc>
          <w:tcPr>
            <w:tcW w:w="1075" w:type="dxa"/>
            <w:vAlign w:val="top"/>
          </w:tcPr>
          <w:p>
            <w:pPr>
              <w:ind w:left="63"/>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0.06 </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5"/>
              </w:rPr>
              <w:t>/</w:t>
            </w:r>
            <w:r>
              <w:rPr>
                <w:rFonts w:ascii="Times New Roman" w:hAnsi="Times New Roman" w:eastAsia="Times New Roman" w:cs="Times New Roman"/>
                <w:sz w:val="20"/>
                <w:szCs w:val="20"/>
              </w:rPr>
              <w:t>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extDirection w:val="tbRlV"/>
            <w:tcBorders>
              <w:top w:val="nil"/>
              <w:bottom w:val="nil"/>
            </w:tcBorders>
          </w:tcPr>
          <w:p>
            <w:pPr>
              <w:rPr>
                <w:rFonts w:ascii="Arial"/>
                <w:sz w:val="21"/>
              </w:rPr>
            </w:pPr>
            <w:r/>
          </w:p>
        </w:tc>
        <w:tc>
          <w:tcPr>
            <w:tcW w:w="1806" w:type="dxa"/>
            <w:vAlign w:val="top"/>
          </w:tcPr>
          <w:p>
            <w:pPr>
              <w:pStyle w:val="TableText"/>
              <w:ind w:left="478"/>
              <w:spacing w:before="53" w:line="221" w:lineRule="auto"/>
              <w:rPr/>
            </w:pPr>
            <w:r>
              <w:rPr>
                <w:spacing w:val="4"/>
              </w:rPr>
              <w:t>苯并</w:t>
            </w:r>
            <w:r>
              <w:rPr>
                <w:rFonts w:ascii="Times New Roman" w:hAnsi="Times New Roman" w:eastAsia="Times New Roman" w:cs="Times New Roman"/>
                <w:spacing w:val="4"/>
              </w:rPr>
              <w:t>[a]</w:t>
            </w:r>
            <w:r>
              <w:rPr>
                <w:spacing w:val="4"/>
              </w:rPr>
              <w:t>蒽</w:t>
            </w:r>
          </w:p>
        </w:tc>
        <w:tc>
          <w:tcPr>
            <w:tcW w:w="1075" w:type="dxa"/>
            <w:vAlign w:val="top"/>
          </w:tcPr>
          <w:p>
            <w:pPr>
              <w:ind w:left="116"/>
              <w:spacing w:before="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z w:val="20"/>
                <w:szCs w:val="20"/>
                <w:spacing w:val="-22"/>
              </w:rPr>
              <w:t xml:space="preserve"> </w:t>
            </w:r>
            <w:r>
              <w:rPr>
                <w:rFonts w:ascii="Times New Roman" w:hAnsi="Times New Roman" w:eastAsia="Times New Roman" w:cs="Times New Roman"/>
                <w:sz w:val="20"/>
                <w:szCs w:val="20"/>
              </w:rPr>
              <w:t>1 mg/kg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extDirection w:val="tbRlV"/>
            <w:tcBorders>
              <w:top w:val="nil"/>
              <w:bottom w:val="nil"/>
            </w:tcBorders>
          </w:tcPr>
          <w:p>
            <w:pPr>
              <w:rPr>
                <w:rFonts w:ascii="Arial"/>
                <w:sz w:val="21"/>
              </w:rPr>
            </w:pPr>
            <w:r/>
          </w:p>
        </w:tc>
        <w:tc>
          <w:tcPr>
            <w:tcW w:w="1806" w:type="dxa"/>
            <w:vAlign w:val="top"/>
          </w:tcPr>
          <w:p>
            <w:pPr>
              <w:pStyle w:val="TableText"/>
              <w:ind w:left="478"/>
              <w:spacing w:before="53" w:line="221" w:lineRule="auto"/>
              <w:rPr/>
            </w:pPr>
            <w:r>
              <w:rPr>
                <w:spacing w:val="4"/>
              </w:rPr>
              <w:t>苯并</w:t>
            </w:r>
            <w:r>
              <w:rPr>
                <w:rFonts w:ascii="Times New Roman" w:hAnsi="Times New Roman" w:eastAsia="Times New Roman" w:cs="Times New Roman"/>
                <w:spacing w:val="4"/>
              </w:rPr>
              <w:t>[a]</w:t>
            </w:r>
            <w:r>
              <w:rPr>
                <w:spacing w:val="4"/>
              </w:rPr>
              <w:t>芘</w:t>
            </w:r>
          </w:p>
        </w:tc>
        <w:tc>
          <w:tcPr>
            <w:tcW w:w="1075" w:type="dxa"/>
            <w:vAlign w:val="top"/>
          </w:tcPr>
          <w:p>
            <w:pPr>
              <w:ind w:left="116"/>
              <w:spacing w:before="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z w:val="20"/>
                <w:szCs w:val="20"/>
                <w:spacing w:val="-22"/>
              </w:rPr>
              <w:t xml:space="preserve"> </w:t>
            </w:r>
            <w:r>
              <w:rPr>
                <w:rFonts w:ascii="Times New Roman" w:hAnsi="Times New Roman" w:eastAsia="Times New Roman" w:cs="Times New Roman"/>
                <w:sz w:val="20"/>
                <w:szCs w:val="20"/>
              </w:rPr>
              <w:t>1 mg/kg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extDirection w:val="tbRlV"/>
            <w:tcBorders>
              <w:top w:val="nil"/>
              <w:bottom w:val="nil"/>
            </w:tcBorders>
          </w:tcPr>
          <w:p>
            <w:pPr>
              <w:rPr>
                <w:rFonts w:ascii="Arial"/>
                <w:sz w:val="21"/>
              </w:rPr>
            </w:pPr>
            <w:r/>
          </w:p>
        </w:tc>
        <w:tc>
          <w:tcPr>
            <w:tcW w:w="1806" w:type="dxa"/>
            <w:vAlign w:val="top"/>
          </w:tcPr>
          <w:p>
            <w:pPr>
              <w:pStyle w:val="TableText"/>
              <w:ind w:left="367"/>
              <w:spacing w:before="52" w:line="221" w:lineRule="auto"/>
              <w:rPr/>
            </w:pPr>
            <w:r>
              <w:rPr>
                <w:spacing w:val="5"/>
              </w:rPr>
              <w:t>苯并</w:t>
            </w:r>
            <w:r>
              <w:rPr>
                <w:rFonts w:ascii="Times New Roman" w:hAnsi="Times New Roman" w:eastAsia="Times New Roman" w:cs="Times New Roman"/>
                <w:spacing w:val="5"/>
              </w:rPr>
              <w:t>[b]</w:t>
            </w:r>
            <w:r>
              <w:rPr>
                <w:spacing w:val="5"/>
              </w:rPr>
              <w:t>荧蒽</w:t>
            </w:r>
          </w:p>
        </w:tc>
        <w:tc>
          <w:tcPr>
            <w:tcW w:w="1075" w:type="dxa"/>
            <w:vAlign w:val="top"/>
          </w:tcPr>
          <w:p>
            <w:pPr>
              <w:ind w:left="116"/>
              <w:spacing w:before="8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0.2 </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5"/>
              </w:rPr>
              <w:t>/</w:t>
            </w:r>
            <w:r>
              <w:rPr>
                <w:rFonts w:ascii="Times New Roman" w:hAnsi="Times New Roman" w:eastAsia="Times New Roman" w:cs="Times New Roman"/>
                <w:sz w:val="20"/>
                <w:szCs w:val="20"/>
              </w:rPr>
              <w:t>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extDirection w:val="tbRlV"/>
            <w:tcBorders>
              <w:top w:val="nil"/>
              <w:bottom w:val="nil"/>
            </w:tcBorders>
          </w:tcPr>
          <w:p>
            <w:pPr>
              <w:rPr>
                <w:rFonts w:ascii="Arial"/>
                <w:sz w:val="21"/>
              </w:rPr>
            </w:pPr>
            <w:r/>
          </w:p>
        </w:tc>
        <w:tc>
          <w:tcPr>
            <w:tcW w:w="1806" w:type="dxa"/>
            <w:vAlign w:val="top"/>
          </w:tcPr>
          <w:p>
            <w:pPr>
              <w:pStyle w:val="TableText"/>
              <w:ind w:left="367"/>
              <w:spacing w:before="52" w:line="221" w:lineRule="auto"/>
              <w:rPr/>
            </w:pPr>
            <w:r>
              <w:rPr>
                <w:spacing w:val="5"/>
              </w:rPr>
              <w:t>苯并</w:t>
            </w:r>
            <w:r>
              <w:rPr>
                <w:rFonts w:ascii="Times New Roman" w:hAnsi="Times New Roman" w:eastAsia="Times New Roman" w:cs="Times New Roman"/>
                <w:spacing w:val="5"/>
              </w:rPr>
              <w:t>[k]</w:t>
            </w:r>
            <w:r>
              <w:rPr>
                <w:spacing w:val="5"/>
              </w:rPr>
              <w:t>荧蒽</w:t>
            </w:r>
          </w:p>
        </w:tc>
        <w:tc>
          <w:tcPr>
            <w:tcW w:w="1075" w:type="dxa"/>
            <w:vAlign w:val="top"/>
          </w:tcPr>
          <w:p>
            <w:pPr>
              <w:ind w:left="116"/>
              <w:spacing w:before="8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z w:val="20"/>
                <w:szCs w:val="20"/>
                <w:spacing w:val="-22"/>
              </w:rPr>
              <w:t xml:space="preserve"> </w:t>
            </w:r>
            <w:r>
              <w:rPr>
                <w:rFonts w:ascii="Times New Roman" w:hAnsi="Times New Roman" w:eastAsia="Times New Roman" w:cs="Times New Roman"/>
                <w:sz w:val="20"/>
                <w:szCs w:val="20"/>
              </w:rPr>
              <w:t>1 mg/kg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extDirection w:val="tbRlV"/>
            <w:tcBorders>
              <w:top w:val="nil"/>
              <w:bottom w:val="nil"/>
            </w:tcBorders>
          </w:tcPr>
          <w:p>
            <w:pPr>
              <w:rPr>
                <w:rFonts w:ascii="Arial"/>
                <w:sz w:val="21"/>
              </w:rPr>
            </w:pPr>
            <w:r/>
          </w:p>
        </w:tc>
        <w:tc>
          <w:tcPr>
            <w:tcW w:w="1806" w:type="dxa"/>
            <w:vAlign w:val="top"/>
          </w:tcPr>
          <w:p>
            <w:pPr>
              <w:pStyle w:val="TableText"/>
              <w:ind w:left="800"/>
              <w:spacing w:before="54" w:line="229" w:lineRule="auto"/>
              <w:rPr/>
            </w:pPr>
            <w:r>
              <w:rPr>
                <w:spacing w:val="2"/>
              </w:rPr>
              <w:t>䓛</w:t>
            </w:r>
          </w:p>
        </w:tc>
        <w:tc>
          <w:tcPr>
            <w:tcW w:w="1075" w:type="dxa"/>
            <w:vAlign w:val="top"/>
          </w:tcPr>
          <w:p>
            <w:pPr>
              <w:ind w:left="116"/>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z w:val="20"/>
                <w:szCs w:val="20"/>
                <w:spacing w:val="-22"/>
              </w:rPr>
              <w:t xml:space="preserve"> </w:t>
            </w:r>
            <w:r>
              <w:rPr>
                <w:rFonts w:ascii="Times New Roman" w:hAnsi="Times New Roman" w:eastAsia="Times New Roman" w:cs="Times New Roman"/>
                <w:sz w:val="20"/>
                <w:szCs w:val="20"/>
              </w:rPr>
              <w:t>1 mg/kg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extDirection w:val="tbRlV"/>
            <w:tcBorders>
              <w:top w:val="nil"/>
              <w:bottom w:val="nil"/>
            </w:tcBorders>
          </w:tcPr>
          <w:p>
            <w:pPr>
              <w:rPr>
                <w:rFonts w:ascii="Arial"/>
                <w:sz w:val="21"/>
              </w:rPr>
            </w:pPr>
            <w:r/>
          </w:p>
        </w:tc>
        <w:tc>
          <w:tcPr>
            <w:tcW w:w="1806" w:type="dxa"/>
            <w:vAlign w:val="top"/>
          </w:tcPr>
          <w:p>
            <w:pPr>
              <w:pStyle w:val="TableText"/>
              <w:ind w:left="294"/>
              <w:spacing w:before="53" w:line="221" w:lineRule="auto"/>
              <w:rPr/>
            </w:pPr>
            <w:r>
              <w:rPr>
                <w:spacing w:val="5"/>
              </w:rPr>
              <w:t>二苯并</w:t>
            </w:r>
            <w:r>
              <w:rPr>
                <w:rFonts w:ascii="Times New Roman" w:hAnsi="Times New Roman" w:eastAsia="Times New Roman" w:cs="Times New Roman"/>
                <w:spacing w:val="5"/>
              </w:rPr>
              <w:t>[a,h]</w:t>
            </w:r>
            <w:r>
              <w:rPr>
                <w:spacing w:val="5"/>
              </w:rPr>
              <w:t>蒽</w:t>
            </w:r>
          </w:p>
        </w:tc>
        <w:tc>
          <w:tcPr>
            <w:tcW w:w="1075" w:type="dxa"/>
            <w:vAlign w:val="top"/>
          </w:tcPr>
          <w:p>
            <w:pPr>
              <w:ind w:left="116"/>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z w:val="20"/>
                <w:szCs w:val="20"/>
                <w:spacing w:val="-22"/>
              </w:rPr>
              <w:t xml:space="preserve"> </w:t>
            </w:r>
            <w:r>
              <w:rPr>
                <w:rFonts w:ascii="Times New Roman" w:hAnsi="Times New Roman" w:eastAsia="Times New Roman" w:cs="Times New Roman"/>
                <w:sz w:val="20"/>
                <w:szCs w:val="20"/>
              </w:rPr>
              <w:t>1 mg/kg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extDirection w:val="tbRlV"/>
            <w:tcBorders>
              <w:top w:val="nil"/>
              <w:bottom w:val="nil"/>
            </w:tcBorders>
          </w:tcPr>
          <w:p>
            <w:pPr>
              <w:rPr>
                <w:rFonts w:ascii="Arial"/>
                <w:sz w:val="21"/>
              </w:rPr>
            </w:pPr>
            <w:r/>
          </w:p>
        </w:tc>
        <w:tc>
          <w:tcPr>
            <w:tcW w:w="1806" w:type="dxa"/>
            <w:vAlign w:val="top"/>
          </w:tcPr>
          <w:p>
            <w:pPr>
              <w:pStyle w:val="TableText"/>
              <w:ind w:left="182"/>
              <w:spacing w:before="53" w:line="221" w:lineRule="auto"/>
              <w:rPr/>
            </w:pPr>
            <w:r>
              <w:rPr>
                <w:spacing w:val="5"/>
              </w:rPr>
              <w:t>茚并</w:t>
            </w:r>
            <w:r>
              <w:rPr>
                <w:rFonts w:ascii="Times New Roman" w:hAnsi="Times New Roman" w:eastAsia="Times New Roman" w:cs="Times New Roman"/>
                <w:spacing w:val="5"/>
              </w:rPr>
              <w:t>[1,2,3-</w:t>
            </w:r>
            <w:r>
              <w:rPr>
                <w:rFonts w:ascii="Times New Roman" w:hAnsi="Times New Roman" w:eastAsia="Times New Roman" w:cs="Times New Roman"/>
              </w:rPr>
              <w:t>cd</w:t>
            </w:r>
            <w:r>
              <w:rPr>
                <w:rFonts w:ascii="Times New Roman" w:hAnsi="Times New Roman" w:eastAsia="Times New Roman" w:cs="Times New Roman"/>
                <w:spacing w:val="5"/>
              </w:rPr>
              <w:t>]</w:t>
            </w:r>
            <w:r>
              <w:rPr>
                <w:spacing w:val="5"/>
              </w:rPr>
              <w:t>芘</w:t>
            </w:r>
          </w:p>
        </w:tc>
        <w:tc>
          <w:tcPr>
            <w:tcW w:w="1075" w:type="dxa"/>
            <w:vAlign w:val="top"/>
          </w:tcPr>
          <w:p>
            <w:pPr>
              <w:ind w:left="116"/>
              <w:spacing w:before="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z w:val="20"/>
                <w:szCs w:val="20"/>
                <w:spacing w:val="-22"/>
              </w:rPr>
              <w:t xml:space="preserve"> </w:t>
            </w:r>
            <w:r>
              <w:rPr>
                <w:rFonts w:ascii="Times New Roman" w:hAnsi="Times New Roman" w:eastAsia="Times New Roman" w:cs="Times New Roman"/>
                <w:sz w:val="20"/>
                <w:szCs w:val="20"/>
              </w:rPr>
              <w:t>1 mg/kg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348" w:type="dxa"/>
            <w:vAlign w:val="top"/>
            <w:vMerge w:val="continue"/>
            <w:textDirection w:val="tbRlV"/>
            <w:tcBorders>
              <w:top w:val="nil"/>
            </w:tcBorders>
          </w:tcPr>
          <w:p>
            <w:pPr>
              <w:rPr>
                <w:rFonts w:ascii="Arial"/>
                <w:sz w:val="21"/>
              </w:rPr>
            </w:pPr>
            <w:r/>
          </w:p>
        </w:tc>
        <w:tc>
          <w:tcPr>
            <w:tcW w:w="1806" w:type="dxa"/>
            <w:vAlign w:val="top"/>
          </w:tcPr>
          <w:p>
            <w:pPr>
              <w:pStyle w:val="TableText"/>
              <w:ind w:left="802"/>
              <w:spacing w:before="53" w:line="228" w:lineRule="auto"/>
              <w:rPr/>
            </w:pPr>
            <w:r>
              <w:rPr/>
              <w:t>萘</w:t>
            </w:r>
          </w:p>
        </w:tc>
        <w:tc>
          <w:tcPr>
            <w:tcW w:w="1075" w:type="dxa"/>
            <w:vAlign w:val="top"/>
          </w:tcPr>
          <w:p>
            <w:pPr>
              <w:ind w:left="63"/>
              <w:spacing w:before="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0.09 </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5"/>
              </w:rPr>
              <w:t>/</w:t>
            </w:r>
            <w:r>
              <w:rPr>
                <w:rFonts w:ascii="Times New Roman" w:hAnsi="Times New Roman" w:eastAsia="Times New Roman" w:cs="Times New Roman"/>
                <w:sz w:val="20"/>
                <w:szCs w:val="20"/>
              </w:rPr>
              <w:t>kg</w:t>
            </w:r>
          </w:p>
        </w:tc>
        <w:tc>
          <w:tcPr>
            <w:tcW w:w="3291" w:type="dxa"/>
            <w:vAlign w:val="top"/>
            <w:vMerge w:val="continue"/>
            <w:tcBorders>
              <w:top w:val="nil"/>
            </w:tcBorders>
          </w:tcPr>
          <w:p>
            <w:pPr>
              <w:rPr>
                <w:rFonts w:ascii="Arial"/>
                <w:sz w:val="21"/>
              </w:rPr>
            </w:pPr>
            <w:r/>
          </w:p>
        </w:tc>
        <w:tc>
          <w:tcPr>
            <w:tcW w:w="1995" w:type="dxa"/>
            <w:vAlign w:val="top"/>
            <w:vMerge w:val="continue"/>
            <w:tcBorders>
              <w:top w:val="nil"/>
            </w:tcBorders>
          </w:tcPr>
          <w:p>
            <w:pPr>
              <w:rPr>
                <w:rFonts w:ascii="Arial"/>
                <w:sz w:val="21"/>
              </w:rPr>
            </w:pPr>
            <w:r/>
          </w:p>
        </w:tc>
      </w:tr>
      <w:tr>
        <w:trPr>
          <w:trHeight w:val="940" w:hRule="atLeast"/>
        </w:trPr>
        <w:tc>
          <w:tcPr>
            <w:tcW w:w="2154" w:type="dxa"/>
            <w:vAlign w:val="top"/>
            <w:gridSpan w:val="2"/>
          </w:tcPr>
          <w:p>
            <w:pPr>
              <w:spacing w:line="298" w:lineRule="auto"/>
              <w:rPr>
                <w:rFonts w:ascii="Arial"/>
                <w:sz w:val="21"/>
              </w:rPr>
            </w:pPr>
            <w:r/>
          </w:p>
          <w:p>
            <w:pPr>
              <w:pStyle w:val="TableText"/>
              <w:ind w:left="976"/>
              <w:spacing w:before="65" w:line="228" w:lineRule="auto"/>
              <w:rPr/>
            </w:pPr>
            <w:r>
              <w:rPr>
                <w:spacing w:val="1"/>
              </w:rPr>
              <w:t>砷</w:t>
            </w:r>
          </w:p>
        </w:tc>
        <w:tc>
          <w:tcPr>
            <w:tcW w:w="1075" w:type="dxa"/>
            <w:vAlign w:val="top"/>
          </w:tcPr>
          <w:p>
            <w:pPr>
              <w:spacing w:line="337" w:lineRule="auto"/>
              <w:rPr>
                <w:rFonts w:ascii="Arial"/>
                <w:sz w:val="21"/>
              </w:rPr>
            </w:pPr>
            <w:r/>
          </w:p>
          <w:p>
            <w:pPr>
              <w:ind w:left="89"/>
              <w:spacing w:before="5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0.01</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rPr>
              <w:t>kg</w:t>
            </w:r>
          </w:p>
        </w:tc>
        <w:tc>
          <w:tcPr>
            <w:tcW w:w="3291" w:type="dxa"/>
            <w:vAlign w:val="top"/>
          </w:tcPr>
          <w:p>
            <w:pPr>
              <w:pStyle w:val="TableText"/>
              <w:ind w:left="31"/>
              <w:spacing w:before="53" w:line="228" w:lineRule="auto"/>
              <w:rPr/>
            </w:pPr>
            <w:r>
              <w:rPr>
                <w:spacing w:val="8"/>
              </w:rPr>
              <w:t>《土壤质量 总汞、总砷、总铅的测</w:t>
            </w:r>
          </w:p>
          <w:p>
            <w:pPr>
              <w:pStyle w:val="TableText"/>
              <w:ind w:right="1"/>
              <w:spacing w:before="64" w:line="228" w:lineRule="auto"/>
              <w:jc w:val="right"/>
              <w:rPr/>
            </w:pPr>
            <w:r>
              <w:rPr>
                <w:spacing w:val="2"/>
              </w:rPr>
              <w:t>定 原子荧光法</w:t>
            </w:r>
            <w:r>
              <w:rPr>
                <w:spacing w:val="13"/>
              </w:rPr>
              <w:t xml:space="preserve"> </w:t>
            </w:r>
            <w:r>
              <w:rPr>
                <w:spacing w:val="2"/>
              </w:rPr>
              <w:t>第</w:t>
            </w:r>
            <w:r>
              <w:rPr>
                <w:spacing w:val="-43"/>
              </w:rPr>
              <w:t xml:space="preserve"> </w:t>
            </w:r>
            <w:r>
              <w:rPr>
                <w:rFonts w:ascii="Times New Roman" w:hAnsi="Times New Roman" w:eastAsia="Times New Roman" w:cs="Times New Roman"/>
                <w:spacing w:val="2"/>
              </w:rPr>
              <w:t>2</w:t>
            </w:r>
            <w:r>
              <w:rPr>
                <w:rFonts w:ascii="Times New Roman" w:hAnsi="Times New Roman" w:eastAsia="Times New Roman" w:cs="Times New Roman"/>
                <w:spacing w:val="14"/>
                <w:w w:val="101"/>
              </w:rPr>
              <w:t xml:space="preserve"> </w:t>
            </w:r>
            <w:r>
              <w:rPr>
                <w:spacing w:val="2"/>
              </w:rPr>
              <w:t>部分：土壤中总</w:t>
            </w:r>
          </w:p>
          <w:p>
            <w:pPr>
              <w:pStyle w:val="TableText"/>
              <w:ind w:left="245"/>
              <w:spacing w:before="65" w:line="228" w:lineRule="auto"/>
              <w:rPr>
                <w:rFonts w:ascii="Times New Roman" w:hAnsi="Times New Roman" w:eastAsia="Times New Roman" w:cs="Times New Roman"/>
              </w:rPr>
            </w:pPr>
            <w:r>
              <w:rPr>
                <w:spacing w:val="6"/>
              </w:rPr>
              <w:t>砷的测定》</w:t>
            </w:r>
            <w:r>
              <w:rPr>
                <w:rFonts w:ascii="Times New Roman" w:hAnsi="Times New Roman" w:eastAsia="Times New Roman" w:cs="Times New Roman"/>
                <w:spacing w:val="6"/>
              </w:rPr>
              <w:t>/</w:t>
            </w:r>
            <w:r>
              <w:rPr>
                <w:rFonts w:ascii="Times New Roman" w:hAnsi="Times New Roman" w:eastAsia="Times New Roman" w:cs="Times New Roman"/>
              </w:rPr>
              <w:t>GB</w:t>
            </w:r>
            <w:r>
              <w:rPr>
                <w:rFonts w:ascii="Times New Roman" w:hAnsi="Times New Roman" w:eastAsia="Times New Roman" w:cs="Times New Roman"/>
                <w:spacing w:val="6"/>
              </w:rPr>
              <w:t>/T 22105.2-2008</w:t>
            </w:r>
          </w:p>
        </w:tc>
        <w:tc>
          <w:tcPr>
            <w:tcW w:w="1995" w:type="dxa"/>
            <w:vAlign w:val="top"/>
          </w:tcPr>
          <w:p>
            <w:pPr>
              <w:pStyle w:val="TableText"/>
              <w:ind w:left="109" w:right="50" w:hanging="46"/>
              <w:spacing w:before="207" w:line="303" w:lineRule="auto"/>
              <w:rPr>
                <w:rFonts w:ascii="Times New Roman" w:hAnsi="Times New Roman" w:eastAsia="Times New Roman" w:cs="Times New Roman"/>
              </w:rPr>
            </w:pPr>
            <w:r>
              <w:rPr>
                <w:spacing w:val="8"/>
              </w:rPr>
              <w:t>原子荧光分光光度计</w:t>
            </w:r>
            <w:r>
              <w:rPr>
                <w:spacing w:val="2"/>
              </w:rPr>
              <w:t xml:space="preserve"> </w:t>
            </w:r>
            <w:r>
              <w:rPr>
                <w:rFonts w:ascii="Times New Roman" w:hAnsi="Times New Roman" w:eastAsia="Times New Roman" w:cs="Times New Roman"/>
              </w:rPr>
              <w:t>AFS</w:t>
            </w:r>
            <w:r>
              <w:rPr>
                <w:rFonts w:ascii="Times New Roman" w:hAnsi="Times New Roman" w:eastAsia="Times New Roman" w:cs="Times New Roman"/>
                <w:spacing w:val="5"/>
              </w:rPr>
              <w:t>-8220</w:t>
            </w:r>
            <w:r>
              <w:rPr>
                <w:rFonts w:ascii="Times New Roman" w:hAnsi="Times New Roman" w:eastAsia="Times New Roman" w:cs="Times New Roman"/>
                <w:spacing w:val="-20"/>
              </w:rPr>
              <w:t xml:space="preserve"> </w:t>
            </w:r>
            <w:r>
              <w:rPr>
                <w:spacing w:val="5"/>
              </w:rPr>
              <w:t>、</w:t>
            </w:r>
            <w:r>
              <w:rPr>
                <w:rFonts w:ascii="Times New Roman" w:hAnsi="Times New Roman" w:eastAsia="Times New Roman" w:cs="Times New Roman"/>
              </w:rPr>
              <w:t>YQ</w:t>
            </w:r>
            <w:r>
              <w:rPr>
                <w:rFonts w:ascii="Times New Roman" w:hAnsi="Times New Roman" w:eastAsia="Times New Roman" w:cs="Times New Roman"/>
                <w:spacing w:val="5"/>
              </w:rPr>
              <w:t>-001</w:t>
            </w:r>
          </w:p>
        </w:tc>
      </w:tr>
      <w:tr>
        <w:trPr>
          <w:trHeight w:val="940" w:hRule="atLeast"/>
        </w:trPr>
        <w:tc>
          <w:tcPr>
            <w:tcW w:w="2154" w:type="dxa"/>
            <w:vAlign w:val="top"/>
            <w:gridSpan w:val="2"/>
          </w:tcPr>
          <w:p>
            <w:pPr>
              <w:spacing w:line="298" w:lineRule="auto"/>
              <w:rPr>
                <w:rFonts w:ascii="Arial"/>
                <w:sz w:val="21"/>
              </w:rPr>
            </w:pPr>
            <w:r/>
          </w:p>
          <w:p>
            <w:pPr>
              <w:pStyle w:val="TableText"/>
              <w:ind w:left="975"/>
              <w:spacing w:before="65" w:line="231" w:lineRule="auto"/>
              <w:rPr/>
            </w:pPr>
            <w:r>
              <w:rPr>
                <w:spacing w:val="2"/>
              </w:rPr>
              <w:t>镉</w:t>
            </w:r>
          </w:p>
        </w:tc>
        <w:tc>
          <w:tcPr>
            <w:tcW w:w="1075" w:type="dxa"/>
            <w:vAlign w:val="top"/>
          </w:tcPr>
          <w:p>
            <w:pPr>
              <w:spacing w:line="337" w:lineRule="auto"/>
              <w:rPr>
                <w:rFonts w:ascii="Arial"/>
                <w:sz w:val="21"/>
              </w:rPr>
            </w:pPr>
            <w:r/>
          </w:p>
          <w:p>
            <w:pPr>
              <w:ind w:left="89"/>
              <w:spacing w:before="5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0.01</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rPr>
              <w:t>kg</w:t>
            </w:r>
          </w:p>
        </w:tc>
        <w:tc>
          <w:tcPr>
            <w:tcW w:w="3291" w:type="dxa"/>
            <w:vAlign w:val="top"/>
          </w:tcPr>
          <w:p>
            <w:pPr>
              <w:pStyle w:val="TableText"/>
              <w:ind w:left="31"/>
              <w:spacing w:before="53" w:line="228" w:lineRule="auto"/>
              <w:rPr/>
            </w:pPr>
            <w:r>
              <w:rPr>
                <w:spacing w:val="8"/>
              </w:rPr>
              <w:t>《土壤质量 铅、镉的测定  石墨炉</w:t>
            </w:r>
          </w:p>
          <w:p>
            <w:pPr>
              <w:pStyle w:val="TableText"/>
              <w:ind w:left="606"/>
              <w:spacing w:before="64" w:line="228" w:lineRule="auto"/>
              <w:rPr/>
            </w:pPr>
            <w:r>
              <w:rPr>
                <w:spacing w:val="7"/>
              </w:rPr>
              <w:t>原子吸收分光光度法》</w:t>
            </w:r>
          </w:p>
          <w:p>
            <w:pPr>
              <w:ind w:left="867"/>
              <w:spacing w:before="99"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w:t>
            </w: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5"/>
              </w:rPr>
              <w:t>/T17141-1997</w:t>
            </w:r>
          </w:p>
        </w:tc>
        <w:tc>
          <w:tcPr>
            <w:tcW w:w="1995" w:type="dxa"/>
            <w:vAlign w:val="top"/>
            <w:vMerge w:val="restart"/>
            <w:tcBorders>
              <w:bottom w:val="nil"/>
            </w:tcBorders>
          </w:tcPr>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pStyle w:val="TableText"/>
              <w:ind w:left="44" w:right="34" w:firstLine="19"/>
              <w:spacing w:before="65" w:line="300" w:lineRule="auto"/>
              <w:rPr>
                <w:rFonts w:ascii="Times New Roman" w:hAnsi="Times New Roman" w:eastAsia="Times New Roman" w:cs="Times New Roman"/>
              </w:rPr>
            </w:pPr>
            <w:r>
              <w:rPr>
                <w:spacing w:val="8"/>
              </w:rPr>
              <w:t>原子吸收分光光度计</w:t>
            </w:r>
            <w:r>
              <w:rPr>
                <w:spacing w:val="2"/>
              </w:rPr>
              <w:t xml:space="preserve"> </w:t>
            </w:r>
            <w:r>
              <w:rPr>
                <w:rFonts w:ascii="Times New Roman" w:hAnsi="Times New Roman" w:eastAsia="Times New Roman" w:cs="Times New Roman"/>
              </w:rPr>
              <w:t>SP</w:t>
            </w:r>
            <w:r>
              <w:rPr>
                <w:rFonts w:ascii="Times New Roman" w:hAnsi="Times New Roman" w:eastAsia="Times New Roman" w:cs="Times New Roman"/>
                <w:spacing w:val="5"/>
              </w:rPr>
              <w:t>-3803</w:t>
            </w:r>
            <w:r>
              <w:rPr>
                <w:rFonts w:ascii="Times New Roman" w:hAnsi="Times New Roman" w:eastAsia="Times New Roman" w:cs="Times New Roman"/>
              </w:rPr>
              <w:t>AA</w:t>
            </w:r>
            <w:r>
              <w:rPr>
                <w:rFonts w:ascii="Times New Roman" w:hAnsi="Times New Roman" w:eastAsia="Times New Roman" w:cs="Times New Roman"/>
                <w:spacing w:val="-24"/>
              </w:rPr>
              <w:t xml:space="preserve"> </w:t>
            </w:r>
            <w:r>
              <w:rPr>
                <w:spacing w:val="5"/>
              </w:rPr>
              <w:t>、</w:t>
            </w:r>
            <w:r>
              <w:rPr>
                <w:rFonts w:ascii="Times New Roman" w:hAnsi="Times New Roman" w:eastAsia="Times New Roman" w:cs="Times New Roman"/>
              </w:rPr>
              <w:t>YQ</w:t>
            </w:r>
            <w:r>
              <w:rPr>
                <w:rFonts w:ascii="Times New Roman" w:hAnsi="Times New Roman" w:eastAsia="Times New Roman" w:cs="Times New Roman"/>
                <w:spacing w:val="5"/>
              </w:rPr>
              <w:t>-002</w:t>
            </w:r>
          </w:p>
        </w:tc>
      </w:tr>
      <w:tr>
        <w:trPr>
          <w:trHeight w:val="940" w:hRule="atLeast"/>
        </w:trPr>
        <w:tc>
          <w:tcPr>
            <w:tcW w:w="2154" w:type="dxa"/>
            <w:vAlign w:val="top"/>
            <w:gridSpan w:val="2"/>
          </w:tcPr>
          <w:p>
            <w:pPr>
              <w:spacing w:line="301" w:lineRule="auto"/>
              <w:rPr>
                <w:rFonts w:ascii="Arial"/>
                <w:sz w:val="21"/>
              </w:rPr>
            </w:pPr>
            <w:r/>
          </w:p>
          <w:p>
            <w:pPr>
              <w:pStyle w:val="TableText"/>
              <w:ind w:left="770"/>
              <w:spacing w:before="65" w:line="226" w:lineRule="auto"/>
              <w:rPr/>
            </w:pPr>
            <w:r>
              <w:rPr>
                <w:spacing w:val="6"/>
              </w:rPr>
              <w:t>六价铬</w:t>
            </w:r>
          </w:p>
        </w:tc>
        <w:tc>
          <w:tcPr>
            <w:tcW w:w="1075" w:type="dxa"/>
            <w:vAlign w:val="top"/>
          </w:tcPr>
          <w:p>
            <w:pPr>
              <w:spacing w:line="340" w:lineRule="auto"/>
              <w:rPr>
                <w:rFonts w:ascii="Arial"/>
                <w:sz w:val="21"/>
              </w:rPr>
            </w:pPr>
            <w:r/>
          </w:p>
          <w:p>
            <w:pPr>
              <w:ind w:left="142"/>
              <w:spacing w:before="5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0.5</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7"/>
              </w:rPr>
              <w:t>/</w:t>
            </w:r>
            <w:r>
              <w:rPr>
                <w:rFonts w:ascii="Times New Roman" w:hAnsi="Times New Roman" w:eastAsia="Times New Roman" w:cs="Times New Roman"/>
                <w:sz w:val="20"/>
                <w:szCs w:val="20"/>
              </w:rPr>
              <w:t>kg</w:t>
            </w:r>
          </w:p>
        </w:tc>
        <w:tc>
          <w:tcPr>
            <w:tcW w:w="3291" w:type="dxa"/>
            <w:vAlign w:val="top"/>
          </w:tcPr>
          <w:p>
            <w:pPr>
              <w:pStyle w:val="TableText"/>
              <w:ind w:left="81"/>
              <w:spacing w:before="56" w:line="226" w:lineRule="auto"/>
              <w:rPr/>
            </w:pPr>
            <w:r>
              <w:rPr>
                <w:spacing w:val="8"/>
              </w:rPr>
              <w:t>《土壤和沉积物 六价铬的测定 碱</w:t>
            </w:r>
          </w:p>
          <w:p>
            <w:pPr>
              <w:pStyle w:val="TableText"/>
              <w:ind w:left="148"/>
              <w:spacing w:before="66" w:line="228" w:lineRule="auto"/>
              <w:rPr/>
            </w:pPr>
            <w:r>
              <w:rPr>
                <w:spacing w:val="8"/>
              </w:rPr>
              <w:t>溶液提取</w:t>
            </w:r>
            <w:r>
              <w:rPr>
                <w:rFonts w:ascii="Times New Roman" w:hAnsi="Times New Roman" w:eastAsia="Times New Roman" w:cs="Times New Roman"/>
                <w:spacing w:val="8"/>
              </w:rPr>
              <w:t>-</w:t>
            </w:r>
            <w:r>
              <w:rPr>
                <w:spacing w:val="8"/>
              </w:rPr>
              <w:t>火焰原子吸收分光光度</w:t>
            </w:r>
          </w:p>
          <w:p>
            <w:pPr>
              <w:pStyle w:val="TableText"/>
              <w:ind w:left="816"/>
              <w:spacing w:before="65" w:line="230" w:lineRule="auto"/>
              <w:rPr>
                <w:rFonts w:ascii="Times New Roman" w:hAnsi="Times New Roman" w:eastAsia="Times New Roman" w:cs="Times New Roman"/>
              </w:rPr>
            </w:pPr>
            <w:r>
              <w:rPr>
                <w:spacing w:val="3"/>
              </w:rPr>
              <w:t>法》</w:t>
            </w:r>
            <w:r>
              <w:rPr>
                <w:rFonts w:ascii="Times New Roman" w:hAnsi="Times New Roman" w:eastAsia="Times New Roman" w:cs="Times New Roman"/>
                <w:spacing w:val="3"/>
              </w:rPr>
              <w:t>/</w:t>
            </w:r>
            <w:r>
              <w:rPr>
                <w:rFonts w:ascii="Times New Roman" w:hAnsi="Times New Roman" w:eastAsia="Times New Roman" w:cs="Times New Roman"/>
              </w:rPr>
              <w:t>HJ</w:t>
            </w:r>
            <w:r>
              <w:rPr>
                <w:rFonts w:ascii="Times New Roman" w:hAnsi="Times New Roman" w:eastAsia="Times New Roman" w:cs="Times New Roman"/>
                <w:spacing w:val="33"/>
                <w:w w:val="101"/>
              </w:rPr>
              <w:t xml:space="preserve"> </w:t>
            </w:r>
            <w:r>
              <w:rPr>
                <w:rFonts w:ascii="Times New Roman" w:hAnsi="Times New Roman" w:eastAsia="Times New Roman" w:cs="Times New Roman"/>
                <w:spacing w:val="3"/>
              </w:rPr>
              <w:t>1082-2019</w:t>
            </w:r>
          </w:p>
        </w:tc>
        <w:tc>
          <w:tcPr>
            <w:tcW w:w="1995" w:type="dxa"/>
            <w:vAlign w:val="top"/>
            <w:vMerge w:val="continue"/>
            <w:tcBorders>
              <w:top w:val="nil"/>
              <w:bottom w:val="nil"/>
            </w:tcBorders>
          </w:tcPr>
          <w:p>
            <w:pPr>
              <w:rPr>
                <w:rFonts w:ascii="Arial"/>
                <w:sz w:val="21"/>
              </w:rPr>
            </w:pPr>
            <w:r/>
          </w:p>
        </w:tc>
      </w:tr>
      <w:tr>
        <w:trPr>
          <w:trHeight w:val="319" w:hRule="atLeast"/>
        </w:trPr>
        <w:tc>
          <w:tcPr>
            <w:tcW w:w="2154" w:type="dxa"/>
            <w:vAlign w:val="top"/>
            <w:gridSpan w:val="2"/>
          </w:tcPr>
          <w:p>
            <w:pPr>
              <w:pStyle w:val="TableText"/>
              <w:ind w:left="977"/>
              <w:spacing w:before="57" w:line="229" w:lineRule="auto"/>
              <w:rPr/>
            </w:pPr>
            <w:r>
              <w:rPr/>
              <w:t>铜</w:t>
            </w:r>
          </w:p>
        </w:tc>
        <w:tc>
          <w:tcPr>
            <w:tcW w:w="1075" w:type="dxa"/>
            <w:vAlign w:val="top"/>
          </w:tcPr>
          <w:p>
            <w:pPr>
              <w:ind w:left="238"/>
              <w:spacing w:before="89"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2"/>
              </w:rPr>
              <w:t>/</w:t>
            </w:r>
            <w:r>
              <w:rPr>
                <w:rFonts w:ascii="Times New Roman" w:hAnsi="Times New Roman" w:eastAsia="Times New Roman" w:cs="Times New Roman"/>
                <w:sz w:val="20"/>
                <w:szCs w:val="20"/>
              </w:rPr>
              <w:t>kg</w:t>
            </w:r>
          </w:p>
        </w:tc>
        <w:tc>
          <w:tcPr>
            <w:tcW w:w="3291" w:type="dxa"/>
            <w:vAlign w:val="top"/>
          </w:tcPr>
          <w:p>
            <w:pPr>
              <w:pStyle w:val="TableText"/>
              <w:ind w:left="31"/>
              <w:spacing w:before="57" w:line="228" w:lineRule="auto"/>
              <w:rPr/>
            </w:pPr>
            <w:r>
              <w:rPr>
                <w:spacing w:val="8"/>
              </w:rPr>
              <w:t>《土壤和沉积物 铜、锌、铅、镍、</w:t>
            </w:r>
          </w:p>
        </w:tc>
        <w:tc>
          <w:tcPr>
            <w:tcW w:w="1995" w:type="dxa"/>
            <w:vAlign w:val="top"/>
            <w:vMerge w:val="continue"/>
            <w:tcBorders>
              <w:top w:val="nil"/>
            </w:tcBorders>
          </w:tcPr>
          <w:p>
            <w:pPr>
              <w:rPr>
                <w:rFonts w:ascii="Arial"/>
                <w:sz w:val="21"/>
              </w:rPr>
            </w:pPr>
            <w:r/>
          </w:p>
        </w:tc>
      </w:tr>
    </w:tbl>
    <w:p>
      <w:pPr>
        <w:pStyle w:val="BodyText"/>
        <w:rPr/>
      </w:pPr>
      <w:r/>
    </w:p>
    <w:p>
      <w:pPr>
        <w:sectPr>
          <w:headerReference w:type="default" r:id="rId145"/>
          <w:footerReference w:type="default" r:id="rId146"/>
          <w:pgSz w:w="11906" w:h="16839"/>
          <w:pgMar w:top="1567" w:right="1693" w:bottom="1482" w:left="1692" w:header="1221" w:footer="1250" w:gutter="0"/>
        </w:sectPr>
        <w:rPr/>
      </w:pPr>
    </w:p>
    <w:p>
      <w:pPr>
        <w:spacing w:line="133" w:lineRule="exact"/>
        <w:rPr/>
      </w:pPr>
      <w:r>
        <w:pict>
          <v:shape id="_x0000_s650" style="position:absolute;margin-left:85.05pt;margin-top:78.87pt;mso-position-vertical-relative:page;mso-position-horizontal-relative:page;width:425.25pt;height:0.75pt;z-index:251951104;" o:allowincell="f" fillcolor="#000000" filled="true" stroked="false" coordsize="8505,15" coordorigin="0,0" path="m,l8504,0l8504,14l0,14l0,0xe"/>
        </w:pict>
      </w:r>
      <w:r/>
    </w:p>
    <w:tbl>
      <w:tblPr>
        <w:tblStyle w:val="TableNormal"/>
        <w:tblW w:w="851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154"/>
        <w:gridCol w:w="1075"/>
        <w:gridCol w:w="3291"/>
        <w:gridCol w:w="1995"/>
      </w:tblGrid>
      <w:tr>
        <w:trPr>
          <w:trHeight w:val="322" w:hRule="atLeast"/>
        </w:trPr>
        <w:tc>
          <w:tcPr>
            <w:tcW w:w="2154" w:type="dxa"/>
            <w:vAlign w:val="top"/>
          </w:tcPr>
          <w:p>
            <w:pPr>
              <w:pStyle w:val="TableText"/>
              <w:ind w:left="662"/>
              <w:spacing w:before="56" w:line="228" w:lineRule="auto"/>
              <w:rPr/>
            </w:pPr>
            <w:r>
              <w:rPr>
                <w:spacing w:val="7"/>
              </w:rPr>
              <w:t>检测项目</w:t>
            </w:r>
          </w:p>
        </w:tc>
        <w:tc>
          <w:tcPr>
            <w:tcW w:w="1075" w:type="dxa"/>
            <w:vAlign w:val="top"/>
          </w:tcPr>
          <w:p>
            <w:pPr>
              <w:pStyle w:val="TableText"/>
              <w:ind w:left="227"/>
              <w:spacing w:before="56" w:line="228" w:lineRule="auto"/>
              <w:rPr/>
            </w:pPr>
            <w:r>
              <w:rPr>
                <w:spacing w:val="6"/>
              </w:rPr>
              <w:t>检出限</w:t>
            </w:r>
          </w:p>
        </w:tc>
        <w:tc>
          <w:tcPr>
            <w:tcW w:w="3291" w:type="dxa"/>
            <w:vAlign w:val="top"/>
          </w:tcPr>
          <w:p>
            <w:pPr>
              <w:pStyle w:val="TableText"/>
              <w:ind w:left="810"/>
              <w:spacing w:before="56" w:line="228" w:lineRule="auto"/>
              <w:rPr/>
            </w:pPr>
            <w:r>
              <w:rPr>
                <w:spacing w:val="7"/>
              </w:rPr>
              <w:t>检测标准（方法）</w:t>
            </w:r>
          </w:p>
        </w:tc>
        <w:tc>
          <w:tcPr>
            <w:tcW w:w="1995" w:type="dxa"/>
            <w:vAlign w:val="top"/>
          </w:tcPr>
          <w:p>
            <w:pPr>
              <w:pStyle w:val="TableText"/>
              <w:ind w:left="60"/>
              <w:spacing w:before="56" w:line="228" w:lineRule="auto"/>
              <w:rPr/>
            </w:pPr>
            <w:r>
              <w:rPr>
                <w:spacing w:val="8"/>
              </w:rPr>
              <w:t>主要检测仪器及编号</w:t>
            </w:r>
          </w:p>
        </w:tc>
      </w:tr>
      <w:tr>
        <w:trPr>
          <w:trHeight w:val="317" w:hRule="atLeast"/>
        </w:trPr>
        <w:tc>
          <w:tcPr>
            <w:tcW w:w="2154" w:type="dxa"/>
            <w:vAlign w:val="top"/>
          </w:tcPr>
          <w:p>
            <w:pPr>
              <w:pStyle w:val="TableText"/>
              <w:ind w:left="977"/>
              <w:spacing w:before="51" w:line="232" w:lineRule="auto"/>
              <w:rPr/>
            </w:pPr>
            <w:r>
              <w:rPr/>
              <w:t>铅</w:t>
            </w:r>
          </w:p>
        </w:tc>
        <w:tc>
          <w:tcPr>
            <w:tcW w:w="1075" w:type="dxa"/>
            <w:vAlign w:val="top"/>
          </w:tcPr>
          <w:p>
            <w:pPr>
              <w:ind w:left="186"/>
              <w:spacing w:before="8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3"/>
              </w:rPr>
              <w:t>/</w:t>
            </w:r>
            <w:r>
              <w:rPr>
                <w:rFonts w:ascii="Times New Roman" w:hAnsi="Times New Roman" w:eastAsia="Times New Roman" w:cs="Times New Roman"/>
                <w:sz w:val="20"/>
                <w:szCs w:val="20"/>
              </w:rPr>
              <w:t>kg</w:t>
            </w:r>
          </w:p>
        </w:tc>
        <w:tc>
          <w:tcPr>
            <w:tcW w:w="3291" w:type="dxa"/>
            <w:vAlign w:val="top"/>
            <w:vMerge w:val="restart"/>
            <w:tcBorders>
              <w:bottom w:val="nil"/>
            </w:tcBorders>
          </w:tcPr>
          <w:p>
            <w:pPr>
              <w:pStyle w:val="TableText"/>
              <w:ind w:left="128"/>
              <w:spacing w:before="51" w:line="228" w:lineRule="auto"/>
              <w:rPr/>
            </w:pPr>
            <w:r>
              <w:rPr>
                <w:spacing w:val="9"/>
              </w:rPr>
              <w:t>铬的测定 火焰原子吸收分光光度</w:t>
            </w:r>
          </w:p>
          <w:p>
            <w:pPr>
              <w:pStyle w:val="TableText"/>
              <w:ind w:left="869"/>
              <w:spacing w:before="65" w:line="233" w:lineRule="auto"/>
              <w:rPr>
                <w:rFonts w:ascii="Times New Roman" w:hAnsi="Times New Roman" w:eastAsia="Times New Roman" w:cs="Times New Roman"/>
              </w:rPr>
            </w:pPr>
            <w:r>
              <w:rPr>
                <w:spacing w:val="5"/>
              </w:rPr>
              <w:t>法》</w:t>
            </w:r>
            <w:r>
              <w:rPr>
                <w:rFonts w:ascii="Times New Roman" w:hAnsi="Times New Roman" w:eastAsia="Times New Roman" w:cs="Times New Roman"/>
                <w:spacing w:val="5"/>
              </w:rPr>
              <w:t>/</w:t>
            </w:r>
            <w:r>
              <w:rPr>
                <w:rFonts w:ascii="Times New Roman" w:hAnsi="Times New Roman" w:eastAsia="Times New Roman" w:cs="Times New Roman"/>
              </w:rPr>
              <w:t>HJ</w:t>
            </w:r>
            <w:r>
              <w:rPr>
                <w:rFonts w:ascii="Times New Roman" w:hAnsi="Times New Roman" w:eastAsia="Times New Roman" w:cs="Times New Roman"/>
                <w:spacing w:val="5"/>
              </w:rPr>
              <w:t xml:space="preserve"> 491-2019</w:t>
            </w:r>
          </w:p>
        </w:tc>
        <w:tc>
          <w:tcPr>
            <w:tcW w:w="1995" w:type="dxa"/>
            <w:vAlign w:val="top"/>
            <w:vMerge w:val="restart"/>
            <w:tcBorders>
              <w:bottom w:val="nil"/>
            </w:tcBorders>
          </w:tcPr>
          <w:p>
            <w:pPr>
              <w:rPr>
                <w:rFonts w:ascii="Arial"/>
                <w:sz w:val="21"/>
              </w:rPr>
            </w:pPr>
            <w:r/>
          </w:p>
        </w:tc>
      </w:tr>
      <w:tr>
        <w:trPr>
          <w:trHeight w:val="317" w:hRule="atLeast"/>
        </w:trPr>
        <w:tc>
          <w:tcPr>
            <w:tcW w:w="2154" w:type="dxa"/>
            <w:vAlign w:val="top"/>
          </w:tcPr>
          <w:p>
            <w:pPr>
              <w:pStyle w:val="TableText"/>
              <w:ind w:left="976"/>
              <w:spacing w:before="51" w:line="228" w:lineRule="auto"/>
              <w:rPr/>
            </w:pPr>
            <w:r>
              <w:rPr>
                <w:spacing w:val="1"/>
              </w:rPr>
              <w:t>镍</w:t>
            </w:r>
          </w:p>
        </w:tc>
        <w:tc>
          <w:tcPr>
            <w:tcW w:w="1075" w:type="dxa"/>
            <w:vAlign w:val="top"/>
          </w:tcPr>
          <w:p>
            <w:pPr>
              <w:ind w:left="222"/>
              <w:spacing w:before="8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9"/>
              </w:rPr>
              <w:t>3</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w:t>
            </w:r>
            <w:r>
              <w:rPr>
                <w:rFonts w:ascii="Times New Roman" w:hAnsi="Times New Roman" w:eastAsia="Times New Roman" w:cs="Times New Roman"/>
                <w:sz w:val="20"/>
                <w:szCs w:val="20"/>
              </w:rPr>
              <w:t>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2154" w:type="dxa"/>
            <w:vAlign w:val="top"/>
          </w:tcPr>
          <w:p>
            <w:pPr>
              <w:pStyle w:val="TableText"/>
              <w:ind w:left="976"/>
              <w:spacing w:before="50" w:line="230" w:lineRule="auto"/>
              <w:rPr/>
            </w:pPr>
            <w:r>
              <w:rPr>
                <w:spacing w:val="1"/>
              </w:rPr>
              <w:t>铬</w:t>
            </w:r>
          </w:p>
        </w:tc>
        <w:tc>
          <w:tcPr>
            <w:tcW w:w="1075" w:type="dxa"/>
            <w:vAlign w:val="top"/>
          </w:tcPr>
          <w:p>
            <w:pPr>
              <w:ind w:left="217"/>
              <w:spacing w:before="82"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2"/>
              </w:rPr>
              <w:t>4</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12"/>
              </w:rPr>
              <w:t>/</w:t>
            </w:r>
            <w:r>
              <w:rPr>
                <w:rFonts w:ascii="Times New Roman" w:hAnsi="Times New Roman" w:eastAsia="Times New Roman" w:cs="Times New Roman"/>
                <w:sz w:val="20"/>
                <w:szCs w:val="20"/>
              </w:rPr>
              <w:t>kg</w:t>
            </w:r>
          </w:p>
        </w:tc>
        <w:tc>
          <w:tcPr>
            <w:tcW w:w="3291" w:type="dxa"/>
            <w:vAlign w:val="top"/>
            <w:vMerge w:val="continue"/>
            <w:tcBorders>
              <w:top w:val="nil"/>
              <w:bottom w:val="nil"/>
            </w:tcBorders>
          </w:tcPr>
          <w:p>
            <w:pPr>
              <w:rPr>
                <w:rFonts w:ascii="Arial"/>
                <w:sz w:val="21"/>
              </w:rPr>
            </w:pPr>
            <w:r/>
          </w:p>
        </w:tc>
        <w:tc>
          <w:tcPr>
            <w:tcW w:w="1995" w:type="dxa"/>
            <w:vAlign w:val="top"/>
            <w:vMerge w:val="continue"/>
            <w:tcBorders>
              <w:top w:val="nil"/>
              <w:bottom w:val="nil"/>
            </w:tcBorders>
          </w:tcPr>
          <w:p>
            <w:pPr>
              <w:rPr>
                <w:rFonts w:ascii="Arial"/>
                <w:sz w:val="21"/>
              </w:rPr>
            </w:pPr>
            <w:r/>
          </w:p>
        </w:tc>
      </w:tr>
      <w:tr>
        <w:trPr>
          <w:trHeight w:val="317" w:hRule="atLeast"/>
        </w:trPr>
        <w:tc>
          <w:tcPr>
            <w:tcW w:w="2154" w:type="dxa"/>
            <w:vAlign w:val="top"/>
          </w:tcPr>
          <w:p>
            <w:pPr>
              <w:pStyle w:val="TableText"/>
              <w:ind w:left="976"/>
              <w:spacing w:before="50" w:line="228" w:lineRule="auto"/>
              <w:rPr/>
            </w:pPr>
            <w:r>
              <w:rPr>
                <w:spacing w:val="1"/>
              </w:rPr>
              <w:t>锌</w:t>
            </w:r>
          </w:p>
        </w:tc>
        <w:tc>
          <w:tcPr>
            <w:tcW w:w="1075" w:type="dxa"/>
            <w:vAlign w:val="top"/>
          </w:tcPr>
          <w:p>
            <w:pPr>
              <w:ind w:left="238"/>
              <w:spacing w:before="82"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2"/>
              </w:rPr>
              <w:t>/</w:t>
            </w:r>
            <w:r>
              <w:rPr>
                <w:rFonts w:ascii="Times New Roman" w:hAnsi="Times New Roman" w:eastAsia="Times New Roman" w:cs="Times New Roman"/>
                <w:sz w:val="20"/>
                <w:szCs w:val="20"/>
              </w:rPr>
              <w:t>kg</w:t>
            </w:r>
          </w:p>
        </w:tc>
        <w:tc>
          <w:tcPr>
            <w:tcW w:w="3291" w:type="dxa"/>
            <w:vAlign w:val="top"/>
            <w:vMerge w:val="continue"/>
            <w:tcBorders>
              <w:top w:val="nil"/>
            </w:tcBorders>
          </w:tcPr>
          <w:p>
            <w:pPr>
              <w:rPr>
                <w:rFonts w:ascii="Arial"/>
                <w:sz w:val="21"/>
              </w:rPr>
            </w:pPr>
            <w:r/>
          </w:p>
        </w:tc>
        <w:tc>
          <w:tcPr>
            <w:tcW w:w="1995" w:type="dxa"/>
            <w:vAlign w:val="top"/>
            <w:vMerge w:val="continue"/>
            <w:tcBorders>
              <w:top w:val="nil"/>
            </w:tcBorders>
          </w:tcPr>
          <w:p>
            <w:pPr>
              <w:rPr>
                <w:rFonts w:ascii="Arial"/>
                <w:sz w:val="21"/>
              </w:rPr>
            </w:pPr>
            <w:r/>
          </w:p>
        </w:tc>
      </w:tr>
      <w:tr>
        <w:trPr>
          <w:trHeight w:val="940" w:hRule="atLeast"/>
        </w:trPr>
        <w:tc>
          <w:tcPr>
            <w:tcW w:w="2154" w:type="dxa"/>
            <w:vAlign w:val="top"/>
          </w:tcPr>
          <w:p>
            <w:pPr>
              <w:spacing w:line="298" w:lineRule="auto"/>
              <w:rPr>
                <w:rFonts w:ascii="Arial"/>
                <w:sz w:val="21"/>
              </w:rPr>
            </w:pPr>
            <w:r/>
          </w:p>
          <w:p>
            <w:pPr>
              <w:pStyle w:val="TableText"/>
              <w:ind w:left="978"/>
              <w:spacing w:before="65" w:line="228" w:lineRule="auto"/>
              <w:rPr/>
            </w:pPr>
            <w:r>
              <w:rPr/>
              <w:t>汞</w:t>
            </w:r>
          </w:p>
        </w:tc>
        <w:tc>
          <w:tcPr>
            <w:tcW w:w="1075" w:type="dxa"/>
            <w:vAlign w:val="top"/>
          </w:tcPr>
          <w:p>
            <w:pPr>
              <w:spacing w:line="336" w:lineRule="auto"/>
              <w:rPr>
                <w:rFonts w:ascii="Arial"/>
                <w:sz w:val="21"/>
              </w:rPr>
            </w:pPr>
            <w:r/>
          </w:p>
          <w:p>
            <w:pPr>
              <w:ind w:left="37"/>
              <w:spacing w:before="5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0.002</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rPr>
              <w:t>kg</w:t>
            </w:r>
          </w:p>
        </w:tc>
        <w:tc>
          <w:tcPr>
            <w:tcW w:w="3291" w:type="dxa"/>
            <w:vAlign w:val="top"/>
          </w:tcPr>
          <w:p>
            <w:pPr>
              <w:pStyle w:val="TableText"/>
              <w:ind w:left="31"/>
              <w:spacing w:before="52" w:line="228" w:lineRule="auto"/>
              <w:rPr/>
            </w:pPr>
            <w:r>
              <w:rPr>
                <w:spacing w:val="8"/>
              </w:rPr>
              <w:t>《土壤质量 总汞、总砷、总铅的测</w:t>
            </w:r>
          </w:p>
          <w:p>
            <w:pPr>
              <w:pStyle w:val="TableText"/>
              <w:ind w:left="30"/>
              <w:spacing w:before="64" w:line="228" w:lineRule="auto"/>
              <w:rPr/>
            </w:pPr>
            <w:r>
              <w:rPr>
                <w:spacing w:val="6"/>
              </w:rPr>
              <w:t>定原子荧光法 第</w:t>
            </w:r>
            <w:r>
              <w:rPr>
                <w:spacing w:val="-15"/>
              </w:rPr>
              <w:t xml:space="preserve"> </w:t>
            </w:r>
            <w:r>
              <w:rPr>
                <w:rFonts w:ascii="Times New Roman" w:hAnsi="Times New Roman" w:eastAsia="Times New Roman" w:cs="Times New Roman"/>
                <w:spacing w:val="6"/>
              </w:rPr>
              <w:t>1 </w:t>
            </w:r>
            <w:r>
              <w:rPr>
                <w:spacing w:val="6"/>
              </w:rPr>
              <w:t>部分：土壤中总</w:t>
            </w:r>
          </w:p>
          <w:p>
            <w:pPr>
              <w:pStyle w:val="TableText"/>
              <w:ind w:left="247"/>
              <w:spacing w:before="65" w:line="228" w:lineRule="auto"/>
              <w:rPr>
                <w:rFonts w:ascii="Times New Roman" w:hAnsi="Times New Roman" w:eastAsia="Times New Roman" w:cs="Times New Roman"/>
              </w:rPr>
            </w:pPr>
            <w:r>
              <w:rPr>
                <w:spacing w:val="5"/>
              </w:rPr>
              <w:t>汞的测定》</w:t>
            </w:r>
            <w:r>
              <w:rPr>
                <w:rFonts w:ascii="Times New Roman" w:hAnsi="Times New Roman" w:eastAsia="Times New Roman" w:cs="Times New Roman"/>
                <w:spacing w:val="5"/>
              </w:rPr>
              <w:t>/</w:t>
            </w:r>
            <w:r>
              <w:rPr>
                <w:rFonts w:ascii="Times New Roman" w:hAnsi="Times New Roman" w:eastAsia="Times New Roman" w:cs="Times New Roman"/>
              </w:rPr>
              <w:t>GB</w:t>
            </w:r>
            <w:r>
              <w:rPr>
                <w:rFonts w:ascii="Times New Roman" w:hAnsi="Times New Roman" w:eastAsia="Times New Roman" w:cs="Times New Roman"/>
                <w:spacing w:val="5"/>
              </w:rPr>
              <w:t>/T 22105.1-2008</w:t>
            </w:r>
          </w:p>
        </w:tc>
        <w:tc>
          <w:tcPr>
            <w:tcW w:w="1995" w:type="dxa"/>
            <w:vAlign w:val="top"/>
          </w:tcPr>
          <w:p>
            <w:pPr>
              <w:pStyle w:val="TableText"/>
              <w:ind w:left="109" w:right="50" w:hanging="46"/>
              <w:spacing w:before="209" w:line="300" w:lineRule="auto"/>
              <w:rPr>
                <w:rFonts w:ascii="Times New Roman" w:hAnsi="Times New Roman" w:eastAsia="Times New Roman" w:cs="Times New Roman"/>
              </w:rPr>
            </w:pPr>
            <w:r>
              <w:rPr>
                <w:spacing w:val="8"/>
              </w:rPr>
              <w:t>原子荧光分光光度计</w:t>
            </w:r>
            <w:r>
              <w:rPr>
                <w:spacing w:val="2"/>
              </w:rPr>
              <w:t xml:space="preserve"> </w:t>
            </w:r>
            <w:r>
              <w:rPr>
                <w:rFonts w:ascii="Times New Roman" w:hAnsi="Times New Roman" w:eastAsia="Times New Roman" w:cs="Times New Roman"/>
              </w:rPr>
              <w:t>AFS</w:t>
            </w:r>
            <w:r>
              <w:rPr>
                <w:rFonts w:ascii="Times New Roman" w:hAnsi="Times New Roman" w:eastAsia="Times New Roman" w:cs="Times New Roman"/>
                <w:spacing w:val="5"/>
              </w:rPr>
              <w:t>-8220</w:t>
            </w:r>
            <w:r>
              <w:rPr>
                <w:rFonts w:ascii="Times New Roman" w:hAnsi="Times New Roman" w:eastAsia="Times New Roman" w:cs="Times New Roman"/>
                <w:spacing w:val="-20"/>
              </w:rPr>
              <w:t xml:space="preserve"> </w:t>
            </w:r>
            <w:r>
              <w:rPr>
                <w:spacing w:val="5"/>
              </w:rPr>
              <w:t>、</w:t>
            </w:r>
            <w:r>
              <w:rPr>
                <w:rFonts w:ascii="Times New Roman" w:hAnsi="Times New Roman" w:eastAsia="Times New Roman" w:cs="Times New Roman"/>
              </w:rPr>
              <w:t>YQ</w:t>
            </w:r>
            <w:r>
              <w:rPr>
                <w:rFonts w:ascii="Times New Roman" w:hAnsi="Times New Roman" w:eastAsia="Times New Roman" w:cs="Times New Roman"/>
                <w:spacing w:val="5"/>
              </w:rPr>
              <w:t>-001</w:t>
            </w:r>
          </w:p>
        </w:tc>
      </w:tr>
      <w:tr>
        <w:trPr>
          <w:trHeight w:val="629" w:hRule="atLeast"/>
        </w:trPr>
        <w:tc>
          <w:tcPr>
            <w:tcW w:w="2154" w:type="dxa"/>
            <w:vAlign w:val="top"/>
          </w:tcPr>
          <w:p>
            <w:pPr>
              <w:pStyle w:val="TableText"/>
              <w:ind w:left="248"/>
              <w:spacing w:before="209" w:line="228" w:lineRule="auto"/>
              <w:rPr/>
            </w:pPr>
            <w:r>
              <w:rPr>
                <w:spacing w:val="5"/>
              </w:rPr>
              <w:t>石油烃（</w:t>
            </w:r>
            <w:r>
              <w:rPr>
                <w:rFonts w:ascii="Times New Roman" w:hAnsi="Times New Roman" w:eastAsia="Times New Roman" w:cs="Times New Roman"/>
                <w:spacing w:val="5"/>
              </w:rPr>
              <w:t>C</w:t>
            </w:r>
            <w:r>
              <w:rPr>
                <w:rFonts w:ascii="Times New Roman" w:hAnsi="Times New Roman" w:eastAsia="Times New Roman" w:cs="Times New Roman"/>
                <w:sz w:val="13"/>
                <w:szCs w:val="13"/>
                <w:spacing w:val="5"/>
              </w:rPr>
              <w:t>10</w:t>
            </w:r>
            <w:r>
              <w:rPr>
                <w:rFonts w:ascii="Times New Roman" w:hAnsi="Times New Roman" w:eastAsia="Times New Roman" w:cs="Times New Roman"/>
                <w:spacing w:val="5"/>
              </w:rPr>
              <w:t>-C</w:t>
            </w:r>
            <w:r>
              <w:rPr>
                <w:rFonts w:ascii="Times New Roman" w:hAnsi="Times New Roman" w:eastAsia="Times New Roman" w:cs="Times New Roman"/>
                <w:sz w:val="13"/>
                <w:szCs w:val="13"/>
                <w:spacing w:val="5"/>
                <w:position w:val="-1"/>
              </w:rPr>
              <w:t>40</w:t>
            </w:r>
            <w:r>
              <w:rPr>
                <w:spacing w:val="5"/>
              </w:rPr>
              <w:t>）</w:t>
            </w:r>
          </w:p>
        </w:tc>
        <w:tc>
          <w:tcPr>
            <w:tcW w:w="1075" w:type="dxa"/>
            <w:vAlign w:val="top"/>
          </w:tcPr>
          <w:p>
            <w:pPr>
              <w:ind w:left="223"/>
              <w:spacing w:before="241"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9"/>
              </w:rPr>
              <w:t>6</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9"/>
              </w:rPr>
              <w:t>/</w:t>
            </w:r>
            <w:r>
              <w:rPr>
                <w:rFonts w:ascii="Times New Roman" w:hAnsi="Times New Roman" w:eastAsia="Times New Roman" w:cs="Times New Roman"/>
                <w:sz w:val="20"/>
                <w:szCs w:val="20"/>
              </w:rPr>
              <w:t>kg</w:t>
            </w:r>
          </w:p>
        </w:tc>
        <w:tc>
          <w:tcPr>
            <w:tcW w:w="3291" w:type="dxa"/>
            <w:vAlign w:val="top"/>
          </w:tcPr>
          <w:p>
            <w:pPr>
              <w:pStyle w:val="TableText"/>
              <w:ind w:left="44" w:right="17" w:hanging="11"/>
              <w:spacing w:before="53" w:line="261" w:lineRule="auto"/>
              <w:rPr>
                <w:rFonts w:ascii="Times New Roman" w:hAnsi="Times New Roman" w:eastAsia="Times New Roman" w:cs="Times New Roman"/>
              </w:rPr>
            </w:pPr>
            <w:r>
              <w:rPr>
                <w:spacing w:val="5"/>
              </w:rPr>
              <w:t>《土壤和沉积物 石油烃（</w:t>
            </w:r>
            <w:r>
              <w:rPr>
                <w:rFonts w:ascii="Times New Roman" w:hAnsi="Times New Roman" w:eastAsia="Times New Roman" w:cs="Times New Roman"/>
                <w:spacing w:val="5"/>
              </w:rPr>
              <w:t>C</w:t>
            </w:r>
            <w:r>
              <w:rPr>
                <w:rFonts w:ascii="Times New Roman" w:hAnsi="Times New Roman" w:eastAsia="Times New Roman" w:cs="Times New Roman"/>
                <w:sz w:val="13"/>
                <w:szCs w:val="13"/>
                <w:spacing w:val="5"/>
              </w:rPr>
              <w:t>10</w:t>
            </w:r>
            <w:r>
              <w:rPr>
                <w:rFonts w:ascii="Times New Roman" w:hAnsi="Times New Roman" w:eastAsia="Times New Roman" w:cs="Times New Roman"/>
                <w:spacing w:val="5"/>
              </w:rPr>
              <w:t>-C</w:t>
            </w:r>
            <w:r>
              <w:rPr>
                <w:rFonts w:ascii="Times New Roman" w:hAnsi="Times New Roman" w:eastAsia="Times New Roman" w:cs="Times New Roman"/>
                <w:sz w:val="13"/>
                <w:szCs w:val="13"/>
                <w:spacing w:val="5"/>
                <w:position w:val="-1"/>
              </w:rPr>
              <w:t>40 </w:t>
            </w:r>
            <w:r>
              <w:rPr>
                <w:spacing w:val="5"/>
              </w:rPr>
              <w:t>）</w:t>
            </w:r>
            <w:r>
              <w:rPr>
                <w:spacing w:val="3"/>
              </w:rPr>
              <w:t xml:space="preserve"> </w:t>
            </w:r>
            <w:r>
              <w:rPr>
                <w:spacing w:val="5"/>
              </w:rPr>
              <w:t>的测定 气相色谱法》</w:t>
            </w:r>
            <w:r>
              <w:rPr>
                <w:rFonts w:ascii="Times New Roman" w:hAnsi="Times New Roman" w:eastAsia="Times New Roman" w:cs="Times New Roman"/>
                <w:spacing w:val="5"/>
              </w:rPr>
              <w:t>/</w:t>
            </w:r>
            <w:r>
              <w:rPr>
                <w:rFonts w:ascii="Times New Roman" w:hAnsi="Times New Roman" w:eastAsia="Times New Roman" w:cs="Times New Roman"/>
              </w:rPr>
              <w:t>HJ</w:t>
            </w:r>
            <w:r>
              <w:rPr>
                <w:rFonts w:ascii="Times New Roman" w:hAnsi="Times New Roman" w:eastAsia="Times New Roman" w:cs="Times New Roman"/>
                <w:spacing w:val="27"/>
                <w:w w:val="101"/>
              </w:rPr>
              <w:t xml:space="preserve"> </w:t>
            </w:r>
            <w:r>
              <w:rPr>
                <w:rFonts w:ascii="Times New Roman" w:hAnsi="Times New Roman" w:eastAsia="Times New Roman" w:cs="Times New Roman"/>
                <w:spacing w:val="5"/>
              </w:rPr>
              <w:t>1021-2019</w:t>
            </w:r>
          </w:p>
        </w:tc>
        <w:tc>
          <w:tcPr>
            <w:tcW w:w="1995" w:type="dxa"/>
            <w:vAlign w:val="top"/>
          </w:tcPr>
          <w:p>
            <w:pPr>
              <w:pStyle w:val="TableText"/>
              <w:ind w:left="479"/>
              <w:spacing w:before="52" w:line="228" w:lineRule="auto"/>
              <w:rPr/>
            </w:pPr>
            <w:r>
              <w:rPr>
                <w:spacing w:val="7"/>
              </w:rPr>
              <w:t>气相色谱仪</w:t>
            </w:r>
          </w:p>
          <w:p>
            <w:pPr>
              <w:pStyle w:val="TableText"/>
              <w:ind w:left="91"/>
              <w:spacing w:before="100" w:line="188" w:lineRule="auto"/>
              <w:rPr>
                <w:rFonts w:ascii="Times New Roman" w:hAnsi="Times New Roman" w:eastAsia="Times New Roman" w:cs="Times New Roman"/>
              </w:rPr>
            </w:pPr>
            <w:r>
              <w:rPr>
                <w:rFonts w:ascii="Times New Roman" w:hAnsi="Times New Roman" w:eastAsia="Times New Roman" w:cs="Times New Roman"/>
              </w:rPr>
              <w:t>GC</w:t>
            </w:r>
            <w:r>
              <w:rPr>
                <w:rFonts w:ascii="Times New Roman" w:hAnsi="Times New Roman" w:eastAsia="Times New Roman" w:cs="Times New Roman"/>
                <w:spacing w:val="5"/>
              </w:rPr>
              <w:t>-2014C</w:t>
            </w:r>
            <w:r>
              <w:rPr>
                <w:rFonts w:ascii="Times New Roman" w:hAnsi="Times New Roman" w:eastAsia="Times New Roman" w:cs="Times New Roman"/>
                <w:spacing w:val="-27"/>
              </w:rPr>
              <w:t xml:space="preserve"> </w:t>
            </w:r>
            <w:r>
              <w:rPr>
                <w:spacing w:val="5"/>
              </w:rPr>
              <w:t>、</w:t>
            </w:r>
            <w:r>
              <w:rPr>
                <w:rFonts w:ascii="Times New Roman" w:hAnsi="Times New Roman" w:eastAsia="Times New Roman" w:cs="Times New Roman"/>
              </w:rPr>
              <w:t>YQ</w:t>
            </w:r>
            <w:r>
              <w:rPr>
                <w:rFonts w:ascii="Times New Roman" w:hAnsi="Times New Roman" w:eastAsia="Times New Roman" w:cs="Times New Roman"/>
                <w:spacing w:val="5"/>
              </w:rPr>
              <w:t>-192</w:t>
            </w:r>
          </w:p>
        </w:tc>
      </w:tr>
      <w:tr>
        <w:trPr>
          <w:trHeight w:val="628" w:hRule="atLeast"/>
        </w:trPr>
        <w:tc>
          <w:tcPr>
            <w:tcW w:w="2154" w:type="dxa"/>
            <w:vAlign w:val="top"/>
          </w:tcPr>
          <w:p>
            <w:pPr>
              <w:pStyle w:val="TableText"/>
              <w:ind w:left="815"/>
              <w:spacing w:before="208" w:line="221" w:lineRule="auto"/>
              <w:rPr/>
            </w:pPr>
            <w:r>
              <w:rPr>
                <w:rFonts w:ascii="Times New Roman" w:hAnsi="Times New Roman" w:eastAsia="Times New Roman" w:cs="Times New Roman"/>
              </w:rPr>
              <w:t>pH</w:t>
            </w:r>
            <w:r>
              <w:rPr>
                <w:rFonts w:ascii="Times New Roman" w:hAnsi="Times New Roman" w:eastAsia="Times New Roman" w:cs="Times New Roman"/>
                <w:spacing w:val="11"/>
              </w:rPr>
              <w:t xml:space="preserve"> </w:t>
            </w:r>
            <w:r>
              <w:rPr>
                <w:spacing w:val="13"/>
              </w:rPr>
              <w:t>值</w:t>
            </w:r>
          </w:p>
        </w:tc>
        <w:tc>
          <w:tcPr>
            <w:tcW w:w="1075" w:type="dxa"/>
            <w:vAlign w:val="top"/>
          </w:tcPr>
          <w:p>
            <w:pPr>
              <w:ind w:left="505"/>
              <w:spacing w:before="24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3291" w:type="dxa"/>
            <w:vAlign w:val="top"/>
          </w:tcPr>
          <w:p>
            <w:pPr>
              <w:pStyle w:val="TableText"/>
              <w:ind w:left="96"/>
              <w:spacing w:before="52" w:line="221" w:lineRule="auto"/>
              <w:rPr>
                <w:rFonts w:ascii="Times New Roman" w:hAnsi="Times New Roman" w:eastAsia="Times New Roman" w:cs="Times New Roman"/>
              </w:rPr>
            </w:pPr>
            <w:r>
              <w:rPr>
                <w:spacing w:val="6"/>
              </w:rPr>
              <w:t>《土壤 </w:t>
            </w:r>
            <w:r>
              <w:rPr>
                <w:rFonts w:ascii="Times New Roman" w:hAnsi="Times New Roman" w:eastAsia="Times New Roman" w:cs="Times New Roman"/>
              </w:rPr>
              <w:t>pH</w:t>
            </w:r>
            <w:r>
              <w:rPr>
                <w:rFonts w:ascii="Times New Roman" w:hAnsi="Times New Roman" w:eastAsia="Times New Roman" w:cs="Times New Roman"/>
                <w:spacing w:val="6"/>
              </w:rPr>
              <w:t xml:space="preserve"> </w:t>
            </w:r>
            <w:r>
              <w:rPr>
                <w:spacing w:val="6"/>
              </w:rPr>
              <w:t>值的测定</w:t>
            </w:r>
            <w:r>
              <w:rPr>
                <w:spacing w:val="48"/>
              </w:rPr>
              <w:t xml:space="preserve"> </w:t>
            </w:r>
            <w:r>
              <w:rPr>
                <w:spacing w:val="6"/>
              </w:rPr>
              <w:t>电位法》</w:t>
            </w:r>
            <w:r>
              <w:rPr>
                <w:rFonts w:ascii="Times New Roman" w:hAnsi="Times New Roman" w:eastAsia="Times New Roman" w:cs="Times New Roman"/>
                <w:spacing w:val="6"/>
              </w:rPr>
              <w:t>/</w:t>
            </w:r>
            <w:r>
              <w:rPr>
                <w:rFonts w:ascii="Times New Roman" w:hAnsi="Times New Roman" w:eastAsia="Times New Roman" w:cs="Times New Roman"/>
              </w:rPr>
              <w:t>HJ</w:t>
            </w:r>
          </w:p>
          <w:p>
            <w:pPr>
              <w:ind w:left="1250"/>
              <w:spacing w:before="1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962-2018</w:t>
            </w:r>
          </w:p>
        </w:tc>
        <w:tc>
          <w:tcPr>
            <w:tcW w:w="1995" w:type="dxa"/>
            <w:vAlign w:val="top"/>
          </w:tcPr>
          <w:p>
            <w:pPr>
              <w:pStyle w:val="TableText"/>
              <w:ind w:left="651" w:right="217" w:hanging="472"/>
              <w:spacing w:before="52" w:line="277" w:lineRule="auto"/>
              <w:rPr>
                <w:rFonts w:ascii="Times New Roman" w:hAnsi="Times New Roman" w:eastAsia="Times New Roman" w:cs="Times New Roman"/>
              </w:rPr>
            </w:pPr>
            <w:r>
              <w:rPr>
                <w:rFonts w:ascii="Times New Roman" w:hAnsi="Times New Roman" w:eastAsia="Times New Roman" w:cs="Times New Roman"/>
              </w:rPr>
              <w:t>pH</w:t>
            </w:r>
            <w:r>
              <w:rPr>
                <w:rFonts w:ascii="Times New Roman" w:hAnsi="Times New Roman" w:eastAsia="Times New Roman" w:cs="Times New Roman"/>
                <w:spacing w:val="4"/>
              </w:rPr>
              <w:t xml:space="preserve"> </w:t>
            </w:r>
            <w:r>
              <w:rPr>
                <w:spacing w:val="4"/>
              </w:rPr>
              <w:t>计</w:t>
            </w:r>
            <w:r>
              <w:rPr>
                <w:spacing w:val="8"/>
              </w:rPr>
              <w:t xml:space="preserve">  </w:t>
            </w:r>
            <w:r>
              <w:rPr>
                <w:rFonts w:ascii="Times New Roman" w:hAnsi="Times New Roman" w:eastAsia="Times New Roman" w:cs="Times New Roman"/>
              </w:rPr>
              <w:t>PHS</w:t>
            </w:r>
            <w:r>
              <w:rPr>
                <w:rFonts w:ascii="Times New Roman" w:hAnsi="Times New Roman" w:eastAsia="Times New Roman" w:cs="Times New Roman"/>
                <w:spacing w:val="4"/>
              </w:rPr>
              <w:t>-3E</w:t>
            </w:r>
            <w:r>
              <w:rPr>
                <w:spacing w:val="4"/>
              </w:rPr>
              <w:t>、</w:t>
            </w:r>
            <w:r>
              <w:rPr>
                <w:spacing w:val="1"/>
              </w:rPr>
              <w:t xml:space="preserve"> </w:t>
            </w:r>
            <w:r>
              <w:rPr>
                <w:rFonts w:ascii="Times New Roman" w:hAnsi="Times New Roman" w:eastAsia="Times New Roman" w:cs="Times New Roman"/>
              </w:rPr>
              <w:t>YQ</w:t>
            </w:r>
            <w:r>
              <w:rPr>
                <w:rFonts w:ascii="Times New Roman" w:hAnsi="Times New Roman" w:eastAsia="Times New Roman" w:cs="Times New Roman"/>
                <w:spacing w:val="7"/>
              </w:rPr>
              <w:t>-067</w:t>
            </w:r>
          </w:p>
        </w:tc>
      </w:tr>
      <w:tr>
        <w:trPr>
          <w:trHeight w:val="628" w:hRule="atLeast"/>
        </w:trPr>
        <w:tc>
          <w:tcPr>
            <w:tcW w:w="2154" w:type="dxa"/>
            <w:vAlign w:val="top"/>
          </w:tcPr>
          <w:p>
            <w:pPr>
              <w:pStyle w:val="TableText"/>
              <w:ind w:left="769"/>
              <w:spacing w:before="208" w:line="228" w:lineRule="auto"/>
              <w:rPr/>
            </w:pPr>
            <w:r>
              <w:rPr>
                <w:spacing w:val="6"/>
              </w:rPr>
              <w:t>渗透率</w:t>
            </w:r>
          </w:p>
        </w:tc>
        <w:tc>
          <w:tcPr>
            <w:tcW w:w="1075" w:type="dxa"/>
            <w:vAlign w:val="top"/>
          </w:tcPr>
          <w:p>
            <w:pPr>
              <w:ind w:left="505"/>
              <w:spacing w:before="241"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3291" w:type="dxa"/>
            <w:vAlign w:val="top"/>
          </w:tcPr>
          <w:p>
            <w:pPr>
              <w:pStyle w:val="TableText"/>
              <w:ind w:left="134"/>
              <w:spacing w:before="52" w:line="228" w:lineRule="auto"/>
              <w:rPr>
                <w:rFonts w:ascii="Times New Roman" w:hAnsi="Times New Roman" w:eastAsia="Times New Roman" w:cs="Times New Roman"/>
              </w:rPr>
            </w:pPr>
            <w:r>
              <w:rPr>
                <w:spacing w:val="8"/>
              </w:rPr>
              <w:t>《森林土壤渗滤率的测定》</w:t>
            </w:r>
            <w:r>
              <w:rPr>
                <w:rFonts w:ascii="Times New Roman" w:hAnsi="Times New Roman" w:eastAsia="Times New Roman" w:cs="Times New Roman"/>
                <w:spacing w:val="8"/>
              </w:rPr>
              <w:t>/</w:t>
            </w:r>
            <w:r>
              <w:rPr>
                <w:rFonts w:ascii="Times New Roman" w:hAnsi="Times New Roman" w:eastAsia="Times New Roman" w:cs="Times New Roman"/>
              </w:rPr>
              <w:t>LY</w:t>
            </w:r>
            <w:r>
              <w:rPr>
                <w:rFonts w:ascii="Times New Roman" w:hAnsi="Times New Roman" w:eastAsia="Times New Roman" w:cs="Times New Roman"/>
                <w:spacing w:val="8"/>
              </w:rPr>
              <w:t>/T</w:t>
            </w:r>
          </w:p>
          <w:p>
            <w:pPr>
              <w:ind w:left="1213"/>
              <w:spacing w:before="10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1218-1999</w:t>
            </w:r>
          </w:p>
        </w:tc>
        <w:tc>
          <w:tcPr>
            <w:tcW w:w="1995" w:type="dxa"/>
            <w:vAlign w:val="top"/>
          </w:tcPr>
          <w:p>
            <w:pPr>
              <w:spacing w:line="275" w:lineRule="auto"/>
              <w:rPr>
                <w:rFonts w:ascii="Arial"/>
                <w:sz w:val="21"/>
              </w:rPr>
            </w:pPr>
            <w:r/>
          </w:p>
          <w:p>
            <w:pPr>
              <w:ind w:left="783"/>
              <w:spacing w:before="57"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position w:val="-2"/>
              </w:rPr>
              <w:t>——</w:t>
            </w:r>
          </w:p>
        </w:tc>
      </w:tr>
      <w:tr>
        <w:trPr>
          <w:trHeight w:val="628" w:hRule="atLeast"/>
        </w:trPr>
        <w:tc>
          <w:tcPr>
            <w:tcW w:w="2154" w:type="dxa"/>
            <w:vAlign w:val="top"/>
          </w:tcPr>
          <w:p>
            <w:pPr>
              <w:pStyle w:val="TableText"/>
              <w:ind w:left="663"/>
              <w:spacing w:before="210" w:line="228" w:lineRule="auto"/>
              <w:rPr/>
            </w:pPr>
            <w:r>
              <w:rPr>
                <w:spacing w:val="7"/>
              </w:rPr>
              <w:t>土壤容重</w:t>
            </w:r>
          </w:p>
        </w:tc>
        <w:tc>
          <w:tcPr>
            <w:tcW w:w="1075" w:type="dxa"/>
            <w:vAlign w:val="top"/>
          </w:tcPr>
          <w:p>
            <w:pPr>
              <w:ind w:left="505"/>
              <w:spacing w:before="241"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3291" w:type="dxa"/>
            <w:vAlign w:val="top"/>
          </w:tcPr>
          <w:p>
            <w:pPr>
              <w:pStyle w:val="TableText"/>
              <w:ind w:left="503" w:right="1" w:hanging="487"/>
              <w:spacing w:before="54" w:line="260" w:lineRule="auto"/>
              <w:rPr>
                <w:rFonts w:ascii="Times New Roman" w:hAnsi="Times New Roman" w:eastAsia="Times New Roman" w:cs="Times New Roman"/>
              </w:rPr>
            </w:pPr>
            <w:r>
              <w:rPr/>
              <w:t>《</w:t>
            </w:r>
            <w:r>
              <w:rPr>
                <w:spacing w:val="45"/>
              </w:rPr>
              <w:t xml:space="preserve"> </w:t>
            </w:r>
            <w:r>
              <w:rPr/>
              <w:t>土壤检测 第</w:t>
            </w:r>
            <w:r>
              <w:rPr>
                <w:spacing w:val="-44"/>
              </w:rPr>
              <w:t xml:space="preserve"> </w:t>
            </w:r>
            <w:r>
              <w:rPr>
                <w:rFonts w:ascii="Times New Roman" w:hAnsi="Times New Roman" w:eastAsia="Times New Roman" w:cs="Times New Roman"/>
              </w:rPr>
              <w:t>4</w:t>
            </w:r>
            <w:r>
              <w:rPr>
                <w:rFonts w:ascii="Times New Roman" w:hAnsi="Times New Roman" w:eastAsia="Times New Roman" w:cs="Times New Roman"/>
                <w:spacing w:val="15"/>
              </w:rPr>
              <w:t xml:space="preserve"> </w:t>
            </w:r>
            <w:r>
              <w:rPr/>
              <w:t>部分：土壤容重的 </w:t>
            </w:r>
            <w:r>
              <w:rPr>
                <w:spacing w:val="4"/>
              </w:rPr>
              <w:t>测定》</w:t>
            </w:r>
            <w:r>
              <w:rPr>
                <w:rFonts w:ascii="Times New Roman" w:hAnsi="Times New Roman" w:eastAsia="Times New Roman" w:cs="Times New Roman"/>
                <w:spacing w:val="4"/>
              </w:rPr>
              <w:t>/</w:t>
            </w:r>
            <w:r>
              <w:rPr>
                <w:rFonts w:ascii="Times New Roman" w:hAnsi="Times New Roman" w:eastAsia="Times New Roman" w:cs="Times New Roman"/>
              </w:rPr>
              <w:t>NY</w:t>
            </w:r>
            <w:r>
              <w:rPr>
                <w:rFonts w:ascii="Times New Roman" w:hAnsi="Times New Roman" w:eastAsia="Times New Roman" w:cs="Times New Roman"/>
                <w:spacing w:val="4"/>
              </w:rPr>
              <w:t>/T</w:t>
            </w:r>
            <w:r>
              <w:rPr>
                <w:rFonts w:ascii="Times New Roman" w:hAnsi="Times New Roman" w:eastAsia="Times New Roman" w:cs="Times New Roman"/>
                <w:spacing w:val="29"/>
              </w:rPr>
              <w:t xml:space="preserve"> </w:t>
            </w:r>
            <w:r>
              <w:rPr>
                <w:rFonts w:ascii="Times New Roman" w:hAnsi="Times New Roman" w:eastAsia="Times New Roman" w:cs="Times New Roman"/>
                <w:spacing w:val="4"/>
              </w:rPr>
              <w:t>1121.4-2006</w:t>
            </w:r>
          </w:p>
        </w:tc>
        <w:tc>
          <w:tcPr>
            <w:tcW w:w="1995" w:type="dxa"/>
            <w:vAlign w:val="top"/>
          </w:tcPr>
          <w:p>
            <w:pPr>
              <w:spacing w:line="278" w:lineRule="auto"/>
              <w:rPr>
                <w:rFonts w:ascii="Arial"/>
                <w:sz w:val="21"/>
              </w:rPr>
            </w:pPr>
            <w:r/>
          </w:p>
          <w:p>
            <w:pPr>
              <w:ind w:left="783"/>
              <w:spacing w:before="57"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position w:val="-2"/>
              </w:rPr>
              <w:t>——</w:t>
            </w:r>
          </w:p>
        </w:tc>
      </w:tr>
      <w:tr>
        <w:trPr>
          <w:trHeight w:val="629" w:hRule="atLeast"/>
        </w:trPr>
        <w:tc>
          <w:tcPr>
            <w:tcW w:w="2154" w:type="dxa"/>
            <w:vAlign w:val="top"/>
          </w:tcPr>
          <w:p>
            <w:pPr>
              <w:pStyle w:val="TableText"/>
              <w:ind w:left="452"/>
              <w:spacing w:before="210" w:line="227" w:lineRule="auto"/>
              <w:rPr/>
            </w:pPr>
            <w:r>
              <w:rPr>
                <w:spacing w:val="8"/>
              </w:rPr>
              <w:t>氧化还原电位</w:t>
            </w:r>
          </w:p>
        </w:tc>
        <w:tc>
          <w:tcPr>
            <w:tcW w:w="1075" w:type="dxa"/>
            <w:vAlign w:val="top"/>
          </w:tcPr>
          <w:p>
            <w:pPr>
              <w:ind w:left="505"/>
              <w:spacing w:before="242"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3291" w:type="dxa"/>
            <w:vAlign w:val="top"/>
          </w:tcPr>
          <w:p>
            <w:pPr>
              <w:pStyle w:val="TableText"/>
              <w:ind w:left="894" w:right="68" w:hanging="813"/>
              <w:spacing w:before="53" w:line="261" w:lineRule="auto"/>
              <w:rPr>
                <w:rFonts w:ascii="Times New Roman" w:hAnsi="Times New Roman" w:eastAsia="Times New Roman" w:cs="Times New Roman"/>
              </w:rPr>
            </w:pPr>
            <w:r>
              <w:rPr>
                <w:spacing w:val="6"/>
              </w:rPr>
              <w:t>《土壤 氧化还原电位的测定</w:t>
            </w:r>
            <w:r>
              <w:rPr>
                <w:spacing w:val="44"/>
              </w:rPr>
              <w:t xml:space="preserve"> </w:t>
            </w:r>
            <w:r>
              <w:rPr>
                <w:spacing w:val="6"/>
              </w:rPr>
              <w:t>电位</w:t>
            </w:r>
            <w:r>
              <w:rPr/>
              <w:t xml:space="preserve"> </w:t>
            </w:r>
            <w:r>
              <w:rPr>
                <w:spacing w:val="5"/>
              </w:rPr>
              <w:t>法》</w:t>
            </w:r>
            <w:r>
              <w:rPr>
                <w:rFonts w:ascii="Times New Roman" w:hAnsi="Times New Roman" w:eastAsia="Times New Roman" w:cs="Times New Roman"/>
                <w:spacing w:val="5"/>
              </w:rPr>
              <w:t>/</w:t>
            </w:r>
            <w:r>
              <w:rPr>
                <w:rFonts w:ascii="Times New Roman" w:hAnsi="Times New Roman" w:eastAsia="Times New Roman" w:cs="Times New Roman"/>
              </w:rPr>
              <w:t>HJ</w:t>
            </w:r>
            <w:r>
              <w:rPr>
                <w:rFonts w:ascii="Times New Roman" w:hAnsi="Times New Roman" w:eastAsia="Times New Roman" w:cs="Times New Roman"/>
                <w:spacing w:val="5"/>
              </w:rPr>
              <w:t>746-2015</w:t>
            </w:r>
          </w:p>
        </w:tc>
        <w:tc>
          <w:tcPr>
            <w:tcW w:w="1995" w:type="dxa"/>
            <w:vAlign w:val="top"/>
          </w:tcPr>
          <w:p>
            <w:pPr>
              <w:pStyle w:val="TableText"/>
              <w:ind w:left="146" w:right="142" w:firstLine="23"/>
              <w:spacing w:before="53" w:line="261" w:lineRule="auto"/>
              <w:rPr>
                <w:rFonts w:ascii="Times New Roman" w:hAnsi="Times New Roman" w:eastAsia="Times New Roman" w:cs="Times New Roman"/>
              </w:rPr>
            </w:pPr>
            <w:r>
              <w:rPr>
                <w:spacing w:val="10"/>
              </w:rPr>
              <w:t>便携式</w:t>
            </w:r>
            <w:r>
              <w:rPr>
                <w:spacing w:val="-44"/>
              </w:rPr>
              <w:t xml:space="preserve"> </w:t>
            </w:r>
            <w:r>
              <w:rPr>
                <w:rFonts w:ascii="Times New Roman" w:hAnsi="Times New Roman" w:eastAsia="Times New Roman" w:cs="Times New Roman"/>
              </w:rPr>
              <w:t>pH</w:t>
            </w:r>
            <w:r>
              <w:rPr>
                <w:rFonts w:ascii="Times New Roman" w:hAnsi="Times New Roman" w:eastAsia="Times New Roman" w:cs="Times New Roman"/>
                <w:spacing w:val="10"/>
              </w:rPr>
              <w:t>/</w:t>
            </w:r>
            <w:r>
              <w:rPr>
                <w:rFonts w:ascii="Times New Roman" w:hAnsi="Times New Roman" w:eastAsia="Times New Roman" w:cs="Times New Roman"/>
              </w:rPr>
              <w:t>ORP</w:t>
            </w:r>
            <w:r>
              <w:rPr>
                <w:rFonts w:ascii="Times New Roman" w:hAnsi="Times New Roman" w:eastAsia="Times New Roman" w:cs="Times New Roman"/>
                <w:spacing w:val="10"/>
              </w:rPr>
              <w:t xml:space="preserve"> </w:t>
            </w:r>
            <w:r>
              <w:rPr>
                <w:spacing w:val="10"/>
              </w:rPr>
              <w:t>计</w:t>
            </w:r>
            <w:r>
              <w:rPr/>
              <w:t xml:space="preserve"> </w:t>
            </w:r>
            <w:r>
              <w:rPr>
                <w:rFonts w:ascii="Times New Roman" w:hAnsi="Times New Roman" w:eastAsia="Times New Roman" w:cs="Times New Roman"/>
              </w:rPr>
              <w:t>YHBJ</w:t>
            </w:r>
            <w:r>
              <w:rPr>
                <w:rFonts w:ascii="Times New Roman" w:hAnsi="Times New Roman" w:eastAsia="Times New Roman" w:cs="Times New Roman"/>
                <w:spacing w:val="6"/>
              </w:rPr>
              <w:t>-26</w:t>
            </w:r>
            <w:r>
              <w:rPr>
                <w:rFonts w:ascii="Times New Roman" w:hAnsi="Times New Roman" w:eastAsia="Times New Roman" w:cs="Times New Roman"/>
                <w:spacing w:val="-21"/>
              </w:rPr>
              <w:t xml:space="preserve"> </w:t>
            </w:r>
            <w:r>
              <w:rPr>
                <w:spacing w:val="6"/>
              </w:rPr>
              <w:t>、</w:t>
            </w:r>
            <w:r>
              <w:rPr>
                <w:rFonts w:ascii="Times New Roman" w:hAnsi="Times New Roman" w:eastAsia="Times New Roman" w:cs="Times New Roman"/>
              </w:rPr>
              <w:t>YQ</w:t>
            </w:r>
            <w:r>
              <w:rPr>
                <w:rFonts w:ascii="Times New Roman" w:hAnsi="Times New Roman" w:eastAsia="Times New Roman" w:cs="Times New Roman"/>
                <w:spacing w:val="6"/>
              </w:rPr>
              <w:t>-195</w:t>
            </w:r>
          </w:p>
        </w:tc>
      </w:tr>
      <w:tr>
        <w:trPr>
          <w:trHeight w:val="940" w:hRule="atLeast"/>
        </w:trPr>
        <w:tc>
          <w:tcPr>
            <w:tcW w:w="2154" w:type="dxa"/>
            <w:vAlign w:val="top"/>
          </w:tcPr>
          <w:p>
            <w:pPr>
              <w:spacing w:line="301" w:lineRule="auto"/>
              <w:rPr>
                <w:rFonts w:ascii="Arial"/>
                <w:sz w:val="21"/>
              </w:rPr>
            </w:pPr>
            <w:r/>
          </w:p>
          <w:p>
            <w:pPr>
              <w:pStyle w:val="TableText"/>
              <w:ind w:left="467"/>
              <w:spacing w:before="65" w:line="228" w:lineRule="auto"/>
              <w:rPr/>
            </w:pPr>
            <w:r>
              <w:rPr>
                <w:spacing w:val="5"/>
              </w:rPr>
              <w:t>阳离子交换量</w:t>
            </w:r>
          </w:p>
        </w:tc>
        <w:tc>
          <w:tcPr>
            <w:tcW w:w="1075" w:type="dxa"/>
            <w:vAlign w:val="top"/>
          </w:tcPr>
          <w:p>
            <w:pPr>
              <w:spacing w:line="336" w:lineRule="auto"/>
              <w:rPr>
                <w:rFonts w:ascii="Arial"/>
                <w:sz w:val="21"/>
              </w:rPr>
            </w:pPr>
            <w:r/>
          </w:p>
          <w:p>
            <w:pPr>
              <w:ind w:left="27"/>
              <w:spacing w:before="57" w:line="20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0.8</w:t>
            </w:r>
            <w:r>
              <w:rPr>
                <w:rFonts w:ascii="Times New Roman" w:hAnsi="Times New Roman" w:eastAsia="Times New Roman" w:cs="Times New Roman"/>
                <w:sz w:val="20"/>
                <w:szCs w:val="20"/>
              </w:rPr>
              <w:t>cmol</w:t>
            </w:r>
            <w:r>
              <w:rPr>
                <w:rFonts w:ascii="Times New Roman" w:hAnsi="Times New Roman" w:eastAsia="Times New Roman" w:cs="Times New Roman"/>
                <w:sz w:val="13"/>
                <w:szCs w:val="13"/>
                <w:spacing w:val="7"/>
                <w:position w:val="6"/>
              </w:rPr>
              <w:t>+</w:t>
            </w:r>
            <w:r>
              <w:rPr>
                <w:rFonts w:ascii="Times New Roman" w:hAnsi="Times New Roman" w:eastAsia="Times New Roman" w:cs="Times New Roman"/>
                <w:sz w:val="20"/>
                <w:szCs w:val="20"/>
                <w:spacing w:val="7"/>
              </w:rPr>
              <w:t>/</w:t>
            </w:r>
            <w:r>
              <w:rPr>
                <w:rFonts w:ascii="Times New Roman" w:hAnsi="Times New Roman" w:eastAsia="Times New Roman" w:cs="Times New Roman"/>
                <w:sz w:val="20"/>
                <w:szCs w:val="20"/>
              </w:rPr>
              <w:t>kg</w:t>
            </w:r>
          </w:p>
        </w:tc>
        <w:tc>
          <w:tcPr>
            <w:tcW w:w="3291" w:type="dxa"/>
            <w:vAlign w:val="top"/>
          </w:tcPr>
          <w:p>
            <w:pPr>
              <w:pStyle w:val="TableText"/>
              <w:ind w:left="81"/>
              <w:spacing w:before="56" w:line="228" w:lineRule="auto"/>
              <w:rPr/>
            </w:pPr>
            <w:r>
              <w:rPr>
                <w:spacing w:val="7"/>
              </w:rPr>
              <w:t>《土壤 阳离子交换量的测定</w:t>
            </w:r>
            <w:r>
              <w:rPr>
                <w:spacing w:val="29"/>
              </w:rPr>
              <w:t xml:space="preserve"> </w:t>
            </w:r>
            <w:r>
              <w:rPr>
                <w:spacing w:val="7"/>
              </w:rPr>
              <w:t>三氯</w:t>
            </w:r>
          </w:p>
          <w:p>
            <w:pPr>
              <w:pStyle w:val="TableText"/>
              <w:ind w:left="105"/>
              <w:spacing w:before="64" w:line="228" w:lineRule="auto"/>
              <w:rPr>
                <w:rFonts w:ascii="Times New Roman" w:hAnsi="Times New Roman" w:eastAsia="Times New Roman" w:cs="Times New Roman"/>
              </w:rPr>
            </w:pPr>
            <w:r>
              <w:rPr>
                <w:spacing w:val="9"/>
              </w:rPr>
              <w:t>化六氨合钴浸提</w:t>
            </w:r>
            <w:r>
              <w:rPr>
                <w:rFonts w:ascii="Times New Roman" w:hAnsi="Times New Roman" w:eastAsia="Times New Roman" w:cs="Times New Roman"/>
                <w:spacing w:val="9"/>
              </w:rPr>
              <w:t>-</w:t>
            </w:r>
            <w:r>
              <w:rPr>
                <w:spacing w:val="9"/>
              </w:rPr>
              <w:t>分光光度法》</w:t>
            </w:r>
            <w:r>
              <w:rPr>
                <w:rFonts w:ascii="Times New Roman" w:hAnsi="Times New Roman" w:eastAsia="Times New Roman" w:cs="Times New Roman"/>
                <w:spacing w:val="9"/>
              </w:rPr>
              <w:t>/</w:t>
            </w:r>
            <w:r>
              <w:rPr>
                <w:rFonts w:ascii="Times New Roman" w:hAnsi="Times New Roman" w:eastAsia="Times New Roman" w:cs="Times New Roman"/>
              </w:rPr>
              <w:t>HJ</w:t>
            </w:r>
          </w:p>
          <w:p>
            <w:pPr>
              <w:ind w:left="1254"/>
              <w:spacing w:before="10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889-2017</w:t>
            </w:r>
          </w:p>
        </w:tc>
        <w:tc>
          <w:tcPr>
            <w:tcW w:w="1995" w:type="dxa"/>
            <w:vAlign w:val="top"/>
          </w:tcPr>
          <w:p>
            <w:pPr>
              <w:pStyle w:val="TableText"/>
              <w:ind w:left="264" w:right="257" w:firstLine="4"/>
              <w:spacing w:before="212" w:line="286" w:lineRule="auto"/>
              <w:rPr>
                <w:rFonts w:ascii="Times New Roman" w:hAnsi="Times New Roman" w:eastAsia="Times New Roman" w:cs="Times New Roman"/>
              </w:rPr>
            </w:pPr>
            <w:r>
              <w:rPr>
                <w:spacing w:val="8"/>
              </w:rPr>
              <w:t>可见分光光度计</w:t>
            </w:r>
            <w:r>
              <w:rPr>
                <w:spacing w:val="2"/>
              </w:rPr>
              <w:t xml:space="preserve"> </w:t>
            </w:r>
            <w:r>
              <w:rPr>
                <w:rFonts w:ascii="Times New Roman" w:hAnsi="Times New Roman" w:eastAsia="Times New Roman" w:cs="Times New Roman"/>
                <w:spacing w:val="5"/>
              </w:rPr>
              <w:t>721</w:t>
            </w:r>
            <w:r>
              <w:rPr>
                <w:rFonts w:ascii="Times New Roman" w:hAnsi="Times New Roman" w:eastAsia="Times New Roman" w:cs="Times New Roman"/>
                <w:spacing w:val="16"/>
              </w:rPr>
              <w:t xml:space="preserve"> </w:t>
            </w:r>
            <w:r>
              <w:rPr>
                <w:spacing w:val="5"/>
              </w:rPr>
              <w:t>型、</w:t>
            </w:r>
            <w:r>
              <w:rPr>
                <w:rFonts w:ascii="Times New Roman" w:hAnsi="Times New Roman" w:eastAsia="Times New Roman" w:cs="Times New Roman"/>
              </w:rPr>
              <w:t>YQ</w:t>
            </w:r>
            <w:r>
              <w:rPr>
                <w:rFonts w:ascii="Times New Roman" w:hAnsi="Times New Roman" w:eastAsia="Times New Roman" w:cs="Times New Roman"/>
                <w:spacing w:val="5"/>
              </w:rPr>
              <w:t>-016</w:t>
            </w:r>
          </w:p>
        </w:tc>
      </w:tr>
      <w:tr>
        <w:trPr>
          <w:trHeight w:val="633" w:hRule="atLeast"/>
        </w:trPr>
        <w:tc>
          <w:tcPr>
            <w:tcW w:w="2154" w:type="dxa"/>
            <w:vAlign w:val="top"/>
          </w:tcPr>
          <w:p>
            <w:pPr>
              <w:pStyle w:val="TableText"/>
              <w:ind w:left="769"/>
              <w:spacing w:before="213" w:line="228" w:lineRule="auto"/>
              <w:rPr/>
            </w:pPr>
            <w:r>
              <w:rPr>
                <w:spacing w:val="6"/>
              </w:rPr>
              <w:t>孔隙度</w:t>
            </w:r>
          </w:p>
        </w:tc>
        <w:tc>
          <w:tcPr>
            <w:tcW w:w="1075" w:type="dxa"/>
            <w:vAlign w:val="top"/>
          </w:tcPr>
          <w:p>
            <w:pPr>
              <w:ind w:left="505"/>
              <w:spacing w:before="24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3291" w:type="dxa"/>
            <w:vAlign w:val="top"/>
          </w:tcPr>
          <w:p>
            <w:pPr>
              <w:pStyle w:val="TableText"/>
              <w:spacing w:before="56" w:line="228" w:lineRule="auto"/>
              <w:jc w:val="right"/>
              <w:rPr/>
            </w:pPr>
            <w:r>
              <w:rPr>
                <w:spacing w:val="4"/>
              </w:rPr>
              <w:t>《</w:t>
            </w:r>
            <w:r>
              <w:rPr>
                <w:spacing w:val="37"/>
              </w:rPr>
              <w:t xml:space="preserve"> </w:t>
            </w:r>
            <w:r>
              <w:rPr>
                <w:spacing w:val="4"/>
              </w:rPr>
              <w:t>森林土壤水分</w:t>
            </w:r>
            <w:r>
              <w:rPr>
                <w:rFonts w:ascii="Times New Roman" w:hAnsi="Times New Roman" w:eastAsia="Times New Roman" w:cs="Times New Roman"/>
                <w:spacing w:val="4"/>
              </w:rPr>
              <w:t>-</w:t>
            </w:r>
            <w:r>
              <w:rPr>
                <w:spacing w:val="4"/>
              </w:rPr>
              <w:t>物理性质的测定》</w:t>
            </w:r>
          </w:p>
          <w:p>
            <w:pPr>
              <w:ind w:left="901"/>
              <w:spacing w:before="9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w:t>
            </w:r>
            <w:r>
              <w:rPr>
                <w:rFonts w:ascii="Times New Roman" w:hAnsi="Times New Roman" w:eastAsia="Times New Roman" w:cs="Times New Roman"/>
                <w:sz w:val="20"/>
                <w:szCs w:val="20"/>
              </w:rPr>
              <w:t>LY</w:t>
            </w:r>
            <w:r>
              <w:rPr>
                <w:rFonts w:ascii="Times New Roman" w:hAnsi="Times New Roman" w:eastAsia="Times New Roman" w:cs="Times New Roman"/>
                <w:sz w:val="20"/>
                <w:szCs w:val="20"/>
                <w:spacing w:val="3"/>
              </w:rPr>
              <w:t>/T</w:t>
            </w:r>
            <w:r>
              <w:rPr>
                <w:rFonts w:ascii="Times New Roman" w:hAnsi="Times New Roman" w:eastAsia="Times New Roman" w:cs="Times New Roman"/>
                <w:sz w:val="20"/>
                <w:szCs w:val="20"/>
                <w:spacing w:val="33"/>
              </w:rPr>
              <w:t xml:space="preserve"> </w:t>
            </w:r>
            <w:r>
              <w:rPr>
                <w:rFonts w:ascii="Times New Roman" w:hAnsi="Times New Roman" w:eastAsia="Times New Roman" w:cs="Times New Roman"/>
                <w:sz w:val="20"/>
                <w:szCs w:val="20"/>
                <w:spacing w:val="3"/>
              </w:rPr>
              <w:t>1215-1999</w:t>
            </w:r>
          </w:p>
        </w:tc>
        <w:tc>
          <w:tcPr>
            <w:tcW w:w="1995" w:type="dxa"/>
            <w:vAlign w:val="top"/>
          </w:tcPr>
          <w:p>
            <w:pPr>
              <w:spacing w:line="278" w:lineRule="auto"/>
              <w:rPr>
                <w:rFonts w:ascii="Arial"/>
                <w:sz w:val="21"/>
              </w:rPr>
            </w:pPr>
            <w:r/>
          </w:p>
          <w:p>
            <w:pPr>
              <w:ind w:left="783"/>
              <w:spacing w:before="58"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position w:val="-2"/>
              </w:rPr>
              <w:t>——</w:t>
            </w:r>
          </w:p>
        </w:tc>
      </w:tr>
    </w:tbl>
    <w:p>
      <w:pPr>
        <w:ind w:left="510"/>
        <w:spacing w:before="34" w:line="218"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5</w:t>
      </w:r>
      <w:r>
        <w:rPr>
          <w:rFonts w:ascii="SimSun" w:hAnsi="SimSun" w:eastAsia="SimSun" w:cs="SimSun"/>
          <w:sz w:val="24"/>
          <w:szCs w:val="24"/>
          <w:spacing w:val="-3"/>
        </w:rPr>
        <w:t>）监测结果及评价</w:t>
      </w:r>
    </w:p>
    <w:p>
      <w:pPr>
        <w:ind w:left="499"/>
        <w:spacing w:before="185" w:line="219" w:lineRule="auto"/>
        <w:rPr>
          <w:rFonts w:ascii="SimSun" w:hAnsi="SimSun" w:eastAsia="SimSun" w:cs="SimSun"/>
          <w:sz w:val="24"/>
          <w:szCs w:val="24"/>
        </w:rPr>
      </w:pPr>
      <w:r>
        <w:rPr>
          <w:rFonts w:ascii="SimSun" w:hAnsi="SimSun" w:eastAsia="SimSun" w:cs="SimSun"/>
          <w:sz w:val="24"/>
          <w:szCs w:val="24"/>
          <w:spacing w:val="-2"/>
        </w:rPr>
        <w:t>土壤环境质量现状监测结果具体见表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4.2-14~</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19</w:t>
      </w:r>
      <w:r>
        <w:rPr>
          <w:rFonts w:ascii="SimSun" w:hAnsi="SimSun" w:eastAsia="SimSun" w:cs="SimSun"/>
          <w:sz w:val="24"/>
          <w:szCs w:val="24"/>
          <w:spacing w:val="-2"/>
        </w:rPr>
        <w:t>。</w:t>
      </w:r>
    </w:p>
    <w:p>
      <w:pPr>
        <w:ind w:left="2756"/>
        <w:spacing w:before="180" w:line="213" w:lineRule="auto"/>
        <w:rPr>
          <w:rFonts w:ascii="Times New Roman" w:hAnsi="Times New Roman" w:eastAsia="Times New Roman" w:cs="Times New Roman"/>
          <w:sz w:val="24"/>
          <w:szCs w:val="24"/>
        </w:rPr>
      </w:pPr>
      <w:r>
        <w:rPr>
          <w:rFonts w:ascii="SimSun" w:hAnsi="SimSun" w:eastAsia="SimSun" w:cs="SimSun"/>
          <w:sz w:val="24"/>
          <w:szCs w:val="24"/>
          <w:b/>
          <w:bCs/>
          <w:spacing w:val="-2"/>
        </w:rPr>
        <w:t>表</w:t>
      </w:r>
      <w:r>
        <w:rPr>
          <w:rFonts w:ascii="SimSun" w:hAnsi="SimSun" w:eastAsia="SimSun" w:cs="SimSun"/>
          <w:sz w:val="24"/>
          <w:szCs w:val="24"/>
          <w:spacing w:val="-40"/>
        </w:rPr>
        <w:t xml:space="preserve"> </w:t>
      </w:r>
      <w:r>
        <w:rPr>
          <w:rFonts w:ascii="Times New Roman" w:hAnsi="Times New Roman" w:eastAsia="Times New Roman" w:cs="Times New Roman"/>
          <w:sz w:val="24"/>
          <w:szCs w:val="24"/>
          <w:b/>
          <w:bCs/>
          <w:spacing w:val="-2"/>
        </w:rPr>
        <w:t>4.2-14        </w:t>
      </w:r>
      <w:r>
        <w:rPr>
          <w:rFonts w:ascii="SimSun" w:hAnsi="SimSun" w:eastAsia="SimSun" w:cs="SimSun"/>
          <w:sz w:val="24"/>
          <w:szCs w:val="24"/>
          <w:b/>
          <w:bCs/>
          <w:spacing w:val="-2"/>
        </w:rPr>
        <w:t>土壤检测结果</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1</w:t>
      </w:r>
    </w:p>
    <w:tbl>
      <w:tblPr>
        <w:tblStyle w:val="TableNormal"/>
        <w:tblW w:w="851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73"/>
        <w:gridCol w:w="1987"/>
        <w:gridCol w:w="1168"/>
        <w:gridCol w:w="1818"/>
        <w:gridCol w:w="1619"/>
        <w:gridCol w:w="1350"/>
      </w:tblGrid>
      <w:tr>
        <w:trPr>
          <w:trHeight w:val="281" w:hRule="atLeast"/>
        </w:trPr>
        <w:tc>
          <w:tcPr>
            <w:tcW w:w="573" w:type="dxa"/>
            <w:vAlign w:val="top"/>
          </w:tcPr>
          <w:p>
            <w:pPr>
              <w:pStyle w:val="TableText"/>
              <w:ind w:left="81"/>
              <w:spacing w:before="34" w:line="218" w:lineRule="auto"/>
              <w:rPr/>
            </w:pPr>
            <w:r>
              <w:rPr>
                <w:spacing w:val="5"/>
              </w:rPr>
              <w:t>序号</w:t>
            </w:r>
          </w:p>
        </w:tc>
        <w:tc>
          <w:tcPr>
            <w:tcW w:w="1987" w:type="dxa"/>
            <w:vAlign w:val="top"/>
          </w:tcPr>
          <w:p>
            <w:pPr>
              <w:pStyle w:val="TableText"/>
              <w:ind w:left="577"/>
              <w:spacing w:before="34" w:line="218" w:lineRule="auto"/>
              <w:rPr/>
            </w:pPr>
            <w:r>
              <w:rPr>
                <w:spacing w:val="7"/>
              </w:rPr>
              <w:t>检测因子</w:t>
            </w:r>
          </w:p>
        </w:tc>
        <w:tc>
          <w:tcPr>
            <w:tcW w:w="1168" w:type="dxa"/>
            <w:vAlign w:val="top"/>
          </w:tcPr>
          <w:p>
            <w:pPr>
              <w:pStyle w:val="TableText"/>
              <w:ind w:left="379"/>
              <w:spacing w:before="34" w:line="218" w:lineRule="auto"/>
              <w:rPr/>
            </w:pPr>
            <w:r>
              <w:rPr>
                <w:spacing w:val="3"/>
              </w:rPr>
              <w:t>单位</w:t>
            </w:r>
          </w:p>
        </w:tc>
        <w:tc>
          <w:tcPr>
            <w:tcW w:w="1818" w:type="dxa"/>
            <w:vAlign w:val="top"/>
          </w:tcPr>
          <w:p>
            <w:pPr>
              <w:pStyle w:val="TableText"/>
              <w:ind w:left="290"/>
              <w:spacing w:before="34" w:line="218" w:lineRule="auto"/>
              <w:rPr/>
            </w:pPr>
            <w:r>
              <w:rPr>
                <w:rFonts w:ascii="Times New Roman" w:hAnsi="Times New Roman" w:eastAsia="Times New Roman" w:cs="Times New Roman"/>
                <w:spacing w:val="5"/>
              </w:rPr>
              <w:t>T</w:t>
            </w:r>
            <w:r>
              <w:rPr>
                <w:rFonts w:ascii="Times New Roman" w:hAnsi="Times New Roman" w:eastAsia="Times New Roman" w:cs="Times New Roman"/>
                <w:sz w:val="13"/>
                <w:szCs w:val="13"/>
                <w:spacing w:val="5"/>
                <w:position w:val="-1"/>
              </w:rPr>
              <w:t>1</w:t>
            </w:r>
            <w:r>
              <w:rPr>
                <w:spacing w:val="5"/>
              </w:rPr>
              <w:t>（表层样）</w:t>
            </w:r>
          </w:p>
        </w:tc>
        <w:tc>
          <w:tcPr>
            <w:tcW w:w="1619" w:type="dxa"/>
            <w:vAlign w:val="top"/>
          </w:tcPr>
          <w:p>
            <w:pPr>
              <w:pStyle w:val="TableText"/>
              <w:ind w:left="191"/>
              <w:spacing w:before="34" w:line="218" w:lineRule="auto"/>
              <w:rPr/>
            </w:pPr>
            <w:r>
              <w:rPr>
                <w:rFonts w:ascii="Times New Roman" w:hAnsi="Times New Roman" w:eastAsia="Times New Roman" w:cs="Times New Roman"/>
                <w:spacing w:val="5"/>
              </w:rPr>
              <w:t>T</w:t>
            </w:r>
            <w:r>
              <w:rPr>
                <w:rFonts w:ascii="Times New Roman" w:hAnsi="Times New Roman" w:eastAsia="Times New Roman" w:cs="Times New Roman"/>
                <w:sz w:val="13"/>
                <w:szCs w:val="13"/>
                <w:spacing w:val="5"/>
                <w:position w:val="-1"/>
              </w:rPr>
              <w:t>5</w:t>
            </w:r>
            <w:r>
              <w:rPr>
                <w:spacing w:val="5"/>
              </w:rPr>
              <w:t>（表层样）</w:t>
            </w:r>
          </w:p>
        </w:tc>
        <w:tc>
          <w:tcPr>
            <w:tcW w:w="1350" w:type="dxa"/>
            <w:vAlign w:val="top"/>
          </w:tcPr>
          <w:p>
            <w:pPr>
              <w:pStyle w:val="TableText"/>
              <w:ind w:left="261"/>
              <w:spacing w:before="34" w:line="218" w:lineRule="auto"/>
              <w:rPr/>
            </w:pPr>
            <w:r>
              <w:rPr>
                <w:spacing w:val="7"/>
              </w:rPr>
              <w:t>标准限值</w:t>
            </w:r>
          </w:p>
        </w:tc>
      </w:tr>
      <w:tr>
        <w:trPr>
          <w:trHeight w:val="316" w:hRule="atLeast"/>
        </w:trPr>
        <w:tc>
          <w:tcPr>
            <w:tcW w:w="573" w:type="dxa"/>
            <w:vAlign w:val="top"/>
          </w:tcPr>
          <w:p>
            <w:pPr>
              <w:ind w:left="256"/>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987" w:type="dxa"/>
            <w:vAlign w:val="top"/>
          </w:tcPr>
          <w:p>
            <w:pPr>
              <w:pStyle w:val="TableText"/>
              <w:ind w:left="596"/>
              <w:spacing w:before="52" w:line="228" w:lineRule="auto"/>
              <w:rPr/>
            </w:pPr>
            <w:r>
              <w:rPr>
                <w:spacing w:val="2"/>
              </w:rPr>
              <w:t>四氯化碳</w:t>
            </w:r>
          </w:p>
        </w:tc>
        <w:tc>
          <w:tcPr>
            <w:tcW w:w="1168" w:type="dxa"/>
            <w:vAlign w:val="top"/>
          </w:tcPr>
          <w:p>
            <w:pPr>
              <w:ind w:left="314"/>
              <w:spacing w:before="8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ind w:left="678"/>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0.177</w:t>
            </w:r>
          </w:p>
        </w:tc>
        <w:tc>
          <w:tcPr>
            <w:tcW w:w="1619" w:type="dxa"/>
            <w:vAlign w:val="top"/>
          </w:tcPr>
          <w:p>
            <w:pPr>
              <w:ind w:left="583"/>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0.113</w:t>
            </w:r>
          </w:p>
        </w:tc>
        <w:tc>
          <w:tcPr>
            <w:tcW w:w="1350" w:type="dxa"/>
            <w:vAlign w:val="top"/>
          </w:tcPr>
          <w:p>
            <w:pPr>
              <w:ind w:left="545"/>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r>
      <w:tr>
        <w:trPr>
          <w:trHeight w:val="316" w:hRule="atLeast"/>
        </w:trPr>
        <w:tc>
          <w:tcPr>
            <w:tcW w:w="573" w:type="dxa"/>
            <w:vAlign w:val="top"/>
          </w:tcPr>
          <w:p>
            <w:pPr>
              <w:ind w:left="236"/>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987" w:type="dxa"/>
            <w:vAlign w:val="top"/>
          </w:tcPr>
          <w:p>
            <w:pPr>
              <w:pStyle w:val="TableText"/>
              <w:ind w:left="791"/>
              <w:spacing w:before="52" w:line="228" w:lineRule="auto"/>
              <w:rPr/>
            </w:pPr>
            <w:r>
              <w:rPr>
                <w:spacing w:val="3"/>
              </w:rPr>
              <w:t>氯仿</w:t>
            </w:r>
          </w:p>
        </w:tc>
        <w:tc>
          <w:tcPr>
            <w:tcW w:w="1168" w:type="dxa"/>
            <w:vAlign w:val="top"/>
          </w:tcPr>
          <w:p>
            <w:pPr>
              <w:ind w:left="314"/>
              <w:spacing w:before="8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ind w:left="678"/>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0.083</w:t>
            </w:r>
          </w:p>
        </w:tc>
        <w:tc>
          <w:tcPr>
            <w:tcW w:w="1619" w:type="dxa"/>
            <w:vAlign w:val="top"/>
          </w:tcPr>
          <w:p>
            <w:pPr>
              <w:pStyle w:val="TableText"/>
              <w:ind w:left="505"/>
              <w:spacing w:before="51" w:line="228" w:lineRule="auto"/>
              <w:rPr/>
            </w:pPr>
            <w:r>
              <w:rPr>
                <w:spacing w:val="5"/>
              </w:rPr>
              <w:t>未检出</w:t>
            </w:r>
          </w:p>
        </w:tc>
        <w:tc>
          <w:tcPr>
            <w:tcW w:w="1350" w:type="dxa"/>
            <w:vAlign w:val="top"/>
          </w:tcPr>
          <w:p>
            <w:pPr>
              <w:ind w:left="548"/>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0.9</w:t>
            </w:r>
          </w:p>
        </w:tc>
      </w:tr>
      <w:tr>
        <w:trPr>
          <w:trHeight w:val="317" w:hRule="atLeast"/>
        </w:trPr>
        <w:tc>
          <w:tcPr>
            <w:tcW w:w="573" w:type="dxa"/>
            <w:vAlign w:val="top"/>
          </w:tcPr>
          <w:p>
            <w:pPr>
              <w:ind w:left="24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987" w:type="dxa"/>
            <w:vAlign w:val="top"/>
          </w:tcPr>
          <w:p>
            <w:pPr>
              <w:pStyle w:val="TableText"/>
              <w:ind w:left="686"/>
              <w:spacing w:before="53" w:line="228" w:lineRule="auto"/>
              <w:rPr/>
            </w:pPr>
            <w:r>
              <w:rPr>
                <w:spacing w:val="5"/>
              </w:rPr>
              <w:t>氯甲烷</w:t>
            </w:r>
          </w:p>
        </w:tc>
        <w:tc>
          <w:tcPr>
            <w:tcW w:w="1168" w:type="dxa"/>
            <w:vAlign w:val="top"/>
          </w:tcPr>
          <w:p>
            <w:pPr>
              <w:ind w:left="314"/>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4" w:line="228" w:lineRule="auto"/>
              <w:rPr/>
            </w:pPr>
            <w:r>
              <w:rPr>
                <w:spacing w:val="5"/>
              </w:rPr>
              <w:t>未检出</w:t>
            </w:r>
          </w:p>
        </w:tc>
        <w:tc>
          <w:tcPr>
            <w:tcW w:w="1619" w:type="dxa"/>
            <w:vAlign w:val="top"/>
          </w:tcPr>
          <w:p>
            <w:pPr>
              <w:pStyle w:val="TableText"/>
              <w:ind w:left="505"/>
              <w:spacing w:before="54" w:line="228" w:lineRule="auto"/>
              <w:rPr/>
            </w:pPr>
            <w:r>
              <w:rPr>
                <w:spacing w:val="5"/>
              </w:rPr>
              <w:t>未检出</w:t>
            </w:r>
          </w:p>
        </w:tc>
        <w:tc>
          <w:tcPr>
            <w:tcW w:w="1350" w:type="dxa"/>
            <w:vAlign w:val="top"/>
          </w:tcPr>
          <w:p>
            <w:pPr>
              <w:ind w:left="57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37</w:t>
            </w:r>
          </w:p>
        </w:tc>
      </w:tr>
      <w:tr>
        <w:trPr>
          <w:trHeight w:val="316" w:hRule="atLeast"/>
        </w:trPr>
        <w:tc>
          <w:tcPr>
            <w:tcW w:w="573" w:type="dxa"/>
            <w:vAlign w:val="top"/>
          </w:tcPr>
          <w:p>
            <w:pPr>
              <w:ind w:left="235"/>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987" w:type="dxa"/>
            <w:vAlign w:val="top"/>
          </w:tcPr>
          <w:p>
            <w:pPr>
              <w:pStyle w:val="TableText"/>
              <w:ind w:left="427"/>
              <w:spacing w:before="52" w:line="221" w:lineRule="auto"/>
              <w:rPr/>
            </w:pPr>
            <w:r>
              <w:rPr>
                <w:rFonts w:ascii="Times New Roman" w:hAnsi="Times New Roman" w:eastAsia="Times New Roman" w:cs="Times New Roman"/>
              </w:rPr>
              <w:t>1,</w:t>
            </w:r>
            <w:r>
              <w:rPr>
                <w:rFonts w:ascii="Times New Roman" w:hAnsi="Times New Roman" w:eastAsia="Times New Roman" w:cs="Times New Roman"/>
                <w:spacing w:val="-24"/>
              </w:rPr>
              <w:t xml:space="preserve"> </w:t>
            </w:r>
            <w:r>
              <w:rPr>
                <w:rFonts w:ascii="Times New Roman" w:hAnsi="Times New Roman" w:eastAsia="Times New Roman" w:cs="Times New Roman"/>
              </w:rPr>
              <w:t>1-</w:t>
            </w:r>
            <w:r>
              <w:rPr/>
              <w:t>二氯乙烷</w:t>
            </w:r>
          </w:p>
        </w:tc>
        <w:tc>
          <w:tcPr>
            <w:tcW w:w="1168" w:type="dxa"/>
            <w:vAlign w:val="top"/>
          </w:tcPr>
          <w:p>
            <w:pPr>
              <w:ind w:left="314"/>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ind w:left="67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0.109</w:t>
            </w:r>
          </w:p>
        </w:tc>
        <w:tc>
          <w:tcPr>
            <w:tcW w:w="1619" w:type="dxa"/>
            <w:vAlign w:val="top"/>
          </w:tcPr>
          <w:p>
            <w:pPr>
              <w:pStyle w:val="TableText"/>
              <w:ind w:left="505"/>
              <w:spacing w:before="54" w:line="228" w:lineRule="auto"/>
              <w:rPr/>
            </w:pPr>
            <w:r>
              <w:rPr>
                <w:spacing w:val="5"/>
              </w:rPr>
              <w:t>未检出</w:t>
            </w:r>
          </w:p>
        </w:tc>
        <w:tc>
          <w:tcPr>
            <w:tcW w:w="1350" w:type="dxa"/>
            <w:vAlign w:val="top"/>
          </w:tcPr>
          <w:p>
            <w:pPr>
              <w:ind w:left="62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r>
      <w:tr>
        <w:trPr>
          <w:trHeight w:val="317" w:hRule="atLeast"/>
        </w:trPr>
        <w:tc>
          <w:tcPr>
            <w:tcW w:w="573" w:type="dxa"/>
            <w:vAlign w:val="top"/>
          </w:tcPr>
          <w:p>
            <w:pPr>
              <w:ind w:left="242"/>
              <w:spacing w:before="9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987" w:type="dxa"/>
            <w:vAlign w:val="top"/>
          </w:tcPr>
          <w:p>
            <w:pPr>
              <w:pStyle w:val="TableText"/>
              <w:ind w:left="427"/>
              <w:spacing w:before="55" w:line="221" w:lineRule="auto"/>
              <w:rPr/>
            </w:pPr>
            <w:r>
              <w:rPr>
                <w:rFonts w:ascii="Times New Roman" w:hAnsi="Times New Roman" w:eastAsia="Times New Roman" w:cs="Times New Roman"/>
                <w:spacing w:val="3"/>
              </w:rPr>
              <w:t>1,2-</w:t>
            </w:r>
            <w:r>
              <w:rPr>
                <w:spacing w:val="3"/>
              </w:rPr>
              <w:t>二氯乙烷</w:t>
            </w:r>
          </w:p>
        </w:tc>
        <w:tc>
          <w:tcPr>
            <w:tcW w:w="1168" w:type="dxa"/>
            <w:vAlign w:val="top"/>
          </w:tcPr>
          <w:p>
            <w:pPr>
              <w:ind w:left="314"/>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5" w:line="228" w:lineRule="auto"/>
              <w:rPr/>
            </w:pPr>
            <w:r>
              <w:rPr>
                <w:spacing w:val="5"/>
              </w:rPr>
              <w:t>未检出</w:t>
            </w:r>
          </w:p>
        </w:tc>
        <w:tc>
          <w:tcPr>
            <w:tcW w:w="1619" w:type="dxa"/>
            <w:vAlign w:val="top"/>
          </w:tcPr>
          <w:p>
            <w:pPr>
              <w:ind w:left="5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0.162</w:t>
            </w:r>
          </w:p>
        </w:tc>
        <w:tc>
          <w:tcPr>
            <w:tcW w:w="1350" w:type="dxa"/>
            <w:vAlign w:val="top"/>
          </w:tcPr>
          <w:p>
            <w:pPr>
              <w:ind w:left="630"/>
              <w:spacing w:before="9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r>
      <w:tr>
        <w:trPr>
          <w:trHeight w:val="316" w:hRule="atLeast"/>
        </w:trPr>
        <w:tc>
          <w:tcPr>
            <w:tcW w:w="573" w:type="dxa"/>
            <w:vAlign w:val="top"/>
          </w:tcPr>
          <w:p>
            <w:pPr>
              <w:ind w:left="24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987" w:type="dxa"/>
            <w:vAlign w:val="top"/>
          </w:tcPr>
          <w:p>
            <w:pPr>
              <w:pStyle w:val="TableText"/>
              <w:ind w:left="435"/>
              <w:spacing w:before="54" w:line="221" w:lineRule="auto"/>
              <w:rPr/>
            </w:pPr>
            <w:r>
              <w:rPr>
                <w:rFonts w:ascii="Times New Roman" w:hAnsi="Times New Roman" w:eastAsia="Times New Roman" w:cs="Times New Roman"/>
                <w:spacing w:val="-2"/>
              </w:rPr>
              <w:t>1,</w:t>
            </w:r>
            <w:r>
              <w:rPr>
                <w:rFonts w:ascii="Times New Roman" w:hAnsi="Times New Roman" w:eastAsia="Times New Roman" w:cs="Times New Roman"/>
                <w:spacing w:val="-23"/>
              </w:rPr>
              <w:t xml:space="preserve"> </w:t>
            </w:r>
            <w:r>
              <w:rPr>
                <w:rFonts w:ascii="Times New Roman" w:hAnsi="Times New Roman" w:eastAsia="Times New Roman" w:cs="Times New Roman"/>
                <w:spacing w:val="-2"/>
              </w:rPr>
              <w:t>1</w:t>
            </w:r>
            <w:r>
              <w:rPr>
                <w:rFonts w:ascii="Times New Roman" w:hAnsi="Times New Roman" w:eastAsia="Times New Roman" w:cs="Times New Roman"/>
                <w:spacing w:val="16"/>
              </w:rPr>
              <w:t xml:space="preserve"> </w:t>
            </w:r>
            <w:r>
              <w:rPr>
                <w:spacing w:val="-2"/>
              </w:rPr>
              <w:t>二氯乙烯</w:t>
            </w:r>
          </w:p>
        </w:tc>
        <w:tc>
          <w:tcPr>
            <w:tcW w:w="1168" w:type="dxa"/>
            <w:vAlign w:val="top"/>
          </w:tcPr>
          <w:p>
            <w:pPr>
              <w:ind w:left="314"/>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4" w:line="228" w:lineRule="auto"/>
              <w:rPr/>
            </w:pPr>
            <w:r>
              <w:rPr>
                <w:spacing w:val="5"/>
              </w:rPr>
              <w:t>未检出</w:t>
            </w:r>
          </w:p>
        </w:tc>
        <w:tc>
          <w:tcPr>
            <w:tcW w:w="1619" w:type="dxa"/>
            <w:vAlign w:val="top"/>
          </w:tcPr>
          <w:p>
            <w:pPr>
              <w:pStyle w:val="TableText"/>
              <w:ind w:left="505"/>
              <w:spacing w:before="54" w:line="228" w:lineRule="auto"/>
              <w:rPr/>
            </w:pPr>
            <w:r>
              <w:rPr>
                <w:spacing w:val="5"/>
              </w:rPr>
              <w:t>未检出</w:t>
            </w:r>
          </w:p>
        </w:tc>
        <w:tc>
          <w:tcPr>
            <w:tcW w:w="1350" w:type="dxa"/>
            <w:vAlign w:val="top"/>
          </w:tcPr>
          <w:p>
            <w:pPr>
              <w:ind w:left="576"/>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66</w:t>
            </w:r>
          </w:p>
        </w:tc>
      </w:tr>
      <w:tr>
        <w:trPr>
          <w:trHeight w:val="317" w:hRule="atLeast"/>
        </w:trPr>
        <w:tc>
          <w:tcPr>
            <w:tcW w:w="573" w:type="dxa"/>
            <w:vAlign w:val="top"/>
          </w:tcPr>
          <w:p>
            <w:pPr>
              <w:ind w:left="240"/>
              <w:spacing w:before="9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987" w:type="dxa"/>
            <w:vAlign w:val="top"/>
          </w:tcPr>
          <w:p>
            <w:pPr>
              <w:pStyle w:val="TableText"/>
              <w:ind w:left="289"/>
              <w:spacing w:before="55" w:line="221" w:lineRule="auto"/>
              <w:rPr/>
            </w:pPr>
            <w:r>
              <w:rPr>
                <w:spacing w:val="1"/>
              </w:rPr>
              <w:t>顺</w:t>
            </w:r>
            <w:r>
              <w:rPr>
                <w:spacing w:val="-18"/>
              </w:rPr>
              <w:t xml:space="preserve"> </w:t>
            </w:r>
            <w:r>
              <w:rPr>
                <w:rFonts w:ascii="Times New Roman" w:hAnsi="Times New Roman" w:eastAsia="Times New Roman" w:cs="Times New Roman"/>
                <w:spacing w:val="1"/>
              </w:rPr>
              <w:t>1,2</w:t>
            </w:r>
            <w:r>
              <w:rPr>
                <w:rFonts w:ascii="Times New Roman" w:hAnsi="Times New Roman" w:eastAsia="Times New Roman" w:cs="Times New Roman"/>
                <w:spacing w:val="13"/>
                <w:w w:val="101"/>
              </w:rPr>
              <w:t xml:space="preserve"> </w:t>
            </w:r>
            <w:r>
              <w:rPr>
                <w:spacing w:val="1"/>
              </w:rPr>
              <w:t>二氯乙烯</w:t>
            </w:r>
          </w:p>
        </w:tc>
        <w:tc>
          <w:tcPr>
            <w:tcW w:w="1168" w:type="dxa"/>
            <w:vAlign w:val="top"/>
          </w:tcPr>
          <w:p>
            <w:pPr>
              <w:ind w:left="314"/>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ind w:left="6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0.086</w:t>
            </w:r>
          </w:p>
        </w:tc>
        <w:tc>
          <w:tcPr>
            <w:tcW w:w="1619" w:type="dxa"/>
            <w:vAlign w:val="top"/>
          </w:tcPr>
          <w:p>
            <w:pPr>
              <w:pStyle w:val="TableText"/>
              <w:ind w:left="505"/>
              <w:spacing w:before="55" w:line="228" w:lineRule="auto"/>
              <w:rPr/>
            </w:pPr>
            <w:r>
              <w:rPr>
                <w:spacing w:val="5"/>
              </w:rPr>
              <w:t>未检出</w:t>
            </w:r>
          </w:p>
        </w:tc>
        <w:tc>
          <w:tcPr>
            <w:tcW w:w="1350" w:type="dxa"/>
            <w:vAlign w:val="top"/>
          </w:tcPr>
          <w:p>
            <w:pPr>
              <w:ind w:left="52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596</w:t>
            </w:r>
          </w:p>
        </w:tc>
      </w:tr>
      <w:tr>
        <w:trPr>
          <w:trHeight w:val="317" w:hRule="atLeast"/>
        </w:trPr>
        <w:tc>
          <w:tcPr>
            <w:tcW w:w="573" w:type="dxa"/>
            <w:vAlign w:val="top"/>
          </w:tcPr>
          <w:p>
            <w:pPr>
              <w:ind w:left="24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987" w:type="dxa"/>
            <w:vAlign w:val="top"/>
          </w:tcPr>
          <w:p>
            <w:pPr>
              <w:pStyle w:val="TableText"/>
              <w:ind w:left="289"/>
              <w:spacing w:before="54" w:line="221" w:lineRule="auto"/>
              <w:rPr/>
            </w:pPr>
            <w:r>
              <w:rPr>
                <w:spacing w:val="1"/>
              </w:rPr>
              <w:t>反</w:t>
            </w:r>
            <w:r>
              <w:rPr>
                <w:spacing w:val="-18"/>
              </w:rPr>
              <w:t xml:space="preserve"> </w:t>
            </w:r>
            <w:r>
              <w:rPr>
                <w:rFonts w:ascii="Times New Roman" w:hAnsi="Times New Roman" w:eastAsia="Times New Roman" w:cs="Times New Roman"/>
                <w:spacing w:val="1"/>
              </w:rPr>
              <w:t>1,2</w:t>
            </w:r>
            <w:r>
              <w:rPr>
                <w:rFonts w:ascii="Times New Roman" w:hAnsi="Times New Roman" w:eastAsia="Times New Roman" w:cs="Times New Roman"/>
                <w:spacing w:val="13"/>
                <w:w w:val="101"/>
              </w:rPr>
              <w:t xml:space="preserve"> </w:t>
            </w:r>
            <w:r>
              <w:rPr>
                <w:spacing w:val="1"/>
              </w:rPr>
              <w:t>二氯乙烯</w:t>
            </w:r>
          </w:p>
        </w:tc>
        <w:tc>
          <w:tcPr>
            <w:tcW w:w="1168" w:type="dxa"/>
            <w:vAlign w:val="top"/>
          </w:tcPr>
          <w:p>
            <w:pPr>
              <w:ind w:left="314"/>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ind w:left="6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0.197</w:t>
            </w:r>
          </w:p>
        </w:tc>
        <w:tc>
          <w:tcPr>
            <w:tcW w:w="1619" w:type="dxa"/>
            <w:vAlign w:val="top"/>
          </w:tcPr>
          <w:p>
            <w:pPr>
              <w:ind w:left="5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0.191</w:t>
            </w:r>
          </w:p>
        </w:tc>
        <w:tc>
          <w:tcPr>
            <w:tcW w:w="1350" w:type="dxa"/>
            <w:vAlign w:val="top"/>
          </w:tcPr>
          <w:p>
            <w:pPr>
              <w:ind w:left="57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54</w:t>
            </w:r>
          </w:p>
        </w:tc>
      </w:tr>
      <w:tr>
        <w:trPr>
          <w:trHeight w:val="317" w:hRule="atLeast"/>
        </w:trPr>
        <w:tc>
          <w:tcPr>
            <w:tcW w:w="573" w:type="dxa"/>
            <w:vAlign w:val="top"/>
          </w:tcPr>
          <w:p>
            <w:pPr>
              <w:ind w:left="240"/>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987" w:type="dxa"/>
            <w:vAlign w:val="top"/>
          </w:tcPr>
          <w:p>
            <w:pPr>
              <w:pStyle w:val="TableText"/>
              <w:ind w:left="580"/>
              <w:spacing w:before="55" w:line="228" w:lineRule="auto"/>
              <w:rPr/>
            </w:pPr>
            <w:r>
              <w:rPr>
                <w:spacing w:val="6"/>
              </w:rPr>
              <w:t>二氯甲烷</w:t>
            </w:r>
          </w:p>
        </w:tc>
        <w:tc>
          <w:tcPr>
            <w:tcW w:w="1168" w:type="dxa"/>
            <w:vAlign w:val="top"/>
          </w:tcPr>
          <w:p>
            <w:pPr>
              <w:ind w:left="314"/>
              <w:spacing w:before="89"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ind w:left="67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0.123</w:t>
            </w:r>
          </w:p>
        </w:tc>
        <w:tc>
          <w:tcPr>
            <w:tcW w:w="1619" w:type="dxa"/>
            <w:vAlign w:val="top"/>
          </w:tcPr>
          <w:p>
            <w:pPr>
              <w:pStyle w:val="TableText"/>
              <w:ind w:left="505"/>
              <w:spacing w:before="56" w:line="228" w:lineRule="auto"/>
              <w:rPr/>
            </w:pPr>
            <w:r>
              <w:rPr>
                <w:spacing w:val="5"/>
              </w:rPr>
              <w:t>未检出</w:t>
            </w:r>
          </w:p>
        </w:tc>
        <w:tc>
          <w:tcPr>
            <w:tcW w:w="1350" w:type="dxa"/>
            <w:vAlign w:val="top"/>
          </w:tcPr>
          <w:p>
            <w:pPr>
              <w:ind w:left="523"/>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616</w:t>
            </w:r>
          </w:p>
        </w:tc>
      </w:tr>
      <w:tr>
        <w:trPr>
          <w:trHeight w:val="317" w:hRule="atLeast"/>
        </w:trPr>
        <w:tc>
          <w:tcPr>
            <w:tcW w:w="573" w:type="dxa"/>
            <w:vAlign w:val="top"/>
          </w:tcPr>
          <w:p>
            <w:pPr>
              <w:ind w:left="20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987" w:type="dxa"/>
            <w:vAlign w:val="top"/>
          </w:tcPr>
          <w:p>
            <w:pPr>
              <w:pStyle w:val="TableText"/>
              <w:ind w:left="427"/>
              <w:spacing w:before="54" w:line="221" w:lineRule="auto"/>
              <w:rPr/>
            </w:pPr>
            <w:r>
              <w:rPr>
                <w:rFonts w:ascii="Times New Roman" w:hAnsi="Times New Roman" w:eastAsia="Times New Roman" w:cs="Times New Roman"/>
                <w:spacing w:val="3"/>
              </w:rPr>
              <w:t>1,2-</w:t>
            </w:r>
            <w:r>
              <w:rPr>
                <w:spacing w:val="3"/>
              </w:rPr>
              <w:t>二氯丙烷</w:t>
            </w:r>
          </w:p>
        </w:tc>
        <w:tc>
          <w:tcPr>
            <w:tcW w:w="1168" w:type="dxa"/>
            <w:vAlign w:val="top"/>
          </w:tcPr>
          <w:p>
            <w:pPr>
              <w:ind w:left="314"/>
              <w:spacing w:before="8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6" w:line="228" w:lineRule="auto"/>
              <w:rPr/>
            </w:pPr>
            <w:r>
              <w:rPr>
                <w:spacing w:val="5"/>
              </w:rPr>
              <w:t>未检出</w:t>
            </w:r>
          </w:p>
        </w:tc>
        <w:tc>
          <w:tcPr>
            <w:tcW w:w="1619" w:type="dxa"/>
            <w:vAlign w:val="top"/>
          </w:tcPr>
          <w:p>
            <w:pPr>
              <w:pStyle w:val="TableText"/>
              <w:ind w:left="505"/>
              <w:spacing w:before="56" w:line="228" w:lineRule="auto"/>
              <w:rPr/>
            </w:pPr>
            <w:r>
              <w:rPr>
                <w:spacing w:val="5"/>
              </w:rPr>
              <w:t>未检出</w:t>
            </w:r>
          </w:p>
        </w:tc>
        <w:tc>
          <w:tcPr>
            <w:tcW w:w="1350" w:type="dxa"/>
            <w:vAlign w:val="top"/>
          </w:tcPr>
          <w:p>
            <w:pPr>
              <w:ind w:left="630"/>
              <w:spacing w:before="9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r>
      <w:tr>
        <w:trPr>
          <w:trHeight w:val="317" w:hRule="atLeast"/>
        </w:trPr>
        <w:tc>
          <w:tcPr>
            <w:tcW w:w="573" w:type="dxa"/>
            <w:vAlign w:val="top"/>
          </w:tcPr>
          <w:p>
            <w:pPr>
              <w:ind w:left="20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11</w:t>
            </w:r>
          </w:p>
        </w:tc>
        <w:tc>
          <w:tcPr>
            <w:tcW w:w="1987" w:type="dxa"/>
            <w:vAlign w:val="top"/>
          </w:tcPr>
          <w:p>
            <w:pPr>
              <w:pStyle w:val="TableText"/>
              <w:ind w:left="269"/>
              <w:spacing w:before="56" w:line="221" w:lineRule="auto"/>
              <w:rPr/>
            </w:pPr>
            <w:r>
              <w:rPr>
                <w:rFonts w:ascii="Times New Roman" w:hAnsi="Times New Roman" w:eastAsia="Times New Roman" w:cs="Times New Roman"/>
                <w:spacing w:val="-1"/>
              </w:rPr>
              <w:t>1,</w:t>
            </w:r>
            <w:r>
              <w:rPr>
                <w:rFonts w:ascii="Times New Roman" w:hAnsi="Times New Roman" w:eastAsia="Times New Roman" w:cs="Times New Roman"/>
                <w:spacing w:val="-20"/>
              </w:rPr>
              <w:t xml:space="preserve"> </w:t>
            </w:r>
            <w:r>
              <w:rPr>
                <w:rFonts w:ascii="Times New Roman" w:hAnsi="Times New Roman" w:eastAsia="Times New Roman" w:cs="Times New Roman"/>
                <w:spacing w:val="-1"/>
              </w:rPr>
              <w:t>1,</w:t>
            </w:r>
            <w:r>
              <w:rPr>
                <w:rFonts w:ascii="Times New Roman" w:hAnsi="Times New Roman" w:eastAsia="Times New Roman" w:cs="Times New Roman"/>
                <w:spacing w:val="-25"/>
              </w:rPr>
              <w:t xml:space="preserve"> </w:t>
            </w:r>
            <w:r>
              <w:rPr>
                <w:rFonts w:ascii="Times New Roman" w:hAnsi="Times New Roman" w:eastAsia="Times New Roman" w:cs="Times New Roman"/>
                <w:spacing w:val="-1"/>
              </w:rPr>
              <w:t>1,2-</w:t>
            </w:r>
            <w:r>
              <w:rPr>
                <w:spacing w:val="-1"/>
              </w:rPr>
              <w:t>四氯乙烷</w:t>
            </w:r>
          </w:p>
        </w:tc>
        <w:tc>
          <w:tcPr>
            <w:tcW w:w="1168" w:type="dxa"/>
            <w:vAlign w:val="top"/>
          </w:tcPr>
          <w:p>
            <w:pPr>
              <w:ind w:left="314"/>
              <w:spacing w:before="8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6" w:line="228" w:lineRule="auto"/>
              <w:rPr/>
            </w:pPr>
            <w:r>
              <w:rPr>
                <w:spacing w:val="5"/>
              </w:rPr>
              <w:t>未检出</w:t>
            </w:r>
          </w:p>
        </w:tc>
        <w:tc>
          <w:tcPr>
            <w:tcW w:w="1619" w:type="dxa"/>
            <w:vAlign w:val="top"/>
          </w:tcPr>
          <w:p>
            <w:pPr>
              <w:ind w:left="57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0.100</w:t>
            </w:r>
          </w:p>
        </w:tc>
        <w:tc>
          <w:tcPr>
            <w:tcW w:w="1350" w:type="dxa"/>
            <w:vAlign w:val="top"/>
          </w:tcPr>
          <w:p>
            <w:pPr>
              <w:ind w:left="59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r>
      <w:tr>
        <w:trPr>
          <w:trHeight w:val="317" w:hRule="atLeast"/>
        </w:trPr>
        <w:tc>
          <w:tcPr>
            <w:tcW w:w="573" w:type="dxa"/>
            <w:vAlign w:val="top"/>
          </w:tcPr>
          <w:p>
            <w:pPr>
              <w:ind w:left="20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1987" w:type="dxa"/>
            <w:vAlign w:val="top"/>
          </w:tcPr>
          <w:p>
            <w:pPr>
              <w:pStyle w:val="TableText"/>
              <w:ind w:left="269"/>
              <w:spacing w:before="55" w:line="221" w:lineRule="auto"/>
              <w:rPr/>
            </w:pPr>
            <w:r>
              <w:rPr>
                <w:rFonts w:ascii="Times New Roman" w:hAnsi="Times New Roman" w:eastAsia="Times New Roman" w:cs="Times New Roman"/>
                <w:spacing w:val="1"/>
              </w:rPr>
              <w:t>1,</w:t>
            </w:r>
            <w:r>
              <w:rPr>
                <w:rFonts w:ascii="Times New Roman" w:hAnsi="Times New Roman" w:eastAsia="Times New Roman" w:cs="Times New Roman"/>
                <w:spacing w:val="-19"/>
              </w:rPr>
              <w:t xml:space="preserve"> </w:t>
            </w:r>
            <w:r>
              <w:rPr>
                <w:rFonts w:ascii="Times New Roman" w:hAnsi="Times New Roman" w:eastAsia="Times New Roman" w:cs="Times New Roman"/>
                <w:spacing w:val="1"/>
              </w:rPr>
              <w:t>1,2,2-</w:t>
            </w:r>
            <w:r>
              <w:rPr>
                <w:spacing w:val="1"/>
              </w:rPr>
              <w:t>四氯乙烷</w:t>
            </w:r>
          </w:p>
        </w:tc>
        <w:tc>
          <w:tcPr>
            <w:tcW w:w="1168" w:type="dxa"/>
            <w:vAlign w:val="top"/>
          </w:tcPr>
          <w:p>
            <w:pPr>
              <w:ind w:left="314"/>
              <w:spacing w:before="8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ind w:left="6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0.027</w:t>
            </w:r>
          </w:p>
        </w:tc>
        <w:tc>
          <w:tcPr>
            <w:tcW w:w="1619" w:type="dxa"/>
            <w:vAlign w:val="top"/>
          </w:tcPr>
          <w:p>
            <w:pPr>
              <w:pStyle w:val="TableText"/>
              <w:ind w:left="505"/>
              <w:spacing w:before="55" w:line="228" w:lineRule="auto"/>
              <w:rPr/>
            </w:pPr>
            <w:r>
              <w:rPr>
                <w:spacing w:val="5"/>
              </w:rPr>
              <w:t>未检出</w:t>
            </w:r>
          </w:p>
        </w:tc>
        <w:tc>
          <w:tcPr>
            <w:tcW w:w="1350" w:type="dxa"/>
            <w:vAlign w:val="top"/>
          </w:tcPr>
          <w:p>
            <w:pPr>
              <w:ind w:left="54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6.8</w:t>
            </w:r>
          </w:p>
        </w:tc>
      </w:tr>
      <w:tr>
        <w:trPr>
          <w:trHeight w:val="319" w:hRule="atLeast"/>
        </w:trPr>
        <w:tc>
          <w:tcPr>
            <w:tcW w:w="573" w:type="dxa"/>
            <w:vAlign w:val="top"/>
          </w:tcPr>
          <w:p>
            <w:pPr>
              <w:ind w:left="20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13</w:t>
            </w:r>
          </w:p>
        </w:tc>
        <w:tc>
          <w:tcPr>
            <w:tcW w:w="1987" w:type="dxa"/>
            <w:vAlign w:val="top"/>
          </w:tcPr>
          <w:p>
            <w:pPr>
              <w:pStyle w:val="TableText"/>
              <w:ind w:left="596"/>
              <w:spacing w:before="55" w:line="228" w:lineRule="auto"/>
              <w:rPr/>
            </w:pPr>
            <w:r>
              <w:rPr>
                <w:spacing w:val="2"/>
              </w:rPr>
              <w:t>四氯乙烯</w:t>
            </w:r>
          </w:p>
        </w:tc>
        <w:tc>
          <w:tcPr>
            <w:tcW w:w="1168" w:type="dxa"/>
            <w:vAlign w:val="top"/>
          </w:tcPr>
          <w:p>
            <w:pPr>
              <w:ind w:left="314"/>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5" w:line="228" w:lineRule="auto"/>
              <w:rPr/>
            </w:pPr>
            <w:r>
              <w:rPr>
                <w:spacing w:val="5"/>
              </w:rPr>
              <w:t>未检出</w:t>
            </w:r>
          </w:p>
        </w:tc>
        <w:tc>
          <w:tcPr>
            <w:tcW w:w="1619" w:type="dxa"/>
            <w:vAlign w:val="top"/>
          </w:tcPr>
          <w:p>
            <w:pPr>
              <w:pStyle w:val="TableText"/>
              <w:ind w:left="505"/>
              <w:spacing w:before="55" w:line="228" w:lineRule="auto"/>
              <w:rPr/>
            </w:pPr>
            <w:r>
              <w:rPr>
                <w:spacing w:val="5"/>
              </w:rPr>
              <w:t>未检出</w:t>
            </w:r>
          </w:p>
        </w:tc>
        <w:tc>
          <w:tcPr>
            <w:tcW w:w="1350" w:type="dxa"/>
            <w:vAlign w:val="top"/>
          </w:tcPr>
          <w:p>
            <w:pPr>
              <w:ind w:left="57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53</w:t>
            </w:r>
          </w:p>
        </w:tc>
      </w:tr>
    </w:tbl>
    <w:p>
      <w:pPr>
        <w:pStyle w:val="BodyText"/>
        <w:rPr/>
      </w:pPr>
      <w:r/>
    </w:p>
    <w:p>
      <w:pPr>
        <w:sectPr>
          <w:footerReference w:type="default" r:id="rId147"/>
          <w:pgSz w:w="11906" w:h="16839"/>
          <w:pgMar w:top="1567" w:right="1693" w:bottom="1811" w:left="1692" w:header="1221" w:footer="1128" w:gutter="0"/>
        </w:sectPr>
        <w:rPr/>
      </w:pPr>
    </w:p>
    <w:p>
      <w:pPr>
        <w:spacing w:line="151" w:lineRule="exact"/>
        <w:rPr/>
      </w:pPr>
      <w:r>
        <w:pict>
          <v:shape id="_x0000_s652" style="position:absolute;margin-left:85.05pt;margin-top:79.11pt;mso-position-vertical-relative:page;mso-position-horizontal-relative:page;width:425.25pt;height:0.75pt;z-index:251953152;" o:allowincell="f" fillcolor="#000000" filled="true" stroked="false" coordsize="8505,15" coordorigin="0,0" path="m,l8504,0l8504,14l0,14l0,0xe"/>
        </w:pict>
      </w:r>
      <w:r/>
    </w:p>
    <w:tbl>
      <w:tblPr>
        <w:tblStyle w:val="TableNormal"/>
        <w:tblW w:w="851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73"/>
        <w:gridCol w:w="1987"/>
        <w:gridCol w:w="1168"/>
        <w:gridCol w:w="1818"/>
        <w:gridCol w:w="1619"/>
        <w:gridCol w:w="1350"/>
      </w:tblGrid>
      <w:tr>
        <w:trPr>
          <w:trHeight w:val="281" w:hRule="atLeast"/>
        </w:trPr>
        <w:tc>
          <w:tcPr>
            <w:tcW w:w="573" w:type="dxa"/>
            <w:vAlign w:val="top"/>
          </w:tcPr>
          <w:p>
            <w:pPr>
              <w:pStyle w:val="TableText"/>
              <w:ind w:left="81"/>
              <w:spacing w:before="36" w:line="216" w:lineRule="auto"/>
              <w:rPr/>
            </w:pPr>
            <w:r>
              <w:rPr>
                <w:spacing w:val="5"/>
              </w:rPr>
              <w:t>序号</w:t>
            </w:r>
          </w:p>
        </w:tc>
        <w:tc>
          <w:tcPr>
            <w:tcW w:w="1987" w:type="dxa"/>
            <w:vAlign w:val="top"/>
          </w:tcPr>
          <w:p>
            <w:pPr>
              <w:pStyle w:val="TableText"/>
              <w:ind w:left="577"/>
              <w:spacing w:before="36" w:line="216" w:lineRule="auto"/>
              <w:rPr/>
            </w:pPr>
            <w:r>
              <w:rPr>
                <w:spacing w:val="7"/>
              </w:rPr>
              <w:t>检测因子</w:t>
            </w:r>
          </w:p>
        </w:tc>
        <w:tc>
          <w:tcPr>
            <w:tcW w:w="1168" w:type="dxa"/>
            <w:vAlign w:val="top"/>
          </w:tcPr>
          <w:p>
            <w:pPr>
              <w:pStyle w:val="TableText"/>
              <w:ind w:left="379"/>
              <w:spacing w:before="36" w:line="216" w:lineRule="auto"/>
              <w:rPr/>
            </w:pPr>
            <w:r>
              <w:rPr>
                <w:spacing w:val="3"/>
              </w:rPr>
              <w:t>单位</w:t>
            </w:r>
          </w:p>
        </w:tc>
        <w:tc>
          <w:tcPr>
            <w:tcW w:w="1818" w:type="dxa"/>
            <w:vAlign w:val="top"/>
          </w:tcPr>
          <w:p>
            <w:pPr>
              <w:pStyle w:val="TableText"/>
              <w:ind w:left="290"/>
              <w:spacing w:before="36" w:line="216" w:lineRule="auto"/>
              <w:rPr/>
            </w:pPr>
            <w:r>
              <w:rPr>
                <w:rFonts w:ascii="Times New Roman" w:hAnsi="Times New Roman" w:eastAsia="Times New Roman" w:cs="Times New Roman"/>
                <w:spacing w:val="5"/>
              </w:rPr>
              <w:t>T</w:t>
            </w:r>
            <w:r>
              <w:rPr>
                <w:rFonts w:ascii="Times New Roman" w:hAnsi="Times New Roman" w:eastAsia="Times New Roman" w:cs="Times New Roman"/>
                <w:sz w:val="13"/>
                <w:szCs w:val="13"/>
                <w:spacing w:val="5"/>
                <w:position w:val="-1"/>
              </w:rPr>
              <w:t>1</w:t>
            </w:r>
            <w:r>
              <w:rPr>
                <w:spacing w:val="5"/>
              </w:rPr>
              <w:t>（表层样）</w:t>
            </w:r>
          </w:p>
        </w:tc>
        <w:tc>
          <w:tcPr>
            <w:tcW w:w="1619" w:type="dxa"/>
            <w:vAlign w:val="top"/>
          </w:tcPr>
          <w:p>
            <w:pPr>
              <w:pStyle w:val="TableText"/>
              <w:ind w:left="191"/>
              <w:spacing w:before="36" w:line="216" w:lineRule="auto"/>
              <w:rPr/>
            </w:pPr>
            <w:r>
              <w:rPr>
                <w:rFonts w:ascii="Times New Roman" w:hAnsi="Times New Roman" w:eastAsia="Times New Roman" w:cs="Times New Roman"/>
                <w:spacing w:val="5"/>
              </w:rPr>
              <w:t>T</w:t>
            </w:r>
            <w:r>
              <w:rPr>
                <w:rFonts w:ascii="Times New Roman" w:hAnsi="Times New Roman" w:eastAsia="Times New Roman" w:cs="Times New Roman"/>
                <w:sz w:val="13"/>
                <w:szCs w:val="13"/>
                <w:spacing w:val="5"/>
                <w:position w:val="-1"/>
              </w:rPr>
              <w:t>5</w:t>
            </w:r>
            <w:r>
              <w:rPr>
                <w:spacing w:val="5"/>
              </w:rPr>
              <w:t>（表层样）</w:t>
            </w:r>
          </w:p>
        </w:tc>
        <w:tc>
          <w:tcPr>
            <w:tcW w:w="1350" w:type="dxa"/>
            <w:vAlign w:val="top"/>
          </w:tcPr>
          <w:p>
            <w:pPr>
              <w:pStyle w:val="TableText"/>
              <w:ind w:left="261"/>
              <w:spacing w:before="36" w:line="216" w:lineRule="auto"/>
              <w:rPr/>
            </w:pPr>
            <w:r>
              <w:rPr>
                <w:spacing w:val="7"/>
              </w:rPr>
              <w:t>标准限值</w:t>
            </w:r>
          </w:p>
        </w:tc>
      </w:tr>
      <w:tr>
        <w:trPr>
          <w:trHeight w:val="317" w:hRule="atLeast"/>
        </w:trPr>
        <w:tc>
          <w:tcPr>
            <w:tcW w:w="573" w:type="dxa"/>
            <w:vAlign w:val="top"/>
          </w:tcPr>
          <w:p>
            <w:pPr>
              <w:ind w:left="204"/>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14</w:t>
            </w:r>
          </w:p>
        </w:tc>
        <w:tc>
          <w:tcPr>
            <w:tcW w:w="1987" w:type="dxa"/>
            <w:vAlign w:val="top"/>
          </w:tcPr>
          <w:p>
            <w:pPr>
              <w:pStyle w:val="TableText"/>
              <w:ind w:left="348"/>
              <w:spacing w:before="50" w:line="221" w:lineRule="auto"/>
              <w:rPr/>
            </w:pPr>
            <w:r>
              <w:rPr>
                <w:rFonts w:ascii="Times New Roman" w:hAnsi="Times New Roman" w:eastAsia="Times New Roman" w:cs="Times New Roman"/>
                <w:spacing w:val="-2"/>
              </w:rPr>
              <w:t>1,</w:t>
            </w:r>
            <w:r>
              <w:rPr>
                <w:rFonts w:ascii="Times New Roman" w:hAnsi="Times New Roman" w:eastAsia="Times New Roman" w:cs="Times New Roman"/>
                <w:spacing w:val="-20"/>
              </w:rPr>
              <w:t xml:space="preserve"> </w:t>
            </w:r>
            <w:r>
              <w:rPr>
                <w:rFonts w:ascii="Times New Roman" w:hAnsi="Times New Roman" w:eastAsia="Times New Roman" w:cs="Times New Roman"/>
                <w:spacing w:val="-2"/>
              </w:rPr>
              <w:t>1,</w:t>
            </w:r>
            <w:r>
              <w:rPr>
                <w:rFonts w:ascii="Times New Roman" w:hAnsi="Times New Roman" w:eastAsia="Times New Roman" w:cs="Times New Roman"/>
                <w:spacing w:val="-25"/>
              </w:rPr>
              <w:t xml:space="preserve"> </w:t>
            </w:r>
            <w:r>
              <w:rPr>
                <w:rFonts w:ascii="Times New Roman" w:hAnsi="Times New Roman" w:eastAsia="Times New Roman" w:cs="Times New Roman"/>
                <w:spacing w:val="-2"/>
              </w:rPr>
              <w:t>1-</w:t>
            </w:r>
            <w:r>
              <w:rPr>
                <w:spacing w:val="-2"/>
              </w:rPr>
              <w:t>三氯乙烷</w:t>
            </w:r>
          </w:p>
        </w:tc>
        <w:tc>
          <w:tcPr>
            <w:tcW w:w="1168" w:type="dxa"/>
            <w:vAlign w:val="top"/>
          </w:tcPr>
          <w:p>
            <w:pPr>
              <w:ind w:left="314"/>
              <w:spacing w:before="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2" w:line="228" w:lineRule="auto"/>
              <w:rPr/>
            </w:pPr>
            <w:r>
              <w:rPr>
                <w:spacing w:val="5"/>
              </w:rPr>
              <w:t>未检出</w:t>
            </w:r>
          </w:p>
        </w:tc>
        <w:tc>
          <w:tcPr>
            <w:tcW w:w="1619" w:type="dxa"/>
            <w:vAlign w:val="top"/>
          </w:tcPr>
          <w:p>
            <w:pPr>
              <w:ind w:left="578"/>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0.480</w:t>
            </w:r>
          </w:p>
        </w:tc>
        <w:tc>
          <w:tcPr>
            <w:tcW w:w="1350" w:type="dxa"/>
            <w:vAlign w:val="top"/>
          </w:tcPr>
          <w:p>
            <w:pPr>
              <w:ind w:left="527"/>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840</w:t>
            </w:r>
          </w:p>
        </w:tc>
      </w:tr>
      <w:tr>
        <w:trPr>
          <w:trHeight w:val="316" w:hRule="atLeast"/>
        </w:trPr>
        <w:tc>
          <w:tcPr>
            <w:tcW w:w="573" w:type="dxa"/>
            <w:vAlign w:val="top"/>
          </w:tcPr>
          <w:p>
            <w:pPr>
              <w:ind w:left="204"/>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1987" w:type="dxa"/>
            <w:vAlign w:val="top"/>
          </w:tcPr>
          <w:p>
            <w:pPr>
              <w:pStyle w:val="TableText"/>
              <w:ind w:left="348"/>
              <w:spacing w:before="49" w:line="221" w:lineRule="auto"/>
              <w:rPr/>
            </w:pPr>
            <w:r>
              <w:rPr>
                <w:rFonts w:ascii="Times New Roman" w:hAnsi="Times New Roman" w:eastAsia="Times New Roman" w:cs="Times New Roman"/>
                <w:spacing w:val="1"/>
              </w:rPr>
              <w:t>1,</w:t>
            </w:r>
            <w:r>
              <w:rPr>
                <w:rFonts w:ascii="Times New Roman" w:hAnsi="Times New Roman" w:eastAsia="Times New Roman" w:cs="Times New Roman"/>
                <w:spacing w:val="-25"/>
              </w:rPr>
              <w:t xml:space="preserve"> </w:t>
            </w:r>
            <w:r>
              <w:rPr>
                <w:rFonts w:ascii="Times New Roman" w:hAnsi="Times New Roman" w:eastAsia="Times New Roman" w:cs="Times New Roman"/>
                <w:spacing w:val="1"/>
              </w:rPr>
              <w:t>1,2-</w:t>
            </w:r>
            <w:r>
              <w:rPr>
                <w:spacing w:val="1"/>
              </w:rPr>
              <w:t>三氯乙烷</w:t>
            </w:r>
          </w:p>
        </w:tc>
        <w:tc>
          <w:tcPr>
            <w:tcW w:w="1168" w:type="dxa"/>
            <w:vAlign w:val="top"/>
          </w:tcPr>
          <w:p>
            <w:pPr>
              <w:ind w:left="314"/>
              <w:spacing w:before="8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2" w:line="228" w:lineRule="auto"/>
              <w:rPr/>
            </w:pPr>
            <w:r>
              <w:rPr>
                <w:spacing w:val="5"/>
              </w:rPr>
              <w:t>未检出</w:t>
            </w:r>
          </w:p>
        </w:tc>
        <w:tc>
          <w:tcPr>
            <w:tcW w:w="1619" w:type="dxa"/>
            <w:vAlign w:val="top"/>
          </w:tcPr>
          <w:p>
            <w:pPr>
              <w:pStyle w:val="TableText"/>
              <w:ind w:left="505"/>
              <w:spacing w:before="52" w:line="228" w:lineRule="auto"/>
              <w:rPr/>
            </w:pPr>
            <w:r>
              <w:rPr>
                <w:spacing w:val="5"/>
              </w:rPr>
              <w:t>未检出</w:t>
            </w:r>
          </w:p>
        </w:tc>
        <w:tc>
          <w:tcPr>
            <w:tcW w:w="1350" w:type="dxa"/>
            <w:vAlign w:val="top"/>
          </w:tcPr>
          <w:p>
            <w:pPr>
              <w:ind w:left="545"/>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r>
      <w:tr>
        <w:trPr>
          <w:trHeight w:val="316" w:hRule="atLeast"/>
        </w:trPr>
        <w:tc>
          <w:tcPr>
            <w:tcW w:w="573" w:type="dxa"/>
            <w:vAlign w:val="top"/>
          </w:tcPr>
          <w:p>
            <w:pPr>
              <w:ind w:left="204"/>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16</w:t>
            </w:r>
          </w:p>
        </w:tc>
        <w:tc>
          <w:tcPr>
            <w:tcW w:w="1987" w:type="dxa"/>
            <w:vAlign w:val="top"/>
          </w:tcPr>
          <w:p>
            <w:pPr>
              <w:pStyle w:val="TableText"/>
              <w:ind w:left="577"/>
              <w:spacing w:before="52" w:line="228" w:lineRule="auto"/>
              <w:rPr/>
            </w:pPr>
            <w:r>
              <w:rPr>
                <w:spacing w:val="7"/>
              </w:rPr>
              <w:t>三氯乙烯</w:t>
            </w:r>
          </w:p>
        </w:tc>
        <w:tc>
          <w:tcPr>
            <w:tcW w:w="1168" w:type="dxa"/>
            <w:vAlign w:val="top"/>
          </w:tcPr>
          <w:p>
            <w:pPr>
              <w:ind w:left="314"/>
              <w:spacing w:before="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ind w:left="678"/>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0.156</w:t>
            </w:r>
          </w:p>
        </w:tc>
        <w:tc>
          <w:tcPr>
            <w:tcW w:w="1619" w:type="dxa"/>
            <w:vAlign w:val="top"/>
          </w:tcPr>
          <w:p>
            <w:pPr>
              <w:ind w:left="578"/>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0.149</w:t>
            </w:r>
          </w:p>
        </w:tc>
        <w:tc>
          <w:tcPr>
            <w:tcW w:w="1350" w:type="dxa"/>
            <w:vAlign w:val="top"/>
          </w:tcPr>
          <w:p>
            <w:pPr>
              <w:ind w:left="545"/>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r>
      <w:tr>
        <w:trPr>
          <w:trHeight w:val="317" w:hRule="atLeast"/>
        </w:trPr>
        <w:tc>
          <w:tcPr>
            <w:tcW w:w="573" w:type="dxa"/>
            <w:vAlign w:val="top"/>
          </w:tcPr>
          <w:p>
            <w:pPr>
              <w:ind w:left="204"/>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17</w:t>
            </w:r>
          </w:p>
        </w:tc>
        <w:tc>
          <w:tcPr>
            <w:tcW w:w="1987" w:type="dxa"/>
            <w:vAlign w:val="top"/>
          </w:tcPr>
          <w:p>
            <w:pPr>
              <w:pStyle w:val="TableText"/>
              <w:ind w:left="348"/>
              <w:spacing w:before="53" w:line="221" w:lineRule="auto"/>
              <w:rPr/>
            </w:pPr>
            <w:r>
              <w:rPr>
                <w:rFonts w:ascii="Times New Roman" w:hAnsi="Times New Roman" w:eastAsia="Times New Roman" w:cs="Times New Roman"/>
                <w:spacing w:val="3"/>
              </w:rPr>
              <w:t>1,2,3-</w:t>
            </w:r>
            <w:r>
              <w:rPr>
                <w:spacing w:val="3"/>
              </w:rPr>
              <w:t>三氯丙烷</w:t>
            </w:r>
          </w:p>
        </w:tc>
        <w:tc>
          <w:tcPr>
            <w:tcW w:w="1168" w:type="dxa"/>
            <w:vAlign w:val="top"/>
          </w:tcPr>
          <w:p>
            <w:pPr>
              <w:ind w:left="314"/>
              <w:spacing w:before="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3" w:line="228" w:lineRule="auto"/>
              <w:rPr/>
            </w:pPr>
            <w:r>
              <w:rPr>
                <w:spacing w:val="5"/>
              </w:rPr>
              <w:t>未检出</w:t>
            </w:r>
          </w:p>
        </w:tc>
        <w:tc>
          <w:tcPr>
            <w:tcW w:w="1619" w:type="dxa"/>
            <w:vAlign w:val="top"/>
          </w:tcPr>
          <w:p>
            <w:pPr>
              <w:pStyle w:val="TableText"/>
              <w:ind w:left="505"/>
              <w:spacing w:before="53" w:line="228" w:lineRule="auto"/>
              <w:rPr/>
            </w:pPr>
            <w:r>
              <w:rPr>
                <w:spacing w:val="5"/>
              </w:rPr>
              <w:t>未检出</w:t>
            </w:r>
          </w:p>
        </w:tc>
        <w:tc>
          <w:tcPr>
            <w:tcW w:w="1350" w:type="dxa"/>
            <w:vAlign w:val="top"/>
          </w:tcPr>
          <w:p>
            <w:pPr>
              <w:ind w:left="548"/>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0.5</w:t>
            </w:r>
          </w:p>
        </w:tc>
      </w:tr>
      <w:tr>
        <w:trPr>
          <w:trHeight w:val="317" w:hRule="atLeast"/>
        </w:trPr>
        <w:tc>
          <w:tcPr>
            <w:tcW w:w="573" w:type="dxa"/>
            <w:vAlign w:val="top"/>
          </w:tcPr>
          <w:p>
            <w:pPr>
              <w:ind w:left="204"/>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18</w:t>
            </w:r>
          </w:p>
        </w:tc>
        <w:tc>
          <w:tcPr>
            <w:tcW w:w="1987" w:type="dxa"/>
            <w:vAlign w:val="top"/>
          </w:tcPr>
          <w:p>
            <w:pPr>
              <w:pStyle w:val="TableText"/>
              <w:ind w:left="686"/>
              <w:spacing w:before="53" w:line="228" w:lineRule="auto"/>
              <w:rPr/>
            </w:pPr>
            <w:r>
              <w:rPr>
                <w:spacing w:val="5"/>
              </w:rPr>
              <w:t>氯乙烯</w:t>
            </w:r>
          </w:p>
        </w:tc>
        <w:tc>
          <w:tcPr>
            <w:tcW w:w="1168" w:type="dxa"/>
            <w:vAlign w:val="top"/>
          </w:tcPr>
          <w:p>
            <w:pPr>
              <w:ind w:left="314"/>
              <w:spacing w:before="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3" w:line="228" w:lineRule="auto"/>
              <w:rPr/>
            </w:pPr>
            <w:r>
              <w:rPr>
                <w:spacing w:val="5"/>
              </w:rPr>
              <w:t>未检出</w:t>
            </w:r>
          </w:p>
        </w:tc>
        <w:tc>
          <w:tcPr>
            <w:tcW w:w="1619" w:type="dxa"/>
            <w:vAlign w:val="top"/>
          </w:tcPr>
          <w:p>
            <w:pPr>
              <w:pStyle w:val="TableText"/>
              <w:ind w:left="505"/>
              <w:spacing w:before="53" w:line="228" w:lineRule="auto"/>
              <w:rPr/>
            </w:pPr>
            <w:r>
              <w:rPr>
                <w:spacing w:val="5"/>
              </w:rPr>
              <w:t>未检出</w:t>
            </w:r>
          </w:p>
        </w:tc>
        <w:tc>
          <w:tcPr>
            <w:tcW w:w="1350" w:type="dxa"/>
            <w:vAlign w:val="top"/>
          </w:tcPr>
          <w:p>
            <w:pPr>
              <w:ind w:left="495"/>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0.43</w:t>
            </w:r>
          </w:p>
        </w:tc>
      </w:tr>
      <w:tr>
        <w:trPr>
          <w:trHeight w:val="316" w:hRule="atLeast"/>
        </w:trPr>
        <w:tc>
          <w:tcPr>
            <w:tcW w:w="573" w:type="dxa"/>
            <w:vAlign w:val="top"/>
          </w:tcPr>
          <w:p>
            <w:pPr>
              <w:ind w:left="20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19</w:t>
            </w:r>
          </w:p>
        </w:tc>
        <w:tc>
          <w:tcPr>
            <w:tcW w:w="1987" w:type="dxa"/>
            <w:vAlign w:val="top"/>
          </w:tcPr>
          <w:p>
            <w:pPr>
              <w:pStyle w:val="TableText"/>
              <w:ind w:left="896"/>
              <w:spacing w:before="52" w:line="227" w:lineRule="auto"/>
              <w:rPr/>
            </w:pPr>
            <w:r>
              <w:rPr/>
              <w:t>苯</w:t>
            </w:r>
          </w:p>
        </w:tc>
        <w:tc>
          <w:tcPr>
            <w:tcW w:w="1168" w:type="dxa"/>
            <w:vAlign w:val="top"/>
          </w:tcPr>
          <w:p>
            <w:pPr>
              <w:ind w:left="314"/>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ind w:left="6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0.005</w:t>
            </w:r>
          </w:p>
        </w:tc>
        <w:tc>
          <w:tcPr>
            <w:tcW w:w="1619" w:type="dxa"/>
            <w:vAlign w:val="top"/>
          </w:tcPr>
          <w:p>
            <w:pPr>
              <w:ind w:left="5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0.032</w:t>
            </w:r>
          </w:p>
        </w:tc>
        <w:tc>
          <w:tcPr>
            <w:tcW w:w="1350" w:type="dxa"/>
            <w:vAlign w:val="top"/>
          </w:tcPr>
          <w:p>
            <w:pPr>
              <w:ind w:left="62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r>
      <w:tr>
        <w:trPr>
          <w:trHeight w:val="316" w:hRule="atLeast"/>
        </w:trPr>
        <w:tc>
          <w:tcPr>
            <w:tcW w:w="573" w:type="dxa"/>
            <w:vAlign w:val="top"/>
          </w:tcPr>
          <w:p>
            <w:pPr>
              <w:ind w:left="18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1987" w:type="dxa"/>
            <w:vAlign w:val="top"/>
          </w:tcPr>
          <w:p>
            <w:pPr>
              <w:pStyle w:val="TableText"/>
              <w:ind w:left="791"/>
              <w:spacing w:before="53" w:line="227" w:lineRule="auto"/>
              <w:rPr/>
            </w:pPr>
            <w:r>
              <w:rPr>
                <w:spacing w:val="3"/>
              </w:rPr>
              <w:t>氯苯</w:t>
            </w:r>
          </w:p>
        </w:tc>
        <w:tc>
          <w:tcPr>
            <w:tcW w:w="1168" w:type="dxa"/>
            <w:vAlign w:val="top"/>
          </w:tcPr>
          <w:p>
            <w:pPr>
              <w:ind w:left="314"/>
              <w:spacing w:before="8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ind w:left="6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0.023</w:t>
            </w:r>
          </w:p>
        </w:tc>
        <w:tc>
          <w:tcPr>
            <w:tcW w:w="1619" w:type="dxa"/>
            <w:vAlign w:val="top"/>
          </w:tcPr>
          <w:p>
            <w:pPr>
              <w:pStyle w:val="TableText"/>
              <w:ind w:left="505"/>
              <w:spacing w:before="55" w:line="228" w:lineRule="auto"/>
              <w:rPr/>
            </w:pPr>
            <w:r>
              <w:rPr>
                <w:spacing w:val="5"/>
              </w:rPr>
              <w:t>未检出</w:t>
            </w:r>
          </w:p>
        </w:tc>
        <w:tc>
          <w:tcPr>
            <w:tcW w:w="1350" w:type="dxa"/>
            <w:vAlign w:val="top"/>
          </w:tcPr>
          <w:p>
            <w:pPr>
              <w:ind w:left="51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270</w:t>
            </w:r>
          </w:p>
        </w:tc>
      </w:tr>
      <w:tr>
        <w:trPr>
          <w:trHeight w:val="317" w:hRule="atLeast"/>
        </w:trPr>
        <w:tc>
          <w:tcPr>
            <w:tcW w:w="573" w:type="dxa"/>
            <w:vAlign w:val="top"/>
          </w:tcPr>
          <w:p>
            <w:pPr>
              <w:ind w:left="18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21</w:t>
            </w:r>
          </w:p>
        </w:tc>
        <w:tc>
          <w:tcPr>
            <w:tcW w:w="1987" w:type="dxa"/>
            <w:vAlign w:val="top"/>
          </w:tcPr>
          <w:p>
            <w:pPr>
              <w:pStyle w:val="TableText"/>
              <w:ind w:left="533"/>
              <w:spacing w:before="53" w:line="221" w:lineRule="auto"/>
              <w:rPr/>
            </w:pPr>
            <w:r>
              <w:rPr>
                <w:rFonts w:ascii="Times New Roman" w:hAnsi="Times New Roman" w:eastAsia="Times New Roman" w:cs="Times New Roman"/>
                <w:spacing w:val="2"/>
              </w:rPr>
              <w:t>1,2-</w:t>
            </w:r>
            <w:r>
              <w:rPr>
                <w:spacing w:val="2"/>
              </w:rPr>
              <w:t>二氯苯</w:t>
            </w:r>
          </w:p>
        </w:tc>
        <w:tc>
          <w:tcPr>
            <w:tcW w:w="1168" w:type="dxa"/>
            <w:vAlign w:val="top"/>
          </w:tcPr>
          <w:p>
            <w:pPr>
              <w:ind w:left="314"/>
              <w:spacing w:before="8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6" w:line="228" w:lineRule="auto"/>
              <w:rPr/>
            </w:pPr>
            <w:r>
              <w:rPr>
                <w:spacing w:val="5"/>
              </w:rPr>
              <w:t>未检出</w:t>
            </w:r>
          </w:p>
        </w:tc>
        <w:tc>
          <w:tcPr>
            <w:tcW w:w="1619" w:type="dxa"/>
            <w:vAlign w:val="top"/>
          </w:tcPr>
          <w:p>
            <w:pPr>
              <w:ind w:left="58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0.110</w:t>
            </w:r>
          </w:p>
        </w:tc>
        <w:tc>
          <w:tcPr>
            <w:tcW w:w="1350" w:type="dxa"/>
            <w:vAlign w:val="top"/>
          </w:tcPr>
          <w:p>
            <w:pPr>
              <w:ind w:left="52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560</w:t>
            </w:r>
          </w:p>
        </w:tc>
      </w:tr>
      <w:tr>
        <w:trPr>
          <w:trHeight w:val="317" w:hRule="atLeast"/>
        </w:trPr>
        <w:tc>
          <w:tcPr>
            <w:tcW w:w="573" w:type="dxa"/>
            <w:vAlign w:val="top"/>
          </w:tcPr>
          <w:p>
            <w:pPr>
              <w:ind w:left="18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22</w:t>
            </w:r>
          </w:p>
        </w:tc>
        <w:tc>
          <w:tcPr>
            <w:tcW w:w="1987" w:type="dxa"/>
            <w:vAlign w:val="top"/>
          </w:tcPr>
          <w:p>
            <w:pPr>
              <w:pStyle w:val="TableText"/>
              <w:ind w:left="533"/>
              <w:spacing w:before="55" w:line="221" w:lineRule="auto"/>
              <w:rPr/>
            </w:pPr>
            <w:r>
              <w:rPr>
                <w:rFonts w:ascii="Times New Roman" w:hAnsi="Times New Roman" w:eastAsia="Times New Roman" w:cs="Times New Roman"/>
                <w:spacing w:val="2"/>
              </w:rPr>
              <w:t>1,4-</w:t>
            </w:r>
            <w:r>
              <w:rPr>
                <w:spacing w:val="2"/>
              </w:rPr>
              <w:t>二氯苯</w:t>
            </w:r>
          </w:p>
        </w:tc>
        <w:tc>
          <w:tcPr>
            <w:tcW w:w="1168" w:type="dxa"/>
            <w:vAlign w:val="top"/>
          </w:tcPr>
          <w:p>
            <w:pPr>
              <w:ind w:left="314"/>
              <w:spacing w:before="8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5" w:line="228" w:lineRule="auto"/>
              <w:rPr/>
            </w:pPr>
            <w:r>
              <w:rPr>
                <w:spacing w:val="5"/>
              </w:rPr>
              <w:t>未检出</w:t>
            </w:r>
          </w:p>
        </w:tc>
        <w:tc>
          <w:tcPr>
            <w:tcW w:w="1619" w:type="dxa"/>
            <w:vAlign w:val="top"/>
          </w:tcPr>
          <w:p>
            <w:pPr>
              <w:ind w:left="57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0.056</w:t>
            </w:r>
          </w:p>
        </w:tc>
        <w:tc>
          <w:tcPr>
            <w:tcW w:w="1350" w:type="dxa"/>
            <w:vAlign w:val="top"/>
          </w:tcPr>
          <w:p>
            <w:pPr>
              <w:ind w:left="57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r>
      <w:tr>
        <w:trPr>
          <w:trHeight w:val="317" w:hRule="atLeast"/>
        </w:trPr>
        <w:tc>
          <w:tcPr>
            <w:tcW w:w="573" w:type="dxa"/>
            <w:vAlign w:val="top"/>
          </w:tcPr>
          <w:p>
            <w:pPr>
              <w:ind w:left="18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23</w:t>
            </w:r>
          </w:p>
        </w:tc>
        <w:tc>
          <w:tcPr>
            <w:tcW w:w="1987" w:type="dxa"/>
            <w:vAlign w:val="top"/>
          </w:tcPr>
          <w:p>
            <w:pPr>
              <w:pStyle w:val="TableText"/>
              <w:ind w:left="808"/>
              <w:spacing w:before="55" w:line="227" w:lineRule="auto"/>
              <w:rPr/>
            </w:pPr>
            <w:r>
              <w:rPr>
                <w:spacing w:val="-6"/>
              </w:rPr>
              <w:t>乙苯</w:t>
            </w:r>
          </w:p>
        </w:tc>
        <w:tc>
          <w:tcPr>
            <w:tcW w:w="1168" w:type="dxa"/>
            <w:vAlign w:val="top"/>
          </w:tcPr>
          <w:p>
            <w:pPr>
              <w:ind w:left="314"/>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ind w:left="6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0.015</w:t>
            </w:r>
          </w:p>
        </w:tc>
        <w:tc>
          <w:tcPr>
            <w:tcW w:w="1619" w:type="dxa"/>
            <w:vAlign w:val="top"/>
          </w:tcPr>
          <w:p>
            <w:pPr>
              <w:ind w:left="5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0.023</w:t>
            </w:r>
          </w:p>
        </w:tc>
        <w:tc>
          <w:tcPr>
            <w:tcW w:w="1350" w:type="dxa"/>
            <w:vAlign w:val="top"/>
          </w:tcPr>
          <w:p>
            <w:pPr>
              <w:ind w:left="57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r>
      <w:tr>
        <w:trPr>
          <w:trHeight w:val="317" w:hRule="atLeast"/>
        </w:trPr>
        <w:tc>
          <w:tcPr>
            <w:tcW w:w="573" w:type="dxa"/>
            <w:vAlign w:val="top"/>
          </w:tcPr>
          <w:p>
            <w:pPr>
              <w:ind w:left="18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24</w:t>
            </w:r>
          </w:p>
        </w:tc>
        <w:tc>
          <w:tcPr>
            <w:tcW w:w="1987" w:type="dxa"/>
            <w:vAlign w:val="top"/>
          </w:tcPr>
          <w:p>
            <w:pPr>
              <w:pStyle w:val="TableText"/>
              <w:ind w:left="685"/>
              <w:spacing w:before="55" w:line="227" w:lineRule="auto"/>
              <w:rPr/>
            </w:pPr>
            <w:r>
              <w:rPr>
                <w:spacing w:val="6"/>
              </w:rPr>
              <w:t>苯乙烯</w:t>
            </w:r>
          </w:p>
        </w:tc>
        <w:tc>
          <w:tcPr>
            <w:tcW w:w="1168" w:type="dxa"/>
            <w:vAlign w:val="top"/>
          </w:tcPr>
          <w:p>
            <w:pPr>
              <w:ind w:left="314"/>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ind w:left="6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0.021</w:t>
            </w:r>
          </w:p>
        </w:tc>
        <w:tc>
          <w:tcPr>
            <w:tcW w:w="1619" w:type="dxa"/>
            <w:vAlign w:val="top"/>
          </w:tcPr>
          <w:p>
            <w:pPr>
              <w:pStyle w:val="TableText"/>
              <w:ind w:left="505"/>
              <w:spacing w:before="55" w:line="228" w:lineRule="auto"/>
              <w:rPr/>
            </w:pPr>
            <w:r>
              <w:rPr>
                <w:spacing w:val="5"/>
              </w:rPr>
              <w:t>未检出</w:t>
            </w:r>
          </w:p>
        </w:tc>
        <w:tc>
          <w:tcPr>
            <w:tcW w:w="1350" w:type="dxa"/>
            <w:vAlign w:val="top"/>
          </w:tcPr>
          <w:p>
            <w:pPr>
              <w:ind w:left="48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1290</w:t>
            </w:r>
          </w:p>
        </w:tc>
      </w:tr>
      <w:tr>
        <w:trPr>
          <w:trHeight w:val="317" w:hRule="atLeast"/>
        </w:trPr>
        <w:tc>
          <w:tcPr>
            <w:tcW w:w="573" w:type="dxa"/>
            <w:vAlign w:val="top"/>
          </w:tcPr>
          <w:p>
            <w:pPr>
              <w:ind w:left="183"/>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1987" w:type="dxa"/>
            <w:vAlign w:val="top"/>
          </w:tcPr>
          <w:p>
            <w:pPr>
              <w:pStyle w:val="TableText"/>
              <w:ind w:left="815"/>
              <w:spacing w:before="54" w:line="227" w:lineRule="auto"/>
              <w:rPr/>
            </w:pPr>
            <w:r>
              <w:rPr>
                <w:spacing w:val="-9"/>
              </w:rPr>
              <w:t>甲苯</w:t>
            </w:r>
          </w:p>
        </w:tc>
        <w:tc>
          <w:tcPr>
            <w:tcW w:w="1168" w:type="dxa"/>
            <w:vAlign w:val="top"/>
          </w:tcPr>
          <w:p>
            <w:pPr>
              <w:ind w:left="314"/>
              <w:spacing w:before="89"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7" w:line="228" w:lineRule="auto"/>
              <w:rPr/>
            </w:pPr>
            <w:r>
              <w:rPr>
                <w:spacing w:val="5"/>
              </w:rPr>
              <w:t>未检出</w:t>
            </w:r>
          </w:p>
        </w:tc>
        <w:tc>
          <w:tcPr>
            <w:tcW w:w="1619" w:type="dxa"/>
            <w:vAlign w:val="top"/>
          </w:tcPr>
          <w:p>
            <w:pPr>
              <w:ind w:left="57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0.047</w:t>
            </w:r>
          </w:p>
        </w:tc>
        <w:tc>
          <w:tcPr>
            <w:tcW w:w="1350" w:type="dxa"/>
            <w:vAlign w:val="top"/>
          </w:tcPr>
          <w:p>
            <w:pPr>
              <w:ind w:left="486"/>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1200</w:t>
            </w:r>
          </w:p>
        </w:tc>
      </w:tr>
      <w:tr>
        <w:trPr>
          <w:trHeight w:val="317" w:hRule="atLeast"/>
        </w:trPr>
        <w:tc>
          <w:tcPr>
            <w:tcW w:w="573" w:type="dxa"/>
            <w:vAlign w:val="top"/>
          </w:tcPr>
          <w:p>
            <w:pPr>
              <w:ind w:left="18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26</w:t>
            </w:r>
          </w:p>
        </w:tc>
        <w:tc>
          <w:tcPr>
            <w:tcW w:w="1987" w:type="dxa"/>
            <w:vAlign w:val="top"/>
          </w:tcPr>
          <w:p>
            <w:pPr>
              <w:pStyle w:val="TableText"/>
              <w:ind w:left="115"/>
              <w:spacing w:before="54" w:line="227" w:lineRule="auto"/>
              <w:rPr/>
            </w:pPr>
            <w:r>
              <w:rPr>
                <w:spacing w:val="6"/>
              </w:rPr>
              <w:t>间二甲苯</w:t>
            </w:r>
            <w:r>
              <w:rPr>
                <w:rFonts w:ascii="Times New Roman" w:hAnsi="Times New Roman" w:eastAsia="Times New Roman" w:cs="Times New Roman"/>
                <w:spacing w:val="6"/>
              </w:rPr>
              <w:t>+</w:t>
            </w:r>
            <w:r>
              <w:rPr>
                <w:spacing w:val="6"/>
              </w:rPr>
              <w:t>对二甲苯</w:t>
            </w:r>
          </w:p>
        </w:tc>
        <w:tc>
          <w:tcPr>
            <w:tcW w:w="1168" w:type="dxa"/>
            <w:vAlign w:val="top"/>
          </w:tcPr>
          <w:p>
            <w:pPr>
              <w:ind w:left="314"/>
              <w:spacing w:before="89"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6" w:line="228" w:lineRule="auto"/>
              <w:rPr/>
            </w:pPr>
            <w:r>
              <w:rPr>
                <w:spacing w:val="5"/>
              </w:rPr>
              <w:t>未检出</w:t>
            </w:r>
          </w:p>
        </w:tc>
        <w:tc>
          <w:tcPr>
            <w:tcW w:w="1619" w:type="dxa"/>
            <w:vAlign w:val="top"/>
          </w:tcPr>
          <w:p>
            <w:pPr>
              <w:pStyle w:val="TableText"/>
              <w:ind w:left="505"/>
              <w:spacing w:before="56" w:line="228" w:lineRule="auto"/>
              <w:rPr/>
            </w:pPr>
            <w:r>
              <w:rPr>
                <w:spacing w:val="5"/>
              </w:rPr>
              <w:t>未检出</w:t>
            </w:r>
          </w:p>
        </w:tc>
        <w:tc>
          <w:tcPr>
            <w:tcW w:w="1350" w:type="dxa"/>
            <w:vAlign w:val="top"/>
          </w:tcPr>
          <w:p>
            <w:pPr>
              <w:ind w:left="52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570</w:t>
            </w:r>
          </w:p>
        </w:tc>
      </w:tr>
      <w:tr>
        <w:trPr>
          <w:trHeight w:val="317" w:hRule="atLeast"/>
        </w:trPr>
        <w:tc>
          <w:tcPr>
            <w:tcW w:w="573" w:type="dxa"/>
            <w:vAlign w:val="top"/>
          </w:tcPr>
          <w:p>
            <w:pPr>
              <w:ind w:left="18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27</w:t>
            </w:r>
          </w:p>
        </w:tc>
        <w:tc>
          <w:tcPr>
            <w:tcW w:w="1987" w:type="dxa"/>
            <w:vAlign w:val="top"/>
          </w:tcPr>
          <w:p>
            <w:pPr>
              <w:pStyle w:val="TableText"/>
              <w:ind w:left="576"/>
              <w:spacing w:before="54" w:line="227" w:lineRule="auto"/>
              <w:rPr/>
            </w:pPr>
            <w:r>
              <w:rPr>
                <w:spacing w:val="7"/>
              </w:rPr>
              <w:t>邻二甲苯</w:t>
            </w:r>
          </w:p>
        </w:tc>
        <w:tc>
          <w:tcPr>
            <w:tcW w:w="1168" w:type="dxa"/>
            <w:vAlign w:val="top"/>
          </w:tcPr>
          <w:p>
            <w:pPr>
              <w:ind w:left="314"/>
              <w:spacing w:before="8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ind w:left="67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0.044</w:t>
            </w:r>
          </w:p>
        </w:tc>
        <w:tc>
          <w:tcPr>
            <w:tcW w:w="1619" w:type="dxa"/>
            <w:vAlign w:val="top"/>
          </w:tcPr>
          <w:p>
            <w:pPr>
              <w:ind w:left="57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0.061</w:t>
            </w:r>
          </w:p>
        </w:tc>
        <w:tc>
          <w:tcPr>
            <w:tcW w:w="1350" w:type="dxa"/>
            <w:vAlign w:val="top"/>
          </w:tcPr>
          <w:p>
            <w:pPr>
              <w:ind w:left="52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640</w:t>
            </w:r>
          </w:p>
        </w:tc>
      </w:tr>
      <w:tr>
        <w:trPr>
          <w:trHeight w:val="317" w:hRule="atLeast"/>
        </w:trPr>
        <w:tc>
          <w:tcPr>
            <w:tcW w:w="573" w:type="dxa"/>
            <w:vAlign w:val="top"/>
          </w:tcPr>
          <w:p>
            <w:pPr>
              <w:ind w:left="18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28</w:t>
            </w:r>
          </w:p>
        </w:tc>
        <w:tc>
          <w:tcPr>
            <w:tcW w:w="1987" w:type="dxa"/>
            <w:vAlign w:val="top"/>
          </w:tcPr>
          <w:p>
            <w:pPr>
              <w:pStyle w:val="TableText"/>
              <w:ind w:left="684"/>
              <w:spacing w:before="56" w:line="227" w:lineRule="auto"/>
              <w:rPr/>
            </w:pPr>
            <w:r>
              <w:rPr>
                <w:spacing w:val="6"/>
              </w:rPr>
              <w:t>硝基苯</w:t>
            </w:r>
          </w:p>
        </w:tc>
        <w:tc>
          <w:tcPr>
            <w:tcW w:w="1168" w:type="dxa"/>
            <w:vAlign w:val="top"/>
          </w:tcPr>
          <w:p>
            <w:pPr>
              <w:ind w:left="314"/>
              <w:spacing w:before="8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5" w:line="228" w:lineRule="auto"/>
              <w:rPr/>
            </w:pPr>
            <w:r>
              <w:rPr>
                <w:spacing w:val="5"/>
              </w:rPr>
              <w:t>未检出</w:t>
            </w:r>
          </w:p>
        </w:tc>
        <w:tc>
          <w:tcPr>
            <w:tcW w:w="1619" w:type="dxa"/>
            <w:vAlign w:val="top"/>
          </w:tcPr>
          <w:p>
            <w:pPr>
              <w:pStyle w:val="TableText"/>
              <w:ind w:left="505"/>
              <w:spacing w:before="55" w:line="228" w:lineRule="auto"/>
              <w:rPr/>
            </w:pPr>
            <w:r>
              <w:rPr>
                <w:spacing w:val="5"/>
              </w:rPr>
              <w:t>未检出</w:t>
            </w:r>
          </w:p>
        </w:tc>
        <w:tc>
          <w:tcPr>
            <w:tcW w:w="1350" w:type="dxa"/>
            <w:vAlign w:val="top"/>
          </w:tcPr>
          <w:p>
            <w:pPr>
              <w:ind w:left="57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76</w:t>
            </w:r>
          </w:p>
        </w:tc>
      </w:tr>
      <w:tr>
        <w:trPr>
          <w:trHeight w:val="317" w:hRule="atLeast"/>
        </w:trPr>
        <w:tc>
          <w:tcPr>
            <w:tcW w:w="573" w:type="dxa"/>
            <w:vAlign w:val="top"/>
          </w:tcPr>
          <w:p>
            <w:pPr>
              <w:ind w:left="18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29</w:t>
            </w:r>
          </w:p>
        </w:tc>
        <w:tc>
          <w:tcPr>
            <w:tcW w:w="1987" w:type="dxa"/>
            <w:vAlign w:val="top"/>
          </w:tcPr>
          <w:p>
            <w:pPr>
              <w:pStyle w:val="TableText"/>
              <w:ind w:left="790"/>
              <w:spacing w:before="55" w:line="227" w:lineRule="auto"/>
              <w:rPr/>
            </w:pPr>
            <w:r>
              <w:rPr>
                <w:spacing w:val="3"/>
              </w:rPr>
              <w:t>苯胺</w:t>
            </w:r>
          </w:p>
        </w:tc>
        <w:tc>
          <w:tcPr>
            <w:tcW w:w="1168" w:type="dxa"/>
            <w:vAlign w:val="top"/>
          </w:tcPr>
          <w:p>
            <w:pPr>
              <w:ind w:left="314"/>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ind w:left="73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0.39</w:t>
            </w:r>
          </w:p>
        </w:tc>
        <w:tc>
          <w:tcPr>
            <w:tcW w:w="1619" w:type="dxa"/>
            <w:vAlign w:val="top"/>
          </w:tcPr>
          <w:p>
            <w:pPr>
              <w:ind w:left="63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0.19</w:t>
            </w:r>
          </w:p>
        </w:tc>
        <w:tc>
          <w:tcPr>
            <w:tcW w:w="1350" w:type="dxa"/>
            <w:vAlign w:val="top"/>
          </w:tcPr>
          <w:p>
            <w:pPr>
              <w:ind w:left="51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260</w:t>
            </w:r>
          </w:p>
        </w:tc>
      </w:tr>
      <w:tr>
        <w:trPr>
          <w:trHeight w:val="317" w:hRule="atLeast"/>
        </w:trPr>
        <w:tc>
          <w:tcPr>
            <w:tcW w:w="573" w:type="dxa"/>
            <w:vAlign w:val="top"/>
          </w:tcPr>
          <w:p>
            <w:pPr>
              <w:ind w:left="18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1987" w:type="dxa"/>
            <w:vAlign w:val="top"/>
          </w:tcPr>
          <w:p>
            <w:pPr>
              <w:pStyle w:val="TableText"/>
              <w:ind w:left="695"/>
              <w:spacing w:before="55" w:line="229" w:lineRule="auto"/>
              <w:rPr/>
            </w:pPr>
            <w:r>
              <w:rPr>
                <w:rFonts w:ascii="Times New Roman" w:hAnsi="Times New Roman" w:eastAsia="Times New Roman" w:cs="Times New Roman"/>
                <w:spacing w:val="5"/>
              </w:rPr>
              <w:t>2-</w:t>
            </w:r>
            <w:r>
              <w:rPr>
                <w:spacing w:val="5"/>
              </w:rPr>
              <w:t>氯酚</w:t>
            </w:r>
          </w:p>
        </w:tc>
        <w:tc>
          <w:tcPr>
            <w:tcW w:w="1168" w:type="dxa"/>
            <w:vAlign w:val="top"/>
          </w:tcPr>
          <w:p>
            <w:pPr>
              <w:ind w:left="314"/>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5" w:line="228" w:lineRule="auto"/>
              <w:rPr/>
            </w:pPr>
            <w:r>
              <w:rPr>
                <w:spacing w:val="5"/>
              </w:rPr>
              <w:t>未检出</w:t>
            </w:r>
          </w:p>
        </w:tc>
        <w:tc>
          <w:tcPr>
            <w:tcW w:w="1619" w:type="dxa"/>
            <w:vAlign w:val="top"/>
          </w:tcPr>
          <w:p>
            <w:pPr>
              <w:ind w:left="63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0.07</w:t>
            </w:r>
          </w:p>
        </w:tc>
        <w:tc>
          <w:tcPr>
            <w:tcW w:w="1350" w:type="dxa"/>
            <w:vAlign w:val="top"/>
          </w:tcPr>
          <w:p>
            <w:pPr>
              <w:ind w:left="46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2256</w:t>
            </w:r>
          </w:p>
        </w:tc>
      </w:tr>
      <w:tr>
        <w:trPr>
          <w:trHeight w:val="317" w:hRule="atLeast"/>
        </w:trPr>
        <w:tc>
          <w:tcPr>
            <w:tcW w:w="573" w:type="dxa"/>
            <w:vAlign w:val="top"/>
          </w:tcPr>
          <w:p>
            <w:pPr>
              <w:ind w:left="18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31</w:t>
            </w:r>
          </w:p>
        </w:tc>
        <w:tc>
          <w:tcPr>
            <w:tcW w:w="1987" w:type="dxa"/>
            <w:vAlign w:val="top"/>
          </w:tcPr>
          <w:p>
            <w:pPr>
              <w:pStyle w:val="TableText"/>
              <w:ind w:left="567"/>
              <w:spacing w:before="54" w:line="221" w:lineRule="auto"/>
              <w:rPr/>
            </w:pPr>
            <w:r>
              <w:rPr>
                <w:spacing w:val="4"/>
              </w:rPr>
              <w:t>苯并</w:t>
            </w:r>
            <w:r>
              <w:rPr>
                <w:rFonts w:ascii="Times New Roman" w:hAnsi="Times New Roman" w:eastAsia="Times New Roman" w:cs="Times New Roman"/>
                <w:spacing w:val="4"/>
              </w:rPr>
              <w:t>[a]</w:t>
            </w:r>
            <w:r>
              <w:rPr>
                <w:spacing w:val="4"/>
              </w:rPr>
              <w:t>蒽</w:t>
            </w:r>
          </w:p>
        </w:tc>
        <w:tc>
          <w:tcPr>
            <w:tcW w:w="1168" w:type="dxa"/>
            <w:vAlign w:val="top"/>
          </w:tcPr>
          <w:p>
            <w:pPr>
              <w:ind w:left="314"/>
              <w:spacing w:before="89"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7" w:line="228" w:lineRule="auto"/>
              <w:rPr/>
            </w:pPr>
            <w:r>
              <w:rPr>
                <w:spacing w:val="5"/>
              </w:rPr>
              <w:t>未检出</w:t>
            </w:r>
          </w:p>
        </w:tc>
        <w:tc>
          <w:tcPr>
            <w:tcW w:w="1619" w:type="dxa"/>
            <w:vAlign w:val="top"/>
          </w:tcPr>
          <w:p>
            <w:pPr>
              <w:pStyle w:val="TableText"/>
              <w:ind w:left="505"/>
              <w:spacing w:before="57" w:line="228" w:lineRule="auto"/>
              <w:rPr/>
            </w:pPr>
            <w:r>
              <w:rPr>
                <w:spacing w:val="5"/>
              </w:rPr>
              <w:t>未检出</w:t>
            </w:r>
          </w:p>
        </w:tc>
        <w:tc>
          <w:tcPr>
            <w:tcW w:w="1350" w:type="dxa"/>
            <w:vAlign w:val="top"/>
          </w:tcPr>
          <w:p>
            <w:pPr>
              <w:ind w:left="591"/>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r>
      <w:tr>
        <w:trPr>
          <w:trHeight w:val="317" w:hRule="atLeast"/>
        </w:trPr>
        <w:tc>
          <w:tcPr>
            <w:tcW w:w="573" w:type="dxa"/>
            <w:vAlign w:val="top"/>
          </w:tcPr>
          <w:p>
            <w:pPr>
              <w:ind w:left="18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32</w:t>
            </w:r>
          </w:p>
        </w:tc>
        <w:tc>
          <w:tcPr>
            <w:tcW w:w="1987" w:type="dxa"/>
            <w:vAlign w:val="top"/>
          </w:tcPr>
          <w:p>
            <w:pPr>
              <w:pStyle w:val="TableText"/>
              <w:ind w:left="567"/>
              <w:spacing w:before="54" w:line="221" w:lineRule="auto"/>
              <w:rPr/>
            </w:pPr>
            <w:r>
              <w:rPr>
                <w:spacing w:val="4"/>
              </w:rPr>
              <w:t>苯并</w:t>
            </w:r>
            <w:r>
              <w:rPr>
                <w:rFonts w:ascii="Times New Roman" w:hAnsi="Times New Roman" w:eastAsia="Times New Roman" w:cs="Times New Roman"/>
                <w:spacing w:val="4"/>
              </w:rPr>
              <w:t>[a]</w:t>
            </w:r>
            <w:r>
              <w:rPr>
                <w:spacing w:val="4"/>
              </w:rPr>
              <w:t>芘</w:t>
            </w:r>
          </w:p>
        </w:tc>
        <w:tc>
          <w:tcPr>
            <w:tcW w:w="1168" w:type="dxa"/>
            <w:vAlign w:val="top"/>
          </w:tcPr>
          <w:p>
            <w:pPr>
              <w:ind w:left="314"/>
              <w:spacing w:before="89"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6" w:line="228" w:lineRule="auto"/>
              <w:rPr/>
            </w:pPr>
            <w:r>
              <w:rPr>
                <w:spacing w:val="5"/>
              </w:rPr>
              <w:t>未检出</w:t>
            </w:r>
          </w:p>
        </w:tc>
        <w:tc>
          <w:tcPr>
            <w:tcW w:w="1619" w:type="dxa"/>
            <w:vAlign w:val="top"/>
          </w:tcPr>
          <w:p>
            <w:pPr>
              <w:pStyle w:val="TableText"/>
              <w:ind w:left="505"/>
              <w:spacing w:before="56" w:line="228" w:lineRule="auto"/>
              <w:rPr/>
            </w:pPr>
            <w:r>
              <w:rPr>
                <w:spacing w:val="5"/>
              </w:rPr>
              <w:t>未检出</w:t>
            </w:r>
          </w:p>
        </w:tc>
        <w:tc>
          <w:tcPr>
            <w:tcW w:w="1350" w:type="dxa"/>
            <w:vAlign w:val="top"/>
          </w:tcPr>
          <w:p>
            <w:pPr>
              <w:ind w:left="56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w:t>
            </w:r>
          </w:p>
        </w:tc>
      </w:tr>
      <w:tr>
        <w:trPr>
          <w:trHeight w:val="317" w:hRule="atLeast"/>
        </w:trPr>
        <w:tc>
          <w:tcPr>
            <w:tcW w:w="573" w:type="dxa"/>
            <w:vAlign w:val="top"/>
          </w:tcPr>
          <w:p>
            <w:pPr>
              <w:ind w:left="18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33</w:t>
            </w:r>
          </w:p>
        </w:tc>
        <w:tc>
          <w:tcPr>
            <w:tcW w:w="1987" w:type="dxa"/>
            <w:vAlign w:val="top"/>
          </w:tcPr>
          <w:p>
            <w:pPr>
              <w:pStyle w:val="TableText"/>
              <w:ind w:left="457"/>
              <w:spacing w:before="54" w:line="221" w:lineRule="auto"/>
              <w:rPr/>
            </w:pPr>
            <w:r>
              <w:rPr>
                <w:spacing w:val="5"/>
              </w:rPr>
              <w:t>苯并</w:t>
            </w:r>
            <w:r>
              <w:rPr>
                <w:rFonts w:ascii="Times New Roman" w:hAnsi="Times New Roman" w:eastAsia="Times New Roman" w:cs="Times New Roman"/>
                <w:spacing w:val="5"/>
              </w:rPr>
              <w:t>[b]</w:t>
            </w:r>
            <w:r>
              <w:rPr>
                <w:spacing w:val="5"/>
              </w:rPr>
              <w:t>荧蒽</w:t>
            </w:r>
          </w:p>
        </w:tc>
        <w:tc>
          <w:tcPr>
            <w:tcW w:w="1168" w:type="dxa"/>
            <w:vAlign w:val="top"/>
          </w:tcPr>
          <w:p>
            <w:pPr>
              <w:ind w:left="314"/>
              <w:spacing w:before="8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6" w:line="228" w:lineRule="auto"/>
              <w:rPr/>
            </w:pPr>
            <w:r>
              <w:rPr>
                <w:spacing w:val="5"/>
              </w:rPr>
              <w:t>未检出</w:t>
            </w:r>
          </w:p>
        </w:tc>
        <w:tc>
          <w:tcPr>
            <w:tcW w:w="1619" w:type="dxa"/>
            <w:vAlign w:val="top"/>
          </w:tcPr>
          <w:p>
            <w:pPr>
              <w:pStyle w:val="TableText"/>
              <w:ind w:left="505"/>
              <w:spacing w:before="56" w:line="228" w:lineRule="auto"/>
              <w:rPr/>
            </w:pPr>
            <w:r>
              <w:rPr>
                <w:spacing w:val="5"/>
              </w:rPr>
              <w:t>未检出</w:t>
            </w:r>
          </w:p>
        </w:tc>
        <w:tc>
          <w:tcPr>
            <w:tcW w:w="1350" w:type="dxa"/>
            <w:vAlign w:val="top"/>
          </w:tcPr>
          <w:p>
            <w:pPr>
              <w:ind w:left="59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r>
      <w:tr>
        <w:trPr>
          <w:trHeight w:val="317" w:hRule="atLeast"/>
        </w:trPr>
        <w:tc>
          <w:tcPr>
            <w:tcW w:w="573" w:type="dxa"/>
            <w:vAlign w:val="top"/>
          </w:tcPr>
          <w:p>
            <w:pPr>
              <w:ind w:left="18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34</w:t>
            </w:r>
          </w:p>
        </w:tc>
        <w:tc>
          <w:tcPr>
            <w:tcW w:w="1987" w:type="dxa"/>
            <w:vAlign w:val="top"/>
          </w:tcPr>
          <w:p>
            <w:pPr>
              <w:pStyle w:val="TableText"/>
              <w:ind w:left="457"/>
              <w:spacing w:before="56" w:line="221" w:lineRule="auto"/>
              <w:rPr/>
            </w:pPr>
            <w:r>
              <w:rPr>
                <w:spacing w:val="5"/>
              </w:rPr>
              <w:t>苯并</w:t>
            </w:r>
            <w:r>
              <w:rPr>
                <w:rFonts w:ascii="Times New Roman" w:hAnsi="Times New Roman" w:eastAsia="Times New Roman" w:cs="Times New Roman"/>
                <w:spacing w:val="5"/>
              </w:rPr>
              <w:t>[k]</w:t>
            </w:r>
            <w:r>
              <w:rPr>
                <w:spacing w:val="5"/>
              </w:rPr>
              <w:t>荧蒽</w:t>
            </w:r>
          </w:p>
        </w:tc>
        <w:tc>
          <w:tcPr>
            <w:tcW w:w="1168" w:type="dxa"/>
            <w:vAlign w:val="top"/>
          </w:tcPr>
          <w:p>
            <w:pPr>
              <w:ind w:left="314"/>
              <w:spacing w:before="8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ind w:left="78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1619" w:type="dxa"/>
            <w:vAlign w:val="top"/>
          </w:tcPr>
          <w:p>
            <w:pPr>
              <w:pStyle w:val="TableText"/>
              <w:ind w:left="505"/>
              <w:spacing w:before="55" w:line="228" w:lineRule="auto"/>
              <w:rPr/>
            </w:pPr>
            <w:r>
              <w:rPr>
                <w:spacing w:val="5"/>
              </w:rPr>
              <w:t>未检出</w:t>
            </w:r>
          </w:p>
        </w:tc>
        <w:tc>
          <w:tcPr>
            <w:tcW w:w="1350" w:type="dxa"/>
            <w:vAlign w:val="top"/>
          </w:tcPr>
          <w:p>
            <w:pPr>
              <w:ind w:left="53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151</w:t>
            </w:r>
          </w:p>
        </w:tc>
      </w:tr>
      <w:tr>
        <w:trPr>
          <w:trHeight w:val="317" w:hRule="atLeast"/>
        </w:trPr>
        <w:tc>
          <w:tcPr>
            <w:tcW w:w="573" w:type="dxa"/>
            <w:vAlign w:val="top"/>
          </w:tcPr>
          <w:p>
            <w:pPr>
              <w:ind w:left="18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35</w:t>
            </w:r>
          </w:p>
        </w:tc>
        <w:tc>
          <w:tcPr>
            <w:tcW w:w="1987" w:type="dxa"/>
            <w:vAlign w:val="top"/>
          </w:tcPr>
          <w:p>
            <w:pPr>
              <w:pStyle w:val="TableText"/>
              <w:ind w:left="892"/>
              <w:spacing w:before="55" w:line="229" w:lineRule="auto"/>
              <w:rPr/>
            </w:pPr>
            <w:r>
              <w:rPr>
                <w:spacing w:val="2"/>
              </w:rPr>
              <w:t>䓛</w:t>
            </w:r>
          </w:p>
        </w:tc>
        <w:tc>
          <w:tcPr>
            <w:tcW w:w="1168" w:type="dxa"/>
            <w:vAlign w:val="top"/>
          </w:tcPr>
          <w:p>
            <w:pPr>
              <w:ind w:left="314"/>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5" w:line="228" w:lineRule="auto"/>
              <w:rPr/>
            </w:pPr>
            <w:r>
              <w:rPr>
                <w:spacing w:val="5"/>
              </w:rPr>
              <w:t>未检出</w:t>
            </w:r>
          </w:p>
        </w:tc>
        <w:tc>
          <w:tcPr>
            <w:tcW w:w="1619" w:type="dxa"/>
            <w:vAlign w:val="top"/>
          </w:tcPr>
          <w:p>
            <w:pPr>
              <w:pStyle w:val="TableText"/>
              <w:ind w:left="505"/>
              <w:spacing w:before="55" w:line="228" w:lineRule="auto"/>
              <w:rPr/>
            </w:pPr>
            <w:r>
              <w:rPr>
                <w:spacing w:val="5"/>
              </w:rPr>
              <w:t>未检出</w:t>
            </w:r>
          </w:p>
        </w:tc>
        <w:tc>
          <w:tcPr>
            <w:tcW w:w="1350" w:type="dxa"/>
            <w:vAlign w:val="top"/>
          </w:tcPr>
          <w:p>
            <w:pPr>
              <w:ind w:left="48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1293</w:t>
            </w:r>
          </w:p>
        </w:tc>
      </w:tr>
      <w:tr>
        <w:trPr>
          <w:trHeight w:val="317" w:hRule="atLeast"/>
        </w:trPr>
        <w:tc>
          <w:tcPr>
            <w:tcW w:w="573" w:type="dxa"/>
            <w:vAlign w:val="top"/>
          </w:tcPr>
          <w:p>
            <w:pPr>
              <w:ind w:left="18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36</w:t>
            </w:r>
          </w:p>
        </w:tc>
        <w:tc>
          <w:tcPr>
            <w:tcW w:w="1987" w:type="dxa"/>
            <w:vAlign w:val="top"/>
          </w:tcPr>
          <w:p>
            <w:pPr>
              <w:pStyle w:val="TableText"/>
              <w:ind w:left="386"/>
              <w:spacing w:before="55" w:line="221" w:lineRule="auto"/>
              <w:rPr/>
            </w:pPr>
            <w:r>
              <w:rPr>
                <w:spacing w:val="5"/>
              </w:rPr>
              <w:t>二苯并</w:t>
            </w:r>
            <w:r>
              <w:rPr>
                <w:rFonts w:ascii="Times New Roman" w:hAnsi="Times New Roman" w:eastAsia="Times New Roman" w:cs="Times New Roman"/>
                <w:spacing w:val="5"/>
              </w:rPr>
              <w:t>[a,h]</w:t>
            </w:r>
            <w:r>
              <w:rPr>
                <w:spacing w:val="5"/>
              </w:rPr>
              <w:t>蒽</w:t>
            </w:r>
          </w:p>
        </w:tc>
        <w:tc>
          <w:tcPr>
            <w:tcW w:w="1168" w:type="dxa"/>
            <w:vAlign w:val="top"/>
          </w:tcPr>
          <w:p>
            <w:pPr>
              <w:ind w:left="314"/>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5" w:line="228" w:lineRule="auto"/>
              <w:rPr/>
            </w:pPr>
            <w:r>
              <w:rPr>
                <w:spacing w:val="5"/>
              </w:rPr>
              <w:t>未检出</w:t>
            </w:r>
          </w:p>
        </w:tc>
        <w:tc>
          <w:tcPr>
            <w:tcW w:w="1619" w:type="dxa"/>
            <w:vAlign w:val="top"/>
          </w:tcPr>
          <w:p>
            <w:pPr>
              <w:pStyle w:val="TableText"/>
              <w:ind w:left="505"/>
              <w:spacing w:before="55" w:line="228" w:lineRule="auto"/>
              <w:rPr/>
            </w:pPr>
            <w:r>
              <w:rPr>
                <w:spacing w:val="5"/>
              </w:rPr>
              <w:t>未检出</w:t>
            </w:r>
          </w:p>
        </w:tc>
        <w:tc>
          <w:tcPr>
            <w:tcW w:w="1350" w:type="dxa"/>
            <w:vAlign w:val="top"/>
          </w:tcPr>
          <w:p>
            <w:pPr>
              <w:ind w:left="56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w:t>
            </w:r>
          </w:p>
        </w:tc>
      </w:tr>
      <w:tr>
        <w:trPr>
          <w:trHeight w:val="317" w:hRule="atLeast"/>
        </w:trPr>
        <w:tc>
          <w:tcPr>
            <w:tcW w:w="573" w:type="dxa"/>
            <w:vAlign w:val="top"/>
          </w:tcPr>
          <w:p>
            <w:pPr>
              <w:ind w:left="18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37</w:t>
            </w:r>
          </w:p>
        </w:tc>
        <w:tc>
          <w:tcPr>
            <w:tcW w:w="1987" w:type="dxa"/>
            <w:vAlign w:val="top"/>
          </w:tcPr>
          <w:p>
            <w:pPr>
              <w:pStyle w:val="TableText"/>
              <w:ind w:left="274"/>
              <w:spacing w:before="54" w:line="221" w:lineRule="auto"/>
              <w:rPr/>
            </w:pPr>
            <w:r>
              <w:rPr>
                <w:spacing w:val="5"/>
              </w:rPr>
              <w:t>茚并</w:t>
            </w:r>
            <w:r>
              <w:rPr>
                <w:rFonts w:ascii="Times New Roman" w:hAnsi="Times New Roman" w:eastAsia="Times New Roman" w:cs="Times New Roman"/>
                <w:spacing w:val="5"/>
              </w:rPr>
              <w:t>[1,2,3-</w:t>
            </w:r>
            <w:r>
              <w:rPr>
                <w:rFonts w:ascii="Times New Roman" w:hAnsi="Times New Roman" w:eastAsia="Times New Roman" w:cs="Times New Roman"/>
              </w:rPr>
              <w:t>cd</w:t>
            </w:r>
            <w:r>
              <w:rPr>
                <w:rFonts w:ascii="Times New Roman" w:hAnsi="Times New Roman" w:eastAsia="Times New Roman" w:cs="Times New Roman"/>
                <w:spacing w:val="5"/>
              </w:rPr>
              <w:t>]</w:t>
            </w:r>
            <w:r>
              <w:rPr>
                <w:spacing w:val="5"/>
              </w:rPr>
              <w:t>芘</w:t>
            </w:r>
          </w:p>
        </w:tc>
        <w:tc>
          <w:tcPr>
            <w:tcW w:w="1168" w:type="dxa"/>
            <w:vAlign w:val="top"/>
          </w:tcPr>
          <w:p>
            <w:pPr>
              <w:ind w:left="314"/>
              <w:spacing w:before="89"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7" w:line="228" w:lineRule="auto"/>
              <w:rPr/>
            </w:pPr>
            <w:r>
              <w:rPr>
                <w:spacing w:val="5"/>
              </w:rPr>
              <w:t>未检出</w:t>
            </w:r>
          </w:p>
        </w:tc>
        <w:tc>
          <w:tcPr>
            <w:tcW w:w="1619" w:type="dxa"/>
            <w:vAlign w:val="top"/>
          </w:tcPr>
          <w:p>
            <w:pPr>
              <w:pStyle w:val="TableText"/>
              <w:ind w:left="505"/>
              <w:spacing w:before="57" w:line="228" w:lineRule="auto"/>
              <w:rPr/>
            </w:pPr>
            <w:r>
              <w:rPr>
                <w:spacing w:val="5"/>
              </w:rPr>
              <w:t>未检出</w:t>
            </w:r>
          </w:p>
        </w:tc>
        <w:tc>
          <w:tcPr>
            <w:tcW w:w="1350" w:type="dxa"/>
            <w:vAlign w:val="top"/>
          </w:tcPr>
          <w:p>
            <w:pPr>
              <w:ind w:left="591"/>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r>
      <w:tr>
        <w:trPr>
          <w:trHeight w:val="317" w:hRule="atLeast"/>
        </w:trPr>
        <w:tc>
          <w:tcPr>
            <w:tcW w:w="573" w:type="dxa"/>
            <w:vAlign w:val="top"/>
          </w:tcPr>
          <w:p>
            <w:pPr>
              <w:ind w:left="18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38</w:t>
            </w:r>
          </w:p>
        </w:tc>
        <w:tc>
          <w:tcPr>
            <w:tcW w:w="1987" w:type="dxa"/>
            <w:vAlign w:val="top"/>
          </w:tcPr>
          <w:p>
            <w:pPr>
              <w:pStyle w:val="TableText"/>
              <w:ind w:left="894"/>
              <w:spacing w:before="55" w:line="228" w:lineRule="auto"/>
              <w:rPr/>
            </w:pPr>
            <w:r>
              <w:rPr/>
              <w:t>萘</w:t>
            </w:r>
          </w:p>
        </w:tc>
        <w:tc>
          <w:tcPr>
            <w:tcW w:w="1168" w:type="dxa"/>
            <w:vAlign w:val="top"/>
          </w:tcPr>
          <w:p>
            <w:pPr>
              <w:ind w:left="314"/>
              <w:spacing w:before="89"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6" w:line="228" w:lineRule="auto"/>
              <w:rPr/>
            </w:pPr>
            <w:r>
              <w:rPr>
                <w:spacing w:val="5"/>
              </w:rPr>
              <w:t>未检出</w:t>
            </w:r>
          </w:p>
        </w:tc>
        <w:tc>
          <w:tcPr>
            <w:tcW w:w="1619" w:type="dxa"/>
            <w:vAlign w:val="top"/>
          </w:tcPr>
          <w:p>
            <w:pPr>
              <w:pStyle w:val="TableText"/>
              <w:ind w:left="505"/>
              <w:spacing w:before="56" w:line="228" w:lineRule="auto"/>
              <w:rPr/>
            </w:pPr>
            <w:r>
              <w:rPr>
                <w:spacing w:val="5"/>
              </w:rPr>
              <w:t>未检出</w:t>
            </w:r>
          </w:p>
        </w:tc>
        <w:tc>
          <w:tcPr>
            <w:tcW w:w="1350" w:type="dxa"/>
            <w:vAlign w:val="top"/>
          </w:tcPr>
          <w:p>
            <w:pPr>
              <w:ind w:left="57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70</w:t>
            </w:r>
          </w:p>
        </w:tc>
      </w:tr>
      <w:tr>
        <w:trPr>
          <w:trHeight w:val="317" w:hRule="atLeast"/>
        </w:trPr>
        <w:tc>
          <w:tcPr>
            <w:tcW w:w="573" w:type="dxa"/>
            <w:vAlign w:val="top"/>
          </w:tcPr>
          <w:p>
            <w:pPr>
              <w:ind w:left="18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39</w:t>
            </w:r>
          </w:p>
        </w:tc>
        <w:tc>
          <w:tcPr>
            <w:tcW w:w="1987" w:type="dxa"/>
            <w:vAlign w:val="top"/>
          </w:tcPr>
          <w:p>
            <w:pPr>
              <w:pStyle w:val="TableText"/>
              <w:ind w:left="893"/>
              <w:spacing w:before="54" w:line="228" w:lineRule="auto"/>
              <w:rPr/>
            </w:pPr>
            <w:r>
              <w:rPr>
                <w:spacing w:val="1"/>
              </w:rPr>
              <w:t>砷</w:t>
            </w:r>
          </w:p>
        </w:tc>
        <w:tc>
          <w:tcPr>
            <w:tcW w:w="1168" w:type="dxa"/>
            <w:vAlign w:val="top"/>
          </w:tcPr>
          <w:p>
            <w:pPr>
              <w:ind w:left="314"/>
              <w:spacing w:before="8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ind w:left="74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10.3</w:t>
            </w:r>
          </w:p>
        </w:tc>
        <w:tc>
          <w:tcPr>
            <w:tcW w:w="1619" w:type="dxa"/>
            <w:vAlign w:val="top"/>
          </w:tcPr>
          <w:p>
            <w:pPr>
              <w:ind w:left="63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9.54</w:t>
            </w:r>
          </w:p>
        </w:tc>
        <w:tc>
          <w:tcPr>
            <w:tcW w:w="1350" w:type="dxa"/>
            <w:vAlign w:val="top"/>
          </w:tcPr>
          <w:p>
            <w:pPr>
              <w:ind w:left="57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r>
      <w:tr>
        <w:trPr>
          <w:trHeight w:val="317" w:hRule="atLeast"/>
        </w:trPr>
        <w:tc>
          <w:tcPr>
            <w:tcW w:w="573" w:type="dxa"/>
            <w:vAlign w:val="top"/>
          </w:tcPr>
          <w:p>
            <w:pPr>
              <w:ind w:left="18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w:t>
            </w:r>
          </w:p>
        </w:tc>
        <w:tc>
          <w:tcPr>
            <w:tcW w:w="1987" w:type="dxa"/>
            <w:vAlign w:val="top"/>
          </w:tcPr>
          <w:p>
            <w:pPr>
              <w:pStyle w:val="TableText"/>
              <w:ind w:left="892"/>
              <w:spacing w:before="55" w:line="231" w:lineRule="auto"/>
              <w:rPr/>
            </w:pPr>
            <w:r>
              <w:rPr>
                <w:spacing w:val="2"/>
              </w:rPr>
              <w:t>镉</w:t>
            </w:r>
          </w:p>
        </w:tc>
        <w:tc>
          <w:tcPr>
            <w:tcW w:w="1168" w:type="dxa"/>
            <w:vAlign w:val="top"/>
          </w:tcPr>
          <w:p>
            <w:pPr>
              <w:ind w:left="314"/>
              <w:spacing w:before="8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ind w:left="73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0.30</w:t>
            </w:r>
          </w:p>
        </w:tc>
        <w:tc>
          <w:tcPr>
            <w:tcW w:w="1619" w:type="dxa"/>
            <w:vAlign w:val="top"/>
          </w:tcPr>
          <w:p>
            <w:pPr>
              <w:ind w:left="63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0.26</w:t>
            </w:r>
          </w:p>
        </w:tc>
        <w:tc>
          <w:tcPr>
            <w:tcW w:w="1350" w:type="dxa"/>
            <w:vAlign w:val="top"/>
          </w:tcPr>
          <w:p>
            <w:pPr>
              <w:ind w:left="57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r>
      <w:tr>
        <w:trPr>
          <w:trHeight w:val="317" w:hRule="atLeast"/>
        </w:trPr>
        <w:tc>
          <w:tcPr>
            <w:tcW w:w="573" w:type="dxa"/>
            <w:vAlign w:val="top"/>
          </w:tcPr>
          <w:p>
            <w:pPr>
              <w:ind w:left="18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41</w:t>
            </w:r>
          </w:p>
        </w:tc>
        <w:tc>
          <w:tcPr>
            <w:tcW w:w="1987" w:type="dxa"/>
            <w:vAlign w:val="top"/>
          </w:tcPr>
          <w:p>
            <w:pPr>
              <w:pStyle w:val="TableText"/>
              <w:ind w:left="473"/>
              <w:spacing w:before="56" w:line="226" w:lineRule="auto"/>
              <w:rPr/>
            </w:pPr>
            <w:r>
              <w:rPr>
                <w:spacing w:val="6"/>
              </w:rPr>
              <w:t>铬（六价）</w:t>
            </w:r>
          </w:p>
        </w:tc>
        <w:tc>
          <w:tcPr>
            <w:tcW w:w="1168" w:type="dxa"/>
            <w:vAlign w:val="top"/>
          </w:tcPr>
          <w:p>
            <w:pPr>
              <w:ind w:left="314"/>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5" w:line="228" w:lineRule="auto"/>
              <w:rPr/>
            </w:pPr>
            <w:r>
              <w:rPr>
                <w:spacing w:val="5"/>
              </w:rPr>
              <w:t>未检出</w:t>
            </w:r>
          </w:p>
        </w:tc>
        <w:tc>
          <w:tcPr>
            <w:tcW w:w="1619" w:type="dxa"/>
            <w:vAlign w:val="top"/>
          </w:tcPr>
          <w:p>
            <w:pPr>
              <w:pStyle w:val="TableText"/>
              <w:ind w:left="505"/>
              <w:spacing w:before="55" w:line="228" w:lineRule="auto"/>
              <w:rPr/>
            </w:pPr>
            <w:r>
              <w:rPr>
                <w:spacing w:val="5"/>
              </w:rPr>
              <w:t>未检出</w:t>
            </w:r>
          </w:p>
        </w:tc>
        <w:tc>
          <w:tcPr>
            <w:tcW w:w="1350" w:type="dxa"/>
            <w:vAlign w:val="top"/>
          </w:tcPr>
          <w:p>
            <w:pPr>
              <w:ind w:left="551"/>
              <w:spacing w:before="9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5.7</w:t>
            </w:r>
          </w:p>
        </w:tc>
      </w:tr>
      <w:tr>
        <w:trPr>
          <w:trHeight w:val="317" w:hRule="atLeast"/>
        </w:trPr>
        <w:tc>
          <w:tcPr>
            <w:tcW w:w="573" w:type="dxa"/>
            <w:vAlign w:val="top"/>
          </w:tcPr>
          <w:p>
            <w:pPr>
              <w:ind w:left="18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w:t>
            </w:r>
          </w:p>
        </w:tc>
        <w:tc>
          <w:tcPr>
            <w:tcW w:w="1987" w:type="dxa"/>
            <w:vAlign w:val="top"/>
          </w:tcPr>
          <w:p>
            <w:pPr>
              <w:pStyle w:val="TableText"/>
              <w:ind w:left="893"/>
              <w:spacing w:before="55" w:line="229" w:lineRule="auto"/>
              <w:rPr/>
            </w:pPr>
            <w:r>
              <w:rPr/>
              <w:t>铜</w:t>
            </w:r>
          </w:p>
        </w:tc>
        <w:tc>
          <w:tcPr>
            <w:tcW w:w="1168" w:type="dxa"/>
            <w:vAlign w:val="top"/>
          </w:tcPr>
          <w:p>
            <w:pPr>
              <w:ind w:left="314"/>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ind w:left="827"/>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19</w:t>
            </w:r>
          </w:p>
        </w:tc>
        <w:tc>
          <w:tcPr>
            <w:tcW w:w="1619" w:type="dxa"/>
            <w:vAlign w:val="top"/>
          </w:tcPr>
          <w:p>
            <w:pPr>
              <w:ind w:left="727"/>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1350" w:type="dxa"/>
            <w:vAlign w:val="top"/>
          </w:tcPr>
          <w:p>
            <w:pPr>
              <w:ind w:left="43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18000</w:t>
            </w:r>
          </w:p>
        </w:tc>
      </w:tr>
      <w:tr>
        <w:trPr>
          <w:trHeight w:val="317" w:hRule="atLeast"/>
        </w:trPr>
        <w:tc>
          <w:tcPr>
            <w:tcW w:w="573" w:type="dxa"/>
            <w:vAlign w:val="top"/>
          </w:tcPr>
          <w:p>
            <w:pPr>
              <w:ind w:left="18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43</w:t>
            </w:r>
          </w:p>
        </w:tc>
        <w:tc>
          <w:tcPr>
            <w:tcW w:w="1987" w:type="dxa"/>
            <w:vAlign w:val="top"/>
          </w:tcPr>
          <w:p>
            <w:pPr>
              <w:pStyle w:val="TableText"/>
              <w:ind w:left="893"/>
              <w:spacing w:before="55" w:line="232" w:lineRule="auto"/>
              <w:rPr/>
            </w:pPr>
            <w:r>
              <w:rPr/>
              <w:t>铅</w:t>
            </w:r>
          </w:p>
        </w:tc>
        <w:tc>
          <w:tcPr>
            <w:tcW w:w="1168" w:type="dxa"/>
            <w:vAlign w:val="top"/>
          </w:tcPr>
          <w:p>
            <w:pPr>
              <w:ind w:left="314"/>
              <w:spacing w:before="89"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ind w:left="74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18.5</w:t>
            </w:r>
          </w:p>
        </w:tc>
        <w:tc>
          <w:tcPr>
            <w:tcW w:w="1619" w:type="dxa"/>
            <w:vAlign w:val="top"/>
          </w:tcPr>
          <w:p>
            <w:pPr>
              <w:ind w:left="64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15.</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3"/>
              </w:rPr>
              <w:t>1</w:t>
            </w:r>
          </w:p>
        </w:tc>
        <w:tc>
          <w:tcPr>
            <w:tcW w:w="1350" w:type="dxa"/>
            <w:vAlign w:val="top"/>
          </w:tcPr>
          <w:p>
            <w:pPr>
              <w:ind w:left="527"/>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800</w:t>
            </w:r>
          </w:p>
        </w:tc>
      </w:tr>
      <w:tr>
        <w:trPr>
          <w:trHeight w:val="317" w:hRule="atLeast"/>
        </w:trPr>
        <w:tc>
          <w:tcPr>
            <w:tcW w:w="573" w:type="dxa"/>
            <w:vAlign w:val="top"/>
          </w:tcPr>
          <w:p>
            <w:pPr>
              <w:ind w:left="18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w:t>
            </w:r>
          </w:p>
        </w:tc>
        <w:tc>
          <w:tcPr>
            <w:tcW w:w="1987" w:type="dxa"/>
            <w:vAlign w:val="top"/>
          </w:tcPr>
          <w:p>
            <w:pPr>
              <w:pStyle w:val="TableText"/>
              <w:ind w:left="893"/>
              <w:spacing w:before="55" w:line="228" w:lineRule="auto"/>
              <w:rPr/>
            </w:pPr>
            <w:r>
              <w:rPr>
                <w:spacing w:val="1"/>
              </w:rPr>
              <w:t>镍</w:t>
            </w:r>
          </w:p>
        </w:tc>
        <w:tc>
          <w:tcPr>
            <w:tcW w:w="1168" w:type="dxa"/>
            <w:vAlign w:val="top"/>
          </w:tcPr>
          <w:p>
            <w:pPr>
              <w:ind w:left="314"/>
              <w:spacing w:before="89"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ind w:left="81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35</w:t>
            </w:r>
          </w:p>
        </w:tc>
        <w:tc>
          <w:tcPr>
            <w:tcW w:w="1619" w:type="dxa"/>
            <w:vAlign w:val="top"/>
          </w:tcPr>
          <w:p>
            <w:pPr>
              <w:ind w:left="70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26</w:t>
            </w:r>
          </w:p>
        </w:tc>
        <w:tc>
          <w:tcPr>
            <w:tcW w:w="1350" w:type="dxa"/>
            <w:vAlign w:val="top"/>
          </w:tcPr>
          <w:p>
            <w:pPr>
              <w:ind w:left="52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900</w:t>
            </w:r>
          </w:p>
        </w:tc>
      </w:tr>
      <w:tr>
        <w:trPr>
          <w:trHeight w:val="317" w:hRule="atLeast"/>
        </w:trPr>
        <w:tc>
          <w:tcPr>
            <w:tcW w:w="573" w:type="dxa"/>
            <w:vAlign w:val="top"/>
          </w:tcPr>
          <w:p>
            <w:pPr>
              <w:ind w:left="18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45</w:t>
            </w:r>
          </w:p>
        </w:tc>
        <w:tc>
          <w:tcPr>
            <w:tcW w:w="1987" w:type="dxa"/>
            <w:vAlign w:val="top"/>
          </w:tcPr>
          <w:p>
            <w:pPr>
              <w:pStyle w:val="TableText"/>
              <w:ind w:left="894"/>
              <w:spacing w:before="54" w:line="228" w:lineRule="auto"/>
              <w:rPr/>
            </w:pPr>
            <w:r>
              <w:rPr/>
              <w:t>汞</w:t>
            </w:r>
          </w:p>
        </w:tc>
        <w:tc>
          <w:tcPr>
            <w:tcW w:w="1168" w:type="dxa"/>
            <w:vAlign w:val="top"/>
          </w:tcPr>
          <w:p>
            <w:pPr>
              <w:ind w:left="314"/>
              <w:spacing w:before="8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ind w:left="67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0.065</w:t>
            </w:r>
          </w:p>
        </w:tc>
        <w:tc>
          <w:tcPr>
            <w:tcW w:w="1619" w:type="dxa"/>
            <w:vAlign w:val="top"/>
          </w:tcPr>
          <w:p>
            <w:pPr>
              <w:ind w:left="57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0.072</w:t>
            </w:r>
          </w:p>
        </w:tc>
        <w:tc>
          <w:tcPr>
            <w:tcW w:w="1350" w:type="dxa"/>
            <w:vAlign w:val="top"/>
          </w:tcPr>
          <w:p>
            <w:pPr>
              <w:ind w:left="57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38</w:t>
            </w:r>
          </w:p>
        </w:tc>
      </w:tr>
      <w:tr>
        <w:trPr>
          <w:trHeight w:val="321" w:hRule="atLeast"/>
        </w:trPr>
        <w:tc>
          <w:tcPr>
            <w:tcW w:w="573" w:type="dxa"/>
            <w:vAlign w:val="top"/>
          </w:tcPr>
          <w:p>
            <w:pPr>
              <w:ind w:left="18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46</w:t>
            </w:r>
          </w:p>
        </w:tc>
        <w:tc>
          <w:tcPr>
            <w:tcW w:w="1987" w:type="dxa"/>
            <w:vAlign w:val="top"/>
          </w:tcPr>
          <w:p>
            <w:pPr>
              <w:pStyle w:val="TableText"/>
              <w:ind w:left="162"/>
              <w:spacing w:before="56" w:line="228" w:lineRule="auto"/>
              <w:rPr/>
            </w:pPr>
            <w:r>
              <w:rPr>
                <w:spacing w:val="5"/>
              </w:rPr>
              <w:t>石油烃（</w:t>
            </w:r>
            <w:r>
              <w:rPr>
                <w:rFonts w:ascii="Times New Roman" w:hAnsi="Times New Roman" w:eastAsia="Times New Roman" w:cs="Times New Roman"/>
                <w:spacing w:val="5"/>
              </w:rPr>
              <w:t>C</w:t>
            </w:r>
            <w:r>
              <w:rPr>
                <w:rFonts w:ascii="Times New Roman" w:hAnsi="Times New Roman" w:eastAsia="Times New Roman" w:cs="Times New Roman"/>
                <w:sz w:val="13"/>
                <w:szCs w:val="13"/>
                <w:spacing w:val="5"/>
              </w:rPr>
              <w:t>10</w:t>
            </w:r>
            <w:r>
              <w:rPr>
                <w:rFonts w:ascii="Times New Roman" w:hAnsi="Times New Roman" w:eastAsia="Times New Roman" w:cs="Times New Roman"/>
                <w:spacing w:val="5"/>
              </w:rPr>
              <w:t>-C</w:t>
            </w:r>
            <w:r>
              <w:rPr>
                <w:rFonts w:ascii="Times New Roman" w:hAnsi="Times New Roman" w:eastAsia="Times New Roman" w:cs="Times New Roman"/>
                <w:sz w:val="13"/>
                <w:szCs w:val="13"/>
                <w:spacing w:val="5"/>
                <w:position w:val="-1"/>
              </w:rPr>
              <w:t>40</w:t>
            </w:r>
            <w:r>
              <w:rPr>
                <w:spacing w:val="5"/>
              </w:rPr>
              <w:t>）</w:t>
            </w:r>
          </w:p>
        </w:tc>
        <w:tc>
          <w:tcPr>
            <w:tcW w:w="1168" w:type="dxa"/>
            <w:vAlign w:val="top"/>
          </w:tcPr>
          <w:p>
            <w:pPr>
              <w:ind w:left="314"/>
              <w:spacing w:before="8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818" w:type="dxa"/>
            <w:vAlign w:val="top"/>
          </w:tcPr>
          <w:p>
            <w:pPr>
              <w:pStyle w:val="TableText"/>
              <w:ind w:left="603"/>
              <w:spacing w:before="55" w:line="228" w:lineRule="auto"/>
              <w:rPr/>
            </w:pPr>
            <w:r>
              <w:rPr>
                <w:spacing w:val="5"/>
              </w:rPr>
              <w:t>未检出</w:t>
            </w:r>
          </w:p>
        </w:tc>
        <w:tc>
          <w:tcPr>
            <w:tcW w:w="1619" w:type="dxa"/>
            <w:vAlign w:val="top"/>
          </w:tcPr>
          <w:p>
            <w:pPr>
              <w:pStyle w:val="TableText"/>
              <w:ind w:left="505"/>
              <w:spacing w:before="55" w:line="228" w:lineRule="auto"/>
              <w:rPr/>
            </w:pPr>
            <w:r>
              <w:rPr>
                <w:spacing w:val="5"/>
              </w:rPr>
              <w:t>未检出</w:t>
            </w:r>
          </w:p>
        </w:tc>
        <w:tc>
          <w:tcPr>
            <w:tcW w:w="1350" w:type="dxa"/>
            <w:vAlign w:val="top"/>
          </w:tcPr>
          <w:p>
            <w:pPr>
              <w:ind w:left="46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4500</w:t>
            </w:r>
          </w:p>
        </w:tc>
      </w:tr>
    </w:tbl>
    <w:p>
      <w:pPr>
        <w:ind w:left="2756"/>
        <w:spacing w:before="36" w:line="212" w:lineRule="auto"/>
        <w:rPr>
          <w:rFonts w:ascii="Times New Roman" w:hAnsi="Times New Roman" w:eastAsia="Times New Roman" w:cs="Times New Roman"/>
          <w:sz w:val="24"/>
          <w:szCs w:val="24"/>
        </w:rPr>
      </w:pPr>
      <w:r>
        <w:rPr>
          <w:rFonts w:ascii="SimSun" w:hAnsi="SimSun" w:eastAsia="SimSun" w:cs="SimSun"/>
          <w:sz w:val="24"/>
          <w:szCs w:val="24"/>
          <w:b/>
          <w:bCs/>
          <w:spacing w:val="-2"/>
        </w:rPr>
        <w:t>表</w:t>
      </w:r>
      <w:r>
        <w:rPr>
          <w:rFonts w:ascii="SimSun" w:hAnsi="SimSun" w:eastAsia="SimSun" w:cs="SimSun"/>
          <w:sz w:val="24"/>
          <w:szCs w:val="24"/>
          <w:spacing w:val="-40"/>
        </w:rPr>
        <w:t xml:space="preserve"> </w:t>
      </w:r>
      <w:r>
        <w:rPr>
          <w:rFonts w:ascii="Times New Roman" w:hAnsi="Times New Roman" w:eastAsia="Times New Roman" w:cs="Times New Roman"/>
          <w:sz w:val="24"/>
          <w:szCs w:val="24"/>
          <w:b/>
          <w:bCs/>
          <w:spacing w:val="-2"/>
        </w:rPr>
        <w:t>4.2-15        </w:t>
      </w:r>
      <w:r>
        <w:rPr>
          <w:rFonts w:ascii="SimSun" w:hAnsi="SimSun" w:eastAsia="SimSun" w:cs="SimSun"/>
          <w:sz w:val="24"/>
          <w:szCs w:val="24"/>
          <w:b/>
          <w:bCs/>
          <w:spacing w:val="-2"/>
        </w:rPr>
        <w:t>土壤检测结果</w:t>
      </w:r>
      <w:r>
        <w:rPr>
          <w:rFonts w:ascii="SimSun" w:hAnsi="SimSun" w:eastAsia="SimSun" w:cs="SimSun"/>
          <w:sz w:val="24"/>
          <w:szCs w:val="24"/>
          <w:spacing w:val="-51"/>
        </w:rPr>
        <w:t xml:space="preserve"> </w:t>
      </w:r>
      <w:r>
        <w:rPr>
          <w:rFonts w:ascii="Times New Roman" w:hAnsi="Times New Roman" w:eastAsia="Times New Roman" w:cs="Times New Roman"/>
          <w:sz w:val="24"/>
          <w:szCs w:val="24"/>
          <w:b/>
          <w:bCs/>
          <w:spacing w:val="-2"/>
        </w:rPr>
        <w:t>2</w:t>
      </w:r>
    </w:p>
    <w:tbl>
      <w:tblPr>
        <w:tblStyle w:val="TableNormal"/>
        <w:tblW w:w="8513" w:type="dxa"/>
        <w:tblInd w:w="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79"/>
        <w:gridCol w:w="1744"/>
        <w:gridCol w:w="1017"/>
        <w:gridCol w:w="718"/>
        <w:gridCol w:w="718"/>
        <w:gridCol w:w="723"/>
        <w:gridCol w:w="718"/>
        <w:gridCol w:w="718"/>
        <w:gridCol w:w="723"/>
        <w:gridCol w:w="955"/>
      </w:tblGrid>
      <w:tr>
        <w:trPr>
          <w:trHeight w:val="250" w:hRule="atLeast"/>
        </w:trPr>
        <w:tc>
          <w:tcPr>
            <w:tcW w:w="479" w:type="dxa"/>
            <w:vAlign w:val="top"/>
            <w:vMerge w:val="restart"/>
            <w:tcBorders>
              <w:bottom w:val="nil"/>
            </w:tcBorders>
          </w:tcPr>
          <w:p>
            <w:pPr>
              <w:pStyle w:val="TableText"/>
              <w:ind w:left="34"/>
              <w:spacing w:before="161" w:line="229" w:lineRule="auto"/>
              <w:rPr/>
            </w:pPr>
            <w:r>
              <w:rPr>
                <w:spacing w:val="5"/>
              </w:rPr>
              <w:t>序号</w:t>
            </w:r>
          </w:p>
        </w:tc>
        <w:tc>
          <w:tcPr>
            <w:tcW w:w="1744" w:type="dxa"/>
            <w:vAlign w:val="top"/>
            <w:vMerge w:val="restart"/>
            <w:tcBorders>
              <w:bottom w:val="nil"/>
            </w:tcBorders>
          </w:tcPr>
          <w:p>
            <w:pPr>
              <w:pStyle w:val="TableText"/>
              <w:ind w:left="456"/>
              <w:spacing w:before="160" w:line="228" w:lineRule="auto"/>
              <w:rPr/>
            </w:pPr>
            <w:r>
              <w:rPr>
                <w:spacing w:val="7"/>
              </w:rPr>
              <w:t>检测因子</w:t>
            </w:r>
          </w:p>
        </w:tc>
        <w:tc>
          <w:tcPr>
            <w:tcW w:w="1017" w:type="dxa"/>
            <w:vAlign w:val="top"/>
            <w:vMerge w:val="restart"/>
            <w:tcBorders>
              <w:bottom w:val="nil"/>
            </w:tcBorders>
          </w:tcPr>
          <w:p>
            <w:pPr>
              <w:pStyle w:val="TableText"/>
              <w:ind w:left="305"/>
              <w:spacing w:before="161" w:line="228" w:lineRule="auto"/>
              <w:rPr/>
            </w:pPr>
            <w:r>
              <w:rPr>
                <w:spacing w:val="3"/>
              </w:rPr>
              <w:t>单位</w:t>
            </w:r>
          </w:p>
        </w:tc>
        <w:tc>
          <w:tcPr>
            <w:tcW w:w="2159" w:type="dxa"/>
            <w:vAlign w:val="top"/>
            <w:gridSpan w:val="3"/>
          </w:tcPr>
          <w:p>
            <w:pPr>
              <w:ind w:left="986"/>
              <w:spacing w:before="58" w:line="18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T</w:t>
            </w:r>
            <w:r>
              <w:rPr>
                <w:rFonts w:ascii="Times New Roman" w:hAnsi="Times New Roman" w:eastAsia="Times New Roman" w:cs="Times New Roman"/>
                <w:sz w:val="13"/>
                <w:szCs w:val="13"/>
                <w:spacing w:val="1"/>
                <w:position w:val="-1"/>
              </w:rPr>
              <w:t>2</w:t>
            </w:r>
          </w:p>
        </w:tc>
        <w:tc>
          <w:tcPr>
            <w:tcW w:w="2159" w:type="dxa"/>
            <w:vAlign w:val="top"/>
            <w:gridSpan w:val="3"/>
          </w:tcPr>
          <w:p>
            <w:pPr>
              <w:ind w:left="987"/>
              <w:spacing w:before="58" w:line="18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T</w:t>
            </w:r>
            <w:r>
              <w:rPr>
                <w:rFonts w:ascii="Times New Roman" w:hAnsi="Times New Roman" w:eastAsia="Times New Roman" w:cs="Times New Roman"/>
                <w:sz w:val="13"/>
                <w:szCs w:val="13"/>
                <w:spacing w:val="1"/>
                <w:position w:val="-1"/>
              </w:rPr>
              <w:t>3</w:t>
            </w:r>
          </w:p>
        </w:tc>
        <w:tc>
          <w:tcPr>
            <w:tcW w:w="955" w:type="dxa"/>
            <w:vAlign w:val="top"/>
            <w:vMerge w:val="restart"/>
            <w:tcBorders>
              <w:bottom w:val="nil"/>
            </w:tcBorders>
          </w:tcPr>
          <w:p>
            <w:pPr>
              <w:pStyle w:val="TableText"/>
              <w:ind w:left="64"/>
              <w:spacing w:before="160" w:line="228" w:lineRule="auto"/>
              <w:rPr/>
            </w:pPr>
            <w:r>
              <w:rPr>
                <w:spacing w:val="7"/>
              </w:rPr>
              <w:t>标准限值</w:t>
            </w:r>
          </w:p>
        </w:tc>
      </w:tr>
      <w:tr>
        <w:trPr>
          <w:trHeight w:val="277" w:hRule="atLeast"/>
        </w:trPr>
        <w:tc>
          <w:tcPr>
            <w:tcW w:w="479" w:type="dxa"/>
            <w:vAlign w:val="top"/>
            <w:vMerge w:val="continue"/>
            <w:tcBorders>
              <w:top w:val="nil"/>
            </w:tcBorders>
          </w:tcPr>
          <w:p>
            <w:pPr>
              <w:rPr>
                <w:rFonts w:ascii="Arial"/>
                <w:sz w:val="21"/>
              </w:rPr>
            </w:pPr>
            <w:r/>
          </w:p>
        </w:tc>
        <w:tc>
          <w:tcPr>
            <w:tcW w:w="1744" w:type="dxa"/>
            <w:vAlign w:val="top"/>
            <w:vMerge w:val="continue"/>
            <w:tcBorders>
              <w:top w:val="nil"/>
            </w:tcBorders>
          </w:tcPr>
          <w:p>
            <w:pPr>
              <w:rPr>
                <w:rFonts w:ascii="Arial"/>
                <w:sz w:val="21"/>
              </w:rPr>
            </w:pPr>
            <w:r/>
          </w:p>
        </w:tc>
        <w:tc>
          <w:tcPr>
            <w:tcW w:w="1017" w:type="dxa"/>
            <w:vAlign w:val="top"/>
            <w:vMerge w:val="continue"/>
            <w:tcBorders>
              <w:top w:val="nil"/>
            </w:tcBorders>
          </w:tcPr>
          <w:p>
            <w:pPr>
              <w:rPr>
                <w:rFonts w:ascii="Arial"/>
                <w:sz w:val="21"/>
              </w:rPr>
            </w:pPr>
            <w:r/>
          </w:p>
        </w:tc>
        <w:tc>
          <w:tcPr>
            <w:tcW w:w="718" w:type="dxa"/>
            <w:vAlign w:val="top"/>
          </w:tcPr>
          <w:p>
            <w:pPr>
              <w:pStyle w:val="TableText"/>
              <w:ind w:left="49"/>
              <w:spacing w:before="33" w:line="216" w:lineRule="auto"/>
              <w:rPr/>
            </w:pPr>
            <w:r>
              <w:rPr>
                <w:spacing w:val="7"/>
              </w:rPr>
              <w:t>表层样</w:t>
            </w:r>
          </w:p>
        </w:tc>
        <w:tc>
          <w:tcPr>
            <w:tcW w:w="718" w:type="dxa"/>
            <w:vAlign w:val="top"/>
          </w:tcPr>
          <w:p>
            <w:pPr>
              <w:pStyle w:val="TableText"/>
              <w:ind w:left="69"/>
              <w:spacing w:before="33" w:line="216" w:lineRule="auto"/>
              <w:rPr/>
            </w:pPr>
            <w:r>
              <w:rPr/>
              <w:t>中层样</w:t>
            </w:r>
          </w:p>
        </w:tc>
        <w:tc>
          <w:tcPr>
            <w:tcW w:w="723" w:type="dxa"/>
            <w:vAlign w:val="top"/>
          </w:tcPr>
          <w:p>
            <w:pPr>
              <w:pStyle w:val="TableText"/>
              <w:ind w:left="53"/>
              <w:spacing w:before="33" w:line="216" w:lineRule="auto"/>
              <w:rPr/>
            </w:pPr>
            <w:r>
              <w:rPr>
                <w:spacing w:val="6"/>
              </w:rPr>
              <w:t>深层样</w:t>
            </w:r>
          </w:p>
        </w:tc>
        <w:tc>
          <w:tcPr>
            <w:tcW w:w="718" w:type="dxa"/>
            <w:vAlign w:val="top"/>
          </w:tcPr>
          <w:p>
            <w:pPr>
              <w:pStyle w:val="TableText"/>
              <w:ind w:left="50"/>
              <w:spacing w:before="33" w:line="216" w:lineRule="auto"/>
              <w:rPr/>
            </w:pPr>
            <w:r>
              <w:rPr>
                <w:spacing w:val="7"/>
              </w:rPr>
              <w:t>表层样</w:t>
            </w:r>
          </w:p>
        </w:tc>
        <w:tc>
          <w:tcPr>
            <w:tcW w:w="718" w:type="dxa"/>
            <w:vAlign w:val="top"/>
          </w:tcPr>
          <w:p>
            <w:pPr>
              <w:pStyle w:val="TableText"/>
              <w:ind w:left="70"/>
              <w:spacing w:before="33" w:line="216" w:lineRule="auto"/>
              <w:rPr/>
            </w:pPr>
            <w:r>
              <w:rPr/>
              <w:t>中层样</w:t>
            </w:r>
          </w:p>
        </w:tc>
        <w:tc>
          <w:tcPr>
            <w:tcW w:w="723" w:type="dxa"/>
            <w:vAlign w:val="top"/>
          </w:tcPr>
          <w:p>
            <w:pPr>
              <w:pStyle w:val="TableText"/>
              <w:ind w:left="54"/>
              <w:spacing w:before="33" w:line="216" w:lineRule="auto"/>
              <w:rPr/>
            </w:pPr>
            <w:r>
              <w:rPr>
                <w:spacing w:val="6"/>
              </w:rPr>
              <w:t>深层样</w:t>
            </w:r>
          </w:p>
        </w:tc>
        <w:tc>
          <w:tcPr>
            <w:tcW w:w="955" w:type="dxa"/>
            <w:vAlign w:val="top"/>
            <w:vMerge w:val="continue"/>
            <w:tcBorders>
              <w:top w:val="nil"/>
            </w:tcBorders>
          </w:tcPr>
          <w:p>
            <w:pPr>
              <w:rPr>
                <w:rFonts w:ascii="Arial"/>
                <w:sz w:val="21"/>
              </w:rPr>
            </w:pPr>
            <w:r/>
          </w:p>
        </w:tc>
      </w:tr>
      <w:tr>
        <w:trPr>
          <w:trHeight w:val="316" w:hRule="atLeast"/>
        </w:trPr>
        <w:tc>
          <w:tcPr>
            <w:tcW w:w="479" w:type="dxa"/>
            <w:vAlign w:val="top"/>
          </w:tcPr>
          <w:p>
            <w:pPr>
              <w:ind w:left="210"/>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744" w:type="dxa"/>
            <w:vAlign w:val="top"/>
          </w:tcPr>
          <w:p>
            <w:pPr>
              <w:pStyle w:val="TableText"/>
              <w:ind w:left="770"/>
              <w:spacing w:before="51" w:line="228" w:lineRule="auto"/>
              <w:rPr/>
            </w:pPr>
            <w:r>
              <w:rPr>
                <w:spacing w:val="1"/>
              </w:rPr>
              <w:t>砷</w:t>
            </w:r>
          </w:p>
        </w:tc>
        <w:tc>
          <w:tcPr>
            <w:tcW w:w="1017" w:type="dxa"/>
            <w:vAlign w:val="top"/>
          </w:tcPr>
          <w:p>
            <w:pPr>
              <w:ind w:left="237"/>
              <w:spacing w:before="8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8" w:type="dxa"/>
            <w:vAlign w:val="top"/>
          </w:tcPr>
          <w:p>
            <w:pPr>
              <w:ind w:left="186"/>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8.76</w:t>
            </w:r>
          </w:p>
        </w:tc>
        <w:tc>
          <w:tcPr>
            <w:tcW w:w="718" w:type="dxa"/>
            <w:vAlign w:val="top"/>
          </w:tcPr>
          <w:p>
            <w:pPr>
              <w:ind w:left="186"/>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8.51</w:t>
            </w:r>
          </w:p>
        </w:tc>
        <w:tc>
          <w:tcPr>
            <w:tcW w:w="723" w:type="dxa"/>
            <w:vAlign w:val="top"/>
          </w:tcPr>
          <w:p>
            <w:pPr>
              <w:ind w:left="188"/>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8.65</w:t>
            </w:r>
          </w:p>
        </w:tc>
        <w:tc>
          <w:tcPr>
            <w:tcW w:w="718" w:type="dxa"/>
            <w:vAlign w:val="top"/>
          </w:tcPr>
          <w:p>
            <w:pPr>
              <w:ind w:left="183"/>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9.78</w:t>
            </w:r>
          </w:p>
        </w:tc>
        <w:tc>
          <w:tcPr>
            <w:tcW w:w="718" w:type="dxa"/>
            <w:vAlign w:val="top"/>
          </w:tcPr>
          <w:p>
            <w:pPr>
              <w:ind w:left="182"/>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9.61</w:t>
            </w:r>
          </w:p>
        </w:tc>
        <w:tc>
          <w:tcPr>
            <w:tcW w:w="723" w:type="dxa"/>
            <w:vAlign w:val="top"/>
          </w:tcPr>
          <w:p>
            <w:pPr>
              <w:ind w:left="184"/>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9.56</w:t>
            </w:r>
          </w:p>
        </w:tc>
        <w:tc>
          <w:tcPr>
            <w:tcW w:w="955" w:type="dxa"/>
            <w:vAlign w:val="top"/>
          </w:tcPr>
          <w:p>
            <w:pPr>
              <w:ind w:left="379"/>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r>
      <w:tr>
        <w:trPr>
          <w:trHeight w:val="316" w:hRule="atLeast"/>
        </w:trPr>
        <w:tc>
          <w:tcPr>
            <w:tcW w:w="479" w:type="dxa"/>
            <w:vAlign w:val="top"/>
          </w:tcPr>
          <w:p>
            <w:pPr>
              <w:ind w:left="190"/>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744" w:type="dxa"/>
            <w:vAlign w:val="top"/>
          </w:tcPr>
          <w:p>
            <w:pPr>
              <w:pStyle w:val="TableText"/>
              <w:ind w:left="769"/>
              <w:spacing w:before="51" w:line="231" w:lineRule="auto"/>
              <w:rPr/>
            </w:pPr>
            <w:r>
              <w:rPr>
                <w:spacing w:val="2"/>
              </w:rPr>
              <w:t>镉</w:t>
            </w:r>
          </w:p>
        </w:tc>
        <w:tc>
          <w:tcPr>
            <w:tcW w:w="1017" w:type="dxa"/>
            <w:vAlign w:val="top"/>
          </w:tcPr>
          <w:p>
            <w:pPr>
              <w:ind w:left="237"/>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8" w:type="dxa"/>
            <w:vAlign w:val="top"/>
          </w:tcPr>
          <w:p>
            <w:pPr>
              <w:ind w:left="18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0.26</w:t>
            </w:r>
          </w:p>
        </w:tc>
        <w:tc>
          <w:tcPr>
            <w:tcW w:w="718" w:type="dxa"/>
            <w:vAlign w:val="top"/>
          </w:tcPr>
          <w:p>
            <w:pPr>
              <w:ind w:left="180"/>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0.22</w:t>
            </w:r>
          </w:p>
        </w:tc>
        <w:tc>
          <w:tcPr>
            <w:tcW w:w="723" w:type="dxa"/>
            <w:vAlign w:val="top"/>
          </w:tcPr>
          <w:p>
            <w:pPr>
              <w:ind w:left="182"/>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0.24</w:t>
            </w:r>
          </w:p>
        </w:tc>
        <w:tc>
          <w:tcPr>
            <w:tcW w:w="718" w:type="dxa"/>
            <w:vAlign w:val="top"/>
          </w:tcPr>
          <w:p>
            <w:pPr>
              <w:ind w:left="182"/>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0.20</w:t>
            </w:r>
          </w:p>
        </w:tc>
        <w:tc>
          <w:tcPr>
            <w:tcW w:w="718" w:type="dxa"/>
            <w:vAlign w:val="top"/>
          </w:tcPr>
          <w:p>
            <w:pPr>
              <w:ind w:left="18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0.21</w:t>
            </w:r>
          </w:p>
        </w:tc>
        <w:tc>
          <w:tcPr>
            <w:tcW w:w="723" w:type="dxa"/>
            <w:vAlign w:val="top"/>
          </w:tcPr>
          <w:p>
            <w:pPr>
              <w:ind w:left="18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0.23</w:t>
            </w:r>
          </w:p>
        </w:tc>
        <w:tc>
          <w:tcPr>
            <w:tcW w:w="955" w:type="dxa"/>
            <w:vAlign w:val="top"/>
          </w:tcPr>
          <w:p>
            <w:pPr>
              <w:ind w:left="37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r>
      <w:tr>
        <w:trPr>
          <w:trHeight w:val="316" w:hRule="atLeast"/>
        </w:trPr>
        <w:tc>
          <w:tcPr>
            <w:tcW w:w="479" w:type="dxa"/>
            <w:vAlign w:val="top"/>
          </w:tcPr>
          <w:p>
            <w:pPr>
              <w:ind w:left="18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744" w:type="dxa"/>
            <w:vAlign w:val="top"/>
          </w:tcPr>
          <w:p>
            <w:pPr>
              <w:pStyle w:val="TableText"/>
              <w:ind w:left="770"/>
              <w:spacing w:before="52" w:line="229" w:lineRule="auto"/>
              <w:rPr/>
            </w:pPr>
            <w:r>
              <w:rPr/>
              <w:t>铜</w:t>
            </w:r>
          </w:p>
        </w:tc>
        <w:tc>
          <w:tcPr>
            <w:tcW w:w="1017" w:type="dxa"/>
            <w:vAlign w:val="top"/>
          </w:tcPr>
          <w:p>
            <w:pPr>
              <w:ind w:left="237"/>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8" w:type="dxa"/>
            <w:vAlign w:val="top"/>
          </w:tcPr>
          <w:p>
            <w:pPr>
              <w:ind w:left="27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rPr>
              <w:t>11</w:t>
            </w:r>
          </w:p>
        </w:tc>
        <w:tc>
          <w:tcPr>
            <w:tcW w:w="718" w:type="dxa"/>
            <w:vAlign w:val="top"/>
          </w:tcPr>
          <w:p>
            <w:pPr>
              <w:ind w:left="27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723" w:type="dxa"/>
            <w:vAlign w:val="top"/>
          </w:tcPr>
          <w:p>
            <w:pPr>
              <w:ind w:left="27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13</w:t>
            </w:r>
          </w:p>
        </w:tc>
        <w:tc>
          <w:tcPr>
            <w:tcW w:w="718" w:type="dxa"/>
            <w:vAlign w:val="top"/>
          </w:tcPr>
          <w:p>
            <w:pPr>
              <w:ind w:left="276"/>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19</w:t>
            </w:r>
          </w:p>
        </w:tc>
        <w:tc>
          <w:tcPr>
            <w:tcW w:w="718" w:type="dxa"/>
            <w:vAlign w:val="top"/>
          </w:tcPr>
          <w:p>
            <w:pPr>
              <w:ind w:left="27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18</w:t>
            </w:r>
          </w:p>
        </w:tc>
        <w:tc>
          <w:tcPr>
            <w:tcW w:w="723" w:type="dxa"/>
            <w:vAlign w:val="top"/>
          </w:tcPr>
          <w:p>
            <w:pPr>
              <w:ind w:left="25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21</w:t>
            </w:r>
          </w:p>
        </w:tc>
        <w:tc>
          <w:tcPr>
            <w:tcW w:w="955" w:type="dxa"/>
            <w:vAlign w:val="top"/>
          </w:tcPr>
          <w:p>
            <w:pPr>
              <w:ind w:left="236"/>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18000</w:t>
            </w:r>
          </w:p>
        </w:tc>
      </w:tr>
      <w:tr>
        <w:trPr>
          <w:trHeight w:val="316" w:hRule="atLeast"/>
        </w:trPr>
        <w:tc>
          <w:tcPr>
            <w:tcW w:w="479" w:type="dxa"/>
            <w:vAlign w:val="top"/>
          </w:tcPr>
          <w:p>
            <w:pPr>
              <w:ind w:left="195"/>
              <w:spacing w:before="9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744" w:type="dxa"/>
            <w:vAlign w:val="top"/>
          </w:tcPr>
          <w:p>
            <w:pPr>
              <w:pStyle w:val="TableText"/>
              <w:ind w:left="770"/>
              <w:spacing w:before="55" w:line="231" w:lineRule="auto"/>
              <w:rPr/>
            </w:pPr>
            <w:r>
              <w:rPr/>
              <w:t>铅</w:t>
            </w:r>
          </w:p>
        </w:tc>
        <w:tc>
          <w:tcPr>
            <w:tcW w:w="1017" w:type="dxa"/>
            <w:vAlign w:val="top"/>
          </w:tcPr>
          <w:p>
            <w:pPr>
              <w:ind w:left="237"/>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8" w:type="dxa"/>
            <w:vAlign w:val="top"/>
          </w:tcPr>
          <w:p>
            <w:pPr>
              <w:ind w:left="19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19.1</w:t>
            </w:r>
          </w:p>
        </w:tc>
        <w:tc>
          <w:tcPr>
            <w:tcW w:w="718" w:type="dxa"/>
            <w:vAlign w:val="top"/>
          </w:tcPr>
          <w:p>
            <w:pPr>
              <w:ind w:left="19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19.9</w:t>
            </w:r>
          </w:p>
        </w:tc>
        <w:tc>
          <w:tcPr>
            <w:tcW w:w="723" w:type="dxa"/>
            <w:vAlign w:val="top"/>
          </w:tcPr>
          <w:p>
            <w:pPr>
              <w:ind w:left="19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19.6</w:t>
            </w:r>
          </w:p>
        </w:tc>
        <w:tc>
          <w:tcPr>
            <w:tcW w:w="718" w:type="dxa"/>
            <w:vAlign w:val="top"/>
          </w:tcPr>
          <w:p>
            <w:pPr>
              <w:ind w:left="17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25.1</w:t>
            </w:r>
          </w:p>
        </w:tc>
        <w:tc>
          <w:tcPr>
            <w:tcW w:w="718" w:type="dxa"/>
            <w:vAlign w:val="top"/>
          </w:tcPr>
          <w:p>
            <w:pPr>
              <w:ind w:left="1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24.8</w:t>
            </w:r>
          </w:p>
        </w:tc>
        <w:tc>
          <w:tcPr>
            <w:tcW w:w="723" w:type="dxa"/>
            <w:vAlign w:val="top"/>
          </w:tcPr>
          <w:p>
            <w:pPr>
              <w:ind w:left="18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25.4</w:t>
            </w:r>
          </w:p>
        </w:tc>
        <w:tc>
          <w:tcPr>
            <w:tcW w:w="955" w:type="dxa"/>
            <w:vAlign w:val="top"/>
          </w:tcPr>
          <w:p>
            <w:pPr>
              <w:ind w:left="33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800</w:t>
            </w:r>
          </w:p>
        </w:tc>
      </w:tr>
      <w:tr>
        <w:trPr>
          <w:trHeight w:val="319" w:hRule="atLeast"/>
        </w:trPr>
        <w:tc>
          <w:tcPr>
            <w:tcW w:w="479" w:type="dxa"/>
            <w:vAlign w:val="top"/>
          </w:tcPr>
          <w:p>
            <w:pPr>
              <w:ind w:left="19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744" w:type="dxa"/>
            <w:vAlign w:val="top"/>
          </w:tcPr>
          <w:p>
            <w:pPr>
              <w:pStyle w:val="TableText"/>
              <w:ind w:left="771"/>
              <w:spacing w:before="56" w:line="228" w:lineRule="auto"/>
              <w:rPr/>
            </w:pPr>
            <w:r>
              <w:rPr/>
              <w:t>汞</w:t>
            </w:r>
          </w:p>
        </w:tc>
        <w:tc>
          <w:tcPr>
            <w:tcW w:w="1017" w:type="dxa"/>
            <w:vAlign w:val="top"/>
          </w:tcPr>
          <w:p>
            <w:pPr>
              <w:ind w:left="237"/>
              <w:spacing w:before="8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8" w:type="dxa"/>
            <w:vAlign w:val="top"/>
          </w:tcPr>
          <w:p>
            <w:pPr>
              <w:ind w:left="12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0.078</w:t>
            </w:r>
          </w:p>
        </w:tc>
        <w:tc>
          <w:tcPr>
            <w:tcW w:w="718" w:type="dxa"/>
            <w:vAlign w:val="top"/>
          </w:tcPr>
          <w:p>
            <w:pPr>
              <w:ind w:left="12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0.082</w:t>
            </w:r>
          </w:p>
        </w:tc>
        <w:tc>
          <w:tcPr>
            <w:tcW w:w="723" w:type="dxa"/>
            <w:vAlign w:val="top"/>
          </w:tcPr>
          <w:p>
            <w:pPr>
              <w:ind w:left="13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0.089</w:t>
            </w:r>
          </w:p>
        </w:tc>
        <w:tc>
          <w:tcPr>
            <w:tcW w:w="718" w:type="dxa"/>
            <w:vAlign w:val="top"/>
          </w:tcPr>
          <w:p>
            <w:pPr>
              <w:ind w:left="12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0.104</w:t>
            </w:r>
          </w:p>
        </w:tc>
        <w:tc>
          <w:tcPr>
            <w:tcW w:w="718" w:type="dxa"/>
            <w:vAlign w:val="top"/>
          </w:tcPr>
          <w:p>
            <w:pPr>
              <w:ind w:left="12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0.106</w:t>
            </w:r>
          </w:p>
        </w:tc>
        <w:tc>
          <w:tcPr>
            <w:tcW w:w="723" w:type="dxa"/>
            <w:vAlign w:val="top"/>
          </w:tcPr>
          <w:p>
            <w:pPr>
              <w:ind w:left="13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0.109</w:t>
            </w:r>
          </w:p>
        </w:tc>
        <w:tc>
          <w:tcPr>
            <w:tcW w:w="955" w:type="dxa"/>
            <w:vAlign w:val="top"/>
          </w:tcPr>
          <w:p>
            <w:pPr>
              <w:ind w:left="3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38</w:t>
            </w:r>
          </w:p>
        </w:tc>
      </w:tr>
    </w:tbl>
    <w:p>
      <w:pPr>
        <w:pStyle w:val="BodyText"/>
        <w:rPr/>
      </w:pPr>
      <w:r/>
    </w:p>
    <w:p>
      <w:pPr>
        <w:sectPr>
          <w:footerReference w:type="default" r:id="rId148"/>
          <w:pgSz w:w="11906" w:h="16839"/>
          <w:pgMar w:top="1567" w:right="1693" w:bottom="1482" w:left="1692" w:header="1221" w:footer="1248" w:gutter="0"/>
        </w:sectPr>
        <w:rPr/>
      </w:pPr>
    </w:p>
    <w:p>
      <w:pPr>
        <w:spacing w:line="133" w:lineRule="exact"/>
        <w:rPr/>
      </w:pPr>
      <w:r>
        <w:pict>
          <v:shape id="_x0000_s656" style="position:absolute;margin-left:85.05pt;margin-top:78.87pt;mso-position-vertical-relative:page;mso-position-horizontal-relative:page;width:425.25pt;height:0.75pt;z-index:251955200;" o:allowincell="f" fillcolor="#000000" filled="true" stroked="false" coordsize="8505,15" coordorigin="0,0" path="m,l8504,0l8504,14l0,14l0,0xe"/>
        </w:pict>
      </w:r>
      <w:r/>
    </w:p>
    <w:tbl>
      <w:tblPr>
        <w:tblStyle w:val="TableNormal"/>
        <w:tblW w:w="8513" w:type="dxa"/>
        <w:tblInd w:w="19"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79"/>
        <w:gridCol w:w="1744"/>
        <w:gridCol w:w="1017"/>
        <w:gridCol w:w="718"/>
        <w:gridCol w:w="718"/>
        <w:gridCol w:w="723"/>
        <w:gridCol w:w="718"/>
        <w:gridCol w:w="718"/>
        <w:gridCol w:w="723"/>
        <w:gridCol w:w="955"/>
      </w:tblGrid>
      <w:tr>
        <w:trPr>
          <w:trHeight w:val="250" w:hRule="atLeast"/>
        </w:trPr>
        <w:tc>
          <w:tcPr>
            <w:tcW w:w="479" w:type="dxa"/>
            <w:vAlign w:val="top"/>
            <w:vMerge w:val="restart"/>
            <w:tcBorders>
              <w:bottom w:val="nil"/>
            </w:tcBorders>
          </w:tcPr>
          <w:p>
            <w:pPr>
              <w:pStyle w:val="TableText"/>
              <w:ind w:left="34"/>
              <w:spacing w:before="160" w:line="229" w:lineRule="auto"/>
              <w:rPr/>
            </w:pPr>
            <w:r>
              <w:rPr>
                <w:spacing w:val="5"/>
              </w:rPr>
              <w:t>序号</w:t>
            </w:r>
          </w:p>
        </w:tc>
        <w:tc>
          <w:tcPr>
            <w:tcW w:w="1744" w:type="dxa"/>
            <w:vAlign w:val="top"/>
            <w:vMerge w:val="restart"/>
            <w:tcBorders>
              <w:bottom w:val="nil"/>
            </w:tcBorders>
          </w:tcPr>
          <w:p>
            <w:pPr>
              <w:pStyle w:val="TableText"/>
              <w:ind w:left="456"/>
              <w:spacing w:before="159" w:line="228" w:lineRule="auto"/>
              <w:rPr/>
            </w:pPr>
            <w:r>
              <w:rPr>
                <w:spacing w:val="7"/>
              </w:rPr>
              <w:t>检测因子</w:t>
            </w:r>
          </w:p>
        </w:tc>
        <w:tc>
          <w:tcPr>
            <w:tcW w:w="1017" w:type="dxa"/>
            <w:vAlign w:val="top"/>
            <w:vMerge w:val="restart"/>
            <w:tcBorders>
              <w:bottom w:val="nil"/>
            </w:tcBorders>
          </w:tcPr>
          <w:p>
            <w:pPr>
              <w:pStyle w:val="TableText"/>
              <w:ind w:left="305"/>
              <w:spacing w:before="160" w:line="228" w:lineRule="auto"/>
              <w:rPr/>
            </w:pPr>
            <w:r>
              <w:rPr>
                <w:spacing w:val="3"/>
              </w:rPr>
              <w:t>单位</w:t>
            </w:r>
          </w:p>
        </w:tc>
        <w:tc>
          <w:tcPr>
            <w:tcW w:w="2159" w:type="dxa"/>
            <w:vAlign w:val="top"/>
            <w:gridSpan w:val="3"/>
          </w:tcPr>
          <w:p>
            <w:pPr>
              <w:ind w:left="986"/>
              <w:spacing w:before="59" w:line="18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T</w:t>
            </w:r>
            <w:r>
              <w:rPr>
                <w:rFonts w:ascii="Times New Roman" w:hAnsi="Times New Roman" w:eastAsia="Times New Roman" w:cs="Times New Roman"/>
                <w:sz w:val="13"/>
                <w:szCs w:val="13"/>
                <w:spacing w:val="1"/>
                <w:position w:val="-1"/>
              </w:rPr>
              <w:t>2</w:t>
            </w:r>
          </w:p>
        </w:tc>
        <w:tc>
          <w:tcPr>
            <w:tcW w:w="2159" w:type="dxa"/>
            <w:vAlign w:val="top"/>
            <w:gridSpan w:val="3"/>
          </w:tcPr>
          <w:p>
            <w:pPr>
              <w:ind w:left="987"/>
              <w:spacing w:before="59" w:line="18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T</w:t>
            </w:r>
            <w:r>
              <w:rPr>
                <w:rFonts w:ascii="Times New Roman" w:hAnsi="Times New Roman" w:eastAsia="Times New Roman" w:cs="Times New Roman"/>
                <w:sz w:val="13"/>
                <w:szCs w:val="13"/>
                <w:spacing w:val="1"/>
                <w:position w:val="-1"/>
              </w:rPr>
              <w:t>3</w:t>
            </w:r>
          </w:p>
        </w:tc>
        <w:tc>
          <w:tcPr>
            <w:tcW w:w="955" w:type="dxa"/>
            <w:vAlign w:val="top"/>
            <w:vMerge w:val="restart"/>
            <w:tcBorders>
              <w:bottom w:val="nil"/>
            </w:tcBorders>
          </w:tcPr>
          <w:p>
            <w:pPr>
              <w:pStyle w:val="TableText"/>
              <w:ind w:left="64"/>
              <w:spacing w:before="159" w:line="228" w:lineRule="auto"/>
              <w:rPr/>
            </w:pPr>
            <w:r>
              <w:rPr>
                <w:spacing w:val="7"/>
              </w:rPr>
              <w:t>标准限值</w:t>
            </w:r>
          </w:p>
        </w:tc>
      </w:tr>
      <w:tr>
        <w:trPr>
          <w:trHeight w:val="277" w:hRule="atLeast"/>
        </w:trPr>
        <w:tc>
          <w:tcPr>
            <w:tcW w:w="479" w:type="dxa"/>
            <w:vAlign w:val="top"/>
            <w:vMerge w:val="continue"/>
            <w:tcBorders>
              <w:top w:val="nil"/>
            </w:tcBorders>
          </w:tcPr>
          <w:p>
            <w:pPr>
              <w:rPr>
                <w:rFonts w:ascii="Arial"/>
                <w:sz w:val="21"/>
              </w:rPr>
            </w:pPr>
            <w:r/>
          </w:p>
        </w:tc>
        <w:tc>
          <w:tcPr>
            <w:tcW w:w="1744" w:type="dxa"/>
            <w:vAlign w:val="top"/>
            <w:vMerge w:val="continue"/>
            <w:tcBorders>
              <w:top w:val="nil"/>
            </w:tcBorders>
          </w:tcPr>
          <w:p>
            <w:pPr>
              <w:rPr>
                <w:rFonts w:ascii="Arial"/>
                <w:sz w:val="21"/>
              </w:rPr>
            </w:pPr>
            <w:r/>
          </w:p>
        </w:tc>
        <w:tc>
          <w:tcPr>
            <w:tcW w:w="1017" w:type="dxa"/>
            <w:vAlign w:val="top"/>
            <w:vMerge w:val="continue"/>
            <w:tcBorders>
              <w:top w:val="nil"/>
            </w:tcBorders>
          </w:tcPr>
          <w:p>
            <w:pPr>
              <w:rPr>
                <w:rFonts w:ascii="Arial"/>
                <w:sz w:val="21"/>
              </w:rPr>
            </w:pPr>
            <w:r/>
          </w:p>
        </w:tc>
        <w:tc>
          <w:tcPr>
            <w:tcW w:w="718" w:type="dxa"/>
            <w:vAlign w:val="top"/>
          </w:tcPr>
          <w:p>
            <w:pPr>
              <w:pStyle w:val="TableText"/>
              <w:ind w:left="49"/>
              <w:spacing w:before="32" w:line="216" w:lineRule="auto"/>
              <w:rPr/>
            </w:pPr>
            <w:r>
              <w:rPr>
                <w:spacing w:val="7"/>
              </w:rPr>
              <w:t>表层样</w:t>
            </w:r>
          </w:p>
        </w:tc>
        <w:tc>
          <w:tcPr>
            <w:tcW w:w="718" w:type="dxa"/>
            <w:vAlign w:val="top"/>
          </w:tcPr>
          <w:p>
            <w:pPr>
              <w:pStyle w:val="TableText"/>
              <w:ind w:left="69"/>
              <w:spacing w:before="32" w:line="216" w:lineRule="auto"/>
              <w:rPr/>
            </w:pPr>
            <w:r>
              <w:rPr/>
              <w:t>中层样</w:t>
            </w:r>
          </w:p>
        </w:tc>
        <w:tc>
          <w:tcPr>
            <w:tcW w:w="723" w:type="dxa"/>
            <w:vAlign w:val="top"/>
          </w:tcPr>
          <w:p>
            <w:pPr>
              <w:pStyle w:val="TableText"/>
              <w:ind w:left="53"/>
              <w:spacing w:before="32" w:line="216" w:lineRule="auto"/>
              <w:rPr/>
            </w:pPr>
            <w:r>
              <w:rPr>
                <w:spacing w:val="6"/>
              </w:rPr>
              <w:t>深层样</w:t>
            </w:r>
          </w:p>
        </w:tc>
        <w:tc>
          <w:tcPr>
            <w:tcW w:w="718" w:type="dxa"/>
            <w:vAlign w:val="top"/>
          </w:tcPr>
          <w:p>
            <w:pPr>
              <w:pStyle w:val="TableText"/>
              <w:ind w:left="50"/>
              <w:spacing w:before="32" w:line="216" w:lineRule="auto"/>
              <w:rPr/>
            </w:pPr>
            <w:r>
              <w:rPr>
                <w:spacing w:val="7"/>
              </w:rPr>
              <w:t>表层样</w:t>
            </w:r>
          </w:p>
        </w:tc>
        <w:tc>
          <w:tcPr>
            <w:tcW w:w="718" w:type="dxa"/>
            <w:vAlign w:val="top"/>
          </w:tcPr>
          <w:p>
            <w:pPr>
              <w:pStyle w:val="TableText"/>
              <w:ind w:left="70"/>
              <w:spacing w:before="32" w:line="216" w:lineRule="auto"/>
              <w:rPr/>
            </w:pPr>
            <w:r>
              <w:rPr/>
              <w:t>中层样</w:t>
            </w:r>
          </w:p>
        </w:tc>
        <w:tc>
          <w:tcPr>
            <w:tcW w:w="723" w:type="dxa"/>
            <w:vAlign w:val="top"/>
          </w:tcPr>
          <w:p>
            <w:pPr>
              <w:pStyle w:val="TableText"/>
              <w:ind w:left="54"/>
              <w:spacing w:before="32" w:line="216" w:lineRule="auto"/>
              <w:rPr/>
            </w:pPr>
            <w:r>
              <w:rPr>
                <w:spacing w:val="6"/>
              </w:rPr>
              <w:t>深层样</w:t>
            </w:r>
          </w:p>
        </w:tc>
        <w:tc>
          <w:tcPr>
            <w:tcW w:w="955" w:type="dxa"/>
            <w:vAlign w:val="top"/>
            <w:vMerge w:val="continue"/>
            <w:tcBorders>
              <w:top w:val="nil"/>
            </w:tcBorders>
          </w:tcPr>
          <w:p>
            <w:pPr>
              <w:rPr>
                <w:rFonts w:ascii="Arial"/>
                <w:sz w:val="21"/>
              </w:rPr>
            </w:pPr>
            <w:r/>
          </w:p>
        </w:tc>
      </w:tr>
      <w:tr>
        <w:trPr>
          <w:trHeight w:val="316" w:hRule="atLeast"/>
        </w:trPr>
        <w:tc>
          <w:tcPr>
            <w:tcW w:w="479" w:type="dxa"/>
            <w:vAlign w:val="top"/>
          </w:tcPr>
          <w:p>
            <w:pPr>
              <w:ind w:left="193"/>
              <w:spacing w:before="9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744" w:type="dxa"/>
            <w:vAlign w:val="top"/>
          </w:tcPr>
          <w:p>
            <w:pPr>
              <w:pStyle w:val="TableText"/>
              <w:ind w:left="770"/>
              <w:spacing w:before="50" w:line="228" w:lineRule="auto"/>
              <w:rPr/>
            </w:pPr>
            <w:r>
              <w:rPr>
                <w:spacing w:val="1"/>
              </w:rPr>
              <w:t>镍</w:t>
            </w:r>
          </w:p>
        </w:tc>
        <w:tc>
          <w:tcPr>
            <w:tcW w:w="1017" w:type="dxa"/>
            <w:vAlign w:val="top"/>
          </w:tcPr>
          <w:p>
            <w:pPr>
              <w:ind w:left="237"/>
              <w:spacing w:before="8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8" w:type="dxa"/>
            <w:vAlign w:val="top"/>
          </w:tcPr>
          <w:p>
            <w:pPr>
              <w:ind w:left="253"/>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41</w:t>
            </w:r>
          </w:p>
        </w:tc>
        <w:tc>
          <w:tcPr>
            <w:tcW w:w="718" w:type="dxa"/>
            <w:vAlign w:val="top"/>
          </w:tcPr>
          <w:p>
            <w:pPr>
              <w:ind w:left="261"/>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37</w:t>
            </w:r>
          </w:p>
        </w:tc>
        <w:tc>
          <w:tcPr>
            <w:tcW w:w="723" w:type="dxa"/>
            <w:vAlign w:val="top"/>
          </w:tcPr>
          <w:p>
            <w:pPr>
              <w:ind w:left="263"/>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39</w:t>
            </w:r>
          </w:p>
        </w:tc>
        <w:tc>
          <w:tcPr>
            <w:tcW w:w="718" w:type="dxa"/>
            <w:vAlign w:val="top"/>
          </w:tcPr>
          <w:p>
            <w:pPr>
              <w:ind w:left="254"/>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46</w:t>
            </w:r>
          </w:p>
        </w:tc>
        <w:tc>
          <w:tcPr>
            <w:tcW w:w="718" w:type="dxa"/>
            <w:vAlign w:val="top"/>
          </w:tcPr>
          <w:p>
            <w:pPr>
              <w:ind w:left="263"/>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51</w:t>
            </w:r>
          </w:p>
        </w:tc>
        <w:tc>
          <w:tcPr>
            <w:tcW w:w="723" w:type="dxa"/>
            <w:vAlign w:val="top"/>
          </w:tcPr>
          <w:p>
            <w:pPr>
              <w:ind w:left="265"/>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54</w:t>
            </w:r>
          </w:p>
        </w:tc>
        <w:tc>
          <w:tcPr>
            <w:tcW w:w="955" w:type="dxa"/>
            <w:vAlign w:val="top"/>
          </w:tcPr>
          <w:p>
            <w:pPr>
              <w:ind w:left="325"/>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900</w:t>
            </w:r>
          </w:p>
        </w:tc>
      </w:tr>
      <w:tr>
        <w:trPr>
          <w:trHeight w:val="316" w:hRule="atLeast"/>
        </w:trPr>
        <w:tc>
          <w:tcPr>
            <w:tcW w:w="479" w:type="dxa"/>
            <w:vAlign w:val="top"/>
          </w:tcPr>
          <w:p>
            <w:pPr>
              <w:ind w:left="198"/>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744" w:type="dxa"/>
            <w:vAlign w:val="top"/>
          </w:tcPr>
          <w:p>
            <w:pPr>
              <w:pStyle w:val="TableText"/>
              <w:ind w:left="561"/>
              <w:spacing w:before="53" w:line="226" w:lineRule="auto"/>
              <w:rPr/>
            </w:pPr>
            <w:r>
              <w:rPr>
                <w:spacing w:val="6"/>
              </w:rPr>
              <w:t>六价铬</w:t>
            </w:r>
          </w:p>
        </w:tc>
        <w:tc>
          <w:tcPr>
            <w:tcW w:w="1017" w:type="dxa"/>
            <w:vAlign w:val="top"/>
          </w:tcPr>
          <w:p>
            <w:pPr>
              <w:ind w:left="237"/>
              <w:spacing w:before="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8" w:type="dxa"/>
            <w:vAlign w:val="top"/>
          </w:tcPr>
          <w:p>
            <w:pPr>
              <w:pStyle w:val="TableText"/>
              <w:ind w:left="53"/>
              <w:spacing w:before="53" w:line="228" w:lineRule="auto"/>
              <w:rPr/>
            </w:pPr>
            <w:r>
              <w:rPr>
                <w:spacing w:val="5"/>
              </w:rPr>
              <w:t>未检出</w:t>
            </w:r>
          </w:p>
        </w:tc>
        <w:tc>
          <w:tcPr>
            <w:tcW w:w="718" w:type="dxa"/>
            <w:vAlign w:val="top"/>
          </w:tcPr>
          <w:p>
            <w:pPr>
              <w:pStyle w:val="TableText"/>
              <w:ind w:left="52"/>
              <w:spacing w:before="53" w:line="228" w:lineRule="auto"/>
              <w:rPr/>
            </w:pPr>
            <w:r>
              <w:rPr>
                <w:spacing w:val="5"/>
              </w:rPr>
              <w:t>未检出</w:t>
            </w:r>
          </w:p>
        </w:tc>
        <w:tc>
          <w:tcPr>
            <w:tcW w:w="723" w:type="dxa"/>
            <w:vAlign w:val="top"/>
          </w:tcPr>
          <w:p>
            <w:pPr>
              <w:pStyle w:val="TableText"/>
              <w:ind w:left="57"/>
              <w:spacing w:before="53" w:line="228" w:lineRule="auto"/>
              <w:rPr/>
            </w:pPr>
            <w:r>
              <w:rPr>
                <w:spacing w:val="5"/>
              </w:rPr>
              <w:t>未检出</w:t>
            </w:r>
          </w:p>
        </w:tc>
        <w:tc>
          <w:tcPr>
            <w:tcW w:w="718" w:type="dxa"/>
            <w:vAlign w:val="top"/>
          </w:tcPr>
          <w:p>
            <w:pPr>
              <w:pStyle w:val="TableText"/>
              <w:ind w:left="54"/>
              <w:spacing w:before="53" w:line="228" w:lineRule="auto"/>
              <w:rPr/>
            </w:pPr>
            <w:r>
              <w:rPr>
                <w:spacing w:val="5"/>
              </w:rPr>
              <w:t>未检出</w:t>
            </w:r>
          </w:p>
        </w:tc>
        <w:tc>
          <w:tcPr>
            <w:tcW w:w="718" w:type="dxa"/>
            <w:vAlign w:val="top"/>
          </w:tcPr>
          <w:p>
            <w:pPr>
              <w:pStyle w:val="TableText"/>
              <w:ind w:left="53"/>
              <w:spacing w:before="53" w:line="228" w:lineRule="auto"/>
              <w:rPr/>
            </w:pPr>
            <w:r>
              <w:rPr>
                <w:spacing w:val="5"/>
              </w:rPr>
              <w:t>未检出</w:t>
            </w:r>
          </w:p>
        </w:tc>
        <w:tc>
          <w:tcPr>
            <w:tcW w:w="723" w:type="dxa"/>
            <w:vAlign w:val="top"/>
          </w:tcPr>
          <w:p>
            <w:pPr>
              <w:pStyle w:val="TableText"/>
              <w:ind w:left="58"/>
              <w:spacing w:before="53" w:line="228" w:lineRule="auto"/>
              <w:rPr/>
            </w:pPr>
            <w:r>
              <w:rPr>
                <w:spacing w:val="5"/>
              </w:rPr>
              <w:t>未检出</w:t>
            </w:r>
          </w:p>
        </w:tc>
        <w:tc>
          <w:tcPr>
            <w:tcW w:w="955" w:type="dxa"/>
            <w:vAlign w:val="top"/>
          </w:tcPr>
          <w:p>
            <w:pPr>
              <w:ind w:left="353"/>
              <w:spacing w:before="9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5.7</w:t>
            </w:r>
          </w:p>
        </w:tc>
      </w:tr>
      <w:tr>
        <w:trPr>
          <w:trHeight w:val="320" w:hRule="atLeast"/>
        </w:trPr>
        <w:tc>
          <w:tcPr>
            <w:tcW w:w="479" w:type="dxa"/>
            <w:vAlign w:val="top"/>
          </w:tcPr>
          <w:p>
            <w:pPr>
              <w:ind w:left="194"/>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744" w:type="dxa"/>
            <w:vAlign w:val="top"/>
          </w:tcPr>
          <w:p>
            <w:pPr>
              <w:pStyle w:val="TableText"/>
              <w:ind w:left="39"/>
              <w:spacing w:before="54" w:line="228" w:lineRule="auto"/>
              <w:rPr/>
            </w:pPr>
            <w:r>
              <w:rPr>
                <w:spacing w:val="5"/>
              </w:rPr>
              <w:t>石油烃（</w:t>
            </w:r>
            <w:r>
              <w:rPr>
                <w:rFonts w:ascii="Times New Roman" w:hAnsi="Times New Roman" w:eastAsia="Times New Roman" w:cs="Times New Roman"/>
                <w:spacing w:val="5"/>
              </w:rPr>
              <w:t>C</w:t>
            </w:r>
            <w:r>
              <w:rPr>
                <w:rFonts w:ascii="Times New Roman" w:hAnsi="Times New Roman" w:eastAsia="Times New Roman" w:cs="Times New Roman"/>
                <w:sz w:val="13"/>
                <w:szCs w:val="13"/>
                <w:spacing w:val="5"/>
              </w:rPr>
              <w:t>10</w:t>
            </w:r>
            <w:r>
              <w:rPr>
                <w:rFonts w:ascii="Times New Roman" w:hAnsi="Times New Roman" w:eastAsia="Times New Roman" w:cs="Times New Roman"/>
                <w:spacing w:val="5"/>
              </w:rPr>
              <w:t>-C</w:t>
            </w:r>
            <w:r>
              <w:rPr>
                <w:rFonts w:ascii="Times New Roman" w:hAnsi="Times New Roman" w:eastAsia="Times New Roman" w:cs="Times New Roman"/>
                <w:sz w:val="13"/>
                <w:szCs w:val="13"/>
                <w:spacing w:val="5"/>
                <w:position w:val="-1"/>
              </w:rPr>
              <w:t>40</w:t>
            </w:r>
            <w:r>
              <w:rPr>
                <w:spacing w:val="5"/>
              </w:rPr>
              <w:t>）</w:t>
            </w:r>
          </w:p>
        </w:tc>
        <w:tc>
          <w:tcPr>
            <w:tcW w:w="1017" w:type="dxa"/>
            <w:vAlign w:val="top"/>
          </w:tcPr>
          <w:p>
            <w:pPr>
              <w:ind w:left="237"/>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8" w:type="dxa"/>
            <w:vAlign w:val="top"/>
          </w:tcPr>
          <w:p>
            <w:pPr>
              <w:pStyle w:val="TableText"/>
              <w:ind w:left="53"/>
              <w:spacing w:before="53" w:line="228" w:lineRule="auto"/>
              <w:rPr/>
            </w:pPr>
            <w:r>
              <w:rPr>
                <w:spacing w:val="5"/>
              </w:rPr>
              <w:t>未检出</w:t>
            </w:r>
          </w:p>
        </w:tc>
        <w:tc>
          <w:tcPr>
            <w:tcW w:w="718" w:type="dxa"/>
            <w:vAlign w:val="top"/>
          </w:tcPr>
          <w:p>
            <w:pPr>
              <w:pStyle w:val="TableText"/>
              <w:ind w:left="52"/>
              <w:spacing w:before="53" w:line="228" w:lineRule="auto"/>
              <w:rPr/>
            </w:pPr>
            <w:r>
              <w:rPr>
                <w:spacing w:val="5"/>
              </w:rPr>
              <w:t>未检出</w:t>
            </w:r>
          </w:p>
        </w:tc>
        <w:tc>
          <w:tcPr>
            <w:tcW w:w="723" w:type="dxa"/>
            <w:vAlign w:val="top"/>
          </w:tcPr>
          <w:p>
            <w:pPr>
              <w:pStyle w:val="TableText"/>
              <w:ind w:left="57"/>
              <w:spacing w:before="53" w:line="228" w:lineRule="auto"/>
              <w:rPr/>
            </w:pPr>
            <w:r>
              <w:rPr>
                <w:spacing w:val="5"/>
              </w:rPr>
              <w:t>未检出</w:t>
            </w:r>
          </w:p>
        </w:tc>
        <w:tc>
          <w:tcPr>
            <w:tcW w:w="718" w:type="dxa"/>
            <w:vAlign w:val="top"/>
          </w:tcPr>
          <w:p>
            <w:pPr>
              <w:pStyle w:val="TableText"/>
              <w:ind w:left="54"/>
              <w:spacing w:before="53" w:line="228" w:lineRule="auto"/>
              <w:rPr/>
            </w:pPr>
            <w:r>
              <w:rPr>
                <w:spacing w:val="5"/>
              </w:rPr>
              <w:t>未检出</w:t>
            </w:r>
          </w:p>
        </w:tc>
        <w:tc>
          <w:tcPr>
            <w:tcW w:w="718" w:type="dxa"/>
            <w:vAlign w:val="top"/>
          </w:tcPr>
          <w:p>
            <w:pPr>
              <w:pStyle w:val="TableText"/>
              <w:ind w:left="53"/>
              <w:spacing w:before="53" w:line="228" w:lineRule="auto"/>
              <w:rPr/>
            </w:pPr>
            <w:r>
              <w:rPr>
                <w:spacing w:val="5"/>
              </w:rPr>
              <w:t>未检出</w:t>
            </w:r>
          </w:p>
        </w:tc>
        <w:tc>
          <w:tcPr>
            <w:tcW w:w="723" w:type="dxa"/>
            <w:vAlign w:val="top"/>
          </w:tcPr>
          <w:p>
            <w:pPr>
              <w:pStyle w:val="TableText"/>
              <w:ind w:left="58"/>
              <w:spacing w:before="53" w:line="228" w:lineRule="auto"/>
              <w:rPr/>
            </w:pPr>
            <w:r>
              <w:rPr>
                <w:spacing w:val="5"/>
              </w:rPr>
              <w:t>未检出</w:t>
            </w:r>
          </w:p>
        </w:tc>
        <w:tc>
          <w:tcPr>
            <w:tcW w:w="955" w:type="dxa"/>
            <w:vAlign w:val="top"/>
          </w:tcPr>
          <w:p>
            <w:pPr>
              <w:ind w:left="267"/>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4500</w:t>
            </w:r>
          </w:p>
        </w:tc>
      </w:tr>
    </w:tbl>
    <w:p>
      <w:pPr>
        <w:ind w:left="2772"/>
        <w:spacing w:before="35" w:line="212" w:lineRule="auto"/>
        <w:rPr>
          <w:rFonts w:ascii="Times New Roman" w:hAnsi="Times New Roman" w:eastAsia="Times New Roman" w:cs="Times New Roman"/>
          <w:sz w:val="24"/>
          <w:szCs w:val="24"/>
        </w:rPr>
      </w:pPr>
      <w:r>
        <w:rPr>
          <w:rFonts w:ascii="SimSun" w:hAnsi="SimSun" w:eastAsia="SimSun" w:cs="SimSun"/>
          <w:sz w:val="24"/>
          <w:szCs w:val="24"/>
          <w:b/>
          <w:bCs/>
          <w:spacing w:val="-2"/>
        </w:rPr>
        <w:t>表</w:t>
      </w:r>
      <w:r>
        <w:rPr>
          <w:rFonts w:ascii="SimSun" w:hAnsi="SimSun" w:eastAsia="SimSun" w:cs="SimSun"/>
          <w:sz w:val="24"/>
          <w:szCs w:val="24"/>
          <w:spacing w:val="-40"/>
        </w:rPr>
        <w:t xml:space="preserve"> </w:t>
      </w:r>
      <w:r>
        <w:rPr>
          <w:rFonts w:ascii="Times New Roman" w:hAnsi="Times New Roman" w:eastAsia="Times New Roman" w:cs="Times New Roman"/>
          <w:sz w:val="24"/>
          <w:szCs w:val="24"/>
          <w:b/>
          <w:bCs/>
          <w:spacing w:val="-2"/>
        </w:rPr>
        <w:t>4.2-16        </w:t>
      </w:r>
      <w:r>
        <w:rPr>
          <w:rFonts w:ascii="SimSun" w:hAnsi="SimSun" w:eastAsia="SimSun" w:cs="SimSun"/>
          <w:sz w:val="24"/>
          <w:szCs w:val="24"/>
          <w:b/>
          <w:bCs/>
          <w:spacing w:val="-2"/>
        </w:rPr>
        <w:t>土壤检测结果</w:t>
      </w:r>
      <w:r>
        <w:rPr>
          <w:rFonts w:ascii="SimSun" w:hAnsi="SimSun" w:eastAsia="SimSun" w:cs="SimSun"/>
          <w:sz w:val="24"/>
          <w:szCs w:val="24"/>
          <w:spacing w:val="-53"/>
        </w:rPr>
        <w:t xml:space="preserve"> </w:t>
      </w:r>
      <w:r>
        <w:rPr>
          <w:rFonts w:ascii="Times New Roman" w:hAnsi="Times New Roman" w:eastAsia="Times New Roman" w:cs="Times New Roman"/>
          <w:sz w:val="24"/>
          <w:szCs w:val="24"/>
          <w:b/>
          <w:bCs/>
          <w:spacing w:val="-2"/>
        </w:rPr>
        <w:t>3</w:t>
      </w:r>
    </w:p>
    <w:tbl>
      <w:tblPr>
        <w:tblStyle w:val="TableNormal"/>
        <w:tblW w:w="8515" w:type="dxa"/>
        <w:tblInd w:w="18"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41"/>
        <w:gridCol w:w="2339"/>
        <w:gridCol w:w="1363"/>
        <w:gridCol w:w="959"/>
        <w:gridCol w:w="960"/>
        <w:gridCol w:w="975"/>
        <w:gridCol w:w="1278"/>
      </w:tblGrid>
      <w:tr>
        <w:trPr>
          <w:trHeight w:val="251" w:hRule="atLeast"/>
        </w:trPr>
        <w:tc>
          <w:tcPr>
            <w:tcW w:w="641" w:type="dxa"/>
            <w:vAlign w:val="top"/>
            <w:vMerge w:val="restart"/>
            <w:tcBorders>
              <w:bottom w:val="nil"/>
            </w:tcBorders>
          </w:tcPr>
          <w:p>
            <w:pPr>
              <w:pStyle w:val="TableText"/>
              <w:ind w:left="114"/>
              <w:spacing w:before="160" w:line="229" w:lineRule="auto"/>
              <w:rPr/>
            </w:pPr>
            <w:r>
              <w:rPr>
                <w:spacing w:val="5"/>
              </w:rPr>
              <w:t>序号</w:t>
            </w:r>
          </w:p>
        </w:tc>
        <w:tc>
          <w:tcPr>
            <w:tcW w:w="2339" w:type="dxa"/>
            <w:vAlign w:val="top"/>
            <w:vMerge w:val="restart"/>
            <w:tcBorders>
              <w:bottom w:val="nil"/>
            </w:tcBorders>
          </w:tcPr>
          <w:p>
            <w:pPr>
              <w:pStyle w:val="TableText"/>
              <w:ind w:left="753"/>
              <w:spacing w:before="160" w:line="228" w:lineRule="auto"/>
              <w:rPr/>
            </w:pPr>
            <w:r>
              <w:rPr>
                <w:spacing w:val="7"/>
              </w:rPr>
              <w:t>检测因子</w:t>
            </w:r>
          </w:p>
        </w:tc>
        <w:tc>
          <w:tcPr>
            <w:tcW w:w="1363" w:type="dxa"/>
            <w:vAlign w:val="top"/>
            <w:vMerge w:val="restart"/>
            <w:tcBorders>
              <w:bottom w:val="nil"/>
            </w:tcBorders>
          </w:tcPr>
          <w:p>
            <w:pPr>
              <w:pStyle w:val="TableText"/>
              <w:ind w:left="478"/>
              <w:spacing w:before="161" w:line="228" w:lineRule="auto"/>
              <w:rPr/>
            </w:pPr>
            <w:r>
              <w:rPr>
                <w:spacing w:val="3"/>
              </w:rPr>
              <w:t>单位</w:t>
            </w:r>
          </w:p>
        </w:tc>
        <w:tc>
          <w:tcPr>
            <w:tcW w:w="2894" w:type="dxa"/>
            <w:vAlign w:val="top"/>
            <w:gridSpan w:val="3"/>
          </w:tcPr>
          <w:p>
            <w:pPr>
              <w:ind w:left="1353"/>
              <w:spacing w:before="60" w:line="18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2"/>
              </w:rPr>
              <w:t>T</w:t>
            </w:r>
            <w:r>
              <w:rPr>
                <w:rFonts w:ascii="Times New Roman" w:hAnsi="Times New Roman" w:eastAsia="Times New Roman" w:cs="Times New Roman"/>
                <w:sz w:val="13"/>
                <w:szCs w:val="13"/>
                <w:spacing w:val="2"/>
                <w:position w:val="-1"/>
              </w:rPr>
              <w:t>4</w:t>
            </w:r>
          </w:p>
        </w:tc>
        <w:tc>
          <w:tcPr>
            <w:tcW w:w="1278" w:type="dxa"/>
            <w:vAlign w:val="top"/>
            <w:vMerge w:val="restart"/>
            <w:tcBorders>
              <w:bottom w:val="nil"/>
            </w:tcBorders>
          </w:tcPr>
          <w:p>
            <w:pPr>
              <w:pStyle w:val="TableText"/>
              <w:ind w:left="225"/>
              <w:spacing w:before="160" w:line="228" w:lineRule="auto"/>
              <w:rPr/>
            </w:pPr>
            <w:r>
              <w:rPr>
                <w:spacing w:val="7"/>
              </w:rPr>
              <w:t>标准限值</w:t>
            </w:r>
          </w:p>
        </w:tc>
      </w:tr>
      <w:tr>
        <w:trPr>
          <w:trHeight w:val="277" w:hRule="atLeast"/>
        </w:trPr>
        <w:tc>
          <w:tcPr>
            <w:tcW w:w="641" w:type="dxa"/>
            <w:vAlign w:val="top"/>
            <w:vMerge w:val="continue"/>
            <w:tcBorders>
              <w:top w:val="nil"/>
            </w:tcBorders>
          </w:tcPr>
          <w:p>
            <w:pPr>
              <w:rPr>
                <w:rFonts w:ascii="Arial"/>
                <w:sz w:val="21"/>
              </w:rPr>
            </w:pPr>
            <w:r/>
          </w:p>
        </w:tc>
        <w:tc>
          <w:tcPr>
            <w:tcW w:w="2339" w:type="dxa"/>
            <w:vAlign w:val="top"/>
            <w:vMerge w:val="continue"/>
            <w:tcBorders>
              <w:top w:val="nil"/>
            </w:tcBorders>
          </w:tcPr>
          <w:p>
            <w:pPr>
              <w:rPr>
                <w:rFonts w:ascii="Arial"/>
                <w:sz w:val="21"/>
              </w:rPr>
            </w:pPr>
            <w:r/>
          </w:p>
        </w:tc>
        <w:tc>
          <w:tcPr>
            <w:tcW w:w="1363" w:type="dxa"/>
            <w:vAlign w:val="top"/>
            <w:vMerge w:val="continue"/>
            <w:tcBorders>
              <w:top w:val="nil"/>
            </w:tcBorders>
          </w:tcPr>
          <w:p>
            <w:pPr>
              <w:rPr>
                <w:rFonts w:ascii="Arial"/>
                <w:sz w:val="21"/>
              </w:rPr>
            </w:pPr>
            <w:r/>
          </w:p>
        </w:tc>
        <w:tc>
          <w:tcPr>
            <w:tcW w:w="959" w:type="dxa"/>
            <w:vAlign w:val="top"/>
          </w:tcPr>
          <w:p>
            <w:pPr>
              <w:pStyle w:val="TableText"/>
              <w:ind w:left="171"/>
              <w:spacing w:before="31" w:line="217" w:lineRule="auto"/>
              <w:rPr/>
            </w:pPr>
            <w:r>
              <w:rPr>
                <w:spacing w:val="7"/>
              </w:rPr>
              <w:t>表层样</w:t>
            </w:r>
          </w:p>
        </w:tc>
        <w:tc>
          <w:tcPr>
            <w:tcW w:w="960" w:type="dxa"/>
            <w:vAlign w:val="top"/>
          </w:tcPr>
          <w:p>
            <w:pPr>
              <w:pStyle w:val="TableText"/>
              <w:ind w:left="192"/>
              <w:spacing w:before="31" w:line="217" w:lineRule="auto"/>
              <w:rPr/>
            </w:pPr>
            <w:r>
              <w:rPr/>
              <w:t>中层样</w:t>
            </w:r>
          </w:p>
        </w:tc>
        <w:tc>
          <w:tcPr>
            <w:tcW w:w="975" w:type="dxa"/>
            <w:vAlign w:val="top"/>
          </w:tcPr>
          <w:p>
            <w:pPr>
              <w:pStyle w:val="TableText"/>
              <w:ind w:left="180"/>
              <w:spacing w:before="31" w:line="217" w:lineRule="auto"/>
              <w:rPr/>
            </w:pPr>
            <w:r>
              <w:rPr>
                <w:spacing w:val="6"/>
              </w:rPr>
              <w:t>深层样</w:t>
            </w:r>
          </w:p>
        </w:tc>
        <w:tc>
          <w:tcPr>
            <w:tcW w:w="1278" w:type="dxa"/>
            <w:vAlign w:val="top"/>
            <w:vMerge w:val="continue"/>
            <w:tcBorders>
              <w:top w:val="nil"/>
            </w:tcBorders>
          </w:tcPr>
          <w:p>
            <w:pPr>
              <w:rPr>
                <w:rFonts w:ascii="Arial"/>
                <w:sz w:val="21"/>
              </w:rPr>
            </w:pPr>
            <w:r/>
          </w:p>
        </w:tc>
      </w:tr>
      <w:tr>
        <w:trPr>
          <w:trHeight w:val="316" w:hRule="atLeast"/>
        </w:trPr>
        <w:tc>
          <w:tcPr>
            <w:tcW w:w="641" w:type="dxa"/>
            <w:vAlign w:val="top"/>
          </w:tcPr>
          <w:p>
            <w:pPr>
              <w:ind w:left="290"/>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339" w:type="dxa"/>
            <w:vAlign w:val="top"/>
          </w:tcPr>
          <w:p>
            <w:pPr>
              <w:pStyle w:val="TableText"/>
              <w:ind w:left="1067"/>
              <w:spacing w:before="50" w:line="228" w:lineRule="auto"/>
              <w:rPr/>
            </w:pPr>
            <w:r>
              <w:rPr>
                <w:spacing w:val="1"/>
              </w:rPr>
              <w:t>砷</w:t>
            </w:r>
          </w:p>
        </w:tc>
        <w:tc>
          <w:tcPr>
            <w:tcW w:w="1363" w:type="dxa"/>
            <w:vAlign w:val="top"/>
          </w:tcPr>
          <w:p>
            <w:pPr>
              <w:ind w:left="412"/>
              <w:spacing w:before="8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959" w:type="dxa"/>
            <w:vAlign w:val="top"/>
          </w:tcPr>
          <w:p>
            <w:pPr>
              <w:ind w:left="306"/>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8.38</w:t>
            </w:r>
          </w:p>
        </w:tc>
        <w:tc>
          <w:tcPr>
            <w:tcW w:w="960" w:type="dxa"/>
            <w:vAlign w:val="top"/>
          </w:tcPr>
          <w:p>
            <w:pPr>
              <w:ind w:left="307"/>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8.44</w:t>
            </w:r>
          </w:p>
        </w:tc>
        <w:tc>
          <w:tcPr>
            <w:tcW w:w="975" w:type="dxa"/>
            <w:vAlign w:val="top"/>
          </w:tcPr>
          <w:p>
            <w:pPr>
              <w:ind w:left="314"/>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8.67</w:t>
            </w:r>
          </w:p>
        </w:tc>
        <w:tc>
          <w:tcPr>
            <w:tcW w:w="1278" w:type="dxa"/>
            <w:vAlign w:val="top"/>
          </w:tcPr>
          <w:p>
            <w:pPr>
              <w:ind w:left="540"/>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r>
      <w:tr>
        <w:trPr>
          <w:trHeight w:val="316" w:hRule="atLeast"/>
        </w:trPr>
        <w:tc>
          <w:tcPr>
            <w:tcW w:w="641" w:type="dxa"/>
            <w:vAlign w:val="top"/>
          </w:tcPr>
          <w:p>
            <w:pPr>
              <w:ind w:left="270"/>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339" w:type="dxa"/>
            <w:vAlign w:val="top"/>
          </w:tcPr>
          <w:p>
            <w:pPr>
              <w:pStyle w:val="TableText"/>
              <w:ind w:left="1066"/>
              <w:spacing w:before="50" w:line="231" w:lineRule="auto"/>
              <w:rPr/>
            </w:pPr>
            <w:r>
              <w:rPr>
                <w:spacing w:val="2"/>
              </w:rPr>
              <w:t>镉</w:t>
            </w:r>
          </w:p>
        </w:tc>
        <w:tc>
          <w:tcPr>
            <w:tcW w:w="1363" w:type="dxa"/>
            <w:vAlign w:val="top"/>
          </w:tcPr>
          <w:p>
            <w:pPr>
              <w:ind w:left="412"/>
              <w:spacing w:before="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959" w:type="dxa"/>
            <w:vAlign w:val="top"/>
          </w:tcPr>
          <w:p>
            <w:pPr>
              <w:ind w:left="300"/>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0.26</w:t>
            </w:r>
          </w:p>
        </w:tc>
        <w:tc>
          <w:tcPr>
            <w:tcW w:w="960" w:type="dxa"/>
            <w:vAlign w:val="top"/>
          </w:tcPr>
          <w:p>
            <w:pPr>
              <w:ind w:left="301"/>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0.24</w:t>
            </w:r>
          </w:p>
        </w:tc>
        <w:tc>
          <w:tcPr>
            <w:tcW w:w="975" w:type="dxa"/>
            <w:vAlign w:val="top"/>
          </w:tcPr>
          <w:p>
            <w:pPr>
              <w:ind w:left="309"/>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0.27</w:t>
            </w:r>
          </w:p>
        </w:tc>
        <w:tc>
          <w:tcPr>
            <w:tcW w:w="1278" w:type="dxa"/>
            <w:vAlign w:val="top"/>
          </w:tcPr>
          <w:p>
            <w:pPr>
              <w:ind w:left="540"/>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r>
      <w:tr>
        <w:trPr>
          <w:trHeight w:val="316" w:hRule="atLeast"/>
        </w:trPr>
        <w:tc>
          <w:tcPr>
            <w:tcW w:w="641" w:type="dxa"/>
            <w:vAlign w:val="top"/>
          </w:tcPr>
          <w:p>
            <w:pPr>
              <w:ind w:left="269"/>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2339" w:type="dxa"/>
            <w:vAlign w:val="top"/>
          </w:tcPr>
          <w:p>
            <w:pPr>
              <w:pStyle w:val="TableText"/>
              <w:ind w:left="1068"/>
              <w:spacing w:before="51" w:line="229" w:lineRule="auto"/>
              <w:rPr/>
            </w:pPr>
            <w:r>
              <w:rPr/>
              <w:t>铜</w:t>
            </w:r>
          </w:p>
        </w:tc>
        <w:tc>
          <w:tcPr>
            <w:tcW w:w="1363" w:type="dxa"/>
            <w:vAlign w:val="top"/>
          </w:tcPr>
          <w:p>
            <w:pPr>
              <w:ind w:left="412"/>
              <w:spacing w:before="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959" w:type="dxa"/>
            <w:vAlign w:val="top"/>
          </w:tcPr>
          <w:p>
            <w:pPr>
              <w:ind w:left="376"/>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22</w:t>
            </w:r>
          </w:p>
        </w:tc>
        <w:tc>
          <w:tcPr>
            <w:tcW w:w="960" w:type="dxa"/>
            <w:vAlign w:val="top"/>
          </w:tcPr>
          <w:p>
            <w:pPr>
              <w:ind w:left="377"/>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29</w:t>
            </w:r>
          </w:p>
        </w:tc>
        <w:tc>
          <w:tcPr>
            <w:tcW w:w="975" w:type="dxa"/>
            <w:vAlign w:val="top"/>
          </w:tcPr>
          <w:p>
            <w:pPr>
              <w:ind w:left="385"/>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1278" w:type="dxa"/>
            <w:vAlign w:val="top"/>
          </w:tcPr>
          <w:p>
            <w:pPr>
              <w:ind w:left="397"/>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18000</w:t>
            </w:r>
          </w:p>
        </w:tc>
      </w:tr>
      <w:tr>
        <w:trPr>
          <w:trHeight w:val="317" w:hRule="atLeast"/>
        </w:trPr>
        <w:tc>
          <w:tcPr>
            <w:tcW w:w="641" w:type="dxa"/>
            <w:vAlign w:val="top"/>
          </w:tcPr>
          <w:p>
            <w:pPr>
              <w:ind w:left="276"/>
              <w:spacing w:before="9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2339" w:type="dxa"/>
            <w:vAlign w:val="top"/>
          </w:tcPr>
          <w:p>
            <w:pPr>
              <w:pStyle w:val="TableText"/>
              <w:ind w:left="1068"/>
              <w:spacing w:before="54" w:line="232" w:lineRule="auto"/>
              <w:rPr/>
            </w:pPr>
            <w:r>
              <w:rPr/>
              <w:t>铅</w:t>
            </w:r>
          </w:p>
        </w:tc>
        <w:tc>
          <w:tcPr>
            <w:tcW w:w="1363" w:type="dxa"/>
            <w:vAlign w:val="top"/>
          </w:tcPr>
          <w:p>
            <w:pPr>
              <w:ind w:left="412"/>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959" w:type="dxa"/>
            <w:vAlign w:val="top"/>
          </w:tcPr>
          <w:p>
            <w:pPr>
              <w:ind w:left="29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27.4</w:t>
            </w:r>
          </w:p>
        </w:tc>
        <w:tc>
          <w:tcPr>
            <w:tcW w:w="960" w:type="dxa"/>
            <w:vAlign w:val="top"/>
          </w:tcPr>
          <w:p>
            <w:pPr>
              <w:ind w:left="29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26.8</w:t>
            </w:r>
          </w:p>
        </w:tc>
        <w:tc>
          <w:tcPr>
            <w:tcW w:w="975" w:type="dxa"/>
            <w:vAlign w:val="top"/>
          </w:tcPr>
          <w:p>
            <w:pPr>
              <w:ind w:left="305"/>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26.5</w:t>
            </w:r>
          </w:p>
        </w:tc>
        <w:tc>
          <w:tcPr>
            <w:tcW w:w="1278" w:type="dxa"/>
            <w:vAlign w:val="top"/>
          </w:tcPr>
          <w:p>
            <w:pPr>
              <w:ind w:left="49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800</w:t>
            </w:r>
          </w:p>
        </w:tc>
      </w:tr>
      <w:tr>
        <w:trPr>
          <w:trHeight w:val="317" w:hRule="atLeast"/>
        </w:trPr>
        <w:tc>
          <w:tcPr>
            <w:tcW w:w="641" w:type="dxa"/>
            <w:vAlign w:val="top"/>
          </w:tcPr>
          <w:p>
            <w:pPr>
              <w:ind w:left="274"/>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2339" w:type="dxa"/>
            <w:vAlign w:val="top"/>
          </w:tcPr>
          <w:p>
            <w:pPr>
              <w:pStyle w:val="TableText"/>
              <w:ind w:left="1069"/>
              <w:spacing w:before="54" w:line="228" w:lineRule="auto"/>
              <w:rPr/>
            </w:pPr>
            <w:r>
              <w:rPr/>
              <w:t>汞</w:t>
            </w:r>
          </w:p>
        </w:tc>
        <w:tc>
          <w:tcPr>
            <w:tcW w:w="1363" w:type="dxa"/>
            <w:vAlign w:val="top"/>
          </w:tcPr>
          <w:p>
            <w:pPr>
              <w:ind w:left="412"/>
              <w:spacing w:before="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959" w:type="dxa"/>
            <w:vAlign w:val="top"/>
          </w:tcPr>
          <w:p>
            <w:pPr>
              <w:ind w:left="252"/>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114</w:t>
            </w:r>
          </w:p>
        </w:tc>
        <w:tc>
          <w:tcPr>
            <w:tcW w:w="960" w:type="dxa"/>
            <w:vAlign w:val="top"/>
          </w:tcPr>
          <w:p>
            <w:pPr>
              <w:ind w:left="253"/>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0.110</w:t>
            </w:r>
          </w:p>
        </w:tc>
        <w:tc>
          <w:tcPr>
            <w:tcW w:w="975" w:type="dxa"/>
            <w:vAlign w:val="top"/>
          </w:tcPr>
          <w:p>
            <w:pPr>
              <w:ind w:left="261"/>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2"/>
              </w:rPr>
              <w:t xml:space="preserve"> </w:t>
            </w:r>
            <w:r>
              <w:rPr>
                <w:rFonts w:ascii="Times New Roman" w:hAnsi="Times New Roman" w:eastAsia="Times New Roman" w:cs="Times New Roman"/>
                <w:sz w:val="20"/>
                <w:szCs w:val="20"/>
                <w:spacing w:val="-4"/>
              </w:rPr>
              <w:t>112</w:t>
            </w:r>
          </w:p>
        </w:tc>
        <w:tc>
          <w:tcPr>
            <w:tcW w:w="1278" w:type="dxa"/>
            <w:vAlign w:val="top"/>
          </w:tcPr>
          <w:p>
            <w:pPr>
              <w:ind w:left="539"/>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38</w:t>
            </w:r>
          </w:p>
        </w:tc>
      </w:tr>
      <w:tr>
        <w:trPr>
          <w:trHeight w:val="316" w:hRule="atLeast"/>
        </w:trPr>
        <w:tc>
          <w:tcPr>
            <w:tcW w:w="641" w:type="dxa"/>
            <w:vAlign w:val="top"/>
          </w:tcPr>
          <w:p>
            <w:pPr>
              <w:ind w:left="273"/>
              <w:spacing w:before="9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2339" w:type="dxa"/>
            <w:vAlign w:val="top"/>
          </w:tcPr>
          <w:p>
            <w:pPr>
              <w:pStyle w:val="TableText"/>
              <w:ind w:left="1067"/>
              <w:spacing w:before="53" w:line="228" w:lineRule="auto"/>
              <w:rPr/>
            </w:pPr>
            <w:r>
              <w:rPr>
                <w:spacing w:val="1"/>
              </w:rPr>
              <w:t>镍</w:t>
            </w:r>
          </w:p>
        </w:tc>
        <w:tc>
          <w:tcPr>
            <w:tcW w:w="1363" w:type="dxa"/>
            <w:vAlign w:val="top"/>
          </w:tcPr>
          <w:p>
            <w:pPr>
              <w:ind w:left="412"/>
              <w:spacing w:before="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959" w:type="dxa"/>
            <w:vAlign w:val="top"/>
          </w:tcPr>
          <w:p>
            <w:pPr>
              <w:ind w:left="381"/>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32</w:t>
            </w:r>
          </w:p>
        </w:tc>
        <w:tc>
          <w:tcPr>
            <w:tcW w:w="960" w:type="dxa"/>
            <w:vAlign w:val="top"/>
          </w:tcPr>
          <w:p>
            <w:pPr>
              <w:ind w:left="382"/>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36</w:t>
            </w:r>
          </w:p>
        </w:tc>
        <w:tc>
          <w:tcPr>
            <w:tcW w:w="975" w:type="dxa"/>
            <w:vAlign w:val="top"/>
          </w:tcPr>
          <w:p>
            <w:pPr>
              <w:ind w:left="389"/>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34</w:t>
            </w:r>
          </w:p>
        </w:tc>
        <w:tc>
          <w:tcPr>
            <w:tcW w:w="1278" w:type="dxa"/>
            <w:vAlign w:val="top"/>
          </w:tcPr>
          <w:p>
            <w:pPr>
              <w:ind w:left="486"/>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900</w:t>
            </w:r>
          </w:p>
        </w:tc>
      </w:tr>
      <w:tr>
        <w:trPr>
          <w:trHeight w:val="317" w:hRule="atLeast"/>
        </w:trPr>
        <w:tc>
          <w:tcPr>
            <w:tcW w:w="641" w:type="dxa"/>
            <w:vAlign w:val="top"/>
          </w:tcPr>
          <w:p>
            <w:pPr>
              <w:ind w:left="27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2339" w:type="dxa"/>
            <w:vAlign w:val="top"/>
          </w:tcPr>
          <w:p>
            <w:pPr>
              <w:pStyle w:val="TableText"/>
              <w:ind w:left="861"/>
              <w:spacing w:before="54" w:line="226" w:lineRule="auto"/>
              <w:rPr/>
            </w:pPr>
            <w:r>
              <w:rPr>
                <w:spacing w:val="6"/>
              </w:rPr>
              <w:t>六价铬</w:t>
            </w:r>
          </w:p>
        </w:tc>
        <w:tc>
          <w:tcPr>
            <w:tcW w:w="1363" w:type="dxa"/>
            <w:vAlign w:val="top"/>
          </w:tcPr>
          <w:p>
            <w:pPr>
              <w:ind w:left="412"/>
              <w:spacing w:before="8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959" w:type="dxa"/>
            <w:vAlign w:val="top"/>
          </w:tcPr>
          <w:p>
            <w:pPr>
              <w:pStyle w:val="TableText"/>
              <w:ind w:left="175"/>
              <w:spacing w:before="56" w:line="228" w:lineRule="auto"/>
              <w:rPr/>
            </w:pPr>
            <w:r>
              <w:rPr>
                <w:spacing w:val="5"/>
              </w:rPr>
              <w:t>未检出</w:t>
            </w:r>
          </w:p>
        </w:tc>
        <w:tc>
          <w:tcPr>
            <w:tcW w:w="960" w:type="dxa"/>
            <w:vAlign w:val="top"/>
          </w:tcPr>
          <w:p>
            <w:pPr>
              <w:pStyle w:val="TableText"/>
              <w:ind w:left="176"/>
              <w:spacing w:before="56" w:line="228" w:lineRule="auto"/>
              <w:rPr/>
            </w:pPr>
            <w:r>
              <w:rPr>
                <w:spacing w:val="5"/>
              </w:rPr>
              <w:t>未检出</w:t>
            </w:r>
          </w:p>
        </w:tc>
        <w:tc>
          <w:tcPr>
            <w:tcW w:w="975" w:type="dxa"/>
            <w:vAlign w:val="top"/>
          </w:tcPr>
          <w:p>
            <w:pPr>
              <w:pStyle w:val="TableText"/>
              <w:ind w:left="183"/>
              <w:spacing w:before="56" w:line="228" w:lineRule="auto"/>
              <w:rPr/>
            </w:pPr>
            <w:r>
              <w:rPr>
                <w:spacing w:val="5"/>
              </w:rPr>
              <w:t>未检出</w:t>
            </w:r>
          </w:p>
        </w:tc>
        <w:tc>
          <w:tcPr>
            <w:tcW w:w="1278" w:type="dxa"/>
            <w:vAlign w:val="top"/>
          </w:tcPr>
          <w:p>
            <w:pPr>
              <w:ind w:left="515"/>
              <w:spacing w:before="9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5.7</w:t>
            </w:r>
          </w:p>
        </w:tc>
      </w:tr>
      <w:tr>
        <w:trPr>
          <w:trHeight w:val="321" w:hRule="atLeast"/>
        </w:trPr>
        <w:tc>
          <w:tcPr>
            <w:tcW w:w="641" w:type="dxa"/>
            <w:vAlign w:val="top"/>
          </w:tcPr>
          <w:p>
            <w:pPr>
              <w:ind w:left="27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2339" w:type="dxa"/>
            <w:vAlign w:val="top"/>
          </w:tcPr>
          <w:p>
            <w:pPr>
              <w:pStyle w:val="TableText"/>
              <w:ind w:left="339"/>
              <w:spacing w:before="54" w:line="228" w:lineRule="auto"/>
              <w:rPr/>
            </w:pPr>
            <w:r>
              <w:rPr>
                <w:spacing w:val="5"/>
              </w:rPr>
              <w:t>石油烃（</w:t>
            </w:r>
            <w:r>
              <w:rPr>
                <w:rFonts w:ascii="Times New Roman" w:hAnsi="Times New Roman" w:eastAsia="Times New Roman" w:cs="Times New Roman"/>
                <w:spacing w:val="5"/>
              </w:rPr>
              <w:t>C</w:t>
            </w:r>
            <w:r>
              <w:rPr>
                <w:rFonts w:ascii="Times New Roman" w:hAnsi="Times New Roman" w:eastAsia="Times New Roman" w:cs="Times New Roman"/>
                <w:sz w:val="13"/>
                <w:szCs w:val="13"/>
                <w:spacing w:val="5"/>
              </w:rPr>
              <w:t>10</w:t>
            </w:r>
            <w:r>
              <w:rPr>
                <w:rFonts w:ascii="Times New Roman" w:hAnsi="Times New Roman" w:eastAsia="Times New Roman" w:cs="Times New Roman"/>
                <w:spacing w:val="5"/>
              </w:rPr>
              <w:t>-C</w:t>
            </w:r>
            <w:r>
              <w:rPr>
                <w:rFonts w:ascii="Times New Roman" w:hAnsi="Times New Roman" w:eastAsia="Times New Roman" w:cs="Times New Roman"/>
                <w:sz w:val="13"/>
                <w:szCs w:val="13"/>
                <w:spacing w:val="5"/>
                <w:position w:val="-1"/>
              </w:rPr>
              <w:t>40</w:t>
            </w:r>
            <w:r>
              <w:rPr>
                <w:spacing w:val="5"/>
              </w:rPr>
              <w:t>）</w:t>
            </w:r>
          </w:p>
        </w:tc>
        <w:tc>
          <w:tcPr>
            <w:tcW w:w="1363" w:type="dxa"/>
            <w:vAlign w:val="top"/>
          </w:tcPr>
          <w:p>
            <w:pPr>
              <w:ind w:left="412"/>
              <w:spacing w:before="8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959" w:type="dxa"/>
            <w:vAlign w:val="top"/>
          </w:tcPr>
          <w:p>
            <w:pPr>
              <w:pStyle w:val="TableText"/>
              <w:ind w:left="175"/>
              <w:spacing w:before="55" w:line="228" w:lineRule="auto"/>
              <w:rPr/>
            </w:pPr>
            <w:r>
              <w:rPr>
                <w:spacing w:val="5"/>
              </w:rPr>
              <w:t>未检出</w:t>
            </w:r>
          </w:p>
        </w:tc>
        <w:tc>
          <w:tcPr>
            <w:tcW w:w="960" w:type="dxa"/>
            <w:vAlign w:val="top"/>
          </w:tcPr>
          <w:p>
            <w:pPr>
              <w:pStyle w:val="TableText"/>
              <w:ind w:left="176"/>
              <w:spacing w:before="55" w:line="228" w:lineRule="auto"/>
              <w:rPr/>
            </w:pPr>
            <w:r>
              <w:rPr>
                <w:spacing w:val="5"/>
              </w:rPr>
              <w:t>未检出</w:t>
            </w:r>
          </w:p>
        </w:tc>
        <w:tc>
          <w:tcPr>
            <w:tcW w:w="975" w:type="dxa"/>
            <w:vAlign w:val="top"/>
          </w:tcPr>
          <w:p>
            <w:pPr>
              <w:pStyle w:val="TableText"/>
              <w:ind w:left="183"/>
              <w:spacing w:before="55" w:line="228" w:lineRule="auto"/>
              <w:rPr/>
            </w:pPr>
            <w:r>
              <w:rPr>
                <w:spacing w:val="5"/>
              </w:rPr>
              <w:t>未检出</w:t>
            </w:r>
          </w:p>
        </w:tc>
        <w:tc>
          <w:tcPr>
            <w:tcW w:w="1278" w:type="dxa"/>
            <w:vAlign w:val="top"/>
          </w:tcPr>
          <w:p>
            <w:pPr>
              <w:ind w:left="42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4500</w:t>
            </w:r>
          </w:p>
        </w:tc>
      </w:tr>
    </w:tbl>
    <w:p>
      <w:pPr>
        <w:ind w:left="2772"/>
        <w:spacing w:before="34" w:line="213" w:lineRule="auto"/>
        <w:rPr>
          <w:rFonts w:ascii="Times New Roman" w:hAnsi="Times New Roman" w:eastAsia="Times New Roman" w:cs="Times New Roman"/>
          <w:sz w:val="24"/>
          <w:szCs w:val="24"/>
        </w:rPr>
      </w:pPr>
      <w:r>
        <w:rPr>
          <w:rFonts w:ascii="SimSun" w:hAnsi="SimSun" w:eastAsia="SimSun" w:cs="SimSun"/>
          <w:sz w:val="24"/>
          <w:szCs w:val="24"/>
          <w:b/>
          <w:bCs/>
          <w:spacing w:val="-2"/>
        </w:rPr>
        <w:t>表</w:t>
      </w:r>
      <w:r>
        <w:rPr>
          <w:rFonts w:ascii="SimSun" w:hAnsi="SimSun" w:eastAsia="SimSun" w:cs="SimSun"/>
          <w:sz w:val="24"/>
          <w:szCs w:val="24"/>
          <w:spacing w:val="-40"/>
        </w:rPr>
        <w:t xml:space="preserve"> </w:t>
      </w:r>
      <w:r>
        <w:rPr>
          <w:rFonts w:ascii="Times New Roman" w:hAnsi="Times New Roman" w:eastAsia="Times New Roman" w:cs="Times New Roman"/>
          <w:sz w:val="24"/>
          <w:szCs w:val="24"/>
          <w:b/>
          <w:bCs/>
          <w:spacing w:val="-2"/>
        </w:rPr>
        <w:t>4.2-17        </w:t>
      </w:r>
      <w:r>
        <w:rPr>
          <w:rFonts w:ascii="SimSun" w:hAnsi="SimSun" w:eastAsia="SimSun" w:cs="SimSun"/>
          <w:sz w:val="24"/>
          <w:szCs w:val="24"/>
          <w:b/>
          <w:bCs/>
          <w:spacing w:val="-2"/>
        </w:rPr>
        <w:t>土壤检测结果</w:t>
      </w:r>
      <w:r>
        <w:rPr>
          <w:rFonts w:ascii="SimSun" w:hAnsi="SimSun" w:eastAsia="SimSun" w:cs="SimSun"/>
          <w:sz w:val="24"/>
          <w:szCs w:val="24"/>
          <w:spacing w:val="-51"/>
        </w:rPr>
        <w:t xml:space="preserve"> </w:t>
      </w:r>
      <w:r>
        <w:rPr>
          <w:rFonts w:ascii="Times New Roman" w:hAnsi="Times New Roman" w:eastAsia="Times New Roman" w:cs="Times New Roman"/>
          <w:sz w:val="24"/>
          <w:szCs w:val="24"/>
          <w:b/>
          <w:bCs/>
          <w:spacing w:val="-2"/>
        </w:rPr>
        <w:t>4</w:t>
      </w:r>
    </w:p>
    <w:tbl>
      <w:tblPr>
        <w:tblStyle w:val="TableNormal"/>
        <w:tblW w:w="8513" w:type="dxa"/>
        <w:tblInd w:w="19"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80"/>
        <w:gridCol w:w="1744"/>
        <w:gridCol w:w="1017"/>
        <w:gridCol w:w="719"/>
        <w:gridCol w:w="719"/>
        <w:gridCol w:w="721"/>
        <w:gridCol w:w="719"/>
        <w:gridCol w:w="719"/>
        <w:gridCol w:w="721"/>
        <w:gridCol w:w="954"/>
      </w:tblGrid>
      <w:tr>
        <w:trPr>
          <w:trHeight w:val="251" w:hRule="atLeast"/>
        </w:trPr>
        <w:tc>
          <w:tcPr>
            <w:tcW w:w="480" w:type="dxa"/>
            <w:vAlign w:val="top"/>
            <w:vMerge w:val="restart"/>
            <w:tcBorders>
              <w:bottom w:val="nil"/>
            </w:tcBorders>
          </w:tcPr>
          <w:p>
            <w:pPr>
              <w:pStyle w:val="TableText"/>
              <w:ind w:left="34"/>
              <w:spacing w:before="161" w:line="229" w:lineRule="auto"/>
              <w:rPr/>
            </w:pPr>
            <w:r>
              <w:rPr>
                <w:spacing w:val="5"/>
              </w:rPr>
              <w:t>序号</w:t>
            </w:r>
          </w:p>
        </w:tc>
        <w:tc>
          <w:tcPr>
            <w:tcW w:w="1744" w:type="dxa"/>
            <w:vAlign w:val="top"/>
            <w:vMerge w:val="restart"/>
            <w:tcBorders>
              <w:bottom w:val="nil"/>
            </w:tcBorders>
          </w:tcPr>
          <w:p>
            <w:pPr>
              <w:pStyle w:val="TableText"/>
              <w:ind w:left="455"/>
              <w:spacing w:before="161" w:line="228" w:lineRule="auto"/>
              <w:rPr/>
            </w:pPr>
            <w:r>
              <w:rPr>
                <w:spacing w:val="7"/>
              </w:rPr>
              <w:t>检测因子</w:t>
            </w:r>
          </w:p>
        </w:tc>
        <w:tc>
          <w:tcPr>
            <w:tcW w:w="1017" w:type="dxa"/>
            <w:vAlign w:val="top"/>
            <w:vMerge w:val="restart"/>
            <w:tcBorders>
              <w:bottom w:val="nil"/>
            </w:tcBorders>
          </w:tcPr>
          <w:p>
            <w:pPr>
              <w:pStyle w:val="TableText"/>
              <w:ind w:left="304"/>
              <w:spacing w:before="162" w:line="228" w:lineRule="auto"/>
              <w:rPr/>
            </w:pPr>
            <w:r>
              <w:rPr>
                <w:spacing w:val="3"/>
              </w:rPr>
              <w:t>单位</w:t>
            </w:r>
          </w:p>
        </w:tc>
        <w:tc>
          <w:tcPr>
            <w:tcW w:w="2159" w:type="dxa"/>
            <w:vAlign w:val="top"/>
            <w:gridSpan w:val="3"/>
          </w:tcPr>
          <w:p>
            <w:pPr>
              <w:ind w:left="985"/>
              <w:spacing w:before="58" w:line="190"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2"/>
              </w:rPr>
              <w:t>T</w:t>
            </w:r>
            <w:r>
              <w:rPr>
                <w:rFonts w:ascii="Times New Roman" w:hAnsi="Times New Roman" w:eastAsia="Times New Roman" w:cs="Times New Roman"/>
                <w:sz w:val="13"/>
                <w:szCs w:val="13"/>
                <w:spacing w:val="2"/>
                <w:position w:val="-1"/>
              </w:rPr>
              <w:t>6</w:t>
            </w:r>
          </w:p>
        </w:tc>
        <w:tc>
          <w:tcPr>
            <w:tcW w:w="2159" w:type="dxa"/>
            <w:vAlign w:val="top"/>
            <w:gridSpan w:val="3"/>
          </w:tcPr>
          <w:p>
            <w:pPr>
              <w:ind w:left="986"/>
              <w:spacing w:before="58" w:line="190"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2"/>
              </w:rPr>
              <w:t>T</w:t>
            </w:r>
            <w:r>
              <w:rPr>
                <w:rFonts w:ascii="Times New Roman" w:hAnsi="Times New Roman" w:eastAsia="Times New Roman" w:cs="Times New Roman"/>
                <w:sz w:val="13"/>
                <w:szCs w:val="13"/>
                <w:spacing w:val="2"/>
                <w:position w:val="-1"/>
              </w:rPr>
              <w:t>7</w:t>
            </w:r>
          </w:p>
        </w:tc>
        <w:tc>
          <w:tcPr>
            <w:tcW w:w="954" w:type="dxa"/>
            <w:vAlign w:val="top"/>
            <w:vMerge w:val="restart"/>
            <w:tcBorders>
              <w:bottom w:val="nil"/>
            </w:tcBorders>
          </w:tcPr>
          <w:p>
            <w:pPr>
              <w:pStyle w:val="TableText"/>
              <w:ind w:left="63"/>
              <w:spacing w:before="161" w:line="228" w:lineRule="auto"/>
              <w:rPr/>
            </w:pPr>
            <w:r>
              <w:rPr>
                <w:spacing w:val="7"/>
              </w:rPr>
              <w:t>标准限值</w:t>
            </w:r>
          </w:p>
        </w:tc>
      </w:tr>
      <w:tr>
        <w:trPr>
          <w:trHeight w:val="277" w:hRule="atLeast"/>
        </w:trPr>
        <w:tc>
          <w:tcPr>
            <w:tcW w:w="480" w:type="dxa"/>
            <w:vAlign w:val="top"/>
            <w:vMerge w:val="continue"/>
            <w:tcBorders>
              <w:top w:val="nil"/>
            </w:tcBorders>
          </w:tcPr>
          <w:p>
            <w:pPr>
              <w:rPr>
                <w:rFonts w:ascii="Arial"/>
                <w:sz w:val="21"/>
              </w:rPr>
            </w:pPr>
            <w:r/>
          </w:p>
        </w:tc>
        <w:tc>
          <w:tcPr>
            <w:tcW w:w="1744" w:type="dxa"/>
            <w:vAlign w:val="top"/>
            <w:vMerge w:val="continue"/>
            <w:tcBorders>
              <w:top w:val="nil"/>
            </w:tcBorders>
          </w:tcPr>
          <w:p>
            <w:pPr>
              <w:rPr>
                <w:rFonts w:ascii="Arial"/>
                <w:sz w:val="21"/>
              </w:rPr>
            </w:pPr>
            <w:r/>
          </w:p>
        </w:tc>
        <w:tc>
          <w:tcPr>
            <w:tcW w:w="1017" w:type="dxa"/>
            <w:vAlign w:val="top"/>
            <w:vMerge w:val="continue"/>
            <w:tcBorders>
              <w:top w:val="nil"/>
            </w:tcBorders>
          </w:tcPr>
          <w:p>
            <w:pPr>
              <w:rPr>
                <w:rFonts w:ascii="Arial"/>
                <w:sz w:val="21"/>
              </w:rPr>
            </w:pPr>
            <w:r/>
          </w:p>
        </w:tc>
        <w:tc>
          <w:tcPr>
            <w:tcW w:w="719" w:type="dxa"/>
            <w:vAlign w:val="top"/>
          </w:tcPr>
          <w:p>
            <w:pPr>
              <w:pStyle w:val="TableText"/>
              <w:ind w:left="48"/>
              <w:spacing w:before="30" w:line="218" w:lineRule="auto"/>
              <w:rPr/>
            </w:pPr>
            <w:r>
              <w:rPr>
                <w:spacing w:val="7"/>
              </w:rPr>
              <w:t>表层样</w:t>
            </w:r>
          </w:p>
        </w:tc>
        <w:tc>
          <w:tcPr>
            <w:tcW w:w="719" w:type="dxa"/>
            <w:vAlign w:val="top"/>
          </w:tcPr>
          <w:p>
            <w:pPr>
              <w:pStyle w:val="TableText"/>
              <w:ind w:left="69"/>
              <w:spacing w:before="30" w:line="218" w:lineRule="auto"/>
              <w:rPr/>
            </w:pPr>
            <w:r>
              <w:rPr/>
              <w:t>中层样</w:t>
            </w:r>
          </w:p>
        </w:tc>
        <w:tc>
          <w:tcPr>
            <w:tcW w:w="721" w:type="dxa"/>
            <w:vAlign w:val="top"/>
          </w:tcPr>
          <w:p>
            <w:pPr>
              <w:pStyle w:val="TableText"/>
              <w:ind w:left="50"/>
              <w:spacing w:before="30" w:line="218" w:lineRule="auto"/>
              <w:rPr/>
            </w:pPr>
            <w:r>
              <w:rPr>
                <w:spacing w:val="6"/>
              </w:rPr>
              <w:t>深层样</w:t>
            </w:r>
          </w:p>
        </w:tc>
        <w:tc>
          <w:tcPr>
            <w:tcW w:w="719" w:type="dxa"/>
            <w:vAlign w:val="top"/>
          </w:tcPr>
          <w:p>
            <w:pPr>
              <w:pStyle w:val="TableText"/>
              <w:ind w:left="49"/>
              <w:spacing w:before="30" w:line="218" w:lineRule="auto"/>
              <w:rPr/>
            </w:pPr>
            <w:r>
              <w:rPr>
                <w:spacing w:val="7"/>
              </w:rPr>
              <w:t>表层样</w:t>
            </w:r>
          </w:p>
        </w:tc>
        <w:tc>
          <w:tcPr>
            <w:tcW w:w="719" w:type="dxa"/>
            <w:vAlign w:val="top"/>
          </w:tcPr>
          <w:p>
            <w:pPr>
              <w:pStyle w:val="TableText"/>
              <w:ind w:left="70"/>
              <w:spacing w:before="30" w:line="218" w:lineRule="auto"/>
              <w:rPr/>
            </w:pPr>
            <w:r>
              <w:rPr/>
              <w:t>中层样</w:t>
            </w:r>
          </w:p>
        </w:tc>
        <w:tc>
          <w:tcPr>
            <w:tcW w:w="721" w:type="dxa"/>
            <w:vAlign w:val="top"/>
          </w:tcPr>
          <w:p>
            <w:pPr>
              <w:pStyle w:val="TableText"/>
              <w:ind w:left="51"/>
              <w:spacing w:before="30" w:line="218" w:lineRule="auto"/>
              <w:rPr/>
            </w:pPr>
            <w:r>
              <w:rPr>
                <w:spacing w:val="6"/>
              </w:rPr>
              <w:t>深层样</w:t>
            </w:r>
          </w:p>
        </w:tc>
        <w:tc>
          <w:tcPr>
            <w:tcW w:w="954" w:type="dxa"/>
            <w:vAlign w:val="top"/>
            <w:vMerge w:val="continue"/>
            <w:tcBorders>
              <w:top w:val="nil"/>
            </w:tcBorders>
          </w:tcPr>
          <w:p>
            <w:pPr>
              <w:rPr>
                <w:rFonts w:ascii="Arial"/>
                <w:sz w:val="21"/>
              </w:rPr>
            </w:pPr>
            <w:r/>
          </w:p>
        </w:tc>
      </w:tr>
      <w:tr>
        <w:trPr>
          <w:trHeight w:val="316" w:hRule="atLeast"/>
        </w:trPr>
        <w:tc>
          <w:tcPr>
            <w:tcW w:w="480" w:type="dxa"/>
            <w:vAlign w:val="top"/>
          </w:tcPr>
          <w:p>
            <w:pPr>
              <w:ind w:left="210"/>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744" w:type="dxa"/>
            <w:vAlign w:val="top"/>
          </w:tcPr>
          <w:p>
            <w:pPr>
              <w:pStyle w:val="TableText"/>
              <w:ind w:left="769"/>
              <w:spacing w:before="51" w:line="228" w:lineRule="auto"/>
              <w:rPr/>
            </w:pPr>
            <w:r>
              <w:rPr>
                <w:spacing w:val="1"/>
              </w:rPr>
              <w:t>砷</w:t>
            </w:r>
          </w:p>
        </w:tc>
        <w:tc>
          <w:tcPr>
            <w:tcW w:w="1017" w:type="dxa"/>
            <w:vAlign w:val="top"/>
          </w:tcPr>
          <w:p>
            <w:pPr>
              <w:ind w:left="238"/>
              <w:spacing w:before="8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9" w:type="dxa"/>
            <w:vAlign w:val="top"/>
          </w:tcPr>
          <w:p>
            <w:pPr>
              <w:ind w:left="202"/>
              <w:spacing w:before="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11.6</w:t>
            </w:r>
          </w:p>
        </w:tc>
        <w:tc>
          <w:tcPr>
            <w:tcW w:w="719" w:type="dxa"/>
            <w:vAlign w:val="top"/>
          </w:tcPr>
          <w:p>
            <w:pPr>
              <w:ind w:left="198"/>
              <w:spacing w:before="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12.1</w:t>
            </w:r>
          </w:p>
        </w:tc>
        <w:tc>
          <w:tcPr>
            <w:tcW w:w="721" w:type="dxa"/>
            <w:vAlign w:val="top"/>
          </w:tcPr>
          <w:p>
            <w:pPr>
              <w:ind w:left="204"/>
              <w:spacing w:before="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11.3</w:t>
            </w:r>
          </w:p>
        </w:tc>
        <w:tc>
          <w:tcPr>
            <w:tcW w:w="719" w:type="dxa"/>
            <w:vAlign w:val="top"/>
          </w:tcPr>
          <w:p>
            <w:pPr>
              <w:ind w:left="198"/>
              <w:spacing w:before="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10.4</w:t>
            </w:r>
          </w:p>
        </w:tc>
        <w:tc>
          <w:tcPr>
            <w:tcW w:w="719" w:type="dxa"/>
            <w:vAlign w:val="top"/>
          </w:tcPr>
          <w:p>
            <w:pPr>
              <w:ind w:left="199"/>
              <w:spacing w:before="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10.8</w:t>
            </w:r>
          </w:p>
        </w:tc>
        <w:tc>
          <w:tcPr>
            <w:tcW w:w="721" w:type="dxa"/>
            <w:vAlign w:val="top"/>
          </w:tcPr>
          <w:p>
            <w:pPr>
              <w:ind w:left="205"/>
              <w:spacing w:before="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11.1</w:t>
            </w:r>
          </w:p>
        </w:tc>
        <w:tc>
          <w:tcPr>
            <w:tcW w:w="954" w:type="dxa"/>
            <w:vAlign w:val="top"/>
          </w:tcPr>
          <w:p>
            <w:pPr>
              <w:ind w:left="378"/>
              <w:spacing w:before="8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r>
      <w:tr>
        <w:trPr>
          <w:trHeight w:val="316" w:hRule="atLeast"/>
        </w:trPr>
        <w:tc>
          <w:tcPr>
            <w:tcW w:w="480" w:type="dxa"/>
            <w:vAlign w:val="top"/>
          </w:tcPr>
          <w:p>
            <w:pPr>
              <w:ind w:left="190"/>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744" w:type="dxa"/>
            <w:vAlign w:val="top"/>
          </w:tcPr>
          <w:p>
            <w:pPr>
              <w:pStyle w:val="TableText"/>
              <w:ind w:left="768"/>
              <w:spacing w:before="51" w:line="231" w:lineRule="auto"/>
              <w:rPr/>
            </w:pPr>
            <w:r>
              <w:rPr>
                <w:spacing w:val="2"/>
              </w:rPr>
              <w:t>镉</w:t>
            </w:r>
          </w:p>
        </w:tc>
        <w:tc>
          <w:tcPr>
            <w:tcW w:w="1017" w:type="dxa"/>
            <w:vAlign w:val="top"/>
          </w:tcPr>
          <w:p>
            <w:pPr>
              <w:ind w:left="238"/>
              <w:spacing w:before="8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9" w:type="dxa"/>
            <w:vAlign w:val="top"/>
          </w:tcPr>
          <w:p>
            <w:pPr>
              <w:ind w:left="180"/>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0.31</w:t>
            </w:r>
          </w:p>
        </w:tc>
        <w:tc>
          <w:tcPr>
            <w:tcW w:w="719" w:type="dxa"/>
            <w:vAlign w:val="top"/>
          </w:tcPr>
          <w:p>
            <w:pPr>
              <w:ind w:left="181"/>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0.33</w:t>
            </w:r>
          </w:p>
        </w:tc>
        <w:tc>
          <w:tcPr>
            <w:tcW w:w="721" w:type="dxa"/>
            <w:vAlign w:val="top"/>
          </w:tcPr>
          <w:p>
            <w:pPr>
              <w:ind w:left="182"/>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0.29</w:t>
            </w:r>
          </w:p>
        </w:tc>
        <w:tc>
          <w:tcPr>
            <w:tcW w:w="719" w:type="dxa"/>
            <w:vAlign w:val="top"/>
          </w:tcPr>
          <w:p>
            <w:pPr>
              <w:ind w:left="181"/>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0.25</w:t>
            </w:r>
          </w:p>
        </w:tc>
        <w:tc>
          <w:tcPr>
            <w:tcW w:w="719" w:type="dxa"/>
            <w:vAlign w:val="top"/>
          </w:tcPr>
          <w:p>
            <w:pPr>
              <w:ind w:left="182"/>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0.26</w:t>
            </w:r>
          </w:p>
        </w:tc>
        <w:tc>
          <w:tcPr>
            <w:tcW w:w="721" w:type="dxa"/>
            <w:vAlign w:val="top"/>
          </w:tcPr>
          <w:p>
            <w:pPr>
              <w:ind w:left="183"/>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0.22</w:t>
            </w:r>
          </w:p>
        </w:tc>
        <w:tc>
          <w:tcPr>
            <w:tcW w:w="954" w:type="dxa"/>
            <w:vAlign w:val="top"/>
          </w:tcPr>
          <w:p>
            <w:pPr>
              <w:ind w:left="378"/>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r>
      <w:tr>
        <w:trPr>
          <w:trHeight w:val="316" w:hRule="atLeast"/>
        </w:trPr>
        <w:tc>
          <w:tcPr>
            <w:tcW w:w="480" w:type="dxa"/>
            <w:vAlign w:val="top"/>
          </w:tcPr>
          <w:p>
            <w:pPr>
              <w:ind w:left="189"/>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744" w:type="dxa"/>
            <w:vAlign w:val="top"/>
          </w:tcPr>
          <w:p>
            <w:pPr>
              <w:pStyle w:val="TableText"/>
              <w:ind w:left="769"/>
              <w:spacing w:before="52" w:line="229" w:lineRule="auto"/>
              <w:rPr/>
            </w:pPr>
            <w:r>
              <w:rPr/>
              <w:t>铜</w:t>
            </w:r>
          </w:p>
        </w:tc>
        <w:tc>
          <w:tcPr>
            <w:tcW w:w="1017" w:type="dxa"/>
            <w:vAlign w:val="top"/>
          </w:tcPr>
          <w:p>
            <w:pPr>
              <w:ind w:left="238"/>
              <w:spacing w:before="8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9" w:type="dxa"/>
            <w:vAlign w:val="top"/>
          </w:tcPr>
          <w:p>
            <w:pPr>
              <w:ind w:left="256"/>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19" w:type="dxa"/>
            <w:vAlign w:val="top"/>
          </w:tcPr>
          <w:p>
            <w:pPr>
              <w:ind w:left="275"/>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19</w:t>
            </w:r>
          </w:p>
        </w:tc>
        <w:tc>
          <w:tcPr>
            <w:tcW w:w="721" w:type="dxa"/>
            <w:vAlign w:val="top"/>
          </w:tcPr>
          <w:p>
            <w:pPr>
              <w:ind w:left="258"/>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21</w:t>
            </w:r>
          </w:p>
        </w:tc>
        <w:tc>
          <w:tcPr>
            <w:tcW w:w="719" w:type="dxa"/>
            <w:vAlign w:val="top"/>
          </w:tcPr>
          <w:p>
            <w:pPr>
              <w:ind w:left="257"/>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27</w:t>
            </w:r>
          </w:p>
        </w:tc>
        <w:tc>
          <w:tcPr>
            <w:tcW w:w="719" w:type="dxa"/>
            <w:vAlign w:val="top"/>
          </w:tcPr>
          <w:p>
            <w:pPr>
              <w:ind w:left="255"/>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29</w:t>
            </w:r>
          </w:p>
        </w:tc>
        <w:tc>
          <w:tcPr>
            <w:tcW w:w="721" w:type="dxa"/>
            <w:vAlign w:val="top"/>
          </w:tcPr>
          <w:p>
            <w:pPr>
              <w:ind w:left="259"/>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26</w:t>
            </w:r>
          </w:p>
        </w:tc>
        <w:tc>
          <w:tcPr>
            <w:tcW w:w="954" w:type="dxa"/>
            <w:vAlign w:val="top"/>
          </w:tcPr>
          <w:p>
            <w:pPr>
              <w:ind w:left="235"/>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18000</w:t>
            </w:r>
          </w:p>
        </w:tc>
      </w:tr>
      <w:tr>
        <w:trPr>
          <w:trHeight w:val="316" w:hRule="atLeast"/>
        </w:trPr>
        <w:tc>
          <w:tcPr>
            <w:tcW w:w="480" w:type="dxa"/>
            <w:vAlign w:val="top"/>
          </w:tcPr>
          <w:p>
            <w:pPr>
              <w:ind w:left="195"/>
              <w:spacing w:before="9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744" w:type="dxa"/>
            <w:vAlign w:val="top"/>
          </w:tcPr>
          <w:p>
            <w:pPr>
              <w:pStyle w:val="TableText"/>
              <w:ind w:left="769"/>
              <w:spacing w:before="52" w:line="232" w:lineRule="auto"/>
              <w:rPr/>
            </w:pPr>
            <w:r>
              <w:rPr/>
              <w:t>铅</w:t>
            </w:r>
          </w:p>
        </w:tc>
        <w:tc>
          <w:tcPr>
            <w:tcW w:w="1017" w:type="dxa"/>
            <w:vAlign w:val="top"/>
          </w:tcPr>
          <w:p>
            <w:pPr>
              <w:ind w:left="238"/>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9" w:type="dxa"/>
            <w:vAlign w:val="top"/>
          </w:tcPr>
          <w:p>
            <w:pPr>
              <w:ind w:left="19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16.2</w:t>
            </w:r>
          </w:p>
        </w:tc>
        <w:tc>
          <w:tcPr>
            <w:tcW w:w="719" w:type="dxa"/>
            <w:vAlign w:val="top"/>
          </w:tcPr>
          <w:p>
            <w:pPr>
              <w:ind w:left="19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17.7</w:t>
            </w:r>
          </w:p>
        </w:tc>
        <w:tc>
          <w:tcPr>
            <w:tcW w:w="721" w:type="dxa"/>
            <w:vAlign w:val="top"/>
          </w:tcPr>
          <w:p>
            <w:pPr>
              <w:ind w:left="19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16.7</w:t>
            </w:r>
          </w:p>
        </w:tc>
        <w:tc>
          <w:tcPr>
            <w:tcW w:w="719" w:type="dxa"/>
            <w:vAlign w:val="top"/>
          </w:tcPr>
          <w:p>
            <w:pPr>
              <w:ind w:left="1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23.4</w:t>
            </w:r>
          </w:p>
        </w:tc>
        <w:tc>
          <w:tcPr>
            <w:tcW w:w="719" w:type="dxa"/>
            <w:vAlign w:val="top"/>
          </w:tcPr>
          <w:p>
            <w:pPr>
              <w:ind w:left="17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21.3</w:t>
            </w:r>
          </w:p>
        </w:tc>
        <w:tc>
          <w:tcPr>
            <w:tcW w:w="721" w:type="dxa"/>
            <w:vAlign w:val="top"/>
          </w:tcPr>
          <w:p>
            <w:pPr>
              <w:ind w:left="18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w:t>
            </w:r>
          </w:p>
        </w:tc>
        <w:tc>
          <w:tcPr>
            <w:tcW w:w="954" w:type="dxa"/>
            <w:vAlign w:val="top"/>
          </w:tcPr>
          <w:p>
            <w:pPr>
              <w:ind w:left="32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800</w:t>
            </w:r>
          </w:p>
        </w:tc>
      </w:tr>
      <w:tr>
        <w:trPr>
          <w:trHeight w:val="317" w:hRule="atLeast"/>
        </w:trPr>
        <w:tc>
          <w:tcPr>
            <w:tcW w:w="480" w:type="dxa"/>
            <w:vAlign w:val="top"/>
          </w:tcPr>
          <w:p>
            <w:pPr>
              <w:ind w:left="19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744" w:type="dxa"/>
            <w:vAlign w:val="top"/>
          </w:tcPr>
          <w:p>
            <w:pPr>
              <w:pStyle w:val="TableText"/>
              <w:ind w:left="770"/>
              <w:spacing w:before="53" w:line="228" w:lineRule="auto"/>
              <w:rPr/>
            </w:pPr>
            <w:r>
              <w:rPr/>
              <w:t>汞</w:t>
            </w:r>
          </w:p>
        </w:tc>
        <w:tc>
          <w:tcPr>
            <w:tcW w:w="1017" w:type="dxa"/>
            <w:vAlign w:val="top"/>
          </w:tcPr>
          <w:p>
            <w:pPr>
              <w:ind w:left="238"/>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9" w:type="dxa"/>
            <w:vAlign w:val="top"/>
          </w:tcPr>
          <w:p>
            <w:pPr>
              <w:ind w:left="12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0.068</w:t>
            </w:r>
          </w:p>
        </w:tc>
        <w:tc>
          <w:tcPr>
            <w:tcW w:w="719" w:type="dxa"/>
            <w:vAlign w:val="top"/>
          </w:tcPr>
          <w:p>
            <w:pPr>
              <w:ind w:left="12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0.072</w:t>
            </w:r>
          </w:p>
        </w:tc>
        <w:tc>
          <w:tcPr>
            <w:tcW w:w="721" w:type="dxa"/>
            <w:vAlign w:val="top"/>
          </w:tcPr>
          <w:p>
            <w:pPr>
              <w:ind w:left="12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0.070</w:t>
            </w:r>
          </w:p>
        </w:tc>
        <w:tc>
          <w:tcPr>
            <w:tcW w:w="719" w:type="dxa"/>
            <w:vAlign w:val="top"/>
          </w:tcPr>
          <w:p>
            <w:pPr>
              <w:ind w:left="13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0.118</w:t>
            </w:r>
          </w:p>
        </w:tc>
        <w:tc>
          <w:tcPr>
            <w:tcW w:w="719" w:type="dxa"/>
            <w:vAlign w:val="top"/>
          </w:tcPr>
          <w:p>
            <w:pPr>
              <w:ind w:left="13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0.115</w:t>
            </w:r>
          </w:p>
        </w:tc>
        <w:tc>
          <w:tcPr>
            <w:tcW w:w="721" w:type="dxa"/>
            <w:vAlign w:val="top"/>
          </w:tcPr>
          <w:p>
            <w:pPr>
              <w:ind w:left="13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0.116</w:t>
            </w:r>
          </w:p>
        </w:tc>
        <w:tc>
          <w:tcPr>
            <w:tcW w:w="954" w:type="dxa"/>
            <w:vAlign w:val="top"/>
          </w:tcPr>
          <w:p>
            <w:pPr>
              <w:ind w:left="37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38</w:t>
            </w:r>
          </w:p>
        </w:tc>
      </w:tr>
      <w:tr>
        <w:trPr>
          <w:trHeight w:val="317" w:hRule="atLeast"/>
        </w:trPr>
        <w:tc>
          <w:tcPr>
            <w:tcW w:w="480" w:type="dxa"/>
            <w:vAlign w:val="top"/>
          </w:tcPr>
          <w:p>
            <w:pPr>
              <w:ind w:left="193"/>
              <w:spacing w:before="9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744" w:type="dxa"/>
            <w:vAlign w:val="top"/>
          </w:tcPr>
          <w:p>
            <w:pPr>
              <w:pStyle w:val="TableText"/>
              <w:ind w:left="769"/>
              <w:spacing w:before="55" w:line="228" w:lineRule="auto"/>
              <w:rPr/>
            </w:pPr>
            <w:r>
              <w:rPr>
                <w:spacing w:val="1"/>
              </w:rPr>
              <w:t>镍</w:t>
            </w:r>
          </w:p>
        </w:tc>
        <w:tc>
          <w:tcPr>
            <w:tcW w:w="1017" w:type="dxa"/>
            <w:vAlign w:val="top"/>
          </w:tcPr>
          <w:p>
            <w:pPr>
              <w:ind w:left="238"/>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9" w:type="dxa"/>
            <w:vAlign w:val="top"/>
          </w:tcPr>
          <w:p>
            <w:pPr>
              <w:ind w:left="26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31</w:t>
            </w:r>
          </w:p>
        </w:tc>
        <w:tc>
          <w:tcPr>
            <w:tcW w:w="719" w:type="dxa"/>
            <w:vAlign w:val="top"/>
          </w:tcPr>
          <w:p>
            <w:pPr>
              <w:ind w:left="25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721" w:type="dxa"/>
            <w:vAlign w:val="top"/>
          </w:tcPr>
          <w:p>
            <w:pPr>
              <w:ind w:left="26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33</w:t>
            </w:r>
          </w:p>
        </w:tc>
        <w:tc>
          <w:tcPr>
            <w:tcW w:w="719" w:type="dxa"/>
            <w:vAlign w:val="top"/>
          </w:tcPr>
          <w:p>
            <w:pPr>
              <w:ind w:left="26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39</w:t>
            </w:r>
          </w:p>
        </w:tc>
        <w:tc>
          <w:tcPr>
            <w:tcW w:w="719" w:type="dxa"/>
            <w:vAlign w:val="top"/>
          </w:tcPr>
          <w:p>
            <w:pPr>
              <w:ind w:left="26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38</w:t>
            </w:r>
          </w:p>
        </w:tc>
        <w:tc>
          <w:tcPr>
            <w:tcW w:w="721" w:type="dxa"/>
            <w:vAlign w:val="top"/>
          </w:tcPr>
          <w:p>
            <w:pPr>
              <w:ind w:left="25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41</w:t>
            </w:r>
          </w:p>
        </w:tc>
        <w:tc>
          <w:tcPr>
            <w:tcW w:w="954" w:type="dxa"/>
            <w:vAlign w:val="top"/>
          </w:tcPr>
          <w:p>
            <w:pPr>
              <w:ind w:left="32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900</w:t>
            </w:r>
          </w:p>
        </w:tc>
      </w:tr>
      <w:tr>
        <w:trPr>
          <w:trHeight w:val="317" w:hRule="atLeast"/>
        </w:trPr>
        <w:tc>
          <w:tcPr>
            <w:tcW w:w="480" w:type="dxa"/>
            <w:vAlign w:val="top"/>
          </w:tcPr>
          <w:p>
            <w:pPr>
              <w:ind w:left="19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744" w:type="dxa"/>
            <w:vAlign w:val="top"/>
          </w:tcPr>
          <w:p>
            <w:pPr>
              <w:pStyle w:val="TableText"/>
              <w:ind w:left="562"/>
              <w:spacing w:before="55" w:line="226" w:lineRule="auto"/>
              <w:rPr/>
            </w:pPr>
            <w:r>
              <w:rPr>
                <w:spacing w:val="6"/>
              </w:rPr>
              <w:t>六价铬</w:t>
            </w:r>
          </w:p>
        </w:tc>
        <w:tc>
          <w:tcPr>
            <w:tcW w:w="1017" w:type="dxa"/>
            <w:vAlign w:val="top"/>
          </w:tcPr>
          <w:p>
            <w:pPr>
              <w:ind w:left="238"/>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9" w:type="dxa"/>
            <w:vAlign w:val="top"/>
          </w:tcPr>
          <w:p>
            <w:pPr>
              <w:pStyle w:val="TableText"/>
              <w:ind w:left="52"/>
              <w:spacing w:before="54" w:line="228" w:lineRule="auto"/>
              <w:rPr/>
            </w:pPr>
            <w:r>
              <w:rPr>
                <w:spacing w:val="5"/>
              </w:rPr>
              <w:t>未检出</w:t>
            </w:r>
          </w:p>
        </w:tc>
        <w:tc>
          <w:tcPr>
            <w:tcW w:w="719" w:type="dxa"/>
            <w:vAlign w:val="top"/>
          </w:tcPr>
          <w:p>
            <w:pPr>
              <w:pStyle w:val="TableText"/>
              <w:ind w:left="53"/>
              <w:spacing w:before="54" w:line="228" w:lineRule="auto"/>
              <w:rPr/>
            </w:pPr>
            <w:r>
              <w:rPr>
                <w:spacing w:val="5"/>
              </w:rPr>
              <w:t>未检出</w:t>
            </w:r>
          </w:p>
        </w:tc>
        <w:tc>
          <w:tcPr>
            <w:tcW w:w="721" w:type="dxa"/>
            <w:vAlign w:val="top"/>
          </w:tcPr>
          <w:p>
            <w:pPr>
              <w:pStyle w:val="TableText"/>
              <w:ind w:left="54"/>
              <w:spacing w:before="54" w:line="228" w:lineRule="auto"/>
              <w:rPr/>
            </w:pPr>
            <w:r>
              <w:rPr>
                <w:spacing w:val="5"/>
              </w:rPr>
              <w:t>未检出</w:t>
            </w:r>
          </w:p>
        </w:tc>
        <w:tc>
          <w:tcPr>
            <w:tcW w:w="719" w:type="dxa"/>
            <w:vAlign w:val="top"/>
          </w:tcPr>
          <w:p>
            <w:pPr>
              <w:pStyle w:val="TableText"/>
              <w:ind w:left="53"/>
              <w:spacing w:before="54" w:line="228" w:lineRule="auto"/>
              <w:rPr/>
            </w:pPr>
            <w:r>
              <w:rPr>
                <w:spacing w:val="5"/>
              </w:rPr>
              <w:t>未检出</w:t>
            </w:r>
          </w:p>
        </w:tc>
        <w:tc>
          <w:tcPr>
            <w:tcW w:w="719" w:type="dxa"/>
            <w:vAlign w:val="top"/>
          </w:tcPr>
          <w:p>
            <w:pPr>
              <w:pStyle w:val="TableText"/>
              <w:ind w:left="54"/>
              <w:spacing w:before="54" w:line="228" w:lineRule="auto"/>
              <w:rPr/>
            </w:pPr>
            <w:r>
              <w:rPr>
                <w:spacing w:val="5"/>
              </w:rPr>
              <w:t>未检出</w:t>
            </w:r>
          </w:p>
        </w:tc>
        <w:tc>
          <w:tcPr>
            <w:tcW w:w="721" w:type="dxa"/>
            <w:vAlign w:val="top"/>
          </w:tcPr>
          <w:p>
            <w:pPr>
              <w:pStyle w:val="TableText"/>
              <w:ind w:left="55"/>
              <w:spacing w:before="54" w:line="228" w:lineRule="auto"/>
              <w:rPr/>
            </w:pPr>
            <w:r>
              <w:rPr>
                <w:spacing w:val="5"/>
              </w:rPr>
              <w:t>未检出</w:t>
            </w:r>
          </w:p>
        </w:tc>
        <w:tc>
          <w:tcPr>
            <w:tcW w:w="954" w:type="dxa"/>
            <w:vAlign w:val="top"/>
          </w:tcPr>
          <w:p>
            <w:pPr>
              <w:ind w:left="352"/>
              <w:spacing w:before="9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5.7</w:t>
            </w:r>
          </w:p>
        </w:tc>
      </w:tr>
      <w:tr>
        <w:trPr>
          <w:trHeight w:val="321" w:hRule="atLeast"/>
        </w:trPr>
        <w:tc>
          <w:tcPr>
            <w:tcW w:w="480" w:type="dxa"/>
            <w:vAlign w:val="top"/>
          </w:tcPr>
          <w:p>
            <w:pPr>
              <w:ind w:left="19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744" w:type="dxa"/>
            <w:vAlign w:val="top"/>
          </w:tcPr>
          <w:p>
            <w:pPr>
              <w:pStyle w:val="TableText"/>
              <w:ind w:left="41"/>
              <w:spacing w:before="55" w:line="228" w:lineRule="auto"/>
              <w:rPr/>
            </w:pPr>
            <w:r>
              <w:rPr>
                <w:spacing w:val="5"/>
              </w:rPr>
              <w:t>石油烃（</w:t>
            </w:r>
            <w:r>
              <w:rPr>
                <w:rFonts w:ascii="Times New Roman" w:hAnsi="Times New Roman" w:eastAsia="Times New Roman" w:cs="Times New Roman"/>
                <w:spacing w:val="5"/>
              </w:rPr>
              <w:t>C</w:t>
            </w:r>
            <w:r>
              <w:rPr>
                <w:rFonts w:ascii="Times New Roman" w:hAnsi="Times New Roman" w:eastAsia="Times New Roman" w:cs="Times New Roman"/>
                <w:sz w:val="13"/>
                <w:szCs w:val="13"/>
                <w:spacing w:val="5"/>
              </w:rPr>
              <w:t>10</w:t>
            </w:r>
            <w:r>
              <w:rPr>
                <w:rFonts w:ascii="Times New Roman" w:hAnsi="Times New Roman" w:eastAsia="Times New Roman" w:cs="Times New Roman"/>
                <w:spacing w:val="5"/>
              </w:rPr>
              <w:t>-C</w:t>
            </w:r>
            <w:r>
              <w:rPr>
                <w:rFonts w:ascii="Times New Roman" w:hAnsi="Times New Roman" w:eastAsia="Times New Roman" w:cs="Times New Roman"/>
                <w:sz w:val="13"/>
                <w:szCs w:val="13"/>
                <w:spacing w:val="5"/>
                <w:position w:val="-1"/>
              </w:rPr>
              <w:t>40</w:t>
            </w:r>
            <w:r>
              <w:rPr>
                <w:spacing w:val="5"/>
              </w:rPr>
              <w:t>）</w:t>
            </w:r>
          </w:p>
        </w:tc>
        <w:tc>
          <w:tcPr>
            <w:tcW w:w="1017" w:type="dxa"/>
            <w:vAlign w:val="top"/>
          </w:tcPr>
          <w:p>
            <w:pPr>
              <w:ind w:left="238"/>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9" w:type="dxa"/>
            <w:vAlign w:val="top"/>
          </w:tcPr>
          <w:p>
            <w:pPr>
              <w:pStyle w:val="TableText"/>
              <w:ind w:left="52"/>
              <w:spacing w:before="54" w:line="228" w:lineRule="auto"/>
              <w:rPr/>
            </w:pPr>
            <w:r>
              <w:rPr>
                <w:spacing w:val="5"/>
              </w:rPr>
              <w:t>未检出</w:t>
            </w:r>
          </w:p>
        </w:tc>
        <w:tc>
          <w:tcPr>
            <w:tcW w:w="719" w:type="dxa"/>
            <w:vAlign w:val="top"/>
          </w:tcPr>
          <w:p>
            <w:pPr>
              <w:pStyle w:val="TableText"/>
              <w:ind w:left="53"/>
              <w:spacing w:before="54" w:line="228" w:lineRule="auto"/>
              <w:rPr/>
            </w:pPr>
            <w:r>
              <w:rPr>
                <w:spacing w:val="5"/>
              </w:rPr>
              <w:t>未检出</w:t>
            </w:r>
          </w:p>
        </w:tc>
        <w:tc>
          <w:tcPr>
            <w:tcW w:w="721" w:type="dxa"/>
            <w:vAlign w:val="top"/>
          </w:tcPr>
          <w:p>
            <w:pPr>
              <w:pStyle w:val="TableText"/>
              <w:ind w:left="54"/>
              <w:spacing w:before="54" w:line="228" w:lineRule="auto"/>
              <w:rPr/>
            </w:pPr>
            <w:r>
              <w:rPr>
                <w:spacing w:val="5"/>
              </w:rPr>
              <w:t>未检出</w:t>
            </w:r>
          </w:p>
        </w:tc>
        <w:tc>
          <w:tcPr>
            <w:tcW w:w="719" w:type="dxa"/>
            <w:vAlign w:val="top"/>
          </w:tcPr>
          <w:p>
            <w:pPr>
              <w:pStyle w:val="TableText"/>
              <w:ind w:left="53"/>
              <w:spacing w:before="54" w:line="228" w:lineRule="auto"/>
              <w:rPr/>
            </w:pPr>
            <w:r>
              <w:rPr>
                <w:spacing w:val="5"/>
              </w:rPr>
              <w:t>未检出</w:t>
            </w:r>
          </w:p>
        </w:tc>
        <w:tc>
          <w:tcPr>
            <w:tcW w:w="719" w:type="dxa"/>
            <w:vAlign w:val="top"/>
          </w:tcPr>
          <w:p>
            <w:pPr>
              <w:pStyle w:val="TableText"/>
              <w:ind w:left="54"/>
              <w:spacing w:before="54" w:line="228" w:lineRule="auto"/>
              <w:rPr/>
            </w:pPr>
            <w:r>
              <w:rPr>
                <w:spacing w:val="5"/>
              </w:rPr>
              <w:t>未检出</w:t>
            </w:r>
          </w:p>
        </w:tc>
        <w:tc>
          <w:tcPr>
            <w:tcW w:w="721" w:type="dxa"/>
            <w:vAlign w:val="top"/>
          </w:tcPr>
          <w:p>
            <w:pPr>
              <w:pStyle w:val="TableText"/>
              <w:ind w:left="55"/>
              <w:spacing w:before="54" w:line="228" w:lineRule="auto"/>
              <w:rPr/>
            </w:pPr>
            <w:r>
              <w:rPr>
                <w:spacing w:val="5"/>
              </w:rPr>
              <w:t>未检出</w:t>
            </w:r>
          </w:p>
        </w:tc>
        <w:tc>
          <w:tcPr>
            <w:tcW w:w="954" w:type="dxa"/>
            <w:vAlign w:val="top"/>
          </w:tcPr>
          <w:p>
            <w:pPr>
              <w:ind w:left="266"/>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4500</w:t>
            </w:r>
          </w:p>
        </w:tc>
      </w:tr>
    </w:tbl>
    <w:p>
      <w:pPr>
        <w:ind w:left="2772"/>
        <w:spacing w:before="34" w:line="213" w:lineRule="auto"/>
        <w:rPr>
          <w:rFonts w:ascii="Times New Roman" w:hAnsi="Times New Roman" w:eastAsia="Times New Roman" w:cs="Times New Roman"/>
          <w:sz w:val="24"/>
          <w:szCs w:val="24"/>
        </w:rPr>
      </w:pPr>
      <w:r>
        <w:rPr>
          <w:rFonts w:ascii="SimSun" w:hAnsi="SimSun" w:eastAsia="SimSun" w:cs="SimSun"/>
          <w:sz w:val="24"/>
          <w:szCs w:val="24"/>
          <w:b/>
          <w:bCs/>
          <w:spacing w:val="-2"/>
        </w:rPr>
        <w:t>表</w:t>
      </w:r>
      <w:r>
        <w:rPr>
          <w:rFonts w:ascii="SimSun" w:hAnsi="SimSun" w:eastAsia="SimSun" w:cs="SimSun"/>
          <w:sz w:val="24"/>
          <w:szCs w:val="24"/>
          <w:spacing w:val="-40"/>
        </w:rPr>
        <w:t xml:space="preserve"> </w:t>
      </w:r>
      <w:r>
        <w:rPr>
          <w:rFonts w:ascii="Times New Roman" w:hAnsi="Times New Roman" w:eastAsia="Times New Roman" w:cs="Times New Roman"/>
          <w:sz w:val="24"/>
          <w:szCs w:val="24"/>
          <w:b/>
          <w:bCs/>
          <w:spacing w:val="-2"/>
        </w:rPr>
        <w:t>4.2-18        </w:t>
      </w:r>
      <w:r>
        <w:rPr>
          <w:rFonts w:ascii="SimSun" w:hAnsi="SimSun" w:eastAsia="SimSun" w:cs="SimSun"/>
          <w:sz w:val="24"/>
          <w:szCs w:val="24"/>
          <w:b/>
          <w:bCs/>
          <w:spacing w:val="-2"/>
        </w:rPr>
        <w:t>土壤检测结果</w:t>
      </w:r>
      <w:r>
        <w:rPr>
          <w:rFonts w:ascii="SimSun" w:hAnsi="SimSun" w:eastAsia="SimSun" w:cs="SimSun"/>
          <w:sz w:val="24"/>
          <w:szCs w:val="24"/>
          <w:spacing w:val="-49"/>
        </w:rPr>
        <w:t xml:space="preserve"> </w:t>
      </w:r>
      <w:r>
        <w:rPr>
          <w:rFonts w:ascii="Times New Roman" w:hAnsi="Times New Roman" w:eastAsia="Times New Roman" w:cs="Times New Roman"/>
          <w:sz w:val="24"/>
          <w:szCs w:val="24"/>
          <w:b/>
          <w:bCs/>
          <w:spacing w:val="-2"/>
        </w:rPr>
        <w:t>5</w:t>
      </w:r>
    </w:p>
    <w:tbl>
      <w:tblPr>
        <w:tblStyle w:val="TableNormal"/>
        <w:tblW w:w="8513" w:type="dxa"/>
        <w:tblInd w:w="19"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79"/>
        <w:gridCol w:w="1744"/>
        <w:gridCol w:w="1017"/>
        <w:gridCol w:w="718"/>
        <w:gridCol w:w="718"/>
        <w:gridCol w:w="723"/>
        <w:gridCol w:w="718"/>
        <w:gridCol w:w="718"/>
        <w:gridCol w:w="723"/>
        <w:gridCol w:w="955"/>
      </w:tblGrid>
      <w:tr>
        <w:trPr>
          <w:trHeight w:val="251" w:hRule="atLeast"/>
        </w:trPr>
        <w:tc>
          <w:tcPr>
            <w:tcW w:w="479" w:type="dxa"/>
            <w:vAlign w:val="top"/>
            <w:vMerge w:val="restart"/>
            <w:tcBorders>
              <w:bottom w:val="nil"/>
            </w:tcBorders>
          </w:tcPr>
          <w:p>
            <w:pPr>
              <w:pStyle w:val="TableText"/>
              <w:ind w:left="34"/>
              <w:spacing w:before="160" w:line="229" w:lineRule="auto"/>
              <w:rPr/>
            </w:pPr>
            <w:r>
              <w:rPr>
                <w:spacing w:val="5"/>
              </w:rPr>
              <w:t>序号</w:t>
            </w:r>
          </w:p>
        </w:tc>
        <w:tc>
          <w:tcPr>
            <w:tcW w:w="1744" w:type="dxa"/>
            <w:vAlign w:val="top"/>
            <w:vMerge w:val="restart"/>
            <w:tcBorders>
              <w:bottom w:val="nil"/>
            </w:tcBorders>
          </w:tcPr>
          <w:p>
            <w:pPr>
              <w:pStyle w:val="TableText"/>
              <w:ind w:left="456"/>
              <w:spacing w:before="160" w:line="228" w:lineRule="auto"/>
              <w:rPr/>
            </w:pPr>
            <w:r>
              <w:rPr>
                <w:spacing w:val="7"/>
              </w:rPr>
              <w:t>检测因子</w:t>
            </w:r>
          </w:p>
        </w:tc>
        <w:tc>
          <w:tcPr>
            <w:tcW w:w="1017" w:type="dxa"/>
            <w:vAlign w:val="top"/>
            <w:vMerge w:val="restart"/>
            <w:tcBorders>
              <w:bottom w:val="nil"/>
            </w:tcBorders>
          </w:tcPr>
          <w:p>
            <w:pPr>
              <w:pStyle w:val="TableText"/>
              <w:ind w:left="305"/>
              <w:spacing w:before="160" w:line="228" w:lineRule="auto"/>
              <w:rPr/>
            </w:pPr>
            <w:r>
              <w:rPr>
                <w:spacing w:val="3"/>
              </w:rPr>
              <w:t>单位</w:t>
            </w:r>
          </w:p>
        </w:tc>
        <w:tc>
          <w:tcPr>
            <w:tcW w:w="2159" w:type="dxa"/>
            <w:vAlign w:val="top"/>
            <w:gridSpan w:val="3"/>
          </w:tcPr>
          <w:p>
            <w:pPr>
              <w:ind w:left="986"/>
              <w:spacing w:before="59" w:line="18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T</w:t>
            </w:r>
            <w:r>
              <w:rPr>
                <w:rFonts w:ascii="Times New Roman" w:hAnsi="Times New Roman" w:eastAsia="Times New Roman" w:cs="Times New Roman"/>
                <w:sz w:val="13"/>
                <w:szCs w:val="13"/>
                <w:spacing w:val="1"/>
                <w:position w:val="-1"/>
              </w:rPr>
              <w:t>8</w:t>
            </w:r>
          </w:p>
        </w:tc>
        <w:tc>
          <w:tcPr>
            <w:tcW w:w="2159" w:type="dxa"/>
            <w:vAlign w:val="top"/>
            <w:gridSpan w:val="3"/>
          </w:tcPr>
          <w:p>
            <w:pPr>
              <w:ind w:left="987"/>
              <w:spacing w:before="59" w:line="18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T</w:t>
            </w:r>
            <w:r>
              <w:rPr>
                <w:rFonts w:ascii="Times New Roman" w:hAnsi="Times New Roman" w:eastAsia="Times New Roman" w:cs="Times New Roman"/>
                <w:sz w:val="13"/>
                <w:szCs w:val="13"/>
                <w:spacing w:val="1"/>
                <w:position w:val="-1"/>
              </w:rPr>
              <w:t>2</w:t>
            </w:r>
          </w:p>
        </w:tc>
        <w:tc>
          <w:tcPr>
            <w:tcW w:w="955" w:type="dxa"/>
            <w:vAlign w:val="top"/>
            <w:vMerge w:val="restart"/>
            <w:tcBorders>
              <w:bottom w:val="nil"/>
            </w:tcBorders>
          </w:tcPr>
          <w:p>
            <w:pPr>
              <w:pStyle w:val="TableText"/>
              <w:ind w:left="64"/>
              <w:spacing w:before="160" w:line="228" w:lineRule="auto"/>
              <w:rPr/>
            </w:pPr>
            <w:r>
              <w:rPr>
                <w:spacing w:val="7"/>
              </w:rPr>
              <w:t>标准限值</w:t>
            </w:r>
          </w:p>
        </w:tc>
      </w:tr>
      <w:tr>
        <w:trPr>
          <w:trHeight w:val="277" w:hRule="atLeast"/>
        </w:trPr>
        <w:tc>
          <w:tcPr>
            <w:tcW w:w="479" w:type="dxa"/>
            <w:vAlign w:val="top"/>
            <w:vMerge w:val="continue"/>
            <w:tcBorders>
              <w:top w:val="nil"/>
            </w:tcBorders>
          </w:tcPr>
          <w:p>
            <w:pPr>
              <w:rPr>
                <w:rFonts w:ascii="Arial"/>
                <w:sz w:val="21"/>
              </w:rPr>
            </w:pPr>
            <w:r/>
          </w:p>
        </w:tc>
        <w:tc>
          <w:tcPr>
            <w:tcW w:w="1744" w:type="dxa"/>
            <w:vAlign w:val="top"/>
            <w:vMerge w:val="continue"/>
            <w:tcBorders>
              <w:top w:val="nil"/>
            </w:tcBorders>
          </w:tcPr>
          <w:p>
            <w:pPr>
              <w:rPr>
                <w:rFonts w:ascii="Arial"/>
                <w:sz w:val="21"/>
              </w:rPr>
            </w:pPr>
            <w:r/>
          </w:p>
        </w:tc>
        <w:tc>
          <w:tcPr>
            <w:tcW w:w="1017" w:type="dxa"/>
            <w:vAlign w:val="top"/>
            <w:vMerge w:val="continue"/>
            <w:tcBorders>
              <w:top w:val="nil"/>
            </w:tcBorders>
          </w:tcPr>
          <w:p>
            <w:pPr>
              <w:rPr>
                <w:rFonts w:ascii="Arial"/>
                <w:sz w:val="21"/>
              </w:rPr>
            </w:pPr>
            <w:r/>
          </w:p>
        </w:tc>
        <w:tc>
          <w:tcPr>
            <w:tcW w:w="718" w:type="dxa"/>
            <w:vAlign w:val="top"/>
          </w:tcPr>
          <w:p>
            <w:pPr>
              <w:pStyle w:val="TableText"/>
              <w:ind w:left="49"/>
              <w:spacing w:before="31" w:line="217" w:lineRule="auto"/>
              <w:rPr/>
            </w:pPr>
            <w:r>
              <w:rPr>
                <w:spacing w:val="7"/>
              </w:rPr>
              <w:t>表层样</w:t>
            </w:r>
          </w:p>
        </w:tc>
        <w:tc>
          <w:tcPr>
            <w:tcW w:w="718" w:type="dxa"/>
            <w:vAlign w:val="top"/>
          </w:tcPr>
          <w:p>
            <w:pPr>
              <w:pStyle w:val="TableText"/>
              <w:ind w:left="69"/>
              <w:spacing w:before="31" w:line="217" w:lineRule="auto"/>
              <w:rPr/>
            </w:pPr>
            <w:r>
              <w:rPr/>
              <w:t>中层样</w:t>
            </w:r>
          </w:p>
        </w:tc>
        <w:tc>
          <w:tcPr>
            <w:tcW w:w="723" w:type="dxa"/>
            <w:vAlign w:val="top"/>
          </w:tcPr>
          <w:p>
            <w:pPr>
              <w:pStyle w:val="TableText"/>
              <w:ind w:left="53"/>
              <w:spacing w:before="31" w:line="217" w:lineRule="auto"/>
              <w:rPr/>
            </w:pPr>
            <w:r>
              <w:rPr>
                <w:spacing w:val="6"/>
              </w:rPr>
              <w:t>深层样</w:t>
            </w:r>
          </w:p>
        </w:tc>
        <w:tc>
          <w:tcPr>
            <w:tcW w:w="718" w:type="dxa"/>
            <w:vAlign w:val="top"/>
          </w:tcPr>
          <w:p>
            <w:pPr>
              <w:pStyle w:val="TableText"/>
              <w:ind w:left="50"/>
              <w:spacing w:before="31" w:line="217" w:lineRule="auto"/>
              <w:rPr/>
            </w:pPr>
            <w:r>
              <w:rPr>
                <w:spacing w:val="7"/>
              </w:rPr>
              <w:t>表层样</w:t>
            </w:r>
          </w:p>
        </w:tc>
        <w:tc>
          <w:tcPr>
            <w:tcW w:w="718" w:type="dxa"/>
            <w:vAlign w:val="top"/>
          </w:tcPr>
          <w:p>
            <w:pPr>
              <w:pStyle w:val="TableText"/>
              <w:ind w:left="70"/>
              <w:spacing w:before="31" w:line="217" w:lineRule="auto"/>
              <w:rPr/>
            </w:pPr>
            <w:r>
              <w:rPr/>
              <w:t>中层样</w:t>
            </w:r>
          </w:p>
        </w:tc>
        <w:tc>
          <w:tcPr>
            <w:tcW w:w="723" w:type="dxa"/>
            <w:vAlign w:val="top"/>
          </w:tcPr>
          <w:p>
            <w:pPr>
              <w:pStyle w:val="TableText"/>
              <w:ind w:left="54"/>
              <w:spacing w:before="31" w:line="217" w:lineRule="auto"/>
              <w:rPr/>
            </w:pPr>
            <w:r>
              <w:rPr>
                <w:spacing w:val="6"/>
              </w:rPr>
              <w:t>深层样</w:t>
            </w:r>
          </w:p>
        </w:tc>
        <w:tc>
          <w:tcPr>
            <w:tcW w:w="955" w:type="dxa"/>
            <w:vAlign w:val="top"/>
            <w:vMerge w:val="continue"/>
            <w:tcBorders>
              <w:top w:val="nil"/>
            </w:tcBorders>
          </w:tcPr>
          <w:p>
            <w:pPr>
              <w:rPr>
                <w:rFonts w:ascii="Arial"/>
                <w:sz w:val="21"/>
              </w:rPr>
            </w:pPr>
            <w:r/>
          </w:p>
        </w:tc>
      </w:tr>
      <w:tr>
        <w:trPr>
          <w:trHeight w:val="317" w:hRule="atLeast"/>
        </w:trPr>
        <w:tc>
          <w:tcPr>
            <w:tcW w:w="479" w:type="dxa"/>
            <w:vAlign w:val="top"/>
          </w:tcPr>
          <w:p>
            <w:pPr>
              <w:ind w:left="210"/>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744" w:type="dxa"/>
            <w:vAlign w:val="top"/>
          </w:tcPr>
          <w:p>
            <w:pPr>
              <w:pStyle w:val="TableText"/>
              <w:ind w:left="770"/>
              <w:spacing w:before="52" w:line="228" w:lineRule="auto"/>
              <w:rPr/>
            </w:pPr>
            <w:r>
              <w:rPr>
                <w:spacing w:val="1"/>
              </w:rPr>
              <w:t>砷</w:t>
            </w:r>
          </w:p>
        </w:tc>
        <w:tc>
          <w:tcPr>
            <w:tcW w:w="1017" w:type="dxa"/>
            <w:vAlign w:val="top"/>
          </w:tcPr>
          <w:p>
            <w:pPr>
              <w:ind w:left="237"/>
              <w:spacing w:before="8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8" w:type="dxa"/>
            <w:vAlign w:val="top"/>
          </w:tcPr>
          <w:p>
            <w:pPr>
              <w:ind w:left="186"/>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8.57</w:t>
            </w:r>
          </w:p>
        </w:tc>
        <w:tc>
          <w:tcPr>
            <w:tcW w:w="718" w:type="dxa"/>
            <w:vAlign w:val="top"/>
          </w:tcPr>
          <w:p>
            <w:pPr>
              <w:ind w:left="181"/>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9.17</w:t>
            </w:r>
          </w:p>
        </w:tc>
        <w:tc>
          <w:tcPr>
            <w:tcW w:w="723" w:type="dxa"/>
            <w:vAlign w:val="top"/>
          </w:tcPr>
          <w:p>
            <w:pPr>
              <w:ind w:left="188"/>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8.97</w:t>
            </w:r>
          </w:p>
        </w:tc>
        <w:tc>
          <w:tcPr>
            <w:tcW w:w="718" w:type="dxa"/>
            <w:vAlign w:val="top"/>
          </w:tcPr>
          <w:p>
            <w:pPr>
              <w:ind w:left="187"/>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8.76</w:t>
            </w:r>
          </w:p>
        </w:tc>
        <w:tc>
          <w:tcPr>
            <w:tcW w:w="718" w:type="dxa"/>
            <w:vAlign w:val="top"/>
          </w:tcPr>
          <w:p>
            <w:pPr>
              <w:ind w:left="187"/>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8.51</w:t>
            </w:r>
          </w:p>
        </w:tc>
        <w:tc>
          <w:tcPr>
            <w:tcW w:w="723" w:type="dxa"/>
            <w:vAlign w:val="top"/>
          </w:tcPr>
          <w:p>
            <w:pPr>
              <w:ind w:left="189"/>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8.65</w:t>
            </w:r>
          </w:p>
        </w:tc>
        <w:tc>
          <w:tcPr>
            <w:tcW w:w="955" w:type="dxa"/>
            <w:vAlign w:val="top"/>
          </w:tcPr>
          <w:p>
            <w:pPr>
              <w:ind w:left="379"/>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r>
      <w:tr>
        <w:trPr>
          <w:trHeight w:val="316" w:hRule="atLeast"/>
        </w:trPr>
        <w:tc>
          <w:tcPr>
            <w:tcW w:w="479" w:type="dxa"/>
            <w:vAlign w:val="top"/>
          </w:tcPr>
          <w:p>
            <w:pPr>
              <w:ind w:left="190"/>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744" w:type="dxa"/>
            <w:vAlign w:val="top"/>
          </w:tcPr>
          <w:p>
            <w:pPr>
              <w:pStyle w:val="TableText"/>
              <w:ind w:left="769"/>
              <w:spacing w:before="51" w:line="231" w:lineRule="auto"/>
              <w:rPr/>
            </w:pPr>
            <w:r>
              <w:rPr>
                <w:spacing w:val="2"/>
              </w:rPr>
              <w:t>镉</w:t>
            </w:r>
          </w:p>
        </w:tc>
        <w:tc>
          <w:tcPr>
            <w:tcW w:w="1017" w:type="dxa"/>
            <w:vAlign w:val="top"/>
          </w:tcPr>
          <w:p>
            <w:pPr>
              <w:ind w:left="237"/>
              <w:spacing w:before="83"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8" w:type="dxa"/>
            <w:vAlign w:val="top"/>
          </w:tcPr>
          <w:p>
            <w:pPr>
              <w:ind w:left="181"/>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0.33</w:t>
            </w:r>
          </w:p>
        </w:tc>
        <w:tc>
          <w:tcPr>
            <w:tcW w:w="718" w:type="dxa"/>
            <w:vAlign w:val="top"/>
          </w:tcPr>
          <w:p>
            <w:pPr>
              <w:ind w:left="180"/>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0.35</w:t>
            </w:r>
          </w:p>
        </w:tc>
        <w:tc>
          <w:tcPr>
            <w:tcW w:w="723" w:type="dxa"/>
            <w:vAlign w:val="top"/>
          </w:tcPr>
          <w:p>
            <w:pPr>
              <w:ind w:left="182"/>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0.37</w:t>
            </w:r>
          </w:p>
        </w:tc>
        <w:tc>
          <w:tcPr>
            <w:tcW w:w="718" w:type="dxa"/>
            <w:vAlign w:val="top"/>
          </w:tcPr>
          <w:p>
            <w:pPr>
              <w:ind w:left="182"/>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0.26</w:t>
            </w:r>
          </w:p>
        </w:tc>
        <w:tc>
          <w:tcPr>
            <w:tcW w:w="718" w:type="dxa"/>
            <w:vAlign w:val="top"/>
          </w:tcPr>
          <w:p>
            <w:pPr>
              <w:ind w:left="181"/>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0.22</w:t>
            </w:r>
          </w:p>
        </w:tc>
        <w:tc>
          <w:tcPr>
            <w:tcW w:w="723" w:type="dxa"/>
            <w:vAlign w:val="top"/>
          </w:tcPr>
          <w:p>
            <w:pPr>
              <w:ind w:left="183"/>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0.24</w:t>
            </w:r>
          </w:p>
        </w:tc>
        <w:tc>
          <w:tcPr>
            <w:tcW w:w="955" w:type="dxa"/>
            <w:vAlign w:val="top"/>
          </w:tcPr>
          <w:p>
            <w:pPr>
              <w:ind w:left="379"/>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r>
      <w:tr>
        <w:trPr>
          <w:trHeight w:val="317" w:hRule="atLeast"/>
        </w:trPr>
        <w:tc>
          <w:tcPr>
            <w:tcW w:w="479" w:type="dxa"/>
            <w:vAlign w:val="top"/>
          </w:tcPr>
          <w:p>
            <w:pPr>
              <w:ind w:left="189"/>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744" w:type="dxa"/>
            <w:vAlign w:val="top"/>
          </w:tcPr>
          <w:p>
            <w:pPr>
              <w:pStyle w:val="TableText"/>
              <w:ind w:left="770"/>
              <w:spacing w:before="52" w:line="229" w:lineRule="auto"/>
              <w:rPr/>
            </w:pPr>
            <w:r>
              <w:rPr/>
              <w:t>铜</w:t>
            </w:r>
          </w:p>
        </w:tc>
        <w:tc>
          <w:tcPr>
            <w:tcW w:w="1017" w:type="dxa"/>
            <w:vAlign w:val="top"/>
          </w:tcPr>
          <w:p>
            <w:pPr>
              <w:ind w:left="237"/>
              <w:spacing w:before="8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8" w:type="dxa"/>
            <w:vAlign w:val="top"/>
          </w:tcPr>
          <w:p>
            <w:pPr>
              <w:ind w:left="254"/>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18" w:type="dxa"/>
            <w:vAlign w:val="top"/>
          </w:tcPr>
          <w:p>
            <w:pPr>
              <w:ind w:left="256"/>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21</w:t>
            </w:r>
          </w:p>
        </w:tc>
        <w:tc>
          <w:tcPr>
            <w:tcW w:w="723" w:type="dxa"/>
            <w:vAlign w:val="top"/>
          </w:tcPr>
          <w:p>
            <w:pPr>
              <w:ind w:left="258"/>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23</w:t>
            </w:r>
          </w:p>
        </w:tc>
        <w:tc>
          <w:tcPr>
            <w:tcW w:w="718" w:type="dxa"/>
            <w:vAlign w:val="top"/>
          </w:tcPr>
          <w:p>
            <w:pPr>
              <w:ind w:left="280"/>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rPr>
              <w:t>11</w:t>
            </w:r>
          </w:p>
        </w:tc>
        <w:tc>
          <w:tcPr>
            <w:tcW w:w="718" w:type="dxa"/>
            <w:vAlign w:val="top"/>
          </w:tcPr>
          <w:p>
            <w:pPr>
              <w:ind w:left="278"/>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723" w:type="dxa"/>
            <w:vAlign w:val="top"/>
          </w:tcPr>
          <w:p>
            <w:pPr>
              <w:ind w:left="280"/>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13</w:t>
            </w:r>
          </w:p>
        </w:tc>
        <w:tc>
          <w:tcPr>
            <w:tcW w:w="955" w:type="dxa"/>
            <w:vAlign w:val="top"/>
          </w:tcPr>
          <w:p>
            <w:pPr>
              <w:ind w:left="236"/>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18000</w:t>
            </w:r>
          </w:p>
        </w:tc>
      </w:tr>
      <w:tr>
        <w:trPr>
          <w:trHeight w:val="316" w:hRule="atLeast"/>
        </w:trPr>
        <w:tc>
          <w:tcPr>
            <w:tcW w:w="479" w:type="dxa"/>
            <w:vAlign w:val="top"/>
          </w:tcPr>
          <w:p>
            <w:pPr>
              <w:ind w:left="195"/>
              <w:spacing w:before="9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744" w:type="dxa"/>
            <w:vAlign w:val="top"/>
          </w:tcPr>
          <w:p>
            <w:pPr>
              <w:pStyle w:val="TableText"/>
              <w:ind w:left="770"/>
              <w:spacing w:before="51" w:line="232" w:lineRule="auto"/>
              <w:rPr/>
            </w:pPr>
            <w:r>
              <w:rPr/>
              <w:t>铅</w:t>
            </w:r>
          </w:p>
        </w:tc>
        <w:tc>
          <w:tcPr>
            <w:tcW w:w="1017" w:type="dxa"/>
            <w:vAlign w:val="top"/>
          </w:tcPr>
          <w:p>
            <w:pPr>
              <w:ind w:left="237"/>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8" w:type="dxa"/>
            <w:vAlign w:val="top"/>
          </w:tcPr>
          <w:p>
            <w:pPr>
              <w:ind w:left="17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20.1</w:t>
            </w:r>
          </w:p>
        </w:tc>
        <w:tc>
          <w:tcPr>
            <w:tcW w:w="718" w:type="dxa"/>
            <w:vAlign w:val="top"/>
          </w:tcPr>
          <w:p>
            <w:pPr>
              <w:ind w:left="17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21.0</w:t>
            </w:r>
          </w:p>
        </w:tc>
        <w:tc>
          <w:tcPr>
            <w:tcW w:w="723" w:type="dxa"/>
            <w:vAlign w:val="top"/>
          </w:tcPr>
          <w:p>
            <w:pPr>
              <w:ind w:left="17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20.4</w:t>
            </w:r>
          </w:p>
        </w:tc>
        <w:tc>
          <w:tcPr>
            <w:tcW w:w="718" w:type="dxa"/>
            <w:vAlign w:val="top"/>
          </w:tcPr>
          <w:p>
            <w:pPr>
              <w:ind w:left="19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19.1</w:t>
            </w:r>
          </w:p>
        </w:tc>
        <w:tc>
          <w:tcPr>
            <w:tcW w:w="718" w:type="dxa"/>
            <w:vAlign w:val="top"/>
          </w:tcPr>
          <w:p>
            <w:pPr>
              <w:ind w:left="19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19.9</w:t>
            </w:r>
          </w:p>
        </w:tc>
        <w:tc>
          <w:tcPr>
            <w:tcW w:w="723" w:type="dxa"/>
            <w:vAlign w:val="top"/>
          </w:tcPr>
          <w:p>
            <w:pPr>
              <w:ind w:left="200"/>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19.6</w:t>
            </w:r>
          </w:p>
        </w:tc>
        <w:tc>
          <w:tcPr>
            <w:tcW w:w="955" w:type="dxa"/>
            <w:vAlign w:val="top"/>
          </w:tcPr>
          <w:p>
            <w:pPr>
              <w:ind w:left="330"/>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800</w:t>
            </w:r>
          </w:p>
        </w:tc>
      </w:tr>
      <w:tr>
        <w:trPr>
          <w:trHeight w:val="316" w:hRule="atLeast"/>
        </w:trPr>
        <w:tc>
          <w:tcPr>
            <w:tcW w:w="479" w:type="dxa"/>
            <w:vAlign w:val="top"/>
          </w:tcPr>
          <w:p>
            <w:pPr>
              <w:ind w:left="19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744" w:type="dxa"/>
            <w:vAlign w:val="top"/>
          </w:tcPr>
          <w:p>
            <w:pPr>
              <w:pStyle w:val="TableText"/>
              <w:ind w:left="771"/>
              <w:spacing w:before="52" w:line="228" w:lineRule="auto"/>
              <w:rPr/>
            </w:pPr>
            <w:r>
              <w:rPr/>
              <w:t>汞</w:t>
            </w:r>
          </w:p>
        </w:tc>
        <w:tc>
          <w:tcPr>
            <w:tcW w:w="1017" w:type="dxa"/>
            <w:vAlign w:val="top"/>
          </w:tcPr>
          <w:p>
            <w:pPr>
              <w:ind w:left="237"/>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8" w:type="dxa"/>
            <w:vAlign w:val="top"/>
          </w:tcPr>
          <w:p>
            <w:pPr>
              <w:ind w:left="126"/>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0.086</w:t>
            </w:r>
          </w:p>
        </w:tc>
        <w:tc>
          <w:tcPr>
            <w:tcW w:w="718" w:type="dxa"/>
            <w:vAlign w:val="top"/>
          </w:tcPr>
          <w:p>
            <w:pPr>
              <w:ind w:left="12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0.089</w:t>
            </w:r>
          </w:p>
        </w:tc>
        <w:tc>
          <w:tcPr>
            <w:tcW w:w="723" w:type="dxa"/>
            <w:vAlign w:val="top"/>
          </w:tcPr>
          <w:p>
            <w:pPr>
              <w:ind w:left="130"/>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0.083</w:t>
            </w:r>
          </w:p>
        </w:tc>
        <w:tc>
          <w:tcPr>
            <w:tcW w:w="718" w:type="dxa"/>
            <w:vAlign w:val="top"/>
          </w:tcPr>
          <w:p>
            <w:pPr>
              <w:ind w:left="12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0.078</w:t>
            </w:r>
          </w:p>
        </w:tc>
        <w:tc>
          <w:tcPr>
            <w:tcW w:w="718" w:type="dxa"/>
            <w:vAlign w:val="top"/>
          </w:tcPr>
          <w:p>
            <w:pPr>
              <w:ind w:left="12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0.082</w:t>
            </w:r>
          </w:p>
        </w:tc>
        <w:tc>
          <w:tcPr>
            <w:tcW w:w="723" w:type="dxa"/>
            <w:vAlign w:val="top"/>
          </w:tcPr>
          <w:p>
            <w:pPr>
              <w:ind w:left="13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0.089</w:t>
            </w:r>
          </w:p>
        </w:tc>
        <w:tc>
          <w:tcPr>
            <w:tcW w:w="955" w:type="dxa"/>
            <w:vAlign w:val="top"/>
          </w:tcPr>
          <w:p>
            <w:pPr>
              <w:ind w:left="37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38</w:t>
            </w:r>
          </w:p>
        </w:tc>
      </w:tr>
      <w:tr>
        <w:trPr>
          <w:trHeight w:val="317" w:hRule="atLeast"/>
        </w:trPr>
        <w:tc>
          <w:tcPr>
            <w:tcW w:w="479" w:type="dxa"/>
            <w:vAlign w:val="top"/>
          </w:tcPr>
          <w:p>
            <w:pPr>
              <w:ind w:left="193"/>
              <w:spacing w:before="9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744" w:type="dxa"/>
            <w:vAlign w:val="top"/>
          </w:tcPr>
          <w:p>
            <w:pPr>
              <w:pStyle w:val="TableText"/>
              <w:ind w:left="770"/>
              <w:spacing w:before="55" w:line="228" w:lineRule="auto"/>
              <w:rPr/>
            </w:pPr>
            <w:r>
              <w:rPr>
                <w:spacing w:val="1"/>
              </w:rPr>
              <w:t>镍</w:t>
            </w:r>
          </w:p>
        </w:tc>
        <w:tc>
          <w:tcPr>
            <w:tcW w:w="1017" w:type="dxa"/>
            <w:vAlign w:val="top"/>
          </w:tcPr>
          <w:p>
            <w:pPr>
              <w:ind w:left="237"/>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8" w:type="dxa"/>
            <w:vAlign w:val="top"/>
          </w:tcPr>
          <w:p>
            <w:pPr>
              <w:ind w:left="25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22</w:t>
            </w:r>
          </w:p>
        </w:tc>
        <w:tc>
          <w:tcPr>
            <w:tcW w:w="718" w:type="dxa"/>
            <w:vAlign w:val="top"/>
          </w:tcPr>
          <w:p>
            <w:pPr>
              <w:ind w:left="25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26</w:t>
            </w:r>
          </w:p>
        </w:tc>
        <w:tc>
          <w:tcPr>
            <w:tcW w:w="723" w:type="dxa"/>
            <w:vAlign w:val="top"/>
          </w:tcPr>
          <w:p>
            <w:pPr>
              <w:ind w:left="25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23</w:t>
            </w:r>
          </w:p>
        </w:tc>
        <w:tc>
          <w:tcPr>
            <w:tcW w:w="718" w:type="dxa"/>
            <w:vAlign w:val="top"/>
          </w:tcPr>
          <w:p>
            <w:pPr>
              <w:ind w:left="25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41</w:t>
            </w:r>
          </w:p>
        </w:tc>
        <w:tc>
          <w:tcPr>
            <w:tcW w:w="718" w:type="dxa"/>
            <w:vAlign w:val="top"/>
          </w:tcPr>
          <w:p>
            <w:pPr>
              <w:ind w:left="26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37</w:t>
            </w:r>
          </w:p>
        </w:tc>
        <w:tc>
          <w:tcPr>
            <w:tcW w:w="723" w:type="dxa"/>
            <w:vAlign w:val="top"/>
          </w:tcPr>
          <w:p>
            <w:pPr>
              <w:ind w:left="26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39</w:t>
            </w:r>
          </w:p>
        </w:tc>
        <w:tc>
          <w:tcPr>
            <w:tcW w:w="955" w:type="dxa"/>
            <w:vAlign w:val="top"/>
          </w:tcPr>
          <w:p>
            <w:pPr>
              <w:ind w:left="32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900</w:t>
            </w:r>
          </w:p>
        </w:tc>
      </w:tr>
      <w:tr>
        <w:trPr>
          <w:trHeight w:val="316" w:hRule="atLeast"/>
        </w:trPr>
        <w:tc>
          <w:tcPr>
            <w:tcW w:w="479" w:type="dxa"/>
            <w:vAlign w:val="top"/>
          </w:tcPr>
          <w:p>
            <w:pPr>
              <w:ind w:left="19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744" w:type="dxa"/>
            <w:vAlign w:val="top"/>
          </w:tcPr>
          <w:p>
            <w:pPr>
              <w:pStyle w:val="TableText"/>
              <w:ind w:left="561"/>
              <w:spacing w:before="55" w:line="226" w:lineRule="auto"/>
              <w:rPr/>
            </w:pPr>
            <w:r>
              <w:rPr>
                <w:spacing w:val="6"/>
              </w:rPr>
              <w:t>六价铬</w:t>
            </w:r>
          </w:p>
        </w:tc>
        <w:tc>
          <w:tcPr>
            <w:tcW w:w="1017" w:type="dxa"/>
            <w:vAlign w:val="top"/>
          </w:tcPr>
          <w:p>
            <w:pPr>
              <w:ind w:left="237"/>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8" w:type="dxa"/>
            <w:vAlign w:val="top"/>
          </w:tcPr>
          <w:p>
            <w:pPr>
              <w:pStyle w:val="TableText"/>
              <w:ind w:left="53"/>
              <w:spacing w:before="54" w:line="228" w:lineRule="auto"/>
              <w:rPr/>
            </w:pPr>
            <w:r>
              <w:rPr>
                <w:spacing w:val="5"/>
              </w:rPr>
              <w:t>未检出</w:t>
            </w:r>
          </w:p>
        </w:tc>
        <w:tc>
          <w:tcPr>
            <w:tcW w:w="718" w:type="dxa"/>
            <w:vAlign w:val="top"/>
          </w:tcPr>
          <w:p>
            <w:pPr>
              <w:pStyle w:val="TableText"/>
              <w:ind w:left="52"/>
              <w:spacing w:before="54" w:line="228" w:lineRule="auto"/>
              <w:rPr/>
            </w:pPr>
            <w:r>
              <w:rPr>
                <w:spacing w:val="5"/>
              </w:rPr>
              <w:t>未检出</w:t>
            </w:r>
          </w:p>
        </w:tc>
        <w:tc>
          <w:tcPr>
            <w:tcW w:w="723" w:type="dxa"/>
            <w:vAlign w:val="top"/>
          </w:tcPr>
          <w:p>
            <w:pPr>
              <w:pStyle w:val="TableText"/>
              <w:ind w:left="57"/>
              <w:spacing w:before="54" w:line="228" w:lineRule="auto"/>
              <w:rPr/>
            </w:pPr>
            <w:r>
              <w:rPr>
                <w:spacing w:val="5"/>
              </w:rPr>
              <w:t>未检出</w:t>
            </w:r>
          </w:p>
        </w:tc>
        <w:tc>
          <w:tcPr>
            <w:tcW w:w="718" w:type="dxa"/>
            <w:vAlign w:val="top"/>
          </w:tcPr>
          <w:p>
            <w:pPr>
              <w:pStyle w:val="TableText"/>
              <w:ind w:left="54"/>
              <w:spacing w:before="54" w:line="228" w:lineRule="auto"/>
              <w:rPr/>
            </w:pPr>
            <w:r>
              <w:rPr>
                <w:spacing w:val="5"/>
              </w:rPr>
              <w:t>未检出</w:t>
            </w:r>
          </w:p>
        </w:tc>
        <w:tc>
          <w:tcPr>
            <w:tcW w:w="718" w:type="dxa"/>
            <w:vAlign w:val="top"/>
          </w:tcPr>
          <w:p>
            <w:pPr>
              <w:pStyle w:val="TableText"/>
              <w:ind w:left="53"/>
              <w:spacing w:before="54" w:line="228" w:lineRule="auto"/>
              <w:rPr/>
            </w:pPr>
            <w:r>
              <w:rPr>
                <w:spacing w:val="5"/>
              </w:rPr>
              <w:t>未检出</w:t>
            </w:r>
          </w:p>
        </w:tc>
        <w:tc>
          <w:tcPr>
            <w:tcW w:w="723" w:type="dxa"/>
            <w:vAlign w:val="top"/>
          </w:tcPr>
          <w:p>
            <w:pPr>
              <w:pStyle w:val="TableText"/>
              <w:ind w:left="58"/>
              <w:spacing w:before="54" w:line="228" w:lineRule="auto"/>
              <w:rPr/>
            </w:pPr>
            <w:r>
              <w:rPr>
                <w:spacing w:val="5"/>
              </w:rPr>
              <w:t>未检出</w:t>
            </w:r>
          </w:p>
        </w:tc>
        <w:tc>
          <w:tcPr>
            <w:tcW w:w="955" w:type="dxa"/>
            <w:vAlign w:val="top"/>
          </w:tcPr>
          <w:p>
            <w:pPr>
              <w:ind w:left="353"/>
              <w:spacing w:before="9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5.7</w:t>
            </w:r>
          </w:p>
        </w:tc>
      </w:tr>
      <w:tr>
        <w:trPr>
          <w:trHeight w:val="321" w:hRule="atLeast"/>
        </w:trPr>
        <w:tc>
          <w:tcPr>
            <w:tcW w:w="479" w:type="dxa"/>
            <w:vAlign w:val="top"/>
          </w:tcPr>
          <w:p>
            <w:pPr>
              <w:ind w:left="19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744" w:type="dxa"/>
            <w:vAlign w:val="top"/>
          </w:tcPr>
          <w:p>
            <w:pPr>
              <w:pStyle w:val="TableText"/>
              <w:ind w:left="39"/>
              <w:spacing w:before="56" w:line="228" w:lineRule="auto"/>
              <w:rPr/>
            </w:pPr>
            <w:r>
              <w:rPr>
                <w:spacing w:val="5"/>
              </w:rPr>
              <w:t>石油烃（</w:t>
            </w:r>
            <w:r>
              <w:rPr>
                <w:rFonts w:ascii="Times New Roman" w:hAnsi="Times New Roman" w:eastAsia="Times New Roman" w:cs="Times New Roman"/>
                <w:spacing w:val="5"/>
              </w:rPr>
              <w:t>C</w:t>
            </w:r>
            <w:r>
              <w:rPr>
                <w:rFonts w:ascii="Times New Roman" w:hAnsi="Times New Roman" w:eastAsia="Times New Roman" w:cs="Times New Roman"/>
                <w:sz w:val="13"/>
                <w:szCs w:val="13"/>
                <w:spacing w:val="5"/>
              </w:rPr>
              <w:t>10</w:t>
            </w:r>
            <w:r>
              <w:rPr>
                <w:rFonts w:ascii="Times New Roman" w:hAnsi="Times New Roman" w:eastAsia="Times New Roman" w:cs="Times New Roman"/>
                <w:spacing w:val="5"/>
              </w:rPr>
              <w:t>-C</w:t>
            </w:r>
            <w:r>
              <w:rPr>
                <w:rFonts w:ascii="Times New Roman" w:hAnsi="Times New Roman" w:eastAsia="Times New Roman" w:cs="Times New Roman"/>
                <w:sz w:val="13"/>
                <w:szCs w:val="13"/>
                <w:spacing w:val="5"/>
                <w:position w:val="-1"/>
              </w:rPr>
              <w:t>40</w:t>
            </w:r>
            <w:r>
              <w:rPr>
                <w:spacing w:val="5"/>
              </w:rPr>
              <w:t>）</w:t>
            </w:r>
          </w:p>
        </w:tc>
        <w:tc>
          <w:tcPr>
            <w:tcW w:w="1017" w:type="dxa"/>
            <w:vAlign w:val="top"/>
          </w:tcPr>
          <w:p>
            <w:pPr>
              <w:ind w:left="237"/>
              <w:spacing w:before="87"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718" w:type="dxa"/>
            <w:vAlign w:val="top"/>
          </w:tcPr>
          <w:p>
            <w:pPr>
              <w:pStyle w:val="TableText"/>
              <w:ind w:left="53"/>
              <w:spacing w:before="55" w:line="228" w:lineRule="auto"/>
              <w:rPr/>
            </w:pPr>
            <w:r>
              <w:rPr>
                <w:spacing w:val="5"/>
              </w:rPr>
              <w:t>未检出</w:t>
            </w:r>
          </w:p>
        </w:tc>
        <w:tc>
          <w:tcPr>
            <w:tcW w:w="718" w:type="dxa"/>
            <w:vAlign w:val="top"/>
          </w:tcPr>
          <w:p>
            <w:pPr>
              <w:pStyle w:val="TableText"/>
              <w:ind w:left="52"/>
              <w:spacing w:before="55" w:line="228" w:lineRule="auto"/>
              <w:rPr/>
            </w:pPr>
            <w:r>
              <w:rPr>
                <w:spacing w:val="5"/>
              </w:rPr>
              <w:t>未检出</w:t>
            </w:r>
          </w:p>
        </w:tc>
        <w:tc>
          <w:tcPr>
            <w:tcW w:w="723" w:type="dxa"/>
            <w:vAlign w:val="top"/>
          </w:tcPr>
          <w:p>
            <w:pPr>
              <w:pStyle w:val="TableText"/>
              <w:ind w:left="57"/>
              <w:spacing w:before="55" w:line="228" w:lineRule="auto"/>
              <w:rPr/>
            </w:pPr>
            <w:r>
              <w:rPr>
                <w:spacing w:val="5"/>
              </w:rPr>
              <w:t>未检出</w:t>
            </w:r>
          </w:p>
        </w:tc>
        <w:tc>
          <w:tcPr>
            <w:tcW w:w="718" w:type="dxa"/>
            <w:vAlign w:val="top"/>
          </w:tcPr>
          <w:p>
            <w:pPr>
              <w:pStyle w:val="TableText"/>
              <w:ind w:left="54"/>
              <w:spacing w:before="55" w:line="228" w:lineRule="auto"/>
              <w:rPr/>
            </w:pPr>
            <w:r>
              <w:rPr>
                <w:spacing w:val="5"/>
              </w:rPr>
              <w:t>未检出</w:t>
            </w:r>
          </w:p>
        </w:tc>
        <w:tc>
          <w:tcPr>
            <w:tcW w:w="718" w:type="dxa"/>
            <w:vAlign w:val="top"/>
          </w:tcPr>
          <w:p>
            <w:pPr>
              <w:pStyle w:val="TableText"/>
              <w:ind w:left="53"/>
              <w:spacing w:before="55" w:line="228" w:lineRule="auto"/>
              <w:rPr/>
            </w:pPr>
            <w:r>
              <w:rPr>
                <w:spacing w:val="5"/>
              </w:rPr>
              <w:t>未检出</w:t>
            </w:r>
          </w:p>
        </w:tc>
        <w:tc>
          <w:tcPr>
            <w:tcW w:w="723" w:type="dxa"/>
            <w:vAlign w:val="top"/>
          </w:tcPr>
          <w:p>
            <w:pPr>
              <w:pStyle w:val="TableText"/>
              <w:ind w:left="58"/>
              <w:spacing w:before="55" w:line="228" w:lineRule="auto"/>
              <w:rPr/>
            </w:pPr>
            <w:r>
              <w:rPr>
                <w:spacing w:val="5"/>
              </w:rPr>
              <w:t>未检出</w:t>
            </w:r>
          </w:p>
        </w:tc>
        <w:tc>
          <w:tcPr>
            <w:tcW w:w="955" w:type="dxa"/>
            <w:vAlign w:val="top"/>
          </w:tcPr>
          <w:p>
            <w:pPr>
              <w:ind w:left="26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4500</w:t>
            </w:r>
          </w:p>
        </w:tc>
      </w:tr>
    </w:tbl>
    <w:p>
      <w:pPr>
        <w:ind w:left="2772"/>
        <w:spacing w:before="35" w:line="212" w:lineRule="auto"/>
        <w:rPr>
          <w:rFonts w:ascii="Times New Roman" w:hAnsi="Times New Roman" w:eastAsia="Times New Roman" w:cs="Times New Roman"/>
          <w:sz w:val="24"/>
          <w:szCs w:val="24"/>
        </w:rPr>
      </w:pPr>
      <w:r>
        <w:rPr>
          <w:rFonts w:ascii="SimSun" w:hAnsi="SimSun" w:eastAsia="SimSun" w:cs="SimSun"/>
          <w:sz w:val="24"/>
          <w:szCs w:val="24"/>
          <w:b/>
          <w:bCs/>
          <w:spacing w:val="-2"/>
        </w:rPr>
        <w:t>表</w:t>
      </w:r>
      <w:r>
        <w:rPr>
          <w:rFonts w:ascii="SimSun" w:hAnsi="SimSun" w:eastAsia="SimSun" w:cs="SimSun"/>
          <w:sz w:val="24"/>
          <w:szCs w:val="24"/>
          <w:spacing w:val="-40"/>
        </w:rPr>
        <w:t xml:space="preserve"> </w:t>
      </w:r>
      <w:r>
        <w:rPr>
          <w:rFonts w:ascii="Times New Roman" w:hAnsi="Times New Roman" w:eastAsia="Times New Roman" w:cs="Times New Roman"/>
          <w:sz w:val="24"/>
          <w:szCs w:val="24"/>
          <w:b/>
          <w:bCs/>
          <w:spacing w:val="-2"/>
        </w:rPr>
        <w:t>4.2-19        </w:t>
      </w:r>
      <w:r>
        <w:rPr>
          <w:rFonts w:ascii="SimSun" w:hAnsi="SimSun" w:eastAsia="SimSun" w:cs="SimSun"/>
          <w:sz w:val="24"/>
          <w:szCs w:val="24"/>
          <w:b/>
          <w:bCs/>
          <w:spacing w:val="-2"/>
        </w:rPr>
        <w:t>土壤检测结果</w:t>
      </w:r>
      <w:r>
        <w:rPr>
          <w:rFonts w:ascii="SimSun" w:hAnsi="SimSun" w:eastAsia="SimSun" w:cs="SimSun"/>
          <w:sz w:val="24"/>
          <w:szCs w:val="24"/>
          <w:spacing w:val="-48"/>
        </w:rPr>
        <w:t xml:space="preserve"> </w:t>
      </w:r>
      <w:r>
        <w:rPr>
          <w:rFonts w:ascii="Times New Roman" w:hAnsi="Times New Roman" w:eastAsia="Times New Roman" w:cs="Times New Roman"/>
          <w:sz w:val="24"/>
          <w:szCs w:val="24"/>
          <w:b/>
          <w:bCs/>
          <w:spacing w:val="-2"/>
        </w:rPr>
        <w:t>6</w:t>
      </w:r>
    </w:p>
    <w:tbl>
      <w:tblPr>
        <w:tblStyle w:val="TableNormal"/>
        <w:tblW w:w="854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26"/>
        <w:gridCol w:w="1348"/>
        <w:gridCol w:w="1282"/>
        <w:gridCol w:w="1525"/>
        <w:gridCol w:w="1566"/>
        <w:gridCol w:w="1347"/>
        <w:gridCol w:w="953"/>
      </w:tblGrid>
      <w:tr>
        <w:trPr>
          <w:trHeight w:val="281" w:hRule="atLeast"/>
        </w:trPr>
        <w:tc>
          <w:tcPr>
            <w:tcW w:w="526" w:type="dxa"/>
            <w:vAlign w:val="top"/>
          </w:tcPr>
          <w:p>
            <w:pPr>
              <w:pStyle w:val="TableText"/>
              <w:ind w:left="56"/>
              <w:spacing w:before="37" w:line="216" w:lineRule="auto"/>
              <w:rPr/>
            </w:pPr>
            <w:r>
              <w:rPr>
                <w:spacing w:val="5"/>
              </w:rPr>
              <w:t>序号</w:t>
            </w:r>
          </w:p>
        </w:tc>
        <w:tc>
          <w:tcPr>
            <w:tcW w:w="1348" w:type="dxa"/>
            <w:vAlign w:val="top"/>
          </w:tcPr>
          <w:p>
            <w:pPr>
              <w:pStyle w:val="TableText"/>
              <w:ind w:left="256"/>
              <w:spacing w:before="37" w:line="216" w:lineRule="auto"/>
              <w:rPr/>
            </w:pPr>
            <w:r>
              <w:rPr>
                <w:spacing w:val="7"/>
              </w:rPr>
              <w:t>检测因子</w:t>
            </w:r>
          </w:p>
        </w:tc>
        <w:tc>
          <w:tcPr>
            <w:tcW w:w="1282" w:type="dxa"/>
            <w:vAlign w:val="top"/>
          </w:tcPr>
          <w:p>
            <w:pPr>
              <w:pStyle w:val="TableText"/>
              <w:ind w:left="436"/>
              <w:spacing w:before="37" w:line="216" w:lineRule="auto"/>
              <w:rPr/>
            </w:pPr>
            <w:r>
              <w:rPr>
                <w:spacing w:val="3"/>
              </w:rPr>
              <w:t>单位</w:t>
            </w:r>
          </w:p>
        </w:tc>
        <w:tc>
          <w:tcPr>
            <w:tcW w:w="1525" w:type="dxa"/>
            <w:vAlign w:val="top"/>
          </w:tcPr>
          <w:p>
            <w:pPr>
              <w:pStyle w:val="TableText"/>
              <w:ind w:left="141"/>
              <w:spacing w:before="37" w:line="216" w:lineRule="auto"/>
              <w:rPr/>
            </w:pPr>
            <w:r>
              <w:rPr>
                <w:rFonts w:ascii="Times New Roman" w:hAnsi="Times New Roman" w:eastAsia="Times New Roman" w:cs="Times New Roman"/>
                <w:spacing w:val="5"/>
              </w:rPr>
              <w:t>T</w:t>
            </w:r>
            <w:r>
              <w:rPr>
                <w:rFonts w:ascii="Times New Roman" w:hAnsi="Times New Roman" w:eastAsia="Times New Roman" w:cs="Times New Roman"/>
                <w:sz w:val="13"/>
                <w:szCs w:val="13"/>
                <w:spacing w:val="5"/>
                <w:position w:val="-1"/>
              </w:rPr>
              <w:t>9</w:t>
            </w:r>
            <w:r>
              <w:rPr>
                <w:spacing w:val="5"/>
              </w:rPr>
              <w:t>（表层样）</w:t>
            </w:r>
          </w:p>
        </w:tc>
        <w:tc>
          <w:tcPr>
            <w:tcW w:w="1566" w:type="dxa"/>
            <w:vAlign w:val="top"/>
          </w:tcPr>
          <w:p>
            <w:pPr>
              <w:pStyle w:val="TableText"/>
              <w:ind w:left="128"/>
              <w:spacing w:before="37" w:line="216" w:lineRule="auto"/>
              <w:rPr/>
            </w:pPr>
            <w:r>
              <w:rPr>
                <w:rFonts w:ascii="Times New Roman" w:hAnsi="Times New Roman" w:eastAsia="Times New Roman" w:cs="Times New Roman"/>
                <w:spacing w:val="5"/>
              </w:rPr>
              <w:t>T</w:t>
            </w:r>
            <w:r>
              <w:rPr>
                <w:rFonts w:ascii="Times New Roman" w:hAnsi="Times New Roman" w:eastAsia="Times New Roman" w:cs="Times New Roman"/>
                <w:sz w:val="13"/>
                <w:szCs w:val="13"/>
                <w:spacing w:val="5"/>
                <w:position w:val="-1"/>
              </w:rPr>
              <w:t>10</w:t>
            </w:r>
            <w:r>
              <w:rPr>
                <w:spacing w:val="5"/>
              </w:rPr>
              <w:t>（表层样）</w:t>
            </w:r>
          </w:p>
        </w:tc>
        <w:tc>
          <w:tcPr>
            <w:tcW w:w="1347" w:type="dxa"/>
            <w:vAlign w:val="top"/>
          </w:tcPr>
          <w:p>
            <w:pPr>
              <w:pStyle w:val="TableText"/>
              <w:ind w:left="22"/>
              <w:spacing w:before="37" w:line="216" w:lineRule="auto"/>
              <w:rPr/>
            </w:pPr>
            <w:r>
              <w:rPr>
                <w:rFonts w:ascii="Times New Roman" w:hAnsi="Times New Roman" w:eastAsia="Times New Roman" w:cs="Times New Roman"/>
                <w:spacing w:val="5"/>
              </w:rPr>
              <w:t>T</w:t>
            </w:r>
            <w:r>
              <w:rPr>
                <w:rFonts w:ascii="Times New Roman" w:hAnsi="Times New Roman" w:eastAsia="Times New Roman" w:cs="Times New Roman"/>
                <w:sz w:val="13"/>
                <w:szCs w:val="13"/>
                <w:spacing w:val="5"/>
                <w:position w:val="-1"/>
              </w:rPr>
              <w:t>11</w:t>
            </w:r>
            <w:r>
              <w:rPr>
                <w:spacing w:val="5"/>
              </w:rPr>
              <w:t>（表层样）</w:t>
            </w:r>
          </w:p>
        </w:tc>
        <w:tc>
          <w:tcPr>
            <w:tcW w:w="953" w:type="dxa"/>
            <w:vAlign w:val="top"/>
          </w:tcPr>
          <w:p>
            <w:pPr>
              <w:pStyle w:val="TableText"/>
              <w:ind w:left="62"/>
              <w:spacing w:before="37" w:line="216" w:lineRule="auto"/>
              <w:rPr/>
            </w:pPr>
            <w:r>
              <w:rPr>
                <w:spacing w:val="7"/>
              </w:rPr>
              <w:t>标准限值</w:t>
            </w:r>
          </w:p>
        </w:tc>
      </w:tr>
      <w:tr>
        <w:trPr>
          <w:trHeight w:val="315" w:hRule="atLeast"/>
        </w:trPr>
        <w:tc>
          <w:tcPr>
            <w:tcW w:w="526" w:type="dxa"/>
            <w:vAlign w:val="top"/>
          </w:tcPr>
          <w:p>
            <w:pPr>
              <w:ind w:left="232"/>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348" w:type="dxa"/>
            <w:vAlign w:val="top"/>
          </w:tcPr>
          <w:p>
            <w:pPr>
              <w:pStyle w:val="TableText"/>
              <w:ind w:left="572"/>
              <w:spacing w:before="51" w:line="228" w:lineRule="auto"/>
              <w:rPr/>
            </w:pPr>
            <w:r>
              <w:rPr>
                <w:spacing w:val="1"/>
              </w:rPr>
              <w:t>砷</w:t>
            </w:r>
          </w:p>
        </w:tc>
        <w:tc>
          <w:tcPr>
            <w:tcW w:w="1282" w:type="dxa"/>
            <w:vAlign w:val="top"/>
          </w:tcPr>
          <w:p>
            <w:pPr>
              <w:ind w:left="370"/>
              <w:spacing w:before="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525" w:type="dxa"/>
            <w:vAlign w:val="top"/>
          </w:tcPr>
          <w:p>
            <w:pPr>
              <w:ind w:left="587"/>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8.25</w:t>
            </w:r>
          </w:p>
        </w:tc>
        <w:tc>
          <w:tcPr>
            <w:tcW w:w="1566" w:type="dxa"/>
            <w:vAlign w:val="top"/>
          </w:tcPr>
          <w:p>
            <w:pPr>
              <w:ind w:left="606"/>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9.84</w:t>
            </w:r>
          </w:p>
        </w:tc>
        <w:tc>
          <w:tcPr>
            <w:tcW w:w="1347" w:type="dxa"/>
            <w:vAlign w:val="top"/>
          </w:tcPr>
          <w:p>
            <w:pPr>
              <w:ind w:left="517"/>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11.5</w:t>
            </w:r>
          </w:p>
        </w:tc>
        <w:tc>
          <w:tcPr>
            <w:tcW w:w="953" w:type="dxa"/>
            <w:vAlign w:val="top"/>
          </w:tcPr>
          <w:p>
            <w:pPr>
              <w:ind w:left="372"/>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r>
      <w:tr>
        <w:trPr>
          <w:trHeight w:val="318" w:hRule="atLeast"/>
        </w:trPr>
        <w:tc>
          <w:tcPr>
            <w:tcW w:w="526" w:type="dxa"/>
            <w:vAlign w:val="top"/>
          </w:tcPr>
          <w:p>
            <w:pPr>
              <w:ind w:left="21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348" w:type="dxa"/>
            <w:vAlign w:val="top"/>
          </w:tcPr>
          <w:p>
            <w:pPr>
              <w:pStyle w:val="TableText"/>
              <w:ind w:left="571"/>
              <w:spacing w:before="51" w:line="231" w:lineRule="auto"/>
              <w:rPr/>
            </w:pPr>
            <w:r>
              <w:rPr>
                <w:spacing w:val="2"/>
              </w:rPr>
              <w:t>镉</w:t>
            </w:r>
          </w:p>
        </w:tc>
        <w:tc>
          <w:tcPr>
            <w:tcW w:w="1282" w:type="dxa"/>
            <w:vAlign w:val="top"/>
          </w:tcPr>
          <w:p>
            <w:pPr>
              <w:ind w:left="370"/>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525" w:type="dxa"/>
            <w:vAlign w:val="top"/>
          </w:tcPr>
          <w:p>
            <w:pPr>
              <w:ind w:left="582"/>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0.19</w:t>
            </w:r>
          </w:p>
        </w:tc>
        <w:tc>
          <w:tcPr>
            <w:tcW w:w="1566" w:type="dxa"/>
            <w:vAlign w:val="top"/>
          </w:tcPr>
          <w:p>
            <w:pPr>
              <w:ind w:left="605"/>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0.15</w:t>
            </w:r>
          </w:p>
        </w:tc>
        <w:tc>
          <w:tcPr>
            <w:tcW w:w="1347" w:type="dxa"/>
            <w:vAlign w:val="top"/>
          </w:tcPr>
          <w:p>
            <w:pPr>
              <w:ind w:left="496"/>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0.22</w:t>
            </w:r>
          </w:p>
        </w:tc>
        <w:tc>
          <w:tcPr>
            <w:tcW w:w="953" w:type="dxa"/>
            <w:vAlign w:val="top"/>
          </w:tcPr>
          <w:p>
            <w:pPr>
              <w:ind w:left="34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0.3</w:t>
            </w:r>
          </w:p>
        </w:tc>
      </w:tr>
    </w:tbl>
    <w:p>
      <w:pPr>
        <w:pStyle w:val="BodyText"/>
        <w:rPr/>
      </w:pPr>
      <w:r/>
    </w:p>
    <w:p>
      <w:pPr>
        <w:sectPr>
          <w:headerReference w:type="default" r:id="rId149"/>
          <w:footerReference w:type="default" r:id="rId150"/>
          <w:pgSz w:w="11906" w:h="16839"/>
          <w:pgMar w:top="1567" w:right="1677" w:bottom="1811" w:left="1676" w:header="1221" w:footer="1128" w:gutter="0"/>
        </w:sectPr>
        <w:rPr/>
      </w:pPr>
    </w:p>
    <w:p>
      <w:pPr>
        <w:spacing w:line="151" w:lineRule="exact"/>
        <w:rPr/>
      </w:pPr>
      <w:r>
        <w:pict>
          <v:shape id="_x0000_s660" style="position:absolute;margin-left:85.05pt;margin-top:79.11pt;mso-position-vertical-relative:page;mso-position-horizontal-relative:page;width:425.25pt;height:0.75pt;z-index:251957248;" o:allowincell="f" fillcolor="#000000" filled="true" stroked="false" coordsize="8505,15" coordorigin="0,0" path="m,l8504,0l8504,14l0,14l0,0xe"/>
        </w:pict>
      </w:r>
      <w:r/>
    </w:p>
    <w:tbl>
      <w:tblPr>
        <w:tblStyle w:val="TableNormal"/>
        <w:tblW w:w="8547" w:type="dxa"/>
        <w:tblInd w:w="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26"/>
        <w:gridCol w:w="1348"/>
        <w:gridCol w:w="1282"/>
        <w:gridCol w:w="1525"/>
        <w:gridCol w:w="1566"/>
        <w:gridCol w:w="1347"/>
        <w:gridCol w:w="953"/>
      </w:tblGrid>
      <w:tr>
        <w:trPr>
          <w:trHeight w:val="281" w:hRule="atLeast"/>
        </w:trPr>
        <w:tc>
          <w:tcPr>
            <w:tcW w:w="526" w:type="dxa"/>
            <w:vAlign w:val="top"/>
          </w:tcPr>
          <w:p>
            <w:pPr>
              <w:pStyle w:val="TableText"/>
              <w:ind w:left="56"/>
              <w:spacing w:before="36" w:line="216" w:lineRule="auto"/>
              <w:rPr/>
            </w:pPr>
            <w:r>
              <w:rPr>
                <w:spacing w:val="5"/>
              </w:rPr>
              <w:t>序号</w:t>
            </w:r>
          </w:p>
        </w:tc>
        <w:tc>
          <w:tcPr>
            <w:tcW w:w="1348" w:type="dxa"/>
            <w:vAlign w:val="top"/>
          </w:tcPr>
          <w:p>
            <w:pPr>
              <w:pStyle w:val="TableText"/>
              <w:ind w:left="256"/>
              <w:spacing w:before="36" w:line="216" w:lineRule="auto"/>
              <w:rPr/>
            </w:pPr>
            <w:r>
              <w:rPr>
                <w:spacing w:val="7"/>
              </w:rPr>
              <w:t>检测因子</w:t>
            </w:r>
          </w:p>
        </w:tc>
        <w:tc>
          <w:tcPr>
            <w:tcW w:w="1282" w:type="dxa"/>
            <w:vAlign w:val="top"/>
          </w:tcPr>
          <w:p>
            <w:pPr>
              <w:pStyle w:val="TableText"/>
              <w:ind w:left="436"/>
              <w:spacing w:before="36" w:line="216" w:lineRule="auto"/>
              <w:rPr/>
            </w:pPr>
            <w:r>
              <w:rPr>
                <w:spacing w:val="3"/>
              </w:rPr>
              <w:t>单位</w:t>
            </w:r>
          </w:p>
        </w:tc>
        <w:tc>
          <w:tcPr>
            <w:tcW w:w="1525" w:type="dxa"/>
            <w:vAlign w:val="top"/>
          </w:tcPr>
          <w:p>
            <w:pPr>
              <w:pStyle w:val="TableText"/>
              <w:ind w:left="141"/>
              <w:spacing w:before="36" w:line="216" w:lineRule="auto"/>
              <w:rPr/>
            </w:pPr>
            <w:r>
              <w:rPr>
                <w:rFonts w:ascii="Times New Roman" w:hAnsi="Times New Roman" w:eastAsia="Times New Roman" w:cs="Times New Roman"/>
                <w:spacing w:val="5"/>
              </w:rPr>
              <w:t>T</w:t>
            </w:r>
            <w:r>
              <w:rPr>
                <w:rFonts w:ascii="Times New Roman" w:hAnsi="Times New Roman" w:eastAsia="Times New Roman" w:cs="Times New Roman"/>
                <w:sz w:val="13"/>
                <w:szCs w:val="13"/>
                <w:spacing w:val="5"/>
                <w:position w:val="-1"/>
              </w:rPr>
              <w:t>9</w:t>
            </w:r>
            <w:r>
              <w:rPr>
                <w:spacing w:val="5"/>
              </w:rPr>
              <w:t>（表层样）</w:t>
            </w:r>
          </w:p>
        </w:tc>
        <w:tc>
          <w:tcPr>
            <w:tcW w:w="1566" w:type="dxa"/>
            <w:vAlign w:val="top"/>
          </w:tcPr>
          <w:p>
            <w:pPr>
              <w:pStyle w:val="TableText"/>
              <w:ind w:left="128"/>
              <w:spacing w:before="36" w:line="216" w:lineRule="auto"/>
              <w:rPr/>
            </w:pPr>
            <w:r>
              <w:rPr>
                <w:rFonts w:ascii="Times New Roman" w:hAnsi="Times New Roman" w:eastAsia="Times New Roman" w:cs="Times New Roman"/>
                <w:spacing w:val="5"/>
              </w:rPr>
              <w:t>T</w:t>
            </w:r>
            <w:r>
              <w:rPr>
                <w:rFonts w:ascii="Times New Roman" w:hAnsi="Times New Roman" w:eastAsia="Times New Roman" w:cs="Times New Roman"/>
                <w:sz w:val="13"/>
                <w:szCs w:val="13"/>
                <w:spacing w:val="5"/>
                <w:position w:val="-1"/>
              </w:rPr>
              <w:t>10</w:t>
            </w:r>
            <w:r>
              <w:rPr>
                <w:spacing w:val="5"/>
              </w:rPr>
              <w:t>（表层样）</w:t>
            </w:r>
          </w:p>
        </w:tc>
        <w:tc>
          <w:tcPr>
            <w:tcW w:w="1347" w:type="dxa"/>
            <w:vAlign w:val="top"/>
          </w:tcPr>
          <w:p>
            <w:pPr>
              <w:pStyle w:val="TableText"/>
              <w:ind w:left="22"/>
              <w:spacing w:before="36" w:line="216" w:lineRule="auto"/>
              <w:rPr/>
            </w:pPr>
            <w:r>
              <w:rPr>
                <w:rFonts w:ascii="Times New Roman" w:hAnsi="Times New Roman" w:eastAsia="Times New Roman" w:cs="Times New Roman"/>
                <w:spacing w:val="5"/>
              </w:rPr>
              <w:t>T</w:t>
            </w:r>
            <w:r>
              <w:rPr>
                <w:rFonts w:ascii="Times New Roman" w:hAnsi="Times New Roman" w:eastAsia="Times New Roman" w:cs="Times New Roman"/>
                <w:sz w:val="13"/>
                <w:szCs w:val="13"/>
                <w:spacing w:val="5"/>
                <w:position w:val="-1"/>
              </w:rPr>
              <w:t>11</w:t>
            </w:r>
            <w:r>
              <w:rPr>
                <w:spacing w:val="5"/>
              </w:rPr>
              <w:t>（表层样）</w:t>
            </w:r>
          </w:p>
        </w:tc>
        <w:tc>
          <w:tcPr>
            <w:tcW w:w="953" w:type="dxa"/>
            <w:vAlign w:val="top"/>
          </w:tcPr>
          <w:p>
            <w:pPr>
              <w:pStyle w:val="TableText"/>
              <w:ind w:left="62"/>
              <w:spacing w:before="36" w:line="216" w:lineRule="auto"/>
              <w:rPr/>
            </w:pPr>
            <w:r>
              <w:rPr>
                <w:spacing w:val="7"/>
              </w:rPr>
              <w:t>标准限值</w:t>
            </w:r>
          </w:p>
        </w:tc>
      </w:tr>
      <w:tr>
        <w:trPr>
          <w:trHeight w:val="316" w:hRule="atLeast"/>
        </w:trPr>
        <w:tc>
          <w:tcPr>
            <w:tcW w:w="526" w:type="dxa"/>
            <w:vAlign w:val="top"/>
          </w:tcPr>
          <w:p>
            <w:pPr>
              <w:ind w:left="216"/>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348" w:type="dxa"/>
            <w:vAlign w:val="top"/>
          </w:tcPr>
          <w:p>
            <w:pPr>
              <w:pStyle w:val="TableText"/>
              <w:ind w:left="572"/>
              <w:spacing w:before="50" w:line="229" w:lineRule="auto"/>
              <w:rPr/>
            </w:pPr>
            <w:r>
              <w:rPr/>
              <w:t>铜</w:t>
            </w:r>
          </w:p>
        </w:tc>
        <w:tc>
          <w:tcPr>
            <w:tcW w:w="1282" w:type="dxa"/>
            <w:vAlign w:val="top"/>
          </w:tcPr>
          <w:p>
            <w:pPr>
              <w:ind w:left="370"/>
              <w:spacing w:before="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525" w:type="dxa"/>
            <w:vAlign w:val="top"/>
          </w:tcPr>
          <w:p>
            <w:pPr>
              <w:ind w:left="658"/>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26</w:t>
            </w:r>
          </w:p>
        </w:tc>
        <w:tc>
          <w:tcPr>
            <w:tcW w:w="1566" w:type="dxa"/>
            <w:vAlign w:val="top"/>
          </w:tcPr>
          <w:p>
            <w:pPr>
              <w:ind w:left="678"/>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21</w:t>
            </w:r>
          </w:p>
        </w:tc>
        <w:tc>
          <w:tcPr>
            <w:tcW w:w="1347" w:type="dxa"/>
            <w:vAlign w:val="top"/>
          </w:tcPr>
          <w:p>
            <w:pPr>
              <w:ind w:left="592"/>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19</w:t>
            </w:r>
          </w:p>
        </w:tc>
        <w:tc>
          <w:tcPr>
            <w:tcW w:w="953" w:type="dxa"/>
            <w:vAlign w:val="top"/>
          </w:tcPr>
          <w:p>
            <w:pPr>
              <w:ind w:left="342"/>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100</w:t>
            </w:r>
          </w:p>
        </w:tc>
      </w:tr>
      <w:tr>
        <w:trPr>
          <w:trHeight w:val="316" w:hRule="atLeast"/>
        </w:trPr>
        <w:tc>
          <w:tcPr>
            <w:tcW w:w="526" w:type="dxa"/>
            <w:vAlign w:val="top"/>
          </w:tcPr>
          <w:p>
            <w:pPr>
              <w:ind w:left="210"/>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348" w:type="dxa"/>
            <w:vAlign w:val="top"/>
          </w:tcPr>
          <w:p>
            <w:pPr>
              <w:pStyle w:val="TableText"/>
              <w:ind w:left="572"/>
              <w:spacing w:before="51" w:line="232" w:lineRule="auto"/>
              <w:rPr/>
            </w:pPr>
            <w:r>
              <w:rPr/>
              <w:t>铅</w:t>
            </w:r>
          </w:p>
        </w:tc>
        <w:tc>
          <w:tcPr>
            <w:tcW w:w="1282" w:type="dxa"/>
            <w:vAlign w:val="top"/>
          </w:tcPr>
          <w:p>
            <w:pPr>
              <w:ind w:left="370"/>
              <w:spacing w:before="85"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525" w:type="dxa"/>
            <w:vAlign w:val="top"/>
          </w:tcPr>
          <w:p>
            <w:pPr>
              <w:ind w:left="599"/>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18.0</w:t>
            </w:r>
          </w:p>
        </w:tc>
        <w:tc>
          <w:tcPr>
            <w:tcW w:w="1566" w:type="dxa"/>
            <w:vAlign w:val="top"/>
          </w:tcPr>
          <w:p>
            <w:pPr>
              <w:ind w:left="602"/>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26.2</w:t>
            </w:r>
          </w:p>
        </w:tc>
        <w:tc>
          <w:tcPr>
            <w:tcW w:w="1347" w:type="dxa"/>
            <w:vAlign w:val="top"/>
          </w:tcPr>
          <w:p>
            <w:pPr>
              <w:ind w:left="517"/>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11.6</w:t>
            </w:r>
          </w:p>
        </w:tc>
        <w:tc>
          <w:tcPr>
            <w:tcW w:w="953" w:type="dxa"/>
            <w:vAlign w:val="top"/>
          </w:tcPr>
          <w:p>
            <w:pPr>
              <w:ind w:left="342"/>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170</w:t>
            </w:r>
          </w:p>
        </w:tc>
      </w:tr>
      <w:tr>
        <w:trPr>
          <w:trHeight w:val="316" w:hRule="atLeast"/>
        </w:trPr>
        <w:tc>
          <w:tcPr>
            <w:tcW w:w="526" w:type="dxa"/>
            <w:vAlign w:val="top"/>
          </w:tcPr>
          <w:p>
            <w:pPr>
              <w:ind w:left="217"/>
              <w:spacing w:before="9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348" w:type="dxa"/>
            <w:vAlign w:val="top"/>
          </w:tcPr>
          <w:p>
            <w:pPr>
              <w:pStyle w:val="TableText"/>
              <w:ind w:left="573"/>
              <w:spacing w:before="54" w:line="228" w:lineRule="auto"/>
              <w:rPr/>
            </w:pPr>
            <w:r>
              <w:rPr/>
              <w:t>汞</w:t>
            </w:r>
          </w:p>
        </w:tc>
        <w:tc>
          <w:tcPr>
            <w:tcW w:w="1282" w:type="dxa"/>
            <w:vAlign w:val="top"/>
          </w:tcPr>
          <w:p>
            <w:pPr>
              <w:ind w:left="370"/>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525" w:type="dxa"/>
            <w:vAlign w:val="top"/>
          </w:tcPr>
          <w:p>
            <w:pPr>
              <w:ind w:left="52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0.052</w:t>
            </w:r>
          </w:p>
        </w:tc>
        <w:tc>
          <w:tcPr>
            <w:tcW w:w="1566" w:type="dxa"/>
            <w:vAlign w:val="top"/>
          </w:tcPr>
          <w:p>
            <w:pPr>
              <w:ind w:left="552"/>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0.071</w:t>
            </w:r>
          </w:p>
        </w:tc>
        <w:tc>
          <w:tcPr>
            <w:tcW w:w="1347" w:type="dxa"/>
            <w:vAlign w:val="top"/>
          </w:tcPr>
          <w:p>
            <w:pPr>
              <w:ind w:left="44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0.058</w:t>
            </w:r>
          </w:p>
        </w:tc>
        <w:tc>
          <w:tcPr>
            <w:tcW w:w="953" w:type="dxa"/>
            <w:vAlign w:val="top"/>
          </w:tcPr>
          <w:p>
            <w:pPr>
              <w:ind w:left="350"/>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3.4</w:t>
            </w:r>
          </w:p>
        </w:tc>
      </w:tr>
      <w:tr>
        <w:trPr>
          <w:trHeight w:val="317" w:hRule="atLeast"/>
        </w:trPr>
        <w:tc>
          <w:tcPr>
            <w:tcW w:w="526" w:type="dxa"/>
            <w:vAlign w:val="top"/>
          </w:tcPr>
          <w:p>
            <w:pPr>
              <w:ind w:left="216"/>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348" w:type="dxa"/>
            <w:vAlign w:val="top"/>
          </w:tcPr>
          <w:p>
            <w:pPr>
              <w:pStyle w:val="TableText"/>
              <w:ind w:left="572"/>
              <w:spacing w:before="55" w:line="228" w:lineRule="auto"/>
              <w:rPr/>
            </w:pPr>
            <w:r>
              <w:rPr>
                <w:spacing w:val="1"/>
              </w:rPr>
              <w:t>镍</w:t>
            </w:r>
          </w:p>
        </w:tc>
        <w:tc>
          <w:tcPr>
            <w:tcW w:w="1282" w:type="dxa"/>
            <w:vAlign w:val="top"/>
          </w:tcPr>
          <w:p>
            <w:pPr>
              <w:ind w:left="370"/>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525" w:type="dxa"/>
            <w:vAlign w:val="top"/>
          </w:tcPr>
          <w:p>
            <w:pPr>
              <w:ind w:left="662"/>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35</w:t>
            </w:r>
          </w:p>
        </w:tc>
        <w:tc>
          <w:tcPr>
            <w:tcW w:w="1566" w:type="dxa"/>
            <w:vAlign w:val="top"/>
          </w:tcPr>
          <w:p>
            <w:pPr>
              <w:ind w:left="67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22</w:t>
            </w:r>
          </w:p>
        </w:tc>
        <w:tc>
          <w:tcPr>
            <w:tcW w:w="1347" w:type="dxa"/>
            <w:vAlign w:val="top"/>
          </w:tcPr>
          <w:p>
            <w:pPr>
              <w:ind w:left="576"/>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953" w:type="dxa"/>
            <w:vAlign w:val="top"/>
          </w:tcPr>
          <w:p>
            <w:pPr>
              <w:ind w:left="342"/>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190</w:t>
            </w:r>
          </w:p>
        </w:tc>
      </w:tr>
      <w:tr>
        <w:trPr>
          <w:trHeight w:val="317" w:hRule="atLeast"/>
        </w:trPr>
        <w:tc>
          <w:tcPr>
            <w:tcW w:w="526" w:type="dxa"/>
            <w:vAlign w:val="top"/>
          </w:tcPr>
          <w:p>
            <w:pPr>
              <w:ind w:left="215"/>
              <w:spacing w:before="9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348" w:type="dxa"/>
            <w:vAlign w:val="top"/>
          </w:tcPr>
          <w:p>
            <w:pPr>
              <w:pStyle w:val="TableText"/>
              <w:ind w:left="572"/>
              <w:spacing w:before="54" w:line="230" w:lineRule="auto"/>
              <w:rPr/>
            </w:pPr>
            <w:r>
              <w:rPr>
                <w:spacing w:val="1"/>
              </w:rPr>
              <w:t>铬</w:t>
            </w:r>
          </w:p>
        </w:tc>
        <w:tc>
          <w:tcPr>
            <w:tcW w:w="1282" w:type="dxa"/>
            <w:vAlign w:val="top"/>
          </w:tcPr>
          <w:p>
            <w:pPr>
              <w:ind w:left="370"/>
              <w:spacing w:before="86"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525" w:type="dxa"/>
            <w:vAlign w:val="top"/>
          </w:tcPr>
          <w:p>
            <w:pPr>
              <w:ind w:left="67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16</w:t>
            </w:r>
          </w:p>
        </w:tc>
        <w:tc>
          <w:tcPr>
            <w:tcW w:w="1566" w:type="dxa"/>
            <w:vAlign w:val="top"/>
          </w:tcPr>
          <w:p>
            <w:pPr>
              <w:ind w:left="69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19</w:t>
            </w:r>
          </w:p>
        </w:tc>
        <w:tc>
          <w:tcPr>
            <w:tcW w:w="1347" w:type="dxa"/>
            <w:vAlign w:val="top"/>
          </w:tcPr>
          <w:p>
            <w:pPr>
              <w:ind w:left="572"/>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22</w:t>
            </w:r>
          </w:p>
        </w:tc>
        <w:tc>
          <w:tcPr>
            <w:tcW w:w="953" w:type="dxa"/>
            <w:vAlign w:val="top"/>
          </w:tcPr>
          <w:p>
            <w:pPr>
              <w:ind w:left="32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250</w:t>
            </w:r>
          </w:p>
        </w:tc>
      </w:tr>
      <w:tr>
        <w:trPr>
          <w:trHeight w:val="316" w:hRule="atLeast"/>
        </w:trPr>
        <w:tc>
          <w:tcPr>
            <w:tcW w:w="526" w:type="dxa"/>
            <w:vAlign w:val="top"/>
          </w:tcPr>
          <w:p>
            <w:pPr>
              <w:ind w:left="22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348" w:type="dxa"/>
            <w:vAlign w:val="top"/>
          </w:tcPr>
          <w:p>
            <w:pPr>
              <w:pStyle w:val="TableText"/>
              <w:ind w:left="572"/>
              <w:spacing w:before="54" w:line="228" w:lineRule="auto"/>
              <w:rPr/>
            </w:pPr>
            <w:r>
              <w:rPr>
                <w:spacing w:val="1"/>
              </w:rPr>
              <w:t>锌</w:t>
            </w:r>
          </w:p>
        </w:tc>
        <w:tc>
          <w:tcPr>
            <w:tcW w:w="1282" w:type="dxa"/>
            <w:vAlign w:val="top"/>
          </w:tcPr>
          <w:p>
            <w:pPr>
              <w:ind w:left="370"/>
              <w:spacing w:before="8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525" w:type="dxa"/>
            <w:vAlign w:val="top"/>
          </w:tcPr>
          <w:p>
            <w:pPr>
              <w:ind w:left="66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96</w:t>
            </w:r>
          </w:p>
        </w:tc>
        <w:tc>
          <w:tcPr>
            <w:tcW w:w="1566" w:type="dxa"/>
            <w:vAlign w:val="top"/>
          </w:tcPr>
          <w:p>
            <w:pPr>
              <w:ind w:left="65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113</w:t>
            </w:r>
          </w:p>
        </w:tc>
        <w:tc>
          <w:tcPr>
            <w:tcW w:w="1347" w:type="dxa"/>
            <w:vAlign w:val="top"/>
          </w:tcPr>
          <w:p>
            <w:pPr>
              <w:ind w:left="53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120</w:t>
            </w:r>
          </w:p>
        </w:tc>
        <w:tc>
          <w:tcPr>
            <w:tcW w:w="953" w:type="dxa"/>
            <w:vAlign w:val="top"/>
          </w:tcPr>
          <w:p>
            <w:pPr>
              <w:ind w:left="32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300</w:t>
            </w:r>
          </w:p>
        </w:tc>
      </w:tr>
      <w:tr>
        <w:trPr>
          <w:trHeight w:val="554" w:hRule="atLeast"/>
        </w:trPr>
        <w:tc>
          <w:tcPr>
            <w:tcW w:w="526" w:type="dxa"/>
            <w:vAlign w:val="top"/>
          </w:tcPr>
          <w:p>
            <w:pPr>
              <w:ind w:left="215"/>
              <w:spacing w:before="2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348" w:type="dxa"/>
            <w:vAlign w:val="top"/>
          </w:tcPr>
          <w:p>
            <w:pPr>
              <w:pStyle w:val="TableText"/>
              <w:ind w:left="362"/>
              <w:spacing w:before="35" w:line="228" w:lineRule="auto"/>
              <w:rPr/>
            </w:pPr>
            <w:r>
              <w:rPr>
                <w:spacing w:val="6"/>
              </w:rPr>
              <w:t>石油烃</w:t>
            </w:r>
          </w:p>
          <w:p>
            <w:pPr>
              <w:pStyle w:val="TableText"/>
              <w:ind w:left="165"/>
              <w:spacing w:before="26" w:line="217" w:lineRule="auto"/>
              <w:rPr/>
            </w:pPr>
            <w:r>
              <w:rPr>
                <w:spacing w:val="2"/>
              </w:rPr>
              <w:t>（</w:t>
            </w:r>
            <w:r>
              <w:rPr>
                <w:rFonts w:ascii="Times New Roman" w:hAnsi="Times New Roman" w:eastAsia="Times New Roman" w:cs="Times New Roman"/>
                <w:spacing w:val="2"/>
              </w:rPr>
              <w:t>C</w:t>
            </w:r>
            <w:r>
              <w:rPr>
                <w:rFonts w:ascii="Times New Roman" w:hAnsi="Times New Roman" w:eastAsia="Times New Roman" w:cs="Times New Roman"/>
                <w:sz w:val="13"/>
                <w:szCs w:val="13"/>
                <w:spacing w:val="2"/>
              </w:rPr>
              <w:t>10</w:t>
            </w:r>
            <w:r>
              <w:rPr>
                <w:rFonts w:ascii="Times New Roman" w:hAnsi="Times New Roman" w:eastAsia="Times New Roman" w:cs="Times New Roman"/>
                <w:spacing w:val="2"/>
              </w:rPr>
              <w:t>-C</w:t>
            </w:r>
            <w:r>
              <w:rPr>
                <w:rFonts w:ascii="Times New Roman" w:hAnsi="Times New Roman" w:eastAsia="Times New Roman" w:cs="Times New Roman"/>
                <w:sz w:val="13"/>
                <w:szCs w:val="13"/>
                <w:spacing w:val="2"/>
                <w:position w:val="-1"/>
              </w:rPr>
              <w:t>40</w:t>
            </w:r>
            <w:r>
              <w:rPr>
                <w:spacing w:val="2"/>
              </w:rPr>
              <w:t>）</w:t>
            </w:r>
          </w:p>
        </w:tc>
        <w:tc>
          <w:tcPr>
            <w:tcW w:w="1282" w:type="dxa"/>
            <w:vAlign w:val="top"/>
          </w:tcPr>
          <w:p>
            <w:pPr>
              <w:ind w:left="370"/>
              <w:spacing w:before="204"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mg/kg</w:t>
            </w:r>
          </w:p>
        </w:tc>
        <w:tc>
          <w:tcPr>
            <w:tcW w:w="1525" w:type="dxa"/>
            <w:vAlign w:val="top"/>
          </w:tcPr>
          <w:p>
            <w:pPr>
              <w:pStyle w:val="TableText"/>
              <w:ind w:left="456"/>
              <w:spacing w:before="171" w:line="228" w:lineRule="auto"/>
              <w:rPr/>
            </w:pPr>
            <w:r>
              <w:rPr>
                <w:spacing w:val="5"/>
              </w:rPr>
              <w:t>未检出</w:t>
            </w:r>
          </w:p>
        </w:tc>
        <w:tc>
          <w:tcPr>
            <w:tcW w:w="1566" w:type="dxa"/>
            <w:vAlign w:val="top"/>
          </w:tcPr>
          <w:p>
            <w:pPr>
              <w:pStyle w:val="TableText"/>
              <w:ind w:left="477"/>
              <w:spacing w:before="171" w:line="228" w:lineRule="auto"/>
              <w:rPr/>
            </w:pPr>
            <w:r>
              <w:rPr>
                <w:spacing w:val="5"/>
              </w:rPr>
              <w:t>未检出</w:t>
            </w:r>
          </w:p>
        </w:tc>
        <w:tc>
          <w:tcPr>
            <w:tcW w:w="1347" w:type="dxa"/>
            <w:vAlign w:val="top"/>
          </w:tcPr>
          <w:p>
            <w:pPr>
              <w:pStyle w:val="TableText"/>
              <w:ind w:left="368"/>
              <w:spacing w:before="171" w:line="228" w:lineRule="auto"/>
              <w:rPr/>
            </w:pPr>
            <w:r>
              <w:rPr>
                <w:spacing w:val="5"/>
              </w:rPr>
              <w:t>未检出</w:t>
            </w:r>
          </w:p>
        </w:tc>
        <w:tc>
          <w:tcPr>
            <w:tcW w:w="953" w:type="dxa"/>
            <w:vAlign w:val="top"/>
          </w:tcPr>
          <w:p>
            <w:pPr>
              <w:ind w:left="445"/>
              <w:spacing w:before="20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bl>
    <w:p>
      <w:pPr>
        <w:ind w:left="39" w:right="25" w:firstLine="505"/>
        <w:spacing w:before="37" w:line="358" w:lineRule="auto"/>
        <w:rPr>
          <w:rFonts w:ascii="SimSun" w:hAnsi="SimSun" w:eastAsia="SimSun" w:cs="SimSun"/>
          <w:sz w:val="24"/>
          <w:szCs w:val="24"/>
        </w:rPr>
      </w:pPr>
      <w:r>
        <w:rPr>
          <w:rFonts w:ascii="SimSun" w:hAnsi="SimSun" w:eastAsia="SimSun" w:cs="SimSun"/>
          <w:sz w:val="24"/>
          <w:szCs w:val="24"/>
          <w:spacing w:val="-3"/>
        </w:rPr>
        <w:t>由表</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3"/>
        </w:rPr>
        <w:t>4.2-14~</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19 </w:t>
      </w:r>
      <w:r>
        <w:rPr>
          <w:rFonts w:ascii="SimSun" w:hAnsi="SimSun" w:eastAsia="SimSun" w:cs="SimSun"/>
          <w:sz w:val="24"/>
          <w:szCs w:val="24"/>
          <w:spacing w:val="-3"/>
        </w:rPr>
        <w:t>可以看出，厂区内各土壤环境质量现状监测点的监测指标均满</w:t>
      </w:r>
      <w:r>
        <w:rPr>
          <w:rFonts w:ascii="SimSun" w:hAnsi="SimSun" w:eastAsia="SimSun" w:cs="SimSun"/>
          <w:sz w:val="24"/>
          <w:szCs w:val="24"/>
        </w:rPr>
        <w:t xml:space="preserve"> </w:t>
      </w:r>
      <w:r>
        <w:rPr>
          <w:rFonts w:ascii="SimSun" w:hAnsi="SimSun" w:eastAsia="SimSun" w:cs="SimSun"/>
          <w:sz w:val="24"/>
          <w:szCs w:val="24"/>
          <w:spacing w:val="2"/>
        </w:rPr>
        <w:t>足《土壤环境质量 建设用地土壤污染风险管控标准》</w:t>
      </w:r>
      <w:r>
        <w:rPr>
          <w:rFonts w:ascii="SimSun" w:hAnsi="SimSun" w:eastAsia="SimSun" w:cs="SimSun"/>
          <w:sz w:val="24"/>
          <w:szCs w:val="24"/>
          <w:spacing w:val="1"/>
        </w:rPr>
        <w:t>（</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 xml:space="preserve"> 36600-2018</w:t>
      </w:r>
      <w:r>
        <w:rPr>
          <w:rFonts w:ascii="SimSun" w:hAnsi="SimSun" w:eastAsia="SimSun" w:cs="SimSun"/>
          <w:sz w:val="24"/>
          <w:szCs w:val="24"/>
          <w:spacing w:val="1"/>
        </w:rPr>
        <w:t>）表</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和</w:t>
      </w:r>
    </w:p>
    <w:p>
      <w:pPr>
        <w:ind w:left="34" w:right="26"/>
        <w:spacing w:before="1" w:line="360" w:lineRule="auto"/>
        <w:jc w:val="both"/>
        <w:rPr>
          <w:rFonts w:ascii="SimSun" w:hAnsi="SimSun" w:eastAsia="SimSun" w:cs="SimSun"/>
          <w:sz w:val="24"/>
          <w:szCs w:val="24"/>
        </w:rPr>
      </w:pPr>
      <w:r>
        <w:rPr>
          <w:rFonts w:ascii="SimSun" w:hAnsi="SimSun" w:eastAsia="SimSun" w:cs="SimSun"/>
          <w:sz w:val="24"/>
          <w:szCs w:val="24"/>
          <w:spacing w:val="2"/>
        </w:rPr>
        <w:t>表</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2 </w:t>
      </w:r>
      <w:r>
        <w:rPr>
          <w:rFonts w:ascii="SimSun" w:hAnsi="SimSun" w:eastAsia="SimSun" w:cs="SimSun"/>
          <w:sz w:val="24"/>
          <w:szCs w:val="24"/>
          <w:spacing w:val="2"/>
        </w:rPr>
        <w:t>第二类用地筛选值标准，厂区外满足《土壤环境质量农用地土壤污染风险管</w:t>
      </w:r>
      <w:r>
        <w:rPr>
          <w:rFonts w:ascii="SimSun" w:hAnsi="SimSun" w:eastAsia="SimSun" w:cs="SimSun"/>
          <w:sz w:val="24"/>
          <w:szCs w:val="24"/>
        </w:rPr>
        <w:t xml:space="preserve"> </w:t>
      </w:r>
      <w:r>
        <w:rPr>
          <w:rFonts w:ascii="SimSun" w:hAnsi="SimSun" w:eastAsia="SimSun" w:cs="SimSun"/>
          <w:sz w:val="24"/>
          <w:szCs w:val="24"/>
        </w:rPr>
        <w:t>控标准（试行）》（</w:t>
      </w:r>
      <w:r>
        <w:rPr>
          <w:rFonts w:ascii="Times New Roman" w:hAnsi="Times New Roman" w:eastAsia="Times New Roman" w:cs="Times New Roman"/>
          <w:sz w:val="24"/>
          <w:szCs w:val="24"/>
        </w:rPr>
        <w:t>GB15618-2018</w:t>
      </w:r>
      <w:r>
        <w:rPr>
          <w:rFonts w:ascii="SimSun" w:hAnsi="SimSun" w:eastAsia="SimSun" w:cs="SimSun"/>
          <w:sz w:val="24"/>
          <w:szCs w:val="24"/>
        </w:rPr>
        <w:t>）中表</w:t>
      </w:r>
      <w:r>
        <w:rPr>
          <w:rFonts w:ascii="SimSun" w:hAnsi="SimSun" w:eastAsia="SimSun" w:cs="SimSun"/>
          <w:sz w:val="24"/>
          <w:szCs w:val="24"/>
          <w:spacing w:val="-20"/>
        </w:rPr>
        <w:t xml:space="preserve"> </w:t>
      </w:r>
      <w:r>
        <w:rPr>
          <w:rFonts w:ascii="Times New Roman" w:hAnsi="Times New Roman" w:eastAsia="Times New Roman" w:cs="Times New Roman"/>
          <w:sz w:val="24"/>
          <w:szCs w:val="24"/>
        </w:rPr>
        <w:t>1 </w:t>
      </w:r>
      <w:r>
        <w:rPr>
          <w:rFonts w:ascii="SimSun" w:hAnsi="SimSun" w:eastAsia="SimSun" w:cs="SimSun"/>
          <w:sz w:val="24"/>
          <w:szCs w:val="24"/>
        </w:rPr>
        <w:t>风险筛选值标准，表明评价区整体及 </w:t>
      </w:r>
      <w:r>
        <w:rPr>
          <w:rFonts w:ascii="SimSun" w:hAnsi="SimSun" w:eastAsia="SimSun" w:cs="SimSun"/>
          <w:sz w:val="24"/>
          <w:szCs w:val="24"/>
          <w:spacing w:val="-1"/>
        </w:rPr>
        <w:t>各样点土壤中污染物对人体健康的风险可以忽略。</w:t>
      </w:r>
    </w:p>
    <w:p>
      <w:pPr>
        <w:ind w:left="32"/>
        <w:spacing w:before="75"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4.2.4.3 </w:t>
      </w:r>
      <w:r>
        <w:rPr>
          <w:rFonts w:ascii="SimSun" w:hAnsi="SimSun" w:eastAsia="SimSun" w:cs="SimSun"/>
          <w:sz w:val="24"/>
          <w:szCs w:val="24"/>
          <w:b/>
          <w:bCs/>
          <w:spacing w:val="-2"/>
        </w:rPr>
        <w:t>土壤理化性质调查</w:t>
      </w:r>
    </w:p>
    <w:p>
      <w:pPr>
        <w:ind w:left="518"/>
        <w:spacing w:before="182" w:line="219" w:lineRule="auto"/>
        <w:rPr>
          <w:rFonts w:ascii="SimSun" w:hAnsi="SimSun" w:eastAsia="SimSun" w:cs="SimSun"/>
          <w:sz w:val="24"/>
          <w:szCs w:val="24"/>
        </w:rPr>
      </w:pPr>
      <w:r>
        <w:rPr>
          <w:rFonts w:ascii="SimSun" w:hAnsi="SimSun" w:eastAsia="SimSun" w:cs="SimSun"/>
          <w:sz w:val="24"/>
          <w:szCs w:val="24"/>
          <w:spacing w:val="-1"/>
        </w:rPr>
        <w:t>各监测点土壤理化性质见表</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4.2-20~25</w:t>
      </w:r>
      <w:r>
        <w:rPr>
          <w:rFonts w:ascii="SimSun" w:hAnsi="SimSun" w:eastAsia="SimSun" w:cs="SimSun"/>
          <w:sz w:val="24"/>
          <w:szCs w:val="24"/>
          <w:spacing w:val="-1"/>
        </w:rPr>
        <w:t>。</w:t>
      </w:r>
    </w:p>
    <w:p>
      <w:pPr>
        <w:ind w:left="2470"/>
        <w:spacing w:before="103" w:line="213" w:lineRule="auto"/>
        <w:rPr>
          <w:rFonts w:ascii="Times New Roman" w:hAnsi="Times New Roman" w:eastAsia="Times New Roman" w:cs="Times New Roma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4.2-20      </w:t>
      </w:r>
      <w:r>
        <w:rPr>
          <w:rFonts w:ascii="SimSun" w:hAnsi="SimSun" w:eastAsia="SimSun" w:cs="SimSun"/>
          <w:sz w:val="24"/>
          <w:szCs w:val="24"/>
          <w:b/>
          <w:bCs/>
          <w:spacing w:val="-2"/>
        </w:rPr>
        <w:t>土壤理化性质调查表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1</w:t>
      </w:r>
    </w:p>
    <w:tbl>
      <w:tblPr>
        <w:tblStyle w:val="TableNormal"/>
        <w:tblW w:w="8516" w:type="dxa"/>
        <w:tblInd w:w="19"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40"/>
        <w:gridCol w:w="2330"/>
        <w:gridCol w:w="2804"/>
        <w:gridCol w:w="2842"/>
      </w:tblGrid>
      <w:tr>
        <w:trPr>
          <w:trHeight w:val="321" w:hRule="atLeast"/>
        </w:trPr>
        <w:tc>
          <w:tcPr>
            <w:tcW w:w="2870" w:type="dxa"/>
            <w:vAlign w:val="top"/>
            <w:gridSpan w:val="2"/>
          </w:tcPr>
          <w:p>
            <w:pPr>
              <w:pStyle w:val="TableText"/>
              <w:ind w:left="1242"/>
              <w:spacing w:before="57" w:line="229" w:lineRule="auto"/>
              <w:rPr/>
            </w:pPr>
            <w:r>
              <w:rPr>
                <w:spacing w:val="-1"/>
              </w:rPr>
              <w:t>点号</w:t>
            </w:r>
          </w:p>
        </w:tc>
        <w:tc>
          <w:tcPr>
            <w:tcW w:w="2804" w:type="dxa"/>
            <w:vAlign w:val="top"/>
          </w:tcPr>
          <w:p>
            <w:pPr>
              <w:ind w:left="1307"/>
              <w:spacing w:before="96"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8"/>
              </w:rPr>
              <w:t>T</w:t>
            </w:r>
            <w:r>
              <w:rPr>
                <w:rFonts w:ascii="Times New Roman" w:hAnsi="Times New Roman" w:eastAsia="Times New Roman" w:cs="Times New Roman"/>
                <w:sz w:val="13"/>
                <w:szCs w:val="13"/>
                <w:spacing w:val="8"/>
                <w:position w:val="-1"/>
              </w:rPr>
              <w:t>1</w:t>
            </w:r>
          </w:p>
        </w:tc>
        <w:tc>
          <w:tcPr>
            <w:tcW w:w="2842" w:type="dxa"/>
            <w:vAlign w:val="top"/>
          </w:tcPr>
          <w:p>
            <w:pPr>
              <w:ind w:left="1325"/>
              <w:spacing w:before="96"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2"/>
              </w:rPr>
              <w:t>T</w:t>
            </w:r>
            <w:r>
              <w:rPr>
                <w:rFonts w:ascii="Times New Roman" w:hAnsi="Times New Roman" w:eastAsia="Times New Roman" w:cs="Times New Roman"/>
                <w:sz w:val="13"/>
                <w:szCs w:val="13"/>
                <w:spacing w:val="2"/>
                <w:position w:val="-1"/>
              </w:rPr>
              <w:t>4</w:t>
            </w:r>
          </w:p>
        </w:tc>
      </w:tr>
      <w:tr>
        <w:trPr>
          <w:trHeight w:val="317" w:hRule="atLeast"/>
        </w:trPr>
        <w:tc>
          <w:tcPr>
            <w:tcW w:w="2870" w:type="dxa"/>
            <w:vAlign w:val="top"/>
            <w:gridSpan w:val="2"/>
          </w:tcPr>
          <w:p>
            <w:pPr>
              <w:pStyle w:val="TableText"/>
              <w:ind w:left="1127"/>
              <w:spacing w:before="53" w:line="228" w:lineRule="auto"/>
              <w:rPr/>
            </w:pPr>
            <w:r>
              <w:rPr>
                <w:spacing w:val="6"/>
              </w:rPr>
              <w:t>经纬度</w:t>
            </w:r>
          </w:p>
        </w:tc>
        <w:tc>
          <w:tcPr>
            <w:tcW w:w="2804" w:type="dxa"/>
            <w:vAlign w:val="top"/>
          </w:tcPr>
          <w:p>
            <w:pPr>
              <w:ind w:left="94"/>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114°58′</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18.57″E 42°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17′4</w:t>
            </w:r>
            <w:r>
              <w:rPr>
                <w:rFonts w:ascii="Times New Roman" w:hAnsi="Times New Roman" w:eastAsia="Times New Roman" w:cs="Times New Roman"/>
                <w:sz w:val="20"/>
                <w:szCs w:val="20"/>
                <w:spacing w:val="1"/>
              </w:rPr>
              <w:t>5.69″N</w:t>
            </w:r>
          </w:p>
        </w:tc>
        <w:tc>
          <w:tcPr>
            <w:tcW w:w="2842" w:type="dxa"/>
            <w:vAlign w:val="top"/>
          </w:tcPr>
          <w:p>
            <w:pPr>
              <w:ind w:left="114"/>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114°58′</w:t>
            </w:r>
            <w:r>
              <w:rPr>
                <w:rFonts w:ascii="Times New Roman" w:hAnsi="Times New Roman" w:eastAsia="Times New Roman" w:cs="Times New Roman"/>
                <w:sz w:val="20"/>
                <w:szCs w:val="20"/>
                <w:spacing w:val="-26"/>
              </w:rPr>
              <w:t xml:space="preserve"> </w:t>
            </w:r>
            <w:r>
              <w:rPr>
                <w:rFonts w:ascii="Times New Roman" w:hAnsi="Times New Roman" w:eastAsia="Times New Roman" w:cs="Times New Roman"/>
                <w:sz w:val="20"/>
                <w:szCs w:val="20"/>
                <w:spacing w:val="2"/>
              </w:rPr>
              <w:t>11.35″E 42°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17</w:t>
            </w:r>
            <w:r>
              <w:rPr>
                <w:rFonts w:ascii="Times New Roman" w:hAnsi="Times New Roman" w:eastAsia="Times New Roman" w:cs="Times New Roman"/>
                <w:sz w:val="20"/>
                <w:szCs w:val="20"/>
                <w:spacing w:val="1"/>
              </w:rPr>
              <w:t>′43.88″N</w:t>
            </w:r>
          </w:p>
        </w:tc>
      </w:tr>
      <w:tr>
        <w:trPr>
          <w:trHeight w:val="317" w:hRule="atLeast"/>
        </w:trPr>
        <w:tc>
          <w:tcPr>
            <w:tcW w:w="2870" w:type="dxa"/>
            <w:vAlign w:val="top"/>
            <w:gridSpan w:val="2"/>
          </w:tcPr>
          <w:p>
            <w:pPr>
              <w:pStyle w:val="TableText"/>
              <w:ind w:left="1231"/>
              <w:spacing w:before="52" w:line="228" w:lineRule="auto"/>
              <w:rPr/>
            </w:pPr>
            <w:r>
              <w:rPr>
                <w:spacing w:val="4"/>
              </w:rPr>
              <w:t>层次</w:t>
            </w:r>
          </w:p>
        </w:tc>
        <w:tc>
          <w:tcPr>
            <w:tcW w:w="2804" w:type="dxa"/>
            <w:vAlign w:val="top"/>
          </w:tcPr>
          <w:p>
            <w:pPr>
              <w:pStyle w:val="TableText"/>
              <w:ind w:left="1092"/>
              <w:spacing w:before="52" w:line="228" w:lineRule="auto"/>
              <w:rPr/>
            </w:pPr>
            <w:r>
              <w:rPr>
                <w:spacing w:val="7"/>
              </w:rPr>
              <w:t>表层样</w:t>
            </w:r>
          </w:p>
        </w:tc>
        <w:tc>
          <w:tcPr>
            <w:tcW w:w="2842" w:type="dxa"/>
            <w:vAlign w:val="top"/>
          </w:tcPr>
          <w:p>
            <w:pPr>
              <w:pStyle w:val="TableText"/>
              <w:ind w:left="1110"/>
              <w:spacing w:before="52" w:line="228" w:lineRule="auto"/>
              <w:rPr/>
            </w:pPr>
            <w:r>
              <w:rPr>
                <w:spacing w:val="7"/>
              </w:rPr>
              <w:t>表层样</w:t>
            </w:r>
          </w:p>
        </w:tc>
      </w:tr>
      <w:tr>
        <w:trPr>
          <w:trHeight w:val="317" w:hRule="atLeast"/>
        </w:trPr>
        <w:tc>
          <w:tcPr>
            <w:tcW w:w="540" w:type="dxa"/>
            <w:vAlign w:val="top"/>
            <w:vMerge w:val="restart"/>
            <w:tcBorders>
              <w:bottom w:val="nil"/>
            </w:tcBorders>
          </w:tcPr>
          <w:p>
            <w:pPr>
              <w:spacing w:line="471" w:lineRule="auto"/>
              <w:rPr>
                <w:rFonts w:ascii="Arial"/>
                <w:sz w:val="21"/>
              </w:rPr>
            </w:pPr>
            <w:r/>
          </w:p>
          <w:p>
            <w:pPr>
              <w:pStyle w:val="TableText"/>
              <w:ind w:left="67"/>
              <w:spacing w:before="65" w:line="228" w:lineRule="auto"/>
              <w:rPr/>
            </w:pPr>
            <w:r>
              <w:rPr>
                <w:spacing w:val="3"/>
              </w:rPr>
              <w:t>现场</w:t>
            </w:r>
          </w:p>
          <w:p>
            <w:pPr>
              <w:pStyle w:val="TableText"/>
              <w:ind w:left="64"/>
              <w:spacing w:before="64" w:line="230" w:lineRule="auto"/>
              <w:rPr/>
            </w:pPr>
            <w:r>
              <w:rPr>
                <w:spacing w:val="5"/>
              </w:rPr>
              <w:t>记录</w:t>
            </w:r>
          </w:p>
        </w:tc>
        <w:tc>
          <w:tcPr>
            <w:tcW w:w="2330" w:type="dxa"/>
            <w:vAlign w:val="top"/>
          </w:tcPr>
          <w:p>
            <w:pPr>
              <w:pStyle w:val="TableText"/>
              <w:ind w:left="957"/>
              <w:spacing w:before="52" w:line="229" w:lineRule="auto"/>
              <w:rPr/>
            </w:pPr>
            <w:r>
              <w:rPr>
                <w:spacing w:val="5"/>
              </w:rPr>
              <w:t>颜色</w:t>
            </w:r>
          </w:p>
        </w:tc>
        <w:tc>
          <w:tcPr>
            <w:tcW w:w="2804" w:type="dxa"/>
            <w:vAlign w:val="top"/>
          </w:tcPr>
          <w:p>
            <w:pPr>
              <w:pStyle w:val="TableText"/>
              <w:ind w:left="1092"/>
              <w:spacing w:before="51" w:line="228" w:lineRule="auto"/>
              <w:rPr/>
            </w:pPr>
            <w:r>
              <w:rPr>
                <w:spacing w:val="7"/>
              </w:rPr>
              <w:t>黄棕色</w:t>
            </w:r>
          </w:p>
        </w:tc>
        <w:tc>
          <w:tcPr>
            <w:tcW w:w="2842" w:type="dxa"/>
            <w:vAlign w:val="top"/>
          </w:tcPr>
          <w:p>
            <w:pPr>
              <w:pStyle w:val="TableText"/>
              <w:ind w:left="1110"/>
              <w:spacing w:before="51" w:line="228" w:lineRule="auto"/>
              <w:rPr/>
            </w:pPr>
            <w:r>
              <w:rPr>
                <w:spacing w:val="7"/>
              </w:rPr>
              <w:t>黄棕色</w:t>
            </w:r>
          </w:p>
        </w:tc>
      </w:tr>
      <w:tr>
        <w:trPr>
          <w:trHeight w:val="317" w:hRule="atLeast"/>
        </w:trPr>
        <w:tc>
          <w:tcPr>
            <w:tcW w:w="540" w:type="dxa"/>
            <w:vAlign w:val="top"/>
            <w:vMerge w:val="continue"/>
            <w:tcBorders>
              <w:top w:val="nil"/>
              <w:bottom w:val="nil"/>
            </w:tcBorders>
          </w:tcPr>
          <w:p>
            <w:pPr>
              <w:rPr>
                <w:rFonts w:ascii="Arial"/>
                <w:sz w:val="21"/>
              </w:rPr>
            </w:pPr>
            <w:r/>
          </w:p>
        </w:tc>
        <w:tc>
          <w:tcPr>
            <w:tcW w:w="2330" w:type="dxa"/>
            <w:vAlign w:val="top"/>
          </w:tcPr>
          <w:p>
            <w:pPr>
              <w:pStyle w:val="TableText"/>
              <w:ind w:left="963"/>
              <w:spacing w:before="52" w:line="228" w:lineRule="auto"/>
              <w:rPr/>
            </w:pPr>
            <w:r>
              <w:rPr>
                <w:spacing w:val="2"/>
              </w:rPr>
              <w:t>结构</w:t>
            </w:r>
          </w:p>
        </w:tc>
        <w:tc>
          <w:tcPr>
            <w:tcW w:w="2804" w:type="dxa"/>
            <w:vAlign w:val="top"/>
          </w:tcPr>
          <w:p>
            <w:pPr>
              <w:pStyle w:val="TableText"/>
              <w:ind w:left="1217"/>
              <w:spacing w:before="52" w:line="228" w:lineRule="auto"/>
              <w:rPr/>
            </w:pPr>
            <w:r>
              <w:rPr>
                <w:spacing w:val="-5"/>
              </w:rPr>
              <w:t>团粒</w:t>
            </w:r>
          </w:p>
        </w:tc>
        <w:tc>
          <w:tcPr>
            <w:tcW w:w="2842" w:type="dxa"/>
            <w:vAlign w:val="top"/>
          </w:tcPr>
          <w:p>
            <w:pPr>
              <w:pStyle w:val="TableText"/>
              <w:ind w:left="1235"/>
              <w:spacing w:before="52" w:line="228" w:lineRule="auto"/>
              <w:rPr/>
            </w:pPr>
            <w:r>
              <w:rPr>
                <w:spacing w:val="-5"/>
              </w:rPr>
              <w:t>团粒</w:t>
            </w:r>
          </w:p>
        </w:tc>
      </w:tr>
      <w:tr>
        <w:trPr>
          <w:trHeight w:val="316" w:hRule="atLeast"/>
        </w:trPr>
        <w:tc>
          <w:tcPr>
            <w:tcW w:w="540" w:type="dxa"/>
            <w:vAlign w:val="top"/>
            <w:vMerge w:val="continue"/>
            <w:tcBorders>
              <w:top w:val="nil"/>
              <w:bottom w:val="nil"/>
            </w:tcBorders>
          </w:tcPr>
          <w:p>
            <w:pPr>
              <w:rPr>
                <w:rFonts w:ascii="Arial"/>
                <w:sz w:val="21"/>
              </w:rPr>
            </w:pPr>
            <w:r/>
          </w:p>
        </w:tc>
        <w:tc>
          <w:tcPr>
            <w:tcW w:w="2330" w:type="dxa"/>
            <w:vAlign w:val="top"/>
          </w:tcPr>
          <w:p>
            <w:pPr>
              <w:pStyle w:val="TableText"/>
              <w:ind w:left="958"/>
              <w:spacing w:before="51" w:line="228" w:lineRule="auto"/>
              <w:rPr/>
            </w:pPr>
            <w:r>
              <w:rPr>
                <w:spacing w:val="4"/>
              </w:rPr>
              <w:t>质地</w:t>
            </w:r>
          </w:p>
        </w:tc>
        <w:tc>
          <w:tcPr>
            <w:tcW w:w="2804" w:type="dxa"/>
            <w:vAlign w:val="top"/>
          </w:tcPr>
          <w:p>
            <w:pPr>
              <w:pStyle w:val="TableText"/>
              <w:ind w:left="1092"/>
              <w:spacing w:before="51" w:line="229" w:lineRule="auto"/>
              <w:rPr/>
            </w:pPr>
            <w:r>
              <w:rPr>
                <w:spacing w:val="7"/>
              </w:rPr>
              <w:t>砂壤土</w:t>
            </w:r>
          </w:p>
        </w:tc>
        <w:tc>
          <w:tcPr>
            <w:tcW w:w="2842" w:type="dxa"/>
            <w:vAlign w:val="top"/>
          </w:tcPr>
          <w:p>
            <w:pPr>
              <w:pStyle w:val="TableText"/>
              <w:ind w:left="1110"/>
              <w:spacing w:before="51" w:line="229" w:lineRule="auto"/>
              <w:rPr/>
            </w:pPr>
            <w:r>
              <w:rPr>
                <w:spacing w:val="7"/>
              </w:rPr>
              <w:t>砂壤土</w:t>
            </w:r>
          </w:p>
        </w:tc>
      </w:tr>
      <w:tr>
        <w:trPr>
          <w:trHeight w:val="317" w:hRule="atLeast"/>
        </w:trPr>
        <w:tc>
          <w:tcPr>
            <w:tcW w:w="540" w:type="dxa"/>
            <w:vAlign w:val="top"/>
            <w:vMerge w:val="continue"/>
            <w:tcBorders>
              <w:top w:val="nil"/>
              <w:bottom w:val="nil"/>
            </w:tcBorders>
          </w:tcPr>
          <w:p>
            <w:pPr>
              <w:rPr>
                <w:rFonts w:ascii="Arial"/>
                <w:sz w:val="21"/>
              </w:rPr>
            </w:pPr>
            <w:r/>
          </w:p>
        </w:tc>
        <w:tc>
          <w:tcPr>
            <w:tcW w:w="2330" w:type="dxa"/>
            <w:vAlign w:val="top"/>
          </w:tcPr>
          <w:p>
            <w:pPr>
              <w:pStyle w:val="TableText"/>
              <w:ind w:left="748"/>
              <w:spacing w:before="53" w:line="228" w:lineRule="auto"/>
              <w:rPr/>
            </w:pPr>
            <w:r>
              <w:rPr>
                <w:spacing w:val="7"/>
              </w:rPr>
              <w:t>砂砾含量</w:t>
            </w:r>
          </w:p>
        </w:tc>
        <w:tc>
          <w:tcPr>
            <w:tcW w:w="2804" w:type="dxa"/>
            <w:vAlign w:val="top"/>
          </w:tcPr>
          <w:p>
            <w:pPr>
              <w:pStyle w:val="TableText"/>
              <w:ind w:left="1199"/>
              <w:spacing w:before="54" w:line="230" w:lineRule="auto"/>
              <w:rPr/>
            </w:pPr>
            <w:r>
              <w:rPr>
                <w:spacing w:val="4"/>
              </w:rPr>
              <w:t>少量</w:t>
            </w:r>
          </w:p>
        </w:tc>
        <w:tc>
          <w:tcPr>
            <w:tcW w:w="2842" w:type="dxa"/>
            <w:vAlign w:val="top"/>
          </w:tcPr>
          <w:p>
            <w:pPr>
              <w:pStyle w:val="TableText"/>
              <w:ind w:left="1217"/>
              <w:spacing w:before="54" w:line="230" w:lineRule="auto"/>
              <w:rPr/>
            </w:pPr>
            <w:r>
              <w:rPr>
                <w:spacing w:val="4"/>
              </w:rPr>
              <w:t>少量</w:t>
            </w:r>
          </w:p>
        </w:tc>
      </w:tr>
      <w:tr>
        <w:trPr>
          <w:trHeight w:val="316" w:hRule="atLeast"/>
        </w:trPr>
        <w:tc>
          <w:tcPr>
            <w:tcW w:w="540" w:type="dxa"/>
            <w:vAlign w:val="top"/>
            <w:vMerge w:val="continue"/>
            <w:tcBorders>
              <w:top w:val="nil"/>
            </w:tcBorders>
          </w:tcPr>
          <w:p>
            <w:pPr>
              <w:rPr>
                <w:rFonts w:ascii="Arial"/>
                <w:sz w:val="21"/>
              </w:rPr>
            </w:pPr>
            <w:r/>
          </w:p>
        </w:tc>
        <w:tc>
          <w:tcPr>
            <w:tcW w:w="2330" w:type="dxa"/>
            <w:vAlign w:val="top"/>
          </w:tcPr>
          <w:p>
            <w:pPr>
              <w:pStyle w:val="TableText"/>
              <w:ind w:left="750"/>
              <w:spacing w:before="53" w:line="228" w:lineRule="auto"/>
              <w:rPr/>
            </w:pPr>
            <w:r>
              <w:rPr>
                <w:spacing w:val="7"/>
              </w:rPr>
              <w:t>其他异物</w:t>
            </w:r>
          </w:p>
        </w:tc>
        <w:tc>
          <w:tcPr>
            <w:tcW w:w="2804" w:type="dxa"/>
            <w:vAlign w:val="top"/>
          </w:tcPr>
          <w:p>
            <w:pPr>
              <w:pStyle w:val="TableText"/>
              <w:ind w:left="1303"/>
              <w:spacing w:before="54" w:line="228" w:lineRule="auto"/>
              <w:rPr/>
            </w:pPr>
            <w:r>
              <w:rPr/>
              <w:t>无</w:t>
            </w:r>
          </w:p>
        </w:tc>
        <w:tc>
          <w:tcPr>
            <w:tcW w:w="2842" w:type="dxa"/>
            <w:vAlign w:val="top"/>
          </w:tcPr>
          <w:p>
            <w:pPr>
              <w:pStyle w:val="TableText"/>
              <w:ind w:left="1321"/>
              <w:spacing w:before="54" w:line="228" w:lineRule="auto"/>
              <w:rPr/>
            </w:pPr>
            <w:r>
              <w:rPr/>
              <w:t>无</w:t>
            </w:r>
          </w:p>
        </w:tc>
      </w:tr>
      <w:tr>
        <w:trPr>
          <w:trHeight w:val="316" w:hRule="atLeast"/>
        </w:trPr>
        <w:tc>
          <w:tcPr>
            <w:tcW w:w="540" w:type="dxa"/>
            <w:vAlign w:val="top"/>
            <w:vMerge w:val="restart"/>
            <w:tcBorders>
              <w:bottom w:val="nil"/>
            </w:tcBorders>
          </w:tcPr>
          <w:p>
            <w:pPr>
              <w:spacing w:line="478" w:lineRule="auto"/>
              <w:rPr>
                <w:rFonts w:ascii="Arial"/>
                <w:sz w:val="21"/>
              </w:rPr>
            </w:pPr>
            <w:r/>
          </w:p>
          <w:p>
            <w:pPr>
              <w:pStyle w:val="TableText"/>
              <w:ind w:left="70"/>
              <w:spacing w:before="65" w:line="228" w:lineRule="auto"/>
              <w:rPr/>
            </w:pPr>
            <w:r>
              <w:rPr>
                <w:spacing w:val="2"/>
              </w:rPr>
              <w:t>实验</w:t>
            </w:r>
          </w:p>
          <w:p>
            <w:pPr>
              <w:pStyle w:val="TableText"/>
              <w:ind w:left="175" w:right="60" w:hanging="107"/>
              <w:spacing w:before="64" w:line="290" w:lineRule="auto"/>
              <w:rPr/>
            </w:pPr>
            <w:r>
              <w:rPr>
                <w:spacing w:val="3"/>
              </w:rPr>
              <w:t>室测</w:t>
            </w:r>
            <w:r>
              <w:rPr/>
              <w:t xml:space="preserve"> </w:t>
            </w:r>
            <w:r>
              <w:rPr/>
              <w:t>定</w:t>
            </w:r>
          </w:p>
        </w:tc>
        <w:tc>
          <w:tcPr>
            <w:tcW w:w="2330" w:type="dxa"/>
            <w:vAlign w:val="top"/>
          </w:tcPr>
          <w:p>
            <w:pPr>
              <w:pStyle w:val="TableText"/>
              <w:ind w:left="901"/>
              <w:spacing w:before="54" w:line="221" w:lineRule="auto"/>
              <w:rPr/>
            </w:pPr>
            <w:r>
              <w:rPr>
                <w:rFonts w:ascii="Times New Roman" w:hAnsi="Times New Roman" w:eastAsia="Times New Roman" w:cs="Times New Roman"/>
              </w:rPr>
              <w:t>pH</w:t>
            </w:r>
            <w:r>
              <w:rPr>
                <w:rFonts w:ascii="Times New Roman" w:hAnsi="Times New Roman" w:eastAsia="Times New Roman" w:cs="Times New Roman"/>
                <w:spacing w:val="11"/>
              </w:rPr>
              <w:t xml:space="preserve"> </w:t>
            </w:r>
            <w:r>
              <w:rPr>
                <w:spacing w:val="13"/>
              </w:rPr>
              <w:t>值</w:t>
            </w:r>
          </w:p>
        </w:tc>
        <w:tc>
          <w:tcPr>
            <w:tcW w:w="2804" w:type="dxa"/>
            <w:vAlign w:val="top"/>
          </w:tcPr>
          <w:p>
            <w:pPr>
              <w:ind w:left="122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8.</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6"/>
              </w:rPr>
              <w:t>12</w:t>
            </w:r>
          </w:p>
        </w:tc>
        <w:tc>
          <w:tcPr>
            <w:tcW w:w="2842" w:type="dxa"/>
            <w:vAlign w:val="top"/>
          </w:tcPr>
          <w:p>
            <w:pPr>
              <w:ind w:left="1240"/>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7.96</w:t>
            </w:r>
          </w:p>
        </w:tc>
      </w:tr>
      <w:tr>
        <w:trPr>
          <w:trHeight w:val="317" w:hRule="atLeast"/>
        </w:trPr>
        <w:tc>
          <w:tcPr>
            <w:tcW w:w="540" w:type="dxa"/>
            <w:vAlign w:val="top"/>
            <w:vMerge w:val="continue"/>
            <w:tcBorders>
              <w:top w:val="nil"/>
              <w:bottom w:val="nil"/>
            </w:tcBorders>
          </w:tcPr>
          <w:p>
            <w:pPr>
              <w:rPr>
                <w:rFonts w:ascii="Arial"/>
                <w:sz w:val="21"/>
              </w:rPr>
            </w:pPr>
            <w:r/>
          </w:p>
        </w:tc>
        <w:tc>
          <w:tcPr>
            <w:tcW w:w="2330" w:type="dxa"/>
            <w:vAlign w:val="top"/>
          </w:tcPr>
          <w:p>
            <w:pPr>
              <w:pStyle w:val="TableText"/>
              <w:spacing w:before="55" w:line="221" w:lineRule="auto"/>
              <w:jc w:val="right"/>
              <w:rPr/>
            </w:pPr>
            <w:r>
              <w:rPr>
                <w:spacing w:val="5"/>
              </w:rPr>
              <w:t>阳离子交换量（</w:t>
            </w:r>
            <w:r>
              <w:rPr>
                <w:rFonts w:ascii="Times New Roman" w:hAnsi="Times New Roman" w:eastAsia="Times New Roman" w:cs="Times New Roman"/>
              </w:rPr>
              <w:t>cmol</w:t>
            </w:r>
            <w:r>
              <w:rPr>
                <w:rFonts w:ascii="Times New Roman" w:hAnsi="Times New Roman" w:eastAsia="Times New Roman" w:cs="Times New Roman"/>
                <w:spacing w:val="5"/>
              </w:rPr>
              <w:t>/</w:t>
            </w:r>
            <w:r>
              <w:rPr>
                <w:rFonts w:ascii="Times New Roman" w:hAnsi="Times New Roman" w:eastAsia="Times New Roman" w:cs="Times New Roman"/>
              </w:rPr>
              <w:t>kg</w:t>
            </w:r>
            <w:r>
              <w:rPr>
                <w:spacing w:val="5"/>
              </w:rPr>
              <w:t>）</w:t>
            </w:r>
          </w:p>
        </w:tc>
        <w:tc>
          <w:tcPr>
            <w:tcW w:w="2804" w:type="dxa"/>
            <w:vAlign w:val="top"/>
          </w:tcPr>
          <w:p>
            <w:pPr>
              <w:ind w:left="122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20.6</w:t>
            </w:r>
          </w:p>
        </w:tc>
        <w:tc>
          <w:tcPr>
            <w:tcW w:w="2842" w:type="dxa"/>
            <w:vAlign w:val="top"/>
          </w:tcPr>
          <w:p>
            <w:pPr>
              <w:ind w:left="123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21.</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w:t>
            </w:r>
          </w:p>
        </w:tc>
      </w:tr>
      <w:tr>
        <w:trPr>
          <w:trHeight w:val="316" w:hRule="atLeast"/>
        </w:trPr>
        <w:tc>
          <w:tcPr>
            <w:tcW w:w="540" w:type="dxa"/>
            <w:vAlign w:val="top"/>
            <w:vMerge w:val="continue"/>
            <w:tcBorders>
              <w:top w:val="nil"/>
              <w:bottom w:val="nil"/>
            </w:tcBorders>
          </w:tcPr>
          <w:p>
            <w:pPr>
              <w:rPr>
                <w:rFonts w:ascii="Arial"/>
                <w:sz w:val="21"/>
              </w:rPr>
            </w:pPr>
            <w:r/>
          </w:p>
        </w:tc>
        <w:tc>
          <w:tcPr>
            <w:tcW w:w="2330" w:type="dxa"/>
            <w:vAlign w:val="top"/>
          </w:tcPr>
          <w:p>
            <w:pPr>
              <w:pStyle w:val="TableText"/>
              <w:ind w:left="171"/>
              <w:spacing w:before="54" w:line="227" w:lineRule="auto"/>
              <w:rPr/>
            </w:pPr>
            <w:r>
              <w:rPr>
                <w:spacing w:val="9"/>
              </w:rPr>
              <w:t>氧化还原电位（</w:t>
            </w:r>
            <w:r>
              <w:rPr>
                <w:rFonts w:ascii="Times New Roman" w:hAnsi="Times New Roman" w:eastAsia="Times New Roman" w:cs="Times New Roman"/>
              </w:rPr>
              <w:t>mV</w:t>
            </w:r>
            <w:r>
              <w:rPr>
                <w:spacing w:val="9"/>
              </w:rPr>
              <w:t>）</w:t>
            </w:r>
          </w:p>
        </w:tc>
        <w:tc>
          <w:tcPr>
            <w:tcW w:w="2804" w:type="dxa"/>
            <w:vAlign w:val="top"/>
          </w:tcPr>
          <w:p>
            <w:pPr>
              <w:ind w:left="124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431</w:t>
            </w:r>
          </w:p>
        </w:tc>
        <w:tc>
          <w:tcPr>
            <w:tcW w:w="2842" w:type="dxa"/>
            <w:vAlign w:val="top"/>
          </w:tcPr>
          <w:p>
            <w:pPr>
              <w:ind w:left="126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429</w:t>
            </w:r>
          </w:p>
        </w:tc>
      </w:tr>
      <w:tr>
        <w:trPr>
          <w:trHeight w:val="317" w:hRule="atLeast"/>
        </w:trPr>
        <w:tc>
          <w:tcPr>
            <w:tcW w:w="540" w:type="dxa"/>
            <w:vAlign w:val="top"/>
            <w:vMerge w:val="continue"/>
            <w:tcBorders>
              <w:top w:val="nil"/>
              <w:bottom w:val="nil"/>
            </w:tcBorders>
          </w:tcPr>
          <w:p>
            <w:pPr>
              <w:rPr>
                <w:rFonts w:ascii="Arial"/>
                <w:sz w:val="21"/>
              </w:rPr>
            </w:pPr>
            <w:r/>
          </w:p>
        </w:tc>
        <w:tc>
          <w:tcPr>
            <w:tcW w:w="2330" w:type="dxa"/>
            <w:vAlign w:val="top"/>
          </w:tcPr>
          <w:p>
            <w:pPr>
              <w:pStyle w:val="TableText"/>
              <w:ind w:left="358"/>
              <w:spacing w:before="55" w:line="221" w:lineRule="auto"/>
              <w:rPr>
                <w:rFonts w:ascii="Times New Roman" w:hAnsi="Times New Roman" w:eastAsia="Times New Roman" w:cs="Times New Roman"/>
              </w:rPr>
            </w:pPr>
            <w:r>
              <w:rPr>
                <w:spacing w:val="11"/>
              </w:rPr>
              <w:t>渗滤率（</w:t>
            </w:r>
            <w:r>
              <w:rPr>
                <w:rFonts w:ascii="Times New Roman" w:hAnsi="Times New Roman" w:eastAsia="Times New Roman" w:cs="Times New Roman"/>
              </w:rPr>
              <w:t>mm</w:t>
            </w:r>
            <w:r>
              <w:rPr>
                <w:rFonts w:ascii="Times New Roman" w:hAnsi="Times New Roman" w:eastAsia="Times New Roman" w:cs="Times New Roman"/>
                <w:spacing w:val="11"/>
              </w:rPr>
              <w:t>/</w:t>
            </w:r>
            <w:r>
              <w:rPr>
                <w:rFonts w:ascii="Times New Roman" w:hAnsi="Times New Roman" w:eastAsia="Times New Roman" w:cs="Times New Roman"/>
              </w:rPr>
              <w:t>min</w:t>
            </w:r>
            <w:r>
              <w:rPr>
                <w:rFonts w:ascii="Times New Roman" w:hAnsi="Times New Roman" w:eastAsia="Times New Roman" w:cs="Times New Roman"/>
                <w:spacing w:val="11"/>
              </w:rPr>
              <w:t>)</w:t>
            </w:r>
          </w:p>
        </w:tc>
        <w:tc>
          <w:tcPr>
            <w:tcW w:w="2804" w:type="dxa"/>
            <w:vAlign w:val="top"/>
          </w:tcPr>
          <w:p>
            <w:pPr>
              <w:ind w:left="124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1.15</w:t>
            </w:r>
          </w:p>
        </w:tc>
        <w:tc>
          <w:tcPr>
            <w:tcW w:w="2842" w:type="dxa"/>
            <w:vAlign w:val="top"/>
          </w:tcPr>
          <w:p>
            <w:pPr>
              <w:ind w:left="125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1.24</w:t>
            </w:r>
          </w:p>
        </w:tc>
      </w:tr>
      <w:tr>
        <w:trPr>
          <w:trHeight w:val="317" w:hRule="atLeast"/>
        </w:trPr>
        <w:tc>
          <w:tcPr>
            <w:tcW w:w="540" w:type="dxa"/>
            <w:vAlign w:val="top"/>
            <w:vMerge w:val="continue"/>
            <w:tcBorders>
              <w:top w:val="nil"/>
              <w:bottom w:val="nil"/>
            </w:tcBorders>
          </w:tcPr>
          <w:p>
            <w:pPr>
              <w:rPr>
                <w:rFonts w:ascii="Arial"/>
                <w:sz w:val="21"/>
              </w:rPr>
            </w:pPr>
            <w:r/>
          </w:p>
        </w:tc>
        <w:tc>
          <w:tcPr>
            <w:tcW w:w="2330" w:type="dxa"/>
            <w:vAlign w:val="top"/>
          </w:tcPr>
          <w:p>
            <w:pPr>
              <w:pStyle w:val="TableText"/>
              <w:ind w:left="576"/>
              <w:spacing w:before="57" w:line="221" w:lineRule="auto"/>
              <w:rPr>
                <w:rFonts w:ascii="Times New Roman" w:hAnsi="Times New Roman" w:eastAsia="Times New Roman" w:cs="Times New Roman"/>
              </w:rPr>
            </w:pPr>
            <w:r>
              <w:rPr>
                <w:spacing w:val="6"/>
              </w:rPr>
              <w:t>容重（</w:t>
            </w:r>
            <w:r>
              <w:rPr>
                <w:rFonts w:ascii="Times New Roman" w:hAnsi="Times New Roman" w:eastAsia="Times New Roman" w:cs="Times New Roman"/>
                <w:spacing w:val="6"/>
              </w:rPr>
              <w:t>g/</w:t>
            </w:r>
            <w:r>
              <w:rPr>
                <w:rFonts w:ascii="Times New Roman" w:hAnsi="Times New Roman" w:eastAsia="Times New Roman" w:cs="Times New Roman"/>
              </w:rPr>
              <w:t>cm</w:t>
            </w:r>
            <w:r>
              <w:rPr>
                <w:rFonts w:ascii="Times New Roman" w:hAnsi="Times New Roman" w:eastAsia="Times New Roman" w:cs="Times New Roman"/>
                <w:sz w:val="13"/>
                <w:szCs w:val="13"/>
                <w:spacing w:val="6"/>
                <w:position w:val="6"/>
              </w:rPr>
              <w:t>3</w:t>
            </w:r>
            <w:r>
              <w:rPr>
                <w:rFonts w:ascii="Times New Roman" w:hAnsi="Times New Roman" w:eastAsia="Times New Roman" w:cs="Times New Roman"/>
                <w:spacing w:val="6"/>
              </w:rPr>
              <w:t>)</w:t>
            </w:r>
          </w:p>
        </w:tc>
        <w:tc>
          <w:tcPr>
            <w:tcW w:w="2804" w:type="dxa"/>
            <w:vAlign w:val="top"/>
          </w:tcPr>
          <w:p>
            <w:pPr>
              <w:ind w:left="1241"/>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1.20</w:t>
            </w:r>
          </w:p>
        </w:tc>
        <w:tc>
          <w:tcPr>
            <w:tcW w:w="2842" w:type="dxa"/>
            <w:vAlign w:val="top"/>
          </w:tcPr>
          <w:p>
            <w:pPr>
              <w:ind w:left="1257"/>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8"/>
              </w:rPr>
              <w:t>14</w:t>
            </w:r>
          </w:p>
        </w:tc>
      </w:tr>
      <w:tr>
        <w:trPr>
          <w:trHeight w:val="321" w:hRule="atLeast"/>
        </w:trPr>
        <w:tc>
          <w:tcPr>
            <w:tcW w:w="540" w:type="dxa"/>
            <w:vAlign w:val="top"/>
            <w:vMerge w:val="continue"/>
            <w:tcBorders>
              <w:top w:val="nil"/>
            </w:tcBorders>
          </w:tcPr>
          <w:p>
            <w:pPr>
              <w:rPr>
                <w:rFonts w:ascii="Arial"/>
                <w:sz w:val="21"/>
              </w:rPr>
            </w:pPr>
            <w:r/>
          </w:p>
        </w:tc>
        <w:tc>
          <w:tcPr>
            <w:tcW w:w="2330" w:type="dxa"/>
            <w:vAlign w:val="top"/>
          </w:tcPr>
          <w:p>
            <w:pPr>
              <w:pStyle w:val="TableText"/>
              <w:ind w:left="457"/>
              <w:spacing w:before="57" w:line="228" w:lineRule="auto"/>
              <w:rPr/>
            </w:pPr>
            <w:r>
              <w:rPr>
                <w:spacing w:val="6"/>
              </w:rPr>
              <w:t>总孔隙度（</w:t>
            </w:r>
            <w:r>
              <w:rPr>
                <w:rFonts w:ascii="Times New Roman" w:hAnsi="Times New Roman" w:eastAsia="Times New Roman" w:cs="Times New Roman"/>
                <w:spacing w:val="6"/>
              </w:rPr>
              <w:t>%</w:t>
            </w:r>
            <w:r>
              <w:rPr>
                <w:spacing w:val="6"/>
              </w:rPr>
              <w:t>）</w:t>
            </w:r>
          </w:p>
        </w:tc>
        <w:tc>
          <w:tcPr>
            <w:tcW w:w="2804" w:type="dxa"/>
            <w:vAlign w:val="top"/>
          </w:tcPr>
          <w:p>
            <w:pPr>
              <w:ind w:left="122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40.5</w:t>
            </w:r>
          </w:p>
        </w:tc>
        <w:tc>
          <w:tcPr>
            <w:tcW w:w="2842" w:type="dxa"/>
            <w:vAlign w:val="top"/>
          </w:tcPr>
          <w:p>
            <w:pPr>
              <w:ind w:left="124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39.7</w:t>
            </w:r>
          </w:p>
        </w:tc>
      </w:tr>
    </w:tbl>
    <w:p>
      <w:pPr>
        <w:ind w:left="2410"/>
        <w:spacing w:before="37" w:line="212" w:lineRule="auto"/>
        <w:rPr>
          <w:rFonts w:ascii="Times New Roman" w:hAnsi="Times New Roman" w:eastAsia="Times New Roman" w:cs="Times New Roman"/>
          <w:sz w:val="24"/>
          <w:szCs w:val="24"/>
        </w:rPr>
      </w:pPr>
      <w:r>
        <w:rPr>
          <w:rFonts w:ascii="SimSun" w:hAnsi="SimSun" w:eastAsia="SimSun" w:cs="SimSun"/>
          <w:sz w:val="24"/>
          <w:szCs w:val="24"/>
          <w:b/>
          <w:bCs/>
          <w:spacing w:val="-2"/>
        </w:rPr>
        <w:t>表</w:t>
      </w:r>
      <w:r>
        <w:rPr>
          <w:rFonts w:ascii="SimSun" w:hAnsi="SimSun" w:eastAsia="SimSun" w:cs="SimSun"/>
          <w:sz w:val="24"/>
          <w:szCs w:val="24"/>
          <w:spacing w:val="-39"/>
        </w:rPr>
        <w:t xml:space="preserve"> </w:t>
      </w:r>
      <w:r>
        <w:rPr>
          <w:rFonts w:ascii="Times New Roman" w:hAnsi="Times New Roman" w:eastAsia="Times New Roman" w:cs="Times New Roman"/>
          <w:sz w:val="24"/>
          <w:szCs w:val="24"/>
          <w:b/>
          <w:bCs/>
          <w:spacing w:val="-2"/>
        </w:rPr>
        <w:t>4.2-21        </w:t>
      </w:r>
      <w:r>
        <w:rPr>
          <w:rFonts w:ascii="SimSun" w:hAnsi="SimSun" w:eastAsia="SimSun" w:cs="SimSun"/>
          <w:sz w:val="24"/>
          <w:szCs w:val="24"/>
          <w:b/>
          <w:bCs/>
          <w:spacing w:val="-2"/>
        </w:rPr>
        <w:t>土壤理化性质调查表</w:t>
      </w:r>
      <w:r>
        <w:rPr>
          <w:rFonts w:ascii="SimSun" w:hAnsi="SimSun" w:eastAsia="SimSun" w:cs="SimSun"/>
          <w:sz w:val="24"/>
          <w:szCs w:val="24"/>
          <w:spacing w:val="-49"/>
        </w:rPr>
        <w:t xml:space="preserve"> </w:t>
      </w:r>
      <w:r>
        <w:rPr>
          <w:rFonts w:ascii="Times New Roman" w:hAnsi="Times New Roman" w:eastAsia="Times New Roman" w:cs="Times New Roman"/>
          <w:sz w:val="24"/>
          <w:szCs w:val="24"/>
          <w:b/>
          <w:bCs/>
          <w:spacing w:val="-2"/>
        </w:rPr>
        <w:t>5</w:t>
      </w:r>
    </w:p>
    <w:tbl>
      <w:tblPr>
        <w:tblStyle w:val="TableNormal"/>
        <w:tblW w:w="855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1"/>
        <w:gridCol w:w="2927"/>
        <w:gridCol w:w="1440"/>
        <w:gridCol w:w="1502"/>
        <w:gridCol w:w="1490"/>
      </w:tblGrid>
      <w:tr>
        <w:trPr>
          <w:trHeight w:val="321" w:hRule="atLeast"/>
        </w:trPr>
        <w:tc>
          <w:tcPr>
            <w:tcW w:w="4118" w:type="dxa"/>
            <w:vAlign w:val="top"/>
            <w:gridSpan w:val="2"/>
          </w:tcPr>
          <w:p>
            <w:pPr>
              <w:pStyle w:val="TableText"/>
              <w:ind w:left="1866"/>
              <w:spacing w:before="56" w:line="229" w:lineRule="auto"/>
              <w:rPr/>
            </w:pPr>
            <w:r>
              <w:rPr>
                <w:spacing w:val="-1"/>
              </w:rPr>
              <w:t>点号</w:t>
            </w:r>
          </w:p>
        </w:tc>
        <w:tc>
          <w:tcPr>
            <w:tcW w:w="4432" w:type="dxa"/>
            <w:vAlign w:val="top"/>
            <w:gridSpan w:val="3"/>
          </w:tcPr>
          <w:p>
            <w:pPr>
              <w:ind w:left="2120"/>
              <w:spacing w:before="94"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T</w:t>
            </w:r>
            <w:r>
              <w:rPr>
                <w:rFonts w:ascii="Times New Roman" w:hAnsi="Times New Roman" w:eastAsia="Times New Roman" w:cs="Times New Roman"/>
                <w:sz w:val="13"/>
                <w:szCs w:val="13"/>
                <w:spacing w:val="1"/>
                <w:position w:val="-1"/>
              </w:rPr>
              <w:t>2</w:t>
            </w:r>
          </w:p>
        </w:tc>
      </w:tr>
      <w:tr>
        <w:trPr>
          <w:trHeight w:val="316" w:hRule="atLeast"/>
        </w:trPr>
        <w:tc>
          <w:tcPr>
            <w:tcW w:w="4118" w:type="dxa"/>
            <w:vAlign w:val="top"/>
            <w:gridSpan w:val="2"/>
          </w:tcPr>
          <w:p>
            <w:pPr>
              <w:pStyle w:val="TableText"/>
              <w:ind w:left="1752"/>
              <w:spacing w:before="52" w:line="228" w:lineRule="auto"/>
              <w:rPr/>
            </w:pPr>
            <w:r>
              <w:rPr>
                <w:spacing w:val="6"/>
              </w:rPr>
              <w:t>经纬度</w:t>
            </w:r>
          </w:p>
        </w:tc>
        <w:tc>
          <w:tcPr>
            <w:tcW w:w="4432" w:type="dxa"/>
            <w:vAlign w:val="top"/>
            <w:gridSpan w:val="3"/>
          </w:tcPr>
          <w:p>
            <w:pPr>
              <w:ind w:left="828"/>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114°58′20.94″E    42°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17′46.52″N</w:t>
            </w:r>
          </w:p>
        </w:tc>
      </w:tr>
      <w:tr>
        <w:trPr>
          <w:trHeight w:val="316" w:hRule="atLeast"/>
        </w:trPr>
        <w:tc>
          <w:tcPr>
            <w:tcW w:w="4118" w:type="dxa"/>
            <w:vAlign w:val="top"/>
            <w:gridSpan w:val="2"/>
          </w:tcPr>
          <w:p>
            <w:pPr>
              <w:pStyle w:val="TableText"/>
              <w:ind w:left="1855"/>
              <w:spacing w:before="51" w:line="228" w:lineRule="auto"/>
              <w:rPr/>
            </w:pPr>
            <w:r>
              <w:rPr>
                <w:spacing w:val="4"/>
              </w:rPr>
              <w:t>层次</w:t>
            </w:r>
          </w:p>
        </w:tc>
        <w:tc>
          <w:tcPr>
            <w:tcW w:w="1440" w:type="dxa"/>
            <w:vAlign w:val="top"/>
          </w:tcPr>
          <w:p>
            <w:pPr>
              <w:pStyle w:val="TableText"/>
              <w:ind w:left="410"/>
              <w:spacing w:before="51" w:line="228" w:lineRule="auto"/>
              <w:rPr/>
            </w:pPr>
            <w:r>
              <w:rPr>
                <w:spacing w:val="7"/>
              </w:rPr>
              <w:t>表层样</w:t>
            </w:r>
          </w:p>
        </w:tc>
        <w:tc>
          <w:tcPr>
            <w:tcW w:w="1502" w:type="dxa"/>
            <w:vAlign w:val="top"/>
          </w:tcPr>
          <w:p>
            <w:pPr>
              <w:pStyle w:val="TableText"/>
              <w:ind w:left="462"/>
              <w:spacing w:before="51" w:line="228" w:lineRule="auto"/>
              <w:rPr/>
            </w:pPr>
            <w:r>
              <w:rPr/>
              <w:t>中层样</w:t>
            </w:r>
          </w:p>
        </w:tc>
        <w:tc>
          <w:tcPr>
            <w:tcW w:w="1490" w:type="dxa"/>
            <w:vAlign w:val="top"/>
          </w:tcPr>
          <w:p>
            <w:pPr>
              <w:pStyle w:val="TableText"/>
              <w:ind w:left="435"/>
              <w:spacing w:before="51" w:line="228" w:lineRule="auto"/>
              <w:rPr/>
            </w:pPr>
            <w:r>
              <w:rPr>
                <w:spacing w:val="6"/>
              </w:rPr>
              <w:t>深层样</w:t>
            </w:r>
          </w:p>
        </w:tc>
      </w:tr>
      <w:tr>
        <w:trPr>
          <w:trHeight w:val="316" w:hRule="atLeast"/>
        </w:trPr>
        <w:tc>
          <w:tcPr>
            <w:tcW w:w="1191" w:type="dxa"/>
            <w:vAlign w:val="top"/>
            <w:vMerge w:val="restart"/>
            <w:tcBorders>
              <w:bottom w:val="nil"/>
            </w:tcBorders>
          </w:tcPr>
          <w:p>
            <w:pPr>
              <w:spacing w:line="310" w:lineRule="auto"/>
              <w:rPr>
                <w:rFonts w:ascii="Arial"/>
                <w:sz w:val="21"/>
              </w:rPr>
            </w:pPr>
            <w:r/>
          </w:p>
          <w:p>
            <w:pPr>
              <w:pStyle w:val="TableText"/>
              <w:ind w:left="182"/>
              <w:spacing w:before="65" w:line="228" w:lineRule="auto"/>
              <w:rPr/>
            </w:pPr>
            <w:r>
              <w:rPr>
                <w:spacing w:val="6"/>
              </w:rPr>
              <w:t>现场记录</w:t>
            </w:r>
          </w:p>
        </w:tc>
        <w:tc>
          <w:tcPr>
            <w:tcW w:w="2927" w:type="dxa"/>
            <w:vAlign w:val="top"/>
          </w:tcPr>
          <w:p>
            <w:pPr>
              <w:pStyle w:val="TableText"/>
              <w:ind w:left="1256"/>
              <w:spacing w:before="55" w:line="229" w:lineRule="auto"/>
              <w:rPr/>
            </w:pPr>
            <w:r>
              <w:rPr>
                <w:spacing w:val="5"/>
              </w:rPr>
              <w:t>颜色</w:t>
            </w:r>
          </w:p>
        </w:tc>
        <w:tc>
          <w:tcPr>
            <w:tcW w:w="1440" w:type="dxa"/>
            <w:vAlign w:val="top"/>
          </w:tcPr>
          <w:p>
            <w:pPr>
              <w:pStyle w:val="TableText"/>
              <w:ind w:left="410"/>
              <w:spacing w:before="54" w:line="228" w:lineRule="auto"/>
              <w:rPr/>
            </w:pPr>
            <w:r>
              <w:rPr>
                <w:spacing w:val="7"/>
              </w:rPr>
              <w:t>黄棕色</w:t>
            </w:r>
          </w:p>
        </w:tc>
        <w:tc>
          <w:tcPr>
            <w:tcW w:w="1502" w:type="dxa"/>
            <w:vAlign w:val="top"/>
          </w:tcPr>
          <w:p>
            <w:pPr>
              <w:pStyle w:val="TableText"/>
              <w:ind w:left="441"/>
              <w:spacing w:before="54" w:line="228" w:lineRule="auto"/>
              <w:rPr/>
            </w:pPr>
            <w:r>
              <w:rPr>
                <w:spacing w:val="7"/>
              </w:rPr>
              <w:t>黄棕色</w:t>
            </w:r>
          </w:p>
        </w:tc>
        <w:tc>
          <w:tcPr>
            <w:tcW w:w="1490" w:type="dxa"/>
            <w:vAlign w:val="top"/>
          </w:tcPr>
          <w:p>
            <w:pPr>
              <w:pStyle w:val="TableText"/>
              <w:ind w:left="435"/>
              <w:spacing w:before="54" w:line="228" w:lineRule="auto"/>
              <w:rPr/>
            </w:pPr>
            <w:r>
              <w:rPr>
                <w:spacing w:val="7"/>
              </w:rPr>
              <w:t>黄棕色</w:t>
            </w:r>
          </w:p>
        </w:tc>
      </w:tr>
      <w:tr>
        <w:trPr>
          <w:trHeight w:val="316" w:hRule="atLeast"/>
        </w:trPr>
        <w:tc>
          <w:tcPr>
            <w:tcW w:w="1191" w:type="dxa"/>
            <w:vAlign w:val="top"/>
            <w:vMerge w:val="continue"/>
            <w:tcBorders>
              <w:top w:val="nil"/>
              <w:bottom w:val="nil"/>
            </w:tcBorders>
          </w:tcPr>
          <w:p>
            <w:pPr>
              <w:rPr>
                <w:rFonts w:ascii="Arial"/>
                <w:sz w:val="21"/>
              </w:rPr>
            </w:pPr>
            <w:r/>
          </w:p>
        </w:tc>
        <w:tc>
          <w:tcPr>
            <w:tcW w:w="2927" w:type="dxa"/>
            <w:vAlign w:val="top"/>
          </w:tcPr>
          <w:p>
            <w:pPr>
              <w:pStyle w:val="TableText"/>
              <w:ind w:left="1262"/>
              <w:spacing w:before="56" w:line="228" w:lineRule="auto"/>
              <w:rPr/>
            </w:pPr>
            <w:r>
              <w:rPr>
                <w:spacing w:val="2"/>
              </w:rPr>
              <w:t>结构</w:t>
            </w:r>
          </w:p>
        </w:tc>
        <w:tc>
          <w:tcPr>
            <w:tcW w:w="1440" w:type="dxa"/>
            <w:vAlign w:val="top"/>
          </w:tcPr>
          <w:p>
            <w:pPr>
              <w:pStyle w:val="TableText"/>
              <w:ind w:left="533"/>
              <w:spacing w:before="56" w:line="228" w:lineRule="auto"/>
              <w:rPr/>
            </w:pPr>
            <w:r>
              <w:rPr>
                <w:spacing w:val="-5"/>
              </w:rPr>
              <w:t>团粒</w:t>
            </w:r>
          </w:p>
        </w:tc>
        <w:tc>
          <w:tcPr>
            <w:tcW w:w="1502" w:type="dxa"/>
            <w:vAlign w:val="top"/>
          </w:tcPr>
          <w:p>
            <w:pPr>
              <w:pStyle w:val="TableText"/>
              <w:ind w:left="567"/>
              <w:spacing w:before="56" w:line="228" w:lineRule="auto"/>
              <w:rPr/>
            </w:pPr>
            <w:r>
              <w:rPr>
                <w:spacing w:val="-5"/>
              </w:rPr>
              <w:t>团粒</w:t>
            </w:r>
          </w:p>
        </w:tc>
        <w:tc>
          <w:tcPr>
            <w:tcW w:w="1490" w:type="dxa"/>
            <w:vAlign w:val="top"/>
          </w:tcPr>
          <w:p>
            <w:pPr>
              <w:pStyle w:val="TableText"/>
              <w:ind w:left="560"/>
              <w:spacing w:before="56" w:line="228" w:lineRule="auto"/>
              <w:rPr/>
            </w:pPr>
            <w:r>
              <w:rPr>
                <w:spacing w:val="-5"/>
              </w:rPr>
              <w:t>团粒</w:t>
            </w:r>
          </w:p>
        </w:tc>
      </w:tr>
      <w:tr>
        <w:trPr>
          <w:trHeight w:val="319" w:hRule="atLeast"/>
        </w:trPr>
        <w:tc>
          <w:tcPr>
            <w:tcW w:w="1191" w:type="dxa"/>
            <w:vAlign w:val="top"/>
            <w:vMerge w:val="continue"/>
            <w:tcBorders>
              <w:top w:val="nil"/>
            </w:tcBorders>
          </w:tcPr>
          <w:p>
            <w:pPr>
              <w:rPr>
                <w:rFonts w:ascii="Arial"/>
                <w:sz w:val="21"/>
              </w:rPr>
            </w:pPr>
            <w:r/>
          </w:p>
        </w:tc>
        <w:tc>
          <w:tcPr>
            <w:tcW w:w="2927" w:type="dxa"/>
            <w:vAlign w:val="top"/>
          </w:tcPr>
          <w:p>
            <w:pPr>
              <w:pStyle w:val="TableText"/>
              <w:ind w:left="1258"/>
              <w:spacing w:before="56" w:line="228" w:lineRule="auto"/>
              <w:rPr/>
            </w:pPr>
            <w:r>
              <w:rPr>
                <w:spacing w:val="4"/>
              </w:rPr>
              <w:t>质地</w:t>
            </w:r>
          </w:p>
        </w:tc>
        <w:tc>
          <w:tcPr>
            <w:tcW w:w="1440" w:type="dxa"/>
            <w:vAlign w:val="top"/>
          </w:tcPr>
          <w:p>
            <w:pPr>
              <w:pStyle w:val="TableText"/>
              <w:ind w:left="410"/>
              <w:spacing w:before="56" w:line="229" w:lineRule="auto"/>
              <w:rPr/>
            </w:pPr>
            <w:r>
              <w:rPr>
                <w:spacing w:val="7"/>
              </w:rPr>
              <w:t>砂壤土</w:t>
            </w:r>
          </w:p>
        </w:tc>
        <w:tc>
          <w:tcPr>
            <w:tcW w:w="1502" w:type="dxa"/>
            <w:vAlign w:val="top"/>
          </w:tcPr>
          <w:p>
            <w:pPr>
              <w:pStyle w:val="TableText"/>
              <w:ind w:left="441"/>
              <w:spacing w:before="56" w:line="229" w:lineRule="auto"/>
              <w:rPr/>
            </w:pPr>
            <w:r>
              <w:rPr>
                <w:spacing w:val="7"/>
              </w:rPr>
              <w:t>砂壤土</w:t>
            </w:r>
          </w:p>
        </w:tc>
        <w:tc>
          <w:tcPr>
            <w:tcW w:w="1490" w:type="dxa"/>
            <w:vAlign w:val="top"/>
          </w:tcPr>
          <w:p>
            <w:pPr>
              <w:pStyle w:val="TableText"/>
              <w:ind w:left="435"/>
              <w:spacing w:before="56" w:line="229" w:lineRule="auto"/>
              <w:rPr/>
            </w:pPr>
            <w:r>
              <w:rPr>
                <w:spacing w:val="7"/>
              </w:rPr>
              <w:t>砂壤土</w:t>
            </w:r>
          </w:p>
        </w:tc>
      </w:tr>
    </w:tbl>
    <w:p>
      <w:pPr>
        <w:pStyle w:val="BodyText"/>
        <w:rPr/>
      </w:pPr>
      <w:r/>
    </w:p>
    <w:p>
      <w:pPr>
        <w:sectPr>
          <w:headerReference w:type="default" r:id="rId151"/>
          <w:footerReference w:type="default" r:id="rId152"/>
          <w:pgSz w:w="11906" w:h="16839"/>
          <w:pgMar w:top="1567" w:right="1675" w:bottom="1482" w:left="1675" w:header="1221" w:footer="1248" w:gutter="0"/>
        </w:sectPr>
        <w:rPr/>
      </w:pPr>
    </w:p>
    <w:p>
      <w:pPr>
        <w:spacing w:line="133" w:lineRule="exact"/>
        <w:rPr/>
      </w:pPr>
      <w:r>
        <w:pict>
          <v:shape id="_x0000_s664" style="position:absolute;margin-left:85.05pt;margin-top:78.87pt;mso-position-vertical-relative:page;mso-position-horizontal-relative:page;width:425.25pt;height:0.75pt;z-index:251959296;" o:allowincell="f" fillcolor="#000000" filled="true" stroked="false" coordsize="8505,15" coordorigin="0,0" path="m,l8504,0l8504,14l0,14l0,0xe"/>
        </w:pict>
      </w:r>
      <w:r/>
    </w:p>
    <w:tbl>
      <w:tblPr>
        <w:tblStyle w:val="TableNormal"/>
        <w:tblW w:w="8550" w:type="dxa"/>
        <w:tblInd w:w="4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1"/>
        <w:gridCol w:w="2927"/>
        <w:gridCol w:w="1440"/>
        <w:gridCol w:w="1502"/>
        <w:gridCol w:w="1490"/>
      </w:tblGrid>
      <w:tr>
        <w:trPr>
          <w:trHeight w:val="321" w:hRule="atLeast"/>
        </w:trPr>
        <w:tc>
          <w:tcPr>
            <w:tcW w:w="4118" w:type="dxa"/>
            <w:vAlign w:val="top"/>
            <w:gridSpan w:val="2"/>
          </w:tcPr>
          <w:p>
            <w:pPr>
              <w:pStyle w:val="TableText"/>
              <w:ind w:left="1866"/>
              <w:spacing w:before="57" w:line="229" w:lineRule="auto"/>
              <w:rPr/>
            </w:pPr>
            <w:r>
              <w:rPr>
                <w:spacing w:val="-1"/>
              </w:rPr>
              <w:t>点号</w:t>
            </w:r>
          </w:p>
        </w:tc>
        <w:tc>
          <w:tcPr>
            <w:tcW w:w="4432" w:type="dxa"/>
            <w:vAlign w:val="top"/>
            <w:gridSpan w:val="3"/>
          </w:tcPr>
          <w:p>
            <w:pPr>
              <w:ind w:left="2120"/>
              <w:spacing w:before="95"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T</w:t>
            </w:r>
            <w:r>
              <w:rPr>
                <w:rFonts w:ascii="Times New Roman" w:hAnsi="Times New Roman" w:eastAsia="Times New Roman" w:cs="Times New Roman"/>
                <w:sz w:val="13"/>
                <w:szCs w:val="13"/>
                <w:spacing w:val="1"/>
                <w:position w:val="-1"/>
              </w:rPr>
              <w:t>2</w:t>
            </w:r>
          </w:p>
        </w:tc>
      </w:tr>
      <w:tr>
        <w:trPr>
          <w:trHeight w:val="316" w:hRule="atLeast"/>
        </w:trPr>
        <w:tc>
          <w:tcPr>
            <w:tcW w:w="1191" w:type="dxa"/>
            <w:vAlign w:val="top"/>
            <w:vMerge w:val="restart"/>
            <w:tcBorders>
              <w:bottom w:val="nil"/>
            </w:tcBorders>
          </w:tcPr>
          <w:p>
            <w:pPr>
              <w:rPr>
                <w:rFonts w:ascii="Arial"/>
                <w:sz w:val="21"/>
              </w:rPr>
            </w:pPr>
            <w:r/>
          </w:p>
        </w:tc>
        <w:tc>
          <w:tcPr>
            <w:tcW w:w="2927" w:type="dxa"/>
            <w:vAlign w:val="top"/>
          </w:tcPr>
          <w:p>
            <w:pPr>
              <w:pStyle w:val="TableText"/>
              <w:ind w:left="1048"/>
              <w:spacing w:before="52" w:line="228" w:lineRule="auto"/>
              <w:rPr/>
            </w:pPr>
            <w:r>
              <w:rPr>
                <w:spacing w:val="7"/>
              </w:rPr>
              <w:t>砂砾含量</w:t>
            </w:r>
          </w:p>
        </w:tc>
        <w:tc>
          <w:tcPr>
            <w:tcW w:w="1440" w:type="dxa"/>
            <w:vAlign w:val="top"/>
          </w:tcPr>
          <w:p>
            <w:pPr>
              <w:pStyle w:val="TableText"/>
              <w:ind w:left="515"/>
              <w:spacing w:before="52" w:line="230" w:lineRule="auto"/>
              <w:rPr/>
            </w:pPr>
            <w:r>
              <w:rPr>
                <w:spacing w:val="4"/>
              </w:rPr>
              <w:t>少量</w:t>
            </w:r>
          </w:p>
        </w:tc>
        <w:tc>
          <w:tcPr>
            <w:tcW w:w="1502" w:type="dxa"/>
            <w:vAlign w:val="top"/>
          </w:tcPr>
          <w:p>
            <w:pPr>
              <w:pStyle w:val="TableText"/>
              <w:ind w:left="655"/>
              <w:spacing w:before="53" w:line="228" w:lineRule="auto"/>
              <w:rPr/>
            </w:pPr>
            <w:r>
              <w:rPr/>
              <w:t>无</w:t>
            </w:r>
          </w:p>
        </w:tc>
        <w:tc>
          <w:tcPr>
            <w:tcW w:w="1490" w:type="dxa"/>
            <w:vAlign w:val="top"/>
          </w:tcPr>
          <w:p>
            <w:pPr>
              <w:pStyle w:val="TableText"/>
              <w:ind w:left="646"/>
              <w:spacing w:before="53" w:line="228" w:lineRule="auto"/>
              <w:rPr/>
            </w:pPr>
            <w:r>
              <w:rPr/>
              <w:t>无</w:t>
            </w:r>
          </w:p>
        </w:tc>
      </w:tr>
      <w:tr>
        <w:trPr>
          <w:trHeight w:val="316" w:hRule="atLeast"/>
        </w:trPr>
        <w:tc>
          <w:tcPr>
            <w:tcW w:w="1191" w:type="dxa"/>
            <w:vAlign w:val="top"/>
            <w:vMerge w:val="continue"/>
            <w:tcBorders>
              <w:top w:val="nil"/>
            </w:tcBorders>
          </w:tcPr>
          <w:p>
            <w:pPr>
              <w:rPr>
                <w:rFonts w:ascii="Arial"/>
                <w:sz w:val="21"/>
              </w:rPr>
            </w:pPr>
            <w:r/>
          </w:p>
        </w:tc>
        <w:tc>
          <w:tcPr>
            <w:tcW w:w="2927" w:type="dxa"/>
            <w:vAlign w:val="top"/>
          </w:tcPr>
          <w:p>
            <w:pPr>
              <w:pStyle w:val="TableText"/>
              <w:ind w:left="1049"/>
              <w:spacing w:before="52" w:line="228" w:lineRule="auto"/>
              <w:rPr/>
            </w:pPr>
            <w:r>
              <w:rPr>
                <w:spacing w:val="7"/>
              </w:rPr>
              <w:t>其他异物</w:t>
            </w:r>
          </w:p>
        </w:tc>
        <w:tc>
          <w:tcPr>
            <w:tcW w:w="1440" w:type="dxa"/>
            <w:vAlign w:val="top"/>
          </w:tcPr>
          <w:p>
            <w:pPr>
              <w:pStyle w:val="TableText"/>
              <w:ind w:left="622"/>
              <w:spacing w:before="53" w:line="228" w:lineRule="auto"/>
              <w:rPr/>
            </w:pPr>
            <w:r>
              <w:rPr/>
              <w:t>无</w:t>
            </w:r>
          </w:p>
        </w:tc>
        <w:tc>
          <w:tcPr>
            <w:tcW w:w="1502" w:type="dxa"/>
            <w:vAlign w:val="top"/>
          </w:tcPr>
          <w:p>
            <w:pPr>
              <w:pStyle w:val="TableText"/>
              <w:ind w:left="655"/>
              <w:spacing w:before="53" w:line="228" w:lineRule="auto"/>
              <w:rPr/>
            </w:pPr>
            <w:r>
              <w:rPr/>
              <w:t>无</w:t>
            </w:r>
          </w:p>
        </w:tc>
        <w:tc>
          <w:tcPr>
            <w:tcW w:w="1490" w:type="dxa"/>
            <w:vAlign w:val="top"/>
          </w:tcPr>
          <w:p>
            <w:pPr>
              <w:pStyle w:val="TableText"/>
              <w:ind w:left="646"/>
              <w:spacing w:before="53" w:line="228" w:lineRule="auto"/>
              <w:rPr/>
            </w:pPr>
            <w:r>
              <w:rPr/>
              <w:t>无</w:t>
            </w:r>
          </w:p>
        </w:tc>
      </w:tr>
      <w:tr>
        <w:trPr>
          <w:trHeight w:val="317" w:hRule="atLeast"/>
        </w:trPr>
        <w:tc>
          <w:tcPr>
            <w:tcW w:w="1191" w:type="dxa"/>
            <w:vAlign w:val="top"/>
            <w:vMerge w:val="restart"/>
            <w:tcBorders>
              <w:bottom w:val="nil"/>
            </w:tcBorders>
          </w:tcPr>
          <w:p>
            <w:pPr>
              <w:spacing w:line="263" w:lineRule="auto"/>
              <w:rPr>
                <w:rFonts w:ascii="Arial"/>
                <w:sz w:val="21"/>
              </w:rPr>
            </w:pPr>
            <w:r/>
          </w:p>
          <w:p>
            <w:pPr>
              <w:spacing w:line="263" w:lineRule="auto"/>
              <w:rPr>
                <w:rFonts w:ascii="Arial"/>
                <w:sz w:val="21"/>
              </w:rPr>
            </w:pPr>
            <w:r/>
          </w:p>
          <w:p>
            <w:pPr>
              <w:spacing w:line="264" w:lineRule="auto"/>
              <w:rPr>
                <w:rFonts w:ascii="Arial"/>
                <w:sz w:val="21"/>
              </w:rPr>
            </w:pPr>
            <w:r/>
          </w:p>
          <w:p>
            <w:pPr>
              <w:pStyle w:val="TableText"/>
              <w:ind w:left="80"/>
              <w:spacing w:before="65" w:line="228" w:lineRule="auto"/>
              <w:rPr/>
            </w:pPr>
            <w:r>
              <w:rPr>
                <w:spacing w:val="7"/>
              </w:rPr>
              <w:t>实验室测定</w:t>
            </w:r>
          </w:p>
        </w:tc>
        <w:tc>
          <w:tcPr>
            <w:tcW w:w="2927" w:type="dxa"/>
            <w:vAlign w:val="top"/>
          </w:tcPr>
          <w:p>
            <w:pPr>
              <w:pStyle w:val="TableText"/>
              <w:ind w:left="1201"/>
              <w:spacing w:before="53" w:line="221" w:lineRule="auto"/>
              <w:rPr/>
            </w:pPr>
            <w:r>
              <w:rPr>
                <w:rFonts w:ascii="Times New Roman" w:hAnsi="Times New Roman" w:eastAsia="Times New Roman" w:cs="Times New Roman"/>
              </w:rPr>
              <w:t>pH</w:t>
            </w:r>
            <w:r>
              <w:rPr>
                <w:rFonts w:ascii="Times New Roman" w:hAnsi="Times New Roman" w:eastAsia="Times New Roman" w:cs="Times New Roman"/>
                <w:spacing w:val="8"/>
              </w:rPr>
              <w:t xml:space="preserve"> </w:t>
            </w:r>
            <w:r>
              <w:rPr>
                <w:spacing w:val="13"/>
              </w:rPr>
              <w:t>值</w:t>
            </w:r>
          </w:p>
        </w:tc>
        <w:tc>
          <w:tcPr>
            <w:tcW w:w="1440" w:type="dxa"/>
            <w:vAlign w:val="top"/>
          </w:tcPr>
          <w:p>
            <w:pPr>
              <w:ind w:left="545"/>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8.06</w:t>
            </w:r>
          </w:p>
        </w:tc>
        <w:tc>
          <w:tcPr>
            <w:tcW w:w="1502" w:type="dxa"/>
            <w:vAlign w:val="top"/>
          </w:tcPr>
          <w:p>
            <w:pPr>
              <w:ind w:left="579"/>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8.09</w:t>
            </w:r>
          </w:p>
        </w:tc>
        <w:tc>
          <w:tcPr>
            <w:tcW w:w="1490" w:type="dxa"/>
            <w:vAlign w:val="top"/>
          </w:tcPr>
          <w:p>
            <w:pPr>
              <w:ind w:left="574"/>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8.</w:t>
            </w:r>
            <w:r>
              <w:rPr>
                <w:rFonts w:ascii="Times New Roman" w:hAnsi="Times New Roman" w:eastAsia="Times New Roman" w:cs="Times New Roman"/>
                <w:sz w:val="20"/>
                <w:szCs w:val="20"/>
                <w:spacing w:val="-23"/>
              </w:rPr>
              <w:t xml:space="preserve"> </w:t>
            </w:r>
            <w:r>
              <w:rPr>
                <w:rFonts w:ascii="Times New Roman" w:hAnsi="Times New Roman" w:eastAsia="Times New Roman" w:cs="Times New Roman"/>
                <w:sz w:val="20"/>
                <w:szCs w:val="20"/>
                <w:spacing w:val="-7"/>
              </w:rPr>
              <w:t>11</w:t>
            </w:r>
          </w:p>
        </w:tc>
      </w:tr>
      <w:tr>
        <w:trPr>
          <w:trHeight w:val="317" w:hRule="atLeast"/>
        </w:trPr>
        <w:tc>
          <w:tcPr>
            <w:tcW w:w="1191" w:type="dxa"/>
            <w:vAlign w:val="top"/>
            <w:vMerge w:val="continue"/>
            <w:tcBorders>
              <w:top w:val="nil"/>
              <w:bottom w:val="nil"/>
            </w:tcBorders>
          </w:tcPr>
          <w:p>
            <w:pPr>
              <w:rPr>
                <w:rFonts w:ascii="Arial"/>
                <w:sz w:val="21"/>
              </w:rPr>
            </w:pPr>
            <w:r/>
          </w:p>
        </w:tc>
        <w:tc>
          <w:tcPr>
            <w:tcW w:w="2927" w:type="dxa"/>
            <w:vAlign w:val="top"/>
          </w:tcPr>
          <w:p>
            <w:pPr>
              <w:pStyle w:val="TableText"/>
              <w:ind w:left="298"/>
              <w:spacing w:before="53" w:line="221" w:lineRule="auto"/>
              <w:rPr/>
            </w:pPr>
            <w:r>
              <w:rPr>
                <w:spacing w:val="8"/>
              </w:rPr>
              <w:t>阳离子交换量（</w:t>
            </w:r>
            <w:r>
              <w:rPr>
                <w:rFonts w:ascii="Times New Roman" w:hAnsi="Times New Roman" w:eastAsia="Times New Roman" w:cs="Times New Roman"/>
              </w:rPr>
              <w:t>cmol</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440" w:type="dxa"/>
            <w:vAlign w:val="top"/>
          </w:tcPr>
          <w:p>
            <w:pPr>
              <w:ind w:left="537"/>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22.9</w:t>
            </w:r>
          </w:p>
        </w:tc>
        <w:tc>
          <w:tcPr>
            <w:tcW w:w="1502" w:type="dxa"/>
            <w:vAlign w:val="top"/>
          </w:tcPr>
          <w:p>
            <w:pPr>
              <w:ind w:left="570"/>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21.7</w:t>
            </w:r>
          </w:p>
        </w:tc>
        <w:tc>
          <w:tcPr>
            <w:tcW w:w="1490" w:type="dxa"/>
            <w:vAlign w:val="top"/>
          </w:tcPr>
          <w:p>
            <w:pPr>
              <w:ind w:left="564"/>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22.7</w:t>
            </w:r>
          </w:p>
        </w:tc>
      </w:tr>
      <w:tr>
        <w:trPr>
          <w:trHeight w:val="316" w:hRule="atLeast"/>
        </w:trPr>
        <w:tc>
          <w:tcPr>
            <w:tcW w:w="1191" w:type="dxa"/>
            <w:vAlign w:val="top"/>
            <w:vMerge w:val="continue"/>
            <w:tcBorders>
              <w:top w:val="nil"/>
              <w:bottom w:val="nil"/>
            </w:tcBorders>
          </w:tcPr>
          <w:p>
            <w:pPr>
              <w:rPr>
                <w:rFonts w:ascii="Arial"/>
                <w:sz w:val="21"/>
              </w:rPr>
            </w:pPr>
            <w:r/>
          </w:p>
        </w:tc>
        <w:tc>
          <w:tcPr>
            <w:tcW w:w="2927" w:type="dxa"/>
            <w:vAlign w:val="top"/>
          </w:tcPr>
          <w:p>
            <w:pPr>
              <w:pStyle w:val="TableText"/>
              <w:ind w:left="471"/>
              <w:spacing w:before="55" w:line="227" w:lineRule="auto"/>
              <w:rPr/>
            </w:pPr>
            <w:r>
              <w:rPr>
                <w:spacing w:val="9"/>
              </w:rPr>
              <w:t>氧化还原电位（</w:t>
            </w:r>
            <w:r>
              <w:rPr>
                <w:rFonts w:ascii="Times New Roman" w:hAnsi="Times New Roman" w:eastAsia="Times New Roman" w:cs="Times New Roman"/>
              </w:rPr>
              <w:t>mV</w:t>
            </w:r>
            <w:r>
              <w:rPr>
                <w:spacing w:val="9"/>
              </w:rPr>
              <w:t>）</w:t>
            </w:r>
          </w:p>
        </w:tc>
        <w:tc>
          <w:tcPr>
            <w:tcW w:w="1440" w:type="dxa"/>
            <w:vAlign w:val="top"/>
          </w:tcPr>
          <w:p>
            <w:pPr>
              <w:ind w:left="56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432</w:t>
            </w:r>
          </w:p>
        </w:tc>
        <w:tc>
          <w:tcPr>
            <w:tcW w:w="1502" w:type="dxa"/>
            <w:vAlign w:val="top"/>
          </w:tcPr>
          <w:p>
            <w:pPr>
              <w:ind w:left="720"/>
              <w:spacing w:before="8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490" w:type="dxa"/>
            <w:vAlign w:val="top"/>
          </w:tcPr>
          <w:p>
            <w:pPr>
              <w:ind w:left="713"/>
              <w:spacing w:before="8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6" w:hRule="atLeast"/>
        </w:trPr>
        <w:tc>
          <w:tcPr>
            <w:tcW w:w="1191" w:type="dxa"/>
            <w:vAlign w:val="top"/>
            <w:vMerge w:val="continue"/>
            <w:tcBorders>
              <w:top w:val="nil"/>
              <w:bottom w:val="nil"/>
            </w:tcBorders>
          </w:tcPr>
          <w:p>
            <w:pPr>
              <w:rPr>
                <w:rFonts w:ascii="Arial"/>
                <w:sz w:val="21"/>
              </w:rPr>
            </w:pPr>
            <w:r/>
          </w:p>
        </w:tc>
        <w:tc>
          <w:tcPr>
            <w:tcW w:w="2927" w:type="dxa"/>
            <w:vAlign w:val="top"/>
          </w:tcPr>
          <w:p>
            <w:pPr>
              <w:pStyle w:val="TableText"/>
              <w:ind w:left="658"/>
              <w:spacing w:before="56" w:line="221" w:lineRule="auto"/>
              <w:rPr>
                <w:rFonts w:ascii="Times New Roman" w:hAnsi="Times New Roman" w:eastAsia="Times New Roman" w:cs="Times New Roman"/>
              </w:rPr>
            </w:pPr>
            <w:r>
              <w:rPr>
                <w:spacing w:val="11"/>
              </w:rPr>
              <w:t>渗滤率（</w:t>
            </w:r>
            <w:r>
              <w:rPr>
                <w:rFonts w:ascii="Times New Roman" w:hAnsi="Times New Roman" w:eastAsia="Times New Roman" w:cs="Times New Roman"/>
              </w:rPr>
              <w:t>mm</w:t>
            </w:r>
            <w:r>
              <w:rPr>
                <w:rFonts w:ascii="Times New Roman" w:hAnsi="Times New Roman" w:eastAsia="Times New Roman" w:cs="Times New Roman"/>
                <w:spacing w:val="11"/>
              </w:rPr>
              <w:t>/</w:t>
            </w:r>
            <w:r>
              <w:rPr>
                <w:rFonts w:ascii="Times New Roman" w:hAnsi="Times New Roman" w:eastAsia="Times New Roman" w:cs="Times New Roman"/>
              </w:rPr>
              <w:t>min</w:t>
            </w:r>
            <w:r>
              <w:rPr>
                <w:rFonts w:ascii="Times New Roman" w:hAnsi="Times New Roman" w:eastAsia="Times New Roman" w:cs="Times New Roman"/>
                <w:spacing w:val="11"/>
              </w:rPr>
              <w:t>)</w:t>
            </w:r>
          </w:p>
        </w:tc>
        <w:tc>
          <w:tcPr>
            <w:tcW w:w="1440" w:type="dxa"/>
            <w:vAlign w:val="top"/>
          </w:tcPr>
          <w:p>
            <w:pPr>
              <w:ind w:left="55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1.23</w:t>
            </w:r>
          </w:p>
        </w:tc>
        <w:tc>
          <w:tcPr>
            <w:tcW w:w="1502" w:type="dxa"/>
            <w:vAlign w:val="top"/>
          </w:tcPr>
          <w:p>
            <w:pPr>
              <w:ind w:left="59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1.25</w:t>
            </w:r>
          </w:p>
        </w:tc>
        <w:tc>
          <w:tcPr>
            <w:tcW w:w="1490" w:type="dxa"/>
            <w:vAlign w:val="top"/>
          </w:tcPr>
          <w:p>
            <w:pPr>
              <w:ind w:left="58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1.29</w:t>
            </w:r>
          </w:p>
        </w:tc>
      </w:tr>
      <w:tr>
        <w:trPr>
          <w:trHeight w:val="317" w:hRule="atLeast"/>
        </w:trPr>
        <w:tc>
          <w:tcPr>
            <w:tcW w:w="1191" w:type="dxa"/>
            <w:vAlign w:val="top"/>
            <w:vMerge w:val="continue"/>
            <w:tcBorders>
              <w:top w:val="nil"/>
              <w:bottom w:val="nil"/>
            </w:tcBorders>
          </w:tcPr>
          <w:p>
            <w:pPr>
              <w:rPr>
                <w:rFonts w:ascii="Arial"/>
                <w:sz w:val="21"/>
              </w:rPr>
            </w:pPr>
            <w:r/>
          </w:p>
        </w:tc>
        <w:tc>
          <w:tcPr>
            <w:tcW w:w="2927" w:type="dxa"/>
            <w:vAlign w:val="top"/>
          </w:tcPr>
          <w:p>
            <w:pPr>
              <w:pStyle w:val="TableText"/>
              <w:ind w:left="876"/>
              <w:spacing w:before="56" w:line="221" w:lineRule="auto"/>
              <w:rPr>
                <w:rFonts w:ascii="Times New Roman" w:hAnsi="Times New Roman" w:eastAsia="Times New Roman" w:cs="Times New Roman"/>
              </w:rPr>
            </w:pPr>
            <w:r>
              <w:rPr>
                <w:spacing w:val="6"/>
              </w:rPr>
              <w:t>容重（</w:t>
            </w:r>
            <w:r>
              <w:rPr>
                <w:rFonts w:ascii="Times New Roman" w:hAnsi="Times New Roman" w:eastAsia="Times New Roman" w:cs="Times New Roman"/>
                <w:spacing w:val="6"/>
              </w:rPr>
              <w:t>g/</w:t>
            </w:r>
            <w:r>
              <w:rPr>
                <w:rFonts w:ascii="Times New Roman" w:hAnsi="Times New Roman" w:eastAsia="Times New Roman" w:cs="Times New Roman"/>
              </w:rPr>
              <w:t>cm</w:t>
            </w:r>
            <w:r>
              <w:rPr>
                <w:rFonts w:ascii="Times New Roman" w:hAnsi="Times New Roman" w:eastAsia="Times New Roman" w:cs="Times New Roman"/>
                <w:sz w:val="13"/>
                <w:szCs w:val="13"/>
                <w:spacing w:val="6"/>
                <w:position w:val="6"/>
              </w:rPr>
              <w:t>3</w:t>
            </w:r>
            <w:r>
              <w:rPr>
                <w:rFonts w:ascii="Times New Roman" w:hAnsi="Times New Roman" w:eastAsia="Times New Roman" w:cs="Times New Roman"/>
                <w:spacing w:val="6"/>
              </w:rPr>
              <w:t>)</w:t>
            </w:r>
          </w:p>
        </w:tc>
        <w:tc>
          <w:tcPr>
            <w:tcW w:w="1440" w:type="dxa"/>
            <w:vAlign w:val="top"/>
          </w:tcPr>
          <w:p>
            <w:pPr>
              <w:ind w:left="55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1.18</w:t>
            </w:r>
          </w:p>
        </w:tc>
        <w:tc>
          <w:tcPr>
            <w:tcW w:w="1502" w:type="dxa"/>
            <w:vAlign w:val="top"/>
          </w:tcPr>
          <w:p>
            <w:pPr>
              <w:ind w:left="59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1.10</w:t>
            </w:r>
          </w:p>
        </w:tc>
        <w:tc>
          <w:tcPr>
            <w:tcW w:w="1490" w:type="dxa"/>
            <w:vAlign w:val="top"/>
          </w:tcPr>
          <w:p>
            <w:pPr>
              <w:ind w:left="58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1.19</w:t>
            </w:r>
          </w:p>
        </w:tc>
      </w:tr>
      <w:tr>
        <w:trPr>
          <w:trHeight w:val="321" w:hRule="atLeast"/>
        </w:trPr>
        <w:tc>
          <w:tcPr>
            <w:tcW w:w="1191" w:type="dxa"/>
            <w:vAlign w:val="top"/>
            <w:vMerge w:val="continue"/>
            <w:tcBorders>
              <w:top w:val="nil"/>
            </w:tcBorders>
          </w:tcPr>
          <w:p>
            <w:pPr>
              <w:rPr>
                <w:rFonts w:ascii="Arial"/>
                <w:sz w:val="21"/>
              </w:rPr>
            </w:pPr>
            <w:r/>
          </w:p>
        </w:tc>
        <w:tc>
          <w:tcPr>
            <w:tcW w:w="2927" w:type="dxa"/>
            <w:vAlign w:val="top"/>
          </w:tcPr>
          <w:p>
            <w:pPr>
              <w:pStyle w:val="TableText"/>
              <w:ind w:left="756"/>
              <w:spacing w:before="56" w:line="228" w:lineRule="auto"/>
              <w:rPr/>
            </w:pPr>
            <w:r>
              <w:rPr>
                <w:spacing w:val="6"/>
              </w:rPr>
              <w:t>总孔隙度（</w:t>
            </w:r>
            <w:r>
              <w:rPr>
                <w:rFonts w:ascii="Times New Roman" w:hAnsi="Times New Roman" w:eastAsia="Times New Roman" w:cs="Times New Roman"/>
                <w:spacing w:val="6"/>
              </w:rPr>
              <w:t>%</w:t>
            </w:r>
            <w:r>
              <w:rPr>
                <w:spacing w:val="6"/>
              </w:rPr>
              <w:t>）</w:t>
            </w:r>
          </w:p>
        </w:tc>
        <w:tc>
          <w:tcPr>
            <w:tcW w:w="1440" w:type="dxa"/>
            <w:vAlign w:val="top"/>
          </w:tcPr>
          <w:p>
            <w:pPr>
              <w:ind w:left="54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38.9</w:t>
            </w:r>
          </w:p>
        </w:tc>
        <w:tc>
          <w:tcPr>
            <w:tcW w:w="1502" w:type="dxa"/>
            <w:vAlign w:val="top"/>
          </w:tcPr>
          <w:p>
            <w:pPr>
              <w:ind w:left="57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38.3</w:t>
            </w:r>
          </w:p>
        </w:tc>
        <w:tc>
          <w:tcPr>
            <w:tcW w:w="1490" w:type="dxa"/>
            <w:vAlign w:val="top"/>
          </w:tcPr>
          <w:p>
            <w:pPr>
              <w:ind w:left="56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39.5</w:t>
            </w:r>
          </w:p>
        </w:tc>
      </w:tr>
    </w:tbl>
    <w:p>
      <w:pPr>
        <w:ind w:left="2453"/>
        <w:spacing w:before="36" w:line="212" w:lineRule="auto"/>
        <w:rPr>
          <w:rFonts w:ascii="Times New Roman" w:hAnsi="Times New Roman" w:eastAsia="Times New Roman" w:cs="Times New Roman"/>
          <w:sz w:val="24"/>
          <w:szCs w:val="24"/>
        </w:rPr>
      </w:pPr>
      <w:r>
        <w:rPr>
          <w:rFonts w:ascii="SimSun" w:hAnsi="SimSun" w:eastAsia="SimSun" w:cs="SimSun"/>
          <w:sz w:val="24"/>
          <w:szCs w:val="24"/>
          <w:b/>
          <w:bCs/>
          <w:spacing w:val="-2"/>
        </w:rPr>
        <w:t>表</w:t>
      </w:r>
      <w:r>
        <w:rPr>
          <w:rFonts w:ascii="SimSun" w:hAnsi="SimSun" w:eastAsia="SimSun" w:cs="SimSun"/>
          <w:sz w:val="24"/>
          <w:szCs w:val="24"/>
          <w:spacing w:val="-39"/>
        </w:rPr>
        <w:t xml:space="preserve"> </w:t>
      </w:r>
      <w:r>
        <w:rPr>
          <w:rFonts w:ascii="Times New Roman" w:hAnsi="Times New Roman" w:eastAsia="Times New Roman" w:cs="Times New Roman"/>
          <w:sz w:val="24"/>
          <w:szCs w:val="24"/>
          <w:b/>
          <w:bCs/>
          <w:spacing w:val="-2"/>
        </w:rPr>
        <w:t>4.2-22        </w:t>
      </w:r>
      <w:r>
        <w:rPr>
          <w:rFonts w:ascii="SimSun" w:hAnsi="SimSun" w:eastAsia="SimSun" w:cs="SimSun"/>
          <w:sz w:val="24"/>
          <w:szCs w:val="24"/>
          <w:b/>
          <w:bCs/>
          <w:spacing w:val="-2"/>
        </w:rPr>
        <w:t>土壤理化性质调查表</w:t>
      </w:r>
      <w:r>
        <w:rPr>
          <w:rFonts w:ascii="SimSun" w:hAnsi="SimSun" w:eastAsia="SimSun" w:cs="SimSun"/>
          <w:sz w:val="24"/>
          <w:szCs w:val="24"/>
          <w:spacing w:val="-51"/>
        </w:rPr>
        <w:t xml:space="preserve"> </w:t>
      </w:r>
      <w:r>
        <w:rPr>
          <w:rFonts w:ascii="Times New Roman" w:hAnsi="Times New Roman" w:eastAsia="Times New Roman" w:cs="Times New Roman"/>
          <w:sz w:val="24"/>
          <w:szCs w:val="24"/>
          <w:b/>
          <w:bCs/>
          <w:spacing w:val="-2"/>
        </w:rPr>
        <w:t>2</w:t>
      </w:r>
    </w:p>
    <w:tbl>
      <w:tblPr>
        <w:tblStyle w:val="TableNormal"/>
        <w:tblW w:w="8516" w:type="dxa"/>
        <w:tblInd w:w="6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85"/>
        <w:gridCol w:w="2896"/>
        <w:gridCol w:w="1450"/>
        <w:gridCol w:w="1532"/>
        <w:gridCol w:w="1453"/>
      </w:tblGrid>
      <w:tr>
        <w:trPr>
          <w:trHeight w:val="321" w:hRule="atLeast"/>
        </w:trPr>
        <w:tc>
          <w:tcPr>
            <w:tcW w:w="4081" w:type="dxa"/>
            <w:vAlign w:val="top"/>
            <w:gridSpan w:val="2"/>
          </w:tcPr>
          <w:p>
            <w:pPr>
              <w:pStyle w:val="TableText"/>
              <w:ind w:left="1847"/>
              <w:spacing w:before="55" w:line="229" w:lineRule="auto"/>
              <w:rPr/>
            </w:pPr>
            <w:r>
              <w:rPr>
                <w:spacing w:val="-1"/>
              </w:rPr>
              <w:t>点号</w:t>
            </w:r>
          </w:p>
        </w:tc>
        <w:tc>
          <w:tcPr>
            <w:tcW w:w="4435" w:type="dxa"/>
            <w:vAlign w:val="top"/>
            <w:gridSpan w:val="3"/>
          </w:tcPr>
          <w:p>
            <w:pPr>
              <w:ind w:left="2121"/>
              <w:spacing w:before="94"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T</w:t>
            </w:r>
            <w:r>
              <w:rPr>
                <w:rFonts w:ascii="Times New Roman" w:hAnsi="Times New Roman" w:eastAsia="Times New Roman" w:cs="Times New Roman"/>
                <w:sz w:val="13"/>
                <w:szCs w:val="13"/>
                <w:spacing w:val="1"/>
                <w:position w:val="-1"/>
              </w:rPr>
              <w:t>6</w:t>
            </w:r>
          </w:p>
        </w:tc>
      </w:tr>
      <w:tr>
        <w:trPr>
          <w:trHeight w:val="316" w:hRule="atLeast"/>
        </w:trPr>
        <w:tc>
          <w:tcPr>
            <w:tcW w:w="4081" w:type="dxa"/>
            <w:vAlign w:val="top"/>
            <w:gridSpan w:val="2"/>
          </w:tcPr>
          <w:p>
            <w:pPr>
              <w:pStyle w:val="TableText"/>
              <w:ind w:left="1732"/>
              <w:spacing w:before="53" w:line="228" w:lineRule="auto"/>
              <w:rPr/>
            </w:pPr>
            <w:r>
              <w:rPr>
                <w:spacing w:val="6"/>
              </w:rPr>
              <w:t>经纬度</w:t>
            </w:r>
          </w:p>
        </w:tc>
        <w:tc>
          <w:tcPr>
            <w:tcW w:w="4435" w:type="dxa"/>
            <w:vAlign w:val="top"/>
            <w:gridSpan w:val="3"/>
          </w:tcPr>
          <w:p>
            <w:pPr>
              <w:ind w:left="831"/>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114°58′</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12.73″E    42°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17′4</w:t>
            </w:r>
            <w:r>
              <w:rPr>
                <w:rFonts w:ascii="Times New Roman" w:hAnsi="Times New Roman" w:eastAsia="Times New Roman" w:cs="Times New Roman"/>
                <w:sz w:val="20"/>
                <w:szCs w:val="20"/>
                <w:spacing w:val="1"/>
              </w:rPr>
              <w:t>1.47″N</w:t>
            </w:r>
          </w:p>
        </w:tc>
      </w:tr>
      <w:tr>
        <w:trPr>
          <w:trHeight w:val="316" w:hRule="atLeast"/>
        </w:trPr>
        <w:tc>
          <w:tcPr>
            <w:tcW w:w="4081" w:type="dxa"/>
            <w:vAlign w:val="top"/>
            <w:gridSpan w:val="2"/>
          </w:tcPr>
          <w:p>
            <w:pPr>
              <w:pStyle w:val="TableText"/>
              <w:ind w:left="1836"/>
              <w:spacing w:before="53" w:line="228" w:lineRule="auto"/>
              <w:rPr/>
            </w:pPr>
            <w:r>
              <w:rPr>
                <w:spacing w:val="4"/>
              </w:rPr>
              <w:t>层次</w:t>
            </w:r>
          </w:p>
        </w:tc>
        <w:tc>
          <w:tcPr>
            <w:tcW w:w="1450" w:type="dxa"/>
            <w:vAlign w:val="top"/>
          </w:tcPr>
          <w:p>
            <w:pPr>
              <w:pStyle w:val="TableText"/>
              <w:ind w:left="413"/>
              <w:spacing w:before="53" w:line="228" w:lineRule="auto"/>
              <w:rPr/>
            </w:pPr>
            <w:r>
              <w:rPr>
                <w:spacing w:val="7"/>
              </w:rPr>
              <w:t>表层样</w:t>
            </w:r>
          </w:p>
        </w:tc>
        <w:tc>
          <w:tcPr>
            <w:tcW w:w="1532" w:type="dxa"/>
            <w:vAlign w:val="top"/>
          </w:tcPr>
          <w:p>
            <w:pPr>
              <w:pStyle w:val="TableText"/>
              <w:ind w:left="477"/>
              <w:spacing w:before="53" w:line="228" w:lineRule="auto"/>
              <w:rPr/>
            </w:pPr>
            <w:r>
              <w:rPr/>
              <w:t>中层样</w:t>
            </w:r>
          </w:p>
        </w:tc>
        <w:tc>
          <w:tcPr>
            <w:tcW w:w="1453" w:type="dxa"/>
            <w:vAlign w:val="top"/>
          </w:tcPr>
          <w:p>
            <w:pPr>
              <w:pStyle w:val="TableText"/>
              <w:ind w:left="415"/>
              <w:spacing w:before="53" w:line="228" w:lineRule="auto"/>
              <w:rPr/>
            </w:pPr>
            <w:r>
              <w:rPr>
                <w:spacing w:val="6"/>
              </w:rPr>
              <w:t>深层样</w:t>
            </w:r>
          </w:p>
        </w:tc>
      </w:tr>
      <w:tr>
        <w:trPr>
          <w:trHeight w:val="317" w:hRule="atLeast"/>
        </w:trPr>
        <w:tc>
          <w:tcPr>
            <w:tcW w:w="1185" w:type="dxa"/>
            <w:vAlign w:val="top"/>
            <w:vMerge w:val="restart"/>
            <w:tcBorders>
              <w:bottom w:val="nil"/>
            </w:tcBorders>
          </w:tcPr>
          <w:p>
            <w:pPr>
              <w:spacing w:line="314" w:lineRule="auto"/>
              <w:rPr>
                <w:rFonts w:ascii="Arial"/>
                <w:sz w:val="21"/>
              </w:rPr>
            </w:pPr>
            <w:r/>
          </w:p>
          <w:p>
            <w:pPr>
              <w:spacing w:line="315" w:lineRule="auto"/>
              <w:rPr>
                <w:rFonts w:ascii="Arial"/>
                <w:sz w:val="21"/>
              </w:rPr>
            </w:pPr>
            <w:r/>
          </w:p>
          <w:p>
            <w:pPr>
              <w:pStyle w:val="TableText"/>
              <w:ind w:left="179"/>
              <w:spacing w:before="65" w:line="228" w:lineRule="auto"/>
              <w:rPr/>
            </w:pPr>
            <w:r>
              <w:rPr>
                <w:spacing w:val="6"/>
              </w:rPr>
              <w:t>现场记录</w:t>
            </w:r>
          </w:p>
        </w:tc>
        <w:tc>
          <w:tcPr>
            <w:tcW w:w="2896" w:type="dxa"/>
            <w:vAlign w:val="top"/>
          </w:tcPr>
          <w:p>
            <w:pPr>
              <w:pStyle w:val="TableText"/>
              <w:ind w:left="1241"/>
              <w:spacing w:before="54" w:line="229" w:lineRule="auto"/>
              <w:rPr/>
            </w:pPr>
            <w:r>
              <w:rPr>
                <w:spacing w:val="5"/>
              </w:rPr>
              <w:t>颜色</w:t>
            </w:r>
          </w:p>
        </w:tc>
        <w:tc>
          <w:tcPr>
            <w:tcW w:w="1450" w:type="dxa"/>
            <w:vAlign w:val="top"/>
          </w:tcPr>
          <w:p>
            <w:pPr>
              <w:pStyle w:val="TableText"/>
              <w:ind w:left="413"/>
              <w:spacing w:before="54" w:line="228" w:lineRule="auto"/>
              <w:rPr/>
            </w:pPr>
            <w:r>
              <w:rPr>
                <w:spacing w:val="7"/>
              </w:rPr>
              <w:t>黄棕色</w:t>
            </w:r>
          </w:p>
        </w:tc>
        <w:tc>
          <w:tcPr>
            <w:tcW w:w="1532" w:type="dxa"/>
            <w:vAlign w:val="top"/>
          </w:tcPr>
          <w:p>
            <w:pPr>
              <w:pStyle w:val="TableText"/>
              <w:ind w:left="456"/>
              <w:spacing w:before="54" w:line="228" w:lineRule="auto"/>
              <w:rPr/>
            </w:pPr>
            <w:r>
              <w:rPr>
                <w:spacing w:val="7"/>
              </w:rPr>
              <w:t>黄棕色</w:t>
            </w:r>
          </w:p>
        </w:tc>
        <w:tc>
          <w:tcPr>
            <w:tcW w:w="1453" w:type="dxa"/>
            <w:vAlign w:val="top"/>
          </w:tcPr>
          <w:p>
            <w:pPr>
              <w:pStyle w:val="TableText"/>
              <w:ind w:left="415"/>
              <w:spacing w:before="54" w:line="228" w:lineRule="auto"/>
              <w:rPr/>
            </w:pPr>
            <w:r>
              <w:rPr>
                <w:spacing w:val="7"/>
              </w:rPr>
              <w:t>黄棕色</w:t>
            </w:r>
          </w:p>
        </w:tc>
      </w:tr>
      <w:tr>
        <w:trPr>
          <w:trHeight w:val="317" w:hRule="atLeast"/>
        </w:trPr>
        <w:tc>
          <w:tcPr>
            <w:tcW w:w="1185" w:type="dxa"/>
            <w:vAlign w:val="top"/>
            <w:vMerge w:val="continue"/>
            <w:tcBorders>
              <w:top w:val="nil"/>
              <w:bottom w:val="nil"/>
            </w:tcBorders>
          </w:tcPr>
          <w:p>
            <w:pPr>
              <w:rPr>
                <w:rFonts w:ascii="Arial"/>
                <w:sz w:val="21"/>
              </w:rPr>
            </w:pPr>
            <w:r/>
          </w:p>
        </w:tc>
        <w:tc>
          <w:tcPr>
            <w:tcW w:w="2896" w:type="dxa"/>
            <w:vAlign w:val="top"/>
          </w:tcPr>
          <w:p>
            <w:pPr>
              <w:pStyle w:val="TableText"/>
              <w:ind w:left="1246"/>
              <w:spacing w:before="54" w:line="228" w:lineRule="auto"/>
              <w:rPr/>
            </w:pPr>
            <w:r>
              <w:rPr>
                <w:spacing w:val="2"/>
              </w:rPr>
              <w:t>结构</w:t>
            </w:r>
          </w:p>
        </w:tc>
        <w:tc>
          <w:tcPr>
            <w:tcW w:w="1450" w:type="dxa"/>
            <w:vAlign w:val="top"/>
          </w:tcPr>
          <w:p>
            <w:pPr>
              <w:pStyle w:val="TableText"/>
              <w:ind w:left="539"/>
              <w:spacing w:before="54" w:line="228" w:lineRule="auto"/>
              <w:rPr/>
            </w:pPr>
            <w:r>
              <w:rPr>
                <w:spacing w:val="-5"/>
              </w:rPr>
              <w:t>团粒</w:t>
            </w:r>
          </w:p>
        </w:tc>
        <w:tc>
          <w:tcPr>
            <w:tcW w:w="1532" w:type="dxa"/>
            <w:vAlign w:val="top"/>
          </w:tcPr>
          <w:p>
            <w:pPr>
              <w:pStyle w:val="TableText"/>
              <w:ind w:left="581"/>
              <w:spacing w:before="54" w:line="228" w:lineRule="auto"/>
              <w:rPr/>
            </w:pPr>
            <w:r>
              <w:rPr>
                <w:spacing w:val="-5"/>
              </w:rPr>
              <w:t>团粒</w:t>
            </w:r>
          </w:p>
        </w:tc>
        <w:tc>
          <w:tcPr>
            <w:tcW w:w="1453" w:type="dxa"/>
            <w:vAlign w:val="top"/>
          </w:tcPr>
          <w:p>
            <w:pPr>
              <w:pStyle w:val="TableText"/>
              <w:ind w:left="540"/>
              <w:spacing w:before="54" w:line="228" w:lineRule="auto"/>
              <w:rPr/>
            </w:pPr>
            <w:r>
              <w:rPr>
                <w:spacing w:val="-5"/>
              </w:rPr>
              <w:t>团粒</w:t>
            </w:r>
          </w:p>
        </w:tc>
      </w:tr>
      <w:tr>
        <w:trPr>
          <w:trHeight w:val="316" w:hRule="atLeast"/>
        </w:trPr>
        <w:tc>
          <w:tcPr>
            <w:tcW w:w="1185" w:type="dxa"/>
            <w:vAlign w:val="top"/>
            <w:vMerge w:val="continue"/>
            <w:tcBorders>
              <w:top w:val="nil"/>
              <w:bottom w:val="nil"/>
            </w:tcBorders>
          </w:tcPr>
          <w:p>
            <w:pPr>
              <w:rPr>
                <w:rFonts w:ascii="Arial"/>
                <w:sz w:val="21"/>
              </w:rPr>
            </w:pPr>
            <w:r/>
          </w:p>
        </w:tc>
        <w:tc>
          <w:tcPr>
            <w:tcW w:w="2896" w:type="dxa"/>
            <w:vAlign w:val="top"/>
          </w:tcPr>
          <w:p>
            <w:pPr>
              <w:pStyle w:val="TableText"/>
              <w:ind w:left="1242"/>
              <w:spacing w:before="54" w:line="228" w:lineRule="auto"/>
              <w:rPr/>
            </w:pPr>
            <w:r>
              <w:rPr>
                <w:spacing w:val="4"/>
              </w:rPr>
              <w:t>质地</w:t>
            </w:r>
          </w:p>
        </w:tc>
        <w:tc>
          <w:tcPr>
            <w:tcW w:w="1450" w:type="dxa"/>
            <w:vAlign w:val="top"/>
          </w:tcPr>
          <w:p>
            <w:pPr>
              <w:pStyle w:val="TableText"/>
              <w:ind w:left="413"/>
              <w:spacing w:before="53" w:line="229" w:lineRule="auto"/>
              <w:rPr/>
            </w:pPr>
            <w:r>
              <w:rPr>
                <w:spacing w:val="7"/>
              </w:rPr>
              <w:t>砂壤土</w:t>
            </w:r>
          </w:p>
        </w:tc>
        <w:tc>
          <w:tcPr>
            <w:tcW w:w="1532" w:type="dxa"/>
            <w:vAlign w:val="top"/>
          </w:tcPr>
          <w:p>
            <w:pPr>
              <w:pStyle w:val="TableText"/>
              <w:ind w:left="456"/>
              <w:spacing w:before="53" w:line="229" w:lineRule="auto"/>
              <w:rPr/>
            </w:pPr>
            <w:r>
              <w:rPr>
                <w:spacing w:val="7"/>
              </w:rPr>
              <w:t>砂壤土</w:t>
            </w:r>
          </w:p>
        </w:tc>
        <w:tc>
          <w:tcPr>
            <w:tcW w:w="1453" w:type="dxa"/>
            <w:vAlign w:val="top"/>
          </w:tcPr>
          <w:p>
            <w:pPr>
              <w:pStyle w:val="TableText"/>
              <w:ind w:left="415"/>
              <w:spacing w:before="53" w:line="229" w:lineRule="auto"/>
              <w:rPr/>
            </w:pPr>
            <w:r>
              <w:rPr>
                <w:spacing w:val="7"/>
              </w:rPr>
              <w:t>砂壤土</w:t>
            </w:r>
          </w:p>
        </w:tc>
      </w:tr>
      <w:tr>
        <w:trPr>
          <w:trHeight w:val="317" w:hRule="atLeast"/>
        </w:trPr>
        <w:tc>
          <w:tcPr>
            <w:tcW w:w="1185" w:type="dxa"/>
            <w:vAlign w:val="top"/>
            <w:vMerge w:val="continue"/>
            <w:tcBorders>
              <w:top w:val="nil"/>
              <w:bottom w:val="nil"/>
            </w:tcBorders>
          </w:tcPr>
          <w:p>
            <w:pPr>
              <w:rPr>
                <w:rFonts w:ascii="Arial"/>
                <w:sz w:val="21"/>
              </w:rPr>
            </w:pPr>
            <w:r/>
          </w:p>
        </w:tc>
        <w:tc>
          <w:tcPr>
            <w:tcW w:w="2896" w:type="dxa"/>
            <w:vAlign w:val="top"/>
          </w:tcPr>
          <w:p>
            <w:pPr>
              <w:pStyle w:val="TableText"/>
              <w:ind w:left="1032"/>
              <w:spacing w:before="54" w:line="228" w:lineRule="auto"/>
              <w:rPr/>
            </w:pPr>
            <w:r>
              <w:rPr>
                <w:spacing w:val="7"/>
              </w:rPr>
              <w:t>砂砾含量</w:t>
            </w:r>
          </w:p>
        </w:tc>
        <w:tc>
          <w:tcPr>
            <w:tcW w:w="1450" w:type="dxa"/>
            <w:vAlign w:val="top"/>
          </w:tcPr>
          <w:p>
            <w:pPr>
              <w:pStyle w:val="TableText"/>
              <w:ind w:left="521"/>
              <w:spacing w:before="54" w:line="230" w:lineRule="auto"/>
              <w:rPr/>
            </w:pPr>
            <w:r>
              <w:rPr>
                <w:spacing w:val="4"/>
              </w:rPr>
              <w:t>少量</w:t>
            </w:r>
          </w:p>
        </w:tc>
        <w:tc>
          <w:tcPr>
            <w:tcW w:w="1532" w:type="dxa"/>
            <w:vAlign w:val="top"/>
          </w:tcPr>
          <w:p>
            <w:pPr>
              <w:pStyle w:val="TableText"/>
              <w:ind w:left="670"/>
              <w:spacing w:before="54" w:line="228" w:lineRule="auto"/>
              <w:rPr/>
            </w:pPr>
            <w:r>
              <w:rPr/>
              <w:t>无</w:t>
            </w:r>
          </w:p>
        </w:tc>
        <w:tc>
          <w:tcPr>
            <w:tcW w:w="1453" w:type="dxa"/>
            <w:vAlign w:val="top"/>
          </w:tcPr>
          <w:p>
            <w:pPr>
              <w:pStyle w:val="TableText"/>
              <w:ind w:left="628"/>
              <w:spacing w:before="54" w:line="228" w:lineRule="auto"/>
              <w:rPr/>
            </w:pPr>
            <w:r>
              <w:rPr/>
              <w:t>无</w:t>
            </w:r>
          </w:p>
        </w:tc>
      </w:tr>
      <w:tr>
        <w:trPr>
          <w:trHeight w:val="317" w:hRule="atLeast"/>
        </w:trPr>
        <w:tc>
          <w:tcPr>
            <w:tcW w:w="1185" w:type="dxa"/>
            <w:vAlign w:val="top"/>
            <w:vMerge w:val="continue"/>
            <w:tcBorders>
              <w:top w:val="nil"/>
            </w:tcBorders>
          </w:tcPr>
          <w:p>
            <w:pPr>
              <w:rPr>
                <w:rFonts w:ascii="Arial"/>
                <w:sz w:val="21"/>
              </w:rPr>
            </w:pPr>
            <w:r/>
          </w:p>
        </w:tc>
        <w:tc>
          <w:tcPr>
            <w:tcW w:w="2896" w:type="dxa"/>
            <w:vAlign w:val="top"/>
          </w:tcPr>
          <w:p>
            <w:pPr>
              <w:pStyle w:val="TableText"/>
              <w:ind w:left="1033"/>
              <w:spacing w:before="56" w:line="228" w:lineRule="auto"/>
              <w:rPr/>
            </w:pPr>
            <w:r>
              <w:rPr>
                <w:spacing w:val="7"/>
              </w:rPr>
              <w:t>其他异物</w:t>
            </w:r>
          </w:p>
        </w:tc>
        <w:tc>
          <w:tcPr>
            <w:tcW w:w="1450" w:type="dxa"/>
            <w:vAlign w:val="top"/>
          </w:tcPr>
          <w:p>
            <w:pPr>
              <w:pStyle w:val="TableText"/>
              <w:ind w:left="627"/>
              <w:spacing w:before="56" w:line="228" w:lineRule="auto"/>
              <w:rPr/>
            </w:pPr>
            <w:r>
              <w:rPr/>
              <w:t>无</w:t>
            </w:r>
          </w:p>
        </w:tc>
        <w:tc>
          <w:tcPr>
            <w:tcW w:w="1532" w:type="dxa"/>
            <w:vAlign w:val="top"/>
          </w:tcPr>
          <w:p>
            <w:pPr>
              <w:pStyle w:val="TableText"/>
              <w:ind w:left="670"/>
              <w:spacing w:before="56" w:line="228" w:lineRule="auto"/>
              <w:rPr/>
            </w:pPr>
            <w:r>
              <w:rPr/>
              <w:t>无</w:t>
            </w:r>
          </w:p>
        </w:tc>
        <w:tc>
          <w:tcPr>
            <w:tcW w:w="1453" w:type="dxa"/>
            <w:vAlign w:val="top"/>
          </w:tcPr>
          <w:p>
            <w:pPr>
              <w:pStyle w:val="TableText"/>
              <w:ind w:left="628"/>
              <w:spacing w:before="56" w:line="228" w:lineRule="auto"/>
              <w:rPr/>
            </w:pPr>
            <w:r>
              <w:rPr/>
              <w:t>无</w:t>
            </w:r>
          </w:p>
        </w:tc>
      </w:tr>
      <w:tr>
        <w:trPr>
          <w:trHeight w:val="317" w:hRule="atLeast"/>
        </w:trPr>
        <w:tc>
          <w:tcPr>
            <w:tcW w:w="1185" w:type="dxa"/>
            <w:vAlign w:val="top"/>
            <w:vMerge w:val="restart"/>
            <w:tcBorders>
              <w:bottom w:val="nil"/>
            </w:tcBorders>
          </w:tcPr>
          <w:p>
            <w:pPr>
              <w:spacing w:line="263" w:lineRule="auto"/>
              <w:rPr>
                <w:rFonts w:ascii="Arial"/>
                <w:sz w:val="21"/>
              </w:rPr>
            </w:pPr>
            <w:r/>
          </w:p>
          <w:p>
            <w:pPr>
              <w:spacing w:line="263" w:lineRule="auto"/>
              <w:rPr>
                <w:rFonts w:ascii="Arial"/>
                <w:sz w:val="21"/>
              </w:rPr>
            </w:pPr>
            <w:r/>
          </w:p>
          <w:p>
            <w:pPr>
              <w:spacing w:line="264" w:lineRule="auto"/>
              <w:rPr>
                <w:rFonts w:ascii="Arial"/>
                <w:sz w:val="21"/>
              </w:rPr>
            </w:pPr>
            <w:r/>
          </w:p>
          <w:p>
            <w:pPr>
              <w:pStyle w:val="TableText"/>
              <w:ind w:left="77"/>
              <w:spacing w:before="65" w:line="228" w:lineRule="auto"/>
              <w:rPr/>
            </w:pPr>
            <w:r>
              <w:rPr>
                <w:spacing w:val="7"/>
              </w:rPr>
              <w:t>实验室测定</w:t>
            </w:r>
          </w:p>
        </w:tc>
        <w:tc>
          <w:tcPr>
            <w:tcW w:w="2896" w:type="dxa"/>
            <w:vAlign w:val="top"/>
          </w:tcPr>
          <w:p>
            <w:pPr>
              <w:pStyle w:val="TableText"/>
              <w:ind w:left="1185"/>
              <w:spacing w:before="56" w:line="221" w:lineRule="auto"/>
              <w:rPr/>
            </w:pPr>
            <w:r>
              <w:rPr>
                <w:rFonts w:ascii="Times New Roman" w:hAnsi="Times New Roman" w:eastAsia="Times New Roman" w:cs="Times New Roman"/>
              </w:rPr>
              <w:t>pH</w:t>
            </w:r>
            <w:r>
              <w:rPr>
                <w:rFonts w:ascii="Times New Roman" w:hAnsi="Times New Roman" w:eastAsia="Times New Roman" w:cs="Times New Roman"/>
                <w:spacing w:val="8"/>
              </w:rPr>
              <w:t xml:space="preserve"> </w:t>
            </w:r>
            <w:r>
              <w:rPr>
                <w:spacing w:val="13"/>
              </w:rPr>
              <w:t>值</w:t>
            </w:r>
          </w:p>
        </w:tc>
        <w:tc>
          <w:tcPr>
            <w:tcW w:w="1450" w:type="dxa"/>
            <w:vAlign w:val="top"/>
          </w:tcPr>
          <w:p>
            <w:pPr>
              <w:ind w:left="55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8.15</w:t>
            </w:r>
          </w:p>
        </w:tc>
        <w:tc>
          <w:tcPr>
            <w:tcW w:w="1532" w:type="dxa"/>
            <w:vAlign w:val="top"/>
          </w:tcPr>
          <w:p>
            <w:pPr>
              <w:ind w:left="59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8.19</w:t>
            </w:r>
          </w:p>
        </w:tc>
        <w:tc>
          <w:tcPr>
            <w:tcW w:w="1453" w:type="dxa"/>
            <w:vAlign w:val="top"/>
          </w:tcPr>
          <w:p>
            <w:pPr>
              <w:ind w:left="55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8.22</w:t>
            </w:r>
          </w:p>
        </w:tc>
      </w:tr>
      <w:tr>
        <w:trPr>
          <w:trHeight w:val="317" w:hRule="atLeast"/>
        </w:trPr>
        <w:tc>
          <w:tcPr>
            <w:tcW w:w="1185" w:type="dxa"/>
            <w:vAlign w:val="top"/>
            <w:vMerge w:val="continue"/>
            <w:tcBorders>
              <w:top w:val="nil"/>
              <w:bottom w:val="nil"/>
            </w:tcBorders>
          </w:tcPr>
          <w:p>
            <w:pPr>
              <w:rPr>
                <w:rFonts w:ascii="Arial"/>
                <w:sz w:val="21"/>
              </w:rPr>
            </w:pPr>
            <w:r/>
          </w:p>
        </w:tc>
        <w:tc>
          <w:tcPr>
            <w:tcW w:w="2896" w:type="dxa"/>
            <w:vAlign w:val="top"/>
          </w:tcPr>
          <w:p>
            <w:pPr>
              <w:pStyle w:val="TableText"/>
              <w:ind w:left="285"/>
              <w:spacing w:before="55" w:line="221" w:lineRule="auto"/>
              <w:rPr/>
            </w:pPr>
            <w:r>
              <w:rPr>
                <w:spacing w:val="8"/>
              </w:rPr>
              <w:t>阳离子交换量（</w:t>
            </w:r>
            <w:r>
              <w:rPr>
                <w:rFonts w:ascii="Times New Roman" w:hAnsi="Times New Roman" w:eastAsia="Times New Roman" w:cs="Times New Roman"/>
              </w:rPr>
              <w:t>cmol</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450" w:type="dxa"/>
            <w:vAlign w:val="top"/>
          </w:tcPr>
          <w:p>
            <w:pPr>
              <w:ind w:left="54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21.9</w:t>
            </w:r>
          </w:p>
        </w:tc>
        <w:tc>
          <w:tcPr>
            <w:tcW w:w="1532" w:type="dxa"/>
            <w:vAlign w:val="top"/>
          </w:tcPr>
          <w:p>
            <w:pPr>
              <w:ind w:left="58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22.9</w:t>
            </w:r>
          </w:p>
        </w:tc>
        <w:tc>
          <w:tcPr>
            <w:tcW w:w="1453" w:type="dxa"/>
            <w:vAlign w:val="top"/>
          </w:tcPr>
          <w:p>
            <w:pPr>
              <w:ind w:left="54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22.4</w:t>
            </w:r>
          </w:p>
        </w:tc>
      </w:tr>
      <w:tr>
        <w:trPr>
          <w:trHeight w:val="316" w:hRule="atLeast"/>
        </w:trPr>
        <w:tc>
          <w:tcPr>
            <w:tcW w:w="1185" w:type="dxa"/>
            <w:vAlign w:val="top"/>
            <w:vMerge w:val="continue"/>
            <w:tcBorders>
              <w:top w:val="nil"/>
              <w:bottom w:val="nil"/>
            </w:tcBorders>
          </w:tcPr>
          <w:p>
            <w:pPr>
              <w:rPr>
                <w:rFonts w:ascii="Arial"/>
                <w:sz w:val="21"/>
              </w:rPr>
            </w:pPr>
            <w:r/>
          </w:p>
        </w:tc>
        <w:tc>
          <w:tcPr>
            <w:tcW w:w="2896" w:type="dxa"/>
            <w:vAlign w:val="top"/>
          </w:tcPr>
          <w:p>
            <w:pPr>
              <w:pStyle w:val="TableText"/>
              <w:ind w:left="455"/>
              <w:spacing w:before="55" w:line="227" w:lineRule="auto"/>
              <w:rPr/>
            </w:pPr>
            <w:r>
              <w:rPr>
                <w:spacing w:val="9"/>
              </w:rPr>
              <w:t>氧化还原电位（</w:t>
            </w:r>
            <w:r>
              <w:rPr>
                <w:rFonts w:ascii="Times New Roman" w:hAnsi="Times New Roman" w:eastAsia="Times New Roman" w:cs="Times New Roman"/>
              </w:rPr>
              <w:t>mV</w:t>
            </w:r>
            <w:r>
              <w:rPr>
                <w:spacing w:val="9"/>
              </w:rPr>
              <w:t>）</w:t>
            </w:r>
          </w:p>
        </w:tc>
        <w:tc>
          <w:tcPr>
            <w:tcW w:w="1450" w:type="dxa"/>
            <w:vAlign w:val="top"/>
          </w:tcPr>
          <w:p>
            <w:pPr>
              <w:ind w:left="56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426</w:t>
            </w:r>
          </w:p>
        </w:tc>
        <w:tc>
          <w:tcPr>
            <w:tcW w:w="1532" w:type="dxa"/>
            <w:vAlign w:val="top"/>
          </w:tcPr>
          <w:p>
            <w:pPr>
              <w:ind w:left="735"/>
              <w:spacing w:before="8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453" w:type="dxa"/>
            <w:vAlign w:val="top"/>
          </w:tcPr>
          <w:p>
            <w:pPr>
              <w:ind w:left="696"/>
              <w:spacing w:before="8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7" w:hRule="atLeast"/>
        </w:trPr>
        <w:tc>
          <w:tcPr>
            <w:tcW w:w="1185" w:type="dxa"/>
            <w:vAlign w:val="top"/>
            <w:vMerge w:val="continue"/>
            <w:tcBorders>
              <w:top w:val="nil"/>
              <w:bottom w:val="nil"/>
            </w:tcBorders>
          </w:tcPr>
          <w:p>
            <w:pPr>
              <w:rPr>
                <w:rFonts w:ascii="Arial"/>
                <w:sz w:val="21"/>
              </w:rPr>
            </w:pPr>
            <w:r/>
          </w:p>
        </w:tc>
        <w:tc>
          <w:tcPr>
            <w:tcW w:w="2896" w:type="dxa"/>
            <w:vAlign w:val="top"/>
          </w:tcPr>
          <w:p>
            <w:pPr>
              <w:pStyle w:val="TableText"/>
              <w:ind w:left="642"/>
              <w:spacing w:before="55" w:line="221" w:lineRule="auto"/>
              <w:rPr>
                <w:rFonts w:ascii="Times New Roman" w:hAnsi="Times New Roman" w:eastAsia="Times New Roman" w:cs="Times New Roman"/>
              </w:rPr>
            </w:pPr>
            <w:r>
              <w:rPr>
                <w:spacing w:val="11"/>
              </w:rPr>
              <w:t>渗滤率（</w:t>
            </w:r>
            <w:r>
              <w:rPr>
                <w:rFonts w:ascii="Times New Roman" w:hAnsi="Times New Roman" w:eastAsia="Times New Roman" w:cs="Times New Roman"/>
              </w:rPr>
              <w:t>mm</w:t>
            </w:r>
            <w:r>
              <w:rPr>
                <w:rFonts w:ascii="Times New Roman" w:hAnsi="Times New Roman" w:eastAsia="Times New Roman" w:cs="Times New Roman"/>
                <w:spacing w:val="11"/>
              </w:rPr>
              <w:t>/</w:t>
            </w:r>
            <w:r>
              <w:rPr>
                <w:rFonts w:ascii="Times New Roman" w:hAnsi="Times New Roman" w:eastAsia="Times New Roman" w:cs="Times New Roman"/>
              </w:rPr>
              <w:t>min</w:t>
            </w:r>
            <w:r>
              <w:rPr>
                <w:rFonts w:ascii="Times New Roman" w:hAnsi="Times New Roman" w:eastAsia="Times New Roman" w:cs="Times New Roman"/>
                <w:spacing w:val="11"/>
              </w:rPr>
              <w:t>)</w:t>
            </w:r>
          </w:p>
        </w:tc>
        <w:tc>
          <w:tcPr>
            <w:tcW w:w="1450" w:type="dxa"/>
            <w:vAlign w:val="top"/>
          </w:tcPr>
          <w:p>
            <w:pPr>
              <w:ind w:left="56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1.13</w:t>
            </w:r>
          </w:p>
        </w:tc>
        <w:tc>
          <w:tcPr>
            <w:tcW w:w="1532" w:type="dxa"/>
            <w:vAlign w:val="top"/>
          </w:tcPr>
          <w:p>
            <w:pPr>
              <w:ind w:left="60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1.16</w:t>
            </w:r>
          </w:p>
        </w:tc>
        <w:tc>
          <w:tcPr>
            <w:tcW w:w="1453" w:type="dxa"/>
            <w:vAlign w:val="top"/>
          </w:tcPr>
          <w:p>
            <w:pPr>
              <w:ind w:left="56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1.20</w:t>
            </w:r>
          </w:p>
        </w:tc>
      </w:tr>
      <w:tr>
        <w:trPr>
          <w:trHeight w:val="317" w:hRule="atLeast"/>
        </w:trPr>
        <w:tc>
          <w:tcPr>
            <w:tcW w:w="1185" w:type="dxa"/>
            <w:vAlign w:val="top"/>
            <w:vMerge w:val="continue"/>
            <w:tcBorders>
              <w:top w:val="nil"/>
              <w:bottom w:val="nil"/>
            </w:tcBorders>
          </w:tcPr>
          <w:p>
            <w:pPr>
              <w:rPr>
                <w:rFonts w:ascii="Arial"/>
                <w:sz w:val="21"/>
              </w:rPr>
            </w:pPr>
            <w:r/>
          </w:p>
        </w:tc>
        <w:tc>
          <w:tcPr>
            <w:tcW w:w="2896" w:type="dxa"/>
            <w:vAlign w:val="top"/>
          </w:tcPr>
          <w:p>
            <w:pPr>
              <w:pStyle w:val="TableText"/>
              <w:ind w:left="860"/>
              <w:spacing w:before="55" w:line="221" w:lineRule="auto"/>
              <w:rPr>
                <w:rFonts w:ascii="Times New Roman" w:hAnsi="Times New Roman" w:eastAsia="Times New Roman" w:cs="Times New Roman"/>
              </w:rPr>
            </w:pPr>
            <w:r>
              <w:rPr>
                <w:spacing w:val="6"/>
              </w:rPr>
              <w:t>容重（</w:t>
            </w:r>
            <w:r>
              <w:rPr>
                <w:rFonts w:ascii="Times New Roman" w:hAnsi="Times New Roman" w:eastAsia="Times New Roman" w:cs="Times New Roman"/>
                <w:spacing w:val="6"/>
              </w:rPr>
              <w:t>g/</w:t>
            </w:r>
            <w:r>
              <w:rPr>
                <w:rFonts w:ascii="Times New Roman" w:hAnsi="Times New Roman" w:eastAsia="Times New Roman" w:cs="Times New Roman"/>
              </w:rPr>
              <w:t>cm</w:t>
            </w:r>
            <w:r>
              <w:rPr>
                <w:rFonts w:ascii="Times New Roman" w:hAnsi="Times New Roman" w:eastAsia="Times New Roman" w:cs="Times New Roman"/>
                <w:sz w:val="13"/>
                <w:szCs w:val="13"/>
                <w:spacing w:val="6"/>
                <w:position w:val="6"/>
              </w:rPr>
              <w:t>3</w:t>
            </w:r>
            <w:r>
              <w:rPr>
                <w:rFonts w:ascii="Times New Roman" w:hAnsi="Times New Roman" w:eastAsia="Times New Roman" w:cs="Times New Roman"/>
                <w:spacing w:val="6"/>
              </w:rPr>
              <w:t>)</w:t>
            </w:r>
          </w:p>
        </w:tc>
        <w:tc>
          <w:tcPr>
            <w:tcW w:w="1450" w:type="dxa"/>
            <w:vAlign w:val="top"/>
          </w:tcPr>
          <w:p>
            <w:pPr>
              <w:ind w:left="56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rPr>
              <w:t>1.</w:t>
            </w:r>
            <w:r>
              <w:rPr>
                <w:rFonts w:ascii="Times New Roman" w:hAnsi="Times New Roman" w:eastAsia="Times New Roman" w:cs="Times New Roman"/>
                <w:sz w:val="20"/>
                <w:szCs w:val="20"/>
                <w:spacing w:val="-23"/>
              </w:rPr>
              <w:t xml:space="preserve"> </w:t>
            </w:r>
            <w:r>
              <w:rPr>
                <w:rFonts w:ascii="Times New Roman" w:hAnsi="Times New Roman" w:eastAsia="Times New Roman" w:cs="Times New Roman"/>
                <w:sz w:val="20"/>
                <w:szCs w:val="20"/>
                <w:spacing w:val="-10"/>
              </w:rPr>
              <w:t>11</w:t>
            </w:r>
          </w:p>
        </w:tc>
        <w:tc>
          <w:tcPr>
            <w:tcW w:w="1532" w:type="dxa"/>
            <w:vAlign w:val="top"/>
          </w:tcPr>
          <w:p>
            <w:pPr>
              <w:ind w:left="60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1.16</w:t>
            </w:r>
          </w:p>
        </w:tc>
        <w:tc>
          <w:tcPr>
            <w:tcW w:w="1453" w:type="dxa"/>
            <w:vAlign w:val="top"/>
          </w:tcPr>
          <w:p>
            <w:pPr>
              <w:ind w:left="56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1.29</w:t>
            </w:r>
          </w:p>
        </w:tc>
      </w:tr>
      <w:tr>
        <w:trPr>
          <w:trHeight w:val="321" w:hRule="atLeast"/>
        </w:trPr>
        <w:tc>
          <w:tcPr>
            <w:tcW w:w="1185" w:type="dxa"/>
            <w:vAlign w:val="top"/>
            <w:vMerge w:val="continue"/>
            <w:tcBorders>
              <w:top w:val="nil"/>
            </w:tcBorders>
          </w:tcPr>
          <w:p>
            <w:pPr>
              <w:rPr>
                <w:rFonts w:ascii="Arial"/>
                <w:sz w:val="21"/>
              </w:rPr>
            </w:pPr>
            <w:r/>
          </w:p>
        </w:tc>
        <w:tc>
          <w:tcPr>
            <w:tcW w:w="2896" w:type="dxa"/>
            <w:vAlign w:val="top"/>
          </w:tcPr>
          <w:p>
            <w:pPr>
              <w:pStyle w:val="TableText"/>
              <w:ind w:left="741"/>
              <w:spacing w:before="57" w:line="228" w:lineRule="auto"/>
              <w:rPr/>
            </w:pPr>
            <w:r>
              <w:rPr>
                <w:spacing w:val="6"/>
              </w:rPr>
              <w:t>总孔隙度（</w:t>
            </w:r>
            <w:r>
              <w:rPr>
                <w:rFonts w:ascii="Times New Roman" w:hAnsi="Times New Roman" w:eastAsia="Times New Roman" w:cs="Times New Roman"/>
                <w:spacing w:val="6"/>
              </w:rPr>
              <w:t>%</w:t>
            </w:r>
            <w:r>
              <w:rPr>
                <w:spacing w:val="6"/>
              </w:rPr>
              <w:t>）</w:t>
            </w:r>
          </w:p>
        </w:tc>
        <w:tc>
          <w:tcPr>
            <w:tcW w:w="1450" w:type="dxa"/>
            <w:vAlign w:val="top"/>
          </w:tcPr>
          <w:p>
            <w:pPr>
              <w:ind w:left="547"/>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38.5</w:t>
            </w:r>
          </w:p>
        </w:tc>
        <w:tc>
          <w:tcPr>
            <w:tcW w:w="1532" w:type="dxa"/>
            <w:vAlign w:val="top"/>
          </w:tcPr>
          <w:p>
            <w:pPr>
              <w:ind w:left="589"/>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39.8</w:t>
            </w:r>
          </w:p>
        </w:tc>
        <w:tc>
          <w:tcPr>
            <w:tcW w:w="1453" w:type="dxa"/>
            <w:vAlign w:val="top"/>
          </w:tcPr>
          <w:p>
            <w:pPr>
              <w:ind w:left="54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39.0</w:t>
            </w:r>
          </w:p>
        </w:tc>
      </w:tr>
    </w:tbl>
    <w:p>
      <w:pPr>
        <w:ind w:left="2453"/>
        <w:spacing w:before="35" w:line="212" w:lineRule="auto"/>
        <w:rPr>
          <w:rFonts w:ascii="Times New Roman" w:hAnsi="Times New Roman" w:eastAsia="Times New Roman" w:cs="Times New Roman"/>
          <w:sz w:val="24"/>
          <w:szCs w:val="24"/>
        </w:rPr>
      </w:pPr>
      <w:r>
        <w:rPr>
          <w:rFonts w:ascii="SimSun" w:hAnsi="SimSun" w:eastAsia="SimSun" w:cs="SimSun"/>
          <w:sz w:val="24"/>
          <w:szCs w:val="24"/>
          <w:b/>
          <w:bCs/>
          <w:spacing w:val="-2"/>
        </w:rPr>
        <w:t>表</w:t>
      </w:r>
      <w:r>
        <w:rPr>
          <w:rFonts w:ascii="SimSun" w:hAnsi="SimSun" w:eastAsia="SimSun" w:cs="SimSun"/>
          <w:sz w:val="24"/>
          <w:szCs w:val="24"/>
          <w:spacing w:val="-39"/>
        </w:rPr>
        <w:t xml:space="preserve"> </w:t>
      </w:r>
      <w:r>
        <w:rPr>
          <w:rFonts w:ascii="Times New Roman" w:hAnsi="Times New Roman" w:eastAsia="Times New Roman" w:cs="Times New Roman"/>
          <w:sz w:val="24"/>
          <w:szCs w:val="24"/>
          <w:b/>
          <w:bCs/>
          <w:spacing w:val="-2"/>
        </w:rPr>
        <w:t>4.2-23        </w:t>
      </w:r>
      <w:r>
        <w:rPr>
          <w:rFonts w:ascii="SimSun" w:hAnsi="SimSun" w:eastAsia="SimSun" w:cs="SimSun"/>
          <w:sz w:val="24"/>
          <w:szCs w:val="24"/>
          <w:b/>
          <w:bCs/>
          <w:spacing w:val="-2"/>
        </w:rPr>
        <w:t>土壤理化性质调查表</w:t>
      </w:r>
      <w:r>
        <w:rPr>
          <w:rFonts w:ascii="SimSun" w:hAnsi="SimSun" w:eastAsia="SimSun" w:cs="SimSun"/>
          <w:sz w:val="24"/>
          <w:szCs w:val="24"/>
          <w:spacing w:val="-53"/>
        </w:rPr>
        <w:t xml:space="preserve"> </w:t>
      </w:r>
      <w:r>
        <w:rPr>
          <w:rFonts w:ascii="Times New Roman" w:hAnsi="Times New Roman" w:eastAsia="Times New Roman" w:cs="Times New Roman"/>
          <w:sz w:val="24"/>
          <w:szCs w:val="24"/>
          <w:b/>
          <w:bCs/>
          <w:spacing w:val="-2"/>
        </w:rPr>
        <w:t>3</w:t>
      </w:r>
    </w:p>
    <w:tbl>
      <w:tblPr>
        <w:tblStyle w:val="TableNormal"/>
        <w:tblW w:w="863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29"/>
        <w:gridCol w:w="2906"/>
        <w:gridCol w:w="1461"/>
        <w:gridCol w:w="1548"/>
        <w:gridCol w:w="1491"/>
      </w:tblGrid>
      <w:tr>
        <w:trPr>
          <w:trHeight w:val="321" w:hRule="atLeast"/>
        </w:trPr>
        <w:tc>
          <w:tcPr>
            <w:tcW w:w="4135" w:type="dxa"/>
            <w:vAlign w:val="top"/>
            <w:gridSpan w:val="2"/>
          </w:tcPr>
          <w:p>
            <w:pPr>
              <w:pStyle w:val="TableText"/>
              <w:ind w:left="1873"/>
              <w:spacing w:before="55" w:line="229" w:lineRule="auto"/>
              <w:rPr/>
            </w:pPr>
            <w:r>
              <w:rPr>
                <w:spacing w:val="-1"/>
              </w:rPr>
              <w:t>点号</w:t>
            </w:r>
          </w:p>
        </w:tc>
        <w:tc>
          <w:tcPr>
            <w:tcW w:w="4500" w:type="dxa"/>
            <w:vAlign w:val="top"/>
            <w:gridSpan w:val="3"/>
          </w:tcPr>
          <w:p>
            <w:pPr>
              <w:ind w:left="2154"/>
              <w:spacing w:before="94" w:line="20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2"/>
              </w:rPr>
              <w:t>T</w:t>
            </w:r>
            <w:r>
              <w:rPr>
                <w:rFonts w:ascii="Times New Roman" w:hAnsi="Times New Roman" w:eastAsia="Times New Roman" w:cs="Times New Roman"/>
                <w:sz w:val="13"/>
                <w:szCs w:val="13"/>
                <w:spacing w:val="2"/>
                <w:position w:val="-1"/>
              </w:rPr>
              <w:t>7</w:t>
            </w:r>
          </w:p>
        </w:tc>
      </w:tr>
      <w:tr>
        <w:trPr>
          <w:trHeight w:val="317" w:hRule="atLeast"/>
        </w:trPr>
        <w:tc>
          <w:tcPr>
            <w:tcW w:w="4135" w:type="dxa"/>
            <w:vAlign w:val="top"/>
            <w:gridSpan w:val="2"/>
          </w:tcPr>
          <w:p>
            <w:pPr>
              <w:pStyle w:val="TableText"/>
              <w:ind w:left="1761"/>
              <w:spacing w:before="53" w:line="228" w:lineRule="auto"/>
              <w:rPr/>
            </w:pPr>
            <w:r>
              <w:rPr>
                <w:spacing w:val="6"/>
              </w:rPr>
              <w:t>经纬度</w:t>
            </w:r>
          </w:p>
        </w:tc>
        <w:tc>
          <w:tcPr>
            <w:tcW w:w="4500" w:type="dxa"/>
            <w:vAlign w:val="top"/>
            <w:gridSpan w:val="3"/>
          </w:tcPr>
          <w:p>
            <w:pPr>
              <w:ind w:left="919"/>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114°58′</w:t>
            </w:r>
            <w:r>
              <w:rPr>
                <w:rFonts w:ascii="Times New Roman" w:hAnsi="Times New Roman" w:eastAsia="Times New Roman" w:cs="Times New Roman"/>
                <w:sz w:val="20"/>
                <w:szCs w:val="20"/>
                <w:spacing w:val="-26"/>
              </w:rPr>
              <w:t xml:space="preserve"> </w:t>
            </w:r>
            <w:r>
              <w:rPr>
                <w:rFonts w:ascii="Times New Roman" w:hAnsi="Times New Roman" w:eastAsia="Times New Roman" w:cs="Times New Roman"/>
                <w:sz w:val="20"/>
                <w:szCs w:val="20"/>
                <w:spacing w:val="1"/>
              </w:rPr>
              <w:t>13.73″E    42°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rPr>
              <w:t>17′4.</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rPr>
              <w:t>12″N</w:t>
            </w:r>
          </w:p>
        </w:tc>
      </w:tr>
      <w:tr>
        <w:trPr>
          <w:trHeight w:val="316" w:hRule="atLeast"/>
        </w:trPr>
        <w:tc>
          <w:tcPr>
            <w:tcW w:w="4135" w:type="dxa"/>
            <w:vAlign w:val="top"/>
            <w:gridSpan w:val="2"/>
          </w:tcPr>
          <w:p>
            <w:pPr>
              <w:pStyle w:val="TableText"/>
              <w:ind w:left="1862"/>
              <w:spacing w:before="52" w:line="228" w:lineRule="auto"/>
              <w:rPr/>
            </w:pPr>
            <w:r>
              <w:rPr>
                <w:spacing w:val="4"/>
              </w:rPr>
              <w:t>层次</w:t>
            </w:r>
          </w:p>
        </w:tc>
        <w:tc>
          <w:tcPr>
            <w:tcW w:w="1461" w:type="dxa"/>
            <w:vAlign w:val="top"/>
          </w:tcPr>
          <w:p>
            <w:pPr>
              <w:pStyle w:val="TableText"/>
              <w:ind w:left="419"/>
              <w:spacing w:before="52" w:line="228" w:lineRule="auto"/>
              <w:rPr/>
            </w:pPr>
            <w:r>
              <w:rPr>
                <w:spacing w:val="7"/>
              </w:rPr>
              <w:t>表层样</w:t>
            </w:r>
          </w:p>
        </w:tc>
        <w:tc>
          <w:tcPr>
            <w:tcW w:w="1548" w:type="dxa"/>
            <w:vAlign w:val="top"/>
          </w:tcPr>
          <w:p>
            <w:pPr>
              <w:pStyle w:val="TableText"/>
              <w:ind w:left="486"/>
              <w:spacing w:before="52" w:line="228" w:lineRule="auto"/>
              <w:rPr/>
            </w:pPr>
            <w:r>
              <w:rPr/>
              <w:t>中层样</w:t>
            </w:r>
          </w:p>
        </w:tc>
        <w:tc>
          <w:tcPr>
            <w:tcW w:w="1491" w:type="dxa"/>
            <w:vAlign w:val="top"/>
          </w:tcPr>
          <w:p>
            <w:pPr>
              <w:pStyle w:val="TableText"/>
              <w:ind w:left="435"/>
              <w:spacing w:before="52" w:line="228" w:lineRule="auto"/>
              <w:rPr/>
            </w:pPr>
            <w:r>
              <w:rPr>
                <w:spacing w:val="6"/>
              </w:rPr>
              <w:t>深层样</w:t>
            </w:r>
          </w:p>
        </w:tc>
      </w:tr>
      <w:tr>
        <w:trPr>
          <w:trHeight w:val="316" w:hRule="atLeast"/>
        </w:trPr>
        <w:tc>
          <w:tcPr>
            <w:tcW w:w="1229" w:type="dxa"/>
            <w:vAlign w:val="top"/>
            <w:vMerge w:val="restart"/>
            <w:tcBorders>
              <w:bottom w:val="nil"/>
            </w:tcBorders>
          </w:tcPr>
          <w:p>
            <w:pPr>
              <w:spacing w:line="314" w:lineRule="auto"/>
              <w:rPr>
                <w:rFonts w:ascii="Arial"/>
                <w:sz w:val="21"/>
              </w:rPr>
            </w:pPr>
            <w:r/>
          </w:p>
          <w:p>
            <w:pPr>
              <w:spacing w:line="314" w:lineRule="auto"/>
              <w:rPr>
                <w:rFonts w:ascii="Arial"/>
                <w:sz w:val="21"/>
              </w:rPr>
            </w:pPr>
            <w:r/>
          </w:p>
          <w:p>
            <w:pPr>
              <w:pStyle w:val="TableText"/>
              <w:ind w:left="201"/>
              <w:spacing w:before="65" w:line="228" w:lineRule="auto"/>
              <w:rPr/>
            </w:pPr>
            <w:r>
              <w:rPr>
                <w:spacing w:val="6"/>
              </w:rPr>
              <w:t>现场记录</w:t>
            </w:r>
          </w:p>
        </w:tc>
        <w:tc>
          <w:tcPr>
            <w:tcW w:w="2906" w:type="dxa"/>
            <w:vAlign w:val="top"/>
          </w:tcPr>
          <w:p>
            <w:pPr>
              <w:pStyle w:val="TableText"/>
              <w:ind w:left="1247"/>
              <w:spacing w:before="53" w:line="229" w:lineRule="auto"/>
              <w:rPr/>
            </w:pPr>
            <w:r>
              <w:rPr>
                <w:spacing w:val="5"/>
              </w:rPr>
              <w:t>颜色</w:t>
            </w:r>
          </w:p>
        </w:tc>
        <w:tc>
          <w:tcPr>
            <w:tcW w:w="1461" w:type="dxa"/>
            <w:vAlign w:val="top"/>
          </w:tcPr>
          <w:p>
            <w:pPr>
              <w:pStyle w:val="TableText"/>
              <w:ind w:left="419"/>
              <w:spacing w:before="53" w:line="228" w:lineRule="auto"/>
              <w:rPr/>
            </w:pPr>
            <w:r>
              <w:rPr>
                <w:spacing w:val="7"/>
              </w:rPr>
              <w:t>黄棕色</w:t>
            </w:r>
          </w:p>
        </w:tc>
        <w:tc>
          <w:tcPr>
            <w:tcW w:w="1548" w:type="dxa"/>
            <w:vAlign w:val="top"/>
          </w:tcPr>
          <w:p>
            <w:pPr>
              <w:pStyle w:val="TableText"/>
              <w:ind w:left="466"/>
              <w:spacing w:before="53" w:line="228" w:lineRule="auto"/>
              <w:rPr/>
            </w:pPr>
            <w:r>
              <w:rPr>
                <w:spacing w:val="7"/>
              </w:rPr>
              <w:t>黄棕色</w:t>
            </w:r>
          </w:p>
        </w:tc>
        <w:tc>
          <w:tcPr>
            <w:tcW w:w="1491" w:type="dxa"/>
            <w:vAlign w:val="top"/>
          </w:tcPr>
          <w:p>
            <w:pPr>
              <w:pStyle w:val="TableText"/>
              <w:ind w:left="434"/>
              <w:spacing w:before="53" w:line="228" w:lineRule="auto"/>
              <w:rPr/>
            </w:pPr>
            <w:r>
              <w:rPr>
                <w:spacing w:val="7"/>
              </w:rPr>
              <w:t>黄棕色</w:t>
            </w:r>
          </w:p>
        </w:tc>
      </w:tr>
      <w:tr>
        <w:trPr>
          <w:trHeight w:val="317" w:hRule="atLeast"/>
        </w:trPr>
        <w:tc>
          <w:tcPr>
            <w:tcW w:w="1229" w:type="dxa"/>
            <w:vAlign w:val="top"/>
            <w:vMerge w:val="continue"/>
            <w:tcBorders>
              <w:top w:val="nil"/>
              <w:bottom w:val="nil"/>
            </w:tcBorders>
          </w:tcPr>
          <w:p>
            <w:pPr>
              <w:rPr>
                <w:rFonts w:ascii="Arial"/>
                <w:sz w:val="21"/>
              </w:rPr>
            </w:pPr>
            <w:r/>
          </w:p>
        </w:tc>
        <w:tc>
          <w:tcPr>
            <w:tcW w:w="2906" w:type="dxa"/>
            <w:vAlign w:val="top"/>
          </w:tcPr>
          <w:p>
            <w:pPr>
              <w:pStyle w:val="TableText"/>
              <w:ind w:left="1253"/>
              <w:spacing w:before="54" w:line="228" w:lineRule="auto"/>
              <w:rPr/>
            </w:pPr>
            <w:r>
              <w:rPr>
                <w:spacing w:val="2"/>
              </w:rPr>
              <w:t>结构</w:t>
            </w:r>
          </w:p>
        </w:tc>
        <w:tc>
          <w:tcPr>
            <w:tcW w:w="1461" w:type="dxa"/>
            <w:vAlign w:val="top"/>
          </w:tcPr>
          <w:p>
            <w:pPr>
              <w:pStyle w:val="TableText"/>
              <w:ind w:left="545"/>
              <w:spacing w:before="54" w:line="228" w:lineRule="auto"/>
              <w:rPr/>
            </w:pPr>
            <w:r>
              <w:rPr>
                <w:spacing w:val="-5"/>
              </w:rPr>
              <w:t>团粒</w:t>
            </w:r>
          </w:p>
        </w:tc>
        <w:tc>
          <w:tcPr>
            <w:tcW w:w="1548" w:type="dxa"/>
            <w:vAlign w:val="top"/>
          </w:tcPr>
          <w:p>
            <w:pPr>
              <w:pStyle w:val="TableText"/>
              <w:ind w:left="588"/>
              <w:spacing w:before="54" w:line="228" w:lineRule="auto"/>
              <w:rPr/>
            </w:pPr>
            <w:r>
              <w:rPr>
                <w:spacing w:val="-5"/>
              </w:rPr>
              <w:t>团粒</w:t>
            </w:r>
          </w:p>
        </w:tc>
        <w:tc>
          <w:tcPr>
            <w:tcW w:w="1491" w:type="dxa"/>
            <w:vAlign w:val="top"/>
          </w:tcPr>
          <w:p>
            <w:pPr>
              <w:pStyle w:val="TableText"/>
              <w:ind w:left="560"/>
              <w:spacing w:before="54" w:line="228" w:lineRule="auto"/>
              <w:rPr/>
            </w:pPr>
            <w:r>
              <w:rPr>
                <w:spacing w:val="-5"/>
              </w:rPr>
              <w:t>团粒</w:t>
            </w:r>
          </w:p>
        </w:tc>
      </w:tr>
      <w:tr>
        <w:trPr>
          <w:trHeight w:val="316" w:hRule="atLeast"/>
        </w:trPr>
        <w:tc>
          <w:tcPr>
            <w:tcW w:w="1229" w:type="dxa"/>
            <w:vAlign w:val="top"/>
            <w:vMerge w:val="continue"/>
            <w:tcBorders>
              <w:top w:val="nil"/>
              <w:bottom w:val="nil"/>
            </w:tcBorders>
          </w:tcPr>
          <w:p>
            <w:pPr>
              <w:rPr>
                <w:rFonts w:ascii="Arial"/>
                <w:sz w:val="21"/>
              </w:rPr>
            </w:pPr>
            <w:r/>
          </w:p>
        </w:tc>
        <w:tc>
          <w:tcPr>
            <w:tcW w:w="2906" w:type="dxa"/>
            <w:vAlign w:val="top"/>
          </w:tcPr>
          <w:p>
            <w:pPr>
              <w:pStyle w:val="TableText"/>
              <w:ind w:left="1249"/>
              <w:spacing w:before="54" w:line="228" w:lineRule="auto"/>
              <w:rPr/>
            </w:pPr>
            <w:r>
              <w:rPr>
                <w:spacing w:val="4"/>
              </w:rPr>
              <w:t>质地</w:t>
            </w:r>
          </w:p>
        </w:tc>
        <w:tc>
          <w:tcPr>
            <w:tcW w:w="1461" w:type="dxa"/>
            <w:vAlign w:val="top"/>
          </w:tcPr>
          <w:p>
            <w:pPr>
              <w:pStyle w:val="TableText"/>
              <w:ind w:left="419"/>
              <w:spacing w:before="53" w:line="229" w:lineRule="auto"/>
              <w:rPr/>
            </w:pPr>
            <w:r>
              <w:rPr>
                <w:spacing w:val="7"/>
              </w:rPr>
              <w:t>砂壤土</w:t>
            </w:r>
          </w:p>
        </w:tc>
        <w:tc>
          <w:tcPr>
            <w:tcW w:w="1548" w:type="dxa"/>
            <w:vAlign w:val="top"/>
          </w:tcPr>
          <w:p>
            <w:pPr>
              <w:pStyle w:val="TableText"/>
              <w:ind w:left="466"/>
              <w:spacing w:before="53" w:line="229" w:lineRule="auto"/>
              <w:rPr/>
            </w:pPr>
            <w:r>
              <w:rPr>
                <w:spacing w:val="7"/>
              </w:rPr>
              <w:t>砂壤土</w:t>
            </w:r>
          </w:p>
        </w:tc>
        <w:tc>
          <w:tcPr>
            <w:tcW w:w="1491" w:type="dxa"/>
            <w:vAlign w:val="top"/>
          </w:tcPr>
          <w:p>
            <w:pPr>
              <w:pStyle w:val="TableText"/>
              <w:ind w:left="434"/>
              <w:spacing w:before="53" w:line="229" w:lineRule="auto"/>
              <w:rPr/>
            </w:pPr>
            <w:r>
              <w:rPr>
                <w:spacing w:val="7"/>
              </w:rPr>
              <w:t>砂壤土</w:t>
            </w:r>
          </w:p>
        </w:tc>
      </w:tr>
      <w:tr>
        <w:trPr>
          <w:trHeight w:val="317" w:hRule="atLeast"/>
        </w:trPr>
        <w:tc>
          <w:tcPr>
            <w:tcW w:w="1229" w:type="dxa"/>
            <w:vAlign w:val="top"/>
            <w:vMerge w:val="continue"/>
            <w:tcBorders>
              <w:top w:val="nil"/>
              <w:bottom w:val="nil"/>
            </w:tcBorders>
          </w:tcPr>
          <w:p>
            <w:pPr>
              <w:rPr>
                <w:rFonts w:ascii="Arial"/>
                <w:sz w:val="21"/>
              </w:rPr>
            </w:pPr>
            <w:r/>
          </w:p>
        </w:tc>
        <w:tc>
          <w:tcPr>
            <w:tcW w:w="2906" w:type="dxa"/>
            <w:vAlign w:val="top"/>
          </w:tcPr>
          <w:p>
            <w:pPr>
              <w:pStyle w:val="TableText"/>
              <w:ind w:left="1036"/>
              <w:spacing w:before="53" w:line="228" w:lineRule="auto"/>
              <w:rPr/>
            </w:pPr>
            <w:r>
              <w:rPr>
                <w:spacing w:val="7"/>
              </w:rPr>
              <w:t>砂砾含量</w:t>
            </w:r>
          </w:p>
        </w:tc>
        <w:tc>
          <w:tcPr>
            <w:tcW w:w="1461" w:type="dxa"/>
            <w:vAlign w:val="top"/>
          </w:tcPr>
          <w:p>
            <w:pPr>
              <w:pStyle w:val="TableText"/>
              <w:ind w:left="527"/>
              <w:spacing w:before="54" w:line="230" w:lineRule="auto"/>
              <w:rPr/>
            </w:pPr>
            <w:r>
              <w:rPr>
                <w:spacing w:val="4"/>
              </w:rPr>
              <w:t>少量</w:t>
            </w:r>
          </w:p>
        </w:tc>
        <w:tc>
          <w:tcPr>
            <w:tcW w:w="1548" w:type="dxa"/>
            <w:vAlign w:val="top"/>
          </w:tcPr>
          <w:p>
            <w:pPr>
              <w:pStyle w:val="TableText"/>
              <w:ind w:left="677"/>
              <w:spacing w:before="54" w:line="228" w:lineRule="auto"/>
              <w:rPr/>
            </w:pPr>
            <w:r>
              <w:rPr/>
              <w:t>无</w:t>
            </w:r>
          </w:p>
        </w:tc>
        <w:tc>
          <w:tcPr>
            <w:tcW w:w="1491" w:type="dxa"/>
            <w:vAlign w:val="top"/>
          </w:tcPr>
          <w:p>
            <w:pPr>
              <w:pStyle w:val="TableText"/>
              <w:ind w:left="648"/>
              <w:spacing w:before="54" w:line="228" w:lineRule="auto"/>
              <w:rPr/>
            </w:pPr>
            <w:r>
              <w:rPr/>
              <w:t>无</w:t>
            </w:r>
          </w:p>
        </w:tc>
      </w:tr>
      <w:tr>
        <w:trPr>
          <w:trHeight w:val="316" w:hRule="atLeast"/>
        </w:trPr>
        <w:tc>
          <w:tcPr>
            <w:tcW w:w="1229" w:type="dxa"/>
            <w:vAlign w:val="top"/>
            <w:vMerge w:val="continue"/>
            <w:tcBorders>
              <w:top w:val="nil"/>
            </w:tcBorders>
          </w:tcPr>
          <w:p>
            <w:pPr>
              <w:rPr>
                <w:rFonts w:ascii="Arial"/>
                <w:sz w:val="21"/>
              </w:rPr>
            </w:pPr>
            <w:r/>
          </w:p>
        </w:tc>
        <w:tc>
          <w:tcPr>
            <w:tcW w:w="2906" w:type="dxa"/>
            <w:vAlign w:val="top"/>
          </w:tcPr>
          <w:p>
            <w:pPr>
              <w:pStyle w:val="TableText"/>
              <w:ind w:left="1037"/>
              <w:spacing w:before="55" w:line="228" w:lineRule="auto"/>
              <w:rPr/>
            </w:pPr>
            <w:r>
              <w:rPr>
                <w:spacing w:val="7"/>
              </w:rPr>
              <w:t>其他异物</w:t>
            </w:r>
          </w:p>
        </w:tc>
        <w:tc>
          <w:tcPr>
            <w:tcW w:w="1461" w:type="dxa"/>
            <w:vAlign w:val="top"/>
          </w:tcPr>
          <w:p>
            <w:pPr>
              <w:pStyle w:val="TableText"/>
              <w:ind w:left="633"/>
              <w:spacing w:before="56" w:line="228" w:lineRule="auto"/>
              <w:rPr/>
            </w:pPr>
            <w:r>
              <w:rPr/>
              <w:t>无</w:t>
            </w:r>
          </w:p>
        </w:tc>
        <w:tc>
          <w:tcPr>
            <w:tcW w:w="1548" w:type="dxa"/>
            <w:vAlign w:val="top"/>
          </w:tcPr>
          <w:p>
            <w:pPr>
              <w:pStyle w:val="TableText"/>
              <w:ind w:left="677"/>
              <w:spacing w:before="56" w:line="228" w:lineRule="auto"/>
              <w:rPr/>
            </w:pPr>
            <w:r>
              <w:rPr/>
              <w:t>无</w:t>
            </w:r>
          </w:p>
        </w:tc>
        <w:tc>
          <w:tcPr>
            <w:tcW w:w="1491" w:type="dxa"/>
            <w:vAlign w:val="top"/>
          </w:tcPr>
          <w:p>
            <w:pPr>
              <w:pStyle w:val="TableText"/>
              <w:ind w:left="648"/>
              <w:spacing w:before="56" w:line="228" w:lineRule="auto"/>
              <w:rPr/>
            </w:pPr>
            <w:r>
              <w:rPr/>
              <w:t>无</w:t>
            </w:r>
          </w:p>
        </w:tc>
      </w:tr>
      <w:tr>
        <w:trPr>
          <w:trHeight w:val="317" w:hRule="atLeast"/>
        </w:trPr>
        <w:tc>
          <w:tcPr>
            <w:tcW w:w="1229" w:type="dxa"/>
            <w:vAlign w:val="top"/>
            <w:vMerge w:val="restart"/>
            <w:tcBorders>
              <w:bottom w:val="nil"/>
            </w:tcBorders>
          </w:tcPr>
          <w:p>
            <w:pPr>
              <w:spacing w:line="263" w:lineRule="auto"/>
              <w:rPr>
                <w:rFonts w:ascii="Arial"/>
                <w:sz w:val="21"/>
              </w:rPr>
            </w:pPr>
            <w:r/>
          </w:p>
          <w:p>
            <w:pPr>
              <w:spacing w:line="264" w:lineRule="auto"/>
              <w:rPr>
                <w:rFonts w:ascii="Arial"/>
                <w:sz w:val="21"/>
              </w:rPr>
            </w:pPr>
            <w:r/>
          </w:p>
          <w:p>
            <w:pPr>
              <w:spacing w:line="264" w:lineRule="auto"/>
              <w:rPr>
                <w:rFonts w:ascii="Arial"/>
                <w:sz w:val="21"/>
              </w:rPr>
            </w:pPr>
            <w:r/>
          </w:p>
          <w:p>
            <w:pPr>
              <w:pStyle w:val="TableText"/>
              <w:ind w:left="99"/>
              <w:spacing w:before="65" w:line="228" w:lineRule="auto"/>
              <w:rPr/>
            </w:pPr>
            <w:r>
              <w:rPr>
                <w:spacing w:val="7"/>
              </w:rPr>
              <w:t>实验室测定</w:t>
            </w:r>
          </w:p>
        </w:tc>
        <w:tc>
          <w:tcPr>
            <w:tcW w:w="2906" w:type="dxa"/>
            <w:vAlign w:val="top"/>
          </w:tcPr>
          <w:p>
            <w:pPr>
              <w:pStyle w:val="TableText"/>
              <w:ind w:left="1189"/>
              <w:spacing w:before="56" w:line="221" w:lineRule="auto"/>
              <w:rPr/>
            </w:pPr>
            <w:r>
              <w:rPr>
                <w:rFonts w:ascii="Times New Roman" w:hAnsi="Times New Roman" w:eastAsia="Times New Roman" w:cs="Times New Roman"/>
              </w:rPr>
              <w:t>pH</w:t>
            </w:r>
            <w:r>
              <w:rPr>
                <w:rFonts w:ascii="Times New Roman" w:hAnsi="Times New Roman" w:eastAsia="Times New Roman" w:cs="Times New Roman"/>
                <w:spacing w:val="11"/>
              </w:rPr>
              <w:t xml:space="preserve"> </w:t>
            </w:r>
            <w:r>
              <w:rPr>
                <w:spacing w:val="13"/>
              </w:rPr>
              <w:t>值</w:t>
            </w:r>
          </w:p>
        </w:tc>
        <w:tc>
          <w:tcPr>
            <w:tcW w:w="1461" w:type="dxa"/>
            <w:vAlign w:val="top"/>
          </w:tcPr>
          <w:p>
            <w:pPr>
              <w:ind w:left="55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8.10</w:t>
            </w:r>
          </w:p>
        </w:tc>
        <w:tc>
          <w:tcPr>
            <w:tcW w:w="1548" w:type="dxa"/>
            <w:vAlign w:val="top"/>
          </w:tcPr>
          <w:p>
            <w:pPr>
              <w:ind w:left="60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8.16</w:t>
            </w:r>
          </w:p>
        </w:tc>
        <w:tc>
          <w:tcPr>
            <w:tcW w:w="1491" w:type="dxa"/>
            <w:vAlign w:val="top"/>
          </w:tcPr>
          <w:p>
            <w:pPr>
              <w:ind w:left="57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8.05</w:t>
            </w:r>
          </w:p>
        </w:tc>
      </w:tr>
      <w:tr>
        <w:trPr>
          <w:trHeight w:val="317" w:hRule="atLeast"/>
        </w:trPr>
        <w:tc>
          <w:tcPr>
            <w:tcW w:w="1229" w:type="dxa"/>
            <w:vAlign w:val="top"/>
            <w:vMerge w:val="continue"/>
            <w:tcBorders>
              <w:top w:val="nil"/>
              <w:bottom w:val="nil"/>
            </w:tcBorders>
          </w:tcPr>
          <w:p>
            <w:pPr>
              <w:rPr>
                <w:rFonts w:ascii="Arial"/>
                <w:sz w:val="21"/>
              </w:rPr>
            </w:pPr>
            <w:r/>
          </w:p>
        </w:tc>
        <w:tc>
          <w:tcPr>
            <w:tcW w:w="2906" w:type="dxa"/>
            <w:vAlign w:val="top"/>
          </w:tcPr>
          <w:p>
            <w:pPr>
              <w:pStyle w:val="TableText"/>
              <w:ind w:left="289"/>
              <w:spacing w:before="56" w:line="221" w:lineRule="auto"/>
              <w:rPr/>
            </w:pPr>
            <w:r>
              <w:rPr>
                <w:spacing w:val="8"/>
              </w:rPr>
              <w:t>阳离子交换量（</w:t>
            </w:r>
            <w:r>
              <w:rPr>
                <w:rFonts w:ascii="Times New Roman" w:hAnsi="Times New Roman" w:eastAsia="Times New Roman" w:cs="Times New Roman"/>
              </w:rPr>
              <w:t>cmol</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461" w:type="dxa"/>
            <w:vAlign w:val="top"/>
          </w:tcPr>
          <w:p>
            <w:pPr>
              <w:ind w:left="56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18.8</w:t>
            </w:r>
          </w:p>
        </w:tc>
        <w:tc>
          <w:tcPr>
            <w:tcW w:w="1548" w:type="dxa"/>
            <w:vAlign w:val="top"/>
          </w:tcPr>
          <w:p>
            <w:pPr>
              <w:ind w:left="61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19.7</w:t>
            </w:r>
          </w:p>
        </w:tc>
        <w:tc>
          <w:tcPr>
            <w:tcW w:w="1491" w:type="dxa"/>
            <w:vAlign w:val="top"/>
          </w:tcPr>
          <w:p>
            <w:pPr>
              <w:ind w:left="58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19.6</w:t>
            </w:r>
          </w:p>
        </w:tc>
      </w:tr>
      <w:tr>
        <w:trPr>
          <w:trHeight w:val="317" w:hRule="atLeast"/>
        </w:trPr>
        <w:tc>
          <w:tcPr>
            <w:tcW w:w="1229" w:type="dxa"/>
            <w:vAlign w:val="top"/>
            <w:vMerge w:val="continue"/>
            <w:tcBorders>
              <w:top w:val="nil"/>
              <w:bottom w:val="nil"/>
            </w:tcBorders>
          </w:tcPr>
          <w:p>
            <w:pPr>
              <w:rPr>
                <w:rFonts w:ascii="Arial"/>
                <w:sz w:val="21"/>
              </w:rPr>
            </w:pPr>
            <w:r/>
          </w:p>
        </w:tc>
        <w:tc>
          <w:tcPr>
            <w:tcW w:w="2906" w:type="dxa"/>
            <w:vAlign w:val="top"/>
          </w:tcPr>
          <w:p>
            <w:pPr>
              <w:pStyle w:val="TableText"/>
              <w:ind w:left="459"/>
              <w:spacing w:before="55" w:line="227" w:lineRule="auto"/>
              <w:rPr/>
            </w:pPr>
            <w:r>
              <w:rPr>
                <w:spacing w:val="9"/>
              </w:rPr>
              <w:t>氧化还原电位（</w:t>
            </w:r>
            <w:r>
              <w:rPr>
                <w:rFonts w:ascii="Times New Roman" w:hAnsi="Times New Roman" w:eastAsia="Times New Roman" w:cs="Times New Roman"/>
              </w:rPr>
              <w:t>mV</w:t>
            </w:r>
            <w:r>
              <w:rPr>
                <w:spacing w:val="9"/>
              </w:rPr>
              <w:t>）</w:t>
            </w:r>
          </w:p>
        </w:tc>
        <w:tc>
          <w:tcPr>
            <w:tcW w:w="1461" w:type="dxa"/>
            <w:vAlign w:val="top"/>
          </w:tcPr>
          <w:p>
            <w:pPr>
              <w:ind w:left="57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436</w:t>
            </w:r>
          </w:p>
        </w:tc>
        <w:tc>
          <w:tcPr>
            <w:tcW w:w="1548" w:type="dxa"/>
            <w:vAlign w:val="top"/>
          </w:tcPr>
          <w:p>
            <w:pPr>
              <w:ind w:left="744"/>
              <w:spacing w:before="8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491" w:type="dxa"/>
            <w:vAlign w:val="top"/>
          </w:tcPr>
          <w:p>
            <w:pPr>
              <w:ind w:left="713"/>
              <w:spacing w:before="8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7" w:hRule="atLeast"/>
        </w:trPr>
        <w:tc>
          <w:tcPr>
            <w:tcW w:w="1229" w:type="dxa"/>
            <w:vAlign w:val="top"/>
            <w:vMerge w:val="continue"/>
            <w:tcBorders>
              <w:top w:val="nil"/>
              <w:bottom w:val="nil"/>
            </w:tcBorders>
          </w:tcPr>
          <w:p>
            <w:pPr>
              <w:rPr>
                <w:rFonts w:ascii="Arial"/>
                <w:sz w:val="21"/>
              </w:rPr>
            </w:pPr>
            <w:r/>
          </w:p>
        </w:tc>
        <w:tc>
          <w:tcPr>
            <w:tcW w:w="2906" w:type="dxa"/>
            <w:vAlign w:val="top"/>
          </w:tcPr>
          <w:p>
            <w:pPr>
              <w:pStyle w:val="TableText"/>
              <w:ind w:left="646"/>
              <w:spacing w:before="55" w:line="221" w:lineRule="auto"/>
              <w:rPr>
                <w:rFonts w:ascii="Times New Roman" w:hAnsi="Times New Roman" w:eastAsia="Times New Roman" w:cs="Times New Roman"/>
              </w:rPr>
            </w:pPr>
            <w:r>
              <w:rPr>
                <w:spacing w:val="11"/>
              </w:rPr>
              <w:t>渗滤率（</w:t>
            </w:r>
            <w:r>
              <w:rPr>
                <w:rFonts w:ascii="Times New Roman" w:hAnsi="Times New Roman" w:eastAsia="Times New Roman" w:cs="Times New Roman"/>
              </w:rPr>
              <w:t>mm</w:t>
            </w:r>
            <w:r>
              <w:rPr>
                <w:rFonts w:ascii="Times New Roman" w:hAnsi="Times New Roman" w:eastAsia="Times New Roman" w:cs="Times New Roman"/>
                <w:spacing w:val="11"/>
              </w:rPr>
              <w:t>/</w:t>
            </w:r>
            <w:r>
              <w:rPr>
                <w:rFonts w:ascii="Times New Roman" w:hAnsi="Times New Roman" w:eastAsia="Times New Roman" w:cs="Times New Roman"/>
              </w:rPr>
              <w:t>min</w:t>
            </w:r>
            <w:r>
              <w:rPr>
                <w:rFonts w:ascii="Times New Roman" w:hAnsi="Times New Roman" w:eastAsia="Times New Roman" w:cs="Times New Roman"/>
                <w:spacing w:val="11"/>
              </w:rPr>
              <w:t>)</w:t>
            </w:r>
          </w:p>
        </w:tc>
        <w:tc>
          <w:tcPr>
            <w:tcW w:w="1461" w:type="dxa"/>
            <w:vAlign w:val="top"/>
          </w:tcPr>
          <w:p>
            <w:pPr>
              <w:ind w:left="56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1.15</w:t>
            </w:r>
          </w:p>
        </w:tc>
        <w:tc>
          <w:tcPr>
            <w:tcW w:w="1548" w:type="dxa"/>
            <w:vAlign w:val="top"/>
          </w:tcPr>
          <w:p>
            <w:pPr>
              <w:ind w:left="61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rPr>
              <w:t>1.</w:t>
            </w:r>
            <w:r>
              <w:rPr>
                <w:rFonts w:ascii="Times New Roman" w:hAnsi="Times New Roman" w:eastAsia="Times New Roman" w:cs="Times New Roman"/>
                <w:sz w:val="20"/>
                <w:szCs w:val="20"/>
                <w:spacing w:val="-23"/>
              </w:rPr>
              <w:t xml:space="preserve"> </w:t>
            </w:r>
            <w:r>
              <w:rPr>
                <w:rFonts w:ascii="Times New Roman" w:hAnsi="Times New Roman" w:eastAsia="Times New Roman" w:cs="Times New Roman"/>
                <w:sz w:val="20"/>
                <w:szCs w:val="20"/>
                <w:spacing w:val="-10"/>
              </w:rPr>
              <w:t>11</w:t>
            </w:r>
          </w:p>
        </w:tc>
        <w:tc>
          <w:tcPr>
            <w:tcW w:w="1491" w:type="dxa"/>
            <w:vAlign w:val="top"/>
          </w:tcPr>
          <w:p>
            <w:pPr>
              <w:ind w:left="58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1.19</w:t>
            </w:r>
          </w:p>
        </w:tc>
      </w:tr>
      <w:tr>
        <w:trPr>
          <w:trHeight w:val="317" w:hRule="atLeast"/>
        </w:trPr>
        <w:tc>
          <w:tcPr>
            <w:tcW w:w="1229" w:type="dxa"/>
            <w:vAlign w:val="top"/>
            <w:vMerge w:val="continue"/>
            <w:tcBorders>
              <w:top w:val="nil"/>
              <w:bottom w:val="nil"/>
            </w:tcBorders>
          </w:tcPr>
          <w:p>
            <w:pPr>
              <w:rPr>
                <w:rFonts w:ascii="Arial"/>
                <w:sz w:val="21"/>
              </w:rPr>
            </w:pPr>
            <w:r/>
          </w:p>
        </w:tc>
        <w:tc>
          <w:tcPr>
            <w:tcW w:w="2906" w:type="dxa"/>
            <w:vAlign w:val="top"/>
          </w:tcPr>
          <w:p>
            <w:pPr>
              <w:pStyle w:val="TableText"/>
              <w:ind w:left="866"/>
              <w:spacing w:before="55" w:line="221" w:lineRule="auto"/>
              <w:rPr>
                <w:rFonts w:ascii="Times New Roman" w:hAnsi="Times New Roman" w:eastAsia="Times New Roman" w:cs="Times New Roman"/>
              </w:rPr>
            </w:pPr>
            <w:r>
              <w:rPr>
                <w:spacing w:val="6"/>
              </w:rPr>
              <w:t>容重（</w:t>
            </w:r>
            <w:r>
              <w:rPr>
                <w:rFonts w:ascii="Times New Roman" w:hAnsi="Times New Roman" w:eastAsia="Times New Roman" w:cs="Times New Roman"/>
                <w:spacing w:val="6"/>
              </w:rPr>
              <w:t>g/</w:t>
            </w:r>
            <w:r>
              <w:rPr>
                <w:rFonts w:ascii="Times New Roman" w:hAnsi="Times New Roman" w:eastAsia="Times New Roman" w:cs="Times New Roman"/>
              </w:rPr>
              <w:t>cm</w:t>
            </w:r>
            <w:r>
              <w:rPr>
                <w:rFonts w:ascii="Times New Roman" w:hAnsi="Times New Roman" w:eastAsia="Times New Roman" w:cs="Times New Roman"/>
                <w:sz w:val="13"/>
                <w:szCs w:val="13"/>
                <w:spacing w:val="6"/>
                <w:position w:val="6"/>
              </w:rPr>
              <w:t>3</w:t>
            </w:r>
            <w:r>
              <w:rPr>
                <w:rFonts w:ascii="Times New Roman" w:hAnsi="Times New Roman" w:eastAsia="Times New Roman" w:cs="Times New Roman"/>
                <w:spacing w:val="6"/>
              </w:rPr>
              <w:t>)</w:t>
            </w:r>
          </w:p>
        </w:tc>
        <w:tc>
          <w:tcPr>
            <w:tcW w:w="1461" w:type="dxa"/>
            <w:vAlign w:val="top"/>
          </w:tcPr>
          <w:p>
            <w:pPr>
              <w:ind w:left="56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1.28</w:t>
            </w:r>
          </w:p>
        </w:tc>
        <w:tc>
          <w:tcPr>
            <w:tcW w:w="1548" w:type="dxa"/>
            <w:vAlign w:val="top"/>
          </w:tcPr>
          <w:p>
            <w:pPr>
              <w:ind w:left="61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1.25</w:t>
            </w:r>
          </w:p>
        </w:tc>
        <w:tc>
          <w:tcPr>
            <w:tcW w:w="1491" w:type="dxa"/>
            <w:vAlign w:val="top"/>
          </w:tcPr>
          <w:p>
            <w:pPr>
              <w:ind w:left="58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1.20</w:t>
            </w:r>
          </w:p>
        </w:tc>
      </w:tr>
      <w:tr>
        <w:trPr>
          <w:trHeight w:val="321" w:hRule="atLeast"/>
        </w:trPr>
        <w:tc>
          <w:tcPr>
            <w:tcW w:w="1229" w:type="dxa"/>
            <w:vAlign w:val="top"/>
            <w:vMerge w:val="continue"/>
            <w:tcBorders>
              <w:top w:val="nil"/>
            </w:tcBorders>
          </w:tcPr>
          <w:p>
            <w:pPr>
              <w:rPr>
                <w:rFonts w:ascii="Arial"/>
                <w:sz w:val="21"/>
              </w:rPr>
            </w:pPr>
            <w:r/>
          </w:p>
        </w:tc>
        <w:tc>
          <w:tcPr>
            <w:tcW w:w="2906" w:type="dxa"/>
            <w:vAlign w:val="top"/>
          </w:tcPr>
          <w:p>
            <w:pPr>
              <w:pStyle w:val="TableText"/>
              <w:ind w:left="745"/>
              <w:spacing w:before="57" w:line="228" w:lineRule="auto"/>
              <w:rPr/>
            </w:pPr>
            <w:r>
              <w:rPr>
                <w:spacing w:val="6"/>
              </w:rPr>
              <w:t>总孔隙度（</w:t>
            </w:r>
            <w:r>
              <w:rPr>
                <w:rFonts w:ascii="Times New Roman" w:hAnsi="Times New Roman" w:eastAsia="Times New Roman" w:cs="Times New Roman"/>
                <w:spacing w:val="6"/>
              </w:rPr>
              <w:t>%</w:t>
            </w:r>
            <w:r>
              <w:rPr>
                <w:spacing w:val="6"/>
              </w:rPr>
              <w:t>）</w:t>
            </w:r>
          </w:p>
        </w:tc>
        <w:tc>
          <w:tcPr>
            <w:tcW w:w="1461" w:type="dxa"/>
            <w:vAlign w:val="top"/>
          </w:tcPr>
          <w:p>
            <w:pPr>
              <w:ind w:left="553"/>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37.6</w:t>
            </w:r>
          </w:p>
        </w:tc>
        <w:tc>
          <w:tcPr>
            <w:tcW w:w="1548" w:type="dxa"/>
            <w:vAlign w:val="top"/>
          </w:tcPr>
          <w:p>
            <w:pPr>
              <w:ind w:left="596"/>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38.2</w:t>
            </w:r>
          </w:p>
        </w:tc>
        <w:tc>
          <w:tcPr>
            <w:tcW w:w="1491" w:type="dxa"/>
            <w:vAlign w:val="top"/>
          </w:tcPr>
          <w:p>
            <w:pPr>
              <w:ind w:left="56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38.7</w:t>
            </w:r>
          </w:p>
        </w:tc>
      </w:tr>
    </w:tbl>
    <w:p>
      <w:pPr>
        <w:ind w:left="2453"/>
        <w:spacing w:before="35" w:line="213" w:lineRule="auto"/>
        <w:rPr>
          <w:rFonts w:ascii="Times New Roman" w:hAnsi="Times New Roman" w:eastAsia="Times New Roman" w:cs="Times New Roman"/>
          <w:sz w:val="24"/>
          <w:szCs w:val="24"/>
        </w:rPr>
      </w:pPr>
      <w:r>
        <w:rPr>
          <w:rFonts w:ascii="SimSun" w:hAnsi="SimSun" w:eastAsia="SimSun" w:cs="SimSun"/>
          <w:sz w:val="24"/>
          <w:szCs w:val="24"/>
          <w:b/>
          <w:bCs/>
          <w:spacing w:val="-2"/>
        </w:rPr>
        <w:t>表</w:t>
      </w:r>
      <w:r>
        <w:rPr>
          <w:rFonts w:ascii="SimSun" w:hAnsi="SimSun" w:eastAsia="SimSun" w:cs="SimSun"/>
          <w:sz w:val="24"/>
          <w:szCs w:val="24"/>
          <w:spacing w:val="-39"/>
        </w:rPr>
        <w:t xml:space="preserve"> </w:t>
      </w:r>
      <w:r>
        <w:rPr>
          <w:rFonts w:ascii="Times New Roman" w:hAnsi="Times New Roman" w:eastAsia="Times New Roman" w:cs="Times New Roman"/>
          <w:sz w:val="24"/>
          <w:szCs w:val="24"/>
          <w:b/>
          <w:bCs/>
          <w:spacing w:val="-2"/>
        </w:rPr>
        <w:t>4.2-24        </w:t>
      </w:r>
      <w:r>
        <w:rPr>
          <w:rFonts w:ascii="SimSun" w:hAnsi="SimSun" w:eastAsia="SimSun" w:cs="SimSun"/>
          <w:sz w:val="24"/>
          <w:szCs w:val="24"/>
          <w:b/>
          <w:bCs/>
          <w:spacing w:val="-2"/>
        </w:rPr>
        <w:t>土壤理化性质调查表</w:t>
      </w:r>
      <w:r>
        <w:rPr>
          <w:rFonts w:ascii="SimSun" w:hAnsi="SimSun" w:eastAsia="SimSun" w:cs="SimSun"/>
          <w:sz w:val="24"/>
          <w:szCs w:val="24"/>
          <w:spacing w:val="-51"/>
        </w:rPr>
        <w:t xml:space="preserve"> </w:t>
      </w:r>
      <w:r>
        <w:rPr>
          <w:rFonts w:ascii="Times New Roman" w:hAnsi="Times New Roman" w:eastAsia="Times New Roman" w:cs="Times New Roman"/>
          <w:sz w:val="24"/>
          <w:szCs w:val="24"/>
          <w:b/>
          <w:bCs/>
          <w:spacing w:val="-2"/>
        </w:rPr>
        <w:t>4</w:t>
      </w:r>
    </w:p>
    <w:tbl>
      <w:tblPr>
        <w:tblStyle w:val="TableNormal"/>
        <w:tblW w:w="8516" w:type="dxa"/>
        <w:tblInd w:w="6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097"/>
        <w:gridCol w:w="4419"/>
      </w:tblGrid>
      <w:tr>
        <w:trPr>
          <w:trHeight w:val="319" w:hRule="atLeast"/>
        </w:trPr>
        <w:tc>
          <w:tcPr>
            <w:tcW w:w="4097" w:type="dxa"/>
            <w:vAlign w:val="top"/>
          </w:tcPr>
          <w:p>
            <w:pPr>
              <w:pStyle w:val="TableText"/>
              <w:ind w:left="1854"/>
              <w:spacing w:before="56" w:line="229" w:lineRule="auto"/>
              <w:rPr/>
            </w:pPr>
            <w:r>
              <w:rPr>
                <w:spacing w:val="-1"/>
              </w:rPr>
              <w:t>点号</w:t>
            </w:r>
          </w:p>
        </w:tc>
        <w:tc>
          <w:tcPr>
            <w:tcW w:w="4419" w:type="dxa"/>
            <w:vAlign w:val="top"/>
          </w:tcPr>
          <w:p>
            <w:pPr>
              <w:ind w:left="2112"/>
              <w:spacing w:before="95"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2"/>
              </w:rPr>
              <w:t>T</w:t>
            </w:r>
            <w:r>
              <w:rPr>
                <w:rFonts w:ascii="Times New Roman" w:hAnsi="Times New Roman" w:eastAsia="Times New Roman" w:cs="Times New Roman"/>
                <w:sz w:val="13"/>
                <w:szCs w:val="13"/>
                <w:spacing w:val="2"/>
                <w:position w:val="-1"/>
              </w:rPr>
              <w:t>8</w:t>
            </w:r>
          </w:p>
        </w:tc>
      </w:tr>
    </w:tbl>
    <w:p>
      <w:pPr>
        <w:pStyle w:val="BodyText"/>
        <w:spacing w:line="107" w:lineRule="exact"/>
        <w:rPr>
          <w:sz w:val="9"/>
        </w:rPr>
      </w:pPr>
      <w:r/>
    </w:p>
    <w:p>
      <w:pPr>
        <w:spacing w:line="107" w:lineRule="exact"/>
        <w:sectPr>
          <w:headerReference w:type="default" r:id="rId153"/>
          <w:footerReference w:type="default" r:id="rId154"/>
          <w:pgSz w:w="11906" w:h="16839"/>
          <w:pgMar w:top="1567" w:right="1633" w:bottom="1811" w:left="1632" w:header="1221" w:footer="1128" w:gutter="0"/>
        </w:sectPr>
        <w:rPr>
          <w:sz w:val="9"/>
          <w:szCs w:val="9"/>
        </w:rPr>
      </w:pPr>
    </w:p>
    <w:p>
      <w:pPr>
        <w:spacing w:line="151" w:lineRule="exact"/>
        <w:rPr/>
      </w:pPr>
      <w:r>
        <w:pict>
          <v:shape id="_x0000_s668" style="position:absolute;margin-left:85.05pt;margin-top:79.11pt;mso-position-vertical-relative:page;mso-position-horizontal-relative:page;width:425.25pt;height:0.75pt;z-index:251961344;" o:allowincell="f" fillcolor="#000000" filled="true" stroked="false" coordsize="8505,15" coordorigin="0,0" path="m,l8504,0l8504,14l0,14l0,0xe"/>
        </w:pict>
      </w:r>
      <w:r/>
    </w:p>
    <w:tbl>
      <w:tblPr>
        <w:tblStyle w:val="TableNormal"/>
        <w:tblW w:w="8516" w:type="dxa"/>
        <w:tblInd w:w="58"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77"/>
        <w:gridCol w:w="2920"/>
        <w:gridCol w:w="1445"/>
        <w:gridCol w:w="1504"/>
        <w:gridCol w:w="1470"/>
      </w:tblGrid>
      <w:tr>
        <w:trPr>
          <w:trHeight w:val="321" w:hRule="atLeast"/>
        </w:trPr>
        <w:tc>
          <w:tcPr>
            <w:tcW w:w="4097" w:type="dxa"/>
            <w:vAlign w:val="top"/>
            <w:gridSpan w:val="2"/>
          </w:tcPr>
          <w:p>
            <w:pPr>
              <w:pStyle w:val="TableText"/>
              <w:ind w:left="1854"/>
              <w:spacing w:before="55" w:line="229" w:lineRule="auto"/>
              <w:rPr/>
            </w:pPr>
            <w:r>
              <w:rPr>
                <w:spacing w:val="-1"/>
              </w:rPr>
              <w:t>点号</w:t>
            </w:r>
          </w:p>
        </w:tc>
        <w:tc>
          <w:tcPr>
            <w:tcW w:w="4419" w:type="dxa"/>
            <w:vAlign w:val="top"/>
            <w:gridSpan w:val="3"/>
          </w:tcPr>
          <w:p>
            <w:pPr>
              <w:ind w:left="2112"/>
              <w:spacing w:before="94"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2"/>
              </w:rPr>
              <w:t>T</w:t>
            </w:r>
            <w:r>
              <w:rPr>
                <w:rFonts w:ascii="Times New Roman" w:hAnsi="Times New Roman" w:eastAsia="Times New Roman" w:cs="Times New Roman"/>
                <w:sz w:val="13"/>
                <w:szCs w:val="13"/>
                <w:spacing w:val="2"/>
                <w:position w:val="-1"/>
              </w:rPr>
              <w:t>8</w:t>
            </w:r>
          </w:p>
        </w:tc>
      </w:tr>
      <w:tr>
        <w:trPr>
          <w:trHeight w:val="317" w:hRule="atLeast"/>
        </w:trPr>
        <w:tc>
          <w:tcPr>
            <w:tcW w:w="4097" w:type="dxa"/>
            <w:vAlign w:val="top"/>
            <w:gridSpan w:val="2"/>
          </w:tcPr>
          <w:p>
            <w:pPr>
              <w:pStyle w:val="TableText"/>
              <w:ind w:left="1742"/>
              <w:spacing w:before="51" w:line="228" w:lineRule="auto"/>
              <w:rPr/>
            </w:pPr>
            <w:r>
              <w:rPr>
                <w:spacing w:val="6"/>
              </w:rPr>
              <w:t>经纬度</w:t>
            </w:r>
          </w:p>
        </w:tc>
        <w:tc>
          <w:tcPr>
            <w:tcW w:w="4419" w:type="dxa"/>
            <w:vAlign w:val="top"/>
            <w:gridSpan w:val="3"/>
          </w:tcPr>
          <w:p>
            <w:pPr>
              <w:ind w:left="827"/>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114°58′</w:t>
            </w:r>
            <w:r>
              <w:rPr>
                <w:rFonts w:ascii="Times New Roman" w:hAnsi="Times New Roman" w:eastAsia="Times New Roman" w:cs="Times New Roman"/>
                <w:sz w:val="20"/>
                <w:szCs w:val="20"/>
                <w:spacing w:val="-7"/>
              </w:rPr>
              <w:t xml:space="preserve"> </w:t>
            </w:r>
            <w:r>
              <w:rPr>
                <w:rFonts w:ascii="Times New Roman" w:hAnsi="Times New Roman" w:eastAsia="Times New Roman" w:cs="Times New Roman"/>
                <w:sz w:val="20"/>
                <w:szCs w:val="20"/>
                <w:spacing w:val="1"/>
              </w:rPr>
              <w:t>16.72″E    42°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17′41.91″N</w:t>
            </w:r>
          </w:p>
        </w:tc>
      </w:tr>
      <w:tr>
        <w:trPr>
          <w:trHeight w:val="316" w:hRule="atLeast"/>
        </w:trPr>
        <w:tc>
          <w:tcPr>
            <w:tcW w:w="4097" w:type="dxa"/>
            <w:vAlign w:val="top"/>
            <w:gridSpan w:val="2"/>
          </w:tcPr>
          <w:p>
            <w:pPr>
              <w:pStyle w:val="TableText"/>
              <w:ind w:left="1843"/>
              <w:spacing w:before="53" w:line="228" w:lineRule="auto"/>
              <w:rPr/>
            </w:pPr>
            <w:r>
              <w:rPr>
                <w:spacing w:val="4"/>
              </w:rPr>
              <w:t>层次</w:t>
            </w:r>
          </w:p>
        </w:tc>
        <w:tc>
          <w:tcPr>
            <w:tcW w:w="1445" w:type="dxa"/>
            <w:vAlign w:val="top"/>
          </w:tcPr>
          <w:p>
            <w:pPr>
              <w:pStyle w:val="TableText"/>
              <w:ind w:left="412"/>
              <w:spacing w:before="53" w:line="228" w:lineRule="auto"/>
              <w:rPr/>
            </w:pPr>
            <w:r>
              <w:rPr>
                <w:spacing w:val="7"/>
              </w:rPr>
              <w:t>表层样</w:t>
            </w:r>
          </w:p>
        </w:tc>
        <w:tc>
          <w:tcPr>
            <w:tcW w:w="1504" w:type="dxa"/>
            <w:vAlign w:val="top"/>
          </w:tcPr>
          <w:p>
            <w:pPr>
              <w:pStyle w:val="TableText"/>
              <w:ind w:left="463"/>
              <w:spacing w:before="53" w:line="228" w:lineRule="auto"/>
              <w:rPr/>
            </w:pPr>
            <w:r>
              <w:rPr/>
              <w:t>中层样</w:t>
            </w:r>
          </w:p>
        </w:tc>
        <w:tc>
          <w:tcPr>
            <w:tcW w:w="1470" w:type="dxa"/>
            <w:vAlign w:val="top"/>
          </w:tcPr>
          <w:p>
            <w:pPr>
              <w:pStyle w:val="TableText"/>
              <w:ind w:left="425"/>
              <w:spacing w:before="53" w:line="228" w:lineRule="auto"/>
              <w:rPr/>
            </w:pPr>
            <w:r>
              <w:rPr>
                <w:spacing w:val="6"/>
              </w:rPr>
              <w:t>深层样</w:t>
            </w:r>
          </w:p>
        </w:tc>
      </w:tr>
      <w:tr>
        <w:trPr>
          <w:trHeight w:val="316" w:hRule="atLeast"/>
        </w:trPr>
        <w:tc>
          <w:tcPr>
            <w:tcW w:w="1177" w:type="dxa"/>
            <w:vAlign w:val="top"/>
            <w:vMerge w:val="restart"/>
            <w:tcBorders>
              <w:bottom w:val="nil"/>
            </w:tcBorders>
          </w:tcPr>
          <w:p>
            <w:pPr>
              <w:spacing w:line="314" w:lineRule="auto"/>
              <w:rPr>
                <w:rFonts w:ascii="Arial"/>
                <w:sz w:val="21"/>
              </w:rPr>
            </w:pPr>
            <w:r/>
          </w:p>
          <w:p>
            <w:pPr>
              <w:spacing w:line="314" w:lineRule="auto"/>
              <w:rPr>
                <w:rFonts w:ascii="Arial"/>
                <w:sz w:val="21"/>
              </w:rPr>
            </w:pPr>
            <w:r/>
          </w:p>
          <w:p>
            <w:pPr>
              <w:pStyle w:val="TableText"/>
              <w:ind w:left="175"/>
              <w:spacing w:before="65" w:line="228" w:lineRule="auto"/>
              <w:rPr/>
            </w:pPr>
            <w:r>
              <w:rPr>
                <w:spacing w:val="6"/>
              </w:rPr>
              <w:t>现场记录</w:t>
            </w:r>
          </w:p>
        </w:tc>
        <w:tc>
          <w:tcPr>
            <w:tcW w:w="2920" w:type="dxa"/>
            <w:vAlign w:val="top"/>
          </w:tcPr>
          <w:p>
            <w:pPr>
              <w:pStyle w:val="TableText"/>
              <w:ind w:left="1253"/>
              <w:spacing w:before="54" w:line="229" w:lineRule="auto"/>
              <w:rPr/>
            </w:pPr>
            <w:r>
              <w:rPr>
                <w:spacing w:val="5"/>
              </w:rPr>
              <w:t>颜色</w:t>
            </w:r>
          </w:p>
        </w:tc>
        <w:tc>
          <w:tcPr>
            <w:tcW w:w="1445" w:type="dxa"/>
            <w:vAlign w:val="top"/>
          </w:tcPr>
          <w:p>
            <w:pPr>
              <w:pStyle w:val="TableText"/>
              <w:ind w:left="412"/>
              <w:spacing w:before="53" w:line="228" w:lineRule="auto"/>
              <w:rPr/>
            </w:pPr>
            <w:r>
              <w:rPr>
                <w:spacing w:val="7"/>
              </w:rPr>
              <w:t>黄棕色</w:t>
            </w:r>
          </w:p>
        </w:tc>
        <w:tc>
          <w:tcPr>
            <w:tcW w:w="1504" w:type="dxa"/>
            <w:vAlign w:val="top"/>
          </w:tcPr>
          <w:p>
            <w:pPr>
              <w:pStyle w:val="TableText"/>
              <w:ind w:left="443"/>
              <w:spacing w:before="53" w:line="228" w:lineRule="auto"/>
              <w:rPr/>
            </w:pPr>
            <w:r>
              <w:rPr>
                <w:spacing w:val="7"/>
              </w:rPr>
              <w:t>黄棕色</w:t>
            </w:r>
          </w:p>
        </w:tc>
        <w:tc>
          <w:tcPr>
            <w:tcW w:w="1470" w:type="dxa"/>
            <w:vAlign w:val="top"/>
          </w:tcPr>
          <w:p>
            <w:pPr>
              <w:pStyle w:val="TableText"/>
              <w:ind w:left="424"/>
              <w:spacing w:before="53" w:line="228" w:lineRule="auto"/>
              <w:rPr/>
            </w:pPr>
            <w:r>
              <w:rPr>
                <w:spacing w:val="7"/>
              </w:rPr>
              <w:t>黄棕色</w:t>
            </w:r>
          </w:p>
        </w:tc>
      </w:tr>
      <w:tr>
        <w:trPr>
          <w:trHeight w:val="317" w:hRule="atLeast"/>
        </w:trPr>
        <w:tc>
          <w:tcPr>
            <w:tcW w:w="1177" w:type="dxa"/>
            <w:vAlign w:val="top"/>
            <w:vMerge w:val="continue"/>
            <w:tcBorders>
              <w:top w:val="nil"/>
              <w:bottom w:val="nil"/>
            </w:tcBorders>
          </w:tcPr>
          <w:p>
            <w:pPr>
              <w:rPr>
                <w:rFonts w:ascii="Arial"/>
                <w:sz w:val="21"/>
              </w:rPr>
            </w:pPr>
            <w:r/>
          </w:p>
        </w:tc>
        <w:tc>
          <w:tcPr>
            <w:tcW w:w="2920" w:type="dxa"/>
            <w:vAlign w:val="top"/>
          </w:tcPr>
          <w:p>
            <w:pPr>
              <w:pStyle w:val="TableText"/>
              <w:ind w:left="1259"/>
              <w:spacing w:before="55" w:line="228" w:lineRule="auto"/>
              <w:rPr/>
            </w:pPr>
            <w:r>
              <w:rPr>
                <w:spacing w:val="2"/>
              </w:rPr>
              <w:t>结构</w:t>
            </w:r>
          </w:p>
        </w:tc>
        <w:tc>
          <w:tcPr>
            <w:tcW w:w="1445" w:type="dxa"/>
            <w:vAlign w:val="top"/>
          </w:tcPr>
          <w:p>
            <w:pPr>
              <w:pStyle w:val="TableText"/>
              <w:ind w:left="537"/>
              <w:spacing w:before="55" w:line="228" w:lineRule="auto"/>
              <w:rPr/>
            </w:pPr>
            <w:r>
              <w:rPr>
                <w:spacing w:val="-5"/>
              </w:rPr>
              <w:t>团粒</w:t>
            </w:r>
          </w:p>
        </w:tc>
        <w:tc>
          <w:tcPr>
            <w:tcW w:w="1504" w:type="dxa"/>
            <w:vAlign w:val="top"/>
          </w:tcPr>
          <w:p>
            <w:pPr>
              <w:pStyle w:val="TableText"/>
              <w:ind w:left="568"/>
              <w:spacing w:before="55" w:line="228" w:lineRule="auto"/>
              <w:rPr/>
            </w:pPr>
            <w:r>
              <w:rPr>
                <w:spacing w:val="-5"/>
              </w:rPr>
              <w:t>团粒</w:t>
            </w:r>
          </w:p>
        </w:tc>
        <w:tc>
          <w:tcPr>
            <w:tcW w:w="1470" w:type="dxa"/>
            <w:vAlign w:val="top"/>
          </w:tcPr>
          <w:p>
            <w:pPr>
              <w:pStyle w:val="TableText"/>
              <w:ind w:left="550"/>
              <w:spacing w:before="55" w:line="228" w:lineRule="auto"/>
              <w:rPr/>
            </w:pPr>
            <w:r>
              <w:rPr>
                <w:spacing w:val="-5"/>
              </w:rPr>
              <w:t>团粒</w:t>
            </w:r>
          </w:p>
        </w:tc>
      </w:tr>
      <w:tr>
        <w:trPr>
          <w:trHeight w:val="317" w:hRule="atLeast"/>
        </w:trPr>
        <w:tc>
          <w:tcPr>
            <w:tcW w:w="1177" w:type="dxa"/>
            <w:vAlign w:val="top"/>
            <w:vMerge w:val="continue"/>
            <w:tcBorders>
              <w:top w:val="nil"/>
              <w:bottom w:val="nil"/>
            </w:tcBorders>
          </w:tcPr>
          <w:p>
            <w:pPr>
              <w:rPr>
                <w:rFonts w:ascii="Arial"/>
                <w:sz w:val="21"/>
              </w:rPr>
            </w:pPr>
            <w:r/>
          </w:p>
        </w:tc>
        <w:tc>
          <w:tcPr>
            <w:tcW w:w="2920" w:type="dxa"/>
            <w:vAlign w:val="top"/>
          </w:tcPr>
          <w:p>
            <w:pPr>
              <w:pStyle w:val="TableText"/>
              <w:ind w:left="1255"/>
              <w:spacing w:before="54" w:line="228" w:lineRule="auto"/>
              <w:rPr/>
            </w:pPr>
            <w:r>
              <w:rPr>
                <w:spacing w:val="4"/>
              </w:rPr>
              <w:t>质地</w:t>
            </w:r>
          </w:p>
        </w:tc>
        <w:tc>
          <w:tcPr>
            <w:tcW w:w="1445" w:type="dxa"/>
            <w:vAlign w:val="top"/>
          </w:tcPr>
          <w:p>
            <w:pPr>
              <w:pStyle w:val="TableText"/>
              <w:ind w:left="412"/>
              <w:spacing w:before="54" w:line="229" w:lineRule="auto"/>
              <w:rPr/>
            </w:pPr>
            <w:r>
              <w:rPr>
                <w:spacing w:val="7"/>
              </w:rPr>
              <w:t>砂壤土</w:t>
            </w:r>
          </w:p>
        </w:tc>
        <w:tc>
          <w:tcPr>
            <w:tcW w:w="1504" w:type="dxa"/>
            <w:vAlign w:val="top"/>
          </w:tcPr>
          <w:p>
            <w:pPr>
              <w:pStyle w:val="TableText"/>
              <w:ind w:left="443"/>
              <w:spacing w:before="54" w:line="229" w:lineRule="auto"/>
              <w:rPr/>
            </w:pPr>
            <w:r>
              <w:rPr>
                <w:spacing w:val="7"/>
              </w:rPr>
              <w:t>砂壤土</w:t>
            </w:r>
          </w:p>
        </w:tc>
        <w:tc>
          <w:tcPr>
            <w:tcW w:w="1470" w:type="dxa"/>
            <w:vAlign w:val="top"/>
          </w:tcPr>
          <w:p>
            <w:pPr>
              <w:pStyle w:val="TableText"/>
              <w:ind w:left="424"/>
              <w:spacing w:before="54" w:line="229" w:lineRule="auto"/>
              <w:rPr/>
            </w:pPr>
            <w:r>
              <w:rPr>
                <w:spacing w:val="7"/>
              </w:rPr>
              <w:t>砂壤土</w:t>
            </w:r>
          </w:p>
        </w:tc>
      </w:tr>
      <w:tr>
        <w:trPr>
          <w:trHeight w:val="316" w:hRule="atLeast"/>
        </w:trPr>
        <w:tc>
          <w:tcPr>
            <w:tcW w:w="1177" w:type="dxa"/>
            <w:vAlign w:val="top"/>
            <w:vMerge w:val="continue"/>
            <w:tcBorders>
              <w:top w:val="nil"/>
              <w:bottom w:val="nil"/>
            </w:tcBorders>
          </w:tcPr>
          <w:p>
            <w:pPr>
              <w:rPr>
                <w:rFonts w:ascii="Arial"/>
                <w:sz w:val="21"/>
              </w:rPr>
            </w:pPr>
            <w:r/>
          </w:p>
        </w:tc>
        <w:tc>
          <w:tcPr>
            <w:tcW w:w="2920" w:type="dxa"/>
            <w:vAlign w:val="top"/>
          </w:tcPr>
          <w:p>
            <w:pPr>
              <w:pStyle w:val="TableText"/>
              <w:ind w:left="1045"/>
              <w:spacing w:before="53" w:line="228" w:lineRule="auto"/>
              <w:rPr/>
            </w:pPr>
            <w:r>
              <w:rPr>
                <w:spacing w:val="7"/>
              </w:rPr>
              <w:t>砂砾含量</w:t>
            </w:r>
          </w:p>
        </w:tc>
        <w:tc>
          <w:tcPr>
            <w:tcW w:w="1445" w:type="dxa"/>
            <w:vAlign w:val="top"/>
          </w:tcPr>
          <w:p>
            <w:pPr>
              <w:pStyle w:val="TableText"/>
              <w:ind w:left="519"/>
              <w:spacing w:before="53" w:line="230" w:lineRule="auto"/>
              <w:rPr/>
            </w:pPr>
            <w:r>
              <w:rPr>
                <w:spacing w:val="4"/>
              </w:rPr>
              <w:t>少量</w:t>
            </w:r>
          </w:p>
        </w:tc>
        <w:tc>
          <w:tcPr>
            <w:tcW w:w="1504" w:type="dxa"/>
            <w:vAlign w:val="top"/>
          </w:tcPr>
          <w:p>
            <w:pPr>
              <w:pStyle w:val="TableText"/>
              <w:ind w:left="654"/>
              <w:spacing w:before="54" w:line="228" w:lineRule="auto"/>
              <w:rPr/>
            </w:pPr>
            <w:r>
              <w:rPr/>
              <w:t>无</w:t>
            </w:r>
          </w:p>
        </w:tc>
        <w:tc>
          <w:tcPr>
            <w:tcW w:w="1470" w:type="dxa"/>
            <w:vAlign w:val="top"/>
          </w:tcPr>
          <w:p>
            <w:pPr>
              <w:pStyle w:val="TableText"/>
              <w:ind w:left="638"/>
              <w:spacing w:before="54" w:line="228" w:lineRule="auto"/>
              <w:rPr/>
            </w:pPr>
            <w:r>
              <w:rPr/>
              <w:t>无</w:t>
            </w:r>
          </w:p>
        </w:tc>
      </w:tr>
      <w:tr>
        <w:trPr>
          <w:trHeight w:val="316" w:hRule="atLeast"/>
        </w:trPr>
        <w:tc>
          <w:tcPr>
            <w:tcW w:w="1177" w:type="dxa"/>
            <w:vAlign w:val="top"/>
            <w:vMerge w:val="continue"/>
            <w:tcBorders>
              <w:top w:val="nil"/>
            </w:tcBorders>
          </w:tcPr>
          <w:p>
            <w:pPr>
              <w:rPr>
                <w:rFonts w:ascii="Arial"/>
                <w:sz w:val="21"/>
              </w:rPr>
            </w:pPr>
            <w:r/>
          </w:p>
        </w:tc>
        <w:tc>
          <w:tcPr>
            <w:tcW w:w="2920" w:type="dxa"/>
            <w:vAlign w:val="top"/>
          </w:tcPr>
          <w:p>
            <w:pPr>
              <w:pStyle w:val="TableText"/>
              <w:ind w:left="1046"/>
              <w:spacing w:before="54" w:line="228" w:lineRule="auto"/>
              <w:rPr/>
            </w:pPr>
            <w:r>
              <w:rPr>
                <w:spacing w:val="7"/>
              </w:rPr>
              <w:t>其他异物</w:t>
            </w:r>
          </w:p>
        </w:tc>
        <w:tc>
          <w:tcPr>
            <w:tcW w:w="1445" w:type="dxa"/>
            <w:vAlign w:val="top"/>
          </w:tcPr>
          <w:p>
            <w:pPr>
              <w:pStyle w:val="TableText"/>
              <w:ind w:left="626"/>
              <w:spacing w:before="54" w:line="228" w:lineRule="auto"/>
              <w:rPr/>
            </w:pPr>
            <w:r>
              <w:rPr/>
              <w:t>无</w:t>
            </w:r>
          </w:p>
        </w:tc>
        <w:tc>
          <w:tcPr>
            <w:tcW w:w="1504" w:type="dxa"/>
            <w:vAlign w:val="top"/>
          </w:tcPr>
          <w:p>
            <w:pPr>
              <w:pStyle w:val="TableText"/>
              <w:ind w:left="654"/>
              <w:spacing w:before="54" w:line="228" w:lineRule="auto"/>
              <w:rPr/>
            </w:pPr>
            <w:r>
              <w:rPr/>
              <w:t>无</w:t>
            </w:r>
          </w:p>
        </w:tc>
        <w:tc>
          <w:tcPr>
            <w:tcW w:w="1470" w:type="dxa"/>
            <w:vAlign w:val="top"/>
          </w:tcPr>
          <w:p>
            <w:pPr>
              <w:pStyle w:val="TableText"/>
              <w:ind w:left="638"/>
              <w:spacing w:before="54" w:line="228" w:lineRule="auto"/>
              <w:rPr/>
            </w:pPr>
            <w:r>
              <w:rPr/>
              <w:t>无</w:t>
            </w:r>
          </w:p>
        </w:tc>
      </w:tr>
      <w:tr>
        <w:trPr>
          <w:trHeight w:val="317" w:hRule="atLeast"/>
        </w:trPr>
        <w:tc>
          <w:tcPr>
            <w:tcW w:w="1177" w:type="dxa"/>
            <w:vAlign w:val="top"/>
            <w:vMerge w:val="restart"/>
            <w:tcBorders>
              <w:bottom w:val="nil"/>
            </w:tcBorders>
          </w:tcPr>
          <w:p>
            <w:pPr>
              <w:spacing w:line="263" w:lineRule="auto"/>
              <w:rPr>
                <w:rFonts w:ascii="Arial"/>
                <w:sz w:val="21"/>
              </w:rPr>
            </w:pPr>
            <w:r/>
          </w:p>
          <w:p>
            <w:pPr>
              <w:spacing w:line="264" w:lineRule="auto"/>
              <w:rPr>
                <w:rFonts w:ascii="Arial"/>
                <w:sz w:val="21"/>
              </w:rPr>
            </w:pPr>
            <w:r/>
          </w:p>
          <w:p>
            <w:pPr>
              <w:spacing w:line="264" w:lineRule="auto"/>
              <w:rPr>
                <w:rFonts w:ascii="Arial"/>
                <w:sz w:val="21"/>
              </w:rPr>
            </w:pPr>
            <w:r/>
          </w:p>
          <w:p>
            <w:pPr>
              <w:pStyle w:val="TableText"/>
              <w:ind w:left="72"/>
              <w:spacing w:before="65" w:line="228" w:lineRule="auto"/>
              <w:rPr/>
            </w:pPr>
            <w:r>
              <w:rPr>
                <w:spacing w:val="7"/>
              </w:rPr>
              <w:t>实验室测定</w:t>
            </w:r>
          </w:p>
        </w:tc>
        <w:tc>
          <w:tcPr>
            <w:tcW w:w="2920" w:type="dxa"/>
            <w:vAlign w:val="top"/>
          </w:tcPr>
          <w:p>
            <w:pPr>
              <w:pStyle w:val="TableText"/>
              <w:ind w:left="1195"/>
              <w:spacing w:before="57" w:line="221" w:lineRule="auto"/>
              <w:rPr/>
            </w:pPr>
            <w:r>
              <w:rPr>
                <w:rFonts w:ascii="Times New Roman" w:hAnsi="Times New Roman" w:eastAsia="Times New Roman" w:cs="Times New Roman"/>
              </w:rPr>
              <w:t>pH</w:t>
            </w:r>
            <w:r>
              <w:rPr>
                <w:rFonts w:ascii="Times New Roman" w:hAnsi="Times New Roman" w:eastAsia="Times New Roman" w:cs="Times New Roman"/>
                <w:spacing w:val="11"/>
              </w:rPr>
              <w:t xml:space="preserve"> </w:t>
            </w:r>
            <w:r>
              <w:rPr>
                <w:spacing w:val="13"/>
              </w:rPr>
              <w:t>值</w:t>
            </w:r>
          </w:p>
        </w:tc>
        <w:tc>
          <w:tcPr>
            <w:tcW w:w="1445" w:type="dxa"/>
            <w:vAlign w:val="top"/>
          </w:tcPr>
          <w:p>
            <w:pPr>
              <w:ind w:left="549"/>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8.35</w:t>
            </w:r>
          </w:p>
        </w:tc>
        <w:tc>
          <w:tcPr>
            <w:tcW w:w="1504" w:type="dxa"/>
            <w:vAlign w:val="top"/>
          </w:tcPr>
          <w:p>
            <w:pPr>
              <w:ind w:left="57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8.39</w:t>
            </w:r>
          </w:p>
        </w:tc>
        <w:tc>
          <w:tcPr>
            <w:tcW w:w="1470" w:type="dxa"/>
            <w:vAlign w:val="top"/>
          </w:tcPr>
          <w:p>
            <w:pPr>
              <w:ind w:left="56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8.43</w:t>
            </w:r>
          </w:p>
        </w:tc>
      </w:tr>
      <w:tr>
        <w:trPr>
          <w:trHeight w:val="317" w:hRule="atLeast"/>
        </w:trPr>
        <w:tc>
          <w:tcPr>
            <w:tcW w:w="1177" w:type="dxa"/>
            <w:vAlign w:val="top"/>
            <w:vMerge w:val="continue"/>
            <w:tcBorders>
              <w:top w:val="nil"/>
              <w:bottom w:val="nil"/>
            </w:tcBorders>
          </w:tcPr>
          <w:p>
            <w:pPr>
              <w:rPr>
                <w:rFonts w:ascii="Arial"/>
                <w:sz w:val="21"/>
              </w:rPr>
            </w:pPr>
            <w:r/>
          </w:p>
        </w:tc>
        <w:tc>
          <w:tcPr>
            <w:tcW w:w="2920" w:type="dxa"/>
            <w:vAlign w:val="top"/>
          </w:tcPr>
          <w:p>
            <w:pPr>
              <w:pStyle w:val="TableText"/>
              <w:ind w:left="295"/>
              <w:spacing w:before="57" w:line="221" w:lineRule="auto"/>
              <w:rPr/>
            </w:pPr>
            <w:r>
              <w:rPr>
                <w:spacing w:val="8"/>
              </w:rPr>
              <w:t>阳离子交换量（</w:t>
            </w:r>
            <w:r>
              <w:rPr>
                <w:rFonts w:ascii="Times New Roman" w:hAnsi="Times New Roman" w:eastAsia="Times New Roman" w:cs="Times New Roman"/>
              </w:rPr>
              <w:t>cmol</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445" w:type="dxa"/>
            <w:vAlign w:val="top"/>
          </w:tcPr>
          <w:p>
            <w:pPr>
              <w:ind w:left="56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19.7</w:t>
            </w:r>
          </w:p>
        </w:tc>
        <w:tc>
          <w:tcPr>
            <w:tcW w:w="1504" w:type="dxa"/>
            <w:vAlign w:val="top"/>
          </w:tcPr>
          <w:p>
            <w:pPr>
              <w:ind w:left="56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20.8</w:t>
            </w:r>
          </w:p>
        </w:tc>
        <w:tc>
          <w:tcPr>
            <w:tcW w:w="1470" w:type="dxa"/>
            <w:vAlign w:val="top"/>
          </w:tcPr>
          <w:p>
            <w:pPr>
              <w:ind w:left="55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22.2</w:t>
            </w:r>
          </w:p>
        </w:tc>
      </w:tr>
      <w:tr>
        <w:trPr>
          <w:trHeight w:val="317" w:hRule="atLeast"/>
        </w:trPr>
        <w:tc>
          <w:tcPr>
            <w:tcW w:w="1177" w:type="dxa"/>
            <w:vAlign w:val="top"/>
            <w:vMerge w:val="continue"/>
            <w:tcBorders>
              <w:top w:val="nil"/>
              <w:bottom w:val="nil"/>
            </w:tcBorders>
          </w:tcPr>
          <w:p>
            <w:pPr>
              <w:rPr>
                <w:rFonts w:ascii="Arial"/>
                <w:sz w:val="21"/>
              </w:rPr>
            </w:pPr>
            <w:r/>
          </w:p>
        </w:tc>
        <w:tc>
          <w:tcPr>
            <w:tcW w:w="2920" w:type="dxa"/>
            <w:vAlign w:val="top"/>
          </w:tcPr>
          <w:p>
            <w:pPr>
              <w:pStyle w:val="TableText"/>
              <w:ind w:left="468"/>
              <w:spacing w:before="56" w:line="227" w:lineRule="auto"/>
              <w:rPr/>
            </w:pPr>
            <w:r>
              <w:rPr>
                <w:spacing w:val="9"/>
              </w:rPr>
              <w:t>氧化还原电位（</w:t>
            </w:r>
            <w:r>
              <w:rPr>
                <w:rFonts w:ascii="Times New Roman" w:hAnsi="Times New Roman" w:eastAsia="Times New Roman" w:cs="Times New Roman"/>
              </w:rPr>
              <w:t>mV</w:t>
            </w:r>
            <w:r>
              <w:rPr>
                <w:spacing w:val="9"/>
              </w:rPr>
              <w:t>）</w:t>
            </w:r>
          </w:p>
        </w:tc>
        <w:tc>
          <w:tcPr>
            <w:tcW w:w="1445" w:type="dxa"/>
            <w:vAlign w:val="top"/>
          </w:tcPr>
          <w:p>
            <w:pPr>
              <w:ind w:left="56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435</w:t>
            </w:r>
          </w:p>
        </w:tc>
        <w:tc>
          <w:tcPr>
            <w:tcW w:w="1504" w:type="dxa"/>
            <w:vAlign w:val="top"/>
          </w:tcPr>
          <w:p>
            <w:pPr>
              <w:ind w:left="721"/>
              <w:spacing w:before="8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470" w:type="dxa"/>
            <w:vAlign w:val="top"/>
          </w:tcPr>
          <w:p>
            <w:pPr>
              <w:ind w:left="703"/>
              <w:spacing w:before="8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7" w:hRule="atLeast"/>
        </w:trPr>
        <w:tc>
          <w:tcPr>
            <w:tcW w:w="1177" w:type="dxa"/>
            <w:vAlign w:val="top"/>
            <w:vMerge w:val="continue"/>
            <w:tcBorders>
              <w:top w:val="nil"/>
              <w:bottom w:val="nil"/>
            </w:tcBorders>
          </w:tcPr>
          <w:p>
            <w:pPr>
              <w:rPr>
                <w:rFonts w:ascii="Arial"/>
                <w:sz w:val="21"/>
              </w:rPr>
            </w:pPr>
            <w:r/>
          </w:p>
        </w:tc>
        <w:tc>
          <w:tcPr>
            <w:tcW w:w="2920" w:type="dxa"/>
            <w:vAlign w:val="top"/>
          </w:tcPr>
          <w:p>
            <w:pPr>
              <w:pStyle w:val="TableText"/>
              <w:ind w:left="655"/>
              <w:spacing w:before="56" w:line="221" w:lineRule="auto"/>
              <w:rPr>
                <w:rFonts w:ascii="Times New Roman" w:hAnsi="Times New Roman" w:eastAsia="Times New Roman" w:cs="Times New Roman"/>
              </w:rPr>
            </w:pPr>
            <w:r>
              <w:rPr>
                <w:spacing w:val="11"/>
              </w:rPr>
              <w:t>渗滤率（</w:t>
            </w:r>
            <w:r>
              <w:rPr>
                <w:rFonts w:ascii="Times New Roman" w:hAnsi="Times New Roman" w:eastAsia="Times New Roman" w:cs="Times New Roman"/>
              </w:rPr>
              <w:t>mm</w:t>
            </w:r>
            <w:r>
              <w:rPr>
                <w:rFonts w:ascii="Times New Roman" w:hAnsi="Times New Roman" w:eastAsia="Times New Roman" w:cs="Times New Roman"/>
                <w:spacing w:val="11"/>
              </w:rPr>
              <w:t>/</w:t>
            </w:r>
            <w:r>
              <w:rPr>
                <w:rFonts w:ascii="Times New Roman" w:hAnsi="Times New Roman" w:eastAsia="Times New Roman" w:cs="Times New Roman"/>
              </w:rPr>
              <w:t>min</w:t>
            </w:r>
            <w:r>
              <w:rPr>
                <w:rFonts w:ascii="Times New Roman" w:hAnsi="Times New Roman" w:eastAsia="Times New Roman" w:cs="Times New Roman"/>
                <w:spacing w:val="11"/>
              </w:rPr>
              <w:t>)</w:t>
            </w:r>
          </w:p>
        </w:tc>
        <w:tc>
          <w:tcPr>
            <w:tcW w:w="1445" w:type="dxa"/>
            <w:vAlign w:val="top"/>
          </w:tcPr>
          <w:p>
            <w:pPr>
              <w:ind w:left="56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1.10</w:t>
            </w:r>
          </w:p>
        </w:tc>
        <w:tc>
          <w:tcPr>
            <w:tcW w:w="1504" w:type="dxa"/>
            <w:vAlign w:val="top"/>
          </w:tcPr>
          <w:p>
            <w:pPr>
              <w:ind w:left="59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1.17</w:t>
            </w:r>
          </w:p>
        </w:tc>
        <w:tc>
          <w:tcPr>
            <w:tcW w:w="1470" w:type="dxa"/>
            <w:vAlign w:val="top"/>
          </w:tcPr>
          <w:p>
            <w:pPr>
              <w:ind w:left="57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8"/>
              </w:rPr>
              <w:t>14</w:t>
            </w:r>
          </w:p>
        </w:tc>
      </w:tr>
      <w:tr>
        <w:trPr>
          <w:trHeight w:val="317" w:hRule="atLeast"/>
        </w:trPr>
        <w:tc>
          <w:tcPr>
            <w:tcW w:w="1177" w:type="dxa"/>
            <w:vAlign w:val="top"/>
            <w:vMerge w:val="continue"/>
            <w:tcBorders>
              <w:top w:val="nil"/>
              <w:bottom w:val="nil"/>
            </w:tcBorders>
          </w:tcPr>
          <w:p>
            <w:pPr>
              <w:rPr>
                <w:rFonts w:ascii="Arial"/>
                <w:sz w:val="21"/>
              </w:rPr>
            </w:pPr>
            <w:r/>
          </w:p>
        </w:tc>
        <w:tc>
          <w:tcPr>
            <w:tcW w:w="2920" w:type="dxa"/>
            <w:vAlign w:val="top"/>
          </w:tcPr>
          <w:p>
            <w:pPr>
              <w:pStyle w:val="TableText"/>
              <w:ind w:left="873"/>
              <w:spacing w:before="55" w:line="221" w:lineRule="auto"/>
              <w:rPr>
                <w:rFonts w:ascii="Times New Roman" w:hAnsi="Times New Roman" w:eastAsia="Times New Roman" w:cs="Times New Roman"/>
              </w:rPr>
            </w:pPr>
            <w:r>
              <w:rPr>
                <w:spacing w:val="6"/>
              </w:rPr>
              <w:t>容重（</w:t>
            </w:r>
            <w:r>
              <w:rPr>
                <w:rFonts w:ascii="Times New Roman" w:hAnsi="Times New Roman" w:eastAsia="Times New Roman" w:cs="Times New Roman"/>
                <w:spacing w:val="6"/>
              </w:rPr>
              <w:t>g/</w:t>
            </w:r>
            <w:r>
              <w:rPr>
                <w:rFonts w:ascii="Times New Roman" w:hAnsi="Times New Roman" w:eastAsia="Times New Roman" w:cs="Times New Roman"/>
              </w:rPr>
              <w:t>cm</w:t>
            </w:r>
            <w:r>
              <w:rPr>
                <w:rFonts w:ascii="Times New Roman" w:hAnsi="Times New Roman" w:eastAsia="Times New Roman" w:cs="Times New Roman"/>
                <w:sz w:val="13"/>
                <w:szCs w:val="13"/>
                <w:spacing w:val="6"/>
                <w:position w:val="6"/>
              </w:rPr>
              <w:t>3</w:t>
            </w:r>
            <w:r>
              <w:rPr>
                <w:rFonts w:ascii="Times New Roman" w:hAnsi="Times New Roman" w:eastAsia="Times New Roman" w:cs="Times New Roman"/>
                <w:spacing w:val="6"/>
              </w:rPr>
              <w:t>)</w:t>
            </w:r>
          </w:p>
        </w:tc>
        <w:tc>
          <w:tcPr>
            <w:tcW w:w="1445" w:type="dxa"/>
            <w:vAlign w:val="top"/>
          </w:tcPr>
          <w:p>
            <w:pPr>
              <w:ind w:left="56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1.22</w:t>
            </w:r>
          </w:p>
        </w:tc>
        <w:tc>
          <w:tcPr>
            <w:tcW w:w="1504" w:type="dxa"/>
            <w:vAlign w:val="top"/>
          </w:tcPr>
          <w:p>
            <w:pPr>
              <w:ind w:left="59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1.24</w:t>
            </w:r>
          </w:p>
        </w:tc>
        <w:tc>
          <w:tcPr>
            <w:tcW w:w="1470" w:type="dxa"/>
            <w:vAlign w:val="top"/>
          </w:tcPr>
          <w:p>
            <w:pPr>
              <w:ind w:left="57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1.25</w:t>
            </w:r>
          </w:p>
        </w:tc>
      </w:tr>
      <w:tr>
        <w:trPr>
          <w:trHeight w:val="321" w:hRule="atLeast"/>
        </w:trPr>
        <w:tc>
          <w:tcPr>
            <w:tcW w:w="1177" w:type="dxa"/>
            <w:vAlign w:val="top"/>
            <w:vMerge w:val="continue"/>
            <w:tcBorders>
              <w:top w:val="nil"/>
            </w:tcBorders>
          </w:tcPr>
          <w:p>
            <w:pPr>
              <w:rPr>
                <w:rFonts w:ascii="Arial"/>
                <w:sz w:val="21"/>
              </w:rPr>
            </w:pPr>
            <w:r/>
          </w:p>
        </w:tc>
        <w:tc>
          <w:tcPr>
            <w:tcW w:w="2920" w:type="dxa"/>
            <w:vAlign w:val="top"/>
          </w:tcPr>
          <w:p>
            <w:pPr>
              <w:pStyle w:val="TableText"/>
              <w:ind w:left="751"/>
              <w:spacing w:before="55" w:line="228" w:lineRule="auto"/>
              <w:rPr/>
            </w:pPr>
            <w:r>
              <w:rPr>
                <w:spacing w:val="6"/>
              </w:rPr>
              <w:t>总孔隙度（</w:t>
            </w:r>
            <w:r>
              <w:rPr>
                <w:rFonts w:ascii="Times New Roman" w:hAnsi="Times New Roman" w:eastAsia="Times New Roman" w:cs="Times New Roman"/>
                <w:spacing w:val="6"/>
              </w:rPr>
              <w:t>%</w:t>
            </w:r>
            <w:r>
              <w:rPr>
                <w:spacing w:val="6"/>
              </w:rPr>
              <w:t>）</w:t>
            </w:r>
          </w:p>
        </w:tc>
        <w:tc>
          <w:tcPr>
            <w:tcW w:w="1445" w:type="dxa"/>
            <w:vAlign w:val="top"/>
          </w:tcPr>
          <w:p>
            <w:pPr>
              <w:ind w:left="54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38.0</w:t>
            </w:r>
          </w:p>
        </w:tc>
        <w:tc>
          <w:tcPr>
            <w:tcW w:w="1504" w:type="dxa"/>
            <w:vAlign w:val="top"/>
          </w:tcPr>
          <w:p>
            <w:pPr>
              <w:ind w:left="57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37.3</w:t>
            </w:r>
          </w:p>
        </w:tc>
        <w:tc>
          <w:tcPr>
            <w:tcW w:w="1470" w:type="dxa"/>
            <w:vAlign w:val="top"/>
          </w:tcPr>
          <w:p>
            <w:pPr>
              <w:ind w:left="55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38.6</w:t>
            </w:r>
          </w:p>
        </w:tc>
      </w:tr>
    </w:tbl>
    <w:p>
      <w:pPr>
        <w:ind w:left="2449"/>
        <w:spacing w:before="35" w:line="212" w:lineRule="auto"/>
        <w:rPr>
          <w:rFonts w:ascii="Times New Roman" w:hAnsi="Times New Roman" w:eastAsia="Times New Roman" w:cs="Times New Roman"/>
          <w:sz w:val="24"/>
          <w:szCs w:val="24"/>
        </w:rPr>
      </w:pPr>
      <w:r>
        <w:rPr>
          <w:rFonts w:ascii="SimSun" w:hAnsi="SimSun" w:eastAsia="SimSun" w:cs="SimSun"/>
          <w:sz w:val="24"/>
          <w:szCs w:val="24"/>
          <w:b/>
          <w:bCs/>
          <w:spacing w:val="-2"/>
        </w:rPr>
        <w:t>表</w:t>
      </w:r>
      <w:r>
        <w:rPr>
          <w:rFonts w:ascii="SimSun" w:hAnsi="SimSun" w:eastAsia="SimSun" w:cs="SimSun"/>
          <w:sz w:val="24"/>
          <w:szCs w:val="24"/>
          <w:spacing w:val="-39"/>
        </w:rPr>
        <w:t xml:space="preserve"> </w:t>
      </w:r>
      <w:r>
        <w:rPr>
          <w:rFonts w:ascii="Times New Roman" w:hAnsi="Times New Roman" w:eastAsia="Times New Roman" w:cs="Times New Roman"/>
          <w:sz w:val="24"/>
          <w:szCs w:val="24"/>
          <w:b/>
          <w:bCs/>
          <w:spacing w:val="-2"/>
        </w:rPr>
        <w:t>4.2-25        </w:t>
      </w:r>
      <w:r>
        <w:rPr>
          <w:rFonts w:ascii="SimSun" w:hAnsi="SimSun" w:eastAsia="SimSun" w:cs="SimSun"/>
          <w:sz w:val="24"/>
          <w:szCs w:val="24"/>
          <w:b/>
          <w:bCs/>
          <w:spacing w:val="-2"/>
        </w:rPr>
        <w:t>土壤理化性质调查表</w:t>
      </w:r>
      <w:r>
        <w:rPr>
          <w:rFonts w:ascii="SimSun" w:hAnsi="SimSun" w:eastAsia="SimSun" w:cs="SimSun"/>
          <w:sz w:val="24"/>
          <w:szCs w:val="24"/>
          <w:spacing w:val="-49"/>
        </w:rPr>
        <w:t xml:space="preserve"> </w:t>
      </w:r>
      <w:r>
        <w:rPr>
          <w:rFonts w:ascii="Times New Roman" w:hAnsi="Times New Roman" w:eastAsia="Times New Roman" w:cs="Times New Roman"/>
          <w:sz w:val="24"/>
          <w:szCs w:val="24"/>
          <w:b/>
          <w:bCs/>
          <w:spacing w:val="-2"/>
        </w:rPr>
        <w:t>8</w:t>
      </w:r>
    </w:p>
    <w:tbl>
      <w:tblPr>
        <w:tblStyle w:val="TableNormal"/>
        <w:tblW w:w="862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38"/>
        <w:gridCol w:w="2493"/>
        <w:gridCol w:w="1767"/>
        <w:gridCol w:w="1617"/>
        <w:gridCol w:w="1512"/>
      </w:tblGrid>
      <w:tr>
        <w:trPr>
          <w:trHeight w:val="321" w:hRule="atLeast"/>
        </w:trPr>
        <w:tc>
          <w:tcPr>
            <w:tcW w:w="3731" w:type="dxa"/>
            <w:vAlign w:val="top"/>
            <w:gridSpan w:val="2"/>
          </w:tcPr>
          <w:p>
            <w:pPr>
              <w:pStyle w:val="TableText"/>
              <w:ind w:left="1672"/>
              <w:spacing w:before="55" w:line="229" w:lineRule="auto"/>
              <w:rPr/>
            </w:pPr>
            <w:r>
              <w:rPr>
                <w:spacing w:val="-1"/>
              </w:rPr>
              <w:t>点号</w:t>
            </w:r>
          </w:p>
        </w:tc>
        <w:tc>
          <w:tcPr>
            <w:tcW w:w="1767" w:type="dxa"/>
            <w:vAlign w:val="top"/>
          </w:tcPr>
          <w:p>
            <w:pPr>
              <w:ind w:left="790"/>
              <w:spacing w:before="94"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T</w:t>
            </w:r>
            <w:r>
              <w:rPr>
                <w:rFonts w:ascii="Times New Roman" w:hAnsi="Times New Roman" w:eastAsia="Times New Roman" w:cs="Times New Roman"/>
                <w:sz w:val="13"/>
                <w:szCs w:val="13"/>
                <w:spacing w:val="1"/>
                <w:position w:val="-1"/>
              </w:rPr>
              <w:t>9</w:t>
            </w:r>
          </w:p>
        </w:tc>
        <w:tc>
          <w:tcPr>
            <w:tcW w:w="1617" w:type="dxa"/>
            <w:vAlign w:val="top"/>
          </w:tcPr>
          <w:p>
            <w:pPr>
              <w:ind w:left="681"/>
              <w:spacing w:before="94"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2"/>
              </w:rPr>
              <w:t>T</w:t>
            </w:r>
            <w:r>
              <w:rPr>
                <w:rFonts w:ascii="Times New Roman" w:hAnsi="Times New Roman" w:eastAsia="Times New Roman" w:cs="Times New Roman"/>
                <w:sz w:val="13"/>
                <w:szCs w:val="13"/>
                <w:spacing w:val="2"/>
              </w:rPr>
              <w:t>10</w:t>
            </w:r>
          </w:p>
        </w:tc>
        <w:tc>
          <w:tcPr>
            <w:tcW w:w="1512" w:type="dxa"/>
            <w:vAlign w:val="top"/>
          </w:tcPr>
          <w:p>
            <w:pPr>
              <w:ind w:left="626"/>
              <w:spacing w:before="94"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T</w:t>
            </w:r>
            <w:r>
              <w:rPr>
                <w:rFonts w:ascii="Times New Roman" w:hAnsi="Times New Roman" w:eastAsia="Times New Roman" w:cs="Times New Roman"/>
                <w:sz w:val="13"/>
                <w:szCs w:val="13"/>
                <w:spacing w:val="3"/>
              </w:rPr>
              <w:t>11</w:t>
            </w:r>
          </w:p>
        </w:tc>
      </w:tr>
      <w:tr>
        <w:trPr>
          <w:trHeight w:val="628" w:hRule="atLeast"/>
        </w:trPr>
        <w:tc>
          <w:tcPr>
            <w:tcW w:w="3731" w:type="dxa"/>
            <w:vAlign w:val="top"/>
            <w:gridSpan w:val="2"/>
          </w:tcPr>
          <w:p>
            <w:pPr>
              <w:pStyle w:val="TableText"/>
              <w:ind w:left="1558"/>
              <w:spacing w:before="207" w:line="228" w:lineRule="auto"/>
              <w:rPr/>
            </w:pPr>
            <w:r>
              <w:rPr>
                <w:spacing w:val="6"/>
              </w:rPr>
              <w:t>经纬度</w:t>
            </w:r>
          </w:p>
        </w:tc>
        <w:tc>
          <w:tcPr>
            <w:tcW w:w="1767" w:type="dxa"/>
            <w:vAlign w:val="top"/>
          </w:tcPr>
          <w:p>
            <w:pPr>
              <w:ind w:left="234"/>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114°58′</w:t>
            </w:r>
            <w:r>
              <w:rPr>
                <w:rFonts w:ascii="Times New Roman" w:hAnsi="Times New Roman" w:eastAsia="Times New Roman" w:cs="Times New Roman"/>
                <w:sz w:val="20"/>
                <w:szCs w:val="20"/>
                <w:spacing w:val="-13"/>
              </w:rPr>
              <w:t xml:space="preserve"> </w:t>
            </w:r>
            <w:r>
              <w:rPr>
                <w:rFonts w:ascii="Times New Roman" w:hAnsi="Times New Roman" w:eastAsia="Times New Roman" w:cs="Times New Roman"/>
                <w:sz w:val="20"/>
                <w:szCs w:val="20"/>
              </w:rPr>
              <w:t>18.82″E</w:t>
            </w:r>
          </w:p>
          <w:p>
            <w:pPr>
              <w:ind w:left="307"/>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42°</w:t>
            </w:r>
            <w:r>
              <w:rPr>
                <w:rFonts w:ascii="Times New Roman" w:hAnsi="Times New Roman" w:eastAsia="Times New Roman" w:cs="Times New Roman"/>
                <w:sz w:val="20"/>
                <w:szCs w:val="20"/>
                <w:spacing w:val="-20"/>
              </w:rPr>
              <w:t xml:space="preserve"> </w:t>
            </w:r>
            <w:r>
              <w:rPr>
                <w:rFonts w:ascii="Times New Roman" w:hAnsi="Times New Roman" w:eastAsia="Times New Roman" w:cs="Times New Roman"/>
                <w:sz w:val="20"/>
                <w:szCs w:val="20"/>
              </w:rPr>
              <w:t>17′40.7</w:t>
            </w:r>
            <w:r>
              <w:rPr>
                <w:rFonts w:ascii="Times New Roman" w:hAnsi="Times New Roman" w:eastAsia="Times New Roman" w:cs="Times New Roman"/>
                <w:sz w:val="20"/>
                <w:szCs w:val="20"/>
                <w:spacing w:val="-32"/>
              </w:rPr>
              <w:t xml:space="preserve"> </w:t>
            </w:r>
            <w:r>
              <w:rPr>
                <w:rFonts w:ascii="Times New Roman" w:hAnsi="Times New Roman" w:eastAsia="Times New Roman" w:cs="Times New Roman"/>
                <w:sz w:val="20"/>
                <w:szCs w:val="20"/>
              </w:rPr>
              <w:t>″N</w:t>
            </w:r>
          </w:p>
        </w:tc>
        <w:tc>
          <w:tcPr>
            <w:tcW w:w="1617" w:type="dxa"/>
            <w:vAlign w:val="top"/>
          </w:tcPr>
          <w:p>
            <w:pPr>
              <w:ind w:left="212"/>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114°58′28.3</w:t>
            </w:r>
            <w:r>
              <w:rPr>
                <w:rFonts w:ascii="Times New Roman" w:hAnsi="Times New Roman" w:eastAsia="Times New Roman" w:cs="Times New Roman"/>
                <w:sz w:val="20"/>
                <w:szCs w:val="20"/>
                <w:spacing w:val="-32"/>
              </w:rPr>
              <w:t xml:space="preserve"> </w:t>
            </w:r>
            <w:r>
              <w:rPr>
                <w:rFonts w:ascii="Times New Roman" w:hAnsi="Times New Roman" w:eastAsia="Times New Roman" w:cs="Times New Roman"/>
                <w:sz w:val="20"/>
                <w:szCs w:val="20"/>
                <w:spacing w:val="1"/>
              </w:rPr>
              <w:t>″E</w:t>
            </w:r>
          </w:p>
          <w:p>
            <w:pPr>
              <w:ind w:left="179"/>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42°</w:t>
            </w:r>
            <w:r>
              <w:rPr>
                <w:rFonts w:ascii="Times New Roman" w:hAnsi="Times New Roman" w:eastAsia="Times New Roman" w:cs="Times New Roman"/>
                <w:sz w:val="20"/>
                <w:szCs w:val="20"/>
                <w:spacing w:val="-22"/>
              </w:rPr>
              <w:t xml:space="preserve"> </w:t>
            </w:r>
            <w:r>
              <w:rPr>
                <w:rFonts w:ascii="Times New Roman" w:hAnsi="Times New Roman" w:eastAsia="Times New Roman" w:cs="Times New Roman"/>
                <w:sz w:val="20"/>
                <w:szCs w:val="20"/>
              </w:rPr>
              <w:t>17′44.</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rPr>
              <w:t>12″N</w:t>
            </w:r>
          </w:p>
        </w:tc>
        <w:tc>
          <w:tcPr>
            <w:tcW w:w="1512" w:type="dxa"/>
            <w:vAlign w:val="top"/>
          </w:tcPr>
          <w:p>
            <w:pPr>
              <w:ind w:left="105"/>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114°58′</w:t>
            </w:r>
            <w:r>
              <w:rPr>
                <w:rFonts w:ascii="Times New Roman" w:hAnsi="Times New Roman" w:eastAsia="Times New Roman" w:cs="Times New Roman"/>
                <w:sz w:val="20"/>
                <w:szCs w:val="20"/>
                <w:spacing w:val="-13"/>
              </w:rPr>
              <w:t xml:space="preserve"> </w:t>
            </w:r>
            <w:r>
              <w:rPr>
                <w:rFonts w:ascii="Times New Roman" w:hAnsi="Times New Roman" w:eastAsia="Times New Roman" w:cs="Times New Roman"/>
                <w:sz w:val="20"/>
                <w:szCs w:val="20"/>
              </w:rPr>
              <w:t>14.95″E</w:t>
            </w:r>
          </w:p>
          <w:p>
            <w:pPr>
              <w:ind w:left="127"/>
              <w:spacing w:before="1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42°</w:t>
            </w:r>
            <w:r>
              <w:rPr>
                <w:rFonts w:ascii="Times New Roman" w:hAnsi="Times New Roman" w:eastAsia="Times New Roman" w:cs="Times New Roman"/>
                <w:sz w:val="20"/>
                <w:szCs w:val="20"/>
                <w:spacing w:val="-23"/>
              </w:rPr>
              <w:t xml:space="preserve"> </w:t>
            </w:r>
            <w:r>
              <w:rPr>
                <w:rFonts w:ascii="Times New Roman" w:hAnsi="Times New Roman" w:eastAsia="Times New Roman" w:cs="Times New Roman"/>
                <w:sz w:val="20"/>
                <w:szCs w:val="20"/>
                <w:spacing w:val="2"/>
              </w:rPr>
              <w:t>17′51.04″N</w:t>
            </w:r>
          </w:p>
        </w:tc>
      </w:tr>
      <w:tr>
        <w:trPr>
          <w:trHeight w:val="317" w:hRule="atLeast"/>
        </w:trPr>
        <w:tc>
          <w:tcPr>
            <w:tcW w:w="3731" w:type="dxa"/>
            <w:vAlign w:val="top"/>
            <w:gridSpan w:val="2"/>
          </w:tcPr>
          <w:p>
            <w:pPr>
              <w:pStyle w:val="TableText"/>
              <w:ind w:left="1662"/>
              <w:spacing w:before="53" w:line="228" w:lineRule="auto"/>
              <w:rPr/>
            </w:pPr>
            <w:r>
              <w:rPr>
                <w:spacing w:val="4"/>
              </w:rPr>
              <w:t>层次</w:t>
            </w:r>
          </w:p>
        </w:tc>
        <w:tc>
          <w:tcPr>
            <w:tcW w:w="1767" w:type="dxa"/>
            <w:vAlign w:val="top"/>
          </w:tcPr>
          <w:p>
            <w:pPr>
              <w:pStyle w:val="TableText"/>
              <w:ind w:left="575"/>
              <w:spacing w:before="53" w:line="228" w:lineRule="auto"/>
              <w:rPr/>
            </w:pPr>
            <w:r>
              <w:rPr>
                <w:spacing w:val="7"/>
              </w:rPr>
              <w:t>表层样</w:t>
            </w:r>
          </w:p>
        </w:tc>
        <w:tc>
          <w:tcPr>
            <w:tcW w:w="1617" w:type="dxa"/>
            <w:vAlign w:val="top"/>
          </w:tcPr>
          <w:p>
            <w:pPr>
              <w:pStyle w:val="TableText"/>
              <w:ind w:left="500"/>
              <w:spacing w:before="53" w:line="228" w:lineRule="auto"/>
              <w:rPr/>
            </w:pPr>
            <w:r>
              <w:rPr>
                <w:spacing w:val="7"/>
              </w:rPr>
              <w:t>表层样</w:t>
            </w:r>
          </w:p>
        </w:tc>
        <w:tc>
          <w:tcPr>
            <w:tcW w:w="1512" w:type="dxa"/>
            <w:vAlign w:val="top"/>
          </w:tcPr>
          <w:p>
            <w:pPr>
              <w:pStyle w:val="TableText"/>
              <w:ind w:left="445"/>
              <w:spacing w:before="53" w:line="228" w:lineRule="auto"/>
              <w:rPr/>
            </w:pPr>
            <w:r>
              <w:rPr>
                <w:spacing w:val="7"/>
              </w:rPr>
              <w:t>表层样</w:t>
            </w:r>
          </w:p>
        </w:tc>
      </w:tr>
      <w:tr>
        <w:trPr>
          <w:trHeight w:val="317" w:hRule="atLeast"/>
        </w:trPr>
        <w:tc>
          <w:tcPr>
            <w:tcW w:w="1238" w:type="dxa"/>
            <w:vAlign w:val="top"/>
            <w:vMerge w:val="restart"/>
            <w:tcBorders>
              <w:bottom w:val="nil"/>
            </w:tcBorders>
          </w:tcPr>
          <w:p>
            <w:pPr>
              <w:spacing w:line="314" w:lineRule="auto"/>
              <w:rPr>
                <w:rFonts w:ascii="Arial"/>
                <w:sz w:val="21"/>
              </w:rPr>
            </w:pPr>
            <w:r/>
          </w:p>
          <w:p>
            <w:pPr>
              <w:spacing w:line="314" w:lineRule="auto"/>
              <w:rPr>
                <w:rFonts w:ascii="Arial"/>
                <w:sz w:val="21"/>
              </w:rPr>
            </w:pPr>
            <w:r/>
          </w:p>
          <w:p>
            <w:pPr>
              <w:pStyle w:val="TableText"/>
              <w:ind w:left="207"/>
              <w:spacing w:before="65" w:line="228" w:lineRule="auto"/>
              <w:rPr/>
            </w:pPr>
            <w:r>
              <w:rPr>
                <w:spacing w:val="6"/>
              </w:rPr>
              <w:t>现场记录</w:t>
            </w:r>
          </w:p>
        </w:tc>
        <w:tc>
          <w:tcPr>
            <w:tcW w:w="2493" w:type="dxa"/>
            <w:vAlign w:val="top"/>
          </w:tcPr>
          <w:p>
            <w:pPr>
              <w:pStyle w:val="TableText"/>
              <w:ind w:left="1040"/>
              <w:spacing w:before="53" w:line="229" w:lineRule="auto"/>
              <w:rPr/>
            </w:pPr>
            <w:r>
              <w:rPr>
                <w:spacing w:val="5"/>
              </w:rPr>
              <w:t>颜色</w:t>
            </w:r>
          </w:p>
        </w:tc>
        <w:tc>
          <w:tcPr>
            <w:tcW w:w="1767" w:type="dxa"/>
            <w:vAlign w:val="top"/>
          </w:tcPr>
          <w:p>
            <w:pPr>
              <w:pStyle w:val="TableText"/>
              <w:ind w:left="575"/>
              <w:spacing w:before="53" w:line="228" w:lineRule="auto"/>
              <w:rPr/>
            </w:pPr>
            <w:r>
              <w:rPr>
                <w:spacing w:val="7"/>
              </w:rPr>
              <w:t>黄棕色</w:t>
            </w:r>
          </w:p>
        </w:tc>
        <w:tc>
          <w:tcPr>
            <w:tcW w:w="1617" w:type="dxa"/>
            <w:vAlign w:val="top"/>
          </w:tcPr>
          <w:p>
            <w:pPr>
              <w:pStyle w:val="TableText"/>
              <w:ind w:left="500"/>
              <w:spacing w:before="53" w:line="228" w:lineRule="auto"/>
              <w:rPr/>
            </w:pPr>
            <w:r>
              <w:rPr>
                <w:spacing w:val="7"/>
              </w:rPr>
              <w:t>黄棕色</w:t>
            </w:r>
          </w:p>
        </w:tc>
        <w:tc>
          <w:tcPr>
            <w:tcW w:w="1512" w:type="dxa"/>
            <w:vAlign w:val="top"/>
          </w:tcPr>
          <w:p>
            <w:pPr>
              <w:pStyle w:val="TableText"/>
              <w:ind w:left="445"/>
              <w:spacing w:before="53" w:line="228" w:lineRule="auto"/>
              <w:rPr/>
            </w:pPr>
            <w:r>
              <w:rPr>
                <w:spacing w:val="7"/>
              </w:rPr>
              <w:t>黄棕色</w:t>
            </w:r>
          </w:p>
        </w:tc>
      </w:tr>
      <w:tr>
        <w:trPr>
          <w:trHeight w:val="317" w:hRule="atLeast"/>
        </w:trPr>
        <w:tc>
          <w:tcPr>
            <w:tcW w:w="1238" w:type="dxa"/>
            <w:vAlign w:val="top"/>
            <w:vMerge w:val="continue"/>
            <w:tcBorders>
              <w:top w:val="nil"/>
              <w:bottom w:val="nil"/>
            </w:tcBorders>
          </w:tcPr>
          <w:p>
            <w:pPr>
              <w:rPr>
                <w:rFonts w:ascii="Arial"/>
                <w:sz w:val="21"/>
              </w:rPr>
            </w:pPr>
            <w:r/>
          </w:p>
        </w:tc>
        <w:tc>
          <w:tcPr>
            <w:tcW w:w="2493" w:type="dxa"/>
            <w:vAlign w:val="top"/>
          </w:tcPr>
          <w:p>
            <w:pPr>
              <w:pStyle w:val="TableText"/>
              <w:ind w:left="1045"/>
              <w:spacing w:before="53" w:line="228" w:lineRule="auto"/>
              <w:rPr/>
            </w:pPr>
            <w:r>
              <w:rPr>
                <w:spacing w:val="2"/>
              </w:rPr>
              <w:t>结构</w:t>
            </w:r>
          </w:p>
        </w:tc>
        <w:tc>
          <w:tcPr>
            <w:tcW w:w="1767" w:type="dxa"/>
            <w:vAlign w:val="top"/>
          </w:tcPr>
          <w:p>
            <w:pPr>
              <w:pStyle w:val="TableText"/>
              <w:ind w:left="697"/>
              <w:spacing w:before="53" w:line="228" w:lineRule="auto"/>
              <w:rPr/>
            </w:pPr>
            <w:r>
              <w:rPr>
                <w:spacing w:val="-5"/>
              </w:rPr>
              <w:t>团粒</w:t>
            </w:r>
          </w:p>
        </w:tc>
        <w:tc>
          <w:tcPr>
            <w:tcW w:w="1617" w:type="dxa"/>
            <w:vAlign w:val="top"/>
          </w:tcPr>
          <w:p>
            <w:pPr>
              <w:pStyle w:val="TableText"/>
              <w:ind w:left="625"/>
              <w:spacing w:before="53" w:line="228" w:lineRule="auto"/>
              <w:rPr/>
            </w:pPr>
            <w:r>
              <w:rPr>
                <w:spacing w:val="-5"/>
              </w:rPr>
              <w:t>团粒</w:t>
            </w:r>
          </w:p>
        </w:tc>
        <w:tc>
          <w:tcPr>
            <w:tcW w:w="1512" w:type="dxa"/>
            <w:vAlign w:val="top"/>
          </w:tcPr>
          <w:p>
            <w:pPr>
              <w:pStyle w:val="TableText"/>
              <w:ind w:left="570"/>
              <w:spacing w:before="53" w:line="228" w:lineRule="auto"/>
              <w:rPr/>
            </w:pPr>
            <w:r>
              <w:rPr>
                <w:spacing w:val="-5"/>
              </w:rPr>
              <w:t>团粒</w:t>
            </w:r>
          </w:p>
        </w:tc>
      </w:tr>
      <w:tr>
        <w:trPr>
          <w:trHeight w:val="316" w:hRule="atLeast"/>
        </w:trPr>
        <w:tc>
          <w:tcPr>
            <w:tcW w:w="1238" w:type="dxa"/>
            <w:vAlign w:val="top"/>
            <w:vMerge w:val="continue"/>
            <w:tcBorders>
              <w:top w:val="nil"/>
              <w:bottom w:val="nil"/>
            </w:tcBorders>
          </w:tcPr>
          <w:p>
            <w:pPr>
              <w:rPr>
                <w:rFonts w:ascii="Arial"/>
                <w:sz w:val="21"/>
              </w:rPr>
            </w:pPr>
            <w:r/>
          </w:p>
        </w:tc>
        <w:tc>
          <w:tcPr>
            <w:tcW w:w="2493" w:type="dxa"/>
            <w:vAlign w:val="top"/>
          </w:tcPr>
          <w:p>
            <w:pPr>
              <w:pStyle w:val="TableText"/>
              <w:ind w:left="1041"/>
              <w:spacing w:before="53" w:line="228" w:lineRule="auto"/>
              <w:rPr/>
            </w:pPr>
            <w:r>
              <w:rPr>
                <w:spacing w:val="4"/>
              </w:rPr>
              <w:t>质地</w:t>
            </w:r>
          </w:p>
        </w:tc>
        <w:tc>
          <w:tcPr>
            <w:tcW w:w="1767" w:type="dxa"/>
            <w:vAlign w:val="top"/>
          </w:tcPr>
          <w:p>
            <w:pPr>
              <w:pStyle w:val="TableText"/>
              <w:ind w:left="575"/>
              <w:spacing w:before="53" w:line="229" w:lineRule="auto"/>
              <w:rPr/>
            </w:pPr>
            <w:r>
              <w:rPr>
                <w:spacing w:val="7"/>
              </w:rPr>
              <w:t>砂壤土</w:t>
            </w:r>
          </w:p>
        </w:tc>
        <w:tc>
          <w:tcPr>
            <w:tcW w:w="1617" w:type="dxa"/>
            <w:vAlign w:val="top"/>
          </w:tcPr>
          <w:p>
            <w:pPr>
              <w:pStyle w:val="TableText"/>
              <w:ind w:left="500"/>
              <w:spacing w:before="53" w:line="229" w:lineRule="auto"/>
              <w:rPr/>
            </w:pPr>
            <w:r>
              <w:rPr>
                <w:spacing w:val="7"/>
              </w:rPr>
              <w:t>砂壤土</w:t>
            </w:r>
          </w:p>
        </w:tc>
        <w:tc>
          <w:tcPr>
            <w:tcW w:w="1512" w:type="dxa"/>
            <w:vAlign w:val="top"/>
          </w:tcPr>
          <w:p>
            <w:pPr>
              <w:pStyle w:val="TableText"/>
              <w:ind w:left="445"/>
              <w:spacing w:before="53" w:line="229" w:lineRule="auto"/>
              <w:rPr/>
            </w:pPr>
            <w:r>
              <w:rPr>
                <w:spacing w:val="7"/>
              </w:rPr>
              <w:t>砂壤土</w:t>
            </w:r>
          </w:p>
        </w:tc>
      </w:tr>
      <w:tr>
        <w:trPr>
          <w:trHeight w:val="317" w:hRule="atLeast"/>
        </w:trPr>
        <w:tc>
          <w:tcPr>
            <w:tcW w:w="1238" w:type="dxa"/>
            <w:vAlign w:val="top"/>
            <w:vMerge w:val="continue"/>
            <w:tcBorders>
              <w:top w:val="nil"/>
              <w:bottom w:val="nil"/>
            </w:tcBorders>
          </w:tcPr>
          <w:p>
            <w:pPr>
              <w:rPr>
                <w:rFonts w:ascii="Arial"/>
                <w:sz w:val="21"/>
              </w:rPr>
            </w:pPr>
            <w:r/>
          </w:p>
        </w:tc>
        <w:tc>
          <w:tcPr>
            <w:tcW w:w="2493" w:type="dxa"/>
            <w:vAlign w:val="top"/>
          </w:tcPr>
          <w:p>
            <w:pPr>
              <w:pStyle w:val="TableText"/>
              <w:ind w:left="828"/>
              <w:spacing w:before="53" w:line="228" w:lineRule="auto"/>
              <w:rPr/>
            </w:pPr>
            <w:r>
              <w:rPr>
                <w:spacing w:val="7"/>
              </w:rPr>
              <w:t>砂砾含量</w:t>
            </w:r>
          </w:p>
        </w:tc>
        <w:tc>
          <w:tcPr>
            <w:tcW w:w="1767" w:type="dxa"/>
            <w:vAlign w:val="top"/>
          </w:tcPr>
          <w:p>
            <w:pPr>
              <w:pStyle w:val="TableText"/>
              <w:ind w:left="679"/>
              <w:spacing w:before="53" w:line="230" w:lineRule="auto"/>
              <w:rPr/>
            </w:pPr>
            <w:r>
              <w:rPr>
                <w:spacing w:val="4"/>
              </w:rPr>
              <w:t>少量</w:t>
            </w:r>
          </w:p>
        </w:tc>
        <w:tc>
          <w:tcPr>
            <w:tcW w:w="1617" w:type="dxa"/>
            <w:vAlign w:val="top"/>
          </w:tcPr>
          <w:p>
            <w:pPr>
              <w:pStyle w:val="TableText"/>
              <w:ind w:left="607"/>
              <w:spacing w:before="53" w:line="230" w:lineRule="auto"/>
              <w:rPr/>
            </w:pPr>
            <w:r>
              <w:rPr>
                <w:spacing w:val="4"/>
              </w:rPr>
              <w:t>少量</w:t>
            </w:r>
          </w:p>
        </w:tc>
        <w:tc>
          <w:tcPr>
            <w:tcW w:w="1512" w:type="dxa"/>
            <w:vAlign w:val="top"/>
          </w:tcPr>
          <w:p>
            <w:pPr>
              <w:pStyle w:val="TableText"/>
              <w:ind w:left="552"/>
              <w:spacing w:before="53" w:line="230" w:lineRule="auto"/>
              <w:rPr/>
            </w:pPr>
            <w:r>
              <w:rPr>
                <w:spacing w:val="4"/>
              </w:rPr>
              <w:t>少量</w:t>
            </w:r>
          </w:p>
        </w:tc>
      </w:tr>
      <w:tr>
        <w:trPr>
          <w:trHeight w:val="317" w:hRule="atLeast"/>
        </w:trPr>
        <w:tc>
          <w:tcPr>
            <w:tcW w:w="1238" w:type="dxa"/>
            <w:vAlign w:val="top"/>
            <w:vMerge w:val="continue"/>
            <w:tcBorders>
              <w:top w:val="nil"/>
            </w:tcBorders>
          </w:tcPr>
          <w:p>
            <w:pPr>
              <w:rPr>
                <w:rFonts w:ascii="Arial"/>
                <w:sz w:val="21"/>
              </w:rPr>
            </w:pPr>
            <w:r/>
          </w:p>
        </w:tc>
        <w:tc>
          <w:tcPr>
            <w:tcW w:w="2493" w:type="dxa"/>
            <w:vAlign w:val="top"/>
          </w:tcPr>
          <w:p>
            <w:pPr>
              <w:pStyle w:val="TableText"/>
              <w:ind w:left="830"/>
              <w:spacing w:before="52" w:line="228" w:lineRule="auto"/>
              <w:rPr/>
            </w:pPr>
            <w:r>
              <w:rPr>
                <w:spacing w:val="7"/>
              </w:rPr>
              <w:t>其他异物</w:t>
            </w:r>
          </w:p>
        </w:tc>
        <w:tc>
          <w:tcPr>
            <w:tcW w:w="1767" w:type="dxa"/>
            <w:vAlign w:val="top"/>
          </w:tcPr>
          <w:p>
            <w:pPr>
              <w:pStyle w:val="TableText"/>
              <w:ind w:left="786"/>
              <w:spacing w:before="53" w:line="228" w:lineRule="auto"/>
              <w:rPr/>
            </w:pPr>
            <w:r>
              <w:rPr/>
              <w:t>无</w:t>
            </w:r>
          </w:p>
        </w:tc>
        <w:tc>
          <w:tcPr>
            <w:tcW w:w="1617" w:type="dxa"/>
            <w:vAlign w:val="top"/>
          </w:tcPr>
          <w:p>
            <w:pPr>
              <w:pStyle w:val="TableText"/>
              <w:ind w:left="711"/>
              <w:spacing w:before="53" w:line="228" w:lineRule="auto"/>
              <w:rPr/>
            </w:pPr>
            <w:r>
              <w:rPr/>
              <w:t>无</w:t>
            </w:r>
          </w:p>
        </w:tc>
        <w:tc>
          <w:tcPr>
            <w:tcW w:w="1512" w:type="dxa"/>
            <w:vAlign w:val="top"/>
          </w:tcPr>
          <w:p>
            <w:pPr>
              <w:pStyle w:val="TableText"/>
              <w:ind w:left="659"/>
              <w:spacing w:before="53" w:line="228" w:lineRule="auto"/>
              <w:rPr/>
            </w:pPr>
            <w:r>
              <w:rPr/>
              <w:t>无</w:t>
            </w:r>
          </w:p>
        </w:tc>
      </w:tr>
      <w:tr>
        <w:trPr>
          <w:trHeight w:val="317" w:hRule="atLeast"/>
        </w:trPr>
        <w:tc>
          <w:tcPr>
            <w:tcW w:w="1238" w:type="dxa"/>
            <w:vAlign w:val="top"/>
            <w:vMerge w:val="restart"/>
            <w:tcBorders>
              <w:bottom w:val="nil"/>
            </w:tcBorders>
          </w:tcPr>
          <w:p>
            <w:pPr>
              <w:spacing w:line="263" w:lineRule="auto"/>
              <w:rPr>
                <w:rFonts w:ascii="Arial"/>
                <w:sz w:val="21"/>
              </w:rPr>
            </w:pPr>
            <w:r/>
          </w:p>
          <w:p>
            <w:pPr>
              <w:spacing w:line="263" w:lineRule="auto"/>
              <w:rPr>
                <w:rFonts w:ascii="Arial"/>
                <w:sz w:val="21"/>
              </w:rPr>
            </w:pPr>
            <w:r/>
          </w:p>
          <w:p>
            <w:pPr>
              <w:spacing w:line="263" w:lineRule="auto"/>
              <w:rPr>
                <w:rFonts w:ascii="Arial"/>
                <w:sz w:val="21"/>
              </w:rPr>
            </w:pPr>
            <w:r/>
          </w:p>
          <w:p>
            <w:pPr>
              <w:pStyle w:val="TableText"/>
              <w:ind w:left="104"/>
              <w:spacing w:before="65" w:line="228" w:lineRule="auto"/>
              <w:rPr/>
            </w:pPr>
            <w:r>
              <w:rPr>
                <w:spacing w:val="7"/>
              </w:rPr>
              <w:t>实验室测定</w:t>
            </w:r>
          </w:p>
        </w:tc>
        <w:tc>
          <w:tcPr>
            <w:tcW w:w="2493" w:type="dxa"/>
            <w:vAlign w:val="top"/>
          </w:tcPr>
          <w:p>
            <w:pPr>
              <w:pStyle w:val="TableText"/>
              <w:ind w:left="984"/>
              <w:spacing w:before="55" w:line="221" w:lineRule="auto"/>
              <w:rPr/>
            </w:pPr>
            <w:r>
              <w:rPr>
                <w:rFonts w:ascii="Times New Roman" w:hAnsi="Times New Roman" w:eastAsia="Times New Roman" w:cs="Times New Roman"/>
              </w:rPr>
              <w:t>pH</w:t>
            </w:r>
            <w:r>
              <w:rPr>
                <w:rFonts w:ascii="Times New Roman" w:hAnsi="Times New Roman" w:eastAsia="Times New Roman" w:cs="Times New Roman"/>
                <w:spacing w:val="8"/>
              </w:rPr>
              <w:t xml:space="preserve"> </w:t>
            </w:r>
            <w:r>
              <w:rPr>
                <w:spacing w:val="13"/>
              </w:rPr>
              <w:t>值</w:t>
            </w:r>
          </w:p>
        </w:tc>
        <w:tc>
          <w:tcPr>
            <w:tcW w:w="1767" w:type="dxa"/>
            <w:vAlign w:val="top"/>
          </w:tcPr>
          <w:p>
            <w:pPr>
              <w:ind w:left="71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8.35</w:t>
            </w:r>
          </w:p>
        </w:tc>
        <w:tc>
          <w:tcPr>
            <w:tcW w:w="1617" w:type="dxa"/>
            <w:vAlign w:val="top"/>
          </w:tcPr>
          <w:p>
            <w:pPr>
              <w:ind w:left="63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8.16</w:t>
            </w:r>
          </w:p>
        </w:tc>
        <w:tc>
          <w:tcPr>
            <w:tcW w:w="1512" w:type="dxa"/>
            <w:vAlign w:val="top"/>
          </w:tcPr>
          <w:p>
            <w:pPr>
              <w:ind w:left="57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7.95</w:t>
            </w:r>
          </w:p>
        </w:tc>
      </w:tr>
      <w:tr>
        <w:trPr>
          <w:trHeight w:val="317" w:hRule="atLeast"/>
        </w:trPr>
        <w:tc>
          <w:tcPr>
            <w:tcW w:w="1238" w:type="dxa"/>
            <w:vAlign w:val="top"/>
            <w:vMerge w:val="continue"/>
            <w:tcBorders>
              <w:top w:val="nil"/>
              <w:bottom w:val="nil"/>
            </w:tcBorders>
          </w:tcPr>
          <w:p>
            <w:pPr>
              <w:rPr>
                <w:rFonts w:ascii="Arial"/>
                <w:sz w:val="21"/>
              </w:rPr>
            </w:pPr>
            <w:r/>
          </w:p>
        </w:tc>
        <w:tc>
          <w:tcPr>
            <w:tcW w:w="2493" w:type="dxa"/>
            <w:vAlign w:val="top"/>
          </w:tcPr>
          <w:p>
            <w:pPr>
              <w:pStyle w:val="TableText"/>
              <w:ind w:left="82"/>
              <w:spacing w:before="54" w:line="221" w:lineRule="auto"/>
              <w:rPr/>
            </w:pPr>
            <w:r>
              <w:rPr>
                <w:spacing w:val="8"/>
              </w:rPr>
              <w:t>阳离子交换量（</w:t>
            </w:r>
            <w:r>
              <w:rPr>
                <w:rFonts w:ascii="Times New Roman" w:hAnsi="Times New Roman" w:eastAsia="Times New Roman" w:cs="Times New Roman"/>
              </w:rPr>
              <w:t>cmol</w:t>
            </w:r>
            <w:r>
              <w:rPr>
                <w:rFonts w:ascii="Times New Roman" w:hAnsi="Times New Roman" w:eastAsia="Times New Roman" w:cs="Times New Roman"/>
                <w:spacing w:val="8"/>
              </w:rPr>
              <w:t>/</w:t>
            </w:r>
            <w:r>
              <w:rPr>
                <w:rFonts w:ascii="Times New Roman" w:hAnsi="Times New Roman" w:eastAsia="Times New Roman" w:cs="Times New Roman"/>
              </w:rPr>
              <w:t>kg</w:t>
            </w:r>
            <w:r>
              <w:rPr>
                <w:spacing w:val="8"/>
              </w:rPr>
              <w:t>）</w:t>
            </w:r>
          </w:p>
        </w:tc>
        <w:tc>
          <w:tcPr>
            <w:tcW w:w="1767" w:type="dxa"/>
            <w:vAlign w:val="top"/>
          </w:tcPr>
          <w:p>
            <w:pPr>
              <w:ind w:left="72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18.9</w:t>
            </w:r>
          </w:p>
        </w:tc>
        <w:tc>
          <w:tcPr>
            <w:tcW w:w="1617" w:type="dxa"/>
            <w:vAlign w:val="top"/>
          </w:tcPr>
          <w:p>
            <w:pPr>
              <w:ind w:left="62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20.7</w:t>
            </w:r>
          </w:p>
        </w:tc>
        <w:tc>
          <w:tcPr>
            <w:tcW w:w="1512" w:type="dxa"/>
            <w:vAlign w:val="top"/>
          </w:tcPr>
          <w:p>
            <w:pPr>
              <w:ind w:left="57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20.5</w:t>
            </w:r>
          </w:p>
        </w:tc>
      </w:tr>
      <w:tr>
        <w:trPr>
          <w:trHeight w:val="316" w:hRule="atLeast"/>
        </w:trPr>
        <w:tc>
          <w:tcPr>
            <w:tcW w:w="1238" w:type="dxa"/>
            <w:vAlign w:val="top"/>
            <w:vMerge w:val="continue"/>
            <w:tcBorders>
              <w:top w:val="nil"/>
              <w:bottom w:val="nil"/>
            </w:tcBorders>
          </w:tcPr>
          <w:p>
            <w:pPr>
              <w:rPr>
                <w:rFonts w:ascii="Arial"/>
                <w:sz w:val="21"/>
              </w:rPr>
            </w:pPr>
            <w:r/>
          </w:p>
        </w:tc>
        <w:tc>
          <w:tcPr>
            <w:tcW w:w="2493" w:type="dxa"/>
            <w:vAlign w:val="top"/>
          </w:tcPr>
          <w:p>
            <w:pPr>
              <w:pStyle w:val="TableText"/>
              <w:ind w:left="254"/>
              <w:spacing w:before="54" w:line="227" w:lineRule="auto"/>
              <w:rPr/>
            </w:pPr>
            <w:r>
              <w:rPr>
                <w:spacing w:val="9"/>
              </w:rPr>
              <w:t>氧化还原电位（</w:t>
            </w:r>
            <w:r>
              <w:rPr>
                <w:rFonts w:ascii="Times New Roman" w:hAnsi="Times New Roman" w:eastAsia="Times New Roman" w:cs="Times New Roman"/>
              </w:rPr>
              <w:t>mV</w:t>
            </w:r>
            <w:r>
              <w:rPr>
                <w:spacing w:val="9"/>
              </w:rPr>
              <w:t>）</w:t>
            </w:r>
          </w:p>
        </w:tc>
        <w:tc>
          <w:tcPr>
            <w:tcW w:w="1767" w:type="dxa"/>
            <w:vAlign w:val="top"/>
          </w:tcPr>
          <w:p>
            <w:pPr>
              <w:ind w:left="72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430</w:t>
            </w:r>
          </w:p>
        </w:tc>
        <w:tc>
          <w:tcPr>
            <w:tcW w:w="1617" w:type="dxa"/>
            <w:vAlign w:val="top"/>
          </w:tcPr>
          <w:p>
            <w:pPr>
              <w:ind w:left="652"/>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427</w:t>
            </w:r>
          </w:p>
        </w:tc>
        <w:tc>
          <w:tcPr>
            <w:tcW w:w="1512" w:type="dxa"/>
            <w:vAlign w:val="top"/>
          </w:tcPr>
          <w:p>
            <w:pPr>
              <w:ind w:left="59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437</w:t>
            </w:r>
          </w:p>
        </w:tc>
      </w:tr>
      <w:tr>
        <w:trPr>
          <w:trHeight w:val="317" w:hRule="atLeast"/>
        </w:trPr>
        <w:tc>
          <w:tcPr>
            <w:tcW w:w="1238" w:type="dxa"/>
            <w:vAlign w:val="top"/>
            <w:vMerge w:val="continue"/>
            <w:tcBorders>
              <w:top w:val="nil"/>
              <w:bottom w:val="nil"/>
            </w:tcBorders>
          </w:tcPr>
          <w:p>
            <w:pPr>
              <w:rPr>
                <w:rFonts w:ascii="Arial"/>
                <w:sz w:val="21"/>
              </w:rPr>
            </w:pPr>
            <w:r/>
          </w:p>
        </w:tc>
        <w:tc>
          <w:tcPr>
            <w:tcW w:w="2493" w:type="dxa"/>
            <w:vAlign w:val="top"/>
          </w:tcPr>
          <w:p>
            <w:pPr>
              <w:pStyle w:val="TableText"/>
              <w:ind w:left="441"/>
              <w:spacing w:before="55" w:line="221" w:lineRule="auto"/>
              <w:rPr>
                <w:rFonts w:ascii="Times New Roman" w:hAnsi="Times New Roman" w:eastAsia="Times New Roman" w:cs="Times New Roman"/>
              </w:rPr>
            </w:pPr>
            <w:r>
              <w:rPr>
                <w:spacing w:val="11"/>
              </w:rPr>
              <w:t>渗滤率（</w:t>
            </w:r>
            <w:r>
              <w:rPr>
                <w:rFonts w:ascii="Times New Roman" w:hAnsi="Times New Roman" w:eastAsia="Times New Roman" w:cs="Times New Roman"/>
              </w:rPr>
              <w:t>mm</w:t>
            </w:r>
            <w:r>
              <w:rPr>
                <w:rFonts w:ascii="Times New Roman" w:hAnsi="Times New Roman" w:eastAsia="Times New Roman" w:cs="Times New Roman"/>
                <w:spacing w:val="11"/>
              </w:rPr>
              <w:t>/</w:t>
            </w:r>
            <w:r>
              <w:rPr>
                <w:rFonts w:ascii="Times New Roman" w:hAnsi="Times New Roman" w:eastAsia="Times New Roman" w:cs="Times New Roman"/>
              </w:rPr>
              <w:t>min</w:t>
            </w:r>
            <w:r>
              <w:rPr>
                <w:rFonts w:ascii="Times New Roman" w:hAnsi="Times New Roman" w:eastAsia="Times New Roman" w:cs="Times New Roman"/>
                <w:spacing w:val="11"/>
              </w:rPr>
              <w:t>)</w:t>
            </w:r>
          </w:p>
        </w:tc>
        <w:tc>
          <w:tcPr>
            <w:tcW w:w="1767" w:type="dxa"/>
            <w:vAlign w:val="top"/>
          </w:tcPr>
          <w:p>
            <w:pPr>
              <w:ind w:left="72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1.22</w:t>
            </w:r>
          </w:p>
        </w:tc>
        <w:tc>
          <w:tcPr>
            <w:tcW w:w="1617" w:type="dxa"/>
            <w:vAlign w:val="top"/>
          </w:tcPr>
          <w:p>
            <w:pPr>
              <w:ind w:left="64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1.08</w:t>
            </w:r>
          </w:p>
        </w:tc>
        <w:tc>
          <w:tcPr>
            <w:tcW w:w="1512" w:type="dxa"/>
            <w:vAlign w:val="top"/>
          </w:tcPr>
          <w:p>
            <w:pPr>
              <w:ind w:left="59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1.15</w:t>
            </w:r>
          </w:p>
        </w:tc>
      </w:tr>
      <w:tr>
        <w:trPr>
          <w:trHeight w:val="316" w:hRule="atLeast"/>
        </w:trPr>
        <w:tc>
          <w:tcPr>
            <w:tcW w:w="1238" w:type="dxa"/>
            <w:vAlign w:val="top"/>
            <w:vMerge w:val="continue"/>
            <w:tcBorders>
              <w:top w:val="nil"/>
              <w:bottom w:val="nil"/>
            </w:tcBorders>
          </w:tcPr>
          <w:p>
            <w:pPr>
              <w:rPr>
                <w:rFonts w:ascii="Arial"/>
                <w:sz w:val="21"/>
              </w:rPr>
            </w:pPr>
            <w:r/>
          </w:p>
        </w:tc>
        <w:tc>
          <w:tcPr>
            <w:tcW w:w="2493" w:type="dxa"/>
            <w:vAlign w:val="top"/>
          </w:tcPr>
          <w:p>
            <w:pPr>
              <w:pStyle w:val="TableText"/>
              <w:ind w:left="659"/>
              <w:spacing w:before="54" w:line="221" w:lineRule="auto"/>
              <w:rPr>
                <w:rFonts w:ascii="Times New Roman" w:hAnsi="Times New Roman" w:eastAsia="Times New Roman" w:cs="Times New Roman"/>
              </w:rPr>
            </w:pPr>
            <w:r>
              <w:rPr>
                <w:spacing w:val="6"/>
              </w:rPr>
              <w:t>容重（</w:t>
            </w:r>
            <w:r>
              <w:rPr>
                <w:rFonts w:ascii="Times New Roman" w:hAnsi="Times New Roman" w:eastAsia="Times New Roman" w:cs="Times New Roman"/>
                <w:spacing w:val="6"/>
              </w:rPr>
              <w:t>g/</w:t>
            </w:r>
            <w:r>
              <w:rPr>
                <w:rFonts w:ascii="Times New Roman" w:hAnsi="Times New Roman" w:eastAsia="Times New Roman" w:cs="Times New Roman"/>
              </w:rPr>
              <w:t>cm</w:t>
            </w:r>
            <w:r>
              <w:rPr>
                <w:rFonts w:ascii="Times New Roman" w:hAnsi="Times New Roman" w:eastAsia="Times New Roman" w:cs="Times New Roman"/>
                <w:sz w:val="13"/>
                <w:szCs w:val="13"/>
                <w:spacing w:val="6"/>
                <w:position w:val="6"/>
              </w:rPr>
              <w:t>3</w:t>
            </w:r>
            <w:r>
              <w:rPr>
                <w:rFonts w:ascii="Times New Roman" w:hAnsi="Times New Roman" w:eastAsia="Times New Roman" w:cs="Times New Roman"/>
                <w:spacing w:val="6"/>
              </w:rPr>
              <w:t>)</w:t>
            </w:r>
          </w:p>
        </w:tc>
        <w:tc>
          <w:tcPr>
            <w:tcW w:w="1767" w:type="dxa"/>
            <w:vAlign w:val="top"/>
          </w:tcPr>
          <w:p>
            <w:pPr>
              <w:ind w:left="72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8"/>
              </w:rPr>
              <w:t>12</w:t>
            </w:r>
          </w:p>
        </w:tc>
        <w:tc>
          <w:tcPr>
            <w:tcW w:w="1617" w:type="dxa"/>
            <w:vAlign w:val="top"/>
          </w:tcPr>
          <w:p>
            <w:pPr>
              <w:ind w:left="64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1.19</w:t>
            </w:r>
          </w:p>
        </w:tc>
        <w:tc>
          <w:tcPr>
            <w:tcW w:w="1512" w:type="dxa"/>
            <w:vAlign w:val="top"/>
          </w:tcPr>
          <w:p>
            <w:pPr>
              <w:ind w:left="59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1.18</w:t>
            </w:r>
          </w:p>
        </w:tc>
      </w:tr>
      <w:tr>
        <w:trPr>
          <w:trHeight w:val="321" w:hRule="atLeast"/>
        </w:trPr>
        <w:tc>
          <w:tcPr>
            <w:tcW w:w="1238" w:type="dxa"/>
            <w:vAlign w:val="top"/>
            <w:vMerge w:val="continue"/>
            <w:tcBorders>
              <w:top w:val="nil"/>
            </w:tcBorders>
          </w:tcPr>
          <w:p>
            <w:pPr>
              <w:rPr>
                <w:rFonts w:ascii="Arial"/>
                <w:sz w:val="21"/>
              </w:rPr>
            </w:pPr>
            <w:r/>
          </w:p>
        </w:tc>
        <w:tc>
          <w:tcPr>
            <w:tcW w:w="2493" w:type="dxa"/>
            <w:vAlign w:val="top"/>
          </w:tcPr>
          <w:p>
            <w:pPr>
              <w:pStyle w:val="TableText"/>
              <w:ind w:left="540"/>
              <w:spacing w:before="55" w:line="228" w:lineRule="auto"/>
              <w:rPr/>
            </w:pPr>
            <w:r>
              <w:rPr>
                <w:spacing w:val="6"/>
              </w:rPr>
              <w:t>总孔隙度（</w:t>
            </w:r>
            <w:r>
              <w:rPr>
                <w:rFonts w:ascii="Times New Roman" w:hAnsi="Times New Roman" w:eastAsia="Times New Roman" w:cs="Times New Roman"/>
                <w:spacing w:val="6"/>
              </w:rPr>
              <w:t>%</w:t>
            </w:r>
            <w:r>
              <w:rPr>
                <w:spacing w:val="6"/>
              </w:rPr>
              <w:t>）</w:t>
            </w:r>
          </w:p>
        </w:tc>
        <w:tc>
          <w:tcPr>
            <w:tcW w:w="1767" w:type="dxa"/>
            <w:vAlign w:val="top"/>
          </w:tcPr>
          <w:p>
            <w:pPr>
              <w:ind w:left="70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39.0</w:t>
            </w:r>
          </w:p>
        </w:tc>
        <w:tc>
          <w:tcPr>
            <w:tcW w:w="1617" w:type="dxa"/>
            <w:vAlign w:val="top"/>
          </w:tcPr>
          <w:p>
            <w:pPr>
              <w:ind w:left="62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42.0</w:t>
            </w:r>
          </w:p>
        </w:tc>
        <w:tc>
          <w:tcPr>
            <w:tcW w:w="1512" w:type="dxa"/>
            <w:vAlign w:val="top"/>
          </w:tcPr>
          <w:p>
            <w:pPr>
              <w:ind w:left="5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38.7</w:t>
            </w:r>
          </w:p>
        </w:tc>
      </w:tr>
    </w:tbl>
    <w:p>
      <w:pPr>
        <w:ind w:left="69"/>
        <w:spacing w:before="197" w:line="222" w:lineRule="auto"/>
        <w:outlineLvl w:val="2"/>
        <w:rPr>
          <w:rFonts w:ascii="SimHei" w:hAnsi="SimHei" w:eastAsia="SimHei" w:cs="SimHei"/>
          <w:sz w:val="28"/>
          <w:szCs w:val="28"/>
        </w:rPr>
      </w:pPr>
      <w:bookmarkStart w:name="bookmark85" w:id="106"/>
      <w:bookmarkEnd w:id="106"/>
      <w:r>
        <w:rPr>
          <w:rFonts w:ascii="Times New Roman" w:hAnsi="Times New Roman" w:eastAsia="Times New Roman" w:cs="Times New Roman"/>
          <w:sz w:val="28"/>
          <w:szCs w:val="28"/>
          <w:spacing w:val="-1"/>
        </w:rPr>
        <w:t>4.2.5 </w:t>
      </w:r>
      <w:r>
        <w:rPr>
          <w:rFonts w:ascii="SimHei" w:hAnsi="SimHei" w:eastAsia="SimHei" w:cs="SimHei"/>
          <w:sz w:val="28"/>
          <w:szCs w:val="28"/>
          <w:spacing w:val="-1"/>
        </w:rPr>
        <w:t>生态环境现状调查</w:t>
      </w:r>
    </w:p>
    <w:p>
      <w:pPr>
        <w:pStyle w:val="BodyText"/>
        <w:spacing w:line="279" w:lineRule="auto"/>
        <w:rPr/>
      </w:pPr>
      <w:r/>
    </w:p>
    <w:p>
      <w:pPr>
        <w:ind w:left="74" w:right="64" w:firstLine="480"/>
        <w:spacing w:before="78" w:line="360" w:lineRule="auto"/>
        <w:rPr>
          <w:rFonts w:ascii="SimSun" w:hAnsi="SimSun" w:eastAsia="SimSun" w:cs="SimSun"/>
          <w:sz w:val="24"/>
          <w:szCs w:val="24"/>
        </w:rPr>
      </w:pPr>
      <w:r>
        <w:rPr>
          <w:rFonts w:ascii="SimSun" w:hAnsi="SimSun" w:eastAsia="SimSun" w:cs="SimSun"/>
          <w:sz w:val="24"/>
          <w:szCs w:val="24"/>
          <w:spacing w:val="3"/>
        </w:rPr>
        <w:t>本项目位于锡林郭勒盟正镶白旗明安图镇乌宁巴图西街，</w:t>
      </w:r>
      <w:r>
        <w:rPr>
          <w:rFonts w:ascii="SimSun" w:hAnsi="SimSun" w:eastAsia="SimSun" w:cs="SimSun"/>
          <w:sz w:val="24"/>
          <w:szCs w:val="24"/>
          <w:spacing w:val="2"/>
        </w:rPr>
        <w:t>项目区的生态系统</w:t>
      </w:r>
      <w:r>
        <w:rPr>
          <w:rFonts w:ascii="SimSun" w:hAnsi="SimSun" w:eastAsia="SimSun" w:cs="SimSun"/>
          <w:sz w:val="24"/>
          <w:szCs w:val="24"/>
        </w:rPr>
        <w:t xml:space="preserve"> </w:t>
      </w:r>
      <w:r>
        <w:rPr>
          <w:rFonts w:ascii="SimSun" w:hAnsi="SimSun" w:eastAsia="SimSun" w:cs="SimSun"/>
          <w:sz w:val="24"/>
          <w:szCs w:val="24"/>
          <w:spacing w:val="-1"/>
        </w:rPr>
        <w:t>类型以城市生态系统为主。</w:t>
      </w:r>
    </w:p>
    <w:p>
      <w:pPr>
        <w:ind w:left="71"/>
        <w:spacing w:before="75"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4.2.5.1 </w:t>
      </w:r>
      <w:r>
        <w:rPr>
          <w:rFonts w:ascii="SimSun" w:hAnsi="SimSun" w:eastAsia="SimSun" w:cs="SimSun"/>
          <w:sz w:val="24"/>
          <w:szCs w:val="24"/>
          <w:b/>
          <w:bCs/>
          <w:spacing w:val="-2"/>
        </w:rPr>
        <w:t>主体功能区规划</w:t>
      </w:r>
    </w:p>
    <w:p>
      <w:pPr>
        <w:ind w:left="560"/>
        <w:spacing w:before="261" w:line="219" w:lineRule="auto"/>
        <w:rPr>
          <w:rFonts w:ascii="SimSun" w:hAnsi="SimSun" w:eastAsia="SimSun" w:cs="SimSun"/>
          <w:sz w:val="24"/>
          <w:szCs w:val="24"/>
        </w:rPr>
      </w:pPr>
      <w:r>
        <w:rPr>
          <w:rFonts w:ascii="SimSun" w:hAnsi="SimSun" w:eastAsia="SimSun" w:cs="SimSun"/>
          <w:sz w:val="24"/>
          <w:szCs w:val="24"/>
          <w:spacing w:val="-1"/>
        </w:rPr>
        <w:t>《内蒙古自治区主体功能区规划》将全区国土空间划分为以下主体功能区：</w:t>
      </w:r>
    </w:p>
    <w:p>
      <w:pPr>
        <w:spacing w:before="217" w:line="219" w:lineRule="auto"/>
        <w:jc w:val="right"/>
        <w:rPr>
          <w:rFonts w:ascii="SimSun" w:hAnsi="SimSun" w:eastAsia="SimSun" w:cs="SimSun"/>
          <w:sz w:val="24"/>
          <w:szCs w:val="24"/>
        </w:rPr>
      </w:pPr>
      <w:r>
        <w:rPr>
          <w:rFonts w:ascii="SimSun" w:hAnsi="SimSun" w:eastAsia="SimSun" w:cs="SimSun"/>
          <w:sz w:val="24"/>
          <w:szCs w:val="24"/>
          <w:spacing w:val="-2"/>
        </w:rPr>
        <w:t>按开发方式，划分为重点开发区域、限制开发</w:t>
      </w:r>
      <w:r>
        <w:rPr>
          <w:rFonts w:ascii="SimSun" w:hAnsi="SimSun" w:eastAsia="SimSun" w:cs="SimSun"/>
          <w:sz w:val="24"/>
          <w:szCs w:val="24"/>
          <w:spacing w:val="-3"/>
        </w:rPr>
        <w:t>区域和禁止开发区域；按开发内容，</w:t>
      </w:r>
    </w:p>
    <w:p>
      <w:pPr>
        <w:spacing w:line="219" w:lineRule="auto"/>
        <w:sectPr>
          <w:headerReference w:type="default" r:id="rId155"/>
          <w:footerReference w:type="default" r:id="rId156"/>
          <w:pgSz w:w="11906" w:h="16839"/>
          <w:pgMar w:top="1567" w:right="1637" w:bottom="1482" w:left="1636" w:header="1221" w:footer="1248" w:gutter="0"/>
        </w:sectPr>
        <w:rPr>
          <w:rFonts w:ascii="SimSun" w:hAnsi="SimSun" w:eastAsia="SimSun" w:cs="SimSun"/>
          <w:sz w:val="24"/>
          <w:szCs w:val="24"/>
        </w:rPr>
      </w:pPr>
    </w:p>
    <w:p>
      <w:pPr>
        <w:pStyle w:val="BodyText"/>
        <w:spacing w:line="247" w:lineRule="auto"/>
        <w:rPr/>
      </w:pPr>
      <w:r>
        <w:pict>
          <v:shape id="_x0000_s672" style="position:absolute;margin-left:0pt;margin-top:0.469971pt;mso-position-vertical-relative:text;mso-position-horizontal-relative:text;width:425.25pt;height:0.75pt;z-index:251964416;" fillcolor="#000000" filled="true" stroked="false" coordsize="8505,15" coordorigin="0,0" path="m,l8504,0l8504,14l0,14l0,0xe"/>
        </w:pict>
      </w:r>
      <w:r/>
    </w:p>
    <w:p>
      <w:pPr>
        <w:ind w:left="48" w:right="183" w:hanging="40"/>
        <w:spacing w:before="78" w:line="385" w:lineRule="auto"/>
        <w:rPr>
          <w:rFonts w:ascii="SimSun" w:hAnsi="SimSun" w:eastAsia="SimSun" w:cs="SimSun"/>
          <w:sz w:val="24"/>
          <w:szCs w:val="24"/>
        </w:rPr>
      </w:pPr>
      <w:r>
        <w:rPr>
          <w:rFonts w:ascii="SimSun" w:hAnsi="SimSun" w:eastAsia="SimSun" w:cs="SimSun"/>
          <w:sz w:val="24"/>
          <w:szCs w:val="24"/>
        </w:rPr>
        <w:t>划分为城市化地区、农产品主产区和重点生态功能区；按</w:t>
      </w:r>
      <w:r>
        <w:rPr>
          <w:rFonts w:ascii="SimSun" w:hAnsi="SimSun" w:eastAsia="SimSun" w:cs="SimSun"/>
          <w:sz w:val="24"/>
          <w:szCs w:val="24"/>
          <w:spacing w:val="-1"/>
        </w:rPr>
        <w:t>层次，划分为国家级和</w:t>
      </w:r>
      <w:r>
        <w:rPr>
          <w:rFonts w:ascii="SimSun" w:hAnsi="SimSun" w:eastAsia="SimSun" w:cs="SimSun"/>
          <w:sz w:val="24"/>
          <w:szCs w:val="24"/>
        </w:rPr>
        <w:t xml:space="preserve"> </w:t>
      </w:r>
      <w:r>
        <w:rPr>
          <w:rFonts w:ascii="SimSun" w:hAnsi="SimSun" w:eastAsia="SimSun" w:cs="SimSun"/>
          <w:sz w:val="24"/>
          <w:szCs w:val="24"/>
          <w:spacing w:val="-6"/>
        </w:rPr>
        <w:t>自治区级两个层面。</w:t>
      </w:r>
    </w:p>
    <w:p>
      <w:pPr>
        <w:ind w:left="27" w:right="183" w:firstLine="463"/>
        <w:spacing w:before="2" w:line="384" w:lineRule="auto"/>
        <w:rPr>
          <w:rFonts w:ascii="SimSun" w:hAnsi="SimSun" w:eastAsia="SimSun" w:cs="SimSun"/>
          <w:sz w:val="24"/>
          <w:szCs w:val="24"/>
        </w:rPr>
      </w:pPr>
      <w:r>
        <w:rPr>
          <w:rFonts w:ascii="SimSun" w:hAnsi="SimSun" w:eastAsia="SimSun" w:cs="SimSun"/>
          <w:sz w:val="24"/>
          <w:szCs w:val="24"/>
        </w:rPr>
        <w:t>本项目本项目位于内蒙古自治区锡林郭勒盟正镶</w:t>
      </w:r>
      <w:r>
        <w:rPr>
          <w:rFonts w:ascii="SimSun" w:hAnsi="SimSun" w:eastAsia="SimSun" w:cs="SimSun"/>
          <w:sz w:val="24"/>
          <w:szCs w:val="24"/>
          <w:spacing w:val="-1"/>
        </w:rPr>
        <w:t>白旗，该区域属于限制开发</w:t>
      </w:r>
      <w:r>
        <w:rPr>
          <w:rFonts w:ascii="SimSun" w:hAnsi="SimSun" w:eastAsia="SimSun" w:cs="SimSun"/>
          <w:sz w:val="24"/>
          <w:szCs w:val="24"/>
        </w:rPr>
        <w:t xml:space="preserve"> </w:t>
      </w:r>
      <w:r>
        <w:rPr>
          <w:rFonts w:ascii="SimSun" w:hAnsi="SimSun" w:eastAsia="SimSun" w:cs="SimSun"/>
          <w:sz w:val="24"/>
          <w:szCs w:val="24"/>
          <w:spacing w:val="-14"/>
        </w:rPr>
        <w:t>区。</w:t>
      </w:r>
    </w:p>
    <w:p>
      <w:pPr>
        <w:ind w:left="9" w:firstLine="480"/>
        <w:spacing w:before="1" w:line="385" w:lineRule="auto"/>
        <w:jc w:val="both"/>
        <w:rPr>
          <w:rFonts w:ascii="SimSun" w:hAnsi="SimSun" w:eastAsia="SimSun" w:cs="SimSun"/>
          <w:sz w:val="24"/>
          <w:szCs w:val="24"/>
        </w:rPr>
      </w:pPr>
      <w:r>
        <w:drawing>
          <wp:anchor distT="0" distB="0" distL="0" distR="0" simplePos="0" relativeHeight="251963392" behindDoc="1" locked="0" layoutInCell="1" allowOverlap="1">
            <wp:simplePos x="0" y="0"/>
            <wp:positionH relativeFrom="column">
              <wp:posOffset>380</wp:posOffset>
            </wp:positionH>
            <wp:positionV relativeFrom="paragraph">
              <wp:posOffset>829230</wp:posOffset>
            </wp:positionV>
            <wp:extent cx="5398007" cy="2828543"/>
            <wp:effectExtent l="0" t="0" r="0" b="0"/>
            <wp:wrapNone/>
            <wp:docPr id="84" name="IM 84"/>
            <wp:cNvGraphicFramePr/>
            <a:graphic>
              <a:graphicData uri="http://schemas.openxmlformats.org/drawingml/2006/picture">
                <pic:pic>
                  <pic:nvPicPr>
                    <pic:cNvPr id="84" name="IM 84"/>
                    <pic:cNvPicPr/>
                  </pic:nvPicPr>
                  <pic:blipFill>
                    <a:blip r:embed="rId159"/>
                    <a:stretch>
                      <a:fillRect/>
                    </a:stretch>
                  </pic:blipFill>
                  <pic:spPr>
                    <a:xfrm rot="0">
                      <a:off x="0" y="0"/>
                      <a:ext cx="5398007" cy="2828543"/>
                    </a:xfrm>
                    <a:prstGeom prst="rect">
                      <a:avLst/>
                    </a:prstGeom>
                  </pic:spPr>
                </pic:pic>
              </a:graphicData>
            </a:graphic>
          </wp:anchor>
        </w:drawing>
      </w:r>
      <w:r>
        <w:rPr>
          <w:rFonts w:ascii="SimSun" w:hAnsi="SimSun" w:eastAsia="SimSun" w:cs="SimSun"/>
          <w:sz w:val="24"/>
          <w:szCs w:val="24"/>
        </w:rPr>
        <w:t>本项目符合国家产业指导目录布局产业。项目施</w:t>
      </w:r>
      <w:r>
        <w:rPr>
          <w:rFonts w:ascii="SimSun" w:hAnsi="SimSun" w:eastAsia="SimSun" w:cs="SimSun"/>
          <w:sz w:val="24"/>
          <w:szCs w:val="24"/>
          <w:spacing w:val="-1"/>
        </w:rPr>
        <w:t>工期虽然存在对拟建地生态</w:t>
      </w:r>
      <w:r>
        <w:rPr>
          <w:rFonts w:ascii="SimSun" w:hAnsi="SimSun" w:eastAsia="SimSun" w:cs="SimSun"/>
          <w:sz w:val="24"/>
          <w:szCs w:val="24"/>
        </w:rPr>
        <w:t xml:space="preserve">  </w:t>
      </w:r>
      <w:r>
        <w:rPr>
          <w:rFonts w:ascii="SimSun" w:hAnsi="SimSun" w:eastAsia="SimSun" w:cs="SimSun"/>
          <w:sz w:val="24"/>
          <w:szCs w:val="24"/>
          <w:spacing w:val="-2"/>
        </w:rPr>
        <w:t>环境的暂时影响，但从远期发展看，项目建设对优化结构、提高效益、降低消耗、</w:t>
      </w:r>
      <w:r>
        <w:rPr>
          <w:rFonts w:ascii="SimSun" w:hAnsi="SimSun" w:eastAsia="SimSun" w:cs="SimSun"/>
          <w:sz w:val="24"/>
          <w:szCs w:val="24"/>
          <w:spacing w:val="5"/>
        </w:rPr>
        <w:t xml:space="preserve"> </w:t>
      </w:r>
      <w:r>
        <w:rPr>
          <w:rFonts w:ascii="SimSun" w:hAnsi="SimSun" w:eastAsia="SimSun" w:cs="SimSun"/>
          <w:sz w:val="24"/>
          <w:szCs w:val="24"/>
          <w:spacing w:val="-1"/>
        </w:rPr>
        <w:t>保护环境是有利的，因此项目建设与自治区主体功能区规划相符。</w:t>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7" w:lineRule="auto"/>
        <w:rPr/>
      </w:pPr>
      <w:r/>
    </w:p>
    <w:p>
      <w:pPr>
        <w:ind w:firstLine="4111"/>
        <w:spacing w:line="1141" w:lineRule="exact"/>
        <w:rPr/>
      </w:pPr>
      <w:r>
        <w:rPr>
          <w:position w:val="-22"/>
        </w:rPr>
        <w:pict>
          <v:group id="_x0000_s674" style="mso-position-vertical-relative:line;mso-position-horizontal-relative:char;width:67.1pt;height:57.05pt;" filled="false" stroked="false" coordsize="1341,1140" coordorigin="0,0">
            <v:shape id="_x0000_s676" style="position:absolute;left:0;top:0;width:1341;height:1140;" filled="false" stroked="false" type="#_x0000_t75">
              <v:imagedata o:title="" r:id="rId160"/>
            </v:shape>
            <v:shape id="_x0000_s678" style="position:absolute;left:-20;top:-20;width:1381;height:1180;" filled="false" stroked="false" type="#_x0000_t202">
              <v:fill on="false"/>
              <v:stroke on="false"/>
              <v:path/>
              <v:imagedata o:title=""/>
              <o:lock v:ext="edit" aspectratio="false"/>
              <v:textbox inset="0mm,0mm,0mm,0mm">
                <w:txbxContent>
                  <w:p>
                    <w:pPr>
                      <w:ind w:left="218"/>
                      <w:spacing w:before="170" w:line="219" w:lineRule="auto"/>
                      <w:rPr>
                        <w:rFonts w:ascii="SimSun" w:hAnsi="SimSun" w:eastAsia="SimSun" w:cs="SimSun"/>
                        <w:sz w:val="24"/>
                        <w:szCs w:val="24"/>
                      </w:rPr>
                    </w:pPr>
                    <w:r>
                      <w:rPr>
                        <w:rFonts w:ascii="SimSun" w:hAnsi="SimSun" w:eastAsia="SimSun" w:cs="SimSun"/>
                        <w:sz w:val="24"/>
                        <w:szCs w:val="24"/>
                        <w:spacing w:val="-4"/>
                      </w:rPr>
                      <w:t>本项目</w:t>
                    </w:r>
                  </w:p>
                </w:txbxContent>
              </v:textbox>
            </v:shape>
          </v:group>
        </w:pict>
      </w:r>
    </w:p>
    <w:p>
      <w:pPr>
        <w:pStyle w:val="BodyText"/>
        <w:spacing w:line="257" w:lineRule="auto"/>
        <w:rPr/>
      </w:pPr>
      <w:r/>
    </w:p>
    <w:p>
      <w:pPr>
        <w:pStyle w:val="BodyText"/>
        <w:spacing w:line="257" w:lineRule="auto"/>
        <w:rPr/>
      </w:pPr>
      <w:r/>
    </w:p>
    <w:p>
      <w:pPr>
        <w:pStyle w:val="BodyText"/>
        <w:spacing w:line="257" w:lineRule="auto"/>
        <w:rPr/>
      </w:pPr>
      <w:r/>
    </w:p>
    <w:p>
      <w:pPr>
        <w:pStyle w:val="BodyText"/>
        <w:spacing w:line="257" w:lineRule="auto"/>
        <w:rPr/>
      </w:pPr>
      <w:r/>
    </w:p>
    <w:p>
      <w:pPr>
        <w:pStyle w:val="BodyText"/>
        <w:spacing w:line="258" w:lineRule="auto"/>
        <w:rPr/>
      </w:pPr>
      <w:r/>
    </w:p>
    <w:p>
      <w:pPr>
        <w:pStyle w:val="BodyText"/>
        <w:spacing w:line="258" w:lineRule="auto"/>
        <w:rPr/>
      </w:pPr>
      <w:r/>
    </w:p>
    <w:p>
      <w:pPr>
        <w:ind w:left="2018"/>
        <w:spacing w:before="78" w:line="219" w:lineRule="auto"/>
        <w:rPr>
          <w:rFonts w:ascii="SimSun" w:hAnsi="SimSun" w:eastAsia="SimSun" w:cs="SimSun"/>
          <w:sz w:val="24"/>
          <w:szCs w:val="24"/>
        </w:rPr>
      </w:pPr>
      <w:r>
        <w:rPr>
          <w:rFonts w:ascii="SimSun" w:hAnsi="SimSun" w:eastAsia="SimSun" w:cs="SimSun"/>
          <w:sz w:val="24"/>
          <w:szCs w:val="24"/>
          <w:b/>
          <w:bCs/>
          <w:spacing w:val="-6"/>
        </w:rPr>
        <w:t>图</w:t>
      </w:r>
      <w:r>
        <w:rPr>
          <w:rFonts w:ascii="SimSun" w:hAnsi="SimSun" w:eastAsia="SimSun" w:cs="SimSun"/>
          <w:sz w:val="24"/>
          <w:szCs w:val="24"/>
          <w:spacing w:val="-39"/>
        </w:rPr>
        <w:t xml:space="preserve"> </w:t>
      </w:r>
      <w:r>
        <w:rPr>
          <w:rFonts w:ascii="Times New Roman" w:hAnsi="Times New Roman" w:eastAsia="Times New Roman" w:cs="Times New Roman"/>
          <w:sz w:val="24"/>
          <w:szCs w:val="24"/>
          <w:b/>
          <w:bCs/>
          <w:spacing w:val="-6"/>
        </w:rPr>
        <w:t>4.2-6</w:t>
      </w:r>
      <w:r>
        <w:rPr>
          <w:rFonts w:ascii="Times New Roman" w:hAnsi="Times New Roman" w:eastAsia="Times New Roman" w:cs="Times New Roman"/>
          <w:sz w:val="24"/>
          <w:szCs w:val="24"/>
          <w:b/>
          <w:bCs/>
          <w:spacing w:val="6"/>
        </w:rPr>
        <w:t xml:space="preserve">      </w:t>
      </w:r>
      <w:r>
        <w:rPr>
          <w:rFonts w:ascii="SimSun" w:hAnsi="SimSun" w:eastAsia="SimSun" w:cs="SimSun"/>
          <w:sz w:val="24"/>
          <w:szCs w:val="24"/>
          <w:b/>
          <w:bCs/>
          <w:spacing w:val="-6"/>
        </w:rPr>
        <w:t>内蒙古自治区主体功能区规划图</w:t>
      </w:r>
    </w:p>
    <w:p>
      <w:pPr>
        <w:ind w:left="6"/>
        <w:spacing w:before="182" w:line="221"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4.2.5.2 </w:t>
      </w:r>
      <w:r>
        <w:rPr>
          <w:rFonts w:ascii="SimSun" w:hAnsi="SimSun" w:eastAsia="SimSun" w:cs="SimSun"/>
          <w:sz w:val="24"/>
          <w:szCs w:val="24"/>
          <w:b/>
          <w:bCs/>
          <w:spacing w:val="-2"/>
        </w:rPr>
        <w:t>生态功能区划</w:t>
      </w:r>
    </w:p>
    <w:p>
      <w:pPr>
        <w:ind w:left="489"/>
        <w:spacing w:before="262" w:line="219" w:lineRule="auto"/>
        <w:rPr>
          <w:rFonts w:ascii="SimSun" w:hAnsi="SimSun" w:eastAsia="SimSun" w:cs="SimSun"/>
          <w:sz w:val="24"/>
          <w:szCs w:val="24"/>
        </w:rPr>
      </w:pPr>
      <w:r>
        <w:rPr>
          <w:rFonts w:ascii="SimSun" w:hAnsi="SimSun" w:eastAsia="SimSun" w:cs="SimSun"/>
          <w:sz w:val="24"/>
          <w:szCs w:val="24"/>
        </w:rPr>
        <w:t>根据《内蒙古自治区生态功能区划》，本项目位于</w:t>
      </w:r>
      <w:r>
        <w:rPr>
          <w:rFonts w:ascii="SimSun" w:hAnsi="SimSun" w:eastAsia="SimSun" w:cs="SimSun"/>
          <w:sz w:val="24"/>
          <w:szCs w:val="24"/>
          <w:spacing w:val="-1"/>
        </w:rPr>
        <w:t>国家级重点生态功能区。</w:t>
      </w:r>
    </w:p>
    <w:p>
      <w:pPr>
        <w:spacing w:line="219" w:lineRule="auto"/>
        <w:sectPr>
          <w:headerReference w:type="default" r:id="rId157"/>
          <w:footerReference w:type="default" r:id="rId158"/>
          <w:pgSz w:w="11906" w:h="16839"/>
          <w:pgMar w:top="1567" w:right="1620" w:bottom="1811" w:left="1701" w:header="1221" w:footer="1128" w:gutter="0"/>
        </w:sectPr>
        <w:rPr>
          <w:rFonts w:ascii="SimSun" w:hAnsi="SimSun" w:eastAsia="SimSun" w:cs="SimSun"/>
          <w:sz w:val="24"/>
          <w:szCs w:val="24"/>
        </w:rPr>
      </w:pPr>
    </w:p>
    <w:p>
      <w:pPr>
        <w:pStyle w:val="BodyText"/>
        <w:rPr/>
      </w:pPr>
      <w:r>
        <w:pict>
          <v:shape id="_x0000_s682" style="position:absolute;margin-left:0pt;margin-top:0.719971pt;mso-position-vertical-relative:text;mso-position-horizontal-relative:text;width:425.25pt;height:0.75pt;z-index:251967488;" fillcolor="#000000" filled="true" stroked="false" coordsize="8505,15" coordorigin="0,0" path="m,l8504,0l8504,14l0,14l0,0xe"/>
        </w:pict>
      </w:r>
      <w:r>
        <w:drawing>
          <wp:anchor distT="0" distB="0" distL="0" distR="0" simplePos="0" relativeHeight="251966464" behindDoc="1" locked="0" layoutInCell="1" allowOverlap="1">
            <wp:simplePos x="0" y="0"/>
            <wp:positionH relativeFrom="column">
              <wp:posOffset>380</wp:posOffset>
            </wp:positionH>
            <wp:positionV relativeFrom="paragraph">
              <wp:posOffset>95629</wp:posOffset>
            </wp:positionV>
            <wp:extent cx="5394959" cy="2926080"/>
            <wp:effectExtent l="0" t="0" r="0" b="0"/>
            <wp:wrapNone/>
            <wp:docPr id="86" name="IM 86"/>
            <wp:cNvGraphicFramePr/>
            <a:graphic>
              <a:graphicData uri="http://schemas.openxmlformats.org/drawingml/2006/picture">
                <pic:pic>
                  <pic:nvPicPr>
                    <pic:cNvPr id="86" name="IM 86"/>
                    <pic:cNvPicPr/>
                  </pic:nvPicPr>
                  <pic:blipFill>
                    <a:blip r:embed="rId163"/>
                    <a:stretch>
                      <a:fillRect/>
                    </a:stretch>
                  </pic:blipFill>
                  <pic:spPr>
                    <a:xfrm rot="0">
                      <a:off x="0" y="0"/>
                      <a:ext cx="5394959" cy="2926080"/>
                    </a:xfrm>
                    <a:prstGeom prst="rect">
                      <a:avLst/>
                    </a:prstGeom>
                  </pic:spPr>
                </pic:pic>
              </a:graphicData>
            </a:graphic>
          </wp:anchor>
        </w:drawing>
      </w:r>
      <w:r/>
    </w:p>
    <w:p>
      <w:pPr>
        <w:pStyle w:val="BodyText"/>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ind w:firstLine="4098"/>
        <w:spacing w:line="1141" w:lineRule="exact"/>
        <w:rPr/>
      </w:pPr>
      <w:r>
        <w:rPr>
          <w:position w:val="-22"/>
        </w:rPr>
        <w:pict>
          <v:group id="_x0000_s684" style="mso-position-vertical-relative:line;mso-position-horizontal-relative:char;width:67.1pt;height:57.05pt;" filled="false" stroked="false" coordsize="1341,1140" coordorigin="0,0">
            <v:shape id="_x0000_s686" style="position:absolute;left:0;top:0;width:1341;height:1140;" filled="false" stroked="false" type="#_x0000_t75">
              <v:imagedata o:title="" r:id="rId164"/>
            </v:shape>
            <v:shape id="_x0000_s688" style="position:absolute;left:-20;top:-20;width:1381;height:1180;" filled="false" stroked="false" type="#_x0000_t202">
              <v:fill on="false"/>
              <v:stroke on="false"/>
              <v:path/>
              <v:imagedata o:title=""/>
              <o:lock v:ext="edit" aspectratio="false"/>
              <v:textbox inset="0mm,0mm,0mm,0mm">
                <w:txbxContent>
                  <w:p>
                    <w:pPr>
                      <w:ind w:left="218"/>
                      <w:spacing w:before="171" w:line="219" w:lineRule="auto"/>
                      <w:rPr>
                        <w:rFonts w:ascii="SimSun" w:hAnsi="SimSun" w:eastAsia="SimSun" w:cs="SimSun"/>
                        <w:sz w:val="24"/>
                        <w:szCs w:val="24"/>
                      </w:rPr>
                    </w:pPr>
                    <w:r>
                      <w:rPr>
                        <w:rFonts w:ascii="SimSun" w:hAnsi="SimSun" w:eastAsia="SimSun" w:cs="SimSun"/>
                        <w:sz w:val="24"/>
                        <w:szCs w:val="24"/>
                        <w:spacing w:val="-4"/>
                      </w:rPr>
                      <w:t>本项目</w:t>
                    </w:r>
                  </w:p>
                </w:txbxContent>
              </v:textbox>
            </v:shape>
          </v:group>
        </w:pict>
      </w:r>
    </w:p>
    <w:p>
      <w:pPr>
        <w:pStyle w:val="BodyText"/>
        <w:spacing w:line="266" w:lineRule="auto"/>
        <w:rPr/>
      </w:pPr>
      <w:r/>
    </w:p>
    <w:p>
      <w:pPr>
        <w:pStyle w:val="BodyText"/>
        <w:spacing w:line="266" w:lineRule="auto"/>
        <w:rPr/>
      </w:pPr>
      <w:r/>
    </w:p>
    <w:p>
      <w:pPr>
        <w:pStyle w:val="BodyText"/>
        <w:spacing w:line="266" w:lineRule="auto"/>
        <w:rPr/>
      </w:pPr>
      <w:r/>
    </w:p>
    <w:p>
      <w:pPr>
        <w:pStyle w:val="BodyText"/>
        <w:spacing w:line="267" w:lineRule="auto"/>
        <w:rPr/>
      </w:pPr>
      <w:r/>
    </w:p>
    <w:p>
      <w:pPr>
        <w:pStyle w:val="BodyText"/>
        <w:spacing w:line="267" w:lineRule="auto"/>
        <w:rPr/>
      </w:pPr>
      <w:r/>
    </w:p>
    <w:p>
      <w:pPr>
        <w:pStyle w:val="BodyText"/>
        <w:spacing w:line="267" w:lineRule="auto"/>
        <w:rPr/>
      </w:pPr>
      <w:r/>
    </w:p>
    <w:p>
      <w:pPr>
        <w:ind w:left="813"/>
        <w:spacing w:before="78" w:line="219" w:lineRule="auto"/>
        <w:rPr>
          <w:rFonts w:ascii="SimSun" w:hAnsi="SimSun" w:eastAsia="SimSun" w:cs="SimSun"/>
          <w:sz w:val="24"/>
          <w:szCs w:val="24"/>
        </w:rPr>
      </w:pPr>
      <w:r>
        <w:rPr>
          <w:rFonts w:ascii="SimSun" w:hAnsi="SimSun" w:eastAsia="SimSun" w:cs="SimSun"/>
          <w:sz w:val="24"/>
          <w:szCs w:val="24"/>
          <w:b/>
          <w:bCs/>
          <w:spacing w:val="-2"/>
        </w:rPr>
        <w:t>图</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2"/>
        </w:rPr>
        <w:t>4.2-7      </w:t>
      </w:r>
      <w:r>
        <w:rPr>
          <w:rFonts w:ascii="SimSun" w:hAnsi="SimSun" w:eastAsia="SimSun" w:cs="SimSun"/>
          <w:sz w:val="24"/>
          <w:szCs w:val="24"/>
          <w:b/>
          <w:bCs/>
          <w:spacing w:val="-2"/>
        </w:rPr>
        <w:t>内蒙古自治区限制开发区域（</w:t>
      </w:r>
      <w:r>
        <w:rPr>
          <w:rFonts w:ascii="SimSun" w:hAnsi="SimSun" w:eastAsia="SimSun" w:cs="SimSun"/>
          <w:sz w:val="24"/>
          <w:szCs w:val="24"/>
          <w:b/>
          <w:bCs/>
          <w:spacing w:val="-3"/>
        </w:rPr>
        <w:t>重点生态功能区）分布图</w:t>
      </w:r>
    </w:p>
    <w:p>
      <w:pPr>
        <w:ind w:left="8" w:firstLine="480"/>
        <w:spacing w:before="266" w:line="385" w:lineRule="auto"/>
        <w:jc w:val="both"/>
        <w:rPr>
          <w:rFonts w:ascii="SimSun" w:hAnsi="SimSun" w:eastAsia="SimSun" w:cs="SimSun"/>
          <w:sz w:val="24"/>
          <w:szCs w:val="24"/>
        </w:rPr>
      </w:pPr>
      <w:r>
        <w:rPr>
          <w:rFonts w:ascii="SimSun" w:hAnsi="SimSun" w:eastAsia="SimSun" w:cs="SimSun"/>
          <w:sz w:val="24"/>
          <w:szCs w:val="24"/>
          <w:spacing w:val="-3"/>
        </w:rPr>
        <w:t>根据《内蒙古自治区生态功能区划》，项目所</w:t>
      </w:r>
      <w:r>
        <w:rPr>
          <w:rFonts w:ascii="SimSun" w:hAnsi="SimSun" w:eastAsia="SimSun" w:cs="SimSun"/>
          <w:sz w:val="24"/>
          <w:szCs w:val="24"/>
          <w:spacing w:val="-4"/>
        </w:rPr>
        <w:t>在区域属于“Ⅲ</w:t>
      </w:r>
      <w:r>
        <w:rPr>
          <w:rFonts w:ascii="Times New Roman" w:hAnsi="Times New Roman" w:eastAsia="Times New Roman" w:cs="Times New Roman"/>
          <w:sz w:val="24"/>
          <w:szCs w:val="24"/>
          <w:spacing w:val="-4"/>
        </w:rPr>
        <w:t>-3-5 </w:t>
      </w:r>
      <w:r>
        <w:rPr>
          <w:rFonts w:ascii="SimSun" w:hAnsi="SimSun" w:eastAsia="SimSun" w:cs="SimSun"/>
          <w:sz w:val="24"/>
          <w:szCs w:val="24"/>
          <w:spacing w:val="-4"/>
        </w:rPr>
        <w:t>乌兰察布典</w:t>
      </w:r>
      <w:r>
        <w:rPr>
          <w:rFonts w:ascii="SimSun" w:hAnsi="SimSun" w:eastAsia="SimSun" w:cs="SimSun"/>
          <w:sz w:val="24"/>
          <w:szCs w:val="24"/>
        </w:rPr>
        <w:t xml:space="preserve"> </w:t>
      </w:r>
      <w:r>
        <w:rPr>
          <w:rFonts w:ascii="SimSun" w:hAnsi="SimSun" w:eastAsia="SimSun" w:cs="SimSun"/>
          <w:sz w:val="24"/>
          <w:szCs w:val="24"/>
          <w:spacing w:val="2"/>
        </w:rPr>
        <w:t>型草原防风固沙生态功能区</w:t>
      </w:r>
      <w:r>
        <w:rPr>
          <w:rFonts w:ascii="SimSun" w:hAnsi="SimSun" w:eastAsia="SimSun" w:cs="SimSun"/>
          <w:sz w:val="24"/>
          <w:szCs w:val="24"/>
          <w:spacing w:val="-86"/>
        </w:rPr>
        <w:t xml:space="preserve"> </w:t>
      </w:r>
      <w:r>
        <w:rPr>
          <w:rFonts w:ascii="SimSun" w:hAnsi="SimSun" w:eastAsia="SimSun" w:cs="SimSun"/>
          <w:sz w:val="24"/>
          <w:szCs w:val="24"/>
          <w:spacing w:val="2"/>
        </w:rPr>
        <w:t>”。该区存在主要生态环境</w:t>
      </w:r>
      <w:r>
        <w:rPr>
          <w:rFonts w:ascii="SimSun" w:hAnsi="SimSun" w:eastAsia="SimSun" w:cs="SimSun"/>
          <w:sz w:val="24"/>
          <w:szCs w:val="24"/>
          <w:spacing w:val="1"/>
        </w:rPr>
        <w:t>问题是由于荒漠草原生态</w:t>
      </w:r>
      <w:r>
        <w:rPr>
          <w:rFonts w:ascii="SimSun" w:hAnsi="SimSun" w:eastAsia="SimSun" w:cs="SimSun"/>
          <w:sz w:val="24"/>
          <w:szCs w:val="24"/>
        </w:rPr>
        <w:t xml:space="preserve"> </w:t>
      </w:r>
      <w:r>
        <w:rPr>
          <w:rFonts w:ascii="SimSun" w:hAnsi="SimSun" w:eastAsia="SimSun" w:cs="SimSun"/>
          <w:sz w:val="24"/>
          <w:szCs w:val="24"/>
          <w:spacing w:val="3"/>
        </w:rPr>
        <w:t>系统处于生态环境脆弱带上，其稳定性较差，生态系</w:t>
      </w:r>
      <w:r>
        <w:rPr>
          <w:rFonts w:ascii="SimSun" w:hAnsi="SimSun" w:eastAsia="SimSun" w:cs="SimSun"/>
          <w:sz w:val="24"/>
          <w:szCs w:val="24"/>
          <w:spacing w:val="2"/>
        </w:rPr>
        <w:t>统更容易受到损害，草畜供</w:t>
      </w:r>
      <w:r>
        <w:rPr>
          <w:rFonts w:ascii="SimSun" w:hAnsi="SimSun" w:eastAsia="SimSun" w:cs="SimSun"/>
          <w:sz w:val="24"/>
          <w:szCs w:val="24"/>
        </w:rPr>
        <w:t xml:space="preserve"> </w:t>
      </w:r>
      <w:r>
        <w:rPr>
          <w:rFonts w:ascii="SimSun" w:hAnsi="SimSun" w:eastAsia="SimSun" w:cs="SimSun"/>
          <w:sz w:val="24"/>
          <w:szCs w:val="24"/>
          <w:spacing w:val="3"/>
        </w:rPr>
        <w:t>需矛盾突出，并由于过牧造成草场退化，土地沙化，</w:t>
      </w:r>
      <w:r>
        <w:rPr>
          <w:rFonts w:ascii="SimSun" w:hAnsi="SimSun" w:eastAsia="SimSun" w:cs="SimSun"/>
          <w:sz w:val="24"/>
          <w:szCs w:val="24"/>
          <w:spacing w:val="2"/>
        </w:rPr>
        <w:t>生物多样性减少，沙尘暴频</w:t>
      </w:r>
      <w:r>
        <w:rPr>
          <w:rFonts w:ascii="SimSun" w:hAnsi="SimSun" w:eastAsia="SimSun" w:cs="SimSun"/>
          <w:sz w:val="24"/>
          <w:szCs w:val="24"/>
        </w:rPr>
        <w:t xml:space="preserve"> </w:t>
      </w:r>
      <w:r>
        <w:rPr>
          <w:rFonts w:ascii="SimSun" w:hAnsi="SimSun" w:eastAsia="SimSun" w:cs="SimSun"/>
          <w:sz w:val="24"/>
          <w:szCs w:val="24"/>
          <w:spacing w:val="1"/>
        </w:rPr>
        <w:t>繁发生，</w:t>
      </w:r>
      <w:r>
        <w:rPr>
          <w:rFonts w:ascii="SimSun" w:hAnsi="SimSun" w:eastAsia="SimSun" w:cs="SimSun"/>
          <w:sz w:val="24"/>
          <w:szCs w:val="24"/>
          <w:spacing w:val="-62"/>
        </w:rPr>
        <w:t xml:space="preserve"> </w:t>
      </w:r>
      <w:r>
        <w:rPr>
          <w:rFonts w:ascii="SimSun" w:hAnsi="SimSun" w:eastAsia="SimSun" w:cs="SimSun"/>
          <w:sz w:val="24"/>
          <w:szCs w:val="24"/>
          <w:spacing w:val="1"/>
        </w:rPr>
        <w:t>目前该区已成为我国北方重要的沙尘暴源头区。本地区生态环境敏感性</w:t>
      </w:r>
      <w:r>
        <w:rPr>
          <w:rFonts w:ascii="SimSun" w:hAnsi="SimSun" w:eastAsia="SimSun" w:cs="SimSun"/>
          <w:sz w:val="24"/>
          <w:szCs w:val="24"/>
        </w:rPr>
        <w:t xml:space="preserve"> </w:t>
      </w:r>
      <w:r>
        <w:rPr>
          <w:rFonts w:ascii="SimSun" w:hAnsi="SimSun" w:eastAsia="SimSun" w:cs="SimSun"/>
          <w:sz w:val="24"/>
          <w:szCs w:val="24"/>
          <w:spacing w:val="3"/>
        </w:rPr>
        <w:t>表现在土壤风蚀沙化、生物多样性为极敏感。本区作</w:t>
      </w:r>
      <w:r>
        <w:rPr>
          <w:rFonts w:ascii="SimSun" w:hAnsi="SimSun" w:eastAsia="SimSun" w:cs="SimSun"/>
          <w:sz w:val="24"/>
          <w:szCs w:val="24"/>
          <w:spacing w:val="2"/>
        </w:rPr>
        <w:t>为我区的畜牧业基地，在提</w:t>
      </w:r>
      <w:r>
        <w:rPr>
          <w:rFonts w:ascii="SimSun" w:hAnsi="SimSun" w:eastAsia="SimSun" w:cs="SimSun"/>
          <w:sz w:val="24"/>
          <w:szCs w:val="24"/>
        </w:rPr>
        <w:t xml:space="preserve"> </w:t>
      </w:r>
      <w:r>
        <w:rPr>
          <w:rFonts w:ascii="SimSun" w:hAnsi="SimSun" w:eastAsia="SimSun" w:cs="SimSun"/>
          <w:sz w:val="24"/>
          <w:szCs w:val="24"/>
          <w:spacing w:val="3"/>
        </w:rPr>
        <w:t>供生态系统产品具有重要生态服务功能；作为沙尘暴</w:t>
      </w:r>
      <w:r>
        <w:rPr>
          <w:rFonts w:ascii="SimSun" w:hAnsi="SimSun" w:eastAsia="SimSun" w:cs="SimSun"/>
          <w:sz w:val="24"/>
          <w:szCs w:val="24"/>
          <w:spacing w:val="2"/>
        </w:rPr>
        <w:t>源头地区，在控制侵蚀方面</w:t>
      </w:r>
      <w:r>
        <w:rPr>
          <w:rFonts w:ascii="SimSun" w:hAnsi="SimSun" w:eastAsia="SimSun" w:cs="SimSun"/>
          <w:sz w:val="24"/>
          <w:szCs w:val="24"/>
        </w:rPr>
        <w:t xml:space="preserve"> </w:t>
      </w:r>
      <w:r>
        <w:rPr>
          <w:rFonts w:ascii="SimSun" w:hAnsi="SimSun" w:eastAsia="SimSun" w:cs="SimSun"/>
          <w:sz w:val="24"/>
          <w:szCs w:val="24"/>
          <w:spacing w:val="-1"/>
        </w:rPr>
        <w:t>具有重要的生态功能。</w:t>
      </w:r>
    </w:p>
    <w:p>
      <w:pPr>
        <w:spacing w:line="385" w:lineRule="auto"/>
        <w:sectPr>
          <w:headerReference w:type="default" r:id="rId161"/>
          <w:footerReference w:type="default" r:id="rId162"/>
          <w:pgSz w:w="11906" w:h="16839"/>
          <w:pgMar w:top="1567" w:right="1700" w:bottom="1482" w:left="1701" w:header="1221" w:footer="1248" w:gutter="0"/>
        </w:sectPr>
        <w:rPr>
          <w:rFonts w:ascii="SimSun" w:hAnsi="SimSun" w:eastAsia="SimSun" w:cs="SimSun"/>
          <w:sz w:val="24"/>
          <w:szCs w:val="24"/>
        </w:rPr>
      </w:pPr>
    </w:p>
    <w:p>
      <w:pPr>
        <w:pStyle w:val="BodyText"/>
        <w:spacing w:line="258" w:lineRule="auto"/>
        <w:rPr/>
      </w:pPr>
      <w:r>
        <w:pict>
          <v:shape id="_x0000_s690" style="position:absolute;margin-left:0pt;margin-top:0.47998pt;mso-position-vertical-relative:text;mso-position-horizontal-relative:text;width:425.25pt;height:0.75pt;z-index:251970560;" fillcolor="#000000" filled="true" stroked="false" coordsize="8505,15" coordorigin="0,0" path="m,l8504,0l8504,14l0,14l0,0xe"/>
        </w:pict>
      </w:r>
      <w:r>
        <w:drawing>
          <wp:anchor distT="0" distB="0" distL="0" distR="0" simplePos="0" relativeHeight="251969536" behindDoc="1" locked="0" layoutInCell="1" allowOverlap="1">
            <wp:simplePos x="0" y="0"/>
            <wp:positionH relativeFrom="column">
              <wp:posOffset>380</wp:posOffset>
            </wp:positionH>
            <wp:positionV relativeFrom="paragraph">
              <wp:posOffset>84962</wp:posOffset>
            </wp:positionV>
            <wp:extent cx="5396483" cy="3881628"/>
            <wp:effectExtent l="0" t="0" r="0" b="0"/>
            <wp:wrapNone/>
            <wp:docPr id="88" name="IM 88"/>
            <wp:cNvGraphicFramePr/>
            <a:graphic>
              <a:graphicData uri="http://schemas.openxmlformats.org/drawingml/2006/picture">
                <pic:pic>
                  <pic:nvPicPr>
                    <pic:cNvPr id="88" name="IM 88"/>
                    <pic:cNvPicPr/>
                  </pic:nvPicPr>
                  <pic:blipFill>
                    <a:blip r:embed="rId166"/>
                    <a:stretch>
                      <a:fillRect/>
                    </a:stretch>
                  </pic:blipFill>
                  <pic:spPr>
                    <a:xfrm rot="0">
                      <a:off x="0" y="0"/>
                      <a:ext cx="5396483" cy="3881628"/>
                    </a:xfrm>
                    <a:prstGeom prst="rect">
                      <a:avLst/>
                    </a:prstGeom>
                  </pic:spPr>
                </pic:pic>
              </a:graphicData>
            </a:graphic>
          </wp:anchor>
        </w:drawing>
      </w:r>
      <w:r/>
    </w:p>
    <w:p>
      <w:pPr>
        <w:pStyle w:val="BodyText"/>
        <w:spacing w:line="258" w:lineRule="auto"/>
        <w:rPr/>
      </w:pPr>
      <w:r/>
    </w:p>
    <w:p>
      <w:pPr>
        <w:pStyle w:val="BodyText"/>
        <w:spacing w:line="258" w:lineRule="auto"/>
        <w:rPr/>
      </w:pPr>
      <w:r/>
    </w:p>
    <w:p>
      <w:pPr>
        <w:pStyle w:val="BodyText"/>
        <w:spacing w:line="258" w:lineRule="auto"/>
        <w:rPr/>
      </w:pPr>
      <w:r/>
    </w:p>
    <w:p>
      <w:pPr>
        <w:pStyle w:val="BodyText"/>
        <w:spacing w:line="258" w:lineRule="auto"/>
        <w:rPr/>
      </w:pPr>
      <w:r/>
    </w:p>
    <w:p>
      <w:pPr>
        <w:pStyle w:val="BodyText"/>
        <w:spacing w:line="258" w:lineRule="auto"/>
        <w:rPr/>
      </w:pPr>
      <w:r/>
    </w:p>
    <w:p>
      <w:pPr>
        <w:pStyle w:val="BodyText"/>
        <w:spacing w:line="258" w:lineRule="auto"/>
        <w:rPr/>
      </w:pPr>
      <w:r/>
    </w:p>
    <w:p>
      <w:pPr>
        <w:pStyle w:val="BodyText"/>
        <w:spacing w:line="258" w:lineRule="auto"/>
        <w:rPr/>
      </w:pPr>
      <w:r/>
    </w:p>
    <w:p>
      <w:pPr>
        <w:pStyle w:val="BodyText"/>
        <w:spacing w:line="258" w:lineRule="auto"/>
        <w:rPr/>
      </w:pPr>
      <w:r/>
    </w:p>
    <w:p>
      <w:pPr>
        <w:pStyle w:val="BodyText"/>
        <w:spacing w:line="258" w:lineRule="auto"/>
        <w:rPr/>
      </w:pPr>
      <w:r/>
    </w:p>
    <w:p>
      <w:pPr>
        <w:pStyle w:val="BodyText"/>
        <w:spacing w:line="258" w:lineRule="auto"/>
        <w:rPr/>
      </w:pPr>
      <w:r/>
    </w:p>
    <w:p>
      <w:pPr>
        <w:pStyle w:val="BodyText"/>
        <w:spacing w:line="259" w:lineRule="auto"/>
        <w:rPr/>
      </w:pPr>
      <w:r/>
    </w:p>
    <w:p>
      <w:pPr>
        <w:ind w:firstLine="3845"/>
        <w:spacing w:line="1241" w:lineRule="exact"/>
        <w:rPr/>
      </w:pPr>
      <w:r>
        <w:rPr>
          <w:position w:val="-24"/>
        </w:rPr>
        <w:pict>
          <v:group id="_x0000_s692" style="mso-position-vertical-relative:line;mso-position-horizontal-relative:char;width:70.9pt;height:62.05pt;" filled="false" stroked="false" coordsize="1418,1240" coordorigin="0,0">
            <v:shape id="_x0000_s694" style="position:absolute;left:0;top:0;width:1418;height:1240;" filled="false" stroked="false" type="#_x0000_t75">
              <v:imagedata o:title="" r:id="rId167"/>
            </v:shape>
            <v:shape id="_x0000_s696" style="position:absolute;left:-20;top:-20;width:1458;height:1281;" filled="false" stroked="false" type="#_x0000_t202">
              <v:fill on="false"/>
              <v:stroke on="false"/>
              <v:path/>
              <v:imagedata o:title=""/>
              <o:lock v:ext="edit" aspectratio="false"/>
              <v:textbox inset="0mm,0mm,0mm,0mm">
                <w:txbxContent>
                  <w:p>
                    <w:pPr>
                      <w:ind w:left="216"/>
                      <w:spacing w:before="170" w:line="219" w:lineRule="auto"/>
                      <w:rPr>
                        <w:rFonts w:ascii="SimSun" w:hAnsi="SimSun" w:eastAsia="SimSun" w:cs="SimSun"/>
                        <w:sz w:val="24"/>
                        <w:szCs w:val="24"/>
                      </w:rPr>
                    </w:pPr>
                    <w:r>
                      <w:rPr>
                        <w:rFonts w:ascii="SimSun" w:hAnsi="SimSun" w:eastAsia="SimSun" w:cs="SimSun"/>
                        <w:sz w:val="24"/>
                        <w:szCs w:val="24"/>
                        <w:spacing w:val="-4"/>
                      </w:rPr>
                      <w:t>本项目</w:t>
                    </w:r>
                  </w:p>
                </w:txbxContent>
              </v:textbox>
            </v:shape>
          </v:group>
        </w:pict>
      </w:r>
    </w:p>
    <w:p>
      <w:pPr>
        <w:pStyle w:val="BodyText"/>
        <w:spacing w:line="256" w:lineRule="auto"/>
        <w:rPr/>
      </w:pPr>
      <w:r/>
    </w:p>
    <w:p>
      <w:pPr>
        <w:pStyle w:val="BodyText"/>
        <w:spacing w:line="256" w:lineRule="auto"/>
        <w:rPr/>
      </w:pPr>
      <w:r/>
    </w:p>
    <w:p>
      <w:pPr>
        <w:pStyle w:val="BodyText"/>
        <w:spacing w:line="256" w:lineRule="auto"/>
        <w:rPr/>
      </w:pPr>
      <w:r/>
    </w:p>
    <w:p>
      <w:pPr>
        <w:pStyle w:val="BodyText"/>
        <w:spacing w:line="256" w:lineRule="auto"/>
        <w:rPr/>
      </w:pPr>
      <w:r/>
    </w:p>
    <w:p>
      <w:pPr>
        <w:pStyle w:val="BodyText"/>
        <w:spacing w:line="256" w:lineRule="auto"/>
        <w:rPr/>
      </w:pPr>
      <w:r/>
    </w:p>
    <w:p>
      <w:pPr>
        <w:pStyle w:val="BodyText"/>
        <w:spacing w:line="256" w:lineRule="auto"/>
        <w:rPr/>
      </w:pPr>
      <w:r/>
    </w:p>
    <w:p>
      <w:pPr>
        <w:pStyle w:val="BodyText"/>
        <w:spacing w:line="257" w:lineRule="auto"/>
        <w:rPr/>
      </w:pPr>
      <w:r/>
    </w:p>
    <w:p>
      <w:pPr>
        <w:pStyle w:val="BodyText"/>
        <w:spacing w:line="257" w:lineRule="auto"/>
        <w:rPr/>
      </w:pPr>
      <w:r/>
    </w:p>
    <w:p>
      <w:pPr>
        <w:ind w:left="2138"/>
        <w:spacing w:before="78" w:line="219" w:lineRule="auto"/>
        <w:rPr>
          <w:rFonts w:ascii="SimSun" w:hAnsi="SimSun" w:eastAsia="SimSun" w:cs="SimSun"/>
          <w:sz w:val="24"/>
          <w:szCs w:val="24"/>
        </w:rPr>
      </w:pPr>
      <w:r>
        <w:rPr>
          <w:rFonts w:ascii="SimSun" w:hAnsi="SimSun" w:eastAsia="SimSun" w:cs="SimSun"/>
          <w:sz w:val="24"/>
          <w:szCs w:val="24"/>
          <w:b/>
          <w:bCs/>
          <w:spacing w:val="-6"/>
        </w:rPr>
        <w:t>图</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6"/>
        </w:rPr>
        <w:t>4.2-8</w:t>
      </w:r>
      <w:r>
        <w:rPr>
          <w:rFonts w:ascii="Times New Roman" w:hAnsi="Times New Roman" w:eastAsia="Times New Roman" w:cs="Times New Roman"/>
          <w:sz w:val="24"/>
          <w:szCs w:val="24"/>
          <w:b/>
          <w:bCs/>
          <w:spacing w:val="6"/>
        </w:rPr>
        <w:t xml:space="preserve">      </w:t>
      </w:r>
      <w:r>
        <w:rPr>
          <w:rFonts w:ascii="SimSun" w:hAnsi="SimSun" w:eastAsia="SimSun" w:cs="SimSun"/>
          <w:sz w:val="24"/>
          <w:szCs w:val="24"/>
          <w:b/>
          <w:bCs/>
          <w:spacing w:val="-6"/>
        </w:rPr>
        <w:t>内蒙古自治区生态功能区划图</w:t>
      </w:r>
    </w:p>
    <w:p>
      <w:pPr>
        <w:ind w:left="6"/>
        <w:spacing w:before="182"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4.2.5.3 </w:t>
      </w:r>
      <w:r>
        <w:rPr>
          <w:rFonts w:ascii="SimSun" w:hAnsi="SimSun" w:eastAsia="SimSun" w:cs="SimSun"/>
          <w:sz w:val="24"/>
          <w:szCs w:val="24"/>
          <w:b/>
          <w:bCs/>
          <w:spacing w:val="-2"/>
        </w:rPr>
        <w:t>本项目生态环境现状调查</w:t>
      </w:r>
    </w:p>
    <w:p>
      <w:pPr>
        <w:ind w:left="13" w:firstLine="477"/>
        <w:spacing w:before="265" w:line="384" w:lineRule="auto"/>
        <w:jc w:val="both"/>
        <w:rPr>
          <w:rFonts w:ascii="SimSun" w:hAnsi="SimSun" w:eastAsia="SimSun" w:cs="SimSun"/>
          <w:sz w:val="24"/>
          <w:szCs w:val="24"/>
        </w:rPr>
      </w:pPr>
      <w:r>
        <w:rPr>
          <w:rFonts w:ascii="SimSun" w:hAnsi="SimSun" w:eastAsia="SimSun" w:cs="SimSun"/>
          <w:sz w:val="24"/>
          <w:szCs w:val="24"/>
        </w:rPr>
        <w:t>本项目生态环境质量现场调查主要采取以实地调</w:t>
      </w:r>
      <w:r>
        <w:rPr>
          <w:rFonts w:ascii="SimSun" w:hAnsi="SimSun" w:eastAsia="SimSun" w:cs="SimSun"/>
          <w:sz w:val="24"/>
          <w:szCs w:val="24"/>
          <w:spacing w:val="-1"/>
        </w:rPr>
        <w:t>查为主，普查、详查相结合</w:t>
      </w:r>
      <w:r>
        <w:rPr>
          <w:rFonts w:ascii="SimSun" w:hAnsi="SimSun" w:eastAsia="SimSun" w:cs="SimSun"/>
          <w:sz w:val="24"/>
          <w:szCs w:val="24"/>
        </w:rPr>
        <w:t xml:space="preserve">  </w:t>
      </w:r>
      <w:r>
        <w:rPr>
          <w:rFonts w:ascii="SimSun" w:hAnsi="SimSun" w:eastAsia="SimSun" w:cs="SimSun"/>
          <w:sz w:val="24"/>
          <w:szCs w:val="24"/>
        </w:rPr>
        <w:t>的方法。实地调查掌握项目区范围内自然生态</w:t>
      </w:r>
      <w:r>
        <w:rPr>
          <w:rFonts w:ascii="SimSun" w:hAnsi="SimSun" w:eastAsia="SimSun" w:cs="SimSun"/>
          <w:sz w:val="24"/>
          <w:szCs w:val="24"/>
          <w:spacing w:val="-1"/>
        </w:rPr>
        <w:t>环境的基本情况以及各种水土保持</w:t>
      </w:r>
      <w:r>
        <w:rPr>
          <w:rFonts w:ascii="SimSun" w:hAnsi="SimSun" w:eastAsia="SimSun" w:cs="SimSun"/>
          <w:sz w:val="24"/>
          <w:szCs w:val="24"/>
        </w:rPr>
        <w:t xml:space="preserve">  </w:t>
      </w:r>
      <w:r>
        <w:rPr>
          <w:rFonts w:ascii="SimSun" w:hAnsi="SimSun" w:eastAsia="SimSun" w:cs="SimSun"/>
          <w:sz w:val="24"/>
          <w:szCs w:val="24"/>
        </w:rPr>
        <w:t>项目的情况。通过对技术人员、政府管理部门</w:t>
      </w:r>
      <w:r>
        <w:rPr>
          <w:rFonts w:ascii="SimSun" w:hAnsi="SimSun" w:eastAsia="SimSun" w:cs="SimSun"/>
          <w:sz w:val="24"/>
          <w:szCs w:val="24"/>
          <w:spacing w:val="-1"/>
        </w:rPr>
        <w:t>、牧民等访问调查，了解生态现状</w:t>
      </w:r>
      <w:r>
        <w:rPr>
          <w:rFonts w:ascii="SimSun" w:hAnsi="SimSun" w:eastAsia="SimSun" w:cs="SimSun"/>
          <w:sz w:val="24"/>
          <w:szCs w:val="24"/>
        </w:rPr>
        <w:t xml:space="preserve">  </w:t>
      </w:r>
      <w:r>
        <w:rPr>
          <w:rFonts w:ascii="SimSun" w:hAnsi="SimSun" w:eastAsia="SimSun" w:cs="SimSun"/>
          <w:sz w:val="24"/>
          <w:szCs w:val="24"/>
          <w:spacing w:val="-2"/>
        </w:rPr>
        <w:t>以及近几年各种因素的变化、水土流失严重程度、生态环境建设的规划与设想等。</w:t>
      </w:r>
    </w:p>
    <w:p>
      <w:pPr>
        <w:ind w:left="9" w:right="94" w:firstLine="481"/>
        <w:spacing w:before="2" w:line="387" w:lineRule="auto"/>
        <w:rPr>
          <w:rFonts w:ascii="SimSun" w:hAnsi="SimSun" w:eastAsia="SimSun" w:cs="SimSun"/>
          <w:sz w:val="24"/>
          <w:szCs w:val="24"/>
        </w:rPr>
      </w:pPr>
      <w:r>
        <w:rPr>
          <w:rFonts w:ascii="SimSun" w:hAnsi="SimSun" w:eastAsia="SimSun" w:cs="SimSun"/>
          <w:sz w:val="24"/>
          <w:szCs w:val="24"/>
          <w:spacing w:val="-2"/>
        </w:rPr>
        <w:t>调查范围为厂区外</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500m </w:t>
      </w:r>
      <w:r>
        <w:rPr>
          <w:rFonts w:ascii="SimSun" w:hAnsi="SimSun" w:eastAsia="SimSun" w:cs="SimSun"/>
          <w:sz w:val="24"/>
          <w:szCs w:val="24"/>
          <w:spacing w:val="-2"/>
        </w:rPr>
        <w:t>范围区域，总评价面积约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126.95hm</w:t>
      </w:r>
      <w:r>
        <w:rPr>
          <w:rFonts w:ascii="Times New Roman" w:hAnsi="Times New Roman" w:eastAsia="Times New Roman" w:cs="Times New Roman"/>
          <w:sz w:val="15"/>
          <w:szCs w:val="15"/>
          <w:spacing w:val="-2"/>
          <w:position w:val="7"/>
        </w:rPr>
        <w:t>2 </w:t>
      </w:r>
      <w:r>
        <w:rPr>
          <w:rFonts w:ascii="SimSun" w:hAnsi="SimSun" w:eastAsia="SimSun" w:cs="SimSun"/>
          <w:sz w:val="24"/>
          <w:szCs w:val="24"/>
          <w:spacing w:val="-3"/>
        </w:rPr>
        <w:t>。评价区遥感影</w:t>
      </w:r>
      <w:r>
        <w:rPr>
          <w:rFonts w:ascii="SimSun" w:hAnsi="SimSun" w:eastAsia="SimSun" w:cs="SimSun"/>
          <w:sz w:val="24"/>
          <w:szCs w:val="24"/>
        </w:rPr>
        <w:t xml:space="preserve"> </w:t>
      </w:r>
      <w:r>
        <w:rPr>
          <w:rFonts w:ascii="SimSun" w:hAnsi="SimSun" w:eastAsia="SimSun" w:cs="SimSun"/>
          <w:sz w:val="24"/>
          <w:szCs w:val="24"/>
          <w:spacing w:val="-2"/>
        </w:rPr>
        <w:t>像图见图</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4.2-9</w:t>
      </w:r>
      <w:r>
        <w:rPr>
          <w:rFonts w:ascii="SimSun" w:hAnsi="SimSun" w:eastAsia="SimSun" w:cs="SimSun"/>
          <w:sz w:val="24"/>
          <w:szCs w:val="24"/>
          <w:spacing w:val="-2"/>
        </w:rPr>
        <w:t>。</w:t>
      </w:r>
    </w:p>
    <w:p>
      <w:pPr>
        <w:spacing w:line="387" w:lineRule="auto"/>
        <w:sectPr>
          <w:headerReference w:type="default" r:id="rId157"/>
          <w:footerReference w:type="default" r:id="rId165"/>
          <w:pgSz w:w="11906" w:h="16839"/>
          <w:pgMar w:top="1567" w:right="1620" w:bottom="1811" w:left="1701" w:header="1221" w:footer="1128" w:gutter="0"/>
        </w:sectPr>
        <w:rPr>
          <w:rFonts w:ascii="SimSun" w:hAnsi="SimSun" w:eastAsia="SimSun" w:cs="SimSun"/>
          <w:sz w:val="24"/>
          <w:szCs w:val="24"/>
        </w:rPr>
      </w:pPr>
    </w:p>
    <w:p>
      <w:pPr>
        <w:ind w:firstLine="118"/>
        <w:spacing w:before="150" w:line="6002" w:lineRule="exact"/>
        <w:rPr/>
      </w:pPr>
      <w:r>
        <w:pict>
          <v:shape id="_x0000_s700" style="position:absolute;margin-left:85.05pt;margin-top:79.11pt;mso-position-vertical-relative:page;mso-position-horizontal-relative:page;width:425.25pt;height:0.75pt;z-index:251972608;" o:allowincell="f" fillcolor="#000000" filled="true" stroked="false" coordsize="8505,15" coordorigin="0,0" path="m,l8504,0l8504,14l0,14l0,0xe"/>
        </w:pict>
      </w:r>
      <w:r>
        <w:rPr>
          <w:position w:val="-120"/>
        </w:rPr>
        <w:drawing>
          <wp:inline distT="0" distB="0" distL="0" distR="0">
            <wp:extent cx="5391911" cy="3811523"/>
            <wp:effectExtent l="0" t="0" r="0" b="0"/>
            <wp:docPr id="90" name="IM 90"/>
            <wp:cNvGraphicFramePr/>
            <a:graphic>
              <a:graphicData uri="http://schemas.openxmlformats.org/drawingml/2006/picture">
                <pic:pic>
                  <pic:nvPicPr>
                    <pic:cNvPr id="90" name="IM 90"/>
                    <pic:cNvPicPr/>
                  </pic:nvPicPr>
                  <pic:blipFill>
                    <a:blip r:embed="rId170"/>
                    <a:stretch>
                      <a:fillRect/>
                    </a:stretch>
                  </pic:blipFill>
                  <pic:spPr>
                    <a:xfrm rot="0">
                      <a:off x="0" y="0"/>
                      <a:ext cx="5391911" cy="3811523"/>
                    </a:xfrm>
                    <a:prstGeom prst="rect">
                      <a:avLst/>
                    </a:prstGeom>
                  </pic:spPr>
                </pic:pic>
              </a:graphicData>
            </a:graphic>
          </wp:inline>
        </w:drawing>
      </w:r>
    </w:p>
    <w:p>
      <w:pPr>
        <w:ind w:left="3218"/>
        <w:spacing w:before="279" w:line="221"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3"/>
        </w:rPr>
        <w:t>4.2-9      </w:t>
      </w:r>
      <w:r>
        <w:rPr>
          <w:rFonts w:ascii="SimSun" w:hAnsi="SimSun" w:eastAsia="SimSun" w:cs="SimSun"/>
          <w:sz w:val="24"/>
          <w:szCs w:val="24"/>
          <w:b/>
          <w:bCs/>
          <w:spacing w:val="-3"/>
        </w:rPr>
        <w:t>遥感影响图</w:t>
      </w:r>
    </w:p>
    <w:p>
      <w:pPr>
        <w:ind w:left="619"/>
        <w:spacing w:before="102"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）土地利用现状调查</w:t>
      </w:r>
    </w:p>
    <w:p>
      <w:pPr>
        <w:pStyle w:val="BodyText"/>
        <w:spacing w:line="262" w:lineRule="auto"/>
        <w:rPr/>
      </w:pPr>
      <w:r/>
    </w:p>
    <w:p>
      <w:pPr>
        <w:ind w:left="129" w:right="112" w:firstLine="479"/>
        <w:spacing w:before="78" w:line="364" w:lineRule="auto"/>
        <w:jc w:val="both"/>
        <w:rPr>
          <w:rFonts w:ascii="SimSun" w:hAnsi="SimSun" w:eastAsia="SimSun" w:cs="SimSun"/>
          <w:sz w:val="24"/>
          <w:szCs w:val="24"/>
        </w:rPr>
      </w:pPr>
      <w:r>
        <w:rPr>
          <w:rFonts w:ascii="SimSun" w:hAnsi="SimSun" w:eastAsia="SimSun" w:cs="SimSun"/>
          <w:sz w:val="24"/>
          <w:szCs w:val="24"/>
          <w:spacing w:val="-1"/>
        </w:rPr>
        <w:t>本项目总占地面积</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32433.84m</w:t>
      </w:r>
      <w:r>
        <w:rPr>
          <w:rFonts w:ascii="Times New Roman" w:hAnsi="Times New Roman" w:eastAsia="Times New Roman" w:cs="Times New Roman"/>
          <w:sz w:val="15"/>
          <w:szCs w:val="15"/>
          <w:spacing w:val="-1"/>
          <w:position w:val="8"/>
        </w:rPr>
        <w:t>2</w:t>
      </w:r>
      <w:r>
        <w:rPr>
          <w:rFonts w:ascii="Times New Roman" w:hAnsi="Times New Roman" w:eastAsia="Times New Roman" w:cs="Times New Roman"/>
          <w:sz w:val="15"/>
          <w:szCs w:val="15"/>
          <w:spacing w:val="-7"/>
          <w:position w:val="8"/>
        </w:rPr>
        <w:t xml:space="preserve"> </w:t>
      </w:r>
      <w:r>
        <w:rPr>
          <w:rFonts w:ascii="SimSun" w:hAnsi="SimSun" w:eastAsia="SimSun" w:cs="SimSun"/>
          <w:sz w:val="24"/>
          <w:szCs w:val="24"/>
          <w:spacing w:val="-1"/>
        </w:rPr>
        <w:t>，利用卫星遥感及</w:t>
      </w:r>
      <w:r>
        <w:rPr>
          <w:rFonts w:ascii="SimSun" w:hAnsi="SimSun" w:eastAsia="SimSun" w:cs="SimSun"/>
          <w:sz w:val="24"/>
          <w:szCs w:val="24"/>
          <w:spacing w:val="-2"/>
        </w:rPr>
        <w:t>地理信息系统技术，对项目</w:t>
      </w:r>
      <w:r>
        <w:rPr>
          <w:rFonts w:ascii="SimSun" w:hAnsi="SimSun" w:eastAsia="SimSun" w:cs="SimSun"/>
          <w:sz w:val="24"/>
          <w:szCs w:val="24"/>
        </w:rPr>
        <w:t xml:space="preserve"> </w:t>
      </w:r>
      <w:r>
        <w:rPr>
          <w:rFonts w:ascii="SimSun" w:hAnsi="SimSun" w:eastAsia="SimSun" w:cs="SimSun"/>
          <w:sz w:val="24"/>
          <w:szCs w:val="24"/>
          <w:spacing w:val="-3"/>
        </w:rPr>
        <w:t>区及评价区域土地利用现状进行调查，调查结果见表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4.2-26 </w:t>
      </w:r>
      <w:r>
        <w:rPr>
          <w:rFonts w:ascii="SimSun" w:hAnsi="SimSun" w:eastAsia="SimSun" w:cs="SimSun"/>
          <w:sz w:val="24"/>
          <w:szCs w:val="24"/>
          <w:spacing w:val="-3"/>
        </w:rPr>
        <w:t>及表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4.2</w:t>
      </w:r>
      <w:r>
        <w:rPr>
          <w:rFonts w:ascii="Times New Roman" w:hAnsi="Times New Roman" w:eastAsia="Times New Roman" w:cs="Times New Roman"/>
          <w:sz w:val="24"/>
          <w:szCs w:val="24"/>
          <w:spacing w:val="-4"/>
        </w:rPr>
        <w:t>-27</w:t>
      </w:r>
      <w:r>
        <w:rPr>
          <w:rFonts w:ascii="SimSun" w:hAnsi="SimSun" w:eastAsia="SimSun" w:cs="SimSun"/>
          <w:sz w:val="24"/>
          <w:szCs w:val="24"/>
          <w:spacing w:val="-4"/>
        </w:rPr>
        <w:t>，土地利用</w:t>
      </w:r>
      <w:r>
        <w:rPr>
          <w:rFonts w:ascii="SimSun" w:hAnsi="SimSun" w:eastAsia="SimSun" w:cs="SimSun"/>
          <w:sz w:val="24"/>
          <w:szCs w:val="24"/>
        </w:rPr>
        <w:t xml:space="preserve"> </w:t>
      </w:r>
      <w:r>
        <w:rPr>
          <w:rFonts w:ascii="SimSun" w:hAnsi="SimSun" w:eastAsia="SimSun" w:cs="SimSun"/>
          <w:sz w:val="24"/>
          <w:szCs w:val="24"/>
          <w:spacing w:val="-2"/>
        </w:rPr>
        <w:t>现状图见图</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4.2-10</w:t>
      </w:r>
      <w:r>
        <w:rPr>
          <w:rFonts w:ascii="SimSun" w:hAnsi="SimSun" w:eastAsia="SimSun" w:cs="SimSun"/>
          <w:sz w:val="24"/>
          <w:szCs w:val="24"/>
          <w:spacing w:val="-2"/>
        </w:rPr>
        <w:t>。</w:t>
      </w:r>
    </w:p>
    <w:p>
      <w:pPr>
        <w:ind w:left="2291"/>
        <w:spacing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4.2-26      </w:t>
      </w:r>
      <w:r>
        <w:rPr>
          <w:rFonts w:ascii="SimSun" w:hAnsi="SimSun" w:eastAsia="SimSun" w:cs="SimSun"/>
          <w:sz w:val="24"/>
          <w:szCs w:val="24"/>
          <w:b/>
          <w:bCs/>
          <w:spacing w:val="-2"/>
        </w:rPr>
        <w:t>项目区土地利用类型统计表</w:t>
      </w:r>
    </w:p>
    <w:p>
      <w:pPr>
        <w:spacing w:line="69" w:lineRule="exact"/>
        <w:rPr/>
      </w:pPr>
      <w:r/>
    </w:p>
    <w:tbl>
      <w:tblPr>
        <w:tblStyle w:val="TableNormal"/>
        <w:tblW w:w="8724" w:type="dxa"/>
        <w:tblInd w:w="7"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638"/>
        <w:gridCol w:w="1683"/>
        <w:gridCol w:w="1236"/>
        <w:gridCol w:w="1608"/>
        <w:gridCol w:w="1559"/>
      </w:tblGrid>
      <w:tr>
        <w:trPr>
          <w:trHeight w:val="632" w:hRule="atLeast"/>
        </w:trPr>
        <w:tc>
          <w:tcPr>
            <w:tcW w:w="2638" w:type="dxa"/>
            <w:vAlign w:val="top"/>
          </w:tcPr>
          <w:p>
            <w:pPr>
              <w:pStyle w:val="TableText"/>
              <w:ind w:left="484"/>
              <w:spacing w:before="210" w:line="228" w:lineRule="auto"/>
              <w:rPr/>
            </w:pPr>
            <w:r>
              <w:rPr>
                <w:spacing w:val="8"/>
              </w:rPr>
              <w:t>土地利用一级类型</w:t>
            </w:r>
          </w:p>
        </w:tc>
        <w:tc>
          <w:tcPr>
            <w:tcW w:w="1683" w:type="dxa"/>
            <w:vAlign w:val="top"/>
          </w:tcPr>
          <w:p>
            <w:pPr>
              <w:pStyle w:val="TableText"/>
              <w:ind w:left="217"/>
              <w:spacing w:before="54" w:line="229" w:lineRule="auto"/>
              <w:rPr/>
            </w:pPr>
            <w:r>
              <w:rPr>
                <w:spacing w:val="8"/>
              </w:rPr>
              <w:t>土地利用二级</w:t>
            </w:r>
          </w:p>
          <w:p>
            <w:pPr>
              <w:pStyle w:val="TableText"/>
              <w:ind w:left="636"/>
              <w:spacing w:before="63" w:line="228" w:lineRule="auto"/>
              <w:rPr/>
            </w:pPr>
            <w:r>
              <w:rPr>
                <w:spacing w:val="4"/>
              </w:rPr>
              <w:t>类型</w:t>
            </w:r>
          </w:p>
        </w:tc>
        <w:tc>
          <w:tcPr>
            <w:tcW w:w="1236" w:type="dxa"/>
            <w:vAlign w:val="top"/>
          </w:tcPr>
          <w:p>
            <w:pPr>
              <w:pStyle w:val="TableText"/>
              <w:ind w:left="309"/>
              <w:spacing w:before="210" w:line="228" w:lineRule="auto"/>
              <w:rPr/>
            </w:pPr>
            <w:r>
              <w:rPr>
                <w:spacing w:val="6"/>
              </w:rPr>
              <w:t>斑块数</w:t>
            </w:r>
          </w:p>
        </w:tc>
        <w:tc>
          <w:tcPr>
            <w:tcW w:w="1608" w:type="dxa"/>
            <w:vAlign w:val="top"/>
          </w:tcPr>
          <w:p>
            <w:pPr>
              <w:pStyle w:val="TableText"/>
              <w:ind w:left="116"/>
              <w:spacing w:before="210" w:line="228" w:lineRule="auto"/>
              <w:rPr/>
            </w:pPr>
            <w:r>
              <w:rPr>
                <w:spacing w:val="6"/>
              </w:rPr>
              <w:t>面积（平方米）</w:t>
            </w:r>
          </w:p>
        </w:tc>
        <w:tc>
          <w:tcPr>
            <w:tcW w:w="1559" w:type="dxa"/>
            <w:vAlign w:val="top"/>
          </w:tcPr>
          <w:p>
            <w:pPr>
              <w:pStyle w:val="TableText"/>
              <w:ind w:left="154"/>
              <w:spacing w:before="210" w:line="228" w:lineRule="auto"/>
              <w:rPr/>
            </w:pPr>
            <w:r>
              <w:rPr>
                <w:spacing w:val="6"/>
              </w:rPr>
              <w:t>面积（公顷）</w:t>
            </w:r>
          </w:p>
        </w:tc>
      </w:tr>
      <w:tr>
        <w:trPr>
          <w:trHeight w:val="406" w:hRule="atLeast"/>
        </w:trPr>
        <w:tc>
          <w:tcPr>
            <w:tcW w:w="2638" w:type="dxa"/>
            <w:vAlign w:val="top"/>
          </w:tcPr>
          <w:p>
            <w:pPr>
              <w:pStyle w:val="TableText"/>
              <w:ind w:left="119"/>
              <w:spacing w:before="91" w:line="220" w:lineRule="auto"/>
              <w:rPr>
                <w:sz w:val="22"/>
                <w:szCs w:val="22"/>
              </w:rPr>
            </w:pPr>
            <w:r>
              <w:rPr>
                <w:sz w:val="22"/>
                <w:szCs w:val="22"/>
                <w:spacing w:val="-1"/>
              </w:rPr>
              <w:t>工矿仓储用地（东厂区）</w:t>
            </w:r>
          </w:p>
        </w:tc>
        <w:tc>
          <w:tcPr>
            <w:tcW w:w="1683" w:type="dxa"/>
            <w:vAlign w:val="top"/>
          </w:tcPr>
          <w:p>
            <w:pPr>
              <w:pStyle w:val="TableText"/>
              <w:ind w:left="409"/>
              <w:spacing w:before="90" w:line="222" w:lineRule="auto"/>
              <w:rPr>
                <w:sz w:val="22"/>
                <w:szCs w:val="22"/>
              </w:rPr>
            </w:pPr>
            <w:r>
              <w:rPr>
                <w:sz w:val="22"/>
                <w:szCs w:val="22"/>
                <w:spacing w:val="-3"/>
              </w:rPr>
              <w:t>工业用地</w:t>
            </w:r>
          </w:p>
        </w:tc>
        <w:tc>
          <w:tcPr>
            <w:tcW w:w="1236" w:type="dxa"/>
            <w:vAlign w:val="top"/>
          </w:tcPr>
          <w:p>
            <w:pPr>
              <w:ind w:left="531"/>
              <w:spacing w:before="129"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3"/>
              </w:rPr>
              <w:t>15</w:t>
            </w:r>
          </w:p>
        </w:tc>
        <w:tc>
          <w:tcPr>
            <w:tcW w:w="1608" w:type="dxa"/>
            <w:vAlign w:val="top"/>
          </w:tcPr>
          <w:p>
            <w:pPr>
              <w:ind w:left="416"/>
              <w:spacing w:before="129"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11703.99</w:t>
            </w:r>
          </w:p>
        </w:tc>
        <w:tc>
          <w:tcPr>
            <w:tcW w:w="1559" w:type="dxa"/>
            <w:vAlign w:val="top"/>
          </w:tcPr>
          <w:p>
            <w:pPr>
              <w:ind w:left="610"/>
              <w:spacing w:before="129"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1.17</w:t>
            </w:r>
          </w:p>
        </w:tc>
      </w:tr>
      <w:tr>
        <w:trPr>
          <w:trHeight w:val="406" w:hRule="atLeast"/>
        </w:trPr>
        <w:tc>
          <w:tcPr>
            <w:tcW w:w="2638" w:type="dxa"/>
            <w:vAlign w:val="top"/>
          </w:tcPr>
          <w:p>
            <w:pPr>
              <w:pStyle w:val="TableText"/>
              <w:ind w:left="119"/>
              <w:spacing w:before="93" w:line="220" w:lineRule="auto"/>
              <w:rPr>
                <w:sz w:val="22"/>
                <w:szCs w:val="22"/>
              </w:rPr>
            </w:pPr>
            <w:r>
              <w:rPr>
                <w:sz w:val="22"/>
                <w:szCs w:val="22"/>
                <w:spacing w:val="-1"/>
              </w:rPr>
              <w:t>工矿仓储用地（西厂区）</w:t>
            </w:r>
          </w:p>
        </w:tc>
        <w:tc>
          <w:tcPr>
            <w:tcW w:w="1683" w:type="dxa"/>
            <w:vAlign w:val="top"/>
          </w:tcPr>
          <w:p>
            <w:pPr>
              <w:pStyle w:val="TableText"/>
              <w:ind w:left="409"/>
              <w:spacing w:before="92" w:line="222" w:lineRule="auto"/>
              <w:rPr>
                <w:sz w:val="22"/>
                <w:szCs w:val="22"/>
              </w:rPr>
            </w:pPr>
            <w:r>
              <w:rPr>
                <w:sz w:val="22"/>
                <w:szCs w:val="22"/>
                <w:spacing w:val="-3"/>
              </w:rPr>
              <w:t>工业用地</w:t>
            </w:r>
          </w:p>
        </w:tc>
        <w:tc>
          <w:tcPr>
            <w:tcW w:w="1236" w:type="dxa"/>
            <w:vAlign w:val="top"/>
          </w:tcPr>
          <w:p>
            <w:pPr>
              <w:ind w:left="510"/>
              <w:spacing w:before="131"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21</w:t>
            </w:r>
          </w:p>
        </w:tc>
        <w:tc>
          <w:tcPr>
            <w:tcW w:w="1608" w:type="dxa"/>
            <w:vAlign w:val="top"/>
          </w:tcPr>
          <w:p>
            <w:pPr>
              <w:ind w:left="395"/>
              <w:spacing w:before="131"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20729.85</w:t>
            </w:r>
          </w:p>
        </w:tc>
        <w:tc>
          <w:tcPr>
            <w:tcW w:w="1559" w:type="dxa"/>
            <w:vAlign w:val="top"/>
          </w:tcPr>
          <w:p>
            <w:pPr>
              <w:ind w:left="589"/>
              <w:spacing w:before="131"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2.07</w:t>
            </w:r>
          </w:p>
        </w:tc>
      </w:tr>
      <w:tr>
        <w:trPr>
          <w:trHeight w:val="410" w:hRule="atLeast"/>
        </w:trPr>
        <w:tc>
          <w:tcPr>
            <w:tcW w:w="4321" w:type="dxa"/>
            <w:vAlign w:val="top"/>
            <w:gridSpan w:val="2"/>
          </w:tcPr>
          <w:p>
            <w:pPr>
              <w:pStyle w:val="TableText"/>
              <w:ind w:left="1958"/>
              <w:spacing w:before="100" w:line="229" w:lineRule="auto"/>
              <w:rPr/>
            </w:pPr>
            <w:r>
              <w:rPr>
                <w:spacing w:val="4"/>
              </w:rPr>
              <w:t>合计</w:t>
            </w:r>
          </w:p>
        </w:tc>
        <w:tc>
          <w:tcPr>
            <w:tcW w:w="1236" w:type="dxa"/>
            <w:vAlign w:val="top"/>
          </w:tcPr>
          <w:p>
            <w:pPr>
              <w:ind w:left="519"/>
              <w:spacing w:before="13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36</w:t>
            </w:r>
          </w:p>
        </w:tc>
        <w:tc>
          <w:tcPr>
            <w:tcW w:w="1608" w:type="dxa"/>
            <w:vAlign w:val="top"/>
          </w:tcPr>
          <w:p>
            <w:pPr>
              <w:ind w:left="418"/>
              <w:spacing w:before="13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32433.84</w:t>
            </w:r>
          </w:p>
        </w:tc>
        <w:tc>
          <w:tcPr>
            <w:tcW w:w="1559" w:type="dxa"/>
            <w:vAlign w:val="top"/>
          </w:tcPr>
          <w:p>
            <w:pPr>
              <w:ind w:left="600"/>
              <w:spacing w:before="13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3.24</w:t>
            </w:r>
          </w:p>
        </w:tc>
      </w:tr>
    </w:tbl>
    <w:p>
      <w:pPr>
        <w:ind w:left="2291"/>
        <w:spacing w:before="37"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4.2-27      </w:t>
      </w:r>
      <w:r>
        <w:rPr>
          <w:rFonts w:ascii="SimSun" w:hAnsi="SimSun" w:eastAsia="SimSun" w:cs="SimSun"/>
          <w:sz w:val="24"/>
          <w:szCs w:val="24"/>
          <w:b/>
          <w:bCs/>
          <w:spacing w:val="-2"/>
        </w:rPr>
        <w:t>评价区土地利用类型统计表</w:t>
      </w:r>
    </w:p>
    <w:tbl>
      <w:tblPr>
        <w:tblStyle w:val="TableNormal"/>
        <w:tblW w:w="8686"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44"/>
        <w:gridCol w:w="1730"/>
        <w:gridCol w:w="1130"/>
        <w:gridCol w:w="1453"/>
        <w:gridCol w:w="1383"/>
        <w:gridCol w:w="1246"/>
      </w:tblGrid>
      <w:tr>
        <w:trPr>
          <w:trHeight w:val="632" w:hRule="atLeast"/>
        </w:trPr>
        <w:tc>
          <w:tcPr>
            <w:tcW w:w="1744" w:type="dxa"/>
            <w:vAlign w:val="top"/>
          </w:tcPr>
          <w:p>
            <w:pPr>
              <w:pStyle w:val="TableText"/>
              <w:ind w:left="777" w:right="135" w:hanging="634"/>
              <w:spacing w:before="56" w:line="261" w:lineRule="auto"/>
              <w:rPr/>
            </w:pPr>
            <w:r>
              <w:rPr>
                <w:spacing w:val="8"/>
              </w:rPr>
              <w:t>土地利用一级类</w:t>
            </w:r>
            <w:r>
              <w:rPr>
                <w:spacing w:val="2"/>
              </w:rPr>
              <w:t xml:space="preserve"> </w:t>
            </w:r>
            <w:r>
              <w:rPr/>
              <w:t>型</w:t>
            </w:r>
          </w:p>
        </w:tc>
        <w:tc>
          <w:tcPr>
            <w:tcW w:w="1730" w:type="dxa"/>
            <w:vAlign w:val="top"/>
          </w:tcPr>
          <w:p>
            <w:pPr>
              <w:pStyle w:val="TableText"/>
              <w:ind w:left="769" w:right="129" w:hanging="634"/>
              <w:spacing w:before="56" w:line="261" w:lineRule="auto"/>
              <w:rPr/>
            </w:pPr>
            <w:r>
              <w:rPr>
                <w:spacing w:val="8"/>
              </w:rPr>
              <w:t>土地利用二级类</w:t>
            </w:r>
            <w:r>
              <w:rPr>
                <w:spacing w:val="2"/>
              </w:rPr>
              <w:t xml:space="preserve"> </w:t>
            </w:r>
            <w:r>
              <w:rPr/>
              <w:t>型</w:t>
            </w:r>
          </w:p>
        </w:tc>
        <w:tc>
          <w:tcPr>
            <w:tcW w:w="1130" w:type="dxa"/>
            <w:vAlign w:val="top"/>
          </w:tcPr>
          <w:p>
            <w:pPr>
              <w:pStyle w:val="TableText"/>
              <w:ind w:left="254"/>
              <w:spacing w:before="211" w:line="228" w:lineRule="auto"/>
              <w:rPr/>
            </w:pPr>
            <w:r>
              <w:rPr>
                <w:spacing w:val="6"/>
              </w:rPr>
              <w:t>斑块数</w:t>
            </w:r>
          </w:p>
        </w:tc>
        <w:tc>
          <w:tcPr>
            <w:tcW w:w="1453" w:type="dxa"/>
            <w:vAlign w:val="top"/>
          </w:tcPr>
          <w:p>
            <w:pPr>
              <w:pStyle w:val="TableText"/>
              <w:ind w:left="524"/>
              <w:spacing w:before="56" w:line="228" w:lineRule="auto"/>
              <w:rPr/>
            </w:pPr>
            <w:r>
              <w:rPr>
                <w:spacing w:val="4"/>
              </w:rPr>
              <w:t>面积</w:t>
            </w:r>
          </w:p>
          <w:p>
            <w:pPr>
              <w:pStyle w:val="TableText"/>
              <w:ind w:left="217"/>
              <w:spacing w:before="64" w:line="228" w:lineRule="auto"/>
              <w:rPr/>
            </w:pPr>
            <w:r>
              <w:rPr>
                <w:spacing w:val="3"/>
              </w:rPr>
              <w:t>（平方米）</w:t>
            </w:r>
          </w:p>
        </w:tc>
        <w:tc>
          <w:tcPr>
            <w:tcW w:w="1383" w:type="dxa"/>
            <w:vAlign w:val="top"/>
          </w:tcPr>
          <w:p>
            <w:pPr>
              <w:pStyle w:val="TableText"/>
              <w:ind w:left="490"/>
              <w:spacing w:before="56" w:line="228" w:lineRule="auto"/>
              <w:rPr/>
            </w:pPr>
            <w:r>
              <w:rPr>
                <w:spacing w:val="4"/>
              </w:rPr>
              <w:t>面积</w:t>
            </w:r>
          </w:p>
          <w:p>
            <w:pPr>
              <w:pStyle w:val="TableText"/>
              <w:ind w:left="288"/>
              <w:spacing w:before="65" w:line="228" w:lineRule="auto"/>
              <w:rPr/>
            </w:pPr>
            <w:r>
              <w:rPr>
                <w:spacing w:val="2"/>
              </w:rPr>
              <w:t>（公顷）</w:t>
            </w:r>
          </w:p>
        </w:tc>
        <w:tc>
          <w:tcPr>
            <w:tcW w:w="1246" w:type="dxa"/>
            <w:vAlign w:val="top"/>
          </w:tcPr>
          <w:p>
            <w:pPr>
              <w:pStyle w:val="TableText"/>
              <w:ind w:left="155"/>
              <w:spacing w:before="212" w:line="229" w:lineRule="auto"/>
              <w:rPr/>
            </w:pPr>
            <w:r>
              <w:rPr>
                <w:spacing w:val="-2"/>
              </w:rPr>
              <w:t>占比（</w:t>
            </w:r>
            <w:r>
              <w:rPr>
                <w:rFonts w:ascii="Times New Roman" w:hAnsi="Times New Roman" w:eastAsia="Times New Roman" w:cs="Times New Roman"/>
                <w:spacing w:val="-2"/>
              </w:rPr>
              <w:t>%</w:t>
            </w:r>
            <w:r>
              <w:rPr>
                <w:spacing w:val="-2"/>
              </w:rPr>
              <w:t>）</w:t>
            </w:r>
          </w:p>
        </w:tc>
      </w:tr>
      <w:tr>
        <w:trPr>
          <w:trHeight w:val="406" w:hRule="atLeast"/>
        </w:trPr>
        <w:tc>
          <w:tcPr>
            <w:tcW w:w="1744" w:type="dxa"/>
            <w:vAlign w:val="top"/>
          </w:tcPr>
          <w:p>
            <w:pPr>
              <w:pStyle w:val="TableText"/>
              <w:ind w:left="657"/>
              <w:spacing w:before="93" w:line="219" w:lineRule="auto"/>
              <w:rPr>
                <w:sz w:val="22"/>
                <w:szCs w:val="22"/>
              </w:rPr>
            </w:pPr>
            <w:r>
              <w:rPr>
                <w:sz w:val="22"/>
                <w:szCs w:val="22"/>
                <w:spacing w:val="-4"/>
              </w:rPr>
              <w:t>耕地</w:t>
            </w:r>
          </w:p>
        </w:tc>
        <w:tc>
          <w:tcPr>
            <w:tcW w:w="1730" w:type="dxa"/>
            <w:vAlign w:val="top"/>
          </w:tcPr>
          <w:p>
            <w:pPr>
              <w:pStyle w:val="TableText"/>
              <w:ind w:left="651"/>
              <w:spacing w:before="92" w:line="222" w:lineRule="auto"/>
              <w:rPr>
                <w:sz w:val="22"/>
                <w:szCs w:val="22"/>
              </w:rPr>
            </w:pPr>
            <w:r>
              <w:rPr>
                <w:sz w:val="22"/>
                <w:szCs w:val="22"/>
                <w:spacing w:val="-5"/>
              </w:rPr>
              <w:t>旱地</w:t>
            </w:r>
          </w:p>
        </w:tc>
        <w:tc>
          <w:tcPr>
            <w:tcW w:w="1130" w:type="dxa"/>
            <w:vAlign w:val="top"/>
          </w:tcPr>
          <w:p>
            <w:pPr>
              <w:ind w:left="461"/>
              <w:spacing w:before="128"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54</w:t>
            </w:r>
          </w:p>
        </w:tc>
        <w:tc>
          <w:tcPr>
            <w:tcW w:w="1453" w:type="dxa"/>
            <w:vAlign w:val="top"/>
          </w:tcPr>
          <w:p>
            <w:pPr>
              <w:ind w:left="282"/>
              <w:spacing w:before="128"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165103.71</w:t>
            </w:r>
          </w:p>
        </w:tc>
        <w:tc>
          <w:tcPr>
            <w:tcW w:w="1383" w:type="dxa"/>
            <w:vAlign w:val="top"/>
          </w:tcPr>
          <w:p>
            <w:pPr>
              <w:ind w:left="468"/>
              <w:spacing w:before="128"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16.51</w:t>
            </w:r>
          </w:p>
        </w:tc>
        <w:tc>
          <w:tcPr>
            <w:tcW w:w="1246" w:type="dxa"/>
            <w:vAlign w:val="top"/>
          </w:tcPr>
          <w:p>
            <w:pPr>
              <w:ind w:left="461"/>
              <w:spacing w:before="13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13.0</w:t>
            </w:r>
          </w:p>
        </w:tc>
      </w:tr>
      <w:tr>
        <w:trPr>
          <w:trHeight w:val="406" w:hRule="atLeast"/>
        </w:trPr>
        <w:tc>
          <w:tcPr>
            <w:tcW w:w="1744" w:type="dxa"/>
            <w:vAlign w:val="top"/>
            <w:vMerge w:val="restart"/>
            <w:tcBorders>
              <w:bottom w:val="nil"/>
            </w:tcBorders>
          </w:tcPr>
          <w:p>
            <w:pPr>
              <w:pStyle w:val="TableText"/>
              <w:ind w:left="669"/>
              <w:spacing w:before="303" w:line="228" w:lineRule="auto"/>
              <w:rPr/>
            </w:pPr>
            <w:r>
              <w:rPr>
                <w:spacing w:val="4"/>
              </w:rPr>
              <w:t>林地</w:t>
            </w:r>
          </w:p>
        </w:tc>
        <w:tc>
          <w:tcPr>
            <w:tcW w:w="1730" w:type="dxa"/>
            <w:vAlign w:val="top"/>
          </w:tcPr>
          <w:p>
            <w:pPr>
              <w:pStyle w:val="TableText"/>
              <w:ind w:left="430"/>
              <w:spacing w:before="92" w:line="220" w:lineRule="auto"/>
              <w:rPr>
                <w:sz w:val="22"/>
                <w:szCs w:val="22"/>
              </w:rPr>
            </w:pPr>
            <w:r>
              <w:rPr>
                <w:sz w:val="22"/>
                <w:szCs w:val="22"/>
                <w:spacing w:val="-3"/>
              </w:rPr>
              <w:t>乔木林地</w:t>
            </w:r>
          </w:p>
        </w:tc>
        <w:tc>
          <w:tcPr>
            <w:tcW w:w="1130" w:type="dxa"/>
            <w:vAlign w:val="top"/>
          </w:tcPr>
          <w:p>
            <w:pPr>
              <w:ind w:left="476"/>
              <w:spacing w:before="130"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3"/>
              </w:rPr>
              <w:t>12</w:t>
            </w:r>
          </w:p>
        </w:tc>
        <w:tc>
          <w:tcPr>
            <w:tcW w:w="1453" w:type="dxa"/>
            <w:vAlign w:val="top"/>
          </w:tcPr>
          <w:p>
            <w:pPr>
              <w:ind w:left="321"/>
              <w:spacing w:before="130"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67142.39</w:t>
            </w:r>
          </w:p>
        </w:tc>
        <w:tc>
          <w:tcPr>
            <w:tcW w:w="1383" w:type="dxa"/>
            <w:vAlign w:val="top"/>
          </w:tcPr>
          <w:p>
            <w:pPr>
              <w:ind w:left="507"/>
              <w:spacing w:before="130"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6.71</w:t>
            </w:r>
          </w:p>
        </w:tc>
        <w:tc>
          <w:tcPr>
            <w:tcW w:w="1246" w:type="dxa"/>
            <w:vAlign w:val="top"/>
          </w:tcPr>
          <w:p>
            <w:pPr>
              <w:ind w:left="447"/>
              <w:spacing w:before="13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5.28</w:t>
            </w:r>
          </w:p>
        </w:tc>
      </w:tr>
      <w:tr>
        <w:trPr>
          <w:trHeight w:val="408" w:hRule="atLeast"/>
        </w:trPr>
        <w:tc>
          <w:tcPr>
            <w:tcW w:w="1744" w:type="dxa"/>
            <w:vAlign w:val="top"/>
            <w:vMerge w:val="continue"/>
            <w:tcBorders>
              <w:top w:val="nil"/>
            </w:tcBorders>
          </w:tcPr>
          <w:p>
            <w:pPr>
              <w:rPr>
                <w:rFonts w:ascii="Arial"/>
                <w:sz w:val="21"/>
              </w:rPr>
            </w:pPr>
            <w:r/>
          </w:p>
        </w:tc>
        <w:tc>
          <w:tcPr>
            <w:tcW w:w="1730" w:type="dxa"/>
            <w:vAlign w:val="top"/>
          </w:tcPr>
          <w:p>
            <w:pPr>
              <w:pStyle w:val="TableText"/>
              <w:ind w:left="432"/>
              <w:spacing w:before="94" w:line="220" w:lineRule="auto"/>
              <w:rPr>
                <w:sz w:val="22"/>
                <w:szCs w:val="22"/>
              </w:rPr>
            </w:pPr>
            <w:r>
              <w:rPr>
                <w:sz w:val="22"/>
                <w:szCs w:val="22"/>
                <w:spacing w:val="-3"/>
              </w:rPr>
              <w:t>灌木林地</w:t>
            </w:r>
          </w:p>
        </w:tc>
        <w:tc>
          <w:tcPr>
            <w:tcW w:w="1130" w:type="dxa"/>
            <w:vAlign w:val="top"/>
          </w:tcPr>
          <w:p>
            <w:pPr>
              <w:ind w:left="459"/>
              <w:spacing w:before="132"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35</w:t>
            </w:r>
          </w:p>
        </w:tc>
        <w:tc>
          <w:tcPr>
            <w:tcW w:w="1453" w:type="dxa"/>
            <w:vAlign w:val="top"/>
          </w:tcPr>
          <w:p>
            <w:pPr>
              <w:ind w:left="282"/>
              <w:spacing w:before="132"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105240.66</w:t>
            </w:r>
          </w:p>
        </w:tc>
        <w:tc>
          <w:tcPr>
            <w:tcW w:w="1383" w:type="dxa"/>
            <w:vAlign w:val="top"/>
          </w:tcPr>
          <w:p>
            <w:pPr>
              <w:ind w:left="468"/>
              <w:spacing w:before="132"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10.52</w:t>
            </w:r>
          </w:p>
        </w:tc>
        <w:tc>
          <w:tcPr>
            <w:tcW w:w="1246" w:type="dxa"/>
            <w:vAlign w:val="top"/>
          </w:tcPr>
          <w:p>
            <w:pPr>
              <w:ind w:left="450"/>
              <w:spacing w:before="13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8.28</w:t>
            </w:r>
          </w:p>
        </w:tc>
      </w:tr>
    </w:tbl>
    <w:p>
      <w:pPr>
        <w:pStyle w:val="BodyText"/>
        <w:rPr/>
      </w:pPr>
      <w:r/>
    </w:p>
    <w:p>
      <w:pPr>
        <w:sectPr>
          <w:headerReference w:type="default" r:id="rId168"/>
          <w:footerReference w:type="default" r:id="rId169"/>
          <w:pgSz w:w="11906" w:h="16839"/>
          <w:pgMar w:top="1567" w:right="1588" w:bottom="1482" w:left="1583" w:header="1221" w:footer="1248" w:gutter="0"/>
        </w:sectPr>
        <w:rPr/>
      </w:pPr>
    </w:p>
    <w:p>
      <w:pPr>
        <w:spacing w:line="133" w:lineRule="exact"/>
        <w:rPr/>
      </w:pPr>
      <w:r>
        <w:pict>
          <v:shape id="_x0000_s704" style="position:absolute;margin-left:85.05pt;margin-top:78.87pt;mso-position-vertical-relative:page;mso-position-horizontal-relative:page;width:425.25pt;height:0.75pt;z-index:251974656;" o:allowincell="f" fillcolor="#000000" filled="true" stroked="false" coordsize="8505,15" coordorigin="0,0" path="m,l8504,0l8504,14l0,14l0,0xe"/>
        </w:pict>
      </w:r>
      <w:r/>
    </w:p>
    <w:tbl>
      <w:tblPr>
        <w:tblStyle w:val="TableNormal"/>
        <w:tblW w:w="8686"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44"/>
        <w:gridCol w:w="1730"/>
        <w:gridCol w:w="1130"/>
        <w:gridCol w:w="1453"/>
        <w:gridCol w:w="1383"/>
        <w:gridCol w:w="1246"/>
      </w:tblGrid>
      <w:tr>
        <w:trPr>
          <w:trHeight w:val="411" w:hRule="atLeast"/>
        </w:trPr>
        <w:tc>
          <w:tcPr>
            <w:tcW w:w="1744" w:type="dxa"/>
            <w:vAlign w:val="top"/>
          </w:tcPr>
          <w:p>
            <w:pPr>
              <w:pStyle w:val="TableText"/>
              <w:ind w:left="658"/>
              <w:spacing w:before="97" w:line="220" w:lineRule="auto"/>
              <w:rPr>
                <w:sz w:val="22"/>
                <w:szCs w:val="22"/>
              </w:rPr>
            </w:pPr>
            <w:r>
              <w:rPr>
                <w:sz w:val="22"/>
                <w:szCs w:val="22"/>
                <w:spacing w:val="-5"/>
              </w:rPr>
              <w:t>草地</w:t>
            </w:r>
          </w:p>
        </w:tc>
        <w:tc>
          <w:tcPr>
            <w:tcW w:w="1730" w:type="dxa"/>
            <w:vAlign w:val="top"/>
          </w:tcPr>
          <w:p>
            <w:pPr>
              <w:pStyle w:val="TableText"/>
              <w:ind w:left="324"/>
              <w:spacing w:before="97" w:line="220" w:lineRule="auto"/>
              <w:rPr>
                <w:sz w:val="22"/>
                <w:szCs w:val="22"/>
              </w:rPr>
            </w:pPr>
            <w:r>
              <w:rPr>
                <w:sz w:val="22"/>
                <w:szCs w:val="22"/>
                <w:spacing w:val="-3"/>
              </w:rPr>
              <w:t>天然牧草地</w:t>
            </w:r>
          </w:p>
        </w:tc>
        <w:tc>
          <w:tcPr>
            <w:tcW w:w="1130" w:type="dxa"/>
            <w:vAlign w:val="top"/>
          </w:tcPr>
          <w:p>
            <w:pPr>
              <w:ind w:left="402"/>
              <w:spacing w:before="132"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292</w:t>
            </w:r>
          </w:p>
        </w:tc>
        <w:tc>
          <w:tcPr>
            <w:tcW w:w="1453" w:type="dxa"/>
            <w:vAlign w:val="top"/>
          </w:tcPr>
          <w:p>
            <w:pPr>
              <w:ind w:left="264"/>
              <w:spacing w:before="132"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741944.35</w:t>
            </w:r>
          </w:p>
        </w:tc>
        <w:tc>
          <w:tcPr>
            <w:tcW w:w="1383" w:type="dxa"/>
            <w:vAlign w:val="top"/>
          </w:tcPr>
          <w:p>
            <w:pPr>
              <w:ind w:left="450"/>
              <w:spacing w:before="132"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74.19</w:t>
            </w:r>
          </w:p>
        </w:tc>
        <w:tc>
          <w:tcPr>
            <w:tcW w:w="1246" w:type="dxa"/>
            <w:vAlign w:val="top"/>
          </w:tcPr>
          <w:p>
            <w:pPr>
              <w:ind w:left="394"/>
              <w:spacing w:before="13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58.44</w:t>
            </w:r>
          </w:p>
        </w:tc>
      </w:tr>
      <w:tr>
        <w:trPr>
          <w:trHeight w:val="406" w:hRule="atLeast"/>
        </w:trPr>
        <w:tc>
          <w:tcPr>
            <w:tcW w:w="1744" w:type="dxa"/>
            <w:vAlign w:val="top"/>
          </w:tcPr>
          <w:p>
            <w:pPr>
              <w:pStyle w:val="TableText"/>
              <w:ind w:left="220"/>
              <w:spacing w:before="91" w:line="220" w:lineRule="auto"/>
              <w:rPr>
                <w:sz w:val="22"/>
                <w:szCs w:val="22"/>
              </w:rPr>
            </w:pPr>
            <w:r>
              <w:rPr>
                <w:sz w:val="22"/>
                <w:szCs w:val="22"/>
                <w:spacing w:val="-2"/>
              </w:rPr>
              <w:t>工矿仓储用地</w:t>
            </w:r>
          </w:p>
        </w:tc>
        <w:tc>
          <w:tcPr>
            <w:tcW w:w="1730" w:type="dxa"/>
            <w:vAlign w:val="top"/>
          </w:tcPr>
          <w:p>
            <w:pPr>
              <w:pStyle w:val="TableText"/>
              <w:ind w:left="432"/>
              <w:spacing w:before="91" w:line="222" w:lineRule="auto"/>
              <w:rPr>
                <w:sz w:val="22"/>
                <w:szCs w:val="22"/>
              </w:rPr>
            </w:pPr>
            <w:r>
              <w:rPr>
                <w:sz w:val="22"/>
                <w:szCs w:val="22"/>
                <w:spacing w:val="-3"/>
              </w:rPr>
              <w:t>工业用地</w:t>
            </w:r>
          </w:p>
        </w:tc>
        <w:tc>
          <w:tcPr>
            <w:tcW w:w="1130" w:type="dxa"/>
            <w:vAlign w:val="top"/>
          </w:tcPr>
          <w:p>
            <w:pPr>
              <w:ind w:left="423"/>
              <w:spacing w:before="129"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rPr>
              <w:t>120</w:t>
            </w:r>
          </w:p>
        </w:tc>
        <w:tc>
          <w:tcPr>
            <w:tcW w:w="1453" w:type="dxa"/>
            <w:vAlign w:val="top"/>
          </w:tcPr>
          <w:p>
            <w:pPr>
              <w:ind w:left="282"/>
              <w:spacing w:before="129"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144217.26</w:t>
            </w:r>
          </w:p>
        </w:tc>
        <w:tc>
          <w:tcPr>
            <w:tcW w:w="1383" w:type="dxa"/>
            <w:vAlign w:val="top"/>
          </w:tcPr>
          <w:p>
            <w:pPr>
              <w:ind w:left="468"/>
              <w:spacing w:before="129"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14.42</w:t>
            </w:r>
          </w:p>
        </w:tc>
        <w:tc>
          <w:tcPr>
            <w:tcW w:w="1246" w:type="dxa"/>
            <w:vAlign w:val="top"/>
          </w:tcPr>
          <w:p>
            <w:pPr>
              <w:ind w:left="411"/>
              <w:spacing w:before="13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11.37</w:t>
            </w:r>
          </w:p>
        </w:tc>
      </w:tr>
      <w:tr>
        <w:trPr>
          <w:trHeight w:val="406" w:hRule="atLeast"/>
        </w:trPr>
        <w:tc>
          <w:tcPr>
            <w:tcW w:w="1744" w:type="dxa"/>
            <w:vAlign w:val="top"/>
          </w:tcPr>
          <w:p>
            <w:pPr>
              <w:pStyle w:val="TableText"/>
              <w:ind w:left="222"/>
              <w:spacing w:before="93" w:line="220" w:lineRule="auto"/>
              <w:rPr>
                <w:sz w:val="22"/>
                <w:szCs w:val="22"/>
              </w:rPr>
            </w:pPr>
            <w:r>
              <w:rPr>
                <w:sz w:val="22"/>
                <w:szCs w:val="22"/>
                <w:spacing w:val="-2"/>
              </w:rPr>
              <w:t>交通运输用地</w:t>
            </w:r>
          </w:p>
        </w:tc>
        <w:tc>
          <w:tcPr>
            <w:tcW w:w="1730" w:type="dxa"/>
            <w:vAlign w:val="top"/>
          </w:tcPr>
          <w:p>
            <w:pPr>
              <w:pStyle w:val="TableText"/>
              <w:ind w:left="430"/>
              <w:spacing w:before="93" w:line="219" w:lineRule="auto"/>
              <w:rPr>
                <w:sz w:val="22"/>
                <w:szCs w:val="22"/>
              </w:rPr>
            </w:pPr>
            <w:r>
              <w:rPr>
                <w:sz w:val="22"/>
                <w:szCs w:val="22"/>
                <w:spacing w:val="-2"/>
              </w:rPr>
              <w:t>农村道路</w:t>
            </w:r>
          </w:p>
        </w:tc>
        <w:tc>
          <w:tcPr>
            <w:tcW w:w="1130" w:type="dxa"/>
            <w:vAlign w:val="top"/>
          </w:tcPr>
          <w:p>
            <w:pPr>
              <w:ind w:left="531"/>
              <w:spacing w:before="129"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1</w:t>
            </w:r>
          </w:p>
        </w:tc>
        <w:tc>
          <w:tcPr>
            <w:tcW w:w="1453" w:type="dxa"/>
            <w:vAlign w:val="top"/>
          </w:tcPr>
          <w:p>
            <w:pPr>
              <w:ind w:left="337"/>
              <w:spacing w:before="129"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18458.32</w:t>
            </w:r>
          </w:p>
        </w:tc>
        <w:tc>
          <w:tcPr>
            <w:tcW w:w="1383" w:type="dxa"/>
            <w:vAlign w:val="top"/>
          </w:tcPr>
          <w:p>
            <w:pPr>
              <w:ind w:left="523"/>
              <w:spacing w:before="129"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1.85</w:t>
            </w:r>
          </w:p>
        </w:tc>
        <w:tc>
          <w:tcPr>
            <w:tcW w:w="1246" w:type="dxa"/>
            <w:vAlign w:val="top"/>
          </w:tcPr>
          <w:p>
            <w:pPr>
              <w:ind w:left="461"/>
              <w:spacing w:before="13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1.47</w:t>
            </w:r>
          </w:p>
        </w:tc>
      </w:tr>
      <w:tr>
        <w:trPr>
          <w:trHeight w:val="627" w:hRule="atLeast"/>
        </w:trPr>
        <w:tc>
          <w:tcPr>
            <w:tcW w:w="1744" w:type="dxa"/>
            <w:vAlign w:val="top"/>
          </w:tcPr>
          <w:p>
            <w:pPr>
              <w:pStyle w:val="TableText"/>
              <w:ind w:left="220"/>
              <w:spacing w:before="49" w:line="220" w:lineRule="auto"/>
              <w:rPr>
                <w:sz w:val="22"/>
                <w:szCs w:val="22"/>
              </w:rPr>
            </w:pPr>
            <w:r>
              <w:rPr>
                <w:sz w:val="22"/>
                <w:szCs w:val="22"/>
                <w:spacing w:val="-2"/>
              </w:rPr>
              <w:t>水域及水利设</w:t>
            </w:r>
          </w:p>
          <w:p>
            <w:pPr>
              <w:pStyle w:val="TableText"/>
              <w:ind w:left="548"/>
              <w:spacing w:before="50" w:line="214" w:lineRule="auto"/>
              <w:rPr>
                <w:sz w:val="22"/>
                <w:szCs w:val="22"/>
              </w:rPr>
            </w:pPr>
            <w:r>
              <w:rPr>
                <w:sz w:val="22"/>
                <w:szCs w:val="22"/>
                <w:spacing w:val="-2"/>
              </w:rPr>
              <w:t>施用地</w:t>
            </w:r>
          </w:p>
        </w:tc>
        <w:tc>
          <w:tcPr>
            <w:tcW w:w="1730" w:type="dxa"/>
            <w:vAlign w:val="top"/>
          </w:tcPr>
          <w:p>
            <w:pPr>
              <w:pStyle w:val="TableText"/>
              <w:ind w:left="647"/>
              <w:spacing w:before="205" w:line="222" w:lineRule="auto"/>
              <w:rPr>
                <w:sz w:val="22"/>
                <w:szCs w:val="22"/>
              </w:rPr>
            </w:pPr>
            <w:r>
              <w:rPr>
                <w:sz w:val="22"/>
                <w:szCs w:val="22"/>
                <w:spacing w:val="-3"/>
              </w:rPr>
              <w:t>河流</w:t>
            </w:r>
          </w:p>
        </w:tc>
        <w:tc>
          <w:tcPr>
            <w:tcW w:w="1130" w:type="dxa"/>
            <w:vAlign w:val="top"/>
          </w:tcPr>
          <w:p>
            <w:pPr>
              <w:ind w:left="454"/>
              <w:spacing w:before="241"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45</w:t>
            </w:r>
          </w:p>
        </w:tc>
        <w:tc>
          <w:tcPr>
            <w:tcW w:w="1453" w:type="dxa"/>
            <w:vAlign w:val="top"/>
          </w:tcPr>
          <w:p>
            <w:pPr>
              <w:ind w:left="316"/>
              <w:spacing w:before="241"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27393.57</w:t>
            </w:r>
          </w:p>
        </w:tc>
        <w:tc>
          <w:tcPr>
            <w:tcW w:w="1383" w:type="dxa"/>
            <w:vAlign w:val="top"/>
          </w:tcPr>
          <w:p>
            <w:pPr>
              <w:ind w:left="502"/>
              <w:spacing w:before="241"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2.74</w:t>
            </w:r>
          </w:p>
        </w:tc>
        <w:tc>
          <w:tcPr>
            <w:tcW w:w="1246" w:type="dxa"/>
            <w:vAlign w:val="top"/>
          </w:tcPr>
          <w:p>
            <w:pPr>
              <w:ind w:left="441"/>
              <w:spacing w:before="2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2.16</w:t>
            </w:r>
          </w:p>
        </w:tc>
      </w:tr>
      <w:tr>
        <w:trPr>
          <w:trHeight w:val="411" w:hRule="atLeast"/>
        </w:trPr>
        <w:tc>
          <w:tcPr>
            <w:tcW w:w="3474" w:type="dxa"/>
            <w:vAlign w:val="top"/>
            <w:gridSpan w:val="2"/>
          </w:tcPr>
          <w:p>
            <w:pPr>
              <w:pStyle w:val="TableText"/>
              <w:ind w:left="1533"/>
              <w:spacing w:before="102" w:line="229" w:lineRule="auto"/>
              <w:rPr/>
            </w:pPr>
            <w:r>
              <w:rPr>
                <w:spacing w:val="4"/>
              </w:rPr>
              <w:t>合计</w:t>
            </w:r>
          </w:p>
        </w:tc>
        <w:tc>
          <w:tcPr>
            <w:tcW w:w="1130" w:type="dxa"/>
            <w:vAlign w:val="top"/>
          </w:tcPr>
          <w:p>
            <w:pPr>
              <w:ind w:left="408"/>
              <w:spacing w:before="132"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rPr>
              <w:t>559</w:t>
            </w:r>
          </w:p>
        </w:tc>
        <w:tc>
          <w:tcPr>
            <w:tcW w:w="1453" w:type="dxa"/>
            <w:vAlign w:val="top"/>
          </w:tcPr>
          <w:p>
            <w:pPr>
              <w:ind w:left="227"/>
              <w:spacing w:before="132"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1269500.26</w:t>
            </w:r>
          </w:p>
        </w:tc>
        <w:tc>
          <w:tcPr>
            <w:tcW w:w="1383" w:type="dxa"/>
            <w:vAlign w:val="top"/>
          </w:tcPr>
          <w:p>
            <w:pPr>
              <w:ind w:left="413"/>
              <w:spacing w:before="132"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rPr>
              <w:t>126.95</w:t>
            </w:r>
          </w:p>
        </w:tc>
        <w:tc>
          <w:tcPr>
            <w:tcW w:w="1246" w:type="dxa"/>
            <w:vAlign w:val="top"/>
          </w:tcPr>
          <w:p>
            <w:pPr>
              <w:ind w:left="488"/>
              <w:spacing w:before="13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100</w:t>
            </w:r>
          </w:p>
        </w:tc>
      </w:tr>
    </w:tbl>
    <w:p>
      <w:pPr>
        <w:ind w:left="606"/>
        <w:spacing w:before="35" w:line="218" w:lineRule="auto"/>
        <w:rPr>
          <w:rFonts w:ascii="SimSun" w:hAnsi="SimSun" w:eastAsia="SimSun" w:cs="SimSun"/>
          <w:sz w:val="24"/>
          <w:szCs w:val="24"/>
        </w:rPr>
      </w:pPr>
      <w:r>
        <w:rPr>
          <w:rFonts w:ascii="SimSun" w:hAnsi="SimSun" w:eastAsia="SimSun" w:cs="SimSun"/>
          <w:sz w:val="24"/>
          <w:szCs w:val="24"/>
          <w:spacing w:val="12"/>
        </w:rPr>
        <w:t>评价范围内主要土地利用类型为天然牧草地</w:t>
      </w:r>
      <w:r>
        <w:rPr>
          <w:rFonts w:ascii="SimSun" w:hAnsi="SimSun" w:eastAsia="SimSun" w:cs="SimSun"/>
          <w:sz w:val="24"/>
          <w:szCs w:val="24"/>
          <w:spacing w:val="-72"/>
        </w:rPr>
        <w:t xml:space="preserve"> </w:t>
      </w:r>
      <w:r>
        <w:rPr>
          <w:rFonts w:ascii="SimSun" w:hAnsi="SimSun" w:eastAsia="SimSun" w:cs="SimSun"/>
          <w:sz w:val="24"/>
          <w:szCs w:val="24"/>
          <w:spacing w:val="12"/>
        </w:rPr>
        <w:t>，面积</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2"/>
        </w:rPr>
        <w:t>74.</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2"/>
        </w:rPr>
        <w:t>19</w:t>
      </w:r>
      <w:r>
        <w:rPr>
          <w:rFonts w:ascii="Times New Roman" w:hAnsi="Times New Roman" w:eastAsia="Times New Roman" w:cs="Times New Roman"/>
          <w:sz w:val="24"/>
          <w:szCs w:val="24"/>
        </w:rPr>
        <w:t>hm</w:t>
      </w:r>
      <w:r>
        <w:rPr>
          <w:rFonts w:ascii="Times New Roman" w:hAnsi="Times New Roman" w:eastAsia="Times New Roman" w:cs="Times New Roman"/>
          <w:sz w:val="15"/>
          <w:szCs w:val="15"/>
          <w:spacing w:val="12"/>
          <w:position w:val="8"/>
        </w:rPr>
        <w:t>2 </w:t>
      </w:r>
      <w:r>
        <w:rPr>
          <w:rFonts w:ascii="SimSun" w:hAnsi="SimSun" w:eastAsia="SimSun" w:cs="SimSun"/>
          <w:sz w:val="24"/>
          <w:szCs w:val="24"/>
          <w:spacing w:val="12"/>
        </w:rPr>
        <w:t>，所占比例</w:t>
      </w:r>
    </w:p>
    <w:p>
      <w:pPr>
        <w:ind w:left="129" w:right="70"/>
        <w:spacing w:before="181" w:line="290" w:lineRule="auto"/>
        <w:rPr>
          <w:rFonts w:ascii="SimSun" w:hAnsi="SimSun" w:eastAsia="SimSun" w:cs="SimSun"/>
          <w:sz w:val="24"/>
          <w:szCs w:val="24"/>
        </w:rPr>
      </w:pPr>
      <w:r>
        <w:rPr>
          <w:rFonts w:ascii="Times New Roman" w:hAnsi="Times New Roman" w:eastAsia="Times New Roman" w:cs="Times New Roman"/>
          <w:sz w:val="24"/>
          <w:szCs w:val="24"/>
          <w:spacing w:val="-1"/>
        </w:rPr>
        <w:t>58.44%</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。其他土地利用类型包括耕地用地面积</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16.51hm</w:t>
      </w:r>
      <w:r>
        <w:rPr>
          <w:rFonts w:ascii="Times New Roman" w:hAnsi="Times New Roman" w:eastAsia="Times New Roman" w:cs="Times New Roman"/>
          <w:sz w:val="15"/>
          <w:szCs w:val="15"/>
          <w:spacing w:val="-1"/>
          <w:position w:val="7"/>
        </w:rPr>
        <w:t>2 </w:t>
      </w:r>
      <w:r>
        <w:rPr>
          <w:rFonts w:ascii="SimSun" w:hAnsi="SimSun" w:eastAsia="SimSun" w:cs="SimSun"/>
          <w:sz w:val="24"/>
          <w:szCs w:val="24"/>
          <w:spacing w:val="-1"/>
        </w:rPr>
        <w:t>，所占比例</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13.0</w:t>
      </w:r>
      <w:r>
        <w:rPr>
          <w:rFonts w:ascii="Times New Roman" w:hAnsi="Times New Roman" w:eastAsia="Times New Roman" w:cs="Times New Roman"/>
          <w:sz w:val="24"/>
          <w:szCs w:val="24"/>
          <w:spacing w:val="-2"/>
        </w:rPr>
        <w:t>%</w:t>
      </w:r>
      <w:r>
        <w:rPr>
          <w:rFonts w:ascii="SimSun" w:hAnsi="SimSun" w:eastAsia="SimSun" w:cs="SimSun"/>
          <w:sz w:val="24"/>
          <w:szCs w:val="24"/>
          <w:spacing w:val="-2"/>
        </w:rPr>
        <w:t>；其他</w:t>
      </w:r>
      <w:r>
        <w:rPr>
          <w:rFonts w:ascii="SimSun" w:hAnsi="SimSun" w:eastAsia="SimSun" w:cs="SimSun"/>
          <w:sz w:val="24"/>
          <w:szCs w:val="24"/>
        </w:rPr>
        <w:t xml:space="preserve"> </w:t>
      </w:r>
      <w:r>
        <w:rPr>
          <w:rFonts w:ascii="SimSun" w:hAnsi="SimSun" w:eastAsia="SimSun" w:cs="SimSun"/>
          <w:sz w:val="24"/>
          <w:szCs w:val="24"/>
          <w:spacing w:val="-1"/>
        </w:rPr>
        <w:t>工况仓储用地、交通运输用地、水域及水利设</w:t>
      </w:r>
      <w:r>
        <w:rPr>
          <w:rFonts w:ascii="SimSun" w:hAnsi="SimSun" w:eastAsia="SimSun" w:cs="SimSun"/>
          <w:sz w:val="24"/>
          <w:szCs w:val="24"/>
          <w:spacing w:val="-2"/>
        </w:rPr>
        <w:t>施用地分别为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14.42hm</w:t>
      </w:r>
      <w:r>
        <w:rPr>
          <w:rFonts w:ascii="Times New Roman" w:hAnsi="Times New Roman" w:eastAsia="Times New Roman" w:cs="Times New Roman"/>
          <w:sz w:val="15"/>
          <w:szCs w:val="15"/>
          <w:spacing w:val="-2"/>
          <w:position w:val="8"/>
        </w:rPr>
        <w:t>2</w:t>
      </w:r>
      <w:r>
        <w:rPr>
          <w:rFonts w:ascii="Times New Roman" w:hAnsi="Times New Roman" w:eastAsia="Times New Roman" w:cs="Times New Roman"/>
          <w:sz w:val="15"/>
          <w:szCs w:val="15"/>
          <w:spacing w:val="-10"/>
          <w:position w:val="8"/>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1.85hm</w:t>
      </w:r>
      <w:r>
        <w:rPr>
          <w:rFonts w:ascii="Times New Roman" w:hAnsi="Times New Roman" w:eastAsia="Times New Roman" w:cs="Times New Roman"/>
          <w:sz w:val="15"/>
          <w:szCs w:val="15"/>
          <w:spacing w:val="-2"/>
          <w:position w:val="8"/>
        </w:rPr>
        <w:t>2</w:t>
      </w:r>
      <w:r>
        <w:rPr>
          <w:rFonts w:ascii="SimSun" w:hAnsi="SimSun" w:eastAsia="SimSun" w:cs="SimSun"/>
          <w:sz w:val="24"/>
          <w:szCs w:val="24"/>
          <w:spacing w:val="-2"/>
        </w:rPr>
        <w:t>、</w:t>
      </w:r>
    </w:p>
    <w:p>
      <w:pPr>
        <w:ind w:left="123"/>
        <w:spacing w:before="200" w:line="197" w:lineRule="auto"/>
        <w:rPr>
          <w:rFonts w:ascii="SimSun" w:hAnsi="SimSun" w:eastAsia="SimSun" w:cs="SimSun"/>
          <w:sz w:val="24"/>
          <w:szCs w:val="24"/>
        </w:rPr>
      </w:pPr>
      <w:r>
        <w:rPr>
          <w:rFonts w:ascii="Times New Roman" w:hAnsi="Times New Roman" w:eastAsia="Times New Roman" w:cs="Times New Roman"/>
          <w:sz w:val="24"/>
          <w:szCs w:val="24"/>
          <w:spacing w:val="-1"/>
        </w:rPr>
        <w:t>2.74hm</w:t>
      </w:r>
      <w:r>
        <w:rPr>
          <w:rFonts w:ascii="Times New Roman" w:hAnsi="Times New Roman" w:eastAsia="Times New Roman" w:cs="Times New Roman"/>
          <w:sz w:val="15"/>
          <w:szCs w:val="15"/>
          <w:spacing w:val="-1"/>
          <w:position w:val="7"/>
        </w:rPr>
        <w:t>2</w:t>
      </w:r>
      <w:r>
        <w:rPr>
          <w:rFonts w:ascii="SimSun" w:hAnsi="SimSun" w:eastAsia="SimSun" w:cs="SimSun"/>
          <w:sz w:val="24"/>
          <w:szCs w:val="24"/>
          <w:spacing w:val="-1"/>
        </w:rPr>
        <w:t>。</w:t>
      </w:r>
    </w:p>
    <w:p>
      <w:pPr>
        <w:ind w:firstLine="118"/>
        <w:spacing w:before="157" w:line="6002" w:lineRule="exact"/>
        <w:rPr/>
      </w:pPr>
      <w:r>
        <w:rPr>
          <w:position w:val="-120"/>
        </w:rPr>
        <w:drawing>
          <wp:inline distT="0" distB="0" distL="0" distR="0">
            <wp:extent cx="5391911" cy="3811523"/>
            <wp:effectExtent l="0" t="0" r="0" b="0"/>
            <wp:docPr id="92" name="IM 92"/>
            <wp:cNvGraphicFramePr/>
            <a:graphic>
              <a:graphicData uri="http://schemas.openxmlformats.org/drawingml/2006/picture">
                <pic:pic>
                  <pic:nvPicPr>
                    <pic:cNvPr id="92" name="IM 92"/>
                    <pic:cNvPicPr/>
                  </pic:nvPicPr>
                  <pic:blipFill>
                    <a:blip r:embed="rId173"/>
                    <a:stretch>
                      <a:fillRect/>
                    </a:stretch>
                  </pic:blipFill>
                  <pic:spPr>
                    <a:xfrm rot="0">
                      <a:off x="0" y="0"/>
                      <a:ext cx="5391911" cy="3811523"/>
                    </a:xfrm>
                    <a:prstGeom prst="rect">
                      <a:avLst/>
                    </a:prstGeom>
                  </pic:spPr>
                </pic:pic>
              </a:graphicData>
            </a:graphic>
          </wp:inline>
        </w:drawing>
      </w:r>
    </w:p>
    <w:p>
      <w:pPr>
        <w:ind w:left="2918"/>
        <w:spacing w:before="280"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50"/>
        </w:rPr>
        <w:t xml:space="preserve"> </w:t>
      </w:r>
      <w:r>
        <w:rPr>
          <w:rFonts w:ascii="Times New Roman" w:hAnsi="Times New Roman" w:eastAsia="Times New Roman" w:cs="Times New Roman"/>
          <w:sz w:val="24"/>
          <w:szCs w:val="24"/>
          <w:b/>
          <w:bCs/>
          <w:spacing w:val="-3"/>
        </w:rPr>
        <w:t>4.2-10      </w:t>
      </w:r>
      <w:r>
        <w:rPr>
          <w:rFonts w:ascii="SimSun" w:hAnsi="SimSun" w:eastAsia="SimSun" w:cs="SimSun"/>
          <w:sz w:val="24"/>
          <w:szCs w:val="24"/>
          <w:b/>
          <w:bCs/>
          <w:spacing w:val="-3"/>
        </w:rPr>
        <w:t>土地利用类型图</w:t>
      </w:r>
    </w:p>
    <w:p>
      <w:pPr>
        <w:ind w:left="619"/>
        <w:spacing w:before="104"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）植被类型调查</w:t>
      </w:r>
    </w:p>
    <w:p>
      <w:pPr>
        <w:ind w:left="128" w:right="69" w:firstLine="482"/>
        <w:spacing w:before="182" w:line="360" w:lineRule="auto"/>
        <w:rPr>
          <w:rFonts w:ascii="SimSun" w:hAnsi="SimSun" w:eastAsia="SimSun" w:cs="SimSun"/>
          <w:sz w:val="24"/>
          <w:szCs w:val="24"/>
        </w:rPr>
      </w:pPr>
      <w:r>
        <w:rPr>
          <w:rFonts w:ascii="SimSun" w:hAnsi="SimSun" w:eastAsia="SimSun" w:cs="SimSun"/>
          <w:sz w:val="24"/>
          <w:szCs w:val="24"/>
          <w:spacing w:val="3"/>
        </w:rPr>
        <w:t>项目所在区域土地类型以草地和林地为主，植被类</w:t>
      </w:r>
      <w:r>
        <w:rPr>
          <w:rFonts w:ascii="SimSun" w:hAnsi="SimSun" w:eastAsia="SimSun" w:cs="SimSun"/>
          <w:sz w:val="24"/>
          <w:szCs w:val="24"/>
          <w:spacing w:val="2"/>
        </w:rPr>
        <w:t>型以典型草原为主，主要</w:t>
      </w:r>
      <w:r>
        <w:rPr>
          <w:rFonts w:ascii="SimSun" w:hAnsi="SimSun" w:eastAsia="SimSun" w:cs="SimSun"/>
          <w:sz w:val="24"/>
          <w:szCs w:val="24"/>
        </w:rPr>
        <w:t xml:space="preserve"> </w:t>
      </w:r>
      <w:r>
        <w:rPr>
          <w:rFonts w:ascii="SimSun" w:hAnsi="SimSun" w:eastAsia="SimSun" w:cs="SimSun"/>
          <w:sz w:val="24"/>
          <w:szCs w:val="24"/>
          <w:spacing w:val="-1"/>
        </w:rPr>
        <w:t>植被群落类型为糙隐子草</w:t>
      </w:r>
      <w:r>
        <w:rPr>
          <w:rFonts w:ascii="Times New Roman" w:hAnsi="Times New Roman" w:eastAsia="Times New Roman" w:cs="Times New Roman"/>
          <w:sz w:val="24"/>
          <w:szCs w:val="24"/>
          <w:spacing w:val="-1"/>
        </w:rPr>
        <w:t>+</w:t>
      </w:r>
      <w:r>
        <w:rPr>
          <w:rFonts w:ascii="SimSun" w:hAnsi="SimSun" w:eastAsia="SimSun" w:cs="SimSun"/>
          <w:sz w:val="24"/>
          <w:szCs w:val="24"/>
          <w:spacing w:val="-1"/>
        </w:rPr>
        <w:t>猪毛菜群落、克氏针茅群落及羊草群</w:t>
      </w:r>
      <w:r>
        <w:rPr>
          <w:rFonts w:ascii="SimSun" w:hAnsi="SimSun" w:eastAsia="SimSun" w:cs="SimSun"/>
          <w:sz w:val="24"/>
          <w:szCs w:val="24"/>
          <w:spacing w:val="-2"/>
        </w:rPr>
        <w:t>落等，其他主要为</w:t>
      </w:r>
      <w:r>
        <w:rPr>
          <w:rFonts w:ascii="SimSun" w:hAnsi="SimSun" w:eastAsia="SimSun" w:cs="SimSun"/>
          <w:sz w:val="24"/>
          <w:szCs w:val="24"/>
        </w:rPr>
        <w:t xml:space="preserve"> </w:t>
      </w:r>
      <w:r>
        <w:rPr>
          <w:rFonts w:ascii="SimSun" w:hAnsi="SimSun" w:eastAsia="SimSun" w:cs="SimSun"/>
          <w:sz w:val="24"/>
          <w:szCs w:val="24"/>
          <w:spacing w:val="3"/>
        </w:rPr>
        <w:t>灌丛和落叶阔叶林植被类型，主要分布小叶锦鸡</w:t>
      </w:r>
      <w:r>
        <w:rPr>
          <w:rFonts w:ascii="SimSun" w:hAnsi="SimSun" w:eastAsia="SimSun" w:cs="SimSun"/>
          <w:sz w:val="24"/>
          <w:szCs w:val="24"/>
          <w:spacing w:val="2"/>
        </w:rPr>
        <w:t>儿群落和杨树林。项目所在区域</w:t>
      </w:r>
      <w:r>
        <w:rPr>
          <w:rFonts w:ascii="SimSun" w:hAnsi="SimSun" w:eastAsia="SimSun" w:cs="SimSun"/>
          <w:sz w:val="24"/>
          <w:szCs w:val="24"/>
        </w:rPr>
        <w:t xml:space="preserve"> </w:t>
      </w:r>
      <w:r>
        <w:rPr>
          <w:rFonts w:ascii="SimSun" w:hAnsi="SimSun" w:eastAsia="SimSun" w:cs="SimSun"/>
          <w:sz w:val="24"/>
          <w:szCs w:val="24"/>
          <w:spacing w:val="-1"/>
        </w:rPr>
        <w:t>常见的主要植物名录见表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4.2-28</w:t>
      </w:r>
      <w:r>
        <w:rPr>
          <w:rFonts w:ascii="SimSun" w:hAnsi="SimSun" w:eastAsia="SimSun" w:cs="SimSun"/>
          <w:sz w:val="24"/>
          <w:szCs w:val="24"/>
          <w:spacing w:val="-1"/>
        </w:rPr>
        <w:t>。</w:t>
      </w:r>
    </w:p>
    <w:p>
      <w:pPr>
        <w:spacing w:line="360" w:lineRule="auto"/>
        <w:sectPr>
          <w:headerReference w:type="default" r:id="rId171"/>
          <w:footerReference w:type="default" r:id="rId172"/>
          <w:pgSz w:w="11906" w:h="16839"/>
          <w:pgMar w:top="1567" w:right="1631" w:bottom="1811" w:left="1583" w:header="1221" w:footer="1128" w:gutter="0"/>
        </w:sectPr>
        <w:rPr>
          <w:rFonts w:ascii="SimSun" w:hAnsi="SimSun" w:eastAsia="SimSun" w:cs="SimSun"/>
          <w:sz w:val="24"/>
          <w:szCs w:val="24"/>
        </w:rPr>
      </w:pPr>
    </w:p>
    <w:p>
      <w:pPr>
        <w:ind w:left="2707"/>
        <w:spacing w:before="187" w:line="211" w:lineRule="auto"/>
        <w:rPr>
          <w:rFonts w:ascii="SimSun" w:hAnsi="SimSun" w:eastAsia="SimSun" w:cs="SimSun"/>
          <w:sz w:val="24"/>
          <w:szCs w:val="24"/>
        </w:rPr>
      </w:pPr>
      <w:r>
        <w:pict>
          <v:shape id="_x0000_s708" style="position:absolute;margin-left:85.05pt;margin-top:79.11pt;mso-position-vertical-relative:page;mso-position-horizontal-relative:page;width:425.25pt;height:0.75pt;z-index:251976704;" o:allowincell="f" fillcolor="#000000" filled="true" stroked="false" coordsize="8505,15" coordorigin="0,0" path="m,l8504,0l8504,14l0,14l0,0xe"/>
        </w:pict>
      </w:r>
      <w:r>
        <w:rPr>
          <w:rFonts w:ascii="SimSun" w:hAnsi="SimSun" w:eastAsia="SimSun" w:cs="SimSun"/>
          <w:sz w:val="24"/>
          <w:szCs w:val="24"/>
          <w:b/>
          <w:bCs/>
          <w:spacing w:val="-4"/>
        </w:rPr>
        <w:t>表</w:t>
      </w:r>
      <w:r>
        <w:rPr>
          <w:rFonts w:ascii="SimSun" w:hAnsi="SimSun" w:eastAsia="SimSun" w:cs="SimSun"/>
          <w:sz w:val="24"/>
          <w:szCs w:val="24"/>
          <w:spacing w:val="-53"/>
        </w:rPr>
        <w:t xml:space="preserve"> </w:t>
      </w:r>
      <w:r>
        <w:rPr>
          <w:rFonts w:ascii="Times New Roman" w:hAnsi="Times New Roman" w:eastAsia="Times New Roman" w:cs="Times New Roman"/>
          <w:sz w:val="24"/>
          <w:szCs w:val="24"/>
          <w:b/>
          <w:bCs/>
          <w:spacing w:val="-4"/>
        </w:rPr>
        <w:t>4.2-28</w:t>
      </w:r>
      <w:r>
        <w:rPr>
          <w:rFonts w:ascii="Times New Roman" w:hAnsi="Times New Roman" w:eastAsia="Times New Roman" w:cs="Times New Roman"/>
          <w:sz w:val="24"/>
          <w:szCs w:val="24"/>
          <w:b/>
          <w:bCs/>
          <w:spacing w:val="3"/>
        </w:rPr>
        <w:t xml:space="preserve">        </w:t>
      </w:r>
      <w:r>
        <w:rPr>
          <w:rFonts w:ascii="SimSun" w:hAnsi="SimSun" w:eastAsia="SimSun" w:cs="SimSun"/>
          <w:sz w:val="24"/>
          <w:szCs w:val="24"/>
          <w:b/>
          <w:bCs/>
          <w:spacing w:val="-4"/>
        </w:rPr>
        <w:t>区域常见植物名录</w:t>
      </w:r>
    </w:p>
    <w:tbl>
      <w:tblPr>
        <w:tblStyle w:val="TableNormal"/>
        <w:tblW w:w="8515" w:type="dxa"/>
        <w:tblInd w:w="10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87"/>
        <w:gridCol w:w="1603"/>
        <w:gridCol w:w="3305"/>
        <w:gridCol w:w="2920"/>
      </w:tblGrid>
      <w:tr>
        <w:trPr>
          <w:trHeight w:val="321" w:hRule="atLeast"/>
        </w:trPr>
        <w:tc>
          <w:tcPr>
            <w:tcW w:w="687" w:type="dxa"/>
            <w:vAlign w:val="top"/>
          </w:tcPr>
          <w:p>
            <w:pPr>
              <w:pStyle w:val="TableText"/>
              <w:ind w:left="138"/>
              <w:spacing w:before="56" w:line="229" w:lineRule="auto"/>
              <w:rPr/>
            </w:pPr>
            <w:r>
              <w:rPr>
                <w:spacing w:val="5"/>
              </w:rPr>
              <w:t>序号</w:t>
            </w:r>
          </w:p>
        </w:tc>
        <w:tc>
          <w:tcPr>
            <w:tcW w:w="1603" w:type="dxa"/>
            <w:vAlign w:val="top"/>
          </w:tcPr>
          <w:p>
            <w:pPr>
              <w:pStyle w:val="TableText"/>
              <w:ind w:left="511"/>
              <w:spacing w:before="57" w:line="228" w:lineRule="auto"/>
              <w:rPr/>
            </w:pPr>
            <w:r>
              <w:rPr/>
              <w:t>中文名</w:t>
            </w:r>
          </w:p>
        </w:tc>
        <w:tc>
          <w:tcPr>
            <w:tcW w:w="3305" w:type="dxa"/>
            <w:vAlign w:val="top"/>
          </w:tcPr>
          <w:p>
            <w:pPr>
              <w:pStyle w:val="TableText"/>
              <w:ind w:left="1451"/>
              <w:spacing w:before="56" w:line="229" w:lineRule="auto"/>
              <w:rPr/>
            </w:pPr>
            <w:r>
              <w:rPr>
                <w:spacing w:val="2"/>
              </w:rPr>
              <w:t>学名</w:t>
            </w:r>
          </w:p>
        </w:tc>
        <w:tc>
          <w:tcPr>
            <w:tcW w:w="2920" w:type="dxa"/>
            <w:vAlign w:val="top"/>
          </w:tcPr>
          <w:p>
            <w:pPr>
              <w:pStyle w:val="TableText"/>
              <w:ind w:left="1044"/>
              <w:spacing w:before="57" w:line="228" w:lineRule="auto"/>
              <w:rPr/>
            </w:pPr>
            <w:r>
              <w:rPr>
                <w:spacing w:val="7"/>
              </w:rPr>
              <w:t>栖息生境</w:t>
            </w:r>
          </w:p>
        </w:tc>
      </w:tr>
      <w:tr>
        <w:trPr>
          <w:trHeight w:val="317" w:hRule="atLeast"/>
        </w:trPr>
        <w:tc>
          <w:tcPr>
            <w:tcW w:w="687" w:type="dxa"/>
            <w:vAlign w:val="top"/>
          </w:tcPr>
          <w:p>
            <w:pPr>
              <w:ind w:left="312"/>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603" w:type="dxa"/>
            <w:vAlign w:val="top"/>
          </w:tcPr>
          <w:p>
            <w:pPr>
              <w:pStyle w:val="TableText"/>
              <w:ind w:left="492"/>
              <w:spacing w:before="52" w:line="228" w:lineRule="auto"/>
              <w:rPr/>
            </w:pPr>
            <w:r>
              <w:rPr>
                <w:spacing w:val="6"/>
              </w:rPr>
              <w:t>新疆杨</w:t>
            </w:r>
          </w:p>
        </w:tc>
        <w:tc>
          <w:tcPr>
            <w:tcW w:w="3305" w:type="dxa"/>
            <w:vAlign w:val="top"/>
          </w:tcPr>
          <w:p>
            <w:pPr>
              <w:ind w:left="1367"/>
              <w:spacing w:before="18" w:line="27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15"/>
                <w:position w:val="2"/>
              </w:rPr>
              <w:t>P.</w:t>
            </w:r>
            <w:r>
              <w:rPr>
                <w:rFonts w:ascii="Times New Roman" w:hAnsi="Times New Roman" w:eastAsia="Times New Roman" w:cs="Times New Roman"/>
                <w:sz w:val="20"/>
                <w:szCs w:val="20"/>
                <w:i/>
                <w:iCs/>
                <w:position w:val="2"/>
              </w:rPr>
              <w:t>alba</w:t>
            </w:r>
          </w:p>
        </w:tc>
        <w:tc>
          <w:tcPr>
            <w:tcW w:w="2920" w:type="dxa"/>
            <w:vAlign w:val="top"/>
          </w:tcPr>
          <w:p>
            <w:pPr>
              <w:pStyle w:val="TableText"/>
              <w:ind w:left="835"/>
              <w:spacing w:before="52" w:line="228" w:lineRule="auto"/>
              <w:rPr/>
            </w:pPr>
            <w:r>
              <w:rPr>
                <w:spacing w:val="8"/>
              </w:rPr>
              <w:t>栽培绿化树种</w:t>
            </w:r>
          </w:p>
        </w:tc>
      </w:tr>
      <w:tr>
        <w:trPr>
          <w:trHeight w:val="317" w:hRule="atLeast"/>
        </w:trPr>
        <w:tc>
          <w:tcPr>
            <w:tcW w:w="687" w:type="dxa"/>
            <w:vAlign w:val="top"/>
          </w:tcPr>
          <w:p>
            <w:pPr>
              <w:ind w:left="291"/>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603" w:type="dxa"/>
            <w:vAlign w:val="top"/>
          </w:tcPr>
          <w:p>
            <w:pPr>
              <w:pStyle w:val="TableText"/>
              <w:ind w:left="596"/>
              <w:spacing w:before="51" w:line="228" w:lineRule="auto"/>
              <w:rPr/>
            </w:pPr>
            <w:r>
              <w:rPr>
                <w:spacing w:val="3"/>
              </w:rPr>
              <w:t>灰榆</w:t>
            </w:r>
          </w:p>
        </w:tc>
        <w:tc>
          <w:tcPr>
            <w:tcW w:w="3305" w:type="dxa"/>
            <w:vAlign w:val="top"/>
          </w:tcPr>
          <w:p>
            <w:pPr>
              <w:ind w:left="503"/>
              <w:spacing w:before="17"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3"/>
                <w:position w:val="4"/>
              </w:rPr>
              <w:t>Ulmus glaucescens Franch.</w:t>
            </w:r>
          </w:p>
        </w:tc>
        <w:tc>
          <w:tcPr>
            <w:tcW w:w="2920" w:type="dxa"/>
            <w:vAlign w:val="top"/>
          </w:tcPr>
          <w:p>
            <w:pPr>
              <w:pStyle w:val="TableText"/>
              <w:ind w:left="835"/>
              <w:spacing w:before="51" w:line="228" w:lineRule="auto"/>
              <w:rPr/>
            </w:pPr>
            <w:r>
              <w:rPr>
                <w:spacing w:val="8"/>
              </w:rPr>
              <w:t>栽培绿化树种</w:t>
            </w:r>
          </w:p>
        </w:tc>
      </w:tr>
      <w:tr>
        <w:trPr>
          <w:trHeight w:val="317" w:hRule="atLeast"/>
        </w:trPr>
        <w:tc>
          <w:tcPr>
            <w:tcW w:w="687" w:type="dxa"/>
            <w:vAlign w:val="top"/>
          </w:tcPr>
          <w:p>
            <w:pPr>
              <w:ind w:left="296"/>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603" w:type="dxa"/>
            <w:vAlign w:val="top"/>
          </w:tcPr>
          <w:p>
            <w:pPr>
              <w:pStyle w:val="TableText"/>
              <w:ind w:left="601"/>
              <w:spacing w:before="51" w:line="228" w:lineRule="auto"/>
              <w:rPr/>
            </w:pPr>
            <w:r>
              <w:rPr>
                <w:spacing w:val="1"/>
              </w:rPr>
              <w:t>羊草</w:t>
            </w:r>
          </w:p>
        </w:tc>
        <w:tc>
          <w:tcPr>
            <w:tcW w:w="3305" w:type="dxa"/>
            <w:vAlign w:val="top"/>
          </w:tcPr>
          <w:p>
            <w:pPr>
              <w:ind w:left="945"/>
              <w:spacing w:before="17"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4"/>
                <w:position w:val="4"/>
              </w:rPr>
              <w:t>Leymus chinensi</w:t>
            </w:r>
          </w:p>
        </w:tc>
        <w:tc>
          <w:tcPr>
            <w:tcW w:w="2920" w:type="dxa"/>
            <w:vAlign w:val="top"/>
          </w:tcPr>
          <w:p>
            <w:pPr>
              <w:pStyle w:val="TableText"/>
              <w:ind w:left="1043"/>
              <w:spacing w:before="52" w:line="228" w:lineRule="auto"/>
              <w:rPr/>
            </w:pPr>
            <w:r>
              <w:rPr>
                <w:spacing w:val="7"/>
              </w:rPr>
              <w:t>丘陵坡地</w:t>
            </w:r>
          </w:p>
        </w:tc>
      </w:tr>
      <w:tr>
        <w:trPr>
          <w:trHeight w:val="317" w:hRule="atLeast"/>
        </w:trPr>
        <w:tc>
          <w:tcPr>
            <w:tcW w:w="687" w:type="dxa"/>
            <w:vAlign w:val="top"/>
          </w:tcPr>
          <w:p>
            <w:pPr>
              <w:ind w:left="290"/>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603" w:type="dxa"/>
            <w:vAlign w:val="top"/>
          </w:tcPr>
          <w:p>
            <w:pPr>
              <w:pStyle w:val="TableText"/>
              <w:ind w:left="391"/>
              <w:spacing w:before="50" w:line="228" w:lineRule="auto"/>
              <w:rPr/>
            </w:pPr>
            <w:r>
              <w:rPr>
                <w:spacing w:val="6"/>
              </w:rPr>
              <w:t>克氏针茅</w:t>
            </w:r>
          </w:p>
        </w:tc>
        <w:tc>
          <w:tcPr>
            <w:tcW w:w="3305" w:type="dxa"/>
            <w:vAlign w:val="top"/>
          </w:tcPr>
          <w:p>
            <w:pPr>
              <w:ind w:left="759"/>
              <w:spacing w:before="16"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4"/>
                <w:position w:val="4"/>
              </w:rPr>
              <w:t>Stipa krylovii Rosh</w:t>
            </w:r>
            <w:r>
              <w:rPr>
                <w:rFonts w:ascii="Times New Roman" w:hAnsi="Times New Roman" w:eastAsia="Times New Roman" w:cs="Times New Roman"/>
                <w:sz w:val="20"/>
                <w:szCs w:val="20"/>
                <w:i/>
                <w:iCs/>
                <w:spacing w:val="3"/>
                <w:position w:val="4"/>
              </w:rPr>
              <w:t>ev</w:t>
            </w:r>
          </w:p>
        </w:tc>
        <w:tc>
          <w:tcPr>
            <w:tcW w:w="2920" w:type="dxa"/>
            <w:vAlign w:val="top"/>
          </w:tcPr>
          <w:p>
            <w:pPr>
              <w:pStyle w:val="TableText"/>
              <w:ind w:left="519"/>
              <w:spacing w:before="51" w:line="228" w:lineRule="auto"/>
              <w:rPr/>
            </w:pPr>
            <w:r>
              <w:rPr>
                <w:spacing w:val="9"/>
              </w:rPr>
              <w:t>砂质坡地、丘陵坡地</w:t>
            </w:r>
          </w:p>
        </w:tc>
      </w:tr>
      <w:tr>
        <w:trPr>
          <w:trHeight w:val="317" w:hRule="atLeast"/>
        </w:trPr>
        <w:tc>
          <w:tcPr>
            <w:tcW w:w="687" w:type="dxa"/>
            <w:vAlign w:val="top"/>
          </w:tcPr>
          <w:p>
            <w:pPr>
              <w:ind w:left="297"/>
              <w:spacing w:before="9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603" w:type="dxa"/>
            <w:vAlign w:val="top"/>
          </w:tcPr>
          <w:p>
            <w:pPr>
              <w:pStyle w:val="TableText"/>
              <w:ind w:left="386"/>
              <w:spacing w:before="52" w:line="228" w:lineRule="auto"/>
              <w:rPr/>
            </w:pPr>
            <w:r>
              <w:rPr>
                <w:spacing w:val="7"/>
              </w:rPr>
              <w:t>糙隐子草</w:t>
            </w:r>
          </w:p>
        </w:tc>
        <w:tc>
          <w:tcPr>
            <w:tcW w:w="3305" w:type="dxa"/>
            <w:vAlign w:val="top"/>
          </w:tcPr>
          <w:p>
            <w:pPr>
              <w:ind w:left="675"/>
              <w:spacing w:before="18"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3"/>
                <w:position w:val="4"/>
              </w:rPr>
              <w:t>Cleistogenes squarrosa</w:t>
            </w:r>
          </w:p>
        </w:tc>
        <w:tc>
          <w:tcPr>
            <w:tcW w:w="2920" w:type="dxa"/>
            <w:vAlign w:val="top"/>
          </w:tcPr>
          <w:p>
            <w:pPr>
              <w:pStyle w:val="TableText"/>
              <w:ind w:left="1256"/>
              <w:spacing w:before="52" w:line="228" w:lineRule="auto"/>
              <w:rPr/>
            </w:pPr>
            <w:r>
              <w:rPr>
                <w:spacing w:val="3"/>
              </w:rPr>
              <w:t>草地</w:t>
            </w:r>
          </w:p>
        </w:tc>
      </w:tr>
      <w:tr>
        <w:trPr>
          <w:trHeight w:val="317" w:hRule="atLeast"/>
        </w:trPr>
        <w:tc>
          <w:tcPr>
            <w:tcW w:w="687" w:type="dxa"/>
            <w:vAlign w:val="top"/>
          </w:tcPr>
          <w:p>
            <w:pPr>
              <w:ind w:left="296"/>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603" w:type="dxa"/>
            <w:vAlign w:val="top"/>
          </w:tcPr>
          <w:p>
            <w:pPr>
              <w:pStyle w:val="TableText"/>
              <w:ind w:left="391"/>
              <w:spacing w:before="52" w:line="228" w:lineRule="auto"/>
              <w:rPr/>
            </w:pPr>
            <w:r>
              <w:rPr>
                <w:spacing w:val="5"/>
              </w:rPr>
              <w:t>蒙古冰草</w:t>
            </w:r>
          </w:p>
        </w:tc>
        <w:tc>
          <w:tcPr>
            <w:tcW w:w="3305" w:type="dxa"/>
            <w:vAlign w:val="top"/>
          </w:tcPr>
          <w:p>
            <w:pPr>
              <w:ind w:left="392"/>
              <w:spacing w:before="18"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5"/>
                <w:position w:val="4"/>
              </w:rPr>
              <w:t>Agropyron mongolicum Keng</w:t>
            </w:r>
          </w:p>
        </w:tc>
        <w:tc>
          <w:tcPr>
            <w:tcW w:w="2920" w:type="dxa"/>
            <w:vAlign w:val="top"/>
          </w:tcPr>
          <w:p>
            <w:pPr>
              <w:pStyle w:val="TableText"/>
              <w:ind w:left="940"/>
              <w:spacing w:before="52" w:line="228" w:lineRule="auto"/>
              <w:rPr/>
            </w:pPr>
            <w:r>
              <w:rPr>
                <w:spacing w:val="8"/>
              </w:rPr>
              <w:t>坡地、草地</w:t>
            </w:r>
          </w:p>
        </w:tc>
      </w:tr>
      <w:tr>
        <w:trPr>
          <w:trHeight w:val="317" w:hRule="atLeast"/>
        </w:trPr>
        <w:tc>
          <w:tcPr>
            <w:tcW w:w="687" w:type="dxa"/>
            <w:vAlign w:val="top"/>
          </w:tcPr>
          <w:p>
            <w:pPr>
              <w:ind w:left="295"/>
              <w:spacing w:before="9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603" w:type="dxa"/>
            <w:vAlign w:val="top"/>
          </w:tcPr>
          <w:p>
            <w:pPr>
              <w:pStyle w:val="TableText"/>
              <w:ind w:left="494"/>
              <w:spacing w:before="52" w:line="228" w:lineRule="auto"/>
              <w:rPr/>
            </w:pPr>
            <w:r>
              <w:rPr>
                <w:spacing w:val="6"/>
              </w:rPr>
              <w:t>芨芨草</w:t>
            </w:r>
          </w:p>
        </w:tc>
        <w:tc>
          <w:tcPr>
            <w:tcW w:w="3305" w:type="dxa"/>
            <w:vAlign w:val="top"/>
          </w:tcPr>
          <w:p>
            <w:pPr>
              <w:ind w:left="634"/>
              <w:spacing w:before="18" w:line="27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5"/>
                <w:position w:val="4"/>
              </w:rPr>
              <w:t>Achnatherum splende</w:t>
            </w:r>
            <w:r>
              <w:rPr>
                <w:rFonts w:ascii="Times New Roman" w:hAnsi="Times New Roman" w:eastAsia="Times New Roman" w:cs="Times New Roman"/>
                <w:sz w:val="20"/>
                <w:szCs w:val="20"/>
                <w:i/>
                <w:iCs/>
                <w:spacing w:val="4"/>
                <w:position w:val="4"/>
              </w:rPr>
              <w:t>ns</w:t>
            </w:r>
          </w:p>
        </w:tc>
        <w:tc>
          <w:tcPr>
            <w:tcW w:w="2920" w:type="dxa"/>
            <w:vAlign w:val="top"/>
          </w:tcPr>
          <w:p>
            <w:pPr>
              <w:pStyle w:val="TableText"/>
              <w:ind w:left="942"/>
              <w:spacing w:before="52" w:line="228" w:lineRule="auto"/>
              <w:rPr/>
            </w:pPr>
            <w:r>
              <w:rPr>
                <w:spacing w:val="7"/>
              </w:rPr>
              <w:t>盐渍化土壤</w:t>
            </w:r>
          </w:p>
        </w:tc>
      </w:tr>
      <w:tr>
        <w:trPr>
          <w:trHeight w:val="317" w:hRule="atLeast"/>
        </w:trPr>
        <w:tc>
          <w:tcPr>
            <w:tcW w:w="687" w:type="dxa"/>
            <w:vAlign w:val="top"/>
          </w:tcPr>
          <w:p>
            <w:pPr>
              <w:ind w:left="300"/>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603" w:type="dxa"/>
            <w:vAlign w:val="top"/>
          </w:tcPr>
          <w:p>
            <w:pPr>
              <w:pStyle w:val="TableText"/>
              <w:ind w:left="495"/>
              <w:spacing w:before="51" w:line="228" w:lineRule="auto"/>
              <w:rPr/>
            </w:pPr>
            <w:r>
              <w:rPr>
                <w:spacing w:val="5"/>
              </w:rPr>
              <w:t>寸草苔</w:t>
            </w:r>
          </w:p>
        </w:tc>
        <w:tc>
          <w:tcPr>
            <w:tcW w:w="3305" w:type="dxa"/>
            <w:vAlign w:val="top"/>
          </w:tcPr>
          <w:p>
            <w:pPr>
              <w:ind w:left="538"/>
              <w:spacing w:before="17"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3"/>
                <w:position w:val="4"/>
              </w:rPr>
              <w:t>Carex duriuscula</w:t>
            </w:r>
            <w:r>
              <w:rPr>
                <w:rFonts w:ascii="Times New Roman" w:hAnsi="Times New Roman" w:eastAsia="Times New Roman" w:cs="Times New Roman"/>
                <w:sz w:val="20"/>
                <w:szCs w:val="20"/>
                <w:i/>
                <w:iCs/>
                <w:spacing w:val="19"/>
                <w:w w:val="101"/>
                <w:position w:val="4"/>
              </w:rPr>
              <w:t xml:space="preserve"> </w:t>
            </w:r>
            <w:r>
              <w:rPr>
                <w:rFonts w:ascii="Times New Roman" w:hAnsi="Times New Roman" w:eastAsia="Times New Roman" w:cs="Times New Roman"/>
                <w:sz w:val="20"/>
                <w:szCs w:val="20"/>
                <w:i/>
                <w:iCs/>
                <w:spacing w:val="3"/>
                <w:position w:val="4"/>
              </w:rPr>
              <w:t>C.A Mey</w:t>
            </w:r>
          </w:p>
        </w:tc>
        <w:tc>
          <w:tcPr>
            <w:tcW w:w="2920" w:type="dxa"/>
            <w:vAlign w:val="top"/>
          </w:tcPr>
          <w:p>
            <w:pPr>
              <w:pStyle w:val="TableText"/>
              <w:ind w:left="942"/>
              <w:spacing w:before="51" w:line="228" w:lineRule="auto"/>
              <w:rPr/>
            </w:pPr>
            <w:r>
              <w:rPr>
                <w:spacing w:val="7"/>
              </w:rPr>
              <w:t>草地、沙地</w:t>
            </w:r>
          </w:p>
        </w:tc>
      </w:tr>
      <w:tr>
        <w:trPr>
          <w:trHeight w:val="317" w:hRule="atLeast"/>
        </w:trPr>
        <w:tc>
          <w:tcPr>
            <w:tcW w:w="687" w:type="dxa"/>
            <w:vAlign w:val="top"/>
          </w:tcPr>
          <w:p>
            <w:pPr>
              <w:ind w:left="295"/>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603" w:type="dxa"/>
            <w:vAlign w:val="top"/>
          </w:tcPr>
          <w:p>
            <w:pPr>
              <w:pStyle w:val="TableText"/>
              <w:ind w:left="596"/>
              <w:spacing w:before="52" w:line="228" w:lineRule="auto"/>
              <w:rPr/>
            </w:pPr>
            <w:r>
              <w:rPr>
                <w:spacing w:val="3"/>
              </w:rPr>
              <w:t>沙蒿</w:t>
            </w:r>
          </w:p>
        </w:tc>
        <w:tc>
          <w:tcPr>
            <w:tcW w:w="3305" w:type="dxa"/>
            <w:vAlign w:val="top"/>
          </w:tcPr>
          <w:p>
            <w:pPr>
              <w:ind w:left="920"/>
              <w:spacing w:before="17"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6"/>
                <w:position w:val="4"/>
              </w:rPr>
              <w:t>Artemisia</w:t>
            </w:r>
            <w:r>
              <w:rPr>
                <w:rFonts w:ascii="Times New Roman" w:hAnsi="Times New Roman" w:eastAsia="Times New Roman" w:cs="Times New Roman"/>
                <w:sz w:val="20"/>
                <w:szCs w:val="20"/>
                <w:i/>
                <w:iCs/>
                <w:spacing w:val="-18"/>
                <w:position w:val="4"/>
              </w:rPr>
              <w:t xml:space="preserve"> </w:t>
            </w:r>
            <w:r>
              <w:rPr>
                <w:rFonts w:ascii="Times New Roman" w:hAnsi="Times New Roman" w:eastAsia="Times New Roman" w:cs="Times New Roman"/>
                <w:sz w:val="20"/>
                <w:szCs w:val="20"/>
                <w:i/>
                <w:iCs/>
                <w:spacing w:val="6"/>
                <w:position w:val="4"/>
              </w:rPr>
              <w:t>frigida</w:t>
            </w:r>
          </w:p>
        </w:tc>
        <w:tc>
          <w:tcPr>
            <w:tcW w:w="2920" w:type="dxa"/>
            <w:vAlign w:val="top"/>
          </w:tcPr>
          <w:p>
            <w:pPr>
              <w:pStyle w:val="TableText"/>
              <w:ind w:left="102"/>
              <w:spacing w:before="52" w:line="228" w:lineRule="auto"/>
              <w:rPr/>
            </w:pPr>
            <w:r>
              <w:rPr>
                <w:spacing w:val="9"/>
              </w:rPr>
              <w:t>沙质地、沙砾质、砾石质土壤</w:t>
            </w:r>
          </w:p>
        </w:tc>
      </w:tr>
      <w:tr>
        <w:trPr>
          <w:trHeight w:val="317" w:hRule="atLeast"/>
        </w:trPr>
        <w:tc>
          <w:tcPr>
            <w:tcW w:w="687" w:type="dxa"/>
            <w:vAlign w:val="top"/>
          </w:tcPr>
          <w:p>
            <w:pPr>
              <w:ind w:left="259"/>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603" w:type="dxa"/>
            <w:vAlign w:val="top"/>
          </w:tcPr>
          <w:p>
            <w:pPr>
              <w:pStyle w:val="TableText"/>
              <w:ind w:left="594"/>
              <w:spacing w:before="50" w:line="228" w:lineRule="auto"/>
              <w:rPr/>
            </w:pPr>
            <w:r>
              <w:rPr>
                <w:spacing w:val="5"/>
              </w:rPr>
              <w:t>黄蒿</w:t>
            </w:r>
          </w:p>
        </w:tc>
        <w:tc>
          <w:tcPr>
            <w:tcW w:w="3305" w:type="dxa"/>
            <w:vAlign w:val="top"/>
          </w:tcPr>
          <w:p>
            <w:pPr>
              <w:ind w:left="298"/>
              <w:spacing w:before="16"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4"/>
                <w:position w:val="4"/>
              </w:rPr>
              <w:t>Artemisiascoparia</w:t>
            </w:r>
            <w:r>
              <w:rPr>
                <w:rFonts w:ascii="Times New Roman" w:hAnsi="Times New Roman" w:eastAsia="Times New Roman" w:cs="Times New Roman"/>
                <w:sz w:val="20"/>
                <w:szCs w:val="20"/>
                <w:i/>
                <w:iCs/>
                <w:spacing w:val="-24"/>
                <w:position w:val="4"/>
              </w:rPr>
              <w:t xml:space="preserve"> </w:t>
            </w:r>
            <w:r>
              <w:rPr>
                <w:rFonts w:ascii="Times New Roman" w:hAnsi="Times New Roman" w:eastAsia="Times New Roman" w:cs="Times New Roman"/>
                <w:sz w:val="20"/>
                <w:szCs w:val="20"/>
                <w:i/>
                <w:iCs/>
                <w:spacing w:val="4"/>
                <w:position w:val="4"/>
              </w:rPr>
              <w:t>Wa</w:t>
            </w:r>
            <w:r>
              <w:rPr>
                <w:rFonts w:ascii="Times New Roman" w:hAnsi="Times New Roman" w:eastAsia="Times New Roman" w:cs="Times New Roman"/>
                <w:sz w:val="20"/>
                <w:szCs w:val="20"/>
                <w:i/>
                <w:iCs/>
                <w:spacing w:val="3"/>
                <w:position w:val="4"/>
              </w:rPr>
              <w:t>ldst.EtKit.</w:t>
            </w:r>
          </w:p>
        </w:tc>
        <w:tc>
          <w:tcPr>
            <w:tcW w:w="2920" w:type="dxa"/>
            <w:vAlign w:val="top"/>
          </w:tcPr>
          <w:p>
            <w:pPr>
              <w:pStyle w:val="TableText"/>
              <w:ind w:left="940"/>
              <w:spacing w:before="51" w:line="228" w:lineRule="auto"/>
              <w:rPr/>
            </w:pPr>
            <w:r>
              <w:rPr>
                <w:spacing w:val="8"/>
              </w:rPr>
              <w:t>丘陵、坡地</w:t>
            </w:r>
          </w:p>
        </w:tc>
      </w:tr>
      <w:tr>
        <w:trPr>
          <w:trHeight w:val="317" w:hRule="atLeast"/>
        </w:trPr>
        <w:tc>
          <w:tcPr>
            <w:tcW w:w="687" w:type="dxa"/>
            <w:vAlign w:val="top"/>
          </w:tcPr>
          <w:p>
            <w:pPr>
              <w:ind w:left="259"/>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11</w:t>
            </w:r>
          </w:p>
        </w:tc>
        <w:tc>
          <w:tcPr>
            <w:tcW w:w="1603" w:type="dxa"/>
            <w:vAlign w:val="top"/>
          </w:tcPr>
          <w:p>
            <w:pPr>
              <w:pStyle w:val="TableText"/>
              <w:ind w:left="286"/>
              <w:spacing w:before="52" w:line="228" w:lineRule="auto"/>
              <w:rPr/>
            </w:pPr>
            <w:r>
              <w:rPr>
                <w:spacing w:val="7"/>
              </w:rPr>
              <w:t>小叶锦鸡儿</w:t>
            </w:r>
          </w:p>
        </w:tc>
        <w:tc>
          <w:tcPr>
            <w:tcW w:w="3305" w:type="dxa"/>
            <w:vAlign w:val="top"/>
          </w:tcPr>
          <w:p>
            <w:pPr>
              <w:pStyle w:val="TableText"/>
              <w:ind w:left="80"/>
              <w:spacing w:before="18" w:line="278" w:lineRule="exact"/>
              <w:rPr>
                <w:rFonts w:ascii="Times New Roman" w:hAnsi="Times New Roman" w:eastAsia="Times New Roman" w:cs="Times New Roman"/>
              </w:rPr>
            </w:pPr>
            <w:r>
              <w:rPr>
                <w:rFonts w:ascii="Times New Roman" w:hAnsi="Times New Roman" w:eastAsia="Times New Roman" w:cs="Times New Roman"/>
                <w:i/>
                <w:iCs/>
                <w:position w:val="2"/>
              </w:rPr>
              <w:t>Caragana</w:t>
            </w:r>
            <w:r>
              <w:rPr>
                <w:rFonts w:ascii="Times New Roman" w:hAnsi="Times New Roman" w:eastAsia="Times New Roman" w:cs="Times New Roman"/>
                <w:i/>
                <w:iCs/>
                <w:spacing w:val="14"/>
                <w:position w:val="2"/>
              </w:rPr>
              <w:t xml:space="preserve"> </w:t>
            </w:r>
            <w:r>
              <w:rPr>
                <w:rFonts w:ascii="Times New Roman" w:hAnsi="Times New Roman" w:eastAsia="Times New Roman" w:cs="Times New Roman"/>
                <w:i/>
                <w:iCs/>
                <w:position w:val="2"/>
              </w:rPr>
              <w:t>microphylla</w:t>
            </w:r>
            <w:r>
              <w:rPr>
                <w:rFonts w:ascii="Times New Roman" w:hAnsi="Times New Roman" w:eastAsia="Times New Roman" w:cs="Times New Roman"/>
                <w:i/>
                <w:iCs/>
                <w:spacing w:val="-28"/>
                <w:position w:val="2"/>
              </w:rPr>
              <w:t xml:space="preserve"> </w:t>
            </w:r>
            <w:r>
              <w:rPr>
                <w:sz w:val="21"/>
                <w:szCs w:val="21"/>
                <w:i/>
                <w:iCs/>
                <w:spacing w:val="14"/>
                <w:position w:val="2"/>
              </w:rPr>
              <w:t>（</w:t>
            </w:r>
            <w:r>
              <w:rPr>
                <w:rFonts w:ascii="Times New Roman" w:hAnsi="Times New Roman" w:eastAsia="Times New Roman" w:cs="Times New Roman"/>
                <w:i/>
                <w:iCs/>
                <w:position w:val="2"/>
              </w:rPr>
              <w:t>Pall</w:t>
            </w:r>
            <w:r>
              <w:rPr>
                <w:rFonts w:ascii="Times New Roman" w:hAnsi="Times New Roman" w:eastAsia="Times New Roman" w:cs="Times New Roman"/>
                <w:i/>
                <w:iCs/>
                <w:spacing w:val="14"/>
                <w:position w:val="2"/>
              </w:rPr>
              <w:t>.</w:t>
            </w:r>
            <w:r>
              <w:rPr>
                <w:rFonts w:ascii="Times New Roman" w:hAnsi="Times New Roman" w:eastAsia="Times New Roman" w:cs="Times New Roman"/>
                <w:i/>
                <w:iCs/>
                <w:spacing w:val="-29"/>
                <w:position w:val="2"/>
              </w:rPr>
              <w:t xml:space="preserve"> </w:t>
            </w:r>
            <w:r>
              <w:rPr>
                <w:sz w:val="21"/>
                <w:szCs w:val="21"/>
                <w:i/>
                <w:iCs/>
                <w:spacing w:val="14"/>
                <w:position w:val="2"/>
              </w:rPr>
              <w:t>）</w:t>
            </w:r>
            <w:r>
              <w:rPr>
                <w:rFonts w:ascii="Times New Roman" w:hAnsi="Times New Roman" w:eastAsia="Times New Roman" w:cs="Times New Roman"/>
                <w:i/>
                <w:iCs/>
                <w:position w:val="2"/>
              </w:rPr>
              <w:t>Lam</w:t>
            </w:r>
            <w:r>
              <w:rPr>
                <w:rFonts w:ascii="Times New Roman" w:hAnsi="Times New Roman" w:eastAsia="Times New Roman" w:cs="Times New Roman"/>
                <w:i/>
                <w:iCs/>
                <w:spacing w:val="14"/>
                <w:position w:val="2"/>
              </w:rPr>
              <w:t>.</w:t>
            </w:r>
          </w:p>
        </w:tc>
        <w:tc>
          <w:tcPr>
            <w:tcW w:w="2920" w:type="dxa"/>
            <w:vAlign w:val="top"/>
          </w:tcPr>
          <w:p>
            <w:pPr>
              <w:pStyle w:val="TableText"/>
              <w:ind w:left="942"/>
              <w:spacing w:before="53" w:line="228" w:lineRule="auto"/>
              <w:rPr/>
            </w:pPr>
            <w:r>
              <w:rPr>
                <w:spacing w:val="7"/>
              </w:rPr>
              <w:t>沙丘、坡地</w:t>
            </w:r>
          </w:p>
        </w:tc>
      </w:tr>
      <w:tr>
        <w:trPr>
          <w:trHeight w:val="317" w:hRule="atLeast"/>
        </w:trPr>
        <w:tc>
          <w:tcPr>
            <w:tcW w:w="687" w:type="dxa"/>
            <w:vAlign w:val="top"/>
          </w:tcPr>
          <w:p>
            <w:pPr>
              <w:ind w:left="259"/>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1603" w:type="dxa"/>
            <w:vAlign w:val="top"/>
          </w:tcPr>
          <w:p>
            <w:pPr>
              <w:pStyle w:val="TableText"/>
              <w:ind w:left="595"/>
              <w:spacing w:before="52" w:line="228" w:lineRule="auto"/>
              <w:rPr/>
            </w:pPr>
            <w:r>
              <w:rPr>
                <w:spacing w:val="4"/>
              </w:rPr>
              <w:t>柠条</w:t>
            </w:r>
          </w:p>
        </w:tc>
        <w:tc>
          <w:tcPr>
            <w:tcW w:w="3305" w:type="dxa"/>
            <w:vAlign w:val="top"/>
          </w:tcPr>
          <w:p>
            <w:pPr>
              <w:ind w:left="553"/>
              <w:spacing w:before="18"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3"/>
                <w:position w:val="4"/>
              </w:rPr>
              <w:t>Caraganakorshinskii Kom</w:t>
            </w:r>
          </w:p>
        </w:tc>
        <w:tc>
          <w:tcPr>
            <w:tcW w:w="2920" w:type="dxa"/>
            <w:vAlign w:val="top"/>
          </w:tcPr>
          <w:p>
            <w:pPr>
              <w:pStyle w:val="TableText"/>
              <w:ind w:left="1045"/>
              <w:spacing w:before="53" w:line="228" w:lineRule="auto"/>
              <w:rPr/>
            </w:pPr>
            <w:r>
              <w:rPr>
                <w:spacing w:val="6"/>
              </w:rPr>
              <w:t>沙壤质土</w:t>
            </w:r>
          </w:p>
        </w:tc>
      </w:tr>
      <w:tr>
        <w:trPr>
          <w:trHeight w:val="317" w:hRule="atLeast"/>
        </w:trPr>
        <w:tc>
          <w:tcPr>
            <w:tcW w:w="687" w:type="dxa"/>
            <w:vAlign w:val="top"/>
          </w:tcPr>
          <w:p>
            <w:pPr>
              <w:ind w:left="259"/>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13</w:t>
            </w:r>
          </w:p>
        </w:tc>
        <w:tc>
          <w:tcPr>
            <w:tcW w:w="1603" w:type="dxa"/>
            <w:vAlign w:val="top"/>
          </w:tcPr>
          <w:p>
            <w:pPr>
              <w:pStyle w:val="TableText"/>
              <w:ind w:left="594"/>
              <w:spacing w:before="52" w:line="228" w:lineRule="auto"/>
              <w:rPr/>
            </w:pPr>
            <w:r>
              <w:rPr>
                <w:spacing w:val="5"/>
              </w:rPr>
              <w:t>狼毒</w:t>
            </w:r>
          </w:p>
        </w:tc>
        <w:tc>
          <w:tcPr>
            <w:tcW w:w="3305" w:type="dxa"/>
            <w:vAlign w:val="top"/>
          </w:tcPr>
          <w:p>
            <w:pPr>
              <w:ind w:left="483"/>
              <w:spacing w:before="18" w:line="27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4"/>
                <w:position w:val="4"/>
              </w:rPr>
              <w:t>Stellera chamaejasme Linn.</w:t>
            </w:r>
          </w:p>
        </w:tc>
        <w:tc>
          <w:tcPr>
            <w:tcW w:w="2920" w:type="dxa"/>
            <w:vAlign w:val="top"/>
          </w:tcPr>
          <w:p>
            <w:pPr>
              <w:pStyle w:val="TableText"/>
              <w:ind w:left="416"/>
              <w:spacing w:before="52" w:line="228" w:lineRule="auto"/>
              <w:rPr/>
            </w:pPr>
            <w:r>
              <w:rPr>
                <w:spacing w:val="8"/>
              </w:rPr>
              <w:t>草坡、草坪或河滩台地</w:t>
            </w:r>
          </w:p>
        </w:tc>
      </w:tr>
      <w:tr>
        <w:trPr>
          <w:trHeight w:val="628" w:hRule="atLeast"/>
        </w:trPr>
        <w:tc>
          <w:tcPr>
            <w:tcW w:w="687" w:type="dxa"/>
            <w:vAlign w:val="top"/>
          </w:tcPr>
          <w:p>
            <w:pPr>
              <w:ind w:left="259"/>
              <w:spacing w:before="24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14</w:t>
            </w:r>
          </w:p>
        </w:tc>
        <w:tc>
          <w:tcPr>
            <w:tcW w:w="1603" w:type="dxa"/>
            <w:vAlign w:val="top"/>
          </w:tcPr>
          <w:p>
            <w:pPr>
              <w:pStyle w:val="TableText"/>
              <w:ind w:left="284"/>
              <w:spacing w:before="207" w:line="228" w:lineRule="auto"/>
              <w:rPr/>
            </w:pPr>
            <w:r>
              <w:rPr>
                <w:spacing w:val="7"/>
              </w:rPr>
              <w:t>二裂萎陵菜</w:t>
            </w:r>
          </w:p>
        </w:tc>
        <w:tc>
          <w:tcPr>
            <w:tcW w:w="3305" w:type="dxa"/>
            <w:vAlign w:val="top"/>
          </w:tcPr>
          <w:p>
            <w:pPr>
              <w:ind w:left="656"/>
              <w:spacing w:before="173"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4"/>
                <w:position w:val="4"/>
              </w:rPr>
              <w:t>Potentilla bifurca Linn.</w:t>
            </w:r>
          </w:p>
        </w:tc>
        <w:tc>
          <w:tcPr>
            <w:tcW w:w="2920" w:type="dxa"/>
            <w:vAlign w:val="top"/>
          </w:tcPr>
          <w:p>
            <w:pPr>
              <w:pStyle w:val="TableText"/>
              <w:ind w:left="13"/>
              <w:spacing w:before="51" w:line="227" w:lineRule="auto"/>
              <w:rPr/>
            </w:pPr>
            <w:r>
              <w:rPr>
                <w:spacing w:val="6"/>
              </w:rPr>
              <w:t>草地、黄土坡上、半干旱荒漠草</w:t>
            </w:r>
          </w:p>
          <w:p>
            <w:pPr>
              <w:pStyle w:val="TableText"/>
              <w:ind w:left="945"/>
              <w:spacing w:before="65" w:line="228" w:lineRule="auto"/>
              <w:rPr/>
            </w:pPr>
            <w:r>
              <w:rPr>
                <w:spacing w:val="7"/>
              </w:rPr>
              <w:t>原及疏林下</w:t>
            </w:r>
          </w:p>
        </w:tc>
      </w:tr>
      <w:tr>
        <w:trPr>
          <w:trHeight w:val="317" w:hRule="atLeast"/>
        </w:trPr>
        <w:tc>
          <w:tcPr>
            <w:tcW w:w="687" w:type="dxa"/>
            <w:vAlign w:val="top"/>
          </w:tcPr>
          <w:p>
            <w:pPr>
              <w:ind w:left="259"/>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1603" w:type="dxa"/>
            <w:vAlign w:val="top"/>
          </w:tcPr>
          <w:p>
            <w:pPr>
              <w:pStyle w:val="TableText"/>
              <w:ind w:left="493"/>
              <w:spacing w:before="52" w:line="228" w:lineRule="auto"/>
              <w:rPr/>
            </w:pPr>
            <w:r>
              <w:rPr>
                <w:spacing w:val="6"/>
              </w:rPr>
              <w:t>灰绿藜</w:t>
            </w:r>
          </w:p>
        </w:tc>
        <w:tc>
          <w:tcPr>
            <w:tcW w:w="3305" w:type="dxa"/>
            <w:vAlign w:val="top"/>
          </w:tcPr>
          <w:p>
            <w:pPr>
              <w:ind w:left="466"/>
              <w:spacing w:before="18"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4"/>
                <w:position w:val="4"/>
              </w:rPr>
              <w:t>Chenopodium glaucum Linn</w:t>
            </w:r>
          </w:p>
        </w:tc>
        <w:tc>
          <w:tcPr>
            <w:tcW w:w="2920" w:type="dxa"/>
            <w:vAlign w:val="top"/>
          </w:tcPr>
          <w:p>
            <w:pPr>
              <w:pStyle w:val="TableText"/>
              <w:ind w:left="940"/>
              <w:spacing w:before="52" w:line="228" w:lineRule="auto"/>
              <w:rPr/>
            </w:pPr>
            <w:r>
              <w:rPr>
                <w:spacing w:val="8"/>
              </w:rPr>
              <w:t>坡地、草地</w:t>
            </w:r>
          </w:p>
        </w:tc>
      </w:tr>
      <w:tr>
        <w:trPr>
          <w:trHeight w:val="317" w:hRule="atLeast"/>
        </w:trPr>
        <w:tc>
          <w:tcPr>
            <w:tcW w:w="687" w:type="dxa"/>
            <w:vAlign w:val="top"/>
          </w:tcPr>
          <w:p>
            <w:pPr>
              <w:ind w:left="259"/>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16</w:t>
            </w:r>
          </w:p>
        </w:tc>
        <w:tc>
          <w:tcPr>
            <w:tcW w:w="1603" w:type="dxa"/>
            <w:vAlign w:val="top"/>
          </w:tcPr>
          <w:p>
            <w:pPr>
              <w:pStyle w:val="TableText"/>
              <w:ind w:left="281"/>
              <w:spacing w:before="51" w:line="228" w:lineRule="auto"/>
              <w:rPr/>
            </w:pPr>
            <w:r>
              <w:rPr>
                <w:spacing w:val="7"/>
              </w:rPr>
              <w:t>菊叶萎陵菜</w:t>
            </w:r>
          </w:p>
        </w:tc>
        <w:tc>
          <w:tcPr>
            <w:tcW w:w="3305" w:type="dxa"/>
            <w:vAlign w:val="top"/>
          </w:tcPr>
          <w:p>
            <w:pPr>
              <w:ind w:left="740"/>
              <w:spacing w:before="17"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3"/>
                <w:position w:val="4"/>
              </w:rPr>
              <w:t>P.tanacetiflolia</w:t>
            </w:r>
            <w:r>
              <w:rPr>
                <w:rFonts w:ascii="Times New Roman" w:hAnsi="Times New Roman" w:eastAsia="Times New Roman" w:cs="Times New Roman"/>
                <w:sz w:val="20"/>
                <w:szCs w:val="20"/>
                <w:i/>
                <w:iCs/>
                <w:spacing w:val="33"/>
                <w:position w:val="4"/>
              </w:rPr>
              <w:t xml:space="preserve"> </w:t>
            </w:r>
            <w:r>
              <w:rPr>
                <w:rFonts w:ascii="Times New Roman" w:hAnsi="Times New Roman" w:eastAsia="Times New Roman" w:cs="Times New Roman"/>
                <w:sz w:val="20"/>
                <w:szCs w:val="20"/>
                <w:i/>
                <w:iCs/>
                <w:spacing w:val="3"/>
                <w:position w:val="4"/>
              </w:rPr>
              <w:t>Willd</w:t>
            </w:r>
          </w:p>
        </w:tc>
        <w:tc>
          <w:tcPr>
            <w:tcW w:w="2920" w:type="dxa"/>
            <w:vAlign w:val="top"/>
          </w:tcPr>
          <w:p>
            <w:pPr>
              <w:pStyle w:val="TableText"/>
              <w:ind w:left="940"/>
              <w:spacing w:before="51" w:line="228" w:lineRule="auto"/>
              <w:rPr/>
            </w:pPr>
            <w:r>
              <w:rPr>
                <w:spacing w:val="8"/>
              </w:rPr>
              <w:t>坡地、草地</w:t>
            </w:r>
          </w:p>
        </w:tc>
      </w:tr>
      <w:tr>
        <w:trPr>
          <w:trHeight w:val="317" w:hRule="atLeast"/>
        </w:trPr>
        <w:tc>
          <w:tcPr>
            <w:tcW w:w="687" w:type="dxa"/>
            <w:vAlign w:val="top"/>
          </w:tcPr>
          <w:p>
            <w:pPr>
              <w:ind w:left="25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17</w:t>
            </w:r>
          </w:p>
        </w:tc>
        <w:tc>
          <w:tcPr>
            <w:tcW w:w="1603" w:type="dxa"/>
            <w:vAlign w:val="top"/>
          </w:tcPr>
          <w:p>
            <w:pPr>
              <w:pStyle w:val="TableText"/>
              <w:ind w:left="283"/>
              <w:spacing w:before="53" w:line="228" w:lineRule="auto"/>
              <w:rPr/>
            </w:pPr>
            <w:r>
              <w:rPr>
                <w:spacing w:val="7"/>
              </w:rPr>
              <w:t>星毛萎陵菜</w:t>
            </w:r>
          </w:p>
        </w:tc>
        <w:tc>
          <w:tcPr>
            <w:tcW w:w="3305" w:type="dxa"/>
            <w:vAlign w:val="top"/>
          </w:tcPr>
          <w:p>
            <w:pPr>
              <w:pStyle w:val="TableText"/>
              <w:ind w:left="711"/>
              <w:spacing w:before="19" w:line="278" w:lineRule="exact"/>
              <w:rPr>
                <w:sz w:val="21"/>
                <w:szCs w:val="21"/>
              </w:rPr>
            </w:pPr>
            <w:r>
              <w:rPr>
                <w:rFonts w:ascii="Times New Roman" w:hAnsi="Times New Roman" w:eastAsia="Times New Roman" w:cs="Times New Roman"/>
                <w:i/>
                <w:iCs/>
                <w:position w:val="2"/>
              </w:rPr>
              <w:t>Potentilla</w:t>
            </w:r>
            <w:r>
              <w:rPr>
                <w:rFonts w:ascii="Times New Roman" w:hAnsi="Times New Roman" w:eastAsia="Times New Roman" w:cs="Times New Roman"/>
                <w:i/>
                <w:iCs/>
                <w:spacing w:val="27"/>
                <w:position w:val="2"/>
              </w:rPr>
              <w:t xml:space="preserve"> </w:t>
            </w:r>
            <w:r>
              <w:rPr>
                <w:rFonts w:ascii="Times New Roman" w:hAnsi="Times New Roman" w:eastAsia="Times New Roman" w:cs="Times New Roman"/>
                <w:i/>
                <w:iCs/>
                <w:position w:val="2"/>
              </w:rPr>
              <w:t>acaulis</w:t>
            </w:r>
            <w:r>
              <w:rPr>
                <w:rFonts w:ascii="Times New Roman" w:hAnsi="Times New Roman" w:eastAsia="Times New Roman" w:cs="Times New Roman"/>
                <w:i/>
                <w:iCs/>
                <w:spacing w:val="27"/>
                <w:position w:val="2"/>
              </w:rPr>
              <w:t xml:space="preserve"> </w:t>
            </w:r>
            <w:r>
              <w:rPr>
                <w:rFonts w:ascii="Times New Roman" w:hAnsi="Times New Roman" w:eastAsia="Times New Roman" w:cs="Times New Roman"/>
                <w:i/>
                <w:iCs/>
                <w:position w:val="2"/>
              </w:rPr>
              <w:t>L</w:t>
            </w:r>
            <w:r>
              <w:rPr>
                <w:sz w:val="21"/>
                <w:szCs w:val="21"/>
                <w:i/>
                <w:iCs/>
                <w:spacing w:val="27"/>
                <w:position w:val="2"/>
              </w:rPr>
              <w:t>．</w:t>
            </w:r>
          </w:p>
        </w:tc>
        <w:tc>
          <w:tcPr>
            <w:tcW w:w="2920" w:type="dxa"/>
            <w:vAlign w:val="top"/>
          </w:tcPr>
          <w:p>
            <w:pPr>
              <w:pStyle w:val="TableText"/>
              <w:ind w:left="1256"/>
              <w:spacing w:before="53" w:line="228" w:lineRule="auto"/>
              <w:rPr/>
            </w:pPr>
            <w:r>
              <w:rPr>
                <w:spacing w:val="3"/>
              </w:rPr>
              <w:t>草地</w:t>
            </w:r>
          </w:p>
        </w:tc>
      </w:tr>
      <w:tr>
        <w:trPr>
          <w:trHeight w:val="317" w:hRule="atLeast"/>
        </w:trPr>
        <w:tc>
          <w:tcPr>
            <w:tcW w:w="687" w:type="dxa"/>
            <w:vAlign w:val="top"/>
          </w:tcPr>
          <w:p>
            <w:pPr>
              <w:ind w:left="259"/>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18</w:t>
            </w:r>
          </w:p>
        </w:tc>
        <w:tc>
          <w:tcPr>
            <w:tcW w:w="1603" w:type="dxa"/>
            <w:vAlign w:val="top"/>
          </w:tcPr>
          <w:p>
            <w:pPr>
              <w:pStyle w:val="TableText"/>
              <w:ind w:left="491"/>
              <w:spacing w:before="53" w:line="228" w:lineRule="auto"/>
              <w:rPr/>
            </w:pPr>
            <w:r>
              <w:rPr>
                <w:spacing w:val="6"/>
              </w:rPr>
              <w:t>猪毛菜</w:t>
            </w:r>
          </w:p>
        </w:tc>
        <w:tc>
          <w:tcPr>
            <w:tcW w:w="3305" w:type="dxa"/>
            <w:vAlign w:val="top"/>
          </w:tcPr>
          <w:p>
            <w:pPr>
              <w:ind w:left="797"/>
              <w:spacing w:before="19"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3"/>
                <w:position w:val="2"/>
              </w:rPr>
              <w:t>Salsola collina Pall.</w:t>
            </w:r>
          </w:p>
        </w:tc>
        <w:tc>
          <w:tcPr>
            <w:tcW w:w="2920" w:type="dxa"/>
            <w:vAlign w:val="top"/>
          </w:tcPr>
          <w:p>
            <w:pPr>
              <w:pStyle w:val="TableText"/>
              <w:ind w:left="940"/>
              <w:spacing w:before="53" w:line="228" w:lineRule="auto"/>
              <w:rPr/>
            </w:pPr>
            <w:r>
              <w:rPr>
                <w:spacing w:val="8"/>
              </w:rPr>
              <w:t>坡地、草地</w:t>
            </w:r>
          </w:p>
        </w:tc>
      </w:tr>
      <w:tr>
        <w:trPr>
          <w:trHeight w:val="317" w:hRule="atLeast"/>
        </w:trPr>
        <w:tc>
          <w:tcPr>
            <w:tcW w:w="687" w:type="dxa"/>
            <w:vAlign w:val="top"/>
          </w:tcPr>
          <w:p>
            <w:pPr>
              <w:ind w:left="259"/>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19</w:t>
            </w:r>
          </w:p>
        </w:tc>
        <w:tc>
          <w:tcPr>
            <w:tcW w:w="1603" w:type="dxa"/>
            <w:vAlign w:val="top"/>
          </w:tcPr>
          <w:p>
            <w:pPr>
              <w:pStyle w:val="TableText"/>
              <w:ind w:left="491"/>
              <w:spacing w:before="53" w:line="228" w:lineRule="auto"/>
              <w:rPr/>
            </w:pPr>
            <w:r>
              <w:rPr>
                <w:spacing w:val="6"/>
              </w:rPr>
              <w:t>狗尾草</w:t>
            </w:r>
          </w:p>
        </w:tc>
        <w:tc>
          <w:tcPr>
            <w:tcW w:w="3305" w:type="dxa"/>
            <w:vAlign w:val="top"/>
          </w:tcPr>
          <w:p>
            <w:pPr>
              <w:pStyle w:val="TableText"/>
              <w:ind w:left="495"/>
              <w:spacing w:before="19" w:line="277" w:lineRule="exact"/>
              <w:rPr>
                <w:rFonts w:ascii="Times New Roman" w:hAnsi="Times New Roman" w:eastAsia="Times New Roman" w:cs="Times New Roman"/>
              </w:rPr>
            </w:pPr>
            <w:r>
              <w:rPr>
                <w:rFonts w:ascii="Times New Roman" w:hAnsi="Times New Roman" w:eastAsia="Times New Roman" w:cs="Times New Roman"/>
                <w:i/>
                <w:iCs/>
                <w:position w:val="1"/>
              </w:rPr>
              <w:t>Setaira</w:t>
            </w:r>
            <w:r>
              <w:rPr>
                <w:rFonts w:ascii="Times New Roman" w:hAnsi="Times New Roman" w:eastAsia="Times New Roman" w:cs="Times New Roman"/>
                <w:i/>
                <w:iCs/>
                <w:spacing w:val="13"/>
                <w:position w:val="1"/>
              </w:rPr>
              <w:t xml:space="preserve"> </w:t>
            </w:r>
            <w:r>
              <w:rPr>
                <w:rFonts w:ascii="Times New Roman" w:hAnsi="Times New Roman" w:eastAsia="Times New Roman" w:cs="Times New Roman"/>
                <w:i/>
                <w:iCs/>
                <w:position w:val="1"/>
              </w:rPr>
              <w:t>viridis</w:t>
            </w:r>
            <w:r>
              <w:rPr>
                <w:sz w:val="21"/>
                <w:szCs w:val="21"/>
                <w:i/>
                <w:iCs/>
                <w:spacing w:val="13"/>
                <w:position w:val="1"/>
              </w:rPr>
              <w:t>（</w:t>
            </w:r>
            <w:r>
              <w:rPr>
                <w:rFonts w:ascii="Times New Roman" w:hAnsi="Times New Roman" w:eastAsia="Times New Roman" w:cs="Times New Roman"/>
                <w:i/>
                <w:iCs/>
                <w:spacing w:val="13"/>
                <w:position w:val="1"/>
              </w:rPr>
              <w:t>L.</w:t>
            </w:r>
            <w:r>
              <w:rPr>
                <w:rFonts w:ascii="Times New Roman" w:hAnsi="Times New Roman" w:eastAsia="Times New Roman" w:cs="Times New Roman"/>
                <w:i/>
                <w:iCs/>
                <w:spacing w:val="-28"/>
                <w:position w:val="1"/>
              </w:rPr>
              <w:t xml:space="preserve"> </w:t>
            </w:r>
            <w:r>
              <w:rPr>
                <w:sz w:val="21"/>
                <w:szCs w:val="21"/>
                <w:i/>
                <w:iCs/>
                <w:spacing w:val="13"/>
                <w:position w:val="1"/>
              </w:rPr>
              <w:t>）</w:t>
            </w:r>
            <w:r>
              <w:rPr>
                <w:rFonts w:ascii="Times New Roman" w:hAnsi="Times New Roman" w:eastAsia="Times New Roman" w:cs="Times New Roman"/>
                <w:i/>
                <w:iCs/>
                <w:position w:val="1"/>
              </w:rPr>
              <w:t>Beauv</w:t>
            </w:r>
          </w:p>
        </w:tc>
        <w:tc>
          <w:tcPr>
            <w:tcW w:w="2920" w:type="dxa"/>
            <w:vAlign w:val="top"/>
          </w:tcPr>
          <w:p>
            <w:pPr>
              <w:pStyle w:val="TableText"/>
              <w:ind w:left="1256"/>
              <w:spacing w:before="53" w:line="228" w:lineRule="auto"/>
              <w:rPr/>
            </w:pPr>
            <w:r>
              <w:rPr>
                <w:spacing w:val="3"/>
              </w:rPr>
              <w:t>草地</w:t>
            </w:r>
          </w:p>
        </w:tc>
      </w:tr>
      <w:tr>
        <w:trPr>
          <w:trHeight w:val="317" w:hRule="atLeast"/>
        </w:trPr>
        <w:tc>
          <w:tcPr>
            <w:tcW w:w="687" w:type="dxa"/>
            <w:vAlign w:val="top"/>
          </w:tcPr>
          <w:p>
            <w:pPr>
              <w:ind w:left="239"/>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1603" w:type="dxa"/>
            <w:vAlign w:val="top"/>
          </w:tcPr>
          <w:p>
            <w:pPr>
              <w:pStyle w:val="TableText"/>
              <w:ind w:left="499"/>
              <w:spacing w:before="53" w:line="229" w:lineRule="auto"/>
              <w:rPr/>
            </w:pPr>
            <w:r>
              <w:rPr>
                <w:spacing w:val="4"/>
              </w:rPr>
              <w:t>百里香</w:t>
            </w:r>
          </w:p>
        </w:tc>
        <w:tc>
          <w:tcPr>
            <w:tcW w:w="3305" w:type="dxa"/>
            <w:vAlign w:val="top"/>
          </w:tcPr>
          <w:p>
            <w:pPr>
              <w:ind w:left="490"/>
              <w:spacing w:before="18"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4"/>
                <w:position w:val="4"/>
              </w:rPr>
              <w:t>Scutellaria viscidual Bunge</w:t>
            </w:r>
          </w:p>
        </w:tc>
        <w:tc>
          <w:tcPr>
            <w:tcW w:w="2920" w:type="dxa"/>
            <w:vAlign w:val="top"/>
          </w:tcPr>
          <w:p>
            <w:pPr>
              <w:pStyle w:val="TableText"/>
              <w:ind w:left="940"/>
              <w:spacing w:before="53" w:line="228" w:lineRule="auto"/>
              <w:rPr/>
            </w:pPr>
            <w:r>
              <w:rPr>
                <w:spacing w:val="8"/>
              </w:rPr>
              <w:t>丘陵、坡地</w:t>
            </w:r>
          </w:p>
        </w:tc>
      </w:tr>
      <w:tr>
        <w:trPr>
          <w:trHeight w:val="628" w:hRule="atLeast"/>
        </w:trPr>
        <w:tc>
          <w:tcPr>
            <w:tcW w:w="687" w:type="dxa"/>
            <w:vAlign w:val="top"/>
          </w:tcPr>
          <w:p>
            <w:pPr>
              <w:ind w:left="239"/>
              <w:spacing w:before="24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21</w:t>
            </w:r>
          </w:p>
        </w:tc>
        <w:tc>
          <w:tcPr>
            <w:tcW w:w="1603" w:type="dxa"/>
            <w:vAlign w:val="top"/>
          </w:tcPr>
          <w:p>
            <w:pPr>
              <w:pStyle w:val="TableText"/>
              <w:ind w:left="493"/>
              <w:spacing w:before="208" w:line="228" w:lineRule="auto"/>
              <w:rPr/>
            </w:pPr>
            <w:r>
              <w:rPr>
                <w:spacing w:val="6"/>
              </w:rPr>
              <w:t>扁蓿豆</w:t>
            </w:r>
          </w:p>
        </w:tc>
        <w:tc>
          <w:tcPr>
            <w:tcW w:w="3305" w:type="dxa"/>
            <w:vAlign w:val="top"/>
          </w:tcPr>
          <w:p>
            <w:pPr>
              <w:pStyle w:val="TableText"/>
              <w:ind w:left="4"/>
              <w:spacing w:before="174" w:line="278" w:lineRule="exact"/>
              <w:rPr>
                <w:rFonts w:ascii="Times New Roman" w:hAnsi="Times New Roman" w:eastAsia="Times New Roman" w:cs="Times New Roman"/>
              </w:rPr>
            </w:pPr>
            <w:r>
              <w:rPr>
                <w:rFonts w:ascii="Times New Roman" w:hAnsi="Times New Roman" w:eastAsia="Times New Roman" w:cs="Times New Roman"/>
                <w:i/>
                <w:iCs/>
                <w:position w:val="1"/>
              </w:rPr>
              <w:t>Melissilus</w:t>
            </w:r>
            <w:r>
              <w:rPr>
                <w:rFonts w:ascii="Times New Roman" w:hAnsi="Times New Roman" w:eastAsia="Times New Roman" w:cs="Times New Roman"/>
                <w:i/>
                <w:iCs/>
                <w:spacing w:val="23"/>
                <w:position w:val="1"/>
              </w:rPr>
              <w:t xml:space="preserve"> </w:t>
            </w:r>
            <w:r>
              <w:rPr>
                <w:rFonts w:ascii="Times New Roman" w:hAnsi="Times New Roman" w:eastAsia="Times New Roman" w:cs="Times New Roman"/>
                <w:i/>
                <w:iCs/>
                <w:position w:val="1"/>
              </w:rPr>
              <w:t>ruthenicus</w:t>
            </w:r>
            <w:r>
              <w:rPr>
                <w:sz w:val="21"/>
                <w:szCs w:val="21"/>
                <w:i/>
                <w:iCs/>
                <w:spacing w:val="23"/>
                <w:position w:val="1"/>
              </w:rPr>
              <w:t>（</w:t>
            </w:r>
            <w:r>
              <w:rPr>
                <w:rFonts w:ascii="Times New Roman" w:hAnsi="Times New Roman" w:eastAsia="Times New Roman" w:cs="Times New Roman"/>
                <w:i/>
                <w:iCs/>
                <w:spacing w:val="23"/>
                <w:position w:val="1"/>
              </w:rPr>
              <w:t>L.</w:t>
            </w:r>
            <w:r>
              <w:rPr>
                <w:rFonts w:ascii="Times New Roman" w:hAnsi="Times New Roman" w:eastAsia="Times New Roman" w:cs="Times New Roman"/>
                <w:i/>
                <w:iCs/>
                <w:spacing w:val="-24"/>
                <w:position w:val="1"/>
              </w:rPr>
              <w:t xml:space="preserve"> </w:t>
            </w:r>
            <w:r>
              <w:rPr>
                <w:sz w:val="21"/>
                <w:szCs w:val="21"/>
                <w:i/>
                <w:iCs/>
                <w:spacing w:val="23"/>
                <w:position w:val="1"/>
              </w:rPr>
              <w:t>）</w:t>
            </w:r>
            <w:r>
              <w:rPr>
                <w:rFonts w:ascii="Times New Roman" w:hAnsi="Times New Roman" w:eastAsia="Times New Roman" w:cs="Times New Roman"/>
                <w:i/>
                <w:iCs/>
                <w:position w:val="1"/>
              </w:rPr>
              <w:t>Peschkova</w:t>
            </w:r>
          </w:p>
        </w:tc>
        <w:tc>
          <w:tcPr>
            <w:tcW w:w="2920" w:type="dxa"/>
            <w:vAlign w:val="top"/>
          </w:tcPr>
          <w:p>
            <w:pPr>
              <w:pStyle w:val="TableText"/>
              <w:spacing w:before="53" w:line="228" w:lineRule="auto"/>
              <w:jc w:val="right"/>
              <w:rPr/>
            </w:pPr>
            <w:r>
              <w:rPr>
                <w:spacing w:val="6"/>
              </w:rPr>
              <w:t>沙质地、丘陵坡地、河岸沙地、</w:t>
            </w:r>
          </w:p>
          <w:p>
            <w:pPr>
              <w:pStyle w:val="TableText"/>
              <w:ind w:left="1151"/>
              <w:spacing w:before="64" w:line="228" w:lineRule="auto"/>
              <w:rPr/>
            </w:pPr>
            <w:r>
              <w:rPr>
                <w:spacing w:val="6"/>
              </w:rPr>
              <w:t>路旁等</w:t>
            </w:r>
          </w:p>
        </w:tc>
      </w:tr>
      <w:tr>
        <w:trPr>
          <w:trHeight w:val="317" w:hRule="atLeast"/>
        </w:trPr>
        <w:tc>
          <w:tcPr>
            <w:tcW w:w="687" w:type="dxa"/>
            <w:vAlign w:val="top"/>
          </w:tcPr>
          <w:p>
            <w:pPr>
              <w:ind w:left="239"/>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22</w:t>
            </w:r>
          </w:p>
        </w:tc>
        <w:tc>
          <w:tcPr>
            <w:tcW w:w="1603" w:type="dxa"/>
            <w:vAlign w:val="top"/>
          </w:tcPr>
          <w:p>
            <w:pPr>
              <w:pStyle w:val="TableText"/>
              <w:ind w:left="492"/>
              <w:spacing w:before="52" w:line="228" w:lineRule="auto"/>
              <w:rPr/>
            </w:pPr>
            <w:r>
              <w:rPr>
                <w:spacing w:val="6"/>
              </w:rPr>
              <w:t>细叶葱</w:t>
            </w:r>
          </w:p>
        </w:tc>
        <w:tc>
          <w:tcPr>
            <w:tcW w:w="3305" w:type="dxa"/>
            <w:vAlign w:val="top"/>
          </w:tcPr>
          <w:p>
            <w:pPr>
              <w:ind w:left="862"/>
              <w:spacing w:before="18"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4"/>
                <w:position w:val="2"/>
              </w:rPr>
              <w:t>Allium tenissimum</w:t>
            </w:r>
          </w:p>
        </w:tc>
        <w:tc>
          <w:tcPr>
            <w:tcW w:w="2920" w:type="dxa"/>
            <w:vAlign w:val="top"/>
          </w:tcPr>
          <w:p>
            <w:pPr>
              <w:pStyle w:val="TableText"/>
              <w:ind w:left="940"/>
              <w:spacing w:before="52" w:line="228" w:lineRule="auto"/>
              <w:rPr/>
            </w:pPr>
            <w:r>
              <w:rPr>
                <w:spacing w:val="8"/>
              </w:rPr>
              <w:t>坡地、草地</w:t>
            </w:r>
          </w:p>
        </w:tc>
      </w:tr>
      <w:tr>
        <w:trPr>
          <w:trHeight w:val="316" w:hRule="atLeast"/>
        </w:trPr>
        <w:tc>
          <w:tcPr>
            <w:tcW w:w="687" w:type="dxa"/>
            <w:vAlign w:val="top"/>
          </w:tcPr>
          <w:p>
            <w:pPr>
              <w:ind w:left="23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23</w:t>
            </w:r>
          </w:p>
        </w:tc>
        <w:tc>
          <w:tcPr>
            <w:tcW w:w="1603" w:type="dxa"/>
            <w:vAlign w:val="top"/>
          </w:tcPr>
          <w:p>
            <w:pPr>
              <w:pStyle w:val="TableText"/>
              <w:ind w:left="491"/>
              <w:spacing w:before="54" w:line="228" w:lineRule="auto"/>
              <w:rPr/>
            </w:pPr>
            <w:r>
              <w:rPr>
                <w:spacing w:val="7"/>
              </w:rPr>
              <w:t>刺穗藜</w:t>
            </w:r>
          </w:p>
        </w:tc>
        <w:tc>
          <w:tcPr>
            <w:tcW w:w="3305" w:type="dxa"/>
            <w:vAlign w:val="top"/>
          </w:tcPr>
          <w:p>
            <w:pPr>
              <w:ind w:left="646"/>
              <w:spacing w:before="20"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3"/>
                <w:position w:val="4"/>
              </w:rPr>
              <w:t>Chenopodium aristatum</w:t>
            </w:r>
          </w:p>
        </w:tc>
        <w:tc>
          <w:tcPr>
            <w:tcW w:w="2920" w:type="dxa"/>
            <w:vAlign w:val="top"/>
          </w:tcPr>
          <w:p>
            <w:pPr>
              <w:pStyle w:val="TableText"/>
              <w:ind w:left="13"/>
              <w:spacing w:before="55" w:line="228" w:lineRule="auto"/>
              <w:rPr/>
            </w:pPr>
            <w:r>
              <w:rPr>
                <w:spacing w:val="6"/>
              </w:rPr>
              <w:t>沙质地、盐渍化土壤、河岸沙地</w:t>
            </w:r>
          </w:p>
        </w:tc>
      </w:tr>
      <w:tr>
        <w:trPr>
          <w:trHeight w:val="317" w:hRule="atLeast"/>
        </w:trPr>
        <w:tc>
          <w:tcPr>
            <w:tcW w:w="687" w:type="dxa"/>
            <w:vAlign w:val="top"/>
          </w:tcPr>
          <w:p>
            <w:pPr>
              <w:ind w:left="23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24</w:t>
            </w:r>
          </w:p>
        </w:tc>
        <w:tc>
          <w:tcPr>
            <w:tcW w:w="1603" w:type="dxa"/>
            <w:vAlign w:val="top"/>
          </w:tcPr>
          <w:p>
            <w:pPr>
              <w:pStyle w:val="TableText"/>
              <w:ind w:left="613"/>
              <w:spacing w:before="55" w:line="232" w:lineRule="auto"/>
              <w:rPr/>
            </w:pPr>
            <w:r>
              <w:rPr>
                <w:spacing w:val="-5"/>
              </w:rPr>
              <w:t>山韭</w:t>
            </w:r>
          </w:p>
        </w:tc>
        <w:tc>
          <w:tcPr>
            <w:tcW w:w="3305" w:type="dxa"/>
            <w:vAlign w:val="top"/>
          </w:tcPr>
          <w:p>
            <w:pPr>
              <w:ind w:left="639"/>
              <w:spacing w:before="21"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5"/>
                <w:position w:val="4"/>
              </w:rPr>
              <w:t>Alliumjaponi–cum Reg.</w:t>
            </w:r>
          </w:p>
        </w:tc>
        <w:tc>
          <w:tcPr>
            <w:tcW w:w="2920" w:type="dxa"/>
            <w:vAlign w:val="top"/>
          </w:tcPr>
          <w:p>
            <w:pPr>
              <w:pStyle w:val="TableText"/>
              <w:ind w:left="940"/>
              <w:spacing w:before="55" w:line="228" w:lineRule="auto"/>
              <w:rPr/>
            </w:pPr>
            <w:r>
              <w:rPr>
                <w:spacing w:val="8"/>
              </w:rPr>
              <w:t>坡地、草地</w:t>
            </w:r>
          </w:p>
        </w:tc>
      </w:tr>
      <w:tr>
        <w:trPr>
          <w:trHeight w:val="317" w:hRule="atLeast"/>
        </w:trPr>
        <w:tc>
          <w:tcPr>
            <w:tcW w:w="687" w:type="dxa"/>
            <w:vAlign w:val="top"/>
          </w:tcPr>
          <w:p>
            <w:pPr>
              <w:ind w:left="23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1603" w:type="dxa"/>
            <w:vAlign w:val="top"/>
          </w:tcPr>
          <w:p>
            <w:pPr>
              <w:pStyle w:val="TableText"/>
              <w:ind w:left="495"/>
              <w:spacing w:before="55" w:line="228" w:lineRule="auto"/>
              <w:rPr/>
            </w:pPr>
            <w:r>
              <w:rPr>
                <w:spacing w:val="5"/>
              </w:rPr>
              <w:t>老鹳草</w:t>
            </w:r>
          </w:p>
        </w:tc>
        <w:tc>
          <w:tcPr>
            <w:tcW w:w="3305" w:type="dxa"/>
            <w:vAlign w:val="top"/>
          </w:tcPr>
          <w:p>
            <w:pPr>
              <w:ind w:left="505"/>
              <w:spacing w:before="21" w:line="27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3"/>
                <w:position w:val="4"/>
              </w:rPr>
              <w:t>Geranium wilfordii Maxim.</w:t>
            </w:r>
          </w:p>
        </w:tc>
        <w:tc>
          <w:tcPr>
            <w:tcW w:w="2920" w:type="dxa"/>
            <w:vAlign w:val="top"/>
          </w:tcPr>
          <w:p>
            <w:pPr>
              <w:pStyle w:val="TableText"/>
              <w:ind w:left="642"/>
              <w:spacing w:before="55" w:line="228" w:lineRule="auto"/>
              <w:rPr/>
            </w:pPr>
            <w:r>
              <w:rPr>
                <w:spacing w:val="6"/>
              </w:rPr>
              <w:t>山坡、草地及路旁</w:t>
            </w:r>
          </w:p>
        </w:tc>
      </w:tr>
      <w:tr>
        <w:trPr>
          <w:trHeight w:val="628" w:hRule="atLeast"/>
        </w:trPr>
        <w:tc>
          <w:tcPr>
            <w:tcW w:w="687" w:type="dxa"/>
            <w:vAlign w:val="top"/>
          </w:tcPr>
          <w:p>
            <w:pPr>
              <w:ind w:left="239"/>
              <w:spacing w:before="2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26</w:t>
            </w:r>
          </w:p>
        </w:tc>
        <w:tc>
          <w:tcPr>
            <w:tcW w:w="1603" w:type="dxa"/>
            <w:vAlign w:val="top"/>
          </w:tcPr>
          <w:p>
            <w:pPr>
              <w:pStyle w:val="TableText"/>
              <w:ind w:left="184"/>
              <w:spacing w:before="211" w:line="228" w:lineRule="auto"/>
              <w:rPr/>
            </w:pPr>
            <w:r>
              <w:rPr>
                <w:spacing w:val="6"/>
              </w:rPr>
              <w:t>阿尔泰狗哇花</w:t>
            </w:r>
          </w:p>
        </w:tc>
        <w:tc>
          <w:tcPr>
            <w:tcW w:w="3305" w:type="dxa"/>
            <w:vAlign w:val="top"/>
          </w:tcPr>
          <w:p>
            <w:pPr>
              <w:pStyle w:val="TableText"/>
              <w:ind w:left="253"/>
              <w:spacing w:before="20" w:line="278" w:lineRule="exact"/>
              <w:rPr>
                <w:sz w:val="21"/>
                <w:szCs w:val="21"/>
              </w:rPr>
            </w:pPr>
            <w:r>
              <w:rPr>
                <w:rFonts w:ascii="Times New Roman" w:hAnsi="Times New Roman" w:eastAsia="Times New Roman" w:cs="Times New Roman"/>
                <w:i/>
                <w:iCs/>
                <w:position w:val="2"/>
              </w:rPr>
              <w:t>Heteropappusaltaicus</w:t>
            </w:r>
            <w:r>
              <w:rPr>
                <w:sz w:val="21"/>
                <w:szCs w:val="21"/>
                <w:i/>
                <w:iCs/>
                <w:spacing w:val="38"/>
                <w:position w:val="2"/>
              </w:rPr>
              <w:t>（</w:t>
            </w:r>
            <w:r>
              <w:rPr>
                <w:rFonts w:ascii="Times New Roman" w:hAnsi="Times New Roman" w:eastAsia="Times New Roman" w:cs="Times New Roman"/>
                <w:i/>
                <w:iCs/>
                <w:position w:val="2"/>
              </w:rPr>
              <w:t>Willd</w:t>
            </w:r>
            <w:r>
              <w:rPr>
                <w:rFonts w:ascii="Times New Roman" w:hAnsi="Times New Roman" w:eastAsia="Times New Roman" w:cs="Times New Roman"/>
                <w:i/>
                <w:iCs/>
                <w:spacing w:val="38"/>
                <w:position w:val="2"/>
              </w:rPr>
              <w:t>.</w:t>
            </w:r>
            <w:r>
              <w:rPr>
                <w:rFonts w:ascii="Times New Roman" w:hAnsi="Times New Roman" w:eastAsia="Times New Roman" w:cs="Times New Roman"/>
                <w:i/>
                <w:iCs/>
                <w:spacing w:val="-28"/>
                <w:position w:val="2"/>
              </w:rPr>
              <w:t xml:space="preserve"> </w:t>
            </w:r>
            <w:r>
              <w:rPr>
                <w:sz w:val="21"/>
                <w:szCs w:val="21"/>
                <w:i/>
                <w:iCs/>
                <w:spacing w:val="38"/>
                <w:position w:val="2"/>
              </w:rPr>
              <w:t>）</w:t>
            </w:r>
          </w:p>
          <w:p>
            <w:pPr>
              <w:ind w:left="1203"/>
              <w:spacing w:before="34"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5"/>
                <w:position w:val="4"/>
              </w:rPr>
              <w:t>Novopokr.</w:t>
            </w:r>
          </w:p>
        </w:tc>
        <w:tc>
          <w:tcPr>
            <w:tcW w:w="2920" w:type="dxa"/>
            <w:vAlign w:val="top"/>
          </w:tcPr>
          <w:p>
            <w:pPr>
              <w:pStyle w:val="TableText"/>
              <w:ind w:left="522"/>
              <w:spacing w:before="210" w:line="228" w:lineRule="auto"/>
              <w:rPr/>
            </w:pPr>
            <w:r>
              <w:rPr>
                <w:spacing w:val="8"/>
              </w:rPr>
              <w:t>沙质地、路旁、草地</w:t>
            </w:r>
          </w:p>
        </w:tc>
      </w:tr>
      <w:tr>
        <w:trPr>
          <w:trHeight w:val="317" w:hRule="atLeast"/>
        </w:trPr>
        <w:tc>
          <w:tcPr>
            <w:tcW w:w="687" w:type="dxa"/>
            <w:vAlign w:val="top"/>
          </w:tcPr>
          <w:p>
            <w:pPr>
              <w:ind w:left="23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27</w:t>
            </w:r>
          </w:p>
        </w:tc>
        <w:tc>
          <w:tcPr>
            <w:tcW w:w="1603" w:type="dxa"/>
            <w:vAlign w:val="top"/>
          </w:tcPr>
          <w:p>
            <w:pPr>
              <w:pStyle w:val="TableText"/>
              <w:ind w:left="491"/>
              <w:spacing w:before="55" w:line="231" w:lineRule="auto"/>
              <w:rPr/>
            </w:pPr>
            <w:r>
              <w:rPr>
                <w:spacing w:val="6"/>
              </w:rPr>
              <w:t>双齿葱</w:t>
            </w:r>
          </w:p>
        </w:tc>
        <w:tc>
          <w:tcPr>
            <w:tcW w:w="3305" w:type="dxa"/>
            <w:vAlign w:val="top"/>
          </w:tcPr>
          <w:p>
            <w:pPr>
              <w:ind w:left="862"/>
              <w:spacing w:before="21"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4"/>
                <w:position w:val="2"/>
              </w:rPr>
              <w:t>Allium bidentatum</w:t>
            </w:r>
          </w:p>
        </w:tc>
        <w:tc>
          <w:tcPr>
            <w:tcW w:w="2920" w:type="dxa"/>
            <w:vAlign w:val="top"/>
          </w:tcPr>
          <w:p>
            <w:pPr>
              <w:pStyle w:val="TableText"/>
              <w:ind w:left="940"/>
              <w:spacing w:before="55" w:line="228" w:lineRule="auto"/>
              <w:rPr/>
            </w:pPr>
            <w:r>
              <w:rPr>
                <w:spacing w:val="8"/>
              </w:rPr>
              <w:t>坡地、草地</w:t>
            </w:r>
          </w:p>
        </w:tc>
      </w:tr>
      <w:tr>
        <w:trPr>
          <w:trHeight w:val="317" w:hRule="atLeast"/>
        </w:trPr>
        <w:tc>
          <w:tcPr>
            <w:tcW w:w="687" w:type="dxa"/>
            <w:vAlign w:val="top"/>
          </w:tcPr>
          <w:p>
            <w:pPr>
              <w:ind w:left="23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c>
          <w:tcPr>
            <w:tcW w:w="1603" w:type="dxa"/>
            <w:vAlign w:val="top"/>
          </w:tcPr>
          <w:p>
            <w:pPr>
              <w:pStyle w:val="TableText"/>
              <w:ind w:left="492"/>
              <w:spacing w:before="55" w:line="228" w:lineRule="auto"/>
              <w:rPr/>
            </w:pPr>
            <w:r>
              <w:rPr>
                <w:spacing w:val="6"/>
              </w:rPr>
              <w:t>木地肤</w:t>
            </w:r>
          </w:p>
        </w:tc>
        <w:tc>
          <w:tcPr>
            <w:tcW w:w="3305" w:type="dxa"/>
            <w:vAlign w:val="top"/>
          </w:tcPr>
          <w:p>
            <w:pPr>
              <w:pStyle w:val="TableText"/>
              <w:ind w:left="332"/>
              <w:spacing w:before="20" w:line="278" w:lineRule="exact"/>
              <w:rPr>
                <w:rFonts w:ascii="Times New Roman" w:hAnsi="Times New Roman" w:eastAsia="Times New Roman" w:cs="Times New Roman"/>
              </w:rPr>
            </w:pPr>
            <w:r>
              <w:rPr>
                <w:rFonts w:ascii="Times New Roman" w:hAnsi="Times New Roman" w:eastAsia="Times New Roman" w:cs="Times New Roman"/>
                <w:i/>
                <w:iCs/>
                <w:position w:val="2"/>
              </w:rPr>
              <w:t>Kochiaprostrata</w:t>
            </w:r>
            <w:r>
              <w:rPr>
                <w:sz w:val="21"/>
                <w:szCs w:val="21"/>
                <w:i/>
                <w:iCs/>
                <w:spacing w:val="19"/>
                <w:position w:val="2"/>
              </w:rPr>
              <w:t>（</w:t>
            </w:r>
            <w:r>
              <w:rPr>
                <w:rFonts w:ascii="Times New Roman" w:hAnsi="Times New Roman" w:eastAsia="Times New Roman" w:cs="Times New Roman"/>
                <w:i/>
                <w:iCs/>
                <w:spacing w:val="19"/>
                <w:position w:val="2"/>
              </w:rPr>
              <w:t>L.</w:t>
            </w:r>
            <w:r>
              <w:rPr>
                <w:rFonts w:ascii="Times New Roman" w:hAnsi="Times New Roman" w:eastAsia="Times New Roman" w:cs="Times New Roman"/>
                <w:i/>
                <w:iCs/>
                <w:spacing w:val="-30"/>
                <w:position w:val="2"/>
              </w:rPr>
              <w:t xml:space="preserve"> </w:t>
            </w:r>
            <w:r>
              <w:rPr>
                <w:sz w:val="21"/>
                <w:szCs w:val="21"/>
                <w:i/>
                <w:iCs/>
                <w:spacing w:val="19"/>
                <w:position w:val="2"/>
              </w:rPr>
              <w:t>）</w:t>
            </w:r>
            <w:r>
              <w:rPr>
                <w:rFonts w:ascii="Times New Roman" w:hAnsi="Times New Roman" w:eastAsia="Times New Roman" w:cs="Times New Roman"/>
                <w:i/>
                <w:iCs/>
                <w:position w:val="2"/>
              </w:rPr>
              <w:t>Schrad</w:t>
            </w:r>
            <w:r>
              <w:rPr>
                <w:rFonts w:ascii="Times New Roman" w:hAnsi="Times New Roman" w:eastAsia="Times New Roman" w:cs="Times New Roman"/>
                <w:i/>
                <w:iCs/>
                <w:spacing w:val="19"/>
                <w:position w:val="2"/>
              </w:rPr>
              <w:t>.</w:t>
            </w:r>
          </w:p>
        </w:tc>
        <w:tc>
          <w:tcPr>
            <w:tcW w:w="2920" w:type="dxa"/>
            <w:vAlign w:val="top"/>
          </w:tcPr>
          <w:p>
            <w:pPr>
              <w:pStyle w:val="TableText"/>
              <w:ind w:left="836"/>
              <w:spacing w:before="54" w:line="228" w:lineRule="auto"/>
              <w:rPr/>
            </w:pPr>
            <w:r>
              <w:rPr>
                <w:spacing w:val="7"/>
              </w:rPr>
              <w:t>草地、沙质地</w:t>
            </w:r>
          </w:p>
        </w:tc>
      </w:tr>
      <w:tr>
        <w:trPr>
          <w:trHeight w:val="317" w:hRule="atLeast"/>
        </w:trPr>
        <w:tc>
          <w:tcPr>
            <w:tcW w:w="687" w:type="dxa"/>
            <w:vAlign w:val="top"/>
          </w:tcPr>
          <w:p>
            <w:pPr>
              <w:ind w:left="239"/>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29</w:t>
            </w:r>
          </w:p>
        </w:tc>
        <w:tc>
          <w:tcPr>
            <w:tcW w:w="1603" w:type="dxa"/>
            <w:vAlign w:val="top"/>
          </w:tcPr>
          <w:p>
            <w:pPr>
              <w:pStyle w:val="TableText"/>
              <w:ind w:left="492"/>
              <w:spacing w:before="56" w:line="228" w:lineRule="auto"/>
              <w:rPr/>
            </w:pPr>
            <w:r>
              <w:rPr>
                <w:spacing w:val="6"/>
              </w:rPr>
              <w:t>麻花头</w:t>
            </w:r>
          </w:p>
        </w:tc>
        <w:tc>
          <w:tcPr>
            <w:tcW w:w="3305" w:type="dxa"/>
            <w:vAlign w:val="top"/>
          </w:tcPr>
          <w:p>
            <w:pPr>
              <w:ind w:left="600"/>
              <w:spacing w:before="22"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4"/>
                <w:position w:val="2"/>
              </w:rPr>
              <w:t>Serratulacentauroides </w:t>
            </w:r>
            <w:r>
              <w:rPr>
                <w:rFonts w:ascii="Times New Roman" w:hAnsi="Times New Roman" w:eastAsia="Times New Roman" w:cs="Times New Roman"/>
                <w:sz w:val="20"/>
                <w:szCs w:val="20"/>
                <w:i/>
                <w:iCs/>
                <w:spacing w:val="3"/>
                <w:position w:val="2"/>
              </w:rPr>
              <w:t>L.</w:t>
            </w:r>
          </w:p>
        </w:tc>
        <w:tc>
          <w:tcPr>
            <w:tcW w:w="2920" w:type="dxa"/>
            <w:vAlign w:val="top"/>
          </w:tcPr>
          <w:p>
            <w:pPr>
              <w:pStyle w:val="TableText"/>
              <w:ind w:left="942"/>
              <w:spacing w:before="56" w:line="228" w:lineRule="auto"/>
              <w:rPr/>
            </w:pPr>
            <w:r>
              <w:rPr>
                <w:spacing w:val="7"/>
              </w:rPr>
              <w:t>草地、林下</w:t>
            </w:r>
          </w:p>
        </w:tc>
      </w:tr>
      <w:tr>
        <w:trPr>
          <w:trHeight w:val="317" w:hRule="atLeast"/>
        </w:trPr>
        <w:tc>
          <w:tcPr>
            <w:tcW w:w="687" w:type="dxa"/>
            <w:vAlign w:val="top"/>
          </w:tcPr>
          <w:p>
            <w:pPr>
              <w:ind w:left="24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1603" w:type="dxa"/>
            <w:vAlign w:val="top"/>
          </w:tcPr>
          <w:p>
            <w:pPr>
              <w:pStyle w:val="TableText"/>
              <w:ind w:left="280"/>
              <w:spacing w:before="56" w:line="228" w:lineRule="auto"/>
              <w:rPr/>
            </w:pPr>
            <w:r>
              <w:rPr>
                <w:spacing w:val="8"/>
              </w:rPr>
              <w:t>瓣蕊唐松草</w:t>
            </w:r>
          </w:p>
        </w:tc>
        <w:tc>
          <w:tcPr>
            <w:tcW w:w="3305" w:type="dxa"/>
            <w:vAlign w:val="top"/>
          </w:tcPr>
          <w:p>
            <w:pPr>
              <w:ind w:left="541"/>
              <w:spacing w:before="22"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5"/>
                <w:position w:val="4"/>
              </w:rPr>
              <w:t>Thalictrumpetaloideum L.</w:t>
            </w:r>
          </w:p>
        </w:tc>
        <w:tc>
          <w:tcPr>
            <w:tcW w:w="2920" w:type="dxa"/>
            <w:vAlign w:val="top"/>
          </w:tcPr>
          <w:p>
            <w:pPr>
              <w:pStyle w:val="TableText"/>
              <w:ind w:left="119"/>
              <w:spacing w:before="56" w:line="228" w:lineRule="auto"/>
              <w:rPr/>
            </w:pPr>
            <w:r>
              <w:rPr>
                <w:spacing w:val="7"/>
              </w:rPr>
              <w:t>山地草坡向阳处、路边、沟中</w:t>
            </w:r>
          </w:p>
        </w:tc>
      </w:tr>
      <w:tr>
        <w:trPr>
          <w:trHeight w:val="321" w:hRule="atLeast"/>
        </w:trPr>
        <w:tc>
          <w:tcPr>
            <w:tcW w:w="687" w:type="dxa"/>
            <w:vAlign w:val="top"/>
          </w:tcPr>
          <w:p>
            <w:pPr>
              <w:ind w:left="24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31</w:t>
            </w:r>
          </w:p>
        </w:tc>
        <w:tc>
          <w:tcPr>
            <w:tcW w:w="1603" w:type="dxa"/>
            <w:vAlign w:val="top"/>
          </w:tcPr>
          <w:p>
            <w:pPr>
              <w:pStyle w:val="TableText"/>
              <w:ind w:left="280"/>
              <w:spacing w:before="56" w:line="228" w:lineRule="auto"/>
              <w:rPr/>
            </w:pPr>
            <w:r>
              <w:rPr>
                <w:spacing w:val="8"/>
              </w:rPr>
              <w:t>披针叶黄花</w:t>
            </w:r>
          </w:p>
        </w:tc>
        <w:tc>
          <w:tcPr>
            <w:tcW w:w="3305" w:type="dxa"/>
            <w:vAlign w:val="top"/>
          </w:tcPr>
          <w:p>
            <w:pPr>
              <w:ind w:left="705"/>
              <w:spacing w:before="22" w:line="27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3"/>
                <w:position w:val="4"/>
              </w:rPr>
              <w:t>Thermopsis lanceolata</w:t>
            </w:r>
          </w:p>
        </w:tc>
        <w:tc>
          <w:tcPr>
            <w:tcW w:w="2920" w:type="dxa"/>
            <w:vAlign w:val="top"/>
          </w:tcPr>
          <w:p>
            <w:pPr>
              <w:pStyle w:val="TableText"/>
              <w:ind w:left="119"/>
              <w:spacing w:before="56" w:line="228" w:lineRule="auto"/>
              <w:rPr/>
            </w:pPr>
            <w:r>
              <w:rPr>
                <w:spacing w:val="6"/>
              </w:rPr>
              <w:t>山坡、草地、沟渠旁、荒地、</w:t>
            </w:r>
          </w:p>
        </w:tc>
      </w:tr>
    </w:tbl>
    <w:p>
      <w:pPr>
        <w:ind w:left="121" w:right="111" w:firstLine="480"/>
        <w:spacing w:before="37" w:line="360" w:lineRule="auto"/>
        <w:rPr>
          <w:rFonts w:ascii="SimSun" w:hAnsi="SimSun" w:eastAsia="SimSun" w:cs="SimSun"/>
          <w:sz w:val="24"/>
          <w:szCs w:val="24"/>
        </w:rPr>
      </w:pPr>
      <w:r>
        <w:rPr>
          <w:rFonts w:ascii="SimSun" w:hAnsi="SimSun" w:eastAsia="SimSun" w:cs="SimSun"/>
          <w:sz w:val="24"/>
          <w:szCs w:val="24"/>
          <w:spacing w:val="3"/>
        </w:rPr>
        <w:t>本项目利用卫星遥感及地理信息系统技术，对项目区及评</w:t>
      </w:r>
      <w:r>
        <w:rPr>
          <w:rFonts w:ascii="SimSun" w:hAnsi="SimSun" w:eastAsia="SimSun" w:cs="SimSun"/>
          <w:sz w:val="24"/>
          <w:szCs w:val="24"/>
          <w:spacing w:val="2"/>
        </w:rPr>
        <w:t>价区域植被类型现</w:t>
      </w:r>
      <w:r>
        <w:rPr>
          <w:rFonts w:ascii="SimSun" w:hAnsi="SimSun" w:eastAsia="SimSun" w:cs="SimSun"/>
          <w:sz w:val="24"/>
          <w:szCs w:val="24"/>
        </w:rPr>
        <w:t xml:space="preserve"> </w:t>
      </w:r>
      <w:r>
        <w:rPr>
          <w:rFonts w:ascii="SimSun" w:hAnsi="SimSun" w:eastAsia="SimSun" w:cs="SimSun"/>
          <w:sz w:val="24"/>
          <w:szCs w:val="24"/>
          <w:spacing w:val="-1"/>
        </w:rPr>
        <w:t>状进行调查，调查结果见表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4.2-29 </w:t>
      </w:r>
      <w:r>
        <w:rPr>
          <w:rFonts w:ascii="SimSun" w:hAnsi="SimSun" w:eastAsia="SimSun" w:cs="SimSun"/>
          <w:sz w:val="24"/>
          <w:szCs w:val="24"/>
          <w:spacing w:val="-1"/>
        </w:rPr>
        <w:t>及表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4.2-30</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
        </w:rPr>
        <w:t>，植被</w:t>
      </w:r>
      <w:r>
        <w:rPr>
          <w:rFonts w:ascii="SimSun" w:hAnsi="SimSun" w:eastAsia="SimSun" w:cs="SimSun"/>
          <w:sz w:val="24"/>
          <w:szCs w:val="24"/>
          <w:spacing w:val="-2"/>
        </w:rPr>
        <w:t>类型图见图</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4.2-11</w:t>
      </w:r>
      <w:r>
        <w:rPr>
          <w:rFonts w:ascii="SimSun" w:hAnsi="SimSun" w:eastAsia="SimSun" w:cs="SimSun"/>
          <w:sz w:val="24"/>
          <w:szCs w:val="24"/>
          <w:spacing w:val="-2"/>
        </w:rPr>
        <w:t>。</w:t>
      </w:r>
    </w:p>
    <w:p>
      <w:pPr>
        <w:ind w:left="2887"/>
        <w:spacing w:before="76"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4"/>
        </w:rPr>
        <w:t xml:space="preserve"> </w:t>
      </w:r>
      <w:r>
        <w:rPr>
          <w:rFonts w:ascii="Times New Roman" w:hAnsi="Times New Roman" w:eastAsia="Times New Roman" w:cs="Times New Roman"/>
          <w:sz w:val="24"/>
          <w:szCs w:val="24"/>
          <w:b/>
          <w:bCs/>
          <w:spacing w:val="-2"/>
        </w:rPr>
        <w:t>4.2-29      </w:t>
      </w:r>
      <w:r>
        <w:rPr>
          <w:rFonts w:ascii="SimSun" w:hAnsi="SimSun" w:eastAsia="SimSun" w:cs="SimSun"/>
          <w:sz w:val="24"/>
          <w:szCs w:val="24"/>
          <w:b/>
          <w:bCs/>
          <w:spacing w:val="-2"/>
        </w:rPr>
        <w:t>项目区植被类型</w:t>
      </w:r>
    </w:p>
    <w:tbl>
      <w:tblPr>
        <w:tblStyle w:val="TableNormal"/>
        <w:tblW w:w="872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905"/>
        <w:gridCol w:w="1241"/>
        <w:gridCol w:w="1792"/>
        <w:gridCol w:w="1783"/>
      </w:tblGrid>
      <w:tr>
        <w:trPr>
          <w:trHeight w:val="409" w:hRule="atLeast"/>
        </w:trPr>
        <w:tc>
          <w:tcPr>
            <w:tcW w:w="3905" w:type="dxa"/>
            <w:vAlign w:val="top"/>
          </w:tcPr>
          <w:p>
            <w:pPr>
              <w:pStyle w:val="TableText"/>
              <w:ind w:left="1539"/>
              <w:spacing w:before="101" w:line="228" w:lineRule="auto"/>
              <w:rPr/>
            </w:pPr>
            <w:r>
              <w:rPr>
                <w:spacing w:val="7"/>
              </w:rPr>
              <w:t>植被类型</w:t>
            </w:r>
          </w:p>
        </w:tc>
        <w:tc>
          <w:tcPr>
            <w:tcW w:w="1241" w:type="dxa"/>
            <w:vAlign w:val="top"/>
          </w:tcPr>
          <w:p>
            <w:pPr>
              <w:pStyle w:val="TableText"/>
              <w:ind w:left="312"/>
              <w:spacing w:before="101" w:line="228" w:lineRule="auto"/>
              <w:rPr/>
            </w:pPr>
            <w:r>
              <w:rPr>
                <w:spacing w:val="6"/>
              </w:rPr>
              <w:t>斑块数</w:t>
            </w:r>
          </w:p>
        </w:tc>
        <w:tc>
          <w:tcPr>
            <w:tcW w:w="1792" w:type="dxa"/>
            <w:vAlign w:val="top"/>
          </w:tcPr>
          <w:p>
            <w:pPr>
              <w:pStyle w:val="TableText"/>
              <w:ind w:left="168"/>
              <w:spacing w:before="101" w:line="228" w:lineRule="auto"/>
              <w:rPr/>
            </w:pPr>
            <w:r>
              <w:rPr>
                <w:spacing w:val="6"/>
              </w:rPr>
              <w:t>面积（平方米）</w:t>
            </w:r>
          </w:p>
        </w:tc>
        <w:tc>
          <w:tcPr>
            <w:tcW w:w="1783" w:type="dxa"/>
            <w:vAlign w:val="top"/>
          </w:tcPr>
          <w:p>
            <w:pPr>
              <w:pStyle w:val="TableText"/>
              <w:ind w:left="267"/>
              <w:spacing w:before="102" w:line="228" w:lineRule="auto"/>
              <w:rPr/>
            </w:pPr>
            <w:r>
              <w:rPr>
                <w:spacing w:val="6"/>
              </w:rPr>
              <w:t>面积（公顷）</w:t>
            </w:r>
          </w:p>
        </w:tc>
      </w:tr>
    </w:tbl>
    <w:p>
      <w:pPr>
        <w:pStyle w:val="BodyText"/>
        <w:rPr/>
      </w:pPr>
      <w:r/>
    </w:p>
    <w:p>
      <w:pPr>
        <w:sectPr>
          <w:headerReference w:type="default" r:id="rId174"/>
          <w:footerReference w:type="default" r:id="rId175"/>
          <w:pgSz w:w="11906" w:h="16839"/>
          <w:pgMar w:top="1567" w:right="1590" w:bottom="1482" w:left="1589" w:header="1221" w:footer="1248" w:gutter="0"/>
        </w:sectPr>
        <w:rPr/>
      </w:pPr>
    </w:p>
    <w:p>
      <w:pPr>
        <w:spacing w:line="133" w:lineRule="exact"/>
        <w:rPr/>
      </w:pPr>
      <w:r>
        <w:pict>
          <v:shape id="_x0000_s710" style="position:absolute;margin-left:85.05pt;margin-top:78.87pt;mso-position-vertical-relative:page;mso-position-horizontal-relative:page;width:425.25pt;height:0.75pt;z-index:251978752;" o:allowincell="f" fillcolor="#000000" filled="true" stroked="false" coordsize="8505,15" coordorigin="0,0" path="m,l8504,0l8504,14l0,14l0,0xe"/>
        </w:pict>
      </w:r>
      <w:r/>
    </w:p>
    <w:tbl>
      <w:tblPr>
        <w:tblStyle w:val="TableNormal"/>
        <w:tblW w:w="872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27"/>
        <w:gridCol w:w="2178"/>
        <w:gridCol w:w="1241"/>
        <w:gridCol w:w="1792"/>
        <w:gridCol w:w="1783"/>
      </w:tblGrid>
      <w:tr>
        <w:trPr>
          <w:trHeight w:val="410" w:hRule="atLeast"/>
        </w:trPr>
        <w:tc>
          <w:tcPr>
            <w:tcW w:w="1727" w:type="dxa"/>
            <w:vAlign w:val="top"/>
          </w:tcPr>
          <w:p>
            <w:pPr>
              <w:pStyle w:val="TableText"/>
              <w:ind w:left="658"/>
              <w:spacing w:before="100" w:line="228" w:lineRule="auto"/>
              <w:rPr/>
            </w:pPr>
            <w:r>
              <w:rPr>
                <w:spacing w:val="4"/>
              </w:rPr>
              <w:t>其他</w:t>
            </w:r>
          </w:p>
        </w:tc>
        <w:tc>
          <w:tcPr>
            <w:tcW w:w="2178" w:type="dxa"/>
            <w:vAlign w:val="top"/>
          </w:tcPr>
          <w:p>
            <w:pPr>
              <w:pStyle w:val="TableText"/>
              <w:ind w:left="150"/>
              <w:spacing w:before="99" w:line="228" w:lineRule="auto"/>
              <w:rPr/>
            </w:pPr>
            <w:r>
              <w:rPr>
                <w:spacing w:val="7"/>
              </w:rPr>
              <w:t>工业场地（东厂区）</w:t>
            </w:r>
          </w:p>
        </w:tc>
        <w:tc>
          <w:tcPr>
            <w:tcW w:w="1241" w:type="dxa"/>
            <w:vAlign w:val="top"/>
          </w:tcPr>
          <w:p>
            <w:pPr>
              <w:ind w:left="533"/>
              <w:spacing w:before="132"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3"/>
              </w:rPr>
              <w:t>15</w:t>
            </w:r>
          </w:p>
        </w:tc>
        <w:tc>
          <w:tcPr>
            <w:tcW w:w="1792" w:type="dxa"/>
            <w:vAlign w:val="top"/>
          </w:tcPr>
          <w:p>
            <w:pPr>
              <w:ind w:left="525"/>
              <w:spacing w:before="13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11703.99</w:t>
            </w:r>
          </w:p>
        </w:tc>
        <w:tc>
          <w:tcPr>
            <w:tcW w:w="1783" w:type="dxa"/>
            <w:vAlign w:val="top"/>
          </w:tcPr>
          <w:p>
            <w:pPr>
              <w:ind w:left="729"/>
              <w:spacing w:before="13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1.17</w:t>
            </w:r>
          </w:p>
        </w:tc>
      </w:tr>
      <w:tr>
        <w:trPr>
          <w:trHeight w:val="405" w:hRule="atLeast"/>
        </w:trPr>
        <w:tc>
          <w:tcPr>
            <w:tcW w:w="1727" w:type="dxa"/>
            <w:vAlign w:val="top"/>
          </w:tcPr>
          <w:p>
            <w:pPr>
              <w:pStyle w:val="TableText"/>
              <w:ind w:left="658"/>
              <w:spacing w:before="98" w:line="229" w:lineRule="auto"/>
              <w:rPr/>
            </w:pPr>
            <w:r>
              <w:rPr>
                <w:spacing w:val="4"/>
              </w:rPr>
              <w:t>其它</w:t>
            </w:r>
          </w:p>
        </w:tc>
        <w:tc>
          <w:tcPr>
            <w:tcW w:w="2178" w:type="dxa"/>
            <w:vAlign w:val="top"/>
          </w:tcPr>
          <w:p>
            <w:pPr>
              <w:pStyle w:val="TableText"/>
              <w:ind w:left="657"/>
              <w:spacing w:before="92" w:line="221" w:lineRule="auto"/>
              <w:rPr>
                <w:sz w:val="22"/>
                <w:szCs w:val="22"/>
              </w:rPr>
            </w:pPr>
            <w:r>
              <w:rPr>
                <w:sz w:val="22"/>
                <w:szCs w:val="22"/>
                <w:spacing w:val="-3"/>
              </w:rPr>
              <w:t>工业场地</w:t>
            </w:r>
          </w:p>
        </w:tc>
        <w:tc>
          <w:tcPr>
            <w:tcW w:w="1241" w:type="dxa"/>
            <w:vAlign w:val="top"/>
          </w:tcPr>
          <w:p>
            <w:pPr>
              <w:ind w:left="512"/>
              <w:spacing w:before="130"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21</w:t>
            </w:r>
          </w:p>
        </w:tc>
        <w:tc>
          <w:tcPr>
            <w:tcW w:w="1792" w:type="dxa"/>
            <w:vAlign w:val="top"/>
          </w:tcPr>
          <w:p>
            <w:pPr>
              <w:ind w:left="504"/>
              <w:spacing w:before="13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20729.85</w:t>
            </w:r>
          </w:p>
        </w:tc>
        <w:tc>
          <w:tcPr>
            <w:tcW w:w="1783" w:type="dxa"/>
            <w:vAlign w:val="top"/>
          </w:tcPr>
          <w:p>
            <w:pPr>
              <w:ind w:left="709"/>
              <w:spacing w:before="13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2.07</w:t>
            </w:r>
          </w:p>
        </w:tc>
      </w:tr>
      <w:tr>
        <w:trPr>
          <w:trHeight w:val="410" w:hRule="atLeast"/>
        </w:trPr>
        <w:tc>
          <w:tcPr>
            <w:tcW w:w="3905" w:type="dxa"/>
            <w:vAlign w:val="top"/>
            <w:gridSpan w:val="2"/>
          </w:tcPr>
          <w:p>
            <w:pPr>
              <w:pStyle w:val="TableText"/>
              <w:ind w:left="1750"/>
              <w:spacing w:before="100" w:line="229" w:lineRule="auto"/>
              <w:rPr/>
            </w:pPr>
            <w:r>
              <w:rPr>
                <w:spacing w:val="4"/>
              </w:rPr>
              <w:t>合计</w:t>
            </w:r>
          </w:p>
        </w:tc>
        <w:tc>
          <w:tcPr>
            <w:tcW w:w="1241" w:type="dxa"/>
            <w:vAlign w:val="top"/>
          </w:tcPr>
          <w:p>
            <w:pPr>
              <w:ind w:left="521"/>
              <w:spacing w:before="13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36</w:t>
            </w:r>
          </w:p>
        </w:tc>
        <w:tc>
          <w:tcPr>
            <w:tcW w:w="1792" w:type="dxa"/>
            <w:vAlign w:val="top"/>
          </w:tcPr>
          <w:p>
            <w:pPr>
              <w:ind w:left="509"/>
              <w:spacing w:before="13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32433.84</w:t>
            </w:r>
          </w:p>
        </w:tc>
        <w:tc>
          <w:tcPr>
            <w:tcW w:w="1783" w:type="dxa"/>
            <w:vAlign w:val="top"/>
          </w:tcPr>
          <w:p>
            <w:pPr>
              <w:ind w:left="713"/>
              <w:spacing w:before="13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3.24</w:t>
            </w:r>
          </w:p>
        </w:tc>
      </w:tr>
    </w:tbl>
    <w:p>
      <w:pPr>
        <w:ind w:left="2887"/>
        <w:spacing w:before="256" w:line="218"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6"/>
        </w:rPr>
        <w:t xml:space="preserve"> </w:t>
      </w:r>
      <w:r>
        <w:rPr>
          <w:rFonts w:ascii="Times New Roman" w:hAnsi="Times New Roman" w:eastAsia="Times New Roman" w:cs="Times New Roman"/>
          <w:sz w:val="24"/>
          <w:szCs w:val="24"/>
          <w:b/>
          <w:bCs/>
          <w:spacing w:val="-2"/>
        </w:rPr>
        <w:t>4.2-30      </w:t>
      </w:r>
      <w:r>
        <w:rPr>
          <w:rFonts w:ascii="SimSun" w:hAnsi="SimSun" w:eastAsia="SimSun" w:cs="SimSun"/>
          <w:sz w:val="24"/>
          <w:szCs w:val="24"/>
          <w:b/>
          <w:bCs/>
          <w:spacing w:val="-2"/>
        </w:rPr>
        <w:t>评价区植被类型</w:t>
      </w:r>
    </w:p>
    <w:p>
      <w:pPr>
        <w:spacing w:line="18" w:lineRule="exact"/>
        <w:rPr/>
      </w:pPr>
      <w:r/>
    </w:p>
    <w:tbl>
      <w:tblPr>
        <w:tblStyle w:val="TableNormal"/>
        <w:tblW w:w="872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88"/>
        <w:gridCol w:w="1822"/>
        <w:gridCol w:w="1268"/>
        <w:gridCol w:w="1638"/>
        <w:gridCol w:w="1487"/>
        <w:gridCol w:w="1218"/>
      </w:tblGrid>
      <w:tr>
        <w:trPr>
          <w:trHeight w:val="411" w:hRule="atLeast"/>
        </w:trPr>
        <w:tc>
          <w:tcPr>
            <w:tcW w:w="3110" w:type="dxa"/>
            <w:vAlign w:val="top"/>
            <w:gridSpan w:val="2"/>
          </w:tcPr>
          <w:p>
            <w:pPr>
              <w:pStyle w:val="TableText"/>
              <w:ind w:left="1141"/>
              <w:spacing w:before="100" w:line="228" w:lineRule="auto"/>
              <w:rPr/>
            </w:pPr>
            <w:r>
              <w:rPr>
                <w:spacing w:val="7"/>
              </w:rPr>
              <w:t>植被类型</w:t>
            </w:r>
          </w:p>
        </w:tc>
        <w:tc>
          <w:tcPr>
            <w:tcW w:w="1268" w:type="dxa"/>
            <w:vAlign w:val="top"/>
          </w:tcPr>
          <w:p>
            <w:pPr>
              <w:pStyle w:val="TableText"/>
              <w:ind w:left="324"/>
              <w:spacing w:before="100" w:line="228" w:lineRule="auto"/>
              <w:rPr/>
            </w:pPr>
            <w:r>
              <w:rPr>
                <w:spacing w:val="6"/>
              </w:rPr>
              <w:t>斑块数</w:t>
            </w:r>
          </w:p>
        </w:tc>
        <w:tc>
          <w:tcPr>
            <w:tcW w:w="1638" w:type="dxa"/>
            <w:vAlign w:val="top"/>
          </w:tcPr>
          <w:p>
            <w:pPr>
              <w:pStyle w:val="TableText"/>
              <w:ind w:left="113"/>
              <w:spacing w:before="100" w:line="228" w:lineRule="auto"/>
              <w:rPr/>
            </w:pPr>
            <w:r>
              <w:rPr>
                <w:spacing w:val="6"/>
              </w:rPr>
              <w:t>面积（平方米）</w:t>
            </w:r>
          </w:p>
        </w:tc>
        <w:tc>
          <w:tcPr>
            <w:tcW w:w="1487" w:type="dxa"/>
            <w:vAlign w:val="top"/>
          </w:tcPr>
          <w:p>
            <w:pPr>
              <w:pStyle w:val="TableText"/>
              <w:ind w:left="121"/>
              <w:spacing w:before="101" w:line="228" w:lineRule="auto"/>
              <w:rPr/>
            </w:pPr>
            <w:r>
              <w:rPr>
                <w:spacing w:val="6"/>
              </w:rPr>
              <w:t>面积（公顷）</w:t>
            </w:r>
          </w:p>
        </w:tc>
        <w:tc>
          <w:tcPr>
            <w:tcW w:w="1218" w:type="dxa"/>
            <w:vAlign w:val="top"/>
          </w:tcPr>
          <w:p>
            <w:pPr>
              <w:pStyle w:val="TableText"/>
              <w:ind w:left="149"/>
              <w:spacing w:before="101" w:line="229" w:lineRule="auto"/>
              <w:rPr/>
            </w:pPr>
            <w:r>
              <w:rPr>
                <w:spacing w:val="-1"/>
              </w:rPr>
              <w:t>占比（</w:t>
            </w:r>
            <w:r>
              <w:rPr>
                <w:rFonts w:ascii="Times New Roman" w:hAnsi="Times New Roman" w:eastAsia="Times New Roman" w:cs="Times New Roman"/>
                <w:spacing w:val="-1"/>
              </w:rPr>
              <w:t>%</w:t>
            </w:r>
            <w:r>
              <w:rPr>
                <w:spacing w:val="-1"/>
              </w:rPr>
              <w:t>）</w:t>
            </w:r>
          </w:p>
        </w:tc>
      </w:tr>
      <w:tr>
        <w:trPr>
          <w:trHeight w:val="407" w:hRule="atLeast"/>
        </w:trPr>
        <w:tc>
          <w:tcPr>
            <w:tcW w:w="1288" w:type="dxa"/>
            <w:vAlign w:val="top"/>
            <w:vMerge w:val="restart"/>
            <w:tcBorders>
              <w:bottom w:val="nil"/>
            </w:tcBorders>
          </w:tcPr>
          <w:p>
            <w:pPr>
              <w:pStyle w:val="TableText"/>
              <w:ind w:left="232"/>
              <w:spacing w:before="303" w:line="228" w:lineRule="auto"/>
              <w:rPr/>
            </w:pPr>
            <w:r>
              <w:rPr>
                <w:spacing w:val="6"/>
              </w:rPr>
              <w:t>草原植被</w:t>
            </w:r>
          </w:p>
        </w:tc>
        <w:tc>
          <w:tcPr>
            <w:tcW w:w="1822" w:type="dxa"/>
            <w:vAlign w:val="top"/>
          </w:tcPr>
          <w:p>
            <w:pPr>
              <w:pStyle w:val="TableText"/>
              <w:ind w:left="343"/>
              <w:spacing w:before="97" w:line="228" w:lineRule="auto"/>
              <w:rPr/>
            </w:pPr>
            <w:r>
              <w:rPr>
                <w:spacing w:val="6"/>
              </w:rPr>
              <w:t>羊草+杂类草</w:t>
            </w:r>
          </w:p>
        </w:tc>
        <w:tc>
          <w:tcPr>
            <w:tcW w:w="1268" w:type="dxa"/>
            <w:vAlign w:val="top"/>
          </w:tcPr>
          <w:p>
            <w:pPr>
              <w:ind w:left="528"/>
              <w:spacing w:before="131" w:line="186"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rPr>
              <w:t>77</w:t>
            </w:r>
          </w:p>
        </w:tc>
        <w:tc>
          <w:tcPr>
            <w:tcW w:w="1638" w:type="dxa"/>
            <w:vAlign w:val="top"/>
          </w:tcPr>
          <w:p>
            <w:pPr>
              <w:ind w:left="375"/>
              <w:spacing w:before="128"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151493.35</w:t>
            </w:r>
          </w:p>
        </w:tc>
        <w:tc>
          <w:tcPr>
            <w:tcW w:w="1487" w:type="dxa"/>
            <w:vAlign w:val="top"/>
          </w:tcPr>
          <w:p>
            <w:pPr>
              <w:ind w:left="520"/>
              <w:spacing w:before="128"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15.15</w:t>
            </w:r>
          </w:p>
        </w:tc>
        <w:tc>
          <w:tcPr>
            <w:tcW w:w="1218" w:type="dxa"/>
            <w:vAlign w:val="top"/>
          </w:tcPr>
          <w:p>
            <w:pPr>
              <w:ind w:left="397"/>
              <w:spacing w:before="13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11.93</w:t>
            </w:r>
          </w:p>
        </w:tc>
      </w:tr>
      <w:tr>
        <w:trPr>
          <w:trHeight w:val="407" w:hRule="atLeast"/>
        </w:trPr>
        <w:tc>
          <w:tcPr>
            <w:tcW w:w="1288" w:type="dxa"/>
            <w:vAlign w:val="top"/>
            <w:vMerge w:val="continue"/>
            <w:tcBorders>
              <w:top w:val="nil"/>
            </w:tcBorders>
          </w:tcPr>
          <w:p>
            <w:pPr>
              <w:rPr>
                <w:rFonts w:ascii="Arial"/>
                <w:sz w:val="21"/>
              </w:rPr>
            </w:pPr>
            <w:r/>
          </w:p>
        </w:tc>
        <w:tc>
          <w:tcPr>
            <w:tcW w:w="1822" w:type="dxa"/>
            <w:vAlign w:val="top"/>
          </w:tcPr>
          <w:p>
            <w:pPr>
              <w:pStyle w:val="TableText"/>
              <w:ind w:left="289"/>
              <w:spacing w:before="95" w:line="228" w:lineRule="auto"/>
              <w:rPr/>
            </w:pPr>
            <w:r>
              <w:rPr>
                <w:spacing w:val="7"/>
              </w:rPr>
              <w:t>克氏针茅群落</w:t>
            </w:r>
          </w:p>
        </w:tc>
        <w:tc>
          <w:tcPr>
            <w:tcW w:w="1268" w:type="dxa"/>
            <w:vAlign w:val="top"/>
          </w:tcPr>
          <w:p>
            <w:pPr>
              <w:ind w:left="470"/>
              <w:spacing w:before="128"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215</w:t>
            </w:r>
          </w:p>
        </w:tc>
        <w:tc>
          <w:tcPr>
            <w:tcW w:w="1638" w:type="dxa"/>
            <w:vAlign w:val="top"/>
          </w:tcPr>
          <w:p>
            <w:pPr>
              <w:ind w:left="360"/>
              <w:spacing w:before="128"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590451.00</w:t>
            </w:r>
          </w:p>
        </w:tc>
        <w:tc>
          <w:tcPr>
            <w:tcW w:w="1487" w:type="dxa"/>
            <w:vAlign w:val="top"/>
          </w:tcPr>
          <w:p>
            <w:pPr>
              <w:ind w:left="505"/>
              <w:spacing w:before="128"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59.05</w:t>
            </w:r>
          </w:p>
        </w:tc>
        <w:tc>
          <w:tcPr>
            <w:tcW w:w="1218" w:type="dxa"/>
            <w:vAlign w:val="top"/>
          </w:tcPr>
          <w:p>
            <w:pPr>
              <w:ind w:left="374"/>
              <w:spacing w:before="13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46.51</w:t>
            </w:r>
          </w:p>
        </w:tc>
      </w:tr>
      <w:tr>
        <w:trPr>
          <w:trHeight w:val="406" w:hRule="atLeast"/>
        </w:trPr>
        <w:tc>
          <w:tcPr>
            <w:tcW w:w="1288" w:type="dxa"/>
            <w:vAlign w:val="top"/>
            <w:vMerge w:val="restart"/>
            <w:tcBorders>
              <w:bottom w:val="nil"/>
            </w:tcBorders>
          </w:tcPr>
          <w:p>
            <w:pPr>
              <w:pStyle w:val="TableText"/>
              <w:ind w:left="230"/>
              <w:spacing w:before="303" w:line="228" w:lineRule="auto"/>
              <w:rPr/>
            </w:pPr>
            <w:r>
              <w:rPr>
                <w:spacing w:val="7"/>
              </w:rPr>
              <w:t>森林植被</w:t>
            </w:r>
          </w:p>
        </w:tc>
        <w:tc>
          <w:tcPr>
            <w:tcW w:w="1822" w:type="dxa"/>
            <w:vAlign w:val="top"/>
          </w:tcPr>
          <w:p>
            <w:pPr>
              <w:pStyle w:val="TableText"/>
              <w:ind w:left="514"/>
              <w:spacing w:before="96" w:line="228" w:lineRule="auto"/>
              <w:rPr/>
            </w:pPr>
            <w:r>
              <w:rPr>
                <w:spacing w:val="2"/>
              </w:rPr>
              <w:t>山杨群落</w:t>
            </w:r>
          </w:p>
        </w:tc>
        <w:tc>
          <w:tcPr>
            <w:tcW w:w="1268" w:type="dxa"/>
            <w:vAlign w:val="top"/>
          </w:tcPr>
          <w:p>
            <w:pPr>
              <w:ind w:left="546"/>
              <w:spacing w:before="129"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3"/>
              </w:rPr>
              <w:t>12</w:t>
            </w:r>
          </w:p>
        </w:tc>
        <w:tc>
          <w:tcPr>
            <w:tcW w:w="1638" w:type="dxa"/>
            <w:vAlign w:val="top"/>
          </w:tcPr>
          <w:p>
            <w:pPr>
              <w:ind w:left="414"/>
              <w:spacing w:before="129"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67142.39</w:t>
            </w:r>
          </w:p>
        </w:tc>
        <w:tc>
          <w:tcPr>
            <w:tcW w:w="1487" w:type="dxa"/>
            <w:vAlign w:val="top"/>
          </w:tcPr>
          <w:p>
            <w:pPr>
              <w:ind w:left="559"/>
              <w:spacing w:before="129"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6.71</w:t>
            </w:r>
          </w:p>
        </w:tc>
        <w:tc>
          <w:tcPr>
            <w:tcW w:w="1218" w:type="dxa"/>
            <w:vAlign w:val="top"/>
          </w:tcPr>
          <w:p>
            <w:pPr>
              <w:ind w:left="433"/>
              <w:spacing w:before="13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5.28</w:t>
            </w:r>
          </w:p>
        </w:tc>
      </w:tr>
      <w:tr>
        <w:trPr>
          <w:trHeight w:val="406" w:hRule="atLeast"/>
        </w:trPr>
        <w:tc>
          <w:tcPr>
            <w:tcW w:w="1288" w:type="dxa"/>
            <w:vAlign w:val="top"/>
            <w:vMerge w:val="continue"/>
            <w:tcBorders>
              <w:top w:val="nil"/>
            </w:tcBorders>
          </w:tcPr>
          <w:p>
            <w:pPr>
              <w:rPr>
                <w:rFonts w:ascii="Arial"/>
                <w:sz w:val="21"/>
              </w:rPr>
            </w:pPr>
            <w:r/>
          </w:p>
        </w:tc>
        <w:tc>
          <w:tcPr>
            <w:tcW w:w="1822" w:type="dxa"/>
            <w:vAlign w:val="top"/>
          </w:tcPr>
          <w:p>
            <w:pPr>
              <w:pStyle w:val="TableText"/>
              <w:ind w:left="184"/>
              <w:spacing w:before="98" w:line="228" w:lineRule="auto"/>
              <w:rPr/>
            </w:pPr>
            <w:r>
              <w:rPr>
                <w:spacing w:val="7"/>
              </w:rPr>
              <w:t>小叶锦鸡儿群落</w:t>
            </w:r>
          </w:p>
        </w:tc>
        <w:tc>
          <w:tcPr>
            <w:tcW w:w="1268" w:type="dxa"/>
            <w:vAlign w:val="top"/>
          </w:tcPr>
          <w:p>
            <w:pPr>
              <w:ind w:left="529"/>
              <w:spacing w:before="129"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35</w:t>
            </w:r>
          </w:p>
        </w:tc>
        <w:tc>
          <w:tcPr>
            <w:tcW w:w="1638" w:type="dxa"/>
            <w:vAlign w:val="top"/>
          </w:tcPr>
          <w:p>
            <w:pPr>
              <w:ind w:left="375"/>
              <w:spacing w:before="129"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105240.66</w:t>
            </w:r>
          </w:p>
        </w:tc>
        <w:tc>
          <w:tcPr>
            <w:tcW w:w="1487" w:type="dxa"/>
            <w:vAlign w:val="top"/>
          </w:tcPr>
          <w:p>
            <w:pPr>
              <w:ind w:left="520"/>
              <w:spacing w:before="129"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10.52</w:t>
            </w:r>
          </w:p>
        </w:tc>
        <w:tc>
          <w:tcPr>
            <w:tcW w:w="1218" w:type="dxa"/>
            <w:vAlign w:val="top"/>
          </w:tcPr>
          <w:p>
            <w:pPr>
              <w:ind w:left="436"/>
              <w:spacing w:before="13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8.29</w:t>
            </w:r>
          </w:p>
        </w:tc>
      </w:tr>
      <w:tr>
        <w:trPr>
          <w:trHeight w:val="406" w:hRule="atLeast"/>
        </w:trPr>
        <w:tc>
          <w:tcPr>
            <w:tcW w:w="1288" w:type="dxa"/>
            <w:vAlign w:val="top"/>
          </w:tcPr>
          <w:p>
            <w:pPr>
              <w:pStyle w:val="TableText"/>
              <w:ind w:left="232"/>
              <w:spacing w:before="97" w:line="228" w:lineRule="auto"/>
              <w:rPr/>
            </w:pPr>
            <w:r>
              <w:rPr>
                <w:spacing w:val="6"/>
              </w:rPr>
              <w:t>人工植被</w:t>
            </w:r>
          </w:p>
        </w:tc>
        <w:tc>
          <w:tcPr>
            <w:tcW w:w="1822" w:type="dxa"/>
            <w:vAlign w:val="top"/>
          </w:tcPr>
          <w:p>
            <w:pPr>
              <w:pStyle w:val="TableText"/>
              <w:ind w:left="704"/>
              <w:spacing w:before="98" w:line="230" w:lineRule="auto"/>
              <w:rPr/>
            </w:pPr>
            <w:r>
              <w:rPr>
                <w:spacing w:val="4"/>
              </w:rPr>
              <w:t>农田</w:t>
            </w:r>
          </w:p>
        </w:tc>
        <w:tc>
          <w:tcPr>
            <w:tcW w:w="1268" w:type="dxa"/>
            <w:vAlign w:val="top"/>
          </w:tcPr>
          <w:p>
            <w:pPr>
              <w:ind w:left="531"/>
              <w:spacing w:before="130"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54</w:t>
            </w:r>
          </w:p>
        </w:tc>
        <w:tc>
          <w:tcPr>
            <w:tcW w:w="1638" w:type="dxa"/>
            <w:vAlign w:val="top"/>
          </w:tcPr>
          <w:p>
            <w:pPr>
              <w:ind w:left="375"/>
              <w:spacing w:before="130"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165103.71</w:t>
            </w:r>
          </w:p>
        </w:tc>
        <w:tc>
          <w:tcPr>
            <w:tcW w:w="1487" w:type="dxa"/>
            <w:vAlign w:val="top"/>
          </w:tcPr>
          <w:p>
            <w:pPr>
              <w:ind w:left="520"/>
              <w:spacing w:before="130"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16.51</w:t>
            </w:r>
          </w:p>
        </w:tc>
        <w:tc>
          <w:tcPr>
            <w:tcW w:w="1218" w:type="dxa"/>
            <w:vAlign w:val="top"/>
          </w:tcPr>
          <w:p>
            <w:pPr>
              <w:ind w:left="395"/>
              <w:spacing w:before="13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13.01</w:t>
            </w:r>
          </w:p>
        </w:tc>
      </w:tr>
      <w:tr>
        <w:trPr>
          <w:trHeight w:val="407" w:hRule="atLeast"/>
        </w:trPr>
        <w:tc>
          <w:tcPr>
            <w:tcW w:w="1288" w:type="dxa"/>
            <w:vAlign w:val="top"/>
            <w:vMerge w:val="restart"/>
            <w:tcBorders>
              <w:bottom w:val="nil"/>
            </w:tcBorders>
          </w:tcPr>
          <w:p>
            <w:pPr>
              <w:spacing w:line="445" w:lineRule="auto"/>
              <w:rPr>
                <w:rFonts w:ascii="Arial"/>
                <w:sz w:val="21"/>
              </w:rPr>
            </w:pPr>
            <w:r/>
          </w:p>
          <w:p>
            <w:pPr>
              <w:pStyle w:val="TableText"/>
              <w:ind w:left="440"/>
              <w:spacing w:before="65" w:line="228" w:lineRule="auto"/>
              <w:rPr/>
            </w:pPr>
            <w:r>
              <w:rPr>
                <w:spacing w:val="4"/>
              </w:rPr>
              <w:t>其他</w:t>
            </w:r>
          </w:p>
        </w:tc>
        <w:tc>
          <w:tcPr>
            <w:tcW w:w="1822" w:type="dxa"/>
            <w:vAlign w:val="top"/>
          </w:tcPr>
          <w:p>
            <w:pPr>
              <w:pStyle w:val="TableText"/>
              <w:ind w:left="477"/>
              <w:spacing w:before="94" w:line="221" w:lineRule="auto"/>
              <w:rPr>
                <w:sz w:val="22"/>
                <w:szCs w:val="22"/>
              </w:rPr>
            </w:pPr>
            <w:r>
              <w:rPr>
                <w:sz w:val="22"/>
                <w:szCs w:val="22"/>
                <w:spacing w:val="-3"/>
              </w:rPr>
              <w:t>工业场地</w:t>
            </w:r>
          </w:p>
        </w:tc>
        <w:tc>
          <w:tcPr>
            <w:tcW w:w="1268" w:type="dxa"/>
            <w:vAlign w:val="top"/>
          </w:tcPr>
          <w:p>
            <w:pPr>
              <w:ind w:left="491"/>
              <w:spacing w:before="132"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9"/>
              </w:rPr>
              <w:t>120</w:t>
            </w:r>
          </w:p>
        </w:tc>
        <w:tc>
          <w:tcPr>
            <w:tcW w:w="1638" w:type="dxa"/>
            <w:vAlign w:val="top"/>
          </w:tcPr>
          <w:p>
            <w:pPr>
              <w:ind w:left="375"/>
              <w:spacing w:before="132"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144217.26</w:t>
            </w:r>
          </w:p>
        </w:tc>
        <w:tc>
          <w:tcPr>
            <w:tcW w:w="1487" w:type="dxa"/>
            <w:vAlign w:val="top"/>
          </w:tcPr>
          <w:p>
            <w:pPr>
              <w:ind w:left="520"/>
              <w:spacing w:before="132"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5"/>
              </w:rPr>
              <w:t>14.42</w:t>
            </w:r>
          </w:p>
        </w:tc>
        <w:tc>
          <w:tcPr>
            <w:tcW w:w="1218" w:type="dxa"/>
            <w:vAlign w:val="top"/>
          </w:tcPr>
          <w:p>
            <w:pPr>
              <w:ind w:left="397"/>
              <w:spacing w:before="13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11.36</w:t>
            </w:r>
          </w:p>
        </w:tc>
      </w:tr>
      <w:tr>
        <w:trPr>
          <w:trHeight w:val="407" w:hRule="atLeast"/>
        </w:trPr>
        <w:tc>
          <w:tcPr>
            <w:tcW w:w="1288" w:type="dxa"/>
            <w:vAlign w:val="top"/>
            <w:vMerge w:val="continue"/>
            <w:tcBorders>
              <w:top w:val="nil"/>
              <w:bottom w:val="nil"/>
            </w:tcBorders>
          </w:tcPr>
          <w:p>
            <w:pPr>
              <w:rPr>
                <w:rFonts w:ascii="Arial"/>
                <w:sz w:val="21"/>
              </w:rPr>
            </w:pPr>
            <w:r/>
          </w:p>
        </w:tc>
        <w:tc>
          <w:tcPr>
            <w:tcW w:w="1822" w:type="dxa"/>
            <w:vAlign w:val="top"/>
          </w:tcPr>
          <w:p>
            <w:pPr>
              <w:pStyle w:val="TableText"/>
              <w:ind w:left="703"/>
              <w:spacing w:before="100" w:line="228" w:lineRule="auto"/>
              <w:rPr/>
            </w:pPr>
            <w:r>
              <w:rPr>
                <w:spacing w:val="5"/>
              </w:rPr>
              <w:t>道路</w:t>
            </w:r>
          </w:p>
        </w:tc>
        <w:tc>
          <w:tcPr>
            <w:tcW w:w="1268" w:type="dxa"/>
            <w:vAlign w:val="top"/>
          </w:tcPr>
          <w:p>
            <w:pPr>
              <w:ind w:left="601"/>
              <w:spacing w:before="131"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1</w:t>
            </w:r>
          </w:p>
        </w:tc>
        <w:tc>
          <w:tcPr>
            <w:tcW w:w="1638" w:type="dxa"/>
            <w:vAlign w:val="top"/>
          </w:tcPr>
          <w:p>
            <w:pPr>
              <w:ind w:left="430"/>
              <w:spacing w:before="131"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18458.32</w:t>
            </w:r>
          </w:p>
        </w:tc>
        <w:tc>
          <w:tcPr>
            <w:tcW w:w="1487" w:type="dxa"/>
            <w:vAlign w:val="top"/>
          </w:tcPr>
          <w:p>
            <w:pPr>
              <w:ind w:left="575"/>
              <w:spacing w:before="131"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7"/>
              </w:rPr>
              <w:t>1.85</w:t>
            </w:r>
          </w:p>
        </w:tc>
        <w:tc>
          <w:tcPr>
            <w:tcW w:w="1218" w:type="dxa"/>
            <w:vAlign w:val="top"/>
          </w:tcPr>
          <w:p>
            <w:pPr>
              <w:ind w:left="448"/>
              <w:spacing w:before="13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1.46</w:t>
            </w:r>
          </w:p>
        </w:tc>
      </w:tr>
      <w:tr>
        <w:trPr>
          <w:trHeight w:val="406" w:hRule="atLeast"/>
        </w:trPr>
        <w:tc>
          <w:tcPr>
            <w:tcW w:w="1288" w:type="dxa"/>
            <w:vAlign w:val="top"/>
            <w:vMerge w:val="continue"/>
            <w:tcBorders>
              <w:top w:val="nil"/>
            </w:tcBorders>
          </w:tcPr>
          <w:p>
            <w:pPr>
              <w:rPr>
                <w:rFonts w:ascii="Arial"/>
                <w:sz w:val="21"/>
              </w:rPr>
            </w:pPr>
            <w:r/>
          </w:p>
        </w:tc>
        <w:tc>
          <w:tcPr>
            <w:tcW w:w="1822" w:type="dxa"/>
            <w:vAlign w:val="top"/>
          </w:tcPr>
          <w:p>
            <w:pPr>
              <w:pStyle w:val="TableText"/>
              <w:ind w:left="703"/>
              <w:spacing w:before="99" w:line="230" w:lineRule="auto"/>
              <w:rPr/>
            </w:pPr>
            <w:r>
              <w:rPr>
                <w:spacing w:val="5"/>
              </w:rPr>
              <w:t>河流</w:t>
            </w:r>
          </w:p>
        </w:tc>
        <w:tc>
          <w:tcPr>
            <w:tcW w:w="1268" w:type="dxa"/>
            <w:vAlign w:val="top"/>
          </w:tcPr>
          <w:p>
            <w:pPr>
              <w:ind w:left="524"/>
              <w:spacing w:before="131"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2"/>
              </w:rPr>
              <w:t>45</w:t>
            </w:r>
          </w:p>
        </w:tc>
        <w:tc>
          <w:tcPr>
            <w:tcW w:w="1638" w:type="dxa"/>
            <w:vAlign w:val="top"/>
          </w:tcPr>
          <w:p>
            <w:pPr>
              <w:ind w:left="409"/>
              <w:spacing w:before="131"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27393.57</w:t>
            </w:r>
          </w:p>
        </w:tc>
        <w:tc>
          <w:tcPr>
            <w:tcW w:w="1487" w:type="dxa"/>
            <w:vAlign w:val="top"/>
          </w:tcPr>
          <w:p>
            <w:pPr>
              <w:ind w:left="554"/>
              <w:spacing w:before="131"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
              </w:rPr>
              <w:t>2.74</w:t>
            </w:r>
          </w:p>
        </w:tc>
        <w:tc>
          <w:tcPr>
            <w:tcW w:w="1218" w:type="dxa"/>
            <w:vAlign w:val="top"/>
          </w:tcPr>
          <w:p>
            <w:pPr>
              <w:ind w:left="427"/>
              <w:spacing w:before="13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2.16</w:t>
            </w:r>
          </w:p>
        </w:tc>
      </w:tr>
      <w:tr>
        <w:trPr>
          <w:trHeight w:val="411" w:hRule="atLeast"/>
        </w:trPr>
        <w:tc>
          <w:tcPr>
            <w:tcW w:w="3110" w:type="dxa"/>
            <w:vAlign w:val="top"/>
            <w:gridSpan w:val="2"/>
          </w:tcPr>
          <w:p>
            <w:pPr>
              <w:pStyle w:val="TableText"/>
              <w:ind w:left="1352"/>
              <w:spacing w:before="101" w:line="229" w:lineRule="auto"/>
              <w:rPr/>
            </w:pPr>
            <w:r>
              <w:rPr>
                <w:spacing w:val="4"/>
              </w:rPr>
              <w:t>合计</w:t>
            </w:r>
          </w:p>
        </w:tc>
        <w:tc>
          <w:tcPr>
            <w:tcW w:w="1268" w:type="dxa"/>
            <w:vAlign w:val="top"/>
          </w:tcPr>
          <w:p>
            <w:pPr>
              <w:ind w:left="476"/>
              <w:spacing w:before="133"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rPr>
              <w:t>559</w:t>
            </w:r>
          </w:p>
        </w:tc>
        <w:tc>
          <w:tcPr>
            <w:tcW w:w="1638" w:type="dxa"/>
            <w:vAlign w:val="top"/>
          </w:tcPr>
          <w:p>
            <w:pPr>
              <w:ind w:left="320"/>
              <w:spacing w:before="133"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3"/>
              </w:rPr>
              <w:t>1269500.26</w:t>
            </w:r>
          </w:p>
        </w:tc>
        <w:tc>
          <w:tcPr>
            <w:tcW w:w="1487" w:type="dxa"/>
            <w:vAlign w:val="top"/>
          </w:tcPr>
          <w:p>
            <w:pPr>
              <w:ind w:left="465"/>
              <w:spacing w:before="133" w:line="189"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4"/>
              </w:rPr>
              <w:t>126.95</w:t>
            </w:r>
          </w:p>
        </w:tc>
        <w:tc>
          <w:tcPr>
            <w:tcW w:w="1218" w:type="dxa"/>
            <w:vAlign w:val="top"/>
          </w:tcPr>
          <w:p>
            <w:pPr>
              <w:ind w:left="472"/>
              <w:spacing w:before="13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100</w:t>
            </w:r>
          </w:p>
        </w:tc>
      </w:tr>
    </w:tbl>
    <w:p>
      <w:pPr>
        <w:ind w:left="121" w:right="134" w:firstLine="479"/>
        <w:spacing w:before="36" w:line="360" w:lineRule="auto"/>
        <w:jc w:val="both"/>
        <w:rPr>
          <w:rFonts w:ascii="SimSun" w:hAnsi="SimSun" w:eastAsia="SimSun" w:cs="SimSun"/>
          <w:sz w:val="24"/>
          <w:szCs w:val="24"/>
        </w:rPr>
      </w:pPr>
      <w:r>
        <w:rPr>
          <w:rFonts w:ascii="SimSun" w:hAnsi="SimSun" w:eastAsia="SimSun" w:cs="SimSun"/>
          <w:sz w:val="24"/>
          <w:szCs w:val="24"/>
          <w:spacing w:val="-2"/>
        </w:rPr>
        <w:t>评价范围内主要植被类型为草原植被为主。草原植被主要包括羊草+杂类草、</w:t>
      </w:r>
      <w:r>
        <w:rPr>
          <w:rFonts w:ascii="SimSun" w:hAnsi="SimSun" w:eastAsia="SimSun" w:cs="SimSun"/>
          <w:sz w:val="24"/>
          <w:szCs w:val="24"/>
          <w:spacing w:val="18"/>
        </w:rPr>
        <w:t xml:space="preserve"> </w:t>
      </w:r>
      <w:r>
        <w:rPr>
          <w:rFonts w:ascii="SimSun" w:hAnsi="SimSun" w:eastAsia="SimSun" w:cs="SimSun"/>
          <w:sz w:val="24"/>
          <w:szCs w:val="24"/>
        </w:rPr>
        <w:t>克氏针茅群落，面积为</w:t>
      </w:r>
      <w:r>
        <w:rPr>
          <w:rFonts w:ascii="SimSun" w:hAnsi="SimSun" w:eastAsia="SimSun" w:cs="SimSun"/>
          <w:sz w:val="24"/>
          <w:szCs w:val="24"/>
          <w:spacing w:val="-46"/>
        </w:rPr>
        <w:t xml:space="preserve"> </w:t>
      </w:r>
      <w:r>
        <w:rPr>
          <w:rFonts w:ascii="Times New Roman" w:hAnsi="Times New Roman" w:eastAsia="Times New Roman" w:cs="Times New Roman"/>
          <w:sz w:val="24"/>
          <w:szCs w:val="24"/>
        </w:rPr>
        <w:t>74.2hm</w:t>
      </w:r>
      <w:r>
        <w:rPr>
          <w:rFonts w:ascii="Times New Roman" w:hAnsi="Times New Roman" w:eastAsia="Times New Roman" w:cs="Times New Roman"/>
          <w:sz w:val="15"/>
          <w:szCs w:val="15"/>
          <w:position w:val="7"/>
        </w:rPr>
        <w:t>2</w:t>
      </w:r>
      <w:r>
        <w:rPr>
          <w:rFonts w:ascii="Times New Roman" w:hAnsi="Times New Roman" w:eastAsia="Times New Roman" w:cs="Times New Roman"/>
          <w:sz w:val="15"/>
          <w:szCs w:val="15"/>
          <w:spacing w:val="-7"/>
          <w:position w:val="7"/>
        </w:rPr>
        <w:t xml:space="preserve"> </w:t>
      </w:r>
      <w:r>
        <w:rPr>
          <w:rFonts w:ascii="SimSun" w:hAnsi="SimSun" w:eastAsia="SimSun" w:cs="SimSun"/>
          <w:sz w:val="24"/>
          <w:szCs w:val="24"/>
        </w:rPr>
        <w:t>，所占比例</w:t>
      </w:r>
      <w:r>
        <w:rPr>
          <w:rFonts w:ascii="SimSun" w:hAnsi="SimSun" w:eastAsia="SimSun" w:cs="SimSun"/>
          <w:sz w:val="24"/>
          <w:szCs w:val="24"/>
          <w:spacing w:val="-46"/>
        </w:rPr>
        <w:t xml:space="preserve"> </w:t>
      </w:r>
      <w:r>
        <w:rPr>
          <w:rFonts w:ascii="Times New Roman" w:hAnsi="Times New Roman" w:eastAsia="Times New Roman" w:cs="Times New Roman"/>
          <w:sz w:val="24"/>
          <w:szCs w:val="24"/>
        </w:rPr>
        <w:t>58.44%</w:t>
      </w:r>
      <w:r>
        <w:rPr>
          <w:rFonts w:ascii="SimSun" w:hAnsi="SimSun" w:eastAsia="SimSun" w:cs="SimSun"/>
          <w:sz w:val="24"/>
          <w:szCs w:val="24"/>
        </w:rPr>
        <w:t>；其他用地面积为</w:t>
      </w:r>
      <w:r>
        <w:rPr>
          <w:rFonts w:ascii="SimSun" w:hAnsi="SimSun" w:eastAsia="SimSun" w:cs="SimSun"/>
          <w:sz w:val="24"/>
          <w:szCs w:val="24"/>
          <w:spacing w:val="-46"/>
        </w:rPr>
        <w:t xml:space="preserve"> </w:t>
      </w:r>
      <w:r>
        <w:rPr>
          <w:rFonts w:ascii="Times New Roman" w:hAnsi="Times New Roman" w:eastAsia="Times New Roman" w:cs="Times New Roman"/>
          <w:sz w:val="24"/>
          <w:szCs w:val="24"/>
        </w:rPr>
        <w:t>52.</w:t>
      </w:r>
      <w:r>
        <w:rPr>
          <w:rFonts w:ascii="Times New Roman" w:hAnsi="Times New Roman" w:eastAsia="Times New Roman" w:cs="Times New Roman"/>
          <w:sz w:val="24"/>
          <w:szCs w:val="24"/>
          <w:spacing w:val="-1"/>
        </w:rPr>
        <w:t>75hm</w:t>
      </w:r>
      <w:r>
        <w:rPr>
          <w:rFonts w:ascii="Times New Roman" w:hAnsi="Times New Roman" w:eastAsia="Times New Roman" w:cs="Times New Roman"/>
          <w:sz w:val="15"/>
          <w:szCs w:val="15"/>
          <w:spacing w:val="-1"/>
          <w:position w:val="7"/>
        </w:rPr>
        <w:t>2</w:t>
      </w:r>
      <w:r>
        <w:rPr>
          <w:rFonts w:ascii="SimSun" w:hAnsi="SimSun" w:eastAsia="SimSun" w:cs="SimSun"/>
          <w:sz w:val="24"/>
          <w:szCs w:val="24"/>
          <w:spacing w:val="-1"/>
        </w:rPr>
        <w:t>，</w:t>
      </w:r>
      <w:r>
        <w:rPr>
          <w:rFonts w:ascii="SimSun" w:hAnsi="SimSun" w:eastAsia="SimSun" w:cs="SimSun"/>
          <w:sz w:val="24"/>
          <w:szCs w:val="24"/>
        </w:rPr>
        <w:t xml:space="preserve"> </w:t>
      </w:r>
      <w:r>
        <w:rPr>
          <w:rFonts w:ascii="SimSun" w:hAnsi="SimSun" w:eastAsia="SimSun" w:cs="SimSun"/>
          <w:sz w:val="24"/>
          <w:szCs w:val="24"/>
          <w:spacing w:val="-2"/>
        </w:rPr>
        <w:t>所占比例</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41.56%</w:t>
      </w:r>
      <w:r>
        <w:rPr>
          <w:rFonts w:ascii="SimSun" w:hAnsi="SimSun" w:eastAsia="SimSun" w:cs="SimSun"/>
          <w:sz w:val="24"/>
          <w:szCs w:val="24"/>
          <w:spacing w:val="-2"/>
        </w:rPr>
        <w:t>。</w:t>
      </w:r>
    </w:p>
    <w:p>
      <w:pPr>
        <w:spacing w:line="360" w:lineRule="auto"/>
        <w:sectPr>
          <w:footerReference w:type="default" r:id="rId176"/>
          <w:pgSz w:w="11906" w:h="16839"/>
          <w:pgMar w:top="1567" w:right="1590" w:bottom="1811" w:left="1589" w:header="1221" w:footer="1128" w:gutter="0"/>
        </w:sectPr>
        <w:rPr>
          <w:rFonts w:ascii="SimSun" w:hAnsi="SimSun" w:eastAsia="SimSun" w:cs="SimSun"/>
          <w:sz w:val="24"/>
          <w:szCs w:val="24"/>
        </w:rPr>
      </w:pPr>
    </w:p>
    <w:p>
      <w:pPr>
        <w:ind w:firstLine="9"/>
        <w:spacing w:before="150" w:line="6002" w:lineRule="exact"/>
        <w:rPr/>
      </w:pPr>
      <w:r>
        <w:pict>
          <v:shape id="_x0000_s712" style="position:absolute;margin-left:85.05pt;margin-top:79.11pt;mso-position-vertical-relative:page;mso-position-horizontal-relative:page;width:425.25pt;height:0.75pt;z-index:251980800;" o:allowincell="f" fillcolor="#000000" filled="true" stroked="false" coordsize="8505,15" coordorigin="0,0" path="m,l8504,0l8504,14l0,14l0,0xe"/>
        </w:pict>
      </w:r>
      <w:r>
        <w:rPr>
          <w:position w:val="-120"/>
        </w:rPr>
        <w:drawing>
          <wp:inline distT="0" distB="0" distL="0" distR="0">
            <wp:extent cx="5391911" cy="3811523"/>
            <wp:effectExtent l="0" t="0" r="0" b="0"/>
            <wp:docPr id="94" name="IM 94"/>
            <wp:cNvGraphicFramePr/>
            <a:graphic>
              <a:graphicData uri="http://schemas.openxmlformats.org/drawingml/2006/picture">
                <pic:pic>
                  <pic:nvPicPr>
                    <pic:cNvPr id="94" name="IM 94"/>
                    <pic:cNvPicPr/>
                  </pic:nvPicPr>
                  <pic:blipFill>
                    <a:blip r:embed="rId178"/>
                    <a:stretch>
                      <a:fillRect/>
                    </a:stretch>
                  </pic:blipFill>
                  <pic:spPr>
                    <a:xfrm rot="0">
                      <a:off x="0" y="0"/>
                      <a:ext cx="5391911" cy="3811523"/>
                    </a:xfrm>
                    <a:prstGeom prst="rect">
                      <a:avLst/>
                    </a:prstGeom>
                  </pic:spPr>
                </pic:pic>
              </a:graphicData>
            </a:graphic>
          </wp:inline>
        </w:drawing>
      </w:r>
    </w:p>
    <w:p>
      <w:pPr>
        <w:ind w:left="2809"/>
        <w:spacing w:before="280"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50"/>
        </w:rPr>
        <w:t xml:space="preserve"> </w:t>
      </w:r>
      <w:r>
        <w:rPr>
          <w:rFonts w:ascii="Times New Roman" w:hAnsi="Times New Roman" w:eastAsia="Times New Roman" w:cs="Times New Roman"/>
          <w:sz w:val="24"/>
          <w:szCs w:val="24"/>
          <w:b/>
          <w:bCs/>
          <w:spacing w:val="-3"/>
        </w:rPr>
        <w:t>4.2-11      </w:t>
      </w:r>
      <w:r>
        <w:rPr>
          <w:rFonts w:ascii="SimSun" w:hAnsi="SimSun" w:eastAsia="SimSun" w:cs="SimSun"/>
          <w:sz w:val="24"/>
          <w:szCs w:val="24"/>
          <w:b/>
          <w:bCs/>
          <w:spacing w:val="-3"/>
        </w:rPr>
        <w:t>土地利用类型图</w:t>
      </w:r>
    </w:p>
    <w:p>
      <w:pPr>
        <w:ind w:left="510"/>
        <w:spacing w:before="103"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）动物种类及分布状况</w:t>
      </w:r>
    </w:p>
    <w:p>
      <w:pPr>
        <w:ind w:left="18" w:right="8" w:firstLine="509"/>
        <w:spacing w:before="185" w:line="359" w:lineRule="auto"/>
        <w:rPr>
          <w:rFonts w:ascii="SimSun" w:hAnsi="SimSun" w:eastAsia="SimSun" w:cs="SimSun"/>
          <w:sz w:val="24"/>
          <w:szCs w:val="24"/>
        </w:rPr>
      </w:pPr>
      <w:r>
        <w:rPr>
          <w:rFonts w:ascii="SimSun" w:hAnsi="SimSun" w:eastAsia="SimSun" w:cs="SimSun"/>
          <w:sz w:val="24"/>
          <w:szCs w:val="24"/>
          <w:spacing w:val="2"/>
        </w:rPr>
        <w:t>由于本项目位于明安图镇，经现场勘查，项目区自然环境受人类</w:t>
      </w:r>
      <w:r>
        <w:rPr>
          <w:rFonts w:ascii="SimSun" w:hAnsi="SimSun" w:eastAsia="SimSun" w:cs="SimSun"/>
          <w:sz w:val="24"/>
          <w:szCs w:val="24"/>
          <w:spacing w:val="1"/>
        </w:rPr>
        <w:t>活动影响较</w:t>
      </w:r>
      <w:r>
        <w:rPr>
          <w:rFonts w:ascii="SimSun" w:hAnsi="SimSun" w:eastAsia="SimSun" w:cs="SimSun"/>
          <w:sz w:val="24"/>
          <w:szCs w:val="24"/>
        </w:rPr>
        <w:t xml:space="preserve"> </w:t>
      </w:r>
      <w:r>
        <w:rPr>
          <w:rFonts w:ascii="SimSun" w:hAnsi="SimSun" w:eastAsia="SimSun" w:cs="SimSun"/>
          <w:sz w:val="24"/>
          <w:szCs w:val="24"/>
          <w:spacing w:val="3"/>
        </w:rPr>
        <w:t>大，调查范围内无保护动物，未发现珍稀物种，也</w:t>
      </w:r>
      <w:r>
        <w:rPr>
          <w:rFonts w:ascii="SimSun" w:hAnsi="SimSun" w:eastAsia="SimSun" w:cs="SimSun"/>
          <w:sz w:val="24"/>
          <w:szCs w:val="24"/>
          <w:spacing w:val="2"/>
        </w:rPr>
        <w:t>无珍稀濒危动物栖息地与繁殖</w:t>
      </w:r>
      <w:r>
        <w:rPr>
          <w:rFonts w:ascii="SimSun" w:hAnsi="SimSun" w:eastAsia="SimSun" w:cs="SimSun"/>
          <w:sz w:val="24"/>
          <w:szCs w:val="24"/>
        </w:rPr>
        <w:t xml:space="preserve"> </w:t>
      </w:r>
      <w:r>
        <w:rPr>
          <w:rFonts w:ascii="SimSun" w:hAnsi="SimSun" w:eastAsia="SimSun" w:cs="SimSun"/>
          <w:sz w:val="24"/>
          <w:szCs w:val="24"/>
          <w:spacing w:val="-1"/>
        </w:rPr>
        <w:t>地分布。项目所在区域常见野生动物名录见</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4.2-31</w:t>
      </w:r>
      <w:r>
        <w:rPr>
          <w:rFonts w:ascii="SimSun" w:hAnsi="SimSun" w:eastAsia="SimSun" w:cs="SimSun"/>
          <w:sz w:val="24"/>
          <w:szCs w:val="24"/>
          <w:spacing w:val="-1"/>
        </w:rPr>
        <w:t>。</w:t>
      </w:r>
    </w:p>
    <w:p>
      <w:pPr>
        <w:ind w:left="2364"/>
        <w:spacing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9"/>
        </w:rPr>
        <w:t xml:space="preserve"> </w:t>
      </w:r>
      <w:r>
        <w:rPr>
          <w:rFonts w:ascii="Times New Roman" w:hAnsi="Times New Roman" w:eastAsia="Times New Roman" w:cs="Times New Roman"/>
          <w:sz w:val="24"/>
          <w:szCs w:val="24"/>
          <w:b/>
          <w:bCs/>
          <w:spacing w:val="-2"/>
        </w:rPr>
        <w:t>4.2-31        </w:t>
      </w:r>
      <w:r>
        <w:rPr>
          <w:rFonts w:ascii="SimSun" w:hAnsi="SimSun" w:eastAsia="SimSun" w:cs="SimSun"/>
          <w:sz w:val="24"/>
          <w:szCs w:val="24"/>
          <w:b/>
          <w:bCs/>
          <w:spacing w:val="-2"/>
        </w:rPr>
        <w:t>区域常见野生动物名录</w:t>
      </w:r>
    </w:p>
    <w:tbl>
      <w:tblPr>
        <w:tblStyle w:val="TableNormal"/>
        <w:tblW w:w="851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82"/>
        <w:gridCol w:w="1894"/>
        <w:gridCol w:w="3030"/>
        <w:gridCol w:w="2909"/>
      </w:tblGrid>
      <w:tr>
        <w:trPr>
          <w:trHeight w:val="321" w:hRule="atLeast"/>
        </w:trPr>
        <w:tc>
          <w:tcPr>
            <w:tcW w:w="682" w:type="dxa"/>
            <w:vAlign w:val="top"/>
          </w:tcPr>
          <w:p>
            <w:pPr>
              <w:pStyle w:val="TableText"/>
              <w:ind w:left="136"/>
              <w:spacing w:before="56" w:line="229" w:lineRule="auto"/>
              <w:rPr/>
            </w:pPr>
            <w:r>
              <w:rPr>
                <w:spacing w:val="5"/>
              </w:rPr>
              <w:t>序号</w:t>
            </w:r>
          </w:p>
        </w:tc>
        <w:tc>
          <w:tcPr>
            <w:tcW w:w="1894" w:type="dxa"/>
            <w:vAlign w:val="top"/>
          </w:tcPr>
          <w:p>
            <w:pPr>
              <w:pStyle w:val="TableText"/>
              <w:ind w:left="655"/>
              <w:spacing w:before="56" w:line="228" w:lineRule="auto"/>
              <w:rPr/>
            </w:pPr>
            <w:r>
              <w:rPr/>
              <w:t>中文名</w:t>
            </w:r>
          </w:p>
        </w:tc>
        <w:tc>
          <w:tcPr>
            <w:tcW w:w="3030" w:type="dxa"/>
            <w:vAlign w:val="top"/>
          </w:tcPr>
          <w:p>
            <w:pPr>
              <w:pStyle w:val="TableText"/>
              <w:ind w:left="1314"/>
              <w:spacing w:before="56" w:line="229" w:lineRule="auto"/>
              <w:rPr/>
            </w:pPr>
            <w:r>
              <w:rPr>
                <w:spacing w:val="2"/>
              </w:rPr>
              <w:t>学名</w:t>
            </w:r>
          </w:p>
        </w:tc>
        <w:tc>
          <w:tcPr>
            <w:tcW w:w="2909" w:type="dxa"/>
            <w:vAlign w:val="top"/>
          </w:tcPr>
          <w:p>
            <w:pPr>
              <w:pStyle w:val="TableText"/>
              <w:ind w:left="1040"/>
              <w:spacing w:before="56" w:line="228" w:lineRule="auto"/>
              <w:rPr/>
            </w:pPr>
            <w:r>
              <w:rPr>
                <w:spacing w:val="7"/>
              </w:rPr>
              <w:t>栖息生境</w:t>
            </w:r>
          </w:p>
        </w:tc>
      </w:tr>
      <w:tr>
        <w:trPr>
          <w:trHeight w:val="316" w:hRule="atLeast"/>
        </w:trPr>
        <w:tc>
          <w:tcPr>
            <w:tcW w:w="8515" w:type="dxa"/>
            <w:vAlign w:val="top"/>
            <w:gridSpan w:val="4"/>
          </w:tcPr>
          <w:p>
            <w:pPr>
              <w:pStyle w:val="TableText"/>
              <w:ind w:left="3846"/>
              <w:spacing w:before="52" w:line="228" w:lineRule="auto"/>
              <w:rPr/>
            </w:pPr>
            <w:r>
              <w:rPr>
                <w:spacing w:val="6"/>
              </w:rPr>
              <w:t>一、鸟纲</w:t>
            </w:r>
          </w:p>
        </w:tc>
      </w:tr>
      <w:tr>
        <w:trPr>
          <w:trHeight w:val="317" w:hRule="atLeast"/>
        </w:trPr>
        <w:tc>
          <w:tcPr>
            <w:tcW w:w="8515" w:type="dxa"/>
            <w:vAlign w:val="top"/>
            <w:gridSpan w:val="4"/>
          </w:tcPr>
          <w:p>
            <w:pPr>
              <w:pStyle w:val="TableText"/>
              <w:ind w:left="2881"/>
              <w:spacing w:before="52" w:line="229" w:lineRule="auto"/>
              <w:rPr>
                <w:rFonts w:ascii="Times New Roman" w:hAnsi="Times New Roman" w:eastAsia="Times New Roman" w:cs="Times New Roman"/>
              </w:rPr>
            </w:pPr>
            <w:r>
              <w:rPr>
                <w:spacing w:val="16"/>
              </w:rPr>
              <w:t>（一）鸡形目</w:t>
            </w:r>
            <w:r>
              <w:rPr>
                <w:spacing w:val="-36"/>
              </w:rPr>
              <w:t xml:space="preserve"> </w:t>
            </w:r>
            <w:r>
              <w:rPr>
                <w:rFonts w:ascii="Times New Roman" w:hAnsi="Times New Roman" w:eastAsia="Times New Roman" w:cs="Times New Roman"/>
              </w:rPr>
              <w:t>GALLIFORMES</w:t>
            </w:r>
          </w:p>
        </w:tc>
      </w:tr>
      <w:tr>
        <w:trPr>
          <w:trHeight w:val="316" w:hRule="atLeast"/>
        </w:trPr>
        <w:tc>
          <w:tcPr>
            <w:tcW w:w="682" w:type="dxa"/>
            <w:vAlign w:val="top"/>
          </w:tcPr>
          <w:p>
            <w:pPr>
              <w:ind w:left="309"/>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894" w:type="dxa"/>
            <w:vAlign w:val="top"/>
          </w:tcPr>
          <w:p>
            <w:pPr>
              <w:pStyle w:val="TableText"/>
              <w:ind w:left="742"/>
              <w:spacing w:before="51" w:line="229" w:lineRule="auto"/>
              <w:rPr/>
            </w:pPr>
            <w:r>
              <w:rPr>
                <w:spacing w:val="4"/>
              </w:rPr>
              <w:t>石鸡</w:t>
            </w:r>
          </w:p>
        </w:tc>
        <w:tc>
          <w:tcPr>
            <w:tcW w:w="3030" w:type="dxa"/>
            <w:vAlign w:val="top"/>
          </w:tcPr>
          <w:p>
            <w:pPr>
              <w:ind w:left="804"/>
              <w:spacing w:before="17"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4"/>
                <w:position w:val="4"/>
              </w:rPr>
              <w:t>Alectoris graeca</w:t>
            </w:r>
          </w:p>
        </w:tc>
        <w:tc>
          <w:tcPr>
            <w:tcW w:w="2909" w:type="dxa"/>
            <w:vAlign w:val="top"/>
          </w:tcPr>
          <w:p>
            <w:pPr>
              <w:pStyle w:val="TableText"/>
              <w:ind w:left="1248"/>
              <w:spacing w:before="52" w:line="228" w:lineRule="auto"/>
              <w:rPr/>
            </w:pPr>
            <w:r>
              <w:rPr>
                <w:spacing w:val="4"/>
              </w:rPr>
              <w:t>沟谷</w:t>
            </w:r>
          </w:p>
        </w:tc>
      </w:tr>
      <w:tr>
        <w:trPr>
          <w:trHeight w:val="317" w:hRule="atLeast"/>
        </w:trPr>
        <w:tc>
          <w:tcPr>
            <w:tcW w:w="682" w:type="dxa"/>
            <w:vAlign w:val="top"/>
          </w:tcPr>
          <w:p>
            <w:pPr>
              <w:ind w:left="289"/>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894" w:type="dxa"/>
            <w:vAlign w:val="top"/>
          </w:tcPr>
          <w:p>
            <w:pPr>
              <w:pStyle w:val="TableText"/>
              <w:ind w:left="741"/>
              <w:spacing w:before="52" w:line="229" w:lineRule="auto"/>
              <w:rPr/>
            </w:pPr>
            <w:r>
              <w:rPr>
                <w:spacing w:val="4"/>
              </w:rPr>
              <w:t>野鸡</w:t>
            </w:r>
          </w:p>
        </w:tc>
        <w:tc>
          <w:tcPr>
            <w:tcW w:w="3030" w:type="dxa"/>
            <w:vAlign w:val="top"/>
          </w:tcPr>
          <w:p>
            <w:pPr>
              <w:ind w:left="646"/>
              <w:spacing w:before="18" w:line="27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4"/>
                <w:position w:val="2"/>
              </w:rPr>
              <w:t>Phasianus colchicus</w:t>
            </w:r>
          </w:p>
        </w:tc>
        <w:tc>
          <w:tcPr>
            <w:tcW w:w="2909" w:type="dxa"/>
            <w:vAlign w:val="top"/>
          </w:tcPr>
          <w:p>
            <w:pPr>
              <w:pStyle w:val="TableText"/>
              <w:ind w:left="935"/>
              <w:spacing w:before="52" w:line="228" w:lineRule="auto"/>
              <w:rPr/>
            </w:pPr>
            <w:r>
              <w:rPr>
                <w:spacing w:val="7"/>
              </w:rPr>
              <w:t>林地、沟谷</w:t>
            </w:r>
          </w:p>
        </w:tc>
      </w:tr>
      <w:tr>
        <w:trPr>
          <w:trHeight w:val="316" w:hRule="atLeast"/>
        </w:trPr>
        <w:tc>
          <w:tcPr>
            <w:tcW w:w="8515" w:type="dxa"/>
            <w:vAlign w:val="top"/>
            <w:gridSpan w:val="4"/>
          </w:tcPr>
          <w:p>
            <w:pPr>
              <w:pStyle w:val="TableText"/>
              <w:ind w:left="2713"/>
              <w:spacing w:before="54" w:line="228" w:lineRule="auto"/>
              <w:rPr>
                <w:rFonts w:ascii="Times New Roman" w:hAnsi="Times New Roman" w:eastAsia="Times New Roman" w:cs="Times New Roman"/>
              </w:rPr>
            </w:pPr>
            <w:r>
              <w:rPr>
                <w:spacing w:val="19"/>
              </w:rPr>
              <w:t>（二）鸽形目</w:t>
            </w:r>
            <w:r>
              <w:rPr>
                <w:spacing w:val="-38"/>
              </w:rPr>
              <w:t xml:space="preserve"> </w:t>
            </w:r>
            <w:r>
              <w:rPr>
                <w:rFonts w:ascii="Times New Roman" w:hAnsi="Times New Roman" w:eastAsia="Times New Roman" w:cs="Times New Roman"/>
              </w:rPr>
              <w:t>COLUMBIFORMES</w:t>
            </w:r>
          </w:p>
        </w:tc>
      </w:tr>
      <w:tr>
        <w:trPr>
          <w:trHeight w:val="316" w:hRule="atLeast"/>
        </w:trPr>
        <w:tc>
          <w:tcPr>
            <w:tcW w:w="682" w:type="dxa"/>
            <w:vAlign w:val="top"/>
          </w:tcPr>
          <w:p>
            <w:pPr>
              <w:ind w:left="29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894" w:type="dxa"/>
            <w:vAlign w:val="top"/>
          </w:tcPr>
          <w:p>
            <w:pPr>
              <w:pStyle w:val="TableText"/>
              <w:ind w:left="743"/>
              <w:spacing w:before="55" w:line="229" w:lineRule="auto"/>
              <w:rPr/>
            </w:pPr>
            <w:r>
              <w:rPr>
                <w:spacing w:val="3"/>
              </w:rPr>
              <w:t>沙鸡</w:t>
            </w:r>
          </w:p>
        </w:tc>
        <w:tc>
          <w:tcPr>
            <w:tcW w:w="3030" w:type="dxa"/>
            <w:vAlign w:val="top"/>
          </w:tcPr>
          <w:p>
            <w:pPr>
              <w:ind w:left="588"/>
              <w:spacing w:before="20"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5"/>
                <w:position w:val="4"/>
              </w:rPr>
              <w:t>Syrrhaptes</w:t>
            </w:r>
            <w:r>
              <w:rPr>
                <w:rFonts w:ascii="Times New Roman" w:hAnsi="Times New Roman" w:eastAsia="Times New Roman" w:cs="Times New Roman"/>
                <w:sz w:val="20"/>
                <w:szCs w:val="20"/>
                <w:i/>
                <w:iCs/>
                <w:spacing w:val="-9"/>
                <w:position w:val="4"/>
              </w:rPr>
              <w:t xml:space="preserve"> </w:t>
            </w:r>
            <w:r>
              <w:rPr>
                <w:rFonts w:ascii="Times New Roman" w:hAnsi="Times New Roman" w:eastAsia="Times New Roman" w:cs="Times New Roman"/>
                <w:sz w:val="20"/>
                <w:szCs w:val="20"/>
                <w:i/>
                <w:iCs/>
                <w:spacing w:val="5"/>
                <w:position w:val="4"/>
              </w:rPr>
              <w:t>paradoxus</w:t>
            </w:r>
          </w:p>
        </w:tc>
        <w:tc>
          <w:tcPr>
            <w:tcW w:w="2909" w:type="dxa"/>
            <w:vAlign w:val="top"/>
          </w:tcPr>
          <w:p>
            <w:pPr>
              <w:pStyle w:val="TableText"/>
              <w:ind w:left="1248"/>
              <w:spacing w:before="55" w:line="228" w:lineRule="auto"/>
              <w:rPr/>
            </w:pPr>
            <w:r>
              <w:rPr>
                <w:spacing w:val="4"/>
              </w:rPr>
              <w:t>沟谷</w:t>
            </w:r>
          </w:p>
        </w:tc>
      </w:tr>
      <w:tr>
        <w:trPr>
          <w:trHeight w:val="317" w:hRule="atLeast"/>
        </w:trPr>
        <w:tc>
          <w:tcPr>
            <w:tcW w:w="682" w:type="dxa"/>
            <w:vAlign w:val="top"/>
          </w:tcPr>
          <w:p>
            <w:pPr>
              <w:ind w:left="28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894" w:type="dxa"/>
            <w:vAlign w:val="top"/>
          </w:tcPr>
          <w:p>
            <w:pPr>
              <w:pStyle w:val="TableText"/>
              <w:ind w:left="741"/>
              <w:spacing w:before="56" w:line="228" w:lineRule="auto"/>
              <w:rPr/>
            </w:pPr>
            <w:r>
              <w:rPr>
                <w:spacing w:val="4"/>
              </w:rPr>
              <w:t>岩鸡</w:t>
            </w:r>
          </w:p>
        </w:tc>
        <w:tc>
          <w:tcPr>
            <w:tcW w:w="3030" w:type="dxa"/>
            <w:vAlign w:val="top"/>
          </w:tcPr>
          <w:p>
            <w:pPr>
              <w:ind w:left="783"/>
              <w:spacing w:before="21"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3"/>
                <w:position w:val="4"/>
              </w:rPr>
              <w:t>Columba rupestis</w:t>
            </w:r>
          </w:p>
        </w:tc>
        <w:tc>
          <w:tcPr>
            <w:tcW w:w="2909" w:type="dxa"/>
            <w:vAlign w:val="top"/>
          </w:tcPr>
          <w:p>
            <w:pPr>
              <w:pStyle w:val="TableText"/>
              <w:ind w:left="1248"/>
              <w:spacing w:before="56" w:line="228" w:lineRule="auto"/>
              <w:rPr/>
            </w:pPr>
            <w:r>
              <w:rPr>
                <w:spacing w:val="4"/>
              </w:rPr>
              <w:t>沟谷</w:t>
            </w:r>
          </w:p>
        </w:tc>
      </w:tr>
      <w:tr>
        <w:trPr>
          <w:trHeight w:val="317" w:hRule="atLeast"/>
        </w:trPr>
        <w:tc>
          <w:tcPr>
            <w:tcW w:w="8515" w:type="dxa"/>
            <w:vAlign w:val="top"/>
            <w:gridSpan w:val="4"/>
          </w:tcPr>
          <w:p>
            <w:pPr>
              <w:pStyle w:val="TableText"/>
              <w:ind w:left="2777"/>
              <w:spacing w:before="55" w:line="227" w:lineRule="auto"/>
              <w:rPr>
                <w:rFonts w:ascii="Times New Roman" w:hAnsi="Times New Roman" w:eastAsia="Times New Roman" w:cs="Times New Roman"/>
              </w:rPr>
            </w:pPr>
            <w:r>
              <w:rPr>
                <w:spacing w:val="18"/>
              </w:rPr>
              <w:t>（三）雀形科</w:t>
            </w:r>
            <w:r>
              <w:rPr>
                <w:spacing w:val="-40"/>
              </w:rPr>
              <w:t xml:space="preserve"> </w:t>
            </w:r>
            <w:r>
              <w:rPr>
                <w:rFonts w:ascii="Times New Roman" w:hAnsi="Times New Roman" w:eastAsia="Times New Roman" w:cs="Times New Roman"/>
              </w:rPr>
              <w:t>PASSERIFORMES</w:t>
            </w:r>
          </w:p>
        </w:tc>
      </w:tr>
      <w:tr>
        <w:trPr>
          <w:trHeight w:val="317" w:hRule="atLeast"/>
        </w:trPr>
        <w:tc>
          <w:tcPr>
            <w:tcW w:w="682" w:type="dxa"/>
            <w:vAlign w:val="top"/>
          </w:tcPr>
          <w:p>
            <w:pPr>
              <w:ind w:left="295"/>
              <w:spacing w:before="9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894" w:type="dxa"/>
            <w:vAlign w:val="top"/>
          </w:tcPr>
          <w:p>
            <w:pPr>
              <w:pStyle w:val="TableText"/>
              <w:ind w:left="747"/>
              <w:spacing w:before="55" w:line="228" w:lineRule="auto"/>
              <w:rPr/>
            </w:pPr>
            <w:r>
              <w:rPr>
                <w:spacing w:val="2"/>
              </w:rPr>
              <w:t>云雀</w:t>
            </w:r>
          </w:p>
        </w:tc>
        <w:tc>
          <w:tcPr>
            <w:tcW w:w="3030" w:type="dxa"/>
            <w:vAlign w:val="top"/>
          </w:tcPr>
          <w:p>
            <w:pPr>
              <w:ind w:left="821"/>
              <w:spacing w:before="20"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5"/>
                <w:position w:val="2"/>
              </w:rPr>
              <w:t>Alauda arvensis</w:t>
            </w:r>
          </w:p>
        </w:tc>
        <w:tc>
          <w:tcPr>
            <w:tcW w:w="2909" w:type="dxa"/>
            <w:vAlign w:val="top"/>
          </w:tcPr>
          <w:p>
            <w:pPr>
              <w:pStyle w:val="TableText"/>
              <w:ind w:left="1248"/>
              <w:spacing w:before="55" w:line="228" w:lineRule="auto"/>
              <w:rPr/>
            </w:pPr>
            <w:r>
              <w:rPr>
                <w:spacing w:val="4"/>
              </w:rPr>
              <w:t>沟谷</w:t>
            </w:r>
          </w:p>
        </w:tc>
      </w:tr>
      <w:tr>
        <w:trPr>
          <w:trHeight w:val="317" w:hRule="atLeast"/>
        </w:trPr>
        <w:tc>
          <w:tcPr>
            <w:tcW w:w="682" w:type="dxa"/>
            <w:vAlign w:val="top"/>
          </w:tcPr>
          <w:p>
            <w:pPr>
              <w:ind w:left="29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894" w:type="dxa"/>
            <w:vAlign w:val="top"/>
          </w:tcPr>
          <w:p>
            <w:pPr>
              <w:pStyle w:val="TableText"/>
              <w:ind w:left="743"/>
              <w:spacing w:before="54" w:line="228" w:lineRule="auto"/>
              <w:rPr/>
            </w:pPr>
            <w:r>
              <w:rPr>
                <w:spacing w:val="3"/>
              </w:rPr>
              <w:t>家燕</w:t>
            </w:r>
          </w:p>
        </w:tc>
        <w:tc>
          <w:tcPr>
            <w:tcW w:w="3030" w:type="dxa"/>
            <w:vAlign w:val="top"/>
          </w:tcPr>
          <w:p>
            <w:pPr>
              <w:ind w:left="833"/>
              <w:spacing w:before="20" w:line="27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4"/>
                <w:position w:val="2"/>
              </w:rPr>
              <w:t>Hirundo rustica</w:t>
            </w:r>
          </w:p>
        </w:tc>
        <w:tc>
          <w:tcPr>
            <w:tcW w:w="2909" w:type="dxa"/>
            <w:vAlign w:val="top"/>
          </w:tcPr>
          <w:p>
            <w:pPr>
              <w:pStyle w:val="TableText"/>
              <w:ind w:left="1147"/>
              <w:spacing w:before="54" w:line="228" w:lineRule="auto"/>
              <w:rPr/>
            </w:pPr>
            <w:r>
              <w:rPr>
                <w:spacing w:val="6"/>
              </w:rPr>
              <w:t>居民点</w:t>
            </w:r>
          </w:p>
        </w:tc>
      </w:tr>
      <w:tr>
        <w:trPr>
          <w:trHeight w:val="317" w:hRule="atLeast"/>
        </w:trPr>
        <w:tc>
          <w:tcPr>
            <w:tcW w:w="682" w:type="dxa"/>
            <w:vAlign w:val="top"/>
          </w:tcPr>
          <w:p>
            <w:pPr>
              <w:ind w:left="292"/>
              <w:spacing w:before="9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894" w:type="dxa"/>
            <w:vAlign w:val="top"/>
          </w:tcPr>
          <w:p>
            <w:pPr>
              <w:pStyle w:val="TableText"/>
              <w:ind w:left="637"/>
              <w:spacing w:before="56" w:line="227" w:lineRule="auto"/>
              <w:rPr/>
            </w:pPr>
            <w:r>
              <w:rPr>
                <w:spacing w:val="6"/>
              </w:rPr>
              <w:t>灰伯劳</w:t>
            </w:r>
          </w:p>
        </w:tc>
        <w:tc>
          <w:tcPr>
            <w:tcW w:w="3030" w:type="dxa"/>
            <w:vAlign w:val="top"/>
          </w:tcPr>
          <w:p>
            <w:pPr>
              <w:ind w:left="849"/>
              <w:spacing w:before="22" w:line="27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4"/>
                <w:position w:val="4"/>
              </w:rPr>
              <w:t>L.sphenocercus</w:t>
            </w:r>
          </w:p>
        </w:tc>
        <w:tc>
          <w:tcPr>
            <w:tcW w:w="2909" w:type="dxa"/>
            <w:vAlign w:val="top"/>
          </w:tcPr>
          <w:p>
            <w:pPr>
              <w:pStyle w:val="TableText"/>
              <w:ind w:left="1249"/>
              <w:spacing w:before="56" w:line="228" w:lineRule="auto"/>
              <w:rPr/>
            </w:pPr>
            <w:r>
              <w:rPr>
                <w:spacing w:val="4"/>
              </w:rPr>
              <w:t>林地</w:t>
            </w:r>
          </w:p>
        </w:tc>
      </w:tr>
      <w:tr>
        <w:trPr>
          <w:trHeight w:val="317" w:hRule="atLeast"/>
        </w:trPr>
        <w:tc>
          <w:tcPr>
            <w:tcW w:w="682" w:type="dxa"/>
            <w:vAlign w:val="top"/>
          </w:tcPr>
          <w:p>
            <w:pPr>
              <w:ind w:left="29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894" w:type="dxa"/>
            <w:vAlign w:val="top"/>
          </w:tcPr>
          <w:p>
            <w:pPr>
              <w:pStyle w:val="TableText"/>
              <w:ind w:left="745"/>
              <w:spacing w:before="55" w:line="228" w:lineRule="auto"/>
              <w:rPr/>
            </w:pPr>
            <w:r>
              <w:rPr>
                <w:spacing w:val="3"/>
              </w:rPr>
              <w:t>喜鹊</w:t>
            </w:r>
          </w:p>
        </w:tc>
        <w:tc>
          <w:tcPr>
            <w:tcW w:w="3030" w:type="dxa"/>
            <w:vAlign w:val="top"/>
          </w:tcPr>
          <w:p>
            <w:pPr>
              <w:ind w:left="1107"/>
              <w:spacing w:before="94"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7"/>
              </w:rPr>
              <w:t>Pica</w:t>
            </w:r>
            <w:r>
              <w:rPr>
                <w:rFonts w:ascii="Times New Roman" w:hAnsi="Times New Roman" w:eastAsia="Times New Roman" w:cs="Times New Roman"/>
                <w:sz w:val="20"/>
                <w:szCs w:val="20"/>
                <w:i/>
                <w:iCs/>
                <w:spacing w:val="-15"/>
              </w:rPr>
              <w:t xml:space="preserve"> </w:t>
            </w:r>
            <w:r>
              <w:rPr>
                <w:rFonts w:ascii="Times New Roman" w:hAnsi="Times New Roman" w:eastAsia="Times New Roman" w:cs="Times New Roman"/>
                <w:sz w:val="20"/>
                <w:szCs w:val="20"/>
                <w:i/>
                <w:iCs/>
                <w:spacing w:val="7"/>
              </w:rPr>
              <w:t>pica</w:t>
            </w:r>
          </w:p>
        </w:tc>
        <w:tc>
          <w:tcPr>
            <w:tcW w:w="2909" w:type="dxa"/>
            <w:vAlign w:val="top"/>
          </w:tcPr>
          <w:p>
            <w:pPr>
              <w:pStyle w:val="TableText"/>
              <w:ind w:left="1249"/>
              <w:spacing w:before="55" w:line="228" w:lineRule="auto"/>
              <w:rPr/>
            </w:pPr>
            <w:r>
              <w:rPr>
                <w:spacing w:val="4"/>
              </w:rPr>
              <w:t>林地</w:t>
            </w:r>
          </w:p>
        </w:tc>
      </w:tr>
      <w:tr>
        <w:trPr>
          <w:trHeight w:val="319" w:hRule="atLeast"/>
        </w:trPr>
        <w:tc>
          <w:tcPr>
            <w:tcW w:w="682" w:type="dxa"/>
            <w:vAlign w:val="top"/>
          </w:tcPr>
          <w:p>
            <w:pPr>
              <w:ind w:left="29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894" w:type="dxa"/>
            <w:vAlign w:val="top"/>
          </w:tcPr>
          <w:p>
            <w:pPr>
              <w:pStyle w:val="TableText"/>
              <w:ind w:left="743"/>
              <w:spacing w:before="55" w:line="229" w:lineRule="auto"/>
              <w:rPr/>
            </w:pPr>
            <w:r>
              <w:rPr>
                <w:spacing w:val="3"/>
              </w:rPr>
              <w:t>寒鸦</w:t>
            </w:r>
          </w:p>
        </w:tc>
        <w:tc>
          <w:tcPr>
            <w:tcW w:w="3030" w:type="dxa"/>
            <w:vAlign w:val="top"/>
          </w:tcPr>
          <w:p>
            <w:pPr>
              <w:ind w:left="783"/>
              <w:spacing w:before="21"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3"/>
                <w:position w:val="2"/>
              </w:rPr>
              <w:t>Corvus monedula</w:t>
            </w:r>
          </w:p>
        </w:tc>
        <w:tc>
          <w:tcPr>
            <w:tcW w:w="2909" w:type="dxa"/>
            <w:vAlign w:val="top"/>
          </w:tcPr>
          <w:p>
            <w:pPr>
              <w:pStyle w:val="TableText"/>
              <w:ind w:left="829"/>
              <w:spacing w:before="55" w:line="228" w:lineRule="auto"/>
              <w:rPr/>
            </w:pPr>
            <w:r>
              <w:rPr>
                <w:spacing w:val="8"/>
              </w:rPr>
              <w:t>林地、居民点</w:t>
            </w:r>
          </w:p>
        </w:tc>
      </w:tr>
    </w:tbl>
    <w:p>
      <w:pPr>
        <w:pStyle w:val="BodyText"/>
        <w:rPr/>
      </w:pPr>
      <w:r/>
    </w:p>
    <w:p>
      <w:pPr>
        <w:sectPr>
          <w:headerReference w:type="default" r:id="rId145"/>
          <w:footerReference w:type="default" r:id="rId177"/>
          <w:pgSz w:w="11906" w:h="16839"/>
          <w:pgMar w:top="1567" w:right="1693" w:bottom="1482" w:left="1692" w:header="1221" w:footer="1248" w:gutter="0"/>
        </w:sectPr>
        <w:rPr/>
      </w:pPr>
    </w:p>
    <w:p>
      <w:pPr>
        <w:spacing w:line="133" w:lineRule="exact"/>
        <w:rPr/>
      </w:pPr>
      <w:r>
        <w:pict>
          <v:shape id="_x0000_s716" style="position:absolute;margin-left:85.05pt;margin-top:78.87pt;mso-position-vertical-relative:page;mso-position-horizontal-relative:page;width:425.25pt;height:0.75pt;z-index:251982848;" o:allowincell="f" fillcolor="#000000" filled="true" stroked="false" coordsize="8505,15" coordorigin="0,0" path="m,l8504,0l8504,14l0,14l0,0xe"/>
        </w:pict>
      </w:r>
      <w:r/>
    </w:p>
    <w:tbl>
      <w:tblPr>
        <w:tblStyle w:val="TableNormal"/>
        <w:tblW w:w="851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82"/>
        <w:gridCol w:w="1894"/>
        <w:gridCol w:w="3030"/>
        <w:gridCol w:w="2909"/>
      </w:tblGrid>
      <w:tr>
        <w:trPr>
          <w:trHeight w:val="321" w:hRule="atLeast"/>
        </w:trPr>
        <w:tc>
          <w:tcPr>
            <w:tcW w:w="682" w:type="dxa"/>
            <w:vAlign w:val="top"/>
          </w:tcPr>
          <w:p>
            <w:pPr>
              <w:ind w:left="25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894" w:type="dxa"/>
            <w:vAlign w:val="top"/>
          </w:tcPr>
          <w:p>
            <w:pPr>
              <w:pStyle w:val="TableText"/>
              <w:ind w:left="636"/>
              <w:spacing w:before="56" w:line="228" w:lineRule="auto"/>
              <w:rPr/>
            </w:pPr>
            <w:r>
              <w:rPr>
                <w:spacing w:val="6"/>
              </w:rPr>
              <w:t>树麻雀</w:t>
            </w:r>
          </w:p>
        </w:tc>
        <w:tc>
          <w:tcPr>
            <w:tcW w:w="3030" w:type="dxa"/>
            <w:vAlign w:val="top"/>
          </w:tcPr>
          <w:p>
            <w:pPr>
              <w:ind w:left="785"/>
              <w:spacing w:before="9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4"/>
              </w:rPr>
              <w:t>Passer montanus</w:t>
            </w:r>
          </w:p>
        </w:tc>
        <w:tc>
          <w:tcPr>
            <w:tcW w:w="2909" w:type="dxa"/>
            <w:vAlign w:val="top"/>
          </w:tcPr>
          <w:p>
            <w:pPr>
              <w:pStyle w:val="TableText"/>
              <w:ind w:left="1147"/>
              <w:spacing w:before="57" w:line="228" w:lineRule="auto"/>
              <w:rPr/>
            </w:pPr>
            <w:r>
              <w:rPr>
                <w:spacing w:val="6"/>
              </w:rPr>
              <w:t>居民点</w:t>
            </w:r>
          </w:p>
        </w:tc>
      </w:tr>
      <w:tr>
        <w:trPr>
          <w:trHeight w:val="316" w:hRule="atLeast"/>
        </w:trPr>
        <w:tc>
          <w:tcPr>
            <w:tcW w:w="682" w:type="dxa"/>
            <w:vAlign w:val="top"/>
          </w:tcPr>
          <w:p>
            <w:pPr>
              <w:ind w:left="259"/>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11</w:t>
            </w:r>
          </w:p>
        </w:tc>
        <w:tc>
          <w:tcPr>
            <w:tcW w:w="1894" w:type="dxa"/>
            <w:vAlign w:val="top"/>
          </w:tcPr>
          <w:p>
            <w:pPr>
              <w:pStyle w:val="TableText"/>
              <w:ind w:left="742"/>
              <w:spacing w:before="52" w:line="228" w:lineRule="auto"/>
              <w:rPr/>
            </w:pPr>
            <w:r>
              <w:rPr>
                <w:spacing w:val="4"/>
              </w:rPr>
              <w:t>朱雀</w:t>
            </w:r>
          </w:p>
        </w:tc>
        <w:tc>
          <w:tcPr>
            <w:tcW w:w="3030" w:type="dxa"/>
            <w:vAlign w:val="top"/>
          </w:tcPr>
          <w:p>
            <w:pPr>
              <w:ind w:left="991"/>
              <w:spacing w:before="18"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18"/>
                <w:position w:val="4"/>
              </w:rPr>
              <w:t>C.</w:t>
            </w:r>
            <w:r>
              <w:rPr>
                <w:rFonts w:ascii="Times New Roman" w:hAnsi="Times New Roman" w:eastAsia="Times New Roman" w:cs="Times New Roman"/>
                <w:sz w:val="20"/>
                <w:szCs w:val="20"/>
                <w:i/>
                <w:iCs/>
                <w:position w:val="4"/>
              </w:rPr>
              <w:t>ergthrinus</w:t>
            </w:r>
          </w:p>
        </w:tc>
        <w:tc>
          <w:tcPr>
            <w:tcW w:w="2909" w:type="dxa"/>
            <w:vAlign w:val="top"/>
          </w:tcPr>
          <w:p>
            <w:pPr>
              <w:pStyle w:val="TableText"/>
              <w:ind w:left="1249"/>
              <w:spacing w:before="52" w:line="228" w:lineRule="auto"/>
              <w:rPr/>
            </w:pPr>
            <w:r>
              <w:rPr>
                <w:spacing w:val="4"/>
              </w:rPr>
              <w:t>林地</w:t>
            </w:r>
          </w:p>
        </w:tc>
      </w:tr>
      <w:tr>
        <w:trPr>
          <w:trHeight w:val="316" w:hRule="atLeast"/>
        </w:trPr>
        <w:tc>
          <w:tcPr>
            <w:tcW w:w="8515" w:type="dxa"/>
            <w:vAlign w:val="top"/>
            <w:gridSpan w:val="4"/>
          </w:tcPr>
          <w:p>
            <w:pPr>
              <w:pStyle w:val="TableText"/>
              <w:ind w:left="3740"/>
              <w:spacing w:before="53" w:line="228" w:lineRule="auto"/>
              <w:rPr/>
            </w:pPr>
            <w:r>
              <w:rPr>
                <w:spacing w:val="7"/>
              </w:rPr>
              <w:t>二、哺乳纲</w:t>
            </w:r>
          </w:p>
        </w:tc>
      </w:tr>
      <w:tr>
        <w:trPr>
          <w:trHeight w:val="317" w:hRule="atLeast"/>
        </w:trPr>
        <w:tc>
          <w:tcPr>
            <w:tcW w:w="8515" w:type="dxa"/>
            <w:vAlign w:val="top"/>
            <w:gridSpan w:val="4"/>
          </w:tcPr>
          <w:p>
            <w:pPr>
              <w:pStyle w:val="TableText"/>
              <w:ind w:left="2876"/>
              <w:spacing w:before="53" w:line="229" w:lineRule="auto"/>
              <w:rPr>
                <w:rFonts w:ascii="Times New Roman" w:hAnsi="Times New Roman" w:eastAsia="Times New Roman" w:cs="Times New Roman"/>
              </w:rPr>
            </w:pPr>
            <w:r>
              <w:rPr>
                <w:spacing w:val="17"/>
              </w:rPr>
              <w:t>（一）兔形目</w:t>
            </w:r>
            <w:r>
              <w:rPr>
                <w:spacing w:val="-41"/>
              </w:rPr>
              <w:t xml:space="preserve"> </w:t>
            </w:r>
            <w:r>
              <w:rPr>
                <w:rFonts w:ascii="Times New Roman" w:hAnsi="Times New Roman" w:eastAsia="Times New Roman" w:cs="Times New Roman"/>
              </w:rPr>
              <w:t>LAGOMORPHA</w:t>
            </w:r>
          </w:p>
        </w:tc>
      </w:tr>
      <w:tr>
        <w:trPr>
          <w:trHeight w:val="317" w:hRule="atLeast"/>
        </w:trPr>
        <w:tc>
          <w:tcPr>
            <w:tcW w:w="682" w:type="dxa"/>
            <w:vAlign w:val="top"/>
          </w:tcPr>
          <w:p>
            <w:pPr>
              <w:ind w:left="259"/>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1894" w:type="dxa"/>
            <w:vAlign w:val="top"/>
          </w:tcPr>
          <w:p>
            <w:pPr>
              <w:pStyle w:val="TableText"/>
              <w:ind w:left="641"/>
              <w:spacing w:before="53" w:line="228" w:lineRule="auto"/>
              <w:rPr/>
            </w:pPr>
            <w:r>
              <w:rPr>
                <w:spacing w:val="5"/>
              </w:rPr>
              <w:t>蒙古兔</w:t>
            </w:r>
          </w:p>
        </w:tc>
        <w:tc>
          <w:tcPr>
            <w:tcW w:w="3030" w:type="dxa"/>
            <w:vAlign w:val="top"/>
          </w:tcPr>
          <w:p>
            <w:pPr>
              <w:ind w:left="760"/>
              <w:spacing w:before="19" w:line="27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5"/>
                <w:position w:val="4"/>
              </w:rPr>
              <w:t>Lepus tolei</w:t>
            </w:r>
            <w:r>
              <w:rPr>
                <w:rFonts w:ascii="Times New Roman" w:hAnsi="Times New Roman" w:eastAsia="Times New Roman" w:cs="Times New Roman"/>
                <w:sz w:val="20"/>
                <w:szCs w:val="20"/>
                <w:i/>
                <w:iCs/>
                <w:spacing w:val="-12"/>
                <w:position w:val="4"/>
              </w:rPr>
              <w:t xml:space="preserve"> </w:t>
            </w:r>
            <w:r>
              <w:rPr>
                <w:rFonts w:ascii="Times New Roman" w:hAnsi="Times New Roman" w:eastAsia="Times New Roman" w:cs="Times New Roman"/>
                <w:sz w:val="20"/>
                <w:szCs w:val="20"/>
                <w:i/>
                <w:iCs/>
                <w:spacing w:val="5"/>
                <w:position w:val="4"/>
              </w:rPr>
              <w:t>pallas</w:t>
            </w:r>
          </w:p>
        </w:tc>
        <w:tc>
          <w:tcPr>
            <w:tcW w:w="2909" w:type="dxa"/>
            <w:vAlign w:val="top"/>
          </w:tcPr>
          <w:p>
            <w:pPr>
              <w:pStyle w:val="TableText"/>
              <w:ind w:left="934"/>
              <w:spacing w:before="53" w:line="228" w:lineRule="auto"/>
              <w:rPr/>
            </w:pPr>
            <w:r>
              <w:rPr>
                <w:spacing w:val="8"/>
              </w:rPr>
              <w:t>沟谷、农田</w:t>
            </w:r>
          </w:p>
        </w:tc>
      </w:tr>
      <w:tr>
        <w:trPr>
          <w:trHeight w:val="316" w:hRule="atLeast"/>
        </w:trPr>
        <w:tc>
          <w:tcPr>
            <w:tcW w:w="682" w:type="dxa"/>
            <w:vAlign w:val="top"/>
          </w:tcPr>
          <w:p>
            <w:pPr>
              <w:ind w:left="25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13</w:t>
            </w:r>
          </w:p>
        </w:tc>
        <w:tc>
          <w:tcPr>
            <w:tcW w:w="1894" w:type="dxa"/>
            <w:vAlign w:val="top"/>
          </w:tcPr>
          <w:p>
            <w:pPr>
              <w:pStyle w:val="TableText"/>
              <w:ind w:left="424"/>
              <w:spacing w:before="55" w:line="228" w:lineRule="auto"/>
              <w:rPr/>
            </w:pPr>
            <w:r>
              <w:rPr>
                <w:spacing w:val="8"/>
              </w:rPr>
              <w:t>达乌尔刺猬</w:t>
            </w:r>
          </w:p>
        </w:tc>
        <w:tc>
          <w:tcPr>
            <w:tcW w:w="3030" w:type="dxa"/>
            <w:vAlign w:val="top"/>
          </w:tcPr>
          <w:p>
            <w:pPr>
              <w:pStyle w:val="TableText"/>
              <w:ind w:left="415"/>
              <w:spacing w:before="21" w:line="277" w:lineRule="exact"/>
              <w:rPr>
                <w:sz w:val="21"/>
                <w:szCs w:val="21"/>
              </w:rPr>
            </w:pPr>
            <w:r>
              <w:rPr>
                <w:rFonts w:ascii="Times New Roman" w:hAnsi="Times New Roman" w:eastAsia="Times New Roman" w:cs="Times New Roman"/>
                <w:i/>
                <w:iCs/>
                <w:position w:val="1"/>
              </w:rPr>
              <w:t>Hdauuricus</w:t>
            </w:r>
            <w:r>
              <w:rPr>
                <w:sz w:val="21"/>
                <w:szCs w:val="21"/>
                <w:i/>
                <w:iCs/>
                <w:spacing w:val="50"/>
                <w:position w:val="1"/>
              </w:rPr>
              <w:t>（</w:t>
            </w:r>
            <w:r>
              <w:rPr>
                <w:rFonts w:ascii="Times New Roman" w:hAnsi="Times New Roman" w:eastAsia="Times New Roman" w:cs="Times New Roman"/>
                <w:i/>
                <w:iCs/>
                <w:position w:val="1"/>
              </w:rPr>
              <w:t>Linnaeus</w:t>
            </w:r>
            <w:r>
              <w:rPr>
                <w:sz w:val="21"/>
                <w:szCs w:val="21"/>
                <w:i/>
                <w:iCs/>
                <w:spacing w:val="50"/>
                <w:position w:val="1"/>
              </w:rPr>
              <w:t>）</w:t>
            </w:r>
          </w:p>
        </w:tc>
        <w:tc>
          <w:tcPr>
            <w:tcW w:w="2909" w:type="dxa"/>
            <w:vAlign w:val="top"/>
          </w:tcPr>
          <w:p>
            <w:pPr>
              <w:pStyle w:val="TableText"/>
              <w:ind w:left="1250"/>
              <w:spacing w:before="55" w:line="228" w:lineRule="auto"/>
              <w:rPr/>
            </w:pPr>
            <w:r>
              <w:rPr>
                <w:spacing w:val="3"/>
              </w:rPr>
              <w:t>草地</w:t>
            </w:r>
          </w:p>
        </w:tc>
      </w:tr>
      <w:tr>
        <w:trPr>
          <w:trHeight w:val="316" w:hRule="atLeast"/>
        </w:trPr>
        <w:tc>
          <w:tcPr>
            <w:tcW w:w="8515" w:type="dxa"/>
            <w:vAlign w:val="top"/>
            <w:gridSpan w:val="4"/>
          </w:tcPr>
          <w:p>
            <w:pPr>
              <w:pStyle w:val="TableText"/>
              <w:ind w:left="3080"/>
              <w:spacing w:before="55" w:line="231" w:lineRule="auto"/>
              <w:rPr>
                <w:rFonts w:ascii="Times New Roman" w:hAnsi="Times New Roman" w:eastAsia="Times New Roman" w:cs="Times New Roman"/>
              </w:rPr>
            </w:pPr>
            <w:r>
              <w:rPr>
                <w:spacing w:val="13"/>
              </w:rPr>
              <w:t>（二）啮齿目</w:t>
            </w:r>
            <w:r>
              <w:rPr>
                <w:spacing w:val="-37"/>
              </w:rPr>
              <w:t xml:space="preserve"> </w:t>
            </w:r>
            <w:r>
              <w:rPr>
                <w:rFonts w:ascii="Times New Roman" w:hAnsi="Times New Roman" w:eastAsia="Times New Roman" w:cs="Times New Roman"/>
              </w:rPr>
              <w:t>RODENTIA</w:t>
            </w:r>
          </w:p>
        </w:tc>
      </w:tr>
      <w:tr>
        <w:trPr>
          <w:trHeight w:val="317" w:hRule="atLeast"/>
        </w:trPr>
        <w:tc>
          <w:tcPr>
            <w:tcW w:w="682" w:type="dxa"/>
            <w:vAlign w:val="top"/>
          </w:tcPr>
          <w:p>
            <w:pPr>
              <w:ind w:left="25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14</w:t>
            </w:r>
          </w:p>
        </w:tc>
        <w:tc>
          <w:tcPr>
            <w:tcW w:w="1894" w:type="dxa"/>
            <w:vAlign w:val="top"/>
          </w:tcPr>
          <w:p>
            <w:pPr>
              <w:pStyle w:val="TableText"/>
              <w:ind w:left="533"/>
              <w:spacing w:before="57" w:line="228" w:lineRule="auto"/>
              <w:rPr/>
            </w:pPr>
            <w:r>
              <w:rPr>
                <w:spacing w:val="6"/>
              </w:rPr>
              <w:t>五趾跳鼠</w:t>
            </w:r>
          </w:p>
        </w:tc>
        <w:tc>
          <w:tcPr>
            <w:tcW w:w="3030" w:type="dxa"/>
            <w:vAlign w:val="top"/>
          </w:tcPr>
          <w:p>
            <w:pPr>
              <w:ind w:left="747"/>
              <w:spacing w:before="22"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4"/>
                <w:position w:val="4"/>
              </w:rPr>
              <w:t>Allactaga sibirica</w:t>
            </w:r>
          </w:p>
        </w:tc>
        <w:tc>
          <w:tcPr>
            <w:tcW w:w="2909" w:type="dxa"/>
            <w:vAlign w:val="top"/>
          </w:tcPr>
          <w:p>
            <w:pPr>
              <w:pStyle w:val="TableText"/>
              <w:ind w:left="1249"/>
              <w:spacing w:before="56" w:line="228" w:lineRule="auto"/>
              <w:rPr/>
            </w:pPr>
            <w:r>
              <w:rPr>
                <w:spacing w:val="4"/>
              </w:rPr>
              <w:t>林地</w:t>
            </w:r>
          </w:p>
        </w:tc>
      </w:tr>
      <w:tr>
        <w:trPr>
          <w:trHeight w:val="317" w:hRule="atLeast"/>
        </w:trPr>
        <w:tc>
          <w:tcPr>
            <w:tcW w:w="682" w:type="dxa"/>
            <w:vAlign w:val="top"/>
          </w:tcPr>
          <w:p>
            <w:pPr>
              <w:ind w:left="25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1894" w:type="dxa"/>
            <w:vAlign w:val="top"/>
          </w:tcPr>
          <w:p>
            <w:pPr>
              <w:pStyle w:val="TableText"/>
              <w:ind w:left="636"/>
              <w:spacing w:before="55" w:line="228" w:lineRule="auto"/>
              <w:rPr/>
            </w:pPr>
            <w:r>
              <w:rPr>
                <w:spacing w:val="6"/>
              </w:rPr>
              <w:t>褐家鼠</w:t>
            </w:r>
          </w:p>
        </w:tc>
        <w:tc>
          <w:tcPr>
            <w:tcW w:w="3030" w:type="dxa"/>
            <w:vAlign w:val="top"/>
          </w:tcPr>
          <w:p>
            <w:pPr>
              <w:ind w:left="752"/>
              <w:spacing w:before="94"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4"/>
              </w:rPr>
              <w:t>Rattus norvegicus</w:t>
            </w:r>
          </w:p>
        </w:tc>
        <w:tc>
          <w:tcPr>
            <w:tcW w:w="2909" w:type="dxa"/>
            <w:vAlign w:val="top"/>
          </w:tcPr>
          <w:p>
            <w:pPr>
              <w:pStyle w:val="TableText"/>
              <w:ind w:left="830"/>
              <w:spacing w:before="55" w:line="228" w:lineRule="auto"/>
              <w:rPr/>
            </w:pPr>
            <w:r>
              <w:rPr>
                <w:spacing w:val="7"/>
              </w:rPr>
              <w:t>居民点、荒地</w:t>
            </w:r>
          </w:p>
        </w:tc>
      </w:tr>
      <w:tr>
        <w:trPr>
          <w:trHeight w:val="317" w:hRule="atLeast"/>
        </w:trPr>
        <w:tc>
          <w:tcPr>
            <w:tcW w:w="682" w:type="dxa"/>
            <w:vAlign w:val="top"/>
          </w:tcPr>
          <w:p>
            <w:pPr>
              <w:ind w:left="25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16</w:t>
            </w:r>
          </w:p>
        </w:tc>
        <w:tc>
          <w:tcPr>
            <w:tcW w:w="1894" w:type="dxa"/>
            <w:vAlign w:val="top"/>
          </w:tcPr>
          <w:p>
            <w:pPr>
              <w:pStyle w:val="TableText"/>
              <w:ind w:left="536"/>
              <w:spacing w:before="56" w:line="228" w:lineRule="auto"/>
              <w:rPr/>
            </w:pPr>
            <w:r>
              <w:rPr>
                <w:spacing w:val="5"/>
              </w:rPr>
              <w:t>黑线仓鼠</w:t>
            </w:r>
          </w:p>
        </w:tc>
        <w:tc>
          <w:tcPr>
            <w:tcW w:w="3030" w:type="dxa"/>
            <w:vAlign w:val="top"/>
          </w:tcPr>
          <w:p>
            <w:pPr>
              <w:ind w:left="600"/>
              <w:spacing w:before="21" w:line="278"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3"/>
                <w:position w:val="2"/>
              </w:rPr>
              <w:t>Cricetulus barabensis</w:t>
            </w:r>
          </w:p>
        </w:tc>
        <w:tc>
          <w:tcPr>
            <w:tcW w:w="2909" w:type="dxa"/>
            <w:vAlign w:val="top"/>
          </w:tcPr>
          <w:p>
            <w:pPr>
              <w:pStyle w:val="TableText"/>
              <w:ind w:left="1251"/>
              <w:spacing w:before="55" w:line="228" w:lineRule="auto"/>
              <w:rPr/>
            </w:pPr>
            <w:r>
              <w:rPr>
                <w:spacing w:val="3"/>
              </w:rPr>
              <w:t>荒地</w:t>
            </w:r>
          </w:p>
        </w:tc>
      </w:tr>
      <w:tr>
        <w:trPr>
          <w:trHeight w:val="321" w:hRule="atLeast"/>
        </w:trPr>
        <w:tc>
          <w:tcPr>
            <w:tcW w:w="682" w:type="dxa"/>
            <w:vAlign w:val="top"/>
          </w:tcPr>
          <w:p>
            <w:pPr>
              <w:ind w:left="25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17</w:t>
            </w:r>
          </w:p>
        </w:tc>
        <w:tc>
          <w:tcPr>
            <w:tcW w:w="1894" w:type="dxa"/>
            <w:vAlign w:val="top"/>
          </w:tcPr>
          <w:p>
            <w:pPr>
              <w:pStyle w:val="TableText"/>
              <w:ind w:left="532"/>
              <w:spacing w:before="55" w:line="228" w:lineRule="auto"/>
              <w:rPr/>
            </w:pPr>
            <w:r>
              <w:rPr>
                <w:spacing w:val="6"/>
              </w:rPr>
              <w:t>草原黄鼠</w:t>
            </w:r>
          </w:p>
        </w:tc>
        <w:tc>
          <w:tcPr>
            <w:tcW w:w="3030" w:type="dxa"/>
            <w:vAlign w:val="top"/>
          </w:tcPr>
          <w:p>
            <w:pPr>
              <w:pStyle w:val="TableText"/>
              <w:ind w:left="305"/>
              <w:spacing w:before="21" w:line="277" w:lineRule="exact"/>
              <w:rPr>
                <w:sz w:val="21"/>
                <w:szCs w:val="21"/>
              </w:rPr>
            </w:pPr>
            <w:r>
              <w:rPr>
                <w:rFonts w:ascii="Times New Roman" w:hAnsi="Times New Roman" w:eastAsia="Times New Roman" w:cs="Times New Roman"/>
                <w:i/>
                <w:iCs/>
                <w:position w:val="1"/>
              </w:rPr>
              <w:t>Citellus</w:t>
            </w:r>
            <w:r>
              <w:rPr>
                <w:rFonts w:ascii="Times New Roman" w:hAnsi="Times New Roman" w:eastAsia="Times New Roman" w:cs="Times New Roman"/>
                <w:i/>
                <w:iCs/>
                <w:spacing w:val="31"/>
                <w:position w:val="1"/>
              </w:rPr>
              <w:t xml:space="preserve"> </w:t>
            </w:r>
            <w:r>
              <w:rPr>
                <w:rFonts w:ascii="Times New Roman" w:hAnsi="Times New Roman" w:eastAsia="Times New Roman" w:cs="Times New Roman"/>
                <w:i/>
                <w:iCs/>
                <w:position w:val="1"/>
              </w:rPr>
              <w:t>dauricus</w:t>
            </w:r>
            <w:r>
              <w:rPr>
                <w:sz w:val="21"/>
                <w:szCs w:val="21"/>
                <w:i/>
                <w:iCs/>
                <w:spacing w:val="31"/>
                <w:position w:val="1"/>
              </w:rPr>
              <w:t>（</w:t>
            </w:r>
            <w:r>
              <w:rPr>
                <w:rFonts w:ascii="Times New Roman" w:hAnsi="Times New Roman" w:eastAsia="Times New Roman" w:cs="Times New Roman"/>
                <w:i/>
                <w:iCs/>
                <w:position w:val="1"/>
              </w:rPr>
              <w:t>Brandt</w:t>
            </w:r>
            <w:r>
              <w:rPr>
                <w:sz w:val="21"/>
                <w:szCs w:val="21"/>
                <w:i/>
                <w:iCs/>
                <w:spacing w:val="31"/>
                <w:position w:val="1"/>
              </w:rPr>
              <w:t>）</w:t>
            </w:r>
          </w:p>
        </w:tc>
        <w:tc>
          <w:tcPr>
            <w:tcW w:w="2909" w:type="dxa"/>
            <w:vAlign w:val="top"/>
          </w:tcPr>
          <w:p>
            <w:pPr>
              <w:pStyle w:val="TableText"/>
              <w:ind w:left="1250"/>
              <w:spacing w:before="55" w:line="228" w:lineRule="auto"/>
              <w:rPr/>
            </w:pPr>
            <w:r>
              <w:rPr>
                <w:spacing w:val="3"/>
              </w:rPr>
              <w:t>草地</w:t>
            </w:r>
          </w:p>
        </w:tc>
      </w:tr>
    </w:tbl>
    <w:p>
      <w:pPr>
        <w:ind w:left="19" w:right="61" w:firstLine="480"/>
        <w:spacing w:before="34" w:line="360" w:lineRule="auto"/>
        <w:jc w:val="both"/>
        <w:rPr>
          <w:rFonts w:ascii="SimSun" w:hAnsi="SimSun" w:eastAsia="SimSun" w:cs="SimSun"/>
          <w:sz w:val="24"/>
          <w:szCs w:val="24"/>
        </w:rPr>
      </w:pPr>
      <w:r>
        <w:rPr>
          <w:rFonts w:ascii="SimSun" w:hAnsi="SimSun" w:eastAsia="SimSun" w:cs="SimSun"/>
          <w:sz w:val="24"/>
          <w:szCs w:val="24"/>
          <w:spacing w:val="-4"/>
        </w:rPr>
        <w:t>经与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2021 </w:t>
      </w:r>
      <w:r>
        <w:rPr>
          <w:rFonts w:ascii="SimSun" w:hAnsi="SimSun" w:eastAsia="SimSun" w:cs="SimSun"/>
          <w:sz w:val="24"/>
          <w:szCs w:val="24"/>
          <w:spacing w:val="-4"/>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17  </w:t>
      </w:r>
      <w:r>
        <w:rPr>
          <w:rFonts w:ascii="SimSun" w:hAnsi="SimSun" w:eastAsia="SimSun" w:cs="SimSun"/>
          <w:sz w:val="24"/>
          <w:szCs w:val="24"/>
          <w:spacing w:val="-4"/>
        </w:rPr>
        <w:t>日内蒙古自治区人民政府办公厅</w:t>
      </w:r>
      <w:r>
        <w:rPr>
          <w:rFonts w:ascii="SimSun" w:hAnsi="SimSun" w:eastAsia="SimSun" w:cs="SimSun"/>
          <w:sz w:val="24"/>
          <w:szCs w:val="24"/>
          <w:spacing w:val="-5"/>
        </w:rPr>
        <w:t>公布的《内蒙古自治区</w:t>
      </w:r>
      <w:r>
        <w:rPr>
          <w:rFonts w:ascii="SimSun" w:hAnsi="SimSun" w:eastAsia="SimSun" w:cs="SimSun"/>
          <w:sz w:val="24"/>
          <w:szCs w:val="24"/>
        </w:rPr>
        <w:t xml:space="preserve"> </w:t>
      </w:r>
      <w:r>
        <w:rPr>
          <w:rFonts w:ascii="SimSun" w:hAnsi="SimSun" w:eastAsia="SimSun" w:cs="SimSun"/>
          <w:sz w:val="24"/>
          <w:szCs w:val="24"/>
          <w:spacing w:val="3"/>
        </w:rPr>
        <w:t>重点保护陆生野生动物名录》对比，项目厂</w:t>
      </w:r>
      <w:r>
        <w:rPr>
          <w:rFonts w:ascii="SimSun" w:hAnsi="SimSun" w:eastAsia="SimSun" w:cs="SimSun"/>
          <w:sz w:val="24"/>
          <w:szCs w:val="24"/>
          <w:spacing w:val="2"/>
        </w:rPr>
        <w:t>址所在涉及的重点保护野生动物为家</w:t>
      </w:r>
      <w:r>
        <w:rPr>
          <w:rFonts w:ascii="SimSun" w:hAnsi="SimSun" w:eastAsia="SimSun" w:cs="SimSun"/>
          <w:sz w:val="24"/>
          <w:szCs w:val="24"/>
        </w:rPr>
        <w:t xml:space="preserve"> </w:t>
      </w:r>
      <w:r>
        <w:rPr>
          <w:rFonts w:ascii="SimSun" w:hAnsi="SimSun" w:eastAsia="SimSun" w:cs="SimSun"/>
          <w:sz w:val="24"/>
          <w:szCs w:val="24"/>
          <w:spacing w:val="3"/>
        </w:rPr>
        <w:t>麻雀。受人员的活动影响，家麻雀主要分布</w:t>
      </w:r>
      <w:r>
        <w:rPr>
          <w:rFonts w:ascii="SimSun" w:hAnsi="SimSun" w:eastAsia="SimSun" w:cs="SimSun"/>
          <w:sz w:val="24"/>
          <w:szCs w:val="24"/>
          <w:spacing w:val="2"/>
        </w:rPr>
        <w:t>在原始生境，未遭到破坏的区域，人</w:t>
      </w:r>
      <w:r>
        <w:rPr>
          <w:rFonts w:ascii="SimSun" w:hAnsi="SimSun" w:eastAsia="SimSun" w:cs="SimSun"/>
          <w:sz w:val="24"/>
          <w:szCs w:val="24"/>
        </w:rPr>
        <w:t xml:space="preserve"> </w:t>
      </w:r>
      <w:r>
        <w:rPr>
          <w:rFonts w:ascii="SimSun" w:hAnsi="SimSun" w:eastAsia="SimSun" w:cs="SimSun"/>
          <w:sz w:val="24"/>
          <w:szCs w:val="24"/>
          <w:spacing w:val="3"/>
        </w:rPr>
        <w:t>为影响严重区未见分布，厂区内存在的野生动物</w:t>
      </w:r>
      <w:r>
        <w:rPr>
          <w:rFonts w:ascii="SimSun" w:hAnsi="SimSun" w:eastAsia="SimSun" w:cs="SimSun"/>
          <w:sz w:val="24"/>
          <w:szCs w:val="24"/>
          <w:spacing w:val="2"/>
        </w:rPr>
        <w:t>早已适应目前工业区的环境，本</w:t>
      </w:r>
      <w:r>
        <w:rPr>
          <w:rFonts w:ascii="SimSun" w:hAnsi="SimSun" w:eastAsia="SimSun" w:cs="SimSun"/>
          <w:sz w:val="24"/>
          <w:szCs w:val="24"/>
        </w:rPr>
        <w:t xml:space="preserve"> </w:t>
      </w:r>
      <w:r>
        <w:rPr>
          <w:rFonts w:ascii="SimSun" w:hAnsi="SimSun" w:eastAsia="SimSun" w:cs="SimSun"/>
          <w:sz w:val="24"/>
          <w:szCs w:val="24"/>
          <w:spacing w:val="-1"/>
        </w:rPr>
        <w:t>项目的建设不会对项目所在区域动物影响不大。</w:t>
      </w:r>
    </w:p>
    <w:p>
      <w:pPr>
        <w:ind w:left="13"/>
        <w:spacing w:before="2" w:line="222" w:lineRule="auto"/>
        <w:outlineLvl w:val="2"/>
        <w:rPr>
          <w:rFonts w:ascii="SimHei" w:hAnsi="SimHei" w:eastAsia="SimHei" w:cs="SimHei"/>
          <w:sz w:val="28"/>
          <w:szCs w:val="28"/>
        </w:rPr>
      </w:pPr>
      <w:bookmarkStart w:name="bookmark86" w:id="107"/>
      <w:bookmarkEnd w:id="107"/>
      <w:r>
        <w:rPr>
          <w:rFonts w:ascii="Times New Roman" w:hAnsi="Times New Roman" w:eastAsia="Times New Roman" w:cs="Times New Roman"/>
          <w:sz w:val="28"/>
          <w:szCs w:val="28"/>
          <w:spacing w:val="-1"/>
        </w:rPr>
        <w:t>4.2.6 </w:t>
      </w:r>
      <w:r>
        <w:rPr>
          <w:rFonts w:ascii="SimHei" w:hAnsi="SimHei" w:eastAsia="SimHei" w:cs="SimHei"/>
          <w:sz w:val="28"/>
          <w:szCs w:val="28"/>
          <w:spacing w:val="-1"/>
        </w:rPr>
        <w:t>地表水环境现状调查</w:t>
      </w:r>
    </w:p>
    <w:p>
      <w:pPr>
        <w:pStyle w:val="BodyText"/>
        <w:spacing w:line="281" w:lineRule="auto"/>
        <w:rPr/>
      </w:pPr>
      <w:r/>
    </w:p>
    <w:p>
      <w:pPr>
        <w:ind w:left="17" w:firstLine="481"/>
        <w:spacing w:before="78" w:line="385" w:lineRule="auto"/>
        <w:jc w:val="both"/>
        <w:rPr>
          <w:rFonts w:ascii="SimSun" w:hAnsi="SimSun" w:eastAsia="SimSun" w:cs="SimSun"/>
          <w:sz w:val="24"/>
          <w:szCs w:val="24"/>
        </w:rPr>
      </w:pPr>
      <w:r>
        <w:rPr>
          <w:rFonts w:ascii="SimSun" w:hAnsi="SimSun" w:eastAsia="SimSun" w:cs="SimSun"/>
          <w:sz w:val="24"/>
          <w:szCs w:val="24"/>
          <w:spacing w:val="3"/>
        </w:rPr>
        <w:t>本项目洗毛废水、车间地面冲洗水、冲厕废水全部进</w:t>
      </w:r>
      <w:r>
        <w:rPr>
          <w:rFonts w:ascii="SimSun" w:hAnsi="SimSun" w:eastAsia="SimSun" w:cs="SimSun"/>
          <w:sz w:val="24"/>
          <w:szCs w:val="24"/>
          <w:spacing w:val="2"/>
        </w:rPr>
        <w:t>入厌氧发酵装置，厌氧</w:t>
      </w:r>
      <w:r>
        <w:rPr>
          <w:rFonts w:ascii="SimSun" w:hAnsi="SimSun" w:eastAsia="SimSun" w:cs="SimSun"/>
          <w:sz w:val="24"/>
          <w:szCs w:val="24"/>
        </w:rPr>
        <w:t xml:space="preserve"> </w:t>
      </w:r>
      <w:r>
        <w:rPr>
          <w:rFonts w:ascii="SimSun" w:hAnsi="SimSun" w:eastAsia="SimSun" w:cs="SimSun"/>
          <w:sz w:val="24"/>
          <w:szCs w:val="24"/>
          <w:spacing w:val="3"/>
        </w:rPr>
        <w:t>发酵达到沼肥标准后还田利用，不外排；东厂区和西</w:t>
      </w:r>
      <w:r>
        <w:rPr>
          <w:rFonts w:ascii="SimSun" w:hAnsi="SimSun" w:eastAsia="SimSun" w:cs="SimSun"/>
          <w:sz w:val="24"/>
          <w:szCs w:val="24"/>
          <w:spacing w:val="2"/>
        </w:rPr>
        <w:t>厂区员工洗浴废水通过独立</w:t>
      </w:r>
      <w:r>
        <w:rPr>
          <w:rFonts w:ascii="SimSun" w:hAnsi="SimSun" w:eastAsia="SimSun" w:cs="SimSun"/>
          <w:sz w:val="24"/>
          <w:szCs w:val="24"/>
        </w:rPr>
        <w:t xml:space="preserve"> </w:t>
      </w:r>
      <w:r>
        <w:rPr>
          <w:rFonts w:ascii="SimSun" w:hAnsi="SimSun" w:eastAsia="SimSun" w:cs="SimSun"/>
          <w:sz w:val="24"/>
          <w:szCs w:val="24"/>
          <w:spacing w:val="3"/>
        </w:rPr>
        <w:t>管道系统外排市政污水管网，进入明安图镇污水</w:t>
      </w:r>
      <w:r>
        <w:rPr>
          <w:rFonts w:ascii="SimSun" w:hAnsi="SimSun" w:eastAsia="SimSun" w:cs="SimSun"/>
          <w:sz w:val="24"/>
          <w:szCs w:val="24"/>
          <w:spacing w:val="2"/>
        </w:rPr>
        <w:t>处理厂。西厂区冲厕水经独立管</w:t>
      </w:r>
      <w:r>
        <w:rPr>
          <w:rFonts w:ascii="SimSun" w:hAnsi="SimSun" w:eastAsia="SimSun" w:cs="SimSun"/>
          <w:sz w:val="24"/>
          <w:szCs w:val="24"/>
        </w:rPr>
        <w:t xml:space="preserve"> </w:t>
      </w:r>
      <w:r>
        <w:rPr>
          <w:rFonts w:ascii="SimSun" w:hAnsi="SimSun" w:eastAsia="SimSun" w:cs="SimSun"/>
          <w:sz w:val="24"/>
          <w:szCs w:val="24"/>
          <w:spacing w:val="-5"/>
        </w:rPr>
        <w:t>道排入化粪池（容积</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5"/>
        </w:rPr>
        <w:t>30m</w:t>
      </w:r>
      <w:r>
        <w:rPr>
          <w:rFonts w:ascii="Times New Roman" w:hAnsi="Times New Roman" w:eastAsia="Times New Roman" w:cs="Times New Roman"/>
          <w:sz w:val="15"/>
          <w:szCs w:val="15"/>
          <w:spacing w:val="-5"/>
          <w:position w:val="8"/>
        </w:rPr>
        <w:t>3</w:t>
      </w:r>
      <w:r>
        <w:rPr>
          <w:rFonts w:ascii="SimSun" w:hAnsi="SimSun" w:eastAsia="SimSun" w:cs="SimSun"/>
          <w:sz w:val="24"/>
          <w:szCs w:val="24"/>
          <w:spacing w:val="-5"/>
        </w:rPr>
        <w:t>）预处理后，输送至西厂区废水收集池与洗毛废水混合，</w:t>
      </w:r>
      <w:r>
        <w:rPr>
          <w:rFonts w:ascii="SimSun" w:hAnsi="SimSun" w:eastAsia="SimSun" w:cs="SimSun"/>
          <w:sz w:val="24"/>
          <w:szCs w:val="24"/>
        </w:rPr>
        <w:t xml:space="preserve"> </w:t>
      </w:r>
      <w:r>
        <w:rPr>
          <w:rFonts w:ascii="SimSun" w:hAnsi="SimSun" w:eastAsia="SimSun" w:cs="SimSun"/>
          <w:sz w:val="24"/>
          <w:szCs w:val="24"/>
          <w:spacing w:val="-2"/>
        </w:rPr>
        <w:t>然后进入</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TS </w:t>
      </w:r>
      <w:r>
        <w:rPr>
          <w:rFonts w:ascii="SimSun" w:hAnsi="SimSun" w:eastAsia="SimSun" w:cs="SimSun"/>
          <w:sz w:val="24"/>
          <w:szCs w:val="24"/>
          <w:spacing w:val="-2"/>
        </w:rPr>
        <w:t>调节池调质后进入厌氧发酵装置。东厂区冲厕水与洗毛废水一起进入</w:t>
      </w:r>
      <w:r>
        <w:rPr>
          <w:rFonts w:ascii="SimSun" w:hAnsi="SimSun" w:eastAsia="SimSun" w:cs="SimSun"/>
          <w:sz w:val="24"/>
          <w:szCs w:val="24"/>
        </w:rPr>
        <w:t xml:space="preserve"> </w:t>
      </w:r>
      <w:r>
        <w:rPr>
          <w:rFonts w:ascii="SimSun" w:hAnsi="SimSun" w:eastAsia="SimSun" w:cs="SimSun"/>
          <w:sz w:val="24"/>
          <w:szCs w:val="24"/>
          <w:spacing w:val="-1"/>
        </w:rPr>
        <w:t>东厂区洗毛废水收集池（</w:t>
      </w:r>
      <w:r>
        <w:rPr>
          <w:rFonts w:ascii="Times New Roman" w:hAnsi="Times New Roman" w:eastAsia="Times New Roman" w:cs="Times New Roman"/>
          <w:sz w:val="24"/>
          <w:szCs w:val="24"/>
          <w:spacing w:val="-1"/>
        </w:rPr>
        <w:t>10m</w:t>
      </w:r>
      <w:r>
        <w:rPr>
          <w:rFonts w:ascii="Times New Roman" w:hAnsi="Times New Roman" w:eastAsia="Times New Roman" w:cs="Times New Roman"/>
          <w:sz w:val="15"/>
          <w:szCs w:val="15"/>
          <w:spacing w:val="-1"/>
          <w:position w:val="8"/>
        </w:rPr>
        <w:t>3 </w:t>
      </w:r>
      <w:r>
        <w:rPr>
          <w:rFonts w:ascii="SimSun" w:hAnsi="SimSun" w:eastAsia="SimSun" w:cs="SimSun"/>
          <w:sz w:val="24"/>
          <w:szCs w:val="24"/>
          <w:spacing w:val="-14"/>
        </w:rPr>
        <w:t>），</w:t>
      </w:r>
      <w:r>
        <w:rPr>
          <w:rFonts w:ascii="SimSun" w:hAnsi="SimSun" w:eastAsia="SimSun" w:cs="SimSun"/>
          <w:sz w:val="24"/>
          <w:szCs w:val="24"/>
          <w:spacing w:val="-1"/>
        </w:rPr>
        <w:t>然后通过管道输送至西厂区废水收集池，</w:t>
      </w:r>
      <w:r>
        <w:rPr>
          <w:rFonts w:ascii="Times New Roman" w:hAnsi="Times New Roman" w:eastAsia="Times New Roman" w:cs="Times New Roman"/>
          <w:sz w:val="24"/>
          <w:szCs w:val="24"/>
          <w:spacing w:val="-1"/>
        </w:rPr>
        <w:t>TS </w:t>
      </w:r>
      <w:r>
        <w:rPr>
          <w:rFonts w:ascii="SimSun" w:hAnsi="SimSun" w:eastAsia="SimSun" w:cs="SimSun"/>
          <w:sz w:val="24"/>
          <w:szCs w:val="24"/>
          <w:spacing w:val="-1"/>
        </w:rPr>
        <w:t>调</w:t>
      </w:r>
      <w:r>
        <w:rPr>
          <w:rFonts w:ascii="SimSun" w:hAnsi="SimSun" w:eastAsia="SimSun" w:cs="SimSun"/>
          <w:sz w:val="24"/>
          <w:szCs w:val="24"/>
        </w:rPr>
        <w:t xml:space="preserve"> </w:t>
      </w:r>
      <w:r>
        <w:rPr>
          <w:rFonts w:ascii="SimSun" w:hAnsi="SimSun" w:eastAsia="SimSun" w:cs="SimSun"/>
          <w:sz w:val="24"/>
          <w:szCs w:val="24"/>
          <w:spacing w:val="3"/>
        </w:rPr>
        <w:t>节池调质后进入厌氧发酵装置。锅炉及纯水装置</w:t>
      </w:r>
      <w:r>
        <w:rPr>
          <w:rFonts w:ascii="SimSun" w:hAnsi="SimSun" w:eastAsia="SimSun" w:cs="SimSun"/>
          <w:sz w:val="24"/>
          <w:szCs w:val="24"/>
          <w:spacing w:val="2"/>
        </w:rPr>
        <w:t>排水通过独立管道系统排入市政</w:t>
      </w:r>
      <w:r>
        <w:rPr>
          <w:rFonts w:ascii="SimSun" w:hAnsi="SimSun" w:eastAsia="SimSun" w:cs="SimSun"/>
          <w:sz w:val="24"/>
          <w:szCs w:val="24"/>
        </w:rPr>
        <w:t xml:space="preserve"> </w:t>
      </w:r>
      <w:r>
        <w:rPr>
          <w:rFonts w:ascii="SimSun" w:hAnsi="SimSun" w:eastAsia="SimSun" w:cs="SimSun"/>
          <w:sz w:val="24"/>
          <w:szCs w:val="24"/>
          <w:spacing w:val="3"/>
        </w:rPr>
        <w:t>污水管网，进入明安图镇污水处理厂，均不直接外排</w:t>
      </w:r>
      <w:r>
        <w:rPr>
          <w:rFonts w:ascii="SimSun" w:hAnsi="SimSun" w:eastAsia="SimSun" w:cs="SimSun"/>
          <w:sz w:val="24"/>
          <w:szCs w:val="24"/>
          <w:spacing w:val="2"/>
        </w:rPr>
        <w:t>。按照《环境影响评价技术</w:t>
      </w:r>
      <w:r>
        <w:rPr>
          <w:rFonts w:ascii="SimSun" w:hAnsi="SimSun" w:eastAsia="SimSun" w:cs="SimSun"/>
          <w:sz w:val="24"/>
          <w:szCs w:val="24"/>
        </w:rPr>
        <w:t xml:space="preserve"> </w:t>
      </w:r>
      <w:r>
        <w:rPr>
          <w:rFonts w:ascii="SimSun" w:hAnsi="SimSun" w:eastAsia="SimSun" w:cs="SimSun"/>
          <w:sz w:val="24"/>
          <w:szCs w:val="24"/>
        </w:rPr>
        <w:t>导则 地表水环境》（</w:t>
      </w:r>
      <w:r>
        <w:rPr>
          <w:rFonts w:ascii="Times New Roman" w:hAnsi="Times New Roman" w:eastAsia="Times New Roman" w:cs="Times New Roman"/>
          <w:sz w:val="24"/>
          <w:szCs w:val="24"/>
        </w:rPr>
        <w:t>HJ 2.3-2018</w:t>
      </w:r>
      <w:r>
        <w:rPr>
          <w:rFonts w:ascii="SimSun" w:hAnsi="SimSun" w:eastAsia="SimSun" w:cs="SimSun"/>
          <w:sz w:val="24"/>
          <w:szCs w:val="24"/>
        </w:rPr>
        <w:t>）表</w:t>
      </w:r>
      <w:r>
        <w:rPr>
          <w:rFonts w:ascii="SimSun" w:hAnsi="SimSun" w:eastAsia="SimSun" w:cs="SimSun"/>
          <w:sz w:val="24"/>
          <w:szCs w:val="24"/>
          <w:spacing w:val="-32"/>
        </w:rPr>
        <w:t xml:space="preserve"> </w:t>
      </w:r>
      <w:r>
        <w:rPr>
          <w:rFonts w:ascii="Times New Roman" w:hAnsi="Times New Roman" w:eastAsia="Times New Roman" w:cs="Times New Roman"/>
          <w:sz w:val="24"/>
          <w:szCs w:val="24"/>
        </w:rPr>
        <w:t>1 </w:t>
      </w:r>
      <w:r>
        <w:rPr>
          <w:rFonts w:ascii="SimSun" w:hAnsi="SimSun" w:eastAsia="SimSun" w:cs="SimSun"/>
          <w:sz w:val="24"/>
          <w:szCs w:val="24"/>
        </w:rPr>
        <w:t>水污染影响建设项</w:t>
      </w:r>
      <w:r>
        <w:rPr>
          <w:rFonts w:ascii="SimSun" w:hAnsi="SimSun" w:eastAsia="SimSun" w:cs="SimSun"/>
          <w:sz w:val="24"/>
          <w:szCs w:val="24"/>
          <w:spacing w:val="-1"/>
        </w:rPr>
        <w:t>目评价等级判定依据，</w:t>
      </w:r>
      <w:r>
        <w:rPr>
          <w:rFonts w:ascii="SimSun" w:hAnsi="SimSun" w:eastAsia="SimSun" w:cs="SimSun"/>
          <w:sz w:val="24"/>
          <w:szCs w:val="24"/>
        </w:rPr>
        <w:t xml:space="preserve"> </w:t>
      </w:r>
      <w:r>
        <w:rPr>
          <w:rFonts w:ascii="SimSun" w:hAnsi="SimSun" w:eastAsia="SimSun" w:cs="SimSun"/>
          <w:sz w:val="24"/>
          <w:szCs w:val="24"/>
        </w:rPr>
        <w:t>本项目地表水环境影响评价等级确定为三级</w:t>
      </w:r>
      <w:r>
        <w:rPr>
          <w:rFonts w:ascii="SimSun" w:hAnsi="SimSun" w:eastAsia="SimSun" w:cs="SimSun"/>
          <w:sz w:val="24"/>
          <w:szCs w:val="24"/>
          <w:spacing w:val="-42"/>
        </w:rPr>
        <w:t xml:space="preserve"> </w:t>
      </w:r>
      <w:r>
        <w:rPr>
          <w:rFonts w:ascii="Times New Roman" w:hAnsi="Times New Roman" w:eastAsia="Times New Roman" w:cs="Times New Roman"/>
          <w:sz w:val="24"/>
          <w:szCs w:val="24"/>
        </w:rPr>
        <w:t>B</w:t>
      </w:r>
      <w:r>
        <w:rPr>
          <w:rFonts w:ascii="Times New Roman" w:hAnsi="Times New Roman" w:eastAsia="Times New Roman" w:cs="Times New Roman"/>
          <w:sz w:val="24"/>
          <w:szCs w:val="24"/>
          <w:spacing w:val="-28"/>
        </w:rPr>
        <w:t xml:space="preserve"> </w:t>
      </w:r>
      <w:r>
        <w:rPr>
          <w:rFonts w:ascii="SimSun" w:hAnsi="SimSun" w:eastAsia="SimSun" w:cs="SimSun"/>
          <w:sz w:val="24"/>
          <w:szCs w:val="24"/>
        </w:rPr>
        <w:t>，只进行简单影响分析。三级</w:t>
      </w:r>
      <w:r>
        <w:rPr>
          <w:rFonts w:ascii="SimSun" w:hAnsi="SimSun" w:eastAsia="SimSun" w:cs="SimSun"/>
          <w:sz w:val="24"/>
          <w:szCs w:val="24"/>
          <w:spacing w:val="-53"/>
        </w:rPr>
        <w:t xml:space="preserve"> </w:t>
      </w:r>
      <w:r>
        <w:rPr>
          <w:rFonts w:ascii="Times New Roman" w:hAnsi="Times New Roman" w:eastAsia="Times New Roman" w:cs="Times New Roman"/>
          <w:sz w:val="24"/>
          <w:szCs w:val="24"/>
        </w:rPr>
        <w:t>B</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rPr>
        <w:t>不 </w:t>
      </w:r>
      <w:r>
        <w:rPr>
          <w:rFonts w:ascii="SimSun" w:hAnsi="SimSun" w:eastAsia="SimSun" w:cs="SimSun"/>
          <w:sz w:val="24"/>
          <w:szCs w:val="24"/>
          <w:spacing w:val="3"/>
        </w:rPr>
        <w:t>设考虑评价时期，主要调查依托污水处理设施日处理</w:t>
      </w:r>
      <w:r>
        <w:rPr>
          <w:rFonts w:ascii="SimSun" w:hAnsi="SimSun" w:eastAsia="SimSun" w:cs="SimSun"/>
          <w:sz w:val="24"/>
          <w:szCs w:val="24"/>
          <w:spacing w:val="2"/>
        </w:rPr>
        <w:t>能力、处理工艺、设计进水</w:t>
      </w:r>
      <w:r>
        <w:rPr>
          <w:rFonts w:ascii="SimSun" w:hAnsi="SimSun" w:eastAsia="SimSun" w:cs="SimSun"/>
          <w:sz w:val="24"/>
          <w:szCs w:val="24"/>
        </w:rPr>
        <w:t xml:space="preserve"> </w:t>
      </w:r>
      <w:r>
        <w:rPr>
          <w:rFonts w:ascii="SimSun" w:hAnsi="SimSun" w:eastAsia="SimSun" w:cs="SimSun"/>
          <w:sz w:val="24"/>
          <w:szCs w:val="24"/>
          <w:spacing w:val="-1"/>
        </w:rPr>
        <w:t>水质、处理后的废水稳定达标排放的情况。</w:t>
      </w:r>
    </w:p>
    <w:p>
      <w:pPr>
        <w:spacing w:line="385" w:lineRule="auto"/>
        <w:sectPr>
          <w:headerReference w:type="default" r:id="rId179"/>
          <w:footerReference w:type="default" r:id="rId180"/>
          <w:pgSz w:w="11906" w:h="16839"/>
          <w:pgMar w:top="1567" w:right="1639" w:bottom="1811" w:left="1692" w:header="1221" w:footer="1128" w:gutter="0"/>
        </w:sectPr>
        <w:rPr>
          <w:rFonts w:ascii="SimSun" w:hAnsi="SimSun" w:eastAsia="SimSun" w:cs="SimSun"/>
          <w:sz w:val="24"/>
          <w:szCs w:val="24"/>
        </w:rPr>
      </w:pPr>
    </w:p>
    <w:p>
      <w:pPr>
        <w:ind w:left="6"/>
        <w:spacing w:before="267" w:line="219" w:lineRule="auto"/>
        <w:outlineLvl w:val="3"/>
        <w:rPr>
          <w:rFonts w:ascii="SimSun" w:hAnsi="SimSun" w:eastAsia="SimSun" w:cs="SimSun"/>
          <w:sz w:val="24"/>
          <w:szCs w:val="24"/>
        </w:rPr>
      </w:pPr>
      <w:r>
        <w:pict>
          <v:shape id="_x0000_s718" style="position:absolute;margin-left:85.05pt;margin-top:79.11pt;mso-position-vertical-relative:page;mso-position-horizontal-relative:page;width:425.25pt;height:0.75pt;z-index:251984896;" o:allowincell="f" fillcolor="#000000" filled="true" stroked="false" coordsize="8505,15" coordorigin="0,0" path="m,l8504,0l8504,14l0,14l0,0xe"/>
        </w:pict>
      </w:r>
      <w:r>
        <w:rPr>
          <w:rFonts w:ascii="Times New Roman" w:hAnsi="Times New Roman" w:eastAsia="Times New Roman" w:cs="Times New Roman"/>
          <w:sz w:val="24"/>
          <w:szCs w:val="24"/>
          <w:b/>
          <w:bCs/>
          <w:spacing w:val="-2"/>
        </w:rPr>
        <w:t>4.2.6.1 </w:t>
      </w:r>
      <w:r>
        <w:rPr>
          <w:rFonts w:ascii="SimSun" w:hAnsi="SimSun" w:eastAsia="SimSun" w:cs="SimSun"/>
          <w:sz w:val="24"/>
          <w:szCs w:val="24"/>
          <w:b/>
          <w:bCs/>
          <w:spacing w:val="-2"/>
        </w:rPr>
        <w:t>正镶白旗明安图镇污水处理厂</w:t>
      </w:r>
    </w:p>
    <w:p>
      <w:pPr>
        <w:ind w:left="9" w:firstLine="484"/>
        <w:spacing w:before="264" w:line="384" w:lineRule="auto"/>
        <w:jc w:val="both"/>
        <w:rPr>
          <w:rFonts w:ascii="SimSun" w:hAnsi="SimSun" w:eastAsia="SimSun" w:cs="SimSun"/>
          <w:sz w:val="24"/>
          <w:szCs w:val="24"/>
        </w:rPr>
      </w:pPr>
      <w:r>
        <w:rPr>
          <w:rFonts w:ascii="SimSun" w:hAnsi="SimSun" w:eastAsia="SimSun" w:cs="SimSun"/>
          <w:sz w:val="24"/>
          <w:szCs w:val="24"/>
          <w:spacing w:val="-3"/>
        </w:rPr>
        <w:t>正镶白旗明安图镇污水处理厂坐落于明安图镇西</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4"/>
        </w:rPr>
        <w:t>5</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4"/>
        </w:rPr>
        <w:t>公里处，</w:t>
      </w:r>
      <w:r>
        <w:rPr>
          <w:rFonts w:ascii="SimSun" w:hAnsi="SimSun" w:eastAsia="SimSun" w:cs="SimSun"/>
          <w:sz w:val="24"/>
          <w:szCs w:val="24"/>
          <w:spacing w:val="-71"/>
        </w:rPr>
        <w:t xml:space="preserve"> </w:t>
      </w:r>
      <w:r>
        <w:rPr>
          <w:rFonts w:ascii="SimSun" w:hAnsi="SimSun" w:eastAsia="SimSun" w:cs="SimSun"/>
          <w:sz w:val="24"/>
          <w:szCs w:val="24"/>
          <w:spacing w:val="-4"/>
        </w:rPr>
        <w:t>占地</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50 </w:t>
      </w:r>
      <w:r>
        <w:rPr>
          <w:rFonts w:ascii="SimSun" w:hAnsi="SimSun" w:eastAsia="SimSun" w:cs="SimSun"/>
          <w:sz w:val="24"/>
          <w:szCs w:val="24"/>
          <w:spacing w:val="-4"/>
        </w:rPr>
        <w:t>亩，污</w:t>
      </w:r>
      <w:r>
        <w:rPr>
          <w:rFonts w:ascii="SimSun" w:hAnsi="SimSun" w:eastAsia="SimSun" w:cs="SimSun"/>
          <w:sz w:val="24"/>
          <w:szCs w:val="24"/>
        </w:rPr>
        <w:t xml:space="preserve"> </w:t>
      </w:r>
      <w:r>
        <w:rPr>
          <w:rFonts w:ascii="SimSun" w:hAnsi="SimSun" w:eastAsia="SimSun" w:cs="SimSun"/>
          <w:sz w:val="24"/>
          <w:szCs w:val="24"/>
          <w:spacing w:val="-2"/>
        </w:rPr>
        <w:t>水处理规模为</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3000m</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24"/>
          <w:szCs w:val="24"/>
          <w:spacing w:val="-2"/>
        </w:rPr>
        <w:t>/d</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，主体处理工艺为“</w:t>
      </w:r>
      <w:r>
        <w:rPr>
          <w:rFonts w:ascii="Times New Roman" w:hAnsi="Times New Roman" w:eastAsia="Times New Roman" w:cs="Times New Roman"/>
          <w:sz w:val="24"/>
          <w:szCs w:val="24"/>
          <w:spacing w:val="-2"/>
        </w:rPr>
        <w:t>A</w:t>
      </w:r>
      <w:r>
        <w:rPr>
          <w:rFonts w:ascii="Times New Roman" w:hAnsi="Times New Roman" w:eastAsia="Times New Roman" w:cs="Times New Roman"/>
          <w:sz w:val="15"/>
          <w:szCs w:val="15"/>
          <w:spacing w:val="-2"/>
          <w:position w:val="8"/>
        </w:rPr>
        <w:t>2</w:t>
      </w:r>
      <w:r>
        <w:rPr>
          <w:rFonts w:ascii="Times New Roman" w:hAnsi="Times New Roman" w:eastAsia="Times New Roman" w:cs="Times New Roman"/>
          <w:sz w:val="24"/>
          <w:szCs w:val="24"/>
          <w:spacing w:val="-2"/>
        </w:rPr>
        <w:t>/O-MBBR </w:t>
      </w:r>
      <w:r>
        <w:rPr>
          <w:rFonts w:ascii="SimSun" w:hAnsi="SimSun" w:eastAsia="SimSun" w:cs="SimSun"/>
          <w:sz w:val="24"/>
          <w:szCs w:val="24"/>
          <w:spacing w:val="-2"/>
        </w:rPr>
        <w:t>生物池</w:t>
      </w:r>
      <w:r>
        <w:rPr>
          <w:rFonts w:ascii="Times New Roman" w:hAnsi="Times New Roman" w:eastAsia="Times New Roman" w:cs="Times New Roman"/>
          <w:sz w:val="24"/>
          <w:szCs w:val="24"/>
          <w:spacing w:val="-2"/>
        </w:rPr>
        <w:t>+</w:t>
      </w:r>
      <w:r>
        <w:rPr>
          <w:rFonts w:ascii="SimSun" w:hAnsi="SimSun" w:eastAsia="SimSun" w:cs="SimSun"/>
          <w:sz w:val="24"/>
          <w:szCs w:val="24"/>
          <w:spacing w:val="-2"/>
        </w:rPr>
        <w:t>超滤</w:t>
      </w:r>
      <w:r>
        <w:rPr>
          <w:rFonts w:ascii="SimSun" w:hAnsi="SimSun" w:eastAsia="SimSun" w:cs="SimSun"/>
          <w:sz w:val="24"/>
          <w:szCs w:val="24"/>
          <w:spacing w:val="-88"/>
        </w:rPr>
        <w:t xml:space="preserve"> </w:t>
      </w:r>
      <w:r>
        <w:rPr>
          <w:rFonts w:ascii="SimSun" w:hAnsi="SimSun" w:eastAsia="SimSun" w:cs="SimSun"/>
          <w:sz w:val="24"/>
          <w:szCs w:val="24"/>
          <w:spacing w:val="-2"/>
        </w:rPr>
        <w:t>”，出水水</w:t>
      </w:r>
      <w:r>
        <w:rPr>
          <w:rFonts w:ascii="SimSun" w:hAnsi="SimSun" w:eastAsia="SimSun" w:cs="SimSun"/>
          <w:sz w:val="24"/>
          <w:szCs w:val="24"/>
        </w:rPr>
        <w:t xml:space="preserve"> </w:t>
      </w:r>
      <w:r>
        <w:rPr>
          <w:rFonts w:ascii="SimSun" w:hAnsi="SimSun" w:eastAsia="SimSun" w:cs="SimSun"/>
          <w:sz w:val="24"/>
          <w:szCs w:val="24"/>
          <w:spacing w:val="-2"/>
        </w:rPr>
        <w:t>质达到《城镇污水处理厂污染物排放标准》</w:t>
      </w:r>
      <w:r>
        <w:rPr>
          <w:rFonts w:ascii="Times New Roman" w:hAnsi="Times New Roman" w:eastAsia="Times New Roman" w:cs="Times New Roman"/>
          <w:sz w:val="24"/>
          <w:szCs w:val="24"/>
          <w:spacing w:val="-2"/>
        </w:rPr>
        <w:t>GB18918-2002 </w:t>
      </w:r>
      <w:r>
        <w:rPr>
          <w:rFonts w:ascii="SimSun" w:hAnsi="SimSun" w:eastAsia="SimSun" w:cs="SimSun"/>
          <w:sz w:val="24"/>
          <w:szCs w:val="24"/>
          <w:spacing w:val="-2"/>
        </w:rPr>
        <w:t>一级</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A </w:t>
      </w:r>
      <w:r>
        <w:rPr>
          <w:rFonts w:ascii="SimSun" w:hAnsi="SimSun" w:eastAsia="SimSun" w:cs="SimSun"/>
          <w:sz w:val="24"/>
          <w:szCs w:val="24"/>
          <w:spacing w:val="-2"/>
        </w:rPr>
        <w:t>标准。夏季主要</w:t>
      </w:r>
      <w:r>
        <w:rPr>
          <w:rFonts w:ascii="SimSun" w:hAnsi="SimSun" w:eastAsia="SimSun" w:cs="SimSun"/>
          <w:sz w:val="24"/>
          <w:szCs w:val="24"/>
        </w:rPr>
        <w:t xml:space="preserve"> </w:t>
      </w:r>
      <w:r>
        <w:rPr>
          <w:rFonts w:ascii="SimSun" w:hAnsi="SimSun" w:eastAsia="SimSun" w:cs="SimSun"/>
          <w:sz w:val="24"/>
          <w:szCs w:val="24"/>
        </w:rPr>
        <w:t>供绿化用水及景观用水，冬季作为中水回用，剩余部分</w:t>
      </w:r>
      <w:r>
        <w:rPr>
          <w:rFonts w:ascii="SimSun" w:hAnsi="SimSun" w:eastAsia="SimSun" w:cs="SimSun"/>
          <w:sz w:val="24"/>
          <w:szCs w:val="24"/>
          <w:spacing w:val="-1"/>
        </w:rPr>
        <w:t>经入河排污口排入河道。</w:t>
      </w:r>
    </w:p>
    <w:p>
      <w:pPr>
        <w:ind w:left="8" w:right="38" w:firstLine="486"/>
        <w:spacing w:before="2" w:line="386" w:lineRule="auto"/>
        <w:jc w:val="both"/>
        <w:rPr>
          <w:rFonts w:ascii="SimSun" w:hAnsi="SimSun" w:eastAsia="SimSun" w:cs="SimSun"/>
          <w:sz w:val="24"/>
          <w:szCs w:val="24"/>
        </w:rPr>
      </w:pPr>
      <w:r>
        <w:rPr>
          <w:rFonts w:ascii="SimSun" w:hAnsi="SimSun" w:eastAsia="SimSun" w:cs="SimSun"/>
          <w:sz w:val="24"/>
          <w:szCs w:val="24"/>
          <w:spacing w:val="-1"/>
        </w:rPr>
        <w:t>正镶白旗明安图镇污水处理厂已取得锡林郭勒盟水利局出具的入河排污口设</w:t>
      </w:r>
      <w:r>
        <w:rPr>
          <w:rFonts w:ascii="SimSun" w:hAnsi="SimSun" w:eastAsia="SimSun" w:cs="SimSun"/>
          <w:sz w:val="24"/>
          <w:szCs w:val="24"/>
          <w:spacing w:val="17"/>
        </w:rPr>
        <w:t xml:space="preserve"> </w:t>
      </w:r>
      <w:r>
        <w:rPr>
          <w:rFonts w:ascii="SimSun" w:hAnsi="SimSun" w:eastAsia="SimSun" w:cs="SimSun"/>
          <w:sz w:val="24"/>
          <w:szCs w:val="24"/>
          <w:spacing w:val="-1"/>
        </w:rPr>
        <w:t>置的函，入河排污口设于污水处理厂西墙</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1"/>
        </w:rPr>
        <w:t>80m </w:t>
      </w:r>
      <w:r>
        <w:rPr>
          <w:rFonts w:ascii="SimSun" w:hAnsi="SimSun" w:eastAsia="SimSun" w:cs="SimSun"/>
          <w:sz w:val="24"/>
          <w:szCs w:val="24"/>
          <w:spacing w:val="-1"/>
        </w:rPr>
        <w:t>处乃曼郭勒的右岸，入河排污口位</w:t>
      </w:r>
      <w:r>
        <w:rPr>
          <w:rFonts w:ascii="SimSun" w:hAnsi="SimSun" w:eastAsia="SimSun" w:cs="SimSun"/>
          <w:sz w:val="24"/>
          <w:szCs w:val="24"/>
        </w:rPr>
        <w:t xml:space="preserve"> </w:t>
      </w:r>
      <w:r>
        <w:rPr>
          <w:rFonts w:ascii="SimSun" w:hAnsi="SimSun" w:eastAsia="SimSun" w:cs="SimSun"/>
          <w:sz w:val="24"/>
          <w:szCs w:val="24"/>
        </w:rPr>
        <w:t>于河道下游，对上游区的明安图镇区居民、企业以及水厂等</w:t>
      </w:r>
      <w:r>
        <w:rPr>
          <w:rFonts w:ascii="SimSun" w:hAnsi="SimSun" w:eastAsia="SimSun" w:cs="SimSun"/>
          <w:sz w:val="24"/>
          <w:szCs w:val="24"/>
          <w:spacing w:val="-1"/>
        </w:rPr>
        <w:t>没有影响，排污口设</w:t>
      </w:r>
      <w:r>
        <w:rPr>
          <w:rFonts w:ascii="SimSun" w:hAnsi="SimSun" w:eastAsia="SimSun" w:cs="SimSun"/>
          <w:sz w:val="24"/>
          <w:szCs w:val="24"/>
        </w:rPr>
        <w:t xml:space="preserve"> </w:t>
      </w:r>
      <w:r>
        <w:rPr>
          <w:rFonts w:ascii="SimSun" w:hAnsi="SimSun" w:eastAsia="SimSun" w:cs="SimSun"/>
          <w:sz w:val="24"/>
          <w:szCs w:val="24"/>
          <w:spacing w:val="-2"/>
        </w:rPr>
        <w:t>置合理。</w:t>
      </w:r>
    </w:p>
    <w:p>
      <w:pPr>
        <w:spacing w:line="386" w:lineRule="auto"/>
        <w:sectPr>
          <w:headerReference w:type="default" r:id="rId161"/>
          <w:footerReference w:type="default" r:id="rId181"/>
          <w:pgSz w:w="11906" w:h="16839"/>
          <w:pgMar w:top="1567" w:right="1700" w:bottom="1482" w:left="1701" w:header="1221" w:footer="1248" w:gutter="0"/>
        </w:sectPr>
        <w:rPr>
          <w:rFonts w:ascii="SimSun" w:hAnsi="SimSun" w:eastAsia="SimSun" w:cs="SimSun"/>
          <w:sz w:val="24"/>
          <w:szCs w:val="24"/>
        </w:rPr>
      </w:pPr>
    </w:p>
    <w:p>
      <w:pPr>
        <w:ind w:left="17"/>
        <w:spacing w:before="185" w:line="227" w:lineRule="auto"/>
        <w:outlineLvl w:val="0"/>
        <w:rPr>
          <w:rFonts w:ascii="SimHei" w:hAnsi="SimHei" w:eastAsia="SimHei" w:cs="SimHei"/>
          <w:sz w:val="35"/>
          <w:szCs w:val="35"/>
        </w:rPr>
      </w:pPr>
      <w:r>
        <w:pict>
          <v:shape id="_x0000_s720" style="position:absolute;margin-left:85.05pt;margin-top:78.87pt;mso-position-vertical-relative:page;mso-position-horizontal-relative:page;width:425.25pt;height:0.75pt;z-index:251986944;" o:allowincell="f" fillcolor="#000000" filled="true" stroked="false" coordsize="8505,15" coordorigin="0,0" path="m,l8504,0l8504,14l0,14l0,0xe"/>
        </w:pict>
      </w:r>
      <w:bookmarkStart w:name="bookmark87" w:id="108"/>
      <w:bookmarkEnd w:id="108"/>
      <w:bookmarkStart w:name="bookmark88" w:id="109"/>
      <w:bookmarkEnd w:id="109"/>
      <w:bookmarkStart w:name="bookmark89" w:id="110"/>
      <w:bookmarkEnd w:id="110"/>
      <w:r>
        <w:rPr>
          <w:rFonts w:ascii="Times New Roman" w:hAnsi="Times New Roman" w:eastAsia="Times New Roman" w:cs="Times New Roman"/>
          <w:sz w:val="35"/>
          <w:szCs w:val="35"/>
          <w:spacing w:val="7"/>
        </w:rPr>
        <w:t>5 </w:t>
      </w:r>
      <w:r>
        <w:rPr>
          <w:rFonts w:ascii="SimHei" w:hAnsi="SimHei" w:eastAsia="SimHei" w:cs="SimHei"/>
          <w:sz w:val="35"/>
          <w:szCs w:val="35"/>
          <w:spacing w:val="7"/>
        </w:rPr>
        <w:t>环境影响预测与评价</w:t>
      </w:r>
    </w:p>
    <w:p>
      <w:pPr>
        <w:ind w:left="15"/>
        <w:spacing w:before="261" w:line="222" w:lineRule="auto"/>
        <w:outlineLvl w:val="1"/>
        <w:rPr>
          <w:rFonts w:ascii="SimHei" w:hAnsi="SimHei" w:eastAsia="SimHei" w:cs="SimHei"/>
          <w:sz w:val="30"/>
          <w:szCs w:val="30"/>
        </w:rPr>
      </w:pPr>
      <w:bookmarkStart w:name="bookmark235" w:id="111"/>
      <w:bookmarkEnd w:id="111"/>
      <w:r>
        <w:rPr>
          <w:rFonts w:ascii="Times New Roman" w:hAnsi="Times New Roman" w:eastAsia="Times New Roman" w:cs="Times New Roman"/>
          <w:sz w:val="30"/>
          <w:szCs w:val="30"/>
          <w:spacing w:val="-2"/>
        </w:rPr>
        <w:t>5.1 </w:t>
      </w:r>
      <w:r>
        <w:rPr>
          <w:rFonts w:ascii="SimHei" w:hAnsi="SimHei" w:eastAsia="SimHei" w:cs="SimHei"/>
          <w:sz w:val="30"/>
          <w:szCs w:val="30"/>
          <w:spacing w:val="-2"/>
        </w:rPr>
        <w:t>大气环境影响分析与评价</w:t>
      </w:r>
    </w:p>
    <w:p>
      <w:pPr>
        <w:pStyle w:val="BodyText"/>
        <w:spacing w:line="256" w:lineRule="auto"/>
        <w:rPr/>
      </w:pPr>
      <w:r/>
    </w:p>
    <w:p>
      <w:pPr>
        <w:ind w:left="14"/>
        <w:spacing w:before="91" w:line="222" w:lineRule="auto"/>
        <w:outlineLvl w:val="2"/>
        <w:rPr>
          <w:rFonts w:ascii="SimHei" w:hAnsi="SimHei" w:eastAsia="SimHei" w:cs="SimHei"/>
          <w:sz w:val="28"/>
          <w:szCs w:val="28"/>
        </w:rPr>
      </w:pPr>
      <w:bookmarkStart w:name="bookmark236" w:id="112"/>
      <w:bookmarkEnd w:id="112"/>
      <w:r>
        <w:rPr>
          <w:rFonts w:ascii="Times New Roman" w:hAnsi="Times New Roman" w:eastAsia="Times New Roman" w:cs="Times New Roman"/>
          <w:sz w:val="28"/>
          <w:szCs w:val="28"/>
          <w:spacing w:val="-3"/>
        </w:rPr>
        <w:t>5.1.1</w:t>
      </w:r>
      <w:r>
        <w:rPr>
          <w:rFonts w:ascii="Times New Roman" w:hAnsi="Times New Roman" w:eastAsia="Times New Roman" w:cs="Times New Roman"/>
          <w:sz w:val="28"/>
          <w:szCs w:val="28"/>
          <w:spacing w:val="25"/>
          <w:w w:val="101"/>
        </w:rPr>
        <w:t xml:space="preserve"> </w:t>
      </w:r>
      <w:r>
        <w:rPr>
          <w:rFonts w:ascii="SimHei" w:hAnsi="SimHei" w:eastAsia="SimHei" w:cs="SimHei"/>
          <w:sz w:val="28"/>
          <w:szCs w:val="28"/>
          <w:spacing w:val="-3"/>
        </w:rPr>
        <w:t>区域污染气象特征</w:t>
      </w:r>
    </w:p>
    <w:p>
      <w:pPr>
        <w:ind w:left="8"/>
        <w:spacing w:before="232"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4"/>
        </w:rPr>
        <w:t>5.1.1.1</w:t>
      </w:r>
      <w:r>
        <w:rPr>
          <w:rFonts w:ascii="Times New Roman" w:hAnsi="Times New Roman" w:eastAsia="Times New Roman" w:cs="Times New Roman"/>
          <w:sz w:val="24"/>
          <w:szCs w:val="24"/>
          <w:b/>
          <w:bCs/>
          <w:spacing w:val="27"/>
        </w:rPr>
        <w:t xml:space="preserve"> </w:t>
      </w:r>
      <w:r>
        <w:rPr>
          <w:rFonts w:ascii="SimSun" w:hAnsi="SimSun" w:eastAsia="SimSun" w:cs="SimSun"/>
          <w:sz w:val="24"/>
          <w:szCs w:val="24"/>
          <w:b/>
          <w:bCs/>
          <w:spacing w:val="-4"/>
        </w:rPr>
        <w:t>资料来源</w:t>
      </w:r>
    </w:p>
    <w:p>
      <w:pPr>
        <w:ind w:left="8" w:firstLine="480"/>
        <w:spacing w:before="182" w:line="360" w:lineRule="auto"/>
        <w:jc w:val="both"/>
        <w:rPr>
          <w:rFonts w:ascii="SimSun" w:hAnsi="SimSun" w:eastAsia="SimSun" w:cs="SimSun"/>
          <w:sz w:val="24"/>
          <w:szCs w:val="24"/>
        </w:rPr>
      </w:pPr>
      <w:r>
        <w:rPr>
          <w:rFonts w:ascii="SimSun" w:hAnsi="SimSun" w:eastAsia="SimSun" w:cs="SimSun"/>
          <w:sz w:val="24"/>
          <w:szCs w:val="24"/>
          <w:spacing w:val="3"/>
        </w:rPr>
        <w:t>地面气象历史资料来源于正镶白旗气象国家一般气象站近三</w:t>
      </w:r>
      <w:r>
        <w:rPr>
          <w:rFonts w:ascii="SimSun" w:hAnsi="SimSun" w:eastAsia="SimSun" w:cs="SimSun"/>
          <w:sz w:val="24"/>
          <w:szCs w:val="24"/>
          <w:spacing w:val="2"/>
        </w:rPr>
        <w:t>十年的地面常规</w:t>
      </w:r>
      <w:r>
        <w:rPr>
          <w:rFonts w:ascii="SimSun" w:hAnsi="SimSun" w:eastAsia="SimSun" w:cs="SimSun"/>
          <w:sz w:val="24"/>
          <w:szCs w:val="24"/>
        </w:rPr>
        <w:t xml:space="preserve"> </w:t>
      </w:r>
      <w:r>
        <w:rPr>
          <w:rFonts w:ascii="SimSun" w:hAnsi="SimSun" w:eastAsia="SimSun" w:cs="SimSun"/>
          <w:sz w:val="24"/>
          <w:szCs w:val="24"/>
          <w:spacing w:val="-1"/>
        </w:rPr>
        <w:t>气象资料。正镶白旗气象局属于国家一般气象站，观测场位置：</w:t>
      </w:r>
      <w:r>
        <w:rPr>
          <w:rFonts w:ascii="SimSun" w:hAnsi="SimSun" w:eastAsia="SimSun" w:cs="SimSun"/>
          <w:sz w:val="24"/>
          <w:szCs w:val="24"/>
          <w:spacing w:val="-2"/>
        </w:rPr>
        <w:t>经度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115°00′</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、纬</w:t>
      </w:r>
      <w:r>
        <w:rPr>
          <w:rFonts w:ascii="SimSun" w:hAnsi="SimSun" w:eastAsia="SimSun" w:cs="SimSun"/>
          <w:sz w:val="24"/>
          <w:szCs w:val="24"/>
        </w:rPr>
        <w:t xml:space="preserve"> </w:t>
      </w:r>
      <w:r>
        <w:rPr>
          <w:rFonts w:ascii="SimSun" w:hAnsi="SimSun" w:eastAsia="SimSun" w:cs="SimSun"/>
          <w:sz w:val="24"/>
          <w:szCs w:val="24"/>
          <w:spacing w:val="-8"/>
        </w:rPr>
        <w:t>度</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8"/>
        </w:rPr>
        <w:t>42°</w:t>
      </w:r>
      <w:r>
        <w:rPr>
          <w:rFonts w:ascii="Times New Roman" w:hAnsi="Times New Roman" w:eastAsia="Times New Roman" w:cs="Times New Roman"/>
          <w:sz w:val="24"/>
          <w:szCs w:val="24"/>
          <w:spacing w:val="-34"/>
        </w:rPr>
        <w:t xml:space="preserve"> </w:t>
      </w:r>
      <w:r>
        <w:rPr>
          <w:rFonts w:ascii="Times New Roman" w:hAnsi="Times New Roman" w:eastAsia="Times New Roman" w:cs="Times New Roman"/>
          <w:sz w:val="24"/>
          <w:szCs w:val="24"/>
          <w:spacing w:val="-8"/>
        </w:rPr>
        <w:t>18′</w:t>
      </w:r>
      <w:r>
        <w:rPr>
          <w:rFonts w:ascii="SimSun" w:hAnsi="SimSun" w:eastAsia="SimSun" w:cs="SimSun"/>
          <w:sz w:val="24"/>
          <w:szCs w:val="24"/>
          <w:spacing w:val="-8"/>
        </w:rPr>
        <w:t>，海拔高度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8"/>
        </w:rPr>
        <w:t>1346.3m</w:t>
      </w:r>
      <w:r>
        <w:rPr>
          <w:rFonts w:ascii="SimSun" w:hAnsi="SimSun" w:eastAsia="SimSun" w:cs="SimSun"/>
          <w:sz w:val="24"/>
          <w:szCs w:val="24"/>
          <w:spacing w:val="-8"/>
        </w:rPr>
        <w:t>，建站时间</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8"/>
        </w:rPr>
        <w:t>1959 </w:t>
      </w:r>
      <w:r>
        <w:rPr>
          <w:rFonts w:ascii="SimSun" w:hAnsi="SimSun" w:eastAsia="SimSun" w:cs="SimSun"/>
          <w:sz w:val="24"/>
          <w:szCs w:val="24"/>
          <w:spacing w:val="-8"/>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8"/>
        </w:rPr>
        <w:t>3</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8"/>
        </w:rPr>
        <w:t>月，现址启用时间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8"/>
        </w:rPr>
        <w:t>197</w:t>
      </w:r>
      <w:r>
        <w:rPr>
          <w:rFonts w:ascii="Times New Roman" w:hAnsi="Times New Roman" w:eastAsia="Times New Roman" w:cs="Times New Roman"/>
          <w:sz w:val="24"/>
          <w:szCs w:val="24"/>
          <w:spacing w:val="-9"/>
        </w:rPr>
        <w:t>0 </w:t>
      </w:r>
      <w:r>
        <w:rPr>
          <w:rFonts w:ascii="SimSun" w:hAnsi="SimSun" w:eastAsia="SimSun" w:cs="SimSun"/>
          <w:sz w:val="24"/>
          <w:szCs w:val="24"/>
          <w:spacing w:val="-9"/>
        </w:rPr>
        <w:t>年</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9"/>
        </w:rPr>
        <w:t>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9"/>
        </w:rPr>
        <w:t>月。</w:t>
      </w:r>
    </w:p>
    <w:p>
      <w:pPr>
        <w:ind w:left="8"/>
        <w:spacing w:before="1"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5.1.1.2 </w:t>
      </w:r>
      <w:r>
        <w:rPr>
          <w:rFonts w:ascii="SimSun" w:hAnsi="SimSun" w:eastAsia="SimSun" w:cs="SimSun"/>
          <w:sz w:val="24"/>
          <w:szCs w:val="24"/>
          <w:b/>
          <w:bCs/>
          <w:spacing w:val="-2"/>
        </w:rPr>
        <w:t>气候特征</w:t>
      </w:r>
    </w:p>
    <w:p>
      <w:pPr>
        <w:ind w:left="8" w:right="80" w:firstLine="485"/>
        <w:spacing w:before="183" w:line="360" w:lineRule="auto"/>
        <w:jc w:val="both"/>
        <w:rPr>
          <w:rFonts w:ascii="SimSun" w:hAnsi="SimSun" w:eastAsia="SimSun" w:cs="SimSun"/>
          <w:sz w:val="24"/>
          <w:szCs w:val="24"/>
        </w:rPr>
      </w:pPr>
      <w:r>
        <w:rPr>
          <w:rFonts w:ascii="SimSun" w:hAnsi="SimSun" w:eastAsia="SimSun" w:cs="SimSun"/>
          <w:sz w:val="24"/>
          <w:szCs w:val="24"/>
          <w:spacing w:val="1"/>
        </w:rPr>
        <w:t>正镶白旗位于蒙古高原的东南边缘，海拔在</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1100 </w:t>
      </w:r>
      <w:r>
        <w:rPr>
          <w:rFonts w:ascii="SimSun" w:hAnsi="SimSun" w:eastAsia="SimSun" w:cs="SimSun"/>
          <w:sz w:val="24"/>
          <w:szCs w:val="24"/>
        </w:rPr>
        <w:t>米到</w:t>
      </w:r>
      <w:r>
        <w:rPr>
          <w:rFonts w:ascii="SimSun" w:hAnsi="SimSun" w:eastAsia="SimSun" w:cs="SimSun"/>
          <w:sz w:val="24"/>
          <w:szCs w:val="24"/>
          <w:spacing w:val="-29"/>
        </w:rPr>
        <w:t xml:space="preserve"> </w:t>
      </w:r>
      <w:r>
        <w:rPr>
          <w:rFonts w:ascii="Times New Roman" w:hAnsi="Times New Roman" w:eastAsia="Times New Roman" w:cs="Times New Roman"/>
          <w:sz w:val="24"/>
          <w:szCs w:val="24"/>
        </w:rPr>
        <w:t>1700 </w:t>
      </w:r>
      <w:r>
        <w:rPr>
          <w:rFonts w:ascii="SimSun" w:hAnsi="SimSun" w:eastAsia="SimSun" w:cs="SimSun"/>
          <w:sz w:val="24"/>
          <w:szCs w:val="24"/>
        </w:rPr>
        <w:t>米之间。地处浑 </w:t>
      </w:r>
      <w:r>
        <w:rPr>
          <w:rFonts w:ascii="SimSun" w:hAnsi="SimSun" w:eastAsia="SimSun" w:cs="SimSun"/>
          <w:sz w:val="24"/>
          <w:szCs w:val="24"/>
        </w:rPr>
        <w:t>善达克沙漠南缘及与其相接的丘陵地区，即北纬</w:t>
      </w:r>
      <w:r>
        <w:rPr>
          <w:rFonts w:ascii="SimSun" w:hAnsi="SimSun" w:eastAsia="SimSun" w:cs="SimSun"/>
          <w:sz w:val="24"/>
          <w:szCs w:val="24"/>
          <w:spacing w:val="-54"/>
        </w:rPr>
        <w:t xml:space="preserve"> </w:t>
      </w:r>
      <w:r>
        <w:rPr>
          <w:rFonts w:ascii="Times New Roman" w:hAnsi="Times New Roman" w:eastAsia="Times New Roman" w:cs="Times New Roman"/>
          <w:sz w:val="24"/>
          <w:szCs w:val="24"/>
        </w:rPr>
        <w:t>42°05′</w:t>
      </w:r>
      <w:r>
        <w:rPr>
          <w:rFonts w:ascii="SimSun" w:hAnsi="SimSun" w:eastAsia="SimSun" w:cs="SimSun"/>
          <w:sz w:val="24"/>
          <w:szCs w:val="24"/>
        </w:rPr>
        <w:t>到</w:t>
      </w:r>
      <w:r>
        <w:rPr>
          <w:rFonts w:ascii="SimSun" w:hAnsi="SimSun" w:eastAsia="SimSun" w:cs="SimSun"/>
          <w:sz w:val="24"/>
          <w:szCs w:val="24"/>
          <w:spacing w:val="-54"/>
        </w:rPr>
        <w:t xml:space="preserve"> </w:t>
      </w:r>
      <w:r>
        <w:rPr>
          <w:rFonts w:ascii="Times New Roman" w:hAnsi="Times New Roman" w:eastAsia="Times New Roman" w:cs="Times New Roman"/>
          <w:sz w:val="24"/>
          <w:szCs w:val="24"/>
        </w:rPr>
        <w:t>43°05′</w:t>
      </w:r>
      <w:r>
        <w:rPr>
          <w:rFonts w:ascii="Times New Roman" w:hAnsi="Times New Roman" w:eastAsia="Times New Roman" w:cs="Times New Roman"/>
          <w:sz w:val="24"/>
          <w:szCs w:val="24"/>
          <w:spacing w:val="-27"/>
        </w:rPr>
        <w:t xml:space="preserve"> </w:t>
      </w:r>
      <w:r>
        <w:rPr>
          <w:rFonts w:ascii="SimSun" w:hAnsi="SimSun" w:eastAsia="SimSun" w:cs="SimSun"/>
          <w:sz w:val="24"/>
          <w:szCs w:val="24"/>
        </w:rPr>
        <w:t>；东经</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
        </w:rPr>
        <w:t>114°05′</w:t>
      </w:r>
      <w:r>
        <w:rPr>
          <w:rFonts w:ascii="SimSun" w:hAnsi="SimSun" w:eastAsia="SimSun" w:cs="SimSun"/>
          <w:sz w:val="24"/>
          <w:szCs w:val="24"/>
          <w:spacing w:val="-1"/>
        </w:rPr>
        <w:t>到</w:t>
      </w:r>
      <w:r>
        <w:rPr>
          <w:rFonts w:ascii="SimSun" w:hAnsi="SimSun" w:eastAsia="SimSun" w:cs="SimSun"/>
          <w:sz w:val="24"/>
          <w:szCs w:val="24"/>
        </w:rPr>
        <w:t xml:space="preserve"> </w:t>
      </w:r>
      <w:r>
        <w:rPr>
          <w:rFonts w:ascii="Times New Roman" w:hAnsi="Times New Roman" w:eastAsia="Times New Roman" w:cs="Times New Roman"/>
          <w:sz w:val="24"/>
          <w:szCs w:val="24"/>
          <w:spacing w:val="1"/>
        </w:rPr>
        <w:t>115°37′</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1"/>
        </w:rPr>
        <w:t>。东邻正蓝旗，南接太仆寺旗，西接化德县、康保</w:t>
      </w:r>
      <w:r>
        <w:rPr>
          <w:rFonts w:ascii="SimSun" w:hAnsi="SimSun" w:eastAsia="SimSun" w:cs="SimSun"/>
          <w:sz w:val="24"/>
          <w:szCs w:val="24"/>
        </w:rPr>
        <w:t>县、镶黄旗，北与东苏 </w:t>
      </w:r>
      <w:r>
        <w:rPr>
          <w:rFonts w:ascii="SimSun" w:hAnsi="SimSun" w:eastAsia="SimSun" w:cs="SimSun"/>
          <w:sz w:val="24"/>
          <w:szCs w:val="24"/>
          <w:spacing w:val="-3"/>
        </w:rPr>
        <w:t>旗交界。南北长</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3"/>
        </w:rPr>
        <w:t>100</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3"/>
        </w:rPr>
        <w:t>多公里，东西宽</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80</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3"/>
        </w:rPr>
        <w:t>多公里。全旗总面积</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6083 </w:t>
      </w:r>
      <w:r>
        <w:rPr>
          <w:rFonts w:ascii="SimSun" w:hAnsi="SimSun" w:eastAsia="SimSun" w:cs="SimSun"/>
          <w:sz w:val="24"/>
          <w:szCs w:val="24"/>
          <w:spacing w:val="-3"/>
        </w:rPr>
        <w:t>平方公里。</w:t>
      </w:r>
    </w:p>
    <w:p>
      <w:pPr>
        <w:ind w:left="10" w:firstLine="483"/>
        <w:spacing w:before="2" w:line="359" w:lineRule="auto"/>
        <w:rPr>
          <w:rFonts w:ascii="SimSun" w:hAnsi="SimSun" w:eastAsia="SimSun" w:cs="SimSun"/>
          <w:sz w:val="24"/>
          <w:szCs w:val="24"/>
        </w:rPr>
      </w:pPr>
      <w:r>
        <w:rPr>
          <w:rFonts w:ascii="SimSun" w:hAnsi="SimSun" w:eastAsia="SimSun" w:cs="SimSun"/>
          <w:sz w:val="24"/>
          <w:szCs w:val="24"/>
          <w:spacing w:val="4"/>
        </w:rPr>
        <w:t>正镶白旗地形南高北低，境内南部为丘陵地区，</w:t>
      </w:r>
      <w:r>
        <w:rPr>
          <w:rFonts w:ascii="SimSun" w:hAnsi="SimSun" w:eastAsia="SimSun" w:cs="SimSun"/>
          <w:sz w:val="24"/>
          <w:szCs w:val="24"/>
          <w:spacing w:val="3"/>
        </w:rPr>
        <w:t>北部是固定和半固定沙丘。</w:t>
      </w:r>
      <w:r>
        <w:rPr>
          <w:rFonts w:ascii="SimSun" w:hAnsi="SimSun" w:eastAsia="SimSun" w:cs="SimSun"/>
          <w:sz w:val="24"/>
          <w:szCs w:val="24"/>
        </w:rPr>
        <w:t xml:space="preserve"> </w:t>
      </w:r>
      <w:r>
        <w:rPr>
          <w:rFonts w:ascii="SimSun" w:hAnsi="SimSun" w:eastAsia="SimSun" w:cs="SimSun"/>
          <w:sz w:val="24"/>
          <w:szCs w:val="24"/>
          <w:spacing w:val="-2"/>
        </w:rPr>
        <w:t>本地没有大面积的自然森林和长年河流，仅有一些季节性时令小河和淖（湖泊）。</w:t>
      </w:r>
    </w:p>
    <w:p>
      <w:pPr>
        <w:ind w:left="8" w:firstLine="485"/>
        <w:spacing w:line="360" w:lineRule="auto"/>
        <w:rPr>
          <w:rFonts w:ascii="SimSun" w:hAnsi="SimSun" w:eastAsia="SimSun" w:cs="SimSun"/>
          <w:sz w:val="24"/>
          <w:szCs w:val="24"/>
        </w:rPr>
      </w:pPr>
      <w:r>
        <w:rPr>
          <w:rFonts w:ascii="SimSun" w:hAnsi="SimSun" w:eastAsia="SimSun" w:cs="SimSun"/>
          <w:sz w:val="24"/>
          <w:szCs w:val="24"/>
          <w:spacing w:val="3"/>
        </w:rPr>
        <w:t>正镶白旗地处温带，属于典型的半干旱大陆性气候。冬季受蒙古高压控制，</w:t>
      </w:r>
      <w:r>
        <w:rPr>
          <w:rFonts w:ascii="SimSun" w:hAnsi="SimSun" w:eastAsia="SimSun" w:cs="SimSun"/>
          <w:sz w:val="24"/>
          <w:szCs w:val="24"/>
          <w:spacing w:val="17"/>
        </w:rPr>
        <w:t xml:space="preserve"> </w:t>
      </w:r>
      <w:r>
        <w:rPr>
          <w:rFonts w:ascii="SimSun" w:hAnsi="SimSun" w:eastAsia="SimSun" w:cs="SimSun"/>
          <w:sz w:val="24"/>
          <w:szCs w:val="24"/>
          <w:spacing w:val="3"/>
        </w:rPr>
        <w:t>夏季东南季风影响较弱。春季干旱风大、气温多变；夏季温热短促、降水集中、</w:t>
      </w:r>
      <w:r>
        <w:rPr>
          <w:rFonts w:ascii="SimSun" w:hAnsi="SimSun" w:eastAsia="SimSun" w:cs="SimSun"/>
          <w:sz w:val="24"/>
          <w:szCs w:val="24"/>
          <w:spacing w:val="14"/>
        </w:rPr>
        <w:t xml:space="preserve"> </w:t>
      </w:r>
      <w:r>
        <w:rPr>
          <w:rFonts w:ascii="SimSun" w:hAnsi="SimSun" w:eastAsia="SimSun" w:cs="SimSun"/>
          <w:sz w:val="24"/>
          <w:szCs w:val="24"/>
          <w:spacing w:val="3"/>
        </w:rPr>
        <w:t>多雷阵雨、旱涝不均；秋高气爽、气温速降、霜雪早</w:t>
      </w:r>
      <w:r>
        <w:rPr>
          <w:rFonts w:ascii="SimSun" w:hAnsi="SimSun" w:eastAsia="SimSun" w:cs="SimSun"/>
          <w:sz w:val="24"/>
          <w:szCs w:val="24"/>
          <w:spacing w:val="2"/>
        </w:rPr>
        <w:t>临；冬季漫长而寒冷、多风</w:t>
      </w:r>
      <w:r>
        <w:rPr>
          <w:rFonts w:ascii="SimSun" w:hAnsi="SimSun" w:eastAsia="SimSun" w:cs="SimSun"/>
          <w:sz w:val="24"/>
          <w:szCs w:val="24"/>
        </w:rPr>
        <w:t xml:space="preserve"> </w:t>
      </w:r>
      <w:r>
        <w:rPr>
          <w:rFonts w:ascii="SimSun" w:hAnsi="SimSun" w:eastAsia="SimSun" w:cs="SimSun"/>
          <w:sz w:val="24"/>
          <w:szCs w:val="24"/>
          <w:spacing w:val="3"/>
        </w:rPr>
        <w:t>雪天气。主要气候特征是：干旱、寒冷、风大、降水</w:t>
      </w:r>
      <w:r>
        <w:rPr>
          <w:rFonts w:ascii="SimSun" w:hAnsi="SimSun" w:eastAsia="SimSun" w:cs="SimSun"/>
          <w:sz w:val="24"/>
          <w:szCs w:val="24"/>
          <w:spacing w:val="2"/>
        </w:rPr>
        <w:t>期集中，降水量偏少，蒸发</w:t>
      </w:r>
      <w:r>
        <w:rPr>
          <w:rFonts w:ascii="SimSun" w:hAnsi="SimSun" w:eastAsia="SimSun" w:cs="SimSun"/>
          <w:sz w:val="24"/>
          <w:szCs w:val="24"/>
        </w:rPr>
        <w:t xml:space="preserve"> </w:t>
      </w:r>
      <w:r>
        <w:rPr>
          <w:rFonts w:ascii="SimSun" w:hAnsi="SimSun" w:eastAsia="SimSun" w:cs="SimSun"/>
          <w:sz w:val="24"/>
          <w:szCs w:val="24"/>
          <w:spacing w:val="2"/>
        </w:rPr>
        <w:t>量大。正镶白旗气候四季不很明显，春秋过渡季节很不稳定。年平均风速</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3.2 </w:t>
      </w:r>
      <w:r>
        <w:rPr>
          <w:rFonts w:ascii="SimSun" w:hAnsi="SimSun" w:eastAsia="SimSun" w:cs="SimSun"/>
          <w:sz w:val="24"/>
          <w:szCs w:val="24"/>
          <w:spacing w:val="1"/>
        </w:rPr>
        <w:t>米</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rPr>
        <w:t xml:space="preserve">  </w:t>
      </w:r>
      <w:r>
        <w:rPr>
          <w:rFonts w:ascii="SimSun" w:hAnsi="SimSun" w:eastAsia="SimSun" w:cs="SimSun"/>
          <w:sz w:val="24"/>
          <w:szCs w:val="24"/>
          <w:spacing w:val="-14"/>
        </w:rPr>
        <w:t>秒，最多风向为</w:t>
      </w:r>
      <w:r>
        <w:rPr>
          <w:rFonts w:ascii="SimSun" w:hAnsi="SimSun" w:eastAsia="SimSun" w:cs="SimSun"/>
          <w:sz w:val="24"/>
          <w:szCs w:val="24"/>
          <w:spacing w:val="-69"/>
        </w:rPr>
        <w:t xml:space="preserve"> </w:t>
      </w:r>
      <w:r>
        <w:rPr>
          <w:rFonts w:ascii="Times New Roman" w:hAnsi="Times New Roman" w:eastAsia="Times New Roman" w:cs="Times New Roman"/>
          <w:sz w:val="24"/>
          <w:szCs w:val="24"/>
          <w:spacing w:val="-14"/>
        </w:rPr>
        <w:t>W </w:t>
      </w:r>
      <w:r>
        <w:rPr>
          <w:rFonts w:ascii="SimSun" w:hAnsi="SimSun" w:eastAsia="SimSun" w:cs="SimSun"/>
          <w:sz w:val="24"/>
          <w:szCs w:val="24"/>
          <w:spacing w:val="-14"/>
        </w:rPr>
        <w:t>风，风向频率为</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4"/>
        </w:rPr>
        <w:t>12.8%</w:t>
      </w:r>
      <w:r>
        <w:rPr>
          <w:rFonts w:ascii="SimSun" w:hAnsi="SimSun" w:eastAsia="SimSun" w:cs="SimSun"/>
          <w:sz w:val="24"/>
          <w:szCs w:val="24"/>
          <w:spacing w:val="-14"/>
        </w:rPr>
        <w:t>，次多风向为</w:t>
      </w:r>
      <w:r>
        <w:rPr>
          <w:rFonts w:ascii="SimSun" w:hAnsi="SimSun" w:eastAsia="SimSun" w:cs="SimSun"/>
          <w:sz w:val="24"/>
          <w:szCs w:val="24"/>
          <w:spacing w:val="-69"/>
        </w:rPr>
        <w:t xml:space="preserve"> </w:t>
      </w:r>
      <w:r>
        <w:rPr>
          <w:rFonts w:ascii="Times New Roman" w:hAnsi="Times New Roman" w:eastAsia="Times New Roman" w:cs="Times New Roman"/>
          <w:sz w:val="24"/>
          <w:szCs w:val="24"/>
          <w:spacing w:val="-14"/>
        </w:rPr>
        <w:t>WNW </w:t>
      </w:r>
      <w:r>
        <w:rPr>
          <w:rFonts w:ascii="SimSun" w:hAnsi="SimSun" w:eastAsia="SimSun" w:cs="SimSun"/>
          <w:sz w:val="24"/>
          <w:szCs w:val="24"/>
          <w:spacing w:val="-14"/>
        </w:rPr>
        <w:t>风，风向频率为</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14"/>
        </w:rPr>
        <w:t>10.7</w:t>
      </w:r>
      <w:r>
        <w:rPr>
          <w:rFonts w:ascii="Times New Roman" w:hAnsi="Times New Roman" w:eastAsia="Times New Roman" w:cs="Times New Roman"/>
          <w:sz w:val="24"/>
          <w:szCs w:val="24"/>
          <w:spacing w:val="-15"/>
        </w:rPr>
        <w:t>%</w:t>
      </w:r>
      <w:r>
        <w:rPr>
          <w:rFonts w:ascii="SimSun" w:hAnsi="SimSun" w:eastAsia="SimSun" w:cs="SimSun"/>
          <w:sz w:val="24"/>
          <w:szCs w:val="24"/>
          <w:spacing w:val="-15"/>
        </w:rPr>
        <w:t>。</w:t>
      </w:r>
      <w:r>
        <w:rPr>
          <w:rFonts w:ascii="SimSun" w:hAnsi="SimSun" w:eastAsia="SimSun" w:cs="SimSun"/>
          <w:sz w:val="24"/>
          <w:szCs w:val="24"/>
        </w:rPr>
        <w:t xml:space="preserve"> </w:t>
      </w:r>
      <w:r>
        <w:rPr>
          <w:rFonts w:ascii="SimSun" w:hAnsi="SimSun" w:eastAsia="SimSun" w:cs="SimSun"/>
          <w:sz w:val="24"/>
          <w:szCs w:val="24"/>
          <w:spacing w:val="-3"/>
        </w:rPr>
        <w:t>全年无霜期为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96</w:t>
      </w:r>
      <w:r>
        <w:rPr>
          <w:rFonts w:ascii="SimSun" w:hAnsi="SimSun" w:eastAsia="SimSun" w:cs="SimSun"/>
          <w:sz w:val="24"/>
          <w:szCs w:val="24"/>
          <w:spacing w:val="-3"/>
        </w:rPr>
        <w:t>～</w:t>
      </w:r>
      <w:r>
        <w:rPr>
          <w:rFonts w:ascii="Times New Roman" w:hAnsi="Times New Roman" w:eastAsia="Times New Roman" w:cs="Times New Roman"/>
          <w:sz w:val="24"/>
          <w:szCs w:val="24"/>
          <w:spacing w:val="-3"/>
        </w:rPr>
        <w:t>165</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3"/>
        </w:rPr>
        <w:t>天。平均年降水量</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351.2mm</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，降水主要集中在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w:t>
      </w:r>
      <w:r>
        <w:rPr>
          <w:rFonts w:ascii="SimSun" w:hAnsi="SimSun" w:eastAsia="SimSun" w:cs="SimSun"/>
          <w:sz w:val="24"/>
          <w:szCs w:val="24"/>
          <w:spacing w:val="-3"/>
        </w:rPr>
        <w:t>～</w:t>
      </w:r>
      <w:r>
        <w:rPr>
          <w:rFonts w:ascii="Times New Roman" w:hAnsi="Times New Roman" w:eastAsia="Times New Roman" w:cs="Times New Roman"/>
          <w:sz w:val="24"/>
          <w:szCs w:val="24"/>
          <w:spacing w:val="-3"/>
        </w:rPr>
        <w:t>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月，占</w:t>
      </w:r>
      <w:r>
        <w:rPr>
          <w:rFonts w:ascii="SimSun" w:hAnsi="SimSun" w:eastAsia="SimSun" w:cs="SimSun"/>
          <w:sz w:val="24"/>
          <w:szCs w:val="24"/>
        </w:rPr>
        <w:t xml:space="preserve"> </w:t>
      </w:r>
      <w:r>
        <w:rPr>
          <w:rFonts w:ascii="SimSun" w:hAnsi="SimSun" w:eastAsia="SimSun" w:cs="SimSun"/>
          <w:sz w:val="24"/>
          <w:szCs w:val="24"/>
          <w:spacing w:val="-4"/>
        </w:rPr>
        <w:t>年降水量的</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4"/>
        </w:rPr>
        <w:t>74%</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4"/>
        </w:rPr>
        <w:t>。最大日降水量</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4"/>
        </w:rPr>
        <w:t>110.0mm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4"/>
        </w:rPr>
        <w:t>，出现在</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4"/>
        </w:rPr>
        <w:t>1974 </w:t>
      </w:r>
      <w:r>
        <w:rPr>
          <w:rFonts w:ascii="SimSun" w:hAnsi="SimSun" w:eastAsia="SimSun" w:cs="SimSun"/>
          <w:sz w:val="24"/>
          <w:szCs w:val="24"/>
          <w:spacing w:val="-4"/>
        </w:rPr>
        <w:t>年</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4"/>
        </w:rPr>
        <w:t>7</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4"/>
        </w:rPr>
        <w:t>月</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4"/>
        </w:rPr>
        <w:t>29  </w:t>
      </w:r>
      <w:r>
        <w:rPr>
          <w:rFonts w:ascii="SimSun" w:hAnsi="SimSun" w:eastAsia="SimSun" w:cs="SimSun"/>
          <w:sz w:val="24"/>
          <w:szCs w:val="24"/>
          <w:spacing w:val="-4"/>
        </w:rPr>
        <w:t>日。年平均气</w:t>
      </w:r>
      <w:r>
        <w:rPr>
          <w:rFonts w:ascii="SimSun" w:hAnsi="SimSun" w:eastAsia="SimSun" w:cs="SimSun"/>
          <w:sz w:val="24"/>
          <w:szCs w:val="24"/>
        </w:rPr>
        <w:t xml:space="preserve"> </w:t>
      </w:r>
      <w:r>
        <w:rPr>
          <w:rFonts w:ascii="SimSun" w:hAnsi="SimSun" w:eastAsia="SimSun" w:cs="SimSun"/>
          <w:sz w:val="24"/>
          <w:szCs w:val="24"/>
          <w:spacing w:val="-11"/>
        </w:rPr>
        <w:t>温</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1"/>
        </w:rPr>
        <w:t>2.8℃</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1"/>
        </w:rPr>
        <w:t>,</w:t>
      </w:r>
      <w:r>
        <w:rPr>
          <w:rFonts w:ascii="SimSun" w:hAnsi="SimSun" w:eastAsia="SimSun" w:cs="SimSun"/>
          <w:sz w:val="24"/>
          <w:szCs w:val="24"/>
          <w:spacing w:val="-54"/>
        </w:rPr>
        <w:t xml:space="preserve"> </w:t>
      </w:r>
      <w:r>
        <w:rPr>
          <w:rFonts w:ascii="SimSun" w:hAnsi="SimSun" w:eastAsia="SimSun" w:cs="SimSun"/>
          <w:sz w:val="24"/>
          <w:szCs w:val="24"/>
          <w:spacing w:val="-11"/>
        </w:rPr>
        <w:t>极端最高气温为</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1"/>
        </w:rPr>
        <w:t>36.3℃</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1"/>
        </w:rPr>
        <w:t>,</w:t>
      </w:r>
      <w:r>
        <w:rPr>
          <w:rFonts w:ascii="SimSun" w:hAnsi="SimSun" w:eastAsia="SimSun" w:cs="SimSun"/>
          <w:sz w:val="24"/>
          <w:szCs w:val="24"/>
          <w:spacing w:val="-36"/>
        </w:rPr>
        <w:t xml:space="preserve"> </w:t>
      </w:r>
      <w:r>
        <w:rPr>
          <w:rFonts w:ascii="SimSun" w:hAnsi="SimSun" w:eastAsia="SimSun" w:cs="SimSun"/>
          <w:sz w:val="24"/>
          <w:szCs w:val="24"/>
          <w:spacing w:val="-11"/>
        </w:rPr>
        <w:t>出现在</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11"/>
        </w:rPr>
        <w:t>2010 </w:t>
      </w:r>
      <w:r>
        <w:rPr>
          <w:rFonts w:ascii="SimSun" w:hAnsi="SimSun" w:eastAsia="SimSun" w:cs="SimSun"/>
          <w:sz w:val="24"/>
          <w:szCs w:val="24"/>
          <w:spacing w:val="-11"/>
        </w:rPr>
        <w:t>年</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1"/>
        </w:rPr>
        <w:t>7 </w:t>
      </w:r>
      <w:r>
        <w:rPr>
          <w:rFonts w:ascii="SimSun" w:hAnsi="SimSun" w:eastAsia="SimSun" w:cs="SimSun"/>
          <w:sz w:val="24"/>
          <w:szCs w:val="24"/>
          <w:spacing w:val="-11"/>
        </w:rPr>
        <w:t>月</w:t>
      </w:r>
      <w:r>
        <w:rPr>
          <w:rFonts w:ascii="SimSun" w:hAnsi="SimSun" w:eastAsia="SimSun" w:cs="SimSun"/>
          <w:sz w:val="24"/>
          <w:szCs w:val="24"/>
          <w:spacing w:val="-62"/>
        </w:rPr>
        <w:t xml:space="preserve"> </w:t>
      </w:r>
      <w:r>
        <w:rPr>
          <w:rFonts w:ascii="Times New Roman" w:hAnsi="Times New Roman" w:eastAsia="Times New Roman" w:cs="Times New Roman"/>
          <w:sz w:val="24"/>
          <w:szCs w:val="24"/>
          <w:spacing w:val="-11"/>
        </w:rPr>
        <w:t>29  </w:t>
      </w:r>
      <w:r>
        <w:rPr>
          <w:rFonts w:ascii="SimSun" w:hAnsi="SimSun" w:eastAsia="SimSun" w:cs="SimSun"/>
          <w:sz w:val="24"/>
          <w:szCs w:val="24"/>
          <w:spacing w:val="-11"/>
        </w:rPr>
        <w:t>日。极端最低气温</w:t>
      </w:r>
      <w:r>
        <w:rPr>
          <w:rFonts w:ascii="Times New Roman" w:hAnsi="Times New Roman" w:eastAsia="Times New Roman" w:cs="Times New Roman"/>
          <w:sz w:val="24"/>
          <w:szCs w:val="24"/>
          <w:spacing w:val="-11"/>
        </w:rPr>
        <w:t>-36.8℃</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1"/>
        </w:rPr>
        <w:t>,</w:t>
      </w:r>
      <w:r>
        <w:rPr>
          <w:rFonts w:ascii="SimSun" w:hAnsi="SimSun" w:eastAsia="SimSun" w:cs="SimSun"/>
          <w:sz w:val="24"/>
          <w:szCs w:val="24"/>
        </w:rPr>
        <w:t xml:space="preserve">  </w:t>
      </w:r>
      <w:r>
        <w:rPr>
          <w:rFonts w:ascii="SimSun" w:hAnsi="SimSun" w:eastAsia="SimSun" w:cs="SimSun"/>
          <w:sz w:val="24"/>
          <w:szCs w:val="24"/>
          <w:spacing w:val="-4"/>
        </w:rPr>
        <w:t>出现在</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4"/>
        </w:rPr>
        <w:t>2010 </w:t>
      </w:r>
      <w:r>
        <w:rPr>
          <w:rFonts w:ascii="SimSun" w:hAnsi="SimSun" w:eastAsia="SimSun" w:cs="SimSun"/>
          <w:sz w:val="24"/>
          <w:szCs w:val="24"/>
          <w:spacing w:val="-4"/>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月</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5  </w:t>
      </w:r>
      <w:r>
        <w:rPr>
          <w:rFonts w:ascii="SimSun" w:hAnsi="SimSun" w:eastAsia="SimSun" w:cs="SimSun"/>
          <w:sz w:val="24"/>
          <w:szCs w:val="24"/>
          <w:spacing w:val="-4"/>
        </w:rPr>
        <w:t>日。年平均日照时数</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3036.8</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小时。本地区主要气象灾害有：</w:t>
      </w:r>
      <w:r>
        <w:rPr>
          <w:rFonts w:ascii="SimSun" w:hAnsi="SimSun" w:eastAsia="SimSun" w:cs="SimSun"/>
          <w:sz w:val="24"/>
          <w:szCs w:val="24"/>
        </w:rPr>
        <w:t xml:space="preserve"> </w:t>
      </w:r>
      <w:r>
        <w:rPr>
          <w:rFonts w:ascii="SimSun" w:hAnsi="SimSun" w:eastAsia="SimSun" w:cs="SimSun"/>
          <w:sz w:val="24"/>
          <w:szCs w:val="24"/>
          <w:spacing w:val="-1"/>
        </w:rPr>
        <w:t>干旱、雷电、冰雹、暴雨洪涝、寒潮、沙尘、白灾（雪灾）。</w:t>
      </w:r>
    </w:p>
    <w:p>
      <w:pPr>
        <w:ind w:left="8"/>
        <w:spacing w:before="1"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5.1.1.3 </w:t>
      </w:r>
      <w:r>
        <w:rPr>
          <w:rFonts w:ascii="SimSun" w:hAnsi="SimSun" w:eastAsia="SimSun" w:cs="SimSun"/>
          <w:sz w:val="24"/>
          <w:szCs w:val="24"/>
          <w:b/>
          <w:bCs/>
          <w:spacing w:val="-2"/>
        </w:rPr>
        <w:t>地面气象要素</w:t>
      </w:r>
    </w:p>
    <w:p>
      <w:pPr>
        <w:ind w:left="494"/>
        <w:spacing w:before="183" w:line="219" w:lineRule="auto"/>
        <w:rPr>
          <w:rFonts w:ascii="SimSun" w:hAnsi="SimSun" w:eastAsia="SimSun" w:cs="SimSun"/>
          <w:sz w:val="24"/>
          <w:szCs w:val="24"/>
        </w:rPr>
      </w:pPr>
      <w:r>
        <w:rPr>
          <w:rFonts w:ascii="SimSun" w:hAnsi="SimSun" w:eastAsia="SimSun" w:cs="SimSun"/>
          <w:sz w:val="24"/>
          <w:szCs w:val="24"/>
          <w:spacing w:val="5"/>
        </w:rPr>
        <w:t>正镶白旗年平均气温为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5"/>
        </w:rPr>
        <w:t>2.8℃</w:t>
      </w:r>
      <w:r>
        <w:rPr>
          <w:rFonts w:ascii="SimSun" w:hAnsi="SimSun" w:eastAsia="SimSun" w:cs="SimSun"/>
          <w:sz w:val="24"/>
          <w:szCs w:val="24"/>
          <w:spacing w:val="5"/>
        </w:rPr>
        <w:t>；年平均气压为</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5"/>
        </w:rPr>
        <w:t>864.</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rPr>
        <w:t>hPa</w:t>
      </w:r>
      <w:r>
        <w:rPr>
          <w:rFonts w:ascii="SimSun" w:hAnsi="SimSun" w:eastAsia="SimSun" w:cs="SimSun"/>
          <w:sz w:val="24"/>
          <w:szCs w:val="24"/>
          <w:spacing w:val="4"/>
        </w:rPr>
        <w:t>；年平均相对湿度为</w:t>
      </w:r>
    </w:p>
    <w:p>
      <w:pPr>
        <w:spacing w:line="219" w:lineRule="auto"/>
        <w:sectPr>
          <w:headerReference w:type="default" r:id="rId157"/>
          <w:footerReference w:type="default" r:id="rId182"/>
          <w:pgSz w:w="11906" w:h="16839"/>
          <w:pgMar w:top="1567" w:right="1620" w:bottom="1811" w:left="1701" w:header="1221" w:footer="1128" w:gutter="0"/>
        </w:sectPr>
        <w:rPr>
          <w:rFonts w:ascii="SimSun" w:hAnsi="SimSun" w:eastAsia="SimSun" w:cs="SimSun"/>
          <w:sz w:val="24"/>
          <w:szCs w:val="24"/>
        </w:rPr>
      </w:pPr>
    </w:p>
    <w:p>
      <w:pPr>
        <w:ind w:left="17" w:right="7" w:firstLine="3"/>
        <w:spacing w:before="265" w:line="348" w:lineRule="auto"/>
        <w:jc w:val="both"/>
        <w:rPr>
          <w:rFonts w:ascii="SimSun" w:hAnsi="SimSun" w:eastAsia="SimSun" w:cs="SimSun"/>
          <w:sz w:val="24"/>
          <w:szCs w:val="24"/>
        </w:rPr>
      </w:pPr>
      <w:r>
        <w:pict>
          <v:shape id="_x0000_s722" style="position:absolute;margin-left:85.05pt;margin-top:79.11pt;mso-position-vertical-relative:page;mso-position-horizontal-relative:page;width:425.25pt;height:0.75pt;z-index:251988992;" o:allowincell="f" fillcolor="#000000" filled="true" stroked="false" coordsize="8505,15" coordorigin="0,0" path="m,l8504,0l8504,14l0,14l0,0xe"/>
        </w:pict>
      </w:r>
      <w:r>
        <w:rPr>
          <w:rFonts w:ascii="Times New Roman" w:hAnsi="Times New Roman" w:eastAsia="Times New Roman" w:cs="Times New Roman"/>
          <w:sz w:val="24"/>
          <w:szCs w:val="24"/>
          <w:spacing w:val="-3"/>
        </w:rPr>
        <w:t>59%</w:t>
      </w:r>
      <w:r>
        <w:rPr>
          <w:rFonts w:ascii="SimSun" w:hAnsi="SimSun" w:eastAsia="SimSun" w:cs="SimSun"/>
          <w:sz w:val="24"/>
          <w:szCs w:val="24"/>
          <w:spacing w:val="-3"/>
        </w:rPr>
        <w:t>；年降水量为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351.2mm</w:t>
      </w:r>
      <w:r>
        <w:rPr>
          <w:rFonts w:ascii="SimSun" w:hAnsi="SimSun" w:eastAsia="SimSun" w:cs="SimSun"/>
          <w:sz w:val="24"/>
          <w:szCs w:val="24"/>
          <w:spacing w:val="-3"/>
        </w:rPr>
        <w:t>；年蒸发量为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1829.4mm</w:t>
      </w:r>
      <w:r>
        <w:rPr>
          <w:rFonts w:ascii="SimSun" w:hAnsi="SimSun" w:eastAsia="SimSun" w:cs="SimSun"/>
          <w:sz w:val="24"/>
          <w:szCs w:val="24"/>
          <w:spacing w:val="-3"/>
        </w:rPr>
        <w:t>；年日照时数</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3036.8</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小时</w:t>
      </w:r>
      <w:r>
        <w:rPr>
          <w:rFonts w:ascii="SimSun" w:hAnsi="SimSun" w:eastAsia="SimSun" w:cs="SimSun"/>
          <w:sz w:val="24"/>
          <w:szCs w:val="24"/>
          <w:spacing w:val="-4"/>
        </w:rPr>
        <w:t>；年</w:t>
      </w:r>
      <w:r>
        <w:rPr>
          <w:rFonts w:ascii="SimSun" w:hAnsi="SimSun" w:eastAsia="SimSun" w:cs="SimSun"/>
          <w:sz w:val="24"/>
          <w:szCs w:val="24"/>
        </w:rPr>
        <w:t xml:space="preserve"> </w:t>
      </w:r>
      <w:r>
        <w:rPr>
          <w:rFonts w:ascii="SimSun" w:hAnsi="SimSun" w:eastAsia="SimSun" w:cs="SimSun"/>
          <w:sz w:val="24"/>
          <w:szCs w:val="24"/>
        </w:rPr>
        <w:t>平均风速为</w:t>
      </w:r>
      <w:r>
        <w:rPr>
          <w:rFonts w:ascii="SimSun" w:hAnsi="SimSun" w:eastAsia="SimSun" w:cs="SimSun"/>
          <w:sz w:val="24"/>
          <w:szCs w:val="24"/>
          <w:spacing w:val="-33"/>
        </w:rPr>
        <w:t xml:space="preserve"> </w:t>
      </w:r>
      <w:r>
        <w:rPr>
          <w:rFonts w:ascii="Times New Roman" w:hAnsi="Times New Roman" w:eastAsia="Times New Roman" w:cs="Times New Roman"/>
          <w:sz w:val="24"/>
          <w:szCs w:val="24"/>
        </w:rPr>
        <w:t>3.2m/s</w:t>
      </w:r>
      <w:r>
        <w:rPr>
          <w:rFonts w:ascii="Times New Roman" w:hAnsi="Times New Roman" w:eastAsia="Times New Roman" w:cs="Times New Roman"/>
          <w:sz w:val="24"/>
          <w:szCs w:val="24"/>
          <w:spacing w:val="-30"/>
        </w:rPr>
        <w:t xml:space="preserve"> </w:t>
      </w:r>
      <w:r>
        <w:rPr>
          <w:rFonts w:ascii="SimSun" w:hAnsi="SimSun" w:eastAsia="SimSun" w:cs="SimSun"/>
          <w:sz w:val="24"/>
          <w:szCs w:val="24"/>
        </w:rPr>
        <w:t>，年最大风速为</w:t>
      </w:r>
      <w:r>
        <w:rPr>
          <w:rFonts w:ascii="SimSun" w:hAnsi="SimSun" w:eastAsia="SimSun" w:cs="SimSun"/>
          <w:sz w:val="24"/>
          <w:szCs w:val="24"/>
          <w:spacing w:val="-53"/>
        </w:rPr>
        <w:t xml:space="preserve"> </w:t>
      </w:r>
      <w:r>
        <w:rPr>
          <w:rFonts w:ascii="Times New Roman" w:hAnsi="Times New Roman" w:eastAsia="Times New Roman" w:cs="Times New Roman"/>
          <w:sz w:val="24"/>
          <w:szCs w:val="24"/>
        </w:rPr>
        <w:t>25.0m/s</w:t>
      </w:r>
      <w:r>
        <w:rPr>
          <w:rFonts w:ascii="Times New Roman" w:hAnsi="Times New Roman" w:eastAsia="Times New Roman" w:cs="Times New Roman"/>
          <w:sz w:val="24"/>
          <w:szCs w:val="24"/>
          <w:spacing w:val="-31"/>
        </w:rPr>
        <w:t xml:space="preserve"> </w:t>
      </w:r>
      <w:r>
        <w:rPr>
          <w:rFonts w:ascii="SimSun" w:hAnsi="SimSun" w:eastAsia="SimSun" w:cs="SimSun"/>
          <w:sz w:val="24"/>
          <w:szCs w:val="24"/>
        </w:rPr>
        <w:t>，最大风速对应风向为</w:t>
      </w:r>
      <w:r>
        <w:rPr>
          <w:rFonts w:ascii="Times New Roman" w:hAnsi="Times New Roman" w:eastAsia="Times New Roman" w:cs="Times New Roman"/>
          <w:sz w:val="24"/>
          <w:szCs w:val="24"/>
        </w:rPr>
        <w:t>WNW</w:t>
      </w:r>
      <w:r>
        <w:rPr>
          <w:rFonts w:ascii="SimSun" w:hAnsi="SimSun" w:eastAsia="SimSun" w:cs="SimSun"/>
          <w:sz w:val="24"/>
          <w:szCs w:val="24"/>
        </w:rPr>
        <w:t>；年最大 </w:t>
      </w:r>
      <w:r>
        <w:rPr>
          <w:rFonts w:ascii="SimSun" w:hAnsi="SimSun" w:eastAsia="SimSun" w:cs="SimSun"/>
          <w:sz w:val="24"/>
          <w:szCs w:val="24"/>
          <w:spacing w:val="-1"/>
        </w:rPr>
        <w:t>冻土深度为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266cm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1"/>
        </w:rPr>
        <w:t>，年最大积雪深度为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26cm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1"/>
        </w:rPr>
        <w:t>，年沙尘</w:t>
      </w:r>
      <w:r>
        <w:rPr>
          <w:rFonts w:ascii="SimSun" w:hAnsi="SimSun" w:eastAsia="SimSun" w:cs="SimSun"/>
          <w:sz w:val="24"/>
          <w:szCs w:val="24"/>
          <w:spacing w:val="-2"/>
        </w:rPr>
        <w:t>暴日数为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4.7</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2"/>
        </w:rPr>
        <w:t>天，年扬沙日</w:t>
      </w:r>
      <w:r>
        <w:rPr>
          <w:rFonts w:ascii="SimSun" w:hAnsi="SimSun" w:eastAsia="SimSun" w:cs="SimSun"/>
          <w:sz w:val="24"/>
          <w:szCs w:val="24"/>
        </w:rPr>
        <w:t xml:space="preserve"> </w:t>
      </w:r>
      <w:r>
        <w:rPr>
          <w:rFonts w:ascii="SimSun" w:hAnsi="SimSun" w:eastAsia="SimSun" w:cs="SimSun"/>
          <w:sz w:val="24"/>
          <w:szCs w:val="24"/>
          <w:spacing w:val="-1"/>
        </w:rPr>
        <w:t>数为</w:t>
      </w:r>
      <w:r>
        <w:rPr>
          <w:rFonts w:ascii="SimSun" w:hAnsi="SimSun" w:eastAsia="SimSun" w:cs="SimSun"/>
          <w:sz w:val="24"/>
          <w:szCs w:val="24"/>
          <w:spacing w:val="-19"/>
        </w:rPr>
        <w:t xml:space="preserve"> </w:t>
      </w:r>
      <w:r>
        <w:rPr>
          <w:rFonts w:ascii="Times New Roman" w:hAnsi="Times New Roman" w:eastAsia="Times New Roman" w:cs="Times New Roman"/>
          <w:sz w:val="24"/>
          <w:szCs w:val="24"/>
          <w:spacing w:val="-1"/>
        </w:rPr>
        <w:t>14.2 </w:t>
      </w:r>
      <w:r>
        <w:rPr>
          <w:rFonts w:ascii="SimSun" w:hAnsi="SimSun" w:eastAsia="SimSun" w:cs="SimSun"/>
          <w:sz w:val="24"/>
          <w:szCs w:val="24"/>
          <w:spacing w:val="-1"/>
        </w:rPr>
        <w:t>天，年雷暴日数</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32.2 </w:t>
      </w:r>
      <w:r>
        <w:rPr>
          <w:rFonts w:ascii="SimSun" w:hAnsi="SimSun" w:eastAsia="SimSun" w:cs="SimSun"/>
          <w:sz w:val="24"/>
          <w:szCs w:val="24"/>
          <w:spacing w:val="-1"/>
        </w:rPr>
        <w:t>天，年冰雹日数</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2.3</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1"/>
        </w:rPr>
        <w:t>天。正镶白旗气象站近三十年</w:t>
      </w:r>
      <w:r>
        <w:rPr>
          <w:rFonts w:ascii="SimSun" w:hAnsi="SimSun" w:eastAsia="SimSun" w:cs="SimSun"/>
          <w:sz w:val="24"/>
          <w:szCs w:val="24"/>
        </w:rPr>
        <w:t xml:space="preserve"> </w:t>
      </w:r>
      <w:r>
        <w:rPr>
          <w:rFonts w:ascii="SimSun" w:hAnsi="SimSun" w:eastAsia="SimSun" w:cs="SimSun"/>
          <w:sz w:val="24"/>
          <w:szCs w:val="24"/>
          <w:spacing w:val="-2"/>
        </w:rPr>
        <w:t>各气象要素的统计见表</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5.1-1</w:t>
      </w:r>
      <w:r>
        <w:rPr>
          <w:rFonts w:ascii="SimSun" w:hAnsi="SimSun" w:eastAsia="SimSun" w:cs="SimSun"/>
          <w:sz w:val="24"/>
          <w:szCs w:val="24"/>
          <w:spacing w:val="-2"/>
        </w:rPr>
        <w:t>。</w:t>
      </w:r>
    </w:p>
    <w:p>
      <w:pPr>
        <w:ind w:left="1460"/>
        <w:spacing w:before="1"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8"/>
        </w:rPr>
        <w:t xml:space="preserve"> </w:t>
      </w:r>
      <w:r>
        <w:rPr>
          <w:rFonts w:ascii="Times New Roman" w:hAnsi="Times New Roman" w:eastAsia="Times New Roman" w:cs="Times New Roman"/>
          <w:sz w:val="24"/>
          <w:szCs w:val="24"/>
          <w:b/>
          <w:bCs/>
          <w:spacing w:val="-2"/>
        </w:rPr>
        <w:t>5.1-1        </w:t>
      </w:r>
      <w:r>
        <w:rPr>
          <w:rFonts w:ascii="SimSun" w:hAnsi="SimSun" w:eastAsia="SimSun" w:cs="SimSun"/>
          <w:sz w:val="24"/>
          <w:szCs w:val="24"/>
          <w:b/>
          <w:bCs/>
          <w:spacing w:val="-2"/>
        </w:rPr>
        <w:t>正镶白旗气象局近三十年气象要素特征表</w:t>
      </w:r>
    </w:p>
    <w:tbl>
      <w:tblPr>
        <w:tblStyle w:val="TableNormal"/>
        <w:tblW w:w="851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671"/>
        <w:gridCol w:w="1589"/>
        <w:gridCol w:w="2472"/>
        <w:gridCol w:w="1783"/>
      </w:tblGrid>
      <w:tr>
        <w:trPr>
          <w:trHeight w:val="321" w:hRule="atLeast"/>
        </w:trPr>
        <w:tc>
          <w:tcPr>
            <w:tcW w:w="2671" w:type="dxa"/>
            <w:vAlign w:val="top"/>
          </w:tcPr>
          <w:p>
            <w:pPr>
              <w:pStyle w:val="TableText"/>
              <w:ind w:left="1134"/>
              <w:spacing w:before="56" w:line="228" w:lineRule="auto"/>
              <w:rPr/>
            </w:pPr>
            <w:r>
              <w:rPr>
                <w:spacing w:val="3"/>
              </w:rPr>
              <w:t>项目</w:t>
            </w:r>
          </w:p>
        </w:tc>
        <w:tc>
          <w:tcPr>
            <w:tcW w:w="1589" w:type="dxa"/>
            <w:vAlign w:val="top"/>
          </w:tcPr>
          <w:p>
            <w:pPr>
              <w:pStyle w:val="TableText"/>
              <w:ind w:left="590"/>
              <w:spacing w:before="55" w:line="228" w:lineRule="auto"/>
              <w:rPr/>
            </w:pPr>
            <w:r>
              <w:rPr>
                <w:spacing w:val="3"/>
              </w:rPr>
              <w:t>数值</w:t>
            </w:r>
          </w:p>
        </w:tc>
        <w:tc>
          <w:tcPr>
            <w:tcW w:w="2472" w:type="dxa"/>
            <w:vAlign w:val="top"/>
          </w:tcPr>
          <w:p>
            <w:pPr>
              <w:pStyle w:val="TableText"/>
              <w:ind w:left="1035"/>
              <w:spacing w:before="56" w:line="228" w:lineRule="auto"/>
              <w:rPr/>
            </w:pPr>
            <w:r>
              <w:rPr>
                <w:spacing w:val="3"/>
              </w:rPr>
              <w:t>项目</w:t>
            </w:r>
          </w:p>
        </w:tc>
        <w:tc>
          <w:tcPr>
            <w:tcW w:w="1783" w:type="dxa"/>
            <w:vAlign w:val="top"/>
          </w:tcPr>
          <w:p>
            <w:pPr>
              <w:pStyle w:val="TableText"/>
              <w:ind w:left="688"/>
              <w:spacing w:before="55" w:line="228" w:lineRule="auto"/>
              <w:rPr/>
            </w:pPr>
            <w:r>
              <w:rPr>
                <w:spacing w:val="3"/>
              </w:rPr>
              <w:t>数值</w:t>
            </w:r>
          </w:p>
        </w:tc>
      </w:tr>
      <w:tr>
        <w:trPr>
          <w:trHeight w:val="316" w:hRule="atLeast"/>
        </w:trPr>
        <w:tc>
          <w:tcPr>
            <w:tcW w:w="2671" w:type="dxa"/>
            <w:vAlign w:val="top"/>
          </w:tcPr>
          <w:p>
            <w:pPr>
              <w:pStyle w:val="TableText"/>
              <w:ind w:left="817"/>
              <w:spacing w:before="51" w:line="228" w:lineRule="auto"/>
              <w:rPr/>
            </w:pPr>
            <w:r>
              <w:rPr>
                <w:spacing w:val="7"/>
              </w:rPr>
              <w:t>年平均气温</w:t>
            </w:r>
          </w:p>
        </w:tc>
        <w:tc>
          <w:tcPr>
            <w:tcW w:w="1589" w:type="dxa"/>
            <w:vAlign w:val="top"/>
          </w:tcPr>
          <w:p>
            <w:pPr>
              <w:ind w:left="556"/>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2.8℃</w:t>
            </w:r>
          </w:p>
        </w:tc>
        <w:tc>
          <w:tcPr>
            <w:tcW w:w="2472" w:type="dxa"/>
            <w:vAlign w:val="top"/>
          </w:tcPr>
          <w:p>
            <w:pPr>
              <w:pStyle w:val="TableText"/>
              <w:ind w:left="613"/>
              <w:spacing w:before="51" w:line="228" w:lineRule="auto"/>
              <w:rPr/>
            </w:pPr>
            <w:r>
              <w:rPr>
                <w:spacing w:val="8"/>
              </w:rPr>
              <w:t>年平均降水量</w:t>
            </w:r>
          </w:p>
        </w:tc>
        <w:tc>
          <w:tcPr>
            <w:tcW w:w="1783" w:type="dxa"/>
            <w:vAlign w:val="top"/>
          </w:tcPr>
          <w:p>
            <w:pPr>
              <w:ind w:left="497"/>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351.2</w:t>
            </w:r>
            <w:r>
              <w:rPr>
                <w:rFonts w:ascii="Times New Roman" w:hAnsi="Times New Roman" w:eastAsia="Times New Roman" w:cs="Times New Roman"/>
                <w:sz w:val="20"/>
                <w:szCs w:val="20"/>
              </w:rPr>
              <w:t>mm</w:t>
            </w:r>
          </w:p>
        </w:tc>
      </w:tr>
      <w:tr>
        <w:trPr>
          <w:trHeight w:val="316" w:hRule="atLeast"/>
        </w:trPr>
        <w:tc>
          <w:tcPr>
            <w:tcW w:w="2671" w:type="dxa"/>
            <w:vAlign w:val="top"/>
          </w:tcPr>
          <w:p>
            <w:pPr>
              <w:pStyle w:val="TableText"/>
              <w:ind w:left="608"/>
              <w:spacing w:before="54" w:line="228" w:lineRule="auto"/>
              <w:rPr/>
            </w:pPr>
            <w:r>
              <w:rPr>
                <w:spacing w:val="8"/>
              </w:rPr>
              <w:t>年极端最高气温</w:t>
            </w:r>
          </w:p>
        </w:tc>
        <w:tc>
          <w:tcPr>
            <w:tcW w:w="1589" w:type="dxa"/>
            <w:vAlign w:val="top"/>
          </w:tcPr>
          <w:p>
            <w:pPr>
              <w:ind w:left="50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36.3℃</w:t>
            </w:r>
          </w:p>
        </w:tc>
        <w:tc>
          <w:tcPr>
            <w:tcW w:w="2472" w:type="dxa"/>
            <w:vAlign w:val="top"/>
          </w:tcPr>
          <w:p>
            <w:pPr>
              <w:pStyle w:val="TableText"/>
              <w:ind w:left="648"/>
              <w:spacing w:before="54" w:line="228" w:lineRule="auto"/>
              <w:rPr/>
            </w:pPr>
            <w:r>
              <w:rPr>
                <w:spacing w:val="2"/>
              </w:rPr>
              <w:t>日最大降水量</w:t>
            </w:r>
          </w:p>
        </w:tc>
        <w:tc>
          <w:tcPr>
            <w:tcW w:w="1783" w:type="dxa"/>
            <w:vAlign w:val="top"/>
          </w:tcPr>
          <w:p>
            <w:pPr>
              <w:ind w:left="51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110.0</w:t>
            </w:r>
            <w:r>
              <w:rPr>
                <w:rFonts w:ascii="Times New Roman" w:hAnsi="Times New Roman" w:eastAsia="Times New Roman" w:cs="Times New Roman"/>
                <w:sz w:val="20"/>
                <w:szCs w:val="20"/>
              </w:rPr>
              <w:t>mm</w:t>
            </w:r>
          </w:p>
        </w:tc>
      </w:tr>
      <w:tr>
        <w:trPr>
          <w:trHeight w:val="317" w:hRule="atLeast"/>
        </w:trPr>
        <w:tc>
          <w:tcPr>
            <w:tcW w:w="2671" w:type="dxa"/>
            <w:vAlign w:val="top"/>
          </w:tcPr>
          <w:p>
            <w:pPr>
              <w:pStyle w:val="TableText"/>
              <w:ind w:left="608"/>
              <w:spacing w:before="54" w:line="228" w:lineRule="auto"/>
              <w:rPr/>
            </w:pPr>
            <w:r>
              <w:rPr>
                <w:spacing w:val="8"/>
              </w:rPr>
              <w:t>年极端最低气温</w:t>
            </w:r>
          </w:p>
        </w:tc>
        <w:tc>
          <w:tcPr>
            <w:tcW w:w="1589" w:type="dxa"/>
            <w:vAlign w:val="top"/>
          </w:tcPr>
          <w:p>
            <w:pPr>
              <w:ind w:left="47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-36.8℃</w:t>
            </w:r>
          </w:p>
        </w:tc>
        <w:tc>
          <w:tcPr>
            <w:tcW w:w="2472" w:type="dxa"/>
            <w:vAlign w:val="top"/>
          </w:tcPr>
          <w:p>
            <w:pPr>
              <w:pStyle w:val="TableText"/>
              <w:ind w:left="404"/>
              <w:spacing w:before="54" w:line="228" w:lineRule="auto"/>
              <w:rPr/>
            </w:pPr>
            <w:r>
              <w:rPr>
                <w:spacing w:val="8"/>
              </w:rPr>
              <w:t>年最大风速，风向</w:t>
            </w:r>
          </w:p>
        </w:tc>
        <w:tc>
          <w:tcPr>
            <w:tcW w:w="1783" w:type="dxa"/>
            <w:vAlign w:val="top"/>
          </w:tcPr>
          <w:p>
            <w:pPr>
              <w:pStyle w:val="TableText"/>
              <w:ind w:left="179"/>
              <w:spacing w:before="87" w:line="190" w:lineRule="auto"/>
              <w:rPr>
                <w:rFonts w:ascii="Times New Roman" w:hAnsi="Times New Roman" w:eastAsia="Times New Roman" w:cs="Times New Roman"/>
              </w:rPr>
            </w:pPr>
            <w:r>
              <w:rPr>
                <w:rFonts w:ascii="Times New Roman" w:hAnsi="Times New Roman" w:eastAsia="Times New Roman" w:cs="Times New Roman"/>
                <w:spacing w:val="4"/>
              </w:rPr>
              <w:t>25.0m/s</w:t>
            </w:r>
            <w:r>
              <w:rPr>
                <w:rFonts w:ascii="Times New Roman" w:hAnsi="Times New Roman" w:eastAsia="Times New Roman" w:cs="Times New Roman"/>
                <w:spacing w:val="-23"/>
              </w:rPr>
              <w:t xml:space="preserve"> </w:t>
            </w:r>
            <w:r>
              <w:rPr>
                <w:spacing w:val="4"/>
              </w:rPr>
              <w:t>，</w:t>
            </w:r>
            <w:r>
              <w:rPr>
                <w:rFonts w:ascii="Times New Roman" w:hAnsi="Times New Roman" w:eastAsia="Times New Roman" w:cs="Times New Roman"/>
              </w:rPr>
              <w:t>WNW</w:t>
            </w:r>
          </w:p>
        </w:tc>
      </w:tr>
      <w:tr>
        <w:trPr>
          <w:trHeight w:val="317" w:hRule="atLeast"/>
        </w:trPr>
        <w:tc>
          <w:tcPr>
            <w:tcW w:w="2671" w:type="dxa"/>
            <w:vAlign w:val="top"/>
          </w:tcPr>
          <w:p>
            <w:pPr>
              <w:pStyle w:val="TableText"/>
              <w:ind w:left="817"/>
              <w:spacing w:before="54" w:line="228" w:lineRule="auto"/>
              <w:rPr/>
            </w:pPr>
            <w:r>
              <w:rPr>
                <w:spacing w:val="7"/>
              </w:rPr>
              <w:t>年平均气压</w:t>
            </w:r>
          </w:p>
        </w:tc>
        <w:tc>
          <w:tcPr>
            <w:tcW w:w="1589" w:type="dxa"/>
            <w:vAlign w:val="top"/>
          </w:tcPr>
          <w:p>
            <w:pPr>
              <w:ind w:left="410"/>
              <w:spacing w:before="8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864.3</w:t>
            </w:r>
            <w:r>
              <w:rPr>
                <w:rFonts w:ascii="Times New Roman" w:hAnsi="Times New Roman" w:eastAsia="Times New Roman" w:cs="Times New Roman"/>
                <w:sz w:val="20"/>
                <w:szCs w:val="20"/>
              </w:rPr>
              <w:t>hPa</w:t>
            </w:r>
          </w:p>
        </w:tc>
        <w:tc>
          <w:tcPr>
            <w:tcW w:w="2472" w:type="dxa"/>
            <w:vAlign w:val="top"/>
          </w:tcPr>
          <w:p>
            <w:pPr>
              <w:pStyle w:val="TableText"/>
              <w:ind w:left="507"/>
              <w:spacing w:before="54" w:line="228" w:lineRule="auto"/>
              <w:rPr/>
            </w:pPr>
            <w:r>
              <w:rPr>
                <w:spacing w:val="8"/>
              </w:rPr>
              <w:t>年最大冻土深度</w:t>
            </w:r>
          </w:p>
        </w:tc>
        <w:tc>
          <w:tcPr>
            <w:tcW w:w="1783" w:type="dxa"/>
            <w:vAlign w:val="top"/>
          </w:tcPr>
          <w:p>
            <w:pPr>
              <w:ind w:left="606"/>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266</w:t>
            </w:r>
            <w:r>
              <w:rPr>
                <w:rFonts w:ascii="Times New Roman" w:hAnsi="Times New Roman" w:eastAsia="Times New Roman" w:cs="Times New Roman"/>
                <w:sz w:val="20"/>
                <w:szCs w:val="20"/>
              </w:rPr>
              <w:t>cm</w:t>
            </w:r>
          </w:p>
        </w:tc>
      </w:tr>
      <w:tr>
        <w:trPr>
          <w:trHeight w:val="316" w:hRule="atLeast"/>
        </w:trPr>
        <w:tc>
          <w:tcPr>
            <w:tcW w:w="2671" w:type="dxa"/>
            <w:vAlign w:val="top"/>
          </w:tcPr>
          <w:p>
            <w:pPr>
              <w:pStyle w:val="TableText"/>
              <w:ind w:left="608"/>
              <w:spacing w:before="53" w:line="228" w:lineRule="auto"/>
              <w:rPr/>
            </w:pPr>
            <w:r>
              <w:rPr>
                <w:spacing w:val="8"/>
              </w:rPr>
              <w:t>年平均相对湿度</w:t>
            </w:r>
          </w:p>
        </w:tc>
        <w:tc>
          <w:tcPr>
            <w:tcW w:w="1589" w:type="dxa"/>
            <w:vAlign w:val="top"/>
          </w:tcPr>
          <w:p>
            <w:pPr>
              <w:ind w:left="60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59%</w:t>
            </w:r>
          </w:p>
        </w:tc>
        <w:tc>
          <w:tcPr>
            <w:tcW w:w="2472" w:type="dxa"/>
            <w:vAlign w:val="top"/>
          </w:tcPr>
          <w:p>
            <w:pPr>
              <w:pStyle w:val="TableText"/>
              <w:ind w:left="507"/>
              <w:spacing w:before="53" w:line="228" w:lineRule="auto"/>
              <w:rPr/>
            </w:pPr>
            <w:r>
              <w:rPr>
                <w:spacing w:val="8"/>
              </w:rPr>
              <w:t>年最大积雪深度</w:t>
            </w:r>
          </w:p>
        </w:tc>
        <w:tc>
          <w:tcPr>
            <w:tcW w:w="1783" w:type="dxa"/>
            <w:vAlign w:val="top"/>
          </w:tcPr>
          <w:p>
            <w:pPr>
              <w:ind w:left="65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9"/>
              </w:rPr>
              <w:t>26</w:t>
            </w:r>
            <w:r>
              <w:rPr>
                <w:rFonts w:ascii="Times New Roman" w:hAnsi="Times New Roman" w:eastAsia="Times New Roman" w:cs="Times New Roman"/>
                <w:sz w:val="20"/>
                <w:szCs w:val="20"/>
              </w:rPr>
              <w:t>cm</w:t>
            </w:r>
          </w:p>
        </w:tc>
      </w:tr>
      <w:tr>
        <w:trPr>
          <w:trHeight w:val="316" w:hRule="atLeast"/>
        </w:trPr>
        <w:tc>
          <w:tcPr>
            <w:tcW w:w="2671" w:type="dxa"/>
            <w:vAlign w:val="top"/>
          </w:tcPr>
          <w:p>
            <w:pPr>
              <w:pStyle w:val="TableText"/>
              <w:ind w:left="711"/>
              <w:spacing w:before="54" w:line="228" w:lineRule="auto"/>
              <w:rPr/>
            </w:pPr>
            <w:r>
              <w:rPr>
                <w:spacing w:val="8"/>
              </w:rPr>
              <w:t>年平均水汽压</w:t>
            </w:r>
          </w:p>
        </w:tc>
        <w:tc>
          <w:tcPr>
            <w:tcW w:w="1589" w:type="dxa"/>
            <w:vAlign w:val="top"/>
          </w:tcPr>
          <w:p>
            <w:pPr>
              <w:ind w:left="513"/>
              <w:spacing w:before="8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5.7</w:t>
            </w:r>
            <w:r>
              <w:rPr>
                <w:rFonts w:ascii="Times New Roman" w:hAnsi="Times New Roman" w:eastAsia="Times New Roman" w:cs="Times New Roman"/>
                <w:sz w:val="20"/>
                <w:szCs w:val="20"/>
              </w:rPr>
              <w:t>hPa</w:t>
            </w:r>
          </w:p>
        </w:tc>
        <w:tc>
          <w:tcPr>
            <w:tcW w:w="2472" w:type="dxa"/>
            <w:vAlign w:val="top"/>
          </w:tcPr>
          <w:p>
            <w:pPr>
              <w:pStyle w:val="TableText"/>
              <w:ind w:left="613"/>
              <w:spacing w:before="54" w:line="227" w:lineRule="auto"/>
              <w:rPr/>
            </w:pPr>
            <w:r>
              <w:rPr>
                <w:spacing w:val="8"/>
              </w:rPr>
              <w:t>年沙尘暴日数</w:t>
            </w:r>
          </w:p>
        </w:tc>
        <w:tc>
          <w:tcPr>
            <w:tcW w:w="1783" w:type="dxa"/>
            <w:vAlign w:val="top"/>
          </w:tcPr>
          <w:p>
            <w:pPr>
              <w:ind w:left="708"/>
              <w:spacing w:before="8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4.7d</w:t>
            </w:r>
          </w:p>
        </w:tc>
      </w:tr>
      <w:tr>
        <w:trPr>
          <w:trHeight w:val="317" w:hRule="atLeast"/>
        </w:trPr>
        <w:tc>
          <w:tcPr>
            <w:tcW w:w="2671" w:type="dxa"/>
            <w:vAlign w:val="top"/>
          </w:tcPr>
          <w:p>
            <w:pPr>
              <w:pStyle w:val="TableText"/>
              <w:ind w:left="711"/>
              <w:spacing w:before="55" w:line="228" w:lineRule="auto"/>
              <w:rPr/>
            </w:pPr>
            <w:r>
              <w:rPr>
                <w:spacing w:val="8"/>
              </w:rPr>
              <w:t>年平均蒸发量</w:t>
            </w:r>
          </w:p>
        </w:tc>
        <w:tc>
          <w:tcPr>
            <w:tcW w:w="1589" w:type="dxa"/>
            <w:vAlign w:val="top"/>
          </w:tcPr>
          <w:p>
            <w:pPr>
              <w:ind w:left="36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1829.4</w:t>
            </w:r>
            <w:r>
              <w:rPr>
                <w:rFonts w:ascii="Times New Roman" w:hAnsi="Times New Roman" w:eastAsia="Times New Roman" w:cs="Times New Roman"/>
                <w:sz w:val="20"/>
                <w:szCs w:val="20"/>
              </w:rPr>
              <w:t>mm</w:t>
            </w:r>
          </w:p>
        </w:tc>
        <w:tc>
          <w:tcPr>
            <w:tcW w:w="2472" w:type="dxa"/>
            <w:vAlign w:val="top"/>
          </w:tcPr>
          <w:p>
            <w:pPr>
              <w:pStyle w:val="TableText"/>
              <w:ind w:left="718"/>
              <w:spacing w:before="55" w:line="228" w:lineRule="auto"/>
              <w:rPr/>
            </w:pPr>
            <w:r>
              <w:rPr>
                <w:spacing w:val="7"/>
              </w:rPr>
              <w:t>年扬沙日数</w:t>
            </w:r>
          </w:p>
        </w:tc>
        <w:tc>
          <w:tcPr>
            <w:tcW w:w="1783" w:type="dxa"/>
            <w:vAlign w:val="top"/>
          </w:tcPr>
          <w:p>
            <w:pPr>
              <w:ind w:left="676"/>
              <w:spacing w:before="8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14.2d</w:t>
            </w:r>
          </w:p>
        </w:tc>
      </w:tr>
      <w:tr>
        <w:trPr>
          <w:trHeight w:val="317" w:hRule="atLeast"/>
        </w:trPr>
        <w:tc>
          <w:tcPr>
            <w:tcW w:w="2671" w:type="dxa"/>
            <w:vAlign w:val="top"/>
          </w:tcPr>
          <w:p>
            <w:pPr>
              <w:pStyle w:val="TableText"/>
              <w:ind w:left="817"/>
              <w:spacing w:before="57" w:line="228" w:lineRule="auto"/>
              <w:rPr/>
            </w:pPr>
            <w:r>
              <w:rPr>
                <w:spacing w:val="7"/>
              </w:rPr>
              <w:t>年平均风速</w:t>
            </w:r>
          </w:p>
        </w:tc>
        <w:tc>
          <w:tcPr>
            <w:tcW w:w="1589" w:type="dxa"/>
            <w:vAlign w:val="top"/>
          </w:tcPr>
          <w:p>
            <w:pPr>
              <w:ind w:left="517"/>
              <w:spacing w:before="89"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3.2m/s</w:t>
            </w:r>
          </w:p>
        </w:tc>
        <w:tc>
          <w:tcPr>
            <w:tcW w:w="2472" w:type="dxa"/>
            <w:vAlign w:val="top"/>
          </w:tcPr>
          <w:p>
            <w:pPr>
              <w:pStyle w:val="TableText"/>
              <w:ind w:left="718"/>
              <w:spacing w:before="57" w:line="227" w:lineRule="auto"/>
              <w:rPr/>
            </w:pPr>
            <w:r>
              <w:rPr>
                <w:spacing w:val="7"/>
              </w:rPr>
              <w:t>年雷暴日数</w:t>
            </w:r>
          </w:p>
        </w:tc>
        <w:tc>
          <w:tcPr>
            <w:tcW w:w="1783" w:type="dxa"/>
            <w:vAlign w:val="top"/>
          </w:tcPr>
          <w:p>
            <w:pPr>
              <w:ind w:left="660"/>
              <w:spacing w:before="89"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32.2d</w:t>
            </w:r>
          </w:p>
        </w:tc>
      </w:tr>
      <w:tr>
        <w:trPr>
          <w:trHeight w:val="321" w:hRule="atLeast"/>
        </w:trPr>
        <w:tc>
          <w:tcPr>
            <w:tcW w:w="2671" w:type="dxa"/>
            <w:vAlign w:val="top"/>
          </w:tcPr>
          <w:p>
            <w:pPr>
              <w:pStyle w:val="TableText"/>
              <w:ind w:left="817"/>
              <w:spacing w:before="56" w:line="228" w:lineRule="auto"/>
              <w:rPr/>
            </w:pPr>
            <w:r>
              <w:rPr>
                <w:spacing w:val="7"/>
              </w:rPr>
              <w:t>年日照时数</w:t>
            </w:r>
          </w:p>
        </w:tc>
        <w:tc>
          <w:tcPr>
            <w:tcW w:w="1589" w:type="dxa"/>
            <w:vAlign w:val="top"/>
          </w:tcPr>
          <w:p>
            <w:pPr>
              <w:ind w:left="457"/>
              <w:spacing w:before="89"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3036.8h</w:t>
            </w:r>
          </w:p>
        </w:tc>
        <w:tc>
          <w:tcPr>
            <w:tcW w:w="2472" w:type="dxa"/>
            <w:vAlign w:val="top"/>
          </w:tcPr>
          <w:p>
            <w:pPr>
              <w:pStyle w:val="TableText"/>
              <w:ind w:left="718"/>
              <w:spacing w:before="56" w:line="228" w:lineRule="auto"/>
              <w:rPr/>
            </w:pPr>
            <w:r>
              <w:rPr>
                <w:spacing w:val="7"/>
              </w:rPr>
              <w:t>年冰雹日数</w:t>
            </w:r>
          </w:p>
        </w:tc>
        <w:tc>
          <w:tcPr>
            <w:tcW w:w="1783" w:type="dxa"/>
            <w:vAlign w:val="top"/>
          </w:tcPr>
          <w:p>
            <w:pPr>
              <w:ind w:left="709"/>
              <w:spacing w:before="89"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2.3d</w:t>
            </w:r>
          </w:p>
        </w:tc>
      </w:tr>
    </w:tbl>
    <w:p>
      <w:pPr>
        <w:ind w:left="510"/>
        <w:spacing w:before="114"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）地面气温的变化特征</w:t>
      </w:r>
    </w:p>
    <w:p>
      <w:pPr>
        <w:ind w:left="17" w:right="8" w:firstLine="480"/>
        <w:spacing w:before="184" w:line="340" w:lineRule="auto"/>
        <w:rPr>
          <w:rFonts w:ascii="SimSun" w:hAnsi="SimSun" w:eastAsia="SimSun" w:cs="SimSun"/>
          <w:sz w:val="24"/>
          <w:szCs w:val="24"/>
        </w:rPr>
      </w:pPr>
      <w:r>
        <w:rPr>
          <w:rFonts w:ascii="SimSun" w:hAnsi="SimSun" w:eastAsia="SimSun" w:cs="SimSun"/>
          <w:sz w:val="24"/>
          <w:szCs w:val="24"/>
        </w:rPr>
        <w:t>表</w:t>
      </w:r>
      <w:r>
        <w:rPr>
          <w:rFonts w:ascii="SimSun" w:hAnsi="SimSun" w:eastAsia="SimSun" w:cs="SimSun"/>
          <w:sz w:val="24"/>
          <w:szCs w:val="24"/>
          <w:spacing w:val="-46"/>
        </w:rPr>
        <w:t xml:space="preserve"> </w:t>
      </w:r>
      <w:r>
        <w:rPr>
          <w:rFonts w:ascii="Times New Roman" w:hAnsi="Times New Roman" w:eastAsia="Times New Roman" w:cs="Times New Roman"/>
          <w:sz w:val="24"/>
          <w:szCs w:val="24"/>
        </w:rPr>
        <w:t>5.</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rPr>
        <w:t>1-2</w:t>
      </w:r>
      <w:r>
        <w:rPr>
          <w:rFonts w:ascii="Times New Roman" w:hAnsi="Times New Roman" w:eastAsia="Times New Roman" w:cs="Times New Roman"/>
          <w:sz w:val="24"/>
          <w:szCs w:val="24"/>
          <w:spacing w:val="17"/>
        </w:rPr>
        <w:t xml:space="preserve"> </w:t>
      </w:r>
      <w:r>
        <w:rPr>
          <w:rFonts w:ascii="SimSun" w:hAnsi="SimSun" w:eastAsia="SimSun" w:cs="SimSun"/>
          <w:sz w:val="24"/>
          <w:szCs w:val="24"/>
        </w:rPr>
        <w:t>正镶白旗气象站近</w:t>
      </w:r>
      <w:r>
        <w:rPr>
          <w:rFonts w:ascii="SimSun" w:hAnsi="SimSun" w:eastAsia="SimSun" w:cs="SimSun"/>
          <w:sz w:val="24"/>
          <w:szCs w:val="24"/>
          <w:spacing w:val="-48"/>
        </w:rPr>
        <w:t xml:space="preserve"> </w:t>
      </w:r>
      <w:r>
        <w:rPr>
          <w:rFonts w:ascii="Times New Roman" w:hAnsi="Times New Roman" w:eastAsia="Times New Roman" w:cs="Times New Roman"/>
          <w:sz w:val="24"/>
          <w:szCs w:val="24"/>
        </w:rPr>
        <w:t>30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rPr>
        <w:t>年各月平均气温</w:t>
      </w:r>
      <w:r>
        <w:rPr>
          <w:rFonts w:ascii="SimSun" w:hAnsi="SimSun" w:eastAsia="SimSun" w:cs="SimSun"/>
          <w:sz w:val="24"/>
          <w:szCs w:val="24"/>
          <w:spacing w:val="-1"/>
        </w:rPr>
        <w:t>的统计值，由表可知正镶白旗</w:t>
      </w:r>
      <w:r>
        <w:rPr>
          <w:rFonts w:ascii="SimSun" w:hAnsi="SimSun" w:eastAsia="SimSun" w:cs="SimSun"/>
          <w:sz w:val="24"/>
          <w:szCs w:val="24"/>
        </w:rPr>
        <w:t xml:space="preserve"> </w:t>
      </w:r>
      <w:r>
        <w:rPr>
          <w:rFonts w:ascii="SimSun" w:hAnsi="SimSun" w:eastAsia="SimSun" w:cs="SimSun"/>
          <w:sz w:val="24"/>
          <w:szCs w:val="24"/>
          <w:spacing w:val="-4"/>
        </w:rPr>
        <w:t>近</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4"/>
        </w:rPr>
        <w:t>30 </w:t>
      </w:r>
      <w:r>
        <w:rPr>
          <w:rFonts w:ascii="SimSun" w:hAnsi="SimSun" w:eastAsia="SimSun" w:cs="SimSun"/>
          <w:sz w:val="24"/>
          <w:szCs w:val="24"/>
          <w:spacing w:val="-4"/>
        </w:rPr>
        <w:t>年的年平均气温为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2.8℃</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4"/>
        </w:rPr>
        <w:t>,</w:t>
      </w:r>
      <w:r>
        <w:rPr>
          <w:rFonts w:ascii="SimSun" w:hAnsi="SimSun" w:eastAsia="SimSun" w:cs="SimSun"/>
          <w:sz w:val="24"/>
          <w:szCs w:val="24"/>
          <w:spacing w:val="65"/>
        </w:rPr>
        <w:t xml:space="preserve"> </w:t>
      </w:r>
      <w:r>
        <w:rPr>
          <w:rFonts w:ascii="SimSun" w:hAnsi="SimSun" w:eastAsia="SimSun" w:cs="SimSun"/>
          <w:sz w:val="24"/>
          <w:szCs w:val="24"/>
          <w:spacing w:val="-4"/>
        </w:rPr>
        <w:t>全年最冷月为一月份，平均气温为</w:t>
      </w:r>
      <w:r>
        <w:rPr>
          <w:rFonts w:ascii="Times New Roman" w:hAnsi="Times New Roman" w:eastAsia="Times New Roman" w:cs="Times New Roman"/>
          <w:sz w:val="24"/>
          <w:szCs w:val="24"/>
          <w:spacing w:val="-4"/>
        </w:rPr>
        <w:t>-17.0℃</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4"/>
        </w:rPr>
        <w:t>,</w:t>
      </w:r>
      <w:r>
        <w:rPr>
          <w:rFonts w:ascii="SimSun" w:hAnsi="SimSun" w:eastAsia="SimSun" w:cs="SimSun"/>
          <w:sz w:val="24"/>
          <w:szCs w:val="24"/>
          <w:spacing w:val="68"/>
        </w:rPr>
        <w:t xml:space="preserve"> </w:t>
      </w:r>
      <w:r>
        <w:rPr>
          <w:rFonts w:ascii="SimSun" w:hAnsi="SimSun" w:eastAsia="SimSun" w:cs="SimSun"/>
          <w:sz w:val="24"/>
          <w:szCs w:val="24"/>
          <w:spacing w:val="-4"/>
        </w:rPr>
        <w:t>最热</w:t>
      </w:r>
      <w:r>
        <w:rPr>
          <w:rFonts w:ascii="SimSun" w:hAnsi="SimSun" w:eastAsia="SimSun" w:cs="SimSun"/>
          <w:sz w:val="24"/>
          <w:szCs w:val="24"/>
        </w:rPr>
        <w:t xml:space="preserve"> </w:t>
      </w:r>
      <w:r>
        <w:rPr>
          <w:rFonts w:ascii="SimSun" w:hAnsi="SimSun" w:eastAsia="SimSun" w:cs="SimSun"/>
          <w:sz w:val="24"/>
          <w:szCs w:val="24"/>
          <w:spacing w:val="-2"/>
        </w:rPr>
        <w:t>月出现在七月份，平均气温为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19.9℃</w:t>
      </w:r>
      <w:r>
        <w:rPr>
          <w:rFonts w:ascii="SimSun" w:hAnsi="SimSun" w:eastAsia="SimSun" w:cs="SimSun"/>
          <w:sz w:val="24"/>
          <w:szCs w:val="24"/>
          <w:spacing w:val="-2"/>
        </w:rPr>
        <w:t>。</w:t>
      </w:r>
    </w:p>
    <w:p>
      <w:pPr>
        <w:ind w:left="1520"/>
        <w:spacing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7"/>
        </w:rPr>
        <w:t xml:space="preserve"> </w:t>
      </w:r>
      <w:r>
        <w:rPr>
          <w:rFonts w:ascii="Times New Roman" w:hAnsi="Times New Roman" w:eastAsia="Times New Roman" w:cs="Times New Roman"/>
          <w:sz w:val="24"/>
          <w:szCs w:val="24"/>
          <w:b/>
          <w:bCs/>
          <w:spacing w:val="-2"/>
        </w:rPr>
        <w:t>5.1-2        </w:t>
      </w:r>
      <w:r>
        <w:rPr>
          <w:rFonts w:ascii="SimSun" w:hAnsi="SimSun" w:eastAsia="SimSun" w:cs="SimSun"/>
          <w:sz w:val="24"/>
          <w:szCs w:val="24"/>
          <w:b/>
          <w:bCs/>
          <w:spacing w:val="-2"/>
        </w:rPr>
        <w:t>正镶白旗近</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2"/>
        </w:rPr>
        <w:t>30 </w:t>
      </w:r>
      <w:r>
        <w:rPr>
          <w:rFonts w:ascii="SimSun" w:hAnsi="SimSun" w:eastAsia="SimSun" w:cs="SimSun"/>
          <w:sz w:val="24"/>
          <w:szCs w:val="24"/>
          <w:b/>
          <w:bCs/>
          <w:spacing w:val="-2"/>
        </w:rPr>
        <w:t>年各月、年平均气温数值</w:t>
      </w:r>
    </w:p>
    <w:tbl>
      <w:tblPr>
        <w:tblStyle w:val="TableNormal"/>
        <w:tblW w:w="8504" w:type="dxa"/>
        <w:tblInd w:w="6"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19"/>
        <w:gridCol w:w="577"/>
        <w:gridCol w:w="577"/>
        <w:gridCol w:w="506"/>
        <w:gridCol w:w="506"/>
        <w:gridCol w:w="612"/>
        <w:gridCol w:w="612"/>
        <w:gridCol w:w="612"/>
        <w:gridCol w:w="613"/>
        <w:gridCol w:w="612"/>
        <w:gridCol w:w="605"/>
        <w:gridCol w:w="594"/>
        <w:gridCol w:w="606"/>
        <w:gridCol w:w="553"/>
      </w:tblGrid>
      <w:tr>
        <w:trPr>
          <w:trHeight w:val="319" w:hRule="atLeast"/>
        </w:trPr>
        <w:tc>
          <w:tcPr>
            <w:tcW w:w="919" w:type="dxa"/>
            <w:vAlign w:val="top"/>
          </w:tcPr>
          <w:p>
            <w:pPr>
              <w:pStyle w:val="TableText"/>
              <w:ind w:left="320"/>
              <w:spacing w:before="55" w:line="228" w:lineRule="auto"/>
              <w:rPr/>
            </w:pPr>
            <w:r>
              <w:rPr>
                <w:spacing w:val="2"/>
              </w:rPr>
              <w:t>月份</w:t>
            </w:r>
          </w:p>
        </w:tc>
        <w:tc>
          <w:tcPr>
            <w:tcW w:w="577" w:type="dxa"/>
            <w:vAlign w:val="top"/>
          </w:tcPr>
          <w:p>
            <w:pPr>
              <w:ind w:left="25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577" w:type="dxa"/>
            <w:vAlign w:val="top"/>
          </w:tcPr>
          <w:p>
            <w:pPr>
              <w:ind w:left="23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506" w:type="dxa"/>
            <w:vAlign w:val="top"/>
          </w:tcPr>
          <w:p>
            <w:pPr>
              <w:ind w:left="20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506" w:type="dxa"/>
            <w:vAlign w:val="top"/>
          </w:tcPr>
          <w:p>
            <w:pPr>
              <w:ind w:left="19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612" w:type="dxa"/>
            <w:vAlign w:val="top"/>
          </w:tcPr>
          <w:p>
            <w:pPr>
              <w:ind w:left="259"/>
              <w:spacing w:before="9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612" w:type="dxa"/>
            <w:vAlign w:val="top"/>
          </w:tcPr>
          <w:p>
            <w:pPr>
              <w:ind w:left="26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612" w:type="dxa"/>
            <w:vAlign w:val="top"/>
          </w:tcPr>
          <w:p>
            <w:pPr>
              <w:ind w:left="259"/>
              <w:spacing w:before="9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613" w:type="dxa"/>
            <w:vAlign w:val="top"/>
          </w:tcPr>
          <w:p>
            <w:pPr>
              <w:ind w:left="26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612" w:type="dxa"/>
            <w:vAlign w:val="top"/>
          </w:tcPr>
          <w:p>
            <w:pPr>
              <w:ind w:left="26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605" w:type="dxa"/>
            <w:vAlign w:val="top"/>
          </w:tcPr>
          <w:p>
            <w:pPr>
              <w:ind w:left="22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594" w:type="dxa"/>
            <w:vAlign w:val="top"/>
          </w:tcPr>
          <w:p>
            <w:pPr>
              <w:ind w:left="21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11</w:t>
            </w:r>
          </w:p>
        </w:tc>
        <w:tc>
          <w:tcPr>
            <w:tcW w:w="606" w:type="dxa"/>
            <w:vAlign w:val="top"/>
          </w:tcPr>
          <w:p>
            <w:pPr>
              <w:ind w:left="22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553" w:type="dxa"/>
            <w:vAlign w:val="top"/>
          </w:tcPr>
          <w:p>
            <w:pPr>
              <w:pStyle w:val="TableText"/>
              <w:ind w:left="177"/>
              <w:spacing w:before="55" w:line="228" w:lineRule="auto"/>
              <w:rPr/>
            </w:pPr>
            <w:r>
              <w:rPr/>
              <w:t>年</w:t>
            </w:r>
          </w:p>
        </w:tc>
      </w:tr>
      <w:tr>
        <w:trPr>
          <w:trHeight w:val="319" w:hRule="atLeast"/>
        </w:trPr>
        <w:tc>
          <w:tcPr>
            <w:tcW w:w="919" w:type="dxa"/>
            <w:vAlign w:val="top"/>
          </w:tcPr>
          <w:p>
            <w:pPr>
              <w:pStyle w:val="TableText"/>
              <w:ind w:right="11"/>
              <w:spacing w:before="53" w:line="221" w:lineRule="auto"/>
              <w:jc w:val="right"/>
              <w:rPr>
                <w:rFonts w:ascii="Times New Roman" w:hAnsi="Times New Roman" w:eastAsia="Times New Roman" w:cs="Times New Roman"/>
              </w:rPr>
            </w:pPr>
            <w:r>
              <w:rPr>
                <w:spacing w:val="5"/>
              </w:rPr>
              <w:t>温度</w:t>
            </w:r>
            <w:r>
              <w:rPr>
                <w:rFonts w:ascii="Times New Roman" w:hAnsi="Times New Roman" w:eastAsia="Times New Roman" w:cs="Times New Roman"/>
                <w:spacing w:val="5"/>
              </w:rPr>
              <w:t>(℃)</w:t>
            </w:r>
          </w:p>
        </w:tc>
        <w:tc>
          <w:tcPr>
            <w:tcW w:w="577" w:type="dxa"/>
            <w:vAlign w:val="top"/>
          </w:tcPr>
          <w:p>
            <w:pPr>
              <w:ind w:left="73"/>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-17.0</w:t>
            </w:r>
          </w:p>
        </w:tc>
        <w:tc>
          <w:tcPr>
            <w:tcW w:w="577" w:type="dxa"/>
            <w:vAlign w:val="top"/>
          </w:tcPr>
          <w:p>
            <w:pPr>
              <w:ind w:left="75"/>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-12.9</w:t>
            </w:r>
          </w:p>
        </w:tc>
        <w:tc>
          <w:tcPr>
            <w:tcW w:w="506" w:type="dxa"/>
            <w:vAlign w:val="top"/>
          </w:tcPr>
          <w:p>
            <w:pPr>
              <w:ind w:left="91"/>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-4.5</w:t>
            </w:r>
          </w:p>
        </w:tc>
        <w:tc>
          <w:tcPr>
            <w:tcW w:w="506" w:type="dxa"/>
            <w:vAlign w:val="top"/>
          </w:tcPr>
          <w:p>
            <w:pPr>
              <w:ind w:left="119"/>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4.9</w:t>
            </w:r>
          </w:p>
        </w:tc>
        <w:tc>
          <w:tcPr>
            <w:tcW w:w="612" w:type="dxa"/>
            <w:vAlign w:val="top"/>
          </w:tcPr>
          <w:p>
            <w:pPr>
              <w:ind w:left="141"/>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12.3</w:t>
            </w:r>
          </w:p>
        </w:tc>
        <w:tc>
          <w:tcPr>
            <w:tcW w:w="612" w:type="dxa"/>
            <w:vAlign w:val="top"/>
          </w:tcPr>
          <w:p>
            <w:pPr>
              <w:ind w:left="143"/>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17.5</w:t>
            </w:r>
          </w:p>
        </w:tc>
        <w:tc>
          <w:tcPr>
            <w:tcW w:w="612" w:type="dxa"/>
            <w:vAlign w:val="top"/>
          </w:tcPr>
          <w:p>
            <w:pPr>
              <w:ind w:left="143"/>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19.9</w:t>
            </w:r>
          </w:p>
        </w:tc>
        <w:tc>
          <w:tcPr>
            <w:tcW w:w="613" w:type="dxa"/>
            <w:vAlign w:val="top"/>
          </w:tcPr>
          <w:p>
            <w:pPr>
              <w:ind w:left="146"/>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17.9</w:t>
            </w:r>
          </w:p>
        </w:tc>
        <w:tc>
          <w:tcPr>
            <w:tcW w:w="612" w:type="dxa"/>
            <w:vAlign w:val="top"/>
          </w:tcPr>
          <w:p>
            <w:pPr>
              <w:ind w:left="145"/>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11.9</w:t>
            </w:r>
          </w:p>
        </w:tc>
        <w:tc>
          <w:tcPr>
            <w:tcW w:w="605" w:type="dxa"/>
            <w:vAlign w:val="top"/>
          </w:tcPr>
          <w:p>
            <w:pPr>
              <w:ind w:left="179"/>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3.6</w:t>
            </w:r>
          </w:p>
        </w:tc>
        <w:tc>
          <w:tcPr>
            <w:tcW w:w="594" w:type="dxa"/>
            <w:vAlign w:val="top"/>
          </w:tcPr>
          <w:p>
            <w:pPr>
              <w:ind w:left="138"/>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-6.5</w:t>
            </w:r>
          </w:p>
        </w:tc>
        <w:tc>
          <w:tcPr>
            <w:tcW w:w="606" w:type="dxa"/>
            <w:vAlign w:val="top"/>
          </w:tcPr>
          <w:p>
            <w:pPr>
              <w:ind w:left="91"/>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-14.0</w:t>
            </w:r>
          </w:p>
        </w:tc>
        <w:tc>
          <w:tcPr>
            <w:tcW w:w="553" w:type="dxa"/>
            <w:vAlign w:val="top"/>
          </w:tcPr>
          <w:p>
            <w:pPr>
              <w:ind w:left="146"/>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r>
    </w:tbl>
    <w:p>
      <w:pPr>
        <w:ind w:left="510"/>
        <w:spacing w:before="116"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）地面风向、风速的统计特征</w:t>
      </w:r>
    </w:p>
    <w:p>
      <w:pPr>
        <w:ind w:left="18" w:right="8" w:firstLine="480"/>
        <w:spacing w:before="183" w:line="360" w:lineRule="auto"/>
        <w:rPr>
          <w:rFonts w:ascii="SimSun" w:hAnsi="SimSun" w:eastAsia="SimSun" w:cs="SimSun"/>
          <w:sz w:val="24"/>
          <w:szCs w:val="24"/>
        </w:rPr>
      </w:pPr>
      <w:r>
        <w:rPr>
          <w:rFonts w:ascii="SimSun" w:hAnsi="SimSun" w:eastAsia="SimSun" w:cs="SimSun"/>
          <w:sz w:val="24"/>
          <w:szCs w:val="24"/>
          <w:spacing w:val="3"/>
        </w:rPr>
        <w:t>地面风向、风速的统计分析是污染气象中最基本的方面，其</w:t>
      </w:r>
      <w:r>
        <w:rPr>
          <w:rFonts w:ascii="SimSun" w:hAnsi="SimSun" w:eastAsia="SimSun" w:cs="SimSun"/>
          <w:sz w:val="24"/>
          <w:szCs w:val="24"/>
          <w:spacing w:val="2"/>
        </w:rPr>
        <w:t>风况不但受季节</w:t>
      </w:r>
      <w:r>
        <w:rPr>
          <w:rFonts w:ascii="SimSun" w:hAnsi="SimSun" w:eastAsia="SimSun" w:cs="SimSun"/>
          <w:sz w:val="24"/>
          <w:szCs w:val="24"/>
        </w:rPr>
        <w:t xml:space="preserve"> </w:t>
      </w:r>
      <w:r>
        <w:rPr>
          <w:rFonts w:ascii="SimSun" w:hAnsi="SimSun" w:eastAsia="SimSun" w:cs="SimSun"/>
          <w:sz w:val="24"/>
          <w:szCs w:val="24"/>
          <w:spacing w:val="3"/>
        </w:rPr>
        <w:t>变化的制约，而且还明显地受地形及地表状况的影</w:t>
      </w:r>
      <w:r>
        <w:rPr>
          <w:rFonts w:ascii="SimSun" w:hAnsi="SimSun" w:eastAsia="SimSun" w:cs="SimSun"/>
          <w:sz w:val="24"/>
          <w:szCs w:val="24"/>
          <w:spacing w:val="2"/>
        </w:rPr>
        <w:t>响。虽然其风况具有较大的年</w:t>
      </w:r>
      <w:r>
        <w:rPr>
          <w:rFonts w:ascii="SimSun" w:hAnsi="SimSun" w:eastAsia="SimSun" w:cs="SimSun"/>
          <w:sz w:val="24"/>
          <w:szCs w:val="24"/>
        </w:rPr>
        <w:t xml:space="preserve"> </w:t>
      </w:r>
      <w:r>
        <w:rPr>
          <w:rFonts w:ascii="SimSun" w:hAnsi="SimSun" w:eastAsia="SimSun" w:cs="SimSun"/>
          <w:sz w:val="24"/>
          <w:szCs w:val="24"/>
          <w:spacing w:val="-1"/>
        </w:rPr>
        <w:t>际变化，但仍然具有较好的统计特征。</w:t>
      </w:r>
    </w:p>
    <w:p>
      <w:pPr>
        <w:ind w:left="19" w:right="8" w:firstLine="483"/>
        <w:spacing w:line="360" w:lineRule="auto"/>
        <w:jc w:val="both"/>
        <w:rPr>
          <w:rFonts w:ascii="SimSun" w:hAnsi="SimSun" w:eastAsia="SimSun" w:cs="SimSun"/>
          <w:sz w:val="24"/>
          <w:szCs w:val="24"/>
        </w:rPr>
      </w:pPr>
      <w:r>
        <w:rPr>
          <w:rFonts w:ascii="SimSun" w:hAnsi="SimSun" w:eastAsia="SimSun" w:cs="SimSun"/>
          <w:sz w:val="24"/>
          <w:szCs w:val="24"/>
          <w:spacing w:val="3"/>
        </w:rPr>
        <w:t>正镶白旗气象站地处内蒙古中部，该地春季由于</w:t>
      </w:r>
      <w:r>
        <w:rPr>
          <w:rFonts w:ascii="SimSun" w:hAnsi="SimSun" w:eastAsia="SimSun" w:cs="SimSun"/>
          <w:sz w:val="24"/>
          <w:szCs w:val="24"/>
          <w:spacing w:val="2"/>
        </w:rPr>
        <w:t>冷暖气团活动频繁，地表覆</w:t>
      </w:r>
      <w:r>
        <w:rPr>
          <w:rFonts w:ascii="SimSun" w:hAnsi="SimSun" w:eastAsia="SimSun" w:cs="SimSun"/>
          <w:sz w:val="24"/>
          <w:szCs w:val="24"/>
        </w:rPr>
        <w:t xml:space="preserve"> </w:t>
      </w:r>
      <w:r>
        <w:rPr>
          <w:rFonts w:ascii="SimSun" w:hAnsi="SimSun" w:eastAsia="SimSun" w:cs="SimSun"/>
          <w:sz w:val="24"/>
          <w:szCs w:val="24"/>
          <w:spacing w:val="3"/>
        </w:rPr>
        <w:t>盖度较差，故多风沙天气；夏季由于降水相对集</w:t>
      </w:r>
      <w:r>
        <w:rPr>
          <w:rFonts w:ascii="SimSun" w:hAnsi="SimSun" w:eastAsia="SimSun" w:cs="SimSun"/>
          <w:sz w:val="24"/>
          <w:szCs w:val="24"/>
          <w:spacing w:val="2"/>
        </w:rPr>
        <w:t>中，当锋面过境伴有雷雨和大风</w:t>
      </w:r>
      <w:r>
        <w:rPr>
          <w:rFonts w:ascii="SimSun" w:hAnsi="SimSun" w:eastAsia="SimSun" w:cs="SimSun"/>
          <w:sz w:val="24"/>
          <w:szCs w:val="24"/>
        </w:rPr>
        <w:t xml:space="preserve"> </w:t>
      </w:r>
      <w:r>
        <w:rPr>
          <w:rFonts w:ascii="SimSun" w:hAnsi="SimSun" w:eastAsia="SimSun" w:cs="SimSun"/>
          <w:sz w:val="24"/>
          <w:szCs w:val="24"/>
          <w:spacing w:val="3"/>
        </w:rPr>
        <w:t>天气，瞬时风速较大；秋季虽为冷暖气团的交替</w:t>
      </w:r>
      <w:r>
        <w:rPr>
          <w:rFonts w:ascii="SimSun" w:hAnsi="SimSun" w:eastAsia="SimSun" w:cs="SimSun"/>
          <w:sz w:val="24"/>
          <w:szCs w:val="24"/>
          <w:spacing w:val="2"/>
        </w:rPr>
        <w:t>时期，但此时气团活动远不如春</w:t>
      </w:r>
      <w:r>
        <w:rPr>
          <w:rFonts w:ascii="SimSun" w:hAnsi="SimSun" w:eastAsia="SimSun" w:cs="SimSun"/>
          <w:sz w:val="24"/>
          <w:szCs w:val="24"/>
        </w:rPr>
        <w:t xml:space="preserve"> </w:t>
      </w:r>
      <w:r>
        <w:rPr>
          <w:rFonts w:ascii="SimSun" w:hAnsi="SimSun" w:eastAsia="SimSun" w:cs="SimSun"/>
          <w:sz w:val="24"/>
          <w:szCs w:val="24"/>
          <w:spacing w:val="-1"/>
        </w:rPr>
        <w:t>季活动频繁，因此风沙天气较少；冬季风速相对较大。</w:t>
      </w:r>
    </w:p>
    <w:p>
      <w:pPr>
        <w:ind w:left="497"/>
        <w:spacing w:line="217" w:lineRule="auto"/>
        <w:rPr>
          <w:rFonts w:ascii="SimSun" w:hAnsi="SimSun" w:eastAsia="SimSun" w:cs="SimSun"/>
          <w:sz w:val="24"/>
          <w:szCs w:val="24"/>
        </w:rPr>
      </w:pPr>
      <w:r>
        <w:rPr>
          <w:rFonts w:ascii="SimSun" w:hAnsi="SimSun" w:eastAsia="SimSun" w:cs="SimSun"/>
          <w:sz w:val="24"/>
          <w:szCs w:val="24"/>
          <w:spacing w:val="-1"/>
        </w:rPr>
        <w:t>①地面风向的基本特征</w:t>
      </w:r>
    </w:p>
    <w:p>
      <w:pPr>
        <w:ind w:right="8"/>
        <w:spacing w:before="186" w:line="219" w:lineRule="auto"/>
        <w:jc w:val="right"/>
        <w:rPr>
          <w:rFonts w:ascii="SimSun" w:hAnsi="SimSun" w:eastAsia="SimSun" w:cs="SimSun"/>
          <w:sz w:val="24"/>
          <w:szCs w:val="24"/>
        </w:rPr>
      </w:pPr>
      <w:r>
        <w:rPr>
          <w:rFonts w:ascii="SimSun" w:hAnsi="SimSun" w:eastAsia="SimSun" w:cs="SimSun"/>
          <w:sz w:val="24"/>
          <w:szCs w:val="24"/>
          <w:spacing w:val="3"/>
        </w:rPr>
        <w:t>根据正镶白旗气象局近三十年的地面平均风向频率及各风向</w:t>
      </w:r>
      <w:r>
        <w:rPr>
          <w:rFonts w:ascii="SimSun" w:hAnsi="SimSun" w:eastAsia="SimSun" w:cs="SimSun"/>
          <w:sz w:val="24"/>
          <w:szCs w:val="24"/>
          <w:spacing w:val="2"/>
        </w:rPr>
        <w:t>下平均风速统计</w:t>
      </w:r>
    </w:p>
    <w:p>
      <w:pPr>
        <w:spacing w:line="219" w:lineRule="auto"/>
        <w:sectPr>
          <w:headerReference w:type="default" r:id="rId145"/>
          <w:footerReference w:type="default" r:id="rId183"/>
          <w:pgSz w:w="11906" w:h="16839"/>
          <w:pgMar w:top="1567" w:right="1693" w:bottom="1482" w:left="1692" w:header="1221" w:footer="1248" w:gutter="0"/>
        </w:sectPr>
        <w:rPr>
          <w:rFonts w:ascii="SimSun" w:hAnsi="SimSun" w:eastAsia="SimSun" w:cs="SimSun"/>
          <w:sz w:val="24"/>
          <w:szCs w:val="24"/>
        </w:rPr>
      </w:pPr>
    </w:p>
    <w:p>
      <w:pPr>
        <w:ind w:left="21"/>
        <w:spacing w:before="249" w:line="345" w:lineRule="auto"/>
        <w:jc w:val="both"/>
        <w:rPr>
          <w:rFonts w:ascii="SimSun" w:hAnsi="SimSun" w:eastAsia="SimSun" w:cs="SimSun"/>
          <w:sz w:val="24"/>
          <w:szCs w:val="24"/>
        </w:rPr>
      </w:pPr>
      <w:r>
        <w:rPr>
          <w:rFonts w:ascii="SimSun" w:hAnsi="SimSun" w:eastAsia="SimSun" w:cs="SimSun"/>
          <w:sz w:val="24"/>
          <w:szCs w:val="24"/>
          <w:spacing w:val="-3"/>
        </w:rPr>
        <w:t>可知，该地区年主导风向为</w:t>
      </w:r>
      <w:r>
        <w:rPr>
          <w:rFonts w:ascii="Times New Roman" w:hAnsi="Times New Roman" w:eastAsia="Times New Roman" w:cs="Times New Roman"/>
          <w:sz w:val="24"/>
          <w:szCs w:val="24"/>
          <w:spacing w:val="-3"/>
        </w:rPr>
        <w:t>W</w:t>
      </w:r>
      <w:r>
        <w:rPr>
          <w:rFonts w:ascii="SimSun" w:hAnsi="SimSun" w:eastAsia="SimSun" w:cs="SimSun"/>
          <w:sz w:val="24"/>
          <w:szCs w:val="24"/>
          <w:spacing w:val="-3"/>
        </w:rPr>
        <w:t>风，出现频率为</w:t>
      </w:r>
      <w:r>
        <w:rPr>
          <w:rFonts w:ascii="Times New Roman" w:hAnsi="Times New Roman" w:eastAsia="Times New Roman" w:cs="Times New Roman"/>
          <w:sz w:val="24"/>
          <w:szCs w:val="24"/>
          <w:spacing w:val="-3"/>
        </w:rPr>
        <w:t>12.8%</w:t>
      </w:r>
      <w:r>
        <w:rPr>
          <w:rFonts w:ascii="SimSun" w:hAnsi="SimSun" w:eastAsia="SimSun" w:cs="SimSun"/>
          <w:sz w:val="24"/>
          <w:szCs w:val="24"/>
          <w:spacing w:val="-3"/>
        </w:rPr>
        <w:t>，</w:t>
      </w:r>
      <w:r>
        <w:rPr>
          <w:rFonts w:ascii="Times New Roman" w:hAnsi="Times New Roman" w:eastAsia="Times New Roman" w:cs="Times New Roman"/>
          <w:sz w:val="24"/>
          <w:szCs w:val="24"/>
          <w:spacing w:val="-3"/>
        </w:rPr>
        <w:t>WNW</w:t>
      </w:r>
      <w:r>
        <w:rPr>
          <w:rFonts w:ascii="SimSun" w:hAnsi="SimSun" w:eastAsia="SimSun" w:cs="SimSun"/>
          <w:sz w:val="24"/>
          <w:szCs w:val="24"/>
          <w:spacing w:val="-3"/>
        </w:rPr>
        <w:t>风的出现频率</w:t>
      </w:r>
      <w:r>
        <w:rPr>
          <w:rFonts w:ascii="SimSun" w:hAnsi="SimSun" w:eastAsia="SimSun" w:cs="SimSun"/>
          <w:sz w:val="24"/>
          <w:szCs w:val="24"/>
          <w:spacing w:val="-4"/>
        </w:rPr>
        <w:t>也较高，</w:t>
      </w:r>
      <w:r>
        <w:rPr>
          <w:rFonts w:ascii="SimSun" w:hAnsi="SimSun" w:eastAsia="SimSun" w:cs="SimSun"/>
          <w:sz w:val="24"/>
          <w:szCs w:val="24"/>
        </w:rPr>
        <w:t xml:space="preserve"> </w:t>
      </w:r>
      <w:r>
        <w:rPr>
          <w:rFonts w:ascii="SimSun" w:hAnsi="SimSun" w:eastAsia="SimSun" w:cs="SimSun"/>
          <w:sz w:val="24"/>
          <w:szCs w:val="24"/>
          <w:spacing w:val="2"/>
        </w:rPr>
        <w:t>为</w:t>
      </w:r>
      <w:r>
        <w:rPr>
          <w:rFonts w:ascii="Times New Roman" w:hAnsi="Times New Roman" w:eastAsia="Times New Roman" w:cs="Times New Roman"/>
          <w:sz w:val="24"/>
          <w:szCs w:val="24"/>
          <w:spacing w:val="2"/>
        </w:rPr>
        <w:t>10.7%</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2"/>
        </w:rPr>
        <w:t>，静风的年出现频率为</w:t>
      </w:r>
      <w:r>
        <w:rPr>
          <w:rFonts w:ascii="Times New Roman" w:hAnsi="Times New Roman" w:eastAsia="Times New Roman" w:cs="Times New Roman"/>
          <w:sz w:val="24"/>
          <w:szCs w:val="24"/>
          <w:spacing w:val="2"/>
        </w:rPr>
        <w:t>19.0%</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2"/>
        </w:rPr>
        <w:t>。全年以</w:t>
      </w:r>
      <w:r>
        <w:rPr>
          <w:rFonts w:ascii="Times New Roman" w:hAnsi="Times New Roman" w:eastAsia="Times New Roman" w:cs="Times New Roman"/>
          <w:sz w:val="24"/>
          <w:szCs w:val="24"/>
        </w:rPr>
        <w:t>WNW</w:t>
      </w:r>
      <w:r>
        <w:rPr>
          <w:rFonts w:ascii="SimSun" w:hAnsi="SimSun" w:eastAsia="SimSun" w:cs="SimSun"/>
          <w:sz w:val="24"/>
          <w:szCs w:val="24"/>
          <w:spacing w:val="2"/>
        </w:rPr>
        <w:t>方向的风平均风速最</w:t>
      </w:r>
      <w:r>
        <w:rPr>
          <w:rFonts w:ascii="SimSun" w:hAnsi="SimSun" w:eastAsia="SimSun" w:cs="SimSun"/>
          <w:sz w:val="24"/>
          <w:szCs w:val="24"/>
          <w:spacing w:val="1"/>
        </w:rPr>
        <w:t>大，为</w:t>
      </w:r>
      <w:r>
        <w:rPr>
          <w:rFonts w:ascii="SimSun" w:hAnsi="SimSun" w:eastAsia="SimSun" w:cs="SimSun"/>
          <w:sz w:val="24"/>
          <w:szCs w:val="24"/>
        </w:rPr>
        <w:t xml:space="preserve"> </w:t>
      </w:r>
      <w:r>
        <w:rPr>
          <w:rFonts w:ascii="Times New Roman" w:hAnsi="Times New Roman" w:eastAsia="Times New Roman" w:cs="Times New Roman"/>
          <w:sz w:val="24"/>
          <w:szCs w:val="24"/>
          <w:spacing w:val="1"/>
        </w:rPr>
        <w:t>5.7m/s</w:t>
      </w:r>
      <w:r>
        <w:rPr>
          <w:rFonts w:ascii="SimSun" w:hAnsi="SimSun" w:eastAsia="SimSun" w:cs="SimSun"/>
          <w:sz w:val="24"/>
          <w:szCs w:val="24"/>
          <w:spacing w:val="1"/>
        </w:rPr>
        <w:t>；</w:t>
      </w:r>
      <w:r>
        <w:rPr>
          <w:rFonts w:ascii="Times New Roman" w:hAnsi="Times New Roman" w:eastAsia="Times New Roman" w:cs="Times New Roman"/>
          <w:sz w:val="24"/>
          <w:szCs w:val="24"/>
        </w:rPr>
        <w:t>NW</w:t>
      </w:r>
      <w:r>
        <w:rPr>
          <w:rFonts w:ascii="SimSun" w:hAnsi="SimSun" w:eastAsia="SimSun" w:cs="SimSun"/>
          <w:sz w:val="24"/>
          <w:szCs w:val="24"/>
          <w:spacing w:val="1"/>
        </w:rPr>
        <w:t>方向的风平均风速也较大，为</w:t>
      </w:r>
      <w:r>
        <w:rPr>
          <w:rFonts w:ascii="Times New Roman" w:hAnsi="Times New Roman" w:eastAsia="Times New Roman" w:cs="Times New Roman"/>
          <w:sz w:val="24"/>
          <w:szCs w:val="24"/>
          <w:spacing w:val="1"/>
        </w:rPr>
        <w:t>4.7m/s</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。正镶白旗全年风向频率玫瑰图</w:t>
      </w:r>
      <w:r>
        <w:rPr>
          <w:rFonts w:ascii="SimSun" w:hAnsi="SimSun" w:eastAsia="SimSun" w:cs="SimSun"/>
          <w:sz w:val="24"/>
          <w:szCs w:val="24"/>
        </w:rPr>
        <w:t xml:space="preserve"> </w:t>
      </w:r>
      <w:r>
        <w:rPr>
          <w:rFonts w:ascii="SimSun" w:hAnsi="SimSun" w:eastAsia="SimSun" w:cs="SimSun"/>
          <w:sz w:val="24"/>
          <w:szCs w:val="24"/>
          <w:spacing w:val="-2"/>
        </w:rPr>
        <w:t>见图</w:t>
      </w:r>
      <w:r>
        <w:rPr>
          <w:rFonts w:ascii="Times New Roman" w:hAnsi="Times New Roman" w:eastAsia="Times New Roman" w:cs="Times New Roman"/>
          <w:sz w:val="24"/>
          <w:szCs w:val="24"/>
          <w:spacing w:val="-2"/>
        </w:rPr>
        <w:t>5.1-1</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2"/>
        </w:rPr>
        <w:t>，正镶白旗全年风速玫瑰图见图</w:t>
      </w:r>
      <w:r>
        <w:rPr>
          <w:rFonts w:ascii="Times New Roman" w:hAnsi="Times New Roman" w:eastAsia="Times New Roman" w:cs="Times New Roman"/>
          <w:sz w:val="24"/>
          <w:szCs w:val="24"/>
          <w:spacing w:val="-2"/>
        </w:rPr>
        <w:t>5.1-2</w:t>
      </w:r>
      <w:r>
        <w:rPr>
          <w:rFonts w:ascii="SimSun" w:hAnsi="SimSun" w:eastAsia="SimSun" w:cs="SimSun"/>
          <w:sz w:val="24"/>
          <w:szCs w:val="24"/>
          <w:spacing w:val="-2"/>
        </w:rPr>
        <w:t>。</w:t>
      </w:r>
    </w:p>
    <w:p>
      <w:pPr>
        <w:ind w:left="558"/>
        <w:spacing w:before="1" w:line="210"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4"/>
        </w:rPr>
        <w:t xml:space="preserve"> </w:t>
      </w:r>
      <w:r>
        <w:rPr>
          <w:rFonts w:ascii="Times New Roman" w:hAnsi="Times New Roman" w:eastAsia="Times New Roman" w:cs="Times New Roman"/>
          <w:sz w:val="24"/>
          <w:szCs w:val="24"/>
          <w:b/>
          <w:bCs/>
          <w:spacing w:val="-2"/>
        </w:rPr>
        <w:t>5.1-3        </w:t>
      </w:r>
      <w:r>
        <w:rPr>
          <w:rFonts w:ascii="SimSun" w:hAnsi="SimSun" w:eastAsia="SimSun" w:cs="SimSun"/>
          <w:sz w:val="24"/>
          <w:szCs w:val="24"/>
          <w:b/>
          <w:bCs/>
          <w:spacing w:val="-2"/>
        </w:rPr>
        <w:t>正镶白旗近</w:t>
      </w:r>
      <w:r>
        <w:rPr>
          <w:rFonts w:ascii="SimSun" w:hAnsi="SimSun" w:eastAsia="SimSun" w:cs="SimSun"/>
          <w:sz w:val="24"/>
          <w:szCs w:val="24"/>
          <w:spacing w:val="-56"/>
        </w:rPr>
        <w:t xml:space="preserve"> </w:t>
      </w:r>
      <w:r>
        <w:rPr>
          <w:rFonts w:ascii="Times New Roman" w:hAnsi="Times New Roman" w:eastAsia="Times New Roman" w:cs="Times New Roman"/>
          <w:sz w:val="24"/>
          <w:szCs w:val="24"/>
          <w:b/>
          <w:bCs/>
          <w:spacing w:val="-2"/>
        </w:rPr>
        <w:t>30 </w:t>
      </w:r>
      <w:r>
        <w:rPr>
          <w:rFonts w:ascii="SimSun" w:hAnsi="SimSun" w:eastAsia="SimSun" w:cs="SimSun"/>
          <w:sz w:val="24"/>
          <w:szCs w:val="24"/>
          <w:b/>
          <w:bCs/>
          <w:spacing w:val="-2"/>
        </w:rPr>
        <w:t>年地面风向频率及各风向下平均风速统计表</w:t>
      </w:r>
    </w:p>
    <w:tbl>
      <w:tblPr>
        <w:tblStyle w:val="TableNormal"/>
        <w:tblW w:w="8518"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85"/>
        <w:gridCol w:w="434"/>
        <w:gridCol w:w="463"/>
        <w:gridCol w:w="395"/>
        <w:gridCol w:w="438"/>
        <w:gridCol w:w="395"/>
        <w:gridCol w:w="400"/>
        <w:gridCol w:w="395"/>
        <w:gridCol w:w="395"/>
        <w:gridCol w:w="395"/>
        <w:gridCol w:w="463"/>
        <w:gridCol w:w="395"/>
        <w:gridCol w:w="547"/>
        <w:gridCol w:w="506"/>
        <w:gridCol w:w="583"/>
        <w:gridCol w:w="506"/>
        <w:gridCol w:w="535"/>
        <w:gridCol w:w="388"/>
      </w:tblGrid>
      <w:tr>
        <w:trPr>
          <w:trHeight w:val="320" w:hRule="atLeast"/>
        </w:trPr>
        <w:tc>
          <w:tcPr>
            <w:tcW w:w="885" w:type="dxa"/>
            <w:vAlign w:val="top"/>
          </w:tcPr>
          <w:p>
            <w:pPr>
              <w:pStyle w:val="TableText"/>
              <w:ind w:left="237"/>
              <w:spacing w:before="57" w:line="228" w:lineRule="auto"/>
              <w:rPr/>
            </w:pPr>
            <w:r>
              <w:rPr>
                <w:spacing w:val="4"/>
              </w:rPr>
              <w:t>风向</w:t>
            </w:r>
          </w:p>
        </w:tc>
        <w:tc>
          <w:tcPr>
            <w:tcW w:w="434" w:type="dxa"/>
            <w:vAlign w:val="top"/>
          </w:tcPr>
          <w:p>
            <w:pPr>
              <w:ind w:left="133"/>
              <w:spacing w:before="9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w:t>
            </w:r>
          </w:p>
        </w:tc>
        <w:tc>
          <w:tcPr>
            <w:tcW w:w="463" w:type="dxa"/>
            <w:vAlign w:val="top"/>
          </w:tcPr>
          <w:p>
            <w:pPr>
              <w:ind w:left="8"/>
              <w:spacing w:before="9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NNE</w:t>
            </w:r>
          </w:p>
        </w:tc>
        <w:tc>
          <w:tcPr>
            <w:tcW w:w="395" w:type="dxa"/>
            <w:vAlign w:val="top"/>
          </w:tcPr>
          <w:p>
            <w:pPr>
              <w:ind w:left="49"/>
              <w:spacing w:before="9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NE</w:t>
            </w:r>
          </w:p>
        </w:tc>
        <w:tc>
          <w:tcPr>
            <w:tcW w:w="438" w:type="dxa"/>
            <w:vAlign w:val="top"/>
          </w:tcPr>
          <w:p>
            <w:pPr>
              <w:ind w:left="14"/>
              <w:spacing w:before="9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ENE</w:t>
            </w:r>
          </w:p>
        </w:tc>
        <w:tc>
          <w:tcPr>
            <w:tcW w:w="395" w:type="dxa"/>
            <w:vAlign w:val="top"/>
          </w:tcPr>
          <w:p>
            <w:pPr>
              <w:ind w:left="133"/>
              <w:spacing w:before="9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E</w:t>
            </w:r>
          </w:p>
        </w:tc>
        <w:tc>
          <w:tcPr>
            <w:tcW w:w="400" w:type="dxa"/>
            <w:vAlign w:val="top"/>
          </w:tcPr>
          <w:p>
            <w:pPr>
              <w:ind w:left="1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ESE</w:t>
            </w:r>
          </w:p>
        </w:tc>
        <w:tc>
          <w:tcPr>
            <w:tcW w:w="395" w:type="dxa"/>
            <w:vAlign w:val="top"/>
          </w:tcPr>
          <w:p>
            <w:pPr>
              <w:ind w:left="8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SE</w:t>
            </w:r>
          </w:p>
        </w:tc>
        <w:tc>
          <w:tcPr>
            <w:tcW w:w="395" w:type="dxa"/>
            <w:vAlign w:val="top"/>
          </w:tcPr>
          <w:p>
            <w:pPr>
              <w:ind w:left="2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SSE</w:t>
            </w:r>
          </w:p>
        </w:tc>
        <w:tc>
          <w:tcPr>
            <w:tcW w:w="395" w:type="dxa"/>
            <w:vAlign w:val="top"/>
          </w:tcPr>
          <w:p>
            <w:pPr>
              <w:ind w:left="14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w:t>
            </w:r>
          </w:p>
        </w:tc>
        <w:tc>
          <w:tcPr>
            <w:tcW w:w="463" w:type="dxa"/>
            <w:vAlign w:val="top"/>
          </w:tcPr>
          <w:p>
            <w:pPr>
              <w:ind w:left="2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SSW</w:t>
            </w:r>
          </w:p>
        </w:tc>
        <w:tc>
          <w:tcPr>
            <w:tcW w:w="395" w:type="dxa"/>
            <w:vAlign w:val="top"/>
          </w:tcPr>
          <w:p>
            <w:pPr>
              <w:ind w:left="4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SW</w:t>
            </w:r>
          </w:p>
        </w:tc>
        <w:tc>
          <w:tcPr>
            <w:tcW w:w="547" w:type="dxa"/>
            <w:vAlign w:val="top"/>
          </w:tcPr>
          <w:p>
            <w:pPr>
              <w:ind w:left="1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WSW</w:t>
            </w:r>
          </w:p>
        </w:tc>
        <w:tc>
          <w:tcPr>
            <w:tcW w:w="506" w:type="dxa"/>
            <w:vAlign w:val="top"/>
          </w:tcPr>
          <w:p>
            <w:pPr>
              <w:ind w:left="154"/>
              <w:spacing w:before="9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W</w:t>
            </w:r>
          </w:p>
        </w:tc>
        <w:tc>
          <w:tcPr>
            <w:tcW w:w="583" w:type="dxa"/>
            <w:vAlign w:val="top"/>
          </w:tcPr>
          <w:p>
            <w:pPr>
              <w:ind w:left="18"/>
              <w:spacing w:before="9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WNW</w:t>
            </w:r>
          </w:p>
        </w:tc>
        <w:tc>
          <w:tcPr>
            <w:tcW w:w="506" w:type="dxa"/>
            <w:vAlign w:val="top"/>
          </w:tcPr>
          <w:p>
            <w:pPr>
              <w:ind w:left="73"/>
              <w:spacing w:before="9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NW</w:t>
            </w:r>
          </w:p>
        </w:tc>
        <w:tc>
          <w:tcPr>
            <w:tcW w:w="535" w:type="dxa"/>
            <w:vAlign w:val="top"/>
          </w:tcPr>
          <w:p>
            <w:pPr>
              <w:ind w:left="13"/>
              <w:spacing w:before="9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NNW</w:t>
            </w:r>
          </w:p>
        </w:tc>
        <w:tc>
          <w:tcPr>
            <w:tcW w:w="388" w:type="dxa"/>
            <w:vAlign w:val="top"/>
          </w:tcPr>
          <w:p>
            <w:pPr>
              <w:ind w:left="12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w:t>
            </w:r>
          </w:p>
        </w:tc>
      </w:tr>
      <w:tr>
        <w:trPr>
          <w:trHeight w:val="316" w:hRule="atLeast"/>
        </w:trPr>
        <w:tc>
          <w:tcPr>
            <w:tcW w:w="885" w:type="dxa"/>
            <w:vAlign w:val="top"/>
          </w:tcPr>
          <w:p>
            <w:pPr>
              <w:pStyle w:val="TableText"/>
              <w:ind w:left="122"/>
              <w:spacing w:before="53" w:line="228" w:lineRule="auto"/>
              <w:rPr>
                <w:rFonts w:ascii="Times New Roman" w:hAnsi="Times New Roman" w:eastAsia="Times New Roman" w:cs="Times New Roman"/>
              </w:rPr>
            </w:pPr>
            <w:r>
              <w:rPr>
                <w:spacing w:val="5"/>
              </w:rPr>
              <w:t>频率</w:t>
            </w:r>
            <w:r>
              <w:rPr>
                <w:rFonts w:ascii="Times New Roman" w:hAnsi="Times New Roman" w:eastAsia="Times New Roman" w:cs="Times New Roman"/>
                <w:spacing w:val="5"/>
              </w:rPr>
              <w:t>/%</w:t>
            </w:r>
          </w:p>
        </w:tc>
        <w:tc>
          <w:tcPr>
            <w:tcW w:w="434" w:type="dxa"/>
            <w:vAlign w:val="top"/>
          </w:tcPr>
          <w:p>
            <w:pPr>
              <w:ind w:left="88"/>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1"/>
              </w:rPr>
              <w:t>1</w:t>
            </w:r>
          </w:p>
        </w:tc>
        <w:tc>
          <w:tcPr>
            <w:tcW w:w="463" w:type="dxa"/>
            <w:vAlign w:val="top"/>
          </w:tcPr>
          <w:p>
            <w:pPr>
              <w:ind w:left="98"/>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w:t>
            </w:r>
          </w:p>
        </w:tc>
        <w:tc>
          <w:tcPr>
            <w:tcW w:w="395" w:type="dxa"/>
            <w:vAlign w:val="top"/>
          </w:tcPr>
          <w:p>
            <w:pPr>
              <w:ind w:left="74"/>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8.3</w:t>
            </w:r>
          </w:p>
        </w:tc>
        <w:tc>
          <w:tcPr>
            <w:tcW w:w="438" w:type="dxa"/>
            <w:vAlign w:val="top"/>
          </w:tcPr>
          <w:p>
            <w:pPr>
              <w:ind w:left="86"/>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395" w:type="dxa"/>
            <w:vAlign w:val="top"/>
          </w:tcPr>
          <w:p>
            <w:pPr>
              <w:ind w:left="86"/>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1.9</w:t>
            </w:r>
          </w:p>
        </w:tc>
        <w:tc>
          <w:tcPr>
            <w:tcW w:w="400" w:type="dxa"/>
            <w:vAlign w:val="top"/>
          </w:tcPr>
          <w:p>
            <w:pPr>
              <w:ind w:left="87"/>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1.8</w:t>
            </w:r>
          </w:p>
        </w:tc>
        <w:tc>
          <w:tcPr>
            <w:tcW w:w="395" w:type="dxa"/>
            <w:vAlign w:val="top"/>
          </w:tcPr>
          <w:p>
            <w:pPr>
              <w:ind w:left="65"/>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395" w:type="dxa"/>
            <w:vAlign w:val="top"/>
          </w:tcPr>
          <w:p>
            <w:pPr>
              <w:ind w:left="66"/>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2.2</w:t>
            </w:r>
          </w:p>
        </w:tc>
        <w:tc>
          <w:tcPr>
            <w:tcW w:w="395" w:type="dxa"/>
            <w:vAlign w:val="top"/>
          </w:tcPr>
          <w:p>
            <w:pPr>
              <w:ind w:left="63"/>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w:t>
            </w:r>
          </w:p>
        </w:tc>
        <w:tc>
          <w:tcPr>
            <w:tcW w:w="463" w:type="dxa"/>
            <w:vAlign w:val="top"/>
          </w:tcPr>
          <w:p>
            <w:pPr>
              <w:ind w:left="105"/>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5.2</w:t>
            </w:r>
          </w:p>
        </w:tc>
        <w:tc>
          <w:tcPr>
            <w:tcW w:w="395" w:type="dxa"/>
            <w:vAlign w:val="top"/>
          </w:tcPr>
          <w:p>
            <w:pPr>
              <w:ind w:left="70"/>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6.0</w:t>
            </w:r>
          </w:p>
        </w:tc>
        <w:tc>
          <w:tcPr>
            <w:tcW w:w="547" w:type="dxa"/>
            <w:vAlign w:val="top"/>
          </w:tcPr>
          <w:p>
            <w:pPr>
              <w:ind w:left="144"/>
              <w:spacing w:before="9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7.7</w:t>
            </w:r>
          </w:p>
        </w:tc>
        <w:tc>
          <w:tcPr>
            <w:tcW w:w="506" w:type="dxa"/>
            <w:vAlign w:val="top"/>
          </w:tcPr>
          <w:p>
            <w:pPr>
              <w:ind w:left="89"/>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12.8</w:t>
            </w:r>
          </w:p>
        </w:tc>
        <w:tc>
          <w:tcPr>
            <w:tcW w:w="583" w:type="dxa"/>
            <w:vAlign w:val="top"/>
          </w:tcPr>
          <w:p>
            <w:pPr>
              <w:ind w:left="128"/>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10.7</w:t>
            </w:r>
          </w:p>
        </w:tc>
        <w:tc>
          <w:tcPr>
            <w:tcW w:w="506" w:type="dxa"/>
            <w:vAlign w:val="top"/>
          </w:tcPr>
          <w:p>
            <w:pPr>
              <w:ind w:left="127"/>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6.6</w:t>
            </w:r>
          </w:p>
        </w:tc>
        <w:tc>
          <w:tcPr>
            <w:tcW w:w="535" w:type="dxa"/>
            <w:vAlign w:val="top"/>
          </w:tcPr>
          <w:p>
            <w:pPr>
              <w:ind w:left="137"/>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2.7</w:t>
            </w:r>
          </w:p>
        </w:tc>
        <w:tc>
          <w:tcPr>
            <w:tcW w:w="388" w:type="dxa"/>
            <w:vAlign w:val="top"/>
          </w:tcPr>
          <w:p>
            <w:pPr>
              <w:ind w:left="31"/>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19.0</w:t>
            </w:r>
          </w:p>
        </w:tc>
      </w:tr>
      <w:tr>
        <w:trPr>
          <w:trHeight w:val="631" w:hRule="atLeast"/>
        </w:trPr>
        <w:tc>
          <w:tcPr>
            <w:tcW w:w="885" w:type="dxa"/>
            <w:vAlign w:val="top"/>
          </w:tcPr>
          <w:p>
            <w:pPr>
              <w:pStyle w:val="TableText"/>
              <w:ind w:left="27"/>
              <w:spacing w:before="54" w:line="228" w:lineRule="auto"/>
              <w:rPr/>
            </w:pPr>
            <w:r>
              <w:rPr>
                <w:spacing w:val="7"/>
              </w:rPr>
              <w:t>平均风速</w:t>
            </w:r>
          </w:p>
          <w:p>
            <w:pPr>
              <w:pStyle w:val="TableText"/>
              <w:ind w:left="98"/>
              <w:spacing w:before="64" w:line="235" w:lineRule="auto"/>
              <w:rPr/>
            </w:pPr>
            <w:r>
              <w:rPr/>
              <w:t>（</w:t>
            </w:r>
            <w:r>
              <w:rPr>
                <w:rFonts w:ascii="Times New Roman" w:hAnsi="Times New Roman" w:eastAsia="Times New Roman" w:cs="Times New Roman"/>
              </w:rPr>
              <w:t>m/s</w:t>
            </w:r>
            <w:r>
              <w:rPr/>
              <w:t>）</w:t>
            </w:r>
          </w:p>
        </w:tc>
        <w:tc>
          <w:tcPr>
            <w:tcW w:w="434" w:type="dxa"/>
            <w:vAlign w:val="top"/>
          </w:tcPr>
          <w:p>
            <w:pPr>
              <w:ind w:left="84"/>
              <w:spacing w:before="2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c>
          <w:tcPr>
            <w:tcW w:w="463" w:type="dxa"/>
            <w:vAlign w:val="top"/>
          </w:tcPr>
          <w:p>
            <w:pPr>
              <w:ind w:left="99"/>
              <w:spacing w:before="2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2.4</w:t>
            </w:r>
          </w:p>
        </w:tc>
        <w:tc>
          <w:tcPr>
            <w:tcW w:w="395" w:type="dxa"/>
            <w:vAlign w:val="top"/>
          </w:tcPr>
          <w:p>
            <w:pPr>
              <w:ind w:left="66"/>
              <w:spacing w:before="2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438" w:type="dxa"/>
            <w:vAlign w:val="top"/>
          </w:tcPr>
          <w:p>
            <w:pPr>
              <w:ind w:left="106"/>
              <w:spacing w:before="2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1.9</w:t>
            </w:r>
          </w:p>
        </w:tc>
        <w:tc>
          <w:tcPr>
            <w:tcW w:w="395" w:type="dxa"/>
            <w:vAlign w:val="top"/>
          </w:tcPr>
          <w:p>
            <w:pPr>
              <w:ind w:left="86"/>
              <w:spacing w:before="2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1.9</w:t>
            </w:r>
          </w:p>
        </w:tc>
        <w:tc>
          <w:tcPr>
            <w:tcW w:w="400" w:type="dxa"/>
            <w:vAlign w:val="top"/>
          </w:tcPr>
          <w:p>
            <w:pPr>
              <w:ind w:left="87"/>
              <w:spacing w:before="2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1.6</w:t>
            </w:r>
          </w:p>
        </w:tc>
        <w:tc>
          <w:tcPr>
            <w:tcW w:w="395" w:type="dxa"/>
            <w:vAlign w:val="top"/>
          </w:tcPr>
          <w:p>
            <w:pPr>
              <w:ind w:left="85"/>
              <w:spacing w:before="2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1.7</w:t>
            </w:r>
          </w:p>
        </w:tc>
        <w:tc>
          <w:tcPr>
            <w:tcW w:w="395" w:type="dxa"/>
            <w:vAlign w:val="top"/>
          </w:tcPr>
          <w:p>
            <w:pPr>
              <w:ind w:left="66"/>
              <w:spacing w:before="2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395" w:type="dxa"/>
            <w:vAlign w:val="top"/>
          </w:tcPr>
          <w:p>
            <w:pPr>
              <w:ind w:left="69"/>
              <w:spacing w:before="2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3.3</w:t>
            </w:r>
          </w:p>
        </w:tc>
        <w:tc>
          <w:tcPr>
            <w:tcW w:w="463" w:type="dxa"/>
            <w:vAlign w:val="top"/>
          </w:tcPr>
          <w:p>
            <w:pPr>
              <w:ind w:left="98"/>
              <w:spacing w:before="2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395" w:type="dxa"/>
            <w:vAlign w:val="top"/>
          </w:tcPr>
          <w:p>
            <w:pPr>
              <w:ind w:left="70"/>
              <w:spacing w:before="2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3.7</w:t>
            </w:r>
          </w:p>
        </w:tc>
        <w:tc>
          <w:tcPr>
            <w:tcW w:w="547" w:type="dxa"/>
            <w:vAlign w:val="top"/>
          </w:tcPr>
          <w:p>
            <w:pPr>
              <w:ind w:left="145"/>
              <w:spacing w:before="2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3.8</w:t>
            </w:r>
          </w:p>
        </w:tc>
        <w:tc>
          <w:tcPr>
            <w:tcW w:w="506" w:type="dxa"/>
            <w:vAlign w:val="top"/>
          </w:tcPr>
          <w:p>
            <w:pPr>
              <w:ind w:left="121"/>
              <w:spacing w:before="2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4.6</w:t>
            </w:r>
          </w:p>
        </w:tc>
        <w:tc>
          <w:tcPr>
            <w:tcW w:w="583" w:type="dxa"/>
            <w:vAlign w:val="top"/>
          </w:tcPr>
          <w:p>
            <w:pPr>
              <w:ind w:left="167"/>
              <w:spacing w:before="24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5.7</w:t>
            </w:r>
          </w:p>
        </w:tc>
        <w:tc>
          <w:tcPr>
            <w:tcW w:w="506" w:type="dxa"/>
            <w:vAlign w:val="top"/>
          </w:tcPr>
          <w:p>
            <w:pPr>
              <w:ind w:left="122"/>
              <w:spacing w:before="2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4.7</w:t>
            </w:r>
          </w:p>
        </w:tc>
        <w:tc>
          <w:tcPr>
            <w:tcW w:w="535" w:type="dxa"/>
            <w:vAlign w:val="top"/>
          </w:tcPr>
          <w:p>
            <w:pPr>
              <w:ind w:left="142"/>
              <w:spacing w:before="2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3.3</w:t>
            </w:r>
          </w:p>
        </w:tc>
        <w:tc>
          <w:tcPr>
            <w:tcW w:w="388" w:type="dxa"/>
            <w:vAlign w:val="top"/>
          </w:tcPr>
          <w:p>
            <w:pPr>
              <w:rPr>
                <w:rFonts w:ascii="Arial"/>
                <w:sz w:val="21"/>
              </w:rPr>
            </w:pPr>
            <w:r/>
          </w:p>
        </w:tc>
      </w:tr>
    </w:tbl>
    <w:p>
      <w:pPr>
        <w:pStyle w:val="BodyText"/>
        <w:spacing w:line="71" w:lineRule="exact"/>
        <w:rPr>
          <w:sz w:val="6"/>
        </w:rPr>
      </w:pPr>
      <w:r/>
    </w:p>
    <w:p>
      <w:pPr>
        <w:spacing w:line="71" w:lineRule="exact"/>
        <w:sectPr>
          <w:headerReference w:type="default" r:id="rId184"/>
          <w:footerReference w:type="default" r:id="rId185"/>
          <w:pgSz w:w="11906" w:h="16839"/>
          <w:pgMar w:top="1567" w:right="1639" w:bottom="1811" w:left="1691" w:header="1221" w:footer="1128" w:gutter="0"/>
          <w:cols w:equalWidth="0" w:num="1">
            <w:col w:w="8576" w:space="0"/>
          </w:cols>
        </w:sectPr>
        <w:rPr>
          <w:sz w:val="6"/>
          <w:szCs w:val="6"/>
        </w:rPr>
      </w:pPr>
    </w:p>
    <w:p>
      <w:pPr>
        <w:ind w:firstLine="571"/>
        <w:spacing w:line="3287" w:lineRule="exact"/>
        <w:rPr/>
      </w:pPr>
      <w:r>
        <w:rPr>
          <w:position w:val="-65"/>
        </w:rPr>
        <w:drawing>
          <wp:inline distT="0" distB="0" distL="0" distR="0">
            <wp:extent cx="2215895" cy="2087879"/>
            <wp:effectExtent l="0" t="0" r="0" b="0"/>
            <wp:docPr id="96" name="IM 96"/>
            <wp:cNvGraphicFramePr/>
            <a:graphic>
              <a:graphicData uri="http://schemas.openxmlformats.org/drawingml/2006/picture">
                <pic:pic>
                  <pic:nvPicPr>
                    <pic:cNvPr id="96" name="IM 96"/>
                    <pic:cNvPicPr/>
                  </pic:nvPicPr>
                  <pic:blipFill>
                    <a:blip r:embed="rId186"/>
                    <a:stretch>
                      <a:fillRect/>
                    </a:stretch>
                  </pic:blipFill>
                  <pic:spPr>
                    <a:xfrm rot="0">
                      <a:off x="0" y="0"/>
                      <a:ext cx="2215895" cy="2087879"/>
                    </a:xfrm>
                    <a:prstGeom prst="rect">
                      <a:avLst/>
                    </a:prstGeom>
                  </pic:spPr>
                </pic:pic>
              </a:graphicData>
            </a:graphic>
          </wp:inline>
        </w:drawing>
      </w:r>
    </w:p>
    <w:p>
      <w:pPr>
        <w:ind w:left="459"/>
        <w:spacing w:before="202" w:line="228" w:lineRule="auto"/>
        <w:rPr>
          <w:rFonts w:ascii="SimSun" w:hAnsi="SimSun" w:eastAsia="SimSun" w:cs="SimSun"/>
          <w:sz w:val="20"/>
          <w:szCs w:val="20"/>
        </w:rPr>
      </w:pPr>
      <w:r>
        <w:rPr>
          <w:rFonts w:ascii="SimSun" w:hAnsi="SimSun" w:eastAsia="SimSun" w:cs="SimSun"/>
          <w:sz w:val="20"/>
          <w:szCs w:val="20"/>
          <w:b/>
          <w:bCs/>
          <w:spacing w:val="4"/>
        </w:rPr>
        <w:t>图</w:t>
      </w:r>
      <w:r>
        <w:rPr>
          <w:rFonts w:ascii="Times New Roman" w:hAnsi="Times New Roman" w:eastAsia="Times New Roman" w:cs="Times New Roman"/>
          <w:sz w:val="20"/>
          <w:szCs w:val="20"/>
          <w:b/>
          <w:bCs/>
          <w:spacing w:val="4"/>
        </w:rPr>
        <w:t>5.1-1      </w:t>
      </w:r>
      <w:r>
        <w:rPr>
          <w:rFonts w:ascii="SimSun" w:hAnsi="SimSun" w:eastAsia="SimSun" w:cs="SimSun"/>
          <w:sz w:val="20"/>
          <w:szCs w:val="20"/>
          <w:b/>
          <w:bCs/>
          <w:spacing w:val="4"/>
        </w:rPr>
        <w:t>全年风向频率玫瑰图</w:t>
      </w:r>
    </w:p>
    <w:p>
      <w:pPr>
        <w:spacing w:line="44" w:lineRule="auto"/>
        <w:rPr>
          <w:rFonts w:ascii="Arial"/>
          <w:sz w:val="2"/>
        </w:rPr>
      </w:pPr>
      <w:r>
        <w:rPr>
          <w:rFonts w:ascii="Arial"/>
          <w:sz w:val="2"/>
        </w:rPr>
      </w:r>
    </w:p>
    <w:p>
      <w:pPr>
        <w:pStyle w:val="BodyText"/>
        <w:spacing w:line="14" w:lineRule="auto"/>
        <w:rPr>
          <w:sz w:val="2"/>
        </w:rPr>
      </w:pPr>
      <w:r>
        <w:rPr>
          <w:sz w:val="2"/>
          <w:szCs w:val="2"/>
        </w:rPr>
        <w:br w:type="column"/>
      </w:r>
    </w:p>
    <w:p>
      <w:pPr>
        <w:spacing w:before="8" w:line="3278" w:lineRule="exact"/>
        <w:rPr/>
      </w:pPr>
      <w:r>
        <w:rPr>
          <w:position w:val="-65"/>
        </w:rPr>
        <w:drawing>
          <wp:inline distT="0" distB="0" distL="0" distR="0">
            <wp:extent cx="2164079" cy="2081784"/>
            <wp:effectExtent l="0" t="0" r="0" b="0"/>
            <wp:docPr id="98" name="IM 98"/>
            <wp:cNvGraphicFramePr/>
            <a:graphic>
              <a:graphicData uri="http://schemas.openxmlformats.org/drawingml/2006/picture">
                <pic:pic>
                  <pic:nvPicPr>
                    <pic:cNvPr id="98" name="IM 98"/>
                    <pic:cNvPicPr/>
                  </pic:nvPicPr>
                  <pic:blipFill>
                    <a:blip r:embed="rId187"/>
                    <a:stretch>
                      <a:fillRect/>
                    </a:stretch>
                  </pic:blipFill>
                  <pic:spPr>
                    <a:xfrm rot="0">
                      <a:off x="0" y="0"/>
                      <a:ext cx="2164079" cy="2081784"/>
                    </a:xfrm>
                    <a:prstGeom prst="rect">
                      <a:avLst/>
                    </a:prstGeom>
                  </pic:spPr>
                </pic:pic>
              </a:graphicData>
            </a:graphic>
          </wp:inline>
        </w:drawing>
      </w:r>
    </w:p>
    <w:p>
      <w:pPr>
        <w:ind w:left="664"/>
        <w:spacing w:before="202" w:line="228" w:lineRule="auto"/>
        <w:rPr>
          <w:rFonts w:ascii="SimSun" w:hAnsi="SimSun" w:eastAsia="SimSun" w:cs="SimSun"/>
          <w:sz w:val="20"/>
          <w:szCs w:val="20"/>
        </w:rPr>
      </w:pPr>
      <w:r>
        <w:rPr>
          <w:rFonts w:ascii="SimSun" w:hAnsi="SimSun" w:eastAsia="SimSun" w:cs="SimSun"/>
          <w:sz w:val="20"/>
          <w:szCs w:val="20"/>
          <w:b/>
          <w:bCs/>
          <w:spacing w:val="3"/>
        </w:rPr>
        <w:t>图</w:t>
      </w:r>
      <w:r>
        <w:rPr>
          <w:rFonts w:ascii="Times New Roman" w:hAnsi="Times New Roman" w:eastAsia="Times New Roman" w:cs="Times New Roman"/>
          <w:sz w:val="20"/>
          <w:szCs w:val="20"/>
          <w:b/>
          <w:bCs/>
          <w:spacing w:val="3"/>
        </w:rPr>
        <w:t>5.1-2      </w:t>
      </w:r>
      <w:r>
        <w:rPr>
          <w:rFonts w:ascii="SimSun" w:hAnsi="SimSun" w:eastAsia="SimSun" w:cs="SimSun"/>
          <w:sz w:val="20"/>
          <w:szCs w:val="20"/>
          <w:b/>
          <w:bCs/>
          <w:spacing w:val="3"/>
        </w:rPr>
        <w:t>全年风速玫瑰图</w:t>
      </w:r>
    </w:p>
    <w:p>
      <w:pPr>
        <w:spacing w:line="228" w:lineRule="auto"/>
        <w:sectPr>
          <w:type w:val="continuous"/>
          <w:pgSz w:w="11906" w:h="16839"/>
          <w:pgMar w:top="1567" w:right="1639" w:bottom="1811" w:left="1691" w:header="1221" w:footer="1128" w:gutter="0"/>
          <w:cols w:equalWidth="0" w:num="2">
            <w:col w:w="4445" w:space="100"/>
            <w:col w:w="4032" w:space="0"/>
          </w:cols>
        </w:sectPr>
        <w:rPr>
          <w:rFonts w:ascii="SimSun" w:hAnsi="SimSun" w:eastAsia="SimSun" w:cs="SimSun"/>
          <w:sz w:val="20"/>
          <w:szCs w:val="20"/>
        </w:rPr>
      </w:pPr>
    </w:p>
    <w:p>
      <w:pPr>
        <w:ind w:left="497"/>
        <w:spacing w:before="203" w:line="217" w:lineRule="auto"/>
        <w:rPr>
          <w:rFonts w:ascii="SimSun" w:hAnsi="SimSun" w:eastAsia="SimSun" w:cs="SimSun"/>
          <w:sz w:val="24"/>
          <w:szCs w:val="24"/>
        </w:rPr>
      </w:pPr>
      <w:r>
        <w:pict>
          <v:shape id="_x0000_s726" style="position:absolute;margin-left:0.490006pt;margin-top:-370.4pt;mso-position-vertical-relative:text;mso-position-horizontal-relative:text;width:425.25pt;height:0.75pt;z-index:251991040;" fillcolor="#000000" filled="true" stroked="false" coordsize="8505,15" coordorigin="0,0" path="m,l8504,0l8504,14l0,14l0,0xe"/>
        </w:pict>
      </w:r>
      <w:r>
        <w:rPr>
          <w:rFonts w:ascii="SimSun" w:hAnsi="SimSun" w:eastAsia="SimSun" w:cs="SimSun"/>
          <w:sz w:val="24"/>
          <w:szCs w:val="24"/>
          <w:spacing w:val="-2"/>
        </w:rPr>
        <w:t>②地面风速变化</w:t>
      </w:r>
    </w:p>
    <w:p>
      <w:pPr>
        <w:ind w:left="18" w:firstLine="483"/>
        <w:spacing w:before="185" w:line="360" w:lineRule="auto"/>
        <w:rPr>
          <w:rFonts w:ascii="SimSun" w:hAnsi="SimSun" w:eastAsia="SimSun" w:cs="SimSun"/>
          <w:sz w:val="24"/>
          <w:szCs w:val="24"/>
        </w:rPr>
      </w:pPr>
      <w:r>
        <w:rPr>
          <w:rFonts w:ascii="SimSun" w:hAnsi="SimSun" w:eastAsia="SimSun" w:cs="SimSun"/>
          <w:sz w:val="24"/>
          <w:szCs w:val="24"/>
          <w:spacing w:val="1"/>
        </w:rPr>
        <w:t>从正镶白旗气象站近</w:t>
      </w:r>
      <w:r>
        <w:rPr>
          <w:rFonts w:ascii="Times New Roman" w:hAnsi="Times New Roman" w:eastAsia="Times New Roman" w:cs="Times New Roman"/>
          <w:sz w:val="24"/>
          <w:szCs w:val="24"/>
          <w:spacing w:val="1"/>
        </w:rPr>
        <w:t>30</w:t>
      </w:r>
      <w:r>
        <w:rPr>
          <w:rFonts w:ascii="SimSun" w:hAnsi="SimSun" w:eastAsia="SimSun" w:cs="SimSun"/>
          <w:sz w:val="24"/>
          <w:szCs w:val="24"/>
          <w:spacing w:val="1"/>
        </w:rPr>
        <w:t>年平均风速的统计（见表</w:t>
      </w:r>
      <w:r>
        <w:rPr>
          <w:rFonts w:ascii="Times New Roman" w:hAnsi="Times New Roman" w:eastAsia="Times New Roman" w:cs="Times New Roman"/>
          <w:sz w:val="24"/>
          <w:szCs w:val="24"/>
          <w:spacing w:val="1"/>
        </w:rPr>
        <w:t>5.</w:t>
      </w:r>
      <w:r>
        <w:rPr>
          <w:rFonts w:ascii="Times New Roman" w:hAnsi="Times New Roman" w:eastAsia="Times New Roman" w:cs="Times New Roman"/>
          <w:sz w:val="24"/>
          <w:szCs w:val="24"/>
          <w:spacing w:val="-28"/>
        </w:rPr>
        <w:t xml:space="preserve"> </w:t>
      </w:r>
      <w:r>
        <w:rPr>
          <w:rFonts w:ascii="Times New Roman" w:hAnsi="Times New Roman" w:eastAsia="Times New Roman" w:cs="Times New Roman"/>
          <w:sz w:val="24"/>
          <w:szCs w:val="24"/>
          <w:spacing w:val="1"/>
        </w:rPr>
        <w:t>1-5</w:t>
      </w:r>
      <w:r>
        <w:rPr>
          <w:rFonts w:ascii="SimSun" w:hAnsi="SimSun" w:eastAsia="SimSun" w:cs="SimSun"/>
          <w:sz w:val="24"/>
          <w:szCs w:val="24"/>
          <w:spacing w:val="1"/>
        </w:rPr>
        <w:t>）可以看出：该地区年</w:t>
      </w:r>
      <w:r>
        <w:rPr>
          <w:rFonts w:ascii="SimSun" w:hAnsi="SimSun" w:eastAsia="SimSun" w:cs="SimSun"/>
          <w:sz w:val="24"/>
          <w:szCs w:val="24"/>
        </w:rPr>
        <w:t xml:space="preserve"> </w:t>
      </w:r>
      <w:r>
        <w:rPr>
          <w:rFonts w:ascii="SimSun" w:hAnsi="SimSun" w:eastAsia="SimSun" w:cs="SimSun"/>
          <w:sz w:val="24"/>
          <w:szCs w:val="24"/>
          <w:spacing w:val="-6"/>
        </w:rPr>
        <w:t>平均风速为</w:t>
      </w:r>
      <w:r>
        <w:rPr>
          <w:rFonts w:ascii="Times New Roman" w:hAnsi="Times New Roman" w:eastAsia="Times New Roman" w:cs="Times New Roman"/>
          <w:sz w:val="24"/>
          <w:szCs w:val="24"/>
          <w:spacing w:val="-6"/>
        </w:rPr>
        <w:t>3.2m/s</w:t>
      </w:r>
      <w:r>
        <w:rPr>
          <w:rFonts w:ascii="SimSun" w:hAnsi="SimSun" w:eastAsia="SimSun" w:cs="SimSun"/>
          <w:sz w:val="24"/>
          <w:szCs w:val="24"/>
          <w:spacing w:val="-6"/>
        </w:rPr>
        <w:t>。全年以春季（</w:t>
      </w:r>
      <w:r>
        <w:rPr>
          <w:rFonts w:ascii="Times New Roman" w:hAnsi="Times New Roman" w:eastAsia="Times New Roman" w:cs="Times New Roman"/>
          <w:sz w:val="24"/>
          <w:szCs w:val="24"/>
          <w:spacing w:val="-6"/>
        </w:rPr>
        <w:t>3</w:t>
      </w:r>
      <w:r>
        <w:rPr>
          <w:rFonts w:ascii="SimSun" w:hAnsi="SimSun" w:eastAsia="SimSun" w:cs="SimSun"/>
          <w:sz w:val="24"/>
          <w:szCs w:val="24"/>
          <w:spacing w:val="-6"/>
        </w:rPr>
        <w:t>～</w:t>
      </w:r>
      <w:r>
        <w:rPr>
          <w:rFonts w:ascii="Times New Roman" w:hAnsi="Times New Roman" w:eastAsia="Times New Roman" w:cs="Times New Roman"/>
          <w:sz w:val="24"/>
          <w:szCs w:val="24"/>
          <w:spacing w:val="-6"/>
        </w:rPr>
        <w:t>5</w:t>
      </w:r>
      <w:r>
        <w:rPr>
          <w:rFonts w:ascii="SimSun" w:hAnsi="SimSun" w:eastAsia="SimSun" w:cs="SimSun"/>
          <w:sz w:val="24"/>
          <w:szCs w:val="24"/>
          <w:spacing w:val="-6"/>
        </w:rPr>
        <w:t>月）风速最大，平均风速最小出</w:t>
      </w:r>
      <w:r>
        <w:rPr>
          <w:rFonts w:ascii="SimSun" w:hAnsi="SimSun" w:eastAsia="SimSun" w:cs="SimSun"/>
          <w:sz w:val="24"/>
          <w:szCs w:val="24"/>
          <w:spacing w:val="-7"/>
        </w:rPr>
        <w:t>现在八月份，</w:t>
      </w:r>
      <w:r>
        <w:rPr>
          <w:rFonts w:ascii="SimSun" w:hAnsi="SimSun" w:eastAsia="SimSun" w:cs="SimSun"/>
          <w:sz w:val="24"/>
          <w:szCs w:val="24"/>
        </w:rPr>
        <w:t xml:space="preserve"> </w:t>
      </w:r>
      <w:r>
        <w:rPr>
          <w:rFonts w:ascii="SimSun" w:hAnsi="SimSun" w:eastAsia="SimSun" w:cs="SimSun"/>
          <w:sz w:val="24"/>
          <w:szCs w:val="24"/>
          <w:spacing w:val="-1"/>
        </w:rPr>
        <w:t>平均风速均为</w:t>
      </w:r>
      <w:r>
        <w:rPr>
          <w:rFonts w:ascii="Times New Roman" w:hAnsi="Times New Roman" w:eastAsia="Times New Roman" w:cs="Times New Roman"/>
          <w:sz w:val="24"/>
          <w:szCs w:val="24"/>
          <w:spacing w:val="-1"/>
        </w:rPr>
        <w:t>2.5m/s</w:t>
      </w:r>
      <w:r>
        <w:rPr>
          <w:rFonts w:ascii="SimSun" w:hAnsi="SimSun" w:eastAsia="SimSun" w:cs="SimSun"/>
          <w:sz w:val="24"/>
          <w:szCs w:val="24"/>
          <w:spacing w:val="-1"/>
        </w:rPr>
        <w:t>；风速的年较差为</w:t>
      </w:r>
      <w:r>
        <w:rPr>
          <w:rFonts w:ascii="Times New Roman" w:hAnsi="Times New Roman" w:eastAsia="Times New Roman" w:cs="Times New Roman"/>
          <w:sz w:val="24"/>
          <w:szCs w:val="24"/>
          <w:spacing w:val="-1"/>
        </w:rPr>
        <w:t>1.7m/s</w:t>
      </w:r>
      <w:r>
        <w:rPr>
          <w:rFonts w:ascii="SimSun" w:hAnsi="SimSun" w:eastAsia="SimSun" w:cs="SimSun"/>
          <w:sz w:val="24"/>
          <w:szCs w:val="24"/>
          <w:spacing w:val="-1"/>
        </w:rPr>
        <w:t>。</w:t>
      </w:r>
    </w:p>
    <w:p>
      <w:pPr>
        <w:ind w:left="504"/>
        <w:spacing w:before="1" w:line="219" w:lineRule="auto"/>
        <w:rPr>
          <w:rFonts w:ascii="SimSun" w:hAnsi="SimSun" w:eastAsia="SimSun" w:cs="SimSun"/>
          <w:sz w:val="24"/>
          <w:szCs w:val="24"/>
        </w:rPr>
      </w:pPr>
      <w:r>
        <w:rPr>
          <w:rFonts w:ascii="SimSun" w:hAnsi="SimSun" w:eastAsia="SimSun" w:cs="SimSun"/>
          <w:sz w:val="24"/>
          <w:szCs w:val="24"/>
          <w:spacing w:val="-1"/>
        </w:rPr>
        <w:t>正镶白旗逐月平均风速变化曲线见图</w:t>
      </w:r>
      <w:r>
        <w:rPr>
          <w:rFonts w:ascii="Times New Roman" w:hAnsi="Times New Roman" w:eastAsia="Times New Roman" w:cs="Times New Roman"/>
          <w:sz w:val="24"/>
          <w:szCs w:val="24"/>
          <w:spacing w:val="-1"/>
        </w:rPr>
        <w:t>5.1-3</w:t>
      </w:r>
      <w:r>
        <w:rPr>
          <w:rFonts w:ascii="SimSun" w:hAnsi="SimSun" w:eastAsia="SimSun" w:cs="SimSun"/>
          <w:sz w:val="24"/>
          <w:szCs w:val="24"/>
          <w:spacing w:val="-1"/>
        </w:rPr>
        <w:t>。</w:t>
      </w:r>
    </w:p>
    <w:p>
      <w:pPr>
        <w:ind w:left="1161"/>
        <w:spacing w:before="103"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6"/>
        </w:rPr>
        <w:t xml:space="preserve"> </w:t>
      </w:r>
      <w:r>
        <w:rPr>
          <w:rFonts w:ascii="Times New Roman" w:hAnsi="Times New Roman" w:eastAsia="Times New Roman" w:cs="Times New Roman"/>
          <w:sz w:val="24"/>
          <w:szCs w:val="24"/>
          <w:b/>
          <w:bCs/>
          <w:spacing w:val="-2"/>
        </w:rPr>
        <w:t>5.1-4        </w:t>
      </w:r>
      <w:r>
        <w:rPr>
          <w:rFonts w:ascii="SimSun" w:hAnsi="SimSun" w:eastAsia="SimSun" w:cs="SimSun"/>
          <w:sz w:val="24"/>
          <w:szCs w:val="24"/>
          <w:b/>
          <w:bCs/>
          <w:spacing w:val="-2"/>
        </w:rPr>
        <w:t>正镶白旗气象站近</w:t>
      </w:r>
      <w:r>
        <w:rPr>
          <w:rFonts w:ascii="SimSun" w:hAnsi="SimSun" w:eastAsia="SimSun" w:cs="SimSun"/>
          <w:sz w:val="24"/>
          <w:szCs w:val="24"/>
          <w:spacing w:val="-56"/>
        </w:rPr>
        <w:t xml:space="preserve"> </w:t>
      </w:r>
      <w:r>
        <w:rPr>
          <w:rFonts w:ascii="Times New Roman" w:hAnsi="Times New Roman" w:eastAsia="Times New Roman" w:cs="Times New Roman"/>
          <w:sz w:val="24"/>
          <w:szCs w:val="24"/>
          <w:b/>
          <w:bCs/>
          <w:spacing w:val="-2"/>
        </w:rPr>
        <w:t>30 </w:t>
      </w:r>
      <w:r>
        <w:rPr>
          <w:rFonts w:ascii="SimSun" w:hAnsi="SimSun" w:eastAsia="SimSun" w:cs="SimSun"/>
          <w:sz w:val="24"/>
          <w:szCs w:val="24"/>
          <w:b/>
          <w:bCs/>
          <w:spacing w:val="-2"/>
        </w:rPr>
        <w:t>年各月、年平均风速数值</w:t>
      </w:r>
    </w:p>
    <w:tbl>
      <w:tblPr>
        <w:tblStyle w:val="TableNormal"/>
        <w:tblW w:w="8518"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00"/>
        <w:gridCol w:w="435"/>
        <w:gridCol w:w="505"/>
        <w:gridCol w:w="505"/>
        <w:gridCol w:w="608"/>
        <w:gridCol w:w="607"/>
        <w:gridCol w:w="607"/>
        <w:gridCol w:w="714"/>
        <w:gridCol w:w="714"/>
        <w:gridCol w:w="606"/>
        <w:gridCol w:w="607"/>
        <w:gridCol w:w="503"/>
        <w:gridCol w:w="503"/>
        <w:gridCol w:w="604"/>
      </w:tblGrid>
      <w:tr>
        <w:trPr>
          <w:trHeight w:val="319" w:hRule="atLeast"/>
        </w:trPr>
        <w:tc>
          <w:tcPr>
            <w:tcW w:w="1000" w:type="dxa"/>
            <w:vAlign w:val="top"/>
          </w:tcPr>
          <w:p>
            <w:pPr>
              <w:pStyle w:val="TableText"/>
              <w:ind w:left="301"/>
              <w:spacing w:before="55" w:line="227" w:lineRule="auto"/>
              <w:rPr/>
            </w:pPr>
            <w:r>
              <w:rPr>
                <w:spacing w:val="2"/>
              </w:rPr>
              <w:t>月份</w:t>
            </w:r>
          </w:p>
        </w:tc>
        <w:tc>
          <w:tcPr>
            <w:tcW w:w="435" w:type="dxa"/>
            <w:vAlign w:val="top"/>
          </w:tcPr>
          <w:p>
            <w:pPr>
              <w:ind w:left="184"/>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505" w:type="dxa"/>
            <w:vAlign w:val="top"/>
          </w:tcPr>
          <w:p>
            <w:pPr>
              <w:ind w:left="199"/>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505" w:type="dxa"/>
            <w:vAlign w:val="top"/>
          </w:tcPr>
          <w:p>
            <w:pPr>
              <w:ind w:left="205"/>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608" w:type="dxa"/>
            <w:vAlign w:val="top"/>
          </w:tcPr>
          <w:p>
            <w:pPr>
              <w:ind w:left="251"/>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607" w:type="dxa"/>
            <w:vAlign w:val="top"/>
          </w:tcPr>
          <w:p>
            <w:pPr>
              <w:ind w:left="257"/>
              <w:spacing w:before="94"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607" w:type="dxa"/>
            <w:vAlign w:val="top"/>
          </w:tcPr>
          <w:p>
            <w:pPr>
              <w:ind w:left="256"/>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714" w:type="dxa"/>
            <w:vAlign w:val="top"/>
          </w:tcPr>
          <w:p>
            <w:pPr>
              <w:ind w:left="308"/>
              <w:spacing w:before="94"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714" w:type="dxa"/>
            <w:vAlign w:val="top"/>
          </w:tcPr>
          <w:p>
            <w:pPr>
              <w:ind w:left="314"/>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606" w:type="dxa"/>
            <w:vAlign w:val="top"/>
          </w:tcPr>
          <w:p>
            <w:pPr>
              <w:ind w:left="258"/>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607" w:type="dxa"/>
            <w:vAlign w:val="top"/>
          </w:tcPr>
          <w:p>
            <w:pPr>
              <w:ind w:left="223"/>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503" w:type="dxa"/>
            <w:vAlign w:val="top"/>
          </w:tcPr>
          <w:p>
            <w:pPr>
              <w:ind w:left="173"/>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rPr>
              <w:t>11</w:t>
            </w:r>
          </w:p>
        </w:tc>
        <w:tc>
          <w:tcPr>
            <w:tcW w:w="503" w:type="dxa"/>
            <w:vAlign w:val="top"/>
          </w:tcPr>
          <w:p>
            <w:pPr>
              <w:ind w:left="169"/>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604" w:type="dxa"/>
            <w:vAlign w:val="top"/>
          </w:tcPr>
          <w:p>
            <w:pPr>
              <w:pStyle w:val="TableText"/>
              <w:ind w:left="97"/>
              <w:spacing w:before="55" w:line="228" w:lineRule="auto"/>
              <w:rPr/>
            </w:pPr>
            <w:r>
              <w:rPr>
                <w:spacing w:val="5"/>
              </w:rPr>
              <w:t>平均</w:t>
            </w:r>
          </w:p>
        </w:tc>
      </w:tr>
      <w:tr>
        <w:trPr>
          <w:trHeight w:val="318" w:hRule="atLeast"/>
        </w:trPr>
        <w:tc>
          <w:tcPr>
            <w:tcW w:w="1000" w:type="dxa"/>
            <w:vAlign w:val="top"/>
          </w:tcPr>
          <w:p>
            <w:pPr>
              <w:pStyle w:val="TableText"/>
              <w:spacing w:before="54" w:line="228" w:lineRule="auto"/>
              <w:jc w:val="right"/>
              <w:rPr/>
            </w:pPr>
            <w:r>
              <w:rPr>
                <w:spacing w:val="-16"/>
              </w:rPr>
              <w:t>风速（</w:t>
            </w:r>
            <w:r>
              <w:rPr>
                <w:rFonts w:ascii="Times New Roman" w:hAnsi="Times New Roman" w:eastAsia="Times New Roman" w:cs="Times New Roman"/>
                <w:spacing w:val="-16"/>
              </w:rPr>
              <w:t>m/s</w:t>
            </w:r>
            <w:r>
              <w:rPr>
                <w:spacing w:val="-16"/>
              </w:rPr>
              <w:t>）</w:t>
            </w:r>
          </w:p>
        </w:tc>
        <w:tc>
          <w:tcPr>
            <w:tcW w:w="435" w:type="dxa"/>
            <w:vAlign w:val="top"/>
          </w:tcPr>
          <w:p>
            <w:pPr>
              <w:ind w:left="84"/>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2.9</w:t>
            </w:r>
          </w:p>
        </w:tc>
        <w:tc>
          <w:tcPr>
            <w:tcW w:w="505" w:type="dxa"/>
            <w:vAlign w:val="top"/>
          </w:tcPr>
          <w:p>
            <w:pPr>
              <w:ind w:left="124"/>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3.0</w:t>
            </w:r>
          </w:p>
        </w:tc>
        <w:tc>
          <w:tcPr>
            <w:tcW w:w="505" w:type="dxa"/>
            <w:vAlign w:val="top"/>
          </w:tcPr>
          <w:p>
            <w:pPr>
              <w:ind w:left="125"/>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3.6</w:t>
            </w:r>
          </w:p>
        </w:tc>
        <w:tc>
          <w:tcPr>
            <w:tcW w:w="608" w:type="dxa"/>
            <w:vAlign w:val="top"/>
          </w:tcPr>
          <w:p>
            <w:pPr>
              <w:ind w:left="172"/>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w:t>
            </w:r>
          </w:p>
        </w:tc>
        <w:tc>
          <w:tcPr>
            <w:tcW w:w="607" w:type="dxa"/>
            <w:vAlign w:val="top"/>
          </w:tcPr>
          <w:p>
            <w:pPr>
              <w:ind w:left="171"/>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w:t>
            </w:r>
          </w:p>
        </w:tc>
        <w:tc>
          <w:tcPr>
            <w:tcW w:w="607" w:type="dxa"/>
            <w:vAlign w:val="top"/>
          </w:tcPr>
          <w:p>
            <w:pPr>
              <w:ind w:left="177"/>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3.4</w:t>
            </w:r>
          </w:p>
        </w:tc>
        <w:tc>
          <w:tcPr>
            <w:tcW w:w="714" w:type="dxa"/>
            <w:vAlign w:val="top"/>
          </w:tcPr>
          <w:p>
            <w:pPr>
              <w:ind w:left="225"/>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2.9</w:t>
            </w:r>
          </w:p>
        </w:tc>
        <w:tc>
          <w:tcPr>
            <w:tcW w:w="714" w:type="dxa"/>
            <w:vAlign w:val="top"/>
          </w:tcPr>
          <w:p>
            <w:pPr>
              <w:ind w:left="227"/>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606" w:type="dxa"/>
            <w:vAlign w:val="top"/>
          </w:tcPr>
          <w:p>
            <w:pPr>
              <w:ind w:left="175"/>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2.7</w:t>
            </w:r>
          </w:p>
        </w:tc>
        <w:tc>
          <w:tcPr>
            <w:tcW w:w="607" w:type="dxa"/>
            <w:vAlign w:val="top"/>
          </w:tcPr>
          <w:p>
            <w:pPr>
              <w:ind w:left="180"/>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1"/>
              </w:rPr>
              <w:t>1</w:t>
            </w:r>
          </w:p>
        </w:tc>
        <w:tc>
          <w:tcPr>
            <w:tcW w:w="503" w:type="dxa"/>
            <w:vAlign w:val="top"/>
          </w:tcPr>
          <w:p>
            <w:pPr>
              <w:ind w:left="128"/>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3.3</w:t>
            </w:r>
          </w:p>
        </w:tc>
        <w:tc>
          <w:tcPr>
            <w:tcW w:w="503" w:type="dxa"/>
            <w:vAlign w:val="top"/>
          </w:tcPr>
          <w:p>
            <w:pPr>
              <w:ind w:left="129"/>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3.3</w:t>
            </w:r>
          </w:p>
        </w:tc>
        <w:tc>
          <w:tcPr>
            <w:tcW w:w="604" w:type="dxa"/>
            <w:vAlign w:val="top"/>
          </w:tcPr>
          <w:p>
            <w:pPr>
              <w:ind w:left="175"/>
              <w:spacing w:before="9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3.2</w:t>
            </w:r>
          </w:p>
        </w:tc>
      </w:tr>
    </w:tbl>
    <w:p>
      <w:pPr>
        <w:pStyle w:val="BodyText"/>
        <w:spacing w:line="14" w:lineRule="auto"/>
        <w:rPr>
          <w:sz w:val="2"/>
        </w:rPr>
      </w:pPr>
      <w:r/>
    </w:p>
    <w:p>
      <w:pPr>
        <w:spacing w:line="14" w:lineRule="auto"/>
        <w:sectPr>
          <w:type w:val="continuous"/>
          <w:pgSz w:w="11906" w:h="16839"/>
          <w:pgMar w:top="1567" w:right="1639" w:bottom="1811" w:left="1691" w:header="1221" w:footer="1128" w:gutter="0"/>
          <w:cols w:equalWidth="0" w:num="1">
            <w:col w:w="8576" w:space="0"/>
          </w:cols>
        </w:sectPr>
        <w:rPr>
          <w:sz w:val="2"/>
          <w:szCs w:val="2"/>
        </w:rPr>
      </w:pPr>
    </w:p>
    <w:p>
      <w:pPr>
        <w:ind w:firstLine="131"/>
        <w:spacing w:before="132" w:line="3773" w:lineRule="exact"/>
        <w:rPr/>
      </w:pPr>
      <w:r>
        <w:pict>
          <v:shape id="_x0000_s730" style="position:absolute;margin-left:85.05pt;margin-top:79.11pt;mso-position-vertical-relative:page;mso-position-horizontal-relative:page;width:425.25pt;height:0.75pt;z-index:251993088;" o:allowincell="f" fillcolor="#000000" filled="true" stroked="false" coordsize="8505,15" coordorigin="0,0" path="m,l8504,0l8504,14l0,14l0,0xe"/>
        </w:pict>
      </w:r>
      <w:r>
        <w:rPr>
          <w:position w:val="-75"/>
        </w:rPr>
        <w:drawing>
          <wp:inline distT="0" distB="0" distL="0" distR="0">
            <wp:extent cx="5227320" cy="2395855"/>
            <wp:effectExtent l="0" t="0" r="0" b="0"/>
            <wp:docPr id="100" name="IM 100"/>
            <wp:cNvGraphicFramePr/>
            <a:graphic>
              <a:graphicData uri="http://schemas.openxmlformats.org/drawingml/2006/picture">
                <pic:pic>
                  <pic:nvPicPr>
                    <pic:cNvPr id="100" name="IM 100"/>
                    <pic:cNvPicPr/>
                  </pic:nvPicPr>
                  <pic:blipFill>
                    <a:blip r:embed="rId190"/>
                    <a:stretch>
                      <a:fillRect/>
                    </a:stretch>
                  </pic:blipFill>
                  <pic:spPr>
                    <a:xfrm rot="0">
                      <a:off x="0" y="0"/>
                      <a:ext cx="5227320" cy="2395855"/>
                    </a:xfrm>
                    <a:prstGeom prst="rect">
                      <a:avLst/>
                    </a:prstGeom>
                  </pic:spPr>
                </pic:pic>
              </a:graphicData>
            </a:graphic>
          </wp:inline>
        </w:drawing>
      </w:r>
    </w:p>
    <w:p>
      <w:pPr>
        <w:ind w:left="2083"/>
        <w:spacing w:before="105"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37"/>
        </w:rPr>
        <w:t xml:space="preserve"> </w:t>
      </w:r>
      <w:r>
        <w:rPr>
          <w:rFonts w:ascii="Times New Roman" w:hAnsi="Times New Roman" w:eastAsia="Times New Roman" w:cs="Times New Roman"/>
          <w:sz w:val="24"/>
          <w:szCs w:val="24"/>
          <w:b/>
          <w:bCs/>
          <w:spacing w:val="-3"/>
        </w:rPr>
        <w:t>5.1-3        </w:t>
      </w:r>
      <w:r>
        <w:rPr>
          <w:rFonts w:ascii="SimSun" w:hAnsi="SimSun" w:eastAsia="SimSun" w:cs="SimSun"/>
          <w:sz w:val="24"/>
          <w:szCs w:val="24"/>
          <w:b/>
          <w:bCs/>
          <w:spacing w:val="-3"/>
        </w:rPr>
        <w:t>正镶白旗月平均风速变化曲线</w:t>
      </w:r>
    </w:p>
    <w:p>
      <w:pPr>
        <w:ind w:left="492"/>
        <w:spacing w:before="183" w:line="217" w:lineRule="auto"/>
        <w:rPr>
          <w:rFonts w:ascii="SimSun" w:hAnsi="SimSun" w:eastAsia="SimSun" w:cs="SimSun"/>
          <w:sz w:val="24"/>
          <w:szCs w:val="24"/>
        </w:rPr>
      </w:pPr>
      <w:r>
        <w:rPr>
          <w:rFonts w:ascii="SimSun" w:hAnsi="SimSun" w:eastAsia="SimSun" w:cs="SimSun"/>
          <w:sz w:val="24"/>
          <w:szCs w:val="24"/>
          <w:spacing w:val="-1"/>
        </w:rPr>
        <w:t>③地面风频月变化</w:t>
      </w:r>
    </w:p>
    <w:p>
      <w:pPr>
        <w:ind w:left="494"/>
        <w:spacing w:before="186" w:line="219" w:lineRule="auto"/>
        <w:rPr>
          <w:rFonts w:ascii="SimSun" w:hAnsi="SimSun" w:eastAsia="SimSun" w:cs="SimSun"/>
          <w:sz w:val="24"/>
          <w:szCs w:val="24"/>
        </w:rPr>
      </w:pPr>
      <w:r>
        <w:rPr>
          <w:rFonts w:ascii="SimSun" w:hAnsi="SimSun" w:eastAsia="SimSun" w:cs="SimSun"/>
          <w:sz w:val="24"/>
          <w:szCs w:val="24"/>
          <w:spacing w:val="-2"/>
        </w:rPr>
        <w:t>地面风向频率月变化情况见表</w:t>
      </w:r>
      <w:r>
        <w:rPr>
          <w:rFonts w:ascii="Times New Roman" w:hAnsi="Times New Roman" w:eastAsia="Times New Roman" w:cs="Times New Roman"/>
          <w:sz w:val="24"/>
          <w:szCs w:val="24"/>
          <w:spacing w:val="-2"/>
        </w:rPr>
        <w:t>5.</w:t>
      </w:r>
      <w:r>
        <w:rPr>
          <w:rFonts w:ascii="Times New Roman" w:hAnsi="Times New Roman" w:eastAsia="Times New Roman" w:cs="Times New Roman"/>
          <w:sz w:val="24"/>
          <w:szCs w:val="24"/>
          <w:spacing w:val="-20"/>
        </w:rPr>
        <w:t xml:space="preserve"> </w:t>
      </w:r>
      <w:r>
        <w:rPr>
          <w:rFonts w:ascii="Times New Roman" w:hAnsi="Times New Roman" w:eastAsia="Times New Roman" w:cs="Times New Roman"/>
          <w:sz w:val="24"/>
          <w:szCs w:val="24"/>
          <w:spacing w:val="-2"/>
        </w:rPr>
        <w:t>1-5</w:t>
      </w:r>
      <w:r>
        <w:rPr>
          <w:rFonts w:ascii="SimSun" w:hAnsi="SimSun" w:eastAsia="SimSun" w:cs="SimSun"/>
          <w:sz w:val="24"/>
          <w:szCs w:val="24"/>
          <w:spacing w:val="-2"/>
        </w:rPr>
        <w:t>和图</w:t>
      </w:r>
      <w:r>
        <w:rPr>
          <w:rFonts w:ascii="Times New Roman" w:hAnsi="Times New Roman" w:eastAsia="Times New Roman" w:cs="Times New Roman"/>
          <w:sz w:val="24"/>
          <w:szCs w:val="24"/>
          <w:spacing w:val="-2"/>
        </w:rPr>
        <w:t>5.1-4</w:t>
      </w:r>
      <w:r>
        <w:rPr>
          <w:rFonts w:ascii="SimSun" w:hAnsi="SimSun" w:eastAsia="SimSun" w:cs="SimSun"/>
          <w:sz w:val="24"/>
          <w:szCs w:val="24"/>
          <w:spacing w:val="-2"/>
        </w:rPr>
        <w:t>。</w:t>
      </w:r>
    </w:p>
    <w:p>
      <w:pPr>
        <w:ind w:left="1276"/>
        <w:spacing w:before="103" w:line="211" w:lineRule="auto"/>
        <w:rPr>
          <w:rFonts w:ascii="SimSun" w:hAnsi="SimSun" w:eastAsia="SimSun" w:cs="SimSun"/>
          <w:sz w:val="24"/>
          <w:szCs w:val="24"/>
        </w:rPr>
      </w:pPr>
      <w:r>
        <w:rPr>
          <w:rFonts w:ascii="SimSun" w:hAnsi="SimSun" w:eastAsia="SimSun" w:cs="SimSun"/>
          <w:sz w:val="24"/>
          <w:szCs w:val="24"/>
          <w:b/>
          <w:bCs/>
          <w:spacing w:val="-1"/>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1"/>
        </w:rPr>
        <w:t>5.1-5        </w:t>
      </w:r>
      <w:r>
        <w:rPr>
          <w:rFonts w:ascii="SimSun" w:hAnsi="SimSun" w:eastAsia="SimSun" w:cs="SimSun"/>
          <w:sz w:val="24"/>
          <w:szCs w:val="24"/>
          <w:b/>
          <w:bCs/>
          <w:spacing w:val="-1"/>
        </w:rPr>
        <w:t>正镶白旗近</w:t>
      </w:r>
      <w:r>
        <w:rPr>
          <w:rFonts w:ascii="SimSun" w:hAnsi="SimSun" w:eastAsia="SimSun" w:cs="SimSun"/>
          <w:sz w:val="24"/>
          <w:szCs w:val="24"/>
          <w:spacing w:val="-56"/>
        </w:rPr>
        <w:t xml:space="preserve"> </w:t>
      </w:r>
      <w:r>
        <w:rPr>
          <w:rFonts w:ascii="Times New Roman" w:hAnsi="Times New Roman" w:eastAsia="Times New Roman" w:cs="Times New Roman"/>
          <w:sz w:val="24"/>
          <w:szCs w:val="24"/>
          <w:b/>
          <w:bCs/>
          <w:spacing w:val="-2"/>
        </w:rPr>
        <w:t>30 </w:t>
      </w:r>
      <w:r>
        <w:rPr>
          <w:rFonts w:ascii="SimSun" w:hAnsi="SimSun" w:eastAsia="SimSun" w:cs="SimSun"/>
          <w:sz w:val="24"/>
          <w:szCs w:val="24"/>
          <w:b/>
          <w:bCs/>
          <w:spacing w:val="-2"/>
        </w:rPr>
        <w:t>年各月风向频率统计表（</w:t>
      </w:r>
      <w:r>
        <w:rPr>
          <w:rFonts w:ascii="Times New Roman" w:hAnsi="Times New Roman" w:eastAsia="Times New Roman" w:cs="Times New Roman"/>
          <w:sz w:val="24"/>
          <w:szCs w:val="24"/>
          <w:b/>
          <w:bCs/>
          <w:spacing w:val="-2"/>
        </w:rPr>
        <w:t>%</w:t>
      </w:r>
      <w:r>
        <w:rPr>
          <w:rFonts w:ascii="SimSun" w:hAnsi="SimSun" w:eastAsia="SimSun" w:cs="SimSun"/>
          <w:sz w:val="24"/>
          <w:szCs w:val="24"/>
          <w:b/>
          <w:bCs/>
          <w:spacing w:val="-2"/>
        </w:rPr>
        <w:t>）</w:t>
      </w:r>
    </w:p>
    <w:tbl>
      <w:tblPr>
        <w:tblStyle w:val="TableNormal"/>
        <w:tblW w:w="8508"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67"/>
        <w:gridCol w:w="312"/>
        <w:gridCol w:w="508"/>
        <w:gridCol w:w="378"/>
        <w:gridCol w:w="482"/>
        <w:gridCol w:w="312"/>
        <w:gridCol w:w="440"/>
        <w:gridCol w:w="312"/>
        <w:gridCol w:w="434"/>
        <w:gridCol w:w="434"/>
        <w:gridCol w:w="509"/>
        <w:gridCol w:w="371"/>
        <w:gridCol w:w="604"/>
        <w:gridCol w:w="436"/>
        <w:gridCol w:w="646"/>
        <w:gridCol w:w="436"/>
        <w:gridCol w:w="590"/>
        <w:gridCol w:w="437"/>
      </w:tblGrid>
      <w:tr>
        <w:trPr>
          <w:trHeight w:val="633" w:hRule="atLeast"/>
        </w:trPr>
        <w:tc>
          <w:tcPr>
            <w:tcW w:w="867" w:type="dxa"/>
            <w:vAlign w:val="top"/>
          </w:tcPr>
          <w:p>
            <w:pPr>
              <w:pStyle w:val="TableText"/>
              <w:ind w:left="14" w:right="64" w:firstLine="374"/>
              <w:spacing w:before="57" w:line="261" w:lineRule="auto"/>
              <w:rPr/>
            </w:pPr>
            <w:r>
              <w:rPr>
                <w:spacing w:val="4"/>
              </w:rPr>
              <w:t>风向</w:t>
            </w:r>
            <w:r>
              <w:rPr/>
              <w:t xml:space="preserve"> </w:t>
            </w:r>
            <w:r>
              <w:rPr>
                <w:spacing w:val="4"/>
              </w:rPr>
              <w:t>风频</w:t>
            </w:r>
          </w:p>
        </w:tc>
        <w:tc>
          <w:tcPr>
            <w:tcW w:w="312" w:type="dxa"/>
            <w:vAlign w:val="top"/>
          </w:tcPr>
          <w:p>
            <w:pPr>
              <w:ind w:left="74"/>
              <w:spacing w:before="25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w:t>
            </w:r>
          </w:p>
        </w:tc>
        <w:tc>
          <w:tcPr>
            <w:tcW w:w="508" w:type="dxa"/>
            <w:vAlign w:val="top"/>
          </w:tcPr>
          <w:p>
            <w:pPr>
              <w:ind w:left="30"/>
              <w:spacing w:before="25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NNE</w:t>
            </w:r>
          </w:p>
        </w:tc>
        <w:tc>
          <w:tcPr>
            <w:tcW w:w="378" w:type="dxa"/>
            <w:vAlign w:val="top"/>
          </w:tcPr>
          <w:p>
            <w:pPr>
              <w:ind w:left="43"/>
              <w:spacing w:before="25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NE</w:t>
            </w:r>
          </w:p>
        </w:tc>
        <w:tc>
          <w:tcPr>
            <w:tcW w:w="482" w:type="dxa"/>
            <w:vAlign w:val="top"/>
          </w:tcPr>
          <w:p>
            <w:pPr>
              <w:ind w:left="37"/>
              <w:spacing w:before="25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ENE</w:t>
            </w:r>
          </w:p>
        </w:tc>
        <w:tc>
          <w:tcPr>
            <w:tcW w:w="312" w:type="dxa"/>
            <w:vAlign w:val="top"/>
          </w:tcPr>
          <w:p>
            <w:pPr>
              <w:ind w:left="92"/>
              <w:spacing w:before="25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E</w:t>
            </w:r>
          </w:p>
        </w:tc>
        <w:tc>
          <w:tcPr>
            <w:tcW w:w="440" w:type="dxa"/>
            <w:vAlign w:val="top"/>
          </w:tcPr>
          <w:p>
            <w:pPr>
              <w:ind w:left="32"/>
              <w:spacing w:before="2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ESE</w:t>
            </w:r>
          </w:p>
        </w:tc>
        <w:tc>
          <w:tcPr>
            <w:tcW w:w="312" w:type="dxa"/>
            <w:vAlign w:val="top"/>
          </w:tcPr>
          <w:p>
            <w:pPr>
              <w:ind w:left="43"/>
              <w:spacing w:before="2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SE</w:t>
            </w:r>
          </w:p>
        </w:tc>
        <w:tc>
          <w:tcPr>
            <w:tcW w:w="434" w:type="dxa"/>
            <w:vAlign w:val="top"/>
          </w:tcPr>
          <w:p>
            <w:pPr>
              <w:ind w:left="45"/>
              <w:spacing w:before="2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SSE</w:t>
            </w:r>
          </w:p>
        </w:tc>
        <w:tc>
          <w:tcPr>
            <w:tcW w:w="434" w:type="dxa"/>
            <w:vAlign w:val="top"/>
          </w:tcPr>
          <w:p>
            <w:pPr>
              <w:ind w:left="168"/>
              <w:spacing w:before="2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w:t>
            </w:r>
          </w:p>
        </w:tc>
        <w:tc>
          <w:tcPr>
            <w:tcW w:w="509" w:type="dxa"/>
            <w:vAlign w:val="top"/>
          </w:tcPr>
          <w:p>
            <w:pPr>
              <w:ind w:left="48"/>
              <w:spacing w:before="2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SSW</w:t>
            </w:r>
          </w:p>
        </w:tc>
        <w:tc>
          <w:tcPr>
            <w:tcW w:w="371" w:type="dxa"/>
            <w:vAlign w:val="top"/>
          </w:tcPr>
          <w:p>
            <w:pPr>
              <w:ind w:left="36"/>
              <w:spacing w:before="2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SW</w:t>
            </w:r>
          </w:p>
        </w:tc>
        <w:tc>
          <w:tcPr>
            <w:tcW w:w="604" w:type="dxa"/>
            <w:vAlign w:val="top"/>
          </w:tcPr>
          <w:p>
            <w:pPr>
              <w:ind w:left="46"/>
              <w:spacing w:before="2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WSW</w:t>
            </w:r>
          </w:p>
        </w:tc>
        <w:tc>
          <w:tcPr>
            <w:tcW w:w="436" w:type="dxa"/>
            <w:vAlign w:val="top"/>
          </w:tcPr>
          <w:p>
            <w:pPr>
              <w:ind w:left="119"/>
              <w:spacing w:before="25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W</w:t>
            </w:r>
          </w:p>
        </w:tc>
        <w:tc>
          <w:tcPr>
            <w:tcW w:w="646" w:type="dxa"/>
            <w:vAlign w:val="top"/>
          </w:tcPr>
          <w:p>
            <w:pPr>
              <w:ind w:left="50"/>
              <w:spacing w:before="25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WNW</w:t>
            </w:r>
          </w:p>
        </w:tc>
        <w:tc>
          <w:tcPr>
            <w:tcW w:w="436" w:type="dxa"/>
            <w:vAlign w:val="top"/>
          </w:tcPr>
          <w:p>
            <w:pPr>
              <w:ind w:left="40"/>
              <w:spacing w:before="25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NW</w:t>
            </w:r>
          </w:p>
        </w:tc>
        <w:tc>
          <w:tcPr>
            <w:tcW w:w="590" w:type="dxa"/>
            <w:vAlign w:val="top"/>
          </w:tcPr>
          <w:p>
            <w:pPr>
              <w:ind w:left="40"/>
              <w:spacing w:before="25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NNW</w:t>
            </w:r>
          </w:p>
        </w:tc>
        <w:tc>
          <w:tcPr>
            <w:tcW w:w="437" w:type="dxa"/>
            <w:vAlign w:val="top"/>
          </w:tcPr>
          <w:p>
            <w:pPr>
              <w:ind w:left="152"/>
              <w:spacing w:before="2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w:t>
            </w:r>
          </w:p>
        </w:tc>
      </w:tr>
      <w:tr>
        <w:trPr>
          <w:trHeight w:val="316" w:hRule="atLeast"/>
        </w:trPr>
        <w:tc>
          <w:tcPr>
            <w:tcW w:w="867" w:type="dxa"/>
            <w:vAlign w:val="top"/>
          </w:tcPr>
          <w:p>
            <w:pPr>
              <w:pStyle w:val="TableText"/>
              <w:ind w:left="232"/>
              <w:spacing w:before="52" w:line="228" w:lineRule="auto"/>
              <w:rPr/>
            </w:pPr>
            <w:r>
              <w:rPr>
                <w:spacing w:val="3"/>
              </w:rPr>
              <w:t>一月</w:t>
            </w:r>
          </w:p>
        </w:tc>
        <w:tc>
          <w:tcPr>
            <w:tcW w:w="312" w:type="dxa"/>
            <w:vAlign w:val="top"/>
          </w:tcPr>
          <w:p>
            <w:pPr>
              <w:ind w:left="43"/>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1.6</w:t>
            </w:r>
          </w:p>
        </w:tc>
        <w:tc>
          <w:tcPr>
            <w:tcW w:w="508" w:type="dxa"/>
            <w:vAlign w:val="top"/>
          </w:tcPr>
          <w:p>
            <w:pPr>
              <w:ind w:left="124"/>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2.7</w:t>
            </w:r>
          </w:p>
        </w:tc>
        <w:tc>
          <w:tcPr>
            <w:tcW w:w="378" w:type="dxa"/>
            <w:vAlign w:val="top"/>
          </w:tcPr>
          <w:p>
            <w:pPr>
              <w:ind w:left="66"/>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8.7</w:t>
            </w:r>
          </w:p>
        </w:tc>
        <w:tc>
          <w:tcPr>
            <w:tcW w:w="482" w:type="dxa"/>
            <w:vAlign w:val="top"/>
          </w:tcPr>
          <w:p>
            <w:pPr>
              <w:ind w:left="129"/>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w:t>
            </w:r>
          </w:p>
        </w:tc>
        <w:tc>
          <w:tcPr>
            <w:tcW w:w="312" w:type="dxa"/>
            <w:vAlign w:val="top"/>
          </w:tcPr>
          <w:p>
            <w:pPr>
              <w:ind w:left="28"/>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0.9</w:t>
            </w:r>
          </w:p>
        </w:tc>
        <w:tc>
          <w:tcPr>
            <w:tcW w:w="440" w:type="dxa"/>
            <w:vAlign w:val="top"/>
          </w:tcPr>
          <w:p>
            <w:pPr>
              <w:ind w:left="91"/>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0.9</w:t>
            </w:r>
          </w:p>
        </w:tc>
        <w:tc>
          <w:tcPr>
            <w:tcW w:w="312" w:type="dxa"/>
            <w:vAlign w:val="top"/>
          </w:tcPr>
          <w:p>
            <w:pPr>
              <w:ind w:left="45"/>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w:t>
            </w:r>
          </w:p>
        </w:tc>
        <w:tc>
          <w:tcPr>
            <w:tcW w:w="434" w:type="dxa"/>
            <w:vAlign w:val="top"/>
          </w:tcPr>
          <w:p>
            <w:pPr>
              <w:ind w:left="88"/>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0.5</w:t>
            </w:r>
          </w:p>
        </w:tc>
        <w:tc>
          <w:tcPr>
            <w:tcW w:w="434" w:type="dxa"/>
            <w:vAlign w:val="top"/>
          </w:tcPr>
          <w:p>
            <w:pPr>
              <w:ind w:left="105"/>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1.2</w:t>
            </w:r>
          </w:p>
        </w:tc>
        <w:tc>
          <w:tcPr>
            <w:tcW w:w="509" w:type="dxa"/>
            <w:vAlign w:val="top"/>
          </w:tcPr>
          <w:p>
            <w:pPr>
              <w:ind w:left="124"/>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371" w:type="dxa"/>
            <w:vAlign w:val="top"/>
          </w:tcPr>
          <w:p>
            <w:pPr>
              <w:ind w:left="53"/>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4.6</w:t>
            </w:r>
          </w:p>
        </w:tc>
        <w:tc>
          <w:tcPr>
            <w:tcW w:w="604" w:type="dxa"/>
            <w:vAlign w:val="top"/>
          </w:tcPr>
          <w:p>
            <w:pPr>
              <w:ind w:left="181"/>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8.4</w:t>
            </w:r>
          </w:p>
        </w:tc>
        <w:tc>
          <w:tcPr>
            <w:tcW w:w="436" w:type="dxa"/>
            <w:vAlign w:val="top"/>
          </w:tcPr>
          <w:p>
            <w:pPr>
              <w:ind w:left="36"/>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20.8</w:t>
            </w:r>
          </w:p>
        </w:tc>
        <w:tc>
          <w:tcPr>
            <w:tcW w:w="646" w:type="dxa"/>
            <w:vAlign w:val="top"/>
          </w:tcPr>
          <w:p>
            <w:pPr>
              <w:ind w:left="161"/>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14.9</w:t>
            </w:r>
          </w:p>
        </w:tc>
        <w:tc>
          <w:tcPr>
            <w:tcW w:w="436" w:type="dxa"/>
            <w:vAlign w:val="top"/>
          </w:tcPr>
          <w:p>
            <w:pPr>
              <w:ind w:left="95"/>
              <w:spacing w:before="9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5.7</w:t>
            </w:r>
          </w:p>
        </w:tc>
        <w:tc>
          <w:tcPr>
            <w:tcW w:w="590" w:type="dxa"/>
            <w:vAlign w:val="top"/>
          </w:tcPr>
          <w:p>
            <w:pPr>
              <w:ind w:left="187"/>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1.3</w:t>
            </w:r>
          </w:p>
        </w:tc>
        <w:tc>
          <w:tcPr>
            <w:tcW w:w="437" w:type="dxa"/>
            <w:vAlign w:val="top"/>
          </w:tcPr>
          <w:p>
            <w:pPr>
              <w:ind w:left="36"/>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23.3</w:t>
            </w:r>
          </w:p>
        </w:tc>
      </w:tr>
      <w:tr>
        <w:trPr>
          <w:trHeight w:val="317" w:hRule="atLeast"/>
        </w:trPr>
        <w:tc>
          <w:tcPr>
            <w:tcW w:w="867" w:type="dxa"/>
            <w:vAlign w:val="top"/>
          </w:tcPr>
          <w:p>
            <w:pPr>
              <w:pStyle w:val="TableText"/>
              <w:ind w:left="232"/>
              <w:spacing w:before="52" w:line="228" w:lineRule="auto"/>
              <w:rPr/>
            </w:pPr>
            <w:r>
              <w:rPr>
                <w:spacing w:val="3"/>
              </w:rPr>
              <w:t>二月</w:t>
            </w:r>
          </w:p>
        </w:tc>
        <w:tc>
          <w:tcPr>
            <w:tcW w:w="312" w:type="dxa"/>
            <w:vAlign w:val="top"/>
          </w:tcPr>
          <w:p>
            <w:pPr>
              <w:ind w:left="23"/>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2.7</w:t>
            </w:r>
          </w:p>
        </w:tc>
        <w:tc>
          <w:tcPr>
            <w:tcW w:w="508" w:type="dxa"/>
            <w:vAlign w:val="top"/>
          </w:tcPr>
          <w:p>
            <w:pPr>
              <w:ind w:left="123"/>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4.9</w:t>
            </w:r>
          </w:p>
        </w:tc>
        <w:tc>
          <w:tcPr>
            <w:tcW w:w="378" w:type="dxa"/>
            <w:vAlign w:val="top"/>
          </w:tcPr>
          <w:p>
            <w:pPr>
              <w:ind w:right="3"/>
              <w:spacing w:before="88"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10.4</w:t>
            </w:r>
          </w:p>
        </w:tc>
        <w:tc>
          <w:tcPr>
            <w:tcW w:w="482" w:type="dxa"/>
            <w:vAlign w:val="top"/>
          </w:tcPr>
          <w:p>
            <w:pPr>
              <w:ind w:left="129"/>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1.7</w:t>
            </w:r>
          </w:p>
        </w:tc>
        <w:tc>
          <w:tcPr>
            <w:tcW w:w="312" w:type="dxa"/>
            <w:vAlign w:val="top"/>
          </w:tcPr>
          <w:p>
            <w:pPr>
              <w:ind w:left="45"/>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1.8</w:t>
            </w:r>
          </w:p>
        </w:tc>
        <w:tc>
          <w:tcPr>
            <w:tcW w:w="440" w:type="dxa"/>
            <w:vAlign w:val="top"/>
          </w:tcPr>
          <w:p>
            <w:pPr>
              <w:ind w:left="108"/>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w:t>
            </w:r>
          </w:p>
        </w:tc>
        <w:tc>
          <w:tcPr>
            <w:tcW w:w="312" w:type="dxa"/>
            <w:vAlign w:val="top"/>
          </w:tcPr>
          <w:p>
            <w:pPr>
              <w:ind w:left="45"/>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w:t>
            </w:r>
          </w:p>
        </w:tc>
        <w:tc>
          <w:tcPr>
            <w:tcW w:w="434" w:type="dxa"/>
            <w:vAlign w:val="top"/>
          </w:tcPr>
          <w:p>
            <w:pPr>
              <w:ind w:left="105"/>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1.2</w:t>
            </w:r>
          </w:p>
        </w:tc>
        <w:tc>
          <w:tcPr>
            <w:tcW w:w="434" w:type="dxa"/>
            <w:vAlign w:val="top"/>
          </w:tcPr>
          <w:p>
            <w:pPr>
              <w:ind w:left="85"/>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509" w:type="dxa"/>
            <w:vAlign w:val="top"/>
          </w:tcPr>
          <w:p>
            <w:pPr>
              <w:ind w:left="124"/>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371" w:type="dxa"/>
            <w:vAlign w:val="top"/>
          </w:tcPr>
          <w:p>
            <w:pPr>
              <w:ind w:left="53"/>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604" w:type="dxa"/>
            <w:vAlign w:val="top"/>
          </w:tcPr>
          <w:p>
            <w:pPr>
              <w:ind w:left="181"/>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w:t>
            </w:r>
          </w:p>
        </w:tc>
        <w:tc>
          <w:tcPr>
            <w:tcW w:w="436" w:type="dxa"/>
            <w:vAlign w:val="top"/>
          </w:tcPr>
          <w:p>
            <w:pPr>
              <w:ind w:left="57"/>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15.</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3"/>
              </w:rPr>
              <w:t>1</w:t>
            </w:r>
          </w:p>
        </w:tc>
        <w:tc>
          <w:tcPr>
            <w:tcW w:w="646" w:type="dxa"/>
            <w:vAlign w:val="top"/>
          </w:tcPr>
          <w:p>
            <w:pPr>
              <w:ind w:left="161"/>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14.8</w:t>
            </w:r>
          </w:p>
        </w:tc>
        <w:tc>
          <w:tcPr>
            <w:tcW w:w="436" w:type="dxa"/>
            <w:vAlign w:val="top"/>
          </w:tcPr>
          <w:p>
            <w:pPr>
              <w:ind w:left="94"/>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6.0</w:t>
            </w:r>
          </w:p>
        </w:tc>
        <w:tc>
          <w:tcPr>
            <w:tcW w:w="590" w:type="dxa"/>
            <w:vAlign w:val="top"/>
          </w:tcPr>
          <w:p>
            <w:pPr>
              <w:ind w:left="167"/>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437" w:type="dxa"/>
            <w:vAlign w:val="top"/>
          </w:tcPr>
          <w:p>
            <w:pPr>
              <w:ind w:left="36"/>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20.9</w:t>
            </w:r>
          </w:p>
        </w:tc>
      </w:tr>
      <w:tr>
        <w:trPr>
          <w:trHeight w:val="317" w:hRule="atLeast"/>
        </w:trPr>
        <w:tc>
          <w:tcPr>
            <w:tcW w:w="867" w:type="dxa"/>
            <w:vAlign w:val="top"/>
          </w:tcPr>
          <w:p>
            <w:pPr>
              <w:pStyle w:val="TableText"/>
              <w:ind w:left="229"/>
              <w:spacing w:before="52" w:line="228" w:lineRule="auto"/>
              <w:rPr/>
            </w:pPr>
            <w:r>
              <w:rPr>
                <w:spacing w:val="4"/>
              </w:rPr>
              <w:t>三月</w:t>
            </w:r>
          </w:p>
        </w:tc>
        <w:tc>
          <w:tcPr>
            <w:tcW w:w="312" w:type="dxa"/>
            <w:vAlign w:val="top"/>
          </w:tcPr>
          <w:p>
            <w:pPr>
              <w:ind w:left="22"/>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508" w:type="dxa"/>
            <w:vAlign w:val="top"/>
          </w:tcPr>
          <w:p>
            <w:pPr>
              <w:ind w:left="123"/>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4.9</w:t>
            </w:r>
          </w:p>
        </w:tc>
        <w:tc>
          <w:tcPr>
            <w:tcW w:w="378" w:type="dxa"/>
            <w:vAlign w:val="top"/>
          </w:tcPr>
          <w:p>
            <w:pPr>
              <w:ind w:left="61"/>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7.6</w:t>
            </w:r>
          </w:p>
        </w:tc>
        <w:tc>
          <w:tcPr>
            <w:tcW w:w="482" w:type="dxa"/>
            <w:vAlign w:val="top"/>
          </w:tcPr>
          <w:p>
            <w:pPr>
              <w:ind w:left="109"/>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2.3</w:t>
            </w:r>
          </w:p>
        </w:tc>
        <w:tc>
          <w:tcPr>
            <w:tcW w:w="312" w:type="dxa"/>
            <w:vAlign w:val="top"/>
          </w:tcPr>
          <w:p>
            <w:pPr>
              <w:ind w:left="45"/>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1.9</w:t>
            </w:r>
          </w:p>
        </w:tc>
        <w:tc>
          <w:tcPr>
            <w:tcW w:w="440" w:type="dxa"/>
            <w:vAlign w:val="top"/>
          </w:tcPr>
          <w:p>
            <w:pPr>
              <w:ind w:left="108"/>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1.7</w:t>
            </w:r>
          </w:p>
        </w:tc>
        <w:tc>
          <w:tcPr>
            <w:tcW w:w="312" w:type="dxa"/>
            <w:vAlign w:val="top"/>
          </w:tcPr>
          <w:p>
            <w:pPr>
              <w:ind w:left="45"/>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1.4</w:t>
            </w:r>
          </w:p>
        </w:tc>
        <w:tc>
          <w:tcPr>
            <w:tcW w:w="434" w:type="dxa"/>
            <w:vAlign w:val="top"/>
          </w:tcPr>
          <w:p>
            <w:pPr>
              <w:ind w:left="105"/>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w:t>
            </w:r>
          </w:p>
        </w:tc>
        <w:tc>
          <w:tcPr>
            <w:tcW w:w="434" w:type="dxa"/>
            <w:vAlign w:val="top"/>
          </w:tcPr>
          <w:p>
            <w:pPr>
              <w:ind w:left="85"/>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2.3</w:t>
            </w:r>
          </w:p>
        </w:tc>
        <w:tc>
          <w:tcPr>
            <w:tcW w:w="509" w:type="dxa"/>
            <w:vAlign w:val="top"/>
          </w:tcPr>
          <w:p>
            <w:pPr>
              <w:ind w:left="128"/>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3.5</w:t>
            </w:r>
          </w:p>
        </w:tc>
        <w:tc>
          <w:tcPr>
            <w:tcW w:w="371" w:type="dxa"/>
            <w:vAlign w:val="top"/>
          </w:tcPr>
          <w:p>
            <w:pPr>
              <w:ind w:left="53"/>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4.5</w:t>
            </w:r>
          </w:p>
        </w:tc>
        <w:tc>
          <w:tcPr>
            <w:tcW w:w="604" w:type="dxa"/>
            <w:vAlign w:val="top"/>
          </w:tcPr>
          <w:p>
            <w:pPr>
              <w:ind w:left="176"/>
              <w:spacing w:before="9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7.7</w:t>
            </w:r>
          </w:p>
        </w:tc>
        <w:tc>
          <w:tcPr>
            <w:tcW w:w="436" w:type="dxa"/>
            <w:vAlign w:val="top"/>
          </w:tcPr>
          <w:p>
            <w:pPr>
              <w:ind w:left="57"/>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12.6</w:t>
            </w:r>
          </w:p>
        </w:tc>
        <w:tc>
          <w:tcPr>
            <w:tcW w:w="646" w:type="dxa"/>
            <w:vAlign w:val="top"/>
          </w:tcPr>
          <w:p>
            <w:pPr>
              <w:ind w:left="161"/>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13.5</w:t>
            </w:r>
          </w:p>
        </w:tc>
        <w:tc>
          <w:tcPr>
            <w:tcW w:w="436" w:type="dxa"/>
            <w:vAlign w:val="top"/>
          </w:tcPr>
          <w:p>
            <w:pPr>
              <w:ind w:left="98"/>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8.0</w:t>
            </w:r>
          </w:p>
        </w:tc>
        <w:tc>
          <w:tcPr>
            <w:tcW w:w="590" w:type="dxa"/>
            <w:vAlign w:val="top"/>
          </w:tcPr>
          <w:p>
            <w:pPr>
              <w:ind w:left="171"/>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3.8</w:t>
            </w:r>
          </w:p>
        </w:tc>
        <w:tc>
          <w:tcPr>
            <w:tcW w:w="437" w:type="dxa"/>
            <w:vAlign w:val="top"/>
          </w:tcPr>
          <w:p>
            <w:pPr>
              <w:ind w:left="56"/>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18.2</w:t>
            </w:r>
          </w:p>
        </w:tc>
      </w:tr>
      <w:tr>
        <w:trPr>
          <w:trHeight w:val="317" w:hRule="atLeast"/>
        </w:trPr>
        <w:tc>
          <w:tcPr>
            <w:tcW w:w="867" w:type="dxa"/>
            <w:vAlign w:val="top"/>
          </w:tcPr>
          <w:p>
            <w:pPr>
              <w:pStyle w:val="TableText"/>
              <w:ind w:left="248"/>
              <w:spacing w:before="51" w:line="228" w:lineRule="auto"/>
              <w:rPr/>
            </w:pPr>
            <w:r>
              <w:rPr>
                <w:spacing w:val="-5"/>
              </w:rPr>
              <w:t>四月</w:t>
            </w:r>
          </w:p>
        </w:tc>
        <w:tc>
          <w:tcPr>
            <w:tcW w:w="312" w:type="dxa"/>
            <w:vAlign w:val="top"/>
          </w:tcPr>
          <w:p>
            <w:pPr>
              <w:ind w:left="22"/>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4.9</w:t>
            </w:r>
          </w:p>
        </w:tc>
        <w:tc>
          <w:tcPr>
            <w:tcW w:w="508" w:type="dxa"/>
            <w:vAlign w:val="top"/>
          </w:tcPr>
          <w:p>
            <w:pPr>
              <w:ind w:left="123"/>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4.7</w:t>
            </w:r>
          </w:p>
        </w:tc>
        <w:tc>
          <w:tcPr>
            <w:tcW w:w="378" w:type="dxa"/>
            <w:vAlign w:val="top"/>
          </w:tcPr>
          <w:p>
            <w:pPr>
              <w:ind w:left="61"/>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7.4</w:t>
            </w:r>
          </w:p>
        </w:tc>
        <w:tc>
          <w:tcPr>
            <w:tcW w:w="482" w:type="dxa"/>
            <w:vAlign w:val="top"/>
          </w:tcPr>
          <w:p>
            <w:pPr>
              <w:ind w:left="109"/>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2.4</w:t>
            </w:r>
          </w:p>
        </w:tc>
        <w:tc>
          <w:tcPr>
            <w:tcW w:w="312" w:type="dxa"/>
            <w:vAlign w:val="top"/>
          </w:tcPr>
          <w:p>
            <w:pPr>
              <w:ind w:left="25"/>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440" w:type="dxa"/>
            <w:vAlign w:val="top"/>
          </w:tcPr>
          <w:p>
            <w:pPr>
              <w:ind w:left="108"/>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1.8</w:t>
            </w:r>
          </w:p>
        </w:tc>
        <w:tc>
          <w:tcPr>
            <w:tcW w:w="312" w:type="dxa"/>
            <w:vAlign w:val="top"/>
          </w:tcPr>
          <w:p>
            <w:pPr>
              <w:ind w:left="45"/>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w:t>
            </w:r>
          </w:p>
        </w:tc>
        <w:tc>
          <w:tcPr>
            <w:tcW w:w="434" w:type="dxa"/>
            <w:vAlign w:val="top"/>
          </w:tcPr>
          <w:p>
            <w:pPr>
              <w:ind w:left="105"/>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1.8</w:t>
            </w:r>
          </w:p>
        </w:tc>
        <w:tc>
          <w:tcPr>
            <w:tcW w:w="434" w:type="dxa"/>
            <w:vAlign w:val="top"/>
          </w:tcPr>
          <w:p>
            <w:pPr>
              <w:ind w:left="84"/>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509" w:type="dxa"/>
            <w:vAlign w:val="top"/>
          </w:tcPr>
          <w:p>
            <w:pPr>
              <w:ind w:left="128"/>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6.0</w:t>
            </w:r>
          </w:p>
        </w:tc>
        <w:tc>
          <w:tcPr>
            <w:tcW w:w="371" w:type="dxa"/>
            <w:vAlign w:val="top"/>
          </w:tcPr>
          <w:p>
            <w:pPr>
              <w:ind w:left="60"/>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5.3</w:t>
            </w:r>
          </w:p>
        </w:tc>
        <w:tc>
          <w:tcPr>
            <w:tcW w:w="604" w:type="dxa"/>
            <w:vAlign w:val="top"/>
          </w:tcPr>
          <w:p>
            <w:pPr>
              <w:ind w:left="181"/>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8.2</w:t>
            </w:r>
          </w:p>
        </w:tc>
        <w:tc>
          <w:tcPr>
            <w:tcW w:w="436" w:type="dxa"/>
            <w:vAlign w:val="top"/>
          </w:tcPr>
          <w:p>
            <w:pPr>
              <w:ind w:left="57"/>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10.9</w:t>
            </w:r>
          </w:p>
        </w:tc>
        <w:tc>
          <w:tcPr>
            <w:tcW w:w="646" w:type="dxa"/>
            <w:vAlign w:val="top"/>
          </w:tcPr>
          <w:p>
            <w:pPr>
              <w:ind w:left="161"/>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12.9</w:t>
            </w:r>
          </w:p>
        </w:tc>
        <w:tc>
          <w:tcPr>
            <w:tcW w:w="436" w:type="dxa"/>
            <w:vAlign w:val="top"/>
          </w:tcPr>
          <w:p>
            <w:pPr>
              <w:ind w:left="94"/>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9.5</w:t>
            </w:r>
          </w:p>
        </w:tc>
        <w:tc>
          <w:tcPr>
            <w:tcW w:w="590" w:type="dxa"/>
            <w:vAlign w:val="top"/>
          </w:tcPr>
          <w:p>
            <w:pPr>
              <w:ind w:left="166"/>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4.3</w:t>
            </w:r>
          </w:p>
        </w:tc>
        <w:tc>
          <w:tcPr>
            <w:tcW w:w="437" w:type="dxa"/>
            <w:vAlign w:val="top"/>
          </w:tcPr>
          <w:p>
            <w:pPr>
              <w:ind w:left="56"/>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14.5</w:t>
            </w:r>
          </w:p>
        </w:tc>
      </w:tr>
      <w:tr>
        <w:trPr>
          <w:trHeight w:val="316" w:hRule="atLeast"/>
        </w:trPr>
        <w:tc>
          <w:tcPr>
            <w:tcW w:w="867" w:type="dxa"/>
            <w:vAlign w:val="top"/>
          </w:tcPr>
          <w:p>
            <w:pPr>
              <w:pStyle w:val="TableText"/>
              <w:ind w:left="232"/>
              <w:spacing w:before="53" w:line="228" w:lineRule="auto"/>
              <w:rPr/>
            </w:pPr>
            <w:r>
              <w:rPr>
                <w:spacing w:val="3"/>
              </w:rPr>
              <w:t>五月</w:t>
            </w:r>
          </w:p>
        </w:tc>
        <w:tc>
          <w:tcPr>
            <w:tcW w:w="312" w:type="dxa"/>
            <w:vAlign w:val="top"/>
          </w:tcPr>
          <w:p>
            <w:pPr>
              <w:ind w:left="22"/>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508" w:type="dxa"/>
            <w:vAlign w:val="top"/>
          </w:tcPr>
          <w:p>
            <w:pPr>
              <w:ind w:left="12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5.6</w:t>
            </w:r>
          </w:p>
        </w:tc>
        <w:tc>
          <w:tcPr>
            <w:tcW w:w="378" w:type="dxa"/>
            <w:vAlign w:val="top"/>
          </w:tcPr>
          <w:p>
            <w:pPr>
              <w:ind w:left="61"/>
              <w:spacing w:before="9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7.7</w:t>
            </w:r>
          </w:p>
        </w:tc>
        <w:tc>
          <w:tcPr>
            <w:tcW w:w="482" w:type="dxa"/>
            <w:vAlign w:val="top"/>
          </w:tcPr>
          <w:p>
            <w:pPr>
              <w:ind w:left="11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1"/>
              </w:rPr>
              <w:t>1</w:t>
            </w:r>
          </w:p>
        </w:tc>
        <w:tc>
          <w:tcPr>
            <w:tcW w:w="312" w:type="dxa"/>
            <w:vAlign w:val="top"/>
          </w:tcPr>
          <w:p>
            <w:pPr>
              <w:ind w:left="25"/>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2.4</w:t>
            </w:r>
          </w:p>
        </w:tc>
        <w:tc>
          <w:tcPr>
            <w:tcW w:w="440" w:type="dxa"/>
            <w:vAlign w:val="top"/>
          </w:tcPr>
          <w:p>
            <w:pPr>
              <w:ind w:left="10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1.9</w:t>
            </w:r>
          </w:p>
        </w:tc>
        <w:tc>
          <w:tcPr>
            <w:tcW w:w="312" w:type="dxa"/>
            <w:vAlign w:val="top"/>
          </w:tcPr>
          <w:p>
            <w:pPr>
              <w:ind w:left="2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2.4</w:t>
            </w:r>
          </w:p>
        </w:tc>
        <w:tc>
          <w:tcPr>
            <w:tcW w:w="434" w:type="dxa"/>
            <w:vAlign w:val="top"/>
          </w:tcPr>
          <w:p>
            <w:pPr>
              <w:ind w:left="8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2.7</w:t>
            </w:r>
          </w:p>
        </w:tc>
        <w:tc>
          <w:tcPr>
            <w:tcW w:w="434" w:type="dxa"/>
            <w:vAlign w:val="top"/>
          </w:tcPr>
          <w:p>
            <w:pPr>
              <w:ind w:left="8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4.8</w:t>
            </w:r>
          </w:p>
        </w:tc>
        <w:tc>
          <w:tcPr>
            <w:tcW w:w="509" w:type="dxa"/>
            <w:vAlign w:val="top"/>
          </w:tcPr>
          <w:p>
            <w:pPr>
              <w:ind w:left="12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6.3</w:t>
            </w:r>
          </w:p>
        </w:tc>
        <w:tc>
          <w:tcPr>
            <w:tcW w:w="371" w:type="dxa"/>
            <w:vAlign w:val="top"/>
          </w:tcPr>
          <w:p>
            <w:pPr>
              <w:ind w:left="5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6.5</w:t>
            </w:r>
          </w:p>
        </w:tc>
        <w:tc>
          <w:tcPr>
            <w:tcW w:w="604" w:type="dxa"/>
            <w:vAlign w:val="top"/>
          </w:tcPr>
          <w:p>
            <w:pPr>
              <w:ind w:left="176"/>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7.2</w:t>
            </w:r>
          </w:p>
        </w:tc>
        <w:tc>
          <w:tcPr>
            <w:tcW w:w="436" w:type="dxa"/>
            <w:vAlign w:val="top"/>
          </w:tcPr>
          <w:p>
            <w:pPr>
              <w:ind w:left="95"/>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8.7</w:t>
            </w:r>
          </w:p>
        </w:tc>
        <w:tc>
          <w:tcPr>
            <w:tcW w:w="646" w:type="dxa"/>
            <w:vAlign w:val="top"/>
          </w:tcPr>
          <w:p>
            <w:pPr>
              <w:ind w:left="19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9.5</w:t>
            </w:r>
          </w:p>
        </w:tc>
        <w:tc>
          <w:tcPr>
            <w:tcW w:w="436" w:type="dxa"/>
            <w:vAlign w:val="top"/>
          </w:tcPr>
          <w:p>
            <w:pPr>
              <w:ind w:left="5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10.3</w:t>
            </w:r>
          </w:p>
        </w:tc>
        <w:tc>
          <w:tcPr>
            <w:tcW w:w="590" w:type="dxa"/>
            <w:vAlign w:val="top"/>
          </w:tcPr>
          <w:p>
            <w:pPr>
              <w:ind w:left="166"/>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4.6</w:t>
            </w:r>
          </w:p>
        </w:tc>
        <w:tc>
          <w:tcPr>
            <w:tcW w:w="437" w:type="dxa"/>
            <w:vAlign w:val="top"/>
          </w:tcPr>
          <w:p>
            <w:pPr>
              <w:ind w:left="56"/>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11.9</w:t>
            </w:r>
          </w:p>
        </w:tc>
      </w:tr>
      <w:tr>
        <w:trPr>
          <w:trHeight w:val="317" w:hRule="atLeast"/>
        </w:trPr>
        <w:tc>
          <w:tcPr>
            <w:tcW w:w="867" w:type="dxa"/>
            <w:vAlign w:val="top"/>
          </w:tcPr>
          <w:p>
            <w:pPr>
              <w:pStyle w:val="TableText"/>
              <w:ind w:left="231"/>
              <w:spacing w:before="54" w:line="228" w:lineRule="auto"/>
              <w:rPr/>
            </w:pPr>
            <w:r>
              <w:rPr>
                <w:spacing w:val="3"/>
              </w:rPr>
              <w:t>六月</w:t>
            </w:r>
          </w:p>
        </w:tc>
        <w:tc>
          <w:tcPr>
            <w:tcW w:w="312" w:type="dxa"/>
            <w:vAlign w:val="top"/>
          </w:tcPr>
          <w:p>
            <w:pPr>
              <w:ind w:left="22"/>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4.8</w:t>
            </w:r>
          </w:p>
        </w:tc>
        <w:tc>
          <w:tcPr>
            <w:tcW w:w="508" w:type="dxa"/>
            <w:vAlign w:val="top"/>
          </w:tcPr>
          <w:p>
            <w:pPr>
              <w:ind w:left="12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4.8</w:t>
            </w:r>
          </w:p>
        </w:tc>
        <w:tc>
          <w:tcPr>
            <w:tcW w:w="378" w:type="dxa"/>
            <w:vAlign w:val="top"/>
          </w:tcPr>
          <w:p>
            <w:pPr>
              <w:ind w:left="6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7.8</w:t>
            </w:r>
          </w:p>
        </w:tc>
        <w:tc>
          <w:tcPr>
            <w:tcW w:w="482" w:type="dxa"/>
            <w:vAlign w:val="top"/>
          </w:tcPr>
          <w:p>
            <w:pPr>
              <w:ind w:left="11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3.0</w:t>
            </w:r>
          </w:p>
        </w:tc>
        <w:tc>
          <w:tcPr>
            <w:tcW w:w="312" w:type="dxa"/>
            <w:vAlign w:val="top"/>
          </w:tcPr>
          <w:p>
            <w:pPr>
              <w:ind w:left="2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3.0</w:t>
            </w:r>
          </w:p>
        </w:tc>
        <w:tc>
          <w:tcPr>
            <w:tcW w:w="440" w:type="dxa"/>
            <w:vAlign w:val="top"/>
          </w:tcPr>
          <w:p>
            <w:pPr>
              <w:ind w:left="8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2.7</w:t>
            </w:r>
          </w:p>
        </w:tc>
        <w:tc>
          <w:tcPr>
            <w:tcW w:w="312" w:type="dxa"/>
            <w:vAlign w:val="top"/>
          </w:tcPr>
          <w:p>
            <w:pPr>
              <w:ind w:right="3"/>
              <w:spacing w:before="90"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1"/>
              </w:rPr>
              <w:t>1</w:t>
            </w:r>
          </w:p>
        </w:tc>
        <w:tc>
          <w:tcPr>
            <w:tcW w:w="434" w:type="dxa"/>
            <w:vAlign w:val="top"/>
          </w:tcPr>
          <w:p>
            <w:pPr>
              <w:ind w:left="8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w:t>
            </w:r>
          </w:p>
        </w:tc>
        <w:tc>
          <w:tcPr>
            <w:tcW w:w="434" w:type="dxa"/>
            <w:vAlign w:val="top"/>
          </w:tcPr>
          <w:p>
            <w:pPr>
              <w:ind w:left="8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6.9</w:t>
            </w:r>
          </w:p>
        </w:tc>
        <w:tc>
          <w:tcPr>
            <w:tcW w:w="509" w:type="dxa"/>
            <w:vAlign w:val="top"/>
          </w:tcPr>
          <w:p>
            <w:pPr>
              <w:ind w:left="132"/>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8.4</w:t>
            </w:r>
          </w:p>
        </w:tc>
        <w:tc>
          <w:tcPr>
            <w:tcW w:w="371" w:type="dxa"/>
            <w:vAlign w:val="top"/>
          </w:tcPr>
          <w:p>
            <w:pPr>
              <w:ind w:left="5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7.9</w:t>
            </w:r>
          </w:p>
        </w:tc>
        <w:tc>
          <w:tcPr>
            <w:tcW w:w="604" w:type="dxa"/>
            <w:vAlign w:val="top"/>
          </w:tcPr>
          <w:p>
            <w:pPr>
              <w:ind w:left="17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6.4</w:t>
            </w:r>
          </w:p>
        </w:tc>
        <w:tc>
          <w:tcPr>
            <w:tcW w:w="436" w:type="dxa"/>
            <w:vAlign w:val="top"/>
          </w:tcPr>
          <w:p>
            <w:pPr>
              <w:ind w:left="90"/>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7.8</w:t>
            </w:r>
          </w:p>
        </w:tc>
        <w:tc>
          <w:tcPr>
            <w:tcW w:w="646" w:type="dxa"/>
            <w:vAlign w:val="top"/>
          </w:tcPr>
          <w:p>
            <w:pPr>
              <w:ind w:left="19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6.9</w:t>
            </w:r>
          </w:p>
        </w:tc>
        <w:tc>
          <w:tcPr>
            <w:tcW w:w="436" w:type="dxa"/>
            <w:vAlign w:val="top"/>
          </w:tcPr>
          <w:p>
            <w:pPr>
              <w:ind w:left="9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6.8</w:t>
            </w:r>
          </w:p>
        </w:tc>
        <w:tc>
          <w:tcPr>
            <w:tcW w:w="590" w:type="dxa"/>
            <w:vAlign w:val="top"/>
          </w:tcPr>
          <w:p>
            <w:pPr>
              <w:ind w:left="17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3.5</w:t>
            </w:r>
          </w:p>
        </w:tc>
        <w:tc>
          <w:tcPr>
            <w:tcW w:w="437" w:type="dxa"/>
            <w:vAlign w:val="top"/>
          </w:tcPr>
          <w:p>
            <w:pPr>
              <w:ind w:left="56"/>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13.6</w:t>
            </w:r>
          </w:p>
        </w:tc>
      </w:tr>
      <w:tr>
        <w:trPr>
          <w:trHeight w:val="317" w:hRule="atLeast"/>
        </w:trPr>
        <w:tc>
          <w:tcPr>
            <w:tcW w:w="867" w:type="dxa"/>
            <w:vAlign w:val="top"/>
          </w:tcPr>
          <w:p>
            <w:pPr>
              <w:pStyle w:val="TableText"/>
              <w:ind w:left="228"/>
              <w:spacing w:before="54" w:line="228" w:lineRule="auto"/>
              <w:rPr/>
            </w:pPr>
            <w:r>
              <w:rPr>
                <w:spacing w:val="5"/>
              </w:rPr>
              <w:t>七月</w:t>
            </w:r>
          </w:p>
        </w:tc>
        <w:tc>
          <w:tcPr>
            <w:tcW w:w="312" w:type="dxa"/>
            <w:vAlign w:val="top"/>
          </w:tcPr>
          <w:p>
            <w:pPr>
              <w:ind w:left="2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3.5</w:t>
            </w:r>
          </w:p>
        </w:tc>
        <w:tc>
          <w:tcPr>
            <w:tcW w:w="508" w:type="dxa"/>
            <w:vAlign w:val="top"/>
          </w:tcPr>
          <w:p>
            <w:pPr>
              <w:ind w:left="12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4.7</w:t>
            </w:r>
          </w:p>
        </w:tc>
        <w:tc>
          <w:tcPr>
            <w:tcW w:w="378" w:type="dxa"/>
            <w:vAlign w:val="top"/>
          </w:tcPr>
          <w:p>
            <w:pPr>
              <w:ind w:left="6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7.4</w:t>
            </w:r>
          </w:p>
        </w:tc>
        <w:tc>
          <w:tcPr>
            <w:tcW w:w="482" w:type="dxa"/>
            <w:vAlign w:val="top"/>
          </w:tcPr>
          <w:p>
            <w:pPr>
              <w:ind w:left="10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2.7</w:t>
            </w:r>
          </w:p>
        </w:tc>
        <w:tc>
          <w:tcPr>
            <w:tcW w:w="312" w:type="dxa"/>
            <w:vAlign w:val="top"/>
          </w:tcPr>
          <w:p>
            <w:pPr>
              <w:ind w:right="2"/>
              <w:spacing w:before="90"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1"/>
              </w:rPr>
              <w:t>1</w:t>
            </w:r>
          </w:p>
        </w:tc>
        <w:tc>
          <w:tcPr>
            <w:tcW w:w="440" w:type="dxa"/>
            <w:vAlign w:val="top"/>
          </w:tcPr>
          <w:p>
            <w:pPr>
              <w:ind w:left="92"/>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1"/>
              </w:rPr>
              <w:t>1</w:t>
            </w:r>
          </w:p>
        </w:tc>
        <w:tc>
          <w:tcPr>
            <w:tcW w:w="312" w:type="dxa"/>
            <w:vAlign w:val="top"/>
          </w:tcPr>
          <w:p>
            <w:pPr>
              <w:ind w:right="3"/>
              <w:spacing w:before="90"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1"/>
              </w:rPr>
              <w:t>1</w:t>
            </w:r>
          </w:p>
        </w:tc>
        <w:tc>
          <w:tcPr>
            <w:tcW w:w="434" w:type="dxa"/>
            <w:vAlign w:val="top"/>
          </w:tcPr>
          <w:p>
            <w:pPr>
              <w:ind w:left="8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4.5</w:t>
            </w:r>
          </w:p>
        </w:tc>
        <w:tc>
          <w:tcPr>
            <w:tcW w:w="434" w:type="dxa"/>
            <w:vAlign w:val="top"/>
          </w:tcPr>
          <w:p>
            <w:pPr>
              <w:ind w:left="8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9.</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1"/>
              </w:rPr>
              <w:t>1</w:t>
            </w:r>
          </w:p>
        </w:tc>
        <w:tc>
          <w:tcPr>
            <w:tcW w:w="509" w:type="dxa"/>
            <w:vAlign w:val="top"/>
          </w:tcPr>
          <w:p>
            <w:pPr>
              <w:ind w:left="9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10.4</w:t>
            </w:r>
          </w:p>
        </w:tc>
        <w:tc>
          <w:tcPr>
            <w:tcW w:w="371" w:type="dxa"/>
            <w:vAlign w:val="top"/>
          </w:tcPr>
          <w:p>
            <w:pPr>
              <w:ind w:left="62"/>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8.3</w:t>
            </w:r>
          </w:p>
        </w:tc>
        <w:tc>
          <w:tcPr>
            <w:tcW w:w="604" w:type="dxa"/>
            <w:vAlign w:val="top"/>
          </w:tcPr>
          <w:p>
            <w:pPr>
              <w:ind w:left="178"/>
              <w:spacing w:before="9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5.7</w:t>
            </w:r>
          </w:p>
        </w:tc>
        <w:tc>
          <w:tcPr>
            <w:tcW w:w="436" w:type="dxa"/>
            <w:vAlign w:val="top"/>
          </w:tcPr>
          <w:p>
            <w:pPr>
              <w:ind w:left="93"/>
              <w:spacing w:before="9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5.7</w:t>
            </w:r>
          </w:p>
        </w:tc>
        <w:tc>
          <w:tcPr>
            <w:tcW w:w="646" w:type="dxa"/>
            <w:vAlign w:val="top"/>
          </w:tcPr>
          <w:p>
            <w:pPr>
              <w:ind w:left="192"/>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4.6</w:t>
            </w:r>
          </w:p>
        </w:tc>
        <w:tc>
          <w:tcPr>
            <w:tcW w:w="436" w:type="dxa"/>
            <w:vAlign w:val="top"/>
          </w:tcPr>
          <w:p>
            <w:pPr>
              <w:ind w:left="95"/>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590" w:type="dxa"/>
            <w:vAlign w:val="top"/>
          </w:tcPr>
          <w:p>
            <w:pPr>
              <w:ind w:left="16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437" w:type="dxa"/>
            <w:vAlign w:val="top"/>
          </w:tcPr>
          <w:p>
            <w:pPr>
              <w:ind w:left="56"/>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15.8</w:t>
            </w:r>
          </w:p>
        </w:tc>
      </w:tr>
      <w:tr>
        <w:trPr>
          <w:trHeight w:val="316" w:hRule="atLeast"/>
        </w:trPr>
        <w:tc>
          <w:tcPr>
            <w:tcW w:w="867" w:type="dxa"/>
            <w:vAlign w:val="top"/>
          </w:tcPr>
          <w:p>
            <w:pPr>
              <w:pStyle w:val="TableText"/>
              <w:ind w:left="232"/>
              <w:spacing w:before="53" w:line="228" w:lineRule="auto"/>
              <w:rPr/>
            </w:pPr>
            <w:r>
              <w:rPr>
                <w:spacing w:val="3"/>
              </w:rPr>
              <w:t>八月</w:t>
            </w:r>
          </w:p>
        </w:tc>
        <w:tc>
          <w:tcPr>
            <w:tcW w:w="312" w:type="dxa"/>
            <w:vAlign w:val="top"/>
          </w:tcPr>
          <w:p>
            <w:pPr>
              <w:ind w:left="23"/>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2.6</w:t>
            </w:r>
          </w:p>
        </w:tc>
        <w:tc>
          <w:tcPr>
            <w:tcW w:w="508" w:type="dxa"/>
            <w:vAlign w:val="top"/>
          </w:tcPr>
          <w:p>
            <w:pPr>
              <w:ind w:left="129"/>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378" w:type="dxa"/>
            <w:vAlign w:val="top"/>
          </w:tcPr>
          <w:p>
            <w:pPr>
              <w:ind w:left="61"/>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9.8</w:t>
            </w:r>
          </w:p>
        </w:tc>
        <w:tc>
          <w:tcPr>
            <w:tcW w:w="482" w:type="dxa"/>
            <w:vAlign w:val="top"/>
          </w:tcPr>
          <w:p>
            <w:pPr>
              <w:ind w:left="109"/>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2.9</w:t>
            </w:r>
          </w:p>
        </w:tc>
        <w:tc>
          <w:tcPr>
            <w:tcW w:w="312" w:type="dxa"/>
            <w:vAlign w:val="top"/>
          </w:tcPr>
          <w:p>
            <w:pPr>
              <w:ind w:left="25"/>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2.9</w:t>
            </w:r>
          </w:p>
        </w:tc>
        <w:tc>
          <w:tcPr>
            <w:tcW w:w="440" w:type="dxa"/>
            <w:vAlign w:val="top"/>
          </w:tcPr>
          <w:p>
            <w:pPr>
              <w:ind w:left="92"/>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3.2</w:t>
            </w:r>
          </w:p>
        </w:tc>
        <w:tc>
          <w:tcPr>
            <w:tcW w:w="312" w:type="dxa"/>
            <w:vAlign w:val="top"/>
          </w:tcPr>
          <w:p>
            <w:pPr>
              <w:ind w:left="29"/>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3.4</w:t>
            </w:r>
          </w:p>
        </w:tc>
        <w:tc>
          <w:tcPr>
            <w:tcW w:w="434" w:type="dxa"/>
            <w:vAlign w:val="top"/>
          </w:tcPr>
          <w:p>
            <w:pPr>
              <w:ind w:left="83"/>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w:t>
            </w:r>
          </w:p>
        </w:tc>
        <w:tc>
          <w:tcPr>
            <w:tcW w:w="434" w:type="dxa"/>
            <w:vAlign w:val="top"/>
          </w:tcPr>
          <w:p>
            <w:pPr>
              <w:ind w:left="88"/>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7.4</w:t>
            </w:r>
          </w:p>
        </w:tc>
        <w:tc>
          <w:tcPr>
            <w:tcW w:w="509" w:type="dxa"/>
            <w:vAlign w:val="top"/>
          </w:tcPr>
          <w:p>
            <w:pPr>
              <w:ind w:left="132"/>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w:t>
            </w:r>
          </w:p>
        </w:tc>
        <w:tc>
          <w:tcPr>
            <w:tcW w:w="371" w:type="dxa"/>
            <w:vAlign w:val="top"/>
          </w:tcPr>
          <w:p>
            <w:pPr>
              <w:ind w:left="58"/>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6.8</w:t>
            </w:r>
          </w:p>
        </w:tc>
        <w:tc>
          <w:tcPr>
            <w:tcW w:w="604" w:type="dxa"/>
            <w:vAlign w:val="top"/>
          </w:tcPr>
          <w:p>
            <w:pPr>
              <w:ind w:left="178"/>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5.8</w:t>
            </w:r>
          </w:p>
        </w:tc>
        <w:tc>
          <w:tcPr>
            <w:tcW w:w="436" w:type="dxa"/>
            <w:vAlign w:val="top"/>
          </w:tcPr>
          <w:p>
            <w:pPr>
              <w:ind w:left="93"/>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5.6</w:t>
            </w:r>
          </w:p>
        </w:tc>
        <w:tc>
          <w:tcPr>
            <w:tcW w:w="646" w:type="dxa"/>
            <w:vAlign w:val="top"/>
          </w:tcPr>
          <w:p>
            <w:pPr>
              <w:ind w:left="197"/>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3.8</w:t>
            </w:r>
          </w:p>
        </w:tc>
        <w:tc>
          <w:tcPr>
            <w:tcW w:w="436" w:type="dxa"/>
            <w:vAlign w:val="top"/>
          </w:tcPr>
          <w:p>
            <w:pPr>
              <w:ind w:left="89"/>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w:t>
            </w:r>
          </w:p>
        </w:tc>
        <w:tc>
          <w:tcPr>
            <w:tcW w:w="590" w:type="dxa"/>
            <w:vAlign w:val="top"/>
          </w:tcPr>
          <w:p>
            <w:pPr>
              <w:ind w:left="187"/>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1.9</w:t>
            </w:r>
          </w:p>
        </w:tc>
        <w:tc>
          <w:tcPr>
            <w:tcW w:w="437" w:type="dxa"/>
            <w:vAlign w:val="top"/>
          </w:tcPr>
          <w:p>
            <w:pPr>
              <w:ind w:left="36"/>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21.8</w:t>
            </w:r>
          </w:p>
        </w:tc>
      </w:tr>
      <w:tr>
        <w:trPr>
          <w:trHeight w:val="317" w:hRule="atLeast"/>
        </w:trPr>
        <w:tc>
          <w:tcPr>
            <w:tcW w:w="867" w:type="dxa"/>
            <w:vAlign w:val="top"/>
          </w:tcPr>
          <w:p>
            <w:pPr>
              <w:pStyle w:val="TableText"/>
              <w:ind w:left="234"/>
              <w:spacing w:before="54" w:line="228" w:lineRule="auto"/>
              <w:rPr/>
            </w:pPr>
            <w:r>
              <w:rPr>
                <w:spacing w:val="2"/>
              </w:rPr>
              <w:t>九月</w:t>
            </w:r>
          </w:p>
        </w:tc>
        <w:tc>
          <w:tcPr>
            <w:tcW w:w="312" w:type="dxa"/>
            <w:vAlign w:val="top"/>
          </w:tcPr>
          <w:p>
            <w:pPr>
              <w:ind w:left="2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3.2</w:t>
            </w:r>
          </w:p>
        </w:tc>
        <w:tc>
          <w:tcPr>
            <w:tcW w:w="508" w:type="dxa"/>
            <w:vAlign w:val="top"/>
          </w:tcPr>
          <w:p>
            <w:pPr>
              <w:ind w:left="12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6.4</w:t>
            </w:r>
          </w:p>
        </w:tc>
        <w:tc>
          <w:tcPr>
            <w:tcW w:w="378" w:type="dxa"/>
            <w:vAlign w:val="top"/>
          </w:tcPr>
          <w:p>
            <w:pPr>
              <w:ind w:right="3"/>
              <w:spacing w:before="90"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10.8</w:t>
            </w:r>
          </w:p>
        </w:tc>
        <w:tc>
          <w:tcPr>
            <w:tcW w:w="482" w:type="dxa"/>
            <w:vAlign w:val="top"/>
          </w:tcPr>
          <w:p>
            <w:pPr>
              <w:ind w:left="10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c>
          <w:tcPr>
            <w:tcW w:w="312" w:type="dxa"/>
            <w:vAlign w:val="top"/>
          </w:tcPr>
          <w:p>
            <w:pPr>
              <w:ind w:left="45"/>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1.7</w:t>
            </w:r>
          </w:p>
        </w:tc>
        <w:tc>
          <w:tcPr>
            <w:tcW w:w="440" w:type="dxa"/>
            <w:vAlign w:val="top"/>
          </w:tcPr>
          <w:p>
            <w:pPr>
              <w:ind w:left="8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312" w:type="dxa"/>
            <w:vAlign w:val="top"/>
          </w:tcPr>
          <w:p>
            <w:pPr>
              <w:ind w:left="2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434" w:type="dxa"/>
            <w:vAlign w:val="top"/>
          </w:tcPr>
          <w:p>
            <w:pPr>
              <w:ind w:left="8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c>
          <w:tcPr>
            <w:tcW w:w="434" w:type="dxa"/>
            <w:vAlign w:val="top"/>
          </w:tcPr>
          <w:p>
            <w:pPr>
              <w:ind w:left="9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509" w:type="dxa"/>
            <w:vAlign w:val="top"/>
          </w:tcPr>
          <w:p>
            <w:pPr>
              <w:ind w:left="12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6.2</w:t>
            </w:r>
          </w:p>
        </w:tc>
        <w:tc>
          <w:tcPr>
            <w:tcW w:w="371" w:type="dxa"/>
            <w:vAlign w:val="top"/>
          </w:tcPr>
          <w:p>
            <w:pPr>
              <w:ind w:left="5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6.0</w:t>
            </w:r>
          </w:p>
        </w:tc>
        <w:tc>
          <w:tcPr>
            <w:tcW w:w="604" w:type="dxa"/>
            <w:vAlign w:val="top"/>
          </w:tcPr>
          <w:p>
            <w:pPr>
              <w:ind w:left="17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436" w:type="dxa"/>
            <w:vAlign w:val="top"/>
          </w:tcPr>
          <w:p>
            <w:pPr>
              <w:ind w:left="95"/>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w:t>
            </w:r>
          </w:p>
        </w:tc>
        <w:tc>
          <w:tcPr>
            <w:tcW w:w="646" w:type="dxa"/>
            <w:vAlign w:val="top"/>
          </w:tcPr>
          <w:p>
            <w:pPr>
              <w:ind w:left="19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6.7</w:t>
            </w:r>
          </w:p>
        </w:tc>
        <w:tc>
          <w:tcPr>
            <w:tcW w:w="436" w:type="dxa"/>
            <w:vAlign w:val="top"/>
          </w:tcPr>
          <w:p>
            <w:pPr>
              <w:ind w:left="95"/>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5.6</w:t>
            </w:r>
          </w:p>
        </w:tc>
        <w:tc>
          <w:tcPr>
            <w:tcW w:w="590" w:type="dxa"/>
            <w:vAlign w:val="top"/>
          </w:tcPr>
          <w:p>
            <w:pPr>
              <w:ind w:left="16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c>
          <w:tcPr>
            <w:tcW w:w="437" w:type="dxa"/>
            <w:vAlign w:val="top"/>
          </w:tcPr>
          <w:p>
            <w:pPr>
              <w:ind w:left="36"/>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23.0</w:t>
            </w:r>
          </w:p>
        </w:tc>
      </w:tr>
      <w:tr>
        <w:trPr>
          <w:trHeight w:val="316" w:hRule="atLeast"/>
        </w:trPr>
        <w:tc>
          <w:tcPr>
            <w:tcW w:w="867" w:type="dxa"/>
            <w:vAlign w:val="top"/>
          </w:tcPr>
          <w:p>
            <w:pPr>
              <w:pStyle w:val="TableText"/>
              <w:ind w:left="230"/>
              <w:spacing w:before="53" w:line="228" w:lineRule="auto"/>
              <w:rPr/>
            </w:pPr>
            <w:r>
              <w:rPr>
                <w:spacing w:val="4"/>
              </w:rPr>
              <w:t>十月</w:t>
            </w:r>
          </w:p>
        </w:tc>
        <w:tc>
          <w:tcPr>
            <w:tcW w:w="312" w:type="dxa"/>
            <w:vAlign w:val="top"/>
          </w:tcPr>
          <w:p>
            <w:pPr>
              <w:ind w:left="2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2.9</w:t>
            </w:r>
          </w:p>
        </w:tc>
        <w:tc>
          <w:tcPr>
            <w:tcW w:w="508" w:type="dxa"/>
            <w:vAlign w:val="top"/>
          </w:tcPr>
          <w:p>
            <w:pPr>
              <w:ind w:left="12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w:t>
            </w:r>
          </w:p>
        </w:tc>
        <w:tc>
          <w:tcPr>
            <w:tcW w:w="378" w:type="dxa"/>
            <w:vAlign w:val="top"/>
          </w:tcPr>
          <w:p>
            <w:pPr>
              <w:ind w:left="6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9.3</w:t>
            </w:r>
          </w:p>
        </w:tc>
        <w:tc>
          <w:tcPr>
            <w:tcW w:w="482" w:type="dxa"/>
            <w:vAlign w:val="top"/>
          </w:tcPr>
          <w:p>
            <w:pPr>
              <w:ind w:left="12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w:t>
            </w:r>
          </w:p>
        </w:tc>
        <w:tc>
          <w:tcPr>
            <w:tcW w:w="312" w:type="dxa"/>
            <w:vAlign w:val="top"/>
          </w:tcPr>
          <w:p>
            <w:pPr>
              <w:ind w:left="45"/>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1.2</w:t>
            </w:r>
          </w:p>
        </w:tc>
        <w:tc>
          <w:tcPr>
            <w:tcW w:w="440" w:type="dxa"/>
            <w:vAlign w:val="top"/>
          </w:tcPr>
          <w:p>
            <w:pPr>
              <w:ind w:left="10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1.2</w:t>
            </w:r>
          </w:p>
        </w:tc>
        <w:tc>
          <w:tcPr>
            <w:tcW w:w="312" w:type="dxa"/>
            <w:vAlign w:val="top"/>
          </w:tcPr>
          <w:p>
            <w:pPr>
              <w:ind w:left="45"/>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1.6</w:t>
            </w:r>
          </w:p>
        </w:tc>
        <w:tc>
          <w:tcPr>
            <w:tcW w:w="434" w:type="dxa"/>
            <w:vAlign w:val="top"/>
          </w:tcPr>
          <w:p>
            <w:pPr>
              <w:ind w:left="105"/>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1.3</w:t>
            </w:r>
          </w:p>
        </w:tc>
        <w:tc>
          <w:tcPr>
            <w:tcW w:w="434" w:type="dxa"/>
            <w:vAlign w:val="top"/>
          </w:tcPr>
          <w:p>
            <w:pPr>
              <w:ind w:left="85"/>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2.4</w:t>
            </w:r>
          </w:p>
        </w:tc>
        <w:tc>
          <w:tcPr>
            <w:tcW w:w="509" w:type="dxa"/>
            <w:vAlign w:val="top"/>
          </w:tcPr>
          <w:p>
            <w:pPr>
              <w:ind w:left="12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w:t>
            </w:r>
          </w:p>
        </w:tc>
        <w:tc>
          <w:tcPr>
            <w:tcW w:w="371" w:type="dxa"/>
            <w:vAlign w:val="top"/>
          </w:tcPr>
          <w:p>
            <w:pPr>
              <w:ind w:left="5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6.0</w:t>
            </w:r>
          </w:p>
        </w:tc>
        <w:tc>
          <w:tcPr>
            <w:tcW w:w="604" w:type="dxa"/>
            <w:vAlign w:val="top"/>
          </w:tcPr>
          <w:p>
            <w:pPr>
              <w:ind w:left="18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8.2</w:t>
            </w:r>
          </w:p>
        </w:tc>
        <w:tc>
          <w:tcPr>
            <w:tcW w:w="436" w:type="dxa"/>
            <w:vAlign w:val="top"/>
          </w:tcPr>
          <w:p>
            <w:pPr>
              <w:ind w:left="5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13.5</w:t>
            </w:r>
          </w:p>
        </w:tc>
        <w:tc>
          <w:tcPr>
            <w:tcW w:w="646" w:type="dxa"/>
            <w:vAlign w:val="top"/>
          </w:tcPr>
          <w:p>
            <w:pPr>
              <w:ind w:left="16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10.5</w:t>
            </w:r>
          </w:p>
        </w:tc>
        <w:tc>
          <w:tcPr>
            <w:tcW w:w="436" w:type="dxa"/>
            <w:vAlign w:val="top"/>
          </w:tcPr>
          <w:p>
            <w:pPr>
              <w:ind w:left="9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7.0</w:t>
            </w:r>
          </w:p>
        </w:tc>
        <w:tc>
          <w:tcPr>
            <w:tcW w:w="590" w:type="dxa"/>
            <w:vAlign w:val="top"/>
          </w:tcPr>
          <w:p>
            <w:pPr>
              <w:ind w:left="16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437" w:type="dxa"/>
            <w:vAlign w:val="top"/>
          </w:tcPr>
          <w:p>
            <w:pPr>
              <w:ind w:left="36"/>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22.5</w:t>
            </w:r>
          </w:p>
        </w:tc>
      </w:tr>
      <w:tr>
        <w:trPr>
          <w:trHeight w:val="317" w:hRule="atLeast"/>
        </w:trPr>
        <w:tc>
          <w:tcPr>
            <w:tcW w:w="867" w:type="dxa"/>
            <w:vAlign w:val="top"/>
          </w:tcPr>
          <w:p>
            <w:pPr>
              <w:pStyle w:val="TableText"/>
              <w:ind w:left="124"/>
              <w:spacing w:before="56" w:line="228" w:lineRule="auto"/>
              <w:rPr/>
            </w:pPr>
            <w:r>
              <w:rPr>
                <w:spacing w:val="6"/>
              </w:rPr>
              <w:t>十一月</w:t>
            </w:r>
          </w:p>
        </w:tc>
        <w:tc>
          <w:tcPr>
            <w:tcW w:w="312" w:type="dxa"/>
            <w:vAlign w:val="top"/>
          </w:tcPr>
          <w:p>
            <w:pPr>
              <w:ind w:left="23"/>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508" w:type="dxa"/>
            <w:vAlign w:val="top"/>
          </w:tcPr>
          <w:p>
            <w:pPr>
              <w:ind w:left="12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1"/>
              </w:rPr>
              <w:t>1</w:t>
            </w:r>
          </w:p>
        </w:tc>
        <w:tc>
          <w:tcPr>
            <w:tcW w:w="378" w:type="dxa"/>
            <w:vAlign w:val="top"/>
          </w:tcPr>
          <w:p>
            <w:pPr>
              <w:ind w:left="6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6.8</w:t>
            </w:r>
          </w:p>
        </w:tc>
        <w:tc>
          <w:tcPr>
            <w:tcW w:w="482" w:type="dxa"/>
            <w:vAlign w:val="top"/>
          </w:tcPr>
          <w:p>
            <w:pPr>
              <w:ind w:left="129"/>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1.</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6"/>
              </w:rPr>
              <w:t>1</w:t>
            </w:r>
          </w:p>
        </w:tc>
        <w:tc>
          <w:tcPr>
            <w:tcW w:w="312" w:type="dxa"/>
            <w:vAlign w:val="top"/>
          </w:tcPr>
          <w:p>
            <w:pPr>
              <w:ind w:left="45"/>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w:t>
            </w:r>
          </w:p>
        </w:tc>
        <w:tc>
          <w:tcPr>
            <w:tcW w:w="440" w:type="dxa"/>
            <w:vAlign w:val="top"/>
          </w:tcPr>
          <w:p>
            <w:pPr>
              <w:ind w:left="91"/>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0.9</w:t>
            </w:r>
          </w:p>
        </w:tc>
        <w:tc>
          <w:tcPr>
            <w:tcW w:w="312" w:type="dxa"/>
            <w:vAlign w:val="top"/>
          </w:tcPr>
          <w:p>
            <w:pPr>
              <w:ind w:right="3"/>
              <w:spacing w:before="93"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1.</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6"/>
              </w:rPr>
              <w:t>1</w:t>
            </w:r>
          </w:p>
        </w:tc>
        <w:tc>
          <w:tcPr>
            <w:tcW w:w="434" w:type="dxa"/>
            <w:vAlign w:val="top"/>
          </w:tcPr>
          <w:p>
            <w:pPr>
              <w:ind w:left="8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0.9</w:t>
            </w:r>
          </w:p>
        </w:tc>
        <w:tc>
          <w:tcPr>
            <w:tcW w:w="434" w:type="dxa"/>
            <w:vAlign w:val="top"/>
          </w:tcPr>
          <w:p>
            <w:pPr>
              <w:ind w:left="105"/>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1.9</w:t>
            </w:r>
          </w:p>
        </w:tc>
        <w:tc>
          <w:tcPr>
            <w:tcW w:w="509" w:type="dxa"/>
            <w:vAlign w:val="top"/>
          </w:tcPr>
          <w:p>
            <w:pPr>
              <w:ind w:left="124"/>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371" w:type="dxa"/>
            <w:vAlign w:val="top"/>
          </w:tcPr>
          <w:p>
            <w:pPr>
              <w:ind w:left="60"/>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5.8</w:t>
            </w:r>
          </w:p>
        </w:tc>
        <w:tc>
          <w:tcPr>
            <w:tcW w:w="604" w:type="dxa"/>
            <w:vAlign w:val="top"/>
          </w:tcPr>
          <w:p>
            <w:pPr>
              <w:ind w:left="140"/>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11.0</w:t>
            </w:r>
          </w:p>
        </w:tc>
        <w:tc>
          <w:tcPr>
            <w:tcW w:w="436" w:type="dxa"/>
            <w:vAlign w:val="top"/>
          </w:tcPr>
          <w:p>
            <w:pPr>
              <w:ind w:left="36"/>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21.</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w:t>
            </w:r>
          </w:p>
        </w:tc>
        <w:tc>
          <w:tcPr>
            <w:tcW w:w="646" w:type="dxa"/>
            <w:vAlign w:val="top"/>
          </w:tcPr>
          <w:p>
            <w:pPr>
              <w:ind w:left="161"/>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13.7</w:t>
            </w:r>
          </w:p>
        </w:tc>
        <w:tc>
          <w:tcPr>
            <w:tcW w:w="436" w:type="dxa"/>
            <w:vAlign w:val="top"/>
          </w:tcPr>
          <w:p>
            <w:pPr>
              <w:ind w:left="94"/>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6.0</w:t>
            </w:r>
          </w:p>
        </w:tc>
        <w:tc>
          <w:tcPr>
            <w:tcW w:w="590" w:type="dxa"/>
            <w:vAlign w:val="top"/>
          </w:tcPr>
          <w:p>
            <w:pPr>
              <w:ind w:left="187"/>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1.7</w:t>
            </w:r>
          </w:p>
        </w:tc>
        <w:tc>
          <w:tcPr>
            <w:tcW w:w="437" w:type="dxa"/>
            <w:vAlign w:val="top"/>
          </w:tcPr>
          <w:p>
            <w:pPr>
              <w:ind w:left="36"/>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21.4</w:t>
            </w:r>
          </w:p>
        </w:tc>
      </w:tr>
      <w:tr>
        <w:trPr>
          <w:trHeight w:val="321" w:hRule="atLeast"/>
        </w:trPr>
        <w:tc>
          <w:tcPr>
            <w:tcW w:w="867" w:type="dxa"/>
            <w:vAlign w:val="top"/>
          </w:tcPr>
          <w:p>
            <w:pPr>
              <w:pStyle w:val="TableText"/>
              <w:ind w:left="124"/>
              <w:spacing w:before="56" w:line="228" w:lineRule="auto"/>
              <w:rPr/>
            </w:pPr>
            <w:r>
              <w:rPr>
                <w:spacing w:val="6"/>
              </w:rPr>
              <w:t>十二月</w:t>
            </w:r>
          </w:p>
        </w:tc>
        <w:tc>
          <w:tcPr>
            <w:tcW w:w="312" w:type="dxa"/>
            <w:vAlign w:val="top"/>
          </w:tcPr>
          <w:p>
            <w:pPr>
              <w:ind w:left="4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w:t>
            </w:r>
          </w:p>
        </w:tc>
        <w:tc>
          <w:tcPr>
            <w:tcW w:w="508" w:type="dxa"/>
            <w:vAlign w:val="top"/>
          </w:tcPr>
          <w:p>
            <w:pPr>
              <w:ind w:left="12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2.3</w:t>
            </w:r>
          </w:p>
        </w:tc>
        <w:tc>
          <w:tcPr>
            <w:tcW w:w="378" w:type="dxa"/>
            <w:vAlign w:val="top"/>
          </w:tcPr>
          <w:p>
            <w:pPr>
              <w:ind w:left="6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482" w:type="dxa"/>
            <w:vAlign w:val="top"/>
          </w:tcPr>
          <w:p>
            <w:pPr>
              <w:ind w:left="11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0.9</w:t>
            </w:r>
          </w:p>
        </w:tc>
        <w:tc>
          <w:tcPr>
            <w:tcW w:w="312" w:type="dxa"/>
            <w:vAlign w:val="top"/>
          </w:tcPr>
          <w:p>
            <w:pPr>
              <w:ind w:left="2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0.9</w:t>
            </w:r>
          </w:p>
        </w:tc>
        <w:tc>
          <w:tcPr>
            <w:tcW w:w="440" w:type="dxa"/>
            <w:vAlign w:val="top"/>
          </w:tcPr>
          <w:p>
            <w:pPr>
              <w:ind w:left="9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0.8</w:t>
            </w:r>
          </w:p>
        </w:tc>
        <w:tc>
          <w:tcPr>
            <w:tcW w:w="312" w:type="dxa"/>
            <w:vAlign w:val="top"/>
          </w:tcPr>
          <w:p>
            <w:pPr>
              <w:ind w:right="3"/>
              <w:spacing w:before="92"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1.</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6"/>
              </w:rPr>
              <w:t>1</w:t>
            </w:r>
          </w:p>
        </w:tc>
        <w:tc>
          <w:tcPr>
            <w:tcW w:w="434" w:type="dxa"/>
            <w:vAlign w:val="top"/>
          </w:tcPr>
          <w:p>
            <w:pPr>
              <w:ind w:left="8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0.6</w:t>
            </w:r>
          </w:p>
        </w:tc>
        <w:tc>
          <w:tcPr>
            <w:tcW w:w="434" w:type="dxa"/>
            <w:vAlign w:val="top"/>
          </w:tcPr>
          <w:p>
            <w:pPr>
              <w:ind w:left="10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1.2</w:t>
            </w:r>
          </w:p>
        </w:tc>
        <w:tc>
          <w:tcPr>
            <w:tcW w:w="509" w:type="dxa"/>
            <w:vAlign w:val="top"/>
          </w:tcPr>
          <w:p>
            <w:pPr>
              <w:ind w:left="12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371" w:type="dxa"/>
            <w:vAlign w:val="top"/>
          </w:tcPr>
          <w:p>
            <w:pPr>
              <w:ind w:left="5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6.2</w:t>
            </w:r>
          </w:p>
        </w:tc>
        <w:tc>
          <w:tcPr>
            <w:tcW w:w="604" w:type="dxa"/>
            <w:vAlign w:val="top"/>
          </w:tcPr>
          <w:p>
            <w:pPr>
              <w:ind w:left="17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9.9</w:t>
            </w:r>
          </w:p>
        </w:tc>
        <w:tc>
          <w:tcPr>
            <w:tcW w:w="436" w:type="dxa"/>
            <w:vAlign w:val="top"/>
          </w:tcPr>
          <w:p>
            <w:pPr>
              <w:ind w:left="3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23.5</w:t>
            </w:r>
          </w:p>
        </w:tc>
        <w:tc>
          <w:tcPr>
            <w:tcW w:w="646" w:type="dxa"/>
            <w:vAlign w:val="top"/>
          </w:tcPr>
          <w:p>
            <w:pPr>
              <w:ind w:left="16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16.7</w:t>
            </w:r>
          </w:p>
        </w:tc>
        <w:tc>
          <w:tcPr>
            <w:tcW w:w="436" w:type="dxa"/>
            <w:vAlign w:val="top"/>
          </w:tcPr>
          <w:p>
            <w:pPr>
              <w:ind w:left="9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590" w:type="dxa"/>
            <w:vAlign w:val="top"/>
          </w:tcPr>
          <w:p>
            <w:pPr>
              <w:ind w:left="18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1.2</w:t>
            </w:r>
          </w:p>
        </w:tc>
        <w:tc>
          <w:tcPr>
            <w:tcW w:w="437" w:type="dxa"/>
            <w:vAlign w:val="top"/>
          </w:tcPr>
          <w:p>
            <w:pPr>
              <w:ind w:left="3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21.0</w:t>
            </w:r>
          </w:p>
        </w:tc>
      </w:tr>
    </w:tbl>
    <w:p>
      <w:pPr>
        <w:spacing w:before="114" w:line="219" w:lineRule="auto"/>
        <w:jc w:val="right"/>
        <w:rPr>
          <w:rFonts w:ascii="SimSun" w:hAnsi="SimSun" w:eastAsia="SimSun" w:cs="SimSun"/>
          <w:sz w:val="24"/>
          <w:szCs w:val="24"/>
        </w:rPr>
      </w:pPr>
      <w:r>
        <w:rPr>
          <w:rFonts w:ascii="SimSun" w:hAnsi="SimSun" w:eastAsia="SimSun" w:cs="SimSun"/>
          <w:sz w:val="24"/>
          <w:szCs w:val="24"/>
          <w:spacing w:val="-2"/>
        </w:rPr>
        <w:t>从正镶白旗近</w:t>
      </w:r>
      <w:r>
        <w:rPr>
          <w:rFonts w:ascii="Times New Roman" w:hAnsi="Times New Roman" w:eastAsia="Times New Roman" w:cs="Times New Roman"/>
          <w:sz w:val="24"/>
          <w:szCs w:val="24"/>
          <w:spacing w:val="-2"/>
        </w:rPr>
        <w:t>30</w:t>
      </w:r>
      <w:r>
        <w:rPr>
          <w:rFonts w:ascii="SimSun" w:hAnsi="SimSun" w:eastAsia="SimSun" w:cs="SimSun"/>
          <w:sz w:val="24"/>
          <w:szCs w:val="24"/>
          <w:spacing w:val="-2"/>
        </w:rPr>
        <w:t>年各月风向频率统计可知，正镶白旗一月份</w:t>
      </w:r>
      <w:r>
        <w:rPr>
          <w:rFonts w:ascii="SimSun" w:hAnsi="SimSun" w:eastAsia="SimSun" w:cs="SimSun"/>
          <w:sz w:val="24"/>
          <w:szCs w:val="24"/>
          <w:spacing w:val="-3"/>
        </w:rPr>
        <w:t>主导风向为</w:t>
      </w:r>
      <w:r>
        <w:rPr>
          <w:rFonts w:ascii="Times New Roman" w:hAnsi="Times New Roman" w:eastAsia="Times New Roman" w:cs="Times New Roman"/>
          <w:sz w:val="24"/>
          <w:szCs w:val="24"/>
          <w:spacing w:val="-3"/>
        </w:rPr>
        <w:t>W</w:t>
      </w:r>
      <w:r>
        <w:rPr>
          <w:rFonts w:ascii="SimSun" w:hAnsi="SimSun" w:eastAsia="SimSun" w:cs="SimSun"/>
          <w:sz w:val="24"/>
          <w:szCs w:val="24"/>
          <w:spacing w:val="-3"/>
        </w:rPr>
        <w:t>风；</w:t>
      </w:r>
    </w:p>
    <w:p>
      <w:pPr>
        <w:ind w:left="15" w:right="58" w:firstLine="2"/>
        <w:spacing w:before="183" w:line="362" w:lineRule="auto"/>
        <w:rPr>
          <w:rFonts w:ascii="SimSun" w:hAnsi="SimSun" w:eastAsia="SimSun" w:cs="SimSun"/>
          <w:sz w:val="24"/>
          <w:szCs w:val="24"/>
        </w:rPr>
      </w:pPr>
      <w:r>
        <w:rPr>
          <w:rFonts w:ascii="SimSun" w:hAnsi="SimSun" w:eastAsia="SimSun" w:cs="SimSun"/>
          <w:sz w:val="24"/>
          <w:szCs w:val="24"/>
          <w:spacing w:val="1"/>
        </w:rPr>
        <w:t>二、三、四月份主导风向为</w:t>
      </w:r>
      <w:r>
        <w:rPr>
          <w:rFonts w:ascii="Times New Roman" w:hAnsi="Times New Roman" w:eastAsia="Times New Roman" w:cs="Times New Roman"/>
          <w:sz w:val="24"/>
          <w:szCs w:val="24"/>
        </w:rPr>
        <w:t>WNW</w:t>
      </w:r>
      <w:r>
        <w:rPr>
          <w:rFonts w:ascii="SimSun" w:hAnsi="SimSun" w:eastAsia="SimSun" w:cs="SimSun"/>
          <w:sz w:val="24"/>
          <w:szCs w:val="24"/>
          <w:spacing w:val="1"/>
        </w:rPr>
        <w:t>风，五月份主导风向为</w:t>
      </w:r>
      <w:r>
        <w:rPr>
          <w:rFonts w:ascii="Times New Roman" w:hAnsi="Times New Roman" w:eastAsia="Times New Roman" w:cs="Times New Roman"/>
          <w:sz w:val="24"/>
          <w:szCs w:val="24"/>
        </w:rPr>
        <w:t>NW</w:t>
      </w:r>
      <w:r>
        <w:rPr>
          <w:rFonts w:ascii="SimSun" w:hAnsi="SimSun" w:eastAsia="SimSun" w:cs="SimSun"/>
          <w:sz w:val="24"/>
          <w:szCs w:val="24"/>
        </w:rPr>
        <w:t>风，六、七月份主导 </w:t>
      </w:r>
      <w:r>
        <w:rPr>
          <w:rFonts w:ascii="SimSun" w:hAnsi="SimSun" w:eastAsia="SimSun" w:cs="SimSun"/>
          <w:sz w:val="24"/>
          <w:szCs w:val="24"/>
        </w:rPr>
        <w:t>风向为</w:t>
      </w:r>
      <w:r>
        <w:rPr>
          <w:rFonts w:ascii="Times New Roman" w:hAnsi="Times New Roman" w:eastAsia="Times New Roman" w:cs="Times New Roman"/>
          <w:sz w:val="24"/>
          <w:szCs w:val="24"/>
        </w:rPr>
        <w:t>SSW</w:t>
      </w:r>
      <w:r>
        <w:rPr>
          <w:rFonts w:ascii="SimSun" w:hAnsi="SimSun" w:eastAsia="SimSun" w:cs="SimSun"/>
          <w:sz w:val="24"/>
          <w:szCs w:val="24"/>
        </w:rPr>
        <w:t>风，八、九月份主导风向为</w:t>
      </w:r>
      <w:r>
        <w:rPr>
          <w:rFonts w:ascii="Times New Roman" w:hAnsi="Times New Roman" w:eastAsia="Times New Roman" w:cs="Times New Roman"/>
          <w:sz w:val="24"/>
          <w:szCs w:val="24"/>
        </w:rPr>
        <w:t>NE</w:t>
      </w:r>
      <w:r>
        <w:rPr>
          <w:rFonts w:ascii="SimSun" w:hAnsi="SimSun" w:eastAsia="SimSun" w:cs="SimSun"/>
          <w:sz w:val="24"/>
          <w:szCs w:val="24"/>
        </w:rPr>
        <w:t>风，十</w:t>
      </w:r>
      <w:r>
        <w:rPr>
          <w:rFonts w:ascii="SimSun" w:hAnsi="SimSun" w:eastAsia="SimSun" w:cs="SimSun"/>
          <w:sz w:val="24"/>
          <w:szCs w:val="24"/>
          <w:spacing w:val="-1"/>
        </w:rPr>
        <w:t>至十二月份主导风向为</w:t>
      </w:r>
      <w:r>
        <w:rPr>
          <w:rFonts w:ascii="Times New Roman" w:hAnsi="Times New Roman" w:eastAsia="Times New Roman" w:cs="Times New Roman"/>
          <w:sz w:val="24"/>
          <w:szCs w:val="24"/>
          <w:spacing w:val="-1"/>
        </w:rPr>
        <w:t>W</w:t>
      </w:r>
      <w:r>
        <w:rPr>
          <w:rFonts w:ascii="SimSun" w:hAnsi="SimSun" w:eastAsia="SimSun" w:cs="SimSun"/>
          <w:sz w:val="24"/>
          <w:szCs w:val="24"/>
          <w:spacing w:val="-1"/>
        </w:rPr>
        <w:t>风。</w:t>
      </w:r>
    </w:p>
    <w:p>
      <w:pPr>
        <w:spacing w:line="362" w:lineRule="auto"/>
        <w:sectPr>
          <w:headerReference w:type="default" r:id="rId188"/>
          <w:footerReference w:type="default" r:id="rId189"/>
          <w:pgSz w:w="11906" w:h="16839"/>
          <w:pgMar w:top="1567" w:right="1642" w:bottom="1482" w:left="1696" w:header="1221" w:footer="1248" w:gutter="0"/>
        </w:sectPr>
        <w:rPr>
          <w:rFonts w:ascii="SimSun" w:hAnsi="SimSun" w:eastAsia="SimSun" w:cs="SimSun"/>
          <w:sz w:val="24"/>
          <w:szCs w:val="24"/>
        </w:rPr>
      </w:pPr>
    </w:p>
    <w:p>
      <w:pPr>
        <w:spacing w:line="133" w:lineRule="exact"/>
        <w:rPr/>
      </w:pPr>
      <w:r>
        <w:pict>
          <v:shape id="_x0000_s734" style="position:absolute;margin-left:85.05pt;margin-top:78.87pt;mso-position-vertical-relative:page;mso-position-horizontal-relative:page;width:425.25pt;height:0.75pt;z-index:251995136;" o:allowincell="f" fillcolor="#000000" filled="true" stroked="false" coordsize="8505,15" coordorigin="0,0" path="m,l8504,0l8504,14l0,14l0,0xe"/>
        </w:pict>
      </w:r>
      <w:r/>
    </w:p>
    <w:tbl>
      <w:tblPr>
        <w:tblStyle w:val="TableNormal"/>
        <w:tblW w:w="8516"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831"/>
        <w:gridCol w:w="2830"/>
        <w:gridCol w:w="2855"/>
      </w:tblGrid>
      <w:tr>
        <w:trPr>
          <w:trHeight w:val="3128" w:hRule="atLeast"/>
        </w:trPr>
        <w:tc>
          <w:tcPr>
            <w:tcW w:w="2831" w:type="dxa"/>
            <w:vAlign w:val="top"/>
          </w:tcPr>
          <w:p>
            <w:pPr>
              <w:ind w:firstLine="11"/>
              <w:spacing w:before="22" w:line="2772" w:lineRule="exact"/>
              <w:rPr/>
            </w:pPr>
            <w:r>
              <w:rPr>
                <w:position w:val="-55"/>
              </w:rPr>
              <w:drawing>
                <wp:inline distT="0" distB="0" distL="0" distR="0">
                  <wp:extent cx="1780032" cy="1760219"/>
                  <wp:effectExtent l="0" t="0" r="0" b="0"/>
                  <wp:docPr id="102" name="IM 102"/>
                  <wp:cNvGraphicFramePr/>
                  <a:graphic>
                    <a:graphicData uri="http://schemas.openxmlformats.org/drawingml/2006/picture">
                      <pic:pic>
                        <pic:nvPicPr>
                          <pic:cNvPr id="102" name="IM 102"/>
                          <pic:cNvPicPr/>
                        </pic:nvPicPr>
                        <pic:blipFill>
                          <a:blip r:embed="rId193"/>
                          <a:stretch>
                            <a:fillRect/>
                          </a:stretch>
                        </pic:blipFill>
                        <pic:spPr>
                          <a:xfrm rot="0">
                            <a:off x="0" y="0"/>
                            <a:ext cx="1780032" cy="1760219"/>
                          </a:xfrm>
                          <a:prstGeom prst="rect">
                            <a:avLst/>
                          </a:prstGeom>
                        </pic:spPr>
                      </pic:pic>
                    </a:graphicData>
                  </a:graphic>
                </wp:inline>
              </w:drawing>
            </w:r>
          </w:p>
          <w:p>
            <w:pPr>
              <w:pStyle w:val="TableText"/>
              <w:ind w:left="1255"/>
              <w:spacing w:before="70" w:line="228" w:lineRule="auto"/>
              <w:rPr/>
            </w:pPr>
            <w:r>
              <w:rPr>
                <w:rFonts w:ascii="Times New Roman" w:hAnsi="Times New Roman" w:eastAsia="Times New Roman" w:cs="Times New Roman"/>
                <w:spacing w:val="-10"/>
              </w:rPr>
              <w:t>1</w:t>
            </w:r>
            <w:r>
              <w:rPr>
                <w:rFonts w:ascii="Times New Roman" w:hAnsi="Times New Roman" w:eastAsia="Times New Roman" w:cs="Times New Roman"/>
                <w:spacing w:val="14"/>
                <w:w w:val="101"/>
              </w:rPr>
              <w:t xml:space="preserve"> </w:t>
            </w:r>
            <w:r>
              <w:rPr>
                <w:spacing w:val="-10"/>
              </w:rPr>
              <w:t>月</w:t>
            </w:r>
          </w:p>
        </w:tc>
        <w:tc>
          <w:tcPr>
            <w:tcW w:w="2830" w:type="dxa"/>
            <w:vAlign w:val="top"/>
          </w:tcPr>
          <w:p>
            <w:pPr>
              <w:ind w:firstLine="53"/>
              <w:spacing w:before="82" w:line="2652" w:lineRule="exact"/>
              <w:rPr/>
            </w:pPr>
            <w:r>
              <w:rPr>
                <w:position w:val="-53"/>
              </w:rPr>
              <w:drawing>
                <wp:inline distT="0" distB="0" distL="0" distR="0">
                  <wp:extent cx="1725167" cy="1684019"/>
                  <wp:effectExtent l="0" t="0" r="0" b="0"/>
                  <wp:docPr id="104" name="IM 104"/>
                  <wp:cNvGraphicFramePr/>
                  <a:graphic>
                    <a:graphicData uri="http://schemas.openxmlformats.org/drawingml/2006/picture">
                      <pic:pic>
                        <pic:nvPicPr>
                          <pic:cNvPr id="104" name="IM 104"/>
                          <pic:cNvPicPr/>
                        </pic:nvPicPr>
                        <pic:blipFill>
                          <a:blip r:embed="rId194"/>
                          <a:stretch>
                            <a:fillRect/>
                          </a:stretch>
                        </pic:blipFill>
                        <pic:spPr>
                          <a:xfrm rot="0">
                            <a:off x="0" y="0"/>
                            <a:ext cx="1725167" cy="1684019"/>
                          </a:xfrm>
                          <a:prstGeom prst="rect">
                            <a:avLst/>
                          </a:prstGeom>
                        </pic:spPr>
                      </pic:pic>
                    </a:graphicData>
                  </a:graphic>
                </wp:inline>
              </w:drawing>
            </w:r>
          </w:p>
          <w:p>
            <w:pPr>
              <w:pStyle w:val="TableText"/>
              <w:ind w:left="1233"/>
              <w:spacing w:before="130" w:line="228" w:lineRule="auto"/>
              <w:rPr/>
            </w:pPr>
            <w:r>
              <w:rPr>
                <w:rFonts w:ascii="Times New Roman" w:hAnsi="Times New Roman" w:eastAsia="Times New Roman" w:cs="Times New Roman"/>
              </w:rPr>
              <w:t>2</w:t>
            </w:r>
            <w:r>
              <w:rPr>
                <w:rFonts w:ascii="Times New Roman" w:hAnsi="Times New Roman" w:eastAsia="Times New Roman" w:cs="Times New Roman"/>
                <w:spacing w:val="14"/>
                <w:w w:val="101"/>
              </w:rPr>
              <w:t xml:space="preserve"> </w:t>
            </w:r>
            <w:r>
              <w:rPr/>
              <w:t>月</w:t>
            </w:r>
          </w:p>
        </w:tc>
        <w:tc>
          <w:tcPr>
            <w:tcW w:w="2855" w:type="dxa"/>
            <w:vAlign w:val="top"/>
          </w:tcPr>
          <w:p>
            <w:pPr>
              <w:ind w:firstLine="36"/>
              <w:spacing w:before="36" w:line="2743" w:lineRule="exact"/>
              <w:rPr/>
            </w:pPr>
            <w:r>
              <w:rPr>
                <w:position w:val="-54"/>
              </w:rPr>
              <w:drawing>
                <wp:inline distT="0" distB="0" distL="0" distR="0">
                  <wp:extent cx="1763267" cy="1741932"/>
                  <wp:effectExtent l="0" t="0" r="0" b="0"/>
                  <wp:docPr id="106" name="IM 106"/>
                  <wp:cNvGraphicFramePr/>
                  <a:graphic>
                    <a:graphicData uri="http://schemas.openxmlformats.org/drawingml/2006/picture">
                      <pic:pic>
                        <pic:nvPicPr>
                          <pic:cNvPr id="106" name="IM 106"/>
                          <pic:cNvPicPr/>
                        </pic:nvPicPr>
                        <pic:blipFill>
                          <a:blip r:embed="rId195"/>
                          <a:stretch>
                            <a:fillRect/>
                          </a:stretch>
                        </pic:blipFill>
                        <pic:spPr>
                          <a:xfrm rot="0">
                            <a:off x="0" y="0"/>
                            <a:ext cx="1763267" cy="1741932"/>
                          </a:xfrm>
                          <a:prstGeom prst="rect">
                            <a:avLst/>
                          </a:prstGeom>
                        </pic:spPr>
                      </pic:pic>
                    </a:graphicData>
                  </a:graphic>
                </wp:inline>
              </w:drawing>
            </w:r>
          </w:p>
          <w:p>
            <w:pPr>
              <w:pStyle w:val="TableText"/>
              <w:ind w:left="1249"/>
              <w:spacing w:before="85" w:line="228" w:lineRule="auto"/>
              <w:rPr/>
            </w:pPr>
            <w:r>
              <w:rPr>
                <w:rFonts w:ascii="Times New Roman" w:hAnsi="Times New Roman" w:eastAsia="Times New Roman" w:cs="Times New Roman"/>
                <w:spacing w:val="-3"/>
              </w:rPr>
              <w:t>3</w:t>
            </w:r>
            <w:r>
              <w:rPr>
                <w:rFonts w:ascii="Times New Roman" w:hAnsi="Times New Roman" w:eastAsia="Times New Roman" w:cs="Times New Roman"/>
                <w:spacing w:val="15"/>
                <w:w w:val="101"/>
              </w:rPr>
              <w:t xml:space="preserve"> </w:t>
            </w:r>
            <w:r>
              <w:rPr>
                <w:spacing w:val="-3"/>
              </w:rPr>
              <w:t>月</w:t>
            </w:r>
          </w:p>
        </w:tc>
      </w:tr>
      <w:tr>
        <w:trPr>
          <w:trHeight w:val="3124" w:hRule="atLeast"/>
        </w:trPr>
        <w:tc>
          <w:tcPr>
            <w:tcW w:w="2831" w:type="dxa"/>
            <w:vAlign w:val="top"/>
          </w:tcPr>
          <w:p>
            <w:pPr>
              <w:ind w:firstLine="33"/>
              <w:spacing w:before="49" w:line="2712" w:lineRule="exact"/>
              <w:rPr/>
            </w:pPr>
            <w:r>
              <w:rPr>
                <w:position w:val="-54"/>
              </w:rPr>
              <w:drawing>
                <wp:inline distT="0" distB="0" distL="0" distR="0">
                  <wp:extent cx="1752600" cy="1722120"/>
                  <wp:effectExtent l="0" t="0" r="0" b="0"/>
                  <wp:docPr id="108" name="IM 108"/>
                  <wp:cNvGraphicFramePr/>
                  <a:graphic>
                    <a:graphicData uri="http://schemas.openxmlformats.org/drawingml/2006/picture">
                      <pic:pic>
                        <pic:nvPicPr>
                          <pic:cNvPr id="108" name="IM 108"/>
                          <pic:cNvPicPr/>
                        </pic:nvPicPr>
                        <pic:blipFill>
                          <a:blip r:embed="rId196"/>
                          <a:stretch>
                            <a:fillRect/>
                          </a:stretch>
                        </pic:blipFill>
                        <pic:spPr>
                          <a:xfrm rot="0">
                            <a:off x="0" y="0"/>
                            <a:ext cx="1752600" cy="1722120"/>
                          </a:xfrm>
                          <a:prstGeom prst="rect">
                            <a:avLst/>
                          </a:prstGeom>
                        </pic:spPr>
                      </pic:pic>
                    </a:graphicData>
                  </a:graphic>
                </wp:inline>
              </w:drawing>
            </w:r>
          </w:p>
          <w:p>
            <w:pPr>
              <w:pStyle w:val="TableText"/>
              <w:ind w:left="1234"/>
              <w:spacing w:before="99" w:line="228" w:lineRule="auto"/>
              <w:rPr/>
            </w:pPr>
            <w:r>
              <w:rPr>
                <w:rFonts w:ascii="Times New Roman" w:hAnsi="Times New Roman" w:eastAsia="Times New Roman" w:cs="Times New Roman"/>
              </w:rPr>
              <w:t>4</w:t>
            </w:r>
            <w:r>
              <w:rPr>
                <w:rFonts w:ascii="Times New Roman" w:hAnsi="Times New Roman" w:eastAsia="Times New Roman" w:cs="Times New Roman"/>
                <w:spacing w:val="14"/>
                <w:w w:val="101"/>
              </w:rPr>
              <w:t xml:space="preserve"> </w:t>
            </w:r>
            <w:r>
              <w:rPr/>
              <w:t>月</w:t>
            </w:r>
          </w:p>
        </w:tc>
        <w:tc>
          <w:tcPr>
            <w:tcW w:w="2830" w:type="dxa"/>
            <w:vAlign w:val="top"/>
          </w:tcPr>
          <w:p>
            <w:pPr>
              <w:ind w:firstLine="34"/>
              <w:spacing w:before="181" w:line="2448" w:lineRule="exact"/>
              <w:rPr/>
            </w:pPr>
            <w:r>
              <w:rPr>
                <w:position w:val="-48"/>
              </w:rPr>
              <w:drawing>
                <wp:inline distT="0" distB="0" distL="0" distR="0">
                  <wp:extent cx="1751075" cy="1554480"/>
                  <wp:effectExtent l="0" t="0" r="0" b="0"/>
                  <wp:docPr id="110" name="IM 110"/>
                  <wp:cNvGraphicFramePr/>
                  <a:graphic>
                    <a:graphicData uri="http://schemas.openxmlformats.org/drawingml/2006/picture">
                      <pic:pic>
                        <pic:nvPicPr>
                          <pic:cNvPr id="110" name="IM 110"/>
                          <pic:cNvPicPr/>
                        </pic:nvPicPr>
                        <pic:blipFill>
                          <a:blip r:embed="rId197"/>
                          <a:stretch>
                            <a:fillRect/>
                          </a:stretch>
                        </pic:blipFill>
                        <pic:spPr>
                          <a:xfrm rot="0">
                            <a:off x="0" y="0"/>
                            <a:ext cx="1751075" cy="1554480"/>
                          </a:xfrm>
                          <a:prstGeom prst="rect">
                            <a:avLst/>
                          </a:prstGeom>
                        </pic:spPr>
                      </pic:pic>
                    </a:graphicData>
                  </a:graphic>
                </wp:inline>
              </w:drawing>
            </w:r>
          </w:p>
          <w:p>
            <w:pPr>
              <w:pStyle w:val="TableText"/>
              <w:ind w:left="1239"/>
              <w:spacing w:before="75" w:line="228" w:lineRule="auto"/>
              <w:rPr/>
            </w:pPr>
            <w:r>
              <w:rPr>
                <w:rFonts w:ascii="Times New Roman" w:hAnsi="Times New Roman" w:eastAsia="Times New Roman" w:cs="Times New Roman"/>
                <w:spacing w:val="-3"/>
              </w:rPr>
              <w:t>5</w:t>
            </w:r>
            <w:r>
              <w:rPr>
                <w:rFonts w:ascii="Times New Roman" w:hAnsi="Times New Roman" w:eastAsia="Times New Roman" w:cs="Times New Roman"/>
                <w:spacing w:val="14"/>
                <w:w w:val="101"/>
              </w:rPr>
              <w:t xml:space="preserve"> </w:t>
            </w:r>
            <w:r>
              <w:rPr>
                <w:spacing w:val="-3"/>
              </w:rPr>
              <w:t>月</w:t>
            </w:r>
          </w:p>
        </w:tc>
        <w:tc>
          <w:tcPr>
            <w:tcW w:w="2855" w:type="dxa"/>
            <w:vAlign w:val="top"/>
          </w:tcPr>
          <w:p>
            <w:pPr>
              <w:ind w:firstLine="33"/>
              <w:spacing w:before="100" w:line="2611" w:lineRule="exact"/>
              <w:rPr/>
            </w:pPr>
            <w:r>
              <w:rPr>
                <w:position w:val="-52"/>
              </w:rPr>
              <w:drawing>
                <wp:inline distT="0" distB="0" distL="0" distR="0">
                  <wp:extent cx="1767839" cy="1658112"/>
                  <wp:effectExtent l="0" t="0" r="0" b="0"/>
                  <wp:docPr id="112" name="IM 112"/>
                  <wp:cNvGraphicFramePr/>
                  <a:graphic>
                    <a:graphicData uri="http://schemas.openxmlformats.org/drawingml/2006/picture">
                      <pic:pic>
                        <pic:nvPicPr>
                          <pic:cNvPr id="112" name="IM 112"/>
                          <pic:cNvPicPr/>
                        </pic:nvPicPr>
                        <pic:blipFill>
                          <a:blip r:embed="rId198"/>
                          <a:stretch>
                            <a:fillRect/>
                          </a:stretch>
                        </pic:blipFill>
                        <pic:spPr>
                          <a:xfrm rot="0">
                            <a:off x="0" y="0"/>
                            <a:ext cx="1767839" cy="1658112"/>
                          </a:xfrm>
                          <a:prstGeom prst="rect">
                            <a:avLst/>
                          </a:prstGeom>
                        </pic:spPr>
                      </pic:pic>
                    </a:graphicData>
                  </a:graphic>
                </wp:inline>
              </w:drawing>
            </w:r>
          </w:p>
          <w:p>
            <w:pPr>
              <w:pStyle w:val="TableText"/>
              <w:ind w:left="1249"/>
              <w:spacing w:before="149" w:line="228" w:lineRule="auto"/>
              <w:rPr/>
            </w:pPr>
            <w:r>
              <w:rPr>
                <w:rFonts w:ascii="Times New Roman" w:hAnsi="Times New Roman" w:eastAsia="Times New Roman" w:cs="Times New Roman"/>
                <w:spacing w:val="-3"/>
              </w:rPr>
              <w:t>6</w:t>
            </w:r>
            <w:r>
              <w:rPr>
                <w:rFonts w:ascii="Times New Roman" w:hAnsi="Times New Roman" w:eastAsia="Times New Roman" w:cs="Times New Roman"/>
                <w:spacing w:val="15"/>
              </w:rPr>
              <w:t xml:space="preserve"> </w:t>
            </w:r>
            <w:r>
              <w:rPr>
                <w:spacing w:val="-3"/>
              </w:rPr>
              <w:t>月</w:t>
            </w:r>
          </w:p>
        </w:tc>
      </w:tr>
      <w:tr>
        <w:trPr>
          <w:trHeight w:val="3124" w:hRule="atLeast"/>
        </w:trPr>
        <w:tc>
          <w:tcPr>
            <w:tcW w:w="2831" w:type="dxa"/>
            <w:vAlign w:val="top"/>
          </w:tcPr>
          <w:p>
            <w:pPr>
              <w:ind w:firstLine="42"/>
              <w:spacing w:before="158" w:line="2496" w:lineRule="exact"/>
              <w:rPr/>
            </w:pPr>
            <w:r>
              <w:rPr>
                <w:position w:val="-49"/>
              </w:rPr>
              <w:drawing>
                <wp:inline distT="0" distB="0" distL="0" distR="0">
                  <wp:extent cx="1741932" cy="1584959"/>
                  <wp:effectExtent l="0" t="0" r="0" b="0"/>
                  <wp:docPr id="114" name="IM 114"/>
                  <wp:cNvGraphicFramePr/>
                  <a:graphic>
                    <a:graphicData uri="http://schemas.openxmlformats.org/drawingml/2006/picture">
                      <pic:pic>
                        <pic:nvPicPr>
                          <pic:cNvPr id="114" name="IM 114"/>
                          <pic:cNvPicPr/>
                        </pic:nvPicPr>
                        <pic:blipFill>
                          <a:blip r:embed="rId199"/>
                          <a:stretch>
                            <a:fillRect/>
                          </a:stretch>
                        </pic:blipFill>
                        <pic:spPr>
                          <a:xfrm rot="0">
                            <a:off x="0" y="0"/>
                            <a:ext cx="1741932" cy="1584959"/>
                          </a:xfrm>
                          <a:prstGeom prst="rect">
                            <a:avLst/>
                          </a:prstGeom>
                        </pic:spPr>
                      </pic:pic>
                    </a:graphicData>
                  </a:graphic>
                </wp:inline>
              </w:drawing>
            </w:r>
          </w:p>
          <w:p>
            <w:pPr>
              <w:pStyle w:val="TableText"/>
              <w:ind w:left="1238"/>
              <w:spacing w:before="51" w:line="228" w:lineRule="auto"/>
              <w:rPr/>
            </w:pPr>
            <w:r>
              <w:rPr>
                <w:rFonts w:ascii="Times New Roman" w:hAnsi="Times New Roman" w:eastAsia="Times New Roman" w:cs="Times New Roman"/>
                <w:spacing w:val="-2"/>
              </w:rPr>
              <w:t>7</w:t>
            </w:r>
            <w:r>
              <w:rPr>
                <w:rFonts w:ascii="Times New Roman" w:hAnsi="Times New Roman" w:eastAsia="Times New Roman" w:cs="Times New Roman"/>
                <w:spacing w:val="14"/>
                <w:w w:val="101"/>
              </w:rPr>
              <w:t xml:space="preserve"> </w:t>
            </w:r>
            <w:r>
              <w:rPr>
                <w:spacing w:val="-2"/>
              </w:rPr>
              <w:t>月</w:t>
            </w:r>
          </w:p>
        </w:tc>
        <w:tc>
          <w:tcPr>
            <w:tcW w:w="2830" w:type="dxa"/>
            <w:vAlign w:val="top"/>
          </w:tcPr>
          <w:p>
            <w:pPr>
              <w:ind w:firstLine="2"/>
              <w:spacing w:before="201" w:line="2412" w:lineRule="exact"/>
              <w:rPr/>
            </w:pPr>
            <w:r>
              <w:rPr>
                <w:position w:val="-48"/>
              </w:rPr>
              <w:drawing>
                <wp:inline distT="0" distB="0" distL="0" distR="0">
                  <wp:extent cx="1791970" cy="1531620"/>
                  <wp:effectExtent l="0" t="0" r="0" b="0"/>
                  <wp:docPr id="116" name="IM 116"/>
                  <wp:cNvGraphicFramePr/>
                  <a:graphic>
                    <a:graphicData uri="http://schemas.openxmlformats.org/drawingml/2006/picture">
                      <pic:pic>
                        <pic:nvPicPr>
                          <pic:cNvPr id="116" name="IM 116"/>
                          <pic:cNvPicPr/>
                        </pic:nvPicPr>
                        <pic:blipFill>
                          <a:blip r:embed="rId200"/>
                          <a:stretch>
                            <a:fillRect/>
                          </a:stretch>
                        </pic:blipFill>
                        <pic:spPr>
                          <a:xfrm rot="0">
                            <a:off x="0" y="0"/>
                            <a:ext cx="1791970" cy="1531620"/>
                          </a:xfrm>
                          <a:prstGeom prst="rect">
                            <a:avLst/>
                          </a:prstGeom>
                        </pic:spPr>
                      </pic:pic>
                    </a:graphicData>
                  </a:graphic>
                </wp:inline>
              </w:drawing>
            </w:r>
          </w:p>
          <w:p>
            <w:pPr>
              <w:pStyle w:val="TableText"/>
              <w:ind w:left="1242"/>
              <w:spacing w:before="92" w:line="228" w:lineRule="auto"/>
              <w:rPr/>
            </w:pPr>
            <w:r>
              <w:rPr>
                <w:rFonts w:ascii="Times New Roman" w:hAnsi="Times New Roman" w:eastAsia="Times New Roman" w:cs="Times New Roman"/>
                <w:spacing w:val="-5"/>
              </w:rPr>
              <w:t>8</w:t>
            </w:r>
            <w:r>
              <w:rPr>
                <w:rFonts w:ascii="Times New Roman" w:hAnsi="Times New Roman" w:eastAsia="Times New Roman" w:cs="Times New Roman"/>
                <w:spacing w:val="15"/>
              </w:rPr>
              <w:t xml:space="preserve"> </w:t>
            </w:r>
            <w:r>
              <w:rPr>
                <w:spacing w:val="-5"/>
              </w:rPr>
              <w:t>月</w:t>
            </w:r>
          </w:p>
        </w:tc>
        <w:tc>
          <w:tcPr>
            <w:tcW w:w="2855" w:type="dxa"/>
            <w:vAlign w:val="top"/>
          </w:tcPr>
          <w:p>
            <w:pPr>
              <w:ind w:firstLine="5"/>
              <w:spacing w:before="93" w:line="2628" w:lineRule="exact"/>
              <w:rPr/>
            </w:pPr>
            <w:r>
              <w:rPr>
                <w:position w:val="-52"/>
              </w:rPr>
              <w:drawing>
                <wp:inline distT="0" distB="0" distL="0" distR="0">
                  <wp:extent cx="1802891" cy="1668779"/>
                  <wp:effectExtent l="0" t="0" r="0" b="0"/>
                  <wp:docPr id="118" name="IM 118"/>
                  <wp:cNvGraphicFramePr/>
                  <a:graphic>
                    <a:graphicData uri="http://schemas.openxmlformats.org/drawingml/2006/picture">
                      <pic:pic>
                        <pic:nvPicPr>
                          <pic:cNvPr id="118" name="IM 118"/>
                          <pic:cNvPicPr/>
                        </pic:nvPicPr>
                        <pic:blipFill>
                          <a:blip r:embed="rId201"/>
                          <a:stretch>
                            <a:fillRect/>
                          </a:stretch>
                        </pic:blipFill>
                        <pic:spPr>
                          <a:xfrm rot="0">
                            <a:off x="0" y="0"/>
                            <a:ext cx="1802891" cy="1668779"/>
                          </a:xfrm>
                          <a:prstGeom prst="rect">
                            <a:avLst/>
                          </a:prstGeom>
                        </pic:spPr>
                      </pic:pic>
                    </a:graphicData>
                  </a:graphic>
                </wp:inline>
              </w:drawing>
            </w:r>
          </w:p>
          <w:p>
            <w:pPr>
              <w:pStyle w:val="TableText"/>
              <w:ind w:left="1249"/>
              <w:spacing w:before="140" w:line="228" w:lineRule="auto"/>
              <w:rPr/>
            </w:pPr>
            <w:r>
              <w:rPr>
                <w:rFonts w:ascii="Times New Roman" w:hAnsi="Times New Roman" w:eastAsia="Times New Roman" w:cs="Times New Roman"/>
                <w:spacing w:val="-2"/>
              </w:rPr>
              <w:t>9</w:t>
            </w:r>
            <w:r>
              <w:rPr>
                <w:rFonts w:ascii="Times New Roman" w:hAnsi="Times New Roman" w:eastAsia="Times New Roman" w:cs="Times New Roman"/>
                <w:spacing w:val="14"/>
                <w:w w:val="101"/>
              </w:rPr>
              <w:t xml:space="preserve"> </w:t>
            </w:r>
            <w:r>
              <w:rPr>
                <w:spacing w:val="-2"/>
              </w:rPr>
              <w:t>月</w:t>
            </w:r>
          </w:p>
        </w:tc>
      </w:tr>
      <w:tr>
        <w:trPr>
          <w:trHeight w:val="3128" w:hRule="atLeast"/>
        </w:trPr>
        <w:tc>
          <w:tcPr>
            <w:tcW w:w="2831" w:type="dxa"/>
            <w:vAlign w:val="top"/>
          </w:tcPr>
          <w:p>
            <w:pPr>
              <w:ind w:firstLine="85"/>
              <w:spacing w:before="130" w:line="2553" w:lineRule="exact"/>
              <w:rPr/>
            </w:pPr>
            <w:r>
              <w:rPr>
                <w:position w:val="-51"/>
              </w:rPr>
              <w:drawing>
                <wp:inline distT="0" distB="0" distL="0" distR="0">
                  <wp:extent cx="1687067" cy="1621535"/>
                  <wp:effectExtent l="0" t="0" r="0" b="0"/>
                  <wp:docPr id="120" name="IM 120"/>
                  <wp:cNvGraphicFramePr/>
                  <a:graphic>
                    <a:graphicData uri="http://schemas.openxmlformats.org/drawingml/2006/picture">
                      <pic:pic>
                        <pic:nvPicPr>
                          <pic:cNvPr id="120" name="IM 120"/>
                          <pic:cNvPicPr/>
                        </pic:nvPicPr>
                        <pic:blipFill>
                          <a:blip r:embed="rId202"/>
                          <a:stretch>
                            <a:fillRect/>
                          </a:stretch>
                        </pic:blipFill>
                        <pic:spPr>
                          <a:xfrm rot="0">
                            <a:off x="0" y="0"/>
                            <a:ext cx="1687067" cy="1621535"/>
                          </a:xfrm>
                          <a:prstGeom prst="rect">
                            <a:avLst/>
                          </a:prstGeom>
                        </pic:spPr>
                      </pic:pic>
                    </a:graphicData>
                  </a:graphic>
                </wp:inline>
              </w:drawing>
            </w:r>
          </w:p>
          <w:p>
            <w:pPr>
              <w:pStyle w:val="TableText"/>
              <w:ind w:left="1200"/>
              <w:spacing w:before="178" w:line="228" w:lineRule="auto"/>
              <w:rPr/>
            </w:pPr>
            <w:r>
              <w:rPr>
                <w:rFonts w:ascii="Times New Roman" w:hAnsi="Times New Roman" w:eastAsia="Times New Roman" w:cs="Times New Roman"/>
                <w:spacing w:val="-5"/>
              </w:rPr>
              <w:t>10</w:t>
            </w:r>
            <w:r>
              <w:rPr>
                <w:rFonts w:ascii="Times New Roman" w:hAnsi="Times New Roman" w:eastAsia="Times New Roman" w:cs="Times New Roman"/>
                <w:spacing w:val="17"/>
              </w:rPr>
              <w:t xml:space="preserve"> </w:t>
            </w:r>
            <w:r>
              <w:rPr>
                <w:spacing w:val="-5"/>
              </w:rPr>
              <w:t>月</w:t>
            </w:r>
          </w:p>
        </w:tc>
        <w:tc>
          <w:tcPr>
            <w:tcW w:w="2830" w:type="dxa"/>
            <w:vAlign w:val="top"/>
          </w:tcPr>
          <w:p>
            <w:pPr>
              <w:ind w:firstLine="72"/>
              <w:spacing w:before="159" w:line="2498" w:lineRule="exact"/>
              <w:rPr/>
            </w:pPr>
            <w:r>
              <w:rPr>
                <w:position w:val="-49"/>
              </w:rPr>
              <w:drawing>
                <wp:inline distT="0" distB="0" distL="0" distR="0">
                  <wp:extent cx="1703832" cy="1586483"/>
                  <wp:effectExtent l="0" t="0" r="0" b="0"/>
                  <wp:docPr id="122" name="IM 122"/>
                  <wp:cNvGraphicFramePr/>
                  <a:graphic>
                    <a:graphicData uri="http://schemas.openxmlformats.org/drawingml/2006/picture">
                      <pic:pic>
                        <pic:nvPicPr>
                          <pic:cNvPr id="122" name="IM 122"/>
                          <pic:cNvPicPr/>
                        </pic:nvPicPr>
                        <pic:blipFill>
                          <a:blip r:embed="rId203"/>
                          <a:stretch>
                            <a:fillRect/>
                          </a:stretch>
                        </pic:blipFill>
                        <pic:spPr>
                          <a:xfrm rot="0">
                            <a:off x="0" y="0"/>
                            <a:ext cx="1703832" cy="1586483"/>
                          </a:xfrm>
                          <a:prstGeom prst="rect">
                            <a:avLst/>
                          </a:prstGeom>
                        </pic:spPr>
                      </pic:pic>
                    </a:graphicData>
                  </a:graphic>
                </wp:inline>
              </w:drawing>
            </w:r>
          </w:p>
          <w:p>
            <w:pPr>
              <w:pStyle w:val="TableText"/>
              <w:ind w:left="1201"/>
              <w:spacing w:before="205" w:line="228" w:lineRule="auto"/>
              <w:rPr/>
            </w:pPr>
            <w:r>
              <w:rPr>
                <w:rFonts w:ascii="Times New Roman" w:hAnsi="Times New Roman" w:eastAsia="Times New Roman" w:cs="Times New Roman"/>
                <w:spacing w:val="-5"/>
              </w:rPr>
              <w:t>11</w:t>
            </w:r>
            <w:r>
              <w:rPr>
                <w:rFonts w:ascii="Times New Roman" w:hAnsi="Times New Roman" w:eastAsia="Times New Roman" w:cs="Times New Roman"/>
                <w:spacing w:val="14"/>
                <w:w w:val="101"/>
              </w:rPr>
              <w:t xml:space="preserve"> </w:t>
            </w:r>
            <w:r>
              <w:rPr>
                <w:spacing w:val="-5"/>
              </w:rPr>
              <w:t>月</w:t>
            </w:r>
          </w:p>
        </w:tc>
        <w:tc>
          <w:tcPr>
            <w:tcW w:w="2855" w:type="dxa"/>
            <w:vAlign w:val="top"/>
          </w:tcPr>
          <w:p>
            <w:pPr>
              <w:ind w:firstLine="77"/>
              <w:spacing w:before="79" w:line="2657" w:lineRule="exact"/>
              <w:rPr/>
            </w:pPr>
            <w:r>
              <w:rPr>
                <w:position w:val="-53"/>
              </w:rPr>
              <w:drawing>
                <wp:inline distT="0" distB="0" distL="0" distR="0">
                  <wp:extent cx="1711452" cy="1687067"/>
                  <wp:effectExtent l="0" t="0" r="0" b="0"/>
                  <wp:docPr id="124" name="IM 124"/>
                  <wp:cNvGraphicFramePr/>
                  <a:graphic>
                    <a:graphicData uri="http://schemas.openxmlformats.org/drawingml/2006/picture">
                      <pic:pic>
                        <pic:nvPicPr>
                          <pic:cNvPr id="124" name="IM 124"/>
                          <pic:cNvPicPr/>
                        </pic:nvPicPr>
                        <pic:blipFill>
                          <a:blip r:embed="rId204"/>
                          <a:stretch>
                            <a:fillRect/>
                          </a:stretch>
                        </pic:blipFill>
                        <pic:spPr>
                          <a:xfrm rot="0">
                            <a:off x="0" y="0"/>
                            <a:ext cx="1711452" cy="1687067"/>
                          </a:xfrm>
                          <a:prstGeom prst="rect">
                            <a:avLst/>
                          </a:prstGeom>
                        </pic:spPr>
                      </pic:pic>
                    </a:graphicData>
                  </a:graphic>
                </wp:inline>
              </w:drawing>
            </w:r>
          </w:p>
          <w:p>
            <w:pPr>
              <w:pStyle w:val="TableText"/>
              <w:ind w:left="1212"/>
              <w:spacing w:before="125" w:line="228" w:lineRule="auto"/>
              <w:rPr/>
            </w:pPr>
            <w:r>
              <w:rPr>
                <w:rFonts w:ascii="Times New Roman" w:hAnsi="Times New Roman" w:eastAsia="Times New Roman" w:cs="Times New Roman"/>
                <w:spacing w:val="-5"/>
              </w:rPr>
              <w:t>12</w:t>
            </w:r>
            <w:r>
              <w:rPr>
                <w:rFonts w:ascii="Times New Roman" w:hAnsi="Times New Roman" w:eastAsia="Times New Roman" w:cs="Times New Roman"/>
                <w:spacing w:val="14"/>
                <w:w w:val="101"/>
              </w:rPr>
              <w:t xml:space="preserve"> </w:t>
            </w:r>
            <w:r>
              <w:rPr>
                <w:spacing w:val="-5"/>
              </w:rPr>
              <w:t>月</w:t>
            </w:r>
          </w:p>
        </w:tc>
      </w:tr>
    </w:tbl>
    <w:p>
      <w:pPr>
        <w:ind w:left="1755"/>
        <w:spacing w:before="36" w:line="219" w:lineRule="auto"/>
        <w:rPr>
          <w:rFonts w:ascii="SimSun" w:hAnsi="SimSun" w:eastAsia="SimSun" w:cs="SimSun"/>
          <w:sz w:val="24"/>
          <w:szCs w:val="24"/>
        </w:rPr>
      </w:pPr>
      <w:r>
        <w:rPr>
          <w:rFonts w:ascii="SimSun" w:hAnsi="SimSun" w:eastAsia="SimSun" w:cs="SimSun"/>
          <w:sz w:val="24"/>
          <w:szCs w:val="24"/>
          <w:b/>
          <w:bCs/>
          <w:spacing w:val="-2"/>
        </w:rPr>
        <w:t>图</w:t>
      </w:r>
      <w:r>
        <w:rPr>
          <w:rFonts w:ascii="Times New Roman" w:hAnsi="Times New Roman" w:eastAsia="Times New Roman" w:cs="Times New Roman"/>
          <w:sz w:val="24"/>
          <w:szCs w:val="24"/>
          <w:b/>
          <w:bCs/>
          <w:spacing w:val="-2"/>
        </w:rPr>
        <w:t>5.1-4        </w:t>
      </w:r>
      <w:r>
        <w:rPr>
          <w:rFonts w:ascii="SimSun" w:hAnsi="SimSun" w:eastAsia="SimSun" w:cs="SimSun"/>
          <w:sz w:val="24"/>
          <w:szCs w:val="24"/>
          <w:b/>
          <w:bCs/>
          <w:spacing w:val="-2"/>
        </w:rPr>
        <w:t>正镶白旗近</w:t>
      </w:r>
      <w:r>
        <w:rPr>
          <w:rFonts w:ascii="Times New Roman" w:hAnsi="Times New Roman" w:eastAsia="Times New Roman" w:cs="Times New Roman"/>
          <w:sz w:val="24"/>
          <w:szCs w:val="24"/>
          <w:b/>
          <w:bCs/>
          <w:spacing w:val="-2"/>
        </w:rPr>
        <w:t>30</w:t>
      </w:r>
      <w:r>
        <w:rPr>
          <w:rFonts w:ascii="SimSun" w:hAnsi="SimSun" w:eastAsia="SimSun" w:cs="SimSun"/>
          <w:sz w:val="24"/>
          <w:szCs w:val="24"/>
          <w:b/>
          <w:bCs/>
          <w:spacing w:val="-2"/>
        </w:rPr>
        <w:t>年各月风向频率玫瑰图</w:t>
      </w:r>
    </w:p>
    <w:p>
      <w:pPr>
        <w:ind w:left="496"/>
        <w:spacing w:before="106" w:line="217" w:lineRule="auto"/>
        <w:rPr>
          <w:rFonts w:ascii="SimSun" w:hAnsi="SimSun" w:eastAsia="SimSun" w:cs="SimSun"/>
          <w:sz w:val="24"/>
          <w:szCs w:val="24"/>
        </w:rPr>
      </w:pPr>
      <w:r>
        <w:rPr>
          <w:rFonts w:ascii="SimSun" w:hAnsi="SimSun" w:eastAsia="SimSun" w:cs="SimSun"/>
          <w:sz w:val="24"/>
          <w:szCs w:val="24"/>
          <w:spacing w:val="-1"/>
        </w:rPr>
        <w:t>④地面风频季变化</w:t>
      </w:r>
    </w:p>
    <w:p>
      <w:pPr>
        <w:spacing w:line="217" w:lineRule="auto"/>
        <w:sectPr>
          <w:headerReference w:type="default" r:id="rId191"/>
          <w:footerReference w:type="default" r:id="rId192"/>
          <w:pgSz w:w="11906" w:h="16839"/>
          <w:pgMar w:top="1567" w:right="1692" w:bottom="1811" w:left="1692" w:header="1221" w:footer="1128" w:gutter="0"/>
        </w:sectPr>
        <w:rPr>
          <w:rFonts w:ascii="SimSun" w:hAnsi="SimSun" w:eastAsia="SimSun" w:cs="SimSun"/>
          <w:sz w:val="24"/>
          <w:szCs w:val="24"/>
        </w:rPr>
      </w:pPr>
    </w:p>
    <w:p>
      <w:pPr>
        <w:ind w:left="499"/>
        <w:spacing w:before="267" w:line="219" w:lineRule="auto"/>
        <w:rPr>
          <w:rFonts w:ascii="SimSun" w:hAnsi="SimSun" w:eastAsia="SimSun" w:cs="SimSun"/>
          <w:sz w:val="24"/>
          <w:szCs w:val="24"/>
        </w:rPr>
      </w:pPr>
      <w:r>
        <w:pict>
          <v:shape id="_x0000_s738" style="position:absolute;margin-left:85.05pt;margin-top:79.11pt;mso-position-vertical-relative:page;mso-position-horizontal-relative:page;width:425.25pt;height:0.75pt;z-index:251997184;" o:allowincell="f" fillcolor="#000000" filled="true" stroked="false" coordsize="8505,15" coordorigin="0,0" path="m,l8504,0l8504,14l0,14l0,0xe"/>
        </w:pict>
      </w:r>
      <w:r>
        <w:rPr>
          <w:rFonts w:ascii="SimSun" w:hAnsi="SimSun" w:eastAsia="SimSun" w:cs="SimSun"/>
          <w:sz w:val="24"/>
          <w:szCs w:val="24"/>
          <w:spacing w:val="-1"/>
        </w:rPr>
        <w:t>地面风向频率季变化情况见表</w:t>
      </w:r>
      <w:r>
        <w:rPr>
          <w:rFonts w:ascii="Times New Roman" w:hAnsi="Times New Roman" w:eastAsia="Times New Roman" w:cs="Times New Roman"/>
          <w:sz w:val="24"/>
          <w:szCs w:val="24"/>
          <w:spacing w:val="-1"/>
        </w:rPr>
        <w:t>5.1-6</w:t>
      </w:r>
      <w:r>
        <w:rPr>
          <w:rFonts w:ascii="SimSun" w:hAnsi="SimSun" w:eastAsia="SimSun" w:cs="SimSun"/>
          <w:sz w:val="24"/>
          <w:szCs w:val="24"/>
          <w:spacing w:val="-1"/>
        </w:rPr>
        <w:t>。</w:t>
      </w:r>
    </w:p>
    <w:p>
      <w:pPr>
        <w:ind w:left="1732"/>
        <w:spacing w:before="103" w:line="212" w:lineRule="auto"/>
        <w:rPr>
          <w:rFonts w:ascii="SimSun" w:hAnsi="SimSun" w:eastAsia="SimSun" w:cs="SimSun"/>
          <w:sz w:val="24"/>
          <w:szCs w:val="24"/>
        </w:rPr>
      </w:pPr>
      <w:r>
        <w:rPr>
          <w:rFonts w:ascii="SimSun" w:hAnsi="SimSun" w:eastAsia="SimSun" w:cs="SimSun"/>
          <w:sz w:val="24"/>
          <w:szCs w:val="24"/>
          <w:b/>
          <w:bCs/>
          <w:spacing w:val="-1"/>
        </w:rPr>
        <w:t>表</w:t>
      </w:r>
      <w:r>
        <w:rPr>
          <w:rFonts w:ascii="Times New Roman" w:hAnsi="Times New Roman" w:eastAsia="Times New Roman" w:cs="Times New Roman"/>
          <w:sz w:val="24"/>
          <w:szCs w:val="24"/>
          <w:b/>
          <w:bCs/>
          <w:spacing w:val="-1"/>
        </w:rPr>
        <w:t>5.1-6        </w:t>
      </w:r>
      <w:r>
        <w:rPr>
          <w:rFonts w:ascii="SimSun" w:hAnsi="SimSun" w:eastAsia="SimSun" w:cs="SimSun"/>
          <w:sz w:val="24"/>
          <w:szCs w:val="24"/>
          <w:b/>
          <w:bCs/>
          <w:spacing w:val="-1"/>
        </w:rPr>
        <w:t>正镶白旗近</w:t>
      </w:r>
      <w:r>
        <w:rPr>
          <w:rFonts w:ascii="Times New Roman" w:hAnsi="Times New Roman" w:eastAsia="Times New Roman" w:cs="Times New Roman"/>
          <w:sz w:val="24"/>
          <w:szCs w:val="24"/>
          <w:b/>
          <w:bCs/>
          <w:spacing w:val="-1"/>
        </w:rPr>
        <w:t>30</w:t>
      </w:r>
      <w:r>
        <w:rPr>
          <w:rFonts w:ascii="SimSun" w:hAnsi="SimSun" w:eastAsia="SimSun" w:cs="SimSun"/>
          <w:sz w:val="24"/>
          <w:szCs w:val="24"/>
          <w:b/>
          <w:bCs/>
          <w:spacing w:val="-1"/>
        </w:rPr>
        <w:t>年各月风</w:t>
      </w:r>
      <w:r>
        <w:rPr>
          <w:rFonts w:ascii="SimSun" w:hAnsi="SimSun" w:eastAsia="SimSun" w:cs="SimSun"/>
          <w:sz w:val="24"/>
          <w:szCs w:val="24"/>
          <w:b/>
          <w:bCs/>
          <w:spacing w:val="-2"/>
        </w:rPr>
        <w:t>向频率统计表</w:t>
      </w:r>
    </w:p>
    <w:tbl>
      <w:tblPr>
        <w:tblStyle w:val="TableNormal"/>
        <w:tblW w:w="8518"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22"/>
        <w:gridCol w:w="479"/>
        <w:gridCol w:w="479"/>
        <w:gridCol w:w="479"/>
        <w:gridCol w:w="479"/>
        <w:gridCol w:w="373"/>
        <w:gridCol w:w="474"/>
        <w:gridCol w:w="475"/>
        <w:gridCol w:w="475"/>
        <w:gridCol w:w="377"/>
        <w:gridCol w:w="442"/>
        <w:gridCol w:w="377"/>
        <w:gridCol w:w="523"/>
        <w:gridCol w:w="479"/>
        <w:gridCol w:w="559"/>
        <w:gridCol w:w="479"/>
        <w:gridCol w:w="512"/>
        <w:gridCol w:w="435"/>
      </w:tblGrid>
      <w:tr>
        <w:trPr>
          <w:trHeight w:val="321" w:hRule="atLeast"/>
        </w:trPr>
        <w:tc>
          <w:tcPr>
            <w:tcW w:w="622" w:type="dxa"/>
            <w:vAlign w:val="top"/>
          </w:tcPr>
          <w:p>
            <w:pPr>
              <w:pStyle w:val="TableText"/>
              <w:ind w:left="112"/>
              <w:spacing w:before="55" w:line="228" w:lineRule="auto"/>
              <w:rPr/>
            </w:pPr>
            <w:r>
              <w:rPr>
                <w:spacing w:val="2"/>
              </w:rPr>
              <w:t>月份</w:t>
            </w:r>
          </w:p>
        </w:tc>
        <w:tc>
          <w:tcPr>
            <w:tcW w:w="479" w:type="dxa"/>
            <w:vAlign w:val="top"/>
          </w:tcPr>
          <w:p>
            <w:pPr>
              <w:ind w:left="156"/>
              <w:spacing w:before="9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w:t>
            </w:r>
          </w:p>
        </w:tc>
        <w:tc>
          <w:tcPr>
            <w:tcW w:w="479" w:type="dxa"/>
            <w:vAlign w:val="top"/>
          </w:tcPr>
          <w:p>
            <w:pPr>
              <w:ind w:left="15"/>
              <w:spacing w:before="9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NNE</w:t>
            </w:r>
          </w:p>
        </w:tc>
        <w:tc>
          <w:tcPr>
            <w:tcW w:w="479" w:type="dxa"/>
            <w:vAlign w:val="top"/>
          </w:tcPr>
          <w:p>
            <w:pPr>
              <w:ind w:left="93"/>
              <w:spacing w:before="9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NE</w:t>
            </w:r>
          </w:p>
        </w:tc>
        <w:tc>
          <w:tcPr>
            <w:tcW w:w="479" w:type="dxa"/>
            <w:vAlign w:val="top"/>
          </w:tcPr>
          <w:p>
            <w:pPr>
              <w:ind w:left="33"/>
              <w:spacing w:before="9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ENE</w:t>
            </w:r>
          </w:p>
        </w:tc>
        <w:tc>
          <w:tcPr>
            <w:tcW w:w="373" w:type="dxa"/>
            <w:vAlign w:val="top"/>
          </w:tcPr>
          <w:p>
            <w:pPr>
              <w:ind w:left="121"/>
              <w:spacing w:before="9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E</w:t>
            </w:r>
          </w:p>
        </w:tc>
        <w:tc>
          <w:tcPr>
            <w:tcW w:w="474" w:type="dxa"/>
            <w:vAlign w:val="top"/>
          </w:tcPr>
          <w:p>
            <w:pPr>
              <w:ind w:left="5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ESE</w:t>
            </w:r>
          </w:p>
        </w:tc>
        <w:tc>
          <w:tcPr>
            <w:tcW w:w="475" w:type="dxa"/>
            <w:vAlign w:val="top"/>
          </w:tcPr>
          <w:p>
            <w:pPr>
              <w:ind w:left="12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SE</w:t>
            </w:r>
          </w:p>
        </w:tc>
        <w:tc>
          <w:tcPr>
            <w:tcW w:w="475" w:type="dxa"/>
            <w:vAlign w:val="top"/>
          </w:tcPr>
          <w:p>
            <w:pPr>
              <w:ind w:left="6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SSE</w:t>
            </w:r>
          </w:p>
        </w:tc>
        <w:tc>
          <w:tcPr>
            <w:tcW w:w="377" w:type="dxa"/>
            <w:vAlign w:val="top"/>
          </w:tcPr>
          <w:p>
            <w:pPr>
              <w:ind w:left="13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w:t>
            </w:r>
          </w:p>
        </w:tc>
        <w:tc>
          <w:tcPr>
            <w:tcW w:w="442" w:type="dxa"/>
            <w:vAlign w:val="top"/>
          </w:tcPr>
          <w:p>
            <w:pPr>
              <w:ind w:left="1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SSW</w:t>
            </w:r>
          </w:p>
        </w:tc>
        <w:tc>
          <w:tcPr>
            <w:tcW w:w="377" w:type="dxa"/>
            <w:vAlign w:val="top"/>
          </w:tcPr>
          <w:p>
            <w:pPr>
              <w:ind w:left="3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SW</w:t>
            </w:r>
          </w:p>
        </w:tc>
        <w:tc>
          <w:tcPr>
            <w:tcW w:w="523" w:type="dxa"/>
            <w:vAlign w:val="top"/>
          </w:tcPr>
          <w:p>
            <w:pPr>
              <w:ind w:left="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WSW</w:t>
            </w:r>
          </w:p>
        </w:tc>
        <w:tc>
          <w:tcPr>
            <w:tcW w:w="479" w:type="dxa"/>
            <w:vAlign w:val="top"/>
          </w:tcPr>
          <w:p>
            <w:pPr>
              <w:ind w:left="138"/>
              <w:spacing w:before="9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W</w:t>
            </w:r>
          </w:p>
        </w:tc>
        <w:tc>
          <w:tcPr>
            <w:tcW w:w="559" w:type="dxa"/>
            <w:vAlign w:val="top"/>
          </w:tcPr>
          <w:p>
            <w:pPr>
              <w:ind w:left="5"/>
              <w:spacing w:before="9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WNW</w:t>
            </w:r>
          </w:p>
        </w:tc>
        <w:tc>
          <w:tcPr>
            <w:tcW w:w="479" w:type="dxa"/>
            <w:vAlign w:val="top"/>
          </w:tcPr>
          <w:p>
            <w:pPr>
              <w:ind w:left="60"/>
              <w:spacing w:before="9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NW</w:t>
            </w:r>
          </w:p>
        </w:tc>
        <w:tc>
          <w:tcPr>
            <w:tcW w:w="512" w:type="dxa"/>
            <w:vAlign w:val="top"/>
          </w:tcPr>
          <w:p>
            <w:pPr>
              <w:ind w:left="1"/>
              <w:spacing w:before="9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NNW</w:t>
            </w:r>
          </w:p>
        </w:tc>
        <w:tc>
          <w:tcPr>
            <w:tcW w:w="435" w:type="dxa"/>
            <w:vAlign w:val="top"/>
          </w:tcPr>
          <w:p>
            <w:pPr>
              <w:pStyle w:val="TableText"/>
              <w:ind w:left="14"/>
              <w:spacing w:before="55" w:line="227" w:lineRule="auto"/>
              <w:rPr/>
            </w:pPr>
            <w:r>
              <w:rPr>
                <w:spacing w:val="4"/>
              </w:rPr>
              <w:t>静风</w:t>
            </w:r>
          </w:p>
        </w:tc>
      </w:tr>
      <w:tr>
        <w:trPr>
          <w:trHeight w:val="316" w:hRule="atLeast"/>
        </w:trPr>
        <w:tc>
          <w:tcPr>
            <w:tcW w:w="622" w:type="dxa"/>
            <w:vAlign w:val="top"/>
          </w:tcPr>
          <w:p>
            <w:pPr>
              <w:pStyle w:val="TableText"/>
              <w:ind w:left="106"/>
              <w:spacing w:before="51" w:line="228" w:lineRule="auto"/>
              <w:rPr/>
            </w:pPr>
            <w:r>
              <w:rPr>
                <w:spacing w:val="5"/>
              </w:rPr>
              <w:t>春季</w:t>
            </w:r>
          </w:p>
        </w:tc>
        <w:tc>
          <w:tcPr>
            <w:tcW w:w="479" w:type="dxa"/>
            <w:vAlign w:val="top"/>
          </w:tcPr>
          <w:p>
            <w:pPr>
              <w:ind w:left="106"/>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w:t>
            </w:r>
          </w:p>
        </w:tc>
        <w:tc>
          <w:tcPr>
            <w:tcW w:w="479" w:type="dxa"/>
            <w:vAlign w:val="top"/>
          </w:tcPr>
          <w:p>
            <w:pPr>
              <w:ind w:left="114"/>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479" w:type="dxa"/>
            <w:vAlign w:val="top"/>
          </w:tcPr>
          <w:p>
            <w:pPr>
              <w:ind w:left="110"/>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7.6</w:t>
            </w:r>
          </w:p>
        </w:tc>
        <w:tc>
          <w:tcPr>
            <w:tcW w:w="479" w:type="dxa"/>
            <w:vAlign w:val="top"/>
          </w:tcPr>
          <w:p>
            <w:pPr>
              <w:ind w:left="108"/>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2.6</w:t>
            </w:r>
          </w:p>
        </w:tc>
        <w:tc>
          <w:tcPr>
            <w:tcW w:w="373" w:type="dxa"/>
            <w:vAlign w:val="top"/>
          </w:tcPr>
          <w:p>
            <w:pPr>
              <w:ind w:left="54"/>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474" w:type="dxa"/>
            <w:vAlign w:val="top"/>
          </w:tcPr>
          <w:p>
            <w:pPr>
              <w:ind w:left="126"/>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1.8</w:t>
            </w:r>
          </w:p>
        </w:tc>
        <w:tc>
          <w:tcPr>
            <w:tcW w:w="475" w:type="dxa"/>
            <w:vAlign w:val="top"/>
          </w:tcPr>
          <w:p>
            <w:pPr>
              <w:ind w:left="127"/>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1.8</w:t>
            </w:r>
          </w:p>
        </w:tc>
        <w:tc>
          <w:tcPr>
            <w:tcW w:w="475" w:type="dxa"/>
            <w:vAlign w:val="top"/>
          </w:tcPr>
          <w:p>
            <w:pPr>
              <w:ind w:left="184"/>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377" w:type="dxa"/>
            <w:vAlign w:val="top"/>
          </w:tcPr>
          <w:p>
            <w:pPr>
              <w:ind w:left="61"/>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3.7</w:t>
            </w:r>
          </w:p>
        </w:tc>
        <w:tc>
          <w:tcPr>
            <w:tcW w:w="442" w:type="dxa"/>
            <w:vAlign w:val="top"/>
          </w:tcPr>
          <w:p>
            <w:pPr>
              <w:ind w:left="93"/>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5.3</w:t>
            </w:r>
          </w:p>
        </w:tc>
        <w:tc>
          <w:tcPr>
            <w:tcW w:w="377" w:type="dxa"/>
            <w:vAlign w:val="top"/>
          </w:tcPr>
          <w:p>
            <w:pPr>
              <w:ind w:left="62"/>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5.4</w:t>
            </w:r>
          </w:p>
        </w:tc>
        <w:tc>
          <w:tcPr>
            <w:tcW w:w="523" w:type="dxa"/>
            <w:vAlign w:val="top"/>
          </w:tcPr>
          <w:p>
            <w:pPr>
              <w:ind w:left="134"/>
              <w:spacing w:before="90"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7.7</w:t>
            </w:r>
          </w:p>
        </w:tc>
        <w:tc>
          <w:tcPr>
            <w:tcW w:w="479" w:type="dxa"/>
            <w:vAlign w:val="top"/>
          </w:tcPr>
          <w:p>
            <w:pPr>
              <w:ind w:left="76"/>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10.7</w:t>
            </w:r>
          </w:p>
        </w:tc>
        <w:tc>
          <w:tcPr>
            <w:tcW w:w="559" w:type="dxa"/>
            <w:vAlign w:val="top"/>
          </w:tcPr>
          <w:p>
            <w:pPr>
              <w:ind w:left="195"/>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479" w:type="dxa"/>
            <w:vAlign w:val="top"/>
          </w:tcPr>
          <w:p>
            <w:pPr>
              <w:ind w:left="114"/>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9.3</w:t>
            </w:r>
          </w:p>
        </w:tc>
        <w:tc>
          <w:tcPr>
            <w:tcW w:w="512" w:type="dxa"/>
            <w:vAlign w:val="top"/>
          </w:tcPr>
          <w:p>
            <w:pPr>
              <w:ind w:left="127"/>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w:t>
            </w:r>
          </w:p>
        </w:tc>
        <w:tc>
          <w:tcPr>
            <w:tcW w:w="435" w:type="dxa"/>
            <w:vAlign w:val="top"/>
          </w:tcPr>
          <w:p>
            <w:pPr>
              <w:ind w:left="54"/>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14.9</w:t>
            </w:r>
          </w:p>
        </w:tc>
      </w:tr>
      <w:tr>
        <w:trPr>
          <w:trHeight w:val="316" w:hRule="atLeast"/>
        </w:trPr>
        <w:tc>
          <w:tcPr>
            <w:tcW w:w="622" w:type="dxa"/>
            <w:vAlign w:val="top"/>
          </w:tcPr>
          <w:p>
            <w:pPr>
              <w:pStyle w:val="TableText"/>
              <w:ind w:left="107"/>
              <w:spacing w:before="54" w:line="228" w:lineRule="auto"/>
              <w:rPr/>
            </w:pPr>
            <w:r>
              <w:rPr>
                <w:spacing w:val="4"/>
              </w:rPr>
              <w:t>夏季</w:t>
            </w:r>
          </w:p>
        </w:tc>
        <w:tc>
          <w:tcPr>
            <w:tcW w:w="479" w:type="dxa"/>
            <w:vAlign w:val="top"/>
          </w:tcPr>
          <w:p>
            <w:pPr>
              <w:ind w:left="11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3.6</w:t>
            </w:r>
          </w:p>
        </w:tc>
        <w:tc>
          <w:tcPr>
            <w:tcW w:w="479" w:type="dxa"/>
            <w:vAlign w:val="top"/>
          </w:tcPr>
          <w:p>
            <w:pPr>
              <w:ind w:left="10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4.9</w:t>
            </w:r>
          </w:p>
        </w:tc>
        <w:tc>
          <w:tcPr>
            <w:tcW w:w="479" w:type="dxa"/>
            <w:vAlign w:val="top"/>
          </w:tcPr>
          <w:p>
            <w:pPr>
              <w:ind w:left="115"/>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8.3</w:t>
            </w:r>
          </w:p>
        </w:tc>
        <w:tc>
          <w:tcPr>
            <w:tcW w:w="479" w:type="dxa"/>
            <w:vAlign w:val="top"/>
          </w:tcPr>
          <w:p>
            <w:pPr>
              <w:ind w:left="10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2.9</w:t>
            </w:r>
          </w:p>
        </w:tc>
        <w:tc>
          <w:tcPr>
            <w:tcW w:w="373" w:type="dxa"/>
            <w:vAlign w:val="top"/>
          </w:tcPr>
          <w:p>
            <w:pPr>
              <w:ind w:left="13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74" w:type="dxa"/>
            <w:vAlign w:val="top"/>
          </w:tcPr>
          <w:p>
            <w:pPr>
              <w:ind w:left="18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75" w:type="dxa"/>
            <w:vAlign w:val="top"/>
          </w:tcPr>
          <w:p>
            <w:pPr>
              <w:ind w:left="11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3.2</w:t>
            </w:r>
          </w:p>
        </w:tc>
        <w:tc>
          <w:tcPr>
            <w:tcW w:w="475" w:type="dxa"/>
            <w:vAlign w:val="top"/>
          </w:tcPr>
          <w:p>
            <w:pPr>
              <w:ind w:left="10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w:t>
            </w:r>
          </w:p>
        </w:tc>
        <w:tc>
          <w:tcPr>
            <w:tcW w:w="377" w:type="dxa"/>
            <w:vAlign w:val="top"/>
          </w:tcPr>
          <w:p>
            <w:pPr>
              <w:ind w:left="60"/>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7.8</w:t>
            </w:r>
          </w:p>
        </w:tc>
        <w:tc>
          <w:tcPr>
            <w:tcW w:w="442" w:type="dxa"/>
            <w:vAlign w:val="top"/>
          </w:tcPr>
          <w:p>
            <w:pPr>
              <w:ind w:left="17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377" w:type="dxa"/>
            <w:vAlign w:val="top"/>
          </w:tcPr>
          <w:p>
            <w:pPr>
              <w:ind w:left="59"/>
              <w:spacing w:before="9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7.7</w:t>
            </w:r>
          </w:p>
        </w:tc>
        <w:tc>
          <w:tcPr>
            <w:tcW w:w="523" w:type="dxa"/>
            <w:vAlign w:val="top"/>
          </w:tcPr>
          <w:p>
            <w:pPr>
              <w:ind w:left="21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479" w:type="dxa"/>
            <w:vAlign w:val="top"/>
          </w:tcPr>
          <w:p>
            <w:pPr>
              <w:ind w:left="11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6.4</w:t>
            </w:r>
          </w:p>
        </w:tc>
        <w:tc>
          <w:tcPr>
            <w:tcW w:w="559" w:type="dxa"/>
            <w:vAlign w:val="top"/>
          </w:tcPr>
          <w:p>
            <w:pPr>
              <w:ind w:left="15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479" w:type="dxa"/>
            <w:vAlign w:val="top"/>
          </w:tcPr>
          <w:p>
            <w:pPr>
              <w:ind w:left="116"/>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5.3</w:t>
            </w:r>
          </w:p>
        </w:tc>
        <w:tc>
          <w:tcPr>
            <w:tcW w:w="512" w:type="dxa"/>
            <w:vAlign w:val="top"/>
          </w:tcPr>
          <w:p>
            <w:pPr>
              <w:ind w:left="12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2.6</w:t>
            </w:r>
          </w:p>
        </w:tc>
        <w:tc>
          <w:tcPr>
            <w:tcW w:w="435" w:type="dxa"/>
            <w:vAlign w:val="top"/>
          </w:tcPr>
          <w:p>
            <w:pPr>
              <w:ind w:left="5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17.</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3"/>
              </w:rPr>
              <w:t>1</w:t>
            </w:r>
          </w:p>
        </w:tc>
      </w:tr>
      <w:tr>
        <w:trPr>
          <w:trHeight w:val="316" w:hRule="atLeast"/>
        </w:trPr>
        <w:tc>
          <w:tcPr>
            <w:tcW w:w="622" w:type="dxa"/>
            <w:vAlign w:val="top"/>
          </w:tcPr>
          <w:p>
            <w:pPr>
              <w:pStyle w:val="TableText"/>
              <w:ind w:left="108"/>
              <w:spacing w:before="54" w:line="228" w:lineRule="auto"/>
              <w:rPr/>
            </w:pPr>
            <w:r>
              <w:rPr>
                <w:spacing w:val="3"/>
              </w:rPr>
              <w:t>秋季</w:t>
            </w:r>
          </w:p>
        </w:tc>
        <w:tc>
          <w:tcPr>
            <w:tcW w:w="479" w:type="dxa"/>
            <w:vAlign w:val="top"/>
          </w:tcPr>
          <w:p>
            <w:pPr>
              <w:ind w:left="11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1"/>
              </w:rPr>
              <w:t>1</w:t>
            </w:r>
          </w:p>
        </w:tc>
        <w:tc>
          <w:tcPr>
            <w:tcW w:w="479" w:type="dxa"/>
            <w:vAlign w:val="top"/>
          </w:tcPr>
          <w:p>
            <w:pPr>
              <w:ind w:left="11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5.2</w:t>
            </w:r>
          </w:p>
        </w:tc>
        <w:tc>
          <w:tcPr>
            <w:tcW w:w="479" w:type="dxa"/>
            <w:vAlign w:val="top"/>
          </w:tcPr>
          <w:p>
            <w:pPr>
              <w:ind w:left="7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3"/>
              </w:rPr>
              <w:t>1</w:t>
            </w:r>
          </w:p>
        </w:tc>
        <w:tc>
          <w:tcPr>
            <w:tcW w:w="479" w:type="dxa"/>
            <w:vAlign w:val="top"/>
          </w:tcPr>
          <w:p>
            <w:pPr>
              <w:ind w:left="10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2.2</w:t>
            </w:r>
          </w:p>
        </w:tc>
        <w:tc>
          <w:tcPr>
            <w:tcW w:w="373" w:type="dxa"/>
            <w:vAlign w:val="top"/>
          </w:tcPr>
          <w:p>
            <w:pPr>
              <w:ind w:left="7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w:t>
            </w:r>
          </w:p>
        </w:tc>
        <w:tc>
          <w:tcPr>
            <w:tcW w:w="474" w:type="dxa"/>
            <w:vAlign w:val="top"/>
          </w:tcPr>
          <w:p>
            <w:pPr>
              <w:ind w:left="126"/>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1.7</w:t>
            </w:r>
          </w:p>
        </w:tc>
        <w:tc>
          <w:tcPr>
            <w:tcW w:w="475" w:type="dxa"/>
            <w:vAlign w:val="top"/>
          </w:tcPr>
          <w:p>
            <w:pPr>
              <w:ind w:left="10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475" w:type="dxa"/>
            <w:vAlign w:val="top"/>
          </w:tcPr>
          <w:p>
            <w:pPr>
              <w:ind w:left="10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377" w:type="dxa"/>
            <w:vAlign w:val="top"/>
          </w:tcPr>
          <w:p>
            <w:pPr>
              <w:ind w:left="61"/>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3.8</w:t>
            </w:r>
          </w:p>
        </w:tc>
        <w:tc>
          <w:tcPr>
            <w:tcW w:w="442" w:type="dxa"/>
            <w:vAlign w:val="top"/>
          </w:tcPr>
          <w:p>
            <w:pPr>
              <w:ind w:left="9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5.3</w:t>
            </w:r>
          </w:p>
        </w:tc>
        <w:tc>
          <w:tcPr>
            <w:tcW w:w="377" w:type="dxa"/>
            <w:vAlign w:val="top"/>
          </w:tcPr>
          <w:p>
            <w:pPr>
              <w:ind w:left="140"/>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523" w:type="dxa"/>
            <w:vAlign w:val="top"/>
          </w:tcPr>
          <w:p>
            <w:pPr>
              <w:ind w:left="13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7.2</w:t>
            </w:r>
          </w:p>
        </w:tc>
        <w:tc>
          <w:tcPr>
            <w:tcW w:w="479" w:type="dxa"/>
            <w:vAlign w:val="top"/>
          </w:tcPr>
          <w:p>
            <w:pPr>
              <w:ind w:left="76"/>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10.8</w:t>
            </w:r>
          </w:p>
        </w:tc>
        <w:tc>
          <w:tcPr>
            <w:tcW w:w="559" w:type="dxa"/>
            <w:vAlign w:val="top"/>
          </w:tcPr>
          <w:p>
            <w:pPr>
              <w:ind w:left="15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8.6</w:t>
            </w:r>
          </w:p>
        </w:tc>
        <w:tc>
          <w:tcPr>
            <w:tcW w:w="479" w:type="dxa"/>
            <w:vAlign w:val="top"/>
          </w:tcPr>
          <w:p>
            <w:pPr>
              <w:ind w:left="115"/>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6.3</w:t>
            </w:r>
          </w:p>
        </w:tc>
        <w:tc>
          <w:tcPr>
            <w:tcW w:w="512" w:type="dxa"/>
            <w:vAlign w:val="top"/>
          </w:tcPr>
          <w:p>
            <w:pPr>
              <w:ind w:left="12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2.7</w:t>
            </w:r>
          </w:p>
        </w:tc>
        <w:tc>
          <w:tcPr>
            <w:tcW w:w="435" w:type="dxa"/>
            <w:vAlign w:val="top"/>
          </w:tcPr>
          <w:p>
            <w:pPr>
              <w:ind w:left="3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22.8</w:t>
            </w:r>
          </w:p>
        </w:tc>
      </w:tr>
      <w:tr>
        <w:trPr>
          <w:trHeight w:val="316" w:hRule="atLeast"/>
        </w:trPr>
        <w:tc>
          <w:tcPr>
            <w:tcW w:w="622" w:type="dxa"/>
            <w:vAlign w:val="top"/>
          </w:tcPr>
          <w:p>
            <w:pPr>
              <w:pStyle w:val="TableText"/>
              <w:ind w:left="112"/>
              <w:spacing w:before="55" w:line="228" w:lineRule="auto"/>
              <w:rPr/>
            </w:pPr>
            <w:r>
              <w:rPr>
                <w:spacing w:val="2"/>
              </w:rPr>
              <w:t>冬季</w:t>
            </w:r>
          </w:p>
        </w:tc>
        <w:tc>
          <w:tcPr>
            <w:tcW w:w="479" w:type="dxa"/>
            <w:vAlign w:val="top"/>
          </w:tcPr>
          <w:p>
            <w:pPr>
              <w:ind w:left="12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1.8</w:t>
            </w:r>
          </w:p>
        </w:tc>
        <w:tc>
          <w:tcPr>
            <w:tcW w:w="479" w:type="dxa"/>
            <w:vAlign w:val="top"/>
          </w:tcPr>
          <w:p>
            <w:pPr>
              <w:ind w:left="11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3.3</w:t>
            </w:r>
          </w:p>
        </w:tc>
        <w:tc>
          <w:tcPr>
            <w:tcW w:w="479" w:type="dxa"/>
            <w:vAlign w:val="top"/>
          </w:tcPr>
          <w:p>
            <w:pPr>
              <w:ind w:left="19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479" w:type="dxa"/>
            <w:vAlign w:val="top"/>
          </w:tcPr>
          <w:p>
            <w:pPr>
              <w:ind w:left="12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1.2</w:t>
            </w:r>
          </w:p>
        </w:tc>
        <w:tc>
          <w:tcPr>
            <w:tcW w:w="373" w:type="dxa"/>
            <w:vAlign w:val="top"/>
          </w:tcPr>
          <w:p>
            <w:pPr>
              <w:ind w:left="7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1.2</w:t>
            </w:r>
          </w:p>
        </w:tc>
        <w:tc>
          <w:tcPr>
            <w:tcW w:w="474" w:type="dxa"/>
            <w:vAlign w:val="top"/>
          </w:tcPr>
          <w:p>
            <w:pPr>
              <w:ind w:left="10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0.9</w:t>
            </w:r>
          </w:p>
        </w:tc>
        <w:tc>
          <w:tcPr>
            <w:tcW w:w="475" w:type="dxa"/>
            <w:vAlign w:val="top"/>
          </w:tcPr>
          <w:p>
            <w:pPr>
              <w:ind w:left="12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1.2</w:t>
            </w:r>
          </w:p>
        </w:tc>
        <w:tc>
          <w:tcPr>
            <w:tcW w:w="475" w:type="dxa"/>
            <w:vAlign w:val="top"/>
          </w:tcPr>
          <w:p>
            <w:pPr>
              <w:ind w:left="10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0.8</w:t>
            </w:r>
          </w:p>
        </w:tc>
        <w:tc>
          <w:tcPr>
            <w:tcW w:w="377" w:type="dxa"/>
            <w:vAlign w:val="top"/>
          </w:tcPr>
          <w:p>
            <w:pPr>
              <w:ind w:left="7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1.6</w:t>
            </w:r>
          </w:p>
        </w:tc>
        <w:tc>
          <w:tcPr>
            <w:tcW w:w="442" w:type="dxa"/>
            <w:vAlign w:val="top"/>
          </w:tcPr>
          <w:p>
            <w:pPr>
              <w:ind w:left="8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2.2</w:t>
            </w:r>
          </w:p>
        </w:tc>
        <w:tc>
          <w:tcPr>
            <w:tcW w:w="377" w:type="dxa"/>
            <w:vAlign w:val="top"/>
          </w:tcPr>
          <w:p>
            <w:pPr>
              <w:ind w:left="6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5.2</w:t>
            </w:r>
          </w:p>
        </w:tc>
        <w:tc>
          <w:tcPr>
            <w:tcW w:w="523" w:type="dxa"/>
            <w:vAlign w:val="top"/>
          </w:tcPr>
          <w:p>
            <w:pPr>
              <w:ind w:left="13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9.4</w:t>
            </w:r>
          </w:p>
        </w:tc>
        <w:tc>
          <w:tcPr>
            <w:tcW w:w="479" w:type="dxa"/>
            <w:vAlign w:val="top"/>
          </w:tcPr>
          <w:p>
            <w:pPr>
              <w:ind w:left="5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w:t>
            </w:r>
          </w:p>
        </w:tc>
        <w:tc>
          <w:tcPr>
            <w:tcW w:w="559" w:type="dxa"/>
            <w:vAlign w:val="top"/>
          </w:tcPr>
          <w:p>
            <w:pPr>
              <w:ind w:left="19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479" w:type="dxa"/>
            <w:vAlign w:val="top"/>
          </w:tcPr>
          <w:p>
            <w:pPr>
              <w:ind w:left="116"/>
              <w:spacing w:before="9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5.7</w:t>
            </w:r>
          </w:p>
        </w:tc>
        <w:tc>
          <w:tcPr>
            <w:tcW w:w="512" w:type="dxa"/>
            <w:vAlign w:val="top"/>
          </w:tcPr>
          <w:p>
            <w:pPr>
              <w:ind w:left="14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1.7</w:t>
            </w:r>
          </w:p>
        </w:tc>
        <w:tc>
          <w:tcPr>
            <w:tcW w:w="435" w:type="dxa"/>
            <w:vAlign w:val="top"/>
          </w:tcPr>
          <w:p>
            <w:pPr>
              <w:ind w:left="3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21.7</w:t>
            </w:r>
          </w:p>
        </w:tc>
      </w:tr>
      <w:tr>
        <w:trPr>
          <w:trHeight w:val="321" w:hRule="atLeast"/>
        </w:trPr>
        <w:tc>
          <w:tcPr>
            <w:tcW w:w="622" w:type="dxa"/>
            <w:vAlign w:val="top"/>
          </w:tcPr>
          <w:p>
            <w:pPr>
              <w:pStyle w:val="TableText"/>
              <w:ind w:left="107"/>
              <w:spacing w:before="55" w:line="228" w:lineRule="auto"/>
              <w:rPr/>
            </w:pPr>
            <w:r>
              <w:rPr>
                <w:spacing w:val="4"/>
              </w:rPr>
              <w:t>全年</w:t>
            </w:r>
          </w:p>
        </w:tc>
        <w:tc>
          <w:tcPr>
            <w:tcW w:w="479" w:type="dxa"/>
            <w:vAlign w:val="top"/>
          </w:tcPr>
          <w:p>
            <w:pPr>
              <w:ind w:left="11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3.2</w:t>
            </w:r>
          </w:p>
        </w:tc>
        <w:tc>
          <w:tcPr>
            <w:tcW w:w="479" w:type="dxa"/>
            <w:vAlign w:val="top"/>
          </w:tcPr>
          <w:p>
            <w:pPr>
              <w:ind w:left="10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4.6</w:t>
            </w:r>
          </w:p>
        </w:tc>
        <w:tc>
          <w:tcPr>
            <w:tcW w:w="479" w:type="dxa"/>
            <w:vAlign w:val="top"/>
          </w:tcPr>
          <w:p>
            <w:pPr>
              <w:ind w:left="11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8.5</w:t>
            </w:r>
          </w:p>
        </w:tc>
        <w:tc>
          <w:tcPr>
            <w:tcW w:w="479" w:type="dxa"/>
            <w:vAlign w:val="top"/>
          </w:tcPr>
          <w:p>
            <w:pPr>
              <w:ind w:left="10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2.2</w:t>
            </w:r>
          </w:p>
        </w:tc>
        <w:tc>
          <w:tcPr>
            <w:tcW w:w="373" w:type="dxa"/>
            <w:vAlign w:val="top"/>
          </w:tcPr>
          <w:p>
            <w:pPr>
              <w:ind w:left="13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474" w:type="dxa"/>
            <w:vAlign w:val="top"/>
          </w:tcPr>
          <w:p>
            <w:pPr>
              <w:ind w:left="12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1.9</w:t>
            </w:r>
          </w:p>
        </w:tc>
        <w:tc>
          <w:tcPr>
            <w:tcW w:w="475" w:type="dxa"/>
            <w:vAlign w:val="top"/>
          </w:tcPr>
          <w:p>
            <w:pPr>
              <w:ind w:left="10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475" w:type="dxa"/>
            <w:vAlign w:val="top"/>
          </w:tcPr>
          <w:p>
            <w:pPr>
              <w:ind w:left="10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2.3</w:t>
            </w:r>
          </w:p>
        </w:tc>
        <w:tc>
          <w:tcPr>
            <w:tcW w:w="377" w:type="dxa"/>
            <w:vAlign w:val="top"/>
          </w:tcPr>
          <w:p>
            <w:pPr>
              <w:ind w:left="5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w:t>
            </w:r>
          </w:p>
        </w:tc>
        <w:tc>
          <w:tcPr>
            <w:tcW w:w="442" w:type="dxa"/>
            <w:vAlign w:val="top"/>
          </w:tcPr>
          <w:p>
            <w:pPr>
              <w:ind w:left="93"/>
              <w:spacing w:before="9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5.5</w:t>
            </w:r>
          </w:p>
        </w:tc>
        <w:tc>
          <w:tcPr>
            <w:tcW w:w="377" w:type="dxa"/>
            <w:vAlign w:val="top"/>
          </w:tcPr>
          <w:p>
            <w:pPr>
              <w:ind w:left="6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523" w:type="dxa"/>
            <w:vAlign w:val="top"/>
          </w:tcPr>
          <w:p>
            <w:pPr>
              <w:ind w:left="13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7.6</w:t>
            </w:r>
          </w:p>
        </w:tc>
        <w:tc>
          <w:tcPr>
            <w:tcW w:w="479" w:type="dxa"/>
            <w:vAlign w:val="top"/>
          </w:tcPr>
          <w:p>
            <w:pPr>
              <w:ind w:left="15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559" w:type="dxa"/>
            <w:vAlign w:val="top"/>
          </w:tcPr>
          <w:p>
            <w:pPr>
              <w:ind w:left="11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10.2</w:t>
            </w:r>
          </w:p>
        </w:tc>
        <w:tc>
          <w:tcPr>
            <w:tcW w:w="479" w:type="dxa"/>
            <w:vAlign w:val="top"/>
          </w:tcPr>
          <w:p>
            <w:pPr>
              <w:ind w:left="11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6.7</w:t>
            </w:r>
          </w:p>
        </w:tc>
        <w:tc>
          <w:tcPr>
            <w:tcW w:w="512" w:type="dxa"/>
            <w:vAlign w:val="top"/>
          </w:tcPr>
          <w:p>
            <w:pPr>
              <w:ind w:left="12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c>
          <w:tcPr>
            <w:tcW w:w="435" w:type="dxa"/>
            <w:vAlign w:val="top"/>
          </w:tcPr>
          <w:p>
            <w:pPr>
              <w:ind w:left="5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19.</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3"/>
              </w:rPr>
              <w:t>1</w:t>
            </w:r>
          </w:p>
        </w:tc>
      </w:tr>
    </w:tbl>
    <w:p>
      <w:pPr>
        <w:ind w:left="7" w:right="37" w:firstLine="491"/>
        <w:spacing w:before="120" w:line="360" w:lineRule="auto"/>
        <w:jc w:val="both"/>
        <w:rPr>
          <w:rFonts w:ascii="SimSun" w:hAnsi="SimSun" w:eastAsia="SimSun" w:cs="SimSun"/>
          <w:sz w:val="24"/>
          <w:szCs w:val="24"/>
        </w:rPr>
      </w:pPr>
      <w:r>
        <w:rPr>
          <w:rFonts w:ascii="SimSun" w:hAnsi="SimSun" w:eastAsia="SimSun" w:cs="SimSun"/>
          <w:sz w:val="24"/>
          <w:szCs w:val="24"/>
          <w:spacing w:val="1"/>
        </w:rPr>
        <w:t>在表</w:t>
      </w:r>
      <w:r>
        <w:rPr>
          <w:rFonts w:ascii="Times New Roman" w:hAnsi="Times New Roman" w:eastAsia="Times New Roman" w:cs="Times New Roman"/>
          <w:sz w:val="24"/>
          <w:szCs w:val="24"/>
          <w:spacing w:val="1"/>
        </w:rPr>
        <w:t>5.</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spacing w:val="1"/>
        </w:rPr>
        <w:t>1-6</w:t>
      </w:r>
      <w:r>
        <w:rPr>
          <w:rFonts w:ascii="SimSun" w:hAnsi="SimSun" w:eastAsia="SimSun" w:cs="SimSun"/>
          <w:sz w:val="24"/>
          <w:szCs w:val="24"/>
          <w:spacing w:val="1"/>
        </w:rPr>
        <w:t>中统计了正镶白旗近</w:t>
      </w:r>
      <w:r>
        <w:rPr>
          <w:rFonts w:ascii="Times New Roman" w:hAnsi="Times New Roman" w:eastAsia="Times New Roman" w:cs="Times New Roman"/>
          <w:sz w:val="24"/>
          <w:szCs w:val="24"/>
          <w:spacing w:val="1"/>
        </w:rPr>
        <w:t>30</w:t>
      </w:r>
      <w:r>
        <w:rPr>
          <w:rFonts w:ascii="SimSun" w:hAnsi="SimSun" w:eastAsia="SimSun" w:cs="SimSun"/>
          <w:sz w:val="24"/>
          <w:szCs w:val="24"/>
          <w:spacing w:val="1"/>
        </w:rPr>
        <w:t>年各季风向频率正镶白旗地区春季主导风向</w:t>
      </w:r>
      <w:r>
        <w:rPr>
          <w:rFonts w:ascii="SimSun" w:hAnsi="SimSun" w:eastAsia="SimSun" w:cs="SimSun"/>
          <w:sz w:val="24"/>
          <w:szCs w:val="24"/>
        </w:rPr>
        <w:t xml:space="preserve"> </w:t>
      </w:r>
      <w:r>
        <w:rPr>
          <w:rFonts w:ascii="SimSun" w:hAnsi="SimSun" w:eastAsia="SimSun" w:cs="SimSun"/>
          <w:sz w:val="24"/>
          <w:szCs w:val="24"/>
          <w:spacing w:val="-3"/>
        </w:rPr>
        <w:t>为</w:t>
      </w:r>
      <w:r>
        <w:rPr>
          <w:rFonts w:ascii="Times New Roman" w:hAnsi="Times New Roman" w:eastAsia="Times New Roman" w:cs="Times New Roman"/>
          <w:sz w:val="24"/>
          <w:szCs w:val="24"/>
          <w:spacing w:val="-3"/>
        </w:rPr>
        <w:t>WNW</w:t>
      </w:r>
      <w:r>
        <w:rPr>
          <w:rFonts w:ascii="SimSun" w:hAnsi="SimSun" w:eastAsia="SimSun" w:cs="SimSun"/>
          <w:sz w:val="24"/>
          <w:szCs w:val="24"/>
          <w:spacing w:val="-3"/>
        </w:rPr>
        <w:t>风，出现频率为</w:t>
      </w:r>
      <w:r>
        <w:rPr>
          <w:rFonts w:ascii="Times New Roman" w:hAnsi="Times New Roman" w:eastAsia="Times New Roman" w:cs="Times New Roman"/>
          <w:sz w:val="24"/>
          <w:szCs w:val="24"/>
          <w:spacing w:val="-3"/>
        </w:rPr>
        <w:t>12.0%</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3"/>
        </w:rPr>
        <w:t>，次主导风向为</w:t>
      </w:r>
      <w:r>
        <w:rPr>
          <w:rFonts w:ascii="Times New Roman" w:hAnsi="Times New Roman" w:eastAsia="Times New Roman" w:cs="Times New Roman"/>
          <w:sz w:val="24"/>
          <w:szCs w:val="24"/>
          <w:spacing w:val="-3"/>
        </w:rPr>
        <w:t>W</w:t>
      </w:r>
      <w:r>
        <w:rPr>
          <w:rFonts w:ascii="SimSun" w:hAnsi="SimSun" w:eastAsia="SimSun" w:cs="SimSun"/>
          <w:sz w:val="24"/>
          <w:szCs w:val="24"/>
          <w:spacing w:val="-3"/>
        </w:rPr>
        <w:t>风，出现频率为</w:t>
      </w:r>
      <w:r>
        <w:rPr>
          <w:rFonts w:ascii="Times New Roman" w:hAnsi="Times New Roman" w:eastAsia="Times New Roman" w:cs="Times New Roman"/>
          <w:sz w:val="24"/>
          <w:szCs w:val="24"/>
          <w:spacing w:val="-3"/>
        </w:rPr>
        <w:t>10.7%</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w:t>
      </w:r>
      <w:r>
        <w:rPr>
          <w:rFonts w:ascii="SimSun" w:hAnsi="SimSun" w:eastAsia="SimSun" w:cs="SimSun"/>
          <w:sz w:val="24"/>
          <w:szCs w:val="24"/>
          <w:spacing w:val="-4"/>
        </w:rPr>
        <w:t>静风在春</w:t>
      </w:r>
      <w:r>
        <w:rPr>
          <w:rFonts w:ascii="SimSun" w:hAnsi="SimSun" w:eastAsia="SimSun" w:cs="SimSun"/>
          <w:sz w:val="24"/>
          <w:szCs w:val="24"/>
        </w:rPr>
        <w:t xml:space="preserve"> </w:t>
      </w:r>
      <w:r>
        <w:rPr>
          <w:rFonts w:ascii="SimSun" w:hAnsi="SimSun" w:eastAsia="SimSun" w:cs="SimSun"/>
          <w:sz w:val="24"/>
          <w:szCs w:val="24"/>
          <w:spacing w:val="-2"/>
        </w:rPr>
        <w:t>季的出现频率为</w:t>
      </w:r>
      <w:r>
        <w:rPr>
          <w:rFonts w:ascii="Times New Roman" w:hAnsi="Times New Roman" w:eastAsia="Times New Roman" w:cs="Times New Roman"/>
          <w:sz w:val="24"/>
          <w:szCs w:val="24"/>
          <w:spacing w:val="-2"/>
        </w:rPr>
        <w:t>14.9%</w:t>
      </w:r>
      <w:r>
        <w:rPr>
          <w:rFonts w:ascii="SimSun" w:hAnsi="SimSun" w:eastAsia="SimSun" w:cs="SimSun"/>
          <w:sz w:val="24"/>
          <w:szCs w:val="24"/>
          <w:spacing w:val="-2"/>
        </w:rPr>
        <w:t>；夏季主导风向为</w:t>
      </w:r>
      <w:r>
        <w:rPr>
          <w:rFonts w:ascii="Times New Roman" w:hAnsi="Times New Roman" w:eastAsia="Times New Roman" w:cs="Times New Roman"/>
          <w:sz w:val="24"/>
          <w:szCs w:val="24"/>
          <w:spacing w:val="-2"/>
        </w:rPr>
        <w:t>SSW</w:t>
      </w:r>
      <w:r>
        <w:rPr>
          <w:rFonts w:ascii="SimSun" w:hAnsi="SimSun" w:eastAsia="SimSun" w:cs="SimSun"/>
          <w:sz w:val="24"/>
          <w:szCs w:val="24"/>
          <w:spacing w:val="-2"/>
        </w:rPr>
        <w:t>风，出现频率为</w:t>
      </w:r>
      <w:r>
        <w:rPr>
          <w:rFonts w:ascii="Times New Roman" w:hAnsi="Times New Roman" w:eastAsia="Times New Roman" w:cs="Times New Roman"/>
          <w:sz w:val="24"/>
          <w:szCs w:val="24"/>
          <w:spacing w:val="-2"/>
        </w:rPr>
        <w:t>9.0%</w:t>
      </w:r>
      <w:r>
        <w:rPr>
          <w:rFonts w:ascii="SimSun" w:hAnsi="SimSun" w:eastAsia="SimSun" w:cs="SimSun"/>
          <w:sz w:val="24"/>
          <w:szCs w:val="24"/>
          <w:spacing w:val="-2"/>
        </w:rPr>
        <w:t>，次主导风向为</w:t>
      </w:r>
      <w:r>
        <w:rPr>
          <w:rFonts w:ascii="SimSun" w:hAnsi="SimSun" w:eastAsia="SimSun" w:cs="SimSun"/>
          <w:sz w:val="24"/>
          <w:szCs w:val="24"/>
          <w:spacing w:val="13"/>
        </w:rPr>
        <w:t xml:space="preserve"> </w:t>
      </w:r>
      <w:r>
        <w:rPr>
          <w:rFonts w:ascii="Times New Roman" w:hAnsi="Times New Roman" w:eastAsia="Times New Roman" w:cs="Times New Roman"/>
          <w:sz w:val="24"/>
          <w:szCs w:val="24"/>
          <w:spacing w:val="-3"/>
        </w:rPr>
        <w:t>NE</w:t>
      </w:r>
      <w:r>
        <w:rPr>
          <w:rFonts w:ascii="SimSun" w:hAnsi="SimSun" w:eastAsia="SimSun" w:cs="SimSun"/>
          <w:sz w:val="24"/>
          <w:szCs w:val="24"/>
          <w:spacing w:val="-3"/>
        </w:rPr>
        <w:t>风，出现频率为</w:t>
      </w:r>
      <w:r>
        <w:rPr>
          <w:rFonts w:ascii="Times New Roman" w:hAnsi="Times New Roman" w:eastAsia="Times New Roman" w:cs="Times New Roman"/>
          <w:sz w:val="24"/>
          <w:szCs w:val="24"/>
          <w:spacing w:val="-3"/>
        </w:rPr>
        <w:t>8.3%</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3"/>
        </w:rPr>
        <w:t>，静风在夏季的出现频率为</w:t>
      </w:r>
      <w:r>
        <w:rPr>
          <w:rFonts w:ascii="Times New Roman" w:hAnsi="Times New Roman" w:eastAsia="Times New Roman" w:cs="Times New Roman"/>
          <w:sz w:val="24"/>
          <w:szCs w:val="24"/>
          <w:spacing w:val="-3"/>
        </w:rPr>
        <w:t>17.</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w:t>
      </w:r>
      <w:r>
        <w:rPr>
          <w:rFonts w:ascii="SimSun" w:hAnsi="SimSun" w:eastAsia="SimSun" w:cs="SimSun"/>
          <w:sz w:val="24"/>
          <w:szCs w:val="24"/>
          <w:spacing w:val="-3"/>
        </w:rPr>
        <w:t>；秋季主导风向为</w:t>
      </w:r>
      <w:r>
        <w:rPr>
          <w:rFonts w:ascii="Times New Roman" w:hAnsi="Times New Roman" w:eastAsia="Times New Roman" w:cs="Times New Roman"/>
          <w:sz w:val="24"/>
          <w:szCs w:val="24"/>
          <w:spacing w:val="-3"/>
        </w:rPr>
        <w:t>W</w:t>
      </w:r>
      <w:r>
        <w:rPr>
          <w:rFonts w:ascii="SimSun" w:hAnsi="SimSun" w:eastAsia="SimSun" w:cs="SimSun"/>
          <w:sz w:val="24"/>
          <w:szCs w:val="24"/>
          <w:spacing w:val="-3"/>
        </w:rPr>
        <w:t>风，</w:t>
      </w:r>
      <w:r>
        <w:rPr>
          <w:rFonts w:ascii="SimSun" w:hAnsi="SimSun" w:eastAsia="SimSun" w:cs="SimSun"/>
          <w:sz w:val="24"/>
          <w:szCs w:val="24"/>
        </w:rPr>
        <w:t xml:space="preserve"> </w:t>
      </w:r>
      <w:r>
        <w:rPr>
          <w:rFonts w:ascii="SimSun" w:hAnsi="SimSun" w:eastAsia="SimSun" w:cs="SimSun"/>
          <w:sz w:val="24"/>
          <w:szCs w:val="24"/>
          <w:spacing w:val="-2"/>
        </w:rPr>
        <w:t>出现频率为</w:t>
      </w:r>
      <w:r>
        <w:rPr>
          <w:rFonts w:ascii="Times New Roman" w:hAnsi="Times New Roman" w:eastAsia="Times New Roman" w:cs="Times New Roman"/>
          <w:sz w:val="24"/>
          <w:szCs w:val="24"/>
          <w:spacing w:val="-2"/>
        </w:rPr>
        <w:t>10.8%</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，次主导风向为</w:t>
      </w:r>
      <w:r>
        <w:rPr>
          <w:rFonts w:ascii="Times New Roman" w:hAnsi="Times New Roman" w:eastAsia="Times New Roman" w:cs="Times New Roman"/>
          <w:sz w:val="24"/>
          <w:szCs w:val="24"/>
          <w:spacing w:val="-2"/>
        </w:rPr>
        <w:t>NE</w:t>
      </w:r>
      <w:r>
        <w:rPr>
          <w:rFonts w:ascii="SimSun" w:hAnsi="SimSun" w:eastAsia="SimSun" w:cs="SimSun"/>
          <w:sz w:val="24"/>
          <w:szCs w:val="24"/>
          <w:spacing w:val="-2"/>
        </w:rPr>
        <w:t>风，出现</w:t>
      </w:r>
      <w:r>
        <w:rPr>
          <w:rFonts w:ascii="SimSun" w:hAnsi="SimSun" w:eastAsia="SimSun" w:cs="SimSun"/>
          <w:sz w:val="24"/>
          <w:szCs w:val="24"/>
          <w:spacing w:val="-3"/>
        </w:rPr>
        <w:t>频率为</w:t>
      </w:r>
      <w:r>
        <w:rPr>
          <w:rFonts w:ascii="Times New Roman" w:hAnsi="Times New Roman" w:eastAsia="Times New Roman" w:cs="Times New Roman"/>
          <w:sz w:val="24"/>
          <w:szCs w:val="24"/>
          <w:spacing w:val="-3"/>
        </w:rPr>
        <w:t>10.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，静风在秋季的出现频</w:t>
      </w:r>
      <w:r>
        <w:rPr>
          <w:rFonts w:ascii="SimSun" w:hAnsi="SimSun" w:eastAsia="SimSun" w:cs="SimSun"/>
          <w:sz w:val="24"/>
          <w:szCs w:val="24"/>
        </w:rPr>
        <w:t xml:space="preserve"> </w:t>
      </w:r>
      <w:r>
        <w:rPr>
          <w:rFonts w:ascii="SimSun" w:hAnsi="SimSun" w:eastAsia="SimSun" w:cs="SimSun"/>
          <w:sz w:val="24"/>
          <w:szCs w:val="24"/>
          <w:spacing w:val="-3"/>
        </w:rPr>
        <w:t>率为</w:t>
      </w:r>
      <w:r>
        <w:rPr>
          <w:rFonts w:ascii="Times New Roman" w:hAnsi="Times New Roman" w:eastAsia="Times New Roman" w:cs="Times New Roman"/>
          <w:sz w:val="24"/>
          <w:szCs w:val="24"/>
          <w:spacing w:val="-3"/>
        </w:rPr>
        <w:t>22.8%</w:t>
      </w:r>
      <w:r>
        <w:rPr>
          <w:rFonts w:ascii="SimSun" w:hAnsi="SimSun" w:eastAsia="SimSun" w:cs="SimSun"/>
          <w:sz w:val="24"/>
          <w:szCs w:val="24"/>
          <w:spacing w:val="-3"/>
        </w:rPr>
        <w:t>；冬季主导风向为</w:t>
      </w:r>
      <w:r>
        <w:rPr>
          <w:rFonts w:ascii="Times New Roman" w:hAnsi="Times New Roman" w:eastAsia="Times New Roman" w:cs="Times New Roman"/>
          <w:sz w:val="24"/>
          <w:szCs w:val="24"/>
          <w:spacing w:val="-3"/>
        </w:rPr>
        <w:t>W</w:t>
      </w:r>
      <w:r>
        <w:rPr>
          <w:rFonts w:ascii="SimSun" w:hAnsi="SimSun" w:eastAsia="SimSun" w:cs="SimSun"/>
          <w:sz w:val="24"/>
          <w:szCs w:val="24"/>
          <w:spacing w:val="-3"/>
        </w:rPr>
        <w:t>风，出现频率为</w:t>
      </w:r>
      <w:r>
        <w:rPr>
          <w:rFonts w:ascii="Times New Roman" w:hAnsi="Times New Roman" w:eastAsia="Times New Roman" w:cs="Times New Roman"/>
          <w:sz w:val="24"/>
          <w:szCs w:val="24"/>
          <w:spacing w:val="-3"/>
        </w:rPr>
        <w:t>20.</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，次主导风向为</w:t>
      </w:r>
      <w:r>
        <w:rPr>
          <w:rFonts w:ascii="Times New Roman" w:hAnsi="Times New Roman" w:eastAsia="Times New Roman" w:cs="Times New Roman"/>
          <w:sz w:val="24"/>
          <w:szCs w:val="24"/>
          <w:spacing w:val="-3"/>
        </w:rPr>
        <w:t>WNW</w:t>
      </w:r>
      <w:r>
        <w:rPr>
          <w:rFonts w:ascii="SimSun" w:hAnsi="SimSun" w:eastAsia="SimSun" w:cs="SimSun"/>
          <w:sz w:val="24"/>
          <w:szCs w:val="24"/>
          <w:spacing w:val="-3"/>
        </w:rPr>
        <w:t>风</w:t>
      </w:r>
      <w:r>
        <w:rPr>
          <w:rFonts w:ascii="SimSun" w:hAnsi="SimSun" w:eastAsia="SimSun" w:cs="SimSun"/>
          <w:sz w:val="24"/>
          <w:szCs w:val="24"/>
          <w:spacing w:val="-4"/>
        </w:rPr>
        <w:t>，出</w:t>
      </w:r>
      <w:r>
        <w:rPr>
          <w:rFonts w:ascii="SimSun" w:hAnsi="SimSun" w:eastAsia="SimSun" w:cs="SimSun"/>
          <w:sz w:val="24"/>
          <w:szCs w:val="24"/>
        </w:rPr>
        <w:t xml:space="preserve"> </w:t>
      </w:r>
      <w:r>
        <w:rPr>
          <w:rFonts w:ascii="SimSun" w:hAnsi="SimSun" w:eastAsia="SimSun" w:cs="SimSun"/>
          <w:sz w:val="24"/>
          <w:szCs w:val="24"/>
          <w:spacing w:val="1"/>
        </w:rPr>
        <w:t>现频率为</w:t>
      </w:r>
      <w:r>
        <w:rPr>
          <w:rFonts w:ascii="Times New Roman" w:hAnsi="Times New Roman" w:eastAsia="Times New Roman" w:cs="Times New Roman"/>
          <w:sz w:val="24"/>
          <w:szCs w:val="24"/>
          <w:spacing w:val="1"/>
        </w:rPr>
        <w:t>15.0%</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1"/>
        </w:rPr>
        <w:t>，静风在冬季的出现频率为</w:t>
      </w:r>
      <w:r>
        <w:rPr>
          <w:rFonts w:ascii="Times New Roman" w:hAnsi="Times New Roman" w:eastAsia="Times New Roman" w:cs="Times New Roman"/>
          <w:sz w:val="24"/>
          <w:szCs w:val="24"/>
          <w:spacing w:val="1"/>
        </w:rPr>
        <w:t>21.7%</w:t>
      </w:r>
      <w:r>
        <w:rPr>
          <w:rFonts w:ascii="SimSun" w:hAnsi="SimSun" w:eastAsia="SimSun" w:cs="SimSun"/>
          <w:sz w:val="24"/>
          <w:szCs w:val="24"/>
          <w:spacing w:val="1"/>
        </w:rPr>
        <w:t>；全年主导风向为</w:t>
      </w:r>
      <w:r>
        <w:rPr>
          <w:rFonts w:ascii="Times New Roman" w:hAnsi="Times New Roman" w:eastAsia="Times New Roman" w:cs="Times New Roman"/>
          <w:sz w:val="24"/>
          <w:szCs w:val="24"/>
          <w:spacing w:val="1"/>
        </w:rPr>
        <w:t>W</w:t>
      </w:r>
      <w:r>
        <w:rPr>
          <w:rFonts w:ascii="SimSun" w:hAnsi="SimSun" w:eastAsia="SimSun" w:cs="SimSun"/>
          <w:sz w:val="24"/>
          <w:szCs w:val="24"/>
          <w:spacing w:val="1"/>
        </w:rPr>
        <w:t>风，其出现</w:t>
      </w:r>
      <w:r>
        <w:rPr>
          <w:rFonts w:ascii="SimSun" w:hAnsi="SimSun" w:eastAsia="SimSun" w:cs="SimSun"/>
          <w:sz w:val="24"/>
          <w:szCs w:val="24"/>
        </w:rPr>
        <w:t xml:space="preserve"> </w:t>
      </w:r>
      <w:r>
        <w:rPr>
          <w:rFonts w:ascii="SimSun" w:hAnsi="SimSun" w:eastAsia="SimSun" w:cs="SimSun"/>
          <w:sz w:val="24"/>
          <w:szCs w:val="24"/>
          <w:spacing w:val="-3"/>
        </w:rPr>
        <w:t>频率为</w:t>
      </w:r>
      <w:r>
        <w:rPr>
          <w:rFonts w:ascii="Times New Roman" w:hAnsi="Times New Roman" w:eastAsia="Times New Roman" w:cs="Times New Roman"/>
          <w:sz w:val="24"/>
          <w:szCs w:val="24"/>
          <w:spacing w:val="-3"/>
        </w:rPr>
        <w:t>12.0%</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WNW</w:t>
      </w:r>
      <w:r>
        <w:rPr>
          <w:rFonts w:ascii="SimSun" w:hAnsi="SimSun" w:eastAsia="SimSun" w:cs="SimSun"/>
          <w:sz w:val="24"/>
          <w:szCs w:val="24"/>
          <w:spacing w:val="-3"/>
        </w:rPr>
        <w:t>风的出现频率为</w:t>
      </w:r>
      <w:r>
        <w:rPr>
          <w:rFonts w:ascii="Times New Roman" w:hAnsi="Times New Roman" w:eastAsia="Times New Roman" w:cs="Times New Roman"/>
          <w:sz w:val="24"/>
          <w:szCs w:val="24"/>
          <w:spacing w:val="-3"/>
        </w:rPr>
        <w:t>10.2%</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，静风的年出现频率为</w:t>
      </w:r>
      <w:r>
        <w:rPr>
          <w:rFonts w:ascii="Times New Roman" w:hAnsi="Times New Roman" w:eastAsia="Times New Roman" w:cs="Times New Roman"/>
          <w:sz w:val="24"/>
          <w:szCs w:val="24"/>
          <w:spacing w:val="-3"/>
        </w:rPr>
        <w:t>19.</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3"/>
        </w:rPr>
        <w:t>。。</w:t>
      </w:r>
    </w:p>
    <w:p>
      <w:pPr>
        <w:ind w:left="23"/>
        <w:spacing w:before="207" w:line="222" w:lineRule="auto"/>
        <w:outlineLvl w:val="2"/>
        <w:rPr>
          <w:rFonts w:ascii="SimHei" w:hAnsi="SimHei" w:eastAsia="SimHei" w:cs="SimHei"/>
          <w:sz w:val="28"/>
          <w:szCs w:val="28"/>
        </w:rPr>
      </w:pPr>
      <w:bookmarkStart w:name="bookmark237" w:id="113"/>
      <w:bookmarkEnd w:id="113"/>
      <w:r>
        <w:rPr>
          <w:rFonts w:ascii="Times New Roman" w:hAnsi="Times New Roman" w:eastAsia="Times New Roman" w:cs="Times New Roman"/>
          <w:sz w:val="28"/>
          <w:szCs w:val="28"/>
          <w:spacing w:val="-1"/>
        </w:rPr>
        <w:t>5.1.2 </w:t>
      </w:r>
      <w:r>
        <w:rPr>
          <w:rFonts w:ascii="SimHei" w:hAnsi="SimHei" w:eastAsia="SimHei" w:cs="SimHei"/>
          <w:sz w:val="28"/>
          <w:szCs w:val="28"/>
          <w:spacing w:val="-1"/>
        </w:rPr>
        <w:t>大气环境影响预测与评价</w:t>
      </w:r>
    </w:p>
    <w:p>
      <w:pPr>
        <w:pStyle w:val="BodyText"/>
        <w:spacing w:line="306" w:lineRule="auto"/>
        <w:rPr/>
      </w:pPr>
      <w:r/>
    </w:p>
    <w:p>
      <w:pPr>
        <w:ind w:left="18"/>
        <w:spacing w:before="79" w:line="218" w:lineRule="auto"/>
        <w:outlineLvl w:val="3"/>
        <w:rPr>
          <w:rFonts w:ascii="SimSun" w:hAnsi="SimSun" w:eastAsia="SimSun" w:cs="SimSun"/>
          <w:sz w:val="24"/>
          <w:szCs w:val="24"/>
        </w:rPr>
      </w:pPr>
      <w:bookmarkStart w:name="bookmark90" w:id="114"/>
      <w:bookmarkEnd w:id="114"/>
      <w:r>
        <w:rPr>
          <w:rFonts w:ascii="Times New Roman" w:hAnsi="Times New Roman" w:eastAsia="Times New Roman" w:cs="Times New Roman"/>
          <w:sz w:val="24"/>
          <w:szCs w:val="24"/>
          <w:b/>
          <w:bCs/>
          <w:spacing w:val="-2"/>
        </w:rPr>
        <w:t>5.1.2.1 </w:t>
      </w:r>
      <w:r>
        <w:rPr>
          <w:rFonts w:ascii="SimSun" w:hAnsi="SimSun" w:eastAsia="SimSun" w:cs="SimSun"/>
          <w:sz w:val="24"/>
          <w:szCs w:val="24"/>
          <w:b/>
          <w:bCs/>
          <w:spacing w:val="-2"/>
        </w:rPr>
        <w:t>大气环境影响预测与评价</w:t>
      </w:r>
    </w:p>
    <w:p>
      <w:pPr>
        <w:ind w:left="542"/>
        <w:spacing w:before="264" w:line="219" w:lineRule="auto"/>
        <w:rPr>
          <w:rFonts w:ascii="SimSun" w:hAnsi="SimSun" w:eastAsia="SimSun" w:cs="SimSun"/>
          <w:sz w:val="24"/>
          <w:szCs w:val="24"/>
        </w:rPr>
      </w:pP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2"/>
        </w:rPr>
        <w:t>、预测模型</w:t>
      </w:r>
    </w:p>
    <w:p>
      <w:pPr>
        <w:ind w:left="19" w:firstLine="483"/>
        <w:spacing w:before="138" w:line="360" w:lineRule="auto"/>
        <w:rPr>
          <w:rFonts w:ascii="NSimSun" w:hAnsi="NSimSun" w:eastAsia="NSimSun" w:cs="NSimSun"/>
          <w:sz w:val="24"/>
          <w:szCs w:val="24"/>
        </w:rPr>
      </w:pPr>
      <w:r>
        <w:rPr>
          <w:rFonts w:ascii="NSimSun" w:hAnsi="NSimSun" w:eastAsia="NSimSun" w:cs="NSimSun"/>
          <w:sz w:val="24"/>
          <w:szCs w:val="24"/>
          <w:spacing w:val="-8"/>
        </w:rPr>
        <w:t>本次大气环境影响评价采用《环境影响评价技术导则</w:t>
      </w:r>
      <w:r>
        <w:rPr>
          <w:rFonts w:ascii="NSimSun" w:hAnsi="NSimSun" w:eastAsia="NSimSun" w:cs="NSimSun"/>
          <w:sz w:val="24"/>
          <w:szCs w:val="24"/>
          <w:spacing w:val="-8"/>
        </w:rPr>
        <w:t xml:space="preserve"> </w:t>
      </w:r>
      <w:r>
        <w:rPr>
          <w:rFonts w:ascii="NSimSun" w:hAnsi="NSimSun" w:eastAsia="NSimSun" w:cs="NSimSun"/>
          <w:sz w:val="24"/>
          <w:szCs w:val="24"/>
          <w:spacing w:val="-8"/>
        </w:rPr>
        <w:t>大气环境》（</w:t>
      </w:r>
      <w:r>
        <w:rPr>
          <w:rFonts w:ascii="Times New Roman" w:hAnsi="Times New Roman" w:eastAsia="Times New Roman" w:cs="Times New Roman"/>
          <w:sz w:val="24"/>
          <w:szCs w:val="24"/>
          <w:spacing w:val="-8"/>
        </w:rPr>
        <w:t>H</w:t>
      </w:r>
      <w:r>
        <w:rPr>
          <w:rFonts w:ascii="Times New Roman" w:hAnsi="Times New Roman" w:eastAsia="Times New Roman" w:cs="Times New Roman"/>
          <w:sz w:val="24"/>
          <w:szCs w:val="24"/>
          <w:spacing w:val="-9"/>
        </w:rPr>
        <w:t>J2.2-2018</w:t>
      </w:r>
      <w:r>
        <w:rPr>
          <w:rFonts w:ascii="NSimSun" w:hAnsi="NSimSun" w:eastAsia="NSimSun" w:cs="NSimSun"/>
          <w:sz w:val="24"/>
          <w:szCs w:val="24"/>
          <w:spacing w:val="-9"/>
        </w:rPr>
        <w:t>）</w:t>
      </w:r>
      <w:r>
        <w:rPr>
          <w:rFonts w:ascii="NSimSun" w:hAnsi="NSimSun" w:eastAsia="NSimSun" w:cs="NSimSun"/>
          <w:sz w:val="24"/>
          <w:szCs w:val="24"/>
        </w:rPr>
        <w:t xml:space="preserve"> </w:t>
      </w:r>
      <w:r>
        <w:rPr>
          <w:rFonts w:ascii="NSimSun" w:hAnsi="NSimSun" w:eastAsia="NSimSun" w:cs="NSimSun"/>
          <w:sz w:val="24"/>
          <w:szCs w:val="24"/>
          <w:spacing w:val="-2"/>
        </w:rPr>
        <w:t>所推荐采用的估算模式</w:t>
      </w:r>
      <w:r>
        <w:rPr>
          <w:rFonts w:ascii="NSimSun" w:hAnsi="NSimSun" w:eastAsia="NSimSun" w:cs="NSimSun"/>
          <w:sz w:val="24"/>
          <w:szCs w:val="24"/>
          <w:spacing w:val="-58"/>
        </w:rPr>
        <w:t xml:space="preserve"> </w:t>
      </w:r>
      <w:r>
        <w:rPr>
          <w:rFonts w:ascii="Times New Roman" w:hAnsi="Times New Roman" w:eastAsia="Times New Roman" w:cs="Times New Roman"/>
          <w:sz w:val="24"/>
          <w:szCs w:val="24"/>
          <w:spacing w:val="-2"/>
        </w:rPr>
        <w:t>AERSCREEN</w:t>
      </w:r>
      <w:r>
        <w:rPr>
          <w:rFonts w:ascii="NSimSun" w:hAnsi="NSimSun" w:eastAsia="NSimSun" w:cs="NSimSun"/>
          <w:sz w:val="24"/>
          <w:szCs w:val="24"/>
          <w:spacing w:val="-2"/>
        </w:rPr>
        <w:t>，</w:t>
      </w:r>
      <w:r>
        <w:rPr>
          <w:rFonts w:ascii="Times New Roman" w:hAnsi="Times New Roman" w:eastAsia="Times New Roman" w:cs="Times New Roman"/>
          <w:sz w:val="24"/>
          <w:szCs w:val="24"/>
          <w:spacing w:val="-2"/>
        </w:rPr>
        <w:t>AERSCREE</w:t>
      </w:r>
      <w:r>
        <w:rPr>
          <w:rFonts w:ascii="Times New Roman" w:hAnsi="Times New Roman" w:eastAsia="Times New Roman" w:cs="Times New Roman"/>
          <w:sz w:val="24"/>
          <w:szCs w:val="24"/>
          <w:spacing w:val="-3"/>
        </w:rPr>
        <w:t>N </w:t>
      </w:r>
      <w:r>
        <w:rPr>
          <w:rFonts w:ascii="NSimSun" w:hAnsi="NSimSun" w:eastAsia="NSimSun" w:cs="NSimSun"/>
          <w:sz w:val="24"/>
          <w:szCs w:val="24"/>
          <w:spacing w:val="-3"/>
        </w:rPr>
        <w:t>为美国环保署（</w:t>
      </w:r>
      <w:r>
        <w:rPr>
          <w:rFonts w:ascii="Times New Roman" w:hAnsi="Times New Roman" w:eastAsia="Times New Roman" w:cs="Times New Roman"/>
          <w:sz w:val="24"/>
          <w:szCs w:val="24"/>
          <w:spacing w:val="-3"/>
        </w:rPr>
        <w:t>U.S.EPA</w:t>
      </w:r>
      <w:r>
        <w:rPr>
          <w:rFonts w:ascii="NSimSun" w:hAnsi="NSimSun" w:eastAsia="NSimSun" w:cs="NSimSun"/>
          <w:sz w:val="24"/>
          <w:szCs w:val="24"/>
          <w:spacing w:val="-3"/>
        </w:rPr>
        <w:t>，下</w:t>
      </w:r>
      <w:r>
        <w:rPr>
          <w:rFonts w:ascii="NSimSun" w:hAnsi="NSimSun" w:eastAsia="NSimSun" w:cs="NSimSun"/>
          <w:sz w:val="24"/>
          <w:szCs w:val="24"/>
        </w:rPr>
        <w:t xml:space="preserve"> </w:t>
      </w:r>
      <w:r>
        <w:rPr>
          <w:rFonts w:ascii="NSimSun" w:hAnsi="NSimSun" w:eastAsia="NSimSun" w:cs="NSimSun"/>
          <w:sz w:val="24"/>
          <w:szCs w:val="24"/>
          <w:spacing w:val="-3"/>
        </w:rPr>
        <w:t>同）开发的基于</w:t>
      </w:r>
      <w:r>
        <w:rPr>
          <w:rFonts w:ascii="NSimSun" w:hAnsi="NSimSun" w:eastAsia="NSimSun" w:cs="NSimSun"/>
          <w:sz w:val="24"/>
          <w:szCs w:val="24"/>
          <w:spacing w:val="-54"/>
        </w:rPr>
        <w:t xml:space="preserve"> </w:t>
      </w:r>
      <w:r>
        <w:rPr>
          <w:rFonts w:ascii="Times New Roman" w:hAnsi="Times New Roman" w:eastAsia="Times New Roman" w:cs="Times New Roman"/>
          <w:sz w:val="24"/>
          <w:szCs w:val="24"/>
          <w:spacing w:val="-3"/>
        </w:rPr>
        <w:t>AERMOD </w:t>
      </w:r>
      <w:r>
        <w:rPr>
          <w:rFonts w:ascii="NSimSun" w:hAnsi="NSimSun" w:eastAsia="NSimSun" w:cs="NSimSun"/>
          <w:sz w:val="24"/>
          <w:szCs w:val="24"/>
          <w:spacing w:val="-3"/>
        </w:rPr>
        <w:t>估算模式的单源估算模型，可计算污染源包括点源、带</w:t>
      </w:r>
      <w:r>
        <w:rPr>
          <w:rFonts w:ascii="NSimSun" w:hAnsi="NSimSun" w:eastAsia="NSimSun" w:cs="NSimSun"/>
          <w:sz w:val="24"/>
          <w:szCs w:val="24"/>
        </w:rPr>
        <w:t xml:space="preserve"> </w:t>
      </w:r>
      <w:r>
        <w:rPr>
          <w:rFonts w:ascii="NSimSun" w:hAnsi="NSimSun" w:eastAsia="NSimSun" w:cs="NSimSun"/>
          <w:sz w:val="24"/>
          <w:szCs w:val="24"/>
          <w:spacing w:val="3"/>
        </w:rPr>
        <w:t>盖点源、水平点源、矩形面源、圆形面源、体源和</w:t>
      </w:r>
      <w:r>
        <w:rPr>
          <w:rFonts w:ascii="NSimSun" w:hAnsi="NSimSun" w:eastAsia="NSimSun" w:cs="NSimSun"/>
          <w:sz w:val="24"/>
          <w:szCs w:val="24"/>
          <w:spacing w:val="2"/>
        </w:rPr>
        <w:t>火炬源，能够考虑地形、熏烟</w:t>
      </w:r>
      <w:r>
        <w:rPr>
          <w:rFonts w:ascii="NSimSun" w:hAnsi="NSimSun" w:eastAsia="NSimSun" w:cs="NSimSun"/>
          <w:sz w:val="24"/>
          <w:szCs w:val="24"/>
        </w:rPr>
        <w:t xml:space="preserve"> </w:t>
      </w:r>
      <w:r>
        <w:rPr>
          <w:rFonts w:ascii="NSimSun" w:hAnsi="NSimSun" w:eastAsia="NSimSun" w:cs="NSimSun"/>
          <w:sz w:val="24"/>
          <w:szCs w:val="24"/>
        </w:rPr>
        <w:t>和建筑物下洗的影响，可以输出</w:t>
      </w:r>
      <w:r>
        <w:rPr>
          <w:rFonts w:ascii="NSimSun" w:hAnsi="NSimSun" w:eastAsia="NSimSun" w:cs="NSimSun"/>
          <w:sz w:val="24"/>
          <w:szCs w:val="24"/>
          <w:spacing w:val="-22"/>
        </w:rPr>
        <w:t xml:space="preserve"> </w:t>
      </w:r>
      <w:r>
        <w:rPr>
          <w:rFonts w:ascii="Times New Roman" w:hAnsi="Times New Roman" w:eastAsia="Times New Roman" w:cs="Times New Roman"/>
          <w:sz w:val="24"/>
          <w:szCs w:val="24"/>
        </w:rPr>
        <w:t>1</w:t>
      </w:r>
      <w:r>
        <w:rPr>
          <w:rFonts w:ascii="Times New Roman" w:hAnsi="Times New Roman" w:eastAsia="Times New Roman" w:cs="Times New Roman"/>
          <w:sz w:val="24"/>
          <w:szCs w:val="24"/>
          <w:spacing w:val="18"/>
        </w:rPr>
        <w:t xml:space="preserve"> </w:t>
      </w:r>
      <w:r>
        <w:rPr>
          <w:rFonts w:ascii="NSimSun" w:hAnsi="NSimSun" w:eastAsia="NSimSun" w:cs="NSimSun"/>
          <w:sz w:val="24"/>
          <w:szCs w:val="24"/>
        </w:rPr>
        <w:t>小时、</w:t>
      </w:r>
      <w:r>
        <w:rPr>
          <w:rFonts w:ascii="Times New Roman" w:hAnsi="Times New Roman" w:eastAsia="Times New Roman" w:cs="Times New Roman"/>
          <w:sz w:val="24"/>
          <w:szCs w:val="24"/>
        </w:rPr>
        <w:t>8</w:t>
      </w:r>
      <w:r>
        <w:rPr>
          <w:rFonts w:ascii="Times New Roman" w:hAnsi="Times New Roman" w:eastAsia="Times New Roman" w:cs="Times New Roman"/>
          <w:sz w:val="24"/>
          <w:szCs w:val="24"/>
          <w:spacing w:val="18"/>
        </w:rPr>
        <w:t xml:space="preserve"> </w:t>
      </w:r>
      <w:r>
        <w:rPr>
          <w:rFonts w:ascii="NSimSun" w:hAnsi="NSimSun" w:eastAsia="NSimSun" w:cs="NSimSun"/>
          <w:sz w:val="24"/>
          <w:szCs w:val="24"/>
        </w:rPr>
        <w:t>小时、</w:t>
      </w:r>
      <w:r>
        <w:rPr>
          <w:rFonts w:ascii="Times New Roman" w:hAnsi="Times New Roman" w:eastAsia="Times New Roman" w:cs="Times New Roman"/>
          <w:sz w:val="24"/>
          <w:szCs w:val="24"/>
        </w:rPr>
        <w:t>24</w:t>
      </w:r>
      <w:r>
        <w:rPr>
          <w:rFonts w:ascii="Times New Roman" w:hAnsi="Times New Roman" w:eastAsia="Times New Roman" w:cs="Times New Roman"/>
          <w:sz w:val="24"/>
          <w:szCs w:val="24"/>
          <w:spacing w:val="18"/>
          <w:w w:val="101"/>
        </w:rPr>
        <w:t xml:space="preserve"> </w:t>
      </w:r>
      <w:r>
        <w:rPr>
          <w:rFonts w:ascii="NSimSun" w:hAnsi="NSimSun" w:eastAsia="NSimSun" w:cs="NSimSun"/>
          <w:sz w:val="24"/>
          <w:szCs w:val="24"/>
        </w:rPr>
        <w:t>小时平均及年均地面浓度最</w:t>
      </w:r>
      <w:r>
        <w:rPr>
          <w:rFonts w:ascii="NSimSun" w:hAnsi="NSimSun" w:eastAsia="NSimSun" w:cs="NSimSun"/>
          <w:sz w:val="24"/>
          <w:szCs w:val="24"/>
        </w:rPr>
        <w:t xml:space="preserve"> </w:t>
      </w:r>
      <w:r>
        <w:rPr>
          <w:rFonts w:ascii="NSimSun" w:hAnsi="NSimSun" w:eastAsia="NSimSun" w:cs="NSimSun"/>
          <w:sz w:val="24"/>
          <w:szCs w:val="24"/>
          <w:spacing w:val="-1"/>
        </w:rPr>
        <w:t>大值，评价源对周边空气环境的影响程度和范围。</w:t>
      </w:r>
    </w:p>
    <w:p>
      <w:pPr>
        <w:ind w:left="519"/>
        <w:spacing w:before="76" w:line="219" w:lineRule="auto"/>
        <w:rPr>
          <w:rFonts w:ascii="SimSun" w:hAnsi="SimSun" w:eastAsia="SimSun" w:cs="SimSun"/>
          <w:sz w:val="24"/>
          <w:szCs w:val="24"/>
        </w:rPr>
      </w:pP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2"/>
        </w:rPr>
        <w:t>、参数选取</w:t>
      </w:r>
    </w:p>
    <w:p>
      <w:pPr>
        <w:ind w:left="18" w:right="99" w:firstLine="480"/>
        <w:spacing w:before="216" w:line="377" w:lineRule="auto"/>
        <w:rPr>
          <w:rFonts w:ascii="SimSun" w:hAnsi="SimSun" w:eastAsia="SimSun" w:cs="SimSun"/>
          <w:sz w:val="24"/>
          <w:szCs w:val="24"/>
        </w:rPr>
      </w:pPr>
      <w:r>
        <w:rPr>
          <w:rFonts w:ascii="SimSun" w:hAnsi="SimSun" w:eastAsia="SimSun" w:cs="SimSun"/>
          <w:sz w:val="24"/>
          <w:szCs w:val="24"/>
          <w:spacing w:val="-1"/>
        </w:rPr>
        <w:t>采用《环境影响评价技术导则</w:t>
      </w:r>
      <w:r>
        <w:rPr>
          <w:rFonts w:ascii="Times New Roman" w:hAnsi="Times New Roman" w:eastAsia="Times New Roman" w:cs="Times New Roman"/>
          <w:sz w:val="24"/>
          <w:szCs w:val="24"/>
          <w:spacing w:val="-1"/>
        </w:rPr>
        <w:t>-</w:t>
      </w:r>
      <w:r>
        <w:rPr>
          <w:rFonts w:ascii="SimSun" w:hAnsi="SimSun" w:eastAsia="SimSun" w:cs="SimSun"/>
          <w:sz w:val="24"/>
          <w:szCs w:val="24"/>
          <w:spacing w:val="-1"/>
        </w:rPr>
        <w:t>大气环境》</w:t>
      </w:r>
      <w:r>
        <w:rPr>
          <w:rFonts w:ascii="Times New Roman" w:hAnsi="Times New Roman" w:eastAsia="Times New Roman" w:cs="Times New Roman"/>
          <w:sz w:val="24"/>
          <w:szCs w:val="24"/>
          <w:spacing w:val="-1"/>
        </w:rPr>
        <w:t>(HJ/T2.2-2018)</w:t>
      </w:r>
      <w:r>
        <w:rPr>
          <w:rFonts w:ascii="SimSun" w:hAnsi="SimSun" w:eastAsia="SimSun" w:cs="SimSun"/>
          <w:sz w:val="24"/>
          <w:szCs w:val="24"/>
          <w:spacing w:val="-1"/>
        </w:rPr>
        <w:t>推荐估算模</w:t>
      </w:r>
      <w:r>
        <w:rPr>
          <w:rFonts w:ascii="SimSun" w:hAnsi="SimSun" w:eastAsia="SimSun" w:cs="SimSun"/>
          <w:sz w:val="24"/>
          <w:szCs w:val="24"/>
          <w:spacing w:val="-2"/>
        </w:rPr>
        <w:t>式，计算</w:t>
      </w:r>
      <w:r>
        <w:rPr>
          <w:rFonts w:ascii="SimSun" w:hAnsi="SimSun" w:eastAsia="SimSun" w:cs="SimSun"/>
          <w:sz w:val="24"/>
          <w:szCs w:val="24"/>
        </w:rPr>
        <w:t xml:space="preserve"> </w:t>
      </w:r>
      <w:r>
        <w:rPr>
          <w:rFonts w:ascii="SimSun" w:hAnsi="SimSun" w:eastAsia="SimSun" w:cs="SimSun"/>
          <w:sz w:val="24"/>
          <w:szCs w:val="24"/>
        </w:rPr>
        <w:t>距项目污染源下风向不同距离处污染物的浓度、最大落地浓度</w:t>
      </w: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1"/>
        </w:rPr>
        <w:t>max</w:t>
      </w:r>
      <w:r>
        <w:rPr>
          <w:rFonts w:ascii="SimSun" w:hAnsi="SimSun" w:eastAsia="SimSun" w:cs="SimSun"/>
          <w:sz w:val="24"/>
          <w:szCs w:val="24"/>
        </w:rPr>
        <w:t>及占</w:t>
      </w:r>
      <w:r>
        <w:rPr>
          <w:rFonts w:ascii="SimSun" w:hAnsi="SimSun" w:eastAsia="SimSun" w:cs="SimSun"/>
          <w:sz w:val="24"/>
          <w:szCs w:val="24"/>
          <w:spacing w:val="-1"/>
        </w:rPr>
        <w:t>标率。</w:t>
      </w:r>
    </w:p>
    <w:p>
      <w:pPr>
        <w:spacing w:line="377" w:lineRule="auto"/>
        <w:sectPr>
          <w:headerReference w:type="default" r:id="rId205"/>
          <w:footerReference w:type="default" r:id="rId206"/>
          <w:pgSz w:w="11906" w:h="16839"/>
          <w:pgMar w:top="1567" w:right="1602" w:bottom="1482" w:left="1691" w:header="1221" w:footer="1248" w:gutter="0"/>
        </w:sectPr>
        <w:rPr>
          <w:rFonts w:ascii="SimSun" w:hAnsi="SimSun" w:eastAsia="SimSun" w:cs="SimSun"/>
          <w:sz w:val="24"/>
          <w:szCs w:val="24"/>
        </w:rPr>
      </w:pPr>
    </w:p>
    <w:p>
      <w:pPr>
        <w:ind w:left="17" w:right="80" w:firstLine="480"/>
        <w:spacing w:before="170" w:line="359" w:lineRule="auto"/>
        <w:jc w:val="both"/>
        <w:rPr>
          <w:rFonts w:ascii="SimSun" w:hAnsi="SimSun" w:eastAsia="SimSun" w:cs="SimSun"/>
          <w:sz w:val="24"/>
          <w:szCs w:val="24"/>
        </w:rPr>
      </w:pPr>
      <w:r>
        <w:pict>
          <v:shape id="_x0000_s742" style="position:absolute;margin-left:85.05pt;margin-top:78.87pt;mso-position-vertical-relative:page;mso-position-horizontal-relative:page;width:425.25pt;height:0.75pt;z-index:251999232;" o:allowincell="f" fillcolor="#000000" filled="true" stroked="false" coordsize="8505,15" coordorigin="0,0" path="m,l8504,0l8504,14l0,14l0,0xe"/>
        </w:pict>
      </w:r>
      <w:r>
        <w:rPr>
          <w:rFonts w:ascii="SimSun" w:hAnsi="SimSun" w:eastAsia="SimSun" w:cs="SimSun"/>
          <w:sz w:val="24"/>
          <w:szCs w:val="24"/>
          <w:spacing w:val="-2"/>
        </w:rPr>
        <w:t>根据《环境影响评价技术导则</w:t>
      </w:r>
      <w:r>
        <w:rPr>
          <w:rFonts w:ascii="Times New Roman" w:hAnsi="Times New Roman" w:eastAsia="Times New Roman" w:cs="Times New Roman"/>
          <w:sz w:val="24"/>
          <w:szCs w:val="24"/>
          <w:spacing w:val="-2"/>
        </w:rPr>
        <w:t>-</w:t>
      </w:r>
      <w:r>
        <w:rPr>
          <w:rFonts w:ascii="SimSun" w:hAnsi="SimSun" w:eastAsia="SimSun" w:cs="SimSun"/>
          <w:sz w:val="24"/>
          <w:szCs w:val="24"/>
          <w:spacing w:val="-2"/>
        </w:rPr>
        <w:t>大气环境》（</w:t>
      </w:r>
      <w:r>
        <w:rPr>
          <w:rFonts w:ascii="Times New Roman" w:hAnsi="Times New Roman" w:eastAsia="Times New Roman" w:cs="Times New Roman"/>
          <w:sz w:val="24"/>
          <w:szCs w:val="24"/>
          <w:spacing w:val="-2"/>
        </w:rPr>
        <w:t>HJ2.2-2018</w:t>
      </w:r>
      <w:r>
        <w:rPr>
          <w:rFonts w:ascii="SimSun" w:hAnsi="SimSun" w:eastAsia="SimSun" w:cs="SimSun"/>
          <w:sz w:val="24"/>
          <w:szCs w:val="24"/>
          <w:spacing w:val="-2"/>
        </w:rPr>
        <w:t>）附录</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B.6</w:t>
      </w:r>
      <w:r>
        <w:rPr>
          <w:rFonts w:ascii="SimSun" w:hAnsi="SimSun" w:eastAsia="SimSun" w:cs="SimSun"/>
          <w:sz w:val="24"/>
          <w:szCs w:val="24"/>
          <w:spacing w:val="-2"/>
        </w:rPr>
        <w:t>“当项目周</w:t>
      </w:r>
      <w:r>
        <w:rPr>
          <w:rFonts w:ascii="SimSun" w:hAnsi="SimSun" w:eastAsia="SimSun" w:cs="SimSun"/>
          <w:sz w:val="24"/>
          <w:szCs w:val="24"/>
        </w:rPr>
        <w:t xml:space="preserve"> </w:t>
      </w:r>
      <w:r>
        <w:rPr>
          <w:rFonts w:ascii="SimSun" w:hAnsi="SimSun" w:eastAsia="SimSun" w:cs="SimSun"/>
          <w:sz w:val="24"/>
          <w:szCs w:val="24"/>
        </w:rPr>
        <w:t>边</w:t>
      </w:r>
      <w:r>
        <w:rPr>
          <w:rFonts w:ascii="SimSun" w:hAnsi="SimSun" w:eastAsia="SimSun" w:cs="SimSun"/>
          <w:sz w:val="24"/>
          <w:szCs w:val="24"/>
          <w:spacing w:val="-36"/>
        </w:rPr>
        <w:t xml:space="preserve"> </w:t>
      </w:r>
      <w:r>
        <w:rPr>
          <w:rFonts w:ascii="Times New Roman" w:hAnsi="Times New Roman" w:eastAsia="Times New Roman" w:cs="Times New Roman"/>
          <w:sz w:val="24"/>
          <w:szCs w:val="24"/>
        </w:rPr>
        <w:t>3km </w:t>
      </w:r>
      <w:r>
        <w:rPr>
          <w:rFonts w:ascii="SimSun" w:hAnsi="SimSun" w:eastAsia="SimSun" w:cs="SimSun"/>
          <w:sz w:val="24"/>
          <w:szCs w:val="24"/>
        </w:rPr>
        <w:t>半径范围内一半以上面积属于城市建成区或者规划区时，选择城市，否则 </w:t>
      </w:r>
      <w:r>
        <w:rPr>
          <w:rFonts w:ascii="SimSun" w:hAnsi="SimSun" w:eastAsia="SimSun" w:cs="SimSun"/>
          <w:sz w:val="24"/>
          <w:szCs w:val="24"/>
        </w:rPr>
        <w:t>选择农村</w:t>
      </w:r>
      <w:r>
        <w:rPr>
          <w:rFonts w:ascii="SimSun" w:hAnsi="SimSun" w:eastAsia="SimSun" w:cs="SimSun"/>
          <w:sz w:val="24"/>
          <w:szCs w:val="24"/>
          <w:spacing w:val="-88"/>
        </w:rPr>
        <w:t xml:space="preserve"> </w:t>
      </w:r>
      <w:r>
        <w:rPr>
          <w:rFonts w:ascii="SimSun" w:hAnsi="SimSun" w:eastAsia="SimSun" w:cs="SimSun"/>
          <w:sz w:val="24"/>
          <w:szCs w:val="24"/>
        </w:rPr>
        <w:t>”，本项目周边</w:t>
      </w:r>
      <w:r>
        <w:rPr>
          <w:rFonts w:ascii="SimSun" w:hAnsi="SimSun" w:eastAsia="SimSun" w:cs="SimSun"/>
          <w:sz w:val="24"/>
          <w:szCs w:val="24"/>
          <w:spacing w:val="-47"/>
        </w:rPr>
        <w:t xml:space="preserve"> </w:t>
      </w:r>
      <w:r>
        <w:rPr>
          <w:rFonts w:ascii="Times New Roman" w:hAnsi="Times New Roman" w:eastAsia="Times New Roman" w:cs="Times New Roman"/>
          <w:sz w:val="24"/>
          <w:szCs w:val="24"/>
        </w:rPr>
        <w:t>3km </w:t>
      </w:r>
      <w:r>
        <w:rPr>
          <w:rFonts w:ascii="SimSun" w:hAnsi="SimSun" w:eastAsia="SimSun" w:cs="SimSun"/>
          <w:sz w:val="24"/>
          <w:szCs w:val="24"/>
        </w:rPr>
        <w:t>半径范围</w:t>
      </w:r>
      <w:r>
        <w:rPr>
          <w:rFonts w:ascii="SimSun" w:hAnsi="SimSun" w:eastAsia="SimSun" w:cs="SimSun"/>
          <w:sz w:val="24"/>
          <w:szCs w:val="24"/>
          <w:spacing w:val="-1"/>
        </w:rPr>
        <w:t>内正镶白旗城市建成区面积不足一半，因</w:t>
      </w:r>
      <w:r>
        <w:rPr>
          <w:rFonts w:ascii="SimSun" w:hAnsi="SimSun" w:eastAsia="SimSun" w:cs="SimSun"/>
          <w:sz w:val="24"/>
          <w:szCs w:val="24"/>
        </w:rPr>
        <w:t xml:space="preserve"> </w:t>
      </w:r>
      <w:r>
        <w:rPr>
          <w:rFonts w:ascii="SimSun" w:hAnsi="SimSun" w:eastAsia="SimSun" w:cs="SimSun"/>
          <w:sz w:val="24"/>
          <w:szCs w:val="24"/>
          <w:spacing w:val="-1"/>
        </w:rPr>
        <w:t>此，估算模型城市</w:t>
      </w:r>
      <w:r>
        <w:rPr>
          <w:rFonts w:ascii="Times New Roman" w:hAnsi="Times New Roman" w:eastAsia="Times New Roman" w:cs="Times New Roman"/>
          <w:sz w:val="24"/>
          <w:szCs w:val="24"/>
          <w:spacing w:val="-1"/>
        </w:rPr>
        <w:t>/</w:t>
      </w:r>
      <w:r>
        <w:rPr>
          <w:rFonts w:ascii="SimSun" w:hAnsi="SimSun" w:eastAsia="SimSun" w:cs="SimSun"/>
          <w:sz w:val="24"/>
          <w:szCs w:val="24"/>
          <w:spacing w:val="-1"/>
        </w:rPr>
        <w:t>农村选项选择农村。</w:t>
      </w:r>
    </w:p>
    <w:p>
      <w:pPr>
        <w:ind w:left="491"/>
        <w:spacing w:before="156" w:line="218" w:lineRule="auto"/>
        <w:rPr>
          <w:rFonts w:ascii="SimSun" w:hAnsi="SimSun" w:eastAsia="SimSun" w:cs="SimSun"/>
          <w:sz w:val="24"/>
          <w:szCs w:val="24"/>
        </w:rPr>
      </w:pPr>
      <w:r>
        <w:rPr>
          <w:rFonts w:ascii="Times New Roman" w:hAnsi="Times New Roman" w:eastAsia="Times New Roman" w:cs="Times New Roman"/>
          <w:sz w:val="24"/>
          <w:szCs w:val="24"/>
          <w:spacing w:val="-1"/>
        </w:rPr>
        <w:t>AERSCREEN </w:t>
      </w:r>
      <w:r>
        <w:rPr>
          <w:rFonts w:ascii="SimSun" w:hAnsi="SimSun" w:eastAsia="SimSun" w:cs="SimSun"/>
          <w:sz w:val="24"/>
          <w:szCs w:val="24"/>
          <w:spacing w:val="-1"/>
        </w:rPr>
        <w:t>估算模型参数详见表</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5.1-7</w:t>
      </w:r>
      <w:r>
        <w:rPr>
          <w:rFonts w:ascii="SimSun" w:hAnsi="SimSun" w:eastAsia="SimSun" w:cs="SimSun"/>
          <w:sz w:val="24"/>
          <w:szCs w:val="24"/>
          <w:spacing w:val="-1"/>
        </w:rPr>
        <w:t>。</w:t>
      </w:r>
    </w:p>
    <w:p>
      <w:pPr>
        <w:ind w:left="2014"/>
        <w:spacing w:before="218" w:line="218" w:lineRule="auto"/>
        <w:rPr>
          <w:rFonts w:ascii="SimSun" w:hAnsi="SimSun" w:eastAsia="SimSun" w:cs="SimSun"/>
          <w:sz w:val="24"/>
          <w:szCs w:val="24"/>
        </w:rPr>
      </w:pPr>
      <w:r>
        <w:rPr>
          <w:rFonts w:ascii="SimSun" w:hAnsi="SimSun" w:eastAsia="SimSun" w:cs="SimSun"/>
          <w:sz w:val="24"/>
          <w:szCs w:val="24"/>
          <w:b/>
          <w:bCs/>
          <w:spacing w:val="-1"/>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1"/>
        </w:rPr>
        <w:t>5.1-7        AERSCREEN </w:t>
      </w:r>
      <w:r>
        <w:rPr>
          <w:rFonts w:ascii="SimSun" w:hAnsi="SimSun" w:eastAsia="SimSun" w:cs="SimSun"/>
          <w:sz w:val="24"/>
          <w:szCs w:val="24"/>
          <w:b/>
          <w:bCs/>
          <w:spacing w:val="-1"/>
        </w:rPr>
        <w:t>估算模型参数表</w:t>
      </w:r>
    </w:p>
    <w:p>
      <w:pPr>
        <w:spacing w:line="22" w:lineRule="exact"/>
        <w:rPr/>
      </w:pPr>
      <w:r/>
    </w:p>
    <w:tbl>
      <w:tblPr>
        <w:tblStyle w:val="TableNormal"/>
        <w:tblW w:w="8516"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126"/>
        <w:gridCol w:w="4368"/>
        <w:gridCol w:w="2022"/>
      </w:tblGrid>
      <w:tr>
        <w:trPr>
          <w:trHeight w:val="281" w:hRule="atLeast"/>
        </w:trPr>
        <w:tc>
          <w:tcPr>
            <w:tcW w:w="6494" w:type="dxa"/>
            <w:vAlign w:val="top"/>
            <w:gridSpan w:val="2"/>
          </w:tcPr>
          <w:p>
            <w:pPr>
              <w:pStyle w:val="TableText"/>
              <w:ind w:left="3045"/>
              <w:spacing w:before="35" w:line="217" w:lineRule="auto"/>
              <w:rPr/>
            </w:pPr>
            <w:r>
              <w:rPr>
                <w:spacing w:val="3"/>
              </w:rPr>
              <w:t>参数</w:t>
            </w:r>
          </w:p>
        </w:tc>
        <w:tc>
          <w:tcPr>
            <w:tcW w:w="2022" w:type="dxa"/>
            <w:vAlign w:val="top"/>
          </w:tcPr>
          <w:p>
            <w:pPr>
              <w:pStyle w:val="TableText"/>
              <w:ind w:left="809"/>
              <w:spacing w:before="35" w:line="217" w:lineRule="auto"/>
              <w:rPr/>
            </w:pPr>
            <w:r>
              <w:rPr>
                <w:spacing w:val="3"/>
              </w:rPr>
              <w:t>取值</w:t>
            </w:r>
          </w:p>
        </w:tc>
      </w:tr>
      <w:tr>
        <w:trPr>
          <w:trHeight w:val="276" w:hRule="atLeast"/>
        </w:trPr>
        <w:tc>
          <w:tcPr>
            <w:tcW w:w="2126" w:type="dxa"/>
            <w:vAlign w:val="top"/>
            <w:vMerge w:val="restart"/>
            <w:tcBorders>
              <w:bottom w:val="nil"/>
            </w:tcBorders>
          </w:tcPr>
          <w:p>
            <w:pPr>
              <w:pStyle w:val="TableText"/>
              <w:ind w:left="410"/>
              <w:spacing w:before="171" w:line="227" w:lineRule="auto"/>
              <w:rPr/>
            </w:pPr>
            <w:r>
              <w:rPr>
                <w:spacing w:val="7"/>
              </w:rPr>
              <w:t>城市</w:t>
            </w:r>
            <w:r>
              <w:rPr>
                <w:rFonts w:ascii="Times New Roman" w:hAnsi="Times New Roman" w:eastAsia="Times New Roman" w:cs="Times New Roman"/>
                <w:spacing w:val="7"/>
              </w:rPr>
              <w:t>/</w:t>
            </w:r>
            <w:r>
              <w:rPr>
                <w:spacing w:val="7"/>
              </w:rPr>
              <w:t>农村选项</w:t>
            </w:r>
          </w:p>
        </w:tc>
        <w:tc>
          <w:tcPr>
            <w:tcW w:w="4368" w:type="dxa"/>
            <w:vAlign w:val="top"/>
          </w:tcPr>
          <w:p>
            <w:pPr>
              <w:pStyle w:val="TableText"/>
              <w:ind w:left="1740"/>
              <w:spacing w:before="29" w:line="218" w:lineRule="auto"/>
              <w:rPr/>
            </w:pPr>
            <w:r>
              <w:rPr>
                <w:spacing w:val="6"/>
              </w:rPr>
              <w:t>城市</w:t>
            </w:r>
            <w:r>
              <w:rPr>
                <w:rFonts w:ascii="Times New Roman" w:hAnsi="Times New Roman" w:eastAsia="Times New Roman" w:cs="Times New Roman"/>
                <w:spacing w:val="6"/>
              </w:rPr>
              <w:t>/</w:t>
            </w:r>
            <w:r>
              <w:rPr>
                <w:spacing w:val="6"/>
              </w:rPr>
              <w:t>农村</w:t>
            </w:r>
          </w:p>
        </w:tc>
        <w:tc>
          <w:tcPr>
            <w:tcW w:w="2022" w:type="dxa"/>
            <w:vAlign w:val="top"/>
          </w:tcPr>
          <w:p>
            <w:pPr>
              <w:pStyle w:val="TableText"/>
              <w:ind w:left="807"/>
              <w:spacing w:before="29" w:line="218" w:lineRule="auto"/>
              <w:rPr/>
            </w:pPr>
            <w:r>
              <w:rPr>
                <w:spacing w:val="4"/>
              </w:rPr>
              <w:t>农村</w:t>
            </w:r>
          </w:p>
        </w:tc>
      </w:tr>
      <w:tr>
        <w:trPr>
          <w:trHeight w:val="277" w:hRule="atLeast"/>
        </w:trPr>
        <w:tc>
          <w:tcPr>
            <w:tcW w:w="2126" w:type="dxa"/>
            <w:vAlign w:val="top"/>
            <w:vMerge w:val="continue"/>
            <w:tcBorders>
              <w:top w:val="nil"/>
            </w:tcBorders>
          </w:tcPr>
          <w:p>
            <w:pPr>
              <w:rPr>
                <w:rFonts w:ascii="Arial"/>
                <w:sz w:val="21"/>
              </w:rPr>
            </w:pPr>
            <w:r/>
          </w:p>
        </w:tc>
        <w:tc>
          <w:tcPr>
            <w:tcW w:w="4368" w:type="dxa"/>
            <w:vAlign w:val="top"/>
          </w:tcPr>
          <w:p>
            <w:pPr>
              <w:pStyle w:val="TableText"/>
              <w:ind w:left="1142"/>
              <w:spacing w:before="32" w:line="216" w:lineRule="auto"/>
              <w:rPr/>
            </w:pPr>
            <w:r>
              <w:rPr>
                <w:spacing w:val="7"/>
              </w:rPr>
              <w:t>人口数（城市选项时）</w:t>
            </w:r>
          </w:p>
        </w:tc>
        <w:tc>
          <w:tcPr>
            <w:tcW w:w="2022" w:type="dxa"/>
            <w:vAlign w:val="top"/>
          </w:tcPr>
          <w:p>
            <w:pPr>
              <w:ind w:left="979"/>
              <w:spacing w:before="64"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277" w:hRule="atLeast"/>
        </w:trPr>
        <w:tc>
          <w:tcPr>
            <w:tcW w:w="6494" w:type="dxa"/>
            <w:vAlign w:val="top"/>
            <w:gridSpan w:val="2"/>
          </w:tcPr>
          <w:p>
            <w:pPr>
              <w:pStyle w:val="TableText"/>
              <w:ind w:left="2626"/>
              <w:spacing w:before="34" w:line="215" w:lineRule="auto"/>
              <w:rPr/>
            </w:pPr>
            <w:r>
              <w:rPr>
                <w:spacing w:val="7"/>
              </w:rPr>
              <w:t>最高环境温度</w:t>
            </w:r>
          </w:p>
        </w:tc>
        <w:tc>
          <w:tcPr>
            <w:tcW w:w="2022" w:type="dxa"/>
            <w:vAlign w:val="top"/>
          </w:tcPr>
          <w:p>
            <w:pPr>
              <w:ind w:left="72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36.3℃</w:t>
            </w:r>
          </w:p>
        </w:tc>
      </w:tr>
      <w:tr>
        <w:trPr>
          <w:trHeight w:val="277" w:hRule="atLeast"/>
        </w:trPr>
        <w:tc>
          <w:tcPr>
            <w:tcW w:w="6494" w:type="dxa"/>
            <w:vAlign w:val="top"/>
            <w:gridSpan w:val="2"/>
          </w:tcPr>
          <w:p>
            <w:pPr>
              <w:pStyle w:val="TableText"/>
              <w:ind w:left="2626"/>
              <w:spacing w:before="32" w:line="216" w:lineRule="auto"/>
              <w:rPr/>
            </w:pPr>
            <w:r>
              <w:rPr>
                <w:spacing w:val="7"/>
              </w:rPr>
              <w:t>最低环境温度</w:t>
            </w:r>
          </w:p>
        </w:tc>
        <w:tc>
          <w:tcPr>
            <w:tcW w:w="2022" w:type="dxa"/>
            <w:vAlign w:val="top"/>
          </w:tcPr>
          <w:p>
            <w:pPr>
              <w:ind w:left="690"/>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-36.8℃</w:t>
            </w:r>
          </w:p>
        </w:tc>
      </w:tr>
      <w:tr>
        <w:trPr>
          <w:trHeight w:val="277" w:hRule="atLeast"/>
        </w:trPr>
        <w:tc>
          <w:tcPr>
            <w:tcW w:w="6494" w:type="dxa"/>
            <w:vAlign w:val="top"/>
            <w:gridSpan w:val="2"/>
          </w:tcPr>
          <w:p>
            <w:pPr>
              <w:pStyle w:val="TableText"/>
              <w:ind w:left="2624"/>
              <w:spacing w:before="34" w:line="215" w:lineRule="auto"/>
              <w:rPr/>
            </w:pPr>
            <w:r>
              <w:rPr>
                <w:spacing w:val="8"/>
              </w:rPr>
              <w:t>土地利用类型</w:t>
            </w:r>
          </w:p>
        </w:tc>
        <w:tc>
          <w:tcPr>
            <w:tcW w:w="2022" w:type="dxa"/>
            <w:vAlign w:val="top"/>
          </w:tcPr>
          <w:p>
            <w:pPr>
              <w:pStyle w:val="TableText"/>
              <w:ind w:left="809"/>
              <w:spacing w:before="34" w:line="215" w:lineRule="auto"/>
              <w:rPr/>
            </w:pPr>
            <w:r>
              <w:rPr>
                <w:spacing w:val="3"/>
              </w:rPr>
              <w:t>草地</w:t>
            </w:r>
          </w:p>
        </w:tc>
      </w:tr>
      <w:tr>
        <w:trPr>
          <w:trHeight w:val="277" w:hRule="atLeast"/>
        </w:trPr>
        <w:tc>
          <w:tcPr>
            <w:tcW w:w="6494" w:type="dxa"/>
            <w:vAlign w:val="top"/>
            <w:gridSpan w:val="2"/>
          </w:tcPr>
          <w:p>
            <w:pPr>
              <w:pStyle w:val="TableText"/>
              <w:ind w:left="2639"/>
              <w:spacing w:before="35" w:line="214" w:lineRule="auto"/>
              <w:rPr/>
            </w:pPr>
            <w:r>
              <w:rPr>
                <w:spacing w:val="5"/>
              </w:rPr>
              <w:t>区域湿度条件</w:t>
            </w:r>
          </w:p>
        </w:tc>
        <w:tc>
          <w:tcPr>
            <w:tcW w:w="2022" w:type="dxa"/>
            <w:vAlign w:val="top"/>
          </w:tcPr>
          <w:p>
            <w:pPr>
              <w:pStyle w:val="TableText"/>
              <w:ind w:left="406"/>
              <w:spacing w:before="35" w:line="214" w:lineRule="auto"/>
              <w:rPr/>
            </w:pPr>
            <w:r>
              <w:rPr>
                <w:spacing w:val="4"/>
              </w:rPr>
              <w:t>中等湿度气候</w:t>
            </w:r>
          </w:p>
        </w:tc>
      </w:tr>
      <w:tr>
        <w:trPr>
          <w:trHeight w:val="277" w:hRule="atLeast"/>
        </w:trPr>
        <w:tc>
          <w:tcPr>
            <w:tcW w:w="2126" w:type="dxa"/>
            <w:vAlign w:val="top"/>
            <w:vMerge w:val="restart"/>
            <w:tcBorders>
              <w:bottom w:val="nil"/>
            </w:tcBorders>
          </w:tcPr>
          <w:p>
            <w:pPr>
              <w:pStyle w:val="TableText"/>
              <w:ind w:left="231"/>
              <w:spacing w:before="175" w:line="227" w:lineRule="auto"/>
              <w:rPr/>
            </w:pPr>
            <w:r>
              <w:rPr>
                <w:spacing w:val="8"/>
              </w:rPr>
              <w:t>是否考虑地形条件</w:t>
            </w:r>
          </w:p>
        </w:tc>
        <w:tc>
          <w:tcPr>
            <w:tcW w:w="4368" w:type="dxa"/>
            <w:vAlign w:val="top"/>
          </w:tcPr>
          <w:p>
            <w:pPr>
              <w:pStyle w:val="TableText"/>
              <w:ind w:left="1769"/>
              <w:spacing w:before="34" w:line="215" w:lineRule="auto"/>
              <w:rPr/>
            </w:pPr>
            <w:r>
              <w:rPr>
                <w:spacing w:val="7"/>
              </w:rPr>
              <w:t>考虑地形</w:t>
            </w:r>
          </w:p>
        </w:tc>
        <w:tc>
          <w:tcPr>
            <w:tcW w:w="2022" w:type="dxa"/>
            <w:vAlign w:val="top"/>
          </w:tcPr>
          <w:p>
            <w:pPr>
              <w:pStyle w:val="TableText"/>
              <w:ind w:left="501"/>
              <w:spacing w:before="34" w:line="215" w:lineRule="auto"/>
              <w:rPr/>
            </w:pPr>
            <w:r>
              <w:rPr>
                <w:rFonts w:ascii="MS UI Gothic" w:hAnsi="MS UI Gothic" w:eastAsia="MS UI Gothic" w:cs="MS UI Gothic"/>
                <w:spacing w:val="-2"/>
              </w:rPr>
              <w:t>☑</w:t>
            </w:r>
            <w:r>
              <w:rPr>
                <w:spacing w:val="-2"/>
              </w:rPr>
              <w:t>是</w:t>
            </w:r>
            <w:r>
              <w:rPr>
                <w:spacing w:val="20"/>
              </w:rPr>
              <w:t xml:space="preserve">  </w:t>
            </w:r>
            <w:r>
              <w:rPr>
                <w:spacing w:val="-2"/>
              </w:rPr>
              <w:t>□否</w:t>
            </w:r>
          </w:p>
        </w:tc>
      </w:tr>
      <w:tr>
        <w:trPr>
          <w:trHeight w:val="277" w:hRule="atLeast"/>
        </w:trPr>
        <w:tc>
          <w:tcPr>
            <w:tcW w:w="2126" w:type="dxa"/>
            <w:vAlign w:val="top"/>
            <w:vMerge w:val="continue"/>
            <w:tcBorders>
              <w:top w:val="nil"/>
            </w:tcBorders>
          </w:tcPr>
          <w:p>
            <w:pPr>
              <w:rPr>
                <w:rFonts w:ascii="Arial"/>
                <w:sz w:val="21"/>
              </w:rPr>
            </w:pPr>
            <w:r/>
          </w:p>
        </w:tc>
        <w:tc>
          <w:tcPr>
            <w:tcW w:w="4368" w:type="dxa"/>
            <w:vAlign w:val="top"/>
          </w:tcPr>
          <w:p>
            <w:pPr>
              <w:pStyle w:val="TableText"/>
              <w:ind w:left="1344"/>
              <w:spacing w:before="35" w:line="214" w:lineRule="auto"/>
              <w:rPr>
                <w:rFonts w:ascii="Times New Roman" w:hAnsi="Times New Roman" w:eastAsia="Times New Roman" w:cs="Times New Roman"/>
              </w:rPr>
            </w:pPr>
            <w:r>
              <w:rPr>
                <w:spacing w:val="7"/>
              </w:rPr>
              <w:t>地形数据分别率</w:t>
            </w:r>
            <w:r>
              <w:rPr>
                <w:rFonts w:ascii="Times New Roman" w:hAnsi="Times New Roman" w:eastAsia="Times New Roman" w:cs="Times New Roman"/>
                <w:spacing w:val="7"/>
              </w:rPr>
              <w:t>/m</w:t>
            </w:r>
          </w:p>
        </w:tc>
        <w:tc>
          <w:tcPr>
            <w:tcW w:w="2022" w:type="dxa"/>
            <w:vAlign w:val="top"/>
          </w:tcPr>
          <w:p>
            <w:pPr>
              <w:ind w:left="91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r>
      <w:tr>
        <w:trPr>
          <w:trHeight w:val="277" w:hRule="atLeast"/>
        </w:trPr>
        <w:tc>
          <w:tcPr>
            <w:tcW w:w="2126" w:type="dxa"/>
            <w:vAlign w:val="top"/>
            <w:vMerge w:val="restart"/>
            <w:tcBorders>
              <w:bottom w:val="nil"/>
            </w:tcBorders>
          </w:tcPr>
          <w:p>
            <w:pPr>
              <w:spacing w:line="250" w:lineRule="auto"/>
              <w:rPr>
                <w:rFonts w:ascii="Arial"/>
                <w:sz w:val="21"/>
              </w:rPr>
            </w:pPr>
            <w:r/>
          </w:p>
          <w:p>
            <w:pPr>
              <w:pStyle w:val="TableText"/>
              <w:ind w:left="231"/>
              <w:spacing w:before="65" w:line="227" w:lineRule="auto"/>
              <w:rPr/>
            </w:pPr>
            <w:r>
              <w:rPr>
                <w:spacing w:val="8"/>
              </w:rPr>
              <w:t>是否考虑岸线熏烟</w:t>
            </w:r>
          </w:p>
        </w:tc>
        <w:tc>
          <w:tcPr>
            <w:tcW w:w="4368" w:type="dxa"/>
            <w:vAlign w:val="top"/>
          </w:tcPr>
          <w:p>
            <w:pPr>
              <w:pStyle w:val="TableText"/>
              <w:ind w:left="1560"/>
              <w:spacing w:before="36" w:line="213" w:lineRule="auto"/>
              <w:rPr/>
            </w:pPr>
            <w:r>
              <w:rPr>
                <w:spacing w:val="8"/>
              </w:rPr>
              <w:t>考虑岸线熏烟</w:t>
            </w:r>
          </w:p>
        </w:tc>
        <w:tc>
          <w:tcPr>
            <w:tcW w:w="2022" w:type="dxa"/>
            <w:vAlign w:val="top"/>
          </w:tcPr>
          <w:p>
            <w:pPr>
              <w:pStyle w:val="TableText"/>
              <w:ind w:left="514"/>
              <w:spacing w:before="36" w:line="213" w:lineRule="auto"/>
              <w:rPr/>
            </w:pPr>
            <w:r>
              <w:rPr>
                <w:spacing w:val="-6"/>
              </w:rPr>
              <w:t>□是</w:t>
            </w:r>
            <w:r>
              <w:rPr>
                <w:spacing w:val="21"/>
              </w:rPr>
              <w:t xml:space="preserve">  </w:t>
            </w:r>
            <w:r>
              <w:rPr>
                <w:spacing w:val="-6"/>
              </w:rPr>
              <w:t>□否</w:t>
            </w:r>
          </w:p>
        </w:tc>
      </w:tr>
      <w:tr>
        <w:trPr>
          <w:trHeight w:val="277" w:hRule="atLeast"/>
        </w:trPr>
        <w:tc>
          <w:tcPr>
            <w:tcW w:w="2126" w:type="dxa"/>
            <w:vAlign w:val="top"/>
            <w:vMerge w:val="continue"/>
            <w:tcBorders>
              <w:top w:val="nil"/>
              <w:bottom w:val="nil"/>
            </w:tcBorders>
          </w:tcPr>
          <w:p>
            <w:pPr>
              <w:rPr>
                <w:rFonts w:ascii="Arial"/>
                <w:sz w:val="21"/>
              </w:rPr>
            </w:pPr>
            <w:r/>
          </w:p>
        </w:tc>
        <w:tc>
          <w:tcPr>
            <w:tcW w:w="4368" w:type="dxa"/>
            <w:vAlign w:val="top"/>
          </w:tcPr>
          <w:p>
            <w:pPr>
              <w:pStyle w:val="TableText"/>
              <w:ind w:left="1606"/>
              <w:spacing w:before="35" w:line="214" w:lineRule="auto"/>
              <w:rPr>
                <w:rFonts w:ascii="Times New Roman" w:hAnsi="Times New Roman" w:eastAsia="Times New Roman" w:cs="Times New Roman"/>
              </w:rPr>
            </w:pPr>
            <w:r>
              <w:rPr>
                <w:spacing w:val="9"/>
              </w:rPr>
              <w:t>岸线距离</w:t>
            </w:r>
            <w:r>
              <w:rPr>
                <w:rFonts w:ascii="Times New Roman" w:hAnsi="Times New Roman" w:eastAsia="Times New Roman" w:cs="Times New Roman"/>
                <w:spacing w:val="9"/>
              </w:rPr>
              <w:t>/</w:t>
            </w:r>
            <w:r>
              <w:rPr>
                <w:rFonts w:ascii="Times New Roman" w:hAnsi="Times New Roman" w:eastAsia="Times New Roman" w:cs="Times New Roman"/>
              </w:rPr>
              <w:t>km</w:t>
            </w:r>
          </w:p>
        </w:tc>
        <w:tc>
          <w:tcPr>
            <w:tcW w:w="2022" w:type="dxa"/>
            <w:vAlign w:val="top"/>
          </w:tcPr>
          <w:p>
            <w:pPr>
              <w:ind w:left="979"/>
              <w:spacing w:before="6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282" w:hRule="atLeast"/>
        </w:trPr>
        <w:tc>
          <w:tcPr>
            <w:tcW w:w="2126" w:type="dxa"/>
            <w:vAlign w:val="top"/>
            <w:vMerge w:val="continue"/>
            <w:tcBorders>
              <w:top w:val="nil"/>
            </w:tcBorders>
          </w:tcPr>
          <w:p>
            <w:pPr>
              <w:rPr>
                <w:rFonts w:ascii="Arial"/>
                <w:sz w:val="21"/>
              </w:rPr>
            </w:pPr>
            <w:r/>
          </w:p>
        </w:tc>
        <w:tc>
          <w:tcPr>
            <w:tcW w:w="4368" w:type="dxa"/>
            <w:vAlign w:val="top"/>
          </w:tcPr>
          <w:p>
            <w:pPr>
              <w:pStyle w:val="TableText"/>
              <w:ind w:left="1668"/>
              <w:spacing w:before="35" w:line="218" w:lineRule="auto"/>
              <w:rPr>
                <w:rFonts w:ascii="Times New Roman" w:hAnsi="Times New Roman" w:eastAsia="Times New Roman" w:cs="Times New Roman"/>
              </w:rPr>
            </w:pPr>
            <w:r>
              <w:rPr>
                <w:spacing w:val="5"/>
              </w:rPr>
              <w:t>岸线方向</w:t>
            </w:r>
            <w:r>
              <w:rPr>
                <w:rFonts w:ascii="Times New Roman" w:hAnsi="Times New Roman" w:eastAsia="Times New Roman" w:cs="Times New Roman"/>
                <w:spacing w:val="5"/>
              </w:rPr>
              <w:t>//°</w:t>
            </w:r>
          </w:p>
        </w:tc>
        <w:tc>
          <w:tcPr>
            <w:tcW w:w="2022" w:type="dxa"/>
            <w:vAlign w:val="top"/>
          </w:tcPr>
          <w:p>
            <w:pPr>
              <w:ind w:left="979"/>
              <w:spacing w:before="6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bl>
    <w:p>
      <w:pPr>
        <w:ind w:left="523"/>
        <w:spacing w:before="194" w:line="220" w:lineRule="auto"/>
        <w:rPr>
          <w:rFonts w:ascii="SimSun" w:hAnsi="SimSun" w:eastAsia="SimSun" w:cs="SimSun"/>
          <w:sz w:val="24"/>
          <w:szCs w:val="24"/>
        </w:rPr>
      </w:pP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、预测因子</w:t>
      </w:r>
    </w:p>
    <w:p>
      <w:pPr>
        <w:ind w:left="6" w:firstLine="492"/>
        <w:spacing w:before="213" w:line="381" w:lineRule="auto"/>
        <w:rPr>
          <w:rFonts w:ascii="SimSun" w:hAnsi="SimSun" w:eastAsia="SimSun" w:cs="SimSun"/>
          <w:sz w:val="24"/>
          <w:szCs w:val="24"/>
        </w:rPr>
      </w:pPr>
      <w:r>
        <w:rPr>
          <w:rFonts w:ascii="SimSun" w:hAnsi="SimSun" w:eastAsia="SimSun" w:cs="SimSun"/>
          <w:sz w:val="24"/>
          <w:szCs w:val="24"/>
          <w:spacing w:val="-7"/>
        </w:rPr>
        <w:t>通过对项目进行工程分析，主要大气污染物</w:t>
      </w:r>
      <w:r>
        <w:rPr>
          <w:rFonts w:ascii="SimSun" w:hAnsi="SimSun" w:eastAsia="SimSun" w:cs="SimSun"/>
          <w:sz w:val="24"/>
          <w:szCs w:val="24"/>
          <w:spacing w:val="-8"/>
        </w:rPr>
        <w:t>排放来自各环节产生的</w:t>
      </w:r>
      <w:r>
        <w:rPr>
          <w:rFonts w:ascii="SimSun" w:hAnsi="SimSun" w:eastAsia="SimSun" w:cs="SimSun"/>
          <w:sz w:val="24"/>
          <w:szCs w:val="24"/>
          <w:spacing w:val="-61"/>
        </w:rPr>
        <w:t xml:space="preserve"> </w:t>
      </w:r>
      <w:r>
        <w:rPr>
          <w:rFonts w:ascii="Times New Roman" w:hAnsi="Times New Roman" w:eastAsia="Times New Roman" w:cs="Times New Roman"/>
          <w:sz w:val="24"/>
          <w:szCs w:val="24"/>
          <w:spacing w:val="-8"/>
        </w:rPr>
        <w:t>PM</w:t>
      </w:r>
      <w:r>
        <w:rPr>
          <w:rFonts w:ascii="Times New Roman" w:hAnsi="Times New Roman" w:eastAsia="Times New Roman" w:cs="Times New Roman"/>
          <w:sz w:val="15"/>
          <w:szCs w:val="15"/>
          <w:spacing w:val="-8"/>
          <w:position w:val="-1"/>
        </w:rPr>
        <w:t>10</w:t>
      </w:r>
      <w:r>
        <w:rPr>
          <w:rFonts w:ascii="SimSun" w:hAnsi="SimSun" w:eastAsia="SimSun" w:cs="SimSun"/>
          <w:sz w:val="24"/>
          <w:szCs w:val="24"/>
          <w:spacing w:val="-8"/>
          <w:position w:val="-1"/>
        </w:rPr>
        <w:t>、</w:t>
      </w:r>
      <w:r>
        <w:rPr>
          <w:rFonts w:ascii="Times New Roman" w:hAnsi="Times New Roman" w:eastAsia="Times New Roman" w:cs="Times New Roman"/>
          <w:sz w:val="24"/>
          <w:szCs w:val="24"/>
          <w:spacing w:val="-8"/>
        </w:rPr>
        <w:t>SO</w:t>
      </w:r>
      <w:r>
        <w:rPr>
          <w:rFonts w:ascii="Times New Roman" w:hAnsi="Times New Roman" w:eastAsia="Times New Roman" w:cs="Times New Roman"/>
          <w:sz w:val="15"/>
          <w:szCs w:val="15"/>
          <w:spacing w:val="-8"/>
          <w:position w:val="-1"/>
        </w:rPr>
        <w:t>2</w:t>
      </w:r>
      <w:r>
        <w:rPr>
          <w:rFonts w:ascii="SimSun" w:hAnsi="SimSun" w:eastAsia="SimSun" w:cs="SimSun"/>
          <w:sz w:val="24"/>
          <w:szCs w:val="24"/>
          <w:spacing w:val="-8"/>
        </w:rPr>
        <w:t>、</w:t>
      </w:r>
      <w:r>
        <w:rPr>
          <w:rFonts w:ascii="SimSun" w:hAnsi="SimSun" w:eastAsia="SimSun" w:cs="SimSun"/>
          <w:sz w:val="24"/>
          <w:szCs w:val="24"/>
        </w:rPr>
        <w:t xml:space="preserve"> </w:t>
      </w:r>
      <w:r>
        <w:rPr>
          <w:rFonts w:ascii="Times New Roman" w:hAnsi="Times New Roman" w:eastAsia="Times New Roman" w:cs="Times New Roman"/>
          <w:sz w:val="24"/>
          <w:szCs w:val="24"/>
          <w:spacing w:val="-5"/>
        </w:rPr>
        <w:t>NO</w:t>
      </w:r>
      <w:r>
        <w:rPr>
          <w:rFonts w:ascii="Times New Roman" w:hAnsi="Times New Roman" w:eastAsia="Times New Roman" w:cs="Times New Roman"/>
          <w:sz w:val="15"/>
          <w:szCs w:val="15"/>
          <w:spacing w:val="-5"/>
          <w:position w:val="-1"/>
        </w:rPr>
        <w:t>x</w:t>
      </w:r>
      <w:r>
        <w:rPr>
          <w:rFonts w:ascii="Times New Roman" w:hAnsi="Times New Roman" w:eastAsia="Times New Roman" w:cs="Times New Roman"/>
          <w:sz w:val="15"/>
          <w:szCs w:val="15"/>
          <w:spacing w:val="-4"/>
          <w:position w:val="-1"/>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NH</w:t>
      </w:r>
      <w:r>
        <w:rPr>
          <w:rFonts w:ascii="Times New Roman" w:hAnsi="Times New Roman" w:eastAsia="Times New Roman" w:cs="Times New Roman"/>
          <w:sz w:val="15"/>
          <w:szCs w:val="15"/>
          <w:spacing w:val="-5"/>
          <w:position w:val="-1"/>
        </w:rPr>
        <w:t>3</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H</w:t>
      </w:r>
      <w:r>
        <w:rPr>
          <w:rFonts w:ascii="Times New Roman" w:hAnsi="Times New Roman" w:eastAsia="Times New Roman" w:cs="Times New Roman"/>
          <w:sz w:val="15"/>
          <w:szCs w:val="15"/>
          <w:spacing w:val="-5"/>
          <w:position w:val="-1"/>
        </w:rPr>
        <w:t>2</w:t>
      </w:r>
      <w:r>
        <w:rPr>
          <w:rFonts w:ascii="Times New Roman" w:hAnsi="Times New Roman" w:eastAsia="Times New Roman" w:cs="Times New Roman"/>
          <w:sz w:val="15"/>
          <w:szCs w:val="15"/>
          <w:spacing w:val="-21"/>
          <w:position w:val="-1"/>
        </w:rPr>
        <w:t xml:space="preserve"> </w:t>
      </w:r>
      <w:r>
        <w:rPr>
          <w:rFonts w:ascii="Times New Roman" w:hAnsi="Times New Roman" w:eastAsia="Times New Roman" w:cs="Times New Roman"/>
          <w:sz w:val="24"/>
          <w:szCs w:val="24"/>
          <w:spacing w:val="-5"/>
        </w:rPr>
        <w:t>S</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TSP </w:t>
      </w:r>
      <w:r>
        <w:rPr>
          <w:rFonts w:ascii="SimSun" w:hAnsi="SimSun" w:eastAsia="SimSun" w:cs="SimSun"/>
          <w:sz w:val="24"/>
          <w:szCs w:val="24"/>
          <w:spacing w:val="-5"/>
        </w:rPr>
        <w:t>等，</w:t>
      </w:r>
    </w:p>
    <w:p>
      <w:pPr>
        <w:ind w:left="517"/>
        <w:spacing w:line="220" w:lineRule="auto"/>
        <w:rPr>
          <w:rFonts w:ascii="SimSun" w:hAnsi="SimSun" w:eastAsia="SimSun" w:cs="SimSun"/>
          <w:sz w:val="24"/>
          <w:szCs w:val="24"/>
        </w:rPr>
      </w:pP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、预测源强</w:t>
      </w:r>
    </w:p>
    <w:p>
      <w:pPr>
        <w:ind w:left="501"/>
        <w:spacing w:before="213" w:line="218" w:lineRule="auto"/>
        <w:rPr>
          <w:rFonts w:ascii="SimSun" w:hAnsi="SimSun" w:eastAsia="SimSun" w:cs="SimSun"/>
          <w:sz w:val="24"/>
          <w:szCs w:val="24"/>
        </w:rPr>
      </w:pPr>
      <w:r>
        <w:rPr>
          <w:rFonts w:ascii="SimSun" w:hAnsi="SimSun" w:eastAsia="SimSun" w:cs="SimSun"/>
          <w:sz w:val="24"/>
          <w:szCs w:val="24"/>
          <w:spacing w:val="-2"/>
        </w:rPr>
        <w:t>大气环境评价等级计算污染源强详见表</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5.1-8</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5.1-9</w:t>
      </w:r>
      <w:r>
        <w:rPr>
          <w:rFonts w:ascii="SimSun" w:hAnsi="SimSun" w:eastAsia="SimSun" w:cs="SimSun"/>
          <w:sz w:val="24"/>
          <w:szCs w:val="24"/>
          <w:spacing w:val="-2"/>
        </w:rPr>
        <w:t>。</w:t>
      </w:r>
    </w:p>
    <w:p>
      <w:pPr>
        <w:spacing w:line="218" w:lineRule="auto"/>
        <w:sectPr>
          <w:headerReference w:type="default" r:id="rId207"/>
          <w:footerReference w:type="default" r:id="rId208"/>
          <w:pgSz w:w="11906" w:h="16839"/>
          <w:pgMar w:top="1567" w:right="1620" w:bottom="1811" w:left="1692" w:header="1221" w:footer="1128" w:gutter="0"/>
        </w:sectPr>
        <w:rPr>
          <w:rFonts w:ascii="SimSun" w:hAnsi="SimSun" w:eastAsia="SimSun" w:cs="SimSun"/>
          <w:sz w:val="24"/>
          <w:szCs w:val="24"/>
        </w:rPr>
      </w:pPr>
    </w:p>
    <w:p>
      <w:pPr>
        <w:pStyle w:val="BodyText"/>
        <w:spacing w:line="267" w:lineRule="auto"/>
        <w:rPr/>
      </w:pPr>
      <w:r>
        <w:pict>
          <v:shape id="_x0000_s746" style="position:absolute;margin-left:2.99001pt;margin-top:0.741699pt;mso-position-vertical-relative:text;mso-position-horizontal-relative:text;width:671.8pt;height:0.75pt;z-index:252001280;" fillcolor="#000000" filled="true" stroked="false" coordsize="13435,15" coordorigin="0,0" path="m,l13435,0l13435,14l0,14l0,0xe"/>
        </w:pict>
      </w:r>
      <w:r/>
    </w:p>
    <w:p>
      <w:pPr>
        <w:ind w:left="4278"/>
        <w:spacing w:before="78"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2"/>
        </w:rPr>
        <w:t>5.1-8      </w:t>
      </w:r>
      <w:r>
        <w:rPr>
          <w:rFonts w:ascii="SimSun" w:hAnsi="SimSun" w:eastAsia="SimSun" w:cs="SimSun"/>
          <w:sz w:val="24"/>
          <w:szCs w:val="24"/>
          <w:b/>
          <w:bCs/>
          <w:spacing w:val="-2"/>
        </w:rPr>
        <w:t>项目大气污染源参数一览表（点源）</w:t>
      </w:r>
    </w:p>
    <w:p>
      <w:pPr>
        <w:spacing w:line="19" w:lineRule="exact"/>
        <w:rPr/>
      </w:pPr>
      <w:r/>
    </w:p>
    <w:tbl>
      <w:tblPr>
        <w:tblStyle w:val="TableNormal"/>
        <w:tblW w:w="135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93"/>
        <w:gridCol w:w="1049"/>
        <w:gridCol w:w="1322"/>
        <w:gridCol w:w="1501"/>
        <w:gridCol w:w="1003"/>
        <w:gridCol w:w="1322"/>
        <w:gridCol w:w="1198"/>
        <w:gridCol w:w="1276"/>
        <w:gridCol w:w="897"/>
        <w:gridCol w:w="827"/>
        <w:gridCol w:w="751"/>
        <w:gridCol w:w="803"/>
        <w:gridCol w:w="707"/>
      </w:tblGrid>
      <w:tr>
        <w:trPr>
          <w:trHeight w:val="354" w:hRule="atLeast"/>
        </w:trPr>
        <w:tc>
          <w:tcPr>
            <w:tcW w:w="893" w:type="dxa"/>
            <w:vAlign w:val="top"/>
            <w:vMerge w:val="restart"/>
            <w:tcBorders>
              <w:bottom w:val="nil"/>
            </w:tcBorders>
          </w:tcPr>
          <w:p>
            <w:pPr>
              <w:spacing w:line="266" w:lineRule="auto"/>
              <w:rPr>
                <w:rFonts w:ascii="Arial"/>
                <w:sz w:val="21"/>
              </w:rPr>
            </w:pPr>
            <w:r/>
          </w:p>
          <w:p>
            <w:pPr>
              <w:pStyle w:val="TableText"/>
              <w:ind w:left="242"/>
              <w:spacing w:before="65" w:line="228" w:lineRule="auto"/>
              <w:rPr/>
            </w:pPr>
            <w:r>
              <w:rPr>
                <w:spacing w:val="3"/>
              </w:rPr>
              <w:t>编号</w:t>
            </w:r>
          </w:p>
        </w:tc>
        <w:tc>
          <w:tcPr>
            <w:tcW w:w="1049" w:type="dxa"/>
            <w:vAlign w:val="top"/>
            <w:vMerge w:val="restart"/>
            <w:tcBorders>
              <w:bottom w:val="nil"/>
            </w:tcBorders>
          </w:tcPr>
          <w:p>
            <w:pPr>
              <w:spacing w:line="266" w:lineRule="auto"/>
              <w:rPr>
                <w:rFonts w:ascii="Arial"/>
                <w:sz w:val="21"/>
              </w:rPr>
            </w:pPr>
            <w:r/>
          </w:p>
          <w:p>
            <w:pPr>
              <w:pStyle w:val="TableText"/>
              <w:ind w:left="320"/>
              <w:spacing w:before="65" w:line="230" w:lineRule="auto"/>
              <w:rPr/>
            </w:pPr>
            <w:r>
              <w:rPr>
                <w:spacing w:val="3"/>
              </w:rPr>
              <w:t>名称</w:t>
            </w:r>
          </w:p>
        </w:tc>
        <w:tc>
          <w:tcPr>
            <w:tcW w:w="2823" w:type="dxa"/>
            <w:vAlign w:val="top"/>
            <w:gridSpan w:val="2"/>
          </w:tcPr>
          <w:p>
            <w:pPr>
              <w:pStyle w:val="TableText"/>
              <w:ind w:left="360"/>
              <w:spacing w:before="71" w:line="228" w:lineRule="auto"/>
              <w:rPr>
                <w:rFonts w:ascii="Times New Roman" w:hAnsi="Times New Roman" w:eastAsia="Times New Roman" w:cs="Times New Roman"/>
              </w:rPr>
            </w:pPr>
            <w:r>
              <w:rPr>
                <w:spacing w:val="8"/>
              </w:rPr>
              <w:t>排气筒底座中心坐标</w:t>
            </w:r>
            <w:r>
              <w:rPr>
                <w:rFonts w:ascii="Times New Roman" w:hAnsi="Times New Roman" w:eastAsia="Times New Roman" w:cs="Times New Roman"/>
                <w:spacing w:val="8"/>
              </w:rPr>
              <w:t>/m</w:t>
            </w:r>
          </w:p>
        </w:tc>
        <w:tc>
          <w:tcPr>
            <w:tcW w:w="1003" w:type="dxa"/>
            <w:vAlign w:val="top"/>
            <w:vMerge w:val="restart"/>
            <w:tcBorders>
              <w:bottom w:val="nil"/>
            </w:tcBorders>
          </w:tcPr>
          <w:p>
            <w:pPr>
              <w:pStyle w:val="TableText"/>
              <w:ind w:left="191"/>
              <w:spacing w:before="197" w:line="228" w:lineRule="auto"/>
              <w:rPr/>
            </w:pPr>
            <w:r>
              <w:rPr>
                <w:spacing w:val="7"/>
              </w:rPr>
              <w:t>废气量</w:t>
            </w:r>
          </w:p>
          <w:p>
            <w:pPr>
              <w:pStyle w:val="TableText"/>
              <w:ind w:left="111"/>
              <w:spacing w:before="26"/>
              <w:rPr/>
            </w:pPr>
            <w:r>
              <w:rPr>
                <w:spacing w:val="1"/>
              </w:rPr>
              <w:t>（</w:t>
            </w:r>
            <w:r>
              <w:rPr>
                <w:rFonts w:ascii="Times New Roman" w:hAnsi="Times New Roman" w:eastAsia="Times New Roman" w:cs="Times New Roman"/>
                <w:spacing w:val="1"/>
              </w:rPr>
              <w:t>m</w:t>
            </w:r>
            <w:r>
              <w:rPr>
                <w:rFonts w:ascii="Times New Roman" w:hAnsi="Times New Roman" w:eastAsia="Times New Roman" w:cs="Times New Roman"/>
                <w:sz w:val="13"/>
                <w:szCs w:val="13"/>
                <w:spacing w:val="1"/>
                <w:position w:val="6"/>
              </w:rPr>
              <w:t>3</w:t>
            </w:r>
            <w:r>
              <w:rPr>
                <w:rFonts w:ascii="Times New Roman" w:hAnsi="Times New Roman" w:eastAsia="Times New Roman" w:cs="Times New Roman"/>
                <w:spacing w:val="1"/>
              </w:rPr>
              <w:t>/h</w:t>
            </w:r>
            <w:r>
              <w:rPr>
                <w:spacing w:val="1"/>
              </w:rPr>
              <w:t>）</w:t>
            </w:r>
          </w:p>
        </w:tc>
        <w:tc>
          <w:tcPr>
            <w:tcW w:w="1322" w:type="dxa"/>
            <w:vAlign w:val="top"/>
            <w:vMerge w:val="restart"/>
            <w:tcBorders>
              <w:bottom w:val="nil"/>
            </w:tcBorders>
          </w:tcPr>
          <w:p>
            <w:pPr>
              <w:spacing w:line="267" w:lineRule="auto"/>
              <w:rPr>
                <w:rFonts w:ascii="Arial"/>
                <w:sz w:val="21"/>
              </w:rPr>
            </w:pPr>
            <w:r/>
          </w:p>
          <w:p>
            <w:pPr>
              <w:pStyle w:val="TableText"/>
              <w:ind w:left="143"/>
              <w:spacing w:before="65" w:line="228" w:lineRule="auto"/>
              <w:rPr/>
            </w:pPr>
            <w:r>
              <w:rPr>
                <w:spacing w:val="7"/>
              </w:rPr>
              <w:t>污染物名称</w:t>
            </w:r>
          </w:p>
        </w:tc>
        <w:tc>
          <w:tcPr>
            <w:tcW w:w="1198" w:type="dxa"/>
            <w:vAlign w:val="top"/>
            <w:vMerge w:val="restart"/>
            <w:tcBorders>
              <w:bottom w:val="nil"/>
            </w:tcBorders>
          </w:tcPr>
          <w:p>
            <w:pPr>
              <w:pStyle w:val="TableText"/>
              <w:ind w:left="185"/>
              <w:spacing w:before="197" w:line="228" w:lineRule="auto"/>
              <w:rPr/>
            </w:pPr>
            <w:r>
              <w:rPr>
                <w:spacing w:val="7"/>
              </w:rPr>
              <w:t>排放浓度</w:t>
            </w:r>
          </w:p>
          <w:p>
            <w:pPr>
              <w:pStyle w:val="TableText"/>
              <w:ind w:left="126"/>
              <w:spacing w:before="26" w:line="221" w:lineRule="auto"/>
              <w:rPr/>
            </w:pPr>
            <w:r>
              <w:rPr>
                <w:spacing w:val="3"/>
              </w:rPr>
              <w:t>（</w:t>
            </w:r>
            <w:r>
              <w:rPr>
                <w:rFonts w:ascii="Times New Roman" w:hAnsi="Times New Roman" w:eastAsia="Times New Roman" w:cs="Times New Roman"/>
              </w:rPr>
              <w:t>mg</w:t>
            </w:r>
            <w:r>
              <w:rPr>
                <w:rFonts w:ascii="Times New Roman" w:hAnsi="Times New Roman" w:eastAsia="Times New Roman" w:cs="Times New Roman"/>
                <w:spacing w:val="3"/>
              </w:rPr>
              <w:t>/m</w:t>
            </w:r>
            <w:r>
              <w:rPr>
                <w:rFonts w:ascii="Times New Roman" w:hAnsi="Times New Roman" w:eastAsia="Times New Roman" w:cs="Times New Roman"/>
                <w:sz w:val="13"/>
                <w:szCs w:val="13"/>
                <w:spacing w:val="3"/>
                <w:position w:val="6"/>
              </w:rPr>
              <w:t>3</w:t>
            </w:r>
            <w:r>
              <w:rPr>
                <w:spacing w:val="3"/>
              </w:rPr>
              <w:t>）</w:t>
            </w:r>
          </w:p>
        </w:tc>
        <w:tc>
          <w:tcPr>
            <w:tcW w:w="1276" w:type="dxa"/>
            <w:vAlign w:val="top"/>
            <w:vMerge w:val="restart"/>
            <w:tcBorders>
              <w:bottom w:val="nil"/>
            </w:tcBorders>
          </w:tcPr>
          <w:p>
            <w:pPr>
              <w:pStyle w:val="TableText"/>
              <w:ind w:left="225"/>
              <w:spacing w:before="196" w:line="228" w:lineRule="auto"/>
              <w:rPr/>
            </w:pPr>
            <w:r>
              <w:rPr>
                <w:spacing w:val="7"/>
              </w:rPr>
              <w:t>排放速率</w:t>
            </w:r>
          </w:p>
          <w:p>
            <w:pPr>
              <w:pStyle w:val="TableText"/>
              <w:ind w:left="260"/>
              <w:spacing w:before="27" w:line="221" w:lineRule="auto"/>
              <w:rPr/>
            </w:pPr>
            <w:r>
              <w:rPr>
                <w:spacing w:val="1"/>
              </w:rPr>
              <w:t>（</w:t>
            </w:r>
            <w:r>
              <w:rPr>
                <w:rFonts w:ascii="Times New Roman" w:hAnsi="Times New Roman" w:eastAsia="Times New Roman" w:cs="Times New Roman"/>
              </w:rPr>
              <w:t>kg</w:t>
            </w:r>
            <w:r>
              <w:rPr>
                <w:rFonts w:ascii="Times New Roman" w:hAnsi="Times New Roman" w:eastAsia="Times New Roman" w:cs="Times New Roman"/>
                <w:spacing w:val="1"/>
              </w:rPr>
              <w:t>/h</w:t>
            </w:r>
            <w:r>
              <w:rPr>
                <w:spacing w:val="1"/>
              </w:rPr>
              <w:t>）</w:t>
            </w:r>
          </w:p>
        </w:tc>
        <w:tc>
          <w:tcPr>
            <w:tcW w:w="2475" w:type="dxa"/>
            <w:vAlign w:val="top"/>
            <w:gridSpan w:val="3"/>
          </w:tcPr>
          <w:p>
            <w:pPr>
              <w:pStyle w:val="TableText"/>
              <w:ind w:left="718"/>
              <w:spacing w:before="71" w:line="228" w:lineRule="auto"/>
              <w:rPr/>
            </w:pPr>
            <w:r>
              <w:rPr>
                <w:spacing w:val="8"/>
              </w:rPr>
              <w:t>排放源参数</w:t>
            </w:r>
          </w:p>
        </w:tc>
        <w:tc>
          <w:tcPr>
            <w:tcW w:w="803" w:type="dxa"/>
            <w:vAlign w:val="top"/>
            <w:vMerge w:val="restart"/>
            <w:tcBorders>
              <w:bottom w:val="nil"/>
            </w:tcBorders>
          </w:tcPr>
          <w:p>
            <w:pPr>
              <w:pStyle w:val="TableText"/>
              <w:ind w:left="94"/>
              <w:spacing w:before="76" w:line="228" w:lineRule="auto"/>
              <w:rPr/>
            </w:pPr>
            <w:r>
              <w:rPr>
                <w:spacing w:val="6"/>
              </w:rPr>
              <w:t>年排放</w:t>
            </w:r>
          </w:p>
          <w:p>
            <w:pPr>
              <w:pStyle w:val="TableText"/>
              <w:ind w:left="99"/>
              <w:spacing w:before="24" w:line="228" w:lineRule="auto"/>
              <w:rPr/>
            </w:pPr>
            <w:r>
              <w:rPr>
                <w:spacing w:val="5"/>
              </w:rPr>
              <w:t>小时数</w:t>
            </w:r>
          </w:p>
          <w:p>
            <w:pPr>
              <w:ind w:left="319"/>
              <w:spacing w:before="42"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p>
        </w:tc>
        <w:tc>
          <w:tcPr>
            <w:tcW w:w="707" w:type="dxa"/>
            <w:vAlign w:val="top"/>
            <w:vMerge w:val="restart"/>
            <w:tcBorders>
              <w:bottom w:val="nil"/>
            </w:tcBorders>
          </w:tcPr>
          <w:p>
            <w:pPr>
              <w:pStyle w:val="TableText"/>
              <w:ind w:left="147"/>
              <w:spacing w:before="196" w:line="229" w:lineRule="auto"/>
              <w:rPr/>
            </w:pPr>
            <w:r>
              <w:rPr>
                <w:spacing w:val="4"/>
              </w:rPr>
              <w:t>排放</w:t>
            </w:r>
          </w:p>
          <w:p>
            <w:pPr>
              <w:pStyle w:val="TableText"/>
              <w:ind w:left="150"/>
              <w:spacing w:before="25" w:line="228" w:lineRule="auto"/>
              <w:rPr/>
            </w:pPr>
            <w:r>
              <w:rPr>
                <w:spacing w:val="3"/>
              </w:rPr>
              <w:t>工况</w:t>
            </w:r>
          </w:p>
        </w:tc>
      </w:tr>
      <w:tr>
        <w:trPr>
          <w:trHeight w:val="518" w:hRule="atLeast"/>
        </w:trPr>
        <w:tc>
          <w:tcPr>
            <w:tcW w:w="893" w:type="dxa"/>
            <w:vAlign w:val="top"/>
            <w:vMerge w:val="continue"/>
            <w:tcBorders>
              <w:top w:val="nil"/>
            </w:tcBorders>
          </w:tcPr>
          <w:p>
            <w:pPr>
              <w:rPr>
                <w:rFonts w:ascii="Arial"/>
                <w:sz w:val="21"/>
              </w:rPr>
            </w:pPr>
            <w:r/>
          </w:p>
        </w:tc>
        <w:tc>
          <w:tcPr>
            <w:tcW w:w="1049" w:type="dxa"/>
            <w:vAlign w:val="top"/>
            <w:vMerge w:val="continue"/>
            <w:tcBorders>
              <w:top w:val="nil"/>
            </w:tcBorders>
          </w:tcPr>
          <w:p>
            <w:pPr>
              <w:rPr>
                <w:rFonts w:ascii="Arial"/>
                <w:sz w:val="21"/>
              </w:rPr>
            </w:pPr>
            <w:r/>
          </w:p>
        </w:tc>
        <w:tc>
          <w:tcPr>
            <w:tcW w:w="1322" w:type="dxa"/>
            <w:vAlign w:val="top"/>
          </w:tcPr>
          <w:p>
            <w:pPr>
              <w:pStyle w:val="TableText"/>
              <w:ind w:left="455"/>
              <w:spacing w:before="152" w:line="228" w:lineRule="auto"/>
              <w:rPr/>
            </w:pPr>
            <w:r>
              <w:rPr>
                <w:spacing w:val="4"/>
              </w:rPr>
              <w:t>纬度</w:t>
            </w:r>
          </w:p>
        </w:tc>
        <w:tc>
          <w:tcPr>
            <w:tcW w:w="1501" w:type="dxa"/>
            <w:vAlign w:val="top"/>
          </w:tcPr>
          <w:p>
            <w:pPr>
              <w:pStyle w:val="TableText"/>
              <w:ind w:left="547"/>
              <w:spacing w:before="152" w:line="228" w:lineRule="auto"/>
              <w:rPr/>
            </w:pPr>
            <w:r>
              <w:rPr>
                <w:spacing w:val="3"/>
              </w:rPr>
              <w:t>经度</w:t>
            </w:r>
          </w:p>
        </w:tc>
        <w:tc>
          <w:tcPr>
            <w:tcW w:w="1003" w:type="dxa"/>
            <w:vAlign w:val="top"/>
            <w:vMerge w:val="continue"/>
            <w:tcBorders>
              <w:top w:val="nil"/>
            </w:tcBorders>
          </w:tcPr>
          <w:p>
            <w:pPr>
              <w:rPr>
                <w:rFonts w:ascii="Arial"/>
                <w:sz w:val="21"/>
              </w:rPr>
            </w:pPr>
            <w:r/>
          </w:p>
        </w:tc>
        <w:tc>
          <w:tcPr>
            <w:tcW w:w="1322" w:type="dxa"/>
            <w:vAlign w:val="top"/>
            <w:vMerge w:val="continue"/>
            <w:tcBorders>
              <w:top w:val="nil"/>
            </w:tcBorders>
          </w:tcPr>
          <w:p>
            <w:pPr>
              <w:rPr>
                <w:rFonts w:ascii="Arial"/>
                <w:sz w:val="21"/>
              </w:rPr>
            </w:pPr>
            <w:r/>
          </w:p>
        </w:tc>
        <w:tc>
          <w:tcPr>
            <w:tcW w:w="1198" w:type="dxa"/>
            <w:vAlign w:val="top"/>
            <w:vMerge w:val="continue"/>
            <w:tcBorders>
              <w:top w:val="nil"/>
            </w:tcBorders>
          </w:tcPr>
          <w:p>
            <w:pPr>
              <w:rPr>
                <w:rFonts w:ascii="Arial"/>
                <w:sz w:val="21"/>
              </w:rPr>
            </w:pPr>
            <w:r/>
          </w:p>
        </w:tc>
        <w:tc>
          <w:tcPr>
            <w:tcW w:w="1276" w:type="dxa"/>
            <w:vAlign w:val="top"/>
            <w:vMerge w:val="continue"/>
            <w:tcBorders>
              <w:top w:val="nil"/>
            </w:tcBorders>
          </w:tcPr>
          <w:p>
            <w:pPr>
              <w:rPr>
                <w:rFonts w:ascii="Arial"/>
                <w:sz w:val="21"/>
              </w:rPr>
            </w:pPr>
            <w:r/>
          </w:p>
        </w:tc>
        <w:tc>
          <w:tcPr>
            <w:tcW w:w="897" w:type="dxa"/>
            <w:vAlign w:val="top"/>
          </w:tcPr>
          <w:p>
            <w:pPr>
              <w:pStyle w:val="TableText"/>
              <w:ind w:left="141"/>
              <w:spacing w:before="151" w:line="228" w:lineRule="auto"/>
              <w:rPr>
                <w:rFonts w:ascii="Times New Roman" w:hAnsi="Times New Roman" w:eastAsia="Times New Roman" w:cs="Times New Roman"/>
              </w:rPr>
            </w:pPr>
            <w:r>
              <w:rPr>
                <w:spacing w:val="3"/>
              </w:rPr>
              <w:t>高度</w:t>
            </w:r>
            <w:r>
              <w:rPr>
                <w:rFonts w:ascii="Times New Roman" w:hAnsi="Times New Roman" w:eastAsia="Times New Roman" w:cs="Times New Roman"/>
                <w:spacing w:val="3"/>
              </w:rPr>
              <w:t>/m</w:t>
            </w:r>
          </w:p>
        </w:tc>
        <w:tc>
          <w:tcPr>
            <w:tcW w:w="827" w:type="dxa"/>
            <w:vAlign w:val="top"/>
          </w:tcPr>
          <w:p>
            <w:pPr>
              <w:pStyle w:val="TableText"/>
              <w:ind w:left="125"/>
              <w:spacing w:before="151" w:line="228" w:lineRule="auto"/>
              <w:rPr>
                <w:rFonts w:ascii="Times New Roman" w:hAnsi="Times New Roman" w:eastAsia="Times New Roman" w:cs="Times New Roman"/>
              </w:rPr>
            </w:pPr>
            <w:r>
              <w:rPr>
                <w:spacing w:val="-2"/>
              </w:rPr>
              <w:t>内径</w:t>
            </w:r>
            <w:r>
              <w:rPr>
                <w:rFonts w:ascii="Times New Roman" w:hAnsi="Times New Roman" w:eastAsia="Times New Roman" w:cs="Times New Roman"/>
                <w:spacing w:val="-2"/>
              </w:rPr>
              <w:t>/m</w:t>
            </w:r>
          </w:p>
        </w:tc>
        <w:tc>
          <w:tcPr>
            <w:tcW w:w="751" w:type="dxa"/>
            <w:vAlign w:val="top"/>
          </w:tcPr>
          <w:p>
            <w:pPr>
              <w:pStyle w:val="TableText"/>
              <w:ind w:left="174"/>
              <w:spacing w:before="32" w:line="228" w:lineRule="auto"/>
              <w:rPr/>
            </w:pPr>
            <w:r>
              <w:rPr>
                <w:spacing w:val="3"/>
              </w:rPr>
              <w:t>温度</w:t>
            </w:r>
          </w:p>
          <w:p>
            <w:pPr>
              <w:ind w:left="239"/>
              <w:spacing w:before="4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w:t>
            </w:r>
          </w:p>
        </w:tc>
        <w:tc>
          <w:tcPr>
            <w:tcW w:w="803" w:type="dxa"/>
            <w:vAlign w:val="top"/>
            <w:vMerge w:val="continue"/>
            <w:tcBorders>
              <w:top w:val="nil"/>
            </w:tcBorders>
          </w:tcPr>
          <w:p>
            <w:pPr>
              <w:rPr>
                <w:rFonts w:ascii="Arial"/>
                <w:sz w:val="21"/>
              </w:rPr>
            </w:pPr>
            <w:r/>
          </w:p>
        </w:tc>
        <w:tc>
          <w:tcPr>
            <w:tcW w:w="707" w:type="dxa"/>
            <w:vAlign w:val="top"/>
            <w:vMerge w:val="continue"/>
            <w:tcBorders>
              <w:top w:val="nil"/>
            </w:tcBorders>
          </w:tcPr>
          <w:p>
            <w:pPr>
              <w:rPr>
                <w:rFonts w:ascii="Arial"/>
                <w:sz w:val="21"/>
              </w:rPr>
            </w:pPr>
            <w:r/>
          </w:p>
        </w:tc>
      </w:tr>
      <w:tr>
        <w:trPr>
          <w:trHeight w:val="1093" w:hRule="atLeast"/>
        </w:trPr>
        <w:tc>
          <w:tcPr>
            <w:tcW w:w="893" w:type="dxa"/>
            <w:vAlign w:val="top"/>
          </w:tcPr>
          <w:p>
            <w:pPr>
              <w:spacing w:line="416" w:lineRule="auto"/>
              <w:rPr>
                <w:rFonts w:ascii="Arial"/>
                <w:sz w:val="21"/>
              </w:rPr>
            </w:pPr>
            <w:r/>
          </w:p>
          <w:p>
            <w:pPr>
              <w:ind w:left="138"/>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z w:val="20"/>
                <w:szCs w:val="20"/>
                <w:spacing w:val="8"/>
              </w:rPr>
              <w:t>001</w:t>
            </w:r>
          </w:p>
        </w:tc>
        <w:tc>
          <w:tcPr>
            <w:tcW w:w="1049" w:type="dxa"/>
            <w:vAlign w:val="top"/>
          </w:tcPr>
          <w:p>
            <w:pPr>
              <w:pStyle w:val="TableText"/>
              <w:ind w:left="109"/>
              <w:spacing w:before="31" w:line="228" w:lineRule="auto"/>
              <w:rPr/>
            </w:pPr>
            <w:r>
              <w:rPr>
                <w:spacing w:val="7"/>
              </w:rPr>
              <w:t>开松除杂</w:t>
            </w:r>
          </w:p>
          <w:p>
            <w:pPr>
              <w:pStyle w:val="TableText"/>
              <w:ind w:left="108"/>
              <w:spacing w:before="24" w:line="228" w:lineRule="auto"/>
              <w:rPr/>
            </w:pPr>
            <w:r>
              <w:rPr>
                <w:spacing w:val="7"/>
              </w:rPr>
              <w:t>粉尘（东</w:t>
            </w:r>
          </w:p>
          <w:p>
            <w:pPr>
              <w:pStyle w:val="TableText"/>
              <w:ind w:left="111"/>
              <w:spacing w:before="27" w:line="228" w:lineRule="auto"/>
              <w:rPr/>
            </w:pPr>
            <w:r>
              <w:rPr>
                <w:spacing w:val="6"/>
              </w:rPr>
              <w:t>厂区）排</w:t>
            </w:r>
          </w:p>
          <w:p>
            <w:pPr>
              <w:pStyle w:val="TableText"/>
              <w:ind w:left="318"/>
              <w:spacing w:before="23" w:line="217" w:lineRule="auto"/>
              <w:rPr/>
            </w:pPr>
            <w:r>
              <w:rPr>
                <w:spacing w:val="4"/>
              </w:rPr>
              <w:t>气筒</w:t>
            </w:r>
          </w:p>
        </w:tc>
        <w:tc>
          <w:tcPr>
            <w:tcW w:w="1322" w:type="dxa"/>
            <w:vAlign w:val="top"/>
          </w:tcPr>
          <w:p>
            <w:pPr>
              <w:spacing w:line="416" w:lineRule="auto"/>
              <w:rPr>
                <w:rFonts w:ascii="Arial"/>
                <w:sz w:val="21"/>
              </w:rPr>
            </w:pPr>
            <w:r/>
          </w:p>
          <w:p>
            <w:pPr>
              <w:ind w:left="12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114.9724334</w:t>
            </w:r>
          </w:p>
        </w:tc>
        <w:tc>
          <w:tcPr>
            <w:tcW w:w="1501" w:type="dxa"/>
            <w:vAlign w:val="top"/>
          </w:tcPr>
          <w:p>
            <w:pPr>
              <w:spacing w:line="416" w:lineRule="auto"/>
              <w:rPr>
                <w:rFonts w:ascii="Arial"/>
                <w:sz w:val="21"/>
              </w:rPr>
            </w:pPr>
            <w:r/>
          </w:p>
          <w:p>
            <w:pPr>
              <w:ind w:left="19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42.29621086</w:t>
            </w:r>
          </w:p>
        </w:tc>
        <w:tc>
          <w:tcPr>
            <w:tcW w:w="1003" w:type="dxa"/>
            <w:vAlign w:val="top"/>
          </w:tcPr>
          <w:p>
            <w:pPr>
              <w:spacing w:line="416" w:lineRule="auto"/>
              <w:rPr>
                <w:rFonts w:ascii="Arial"/>
                <w:sz w:val="21"/>
              </w:rPr>
            </w:pPr>
            <w:r/>
          </w:p>
          <w:p>
            <w:pPr>
              <w:ind w:left="29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2000</w:t>
            </w:r>
          </w:p>
        </w:tc>
        <w:tc>
          <w:tcPr>
            <w:tcW w:w="1322" w:type="dxa"/>
            <w:vAlign w:val="top"/>
          </w:tcPr>
          <w:p>
            <w:pPr>
              <w:spacing w:line="419" w:lineRule="auto"/>
              <w:rPr>
                <w:rFonts w:ascii="Arial"/>
                <w:sz w:val="21"/>
              </w:rPr>
            </w:pPr>
            <w:r/>
          </w:p>
          <w:p>
            <w:pPr>
              <w:ind w:left="442"/>
              <w:spacing w:before="57"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PM</w:t>
            </w:r>
            <w:r>
              <w:rPr>
                <w:rFonts w:ascii="Times New Roman" w:hAnsi="Times New Roman" w:eastAsia="Times New Roman" w:cs="Times New Roman"/>
                <w:sz w:val="13"/>
                <w:szCs w:val="13"/>
                <w:spacing w:val="8"/>
                <w:position w:val="-1"/>
              </w:rPr>
              <w:t>10</w:t>
            </w:r>
          </w:p>
        </w:tc>
        <w:tc>
          <w:tcPr>
            <w:tcW w:w="1198" w:type="dxa"/>
            <w:vAlign w:val="top"/>
          </w:tcPr>
          <w:p>
            <w:pPr>
              <w:spacing w:line="416" w:lineRule="auto"/>
              <w:rPr>
                <w:rFonts w:ascii="Arial"/>
                <w:sz w:val="21"/>
              </w:rPr>
            </w:pPr>
            <w:r/>
          </w:p>
          <w:p>
            <w:pPr>
              <w:ind w:left="36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0.052</w:t>
            </w:r>
          </w:p>
        </w:tc>
        <w:tc>
          <w:tcPr>
            <w:tcW w:w="1276" w:type="dxa"/>
            <w:vAlign w:val="top"/>
          </w:tcPr>
          <w:p>
            <w:pPr>
              <w:spacing w:line="416" w:lineRule="auto"/>
              <w:rPr>
                <w:rFonts w:ascii="Arial"/>
                <w:sz w:val="21"/>
              </w:rPr>
            </w:pPr>
            <w:r/>
          </w:p>
          <w:p>
            <w:pPr>
              <w:ind w:left="354"/>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0.0001</w:t>
            </w:r>
          </w:p>
        </w:tc>
        <w:tc>
          <w:tcPr>
            <w:tcW w:w="897" w:type="dxa"/>
            <w:vAlign w:val="top"/>
          </w:tcPr>
          <w:p>
            <w:pPr>
              <w:spacing w:line="416" w:lineRule="auto"/>
              <w:rPr>
                <w:rFonts w:ascii="Arial"/>
                <w:sz w:val="21"/>
              </w:rPr>
            </w:pPr>
            <w:r/>
          </w:p>
          <w:p>
            <w:pPr>
              <w:ind w:left="36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827" w:type="dxa"/>
            <w:vAlign w:val="top"/>
          </w:tcPr>
          <w:p>
            <w:pPr>
              <w:spacing w:line="416" w:lineRule="auto"/>
              <w:rPr>
                <w:rFonts w:ascii="Arial"/>
                <w:sz w:val="21"/>
              </w:rPr>
            </w:pPr>
            <w:r/>
          </w:p>
          <w:p>
            <w:pPr>
              <w:ind w:left="28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751" w:type="dxa"/>
            <w:vAlign w:val="top"/>
          </w:tcPr>
          <w:p>
            <w:pPr>
              <w:spacing w:line="416" w:lineRule="auto"/>
              <w:rPr>
                <w:rFonts w:ascii="Arial"/>
                <w:sz w:val="21"/>
              </w:rPr>
            </w:pPr>
            <w:r/>
          </w:p>
          <w:p>
            <w:pPr>
              <w:ind w:left="274"/>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803" w:type="dxa"/>
            <w:vAlign w:val="top"/>
          </w:tcPr>
          <w:p>
            <w:pPr>
              <w:spacing w:line="416" w:lineRule="auto"/>
              <w:rPr>
                <w:rFonts w:ascii="Arial"/>
                <w:sz w:val="21"/>
              </w:rPr>
            </w:pPr>
            <w:r/>
          </w:p>
          <w:p>
            <w:pPr>
              <w:ind w:left="19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7200</w:t>
            </w:r>
          </w:p>
        </w:tc>
        <w:tc>
          <w:tcPr>
            <w:tcW w:w="707" w:type="dxa"/>
            <w:vAlign w:val="top"/>
          </w:tcPr>
          <w:p>
            <w:pPr>
              <w:spacing w:line="373" w:lineRule="auto"/>
              <w:rPr>
                <w:rFonts w:ascii="Arial"/>
                <w:sz w:val="21"/>
              </w:rPr>
            </w:pPr>
            <w:r/>
          </w:p>
          <w:p>
            <w:pPr>
              <w:pStyle w:val="TableText"/>
              <w:ind w:left="152"/>
              <w:spacing w:before="65" w:line="228" w:lineRule="auto"/>
              <w:rPr/>
            </w:pPr>
            <w:r>
              <w:rPr>
                <w:spacing w:val="2"/>
              </w:rPr>
              <w:t>正常</w:t>
            </w:r>
          </w:p>
        </w:tc>
      </w:tr>
      <w:tr>
        <w:trPr>
          <w:trHeight w:val="1094" w:hRule="atLeast"/>
        </w:trPr>
        <w:tc>
          <w:tcPr>
            <w:tcW w:w="893" w:type="dxa"/>
            <w:vAlign w:val="top"/>
          </w:tcPr>
          <w:p>
            <w:pPr>
              <w:spacing w:line="417" w:lineRule="auto"/>
              <w:rPr>
                <w:rFonts w:ascii="Arial"/>
                <w:sz w:val="21"/>
              </w:rPr>
            </w:pPr>
            <w:r/>
          </w:p>
          <w:p>
            <w:pPr>
              <w:ind w:left="138"/>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z w:val="20"/>
                <w:szCs w:val="20"/>
                <w:spacing w:val="8"/>
              </w:rPr>
              <w:t>002</w:t>
            </w:r>
          </w:p>
        </w:tc>
        <w:tc>
          <w:tcPr>
            <w:tcW w:w="1049" w:type="dxa"/>
            <w:vAlign w:val="top"/>
          </w:tcPr>
          <w:p>
            <w:pPr>
              <w:pStyle w:val="TableText"/>
              <w:ind w:left="109"/>
              <w:spacing w:before="33" w:line="228" w:lineRule="auto"/>
              <w:rPr/>
            </w:pPr>
            <w:r>
              <w:rPr>
                <w:spacing w:val="7"/>
              </w:rPr>
              <w:t>开松除杂</w:t>
            </w:r>
          </w:p>
          <w:p>
            <w:pPr>
              <w:pStyle w:val="TableText"/>
              <w:ind w:left="108"/>
              <w:spacing w:before="26" w:line="228" w:lineRule="auto"/>
              <w:rPr/>
            </w:pPr>
            <w:r>
              <w:rPr>
                <w:spacing w:val="7"/>
              </w:rPr>
              <w:t>粉尘（西</w:t>
            </w:r>
          </w:p>
          <w:p>
            <w:pPr>
              <w:pStyle w:val="TableText"/>
              <w:ind w:left="111"/>
              <w:spacing w:before="24" w:line="228" w:lineRule="auto"/>
              <w:rPr/>
            </w:pPr>
            <w:r>
              <w:rPr>
                <w:spacing w:val="6"/>
              </w:rPr>
              <w:t>厂区）排</w:t>
            </w:r>
          </w:p>
          <w:p>
            <w:pPr>
              <w:pStyle w:val="TableText"/>
              <w:ind w:left="318"/>
              <w:spacing w:before="26" w:line="214" w:lineRule="auto"/>
              <w:rPr/>
            </w:pPr>
            <w:r>
              <w:rPr>
                <w:spacing w:val="4"/>
              </w:rPr>
              <w:t>气筒</w:t>
            </w:r>
          </w:p>
        </w:tc>
        <w:tc>
          <w:tcPr>
            <w:tcW w:w="1322" w:type="dxa"/>
            <w:vAlign w:val="top"/>
          </w:tcPr>
          <w:p>
            <w:pPr>
              <w:spacing w:line="417" w:lineRule="auto"/>
              <w:rPr>
                <w:rFonts w:ascii="Arial"/>
                <w:sz w:val="21"/>
              </w:rPr>
            </w:pPr>
            <w:r/>
          </w:p>
          <w:p>
            <w:pPr>
              <w:ind w:left="12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114.9702984</w:t>
            </w:r>
          </w:p>
        </w:tc>
        <w:tc>
          <w:tcPr>
            <w:tcW w:w="1501" w:type="dxa"/>
            <w:vAlign w:val="top"/>
          </w:tcPr>
          <w:p>
            <w:pPr>
              <w:spacing w:line="417" w:lineRule="auto"/>
              <w:rPr>
                <w:rFonts w:ascii="Arial"/>
                <w:sz w:val="21"/>
              </w:rPr>
            </w:pPr>
            <w:r/>
          </w:p>
          <w:p>
            <w:pPr>
              <w:ind w:left="19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42.29468319</w:t>
            </w:r>
          </w:p>
        </w:tc>
        <w:tc>
          <w:tcPr>
            <w:tcW w:w="1003" w:type="dxa"/>
            <w:vAlign w:val="top"/>
          </w:tcPr>
          <w:p>
            <w:pPr>
              <w:spacing w:line="417" w:lineRule="auto"/>
              <w:rPr>
                <w:rFonts w:ascii="Arial"/>
                <w:sz w:val="21"/>
              </w:rPr>
            </w:pPr>
            <w:r/>
          </w:p>
          <w:p>
            <w:pPr>
              <w:ind w:left="29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2000</w:t>
            </w:r>
          </w:p>
        </w:tc>
        <w:tc>
          <w:tcPr>
            <w:tcW w:w="1322" w:type="dxa"/>
            <w:vAlign w:val="top"/>
          </w:tcPr>
          <w:p>
            <w:pPr>
              <w:spacing w:line="420" w:lineRule="auto"/>
              <w:rPr>
                <w:rFonts w:ascii="Arial"/>
                <w:sz w:val="21"/>
              </w:rPr>
            </w:pPr>
            <w:r/>
          </w:p>
          <w:p>
            <w:pPr>
              <w:ind w:left="442"/>
              <w:spacing w:before="57"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PM</w:t>
            </w:r>
            <w:r>
              <w:rPr>
                <w:rFonts w:ascii="Times New Roman" w:hAnsi="Times New Roman" w:eastAsia="Times New Roman" w:cs="Times New Roman"/>
                <w:sz w:val="13"/>
                <w:szCs w:val="13"/>
                <w:spacing w:val="8"/>
                <w:position w:val="-1"/>
              </w:rPr>
              <w:t>10</w:t>
            </w:r>
          </w:p>
        </w:tc>
        <w:tc>
          <w:tcPr>
            <w:tcW w:w="1198" w:type="dxa"/>
            <w:vAlign w:val="top"/>
          </w:tcPr>
          <w:p>
            <w:pPr>
              <w:spacing w:line="417" w:lineRule="auto"/>
              <w:rPr>
                <w:rFonts w:ascii="Arial"/>
                <w:sz w:val="21"/>
              </w:rPr>
            </w:pPr>
            <w:r/>
          </w:p>
          <w:p>
            <w:pPr>
              <w:ind w:left="36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0.052</w:t>
            </w:r>
          </w:p>
        </w:tc>
        <w:tc>
          <w:tcPr>
            <w:tcW w:w="1276" w:type="dxa"/>
            <w:vAlign w:val="top"/>
          </w:tcPr>
          <w:p>
            <w:pPr>
              <w:spacing w:line="417" w:lineRule="auto"/>
              <w:rPr>
                <w:rFonts w:ascii="Arial"/>
                <w:sz w:val="21"/>
              </w:rPr>
            </w:pPr>
            <w:r/>
          </w:p>
          <w:p>
            <w:pPr>
              <w:ind w:left="354"/>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0.0001</w:t>
            </w:r>
          </w:p>
        </w:tc>
        <w:tc>
          <w:tcPr>
            <w:tcW w:w="897" w:type="dxa"/>
            <w:vAlign w:val="top"/>
          </w:tcPr>
          <w:p>
            <w:pPr>
              <w:spacing w:line="417" w:lineRule="auto"/>
              <w:rPr>
                <w:rFonts w:ascii="Arial"/>
                <w:sz w:val="21"/>
              </w:rPr>
            </w:pPr>
            <w:r/>
          </w:p>
          <w:p>
            <w:pPr>
              <w:ind w:left="36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827" w:type="dxa"/>
            <w:vAlign w:val="top"/>
          </w:tcPr>
          <w:p>
            <w:pPr>
              <w:spacing w:line="417" w:lineRule="auto"/>
              <w:rPr>
                <w:rFonts w:ascii="Arial"/>
                <w:sz w:val="21"/>
              </w:rPr>
            </w:pPr>
            <w:r/>
          </w:p>
          <w:p>
            <w:pPr>
              <w:ind w:left="28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751" w:type="dxa"/>
            <w:vAlign w:val="top"/>
          </w:tcPr>
          <w:p>
            <w:pPr>
              <w:spacing w:line="417" w:lineRule="auto"/>
              <w:rPr>
                <w:rFonts w:ascii="Arial"/>
                <w:sz w:val="21"/>
              </w:rPr>
            </w:pPr>
            <w:r/>
          </w:p>
          <w:p>
            <w:pPr>
              <w:ind w:left="274"/>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803" w:type="dxa"/>
            <w:vAlign w:val="top"/>
          </w:tcPr>
          <w:p>
            <w:pPr>
              <w:spacing w:line="417" w:lineRule="auto"/>
              <w:rPr>
                <w:rFonts w:ascii="Arial"/>
                <w:sz w:val="21"/>
              </w:rPr>
            </w:pPr>
            <w:r/>
          </w:p>
          <w:p>
            <w:pPr>
              <w:ind w:left="19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7200</w:t>
            </w:r>
          </w:p>
        </w:tc>
        <w:tc>
          <w:tcPr>
            <w:tcW w:w="707" w:type="dxa"/>
            <w:vAlign w:val="top"/>
          </w:tcPr>
          <w:p>
            <w:pPr>
              <w:spacing w:line="374" w:lineRule="auto"/>
              <w:rPr>
                <w:rFonts w:ascii="Arial"/>
                <w:sz w:val="21"/>
              </w:rPr>
            </w:pPr>
            <w:r/>
          </w:p>
          <w:p>
            <w:pPr>
              <w:pStyle w:val="TableText"/>
              <w:ind w:left="152"/>
              <w:spacing w:before="65" w:line="228" w:lineRule="auto"/>
              <w:rPr/>
            </w:pPr>
            <w:r>
              <w:rPr>
                <w:spacing w:val="2"/>
              </w:rPr>
              <w:t>正常</w:t>
            </w:r>
          </w:p>
        </w:tc>
      </w:tr>
      <w:tr>
        <w:trPr>
          <w:trHeight w:val="420" w:hRule="atLeast"/>
        </w:trPr>
        <w:tc>
          <w:tcPr>
            <w:tcW w:w="893" w:type="dxa"/>
            <w:vAlign w:val="top"/>
            <w:vMerge w:val="restart"/>
            <w:tcBorders>
              <w:bottom w:val="nil"/>
            </w:tcBorders>
          </w:tcPr>
          <w:p>
            <w:pPr>
              <w:spacing w:line="417" w:lineRule="auto"/>
              <w:rPr>
                <w:rFonts w:ascii="Arial"/>
                <w:sz w:val="21"/>
              </w:rPr>
            </w:pPr>
            <w:r/>
          </w:p>
          <w:p>
            <w:pPr>
              <w:ind w:left="138"/>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z w:val="20"/>
                <w:szCs w:val="20"/>
                <w:spacing w:val="8"/>
              </w:rPr>
              <w:t>003</w:t>
            </w:r>
          </w:p>
        </w:tc>
        <w:tc>
          <w:tcPr>
            <w:tcW w:w="1049" w:type="dxa"/>
            <w:vAlign w:val="top"/>
            <w:vMerge w:val="restart"/>
            <w:tcBorders>
              <w:bottom w:val="nil"/>
            </w:tcBorders>
          </w:tcPr>
          <w:p>
            <w:pPr>
              <w:pStyle w:val="TableText"/>
              <w:ind w:left="108"/>
              <w:spacing w:before="33" w:line="228" w:lineRule="auto"/>
              <w:rPr/>
            </w:pPr>
            <w:r>
              <w:rPr>
                <w:spacing w:val="7"/>
              </w:rPr>
              <w:t>废水收集</w:t>
            </w:r>
          </w:p>
          <w:p>
            <w:pPr>
              <w:pStyle w:val="TableText"/>
              <w:ind w:left="108"/>
              <w:spacing w:before="26" w:line="228" w:lineRule="auto"/>
              <w:rPr/>
            </w:pPr>
            <w:r>
              <w:rPr>
                <w:spacing w:val="7"/>
              </w:rPr>
              <w:t>池等恶臭</w:t>
            </w:r>
          </w:p>
          <w:p>
            <w:pPr>
              <w:pStyle w:val="TableText"/>
              <w:ind w:left="110"/>
              <w:spacing w:before="24" w:line="229" w:lineRule="auto"/>
              <w:rPr/>
            </w:pPr>
            <w:r>
              <w:rPr>
                <w:spacing w:val="6"/>
              </w:rPr>
              <w:t>污气体排</w:t>
            </w:r>
          </w:p>
          <w:p>
            <w:pPr>
              <w:pStyle w:val="TableText"/>
              <w:ind w:left="318"/>
              <w:spacing w:before="25" w:line="213" w:lineRule="auto"/>
              <w:rPr/>
            </w:pPr>
            <w:r>
              <w:rPr>
                <w:spacing w:val="4"/>
              </w:rPr>
              <w:t>气筒</w:t>
            </w:r>
          </w:p>
        </w:tc>
        <w:tc>
          <w:tcPr>
            <w:tcW w:w="1322" w:type="dxa"/>
            <w:vAlign w:val="top"/>
            <w:vMerge w:val="restart"/>
            <w:tcBorders>
              <w:bottom w:val="nil"/>
            </w:tcBorders>
          </w:tcPr>
          <w:p>
            <w:pPr>
              <w:spacing w:line="417" w:lineRule="auto"/>
              <w:rPr>
                <w:rFonts w:ascii="Arial"/>
                <w:sz w:val="21"/>
              </w:rPr>
            </w:pPr>
            <w:r/>
          </w:p>
          <w:p>
            <w:pPr>
              <w:ind w:left="7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114.97042179</w:t>
            </w:r>
          </w:p>
        </w:tc>
        <w:tc>
          <w:tcPr>
            <w:tcW w:w="1501" w:type="dxa"/>
            <w:vAlign w:val="top"/>
            <w:vMerge w:val="restart"/>
            <w:tcBorders>
              <w:bottom w:val="nil"/>
            </w:tcBorders>
          </w:tcPr>
          <w:p>
            <w:pPr>
              <w:spacing w:line="417" w:lineRule="auto"/>
              <w:rPr>
                <w:rFonts w:ascii="Arial"/>
                <w:sz w:val="21"/>
              </w:rPr>
            </w:pPr>
            <w:r/>
          </w:p>
          <w:p>
            <w:pPr>
              <w:ind w:left="19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42.29453637</w:t>
            </w:r>
          </w:p>
        </w:tc>
        <w:tc>
          <w:tcPr>
            <w:tcW w:w="1003" w:type="dxa"/>
            <w:vAlign w:val="top"/>
            <w:vMerge w:val="restart"/>
            <w:tcBorders>
              <w:bottom w:val="nil"/>
            </w:tcBorders>
          </w:tcPr>
          <w:p>
            <w:pPr>
              <w:spacing w:line="417" w:lineRule="auto"/>
              <w:rPr>
                <w:rFonts w:ascii="Arial"/>
                <w:sz w:val="21"/>
              </w:rPr>
            </w:pPr>
            <w:r/>
          </w:p>
          <w:p>
            <w:pPr>
              <w:ind w:left="29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2000</w:t>
            </w:r>
          </w:p>
        </w:tc>
        <w:tc>
          <w:tcPr>
            <w:tcW w:w="1322" w:type="dxa"/>
            <w:vAlign w:val="top"/>
          </w:tcPr>
          <w:p>
            <w:pPr>
              <w:ind w:left="472"/>
              <w:spacing w:before="144"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1198" w:type="dxa"/>
            <w:vAlign w:val="top"/>
          </w:tcPr>
          <w:p>
            <w:pPr>
              <w:ind w:left="384"/>
              <w:spacing w:before="14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17.85</w:t>
            </w:r>
          </w:p>
        </w:tc>
        <w:tc>
          <w:tcPr>
            <w:tcW w:w="1276" w:type="dxa"/>
            <w:vAlign w:val="top"/>
          </w:tcPr>
          <w:p>
            <w:pPr>
              <w:ind w:left="354"/>
              <w:spacing w:before="14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0.0357</w:t>
            </w:r>
          </w:p>
        </w:tc>
        <w:tc>
          <w:tcPr>
            <w:tcW w:w="897" w:type="dxa"/>
            <w:vAlign w:val="top"/>
            <w:vMerge w:val="restart"/>
            <w:tcBorders>
              <w:bottom w:val="nil"/>
            </w:tcBorders>
          </w:tcPr>
          <w:p>
            <w:pPr>
              <w:spacing w:line="417" w:lineRule="auto"/>
              <w:rPr>
                <w:rFonts w:ascii="Arial"/>
                <w:sz w:val="21"/>
              </w:rPr>
            </w:pPr>
            <w:r/>
          </w:p>
          <w:p>
            <w:pPr>
              <w:ind w:left="36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827" w:type="dxa"/>
            <w:vAlign w:val="top"/>
            <w:vMerge w:val="restart"/>
            <w:tcBorders>
              <w:bottom w:val="nil"/>
            </w:tcBorders>
          </w:tcPr>
          <w:p>
            <w:pPr>
              <w:spacing w:line="417" w:lineRule="auto"/>
              <w:rPr>
                <w:rFonts w:ascii="Arial"/>
                <w:sz w:val="21"/>
              </w:rPr>
            </w:pPr>
            <w:r/>
          </w:p>
          <w:p>
            <w:pPr>
              <w:ind w:left="28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751" w:type="dxa"/>
            <w:vAlign w:val="top"/>
            <w:vMerge w:val="restart"/>
            <w:tcBorders>
              <w:bottom w:val="nil"/>
            </w:tcBorders>
          </w:tcPr>
          <w:p>
            <w:pPr>
              <w:spacing w:line="417" w:lineRule="auto"/>
              <w:rPr>
                <w:rFonts w:ascii="Arial"/>
                <w:sz w:val="21"/>
              </w:rPr>
            </w:pPr>
            <w:r/>
          </w:p>
          <w:p>
            <w:pPr>
              <w:ind w:left="274"/>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803" w:type="dxa"/>
            <w:vAlign w:val="top"/>
            <w:vMerge w:val="restart"/>
            <w:tcBorders>
              <w:bottom w:val="nil"/>
            </w:tcBorders>
          </w:tcPr>
          <w:p>
            <w:pPr>
              <w:spacing w:line="417" w:lineRule="auto"/>
              <w:rPr>
                <w:rFonts w:ascii="Arial"/>
                <w:sz w:val="21"/>
              </w:rPr>
            </w:pPr>
            <w:r/>
          </w:p>
          <w:p>
            <w:pPr>
              <w:ind w:left="19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7200</w:t>
            </w:r>
          </w:p>
        </w:tc>
        <w:tc>
          <w:tcPr>
            <w:tcW w:w="707" w:type="dxa"/>
            <w:vAlign w:val="top"/>
            <w:vMerge w:val="restart"/>
            <w:tcBorders>
              <w:bottom w:val="nil"/>
            </w:tcBorders>
          </w:tcPr>
          <w:p>
            <w:pPr>
              <w:spacing w:line="374" w:lineRule="auto"/>
              <w:rPr>
                <w:rFonts w:ascii="Arial"/>
                <w:sz w:val="21"/>
              </w:rPr>
            </w:pPr>
            <w:r/>
          </w:p>
          <w:p>
            <w:pPr>
              <w:pStyle w:val="TableText"/>
              <w:ind w:left="152"/>
              <w:spacing w:before="65" w:line="228" w:lineRule="auto"/>
              <w:rPr/>
            </w:pPr>
            <w:r>
              <w:rPr>
                <w:spacing w:val="2"/>
              </w:rPr>
              <w:t>正常</w:t>
            </w:r>
          </w:p>
        </w:tc>
      </w:tr>
      <w:tr>
        <w:trPr>
          <w:trHeight w:val="668" w:hRule="atLeast"/>
        </w:trPr>
        <w:tc>
          <w:tcPr>
            <w:tcW w:w="893" w:type="dxa"/>
            <w:vAlign w:val="top"/>
            <w:vMerge w:val="continue"/>
            <w:tcBorders>
              <w:top w:val="nil"/>
            </w:tcBorders>
          </w:tcPr>
          <w:p>
            <w:pPr>
              <w:rPr>
                <w:rFonts w:ascii="Arial"/>
                <w:sz w:val="21"/>
              </w:rPr>
            </w:pPr>
            <w:r/>
          </w:p>
        </w:tc>
        <w:tc>
          <w:tcPr>
            <w:tcW w:w="1049" w:type="dxa"/>
            <w:vAlign w:val="top"/>
            <w:vMerge w:val="continue"/>
            <w:tcBorders>
              <w:top w:val="nil"/>
            </w:tcBorders>
          </w:tcPr>
          <w:p>
            <w:pPr>
              <w:rPr>
                <w:rFonts w:ascii="Arial"/>
                <w:sz w:val="21"/>
              </w:rPr>
            </w:pPr>
            <w:r/>
          </w:p>
        </w:tc>
        <w:tc>
          <w:tcPr>
            <w:tcW w:w="1322" w:type="dxa"/>
            <w:vAlign w:val="top"/>
            <w:vMerge w:val="continue"/>
            <w:tcBorders>
              <w:top w:val="nil"/>
            </w:tcBorders>
          </w:tcPr>
          <w:p>
            <w:pPr>
              <w:rPr>
                <w:rFonts w:ascii="Arial"/>
                <w:sz w:val="21"/>
              </w:rPr>
            </w:pPr>
            <w:r/>
          </w:p>
        </w:tc>
        <w:tc>
          <w:tcPr>
            <w:tcW w:w="1501" w:type="dxa"/>
            <w:vAlign w:val="top"/>
            <w:vMerge w:val="continue"/>
            <w:tcBorders>
              <w:top w:val="nil"/>
            </w:tcBorders>
          </w:tcPr>
          <w:p>
            <w:pPr>
              <w:rPr>
                <w:rFonts w:ascii="Arial"/>
                <w:sz w:val="21"/>
              </w:rPr>
            </w:pPr>
            <w:r/>
          </w:p>
        </w:tc>
        <w:tc>
          <w:tcPr>
            <w:tcW w:w="1003" w:type="dxa"/>
            <w:vAlign w:val="top"/>
            <w:vMerge w:val="continue"/>
            <w:tcBorders>
              <w:top w:val="nil"/>
            </w:tcBorders>
          </w:tcPr>
          <w:p>
            <w:pPr>
              <w:rPr>
                <w:rFonts w:ascii="Arial"/>
                <w:sz w:val="21"/>
              </w:rPr>
            </w:pPr>
            <w:r/>
          </w:p>
        </w:tc>
        <w:tc>
          <w:tcPr>
            <w:tcW w:w="1322" w:type="dxa"/>
            <w:vAlign w:val="top"/>
          </w:tcPr>
          <w:p>
            <w:pPr>
              <w:ind w:left="494"/>
              <w:spacing w:before="266"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1198" w:type="dxa"/>
            <w:vAlign w:val="top"/>
          </w:tcPr>
          <w:p>
            <w:pPr>
              <w:ind w:left="384"/>
              <w:spacing w:before="2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1.065</w:t>
            </w:r>
          </w:p>
        </w:tc>
        <w:tc>
          <w:tcPr>
            <w:tcW w:w="1276" w:type="dxa"/>
            <w:vAlign w:val="top"/>
          </w:tcPr>
          <w:p>
            <w:pPr>
              <w:ind w:left="302"/>
              <w:spacing w:before="2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0.00213</w:t>
            </w:r>
          </w:p>
        </w:tc>
        <w:tc>
          <w:tcPr>
            <w:tcW w:w="897" w:type="dxa"/>
            <w:vAlign w:val="top"/>
            <w:vMerge w:val="continue"/>
            <w:tcBorders>
              <w:top w:val="nil"/>
            </w:tcBorders>
          </w:tcPr>
          <w:p>
            <w:pPr>
              <w:rPr>
                <w:rFonts w:ascii="Arial"/>
                <w:sz w:val="21"/>
              </w:rPr>
            </w:pPr>
            <w:r/>
          </w:p>
        </w:tc>
        <w:tc>
          <w:tcPr>
            <w:tcW w:w="827" w:type="dxa"/>
            <w:vAlign w:val="top"/>
            <w:vMerge w:val="continue"/>
            <w:tcBorders>
              <w:top w:val="nil"/>
            </w:tcBorders>
          </w:tcPr>
          <w:p>
            <w:pPr>
              <w:rPr>
                <w:rFonts w:ascii="Arial"/>
                <w:sz w:val="21"/>
              </w:rPr>
            </w:pPr>
            <w:r/>
          </w:p>
        </w:tc>
        <w:tc>
          <w:tcPr>
            <w:tcW w:w="751" w:type="dxa"/>
            <w:vAlign w:val="top"/>
            <w:vMerge w:val="continue"/>
            <w:tcBorders>
              <w:top w:val="nil"/>
            </w:tcBorders>
          </w:tcPr>
          <w:p>
            <w:pPr>
              <w:rPr>
                <w:rFonts w:ascii="Arial"/>
                <w:sz w:val="21"/>
              </w:rPr>
            </w:pPr>
            <w:r/>
          </w:p>
        </w:tc>
        <w:tc>
          <w:tcPr>
            <w:tcW w:w="803" w:type="dxa"/>
            <w:vAlign w:val="top"/>
            <w:vMerge w:val="continue"/>
            <w:tcBorders>
              <w:top w:val="nil"/>
            </w:tcBorders>
          </w:tcPr>
          <w:p>
            <w:pPr>
              <w:rPr>
                <w:rFonts w:ascii="Arial"/>
                <w:sz w:val="21"/>
              </w:rPr>
            </w:pPr>
            <w:r/>
          </w:p>
        </w:tc>
        <w:tc>
          <w:tcPr>
            <w:tcW w:w="707" w:type="dxa"/>
            <w:vAlign w:val="top"/>
            <w:vMerge w:val="continue"/>
            <w:tcBorders>
              <w:top w:val="nil"/>
            </w:tcBorders>
          </w:tcPr>
          <w:p>
            <w:pPr>
              <w:rPr>
                <w:rFonts w:ascii="Arial"/>
                <w:sz w:val="21"/>
              </w:rPr>
            </w:pPr>
            <w:r/>
          </w:p>
        </w:tc>
      </w:tr>
      <w:tr>
        <w:trPr>
          <w:trHeight w:val="420" w:hRule="atLeast"/>
        </w:trPr>
        <w:tc>
          <w:tcPr>
            <w:tcW w:w="893" w:type="dxa"/>
            <w:vAlign w:val="top"/>
            <w:vMerge w:val="restart"/>
            <w:tcBorders>
              <w:bottom w:val="nil"/>
            </w:tcBorders>
          </w:tcPr>
          <w:p>
            <w:pPr>
              <w:spacing w:line="253" w:lineRule="auto"/>
              <w:rPr>
                <w:rFonts w:ascii="Arial"/>
                <w:sz w:val="21"/>
              </w:rPr>
            </w:pPr>
            <w:r/>
          </w:p>
          <w:p>
            <w:pPr>
              <w:spacing w:line="253" w:lineRule="auto"/>
              <w:rPr>
                <w:rFonts w:ascii="Arial"/>
                <w:sz w:val="21"/>
              </w:rPr>
            </w:pPr>
            <w:r/>
          </w:p>
          <w:p>
            <w:pPr>
              <w:ind w:left="138"/>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z w:val="20"/>
                <w:szCs w:val="20"/>
                <w:spacing w:val="8"/>
              </w:rPr>
              <w:t>004</w:t>
            </w:r>
          </w:p>
        </w:tc>
        <w:tc>
          <w:tcPr>
            <w:tcW w:w="1049" w:type="dxa"/>
            <w:vAlign w:val="top"/>
            <w:vMerge w:val="restart"/>
            <w:tcBorders>
              <w:bottom w:val="nil"/>
            </w:tcBorders>
          </w:tcPr>
          <w:p>
            <w:pPr>
              <w:spacing w:line="327" w:lineRule="auto"/>
              <w:rPr>
                <w:rFonts w:ascii="Arial"/>
                <w:sz w:val="21"/>
              </w:rPr>
            </w:pPr>
            <w:r/>
          </w:p>
          <w:p>
            <w:pPr>
              <w:pStyle w:val="TableText"/>
              <w:ind w:left="212" w:right="105" w:hanging="99"/>
              <w:spacing w:before="65" w:line="254" w:lineRule="auto"/>
              <w:rPr/>
            </w:pPr>
            <w:r>
              <w:rPr>
                <w:spacing w:val="6"/>
              </w:rPr>
              <w:t>沼气锅炉</w:t>
            </w:r>
            <w:r>
              <w:rPr/>
              <w:t xml:space="preserve"> </w:t>
            </w:r>
            <w:r>
              <w:rPr>
                <w:spacing w:val="6"/>
              </w:rPr>
              <w:t>排气筒</w:t>
            </w:r>
          </w:p>
        </w:tc>
        <w:tc>
          <w:tcPr>
            <w:tcW w:w="1322" w:type="dxa"/>
            <w:vAlign w:val="top"/>
            <w:vMerge w:val="restart"/>
            <w:tcBorders>
              <w:bottom w:val="nil"/>
            </w:tcBorders>
          </w:tcPr>
          <w:p>
            <w:pPr>
              <w:spacing w:line="253" w:lineRule="auto"/>
              <w:rPr>
                <w:rFonts w:ascii="Arial"/>
                <w:sz w:val="21"/>
              </w:rPr>
            </w:pPr>
            <w:r/>
          </w:p>
          <w:p>
            <w:pPr>
              <w:spacing w:line="253" w:lineRule="auto"/>
              <w:rPr>
                <w:rFonts w:ascii="Arial"/>
                <w:sz w:val="21"/>
              </w:rPr>
            </w:pPr>
            <w:r/>
          </w:p>
          <w:p>
            <w:pPr>
              <w:ind w:left="12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114.9715697</w:t>
            </w:r>
          </w:p>
        </w:tc>
        <w:tc>
          <w:tcPr>
            <w:tcW w:w="1501" w:type="dxa"/>
            <w:vAlign w:val="top"/>
            <w:vMerge w:val="restart"/>
            <w:tcBorders>
              <w:bottom w:val="nil"/>
            </w:tcBorders>
          </w:tcPr>
          <w:p>
            <w:pPr>
              <w:spacing w:line="253" w:lineRule="auto"/>
              <w:rPr>
                <w:rFonts w:ascii="Arial"/>
                <w:sz w:val="21"/>
              </w:rPr>
            </w:pPr>
            <w:r/>
          </w:p>
          <w:p>
            <w:pPr>
              <w:spacing w:line="253" w:lineRule="auto"/>
              <w:rPr>
                <w:rFonts w:ascii="Arial"/>
                <w:sz w:val="21"/>
              </w:rPr>
            </w:pPr>
            <w:r/>
          </w:p>
          <w:p>
            <w:pPr>
              <w:ind w:left="197"/>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42.29498872</w:t>
            </w:r>
          </w:p>
        </w:tc>
        <w:tc>
          <w:tcPr>
            <w:tcW w:w="1003" w:type="dxa"/>
            <w:vAlign w:val="top"/>
            <w:vMerge w:val="restart"/>
            <w:tcBorders>
              <w:bottom w:val="nil"/>
            </w:tcBorders>
          </w:tcPr>
          <w:p>
            <w:pPr>
              <w:spacing w:line="253" w:lineRule="auto"/>
              <w:rPr>
                <w:rFonts w:ascii="Arial"/>
                <w:sz w:val="21"/>
              </w:rPr>
            </w:pPr>
            <w:r/>
          </w:p>
          <w:p>
            <w:pPr>
              <w:spacing w:line="253" w:lineRule="auto"/>
              <w:rPr>
                <w:rFonts w:ascii="Arial"/>
                <w:sz w:val="21"/>
              </w:rPr>
            </w:pPr>
            <w:r/>
          </w:p>
          <w:p>
            <w:pPr>
              <w:ind w:left="182"/>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1671.38</w:t>
            </w:r>
          </w:p>
        </w:tc>
        <w:tc>
          <w:tcPr>
            <w:tcW w:w="1322" w:type="dxa"/>
            <w:vAlign w:val="top"/>
          </w:tcPr>
          <w:p>
            <w:pPr>
              <w:pStyle w:val="TableText"/>
              <w:ind w:left="349"/>
              <w:spacing w:before="107" w:line="228" w:lineRule="auto"/>
              <w:rPr/>
            </w:pPr>
            <w:r>
              <w:rPr>
                <w:spacing w:val="7"/>
              </w:rPr>
              <w:t>颗粒物</w:t>
            </w:r>
          </w:p>
        </w:tc>
        <w:tc>
          <w:tcPr>
            <w:tcW w:w="1198" w:type="dxa"/>
            <w:vAlign w:val="top"/>
          </w:tcPr>
          <w:p>
            <w:pPr>
              <w:ind w:left="384"/>
              <w:spacing w:before="14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15.38</w:t>
            </w:r>
          </w:p>
        </w:tc>
        <w:tc>
          <w:tcPr>
            <w:tcW w:w="1276" w:type="dxa"/>
            <w:vAlign w:val="top"/>
          </w:tcPr>
          <w:p>
            <w:pPr>
              <w:ind w:left="407"/>
              <w:spacing w:before="14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0.018</w:t>
            </w:r>
          </w:p>
        </w:tc>
        <w:tc>
          <w:tcPr>
            <w:tcW w:w="897" w:type="dxa"/>
            <w:vAlign w:val="top"/>
            <w:vMerge w:val="restart"/>
            <w:tcBorders>
              <w:bottom w:val="nil"/>
            </w:tcBorders>
          </w:tcPr>
          <w:p>
            <w:pPr>
              <w:spacing w:line="253" w:lineRule="auto"/>
              <w:rPr>
                <w:rFonts w:ascii="Arial"/>
                <w:sz w:val="21"/>
              </w:rPr>
            </w:pPr>
            <w:r/>
          </w:p>
          <w:p>
            <w:pPr>
              <w:spacing w:line="253" w:lineRule="auto"/>
              <w:rPr>
                <w:rFonts w:ascii="Arial"/>
                <w:sz w:val="21"/>
              </w:rPr>
            </w:pPr>
            <w:r/>
          </w:p>
          <w:p>
            <w:pPr>
              <w:ind w:left="367"/>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827" w:type="dxa"/>
            <w:vAlign w:val="top"/>
            <w:vMerge w:val="restart"/>
            <w:tcBorders>
              <w:bottom w:val="nil"/>
            </w:tcBorders>
          </w:tcPr>
          <w:p>
            <w:pPr>
              <w:spacing w:line="253" w:lineRule="auto"/>
              <w:rPr>
                <w:rFonts w:ascii="Arial"/>
                <w:sz w:val="21"/>
              </w:rPr>
            </w:pPr>
            <w:r/>
          </w:p>
          <w:p>
            <w:pPr>
              <w:spacing w:line="253" w:lineRule="auto"/>
              <w:rPr>
                <w:rFonts w:ascii="Arial"/>
                <w:sz w:val="21"/>
              </w:rPr>
            </w:pPr>
            <w:r/>
          </w:p>
          <w:p>
            <w:pPr>
              <w:ind w:left="28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751" w:type="dxa"/>
            <w:vAlign w:val="top"/>
            <w:vMerge w:val="restart"/>
            <w:tcBorders>
              <w:bottom w:val="nil"/>
            </w:tcBorders>
          </w:tcPr>
          <w:p>
            <w:pPr>
              <w:spacing w:line="253" w:lineRule="auto"/>
              <w:rPr>
                <w:rFonts w:ascii="Arial"/>
                <w:sz w:val="21"/>
              </w:rPr>
            </w:pPr>
            <w:r/>
          </w:p>
          <w:p>
            <w:pPr>
              <w:spacing w:line="253" w:lineRule="auto"/>
              <w:rPr>
                <w:rFonts w:ascii="Arial"/>
                <w:sz w:val="21"/>
              </w:rPr>
            </w:pPr>
            <w:r/>
          </w:p>
          <w:p>
            <w:pPr>
              <w:ind w:left="242"/>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120</w:t>
            </w:r>
          </w:p>
        </w:tc>
        <w:tc>
          <w:tcPr>
            <w:tcW w:w="803" w:type="dxa"/>
            <w:vAlign w:val="top"/>
            <w:vMerge w:val="restart"/>
            <w:tcBorders>
              <w:bottom w:val="nil"/>
            </w:tcBorders>
          </w:tcPr>
          <w:p>
            <w:pPr>
              <w:spacing w:line="253" w:lineRule="auto"/>
              <w:rPr>
                <w:rFonts w:ascii="Arial"/>
                <w:sz w:val="21"/>
              </w:rPr>
            </w:pPr>
            <w:r/>
          </w:p>
          <w:p>
            <w:pPr>
              <w:spacing w:line="253" w:lineRule="auto"/>
              <w:rPr>
                <w:rFonts w:ascii="Arial"/>
                <w:sz w:val="21"/>
              </w:rPr>
            </w:pPr>
            <w:r/>
          </w:p>
          <w:p>
            <w:pPr>
              <w:ind w:left="19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7200</w:t>
            </w:r>
          </w:p>
        </w:tc>
        <w:tc>
          <w:tcPr>
            <w:tcW w:w="707" w:type="dxa"/>
            <w:vAlign w:val="top"/>
            <w:vMerge w:val="restart"/>
            <w:tcBorders>
              <w:bottom w:val="nil"/>
            </w:tcBorders>
          </w:tcPr>
          <w:p>
            <w:pPr>
              <w:spacing w:line="464" w:lineRule="auto"/>
              <w:rPr>
                <w:rFonts w:ascii="Arial"/>
                <w:sz w:val="21"/>
              </w:rPr>
            </w:pPr>
            <w:r/>
          </w:p>
          <w:p>
            <w:pPr>
              <w:pStyle w:val="TableText"/>
              <w:ind w:left="152"/>
              <w:spacing w:before="65" w:line="228" w:lineRule="auto"/>
              <w:rPr/>
            </w:pPr>
            <w:r>
              <w:rPr>
                <w:spacing w:val="2"/>
              </w:rPr>
              <w:t>正常</w:t>
            </w:r>
          </w:p>
        </w:tc>
      </w:tr>
      <w:tr>
        <w:trPr>
          <w:trHeight w:val="420" w:hRule="atLeast"/>
        </w:trPr>
        <w:tc>
          <w:tcPr>
            <w:tcW w:w="893" w:type="dxa"/>
            <w:vAlign w:val="top"/>
            <w:vMerge w:val="continue"/>
            <w:tcBorders>
              <w:top w:val="nil"/>
              <w:bottom w:val="nil"/>
            </w:tcBorders>
          </w:tcPr>
          <w:p>
            <w:pPr>
              <w:rPr>
                <w:rFonts w:ascii="Arial"/>
                <w:sz w:val="21"/>
              </w:rPr>
            </w:pPr>
            <w:r/>
          </w:p>
        </w:tc>
        <w:tc>
          <w:tcPr>
            <w:tcW w:w="1049" w:type="dxa"/>
            <w:vAlign w:val="top"/>
            <w:vMerge w:val="continue"/>
            <w:tcBorders>
              <w:top w:val="nil"/>
              <w:bottom w:val="nil"/>
            </w:tcBorders>
          </w:tcPr>
          <w:p>
            <w:pPr>
              <w:rPr>
                <w:rFonts w:ascii="Arial"/>
                <w:sz w:val="21"/>
              </w:rPr>
            </w:pPr>
            <w:r/>
          </w:p>
        </w:tc>
        <w:tc>
          <w:tcPr>
            <w:tcW w:w="1322" w:type="dxa"/>
            <w:vAlign w:val="top"/>
            <w:vMerge w:val="continue"/>
            <w:tcBorders>
              <w:top w:val="nil"/>
              <w:bottom w:val="nil"/>
            </w:tcBorders>
          </w:tcPr>
          <w:p>
            <w:pPr>
              <w:rPr>
                <w:rFonts w:ascii="Arial"/>
                <w:sz w:val="21"/>
              </w:rPr>
            </w:pPr>
            <w:r/>
          </w:p>
        </w:tc>
        <w:tc>
          <w:tcPr>
            <w:tcW w:w="1501" w:type="dxa"/>
            <w:vAlign w:val="top"/>
            <w:vMerge w:val="continue"/>
            <w:tcBorders>
              <w:top w:val="nil"/>
              <w:bottom w:val="nil"/>
            </w:tcBorders>
          </w:tcPr>
          <w:p>
            <w:pPr>
              <w:rPr>
                <w:rFonts w:ascii="Arial"/>
                <w:sz w:val="21"/>
              </w:rPr>
            </w:pPr>
            <w:r/>
          </w:p>
        </w:tc>
        <w:tc>
          <w:tcPr>
            <w:tcW w:w="1003" w:type="dxa"/>
            <w:vAlign w:val="top"/>
            <w:vMerge w:val="continue"/>
            <w:tcBorders>
              <w:top w:val="nil"/>
              <w:bottom w:val="nil"/>
            </w:tcBorders>
          </w:tcPr>
          <w:p>
            <w:pPr>
              <w:rPr>
                <w:rFonts w:ascii="Arial"/>
                <w:sz w:val="21"/>
              </w:rPr>
            </w:pPr>
            <w:r/>
          </w:p>
        </w:tc>
        <w:tc>
          <w:tcPr>
            <w:tcW w:w="1322" w:type="dxa"/>
            <w:vAlign w:val="top"/>
          </w:tcPr>
          <w:p>
            <w:pPr>
              <w:ind w:left="504"/>
              <w:spacing w:before="142"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1"/>
                <w:position w:val="-1"/>
              </w:rPr>
              <w:t>2</w:t>
            </w:r>
          </w:p>
        </w:tc>
        <w:tc>
          <w:tcPr>
            <w:tcW w:w="1198" w:type="dxa"/>
            <w:vAlign w:val="top"/>
          </w:tcPr>
          <w:p>
            <w:pPr>
              <w:ind w:left="415"/>
              <w:spacing w:before="14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4.48</w:t>
            </w:r>
          </w:p>
        </w:tc>
        <w:tc>
          <w:tcPr>
            <w:tcW w:w="1276" w:type="dxa"/>
            <w:vAlign w:val="top"/>
          </w:tcPr>
          <w:p>
            <w:pPr>
              <w:ind w:left="354"/>
              <w:spacing w:before="14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0.0052</w:t>
            </w:r>
          </w:p>
        </w:tc>
        <w:tc>
          <w:tcPr>
            <w:tcW w:w="897" w:type="dxa"/>
            <w:vAlign w:val="top"/>
            <w:vMerge w:val="continue"/>
            <w:tcBorders>
              <w:top w:val="nil"/>
              <w:bottom w:val="nil"/>
            </w:tcBorders>
          </w:tcPr>
          <w:p>
            <w:pPr>
              <w:rPr>
                <w:rFonts w:ascii="Arial"/>
                <w:sz w:val="21"/>
              </w:rPr>
            </w:pPr>
            <w:r/>
          </w:p>
        </w:tc>
        <w:tc>
          <w:tcPr>
            <w:tcW w:w="827" w:type="dxa"/>
            <w:vAlign w:val="top"/>
            <w:vMerge w:val="continue"/>
            <w:tcBorders>
              <w:top w:val="nil"/>
              <w:bottom w:val="nil"/>
            </w:tcBorders>
          </w:tcPr>
          <w:p>
            <w:pPr>
              <w:rPr>
                <w:rFonts w:ascii="Arial"/>
                <w:sz w:val="21"/>
              </w:rPr>
            </w:pPr>
            <w:r/>
          </w:p>
        </w:tc>
        <w:tc>
          <w:tcPr>
            <w:tcW w:w="751" w:type="dxa"/>
            <w:vAlign w:val="top"/>
            <w:vMerge w:val="continue"/>
            <w:tcBorders>
              <w:top w:val="nil"/>
              <w:bottom w:val="nil"/>
            </w:tcBorders>
          </w:tcPr>
          <w:p>
            <w:pPr>
              <w:rPr>
                <w:rFonts w:ascii="Arial"/>
                <w:sz w:val="21"/>
              </w:rPr>
            </w:pPr>
            <w:r/>
          </w:p>
        </w:tc>
        <w:tc>
          <w:tcPr>
            <w:tcW w:w="803" w:type="dxa"/>
            <w:vAlign w:val="top"/>
            <w:vMerge w:val="continue"/>
            <w:tcBorders>
              <w:top w:val="nil"/>
              <w:bottom w:val="nil"/>
            </w:tcBorders>
          </w:tcPr>
          <w:p>
            <w:pPr>
              <w:rPr>
                <w:rFonts w:ascii="Arial"/>
                <w:sz w:val="21"/>
              </w:rPr>
            </w:pPr>
            <w:r/>
          </w:p>
        </w:tc>
        <w:tc>
          <w:tcPr>
            <w:tcW w:w="707" w:type="dxa"/>
            <w:vAlign w:val="top"/>
            <w:vMerge w:val="continue"/>
            <w:tcBorders>
              <w:top w:val="nil"/>
              <w:bottom w:val="nil"/>
            </w:tcBorders>
          </w:tcPr>
          <w:p>
            <w:pPr>
              <w:rPr>
                <w:rFonts w:ascii="Arial"/>
                <w:sz w:val="21"/>
              </w:rPr>
            </w:pPr>
            <w:r/>
          </w:p>
        </w:tc>
      </w:tr>
      <w:tr>
        <w:trPr>
          <w:trHeight w:val="420" w:hRule="atLeast"/>
        </w:trPr>
        <w:tc>
          <w:tcPr>
            <w:tcW w:w="893" w:type="dxa"/>
            <w:vAlign w:val="top"/>
            <w:vMerge w:val="continue"/>
            <w:tcBorders>
              <w:top w:val="nil"/>
            </w:tcBorders>
          </w:tcPr>
          <w:p>
            <w:pPr>
              <w:rPr>
                <w:rFonts w:ascii="Arial"/>
                <w:sz w:val="21"/>
              </w:rPr>
            </w:pPr>
            <w:r/>
          </w:p>
        </w:tc>
        <w:tc>
          <w:tcPr>
            <w:tcW w:w="1049" w:type="dxa"/>
            <w:vAlign w:val="top"/>
            <w:vMerge w:val="continue"/>
            <w:tcBorders>
              <w:top w:val="nil"/>
            </w:tcBorders>
          </w:tcPr>
          <w:p>
            <w:pPr>
              <w:rPr>
                <w:rFonts w:ascii="Arial"/>
                <w:sz w:val="21"/>
              </w:rPr>
            </w:pPr>
            <w:r/>
          </w:p>
        </w:tc>
        <w:tc>
          <w:tcPr>
            <w:tcW w:w="1322" w:type="dxa"/>
            <w:vAlign w:val="top"/>
            <w:vMerge w:val="continue"/>
            <w:tcBorders>
              <w:top w:val="nil"/>
            </w:tcBorders>
          </w:tcPr>
          <w:p>
            <w:pPr>
              <w:rPr>
                <w:rFonts w:ascii="Arial"/>
                <w:sz w:val="21"/>
              </w:rPr>
            </w:pPr>
            <w:r/>
          </w:p>
        </w:tc>
        <w:tc>
          <w:tcPr>
            <w:tcW w:w="1501" w:type="dxa"/>
            <w:vAlign w:val="top"/>
            <w:vMerge w:val="continue"/>
            <w:tcBorders>
              <w:top w:val="nil"/>
            </w:tcBorders>
          </w:tcPr>
          <w:p>
            <w:pPr>
              <w:rPr>
                <w:rFonts w:ascii="Arial"/>
                <w:sz w:val="21"/>
              </w:rPr>
            </w:pPr>
            <w:r/>
          </w:p>
        </w:tc>
        <w:tc>
          <w:tcPr>
            <w:tcW w:w="1003" w:type="dxa"/>
            <w:vAlign w:val="top"/>
            <w:vMerge w:val="continue"/>
            <w:tcBorders>
              <w:top w:val="nil"/>
            </w:tcBorders>
          </w:tcPr>
          <w:p>
            <w:pPr>
              <w:rPr>
                <w:rFonts w:ascii="Arial"/>
                <w:sz w:val="21"/>
              </w:rPr>
            </w:pPr>
            <w:r/>
          </w:p>
        </w:tc>
        <w:tc>
          <w:tcPr>
            <w:tcW w:w="1322" w:type="dxa"/>
            <w:vAlign w:val="top"/>
          </w:tcPr>
          <w:p>
            <w:pPr>
              <w:ind w:left="452"/>
              <w:spacing w:before="14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NOx</w:t>
            </w:r>
          </w:p>
        </w:tc>
        <w:tc>
          <w:tcPr>
            <w:tcW w:w="1198" w:type="dxa"/>
            <w:vAlign w:val="top"/>
          </w:tcPr>
          <w:p>
            <w:pPr>
              <w:ind w:left="333"/>
              <w:spacing w:before="14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120.73</w:t>
            </w:r>
          </w:p>
        </w:tc>
        <w:tc>
          <w:tcPr>
            <w:tcW w:w="1276" w:type="dxa"/>
            <w:vAlign w:val="top"/>
          </w:tcPr>
          <w:p>
            <w:pPr>
              <w:ind w:left="407"/>
              <w:spacing w:before="14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141</w:t>
            </w:r>
          </w:p>
        </w:tc>
        <w:tc>
          <w:tcPr>
            <w:tcW w:w="897" w:type="dxa"/>
            <w:vAlign w:val="top"/>
            <w:vMerge w:val="continue"/>
            <w:tcBorders>
              <w:top w:val="nil"/>
            </w:tcBorders>
          </w:tcPr>
          <w:p>
            <w:pPr>
              <w:rPr>
                <w:rFonts w:ascii="Arial"/>
                <w:sz w:val="21"/>
              </w:rPr>
            </w:pPr>
            <w:r/>
          </w:p>
        </w:tc>
        <w:tc>
          <w:tcPr>
            <w:tcW w:w="827" w:type="dxa"/>
            <w:vAlign w:val="top"/>
            <w:vMerge w:val="continue"/>
            <w:tcBorders>
              <w:top w:val="nil"/>
            </w:tcBorders>
          </w:tcPr>
          <w:p>
            <w:pPr>
              <w:rPr>
                <w:rFonts w:ascii="Arial"/>
                <w:sz w:val="21"/>
              </w:rPr>
            </w:pPr>
            <w:r/>
          </w:p>
        </w:tc>
        <w:tc>
          <w:tcPr>
            <w:tcW w:w="751" w:type="dxa"/>
            <w:vAlign w:val="top"/>
            <w:vMerge w:val="continue"/>
            <w:tcBorders>
              <w:top w:val="nil"/>
            </w:tcBorders>
          </w:tcPr>
          <w:p>
            <w:pPr>
              <w:rPr>
                <w:rFonts w:ascii="Arial"/>
                <w:sz w:val="21"/>
              </w:rPr>
            </w:pPr>
            <w:r/>
          </w:p>
        </w:tc>
        <w:tc>
          <w:tcPr>
            <w:tcW w:w="803" w:type="dxa"/>
            <w:vAlign w:val="top"/>
            <w:vMerge w:val="continue"/>
            <w:tcBorders>
              <w:top w:val="nil"/>
            </w:tcBorders>
          </w:tcPr>
          <w:p>
            <w:pPr>
              <w:rPr>
                <w:rFonts w:ascii="Arial"/>
                <w:sz w:val="21"/>
              </w:rPr>
            </w:pPr>
            <w:r/>
          </w:p>
        </w:tc>
        <w:tc>
          <w:tcPr>
            <w:tcW w:w="707" w:type="dxa"/>
            <w:vAlign w:val="top"/>
            <w:vMerge w:val="continue"/>
            <w:tcBorders>
              <w:top w:val="nil"/>
            </w:tcBorders>
          </w:tcPr>
          <w:p>
            <w:pPr>
              <w:rPr>
                <w:rFonts w:ascii="Arial"/>
                <w:sz w:val="21"/>
              </w:rPr>
            </w:pPr>
            <w:r/>
          </w:p>
        </w:tc>
      </w:tr>
      <w:tr>
        <w:trPr>
          <w:trHeight w:val="420" w:hRule="atLeast"/>
        </w:trPr>
        <w:tc>
          <w:tcPr>
            <w:tcW w:w="893" w:type="dxa"/>
            <w:vAlign w:val="top"/>
            <w:vMerge w:val="restart"/>
            <w:tcBorders>
              <w:bottom w:val="nil"/>
            </w:tcBorders>
          </w:tcPr>
          <w:p>
            <w:pPr>
              <w:spacing w:line="253" w:lineRule="auto"/>
              <w:rPr>
                <w:rFonts w:ascii="Arial"/>
                <w:sz w:val="21"/>
              </w:rPr>
            </w:pPr>
            <w:r/>
          </w:p>
          <w:p>
            <w:pPr>
              <w:spacing w:line="253" w:lineRule="auto"/>
              <w:rPr>
                <w:rFonts w:ascii="Arial"/>
                <w:sz w:val="21"/>
              </w:rPr>
            </w:pPr>
            <w:r/>
          </w:p>
          <w:p>
            <w:pPr>
              <w:ind w:left="138"/>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z w:val="20"/>
                <w:szCs w:val="20"/>
                <w:spacing w:val="8"/>
              </w:rPr>
              <w:t>005</w:t>
            </w:r>
          </w:p>
        </w:tc>
        <w:tc>
          <w:tcPr>
            <w:tcW w:w="1049" w:type="dxa"/>
            <w:vAlign w:val="top"/>
            <w:vMerge w:val="restart"/>
            <w:tcBorders>
              <w:bottom w:val="nil"/>
            </w:tcBorders>
          </w:tcPr>
          <w:p>
            <w:pPr>
              <w:spacing w:line="327" w:lineRule="auto"/>
              <w:rPr>
                <w:rFonts w:ascii="Arial"/>
                <w:sz w:val="21"/>
              </w:rPr>
            </w:pPr>
            <w:r/>
          </w:p>
          <w:p>
            <w:pPr>
              <w:pStyle w:val="TableText"/>
              <w:ind w:left="110"/>
              <w:spacing w:before="65" w:line="228" w:lineRule="auto"/>
              <w:rPr/>
            </w:pPr>
            <w:r>
              <w:rPr>
                <w:spacing w:val="6"/>
              </w:rPr>
              <w:t>生物质锅</w:t>
            </w:r>
          </w:p>
          <w:p>
            <w:pPr>
              <w:pStyle w:val="TableText"/>
              <w:ind w:left="111"/>
              <w:spacing w:before="25" w:line="228" w:lineRule="auto"/>
              <w:rPr/>
            </w:pPr>
            <w:r>
              <w:rPr>
                <w:spacing w:val="6"/>
              </w:rPr>
              <w:t>炉排气筒</w:t>
            </w:r>
          </w:p>
        </w:tc>
        <w:tc>
          <w:tcPr>
            <w:tcW w:w="1322" w:type="dxa"/>
            <w:vAlign w:val="top"/>
            <w:vMerge w:val="restart"/>
            <w:tcBorders>
              <w:bottom w:val="nil"/>
            </w:tcBorders>
          </w:tcPr>
          <w:p>
            <w:pPr>
              <w:spacing w:line="253" w:lineRule="auto"/>
              <w:rPr>
                <w:rFonts w:ascii="Arial"/>
                <w:sz w:val="21"/>
              </w:rPr>
            </w:pPr>
            <w:r/>
          </w:p>
          <w:p>
            <w:pPr>
              <w:spacing w:line="253" w:lineRule="auto"/>
              <w:rPr>
                <w:rFonts w:ascii="Arial"/>
                <w:sz w:val="21"/>
              </w:rPr>
            </w:pPr>
            <w:r/>
          </w:p>
          <w:p>
            <w:pPr>
              <w:ind w:left="12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114.9715456</w:t>
            </w:r>
          </w:p>
        </w:tc>
        <w:tc>
          <w:tcPr>
            <w:tcW w:w="1501" w:type="dxa"/>
            <w:vAlign w:val="top"/>
            <w:vMerge w:val="restart"/>
            <w:tcBorders>
              <w:bottom w:val="nil"/>
            </w:tcBorders>
          </w:tcPr>
          <w:p>
            <w:pPr>
              <w:spacing w:line="253" w:lineRule="auto"/>
              <w:rPr>
                <w:rFonts w:ascii="Arial"/>
                <w:sz w:val="21"/>
              </w:rPr>
            </w:pPr>
            <w:r/>
          </w:p>
          <w:p>
            <w:pPr>
              <w:spacing w:line="253" w:lineRule="auto"/>
              <w:rPr>
                <w:rFonts w:ascii="Arial"/>
                <w:sz w:val="21"/>
              </w:rPr>
            </w:pPr>
            <w:r/>
          </w:p>
          <w:p>
            <w:pPr>
              <w:ind w:left="19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42.29493317</w:t>
            </w:r>
          </w:p>
        </w:tc>
        <w:tc>
          <w:tcPr>
            <w:tcW w:w="1003" w:type="dxa"/>
            <w:vAlign w:val="top"/>
            <w:vMerge w:val="restart"/>
            <w:tcBorders>
              <w:bottom w:val="nil"/>
            </w:tcBorders>
          </w:tcPr>
          <w:p>
            <w:pPr>
              <w:spacing w:line="253" w:lineRule="auto"/>
              <w:rPr>
                <w:rFonts w:ascii="Arial"/>
                <w:sz w:val="21"/>
              </w:rPr>
            </w:pPr>
            <w:r/>
          </w:p>
          <w:p>
            <w:pPr>
              <w:spacing w:line="253" w:lineRule="auto"/>
              <w:rPr>
                <w:rFonts w:ascii="Arial"/>
                <w:sz w:val="21"/>
              </w:rPr>
            </w:pPr>
            <w:r/>
          </w:p>
          <w:p>
            <w:pPr>
              <w:ind w:left="29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9160</w:t>
            </w:r>
          </w:p>
        </w:tc>
        <w:tc>
          <w:tcPr>
            <w:tcW w:w="1322" w:type="dxa"/>
            <w:vAlign w:val="top"/>
          </w:tcPr>
          <w:p>
            <w:pPr>
              <w:pStyle w:val="TableText"/>
              <w:ind w:left="349"/>
              <w:spacing w:before="106" w:line="228" w:lineRule="auto"/>
              <w:rPr/>
            </w:pPr>
            <w:r>
              <w:rPr>
                <w:spacing w:val="7"/>
              </w:rPr>
              <w:t>颗粒物</w:t>
            </w:r>
          </w:p>
        </w:tc>
        <w:tc>
          <w:tcPr>
            <w:tcW w:w="1198" w:type="dxa"/>
            <w:vAlign w:val="top"/>
          </w:tcPr>
          <w:p>
            <w:pPr>
              <w:ind w:left="367"/>
              <w:spacing w:before="14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0.654</w:t>
            </w:r>
          </w:p>
        </w:tc>
        <w:tc>
          <w:tcPr>
            <w:tcW w:w="1276" w:type="dxa"/>
            <w:vAlign w:val="top"/>
          </w:tcPr>
          <w:p>
            <w:pPr>
              <w:ind w:left="407"/>
              <w:spacing w:before="14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0.004</w:t>
            </w:r>
          </w:p>
        </w:tc>
        <w:tc>
          <w:tcPr>
            <w:tcW w:w="897" w:type="dxa"/>
            <w:vAlign w:val="top"/>
            <w:vMerge w:val="restart"/>
            <w:tcBorders>
              <w:bottom w:val="nil"/>
            </w:tcBorders>
          </w:tcPr>
          <w:p>
            <w:pPr>
              <w:spacing w:line="253" w:lineRule="auto"/>
              <w:rPr>
                <w:rFonts w:ascii="Arial"/>
                <w:sz w:val="21"/>
              </w:rPr>
            </w:pPr>
            <w:r/>
          </w:p>
          <w:p>
            <w:pPr>
              <w:spacing w:line="253" w:lineRule="auto"/>
              <w:rPr>
                <w:rFonts w:ascii="Arial"/>
                <w:sz w:val="21"/>
              </w:rPr>
            </w:pPr>
            <w:r/>
          </w:p>
          <w:p>
            <w:pPr>
              <w:ind w:left="351"/>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35</w:t>
            </w:r>
          </w:p>
        </w:tc>
        <w:tc>
          <w:tcPr>
            <w:tcW w:w="827" w:type="dxa"/>
            <w:vAlign w:val="top"/>
            <w:vMerge w:val="restart"/>
            <w:tcBorders>
              <w:bottom w:val="nil"/>
            </w:tcBorders>
          </w:tcPr>
          <w:p>
            <w:pPr>
              <w:spacing w:line="253" w:lineRule="auto"/>
              <w:rPr>
                <w:rFonts w:ascii="Arial"/>
                <w:sz w:val="21"/>
              </w:rPr>
            </w:pPr>
            <w:r/>
          </w:p>
          <w:p>
            <w:pPr>
              <w:spacing w:line="253" w:lineRule="auto"/>
              <w:rPr>
                <w:rFonts w:ascii="Arial"/>
                <w:sz w:val="21"/>
              </w:rPr>
            </w:pPr>
            <w:r/>
          </w:p>
          <w:p>
            <w:pPr>
              <w:ind w:left="236"/>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0.45</w:t>
            </w:r>
          </w:p>
        </w:tc>
        <w:tc>
          <w:tcPr>
            <w:tcW w:w="751" w:type="dxa"/>
            <w:vAlign w:val="top"/>
            <w:vMerge w:val="restart"/>
            <w:tcBorders>
              <w:bottom w:val="nil"/>
            </w:tcBorders>
          </w:tcPr>
          <w:p>
            <w:pPr>
              <w:spacing w:line="253" w:lineRule="auto"/>
              <w:rPr>
                <w:rFonts w:ascii="Arial"/>
                <w:sz w:val="21"/>
              </w:rPr>
            </w:pPr>
            <w:r/>
          </w:p>
          <w:p>
            <w:pPr>
              <w:spacing w:line="253" w:lineRule="auto"/>
              <w:rPr>
                <w:rFonts w:ascii="Arial"/>
                <w:sz w:val="21"/>
              </w:rPr>
            </w:pPr>
            <w:r/>
          </w:p>
          <w:p>
            <w:pPr>
              <w:ind w:left="242"/>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120</w:t>
            </w:r>
          </w:p>
        </w:tc>
        <w:tc>
          <w:tcPr>
            <w:tcW w:w="803" w:type="dxa"/>
            <w:vAlign w:val="top"/>
            <w:vMerge w:val="restart"/>
            <w:tcBorders>
              <w:bottom w:val="nil"/>
            </w:tcBorders>
          </w:tcPr>
          <w:p>
            <w:pPr>
              <w:spacing w:line="253" w:lineRule="auto"/>
              <w:rPr>
                <w:rFonts w:ascii="Arial"/>
                <w:sz w:val="21"/>
              </w:rPr>
            </w:pPr>
            <w:r/>
          </w:p>
          <w:p>
            <w:pPr>
              <w:spacing w:line="253" w:lineRule="auto"/>
              <w:rPr>
                <w:rFonts w:ascii="Arial"/>
                <w:sz w:val="21"/>
              </w:rPr>
            </w:pPr>
            <w:r/>
          </w:p>
          <w:p>
            <w:pPr>
              <w:ind w:left="19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7200</w:t>
            </w:r>
          </w:p>
        </w:tc>
        <w:tc>
          <w:tcPr>
            <w:tcW w:w="707" w:type="dxa"/>
            <w:vAlign w:val="top"/>
            <w:vMerge w:val="restart"/>
            <w:tcBorders>
              <w:bottom w:val="nil"/>
            </w:tcBorders>
          </w:tcPr>
          <w:p>
            <w:pPr>
              <w:spacing w:line="463" w:lineRule="auto"/>
              <w:rPr>
                <w:rFonts w:ascii="Arial"/>
                <w:sz w:val="21"/>
              </w:rPr>
            </w:pPr>
            <w:r/>
          </w:p>
          <w:p>
            <w:pPr>
              <w:pStyle w:val="TableText"/>
              <w:ind w:left="152"/>
              <w:spacing w:before="65" w:line="228" w:lineRule="auto"/>
              <w:rPr/>
            </w:pPr>
            <w:r>
              <w:rPr>
                <w:spacing w:val="2"/>
              </w:rPr>
              <w:t>正常</w:t>
            </w:r>
          </w:p>
        </w:tc>
      </w:tr>
      <w:tr>
        <w:trPr>
          <w:trHeight w:val="420" w:hRule="atLeast"/>
        </w:trPr>
        <w:tc>
          <w:tcPr>
            <w:tcW w:w="893" w:type="dxa"/>
            <w:vAlign w:val="top"/>
            <w:vMerge w:val="continue"/>
            <w:tcBorders>
              <w:top w:val="nil"/>
              <w:bottom w:val="nil"/>
            </w:tcBorders>
          </w:tcPr>
          <w:p>
            <w:pPr>
              <w:rPr>
                <w:rFonts w:ascii="Arial"/>
                <w:sz w:val="21"/>
              </w:rPr>
            </w:pPr>
            <w:r/>
          </w:p>
        </w:tc>
        <w:tc>
          <w:tcPr>
            <w:tcW w:w="1049" w:type="dxa"/>
            <w:vAlign w:val="top"/>
            <w:vMerge w:val="continue"/>
            <w:tcBorders>
              <w:top w:val="nil"/>
              <w:bottom w:val="nil"/>
            </w:tcBorders>
          </w:tcPr>
          <w:p>
            <w:pPr>
              <w:rPr>
                <w:rFonts w:ascii="Arial"/>
                <w:sz w:val="21"/>
              </w:rPr>
            </w:pPr>
            <w:r/>
          </w:p>
        </w:tc>
        <w:tc>
          <w:tcPr>
            <w:tcW w:w="1322" w:type="dxa"/>
            <w:vAlign w:val="top"/>
            <w:vMerge w:val="continue"/>
            <w:tcBorders>
              <w:top w:val="nil"/>
              <w:bottom w:val="nil"/>
            </w:tcBorders>
          </w:tcPr>
          <w:p>
            <w:pPr>
              <w:rPr>
                <w:rFonts w:ascii="Arial"/>
                <w:sz w:val="21"/>
              </w:rPr>
            </w:pPr>
            <w:r/>
          </w:p>
        </w:tc>
        <w:tc>
          <w:tcPr>
            <w:tcW w:w="1501" w:type="dxa"/>
            <w:vAlign w:val="top"/>
            <w:vMerge w:val="continue"/>
            <w:tcBorders>
              <w:top w:val="nil"/>
              <w:bottom w:val="nil"/>
            </w:tcBorders>
          </w:tcPr>
          <w:p>
            <w:pPr>
              <w:rPr>
                <w:rFonts w:ascii="Arial"/>
                <w:sz w:val="21"/>
              </w:rPr>
            </w:pPr>
            <w:r/>
          </w:p>
        </w:tc>
        <w:tc>
          <w:tcPr>
            <w:tcW w:w="1003" w:type="dxa"/>
            <w:vAlign w:val="top"/>
            <w:vMerge w:val="continue"/>
            <w:tcBorders>
              <w:top w:val="nil"/>
              <w:bottom w:val="nil"/>
            </w:tcBorders>
          </w:tcPr>
          <w:p>
            <w:pPr>
              <w:rPr>
                <w:rFonts w:ascii="Arial"/>
                <w:sz w:val="21"/>
              </w:rPr>
            </w:pPr>
            <w:r/>
          </w:p>
        </w:tc>
        <w:tc>
          <w:tcPr>
            <w:tcW w:w="1322" w:type="dxa"/>
            <w:vAlign w:val="top"/>
          </w:tcPr>
          <w:p>
            <w:pPr>
              <w:ind w:left="504"/>
              <w:spacing w:before="142"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1"/>
                <w:position w:val="-1"/>
              </w:rPr>
              <w:t>2</w:t>
            </w:r>
          </w:p>
        </w:tc>
        <w:tc>
          <w:tcPr>
            <w:tcW w:w="1198" w:type="dxa"/>
            <w:vAlign w:val="top"/>
          </w:tcPr>
          <w:p>
            <w:pPr>
              <w:ind w:left="384"/>
              <w:spacing w:before="14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133.5</w:t>
            </w:r>
          </w:p>
        </w:tc>
        <w:tc>
          <w:tcPr>
            <w:tcW w:w="1276" w:type="dxa"/>
            <w:vAlign w:val="top"/>
          </w:tcPr>
          <w:p>
            <w:pPr>
              <w:ind w:left="460"/>
              <w:spacing w:before="14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0.80</w:t>
            </w:r>
          </w:p>
        </w:tc>
        <w:tc>
          <w:tcPr>
            <w:tcW w:w="897" w:type="dxa"/>
            <w:vAlign w:val="top"/>
            <w:vMerge w:val="continue"/>
            <w:tcBorders>
              <w:top w:val="nil"/>
              <w:bottom w:val="nil"/>
            </w:tcBorders>
          </w:tcPr>
          <w:p>
            <w:pPr>
              <w:rPr>
                <w:rFonts w:ascii="Arial"/>
                <w:sz w:val="21"/>
              </w:rPr>
            </w:pPr>
            <w:r/>
          </w:p>
        </w:tc>
        <w:tc>
          <w:tcPr>
            <w:tcW w:w="827" w:type="dxa"/>
            <w:vAlign w:val="top"/>
            <w:vMerge w:val="continue"/>
            <w:tcBorders>
              <w:top w:val="nil"/>
              <w:bottom w:val="nil"/>
            </w:tcBorders>
          </w:tcPr>
          <w:p>
            <w:pPr>
              <w:rPr>
                <w:rFonts w:ascii="Arial"/>
                <w:sz w:val="21"/>
              </w:rPr>
            </w:pPr>
            <w:r/>
          </w:p>
        </w:tc>
        <w:tc>
          <w:tcPr>
            <w:tcW w:w="751" w:type="dxa"/>
            <w:vAlign w:val="top"/>
            <w:vMerge w:val="continue"/>
            <w:tcBorders>
              <w:top w:val="nil"/>
              <w:bottom w:val="nil"/>
            </w:tcBorders>
          </w:tcPr>
          <w:p>
            <w:pPr>
              <w:rPr>
                <w:rFonts w:ascii="Arial"/>
                <w:sz w:val="21"/>
              </w:rPr>
            </w:pPr>
            <w:r/>
          </w:p>
        </w:tc>
        <w:tc>
          <w:tcPr>
            <w:tcW w:w="803" w:type="dxa"/>
            <w:vAlign w:val="top"/>
            <w:vMerge w:val="continue"/>
            <w:tcBorders>
              <w:top w:val="nil"/>
              <w:bottom w:val="nil"/>
            </w:tcBorders>
          </w:tcPr>
          <w:p>
            <w:pPr>
              <w:rPr>
                <w:rFonts w:ascii="Arial"/>
                <w:sz w:val="21"/>
              </w:rPr>
            </w:pPr>
            <w:r/>
          </w:p>
        </w:tc>
        <w:tc>
          <w:tcPr>
            <w:tcW w:w="707" w:type="dxa"/>
            <w:vAlign w:val="top"/>
            <w:vMerge w:val="continue"/>
            <w:tcBorders>
              <w:top w:val="nil"/>
              <w:bottom w:val="nil"/>
            </w:tcBorders>
          </w:tcPr>
          <w:p>
            <w:pPr>
              <w:rPr>
                <w:rFonts w:ascii="Arial"/>
                <w:sz w:val="21"/>
              </w:rPr>
            </w:pPr>
            <w:r/>
          </w:p>
        </w:tc>
      </w:tr>
      <w:tr>
        <w:trPr>
          <w:trHeight w:val="424" w:hRule="atLeast"/>
        </w:trPr>
        <w:tc>
          <w:tcPr>
            <w:tcW w:w="893" w:type="dxa"/>
            <w:vAlign w:val="top"/>
            <w:vMerge w:val="continue"/>
            <w:tcBorders>
              <w:top w:val="nil"/>
            </w:tcBorders>
          </w:tcPr>
          <w:p>
            <w:pPr>
              <w:rPr>
                <w:rFonts w:ascii="Arial"/>
                <w:sz w:val="21"/>
              </w:rPr>
            </w:pPr>
            <w:r/>
          </w:p>
        </w:tc>
        <w:tc>
          <w:tcPr>
            <w:tcW w:w="1049" w:type="dxa"/>
            <w:vAlign w:val="top"/>
            <w:vMerge w:val="continue"/>
            <w:tcBorders>
              <w:top w:val="nil"/>
            </w:tcBorders>
          </w:tcPr>
          <w:p>
            <w:pPr>
              <w:rPr>
                <w:rFonts w:ascii="Arial"/>
                <w:sz w:val="21"/>
              </w:rPr>
            </w:pPr>
            <w:r/>
          </w:p>
        </w:tc>
        <w:tc>
          <w:tcPr>
            <w:tcW w:w="1322" w:type="dxa"/>
            <w:vAlign w:val="top"/>
            <w:vMerge w:val="continue"/>
            <w:tcBorders>
              <w:top w:val="nil"/>
            </w:tcBorders>
          </w:tcPr>
          <w:p>
            <w:pPr>
              <w:rPr>
                <w:rFonts w:ascii="Arial"/>
                <w:sz w:val="21"/>
              </w:rPr>
            </w:pPr>
            <w:r/>
          </w:p>
        </w:tc>
        <w:tc>
          <w:tcPr>
            <w:tcW w:w="1501" w:type="dxa"/>
            <w:vAlign w:val="top"/>
            <w:vMerge w:val="continue"/>
            <w:tcBorders>
              <w:top w:val="nil"/>
            </w:tcBorders>
          </w:tcPr>
          <w:p>
            <w:pPr>
              <w:rPr>
                <w:rFonts w:ascii="Arial"/>
                <w:sz w:val="21"/>
              </w:rPr>
            </w:pPr>
            <w:r/>
          </w:p>
        </w:tc>
        <w:tc>
          <w:tcPr>
            <w:tcW w:w="1003" w:type="dxa"/>
            <w:vAlign w:val="top"/>
            <w:vMerge w:val="continue"/>
            <w:tcBorders>
              <w:top w:val="nil"/>
            </w:tcBorders>
          </w:tcPr>
          <w:p>
            <w:pPr>
              <w:rPr>
                <w:rFonts w:ascii="Arial"/>
                <w:sz w:val="21"/>
              </w:rPr>
            </w:pPr>
            <w:r/>
          </w:p>
        </w:tc>
        <w:tc>
          <w:tcPr>
            <w:tcW w:w="1322" w:type="dxa"/>
            <w:vAlign w:val="top"/>
          </w:tcPr>
          <w:p>
            <w:pPr>
              <w:ind w:left="452"/>
              <w:spacing w:before="14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NOx</w:t>
            </w:r>
          </w:p>
        </w:tc>
        <w:tc>
          <w:tcPr>
            <w:tcW w:w="1198" w:type="dxa"/>
            <w:vAlign w:val="top"/>
          </w:tcPr>
          <w:p>
            <w:pPr>
              <w:ind w:left="420"/>
              <w:spacing w:before="14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92.8</w:t>
            </w:r>
          </w:p>
        </w:tc>
        <w:tc>
          <w:tcPr>
            <w:tcW w:w="1276" w:type="dxa"/>
            <w:vAlign w:val="top"/>
          </w:tcPr>
          <w:p>
            <w:pPr>
              <w:ind w:left="407"/>
              <w:spacing w:before="14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0.557</w:t>
            </w:r>
          </w:p>
        </w:tc>
        <w:tc>
          <w:tcPr>
            <w:tcW w:w="897" w:type="dxa"/>
            <w:vAlign w:val="top"/>
            <w:vMerge w:val="continue"/>
            <w:tcBorders>
              <w:top w:val="nil"/>
            </w:tcBorders>
          </w:tcPr>
          <w:p>
            <w:pPr>
              <w:rPr>
                <w:rFonts w:ascii="Arial"/>
                <w:sz w:val="21"/>
              </w:rPr>
            </w:pPr>
            <w:r/>
          </w:p>
        </w:tc>
        <w:tc>
          <w:tcPr>
            <w:tcW w:w="827" w:type="dxa"/>
            <w:vAlign w:val="top"/>
            <w:vMerge w:val="continue"/>
            <w:tcBorders>
              <w:top w:val="nil"/>
            </w:tcBorders>
          </w:tcPr>
          <w:p>
            <w:pPr>
              <w:rPr>
                <w:rFonts w:ascii="Arial"/>
                <w:sz w:val="21"/>
              </w:rPr>
            </w:pPr>
            <w:r/>
          </w:p>
        </w:tc>
        <w:tc>
          <w:tcPr>
            <w:tcW w:w="751" w:type="dxa"/>
            <w:vAlign w:val="top"/>
            <w:vMerge w:val="continue"/>
            <w:tcBorders>
              <w:top w:val="nil"/>
            </w:tcBorders>
          </w:tcPr>
          <w:p>
            <w:pPr>
              <w:rPr>
                <w:rFonts w:ascii="Arial"/>
                <w:sz w:val="21"/>
              </w:rPr>
            </w:pPr>
            <w:r/>
          </w:p>
        </w:tc>
        <w:tc>
          <w:tcPr>
            <w:tcW w:w="803" w:type="dxa"/>
            <w:vAlign w:val="top"/>
            <w:vMerge w:val="continue"/>
            <w:tcBorders>
              <w:top w:val="nil"/>
            </w:tcBorders>
          </w:tcPr>
          <w:p>
            <w:pPr>
              <w:rPr>
                <w:rFonts w:ascii="Arial"/>
                <w:sz w:val="21"/>
              </w:rPr>
            </w:pPr>
            <w:r/>
          </w:p>
        </w:tc>
        <w:tc>
          <w:tcPr>
            <w:tcW w:w="707" w:type="dxa"/>
            <w:vAlign w:val="top"/>
            <w:vMerge w:val="continue"/>
            <w:tcBorders>
              <w:top w:val="nil"/>
            </w:tcBorders>
          </w:tcPr>
          <w:p>
            <w:pPr>
              <w:rPr>
                <w:rFonts w:ascii="Arial"/>
                <w:sz w:val="21"/>
              </w:rPr>
            </w:pPr>
            <w:r/>
          </w:p>
        </w:tc>
      </w:tr>
    </w:tbl>
    <w:p>
      <w:pPr>
        <w:pStyle w:val="BodyText"/>
        <w:spacing w:line="279" w:lineRule="auto"/>
        <w:rPr/>
      </w:pPr>
      <w:r/>
    </w:p>
    <w:p>
      <w:pPr>
        <w:pStyle w:val="BodyText"/>
        <w:spacing w:line="279" w:lineRule="auto"/>
        <w:rPr/>
      </w:pPr>
      <w:r/>
    </w:p>
    <w:p>
      <w:pPr>
        <w:pStyle w:val="BodyText"/>
        <w:spacing w:line="280" w:lineRule="auto"/>
        <w:rPr/>
      </w:pPr>
      <w:r/>
    </w:p>
    <w:p>
      <w:pPr>
        <w:pStyle w:val="BodyText"/>
        <w:spacing w:line="280" w:lineRule="auto"/>
        <w:rPr/>
      </w:pPr>
      <w:r/>
    </w:p>
    <w:p>
      <w:pPr>
        <w:pStyle w:val="BodyText"/>
        <w:spacing w:line="280" w:lineRule="auto"/>
        <w:rPr/>
      </w:pPr>
      <w:r/>
    </w:p>
    <w:p>
      <w:pPr>
        <w:ind w:left="67"/>
        <w:spacing w:before="61" w:line="227" w:lineRule="auto"/>
        <w:rPr>
          <w:rFonts w:ascii="Times New Roman" w:hAnsi="Times New Roman" w:eastAsia="Times New Roman" w:cs="Times New Roman"/>
          <w:sz w:val="18"/>
          <w:szCs w:val="18"/>
        </w:rPr>
      </w:pPr>
      <w:r>
        <w:rPr>
          <w:rFonts w:ascii="SimSun" w:hAnsi="SimSun" w:eastAsia="SimSun" w:cs="SimSun"/>
          <w:sz w:val="19"/>
          <w:szCs w:val="19"/>
          <w:spacing w:val="6"/>
        </w:rPr>
        <w:t>锡林郭勒盟中安环境技术咨询有限责任公司                            </w:t>
      </w:r>
      <w:r>
        <w:rPr>
          <w:rFonts w:ascii="Times New Roman" w:hAnsi="Times New Roman" w:eastAsia="Times New Roman" w:cs="Times New Roman"/>
          <w:sz w:val="18"/>
          <w:szCs w:val="18"/>
          <w:spacing w:val="6"/>
          <w:position w:val="2"/>
        </w:rPr>
        <w:t>157</w:t>
      </w:r>
    </w:p>
    <w:p>
      <w:pPr>
        <w:spacing w:line="227" w:lineRule="auto"/>
        <w:sectPr>
          <w:headerReference w:type="default" r:id="rId209"/>
          <w:footerReference w:type="default" r:id="rId3"/>
          <w:pgSz w:w="16839" w:h="11906"/>
          <w:pgMar w:top="1567" w:right="1642" w:bottom="400" w:left="1641" w:header="1221" w:footer="0" w:gutter="0"/>
        </w:sectPr>
        <w:rPr>
          <w:rFonts w:ascii="Times New Roman" w:hAnsi="Times New Roman" w:eastAsia="Times New Roman" w:cs="Times New Roman"/>
          <w:sz w:val="18"/>
          <w:szCs w:val="18"/>
        </w:rPr>
      </w:pPr>
    </w:p>
    <w:p>
      <w:pPr>
        <w:ind w:left="4038"/>
        <w:spacing w:before="170" w:line="211" w:lineRule="auto"/>
        <w:rPr>
          <w:rFonts w:ascii="SimSun" w:hAnsi="SimSun" w:eastAsia="SimSun" w:cs="SimSun"/>
          <w:sz w:val="24"/>
          <w:szCs w:val="24"/>
        </w:rPr>
      </w:pPr>
      <w:r>
        <w:pict>
          <v:shape id="_x0000_s750" style="position:absolute;margin-left:85.05pt;margin-top:78.87pt;mso-position-vertical-relative:page;mso-position-horizontal-relative:page;width:671.8pt;height:0.75pt;z-index:252003328;" o:allowincell="f" fillcolor="#000000" filled="true" stroked="false" coordsize="13435,15" coordorigin="0,0" path="m,l13435,0l13435,14l0,14l0,0xe"/>
        </w:pict>
      </w: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5.1-9      </w:t>
      </w:r>
      <w:r>
        <w:rPr>
          <w:rFonts w:ascii="SimSun" w:hAnsi="SimSun" w:eastAsia="SimSun" w:cs="SimSun"/>
          <w:sz w:val="24"/>
          <w:szCs w:val="24"/>
          <w:b/>
          <w:bCs/>
          <w:spacing w:val="-2"/>
        </w:rPr>
        <w:t>项目大气污染源参数一览表（矩形面源）</w:t>
      </w:r>
    </w:p>
    <w:tbl>
      <w:tblPr>
        <w:tblStyle w:val="TableNormal"/>
        <w:tblW w:w="1355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39"/>
        <w:gridCol w:w="873"/>
        <w:gridCol w:w="1686"/>
        <w:gridCol w:w="1244"/>
        <w:gridCol w:w="1520"/>
        <w:gridCol w:w="1360"/>
        <w:gridCol w:w="1044"/>
        <w:gridCol w:w="708"/>
        <w:gridCol w:w="754"/>
        <w:gridCol w:w="1122"/>
        <w:gridCol w:w="1011"/>
        <w:gridCol w:w="911"/>
        <w:gridCol w:w="782"/>
      </w:tblGrid>
      <w:tr>
        <w:trPr>
          <w:trHeight w:val="349" w:hRule="atLeast"/>
        </w:trPr>
        <w:tc>
          <w:tcPr>
            <w:tcW w:w="539" w:type="dxa"/>
            <w:vAlign w:val="top"/>
            <w:vMerge w:val="restart"/>
            <w:tcBorders>
              <w:bottom w:val="nil"/>
            </w:tcBorders>
          </w:tcPr>
          <w:p>
            <w:pPr>
              <w:spacing w:line="320" w:lineRule="auto"/>
              <w:rPr>
                <w:rFonts w:ascii="Arial"/>
                <w:sz w:val="21"/>
              </w:rPr>
            </w:pPr>
            <w:r/>
          </w:p>
          <w:p>
            <w:pPr>
              <w:pStyle w:val="TableText"/>
              <w:ind w:left="67"/>
              <w:spacing w:before="65" w:line="228" w:lineRule="auto"/>
              <w:rPr/>
            </w:pPr>
            <w:r>
              <w:rPr>
                <w:spacing w:val="3"/>
              </w:rPr>
              <w:t>编号</w:t>
            </w:r>
          </w:p>
        </w:tc>
        <w:tc>
          <w:tcPr>
            <w:tcW w:w="873" w:type="dxa"/>
            <w:vAlign w:val="top"/>
            <w:vMerge w:val="restart"/>
            <w:tcBorders>
              <w:bottom w:val="nil"/>
            </w:tcBorders>
          </w:tcPr>
          <w:p>
            <w:pPr>
              <w:spacing w:line="321" w:lineRule="auto"/>
              <w:rPr>
                <w:rFonts w:ascii="Arial"/>
                <w:sz w:val="21"/>
              </w:rPr>
            </w:pPr>
            <w:r/>
          </w:p>
          <w:p>
            <w:pPr>
              <w:pStyle w:val="TableText"/>
              <w:ind w:left="232"/>
              <w:spacing w:before="65" w:line="230" w:lineRule="auto"/>
              <w:rPr/>
            </w:pPr>
            <w:r>
              <w:rPr>
                <w:spacing w:val="3"/>
              </w:rPr>
              <w:t>名称</w:t>
            </w:r>
          </w:p>
        </w:tc>
        <w:tc>
          <w:tcPr>
            <w:tcW w:w="1686" w:type="dxa"/>
            <w:vAlign w:val="top"/>
            <w:vMerge w:val="restart"/>
            <w:tcBorders>
              <w:bottom w:val="nil"/>
            </w:tcBorders>
          </w:tcPr>
          <w:p>
            <w:pPr>
              <w:spacing w:line="321" w:lineRule="auto"/>
              <w:rPr>
                <w:rFonts w:ascii="Arial"/>
                <w:sz w:val="21"/>
              </w:rPr>
            </w:pPr>
            <w:r/>
          </w:p>
          <w:p>
            <w:pPr>
              <w:pStyle w:val="TableText"/>
              <w:ind w:left="323"/>
              <w:spacing w:before="65" w:line="228" w:lineRule="auto"/>
              <w:rPr/>
            </w:pPr>
            <w:r>
              <w:rPr>
                <w:spacing w:val="7"/>
              </w:rPr>
              <w:t>污染物名称</w:t>
            </w:r>
          </w:p>
        </w:tc>
        <w:tc>
          <w:tcPr>
            <w:tcW w:w="1244" w:type="dxa"/>
            <w:vAlign w:val="top"/>
            <w:vMerge w:val="restart"/>
            <w:tcBorders>
              <w:bottom w:val="nil"/>
            </w:tcBorders>
          </w:tcPr>
          <w:p>
            <w:pPr>
              <w:pStyle w:val="TableText"/>
              <w:ind w:left="205"/>
              <w:spacing w:before="231" w:line="228" w:lineRule="auto"/>
              <w:rPr/>
            </w:pPr>
            <w:r>
              <w:rPr>
                <w:spacing w:val="7"/>
              </w:rPr>
              <w:t>排放速率</w:t>
            </w:r>
          </w:p>
          <w:p>
            <w:pPr>
              <w:pStyle w:val="TableText"/>
              <w:ind w:left="239"/>
              <w:spacing w:before="65" w:line="221" w:lineRule="auto"/>
              <w:rPr/>
            </w:pPr>
            <w:r>
              <w:rPr>
                <w:spacing w:val="2"/>
              </w:rPr>
              <w:t>（</w:t>
            </w:r>
            <w:r>
              <w:rPr>
                <w:rFonts w:ascii="Times New Roman" w:hAnsi="Times New Roman" w:eastAsia="Times New Roman" w:cs="Times New Roman"/>
              </w:rPr>
              <w:t>kg</w:t>
            </w:r>
            <w:r>
              <w:rPr>
                <w:rFonts w:ascii="Times New Roman" w:hAnsi="Times New Roman" w:eastAsia="Times New Roman" w:cs="Times New Roman"/>
                <w:spacing w:val="2"/>
              </w:rPr>
              <w:t>/h</w:t>
            </w:r>
            <w:r>
              <w:rPr>
                <w:spacing w:val="2"/>
              </w:rPr>
              <w:t>）</w:t>
            </w:r>
          </w:p>
        </w:tc>
        <w:tc>
          <w:tcPr>
            <w:tcW w:w="2880" w:type="dxa"/>
            <w:vAlign w:val="top"/>
            <w:gridSpan w:val="2"/>
          </w:tcPr>
          <w:p>
            <w:pPr>
              <w:pStyle w:val="TableText"/>
              <w:ind w:left="706"/>
              <w:spacing w:before="71" w:line="228" w:lineRule="auto"/>
              <w:rPr>
                <w:rFonts w:ascii="Times New Roman" w:hAnsi="Times New Roman" w:eastAsia="Times New Roman" w:cs="Times New Roman"/>
              </w:rPr>
            </w:pPr>
            <w:r>
              <w:rPr>
                <w:spacing w:val="7"/>
              </w:rPr>
              <w:t>面源起点坐标</w:t>
            </w:r>
            <w:r>
              <w:rPr>
                <w:rFonts w:ascii="Times New Roman" w:hAnsi="Times New Roman" w:eastAsia="Times New Roman" w:cs="Times New Roman"/>
                <w:spacing w:val="7"/>
              </w:rPr>
              <w:t>/m</w:t>
            </w:r>
          </w:p>
        </w:tc>
        <w:tc>
          <w:tcPr>
            <w:tcW w:w="1044" w:type="dxa"/>
            <w:vAlign w:val="top"/>
            <w:vMerge w:val="restart"/>
            <w:tcBorders>
              <w:bottom w:val="nil"/>
            </w:tcBorders>
          </w:tcPr>
          <w:p>
            <w:pPr>
              <w:pStyle w:val="TableText"/>
              <w:ind w:left="107"/>
              <w:spacing w:before="231" w:line="228" w:lineRule="auto"/>
              <w:rPr/>
            </w:pPr>
            <w:r>
              <w:rPr>
                <w:spacing w:val="7"/>
              </w:rPr>
              <w:t>海拔高度</w:t>
            </w:r>
          </w:p>
          <w:p>
            <w:pPr>
              <w:ind w:left="410"/>
              <w:spacing w:before="9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w:t>
            </w:r>
          </w:p>
        </w:tc>
        <w:tc>
          <w:tcPr>
            <w:tcW w:w="3595" w:type="dxa"/>
            <w:vAlign w:val="top"/>
            <w:gridSpan w:val="4"/>
          </w:tcPr>
          <w:p>
            <w:pPr>
              <w:pStyle w:val="TableText"/>
              <w:ind w:left="1385"/>
              <w:spacing w:before="71" w:line="228" w:lineRule="auto"/>
              <w:rPr/>
            </w:pPr>
            <w:r>
              <w:rPr>
                <w:spacing w:val="7"/>
              </w:rPr>
              <w:t>面源参数</w:t>
            </w:r>
          </w:p>
        </w:tc>
        <w:tc>
          <w:tcPr>
            <w:tcW w:w="911" w:type="dxa"/>
            <w:vAlign w:val="top"/>
            <w:vMerge w:val="restart"/>
            <w:tcBorders>
              <w:bottom w:val="nil"/>
            </w:tcBorders>
          </w:tcPr>
          <w:p>
            <w:pPr>
              <w:pStyle w:val="TableText"/>
              <w:ind w:left="73" w:right="55" w:firstLine="74"/>
              <w:spacing w:before="233" w:line="289" w:lineRule="auto"/>
              <w:rPr>
                <w:rFonts w:ascii="Times New Roman" w:hAnsi="Times New Roman" w:eastAsia="Times New Roman" w:cs="Times New Roman"/>
              </w:rPr>
            </w:pPr>
            <w:r>
              <w:rPr>
                <w:spacing w:val="6"/>
              </w:rPr>
              <w:t>年排放</w:t>
            </w:r>
            <w:r>
              <w:rPr/>
              <w:t xml:space="preserve">  </w:t>
            </w:r>
            <w:r>
              <w:rPr>
                <w:spacing w:val="4"/>
              </w:rPr>
              <w:t>小时数</w:t>
            </w:r>
            <w:r>
              <w:rPr>
                <w:rFonts w:ascii="Times New Roman" w:hAnsi="Times New Roman" w:eastAsia="Times New Roman" w:cs="Times New Roman"/>
                <w:spacing w:val="4"/>
              </w:rPr>
              <w:t>/h</w:t>
            </w:r>
          </w:p>
        </w:tc>
        <w:tc>
          <w:tcPr>
            <w:tcW w:w="782" w:type="dxa"/>
            <w:vAlign w:val="top"/>
            <w:vMerge w:val="restart"/>
            <w:tcBorders>
              <w:bottom w:val="nil"/>
            </w:tcBorders>
          </w:tcPr>
          <w:p>
            <w:pPr>
              <w:pStyle w:val="TableText"/>
              <w:ind w:left="80"/>
              <w:spacing w:before="232" w:line="229" w:lineRule="auto"/>
              <w:rPr/>
            </w:pPr>
            <w:r>
              <w:rPr>
                <w:spacing w:val="6"/>
              </w:rPr>
              <w:t>排放工</w:t>
            </w:r>
          </w:p>
          <w:p>
            <w:pPr>
              <w:pStyle w:val="TableText"/>
              <w:ind w:left="293"/>
              <w:spacing w:before="64" w:line="228" w:lineRule="auto"/>
              <w:rPr/>
            </w:pPr>
            <w:r>
              <w:rPr/>
              <w:t>况</w:t>
            </w:r>
          </w:p>
        </w:tc>
      </w:tr>
      <w:tr>
        <w:trPr>
          <w:trHeight w:val="628" w:hRule="atLeast"/>
        </w:trPr>
        <w:tc>
          <w:tcPr>
            <w:tcW w:w="539" w:type="dxa"/>
            <w:vAlign w:val="top"/>
            <w:vMerge w:val="continue"/>
            <w:tcBorders>
              <w:top w:val="nil"/>
            </w:tcBorders>
          </w:tcPr>
          <w:p>
            <w:pPr>
              <w:rPr>
                <w:rFonts w:ascii="Arial"/>
                <w:sz w:val="21"/>
              </w:rPr>
            </w:pPr>
            <w:r/>
          </w:p>
        </w:tc>
        <w:tc>
          <w:tcPr>
            <w:tcW w:w="873" w:type="dxa"/>
            <w:vAlign w:val="top"/>
            <w:vMerge w:val="continue"/>
            <w:tcBorders>
              <w:top w:val="nil"/>
            </w:tcBorders>
          </w:tcPr>
          <w:p>
            <w:pPr>
              <w:rPr>
                <w:rFonts w:ascii="Arial"/>
                <w:sz w:val="21"/>
              </w:rPr>
            </w:pPr>
            <w:r/>
          </w:p>
        </w:tc>
        <w:tc>
          <w:tcPr>
            <w:tcW w:w="1686" w:type="dxa"/>
            <w:vAlign w:val="top"/>
            <w:vMerge w:val="continue"/>
            <w:tcBorders>
              <w:top w:val="nil"/>
            </w:tcBorders>
          </w:tcPr>
          <w:p>
            <w:pPr>
              <w:rPr>
                <w:rFonts w:ascii="Arial"/>
                <w:sz w:val="21"/>
              </w:rPr>
            </w:pPr>
            <w:r/>
          </w:p>
        </w:tc>
        <w:tc>
          <w:tcPr>
            <w:tcW w:w="1244" w:type="dxa"/>
            <w:vAlign w:val="top"/>
            <w:vMerge w:val="continue"/>
            <w:tcBorders>
              <w:top w:val="nil"/>
            </w:tcBorders>
          </w:tcPr>
          <w:p>
            <w:pPr>
              <w:rPr>
                <w:rFonts w:ascii="Arial"/>
                <w:sz w:val="21"/>
              </w:rPr>
            </w:pPr>
            <w:r/>
          </w:p>
        </w:tc>
        <w:tc>
          <w:tcPr>
            <w:tcW w:w="1520" w:type="dxa"/>
            <w:vAlign w:val="top"/>
          </w:tcPr>
          <w:p>
            <w:pPr>
              <w:pStyle w:val="TableText"/>
              <w:ind w:left="555"/>
              <w:spacing w:before="209" w:line="228" w:lineRule="auto"/>
              <w:rPr/>
            </w:pPr>
            <w:r>
              <w:rPr>
                <w:spacing w:val="4"/>
              </w:rPr>
              <w:t>纬度</w:t>
            </w:r>
          </w:p>
        </w:tc>
        <w:tc>
          <w:tcPr>
            <w:tcW w:w="1360" w:type="dxa"/>
            <w:vAlign w:val="top"/>
          </w:tcPr>
          <w:p>
            <w:pPr>
              <w:pStyle w:val="TableText"/>
              <w:ind w:left="476"/>
              <w:spacing w:before="209" w:line="228" w:lineRule="auto"/>
              <w:rPr/>
            </w:pPr>
            <w:r>
              <w:rPr>
                <w:spacing w:val="3"/>
              </w:rPr>
              <w:t>经度</w:t>
            </w:r>
          </w:p>
        </w:tc>
        <w:tc>
          <w:tcPr>
            <w:tcW w:w="1044" w:type="dxa"/>
            <w:vAlign w:val="top"/>
            <w:vMerge w:val="continue"/>
            <w:tcBorders>
              <w:top w:val="nil"/>
            </w:tcBorders>
          </w:tcPr>
          <w:p>
            <w:pPr>
              <w:rPr>
                <w:rFonts w:ascii="Arial"/>
                <w:sz w:val="21"/>
              </w:rPr>
            </w:pPr>
            <w:r/>
          </w:p>
        </w:tc>
        <w:tc>
          <w:tcPr>
            <w:tcW w:w="708" w:type="dxa"/>
            <w:vAlign w:val="top"/>
          </w:tcPr>
          <w:p>
            <w:pPr>
              <w:pStyle w:val="TableText"/>
              <w:ind w:left="152"/>
              <w:spacing w:before="53" w:line="228" w:lineRule="auto"/>
              <w:rPr/>
            </w:pPr>
            <w:r>
              <w:rPr>
                <w:spacing w:val="4"/>
              </w:rPr>
              <w:t>长度</w:t>
            </w:r>
          </w:p>
          <w:p>
            <w:pPr>
              <w:ind w:left="242"/>
              <w:spacing w:before="9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w:t>
            </w:r>
          </w:p>
        </w:tc>
        <w:tc>
          <w:tcPr>
            <w:tcW w:w="754" w:type="dxa"/>
            <w:vAlign w:val="top"/>
          </w:tcPr>
          <w:p>
            <w:pPr>
              <w:pStyle w:val="TableText"/>
              <w:ind w:left="183"/>
              <w:spacing w:before="53" w:line="228" w:lineRule="auto"/>
              <w:rPr/>
            </w:pPr>
            <w:r>
              <w:rPr>
                <w:spacing w:val="-1"/>
              </w:rPr>
              <w:t>宽度</w:t>
            </w:r>
          </w:p>
          <w:p>
            <w:pPr>
              <w:ind w:left="266"/>
              <w:spacing w:before="9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/m</w:t>
            </w:r>
          </w:p>
        </w:tc>
        <w:tc>
          <w:tcPr>
            <w:tcW w:w="1122" w:type="dxa"/>
            <w:vAlign w:val="top"/>
          </w:tcPr>
          <w:p>
            <w:pPr>
              <w:pStyle w:val="TableText"/>
              <w:ind w:left="152"/>
              <w:spacing w:before="53" w:line="229" w:lineRule="auto"/>
              <w:rPr/>
            </w:pPr>
            <w:r>
              <w:rPr>
                <w:spacing w:val="6"/>
              </w:rPr>
              <w:t>与正北向</w:t>
            </w:r>
          </w:p>
          <w:p>
            <w:pPr>
              <w:pStyle w:val="TableText"/>
              <w:ind w:left="289"/>
              <w:spacing w:before="63" w:line="227" w:lineRule="auto"/>
              <w:rPr>
                <w:rFonts w:ascii="Times New Roman" w:hAnsi="Times New Roman" w:eastAsia="Times New Roman" w:cs="Times New Roman"/>
              </w:rPr>
            </w:pPr>
            <w:r>
              <w:rPr>
                <w:spacing w:val="3"/>
              </w:rPr>
              <w:t>夹角</w:t>
            </w:r>
            <w:r>
              <w:rPr>
                <w:rFonts w:ascii="Times New Roman" w:hAnsi="Times New Roman" w:eastAsia="Times New Roman" w:cs="Times New Roman"/>
                <w:spacing w:val="3"/>
              </w:rPr>
              <w:t>/°</w:t>
            </w:r>
          </w:p>
        </w:tc>
        <w:tc>
          <w:tcPr>
            <w:tcW w:w="1011" w:type="dxa"/>
            <w:vAlign w:val="top"/>
          </w:tcPr>
          <w:p>
            <w:pPr>
              <w:pStyle w:val="TableText"/>
              <w:ind w:left="92"/>
              <w:spacing w:before="53" w:line="228" w:lineRule="auto"/>
              <w:rPr/>
            </w:pPr>
            <w:r>
              <w:rPr>
                <w:spacing w:val="7"/>
              </w:rPr>
              <w:t>排放高度</w:t>
            </w:r>
          </w:p>
          <w:p>
            <w:pPr>
              <w:pStyle w:val="TableText"/>
              <w:ind w:left="232"/>
              <w:spacing w:before="65" w:line="233" w:lineRule="auto"/>
              <w:rPr/>
            </w:pPr>
            <w:r>
              <w:rPr>
                <w:spacing w:val="-1"/>
              </w:rPr>
              <w:t>（</w:t>
            </w:r>
            <w:r>
              <w:rPr>
                <w:rFonts w:ascii="Times New Roman" w:hAnsi="Times New Roman" w:eastAsia="Times New Roman" w:cs="Times New Roman"/>
                <w:spacing w:val="-1"/>
              </w:rPr>
              <w:t>m</w:t>
            </w:r>
            <w:r>
              <w:rPr>
                <w:spacing w:val="-1"/>
              </w:rPr>
              <w:t>）</w:t>
            </w:r>
          </w:p>
        </w:tc>
        <w:tc>
          <w:tcPr>
            <w:tcW w:w="911" w:type="dxa"/>
            <w:vAlign w:val="top"/>
            <w:vMerge w:val="continue"/>
            <w:tcBorders>
              <w:top w:val="nil"/>
            </w:tcBorders>
          </w:tcPr>
          <w:p>
            <w:pPr>
              <w:rPr>
                <w:rFonts w:ascii="Arial"/>
                <w:sz w:val="21"/>
              </w:rPr>
            </w:pPr>
            <w:r/>
          </w:p>
        </w:tc>
        <w:tc>
          <w:tcPr>
            <w:tcW w:w="782" w:type="dxa"/>
            <w:vAlign w:val="top"/>
            <w:vMerge w:val="continue"/>
            <w:tcBorders>
              <w:top w:val="nil"/>
            </w:tcBorders>
          </w:tcPr>
          <w:p>
            <w:pPr>
              <w:rPr>
                <w:rFonts w:ascii="Arial"/>
                <w:sz w:val="21"/>
              </w:rPr>
            </w:pPr>
            <w:r/>
          </w:p>
        </w:tc>
      </w:tr>
      <w:tr>
        <w:trPr>
          <w:trHeight w:val="628" w:hRule="atLeast"/>
        </w:trPr>
        <w:tc>
          <w:tcPr>
            <w:tcW w:w="539" w:type="dxa"/>
            <w:vAlign w:val="top"/>
            <w:vMerge w:val="restart"/>
            <w:tcBorders>
              <w:bottom w:val="nil"/>
            </w:tcBorders>
          </w:tcPr>
          <w:p>
            <w:pPr>
              <w:spacing w:line="319" w:lineRule="auto"/>
              <w:rPr>
                <w:rFonts w:ascii="Arial"/>
                <w:sz w:val="21"/>
              </w:rPr>
            </w:pPr>
            <w:r/>
          </w:p>
          <w:p>
            <w:pPr>
              <w:spacing w:line="319" w:lineRule="auto"/>
              <w:rPr>
                <w:rFonts w:ascii="Arial"/>
                <w:sz w:val="21"/>
              </w:rPr>
            </w:pPr>
            <w:r/>
          </w:p>
          <w:p>
            <w:pPr>
              <w:ind w:left="23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73" w:type="dxa"/>
            <w:vAlign w:val="top"/>
            <w:vMerge w:val="restart"/>
            <w:tcBorders>
              <w:bottom w:val="nil"/>
            </w:tcBorders>
          </w:tcPr>
          <w:p>
            <w:pPr>
              <w:spacing w:line="325" w:lineRule="auto"/>
              <w:rPr>
                <w:rFonts w:ascii="Arial"/>
                <w:sz w:val="21"/>
              </w:rPr>
            </w:pPr>
            <w:r/>
          </w:p>
          <w:p>
            <w:pPr>
              <w:pStyle w:val="TableText"/>
              <w:ind w:left="123"/>
              <w:spacing w:before="65" w:line="228" w:lineRule="auto"/>
              <w:rPr/>
            </w:pPr>
            <w:r>
              <w:rPr>
                <w:spacing w:val="7"/>
              </w:rPr>
              <w:t>洗毛车</w:t>
            </w:r>
          </w:p>
          <w:p>
            <w:pPr>
              <w:pStyle w:val="TableText"/>
              <w:ind w:left="75"/>
              <w:spacing w:before="24" w:line="228" w:lineRule="auto"/>
              <w:rPr/>
            </w:pPr>
            <w:r>
              <w:rPr>
                <w:spacing w:val="-18"/>
              </w:rPr>
              <w:t>间（东厂</w:t>
            </w:r>
          </w:p>
          <w:p>
            <w:pPr>
              <w:pStyle w:val="TableText"/>
              <w:ind w:left="245"/>
              <w:spacing w:before="24" w:line="233" w:lineRule="auto"/>
              <w:rPr/>
            </w:pPr>
            <w:r>
              <w:rPr>
                <w:spacing w:val="-8"/>
              </w:rPr>
              <w:t>区）</w:t>
            </w:r>
          </w:p>
        </w:tc>
        <w:tc>
          <w:tcPr>
            <w:tcW w:w="1686" w:type="dxa"/>
            <w:vAlign w:val="top"/>
          </w:tcPr>
          <w:p>
            <w:pPr>
              <w:pStyle w:val="TableText"/>
              <w:ind w:left="109"/>
              <w:spacing w:before="53" w:line="228" w:lineRule="auto"/>
              <w:rPr/>
            </w:pPr>
            <w:r>
              <w:rPr>
                <w:spacing w:val="8"/>
              </w:rPr>
              <w:t>颗粒物（未收集</w:t>
            </w:r>
          </w:p>
          <w:p>
            <w:pPr>
              <w:pStyle w:val="TableText"/>
              <w:ind w:left="529"/>
              <w:spacing w:before="65" w:line="228" w:lineRule="auto"/>
              <w:rPr/>
            </w:pPr>
            <w:r>
              <w:rPr>
                <w:spacing w:val="3"/>
              </w:rPr>
              <w:t>粉尘）</w:t>
            </w:r>
          </w:p>
        </w:tc>
        <w:tc>
          <w:tcPr>
            <w:tcW w:w="1244" w:type="dxa"/>
            <w:vAlign w:val="top"/>
          </w:tcPr>
          <w:p>
            <w:pPr>
              <w:ind w:left="389"/>
              <w:spacing w:before="24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0.001</w:t>
            </w:r>
          </w:p>
        </w:tc>
        <w:tc>
          <w:tcPr>
            <w:tcW w:w="1520" w:type="dxa"/>
            <w:vAlign w:val="top"/>
            <w:vMerge w:val="restart"/>
            <w:tcBorders>
              <w:bottom w:val="nil"/>
            </w:tcBorders>
          </w:tcPr>
          <w:p>
            <w:pPr>
              <w:spacing w:line="319" w:lineRule="auto"/>
              <w:rPr>
                <w:rFonts w:ascii="Arial"/>
                <w:sz w:val="21"/>
              </w:rPr>
            </w:pPr>
            <w:r/>
          </w:p>
          <w:p>
            <w:pPr>
              <w:spacing w:line="319" w:lineRule="auto"/>
              <w:rPr>
                <w:rFonts w:ascii="Arial"/>
                <w:sz w:val="21"/>
              </w:rPr>
            </w:pPr>
            <w:r/>
          </w:p>
          <w:p>
            <w:pPr>
              <w:ind w:left="17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114.97251391</w:t>
            </w:r>
          </w:p>
        </w:tc>
        <w:tc>
          <w:tcPr>
            <w:tcW w:w="1360" w:type="dxa"/>
            <w:vAlign w:val="top"/>
            <w:vMerge w:val="restart"/>
            <w:tcBorders>
              <w:bottom w:val="nil"/>
            </w:tcBorders>
          </w:tcPr>
          <w:p>
            <w:pPr>
              <w:spacing w:line="319" w:lineRule="auto"/>
              <w:rPr>
                <w:rFonts w:ascii="Arial"/>
                <w:sz w:val="21"/>
              </w:rPr>
            </w:pPr>
            <w:r/>
          </w:p>
          <w:p>
            <w:pPr>
              <w:spacing w:line="319" w:lineRule="auto"/>
              <w:rPr>
                <w:rFonts w:ascii="Arial"/>
                <w:sz w:val="21"/>
              </w:rPr>
            </w:pPr>
            <w:r/>
          </w:p>
          <w:p>
            <w:pPr>
              <w:ind w:left="12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42.29625054</w:t>
            </w:r>
          </w:p>
        </w:tc>
        <w:tc>
          <w:tcPr>
            <w:tcW w:w="1044" w:type="dxa"/>
            <w:vAlign w:val="top"/>
            <w:vMerge w:val="restart"/>
            <w:tcBorders>
              <w:bottom w:val="nil"/>
            </w:tcBorders>
          </w:tcPr>
          <w:p>
            <w:pPr>
              <w:spacing w:line="319" w:lineRule="auto"/>
              <w:rPr>
                <w:rFonts w:ascii="Arial"/>
                <w:sz w:val="21"/>
              </w:rPr>
            </w:pPr>
            <w:r/>
          </w:p>
          <w:p>
            <w:pPr>
              <w:spacing w:line="319" w:lineRule="auto"/>
              <w:rPr>
                <w:rFonts w:ascii="Arial"/>
                <w:sz w:val="21"/>
              </w:rPr>
            </w:pPr>
            <w:r/>
          </w:p>
          <w:p>
            <w:pPr>
              <w:ind w:left="335"/>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1325</w:t>
            </w:r>
          </w:p>
        </w:tc>
        <w:tc>
          <w:tcPr>
            <w:tcW w:w="708" w:type="dxa"/>
            <w:vAlign w:val="top"/>
            <w:vMerge w:val="restart"/>
            <w:tcBorders>
              <w:bottom w:val="nil"/>
            </w:tcBorders>
          </w:tcPr>
          <w:p>
            <w:pPr>
              <w:spacing w:line="319" w:lineRule="auto"/>
              <w:rPr>
                <w:rFonts w:ascii="Arial"/>
                <w:sz w:val="21"/>
              </w:rPr>
            </w:pPr>
            <w:r/>
          </w:p>
          <w:p>
            <w:pPr>
              <w:spacing w:line="319" w:lineRule="auto"/>
              <w:rPr>
                <w:rFonts w:ascii="Arial"/>
                <w:sz w:val="21"/>
              </w:rPr>
            </w:pPr>
            <w:r/>
          </w:p>
          <w:p>
            <w:pPr>
              <w:ind w:left="255"/>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754" w:type="dxa"/>
            <w:vAlign w:val="top"/>
            <w:vMerge w:val="restart"/>
            <w:tcBorders>
              <w:bottom w:val="nil"/>
            </w:tcBorders>
          </w:tcPr>
          <w:p>
            <w:pPr>
              <w:spacing w:line="319" w:lineRule="auto"/>
              <w:rPr>
                <w:rFonts w:ascii="Arial"/>
                <w:sz w:val="21"/>
              </w:rPr>
            </w:pPr>
            <w:r/>
          </w:p>
          <w:p>
            <w:pPr>
              <w:spacing w:line="319" w:lineRule="auto"/>
              <w:rPr>
                <w:rFonts w:ascii="Arial"/>
                <w:sz w:val="21"/>
              </w:rPr>
            </w:pPr>
            <w:r/>
          </w:p>
          <w:p>
            <w:pPr>
              <w:ind w:left="274"/>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1122" w:type="dxa"/>
            <w:vAlign w:val="top"/>
            <w:vMerge w:val="restart"/>
            <w:tcBorders>
              <w:bottom w:val="nil"/>
            </w:tcBorders>
          </w:tcPr>
          <w:p>
            <w:pPr>
              <w:spacing w:line="319" w:lineRule="auto"/>
              <w:rPr>
                <w:rFonts w:ascii="Arial"/>
                <w:sz w:val="21"/>
              </w:rPr>
            </w:pPr>
            <w:r/>
          </w:p>
          <w:p>
            <w:pPr>
              <w:spacing w:line="319" w:lineRule="auto"/>
              <w:rPr>
                <w:rFonts w:ascii="Arial"/>
                <w:sz w:val="21"/>
              </w:rPr>
            </w:pPr>
            <w:r/>
          </w:p>
          <w:p>
            <w:pPr>
              <w:ind w:left="515"/>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011" w:type="dxa"/>
            <w:vAlign w:val="top"/>
            <w:vMerge w:val="restart"/>
            <w:tcBorders>
              <w:bottom w:val="nil"/>
            </w:tcBorders>
          </w:tcPr>
          <w:p>
            <w:pPr>
              <w:spacing w:line="319" w:lineRule="auto"/>
              <w:rPr>
                <w:rFonts w:ascii="Arial"/>
                <w:sz w:val="21"/>
              </w:rPr>
            </w:pPr>
            <w:r/>
          </w:p>
          <w:p>
            <w:pPr>
              <w:spacing w:line="319" w:lineRule="auto"/>
              <w:rPr>
                <w:rFonts w:ascii="Arial"/>
                <w:sz w:val="21"/>
              </w:rPr>
            </w:pPr>
            <w:r/>
          </w:p>
          <w:p>
            <w:pPr>
              <w:ind w:left="42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911" w:type="dxa"/>
            <w:vAlign w:val="top"/>
            <w:vMerge w:val="restart"/>
            <w:tcBorders>
              <w:bottom w:val="nil"/>
            </w:tcBorders>
          </w:tcPr>
          <w:p>
            <w:pPr>
              <w:spacing w:line="319" w:lineRule="auto"/>
              <w:rPr>
                <w:rFonts w:ascii="Arial"/>
                <w:sz w:val="21"/>
              </w:rPr>
            </w:pPr>
            <w:r/>
          </w:p>
          <w:p>
            <w:pPr>
              <w:spacing w:line="319" w:lineRule="auto"/>
              <w:rPr>
                <w:rFonts w:ascii="Arial"/>
                <w:sz w:val="21"/>
              </w:rPr>
            </w:pPr>
            <w:r/>
          </w:p>
          <w:p>
            <w:pPr>
              <w:ind w:left="252"/>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7200</w:t>
            </w:r>
          </w:p>
        </w:tc>
        <w:tc>
          <w:tcPr>
            <w:tcW w:w="782" w:type="dxa"/>
            <w:vAlign w:val="top"/>
            <w:vMerge w:val="restart"/>
            <w:tcBorders>
              <w:bottom w:val="nil"/>
            </w:tcBorders>
          </w:tcPr>
          <w:p>
            <w:pPr>
              <w:spacing w:line="297" w:lineRule="auto"/>
              <w:rPr>
                <w:rFonts w:ascii="Arial"/>
                <w:sz w:val="21"/>
              </w:rPr>
            </w:pPr>
            <w:r/>
          </w:p>
          <w:p>
            <w:pPr>
              <w:spacing w:line="298" w:lineRule="auto"/>
              <w:rPr>
                <w:rFonts w:ascii="Arial"/>
                <w:sz w:val="21"/>
              </w:rPr>
            </w:pPr>
            <w:r/>
          </w:p>
          <w:p>
            <w:pPr>
              <w:pStyle w:val="TableText"/>
              <w:ind w:left="190"/>
              <w:spacing w:before="65" w:line="228" w:lineRule="auto"/>
              <w:rPr/>
            </w:pPr>
            <w:r>
              <w:rPr>
                <w:spacing w:val="2"/>
              </w:rPr>
              <w:t>正常</w:t>
            </w:r>
          </w:p>
        </w:tc>
      </w:tr>
      <w:tr>
        <w:trPr>
          <w:trHeight w:val="450" w:hRule="atLeast"/>
        </w:trPr>
        <w:tc>
          <w:tcPr>
            <w:tcW w:w="539" w:type="dxa"/>
            <w:vAlign w:val="top"/>
            <w:vMerge w:val="continue"/>
            <w:tcBorders>
              <w:top w:val="nil"/>
              <w:bottom w:val="nil"/>
            </w:tcBorders>
          </w:tcPr>
          <w:p>
            <w:pPr>
              <w:rPr>
                <w:rFonts w:ascii="Arial"/>
                <w:sz w:val="21"/>
              </w:rPr>
            </w:pPr>
            <w:r/>
          </w:p>
        </w:tc>
        <w:tc>
          <w:tcPr>
            <w:tcW w:w="873" w:type="dxa"/>
            <w:vAlign w:val="top"/>
            <w:vMerge w:val="continue"/>
            <w:tcBorders>
              <w:top w:val="nil"/>
              <w:bottom w:val="nil"/>
            </w:tcBorders>
          </w:tcPr>
          <w:p>
            <w:pPr>
              <w:rPr>
                <w:rFonts w:ascii="Arial"/>
                <w:sz w:val="21"/>
              </w:rPr>
            </w:pPr>
            <w:r/>
          </w:p>
        </w:tc>
        <w:tc>
          <w:tcPr>
            <w:tcW w:w="1686" w:type="dxa"/>
            <w:vAlign w:val="top"/>
          </w:tcPr>
          <w:p>
            <w:pPr>
              <w:ind w:left="649"/>
              <w:spacing w:before="158"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NH</w:t>
            </w:r>
            <w:r>
              <w:rPr>
                <w:rFonts w:ascii="Times New Roman" w:hAnsi="Times New Roman" w:eastAsia="Times New Roman" w:cs="Times New Roman"/>
                <w:sz w:val="13"/>
                <w:szCs w:val="13"/>
                <w:spacing w:val="7"/>
                <w:position w:val="-1"/>
              </w:rPr>
              <w:t>3</w:t>
            </w:r>
          </w:p>
        </w:tc>
        <w:tc>
          <w:tcPr>
            <w:tcW w:w="1244" w:type="dxa"/>
            <w:vAlign w:val="top"/>
          </w:tcPr>
          <w:p>
            <w:pPr>
              <w:ind w:left="283"/>
              <w:spacing w:before="15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0.00033</w:t>
            </w:r>
          </w:p>
        </w:tc>
        <w:tc>
          <w:tcPr>
            <w:tcW w:w="1520" w:type="dxa"/>
            <w:vAlign w:val="top"/>
            <w:vMerge w:val="continue"/>
            <w:tcBorders>
              <w:top w:val="nil"/>
              <w:bottom w:val="nil"/>
            </w:tcBorders>
          </w:tcPr>
          <w:p>
            <w:pPr>
              <w:rPr>
                <w:rFonts w:ascii="Arial"/>
                <w:sz w:val="21"/>
              </w:rPr>
            </w:pPr>
            <w:r/>
          </w:p>
        </w:tc>
        <w:tc>
          <w:tcPr>
            <w:tcW w:w="1360" w:type="dxa"/>
            <w:vAlign w:val="top"/>
            <w:vMerge w:val="continue"/>
            <w:tcBorders>
              <w:top w:val="nil"/>
              <w:bottom w:val="nil"/>
            </w:tcBorders>
          </w:tcPr>
          <w:p>
            <w:pPr>
              <w:rPr>
                <w:rFonts w:ascii="Arial"/>
                <w:sz w:val="21"/>
              </w:rPr>
            </w:pPr>
            <w:r/>
          </w:p>
        </w:tc>
        <w:tc>
          <w:tcPr>
            <w:tcW w:w="1044" w:type="dxa"/>
            <w:vAlign w:val="top"/>
            <w:vMerge w:val="continue"/>
            <w:tcBorders>
              <w:top w:val="nil"/>
              <w:bottom w:val="nil"/>
            </w:tcBorders>
          </w:tcPr>
          <w:p>
            <w:pPr>
              <w:rPr>
                <w:rFonts w:ascii="Arial"/>
                <w:sz w:val="21"/>
              </w:rPr>
            </w:pPr>
            <w:r/>
          </w:p>
        </w:tc>
        <w:tc>
          <w:tcPr>
            <w:tcW w:w="708" w:type="dxa"/>
            <w:vAlign w:val="top"/>
            <w:vMerge w:val="continue"/>
            <w:tcBorders>
              <w:top w:val="nil"/>
              <w:bottom w:val="nil"/>
            </w:tcBorders>
          </w:tcPr>
          <w:p>
            <w:pPr>
              <w:rPr>
                <w:rFonts w:ascii="Arial"/>
                <w:sz w:val="21"/>
              </w:rPr>
            </w:pPr>
            <w:r/>
          </w:p>
        </w:tc>
        <w:tc>
          <w:tcPr>
            <w:tcW w:w="754" w:type="dxa"/>
            <w:vAlign w:val="top"/>
            <w:vMerge w:val="continue"/>
            <w:tcBorders>
              <w:top w:val="nil"/>
              <w:bottom w:val="nil"/>
            </w:tcBorders>
          </w:tcPr>
          <w:p>
            <w:pPr>
              <w:rPr>
                <w:rFonts w:ascii="Arial"/>
                <w:sz w:val="21"/>
              </w:rPr>
            </w:pPr>
            <w:r/>
          </w:p>
        </w:tc>
        <w:tc>
          <w:tcPr>
            <w:tcW w:w="1122" w:type="dxa"/>
            <w:vAlign w:val="top"/>
            <w:vMerge w:val="continue"/>
            <w:tcBorders>
              <w:top w:val="nil"/>
              <w:bottom w:val="nil"/>
            </w:tcBorders>
          </w:tcPr>
          <w:p>
            <w:pPr>
              <w:rPr>
                <w:rFonts w:ascii="Arial"/>
                <w:sz w:val="21"/>
              </w:rPr>
            </w:pPr>
            <w:r/>
          </w:p>
        </w:tc>
        <w:tc>
          <w:tcPr>
            <w:tcW w:w="1011" w:type="dxa"/>
            <w:vAlign w:val="top"/>
            <w:vMerge w:val="continue"/>
            <w:tcBorders>
              <w:top w:val="nil"/>
              <w:bottom w:val="nil"/>
            </w:tcBorders>
          </w:tcPr>
          <w:p>
            <w:pPr>
              <w:rPr>
                <w:rFonts w:ascii="Arial"/>
                <w:sz w:val="21"/>
              </w:rPr>
            </w:pPr>
            <w:r/>
          </w:p>
        </w:tc>
        <w:tc>
          <w:tcPr>
            <w:tcW w:w="911" w:type="dxa"/>
            <w:vAlign w:val="top"/>
            <w:vMerge w:val="continue"/>
            <w:tcBorders>
              <w:top w:val="nil"/>
              <w:bottom w:val="nil"/>
            </w:tcBorders>
          </w:tcPr>
          <w:p>
            <w:pPr>
              <w:rPr>
                <w:rFonts w:ascii="Arial"/>
                <w:sz w:val="21"/>
              </w:rPr>
            </w:pPr>
            <w:r/>
          </w:p>
        </w:tc>
        <w:tc>
          <w:tcPr>
            <w:tcW w:w="782" w:type="dxa"/>
            <w:vAlign w:val="top"/>
            <w:vMerge w:val="continue"/>
            <w:tcBorders>
              <w:top w:val="nil"/>
              <w:bottom w:val="nil"/>
            </w:tcBorders>
          </w:tcPr>
          <w:p>
            <w:pPr>
              <w:rPr>
                <w:rFonts w:ascii="Arial"/>
                <w:sz w:val="21"/>
              </w:rPr>
            </w:pPr>
            <w:r/>
          </w:p>
        </w:tc>
      </w:tr>
      <w:tr>
        <w:trPr>
          <w:trHeight w:val="450" w:hRule="atLeast"/>
        </w:trPr>
        <w:tc>
          <w:tcPr>
            <w:tcW w:w="539" w:type="dxa"/>
            <w:vAlign w:val="top"/>
            <w:vMerge w:val="continue"/>
            <w:tcBorders>
              <w:top w:val="nil"/>
            </w:tcBorders>
          </w:tcPr>
          <w:p>
            <w:pPr>
              <w:rPr>
                <w:rFonts w:ascii="Arial"/>
                <w:sz w:val="21"/>
              </w:rPr>
            </w:pPr>
            <w:r/>
          </w:p>
        </w:tc>
        <w:tc>
          <w:tcPr>
            <w:tcW w:w="873" w:type="dxa"/>
            <w:vAlign w:val="top"/>
            <w:vMerge w:val="continue"/>
            <w:tcBorders>
              <w:top w:val="nil"/>
            </w:tcBorders>
          </w:tcPr>
          <w:p>
            <w:pPr>
              <w:rPr>
                <w:rFonts w:ascii="Arial"/>
                <w:sz w:val="21"/>
              </w:rPr>
            </w:pPr>
            <w:r/>
          </w:p>
        </w:tc>
        <w:tc>
          <w:tcPr>
            <w:tcW w:w="1686" w:type="dxa"/>
            <w:vAlign w:val="top"/>
          </w:tcPr>
          <w:p>
            <w:pPr>
              <w:ind w:left="672"/>
              <w:spacing w:before="156"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H</w:t>
            </w:r>
            <w:r>
              <w:rPr>
                <w:rFonts w:ascii="Times New Roman" w:hAnsi="Times New Roman" w:eastAsia="Times New Roman" w:cs="Times New Roman"/>
                <w:sz w:val="13"/>
                <w:szCs w:val="13"/>
                <w:spacing w:val="4"/>
                <w:position w:val="-1"/>
              </w:rPr>
              <w:t>2</w:t>
            </w:r>
            <w:r>
              <w:rPr>
                <w:rFonts w:ascii="Times New Roman" w:hAnsi="Times New Roman" w:eastAsia="Times New Roman" w:cs="Times New Roman"/>
                <w:sz w:val="20"/>
                <w:szCs w:val="20"/>
                <w:spacing w:val="4"/>
              </w:rPr>
              <w:t>S</w:t>
            </w:r>
          </w:p>
        </w:tc>
        <w:tc>
          <w:tcPr>
            <w:tcW w:w="1244" w:type="dxa"/>
            <w:vAlign w:val="top"/>
          </w:tcPr>
          <w:p>
            <w:pPr>
              <w:ind w:left="178"/>
              <w:spacing w:before="15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0.0000022</w:t>
            </w:r>
          </w:p>
        </w:tc>
        <w:tc>
          <w:tcPr>
            <w:tcW w:w="1520" w:type="dxa"/>
            <w:vAlign w:val="top"/>
            <w:vMerge w:val="continue"/>
            <w:tcBorders>
              <w:top w:val="nil"/>
            </w:tcBorders>
          </w:tcPr>
          <w:p>
            <w:pPr>
              <w:rPr>
                <w:rFonts w:ascii="Arial"/>
                <w:sz w:val="21"/>
              </w:rPr>
            </w:pPr>
            <w:r/>
          </w:p>
        </w:tc>
        <w:tc>
          <w:tcPr>
            <w:tcW w:w="1360" w:type="dxa"/>
            <w:vAlign w:val="top"/>
            <w:vMerge w:val="continue"/>
            <w:tcBorders>
              <w:top w:val="nil"/>
            </w:tcBorders>
          </w:tcPr>
          <w:p>
            <w:pPr>
              <w:rPr>
                <w:rFonts w:ascii="Arial"/>
                <w:sz w:val="21"/>
              </w:rPr>
            </w:pPr>
            <w:r/>
          </w:p>
        </w:tc>
        <w:tc>
          <w:tcPr>
            <w:tcW w:w="1044" w:type="dxa"/>
            <w:vAlign w:val="top"/>
            <w:vMerge w:val="continue"/>
            <w:tcBorders>
              <w:top w:val="nil"/>
            </w:tcBorders>
          </w:tcPr>
          <w:p>
            <w:pPr>
              <w:rPr>
                <w:rFonts w:ascii="Arial"/>
                <w:sz w:val="21"/>
              </w:rPr>
            </w:pPr>
            <w:r/>
          </w:p>
        </w:tc>
        <w:tc>
          <w:tcPr>
            <w:tcW w:w="708" w:type="dxa"/>
            <w:vAlign w:val="top"/>
            <w:vMerge w:val="continue"/>
            <w:tcBorders>
              <w:top w:val="nil"/>
            </w:tcBorders>
          </w:tcPr>
          <w:p>
            <w:pPr>
              <w:rPr>
                <w:rFonts w:ascii="Arial"/>
                <w:sz w:val="21"/>
              </w:rPr>
            </w:pPr>
            <w:r/>
          </w:p>
        </w:tc>
        <w:tc>
          <w:tcPr>
            <w:tcW w:w="754" w:type="dxa"/>
            <w:vAlign w:val="top"/>
            <w:vMerge w:val="continue"/>
            <w:tcBorders>
              <w:top w:val="nil"/>
            </w:tcBorders>
          </w:tcPr>
          <w:p>
            <w:pPr>
              <w:rPr>
                <w:rFonts w:ascii="Arial"/>
                <w:sz w:val="21"/>
              </w:rPr>
            </w:pPr>
            <w:r/>
          </w:p>
        </w:tc>
        <w:tc>
          <w:tcPr>
            <w:tcW w:w="1122" w:type="dxa"/>
            <w:vAlign w:val="top"/>
            <w:vMerge w:val="continue"/>
            <w:tcBorders>
              <w:top w:val="nil"/>
            </w:tcBorders>
          </w:tcPr>
          <w:p>
            <w:pPr>
              <w:rPr>
                <w:rFonts w:ascii="Arial"/>
                <w:sz w:val="21"/>
              </w:rPr>
            </w:pPr>
            <w:r/>
          </w:p>
        </w:tc>
        <w:tc>
          <w:tcPr>
            <w:tcW w:w="1011" w:type="dxa"/>
            <w:vAlign w:val="top"/>
            <w:vMerge w:val="continue"/>
            <w:tcBorders>
              <w:top w:val="nil"/>
            </w:tcBorders>
          </w:tcPr>
          <w:p>
            <w:pPr>
              <w:rPr>
                <w:rFonts w:ascii="Arial"/>
                <w:sz w:val="21"/>
              </w:rPr>
            </w:pPr>
            <w:r/>
          </w:p>
        </w:tc>
        <w:tc>
          <w:tcPr>
            <w:tcW w:w="911" w:type="dxa"/>
            <w:vAlign w:val="top"/>
            <w:vMerge w:val="continue"/>
            <w:tcBorders>
              <w:top w:val="nil"/>
            </w:tcBorders>
          </w:tcPr>
          <w:p>
            <w:pPr>
              <w:rPr>
                <w:rFonts w:ascii="Arial"/>
                <w:sz w:val="21"/>
              </w:rPr>
            </w:pPr>
            <w:r/>
          </w:p>
        </w:tc>
        <w:tc>
          <w:tcPr>
            <w:tcW w:w="782" w:type="dxa"/>
            <w:vAlign w:val="top"/>
            <w:vMerge w:val="continue"/>
            <w:tcBorders>
              <w:top w:val="nil"/>
            </w:tcBorders>
          </w:tcPr>
          <w:p>
            <w:pPr>
              <w:rPr>
                <w:rFonts w:ascii="Arial"/>
                <w:sz w:val="21"/>
              </w:rPr>
            </w:pPr>
            <w:r/>
          </w:p>
        </w:tc>
      </w:tr>
      <w:tr>
        <w:trPr>
          <w:trHeight w:val="628" w:hRule="atLeast"/>
        </w:trPr>
        <w:tc>
          <w:tcPr>
            <w:tcW w:w="539" w:type="dxa"/>
            <w:vAlign w:val="top"/>
            <w:vMerge w:val="restart"/>
            <w:tcBorders>
              <w:bottom w:val="nil"/>
            </w:tcBorders>
          </w:tcPr>
          <w:p>
            <w:pPr>
              <w:spacing w:line="320" w:lineRule="auto"/>
              <w:rPr>
                <w:rFonts w:ascii="Arial"/>
                <w:sz w:val="21"/>
              </w:rPr>
            </w:pPr>
            <w:r/>
          </w:p>
          <w:p>
            <w:pPr>
              <w:spacing w:line="320" w:lineRule="auto"/>
              <w:rPr>
                <w:rFonts w:ascii="Arial"/>
                <w:sz w:val="21"/>
              </w:rPr>
            </w:pPr>
            <w:r/>
          </w:p>
          <w:p>
            <w:pPr>
              <w:ind w:left="217"/>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873" w:type="dxa"/>
            <w:vAlign w:val="top"/>
            <w:vMerge w:val="restart"/>
            <w:tcBorders>
              <w:bottom w:val="nil"/>
            </w:tcBorders>
          </w:tcPr>
          <w:p>
            <w:pPr>
              <w:spacing w:line="325" w:lineRule="auto"/>
              <w:rPr>
                <w:rFonts w:ascii="Arial"/>
                <w:sz w:val="21"/>
              </w:rPr>
            </w:pPr>
            <w:r/>
          </w:p>
          <w:p>
            <w:pPr>
              <w:pStyle w:val="TableText"/>
              <w:ind w:left="123"/>
              <w:spacing w:before="65" w:line="228" w:lineRule="auto"/>
              <w:rPr/>
            </w:pPr>
            <w:r>
              <w:rPr>
                <w:spacing w:val="7"/>
              </w:rPr>
              <w:t>洗毛车</w:t>
            </w:r>
          </w:p>
          <w:p>
            <w:pPr>
              <w:pStyle w:val="TableText"/>
              <w:ind w:left="75"/>
              <w:spacing w:before="24" w:line="228" w:lineRule="auto"/>
              <w:rPr/>
            </w:pPr>
            <w:r>
              <w:rPr>
                <w:spacing w:val="-18"/>
              </w:rPr>
              <w:t>间（西厂</w:t>
            </w:r>
          </w:p>
          <w:p>
            <w:pPr>
              <w:pStyle w:val="TableText"/>
              <w:ind w:left="245"/>
              <w:spacing w:before="25" w:line="233" w:lineRule="auto"/>
              <w:rPr/>
            </w:pPr>
            <w:r>
              <w:rPr>
                <w:spacing w:val="-8"/>
              </w:rPr>
              <w:t>区）</w:t>
            </w:r>
          </w:p>
        </w:tc>
        <w:tc>
          <w:tcPr>
            <w:tcW w:w="1686" w:type="dxa"/>
            <w:vAlign w:val="top"/>
          </w:tcPr>
          <w:p>
            <w:pPr>
              <w:pStyle w:val="TableText"/>
              <w:ind w:left="109"/>
              <w:spacing w:before="53" w:line="228" w:lineRule="auto"/>
              <w:rPr/>
            </w:pPr>
            <w:r>
              <w:rPr>
                <w:spacing w:val="8"/>
              </w:rPr>
              <w:t>颗粒物（未收集</w:t>
            </w:r>
          </w:p>
          <w:p>
            <w:pPr>
              <w:pStyle w:val="TableText"/>
              <w:ind w:left="529"/>
              <w:spacing w:before="65" w:line="228" w:lineRule="auto"/>
              <w:rPr/>
            </w:pPr>
            <w:r>
              <w:rPr>
                <w:spacing w:val="3"/>
              </w:rPr>
              <w:t>粉尘）</w:t>
            </w:r>
          </w:p>
        </w:tc>
        <w:tc>
          <w:tcPr>
            <w:tcW w:w="1244" w:type="dxa"/>
            <w:vAlign w:val="top"/>
          </w:tcPr>
          <w:p>
            <w:pPr>
              <w:ind w:left="389"/>
              <w:spacing w:before="24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0.001</w:t>
            </w:r>
          </w:p>
        </w:tc>
        <w:tc>
          <w:tcPr>
            <w:tcW w:w="1520" w:type="dxa"/>
            <w:vAlign w:val="top"/>
            <w:vMerge w:val="restart"/>
            <w:tcBorders>
              <w:bottom w:val="nil"/>
            </w:tcBorders>
          </w:tcPr>
          <w:p>
            <w:pPr>
              <w:spacing w:line="320" w:lineRule="auto"/>
              <w:rPr>
                <w:rFonts w:ascii="Arial"/>
                <w:sz w:val="21"/>
              </w:rPr>
            </w:pPr>
            <w:r/>
          </w:p>
          <w:p>
            <w:pPr>
              <w:spacing w:line="320" w:lineRule="auto"/>
              <w:rPr>
                <w:rFonts w:ascii="Arial"/>
                <w:sz w:val="21"/>
              </w:rPr>
            </w:pPr>
            <w:r/>
          </w:p>
          <w:p>
            <w:pPr>
              <w:ind w:left="177"/>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114.97058272</w:t>
            </w:r>
          </w:p>
        </w:tc>
        <w:tc>
          <w:tcPr>
            <w:tcW w:w="1360" w:type="dxa"/>
            <w:vAlign w:val="top"/>
            <w:vMerge w:val="restart"/>
            <w:tcBorders>
              <w:bottom w:val="nil"/>
            </w:tcBorders>
          </w:tcPr>
          <w:p>
            <w:pPr>
              <w:spacing w:line="320" w:lineRule="auto"/>
              <w:rPr>
                <w:rFonts w:ascii="Arial"/>
                <w:sz w:val="21"/>
              </w:rPr>
            </w:pPr>
            <w:r/>
          </w:p>
          <w:p>
            <w:pPr>
              <w:spacing w:line="320" w:lineRule="auto"/>
              <w:rPr>
                <w:rFonts w:ascii="Arial"/>
                <w:sz w:val="21"/>
              </w:rPr>
            </w:pPr>
            <w:r/>
          </w:p>
          <w:p>
            <w:pPr>
              <w:ind w:left="12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42.29463557</w:t>
            </w:r>
          </w:p>
        </w:tc>
        <w:tc>
          <w:tcPr>
            <w:tcW w:w="1044" w:type="dxa"/>
            <w:vAlign w:val="top"/>
            <w:vMerge w:val="restart"/>
            <w:tcBorders>
              <w:bottom w:val="nil"/>
            </w:tcBorders>
          </w:tcPr>
          <w:p>
            <w:pPr>
              <w:spacing w:line="320" w:lineRule="auto"/>
              <w:rPr>
                <w:rFonts w:ascii="Arial"/>
                <w:sz w:val="21"/>
              </w:rPr>
            </w:pPr>
            <w:r/>
          </w:p>
          <w:p>
            <w:pPr>
              <w:spacing w:line="320" w:lineRule="auto"/>
              <w:rPr>
                <w:rFonts w:ascii="Arial"/>
                <w:sz w:val="21"/>
              </w:rPr>
            </w:pPr>
            <w:r/>
          </w:p>
          <w:p>
            <w:pPr>
              <w:ind w:left="335"/>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1325</w:t>
            </w:r>
          </w:p>
        </w:tc>
        <w:tc>
          <w:tcPr>
            <w:tcW w:w="708" w:type="dxa"/>
            <w:vAlign w:val="top"/>
            <w:vMerge w:val="restart"/>
            <w:tcBorders>
              <w:bottom w:val="nil"/>
            </w:tcBorders>
          </w:tcPr>
          <w:p>
            <w:pPr>
              <w:spacing w:line="320" w:lineRule="auto"/>
              <w:rPr>
                <w:rFonts w:ascii="Arial"/>
                <w:sz w:val="21"/>
              </w:rPr>
            </w:pPr>
            <w:r/>
          </w:p>
          <w:p>
            <w:pPr>
              <w:spacing w:line="320" w:lineRule="auto"/>
              <w:rPr>
                <w:rFonts w:ascii="Arial"/>
                <w:sz w:val="21"/>
              </w:rPr>
            </w:pPr>
            <w:r/>
          </w:p>
          <w:p>
            <w:pPr>
              <w:ind w:left="218"/>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100</w:t>
            </w:r>
          </w:p>
        </w:tc>
        <w:tc>
          <w:tcPr>
            <w:tcW w:w="754" w:type="dxa"/>
            <w:vAlign w:val="top"/>
            <w:vMerge w:val="restart"/>
            <w:tcBorders>
              <w:bottom w:val="nil"/>
            </w:tcBorders>
          </w:tcPr>
          <w:p>
            <w:pPr>
              <w:spacing w:line="320" w:lineRule="auto"/>
              <w:rPr>
                <w:rFonts w:ascii="Arial"/>
                <w:sz w:val="21"/>
              </w:rPr>
            </w:pPr>
            <w:r/>
          </w:p>
          <w:p>
            <w:pPr>
              <w:spacing w:line="320" w:lineRule="auto"/>
              <w:rPr>
                <w:rFonts w:ascii="Arial"/>
                <w:sz w:val="21"/>
              </w:rPr>
            </w:pPr>
            <w:r/>
          </w:p>
          <w:p>
            <w:pPr>
              <w:ind w:left="274"/>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1122" w:type="dxa"/>
            <w:vAlign w:val="top"/>
            <w:vMerge w:val="restart"/>
            <w:tcBorders>
              <w:bottom w:val="nil"/>
            </w:tcBorders>
          </w:tcPr>
          <w:p>
            <w:pPr>
              <w:spacing w:line="320" w:lineRule="auto"/>
              <w:rPr>
                <w:rFonts w:ascii="Arial"/>
                <w:sz w:val="21"/>
              </w:rPr>
            </w:pPr>
            <w:r/>
          </w:p>
          <w:p>
            <w:pPr>
              <w:spacing w:line="320" w:lineRule="auto"/>
              <w:rPr>
                <w:rFonts w:ascii="Arial"/>
                <w:sz w:val="21"/>
              </w:rPr>
            </w:pPr>
            <w:r/>
          </w:p>
          <w:p>
            <w:pPr>
              <w:ind w:left="46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1011" w:type="dxa"/>
            <w:vAlign w:val="top"/>
            <w:vMerge w:val="restart"/>
            <w:tcBorders>
              <w:bottom w:val="nil"/>
            </w:tcBorders>
          </w:tcPr>
          <w:p>
            <w:pPr>
              <w:spacing w:line="320" w:lineRule="auto"/>
              <w:rPr>
                <w:rFonts w:ascii="Arial"/>
                <w:sz w:val="21"/>
              </w:rPr>
            </w:pPr>
            <w:r/>
          </w:p>
          <w:p>
            <w:pPr>
              <w:spacing w:line="320" w:lineRule="auto"/>
              <w:rPr>
                <w:rFonts w:ascii="Arial"/>
                <w:sz w:val="21"/>
              </w:rPr>
            </w:pPr>
            <w:r/>
          </w:p>
          <w:p>
            <w:pPr>
              <w:ind w:left="42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911" w:type="dxa"/>
            <w:vAlign w:val="top"/>
            <w:vMerge w:val="restart"/>
            <w:tcBorders>
              <w:bottom w:val="nil"/>
            </w:tcBorders>
          </w:tcPr>
          <w:p>
            <w:pPr>
              <w:spacing w:line="320" w:lineRule="auto"/>
              <w:rPr>
                <w:rFonts w:ascii="Arial"/>
                <w:sz w:val="21"/>
              </w:rPr>
            </w:pPr>
            <w:r/>
          </w:p>
          <w:p>
            <w:pPr>
              <w:spacing w:line="320" w:lineRule="auto"/>
              <w:rPr>
                <w:rFonts w:ascii="Arial"/>
                <w:sz w:val="21"/>
              </w:rPr>
            </w:pPr>
            <w:r/>
          </w:p>
          <w:p>
            <w:pPr>
              <w:ind w:left="252"/>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7200</w:t>
            </w:r>
          </w:p>
        </w:tc>
        <w:tc>
          <w:tcPr>
            <w:tcW w:w="782" w:type="dxa"/>
            <w:vAlign w:val="top"/>
            <w:vMerge w:val="restart"/>
            <w:tcBorders>
              <w:bottom w:val="nil"/>
            </w:tcBorders>
          </w:tcPr>
          <w:p>
            <w:pPr>
              <w:spacing w:line="298" w:lineRule="auto"/>
              <w:rPr>
                <w:rFonts w:ascii="Arial"/>
                <w:sz w:val="21"/>
              </w:rPr>
            </w:pPr>
            <w:r/>
          </w:p>
          <w:p>
            <w:pPr>
              <w:spacing w:line="299" w:lineRule="auto"/>
              <w:rPr>
                <w:rFonts w:ascii="Arial"/>
                <w:sz w:val="21"/>
              </w:rPr>
            </w:pPr>
            <w:r/>
          </w:p>
          <w:p>
            <w:pPr>
              <w:pStyle w:val="TableText"/>
              <w:ind w:left="190"/>
              <w:spacing w:before="65" w:line="228" w:lineRule="auto"/>
              <w:rPr/>
            </w:pPr>
            <w:r>
              <w:rPr>
                <w:spacing w:val="2"/>
              </w:rPr>
              <w:t>正常</w:t>
            </w:r>
          </w:p>
        </w:tc>
      </w:tr>
      <w:tr>
        <w:trPr>
          <w:trHeight w:val="450" w:hRule="atLeast"/>
        </w:trPr>
        <w:tc>
          <w:tcPr>
            <w:tcW w:w="539" w:type="dxa"/>
            <w:vAlign w:val="top"/>
            <w:vMerge w:val="continue"/>
            <w:tcBorders>
              <w:top w:val="nil"/>
              <w:bottom w:val="nil"/>
            </w:tcBorders>
          </w:tcPr>
          <w:p>
            <w:pPr>
              <w:rPr>
                <w:rFonts w:ascii="Arial"/>
                <w:sz w:val="21"/>
              </w:rPr>
            </w:pPr>
            <w:r/>
          </w:p>
        </w:tc>
        <w:tc>
          <w:tcPr>
            <w:tcW w:w="873" w:type="dxa"/>
            <w:vAlign w:val="top"/>
            <w:vMerge w:val="continue"/>
            <w:tcBorders>
              <w:top w:val="nil"/>
              <w:bottom w:val="nil"/>
            </w:tcBorders>
          </w:tcPr>
          <w:p>
            <w:pPr>
              <w:rPr>
                <w:rFonts w:ascii="Arial"/>
                <w:sz w:val="21"/>
              </w:rPr>
            </w:pPr>
            <w:r/>
          </w:p>
        </w:tc>
        <w:tc>
          <w:tcPr>
            <w:tcW w:w="1686" w:type="dxa"/>
            <w:vAlign w:val="top"/>
          </w:tcPr>
          <w:p>
            <w:pPr>
              <w:ind w:left="649"/>
              <w:spacing w:before="160"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NH</w:t>
            </w:r>
            <w:r>
              <w:rPr>
                <w:rFonts w:ascii="Times New Roman" w:hAnsi="Times New Roman" w:eastAsia="Times New Roman" w:cs="Times New Roman"/>
                <w:sz w:val="13"/>
                <w:szCs w:val="13"/>
                <w:spacing w:val="7"/>
                <w:position w:val="-1"/>
              </w:rPr>
              <w:t>3</w:t>
            </w:r>
          </w:p>
        </w:tc>
        <w:tc>
          <w:tcPr>
            <w:tcW w:w="1244" w:type="dxa"/>
            <w:vAlign w:val="top"/>
          </w:tcPr>
          <w:p>
            <w:pPr>
              <w:ind w:left="283"/>
              <w:spacing w:before="1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0.00033</w:t>
            </w:r>
          </w:p>
        </w:tc>
        <w:tc>
          <w:tcPr>
            <w:tcW w:w="1520" w:type="dxa"/>
            <w:vAlign w:val="top"/>
            <w:vMerge w:val="continue"/>
            <w:tcBorders>
              <w:top w:val="nil"/>
              <w:bottom w:val="nil"/>
            </w:tcBorders>
          </w:tcPr>
          <w:p>
            <w:pPr>
              <w:rPr>
                <w:rFonts w:ascii="Arial"/>
                <w:sz w:val="21"/>
              </w:rPr>
            </w:pPr>
            <w:r/>
          </w:p>
        </w:tc>
        <w:tc>
          <w:tcPr>
            <w:tcW w:w="1360" w:type="dxa"/>
            <w:vAlign w:val="top"/>
            <w:vMerge w:val="continue"/>
            <w:tcBorders>
              <w:top w:val="nil"/>
              <w:bottom w:val="nil"/>
            </w:tcBorders>
          </w:tcPr>
          <w:p>
            <w:pPr>
              <w:rPr>
                <w:rFonts w:ascii="Arial"/>
                <w:sz w:val="21"/>
              </w:rPr>
            </w:pPr>
            <w:r/>
          </w:p>
        </w:tc>
        <w:tc>
          <w:tcPr>
            <w:tcW w:w="1044" w:type="dxa"/>
            <w:vAlign w:val="top"/>
            <w:vMerge w:val="continue"/>
            <w:tcBorders>
              <w:top w:val="nil"/>
              <w:bottom w:val="nil"/>
            </w:tcBorders>
          </w:tcPr>
          <w:p>
            <w:pPr>
              <w:rPr>
                <w:rFonts w:ascii="Arial"/>
                <w:sz w:val="21"/>
              </w:rPr>
            </w:pPr>
            <w:r/>
          </w:p>
        </w:tc>
        <w:tc>
          <w:tcPr>
            <w:tcW w:w="708" w:type="dxa"/>
            <w:vAlign w:val="top"/>
            <w:vMerge w:val="continue"/>
            <w:tcBorders>
              <w:top w:val="nil"/>
              <w:bottom w:val="nil"/>
            </w:tcBorders>
          </w:tcPr>
          <w:p>
            <w:pPr>
              <w:rPr>
                <w:rFonts w:ascii="Arial"/>
                <w:sz w:val="21"/>
              </w:rPr>
            </w:pPr>
            <w:r/>
          </w:p>
        </w:tc>
        <w:tc>
          <w:tcPr>
            <w:tcW w:w="754" w:type="dxa"/>
            <w:vAlign w:val="top"/>
            <w:vMerge w:val="continue"/>
            <w:tcBorders>
              <w:top w:val="nil"/>
              <w:bottom w:val="nil"/>
            </w:tcBorders>
          </w:tcPr>
          <w:p>
            <w:pPr>
              <w:rPr>
                <w:rFonts w:ascii="Arial"/>
                <w:sz w:val="21"/>
              </w:rPr>
            </w:pPr>
            <w:r/>
          </w:p>
        </w:tc>
        <w:tc>
          <w:tcPr>
            <w:tcW w:w="1122" w:type="dxa"/>
            <w:vAlign w:val="top"/>
            <w:vMerge w:val="continue"/>
            <w:tcBorders>
              <w:top w:val="nil"/>
              <w:bottom w:val="nil"/>
            </w:tcBorders>
          </w:tcPr>
          <w:p>
            <w:pPr>
              <w:rPr>
                <w:rFonts w:ascii="Arial"/>
                <w:sz w:val="21"/>
              </w:rPr>
            </w:pPr>
            <w:r/>
          </w:p>
        </w:tc>
        <w:tc>
          <w:tcPr>
            <w:tcW w:w="1011" w:type="dxa"/>
            <w:vAlign w:val="top"/>
            <w:vMerge w:val="continue"/>
            <w:tcBorders>
              <w:top w:val="nil"/>
              <w:bottom w:val="nil"/>
            </w:tcBorders>
          </w:tcPr>
          <w:p>
            <w:pPr>
              <w:rPr>
                <w:rFonts w:ascii="Arial"/>
                <w:sz w:val="21"/>
              </w:rPr>
            </w:pPr>
            <w:r/>
          </w:p>
        </w:tc>
        <w:tc>
          <w:tcPr>
            <w:tcW w:w="911" w:type="dxa"/>
            <w:vAlign w:val="top"/>
            <w:vMerge w:val="continue"/>
            <w:tcBorders>
              <w:top w:val="nil"/>
              <w:bottom w:val="nil"/>
            </w:tcBorders>
          </w:tcPr>
          <w:p>
            <w:pPr>
              <w:rPr>
                <w:rFonts w:ascii="Arial"/>
                <w:sz w:val="21"/>
              </w:rPr>
            </w:pPr>
            <w:r/>
          </w:p>
        </w:tc>
        <w:tc>
          <w:tcPr>
            <w:tcW w:w="782" w:type="dxa"/>
            <w:vAlign w:val="top"/>
            <w:vMerge w:val="continue"/>
            <w:tcBorders>
              <w:top w:val="nil"/>
              <w:bottom w:val="nil"/>
            </w:tcBorders>
          </w:tcPr>
          <w:p>
            <w:pPr>
              <w:rPr>
                <w:rFonts w:ascii="Arial"/>
                <w:sz w:val="21"/>
              </w:rPr>
            </w:pPr>
            <w:r/>
          </w:p>
        </w:tc>
      </w:tr>
      <w:tr>
        <w:trPr>
          <w:trHeight w:val="450" w:hRule="atLeast"/>
        </w:trPr>
        <w:tc>
          <w:tcPr>
            <w:tcW w:w="539" w:type="dxa"/>
            <w:vAlign w:val="top"/>
            <w:vMerge w:val="continue"/>
            <w:tcBorders>
              <w:top w:val="nil"/>
            </w:tcBorders>
          </w:tcPr>
          <w:p>
            <w:pPr>
              <w:rPr>
                <w:rFonts w:ascii="Arial"/>
                <w:sz w:val="21"/>
              </w:rPr>
            </w:pPr>
            <w:r/>
          </w:p>
        </w:tc>
        <w:tc>
          <w:tcPr>
            <w:tcW w:w="873" w:type="dxa"/>
            <w:vAlign w:val="top"/>
            <w:vMerge w:val="continue"/>
            <w:tcBorders>
              <w:top w:val="nil"/>
            </w:tcBorders>
          </w:tcPr>
          <w:p>
            <w:pPr>
              <w:rPr>
                <w:rFonts w:ascii="Arial"/>
                <w:sz w:val="21"/>
              </w:rPr>
            </w:pPr>
            <w:r/>
          </w:p>
        </w:tc>
        <w:tc>
          <w:tcPr>
            <w:tcW w:w="1686" w:type="dxa"/>
            <w:vAlign w:val="top"/>
          </w:tcPr>
          <w:p>
            <w:pPr>
              <w:ind w:left="672"/>
              <w:spacing w:before="156"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H</w:t>
            </w:r>
            <w:r>
              <w:rPr>
                <w:rFonts w:ascii="Times New Roman" w:hAnsi="Times New Roman" w:eastAsia="Times New Roman" w:cs="Times New Roman"/>
                <w:sz w:val="13"/>
                <w:szCs w:val="13"/>
                <w:spacing w:val="4"/>
                <w:position w:val="-1"/>
              </w:rPr>
              <w:t>2</w:t>
            </w:r>
            <w:r>
              <w:rPr>
                <w:rFonts w:ascii="Times New Roman" w:hAnsi="Times New Roman" w:eastAsia="Times New Roman" w:cs="Times New Roman"/>
                <w:sz w:val="20"/>
                <w:szCs w:val="20"/>
                <w:spacing w:val="4"/>
              </w:rPr>
              <w:t>S</w:t>
            </w:r>
          </w:p>
        </w:tc>
        <w:tc>
          <w:tcPr>
            <w:tcW w:w="1244" w:type="dxa"/>
            <w:vAlign w:val="top"/>
          </w:tcPr>
          <w:p>
            <w:pPr>
              <w:ind w:left="178"/>
              <w:spacing w:before="15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0.0000022</w:t>
            </w:r>
          </w:p>
        </w:tc>
        <w:tc>
          <w:tcPr>
            <w:tcW w:w="1520" w:type="dxa"/>
            <w:vAlign w:val="top"/>
            <w:vMerge w:val="continue"/>
            <w:tcBorders>
              <w:top w:val="nil"/>
            </w:tcBorders>
          </w:tcPr>
          <w:p>
            <w:pPr>
              <w:rPr>
                <w:rFonts w:ascii="Arial"/>
                <w:sz w:val="21"/>
              </w:rPr>
            </w:pPr>
            <w:r/>
          </w:p>
        </w:tc>
        <w:tc>
          <w:tcPr>
            <w:tcW w:w="1360" w:type="dxa"/>
            <w:vAlign w:val="top"/>
            <w:vMerge w:val="continue"/>
            <w:tcBorders>
              <w:top w:val="nil"/>
            </w:tcBorders>
          </w:tcPr>
          <w:p>
            <w:pPr>
              <w:rPr>
                <w:rFonts w:ascii="Arial"/>
                <w:sz w:val="21"/>
              </w:rPr>
            </w:pPr>
            <w:r/>
          </w:p>
        </w:tc>
        <w:tc>
          <w:tcPr>
            <w:tcW w:w="1044" w:type="dxa"/>
            <w:vAlign w:val="top"/>
            <w:vMerge w:val="continue"/>
            <w:tcBorders>
              <w:top w:val="nil"/>
            </w:tcBorders>
          </w:tcPr>
          <w:p>
            <w:pPr>
              <w:rPr>
                <w:rFonts w:ascii="Arial"/>
                <w:sz w:val="21"/>
              </w:rPr>
            </w:pPr>
            <w:r/>
          </w:p>
        </w:tc>
        <w:tc>
          <w:tcPr>
            <w:tcW w:w="708" w:type="dxa"/>
            <w:vAlign w:val="top"/>
            <w:vMerge w:val="continue"/>
            <w:tcBorders>
              <w:top w:val="nil"/>
            </w:tcBorders>
          </w:tcPr>
          <w:p>
            <w:pPr>
              <w:rPr>
                <w:rFonts w:ascii="Arial"/>
                <w:sz w:val="21"/>
              </w:rPr>
            </w:pPr>
            <w:r/>
          </w:p>
        </w:tc>
        <w:tc>
          <w:tcPr>
            <w:tcW w:w="754" w:type="dxa"/>
            <w:vAlign w:val="top"/>
            <w:vMerge w:val="continue"/>
            <w:tcBorders>
              <w:top w:val="nil"/>
            </w:tcBorders>
          </w:tcPr>
          <w:p>
            <w:pPr>
              <w:rPr>
                <w:rFonts w:ascii="Arial"/>
                <w:sz w:val="21"/>
              </w:rPr>
            </w:pPr>
            <w:r/>
          </w:p>
        </w:tc>
        <w:tc>
          <w:tcPr>
            <w:tcW w:w="1122" w:type="dxa"/>
            <w:vAlign w:val="top"/>
            <w:vMerge w:val="continue"/>
            <w:tcBorders>
              <w:top w:val="nil"/>
            </w:tcBorders>
          </w:tcPr>
          <w:p>
            <w:pPr>
              <w:rPr>
                <w:rFonts w:ascii="Arial"/>
                <w:sz w:val="21"/>
              </w:rPr>
            </w:pPr>
            <w:r/>
          </w:p>
        </w:tc>
        <w:tc>
          <w:tcPr>
            <w:tcW w:w="1011" w:type="dxa"/>
            <w:vAlign w:val="top"/>
            <w:vMerge w:val="continue"/>
            <w:tcBorders>
              <w:top w:val="nil"/>
            </w:tcBorders>
          </w:tcPr>
          <w:p>
            <w:pPr>
              <w:rPr>
                <w:rFonts w:ascii="Arial"/>
                <w:sz w:val="21"/>
              </w:rPr>
            </w:pPr>
            <w:r/>
          </w:p>
        </w:tc>
        <w:tc>
          <w:tcPr>
            <w:tcW w:w="911" w:type="dxa"/>
            <w:vAlign w:val="top"/>
            <w:vMerge w:val="continue"/>
            <w:tcBorders>
              <w:top w:val="nil"/>
            </w:tcBorders>
          </w:tcPr>
          <w:p>
            <w:pPr>
              <w:rPr>
                <w:rFonts w:ascii="Arial"/>
                <w:sz w:val="21"/>
              </w:rPr>
            </w:pPr>
            <w:r/>
          </w:p>
        </w:tc>
        <w:tc>
          <w:tcPr>
            <w:tcW w:w="782" w:type="dxa"/>
            <w:vAlign w:val="top"/>
            <w:vMerge w:val="continue"/>
            <w:tcBorders>
              <w:top w:val="nil"/>
            </w:tcBorders>
          </w:tcPr>
          <w:p>
            <w:pPr>
              <w:rPr>
                <w:rFonts w:ascii="Arial"/>
                <w:sz w:val="21"/>
              </w:rPr>
            </w:pPr>
            <w:r/>
          </w:p>
        </w:tc>
      </w:tr>
      <w:tr>
        <w:trPr>
          <w:trHeight w:val="549" w:hRule="atLeast"/>
        </w:trPr>
        <w:tc>
          <w:tcPr>
            <w:tcW w:w="539" w:type="dxa"/>
            <w:vAlign w:val="top"/>
          </w:tcPr>
          <w:p>
            <w:pPr>
              <w:ind w:left="221"/>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873" w:type="dxa"/>
            <w:vAlign w:val="top"/>
          </w:tcPr>
          <w:p>
            <w:pPr>
              <w:pStyle w:val="TableText"/>
              <w:ind w:left="123"/>
              <w:spacing w:before="34" w:line="228" w:lineRule="auto"/>
              <w:rPr/>
            </w:pPr>
            <w:r>
              <w:rPr>
                <w:spacing w:val="7"/>
              </w:rPr>
              <w:t>梳绒车</w:t>
            </w:r>
          </w:p>
          <w:p>
            <w:pPr>
              <w:pStyle w:val="TableText"/>
              <w:ind w:left="349"/>
              <w:spacing w:before="24" w:line="215" w:lineRule="auto"/>
              <w:rPr/>
            </w:pPr>
            <w:r>
              <w:rPr/>
              <w:t>间</w:t>
            </w:r>
          </w:p>
        </w:tc>
        <w:tc>
          <w:tcPr>
            <w:tcW w:w="1686" w:type="dxa"/>
            <w:vAlign w:val="top"/>
          </w:tcPr>
          <w:p>
            <w:pPr>
              <w:pStyle w:val="TableText"/>
              <w:ind w:left="529"/>
              <w:spacing w:before="172" w:line="228" w:lineRule="auto"/>
              <w:rPr/>
            </w:pPr>
            <w:r>
              <w:rPr>
                <w:spacing w:val="7"/>
              </w:rPr>
              <w:t>颗粒物</w:t>
            </w:r>
          </w:p>
        </w:tc>
        <w:tc>
          <w:tcPr>
            <w:tcW w:w="1244" w:type="dxa"/>
            <w:vAlign w:val="top"/>
          </w:tcPr>
          <w:p>
            <w:pPr>
              <w:ind w:left="336"/>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0.0083</w:t>
            </w:r>
          </w:p>
        </w:tc>
        <w:tc>
          <w:tcPr>
            <w:tcW w:w="1520" w:type="dxa"/>
            <w:vAlign w:val="top"/>
          </w:tcPr>
          <w:p>
            <w:pPr>
              <w:ind w:left="209"/>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42.29578629</w:t>
            </w:r>
          </w:p>
        </w:tc>
        <w:tc>
          <w:tcPr>
            <w:tcW w:w="1360" w:type="dxa"/>
            <w:vAlign w:val="top"/>
          </w:tcPr>
          <w:p>
            <w:pPr>
              <w:ind w:left="150"/>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114.9708402</w:t>
            </w:r>
          </w:p>
        </w:tc>
        <w:tc>
          <w:tcPr>
            <w:tcW w:w="1044" w:type="dxa"/>
            <w:vAlign w:val="top"/>
          </w:tcPr>
          <w:p>
            <w:pPr>
              <w:ind w:left="335"/>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1325</w:t>
            </w:r>
          </w:p>
        </w:tc>
        <w:tc>
          <w:tcPr>
            <w:tcW w:w="708" w:type="dxa"/>
            <w:vAlign w:val="top"/>
          </w:tcPr>
          <w:p>
            <w:pPr>
              <w:ind w:left="254"/>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754" w:type="dxa"/>
            <w:vAlign w:val="top"/>
          </w:tcPr>
          <w:p>
            <w:pPr>
              <w:ind w:left="274"/>
              <w:spacing w:before="2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22</w:t>
            </w:r>
          </w:p>
        </w:tc>
        <w:tc>
          <w:tcPr>
            <w:tcW w:w="1122" w:type="dxa"/>
            <w:vAlign w:val="top"/>
          </w:tcPr>
          <w:p>
            <w:pPr>
              <w:ind w:left="463"/>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1011" w:type="dxa"/>
            <w:vAlign w:val="top"/>
          </w:tcPr>
          <w:p>
            <w:pPr>
              <w:ind w:left="423"/>
              <w:spacing w:before="2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911" w:type="dxa"/>
            <w:vAlign w:val="top"/>
          </w:tcPr>
          <w:p>
            <w:pPr>
              <w:ind w:left="252"/>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7200</w:t>
            </w:r>
          </w:p>
        </w:tc>
        <w:tc>
          <w:tcPr>
            <w:tcW w:w="782" w:type="dxa"/>
            <w:vAlign w:val="top"/>
          </w:tcPr>
          <w:p>
            <w:pPr>
              <w:pStyle w:val="TableText"/>
              <w:ind w:left="190"/>
              <w:spacing w:before="172" w:line="228" w:lineRule="auto"/>
              <w:rPr/>
            </w:pPr>
            <w:r>
              <w:rPr>
                <w:spacing w:val="2"/>
              </w:rPr>
              <w:t>正常</w:t>
            </w:r>
          </w:p>
        </w:tc>
      </w:tr>
      <w:tr>
        <w:trPr>
          <w:trHeight w:val="400" w:hRule="atLeast"/>
        </w:trPr>
        <w:tc>
          <w:tcPr>
            <w:tcW w:w="539" w:type="dxa"/>
            <w:vAlign w:val="top"/>
            <w:vMerge w:val="restart"/>
            <w:tcBorders>
              <w:bottom w:val="nil"/>
            </w:tcBorders>
          </w:tcPr>
          <w:p>
            <w:pPr>
              <w:spacing w:line="276" w:lineRule="auto"/>
              <w:rPr>
                <w:rFonts w:ascii="Arial"/>
                <w:sz w:val="21"/>
              </w:rPr>
            </w:pPr>
            <w:r/>
          </w:p>
          <w:p>
            <w:pPr>
              <w:ind w:left="216"/>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873" w:type="dxa"/>
            <w:vAlign w:val="top"/>
            <w:vMerge w:val="restart"/>
            <w:tcBorders>
              <w:bottom w:val="nil"/>
            </w:tcBorders>
          </w:tcPr>
          <w:p>
            <w:pPr>
              <w:pStyle w:val="TableText"/>
              <w:ind w:left="124"/>
              <w:spacing w:before="143" w:line="227" w:lineRule="auto"/>
              <w:rPr/>
            </w:pPr>
            <w:r>
              <w:rPr>
                <w:spacing w:val="6"/>
              </w:rPr>
              <w:t>厌氧发</w:t>
            </w:r>
          </w:p>
          <w:p>
            <w:pPr>
              <w:pStyle w:val="TableText"/>
              <w:ind w:left="124"/>
              <w:spacing w:before="65" w:line="228" w:lineRule="auto"/>
              <w:rPr/>
            </w:pPr>
            <w:r>
              <w:rPr>
                <w:spacing w:val="5"/>
              </w:rPr>
              <w:t>酵罐区</w:t>
            </w:r>
          </w:p>
        </w:tc>
        <w:tc>
          <w:tcPr>
            <w:tcW w:w="1686" w:type="dxa"/>
            <w:vAlign w:val="top"/>
          </w:tcPr>
          <w:p>
            <w:pPr>
              <w:ind w:left="649"/>
              <w:spacing w:before="134"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NH</w:t>
            </w:r>
            <w:r>
              <w:rPr>
                <w:rFonts w:ascii="Times New Roman" w:hAnsi="Times New Roman" w:eastAsia="Times New Roman" w:cs="Times New Roman"/>
                <w:sz w:val="13"/>
                <w:szCs w:val="13"/>
                <w:spacing w:val="7"/>
                <w:position w:val="-1"/>
              </w:rPr>
              <w:t>3</w:t>
            </w:r>
          </w:p>
        </w:tc>
        <w:tc>
          <w:tcPr>
            <w:tcW w:w="1244" w:type="dxa"/>
            <w:vAlign w:val="top"/>
          </w:tcPr>
          <w:p>
            <w:pPr>
              <w:ind w:left="283"/>
              <w:spacing w:before="13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0.00112</w:t>
            </w:r>
          </w:p>
        </w:tc>
        <w:tc>
          <w:tcPr>
            <w:tcW w:w="1520" w:type="dxa"/>
            <w:vAlign w:val="top"/>
            <w:vMerge w:val="restart"/>
            <w:tcBorders>
              <w:bottom w:val="nil"/>
            </w:tcBorders>
          </w:tcPr>
          <w:p>
            <w:pPr>
              <w:spacing w:line="276" w:lineRule="auto"/>
              <w:rPr>
                <w:rFonts w:ascii="Arial"/>
                <w:sz w:val="21"/>
              </w:rPr>
            </w:pPr>
            <w:r/>
          </w:p>
          <w:p>
            <w:pPr>
              <w:ind w:left="20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42.29463557</w:t>
            </w:r>
          </w:p>
        </w:tc>
        <w:tc>
          <w:tcPr>
            <w:tcW w:w="1360" w:type="dxa"/>
            <w:vAlign w:val="top"/>
            <w:vMerge w:val="restart"/>
            <w:tcBorders>
              <w:bottom w:val="nil"/>
            </w:tcBorders>
          </w:tcPr>
          <w:p>
            <w:pPr>
              <w:spacing w:line="276" w:lineRule="auto"/>
              <w:rPr>
                <w:rFonts w:ascii="Arial"/>
                <w:sz w:val="21"/>
              </w:rPr>
            </w:pPr>
            <w:r/>
          </w:p>
          <w:p>
            <w:pPr>
              <w:ind w:left="9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114.96991754</w:t>
            </w:r>
          </w:p>
        </w:tc>
        <w:tc>
          <w:tcPr>
            <w:tcW w:w="1044" w:type="dxa"/>
            <w:vAlign w:val="top"/>
            <w:vMerge w:val="restart"/>
            <w:tcBorders>
              <w:bottom w:val="nil"/>
            </w:tcBorders>
          </w:tcPr>
          <w:p>
            <w:pPr>
              <w:spacing w:line="276" w:lineRule="auto"/>
              <w:rPr>
                <w:rFonts w:ascii="Arial"/>
                <w:sz w:val="21"/>
              </w:rPr>
            </w:pPr>
            <w:r/>
          </w:p>
          <w:p>
            <w:pPr>
              <w:ind w:left="335"/>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1325</w:t>
            </w:r>
          </w:p>
        </w:tc>
        <w:tc>
          <w:tcPr>
            <w:tcW w:w="708" w:type="dxa"/>
            <w:vAlign w:val="top"/>
            <w:vMerge w:val="restart"/>
            <w:tcBorders>
              <w:bottom w:val="nil"/>
            </w:tcBorders>
          </w:tcPr>
          <w:p>
            <w:pPr>
              <w:spacing w:line="276" w:lineRule="auto"/>
              <w:rPr>
                <w:rFonts w:ascii="Arial"/>
                <w:sz w:val="21"/>
              </w:rPr>
            </w:pPr>
            <w:r/>
          </w:p>
          <w:p>
            <w:pPr>
              <w:ind w:left="255"/>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33</w:t>
            </w:r>
          </w:p>
        </w:tc>
        <w:tc>
          <w:tcPr>
            <w:tcW w:w="754" w:type="dxa"/>
            <w:vAlign w:val="top"/>
            <w:vMerge w:val="restart"/>
            <w:tcBorders>
              <w:bottom w:val="nil"/>
            </w:tcBorders>
          </w:tcPr>
          <w:p>
            <w:pPr>
              <w:spacing w:line="276" w:lineRule="auto"/>
              <w:rPr>
                <w:rFonts w:ascii="Arial"/>
                <w:sz w:val="21"/>
              </w:rPr>
            </w:pPr>
            <w:r/>
          </w:p>
          <w:p>
            <w:pPr>
              <w:ind w:left="295"/>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1122" w:type="dxa"/>
            <w:vAlign w:val="top"/>
            <w:vMerge w:val="restart"/>
            <w:tcBorders>
              <w:bottom w:val="nil"/>
            </w:tcBorders>
          </w:tcPr>
          <w:p>
            <w:pPr>
              <w:spacing w:line="276" w:lineRule="auto"/>
              <w:rPr>
                <w:rFonts w:ascii="Arial"/>
                <w:sz w:val="21"/>
              </w:rPr>
            </w:pPr>
            <w:r/>
          </w:p>
          <w:p>
            <w:pPr>
              <w:ind w:left="46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1011" w:type="dxa"/>
            <w:vAlign w:val="top"/>
            <w:vMerge w:val="restart"/>
            <w:tcBorders>
              <w:bottom w:val="nil"/>
            </w:tcBorders>
          </w:tcPr>
          <w:p>
            <w:pPr>
              <w:spacing w:line="276" w:lineRule="auto"/>
              <w:rPr>
                <w:rFonts w:ascii="Arial"/>
                <w:sz w:val="21"/>
              </w:rPr>
            </w:pPr>
            <w:r/>
          </w:p>
          <w:p>
            <w:pPr>
              <w:ind w:left="42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911" w:type="dxa"/>
            <w:vAlign w:val="top"/>
            <w:vMerge w:val="restart"/>
            <w:tcBorders>
              <w:bottom w:val="nil"/>
            </w:tcBorders>
          </w:tcPr>
          <w:p>
            <w:pPr>
              <w:spacing w:line="276" w:lineRule="auto"/>
              <w:rPr>
                <w:rFonts w:ascii="Arial"/>
                <w:sz w:val="21"/>
              </w:rPr>
            </w:pPr>
            <w:r/>
          </w:p>
          <w:p>
            <w:pPr>
              <w:ind w:left="252"/>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7200</w:t>
            </w:r>
          </w:p>
        </w:tc>
        <w:tc>
          <w:tcPr>
            <w:tcW w:w="782" w:type="dxa"/>
            <w:vAlign w:val="top"/>
            <w:vMerge w:val="restart"/>
            <w:tcBorders>
              <w:bottom w:val="nil"/>
            </w:tcBorders>
          </w:tcPr>
          <w:p>
            <w:pPr>
              <w:pStyle w:val="TableText"/>
              <w:ind w:left="190"/>
              <w:spacing w:before="300" w:line="228" w:lineRule="auto"/>
              <w:rPr/>
            </w:pPr>
            <w:r>
              <w:rPr>
                <w:spacing w:val="2"/>
              </w:rPr>
              <w:t>正常</w:t>
            </w:r>
          </w:p>
        </w:tc>
      </w:tr>
      <w:tr>
        <w:trPr>
          <w:trHeight w:val="400" w:hRule="atLeast"/>
        </w:trPr>
        <w:tc>
          <w:tcPr>
            <w:tcW w:w="539" w:type="dxa"/>
            <w:vAlign w:val="top"/>
            <w:vMerge w:val="continue"/>
            <w:tcBorders>
              <w:top w:val="nil"/>
            </w:tcBorders>
          </w:tcPr>
          <w:p>
            <w:pPr>
              <w:rPr>
                <w:rFonts w:ascii="Arial"/>
                <w:sz w:val="21"/>
              </w:rPr>
            </w:pPr>
            <w:r/>
          </w:p>
        </w:tc>
        <w:tc>
          <w:tcPr>
            <w:tcW w:w="873" w:type="dxa"/>
            <w:vAlign w:val="top"/>
            <w:vMerge w:val="continue"/>
            <w:tcBorders>
              <w:top w:val="nil"/>
            </w:tcBorders>
          </w:tcPr>
          <w:p>
            <w:pPr>
              <w:rPr>
                <w:rFonts w:ascii="Arial"/>
                <w:sz w:val="21"/>
              </w:rPr>
            </w:pPr>
            <w:r/>
          </w:p>
        </w:tc>
        <w:tc>
          <w:tcPr>
            <w:tcW w:w="1686" w:type="dxa"/>
            <w:vAlign w:val="top"/>
          </w:tcPr>
          <w:p>
            <w:pPr>
              <w:ind w:left="672"/>
              <w:spacing w:before="132"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H</w:t>
            </w:r>
            <w:r>
              <w:rPr>
                <w:rFonts w:ascii="Times New Roman" w:hAnsi="Times New Roman" w:eastAsia="Times New Roman" w:cs="Times New Roman"/>
                <w:sz w:val="13"/>
                <w:szCs w:val="13"/>
                <w:spacing w:val="4"/>
                <w:position w:val="-1"/>
              </w:rPr>
              <w:t>2</w:t>
            </w:r>
            <w:r>
              <w:rPr>
                <w:rFonts w:ascii="Times New Roman" w:hAnsi="Times New Roman" w:eastAsia="Times New Roman" w:cs="Times New Roman"/>
                <w:sz w:val="20"/>
                <w:szCs w:val="20"/>
                <w:spacing w:val="4"/>
              </w:rPr>
              <w:t>S</w:t>
            </w:r>
          </w:p>
        </w:tc>
        <w:tc>
          <w:tcPr>
            <w:tcW w:w="1244" w:type="dxa"/>
            <w:vAlign w:val="top"/>
          </w:tcPr>
          <w:p>
            <w:pPr>
              <w:ind w:left="230"/>
              <w:spacing w:before="13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0.000066</w:t>
            </w:r>
          </w:p>
        </w:tc>
        <w:tc>
          <w:tcPr>
            <w:tcW w:w="1520" w:type="dxa"/>
            <w:vAlign w:val="top"/>
            <w:vMerge w:val="continue"/>
            <w:tcBorders>
              <w:top w:val="nil"/>
            </w:tcBorders>
          </w:tcPr>
          <w:p>
            <w:pPr>
              <w:rPr>
                <w:rFonts w:ascii="Arial"/>
                <w:sz w:val="21"/>
              </w:rPr>
            </w:pPr>
            <w:r/>
          </w:p>
        </w:tc>
        <w:tc>
          <w:tcPr>
            <w:tcW w:w="1360" w:type="dxa"/>
            <w:vAlign w:val="top"/>
            <w:vMerge w:val="continue"/>
            <w:tcBorders>
              <w:top w:val="nil"/>
            </w:tcBorders>
          </w:tcPr>
          <w:p>
            <w:pPr>
              <w:rPr>
                <w:rFonts w:ascii="Arial"/>
                <w:sz w:val="21"/>
              </w:rPr>
            </w:pPr>
            <w:r/>
          </w:p>
        </w:tc>
        <w:tc>
          <w:tcPr>
            <w:tcW w:w="1044" w:type="dxa"/>
            <w:vAlign w:val="top"/>
            <w:vMerge w:val="continue"/>
            <w:tcBorders>
              <w:top w:val="nil"/>
            </w:tcBorders>
          </w:tcPr>
          <w:p>
            <w:pPr>
              <w:rPr>
                <w:rFonts w:ascii="Arial"/>
                <w:sz w:val="21"/>
              </w:rPr>
            </w:pPr>
            <w:r/>
          </w:p>
        </w:tc>
        <w:tc>
          <w:tcPr>
            <w:tcW w:w="708" w:type="dxa"/>
            <w:vAlign w:val="top"/>
            <w:vMerge w:val="continue"/>
            <w:tcBorders>
              <w:top w:val="nil"/>
            </w:tcBorders>
          </w:tcPr>
          <w:p>
            <w:pPr>
              <w:rPr>
                <w:rFonts w:ascii="Arial"/>
                <w:sz w:val="21"/>
              </w:rPr>
            </w:pPr>
            <w:r/>
          </w:p>
        </w:tc>
        <w:tc>
          <w:tcPr>
            <w:tcW w:w="754" w:type="dxa"/>
            <w:vAlign w:val="top"/>
            <w:vMerge w:val="continue"/>
            <w:tcBorders>
              <w:top w:val="nil"/>
            </w:tcBorders>
          </w:tcPr>
          <w:p>
            <w:pPr>
              <w:rPr>
                <w:rFonts w:ascii="Arial"/>
                <w:sz w:val="21"/>
              </w:rPr>
            </w:pPr>
            <w:r/>
          </w:p>
        </w:tc>
        <w:tc>
          <w:tcPr>
            <w:tcW w:w="1122" w:type="dxa"/>
            <w:vAlign w:val="top"/>
            <w:vMerge w:val="continue"/>
            <w:tcBorders>
              <w:top w:val="nil"/>
            </w:tcBorders>
          </w:tcPr>
          <w:p>
            <w:pPr>
              <w:rPr>
                <w:rFonts w:ascii="Arial"/>
                <w:sz w:val="21"/>
              </w:rPr>
            </w:pPr>
            <w:r/>
          </w:p>
        </w:tc>
        <w:tc>
          <w:tcPr>
            <w:tcW w:w="1011" w:type="dxa"/>
            <w:vAlign w:val="top"/>
            <w:vMerge w:val="continue"/>
            <w:tcBorders>
              <w:top w:val="nil"/>
            </w:tcBorders>
          </w:tcPr>
          <w:p>
            <w:pPr>
              <w:rPr>
                <w:rFonts w:ascii="Arial"/>
                <w:sz w:val="21"/>
              </w:rPr>
            </w:pPr>
            <w:r/>
          </w:p>
        </w:tc>
        <w:tc>
          <w:tcPr>
            <w:tcW w:w="911" w:type="dxa"/>
            <w:vAlign w:val="top"/>
            <w:vMerge w:val="continue"/>
            <w:tcBorders>
              <w:top w:val="nil"/>
            </w:tcBorders>
          </w:tcPr>
          <w:p>
            <w:pPr>
              <w:rPr>
                <w:rFonts w:ascii="Arial"/>
                <w:sz w:val="21"/>
              </w:rPr>
            </w:pPr>
            <w:r/>
          </w:p>
        </w:tc>
        <w:tc>
          <w:tcPr>
            <w:tcW w:w="782" w:type="dxa"/>
            <w:vAlign w:val="top"/>
            <w:vMerge w:val="continue"/>
            <w:tcBorders>
              <w:top w:val="nil"/>
            </w:tcBorders>
          </w:tcPr>
          <w:p>
            <w:pPr>
              <w:rPr>
                <w:rFonts w:ascii="Arial"/>
                <w:sz w:val="21"/>
              </w:rPr>
            </w:pPr>
            <w:r/>
          </w:p>
        </w:tc>
      </w:tr>
      <w:tr>
        <w:trPr>
          <w:trHeight w:val="400" w:hRule="atLeast"/>
        </w:trPr>
        <w:tc>
          <w:tcPr>
            <w:tcW w:w="539" w:type="dxa"/>
            <w:vAlign w:val="top"/>
            <w:vMerge w:val="restart"/>
            <w:tcBorders>
              <w:bottom w:val="nil"/>
            </w:tcBorders>
          </w:tcPr>
          <w:p>
            <w:pPr>
              <w:spacing w:line="278" w:lineRule="auto"/>
              <w:rPr>
                <w:rFonts w:ascii="Arial"/>
                <w:sz w:val="21"/>
              </w:rPr>
            </w:pPr>
            <w:r/>
          </w:p>
          <w:p>
            <w:pPr>
              <w:ind w:left="223"/>
              <w:spacing w:before="5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873" w:type="dxa"/>
            <w:vAlign w:val="top"/>
            <w:vMerge w:val="restart"/>
            <w:tcBorders>
              <w:bottom w:val="nil"/>
            </w:tcBorders>
          </w:tcPr>
          <w:p>
            <w:pPr>
              <w:pStyle w:val="TableText"/>
              <w:ind w:left="237" w:right="123" w:hanging="109"/>
              <w:spacing w:before="142" w:line="292" w:lineRule="auto"/>
              <w:rPr/>
            </w:pPr>
            <w:r>
              <w:rPr>
                <w:spacing w:val="5"/>
              </w:rPr>
              <w:t>沼渣晾</w:t>
            </w:r>
            <w:r>
              <w:rPr/>
              <w:t xml:space="preserve"> </w:t>
            </w:r>
            <w:r>
              <w:rPr/>
              <w:t>晒区</w:t>
            </w:r>
          </w:p>
        </w:tc>
        <w:tc>
          <w:tcPr>
            <w:tcW w:w="1686" w:type="dxa"/>
            <w:vAlign w:val="top"/>
          </w:tcPr>
          <w:p>
            <w:pPr>
              <w:ind w:left="649"/>
              <w:spacing w:before="135"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NH</w:t>
            </w:r>
            <w:r>
              <w:rPr>
                <w:rFonts w:ascii="Times New Roman" w:hAnsi="Times New Roman" w:eastAsia="Times New Roman" w:cs="Times New Roman"/>
                <w:sz w:val="13"/>
                <w:szCs w:val="13"/>
                <w:spacing w:val="7"/>
                <w:position w:val="-1"/>
              </w:rPr>
              <w:t>3</w:t>
            </w:r>
          </w:p>
        </w:tc>
        <w:tc>
          <w:tcPr>
            <w:tcW w:w="1244" w:type="dxa"/>
            <w:vAlign w:val="top"/>
          </w:tcPr>
          <w:p>
            <w:pPr>
              <w:ind w:left="336"/>
              <w:spacing w:before="13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0.0017</w:t>
            </w:r>
          </w:p>
        </w:tc>
        <w:tc>
          <w:tcPr>
            <w:tcW w:w="1520" w:type="dxa"/>
            <w:vAlign w:val="top"/>
            <w:vMerge w:val="restart"/>
            <w:tcBorders>
              <w:bottom w:val="nil"/>
            </w:tcBorders>
          </w:tcPr>
          <w:p>
            <w:pPr>
              <w:spacing w:line="275" w:lineRule="auto"/>
              <w:rPr>
                <w:rFonts w:ascii="Arial"/>
                <w:sz w:val="21"/>
              </w:rPr>
            </w:pPr>
            <w:r/>
          </w:p>
          <w:p>
            <w:pPr>
              <w:ind w:left="17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114.96946692</w:t>
            </w:r>
          </w:p>
        </w:tc>
        <w:tc>
          <w:tcPr>
            <w:tcW w:w="1360" w:type="dxa"/>
            <w:vAlign w:val="top"/>
            <w:vMerge w:val="restart"/>
            <w:tcBorders>
              <w:bottom w:val="nil"/>
            </w:tcBorders>
          </w:tcPr>
          <w:p>
            <w:pPr>
              <w:spacing w:line="275" w:lineRule="auto"/>
              <w:rPr>
                <w:rFonts w:ascii="Arial"/>
                <w:sz w:val="21"/>
              </w:rPr>
            </w:pPr>
            <w:r/>
          </w:p>
          <w:p>
            <w:pPr>
              <w:ind w:left="12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42.29545298</w:t>
            </w:r>
          </w:p>
        </w:tc>
        <w:tc>
          <w:tcPr>
            <w:tcW w:w="1044" w:type="dxa"/>
            <w:vAlign w:val="top"/>
            <w:vMerge w:val="restart"/>
            <w:tcBorders>
              <w:bottom w:val="nil"/>
            </w:tcBorders>
          </w:tcPr>
          <w:p>
            <w:pPr>
              <w:spacing w:line="275" w:lineRule="auto"/>
              <w:rPr>
                <w:rFonts w:ascii="Arial"/>
                <w:sz w:val="21"/>
              </w:rPr>
            </w:pPr>
            <w:r/>
          </w:p>
          <w:p>
            <w:pPr>
              <w:ind w:left="335"/>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1325</w:t>
            </w:r>
          </w:p>
        </w:tc>
        <w:tc>
          <w:tcPr>
            <w:tcW w:w="708" w:type="dxa"/>
            <w:vAlign w:val="top"/>
            <w:vMerge w:val="restart"/>
            <w:tcBorders>
              <w:bottom w:val="nil"/>
            </w:tcBorders>
          </w:tcPr>
          <w:p>
            <w:pPr>
              <w:spacing w:line="275" w:lineRule="auto"/>
              <w:rPr>
                <w:rFonts w:ascii="Arial"/>
                <w:sz w:val="21"/>
              </w:rPr>
            </w:pPr>
            <w:r/>
          </w:p>
          <w:p>
            <w:pPr>
              <w:ind w:left="271"/>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754" w:type="dxa"/>
            <w:vAlign w:val="top"/>
            <w:vMerge w:val="restart"/>
            <w:tcBorders>
              <w:bottom w:val="nil"/>
            </w:tcBorders>
          </w:tcPr>
          <w:p>
            <w:pPr>
              <w:spacing w:line="275" w:lineRule="auto"/>
              <w:rPr>
                <w:rFonts w:ascii="Arial"/>
                <w:sz w:val="21"/>
              </w:rPr>
            </w:pPr>
            <w:r/>
          </w:p>
          <w:p>
            <w:pPr>
              <w:ind w:left="331"/>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122" w:type="dxa"/>
            <w:vAlign w:val="top"/>
            <w:vMerge w:val="restart"/>
            <w:tcBorders>
              <w:bottom w:val="nil"/>
            </w:tcBorders>
          </w:tcPr>
          <w:p>
            <w:pPr>
              <w:spacing w:line="275" w:lineRule="auto"/>
              <w:rPr>
                <w:rFonts w:ascii="Arial"/>
                <w:sz w:val="21"/>
              </w:rPr>
            </w:pPr>
            <w:r/>
          </w:p>
          <w:p>
            <w:pPr>
              <w:ind w:left="45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1011" w:type="dxa"/>
            <w:vAlign w:val="top"/>
            <w:vMerge w:val="restart"/>
            <w:tcBorders>
              <w:bottom w:val="nil"/>
            </w:tcBorders>
          </w:tcPr>
          <w:p>
            <w:pPr>
              <w:spacing w:line="275" w:lineRule="auto"/>
              <w:rPr>
                <w:rFonts w:ascii="Arial"/>
                <w:sz w:val="21"/>
              </w:rPr>
            </w:pPr>
            <w:r/>
          </w:p>
          <w:p>
            <w:pPr>
              <w:ind w:left="42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911" w:type="dxa"/>
            <w:vAlign w:val="top"/>
            <w:vMerge w:val="restart"/>
            <w:tcBorders>
              <w:bottom w:val="nil"/>
            </w:tcBorders>
          </w:tcPr>
          <w:p>
            <w:pPr>
              <w:spacing w:line="275" w:lineRule="auto"/>
              <w:rPr>
                <w:rFonts w:ascii="Arial"/>
                <w:sz w:val="21"/>
              </w:rPr>
            </w:pPr>
            <w:r/>
          </w:p>
          <w:p>
            <w:pPr>
              <w:ind w:left="252"/>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7200</w:t>
            </w:r>
          </w:p>
        </w:tc>
        <w:tc>
          <w:tcPr>
            <w:tcW w:w="782" w:type="dxa"/>
            <w:vAlign w:val="top"/>
            <w:vMerge w:val="restart"/>
            <w:tcBorders>
              <w:bottom w:val="nil"/>
            </w:tcBorders>
          </w:tcPr>
          <w:p>
            <w:pPr>
              <w:pStyle w:val="TableText"/>
              <w:ind w:left="190"/>
              <w:spacing w:before="298" w:line="228" w:lineRule="auto"/>
              <w:rPr/>
            </w:pPr>
            <w:r>
              <w:rPr>
                <w:spacing w:val="2"/>
              </w:rPr>
              <w:t>正常</w:t>
            </w:r>
          </w:p>
        </w:tc>
      </w:tr>
      <w:tr>
        <w:trPr>
          <w:trHeight w:val="404" w:hRule="atLeast"/>
        </w:trPr>
        <w:tc>
          <w:tcPr>
            <w:tcW w:w="539" w:type="dxa"/>
            <w:vAlign w:val="top"/>
            <w:vMerge w:val="continue"/>
            <w:tcBorders>
              <w:top w:val="nil"/>
            </w:tcBorders>
          </w:tcPr>
          <w:p>
            <w:pPr>
              <w:rPr>
                <w:rFonts w:ascii="Arial"/>
                <w:sz w:val="21"/>
              </w:rPr>
            </w:pPr>
            <w:r/>
          </w:p>
        </w:tc>
        <w:tc>
          <w:tcPr>
            <w:tcW w:w="873" w:type="dxa"/>
            <w:vAlign w:val="top"/>
            <w:vMerge w:val="continue"/>
            <w:tcBorders>
              <w:top w:val="nil"/>
            </w:tcBorders>
          </w:tcPr>
          <w:p>
            <w:pPr>
              <w:rPr>
                <w:rFonts w:ascii="Arial"/>
                <w:sz w:val="21"/>
              </w:rPr>
            </w:pPr>
            <w:r/>
          </w:p>
        </w:tc>
        <w:tc>
          <w:tcPr>
            <w:tcW w:w="1686" w:type="dxa"/>
            <w:vAlign w:val="top"/>
          </w:tcPr>
          <w:p>
            <w:pPr>
              <w:ind w:left="672"/>
              <w:spacing w:before="133"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H</w:t>
            </w:r>
            <w:r>
              <w:rPr>
                <w:rFonts w:ascii="Times New Roman" w:hAnsi="Times New Roman" w:eastAsia="Times New Roman" w:cs="Times New Roman"/>
                <w:sz w:val="13"/>
                <w:szCs w:val="13"/>
                <w:spacing w:val="4"/>
                <w:position w:val="-1"/>
              </w:rPr>
              <w:t>2</w:t>
            </w:r>
            <w:r>
              <w:rPr>
                <w:rFonts w:ascii="Times New Roman" w:hAnsi="Times New Roman" w:eastAsia="Times New Roman" w:cs="Times New Roman"/>
                <w:sz w:val="20"/>
                <w:szCs w:val="20"/>
                <w:spacing w:val="4"/>
              </w:rPr>
              <w:t>S</w:t>
            </w:r>
          </w:p>
        </w:tc>
        <w:tc>
          <w:tcPr>
            <w:tcW w:w="1244" w:type="dxa"/>
            <w:vAlign w:val="top"/>
          </w:tcPr>
          <w:p>
            <w:pPr>
              <w:ind w:left="283"/>
              <w:spacing w:before="13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0.00017</w:t>
            </w:r>
          </w:p>
        </w:tc>
        <w:tc>
          <w:tcPr>
            <w:tcW w:w="1520" w:type="dxa"/>
            <w:vAlign w:val="top"/>
            <w:vMerge w:val="continue"/>
            <w:tcBorders>
              <w:top w:val="nil"/>
            </w:tcBorders>
          </w:tcPr>
          <w:p>
            <w:pPr>
              <w:rPr>
                <w:rFonts w:ascii="Arial"/>
                <w:sz w:val="21"/>
              </w:rPr>
            </w:pPr>
            <w:r/>
          </w:p>
        </w:tc>
        <w:tc>
          <w:tcPr>
            <w:tcW w:w="1360" w:type="dxa"/>
            <w:vAlign w:val="top"/>
            <w:vMerge w:val="continue"/>
            <w:tcBorders>
              <w:top w:val="nil"/>
            </w:tcBorders>
          </w:tcPr>
          <w:p>
            <w:pPr>
              <w:rPr>
                <w:rFonts w:ascii="Arial"/>
                <w:sz w:val="21"/>
              </w:rPr>
            </w:pPr>
            <w:r/>
          </w:p>
        </w:tc>
        <w:tc>
          <w:tcPr>
            <w:tcW w:w="1044" w:type="dxa"/>
            <w:vAlign w:val="top"/>
            <w:vMerge w:val="continue"/>
            <w:tcBorders>
              <w:top w:val="nil"/>
            </w:tcBorders>
          </w:tcPr>
          <w:p>
            <w:pPr>
              <w:rPr>
                <w:rFonts w:ascii="Arial"/>
                <w:sz w:val="21"/>
              </w:rPr>
            </w:pPr>
            <w:r/>
          </w:p>
        </w:tc>
        <w:tc>
          <w:tcPr>
            <w:tcW w:w="708" w:type="dxa"/>
            <w:vAlign w:val="top"/>
            <w:vMerge w:val="continue"/>
            <w:tcBorders>
              <w:top w:val="nil"/>
            </w:tcBorders>
          </w:tcPr>
          <w:p>
            <w:pPr>
              <w:rPr>
                <w:rFonts w:ascii="Arial"/>
                <w:sz w:val="21"/>
              </w:rPr>
            </w:pPr>
            <w:r/>
          </w:p>
        </w:tc>
        <w:tc>
          <w:tcPr>
            <w:tcW w:w="754" w:type="dxa"/>
            <w:vAlign w:val="top"/>
            <w:vMerge w:val="continue"/>
            <w:tcBorders>
              <w:top w:val="nil"/>
            </w:tcBorders>
          </w:tcPr>
          <w:p>
            <w:pPr>
              <w:rPr>
                <w:rFonts w:ascii="Arial"/>
                <w:sz w:val="21"/>
              </w:rPr>
            </w:pPr>
            <w:r/>
          </w:p>
        </w:tc>
        <w:tc>
          <w:tcPr>
            <w:tcW w:w="1122" w:type="dxa"/>
            <w:vAlign w:val="top"/>
            <w:vMerge w:val="continue"/>
            <w:tcBorders>
              <w:top w:val="nil"/>
            </w:tcBorders>
          </w:tcPr>
          <w:p>
            <w:pPr>
              <w:rPr>
                <w:rFonts w:ascii="Arial"/>
                <w:sz w:val="21"/>
              </w:rPr>
            </w:pPr>
            <w:r/>
          </w:p>
        </w:tc>
        <w:tc>
          <w:tcPr>
            <w:tcW w:w="1011" w:type="dxa"/>
            <w:vAlign w:val="top"/>
            <w:vMerge w:val="continue"/>
            <w:tcBorders>
              <w:top w:val="nil"/>
            </w:tcBorders>
          </w:tcPr>
          <w:p>
            <w:pPr>
              <w:rPr>
                <w:rFonts w:ascii="Arial"/>
                <w:sz w:val="21"/>
              </w:rPr>
            </w:pPr>
            <w:r/>
          </w:p>
        </w:tc>
        <w:tc>
          <w:tcPr>
            <w:tcW w:w="911" w:type="dxa"/>
            <w:vAlign w:val="top"/>
            <w:vMerge w:val="continue"/>
            <w:tcBorders>
              <w:top w:val="nil"/>
            </w:tcBorders>
          </w:tcPr>
          <w:p>
            <w:pPr>
              <w:rPr>
                <w:rFonts w:ascii="Arial"/>
                <w:sz w:val="21"/>
              </w:rPr>
            </w:pPr>
            <w:r/>
          </w:p>
        </w:tc>
        <w:tc>
          <w:tcPr>
            <w:tcW w:w="782" w:type="dxa"/>
            <w:vAlign w:val="top"/>
            <w:vMerge w:val="continue"/>
            <w:tcBorders>
              <w:top w:val="nil"/>
            </w:tcBorders>
          </w:tcPr>
          <w:p>
            <w:pPr>
              <w:rPr>
                <w:rFonts w:ascii="Arial"/>
                <w:sz w:val="21"/>
              </w:rPr>
            </w:pPr>
            <w:r/>
          </w:p>
        </w:tc>
      </w:tr>
    </w:tbl>
    <w:p>
      <w:pPr>
        <w:pStyle w:val="BodyText"/>
        <w:spacing w:line="251" w:lineRule="auto"/>
        <w:rPr/>
      </w:pPr>
      <w:r/>
    </w:p>
    <w:p>
      <w:pPr>
        <w:pStyle w:val="BodyText"/>
        <w:spacing w:line="251"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ind w:left="6666"/>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158</w:t>
      </w:r>
    </w:p>
    <w:p>
      <w:pPr>
        <w:ind w:left="9705"/>
        <w:spacing w:before="287" w:line="22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p>
      <w:pPr>
        <w:spacing w:line="227" w:lineRule="auto"/>
        <w:sectPr>
          <w:headerReference w:type="default" r:id="rId210"/>
          <w:pgSz w:w="16839" w:h="11906"/>
          <w:pgMar w:top="1567" w:right="1639" w:bottom="400" w:left="1639" w:header="1221" w:footer="0" w:gutter="0"/>
        </w:sectPr>
        <w:rPr>
          <w:rFonts w:ascii="SimSun" w:hAnsi="SimSun" w:eastAsia="SimSun" w:cs="SimSun"/>
          <w:sz w:val="19"/>
          <w:szCs w:val="19"/>
        </w:rPr>
      </w:pPr>
    </w:p>
    <w:p>
      <w:pPr>
        <w:pStyle w:val="BodyText"/>
        <w:spacing w:line="266" w:lineRule="auto"/>
        <w:rPr/>
      </w:pPr>
      <w:r>
        <w:pict>
          <v:shape id="_x0000_s752" style="position:absolute;margin-left:0pt;margin-top:0.723572pt;mso-position-vertical-relative:text;mso-position-horizontal-relative:text;width:425.25pt;height:0.75pt;z-index:252005376;" fillcolor="#000000" filled="true" stroked="false" coordsize="8505,15" coordorigin="0,0" path="m,l8504,0l8504,14l0,14l0,0xe"/>
        </w:pict>
      </w:r>
      <w:r/>
    </w:p>
    <w:p>
      <w:pPr>
        <w:ind w:left="516"/>
        <w:spacing w:before="78" w:line="220" w:lineRule="auto"/>
        <w:rPr>
          <w:rFonts w:ascii="SimSun" w:hAnsi="SimSun" w:eastAsia="SimSun" w:cs="SimSun"/>
          <w:sz w:val="24"/>
          <w:szCs w:val="24"/>
        </w:rPr>
      </w:pPr>
      <w:r>
        <w:rPr>
          <w:rFonts w:ascii="Times New Roman" w:hAnsi="Times New Roman" w:eastAsia="Times New Roman" w:cs="Times New Roman"/>
          <w:sz w:val="24"/>
          <w:szCs w:val="24"/>
          <w:spacing w:val="1"/>
        </w:rPr>
        <w:t>5</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、预测结果</w:t>
      </w:r>
    </w:p>
    <w:p>
      <w:pPr>
        <w:ind w:left="11" w:firstLine="479"/>
        <w:spacing w:before="213" w:line="375" w:lineRule="auto"/>
        <w:rPr>
          <w:rFonts w:ascii="SimSun" w:hAnsi="SimSun" w:eastAsia="SimSun" w:cs="SimSun"/>
          <w:sz w:val="24"/>
          <w:szCs w:val="24"/>
        </w:rPr>
      </w:pPr>
      <w:r>
        <w:rPr>
          <w:rFonts w:ascii="SimSun" w:hAnsi="SimSun" w:eastAsia="SimSun" w:cs="SimSun"/>
          <w:sz w:val="24"/>
          <w:szCs w:val="24"/>
        </w:rPr>
        <w:t>本次评价采用</w:t>
      </w:r>
      <w:r>
        <w:rPr>
          <w:rFonts w:ascii="SimSun" w:hAnsi="SimSun" w:eastAsia="SimSun" w:cs="SimSun"/>
          <w:sz w:val="24"/>
          <w:szCs w:val="24"/>
          <w:spacing w:val="-56"/>
        </w:rPr>
        <w:t xml:space="preserve"> </w:t>
      </w:r>
      <w:r>
        <w:rPr>
          <w:rFonts w:ascii="Times New Roman" w:hAnsi="Times New Roman" w:eastAsia="Times New Roman" w:cs="Times New Roman"/>
          <w:sz w:val="24"/>
          <w:szCs w:val="24"/>
        </w:rPr>
        <w:t>HJ2.2-2018 </w:t>
      </w:r>
      <w:r>
        <w:rPr>
          <w:rFonts w:ascii="SimSun" w:hAnsi="SimSun" w:eastAsia="SimSun" w:cs="SimSun"/>
          <w:sz w:val="24"/>
          <w:szCs w:val="24"/>
        </w:rPr>
        <w:t>推荐模式清单中的</w:t>
      </w:r>
      <w:r>
        <w:rPr>
          <w:rFonts w:ascii="SimSun" w:hAnsi="SimSun" w:eastAsia="SimSun" w:cs="SimSun"/>
          <w:sz w:val="24"/>
          <w:szCs w:val="24"/>
          <w:spacing w:val="-1"/>
        </w:rPr>
        <w:t>估算模型</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AERSCREEN</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，分别计</w:t>
      </w:r>
      <w:r>
        <w:rPr>
          <w:rFonts w:ascii="SimSun" w:hAnsi="SimSun" w:eastAsia="SimSun" w:cs="SimSun"/>
          <w:sz w:val="24"/>
          <w:szCs w:val="24"/>
        </w:rPr>
        <w:t xml:space="preserve"> </w:t>
      </w:r>
      <w:r>
        <w:rPr>
          <w:rFonts w:ascii="SimSun" w:hAnsi="SimSun" w:eastAsia="SimSun" w:cs="SimSun"/>
          <w:sz w:val="24"/>
          <w:szCs w:val="24"/>
          <w:spacing w:val="10"/>
        </w:rPr>
        <w:t>算各污染源污染物的下风向轴线浓度，并计算相应浓度</w:t>
      </w:r>
      <w:r>
        <w:rPr>
          <w:rFonts w:ascii="SimSun" w:hAnsi="SimSun" w:eastAsia="SimSun" w:cs="SimSun"/>
          <w:sz w:val="24"/>
          <w:szCs w:val="24"/>
          <w:spacing w:val="9"/>
        </w:rPr>
        <w:t>占标率，预测结果见表</w:t>
      </w:r>
      <w:r>
        <w:rPr>
          <w:rFonts w:ascii="SimSun" w:hAnsi="SimSun" w:eastAsia="SimSun" w:cs="SimSun"/>
          <w:sz w:val="24"/>
          <w:szCs w:val="24"/>
        </w:rPr>
        <w:t xml:space="preserve"> </w:t>
      </w:r>
      <w:r>
        <w:rPr>
          <w:rFonts w:ascii="Times New Roman" w:hAnsi="Times New Roman" w:eastAsia="Times New Roman" w:cs="Times New Roman"/>
          <w:sz w:val="24"/>
          <w:szCs w:val="24"/>
          <w:spacing w:val="-3"/>
        </w:rPr>
        <w:t>5.1-10</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5.1-11</w:t>
      </w:r>
      <w:r>
        <w:rPr>
          <w:rFonts w:ascii="SimSun" w:hAnsi="SimSun" w:eastAsia="SimSun" w:cs="SimSun"/>
          <w:sz w:val="24"/>
          <w:szCs w:val="24"/>
          <w:spacing w:val="-3"/>
        </w:rPr>
        <w:t>、</w:t>
      </w:r>
      <w:r>
        <w:rPr>
          <w:rFonts w:ascii="Times New Roman" w:hAnsi="Times New Roman" w:eastAsia="Times New Roman" w:cs="Times New Roman"/>
          <w:sz w:val="24"/>
          <w:szCs w:val="24"/>
          <w:spacing w:val="-3"/>
        </w:rPr>
        <w:t>5.1-12</w:t>
      </w:r>
      <w:r>
        <w:rPr>
          <w:rFonts w:ascii="SimSun" w:hAnsi="SimSun" w:eastAsia="SimSun" w:cs="SimSun"/>
          <w:sz w:val="24"/>
          <w:szCs w:val="24"/>
          <w:spacing w:val="-3"/>
        </w:rPr>
        <w:t>。</w:t>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ind w:left="7"/>
        <w:spacing w:before="62" w:line="22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159</w:t>
      </w:r>
    </w:p>
    <w:p>
      <w:pPr>
        <w:spacing w:line="227" w:lineRule="auto"/>
        <w:sectPr>
          <w:headerReference w:type="default" r:id="rId161"/>
          <w:pgSz w:w="11906" w:h="16839"/>
          <w:pgMar w:top="1567" w:right="1700" w:bottom="400" w:left="1701" w:header="1221" w:footer="0" w:gutter="0"/>
        </w:sectPr>
        <w:rPr>
          <w:rFonts w:ascii="Times New Roman" w:hAnsi="Times New Roman" w:eastAsia="Times New Roman" w:cs="Times New Roman"/>
          <w:sz w:val="18"/>
          <w:szCs w:val="18"/>
        </w:rPr>
      </w:pPr>
    </w:p>
    <w:p>
      <w:pPr>
        <w:ind w:firstLine="95"/>
        <w:spacing w:line="52" w:lineRule="exact"/>
        <w:rPr/>
      </w:pPr>
      <w:r>
        <w:rPr>
          <w:position w:val="-1"/>
        </w:rPr>
        <w:pict>
          <v:shape id="_x0000_s754" style="mso-position-vertical-relative:line;mso-position-horizontal-relative:char;width:728.5pt;height:2.65pt;" fillcolor="#000000" filled="true" stroked="false" coordsize="14570,53" coordorigin="0,0" path="m,l14570,0l14570,28l0,28l0,0xem0,38l14570,38l14570,52l0,52l0,38xe"/>
        </w:pict>
      </w:r>
    </w:p>
    <w:p>
      <w:pPr>
        <w:ind w:left="4821"/>
        <w:spacing w:before="195" w:line="218"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5.1-10      </w:t>
      </w:r>
      <w:r>
        <w:rPr>
          <w:rFonts w:ascii="SimSun" w:hAnsi="SimSun" w:eastAsia="SimSun" w:cs="SimSun"/>
          <w:sz w:val="24"/>
          <w:szCs w:val="24"/>
          <w:b/>
          <w:bCs/>
          <w:spacing w:val="-2"/>
        </w:rPr>
        <w:t>有组织大气污染物估算模式预测结果</w:t>
      </w:r>
    </w:p>
    <w:p>
      <w:pPr>
        <w:spacing w:line="22" w:lineRule="exact"/>
        <w:rPr/>
      </w:pPr>
      <w:r/>
    </w:p>
    <w:tbl>
      <w:tblPr>
        <w:tblStyle w:val="TableNormal"/>
        <w:tblW w:w="1475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21"/>
        <w:gridCol w:w="1614"/>
        <w:gridCol w:w="1493"/>
        <w:gridCol w:w="1619"/>
        <w:gridCol w:w="1593"/>
        <w:gridCol w:w="1911"/>
        <w:gridCol w:w="1796"/>
        <w:gridCol w:w="1766"/>
        <w:gridCol w:w="1742"/>
      </w:tblGrid>
      <w:tr>
        <w:trPr>
          <w:trHeight w:val="633" w:hRule="atLeast"/>
        </w:trPr>
        <w:tc>
          <w:tcPr>
            <w:tcW w:w="1221" w:type="dxa"/>
            <w:vAlign w:val="top"/>
            <w:vMerge w:val="restart"/>
            <w:tcBorders>
              <w:bottom w:val="nil"/>
            </w:tcBorders>
          </w:tcPr>
          <w:p>
            <w:pPr>
              <w:spacing w:line="316" w:lineRule="auto"/>
              <w:rPr>
                <w:rFonts w:ascii="Arial"/>
                <w:sz w:val="21"/>
              </w:rPr>
            </w:pPr>
            <w:r/>
          </w:p>
          <w:p>
            <w:pPr>
              <w:pStyle w:val="TableText"/>
              <w:ind w:left="195"/>
              <w:spacing w:before="65" w:line="228" w:lineRule="auto"/>
              <w:rPr/>
            </w:pPr>
            <w:r>
              <w:rPr>
                <w:spacing w:val="7"/>
              </w:rPr>
              <w:t>源中心下</w:t>
            </w:r>
          </w:p>
          <w:p>
            <w:pPr>
              <w:pStyle w:val="TableText"/>
              <w:ind w:left="196"/>
              <w:spacing w:before="65" w:line="228" w:lineRule="auto"/>
              <w:rPr/>
            </w:pPr>
            <w:r>
              <w:rPr>
                <w:spacing w:val="7"/>
              </w:rPr>
              <w:t>风向距离</w:t>
            </w:r>
          </w:p>
          <w:p>
            <w:pPr>
              <w:pStyle w:val="TableText"/>
              <w:ind w:left="244"/>
              <w:spacing w:before="64"/>
              <w:rPr/>
            </w:pPr>
            <w:r>
              <w:rPr>
                <w:rFonts w:ascii="Times New Roman" w:hAnsi="Times New Roman" w:eastAsia="Times New Roman" w:cs="Times New Roman"/>
                <w:spacing w:val="4"/>
              </w:rPr>
              <w:t>D</w:t>
            </w:r>
            <w:r>
              <w:rPr>
                <w:spacing w:val="4"/>
              </w:rPr>
              <w:t>（</w:t>
            </w:r>
            <w:r>
              <w:rPr>
                <w:rFonts w:ascii="Times New Roman" w:hAnsi="Times New Roman" w:eastAsia="Times New Roman" w:cs="Times New Roman"/>
                <w:spacing w:val="4"/>
              </w:rPr>
              <w:t>m</w:t>
            </w:r>
            <w:r>
              <w:rPr>
                <w:spacing w:val="4"/>
              </w:rPr>
              <w:t>）</w:t>
            </w:r>
          </w:p>
        </w:tc>
        <w:tc>
          <w:tcPr>
            <w:tcW w:w="3107" w:type="dxa"/>
            <w:vAlign w:val="top"/>
            <w:gridSpan w:val="2"/>
          </w:tcPr>
          <w:p>
            <w:pPr>
              <w:pStyle w:val="TableText"/>
              <w:ind w:left="113"/>
              <w:spacing w:before="55" w:line="228" w:lineRule="auto"/>
              <w:rPr/>
            </w:pPr>
            <w:r>
              <w:rPr>
                <w:spacing w:val="5"/>
              </w:rPr>
              <w:t>开松除杂粉尘（东厂区）排气筒</w:t>
            </w:r>
          </w:p>
          <w:p>
            <w:pPr>
              <w:pStyle w:val="TableText"/>
              <w:ind w:left="1046"/>
              <w:spacing w:before="65" w:line="235" w:lineRule="auto"/>
              <w:rPr/>
            </w:pPr>
            <w:r>
              <w:rPr>
                <w:spacing w:val="4"/>
              </w:rPr>
              <w:t>（</w:t>
            </w:r>
            <w:r>
              <w:rPr>
                <w:rFonts w:ascii="Times New Roman" w:hAnsi="Times New Roman" w:eastAsia="Times New Roman" w:cs="Times New Roman"/>
              </w:rPr>
              <w:t>DA</w:t>
            </w:r>
            <w:r>
              <w:rPr>
                <w:rFonts w:ascii="Times New Roman" w:hAnsi="Times New Roman" w:eastAsia="Times New Roman" w:cs="Times New Roman"/>
                <w:spacing w:val="4"/>
              </w:rPr>
              <w:t>001</w:t>
            </w:r>
            <w:r>
              <w:rPr>
                <w:spacing w:val="4"/>
              </w:rPr>
              <w:t>）</w:t>
            </w:r>
          </w:p>
        </w:tc>
        <w:tc>
          <w:tcPr>
            <w:tcW w:w="3212" w:type="dxa"/>
            <w:vAlign w:val="top"/>
            <w:gridSpan w:val="2"/>
          </w:tcPr>
          <w:p>
            <w:pPr>
              <w:pStyle w:val="TableText"/>
              <w:ind w:left="140"/>
              <w:spacing w:before="55" w:line="228" w:lineRule="auto"/>
              <w:rPr/>
            </w:pPr>
            <w:r>
              <w:rPr>
                <w:spacing w:val="9"/>
              </w:rPr>
              <w:t>开松除杂粉尘（西厂区）排气筒</w:t>
            </w:r>
          </w:p>
          <w:p>
            <w:pPr>
              <w:pStyle w:val="TableText"/>
              <w:ind w:left="1100"/>
              <w:spacing w:before="65" w:line="235" w:lineRule="auto"/>
              <w:rPr/>
            </w:pPr>
            <w:r>
              <w:rPr>
                <w:spacing w:val="4"/>
              </w:rPr>
              <w:t>（</w:t>
            </w:r>
            <w:r>
              <w:rPr>
                <w:rFonts w:ascii="Times New Roman" w:hAnsi="Times New Roman" w:eastAsia="Times New Roman" w:cs="Times New Roman"/>
              </w:rPr>
              <w:t>DA</w:t>
            </w:r>
            <w:r>
              <w:rPr>
                <w:rFonts w:ascii="Times New Roman" w:hAnsi="Times New Roman" w:eastAsia="Times New Roman" w:cs="Times New Roman"/>
                <w:spacing w:val="4"/>
              </w:rPr>
              <w:t>002</w:t>
            </w:r>
            <w:r>
              <w:rPr>
                <w:spacing w:val="4"/>
              </w:rPr>
              <w:t>）</w:t>
            </w:r>
          </w:p>
        </w:tc>
        <w:tc>
          <w:tcPr>
            <w:tcW w:w="7215" w:type="dxa"/>
            <w:vAlign w:val="top"/>
            <w:gridSpan w:val="4"/>
          </w:tcPr>
          <w:p>
            <w:pPr>
              <w:pStyle w:val="TableText"/>
              <w:ind w:left="1621"/>
              <w:spacing w:before="211" w:line="228" w:lineRule="auto"/>
              <w:rPr/>
            </w:pPr>
            <w:r>
              <w:rPr>
                <w:spacing w:val="8"/>
              </w:rPr>
              <w:t>废水收集池等恶臭污气体排气筒（</w:t>
            </w:r>
            <w:r>
              <w:rPr>
                <w:rFonts w:ascii="Times New Roman" w:hAnsi="Times New Roman" w:eastAsia="Times New Roman" w:cs="Times New Roman"/>
              </w:rPr>
              <w:t>DA</w:t>
            </w:r>
            <w:r>
              <w:rPr>
                <w:rFonts w:ascii="Times New Roman" w:hAnsi="Times New Roman" w:eastAsia="Times New Roman" w:cs="Times New Roman"/>
                <w:spacing w:val="8"/>
              </w:rPr>
              <w:t>003</w:t>
            </w:r>
            <w:r>
              <w:rPr>
                <w:spacing w:val="8"/>
              </w:rPr>
              <w:t>）</w:t>
            </w:r>
          </w:p>
        </w:tc>
      </w:tr>
      <w:tr>
        <w:trPr>
          <w:trHeight w:val="317" w:hRule="atLeast"/>
        </w:trPr>
        <w:tc>
          <w:tcPr>
            <w:tcW w:w="1221" w:type="dxa"/>
            <w:vAlign w:val="top"/>
            <w:vMerge w:val="continue"/>
            <w:tcBorders>
              <w:top w:val="nil"/>
              <w:bottom w:val="nil"/>
            </w:tcBorders>
          </w:tcPr>
          <w:p>
            <w:pPr>
              <w:rPr>
                <w:rFonts w:ascii="Arial"/>
                <w:sz w:val="21"/>
              </w:rPr>
            </w:pPr>
            <w:r/>
          </w:p>
        </w:tc>
        <w:tc>
          <w:tcPr>
            <w:tcW w:w="3107" w:type="dxa"/>
            <w:vAlign w:val="top"/>
            <w:gridSpan w:val="2"/>
          </w:tcPr>
          <w:p>
            <w:pPr>
              <w:ind w:left="1332"/>
              <w:spacing w:before="90"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PM</w:t>
            </w:r>
            <w:r>
              <w:rPr>
                <w:rFonts w:ascii="Times New Roman" w:hAnsi="Times New Roman" w:eastAsia="Times New Roman" w:cs="Times New Roman"/>
                <w:sz w:val="13"/>
                <w:szCs w:val="13"/>
                <w:spacing w:val="8"/>
                <w:position w:val="-1"/>
              </w:rPr>
              <w:t>10</w:t>
            </w:r>
          </w:p>
        </w:tc>
        <w:tc>
          <w:tcPr>
            <w:tcW w:w="3212" w:type="dxa"/>
            <w:vAlign w:val="top"/>
            <w:gridSpan w:val="2"/>
          </w:tcPr>
          <w:p>
            <w:pPr>
              <w:ind w:left="1385"/>
              <w:spacing w:before="90"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PM</w:t>
            </w:r>
            <w:r>
              <w:rPr>
                <w:rFonts w:ascii="Times New Roman" w:hAnsi="Times New Roman" w:eastAsia="Times New Roman" w:cs="Times New Roman"/>
                <w:sz w:val="13"/>
                <w:szCs w:val="13"/>
                <w:spacing w:val="8"/>
                <w:position w:val="-1"/>
              </w:rPr>
              <w:t>10</w:t>
            </w:r>
          </w:p>
        </w:tc>
        <w:tc>
          <w:tcPr>
            <w:tcW w:w="3707" w:type="dxa"/>
            <w:vAlign w:val="top"/>
            <w:gridSpan w:val="2"/>
          </w:tcPr>
          <w:p>
            <w:pPr>
              <w:ind w:left="1662"/>
              <w:spacing w:before="90"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NH</w:t>
            </w:r>
            <w:r>
              <w:rPr>
                <w:rFonts w:ascii="Times New Roman" w:hAnsi="Times New Roman" w:eastAsia="Times New Roman" w:cs="Times New Roman"/>
                <w:sz w:val="13"/>
                <w:szCs w:val="13"/>
                <w:spacing w:val="7"/>
                <w:position w:val="-1"/>
              </w:rPr>
              <w:t>3</w:t>
            </w:r>
          </w:p>
        </w:tc>
        <w:tc>
          <w:tcPr>
            <w:tcW w:w="3508" w:type="dxa"/>
            <w:vAlign w:val="top"/>
            <w:gridSpan w:val="2"/>
          </w:tcPr>
          <w:p>
            <w:pPr>
              <w:ind w:left="1585"/>
              <w:spacing w:before="87"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H</w:t>
            </w:r>
            <w:r>
              <w:rPr>
                <w:rFonts w:ascii="Times New Roman" w:hAnsi="Times New Roman" w:eastAsia="Times New Roman" w:cs="Times New Roman"/>
                <w:sz w:val="13"/>
                <w:szCs w:val="13"/>
                <w:spacing w:val="4"/>
                <w:position w:val="-1"/>
              </w:rPr>
              <w:t>2</w:t>
            </w:r>
            <w:r>
              <w:rPr>
                <w:rFonts w:ascii="Times New Roman" w:hAnsi="Times New Roman" w:eastAsia="Times New Roman" w:cs="Times New Roman"/>
                <w:sz w:val="20"/>
                <w:szCs w:val="20"/>
                <w:spacing w:val="4"/>
              </w:rPr>
              <w:t>S</w:t>
            </w:r>
          </w:p>
        </w:tc>
      </w:tr>
      <w:tr>
        <w:trPr>
          <w:trHeight w:val="316" w:hRule="atLeast"/>
        </w:trPr>
        <w:tc>
          <w:tcPr>
            <w:tcW w:w="1221" w:type="dxa"/>
            <w:vAlign w:val="top"/>
            <w:vMerge w:val="continue"/>
            <w:tcBorders>
              <w:top w:val="nil"/>
              <w:bottom w:val="nil"/>
            </w:tcBorders>
          </w:tcPr>
          <w:p>
            <w:pPr>
              <w:rPr>
                <w:rFonts w:ascii="Arial"/>
                <w:sz w:val="21"/>
              </w:rPr>
            </w:pPr>
            <w:r/>
          </w:p>
        </w:tc>
        <w:tc>
          <w:tcPr>
            <w:tcW w:w="1614" w:type="dxa"/>
            <w:vAlign w:val="top"/>
            <w:vMerge w:val="restart"/>
            <w:tcBorders>
              <w:bottom w:val="nil"/>
            </w:tcBorders>
          </w:tcPr>
          <w:p>
            <w:pPr>
              <w:pStyle w:val="TableText"/>
              <w:ind w:left="265"/>
              <w:spacing w:before="56" w:line="228" w:lineRule="auto"/>
              <w:rPr>
                <w:rFonts w:ascii="Times New Roman" w:hAnsi="Times New Roman" w:eastAsia="Times New Roman" w:cs="Times New Roman"/>
              </w:rPr>
            </w:pPr>
            <w:r>
              <w:rPr>
                <w:spacing w:val="7"/>
              </w:rPr>
              <w:t>预测浓度</w:t>
            </w:r>
            <w:r>
              <w:rPr>
                <w:spacing w:val="-38"/>
              </w:rPr>
              <w:t xml:space="preserve"> </w:t>
            </w:r>
            <w:r>
              <w:rPr>
                <w:rFonts w:ascii="Times New Roman" w:hAnsi="Times New Roman" w:eastAsia="Times New Roman" w:cs="Times New Roman"/>
              </w:rPr>
              <w:t>Ci</w:t>
            </w:r>
          </w:p>
          <w:p>
            <w:pPr>
              <w:pStyle w:val="TableText"/>
              <w:ind w:left="403"/>
              <w:spacing w:before="64" w:line="221" w:lineRule="auto"/>
              <w:rPr>
                <w:rFonts w:ascii="Times New Roman" w:hAnsi="Times New Roman" w:eastAsia="Times New Roman" w:cs="Times New Roman"/>
              </w:rPr>
            </w:pPr>
            <w:r>
              <w:rPr>
                <w:spacing w:val="4"/>
              </w:rPr>
              <w:t>（</w:t>
            </w:r>
            <w:r>
              <w:rPr>
                <w:rFonts w:ascii="Times New Roman" w:hAnsi="Times New Roman" w:eastAsia="Times New Roman" w:cs="Times New Roman"/>
              </w:rPr>
              <w:t>mg</w:t>
            </w:r>
            <w:r>
              <w:rPr>
                <w:rFonts w:ascii="Times New Roman" w:hAnsi="Times New Roman" w:eastAsia="Times New Roman" w:cs="Times New Roman"/>
                <w:spacing w:val="4"/>
              </w:rPr>
              <w:t>/m³)</w:t>
            </w:r>
          </w:p>
        </w:tc>
        <w:tc>
          <w:tcPr>
            <w:tcW w:w="1493" w:type="dxa"/>
            <w:vAlign w:val="top"/>
          </w:tcPr>
          <w:p>
            <w:pPr>
              <w:pStyle w:val="TableText"/>
              <w:ind w:left="122"/>
              <w:spacing w:before="51" w:line="228" w:lineRule="auto"/>
              <w:rPr/>
            </w:pPr>
            <w:r>
              <w:rPr>
                <w:spacing w:val="7"/>
              </w:rPr>
              <w:t>二级浓度限值</w:t>
            </w:r>
          </w:p>
        </w:tc>
        <w:tc>
          <w:tcPr>
            <w:tcW w:w="1619" w:type="dxa"/>
            <w:vAlign w:val="top"/>
            <w:vMerge w:val="restart"/>
            <w:tcBorders>
              <w:bottom w:val="nil"/>
            </w:tcBorders>
          </w:tcPr>
          <w:p>
            <w:pPr>
              <w:pStyle w:val="TableText"/>
              <w:ind w:left="269"/>
              <w:spacing w:before="56" w:line="228" w:lineRule="auto"/>
              <w:rPr>
                <w:rFonts w:ascii="Times New Roman" w:hAnsi="Times New Roman" w:eastAsia="Times New Roman" w:cs="Times New Roman"/>
              </w:rPr>
            </w:pPr>
            <w:r>
              <w:rPr>
                <w:spacing w:val="7"/>
              </w:rPr>
              <w:t>预测浓度</w:t>
            </w:r>
            <w:r>
              <w:rPr>
                <w:spacing w:val="-38"/>
              </w:rPr>
              <w:t xml:space="preserve"> </w:t>
            </w:r>
            <w:r>
              <w:rPr>
                <w:rFonts w:ascii="Times New Roman" w:hAnsi="Times New Roman" w:eastAsia="Times New Roman" w:cs="Times New Roman"/>
              </w:rPr>
              <w:t>Ci</w:t>
            </w:r>
          </w:p>
          <w:p>
            <w:pPr>
              <w:pStyle w:val="TableText"/>
              <w:ind w:left="407"/>
              <w:spacing w:before="64" w:line="221" w:lineRule="auto"/>
              <w:rPr>
                <w:rFonts w:ascii="Times New Roman" w:hAnsi="Times New Roman" w:eastAsia="Times New Roman" w:cs="Times New Roman"/>
              </w:rPr>
            </w:pPr>
            <w:r>
              <w:rPr>
                <w:spacing w:val="3"/>
              </w:rPr>
              <w:t>（</w:t>
            </w:r>
            <w:r>
              <w:rPr>
                <w:rFonts w:ascii="Times New Roman" w:hAnsi="Times New Roman" w:eastAsia="Times New Roman" w:cs="Times New Roman"/>
              </w:rPr>
              <w:t>mg</w:t>
            </w:r>
            <w:r>
              <w:rPr>
                <w:rFonts w:ascii="Times New Roman" w:hAnsi="Times New Roman" w:eastAsia="Times New Roman" w:cs="Times New Roman"/>
                <w:spacing w:val="3"/>
              </w:rPr>
              <w:t>/m³)</w:t>
            </w:r>
          </w:p>
        </w:tc>
        <w:tc>
          <w:tcPr>
            <w:tcW w:w="1593" w:type="dxa"/>
            <w:vAlign w:val="top"/>
          </w:tcPr>
          <w:p>
            <w:pPr>
              <w:pStyle w:val="TableText"/>
              <w:ind w:left="173"/>
              <w:spacing w:before="51" w:line="228" w:lineRule="auto"/>
              <w:rPr/>
            </w:pPr>
            <w:r>
              <w:rPr>
                <w:spacing w:val="7"/>
              </w:rPr>
              <w:t>二级浓度限值</w:t>
            </w:r>
          </w:p>
        </w:tc>
        <w:tc>
          <w:tcPr>
            <w:tcW w:w="1911" w:type="dxa"/>
            <w:vAlign w:val="top"/>
            <w:vMerge w:val="restart"/>
            <w:tcBorders>
              <w:bottom w:val="nil"/>
            </w:tcBorders>
          </w:tcPr>
          <w:p>
            <w:pPr>
              <w:pStyle w:val="TableText"/>
              <w:ind w:left="417"/>
              <w:spacing w:before="56" w:line="228" w:lineRule="auto"/>
              <w:rPr>
                <w:rFonts w:ascii="Times New Roman" w:hAnsi="Times New Roman" w:eastAsia="Times New Roman" w:cs="Times New Roman"/>
              </w:rPr>
            </w:pPr>
            <w:r>
              <w:rPr>
                <w:spacing w:val="7"/>
              </w:rPr>
              <w:t>预测浓度</w:t>
            </w:r>
            <w:r>
              <w:rPr>
                <w:spacing w:val="-40"/>
              </w:rPr>
              <w:t xml:space="preserve"> </w:t>
            </w:r>
            <w:r>
              <w:rPr>
                <w:rFonts w:ascii="Times New Roman" w:hAnsi="Times New Roman" w:eastAsia="Times New Roman" w:cs="Times New Roman"/>
              </w:rPr>
              <w:t>Ci</w:t>
            </w:r>
          </w:p>
          <w:p>
            <w:pPr>
              <w:pStyle w:val="TableText"/>
              <w:ind w:left="555"/>
              <w:spacing w:before="64" w:line="221" w:lineRule="auto"/>
              <w:rPr>
                <w:rFonts w:ascii="Times New Roman" w:hAnsi="Times New Roman" w:eastAsia="Times New Roman" w:cs="Times New Roman"/>
              </w:rPr>
            </w:pPr>
            <w:r>
              <w:rPr>
                <w:spacing w:val="3"/>
              </w:rPr>
              <w:t>（</w:t>
            </w:r>
            <w:r>
              <w:rPr>
                <w:rFonts w:ascii="Times New Roman" w:hAnsi="Times New Roman" w:eastAsia="Times New Roman" w:cs="Times New Roman"/>
              </w:rPr>
              <w:t>mg</w:t>
            </w:r>
            <w:r>
              <w:rPr>
                <w:rFonts w:ascii="Times New Roman" w:hAnsi="Times New Roman" w:eastAsia="Times New Roman" w:cs="Times New Roman"/>
                <w:spacing w:val="3"/>
              </w:rPr>
              <w:t>/m³)</w:t>
            </w:r>
          </w:p>
        </w:tc>
        <w:tc>
          <w:tcPr>
            <w:tcW w:w="1796" w:type="dxa"/>
            <w:vAlign w:val="top"/>
          </w:tcPr>
          <w:p>
            <w:pPr>
              <w:pStyle w:val="TableText"/>
              <w:ind w:left="276"/>
              <w:spacing w:before="51" w:line="228" w:lineRule="auto"/>
              <w:rPr/>
            </w:pPr>
            <w:r>
              <w:rPr>
                <w:spacing w:val="7"/>
              </w:rPr>
              <w:t>二级浓度限值</w:t>
            </w:r>
          </w:p>
        </w:tc>
        <w:tc>
          <w:tcPr>
            <w:tcW w:w="1766" w:type="dxa"/>
            <w:vAlign w:val="top"/>
            <w:vMerge w:val="restart"/>
            <w:tcBorders>
              <w:bottom w:val="nil"/>
            </w:tcBorders>
          </w:tcPr>
          <w:p>
            <w:pPr>
              <w:pStyle w:val="TableText"/>
              <w:ind w:left="346"/>
              <w:spacing w:before="56" w:line="228" w:lineRule="auto"/>
              <w:rPr>
                <w:rFonts w:ascii="Times New Roman" w:hAnsi="Times New Roman" w:eastAsia="Times New Roman" w:cs="Times New Roman"/>
              </w:rPr>
            </w:pPr>
            <w:r>
              <w:rPr>
                <w:spacing w:val="7"/>
              </w:rPr>
              <w:t>预测浓度</w:t>
            </w:r>
            <w:r>
              <w:rPr>
                <w:spacing w:val="-38"/>
              </w:rPr>
              <w:t xml:space="preserve"> </w:t>
            </w:r>
            <w:r>
              <w:rPr>
                <w:rFonts w:ascii="Times New Roman" w:hAnsi="Times New Roman" w:eastAsia="Times New Roman" w:cs="Times New Roman"/>
              </w:rPr>
              <w:t>Ci</w:t>
            </w:r>
          </w:p>
          <w:p>
            <w:pPr>
              <w:pStyle w:val="TableText"/>
              <w:ind w:left="484"/>
              <w:spacing w:before="64" w:line="221" w:lineRule="auto"/>
              <w:rPr>
                <w:rFonts w:ascii="Times New Roman" w:hAnsi="Times New Roman" w:eastAsia="Times New Roman" w:cs="Times New Roman"/>
              </w:rPr>
            </w:pPr>
            <w:r>
              <w:rPr>
                <w:spacing w:val="3"/>
              </w:rPr>
              <w:t>（</w:t>
            </w:r>
            <w:r>
              <w:rPr>
                <w:rFonts w:ascii="Times New Roman" w:hAnsi="Times New Roman" w:eastAsia="Times New Roman" w:cs="Times New Roman"/>
              </w:rPr>
              <w:t>mg</w:t>
            </w:r>
            <w:r>
              <w:rPr>
                <w:rFonts w:ascii="Times New Roman" w:hAnsi="Times New Roman" w:eastAsia="Times New Roman" w:cs="Times New Roman"/>
                <w:spacing w:val="3"/>
              </w:rPr>
              <w:t>/m³)</w:t>
            </w:r>
          </w:p>
        </w:tc>
        <w:tc>
          <w:tcPr>
            <w:tcW w:w="1742" w:type="dxa"/>
            <w:vAlign w:val="top"/>
          </w:tcPr>
          <w:p>
            <w:pPr>
              <w:pStyle w:val="TableText"/>
              <w:ind w:left="249"/>
              <w:spacing w:before="51" w:line="228" w:lineRule="auto"/>
              <w:rPr/>
            </w:pPr>
            <w:r>
              <w:rPr>
                <w:spacing w:val="7"/>
              </w:rPr>
              <w:t>二级浓度限值</w:t>
            </w:r>
          </w:p>
        </w:tc>
      </w:tr>
      <w:tr>
        <w:trPr>
          <w:trHeight w:val="317" w:hRule="atLeast"/>
        </w:trPr>
        <w:tc>
          <w:tcPr>
            <w:tcW w:w="1221" w:type="dxa"/>
            <w:vAlign w:val="top"/>
            <w:vMerge w:val="continue"/>
            <w:tcBorders>
              <w:top w:val="nil"/>
            </w:tcBorders>
          </w:tcPr>
          <w:p>
            <w:pPr>
              <w:rPr>
                <w:rFonts w:ascii="Arial"/>
                <w:sz w:val="21"/>
              </w:rPr>
            </w:pPr>
            <w:r/>
          </w:p>
        </w:tc>
        <w:tc>
          <w:tcPr>
            <w:tcW w:w="1614" w:type="dxa"/>
            <w:vAlign w:val="top"/>
            <w:vMerge w:val="continue"/>
            <w:tcBorders>
              <w:top w:val="nil"/>
            </w:tcBorders>
          </w:tcPr>
          <w:p>
            <w:pPr>
              <w:rPr>
                <w:rFonts w:ascii="Arial"/>
                <w:sz w:val="21"/>
              </w:rPr>
            </w:pPr>
            <w:r/>
          </w:p>
        </w:tc>
        <w:tc>
          <w:tcPr>
            <w:tcW w:w="1493" w:type="dxa"/>
            <w:vAlign w:val="top"/>
          </w:tcPr>
          <w:p>
            <w:pPr>
              <w:pStyle w:val="TableText"/>
              <w:ind w:right="12"/>
              <w:spacing w:before="54" w:line="228" w:lineRule="auto"/>
              <w:jc w:val="right"/>
              <w:rPr/>
            </w:pPr>
            <w:r>
              <w:rPr>
                <w:spacing w:val="-8"/>
              </w:rPr>
              <w:t>占标率</w:t>
            </w:r>
            <w:r>
              <w:rPr>
                <w:spacing w:val="-41"/>
              </w:rPr>
              <w:t xml:space="preserve"> </w:t>
            </w:r>
            <w:r>
              <w:rPr>
                <w:rFonts w:ascii="Times New Roman" w:hAnsi="Times New Roman" w:eastAsia="Times New Roman" w:cs="Times New Roman"/>
                <w:spacing w:val="-8"/>
              </w:rPr>
              <w:t>Pi</w:t>
            </w:r>
            <w:r>
              <w:rPr>
                <w:spacing w:val="-8"/>
              </w:rPr>
              <w:t>（</w:t>
            </w:r>
            <w:r>
              <w:rPr>
                <w:rFonts w:ascii="Times New Roman" w:hAnsi="Times New Roman" w:eastAsia="Times New Roman" w:cs="Times New Roman"/>
                <w:spacing w:val="-8"/>
              </w:rPr>
              <w:t>%</w:t>
            </w:r>
            <w:r>
              <w:rPr>
                <w:spacing w:val="-8"/>
              </w:rPr>
              <w:t>）</w:t>
            </w:r>
          </w:p>
        </w:tc>
        <w:tc>
          <w:tcPr>
            <w:tcW w:w="1619" w:type="dxa"/>
            <w:vAlign w:val="top"/>
            <w:vMerge w:val="continue"/>
            <w:tcBorders>
              <w:top w:val="nil"/>
            </w:tcBorders>
          </w:tcPr>
          <w:p>
            <w:pPr>
              <w:rPr>
                <w:rFonts w:ascii="Arial"/>
                <w:sz w:val="21"/>
              </w:rPr>
            </w:pPr>
            <w:r/>
          </w:p>
        </w:tc>
        <w:tc>
          <w:tcPr>
            <w:tcW w:w="1593" w:type="dxa"/>
            <w:vAlign w:val="top"/>
          </w:tcPr>
          <w:p>
            <w:pPr>
              <w:pStyle w:val="TableText"/>
              <w:ind w:left="146"/>
              <w:spacing w:before="54" w:line="228" w:lineRule="auto"/>
              <w:rPr/>
            </w:pPr>
            <w:r>
              <w:rPr>
                <w:spacing w:val="1"/>
              </w:rPr>
              <w:t>占标率</w:t>
            </w:r>
            <w:r>
              <w:rPr>
                <w:spacing w:val="-41"/>
              </w:rPr>
              <w:t xml:space="preserve"> </w:t>
            </w:r>
            <w:r>
              <w:rPr>
                <w:rFonts w:ascii="Times New Roman" w:hAnsi="Times New Roman" w:eastAsia="Times New Roman" w:cs="Times New Roman"/>
              </w:rPr>
              <w:t>Pi</w:t>
            </w:r>
            <w:r>
              <w:rPr>
                <w:spacing w:val="1"/>
              </w:rPr>
              <w:t>（</w:t>
            </w:r>
            <w:r>
              <w:rPr>
                <w:rFonts w:ascii="Times New Roman" w:hAnsi="Times New Roman" w:eastAsia="Times New Roman" w:cs="Times New Roman"/>
                <w:spacing w:val="1"/>
              </w:rPr>
              <w:t>%</w:t>
            </w:r>
            <w:r>
              <w:rPr>
                <w:spacing w:val="1"/>
              </w:rPr>
              <w:t>）</w:t>
            </w:r>
          </w:p>
        </w:tc>
        <w:tc>
          <w:tcPr>
            <w:tcW w:w="1911" w:type="dxa"/>
            <w:vAlign w:val="top"/>
            <w:vMerge w:val="continue"/>
            <w:tcBorders>
              <w:top w:val="nil"/>
            </w:tcBorders>
          </w:tcPr>
          <w:p>
            <w:pPr>
              <w:rPr>
                <w:rFonts w:ascii="Arial"/>
                <w:sz w:val="21"/>
              </w:rPr>
            </w:pPr>
            <w:r/>
          </w:p>
        </w:tc>
        <w:tc>
          <w:tcPr>
            <w:tcW w:w="1796" w:type="dxa"/>
            <w:vAlign w:val="top"/>
          </w:tcPr>
          <w:p>
            <w:pPr>
              <w:pStyle w:val="TableText"/>
              <w:ind w:left="211"/>
              <w:spacing w:before="54" w:line="228" w:lineRule="auto"/>
              <w:rPr/>
            </w:pPr>
            <w:r>
              <w:rPr>
                <w:spacing w:val="1"/>
              </w:rPr>
              <w:t>占标率</w:t>
            </w:r>
            <w:r>
              <w:rPr>
                <w:spacing w:val="-41"/>
              </w:rPr>
              <w:t xml:space="preserve"> </w:t>
            </w:r>
            <w:r>
              <w:rPr>
                <w:rFonts w:ascii="Times New Roman" w:hAnsi="Times New Roman" w:eastAsia="Times New Roman" w:cs="Times New Roman"/>
              </w:rPr>
              <w:t>Pi</w:t>
            </w:r>
            <w:r>
              <w:rPr>
                <w:spacing w:val="1"/>
              </w:rPr>
              <w:t>（</w:t>
            </w:r>
            <w:r>
              <w:rPr>
                <w:rFonts w:ascii="Times New Roman" w:hAnsi="Times New Roman" w:eastAsia="Times New Roman" w:cs="Times New Roman"/>
                <w:spacing w:val="1"/>
              </w:rPr>
              <w:t>%</w:t>
            </w:r>
            <w:r>
              <w:rPr>
                <w:spacing w:val="1"/>
              </w:rPr>
              <w:t>）</w:t>
            </w:r>
          </w:p>
        </w:tc>
        <w:tc>
          <w:tcPr>
            <w:tcW w:w="1766" w:type="dxa"/>
            <w:vAlign w:val="top"/>
            <w:vMerge w:val="continue"/>
            <w:tcBorders>
              <w:top w:val="nil"/>
            </w:tcBorders>
          </w:tcPr>
          <w:p>
            <w:pPr>
              <w:rPr>
                <w:rFonts w:ascii="Arial"/>
                <w:sz w:val="21"/>
              </w:rPr>
            </w:pPr>
            <w:r/>
          </w:p>
        </w:tc>
        <w:tc>
          <w:tcPr>
            <w:tcW w:w="1742" w:type="dxa"/>
            <w:vAlign w:val="top"/>
          </w:tcPr>
          <w:p>
            <w:pPr>
              <w:pStyle w:val="TableText"/>
              <w:ind w:left="184"/>
              <w:spacing w:before="54" w:line="228" w:lineRule="auto"/>
              <w:rPr/>
            </w:pPr>
            <w:r>
              <w:rPr>
                <w:spacing w:val="1"/>
              </w:rPr>
              <w:t>占标率</w:t>
            </w:r>
            <w:r>
              <w:rPr>
                <w:spacing w:val="-44"/>
              </w:rPr>
              <w:t xml:space="preserve"> </w:t>
            </w:r>
            <w:r>
              <w:rPr>
                <w:rFonts w:ascii="Times New Roman" w:hAnsi="Times New Roman" w:eastAsia="Times New Roman" w:cs="Times New Roman"/>
              </w:rPr>
              <w:t>Pi</w:t>
            </w:r>
            <w:r>
              <w:rPr>
                <w:spacing w:val="1"/>
              </w:rPr>
              <w:t>（</w:t>
            </w:r>
            <w:r>
              <w:rPr>
                <w:rFonts w:ascii="Times New Roman" w:hAnsi="Times New Roman" w:eastAsia="Times New Roman" w:cs="Times New Roman"/>
                <w:spacing w:val="1"/>
              </w:rPr>
              <w:t>%</w:t>
            </w:r>
            <w:r>
              <w:rPr>
                <w:spacing w:val="1"/>
              </w:rPr>
              <w:t>）</w:t>
            </w:r>
          </w:p>
        </w:tc>
      </w:tr>
      <w:tr>
        <w:trPr>
          <w:trHeight w:val="317" w:hRule="atLeast"/>
        </w:trPr>
        <w:tc>
          <w:tcPr>
            <w:tcW w:w="1221" w:type="dxa"/>
            <w:vAlign w:val="top"/>
          </w:tcPr>
          <w:p>
            <w:pPr>
              <w:ind w:left="526"/>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614" w:type="dxa"/>
            <w:vAlign w:val="top"/>
          </w:tcPr>
          <w:p>
            <w:pPr>
              <w:ind w:left="438"/>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1.98E-10</w:t>
            </w:r>
          </w:p>
        </w:tc>
        <w:tc>
          <w:tcPr>
            <w:tcW w:w="1493" w:type="dxa"/>
            <w:vAlign w:val="top"/>
          </w:tcPr>
          <w:p>
            <w:pPr>
              <w:ind w:left="564"/>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619" w:type="dxa"/>
            <w:vAlign w:val="top"/>
          </w:tcPr>
          <w:p>
            <w:pPr>
              <w:ind w:left="442"/>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1.98E-10</w:t>
            </w:r>
          </w:p>
        </w:tc>
        <w:tc>
          <w:tcPr>
            <w:tcW w:w="1593" w:type="dxa"/>
            <w:vAlign w:val="top"/>
          </w:tcPr>
          <w:p>
            <w:pPr>
              <w:ind w:left="615"/>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911" w:type="dxa"/>
            <w:vAlign w:val="top"/>
          </w:tcPr>
          <w:p>
            <w:pPr>
              <w:ind w:left="573"/>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7.05E-08</w:t>
            </w:r>
          </w:p>
        </w:tc>
        <w:tc>
          <w:tcPr>
            <w:tcW w:w="1796" w:type="dxa"/>
            <w:vAlign w:val="top"/>
          </w:tcPr>
          <w:p>
            <w:pPr>
              <w:ind w:left="718"/>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766" w:type="dxa"/>
            <w:vAlign w:val="top"/>
          </w:tcPr>
          <w:p>
            <w:pPr>
              <w:ind w:left="497"/>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4.21E-09</w:t>
            </w:r>
          </w:p>
        </w:tc>
        <w:tc>
          <w:tcPr>
            <w:tcW w:w="1742" w:type="dxa"/>
            <w:vAlign w:val="top"/>
          </w:tcPr>
          <w:p>
            <w:pPr>
              <w:ind w:left="692"/>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r>
      <w:tr>
        <w:trPr>
          <w:trHeight w:val="316" w:hRule="atLeast"/>
        </w:trPr>
        <w:tc>
          <w:tcPr>
            <w:tcW w:w="1221" w:type="dxa"/>
            <w:vAlign w:val="top"/>
          </w:tcPr>
          <w:p>
            <w:pPr>
              <w:ind w:left="512"/>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1614" w:type="dxa"/>
            <w:vAlign w:val="top"/>
          </w:tcPr>
          <w:p>
            <w:pPr>
              <w:ind w:left="422"/>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9.70E-07</w:t>
            </w:r>
          </w:p>
        </w:tc>
        <w:tc>
          <w:tcPr>
            <w:tcW w:w="1493" w:type="dxa"/>
            <w:vAlign w:val="top"/>
          </w:tcPr>
          <w:p>
            <w:pPr>
              <w:ind w:left="564"/>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619" w:type="dxa"/>
            <w:vAlign w:val="top"/>
          </w:tcPr>
          <w:p>
            <w:pPr>
              <w:ind w:left="425"/>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9.70E-07</w:t>
            </w:r>
          </w:p>
        </w:tc>
        <w:tc>
          <w:tcPr>
            <w:tcW w:w="1593" w:type="dxa"/>
            <w:vAlign w:val="top"/>
          </w:tcPr>
          <w:p>
            <w:pPr>
              <w:ind w:left="615"/>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911" w:type="dxa"/>
            <w:vAlign w:val="top"/>
          </w:tcPr>
          <w:p>
            <w:pPr>
              <w:ind w:left="574"/>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3.46E-04</w:t>
            </w:r>
          </w:p>
        </w:tc>
        <w:tc>
          <w:tcPr>
            <w:tcW w:w="1796" w:type="dxa"/>
            <w:vAlign w:val="top"/>
          </w:tcPr>
          <w:p>
            <w:pPr>
              <w:ind w:left="718"/>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0.17</w:t>
            </w:r>
          </w:p>
        </w:tc>
        <w:tc>
          <w:tcPr>
            <w:tcW w:w="1766" w:type="dxa"/>
            <w:vAlign w:val="top"/>
          </w:tcPr>
          <w:p>
            <w:pPr>
              <w:ind w:left="498"/>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2.07E-05</w:t>
            </w:r>
          </w:p>
        </w:tc>
        <w:tc>
          <w:tcPr>
            <w:tcW w:w="1742" w:type="dxa"/>
            <w:vAlign w:val="top"/>
          </w:tcPr>
          <w:p>
            <w:pPr>
              <w:ind w:left="692"/>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0.21</w:t>
            </w:r>
          </w:p>
        </w:tc>
      </w:tr>
      <w:tr>
        <w:trPr>
          <w:trHeight w:val="317" w:hRule="atLeast"/>
        </w:trPr>
        <w:tc>
          <w:tcPr>
            <w:tcW w:w="1221" w:type="dxa"/>
            <w:vAlign w:val="top"/>
          </w:tcPr>
          <w:p>
            <w:pPr>
              <w:ind w:left="510"/>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92</w:t>
            </w:r>
          </w:p>
        </w:tc>
        <w:tc>
          <w:tcPr>
            <w:tcW w:w="1614" w:type="dxa"/>
            <w:vAlign w:val="top"/>
          </w:tcPr>
          <w:p>
            <w:pPr>
              <w:ind w:firstLine="414"/>
              <w:spacing w:before="37" w:line="242" w:lineRule="exact"/>
              <w:rPr/>
            </w:pPr>
            <w:r>
              <w:rPr>
                <w:position w:val="-4"/>
              </w:rPr>
              <w:pict>
                <v:shape id="_x0000_s756" style="mso-position-vertical-relative:line;mso-position-horizontal-relative:char;width:38.75pt;height:12.1pt;" fillcolor="#D9D9D9" filled="true" stroked="false" type="#_x0000_t202">
                  <v:fill on="true"/>
                  <v:stroke on="false"/>
                  <v:path/>
                  <v:imagedata o:title=""/>
                  <o:lock v:ext="edit" aspectratio="false"/>
                  <v:textbox inset="0mm,0mm,0mm,0mm">
                    <w:txbxContent>
                      <w:p>
                        <w:pPr>
                          <w:ind w:right="1"/>
                          <w:spacing w:before="52"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8.48E-06</w:t>
                        </w:r>
                      </w:p>
                    </w:txbxContent>
                  </v:textbox>
                </v:shape>
              </w:pict>
            </w:r>
          </w:p>
        </w:tc>
        <w:tc>
          <w:tcPr>
            <w:tcW w:w="1493" w:type="dxa"/>
            <w:vAlign w:val="top"/>
          </w:tcPr>
          <w:p>
            <w:pPr>
              <w:ind w:left="564"/>
              <w:spacing w:before="90" w:line="195" w:lineRule="auto"/>
              <w:rPr>
                <w:rFonts w:ascii="Times New Roman" w:hAnsi="Times New Roman" w:eastAsia="Times New Roman" w:cs="Times New Roman"/>
                <w:sz w:val="20"/>
                <w:szCs w:val="20"/>
              </w:rPr>
            </w:pPr>
            <w:r>
              <w:rPr>
                <w:shd w:val="clear" w:fill="D9D9D9"/>
                <w:rFonts w:ascii="Times New Roman" w:hAnsi="Times New Roman" w:eastAsia="Times New Roman" w:cs="Times New Roman"/>
                <w:sz w:val="20"/>
                <w:szCs w:val="20"/>
                <w:spacing w:val="2"/>
              </w:rPr>
              <w:t>0.00</w:t>
            </w:r>
          </w:p>
        </w:tc>
        <w:tc>
          <w:tcPr>
            <w:tcW w:w="1619" w:type="dxa"/>
            <w:vAlign w:val="top"/>
          </w:tcPr>
          <w:p>
            <w:pPr>
              <w:ind w:firstLine="417"/>
              <w:spacing w:before="37" w:line="242" w:lineRule="exact"/>
              <w:rPr/>
            </w:pPr>
            <w:r>
              <w:rPr>
                <w:position w:val="-4"/>
              </w:rPr>
              <w:pict>
                <v:shape id="_x0000_s758" style="mso-position-vertical-relative:line;mso-position-horizontal-relative:char;width:38.75pt;height:12.1pt;" fillcolor="#D9D9D9" filled="true" stroked="false" type="#_x0000_t202">
                  <v:fill on="true"/>
                  <v:stroke on="false"/>
                  <v:path/>
                  <v:imagedata o:title=""/>
                  <o:lock v:ext="edit" aspectratio="false"/>
                  <v:textbox inset="0mm,0mm,0mm,0mm">
                    <w:txbxContent>
                      <w:p>
                        <w:pPr>
                          <w:ind w:right="1"/>
                          <w:spacing w:before="52"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8.48E-06</w:t>
                        </w:r>
                      </w:p>
                    </w:txbxContent>
                  </v:textbox>
                </v:shape>
              </w:pict>
            </w:r>
          </w:p>
        </w:tc>
        <w:tc>
          <w:tcPr>
            <w:tcW w:w="1593" w:type="dxa"/>
            <w:vAlign w:val="top"/>
          </w:tcPr>
          <w:p>
            <w:pPr>
              <w:ind w:firstLine="608"/>
              <w:spacing w:before="37" w:line="242" w:lineRule="exact"/>
              <w:rPr/>
            </w:pPr>
            <w:r>
              <w:rPr>
                <w:position w:val="-4"/>
              </w:rPr>
              <w:pict>
                <v:shape id="_x0000_s760" style="mso-position-vertical-relative:line;mso-position-horizontal-relative:char;width:18.4pt;height:12.1pt;" fillcolor="#D9D9D9" filled="true" stroked="false" type="#_x0000_t202">
                  <v:fill on="true"/>
                  <v:stroke on="false"/>
                  <v:path/>
                  <v:imagedata o:title=""/>
                  <o:lock v:ext="edit" aspectratio="false"/>
                  <v:textbox inset="0mm,0mm,0mm,0mm">
                    <w:txbxContent>
                      <w:p>
                        <w:pPr>
                          <w:spacing w:before="52"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xbxContent>
                  </v:textbox>
                </v:shape>
              </w:pict>
            </w:r>
          </w:p>
        </w:tc>
        <w:tc>
          <w:tcPr>
            <w:tcW w:w="1911" w:type="dxa"/>
            <w:vAlign w:val="top"/>
          </w:tcPr>
          <w:p>
            <w:pPr>
              <w:ind w:firstLine="564"/>
              <w:spacing w:before="37" w:line="242" w:lineRule="exact"/>
              <w:rPr/>
            </w:pPr>
            <w:r>
              <w:rPr>
                <w:position w:val="-4"/>
              </w:rPr>
              <w:pict>
                <v:shape id="_x0000_s762" style="mso-position-vertical-relative:line;mso-position-horizontal-relative:char;width:38.75pt;height:12.1pt;" fillcolor="#D9D9D9" filled="true" stroked="false" type="#_x0000_t202">
                  <v:fill on="true"/>
                  <v:stroke on="false"/>
                  <v:path/>
                  <v:imagedata o:title=""/>
                  <o:lock v:ext="edit" aspectratio="false"/>
                  <v:textbox inset="0mm,0mm,0mm,0mm">
                    <w:txbxContent>
                      <w:p>
                        <w:pPr>
                          <w:spacing w:before="52"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3.03E-03</w:t>
                        </w:r>
                      </w:p>
                    </w:txbxContent>
                  </v:textbox>
                </v:shape>
              </w:pict>
            </w:r>
          </w:p>
        </w:tc>
        <w:tc>
          <w:tcPr>
            <w:tcW w:w="1796" w:type="dxa"/>
            <w:vAlign w:val="top"/>
          </w:tcPr>
          <w:p>
            <w:pPr>
              <w:ind w:firstLine="711"/>
              <w:spacing w:before="37" w:line="242" w:lineRule="exact"/>
              <w:rPr/>
            </w:pPr>
            <w:r>
              <w:rPr>
                <w:position w:val="-4"/>
              </w:rPr>
              <w:pict>
                <v:shape id="_x0000_s764" style="mso-position-vertical-relative:line;mso-position-horizontal-relative:char;width:18.45pt;height:12.1pt;" fillcolor="#D9D9D9" filled="true" stroked="false" type="#_x0000_t202">
                  <v:fill on="true"/>
                  <v:stroke on="false"/>
                  <v:path/>
                  <v:imagedata o:title=""/>
                  <o:lock v:ext="edit" aspectratio="false"/>
                  <v:textbox inset="0mm,0mm,0mm,0mm">
                    <w:txbxContent>
                      <w:p>
                        <w:pPr>
                          <w:spacing w:before="52"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1.51</w:t>
                        </w:r>
                      </w:p>
                    </w:txbxContent>
                  </v:textbox>
                </v:shape>
              </w:pict>
            </w:r>
          </w:p>
        </w:tc>
        <w:tc>
          <w:tcPr>
            <w:tcW w:w="1766" w:type="dxa"/>
            <w:vAlign w:val="top"/>
          </w:tcPr>
          <w:p>
            <w:pPr>
              <w:ind w:firstLine="493"/>
              <w:spacing w:before="37" w:line="242" w:lineRule="exact"/>
              <w:rPr/>
            </w:pPr>
            <w:r>
              <w:rPr>
                <w:position w:val="-4"/>
              </w:rPr>
              <w:pict>
                <v:shape id="_x0000_s766" style="mso-position-vertical-relative:line;mso-position-horizontal-relative:char;width:38.75pt;height:12.1pt;" fillcolor="#D9D9D9" filled="true" stroked="false" type="#_x0000_t202">
                  <v:fill on="true"/>
                  <v:stroke on="false"/>
                  <v:path/>
                  <v:imagedata o:title=""/>
                  <o:lock v:ext="edit" aspectratio="false"/>
                  <v:textbox inset="0mm,0mm,0mm,0mm">
                    <w:txbxContent>
                      <w:p>
                        <w:pPr>
                          <w:spacing w:before="52"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1.81E-04</w:t>
                        </w:r>
                      </w:p>
                    </w:txbxContent>
                  </v:textbox>
                </v:shape>
              </w:pict>
            </w:r>
          </w:p>
        </w:tc>
        <w:tc>
          <w:tcPr>
            <w:tcW w:w="1742" w:type="dxa"/>
            <w:vAlign w:val="top"/>
          </w:tcPr>
          <w:p>
            <w:pPr>
              <w:ind w:firstLine="684"/>
              <w:spacing w:before="37" w:line="242" w:lineRule="exact"/>
              <w:rPr/>
            </w:pPr>
            <w:r>
              <w:rPr>
                <w:position w:val="-4"/>
              </w:rPr>
              <w:pict>
                <v:shape id="_x0000_s768" style="mso-position-vertical-relative:line;mso-position-horizontal-relative:char;width:18.45pt;height:12.1pt;" fillcolor="#D9D9D9" filled="true" stroked="false" type="#_x0000_t202">
                  <v:fill on="true"/>
                  <v:stroke on="false"/>
                  <v:path/>
                  <v:imagedata o:title=""/>
                  <o:lock v:ext="edit" aspectratio="false"/>
                  <v:textbox inset="0mm,0mm,0mm,0mm">
                    <w:txbxContent>
                      <w:p>
                        <w:pPr>
                          <w:spacing w:before="52"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1.81</w:t>
                        </w:r>
                      </w:p>
                    </w:txbxContent>
                  </v:textbox>
                </v:shape>
              </w:pict>
            </w:r>
          </w:p>
        </w:tc>
      </w:tr>
      <w:tr>
        <w:trPr>
          <w:trHeight w:val="316" w:hRule="atLeast"/>
        </w:trPr>
        <w:tc>
          <w:tcPr>
            <w:tcW w:w="1221" w:type="dxa"/>
            <w:vAlign w:val="top"/>
          </w:tcPr>
          <w:p>
            <w:pPr>
              <w:ind w:left="474"/>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100</w:t>
            </w:r>
          </w:p>
        </w:tc>
        <w:tc>
          <w:tcPr>
            <w:tcW w:w="1614" w:type="dxa"/>
            <w:vAlign w:val="top"/>
          </w:tcPr>
          <w:p>
            <w:pPr>
              <w:ind w:left="426"/>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8.38E-06</w:t>
            </w:r>
          </w:p>
        </w:tc>
        <w:tc>
          <w:tcPr>
            <w:tcW w:w="1493" w:type="dxa"/>
            <w:vAlign w:val="top"/>
          </w:tcPr>
          <w:p>
            <w:pPr>
              <w:ind w:left="564"/>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619" w:type="dxa"/>
            <w:vAlign w:val="top"/>
          </w:tcPr>
          <w:p>
            <w:pPr>
              <w:ind w:left="430"/>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8.38E-06</w:t>
            </w:r>
          </w:p>
        </w:tc>
        <w:tc>
          <w:tcPr>
            <w:tcW w:w="1593" w:type="dxa"/>
            <w:vAlign w:val="top"/>
          </w:tcPr>
          <w:p>
            <w:pPr>
              <w:ind w:left="615"/>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911" w:type="dxa"/>
            <w:vAlign w:val="top"/>
          </w:tcPr>
          <w:p>
            <w:pPr>
              <w:ind w:left="569"/>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2.99E-03</w:t>
            </w:r>
          </w:p>
        </w:tc>
        <w:tc>
          <w:tcPr>
            <w:tcW w:w="1796" w:type="dxa"/>
            <w:vAlign w:val="top"/>
          </w:tcPr>
          <w:p>
            <w:pPr>
              <w:ind w:left="735"/>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1.50</w:t>
            </w:r>
          </w:p>
        </w:tc>
        <w:tc>
          <w:tcPr>
            <w:tcW w:w="1766" w:type="dxa"/>
            <w:vAlign w:val="top"/>
          </w:tcPr>
          <w:p>
            <w:pPr>
              <w:ind w:left="519"/>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1.79E-04</w:t>
            </w:r>
          </w:p>
        </w:tc>
        <w:tc>
          <w:tcPr>
            <w:tcW w:w="1742" w:type="dxa"/>
            <w:vAlign w:val="top"/>
          </w:tcPr>
          <w:p>
            <w:pPr>
              <w:ind w:left="709"/>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1.79</w:t>
            </w:r>
          </w:p>
        </w:tc>
      </w:tr>
      <w:tr>
        <w:trPr>
          <w:trHeight w:val="317" w:hRule="atLeast"/>
        </w:trPr>
        <w:tc>
          <w:tcPr>
            <w:tcW w:w="1221" w:type="dxa"/>
            <w:vAlign w:val="top"/>
          </w:tcPr>
          <w:p>
            <w:pPr>
              <w:ind w:left="45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w:t>
            </w:r>
          </w:p>
        </w:tc>
        <w:tc>
          <w:tcPr>
            <w:tcW w:w="1614" w:type="dxa"/>
            <w:vAlign w:val="top"/>
          </w:tcPr>
          <w:p>
            <w:pPr>
              <w:ind w:left="41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4.77E-06</w:t>
            </w:r>
          </w:p>
        </w:tc>
        <w:tc>
          <w:tcPr>
            <w:tcW w:w="1493" w:type="dxa"/>
            <w:vAlign w:val="top"/>
          </w:tcPr>
          <w:p>
            <w:pPr>
              <w:ind w:left="564"/>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619" w:type="dxa"/>
            <w:vAlign w:val="top"/>
          </w:tcPr>
          <w:p>
            <w:pPr>
              <w:ind w:left="420"/>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4.77E-06</w:t>
            </w:r>
          </w:p>
        </w:tc>
        <w:tc>
          <w:tcPr>
            <w:tcW w:w="1593" w:type="dxa"/>
            <w:vAlign w:val="top"/>
          </w:tcPr>
          <w:p>
            <w:pPr>
              <w:ind w:left="615"/>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911" w:type="dxa"/>
            <w:vAlign w:val="top"/>
          </w:tcPr>
          <w:p>
            <w:pPr>
              <w:ind w:left="590"/>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1.70E-03</w:t>
            </w:r>
          </w:p>
        </w:tc>
        <w:tc>
          <w:tcPr>
            <w:tcW w:w="1796" w:type="dxa"/>
            <w:vAlign w:val="top"/>
          </w:tcPr>
          <w:p>
            <w:pPr>
              <w:ind w:left="71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0.85</w:t>
            </w:r>
          </w:p>
        </w:tc>
        <w:tc>
          <w:tcPr>
            <w:tcW w:w="1766" w:type="dxa"/>
            <w:vAlign w:val="top"/>
          </w:tcPr>
          <w:p>
            <w:pPr>
              <w:ind w:left="51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1.02E-04</w:t>
            </w:r>
          </w:p>
        </w:tc>
        <w:tc>
          <w:tcPr>
            <w:tcW w:w="1742" w:type="dxa"/>
            <w:vAlign w:val="top"/>
          </w:tcPr>
          <w:p>
            <w:pPr>
              <w:ind w:left="709"/>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1.02</w:t>
            </w:r>
          </w:p>
        </w:tc>
      </w:tr>
      <w:tr>
        <w:trPr>
          <w:trHeight w:val="317" w:hRule="atLeast"/>
        </w:trPr>
        <w:tc>
          <w:tcPr>
            <w:tcW w:w="1221" w:type="dxa"/>
            <w:vAlign w:val="top"/>
          </w:tcPr>
          <w:p>
            <w:pPr>
              <w:ind w:left="45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400</w:t>
            </w:r>
          </w:p>
        </w:tc>
        <w:tc>
          <w:tcPr>
            <w:tcW w:w="1614" w:type="dxa"/>
            <w:vAlign w:val="top"/>
          </w:tcPr>
          <w:p>
            <w:pPr>
              <w:ind w:left="41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4.83E-06</w:t>
            </w:r>
          </w:p>
        </w:tc>
        <w:tc>
          <w:tcPr>
            <w:tcW w:w="1493" w:type="dxa"/>
            <w:vAlign w:val="top"/>
          </w:tcPr>
          <w:p>
            <w:pPr>
              <w:ind w:left="56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619" w:type="dxa"/>
            <w:vAlign w:val="top"/>
          </w:tcPr>
          <w:p>
            <w:pPr>
              <w:ind w:left="42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4.83E-06</w:t>
            </w:r>
          </w:p>
        </w:tc>
        <w:tc>
          <w:tcPr>
            <w:tcW w:w="1593" w:type="dxa"/>
            <w:vAlign w:val="top"/>
          </w:tcPr>
          <w:p>
            <w:pPr>
              <w:ind w:left="61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911" w:type="dxa"/>
            <w:vAlign w:val="top"/>
          </w:tcPr>
          <w:p>
            <w:pPr>
              <w:ind w:left="59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1.72E-03</w:t>
            </w:r>
          </w:p>
        </w:tc>
        <w:tc>
          <w:tcPr>
            <w:tcW w:w="1796" w:type="dxa"/>
            <w:vAlign w:val="top"/>
          </w:tcPr>
          <w:p>
            <w:pPr>
              <w:ind w:left="71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0.86</w:t>
            </w:r>
          </w:p>
        </w:tc>
        <w:tc>
          <w:tcPr>
            <w:tcW w:w="1766" w:type="dxa"/>
            <w:vAlign w:val="top"/>
          </w:tcPr>
          <w:p>
            <w:pPr>
              <w:ind w:left="51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1.03E-04</w:t>
            </w:r>
          </w:p>
        </w:tc>
        <w:tc>
          <w:tcPr>
            <w:tcW w:w="1742" w:type="dxa"/>
            <w:vAlign w:val="top"/>
          </w:tcPr>
          <w:p>
            <w:pPr>
              <w:ind w:left="70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1.03</w:t>
            </w:r>
          </w:p>
        </w:tc>
      </w:tr>
      <w:tr>
        <w:trPr>
          <w:trHeight w:val="317" w:hRule="atLeast"/>
        </w:trPr>
        <w:tc>
          <w:tcPr>
            <w:tcW w:w="1221" w:type="dxa"/>
            <w:vAlign w:val="top"/>
          </w:tcPr>
          <w:p>
            <w:pPr>
              <w:ind w:left="45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600</w:t>
            </w:r>
          </w:p>
        </w:tc>
        <w:tc>
          <w:tcPr>
            <w:tcW w:w="1614" w:type="dxa"/>
            <w:vAlign w:val="top"/>
          </w:tcPr>
          <w:p>
            <w:pPr>
              <w:ind w:left="41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4.05E-06</w:t>
            </w:r>
          </w:p>
        </w:tc>
        <w:tc>
          <w:tcPr>
            <w:tcW w:w="1493" w:type="dxa"/>
            <w:vAlign w:val="top"/>
          </w:tcPr>
          <w:p>
            <w:pPr>
              <w:ind w:left="56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619" w:type="dxa"/>
            <w:vAlign w:val="top"/>
          </w:tcPr>
          <w:p>
            <w:pPr>
              <w:ind w:left="42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4.05E-06</w:t>
            </w:r>
          </w:p>
        </w:tc>
        <w:tc>
          <w:tcPr>
            <w:tcW w:w="1593" w:type="dxa"/>
            <w:vAlign w:val="top"/>
          </w:tcPr>
          <w:p>
            <w:pPr>
              <w:ind w:left="61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911" w:type="dxa"/>
            <w:vAlign w:val="top"/>
          </w:tcPr>
          <w:p>
            <w:pPr>
              <w:ind w:left="59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1.45E-03</w:t>
            </w:r>
          </w:p>
        </w:tc>
        <w:tc>
          <w:tcPr>
            <w:tcW w:w="1796" w:type="dxa"/>
            <w:vAlign w:val="top"/>
          </w:tcPr>
          <w:p>
            <w:pPr>
              <w:ind w:left="71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0.72</w:t>
            </w:r>
          </w:p>
        </w:tc>
        <w:tc>
          <w:tcPr>
            <w:tcW w:w="1766" w:type="dxa"/>
            <w:vAlign w:val="top"/>
          </w:tcPr>
          <w:p>
            <w:pPr>
              <w:ind w:left="50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8.63E-05</w:t>
            </w:r>
          </w:p>
        </w:tc>
        <w:tc>
          <w:tcPr>
            <w:tcW w:w="1742" w:type="dxa"/>
            <w:vAlign w:val="top"/>
          </w:tcPr>
          <w:p>
            <w:pPr>
              <w:ind w:left="69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0.86</w:t>
            </w:r>
          </w:p>
        </w:tc>
      </w:tr>
      <w:tr>
        <w:trPr>
          <w:trHeight w:val="316" w:hRule="atLeast"/>
        </w:trPr>
        <w:tc>
          <w:tcPr>
            <w:tcW w:w="1221" w:type="dxa"/>
            <w:vAlign w:val="top"/>
          </w:tcPr>
          <w:p>
            <w:pPr>
              <w:ind w:left="46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800</w:t>
            </w:r>
          </w:p>
        </w:tc>
        <w:tc>
          <w:tcPr>
            <w:tcW w:w="1614" w:type="dxa"/>
            <w:vAlign w:val="top"/>
          </w:tcPr>
          <w:p>
            <w:pPr>
              <w:ind w:left="42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3.53E-06</w:t>
            </w:r>
          </w:p>
        </w:tc>
        <w:tc>
          <w:tcPr>
            <w:tcW w:w="1493" w:type="dxa"/>
            <w:vAlign w:val="top"/>
          </w:tcPr>
          <w:p>
            <w:pPr>
              <w:ind w:left="56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619" w:type="dxa"/>
            <w:vAlign w:val="top"/>
          </w:tcPr>
          <w:p>
            <w:pPr>
              <w:ind w:left="42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3.53E-06</w:t>
            </w:r>
          </w:p>
        </w:tc>
        <w:tc>
          <w:tcPr>
            <w:tcW w:w="1593" w:type="dxa"/>
            <w:vAlign w:val="top"/>
          </w:tcPr>
          <w:p>
            <w:pPr>
              <w:ind w:left="61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911" w:type="dxa"/>
            <w:vAlign w:val="top"/>
          </w:tcPr>
          <w:p>
            <w:pPr>
              <w:ind w:left="59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1.26E-03</w:t>
            </w:r>
          </w:p>
        </w:tc>
        <w:tc>
          <w:tcPr>
            <w:tcW w:w="1796" w:type="dxa"/>
            <w:vAlign w:val="top"/>
          </w:tcPr>
          <w:p>
            <w:pPr>
              <w:ind w:left="71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0.63</w:t>
            </w:r>
          </w:p>
        </w:tc>
        <w:tc>
          <w:tcPr>
            <w:tcW w:w="1766" w:type="dxa"/>
            <w:vAlign w:val="top"/>
          </w:tcPr>
          <w:p>
            <w:pPr>
              <w:ind w:left="50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7.52E-05</w:t>
            </w:r>
          </w:p>
        </w:tc>
        <w:tc>
          <w:tcPr>
            <w:tcW w:w="1742" w:type="dxa"/>
            <w:vAlign w:val="top"/>
          </w:tcPr>
          <w:p>
            <w:pPr>
              <w:ind w:left="69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0.75</w:t>
            </w:r>
          </w:p>
        </w:tc>
      </w:tr>
      <w:tr>
        <w:trPr>
          <w:trHeight w:val="317" w:hRule="atLeast"/>
        </w:trPr>
        <w:tc>
          <w:tcPr>
            <w:tcW w:w="1221" w:type="dxa"/>
            <w:vAlign w:val="top"/>
          </w:tcPr>
          <w:p>
            <w:pPr>
              <w:ind w:left="42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1000</w:t>
            </w:r>
          </w:p>
        </w:tc>
        <w:tc>
          <w:tcPr>
            <w:tcW w:w="1614" w:type="dxa"/>
            <w:vAlign w:val="top"/>
          </w:tcPr>
          <w:p>
            <w:pPr>
              <w:ind w:left="41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2.92E-06</w:t>
            </w:r>
          </w:p>
        </w:tc>
        <w:tc>
          <w:tcPr>
            <w:tcW w:w="1493" w:type="dxa"/>
            <w:vAlign w:val="top"/>
          </w:tcPr>
          <w:p>
            <w:pPr>
              <w:ind w:left="56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619" w:type="dxa"/>
            <w:vAlign w:val="top"/>
          </w:tcPr>
          <w:p>
            <w:pPr>
              <w:ind w:left="42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2.92E-06</w:t>
            </w:r>
          </w:p>
        </w:tc>
        <w:tc>
          <w:tcPr>
            <w:tcW w:w="1593" w:type="dxa"/>
            <w:vAlign w:val="top"/>
          </w:tcPr>
          <w:p>
            <w:pPr>
              <w:ind w:left="61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911" w:type="dxa"/>
            <w:vAlign w:val="top"/>
          </w:tcPr>
          <w:p>
            <w:pPr>
              <w:ind w:left="59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1.04E-03</w:t>
            </w:r>
          </w:p>
        </w:tc>
        <w:tc>
          <w:tcPr>
            <w:tcW w:w="1796" w:type="dxa"/>
            <w:vAlign w:val="top"/>
          </w:tcPr>
          <w:p>
            <w:pPr>
              <w:ind w:left="71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0.52</w:t>
            </w:r>
          </w:p>
        </w:tc>
        <w:tc>
          <w:tcPr>
            <w:tcW w:w="1766" w:type="dxa"/>
            <w:vAlign w:val="top"/>
          </w:tcPr>
          <w:p>
            <w:pPr>
              <w:ind w:left="50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6.22E-05</w:t>
            </w:r>
          </w:p>
        </w:tc>
        <w:tc>
          <w:tcPr>
            <w:tcW w:w="1742" w:type="dxa"/>
            <w:vAlign w:val="top"/>
          </w:tcPr>
          <w:p>
            <w:pPr>
              <w:ind w:left="69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0.62</w:t>
            </w:r>
          </w:p>
        </w:tc>
      </w:tr>
      <w:tr>
        <w:trPr>
          <w:trHeight w:val="317" w:hRule="atLeast"/>
        </w:trPr>
        <w:tc>
          <w:tcPr>
            <w:tcW w:w="1221" w:type="dxa"/>
            <w:vAlign w:val="top"/>
          </w:tcPr>
          <w:p>
            <w:pPr>
              <w:ind w:left="42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1200</w:t>
            </w:r>
          </w:p>
        </w:tc>
        <w:tc>
          <w:tcPr>
            <w:tcW w:w="1614" w:type="dxa"/>
            <w:vAlign w:val="top"/>
          </w:tcPr>
          <w:p>
            <w:pPr>
              <w:ind w:left="41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2.49E-06</w:t>
            </w:r>
          </w:p>
        </w:tc>
        <w:tc>
          <w:tcPr>
            <w:tcW w:w="1493" w:type="dxa"/>
            <w:vAlign w:val="top"/>
          </w:tcPr>
          <w:p>
            <w:pPr>
              <w:ind w:left="56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619" w:type="dxa"/>
            <w:vAlign w:val="top"/>
          </w:tcPr>
          <w:p>
            <w:pPr>
              <w:ind w:left="42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2.49E-06</w:t>
            </w:r>
          </w:p>
        </w:tc>
        <w:tc>
          <w:tcPr>
            <w:tcW w:w="1593" w:type="dxa"/>
            <w:vAlign w:val="top"/>
          </w:tcPr>
          <w:p>
            <w:pPr>
              <w:ind w:left="61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911" w:type="dxa"/>
            <w:vAlign w:val="top"/>
          </w:tcPr>
          <w:p>
            <w:pPr>
              <w:ind w:left="5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8.90E-04</w:t>
            </w:r>
          </w:p>
        </w:tc>
        <w:tc>
          <w:tcPr>
            <w:tcW w:w="1796" w:type="dxa"/>
            <w:vAlign w:val="top"/>
          </w:tcPr>
          <w:p>
            <w:pPr>
              <w:ind w:left="71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0.44</w:t>
            </w:r>
          </w:p>
        </w:tc>
        <w:tc>
          <w:tcPr>
            <w:tcW w:w="1766" w:type="dxa"/>
            <w:vAlign w:val="top"/>
          </w:tcPr>
          <w:p>
            <w:pPr>
              <w:ind w:left="50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5.31E-05</w:t>
            </w:r>
          </w:p>
        </w:tc>
        <w:tc>
          <w:tcPr>
            <w:tcW w:w="1742" w:type="dxa"/>
            <w:vAlign w:val="top"/>
          </w:tcPr>
          <w:p>
            <w:pPr>
              <w:ind w:left="69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0.53</w:t>
            </w:r>
          </w:p>
        </w:tc>
      </w:tr>
      <w:tr>
        <w:trPr>
          <w:trHeight w:val="317" w:hRule="atLeast"/>
        </w:trPr>
        <w:tc>
          <w:tcPr>
            <w:tcW w:w="1221" w:type="dxa"/>
            <w:vAlign w:val="top"/>
          </w:tcPr>
          <w:p>
            <w:pPr>
              <w:ind w:left="42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1400</w:t>
            </w:r>
          </w:p>
        </w:tc>
        <w:tc>
          <w:tcPr>
            <w:tcW w:w="1614" w:type="dxa"/>
            <w:vAlign w:val="top"/>
          </w:tcPr>
          <w:p>
            <w:pPr>
              <w:ind w:left="41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r>
              <w:rPr>
                <w:rFonts w:ascii="Times New Roman" w:hAnsi="Times New Roman" w:eastAsia="Times New Roman" w:cs="Times New Roman"/>
                <w:sz w:val="20"/>
                <w:szCs w:val="20"/>
                <w:spacing w:val="-21"/>
              </w:rPr>
              <w:t xml:space="preserve"> </w:t>
            </w:r>
            <w:r>
              <w:rPr>
                <w:rFonts w:ascii="Times New Roman" w:hAnsi="Times New Roman" w:eastAsia="Times New Roman" w:cs="Times New Roman"/>
                <w:sz w:val="20"/>
                <w:szCs w:val="20"/>
              </w:rPr>
              <w:t>18E-06</w:t>
            </w:r>
          </w:p>
        </w:tc>
        <w:tc>
          <w:tcPr>
            <w:tcW w:w="1493" w:type="dxa"/>
            <w:vAlign w:val="top"/>
          </w:tcPr>
          <w:p>
            <w:pPr>
              <w:ind w:left="56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619" w:type="dxa"/>
            <w:vAlign w:val="top"/>
          </w:tcPr>
          <w:p>
            <w:pPr>
              <w:ind w:left="42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r>
              <w:rPr>
                <w:rFonts w:ascii="Times New Roman" w:hAnsi="Times New Roman" w:eastAsia="Times New Roman" w:cs="Times New Roman"/>
                <w:sz w:val="20"/>
                <w:szCs w:val="20"/>
                <w:spacing w:val="-21"/>
              </w:rPr>
              <w:t xml:space="preserve"> </w:t>
            </w:r>
            <w:r>
              <w:rPr>
                <w:rFonts w:ascii="Times New Roman" w:hAnsi="Times New Roman" w:eastAsia="Times New Roman" w:cs="Times New Roman"/>
                <w:sz w:val="20"/>
                <w:szCs w:val="20"/>
              </w:rPr>
              <w:t>18E-06</w:t>
            </w:r>
          </w:p>
        </w:tc>
        <w:tc>
          <w:tcPr>
            <w:tcW w:w="1593" w:type="dxa"/>
            <w:vAlign w:val="top"/>
          </w:tcPr>
          <w:p>
            <w:pPr>
              <w:ind w:left="61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911" w:type="dxa"/>
            <w:vAlign w:val="top"/>
          </w:tcPr>
          <w:p>
            <w:pPr>
              <w:ind w:left="57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7.80E-04</w:t>
            </w:r>
          </w:p>
        </w:tc>
        <w:tc>
          <w:tcPr>
            <w:tcW w:w="1796" w:type="dxa"/>
            <w:vAlign w:val="top"/>
          </w:tcPr>
          <w:p>
            <w:pPr>
              <w:ind w:left="71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0.39</w:t>
            </w:r>
          </w:p>
        </w:tc>
        <w:tc>
          <w:tcPr>
            <w:tcW w:w="1766" w:type="dxa"/>
            <w:vAlign w:val="top"/>
          </w:tcPr>
          <w:p>
            <w:pPr>
              <w:ind w:left="49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4.65E-05</w:t>
            </w:r>
          </w:p>
        </w:tc>
        <w:tc>
          <w:tcPr>
            <w:tcW w:w="1742" w:type="dxa"/>
            <w:vAlign w:val="top"/>
          </w:tcPr>
          <w:p>
            <w:pPr>
              <w:ind w:left="69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0.47</w:t>
            </w:r>
          </w:p>
        </w:tc>
      </w:tr>
      <w:tr>
        <w:trPr>
          <w:trHeight w:val="317" w:hRule="atLeast"/>
        </w:trPr>
        <w:tc>
          <w:tcPr>
            <w:tcW w:w="1221" w:type="dxa"/>
            <w:vAlign w:val="top"/>
          </w:tcPr>
          <w:p>
            <w:pPr>
              <w:ind w:left="421"/>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1600</w:t>
            </w:r>
          </w:p>
        </w:tc>
        <w:tc>
          <w:tcPr>
            <w:tcW w:w="1614" w:type="dxa"/>
            <w:vAlign w:val="top"/>
          </w:tcPr>
          <w:p>
            <w:pPr>
              <w:ind w:left="43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1.93E-06</w:t>
            </w:r>
          </w:p>
        </w:tc>
        <w:tc>
          <w:tcPr>
            <w:tcW w:w="1493" w:type="dxa"/>
            <w:vAlign w:val="top"/>
          </w:tcPr>
          <w:p>
            <w:pPr>
              <w:ind w:left="564"/>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619" w:type="dxa"/>
            <w:vAlign w:val="top"/>
          </w:tcPr>
          <w:p>
            <w:pPr>
              <w:ind w:left="44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1.93E-06</w:t>
            </w:r>
          </w:p>
        </w:tc>
        <w:tc>
          <w:tcPr>
            <w:tcW w:w="1593" w:type="dxa"/>
            <w:vAlign w:val="top"/>
          </w:tcPr>
          <w:p>
            <w:pPr>
              <w:ind w:left="615"/>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911" w:type="dxa"/>
            <w:vAlign w:val="top"/>
          </w:tcPr>
          <w:p>
            <w:pPr>
              <w:ind w:left="574"/>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6.88E-04</w:t>
            </w:r>
          </w:p>
        </w:tc>
        <w:tc>
          <w:tcPr>
            <w:tcW w:w="1796" w:type="dxa"/>
            <w:vAlign w:val="top"/>
          </w:tcPr>
          <w:p>
            <w:pPr>
              <w:ind w:left="71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0.34</w:t>
            </w:r>
          </w:p>
        </w:tc>
        <w:tc>
          <w:tcPr>
            <w:tcW w:w="1766" w:type="dxa"/>
            <w:vAlign w:val="top"/>
          </w:tcPr>
          <w:p>
            <w:pPr>
              <w:ind w:left="497"/>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4.</w:t>
            </w:r>
            <w:r>
              <w:rPr>
                <w:rFonts w:ascii="Times New Roman" w:hAnsi="Times New Roman" w:eastAsia="Times New Roman" w:cs="Times New Roman"/>
                <w:sz w:val="20"/>
                <w:szCs w:val="20"/>
                <w:spacing w:val="-20"/>
              </w:rPr>
              <w:t xml:space="preserve"> </w:t>
            </w:r>
            <w:r>
              <w:rPr>
                <w:rFonts w:ascii="Times New Roman" w:hAnsi="Times New Roman" w:eastAsia="Times New Roman" w:cs="Times New Roman"/>
                <w:sz w:val="20"/>
                <w:szCs w:val="20"/>
              </w:rPr>
              <w:t>10E-05</w:t>
            </w:r>
          </w:p>
        </w:tc>
        <w:tc>
          <w:tcPr>
            <w:tcW w:w="1742" w:type="dxa"/>
            <w:vAlign w:val="top"/>
          </w:tcPr>
          <w:p>
            <w:pPr>
              <w:ind w:left="69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0.41</w:t>
            </w:r>
          </w:p>
        </w:tc>
      </w:tr>
      <w:tr>
        <w:trPr>
          <w:trHeight w:val="317" w:hRule="atLeast"/>
        </w:trPr>
        <w:tc>
          <w:tcPr>
            <w:tcW w:w="1221" w:type="dxa"/>
            <w:vAlign w:val="top"/>
          </w:tcPr>
          <w:p>
            <w:pPr>
              <w:ind w:left="42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1800</w:t>
            </w:r>
          </w:p>
        </w:tc>
        <w:tc>
          <w:tcPr>
            <w:tcW w:w="1614" w:type="dxa"/>
            <w:vAlign w:val="top"/>
          </w:tcPr>
          <w:p>
            <w:pPr>
              <w:ind w:left="43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1.73E-06</w:t>
            </w:r>
          </w:p>
        </w:tc>
        <w:tc>
          <w:tcPr>
            <w:tcW w:w="1493" w:type="dxa"/>
            <w:vAlign w:val="top"/>
          </w:tcPr>
          <w:p>
            <w:pPr>
              <w:ind w:left="56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619" w:type="dxa"/>
            <w:vAlign w:val="top"/>
          </w:tcPr>
          <w:p>
            <w:pPr>
              <w:ind w:left="44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1.73E-06</w:t>
            </w:r>
          </w:p>
        </w:tc>
        <w:tc>
          <w:tcPr>
            <w:tcW w:w="1593" w:type="dxa"/>
            <w:vAlign w:val="top"/>
          </w:tcPr>
          <w:p>
            <w:pPr>
              <w:ind w:left="61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911" w:type="dxa"/>
            <w:vAlign w:val="top"/>
          </w:tcPr>
          <w:p>
            <w:pPr>
              <w:ind w:left="57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rPr>
              <w:t>16E-04</w:t>
            </w:r>
          </w:p>
        </w:tc>
        <w:tc>
          <w:tcPr>
            <w:tcW w:w="1796" w:type="dxa"/>
            <w:vAlign w:val="top"/>
          </w:tcPr>
          <w:p>
            <w:pPr>
              <w:ind w:left="71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0.31</w:t>
            </w:r>
          </w:p>
        </w:tc>
        <w:tc>
          <w:tcPr>
            <w:tcW w:w="1766" w:type="dxa"/>
            <w:vAlign w:val="top"/>
          </w:tcPr>
          <w:p>
            <w:pPr>
              <w:ind w:left="50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3.68E-05</w:t>
            </w:r>
          </w:p>
        </w:tc>
        <w:tc>
          <w:tcPr>
            <w:tcW w:w="1742" w:type="dxa"/>
            <w:vAlign w:val="top"/>
          </w:tcPr>
          <w:p>
            <w:pPr>
              <w:ind w:left="69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0.37</w:t>
            </w:r>
          </w:p>
        </w:tc>
      </w:tr>
      <w:tr>
        <w:trPr>
          <w:trHeight w:val="317" w:hRule="atLeast"/>
        </w:trPr>
        <w:tc>
          <w:tcPr>
            <w:tcW w:w="1221" w:type="dxa"/>
            <w:vAlign w:val="top"/>
          </w:tcPr>
          <w:p>
            <w:pPr>
              <w:ind w:left="40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2000</w:t>
            </w:r>
          </w:p>
        </w:tc>
        <w:tc>
          <w:tcPr>
            <w:tcW w:w="1614" w:type="dxa"/>
            <w:vAlign w:val="top"/>
          </w:tcPr>
          <w:p>
            <w:pPr>
              <w:ind w:left="43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1.53E-06</w:t>
            </w:r>
          </w:p>
        </w:tc>
        <w:tc>
          <w:tcPr>
            <w:tcW w:w="1493" w:type="dxa"/>
            <w:vAlign w:val="top"/>
          </w:tcPr>
          <w:p>
            <w:pPr>
              <w:ind w:left="56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619" w:type="dxa"/>
            <w:vAlign w:val="top"/>
          </w:tcPr>
          <w:p>
            <w:pPr>
              <w:ind w:left="44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1.53E-06</w:t>
            </w:r>
          </w:p>
        </w:tc>
        <w:tc>
          <w:tcPr>
            <w:tcW w:w="1593" w:type="dxa"/>
            <w:vAlign w:val="top"/>
          </w:tcPr>
          <w:p>
            <w:pPr>
              <w:ind w:left="61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911" w:type="dxa"/>
            <w:vAlign w:val="top"/>
          </w:tcPr>
          <w:p>
            <w:pPr>
              <w:ind w:left="57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5.46E-04</w:t>
            </w:r>
          </w:p>
        </w:tc>
        <w:tc>
          <w:tcPr>
            <w:tcW w:w="1796" w:type="dxa"/>
            <w:vAlign w:val="top"/>
          </w:tcPr>
          <w:p>
            <w:pPr>
              <w:ind w:left="71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0.27</w:t>
            </w:r>
          </w:p>
        </w:tc>
        <w:tc>
          <w:tcPr>
            <w:tcW w:w="1766" w:type="dxa"/>
            <w:vAlign w:val="top"/>
          </w:tcPr>
          <w:p>
            <w:pPr>
              <w:ind w:left="50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3.26E-05</w:t>
            </w:r>
          </w:p>
        </w:tc>
        <w:tc>
          <w:tcPr>
            <w:tcW w:w="1742" w:type="dxa"/>
            <w:vAlign w:val="top"/>
          </w:tcPr>
          <w:p>
            <w:pPr>
              <w:ind w:left="69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0.33</w:t>
            </w:r>
          </w:p>
        </w:tc>
      </w:tr>
      <w:tr>
        <w:trPr>
          <w:trHeight w:val="317" w:hRule="atLeast"/>
        </w:trPr>
        <w:tc>
          <w:tcPr>
            <w:tcW w:w="1221" w:type="dxa"/>
            <w:vAlign w:val="top"/>
          </w:tcPr>
          <w:p>
            <w:pPr>
              <w:ind w:left="40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2400</w:t>
            </w:r>
          </w:p>
        </w:tc>
        <w:tc>
          <w:tcPr>
            <w:tcW w:w="1614" w:type="dxa"/>
            <w:vAlign w:val="top"/>
          </w:tcPr>
          <w:p>
            <w:pPr>
              <w:ind w:left="43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1.27E-06</w:t>
            </w:r>
          </w:p>
        </w:tc>
        <w:tc>
          <w:tcPr>
            <w:tcW w:w="1493" w:type="dxa"/>
            <w:vAlign w:val="top"/>
          </w:tcPr>
          <w:p>
            <w:pPr>
              <w:ind w:left="56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619" w:type="dxa"/>
            <w:vAlign w:val="top"/>
          </w:tcPr>
          <w:p>
            <w:pPr>
              <w:ind w:left="44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1.27E-06</w:t>
            </w:r>
          </w:p>
        </w:tc>
        <w:tc>
          <w:tcPr>
            <w:tcW w:w="1593" w:type="dxa"/>
            <w:vAlign w:val="top"/>
          </w:tcPr>
          <w:p>
            <w:pPr>
              <w:ind w:left="61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911" w:type="dxa"/>
            <w:vAlign w:val="top"/>
          </w:tcPr>
          <w:p>
            <w:pPr>
              <w:ind w:left="56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4.55E-04</w:t>
            </w:r>
          </w:p>
        </w:tc>
        <w:tc>
          <w:tcPr>
            <w:tcW w:w="1796" w:type="dxa"/>
            <w:vAlign w:val="top"/>
          </w:tcPr>
          <w:p>
            <w:pPr>
              <w:ind w:left="71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0.23</w:t>
            </w:r>
          </w:p>
        </w:tc>
        <w:tc>
          <w:tcPr>
            <w:tcW w:w="1766" w:type="dxa"/>
            <w:vAlign w:val="top"/>
          </w:tcPr>
          <w:p>
            <w:pPr>
              <w:ind w:left="49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2.72E-05</w:t>
            </w:r>
          </w:p>
        </w:tc>
        <w:tc>
          <w:tcPr>
            <w:tcW w:w="1742" w:type="dxa"/>
            <w:vAlign w:val="top"/>
          </w:tcPr>
          <w:p>
            <w:pPr>
              <w:ind w:left="69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0.27</w:t>
            </w:r>
          </w:p>
        </w:tc>
      </w:tr>
      <w:tr>
        <w:trPr>
          <w:trHeight w:val="317" w:hRule="atLeast"/>
        </w:trPr>
        <w:tc>
          <w:tcPr>
            <w:tcW w:w="1221" w:type="dxa"/>
            <w:vAlign w:val="top"/>
          </w:tcPr>
          <w:p>
            <w:pPr>
              <w:ind w:left="40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2500</w:t>
            </w:r>
          </w:p>
        </w:tc>
        <w:tc>
          <w:tcPr>
            <w:tcW w:w="1614" w:type="dxa"/>
            <w:vAlign w:val="top"/>
          </w:tcPr>
          <w:p>
            <w:pPr>
              <w:ind w:left="43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1.22E-06</w:t>
            </w:r>
          </w:p>
        </w:tc>
        <w:tc>
          <w:tcPr>
            <w:tcW w:w="1493" w:type="dxa"/>
            <w:vAlign w:val="top"/>
          </w:tcPr>
          <w:p>
            <w:pPr>
              <w:ind w:left="56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619" w:type="dxa"/>
            <w:vAlign w:val="top"/>
          </w:tcPr>
          <w:p>
            <w:pPr>
              <w:ind w:left="44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1.22E-06</w:t>
            </w:r>
          </w:p>
        </w:tc>
        <w:tc>
          <w:tcPr>
            <w:tcW w:w="1593" w:type="dxa"/>
            <w:vAlign w:val="top"/>
          </w:tcPr>
          <w:p>
            <w:pPr>
              <w:ind w:left="61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911" w:type="dxa"/>
            <w:vAlign w:val="top"/>
          </w:tcPr>
          <w:p>
            <w:pPr>
              <w:ind w:left="56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4.36E-04</w:t>
            </w:r>
          </w:p>
        </w:tc>
        <w:tc>
          <w:tcPr>
            <w:tcW w:w="1796" w:type="dxa"/>
            <w:vAlign w:val="top"/>
          </w:tcPr>
          <w:p>
            <w:pPr>
              <w:ind w:left="71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0.22</w:t>
            </w:r>
          </w:p>
        </w:tc>
        <w:tc>
          <w:tcPr>
            <w:tcW w:w="1766" w:type="dxa"/>
            <w:vAlign w:val="top"/>
          </w:tcPr>
          <w:p>
            <w:pPr>
              <w:ind w:left="49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2.60E-05</w:t>
            </w:r>
          </w:p>
        </w:tc>
        <w:tc>
          <w:tcPr>
            <w:tcW w:w="1742" w:type="dxa"/>
            <w:vAlign w:val="top"/>
          </w:tcPr>
          <w:p>
            <w:pPr>
              <w:ind w:left="69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0.26</w:t>
            </w:r>
          </w:p>
        </w:tc>
      </w:tr>
      <w:tr>
        <w:trPr>
          <w:trHeight w:val="317" w:hRule="atLeast"/>
        </w:trPr>
        <w:tc>
          <w:tcPr>
            <w:tcW w:w="1221" w:type="dxa"/>
            <w:vAlign w:val="top"/>
            <w:vMerge w:val="restart"/>
            <w:tcBorders>
              <w:bottom w:val="nil"/>
            </w:tcBorders>
          </w:tcPr>
          <w:p>
            <w:pPr>
              <w:pStyle w:val="TableText"/>
              <w:ind w:left="304"/>
              <w:spacing w:before="215" w:line="228" w:lineRule="auto"/>
              <w:rPr/>
            </w:pPr>
            <w:r>
              <w:rPr>
                <w:spacing w:val="6"/>
              </w:rPr>
              <w:t>最大值</w:t>
            </w:r>
          </w:p>
        </w:tc>
        <w:tc>
          <w:tcPr>
            <w:tcW w:w="3107" w:type="dxa"/>
            <w:vAlign w:val="top"/>
            <w:gridSpan w:val="2"/>
          </w:tcPr>
          <w:p>
            <w:pPr>
              <w:ind w:left="137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92m</w:t>
            </w:r>
          </w:p>
        </w:tc>
        <w:tc>
          <w:tcPr>
            <w:tcW w:w="3212" w:type="dxa"/>
            <w:vAlign w:val="top"/>
            <w:gridSpan w:val="2"/>
          </w:tcPr>
          <w:p>
            <w:pPr>
              <w:ind w:left="142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92m</w:t>
            </w:r>
          </w:p>
        </w:tc>
        <w:tc>
          <w:tcPr>
            <w:tcW w:w="7215" w:type="dxa"/>
            <w:vAlign w:val="top"/>
            <w:gridSpan w:val="4"/>
          </w:tcPr>
          <w:p>
            <w:pPr>
              <w:ind w:left="342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92m</w:t>
            </w:r>
          </w:p>
        </w:tc>
      </w:tr>
      <w:tr>
        <w:trPr>
          <w:trHeight w:val="317" w:hRule="atLeast"/>
        </w:trPr>
        <w:tc>
          <w:tcPr>
            <w:tcW w:w="1221" w:type="dxa"/>
            <w:vAlign w:val="top"/>
            <w:vMerge w:val="continue"/>
            <w:tcBorders>
              <w:top w:val="nil"/>
            </w:tcBorders>
          </w:tcPr>
          <w:p>
            <w:pPr>
              <w:rPr>
                <w:rFonts w:ascii="Arial"/>
                <w:sz w:val="21"/>
              </w:rPr>
            </w:pPr>
            <w:r/>
          </w:p>
        </w:tc>
        <w:tc>
          <w:tcPr>
            <w:tcW w:w="1614" w:type="dxa"/>
            <w:vAlign w:val="top"/>
          </w:tcPr>
          <w:p>
            <w:pPr>
              <w:ind w:left="426"/>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8.48E-06</w:t>
            </w:r>
          </w:p>
        </w:tc>
        <w:tc>
          <w:tcPr>
            <w:tcW w:w="1493" w:type="dxa"/>
            <w:vAlign w:val="top"/>
          </w:tcPr>
          <w:p>
            <w:pPr>
              <w:ind w:left="564"/>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619" w:type="dxa"/>
            <w:vAlign w:val="top"/>
          </w:tcPr>
          <w:p>
            <w:pPr>
              <w:ind w:left="430"/>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8.48E-06</w:t>
            </w:r>
          </w:p>
        </w:tc>
        <w:tc>
          <w:tcPr>
            <w:tcW w:w="1593" w:type="dxa"/>
            <w:vAlign w:val="top"/>
          </w:tcPr>
          <w:p>
            <w:pPr>
              <w:ind w:left="615"/>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911" w:type="dxa"/>
            <w:vAlign w:val="top"/>
          </w:tcPr>
          <w:p>
            <w:pPr>
              <w:ind w:left="574"/>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3.03E-03</w:t>
            </w:r>
          </w:p>
        </w:tc>
        <w:tc>
          <w:tcPr>
            <w:tcW w:w="1796" w:type="dxa"/>
            <w:vAlign w:val="top"/>
          </w:tcPr>
          <w:p>
            <w:pPr>
              <w:ind w:left="735"/>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1.51</w:t>
            </w:r>
          </w:p>
        </w:tc>
        <w:tc>
          <w:tcPr>
            <w:tcW w:w="1766" w:type="dxa"/>
            <w:vAlign w:val="top"/>
          </w:tcPr>
          <w:p>
            <w:pPr>
              <w:ind w:left="519"/>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1.81E-04</w:t>
            </w:r>
          </w:p>
        </w:tc>
        <w:tc>
          <w:tcPr>
            <w:tcW w:w="1742" w:type="dxa"/>
            <w:vAlign w:val="top"/>
          </w:tcPr>
          <w:p>
            <w:pPr>
              <w:ind w:left="709"/>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1.81</w:t>
            </w:r>
          </w:p>
        </w:tc>
      </w:tr>
      <w:tr>
        <w:trPr>
          <w:trHeight w:val="321" w:hRule="atLeast"/>
        </w:trPr>
        <w:tc>
          <w:tcPr>
            <w:tcW w:w="1221" w:type="dxa"/>
            <w:vAlign w:val="top"/>
          </w:tcPr>
          <w:p>
            <w:pPr>
              <w:ind w:left="34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D10%</w:t>
            </w:r>
          </w:p>
        </w:tc>
        <w:tc>
          <w:tcPr>
            <w:tcW w:w="13534" w:type="dxa"/>
            <w:vAlign w:val="top"/>
            <w:gridSpan w:val="8"/>
          </w:tcPr>
          <w:p>
            <w:pPr>
              <w:pStyle w:val="TableText"/>
              <w:ind w:left="6459"/>
              <w:spacing w:before="57" w:line="228" w:lineRule="auto"/>
              <w:rPr/>
            </w:pPr>
            <w:r>
              <w:rPr>
                <w:spacing w:val="5"/>
              </w:rPr>
              <w:t>未出现</w:t>
            </w:r>
          </w:p>
        </w:tc>
      </w:tr>
    </w:tbl>
    <w:p>
      <w:pPr>
        <w:pStyle w:val="BodyText"/>
        <w:rPr/>
      </w:pPr>
      <w:r/>
    </w:p>
    <w:p>
      <w:pPr>
        <w:sectPr>
          <w:headerReference w:type="default" r:id="rId211"/>
          <w:footerReference w:type="default" r:id="rId212"/>
          <w:pgSz w:w="16839" w:h="11906"/>
          <w:pgMar w:top="1141" w:right="1039" w:bottom="1811" w:left="1038" w:header="825" w:footer="1128" w:gutter="0"/>
        </w:sectPr>
        <w:rPr/>
      </w:pPr>
    </w:p>
    <w:p>
      <w:pPr>
        <w:ind w:firstLine="103"/>
        <w:spacing w:line="57" w:lineRule="exact"/>
        <w:rPr/>
      </w:pPr>
      <w:r>
        <w:rPr>
          <w:position w:val="-1"/>
        </w:rPr>
        <w:pict>
          <v:shape id="_x0000_s770" style="mso-position-vertical-relative:line;mso-position-horizontal-relative:char;width:728.5pt;height:2.9pt;" fillcolor="#000000" filled="true" stroked="false" coordsize="14570,58" coordorigin="0,0" path="m,l14570,0l14570,28l0,28l0,0xem0,43l14570,43l14570,57l0,57l0,43xe"/>
        </w:pict>
      </w:r>
    </w:p>
    <w:p>
      <w:pPr>
        <w:ind w:left="4829"/>
        <w:spacing w:before="315" w:line="218"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5.1-11      </w:t>
      </w:r>
      <w:r>
        <w:rPr>
          <w:rFonts w:ascii="SimSun" w:hAnsi="SimSun" w:eastAsia="SimSun" w:cs="SimSun"/>
          <w:sz w:val="24"/>
          <w:szCs w:val="24"/>
          <w:b/>
          <w:bCs/>
          <w:spacing w:val="-2"/>
        </w:rPr>
        <w:t>有组织大气污染物估算模式预测结果</w:t>
      </w:r>
    </w:p>
    <w:p>
      <w:pPr>
        <w:spacing w:line="23" w:lineRule="exact"/>
        <w:rPr/>
      </w:pPr>
      <w:r/>
    </w:p>
    <w:tbl>
      <w:tblPr>
        <w:tblStyle w:val="TableNormal"/>
        <w:tblW w:w="1477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51"/>
        <w:gridCol w:w="1120"/>
        <w:gridCol w:w="1037"/>
        <w:gridCol w:w="1123"/>
        <w:gridCol w:w="1040"/>
        <w:gridCol w:w="1128"/>
        <w:gridCol w:w="1208"/>
        <w:gridCol w:w="1129"/>
        <w:gridCol w:w="1099"/>
        <w:gridCol w:w="1329"/>
        <w:gridCol w:w="1114"/>
        <w:gridCol w:w="1181"/>
        <w:gridCol w:w="1413"/>
      </w:tblGrid>
      <w:tr>
        <w:trPr>
          <w:trHeight w:val="321" w:hRule="atLeast"/>
        </w:trPr>
        <w:tc>
          <w:tcPr>
            <w:tcW w:w="851" w:type="dxa"/>
            <w:vAlign w:val="top"/>
            <w:vMerge w:val="restart"/>
            <w:tcBorders>
              <w:bottom w:val="nil"/>
            </w:tcBorders>
          </w:tcPr>
          <w:p>
            <w:pPr>
              <w:spacing w:line="315" w:lineRule="auto"/>
              <w:rPr>
                <w:rFonts w:ascii="Arial"/>
                <w:sz w:val="21"/>
              </w:rPr>
            </w:pPr>
            <w:r/>
          </w:p>
          <w:p>
            <w:pPr>
              <w:pStyle w:val="TableText"/>
              <w:ind w:left="114"/>
              <w:spacing w:before="65" w:line="228" w:lineRule="auto"/>
              <w:rPr/>
            </w:pPr>
            <w:r>
              <w:rPr>
                <w:spacing w:val="7"/>
              </w:rPr>
              <w:t>源中心</w:t>
            </w:r>
          </w:p>
          <w:p>
            <w:pPr>
              <w:pStyle w:val="TableText"/>
              <w:ind w:left="121"/>
              <w:spacing w:before="64" w:line="228" w:lineRule="auto"/>
              <w:rPr/>
            </w:pPr>
            <w:r>
              <w:rPr>
                <w:spacing w:val="4"/>
              </w:rPr>
              <w:t>下风向</w:t>
            </w:r>
          </w:p>
          <w:p>
            <w:pPr>
              <w:pStyle w:val="TableText"/>
              <w:ind w:left="116"/>
              <w:spacing w:before="65" w:line="228" w:lineRule="auto"/>
              <w:rPr>
                <w:rFonts w:ascii="Times New Roman" w:hAnsi="Times New Roman" w:eastAsia="Times New Roman" w:cs="Times New Roman"/>
              </w:rPr>
            </w:pPr>
            <w:r>
              <w:rPr>
                <w:spacing w:val="4"/>
              </w:rPr>
              <w:t>距离</w:t>
            </w:r>
            <w:r>
              <w:rPr>
                <w:spacing w:val="-42"/>
              </w:rPr>
              <w:t xml:space="preserve"> </w:t>
            </w:r>
            <w:r>
              <w:rPr>
                <w:rFonts w:ascii="Times New Roman" w:hAnsi="Times New Roman" w:eastAsia="Times New Roman" w:cs="Times New Roman"/>
                <w:spacing w:val="4"/>
              </w:rPr>
              <w:t>D</w:t>
            </w:r>
          </w:p>
          <w:p>
            <w:pPr>
              <w:pStyle w:val="TableText"/>
              <w:ind w:left="149"/>
              <w:spacing w:before="64"/>
              <w:rPr/>
            </w:pPr>
            <w:r>
              <w:rPr>
                <w:spacing w:val="-1"/>
              </w:rPr>
              <w:t>（</w:t>
            </w:r>
            <w:r>
              <w:rPr>
                <w:rFonts w:ascii="Times New Roman" w:hAnsi="Times New Roman" w:eastAsia="Times New Roman" w:cs="Times New Roman"/>
                <w:spacing w:val="-1"/>
              </w:rPr>
              <w:t>m</w:t>
            </w:r>
            <w:r>
              <w:rPr>
                <w:spacing w:val="-1"/>
              </w:rPr>
              <w:t>）</w:t>
            </w:r>
          </w:p>
        </w:tc>
        <w:tc>
          <w:tcPr>
            <w:tcW w:w="6656" w:type="dxa"/>
            <w:vAlign w:val="top"/>
            <w:gridSpan w:val="6"/>
          </w:tcPr>
          <w:p>
            <w:pPr>
              <w:pStyle w:val="TableText"/>
              <w:ind w:left="2398"/>
              <w:spacing w:before="56" w:line="228" w:lineRule="auto"/>
              <w:rPr/>
            </w:pPr>
            <w:r>
              <w:rPr>
                <w:spacing w:val="7"/>
              </w:rPr>
              <w:t>沼气锅炉（</w:t>
            </w:r>
            <w:r>
              <w:rPr>
                <w:rFonts w:ascii="Times New Roman" w:hAnsi="Times New Roman" w:eastAsia="Times New Roman" w:cs="Times New Roman"/>
              </w:rPr>
              <w:t>DA</w:t>
            </w:r>
            <w:r>
              <w:rPr>
                <w:rFonts w:ascii="Times New Roman" w:hAnsi="Times New Roman" w:eastAsia="Times New Roman" w:cs="Times New Roman"/>
                <w:spacing w:val="7"/>
              </w:rPr>
              <w:t>004</w:t>
            </w:r>
            <w:r>
              <w:rPr>
                <w:spacing w:val="7"/>
              </w:rPr>
              <w:t>）</w:t>
            </w:r>
          </w:p>
        </w:tc>
        <w:tc>
          <w:tcPr>
            <w:tcW w:w="7265" w:type="dxa"/>
            <w:vAlign w:val="top"/>
            <w:gridSpan w:val="6"/>
          </w:tcPr>
          <w:p>
            <w:pPr>
              <w:pStyle w:val="TableText"/>
              <w:ind w:left="2594"/>
              <w:spacing w:before="56" w:line="228" w:lineRule="auto"/>
              <w:rPr/>
            </w:pPr>
            <w:r>
              <w:rPr>
                <w:spacing w:val="7"/>
              </w:rPr>
              <w:t>生物质锅炉（</w:t>
            </w:r>
            <w:r>
              <w:rPr>
                <w:rFonts w:ascii="Times New Roman" w:hAnsi="Times New Roman" w:eastAsia="Times New Roman" w:cs="Times New Roman"/>
              </w:rPr>
              <w:t>DA</w:t>
            </w:r>
            <w:r>
              <w:rPr>
                <w:rFonts w:ascii="Times New Roman" w:hAnsi="Times New Roman" w:eastAsia="Times New Roman" w:cs="Times New Roman"/>
                <w:spacing w:val="7"/>
              </w:rPr>
              <w:t>005</w:t>
            </w:r>
            <w:r>
              <w:rPr>
                <w:spacing w:val="7"/>
              </w:rPr>
              <w:t>）</w:t>
            </w:r>
          </w:p>
        </w:tc>
      </w:tr>
      <w:tr>
        <w:trPr>
          <w:trHeight w:val="316" w:hRule="atLeast"/>
        </w:trPr>
        <w:tc>
          <w:tcPr>
            <w:tcW w:w="851" w:type="dxa"/>
            <w:vAlign w:val="top"/>
            <w:vMerge w:val="continue"/>
            <w:tcBorders>
              <w:top w:val="nil"/>
              <w:bottom w:val="nil"/>
            </w:tcBorders>
          </w:tcPr>
          <w:p>
            <w:pPr>
              <w:rPr>
                <w:rFonts w:ascii="Arial"/>
                <w:sz w:val="21"/>
              </w:rPr>
            </w:pPr>
            <w:r/>
          </w:p>
        </w:tc>
        <w:tc>
          <w:tcPr>
            <w:tcW w:w="2157" w:type="dxa"/>
            <w:vAlign w:val="top"/>
            <w:gridSpan w:val="2"/>
          </w:tcPr>
          <w:p>
            <w:pPr>
              <w:ind w:left="858"/>
              <w:spacing w:before="90"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PM</w:t>
            </w:r>
            <w:r>
              <w:rPr>
                <w:rFonts w:ascii="Times New Roman" w:hAnsi="Times New Roman" w:eastAsia="Times New Roman" w:cs="Times New Roman"/>
                <w:sz w:val="13"/>
                <w:szCs w:val="13"/>
                <w:spacing w:val="8"/>
                <w:position w:val="-1"/>
              </w:rPr>
              <w:t>10</w:t>
            </w:r>
          </w:p>
        </w:tc>
        <w:tc>
          <w:tcPr>
            <w:tcW w:w="2163" w:type="dxa"/>
            <w:vAlign w:val="top"/>
            <w:gridSpan w:val="2"/>
          </w:tcPr>
          <w:p>
            <w:pPr>
              <w:ind w:left="921"/>
              <w:spacing w:before="87"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3"/>
                <w:position w:val="-1"/>
              </w:rPr>
              <w:t>2</w:t>
            </w:r>
          </w:p>
        </w:tc>
        <w:tc>
          <w:tcPr>
            <w:tcW w:w="2336" w:type="dxa"/>
            <w:vAlign w:val="top"/>
            <w:gridSpan w:val="2"/>
          </w:tcPr>
          <w:p>
            <w:pPr>
              <w:ind w:left="957"/>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NOx</w:t>
            </w:r>
          </w:p>
        </w:tc>
        <w:tc>
          <w:tcPr>
            <w:tcW w:w="2228" w:type="dxa"/>
            <w:vAlign w:val="top"/>
            <w:gridSpan w:val="2"/>
          </w:tcPr>
          <w:p>
            <w:pPr>
              <w:ind w:left="895"/>
              <w:spacing w:before="90"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PM</w:t>
            </w:r>
            <w:r>
              <w:rPr>
                <w:rFonts w:ascii="Times New Roman" w:hAnsi="Times New Roman" w:eastAsia="Times New Roman" w:cs="Times New Roman"/>
                <w:sz w:val="13"/>
                <w:szCs w:val="13"/>
                <w:spacing w:val="8"/>
                <w:position w:val="-1"/>
              </w:rPr>
              <w:t>10</w:t>
            </w:r>
          </w:p>
        </w:tc>
        <w:tc>
          <w:tcPr>
            <w:tcW w:w="2443" w:type="dxa"/>
            <w:vAlign w:val="top"/>
            <w:gridSpan w:val="2"/>
          </w:tcPr>
          <w:p>
            <w:pPr>
              <w:ind w:left="1065"/>
              <w:spacing w:before="87"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1"/>
                <w:position w:val="-1"/>
              </w:rPr>
              <w:t>2</w:t>
            </w:r>
          </w:p>
        </w:tc>
        <w:tc>
          <w:tcPr>
            <w:tcW w:w="2594" w:type="dxa"/>
            <w:vAlign w:val="top"/>
            <w:gridSpan w:val="2"/>
          </w:tcPr>
          <w:p>
            <w:pPr>
              <w:ind w:left="1088"/>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NOx</w:t>
            </w:r>
          </w:p>
        </w:tc>
      </w:tr>
      <w:tr>
        <w:trPr>
          <w:trHeight w:val="628" w:hRule="atLeast"/>
        </w:trPr>
        <w:tc>
          <w:tcPr>
            <w:tcW w:w="851" w:type="dxa"/>
            <w:vAlign w:val="top"/>
            <w:vMerge w:val="continue"/>
            <w:tcBorders>
              <w:top w:val="nil"/>
              <w:bottom w:val="nil"/>
            </w:tcBorders>
          </w:tcPr>
          <w:p>
            <w:pPr>
              <w:rPr>
                <w:rFonts w:ascii="Arial"/>
                <w:sz w:val="21"/>
              </w:rPr>
            </w:pPr>
            <w:r/>
          </w:p>
        </w:tc>
        <w:tc>
          <w:tcPr>
            <w:tcW w:w="1120" w:type="dxa"/>
            <w:vAlign w:val="top"/>
            <w:vMerge w:val="restart"/>
            <w:tcBorders>
              <w:bottom w:val="nil"/>
            </w:tcBorders>
          </w:tcPr>
          <w:p>
            <w:pPr>
              <w:pStyle w:val="TableText"/>
              <w:ind w:left="144"/>
              <w:spacing w:before="215" w:line="228" w:lineRule="auto"/>
              <w:rPr/>
            </w:pPr>
            <w:r>
              <w:rPr>
                <w:spacing w:val="7"/>
              </w:rPr>
              <w:t>预测浓度</w:t>
            </w:r>
          </w:p>
          <w:p>
            <w:pPr>
              <w:ind w:left="463"/>
              <w:spacing w:before="9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Ci</w:t>
            </w:r>
          </w:p>
          <w:p>
            <w:pPr>
              <w:pStyle w:val="TableText"/>
              <w:ind w:left="157"/>
              <w:spacing w:before="89" w:line="221" w:lineRule="auto"/>
              <w:rPr>
                <w:rFonts w:ascii="Times New Roman" w:hAnsi="Times New Roman" w:eastAsia="Times New Roman" w:cs="Times New Roman"/>
              </w:rPr>
            </w:pPr>
            <w:r>
              <w:rPr>
                <w:spacing w:val="3"/>
              </w:rPr>
              <w:t>（</w:t>
            </w:r>
            <w:r>
              <w:rPr>
                <w:rFonts w:ascii="Times New Roman" w:hAnsi="Times New Roman" w:eastAsia="Times New Roman" w:cs="Times New Roman"/>
              </w:rPr>
              <w:t>mg</w:t>
            </w:r>
            <w:r>
              <w:rPr>
                <w:rFonts w:ascii="Times New Roman" w:hAnsi="Times New Roman" w:eastAsia="Times New Roman" w:cs="Times New Roman"/>
                <w:spacing w:val="3"/>
              </w:rPr>
              <w:t>/m³)</w:t>
            </w:r>
          </w:p>
        </w:tc>
        <w:tc>
          <w:tcPr>
            <w:tcW w:w="1037" w:type="dxa"/>
            <w:vAlign w:val="top"/>
          </w:tcPr>
          <w:p>
            <w:pPr>
              <w:pStyle w:val="TableText"/>
              <w:ind w:left="209"/>
              <w:spacing w:before="52" w:line="230" w:lineRule="auto"/>
              <w:rPr/>
            </w:pPr>
            <w:r>
              <w:rPr>
                <w:spacing w:val="5"/>
              </w:rPr>
              <w:t>二级浓</w:t>
            </w:r>
          </w:p>
          <w:p>
            <w:pPr>
              <w:pStyle w:val="TableText"/>
              <w:ind w:left="205"/>
              <w:spacing w:before="62" w:line="228" w:lineRule="auto"/>
              <w:rPr/>
            </w:pPr>
            <w:r>
              <w:rPr>
                <w:spacing w:val="7"/>
              </w:rPr>
              <w:t>度限值</w:t>
            </w:r>
          </w:p>
        </w:tc>
        <w:tc>
          <w:tcPr>
            <w:tcW w:w="1123" w:type="dxa"/>
            <w:vAlign w:val="top"/>
            <w:vMerge w:val="restart"/>
            <w:tcBorders>
              <w:bottom w:val="nil"/>
            </w:tcBorders>
          </w:tcPr>
          <w:p>
            <w:pPr>
              <w:pStyle w:val="TableText"/>
              <w:ind w:left="147"/>
              <w:spacing w:before="215" w:line="228" w:lineRule="auto"/>
              <w:rPr/>
            </w:pPr>
            <w:r>
              <w:rPr>
                <w:spacing w:val="6"/>
              </w:rPr>
              <w:t>预测浓度</w:t>
            </w:r>
          </w:p>
          <w:p>
            <w:pPr>
              <w:ind w:left="464"/>
              <w:spacing w:before="9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Ci</w:t>
            </w:r>
          </w:p>
          <w:p>
            <w:pPr>
              <w:pStyle w:val="TableText"/>
              <w:ind w:left="158"/>
              <w:spacing w:before="89" w:line="221" w:lineRule="auto"/>
              <w:rPr>
                <w:rFonts w:ascii="Times New Roman" w:hAnsi="Times New Roman" w:eastAsia="Times New Roman" w:cs="Times New Roman"/>
              </w:rPr>
            </w:pPr>
            <w:r>
              <w:rPr>
                <w:spacing w:val="4"/>
              </w:rPr>
              <w:t>（</w:t>
            </w:r>
            <w:r>
              <w:rPr>
                <w:rFonts w:ascii="Times New Roman" w:hAnsi="Times New Roman" w:eastAsia="Times New Roman" w:cs="Times New Roman"/>
              </w:rPr>
              <w:t>mg</w:t>
            </w:r>
            <w:r>
              <w:rPr>
                <w:rFonts w:ascii="Times New Roman" w:hAnsi="Times New Roman" w:eastAsia="Times New Roman" w:cs="Times New Roman"/>
                <w:spacing w:val="4"/>
              </w:rPr>
              <w:t>/m³)</w:t>
            </w:r>
          </w:p>
        </w:tc>
        <w:tc>
          <w:tcPr>
            <w:tcW w:w="1040" w:type="dxa"/>
            <w:vAlign w:val="top"/>
          </w:tcPr>
          <w:p>
            <w:pPr>
              <w:pStyle w:val="TableText"/>
              <w:ind w:left="211"/>
              <w:spacing w:before="52" w:line="230" w:lineRule="auto"/>
              <w:rPr/>
            </w:pPr>
            <w:r>
              <w:rPr>
                <w:spacing w:val="5"/>
              </w:rPr>
              <w:t>二级浓</w:t>
            </w:r>
          </w:p>
          <w:p>
            <w:pPr>
              <w:pStyle w:val="TableText"/>
              <w:ind w:left="207"/>
              <w:spacing w:before="62" w:line="228" w:lineRule="auto"/>
              <w:rPr/>
            </w:pPr>
            <w:r>
              <w:rPr>
                <w:spacing w:val="7"/>
              </w:rPr>
              <w:t>度限值</w:t>
            </w:r>
          </w:p>
        </w:tc>
        <w:tc>
          <w:tcPr>
            <w:tcW w:w="1128" w:type="dxa"/>
            <w:vAlign w:val="top"/>
            <w:vMerge w:val="restart"/>
            <w:tcBorders>
              <w:bottom w:val="nil"/>
            </w:tcBorders>
          </w:tcPr>
          <w:p>
            <w:pPr>
              <w:pStyle w:val="TableText"/>
              <w:ind w:left="149"/>
              <w:spacing w:before="215" w:line="228" w:lineRule="auto"/>
              <w:rPr/>
            </w:pPr>
            <w:r>
              <w:rPr>
                <w:spacing w:val="7"/>
              </w:rPr>
              <w:t>预测浓度</w:t>
            </w:r>
          </w:p>
          <w:p>
            <w:pPr>
              <w:ind w:left="468"/>
              <w:spacing w:before="9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Ci</w:t>
            </w:r>
          </w:p>
          <w:p>
            <w:pPr>
              <w:pStyle w:val="TableText"/>
              <w:ind w:left="162"/>
              <w:spacing w:before="89" w:line="221" w:lineRule="auto"/>
              <w:rPr>
                <w:rFonts w:ascii="Times New Roman" w:hAnsi="Times New Roman" w:eastAsia="Times New Roman" w:cs="Times New Roman"/>
              </w:rPr>
            </w:pPr>
            <w:r>
              <w:rPr>
                <w:spacing w:val="3"/>
              </w:rPr>
              <w:t>（</w:t>
            </w:r>
            <w:r>
              <w:rPr>
                <w:rFonts w:ascii="Times New Roman" w:hAnsi="Times New Roman" w:eastAsia="Times New Roman" w:cs="Times New Roman"/>
              </w:rPr>
              <w:t>mg</w:t>
            </w:r>
            <w:r>
              <w:rPr>
                <w:rFonts w:ascii="Times New Roman" w:hAnsi="Times New Roman" w:eastAsia="Times New Roman" w:cs="Times New Roman"/>
                <w:spacing w:val="3"/>
              </w:rPr>
              <w:t>/m³)</w:t>
            </w:r>
          </w:p>
        </w:tc>
        <w:tc>
          <w:tcPr>
            <w:tcW w:w="1208" w:type="dxa"/>
            <w:vAlign w:val="top"/>
          </w:tcPr>
          <w:p>
            <w:pPr>
              <w:pStyle w:val="TableText"/>
              <w:ind w:left="191"/>
              <w:spacing w:before="52" w:line="228" w:lineRule="auto"/>
              <w:rPr/>
            </w:pPr>
            <w:r>
              <w:rPr>
                <w:spacing w:val="6"/>
              </w:rPr>
              <w:t>二级浓度</w:t>
            </w:r>
          </w:p>
          <w:p>
            <w:pPr>
              <w:pStyle w:val="TableText"/>
              <w:ind w:left="414"/>
              <w:spacing w:before="64" w:line="228" w:lineRule="auto"/>
              <w:rPr/>
            </w:pPr>
            <w:r>
              <w:rPr>
                <w:spacing w:val="-3"/>
              </w:rPr>
              <w:t>限值</w:t>
            </w:r>
          </w:p>
        </w:tc>
        <w:tc>
          <w:tcPr>
            <w:tcW w:w="1129" w:type="dxa"/>
            <w:vAlign w:val="top"/>
            <w:vMerge w:val="restart"/>
            <w:tcBorders>
              <w:bottom w:val="nil"/>
            </w:tcBorders>
          </w:tcPr>
          <w:p>
            <w:pPr>
              <w:pStyle w:val="TableText"/>
              <w:ind w:left="150"/>
              <w:spacing w:before="215" w:line="228" w:lineRule="auto"/>
              <w:rPr/>
            </w:pPr>
            <w:r>
              <w:rPr>
                <w:spacing w:val="7"/>
              </w:rPr>
              <w:t>预测浓度</w:t>
            </w:r>
          </w:p>
          <w:p>
            <w:pPr>
              <w:ind w:left="470"/>
              <w:spacing w:before="9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Ci</w:t>
            </w:r>
          </w:p>
          <w:p>
            <w:pPr>
              <w:pStyle w:val="TableText"/>
              <w:ind w:left="164"/>
              <w:spacing w:before="89" w:line="221" w:lineRule="auto"/>
              <w:rPr>
                <w:rFonts w:ascii="Times New Roman" w:hAnsi="Times New Roman" w:eastAsia="Times New Roman" w:cs="Times New Roman"/>
              </w:rPr>
            </w:pPr>
            <w:r>
              <w:rPr>
                <w:spacing w:val="3"/>
              </w:rPr>
              <w:t>（</w:t>
            </w:r>
            <w:r>
              <w:rPr>
                <w:rFonts w:ascii="Times New Roman" w:hAnsi="Times New Roman" w:eastAsia="Times New Roman" w:cs="Times New Roman"/>
              </w:rPr>
              <w:t>mg</w:t>
            </w:r>
            <w:r>
              <w:rPr>
                <w:rFonts w:ascii="Times New Roman" w:hAnsi="Times New Roman" w:eastAsia="Times New Roman" w:cs="Times New Roman"/>
                <w:spacing w:val="3"/>
              </w:rPr>
              <w:t>/m³)</w:t>
            </w:r>
          </w:p>
        </w:tc>
        <w:tc>
          <w:tcPr>
            <w:tcW w:w="1099" w:type="dxa"/>
            <w:vAlign w:val="top"/>
          </w:tcPr>
          <w:p>
            <w:pPr>
              <w:pStyle w:val="TableText"/>
              <w:ind w:left="137"/>
              <w:spacing w:before="52" w:line="228" w:lineRule="auto"/>
              <w:rPr/>
            </w:pPr>
            <w:r>
              <w:rPr>
                <w:spacing w:val="6"/>
              </w:rPr>
              <w:t>二级浓度</w:t>
            </w:r>
          </w:p>
          <w:p>
            <w:pPr>
              <w:pStyle w:val="TableText"/>
              <w:ind w:left="359"/>
              <w:spacing w:before="64" w:line="228" w:lineRule="auto"/>
              <w:rPr/>
            </w:pPr>
            <w:r>
              <w:rPr>
                <w:spacing w:val="-3"/>
              </w:rPr>
              <w:t>限值</w:t>
            </w:r>
          </w:p>
        </w:tc>
        <w:tc>
          <w:tcPr>
            <w:tcW w:w="1329" w:type="dxa"/>
            <w:vAlign w:val="top"/>
            <w:vMerge w:val="restart"/>
            <w:tcBorders>
              <w:bottom w:val="nil"/>
            </w:tcBorders>
          </w:tcPr>
          <w:p>
            <w:pPr>
              <w:spacing w:line="304" w:lineRule="auto"/>
              <w:rPr>
                <w:rFonts w:ascii="Arial"/>
                <w:sz w:val="21"/>
              </w:rPr>
            </w:pPr>
            <w:r/>
          </w:p>
          <w:p>
            <w:pPr>
              <w:pStyle w:val="TableText"/>
              <w:ind w:left="126"/>
              <w:spacing w:before="65" w:line="228" w:lineRule="auto"/>
              <w:rPr>
                <w:rFonts w:ascii="Times New Roman" w:hAnsi="Times New Roman" w:eastAsia="Times New Roman" w:cs="Times New Roman"/>
              </w:rPr>
            </w:pPr>
            <w:r>
              <w:rPr>
                <w:spacing w:val="7"/>
              </w:rPr>
              <w:t>预测浓度</w:t>
            </w:r>
            <w:r>
              <w:rPr>
                <w:spacing w:val="-38"/>
              </w:rPr>
              <w:t xml:space="preserve"> </w:t>
            </w:r>
            <w:r>
              <w:rPr>
                <w:rFonts w:ascii="Times New Roman" w:hAnsi="Times New Roman" w:eastAsia="Times New Roman" w:cs="Times New Roman"/>
              </w:rPr>
              <w:t>Ci</w:t>
            </w:r>
          </w:p>
          <w:p>
            <w:pPr>
              <w:pStyle w:val="TableText"/>
              <w:ind w:left="264"/>
              <w:spacing w:before="64" w:line="221" w:lineRule="auto"/>
              <w:rPr>
                <w:rFonts w:ascii="Times New Roman" w:hAnsi="Times New Roman" w:eastAsia="Times New Roman" w:cs="Times New Roman"/>
              </w:rPr>
            </w:pPr>
            <w:r>
              <w:rPr>
                <w:spacing w:val="3"/>
              </w:rPr>
              <w:t>（</w:t>
            </w:r>
            <w:r>
              <w:rPr>
                <w:rFonts w:ascii="Times New Roman" w:hAnsi="Times New Roman" w:eastAsia="Times New Roman" w:cs="Times New Roman"/>
              </w:rPr>
              <w:t>mg</w:t>
            </w:r>
            <w:r>
              <w:rPr>
                <w:rFonts w:ascii="Times New Roman" w:hAnsi="Times New Roman" w:eastAsia="Times New Roman" w:cs="Times New Roman"/>
                <w:spacing w:val="3"/>
              </w:rPr>
              <w:t>/m³)</w:t>
            </w:r>
          </w:p>
        </w:tc>
        <w:tc>
          <w:tcPr>
            <w:tcW w:w="1114" w:type="dxa"/>
            <w:vAlign w:val="top"/>
          </w:tcPr>
          <w:p>
            <w:pPr>
              <w:pStyle w:val="TableText"/>
              <w:ind w:left="147"/>
              <w:spacing w:before="52" w:line="228" w:lineRule="auto"/>
              <w:rPr/>
            </w:pPr>
            <w:r>
              <w:rPr>
                <w:spacing w:val="6"/>
              </w:rPr>
              <w:t>二级浓度</w:t>
            </w:r>
          </w:p>
          <w:p>
            <w:pPr>
              <w:pStyle w:val="TableText"/>
              <w:ind w:left="367"/>
              <w:spacing w:before="64" w:line="228" w:lineRule="auto"/>
              <w:rPr/>
            </w:pPr>
            <w:r>
              <w:rPr>
                <w:spacing w:val="-3"/>
              </w:rPr>
              <w:t>限值</w:t>
            </w:r>
          </w:p>
        </w:tc>
        <w:tc>
          <w:tcPr>
            <w:tcW w:w="1181" w:type="dxa"/>
            <w:vAlign w:val="top"/>
            <w:vMerge w:val="restart"/>
            <w:tcBorders>
              <w:bottom w:val="nil"/>
            </w:tcBorders>
          </w:tcPr>
          <w:p>
            <w:pPr>
              <w:spacing w:line="304" w:lineRule="auto"/>
              <w:rPr>
                <w:rFonts w:ascii="Arial"/>
                <w:sz w:val="21"/>
              </w:rPr>
            </w:pPr>
            <w:r/>
          </w:p>
          <w:p>
            <w:pPr>
              <w:pStyle w:val="TableText"/>
              <w:ind w:left="114" w:right="104" w:firstLine="64"/>
              <w:spacing w:before="65" w:line="286" w:lineRule="auto"/>
              <w:rPr>
                <w:rFonts w:ascii="Times New Roman" w:hAnsi="Times New Roman" w:eastAsia="Times New Roman" w:cs="Times New Roman"/>
              </w:rPr>
            </w:pPr>
            <w:r>
              <w:rPr>
                <w:spacing w:val="7"/>
              </w:rPr>
              <w:t>预测浓度</w:t>
            </w:r>
            <w:r>
              <w:rPr>
                <w:spacing w:val="1"/>
              </w:rPr>
              <w:t xml:space="preserve"> </w:t>
            </w:r>
            <w:r>
              <w:rPr>
                <w:rFonts w:ascii="Times New Roman" w:hAnsi="Times New Roman" w:eastAsia="Times New Roman" w:cs="Times New Roman"/>
                <w:spacing w:val="-3"/>
              </w:rPr>
              <w:t>Ci</w:t>
            </w:r>
            <w:r>
              <w:rPr>
                <w:spacing w:val="-3"/>
              </w:rPr>
              <w:t>（</w:t>
            </w:r>
            <w:r>
              <w:rPr>
                <w:rFonts w:ascii="Times New Roman" w:hAnsi="Times New Roman" w:eastAsia="Times New Roman" w:cs="Times New Roman"/>
                <w:spacing w:val="-3"/>
              </w:rPr>
              <w:t>mg/m³)</w:t>
            </w:r>
          </w:p>
        </w:tc>
        <w:tc>
          <w:tcPr>
            <w:tcW w:w="1413" w:type="dxa"/>
            <w:vAlign w:val="top"/>
          </w:tcPr>
          <w:p>
            <w:pPr>
              <w:pStyle w:val="TableText"/>
              <w:ind w:left="190"/>
              <w:spacing w:before="52" w:line="228" w:lineRule="auto"/>
              <w:rPr/>
            </w:pPr>
            <w:r>
              <w:rPr>
                <w:spacing w:val="7"/>
              </w:rPr>
              <w:t>二级浓度限</w:t>
            </w:r>
          </w:p>
          <w:p>
            <w:pPr>
              <w:pStyle w:val="TableText"/>
              <w:ind w:left="606"/>
              <w:spacing w:before="64" w:line="228" w:lineRule="auto"/>
              <w:rPr/>
            </w:pPr>
            <w:r>
              <w:rPr/>
              <w:t>值</w:t>
            </w:r>
          </w:p>
        </w:tc>
      </w:tr>
      <w:tr>
        <w:trPr>
          <w:trHeight w:val="628" w:hRule="atLeast"/>
        </w:trPr>
        <w:tc>
          <w:tcPr>
            <w:tcW w:w="851" w:type="dxa"/>
            <w:vAlign w:val="top"/>
            <w:vMerge w:val="continue"/>
            <w:tcBorders>
              <w:top w:val="nil"/>
            </w:tcBorders>
          </w:tcPr>
          <w:p>
            <w:pPr>
              <w:rPr>
                <w:rFonts w:ascii="Arial"/>
                <w:sz w:val="21"/>
              </w:rPr>
            </w:pPr>
            <w:r/>
          </w:p>
        </w:tc>
        <w:tc>
          <w:tcPr>
            <w:tcW w:w="1120" w:type="dxa"/>
            <w:vAlign w:val="top"/>
            <w:vMerge w:val="continue"/>
            <w:tcBorders>
              <w:top w:val="nil"/>
            </w:tcBorders>
          </w:tcPr>
          <w:p>
            <w:pPr>
              <w:rPr>
                <w:rFonts w:ascii="Arial"/>
                <w:sz w:val="21"/>
              </w:rPr>
            </w:pPr>
            <w:r/>
          </w:p>
        </w:tc>
        <w:tc>
          <w:tcPr>
            <w:tcW w:w="1037" w:type="dxa"/>
            <w:vAlign w:val="top"/>
          </w:tcPr>
          <w:p>
            <w:pPr>
              <w:pStyle w:val="TableText"/>
              <w:ind w:left="131" w:right="151" w:firstLine="108"/>
              <w:spacing w:before="54" w:line="260" w:lineRule="auto"/>
              <w:rPr/>
            </w:pPr>
            <w:r>
              <w:rPr>
                <w:spacing w:val="-5"/>
              </w:rPr>
              <w:t>占标率</w:t>
            </w:r>
            <w:r>
              <w:rPr/>
              <w:t xml:space="preserve"> </w:t>
            </w:r>
            <w:r>
              <w:rPr>
                <w:rFonts w:ascii="Times New Roman" w:hAnsi="Times New Roman" w:eastAsia="Times New Roman" w:cs="Times New Roman"/>
              </w:rPr>
              <w:t>Pi</w:t>
            </w:r>
            <w:r>
              <w:rPr>
                <w:spacing w:val="5"/>
              </w:rPr>
              <w:t>（</w:t>
            </w:r>
            <w:r>
              <w:rPr>
                <w:rFonts w:ascii="Times New Roman" w:hAnsi="Times New Roman" w:eastAsia="Times New Roman" w:cs="Times New Roman"/>
                <w:spacing w:val="5"/>
              </w:rPr>
              <w:t>%</w:t>
            </w:r>
            <w:r>
              <w:rPr>
                <w:spacing w:val="5"/>
              </w:rPr>
              <w:t>）</w:t>
            </w:r>
          </w:p>
        </w:tc>
        <w:tc>
          <w:tcPr>
            <w:tcW w:w="1123" w:type="dxa"/>
            <w:vAlign w:val="top"/>
            <w:vMerge w:val="continue"/>
            <w:tcBorders>
              <w:top w:val="nil"/>
            </w:tcBorders>
          </w:tcPr>
          <w:p>
            <w:pPr>
              <w:rPr>
                <w:rFonts w:ascii="Arial"/>
                <w:sz w:val="21"/>
              </w:rPr>
            </w:pPr>
            <w:r/>
          </w:p>
        </w:tc>
        <w:tc>
          <w:tcPr>
            <w:tcW w:w="1040" w:type="dxa"/>
            <w:vAlign w:val="top"/>
          </w:tcPr>
          <w:p>
            <w:pPr>
              <w:pStyle w:val="TableText"/>
              <w:ind w:left="134" w:right="154" w:firstLine="108"/>
              <w:spacing w:before="54" w:line="260" w:lineRule="auto"/>
              <w:rPr/>
            </w:pPr>
            <w:r>
              <w:rPr>
                <w:spacing w:val="-5"/>
              </w:rPr>
              <w:t>占标率</w:t>
            </w:r>
            <w:r>
              <w:rPr/>
              <w:t xml:space="preserve"> </w:t>
            </w:r>
            <w:r>
              <w:rPr>
                <w:rFonts w:ascii="Times New Roman" w:hAnsi="Times New Roman" w:eastAsia="Times New Roman" w:cs="Times New Roman"/>
              </w:rPr>
              <w:t>Pi</w:t>
            </w:r>
            <w:r>
              <w:rPr>
                <w:spacing w:val="4"/>
              </w:rPr>
              <w:t>（</w:t>
            </w:r>
            <w:r>
              <w:rPr>
                <w:rFonts w:ascii="Times New Roman" w:hAnsi="Times New Roman" w:eastAsia="Times New Roman" w:cs="Times New Roman"/>
                <w:spacing w:val="4"/>
              </w:rPr>
              <w:t>%</w:t>
            </w:r>
            <w:r>
              <w:rPr>
                <w:spacing w:val="4"/>
              </w:rPr>
              <w:t>）</w:t>
            </w:r>
          </w:p>
        </w:tc>
        <w:tc>
          <w:tcPr>
            <w:tcW w:w="1128" w:type="dxa"/>
            <w:vAlign w:val="top"/>
            <w:vMerge w:val="continue"/>
            <w:tcBorders>
              <w:top w:val="nil"/>
            </w:tcBorders>
          </w:tcPr>
          <w:p>
            <w:pPr>
              <w:rPr>
                <w:rFonts w:ascii="Arial"/>
                <w:sz w:val="21"/>
              </w:rPr>
            </w:pPr>
            <w:r/>
          </w:p>
        </w:tc>
        <w:tc>
          <w:tcPr>
            <w:tcW w:w="1208" w:type="dxa"/>
            <w:vAlign w:val="top"/>
          </w:tcPr>
          <w:p>
            <w:pPr>
              <w:pStyle w:val="TableText"/>
              <w:ind w:left="213"/>
              <w:spacing w:before="54" w:line="228" w:lineRule="auto"/>
              <w:rPr>
                <w:rFonts w:ascii="Times New Roman" w:hAnsi="Times New Roman" w:eastAsia="Times New Roman" w:cs="Times New Roman"/>
              </w:rPr>
            </w:pPr>
            <w:r>
              <w:rPr>
                <w:spacing w:val="-3"/>
              </w:rPr>
              <w:t>占标率</w:t>
            </w:r>
            <w:r>
              <w:rPr>
                <w:spacing w:val="-39"/>
              </w:rPr>
              <w:t xml:space="preserve"> </w:t>
            </w:r>
            <w:r>
              <w:rPr>
                <w:rFonts w:ascii="Times New Roman" w:hAnsi="Times New Roman" w:eastAsia="Times New Roman" w:cs="Times New Roman"/>
                <w:spacing w:val="-3"/>
              </w:rPr>
              <w:t>Pi</w:t>
            </w:r>
          </w:p>
          <w:p>
            <w:pPr>
              <w:pStyle w:val="TableText"/>
              <w:ind w:left="320"/>
              <w:spacing w:before="65" w:line="231" w:lineRule="auto"/>
              <w:rPr/>
            </w:pPr>
            <w:r>
              <w:rPr/>
              <w:t>（</w:t>
            </w:r>
            <w:r>
              <w:rPr>
                <w:rFonts w:ascii="Times New Roman" w:hAnsi="Times New Roman" w:eastAsia="Times New Roman" w:cs="Times New Roman"/>
              </w:rPr>
              <w:t>%</w:t>
            </w:r>
            <w:r>
              <w:rPr/>
              <w:t>）</w:t>
            </w:r>
          </w:p>
        </w:tc>
        <w:tc>
          <w:tcPr>
            <w:tcW w:w="1129" w:type="dxa"/>
            <w:vAlign w:val="top"/>
            <w:vMerge w:val="continue"/>
            <w:tcBorders>
              <w:top w:val="nil"/>
            </w:tcBorders>
          </w:tcPr>
          <w:p>
            <w:pPr>
              <w:rPr>
                <w:rFonts w:ascii="Arial"/>
                <w:sz w:val="21"/>
              </w:rPr>
            </w:pPr>
            <w:r/>
          </w:p>
        </w:tc>
        <w:tc>
          <w:tcPr>
            <w:tcW w:w="1099" w:type="dxa"/>
            <w:vAlign w:val="top"/>
          </w:tcPr>
          <w:p>
            <w:pPr>
              <w:pStyle w:val="TableText"/>
              <w:ind w:left="160"/>
              <w:spacing w:before="54" w:line="228" w:lineRule="auto"/>
              <w:rPr>
                <w:rFonts w:ascii="Times New Roman" w:hAnsi="Times New Roman" w:eastAsia="Times New Roman" w:cs="Times New Roman"/>
              </w:rPr>
            </w:pPr>
            <w:r>
              <w:rPr>
                <w:spacing w:val="-3"/>
              </w:rPr>
              <w:t>占标率</w:t>
            </w:r>
            <w:r>
              <w:rPr>
                <w:spacing w:val="-41"/>
              </w:rPr>
              <w:t xml:space="preserve"> </w:t>
            </w:r>
            <w:r>
              <w:rPr>
                <w:rFonts w:ascii="Times New Roman" w:hAnsi="Times New Roman" w:eastAsia="Times New Roman" w:cs="Times New Roman"/>
                <w:spacing w:val="-3"/>
              </w:rPr>
              <w:t>Pi</w:t>
            </w:r>
          </w:p>
          <w:p>
            <w:pPr>
              <w:pStyle w:val="TableText"/>
              <w:ind w:left="268"/>
              <w:spacing w:before="65" w:line="231" w:lineRule="auto"/>
              <w:rPr/>
            </w:pPr>
            <w:r>
              <w:rPr>
                <w:spacing w:val="-1"/>
              </w:rPr>
              <w:t>（</w:t>
            </w:r>
            <w:r>
              <w:rPr>
                <w:rFonts w:ascii="Times New Roman" w:hAnsi="Times New Roman" w:eastAsia="Times New Roman" w:cs="Times New Roman"/>
                <w:spacing w:val="-1"/>
              </w:rPr>
              <w:t>%</w:t>
            </w:r>
            <w:r>
              <w:rPr>
                <w:spacing w:val="-1"/>
              </w:rPr>
              <w:t>）</w:t>
            </w:r>
          </w:p>
        </w:tc>
        <w:tc>
          <w:tcPr>
            <w:tcW w:w="1329" w:type="dxa"/>
            <w:vAlign w:val="top"/>
            <w:vMerge w:val="continue"/>
            <w:tcBorders>
              <w:top w:val="nil"/>
            </w:tcBorders>
          </w:tcPr>
          <w:p>
            <w:pPr>
              <w:rPr>
                <w:rFonts w:ascii="Arial"/>
                <w:sz w:val="21"/>
              </w:rPr>
            </w:pPr>
            <w:r/>
          </w:p>
        </w:tc>
        <w:tc>
          <w:tcPr>
            <w:tcW w:w="1114" w:type="dxa"/>
            <w:vAlign w:val="top"/>
          </w:tcPr>
          <w:p>
            <w:pPr>
              <w:pStyle w:val="TableText"/>
              <w:ind w:left="168"/>
              <w:spacing w:before="54" w:line="228" w:lineRule="auto"/>
              <w:rPr>
                <w:rFonts w:ascii="Times New Roman" w:hAnsi="Times New Roman" w:eastAsia="Times New Roman" w:cs="Times New Roman"/>
              </w:rPr>
            </w:pPr>
            <w:r>
              <w:rPr>
                <w:spacing w:val="-3"/>
              </w:rPr>
              <w:t>占标率</w:t>
            </w:r>
            <w:r>
              <w:rPr>
                <w:spacing w:val="-41"/>
              </w:rPr>
              <w:t xml:space="preserve"> </w:t>
            </w:r>
            <w:r>
              <w:rPr>
                <w:rFonts w:ascii="Times New Roman" w:hAnsi="Times New Roman" w:eastAsia="Times New Roman" w:cs="Times New Roman"/>
                <w:spacing w:val="-3"/>
              </w:rPr>
              <w:t>Pi</w:t>
            </w:r>
          </w:p>
          <w:p>
            <w:pPr>
              <w:pStyle w:val="TableText"/>
              <w:ind w:left="276"/>
              <w:spacing w:before="65" w:line="231" w:lineRule="auto"/>
              <w:rPr/>
            </w:pPr>
            <w:r>
              <w:rPr>
                <w:spacing w:val="-1"/>
              </w:rPr>
              <w:t>（</w:t>
            </w:r>
            <w:r>
              <w:rPr>
                <w:rFonts w:ascii="Times New Roman" w:hAnsi="Times New Roman" w:eastAsia="Times New Roman" w:cs="Times New Roman"/>
                <w:spacing w:val="-1"/>
              </w:rPr>
              <w:t>%</w:t>
            </w:r>
            <w:r>
              <w:rPr>
                <w:spacing w:val="-1"/>
              </w:rPr>
              <w:t>）</w:t>
            </w:r>
          </w:p>
        </w:tc>
        <w:tc>
          <w:tcPr>
            <w:tcW w:w="1181" w:type="dxa"/>
            <w:vAlign w:val="top"/>
            <w:vMerge w:val="continue"/>
            <w:tcBorders>
              <w:top w:val="nil"/>
            </w:tcBorders>
          </w:tcPr>
          <w:p>
            <w:pPr>
              <w:rPr>
                <w:rFonts w:ascii="Arial"/>
                <w:sz w:val="21"/>
              </w:rPr>
            </w:pPr>
            <w:r/>
          </w:p>
        </w:tc>
        <w:tc>
          <w:tcPr>
            <w:tcW w:w="1413" w:type="dxa"/>
            <w:vAlign w:val="top"/>
          </w:tcPr>
          <w:p>
            <w:pPr>
              <w:pStyle w:val="TableText"/>
              <w:ind w:left="317"/>
              <w:spacing w:before="54" w:line="228" w:lineRule="auto"/>
              <w:rPr>
                <w:rFonts w:ascii="Times New Roman" w:hAnsi="Times New Roman" w:eastAsia="Times New Roman" w:cs="Times New Roman"/>
              </w:rPr>
            </w:pPr>
            <w:r>
              <w:rPr>
                <w:spacing w:val="-3"/>
              </w:rPr>
              <w:t>占标率</w:t>
            </w:r>
            <w:r>
              <w:rPr>
                <w:spacing w:val="-41"/>
              </w:rPr>
              <w:t xml:space="preserve"> </w:t>
            </w:r>
            <w:r>
              <w:rPr>
                <w:rFonts w:ascii="Times New Roman" w:hAnsi="Times New Roman" w:eastAsia="Times New Roman" w:cs="Times New Roman"/>
                <w:spacing w:val="-3"/>
              </w:rPr>
              <w:t>Pi</w:t>
            </w:r>
          </w:p>
          <w:p>
            <w:pPr>
              <w:pStyle w:val="TableText"/>
              <w:ind w:left="424"/>
              <w:spacing w:before="65" w:line="231" w:lineRule="auto"/>
              <w:rPr/>
            </w:pPr>
            <w:r>
              <w:rPr/>
              <w:t>（</w:t>
            </w:r>
            <w:r>
              <w:rPr>
                <w:rFonts w:ascii="Times New Roman" w:hAnsi="Times New Roman" w:eastAsia="Times New Roman" w:cs="Times New Roman"/>
              </w:rPr>
              <w:t>%</w:t>
            </w:r>
            <w:r>
              <w:rPr/>
              <w:t>）</w:t>
            </w:r>
          </w:p>
        </w:tc>
      </w:tr>
      <w:tr>
        <w:trPr>
          <w:trHeight w:val="316" w:hRule="atLeast"/>
        </w:trPr>
        <w:tc>
          <w:tcPr>
            <w:tcW w:w="851" w:type="dxa"/>
            <w:vAlign w:val="top"/>
          </w:tcPr>
          <w:p>
            <w:pPr>
              <w:ind w:left="34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120" w:type="dxa"/>
            <w:vAlign w:val="top"/>
          </w:tcPr>
          <w:p>
            <w:pPr>
              <w:ind w:left="1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5.09E-07</w:t>
            </w:r>
          </w:p>
        </w:tc>
        <w:tc>
          <w:tcPr>
            <w:tcW w:w="1037" w:type="dxa"/>
            <w:vAlign w:val="top"/>
          </w:tcPr>
          <w:p>
            <w:pPr>
              <w:ind w:left="33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23" w:type="dxa"/>
            <w:vAlign w:val="top"/>
          </w:tcPr>
          <w:p>
            <w:pPr>
              <w:ind w:left="19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1.39E-07</w:t>
            </w:r>
          </w:p>
        </w:tc>
        <w:tc>
          <w:tcPr>
            <w:tcW w:w="1040" w:type="dxa"/>
            <w:vAlign w:val="top"/>
          </w:tcPr>
          <w:p>
            <w:pPr>
              <w:ind w:left="33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28" w:type="dxa"/>
            <w:vAlign w:val="top"/>
          </w:tcPr>
          <w:p>
            <w:pPr>
              <w:ind w:left="17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3.92E-06</w:t>
            </w:r>
          </w:p>
        </w:tc>
        <w:tc>
          <w:tcPr>
            <w:tcW w:w="1208" w:type="dxa"/>
            <w:vAlign w:val="top"/>
          </w:tcPr>
          <w:p>
            <w:pPr>
              <w:ind w:left="42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29" w:type="dxa"/>
            <w:vAlign w:val="top"/>
          </w:tcPr>
          <w:p>
            <w:pPr>
              <w:ind w:left="1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2.36E-16</w:t>
            </w:r>
          </w:p>
        </w:tc>
        <w:tc>
          <w:tcPr>
            <w:tcW w:w="1099" w:type="dxa"/>
            <w:vAlign w:val="top"/>
          </w:tcPr>
          <w:p>
            <w:pPr>
              <w:ind w:left="37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29" w:type="dxa"/>
            <w:vAlign w:val="top"/>
          </w:tcPr>
          <w:p>
            <w:pPr>
              <w:ind w:left="27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4.81E-14</w:t>
            </w:r>
          </w:p>
        </w:tc>
        <w:tc>
          <w:tcPr>
            <w:tcW w:w="1114" w:type="dxa"/>
            <w:vAlign w:val="top"/>
          </w:tcPr>
          <w:p>
            <w:pPr>
              <w:ind w:left="3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81" w:type="dxa"/>
            <w:vAlign w:val="top"/>
          </w:tcPr>
          <w:p>
            <w:pPr>
              <w:ind w:left="21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3.35E-14</w:t>
            </w:r>
          </w:p>
        </w:tc>
        <w:tc>
          <w:tcPr>
            <w:tcW w:w="1413" w:type="dxa"/>
            <w:vAlign w:val="top"/>
          </w:tcPr>
          <w:p>
            <w:pPr>
              <w:ind w:left="52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r>
      <w:tr>
        <w:trPr>
          <w:trHeight w:val="317" w:hRule="atLeast"/>
        </w:trPr>
        <w:tc>
          <w:tcPr>
            <w:tcW w:w="851" w:type="dxa"/>
            <w:vAlign w:val="top"/>
          </w:tcPr>
          <w:p>
            <w:pPr>
              <w:ind w:left="32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1120" w:type="dxa"/>
            <w:vAlign w:val="top"/>
          </w:tcPr>
          <w:p>
            <w:pPr>
              <w:ind w:left="17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5.25E-04</w:t>
            </w:r>
          </w:p>
        </w:tc>
        <w:tc>
          <w:tcPr>
            <w:tcW w:w="1037" w:type="dxa"/>
            <w:vAlign w:val="top"/>
          </w:tcPr>
          <w:p>
            <w:pPr>
              <w:ind w:left="33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12</w:t>
            </w:r>
          </w:p>
        </w:tc>
        <w:tc>
          <w:tcPr>
            <w:tcW w:w="1123" w:type="dxa"/>
            <w:vAlign w:val="top"/>
          </w:tcPr>
          <w:p>
            <w:pPr>
              <w:ind w:left="19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1.43E-04</w:t>
            </w:r>
          </w:p>
        </w:tc>
        <w:tc>
          <w:tcPr>
            <w:tcW w:w="1040" w:type="dxa"/>
            <w:vAlign w:val="top"/>
          </w:tcPr>
          <w:p>
            <w:pPr>
              <w:ind w:left="33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w:t>
            </w:r>
          </w:p>
        </w:tc>
        <w:tc>
          <w:tcPr>
            <w:tcW w:w="1128" w:type="dxa"/>
            <w:vAlign w:val="top"/>
          </w:tcPr>
          <w:p>
            <w:pPr>
              <w:ind w:left="17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4.04E-03</w:t>
            </w:r>
          </w:p>
        </w:tc>
        <w:tc>
          <w:tcPr>
            <w:tcW w:w="1208" w:type="dxa"/>
            <w:vAlign w:val="top"/>
          </w:tcPr>
          <w:p>
            <w:pPr>
              <w:ind w:left="42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2.02</w:t>
            </w:r>
          </w:p>
        </w:tc>
        <w:tc>
          <w:tcPr>
            <w:tcW w:w="1129" w:type="dxa"/>
            <w:vAlign w:val="top"/>
          </w:tcPr>
          <w:p>
            <w:pPr>
              <w:ind w:left="17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2.60E-06</w:t>
            </w:r>
          </w:p>
        </w:tc>
        <w:tc>
          <w:tcPr>
            <w:tcW w:w="1099" w:type="dxa"/>
            <w:vAlign w:val="top"/>
          </w:tcPr>
          <w:p>
            <w:pPr>
              <w:ind w:left="37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29" w:type="dxa"/>
            <w:vAlign w:val="top"/>
          </w:tcPr>
          <w:p>
            <w:pPr>
              <w:ind w:left="28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5.29E-04</w:t>
            </w:r>
          </w:p>
        </w:tc>
        <w:tc>
          <w:tcPr>
            <w:tcW w:w="1114" w:type="dxa"/>
            <w:vAlign w:val="top"/>
          </w:tcPr>
          <w:p>
            <w:pPr>
              <w:ind w:left="37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11</w:t>
            </w:r>
          </w:p>
        </w:tc>
        <w:tc>
          <w:tcPr>
            <w:tcW w:w="1181" w:type="dxa"/>
            <w:vAlign w:val="top"/>
          </w:tcPr>
          <w:p>
            <w:pPr>
              <w:ind w:left="21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3.69E-04</w:t>
            </w:r>
          </w:p>
        </w:tc>
        <w:tc>
          <w:tcPr>
            <w:tcW w:w="1413" w:type="dxa"/>
            <w:vAlign w:val="top"/>
          </w:tcPr>
          <w:p>
            <w:pPr>
              <w:ind w:left="52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0.18</w:t>
            </w:r>
          </w:p>
        </w:tc>
      </w:tr>
      <w:tr>
        <w:trPr>
          <w:trHeight w:val="317" w:hRule="atLeast"/>
        </w:trPr>
        <w:tc>
          <w:tcPr>
            <w:tcW w:w="851" w:type="dxa"/>
            <w:vAlign w:val="top"/>
          </w:tcPr>
          <w:p>
            <w:pPr>
              <w:ind w:left="32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70</w:t>
            </w:r>
          </w:p>
        </w:tc>
        <w:tc>
          <w:tcPr>
            <w:tcW w:w="1120" w:type="dxa"/>
            <w:vAlign w:val="top"/>
          </w:tcPr>
          <w:p>
            <w:pPr>
              <w:ind w:firstLine="167"/>
              <w:spacing w:before="40" w:line="241" w:lineRule="exact"/>
              <w:rPr/>
            </w:pPr>
            <w:r>
              <w:rPr>
                <w:position w:val="-4"/>
              </w:rPr>
              <w:pict>
                <v:shape id="_x0000_s772" style="mso-position-vertical-relative:line;mso-position-horizontal-relative:char;width:38.75pt;height:12.05pt;" fillcolor="#D9D9D9" filled="true" stroked="false" type="#_x0000_t202">
                  <v:fill on="true"/>
                  <v:stroke on="false"/>
                  <v:path/>
                  <v:imagedata o:title=""/>
                  <o:lock v:ext="edit" aspectratio="false"/>
                  <v:textbox inset="0mm,0mm,0mm,0mm">
                    <w:txbxContent>
                      <w:p>
                        <w:pPr>
                          <w:spacing w:before="51"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6.04E-04</w:t>
                        </w:r>
                      </w:p>
                    </w:txbxContent>
                  </v:textbox>
                </v:shape>
              </w:pict>
            </w:r>
          </w:p>
        </w:tc>
        <w:tc>
          <w:tcPr>
            <w:tcW w:w="1037" w:type="dxa"/>
            <w:vAlign w:val="top"/>
          </w:tcPr>
          <w:p>
            <w:pPr>
              <w:ind w:left="337"/>
              <w:spacing w:before="91" w:line="195" w:lineRule="auto"/>
              <w:rPr>
                <w:rFonts w:ascii="Times New Roman" w:hAnsi="Times New Roman" w:eastAsia="Times New Roman" w:cs="Times New Roman"/>
                <w:sz w:val="20"/>
                <w:szCs w:val="20"/>
              </w:rPr>
            </w:pPr>
            <w:r>
              <w:rPr>
                <w:shd w:val="clear" w:fill="D9D9D9"/>
                <w:rFonts w:ascii="Times New Roman" w:hAnsi="Times New Roman" w:eastAsia="Times New Roman" w:cs="Times New Roman"/>
                <w:sz w:val="20"/>
                <w:szCs w:val="20"/>
                <w:spacing w:val="2"/>
              </w:rPr>
              <w:t>0.13</w:t>
            </w:r>
          </w:p>
        </w:tc>
        <w:tc>
          <w:tcPr>
            <w:tcW w:w="1123" w:type="dxa"/>
            <w:vAlign w:val="top"/>
          </w:tcPr>
          <w:p>
            <w:pPr>
              <w:ind w:firstLine="168"/>
              <w:spacing w:before="40" w:line="241" w:lineRule="exact"/>
              <w:rPr/>
            </w:pPr>
            <w:r>
              <w:rPr>
                <w:position w:val="-4"/>
              </w:rPr>
              <w:pict>
                <v:shape id="_x0000_s774" style="mso-position-vertical-relative:line;mso-position-horizontal-relative:char;width:38.75pt;height:12.05pt;" fillcolor="#D9D9D9" filled="true" stroked="false" type="#_x0000_t202">
                  <v:fill on="true"/>
                  <v:stroke on="false"/>
                  <v:path/>
                  <v:imagedata o:title=""/>
                  <o:lock v:ext="edit" aspectratio="false"/>
                  <v:textbox inset="0mm,0mm,0mm,0mm">
                    <w:txbxContent>
                      <w:p>
                        <w:pPr>
                          <w:spacing w:before="51"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1.65E-04</w:t>
                        </w:r>
                      </w:p>
                    </w:txbxContent>
                  </v:textbox>
                </v:shape>
              </w:pict>
            </w:r>
          </w:p>
        </w:tc>
        <w:tc>
          <w:tcPr>
            <w:tcW w:w="1040" w:type="dxa"/>
            <w:vAlign w:val="top"/>
          </w:tcPr>
          <w:p>
            <w:pPr>
              <w:ind w:left="339"/>
              <w:spacing w:before="91" w:line="195" w:lineRule="auto"/>
              <w:rPr>
                <w:rFonts w:ascii="Times New Roman" w:hAnsi="Times New Roman" w:eastAsia="Times New Roman" w:cs="Times New Roman"/>
                <w:sz w:val="20"/>
                <w:szCs w:val="20"/>
              </w:rPr>
            </w:pPr>
            <w:r>
              <w:rPr>
                <w:shd w:val="clear" w:fill="D9D9D9"/>
                <w:rFonts w:ascii="Times New Roman" w:hAnsi="Times New Roman" w:eastAsia="Times New Roman" w:cs="Times New Roman"/>
                <w:sz w:val="20"/>
                <w:szCs w:val="20"/>
                <w:spacing w:val="2"/>
              </w:rPr>
              <w:t>0.03</w:t>
            </w:r>
          </w:p>
        </w:tc>
        <w:tc>
          <w:tcPr>
            <w:tcW w:w="1128" w:type="dxa"/>
            <w:vAlign w:val="top"/>
          </w:tcPr>
          <w:p>
            <w:pPr>
              <w:ind w:firstLine="171"/>
              <w:spacing w:before="40" w:line="241" w:lineRule="exact"/>
              <w:rPr/>
            </w:pPr>
            <w:r>
              <w:rPr>
                <w:position w:val="-4"/>
              </w:rPr>
              <w:pict>
                <v:shape id="_x0000_s776" style="mso-position-vertical-relative:line;mso-position-horizontal-relative:char;width:38.75pt;height:12.05pt;" fillcolor="#D9D9D9" filled="true" stroked="false" type="#_x0000_t202">
                  <v:fill on="true"/>
                  <v:stroke on="false"/>
                  <v:path/>
                  <v:imagedata o:title=""/>
                  <o:lock v:ext="edit" aspectratio="false"/>
                  <v:textbox inset="0mm,0mm,0mm,0mm">
                    <w:txbxContent>
                      <w:p>
                        <w:pPr>
                          <w:ind w:left="2"/>
                          <w:spacing w:before="5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4.64E-03</w:t>
                        </w:r>
                      </w:p>
                    </w:txbxContent>
                  </v:textbox>
                </v:shape>
              </w:pict>
            </w:r>
          </w:p>
        </w:tc>
        <w:tc>
          <w:tcPr>
            <w:tcW w:w="1208" w:type="dxa"/>
            <w:vAlign w:val="top"/>
          </w:tcPr>
          <w:p>
            <w:pPr>
              <w:ind w:firstLine="416"/>
              <w:spacing w:before="40" w:line="241" w:lineRule="exact"/>
              <w:rPr/>
            </w:pPr>
            <w:r>
              <w:rPr>
                <w:position w:val="-4"/>
              </w:rPr>
              <w:pict>
                <v:shape id="_x0000_s778" style="mso-position-vertical-relative:line;mso-position-horizontal-relative:char;width:18.4pt;height:12.05pt;" fillcolor="#D9D9D9" filled="true" stroked="false" type="#_x0000_t202">
                  <v:fill on="true"/>
                  <v:stroke on="false"/>
                  <v:path/>
                  <v:imagedata o:title=""/>
                  <o:lock v:ext="edit" aspectratio="false"/>
                  <v:textbox inset="0mm,0mm,0mm,0mm">
                    <w:txbxContent>
                      <w:p>
                        <w:pPr>
                          <w:spacing w:before="51"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2.32</w:t>
                        </w:r>
                      </w:p>
                    </w:txbxContent>
                  </v:textbox>
                </v:shape>
              </w:pict>
            </w:r>
          </w:p>
        </w:tc>
        <w:tc>
          <w:tcPr>
            <w:tcW w:w="1129" w:type="dxa"/>
            <w:vAlign w:val="top"/>
          </w:tcPr>
          <w:p>
            <w:pPr>
              <w:ind w:left="532"/>
              <w:spacing w:before="8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99" w:type="dxa"/>
            <w:vAlign w:val="top"/>
          </w:tcPr>
          <w:p>
            <w:pPr>
              <w:ind w:left="517"/>
              <w:spacing w:before="8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329" w:type="dxa"/>
            <w:vAlign w:val="top"/>
          </w:tcPr>
          <w:p>
            <w:pPr>
              <w:ind w:left="634"/>
              <w:spacing w:before="8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114" w:type="dxa"/>
            <w:vAlign w:val="top"/>
          </w:tcPr>
          <w:p>
            <w:pPr>
              <w:ind w:left="527"/>
              <w:spacing w:before="8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181" w:type="dxa"/>
            <w:vAlign w:val="top"/>
          </w:tcPr>
          <w:p>
            <w:pPr>
              <w:ind w:left="560"/>
              <w:spacing w:before="8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413" w:type="dxa"/>
            <w:vAlign w:val="top"/>
          </w:tcPr>
          <w:p>
            <w:pPr>
              <w:ind w:left="67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b/>
                <w:bCs/>
                <w:spacing w:val="2"/>
              </w:rPr>
              <w:t>/</w:t>
            </w:r>
          </w:p>
        </w:tc>
      </w:tr>
      <w:tr>
        <w:trPr>
          <w:trHeight w:val="317" w:hRule="atLeast"/>
        </w:trPr>
        <w:tc>
          <w:tcPr>
            <w:tcW w:w="851" w:type="dxa"/>
            <w:vAlign w:val="top"/>
          </w:tcPr>
          <w:p>
            <w:pPr>
              <w:ind w:left="29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100</w:t>
            </w:r>
          </w:p>
        </w:tc>
        <w:tc>
          <w:tcPr>
            <w:tcW w:w="1120" w:type="dxa"/>
            <w:vAlign w:val="top"/>
          </w:tcPr>
          <w:p>
            <w:pPr>
              <w:ind w:left="1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r>
              <w:rPr>
                <w:rFonts w:ascii="Times New Roman" w:hAnsi="Times New Roman" w:eastAsia="Times New Roman" w:cs="Times New Roman"/>
                <w:sz w:val="20"/>
                <w:szCs w:val="20"/>
                <w:spacing w:val="-26"/>
              </w:rPr>
              <w:t xml:space="preserve"> </w:t>
            </w:r>
            <w:r>
              <w:rPr>
                <w:rFonts w:ascii="Times New Roman" w:hAnsi="Times New Roman" w:eastAsia="Times New Roman" w:cs="Times New Roman"/>
                <w:sz w:val="20"/>
                <w:szCs w:val="20"/>
              </w:rPr>
              <w:t>18E-04</w:t>
            </w:r>
          </w:p>
        </w:tc>
        <w:tc>
          <w:tcPr>
            <w:tcW w:w="1037" w:type="dxa"/>
            <w:vAlign w:val="top"/>
          </w:tcPr>
          <w:p>
            <w:pPr>
              <w:ind w:left="33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12</w:t>
            </w:r>
          </w:p>
        </w:tc>
        <w:tc>
          <w:tcPr>
            <w:tcW w:w="1123" w:type="dxa"/>
            <w:vAlign w:val="top"/>
          </w:tcPr>
          <w:p>
            <w:pPr>
              <w:ind w:left="19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1.41E-04</w:t>
            </w:r>
          </w:p>
        </w:tc>
        <w:tc>
          <w:tcPr>
            <w:tcW w:w="1040" w:type="dxa"/>
            <w:vAlign w:val="top"/>
          </w:tcPr>
          <w:p>
            <w:pPr>
              <w:ind w:left="33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w:t>
            </w:r>
          </w:p>
        </w:tc>
        <w:tc>
          <w:tcPr>
            <w:tcW w:w="1128" w:type="dxa"/>
            <w:vAlign w:val="top"/>
          </w:tcPr>
          <w:p>
            <w:pPr>
              <w:ind w:left="17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3.98E-03</w:t>
            </w:r>
          </w:p>
        </w:tc>
        <w:tc>
          <w:tcPr>
            <w:tcW w:w="1208" w:type="dxa"/>
            <w:vAlign w:val="top"/>
          </w:tcPr>
          <w:p>
            <w:pPr>
              <w:ind w:left="44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1.99</w:t>
            </w:r>
          </w:p>
        </w:tc>
        <w:tc>
          <w:tcPr>
            <w:tcW w:w="1129" w:type="dxa"/>
            <w:vAlign w:val="top"/>
          </w:tcPr>
          <w:p>
            <w:pPr>
              <w:ind w:left="18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rPr>
              <w:t>16E-06</w:t>
            </w:r>
          </w:p>
        </w:tc>
        <w:tc>
          <w:tcPr>
            <w:tcW w:w="1099" w:type="dxa"/>
            <w:vAlign w:val="top"/>
          </w:tcPr>
          <w:p>
            <w:pPr>
              <w:ind w:left="37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29" w:type="dxa"/>
            <w:vAlign w:val="top"/>
          </w:tcPr>
          <w:p>
            <w:pPr>
              <w:ind w:left="29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1.86E-03</w:t>
            </w:r>
          </w:p>
        </w:tc>
        <w:tc>
          <w:tcPr>
            <w:tcW w:w="1114" w:type="dxa"/>
            <w:vAlign w:val="top"/>
          </w:tcPr>
          <w:p>
            <w:pPr>
              <w:ind w:left="3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0.37</w:t>
            </w:r>
          </w:p>
        </w:tc>
        <w:tc>
          <w:tcPr>
            <w:tcW w:w="1181" w:type="dxa"/>
            <w:vAlign w:val="top"/>
          </w:tcPr>
          <w:p>
            <w:pPr>
              <w:ind w:left="22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1.30E-03</w:t>
            </w:r>
          </w:p>
        </w:tc>
        <w:tc>
          <w:tcPr>
            <w:tcW w:w="1413" w:type="dxa"/>
            <w:vAlign w:val="top"/>
          </w:tcPr>
          <w:p>
            <w:pPr>
              <w:ind w:left="52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0.65</w:t>
            </w:r>
          </w:p>
        </w:tc>
      </w:tr>
      <w:tr>
        <w:trPr>
          <w:trHeight w:val="317" w:hRule="atLeast"/>
        </w:trPr>
        <w:tc>
          <w:tcPr>
            <w:tcW w:w="851" w:type="dxa"/>
            <w:vAlign w:val="top"/>
          </w:tcPr>
          <w:p>
            <w:pPr>
              <w:ind w:left="26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w:t>
            </w:r>
          </w:p>
        </w:tc>
        <w:tc>
          <w:tcPr>
            <w:tcW w:w="1120" w:type="dxa"/>
            <w:vAlign w:val="top"/>
          </w:tcPr>
          <w:p>
            <w:pPr>
              <w:ind w:left="17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rPr>
              <w:t>16E-04</w:t>
            </w:r>
          </w:p>
        </w:tc>
        <w:tc>
          <w:tcPr>
            <w:tcW w:w="1037" w:type="dxa"/>
            <w:vAlign w:val="top"/>
          </w:tcPr>
          <w:p>
            <w:pPr>
              <w:ind w:left="33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0.07</w:t>
            </w:r>
          </w:p>
        </w:tc>
        <w:tc>
          <w:tcPr>
            <w:tcW w:w="1123" w:type="dxa"/>
            <w:vAlign w:val="top"/>
          </w:tcPr>
          <w:p>
            <w:pPr>
              <w:ind w:left="18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8.62E-05</w:t>
            </w:r>
          </w:p>
        </w:tc>
        <w:tc>
          <w:tcPr>
            <w:tcW w:w="1040" w:type="dxa"/>
            <w:vAlign w:val="top"/>
          </w:tcPr>
          <w:p>
            <w:pPr>
              <w:ind w:left="33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c>
          <w:tcPr>
            <w:tcW w:w="1128" w:type="dxa"/>
            <w:vAlign w:val="top"/>
          </w:tcPr>
          <w:p>
            <w:pPr>
              <w:ind w:left="17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2.43E-03</w:t>
            </w:r>
          </w:p>
        </w:tc>
        <w:tc>
          <w:tcPr>
            <w:tcW w:w="1208" w:type="dxa"/>
            <w:vAlign w:val="top"/>
          </w:tcPr>
          <w:p>
            <w:pPr>
              <w:ind w:left="44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1.21</w:t>
            </w:r>
          </w:p>
        </w:tc>
        <w:tc>
          <w:tcPr>
            <w:tcW w:w="1129" w:type="dxa"/>
            <w:vAlign w:val="top"/>
          </w:tcPr>
          <w:p>
            <w:pPr>
              <w:ind w:left="19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1.45E-05</w:t>
            </w:r>
          </w:p>
        </w:tc>
        <w:tc>
          <w:tcPr>
            <w:tcW w:w="1099" w:type="dxa"/>
            <w:vAlign w:val="top"/>
          </w:tcPr>
          <w:p>
            <w:pPr>
              <w:ind w:left="37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29" w:type="dxa"/>
            <w:vAlign w:val="top"/>
          </w:tcPr>
          <w:p>
            <w:pPr>
              <w:ind w:left="2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2.95E-03</w:t>
            </w:r>
          </w:p>
        </w:tc>
        <w:tc>
          <w:tcPr>
            <w:tcW w:w="1114" w:type="dxa"/>
            <w:vAlign w:val="top"/>
          </w:tcPr>
          <w:p>
            <w:pPr>
              <w:ind w:left="3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0.59</w:t>
            </w:r>
          </w:p>
        </w:tc>
        <w:tc>
          <w:tcPr>
            <w:tcW w:w="1181" w:type="dxa"/>
            <w:vAlign w:val="top"/>
          </w:tcPr>
          <w:p>
            <w:pPr>
              <w:ind w:left="20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2.06E-03</w:t>
            </w:r>
          </w:p>
        </w:tc>
        <w:tc>
          <w:tcPr>
            <w:tcW w:w="1413" w:type="dxa"/>
            <w:vAlign w:val="top"/>
          </w:tcPr>
          <w:p>
            <w:pPr>
              <w:ind w:left="54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1.03</w:t>
            </w:r>
          </w:p>
        </w:tc>
      </w:tr>
      <w:tr>
        <w:trPr>
          <w:trHeight w:val="317" w:hRule="atLeast"/>
        </w:trPr>
        <w:tc>
          <w:tcPr>
            <w:tcW w:w="851" w:type="dxa"/>
            <w:vAlign w:val="top"/>
          </w:tcPr>
          <w:p>
            <w:pPr>
              <w:ind w:left="26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400</w:t>
            </w:r>
          </w:p>
        </w:tc>
        <w:tc>
          <w:tcPr>
            <w:tcW w:w="1120" w:type="dxa"/>
            <w:vAlign w:val="top"/>
          </w:tcPr>
          <w:p>
            <w:pPr>
              <w:ind w:left="19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1.61E-04</w:t>
            </w:r>
          </w:p>
        </w:tc>
        <w:tc>
          <w:tcPr>
            <w:tcW w:w="1037" w:type="dxa"/>
            <w:vAlign w:val="top"/>
          </w:tcPr>
          <w:p>
            <w:pPr>
              <w:ind w:left="337"/>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0.04</w:t>
            </w:r>
          </w:p>
        </w:tc>
        <w:tc>
          <w:tcPr>
            <w:tcW w:w="1123" w:type="dxa"/>
            <w:vAlign w:val="top"/>
          </w:tcPr>
          <w:p>
            <w:pPr>
              <w:ind w:left="17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4.38E-05</w:t>
            </w:r>
          </w:p>
        </w:tc>
        <w:tc>
          <w:tcPr>
            <w:tcW w:w="1040" w:type="dxa"/>
            <w:vAlign w:val="top"/>
          </w:tcPr>
          <w:p>
            <w:pPr>
              <w:ind w:left="339"/>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128" w:type="dxa"/>
            <w:vAlign w:val="top"/>
          </w:tcPr>
          <w:p>
            <w:pPr>
              <w:ind w:left="195"/>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1.23E-03</w:t>
            </w:r>
          </w:p>
        </w:tc>
        <w:tc>
          <w:tcPr>
            <w:tcW w:w="1208" w:type="dxa"/>
            <w:vAlign w:val="top"/>
          </w:tcPr>
          <w:p>
            <w:pPr>
              <w:ind w:left="425"/>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0.62</w:t>
            </w:r>
          </w:p>
        </w:tc>
        <w:tc>
          <w:tcPr>
            <w:tcW w:w="1129" w:type="dxa"/>
            <w:vAlign w:val="top"/>
          </w:tcPr>
          <w:p>
            <w:pPr>
              <w:ind w:left="199"/>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1.41E-05</w:t>
            </w:r>
          </w:p>
        </w:tc>
        <w:tc>
          <w:tcPr>
            <w:tcW w:w="1099" w:type="dxa"/>
            <w:vAlign w:val="top"/>
          </w:tcPr>
          <w:p>
            <w:pPr>
              <w:ind w:left="370"/>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29" w:type="dxa"/>
            <w:vAlign w:val="top"/>
          </w:tcPr>
          <w:p>
            <w:pPr>
              <w:ind w:left="27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2.86E-03</w:t>
            </w:r>
          </w:p>
        </w:tc>
        <w:tc>
          <w:tcPr>
            <w:tcW w:w="1114" w:type="dxa"/>
            <w:vAlign w:val="top"/>
          </w:tcPr>
          <w:p>
            <w:pPr>
              <w:ind w:left="37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0.57</w:t>
            </w:r>
          </w:p>
        </w:tc>
        <w:tc>
          <w:tcPr>
            <w:tcW w:w="1181" w:type="dxa"/>
            <w:vAlign w:val="top"/>
          </w:tcPr>
          <w:p>
            <w:pPr>
              <w:ind w:left="227"/>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1.99E-03</w:t>
            </w:r>
          </w:p>
        </w:tc>
        <w:tc>
          <w:tcPr>
            <w:tcW w:w="1413" w:type="dxa"/>
            <w:vAlign w:val="top"/>
          </w:tcPr>
          <w:p>
            <w:pPr>
              <w:ind w:left="543"/>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1.00</w:t>
            </w:r>
          </w:p>
        </w:tc>
      </w:tr>
      <w:tr>
        <w:trPr>
          <w:trHeight w:val="317" w:hRule="atLeast"/>
        </w:trPr>
        <w:tc>
          <w:tcPr>
            <w:tcW w:w="851" w:type="dxa"/>
            <w:vAlign w:val="top"/>
          </w:tcPr>
          <w:p>
            <w:pPr>
              <w:ind w:left="27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600</w:t>
            </w:r>
          </w:p>
        </w:tc>
        <w:tc>
          <w:tcPr>
            <w:tcW w:w="1120" w:type="dxa"/>
            <w:vAlign w:val="top"/>
          </w:tcPr>
          <w:p>
            <w:pPr>
              <w:ind w:left="17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9.50E-05</w:t>
            </w:r>
          </w:p>
        </w:tc>
        <w:tc>
          <w:tcPr>
            <w:tcW w:w="1037" w:type="dxa"/>
            <w:vAlign w:val="top"/>
          </w:tcPr>
          <w:p>
            <w:pPr>
              <w:ind w:left="33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c>
          <w:tcPr>
            <w:tcW w:w="1123" w:type="dxa"/>
            <w:vAlign w:val="top"/>
          </w:tcPr>
          <w:p>
            <w:pPr>
              <w:ind w:left="17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2.59E-05</w:t>
            </w:r>
          </w:p>
        </w:tc>
        <w:tc>
          <w:tcPr>
            <w:tcW w:w="1040" w:type="dxa"/>
            <w:vAlign w:val="top"/>
          </w:tcPr>
          <w:p>
            <w:pPr>
              <w:ind w:left="33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128" w:type="dxa"/>
            <w:vAlign w:val="top"/>
          </w:tcPr>
          <w:p>
            <w:pPr>
              <w:ind w:left="17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7.31E-04</w:t>
            </w:r>
          </w:p>
        </w:tc>
        <w:tc>
          <w:tcPr>
            <w:tcW w:w="1208" w:type="dxa"/>
            <w:vAlign w:val="top"/>
          </w:tcPr>
          <w:p>
            <w:pPr>
              <w:ind w:left="42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0.37</w:t>
            </w:r>
          </w:p>
        </w:tc>
        <w:tc>
          <w:tcPr>
            <w:tcW w:w="1129" w:type="dxa"/>
            <w:vAlign w:val="top"/>
          </w:tcPr>
          <w:p>
            <w:pPr>
              <w:ind w:left="19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10E-05</w:t>
            </w:r>
          </w:p>
        </w:tc>
        <w:tc>
          <w:tcPr>
            <w:tcW w:w="1099" w:type="dxa"/>
            <w:vAlign w:val="top"/>
          </w:tcPr>
          <w:p>
            <w:pPr>
              <w:ind w:left="37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29" w:type="dxa"/>
            <w:vAlign w:val="top"/>
          </w:tcPr>
          <w:p>
            <w:pPr>
              <w:ind w:left="27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2.23E-03</w:t>
            </w:r>
          </w:p>
        </w:tc>
        <w:tc>
          <w:tcPr>
            <w:tcW w:w="1114" w:type="dxa"/>
            <w:vAlign w:val="top"/>
          </w:tcPr>
          <w:p>
            <w:pPr>
              <w:ind w:left="37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0.45</w:t>
            </w:r>
          </w:p>
        </w:tc>
        <w:tc>
          <w:tcPr>
            <w:tcW w:w="1181" w:type="dxa"/>
            <w:vAlign w:val="top"/>
          </w:tcPr>
          <w:p>
            <w:pPr>
              <w:ind w:left="22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1.56E-03</w:t>
            </w:r>
          </w:p>
        </w:tc>
        <w:tc>
          <w:tcPr>
            <w:tcW w:w="1413" w:type="dxa"/>
            <w:vAlign w:val="top"/>
          </w:tcPr>
          <w:p>
            <w:pPr>
              <w:ind w:left="52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0.78</w:t>
            </w:r>
          </w:p>
        </w:tc>
      </w:tr>
      <w:tr>
        <w:trPr>
          <w:trHeight w:val="317" w:hRule="atLeast"/>
        </w:trPr>
        <w:tc>
          <w:tcPr>
            <w:tcW w:w="851" w:type="dxa"/>
            <w:vAlign w:val="top"/>
          </w:tcPr>
          <w:p>
            <w:pPr>
              <w:ind w:left="27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800</w:t>
            </w:r>
          </w:p>
        </w:tc>
        <w:tc>
          <w:tcPr>
            <w:tcW w:w="1120" w:type="dxa"/>
            <w:vAlign w:val="top"/>
          </w:tcPr>
          <w:p>
            <w:pPr>
              <w:ind w:left="17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6.69E-05</w:t>
            </w:r>
          </w:p>
        </w:tc>
        <w:tc>
          <w:tcPr>
            <w:tcW w:w="1037" w:type="dxa"/>
            <w:vAlign w:val="top"/>
          </w:tcPr>
          <w:p>
            <w:pPr>
              <w:ind w:left="33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123" w:type="dxa"/>
            <w:vAlign w:val="top"/>
          </w:tcPr>
          <w:p>
            <w:pPr>
              <w:ind w:left="19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1.83E-05</w:t>
            </w:r>
          </w:p>
        </w:tc>
        <w:tc>
          <w:tcPr>
            <w:tcW w:w="1040" w:type="dxa"/>
            <w:vAlign w:val="top"/>
          </w:tcPr>
          <w:p>
            <w:pPr>
              <w:ind w:left="33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28" w:type="dxa"/>
            <w:vAlign w:val="top"/>
          </w:tcPr>
          <w:p>
            <w:pPr>
              <w:ind w:left="18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rPr>
              <w:t>14E-04</w:t>
            </w:r>
          </w:p>
        </w:tc>
        <w:tc>
          <w:tcPr>
            <w:tcW w:w="1208" w:type="dxa"/>
            <w:vAlign w:val="top"/>
          </w:tcPr>
          <w:p>
            <w:pPr>
              <w:ind w:left="42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0.26</w:t>
            </w:r>
          </w:p>
        </w:tc>
        <w:tc>
          <w:tcPr>
            <w:tcW w:w="1129" w:type="dxa"/>
            <w:vAlign w:val="top"/>
          </w:tcPr>
          <w:p>
            <w:pPr>
              <w:ind w:left="18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9.31E-06</w:t>
            </w:r>
          </w:p>
        </w:tc>
        <w:tc>
          <w:tcPr>
            <w:tcW w:w="1099" w:type="dxa"/>
            <w:vAlign w:val="top"/>
          </w:tcPr>
          <w:p>
            <w:pPr>
              <w:ind w:left="37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29" w:type="dxa"/>
            <w:vAlign w:val="top"/>
          </w:tcPr>
          <w:p>
            <w:pPr>
              <w:ind w:left="29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1.89E-03</w:t>
            </w:r>
          </w:p>
        </w:tc>
        <w:tc>
          <w:tcPr>
            <w:tcW w:w="1114" w:type="dxa"/>
            <w:vAlign w:val="top"/>
          </w:tcPr>
          <w:p>
            <w:pPr>
              <w:ind w:left="37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0.38</w:t>
            </w:r>
          </w:p>
        </w:tc>
        <w:tc>
          <w:tcPr>
            <w:tcW w:w="1181" w:type="dxa"/>
            <w:vAlign w:val="top"/>
          </w:tcPr>
          <w:p>
            <w:pPr>
              <w:ind w:left="22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1.32E-03</w:t>
            </w:r>
          </w:p>
        </w:tc>
        <w:tc>
          <w:tcPr>
            <w:tcW w:w="1413" w:type="dxa"/>
            <w:vAlign w:val="top"/>
          </w:tcPr>
          <w:p>
            <w:pPr>
              <w:ind w:left="52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0.66</w:t>
            </w:r>
          </w:p>
        </w:tc>
      </w:tr>
      <w:tr>
        <w:trPr>
          <w:trHeight w:val="317" w:hRule="atLeast"/>
        </w:trPr>
        <w:tc>
          <w:tcPr>
            <w:tcW w:w="851" w:type="dxa"/>
            <w:vAlign w:val="top"/>
          </w:tcPr>
          <w:p>
            <w:pPr>
              <w:ind w:left="23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1000</w:t>
            </w:r>
          </w:p>
        </w:tc>
        <w:tc>
          <w:tcPr>
            <w:tcW w:w="1120" w:type="dxa"/>
            <w:vAlign w:val="top"/>
          </w:tcPr>
          <w:p>
            <w:pPr>
              <w:ind w:left="17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3.45E-04</w:t>
            </w:r>
          </w:p>
        </w:tc>
        <w:tc>
          <w:tcPr>
            <w:tcW w:w="1037" w:type="dxa"/>
            <w:vAlign w:val="top"/>
          </w:tcPr>
          <w:p>
            <w:pPr>
              <w:ind w:left="33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0.08</w:t>
            </w:r>
          </w:p>
        </w:tc>
        <w:tc>
          <w:tcPr>
            <w:tcW w:w="1123" w:type="dxa"/>
            <w:vAlign w:val="top"/>
          </w:tcPr>
          <w:p>
            <w:pPr>
              <w:ind w:left="17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9.43E-05</w:t>
            </w:r>
          </w:p>
        </w:tc>
        <w:tc>
          <w:tcPr>
            <w:tcW w:w="1040" w:type="dxa"/>
            <w:vAlign w:val="top"/>
          </w:tcPr>
          <w:p>
            <w:pPr>
              <w:ind w:left="33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c>
          <w:tcPr>
            <w:tcW w:w="1128" w:type="dxa"/>
            <w:vAlign w:val="top"/>
          </w:tcPr>
          <w:p>
            <w:pPr>
              <w:ind w:left="17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2.66E-03</w:t>
            </w:r>
          </w:p>
        </w:tc>
        <w:tc>
          <w:tcPr>
            <w:tcW w:w="1208" w:type="dxa"/>
            <w:vAlign w:val="top"/>
          </w:tcPr>
          <w:p>
            <w:pPr>
              <w:ind w:left="44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1.33</w:t>
            </w:r>
          </w:p>
        </w:tc>
        <w:tc>
          <w:tcPr>
            <w:tcW w:w="1129" w:type="dxa"/>
            <w:vAlign w:val="top"/>
          </w:tcPr>
          <w:p>
            <w:pPr>
              <w:ind w:left="18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9.99E-06</w:t>
            </w:r>
          </w:p>
        </w:tc>
        <w:tc>
          <w:tcPr>
            <w:tcW w:w="1099" w:type="dxa"/>
            <w:vAlign w:val="top"/>
          </w:tcPr>
          <w:p>
            <w:pPr>
              <w:ind w:left="37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29" w:type="dxa"/>
            <w:vAlign w:val="top"/>
          </w:tcPr>
          <w:p>
            <w:pPr>
              <w:ind w:left="2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2.03E-03</w:t>
            </w:r>
          </w:p>
        </w:tc>
        <w:tc>
          <w:tcPr>
            <w:tcW w:w="1114" w:type="dxa"/>
            <w:vAlign w:val="top"/>
          </w:tcPr>
          <w:p>
            <w:pPr>
              <w:ind w:left="3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0.41</w:t>
            </w:r>
          </w:p>
        </w:tc>
        <w:tc>
          <w:tcPr>
            <w:tcW w:w="1181" w:type="dxa"/>
            <w:vAlign w:val="top"/>
          </w:tcPr>
          <w:p>
            <w:pPr>
              <w:ind w:left="22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1.41E-03</w:t>
            </w:r>
          </w:p>
        </w:tc>
        <w:tc>
          <w:tcPr>
            <w:tcW w:w="1413" w:type="dxa"/>
            <w:vAlign w:val="top"/>
          </w:tcPr>
          <w:p>
            <w:pPr>
              <w:ind w:left="52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0.71</w:t>
            </w:r>
          </w:p>
        </w:tc>
      </w:tr>
      <w:tr>
        <w:trPr>
          <w:trHeight w:val="317" w:hRule="atLeast"/>
        </w:trPr>
        <w:tc>
          <w:tcPr>
            <w:tcW w:w="851" w:type="dxa"/>
            <w:vAlign w:val="top"/>
          </w:tcPr>
          <w:p>
            <w:pPr>
              <w:ind w:left="23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1180</w:t>
            </w:r>
          </w:p>
        </w:tc>
        <w:tc>
          <w:tcPr>
            <w:tcW w:w="1120" w:type="dxa"/>
            <w:vAlign w:val="top"/>
          </w:tcPr>
          <w:p>
            <w:pPr>
              <w:ind w:left="526"/>
              <w:spacing w:before="8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37" w:type="dxa"/>
            <w:vAlign w:val="top"/>
          </w:tcPr>
          <w:p>
            <w:pPr>
              <w:ind w:left="486"/>
              <w:spacing w:before="8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123" w:type="dxa"/>
            <w:vAlign w:val="top"/>
          </w:tcPr>
          <w:p>
            <w:pPr>
              <w:ind w:left="529"/>
              <w:spacing w:before="8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40" w:type="dxa"/>
            <w:vAlign w:val="top"/>
          </w:tcPr>
          <w:p>
            <w:pPr>
              <w:ind w:left="486"/>
              <w:spacing w:before="8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128" w:type="dxa"/>
            <w:vAlign w:val="top"/>
          </w:tcPr>
          <w:p>
            <w:pPr>
              <w:ind w:left="530"/>
              <w:spacing w:before="8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208" w:type="dxa"/>
            <w:vAlign w:val="top"/>
          </w:tcPr>
          <w:p>
            <w:pPr>
              <w:ind w:left="571"/>
              <w:spacing w:before="8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129" w:type="dxa"/>
            <w:vAlign w:val="top"/>
          </w:tcPr>
          <w:p>
            <w:pPr>
              <w:ind w:firstLine="173"/>
              <w:spacing w:before="39" w:line="241" w:lineRule="exact"/>
              <w:rPr/>
            </w:pPr>
            <w:r>
              <w:rPr>
                <w:position w:val="-4"/>
              </w:rPr>
              <w:pict>
                <v:shape id="_x0000_s780" style="mso-position-vertical-relative:line;mso-position-horizontal-relative:char;width:38.75pt;height:12.05pt;" fillcolor="#D9D9D9" filled="true" stroked="false" type="#_x0000_t202">
                  <v:fill on="true"/>
                  <v:stroke on="false"/>
                  <v:path/>
                  <v:imagedata o:title=""/>
                  <o:lock v:ext="edit" aspectratio="false"/>
                  <v:textbox inset="0mm,0mm,0mm,0mm">
                    <w:txbxContent>
                      <w:p>
                        <w:pPr>
                          <w:spacing w:before="51"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rPr>
                          <w:t>7.</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rPr>
                          <w:t>14E-05</w:t>
                        </w:r>
                      </w:p>
                    </w:txbxContent>
                  </v:textbox>
                </v:shape>
              </w:pict>
            </w:r>
          </w:p>
        </w:tc>
        <w:tc>
          <w:tcPr>
            <w:tcW w:w="1099" w:type="dxa"/>
            <w:vAlign w:val="top"/>
          </w:tcPr>
          <w:p>
            <w:pPr>
              <w:ind w:firstLine="362"/>
              <w:spacing w:before="39" w:line="241" w:lineRule="exact"/>
              <w:rPr/>
            </w:pPr>
            <w:r>
              <w:rPr>
                <w:position w:val="-4"/>
              </w:rPr>
              <w:pict>
                <v:shape id="_x0000_s782" style="mso-position-vertical-relative:line;mso-position-horizontal-relative:char;width:18.45pt;height:12.05pt;" fillcolor="#D9D9D9" filled="true" stroked="false" type="#_x0000_t202">
                  <v:fill on="true"/>
                  <v:stroke on="false"/>
                  <v:path/>
                  <v:imagedata o:title=""/>
                  <o:lock v:ext="edit" aspectratio="false"/>
                  <v:textbox inset="0mm,0mm,0mm,0mm">
                    <w:txbxContent>
                      <w:p>
                        <w:pPr>
                          <w:spacing w:before="51"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xbxContent>
                  </v:textbox>
                </v:shape>
              </w:pict>
            </w:r>
          </w:p>
        </w:tc>
        <w:tc>
          <w:tcPr>
            <w:tcW w:w="1329" w:type="dxa"/>
            <w:vAlign w:val="top"/>
          </w:tcPr>
          <w:p>
            <w:pPr>
              <w:ind w:firstLine="274"/>
              <w:spacing w:before="39" w:line="241" w:lineRule="exact"/>
              <w:rPr/>
            </w:pPr>
            <w:r>
              <w:rPr>
                <w:position w:val="-4"/>
              </w:rPr>
              <w:pict>
                <v:shape id="_x0000_s784" style="mso-position-vertical-relative:line;mso-position-horizontal-relative:char;width:38.75pt;height:12.05pt;" fillcolor="#D9D9D9" filled="true" stroked="false" type="#_x0000_t202">
                  <v:fill on="true"/>
                  <v:stroke on="false"/>
                  <v:path/>
                  <v:imagedata o:title=""/>
                  <o:lock v:ext="edit" aspectratio="false"/>
                  <v:textbox inset="0mm,0mm,0mm,0mm">
                    <w:txbxContent>
                      <w:p>
                        <w:pPr>
                          <w:ind w:right="1"/>
                          <w:spacing w:before="51"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1.45E-02</w:t>
                        </w:r>
                      </w:p>
                    </w:txbxContent>
                  </v:textbox>
                </v:shape>
              </w:pict>
            </w:r>
          </w:p>
        </w:tc>
        <w:tc>
          <w:tcPr>
            <w:tcW w:w="1114" w:type="dxa"/>
            <w:vAlign w:val="top"/>
          </w:tcPr>
          <w:p>
            <w:pPr>
              <w:ind w:firstLine="371"/>
              <w:spacing w:before="39" w:line="241" w:lineRule="exact"/>
              <w:rPr/>
            </w:pPr>
            <w:r>
              <w:rPr>
                <w:position w:val="-4"/>
              </w:rPr>
              <w:pict>
                <v:shape id="_x0000_s786" style="mso-position-vertical-relative:line;mso-position-horizontal-relative:char;width:18.4pt;height:12.05pt;" fillcolor="#D9D9D9" filled="true" stroked="false" type="#_x0000_t202">
                  <v:fill on="true"/>
                  <v:stroke on="false"/>
                  <v:path/>
                  <v:imagedata o:title=""/>
                  <o:lock v:ext="edit" aspectratio="false"/>
                  <v:textbox inset="0mm,0mm,0mm,0mm">
                    <w:txbxContent>
                      <w:p>
                        <w:pPr>
                          <w:spacing w:before="51"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2.90</w:t>
                        </w:r>
                      </w:p>
                    </w:txbxContent>
                  </v:textbox>
                </v:shape>
              </w:pict>
            </w:r>
          </w:p>
        </w:tc>
        <w:tc>
          <w:tcPr>
            <w:tcW w:w="1181" w:type="dxa"/>
            <w:vAlign w:val="top"/>
          </w:tcPr>
          <w:p>
            <w:pPr>
              <w:ind w:firstLine="201"/>
              <w:spacing w:before="39" w:line="241" w:lineRule="exact"/>
              <w:rPr/>
            </w:pPr>
            <w:r>
              <w:rPr>
                <w:position w:val="-4"/>
              </w:rPr>
              <w:pict>
                <v:shape id="_x0000_s788" style="mso-position-vertical-relative:line;mso-position-horizontal-relative:char;width:38.8pt;height:12.05pt;" fillcolor="#D9D9D9" filled="true" stroked="false" type="#_x0000_t202">
                  <v:fill on="true"/>
                  <v:stroke on="false"/>
                  <v:path/>
                  <v:imagedata o:title=""/>
                  <o:lock v:ext="edit" aspectratio="false"/>
                  <v:textbox inset="0mm,0mm,0mm,0mm">
                    <w:txbxContent>
                      <w:p>
                        <w:pPr>
                          <w:spacing w:before="51"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1.01E-02</w:t>
                        </w:r>
                      </w:p>
                    </w:txbxContent>
                  </v:textbox>
                </v:shape>
              </w:pict>
            </w:r>
          </w:p>
        </w:tc>
        <w:tc>
          <w:tcPr>
            <w:tcW w:w="1413" w:type="dxa"/>
            <w:vAlign w:val="top"/>
          </w:tcPr>
          <w:p>
            <w:pPr>
              <w:ind w:firstLine="519"/>
              <w:spacing w:before="39" w:line="241" w:lineRule="exact"/>
              <w:rPr/>
            </w:pPr>
            <w:r>
              <w:rPr>
                <w:position w:val="-4"/>
              </w:rPr>
              <w:pict>
                <v:shape id="_x0000_s790" style="mso-position-vertical-relative:line;mso-position-horizontal-relative:char;width:18.45pt;height:12.05pt;" fillcolor="#D9D9D9" filled="true" stroked="false" type="#_x0000_t202">
                  <v:fill on="true"/>
                  <v:stroke on="false"/>
                  <v:path/>
                  <v:imagedata o:title=""/>
                  <o:lock v:ext="edit" aspectratio="false"/>
                  <v:textbox inset="0mm,0mm,0mm,0mm">
                    <w:txbxContent>
                      <w:p>
                        <w:pPr>
                          <w:spacing w:before="51"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5.06</w:t>
                        </w:r>
                      </w:p>
                    </w:txbxContent>
                  </v:textbox>
                </v:shape>
              </w:pict>
            </w:r>
          </w:p>
        </w:tc>
      </w:tr>
      <w:tr>
        <w:trPr>
          <w:trHeight w:val="317" w:hRule="atLeast"/>
        </w:trPr>
        <w:tc>
          <w:tcPr>
            <w:tcW w:w="851" w:type="dxa"/>
            <w:vAlign w:val="top"/>
          </w:tcPr>
          <w:p>
            <w:pPr>
              <w:ind w:left="23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1200</w:t>
            </w:r>
          </w:p>
        </w:tc>
        <w:tc>
          <w:tcPr>
            <w:tcW w:w="1120" w:type="dxa"/>
            <w:vAlign w:val="top"/>
          </w:tcPr>
          <w:p>
            <w:pPr>
              <w:ind w:left="17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2.88E-04</w:t>
            </w:r>
          </w:p>
        </w:tc>
        <w:tc>
          <w:tcPr>
            <w:tcW w:w="1037" w:type="dxa"/>
            <w:vAlign w:val="top"/>
          </w:tcPr>
          <w:p>
            <w:pPr>
              <w:ind w:left="33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1123" w:type="dxa"/>
            <w:vAlign w:val="top"/>
          </w:tcPr>
          <w:p>
            <w:pPr>
              <w:ind w:left="17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7.85E-05</w:t>
            </w:r>
          </w:p>
        </w:tc>
        <w:tc>
          <w:tcPr>
            <w:tcW w:w="1040" w:type="dxa"/>
            <w:vAlign w:val="top"/>
          </w:tcPr>
          <w:p>
            <w:pPr>
              <w:ind w:left="33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c>
          <w:tcPr>
            <w:tcW w:w="1128" w:type="dxa"/>
            <w:vAlign w:val="top"/>
          </w:tcPr>
          <w:p>
            <w:pPr>
              <w:ind w:left="17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2.21E-03</w:t>
            </w:r>
          </w:p>
        </w:tc>
        <w:tc>
          <w:tcPr>
            <w:tcW w:w="1208" w:type="dxa"/>
            <w:vAlign w:val="top"/>
          </w:tcPr>
          <w:p>
            <w:pPr>
              <w:ind w:left="44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9"/>
              </w:rPr>
              <w:t>1.</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9"/>
              </w:rPr>
              <w:t>11</w:t>
            </w:r>
          </w:p>
        </w:tc>
        <w:tc>
          <w:tcPr>
            <w:tcW w:w="1129" w:type="dxa"/>
            <w:vAlign w:val="top"/>
          </w:tcPr>
          <w:p>
            <w:pPr>
              <w:ind w:left="18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6.26E-05</w:t>
            </w:r>
          </w:p>
        </w:tc>
        <w:tc>
          <w:tcPr>
            <w:tcW w:w="1099" w:type="dxa"/>
            <w:vAlign w:val="top"/>
          </w:tcPr>
          <w:p>
            <w:pPr>
              <w:ind w:left="37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29" w:type="dxa"/>
            <w:vAlign w:val="top"/>
          </w:tcPr>
          <w:p>
            <w:pPr>
              <w:ind w:left="29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1.27E-02</w:t>
            </w:r>
          </w:p>
        </w:tc>
        <w:tc>
          <w:tcPr>
            <w:tcW w:w="1114" w:type="dxa"/>
            <w:vAlign w:val="top"/>
          </w:tcPr>
          <w:p>
            <w:pPr>
              <w:ind w:left="37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2.55</w:t>
            </w:r>
          </w:p>
        </w:tc>
        <w:tc>
          <w:tcPr>
            <w:tcW w:w="1181" w:type="dxa"/>
            <w:vAlign w:val="top"/>
          </w:tcPr>
          <w:p>
            <w:pPr>
              <w:ind w:left="21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8.87E-03</w:t>
            </w:r>
          </w:p>
        </w:tc>
        <w:tc>
          <w:tcPr>
            <w:tcW w:w="1413" w:type="dxa"/>
            <w:vAlign w:val="top"/>
          </w:tcPr>
          <w:p>
            <w:pPr>
              <w:ind w:left="52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4.43</w:t>
            </w:r>
          </w:p>
        </w:tc>
      </w:tr>
      <w:tr>
        <w:trPr>
          <w:trHeight w:val="317" w:hRule="atLeast"/>
        </w:trPr>
        <w:tc>
          <w:tcPr>
            <w:tcW w:w="851" w:type="dxa"/>
            <w:vAlign w:val="top"/>
          </w:tcPr>
          <w:p>
            <w:pPr>
              <w:ind w:left="237"/>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1400</w:t>
            </w:r>
          </w:p>
        </w:tc>
        <w:tc>
          <w:tcPr>
            <w:tcW w:w="1120" w:type="dxa"/>
            <w:vAlign w:val="top"/>
          </w:tcPr>
          <w:p>
            <w:pPr>
              <w:ind w:left="17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2.43E-04</w:t>
            </w:r>
          </w:p>
        </w:tc>
        <w:tc>
          <w:tcPr>
            <w:tcW w:w="1037" w:type="dxa"/>
            <w:vAlign w:val="top"/>
          </w:tcPr>
          <w:p>
            <w:pPr>
              <w:ind w:left="337"/>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0.05</w:t>
            </w:r>
          </w:p>
        </w:tc>
        <w:tc>
          <w:tcPr>
            <w:tcW w:w="1123" w:type="dxa"/>
            <w:vAlign w:val="top"/>
          </w:tcPr>
          <w:p>
            <w:pPr>
              <w:ind w:left="177"/>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6.64E-05</w:t>
            </w:r>
          </w:p>
        </w:tc>
        <w:tc>
          <w:tcPr>
            <w:tcW w:w="1040" w:type="dxa"/>
            <w:vAlign w:val="top"/>
          </w:tcPr>
          <w:p>
            <w:pPr>
              <w:ind w:left="339"/>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128" w:type="dxa"/>
            <w:vAlign w:val="top"/>
          </w:tcPr>
          <w:p>
            <w:pPr>
              <w:ind w:left="195"/>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1.87E-03</w:t>
            </w:r>
          </w:p>
        </w:tc>
        <w:tc>
          <w:tcPr>
            <w:tcW w:w="1208" w:type="dxa"/>
            <w:vAlign w:val="top"/>
          </w:tcPr>
          <w:p>
            <w:pPr>
              <w:ind w:left="425"/>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0.94</w:t>
            </w:r>
          </w:p>
        </w:tc>
        <w:tc>
          <w:tcPr>
            <w:tcW w:w="1129" w:type="dxa"/>
            <w:vAlign w:val="top"/>
          </w:tcPr>
          <w:p>
            <w:pPr>
              <w:ind w:left="184"/>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5.98E-05</w:t>
            </w:r>
          </w:p>
        </w:tc>
        <w:tc>
          <w:tcPr>
            <w:tcW w:w="1099" w:type="dxa"/>
            <w:vAlign w:val="top"/>
          </w:tcPr>
          <w:p>
            <w:pPr>
              <w:ind w:left="370"/>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29" w:type="dxa"/>
            <w:vAlign w:val="top"/>
          </w:tcPr>
          <w:p>
            <w:pPr>
              <w:ind w:left="299"/>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1.22E-02</w:t>
            </w:r>
          </w:p>
        </w:tc>
        <w:tc>
          <w:tcPr>
            <w:tcW w:w="1114" w:type="dxa"/>
            <w:vAlign w:val="top"/>
          </w:tcPr>
          <w:p>
            <w:pPr>
              <w:ind w:left="375"/>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2.43</w:t>
            </w:r>
          </w:p>
        </w:tc>
        <w:tc>
          <w:tcPr>
            <w:tcW w:w="1181" w:type="dxa"/>
            <w:vAlign w:val="top"/>
          </w:tcPr>
          <w:p>
            <w:pPr>
              <w:ind w:left="215"/>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8.48E-03</w:t>
            </w:r>
          </w:p>
        </w:tc>
        <w:tc>
          <w:tcPr>
            <w:tcW w:w="1413" w:type="dxa"/>
            <w:vAlign w:val="top"/>
          </w:tcPr>
          <w:p>
            <w:pPr>
              <w:ind w:left="52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4.24</w:t>
            </w:r>
          </w:p>
        </w:tc>
      </w:tr>
      <w:tr>
        <w:trPr>
          <w:trHeight w:val="317" w:hRule="atLeast"/>
        </w:trPr>
        <w:tc>
          <w:tcPr>
            <w:tcW w:w="851" w:type="dxa"/>
            <w:vAlign w:val="top"/>
          </w:tcPr>
          <w:p>
            <w:pPr>
              <w:ind w:left="23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1600</w:t>
            </w:r>
          </w:p>
        </w:tc>
        <w:tc>
          <w:tcPr>
            <w:tcW w:w="1120" w:type="dxa"/>
            <w:vAlign w:val="top"/>
          </w:tcPr>
          <w:p>
            <w:pPr>
              <w:ind w:left="17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r>
              <w:rPr>
                <w:rFonts w:ascii="Times New Roman" w:hAnsi="Times New Roman" w:eastAsia="Times New Roman" w:cs="Times New Roman"/>
                <w:sz w:val="20"/>
                <w:szCs w:val="20"/>
                <w:spacing w:val="-21"/>
              </w:rPr>
              <w:t xml:space="preserve"> </w:t>
            </w:r>
            <w:r>
              <w:rPr>
                <w:rFonts w:ascii="Times New Roman" w:hAnsi="Times New Roman" w:eastAsia="Times New Roman" w:cs="Times New Roman"/>
                <w:sz w:val="20"/>
                <w:szCs w:val="20"/>
              </w:rPr>
              <w:t>13E-04</w:t>
            </w:r>
          </w:p>
        </w:tc>
        <w:tc>
          <w:tcPr>
            <w:tcW w:w="1037" w:type="dxa"/>
            <w:vAlign w:val="top"/>
          </w:tcPr>
          <w:p>
            <w:pPr>
              <w:ind w:left="33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0.05</w:t>
            </w:r>
          </w:p>
        </w:tc>
        <w:tc>
          <w:tcPr>
            <w:tcW w:w="1123" w:type="dxa"/>
            <w:vAlign w:val="top"/>
          </w:tcPr>
          <w:p>
            <w:pPr>
              <w:ind w:left="17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5.80E-05</w:t>
            </w:r>
          </w:p>
        </w:tc>
        <w:tc>
          <w:tcPr>
            <w:tcW w:w="1040" w:type="dxa"/>
            <w:vAlign w:val="top"/>
          </w:tcPr>
          <w:p>
            <w:pPr>
              <w:ind w:left="33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128" w:type="dxa"/>
            <w:vAlign w:val="top"/>
          </w:tcPr>
          <w:p>
            <w:pPr>
              <w:ind w:left="19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1.64E-03</w:t>
            </w:r>
          </w:p>
        </w:tc>
        <w:tc>
          <w:tcPr>
            <w:tcW w:w="1208" w:type="dxa"/>
            <w:vAlign w:val="top"/>
          </w:tcPr>
          <w:p>
            <w:pPr>
              <w:ind w:left="42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0.82</w:t>
            </w:r>
          </w:p>
        </w:tc>
        <w:tc>
          <w:tcPr>
            <w:tcW w:w="1129" w:type="dxa"/>
            <w:vAlign w:val="top"/>
          </w:tcPr>
          <w:p>
            <w:pPr>
              <w:ind w:left="18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rPr>
              <w:t>15E-05</w:t>
            </w:r>
          </w:p>
        </w:tc>
        <w:tc>
          <w:tcPr>
            <w:tcW w:w="1099" w:type="dxa"/>
            <w:vAlign w:val="top"/>
          </w:tcPr>
          <w:p>
            <w:pPr>
              <w:ind w:left="37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29" w:type="dxa"/>
            <w:vAlign w:val="top"/>
          </w:tcPr>
          <w:p>
            <w:pPr>
              <w:ind w:left="29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1.05E-02</w:t>
            </w:r>
          </w:p>
        </w:tc>
        <w:tc>
          <w:tcPr>
            <w:tcW w:w="1114" w:type="dxa"/>
            <w:vAlign w:val="top"/>
          </w:tcPr>
          <w:p>
            <w:pPr>
              <w:ind w:left="37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2.09</w:t>
            </w:r>
          </w:p>
        </w:tc>
        <w:tc>
          <w:tcPr>
            <w:tcW w:w="1181" w:type="dxa"/>
            <w:vAlign w:val="top"/>
          </w:tcPr>
          <w:p>
            <w:pPr>
              <w:ind w:left="21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7.29E-03</w:t>
            </w:r>
          </w:p>
        </w:tc>
        <w:tc>
          <w:tcPr>
            <w:tcW w:w="1413" w:type="dxa"/>
            <w:vAlign w:val="top"/>
          </w:tcPr>
          <w:p>
            <w:pPr>
              <w:ind w:left="52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3.65</w:t>
            </w:r>
          </w:p>
        </w:tc>
      </w:tr>
      <w:tr>
        <w:trPr>
          <w:trHeight w:val="317" w:hRule="atLeast"/>
        </w:trPr>
        <w:tc>
          <w:tcPr>
            <w:tcW w:w="851" w:type="dxa"/>
            <w:vAlign w:val="top"/>
          </w:tcPr>
          <w:p>
            <w:pPr>
              <w:ind w:left="23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1800</w:t>
            </w:r>
          </w:p>
        </w:tc>
        <w:tc>
          <w:tcPr>
            <w:tcW w:w="1120" w:type="dxa"/>
            <w:vAlign w:val="top"/>
          </w:tcPr>
          <w:p>
            <w:pPr>
              <w:ind w:left="19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1.89E-04</w:t>
            </w:r>
          </w:p>
        </w:tc>
        <w:tc>
          <w:tcPr>
            <w:tcW w:w="1037" w:type="dxa"/>
            <w:vAlign w:val="top"/>
          </w:tcPr>
          <w:p>
            <w:pPr>
              <w:ind w:left="33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0.04</w:t>
            </w:r>
          </w:p>
        </w:tc>
        <w:tc>
          <w:tcPr>
            <w:tcW w:w="1123" w:type="dxa"/>
            <w:vAlign w:val="top"/>
          </w:tcPr>
          <w:p>
            <w:pPr>
              <w:ind w:left="17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rPr>
              <w:t>16E-05</w:t>
            </w:r>
          </w:p>
        </w:tc>
        <w:tc>
          <w:tcPr>
            <w:tcW w:w="1040" w:type="dxa"/>
            <w:vAlign w:val="top"/>
          </w:tcPr>
          <w:p>
            <w:pPr>
              <w:ind w:left="33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128" w:type="dxa"/>
            <w:vAlign w:val="top"/>
          </w:tcPr>
          <w:p>
            <w:pPr>
              <w:ind w:left="19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1.45E-03</w:t>
            </w:r>
          </w:p>
        </w:tc>
        <w:tc>
          <w:tcPr>
            <w:tcW w:w="1208" w:type="dxa"/>
            <w:vAlign w:val="top"/>
          </w:tcPr>
          <w:p>
            <w:pPr>
              <w:ind w:left="42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0.73</w:t>
            </w:r>
          </w:p>
        </w:tc>
        <w:tc>
          <w:tcPr>
            <w:tcW w:w="1129" w:type="dxa"/>
            <w:vAlign w:val="top"/>
          </w:tcPr>
          <w:p>
            <w:pPr>
              <w:ind w:left="17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4.40E-05</w:t>
            </w:r>
          </w:p>
        </w:tc>
        <w:tc>
          <w:tcPr>
            <w:tcW w:w="1099" w:type="dxa"/>
            <w:vAlign w:val="top"/>
          </w:tcPr>
          <w:p>
            <w:pPr>
              <w:ind w:left="37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29" w:type="dxa"/>
            <w:vAlign w:val="top"/>
          </w:tcPr>
          <w:p>
            <w:pPr>
              <w:ind w:left="28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8.95E-03</w:t>
            </w:r>
          </w:p>
        </w:tc>
        <w:tc>
          <w:tcPr>
            <w:tcW w:w="1114" w:type="dxa"/>
            <w:vAlign w:val="top"/>
          </w:tcPr>
          <w:p>
            <w:pPr>
              <w:ind w:left="39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1.79</w:t>
            </w:r>
          </w:p>
        </w:tc>
        <w:tc>
          <w:tcPr>
            <w:tcW w:w="1181" w:type="dxa"/>
            <w:vAlign w:val="top"/>
          </w:tcPr>
          <w:p>
            <w:pPr>
              <w:ind w:left="21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6.24E-03</w:t>
            </w:r>
          </w:p>
        </w:tc>
        <w:tc>
          <w:tcPr>
            <w:tcW w:w="1413" w:type="dxa"/>
            <w:vAlign w:val="top"/>
          </w:tcPr>
          <w:p>
            <w:pPr>
              <w:ind w:left="52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3.</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12</w:t>
            </w:r>
          </w:p>
        </w:tc>
      </w:tr>
      <w:tr>
        <w:trPr>
          <w:trHeight w:val="317" w:hRule="atLeast"/>
        </w:trPr>
        <w:tc>
          <w:tcPr>
            <w:tcW w:w="851" w:type="dxa"/>
            <w:vAlign w:val="top"/>
          </w:tcPr>
          <w:p>
            <w:pPr>
              <w:ind w:left="21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2000</w:t>
            </w:r>
          </w:p>
        </w:tc>
        <w:tc>
          <w:tcPr>
            <w:tcW w:w="1120" w:type="dxa"/>
            <w:vAlign w:val="top"/>
          </w:tcPr>
          <w:p>
            <w:pPr>
              <w:ind w:left="19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1.70E-04</w:t>
            </w:r>
          </w:p>
        </w:tc>
        <w:tc>
          <w:tcPr>
            <w:tcW w:w="1037" w:type="dxa"/>
            <w:vAlign w:val="top"/>
          </w:tcPr>
          <w:p>
            <w:pPr>
              <w:ind w:left="33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0.04</w:t>
            </w:r>
          </w:p>
        </w:tc>
        <w:tc>
          <w:tcPr>
            <w:tcW w:w="1123" w:type="dxa"/>
            <w:vAlign w:val="top"/>
          </w:tcPr>
          <w:p>
            <w:pPr>
              <w:ind w:left="17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4.64E-05</w:t>
            </w:r>
          </w:p>
        </w:tc>
        <w:tc>
          <w:tcPr>
            <w:tcW w:w="1040" w:type="dxa"/>
            <w:vAlign w:val="top"/>
          </w:tcPr>
          <w:p>
            <w:pPr>
              <w:ind w:left="33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128" w:type="dxa"/>
            <w:vAlign w:val="top"/>
          </w:tcPr>
          <w:p>
            <w:pPr>
              <w:ind w:left="19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1.31E-03</w:t>
            </w:r>
          </w:p>
        </w:tc>
        <w:tc>
          <w:tcPr>
            <w:tcW w:w="1208" w:type="dxa"/>
            <w:vAlign w:val="top"/>
          </w:tcPr>
          <w:p>
            <w:pPr>
              <w:ind w:left="42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0.65</w:t>
            </w:r>
          </w:p>
        </w:tc>
        <w:tc>
          <w:tcPr>
            <w:tcW w:w="1129" w:type="dxa"/>
            <w:vAlign w:val="top"/>
          </w:tcPr>
          <w:p>
            <w:pPr>
              <w:ind w:left="17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4.</w:t>
            </w:r>
            <w:r>
              <w:rPr>
                <w:rFonts w:ascii="Times New Roman" w:hAnsi="Times New Roman" w:eastAsia="Times New Roman" w:cs="Times New Roman"/>
                <w:sz w:val="20"/>
                <w:szCs w:val="20"/>
                <w:spacing w:val="-20"/>
              </w:rPr>
              <w:t xml:space="preserve"> </w:t>
            </w:r>
            <w:r>
              <w:rPr>
                <w:rFonts w:ascii="Times New Roman" w:hAnsi="Times New Roman" w:eastAsia="Times New Roman" w:cs="Times New Roman"/>
                <w:sz w:val="20"/>
                <w:szCs w:val="20"/>
              </w:rPr>
              <w:t>11E-05</w:t>
            </w:r>
          </w:p>
        </w:tc>
        <w:tc>
          <w:tcPr>
            <w:tcW w:w="1099" w:type="dxa"/>
            <w:vAlign w:val="top"/>
          </w:tcPr>
          <w:p>
            <w:pPr>
              <w:ind w:left="37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29" w:type="dxa"/>
            <w:vAlign w:val="top"/>
          </w:tcPr>
          <w:p>
            <w:pPr>
              <w:ind w:left="28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8.37E-03</w:t>
            </w:r>
          </w:p>
        </w:tc>
        <w:tc>
          <w:tcPr>
            <w:tcW w:w="1114" w:type="dxa"/>
            <w:vAlign w:val="top"/>
          </w:tcPr>
          <w:p>
            <w:pPr>
              <w:ind w:left="39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1.67</w:t>
            </w:r>
          </w:p>
        </w:tc>
        <w:tc>
          <w:tcPr>
            <w:tcW w:w="1181" w:type="dxa"/>
            <w:vAlign w:val="top"/>
          </w:tcPr>
          <w:p>
            <w:pPr>
              <w:ind w:left="21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5.83E-03</w:t>
            </w:r>
          </w:p>
        </w:tc>
        <w:tc>
          <w:tcPr>
            <w:tcW w:w="1413" w:type="dxa"/>
            <w:vAlign w:val="top"/>
          </w:tcPr>
          <w:p>
            <w:pPr>
              <w:ind w:left="52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2.91</w:t>
            </w:r>
          </w:p>
        </w:tc>
      </w:tr>
      <w:tr>
        <w:trPr>
          <w:trHeight w:val="317" w:hRule="atLeast"/>
        </w:trPr>
        <w:tc>
          <w:tcPr>
            <w:tcW w:w="851" w:type="dxa"/>
            <w:vAlign w:val="top"/>
          </w:tcPr>
          <w:p>
            <w:pPr>
              <w:ind w:left="21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2400</w:t>
            </w:r>
          </w:p>
        </w:tc>
        <w:tc>
          <w:tcPr>
            <w:tcW w:w="1120" w:type="dxa"/>
            <w:vAlign w:val="top"/>
          </w:tcPr>
          <w:p>
            <w:pPr>
              <w:ind w:left="19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1.41E-04</w:t>
            </w:r>
          </w:p>
        </w:tc>
        <w:tc>
          <w:tcPr>
            <w:tcW w:w="1037" w:type="dxa"/>
            <w:vAlign w:val="top"/>
          </w:tcPr>
          <w:p>
            <w:pPr>
              <w:ind w:left="33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w:t>
            </w:r>
          </w:p>
        </w:tc>
        <w:tc>
          <w:tcPr>
            <w:tcW w:w="1123" w:type="dxa"/>
            <w:vAlign w:val="top"/>
          </w:tcPr>
          <w:p>
            <w:pPr>
              <w:ind w:left="17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3.86E-05</w:t>
            </w:r>
          </w:p>
        </w:tc>
        <w:tc>
          <w:tcPr>
            <w:tcW w:w="1040" w:type="dxa"/>
            <w:vAlign w:val="top"/>
          </w:tcPr>
          <w:p>
            <w:pPr>
              <w:ind w:left="33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128" w:type="dxa"/>
            <w:vAlign w:val="top"/>
          </w:tcPr>
          <w:p>
            <w:pPr>
              <w:ind w:left="19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1.09E-03</w:t>
            </w:r>
          </w:p>
        </w:tc>
        <w:tc>
          <w:tcPr>
            <w:tcW w:w="1208" w:type="dxa"/>
            <w:vAlign w:val="top"/>
          </w:tcPr>
          <w:p>
            <w:pPr>
              <w:ind w:left="42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0.54</w:t>
            </w:r>
          </w:p>
        </w:tc>
        <w:tc>
          <w:tcPr>
            <w:tcW w:w="1129" w:type="dxa"/>
            <w:vAlign w:val="top"/>
          </w:tcPr>
          <w:p>
            <w:pPr>
              <w:ind w:left="18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3.48E-05</w:t>
            </w:r>
          </w:p>
        </w:tc>
        <w:tc>
          <w:tcPr>
            <w:tcW w:w="1099" w:type="dxa"/>
            <w:vAlign w:val="top"/>
          </w:tcPr>
          <w:p>
            <w:pPr>
              <w:ind w:left="37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29" w:type="dxa"/>
            <w:vAlign w:val="top"/>
          </w:tcPr>
          <w:p>
            <w:pPr>
              <w:ind w:left="28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7.08E-03</w:t>
            </w:r>
          </w:p>
        </w:tc>
        <w:tc>
          <w:tcPr>
            <w:tcW w:w="1114" w:type="dxa"/>
            <w:vAlign w:val="top"/>
          </w:tcPr>
          <w:p>
            <w:pPr>
              <w:ind w:left="39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1.42</w:t>
            </w:r>
          </w:p>
        </w:tc>
        <w:tc>
          <w:tcPr>
            <w:tcW w:w="1181" w:type="dxa"/>
            <w:vAlign w:val="top"/>
          </w:tcPr>
          <w:p>
            <w:pPr>
              <w:ind w:left="20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4.94E-03</w:t>
            </w:r>
          </w:p>
        </w:tc>
        <w:tc>
          <w:tcPr>
            <w:tcW w:w="1413" w:type="dxa"/>
            <w:vAlign w:val="top"/>
          </w:tcPr>
          <w:p>
            <w:pPr>
              <w:ind w:left="52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2.47</w:t>
            </w:r>
          </w:p>
        </w:tc>
      </w:tr>
      <w:tr>
        <w:trPr>
          <w:trHeight w:val="317" w:hRule="atLeast"/>
        </w:trPr>
        <w:tc>
          <w:tcPr>
            <w:tcW w:w="851" w:type="dxa"/>
            <w:vAlign w:val="top"/>
          </w:tcPr>
          <w:p>
            <w:pPr>
              <w:ind w:left="21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2500</w:t>
            </w:r>
          </w:p>
        </w:tc>
        <w:tc>
          <w:tcPr>
            <w:tcW w:w="1120" w:type="dxa"/>
            <w:vAlign w:val="top"/>
          </w:tcPr>
          <w:p>
            <w:pPr>
              <w:ind w:left="19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1.35E-04</w:t>
            </w:r>
          </w:p>
        </w:tc>
        <w:tc>
          <w:tcPr>
            <w:tcW w:w="1037" w:type="dxa"/>
            <w:vAlign w:val="top"/>
          </w:tcPr>
          <w:p>
            <w:pPr>
              <w:ind w:left="33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w:t>
            </w:r>
          </w:p>
        </w:tc>
        <w:tc>
          <w:tcPr>
            <w:tcW w:w="1123" w:type="dxa"/>
            <w:vAlign w:val="top"/>
          </w:tcPr>
          <w:p>
            <w:pPr>
              <w:ind w:left="17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3.69E-05</w:t>
            </w:r>
          </w:p>
        </w:tc>
        <w:tc>
          <w:tcPr>
            <w:tcW w:w="1040" w:type="dxa"/>
            <w:vAlign w:val="top"/>
          </w:tcPr>
          <w:p>
            <w:pPr>
              <w:ind w:left="33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128" w:type="dxa"/>
            <w:vAlign w:val="top"/>
          </w:tcPr>
          <w:p>
            <w:pPr>
              <w:ind w:left="19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1.04E-03</w:t>
            </w:r>
          </w:p>
        </w:tc>
        <w:tc>
          <w:tcPr>
            <w:tcW w:w="1208" w:type="dxa"/>
            <w:vAlign w:val="top"/>
          </w:tcPr>
          <w:p>
            <w:pPr>
              <w:ind w:left="42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0.52</w:t>
            </w:r>
          </w:p>
        </w:tc>
        <w:tc>
          <w:tcPr>
            <w:tcW w:w="1129" w:type="dxa"/>
            <w:vAlign w:val="top"/>
          </w:tcPr>
          <w:p>
            <w:pPr>
              <w:ind w:left="18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3.33E-05</w:t>
            </w:r>
          </w:p>
        </w:tc>
        <w:tc>
          <w:tcPr>
            <w:tcW w:w="1099" w:type="dxa"/>
            <w:vAlign w:val="top"/>
          </w:tcPr>
          <w:p>
            <w:pPr>
              <w:ind w:left="37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29" w:type="dxa"/>
            <w:vAlign w:val="top"/>
          </w:tcPr>
          <w:p>
            <w:pPr>
              <w:ind w:left="28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6.76E-03</w:t>
            </w:r>
          </w:p>
        </w:tc>
        <w:tc>
          <w:tcPr>
            <w:tcW w:w="1114" w:type="dxa"/>
            <w:vAlign w:val="top"/>
          </w:tcPr>
          <w:p>
            <w:pPr>
              <w:ind w:left="39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1.35</w:t>
            </w:r>
          </w:p>
        </w:tc>
        <w:tc>
          <w:tcPr>
            <w:tcW w:w="1181" w:type="dxa"/>
            <w:vAlign w:val="top"/>
          </w:tcPr>
          <w:p>
            <w:pPr>
              <w:ind w:left="20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4.71E-03</w:t>
            </w:r>
          </w:p>
        </w:tc>
        <w:tc>
          <w:tcPr>
            <w:tcW w:w="1413" w:type="dxa"/>
            <w:vAlign w:val="top"/>
          </w:tcPr>
          <w:p>
            <w:pPr>
              <w:ind w:left="52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2.36</w:t>
            </w:r>
          </w:p>
        </w:tc>
      </w:tr>
      <w:tr>
        <w:trPr>
          <w:trHeight w:val="317" w:hRule="atLeast"/>
        </w:trPr>
        <w:tc>
          <w:tcPr>
            <w:tcW w:w="851" w:type="dxa"/>
            <w:vAlign w:val="top"/>
            <w:vMerge w:val="restart"/>
            <w:tcBorders>
              <w:bottom w:val="nil"/>
            </w:tcBorders>
          </w:tcPr>
          <w:p>
            <w:pPr>
              <w:pStyle w:val="TableText"/>
              <w:ind w:left="117"/>
              <w:spacing w:before="217" w:line="228" w:lineRule="auto"/>
              <w:rPr/>
            </w:pPr>
            <w:r>
              <w:rPr>
                <w:spacing w:val="6"/>
              </w:rPr>
              <w:t>最大值</w:t>
            </w:r>
          </w:p>
        </w:tc>
        <w:tc>
          <w:tcPr>
            <w:tcW w:w="6656" w:type="dxa"/>
            <w:vAlign w:val="top"/>
            <w:gridSpan w:val="6"/>
          </w:tcPr>
          <w:p>
            <w:pPr>
              <w:ind w:left="3144"/>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70m</w:t>
            </w:r>
          </w:p>
        </w:tc>
        <w:tc>
          <w:tcPr>
            <w:tcW w:w="7265" w:type="dxa"/>
            <w:vAlign w:val="top"/>
            <w:gridSpan w:val="6"/>
          </w:tcPr>
          <w:p>
            <w:pPr>
              <w:ind w:left="336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1180m</w:t>
            </w:r>
          </w:p>
        </w:tc>
      </w:tr>
      <w:tr>
        <w:trPr>
          <w:trHeight w:val="317" w:hRule="atLeast"/>
        </w:trPr>
        <w:tc>
          <w:tcPr>
            <w:tcW w:w="851" w:type="dxa"/>
            <w:vAlign w:val="top"/>
            <w:vMerge w:val="continue"/>
            <w:tcBorders>
              <w:top w:val="nil"/>
            </w:tcBorders>
          </w:tcPr>
          <w:p>
            <w:pPr>
              <w:rPr>
                <w:rFonts w:ascii="Arial"/>
                <w:sz w:val="21"/>
              </w:rPr>
            </w:pPr>
            <w:r/>
          </w:p>
        </w:tc>
        <w:tc>
          <w:tcPr>
            <w:tcW w:w="1120" w:type="dxa"/>
            <w:vAlign w:val="top"/>
          </w:tcPr>
          <w:p>
            <w:pPr>
              <w:ind w:left="17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6.04E-04</w:t>
            </w:r>
          </w:p>
        </w:tc>
        <w:tc>
          <w:tcPr>
            <w:tcW w:w="1037" w:type="dxa"/>
            <w:vAlign w:val="top"/>
          </w:tcPr>
          <w:p>
            <w:pPr>
              <w:ind w:left="33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0.13</w:t>
            </w:r>
          </w:p>
        </w:tc>
        <w:tc>
          <w:tcPr>
            <w:tcW w:w="1123" w:type="dxa"/>
            <w:vAlign w:val="top"/>
          </w:tcPr>
          <w:p>
            <w:pPr>
              <w:ind w:left="19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1.65E-04</w:t>
            </w:r>
          </w:p>
        </w:tc>
        <w:tc>
          <w:tcPr>
            <w:tcW w:w="1040" w:type="dxa"/>
            <w:vAlign w:val="top"/>
          </w:tcPr>
          <w:p>
            <w:pPr>
              <w:ind w:left="33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w:t>
            </w:r>
          </w:p>
        </w:tc>
        <w:tc>
          <w:tcPr>
            <w:tcW w:w="1128" w:type="dxa"/>
            <w:vAlign w:val="top"/>
          </w:tcPr>
          <w:p>
            <w:pPr>
              <w:ind w:left="17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4.64E-03</w:t>
            </w:r>
          </w:p>
        </w:tc>
        <w:tc>
          <w:tcPr>
            <w:tcW w:w="1208" w:type="dxa"/>
            <w:vAlign w:val="top"/>
          </w:tcPr>
          <w:p>
            <w:pPr>
              <w:ind w:left="42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2.32</w:t>
            </w:r>
          </w:p>
        </w:tc>
        <w:tc>
          <w:tcPr>
            <w:tcW w:w="1129" w:type="dxa"/>
            <w:vAlign w:val="top"/>
          </w:tcPr>
          <w:p>
            <w:pPr>
              <w:ind w:left="18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rPr>
              <w:t>14E-05</w:t>
            </w:r>
          </w:p>
        </w:tc>
        <w:tc>
          <w:tcPr>
            <w:tcW w:w="1099" w:type="dxa"/>
            <w:vAlign w:val="top"/>
          </w:tcPr>
          <w:p>
            <w:pPr>
              <w:ind w:left="37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c>
          <w:tcPr>
            <w:tcW w:w="1329" w:type="dxa"/>
            <w:vAlign w:val="top"/>
          </w:tcPr>
          <w:p>
            <w:pPr>
              <w:ind w:left="29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1.45E-02</w:t>
            </w:r>
          </w:p>
        </w:tc>
        <w:tc>
          <w:tcPr>
            <w:tcW w:w="1114" w:type="dxa"/>
            <w:vAlign w:val="top"/>
          </w:tcPr>
          <w:p>
            <w:pPr>
              <w:ind w:left="37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2.90</w:t>
            </w:r>
          </w:p>
        </w:tc>
        <w:tc>
          <w:tcPr>
            <w:tcW w:w="1181" w:type="dxa"/>
            <w:vAlign w:val="top"/>
          </w:tcPr>
          <w:p>
            <w:pPr>
              <w:ind w:left="22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1.01E-02</w:t>
            </w:r>
          </w:p>
        </w:tc>
        <w:tc>
          <w:tcPr>
            <w:tcW w:w="1413" w:type="dxa"/>
            <w:vAlign w:val="top"/>
          </w:tcPr>
          <w:p>
            <w:pPr>
              <w:ind w:left="52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5.06</w:t>
            </w:r>
          </w:p>
        </w:tc>
      </w:tr>
      <w:tr>
        <w:trPr>
          <w:trHeight w:val="321" w:hRule="atLeast"/>
        </w:trPr>
        <w:tc>
          <w:tcPr>
            <w:tcW w:w="851" w:type="dxa"/>
            <w:vAlign w:val="top"/>
          </w:tcPr>
          <w:p>
            <w:pPr>
              <w:ind w:left="15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D10%</w:t>
            </w:r>
          </w:p>
        </w:tc>
        <w:tc>
          <w:tcPr>
            <w:tcW w:w="6656" w:type="dxa"/>
            <w:vAlign w:val="top"/>
            <w:gridSpan w:val="6"/>
          </w:tcPr>
          <w:p>
            <w:pPr>
              <w:pStyle w:val="TableText"/>
              <w:ind w:left="3021"/>
              <w:spacing w:before="56" w:line="228" w:lineRule="auto"/>
              <w:rPr/>
            </w:pPr>
            <w:r>
              <w:rPr>
                <w:spacing w:val="5"/>
              </w:rPr>
              <w:t>未出现</w:t>
            </w:r>
          </w:p>
        </w:tc>
        <w:tc>
          <w:tcPr>
            <w:tcW w:w="7265" w:type="dxa"/>
            <w:vAlign w:val="top"/>
            <w:gridSpan w:val="6"/>
          </w:tcPr>
          <w:p>
            <w:pPr>
              <w:pStyle w:val="TableText"/>
              <w:ind w:left="3325"/>
              <w:spacing w:before="56" w:line="228" w:lineRule="auto"/>
              <w:rPr/>
            </w:pPr>
            <w:r>
              <w:rPr>
                <w:spacing w:val="5"/>
              </w:rPr>
              <w:t>未出现</w:t>
            </w:r>
          </w:p>
        </w:tc>
      </w:tr>
    </w:tbl>
    <w:p>
      <w:pPr>
        <w:ind w:left="109"/>
        <w:spacing w:before="240" w:line="227" w:lineRule="auto"/>
        <w:rPr>
          <w:rFonts w:ascii="Times New Roman" w:hAnsi="Times New Roman" w:eastAsia="Times New Roman" w:cs="Times New Roman"/>
          <w:sz w:val="18"/>
          <w:szCs w:val="18"/>
        </w:rPr>
      </w:pPr>
      <w:r>
        <w:rPr>
          <w:rFonts w:ascii="SimSun" w:hAnsi="SimSun" w:eastAsia="SimSun" w:cs="SimSun"/>
          <w:sz w:val="19"/>
          <w:szCs w:val="19"/>
          <w:spacing w:val="6"/>
        </w:rPr>
        <w:t>锡林郭勒盟中安环境技术咨询有限责任公司      </w:t>
      </w:r>
      <w:r>
        <w:rPr>
          <w:rFonts w:ascii="SimSun" w:hAnsi="SimSun" w:eastAsia="SimSun" w:cs="SimSun"/>
          <w:sz w:val="19"/>
          <w:szCs w:val="19"/>
          <w:spacing w:val="5"/>
        </w:rPr>
        <w:t xml:space="preserve">                            </w:t>
      </w:r>
      <w:r>
        <w:rPr>
          <w:rFonts w:ascii="Times New Roman" w:hAnsi="Times New Roman" w:eastAsia="Times New Roman" w:cs="Times New Roman"/>
          <w:sz w:val="18"/>
          <w:szCs w:val="18"/>
          <w:spacing w:val="5"/>
          <w:position w:val="2"/>
        </w:rPr>
        <w:t>161</w:t>
      </w:r>
    </w:p>
    <w:p>
      <w:pPr>
        <w:spacing w:line="227" w:lineRule="auto"/>
        <w:sectPr>
          <w:headerReference w:type="default" r:id="rId213"/>
          <w:footerReference w:type="default" r:id="rId3"/>
          <w:pgSz w:w="16839" w:h="11906"/>
          <w:pgMar w:top="1141" w:right="1030" w:bottom="400" w:left="1030" w:header="825" w:footer="0" w:gutter="0"/>
        </w:sectPr>
        <w:rPr>
          <w:rFonts w:ascii="Times New Roman" w:hAnsi="Times New Roman" w:eastAsia="Times New Roman" w:cs="Times New Roman"/>
          <w:sz w:val="18"/>
          <w:szCs w:val="18"/>
        </w:rPr>
      </w:pPr>
    </w:p>
    <w:p>
      <w:pPr>
        <w:ind w:firstLine="110"/>
        <w:spacing w:line="52" w:lineRule="exact"/>
        <w:rPr/>
      </w:pPr>
      <w:r>
        <w:rPr>
          <w:position w:val="-1"/>
        </w:rPr>
        <w:pict>
          <v:shape id="_x0000_s792" style="mso-position-vertical-relative:line;mso-position-horizontal-relative:char;width:728.5pt;height:2.65pt;" fillcolor="#000000" filled="true" stroked="false" coordsize="14570,53" coordorigin="0,0" path="m,l14570,0l14570,28l0,28l0,0xem0,38l14570,38l14570,52l0,52l0,38xe"/>
        </w:pict>
      </w:r>
    </w:p>
    <w:p>
      <w:pPr>
        <w:ind w:left="4836"/>
        <w:spacing w:before="195" w:line="218"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5.1-12      </w:t>
      </w:r>
      <w:r>
        <w:rPr>
          <w:rFonts w:ascii="SimSun" w:hAnsi="SimSun" w:eastAsia="SimSun" w:cs="SimSun"/>
          <w:sz w:val="24"/>
          <w:szCs w:val="24"/>
          <w:b/>
          <w:bCs/>
          <w:spacing w:val="-2"/>
        </w:rPr>
        <w:t>无组织大气污染物估算模式预测结果</w:t>
      </w:r>
    </w:p>
    <w:p>
      <w:pPr>
        <w:spacing w:line="22" w:lineRule="exact"/>
        <w:rPr/>
      </w:pPr>
      <w:r/>
    </w:p>
    <w:tbl>
      <w:tblPr>
        <w:tblStyle w:val="TableNormal"/>
        <w:tblW w:w="1478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69"/>
        <w:gridCol w:w="1135"/>
        <w:gridCol w:w="1041"/>
        <w:gridCol w:w="1135"/>
        <w:gridCol w:w="1043"/>
        <w:gridCol w:w="1135"/>
        <w:gridCol w:w="1182"/>
        <w:gridCol w:w="1135"/>
        <w:gridCol w:w="1106"/>
        <w:gridCol w:w="1335"/>
        <w:gridCol w:w="1250"/>
        <w:gridCol w:w="1233"/>
        <w:gridCol w:w="1186"/>
      </w:tblGrid>
      <w:tr>
        <w:trPr>
          <w:trHeight w:val="321" w:hRule="atLeast"/>
        </w:trPr>
        <w:tc>
          <w:tcPr>
            <w:tcW w:w="869" w:type="dxa"/>
            <w:vAlign w:val="top"/>
            <w:vMerge w:val="restart"/>
            <w:tcBorders>
              <w:bottom w:val="nil"/>
            </w:tcBorders>
          </w:tcPr>
          <w:p>
            <w:pPr>
              <w:spacing w:line="316" w:lineRule="auto"/>
              <w:rPr>
                <w:rFonts w:ascii="Arial"/>
                <w:sz w:val="21"/>
              </w:rPr>
            </w:pPr>
            <w:r/>
          </w:p>
          <w:p>
            <w:pPr>
              <w:pStyle w:val="TableText"/>
              <w:ind w:left="123"/>
              <w:spacing w:before="65" w:line="228" w:lineRule="auto"/>
              <w:rPr/>
            </w:pPr>
            <w:r>
              <w:rPr>
                <w:spacing w:val="7"/>
              </w:rPr>
              <w:t>源中心</w:t>
            </w:r>
          </w:p>
          <w:p>
            <w:pPr>
              <w:pStyle w:val="TableText"/>
              <w:ind w:left="131"/>
              <w:spacing w:before="65" w:line="228" w:lineRule="auto"/>
              <w:rPr/>
            </w:pPr>
            <w:r>
              <w:rPr>
                <w:spacing w:val="4"/>
              </w:rPr>
              <w:t>下风向</w:t>
            </w:r>
          </w:p>
          <w:p>
            <w:pPr>
              <w:pStyle w:val="TableText"/>
              <w:ind w:left="126"/>
              <w:spacing w:before="64" w:line="228" w:lineRule="auto"/>
              <w:rPr>
                <w:rFonts w:ascii="Times New Roman" w:hAnsi="Times New Roman" w:eastAsia="Times New Roman" w:cs="Times New Roman"/>
              </w:rPr>
            </w:pPr>
            <w:r>
              <w:rPr>
                <w:spacing w:val="4"/>
              </w:rPr>
              <w:t>距离</w:t>
            </w:r>
            <w:r>
              <w:rPr>
                <w:spacing w:val="-42"/>
              </w:rPr>
              <w:t xml:space="preserve"> </w:t>
            </w:r>
            <w:r>
              <w:rPr>
                <w:rFonts w:ascii="Times New Roman" w:hAnsi="Times New Roman" w:eastAsia="Times New Roman" w:cs="Times New Roman"/>
                <w:spacing w:val="4"/>
              </w:rPr>
              <w:t>D</w:t>
            </w:r>
          </w:p>
          <w:p>
            <w:pPr>
              <w:pStyle w:val="TableText"/>
              <w:ind w:left="158"/>
              <w:spacing w:before="64"/>
              <w:rPr/>
            </w:pPr>
            <w:r>
              <w:rPr>
                <w:spacing w:val="-1"/>
              </w:rPr>
              <w:t>（</w:t>
            </w:r>
            <w:r>
              <w:rPr>
                <w:rFonts w:ascii="Times New Roman" w:hAnsi="Times New Roman" w:eastAsia="Times New Roman" w:cs="Times New Roman"/>
                <w:spacing w:val="-1"/>
              </w:rPr>
              <w:t>m</w:t>
            </w:r>
            <w:r>
              <w:rPr>
                <w:spacing w:val="-1"/>
              </w:rPr>
              <w:t>）</w:t>
            </w:r>
          </w:p>
        </w:tc>
        <w:tc>
          <w:tcPr>
            <w:tcW w:w="6671" w:type="dxa"/>
            <w:vAlign w:val="top"/>
            <w:gridSpan w:val="6"/>
          </w:tcPr>
          <w:p>
            <w:pPr>
              <w:pStyle w:val="TableText"/>
              <w:ind w:left="2394"/>
              <w:spacing w:before="55" w:line="228" w:lineRule="auto"/>
              <w:rPr/>
            </w:pPr>
            <w:r>
              <w:rPr>
                <w:spacing w:val="7"/>
              </w:rPr>
              <w:t>洗毛车间（东厂区）</w:t>
            </w:r>
          </w:p>
        </w:tc>
        <w:tc>
          <w:tcPr>
            <w:tcW w:w="7245" w:type="dxa"/>
            <w:vAlign w:val="top"/>
            <w:gridSpan w:val="6"/>
          </w:tcPr>
          <w:p>
            <w:pPr>
              <w:pStyle w:val="TableText"/>
              <w:ind w:left="2680"/>
              <w:spacing w:before="55" w:line="228" w:lineRule="auto"/>
              <w:rPr/>
            </w:pPr>
            <w:r>
              <w:rPr>
                <w:spacing w:val="7"/>
              </w:rPr>
              <w:t>洗毛车间（西厂区）</w:t>
            </w:r>
          </w:p>
        </w:tc>
      </w:tr>
      <w:tr>
        <w:trPr>
          <w:trHeight w:val="316" w:hRule="atLeast"/>
        </w:trPr>
        <w:tc>
          <w:tcPr>
            <w:tcW w:w="869" w:type="dxa"/>
            <w:vAlign w:val="top"/>
            <w:vMerge w:val="continue"/>
            <w:tcBorders>
              <w:top w:val="nil"/>
              <w:bottom w:val="nil"/>
            </w:tcBorders>
          </w:tcPr>
          <w:p>
            <w:pPr>
              <w:rPr>
                <w:rFonts w:ascii="Arial"/>
                <w:sz w:val="21"/>
              </w:rPr>
            </w:pPr>
            <w:r/>
          </w:p>
        </w:tc>
        <w:tc>
          <w:tcPr>
            <w:tcW w:w="2176" w:type="dxa"/>
            <w:vAlign w:val="top"/>
            <w:gridSpan w:val="2"/>
          </w:tcPr>
          <w:p>
            <w:pPr>
              <w:ind w:left="909"/>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TSP</w:t>
            </w:r>
          </w:p>
        </w:tc>
        <w:tc>
          <w:tcPr>
            <w:tcW w:w="2178" w:type="dxa"/>
            <w:vAlign w:val="top"/>
            <w:gridSpan w:val="2"/>
          </w:tcPr>
          <w:p>
            <w:pPr>
              <w:ind w:left="897"/>
              <w:spacing w:before="90"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2317" w:type="dxa"/>
            <w:vAlign w:val="top"/>
            <w:gridSpan w:val="2"/>
          </w:tcPr>
          <w:p>
            <w:pPr>
              <w:ind w:left="990"/>
              <w:spacing w:before="87"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2241" w:type="dxa"/>
            <w:vAlign w:val="top"/>
            <w:gridSpan w:val="2"/>
          </w:tcPr>
          <w:p>
            <w:pPr>
              <w:ind w:left="942"/>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TSP</w:t>
            </w:r>
          </w:p>
        </w:tc>
        <w:tc>
          <w:tcPr>
            <w:tcW w:w="2585" w:type="dxa"/>
            <w:vAlign w:val="top"/>
            <w:gridSpan w:val="2"/>
          </w:tcPr>
          <w:p>
            <w:pPr>
              <w:ind w:left="1101"/>
              <w:spacing w:before="90"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2419" w:type="dxa"/>
            <w:vAlign w:val="top"/>
            <w:gridSpan w:val="2"/>
          </w:tcPr>
          <w:p>
            <w:pPr>
              <w:ind w:left="1042"/>
              <w:spacing w:before="87"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r>
      <w:tr>
        <w:trPr>
          <w:trHeight w:val="628" w:hRule="atLeast"/>
        </w:trPr>
        <w:tc>
          <w:tcPr>
            <w:tcW w:w="869" w:type="dxa"/>
            <w:vAlign w:val="top"/>
            <w:vMerge w:val="continue"/>
            <w:tcBorders>
              <w:top w:val="nil"/>
              <w:bottom w:val="nil"/>
            </w:tcBorders>
          </w:tcPr>
          <w:p>
            <w:pPr>
              <w:rPr>
                <w:rFonts w:ascii="Arial"/>
                <w:sz w:val="21"/>
              </w:rPr>
            </w:pPr>
            <w:r/>
          </w:p>
        </w:tc>
        <w:tc>
          <w:tcPr>
            <w:tcW w:w="1135" w:type="dxa"/>
            <w:vAlign w:val="top"/>
            <w:vMerge w:val="restart"/>
            <w:tcBorders>
              <w:bottom w:val="nil"/>
            </w:tcBorders>
          </w:tcPr>
          <w:p>
            <w:pPr>
              <w:pStyle w:val="TableText"/>
              <w:ind w:left="152"/>
              <w:spacing w:before="213" w:line="228" w:lineRule="auto"/>
              <w:rPr/>
            </w:pPr>
            <w:r>
              <w:rPr>
                <w:spacing w:val="6"/>
              </w:rPr>
              <w:t>预测浓度</w:t>
            </w:r>
          </w:p>
          <w:p>
            <w:pPr>
              <w:ind w:left="471"/>
              <w:spacing w:before="9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Ci</w:t>
            </w:r>
          </w:p>
          <w:p>
            <w:pPr>
              <w:pStyle w:val="TableText"/>
              <w:ind w:left="165"/>
              <w:spacing w:before="89" w:line="221" w:lineRule="auto"/>
              <w:rPr>
                <w:rFonts w:ascii="Times New Roman" w:hAnsi="Times New Roman" w:eastAsia="Times New Roman" w:cs="Times New Roman"/>
              </w:rPr>
            </w:pPr>
            <w:r>
              <w:rPr>
                <w:spacing w:val="3"/>
              </w:rPr>
              <w:t>（</w:t>
            </w:r>
            <w:r>
              <w:rPr>
                <w:rFonts w:ascii="Times New Roman" w:hAnsi="Times New Roman" w:eastAsia="Times New Roman" w:cs="Times New Roman"/>
              </w:rPr>
              <w:t>mg</w:t>
            </w:r>
            <w:r>
              <w:rPr>
                <w:rFonts w:ascii="Times New Roman" w:hAnsi="Times New Roman" w:eastAsia="Times New Roman" w:cs="Times New Roman"/>
                <w:spacing w:val="3"/>
              </w:rPr>
              <w:t>/m³)</w:t>
            </w:r>
          </w:p>
        </w:tc>
        <w:tc>
          <w:tcPr>
            <w:tcW w:w="1041" w:type="dxa"/>
            <w:vAlign w:val="top"/>
          </w:tcPr>
          <w:p>
            <w:pPr>
              <w:pStyle w:val="TableText"/>
              <w:ind w:left="212"/>
              <w:spacing w:before="52" w:line="230" w:lineRule="auto"/>
              <w:rPr/>
            </w:pPr>
            <w:r>
              <w:rPr>
                <w:spacing w:val="5"/>
              </w:rPr>
              <w:t>二级浓</w:t>
            </w:r>
          </w:p>
          <w:p>
            <w:pPr>
              <w:pStyle w:val="TableText"/>
              <w:ind w:left="207"/>
              <w:spacing w:before="62" w:line="228" w:lineRule="auto"/>
              <w:rPr/>
            </w:pPr>
            <w:r>
              <w:rPr>
                <w:spacing w:val="7"/>
              </w:rPr>
              <w:t>度限值</w:t>
            </w:r>
          </w:p>
        </w:tc>
        <w:tc>
          <w:tcPr>
            <w:tcW w:w="1135" w:type="dxa"/>
            <w:vAlign w:val="top"/>
            <w:vMerge w:val="restart"/>
            <w:tcBorders>
              <w:bottom w:val="nil"/>
            </w:tcBorders>
          </w:tcPr>
          <w:p>
            <w:pPr>
              <w:pStyle w:val="TableText"/>
              <w:ind w:left="153"/>
              <w:spacing w:before="213" w:line="228" w:lineRule="auto"/>
              <w:rPr/>
            </w:pPr>
            <w:r>
              <w:rPr>
                <w:spacing w:val="6"/>
              </w:rPr>
              <w:t>预测浓度</w:t>
            </w:r>
          </w:p>
          <w:p>
            <w:pPr>
              <w:ind w:left="470"/>
              <w:spacing w:before="9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Ci</w:t>
            </w:r>
          </w:p>
          <w:p>
            <w:pPr>
              <w:pStyle w:val="TableText"/>
              <w:ind w:left="164"/>
              <w:spacing w:before="89" w:line="221" w:lineRule="auto"/>
              <w:rPr>
                <w:rFonts w:ascii="Times New Roman" w:hAnsi="Times New Roman" w:eastAsia="Times New Roman" w:cs="Times New Roman"/>
              </w:rPr>
            </w:pPr>
            <w:r>
              <w:rPr>
                <w:spacing w:val="4"/>
              </w:rPr>
              <w:t>（</w:t>
            </w:r>
            <w:r>
              <w:rPr>
                <w:rFonts w:ascii="Times New Roman" w:hAnsi="Times New Roman" w:eastAsia="Times New Roman" w:cs="Times New Roman"/>
              </w:rPr>
              <w:t>mg</w:t>
            </w:r>
            <w:r>
              <w:rPr>
                <w:rFonts w:ascii="Times New Roman" w:hAnsi="Times New Roman" w:eastAsia="Times New Roman" w:cs="Times New Roman"/>
                <w:spacing w:val="4"/>
              </w:rPr>
              <w:t>/m³)</w:t>
            </w:r>
          </w:p>
        </w:tc>
        <w:tc>
          <w:tcPr>
            <w:tcW w:w="1043" w:type="dxa"/>
            <w:vAlign w:val="top"/>
          </w:tcPr>
          <w:p>
            <w:pPr>
              <w:pStyle w:val="TableText"/>
              <w:ind w:left="212"/>
              <w:spacing w:before="52" w:line="230" w:lineRule="auto"/>
              <w:rPr/>
            </w:pPr>
            <w:r>
              <w:rPr>
                <w:spacing w:val="5"/>
              </w:rPr>
              <w:t>二级浓</w:t>
            </w:r>
          </w:p>
          <w:p>
            <w:pPr>
              <w:pStyle w:val="TableText"/>
              <w:ind w:left="208"/>
              <w:spacing w:before="62" w:line="228" w:lineRule="auto"/>
              <w:rPr/>
            </w:pPr>
            <w:r>
              <w:rPr>
                <w:spacing w:val="7"/>
              </w:rPr>
              <w:t>度限值</w:t>
            </w:r>
          </w:p>
        </w:tc>
        <w:tc>
          <w:tcPr>
            <w:tcW w:w="1135" w:type="dxa"/>
            <w:vAlign w:val="top"/>
            <w:vMerge w:val="restart"/>
            <w:tcBorders>
              <w:bottom w:val="nil"/>
            </w:tcBorders>
          </w:tcPr>
          <w:p>
            <w:pPr>
              <w:pStyle w:val="TableText"/>
              <w:ind w:left="152"/>
              <w:spacing w:before="213" w:line="228" w:lineRule="auto"/>
              <w:rPr/>
            </w:pPr>
            <w:r>
              <w:rPr>
                <w:spacing w:val="7"/>
              </w:rPr>
              <w:t>预测浓度</w:t>
            </w:r>
          </w:p>
          <w:p>
            <w:pPr>
              <w:ind w:left="471"/>
              <w:spacing w:before="9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Ci</w:t>
            </w:r>
          </w:p>
          <w:p>
            <w:pPr>
              <w:pStyle w:val="TableText"/>
              <w:ind w:left="165"/>
              <w:spacing w:before="89" w:line="221" w:lineRule="auto"/>
              <w:rPr>
                <w:rFonts w:ascii="Times New Roman" w:hAnsi="Times New Roman" w:eastAsia="Times New Roman" w:cs="Times New Roman"/>
              </w:rPr>
            </w:pPr>
            <w:r>
              <w:rPr>
                <w:spacing w:val="3"/>
              </w:rPr>
              <w:t>（</w:t>
            </w:r>
            <w:r>
              <w:rPr>
                <w:rFonts w:ascii="Times New Roman" w:hAnsi="Times New Roman" w:eastAsia="Times New Roman" w:cs="Times New Roman"/>
              </w:rPr>
              <w:t>mg</w:t>
            </w:r>
            <w:r>
              <w:rPr>
                <w:rFonts w:ascii="Times New Roman" w:hAnsi="Times New Roman" w:eastAsia="Times New Roman" w:cs="Times New Roman"/>
                <w:spacing w:val="3"/>
              </w:rPr>
              <w:t>/m³)</w:t>
            </w:r>
          </w:p>
        </w:tc>
        <w:tc>
          <w:tcPr>
            <w:tcW w:w="1182" w:type="dxa"/>
            <w:vAlign w:val="top"/>
          </w:tcPr>
          <w:p>
            <w:pPr>
              <w:pStyle w:val="TableText"/>
              <w:ind w:left="178"/>
              <w:spacing w:before="52" w:line="228" w:lineRule="auto"/>
              <w:rPr/>
            </w:pPr>
            <w:r>
              <w:rPr>
                <w:spacing w:val="6"/>
              </w:rPr>
              <w:t>二级浓度</w:t>
            </w:r>
          </w:p>
          <w:p>
            <w:pPr>
              <w:pStyle w:val="TableText"/>
              <w:ind w:left="400"/>
              <w:spacing w:before="64" w:line="228" w:lineRule="auto"/>
              <w:rPr/>
            </w:pPr>
            <w:r>
              <w:rPr>
                <w:spacing w:val="-3"/>
              </w:rPr>
              <w:t>限值</w:t>
            </w:r>
          </w:p>
        </w:tc>
        <w:tc>
          <w:tcPr>
            <w:tcW w:w="1135" w:type="dxa"/>
            <w:vAlign w:val="top"/>
            <w:vMerge w:val="restart"/>
            <w:tcBorders>
              <w:bottom w:val="nil"/>
            </w:tcBorders>
          </w:tcPr>
          <w:p>
            <w:pPr>
              <w:pStyle w:val="TableText"/>
              <w:ind w:left="153"/>
              <w:spacing w:before="213" w:line="228" w:lineRule="auto"/>
              <w:rPr/>
            </w:pPr>
            <w:r>
              <w:rPr>
                <w:spacing w:val="6"/>
              </w:rPr>
              <w:t>预测浓度</w:t>
            </w:r>
          </w:p>
          <w:p>
            <w:pPr>
              <w:ind w:left="472"/>
              <w:spacing w:before="9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Ci</w:t>
            </w:r>
          </w:p>
          <w:p>
            <w:pPr>
              <w:pStyle w:val="TableText"/>
              <w:ind w:left="166"/>
              <w:spacing w:before="89" w:line="221" w:lineRule="auto"/>
              <w:rPr>
                <w:rFonts w:ascii="Times New Roman" w:hAnsi="Times New Roman" w:eastAsia="Times New Roman" w:cs="Times New Roman"/>
              </w:rPr>
            </w:pPr>
            <w:r>
              <w:rPr>
                <w:spacing w:val="3"/>
              </w:rPr>
              <w:t>（</w:t>
            </w:r>
            <w:r>
              <w:rPr>
                <w:rFonts w:ascii="Times New Roman" w:hAnsi="Times New Roman" w:eastAsia="Times New Roman" w:cs="Times New Roman"/>
              </w:rPr>
              <w:t>mg</w:t>
            </w:r>
            <w:r>
              <w:rPr>
                <w:rFonts w:ascii="Times New Roman" w:hAnsi="Times New Roman" w:eastAsia="Times New Roman" w:cs="Times New Roman"/>
                <w:spacing w:val="3"/>
              </w:rPr>
              <w:t>/m³)</w:t>
            </w:r>
          </w:p>
        </w:tc>
        <w:tc>
          <w:tcPr>
            <w:tcW w:w="1106" w:type="dxa"/>
            <w:vAlign w:val="top"/>
          </w:tcPr>
          <w:p>
            <w:pPr>
              <w:pStyle w:val="TableText"/>
              <w:ind w:left="141"/>
              <w:spacing w:before="52" w:line="228" w:lineRule="auto"/>
              <w:rPr/>
            </w:pPr>
            <w:r>
              <w:rPr>
                <w:spacing w:val="6"/>
              </w:rPr>
              <w:t>二级浓度</w:t>
            </w:r>
          </w:p>
          <w:p>
            <w:pPr>
              <w:pStyle w:val="TableText"/>
              <w:ind w:left="363"/>
              <w:spacing w:before="64" w:line="228" w:lineRule="auto"/>
              <w:rPr/>
            </w:pPr>
            <w:r>
              <w:rPr>
                <w:spacing w:val="-3"/>
              </w:rPr>
              <w:t>限值</w:t>
            </w:r>
          </w:p>
        </w:tc>
        <w:tc>
          <w:tcPr>
            <w:tcW w:w="1335" w:type="dxa"/>
            <w:vAlign w:val="top"/>
            <w:vMerge w:val="restart"/>
            <w:tcBorders>
              <w:bottom w:val="nil"/>
            </w:tcBorders>
          </w:tcPr>
          <w:p>
            <w:pPr>
              <w:spacing w:line="302" w:lineRule="auto"/>
              <w:rPr>
                <w:rFonts w:ascii="Arial"/>
                <w:sz w:val="21"/>
              </w:rPr>
            </w:pPr>
            <w:r/>
          </w:p>
          <w:p>
            <w:pPr>
              <w:pStyle w:val="TableText"/>
              <w:ind w:left="127"/>
              <w:spacing w:before="65" w:line="228" w:lineRule="auto"/>
              <w:rPr>
                <w:rFonts w:ascii="Times New Roman" w:hAnsi="Times New Roman" w:eastAsia="Times New Roman" w:cs="Times New Roman"/>
              </w:rPr>
            </w:pPr>
            <w:r>
              <w:rPr>
                <w:spacing w:val="7"/>
              </w:rPr>
              <w:t>预测浓度</w:t>
            </w:r>
            <w:r>
              <w:rPr>
                <w:spacing w:val="-38"/>
              </w:rPr>
              <w:t xml:space="preserve"> </w:t>
            </w:r>
            <w:r>
              <w:rPr>
                <w:rFonts w:ascii="Times New Roman" w:hAnsi="Times New Roman" w:eastAsia="Times New Roman" w:cs="Times New Roman"/>
              </w:rPr>
              <w:t>Ci</w:t>
            </w:r>
          </w:p>
          <w:p>
            <w:pPr>
              <w:pStyle w:val="TableText"/>
              <w:ind w:left="265"/>
              <w:spacing w:before="64" w:line="221" w:lineRule="auto"/>
              <w:rPr>
                <w:rFonts w:ascii="Times New Roman" w:hAnsi="Times New Roman" w:eastAsia="Times New Roman" w:cs="Times New Roman"/>
              </w:rPr>
            </w:pPr>
            <w:r>
              <w:rPr>
                <w:spacing w:val="4"/>
              </w:rPr>
              <w:t>（</w:t>
            </w:r>
            <w:r>
              <w:rPr>
                <w:rFonts w:ascii="Times New Roman" w:hAnsi="Times New Roman" w:eastAsia="Times New Roman" w:cs="Times New Roman"/>
              </w:rPr>
              <w:t>mg</w:t>
            </w:r>
            <w:r>
              <w:rPr>
                <w:rFonts w:ascii="Times New Roman" w:hAnsi="Times New Roman" w:eastAsia="Times New Roman" w:cs="Times New Roman"/>
                <w:spacing w:val="4"/>
              </w:rPr>
              <w:t>/m³)</w:t>
            </w:r>
          </w:p>
        </w:tc>
        <w:tc>
          <w:tcPr>
            <w:tcW w:w="1250" w:type="dxa"/>
            <w:vAlign w:val="top"/>
          </w:tcPr>
          <w:p>
            <w:pPr>
              <w:pStyle w:val="TableText"/>
              <w:ind w:left="215"/>
              <w:spacing w:before="52" w:line="228" w:lineRule="auto"/>
              <w:rPr/>
            </w:pPr>
            <w:r>
              <w:rPr>
                <w:spacing w:val="6"/>
              </w:rPr>
              <w:t>二级浓度</w:t>
            </w:r>
          </w:p>
          <w:p>
            <w:pPr>
              <w:pStyle w:val="TableText"/>
              <w:ind w:left="435"/>
              <w:spacing w:before="64" w:line="228" w:lineRule="auto"/>
              <w:rPr/>
            </w:pPr>
            <w:r>
              <w:rPr>
                <w:spacing w:val="-3"/>
              </w:rPr>
              <w:t>限值</w:t>
            </w:r>
          </w:p>
        </w:tc>
        <w:tc>
          <w:tcPr>
            <w:tcW w:w="1233" w:type="dxa"/>
            <w:vAlign w:val="top"/>
            <w:vMerge w:val="restart"/>
            <w:tcBorders>
              <w:bottom w:val="nil"/>
            </w:tcBorders>
          </w:tcPr>
          <w:p>
            <w:pPr>
              <w:spacing w:line="302" w:lineRule="auto"/>
              <w:rPr>
                <w:rFonts w:ascii="Arial"/>
                <w:sz w:val="21"/>
              </w:rPr>
            </w:pPr>
            <w:r/>
          </w:p>
          <w:p>
            <w:pPr>
              <w:pStyle w:val="TableText"/>
              <w:ind w:left="113" w:right="104" w:firstLine="91"/>
              <w:spacing w:before="65" w:line="286" w:lineRule="auto"/>
              <w:rPr>
                <w:rFonts w:ascii="Times New Roman" w:hAnsi="Times New Roman" w:eastAsia="Times New Roman" w:cs="Times New Roman"/>
              </w:rPr>
            </w:pPr>
            <w:r>
              <w:rPr>
                <w:spacing w:val="7"/>
              </w:rPr>
              <w:t>预测浓度</w:t>
            </w:r>
            <w:r>
              <w:rPr/>
              <w:t xml:space="preserve">  </w:t>
            </w:r>
            <w:r>
              <w:rPr>
                <w:rFonts w:ascii="Times New Roman" w:hAnsi="Times New Roman" w:eastAsia="Times New Roman" w:cs="Times New Roman"/>
              </w:rPr>
              <w:t>Ci</w:t>
            </w:r>
            <w:r>
              <w:rPr>
                <w:spacing w:val="5"/>
              </w:rPr>
              <w:t>（</w:t>
            </w:r>
            <w:r>
              <w:rPr>
                <w:rFonts w:ascii="Times New Roman" w:hAnsi="Times New Roman" w:eastAsia="Times New Roman" w:cs="Times New Roman"/>
              </w:rPr>
              <w:t>mg</w:t>
            </w:r>
            <w:r>
              <w:rPr>
                <w:rFonts w:ascii="Times New Roman" w:hAnsi="Times New Roman" w:eastAsia="Times New Roman" w:cs="Times New Roman"/>
                <w:spacing w:val="5"/>
              </w:rPr>
              <w:t>/m³)</w:t>
            </w:r>
          </w:p>
        </w:tc>
        <w:tc>
          <w:tcPr>
            <w:tcW w:w="1186" w:type="dxa"/>
            <w:vAlign w:val="top"/>
          </w:tcPr>
          <w:p>
            <w:pPr>
              <w:pStyle w:val="TableText"/>
              <w:ind w:left="182"/>
              <w:spacing w:before="52" w:line="228" w:lineRule="auto"/>
              <w:rPr/>
            </w:pPr>
            <w:r>
              <w:rPr>
                <w:spacing w:val="6"/>
              </w:rPr>
              <w:t>二级浓度</w:t>
            </w:r>
          </w:p>
          <w:p>
            <w:pPr>
              <w:pStyle w:val="TableText"/>
              <w:ind w:left="402"/>
              <w:spacing w:before="64" w:line="228" w:lineRule="auto"/>
              <w:rPr/>
            </w:pPr>
            <w:r>
              <w:rPr>
                <w:spacing w:val="-3"/>
              </w:rPr>
              <w:t>限值</w:t>
            </w:r>
          </w:p>
        </w:tc>
      </w:tr>
      <w:tr>
        <w:trPr>
          <w:trHeight w:val="628" w:hRule="atLeast"/>
        </w:trPr>
        <w:tc>
          <w:tcPr>
            <w:tcW w:w="869" w:type="dxa"/>
            <w:vAlign w:val="top"/>
            <w:vMerge w:val="continue"/>
            <w:tcBorders>
              <w:top w:val="nil"/>
            </w:tcBorders>
          </w:tcPr>
          <w:p>
            <w:pPr>
              <w:rPr>
                <w:rFonts w:ascii="Arial"/>
                <w:sz w:val="21"/>
              </w:rPr>
            </w:pPr>
            <w:r/>
          </w:p>
        </w:tc>
        <w:tc>
          <w:tcPr>
            <w:tcW w:w="1135" w:type="dxa"/>
            <w:vAlign w:val="top"/>
            <w:vMerge w:val="continue"/>
            <w:tcBorders>
              <w:top w:val="nil"/>
            </w:tcBorders>
          </w:tcPr>
          <w:p>
            <w:pPr>
              <w:rPr>
                <w:rFonts w:ascii="Arial"/>
                <w:sz w:val="21"/>
              </w:rPr>
            </w:pPr>
            <w:r/>
          </w:p>
        </w:tc>
        <w:tc>
          <w:tcPr>
            <w:tcW w:w="1041" w:type="dxa"/>
            <w:vAlign w:val="top"/>
          </w:tcPr>
          <w:p>
            <w:pPr>
              <w:pStyle w:val="TableText"/>
              <w:ind w:left="134" w:right="155" w:firstLine="108"/>
              <w:spacing w:before="54" w:line="260" w:lineRule="auto"/>
              <w:rPr/>
            </w:pPr>
            <w:r>
              <w:rPr>
                <w:spacing w:val="-5"/>
              </w:rPr>
              <w:t>占标率</w:t>
            </w:r>
            <w:r>
              <w:rPr/>
              <w:t xml:space="preserve"> </w:t>
            </w:r>
            <w:r>
              <w:rPr>
                <w:rFonts w:ascii="Times New Roman" w:hAnsi="Times New Roman" w:eastAsia="Times New Roman" w:cs="Times New Roman"/>
              </w:rPr>
              <w:t>Pi</w:t>
            </w:r>
            <w:r>
              <w:rPr>
                <w:spacing w:val="4"/>
              </w:rPr>
              <w:t>（</w:t>
            </w:r>
            <w:r>
              <w:rPr>
                <w:rFonts w:ascii="Times New Roman" w:hAnsi="Times New Roman" w:eastAsia="Times New Roman" w:cs="Times New Roman"/>
                <w:spacing w:val="4"/>
              </w:rPr>
              <w:t>%</w:t>
            </w:r>
            <w:r>
              <w:rPr>
                <w:spacing w:val="4"/>
              </w:rPr>
              <w:t>）</w:t>
            </w:r>
          </w:p>
        </w:tc>
        <w:tc>
          <w:tcPr>
            <w:tcW w:w="1135" w:type="dxa"/>
            <w:vAlign w:val="top"/>
            <w:vMerge w:val="continue"/>
            <w:tcBorders>
              <w:top w:val="nil"/>
            </w:tcBorders>
          </w:tcPr>
          <w:p>
            <w:pPr>
              <w:rPr>
                <w:rFonts w:ascii="Arial"/>
                <w:sz w:val="21"/>
              </w:rPr>
            </w:pPr>
            <w:r/>
          </w:p>
        </w:tc>
        <w:tc>
          <w:tcPr>
            <w:tcW w:w="1043" w:type="dxa"/>
            <w:vAlign w:val="top"/>
          </w:tcPr>
          <w:p>
            <w:pPr>
              <w:pStyle w:val="TableText"/>
              <w:ind w:left="135" w:right="156" w:firstLine="108"/>
              <w:spacing w:before="54" w:line="260" w:lineRule="auto"/>
              <w:rPr/>
            </w:pPr>
            <w:r>
              <w:rPr>
                <w:spacing w:val="-5"/>
              </w:rPr>
              <w:t>占标率</w:t>
            </w:r>
            <w:r>
              <w:rPr/>
              <w:t xml:space="preserve"> </w:t>
            </w:r>
            <w:r>
              <w:rPr>
                <w:rFonts w:ascii="Times New Roman" w:hAnsi="Times New Roman" w:eastAsia="Times New Roman" w:cs="Times New Roman"/>
              </w:rPr>
              <w:t>Pi</w:t>
            </w:r>
            <w:r>
              <w:rPr>
                <w:spacing w:val="4"/>
              </w:rPr>
              <w:t>（</w:t>
            </w:r>
            <w:r>
              <w:rPr>
                <w:rFonts w:ascii="Times New Roman" w:hAnsi="Times New Roman" w:eastAsia="Times New Roman" w:cs="Times New Roman"/>
                <w:spacing w:val="4"/>
              </w:rPr>
              <w:t>%</w:t>
            </w:r>
            <w:r>
              <w:rPr>
                <w:spacing w:val="4"/>
              </w:rPr>
              <w:t>）</w:t>
            </w:r>
          </w:p>
        </w:tc>
        <w:tc>
          <w:tcPr>
            <w:tcW w:w="1135" w:type="dxa"/>
            <w:vAlign w:val="top"/>
            <w:vMerge w:val="continue"/>
            <w:tcBorders>
              <w:top w:val="nil"/>
            </w:tcBorders>
          </w:tcPr>
          <w:p>
            <w:pPr>
              <w:rPr>
                <w:rFonts w:ascii="Arial"/>
                <w:sz w:val="21"/>
              </w:rPr>
            </w:pPr>
            <w:r/>
          </w:p>
        </w:tc>
        <w:tc>
          <w:tcPr>
            <w:tcW w:w="1182" w:type="dxa"/>
            <w:vAlign w:val="top"/>
          </w:tcPr>
          <w:p>
            <w:pPr>
              <w:pStyle w:val="TableText"/>
              <w:ind w:left="199"/>
              <w:spacing w:before="55" w:line="228" w:lineRule="auto"/>
              <w:rPr>
                <w:rFonts w:ascii="Times New Roman" w:hAnsi="Times New Roman" w:eastAsia="Times New Roman" w:cs="Times New Roman"/>
              </w:rPr>
            </w:pPr>
            <w:r>
              <w:rPr>
                <w:spacing w:val="-3"/>
              </w:rPr>
              <w:t>占标率</w:t>
            </w:r>
            <w:r>
              <w:rPr>
                <w:spacing w:val="-41"/>
              </w:rPr>
              <w:t xml:space="preserve"> </w:t>
            </w:r>
            <w:r>
              <w:rPr>
                <w:rFonts w:ascii="Times New Roman" w:hAnsi="Times New Roman" w:eastAsia="Times New Roman" w:cs="Times New Roman"/>
                <w:spacing w:val="-3"/>
              </w:rPr>
              <w:t>Pi</w:t>
            </w:r>
          </w:p>
          <w:p>
            <w:pPr>
              <w:pStyle w:val="TableText"/>
              <w:ind w:left="307"/>
              <w:spacing w:before="65" w:line="231" w:lineRule="auto"/>
              <w:rPr/>
            </w:pPr>
            <w:r>
              <w:rPr/>
              <w:t>（</w:t>
            </w:r>
            <w:r>
              <w:rPr>
                <w:rFonts w:ascii="Times New Roman" w:hAnsi="Times New Roman" w:eastAsia="Times New Roman" w:cs="Times New Roman"/>
              </w:rPr>
              <w:t>%</w:t>
            </w:r>
            <w:r>
              <w:rPr/>
              <w:t>）</w:t>
            </w:r>
          </w:p>
        </w:tc>
        <w:tc>
          <w:tcPr>
            <w:tcW w:w="1135" w:type="dxa"/>
            <w:vAlign w:val="top"/>
            <w:vMerge w:val="continue"/>
            <w:tcBorders>
              <w:top w:val="nil"/>
            </w:tcBorders>
          </w:tcPr>
          <w:p>
            <w:pPr>
              <w:rPr>
                <w:rFonts w:ascii="Arial"/>
                <w:sz w:val="21"/>
              </w:rPr>
            </w:pPr>
            <w:r/>
          </w:p>
        </w:tc>
        <w:tc>
          <w:tcPr>
            <w:tcW w:w="1106" w:type="dxa"/>
            <w:vAlign w:val="top"/>
          </w:tcPr>
          <w:p>
            <w:pPr>
              <w:pStyle w:val="TableText"/>
              <w:ind w:left="162"/>
              <w:spacing w:before="55" w:line="228" w:lineRule="auto"/>
              <w:rPr>
                <w:rFonts w:ascii="Times New Roman" w:hAnsi="Times New Roman" w:eastAsia="Times New Roman" w:cs="Times New Roman"/>
              </w:rPr>
            </w:pPr>
            <w:r>
              <w:rPr>
                <w:spacing w:val="-3"/>
              </w:rPr>
              <w:t>占标率</w:t>
            </w:r>
            <w:r>
              <w:rPr>
                <w:spacing w:val="-41"/>
              </w:rPr>
              <w:t xml:space="preserve"> </w:t>
            </w:r>
            <w:r>
              <w:rPr>
                <w:rFonts w:ascii="Times New Roman" w:hAnsi="Times New Roman" w:eastAsia="Times New Roman" w:cs="Times New Roman"/>
                <w:spacing w:val="-3"/>
              </w:rPr>
              <w:t>Pi</w:t>
            </w:r>
          </w:p>
          <w:p>
            <w:pPr>
              <w:pStyle w:val="TableText"/>
              <w:ind w:left="270"/>
              <w:spacing w:before="65" w:line="231" w:lineRule="auto"/>
              <w:rPr/>
            </w:pPr>
            <w:r>
              <w:rPr>
                <w:spacing w:val="-1"/>
              </w:rPr>
              <w:t>（</w:t>
            </w:r>
            <w:r>
              <w:rPr>
                <w:rFonts w:ascii="Times New Roman" w:hAnsi="Times New Roman" w:eastAsia="Times New Roman" w:cs="Times New Roman"/>
                <w:spacing w:val="-1"/>
              </w:rPr>
              <w:t>%</w:t>
            </w:r>
            <w:r>
              <w:rPr>
                <w:spacing w:val="-1"/>
              </w:rPr>
              <w:t>）</w:t>
            </w:r>
          </w:p>
        </w:tc>
        <w:tc>
          <w:tcPr>
            <w:tcW w:w="1335" w:type="dxa"/>
            <w:vAlign w:val="top"/>
            <w:vMerge w:val="continue"/>
            <w:tcBorders>
              <w:top w:val="nil"/>
            </w:tcBorders>
          </w:tcPr>
          <w:p>
            <w:pPr>
              <w:rPr>
                <w:rFonts w:ascii="Arial"/>
                <w:sz w:val="21"/>
              </w:rPr>
            </w:pPr>
            <w:r/>
          </w:p>
        </w:tc>
        <w:tc>
          <w:tcPr>
            <w:tcW w:w="1250" w:type="dxa"/>
            <w:vAlign w:val="top"/>
          </w:tcPr>
          <w:p>
            <w:pPr>
              <w:pStyle w:val="TableText"/>
              <w:ind w:left="236"/>
              <w:spacing w:before="55" w:line="228" w:lineRule="auto"/>
              <w:rPr>
                <w:rFonts w:ascii="Times New Roman" w:hAnsi="Times New Roman" w:eastAsia="Times New Roman" w:cs="Times New Roman"/>
              </w:rPr>
            </w:pPr>
            <w:r>
              <w:rPr>
                <w:spacing w:val="-3"/>
              </w:rPr>
              <w:t>占标率</w:t>
            </w:r>
            <w:r>
              <w:rPr>
                <w:spacing w:val="-41"/>
              </w:rPr>
              <w:t xml:space="preserve"> </w:t>
            </w:r>
            <w:r>
              <w:rPr>
                <w:rFonts w:ascii="Times New Roman" w:hAnsi="Times New Roman" w:eastAsia="Times New Roman" w:cs="Times New Roman"/>
                <w:spacing w:val="-3"/>
              </w:rPr>
              <w:t>Pi</w:t>
            </w:r>
          </w:p>
          <w:p>
            <w:pPr>
              <w:pStyle w:val="TableText"/>
              <w:ind w:left="344"/>
              <w:spacing w:before="65" w:line="231" w:lineRule="auto"/>
              <w:rPr/>
            </w:pPr>
            <w:r>
              <w:rPr>
                <w:spacing w:val="-1"/>
              </w:rPr>
              <w:t>（</w:t>
            </w:r>
            <w:r>
              <w:rPr>
                <w:rFonts w:ascii="Times New Roman" w:hAnsi="Times New Roman" w:eastAsia="Times New Roman" w:cs="Times New Roman"/>
                <w:spacing w:val="-1"/>
              </w:rPr>
              <w:t>%</w:t>
            </w:r>
            <w:r>
              <w:rPr>
                <w:spacing w:val="-1"/>
              </w:rPr>
              <w:t>）</w:t>
            </w:r>
          </w:p>
        </w:tc>
        <w:tc>
          <w:tcPr>
            <w:tcW w:w="1233" w:type="dxa"/>
            <w:vAlign w:val="top"/>
            <w:vMerge w:val="continue"/>
            <w:tcBorders>
              <w:top w:val="nil"/>
            </w:tcBorders>
          </w:tcPr>
          <w:p>
            <w:pPr>
              <w:rPr>
                <w:rFonts w:ascii="Arial"/>
                <w:sz w:val="21"/>
              </w:rPr>
            </w:pPr>
            <w:r/>
          </w:p>
        </w:tc>
        <w:tc>
          <w:tcPr>
            <w:tcW w:w="1186" w:type="dxa"/>
            <w:vAlign w:val="top"/>
          </w:tcPr>
          <w:p>
            <w:pPr>
              <w:pStyle w:val="TableText"/>
              <w:ind w:left="204"/>
              <w:spacing w:before="55" w:line="228" w:lineRule="auto"/>
              <w:rPr>
                <w:rFonts w:ascii="Times New Roman" w:hAnsi="Times New Roman" w:eastAsia="Times New Roman" w:cs="Times New Roman"/>
              </w:rPr>
            </w:pPr>
            <w:r>
              <w:rPr>
                <w:spacing w:val="-3"/>
              </w:rPr>
              <w:t>占标率</w:t>
            </w:r>
            <w:r>
              <w:rPr>
                <w:spacing w:val="-41"/>
              </w:rPr>
              <w:t xml:space="preserve"> </w:t>
            </w:r>
            <w:r>
              <w:rPr>
                <w:rFonts w:ascii="Times New Roman" w:hAnsi="Times New Roman" w:eastAsia="Times New Roman" w:cs="Times New Roman"/>
                <w:spacing w:val="-3"/>
              </w:rPr>
              <w:t>Pi</w:t>
            </w:r>
          </w:p>
          <w:p>
            <w:pPr>
              <w:pStyle w:val="TableText"/>
              <w:ind w:left="311"/>
              <w:spacing w:before="65" w:line="231" w:lineRule="auto"/>
              <w:rPr/>
            </w:pPr>
            <w:r>
              <w:rPr>
                <w:spacing w:val="-1"/>
              </w:rPr>
              <w:t>（</w:t>
            </w:r>
            <w:r>
              <w:rPr>
                <w:rFonts w:ascii="Times New Roman" w:hAnsi="Times New Roman" w:eastAsia="Times New Roman" w:cs="Times New Roman"/>
                <w:spacing w:val="-1"/>
              </w:rPr>
              <w:t>%</w:t>
            </w:r>
            <w:r>
              <w:rPr>
                <w:spacing w:val="-1"/>
              </w:rPr>
              <w:t>）</w:t>
            </w:r>
          </w:p>
        </w:tc>
      </w:tr>
      <w:tr>
        <w:trPr>
          <w:trHeight w:val="316" w:hRule="atLeast"/>
        </w:trPr>
        <w:tc>
          <w:tcPr>
            <w:tcW w:w="869" w:type="dxa"/>
            <w:vAlign w:val="top"/>
          </w:tcPr>
          <w:p>
            <w:pPr>
              <w:ind w:left="35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135" w:type="dxa"/>
            <w:vAlign w:val="top"/>
          </w:tcPr>
          <w:p>
            <w:pPr>
              <w:ind w:left="15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041" w:type="dxa"/>
            <w:vAlign w:val="top"/>
          </w:tcPr>
          <w:p>
            <w:pPr>
              <w:ind w:left="34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4.67E-05</w:t>
            </w:r>
          </w:p>
        </w:tc>
        <w:tc>
          <w:tcPr>
            <w:tcW w:w="1043" w:type="dxa"/>
            <w:vAlign w:val="top"/>
          </w:tcPr>
          <w:p>
            <w:pPr>
              <w:ind w:left="34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c>
          <w:tcPr>
            <w:tcW w:w="1135" w:type="dxa"/>
            <w:vAlign w:val="top"/>
          </w:tcPr>
          <w:p>
            <w:pPr>
              <w:ind w:left="18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rPr>
              <w:t>11E-07</w:t>
            </w:r>
          </w:p>
        </w:tc>
        <w:tc>
          <w:tcPr>
            <w:tcW w:w="1182" w:type="dxa"/>
            <w:vAlign w:val="top"/>
          </w:tcPr>
          <w:p>
            <w:pPr>
              <w:ind w:left="40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5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106" w:type="dxa"/>
            <w:vAlign w:val="top"/>
          </w:tcPr>
          <w:p>
            <w:pPr>
              <w:ind w:left="37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35" w:type="dxa"/>
            <w:vAlign w:val="top"/>
          </w:tcPr>
          <w:p>
            <w:pPr>
              <w:ind w:left="27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4.70E-05</w:t>
            </w:r>
          </w:p>
        </w:tc>
        <w:tc>
          <w:tcPr>
            <w:tcW w:w="1250" w:type="dxa"/>
            <w:vAlign w:val="top"/>
          </w:tcPr>
          <w:p>
            <w:pPr>
              <w:ind w:left="44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c>
          <w:tcPr>
            <w:tcW w:w="1233" w:type="dxa"/>
            <w:vAlign w:val="top"/>
          </w:tcPr>
          <w:p>
            <w:pPr>
              <w:ind w:left="23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rPr>
              <w:t>13E-07</w:t>
            </w:r>
          </w:p>
        </w:tc>
        <w:tc>
          <w:tcPr>
            <w:tcW w:w="1186" w:type="dxa"/>
            <w:vAlign w:val="top"/>
          </w:tcPr>
          <w:p>
            <w:pPr>
              <w:ind w:left="41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r>
      <w:tr>
        <w:trPr>
          <w:trHeight w:val="317" w:hRule="atLeast"/>
        </w:trPr>
        <w:tc>
          <w:tcPr>
            <w:tcW w:w="869" w:type="dxa"/>
            <w:vAlign w:val="top"/>
          </w:tcPr>
          <w:p>
            <w:pPr>
              <w:ind w:left="331"/>
              <w:spacing w:before="92" w:line="195" w:lineRule="auto"/>
              <w:rPr>
                <w:rFonts w:ascii="Times New Roman" w:hAnsi="Times New Roman" w:eastAsia="Times New Roman" w:cs="Times New Roman"/>
                <w:sz w:val="20"/>
                <w:szCs w:val="20"/>
              </w:rPr>
            </w:pPr>
            <w:r>
              <w:rPr>
                <w:shd w:val="clear" w:fill="D9D9D9"/>
                <w:rFonts w:ascii="Times New Roman" w:hAnsi="Times New Roman" w:eastAsia="Times New Roman" w:cs="Times New Roman"/>
                <w:sz w:val="20"/>
                <w:szCs w:val="20"/>
                <w:spacing w:val="3"/>
              </w:rPr>
              <w:t>43</w:t>
            </w:r>
          </w:p>
        </w:tc>
        <w:tc>
          <w:tcPr>
            <w:tcW w:w="1135" w:type="dxa"/>
            <w:vAlign w:val="top"/>
          </w:tcPr>
          <w:p>
            <w:pPr>
              <w:ind w:firstLine="150"/>
              <w:spacing w:before="40" w:line="241" w:lineRule="exact"/>
              <w:rPr/>
            </w:pPr>
            <w:r>
              <w:rPr>
                <w:position w:val="-4"/>
              </w:rPr>
              <w:pict>
                <v:shape id="_x0000_s794" style="mso-position-vertical-relative:line;mso-position-horizontal-relative:char;width:41.25pt;height:12.1pt;" fillcolor="#D9D9D9" filled="true" stroked="false" type="#_x0000_t202">
                  <v:fill on="true"/>
                  <v:stroke on="false"/>
                  <v:path/>
                  <v:imagedata o:title=""/>
                  <o:lock v:ext="edit" aspectratio="false"/>
                  <v:textbox inset="0mm,0mm,0mm,0mm">
                    <w:txbxContent>
                      <w:p>
                        <w:pPr>
                          <w:spacing w:before="52"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xbxContent>
                  </v:textbox>
                </v:shape>
              </w:pict>
            </w:r>
          </w:p>
        </w:tc>
        <w:tc>
          <w:tcPr>
            <w:tcW w:w="1041" w:type="dxa"/>
            <w:vAlign w:val="top"/>
          </w:tcPr>
          <w:p>
            <w:pPr>
              <w:ind w:left="340"/>
              <w:spacing w:before="92" w:line="195" w:lineRule="auto"/>
              <w:rPr>
                <w:rFonts w:ascii="Times New Roman" w:hAnsi="Times New Roman" w:eastAsia="Times New Roman" w:cs="Times New Roman"/>
                <w:sz w:val="20"/>
                <w:szCs w:val="20"/>
              </w:rPr>
            </w:pPr>
            <w:r>
              <w:rPr>
                <w:shd w:val="clear" w:fill="D9D9D9"/>
                <w:rFonts w:ascii="Times New Roman" w:hAnsi="Times New Roman" w:eastAsia="Times New Roman" w:cs="Times New Roman"/>
                <w:sz w:val="20"/>
                <w:szCs w:val="20"/>
                <w:spacing w:val="2"/>
              </w:rPr>
              <w:t>0.00</w:t>
            </w:r>
          </w:p>
        </w:tc>
        <w:tc>
          <w:tcPr>
            <w:tcW w:w="1135" w:type="dxa"/>
            <w:vAlign w:val="top"/>
          </w:tcPr>
          <w:p>
            <w:pPr>
              <w:ind w:firstLine="174"/>
              <w:spacing w:before="40" w:line="241" w:lineRule="exact"/>
              <w:rPr/>
            </w:pPr>
            <w:r>
              <w:rPr>
                <w:position w:val="-4"/>
              </w:rPr>
              <w:pict>
                <v:shape id="_x0000_s796" style="mso-position-vertical-relative:line;mso-position-horizontal-relative:char;width:38.75pt;height:12.1pt;" fillcolor="#D9D9D9" filled="true" stroked="false" type="#_x0000_t202">
                  <v:fill on="true"/>
                  <v:stroke on="false"/>
                  <v:path/>
                  <v:imagedata o:title=""/>
                  <o:lock v:ext="edit" aspectratio="false"/>
                  <v:textbox inset="0mm,0mm,0mm,0mm">
                    <w:txbxContent>
                      <w:p>
                        <w:pPr>
                          <w:spacing w:before="52"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7.29E-05</w:t>
                        </w:r>
                      </w:p>
                    </w:txbxContent>
                  </v:textbox>
                </v:shape>
              </w:pict>
            </w:r>
          </w:p>
        </w:tc>
        <w:tc>
          <w:tcPr>
            <w:tcW w:w="1043" w:type="dxa"/>
            <w:vAlign w:val="top"/>
          </w:tcPr>
          <w:p>
            <w:pPr>
              <w:ind w:left="340"/>
              <w:spacing w:before="92" w:line="195" w:lineRule="auto"/>
              <w:rPr>
                <w:rFonts w:ascii="Times New Roman" w:hAnsi="Times New Roman" w:eastAsia="Times New Roman" w:cs="Times New Roman"/>
                <w:sz w:val="20"/>
                <w:szCs w:val="20"/>
              </w:rPr>
            </w:pPr>
            <w:r>
              <w:rPr>
                <w:shd w:val="clear" w:fill="D9D9D9"/>
                <w:rFonts w:ascii="Times New Roman" w:hAnsi="Times New Roman" w:eastAsia="Times New Roman" w:cs="Times New Roman"/>
                <w:sz w:val="20"/>
                <w:szCs w:val="20"/>
                <w:spacing w:val="2"/>
              </w:rPr>
              <w:t>0.04</w:t>
            </w:r>
          </w:p>
        </w:tc>
        <w:tc>
          <w:tcPr>
            <w:tcW w:w="1135" w:type="dxa"/>
            <w:vAlign w:val="top"/>
          </w:tcPr>
          <w:p>
            <w:pPr>
              <w:ind w:firstLine="174"/>
              <w:spacing w:before="40" w:line="241" w:lineRule="exact"/>
              <w:rPr/>
            </w:pPr>
            <w:r>
              <w:rPr>
                <w:position w:val="-4"/>
              </w:rPr>
              <w:pict>
                <v:shape id="_x0000_s798" style="mso-position-vertical-relative:line;mso-position-horizontal-relative:char;width:38.75pt;height:12.1pt;" fillcolor="#D9D9D9" filled="true" stroked="false" type="#_x0000_t202">
                  <v:fill on="true"/>
                  <v:stroke on="false"/>
                  <v:path/>
                  <v:imagedata o:title=""/>
                  <o:lock v:ext="edit" aspectratio="false"/>
                  <v:textbox inset="0mm,0mm,0mm,0mm">
                    <w:txbxContent>
                      <w:p>
                        <w:pPr>
                          <w:ind w:left="2"/>
                          <w:spacing w:before="5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4.86E-07</w:t>
                        </w:r>
                      </w:p>
                    </w:txbxContent>
                  </v:textbox>
                </v:shape>
              </w:pict>
            </w:r>
          </w:p>
        </w:tc>
        <w:tc>
          <w:tcPr>
            <w:tcW w:w="1182" w:type="dxa"/>
            <w:vAlign w:val="top"/>
          </w:tcPr>
          <w:p>
            <w:pPr>
              <w:ind w:firstLine="402"/>
              <w:spacing w:before="40" w:line="241" w:lineRule="exact"/>
              <w:rPr/>
            </w:pPr>
            <w:r>
              <w:rPr>
                <w:position w:val="-4"/>
              </w:rPr>
              <w:pict>
                <v:shape id="_x0000_s800" style="mso-position-vertical-relative:line;mso-position-horizontal-relative:char;width:18.4pt;height:12.1pt;" fillcolor="#D9D9D9" filled="true" stroked="false" type="#_x0000_t202">
                  <v:fill on="true"/>
                  <v:stroke on="false"/>
                  <v:path/>
                  <v:imagedata o:title=""/>
                  <o:lock v:ext="edit" aspectratio="false"/>
                  <v:textbox inset="0mm,0mm,0mm,0mm">
                    <w:txbxContent>
                      <w:p>
                        <w:pPr>
                          <w:spacing w:before="52"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xbxContent>
                  </v:textbox>
                </v:shape>
              </w:pict>
            </w:r>
          </w:p>
        </w:tc>
        <w:tc>
          <w:tcPr>
            <w:tcW w:w="1135" w:type="dxa"/>
            <w:vAlign w:val="top"/>
          </w:tcPr>
          <w:p>
            <w:pPr>
              <w:ind w:left="15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106" w:type="dxa"/>
            <w:vAlign w:val="top"/>
          </w:tcPr>
          <w:p>
            <w:pPr>
              <w:ind w:left="521"/>
              <w:spacing w:before="8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335" w:type="dxa"/>
            <w:vAlign w:val="top"/>
          </w:tcPr>
          <w:p>
            <w:pPr>
              <w:ind w:left="636"/>
              <w:spacing w:before="8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250" w:type="dxa"/>
            <w:vAlign w:val="top"/>
          </w:tcPr>
          <w:p>
            <w:pPr>
              <w:ind w:left="592"/>
              <w:spacing w:before="8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233" w:type="dxa"/>
            <w:vAlign w:val="top"/>
          </w:tcPr>
          <w:p>
            <w:pPr>
              <w:ind w:left="586"/>
              <w:spacing w:before="8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186" w:type="dxa"/>
            <w:vAlign w:val="top"/>
          </w:tcPr>
          <w:p>
            <w:pPr>
              <w:ind w:left="562"/>
              <w:spacing w:before="8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7" w:hRule="atLeast"/>
        </w:trPr>
        <w:tc>
          <w:tcPr>
            <w:tcW w:w="869" w:type="dxa"/>
            <w:vAlign w:val="top"/>
          </w:tcPr>
          <w:p>
            <w:pPr>
              <w:ind w:left="33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1135" w:type="dxa"/>
            <w:vAlign w:val="top"/>
          </w:tcPr>
          <w:p>
            <w:pPr>
              <w:ind w:left="15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041" w:type="dxa"/>
            <w:vAlign w:val="top"/>
          </w:tcPr>
          <w:p>
            <w:pPr>
              <w:ind w:left="34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8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7.06E-05</w:t>
            </w:r>
          </w:p>
        </w:tc>
        <w:tc>
          <w:tcPr>
            <w:tcW w:w="1043" w:type="dxa"/>
            <w:vAlign w:val="top"/>
          </w:tcPr>
          <w:p>
            <w:pPr>
              <w:ind w:left="34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0.04</w:t>
            </w:r>
          </w:p>
        </w:tc>
        <w:tc>
          <w:tcPr>
            <w:tcW w:w="1135" w:type="dxa"/>
            <w:vAlign w:val="top"/>
          </w:tcPr>
          <w:p>
            <w:pPr>
              <w:ind w:left="17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4.70E-07</w:t>
            </w:r>
          </w:p>
        </w:tc>
        <w:tc>
          <w:tcPr>
            <w:tcW w:w="1182" w:type="dxa"/>
            <w:vAlign w:val="top"/>
          </w:tcPr>
          <w:p>
            <w:pPr>
              <w:ind w:left="40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5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106" w:type="dxa"/>
            <w:vAlign w:val="top"/>
          </w:tcPr>
          <w:p>
            <w:pPr>
              <w:ind w:left="37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35" w:type="dxa"/>
            <w:vAlign w:val="top"/>
          </w:tcPr>
          <w:p>
            <w:pPr>
              <w:ind w:left="28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6.58E-05</w:t>
            </w:r>
          </w:p>
        </w:tc>
        <w:tc>
          <w:tcPr>
            <w:tcW w:w="1250" w:type="dxa"/>
            <w:vAlign w:val="top"/>
          </w:tcPr>
          <w:p>
            <w:pPr>
              <w:ind w:left="44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w:t>
            </w:r>
          </w:p>
        </w:tc>
        <w:tc>
          <w:tcPr>
            <w:tcW w:w="1233" w:type="dxa"/>
            <w:vAlign w:val="top"/>
          </w:tcPr>
          <w:p>
            <w:pPr>
              <w:ind w:left="23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4.38E-07</w:t>
            </w:r>
          </w:p>
        </w:tc>
        <w:tc>
          <w:tcPr>
            <w:tcW w:w="1186" w:type="dxa"/>
            <w:vAlign w:val="top"/>
          </w:tcPr>
          <w:p>
            <w:pPr>
              <w:ind w:left="41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r>
      <w:tr>
        <w:trPr>
          <w:trHeight w:val="317" w:hRule="atLeast"/>
        </w:trPr>
        <w:tc>
          <w:tcPr>
            <w:tcW w:w="869" w:type="dxa"/>
            <w:vAlign w:val="top"/>
          </w:tcPr>
          <w:p>
            <w:pPr>
              <w:ind w:left="33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51</w:t>
            </w:r>
          </w:p>
        </w:tc>
        <w:tc>
          <w:tcPr>
            <w:tcW w:w="1135" w:type="dxa"/>
            <w:vAlign w:val="top"/>
          </w:tcPr>
          <w:p>
            <w:pPr>
              <w:ind w:left="534"/>
              <w:spacing w:before="8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41" w:type="dxa"/>
            <w:vAlign w:val="top"/>
          </w:tcPr>
          <w:p>
            <w:pPr>
              <w:ind w:left="486"/>
              <w:spacing w:before="8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135" w:type="dxa"/>
            <w:vAlign w:val="top"/>
          </w:tcPr>
          <w:p>
            <w:pPr>
              <w:ind w:left="535"/>
              <w:spacing w:before="8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43" w:type="dxa"/>
            <w:vAlign w:val="top"/>
          </w:tcPr>
          <w:p>
            <w:pPr>
              <w:ind w:left="487"/>
              <w:spacing w:before="8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135" w:type="dxa"/>
            <w:vAlign w:val="top"/>
          </w:tcPr>
          <w:p>
            <w:pPr>
              <w:ind w:left="533"/>
              <w:spacing w:before="8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182" w:type="dxa"/>
            <w:vAlign w:val="top"/>
          </w:tcPr>
          <w:p>
            <w:pPr>
              <w:ind w:left="558"/>
              <w:spacing w:before="8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135" w:type="dxa"/>
            <w:vAlign w:val="top"/>
          </w:tcPr>
          <w:p>
            <w:pPr>
              <w:ind w:firstLine="151"/>
              <w:spacing w:before="40" w:line="241" w:lineRule="exact"/>
              <w:rPr/>
            </w:pPr>
            <w:r>
              <w:rPr>
                <w:position w:val="-4"/>
              </w:rPr>
              <w:pict>
                <v:shape id="_x0000_s802" style="mso-position-vertical-relative:line;mso-position-horizontal-relative:char;width:41.25pt;height:12.05pt;" fillcolor="#D9D9D9" filled="true" stroked="false" type="#_x0000_t202">
                  <v:fill on="true"/>
                  <v:stroke on="false"/>
                  <v:path/>
                  <v:imagedata o:title=""/>
                  <o:lock v:ext="edit" aspectratio="false"/>
                  <v:textbox inset="0mm,0mm,0mm,0mm">
                    <w:txbxContent>
                      <w:p>
                        <w:pPr>
                          <w:spacing w:before="51"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xbxContent>
                  </v:textbox>
                </v:shape>
              </w:pict>
            </w:r>
          </w:p>
        </w:tc>
        <w:tc>
          <w:tcPr>
            <w:tcW w:w="1106" w:type="dxa"/>
            <w:vAlign w:val="top"/>
          </w:tcPr>
          <w:p>
            <w:pPr>
              <w:ind w:firstLine="365"/>
              <w:spacing w:before="40" w:line="241" w:lineRule="exact"/>
              <w:rPr/>
            </w:pPr>
            <w:r>
              <w:rPr>
                <w:position w:val="-4"/>
              </w:rPr>
              <w:pict>
                <v:shape id="_x0000_s804" style="mso-position-vertical-relative:line;mso-position-horizontal-relative:char;width:18.4pt;height:12.05pt;" fillcolor="#D9D9D9" filled="true" stroked="false" type="#_x0000_t202">
                  <v:fill on="true"/>
                  <v:stroke on="false"/>
                  <v:path/>
                  <v:imagedata o:title=""/>
                  <o:lock v:ext="edit" aspectratio="false"/>
                  <v:textbox inset="0mm,0mm,0mm,0mm">
                    <w:txbxContent>
                      <w:p>
                        <w:pPr>
                          <w:spacing w:before="51"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xbxContent>
                  </v:textbox>
                </v:shape>
              </w:pict>
            </w:r>
          </w:p>
        </w:tc>
        <w:tc>
          <w:tcPr>
            <w:tcW w:w="1335" w:type="dxa"/>
            <w:vAlign w:val="top"/>
          </w:tcPr>
          <w:p>
            <w:pPr>
              <w:ind w:firstLine="276"/>
              <w:spacing w:before="40" w:line="241" w:lineRule="exact"/>
              <w:rPr/>
            </w:pPr>
            <w:r>
              <w:rPr>
                <w:position w:val="-4"/>
              </w:rPr>
              <w:pict>
                <v:shape id="_x0000_s806" style="mso-position-vertical-relative:line;mso-position-horizontal-relative:char;width:38.75pt;height:12.05pt;" fillcolor="#D9D9D9" filled="true" stroked="false" type="#_x0000_t202">
                  <v:fill on="true"/>
                  <v:stroke on="false"/>
                  <v:path/>
                  <v:imagedata o:title=""/>
                  <o:lock v:ext="edit" aspectratio="false"/>
                  <v:textbox inset="0mm,0mm,0mm,0mm">
                    <w:txbxContent>
                      <w:p>
                        <w:pPr>
                          <w:ind w:right="1"/>
                          <w:spacing w:before="51"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6.61E-05</w:t>
                        </w:r>
                      </w:p>
                    </w:txbxContent>
                  </v:textbox>
                </v:shape>
              </w:pict>
            </w:r>
          </w:p>
        </w:tc>
        <w:tc>
          <w:tcPr>
            <w:tcW w:w="1250" w:type="dxa"/>
            <w:vAlign w:val="top"/>
          </w:tcPr>
          <w:p>
            <w:pPr>
              <w:ind w:firstLine="438"/>
              <w:spacing w:before="40" w:line="241" w:lineRule="exact"/>
              <w:rPr/>
            </w:pPr>
            <w:r>
              <w:rPr>
                <w:position w:val="-4"/>
              </w:rPr>
              <w:pict>
                <v:shape id="_x0000_s808" style="mso-position-vertical-relative:line;mso-position-horizontal-relative:char;width:18.45pt;height:12.05pt;" fillcolor="#D9D9D9" filled="true" stroked="false" type="#_x0000_t202">
                  <v:fill on="true"/>
                  <v:stroke on="false"/>
                  <v:path/>
                  <v:imagedata o:title=""/>
                  <o:lock v:ext="edit" aspectratio="false"/>
                  <v:textbox inset="0mm,0mm,0mm,0mm">
                    <w:txbxContent>
                      <w:p>
                        <w:pPr>
                          <w:spacing w:before="51"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w:t>
                        </w:r>
                      </w:p>
                    </w:txbxContent>
                  </v:textbox>
                </v:shape>
              </w:pict>
            </w:r>
          </w:p>
        </w:tc>
        <w:tc>
          <w:tcPr>
            <w:tcW w:w="1233" w:type="dxa"/>
            <w:vAlign w:val="top"/>
          </w:tcPr>
          <w:p>
            <w:pPr>
              <w:ind w:firstLine="227"/>
              <w:spacing w:before="40" w:line="241" w:lineRule="exact"/>
              <w:rPr/>
            </w:pPr>
            <w:r>
              <w:rPr>
                <w:position w:val="-4"/>
              </w:rPr>
              <w:pict>
                <v:shape id="_x0000_s810" style="mso-position-vertical-relative:line;mso-position-horizontal-relative:char;width:38.75pt;height:12.05pt;" fillcolor="#D9D9D9" filled="true" stroked="false" type="#_x0000_t202">
                  <v:fill on="true"/>
                  <v:stroke on="false"/>
                  <v:path/>
                  <v:imagedata o:title=""/>
                  <o:lock v:ext="edit" aspectratio="false"/>
                  <v:textbox inset="0mm,0mm,0mm,0mm">
                    <w:txbxContent>
                      <w:p>
                        <w:pPr>
                          <w:spacing w:before="51"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4.41E-07</w:t>
                        </w:r>
                      </w:p>
                    </w:txbxContent>
                  </v:textbox>
                </v:shape>
              </w:pict>
            </w:r>
          </w:p>
        </w:tc>
        <w:tc>
          <w:tcPr>
            <w:tcW w:w="1186" w:type="dxa"/>
            <w:vAlign w:val="top"/>
          </w:tcPr>
          <w:p>
            <w:pPr>
              <w:ind w:firstLine="406"/>
              <w:spacing w:before="40" w:line="241" w:lineRule="exact"/>
              <w:rPr/>
            </w:pPr>
            <w:r>
              <w:rPr>
                <w:position w:val="-4"/>
              </w:rPr>
              <w:pict>
                <v:shape id="_x0000_s812" style="mso-position-vertical-relative:line;mso-position-horizontal-relative:char;width:18.45pt;height:12.05pt;" fillcolor="#D9D9D9" filled="true" stroked="false" type="#_x0000_t202">
                  <v:fill on="true"/>
                  <v:stroke on="false"/>
                  <v:path/>
                  <v:imagedata o:title=""/>
                  <o:lock v:ext="edit" aspectratio="false"/>
                  <v:textbox inset="0mm,0mm,0mm,0mm">
                    <w:txbxContent>
                      <w:p>
                        <w:pPr>
                          <w:spacing w:before="51"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xbxContent>
                  </v:textbox>
                </v:shape>
              </w:pict>
            </w:r>
          </w:p>
        </w:tc>
      </w:tr>
      <w:tr>
        <w:trPr>
          <w:trHeight w:val="317" w:hRule="atLeast"/>
        </w:trPr>
        <w:tc>
          <w:tcPr>
            <w:tcW w:w="869" w:type="dxa"/>
            <w:vAlign w:val="top"/>
          </w:tcPr>
          <w:p>
            <w:pPr>
              <w:ind w:left="29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100</w:t>
            </w:r>
          </w:p>
        </w:tc>
        <w:tc>
          <w:tcPr>
            <w:tcW w:w="1135" w:type="dxa"/>
            <w:vAlign w:val="top"/>
          </w:tcPr>
          <w:p>
            <w:pPr>
              <w:ind w:left="15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041" w:type="dxa"/>
            <w:vAlign w:val="top"/>
          </w:tcPr>
          <w:p>
            <w:pPr>
              <w:ind w:left="34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8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5.62E-05</w:t>
            </w:r>
          </w:p>
        </w:tc>
        <w:tc>
          <w:tcPr>
            <w:tcW w:w="1043" w:type="dxa"/>
            <w:vAlign w:val="top"/>
          </w:tcPr>
          <w:p>
            <w:pPr>
              <w:ind w:left="34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w:t>
            </w:r>
          </w:p>
        </w:tc>
        <w:tc>
          <w:tcPr>
            <w:tcW w:w="1135" w:type="dxa"/>
            <w:vAlign w:val="top"/>
          </w:tcPr>
          <w:p>
            <w:pPr>
              <w:ind w:left="18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3.75E-07</w:t>
            </w:r>
          </w:p>
        </w:tc>
        <w:tc>
          <w:tcPr>
            <w:tcW w:w="1182" w:type="dxa"/>
            <w:vAlign w:val="top"/>
          </w:tcPr>
          <w:p>
            <w:pPr>
              <w:ind w:left="40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5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106" w:type="dxa"/>
            <w:vAlign w:val="top"/>
          </w:tcPr>
          <w:p>
            <w:pPr>
              <w:ind w:left="37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35" w:type="dxa"/>
            <w:vAlign w:val="top"/>
          </w:tcPr>
          <w:p>
            <w:pPr>
              <w:ind w:left="28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5.78E-05</w:t>
            </w:r>
          </w:p>
        </w:tc>
        <w:tc>
          <w:tcPr>
            <w:tcW w:w="1250" w:type="dxa"/>
            <w:vAlign w:val="top"/>
          </w:tcPr>
          <w:p>
            <w:pPr>
              <w:ind w:left="44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w:t>
            </w:r>
          </w:p>
        </w:tc>
        <w:tc>
          <w:tcPr>
            <w:tcW w:w="1233" w:type="dxa"/>
            <w:vAlign w:val="top"/>
          </w:tcPr>
          <w:p>
            <w:pPr>
              <w:ind w:left="23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3.85E-07</w:t>
            </w:r>
          </w:p>
        </w:tc>
        <w:tc>
          <w:tcPr>
            <w:tcW w:w="1186" w:type="dxa"/>
            <w:vAlign w:val="top"/>
          </w:tcPr>
          <w:p>
            <w:pPr>
              <w:ind w:left="41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r>
      <w:tr>
        <w:trPr>
          <w:trHeight w:val="317" w:hRule="atLeast"/>
        </w:trPr>
        <w:tc>
          <w:tcPr>
            <w:tcW w:w="869" w:type="dxa"/>
            <w:vAlign w:val="top"/>
          </w:tcPr>
          <w:p>
            <w:pPr>
              <w:ind w:left="279"/>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w:t>
            </w:r>
          </w:p>
        </w:tc>
        <w:tc>
          <w:tcPr>
            <w:tcW w:w="1135" w:type="dxa"/>
            <w:vAlign w:val="top"/>
          </w:tcPr>
          <w:p>
            <w:pPr>
              <w:ind w:left="157"/>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041" w:type="dxa"/>
            <w:vAlign w:val="top"/>
          </w:tcPr>
          <w:p>
            <w:pPr>
              <w:ind w:left="340"/>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7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4.28E-05</w:t>
            </w:r>
          </w:p>
        </w:tc>
        <w:tc>
          <w:tcPr>
            <w:tcW w:w="1043" w:type="dxa"/>
            <w:vAlign w:val="top"/>
          </w:tcPr>
          <w:p>
            <w:pPr>
              <w:ind w:left="340"/>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c>
          <w:tcPr>
            <w:tcW w:w="1135" w:type="dxa"/>
            <w:vAlign w:val="top"/>
          </w:tcPr>
          <w:p>
            <w:pPr>
              <w:ind w:left="177"/>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2.85E-07</w:t>
            </w:r>
          </w:p>
        </w:tc>
        <w:tc>
          <w:tcPr>
            <w:tcW w:w="1182" w:type="dxa"/>
            <w:vAlign w:val="top"/>
          </w:tcPr>
          <w:p>
            <w:pPr>
              <w:ind w:left="409"/>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5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106" w:type="dxa"/>
            <w:vAlign w:val="top"/>
          </w:tcPr>
          <w:p>
            <w:pPr>
              <w:ind w:left="37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35" w:type="dxa"/>
            <w:vAlign w:val="top"/>
          </w:tcPr>
          <w:p>
            <w:pPr>
              <w:ind w:left="279"/>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4.33E-05</w:t>
            </w:r>
          </w:p>
        </w:tc>
        <w:tc>
          <w:tcPr>
            <w:tcW w:w="1250" w:type="dxa"/>
            <w:vAlign w:val="top"/>
          </w:tcPr>
          <w:p>
            <w:pPr>
              <w:ind w:left="446"/>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c>
          <w:tcPr>
            <w:tcW w:w="1233" w:type="dxa"/>
            <w:vAlign w:val="top"/>
          </w:tcPr>
          <w:p>
            <w:pPr>
              <w:ind w:left="23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2.89E-07</w:t>
            </w:r>
          </w:p>
        </w:tc>
        <w:tc>
          <w:tcPr>
            <w:tcW w:w="1186" w:type="dxa"/>
            <w:vAlign w:val="top"/>
          </w:tcPr>
          <w:p>
            <w:pPr>
              <w:ind w:left="413"/>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r>
      <w:tr>
        <w:trPr>
          <w:trHeight w:val="317" w:hRule="atLeast"/>
        </w:trPr>
        <w:tc>
          <w:tcPr>
            <w:tcW w:w="869" w:type="dxa"/>
            <w:vAlign w:val="top"/>
          </w:tcPr>
          <w:p>
            <w:pPr>
              <w:ind w:left="27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400</w:t>
            </w:r>
          </w:p>
        </w:tc>
        <w:tc>
          <w:tcPr>
            <w:tcW w:w="1135" w:type="dxa"/>
            <w:vAlign w:val="top"/>
          </w:tcPr>
          <w:p>
            <w:pPr>
              <w:ind w:left="15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041" w:type="dxa"/>
            <w:vAlign w:val="top"/>
          </w:tcPr>
          <w:p>
            <w:pPr>
              <w:ind w:left="34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7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2.81E-05</w:t>
            </w:r>
          </w:p>
        </w:tc>
        <w:tc>
          <w:tcPr>
            <w:tcW w:w="1043" w:type="dxa"/>
            <w:vAlign w:val="top"/>
          </w:tcPr>
          <w:p>
            <w:pPr>
              <w:ind w:left="34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135" w:type="dxa"/>
            <w:vAlign w:val="top"/>
          </w:tcPr>
          <w:p>
            <w:pPr>
              <w:ind w:left="19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1.87E-07</w:t>
            </w:r>
          </w:p>
        </w:tc>
        <w:tc>
          <w:tcPr>
            <w:tcW w:w="1182" w:type="dxa"/>
            <w:vAlign w:val="top"/>
          </w:tcPr>
          <w:p>
            <w:pPr>
              <w:ind w:left="40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5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106" w:type="dxa"/>
            <w:vAlign w:val="top"/>
          </w:tcPr>
          <w:p>
            <w:pPr>
              <w:ind w:left="37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35" w:type="dxa"/>
            <w:vAlign w:val="top"/>
          </w:tcPr>
          <w:p>
            <w:pPr>
              <w:ind w:left="28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2.82E-05</w:t>
            </w:r>
          </w:p>
        </w:tc>
        <w:tc>
          <w:tcPr>
            <w:tcW w:w="1250" w:type="dxa"/>
            <w:vAlign w:val="top"/>
          </w:tcPr>
          <w:p>
            <w:pPr>
              <w:ind w:left="44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233" w:type="dxa"/>
            <w:vAlign w:val="top"/>
          </w:tcPr>
          <w:p>
            <w:pPr>
              <w:ind w:left="25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1.88E-07</w:t>
            </w:r>
          </w:p>
        </w:tc>
        <w:tc>
          <w:tcPr>
            <w:tcW w:w="1186" w:type="dxa"/>
            <w:vAlign w:val="top"/>
          </w:tcPr>
          <w:p>
            <w:pPr>
              <w:ind w:left="41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r>
      <w:tr>
        <w:trPr>
          <w:trHeight w:val="317" w:hRule="atLeast"/>
        </w:trPr>
        <w:tc>
          <w:tcPr>
            <w:tcW w:w="869" w:type="dxa"/>
            <w:vAlign w:val="top"/>
          </w:tcPr>
          <w:p>
            <w:pPr>
              <w:ind w:left="28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600</w:t>
            </w:r>
          </w:p>
        </w:tc>
        <w:tc>
          <w:tcPr>
            <w:tcW w:w="1135" w:type="dxa"/>
            <w:vAlign w:val="top"/>
          </w:tcPr>
          <w:p>
            <w:pPr>
              <w:ind w:left="15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041" w:type="dxa"/>
            <w:vAlign w:val="top"/>
          </w:tcPr>
          <w:p>
            <w:pPr>
              <w:ind w:left="34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7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2.03E-05</w:t>
            </w:r>
          </w:p>
        </w:tc>
        <w:tc>
          <w:tcPr>
            <w:tcW w:w="1043" w:type="dxa"/>
            <w:vAlign w:val="top"/>
          </w:tcPr>
          <w:p>
            <w:pPr>
              <w:ind w:left="34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135" w:type="dxa"/>
            <w:vAlign w:val="top"/>
          </w:tcPr>
          <w:p>
            <w:pPr>
              <w:ind w:left="19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1.35E-07</w:t>
            </w:r>
          </w:p>
        </w:tc>
        <w:tc>
          <w:tcPr>
            <w:tcW w:w="1182" w:type="dxa"/>
            <w:vAlign w:val="top"/>
          </w:tcPr>
          <w:p>
            <w:pPr>
              <w:ind w:left="40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5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106" w:type="dxa"/>
            <w:vAlign w:val="top"/>
          </w:tcPr>
          <w:p>
            <w:pPr>
              <w:ind w:left="37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35" w:type="dxa"/>
            <w:vAlign w:val="top"/>
          </w:tcPr>
          <w:p>
            <w:pPr>
              <w:ind w:left="28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2.04E-05</w:t>
            </w:r>
          </w:p>
        </w:tc>
        <w:tc>
          <w:tcPr>
            <w:tcW w:w="1250" w:type="dxa"/>
            <w:vAlign w:val="top"/>
          </w:tcPr>
          <w:p>
            <w:pPr>
              <w:ind w:left="44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233" w:type="dxa"/>
            <w:vAlign w:val="top"/>
          </w:tcPr>
          <w:p>
            <w:pPr>
              <w:ind w:left="25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1.36E-07</w:t>
            </w:r>
          </w:p>
        </w:tc>
        <w:tc>
          <w:tcPr>
            <w:tcW w:w="1186" w:type="dxa"/>
            <w:vAlign w:val="top"/>
          </w:tcPr>
          <w:p>
            <w:pPr>
              <w:ind w:left="41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r>
      <w:tr>
        <w:trPr>
          <w:trHeight w:val="317" w:hRule="atLeast"/>
        </w:trPr>
        <w:tc>
          <w:tcPr>
            <w:tcW w:w="869" w:type="dxa"/>
            <w:vAlign w:val="top"/>
          </w:tcPr>
          <w:p>
            <w:pPr>
              <w:ind w:left="28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800</w:t>
            </w:r>
          </w:p>
        </w:tc>
        <w:tc>
          <w:tcPr>
            <w:tcW w:w="1135" w:type="dxa"/>
            <w:vAlign w:val="top"/>
          </w:tcPr>
          <w:p>
            <w:pPr>
              <w:ind w:left="15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041" w:type="dxa"/>
            <w:vAlign w:val="top"/>
          </w:tcPr>
          <w:p>
            <w:pPr>
              <w:ind w:left="34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9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1.55E-05</w:t>
            </w:r>
          </w:p>
        </w:tc>
        <w:tc>
          <w:tcPr>
            <w:tcW w:w="1043" w:type="dxa"/>
            <w:vAlign w:val="top"/>
          </w:tcPr>
          <w:p>
            <w:pPr>
              <w:ind w:left="34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135" w:type="dxa"/>
            <w:vAlign w:val="top"/>
          </w:tcPr>
          <w:p>
            <w:pPr>
              <w:ind w:left="19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1.03E-07</w:t>
            </w:r>
          </w:p>
        </w:tc>
        <w:tc>
          <w:tcPr>
            <w:tcW w:w="1182" w:type="dxa"/>
            <w:vAlign w:val="top"/>
          </w:tcPr>
          <w:p>
            <w:pPr>
              <w:ind w:left="40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5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106" w:type="dxa"/>
            <w:vAlign w:val="top"/>
          </w:tcPr>
          <w:p>
            <w:pPr>
              <w:ind w:left="37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35" w:type="dxa"/>
            <w:vAlign w:val="top"/>
          </w:tcPr>
          <w:p>
            <w:pPr>
              <w:ind w:left="30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1.55E-05</w:t>
            </w:r>
          </w:p>
        </w:tc>
        <w:tc>
          <w:tcPr>
            <w:tcW w:w="1250" w:type="dxa"/>
            <w:vAlign w:val="top"/>
          </w:tcPr>
          <w:p>
            <w:pPr>
              <w:ind w:left="44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233" w:type="dxa"/>
            <w:vAlign w:val="top"/>
          </w:tcPr>
          <w:p>
            <w:pPr>
              <w:ind w:left="25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1.03E-07</w:t>
            </w:r>
          </w:p>
        </w:tc>
        <w:tc>
          <w:tcPr>
            <w:tcW w:w="1186" w:type="dxa"/>
            <w:vAlign w:val="top"/>
          </w:tcPr>
          <w:p>
            <w:pPr>
              <w:ind w:left="41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r>
      <w:tr>
        <w:trPr>
          <w:trHeight w:val="317" w:hRule="atLeast"/>
        </w:trPr>
        <w:tc>
          <w:tcPr>
            <w:tcW w:w="869" w:type="dxa"/>
            <w:vAlign w:val="top"/>
          </w:tcPr>
          <w:p>
            <w:pPr>
              <w:ind w:left="24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1000</w:t>
            </w:r>
          </w:p>
        </w:tc>
        <w:tc>
          <w:tcPr>
            <w:tcW w:w="1135" w:type="dxa"/>
            <w:vAlign w:val="top"/>
          </w:tcPr>
          <w:p>
            <w:pPr>
              <w:ind w:left="15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041" w:type="dxa"/>
            <w:vAlign w:val="top"/>
          </w:tcPr>
          <w:p>
            <w:pPr>
              <w:ind w:left="34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9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1.23E-05</w:t>
            </w:r>
          </w:p>
        </w:tc>
        <w:tc>
          <w:tcPr>
            <w:tcW w:w="1043" w:type="dxa"/>
            <w:vAlign w:val="top"/>
          </w:tcPr>
          <w:p>
            <w:pPr>
              <w:ind w:left="34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135" w:type="dxa"/>
            <w:vAlign w:val="top"/>
          </w:tcPr>
          <w:p>
            <w:pPr>
              <w:ind w:left="18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w:t>
            </w:r>
            <w:r>
              <w:rPr>
                <w:rFonts w:ascii="Times New Roman" w:hAnsi="Times New Roman" w:eastAsia="Times New Roman" w:cs="Times New Roman"/>
                <w:sz w:val="20"/>
                <w:szCs w:val="20"/>
                <w:spacing w:val="-21"/>
              </w:rPr>
              <w:t xml:space="preserve"> </w:t>
            </w:r>
            <w:r>
              <w:rPr>
                <w:rFonts w:ascii="Times New Roman" w:hAnsi="Times New Roman" w:eastAsia="Times New Roman" w:cs="Times New Roman"/>
                <w:sz w:val="20"/>
                <w:szCs w:val="20"/>
                <w:spacing w:val="-1"/>
              </w:rPr>
              <w:t>18E-08</w:t>
            </w:r>
          </w:p>
        </w:tc>
        <w:tc>
          <w:tcPr>
            <w:tcW w:w="1182" w:type="dxa"/>
            <w:vAlign w:val="top"/>
          </w:tcPr>
          <w:p>
            <w:pPr>
              <w:ind w:left="40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5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106" w:type="dxa"/>
            <w:vAlign w:val="top"/>
          </w:tcPr>
          <w:p>
            <w:pPr>
              <w:ind w:left="37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35" w:type="dxa"/>
            <w:vAlign w:val="top"/>
          </w:tcPr>
          <w:p>
            <w:pPr>
              <w:ind w:left="30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1.23E-05</w:t>
            </w:r>
          </w:p>
        </w:tc>
        <w:tc>
          <w:tcPr>
            <w:tcW w:w="1250" w:type="dxa"/>
            <w:vAlign w:val="top"/>
          </w:tcPr>
          <w:p>
            <w:pPr>
              <w:ind w:left="44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233" w:type="dxa"/>
            <w:vAlign w:val="top"/>
          </w:tcPr>
          <w:p>
            <w:pPr>
              <w:ind w:left="24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w:t>
            </w:r>
            <w:r>
              <w:rPr>
                <w:rFonts w:ascii="Times New Roman" w:hAnsi="Times New Roman" w:eastAsia="Times New Roman" w:cs="Times New Roman"/>
                <w:sz w:val="20"/>
                <w:szCs w:val="20"/>
                <w:spacing w:val="-21"/>
              </w:rPr>
              <w:t xml:space="preserve"> </w:t>
            </w:r>
            <w:r>
              <w:rPr>
                <w:rFonts w:ascii="Times New Roman" w:hAnsi="Times New Roman" w:eastAsia="Times New Roman" w:cs="Times New Roman"/>
                <w:sz w:val="20"/>
                <w:szCs w:val="20"/>
                <w:spacing w:val="-1"/>
              </w:rPr>
              <w:t>18E-08</w:t>
            </w:r>
          </w:p>
        </w:tc>
        <w:tc>
          <w:tcPr>
            <w:tcW w:w="1186" w:type="dxa"/>
            <w:vAlign w:val="top"/>
          </w:tcPr>
          <w:p>
            <w:pPr>
              <w:ind w:left="41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r>
      <w:tr>
        <w:trPr>
          <w:trHeight w:val="317" w:hRule="atLeast"/>
        </w:trPr>
        <w:tc>
          <w:tcPr>
            <w:tcW w:w="869" w:type="dxa"/>
            <w:vAlign w:val="top"/>
          </w:tcPr>
          <w:p>
            <w:pPr>
              <w:ind w:left="24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1200</w:t>
            </w:r>
          </w:p>
        </w:tc>
        <w:tc>
          <w:tcPr>
            <w:tcW w:w="1135" w:type="dxa"/>
            <w:vAlign w:val="top"/>
          </w:tcPr>
          <w:p>
            <w:pPr>
              <w:ind w:left="15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041" w:type="dxa"/>
            <w:vAlign w:val="top"/>
          </w:tcPr>
          <w:p>
            <w:pPr>
              <w:ind w:left="34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9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1.00E-05</w:t>
            </w:r>
          </w:p>
        </w:tc>
        <w:tc>
          <w:tcPr>
            <w:tcW w:w="1043" w:type="dxa"/>
            <w:vAlign w:val="top"/>
          </w:tcPr>
          <w:p>
            <w:pPr>
              <w:ind w:left="34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135" w:type="dxa"/>
            <w:vAlign w:val="top"/>
          </w:tcPr>
          <w:p>
            <w:pPr>
              <w:ind w:left="18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6.68E-08</w:t>
            </w:r>
          </w:p>
        </w:tc>
        <w:tc>
          <w:tcPr>
            <w:tcW w:w="1182" w:type="dxa"/>
            <w:vAlign w:val="top"/>
          </w:tcPr>
          <w:p>
            <w:pPr>
              <w:ind w:left="40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5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106" w:type="dxa"/>
            <w:vAlign w:val="top"/>
          </w:tcPr>
          <w:p>
            <w:pPr>
              <w:ind w:left="37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35" w:type="dxa"/>
            <w:vAlign w:val="top"/>
          </w:tcPr>
          <w:p>
            <w:pPr>
              <w:ind w:left="30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1.00E-05</w:t>
            </w:r>
          </w:p>
        </w:tc>
        <w:tc>
          <w:tcPr>
            <w:tcW w:w="1250" w:type="dxa"/>
            <w:vAlign w:val="top"/>
          </w:tcPr>
          <w:p>
            <w:pPr>
              <w:ind w:left="44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233" w:type="dxa"/>
            <w:vAlign w:val="top"/>
          </w:tcPr>
          <w:p>
            <w:pPr>
              <w:ind w:left="23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6.68E-08</w:t>
            </w:r>
          </w:p>
        </w:tc>
        <w:tc>
          <w:tcPr>
            <w:tcW w:w="1186" w:type="dxa"/>
            <w:vAlign w:val="top"/>
          </w:tcPr>
          <w:p>
            <w:pPr>
              <w:ind w:left="41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r>
      <w:tr>
        <w:trPr>
          <w:trHeight w:val="317" w:hRule="atLeast"/>
        </w:trPr>
        <w:tc>
          <w:tcPr>
            <w:tcW w:w="869" w:type="dxa"/>
            <w:vAlign w:val="top"/>
          </w:tcPr>
          <w:p>
            <w:pPr>
              <w:ind w:left="246"/>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1400</w:t>
            </w:r>
          </w:p>
        </w:tc>
        <w:tc>
          <w:tcPr>
            <w:tcW w:w="1135" w:type="dxa"/>
            <w:vAlign w:val="top"/>
          </w:tcPr>
          <w:p>
            <w:pPr>
              <w:ind w:left="157"/>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041" w:type="dxa"/>
            <w:vAlign w:val="top"/>
          </w:tcPr>
          <w:p>
            <w:pPr>
              <w:ind w:left="340"/>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87"/>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8.39E-06</w:t>
            </w:r>
          </w:p>
        </w:tc>
        <w:tc>
          <w:tcPr>
            <w:tcW w:w="1043" w:type="dxa"/>
            <w:vAlign w:val="top"/>
          </w:tcPr>
          <w:p>
            <w:pPr>
              <w:ind w:left="340"/>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83"/>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5.59E-08</w:t>
            </w:r>
          </w:p>
        </w:tc>
        <w:tc>
          <w:tcPr>
            <w:tcW w:w="1182" w:type="dxa"/>
            <w:vAlign w:val="top"/>
          </w:tcPr>
          <w:p>
            <w:pPr>
              <w:ind w:left="409"/>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5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106" w:type="dxa"/>
            <w:vAlign w:val="top"/>
          </w:tcPr>
          <w:p>
            <w:pPr>
              <w:ind w:left="37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35" w:type="dxa"/>
            <w:vAlign w:val="top"/>
          </w:tcPr>
          <w:p>
            <w:pPr>
              <w:ind w:left="289"/>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8.39E-06</w:t>
            </w:r>
          </w:p>
        </w:tc>
        <w:tc>
          <w:tcPr>
            <w:tcW w:w="1250" w:type="dxa"/>
            <w:vAlign w:val="top"/>
          </w:tcPr>
          <w:p>
            <w:pPr>
              <w:ind w:left="446"/>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233" w:type="dxa"/>
            <w:vAlign w:val="top"/>
          </w:tcPr>
          <w:p>
            <w:pPr>
              <w:ind w:left="23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5.59E-08</w:t>
            </w:r>
          </w:p>
        </w:tc>
        <w:tc>
          <w:tcPr>
            <w:tcW w:w="1186" w:type="dxa"/>
            <w:vAlign w:val="top"/>
          </w:tcPr>
          <w:p>
            <w:pPr>
              <w:ind w:left="413"/>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r>
      <w:tr>
        <w:trPr>
          <w:trHeight w:val="317" w:hRule="atLeast"/>
        </w:trPr>
        <w:tc>
          <w:tcPr>
            <w:tcW w:w="869" w:type="dxa"/>
            <w:vAlign w:val="top"/>
          </w:tcPr>
          <w:p>
            <w:pPr>
              <w:ind w:left="24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1600</w:t>
            </w:r>
          </w:p>
        </w:tc>
        <w:tc>
          <w:tcPr>
            <w:tcW w:w="1135" w:type="dxa"/>
            <w:vAlign w:val="top"/>
          </w:tcPr>
          <w:p>
            <w:pPr>
              <w:ind w:left="15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041" w:type="dxa"/>
            <w:vAlign w:val="top"/>
          </w:tcPr>
          <w:p>
            <w:pPr>
              <w:ind w:left="34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8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rPr>
              <w:t>16E-06</w:t>
            </w:r>
          </w:p>
        </w:tc>
        <w:tc>
          <w:tcPr>
            <w:tcW w:w="1043" w:type="dxa"/>
            <w:vAlign w:val="top"/>
          </w:tcPr>
          <w:p>
            <w:pPr>
              <w:ind w:left="34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7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4.77E-08</w:t>
            </w:r>
          </w:p>
        </w:tc>
        <w:tc>
          <w:tcPr>
            <w:tcW w:w="1182" w:type="dxa"/>
            <w:vAlign w:val="top"/>
          </w:tcPr>
          <w:p>
            <w:pPr>
              <w:ind w:left="40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5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106" w:type="dxa"/>
            <w:vAlign w:val="top"/>
          </w:tcPr>
          <w:p>
            <w:pPr>
              <w:ind w:left="37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35" w:type="dxa"/>
            <w:vAlign w:val="top"/>
          </w:tcPr>
          <w:p>
            <w:pPr>
              <w:ind w:left="28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rPr>
              <w:t>16E-06</w:t>
            </w:r>
          </w:p>
        </w:tc>
        <w:tc>
          <w:tcPr>
            <w:tcW w:w="1250" w:type="dxa"/>
            <w:vAlign w:val="top"/>
          </w:tcPr>
          <w:p>
            <w:pPr>
              <w:ind w:left="44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233" w:type="dxa"/>
            <w:vAlign w:val="top"/>
          </w:tcPr>
          <w:p>
            <w:pPr>
              <w:ind w:left="23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4.77E-08</w:t>
            </w:r>
          </w:p>
        </w:tc>
        <w:tc>
          <w:tcPr>
            <w:tcW w:w="1186" w:type="dxa"/>
            <w:vAlign w:val="top"/>
          </w:tcPr>
          <w:p>
            <w:pPr>
              <w:ind w:left="41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r>
      <w:tr>
        <w:trPr>
          <w:trHeight w:val="317" w:hRule="atLeast"/>
        </w:trPr>
        <w:tc>
          <w:tcPr>
            <w:tcW w:w="869" w:type="dxa"/>
            <w:vAlign w:val="top"/>
          </w:tcPr>
          <w:p>
            <w:pPr>
              <w:ind w:left="24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1800</w:t>
            </w:r>
          </w:p>
        </w:tc>
        <w:tc>
          <w:tcPr>
            <w:tcW w:w="1135" w:type="dxa"/>
            <w:vAlign w:val="top"/>
          </w:tcPr>
          <w:p>
            <w:pPr>
              <w:ind w:left="15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041" w:type="dxa"/>
            <w:vAlign w:val="top"/>
          </w:tcPr>
          <w:p>
            <w:pPr>
              <w:ind w:left="34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8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6.21E-06</w:t>
            </w:r>
          </w:p>
        </w:tc>
        <w:tc>
          <w:tcPr>
            <w:tcW w:w="1043" w:type="dxa"/>
            <w:vAlign w:val="top"/>
          </w:tcPr>
          <w:p>
            <w:pPr>
              <w:ind w:left="34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7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4.</w:t>
            </w:r>
            <w:r>
              <w:rPr>
                <w:rFonts w:ascii="Times New Roman" w:hAnsi="Times New Roman" w:eastAsia="Times New Roman" w:cs="Times New Roman"/>
                <w:sz w:val="20"/>
                <w:szCs w:val="20"/>
                <w:spacing w:val="-20"/>
              </w:rPr>
              <w:t xml:space="preserve"> </w:t>
            </w:r>
            <w:r>
              <w:rPr>
                <w:rFonts w:ascii="Times New Roman" w:hAnsi="Times New Roman" w:eastAsia="Times New Roman" w:cs="Times New Roman"/>
                <w:sz w:val="20"/>
                <w:szCs w:val="20"/>
              </w:rPr>
              <w:t>14E-08</w:t>
            </w:r>
          </w:p>
        </w:tc>
        <w:tc>
          <w:tcPr>
            <w:tcW w:w="1182" w:type="dxa"/>
            <w:vAlign w:val="top"/>
          </w:tcPr>
          <w:p>
            <w:pPr>
              <w:ind w:left="40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5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106" w:type="dxa"/>
            <w:vAlign w:val="top"/>
          </w:tcPr>
          <w:p>
            <w:pPr>
              <w:ind w:left="37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35" w:type="dxa"/>
            <w:vAlign w:val="top"/>
          </w:tcPr>
          <w:p>
            <w:pPr>
              <w:ind w:left="28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6.21E-06</w:t>
            </w:r>
          </w:p>
        </w:tc>
        <w:tc>
          <w:tcPr>
            <w:tcW w:w="1250" w:type="dxa"/>
            <w:vAlign w:val="top"/>
          </w:tcPr>
          <w:p>
            <w:pPr>
              <w:ind w:left="44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233" w:type="dxa"/>
            <w:vAlign w:val="top"/>
          </w:tcPr>
          <w:p>
            <w:pPr>
              <w:ind w:left="23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4.</w:t>
            </w:r>
            <w:r>
              <w:rPr>
                <w:rFonts w:ascii="Times New Roman" w:hAnsi="Times New Roman" w:eastAsia="Times New Roman" w:cs="Times New Roman"/>
                <w:sz w:val="20"/>
                <w:szCs w:val="20"/>
                <w:spacing w:val="-20"/>
              </w:rPr>
              <w:t xml:space="preserve"> </w:t>
            </w:r>
            <w:r>
              <w:rPr>
                <w:rFonts w:ascii="Times New Roman" w:hAnsi="Times New Roman" w:eastAsia="Times New Roman" w:cs="Times New Roman"/>
                <w:sz w:val="20"/>
                <w:szCs w:val="20"/>
              </w:rPr>
              <w:t>14E-08</w:t>
            </w:r>
          </w:p>
        </w:tc>
        <w:tc>
          <w:tcPr>
            <w:tcW w:w="1186" w:type="dxa"/>
            <w:vAlign w:val="top"/>
          </w:tcPr>
          <w:p>
            <w:pPr>
              <w:ind w:left="41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r>
      <w:tr>
        <w:trPr>
          <w:trHeight w:val="317" w:hRule="atLeast"/>
        </w:trPr>
        <w:tc>
          <w:tcPr>
            <w:tcW w:w="869" w:type="dxa"/>
            <w:vAlign w:val="top"/>
          </w:tcPr>
          <w:p>
            <w:pPr>
              <w:ind w:left="22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2000</w:t>
            </w:r>
          </w:p>
        </w:tc>
        <w:tc>
          <w:tcPr>
            <w:tcW w:w="1135" w:type="dxa"/>
            <w:vAlign w:val="top"/>
          </w:tcPr>
          <w:p>
            <w:pPr>
              <w:ind w:left="15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041" w:type="dxa"/>
            <w:vAlign w:val="top"/>
          </w:tcPr>
          <w:p>
            <w:pPr>
              <w:ind w:left="34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8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5.45E-06</w:t>
            </w:r>
          </w:p>
        </w:tc>
        <w:tc>
          <w:tcPr>
            <w:tcW w:w="1043" w:type="dxa"/>
            <w:vAlign w:val="top"/>
          </w:tcPr>
          <w:p>
            <w:pPr>
              <w:ind w:left="34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8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3.63E-08</w:t>
            </w:r>
          </w:p>
        </w:tc>
        <w:tc>
          <w:tcPr>
            <w:tcW w:w="1182" w:type="dxa"/>
            <w:vAlign w:val="top"/>
          </w:tcPr>
          <w:p>
            <w:pPr>
              <w:ind w:left="40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5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106" w:type="dxa"/>
            <w:vAlign w:val="top"/>
          </w:tcPr>
          <w:p>
            <w:pPr>
              <w:ind w:left="37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35" w:type="dxa"/>
            <w:vAlign w:val="top"/>
          </w:tcPr>
          <w:p>
            <w:pPr>
              <w:ind w:left="28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5.45E-06</w:t>
            </w:r>
          </w:p>
        </w:tc>
        <w:tc>
          <w:tcPr>
            <w:tcW w:w="1250" w:type="dxa"/>
            <w:vAlign w:val="top"/>
          </w:tcPr>
          <w:p>
            <w:pPr>
              <w:ind w:left="44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233" w:type="dxa"/>
            <w:vAlign w:val="top"/>
          </w:tcPr>
          <w:p>
            <w:pPr>
              <w:ind w:left="23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3.63E-08</w:t>
            </w:r>
          </w:p>
        </w:tc>
        <w:tc>
          <w:tcPr>
            <w:tcW w:w="1186" w:type="dxa"/>
            <w:vAlign w:val="top"/>
          </w:tcPr>
          <w:p>
            <w:pPr>
              <w:ind w:left="41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r>
      <w:tr>
        <w:trPr>
          <w:trHeight w:val="317" w:hRule="atLeast"/>
        </w:trPr>
        <w:tc>
          <w:tcPr>
            <w:tcW w:w="869" w:type="dxa"/>
            <w:vAlign w:val="top"/>
          </w:tcPr>
          <w:p>
            <w:pPr>
              <w:ind w:left="22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2500</w:t>
            </w:r>
          </w:p>
        </w:tc>
        <w:tc>
          <w:tcPr>
            <w:tcW w:w="1135" w:type="dxa"/>
            <w:vAlign w:val="top"/>
          </w:tcPr>
          <w:p>
            <w:pPr>
              <w:ind w:left="15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041" w:type="dxa"/>
            <w:vAlign w:val="top"/>
          </w:tcPr>
          <w:p>
            <w:pPr>
              <w:ind w:left="34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7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4.</w:t>
            </w:r>
            <w:r>
              <w:rPr>
                <w:rFonts w:ascii="Times New Roman" w:hAnsi="Times New Roman" w:eastAsia="Times New Roman" w:cs="Times New Roman"/>
                <w:sz w:val="20"/>
                <w:szCs w:val="20"/>
                <w:spacing w:val="-20"/>
              </w:rPr>
              <w:t xml:space="preserve"> </w:t>
            </w:r>
            <w:r>
              <w:rPr>
                <w:rFonts w:ascii="Times New Roman" w:hAnsi="Times New Roman" w:eastAsia="Times New Roman" w:cs="Times New Roman"/>
                <w:sz w:val="20"/>
                <w:szCs w:val="20"/>
              </w:rPr>
              <w:t>12E-06</w:t>
            </w:r>
          </w:p>
        </w:tc>
        <w:tc>
          <w:tcPr>
            <w:tcW w:w="1043" w:type="dxa"/>
            <w:vAlign w:val="top"/>
          </w:tcPr>
          <w:p>
            <w:pPr>
              <w:ind w:left="34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7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2.75E-08</w:t>
            </w:r>
          </w:p>
        </w:tc>
        <w:tc>
          <w:tcPr>
            <w:tcW w:w="1182" w:type="dxa"/>
            <w:vAlign w:val="top"/>
          </w:tcPr>
          <w:p>
            <w:pPr>
              <w:ind w:left="40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5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106" w:type="dxa"/>
            <w:vAlign w:val="top"/>
          </w:tcPr>
          <w:p>
            <w:pPr>
              <w:ind w:left="37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35" w:type="dxa"/>
            <w:vAlign w:val="top"/>
          </w:tcPr>
          <w:p>
            <w:pPr>
              <w:ind w:left="27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4.</w:t>
            </w:r>
            <w:r>
              <w:rPr>
                <w:rFonts w:ascii="Times New Roman" w:hAnsi="Times New Roman" w:eastAsia="Times New Roman" w:cs="Times New Roman"/>
                <w:sz w:val="20"/>
                <w:szCs w:val="20"/>
                <w:spacing w:val="-20"/>
              </w:rPr>
              <w:t xml:space="preserve"> </w:t>
            </w:r>
            <w:r>
              <w:rPr>
                <w:rFonts w:ascii="Times New Roman" w:hAnsi="Times New Roman" w:eastAsia="Times New Roman" w:cs="Times New Roman"/>
                <w:sz w:val="20"/>
                <w:szCs w:val="20"/>
              </w:rPr>
              <w:t>12E-06</w:t>
            </w:r>
          </w:p>
        </w:tc>
        <w:tc>
          <w:tcPr>
            <w:tcW w:w="1250" w:type="dxa"/>
            <w:vAlign w:val="top"/>
          </w:tcPr>
          <w:p>
            <w:pPr>
              <w:ind w:left="44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233" w:type="dxa"/>
            <w:vAlign w:val="top"/>
          </w:tcPr>
          <w:p>
            <w:pPr>
              <w:ind w:left="23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2.75E-08</w:t>
            </w:r>
          </w:p>
        </w:tc>
        <w:tc>
          <w:tcPr>
            <w:tcW w:w="1186" w:type="dxa"/>
            <w:vAlign w:val="top"/>
          </w:tcPr>
          <w:p>
            <w:pPr>
              <w:ind w:left="41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r>
      <w:tr>
        <w:trPr>
          <w:trHeight w:val="317" w:hRule="atLeast"/>
        </w:trPr>
        <w:tc>
          <w:tcPr>
            <w:tcW w:w="869" w:type="dxa"/>
            <w:vAlign w:val="top"/>
            <w:vMerge w:val="restart"/>
            <w:tcBorders>
              <w:bottom w:val="nil"/>
            </w:tcBorders>
          </w:tcPr>
          <w:p>
            <w:pPr>
              <w:pStyle w:val="TableText"/>
              <w:ind w:left="127"/>
              <w:spacing w:before="215" w:line="228" w:lineRule="auto"/>
              <w:rPr/>
            </w:pPr>
            <w:r>
              <w:rPr>
                <w:spacing w:val="6"/>
              </w:rPr>
              <w:t>最大值</w:t>
            </w:r>
          </w:p>
        </w:tc>
        <w:tc>
          <w:tcPr>
            <w:tcW w:w="6671" w:type="dxa"/>
            <w:vAlign w:val="top"/>
            <w:gridSpan w:val="6"/>
          </w:tcPr>
          <w:p>
            <w:pPr>
              <w:ind w:left="314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43m</w:t>
            </w:r>
          </w:p>
        </w:tc>
        <w:tc>
          <w:tcPr>
            <w:tcW w:w="7245" w:type="dxa"/>
            <w:vAlign w:val="top"/>
            <w:gridSpan w:val="6"/>
          </w:tcPr>
          <w:p>
            <w:pPr>
              <w:ind w:left="344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51m</w:t>
            </w:r>
          </w:p>
        </w:tc>
      </w:tr>
      <w:tr>
        <w:trPr>
          <w:trHeight w:val="317" w:hRule="atLeast"/>
        </w:trPr>
        <w:tc>
          <w:tcPr>
            <w:tcW w:w="869" w:type="dxa"/>
            <w:vAlign w:val="top"/>
            <w:vMerge w:val="continue"/>
            <w:tcBorders>
              <w:top w:val="nil"/>
            </w:tcBorders>
          </w:tcPr>
          <w:p>
            <w:pPr>
              <w:rPr>
                <w:rFonts w:ascii="Arial"/>
                <w:sz w:val="21"/>
              </w:rPr>
            </w:pPr>
            <w:r/>
          </w:p>
        </w:tc>
        <w:tc>
          <w:tcPr>
            <w:tcW w:w="1135" w:type="dxa"/>
            <w:vAlign w:val="top"/>
          </w:tcPr>
          <w:p>
            <w:pPr>
              <w:ind w:left="157"/>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041" w:type="dxa"/>
            <w:vAlign w:val="top"/>
          </w:tcPr>
          <w:p>
            <w:pPr>
              <w:ind w:left="340"/>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8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7.29E-05</w:t>
            </w:r>
          </w:p>
        </w:tc>
        <w:tc>
          <w:tcPr>
            <w:tcW w:w="1043" w:type="dxa"/>
            <w:vAlign w:val="top"/>
          </w:tcPr>
          <w:p>
            <w:pPr>
              <w:ind w:left="340"/>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0.04</w:t>
            </w:r>
          </w:p>
        </w:tc>
        <w:tc>
          <w:tcPr>
            <w:tcW w:w="1135" w:type="dxa"/>
            <w:vAlign w:val="top"/>
          </w:tcPr>
          <w:p>
            <w:pPr>
              <w:ind w:left="176"/>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4.86E-07</w:t>
            </w:r>
          </w:p>
        </w:tc>
        <w:tc>
          <w:tcPr>
            <w:tcW w:w="1182" w:type="dxa"/>
            <w:vAlign w:val="top"/>
          </w:tcPr>
          <w:p>
            <w:pPr>
              <w:ind w:left="409"/>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135" w:type="dxa"/>
            <w:vAlign w:val="top"/>
          </w:tcPr>
          <w:p>
            <w:pPr>
              <w:ind w:left="15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0.00E+00</w:t>
            </w:r>
          </w:p>
        </w:tc>
        <w:tc>
          <w:tcPr>
            <w:tcW w:w="1106" w:type="dxa"/>
            <w:vAlign w:val="top"/>
          </w:tcPr>
          <w:p>
            <w:pPr>
              <w:ind w:left="37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35" w:type="dxa"/>
            <w:vAlign w:val="top"/>
          </w:tcPr>
          <w:p>
            <w:pPr>
              <w:ind w:left="285"/>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6.61E-05</w:t>
            </w:r>
          </w:p>
        </w:tc>
        <w:tc>
          <w:tcPr>
            <w:tcW w:w="1250" w:type="dxa"/>
            <w:vAlign w:val="top"/>
          </w:tcPr>
          <w:p>
            <w:pPr>
              <w:ind w:left="446"/>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w:t>
            </w:r>
          </w:p>
        </w:tc>
        <w:tc>
          <w:tcPr>
            <w:tcW w:w="1233" w:type="dxa"/>
            <w:vAlign w:val="top"/>
          </w:tcPr>
          <w:p>
            <w:pPr>
              <w:ind w:left="231"/>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4.41E-07</w:t>
            </w:r>
          </w:p>
        </w:tc>
        <w:tc>
          <w:tcPr>
            <w:tcW w:w="1186" w:type="dxa"/>
            <w:vAlign w:val="top"/>
          </w:tcPr>
          <w:p>
            <w:pPr>
              <w:ind w:left="413"/>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r>
      <w:tr>
        <w:trPr>
          <w:trHeight w:val="321" w:hRule="atLeast"/>
        </w:trPr>
        <w:tc>
          <w:tcPr>
            <w:tcW w:w="869" w:type="dxa"/>
            <w:vAlign w:val="top"/>
          </w:tcPr>
          <w:p>
            <w:pPr>
              <w:ind w:left="16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D10%</w:t>
            </w:r>
          </w:p>
        </w:tc>
        <w:tc>
          <w:tcPr>
            <w:tcW w:w="6671" w:type="dxa"/>
            <w:vAlign w:val="top"/>
            <w:gridSpan w:val="6"/>
          </w:tcPr>
          <w:p>
            <w:pPr>
              <w:pStyle w:val="TableText"/>
              <w:ind w:left="3027"/>
              <w:spacing w:before="57" w:line="228" w:lineRule="auto"/>
              <w:rPr/>
            </w:pPr>
            <w:r>
              <w:rPr>
                <w:spacing w:val="5"/>
              </w:rPr>
              <w:t>未出现</w:t>
            </w:r>
          </w:p>
        </w:tc>
        <w:tc>
          <w:tcPr>
            <w:tcW w:w="7245" w:type="dxa"/>
            <w:vAlign w:val="top"/>
            <w:gridSpan w:val="6"/>
          </w:tcPr>
          <w:p>
            <w:pPr>
              <w:pStyle w:val="TableText"/>
              <w:ind w:left="3316"/>
              <w:spacing w:before="57" w:line="228" w:lineRule="auto"/>
              <w:rPr/>
            </w:pPr>
            <w:r>
              <w:rPr>
                <w:spacing w:val="5"/>
              </w:rPr>
              <w:t>未出现</w:t>
            </w:r>
          </w:p>
        </w:tc>
      </w:tr>
    </w:tbl>
    <w:p>
      <w:pPr>
        <w:pStyle w:val="BodyText"/>
        <w:rPr/>
      </w:pPr>
      <w:r/>
    </w:p>
    <w:p>
      <w:pPr>
        <w:sectPr>
          <w:headerReference w:type="default" r:id="rId214"/>
          <w:footerReference w:type="default" r:id="rId215"/>
          <w:pgSz w:w="16839" w:h="11906"/>
          <w:pgMar w:top="1141" w:right="1024" w:bottom="1811" w:left="1023" w:header="825" w:footer="1128" w:gutter="0"/>
        </w:sectPr>
        <w:rPr/>
      </w:pPr>
    </w:p>
    <w:p>
      <w:pPr>
        <w:ind w:firstLine="95"/>
        <w:spacing w:line="57" w:lineRule="exact"/>
        <w:rPr/>
      </w:pPr>
      <w:r>
        <w:rPr>
          <w:position w:val="-1"/>
        </w:rPr>
        <w:pict>
          <v:shape id="_x0000_s814" style="mso-position-vertical-relative:line;mso-position-horizontal-relative:char;width:728.5pt;height:2.9pt;" fillcolor="#000000" filled="true" stroked="false" coordsize="14570,58" coordorigin="0,0" path="m,l14570,0l14570,28l0,28l0,0xem0,43l14570,43l14570,57l0,57l0,43xe"/>
        </w:pict>
      </w:r>
    </w:p>
    <w:p>
      <w:pPr>
        <w:ind w:left="4821"/>
        <w:spacing w:before="315" w:line="218"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5.1-13      </w:t>
      </w:r>
      <w:r>
        <w:rPr>
          <w:rFonts w:ascii="SimSun" w:hAnsi="SimSun" w:eastAsia="SimSun" w:cs="SimSun"/>
          <w:sz w:val="24"/>
          <w:szCs w:val="24"/>
          <w:b/>
          <w:bCs/>
          <w:spacing w:val="-2"/>
        </w:rPr>
        <w:t>无组织大气污染物估算模式预测结果</w:t>
      </w:r>
    </w:p>
    <w:p>
      <w:pPr>
        <w:spacing w:line="23" w:lineRule="exact"/>
        <w:rPr/>
      </w:pPr>
      <w:r/>
    </w:p>
    <w:tbl>
      <w:tblPr>
        <w:tblStyle w:val="TableNormal"/>
        <w:tblW w:w="1475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04"/>
        <w:gridCol w:w="1277"/>
        <w:gridCol w:w="1436"/>
        <w:gridCol w:w="1049"/>
        <w:gridCol w:w="1325"/>
        <w:gridCol w:w="1372"/>
        <w:gridCol w:w="1545"/>
        <w:gridCol w:w="1486"/>
        <w:gridCol w:w="1666"/>
        <w:gridCol w:w="1354"/>
        <w:gridCol w:w="1441"/>
      </w:tblGrid>
      <w:tr>
        <w:trPr>
          <w:trHeight w:val="321" w:hRule="atLeast"/>
        </w:trPr>
        <w:tc>
          <w:tcPr>
            <w:tcW w:w="804" w:type="dxa"/>
            <w:vAlign w:val="top"/>
            <w:vMerge w:val="restart"/>
            <w:tcBorders>
              <w:bottom w:val="nil"/>
            </w:tcBorders>
          </w:tcPr>
          <w:p>
            <w:pPr>
              <w:pStyle w:val="TableText"/>
              <w:ind w:left="197"/>
              <w:spacing w:before="226" w:line="228" w:lineRule="auto"/>
              <w:rPr/>
            </w:pPr>
            <w:r>
              <w:rPr>
                <w:spacing w:val="5"/>
              </w:rPr>
              <w:t>源中</w:t>
            </w:r>
          </w:p>
          <w:p>
            <w:pPr>
              <w:pStyle w:val="TableText"/>
              <w:ind w:left="205"/>
              <w:spacing w:before="64" w:line="229" w:lineRule="auto"/>
              <w:rPr/>
            </w:pPr>
            <w:r>
              <w:rPr>
                <w:spacing w:val="1"/>
              </w:rPr>
              <w:t>心下</w:t>
            </w:r>
          </w:p>
          <w:p>
            <w:pPr>
              <w:pStyle w:val="TableText"/>
              <w:ind w:left="199"/>
              <w:spacing w:before="64" w:line="228" w:lineRule="auto"/>
              <w:rPr/>
            </w:pPr>
            <w:r>
              <w:rPr>
                <w:spacing w:val="4"/>
              </w:rPr>
              <w:t>风向</w:t>
            </w:r>
          </w:p>
          <w:p>
            <w:pPr>
              <w:pStyle w:val="TableText"/>
              <w:ind w:left="112" w:right="21" w:firstLine="85"/>
              <w:spacing w:before="63" w:line="296" w:lineRule="auto"/>
              <w:rPr/>
            </w:pPr>
            <w:r>
              <w:rPr>
                <w:spacing w:val="5"/>
              </w:rPr>
              <w:t>距离</w:t>
            </w:r>
            <w:r>
              <w:rPr/>
              <w:t xml:space="preserve">  </w:t>
            </w:r>
            <w:r>
              <w:rPr>
                <w:rFonts w:ascii="Times New Roman" w:hAnsi="Times New Roman" w:eastAsia="Times New Roman" w:cs="Times New Roman"/>
                <w:spacing w:val="-9"/>
              </w:rPr>
              <w:t>D</w:t>
            </w:r>
            <w:r>
              <w:rPr>
                <w:spacing w:val="-9"/>
              </w:rPr>
              <w:t>（</w:t>
            </w:r>
            <w:r>
              <w:rPr>
                <w:rFonts w:ascii="Times New Roman" w:hAnsi="Times New Roman" w:eastAsia="Times New Roman" w:cs="Times New Roman"/>
                <w:spacing w:val="-9"/>
              </w:rPr>
              <w:t>m</w:t>
            </w:r>
            <w:r>
              <w:rPr>
                <w:spacing w:val="-9"/>
              </w:rPr>
              <w:t>）</w:t>
            </w:r>
          </w:p>
        </w:tc>
        <w:tc>
          <w:tcPr>
            <w:tcW w:w="2713" w:type="dxa"/>
            <w:vAlign w:val="top"/>
            <w:gridSpan w:val="2"/>
          </w:tcPr>
          <w:p>
            <w:pPr>
              <w:pStyle w:val="TableText"/>
              <w:ind w:left="233"/>
              <w:spacing w:before="55" w:line="228" w:lineRule="auto"/>
              <w:rPr/>
            </w:pPr>
            <w:r>
              <w:rPr>
                <w:spacing w:val="9"/>
              </w:rPr>
              <w:t>梳绒车间颗粒物（</w:t>
            </w:r>
            <w:r>
              <w:rPr>
                <w:rFonts w:ascii="Times New Roman" w:hAnsi="Times New Roman" w:eastAsia="Times New Roman" w:cs="Times New Roman"/>
              </w:rPr>
              <w:t>TSP</w:t>
            </w:r>
            <w:r>
              <w:rPr>
                <w:spacing w:val="9"/>
              </w:rPr>
              <w:t>）</w:t>
            </w:r>
          </w:p>
        </w:tc>
        <w:tc>
          <w:tcPr>
            <w:tcW w:w="5291" w:type="dxa"/>
            <w:vAlign w:val="top"/>
            <w:gridSpan w:val="4"/>
          </w:tcPr>
          <w:p>
            <w:pPr>
              <w:pStyle w:val="TableText"/>
              <w:ind w:left="2022"/>
              <w:spacing w:before="55" w:line="227" w:lineRule="auto"/>
              <w:rPr/>
            </w:pPr>
            <w:r>
              <w:rPr>
                <w:spacing w:val="8"/>
              </w:rPr>
              <w:t>厌氧发酵罐区</w:t>
            </w:r>
          </w:p>
        </w:tc>
        <w:tc>
          <w:tcPr>
            <w:tcW w:w="5947" w:type="dxa"/>
            <w:vAlign w:val="top"/>
            <w:gridSpan w:val="4"/>
          </w:tcPr>
          <w:p>
            <w:pPr>
              <w:pStyle w:val="TableText"/>
              <w:ind w:left="2456"/>
              <w:spacing w:before="56" w:line="229" w:lineRule="auto"/>
              <w:rPr/>
            </w:pPr>
            <w:r>
              <w:rPr>
                <w:spacing w:val="7"/>
              </w:rPr>
              <w:t>沼渣晾晒区</w:t>
            </w:r>
          </w:p>
        </w:tc>
      </w:tr>
      <w:tr>
        <w:trPr>
          <w:trHeight w:val="316" w:hRule="atLeast"/>
        </w:trPr>
        <w:tc>
          <w:tcPr>
            <w:tcW w:w="804" w:type="dxa"/>
            <w:vAlign w:val="top"/>
            <w:vMerge w:val="continue"/>
            <w:tcBorders>
              <w:top w:val="nil"/>
              <w:bottom w:val="nil"/>
            </w:tcBorders>
          </w:tcPr>
          <w:p>
            <w:pPr>
              <w:rPr>
                <w:rFonts w:ascii="Arial"/>
                <w:sz w:val="21"/>
              </w:rPr>
            </w:pPr>
            <w:r/>
          </w:p>
        </w:tc>
        <w:tc>
          <w:tcPr>
            <w:tcW w:w="2713" w:type="dxa"/>
            <w:vAlign w:val="top"/>
            <w:gridSpan w:val="2"/>
          </w:tcPr>
          <w:p>
            <w:pPr>
              <w:ind w:left="1178"/>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TSP</w:t>
            </w:r>
          </w:p>
        </w:tc>
        <w:tc>
          <w:tcPr>
            <w:tcW w:w="2374" w:type="dxa"/>
            <w:vAlign w:val="top"/>
            <w:gridSpan w:val="2"/>
          </w:tcPr>
          <w:p>
            <w:pPr>
              <w:ind w:left="995"/>
              <w:spacing w:before="90"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2917" w:type="dxa"/>
            <w:vAlign w:val="top"/>
            <w:gridSpan w:val="2"/>
          </w:tcPr>
          <w:p>
            <w:pPr>
              <w:ind w:left="1291"/>
              <w:spacing w:before="87"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3152" w:type="dxa"/>
            <w:vAlign w:val="top"/>
            <w:gridSpan w:val="2"/>
          </w:tcPr>
          <w:p>
            <w:pPr>
              <w:ind w:left="1385"/>
              <w:spacing w:before="90"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NH</w:t>
            </w:r>
            <w:r>
              <w:rPr>
                <w:rFonts w:ascii="Times New Roman" w:hAnsi="Times New Roman" w:eastAsia="Times New Roman" w:cs="Times New Roman"/>
                <w:sz w:val="13"/>
                <w:szCs w:val="13"/>
                <w:spacing w:val="7"/>
                <w:position w:val="-1"/>
              </w:rPr>
              <w:t>3</w:t>
            </w:r>
          </w:p>
        </w:tc>
        <w:tc>
          <w:tcPr>
            <w:tcW w:w="2795" w:type="dxa"/>
            <w:vAlign w:val="top"/>
            <w:gridSpan w:val="2"/>
          </w:tcPr>
          <w:p>
            <w:pPr>
              <w:ind w:left="1207"/>
              <w:spacing w:before="90"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r>
      <w:tr>
        <w:trPr>
          <w:trHeight w:val="628" w:hRule="atLeast"/>
        </w:trPr>
        <w:tc>
          <w:tcPr>
            <w:tcW w:w="804" w:type="dxa"/>
            <w:vAlign w:val="top"/>
            <w:vMerge w:val="continue"/>
            <w:tcBorders>
              <w:top w:val="nil"/>
              <w:bottom w:val="nil"/>
            </w:tcBorders>
          </w:tcPr>
          <w:p>
            <w:pPr>
              <w:rPr>
                <w:rFonts w:ascii="Arial"/>
                <w:sz w:val="21"/>
              </w:rPr>
            </w:pPr>
            <w:r/>
          </w:p>
        </w:tc>
        <w:tc>
          <w:tcPr>
            <w:tcW w:w="1277" w:type="dxa"/>
            <w:vAlign w:val="top"/>
            <w:vMerge w:val="restart"/>
            <w:tcBorders>
              <w:bottom w:val="nil"/>
            </w:tcBorders>
          </w:tcPr>
          <w:p>
            <w:pPr>
              <w:spacing w:line="304" w:lineRule="auto"/>
              <w:rPr>
                <w:rFonts w:ascii="Arial"/>
                <w:sz w:val="21"/>
              </w:rPr>
            </w:pPr>
            <w:r/>
          </w:p>
          <w:p>
            <w:pPr>
              <w:pStyle w:val="TableText"/>
              <w:ind w:left="125" w:right="121" w:firstLine="98"/>
              <w:spacing w:before="65" w:line="286" w:lineRule="auto"/>
              <w:rPr>
                <w:rFonts w:ascii="Times New Roman" w:hAnsi="Times New Roman" w:eastAsia="Times New Roman" w:cs="Times New Roman"/>
              </w:rPr>
            </w:pPr>
            <w:r>
              <w:rPr>
                <w:spacing w:val="6"/>
              </w:rPr>
              <w:t>预测浓度</w:t>
            </w:r>
            <w:r>
              <w:rPr>
                <w:spacing w:val="1"/>
              </w:rPr>
              <w:t xml:space="preserve">  </w:t>
            </w:r>
            <w:r>
              <w:rPr>
                <w:rFonts w:ascii="Times New Roman" w:hAnsi="Times New Roman" w:eastAsia="Times New Roman" w:cs="Times New Roman"/>
              </w:rPr>
              <w:t>Ci</w:t>
            </w:r>
            <w:r>
              <w:rPr>
                <w:spacing w:val="8"/>
              </w:rPr>
              <w:t>（</w:t>
            </w:r>
            <w:r>
              <w:rPr>
                <w:rFonts w:ascii="Times New Roman" w:hAnsi="Times New Roman" w:eastAsia="Times New Roman" w:cs="Times New Roman"/>
              </w:rPr>
              <w:t>mg</w:t>
            </w:r>
            <w:r>
              <w:rPr>
                <w:rFonts w:ascii="Times New Roman" w:hAnsi="Times New Roman" w:eastAsia="Times New Roman" w:cs="Times New Roman"/>
                <w:spacing w:val="8"/>
              </w:rPr>
              <w:t>/m³)</w:t>
            </w:r>
          </w:p>
        </w:tc>
        <w:tc>
          <w:tcPr>
            <w:tcW w:w="1436" w:type="dxa"/>
            <w:vAlign w:val="top"/>
          </w:tcPr>
          <w:p>
            <w:pPr>
              <w:pStyle w:val="TableText"/>
              <w:ind w:left="199"/>
              <w:spacing w:before="52" w:line="228" w:lineRule="auto"/>
              <w:rPr/>
            </w:pPr>
            <w:r>
              <w:rPr>
                <w:spacing w:val="7"/>
              </w:rPr>
              <w:t>二级浓度限</w:t>
            </w:r>
          </w:p>
          <w:p>
            <w:pPr>
              <w:pStyle w:val="TableText"/>
              <w:ind w:left="615"/>
              <w:spacing w:before="64" w:line="228" w:lineRule="auto"/>
              <w:rPr/>
            </w:pPr>
            <w:r>
              <w:rPr/>
              <w:t>值</w:t>
            </w:r>
          </w:p>
        </w:tc>
        <w:tc>
          <w:tcPr>
            <w:tcW w:w="1049" w:type="dxa"/>
            <w:vAlign w:val="top"/>
            <w:vMerge w:val="restart"/>
            <w:tcBorders>
              <w:bottom w:val="nil"/>
            </w:tcBorders>
          </w:tcPr>
          <w:p>
            <w:pPr>
              <w:pStyle w:val="TableText"/>
              <w:ind w:left="216"/>
              <w:spacing w:before="215" w:line="228" w:lineRule="auto"/>
              <w:rPr/>
            </w:pPr>
            <w:r>
              <w:rPr>
                <w:spacing w:val="6"/>
              </w:rPr>
              <w:t>预测浓</w:t>
            </w:r>
          </w:p>
          <w:p>
            <w:pPr>
              <w:pStyle w:val="TableText"/>
              <w:ind w:left="297"/>
              <w:spacing w:before="64" w:line="228" w:lineRule="auto"/>
              <w:rPr>
                <w:rFonts w:ascii="Times New Roman" w:hAnsi="Times New Roman" w:eastAsia="Times New Roman" w:cs="Times New Roman"/>
              </w:rPr>
            </w:pPr>
            <w:r>
              <w:rPr>
                <w:spacing w:val="2"/>
              </w:rPr>
              <w:t>度</w:t>
            </w:r>
            <w:r>
              <w:rPr>
                <w:spacing w:val="-40"/>
              </w:rPr>
              <w:t xml:space="preserve"> </w:t>
            </w:r>
            <w:r>
              <w:rPr>
                <w:rFonts w:ascii="Times New Roman" w:hAnsi="Times New Roman" w:eastAsia="Times New Roman" w:cs="Times New Roman"/>
              </w:rPr>
              <w:t>Ci</w:t>
            </w:r>
          </w:p>
          <w:p>
            <w:pPr>
              <w:pStyle w:val="TableText"/>
              <w:ind w:left="123"/>
              <w:spacing w:before="64" w:line="221" w:lineRule="auto"/>
              <w:rPr>
                <w:rFonts w:ascii="Times New Roman" w:hAnsi="Times New Roman" w:eastAsia="Times New Roman" w:cs="Times New Roman"/>
              </w:rPr>
            </w:pPr>
            <w:r>
              <w:rPr>
                <w:spacing w:val="3"/>
              </w:rPr>
              <w:t>（</w:t>
            </w:r>
            <w:r>
              <w:rPr>
                <w:rFonts w:ascii="Times New Roman" w:hAnsi="Times New Roman" w:eastAsia="Times New Roman" w:cs="Times New Roman"/>
              </w:rPr>
              <w:t>mg</w:t>
            </w:r>
            <w:r>
              <w:rPr>
                <w:rFonts w:ascii="Times New Roman" w:hAnsi="Times New Roman" w:eastAsia="Times New Roman" w:cs="Times New Roman"/>
                <w:spacing w:val="3"/>
              </w:rPr>
              <w:t>/m³)</w:t>
            </w:r>
          </w:p>
        </w:tc>
        <w:tc>
          <w:tcPr>
            <w:tcW w:w="1325" w:type="dxa"/>
            <w:vAlign w:val="top"/>
          </w:tcPr>
          <w:p>
            <w:pPr>
              <w:pStyle w:val="TableText"/>
              <w:ind w:left="145"/>
              <w:spacing w:before="52" w:line="228" w:lineRule="auto"/>
              <w:rPr/>
            </w:pPr>
            <w:r>
              <w:rPr>
                <w:spacing w:val="7"/>
              </w:rPr>
              <w:t>二级浓度限</w:t>
            </w:r>
          </w:p>
          <w:p>
            <w:pPr>
              <w:pStyle w:val="TableText"/>
              <w:ind w:left="562"/>
              <w:spacing w:before="64" w:line="228" w:lineRule="auto"/>
              <w:rPr/>
            </w:pPr>
            <w:r>
              <w:rPr/>
              <w:t>值</w:t>
            </w:r>
          </w:p>
        </w:tc>
        <w:tc>
          <w:tcPr>
            <w:tcW w:w="1372" w:type="dxa"/>
            <w:vAlign w:val="top"/>
            <w:vMerge w:val="restart"/>
            <w:tcBorders>
              <w:bottom w:val="nil"/>
            </w:tcBorders>
          </w:tcPr>
          <w:p>
            <w:pPr>
              <w:spacing w:line="304" w:lineRule="auto"/>
              <w:rPr>
                <w:rFonts w:ascii="Arial"/>
                <w:sz w:val="21"/>
              </w:rPr>
            </w:pPr>
            <w:r/>
          </w:p>
          <w:p>
            <w:pPr>
              <w:pStyle w:val="TableText"/>
              <w:ind w:left="146"/>
              <w:spacing w:before="65" w:line="228" w:lineRule="auto"/>
              <w:rPr>
                <w:rFonts w:ascii="Times New Roman" w:hAnsi="Times New Roman" w:eastAsia="Times New Roman" w:cs="Times New Roman"/>
              </w:rPr>
            </w:pPr>
            <w:r>
              <w:rPr>
                <w:spacing w:val="7"/>
              </w:rPr>
              <w:t>预测浓度</w:t>
            </w:r>
            <w:r>
              <w:rPr>
                <w:spacing w:val="-38"/>
              </w:rPr>
              <w:t xml:space="preserve"> </w:t>
            </w:r>
            <w:r>
              <w:rPr>
                <w:rFonts w:ascii="Times New Roman" w:hAnsi="Times New Roman" w:eastAsia="Times New Roman" w:cs="Times New Roman"/>
              </w:rPr>
              <w:t>Ci</w:t>
            </w:r>
          </w:p>
          <w:p>
            <w:pPr>
              <w:pStyle w:val="TableText"/>
              <w:ind w:left="284"/>
              <w:spacing w:before="64" w:line="221" w:lineRule="auto"/>
              <w:rPr>
                <w:rFonts w:ascii="Times New Roman" w:hAnsi="Times New Roman" w:eastAsia="Times New Roman" w:cs="Times New Roman"/>
              </w:rPr>
            </w:pPr>
            <w:r>
              <w:rPr>
                <w:spacing w:val="3"/>
              </w:rPr>
              <w:t>（</w:t>
            </w:r>
            <w:r>
              <w:rPr>
                <w:rFonts w:ascii="Times New Roman" w:hAnsi="Times New Roman" w:eastAsia="Times New Roman" w:cs="Times New Roman"/>
              </w:rPr>
              <w:t>mg</w:t>
            </w:r>
            <w:r>
              <w:rPr>
                <w:rFonts w:ascii="Times New Roman" w:hAnsi="Times New Roman" w:eastAsia="Times New Roman" w:cs="Times New Roman"/>
                <w:spacing w:val="3"/>
              </w:rPr>
              <w:t>/m³)</w:t>
            </w:r>
          </w:p>
        </w:tc>
        <w:tc>
          <w:tcPr>
            <w:tcW w:w="1545" w:type="dxa"/>
            <w:vAlign w:val="top"/>
          </w:tcPr>
          <w:p>
            <w:pPr>
              <w:pStyle w:val="TableText"/>
              <w:ind w:left="150"/>
              <w:spacing w:before="207" w:line="228" w:lineRule="auto"/>
              <w:rPr/>
            </w:pPr>
            <w:r>
              <w:rPr>
                <w:spacing w:val="7"/>
              </w:rPr>
              <w:t>二级浓度限值</w:t>
            </w:r>
          </w:p>
        </w:tc>
        <w:tc>
          <w:tcPr>
            <w:tcW w:w="1486" w:type="dxa"/>
            <w:vAlign w:val="top"/>
            <w:vMerge w:val="restart"/>
            <w:tcBorders>
              <w:bottom w:val="nil"/>
            </w:tcBorders>
          </w:tcPr>
          <w:p>
            <w:pPr>
              <w:spacing w:line="304" w:lineRule="auto"/>
              <w:rPr>
                <w:rFonts w:ascii="Arial"/>
                <w:sz w:val="21"/>
              </w:rPr>
            </w:pPr>
            <w:r/>
          </w:p>
          <w:p>
            <w:pPr>
              <w:pStyle w:val="TableText"/>
              <w:ind w:left="205"/>
              <w:spacing w:before="65" w:line="228" w:lineRule="auto"/>
              <w:rPr>
                <w:rFonts w:ascii="Times New Roman" w:hAnsi="Times New Roman" w:eastAsia="Times New Roman" w:cs="Times New Roman"/>
              </w:rPr>
            </w:pPr>
            <w:r>
              <w:rPr>
                <w:spacing w:val="7"/>
              </w:rPr>
              <w:t>预测浓度</w:t>
            </w:r>
            <w:r>
              <w:rPr>
                <w:spacing w:val="-38"/>
              </w:rPr>
              <w:t xml:space="preserve"> </w:t>
            </w:r>
            <w:r>
              <w:rPr>
                <w:rFonts w:ascii="Times New Roman" w:hAnsi="Times New Roman" w:eastAsia="Times New Roman" w:cs="Times New Roman"/>
              </w:rPr>
              <w:t>Ci</w:t>
            </w:r>
          </w:p>
          <w:p>
            <w:pPr>
              <w:pStyle w:val="TableText"/>
              <w:ind w:left="343"/>
              <w:spacing w:before="64" w:line="221" w:lineRule="auto"/>
              <w:rPr>
                <w:rFonts w:ascii="Times New Roman" w:hAnsi="Times New Roman" w:eastAsia="Times New Roman" w:cs="Times New Roman"/>
              </w:rPr>
            </w:pPr>
            <w:r>
              <w:rPr>
                <w:spacing w:val="3"/>
              </w:rPr>
              <w:t>（</w:t>
            </w:r>
            <w:r>
              <w:rPr>
                <w:rFonts w:ascii="Times New Roman" w:hAnsi="Times New Roman" w:eastAsia="Times New Roman" w:cs="Times New Roman"/>
              </w:rPr>
              <w:t>mg</w:t>
            </w:r>
            <w:r>
              <w:rPr>
                <w:rFonts w:ascii="Times New Roman" w:hAnsi="Times New Roman" w:eastAsia="Times New Roman" w:cs="Times New Roman"/>
                <w:spacing w:val="3"/>
              </w:rPr>
              <w:t>/m³)</w:t>
            </w:r>
          </w:p>
        </w:tc>
        <w:tc>
          <w:tcPr>
            <w:tcW w:w="1666" w:type="dxa"/>
            <w:vAlign w:val="top"/>
          </w:tcPr>
          <w:p>
            <w:pPr>
              <w:pStyle w:val="TableText"/>
              <w:ind w:left="213"/>
              <w:spacing w:before="207" w:line="228" w:lineRule="auto"/>
              <w:rPr/>
            </w:pPr>
            <w:r>
              <w:rPr>
                <w:spacing w:val="7"/>
              </w:rPr>
              <w:t>二级浓度限值</w:t>
            </w:r>
          </w:p>
        </w:tc>
        <w:tc>
          <w:tcPr>
            <w:tcW w:w="1354" w:type="dxa"/>
            <w:vAlign w:val="top"/>
            <w:vMerge w:val="restart"/>
            <w:tcBorders>
              <w:bottom w:val="nil"/>
            </w:tcBorders>
          </w:tcPr>
          <w:p>
            <w:pPr>
              <w:spacing w:line="304" w:lineRule="auto"/>
              <w:rPr>
                <w:rFonts w:ascii="Arial"/>
                <w:sz w:val="21"/>
              </w:rPr>
            </w:pPr>
            <w:r/>
          </w:p>
          <w:p>
            <w:pPr>
              <w:pStyle w:val="TableText"/>
              <w:ind w:left="139"/>
              <w:spacing w:before="65" w:line="228" w:lineRule="auto"/>
              <w:rPr>
                <w:rFonts w:ascii="Times New Roman" w:hAnsi="Times New Roman" w:eastAsia="Times New Roman" w:cs="Times New Roman"/>
              </w:rPr>
            </w:pPr>
            <w:r>
              <w:rPr>
                <w:spacing w:val="7"/>
              </w:rPr>
              <w:t>预测浓度</w:t>
            </w:r>
            <w:r>
              <w:rPr>
                <w:spacing w:val="-38"/>
              </w:rPr>
              <w:t xml:space="preserve"> </w:t>
            </w:r>
            <w:r>
              <w:rPr>
                <w:rFonts w:ascii="Times New Roman" w:hAnsi="Times New Roman" w:eastAsia="Times New Roman" w:cs="Times New Roman"/>
              </w:rPr>
              <w:t>Ci</w:t>
            </w:r>
          </w:p>
          <w:p>
            <w:pPr>
              <w:pStyle w:val="TableText"/>
              <w:ind w:left="277"/>
              <w:spacing w:before="64" w:line="221" w:lineRule="auto"/>
              <w:rPr>
                <w:rFonts w:ascii="Times New Roman" w:hAnsi="Times New Roman" w:eastAsia="Times New Roman" w:cs="Times New Roman"/>
              </w:rPr>
            </w:pPr>
            <w:r>
              <w:rPr>
                <w:spacing w:val="4"/>
              </w:rPr>
              <w:t>（</w:t>
            </w:r>
            <w:r>
              <w:rPr>
                <w:rFonts w:ascii="Times New Roman" w:hAnsi="Times New Roman" w:eastAsia="Times New Roman" w:cs="Times New Roman"/>
              </w:rPr>
              <w:t>mg</w:t>
            </w:r>
            <w:r>
              <w:rPr>
                <w:rFonts w:ascii="Times New Roman" w:hAnsi="Times New Roman" w:eastAsia="Times New Roman" w:cs="Times New Roman"/>
                <w:spacing w:val="4"/>
              </w:rPr>
              <w:t>/m³)</w:t>
            </w:r>
          </w:p>
        </w:tc>
        <w:tc>
          <w:tcPr>
            <w:tcW w:w="1441" w:type="dxa"/>
            <w:vAlign w:val="top"/>
          </w:tcPr>
          <w:p>
            <w:pPr>
              <w:pStyle w:val="TableText"/>
              <w:ind w:left="203"/>
              <w:spacing w:before="52" w:line="228" w:lineRule="auto"/>
              <w:rPr/>
            </w:pPr>
            <w:r>
              <w:rPr>
                <w:spacing w:val="7"/>
              </w:rPr>
              <w:t>二级浓度限</w:t>
            </w:r>
          </w:p>
          <w:p>
            <w:pPr>
              <w:pStyle w:val="TableText"/>
              <w:ind w:left="619"/>
              <w:spacing w:before="64" w:line="228" w:lineRule="auto"/>
              <w:rPr/>
            </w:pPr>
            <w:r>
              <w:rPr/>
              <w:t>值</w:t>
            </w:r>
          </w:p>
        </w:tc>
      </w:tr>
      <w:tr>
        <w:trPr>
          <w:trHeight w:val="628" w:hRule="atLeast"/>
        </w:trPr>
        <w:tc>
          <w:tcPr>
            <w:tcW w:w="804" w:type="dxa"/>
            <w:vAlign w:val="top"/>
            <w:vMerge w:val="continue"/>
            <w:tcBorders>
              <w:top w:val="nil"/>
            </w:tcBorders>
          </w:tcPr>
          <w:p>
            <w:pPr>
              <w:rPr>
                <w:rFonts w:ascii="Arial"/>
                <w:sz w:val="21"/>
              </w:rPr>
            </w:pPr>
            <w:r/>
          </w:p>
        </w:tc>
        <w:tc>
          <w:tcPr>
            <w:tcW w:w="1277" w:type="dxa"/>
            <w:vAlign w:val="top"/>
            <w:vMerge w:val="continue"/>
            <w:tcBorders>
              <w:top w:val="nil"/>
            </w:tcBorders>
          </w:tcPr>
          <w:p>
            <w:pPr>
              <w:rPr>
                <w:rFonts w:ascii="Arial"/>
                <w:sz w:val="21"/>
              </w:rPr>
            </w:pPr>
            <w:r/>
          </w:p>
        </w:tc>
        <w:tc>
          <w:tcPr>
            <w:tcW w:w="1436" w:type="dxa"/>
            <w:vAlign w:val="top"/>
          </w:tcPr>
          <w:p>
            <w:pPr>
              <w:pStyle w:val="TableText"/>
              <w:ind w:right="12"/>
              <w:spacing w:before="210" w:line="228" w:lineRule="auto"/>
              <w:jc w:val="right"/>
              <w:rPr/>
            </w:pPr>
            <w:r>
              <w:rPr>
                <w:spacing w:val="-8"/>
              </w:rPr>
              <w:t>占标率</w:t>
            </w:r>
            <w:r>
              <w:rPr>
                <w:rFonts w:ascii="Times New Roman" w:hAnsi="Times New Roman" w:eastAsia="Times New Roman" w:cs="Times New Roman"/>
                <w:spacing w:val="-8"/>
              </w:rPr>
              <w:t>Pi</w:t>
            </w:r>
            <w:r>
              <w:rPr>
                <w:spacing w:val="-8"/>
              </w:rPr>
              <w:t>（</w:t>
            </w:r>
            <w:r>
              <w:rPr>
                <w:rFonts w:ascii="Times New Roman" w:hAnsi="Times New Roman" w:eastAsia="Times New Roman" w:cs="Times New Roman"/>
                <w:spacing w:val="-8"/>
              </w:rPr>
              <w:t>%</w:t>
            </w:r>
            <w:r>
              <w:rPr>
                <w:spacing w:val="-8"/>
              </w:rPr>
              <w:t>）</w:t>
            </w:r>
          </w:p>
        </w:tc>
        <w:tc>
          <w:tcPr>
            <w:tcW w:w="1049" w:type="dxa"/>
            <w:vAlign w:val="top"/>
            <w:vMerge w:val="continue"/>
            <w:tcBorders>
              <w:top w:val="nil"/>
            </w:tcBorders>
          </w:tcPr>
          <w:p>
            <w:pPr>
              <w:rPr>
                <w:rFonts w:ascii="Arial"/>
                <w:sz w:val="21"/>
              </w:rPr>
            </w:pPr>
            <w:r/>
          </w:p>
        </w:tc>
        <w:tc>
          <w:tcPr>
            <w:tcW w:w="1325" w:type="dxa"/>
            <w:vAlign w:val="top"/>
          </w:tcPr>
          <w:p>
            <w:pPr>
              <w:pStyle w:val="TableText"/>
              <w:ind w:left="272"/>
              <w:spacing w:before="54" w:line="228" w:lineRule="auto"/>
              <w:rPr>
                <w:rFonts w:ascii="Times New Roman" w:hAnsi="Times New Roman" w:eastAsia="Times New Roman" w:cs="Times New Roman"/>
              </w:rPr>
            </w:pPr>
            <w:r>
              <w:rPr>
                <w:spacing w:val="-3"/>
              </w:rPr>
              <w:t>占标率</w:t>
            </w:r>
            <w:r>
              <w:rPr>
                <w:spacing w:val="-41"/>
              </w:rPr>
              <w:t xml:space="preserve"> </w:t>
            </w:r>
            <w:r>
              <w:rPr>
                <w:rFonts w:ascii="Times New Roman" w:hAnsi="Times New Roman" w:eastAsia="Times New Roman" w:cs="Times New Roman"/>
                <w:spacing w:val="-3"/>
              </w:rPr>
              <w:t>Pi</w:t>
            </w:r>
          </w:p>
          <w:p>
            <w:pPr>
              <w:pStyle w:val="TableText"/>
              <w:ind w:left="380"/>
              <w:spacing w:before="65" w:line="231" w:lineRule="auto"/>
              <w:rPr/>
            </w:pPr>
            <w:r>
              <w:rPr>
                <w:spacing w:val="-1"/>
              </w:rPr>
              <w:t>（</w:t>
            </w:r>
            <w:r>
              <w:rPr>
                <w:rFonts w:ascii="Times New Roman" w:hAnsi="Times New Roman" w:eastAsia="Times New Roman" w:cs="Times New Roman"/>
                <w:spacing w:val="-1"/>
              </w:rPr>
              <w:t>%</w:t>
            </w:r>
            <w:r>
              <w:rPr>
                <w:spacing w:val="-1"/>
              </w:rPr>
              <w:t>）</w:t>
            </w:r>
          </w:p>
        </w:tc>
        <w:tc>
          <w:tcPr>
            <w:tcW w:w="1372" w:type="dxa"/>
            <w:vAlign w:val="top"/>
            <w:vMerge w:val="continue"/>
            <w:tcBorders>
              <w:top w:val="nil"/>
            </w:tcBorders>
          </w:tcPr>
          <w:p>
            <w:pPr>
              <w:rPr>
                <w:rFonts w:ascii="Arial"/>
                <w:sz w:val="21"/>
              </w:rPr>
            </w:pPr>
            <w:r/>
          </w:p>
        </w:tc>
        <w:tc>
          <w:tcPr>
            <w:tcW w:w="1545" w:type="dxa"/>
            <w:vAlign w:val="top"/>
          </w:tcPr>
          <w:p>
            <w:pPr>
              <w:pStyle w:val="TableText"/>
              <w:ind w:right="11"/>
              <w:spacing w:before="210" w:line="228" w:lineRule="auto"/>
              <w:jc w:val="right"/>
              <w:rPr/>
            </w:pPr>
            <w:r>
              <w:rPr>
                <w:spacing w:val="-2"/>
              </w:rPr>
              <w:t>占标率</w:t>
            </w:r>
            <w:r>
              <w:rPr>
                <w:spacing w:val="-38"/>
              </w:rPr>
              <w:t xml:space="preserve"> </w:t>
            </w:r>
            <w:r>
              <w:rPr>
                <w:rFonts w:ascii="Times New Roman" w:hAnsi="Times New Roman" w:eastAsia="Times New Roman" w:cs="Times New Roman"/>
                <w:spacing w:val="-2"/>
              </w:rPr>
              <w:t>Pi</w:t>
            </w:r>
            <w:r>
              <w:rPr>
                <w:spacing w:val="-2"/>
              </w:rPr>
              <w:t>（</w:t>
            </w:r>
            <w:r>
              <w:rPr>
                <w:rFonts w:ascii="Times New Roman" w:hAnsi="Times New Roman" w:eastAsia="Times New Roman" w:cs="Times New Roman"/>
                <w:spacing w:val="-2"/>
              </w:rPr>
              <w:t>%</w:t>
            </w:r>
            <w:r>
              <w:rPr>
                <w:spacing w:val="-2"/>
              </w:rPr>
              <w:t>）</w:t>
            </w:r>
          </w:p>
        </w:tc>
        <w:tc>
          <w:tcPr>
            <w:tcW w:w="1486" w:type="dxa"/>
            <w:vAlign w:val="top"/>
            <w:vMerge w:val="continue"/>
            <w:tcBorders>
              <w:top w:val="nil"/>
            </w:tcBorders>
          </w:tcPr>
          <w:p>
            <w:pPr>
              <w:rPr>
                <w:rFonts w:ascii="Arial"/>
                <w:sz w:val="21"/>
              </w:rPr>
            </w:pPr>
            <w:r/>
          </w:p>
        </w:tc>
        <w:tc>
          <w:tcPr>
            <w:tcW w:w="1666" w:type="dxa"/>
            <w:vAlign w:val="top"/>
          </w:tcPr>
          <w:p>
            <w:pPr>
              <w:pStyle w:val="TableText"/>
              <w:ind w:left="148"/>
              <w:spacing w:before="210" w:line="228" w:lineRule="auto"/>
              <w:rPr/>
            </w:pPr>
            <w:r>
              <w:rPr>
                <w:spacing w:val="1"/>
              </w:rPr>
              <w:t>占标率</w:t>
            </w:r>
            <w:r>
              <w:rPr>
                <w:spacing w:val="-41"/>
              </w:rPr>
              <w:t xml:space="preserve"> </w:t>
            </w:r>
            <w:r>
              <w:rPr>
                <w:rFonts w:ascii="Times New Roman" w:hAnsi="Times New Roman" w:eastAsia="Times New Roman" w:cs="Times New Roman"/>
              </w:rPr>
              <w:t>Pi</w:t>
            </w:r>
            <w:r>
              <w:rPr>
                <w:spacing w:val="1"/>
              </w:rPr>
              <w:t>（</w:t>
            </w:r>
            <w:r>
              <w:rPr>
                <w:rFonts w:ascii="Times New Roman" w:hAnsi="Times New Roman" w:eastAsia="Times New Roman" w:cs="Times New Roman"/>
                <w:spacing w:val="1"/>
              </w:rPr>
              <w:t>%</w:t>
            </w:r>
            <w:r>
              <w:rPr>
                <w:spacing w:val="1"/>
              </w:rPr>
              <w:t>）</w:t>
            </w:r>
          </w:p>
        </w:tc>
        <w:tc>
          <w:tcPr>
            <w:tcW w:w="1354" w:type="dxa"/>
            <w:vAlign w:val="top"/>
            <w:vMerge w:val="continue"/>
            <w:tcBorders>
              <w:top w:val="nil"/>
            </w:tcBorders>
          </w:tcPr>
          <w:p>
            <w:pPr>
              <w:rPr>
                <w:rFonts w:ascii="Arial"/>
                <w:sz w:val="21"/>
              </w:rPr>
            </w:pPr>
            <w:r/>
          </w:p>
        </w:tc>
        <w:tc>
          <w:tcPr>
            <w:tcW w:w="1441" w:type="dxa"/>
            <w:vAlign w:val="top"/>
          </w:tcPr>
          <w:p>
            <w:pPr>
              <w:pStyle w:val="TableText"/>
              <w:ind w:right="13"/>
              <w:spacing w:before="210" w:line="228" w:lineRule="auto"/>
              <w:jc w:val="right"/>
              <w:rPr/>
            </w:pPr>
            <w:r>
              <w:rPr>
                <w:spacing w:val="-8"/>
              </w:rPr>
              <w:t>占标率</w:t>
            </w:r>
            <w:r>
              <w:rPr>
                <w:rFonts w:ascii="Times New Roman" w:hAnsi="Times New Roman" w:eastAsia="Times New Roman" w:cs="Times New Roman"/>
                <w:spacing w:val="-8"/>
              </w:rPr>
              <w:t>Pi</w:t>
            </w:r>
            <w:r>
              <w:rPr>
                <w:spacing w:val="-8"/>
              </w:rPr>
              <w:t>（</w:t>
            </w:r>
            <w:r>
              <w:rPr>
                <w:rFonts w:ascii="Times New Roman" w:hAnsi="Times New Roman" w:eastAsia="Times New Roman" w:cs="Times New Roman"/>
                <w:spacing w:val="-8"/>
              </w:rPr>
              <w:t>%</w:t>
            </w:r>
            <w:r>
              <w:rPr>
                <w:spacing w:val="-8"/>
              </w:rPr>
              <w:t>）</w:t>
            </w:r>
          </w:p>
        </w:tc>
      </w:tr>
      <w:tr>
        <w:trPr>
          <w:trHeight w:val="316" w:hRule="atLeast"/>
        </w:trPr>
        <w:tc>
          <w:tcPr>
            <w:tcW w:w="804" w:type="dxa"/>
            <w:vAlign w:val="top"/>
          </w:tcPr>
          <w:p>
            <w:pPr>
              <w:ind w:left="31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277" w:type="dxa"/>
            <w:vAlign w:val="top"/>
          </w:tcPr>
          <w:p>
            <w:pPr>
              <w:ind w:left="27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14E-03</w:t>
            </w:r>
          </w:p>
        </w:tc>
        <w:tc>
          <w:tcPr>
            <w:tcW w:w="1436" w:type="dxa"/>
            <w:vAlign w:val="top"/>
          </w:tcPr>
          <w:p>
            <w:pPr>
              <w:ind w:left="53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0.13</w:t>
            </w:r>
          </w:p>
        </w:tc>
        <w:tc>
          <w:tcPr>
            <w:tcW w:w="1049" w:type="dxa"/>
            <w:vAlign w:val="top"/>
          </w:tcPr>
          <w:p>
            <w:pPr>
              <w:ind w:left="14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9.59E-05</w:t>
            </w:r>
          </w:p>
        </w:tc>
        <w:tc>
          <w:tcPr>
            <w:tcW w:w="1325" w:type="dxa"/>
            <w:vAlign w:val="top"/>
          </w:tcPr>
          <w:p>
            <w:pPr>
              <w:ind w:left="48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0.05</w:t>
            </w:r>
          </w:p>
        </w:tc>
        <w:tc>
          <w:tcPr>
            <w:tcW w:w="1372" w:type="dxa"/>
            <w:vAlign w:val="top"/>
          </w:tcPr>
          <w:p>
            <w:pPr>
              <w:ind w:left="30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5.65E-06</w:t>
            </w:r>
          </w:p>
        </w:tc>
        <w:tc>
          <w:tcPr>
            <w:tcW w:w="1545" w:type="dxa"/>
            <w:vAlign w:val="top"/>
          </w:tcPr>
          <w:p>
            <w:pPr>
              <w:ind w:left="59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1486" w:type="dxa"/>
            <w:vAlign w:val="top"/>
          </w:tcPr>
          <w:p>
            <w:pPr>
              <w:ind w:firstLine="352"/>
              <w:spacing w:before="39" w:line="241" w:lineRule="exact"/>
              <w:rPr/>
            </w:pPr>
            <w:r>
              <w:rPr>
                <w:position w:val="-4"/>
              </w:rPr>
              <w:pict>
                <v:shape id="_x0000_s816" style="mso-position-vertical-relative:line;mso-position-horizontal-relative:char;width:38.75pt;height:12.05pt;" fillcolor="#D9D9D9" filled="true" stroked="false" type="#_x0000_t202">
                  <v:fill on="true"/>
                  <v:stroke on="false"/>
                  <v:path/>
                  <v:imagedata o:title=""/>
                  <o:lock v:ext="edit" aspectratio="false"/>
                  <v:textbox inset="0mm,0mm,0mm,0mm">
                    <w:txbxContent>
                      <w:p>
                        <w:pPr>
                          <w:spacing w:before="52"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7.33E-04</w:t>
                        </w:r>
                      </w:p>
                    </w:txbxContent>
                  </v:textbox>
                </v:shape>
              </w:pict>
            </w:r>
          </w:p>
        </w:tc>
        <w:tc>
          <w:tcPr>
            <w:tcW w:w="1666" w:type="dxa"/>
            <w:vAlign w:val="top"/>
          </w:tcPr>
          <w:p>
            <w:pPr>
              <w:ind w:firstLine="647"/>
              <w:spacing w:before="39" w:line="241" w:lineRule="exact"/>
              <w:rPr/>
            </w:pPr>
            <w:r>
              <w:rPr>
                <w:position w:val="-4"/>
              </w:rPr>
              <w:pict>
                <v:shape id="_x0000_s818" style="mso-position-vertical-relative:line;mso-position-horizontal-relative:char;width:18.5pt;height:12.05pt;" fillcolor="#D9D9D9" filled="true" stroked="false" type="#_x0000_t202">
                  <v:fill on="true"/>
                  <v:stroke on="false"/>
                  <v:path/>
                  <v:imagedata o:title=""/>
                  <o:lock v:ext="edit" aspectratio="false"/>
                  <v:textbox inset="0mm,0mm,0mm,0mm">
                    <w:txbxContent>
                      <w:p>
                        <w:pPr>
                          <w:spacing w:before="52"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0.37</w:t>
                        </w:r>
                      </w:p>
                    </w:txbxContent>
                  </v:textbox>
                </v:shape>
              </w:pict>
            </w:r>
          </w:p>
        </w:tc>
        <w:tc>
          <w:tcPr>
            <w:tcW w:w="1354" w:type="dxa"/>
            <w:vAlign w:val="top"/>
          </w:tcPr>
          <w:p>
            <w:pPr>
              <w:ind w:firstLine="288"/>
              <w:spacing w:before="39" w:line="241" w:lineRule="exact"/>
              <w:rPr/>
            </w:pPr>
            <w:r>
              <w:rPr>
                <w:position w:val="-4"/>
              </w:rPr>
              <w:pict>
                <v:shape id="_x0000_s820" style="mso-position-vertical-relative:line;mso-position-horizontal-relative:char;width:38.75pt;height:12.05pt;" fillcolor="#D9D9D9" filled="true" stroked="false" type="#_x0000_t202">
                  <v:fill on="true"/>
                  <v:stroke on="false"/>
                  <v:path/>
                  <v:imagedata o:title=""/>
                  <o:lock v:ext="edit" aspectratio="false"/>
                  <v:textbox inset="0mm,0mm,0mm,0mm">
                    <w:txbxContent>
                      <w:p>
                        <w:pPr>
                          <w:ind w:left="6"/>
                          <w:spacing w:before="5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7.33E-05</w:t>
                        </w:r>
                      </w:p>
                    </w:txbxContent>
                  </v:textbox>
                </v:shape>
              </w:pict>
            </w:r>
          </w:p>
        </w:tc>
        <w:tc>
          <w:tcPr>
            <w:tcW w:w="1441" w:type="dxa"/>
            <w:vAlign w:val="top"/>
          </w:tcPr>
          <w:p>
            <w:pPr>
              <w:ind w:left="542"/>
              <w:spacing w:before="91" w:line="195" w:lineRule="auto"/>
              <w:rPr>
                <w:rFonts w:ascii="Times New Roman" w:hAnsi="Times New Roman" w:eastAsia="Times New Roman" w:cs="Times New Roman"/>
                <w:sz w:val="20"/>
                <w:szCs w:val="20"/>
              </w:rPr>
            </w:pPr>
            <w:r>
              <w:rPr>
                <w:shd w:val="clear" w:fill="D9D9D9"/>
                <w:rFonts w:ascii="Times New Roman" w:hAnsi="Times New Roman" w:eastAsia="Times New Roman" w:cs="Times New Roman"/>
                <w:sz w:val="20"/>
                <w:szCs w:val="20"/>
                <w:spacing w:val="2"/>
              </w:rPr>
              <w:t>0.73</w:t>
            </w:r>
          </w:p>
        </w:tc>
      </w:tr>
      <w:tr>
        <w:trPr>
          <w:trHeight w:val="317" w:hRule="atLeast"/>
        </w:trPr>
        <w:tc>
          <w:tcPr>
            <w:tcW w:w="804" w:type="dxa"/>
            <w:vAlign w:val="top"/>
          </w:tcPr>
          <w:p>
            <w:pPr>
              <w:ind w:left="31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17</w:t>
            </w:r>
          </w:p>
        </w:tc>
        <w:tc>
          <w:tcPr>
            <w:tcW w:w="1277" w:type="dxa"/>
            <w:vAlign w:val="top"/>
          </w:tcPr>
          <w:p>
            <w:pPr>
              <w:ind w:left="605"/>
              <w:spacing w:before="8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436" w:type="dxa"/>
            <w:vAlign w:val="top"/>
          </w:tcPr>
          <w:p>
            <w:pPr>
              <w:ind w:left="684"/>
              <w:spacing w:before="8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49" w:type="dxa"/>
            <w:vAlign w:val="top"/>
          </w:tcPr>
          <w:p>
            <w:pPr>
              <w:ind w:firstLine="132"/>
              <w:spacing w:before="40" w:line="241" w:lineRule="exact"/>
              <w:rPr/>
            </w:pPr>
            <w:r>
              <w:rPr>
                <w:position w:val="-4"/>
              </w:rPr>
              <w:pict>
                <v:shape id="_x0000_s822" style="mso-position-vertical-relative:line;mso-position-horizontal-relative:char;width:38.75pt;height:12.1pt;" fillcolor="#D9D9D9" filled="true" stroked="false" type="#_x0000_t202">
                  <v:fill on="true"/>
                  <v:stroke on="false"/>
                  <v:path/>
                  <v:imagedata o:title=""/>
                  <o:lock v:ext="edit" aspectratio="false"/>
                  <v:textbox inset="0mm,0mm,0mm,0mm">
                    <w:txbxContent>
                      <w:p>
                        <w:pPr>
                          <w:ind w:right="1"/>
                          <w:spacing w:before="52"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1.21E-04</w:t>
                        </w:r>
                      </w:p>
                    </w:txbxContent>
                  </v:textbox>
                </v:shape>
              </w:pict>
            </w:r>
          </w:p>
        </w:tc>
        <w:tc>
          <w:tcPr>
            <w:tcW w:w="1325" w:type="dxa"/>
            <w:vAlign w:val="top"/>
          </w:tcPr>
          <w:p>
            <w:pPr>
              <w:ind w:firstLine="474"/>
              <w:spacing w:before="40" w:line="241" w:lineRule="exact"/>
              <w:rPr/>
            </w:pPr>
            <w:r>
              <w:rPr>
                <w:position w:val="-4"/>
              </w:rPr>
              <w:pict>
                <v:shape id="_x0000_s824" style="mso-position-vertical-relative:line;mso-position-horizontal-relative:char;width:18.45pt;height:12.1pt;" fillcolor="#D9D9D9" filled="true" stroked="false" type="#_x0000_t202">
                  <v:fill on="true"/>
                  <v:stroke on="false"/>
                  <v:path/>
                  <v:imagedata o:title=""/>
                  <o:lock v:ext="edit" aspectratio="false"/>
                  <v:textbox inset="0mm,0mm,0mm,0mm">
                    <w:txbxContent>
                      <w:p>
                        <w:pPr>
                          <w:spacing w:before="52"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xbxContent>
                  </v:textbox>
                </v:shape>
              </w:pict>
            </w:r>
          </w:p>
        </w:tc>
        <w:tc>
          <w:tcPr>
            <w:tcW w:w="1372" w:type="dxa"/>
            <w:vAlign w:val="top"/>
          </w:tcPr>
          <w:p>
            <w:pPr>
              <w:ind w:firstLine="294"/>
              <w:spacing w:before="40" w:line="241" w:lineRule="exact"/>
              <w:rPr/>
            </w:pPr>
            <w:r>
              <w:rPr>
                <w:position w:val="-4"/>
              </w:rPr>
              <w:pict>
                <v:shape id="_x0000_s826" style="mso-position-vertical-relative:line;mso-position-horizontal-relative:char;width:38.75pt;height:12.1pt;" fillcolor="#D9D9D9" filled="true" stroked="false" type="#_x0000_t202">
                  <v:fill on="true"/>
                  <v:stroke on="false"/>
                  <v:path/>
                  <v:imagedata o:title=""/>
                  <o:lock v:ext="edit" aspectratio="false"/>
                  <v:textbox inset="0mm,0mm,0mm,0mm">
                    <w:txbxContent>
                      <w:p>
                        <w:pPr>
                          <w:ind w:right="1"/>
                          <w:spacing w:before="52"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rPr>
                          <w:t>7.</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rPr>
                          <w:t>11E-06</w:t>
                        </w:r>
                      </w:p>
                    </w:txbxContent>
                  </v:textbox>
                </v:shape>
              </w:pict>
            </w:r>
          </w:p>
        </w:tc>
        <w:tc>
          <w:tcPr>
            <w:tcW w:w="1545" w:type="dxa"/>
            <w:vAlign w:val="top"/>
          </w:tcPr>
          <w:p>
            <w:pPr>
              <w:ind w:firstLine="585"/>
              <w:spacing w:before="40" w:line="241" w:lineRule="exact"/>
              <w:rPr/>
            </w:pPr>
            <w:r>
              <w:rPr>
                <w:position w:val="-4"/>
              </w:rPr>
              <w:pict>
                <v:shape id="_x0000_s828" style="mso-position-vertical-relative:line;mso-position-horizontal-relative:char;width:18.45pt;height:12.1pt;" fillcolor="#D9D9D9" filled="true" stroked="false" type="#_x0000_t202">
                  <v:fill on="true"/>
                  <v:stroke on="false"/>
                  <v:path/>
                  <v:imagedata o:title=""/>
                  <o:lock v:ext="edit" aspectratio="false"/>
                  <v:textbox inset="0mm,0mm,0mm,0mm">
                    <w:txbxContent>
                      <w:p>
                        <w:pPr>
                          <w:spacing w:before="52"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0.07</w:t>
                        </w:r>
                      </w:p>
                    </w:txbxContent>
                  </v:textbox>
                </v:shape>
              </w:pict>
            </w:r>
          </w:p>
        </w:tc>
        <w:tc>
          <w:tcPr>
            <w:tcW w:w="1486" w:type="dxa"/>
            <w:vAlign w:val="top"/>
          </w:tcPr>
          <w:p>
            <w:pPr>
              <w:ind w:left="711"/>
              <w:spacing w:before="8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666" w:type="dxa"/>
            <w:vAlign w:val="top"/>
          </w:tcPr>
          <w:p>
            <w:pPr>
              <w:ind w:left="802"/>
              <w:spacing w:before="8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354" w:type="dxa"/>
            <w:vAlign w:val="top"/>
          </w:tcPr>
          <w:p>
            <w:pPr>
              <w:ind w:left="648"/>
              <w:spacing w:before="8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441" w:type="dxa"/>
            <w:vAlign w:val="top"/>
          </w:tcPr>
          <w:p>
            <w:pPr>
              <w:ind w:left="688"/>
              <w:spacing w:before="8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317" w:hRule="atLeast"/>
        </w:trPr>
        <w:tc>
          <w:tcPr>
            <w:tcW w:w="804" w:type="dxa"/>
            <w:vAlign w:val="top"/>
          </w:tcPr>
          <w:p>
            <w:pPr>
              <w:ind w:left="30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1277" w:type="dxa"/>
            <w:vAlign w:val="top"/>
          </w:tcPr>
          <w:p>
            <w:pPr>
              <w:ind w:firstLine="245"/>
              <w:spacing w:before="40" w:line="241" w:lineRule="exact"/>
              <w:rPr/>
            </w:pPr>
            <w:r>
              <w:rPr>
                <w:position w:val="-4"/>
              </w:rPr>
              <w:pict>
                <v:shape id="_x0000_s830" style="mso-position-vertical-relative:line;mso-position-horizontal-relative:char;width:38.75pt;height:12.05pt;" fillcolor="#D9D9D9" filled="true" stroked="false" type="#_x0000_t202">
                  <v:fill on="true"/>
                  <v:stroke on="false"/>
                  <v:path/>
                  <v:imagedata o:title=""/>
                  <o:lock v:ext="edit" aspectratio="false"/>
                  <v:textbox inset="0mm,0mm,0mm,0mm">
                    <w:txbxContent>
                      <w:p>
                        <w:pPr>
                          <w:ind w:right="1"/>
                          <w:spacing w:before="51"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1.63E-03</w:t>
                        </w:r>
                      </w:p>
                    </w:txbxContent>
                  </v:textbox>
                </v:shape>
              </w:pict>
            </w:r>
          </w:p>
        </w:tc>
        <w:tc>
          <w:tcPr>
            <w:tcW w:w="1436" w:type="dxa"/>
            <w:vAlign w:val="top"/>
          </w:tcPr>
          <w:p>
            <w:pPr>
              <w:ind w:left="536"/>
              <w:spacing w:before="91" w:line="195" w:lineRule="auto"/>
              <w:rPr>
                <w:rFonts w:ascii="Times New Roman" w:hAnsi="Times New Roman" w:eastAsia="Times New Roman" w:cs="Times New Roman"/>
                <w:sz w:val="20"/>
                <w:szCs w:val="20"/>
              </w:rPr>
            </w:pPr>
            <w:r>
              <w:rPr>
                <w:shd w:val="clear" w:fill="D9D9D9"/>
                <w:rFonts w:ascii="Times New Roman" w:hAnsi="Times New Roman" w:eastAsia="Times New Roman" w:cs="Times New Roman"/>
                <w:sz w:val="20"/>
                <w:szCs w:val="20"/>
                <w:spacing w:val="2"/>
              </w:rPr>
              <w:t>0.18</w:t>
            </w:r>
          </w:p>
        </w:tc>
        <w:tc>
          <w:tcPr>
            <w:tcW w:w="1049" w:type="dxa"/>
            <w:vAlign w:val="top"/>
          </w:tcPr>
          <w:p>
            <w:pPr>
              <w:ind w:left="14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9.85E-05</w:t>
            </w:r>
          </w:p>
        </w:tc>
        <w:tc>
          <w:tcPr>
            <w:tcW w:w="1325" w:type="dxa"/>
            <w:vAlign w:val="top"/>
          </w:tcPr>
          <w:p>
            <w:pPr>
              <w:ind w:left="48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0.05</w:t>
            </w:r>
          </w:p>
        </w:tc>
        <w:tc>
          <w:tcPr>
            <w:tcW w:w="1372" w:type="dxa"/>
            <w:vAlign w:val="top"/>
          </w:tcPr>
          <w:p>
            <w:pPr>
              <w:ind w:left="30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5.80E-06</w:t>
            </w:r>
          </w:p>
        </w:tc>
        <w:tc>
          <w:tcPr>
            <w:tcW w:w="1545" w:type="dxa"/>
            <w:vAlign w:val="top"/>
          </w:tcPr>
          <w:p>
            <w:pPr>
              <w:ind w:left="59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1486" w:type="dxa"/>
            <w:vAlign w:val="top"/>
          </w:tcPr>
          <w:p>
            <w:pPr>
              <w:ind w:left="35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4.</w:t>
            </w:r>
            <w:r>
              <w:rPr>
                <w:rFonts w:ascii="Times New Roman" w:hAnsi="Times New Roman" w:eastAsia="Times New Roman" w:cs="Times New Roman"/>
                <w:sz w:val="20"/>
                <w:szCs w:val="20"/>
                <w:spacing w:val="-20"/>
              </w:rPr>
              <w:t xml:space="preserve"> </w:t>
            </w:r>
            <w:r>
              <w:rPr>
                <w:rFonts w:ascii="Times New Roman" w:hAnsi="Times New Roman" w:eastAsia="Times New Roman" w:cs="Times New Roman"/>
                <w:sz w:val="20"/>
                <w:szCs w:val="20"/>
              </w:rPr>
              <w:t>12E-04</w:t>
            </w:r>
          </w:p>
        </w:tc>
        <w:tc>
          <w:tcPr>
            <w:tcW w:w="1666" w:type="dxa"/>
            <w:vAlign w:val="top"/>
          </w:tcPr>
          <w:p>
            <w:pPr>
              <w:ind w:left="65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0.21</w:t>
            </w:r>
          </w:p>
        </w:tc>
        <w:tc>
          <w:tcPr>
            <w:tcW w:w="1354" w:type="dxa"/>
            <w:vAlign w:val="top"/>
          </w:tcPr>
          <w:p>
            <w:pPr>
              <w:ind w:left="29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4.</w:t>
            </w:r>
            <w:r>
              <w:rPr>
                <w:rFonts w:ascii="Times New Roman" w:hAnsi="Times New Roman" w:eastAsia="Times New Roman" w:cs="Times New Roman"/>
                <w:sz w:val="20"/>
                <w:szCs w:val="20"/>
                <w:spacing w:val="-20"/>
              </w:rPr>
              <w:t xml:space="preserve"> </w:t>
            </w:r>
            <w:r>
              <w:rPr>
                <w:rFonts w:ascii="Times New Roman" w:hAnsi="Times New Roman" w:eastAsia="Times New Roman" w:cs="Times New Roman"/>
                <w:sz w:val="20"/>
                <w:szCs w:val="20"/>
              </w:rPr>
              <w:t>12E-05</w:t>
            </w:r>
          </w:p>
        </w:tc>
        <w:tc>
          <w:tcPr>
            <w:tcW w:w="1441" w:type="dxa"/>
            <w:vAlign w:val="top"/>
          </w:tcPr>
          <w:p>
            <w:pPr>
              <w:ind w:left="54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0.41</w:t>
            </w:r>
          </w:p>
        </w:tc>
      </w:tr>
      <w:tr>
        <w:trPr>
          <w:trHeight w:val="317" w:hRule="atLeast"/>
        </w:trPr>
        <w:tc>
          <w:tcPr>
            <w:tcW w:w="804" w:type="dxa"/>
            <w:vAlign w:val="top"/>
          </w:tcPr>
          <w:p>
            <w:pPr>
              <w:ind w:left="26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100</w:t>
            </w:r>
          </w:p>
        </w:tc>
        <w:tc>
          <w:tcPr>
            <w:tcW w:w="1277" w:type="dxa"/>
            <w:vAlign w:val="top"/>
          </w:tcPr>
          <w:p>
            <w:pPr>
              <w:ind w:left="27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1.44E-03</w:t>
            </w:r>
          </w:p>
        </w:tc>
        <w:tc>
          <w:tcPr>
            <w:tcW w:w="1436" w:type="dxa"/>
            <w:vAlign w:val="top"/>
          </w:tcPr>
          <w:p>
            <w:pPr>
              <w:ind w:left="53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0.16</w:t>
            </w:r>
          </w:p>
        </w:tc>
        <w:tc>
          <w:tcPr>
            <w:tcW w:w="1049" w:type="dxa"/>
            <w:vAlign w:val="top"/>
          </w:tcPr>
          <w:p>
            <w:pPr>
              <w:ind w:left="14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6.09E-05</w:t>
            </w:r>
          </w:p>
        </w:tc>
        <w:tc>
          <w:tcPr>
            <w:tcW w:w="1325" w:type="dxa"/>
            <w:vAlign w:val="top"/>
          </w:tcPr>
          <w:p>
            <w:pPr>
              <w:ind w:left="48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w:t>
            </w:r>
          </w:p>
        </w:tc>
        <w:tc>
          <w:tcPr>
            <w:tcW w:w="1372" w:type="dxa"/>
            <w:vAlign w:val="top"/>
          </w:tcPr>
          <w:p>
            <w:pPr>
              <w:ind w:left="30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3.59E-06</w:t>
            </w:r>
          </w:p>
        </w:tc>
        <w:tc>
          <w:tcPr>
            <w:tcW w:w="1545" w:type="dxa"/>
            <w:vAlign w:val="top"/>
          </w:tcPr>
          <w:p>
            <w:pPr>
              <w:ind w:left="59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0.04</w:t>
            </w:r>
          </w:p>
        </w:tc>
        <w:tc>
          <w:tcPr>
            <w:tcW w:w="1486" w:type="dxa"/>
            <w:vAlign w:val="top"/>
          </w:tcPr>
          <w:p>
            <w:pPr>
              <w:ind w:left="36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3.08E-04</w:t>
            </w:r>
          </w:p>
        </w:tc>
        <w:tc>
          <w:tcPr>
            <w:tcW w:w="1666" w:type="dxa"/>
            <w:vAlign w:val="top"/>
          </w:tcPr>
          <w:p>
            <w:pPr>
              <w:ind w:left="65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0.15</w:t>
            </w:r>
          </w:p>
        </w:tc>
        <w:tc>
          <w:tcPr>
            <w:tcW w:w="1354" w:type="dxa"/>
            <w:vAlign w:val="top"/>
          </w:tcPr>
          <w:p>
            <w:pPr>
              <w:ind w:left="29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3.08E-05</w:t>
            </w:r>
          </w:p>
        </w:tc>
        <w:tc>
          <w:tcPr>
            <w:tcW w:w="1441" w:type="dxa"/>
            <w:vAlign w:val="top"/>
          </w:tcPr>
          <w:p>
            <w:pPr>
              <w:ind w:left="54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0.31</w:t>
            </w:r>
          </w:p>
        </w:tc>
      </w:tr>
      <w:tr>
        <w:trPr>
          <w:trHeight w:val="317" w:hRule="atLeast"/>
        </w:trPr>
        <w:tc>
          <w:tcPr>
            <w:tcW w:w="804" w:type="dxa"/>
            <w:vAlign w:val="top"/>
          </w:tcPr>
          <w:p>
            <w:pPr>
              <w:ind w:left="24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w:t>
            </w:r>
          </w:p>
        </w:tc>
        <w:tc>
          <w:tcPr>
            <w:tcW w:w="1277" w:type="dxa"/>
            <w:vAlign w:val="top"/>
          </w:tcPr>
          <w:p>
            <w:pPr>
              <w:ind w:left="27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1.08E-03</w:t>
            </w:r>
          </w:p>
        </w:tc>
        <w:tc>
          <w:tcPr>
            <w:tcW w:w="1436" w:type="dxa"/>
            <w:vAlign w:val="top"/>
          </w:tcPr>
          <w:p>
            <w:pPr>
              <w:ind w:left="53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12</w:t>
            </w:r>
          </w:p>
        </w:tc>
        <w:tc>
          <w:tcPr>
            <w:tcW w:w="1049" w:type="dxa"/>
            <w:vAlign w:val="top"/>
          </w:tcPr>
          <w:p>
            <w:pPr>
              <w:ind w:left="13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4.63E-05</w:t>
            </w:r>
          </w:p>
        </w:tc>
        <w:tc>
          <w:tcPr>
            <w:tcW w:w="1325" w:type="dxa"/>
            <w:vAlign w:val="top"/>
          </w:tcPr>
          <w:p>
            <w:pPr>
              <w:ind w:left="48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c>
          <w:tcPr>
            <w:tcW w:w="1372" w:type="dxa"/>
            <w:vAlign w:val="top"/>
          </w:tcPr>
          <w:p>
            <w:pPr>
              <w:ind w:left="29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2.73E-06</w:t>
            </w:r>
          </w:p>
        </w:tc>
        <w:tc>
          <w:tcPr>
            <w:tcW w:w="1545" w:type="dxa"/>
            <w:vAlign w:val="top"/>
          </w:tcPr>
          <w:p>
            <w:pPr>
              <w:ind w:left="59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w:t>
            </w:r>
          </w:p>
        </w:tc>
        <w:tc>
          <w:tcPr>
            <w:tcW w:w="1486" w:type="dxa"/>
            <w:vAlign w:val="top"/>
          </w:tcPr>
          <w:p>
            <w:pPr>
              <w:ind w:left="35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2.26E-04</w:t>
            </w:r>
          </w:p>
        </w:tc>
        <w:tc>
          <w:tcPr>
            <w:tcW w:w="1666" w:type="dxa"/>
            <w:vAlign w:val="top"/>
          </w:tcPr>
          <w:p>
            <w:pPr>
              <w:ind w:left="65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11</w:t>
            </w:r>
          </w:p>
        </w:tc>
        <w:tc>
          <w:tcPr>
            <w:tcW w:w="1354" w:type="dxa"/>
            <w:vAlign w:val="top"/>
          </w:tcPr>
          <w:p>
            <w:pPr>
              <w:ind w:left="29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2.26E-05</w:t>
            </w:r>
          </w:p>
        </w:tc>
        <w:tc>
          <w:tcPr>
            <w:tcW w:w="1441" w:type="dxa"/>
            <w:vAlign w:val="top"/>
          </w:tcPr>
          <w:p>
            <w:pPr>
              <w:ind w:left="54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0.23</w:t>
            </w:r>
          </w:p>
        </w:tc>
      </w:tr>
      <w:tr>
        <w:trPr>
          <w:trHeight w:val="317" w:hRule="atLeast"/>
        </w:trPr>
        <w:tc>
          <w:tcPr>
            <w:tcW w:w="804" w:type="dxa"/>
            <w:vAlign w:val="top"/>
          </w:tcPr>
          <w:p>
            <w:pPr>
              <w:ind w:left="244"/>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400</w:t>
            </w:r>
          </w:p>
        </w:tc>
        <w:tc>
          <w:tcPr>
            <w:tcW w:w="1277" w:type="dxa"/>
            <w:vAlign w:val="top"/>
          </w:tcPr>
          <w:p>
            <w:pPr>
              <w:ind w:left="253"/>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7.08E-04</w:t>
            </w:r>
          </w:p>
        </w:tc>
        <w:tc>
          <w:tcPr>
            <w:tcW w:w="1436" w:type="dxa"/>
            <w:vAlign w:val="top"/>
          </w:tcPr>
          <w:p>
            <w:pPr>
              <w:ind w:left="536"/>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0.08</w:t>
            </w:r>
          </w:p>
        </w:tc>
        <w:tc>
          <w:tcPr>
            <w:tcW w:w="1049" w:type="dxa"/>
            <w:vAlign w:val="top"/>
          </w:tcPr>
          <w:p>
            <w:pPr>
              <w:ind w:left="140"/>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3.33E-05</w:t>
            </w:r>
          </w:p>
        </w:tc>
        <w:tc>
          <w:tcPr>
            <w:tcW w:w="1325" w:type="dxa"/>
            <w:vAlign w:val="top"/>
          </w:tcPr>
          <w:p>
            <w:pPr>
              <w:ind w:left="48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c>
          <w:tcPr>
            <w:tcW w:w="1372" w:type="dxa"/>
            <w:vAlign w:val="top"/>
          </w:tcPr>
          <w:p>
            <w:pPr>
              <w:ind w:left="319"/>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1.96E-06</w:t>
            </w:r>
          </w:p>
        </w:tc>
        <w:tc>
          <w:tcPr>
            <w:tcW w:w="1545" w:type="dxa"/>
            <w:vAlign w:val="top"/>
          </w:tcPr>
          <w:p>
            <w:pPr>
              <w:ind w:left="593"/>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c>
          <w:tcPr>
            <w:tcW w:w="1486" w:type="dxa"/>
            <w:vAlign w:val="top"/>
          </w:tcPr>
          <w:p>
            <w:pPr>
              <w:ind w:left="378"/>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1.46E-04</w:t>
            </w:r>
          </w:p>
        </w:tc>
        <w:tc>
          <w:tcPr>
            <w:tcW w:w="1666" w:type="dxa"/>
            <w:vAlign w:val="top"/>
          </w:tcPr>
          <w:p>
            <w:pPr>
              <w:ind w:left="655"/>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0.07</w:t>
            </w:r>
          </w:p>
        </w:tc>
        <w:tc>
          <w:tcPr>
            <w:tcW w:w="1354" w:type="dxa"/>
            <w:vAlign w:val="top"/>
          </w:tcPr>
          <w:p>
            <w:pPr>
              <w:ind w:left="31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1.46E-05</w:t>
            </w:r>
          </w:p>
        </w:tc>
        <w:tc>
          <w:tcPr>
            <w:tcW w:w="1441" w:type="dxa"/>
            <w:vAlign w:val="top"/>
          </w:tcPr>
          <w:p>
            <w:pPr>
              <w:ind w:left="54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0.15</w:t>
            </w:r>
          </w:p>
        </w:tc>
      </w:tr>
      <w:tr>
        <w:trPr>
          <w:trHeight w:val="317" w:hRule="atLeast"/>
        </w:trPr>
        <w:tc>
          <w:tcPr>
            <w:tcW w:w="804" w:type="dxa"/>
            <w:vAlign w:val="top"/>
          </w:tcPr>
          <w:p>
            <w:pPr>
              <w:ind w:left="24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600</w:t>
            </w:r>
          </w:p>
        </w:tc>
        <w:tc>
          <w:tcPr>
            <w:tcW w:w="1277" w:type="dxa"/>
            <w:vAlign w:val="top"/>
          </w:tcPr>
          <w:p>
            <w:pPr>
              <w:ind w:left="25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r>
              <w:rPr>
                <w:rFonts w:ascii="Times New Roman" w:hAnsi="Times New Roman" w:eastAsia="Times New Roman" w:cs="Times New Roman"/>
                <w:sz w:val="20"/>
                <w:szCs w:val="20"/>
                <w:spacing w:val="-26"/>
              </w:rPr>
              <w:t xml:space="preserve"> </w:t>
            </w:r>
            <w:r>
              <w:rPr>
                <w:rFonts w:ascii="Times New Roman" w:hAnsi="Times New Roman" w:eastAsia="Times New Roman" w:cs="Times New Roman"/>
                <w:sz w:val="20"/>
                <w:szCs w:val="20"/>
              </w:rPr>
              <w:t>12E-04</w:t>
            </w:r>
          </w:p>
        </w:tc>
        <w:tc>
          <w:tcPr>
            <w:tcW w:w="1436" w:type="dxa"/>
            <w:vAlign w:val="top"/>
          </w:tcPr>
          <w:p>
            <w:pPr>
              <w:ind w:left="53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1049" w:type="dxa"/>
            <w:vAlign w:val="top"/>
          </w:tcPr>
          <w:p>
            <w:pPr>
              <w:ind w:left="13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2.58E-05</w:t>
            </w:r>
          </w:p>
        </w:tc>
        <w:tc>
          <w:tcPr>
            <w:tcW w:w="1325" w:type="dxa"/>
            <w:vAlign w:val="top"/>
          </w:tcPr>
          <w:p>
            <w:pPr>
              <w:ind w:left="48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72" w:type="dxa"/>
            <w:vAlign w:val="top"/>
          </w:tcPr>
          <w:p>
            <w:pPr>
              <w:ind w:left="31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1.52E-06</w:t>
            </w:r>
          </w:p>
        </w:tc>
        <w:tc>
          <w:tcPr>
            <w:tcW w:w="1545" w:type="dxa"/>
            <w:vAlign w:val="top"/>
          </w:tcPr>
          <w:p>
            <w:pPr>
              <w:ind w:left="59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c>
          <w:tcPr>
            <w:tcW w:w="1486" w:type="dxa"/>
            <w:vAlign w:val="top"/>
          </w:tcPr>
          <w:p>
            <w:pPr>
              <w:ind w:left="378"/>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1.05E-04</w:t>
            </w:r>
          </w:p>
        </w:tc>
        <w:tc>
          <w:tcPr>
            <w:tcW w:w="1666" w:type="dxa"/>
            <w:vAlign w:val="top"/>
          </w:tcPr>
          <w:p>
            <w:pPr>
              <w:ind w:left="65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0.05</w:t>
            </w:r>
          </w:p>
        </w:tc>
        <w:tc>
          <w:tcPr>
            <w:tcW w:w="1354" w:type="dxa"/>
            <w:vAlign w:val="top"/>
          </w:tcPr>
          <w:p>
            <w:pPr>
              <w:ind w:left="31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1.05E-05</w:t>
            </w:r>
          </w:p>
        </w:tc>
        <w:tc>
          <w:tcPr>
            <w:tcW w:w="1441" w:type="dxa"/>
            <w:vAlign w:val="top"/>
          </w:tcPr>
          <w:p>
            <w:pPr>
              <w:ind w:left="54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0.</w:t>
            </w:r>
            <w:r>
              <w:rPr>
                <w:rFonts w:ascii="Times New Roman" w:hAnsi="Times New Roman" w:eastAsia="Times New Roman" w:cs="Times New Roman"/>
                <w:sz w:val="20"/>
                <w:szCs w:val="20"/>
                <w:spacing w:val="-23"/>
              </w:rPr>
              <w:t xml:space="preserve"> </w:t>
            </w:r>
            <w:r>
              <w:rPr>
                <w:rFonts w:ascii="Times New Roman" w:hAnsi="Times New Roman" w:eastAsia="Times New Roman" w:cs="Times New Roman"/>
                <w:sz w:val="20"/>
                <w:szCs w:val="20"/>
                <w:spacing w:val="-5"/>
              </w:rPr>
              <w:t>11</w:t>
            </w:r>
          </w:p>
        </w:tc>
      </w:tr>
      <w:tr>
        <w:trPr>
          <w:trHeight w:val="317" w:hRule="atLeast"/>
        </w:trPr>
        <w:tc>
          <w:tcPr>
            <w:tcW w:w="804" w:type="dxa"/>
            <w:vAlign w:val="top"/>
          </w:tcPr>
          <w:p>
            <w:pPr>
              <w:ind w:left="25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800</w:t>
            </w:r>
          </w:p>
        </w:tc>
        <w:tc>
          <w:tcPr>
            <w:tcW w:w="1277" w:type="dxa"/>
            <w:vAlign w:val="top"/>
          </w:tcPr>
          <w:p>
            <w:pPr>
              <w:ind w:left="25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3.90E-04</w:t>
            </w:r>
          </w:p>
        </w:tc>
        <w:tc>
          <w:tcPr>
            <w:tcW w:w="1436" w:type="dxa"/>
            <w:vAlign w:val="top"/>
          </w:tcPr>
          <w:p>
            <w:pPr>
              <w:ind w:left="53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0.04</w:t>
            </w:r>
          </w:p>
        </w:tc>
        <w:tc>
          <w:tcPr>
            <w:tcW w:w="1049" w:type="dxa"/>
            <w:vAlign w:val="top"/>
          </w:tcPr>
          <w:p>
            <w:pPr>
              <w:ind w:left="13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2.08E-05</w:t>
            </w:r>
          </w:p>
        </w:tc>
        <w:tc>
          <w:tcPr>
            <w:tcW w:w="1325" w:type="dxa"/>
            <w:vAlign w:val="top"/>
          </w:tcPr>
          <w:p>
            <w:pPr>
              <w:ind w:left="48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72" w:type="dxa"/>
            <w:vAlign w:val="top"/>
          </w:tcPr>
          <w:p>
            <w:pPr>
              <w:ind w:left="319"/>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1.23E-06</w:t>
            </w:r>
          </w:p>
        </w:tc>
        <w:tc>
          <w:tcPr>
            <w:tcW w:w="1545" w:type="dxa"/>
            <w:vAlign w:val="top"/>
          </w:tcPr>
          <w:p>
            <w:pPr>
              <w:ind w:left="59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486" w:type="dxa"/>
            <w:vAlign w:val="top"/>
          </w:tcPr>
          <w:p>
            <w:pPr>
              <w:ind w:left="36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7.99E-05</w:t>
            </w:r>
          </w:p>
        </w:tc>
        <w:tc>
          <w:tcPr>
            <w:tcW w:w="1666" w:type="dxa"/>
            <w:vAlign w:val="top"/>
          </w:tcPr>
          <w:p>
            <w:pPr>
              <w:ind w:left="65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0.04</w:t>
            </w:r>
          </w:p>
        </w:tc>
        <w:tc>
          <w:tcPr>
            <w:tcW w:w="1354" w:type="dxa"/>
            <w:vAlign w:val="top"/>
          </w:tcPr>
          <w:p>
            <w:pPr>
              <w:ind w:left="29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7.99E-06</w:t>
            </w:r>
          </w:p>
        </w:tc>
        <w:tc>
          <w:tcPr>
            <w:tcW w:w="1441" w:type="dxa"/>
            <w:vAlign w:val="top"/>
          </w:tcPr>
          <w:p>
            <w:pPr>
              <w:ind w:left="54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0.08</w:t>
            </w:r>
          </w:p>
        </w:tc>
      </w:tr>
      <w:tr>
        <w:trPr>
          <w:trHeight w:val="317" w:hRule="atLeast"/>
        </w:trPr>
        <w:tc>
          <w:tcPr>
            <w:tcW w:w="804" w:type="dxa"/>
            <w:vAlign w:val="top"/>
          </w:tcPr>
          <w:p>
            <w:pPr>
              <w:ind w:left="21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1000</w:t>
            </w:r>
          </w:p>
        </w:tc>
        <w:tc>
          <w:tcPr>
            <w:tcW w:w="1277" w:type="dxa"/>
            <w:vAlign w:val="top"/>
          </w:tcPr>
          <w:p>
            <w:pPr>
              <w:ind w:left="25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3.09E-04</w:t>
            </w:r>
          </w:p>
        </w:tc>
        <w:tc>
          <w:tcPr>
            <w:tcW w:w="1436" w:type="dxa"/>
            <w:vAlign w:val="top"/>
          </w:tcPr>
          <w:p>
            <w:pPr>
              <w:ind w:left="53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w:t>
            </w:r>
          </w:p>
        </w:tc>
        <w:tc>
          <w:tcPr>
            <w:tcW w:w="1049" w:type="dxa"/>
            <w:vAlign w:val="top"/>
          </w:tcPr>
          <w:p>
            <w:pPr>
              <w:ind w:left="15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1.74E-05</w:t>
            </w:r>
          </w:p>
        </w:tc>
        <w:tc>
          <w:tcPr>
            <w:tcW w:w="1325" w:type="dxa"/>
            <w:vAlign w:val="top"/>
          </w:tcPr>
          <w:p>
            <w:pPr>
              <w:ind w:left="48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72" w:type="dxa"/>
            <w:vAlign w:val="top"/>
          </w:tcPr>
          <w:p>
            <w:pPr>
              <w:ind w:left="31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1.02E-06</w:t>
            </w:r>
          </w:p>
        </w:tc>
        <w:tc>
          <w:tcPr>
            <w:tcW w:w="1545" w:type="dxa"/>
            <w:vAlign w:val="top"/>
          </w:tcPr>
          <w:p>
            <w:pPr>
              <w:ind w:left="59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486" w:type="dxa"/>
            <w:vAlign w:val="top"/>
          </w:tcPr>
          <w:p>
            <w:pPr>
              <w:ind w:left="36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6.32E-05</w:t>
            </w:r>
          </w:p>
        </w:tc>
        <w:tc>
          <w:tcPr>
            <w:tcW w:w="1666" w:type="dxa"/>
            <w:vAlign w:val="top"/>
          </w:tcPr>
          <w:p>
            <w:pPr>
              <w:ind w:left="65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w:t>
            </w:r>
          </w:p>
        </w:tc>
        <w:tc>
          <w:tcPr>
            <w:tcW w:w="1354" w:type="dxa"/>
            <w:vAlign w:val="top"/>
          </w:tcPr>
          <w:p>
            <w:pPr>
              <w:ind w:left="29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6.32E-06</w:t>
            </w:r>
          </w:p>
        </w:tc>
        <w:tc>
          <w:tcPr>
            <w:tcW w:w="1441" w:type="dxa"/>
            <w:vAlign w:val="top"/>
          </w:tcPr>
          <w:p>
            <w:pPr>
              <w:ind w:left="54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r>
      <w:tr>
        <w:trPr>
          <w:trHeight w:val="317" w:hRule="atLeast"/>
        </w:trPr>
        <w:tc>
          <w:tcPr>
            <w:tcW w:w="804" w:type="dxa"/>
            <w:vAlign w:val="top"/>
          </w:tcPr>
          <w:p>
            <w:pPr>
              <w:ind w:left="21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1200</w:t>
            </w:r>
          </w:p>
        </w:tc>
        <w:tc>
          <w:tcPr>
            <w:tcW w:w="1277" w:type="dxa"/>
            <w:vAlign w:val="top"/>
          </w:tcPr>
          <w:p>
            <w:pPr>
              <w:ind w:left="24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2.52E-04</w:t>
            </w:r>
          </w:p>
        </w:tc>
        <w:tc>
          <w:tcPr>
            <w:tcW w:w="1436" w:type="dxa"/>
            <w:vAlign w:val="top"/>
          </w:tcPr>
          <w:p>
            <w:pPr>
              <w:ind w:left="53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w:t>
            </w:r>
          </w:p>
        </w:tc>
        <w:tc>
          <w:tcPr>
            <w:tcW w:w="1049" w:type="dxa"/>
            <w:vAlign w:val="top"/>
          </w:tcPr>
          <w:p>
            <w:pPr>
              <w:ind w:left="15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1.48E-05</w:t>
            </w:r>
          </w:p>
        </w:tc>
        <w:tc>
          <w:tcPr>
            <w:tcW w:w="1325" w:type="dxa"/>
            <w:vAlign w:val="top"/>
          </w:tcPr>
          <w:p>
            <w:pPr>
              <w:ind w:left="48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72" w:type="dxa"/>
            <w:vAlign w:val="top"/>
          </w:tcPr>
          <w:p>
            <w:pPr>
              <w:ind w:left="30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8.70E-07</w:t>
            </w:r>
          </w:p>
        </w:tc>
        <w:tc>
          <w:tcPr>
            <w:tcW w:w="1545" w:type="dxa"/>
            <w:vAlign w:val="top"/>
          </w:tcPr>
          <w:p>
            <w:pPr>
              <w:ind w:left="59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486" w:type="dxa"/>
            <w:vAlign w:val="top"/>
          </w:tcPr>
          <w:p>
            <w:pPr>
              <w:ind w:left="36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rPr>
              <w:t>16E-05</w:t>
            </w:r>
          </w:p>
        </w:tc>
        <w:tc>
          <w:tcPr>
            <w:tcW w:w="1666" w:type="dxa"/>
            <w:vAlign w:val="top"/>
          </w:tcPr>
          <w:p>
            <w:pPr>
              <w:ind w:left="65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w:t>
            </w:r>
          </w:p>
        </w:tc>
        <w:tc>
          <w:tcPr>
            <w:tcW w:w="1354" w:type="dxa"/>
            <w:vAlign w:val="top"/>
          </w:tcPr>
          <w:p>
            <w:pPr>
              <w:ind w:left="298"/>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rPr>
              <w:t>16E-06</w:t>
            </w:r>
          </w:p>
        </w:tc>
        <w:tc>
          <w:tcPr>
            <w:tcW w:w="1441" w:type="dxa"/>
            <w:vAlign w:val="top"/>
          </w:tcPr>
          <w:p>
            <w:pPr>
              <w:ind w:left="54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0.05</w:t>
            </w:r>
          </w:p>
        </w:tc>
      </w:tr>
      <w:tr>
        <w:trPr>
          <w:trHeight w:val="317" w:hRule="atLeast"/>
        </w:trPr>
        <w:tc>
          <w:tcPr>
            <w:tcW w:w="804" w:type="dxa"/>
            <w:vAlign w:val="top"/>
          </w:tcPr>
          <w:p>
            <w:pPr>
              <w:ind w:left="21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1400</w:t>
            </w:r>
          </w:p>
        </w:tc>
        <w:tc>
          <w:tcPr>
            <w:tcW w:w="1277" w:type="dxa"/>
            <w:vAlign w:val="top"/>
          </w:tcPr>
          <w:p>
            <w:pPr>
              <w:ind w:left="24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r>
              <w:rPr>
                <w:rFonts w:ascii="Times New Roman" w:hAnsi="Times New Roman" w:eastAsia="Times New Roman" w:cs="Times New Roman"/>
                <w:sz w:val="20"/>
                <w:szCs w:val="20"/>
                <w:spacing w:val="-21"/>
              </w:rPr>
              <w:t xml:space="preserve"> </w:t>
            </w:r>
            <w:r>
              <w:rPr>
                <w:rFonts w:ascii="Times New Roman" w:hAnsi="Times New Roman" w:eastAsia="Times New Roman" w:cs="Times New Roman"/>
                <w:sz w:val="20"/>
                <w:szCs w:val="20"/>
              </w:rPr>
              <w:t>11E-04</w:t>
            </w:r>
          </w:p>
        </w:tc>
        <w:tc>
          <w:tcPr>
            <w:tcW w:w="1436" w:type="dxa"/>
            <w:vAlign w:val="top"/>
          </w:tcPr>
          <w:p>
            <w:pPr>
              <w:ind w:left="53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c>
          <w:tcPr>
            <w:tcW w:w="1049" w:type="dxa"/>
            <w:vAlign w:val="top"/>
          </w:tcPr>
          <w:p>
            <w:pPr>
              <w:ind w:left="15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1.27E-05</w:t>
            </w:r>
          </w:p>
        </w:tc>
        <w:tc>
          <w:tcPr>
            <w:tcW w:w="1325" w:type="dxa"/>
            <w:vAlign w:val="top"/>
          </w:tcPr>
          <w:p>
            <w:pPr>
              <w:ind w:left="48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72" w:type="dxa"/>
            <w:vAlign w:val="top"/>
          </w:tcPr>
          <w:p>
            <w:pPr>
              <w:ind w:left="30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7.50E-07</w:t>
            </w:r>
          </w:p>
        </w:tc>
        <w:tc>
          <w:tcPr>
            <w:tcW w:w="1545" w:type="dxa"/>
            <w:vAlign w:val="top"/>
          </w:tcPr>
          <w:p>
            <w:pPr>
              <w:ind w:left="59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486" w:type="dxa"/>
            <w:vAlign w:val="top"/>
          </w:tcPr>
          <w:p>
            <w:pPr>
              <w:ind w:left="35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4.32E-05</w:t>
            </w:r>
          </w:p>
        </w:tc>
        <w:tc>
          <w:tcPr>
            <w:tcW w:w="1666" w:type="dxa"/>
            <w:vAlign w:val="top"/>
          </w:tcPr>
          <w:p>
            <w:pPr>
              <w:ind w:left="65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c>
          <w:tcPr>
            <w:tcW w:w="1354" w:type="dxa"/>
            <w:vAlign w:val="top"/>
          </w:tcPr>
          <w:p>
            <w:pPr>
              <w:ind w:left="29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4.32E-06</w:t>
            </w:r>
          </w:p>
        </w:tc>
        <w:tc>
          <w:tcPr>
            <w:tcW w:w="1441" w:type="dxa"/>
            <w:vAlign w:val="top"/>
          </w:tcPr>
          <w:p>
            <w:pPr>
              <w:ind w:left="54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0.04</w:t>
            </w:r>
          </w:p>
        </w:tc>
      </w:tr>
      <w:tr>
        <w:trPr>
          <w:trHeight w:val="317" w:hRule="atLeast"/>
        </w:trPr>
        <w:tc>
          <w:tcPr>
            <w:tcW w:w="804" w:type="dxa"/>
            <w:vAlign w:val="top"/>
          </w:tcPr>
          <w:p>
            <w:pPr>
              <w:ind w:left="214"/>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1600</w:t>
            </w:r>
          </w:p>
        </w:tc>
        <w:tc>
          <w:tcPr>
            <w:tcW w:w="1277" w:type="dxa"/>
            <w:vAlign w:val="top"/>
          </w:tcPr>
          <w:p>
            <w:pPr>
              <w:ind w:left="270"/>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1.80E-04</w:t>
            </w:r>
          </w:p>
        </w:tc>
        <w:tc>
          <w:tcPr>
            <w:tcW w:w="1436" w:type="dxa"/>
            <w:vAlign w:val="top"/>
          </w:tcPr>
          <w:p>
            <w:pPr>
              <w:ind w:left="536"/>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c>
          <w:tcPr>
            <w:tcW w:w="1049" w:type="dxa"/>
            <w:vAlign w:val="top"/>
          </w:tcPr>
          <w:p>
            <w:pPr>
              <w:ind w:left="156"/>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11E-05</w:t>
            </w:r>
          </w:p>
        </w:tc>
        <w:tc>
          <w:tcPr>
            <w:tcW w:w="1325" w:type="dxa"/>
            <w:vAlign w:val="top"/>
          </w:tcPr>
          <w:p>
            <w:pPr>
              <w:ind w:left="48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72" w:type="dxa"/>
            <w:vAlign w:val="top"/>
          </w:tcPr>
          <w:p>
            <w:pPr>
              <w:ind w:left="303"/>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6.55E-07</w:t>
            </w:r>
          </w:p>
        </w:tc>
        <w:tc>
          <w:tcPr>
            <w:tcW w:w="1545" w:type="dxa"/>
            <w:vAlign w:val="top"/>
          </w:tcPr>
          <w:p>
            <w:pPr>
              <w:ind w:left="593"/>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486" w:type="dxa"/>
            <w:vAlign w:val="top"/>
          </w:tcPr>
          <w:p>
            <w:pPr>
              <w:ind w:left="36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3.69E-05</w:t>
            </w:r>
          </w:p>
        </w:tc>
        <w:tc>
          <w:tcPr>
            <w:tcW w:w="1666" w:type="dxa"/>
            <w:vAlign w:val="top"/>
          </w:tcPr>
          <w:p>
            <w:pPr>
              <w:ind w:left="655"/>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c>
          <w:tcPr>
            <w:tcW w:w="1354" w:type="dxa"/>
            <w:vAlign w:val="top"/>
          </w:tcPr>
          <w:p>
            <w:pPr>
              <w:ind w:left="296"/>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3.69E-06</w:t>
            </w:r>
          </w:p>
        </w:tc>
        <w:tc>
          <w:tcPr>
            <w:tcW w:w="1441" w:type="dxa"/>
            <w:vAlign w:val="top"/>
          </w:tcPr>
          <w:p>
            <w:pPr>
              <w:ind w:left="54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0.04</w:t>
            </w:r>
          </w:p>
        </w:tc>
      </w:tr>
      <w:tr>
        <w:trPr>
          <w:trHeight w:val="317" w:hRule="atLeast"/>
        </w:trPr>
        <w:tc>
          <w:tcPr>
            <w:tcW w:w="804" w:type="dxa"/>
            <w:vAlign w:val="top"/>
          </w:tcPr>
          <w:p>
            <w:pPr>
              <w:ind w:left="21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1800</w:t>
            </w:r>
          </w:p>
        </w:tc>
        <w:tc>
          <w:tcPr>
            <w:tcW w:w="1277" w:type="dxa"/>
            <w:vAlign w:val="top"/>
          </w:tcPr>
          <w:p>
            <w:pPr>
              <w:ind w:left="27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1.56E-04</w:t>
            </w:r>
          </w:p>
        </w:tc>
        <w:tc>
          <w:tcPr>
            <w:tcW w:w="1436" w:type="dxa"/>
            <w:vAlign w:val="top"/>
          </w:tcPr>
          <w:p>
            <w:pPr>
              <w:ind w:left="53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c>
          <w:tcPr>
            <w:tcW w:w="1049" w:type="dxa"/>
            <w:vAlign w:val="top"/>
          </w:tcPr>
          <w:p>
            <w:pPr>
              <w:ind w:left="14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9.81E-06</w:t>
            </w:r>
          </w:p>
        </w:tc>
        <w:tc>
          <w:tcPr>
            <w:tcW w:w="1325" w:type="dxa"/>
            <w:vAlign w:val="top"/>
          </w:tcPr>
          <w:p>
            <w:pPr>
              <w:ind w:left="48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72" w:type="dxa"/>
            <w:vAlign w:val="top"/>
          </w:tcPr>
          <w:p>
            <w:pPr>
              <w:ind w:left="30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5.78E-07</w:t>
            </w:r>
          </w:p>
        </w:tc>
        <w:tc>
          <w:tcPr>
            <w:tcW w:w="1545" w:type="dxa"/>
            <w:vAlign w:val="top"/>
          </w:tcPr>
          <w:p>
            <w:pPr>
              <w:ind w:left="59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486" w:type="dxa"/>
            <w:vAlign w:val="top"/>
          </w:tcPr>
          <w:p>
            <w:pPr>
              <w:ind w:left="36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3.20E-05</w:t>
            </w:r>
          </w:p>
        </w:tc>
        <w:tc>
          <w:tcPr>
            <w:tcW w:w="1666" w:type="dxa"/>
            <w:vAlign w:val="top"/>
          </w:tcPr>
          <w:p>
            <w:pPr>
              <w:ind w:left="65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c>
          <w:tcPr>
            <w:tcW w:w="1354" w:type="dxa"/>
            <w:vAlign w:val="top"/>
          </w:tcPr>
          <w:p>
            <w:pPr>
              <w:ind w:left="29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3.20E-06</w:t>
            </w:r>
          </w:p>
        </w:tc>
        <w:tc>
          <w:tcPr>
            <w:tcW w:w="1441" w:type="dxa"/>
            <w:vAlign w:val="top"/>
          </w:tcPr>
          <w:p>
            <w:pPr>
              <w:ind w:left="54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0.04</w:t>
            </w:r>
          </w:p>
        </w:tc>
      </w:tr>
      <w:tr>
        <w:trPr>
          <w:trHeight w:val="317" w:hRule="atLeast"/>
        </w:trPr>
        <w:tc>
          <w:tcPr>
            <w:tcW w:w="804" w:type="dxa"/>
            <w:vAlign w:val="top"/>
          </w:tcPr>
          <w:p>
            <w:pPr>
              <w:ind w:left="19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2000</w:t>
            </w:r>
          </w:p>
        </w:tc>
        <w:tc>
          <w:tcPr>
            <w:tcW w:w="1277" w:type="dxa"/>
            <w:vAlign w:val="top"/>
          </w:tcPr>
          <w:p>
            <w:pPr>
              <w:ind w:left="270"/>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1.37E-04</w:t>
            </w:r>
          </w:p>
        </w:tc>
        <w:tc>
          <w:tcPr>
            <w:tcW w:w="1436" w:type="dxa"/>
            <w:vAlign w:val="top"/>
          </w:tcPr>
          <w:p>
            <w:pPr>
              <w:ind w:left="53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c>
          <w:tcPr>
            <w:tcW w:w="1049" w:type="dxa"/>
            <w:vAlign w:val="top"/>
          </w:tcPr>
          <w:p>
            <w:pPr>
              <w:ind w:left="14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8.75E-06</w:t>
            </w:r>
          </w:p>
        </w:tc>
        <w:tc>
          <w:tcPr>
            <w:tcW w:w="1325" w:type="dxa"/>
            <w:vAlign w:val="top"/>
          </w:tcPr>
          <w:p>
            <w:pPr>
              <w:ind w:left="48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72" w:type="dxa"/>
            <w:vAlign w:val="top"/>
          </w:tcPr>
          <w:p>
            <w:pPr>
              <w:ind w:left="304"/>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rPr>
              <w:t>15E-07</w:t>
            </w:r>
          </w:p>
        </w:tc>
        <w:tc>
          <w:tcPr>
            <w:tcW w:w="1545" w:type="dxa"/>
            <w:vAlign w:val="top"/>
          </w:tcPr>
          <w:p>
            <w:pPr>
              <w:ind w:left="59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486" w:type="dxa"/>
            <w:vAlign w:val="top"/>
          </w:tcPr>
          <w:p>
            <w:pPr>
              <w:ind w:left="357"/>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2.81E-05</w:t>
            </w:r>
          </w:p>
        </w:tc>
        <w:tc>
          <w:tcPr>
            <w:tcW w:w="1666" w:type="dxa"/>
            <w:vAlign w:val="top"/>
          </w:tcPr>
          <w:p>
            <w:pPr>
              <w:ind w:left="655"/>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54" w:type="dxa"/>
            <w:vAlign w:val="top"/>
          </w:tcPr>
          <w:p>
            <w:pPr>
              <w:ind w:left="29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2.81E-06</w:t>
            </w:r>
          </w:p>
        </w:tc>
        <w:tc>
          <w:tcPr>
            <w:tcW w:w="1441" w:type="dxa"/>
            <w:vAlign w:val="top"/>
          </w:tcPr>
          <w:p>
            <w:pPr>
              <w:ind w:left="54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0.03</w:t>
            </w:r>
          </w:p>
        </w:tc>
      </w:tr>
      <w:tr>
        <w:trPr>
          <w:trHeight w:val="317" w:hRule="atLeast"/>
        </w:trPr>
        <w:tc>
          <w:tcPr>
            <w:tcW w:w="804" w:type="dxa"/>
            <w:vAlign w:val="top"/>
          </w:tcPr>
          <w:p>
            <w:pPr>
              <w:ind w:left="19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2400</w:t>
            </w:r>
          </w:p>
        </w:tc>
        <w:tc>
          <w:tcPr>
            <w:tcW w:w="1277" w:type="dxa"/>
            <w:vAlign w:val="top"/>
          </w:tcPr>
          <w:p>
            <w:pPr>
              <w:ind w:left="27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1.09E-04</w:t>
            </w:r>
          </w:p>
        </w:tc>
        <w:tc>
          <w:tcPr>
            <w:tcW w:w="1436" w:type="dxa"/>
            <w:vAlign w:val="top"/>
          </w:tcPr>
          <w:p>
            <w:pPr>
              <w:ind w:left="53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049" w:type="dxa"/>
            <w:vAlign w:val="top"/>
          </w:tcPr>
          <w:p>
            <w:pPr>
              <w:ind w:left="13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rPr>
              <w:t>12E-06</w:t>
            </w:r>
          </w:p>
        </w:tc>
        <w:tc>
          <w:tcPr>
            <w:tcW w:w="1325" w:type="dxa"/>
            <w:vAlign w:val="top"/>
          </w:tcPr>
          <w:p>
            <w:pPr>
              <w:ind w:left="48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72" w:type="dxa"/>
            <w:vAlign w:val="top"/>
          </w:tcPr>
          <w:p>
            <w:pPr>
              <w:ind w:left="29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4.</w:t>
            </w:r>
            <w:r>
              <w:rPr>
                <w:rFonts w:ascii="Times New Roman" w:hAnsi="Times New Roman" w:eastAsia="Times New Roman" w:cs="Times New Roman"/>
                <w:sz w:val="20"/>
                <w:szCs w:val="20"/>
                <w:spacing w:val="-20"/>
              </w:rPr>
              <w:t xml:space="preserve"> </w:t>
            </w:r>
            <w:r>
              <w:rPr>
                <w:rFonts w:ascii="Times New Roman" w:hAnsi="Times New Roman" w:eastAsia="Times New Roman" w:cs="Times New Roman"/>
                <w:sz w:val="20"/>
                <w:szCs w:val="20"/>
              </w:rPr>
              <w:t>19E-07</w:t>
            </w:r>
          </w:p>
        </w:tc>
        <w:tc>
          <w:tcPr>
            <w:tcW w:w="1545" w:type="dxa"/>
            <w:vAlign w:val="top"/>
          </w:tcPr>
          <w:p>
            <w:pPr>
              <w:ind w:left="59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486" w:type="dxa"/>
            <w:vAlign w:val="top"/>
          </w:tcPr>
          <w:p>
            <w:pPr>
              <w:ind w:left="35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2.24E-05</w:t>
            </w:r>
          </w:p>
        </w:tc>
        <w:tc>
          <w:tcPr>
            <w:tcW w:w="1666" w:type="dxa"/>
            <w:vAlign w:val="top"/>
          </w:tcPr>
          <w:p>
            <w:pPr>
              <w:ind w:left="65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54" w:type="dxa"/>
            <w:vAlign w:val="top"/>
          </w:tcPr>
          <w:p>
            <w:pPr>
              <w:ind w:left="29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2.24E-06</w:t>
            </w:r>
          </w:p>
        </w:tc>
        <w:tc>
          <w:tcPr>
            <w:tcW w:w="1441" w:type="dxa"/>
            <w:vAlign w:val="top"/>
          </w:tcPr>
          <w:p>
            <w:pPr>
              <w:ind w:left="54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r>
      <w:tr>
        <w:trPr>
          <w:trHeight w:val="317" w:hRule="atLeast"/>
        </w:trPr>
        <w:tc>
          <w:tcPr>
            <w:tcW w:w="804" w:type="dxa"/>
            <w:vAlign w:val="top"/>
          </w:tcPr>
          <w:p>
            <w:pPr>
              <w:ind w:left="19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2500</w:t>
            </w:r>
          </w:p>
        </w:tc>
        <w:tc>
          <w:tcPr>
            <w:tcW w:w="1277" w:type="dxa"/>
            <w:vAlign w:val="top"/>
          </w:tcPr>
          <w:p>
            <w:pPr>
              <w:ind w:left="27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1.04E-04</w:t>
            </w:r>
          </w:p>
        </w:tc>
        <w:tc>
          <w:tcPr>
            <w:tcW w:w="1436" w:type="dxa"/>
            <w:vAlign w:val="top"/>
          </w:tcPr>
          <w:p>
            <w:pPr>
              <w:ind w:left="53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049" w:type="dxa"/>
            <w:vAlign w:val="top"/>
          </w:tcPr>
          <w:p>
            <w:pPr>
              <w:ind w:left="14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6.79E-06</w:t>
            </w:r>
          </w:p>
        </w:tc>
        <w:tc>
          <w:tcPr>
            <w:tcW w:w="1325" w:type="dxa"/>
            <w:vAlign w:val="top"/>
          </w:tcPr>
          <w:p>
            <w:pPr>
              <w:ind w:left="48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372" w:type="dxa"/>
            <w:vAlign w:val="top"/>
          </w:tcPr>
          <w:p>
            <w:pPr>
              <w:ind w:left="29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4.00E-07</w:t>
            </w:r>
          </w:p>
        </w:tc>
        <w:tc>
          <w:tcPr>
            <w:tcW w:w="1545" w:type="dxa"/>
            <w:vAlign w:val="top"/>
          </w:tcPr>
          <w:p>
            <w:pPr>
              <w:ind w:left="59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0.00</w:t>
            </w:r>
          </w:p>
        </w:tc>
        <w:tc>
          <w:tcPr>
            <w:tcW w:w="1486" w:type="dxa"/>
            <w:vAlign w:val="top"/>
          </w:tcPr>
          <w:p>
            <w:pPr>
              <w:ind w:left="357"/>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r>
              <w:rPr>
                <w:rFonts w:ascii="Times New Roman" w:hAnsi="Times New Roman" w:eastAsia="Times New Roman" w:cs="Times New Roman"/>
                <w:sz w:val="20"/>
                <w:szCs w:val="20"/>
                <w:spacing w:val="-21"/>
              </w:rPr>
              <w:t xml:space="preserve"> </w:t>
            </w:r>
            <w:r>
              <w:rPr>
                <w:rFonts w:ascii="Times New Roman" w:hAnsi="Times New Roman" w:eastAsia="Times New Roman" w:cs="Times New Roman"/>
                <w:sz w:val="20"/>
                <w:szCs w:val="20"/>
              </w:rPr>
              <w:t>12E-05</w:t>
            </w:r>
          </w:p>
        </w:tc>
        <w:tc>
          <w:tcPr>
            <w:tcW w:w="1666" w:type="dxa"/>
            <w:vAlign w:val="top"/>
          </w:tcPr>
          <w:p>
            <w:pPr>
              <w:ind w:left="655"/>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354" w:type="dxa"/>
            <w:vAlign w:val="top"/>
          </w:tcPr>
          <w:p>
            <w:pPr>
              <w:ind w:left="29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r>
              <w:rPr>
                <w:rFonts w:ascii="Times New Roman" w:hAnsi="Times New Roman" w:eastAsia="Times New Roman" w:cs="Times New Roman"/>
                <w:sz w:val="20"/>
                <w:szCs w:val="20"/>
                <w:spacing w:val="-21"/>
              </w:rPr>
              <w:t xml:space="preserve"> </w:t>
            </w:r>
            <w:r>
              <w:rPr>
                <w:rFonts w:ascii="Times New Roman" w:hAnsi="Times New Roman" w:eastAsia="Times New Roman" w:cs="Times New Roman"/>
                <w:sz w:val="20"/>
                <w:szCs w:val="20"/>
              </w:rPr>
              <w:t>12E-06</w:t>
            </w:r>
          </w:p>
        </w:tc>
        <w:tc>
          <w:tcPr>
            <w:tcW w:w="1441" w:type="dxa"/>
            <w:vAlign w:val="top"/>
          </w:tcPr>
          <w:p>
            <w:pPr>
              <w:ind w:left="54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w:t>
            </w:r>
          </w:p>
        </w:tc>
      </w:tr>
      <w:tr>
        <w:trPr>
          <w:trHeight w:val="317" w:hRule="atLeast"/>
        </w:trPr>
        <w:tc>
          <w:tcPr>
            <w:tcW w:w="804" w:type="dxa"/>
            <w:vAlign w:val="top"/>
            <w:vMerge w:val="restart"/>
            <w:tcBorders>
              <w:bottom w:val="nil"/>
            </w:tcBorders>
          </w:tcPr>
          <w:p>
            <w:pPr>
              <w:pStyle w:val="TableText"/>
              <w:ind w:left="301" w:right="190" w:hanging="100"/>
              <w:spacing w:before="63" w:line="261" w:lineRule="auto"/>
              <w:rPr/>
            </w:pPr>
            <w:r>
              <w:rPr>
                <w:spacing w:val="3"/>
              </w:rPr>
              <w:t>最大</w:t>
            </w:r>
            <w:r>
              <w:rPr/>
              <w:t xml:space="preserve"> </w:t>
            </w:r>
            <w:r>
              <w:rPr/>
              <w:t>值</w:t>
            </w:r>
          </w:p>
        </w:tc>
        <w:tc>
          <w:tcPr>
            <w:tcW w:w="2713" w:type="dxa"/>
            <w:vAlign w:val="top"/>
            <w:gridSpan w:val="2"/>
          </w:tcPr>
          <w:p>
            <w:pPr>
              <w:ind w:left="117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50m</w:t>
            </w:r>
          </w:p>
        </w:tc>
        <w:tc>
          <w:tcPr>
            <w:tcW w:w="5291" w:type="dxa"/>
            <w:vAlign w:val="top"/>
            <w:gridSpan w:val="4"/>
          </w:tcPr>
          <w:p>
            <w:pPr>
              <w:ind w:left="247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17m</w:t>
            </w:r>
          </w:p>
        </w:tc>
        <w:tc>
          <w:tcPr>
            <w:tcW w:w="5947" w:type="dxa"/>
            <w:vAlign w:val="top"/>
            <w:gridSpan w:val="4"/>
          </w:tcPr>
          <w:p>
            <w:pPr>
              <w:ind w:left="280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10m</w:t>
            </w:r>
          </w:p>
        </w:tc>
      </w:tr>
      <w:tr>
        <w:trPr>
          <w:trHeight w:val="317" w:hRule="atLeast"/>
        </w:trPr>
        <w:tc>
          <w:tcPr>
            <w:tcW w:w="804" w:type="dxa"/>
            <w:vAlign w:val="top"/>
            <w:vMerge w:val="continue"/>
            <w:tcBorders>
              <w:top w:val="nil"/>
            </w:tcBorders>
          </w:tcPr>
          <w:p>
            <w:pPr>
              <w:rPr>
                <w:rFonts w:ascii="Arial"/>
                <w:sz w:val="21"/>
              </w:rPr>
            </w:pPr>
            <w:r/>
          </w:p>
        </w:tc>
        <w:tc>
          <w:tcPr>
            <w:tcW w:w="1277" w:type="dxa"/>
            <w:vAlign w:val="top"/>
          </w:tcPr>
          <w:p>
            <w:pPr>
              <w:ind w:left="270"/>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1.63E-03</w:t>
            </w:r>
          </w:p>
        </w:tc>
        <w:tc>
          <w:tcPr>
            <w:tcW w:w="1436" w:type="dxa"/>
            <w:vAlign w:val="top"/>
          </w:tcPr>
          <w:p>
            <w:pPr>
              <w:ind w:left="536"/>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0.18</w:t>
            </w:r>
          </w:p>
        </w:tc>
        <w:tc>
          <w:tcPr>
            <w:tcW w:w="1049" w:type="dxa"/>
            <w:vAlign w:val="top"/>
          </w:tcPr>
          <w:p>
            <w:pPr>
              <w:ind w:left="156"/>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1.21E-04</w:t>
            </w:r>
          </w:p>
        </w:tc>
        <w:tc>
          <w:tcPr>
            <w:tcW w:w="1325" w:type="dxa"/>
            <w:vAlign w:val="top"/>
          </w:tcPr>
          <w:p>
            <w:pPr>
              <w:ind w:left="48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1372" w:type="dxa"/>
            <w:vAlign w:val="top"/>
          </w:tcPr>
          <w:p>
            <w:pPr>
              <w:ind w:left="30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rPr>
              <w:t>11E-06</w:t>
            </w:r>
          </w:p>
        </w:tc>
        <w:tc>
          <w:tcPr>
            <w:tcW w:w="1545" w:type="dxa"/>
            <w:vAlign w:val="top"/>
          </w:tcPr>
          <w:p>
            <w:pPr>
              <w:ind w:left="593"/>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0.07</w:t>
            </w:r>
          </w:p>
        </w:tc>
        <w:tc>
          <w:tcPr>
            <w:tcW w:w="1486" w:type="dxa"/>
            <w:vAlign w:val="top"/>
          </w:tcPr>
          <w:p>
            <w:pPr>
              <w:ind w:left="361"/>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7.33E-04</w:t>
            </w:r>
          </w:p>
        </w:tc>
        <w:tc>
          <w:tcPr>
            <w:tcW w:w="1666" w:type="dxa"/>
            <w:vAlign w:val="top"/>
          </w:tcPr>
          <w:p>
            <w:pPr>
              <w:ind w:left="655"/>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0.37</w:t>
            </w:r>
          </w:p>
        </w:tc>
        <w:tc>
          <w:tcPr>
            <w:tcW w:w="1354" w:type="dxa"/>
            <w:vAlign w:val="top"/>
          </w:tcPr>
          <w:p>
            <w:pPr>
              <w:ind w:left="295"/>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7.33E-05</w:t>
            </w:r>
          </w:p>
        </w:tc>
        <w:tc>
          <w:tcPr>
            <w:tcW w:w="1441" w:type="dxa"/>
            <w:vAlign w:val="top"/>
          </w:tcPr>
          <w:p>
            <w:pPr>
              <w:ind w:left="542"/>
              <w:spacing w:before="9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0.73</w:t>
            </w:r>
          </w:p>
        </w:tc>
      </w:tr>
      <w:tr>
        <w:trPr>
          <w:trHeight w:val="321" w:hRule="atLeast"/>
        </w:trPr>
        <w:tc>
          <w:tcPr>
            <w:tcW w:w="804" w:type="dxa"/>
            <w:vAlign w:val="top"/>
          </w:tcPr>
          <w:p>
            <w:pPr>
              <w:ind w:left="133"/>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D10%</w:t>
            </w:r>
          </w:p>
        </w:tc>
        <w:tc>
          <w:tcPr>
            <w:tcW w:w="2713" w:type="dxa"/>
            <w:vAlign w:val="top"/>
            <w:gridSpan w:val="2"/>
          </w:tcPr>
          <w:p>
            <w:pPr>
              <w:pStyle w:val="TableText"/>
              <w:ind w:left="1049"/>
              <w:spacing w:before="57" w:line="228" w:lineRule="auto"/>
              <w:rPr/>
            </w:pPr>
            <w:r>
              <w:rPr>
                <w:spacing w:val="5"/>
              </w:rPr>
              <w:t>未出现</w:t>
            </w:r>
          </w:p>
        </w:tc>
        <w:tc>
          <w:tcPr>
            <w:tcW w:w="5291" w:type="dxa"/>
            <w:vAlign w:val="top"/>
            <w:gridSpan w:val="4"/>
          </w:tcPr>
          <w:p>
            <w:pPr>
              <w:pStyle w:val="TableText"/>
              <w:ind w:left="2339"/>
              <w:spacing w:before="57" w:line="228" w:lineRule="auto"/>
              <w:rPr/>
            </w:pPr>
            <w:r>
              <w:rPr>
                <w:spacing w:val="5"/>
              </w:rPr>
              <w:t>未出现</w:t>
            </w:r>
          </w:p>
        </w:tc>
        <w:tc>
          <w:tcPr>
            <w:tcW w:w="5947" w:type="dxa"/>
            <w:vAlign w:val="top"/>
            <w:gridSpan w:val="4"/>
          </w:tcPr>
          <w:p>
            <w:pPr>
              <w:pStyle w:val="TableText"/>
              <w:ind w:left="2666"/>
              <w:spacing w:before="57" w:line="228" w:lineRule="auto"/>
              <w:rPr/>
            </w:pPr>
            <w:r>
              <w:rPr>
                <w:spacing w:val="5"/>
              </w:rPr>
              <w:t>未出现</w:t>
            </w:r>
          </w:p>
        </w:tc>
      </w:tr>
    </w:tbl>
    <w:p>
      <w:pPr>
        <w:pStyle w:val="BodyText"/>
        <w:rPr/>
      </w:pPr>
      <w:r/>
    </w:p>
    <w:p>
      <w:pPr>
        <w:sectPr>
          <w:headerReference w:type="default" r:id="rId211"/>
          <w:footerReference w:type="default" r:id="rId216"/>
          <w:pgSz w:w="16839" w:h="11906"/>
          <w:pgMar w:top="1141" w:right="1039" w:bottom="1482" w:left="1038" w:header="825" w:footer="1248" w:gutter="0"/>
        </w:sectPr>
        <w:rPr/>
      </w:pPr>
    </w:p>
    <w:p>
      <w:pPr>
        <w:pStyle w:val="BodyText"/>
        <w:spacing w:line="246" w:lineRule="auto"/>
        <w:rPr/>
      </w:pPr>
      <w:r>
        <w:pict>
          <v:shape id="_x0000_s834" style="position:absolute;margin-left:4.928pt;margin-top:0.404968pt;mso-position-vertical-relative:text;mso-position-horizontal-relative:text;width:425.25pt;height:0.75pt;z-index:252015616;" fillcolor="#000000" filled="true" stroked="false" coordsize="8505,15" coordorigin="0,0" path="m,l8504,0l8504,14l0,14l0,0xe"/>
        </w:pict>
      </w:r>
      <w:r/>
    </w:p>
    <w:p>
      <w:pPr>
        <w:ind w:left="109" w:right="125" w:firstLine="503"/>
        <w:spacing w:before="78" w:line="385" w:lineRule="auto"/>
        <w:jc w:val="both"/>
        <w:rPr>
          <w:rFonts w:ascii="SimSun" w:hAnsi="SimSun" w:eastAsia="SimSun" w:cs="SimSun"/>
          <w:sz w:val="24"/>
          <w:szCs w:val="24"/>
        </w:rPr>
      </w:pPr>
      <w:r>
        <w:rPr>
          <w:rFonts w:ascii="SimSun" w:hAnsi="SimSun" w:eastAsia="SimSun" w:cs="SimSun"/>
          <w:sz w:val="24"/>
          <w:szCs w:val="24"/>
          <w:spacing w:val="9"/>
        </w:rPr>
        <w:t>估算模式已考虑了最不利的气象条件，分析预测结果表明，项目污染物预</w:t>
      </w:r>
      <w:r>
        <w:rPr>
          <w:rFonts w:ascii="SimSun" w:hAnsi="SimSun" w:eastAsia="SimSun" w:cs="SimSun"/>
          <w:sz w:val="24"/>
          <w:szCs w:val="24"/>
          <w:spacing w:val="8"/>
        </w:rPr>
        <w:t xml:space="preserve"> </w:t>
      </w:r>
      <w:r>
        <w:rPr>
          <w:rFonts w:ascii="SimSun" w:hAnsi="SimSun" w:eastAsia="SimSun" w:cs="SimSun"/>
          <w:sz w:val="24"/>
          <w:szCs w:val="24"/>
          <w:spacing w:val="7"/>
        </w:rPr>
        <w:t>测最大浓度占标率最大值为</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7"/>
        </w:rPr>
        <w:t>5.06%&lt;10%</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7"/>
        </w:rPr>
        <w:t>。因此，</w:t>
      </w:r>
      <w:r>
        <w:rPr>
          <w:rFonts w:ascii="SimSun" w:hAnsi="SimSun" w:eastAsia="SimSun" w:cs="SimSun"/>
          <w:sz w:val="24"/>
          <w:szCs w:val="24"/>
          <w:spacing w:val="6"/>
        </w:rPr>
        <w:t>本项目大气评级为二级评价，</w:t>
      </w:r>
      <w:r>
        <w:rPr>
          <w:rFonts w:ascii="SimSun" w:hAnsi="SimSun" w:eastAsia="SimSun" w:cs="SimSun"/>
          <w:sz w:val="24"/>
          <w:szCs w:val="24"/>
        </w:rPr>
        <w:t xml:space="preserve"> </w:t>
      </w:r>
      <w:r>
        <w:rPr>
          <w:rFonts w:ascii="SimSun" w:hAnsi="SimSun" w:eastAsia="SimSun" w:cs="SimSun"/>
          <w:sz w:val="24"/>
          <w:szCs w:val="24"/>
          <w:spacing w:val="9"/>
        </w:rPr>
        <w:t>不进行进一步预测，对环境影响较小。</w:t>
      </w:r>
    </w:p>
    <w:p>
      <w:pPr>
        <w:ind w:left="613"/>
        <w:spacing w:before="1" w:line="217" w:lineRule="auto"/>
        <w:rPr>
          <w:rFonts w:ascii="SimSun" w:hAnsi="SimSun" w:eastAsia="SimSun" w:cs="SimSun"/>
          <w:sz w:val="24"/>
          <w:szCs w:val="24"/>
        </w:rPr>
      </w:pPr>
      <w:r>
        <w:rPr>
          <w:rFonts w:ascii="SimSun" w:hAnsi="SimSun" w:eastAsia="SimSun" w:cs="SimSun"/>
          <w:sz w:val="24"/>
          <w:szCs w:val="24"/>
          <w:spacing w:val="11"/>
        </w:rPr>
        <w:t>本项目采用二级浓度限值估算时，本项目无组织粉尘最大落地浓度为</w:t>
      </w:r>
    </w:p>
    <w:p>
      <w:pPr>
        <w:ind w:right="64" w:firstLine="107"/>
        <w:spacing w:before="218" w:line="382" w:lineRule="auto"/>
        <w:rPr>
          <w:rFonts w:ascii="SimSun" w:hAnsi="SimSun" w:eastAsia="SimSun" w:cs="SimSun"/>
          <w:sz w:val="24"/>
          <w:szCs w:val="24"/>
        </w:rPr>
      </w:pPr>
      <w:r>
        <w:rPr>
          <w:rFonts w:ascii="Times New Roman" w:hAnsi="Times New Roman" w:eastAsia="Times New Roman" w:cs="Times New Roman"/>
          <w:sz w:val="24"/>
          <w:szCs w:val="24"/>
          <w:spacing w:val="4"/>
        </w:rPr>
        <w:t>0.00163</w:t>
      </w:r>
      <w:r>
        <w:rPr>
          <w:rFonts w:ascii="Times New Roman" w:hAnsi="Times New Roman" w:eastAsia="Times New Roman" w:cs="Times New Roman"/>
          <w:sz w:val="24"/>
          <w:szCs w:val="24"/>
        </w:rPr>
        <w:t>mg</w:t>
      </w:r>
      <w:r>
        <w:rPr>
          <w:rFonts w:ascii="Times New Roman" w:hAnsi="Times New Roman" w:eastAsia="Times New Roman" w:cs="Times New Roman"/>
          <w:sz w:val="24"/>
          <w:szCs w:val="24"/>
          <w:spacing w:val="4"/>
        </w:rPr>
        <w:t>/m</w:t>
      </w:r>
      <w:r>
        <w:rPr>
          <w:rFonts w:ascii="SimSun" w:hAnsi="SimSun" w:eastAsia="SimSun" w:cs="SimSun"/>
          <w:sz w:val="24"/>
          <w:szCs w:val="24"/>
          <w:spacing w:val="4"/>
        </w:rPr>
        <w:t>³</w:t>
      </w:r>
      <w:r>
        <w:rPr>
          <w:rFonts w:ascii="SimSun" w:hAnsi="SimSun" w:eastAsia="SimSun" w:cs="SimSun"/>
          <w:sz w:val="24"/>
          <w:szCs w:val="24"/>
          <w:spacing w:val="-80"/>
        </w:rPr>
        <w:t xml:space="preserve"> </w:t>
      </w:r>
      <w:r>
        <w:rPr>
          <w:rFonts w:ascii="SimSun" w:hAnsi="SimSun" w:eastAsia="SimSun" w:cs="SimSun"/>
          <w:sz w:val="24"/>
          <w:szCs w:val="24"/>
          <w:spacing w:val="4"/>
        </w:rPr>
        <w:t>、最大值出现在下风向</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50m</w:t>
      </w:r>
      <w:r>
        <w:rPr>
          <w:rFonts w:ascii="Times New Roman" w:hAnsi="Times New Roman" w:eastAsia="Times New Roman" w:cs="Times New Roman"/>
          <w:sz w:val="24"/>
          <w:szCs w:val="24"/>
          <w:spacing w:val="22"/>
          <w:w w:val="101"/>
        </w:rPr>
        <w:t xml:space="preserve"> </w:t>
      </w:r>
      <w:r>
        <w:rPr>
          <w:rFonts w:ascii="SimSun" w:hAnsi="SimSun" w:eastAsia="SimSun" w:cs="SimSun"/>
          <w:sz w:val="24"/>
          <w:szCs w:val="24"/>
          <w:spacing w:val="4"/>
        </w:rPr>
        <w:t>处，满足《大气污染物综合排放标准</w:t>
      </w:r>
      <w:r>
        <w:rPr>
          <w:rFonts w:ascii="SimSun" w:hAnsi="SimSun" w:eastAsia="SimSun" w:cs="SimSun"/>
          <w:sz w:val="24"/>
          <w:szCs w:val="24"/>
        </w:rPr>
        <w:t xml:space="preserve">  </w:t>
      </w:r>
      <w:r>
        <w:rPr>
          <w:rFonts w:ascii="SimSun" w:hAnsi="SimSun" w:eastAsia="SimSun" w:cs="SimSun"/>
          <w:sz w:val="24"/>
          <w:szCs w:val="24"/>
          <w:spacing w:val="2"/>
        </w:rPr>
        <w:t>限值》（</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2"/>
        </w:rPr>
        <w:t>16297-1996</w:t>
      </w:r>
      <w:r>
        <w:rPr>
          <w:rFonts w:ascii="SimSun" w:hAnsi="SimSun" w:eastAsia="SimSun" w:cs="SimSun"/>
          <w:sz w:val="24"/>
          <w:szCs w:val="24"/>
          <w:spacing w:val="2"/>
        </w:rPr>
        <w:t>）中表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 </w:t>
      </w:r>
      <w:r>
        <w:rPr>
          <w:rFonts w:ascii="SimSun" w:hAnsi="SimSun" w:eastAsia="SimSun" w:cs="SimSun"/>
          <w:sz w:val="24"/>
          <w:szCs w:val="24"/>
          <w:spacing w:val="2"/>
        </w:rPr>
        <w:t>新污染源二级排放限值；无组织</w:t>
      </w:r>
      <w:r>
        <w:rPr>
          <w:rFonts w:ascii="SimSun" w:hAnsi="SimSun" w:eastAsia="SimSun" w:cs="SimSun"/>
          <w:sz w:val="24"/>
          <w:szCs w:val="24"/>
          <w:spacing w:val="-49"/>
        </w:rPr>
        <w:t xml:space="preserve"> </w:t>
      </w:r>
      <w:r>
        <w:rPr>
          <w:rFonts w:ascii="Times New Roman" w:hAnsi="Times New Roman" w:eastAsia="Times New Roman" w:cs="Times New Roman"/>
          <w:sz w:val="24"/>
          <w:szCs w:val="24"/>
        </w:rPr>
        <w:t>NH</w:t>
      </w:r>
      <w:r>
        <w:rPr>
          <w:rFonts w:ascii="Times New Roman" w:hAnsi="Times New Roman" w:eastAsia="Times New Roman" w:cs="Times New Roman"/>
          <w:sz w:val="15"/>
          <w:szCs w:val="15"/>
          <w:spacing w:val="2"/>
          <w:position w:val="-1"/>
        </w:rPr>
        <w:t>3 </w:t>
      </w:r>
      <w:r>
        <w:rPr>
          <w:rFonts w:ascii="SimSun" w:hAnsi="SimSun" w:eastAsia="SimSun" w:cs="SimSun"/>
          <w:sz w:val="24"/>
          <w:szCs w:val="24"/>
          <w:spacing w:val="2"/>
        </w:rPr>
        <w:t>、</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15"/>
          <w:szCs w:val="15"/>
          <w:spacing w:val="-19"/>
          <w:position w:val="-1"/>
        </w:rPr>
        <w:t xml:space="preserve"> </w:t>
      </w:r>
      <w:r>
        <w:rPr>
          <w:rFonts w:ascii="Times New Roman" w:hAnsi="Times New Roman" w:eastAsia="Times New Roman" w:cs="Times New Roman"/>
          <w:sz w:val="24"/>
          <w:szCs w:val="24"/>
          <w:spacing w:val="1"/>
        </w:rPr>
        <w:t>S</w:t>
      </w:r>
      <w:r>
        <w:rPr>
          <w:rFonts w:ascii="Times New Roman" w:hAnsi="Times New Roman" w:eastAsia="Times New Roman" w:cs="Times New Roman"/>
          <w:sz w:val="24"/>
          <w:szCs w:val="24"/>
          <w:spacing w:val="23"/>
          <w:w w:val="101"/>
        </w:rPr>
        <w:t xml:space="preserve"> </w:t>
      </w:r>
      <w:r>
        <w:rPr>
          <w:rFonts w:ascii="SimSun" w:hAnsi="SimSun" w:eastAsia="SimSun" w:cs="SimSun"/>
          <w:sz w:val="24"/>
          <w:szCs w:val="24"/>
          <w:spacing w:val="1"/>
        </w:rPr>
        <w:t>最大</w:t>
      </w:r>
      <w:r>
        <w:rPr>
          <w:rFonts w:ascii="SimSun" w:hAnsi="SimSun" w:eastAsia="SimSun" w:cs="SimSun"/>
          <w:sz w:val="24"/>
          <w:szCs w:val="24"/>
        </w:rPr>
        <w:t xml:space="preserve">  </w:t>
      </w:r>
      <w:r>
        <w:rPr>
          <w:rFonts w:ascii="SimSun" w:hAnsi="SimSun" w:eastAsia="SimSun" w:cs="SimSun"/>
          <w:sz w:val="24"/>
          <w:szCs w:val="24"/>
          <w:spacing w:val="1"/>
        </w:rPr>
        <w:t>落地浓度分别为</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1"/>
        </w:rPr>
        <w:t>0.000733</w:t>
      </w:r>
      <w:r>
        <w:rPr>
          <w:rFonts w:ascii="Times New Roman" w:hAnsi="Times New Roman" w:eastAsia="Times New Roman" w:cs="Times New Roman"/>
          <w:sz w:val="24"/>
          <w:szCs w:val="24"/>
        </w:rPr>
        <w:t>mg</w:t>
      </w:r>
      <w:r>
        <w:rPr>
          <w:rFonts w:ascii="Times New Roman" w:hAnsi="Times New Roman" w:eastAsia="Times New Roman" w:cs="Times New Roman"/>
          <w:sz w:val="24"/>
          <w:szCs w:val="24"/>
          <w:spacing w:val="1"/>
        </w:rPr>
        <w:t>/m</w:t>
      </w:r>
      <w:r>
        <w:rPr>
          <w:rFonts w:ascii="SimSun" w:hAnsi="SimSun" w:eastAsia="SimSun" w:cs="SimSun"/>
          <w:sz w:val="24"/>
          <w:szCs w:val="24"/>
          <w:spacing w:val="1"/>
        </w:rPr>
        <w:t>³、</w:t>
      </w:r>
      <w:r>
        <w:rPr>
          <w:rFonts w:ascii="Times New Roman" w:hAnsi="Times New Roman" w:eastAsia="Times New Roman" w:cs="Times New Roman"/>
          <w:sz w:val="24"/>
          <w:szCs w:val="24"/>
          <w:spacing w:val="1"/>
        </w:rPr>
        <w:t>0.0</w:t>
      </w:r>
      <w:r>
        <w:rPr>
          <w:rFonts w:ascii="Times New Roman" w:hAnsi="Times New Roman" w:eastAsia="Times New Roman" w:cs="Times New Roman"/>
          <w:sz w:val="24"/>
          <w:szCs w:val="24"/>
        </w:rPr>
        <w:t>000733mg/m</w:t>
      </w:r>
      <w:r>
        <w:rPr>
          <w:rFonts w:ascii="SimSun" w:hAnsi="SimSun" w:eastAsia="SimSun" w:cs="SimSun"/>
          <w:sz w:val="24"/>
          <w:szCs w:val="24"/>
        </w:rPr>
        <w:t>³</w:t>
      </w:r>
      <w:r>
        <w:rPr>
          <w:rFonts w:ascii="SimSun" w:hAnsi="SimSun" w:eastAsia="SimSun" w:cs="SimSun"/>
          <w:sz w:val="24"/>
          <w:szCs w:val="24"/>
          <w:spacing w:val="-79"/>
        </w:rPr>
        <w:t xml:space="preserve"> </w:t>
      </w:r>
      <w:r>
        <w:rPr>
          <w:rFonts w:ascii="SimSun" w:hAnsi="SimSun" w:eastAsia="SimSun" w:cs="SimSun"/>
          <w:sz w:val="24"/>
          <w:szCs w:val="24"/>
        </w:rPr>
        <w:t>, 满足《恶臭污染物排放标准》 </w:t>
      </w:r>
      <w:r>
        <w:rPr>
          <w:rFonts w:ascii="SimSun" w:hAnsi="SimSun" w:eastAsia="SimSun" w:cs="SimSun"/>
          <w:sz w:val="24"/>
          <w:szCs w:val="24"/>
          <w:spacing w:val="-2"/>
        </w:rPr>
        <w:t>（</w:t>
      </w:r>
      <w:r>
        <w:rPr>
          <w:rFonts w:ascii="Times New Roman" w:hAnsi="Times New Roman" w:eastAsia="Times New Roman" w:cs="Times New Roman"/>
          <w:sz w:val="24"/>
          <w:szCs w:val="24"/>
          <w:spacing w:val="-2"/>
        </w:rPr>
        <w:t>GB14554-93</w:t>
      </w:r>
      <w:r>
        <w:rPr>
          <w:rFonts w:ascii="SimSun" w:hAnsi="SimSun" w:eastAsia="SimSun" w:cs="SimSun"/>
          <w:sz w:val="24"/>
          <w:szCs w:val="24"/>
          <w:spacing w:val="-2"/>
        </w:rPr>
        <w:t>）中表</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新改扩建二级标准限值。</w:t>
      </w:r>
    </w:p>
    <w:p>
      <w:pPr>
        <w:ind w:left="611"/>
        <w:spacing w:before="12" w:line="219" w:lineRule="auto"/>
        <w:rPr>
          <w:rFonts w:ascii="SimSun" w:hAnsi="SimSun" w:eastAsia="SimSun" w:cs="SimSun"/>
          <w:sz w:val="24"/>
          <w:szCs w:val="24"/>
        </w:rPr>
      </w:pPr>
      <w:r>
        <w:rPr>
          <w:rFonts w:ascii="SimSun" w:hAnsi="SimSun" w:eastAsia="SimSun" w:cs="SimSun"/>
          <w:sz w:val="24"/>
          <w:szCs w:val="24"/>
          <w:spacing w:val="5"/>
        </w:rPr>
        <w:t>洗毛车间有组织颗粒物排放满足《大气污染物综合排放标准限值》</w:t>
      </w:r>
    </w:p>
    <w:p>
      <w:pPr>
        <w:ind w:left="108" w:right="169" w:hanging="108"/>
        <w:spacing w:before="213" w:line="385"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GB16297-1996</w:t>
      </w:r>
      <w:r>
        <w:rPr>
          <w:rFonts w:ascii="SimSun" w:hAnsi="SimSun" w:eastAsia="SimSun" w:cs="SimSun"/>
          <w:sz w:val="24"/>
          <w:szCs w:val="24"/>
          <w:spacing w:val="-1"/>
        </w:rPr>
        <w:t>）中表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新污染源二级排放限值；</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24"/>
          <w:szCs w:val="24"/>
          <w:spacing w:val="-2"/>
        </w:rPr>
        <w:t>S</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NH</w:t>
      </w:r>
      <w:r>
        <w:rPr>
          <w:rFonts w:ascii="Times New Roman" w:hAnsi="Times New Roman" w:eastAsia="Times New Roman" w:cs="Times New Roman"/>
          <w:sz w:val="15"/>
          <w:szCs w:val="15"/>
          <w:spacing w:val="-2"/>
          <w:position w:val="-1"/>
        </w:rPr>
        <w:t>3</w:t>
      </w:r>
      <w:r>
        <w:rPr>
          <w:rFonts w:ascii="Times New Roman" w:hAnsi="Times New Roman" w:eastAsia="Times New Roman" w:cs="Times New Roman"/>
          <w:sz w:val="15"/>
          <w:szCs w:val="15"/>
          <w:spacing w:val="11"/>
          <w:w w:val="102"/>
          <w:position w:val="-1"/>
        </w:rPr>
        <w:t xml:space="preserve"> </w:t>
      </w:r>
      <w:r>
        <w:rPr>
          <w:rFonts w:ascii="SimSun" w:hAnsi="SimSun" w:eastAsia="SimSun" w:cs="SimSun"/>
          <w:sz w:val="24"/>
          <w:szCs w:val="24"/>
          <w:spacing w:val="-2"/>
        </w:rPr>
        <w:t>满足《恶臭污染物排</w:t>
      </w:r>
      <w:r>
        <w:rPr>
          <w:rFonts w:ascii="SimSun" w:hAnsi="SimSun" w:eastAsia="SimSun" w:cs="SimSun"/>
          <w:sz w:val="24"/>
          <w:szCs w:val="24"/>
        </w:rPr>
        <w:t xml:space="preserve"> </w:t>
      </w:r>
      <w:r>
        <w:rPr>
          <w:rFonts w:ascii="SimSun" w:hAnsi="SimSun" w:eastAsia="SimSun" w:cs="SimSun"/>
          <w:sz w:val="24"/>
          <w:szCs w:val="24"/>
          <w:spacing w:val="-1"/>
        </w:rPr>
        <w:t>放标准》（</w:t>
      </w:r>
      <w:r>
        <w:rPr>
          <w:rFonts w:ascii="Times New Roman" w:hAnsi="Times New Roman" w:eastAsia="Times New Roman" w:cs="Times New Roman"/>
          <w:sz w:val="24"/>
          <w:szCs w:val="24"/>
          <w:spacing w:val="-1"/>
        </w:rPr>
        <w:t>GB14554-93</w:t>
      </w:r>
      <w:r>
        <w:rPr>
          <w:rFonts w:ascii="SimSun" w:hAnsi="SimSun" w:eastAsia="SimSun" w:cs="SimSun"/>
          <w:sz w:val="24"/>
          <w:szCs w:val="24"/>
          <w:spacing w:val="-1"/>
        </w:rPr>
        <w:t>）中表</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新改扩建二级标准限值；沼气锅炉、生物质锅炉</w:t>
      </w:r>
      <w:r>
        <w:rPr>
          <w:rFonts w:ascii="SimSun" w:hAnsi="SimSun" w:eastAsia="SimSun" w:cs="SimSun"/>
          <w:sz w:val="24"/>
          <w:szCs w:val="24"/>
        </w:rPr>
        <w:t xml:space="preserve"> </w:t>
      </w:r>
      <w:r>
        <w:rPr>
          <w:rFonts w:ascii="SimSun" w:hAnsi="SimSun" w:eastAsia="SimSun" w:cs="SimSun"/>
          <w:sz w:val="24"/>
          <w:szCs w:val="24"/>
          <w:spacing w:val="-1"/>
        </w:rPr>
        <w:t>烟气排放满足《锅炉大气污染物排放标准》（</w:t>
      </w:r>
      <w:r>
        <w:rPr>
          <w:rFonts w:ascii="Times New Roman" w:hAnsi="Times New Roman" w:eastAsia="Times New Roman" w:cs="Times New Roman"/>
          <w:sz w:val="24"/>
          <w:szCs w:val="24"/>
          <w:spacing w:val="-1"/>
        </w:rPr>
        <w:t>GB</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1"/>
        </w:rPr>
        <w:t>13271-2</w:t>
      </w:r>
      <w:r>
        <w:rPr>
          <w:rFonts w:ascii="Times New Roman" w:hAnsi="Times New Roman" w:eastAsia="Times New Roman" w:cs="Times New Roman"/>
          <w:sz w:val="24"/>
          <w:szCs w:val="24"/>
          <w:spacing w:val="-2"/>
        </w:rPr>
        <w:t>014</w:t>
      </w:r>
      <w:r>
        <w:rPr>
          <w:rFonts w:ascii="SimSun" w:hAnsi="SimSun" w:eastAsia="SimSun" w:cs="SimSun"/>
          <w:sz w:val="24"/>
          <w:szCs w:val="24"/>
          <w:spacing w:val="-2"/>
        </w:rPr>
        <w:t>）表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 </w:t>
      </w:r>
      <w:r>
        <w:rPr>
          <w:rFonts w:ascii="SimSun" w:hAnsi="SimSun" w:eastAsia="SimSun" w:cs="SimSun"/>
          <w:sz w:val="24"/>
          <w:szCs w:val="24"/>
          <w:spacing w:val="-2"/>
        </w:rPr>
        <w:t>燃气、燃煤锅</w:t>
      </w:r>
      <w:r>
        <w:rPr>
          <w:rFonts w:ascii="SimSun" w:hAnsi="SimSun" w:eastAsia="SimSun" w:cs="SimSun"/>
          <w:sz w:val="24"/>
          <w:szCs w:val="24"/>
        </w:rPr>
        <w:t xml:space="preserve"> </w:t>
      </w:r>
      <w:r>
        <w:rPr>
          <w:rFonts w:ascii="SimSun" w:hAnsi="SimSun" w:eastAsia="SimSun" w:cs="SimSun"/>
          <w:sz w:val="24"/>
          <w:szCs w:val="24"/>
          <w:spacing w:val="-2"/>
        </w:rPr>
        <w:t>炉标准限值。</w:t>
      </w:r>
    </w:p>
    <w:p>
      <w:pPr>
        <w:ind w:left="107"/>
        <w:spacing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5.1.2.2 </w:t>
      </w:r>
      <w:r>
        <w:rPr>
          <w:rFonts w:ascii="SimSun" w:hAnsi="SimSun" w:eastAsia="SimSun" w:cs="SimSun"/>
          <w:sz w:val="24"/>
          <w:szCs w:val="24"/>
          <w:b/>
          <w:bCs/>
          <w:spacing w:val="-2"/>
        </w:rPr>
        <w:t>大气污染物排放量核算</w:t>
      </w:r>
    </w:p>
    <w:p>
      <w:pPr>
        <w:ind w:left="108" w:right="265" w:firstLine="482"/>
        <w:spacing w:before="213" w:line="385" w:lineRule="auto"/>
        <w:rPr>
          <w:rFonts w:ascii="SimSun" w:hAnsi="SimSun" w:eastAsia="SimSun" w:cs="SimSun"/>
          <w:sz w:val="24"/>
          <w:szCs w:val="24"/>
        </w:rPr>
      </w:pPr>
      <w:r>
        <w:rPr>
          <w:rFonts w:ascii="SimSun" w:hAnsi="SimSun" w:eastAsia="SimSun" w:cs="SimSun"/>
          <w:sz w:val="24"/>
          <w:szCs w:val="24"/>
        </w:rPr>
        <w:t>根据《环境影响评价技术导则</w:t>
      </w:r>
      <w:r>
        <w:rPr>
          <w:rFonts w:ascii="Times New Roman" w:hAnsi="Times New Roman" w:eastAsia="Times New Roman" w:cs="Times New Roman"/>
          <w:sz w:val="24"/>
          <w:szCs w:val="24"/>
        </w:rPr>
        <w:t>-</w:t>
      </w:r>
      <w:r>
        <w:rPr>
          <w:rFonts w:ascii="SimSun" w:hAnsi="SimSun" w:eastAsia="SimSun" w:cs="SimSun"/>
          <w:sz w:val="24"/>
          <w:szCs w:val="24"/>
        </w:rPr>
        <w:t>大气环境》（</w:t>
      </w:r>
      <w:r>
        <w:rPr>
          <w:rFonts w:ascii="Times New Roman" w:hAnsi="Times New Roman" w:eastAsia="Times New Roman" w:cs="Times New Roman"/>
          <w:sz w:val="24"/>
          <w:szCs w:val="24"/>
        </w:rPr>
        <w:t>HJ2.2-</w:t>
      </w:r>
      <w:r>
        <w:rPr>
          <w:rFonts w:ascii="Times New Roman" w:hAnsi="Times New Roman" w:eastAsia="Times New Roman" w:cs="Times New Roman"/>
          <w:sz w:val="24"/>
          <w:szCs w:val="24"/>
          <w:spacing w:val="-1"/>
        </w:rPr>
        <w:t>2018</w:t>
      </w:r>
      <w:r>
        <w:rPr>
          <w:rFonts w:ascii="SimSun" w:hAnsi="SimSun" w:eastAsia="SimSun" w:cs="SimSun"/>
          <w:sz w:val="24"/>
          <w:szCs w:val="24"/>
          <w:spacing w:val="-1"/>
        </w:rPr>
        <w:t>）要求“二级评价项</w:t>
      </w:r>
      <w:r>
        <w:rPr>
          <w:rFonts w:ascii="SimSun" w:hAnsi="SimSun" w:eastAsia="SimSun" w:cs="SimSun"/>
          <w:sz w:val="24"/>
          <w:szCs w:val="24"/>
        </w:rPr>
        <w:t xml:space="preserve"> </w:t>
      </w:r>
      <w:r>
        <w:rPr>
          <w:rFonts w:ascii="SimSun" w:hAnsi="SimSun" w:eastAsia="SimSun" w:cs="SimSun"/>
          <w:sz w:val="24"/>
          <w:szCs w:val="24"/>
        </w:rPr>
        <w:t>目不进行进一步预测与评价，只对污染物排放量进行核</w:t>
      </w:r>
      <w:r>
        <w:rPr>
          <w:rFonts w:ascii="SimSun" w:hAnsi="SimSun" w:eastAsia="SimSun" w:cs="SimSun"/>
          <w:sz w:val="24"/>
          <w:szCs w:val="24"/>
          <w:spacing w:val="-1"/>
        </w:rPr>
        <w:t>算。本项目大气污染物年</w:t>
      </w:r>
      <w:r>
        <w:rPr>
          <w:rFonts w:ascii="SimSun" w:hAnsi="SimSun" w:eastAsia="SimSun" w:cs="SimSun"/>
          <w:sz w:val="24"/>
          <w:szCs w:val="24"/>
        </w:rPr>
        <w:t xml:space="preserve"> </w:t>
      </w:r>
      <w:r>
        <w:rPr>
          <w:rFonts w:ascii="SimSun" w:hAnsi="SimSun" w:eastAsia="SimSun" w:cs="SimSun"/>
          <w:sz w:val="24"/>
          <w:szCs w:val="24"/>
        </w:rPr>
        <w:t>排放量包括无组织排放源、有组织排放源在正常排放条</w:t>
      </w:r>
      <w:r>
        <w:rPr>
          <w:rFonts w:ascii="SimSun" w:hAnsi="SimSun" w:eastAsia="SimSun" w:cs="SimSun"/>
          <w:sz w:val="24"/>
          <w:szCs w:val="24"/>
          <w:spacing w:val="-1"/>
        </w:rPr>
        <w:t>件下的预测排放量之和。</w:t>
      </w:r>
    </w:p>
    <w:p>
      <w:pPr>
        <w:ind w:left="591"/>
        <w:spacing w:before="1" w:line="218" w:lineRule="auto"/>
        <w:rPr>
          <w:rFonts w:ascii="SimSun" w:hAnsi="SimSun" w:eastAsia="SimSun" w:cs="SimSun"/>
          <w:sz w:val="24"/>
          <w:szCs w:val="24"/>
        </w:rPr>
      </w:pPr>
      <w:r>
        <w:rPr>
          <w:rFonts w:ascii="SimSun" w:hAnsi="SimSun" w:eastAsia="SimSun" w:cs="SimSun"/>
          <w:sz w:val="24"/>
          <w:szCs w:val="24"/>
          <w:spacing w:val="-1"/>
        </w:rPr>
        <w:t>本项目生产工艺中颗粒物执行《大气污染物综合排放标准限值》</w:t>
      </w:r>
    </w:p>
    <w:p>
      <w:pPr>
        <w:ind w:left="108" w:right="169" w:firstLine="11"/>
        <w:spacing w:before="214" w:line="385"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GB16297-1996</w:t>
      </w:r>
      <w:r>
        <w:rPr>
          <w:rFonts w:ascii="SimSun" w:hAnsi="SimSun" w:eastAsia="SimSun" w:cs="SimSun"/>
          <w:sz w:val="24"/>
          <w:szCs w:val="24"/>
          <w:spacing w:val="-2"/>
        </w:rPr>
        <w:t>）中表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 </w:t>
      </w:r>
      <w:r>
        <w:rPr>
          <w:rFonts w:ascii="SimSun" w:hAnsi="SimSun" w:eastAsia="SimSun" w:cs="SimSun"/>
          <w:sz w:val="24"/>
          <w:szCs w:val="24"/>
          <w:spacing w:val="-2"/>
        </w:rPr>
        <w:t>新污染源二级排放</w:t>
      </w:r>
      <w:r>
        <w:rPr>
          <w:rFonts w:ascii="SimSun" w:hAnsi="SimSun" w:eastAsia="SimSun" w:cs="SimSun"/>
          <w:sz w:val="24"/>
          <w:szCs w:val="24"/>
          <w:spacing w:val="-3"/>
        </w:rPr>
        <w:t>限值；</w:t>
      </w:r>
      <w:r>
        <w:rPr>
          <w:rFonts w:ascii="Times New Roman" w:hAnsi="Times New Roman" w:eastAsia="Times New Roman" w:cs="Times New Roman"/>
          <w:sz w:val="24"/>
          <w:szCs w:val="24"/>
          <w:spacing w:val="-3"/>
        </w:rPr>
        <w:t>H</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24"/>
          <w:szCs w:val="24"/>
          <w:spacing w:val="-3"/>
        </w:rPr>
        <w:t>S</w:t>
      </w:r>
      <w:r>
        <w:rPr>
          <w:rFonts w:ascii="SimSun" w:hAnsi="SimSun" w:eastAsia="SimSun" w:cs="SimSun"/>
          <w:sz w:val="24"/>
          <w:szCs w:val="24"/>
          <w:spacing w:val="-3"/>
        </w:rPr>
        <w:t>、</w:t>
      </w:r>
      <w:r>
        <w:rPr>
          <w:rFonts w:ascii="Times New Roman" w:hAnsi="Times New Roman" w:eastAsia="Times New Roman" w:cs="Times New Roman"/>
          <w:sz w:val="24"/>
          <w:szCs w:val="24"/>
          <w:spacing w:val="-3"/>
        </w:rPr>
        <w:t>NH</w:t>
      </w:r>
      <w:r>
        <w:rPr>
          <w:rFonts w:ascii="Times New Roman" w:hAnsi="Times New Roman" w:eastAsia="Times New Roman" w:cs="Times New Roman"/>
          <w:sz w:val="15"/>
          <w:szCs w:val="15"/>
          <w:spacing w:val="-3"/>
          <w:position w:val="-1"/>
        </w:rPr>
        <w:t>3</w:t>
      </w:r>
      <w:r>
        <w:rPr>
          <w:rFonts w:ascii="Times New Roman" w:hAnsi="Times New Roman" w:eastAsia="Times New Roman" w:cs="Times New Roman"/>
          <w:sz w:val="15"/>
          <w:szCs w:val="15"/>
          <w:spacing w:val="11"/>
          <w:position w:val="-1"/>
        </w:rPr>
        <w:t xml:space="preserve"> </w:t>
      </w:r>
      <w:r>
        <w:rPr>
          <w:rFonts w:ascii="SimSun" w:hAnsi="SimSun" w:eastAsia="SimSun" w:cs="SimSun"/>
          <w:sz w:val="24"/>
          <w:szCs w:val="24"/>
          <w:spacing w:val="-3"/>
        </w:rPr>
        <w:t>及臭气浓度排放执行</w:t>
      </w:r>
      <w:r>
        <w:rPr>
          <w:rFonts w:ascii="SimSun" w:hAnsi="SimSun" w:eastAsia="SimSun" w:cs="SimSun"/>
          <w:sz w:val="24"/>
          <w:szCs w:val="24"/>
        </w:rPr>
        <w:t xml:space="preserve"> </w:t>
      </w:r>
      <w:r>
        <w:rPr>
          <w:rFonts w:ascii="SimSun" w:hAnsi="SimSun" w:eastAsia="SimSun" w:cs="SimSun"/>
          <w:sz w:val="24"/>
          <w:szCs w:val="24"/>
          <w:spacing w:val="-1"/>
        </w:rPr>
        <w:t>《恶臭污染物排放标准》（</w:t>
      </w:r>
      <w:r>
        <w:rPr>
          <w:rFonts w:ascii="Times New Roman" w:hAnsi="Times New Roman" w:eastAsia="Times New Roman" w:cs="Times New Roman"/>
          <w:sz w:val="24"/>
          <w:szCs w:val="24"/>
          <w:spacing w:val="-1"/>
        </w:rPr>
        <w:t>GB14554-93</w:t>
      </w:r>
      <w:r>
        <w:rPr>
          <w:rFonts w:ascii="SimSun" w:hAnsi="SimSun" w:eastAsia="SimSun" w:cs="SimSun"/>
          <w:sz w:val="24"/>
          <w:szCs w:val="24"/>
          <w:spacing w:val="-1"/>
        </w:rPr>
        <w:t>）中表</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新改扩建二级标准限值、表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 </w:t>
      </w:r>
      <w:r>
        <w:rPr>
          <w:rFonts w:ascii="SimSun" w:hAnsi="SimSun" w:eastAsia="SimSun" w:cs="SimSun"/>
          <w:sz w:val="24"/>
          <w:szCs w:val="24"/>
          <w:spacing w:val="-2"/>
        </w:rPr>
        <w:t>排</w:t>
      </w:r>
      <w:r>
        <w:rPr>
          <w:rFonts w:ascii="SimSun" w:hAnsi="SimSun" w:eastAsia="SimSun" w:cs="SimSun"/>
          <w:sz w:val="24"/>
          <w:szCs w:val="24"/>
        </w:rPr>
        <w:t xml:space="preserve"> </w:t>
      </w:r>
      <w:r>
        <w:rPr>
          <w:rFonts w:ascii="SimSun" w:hAnsi="SimSun" w:eastAsia="SimSun" w:cs="SimSun"/>
          <w:sz w:val="24"/>
          <w:szCs w:val="24"/>
        </w:rPr>
        <w:t>放标准；沼气锅炉和生物质锅炉烟气排放分别参照执行</w:t>
      </w:r>
      <w:r>
        <w:rPr>
          <w:rFonts w:ascii="SimSun" w:hAnsi="SimSun" w:eastAsia="SimSun" w:cs="SimSun"/>
          <w:sz w:val="24"/>
          <w:szCs w:val="24"/>
          <w:spacing w:val="-1"/>
        </w:rPr>
        <w:t>《锅炉大气污染物排放标</w:t>
      </w:r>
      <w:r>
        <w:rPr>
          <w:rFonts w:ascii="SimSun" w:hAnsi="SimSun" w:eastAsia="SimSun" w:cs="SimSun"/>
          <w:sz w:val="24"/>
          <w:szCs w:val="24"/>
        </w:rPr>
        <w:t xml:space="preserve">  </w:t>
      </w:r>
      <w:r>
        <w:rPr>
          <w:rFonts w:ascii="SimSun" w:hAnsi="SimSun" w:eastAsia="SimSun" w:cs="SimSun"/>
          <w:sz w:val="24"/>
          <w:szCs w:val="24"/>
          <w:spacing w:val="-1"/>
        </w:rPr>
        <w:t>准》（</w:t>
      </w:r>
      <w:r>
        <w:rPr>
          <w:rFonts w:ascii="Times New Roman" w:hAnsi="Times New Roman" w:eastAsia="Times New Roman" w:cs="Times New Roman"/>
          <w:sz w:val="24"/>
          <w:szCs w:val="24"/>
          <w:spacing w:val="-1"/>
        </w:rPr>
        <w:t>GB</w:t>
      </w:r>
      <w:r>
        <w:rPr>
          <w:rFonts w:ascii="Times New Roman" w:hAnsi="Times New Roman" w:eastAsia="Times New Roman" w:cs="Times New Roman"/>
          <w:sz w:val="24"/>
          <w:szCs w:val="24"/>
          <w:spacing w:val="27"/>
        </w:rPr>
        <w:t xml:space="preserve"> </w:t>
      </w:r>
      <w:r>
        <w:rPr>
          <w:rFonts w:ascii="Times New Roman" w:hAnsi="Times New Roman" w:eastAsia="Times New Roman" w:cs="Times New Roman"/>
          <w:sz w:val="24"/>
          <w:szCs w:val="24"/>
          <w:spacing w:val="-1"/>
        </w:rPr>
        <w:t>13271-2014</w:t>
      </w:r>
      <w:r>
        <w:rPr>
          <w:rFonts w:ascii="SimSun" w:hAnsi="SimSun" w:eastAsia="SimSun" w:cs="SimSun"/>
          <w:sz w:val="24"/>
          <w:szCs w:val="24"/>
          <w:spacing w:val="-1"/>
        </w:rPr>
        <w:t>）表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2"/>
        </w:rPr>
        <w:t>燃气、燃煤锅炉标准限值；</w:t>
      </w:r>
    </w:p>
    <w:p>
      <w:pPr>
        <w:ind w:left="480"/>
        <w:spacing w:before="1"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）有组织排放量核算</w:t>
      </w:r>
    </w:p>
    <w:p>
      <w:pPr>
        <w:ind w:left="589"/>
        <w:spacing w:before="214" w:line="219" w:lineRule="auto"/>
        <w:rPr>
          <w:rFonts w:ascii="SimSun" w:hAnsi="SimSun" w:eastAsia="SimSun" w:cs="SimSun"/>
          <w:sz w:val="24"/>
          <w:szCs w:val="24"/>
        </w:rPr>
      </w:pPr>
      <w:r>
        <w:rPr>
          <w:rFonts w:ascii="SimSun" w:hAnsi="SimSun" w:eastAsia="SimSun" w:cs="SimSun"/>
          <w:sz w:val="24"/>
          <w:szCs w:val="24"/>
          <w:spacing w:val="-2"/>
        </w:rPr>
        <w:t>有组织废气排放量核算见表</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2"/>
        </w:rPr>
        <w:t>5.1-14</w:t>
      </w:r>
      <w:r>
        <w:rPr>
          <w:rFonts w:ascii="SimSun" w:hAnsi="SimSun" w:eastAsia="SimSun" w:cs="SimSun"/>
          <w:sz w:val="24"/>
          <w:szCs w:val="24"/>
          <w:spacing w:val="-2"/>
        </w:rPr>
        <w:t>。</w:t>
      </w:r>
    </w:p>
    <w:p>
      <w:pPr>
        <w:ind w:left="2152"/>
        <w:spacing w:before="214"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5.1-14      </w:t>
      </w:r>
      <w:r>
        <w:rPr>
          <w:rFonts w:ascii="SimSun" w:hAnsi="SimSun" w:eastAsia="SimSun" w:cs="SimSun"/>
          <w:sz w:val="24"/>
          <w:szCs w:val="24"/>
          <w:b/>
          <w:bCs/>
          <w:spacing w:val="-2"/>
        </w:rPr>
        <w:t>项目有组织废气排放量核算表</w:t>
      </w:r>
    </w:p>
    <w:tbl>
      <w:tblPr>
        <w:tblStyle w:val="TableNormal"/>
        <w:tblW w:w="8673" w:type="dxa"/>
        <w:tblInd w:w="96"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64"/>
        <w:gridCol w:w="1256"/>
        <w:gridCol w:w="1091"/>
        <w:gridCol w:w="1990"/>
        <w:gridCol w:w="1232"/>
        <w:gridCol w:w="1223"/>
        <w:gridCol w:w="1017"/>
      </w:tblGrid>
      <w:tr>
        <w:trPr>
          <w:trHeight w:val="631" w:hRule="atLeast"/>
        </w:trPr>
        <w:tc>
          <w:tcPr>
            <w:tcW w:w="864" w:type="dxa"/>
            <w:vAlign w:val="top"/>
          </w:tcPr>
          <w:p>
            <w:pPr>
              <w:pStyle w:val="TableText"/>
              <w:ind w:left="228"/>
              <w:spacing w:before="212" w:line="228" w:lineRule="auto"/>
              <w:rPr/>
            </w:pPr>
            <w:r>
              <w:rPr>
                <w:spacing w:val="3"/>
              </w:rPr>
              <w:t>编号</w:t>
            </w:r>
          </w:p>
        </w:tc>
        <w:tc>
          <w:tcPr>
            <w:tcW w:w="1256" w:type="dxa"/>
            <w:vAlign w:val="top"/>
          </w:tcPr>
          <w:p>
            <w:pPr>
              <w:pStyle w:val="TableText"/>
              <w:ind w:left="317"/>
              <w:spacing w:before="213" w:line="228" w:lineRule="auto"/>
              <w:rPr/>
            </w:pPr>
            <w:r>
              <w:rPr>
                <w:spacing w:val="6"/>
              </w:rPr>
              <w:t>污染源</w:t>
            </w:r>
          </w:p>
        </w:tc>
        <w:tc>
          <w:tcPr>
            <w:tcW w:w="1091" w:type="dxa"/>
            <w:vAlign w:val="top"/>
          </w:tcPr>
          <w:p>
            <w:pPr>
              <w:pStyle w:val="TableText"/>
              <w:ind w:left="237"/>
              <w:spacing w:before="213" w:line="228" w:lineRule="auto"/>
              <w:rPr/>
            </w:pPr>
            <w:r>
              <w:rPr>
                <w:spacing w:val="6"/>
              </w:rPr>
              <w:t>污染物</w:t>
            </w:r>
          </w:p>
        </w:tc>
        <w:tc>
          <w:tcPr>
            <w:tcW w:w="1990" w:type="dxa"/>
            <w:vAlign w:val="top"/>
          </w:tcPr>
          <w:p>
            <w:pPr>
              <w:pStyle w:val="TableText"/>
              <w:ind w:left="580"/>
              <w:spacing w:before="213" w:line="228" w:lineRule="auto"/>
              <w:rPr/>
            </w:pPr>
            <w:r>
              <w:rPr>
                <w:spacing w:val="7"/>
              </w:rPr>
              <w:t>标准名称</w:t>
            </w:r>
          </w:p>
        </w:tc>
        <w:tc>
          <w:tcPr>
            <w:tcW w:w="1232" w:type="dxa"/>
            <w:vAlign w:val="top"/>
          </w:tcPr>
          <w:p>
            <w:pPr>
              <w:pStyle w:val="TableText"/>
              <w:ind w:left="210" w:right="89" w:hanging="111"/>
              <w:spacing w:before="57" w:line="260" w:lineRule="auto"/>
              <w:rPr>
                <w:rFonts w:ascii="Times New Roman" w:hAnsi="Times New Roman" w:eastAsia="Times New Roman" w:cs="Times New Roman"/>
                <w:sz w:val="13"/>
                <w:szCs w:val="13"/>
              </w:rPr>
            </w:pPr>
            <w:r>
              <w:rPr>
                <w:spacing w:val="7"/>
              </w:rPr>
              <w:t>核算排放浓</w:t>
            </w:r>
            <w:r>
              <w:rPr>
                <w:spacing w:val="2"/>
              </w:rPr>
              <w:t xml:space="preserve"> </w:t>
            </w:r>
            <w:r>
              <w:rPr>
                <w:spacing w:val="6"/>
              </w:rPr>
              <w:t>度</w:t>
            </w:r>
            <w:r>
              <w:rPr>
                <w:spacing w:val="-45"/>
              </w:rPr>
              <w:t xml:space="preserve"> </w:t>
            </w:r>
            <w:r>
              <w:rPr>
                <w:rFonts w:ascii="Times New Roman" w:hAnsi="Times New Roman" w:eastAsia="Times New Roman" w:cs="Times New Roman"/>
              </w:rPr>
              <w:t>mg</w:t>
            </w:r>
            <w:r>
              <w:rPr>
                <w:rFonts w:ascii="Times New Roman" w:hAnsi="Times New Roman" w:eastAsia="Times New Roman" w:cs="Times New Roman"/>
                <w:spacing w:val="6"/>
              </w:rPr>
              <w:t>/m</w:t>
            </w:r>
            <w:r>
              <w:rPr>
                <w:rFonts w:ascii="Times New Roman" w:hAnsi="Times New Roman" w:eastAsia="Times New Roman" w:cs="Times New Roman"/>
                <w:sz w:val="13"/>
                <w:szCs w:val="13"/>
                <w:spacing w:val="6"/>
                <w:position w:val="6"/>
              </w:rPr>
              <w:t>3</w:t>
            </w:r>
          </w:p>
        </w:tc>
        <w:tc>
          <w:tcPr>
            <w:tcW w:w="1223" w:type="dxa"/>
            <w:vAlign w:val="top"/>
          </w:tcPr>
          <w:p>
            <w:pPr>
              <w:pStyle w:val="TableText"/>
              <w:ind w:left="96"/>
              <w:spacing w:before="56" w:line="228" w:lineRule="auto"/>
              <w:rPr/>
            </w:pPr>
            <w:r>
              <w:rPr>
                <w:spacing w:val="7"/>
              </w:rPr>
              <w:t>核算排放速</w:t>
            </w:r>
          </w:p>
          <w:p>
            <w:pPr>
              <w:pStyle w:val="TableText"/>
              <w:ind w:left="302"/>
              <w:spacing w:before="65" w:line="221" w:lineRule="auto"/>
              <w:rPr>
                <w:rFonts w:ascii="Times New Roman" w:hAnsi="Times New Roman" w:eastAsia="Times New Roman" w:cs="Times New Roman"/>
              </w:rPr>
            </w:pPr>
            <w:r>
              <w:rPr>
                <w:spacing w:val="5"/>
              </w:rPr>
              <w:t>率</w:t>
            </w:r>
            <w:r>
              <w:rPr>
                <w:spacing w:val="-46"/>
              </w:rPr>
              <w:t xml:space="preserve"> </w:t>
            </w:r>
            <w:r>
              <w:rPr>
                <w:rFonts w:ascii="Times New Roman" w:hAnsi="Times New Roman" w:eastAsia="Times New Roman" w:cs="Times New Roman"/>
              </w:rPr>
              <w:t>kg</w:t>
            </w:r>
            <w:r>
              <w:rPr>
                <w:rFonts w:ascii="Times New Roman" w:hAnsi="Times New Roman" w:eastAsia="Times New Roman" w:cs="Times New Roman"/>
                <w:spacing w:val="5"/>
              </w:rPr>
              <w:t>/h</w:t>
            </w:r>
          </w:p>
        </w:tc>
        <w:tc>
          <w:tcPr>
            <w:tcW w:w="1017" w:type="dxa"/>
            <w:vAlign w:val="top"/>
          </w:tcPr>
          <w:p>
            <w:pPr>
              <w:pStyle w:val="TableText"/>
              <w:ind w:left="97"/>
              <w:spacing w:before="56" w:line="228" w:lineRule="auto"/>
              <w:rPr/>
            </w:pPr>
            <w:r>
              <w:rPr>
                <w:spacing w:val="6"/>
              </w:rPr>
              <w:t>核算年放</w:t>
            </w:r>
          </w:p>
          <w:p>
            <w:pPr>
              <w:pStyle w:val="TableText"/>
              <w:ind w:left="277"/>
              <w:spacing w:before="64" w:line="233" w:lineRule="auto"/>
              <w:rPr>
                <w:rFonts w:ascii="Times New Roman" w:hAnsi="Times New Roman" w:eastAsia="Times New Roman" w:cs="Times New Roman"/>
              </w:rPr>
            </w:pPr>
            <w:r>
              <w:rPr>
                <w:spacing w:val="1"/>
              </w:rPr>
              <w:t>量</w:t>
            </w:r>
            <w:r>
              <w:rPr>
                <w:spacing w:val="-44"/>
              </w:rPr>
              <w:t xml:space="preserve"> </w:t>
            </w:r>
            <w:r>
              <w:rPr>
                <w:rFonts w:ascii="Times New Roman" w:hAnsi="Times New Roman" w:eastAsia="Times New Roman" w:cs="Times New Roman"/>
                <w:spacing w:val="1"/>
              </w:rPr>
              <w:t>t/a</w:t>
            </w:r>
          </w:p>
        </w:tc>
      </w:tr>
    </w:tbl>
    <w:p>
      <w:pPr>
        <w:ind w:left="4236"/>
        <w:spacing w:before="2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164</w:t>
      </w:r>
    </w:p>
    <w:p>
      <w:pPr>
        <w:ind w:left="4810"/>
        <w:spacing w:before="287" w:line="22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p>
      <w:pPr>
        <w:spacing w:line="227" w:lineRule="auto"/>
        <w:sectPr>
          <w:headerReference w:type="default" r:id="rId217"/>
          <w:footerReference w:type="default" r:id="rId3"/>
          <w:pgSz w:w="11906" w:h="16839"/>
          <w:pgMar w:top="1567" w:right="1531" w:bottom="400" w:left="1602" w:header="1221" w:footer="0" w:gutter="0"/>
        </w:sectPr>
        <w:rPr>
          <w:rFonts w:ascii="SimSun" w:hAnsi="SimSun" w:eastAsia="SimSun" w:cs="SimSun"/>
          <w:sz w:val="19"/>
          <w:szCs w:val="19"/>
        </w:rPr>
      </w:pPr>
    </w:p>
    <w:p>
      <w:pPr>
        <w:spacing w:line="151" w:lineRule="exact"/>
        <w:rPr/>
      </w:pPr>
      <w:r>
        <w:pict>
          <v:shape id="_x0000_s838" style="position:absolute;margin-left:85.05pt;margin-top:79.11pt;mso-position-vertical-relative:page;mso-position-horizontal-relative:page;width:425.25pt;height:0.75pt;z-index:252017664;" o:allowincell="f" fillcolor="#000000" filled="true" stroked="false" coordsize="8505,15" coordorigin="0,0" path="m,l8504,0l8504,14l0,14l0,0xe"/>
        </w:pict>
      </w:r>
      <w:r/>
    </w:p>
    <w:tbl>
      <w:tblPr>
        <w:tblStyle w:val="TableNormal"/>
        <w:tblW w:w="867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64"/>
        <w:gridCol w:w="1256"/>
        <w:gridCol w:w="1091"/>
        <w:gridCol w:w="1990"/>
        <w:gridCol w:w="1232"/>
        <w:gridCol w:w="1223"/>
        <w:gridCol w:w="1017"/>
      </w:tblGrid>
      <w:tr>
        <w:trPr>
          <w:trHeight w:val="633" w:hRule="atLeast"/>
        </w:trPr>
        <w:tc>
          <w:tcPr>
            <w:tcW w:w="864" w:type="dxa"/>
            <w:vAlign w:val="top"/>
          </w:tcPr>
          <w:p>
            <w:pPr>
              <w:ind w:left="123"/>
              <w:spacing w:before="24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z w:val="20"/>
                <w:szCs w:val="20"/>
                <w:spacing w:val="8"/>
              </w:rPr>
              <w:t>001</w:t>
            </w:r>
          </w:p>
        </w:tc>
        <w:tc>
          <w:tcPr>
            <w:tcW w:w="1256" w:type="dxa"/>
            <w:vAlign w:val="top"/>
          </w:tcPr>
          <w:p>
            <w:pPr>
              <w:pStyle w:val="TableText"/>
              <w:ind w:left="9"/>
              <w:spacing w:before="55" w:line="228" w:lineRule="auto"/>
              <w:rPr/>
            </w:pPr>
            <w:r>
              <w:rPr>
                <w:spacing w:val="6"/>
              </w:rPr>
              <w:t>开松除杂（东</w:t>
            </w:r>
          </w:p>
          <w:p>
            <w:pPr>
              <w:pStyle w:val="TableText"/>
              <w:ind w:left="318"/>
              <w:spacing w:before="65" w:line="228" w:lineRule="auto"/>
              <w:rPr/>
            </w:pPr>
            <w:r>
              <w:rPr>
                <w:spacing w:val="2"/>
              </w:rPr>
              <w:t>厂区）</w:t>
            </w:r>
          </w:p>
        </w:tc>
        <w:tc>
          <w:tcPr>
            <w:tcW w:w="1091" w:type="dxa"/>
            <w:vAlign w:val="top"/>
          </w:tcPr>
          <w:p>
            <w:pPr>
              <w:pStyle w:val="TableText"/>
              <w:ind w:left="234"/>
              <w:spacing w:before="212" w:line="228" w:lineRule="auto"/>
              <w:rPr/>
            </w:pPr>
            <w:r>
              <w:rPr>
                <w:spacing w:val="7"/>
              </w:rPr>
              <w:t>颗粒物</w:t>
            </w:r>
          </w:p>
        </w:tc>
        <w:tc>
          <w:tcPr>
            <w:tcW w:w="1990" w:type="dxa"/>
            <w:vAlign w:val="top"/>
            <w:vMerge w:val="restart"/>
            <w:tcBorders>
              <w:bottom w:val="nil"/>
            </w:tcBorders>
          </w:tcPr>
          <w:p>
            <w:pPr>
              <w:pStyle w:val="TableText"/>
              <w:ind w:left="59"/>
              <w:spacing w:before="56" w:line="228" w:lineRule="auto"/>
              <w:rPr/>
            </w:pPr>
            <w:r>
              <w:rPr>
                <w:spacing w:val="8"/>
              </w:rPr>
              <w:t>《大气污染物综合排</w:t>
            </w:r>
          </w:p>
          <w:p>
            <w:pPr>
              <w:pStyle w:val="TableText"/>
              <w:ind w:left="368"/>
              <w:spacing w:before="64" w:line="228" w:lineRule="auto"/>
              <w:rPr/>
            </w:pPr>
            <w:r>
              <w:rPr>
                <w:spacing w:val="6"/>
              </w:rPr>
              <w:t>放标准限值》</w:t>
            </w:r>
          </w:p>
          <w:p>
            <w:pPr>
              <w:pStyle w:val="TableText"/>
              <w:ind w:left="42"/>
              <w:spacing w:before="65" w:line="228" w:lineRule="auto"/>
              <w:rPr/>
            </w:pPr>
            <w:r>
              <w:rPr>
                <w:spacing w:val="6"/>
              </w:rPr>
              <w:t>（</w:t>
            </w:r>
            <w:r>
              <w:rPr>
                <w:rFonts w:ascii="Times New Roman" w:hAnsi="Times New Roman" w:eastAsia="Times New Roman" w:cs="Times New Roman"/>
              </w:rPr>
              <w:t>GB</w:t>
            </w:r>
            <w:r>
              <w:rPr>
                <w:rFonts w:ascii="Times New Roman" w:hAnsi="Times New Roman" w:eastAsia="Times New Roman" w:cs="Times New Roman"/>
                <w:spacing w:val="6"/>
              </w:rPr>
              <w:t>16297-1996</w:t>
            </w:r>
            <w:r>
              <w:rPr>
                <w:spacing w:val="6"/>
              </w:rPr>
              <w:t>）中</w:t>
            </w:r>
          </w:p>
          <w:p>
            <w:pPr>
              <w:pStyle w:val="TableText"/>
              <w:ind w:left="53"/>
              <w:spacing w:before="64" w:line="228" w:lineRule="auto"/>
              <w:rPr/>
            </w:pPr>
            <w:r>
              <w:rPr>
                <w:spacing w:val="7"/>
              </w:rPr>
              <w:t>表</w:t>
            </w:r>
            <w:r>
              <w:rPr>
                <w:spacing w:val="-40"/>
              </w:rPr>
              <w:t xml:space="preserve"> </w:t>
            </w:r>
            <w:r>
              <w:rPr>
                <w:rFonts w:ascii="Times New Roman" w:hAnsi="Times New Roman" w:eastAsia="Times New Roman" w:cs="Times New Roman"/>
                <w:spacing w:val="7"/>
              </w:rPr>
              <w:t>2 </w:t>
            </w:r>
            <w:r>
              <w:rPr>
                <w:spacing w:val="7"/>
              </w:rPr>
              <w:t>新污染源二级排</w:t>
            </w:r>
          </w:p>
          <w:p>
            <w:pPr>
              <w:pStyle w:val="TableText"/>
              <w:ind w:left="685"/>
              <w:spacing w:before="64" w:line="228" w:lineRule="auto"/>
              <w:rPr/>
            </w:pPr>
            <w:r>
              <w:rPr>
                <w:spacing w:val="6"/>
              </w:rPr>
              <w:t>放限值</w:t>
            </w:r>
          </w:p>
        </w:tc>
        <w:tc>
          <w:tcPr>
            <w:tcW w:w="1232" w:type="dxa"/>
            <w:vAlign w:val="top"/>
          </w:tcPr>
          <w:p>
            <w:pPr>
              <w:ind w:left="384"/>
              <w:spacing w:before="24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0.052</w:t>
            </w:r>
          </w:p>
        </w:tc>
        <w:tc>
          <w:tcPr>
            <w:tcW w:w="1223" w:type="dxa"/>
            <w:vAlign w:val="top"/>
          </w:tcPr>
          <w:p>
            <w:pPr>
              <w:ind w:left="328"/>
              <w:spacing w:before="24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0.0001</w:t>
            </w:r>
          </w:p>
        </w:tc>
        <w:tc>
          <w:tcPr>
            <w:tcW w:w="1017" w:type="dxa"/>
            <w:vAlign w:val="top"/>
          </w:tcPr>
          <w:p>
            <w:pPr>
              <w:ind w:left="171"/>
              <w:spacing w:before="24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0.00067</w:t>
            </w:r>
          </w:p>
        </w:tc>
      </w:tr>
      <w:tr>
        <w:trPr>
          <w:trHeight w:val="930" w:hRule="atLeast"/>
        </w:trPr>
        <w:tc>
          <w:tcPr>
            <w:tcW w:w="864" w:type="dxa"/>
            <w:vAlign w:val="top"/>
          </w:tcPr>
          <w:p>
            <w:pPr>
              <w:spacing w:line="334" w:lineRule="auto"/>
              <w:rPr>
                <w:rFonts w:ascii="Arial"/>
                <w:sz w:val="21"/>
              </w:rPr>
            </w:pPr>
            <w:r/>
          </w:p>
          <w:p>
            <w:pPr>
              <w:ind w:left="12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z w:val="20"/>
                <w:szCs w:val="20"/>
                <w:spacing w:val="8"/>
              </w:rPr>
              <w:t>002</w:t>
            </w:r>
          </w:p>
        </w:tc>
        <w:tc>
          <w:tcPr>
            <w:tcW w:w="1256" w:type="dxa"/>
            <w:vAlign w:val="top"/>
          </w:tcPr>
          <w:p>
            <w:pPr>
              <w:pStyle w:val="TableText"/>
              <w:ind w:left="9"/>
              <w:spacing w:before="202" w:line="228" w:lineRule="auto"/>
              <w:rPr/>
            </w:pPr>
            <w:r>
              <w:rPr>
                <w:spacing w:val="6"/>
              </w:rPr>
              <w:t>开松除杂（东</w:t>
            </w:r>
          </w:p>
          <w:p>
            <w:pPr>
              <w:pStyle w:val="TableText"/>
              <w:ind w:left="318"/>
              <w:spacing w:before="65" w:line="228" w:lineRule="auto"/>
              <w:rPr/>
            </w:pPr>
            <w:r>
              <w:rPr>
                <w:spacing w:val="2"/>
              </w:rPr>
              <w:t>厂区）</w:t>
            </w:r>
          </w:p>
        </w:tc>
        <w:tc>
          <w:tcPr>
            <w:tcW w:w="1091" w:type="dxa"/>
            <w:vAlign w:val="top"/>
          </w:tcPr>
          <w:p>
            <w:pPr>
              <w:spacing w:line="292" w:lineRule="auto"/>
              <w:rPr>
                <w:rFonts w:ascii="Arial"/>
                <w:sz w:val="21"/>
              </w:rPr>
            </w:pPr>
            <w:r/>
          </w:p>
          <w:p>
            <w:pPr>
              <w:pStyle w:val="TableText"/>
              <w:ind w:left="234"/>
              <w:spacing w:before="65" w:line="228" w:lineRule="auto"/>
              <w:rPr/>
            </w:pPr>
            <w:r>
              <w:rPr>
                <w:spacing w:val="7"/>
              </w:rPr>
              <w:t>颗粒物</w:t>
            </w:r>
          </w:p>
        </w:tc>
        <w:tc>
          <w:tcPr>
            <w:tcW w:w="1990" w:type="dxa"/>
            <w:vAlign w:val="top"/>
            <w:vMerge w:val="continue"/>
            <w:tcBorders>
              <w:top w:val="nil"/>
            </w:tcBorders>
          </w:tcPr>
          <w:p>
            <w:pPr>
              <w:rPr>
                <w:rFonts w:ascii="Arial"/>
                <w:sz w:val="21"/>
              </w:rPr>
            </w:pPr>
            <w:r/>
          </w:p>
        </w:tc>
        <w:tc>
          <w:tcPr>
            <w:tcW w:w="1232" w:type="dxa"/>
            <w:vAlign w:val="top"/>
          </w:tcPr>
          <w:p>
            <w:pPr>
              <w:spacing w:line="335" w:lineRule="auto"/>
              <w:rPr>
                <w:rFonts w:ascii="Arial"/>
                <w:sz w:val="21"/>
              </w:rPr>
            </w:pPr>
            <w:r/>
          </w:p>
          <w:p>
            <w:pPr>
              <w:ind w:left="384"/>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0.052</w:t>
            </w:r>
          </w:p>
        </w:tc>
        <w:tc>
          <w:tcPr>
            <w:tcW w:w="1223" w:type="dxa"/>
            <w:vAlign w:val="top"/>
          </w:tcPr>
          <w:p>
            <w:pPr>
              <w:spacing w:line="335" w:lineRule="auto"/>
              <w:rPr>
                <w:rFonts w:ascii="Arial"/>
                <w:sz w:val="21"/>
              </w:rPr>
            </w:pPr>
            <w:r/>
          </w:p>
          <w:p>
            <w:pPr>
              <w:ind w:left="328"/>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0.0001</w:t>
            </w:r>
          </w:p>
        </w:tc>
        <w:tc>
          <w:tcPr>
            <w:tcW w:w="1017" w:type="dxa"/>
            <w:vAlign w:val="top"/>
          </w:tcPr>
          <w:p>
            <w:pPr>
              <w:spacing w:line="335" w:lineRule="auto"/>
              <w:rPr>
                <w:rFonts w:ascii="Arial"/>
                <w:sz w:val="21"/>
              </w:rPr>
            </w:pPr>
            <w:r/>
          </w:p>
          <w:p>
            <w:pPr>
              <w:ind w:left="171"/>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0.00067</w:t>
            </w:r>
          </w:p>
        </w:tc>
      </w:tr>
      <w:tr>
        <w:trPr>
          <w:trHeight w:val="317" w:hRule="atLeast"/>
        </w:trPr>
        <w:tc>
          <w:tcPr>
            <w:tcW w:w="864" w:type="dxa"/>
            <w:vAlign w:val="top"/>
            <w:vMerge w:val="restart"/>
            <w:tcBorders>
              <w:bottom w:val="nil"/>
            </w:tcBorders>
          </w:tcPr>
          <w:p>
            <w:pPr>
              <w:spacing w:line="325" w:lineRule="auto"/>
              <w:rPr>
                <w:rFonts w:ascii="Arial"/>
                <w:sz w:val="21"/>
              </w:rPr>
            </w:pPr>
            <w:r/>
          </w:p>
          <w:p>
            <w:pPr>
              <w:spacing w:line="325" w:lineRule="auto"/>
              <w:rPr>
                <w:rFonts w:ascii="Arial"/>
                <w:sz w:val="21"/>
              </w:rPr>
            </w:pPr>
            <w:r/>
          </w:p>
          <w:p>
            <w:pPr>
              <w:ind w:left="12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z w:val="20"/>
                <w:szCs w:val="20"/>
                <w:spacing w:val="8"/>
              </w:rPr>
              <w:t>003</w:t>
            </w:r>
          </w:p>
        </w:tc>
        <w:tc>
          <w:tcPr>
            <w:tcW w:w="1256" w:type="dxa"/>
            <w:vAlign w:val="top"/>
            <w:vMerge w:val="restart"/>
            <w:tcBorders>
              <w:bottom w:val="nil"/>
            </w:tcBorders>
          </w:tcPr>
          <w:p>
            <w:pPr>
              <w:spacing w:line="452" w:lineRule="auto"/>
              <w:rPr>
                <w:rFonts w:ascii="Arial"/>
                <w:sz w:val="21"/>
              </w:rPr>
            </w:pPr>
            <w:r/>
          </w:p>
          <w:p>
            <w:pPr>
              <w:pStyle w:val="TableText"/>
              <w:ind w:left="106"/>
              <w:spacing w:before="65" w:line="228" w:lineRule="auto"/>
              <w:rPr/>
            </w:pPr>
            <w:r>
              <w:rPr>
                <w:spacing w:val="8"/>
              </w:rPr>
              <w:t>废水收集池</w:t>
            </w:r>
          </w:p>
          <w:p>
            <w:pPr>
              <w:pStyle w:val="TableText"/>
              <w:ind w:left="317"/>
              <w:spacing w:before="65" w:line="228" w:lineRule="auto"/>
              <w:rPr/>
            </w:pPr>
            <w:r>
              <w:rPr>
                <w:spacing w:val="6"/>
              </w:rPr>
              <w:t>等池体</w:t>
            </w:r>
          </w:p>
        </w:tc>
        <w:tc>
          <w:tcPr>
            <w:tcW w:w="1091" w:type="dxa"/>
            <w:vAlign w:val="top"/>
          </w:tcPr>
          <w:p>
            <w:pPr>
              <w:ind w:left="354"/>
              <w:spacing w:before="91"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1990" w:type="dxa"/>
            <w:vAlign w:val="top"/>
            <w:vMerge w:val="restart"/>
            <w:tcBorders>
              <w:bottom w:val="nil"/>
            </w:tcBorders>
          </w:tcPr>
          <w:p>
            <w:pPr>
              <w:pStyle w:val="TableText"/>
              <w:ind w:left="4"/>
              <w:spacing w:before="52" w:line="228" w:lineRule="auto"/>
              <w:rPr/>
            </w:pPr>
            <w:r>
              <w:rPr>
                <w:rFonts w:ascii="Times New Roman" w:hAnsi="Times New Roman" w:eastAsia="Times New Roman" w:cs="Times New Roman"/>
                <w:spacing w:val="6"/>
              </w:rPr>
              <w:t>H</w:t>
            </w:r>
            <w:r>
              <w:rPr>
                <w:rFonts w:ascii="Times New Roman" w:hAnsi="Times New Roman" w:eastAsia="Times New Roman" w:cs="Times New Roman"/>
                <w:sz w:val="13"/>
                <w:szCs w:val="13"/>
                <w:spacing w:val="6"/>
                <w:position w:val="-1"/>
              </w:rPr>
              <w:t>2</w:t>
            </w:r>
            <w:r>
              <w:rPr>
                <w:rFonts w:ascii="Times New Roman" w:hAnsi="Times New Roman" w:eastAsia="Times New Roman" w:cs="Times New Roman"/>
                <w:spacing w:val="6"/>
              </w:rPr>
              <w:t>S</w:t>
            </w:r>
            <w:r>
              <w:rPr>
                <w:spacing w:val="6"/>
              </w:rPr>
              <w:t>、</w:t>
            </w:r>
            <w:r>
              <w:rPr>
                <w:rFonts w:ascii="Times New Roman" w:hAnsi="Times New Roman" w:eastAsia="Times New Roman" w:cs="Times New Roman"/>
              </w:rPr>
              <w:t>NH</w:t>
            </w:r>
            <w:r>
              <w:rPr>
                <w:rFonts w:ascii="Times New Roman" w:hAnsi="Times New Roman" w:eastAsia="Times New Roman" w:cs="Times New Roman"/>
                <w:sz w:val="13"/>
                <w:szCs w:val="13"/>
                <w:spacing w:val="6"/>
                <w:position w:val="-1"/>
              </w:rPr>
              <w:t>3 </w:t>
            </w:r>
            <w:r>
              <w:rPr>
                <w:spacing w:val="6"/>
              </w:rPr>
              <w:t>及臭气浓度</w:t>
            </w:r>
          </w:p>
          <w:p>
            <w:pPr>
              <w:pStyle w:val="TableText"/>
              <w:ind w:left="54"/>
              <w:spacing w:before="64" w:line="228" w:lineRule="auto"/>
              <w:rPr/>
            </w:pPr>
            <w:r>
              <w:rPr>
                <w:spacing w:val="8"/>
              </w:rPr>
              <w:t>排放执行《恶臭污染</w:t>
            </w:r>
          </w:p>
          <w:p>
            <w:pPr>
              <w:pStyle w:val="TableText"/>
              <w:ind w:left="368"/>
              <w:spacing w:before="65" w:line="228" w:lineRule="auto"/>
              <w:rPr/>
            </w:pPr>
            <w:r>
              <w:rPr>
                <w:spacing w:val="6"/>
              </w:rPr>
              <w:t>物排放标准》</w:t>
            </w:r>
          </w:p>
          <w:p>
            <w:pPr>
              <w:pStyle w:val="TableText"/>
              <w:ind w:left="66"/>
              <w:spacing w:before="64" w:line="229" w:lineRule="auto"/>
              <w:rPr>
                <w:rFonts w:ascii="Times New Roman" w:hAnsi="Times New Roman" w:eastAsia="Times New Roman" w:cs="Times New Roman"/>
              </w:rPr>
            </w:pPr>
            <w:r>
              <w:rPr>
                <w:spacing w:val="5"/>
              </w:rPr>
              <w:t>（</w:t>
            </w:r>
            <w:r>
              <w:rPr>
                <w:rFonts w:ascii="Times New Roman" w:hAnsi="Times New Roman" w:eastAsia="Times New Roman" w:cs="Times New Roman"/>
              </w:rPr>
              <w:t>GB</w:t>
            </w:r>
            <w:r>
              <w:rPr>
                <w:rFonts w:ascii="Times New Roman" w:hAnsi="Times New Roman" w:eastAsia="Times New Roman" w:cs="Times New Roman"/>
                <w:spacing w:val="5"/>
              </w:rPr>
              <w:t>14554-93</w:t>
            </w:r>
            <w:r>
              <w:rPr>
                <w:spacing w:val="5"/>
              </w:rPr>
              <w:t>）表</w:t>
            </w:r>
            <w:r>
              <w:rPr>
                <w:spacing w:val="-39"/>
              </w:rPr>
              <w:t xml:space="preserve"> </w:t>
            </w:r>
            <w:r>
              <w:rPr>
                <w:rFonts w:ascii="Times New Roman" w:hAnsi="Times New Roman" w:eastAsia="Times New Roman" w:cs="Times New Roman"/>
                <w:spacing w:val="5"/>
              </w:rPr>
              <w:t>2</w:t>
            </w:r>
          </w:p>
          <w:p>
            <w:pPr>
              <w:pStyle w:val="TableText"/>
              <w:ind w:left="579"/>
              <w:spacing w:before="64" w:line="228" w:lineRule="auto"/>
              <w:rPr/>
            </w:pPr>
            <w:r>
              <w:rPr>
                <w:spacing w:val="7"/>
              </w:rPr>
              <w:t>排放标准</w:t>
            </w:r>
          </w:p>
        </w:tc>
        <w:tc>
          <w:tcPr>
            <w:tcW w:w="1232" w:type="dxa"/>
            <w:vAlign w:val="top"/>
          </w:tcPr>
          <w:p>
            <w:pPr>
              <w:ind w:left="401"/>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17.85</w:t>
            </w:r>
          </w:p>
        </w:tc>
        <w:tc>
          <w:tcPr>
            <w:tcW w:w="1223" w:type="dxa"/>
            <w:vAlign w:val="top"/>
          </w:tcPr>
          <w:p>
            <w:pPr>
              <w:ind w:left="328"/>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0.0357</w:t>
            </w:r>
          </w:p>
        </w:tc>
        <w:tc>
          <w:tcPr>
            <w:tcW w:w="1017" w:type="dxa"/>
            <w:vAlign w:val="top"/>
          </w:tcPr>
          <w:p>
            <w:pPr>
              <w:ind w:left="276"/>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0.286</w:t>
            </w:r>
          </w:p>
        </w:tc>
      </w:tr>
      <w:tr>
        <w:trPr>
          <w:trHeight w:val="1242" w:hRule="atLeast"/>
        </w:trPr>
        <w:tc>
          <w:tcPr>
            <w:tcW w:w="864" w:type="dxa"/>
            <w:vAlign w:val="top"/>
            <w:vMerge w:val="continue"/>
            <w:tcBorders>
              <w:top w:val="nil"/>
            </w:tcBorders>
          </w:tcPr>
          <w:p>
            <w:pPr>
              <w:rPr>
                <w:rFonts w:ascii="Arial"/>
                <w:sz w:val="21"/>
              </w:rPr>
            </w:pPr>
            <w:r/>
          </w:p>
        </w:tc>
        <w:tc>
          <w:tcPr>
            <w:tcW w:w="1256" w:type="dxa"/>
            <w:vAlign w:val="top"/>
            <w:vMerge w:val="continue"/>
            <w:tcBorders>
              <w:top w:val="nil"/>
            </w:tcBorders>
          </w:tcPr>
          <w:p>
            <w:pPr>
              <w:rPr>
                <w:rFonts w:ascii="Arial"/>
                <w:sz w:val="21"/>
              </w:rPr>
            </w:pPr>
            <w:r/>
          </w:p>
        </w:tc>
        <w:tc>
          <w:tcPr>
            <w:tcW w:w="1091" w:type="dxa"/>
            <w:vAlign w:val="top"/>
          </w:tcPr>
          <w:p>
            <w:pPr>
              <w:spacing w:line="245" w:lineRule="auto"/>
              <w:rPr>
                <w:rFonts w:ascii="Arial"/>
                <w:sz w:val="21"/>
              </w:rPr>
            </w:pPr>
            <w:r/>
          </w:p>
          <w:p>
            <w:pPr>
              <w:spacing w:line="245" w:lineRule="auto"/>
              <w:rPr>
                <w:rFonts w:ascii="Arial"/>
                <w:sz w:val="21"/>
              </w:rPr>
            </w:pPr>
            <w:r/>
          </w:p>
          <w:p>
            <w:pPr>
              <w:ind w:left="377"/>
              <w:spacing w:before="57" w:line="20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1990" w:type="dxa"/>
            <w:vAlign w:val="top"/>
            <w:vMerge w:val="continue"/>
            <w:tcBorders>
              <w:top w:val="nil"/>
            </w:tcBorders>
          </w:tcPr>
          <w:p>
            <w:pPr>
              <w:rPr>
                <w:rFonts w:ascii="Arial"/>
                <w:sz w:val="21"/>
              </w:rPr>
            </w:pPr>
            <w:r/>
          </w:p>
        </w:tc>
        <w:tc>
          <w:tcPr>
            <w:tcW w:w="1232" w:type="dxa"/>
            <w:vAlign w:val="top"/>
          </w:tcPr>
          <w:p>
            <w:pPr>
              <w:spacing w:line="245" w:lineRule="auto"/>
              <w:rPr>
                <w:rFonts w:ascii="Arial"/>
                <w:sz w:val="21"/>
              </w:rPr>
            </w:pPr>
            <w:r/>
          </w:p>
          <w:p>
            <w:pPr>
              <w:spacing w:line="245" w:lineRule="auto"/>
              <w:rPr>
                <w:rFonts w:ascii="Arial"/>
                <w:sz w:val="21"/>
              </w:rPr>
            </w:pPr>
            <w:r/>
          </w:p>
          <w:p>
            <w:pPr>
              <w:ind w:left="401"/>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1.065</w:t>
            </w:r>
          </w:p>
        </w:tc>
        <w:tc>
          <w:tcPr>
            <w:tcW w:w="1223" w:type="dxa"/>
            <w:vAlign w:val="top"/>
          </w:tcPr>
          <w:p>
            <w:pPr>
              <w:spacing w:line="245" w:lineRule="auto"/>
              <w:rPr>
                <w:rFonts w:ascii="Arial"/>
                <w:sz w:val="21"/>
              </w:rPr>
            </w:pPr>
            <w:r/>
          </w:p>
          <w:p>
            <w:pPr>
              <w:spacing w:line="245" w:lineRule="auto"/>
              <w:rPr>
                <w:rFonts w:ascii="Arial"/>
                <w:sz w:val="21"/>
              </w:rPr>
            </w:pPr>
            <w:r/>
          </w:p>
          <w:p>
            <w:pPr>
              <w:ind w:left="275"/>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0.00213</w:t>
            </w:r>
          </w:p>
        </w:tc>
        <w:tc>
          <w:tcPr>
            <w:tcW w:w="1017" w:type="dxa"/>
            <w:vAlign w:val="top"/>
          </w:tcPr>
          <w:p>
            <w:pPr>
              <w:spacing w:line="245" w:lineRule="auto"/>
              <w:rPr>
                <w:rFonts w:ascii="Arial"/>
                <w:sz w:val="21"/>
              </w:rPr>
            </w:pPr>
            <w:r/>
          </w:p>
          <w:p>
            <w:pPr>
              <w:spacing w:line="245" w:lineRule="auto"/>
              <w:rPr>
                <w:rFonts w:ascii="Arial"/>
                <w:sz w:val="21"/>
              </w:rPr>
            </w:pPr>
            <w:r/>
          </w:p>
          <w:p>
            <w:pPr>
              <w:ind w:left="276"/>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0.017</w:t>
            </w:r>
          </w:p>
        </w:tc>
      </w:tr>
      <w:tr>
        <w:trPr>
          <w:trHeight w:val="317" w:hRule="atLeast"/>
        </w:trPr>
        <w:tc>
          <w:tcPr>
            <w:tcW w:w="864" w:type="dxa"/>
            <w:vAlign w:val="top"/>
            <w:vMerge w:val="restart"/>
            <w:tcBorders>
              <w:bottom w:val="nil"/>
            </w:tcBorders>
          </w:tcPr>
          <w:p>
            <w:pPr>
              <w:spacing w:line="249" w:lineRule="auto"/>
              <w:rPr>
                <w:rFonts w:ascii="Arial"/>
                <w:sz w:val="21"/>
              </w:rPr>
            </w:pPr>
            <w:r/>
          </w:p>
          <w:p>
            <w:pPr>
              <w:spacing w:line="249" w:lineRule="auto"/>
              <w:rPr>
                <w:rFonts w:ascii="Arial"/>
                <w:sz w:val="21"/>
              </w:rPr>
            </w:pPr>
            <w:r/>
          </w:p>
          <w:p>
            <w:pPr>
              <w:ind w:left="12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z w:val="20"/>
                <w:szCs w:val="20"/>
                <w:spacing w:val="8"/>
              </w:rPr>
              <w:t>004</w:t>
            </w:r>
          </w:p>
        </w:tc>
        <w:tc>
          <w:tcPr>
            <w:tcW w:w="1256" w:type="dxa"/>
            <w:vAlign w:val="top"/>
            <w:vMerge w:val="restart"/>
            <w:tcBorders>
              <w:bottom w:val="nil"/>
            </w:tcBorders>
          </w:tcPr>
          <w:p>
            <w:pPr>
              <w:spacing w:line="456" w:lineRule="auto"/>
              <w:rPr>
                <w:rFonts w:ascii="Arial"/>
                <w:sz w:val="21"/>
              </w:rPr>
            </w:pPr>
            <w:r/>
          </w:p>
          <w:p>
            <w:pPr>
              <w:pStyle w:val="TableText"/>
              <w:ind w:left="216"/>
              <w:spacing w:before="65" w:line="228" w:lineRule="auto"/>
              <w:rPr/>
            </w:pPr>
            <w:r>
              <w:rPr>
                <w:spacing w:val="6"/>
              </w:rPr>
              <w:t>沼气锅炉</w:t>
            </w:r>
          </w:p>
        </w:tc>
        <w:tc>
          <w:tcPr>
            <w:tcW w:w="1091" w:type="dxa"/>
            <w:vAlign w:val="top"/>
          </w:tcPr>
          <w:p>
            <w:pPr>
              <w:pStyle w:val="TableText"/>
              <w:ind w:left="234"/>
              <w:spacing w:before="55" w:line="228" w:lineRule="auto"/>
              <w:rPr/>
            </w:pPr>
            <w:r>
              <w:rPr>
                <w:spacing w:val="7"/>
              </w:rPr>
              <w:t>颗粒物</w:t>
            </w:r>
          </w:p>
        </w:tc>
        <w:tc>
          <w:tcPr>
            <w:tcW w:w="1990" w:type="dxa"/>
            <w:vAlign w:val="top"/>
            <w:vMerge w:val="restart"/>
            <w:tcBorders>
              <w:bottom w:val="nil"/>
            </w:tcBorders>
          </w:tcPr>
          <w:p>
            <w:pPr>
              <w:pStyle w:val="TableText"/>
              <w:ind w:left="59"/>
              <w:spacing w:before="55" w:line="228" w:lineRule="auto"/>
              <w:rPr/>
            </w:pPr>
            <w:r>
              <w:rPr>
                <w:spacing w:val="8"/>
              </w:rPr>
              <w:t>《锅炉大气污染物排</w:t>
            </w:r>
          </w:p>
          <w:p>
            <w:pPr>
              <w:pStyle w:val="TableText"/>
              <w:ind w:left="327"/>
              <w:spacing w:before="65" w:line="228" w:lineRule="auto"/>
              <w:rPr>
                <w:rFonts w:ascii="Times New Roman" w:hAnsi="Times New Roman" w:eastAsia="Times New Roman" w:cs="Times New Roman"/>
              </w:rPr>
            </w:pPr>
            <w:r>
              <w:rPr>
                <w:spacing w:val="11"/>
              </w:rPr>
              <w:t>放标准》（</w:t>
            </w:r>
            <w:r>
              <w:rPr>
                <w:rFonts w:ascii="Times New Roman" w:hAnsi="Times New Roman" w:eastAsia="Times New Roman" w:cs="Times New Roman"/>
              </w:rPr>
              <w:t>GB</w:t>
            </w:r>
          </w:p>
          <w:p>
            <w:pPr>
              <w:pStyle w:val="TableText"/>
              <w:ind w:left="25"/>
              <w:spacing w:before="64" w:line="229" w:lineRule="auto"/>
              <w:rPr/>
            </w:pPr>
            <w:r>
              <w:rPr>
                <w:rFonts w:ascii="Times New Roman" w:hAnsi="Times New Roman" w:eastAsia="Times New Roman" w:cs="Times New Roman"/>
                <w:spacing w:val="-3"/>
              </w:rPr>
              <w:t>13271-2014</w:t>
            </w:r>
            <w:r>
              <w:rPr>
                <w:spacing w:val="-3"/>
              </w:rPr>
              <w:t>）表</w:t>
            </w:r>
            <w:r>
              <w:rPr>
                <w:spacing w:val="-30"/>
              </w:rPr>
              <w:t xml:space="preserve"> </w:t>
            </w:r>
            <w:r>
              <w:rPr>
                <w:rFonts w:ascii="Times New Roman" w:hAnsi="Times New Roman" w:eastAsia="Times New Roman" w:cs="Times New Roman"/>
                <w:spacing w:val="-3"/>
              </w:rPr>
              <w:t>2</w:t>
            </w:r>
            <w:r>
              <w:rPr>
                <w:rFonts w:ascii="Times New Roman" w:hAnsi="Times New Roman" w:eastAsia="Times New Roman" w:cs="Times New Roman"/>
                <w:spacing w:val="13"/>
              </w:rPr>
              <w:t xml:space="preserve"> </w:t>
            </w:r>
            <w:r>
              <w:rPr>
                <w:spacing w:val="-3"/>
              </w:rPr>
              <w:t>燃气</w:t>
            </w:r>
          </w:p>
          <w:p>
            <w:pPr>
              <w:pStyle w:val="TableText"/>
              <w:ind w:left="580"/>
              <w:spacing w:before="63" w:line="228" w:lineRule="auto"/>
              <w:rPr/>
            </w:pPr>
            <w:r>
              <w:rPr>
                <w:spacing w:val="7"/>
              </w:rPr>
              <w:t>标准限值</w:t>
            </w:r>
          </w:p>
        </w:tc>
        <w:tc>
          <w:tcPr>
            <w:tcW w:w="1232" w:type="dxa"/>
            <w:vAlign w:val="top"/>
          </w:tcPr>
          <w:p>
            <w:pPr>
              <w:ind w:left="40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15.38</w:t>
            </w:r>
          </w:p>
        </w:tc>
        <w:tc>
          <w:tcPr>
            <w:tcW w:w="1223" w:type="dxa"/>
            <w:vAlign w:val="top"/>
          </w:tcPr>
          <w:p>
            <w:pPr>
              <w:ind w:left="38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0.018</w:t>
            </w:r>
          </w:p>
        </w:tc>
        <w:tc>
          <w:tcPr>
            <w:tcW w:w="1017" w:type="dxa"/>
            <w:vAlign w:val="top"/>
          </w:tcPr>
          <w:p>
            <w:pPr>
              <w:ind w:left="27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0.132</w:t>
            </w:r>
          </w:p>
        </w:tc>
      </w:tr>
      <w:tr>
        <w:trPr>
          <w:trHeight w:val="317" w:hRule="atLeast"/>
        </w:trPr>
        <w:tc>
          <w:tcPr>
            <w:tcW w:w="864" w:type="dxa"/>
            <w:vAlign w:val="top"/>
            <w:vMerge w:val="continue"/>
            <w:tcBorders>
              <w:top w:val="nil"/>
              <w:bottom w:val="nil"/>
            </w:tcBorders>
          </w:tcPr>
          <w:p>
            <w:pPr>
              <w:rPr>
                <w:rFonts w:ascii="Arial"/>
                <w:sz w:val="21"/>
              </w:rPr>
            </w:pPr>
            <w:r/>
          </w:p>
        </w:tc>
        <w:tc>
          <w:tcPr>
            <w:tcW w:w="1256" w:type="dxa"/>
            <w:vAlign w:val="top"/>
            <w:vMerge w:val="continue"/>
            <w:tcBorders>
              <w:top w:val="nil"/>
              <w:bottom w:val="nil"/>
            </w:tcBorders>
          </w:tcPr>
          <w:p>
            <w:pPr>
              <w:rPr>
                <w:rFonts w:ascii="Arial"/>
                <w:sz w:val="21"/>
              </w:rPr>
            </w:pPr>
            <w:r/>
          </w:p>
        </w:tc>
        <w:tc>
          <w:tcPr>
            <w:tcW w:w="1091" w:type="dxa"/>
            <w:vAlign w:val="top"/>
          </w:tcPr>
          <w:p>
            <w:pPr>
              <w:ind w:left="387"/>
              <w:spacing w:before="91"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3"/>
                <w:position w:val="-1"/>
              </w:rPr>
              <w:t>2</w:t>
            </w:r>
          </w:p>
        </w:tc>
        <w:tc>
          <w:tcPr>
            <w:tcW w:w="1990" w:type="dxa"/>
            <w:vAlign w:val="top"/>
            <w:vMerge w:val="continue"/>
            <w:tcBorders>
              <w:top w:val="nil"/>
              <w:bottom w:val="nil"/>
            </w:tcBorders>
          </w:tcPr>
          <w:p>
            <w:pPr>
              <w:rPr>
                <w:rFonts w:ascii="Arial"/>
                <w:sz w:val="21"/>
              </w:rPr>
            </w:pPr>
            <w:r/>
          </w:p>
        </w:tc>
        <w:tc>
          <w:tcPr>
            <w:tcW w:w="1232" w:type="dxa"/>
            <w:vAlign w:val="top"/>
          </w:tcPr>
          <w:p>
            <w:pPr>
              <w:ind w:left="43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4.48</w:t>
            </w:r>
          </w:p>
        </w:tc>
        <w:tc>
          <w:tcPr>
            <w:tcW w:w="1223" w:type="dxa"/>
            <w:vAlign w:val="top"/>
          </w:tcPr>
          <w:p>
            <w:pPr>
              <w:ind w:left="328"/>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0.0052</w:t>
            </w:r>
          </w:p>
        </w:tc>
        <w:tc>
          <w:tcPr>
            <w:tcW w:w="1017" w:type="dxa"/>
            <w:vAlign w:val="top"/>
          </w:tcPr>
          <w:p>
            <w:pPr>
              <w:ind w:left="223"/>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0.0378</w:t>
            </w:r>
          </w:p>
        </w:tc>
      </w:tr>
      <w:tr>
        <w:trPr>
          <w:trHeight w:val="608" w:hRule="atLeast"/>
        </w:trPr>
        <w:tc>
          <w:tcPr>
            <w:tcW w:w="864" w:type="dxa"/>
            <w:vAlign w:val="top"/>
            <w:vMerge w:val="continue"/>
            <w:tcBorders>
              <w:top w:val="nil"/>
            </w:tcBorders>
          </w:tcPr>
          <w:p>
            <w:pPr>
              <w:rPr>
                <w:rFonts w:ascii="Arial"/>
                <w:sz w:val="21"/>
              </w:rPr>
            </w:pPr>
            <w:r/>
          </w:p>
        </w:tc>
        <w:tc>
          <w:tcPr>
            <w:tcW w:w="1256" w:type="dxa"/>
            <w:vAlign w:val="top"/>
            <w:vMerge w:val="continue"/>
            <w:tcBorders>
              <w:top w:val="nil"/>
            </w:tcBorders>
          </w:tcPr>
          <w:p>
            <w:pPr>
              <w:rPr>
                <w:rFonts w:ascii="Arial"/>
                <w:sz w:val="21"/>
              </w:rPr>
            </w:pPr>
            <w:r/>
          </w:p>
        </w:tc>
        <w:tc>
          <w:tcPr>
            <w:tcW w:w="1091" w:type="dxa"/>
            <w:vAlign w:val="top"/>
          </w:tcPr>
          <w:p>
            <w:pPr>
              <w:ind w:left="335"/>
              <w:spacing w:before="23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NOx</w:t>
            </w:r>
          </w:p>
        </w:tc>
        <w:tc>
          <w:tcPr>
            <w:tcW w:w="1990" w:type="dxa"/>
            <w:vAlign w:val="top"/>
            <w:vMerge w:val="continue"/>
            <w:tcBorders>
              <w:top w:val="nil"/>
            </w:tcBorders>
          </w:tcPr>
          <w:p>
            <w:pPr>
              <w:rPr>
                <w:rFonts w:ascii="Arial"/>
                <w:sz w:val="21"/>
              </w:rPr>
            </w:pPr>
            <w:r/>
          </w:p>
        </w:tc>
        <w:tc>
          <w:tcPr>
            <w:tcW w:w="1232" w:type="dxa"/>
            <w:vAlign w:val="top"/>
          </w:tcPr>
          <w:p>
            <w:pPr>
              <w:ind w:left="348"/>
              <w:spacing w:before="23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120.73</w:t>
            </w:r>
          </w:p>
        </w:tc>
        <w:tc>
          <w:tcPr>
            <w:tcW w:w="1223" w:type="dxa"/>
            <w:vAlign w:val="top"/>
          </w:tcPr>
          <w:p>
            <w:pPr>
              <w:ind w:left="381"/>
              <w:spacing w:before="23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141</w:t>
            </w:r>
          </w:p>
        </w:tc>
        <w:tc>
          <w:tcPr>
            <w:tcW w:w="1017" w:type="dxa"/>
            <w:vAlign w:val="top"/>
          </w:tcPr>
          <w:p>
            <w:pPr>
              <w:ind w:left="293"/>
              <w:spacing w:before="23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1.017</w:t>
            </w:r>
          </w:p>
        </w:tc>
      </w:tr>
      <w:tr>
        <w:trPr>
          <w:trHeight w:val="317" w:hRule="atLeast"/>
        </w:trPr>
        <w:tc>
          <w:tcPr>
            <w:tcW w:w="864" w:type="dxa"/>
            <w:vAlign w:val="top"/>
            <w:vMerge w:val="restart"/>
            <w:tcBorders>
              <w:bottom w:val="nil"/>
            </w:tcBorders>
          </w:tcPr>
          <w:p>
            <w:pPr>
              <w:spacing w:line="249" w:lineRule="auto"/>
              <w:rPr>
                <w:rFonts w:ascii="Arial"/>
                <w:sz w:val="21"/>
              </w:rPr>
            </w:pPr>
            <w:r/>
          </w:p>
          <w:p>
            <w:pPr>
              <w:spacing w:line="250" w:lineRule="auto"/>
              <w:rPr>
                <w:rFonts w:ascii="Arial"/>
                <w:sz w:val="21"/>
              </w:rPr>
            </w:pPr>
            <w:r/>
          </w:p>
          <w:p>
            <w:pPr>
              <w:ind w:left="12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z w:val="20"/>
                <w:szCs w:val="20"/>
                <w:spacing w:val="8"/>
              </w:rPr>
              <w:t>005</w:t>
            </w:r>
          </w:p>
        </w:tc>
        <w:tc>
          <w:tcPr>
            <w:tcW w:w="1256" w:type="dxa"/>
            <w:vAlign w:val="top"/>
            <w:vMerge w:val="restart"/>
            <w:tcBorders>
              <w:bottom w:val="nil"/>
            </w:tcBorders>
          </w:tcPr>
          <w:p>
            <w:pPr>
              <w:spacing w:line="456" w:lineRule="auto"/>
              <w:rPr>
                <w:rFonts w:ascii="Arial"/>
                <w:sz w:val="21"/>
              </w:rPr>
            </w:pPr>
            <w:r/>
          </w:p>
          <w:p>
            <w:pPr>
              <w:pStyle w:val="TableText"/>
              <w:ind w:left="108"/>
              <w:spacing w:before="65" w:line="228" w:lineRule="auto"/>
              <w:rPr/>
            </w:pPr>
            <w:r>
              <w:rPr>
                <w:spacing w:val="7"/>
              </w:rPr>
              <w:t>生物质锅炉</w:t>
            </w:r>
          </w:p>
        </w:tc>
        <w:tc>
          <w:tcPr>
            <w:tcW w:w="1091" w:type="dxa"/>
            <w:vAlign w:val="top"/>
          </w:tcPr>
          <w:p>
            <w:pPr>
              <w:pStyle w:val="TableText"/>
              <w:ind w:left="234"/>
              <w:spacing w:before="56" w:line="228" w:lineRule="auto"/>
              <w:rPr/>
            </w:pPr>
            <w:r>
              <w:rPr>
                <w:spacing w:val="7"/>
              </w:rPr>
              <w:t>颗粒物</w:t>
            </w:r>
          </w:p>
        </w:tc>
        <w:tc>
          <w:tcPr>
            <w:tcW w:w="1990" w:type="dxa"/>
            <w:vAlign w:val="top"/>
            <w:vMerge w:val="restart"/>
            <w:tcBorders>
              <w:bottom w:val="nil"/>
            </w:tcBorders>
          </w:tcPr>
          <w:p>
            <w:pPr>
              <w:pStyle w:val="TableText"/>
              <w:ind w:left="59"/>
              <w:spacing w:before="56" w:line="228" w:lineRule="auto"/>
              <w:rPr/>
            </w:pPr>
            <w:r>
              <w:rPr>
                <w:spacing w:val="8"/>
              </w:rPr>
              <w:t>《锅炉大气污染物排</w:t>
            </w:r>
          </w:p>
          <w:p>
            <w:pPr>
              <w:pStyle w:val="TableText"/>
              <w:ind w:left="327"/>
              <w:spacing w:before="65" w:line="228" w:lineRule="auto"/>
              <w:rPr>
                <w:rFonts w:ascii="Times New Roman" w:hAnsi="Times New Roman" w:eastAsia="Times New Roman" w:cs="Times New Roman"/>
              </w:rPr>
            </w:pPr>
            <w:r>
              <w:rPr>
                <w:spacing w:val="11"/>
              </w:rPr>
              <w:t>放标准》（</w:t>
            </w:r>
            <w:r>
              <w:rPr>
                <w:rFonts w:ascii="Times New Roman" w:hAnsi="Times New Roman" w:eastAsia="Times New Roman" w:cs="Times New Roman"/>
              </w:rPr>
              <w:t>GB</w:t>
            </w:r>
          </w:p>
          <w:p>
            <w:pPr>
              <w:pStyle w:val="TableText"/>
              <w:ind w:left="25"/>
              <w:spacing w:before="65" w:line="228" w:lineRule="auto"/>
              <w:rPr/>
            </w:pPr>
            <w:r>
              <w:rPr>
                <w:rFonts w:ascii="Times New Roman" w:hAnsi="Times New Roman" w:eastAsia="Times New Roman" w:cs="Times New Roman"/>
                <w:spacing w:val="-3"/>
              </w:rPr>
              <w:t>13271-2014</w:t>
            </w:r>
            <w:r>
              <w:rPr>
                <w:spacing w:val="-3"/>
              </w:rPr>
              <w:t>）表</w:t>
            </w:r>
            <w:r>
              <w:rPr>
                <w:spacing w:val="-30"/>
              </w:rPr>
              <w:t xml:space="preserve"> </w:t>
            </w:r>
            <w:r>
              <w:rPr>
                <w:rFonts w:ascii="Times New Roman" w:hAnsi="Times New Roman" w:eastAsia="Times New Roman" w:cs="Times New Roman"/>
                <w:spacing w:val="-3"/>
              </w:rPr>
              <w:t>2</w:t>
            </w:r>
            <w:r>
              <w:rPr>
                <w:rFonts w:ascii="Times New Roman" w:hAnsi="Times New Roman" w:eastAsia="Times New Roman" w:cs="Times New Roman"/>
                <w:spacing w:val="13"/>
              </w:rPr>
              <w:t xml:space="preserve"> </w:t>
            </w:r>
            <w:r>
              <w:rPr>
                <w:spacing w:val="-3"/>
              </w:rPr>
              <w:t>燃煤</w:t>
            </w:r>
          </w:p>
          <w:p>
            <w:pPr>
              <w:pStyle w:val="TableText"/>
              <w:ind w:left="368"/>
              <w:spacing w:before="64" w:line="228" w:lineRule="auto"/>
              <w:rPr/>
            </w:pPr>
            <w:r>
              <w:rPr>
                <w:spacing w:val="8"/>
              </w:rPr>
              <w:t>锅炉标准限值</w:t>
            </w:r>
          </w:p>
        </w:tc>
        <w:tc>
          <w:tcPr>
            <w:tcW w:w="1232" w:type="dxa"/>
            <w:vAlign w:val="top"/>
          </w:tcPr>
          <w:p>
            <w:pPr>
              <w:ind w:left="38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0.654</w:t>
            </w:r>
          </w:p>
        </w:tc>
        <w:tc>
          <w:tcPr>
            <w:tcW w:w="1223" w:type="dxa"/>
            <w:vAlign w:val="top"/>
          </w:tcPr>
          <w:p>
            <w:pPr>
              <w:ind w:left="38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0.004</w:t>
            </w:r>
          </w:p>
        </w:tc>
        <w:tc>
          <w:tcPr>
            <w:tcW w:w="1017" w:type="dxa"/>
            <w:vAlign w:val="top"/>
          </w:tcPr>
          <w:p>
            <w:pPr>
              <w:ind w:left="223"/>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0.0283</w:t>
            </w:r>
          </w:p>
        </w:tc>
      </w:tr>
      <w:tr>
        <w:trPr>
          <w:trHeight w:val="317" w:hRule="atLeast"/>
        </w:trPr>
        <w:tc>
          <w:tcPr>
            <w:tcW w:w="864" w:type="dxa"/>
            <w:vAlign w:val="top"/>
            <w:vMerge w:val="continue"/>
            <w:tcBorders>
              <w:top w:val="nil"/>
              <w:bottom w:val="nil"/>
            </w:tcBorders>
          </w:tcPr>
          <w:p>
            <w:pPr>
              <w:rPr>
                <w:rFonts w:ascii="Arial"/>
                <w:sz w:val="21"/>
              </w:rPr>
            </w:pPr>
            <w:r/>
          </w:p>
        </w:tc>
        <w:tc>
          <w:tcPr>
            <w:tcW w:w="1256" w:type="dxa"/>
            <w:vAlign w:val="top"/>
            <w:vMerge w:val="continue"/>
            <w:tcBorders>
              <w:top w:val="nil"/>
              <w:bottom w:val="nil"/>
            </w:tcBorders>
          </w:tcPr>
          <w:p>
            <w:pPr>
              <w:rPr>
                <w:rFonts w:ascii="Arial"/>
                <w:sz w:val="21"/>
              </w:rPr>
            </w:pPr>
            <w:r/>
          </w:p>
        </w:tc>
        <w:tc>
          <w:tcPr>
            <w:tcW w:w="1091" w:type="dxa"/>
            <w:vAlign w:val="top"/>
          </w:tcPr>
          <w:p>
            <w:pPr>
              <w:ind w:left="387"/>
              <w:spacing w:before="91"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3"/>
                <w:position w:val="-1"/>
              </w:rPr>
              <w:t>2</w:t>
            </w:r>
          </w:p>
        </w:tc>
        <w:tc>
          <w:tcPr>
            <w:tcW w:w="1990" w:type="dxa"/>
            <w:vAlign w:val="top"/>
            <w:vMerge w:val="continue"/>
            <w:tcBorders>
              <w:top w:val="nil"/>
              <w:bottom w:val="nil"/>
            </w:tcBorders>
          </w:tcPr>
          <w:p>
            <w:pPr>
              <w:rPr>
                <w:rFonts w:ascii="Arial"/>
                <w:sz w:val="21"/>
              </w:rPr>
            </w:pPr>
            <w:r/>
          </w:p>
        </w:tc>
        <w:tc>
          <w:tcPr>
            <w:tcW w:w="1232" w:type="dxa"/>
            <w:vAlign w:val="top"/>
          </w:tcPr>
          <w:p>
            <w:pPr>
              <w:ind w:left="40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133.5</w:t>
            </w:r>
          </w:p>
        </w:tc>
        <w:tc>
          <w:tcPr>
            <w:tcW w:w="1223" w:type="dxa"/>
            <w:vAlign w:val="top"/>
          </w:tcPr>
          <w:p>
            <w:pPr>
              <w:ind w:left="434"/>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0.80</w:t>
            </w:r>
          </w:p>
        </w:tc>
        <w:tc>
          <w:tcPr>
            <w:tcW w:w="1017" w:type="dxa"/>
            <w:vAlign w:val="top"/>
          </w:tcPr>
          <w:p>
            <w:pPr>
              <w:ind w:left="279"/>
              <w:spacing w:before="9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5.777</w:t>
            </w:r>
          </w:p>
        </w:tc>
      </w:tr>
      <w:tr>
        <w:trPr>
          <w:trHeight w:val="608" w:hRule="atLeast"/>
        </w:trPr>
        <w:tc>
          <w:tcPr>
            <w:tcW w:w="864" w:type="dxa"/>
            <w:vAlign w:val="top"/>
            <w:vMerge w:val="continue"/>
            <w:tcBorders>
              <w:top w:val="nil"/>
            </w:tcBorders>
          </w:tcPr>
          <w:p>
            <w:pPr>
              <w:rPr>
                <w:rFonts w:ascii="Arial"/>
                <w:sz w:val="21"/>
              </w:rPr>
            </w:pPr>
            <w:r/>
          </w:p>
        </w:tc>
        <w:tc>
          <w:tcPr>
            <w:tcW w:w="1256" w:type="dxa"/>
            <w:vAlign w:val="top"/>
            <w:vMerge w:val="continue"/>
            <w:tcBorders>
              <w:top w:val="nil"/>
            </w:tcBorders>
          </w:tcPr>
          <w:p>
            <w:pPr>
              <w:rPr>
                <w:rFonts w:ascii="Arial"/>
                <w:sz w:val="21"/>
              </w:rPr>
            </w:pPr>
            <w:r/>
          </w:p>
        </w:tc>
        <w:tc>
          <w:tcPr>
            <w:tcW w:w="1091" w:type="dxa"/>
            <w:vAlign w:val="top"/>
          </w:tcPr>
          <w:p>
            <w:pPr>
              <w:ind w:left="335"/>
              <w:spacing w:before="23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NOx</w:t>
            </w:r>
          </w:p>
        </w:tc>
        <w:tc>
          <w:tcPr>
            <w:tcW w:w="1990" w:type="dxa"/>
            <w:vAlign w:val="top"/>
            <w:vMerge w:val="continue"/>
            <w:tcBorders>
              <w:top w:val="nil"/>
            </w:tcBorders>
          </w:tcPr>
          <w:p>
            <w:pPr>
              <w:rPr>
                <w:rFonts w:ascii="Arial"/>
                <w:sz w:val="21"/>
              </w:rPr>
            </w:pPr>
            <w:r/>
          </w:p>
        </w:tc>
        <w:tc>
          <w:tcPr>
            <w:tcW w:w="1232" w:type="dxa"/>
            <w:vAlign w:val="top"/>
          </w:tcPr>
          <w:p>
            <w:pPr>
              <w:ind w:left="438"/>
              <w:spacing w:before="23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92.8</w:t>
            </w:r>
          </w:p>
        </w:tc>
        <w:tc>
          <w:tcPr>
            <w:tcW w:w="1223" w:type="dxa"/>
            <w:vAlign w:val="top"/>
          </w:tcPr>
          <w:p>
            <w:pPr>
              <w:ind w:left="381"/>
              <w:spacing w:before="23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0.557</w:t>
            </w:r>
          </w:p>
        </w:tc>
        <w:tc>
          <w:tcPr>
            <w:tcW w:w="1017" w:type="dxa"/>
            <w:vAlign w:val="top"/>
          </w:tcPr>
          <w:p>
            <w:pPr>
              <w:ind w:left="272"/>
              <w:spacing w:before="23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4.021</w:t>
            </w:r>
          </w:p>
        </w:tc>
      </w:tr>
      <w:tr>
        <w:trPr>
          <w:trHeight w:val="360" w:hRule="atLeast"/>
        </w:trPr>
        <w:tc>
          <w:tcPr>
            <w:tcW w:w="2120" w:type="dxa"/>
            <w:vAlign w:val="top"/>
            <w:gridSpan w:val="2"/>
            <w:vMerge w:val="restart"/>
            <w:tcBorders>
              <w:bottom w:val="nil"/>
            </w:tcBorders>
          </w:tcPr>
          <w:p>
            <w:pPr>
              <w:spacing w:line="326" w:lineRule="auto"/>
              <w:rPr>
                <w:rFonts w:ascii="Arial"/>
                <w:sz w:val="21"/>
              </w:rPr>
            </w:pPr>
            <w:r/>
          </w:p>
          <w:p>
            <w:pPr>
              <w:spacing w:line="326" w:lineRule="auto"/>
              <w:rPr>
                <w:rFonts w:ascii="Arial"/>
                <w:sz w:val="21"/>
              </w:rPr>
            </w:pPr>
            <w:r/>
          </w:p>
          <w:p>
            <w:pPr>
              <w:pStyle w:val="TableText"/>
              <w:ind w:left="330"/>
              <w:spacing w:before="65" w:line="228" w:lineRule="auto"/>
              <w:rPr/>
            </w:pPr>
            <w:r>
              <w:rPr>
                <w:spacing w:val="8"/>
              </w:rPr>
              <w:t>有组织排放总计</w:t>
            </w:r>
          </w:p>
        </w:tc>
        <w:tc>
          <w:tcPr>
            <w:tcW w:w="5536" w:type="dxa"/>
            <w:vAlign w:val="top"/>
            <w:gridSpan w:val="4"/>
          </w:tcPr>
          <w:p>
            <w:pPr>
              <w:pStyle w:val="TableText"/>
              <w:ind w:left="2457"/>
              <w:spacing w:before="78" w:line="228" w:lineRule="auto"/>
              <w:rPr/>
            </w:pPr>
            <w:r>
              <w:rPr>
                <w:spacing w:val="7"/>
              </w:rPr>
              <w:t>颗粒物</w:t>
            </w:r>
          </w:p>
        </w:tc>
        <w:tc>
          <w:tcPr>
            <w:tcW w:w="1017" w:type="dxa"/>
            <w:vAlign w:val="top"/>
          </w:tcPr>
          <w:p>
            <w:pPr>
              <w:ind w:left="223"/>
              <w:spacing w:before="11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0.1616</w:t>
            </w:r>
          </w:p>
        </w:tc>
      </w:tr>
      <w:tr>
        <w:trPr>
          <w:trHeight w:val="317" w:hRule="atLeast"/>
        </w:trPr>
        <w:tc>
          <w:tcPr>
            <w:tcW w:w="2120" w:type="dxa"/>
            <w:vAlign w:val="top"/>
            <w:gridSpan w:val="2"/>
            <w:vMerge w:val="continue"/>
            <w:tcBorders>
              <w:top w:val="nil"/>
              <w:bottom w:val="nil"/>
            </w:tcBorders>
          </w:tcPr>
          <w:p>
            <w:pPr>
              <w:rPr>
                <w:rFonts w:ascii="Arial"/>
                <w:sz w:val="21"/>
              </w:rPr>
            </w:pPr>
            <w:r/>
          </w:p>
        </w:tc>
        <w:tc>
          <w:tcPr>
            <w:tcW w:w="5536" w:type="dxa"/>
            <w:vAlign w:val="top"/>
            <w:gridSpan w:val="4"/>
          </w:tcPr>
          <w:p>
            <w:pPr>
              <w:ind w:left="2577"/>
              <w:spacing w:before="95"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NH</w:t>
            </w:r>
            <w:r>
              <w:rPr>
                <w:rFonts w:ascii="Times New Roman" w:hAnsi="Times New Roman" w:eastAsia="Times New Roman" w:cs="Times New Roman"/>
                <w:sz w:val="13"/>
                <w:szCs w:val="13"/>
                <w:spacing w:val="7"/>
                <w:position w:val="-1"/>
              </w:rPr>
              <w:t>3</w:t>
            </w:r>
          </w:p>
        </w:tc>
        <w:tc>
          <w:tcPr>
            <w:tcW w:w="1017" w:type="dxa"/>
            <w:vAlign w:val="top"/>
          </w:tcPr>
          <w:p>
            <w:pPr>
              <w:ind w:left="276"/>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0.286</w:t>
            </w:r>
          </w:p>
        </w:tc>
      </w:tr>
      <w:tr>
        <w:trPr>
          <w:trHeight w:val="317" w:hRule="atLeast"/>
        </w:trPr>
        <w:tc>
          <w:tcPr>
            <w:tcW w:w="2120" w:type="dxa"/>
            <w:vAlign w:val="top"/>
            <w:gridSpan w:val="2"/>
            <w:vMerge w:val="continue"/>
            <w:tcBorders>
              <w:top w:val="nil"/>
              <w:bottom w:val="nil"/>
            </w:tcBorders>
          </w:tcPr>
          <w:p>
            <w:pPr>
              <w:rPr>
                <w:rFonts w:ascii="Arial"/>
                <w:sz w:val="21"/>
              </w:rPr>
            </w:pPr>
            <w:r/>
          </w:p>
        </w:tc>
        <w:tc>
          <w:tcPr>
            <w:tcW w:w="5536" w:type="dxa"/>
            <w:vAlign w:val="top"/>
            <w:gridSpan w:val="4"/>
          </w:tcPr>
          <w:p>
            <w:pPr>
              <w:ind w:left="2602"/>
              <w:spacing w:before="92"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1017" w:type="dxa"/>
            <w:vAlign w:val="top"/>
          </w:tcPr>
          <w:p>
            <w:pPr>
              <w:ind w:left="27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0.017</w:t>
            </w:r>
          </w:p>
        </w:tc>
      </w:tr>
      <w:tr>
        <w:trPr>
          <w:trHeight w:val="317" w:hRule="atLeast"/>
        </w:trPr>
        <w:tc>
          <w:tcPr>
            <w:tcW w:w="2120" w:type="dxa"/>
            <w:vAlign w:val="top"/>
            <w:gridSpan w:val="2"/>
            <w:vMerge w:val="continue"/>
            <w:tcBorders>
              <w:top w:val="nil"/>
              <w:bottom w:val="nil"/>
            </w:tcBorders>
          </w:tcPr>
          <w:p>
            <w:pPr>
              <w:rPr>
                <w:rFonts w:ascii="Arial"/>
                <w:sz w:val="21"/>
              </w:rPr>
            </w:pPr>
            <w:r/>
          </w:p>
        </w:tc>
        <w:tc>
          <w:tcPr>
            <w:tcW w:w="5536" w:type="dxa"/>
            <w:vAlign w:val="top"/>
            <w:gridSpan w:val="4"/>
          </w:tcPr>
          <w:p>
            <w:pPr>
              <w:ind w:left="2611"/>
              <w:spacing w:before="91"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1"/>
                <w:position w:val="-1"/>
              </w:rPr>
              <w:t>2</w:t>
            </w:r>
          </w:p>
        </w:tc>
        <w:tc>
          <w:tcPr>
            <w:tcW w:w="1017" w:type="dxa"/>
            <w:vAlign w:val="top"/>
          </w:tcPr>
          <w:p>
            <w:pPr>
              <w:ind w:left="22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5.8148</w:t>
            </w:r>
          </w:p>
        </w:tc>
      </w:tr>
      <w:tr>
        <w:trPr>
          <w:trHeight w:val="321" w:hRule="atLeast"/>
        </w:trPr>
        <w:tc>
          <w:tcPr>
            <w:tcW w:w="2120" w:type="dxa"/>
            <w:vAlign w:val="top"/>
            <w:gridSpan w:val="2"/>
            <w:vMerge w:val="continue"/>
            <w:tcBorders>
              <w:top w:val="nil"/>
            </w:tcBorders>
          </w:tcPr>
          <w:p>
            <w:pPr>
              <w:rPr>
                <w:rFonts w:ascii="Arial"/>
                <w:sz w:val="21"/>
              </w:rPr>
            </w:pPr>
            <w:r/>
          </w:p>
        </w:tc>
        <w:tc>
          <w:tcPr>
            <w:tcW w:w="5536" w:type="dxa"/>
            <w:vAlign w:val="top"/>
            <w:gridSpan w:val="4"/>
          </w:tcPr>
          <w:p>
            <w:pPr>
              <w:ind w:left="2560"/>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NOx</w:t>
            </w:r>
          </w:p>
        </w:tc>
        <w:tc>
          <w:tcPr>
            <w:tcW w:w="1017" w:type="dxa"/>
            <w:vAlign w:val="top"/>
          </w:tcPr>
          <w:p>
            <w:pPr>
              <w:ind w:left="279"/>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5.038</w:t>
            </w:r>
          </w:p>
        </w:tc>
      </w:tr>
    </w:tbl>
    <w:p>
      <w:pPr>
        <w:ind w:left="386"/>
        <w:spacing w:before="194"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）无组织排放量核算</w:t>
      </w:r>
    </w:p>
    <w:p>
      <w:pPr>
        <w:ind w:left="496"/>
        <w:spacing w:before="216" w:line="219" w:lineRule="auto"/>
        <w:rPr>
          <w:rFonts w:ascii="SimSun" w:hAnsi="SimSun" w:eastAsia="SimSun" w:cs="SimSun"/>
          <w:sz w:val="24"/>
          <w:szCs w:val="24"/>
        </w:rPr>
      </w:pPr>
      <w:r>
        <w:rPr>
          <w:rFonts w:ascii="SimSun" w:hAnsi="SimSun" w:eastAsia="SimSun" w:cs="SimSun"/>
          <w:sz w:val="24"/>
          <w:szCs w:val="24"/>
          <w:spacing w:val="-2"/>
        </w:rPr>
        <w:t>无组织废气排放量核算见表</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2"/>
        </w:rPr>
        <w:t>5.1-15</w:t>
      </w:r>
      <w:r>
        <w:rPr>
          <w:rFonts w:ascii="SimSun" w:hAnsi="SimSun" w:eastAsia="SimSun" w:cs="SimSun"/>
          <w:sz w:val="24"/>
          <w:szCs w:val="24"/>
          <w:spacing w:val="-2"/>
        </w:rPr>
        <w:t>。</w:t>
      </w:r>
    </w:p>
    <w:p>
      <w:pPr>
        <w:ind w:left="2058"/>
        <w:spacing w:before="212"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5.1-15      </w:t>
      </w:r>
      <w:r>
        <w:rPr>
          <w:rFonts w:ascii="SimSun" w:hAnsi="SimSun" w:eastAsia="SimSun" w:cs="SimSun"/>
          <w:sz w:val="24"/>
          <w:szCs w:val="24"/>
          <w:b/>
          <w:bCs/>
          <w:spacing w:val="-2"/>
        </w:rPr>
        <w:t>项目无组织废气排放量核算表</w:t>
      </w:r>
    </w:p>
    <w:tbl>
      <w:tblPr>
        <w:tblStyle w:val="TableNormal"/>
        <w:tblW w:w="8618"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46"/>
        <w:gridCol w:w="1290"/>
        <w:gridCol w:w="1152"/>
        <w:gridCol w:w="1397"/>
        <w:gridCol w:w="1738"/>
        <w:gridCol w:w="1257"/>
        <w:gridCol w:w="1238"/>
      </w:tblGrid>
      <w:tr>
        <w:trPr>
          <w:trHeight w:val="633" w:hRule="atLeast"/>
        </w:trPr>
        <w:tc>
          <w:tcPr>
            <w:tcW w:w="546" w:type="dxa"/>
            <w:vAlign w:val="top"/>
          </w:tcPr>
          <w:p>
            <w:pPr>
              <w:pStyle w:val="TableText"/>
              <w:ind w:left="70"/>
              <w:spacing w:before="210" w:line="228" w:lineRule="auto"/>
              <w:rPr/>
            </w:pPr>
            <w:r>
              <w:rPr>
                <w:spacing w:val="3"/>
              </w:rPr>
              <w:t>编号</w:t>
            </w:r>
          </w:p>
        </w:tc>
        <w:tc>
          <w:tcPr>
            <w:tcW w:w="1290" w:type="dxa"/>
            <w:vAlign w:val="top"/>
          </w:tcPr>
          <w:p>
            <w:pPr>
              <w:pStyle w:val="TableText"/>
              <w:ind w:left="124"/>
              <w:spacing w:before="210" w:line="228" w:lineRule="auto"/>
              <w:rPr/>
            </w:pPr>
            <w:r>
              <w:rPr>
                <w:spacing w:val="7"/>
              </w:rPr>
              <w:t>污染源编号</w:t>
            </w:r>
          </w:p>
        </w:tc>
        <w:tc>
          <w:tcPr>
            <w:tcW w:w="1152" w:type="dxa"/>
            <w:vAlign w:val="top"/>
          </w:tcPr>
          <w:p>
            <w:pPr>
              <w:pStyle w:val="TableText"/>
              <w:ind w:left="267"/>
              <w:spacing w:before="211" w:line="228" w:lineRule="auto"/>
              <w:rPr/>
            </w:pPr>
            <w:r>
              <w:rPr>
                <w:spacing w:val="6"/>
              </w:rPr>
              <w:t>污染物</w:t>
            </w:r>
          </w:p>
        </w:tc>
        <w:tc>
          <w:tcPr>
            <w:tcW w:w="1397" w:type="dxa"/>
            <w:vAlign w:val="top"/>
          </w:tcPr>
          <w:p>
            <w:pPr>
              <w:pStyle w:val="TableText"/>
              <w:ind w:left="75"/>
              <w:spacing w:before="55" w:line="228" w:lineRule="auto"/>
              <w:rPr/>
            </w:pPr>
            <w:r>
              <w:rPr>
                <w:spacing w:val="7"/>
              </w:rPr>
              <w:t>主要污染防治</w:t>
            </w:r>
          </w:p>
          <w:p>
            <w:pPr>
              <w:pStyle w:val="TableText"/>
              <w:ind w:left="493"/>
              <w:spacing w:before="64" w:line="228" w:lineRule="auto"/>
              <w:rPr/>
            </w:pPr>
            <w:r>
              <w:rPr>
                <w:spacing w:val="4"/>
              </w:rPr>
              <w:t>措施</w:t>
            </w:r>
          </w:p>
        </w:tc>
        <w:tc>
          <w:tcPr>
            <w:tcW w:w="1738" w:type="dxa"/>
            <w:vAlign w:val="top"/>
          </w:tcPr>
          <w:p>
            <w:pPr>
              <w:pStyle w:val="TableText"/>
              <w:ind w:left="455"/>
              <w:spacing w:before="211" w:line="228" w:lineRule="auto"/>
              <w:rPr/>
            </w:pPr>
            <w:r>
              <w:rPr>
                <w:spacing w:val="7"/>
              </w:rPr>
              <w:t>标准名称</w:t>
            </w:r>
          </w:p>
        </w:tc>
        <w:tc>
          <w:tcPr>
            <w:tcW w:w="1257" w:type="dxa"/>
            <w:vAlign w:val="top"/>
          </w:tcPr>
          <w:p>
            <w:pPr>
              <w:pStyle w:val="TableText"/>
              <w:ind w:left="348" w:right="205" w:hanging="132"/>
              <w:spacing w:before="55" w:line="278" w:lineRule="auto"/>
              <w:rPr>
                <w:rFonts w:ascii="Times New Roman" w:hAnsi="Times New Roman" w:eastAsia="Times New Roman" w:cs="Times New Roman"/>
                <w:sz w:val="13"/>
                <w:szCs w:val="13"/>
              </w:rPr>
            </w:pPr>
            <w:r>
              <w:rPr>
                <w:spacing w:val="7"/>
              </w:rPr>
              <w:t>浓度限值</w:t>
            </w:r>
            <w:r>
              <w:rPr/>
              <w:t xml:space="preserve"> </w:t>
            </w:r>
            <w:r>
              <w:rPr>
                <w:rFonts w:ascii="Times New Roman" w:hAnsi="Times New Roman" w:eastAsia="Times New Roman" w:cs="Times New Roman"/>
              </w:rPr>
              <w:t>mg</w:t>
            </w:r>
            <w:r>
              <w:rPr>
                <w:rFonts w:ascii="Times New Roman" w:hAnsi="Times New Roman" w:eastAsia="Times New Roman" w:cs="Times New Roman"/>
                <w:spacing w:val="9"/>
              </w:rPr>
              <w:t>/m</w:t>
            </w:r>
            <w:r>
              <w:rPr>
                <w:rFonts w:ascii="Times New Roman" w:hAnsi="Times New Roman" w:eastAsia="Times New Roman" w:cs="Times New Roman"/>
                <w:sz w:val="13"/>
                <w:szCs w:val="13"/>
                <w:spacing w:val="9"/>
                <w:position w:val="5"/>
              </w:rPr>
              <w:t>3</w:t>
            </w:r>
          </w:p>
        </w:tc>
        <w:tc>
          <w:tcPr>
            <w:tcW w:w="1238" w:type="dxa"/>
            <w:vAlign w:val="top"/>
          </w:tcPr>
          <w:p>
            <w:pPr>
              <w:pStyle w:val="TableText"/>
              <w:ind w:left="102"/>
              <w:spacing w:before="54" w:line="228" w:lineRule="auto"/>
              <w:rPr/>
            </w:pPr>
            <w:r>
              <w:rPr>
                <w:spacing w:val="7"/>
              </w:rPr>
              <w:t>核算年放量</w:t>
            </w:r>
          </w:p>
          <w:p>
            <w:pPr>
              <w:ind w:left="513"/>
              <w:spacing w:before="9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t/a</w:t>
            </w:r>
          </w:p>
        </w:tc>
      </w:tr>
      <w:tr>
        <w:trPr>
          <w:trHeight w:val="317" w:hRule="atLeast"/>
        </w:trPr>
        <w:tc>
          <w:tcPr>
            <w:tcW w:w="546" w:type="dxa"/>
            <w:vAlign w:val="top"/>
            <w:vMerge w:val="restart"/>
            <w:tcBorders>
              <w:bottom w:val="nil"/>
            </w:tcBorders>
          </w:tcPr>
          <w:p>
            <w:pPr>
              <w:spacing w:line="341" w:lineRule="auto"/>
              <w:rPr>
                <w:rFonts w:ascii="Arial"/>
                <w:sz w:val="21"/>
              </w:rPr>
            </w:pPr>
            <w:r/>
          </w:p>
          <w:p>
            <w:pPr>
              <w:ind w:left="24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290" w:type="dxa"/>
            <w:vAlign w:val="top"/>
            <w:vMerge w:val="restart"/>
            <w:tcBorders>
              <w:bottom w:val="nil"/>
            </w:tcBorders>
          </w:tcPr>
          <w:p>
            <w:pPr>
              <w:pStyle w:val="TableText"/>
              <w:ind w:left="44"/>
              <w:spacing w:before="208" w:line="228" w:lineRule="auto"/>
              <w:rPr/>
            </w:pPr>
            <w:r>
              <w:rPr>
                <w:rFonts w:ascii="Times New Roman" w:hAnsi="Times New Roman" w:eastAsia="Times New Roman" w:cs="Times New Roman"/>
                <w:spacing w:val="5"/>
              </w:rPr>
              <w:t>G</w:t>
            </w:r>
            <w:r>
              <w:rPr>
                <w:rFonts w:ascii="Times New Roman" w:hAnsi="Times New Roman" w:eastAsia="Times New Roman" w:cs="Times New Roman"/>
                <w:sz w:val="13"/>
                <w:szCs w:val="13"/>
                <w:spacing w:val="5"/>
                <w:position w:val="-1"/>
              </w:rPr>
              <w:t>1-3 </w:t>
            </w:r>
            <w:r>
              <w:rPr>
                <w:spacing w:val="5"/>
              </w:rPr>
              <w:t>洗毛恶臭</w:t>
            </w:r>
          </w:p>
          <w:p>
            <w:pPr>
              <w:pStyle w:val="TableText"/>
              <w:ind w:left="132"/>
              <w:spacing w:before="65" w:line="228" w:lineRule="auto"/>
              <w:rPr/>
            </w:pPr>
            <w:r>
              <w:rPr>
                <w:spacing w:val="3"/>
              </w:rPr>
              <w:t>（东厂区）</w:t>
            </w:r>
          </w:p>
        </w:tc>
        <w:tc>
          <w:tcPr>
            <w:tcW w:w="1152" w:type="dxa"/>
            <w:vAlign w:val="top"/>
          </w:tcPr>
          <w:p>
            <w:pPr>
              <w:ind w:left="384"/>
              <w:spacing w:before="92"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1397" w:type="dxa"/>
            <w:vAlign w:val="top"/>
            <w:vMerge w:val="restart"/>
            <w:tcBorders>
              <w:bottom w:val="nil"/>
            </w:tcBorders>
          </w:tcPr>
          <w:p>
            <w:pPr>
              <w:pStyle w:val="TableText"/>
              <w:ind w:left="81"/>
              <w:spacing w:before="52" w:line="228" w:lineRule="auto"/>
              <w:rPr/>
            </w:pPr>
            <w:r>
              <w:rPr>
                <w:spacing w:val="6"/>
              </w:rPr>
              <w:t>喷洒生物除臭</w:t>
            </w:r>
          </w:p>
          <w:p>
            <w:pPr>
              <w:pStyle w:val="TableText"/>
              <w:ind w:left="74"/>
              <w:spacing w:before="65" w:line="227" w:lineRule="auto"/>
              <w:rPr/>
            </w:pPr>
            <w:r>
              <w:rPr>
                <w:spacing w:val="8"/>
              </w:rPr>
              <w:t>剂，去除效率</w:t>
            </w:r>
          </w:p>
          <w:p>
            <w:pPr>
              <w:ind w:left="510"/>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60%</w:t>
            </w:r>
          </w:p>
        </w:tc>
        <w:tc>
          <w:tcPr>
            <w:tcW w:w="1738" w:type="dxa"/>
            <w:vAlign w:val="top"/>
            <w:vMerge w:val="restart"/>
            <w:tcBorders>
              <w:bottom w:val="nil"/>
            </w:tcBorders>
          </w:tcPr>
          <w:p>
            <w:pPr>
              <w:pStyle w:val="TableText"/>
              <w:ind w:left="40"/>
              <w:spacing w:before="213" w:line="228" w:lineRule="auto"/>
              <w:rPr/>
            </w:pPr>
            <w:r>
              <w:rPr>
                <w:spacing w:val="8"/>
              </w:rPr>
              <w:t>《恶臭污染物排放</w:t>
            </w:r>
          </w:p>
          <w:p>
            <w:pPr>
              <w:pStyle w:val="TableText"/>
              <w:ind w:left="561"/>
              <w:spacing w:before="65" w:line="228" w:lineRule="auto"/>
              <w:rPr/>
            </w:pPr>
            <w:r>
              <w:rPr>
                <w:spacing w:val="2"/>
              </w:rPr>
              <w:t>标准》</w:t>
            </w:r>
          </w:p>
          <w:p>
            <w:pPr>
              <w:pStyle w:val="TableText"/>
              <w:spacing w:before="64" w:line="228" w:lineRule="auto"/>
              <w:jc w:val="right"/>
              <w:rPr/>
            </w:pPr>
            <w:r>
              <w:rPr>
                <w:spacing w:val="5"/>
              </w:rPr>
              <w:t>（</w:t>
            </w:r>
            <w:r>
              <w:rPr>
                <w:rFonts w:ascii="Times New Roman" w:hAnsi="Times New Roman" w:eastAsia="Times New Roman" w:cs="Times New Roman"/>
              </w:rPr>
              <w:t>GB</w:t>
            </w:r>
            <w:r>
              <w:rPr>
                <w:rFonts w:ascii="Times New Roman" w:hAnsi="Times New Roman" w:eastAsia="Times New Roman" w:cs="Times New Roman"/>
                <w:spacing w:val="5"/>
              </w:rPr>
              <w:t>14554-93</w:t>
            </w:r>
            <w:r>
              <w:rPr>
                <w:spacing w:val="5"/>
              </w:rPr>
              <w:t>）中</w:t>
            </w:r>
          </w:p>
          <w:p>
            <w:pPr>
              <w:pStyle w:val="TableText"/>
              <w:ind w:left="33"/>
              <w:spacing w:before="64" w:line="228" w:lineRule="auto"/>
              <w:rPr/>
            </w:pPr>
            <w:r>
              <w:rPr>
                <w:spacing w:val="4"/>
              </w:rPr>
              <w:t>表</w:t>
            </w:r>
            <w:r>
              <w:rPr>
                <w:spacing w:val="-17"/>
              </w:rPr>
              <w:t xml:space="preserve"> </w:t>
            </w:r>
            <w:r>
              <w:rPr>
                <w:rFonts w:ascii="Times New Roman" w:hAnsi="Times New Roman" w:eastAsia="Times New Roman" w:cs="Times New Roman"/>
                <w:spacing w:val="4"/>
              </w:rPr>
              <w:t>1 </w:t>
            </w:r>
            <w:r>
              <w:rPr>
                <w:spacing w:val="4"/>
              </w:rPr>
              <w:t>新改扩建二级</w:t>
            </w:r>
          </w:p>
          <w:p>
            <w:pPr>
              <w:pStyle w:val="TableText"/>
              <w:ind w:left="455"/>
              <w:spacing w:before="65" w:line="228" w:lineRule="auto"/>
              <w:rPr/>
            </w:pPr>
            <w:r>
              <w:rPr>
                <w:spacing w:val="7"/>
              </w:rPr>
              <w:t>标准限值</w:t>
            </w:r>
          </w:p>
        </w:tc>
        <w:tc>
          <w:tcPr>
            <w:tcW w:w="1257" w:type="dxa"/>
            <w:vAlign w:val="top"/>
          </w:tcPr>
          <w:p>
            <w:pPr>
              <w:ind w:left="521"/>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w:t>
            </w:r>
          </w:p>
        </w:tc>
        <w:tc>
          <w:tcPr>
            <w:tcW w:w="1238" w:type="dxa"/>
            <w:vAlign w:val="top"/>
          </w:tcPr>
          <w:p>
            <w:pPr>
              <w:ind w:left="334"/>
              <w:spacing w:before="8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0.0024</w:t>
            </w:r>
          </w:p>
        </w:tc>
      </w:tr>
      <w:tr>
        <w:trPr>
          <w:trHeight w:val="618" w:hRule="atLeast"/>
        </w:trPr>
        <w:tc>
          <w:tcPr>
            <w:tcW w:w="546" w:type="dxa"/>
            <w:vAlign w:val="top"/>
            <w:vMerge w:val="continue"/>
            <w:tcBorders>
              <w:top w:val="nil"/>
            </w:tcBorders>
          </w:tcPr>
          <w:p>
            <w:pPr>
              <w:rPr>
                <w:rFonts w:ascii="Arial"/>
                <w:sz w:val="21"/>
              </w:rPr>
            </w:pPr>
            <w:r/>
          </w:p>
        </w:tc>
        <w:tc>
          <w:tcPr>
            <w:tcW w:w="1290" w:type="dxa"/>
            <w:vAlign w:val="top"/>
            <w:vMerge w:val="continue"/>
            <w:tcBorders>
              <w:top w:val="nil"/>
            </w:tcBorders>
          </w:tcPr>
          <w:p>
            <w:pPr>
              <w:rPr>
                <w:rFonts w:ascii="Arial"/>
                <w:sz w:val="21"/>
              </w:rPr>
            </w:pPr>
            <w:r/>
          </w:p>
        </w:tc>
        <w:tc>
          <w:tcPr>
            <w:tcW w:w="1152" w:type="dxa"/>
            <w:vAlign w:val="top"/>
          </w:tcPr>
          <w:p>
            <w:pPr>
              <w:ind w:left="407"/>
              <w:spacing w:before="240"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1397" w:type="dxa"/>
            <w:vAlign w:val="top"/>
            <w:vMerge w:val="continue"/>
            <w:tcBorders>
              <w:top w:val="nil"/>
            </w:tcBorders>
          </w:tcPr>
          <w:p>
            <w:pPr>
              <w:rPr>
                <w:rFonts w:ascii="Arial"/>
                <w:sz w:val="21"/>
              </w:rPr>
            </w:pPr>
            <w:r/>
          </w:p>
        </w:tc>
        <w:tc>
          <w:tcPr>
            <w:tcW w:w="1738" w:type="dxa"/>
            <w:vAlign w:val="top"/>
            <w:vMerge w:val="continue"/>
            <w:tcBorders>
              <w:top w:val="nil"/>
              <w:bottom w:val="nil"/>
            </w:tcBorders>
          </w:tcPr>
          <w:p>
            <w:pPr>
              <w:rPr>
                <w:rFonts w:ascii="Arial"/>
                <w:sz w:val="21"/>
              </w:rPr>
            </w:pPr>
            <w:r/>
          </w:p>
        </w:tc>
        <w:tc>
          <w:tcPr>
            <w:tcW w:w="1257" w:type="dxa"/>
            <w:vAlign w:val="top"/>
          </w:tcPr>
          <w:p>
            <w:pPr>
              <w:ind w:left="451"/>
              <w:spacing w:before="23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1238" w:type="dxa"/>
            <w:vAlign w:val="top"/>
          </w:tcPr>
          <w:p>
            <w:pPr>
              <w:ind w:left="231"/>
              <w:spacing w:before="23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0.000016</w:t>
            </w:r>
          </w:p>
        </w:tc>
      </w:tr>
      <w:tr>
        <w:trPr>
          <w:trHeight w:val="360" w:hRule="atLeast"/>
        </w:trPr>
        <w:tc>
          <w:tcPr>
            <w:tcW w:w="546" w:type="dxa"/>
            <w:vAlign w:val="top"/>
            <w:vMerge w:val="restart"/>
            <w:tcBorders>
              <w:bottom w:val="nil"/>
            </w:tcBorders>
          </w:tcPr>
          <w:p>
            <w:pPr>
              <w:spacing w:line="342" w:lineRule="auto"/>
              <w:rPr>
                <w:rFonts w:ascii="Arial"/>
                <w:sz w:val="21"/>
              </w:rPr>
            </w:pPr>
            <w:r/>
          </w:p>
          <w:p>
            <w:pPr>
              <w:ind w:left="22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290" w:type="dxa"/>
            <w:vAlign w:val="top"/>
            <w:vMerge w:val="restart"/>
            <w:tcBorders>
              <w:bottom w:val="nil"/>
            </w:tcBorders>
          </w:tcPr>
          <w:p>
            <w:pPr>
              <w:pStyle w:val="TableText"/>
              <w:ind w:left="44"/>
              <w:spacing w:before="209" w:line="228" w:lineRule="auto"/>
              <w:rPr/>
            </w:pPr>
            <w:r>
              <w:rPr>
                <w:rFonts w:ascii="Times New Roman" w:hAnsi="Times New Roman" w:eastAsia="Times New Roman" w:cs="Times New Roman"/>
                <w:spacing w:val="5"/>
              </w:rPr>
              <w:t>G</w:t>
            </w:r>
            <w:r>
              <w:rPr>
                <w:rFonts w:ascii="Times New Roman" w:hAnsi="Times New Roman" w:eastAsia="Times New Roman" w:cs="Times New Roman"/>
                <w:sz w:val="13"/>
                <w:szCs w:val="13"/>
                <w:spacing w:val="5"/>
                <w:position w:val="-1"/>
              </w:rPr>
              <w:t>1-4 </w:t>
            </w:r>
            <w:r>
              <w:rPr>
                <w:spacing w:val="5"/>
              </w:rPr>
              <w:t>洗毛恶臭</w:t>
            </w:r>
          </w:p>
          <w:p>
            <w:pPr>
              <w:pStyle w:val="TableText"/>
              <w:ind w:left="132"/>
              <w:spacing w:before="65" w:line="228" w:lineRule="auto"/>
              <w:rPr/>
            </w:pPr>
            <w:r>
              <w:rPr>
                <w:spacing w:val="3"/>
              </w:rPr>
              <w:t>（西厂区）</w:t>
            </w:r>
          </w:p>
        </w:tc>
        <w:tc>
          <w:tcPr>
            <w:tcW w:w="1152" w:type="dxa"/>
            <w:vAlign w:val="top"/>
          </w:tcPr>
          <w:p>
            <w:pPr>
              <w:ind w:left="384"/>
              <w:spacing w:before="114"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1397" w:type="dxa"/>
            <w:vAlign w:val="top"/>
            <w:vMerge w:val="restart"/>
            <w:tcBorders>
              <w:bottom w:val="nil"/>
            </w:tcBorders>
          </w:tcPr>
          <w:p>
            <w:pPr>
              <w:pStyle w:val="TableText"/>
              <w:ind w:left="81"/>
              <w:spacing w:before="53" w:line="228" w:lineRule="auto"/>
              <w:rPr/>
            </w:pPr>
            <w:r>
              <w:rPr>
                <w:spacing w:val="6"/>
              </w:rPr>
              <w:t>喷洒生物除臭</w:t>
            </w:r>
          </w:p>
          <w:p>
            <w:pPr>
              <w:pStyle w:val="TableText"/>
              <w:ind w:left="74"/>
              <w:spacing w:before="65" w:line="227" w:lineRule="auto"/>
              <w:rPr/>
            </w:pPr>
            <w:r>
              <w:rPr>
                <w:spacing w:val="8"/>
              </w:rPr>
              <w:t>剂，去除效率</w:t>
            </w:r>
          </w:p>
          <w:p>
            <w:pPr>
              <w:ind w:left="510"/>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60%</w:t>
            </w:r>
          </w:p>
        </w:tc>
        <w:tc>
          <w:tcPr>
            <w:tcW w:w="1738" w:type="dxa"/>
            <w:vAlign w:val="top"/>
            <w:vMerge w:val="continue"/>
            <w:tcBorders>
              <w:top w:val="nil"/>
              <w:bottom w:val="nil"/>
            </w:tcBorders>
          </w:tcPr>
          <w:p>
            <w:pPr>
              <w:rPr>
                <w:rFonts w:ascii="Arial"/>
                <w:sz w:val="21"/>
              </w:rPr>
            </w:pPr>
            <w:r/>
          </w:p>
        </w:tc>
        <w:tc>
          <w:tcPr>
            <w:tcW w:w="1257" w:type="dxa"/>
            <w:vAlign w:val="top"/>
          </w:tcPr>
          <w:p>
            <w:pPr>
              <w:ind w:left="521"/>
              <w:spacing w:before="11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w:t>
            </w:r>
          </w:p>
        </w:tc>
        <w:tc>
          <w:tcPr>
            <w:tcW w:w="1238" w:type="dxa"/>
            <w:vAlign w:val="top"/>
          </w:tcPr>
          <w:p>
            <w:pPr>
              <w:ind w:left="334"/>
              <w:spacing w:before="11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0.0024</w:t>
            </w:r>
          </w:p>
        </w:tc>
      </w:tr>
      <w:tr>
        <w:trPr>
          <w:trHeight w:val="575" w:hRule="atLeast"/>
        </w:trPr>
        <w:tc>
          <w:tcPr>
            <w:tcW w:w="546" w:type="dxa"/>
            <w:vAlign w:val="top"/>
            <w:vMerge w:val="continue"/>
            <w:tcBorders>
              <w:top w:val="nil"/>
            </w:tcBorders>
          </w:tcPr>
          <w:p>
            <w:pPr>
              <w:rPr>
                <w:rFonts w:ascii="Arial"/>
                <w:sz w:val="21"/>
              </w:rPr>
            </w:pPr>
            <w:r/>
          </w:p>
        </w:tc>
        <w:tc>
          <w:tcPr>
            <w:tcW w:w="1290" w:type="dxa"/>
            <w:vAlign w:val="top"/>
            <w:vMerge w:val="continue"/>
            <w:tcBorders>
              <w:top w:val="nil"/>
            </w:tcBorders>
          </w:tcPr>
          <w:p>
            <w:pPr>
              <w:rPr>
                <w:rFonts w:ascii="Arial"/>
                <w:sz w:val="21"/>
              </w:rPr>
            </w:pPr>
            <w:r/>
          </w:p>
        </w:tc>
        <w:tc>
          <w:tcPr>
            <w:tcW w:w="1152" w:type="dxa"/>
            <w:vAlign w:val="top"/>
          </w:tcPr>
          <w:p>
            <w:pPr>
              <w:ind w:left="407"/>
              <w:spacing w:before="219"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1397" w:type="dxa"/>
            <w:vAlign w:val="top"/>
            <w:vMerge w:val="continue"/>
            <w:tcBorders>
              <w:top w:val="nil"/>
            </w:tcBorders>
          </w:tcPr>
          <w:p>
            <w:pPr>
              <w:rPr>
                <w:rFonts w:ascii="Arial"/>
                <w:sz w:val="21"/>
              </w:rPr>
            </w:pPr>
            <w:r/>
          </w:p>
        </w:tc>
        <w:tc>
          <w:tcPr>
            <w:tcW w:w="1738" w:type="dxa"/>
            <w:vAlign w:val="top"/>
            <w:vMerge w:val="continue"/>
            <w:tcBorders>
              <w:top w:val="nil"/>
            </w:tcBorders>
          </w:tcPr>
          <w:p>
            <w:pPr>
              <w:rPr>
                <w:rFonts w:ascii="Arial"/>
                <w:sz w:val="21"/>
              </w:rPr>
            </w:pPr>
            <w:r/>
          </w:p>
        </w:tc>
        <w:tc>
          <w:tcPr>
            <w:tcW w:w="1257" w:type="dxa"/>
            <w:vAlign w:val="top"/>
          </w:tcPr>
          <w:p>
            <w:pPr>
              <w:ind w:left="451"/>
              <w:spacing w:before="21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1238" w:type="dxa"/>
            <w:vAlign w:val="top"/>
          </w:tcPr>
          <w:p>
            <w:pPr>
              <w:ind w:left="231"/>
              <w:spacing w:before="21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0.000016</w:t>
            </w:r>
          </w:p>
        </w:tc>
      </w:tr>
      <w:tr>
        <w:trPr>
          <w:trHeight w:val="1563" w:hRule="atLeast"/>
        </w:trPr>
        <w:tc>
          <w:tcPr>
            <w:tcW w:w="546" w:type="dxa"/>
            <w:vAlign w:val="top"/>
          </w:tcPr>
          <w:p>
            <w:pPr>
              <w:spacing w:line="326" w:lineRule="auto"/>
              <w:rPr>
                <w:rFonts w:ascii="Arial"/>
                <w:sz w:val="21"/>
              </w:rPr>
            </w:pPr>
            <w:r/>
          </w:p>
          <w:p>
            <w:pPr>
              <w:spacing w:line="326" w:lineRule="auto"/>
              <w:rPr>
                <w:rFonts w:ascii="Arial"/>
                <w:sz w:val="21"/>
              </w:rPr>
            </w:pPr>
            <w:r/>
          </w:p>
          <w:p>
            <w:pPr>
              <w:ind w:left="227"/>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290" w:type="dxa"/>
            <w:vAlign w:val="top"/>
          </w:tcPr>
          <w:p>
            <w:pPr>
              <w:spacing w:line="304" w:lineRule="auto"/>
              <w:rPr>
                <w:rFonts w:ascii="Arial"/>
                <w:sz w:val="21"/>
              </w:rPr>
            </w:pPr>
            <w:r/>
          </w:p>
          <w:p>
            <w:pPr>
              <w:spacing w:line="305" w:lineRule="auto"/>
              <w:rPr>
                <w:rFonts w:ascii="Arial"/>
                <w:sz w:val="21"/>
              </w:rPr>
            </w:pPr>
            <w:r/>
          </w:p>
          <w:p>
            <w:pPr>
              <w:pStyle w:val="TableText"/>
              <w:ind w:left="44"/>
              <w:spacing w:before="65" w:line="228" w:lineRule="auto"/>
              <w:rPr/>
            </w:pPr>
            <w:r>
              <w:rPr>
                <w:rFonts w:ascii="Times New Roman" w:hAnsi="Times New Roman" w:eastAsia="Times New Roman" w:cs="Times New Roman"/>
                <w:spacing w:val="5"/>
              </w:rPr>
              <w:t>G</w:t>
            </w:r>
            <w:r>
              <w:rPr>
                <w:rFonts w:ascii="Times New Roman" w:hAnsi="Times New Roman" w:eastAsia="Times New Roman" w:cs="Times New Roman"/>
                <w:sz w:val="13"/>
                <w:szCs w:val="13"/>
                <w:spacing w:val="5"/>
                <w:position w:val="-1"/>
              </w:rPr>
              <w:t>2-1 </w:t>
            </w:r>
            <w:r>
              <w:rPr>
                <w:spacing w:val="5"/>
              </w:rPr>
              <w:t>梳绒车间</w:t>
            </w:r>
          </w:p>
        </w:tc>
        <w:tc>
          <w:tcPr>
            <w:tcW w:w="1152" w:type="dxa"/>
            <w:vAlign w:val="top"/>
          </w:tcPr>
          <w:p>
            <w:pPr>
              <w:spacing w:line="305" w:lineRule="auto"/>
              <w:rPr>
                <w:rFonts w:ascii="Arial"/>
                <w:sz w:val="21"/>
              </w:rPr>
            </w:pPr>
            <w:r/>
          </w:p>
          <w:p>
            <w:pPr>
              <w:spacing w:line="305" w:lineRule="auto"/>
              <w:rPr>
                <w:rFonts w:ascii="Arial"/>
                <w:sz w:val="21"/>
              </w:rPr>
            </w:pPr>
            <w:r/>
          </w:p>
          <w:p>
            <w:pPr>
              <w:pStyle w:val="TableText"/>
              <w:ind w:left="264"/>
              <w:spacing w:before="65" w:line="228" w:lineRule="auto"/>
              <w:rPr/>
            </w:pPr>
            <w:r>
              <w:rPr>
                <w:spacing w:val="7"/>
              </w:rPr>
              <w:t>颗粒物</w:t>
            </w:r>
          </w:p>
        </w:tc>
        <w:tc>
          <w:tcPr>
            <w:tcW w:w="1397" w:type="dxa"/>
            <w:vAlign w:val="top"/>
          </w:tcPr>
          <w:p>
            <w:pPr>
              <w:spacing w:line="304" w:lineRule="auto"/>
              <w:rPr>
                <w:rFonts w:ascii="Arial"/>
                <w:sz w:val="21"/>
              </w:rPr>
            </w:pPr>
            <w:r/>
          </w:p>
          <w:p>
            <w:pPr>
              <w:spacing w:line="305" w:lineRule="auto"/>
              <w:rPr>
                <w:rFonts w:ascii="Arial"/>
                <w:sz w:val="21"/>
              </w:rPr>
            </w:pPr>
            <w:r/>
          </w:p>
          <w:p>
            <w:pPr>
              <w:pStyle w:val="TableText"/>
              <w:ind w:left="286"/>
              <w:spacing w:before="65" w:line="228" w:lineRule="auto"/>
              <w:rPr/>
            </w:pPr>
            <w:r>
              <w:rPr>
                <w:spacing w:val="6"/>
              </w:rPr>
              <w:t>车间封闭</w:t>
            </w:r>
          </w:p>
        </w:tc>
        <w:tc>
          <w:tcPr>
            <w:tcW w:w="1738" w:type="dxa"/>
            <w:vAlign w:val="top"/>
          </w:tcPr>
          <w:p>
            <w:pPr>
              <w:pStyle w:val="TableText"/>
              <w:ind w:left="40"/>
              <w:spacing w:before="54" w:line="228" w:lineRule="auto"/>
              <w:rPr/>
            </w:pPr>
            <w:r>
              <w:rPr>
                <w:spacing w:val="8"/>
              </w:rPr>
              <w:t>《大气污染物综合</w:t>
            </w:r>
          </w:p>
          <w:p>
            <w:pPr>
              <w:pStyle w:val="TableText"/>
              <w:ind w:left="140"/>
              <w:spacing w:before="64" w:line="228" w:lineRule="auto"/>
              <w:rPr/>
            </w:pPr>
            <w:r>
              <w:rPr>
                <w:spacing w:val="7"/>
              </w:rPr>
              <w:t>排放标准限值》</w:t>
            </w:r>
          </w:p>
          <w:p>
            <w:pPr>
              <w:pStyle w:val="TableText"/>
              <w:ind w:left="20"/>
              <w:spacing w:before="65"/>
              <w:rPr/>
            </w:pPr>
            <w:r>
              <w:rPr>
                <w:spacing w:val="4"/>
              </w:rPr>
              <w:t>（</w:t>
            </w:r>
            <w:r>
              <w:rPr>
                <w:rFonts w:ascii="Times New Roman" w:hAnsi="Times New Roman" w:eastAsia="Times New Roman" w:cs="Times New Roman"/>
              </w:rPr>
              <w:t>GB</w:t>
            </w:r>
            <w:r>
              <w:rPr>
                <w:rFonts w:ascii="Times New Roman" w:hAnsi="Times New Roman" w:eastAsia="Times New Roman" w:cs="Times New Roman"/>
                <w:spacing w:val="4"/>
              </w:rPr>
              <w:t>16297-1996</w:t>
            </w:r>
            <w:r>
              <w:rPr>
                <w:spacing w:val="4"/>
              </w:rPr>
              <w:t>）</w:t>
            </w:r>
          </w:p>
          <w:p>
            <w:pPr>
              <w:pStyle w:val="TableText"/>
              <w:ind w:left="54"/>
              <w:spacing w:before="52" w:line="228" w:lineRule="auto"/>
              <w:rPr/>
            </w:pPr>
            <w:r>
              <w:rPr>
                <w:spacing w:val="4"/>
              </w:rPr>
              <w:t>中表</w:t>
            </w:r>
            <w:r>
              <w:rPr>
                <w:spacing w:val="-35"/>
              </w:rPr>
              <w:t xml:space="preserve"> </w:t>
            </w:r>
            <w:r>
              <w:rPr>
                <w:rFonts w:ascii="Times New Roman" w:hAnsi="Times New Roman" w:eastAsia="Times New Roman" w:cs="Times New Roman"/>
                <w:spacing w:val="4"/>
              </w:rPr>
              <w:t>2 </w:t>
            </w:r>
            <w:r>
              <w:rPr>
                <w:spacing w:val="4"/>
              </w:rPr>
              <w:t>新污染源二</w:t>
            </w:r>
          </w:p>
          <w:p>
            <w:pPr>
              <w:pStyle w:val="TableText"/>
              <w:ind w:left="352"/>
              <w:spacing w:before="64" w:line="228" w:lineRule="auto"/>
              <w:rPr/>
            </w:pPr>
            <w:r>
              <w:rPr>
                <w:spacing w:val="7"/>
              </w:rPr>
              <w:t>级排放限值</w:t>
            </w:r>
          </w:p>
        </w:tc>
        <w:tc>
          <w:tcPr>
            <w:tcW w:w="1257" w:type="dxa"/>
            <w:vAlign w:val="top"/>
          </w:tcPr>
          <w:p>
            <w:pPr>
              <w:spacing w:line="326" w:lineRule="auto"/>
              <w:rPr>
                <w:rFonts w:ascii="Arial"/>
                <w:sz w:val="21"/>
              </w:rPr>
            </w:pPr>
            <w:r/>
          </w:p>
          <w:p>
            <w:pPr>
              <w:spacing w:line="326" w:lineRule="auto"/>
              <w:rPr>
                <w:rFonts w:ascii="Arial"/>
                <w:sz w:val="21"/>
              </w:rPr>
            </w:pPr>
            <w:r/>
          </w:p>
          <w:p>
            <w:pPr>
              <w:ind w:left="521"/>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w:t>
            </w:r>
          </w:p>
        </w:tc>
        <w:tc>
          <w:tcPr>
            <w:tcW w:w="1238" w:type="dxa"/>
            <w:vAlign w:val="top"/>
          </w:tcPr>
          <w:p>
            <w:pPr>
              <w:spacing w:line="326" w:lineRule="auto"/>
              <w:rPr>
                <w:rFonts w:ascii="Arial"/>
                <w:sz w:val="21"/>
              </w:rPr>
            </w:pPr>
            <w:r/>
          </w:p>
          <w:p>
            <w:pPr>
              <w:spacing w:line="326" w:lineRule="auto"/>
              <w:rPr>
                <w:rFonts w:ascii="Arial"/>
                <w:sz w:val="21"/>
              </w:rPr>
            </w:pPr>
            <w:r/>
          </w:p>
          <w:p>
            <w:pPr>
              <w:ind w:left="43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r>
      <w:tr>
        <w:trPr>
          <w:trHeight w:val="445" w:hRule="atLeast"/>
        </w:trPr>
        <w:tc>
          <w:tcPr>
            <w:tcW w:w="546" w:type="dxa"/>
            <w:vAlign w:val="top"/>
          </w:tcPr>
          <w:p>
            <w:pPr>
              <w:ind w:left="222"/>
              <w:spacing w:before="15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290" w:type="dxa"/>
            <w:vAlign w:val="top"/>
          </w:tcPr>
          <w:p>
            <w:pPr>
              <w:pStyle w:val="TableText"/>
              <w:ind w:left="44"/>
              <w:spacing w:before="118" w:line="227" w:lineRule="auto"/>
              <w:rPr/>
            </w:pPr>
            <w:r>
              <w:rPr>
                <w:rFonts w:ascii="Times New Roman" w:hAnsi="Times New Roman" w:eastAsia="Times New Roman" w:cs="Times New Roman"/>
                <w:spacing w:val="4"/>
              </w:rPr>
              <w:t>G</w:t>
            </w:r>
            <w:r>
              <w:rPr>
                <w:rFonts w:ascii="Times New Roman" w:hAnsi="Times New Roman" w:eastAsia="Times New Roman" w:cs="Times New Roman"/>
                <w:sz w:val="13"/>
                <w:szCs w:val="13"/>
                <w:spacing w:val="4"/>
                <w:position w:val="-1"/>
              </w:rPr>
              <w:t>3-2</w:t>
            </w:r>
            <w:r>
              <w:rPr>
                <w:rFonts w:ascii="Times New Roman" w:hAnsi="Times New Roman" w:eastAsia="Times New Roman" w:cs="Times New Roman"/>
                <w:sz w:val="13"/>
                <w:szCs w:val="13"/>
                <w:spacing w:val="12"/>
                <w:position w:val="-1"/>
              </w:rPr>
              <w:t xml:space="preserve"> </w:t>
            </w:r>
            <w:r>
              <w:rPr>
                <w:spacing w:val="4"/>
              </w:rPr>
              <w:t>厌氧发酵</w:t>
            </w:r>
          </w:p>
        </w:tc>
        <w:tc>
          <w:tcPr>
            <w:tcW w:w="1152" w:type="dxa"/>
            <w:vAlign w:val="top"/>
          </w:tcPr>
          <w:p>
            <w:pPr>
              <w:ind w:left="384"/>
              <w:spacing w:before="157"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1397" w:type="dxa"/>
            <w:vAlign w:val="top"/>
          </w:tcPr>
          <w:p>
            <w:pPr>
              <w:pStyle w:val="TableText"/>
              <w:ind w:left="81"/>
              <w:spacing w:before="118" w:line="228" w:lineRule="auto"/>
              <w:rPr/>
            </w:pPr>
            <w:r>
              <w:rPr>
                <w:spacing w:val="6"/>
              </w:rPr>
              <w:t>喷洒生物除臭</w:t>
            </w:r>
          </w:p>
        </w:tc>
        <w:tc>
          <w:tcPr>
            <w:tcW w:w="1738" w:type="dxa"/>
            <w:vAlign w:val="top"/>
          </w:tcPr>
          <w:p>
            <w:pPr>
              <w:pStyle w:val="TableText"/>
              <w:ind w:left="40"/>
              <w:spacing w:before="118" w:line="228" w:lineRule="auto"/>
              <w:rPr/>
            </w:pPr>
            <w:r>
              <w:rPr>
                <w:spacing w:val="8"/>
              </w:rPr>
              <w:t>《恶臭污染物排放</w:t>
            </w:r>
          </w:p>
        </w:tc>
        <w:tc>
          <w:tcPr>
            <w:tcW w:w="1257" w:type="dxa"/>
            <w:vAlign w:val="top"/>
          </w:tcPr>
          <w:p>
            <w:pPr>
              <w:ind w:left="521"/>
              <w:spacing w:before="15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w:t>
            </w:r>
          </w:p>
        </w:tc>
        <w:tc>
          <w:tcPr>
            <w:tcW w:w="1238" w:type="dxa"/>
            <w:vAlign w:val="top"/>
          </w:tcPr>
          <w:p>
            <w:pPr>
              <w:ind w:left="387"/>
              <w:spacing w:before="15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0.008</w:t>
            </w:r>
          </w:p>
        </w:tc>
      </w:tr>
    </w:tbl>
    <w:p>
      <w:pPr>
        <w:ind w:left="12"/>
        <w:spacing w:before="298" w:line="22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165</w:t>
      </w:r>
    </w:p>
    <w:p>
      <w:pPr>
        <w:spacing w:line="227" w:lineRule="auto"/>
        <w:sectPr>
          <w:headerReference w:type="default" r:id="rId218"/>
          <w:pgSz w:w="11906" w:h="16839"/>
          <w:pgMar w:top="1567" w:right="1531" w:bottom="400" w:left="1696" w:header="1221" w:footer="0" w:gutter="0"/>
        </w:sectPr>
        <w:rPr>
          <w:rFonts w:ascii="Times New Roman" w:hAnsi="Times New Roman" w:eastAsia="Times New Roman" w:cs="Times New Roman"/>
          <w:sz w:val="18"/>
          <w:szCs w:val="18"/>
        </w:rPr>
      </w:pPr>
    </w:p>
    <w:p>
      <w:pPr>
        <w:spacing w:line="133" w:lineRule="exact"/>
        <w:rPr/>
      </w:pPr>
      <w:r>
        <w:pict>
          <v:shape id="_x0000_s842" style="position:absolute;margin-left:85.05pt;margin-top:78.87pt;mso-position-vertical-relative:page;mso-position-horizontal-relative:page;width:425.25pt;height:0.75pt;z-index:252019712;" o:allowincell="f" fillcolor="#000000" filled="true" stroked="false" coordsize="8505,15" coordorigin="0,0" path="m,l8504,0l8504,14l0,14l0,0xe"/>
        </w:pict>
      </w:r>
      <w:r/>
    </w:p>
    <w:tbl>
      <w:tblPr>
        <w:tblStyle w:val="TableNormal"/>
        <w:tblW w:w="8618"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46"/>
        <w:gridCol w:w="1290"/>
        <w:gridCol w:w="1152"/>
        <w:gridCol w:w="1397"/>
        <w:gridCol w:w="1738"/>
        <w:gridCol w:w="1257"/>
        <w:gridCol w:w="1238"/>
      </w:tblGrid>
      <w:tr>
        <w:trPr>
          <w:trHeight w:val="633" w:hRule="atLeast"/>
        </w:trPr>
        <w:tc>
          <w:tcPr>
            <w:tcW w:w="546" w:type="dxa"/>
            <w:vAlign w:val="top"/>
          </w:tcPr>
          <w:p>
            <w:pPr>
              <w:rPr>
                <w:rFonts w:ascii="Arial"/>
                <w:sz w:val="21"/>
              </w:rPr>
            </w:pPr>
            <w:r/>
          </w:p>
        </w:tc>
        <w:tc>
          <w:tcPr>
            <w:tcW w:w="1290" w:type="dxa"/>
            <w:vAlign w:val="top"/>
          </w:tcPr>
          <w:p>
            <w:pPr>
              <w:pStyle w:val="TableText"/>
              <w:ind w:left="438"/>
              <w:spacing w:before="56" w:line="228" w:lineRule="auto"/>
              <w:rPr/>
            </w:pPr>
            <w:r>
              <w:rPr>
                <w:spacing w:val="3"/>
              </w:rPr>
              <w:t>罐区</w:t>
            </w:r>
          </w:p>
        </w:tc>
        <w:tc>
          <w:tcPr>
            <w:tcW w:w="1152" w:type="dxa"/>
            <w:vAlign w:val="top"/>
          </w:tcPr>
          <w:p>
            <w:pPr>
              <w:ind w:left="407"/>
              <w:spacing w:before="249"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1397" w:type="dxa"/>
            <w:vAlign w:val="top"/>
          </w:tcPr>
          <w:p>
            <w:pPr>
              <w:pStyle w:val="TableText"/>
              <w:ind w:left="74"/>
              <w:spacing w:before="56" w:line="227" w:lineRule="auto"/>
              <w:rPr/>
            </w:pPr>
            <w:r>
              <w:rPr>
                <w:spacing w:val="8"/>
              </w:rPr>
              <w:t>剂，去除效率</w:t>
            </w:r>
          </w:p>
          <w:p>
            <w:pPr>
              <w:ind w:left="510"/>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60%</w:t>
            </w:r>
          </w:p>
        </w:tc>
        <w:tc>
          <w:tcPr>
            <w:tcW w:w="1738" w:type="dxa"/>
            <w:vAlign w:val="top"/>
            <w:vMerge w:val="restart"/>
            <w:tcBorders>
              <w:bottom w:val="nil"/>
            </w:tcBorders>
          </w:tcPr>
          <w:p>
            <w:pPr>
              <w:pStyle w:val="TableText"/>
              <w:ind w:left="561"/>
              <w:spacing w:before="57" w:line="228" w:lineRule="auto"/>
              <w:rPr/>
            </w:pPr>
            <w:r>
              <w:rPr>
                <w:spacing w:val="2"/>
              </w:rPr>
              <w:t>标准》</w:t>
            </w:r>
          </w:p>
          <w:p>
            <w:pPr>
              <w:pStyle w:val="TableText"/>
              <w:spacing w:before="64" w:line="228" w:lineRule="auto"/>
              <w:jc w:val="right"/>
              <w:rPr/>
            </w:pPr>
            <w:r>
              <w:rPr>
                <w:spacing w:val="5"/>
              </w:rPr>
              <w:t>（</w:t>
            </w:r>
            <w:r>
              <w:rPr>
                <w:rFonts w:ascii="Times New Roman" w:hAnsi="Times New Roman" w:eastAsia="Times New Roman" w:cs="Times New Roman"/>
              </w:rPr>
              <w:t>GB</w:t>
            </w:r>
            <w:r>
              <w:rPr>
                <w:rFonts w:ascii="Times New Roman" w:hAnsi="Times New Roman" w:eastAsia="Times New Roman" w:cs="Times New Roman"/>
                <w:spacing w:val="5"/>
              </w:rPr>
              <w:t>14554-93</w:t>
            </w:r>
            <w:r>
              <w:rPr>
                <w:spacing w:val="5"/>
              </w:rPr>
              <w:t>）中</w:t>
            </w:r>
          </w:p>
          <w:p>
            <w:pPr>
              <w:pStyle w:val="TableText"/>
              <w:ind w:left="33"/>
              <w:spacing w:before="64" w:line="228" w:lineRule="auto"/>
              <w:rPr/>
            </w:pPr>
            <w:r>
              <w:rPr>
                <w:spacing w:val="4"/>
              </w:rPr>
              <w:t>表</w:t>
            </w:r>
            <w:r>
              <w:rPr>
                <w:spacing w:val="-17"/>
              </w:rPr>
              <w:t xml:space="preserve"> </w:t>
            </w:r>
            <w:r>
              <w:rPr>
                <w:rFonts w:ascii="Times New Roman" w:hAnsi="Times New Roman" w:eastAsia="Times New Roman" w:cs="Times New Roman"/>
                <w:spacing w:val="4"/>
              </w:rPr>
              <w:t>1 </w:t>
            </w:r>
            <w:r>
              <w:rPr>
                <w:spacing w:val="4"/>
              </w:rPr>
              <w:t>新改扩建二级</w:t>
            </w:r>
          </w:p>
          <w:p>
            <w:pPr>
              <w:pStyle w:val="TableText"/>
              <w:ind w:left="455"/>
              <w:spacing w:before="64" w:line="228" w:lineRule="auto"/>
              <w:rPr/>
            </w:pPr>
            <w:r>
              <w:rPr>
                <w:spacing w:val="7"/>
              </w:rPr>
              <w:t>标准限值</w:t>
            </w:r>
          </w:p>
        </w:tc>
        <w:tc>
          <w:tcPr>
            <w:tcW w:w="1257" w:type="dxa"/>
            <w:vAlign w:val="top"/>
          </w:tcPr>
          <w:p>
            <w:pPr>
              <w:ind w:left="451"/>
              <w:spacing w:before="2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1238" w:type="dxa"/>
            <w:vAlign w:val="top"/>
          </w:tcPr>
          <w:p>
            <w:pPr>
              <w:ind w:left="281"/>
              <w:spacing w:before="24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0.00048</w:t>
            </w:r>
          </w:p>
        </w:tc>
      </w:tr>
      <w:tr>
        <w:trPr>
          <w:trHeight w:val="316" w:hRule="atLeast"/>
        </w:trPr>
        <w:tc>
          <w:tcPr>
            <w:tcW w:w="546" w:type="dxa"/>
            <w:vAlign w:val="top"/>
            <w:vMerge w:val="restart"/>
            <w:tcBorders>
              <w:bottom w:val="nil"/>
            </w:tcBorders>
          </w:tcPr>
          <w:p>
            <w:pPr>
              <w:spacing w:line="343" w:lineRule="auto"/>
              <w:rPr>
                <w:rFonts w:ascii="Arial"/>
                <w:sz w:val="21"/>
              </w:rPr>
            </w:pPr>
            <w:r/>
          </w:p>
          <w:p>
            <w:pPr>
              <w:ind w:left="228"/>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290" w:type="dxa"/>
            <w:vAlign w:val="top"/>
            <w:vMerge w:val="restart"/>
            <w:tcBorders>
              <w:bottom w:val="nil"/>
            </w:tcBorders>
          </w:tcPr>
          <w:p>
            <w:pPr>
              <w:pStyle w:val="TableText"/>
              <w:ind w:left="44"/>
              <w:spacing w:before="208" w:line="229" w:lineRule="auto"/>
              <w:rPr/>
            </w:pPr>
            <w:r>
              <w:rPr>
                <w:rFonts w:ascii="Times New Roman" w:hAnsi="Times New Roman" w:eastAsia="Times New Roman" w:cs="Times New Roman"/>
                <w:spacing w:val="3"/>
              </w:rPr>
              <w:t>G</w:t>
            </w:r>
            <w:r>
              <w:rPr>
                <w:rFonts w:ascii="Times New Roman" w:hAnsi="Times New Roman" w:eastAsia="Times New Roman" w:cs="Times New Roman"/>
                <w:sz w:val="13"/>
                <w:szCs w:val="13"/>
                <w:spacing w:val="3"/>
                <w:position w:val="-1"/>
              </w:rPr>
              <w:t>3-3</w:t>
            </w:r>
            <w:r>
              <w:rPr>
                <w:rFonts w:ascii="Times New Roman" w:hAnsi="Times New Roman" w:eastAsia="Times New Roman" w:cs="Times New Roman"/>
                <w:sz w:val="13"/>
                <w:szCs w:val="13"/>
                <w:spacing w:val="20"/>
                <w:position w:val="-1"/>
              </w:rPr>
              <w:t xml:space="preserve"> </w:t>
            </w:r>
            <w:r>
              <w:rPr>
                <w:spacing w:val="3"/>
              </w:rPr>
              <w:t>沼渣晾晒</w:t>
            </w:r>
          </w:p>
          <w:p>
            <w:pPr>
              <w:pStyle w:val="TableText"/>
              <w:ind w:left="558"/>
              <w:spacing w:before="63" w:line="233" w:lineRule="auto"/>
              <w:rPr/>
            </w:pPr>
            <w:r>
              <w:rPr/>
              <w:t>区</w:t>
            </w:r>
          </w:p>
        </w:tc>
        <w:tc>
          <w:tcPr>
            <w:tcW w:w="1152" w:type="dxa"/>
            <w:vAlign w:val="top"/>
          </w:tcPr>
          <w:p>
            <w:pPr>
              <w:ind w:left="384"/>
              <w:spacing w:before="91"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1397" w:type="dxa"/>
            <w:vAlign w:val="top"/>
            <w:vMerge w:val="restart"/>
            <w:tcBorders>
              <w:bottom w:val="nil"/>
            </w:tcBorders>
          </w:tcPr>
          <w:p>
            <w:pPr>
              <w:pStyle w:val="TableText"/>
              <w:ind w:left="81"/>
              <w:spacing w:before="52" w:line="228" w:lineRule="auto"/>
              <w:rPr/>
            </w:pPr>
            <w:r>
              <w:rPr>
                <w:spacing w:val="6"/>
              </w:rPr>
              <w:t>喷洒生物除臭</w:t>
            </w:r>
          </w:p>
          <w:p>
            <w:pPr>
              <w:pStyle w:val="TableText"/>
              <w:ind w:left="74"/>
              <w:spacing w:before="65" w:line="227" w:lineRule="auto"/>
              <w:rPr/>
            </w:pPr>
            <w:r>
              <w:rPr>
                <w:spacing w:val="8"/>
              </w:rPr>
              <w:t>剂，去除效率</w:t>
            </w:r>
          </w:p>
          <w:p>
            <w:pPr>
              <w:ind w:left="510"/>
              <w:spacing w:before="1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60%</w:t>
            </w:r>
          </w:p>
        </w:tc>
        <w:tc>
          <w:tcPr>
            <w:tcW w:w="1738" w:type="dxa"/>
            <w:vAlign w:val="top"/>
            <w:vMerge w:val="continue"/>
            <w:tcBorders>
              <w:top w:val="nil"/>
              <w:bottom w:val="nil"/>
            </w:tcBorders>
          </w:tcPr>
          <w:p>
            <w:pPr>
              <w:rPr>
                <w:rFonts w:ascii="Arial"/>
                <w:sz w:val="21"/>
              </w:rPr>
            </w:pPr>
            <w:r/>
          </w:p>
        </w:tc>
        <w:tc>
          <w:tcPr>
            <w:tcW w:w="1257" w:type="dxa"/>
            <w:vAlign w:val="top"/>
          </w:tcPr>
          <w:p>
            <w:pPr>
              <w:ind w:left="521"/>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w:t>
            </w:r>
          </w:p>
        </w:tc>
        <w:tc>
          <w:tcPr>
            <w:tcW w:w="1238" w:type="dxa"/>
            <w:vAlign w:val="top"/>
          </w:tcPr>
          <w:p>
            <w:pPr>
              <w:ind w:left="387"/>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0.012</w:t>
            </w:r>
          </w:p>
        </w:tc>
      </w:tr>
      <w:tr>
        <w:trPr>
          <w:trHeight w:val="618" w:hRule="atLeast"/>
        </w:trPr>
        <w:tc>
          <w:tcPr>
            <w:tcW w:w="546" w:type="dxa"/>
            <w:vAlign w:val="top"/>
            <w:vMerge w:val="continue"/>
            <w:tcBorders>
              <w:top w:val="nil"/>
            </w:tcBorders>
          </w:tcPr>
          <w:p>
            <w:pPr>
              <w:rPr>
                <w:rFonts w:ascii="Arial"/>
                <w:sz w:val="21"/>
              </w:rPr>
            </w:pPr>
            <w:r/>
          </w:p>
        </w:tc>
        <w:tc>
          <w:tcPr>
            <w:tcW w:w="1290" w:type="dxa"/>
            <w:vAlign w:val="top"/>
            <w:vMerge w:val="continue"/>
            <w:tcBorders>
              <w:top w:val="nil"/>
            </w:tcBorders>
          </w:tcPr>
          <w:p>
            <w:pPr>
              <w:rPr>
                <w:rFonts w:ascii="Arial"/>
                <w:sz w:val="21"/>
              </w:rPr>
            </w:pPr>
            <w:r/>
          </w:p>
        </w:tc>
        <w:tc>
          <w:tcPr>
            <w:tcW w:w="1152" w:type="dxa"/>
            <w:vAlign w:val="top"/>
          </w:tcPr>
          <w:p>
            <w:pPr>
              <w:ind w:left="407"/>
              <w:spacing w:before="240"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1397" w:type="dxa"/>
            <w:vAlign w:val="top"/>
            <w:vMerge w:val="continue"/>
            <w:tcBorders>
              <w:top w:val="nil"/>
            </w:tcBorders>
          </w:tcPr>
          <w:p>
            <w:pPr>
              <w:rPr>
                <w:rFonts w:ascii="Arial"/>
                <w:sz w:val="21"/>
              </w:rPr>
            </w:pPr>
            <w:r/>
          </w:p>
        </w:tc>
        <w:tc>
          <w:tcPr>
            <w:tcW w:w="1738" w:type="dxa"/>
            <w:vAlign w:val="top"/>
            <w:vMerge w:val="continue"/>
            <w:tcBorders>
              <w:top w:val="nil"/>
            </w:tcBorders>
          </w:tcPr>
          <w:p>
            <w:pPr>
              <w:rPr>
                <w:rFonts w:ascii="Arial"/>
                <w:sz w:val="21"/>
              </w:rPr>
            </w:pPr>
            <w:r/>
          </w:p>
        </w:tc>
        <w:tc>
          <w:tcPr>
            <w:tcW w:w="1257" w:type="dxa"/>
            <w:vAlign w:val="top"/>
          </w:tcPr>
          <w:p>
            <w:pPr>
              <w:ind w:left="451"/>
              <w:spacing w:before="24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c>
          <w:tcPr>
            <w:tcW w:w="1238" w:type="dxa"/>
            <w:vAlign w:val="top"/>
          </w:tcPr>
          <w:p>
            <w:pPr>
              <w:ind w:left="334"/>
              <w:spacing w:before="24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0.0012</w:t>
            </w:r>
          </w:p>
        </w:tc>
      </w:tr>
      <w:tr>
        <w:trPr>
          <w:trHeight w:val="359" w:hRule="atLeast"/>
        </w:trPr>
        <w:tc>
          <w:tcPr>
            <w:tcW w:w="1836" w:type="dxa"/>
            <w:vAlign w:val="top"/>
            <w:gridSpan w:val="2"/>
            <w:vMerge w:val="restart"/>
            <w:tcBorders>
              <w:bottom w:val="nil"/>
            </w:tcBorders>
          </w:tcPr>
          <w:p>
            <w:pPr>
              <w:spacing w:line="352" w:lineRule="auto"/>
              <w:rPr>
                <w:rFonts w:ascii="Arial"/>
                <w:sz w:val="21"/>
              </w:rPr>
            </w:pPr>
            <w:r/>
          </w:p>
          <w:p>
            <w:pPr>
              <w:pStyle w:val="TableText"/>
              <w:ind w:left="190"/>
              <w:spacing w:before="65" w:line="228" w:lineRule="auto"/>
              <w:rPr/>
            </w:pPr>
            <w:r>
              <w:rPr>
                <w:spacing w:val="8"/>
              </w:rPr>
              <w:t>无组织排放总计</w:t>
            </w:r>
          </w:p>
        </w:tc>
        <w:tc>
          <w:tcPr>
            <w:tcW w:w="5544" w:type="dxa"/>
            <w:vAlign w:val="top"/>
            <w:gridSpan w:val="4"/>
          </w:tcPr>
          <w:p>
            <w:pPr>
              <w:pStyle w:val="TableText"/>
              <w:ind w:left="2462"/>
              <w:spacing w:before="76" w:line="228" w:lineRule="auto"/>
              <w:rPr/>
            </w:pPr>
            <w:r>
              <w:rPr>
                <w:spacing w:val="7"/>
              </w:rPr>
              <w:t>颗粒物</w:t>
            </w:r>
          </w:p>
        </w:tc>
        <w:tc>
          <w:tcPr>
            <w:tcW w:w="1238" w:type="dxa"/>
            <w:vAlign w:val="top"/>
          </w:tcPr>
          <w:p>
            <w:pPr>
              <w:ind w:left="439"/>
              <w:spacing w:before="11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w:t>
            </w:r>
          </w:p>
        </w:tc>
      </w:tr>
      <w:tr>
        <w:trPr>
          <w:trHeight w:val="359" w:hRule="atLeast"/>
        </w:trPr>
        <w:tc>
          <w:tcPr>
            <w:tcW w:w="1836" w:type="dxa"/>
            <w:vAlign w:val="top"/>
            <w:gridSpan w:val="2"/>
            <w:vMerge w:val="continue"/>
            <w:tcBorders>
              <w:top w:val="nil"/>
              <w:bottom w:val="nil"/>
            </w:tcBorders>
          </w:tcPr>
          <w:p>
            <w:pPr>
              <w:rPr>
                <w:rFonts w:ascii="Arial"/>
                <w:sz w:val="21"/>
              </w:rPr>
            </w:pPr>
            <w:r/>
          </w:p>
        </w:tc>
        <w:tc>
          <w:tcPr>
            <w:tcW w:w="5544" w:type="dxa"/>
            <w:vAlign w:val="top"/>
            <w:gridSpan w:val="4"/>
          </w:tcPr>
          <w:p>
            <w:pPr>
              <w:ind w:left="2580"/>
              <w:spacing w:before="115" w:line="19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7"/>
              </w:rPr>
              <w:t>NH</w:t>
            </w:r>
            <w:r>
              <w:rPr>
                <w:rFonts w:ascii="Times New Roman" w:hAnsi="Times New Roman" w:eastAsia="Times New Roman" w:cs="Times New Roman"/>
                <w:sz w:val="13"/>
                <w:szCs w:val="13"/>
                <w:spacing w:val="7"/>
                <w:position w:val="-1"/>
              </w:rPr>
              <w:t>3</w:t>
            </w:r>
          </w:p>
        </w:tc>
        <w:tc>
          <w:tcPr>
            <w:tcW w:w="1238" w:type="dxa"/>
            <w:vAlign w:val="top"/>
          </w:tcPr>
          <w:p>
            <w:pPr>
              <w:ind w:left="334"/>
              <w:spacing w:before="11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0.0248</w:t>
            </w:r>
          </w:p>
        </w:tc>
      </w:tr>
      <w:tr>
        <w:trPr>
          <w:trHeight w:val="321" w:hRule="atLeast"/>
        </w:trPr>
        <w:tc>
          <w:tcPr>
            <w:tcW w:w="1836" w:type="dxa"/>
            <w:vAlign w:val="top"/>
            <w:gridSpan w:val="2"/>
            <w:vMerge w:val="continue"/>
            <w:tcBorders>
              <w:top w:val="nil"/>
            </w:tcBorders>
          </w:tcPr>
          <w:p>
            <w:pPr>
              <w:rPr>
                <w:rFonts w:ascii="Arial"/>
                <w:sz w:val="21"/>
              </w:rPr>
            </w:pPr>
            <w:r/>
          </w:p>
        </w:tc>
        <w:tc>
          <w:tcPr>
            <w:tcW w:w="5544" w:type="dxa"/>
            <w:vAlign w:val="top"/>
            <w:gridSpan w:val="4"/>
          </w:tcPr>
          <w:p>
            <w:pPr>
              <w:ind w:left="2605"/>
              <w:spacing w:before="91"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1238" w:type="dxa"/>
            <w:vAlign w:val="top"/>
          </w:tcPr>
          <w:p>
            <w:pPr>
              <w:ind w:left="28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0.00171</w:t>
            </w:r>
          </w:p>
        </w:tc>
      </w:tr>
    </w:tbl>
    <w:p>
      <w:pPr>
        <w:ind w:left="386"/>
        <w:spacing w:before="195"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）大气污染物年排放量核算</w:t>
      </w:r>
    </w:p>
    <w:p>
      <w:pPr>
        <w:ind w:left="497"/>
        <w:spacing w:before="216" w:line="219" w:lineRule="auto"/>
        <w:rPr>
          <w:rFonts w:ascii="SimSun" w:hAnsi="SimSun" w:eastAsia="SimSun" w:cs="SimSun"/>
          <w:sz w:val="24"/>
          <w:szCs w:val="24"/>
        </w:rPr>
      </w:pPr>
      <w:r>
        <w:rPr>
          <w:rFonts w:ascii="SimSun" w:hAnsi="SimSun" w:eastAsia="SimSun" w:cs="SimSun"/>
          <w:sz w:val="24"/>
          <w:szCs w:val="24"/>
          <w:spacing w:val="-2"/>
        </w:rPr>
        <w:t>大气污染物年排放量核算见表</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2"/>
        </w:rPr>
        <w:t>5.1-16</w:t>
      </w:r>
      <w:r>
        <w:rPr>
          <w:rFonts w:ascii="SimSun" w:hAnsi="SimSun" w:eastAsia="SimSun" w:cs="SimSun"/>
          <w:sz w:val="24"/>
          <w:szCs w:val="24"/>
          <w:spacing w:val="-2"/>
        </w:rPr>
        <w:t>。</w:t>
      </w:r>
    </w:p>
    <w:p>
      <w:pPr>
        <w:ind w:left="2178"/>
        <w:spacing w:before="211"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5.1-16      </w:t>
      </w:r>
      <w:r>
        <w:rPr>
          <w:rFonts w:ascii="SimSun" w:hAnsi="SimSun" w:eastAsia="SimSun" w:cs="SimSun"/>
          <w:sz w:val="24"/>
          <w:szCs w:val="24"/>
          <w:b/>
          <w:bCs/>
          <w:spacing w:val="-2"/>
        </w:rPr>
        <w:t>大气污染物年排放量核算表</w:t>
      </w:r>
    </w:p>
    <w:tbl>
      <w:tblPr>
        <w:tblStyle w:val="TableNormal"/>
        <w:tblW w:w="853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145"/>
        <w:gridCol w:w="2783"/>
        <w:gridCol w:w="3605"/>
      </w:tblGrid>
      <w:tr>
        <w:trPr>
          <w:trHeight w:val="405" w:hRule="atLeast"/>
        </w:trPr>
        <w:tc>
          <w:tcPr>
            <w:tcW w:w="2145" w:type="dxa"/>
            <w:vAlign w:val="top"/>
          </w:tcPr>
          <w:p>
            <w:pPr>
              <w:pStyle w:val="TableText"/>
              <w:ind w:left="866"/>
              <w:spacing w:before="99" w:line="229" w:lineRule="auto"/>
              <w:rPr/>
            </w:pPr>
            <w:r>
              <w:rPr>
                <w:spacing w:val="5"/>
              </w:rPr>
              <w:t>序号</w:t>
            </w:r>
          </w:p>
        </w:tc>
        <w:tc>
          <w:tcPr>
            <w:tcW w:w="2783" w:type="dxa"/>
            <w:vAlign w:val="top"/>
          </w:tcPr>
          <w:p>
            <w:pPr>
              <w:pStyle w:val="TableText"/>
              <w:ind w:left="1083"/>
              <w:spacing w:before="99" w:line="228" w:lineRule="auto"/>
              <w:rPr/>
            </w:pPr>
            <w:r>
              <w:rPr>
                <w:spacing w:val="6"/>
              </w:rPr>
              <w:t>污染物</w:t>
            </w:r>
          </w:p>
        </w:tc>
        <w:tc>
          <w:tcPr>
            <w:tcW w:w="3605" w:type="dxa"/>
            <w:vAlign w:val="top"/>
          </w:tcPr>
          <w:p>
            <w:pPr>
              <w:pStyle w:val="TableText"/>
              <w:ind w:left="1155"/>
              <w:spacing w:before="98" w:line="228" w:lineRule="auto"/>
              <w:rPr>
                <w:rFonts w:ascii="Times New Roman" w:hAnsi="Times New Roman" w:eastAsia="Times New Roman" w:cs="Times New Roman"/>
              </w:rPr>
            </w:pPr>
            <w:r>
              <w:rPr>
                <w:spacing w:val="5"/>
              </w:rPr>
              <w:t>核算年放量</w:t>
            </w:r>
            <w:r>
              <w:rPr>
                <w:spacing w:val="-43"/>
              </w:rPr>
              <w:t xml:space="preserve"> </w:t>
            </w:r>
            <w:r>
              <w:rPr>
                <w:rFonts w:ascii="Times New Roman" w:hAnsi="Times New Roman" w:eastAsia="Times New Roman" w:cs="Times New Roman"/>
                <w:spacing w:val="5"/>
              </w:rPr>
              <w:t>t/a</w:t>
            </w:r>
          </w:p>
        </w:tc>
      </w:tr>
      <w:tr>
        <w:trPr>
          <w:trHeight w:val="359" w:hRule="atLeast"/>
        </w:trPr>
        <w:tc>
          <w:tcPr>
            <w:tcW w:w="2145" w:type="dxa"/>
            <w:vAlign w:val="top"/>
          </w:tcPr>
          <w:p>
            <w:pPr>
              <w:ind w:left="1042"/>
              <w:spacing w:before="10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783" w:type="dxa"/>
            <w:vAlign w:val="top"/>
          </w:tcPr>
          <w:p>
            <w:pPr>
              <w:pStyle w:val="TableText"/>
              <w:ind w:left="1081"/>
              <w:spacing w:before="73" w:line="228" w:lineRule="auto"/>
              <w:rPr/>
            </w:pPr>
            <w:r>
              <w:rPr>
                <w:spacing w:val="7"/>
              </w:rPr>
              <w:t>颗粒物</w:t>
            </w:r>
          </w:p>
        </w:tc>
        <w:tc>
          <w:tcPr>
            <w:tcW w:w="3605" w:type="dxa"/>
            <w:vAlign w:val="top"/>
          </w:tcPr>
          <w:p>
            <w:pPr>
              <w:ind w:left="1519"/>
              <w:spacing w:before="1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0.2216</w:t>
            </w:r>
          </w:p>
        </w:tc>
      </w:tr>
      <w:tr>
        <w:trPr>
          <w:trHeight w:val="316" w:hRule="atLeast"/>
        </w:trPr>
        <w:tc>
          <w:tcPr>
            <w:tcW w:w="2145" w:type="dxa"/>
            <w:vAlign w:val="top"/>
          </w:tcPr>
          <w:p>
            <w:pPr>
              <w:ind w:left="1022"/>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783" w:type="dxa"/>
            <w:vAlign w:val="top"/>
          </w:tcPr>
          <w:p>
            <w:pPr>
              <w:ind w:left="1200"/>
              <w:spacing w:before="91" w:line="20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3605" w:type="dxa"/>
            <w:vAlign w:val="top"/>
          </w:tcPr>
          <w:p>
            <w:pPr>
              <w:ind w:left="1519"/>
              <w:spacing w:before="8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0.2818</w:t>
            </w:r>
          </w:p>
        </w:tc>
      </w:tr>
      <w:tr>
        <w:trPr>
          <w:trHeight w:val="316" w:hRule="atLeast"/>
        </w:trPr>
        <w:tc>
          <w:tcPr>
            <w:tcW w:w="2145" w:type="dxa"/>
            <w:vAlign w:val="top"/>
          </w:tcPr>
          <w:p>
            <w:pPr>
              <w:ind w:left="102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2783" w:type="dxa"/>
            <w:vAlign w:val="top"/>
          </w:tcPr>
          <w:p>
            <w:pPr>
              <w:ind w:left="1223"/>
              <w:spacing w:before="91" w:line="20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3605" w:type="dxa"/>
            <w:vAlign w:val="top"/>
          </w:tcPr>
          <w:p>
            <w:pPr>
              <w:ind w:left="1466"/>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0.01711</w:t>
            </w:r>
          </w:p>
        </w:tc>
      </w:tr>
      <w:tr>
        <w:trPr>
          <w:trHeight w:val="316" w:hRule="atLeast"/>
        </w:trPr>
        <w:tc>
          <w:tcPr>
            <w:tcW w:w="2145" w:type="dxa"/>
            <w:vAlign w:val="top"/>
          </w:tcPr>
          <w:p>
            <w:pPr>
              <w:ind w:left="1021"/>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2783" w:type="dxa"/>
            <w:vAlign w:val="top"/>
          </w:tcPr>
          <w:p>
            <w:pPr>
              <w:ind w:left="1233"/>
              <w:spacing w:before="91"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3"/>
                <w:position w:val="-1"/>
              </w:rPr>
              <w:t>2</w:t>
            </w:r>
          </w:p>
        </w:tc>
        <w:tc>
          <w:tcPr>
            <w:tcW w:w="3605" w:type="dxa"/>
            <w:vAlign w:val="top"/>
          </w:tcPr>
          <w:p>
            <w:pPr>
              <w:ind w:left="1572"/>
              <w:spacing w:before="9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5.815</w:t>
            </w:r>
          </w:p>
        </w:tc>
      </w:tr>
      <w:tr>
        <w:trPr>
          <w:trHeight w:val="321" w:hRule="atLeast"/>
        </w:trPr>
        <w:tc>
          <w:tcPr>
            <w:tcW w:w="2145" w:type="dxa"/>
            <w:vAlign w:val="top"/>
          </w:tcPr>
          <w:p>
            <w:pPr>
              <w:ind w:left="1028"/>
              <w:spacing w:before="9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2783" w:type="dxa"/>
            <w:vAlign w:val="top"/>
          </w:tcPr>
          <w:p>
            <w:pPr>
              <w:ind w:left="1181"/>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NOx</w:t>
            </w:r>
          </w:p>
        </w:tc>
        <w:tc>
          <w:tcPr>
            <w:tcW w:w="3605" w:type="dxa"/>
            <w:vAlign w:val="top"/>
          </w:tcPr>
          <w:p>
            <w:pPr>
              <w:ind w:left="1572"/>
              <w:spacing w:before="9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5.038</w:t>
            </w:r>
          </w:p>
        </w:tc>
      </w:tr>
    </w:tbl>
    <w:p>
      <w:pPr>
        <w:ind w:left="13"/>
        <w:spacing w:before="195" w:line="218"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5.1.2.3 </w:t>
      </w:r>
      <w:r>
        <w:rPr>
          <w:rFonts w:ascii="SimSun" w:hAnsi="SimSun" w:eastAsia="SimSun" w:cs="SimSun"/>
          <w:sz w:val="24"/>
          <w:szCs w:val="24"/>
          <w:b/>
          <w:bCs/>
          <w:spacing w:val="-2"/>
        </w:rPr>
        <w:t>大气环境影响评价结论</w:t>
      </w:r>
    </w:p>
    <w:p>
      <w:pPr>
        <w:ind w:left="14" w:right="115" w:firstLine="476"/>
        <w:spacing w:before="214" w:line="387" w:lineRule="auto"/>
        <w:jc w:val="both"/>
        <w:rPr>
          <w:rFonts w:ascii="SimSun" w:hAnsi="SimSun" w:eastAsia="SimSun" w:cs="SimSun"/>
          <w:sz w:val="24"/>
          <w:szCs w:val="24"/>
        </w:rPr>
      </w:pPr>
      <w:r>
        <w:rPr>
          <w:rFonts w:ascii="SimSun" w:hAnsi="SimSun" w:eastAsia="SimSun" w:cs="SimSun"/>
          <w:sz w:val="24"/>
          <w:szCs w:val="24"/>
          <w:spacing w:val="3"/>
        </w:rPr>
        <w:t>本项目大气环境评价等级为二级，不进行进一步的预测与评价，根据</w:t>
      </w:r>
      <w:r>
        <w:rPr>
          <w:rFonts w:ascii="SimSun" w:hAnsi="SimSun" w:eastAsia="SimSun" w:cs="SimSun"/>
          <w:sz w:val="24"/>
          <w:szCs w:val="24"/>
          <w:spacing w:val="2"/>
        </w:rPr>
        <w:t>估算结</w:t>
      </w:r>
      <w:r>
        <w:rPr>
          <w:rFonts w:ascii="SimSun" w:hAnsi="SimSun" w:eastAsia="SimSun" w:cs="SimSun"/>
          <w:sz w:val="24"/>
          <w:szCs w:val="24"/>
        </w:rPr>
        <w:t xml:space="preserve"> </w:t>
      </w:r>
      <w:r>
        <w:rPr>
          <w:rFonts w:ascii="SimSun" w:hAnsi="SimSun" w:eastAsia="SimSun" w:cs="SimSun"/>
          <w:sz w:val="24"/>
          <w:szCs w:val="24"/>
          <w:spacing w:val="-3"/>
        </w:rPr>
        <w:t>果可知，本项目污染最大落地浓度占标率为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5.06%</w:t>
      </w:r>
      <w:r>
        <w:rPr>
          <w:rFonts w:ascii="SimSun" w:hAnsi="SimSun" w:eastAsia="SimSun" w:cs="SimSun"/>
          <w:sz w:val="24"/>
          <w:szCs w:val="24"/>
          <w:spacing w:val="-3"/>
        </w:rPr>
        <w:t>，对环境影响较小，</w:t>
      </w:r>
      <w:r>
        <w:rPr>
          <w:rFonts w:ascii="SimSun" w:hAnsi="SimSun" w:eastAsia="SimSun" w:cs="SimSun"/>
          <w:sz w:val="24"/>
          <w:szCs w:val="24"/>
          <w:spacing w:val="-4"/>
        </w:rPr>
        <w:t>本项目大气</w:t>
      </w:r>
      <w:r>
        <w:rPr>
          <w:rFonts w:ascii="SimSun" w:hAnsi="SimSun" w:eastAsia="SimSun" w:cs="SimSun"/>
          <w:sz w:val="24"/>
          <w:szCs w:val="24"/>
        </w:rPr>
        <w:t xml:space="preserve"> </w:t>
      </w:r>
      <w:r>
        <w:rPr>
          <w:rFonts w:ascii="SimSun" w:hAnsi="SimSun" w:eastAsia="SimSun" w:cs="SimSun"/>
          <w:sz w:val="24"/>
          <w:szCs w:val="24"/>
          <w:spacing w:val="-2"/>
        </w:rPr>
        <w:t>环境影响可以接受。</w:t>
      </w:r>
    </w:p>
    <w:p>
      <w:pPr>
        <w:ind w:left="18"/>
        <w:spacing w:before="125" w:line="222" w:lineRule="auto"/>
        <w:outlineLvl w:val="2"/>
        <w:rPr>
          <w:rFonts w:ascii="SimHei" w:hAnsi="SimHei" w:eastAsia="SimHei" w:cs="SimHei"/>
          <w:sz w:val="28"/>
          <w:szCs w:val="28"/>
        </w:rPr>
      </w:pPr>
      <w:bookmarkStart w:name="bookmark91" w:id="115"/>
      <w:bookmarkEnd w:id="115"/>
      <w:r>
        <w:rPr>
          <w:rFonts w:ascii="Times New Roman" w:hAnsi="Times New Roman" w:eastAsia="Times New Roman" w:cs="Times New Roman"/>
          <w:sz w:val="28"/>
          <w:szCs w:val="28"/>
          <w:spacing w:val="-1"/>
        </w:rPr>
        <w:t>5.1.3 </w:t>
      </w:r>
      <w:r>
        <w:rPr>
          <w:rFonts w:ascii="SimHei" w:hAnsi="SimHei" w:eastAsia="SimHei" w:cs="SimHei"/>
          <w:sz w:val="28"/>
          <w:szCs w:val="28"/>
          <w:spacing w:val="-1"/>
        </w:rPr>
        <w:t>大气环境影响自查表</w:t>
      </w:r>
    </w:p>
    <w:p>
      <w:pPr>
        <w:ind w:left="486"/>
        <w:spacing w:before="308" w:line="218" w:lineRule="auto"/>
        <w:rPr>
          <w:rFonts w:ascii="SimSun" w:hAnsi="SimSun" w:eastAsia="SimSun" w:cs="SimSun"/>
          <w:sz w:val="24"/>
          <w:szCs w:val="24"/>
        </w:rPr>
      </w:pPr>
      <w:r>
        <w:rPr>
          <w:rFonts w:ascii="SimSun" w:hAnsi="SimSun" w:eastAsia="SimSun" w:cs="SimSun"/>
          <w:sz w:val="24"/>
          <w:szCs w:val="24"/>
          <w:spacing w:val="-1"/>
        </w:rPr>
        <w:t>本建设项目大气环境影响评价自查表见表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5.1-17</w:t>
      </w:r>
      <w:r>
        <w:rPr>
          <w:rFonts w:ascii="SimSun" w:hAnsi="SimSun" w:eastAsia="SimSun" w:cs="SimSun"/>
          <w:sz w:val="24"/>
          <w:szCs w:val="24"/>
          <w:spacing w:val="-1"/>
        </w:rPr>
        <w:t>。</w:t>
      </w:r>
    </w:p>
    <w:p>
      <w:pPr>
        <w:ind w:left="2298"/>
        <w:spacing w:before="184"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5.1-17      </w:t>
      </w:r>
      <w:r>
        <w:rPr>
          <w:rFonts w:ascii="SimSun" w:hAnsi="SimSun" w:eastAsia="SimSun" w:cs="SimSun"/>
          <w:sz w:val="24"/>
          <w:szCs w:val="24"/>
          <w:b/>
          <w:bCs/>
          <w:spacing w:val="-2"/>
        </w:rPr>
        <w:t>项目大气环境影响评价自查表</w:t>
      </w:r>
    </w:p>
    <w:tbl>
      <w:tblPr>
        <w:tblStyle w:val="TableNormal"/>
        <w:tblW w:w="8473" w:type="dxa"/>
        <w:tblInd w:w="19"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35"/>
        <w:gridCol w:w="1618"/>
        <w:gridCol w:w="2155"/>
        <w:gridCol w:w="2184"/>
        <w:gridCol w:w="769"/>
        <w:gridCol w:w="1012"/>
      </w:tblGrid>
      <w:tr>
        <w:trPr>
          <w:trHeight w:val="311" w:hRule="atLeast"/>
        </w:trPr>
        <w:tc>
          <w:tcPr>
            <w:tcW w:w="2353" w:type="dxa"/>
            <w:vAlign w:val="top"/>
            <w:gridSpan w:val="2"/>
          </w:tcPr>
          <w:p>
            <w:pPr>
              <w:pStyle w:val="TableText"/>
              <w:ind w:left="822"/>
              <w:spacing w:before="90" w:line="216" w:lineRule="auto"/>
              <w:rPr>
                <w:sz w:val="18"/>
                <w:szCs w:val="18"/>
              </w:rPr>
            </w:pPr>
            <w:r>
              <w:rPr>
                <w:sz w:val="18"/>
                <w:szCs w:val="18"/>
                <w:spacing w:val="-3"/>
              </w:rPr>
              <w:t>工作内容</w:t>
            </w:r>
          </w:p>
        </w:tc>
        <w:tc>
          <w:tcPr>
            <w:tcW w:w="6120" w:type="dxa"/>
            <w:vAlign w:val="top"/>
            <w:gridSpan w:val="4"/>
          </w:tcPr>
          <w:p>
            <w:pPr>
              <w:pStyle w:val="TableText"/>
              <w:ind w:left="2733"/>
              <w:spacing w:before="90" w:line="216" w:lineRule="auto"/>
              <w:rPr>
                <w:sz w:val="18"/>
                <w:szCs w:val="18"/>
              </w:rPr>
            </w:pPr>
            <w:r>
              <w:rPr>
                <w:sz w:val="18"/>
                <w:szCs w:val="18"/>
                <w:spacing w:val="-10"/>
              </w:rPr>
              <w:t>自查项目</w:t>
            </w:r>
          </w:p>
        </w:tc>
      </w:tr>
      <w:tr>
        <w:trPr>
          <w:trHeight w:val="306" w:hRule="atLeast"/>
        </w:trPr>
        <w:tc>
          <w:tcPr>
            <w:tcW w:w="735" w:type="dxa"/>
            <w:vAlign w:val="top"/>
            <w:vMerge w:val="restart"/>
            <w:tcBorders>
              <w:bottom w:val="nil"/>
            </w:tcBorders>
          </w:tcPr>
          <w:p>
            <w:pPr>
              <w:pStyle w:val="TableText"/>
              <w:ind w:left="104" w:right="5" w:hanging="93"/>
              <w:spacing w:before="91" w:line="265" w:lineRule="auto"/>
              <w:rPr>
                <w:sz w:val="18"/>
                <w:szCs w:val="18"/>
              </w:rPr>
            </w:pPr>
            <w:r>
              <w:rPr>
                <w:sz w:val="18"/>
                <w:szCs w:val="18"/>
                <w:spacing w:val="-2"/>
              </w:rPr>
              <w:t>评价等级</w:t>
            </w:r>
            <w:r>
              <w:rPr>
                <w:sz w:val="18"/>
                <w:szCs w:val="18"/>
              </w:rPr>
              <w:t xml:space="preserve"> </w:t>
            </w:r>
            <w:r>
              <w:rPr>
                <w:sz w:val="18"/>
                <w:szCs w:val="18"/>
                <w:spacing w:val="-4"/>
              </w:rPr>
              <w:t>与范围</w:t>
            </w:r>
          </w:p>
        </w:tc>
        <w:tc>
          <w:tcPr>
            <w:tcW w:w="1618" w:type="dxa"/>
            <w:vAlign w:val="top"/>
          </w:tcPr>
          <w:p>
            <w:pPr>
              <w:pStyle w:val="TableText"/>
              <w:ind w:left="449"/>
              <w:spacing w:before="86" w:line="215" w:lineRule="auto"/>
              <w:rPr>
                <w:sz w:val="18"/>
                <w:szCs w:val="18"/>
              </w:rPr>
            </w:pPr>
            <w:r>
              <w:rPr>
                <w:sz w:val="18"/>
                <w:szCs w:val="18"/>
                <w:spacing w:val="-2"/>
              </w:rPr>
              <w:t>评价等级</w:t>
            </w:r>
          </w:p>
        </w:tc>
        <w:tc>
          <w:tcPr>
            <w:tcW w:w="2155" w:type="dxa"/>
            <w:vAlign w:val="top"/>
          </w:tcPr>
          <w:p>
            <w:pPr>
              <w:pStyle w:val="TableText"/>
              <w:ind w:left="825"/>
              <w:spacing w:before="86" w:line="163" w:lineRule="auto"/>
              <w:rPr>
                <w:rFonts w:ascii="Microsoft YaHei" w:hAnsi="Microsoft YaHei" w:eastAsia="Microsoft YaHei" w:cs="Microsoft YaHei"/>
                <w:sz w:val="18"/>
                <w:szCs w:val="18"/>
              </w:rPr>
            </w:pPr>
            <w:r>
              <w:rPr>
                <w:sz w:val="18"/>
                <w:szCs w:val="18"/>
                <w:spacing w:val="11"/>
              </w:rPr>
              <w:t>一级</w:t>
            </w:r>
            <w:r>
              <w:rPr>
                <w:rFonts w:ascii="Microsoft YaHei" w:hAnsi="Microsoft YaHei" w:eastAsia="Microsoft YaHei" w:cs="Microsoft YaHei"/>
                <w:sz w:val="18"/>
                <w:szCs w:val="18"/>
                <w:spacing w:val="11"/>
              </w:rPr>
              <w:t>□</w:t>
            </w:r>
          </w:p>
        </w:tc>
        <w:tc>
          <w:tcPr>
            <w:tcW w:w="2184" w:type="dxa"/>
            <w:vAlign w:val="top"/>
          </w:tcPr>
          <w:p>
            <w:pPr>
              <w:pStyle w:val="TableText"/>
              <w:ind w:left="839"/>
              <w:spacing w:before="86" w:line="163" w:lineRule="auto"/>
              <w:rPr>
                <w:rFonts w:ascii="Microsoft YaHei" w:hAnsi="Microsoft YaHei" w:eastAsia="Microsoft YaHei" w:cs="Microsoft YaHei"/>
                <w:sz w:val="18"/>
                <w:szCs w:val="18"/>
              </w:rPr>
            </w:pPr>
            <w:r>
              <w:rPr>
                <w:sz w:val="18"/>
                <w:szCs w:val="18"/>
                <w:spacing w:val="-4"/>
              </w:rPr>
              <w:t>二级</w:t>
            </w:r>
            <w:r>
              <w:rPr>
                <w:rFonts w:ascii="Microsoft YaHei" w:hAnsi="Microsoft YaHei" w:eastAsia="Microsoft YaHei" w:cs="Microsoft YaHei"/>
                <w:sz w:val="18"/>
                <w:szCs w:val="18"/>
                <w:spacing w:val="-4"/>
              </w:rPr>
              <w:t>⑦</w:t>
            </w:r>
          </w:p>
        </w:tc>
        <w:tc>
          <w:tcPr>
            <w:tcW w:w="1781" w:type="dxa"/>
            <w:vAlign w:val="top"/>
            <w:gridSpan w:val="2"/>
          </w:tcPr>
          <w:p>
            <w:pPr>
              <w:pStyle w:val="TableText"/>
              <w:ind w:left="635"/>
              <w:spacing w:before="86" w:line="163" w:lineRule="auto"/>
              <w:rPr>
                <w:rFonts w:ascii="Microsoft YaHei" w:hAnsi="Microsoft YaHei" w:eastAsia="Microsoft YaHei" w:cs="Microsoft YaHei"/>
                <w:sz w:val="18"/>
                <w:szCs w:val="18"/>
              </w:rPr>
            </w:pPr>
            <w:r>
              <w:rPr>
                <w:sz w:val="18"/>
                <w:szCs w:val="18"/>
                <w:spacing w:val="11"/>
              </w:rPr>
              <w:t>三级</w:t>
            </w:r>
            <w:r>
              <w:rPr>
                <w:rFonts w:ascii="Microsoft YaHei" w:hAnsi="Microsoft YaHei" w:eastAsia="Microsoft YaHei" w:cs="Microsoft YaHei"/>
                <w:sz w:val="18"/>
                <w:szCs w:val="18"/>
                <w:spacing w:val="11"/>
              </w:rPr>
              <w:t>□</w:t>
            </w:r>
          </w:p>
        </w:tc>
      </w:tr>
      <w:tr>
        <w:trPr>
          <w:trHeight w:val="307" w:hRule="atLeast"/>
        </w:trPr>
        <w:tc>
          <w:tcPr>
            <w:tcW w:w="735" w:type="dxa"/>
            <w:vAlign w:val="top"/>
            <w:vMerge w:val="continue"/>
            <w:tcBorders>
              <w:top w:val="nil"/>
            </w:tcBorders>
          </w:tcPr>
          <w:p>
            <w:pPr>
              <w:rPr>
                <w:rFonts w:ascii="Arial"/>
                <w:sz w:val="21"/>
              </w:rPr>
            </w:pPr>
            <w:r/>
          </w:p>
        </w:tc>
        <w:tc>
          <w:tcPr>
            <w:tcW w:w="1618" w:type="dxa"/>
            <w:vAlign w:val="top"/>
          </w:tcPr>
          <w:p>
            <w:pPr>
              <w:pStyle w:val="TableText"/>
              <w:ind w:left="449"/>
              <w:spacing w:before="87" w:line="215" w:lineRule="auto"/>
              <w:rPr>
                <w:sz w:val="18"/>
                <w:szCs w:val="18"/>
              </w:rPr>
            </w:pPr>
            <w:r>
              <w:rPr>
                <w:sz w:val="18"/>
                <w:szCs w:val="18"/>
                <w:spacing w:val="-2"/>
              </w:rPr>
              <w:t>评级范围</w:t>
            </w:r>
          </w:p>
        </w:tc>
        <w:tc>
          <w:tcPr>
            <w:tcW w:w="2155" w:type="dxa"/>
            <w:vAlign w:val="top"/>
          </w:tcPr>
          <w:p>
            <w:pPr>
              <w:pStyle w:val="TableText"/>
              <w:ind w:left="643"/>
              <w:spacing w:before="54" w:line="243" w:lineRule="exact"/>
              <w:rPr>
                <w:rFonts w:ascii="Times New Roman" w:hAnsi="Times New Roman" w:eastAsia="Times New Roman" w:cs="Times New Roman"/>
                <w:sz w:val="18"/>
                <w:szCs w:val="18"/>
              </w:rPr>
            </w:pPr>
            <w:r>
              <w:rPr>
                <w:sz w:val="18"/>
                <w:szCs w:val="18"/>
                <w:spacing w:val="-1"/>
                <w:position w:val="1"/>
              </w:rPr>
              <w:t>边长</w:t>
            </w:r>
            <w:r>
              <w:rPr>
                <w:rFonts w:ascii="Times New Roman" w:hAnsi="Times New Roman" w:eastAsia="Times New Roman" w:cs="Times New Roman"/>
                <w:sz w:val="18"/>
                <w:szCs w:val="18"/>
                <w:spacing w:val="-1"/>
                <w:position w:val="1"/>
              </w:rPr>
              <w:t>=50km</w:t>
            </w:r>
          </w:p>
        </w:tc>
        <w:tc>
          <w:tcPr>
            <w:tcW w:w="2184" w:type="dxa"/>
            <w:vAlign w:val="top"/>
          </w:tcPr>
          <w:p>
            <w:pPr>
              <w:pStyle w:val="TableText"/>
              <w:ind w:left="504"/>
              <w:spacing w:before="87" w:line="163" w:lineRule="auto"/>
              <w:rPr>
                <w:rFonts w:ascii="Microsoft YaHei" w:hAnsi="Microsoft YaHei" w:eastAsia="Microsoft YaHei" w:cs="Microsoft YaHei"/>
                <w:sz w:val="18"/>
                <w:szCs w:val="18"/>
              </w:rPr>
            </w:pPr>
            <w:r>
              <w:rPr>
                <w:sz w:val="18"/>
                <w:szCs w:val="18"/>
                <w:spacing w:val="3"/>
              </w:rPr>
              <w:t>边长</w:t>
            </w:r>
            <w:r>
              <w:rPr>
                <w:sz w:val="18"/>
                <w:szCs w:val="18"/>
                <w:spacing w:val="-36"/>
              </w:rPr>
              <w:t xml:space="preserve"> </w:t>
            </w:r>
            <w:r>
              <w:rPr>
                <w:rFonts w:ascii="Times New Roman" w:hAnsi="Times New Roman" w:eastAsia="Times New Roman" w:cs="Times New Roman"/>
                <w:sz w:val="18"/>
                <w:szCs w:val="18"/>
                <w:spacing w:val="3"/>
              </w:rPr>
              <w:t>5--50</w:t>
            </w:r>
            <w:r>
              <w:rPr>
                <w:rFonts w:ascii="Times New Roman" w:hAnsi="Times New Roman" w:eastAsia="Times New Roman" w:cs="Times New Roman"/>
                <w:sz w:val="18"/>
                <w:szCs w:val="18"/>
              </w:rPr>
              <w:t>km</w:t>
            </w:r>
            <w:r>
              <w:rPr>
                <w:rFonts w:ascii="Microsoft YaHei" w:hAnsi="Microsoft YaHei" w:eastAsia="Microsoft YaHei" w:cs="Microsoft YaHei"/>
                <w:sz w:val="18"/>
                <w:szCs w:val="18"/>
                <w:spacing w:val="3"/>
              </w:rPr>
              <w:t>□</w:t>
            </w:r>
          </w:p>
        </w:tc>
        <w:tc>
          <w:tcPr>
            <w:tcW w:w="1781" w:type="dxa"/>
            <w:vAlign w:val="top"/>
            <w:gridSpan w:val="2"/>
          </w:tcPr>
          <w:p>
            <w:pPr>
              <w:pStyle w:val="TableText"/>
              <w:ind w:left="423"/>
              <w:spacing w:before="55" w:line="188" w:lineRule="auto"/>
              <w:rPr>
                <w:rFonts w:ascii="Microsoft YaHei" w:hAnsi="Microsoft YaHei" w:eastAsia="Microsoft YaHei" w:cs="Microsoft YaHei"/>
                <w:sz w:val="18"/>
                <w:szCs w:val="18"/>
              </w:rPr>
            </w:pPr>
            <w:r>
              <w:rPr>
                <w:sz w:val="18"/>
                <w:szCs w:val="18"/>
                <w:spacing w:val="-2"/>
              </w:rPr>
              <w:t>边长</w:t>
            </w:r>
            <w:r>
              <w:rPr>
                <w:rFonts w:ascii="Times New Roman" w:hAnsi="Times New Roman" w:eastAsia="Times New Roman" w:cs="Times New Roman"/>
                <w:sz w:val="18"/>
                <w:szCs w:val="18"/>
                <w:spacing w:val="-2"/>
              </w:rPr>
              <w:t>=5km</w:t>
            </w:r>
            <w:r>
              <w:rPr>
                <w:rFonts w:ascii="Microsoft YaHei" w:hAnsi="Microsoft YaHei" w:eastAsia="Microsoft YaHei" w:cs="Microsoft YaHei"/>
                <w:sz w:val="18"/>
                <w:szCs w:val="18"/>
                <w:spacing w:val="-2"/>
              </w:rPr>
              <w:t>⑦</w:t>
            </w:r>
          </w:p>
        </w:tc>
      </w:tr>
      <w:tr>
        <w:trPr>
          <w:trHeight w:val="306" w:hRule="atLeast"/>
        </w:trPr>
        <w:tc>
          <w:tcPr>
            <w:tcW w:w="735" w:type="dxa"/>
            <w:vAlign w:val="top"/>
            <w:vMerge w:val="restart"/>
            <w:tcBorders>
              <w:bottom w:val="nil"/>
            </w:tcBorders>
          </w:tcPr>
          <w:p>
            <w:pPr>
              <w:spacing w:line="333" w:lineRule="auto"/>
              <w:rPr>
                <w:rFonts w:ascii="Arial"/>
                <w:sz w:val="21"/>
              </w:rPr>
            </w:pPr>
            <w:r/>
          </w:p>
          <w:p>
            <w:pPr>
              <w:pStyle w:val="TableText"/>
              <w:ind w:left="11"/>
              <w:spacing w:before="59" w:line="218" w:lineRule="auto"/>
              <w:rPr>
                <w:sz w:val="18"/>
                <w:szCs w:val="18"/>
              </w:rPr>
            </w:pPr>
            <w:r>
              <w:rPr>
                <w:sz w:val="18"/>
                <w:szCs w:val="18"/>
                <w:spacing w:val="-2"/>
              </w:rPr>
              <w:t>评价因子</w:t>
            </w:r>
          </w:p>
        </w:tc>
        <w:tc>
          <w:tcPr>
            <w:tcW w:w="1618" w:type="dxa"/>
            <w:vAlign w:val="top"/>
          </w:tcPr>
          <w:p>
            <w:pPr>
              <w:pStyle w:val="TableText"/>
              <w:ind w:left="154"/>
              <w:spacing w:before="87" w:line="214" w:lineRule="auto"/>
              <w:rPr>
                <w:sz w:val="18"/>
                <w:szCs w:val="18"/>
              </w:rPr>
            </w:pPr>
            <w:r>
              <w:rPr>
                <w:rFonts w:ascii="Times New Roman" w:hAnsi="Times New Roman" w:eastAsia="Times New Roman" w:cs="Times New Roman"/>
                <w:sz w:val="18"/>
                <w:szCs w:val="18"/>
                <w:spacing w:val="-2"/>
              </w:rPr>
              <w:t>SO</w:t>
            </w:r>
            <w:r>
              <w:rPr>
                <w:rFonts w:ascii="Times New Roman" w:hAnsi="Times New Roman" w:eastAsia="Times New Roman" w:cs="Times New Roman"/>
                <w:sz w:val="11"/>
                <w:szCs w:val="11"/>
                <w:spacing w:val="-2"/>
                <w:position w:val="-1"/>
              </w:rPr>
              <w:t>2</w:t>
            </w:r>
            <w:r>
              <w:rPr>
                <w:rFonts w:ascii="Times New Roman" w:hAnsi="Times New Roman" w:eastAsia="Times New Roman" w:cs="Times New Roman"/>
                <w:sz w:val="18"/>
                <w:szCs w:val="18"/>
                <w:spacing w:val="-2"/>
              </w:rPr>
              <w:t>+ NO</w:t>
            </w:r>
            <w:r>
              <w:rPr>
                <w:rFonts w:ascii="Times New Roman" w:hAnsi="Times New Roman" w:eastAsia="Times New Roman" w:cs="Times New Roman"/>
                <w:sz w:val="11"/>
                <w:szCs w:val="11"/>
                <w:spacing w:val="-2"/>
                <w:position w:val="-1"/>
              </w:rPr>
              <w:t>x</w:t>
            </w:r>
            <w:r>
              <w:rPr>
                <w:rFonts w:ascii="Times New Roman" w:hAnsi="Times New Roman" w:eastAsia="Times New Roman" w:cs="Times New Roman"/>
                <w:sz w:val="11"/>
                <w:szCs w:val="11"/>
                <w:spacing w:val="15"/>
                <w:w w:val="102"/>
                <w:position w:val="-1"/>
              </w:rPr>
              <w:t xml:space="preserve"> </w:t>
            </w:r>
            <w:r>
              <w:rPr>
                <w:sz w:val="18"/>
                <w:szCs w:val="18"/>
                <w:spacing w:val="-2"/>
              </w:rPr>
              <w:t>排放量</w:t>
            </w:r>
          </w:p>
        </w:tc>
        <w:tc>
          <w:tcPr>
            <w:tcW w:w="2155" w:type="dxa"/>
            <w:vAlign w:val="top"/>
          </w:tcPr>
          <w:p>
            <w:pPr>
              <w:ind w:left="675"/>
              <w:spacing w:before="90" w:line="160" w:lineRule="auto"/>
              <w:rPr>
                <w:rFonts w:ascii="Microsoft YaHei" w:hAnsi="Microsoft YaHei" w:eastAsia="Microsoft YaHei" w:cs="Microsoft YaHei"/>
                <w:sz w:val="18"/>
                <w:szCs w:val="18"/>
              </w:rPr>
            </w:pPr>
            <w:r>
              <w:rPr>
                <w:rFonts w:ascii="Times New Roman" w:hAnsi="Times New Roman" w:eastAsia="Times New Roman" w:cs="Times New Roman"/>
                <w:sz w:val="18"/>
                <w:szCs w:val="18"/>
                <w:spacing w:val="4"/>
              </w:rPr>
              <w:t>≥2000t/a</w:t>
            </w:r>
            <w:r>
              <w:rPr>
                <w:rFonts w:ascii="Microsoft YaHei" w:hAnsi="Microsoft YaHei" w:eastAsia="Microsoft YaHei" w:cs="Microsoft YaHei"/>
                <w:sz w:val="18"/>
                <w:szCs w:val="18"/>
                <w:spacing w:val="4"/>
              </w:rPr>
              <w:t>□</w:t>
            </w:r>
          </w:p>
        </w:tc>
        <w:tc>
          <w:tcPr>
            <w:tcW w:w="2184" w:type="dxa"/>
            <w:vAlign w:val="top"/>
          </w:tcPr>
          <w:p>
            <w:pPr>
              <w:ind w:left="552"/>
              <w:spacing w:before="90" w:line="160" w:lineRule="auto"/>
              <w:rPr>
                <w:rFonts w:ascii="Microsoft YaHei" w:hAnsi="Microsoft YaHei" w:eastAsia="Microsoft YaHei" w:cs="Microsoft YaHei"/>
                <w:sz w:val="18"/>
                <w:szCs w:val="18"/>
              </w:rPr>
            </w:pPr>
            <w:r>
              <w:rPr>
                <w:rFonts w:ascii="Times New Roman" w:hAnsi="Times New Roman" w:eastAsia="Times New Roman" w:cs="Times New Roman"/>
                <w:sz w:val="18"/>
                <w:szCs w:val="18"/>
                <w:spacing w:val="2"/>
              </w:rPr>
              <w:t>500--2000t/a</w:t>
            </w:r>
            <w:r>
              <w:rPr>
                <w:rFonts w:ascii="Microsoft YaHei" w:hAnsi="Microsoft YaHei" w:eastAsia="Microsoft YaHei" w:cs="Microsoft YaHei"/>
                <w:sz w:val="18"/>
                <w:szCs w:val="18"/>
                <w:spacing w:val="2"/>
              </w:rPr>
              <w:t>□</w:t>
            </w:r>
          </w:p>
        </w:tc>
        <w:tc>
          <w:tcPr>
            <w:tcW w:w="1781" w:type="dxa"/>
            <w:vAlign w:val="top"/>
            <w:gridSpan w:val="2"/>
          </w:tcPr>
          <w:p>
            <w:pPr>
              <w:pStyle w:val="TableText"/>
              <w:ind w:left="514"/>
              <w:spacing w:before="87" w:line="162" w:lineRule="auto"/>
              <w:rPr>
                <w:rFonts w:ascii="Microsoft YaHei" w:hAnsi="Microsoft YaHei" w:eastAsia="Microsoft YaHei" w:cs="Microsoft YaHei"/>
                <w:sz w:val="18"/>
                <w:szCs w:val="18"/>
              </w:rPr>
            </w:pPr>
            <w:r>
              <w:rPr>
                <w:sz w:val="18"/>
                <w:szCs w:val="18"/>
                <w:spacing w:val="8"/>
              </w:rPr>
              <w:t>&lt;</w:t>
            </w:r>
            <w:r>
              <w:rPr>
                <w:rFonts w:ascii="Times New Roman" w:hAnsi="Times New Roman" w:eastAsia="Times New Roman" w:cs="Times New Roman"/>
                <w:sz w:val="18"/>
                <w:szCs w:val="18"/>
                <w:spacing w:val="8"/>
              </w:rPr>
              <w:t>500t/a</w:t>
            </w:r>
            <w:r>
              <w:rPr>
                <w:rFonts w:ascii="Microsoft YaHei" w:hAnsi="Microsoft YaHei" w:eastAsia="Microsoft YaHei" w:cs="Microsoft YaHei"/>
                <w:sz w:val="18"/>
                <w:szCs w:val="18"/>
                <w:spacing w:val="8"/>
              </w:rPr>
              <w:t>⑦</w:t>
            </w:r>
          </w:p>
        </w:tc>
      </w:tr>
      <w:tr>
        <w:trPr>
          <w:trHeight w:val="608" w:hRule="atLeast"/>
        </w:trPr>
        <w:tc>
          <w:tcPr>
            <w:tcW w:w="735" w:type="dxa"/>
            <w:vAlign w:val="top"/>
            <w:vMerge w:val="continue"/>
            <w:tcBorders>
              <w:top w:val="nil"/>
            </w:tcBorders>
          </w:tcPr>
          <w:p>
            <w:pPr>
              <w:rPr>
                <w:rFonts w:ascii="Arial"/>
                <w:sz w:val="21"/>
              </w:rPr>
            </w:pPr>
            <w:r/>
          </w:p>
        </w:tc>
        <w:tc>
          <w:tcPr>
            <w:tcW w:w="1618" w:type="dxa"/>
            <w:vAlign w:val="top"/>
          </w:tcPr>
          <w:p>
            <w:pPr>
              <w:pStyle w:val="TableText"/>
              <w:ind w:left="449"/>
              <w:spacing w:before="239" w:line="218" w:lineRule="auto"/>
              <w:rPr>
                <w:sz w:val="18"/>
                <w:szCs w:val="18"/>
              </w:rPr>
            </w:pPr>
            <w:r>
              <w:rPr>
                <w:sz w:val="18"/>
                <w:szCs w:val="18"/>
                <w:spacing w:val="-2"/>
              </w:rPr>
              <w:t>评价因子</w:t>
            </w:r>
          </w:p>
        </w:tc>
        <w:tc>
          <w:tcPr>
            <w:tcW w:w="4339" w:type="dxa"/>
            <w:vAlign w:val="top"/>
            <w:gridSpan w:val="2"/>
          </w:tcPr>
          <w:p>
            <w:pPr>
              <w:pStyle w:val="TableText"/>
              <w:spacing w:before="88" w:line="219" w:lineRule="auto"/>
              <w:jc w:val="right"/>
              <w:rPr>
                <w:sz w:val="18"/>
                <w:szCs w:val="18"/>
              </w:rPr>
            </w:pPr>
            <w:r>
              <w:rPr>
                <w:sz w:val="18"/>
                <w:szCs w:val="18"/>
                <w:spacing w:val="-3"/>
              </w:rPr>
              <w:t>基本污染物（</w:t>
            </w:r>
            <w:r>
              <w:rPr>
                <w:rFonts w:ascii="Times New Roman" w:hAnsi="Times New Roman" w:eastAsia="Times New Roman" w:cs="Times New Roman"/>
                <w:sz w:val="18"/>
                <w:szCs w:val="18"/>
                <w:spacing w:val="-3"/>
              </w:rPr>
              <w:t>SO</w:t>
            </w:r>
            <w:r>
              <w:rPr>
                <w:rFonts w:ascii="Times New Roman" w:hAnsi="Times New Roman" w:eastAsia="Times New Roman" w:cs="Times New Roman"/>
                <w:sz w:val="11"/>
                <w:szCs w:val="11"/>
                <w:spacing w:val="-3"/>
                <w:position w:val="-1"/>
              </w:rPr>
              <w:t>2</w:t>
            </w:r>
            <w:r>
              <w:rPr>
                <w:rFonts w:ascii="Times New Roman" w:hAnsi="Times New Roman" w:eastAsia="Times New Roman" w:cs="Times New Roman"/>
                <w:sz w:val="11"/>
                <w:szCs w:val="11"/>
                <w:spacing w:val="-8"/>
                <w:position w:val="-1"/>
              </w:rPr>
              <w:t xml:space="preserve"> </w:t>
            </w:r>
            <w:r>
              <w:rPr>
                <w:sz w:val="18"/>
                <w:szCs w:val="18"/>
                <w:spacing w:val="-3"/>
              </w:rPr>
              <w:t>、</w:t>
            </w:r>
            <w:r>
              <w:rPr>
                <w:rFonts w:ascii="Times New Roman" w:hAnsi="Times New Roman" w:eastAsia="Times New Roman" w:cs="Times New Roman"/>
                <w:sz w:val="18"/>
                <w:szCs w:val="18"/>
                <w:spacing w:val="-3"/>
              </w:rPr>
              <w:t>NO</w:t>
            </w:r>
            <w:r>
              <w:rPr>
                <w:rFonts w:ascii="Times New Roman" w:hAnsi="Times New Roman" w:eastAsia="Times New Roman" w:cs="Times New Roman"/>
                <w:sz w:val="11"/>
                <w:szCs w:val="11"/>
                <w:spacing w:val="-3"/>
                <w:position w:val="-1"/>
              </w:rPr>
              <w:t>x</w:t>
            </w:r>
            <w:r>
              <w:rPr>
                <w:rFonts w:ascii="Times New Roman" w:hAnsi="Times New Roman" w:eastAsia="Times New Roman" w:cs="Times New Roman"/>
                <w:sz w:val="11"/>
                <w:szCs w:val="11"/>
                <w:spacing w:val="-8"/>
                <w:position w:val="-1"/>
              </w:rPr>
              <w:t xml:space="preserve"> </w:t>
            </w:r>
            <w:r>
              <w:rPr>
                <w:sz w:val="18"/>
                <w:szCs w:val="18"/>
                <w:spacing w:val="-3"/>
              </w:rPr>
              <w:t>、</w:t>
            </w:r>
            <w:r>
              <w:rPr>
                <w:rFonts w:ascii="Times New Roman" w:hAnsi="Times New Roman" w:eastAsia="Times New Roman" w:cs="Times New Roman"/>
                <w:sz w:val="18"/>
                <w:szCs w:val="18"/>
                <w:spacing w:val="-3"/>
              </w:rPr>
              <w:t>PM</w:t>
            </w:r>
            <w:r>
              <w:rPr>
                <w:rFonts w:ascii="Times New Roman" w:hAnsi="Times New Roman" w:eastAsia="Times New Roman" w:cs="Times New Roman"/>
                <w:sz w:val="11"/>
                <w:szCs w:val="11"/>
                <w:spacing w:val="-3"/>
                <w:position w:val="-1"/>
              </w:rPr>
              <w:t>10</w:t>
            </w:r>
            <w:r>
              <w:rPr>
                <w:rFonts w:ascii="Times New Roman" w:hAnsi="Times New Roman" w:eastAsia="Times New Roman" w:cs="Times New Roman"/>
                <w:sz w:val="11"/>
                <w:szCs w:val="11"/>
                <w:spacing w:val="-5"/>
                <w:position w:val="-1"/>
              </w:rPr>
              <w:t xml:space="preserve"> </w:t>
            </w:r>
            <w:r>
              <w:rPr>
                <w:sz w:val="18"/>
                <w:szCs w:val="18"/>
                <w:spacing w:val="-3"/>
              </w:rPr>
              <w:t>、</w:t>
            </w:r>
            <w:r>
              <w:rPr>
                <w:rFonts w:ascii="Times New Roman" w:hAnsi="Times New Roman" w:eastAsia="Times New Roman" w:cs="Times New Roman"/>
                <w:sz w:val="18"/>
                <w:szCs w:val="18"/>
                <w:spacing w:val="-3"/>
              </w:rPr>
              <w:t>PM</w:t>
            </w:r>
            <w:r>
              <w:rPr>
                <w:rFonts w:ascii="Times New Roman" w:hAnsi="Times New Roman" w:eastAsia="Times New Roman" w:cs="Times New Roman"/>
                <w:sz w:val="11"/>
                <w:szCs w:val="11"/>
                <w:spacing w:val="-4"/>
                <w:position w:val="-1"/>
              </w:rPr>
              <w:t>2.5</w:t>
            </w:r>
            <w:r>
              <w:rPr>
                <w:rFonts w:ascii="Times New Roman" w:hAnsi="Times New Roman" w:eastAsia="Times New Roman" w:cs="Times New Roman"/>
                <w:sz w:val="11"/>
                <w:szCs w:val="11"/>
                <w:spacing w:val="-8"/>
                <w:position w:val="-1"/>
              </w:rPr>
              <w:t xml:space="preserve"> </w:t>
            </w:r>
            <w:r>
              <w:rPr>
                <w:sz w:val="18"/>
                <w:szCs w:val="18"/>
                <w:spacing w:val="-4"/>
              </w:rPr>
              <w:t>、</w:t>
            </w:r>
            <w:r>
              <w:rPr>
                <w:rFonts w:ascii="Times New Roman" w:hAnsi="Times New Roman" w:eastAsia="Times New Roman" w:cs="Times New Roman"/>
                <w:sz w:val="18"/>
                <w:szCs w:val="18"/>
                <w:spacing w:val="-4"/>
              </w:rPr>
              <w:t>CO</w:t>
            </w:r>
            <w:r>
              <w:rPr>
                <w:rFonts w:ascii="Times New Roman" w:hAnsi="Times New Roman" w:eastAsia="Times New Roman" w:cs="Times New Roman"/>
                <w:sz w:val="18"/>
                <w:szCs w:val="18"/>
                <w:spacing w:val="-26"/>
              </w:rPr>
              <w:t xml:space="preserve"> </w:t>
            </w:r>
            <w:r>
              <w:rPr>
                <w:sz w:val="18"/>
                <w:szCs w:val="18"/>
                <w:spacing w:val="-4"/>
              </w:rPr>
              <w:t>、</w:t>
            </w:r>
            <w:r>
              <w:rPr>
                <w:rFonts w:ascii="Times New Roman" w:hAnsi="Times New Roman" w:eastAsia="Times New Roman" w:cs="Times New Roman"/>
                <w:sz w:val="18"/>
                <w:szCs w:val="18"/>
                <w:spacing w:val="-4"/>
              </w:rPr>
              <w:t>O</w:t>
            </w:r>
            <w:r>
              <w:rPr>
                <w:rFonts w:ascii="Times New Roman" w:hAnsi="Times New Roman" w:eastAsia="Times New Roman" w:cs="Times New Roman"/>
                <w:sz w:val="11"/>
                <w:szCs w:val="11"/>
                <w:spacing w:val="-4"/>
                <w:position w:val="-1"/>
              </w:rPr>
              <w:t>3 </w:t>
            </w:r>
            <w:r>
              <w:rPr>
                <w:sz w:val="18"/>
                <w:szCs w:val="18"/>
                <w:spacing w:val="-10"/>
              </w:rPr>
              <w:t>），</w:t>
            </w:r>
            <w:r>
              <w:rPr>
                <w:sz w:val="18"/>
                <w:szCs w:val="18"/>
                <w:spacing w:val="-4"/>
              </w:rPr>
              <w:t>其</w:t>
            </w:r>
          </w:p>
          <w:p>
            <w:pPr>
              <w:pStyle w:val="TableText"/>
              <w:ind w:left="546"/>
              <w:spacing w:before="88" w:line="213" w:lineRule="auto"/>
              <w:rPr>
                <w:sz w:val="18"/>
                <w:szCs w:val="18"/>
              </w:rPr>
            </w:pPr>
            <w:r>
              <w:rPr>
                <w:sz w:val="18"/>
                <w:szCs w:val="18"/>
                <w:spacing w:val="-3"/>
              </w:rPr>
              <w:t>他污染物（</w:t>
            </w:r>
            <w:r>
              <w:rPr>
                <w:rFonts w:ascii="Times New Roman" w:hAnsi="Times New Roman" w:eastAsia="Times New Roman" w:cs="Times New Roman"/>
                <w:sz w:val="18"/>
                <w:szCs w:val="18"/>
                <w:spacing w:val="-3"/>
              </w:rPr>
              <w:t>TSP</w:t>
            </w:r>
            <w:r>
              <w:rPr>
                <w:rFonts w:ascii="Times New Roman" w:hAnsi="Times New Roman" w:eastAsia="Times New Roman" w:cs="Times New Roman"/>
                <w:sz w:val="18"/>
                <w:szCs w:val="18"/>
                <w:spacing w:val="-23"/>
              </w:rPr>
              <w:t xml:space="preserve"> </w:t>
            </w:r>
            <w:r>
              <w:rPr>
                <w:sz w:val="18"/>
                <w:szCs w:val="18"/>
                <w:spacing w:val="-3"/>
              </w:rPr>
              <w:t>、</w:t>
            </w:r>
            <w:r>
              <w:rPr>
                <w:rFonts w:ascii="Times New Roman" w:hAnsi="Times New Roman" w:eastAsia="Times New Roman" w:cs="Times New Roman"/>
                <w:sz w:val="18"/>
                <w:szCs w:val="18"/>
                <w:spacing w:val="-3"/>
              </w:rPr>
              <w:t>H</w:t>
            </w:r>
            <w:r>
              <w:rPr>
                <w:rFonts w:ascii="Times New Roman" w:hAnsi="Times New Roman" w:eastAsia="Times New Roman" w:cs="Times New Roman"/>
                <w:sz w:val="11"/>
                <w:szCs w:val="11"/>
                <w:spacing w:val="-3"/>
                <w:position w:val="-1"/>
              </w:rPr>
              <w:t>2</w:t>
            </w:r>
            <w:r>
              <w:rPr>
                <w:rFonts w:ascii="Times New Roman" w:hAnsi="Times New Roman" w:eastAsia="Times New Roman" w:cs="Times New Roman"/>
                <w:sz w:val="18"/>
                <w:szCs w:val="18"/>
                <w:spacing w:val="-3"/>
              </w:rPr>
              <w:t>S</w:t>
            </w:r>
            <w:r>
              <w:rPr>
                <w:rFonts w:ascii="Times New Roman" w:hAnsi="Times New Roman" w:eastAsia="Times New Roman" w:cs="Times New Roman"/>
                <w:sz w:val="18"/>
                <w:szCs w:val="18"/>
                <w:spacing w:val="-25"/>
              </w:rPr>
              <w:t xml:space="preserve"> </w:t>
            </w:r>
            <w:r>
              <w:rPr>
                <w:sz w:val="18"/>
                <w:szCs w:val="18"/>
                <w:spacing w:val="-3"/>
              </w:rPr>
              <w:t>、</w:t>
            </w:r>
            <w:r>
              <w:rPr>
                <w:rFonts w:ascii="Times New Roman" w:hAnsi="Times New Roman" w:eastAsia="Times New Roman" w:cs="Times New Roman"/>
                <w:sz w:val="18"/>
                <w:szCs w:val="18"/>
                <w:spacing w:val="-3"/>
              </w:rPr>
              <w:t>NH</w:t>
            </w:r>
            <w:r>
              <w:rPr>
                <w:rFonts w:ascii="Times New Roman" w:hAnsi="Times New Roman" w:eastAsia="Times New Roman" w:cs="Times New Roman"/>
                <w:sz w:val="11"/>
                <w:szCs w:val="11"/>
                <w:spacing w:val="-3"/>
                <w:position w:val="-1"/>
              </w:rPr>
              <w:t>3</w:t>
            </w:r>
            <w:r>
              <w:rPr>
                <w:rFonts w:ascii="Times New Roman" w:hAnsi="Times New Roman" w:eastAsia="Times New Roman" w:cs="Times New Roman"/>
                <w:sz w:val="11"/>
                <w:szCs w:val="11"/>
                <w:spacing w:val="-8"/>
                <w:position w:val="-1"/>
              </w:rPr>
              <w:t xml:space="preserve"> </w:t>
            </w:r>
            <w:r>
              <w:rPr>
                <w:sz w:val="18"/>
                <w:szCs w:val="18"/>
                <w:spacing w:val="-3"/>
              </w:rPr>
              <w:t>、臭气浓度）</w:t>
            </w:r>
          </w:p>
        </w:tc>
        <w:tc>
          <w:tcPr>
            <w:tcW w:w="1781" w:type="dxa"/>
            <w:vAlign w:val="top"/>
            <w:gridSpan w:val="2"/>
          </w:tcPr>
          <w:p>
            <w:pPr>
              <w:pStyle w:val="TableText"/>
              <w:ind w:left="270" w:right="3" w:firstLine="177"/>
              <w:spacing w:before="88" w:line="198" w:lineRule="auto"/>
              <w:rPr>
                <w:rFonts w:ascii="Microsoft YaHei" w:hAnsi="Microsoft YaHei" w:eastAsia="Microsoft YaHei" w:cs="Microsoft YaHei"/>
                <w:sz w:val="18"/>
                <w:szCs w:val="18"/>
              </w:rPr>
            </w:pPr>
            <w:r>
              <w:rPr>
                <w:sz w:val="18"/>
                <w:szCs w:val="18"/>
                <w:spacing w:val="2"/>
              </w:rPr>
              <w:t>包括二次</w:t>
            </w:r>
            <w:r>
              <w:rPr>
                <w:sz w:val="18"/>
                <w:szCs w:val="18"/>
                <w:spacing w:val="-36"/>
              </w:rPr>
              <w:t xml:space="preserve"> </w:t>
            </w:r>
            <w:r>
              <w:rPr>
                <w:rFonts w:ascii="Times New Roman" w:hAnsi="Times New Roman" w:eastAsia="Times New Roman" w:cs="Times New Roman"/>
                <w:sz w:val="18"/>
                <w:szCs w:val="18"/>
              </w:rPr>
              <w:t>PM</w:t>
            </w:r>
            <w:r>
              <w:rPr>
                <w:rFonts w:ascii="Times New Roman" w:hAnsi="Times New Roman" w:eastAsia="Times New Roman" w:cs="Times New Roman"/>
                <w:sz w:val="11"/>
                <w:szCs w:val="11"/>
                <w:spacing w:val="2"/>
                <w:position w:val="-1"/>
              </w:rPr>
              <w:t>2.5</w:t>
            </w:r>
            <w:r>
              <w:rPr>
                <w:rFonts w:ascii="Times New Roman" w:hAnsi="Times New Roman" w:eastAsia="Times New Roman" w:cs="Times New Roman"/>
                <w:sz w:val="11"/>
                <w:szCs w:val="11"/>
                <w:spacing w:val="-9"/>
                <w:position w:val="-1"/>
              </w:rPr>
              <w:t xml:space="preserve"> </w:t>
            </w:r>
            <w:r>
              <w:rPr>
                <w:rFonts w:ascii="Microsoft YaHei" w:hAnsi="Microsoft YaHei" w:eastAsia="Microsoft YaHei" w:cs="Microsoft YaHei"/>
                <w:sz w:val="18"/>
                <w:szCs w:val="18"/>
                <w:spacing w:val="2"/>
              </w:rPr>
              <w:t>□</w:t>
            </w:r>
            <w:r>
              <w:rPr>
                <w:rFonts w:ascii="Microsoft YaHei" w:hAnsi="Microsoft YaHei" w:eastAsia="Microsoft YaHei" w:cs="Microsoft YaHei"/>
                <w:sz w:val="18"/>
                <w:szCs w:val="18"/>
              </w:rPr>
              <w:t xml:space="preserve"> </w:t>
            </w:r>
            <w:r>
              <w:rPr>
                <w:sz w:val="18"/>
                <w:szCs w:val="18"/>
                <w:spacing w:val="-3"/>
              </w:rPr>
              <w:t>不包括二次</w:t>
            </w:r>
            <w:r>
              <w:rPr>
                <w:sz w:val="18"/>
                <w:szCs w:val="18"/>
                <w:spacing w:val="-34"/>
              </w:rPr>
              <w:t xml:space="preserve"> </w:t>
            </w:r>
            <w:r>
              <w:rPr>
                <w:rFonts w:ascii="Times New Roman" w:hAnsi="Times New Roman" w:eastAsia="Times New Roman" w:cs="Times New Roman"/>
                <w:sz w:val="18"/>
                <w:szCs w:val="18"/>
                <w:spacing w:val="-3"/>
              </w:rPr>
              <w:t>PM</w:t>
            </w:r>
            <w:r>
              <w:rPr>
                <w:rFonts w:ascii="Times New Roman" w:hAnsi="Times New Roman" w:eastAsia="Times New Roman" w:cs="Times New Roman"/>
                <w:sz w:val="11"/>
                <w:szCs w:val="11"/>
                <w:spacing w:val="-3"/>
                <w:position w:val="-1"/>
              </w:rPr>
              <w:t>2.5</w:t>
            </w:r>
            <w:r>
              <w:rPr>
                <w:rFonts w:ascii="Microsoft YaHei" w:hAnsi="Microsoft YaHei" w:eastAsia="Microsoft YaHei" w:cs="Microsoft YaHei"/>
                <w:sz w:val="18"/>
                <w:szCs w:val="18"/>
                <w:spacing w:val="-3"/>
              </w:rPr>
              <w:t>⑦</w:t>
            </w:r>
          </w:p>
        </w:tc>
      </w:tr>
      <w:tr>
        <w:trPr>
          <w:trHeight w:val="306" w:hRule="atLeast"/>
        </w:trPr>
        <w:tc>
          <w:tcPr>
            <w:tcW w:w="735" w:type="dxa"/>
            <w:vAlign w:val="top"/>
          </w:tcPr>
          <w:p>
            <w:pPr>
              <w:pStyle w:val="TableText"/>
              <w:ind w:left="11"/>
              <w:spacing w:before="89" w:line="212" w:lineRule="auto"/>
              <w:rPr>
                <w:sz w:val="18"/>
                <w:szCs w:val="18"/>
              </w:rPr>
            </w:pPr>
            <w:r>
              <w:rPr>
                <w:sz w:val="18"/>
                <w:szCs w:val="18"/>
                <w:spacing w:val="-2"/>
              </w:rPr>
              <w:t>评价标准</w:t>
            </w:r>
          </w:p>
        </w:tc>
        <w:tc>
          <w:tcPr>
            <w:tcW w:w="1618" w:type="dxa"/>
            <w:vAlign w:val="top"/>
          </w:tcPr>
          <w:p>
            <w:pPr>
              <w:pStyle w:val="TableText"/>
              <w:ind w:left="449"/>
              <w:spacing w:before="89" w:line="212" w:lineRule="auto"/>
              <w:rPr>
                <w:sz w:val="18"/>
                <w:szCs w:val="18"/>
              </w:rPr>
            </w:pPr>
            <w:r>
              <w:rPr>
                <w:sz w:val="18"/>
                <w:szCs w:val="18"/>
                <w:spacing w:val="-2"/>
              </w:rPr>
              <w:t>评价标准</w:t>
            </w:r>
          </w:p>
        </w:tc>
        <w:tc>
          <w:tcPr>
            <w:tcW w:w="2155" w:type="dxa"/>
            <w:vAlign w:val="top"/>
          </w:tcPr>
          <w:p>
            <w:pPr>
              <w:pStyle w:val="TableText"/>
              <w:ind w:left="659"/>
              <w:spacing w:before="90" w:line="160" w:lineRule="auto"/>
              <w:rPr>
                <w:rFonts w:ascii="Microsoft YaHei" w:hAnsi="Microsoft YaHei" w:eastAsia="Microsoft YaHei" w:cs="Microsoft YaHei"/>
                <w:sz w:val="18"/>
                <w:szCs w:val="18"/>
              </w:rPr>
            </w:pPr>
            <w:r>
              <w:rPr>
                <w:sz w:val="18"/>
                <w:szCs w:val="18"/>
                <w:spacing w:val="-5"/>
              </w:rPr>
              <w:t>国家标准</w:t>
            </w:r>
            <w:r>
              <w:rPr>
                <w:rFonts w:ascii="Microsoft YaHei" w:hAnsi="Microsoft YaHei" w:eastAsia="Microsoft YaHei" w:cs="Microsoft YaHei"/>
                <w:sz w:val="18"/>
                <w:szCs w:val="18"/>
                <w:spacing w:val="-5"/>
              </w:rPr>
              <w:t>⑦</w:t>
            </w:r>
          </w:p>
        </w:tc>
        <w:tc>
          <w:tcPr>
            <w:tcW w:w="2184" w:type="dxa"/>
            <w:vAlign w:val="top"/>
          </w:tcPr>
          <w:p>
            <w:pPr>
              <w:pStyle w:val="TableText"/>
              <w:ind w:left="656"/>
              <w:spacing w:before="90" w:line="160" w:lineRule="auto"/>
              <w:rPr>
                <w:rFonts w:ascii="Microsoft YaHei" w:hAnsi="Microsoft YaHei" w:eastAsia="Microsoft YaHei" w:cs="Microsoft YaHei"/>
                <w:sz w:val="18"/>
                <w:szCs w:val="18"/>
              </w:rPr>
            </w:pPr>
            <w:r>
              <w:rPr>
                <w:sz w:val="18"/>
                <w:szCs w:val="18"/>
                <w:spacing w:val="7"/>
              </w:rPr>
              <w:t>地方标准</w:t>
            </w:r>
            <w:r>
              <w:rPr>
                <w:rFonts w:ascii="Microsoft YaHei" w:hAnsi="Microsoft YaHei" w:eastAsia="Microsoft YaHei" w:cs="Microsoft YaHei"/>
                <w:sz w:val="18"/>
                <w:szCs w:val="18"/>
                <w:spacing w:val="7"/>
              </w:rPr>
              <w:t>□</w:t>
            </w:r>
          </w:p>
        </w:tc>
        <w:tc>
          <w:tcPr>
            <w:tcW w:w="769" w:type="dxa"/>
            <w:vAlign w:val="top"/>
          </w:tcPr>
          <w:p>
            <w:pPr>
              <w:pStyle w:val="TableText"/>
              <w:ind w:left="56"/>
              <w:spacing w:before="90" w:line="160" w:lineRule="auto"/>
              <w:rPr>
                <w:rFonts w:ascii="Microsoft YaHei" w:hAnsi="Microsoft YaHei" w:eastAsia="Microsoft YaHei" w:cs="Microsoft YaHei"/>
                <w:sz w:val="18"/>
                <w:szCs w:val="18"/>
              </w:rPr>
            </w:pPr>
            <w:r>
              <w:rPr>
                <w:sz w:val="18"/>
                <w:szCs w:val="18"/>
                <w:spacing w:val="-7"/>
              </w:rPr>
              <w:t>附录</w:t>
            </w:r>
            <w:r>
              <w:rPr>
                <w:sz w:val="18"/>
                <w:szCs w:val="18"/>
                <w:spacing w:val="-39"/>
              </w:rPr>
              <w:t xml:space="preserve"> </w:t>
            </w:r>
            <w:r>
              <w:rPr>
                <w:rFonts w:ascii="Times New Roman" w:hAnsi="Times New Roman" w:eastAsia="Times New Roman" w:cs="Times New Roman"/>
                <w:sz w:val="18"/>
                <w:szCs w:val="18"/>
                <w:spacing w:val="-7"/>
              </w:rPr>
              <w:t>D</w:t>
            </w:r>
            <w:r>
              <w:rPr>
                <w:rFonts w:ascii="Microsoft YaHei" w:hAnsi="Microsoft YaHei" w:eastAsia="Microsoft YaHei" w:cs="Microsoft YaHei"/>
                <w:sz w:val="18"/>
                <w:szCs w:val="18"/>
                <w:spacing w:val="-7"/>
              </w:rPr>
              <w:t>⑦</w:t>
            </w:r>
          </w:p>
        </w:tc>
        <w:tc>
          <w:tcPr>
            <w:tcW w:w="1012" w:type="dxa"/>
            <w:vAlign w:val="top"/>
          </w:tcPr>
          <w:p>
            <w:pPr>
              <w:pStyle w:val="TableText"/>
              <w:ind w:left="70"/>
              <w:spacing w:before="90" w:line="160" w:lineRule="auto"/>
              <w:rPr>
                <w:rFonts w:ascii="Microsoft YaHei" w:hAnsi="Microsoft YaHei" w:eastAsia="Microsoft YaHei" w:cs="Microsoft YaHei"/>
                <w:sz w:val="18"/>
                <w:szCs w:val="18"/>
              </w:rPr>
            </w:pPr>
            <w:r>
              <w:rPr>
                <w:sz w:val="18"/>
                <w:szCs w:val="18"/>
                <w:spacing w:val="-2"/>
              </w:rPr>
              <w:t>其他标准</w:t>
            </w:r>
            <w:r>
              <w:rPr>
                <w:rFonts w:ascii="Microsoft YaHei" w:hAnsi="Microsoft YaHei" w:eastAsia="Microsoft YaHei" w:cs="Microsoft YaHei"/>
                <w:sz w:val="18"/>
                <w:szCs w:val="18"/>
                <w:spacing w:val="-2"/>
              </w:rPr>
              <w:t>⑦</w:t>
            </w:r>
          </w:p>
        </w:tc>
      </w:tr>
      <w:tr>
        <w:trPr>
          <w:trHeight w:val="307" w:hRule="atLeast"/>
        </w:trPr>
        <w:tc>
          <w:tcPr>
            <w:tcW w:w="735" w:type="dxa"/>
            <w:vAlign w:val="top"/>
            <w:vMerge w:val="restart"/>
            <w:tcBorders>
              <w:bottom w:val="nil"/>
            </w:tcBorders>
          </w:tcPr>
          <w:p>
            <w:pPr>
              <w:spacing w:line="342" w:lineRule="auto"/>
              <w:rPr>
                <w:rFonts w:ascii="Arial"/>
                <w:sz w:val="21"/>
              </w:rPr>
            </w:pPr>
            <w:r/>
          </w:p>
          <w:p>
            <w:pPr>
              <w:pStyle w:val="TableText"/>
              <w:ind w:left="13"/>
              <w:spacing w:before="58" w:line="218" w:lineRule="auto"/>
              <w:rPr>
                <w:sz w:val="18"/>
                <w:szCs w:val="18"/>
              </w:rPr>
            </w:pPr>
            <w:r>
              <w:rPr>
                <w:sz w:val="18"/>
                <w:szCs w:val="18"/>
                <w:spacing w:val="-3"/>
              </w:rPr>
              <w:t>现状评价</w:t>
            </w:r>
          </w:p>
        </w:tc>
        <w:tc>
          <w:tcPr>
            <w:tcW w:w="1618" w:type="dxa"/>
            <w:vAlign w:val="top"/>
          </w:tcPr>
          <w:p>
            <w:pPr>
              <w:pStyle w:val="TableText"/>
              <w:ind w:left="361"/>
              <w:spacing w:before="90" w:line="212" w:lineRule="auto"/>
              <w:rPr>
                <w:sz w:val="18"/>
                <w:szCs w:val="18"/>
              </w:rPr>
            </w:pPr>
            <w:r>
              <w:rPr>
                <w:sz w:val="18"/>
                <w:szCs w:val="18"/>
                <w:spacing w:val="-2"/>
              </w:rPr>
              <w:t>环境功能区</w:t>
            </w:r>
          </w:p>
        </w:tc>
        <w:tc>
          <w:tcPr>
            <w:tcW w:w="2155" w:type="dxa"/>
            <w:vAlign w:val="top"/>
          </w:tcPr>
          <w:p>
            <w:pPr>
              <w:pStyle w:val="TableText"/>
              <w:ind w:left="733"/>
              <w:spacing w:before="91" w:line="160" w:lineRule="auto"/>
              <w:rPr>
                <w:rFonts w:ascii="Microsoft YaHei" w:hAnsi="Microsoft YaHei" w:eastAsia="Microsoft YaHei" w:cs="Microsoft YaHei"/>
                <w:sz w:val="18"/>
                <w:szCs w:val="18"/>
              </w:rPr>
            </w:pPr>
            <w:r>
              <w:rPr>
                <w:sz w:val="18"/>
                <w:szCs w:val="18"/>
                <w:spacing w:val="8"/>
              </w:rPr>
              <w:t>一类区</w:t>
            </w:r>
            <w:r>
              <w:rPr>
                <w:rFonts w:ascii="Microsoft YaHei" w:hAnsi="Microsoft YaHei" w:eastAsia="Microsoft YaHei" w:cs="Microsoft YaHei"/>
                <w:sz w:val="18"/>
                <w:szCs w:val="18"/>
                <w:spacing w:val="8"/>
              </w:rPr>
              <w:t>□</w:t>
            </w:r>
          </w:p>
        </w:tc>
        <w:tc>
          <w:tcPr>
            <w:tcW w:w="2184" w:type="dxa"/>
            <w:vAlign w:val="top"/>
          </w:tcPr>
          <w:p>
            <w:pPr>
              <w:pStyle w:val="TableText"/>
              <w:ind w:left="748"/>
              <w:spacing w:before="91" w:line="160" w:lineRule="auto"/>
              <w:rPr>
                <w:rFonts w:ascii="Microsoft YaHei" w:hAnsi="Microsoft YaHei" w:eastAsia="Microsoft YaHei" w:cs="Microsoft YaHei"/>
                <w:sz w:val="18"/>
                <w:szCs w:val="18"/>
              </w:rPr>
            </w:pPr>
            <w:r>
              <w:rPr>
                <w:sz w:val="18"/>
                <w:szCs w:val="18"/>
                <w:spacing w:val="-3"/>
              </w:rPr>
              <w:t>二类区</w:t>
            </w:r>
            <w:r>
              <w:rPr>
                <w:rFonts w:ascii="Microsoft YaHei" w:hAnsi="Microsoft YaHei" w:eastAsia="Microsoft YaHei" w:cs="Microsoft YaHei"/>
                <w:sz w:val="18"/>
                <w:szCs w:val="18"/>
                <w:spacing w:val="-3"/>
              </w:rPr>
              <w:t>⑦</w:t>
            </w:r>
          </w:p>
        </w:tc>
        <w:tc>
          <w:tcPr>
            <w:tcW w:w="1781" w:type="dxa"/>
            <w:vAlign w:val="top"/>
            <w:gridSpan w:val="2"/>
          </w:tcPr>
          <w:p>
            <w:pPr>
              <w:pStyle w:val="TableText"/>
              <w:ind w:left="186"/>
              <w:spacing w:before="91" w:line="160" w:lineRule="auto"/>
              <w:rPr>
                <w:rFonts w:ascii="Microsoft YaHei" w:hAnsi="Microsoft YaHei" w:eastAsia="Microsoft YaHei" w:cs="Microsoft YaHei"/>
                <w:sz w:val="18"/>
                <w:szCs w:val="18"/>
              </w:rPr>
            </w:pPr>
            <w:r>
              <w:rPr>
                <w:sz w:val="18"/>
                <w:szCs w:val="18"/>
                <w:spacing w:val="4"/>
              </w:rPr>
              <w:t>一类区和二类区</w:t>
            </w:r>
            <w:r>
              <w:rPr>
                <w:rFonts w:ascii="Microsoft YaHei" w:hAnsi="Microsoft YaHei" w:eastAsia="Microsoft YaHei" w:cs="Microsoft YaHei"/>
                <w:sz w:val="18"/>
                <w:szCs w:val="18"/>
                <w:spacing w:val="4"/>
              </w:rPr>
              <w:t>□</w:t>
            </w:r>
          </w:p>
        </w:tc>
      </w:tr>
      <w:tr>
        <w:trPr>
          <w:trHeight w:val="307" w:hRule="atLeast"/>
        </w:trPr>
        <w:tc>
          <w:tcPr>
            <w:tcW w:w="735" w:type="dxa"/>
            <w:vAlign w:val="top"/>
            <w:vMerge w:val="continue"/>
            <w:tcBorders>
              <w:top w:val="nil"/>
              <w:bottom w:val="nil"/>
            </w:tcBorders>
          </w:tcPr>
          <w:p>
            <w:pPr>
              <w:rPr>
                <w:rFonts w:ascii="Arial"/>
                <w:sz w:val="21"/>
              </w:rPr>
            </w:pPr>
            <w:r/>
          </w:p>
        </w:tc>
        <w:tc>
          <w:tcPr>
            <w:tcW w:w="1618" w:type="dxa"/>
            <w:vAlign w:val="top"/>
          </w:tcPr>
          <w:p>
            <w:pPr>
              <w:pStyle w:val="TableText"/>
              <w:ind w:left="361"/>
              <w:spacing w:before="90" w:line="212" w:lineRule="auto"/>
              <w:rPr>
                <w:sz w:val="18"/>
                <w:szCs w:val="18"/>
              </w:rPr>
            </w:pPr>
            <w:r>
              <w:rPr>
                <w:sz w:val="18"/>
                <w:szCs w:val="18"/>
                <w:spacing w:val="-2"/>
              </w:rPr>
              <w:t>评价基准年</w:t>
            </w:r>
          </w:p>
        </w:tc>
        <w:tc>
          <w:tcPr>
            <w:tcW w:w="6120" w:type="dxa"/>
            <w:vAlign w:val="top"/>
            <w:gridSpan w:val="4"/>
          </w:tcPr>
          <w:p>
            <w:pPr>
              <w:pStyle w:val="TableText"/>
              <w:ind w:left="2622"/>
              <w:spacing w:before="90" w:line="212" w:lineRule="auto"/>
              <w:rPr>
                <w:sz w:val="18"/>
                <w:szCs w:val="18"/>
              </w:rPr>
            </w:pPr>
            <w:r>
              <w:rPr>
                <w:sz w:val="18"/>
                <w:szCs w:val="18"/>
                <w:spacing w:val="-2"/>
              </w:rPr>
              <w:t>（</w:t>
            </w:r>
            <w:r>
              <w:rPr>
                <w:rFonts w:ascii="Times New Roman" w:hAnsi="Times New Roman" w:eastAsia="Times New Roman" w:cs="Times New Roman"/>
                <w:sz w:val="18"/>
                <w:szCs w:val="18"/>
                <w:spacing w:val="-2"/>
              </w:rPr>
              <w:t>2024</w:t>
            </w:r>
            <w:r>
              <w:rPr>
                <w:sz w:val="18"/>
                <w:szCs w:val="18"/>
                <w:spacing w:val="-2"/>
              </w:rPr>
              <w:t>）年</w:t>
            </w:r>
          </w:p>
        </w:tc>
      </w:tr>
      <w:tr>
        <w:trPr>
          <w:trHeight w:val="309" w:hRule="atLeast"/>
        </w:trPr>
        <w:tc>
          <w:tcPr>
            <w:tcW w:w="735" w:type="dxa"/>
            <w:vAlign w:val="top"/>
            <w:vMerge w:val="continue"/>
            <w:tcBorders>
              <w:top w:val="nil"/>
            </w:tcBorders>
          </w:tcPr>
          <w:p>
            <w:pPr>
              <w:rPr>
                <w:rFonts w:ascii="Arial"/>
                <w:sz w:val="21"/>
              </w:rPr>
            </w:pPr>
            <w:r/>
          </w:p>
        </w:tc>
        <w:tc>
          <w:tcPr>
            <w:tcW w:w="1618" w:type="dxa"/>
            <w:vAlign w:val="top"/>
          </w:tcPr>
          <w:p>
            <w:pPr>
              <w:pStyle w:val="TableText"/>
              <w:ind w:left="90"/>
              <w:spacing w:before="90" w:line="214" w:lineRule="auto"/>
              <w:rPr>
                <w:sz w:val="18"/>
                <w:szCs w:val="18"/>
              </w:rPr>
            </w:pPr>
            <w:r>
              <w:rPr>
                <w:sz w:val="18"/>
                <w:szCs w:val="18"/>
                <w:spacing w:val="-1"/>
              </w:rPr>
              <w:t>环境空气质量现状</w:t>
            </w:r>
          </w:p>
        </w:tc>
        <w:tc>
          <w:tcPr>
            <w:tcW w:w="2155" w:type="dxa"/>
            <w:vAlign w:val="top"/>
          </w:tcPr>
          <w:p>
            <w:pPr>
              <w:pStyle w:val="TableText"/>
              <w:ind w:left="282"/>
              <w:spacing w:before="90" w:line="162" w:lineRule="auto"/>
              <w:rPr>
                <w:rFonts w:ascii="Microsoft YaHei" w:hAnsi="Microsoft YaHei" w:eastAsia="Microsoft YaHei" w:cs="Microsoft YaHei"/>
                <w:sz w:val="18"/>
                <w:szCs w:val="18"/>
              </w:rPr>
            </w:pPr>
            <w:r>
              <w:rPr>
                <w:sz w:val="18"/>
                <w:szCs w:val="18"/>
                <w:spacing w:val="3"/>
              </w:rPr>
              <w:t>长期例行监测数据</w:t>
            </w:r>
            <w:r>
              <w:rPr>
                <w:rFonts w:ascii="Microsoft YaHei" w:hAnsi="Microsoft YaHei" w:eastAsia="Microsoft YaHei" w:cs="Microsoft YaHei"/>
                <w:sz w:val="18"/>
                <w:szCs w:val="18"/>
                <w:spacing w:val="3"/>
              </w:rPr>
              <w:t>□</w:t>
            </w:r>
          </w:p>
        </w:tc>
        <w:tc>
          <w:tcPr>
            <w:tcW w:w="2184" w:type="dxa"/>
            <w:vAlign w:val="top"/>
          </w:tcPr>
          <w:p>
            <w:pPr>
              <w:pStyle w:val="TableText"/>
              <w:ind w:left="207"/>
              <w:spacing w:before="90" w:line="162" w:lineRule="auto"/>
              <w:rPr>
                <w:rFonts w:ascii="Microsoft YaHei" w:hAnsi="Microsoft YaHei" w:eastAsia="Microsoft YaHei" w:cs="Microsoft YaHei"/>
                <w:sz w:val="18"/>
                <w:szCs w:val="18"/>
              </w:rPr>
            </w:pPr>
            <w:r>
              <w:rPr>
                <w:sz w:val="18"/>
                <w:szCs w:val="18"/>
                <w:spacing w:val="-1"/>
              </w:rPr>
              <w:t>主管部门发布的数据</w:t>
            </w:r>
            <w:r>
              <w:rPr>
                <w:rFonts w:ascii="Microsoft YaHei" w:hAnsi="Microsoft YaHei" w:eastAsia="Microsoft YaHei" w:cs="Microsoft YaHei"/>
                <w:sz w:val="18"/>
                <w:szCs w:val="18"/>
                <w:spacing w:val="-1"/>
              </w:rPr>
              <w:t>⑦</w:t>
            </w:r>
          </w:p>
        </w:tc>
        <w:tc>
          <w:tcPr>
            <w:tcW w:w="1781" w:type="dxa"/>
            <w:vAlign w:val="top"/>
            <w:gridSpan w:val="2"/>
          </w:tcPr>
          <w:p>
            <w:pPr>
              <w:pStyle w:val="TableText"/>
              <w:ind w:left="276"/>
              <w:spacing w:before="90" w:line="162" w:lineRule="auto"/>
              <w:rPr>
                <w:rFonts w:ascii="Microsoft YaHei" w:hAnsi="Microsoft YaHei" w:eastAsia="Microsoft YaHei" w:cs="Microsoft YaHei"/>
                <w:sz w:val="18"/>
                <w:szCs w:val="18"/>
              </w:rPr>
            </w:pPr>
            <w:r>
              <w:rPr>
                <w:sz w:val="18"/>
                <w:szCs w:val="18"/>
                <w:spacing w:val="-2"/>
              </w:rPr>
              <w:t>现状补充监测</w:t>
            </w:r>
            <w:r>
              <w:rPr>
                <w:rFonts w:ascii="Microsoft YaHei" w:hAnsi="Microsoft YaHei" w:eastAsia="Microsoft YaHei" w:cs="Microsoft YaHei"/>
                <w:sz w:val="18"/>
                <w:szCs w:val="18"/>
                <w:spacing w:val="-2"/>
              </w:rPr>
              <w:t>⑦</w:t>
            </w:r>
          </w:p>
        </w:tc>
      </w:tr>
    </w:tbl>
    <w:p>
      <w:pPr>
        <w:pStyle w:val="BodyText"/>
        <w:rPr/>
      </w:pPr>
      <w:r/>
    </w:p>
    <w:p>
      <w:pPr>
        <w:sectPr>
          <w:headerReference w:type="default" r:id="rId219"/>
          <w:footerReference w:type="default" r:id="rId220"/>
          <w:pgSz w:w="11906" w:h="16839"/>
          <w:pgMar w:top="1567" w:right="1586" w:bottom="1811" w:left="1696" w:header="1221" w:footer="1128" w:gutter="0"/>
        </w:sectPr>
        <w:rPr/>
      </w:pPr>
    </w:p>
    <w:p>
      <w:pPr>
        <w:spacing w:line="151" w:lineRule="exact"/>
        <w:rPr/>
      </w:pPr>
      <w:r>
        <w:pict>
          <v:shape id="_x0000_s844" style="position:absolute;margin-left:85.05pt;margin-top:79.11pt;mso-position-vertical-relative:page;mso-position-horizontal-relative:page;width:425.25pt;height:0.75pt;z-index:252021760;" o:allowincell="f" fillcolor="#000000" filled="true" stroked="false" coordsize="8505,15" coordorigin="0,0" path="m,l8504,0l8504,14l0,14l0,0xe"/>
        </w:pict>
      </w:r>
      <w:r/>
    </w:p>
    <w:tbl>
      <w:tblPr>
        <w:tblStyle w:val="TableNormal"/>
        <w:tblW w:w="8473"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35"/>
        <w:gridCol w:w="1618"/>
        <w:gridCol w:w="748"/>
        <w:gridCol w:w="131"/>
        <w:gridCol w:w="568"/>
        <w:gridCol w:w="707"/>
        <w:gridCol w:w="548"/>
        <w:gridCol w:w="907"/>
        <w:gridCol w:w="302"/>
        <w:gridCol w:w="427"/>
        <w:gridCol w:w="541"/>
        <w:gridCol w:w="229"/>
        <w:gridCol w:w="570"/>
        <w:gridCol w:w="442"/>
      </w:tblGrid>
      <w:tr>
        <w:trPr>
          <w:trHeight w:val="311" w:hRule="atLeast"/>
        </w:trPr>
        <w:tc>
          <w:tcPr>
            <w:tcW w:w="2353" w:type="dxa"/>
            <w:vAlign w:val="top"/>
            <w:gridSpan w:val="2"/>
          </w:tcPr>
          <w:p>
            <w:pPr>
              <w:pStyle w:val="TableText"/>
              <w:ind w:left="822"/>
              <w:spacing w:before="92" w:line="214" w:lineRule="auto"/>
              <w:rPr>
                <w:sz w:val="18"/>
                <w:szCs w:val="18"/>
              </w:rPr>
            </w:pPr>
            <w:r>
              <w:rPr>
                <w:sz w:val="18"/>
                <w:szCs w:val="18"/>
                <w:spacing w:val="-3"/>
              </w:rPr>
              <w:t>工作内容</w:t>
            </w:r>
          </w:p>
        </w:tc>
        <w:tc>
          <w:tcPr>
            <w:tcW w:w="6120" w:type="dxa"/>
            <w:vAlign w:val="top"/>
            <w:gridSpan w:val="12"/>
          </w:tcPr>
          <w:p>
            <w:pPr>
              <w:pStyle w:val="TableText"/>
              <w:ind w:left="2733"/>
              <w:spacing w:before="92" w:line="214" w:lineRule="auto"/>
              <w:rPr>
                <w:sz w:val="18"/>
                <w:szCs w:val="18"/>
              </w:rPr>
            </w:pPr>
            <w:r>
              <w:rPr>
                <w:sz w:val="18"/>
                <w:szCs w:val="18"/>
                <w:spacing w:val="-10"/>
              </w:rPr>
              <w:t>自查项目</w:t>
            </w:r>
          </w:p>
        </w:tc>
      </w:tr>
      <w:tr>
        <w:trPr>
          <w:trHeight w:val="307" w:hRule="atLeast"/>
        </w:trPr>
        <w:tc>
          <w:tcPr>
            <w:tcW w:w="735" w:type="dxa"/>
            <w:vAlign w:val="top"/>
            <w:vMerge w:val="restart"/>
            <w:tcBorders>
              <w:bottom w:val="nil"/>
            </w:tcBorders>
          </w:tcPr>
          <w:p>
            <w:pPr>
              <w:rPr>
                <w:rFonts w:ascii="Arial"/>
                <w:sz w:val="21"/>
              </w:rPr>
            </w:pPr>
            <w:r/>
          </w:p>
        </w:tc>
        <w:tc>
          <w:tcPr>
            <w:tcW w:w="1618" w:type="dxa"/>
            <w:vAlign w:val="top"/>
          </w:tcPr>
          <w:p>
            <w:pPr>
              <w:pStyle w:val="TableText"/>
              <w:ind w:left="272"/>
              <w:spacing w:before="88" w:line="214" w:lineRule="auto"/>
              <w:rPr>
                <w:sz w:val="18"/>
                <w:szCs w:val="18"/>
              </w:rPr>
            </w:pPr>
            <w:r>
              <w:rPr>
                <w:sz w:val="18"/>
                <w:szCs w:val="18"/>
                <w:spacing w:val="-2"/>
              </w:rPr>
              <w:t>调查数据来源</w:t>
            </w:r>
          </w:p>
        </w:tc>
        <w:tc>
          <w:tcPr>
            <w:tcW w:w="2154" w:type="dxa"/>
            <w:vAlign w:val="top"/>
            <w:gridSpan w:val="4"/>
          </w:tcPr>
          <w:p>
            <w:pPr>
              <w:rPr>
                <w:rFonts w:ascii="Arial"/>
                <w:sz w:val="21"/>
              </w:rPr>
            </w:pPr>
            <w:r/>
          </w:p>
        </w:tc>
        <w:tc>
          <w:tcPr>
            <w:tcW w:w="2184" w:type="dxa"/>
            <w:vAlign w:val="top"/>
            <w:gridSpan w:val="4"/>
          </w:tcPr>
          <w:p>
            <w:pPr>
              <w:rPr>
                <w:rFonts w:ascii="Arial"/>
                <w:sz w:val="21"/>
              </w:rPr>
            </w:pPr>
            <w:r/>
          </w:p>
        </w:tc>
        <w:tc>
          <w:tcPr>
            <w:tcW w:w="1782" w:type="dxa"/>
            <w:vAlign w:val="top"/>
            <w:gridSpan w:val="4"/>
          </w:tcPr>
          <w:p>
            <w:pPr>
              <w:rPr>
                <w:rFonts w:ascii="Arial"/>
                <w:sz w:val="21"/>
              </w:rPr>
            </w:pPr>
            <w:r/>
          </w:p>
        </w:tc>
      </w:tr>
      <w:tr>
        <w:trPr>
          <w:trHeight w:val="307" w:hRule="atLeast"/>
        </w:trPr>
        <w:tc>
          <w:tcPr>
            <w:tcW w:w="735" w:type="dxa"/>
            <w:vAlign w:val="top"/>
            <w:vMerge w:val="continue"/>
            <w:tcBorders>
              <w:top w:val="nil"/>
            </w:tcBorders>
          </w:tcPr>
          <w:p>
            <w:pPr>
              <w:rPr>
                <w:rFonts w:ascii="Arial"/>
                <w:sz w:val="21"/>
              </w:rPr>
            </w:pPr>
            <w:r/>
          </w:p>
        </w:tc>
        <w:tc>
          <w:tcPr>
            <w:tcW w:w="1618" w:type="dxa"/>
            <w:vAlign w:val="top"/>
          </w:tcPr>
          <w:p>
            <w:pPr>
              <w:pStyle w:val="TableText"/>
              <w:ind w:left="452"/>
              <w:spacing w:before="88" w:line="214" w:lineRule="auto"/>
              <w:rPr>
                <w:sz w:val="18"/>
                <w:szCs w:val="18"/>
              </w:rPr>
            </w:pPr>
            <w:r>
              <w:rPr>
                <w:sz w:val="18"/>
                <w:szCs w:val="18"/>
                <w:spacing w:val="-3"/>
              </w:rPr>
              <w:t>现状评价</w:t>
            </w:r>
          </w:p>
        </w:tc>
        <w:tc>
          <w:tcPr>
            <w:tcW w:w="2154" w:type="dxa"/>
            <w:vAlign w:val="top"/>
            <w:gridSpan w:val="4"/>
          </w:tcPr>
          <w:p>
            <w:pPr>
              <w:pStyle w:val="TableText"/>
              <w:ind w:left="730"/>
              <w:spacing w:before="88" w:line="162" w:lineRule="auto"/>
              <w:rPr>
                <w:rFonts w:ascii="Microsoft YaHei" w:hAnsi="Microsoft YaHei" w:eastAsia="Microsoft YaHei" w:cs="Microsoft YaHei"/>
                <w:sz w:val="18"/>
                <w:szCs w:val="18"/>
              </w:rPr>
            </w:pPr>
            <w:r>
              <w:rPr>
                <w:sz w:val="18"/>
                <w:szCs w:val="18"/>
                <w:spacing w:val="-2"/>
              </w:rPr>
              <w:t>达标区</w:t>
            </w:r>
            <w:r>
              <w:rPr>
                <w:rFonts w:ascii="Microsoft YaHei" w:hAnsi="Microsoft YaHei" w:eastAsia="Microsoft YaHei" w:cs="Microsoft YaHei"/>
                <w:sz w:val="18"/>
                <w:szCs w:val="18"/>
                <w:spacing w:val="-2"/>
              </w:rPr>
              <w:t>⑦</w:t>
            </w:r>
          </w:p>
        </w:tc>
        <w:tc>
          <w:tcPr>
            <w:tcW w:w="3966" w:type="dxa"/>
            <w:vAlign w:val="top"/>
            <w:gridSpan w:val="8"/>
          </w:tcPr>
          <w:p>
            <w:pPr>
              <w:pStyle w:val="TableText"/>
              <w:ind w:left="1548"/>
              <w:spacing w:before="88" w:line="162" w:lineRule="auto"/>
              <w:rPr>
                <w:rFonts w:ascii="Microsoft YaHei" w:hAnsi="Microsoft YaHei" w:eastAsia="Microsoft YaHei" w:cs="Microsoft YaHei"/>
                <w:sz w:val="18"/>
                <w:szCs w:val="18"/>
              </w:rPr>
            </w:pPr>
            <w:r>
              <w:rPr>
                <w:sz w:val="18"/>
                <w:szCs w:val="18"/>
                <w:spacing w:val="6"/>
              </w:rPr>
              <w:t>不达标区</w:t>
            </w:r>
            <w:r>
              <w:rPr>
                <w:rFonts w:ascii="Microsoft YaHei" w:hAnsi="Microsoft YaHei" w:eastAsia="Microsoft YaHei" w:cs="Microsoft YaHei"/>
                <w:sz w:val="18"/>
                <w:szCs w:val="18"/>
                <w:spacing w:val="6"/>
              </w:rPr>
              <w:t>□</w:t>
            </w:r>
          </w:p>
        </w:tc>
      </w:tr>
      <w:tr>
        <w:trPr>
          <w:trHeight w:val="910" w:hRule="atLeast"/>
        </w:trPr>
        <w:tc>
          <w:tcPr>
            <w:tcW w:w="735" w:type="dxa"/>
            <w:vAlign w:val="top"/>
          </w:tcPr>
          <w:p>
            <w:pPr>
              <w:pStyle w:val="TableText"/>
              <w:ind w:left="13"/>
              <w:spacing w:before="240" w:line="220" w:lineRule="auto"/>
              <w:rPr>
                <w:sz w:val="18"/>
                <w:szCs w:val="18"/>
              </w:rPr>
            </w:pPr>
            <w:r>
              <w:rPr>
                <w:sz w:val="18"/>
                <w:szCs w:val="18"/>
                <w:spacing w:val="-3"/>
              </w:rPr>
              <w:t>污染源调</w:t>
            </w:r>
          </w:p>
          <w:p>
            <w:pPr>
              <w:pStyle w:val="TableText"/>
              <w:ind w:left="282"/>
              <w:spacing w:before="87" w:line="227" w:lineRule="auto"/>
              <w:rPr>
                <w:sz w:val="18"/>
                <w:szCs w:val="18"/>
              </w:rPr>
            </w:pPr>
            <w:r>
              <w:rPr>
                <w:sz w:val="18"/>
                <w:szCs w:val="18"/>
              </w:rPr>
              <w:t>查</w:t>
            </w:r>
          </w:p>
        </w:tc>
        <w:tc>
          <w:tcPr>
            <w:tcW w:w="1618" w:type="dxa"/>
            <w:vAlign w:val="top"/>
          </w:tcPr>
          <w:p>
            <w:pPr>
              <w:spacing w:line="330" w:lineRule="auto"/>
              <w:rPr>
                <w:rFonts w:ascii="Arial"/>
                <w:sz w:val="21"/>
              </w:rPr>
            </w:pPr>
            <w:r/>
          </w:p>
          <w:p>
            <w:pPr>
              <w:pStyle w:val="TableText"/>
              <w:ind w:left="452"/>
              <w:spacing w:before="59" w:line="219" w:lineRule="auto"/>
              <w:rPr>
                <w:sz w:val="18"/>
                <w:szCs w:val="18"/>
              </w:rPr>
            </w:pPr>
            <w:r>
              <w:rPr>
                <w:sz w:val="18"/>
                <w:szCs w:val="18"/>
                <w:spacing w:val="-3"/>
              </w:rPr>
              <w:t>调查内容</w:t>
            </w:r>
          </w:p>
        </w:tc>
        <w:tc>
          <w:tcPr>
            <w:tcW w:w="2154" w:type="dxa"/>
            <w:vAlign w:val="top"/>
            <w:gridSpan w:val="4"/>
          </w:tcPr>
          <w:p>
            <w:pPr>
              <w:pStyle w:val="TableText"/>
              <w:ind w:left="376" w:firstLine="179"/>
              <w:spacing w:before="89" w:line="210" w:lineRule="auto"/>
              <w:jc w:val="right"/>
              <w:rPr>
                <w:rFonts w:ascii="Microsoft YaHei" w:hAnsi="Microsoft YaHei" w:eastAsia="Microsoft YaHei" w:cs="Microsoft YaHei"/>
                <w:sz w:val="18"/>
                <w:szCs w:val="18"/>
              </w:rPr>
            </w:pPr>
            <w:r>
              <w:rPr>
                <w:sz w:val="18"/>
                <w:szCs w:val="18"/>
                <w:spacing w:val="-4"/>
              </w:rPr>
              <w:t>本项目正常排放源</w:t>
            </w:r>
            <w:r>
              <w:rPr>
                <w:rFonts w:ascii="Microsoft YaHei" w:hAnsi="Microsoft YaHei" w:eastAsia="Microsoft YaHei" w:cs="Microsoft YaHei"/>
                <w:sz w:val="18"/>
                <w:szCs w:val="18"/>
                <w:spacing w:val="-4"/>
              </w:rPr>
              <w:t>⑦</w:t>
            </w:r>
            <w:r>
              <w:rPr>
                <w:rFonts w:ascii="Microsoft YaHei" w:hAnsi="Microsoft YaHei" w:eastAsia="Microsoft YaHei" w:cs="Microsoft YaHei"/>
                <w:sz w:val="18"/>
                <w:szCs w:val="18"/>
                <w:spacing w:val="7"/>
              </w:rPr>
              <w:t xml:space="preserve"> </w:t>
            </w:r>
            <w:r>
              <w:rPr>
                <w:sz w:val="18"/>
                <w:szCs w:val="18"/>
                <w:spacing w:val="-3"/>
              </w:rPr>
              <w:t>本项目非正常排放源</w:t>
            </w:r>
            <w:r>
              <w:rPr>
                <w:rFonts w:ascii="Microsoft YaHei" w:hAnsi="Microsoft YaHei" w:eastAsia="Microsoft YaHei" w:cs="Microsoft YaHei"/>
                <w:sz w:val="18"/>
                <w:szCs w:val="18"/>
                <w:spacing w:val="-3"/>
              </w:rPr>
              <w:t>⑦</w:t>
            </w:r>
            <w:r>
              <w:rPr>
                <w:rFonts w:ascii="Microsoft YaHei" w:hAnsi="Microsoft YaHei" w:eastAsia="Microsoft YaHei" w:cs="Microsoft YaHei"/>
                <w:sz w:val="18"/>
                <w:szCs w:val="18"/>
                <w:spacing w:val="1"/>
              </w:rPr>
              <w:t xml:space="preserve"> </w:t>
            </w:r>
            <w:r>
              <w:rPr>
                <w:sz w:val="18"/>
                <w:szCs w:val="18"/>
                <w:spacing w:val="5"/>
              </w:rPr>
              <w:t>现有污染源</w:t>
            </w:r>
            <w:r>
              <w:rPr>
                <w:rFonts w:ascii="Microsoft YaHei" w:hAnsi="Microsoft YaHei" w:eastAsia="Microsoft YaHei" w:cs="Microsoft YaHei"/>
                <w:sz w:val="18"/>
                <w:szCs w:val="18"/>
                <w:spacing w:val="5"/>
              </w:rPr>
              <w:t>□</w:t>
            </w:r>
          </w:p>
        </w:tc>
        <w:tc>
          <w:tcPr>
            <w:tcW w:w="1455" w:type="dxa"/>
            <w:vAlign w:val="top"/>
            <w:gridSpan w:val="2"/>
          </w:tcPr>
          <w:p>
            <w:pPr>
              <w:spacing w:line="312" w:lineRule="auto"/>
              <w:rPr>
                <w:rFonts w:ascii="Arial"/>
                <w:sz w:val="21"/>
              </w:rPr>
            </w:pPr>
            <w:r/>
          </w:p>
          <w:p>
            <w:pPr>
              <w:pStyle w:val="TableText"/>
              <w:ind w:left="24"/>
              <w:spacing w:before="77" w:line="197" w:lineRule="auto"/>
              <w:rPr>
                <w:rFonts w:ascii="Microsoft YaHei" w:hAnsi="Microsoft YaHei" w:eastAsia="Microsoft YaHei" w:cs="Microsoft YaHei"/>
                <w:sz w:val="18"/>
                <w:szCs w:val="18"/>
              </w:rPr>
            </w:pPr>
            <w:r>
              <w:rPr>
                <w:sz w:val="18"/>
                <w:szCs w:val="18"/>
                <w:spacing w:val="4"/>
              </w:rPr>
              <w:t>拟替代的污染源</w:t>
            </w:r>
            <w:r>
              <w:rPr>
                <w:rFonts w:ascii="Microsoft YaHei" w:hAnsi="Microsoft YaHei" w:eastAsia="Microsoft YaHei" w:cs="Microsoft YaHei"/>
                <w:sz w:val="18"/>
                <w:szCs w:val="18"/>
                <w:spacing w:val="4"/>
              </w:rPr>
              <w:t>□</w:t>
            </w:r>
          </w:p>
        </w:tc>
        <w:tc>
          <w:tcPr>
            <w:tcW w:w="1499" w:type="dxa"/>
            <w:vAlign w:val="top"/>
            <w:gridSpan w:val="4"/>
          </w:tcPr>
          <w:p>
            <w:pPr>
              <w:pStyle w:val="TableText"/>
              <w:ind w:left="60"/>
              <w:spacing w:before="89" w:line="266" w:lineRule="auto"/>
              <w:jc w:val="right"/>
              <w:rPr>
                <w:rFonts w:ascii="Microsoft YaHei" w:hAnsi="Microsoft YaHei" w:eastAsia="Microsoft YaHei" w:cs="Microsoft YaHei"/>
                <w:sz w:val="18"/>
                <w:szCs w:val="18"/>
              </w:rPr>
            </w:pPr>
            <w:r>
              <w:rPr>
                <w:sz w:val="18"/>
                <w:szCs w:val="18"/>
                <w:spacing w:val="-2"/>
              </w:rPr>
              <w:t>其他在建、拟建项</w:t>
            </w:r>
            <w:r>
              <w:rPr>
                <w:sz w:val="18"/>
                <w:szCs w:val="18"/>
                <w:spacing w:val="6"/>
              </w:rPr>
              <w:t xml:space="preserve"> </w:t>
            </w:r>
            <w:r>
              <w:rPr>
                <w:sz w:val="18"/>
                <w:szCs w:val="18"/>
              </w:rPr>
              <w:t>目污染源</w:t>
            </w:r>
            <w:r>
              <w:rPr>
                <w:rFonts w:ascii="Microsoft YaHei" w:hAnsi="Microsoft YaHei" w:eastAsia="Microsoft YaHei" w:cs="Microsoft YaHei"/>
                <w:sz w:val="18"/>
                <w:szCs w:val="18"/>
              </w:rPr>
              <w:t>□</w:t>
            </w:r>
          </w:p>
          <w:p>
            <w:pPr>
              <w:pStyle w:val="TableText"/>
              <w:spacing w:line="162" w:lineRule="auto"/>
              <w:jc w:val="right"/>
              <w:rPr>
                <w:rFonts w:ascii="Microsoft YaHei" w:hAnsi="Microsoft YaHei" w:eastAsia="Microsoft YaHei" w:cs="Microsoft YaHei"/>
                <w:sz w:val="18"/>
                <w:szCs w:val="18"/>
              </w:rPr>
            </w:pPr>
            <w:r>
              <w:rPr>
                <w:sz w:val="18"/>
                <w:szCs w:val="18"/>
                <w:spacing w:val="3"/>
              </w:rPr>
              <w:t>区域污染源</w:t>
            </w:r>
            <w:r>
              <w:rPr>
                <w:rFonts w:ascii="Microsoft YaHei" w:hAnsi="Microsoft YaHei" w:eastAsia="Microsoft YaHei" w:cs="Microsoft YaHei"/>
                <w:sz w:val="18"/>
                <w:szCs w:val="18"/>
                <w:spacing w:val="3"/>
              </w:rPr>
              <w:t>□</w:t>
            </w:r>
          </w:p>
        </w:tc>
        <w:tc>
          <w:tcPr>
            <w:tcW w:w="1012" w:type="dxa"/>
            <w:vAlign w:val="top"/>
            <w:gridSpan w:val="2"/>
          </w:tcPr>
          <w:p>
            <w:pPr>
              <w:pStyle w:val="TableText"/>
              <w:ind w:left="20" w:right="3" w:firstLine="5"/>
              <w:spacing w:before="239" w:line="292" w:lineRule="auto"/>
              <w:rPr>
                <w:rFonts w:ascii="Microsoft YaHei" w:hAnsi="Microsoft YaHei" w:eastAsia="Microsoft YaHei" w:cs="Microsoft YaHei"/>
                <w:sz w:val="18"/>
                <w:szCs w:val="18"/>
              </w:rPr>
            </w:pPr>
            <w:r>
              <w:rPr>
                <w:sz w:val="18"/>
                <w:szCs w:val="18"/>
                <w:spacing w:val="15"/>
              </w:rPr>
              <w:t>区域污染源</w:t>
            </w:r>
            <w:r>
              <w:rPr>
                <w:sz w:val="18"/>
                <w:szCs w:val="18"/>
                <w:spacing w:val="2"/>
              </w:rPr>
              <w:t xml:space="preserve"> </w:t>
            </w:r>
            <w:r>
              <w:rPr>
                <w:rFonts w:ascii="Microsoft YaHei" w:hAnsi="Microsoft YaHei" w:eastAsia="Microsoft YaHei" w:cs="Microsoft YaHei"/>
                <w:sz w:val="18"/>
                <w:szCs w:val="18"/>
                <w:spacing w:val="27"/>
              </w:rPr>
              <w:t>□</w:t>
            </w:r>
          </w:p>
        </w:tc>
      </w:tr>
      <w:tr>
        <w:trPr>
          <w:trHeight w:val="608" w:hRule="atLeast"/>
        </w:trPr>
        <w:tc>
          <w:tcPr>
            <w:tcW w:w="735" w:type="dxa"/>
            <w:vAlign w:val="top"/>
            <w:vMerge w:val="restart"/>
            <w:tcBorders>
              <w:bottom w:val="nil"/>
            </w:tcBorders>
          </w:tcPr>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pStyle w:val="TableText"/>
              <w:ind w:left="14"/>
              <w:spacing w:before="58" w:line="220" w:lineRule="auto"/>
              <w:rPr>
                <w:sz w:val="18"/>
                <w:szCs w:val="18"/>
              </w:rPr>
            </w:pPr>
            <w:r>
              <w:rPr>
                <w:sz w:val="18"/>
                <w:szCs w:val="18"/>
                <w:spacing w:val="-3"/>
              </w:rPr>
              <w:t>大气环境</w:t>
            </w:r>
          </w:p>
          <w:p>
            <w:pPr>
              <w:pStyle w:val="TableText"/>
              <w:ind w:left="104" w:right="5" w:hanging="92"/>
              <w:spacing w:before="86" w:line="312" w:lineRule="auto"/>
              <w:rPr>
                <w:sz w:val="18"/>
                <w:szCs w:val="18"/>
              </w:rPr>
            </w:pPr>
            <w:r>
              <w:rPr>
                <w:sz w:val="18"/>
                <w:szCs w:val="18"/>
                <w:spacing w:val="-2"/>
              </w:rPr>
              <w:t>影响预测</w:t>
            </w:r>
            <w:r>
              <w:rPr>
                <w:sz w:val="18"/>
                <w:szCs w:val="18"/>
              </w:rPr>
              <w:t xml:space="preserve"> </w:t>
            </w:r>
            <w:r>
              <w:rPr>
                <w:sz w:val="18"/>
                <w:szCs w:val="18"/>
                <w:spacing w:val="-4"/>
              </w:rPr>
              <w:t>与评价</w:t>
            </w:r>
          </w:p>
        </w:tc>
        <w:tc>
          <w:tcPr>
            <w:tcW w:w="1618" w:type="dxa"/>
            <w:vAlign w:val="top"/>
          </w:tcPr>
          <w:p>
            <w:pPr>
              <w:pStyle w:val="TableText"/>
              <w:ind w:left="452"/>
              <w:spacing w:before="239" w:line="219" w:lineRule="auto"/>
              <w:rPr>
                <w:sz w:val="18"/>
                <w:szCs w:val="18"/>
              </w:rPr>
            </w:pPr>
            <w:r>
              <w:rPr>
                <w:sz w:val="18"/>
                <w:szCs w:val="18"/>
                <w:spacing w:val="-3"/>
              </w:rPr>
              <w:t>预测模型</w:t>
            </w:r>
          </w:p>
        </w:tc>
        <w:tc>
          <w:tcPr>
            <w:tcW w:w="748" w:type="dxa"/>
            <w:vAlign w:val="top"/>
          </w:tcPr>
          <w:p>
            <w:pPr>
              <w:ind w:left="46"/>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AERMO</w:t>
            </w:r>
          </w:p>
          <w:p>
            <w:pPr>
              <w:ind w:left="227"/>
              <w:spacing w:before="111" w:line="159" w:lineRule="auto"/>
              <w:rPr>
                <w:rFonts w:ascii="Microsoft YaHei" w:hAnsi="Microsoft YaHei" w:eastAsia="Microsoft YaHei" w:cs="Microsoft YaHei"/>
                <w:sz w:val="18"/>
                <w:szCs w:val="18"/>
              </w:rPr>
            </w:pPr>
            <w:r>
              <w:rPr>
                <w:rFonts w:ascii="Times New Roman" w:hAnsi="Times New Roman" w:eastAsia="Times New Roman" w:cs="Times New Roman"/>
                <w:sz w:val="18"/>
                <w:szCs w:val="18"/>
                <w:spacing w:val="19"/>
              </w:rPr>
              <w:t>D</w:t>
            </w:r>
            <w:r>
              <w:rPr>
                <w:rFonts w:ascii="Microsoft YaHei" w:hAnsi="Microsoft YaHei" w:eastAsia="Microsoft YaHei" w:cs="Microsoft YaHei"/>
                <w:sz w:val="18"/>
                <w:szCs w:val="18"/>
                <w:spacing w:val="19"/>
              </w:rPr>
              <w:t>□</w:t>
            </w:r>
          </w:p>
        </w:tc>
        <w:tc>
          <w:tcPr>
            <w:tcW w:w="699" w:type="dxa"/>
            <w:vAlign w:val="top"/>
            <w:gridSpan w:val="2"/>
          </w:tcPr>
          <w:p>
            <w:pPr>
              <w:ind w:left="8"/>
              <w:spacing w:before="242" w:line="209" w:lineRule="auto"/>
              <w:rPr>
                <w:rFonts w:ascii="Microsoft YaHei" w:hAnsi="Microsoft YaHei" w:eastAsia="Microsoft YaHei" w:cs="Microsoft YaHei"/>
                <w:sz w:val="18"/>
                <w:szCs w:val="18"/>
              </w:rPr>
            </w:pPr>
            <w:r>
              <w:rPr>
                <w:rFonts w:ascii="Times New Roman" w:hAnsi="Times New Roman" w:eastAsia="Times New Roman" w:cs="Times New Roman"/>
                <w:sz w:val="18"/>
                <w:szCs w:val="18"/>
                <w:spacing w:val="7"/>
              </w:rPr>
              <w:t>ADMS</w:t>
            </w:r>
            <w:r>
              <w:rPr>
                <w:rFonts w:ascii="Microsoft YaHei" w:hAnsi="Microsoft YaHei" w:eastAsia="Microsoft YaHei" w:cs="Microsoft YaHei"/>
                <w:sz w:val="18"/>
                <w:szCs w:val="18"/>
                <w:spacing w:val="7"/>
              </w:rPr>
              <w:t>□</w:t>
            </w:r>
          </w:p>
        </w:tc>
        <w:tc>
          <w:tcPr>
            <w:tcW w:w="1255" w:type="dxa"/>
            <w:vAlign w:val="top"/>
            <w:gridSpan w:val="2"/>
          </w:tcPr>
          <w:p>
            <w:pPr>
              <w:ind w:left="12"/>
              <w:spacing w:before="242" w:line="209" w:lineRule="auto"/>
              <w:rPr>
                <w:rFonts w:ascii="Microsoft YaHei" w:hAnsi="Microsoft YaHei" w:eastAsia="Microsoft YaHei" w:cs="Microsoft YaHei"/>
                <w:sz w:val="18"/>
                <w:szCs w:val="18"/>
              </w:rPr>
            </w:pPr>
            <w:r>
              <w:rPr>
                <w:rFonts w:ascii="Times New Roman" w:hAnsi="Times New Roman" w:eastAsia="Times New Roman" w:cs="Times New Roman"/>
                <w:sz w:val="18"/>
                <w:szCs w:val="18"/>
              </w:rPr>
              <w:t>AUSTAL</w:t>
            </w:r>
            <w:r>
              <w:rPr>
                <w:rFonts w:ascii="Times New Roman" w:hAnsi="Times New Roman" w:eastAsia="Times New Roman" w:cs="Times New Roman"/>
                <w:sz w:val="18"/>
                <w:szCs w:val="18"/>
                <w:spacing w:val="7"/>
              </w:rPr>
              <w:t>2000</w:t>
            </w:r>
            <w:r>
              <w:rPr>
                <w:rFonts w:ascii="Microsoft YaHei" w:hAnsi="Microsoft YaHei" w:eastAsia="Microsoft YaHei" w:cs="Microsoft YaHei"/>
                <w:sz w:val="18"/>
                <w:szCs w:val="18"/>
                <w:spacing w:val="7"/>
              </w:rPr>
              <w:t>□</w:t>
            </w:r>
          </w:p>
        </w:tc>
        <w:tc>
          <w:tcPr>
            <w:tcW w:w="1209" w:type="dxa"/>
            <w:vAlign w:val="top"/>
            <w:gridSpan w:val="2"/>
          </w:tcPr>
          <w:p>
            <w:pPr>
              <w:ind w:left="12"/>
              <w:spacing w:before="242" w:line="209" w:lineRule="auto"/>
              <w:rPr>
                <w:rFonts w:ascii="Microsoft YaHei" w:hAnsi="Microsoft YaHei" w:eastAsia="Microsoft YaHei" w:cs="Microsoft YaHei"/>
                <w:sz w:val="18"/>
                <w:szCs w:val="18"/>
              </w:rPr>
            </w:pPr>
            <w:r>
              <w:rPr>
                <w:rFonts w:ascii="Times New Roman" w:hAnsi="Times New Roman" w:eastAsia="Times New Roman" w:cs="Times New Roman"/>
                <w:sz w:val="18"/>
                <w:szCs w:val="18"/>
              </w:rPr>
              <w:t>EDMS</w:t>
            </w:r>
            <w:r>
              <w:rPr>
                <w:rFonts w:ascii="Times New Roman" w:hAnsi="Times New Roman" w:eastAsia="Times New Roman" w:cs="Times New Roman"/>
                <w:sz w:val="18"/>
                <w:szCs w:val="18"/>
                <w:spacing w:val="19"/>
              </w:rPr>
              <w:t>/</w:t>
            </w:r>
            <w:r>
              <w:rPr>
                <w:rFonts w:ascii="Times New Roman" w:hAnsi="Times New Roman" w:eastAsia="Times New Roman" w:cs="Times New Roman"/>
                <w:sz w:val="18"/>
                <w:szCs w:val="18"/>
              </w:rPr>
              <w:t>AEDT</w:t>
            </w:r>
            <w:r>
              <w:rPr>
                <w:rFonts w:ascii="Microsoft YaHei" w:hAnsi="Microsoft YaHei" w:eastAsia="Microsoft YaHei" w:cs="Microsoft YaHei"/>
                <w:sz w:val="18"/>
                <w:szCs w:val="18"/>
                <w:spacing w:val="19"/>
              </w:rPr>
              <w:t>□</w:t>
            </w:r>
          </w:p>
        </w:tc>
        <w:tc>
          <w:tcPr>
            <w:tcW w:w="968" w:type="dxa"/>
            <w:vAlign w:val="top"/>
            <w:gridSpan w:val="2"/>
          </w:tcPr>
          <w:p>
            <w:pPr>
              <w:ind w:left="16"/>
              <w:spacing w:before="242" w:line="209" w:lineRule="auto"/>
              <w:rPr>
                <w:rFonts w:ascii="Microsoft YaHei" w:hAnsi="Microsoft YaHei" w:eastAsia="Microsoft YaHei" w:cs="Microsoft YaHei"/>
                <w:sz w:val="18"/>
                <w:szCs w:val="18"/>
              </w:rPr>
            </w:pPr>
            <w:r>
              <w:rPr>
                <w:rFonts w:ascii="Times New Roman" w:hAnsi="Times New Roman" w:eastAsia="Times New Roman" w:cs="Times New Roman"/>
                <w:sz w:val="18"/>
                <w:szCs w:val="18"/>
                <w:spacing w:val="4"/>
              </w:rPr>
              <w:t>CALPUFF</w:t>
            </w:r>
            <w:r>
              <w:rPr>
                <w:rFonts w:ascii="Microsoft YaHei" w:hAnsi="Microsoft YaHei" w:eastAsia="Microsoft YaHei" w:cs="Microsoft YaHei"/>
                <w:sz w:val="18"/>
                <w:szCs w:val="18"/>
                <w:spacing w:val="4"/>
              </w:rPr>
              <w:t>□</w:t>
            </w:r>
          </w:p>
        </w:tc>
        <w:tc>
          <w:tcPr>
            <w:tcW w:w="799" w:type="dxa"/>
            <w:vAlign w:val="top"/>
            <w:gridSpan w:val="2"/>
          </w:tcPr>
          <w:p>
            <w:pPr>
              <w:pStyle w:val="TableText"/>
              <w:ind w:left="58"/>
              <w:spacing w:before="88" w:line="219" w:lineRule="auto"/>
              <w:rPr>
                <w:sz w:val="18"/>
                <w:szCs w:val="18"/>
              </w:rPr>
            </w:pPr>
            <w:r>
              <w:rPr>
                <w:sz w:val="18"/>
                <w:szCs w:val="18"/>
                <w:spacing w:val="-6"/>
              </w:rPr>
              <w:t>网格模型</w:t>
            </w:r>
          </w:p>
          <w:p>
            <w:pPr>
              <w:ind w:left="333"/>
              <w:spacing w:before="91" w:line="159" w:lineRule="auto"/>
              <w:rPr>
                <w:rFonts w:ascii="Microsoft YaHei" w:hAnsi="Microsoft YaHei" w:eastAsia="Microsoft YaHei" w:cs="Microsoft YaHei"/>
                <w:sz w:val="18"/>
                <w:szCs w:val="18"/>
              </w:rPr>
            </w:pPr>
            <w:r>
              <w:rPr>
                <w:rFonts w:ascii="Microsoft YaHei" w:hAnsi="Microsoft YaHei" w:eastAsia="Microsoft YaHei" w:cs="Microsoft YaHei"/>
                <w:sz w:val="18"/>
                <w:szCs w:val="18"/>
                <w:spacing w:val="27"/>
              </w:rPr>
              <w:t>□</w:t>
            </w:r>
          </w:p>
        </w:tc>
        <w:tc>
          <w:tcPr>
            <w:tcW w:w="442" w:type="dxa"/>
            <w:vAlign w:val="top"/>
          </w:tcPr>
          <w:p>
            <w:pPr>
              <w:pStyle w:val="TableText"/>
              <w:ind w:left="153" w:right="39" w:hanging="108"/>
              <w:spacing w:before="89" w:line="225" w:lineRule="auto"/>
              <w:rPr>
                <w:rFonts w:ascii="Microsoft YaHei" w:hAnsi="Microsoft YaHei" w:eastAsia="Microsoft YaHei" w:cs="Microsoft YaHei"/>
                <w:sz w:val="18"/>
                <w:szCs w:val="18"/>
              </w:rPr>
            </w:pPr>
            <w:r>
              <w:rPr>
                <w:sz w:val="18"/>
                <w:szCs w:val="18"/>
                <w:spacing w:val="-4"/>
              </w:rPr>
              <w:t>其他</w:t>
            </w:r>
            <w:r>
              <w:rPr>
                <w:sz w:val="18"/>
                <w:szCs w:val="18"/>
              </w:rPr>
              <w:t xml:space="preserve"> </w:t>
            </w:r>
            <w:r>
              <w:rPr>
                <w:rFonts w:ascii="Microsoft YaHei" w:hAnsi="Microsoft YaHei" w:eastAsia="Microsoft YaHei" w:cs="Microsoft YaHei"/>
                <w:sz w:val="18"/>
                <w:szCs w:val="18"/>
              </w:rPr>
              <w:t>⑦</w:t>
            </w:r>
          </w:p>
        </w:tc>
      </w:tr>
      <w:tr>
        <w:trPr>
          <w:trHeight w:val="307" w:hRule="atLeast"/>
        </w:trPr>
        <w:tc>
          <w:tcPr>
            <w:tcW w:w="735" w:type="dxa"/>
            <w:vAlign w:val="top"/>
            <w:vMerge w:val="continue"/>
            <w:tcBorders>
              <w:top w:val="nil"/>
              <w:bottom w:val="nil"/>
            </w:tcBorders>
          </w:tcPr>
          <w:p>
            <w:pPr>
              <w:rPr>
                <w:rFonts w:ascii="Arial"/>
                <w:sz w:val="21"/>
              </w:rPr>
            </w:pPr>
            <w:r/>
          </w:p>
        </w:tc>
        <w:tc>
          <w:tcPr>
            <w:tcW w:w="1618" w:type="dxa"/>
            <w:vAlign w:val="top"/>
          </w:tcPr>
          <w:p>
            <w:pPr>
              <w:pStyle w:val="TableText"/>
              <w:ind w:left="452"/>
              <w:spacing w:before="89" w:line="213" w:lineRule="auto"/>
              <w:rPr>
                <w:sz w:val="18"/>
                <w:szCs w:val="18"/>
              </w:rPr>
            </w:pPr>
            <w:r>
              <w:rPr>
                <w:sz w:val="18"/>
                <w:szCs w:val="18"/>
                <w:spacing w:val="-3"/>
              </w:rPr>
              <w:t>预测范围</w:t>
            </w:r>
          </w:p>
        </w:tc>
        <w:tc>
          <w:tcPr>
            <w:tcW w:w="1447" w:type="dxa"/>
            <w:vAlign w:val="top"/>
            <w:gridSpan w:val="3"/>
          </w:tcPr>
          <w:p>
            <w:pPr>
              <w:pStyle w:val="TableText"/>
              <w:ind w:left="211"/>
              <w:spacing w:before="89" w:line="161" w:lineRule="auto"/>
              <w:rPr>
                <w:rFonts w:ascii="Microsoft YaHei" w:hAnsi="Microsoft YaHei" w:eastAsia="Microsoft YaHei" w:cs="Microsoft YaHei"/>
                <w:sz w:val="18"/>
                <w:szCs w:val="18"/>
              </w:rPr>
            </w:pPr>
            <w:r>
              <w:rPr>
                <w:sz w:val="18"/>
                <w:szCs w:val="18"/>
                <w:spacing w:val="6"/>
              </w:rPr>
              <w:t>边长</w:t>
            </w:r>
            <w:r>
              <w:rPr>
                <w:rFonts w:ascii="Times New Roman" w:hAnsi="Times New Roman" w:eastAsia="Times New Roman" w:cs="Times New Roman"/>
                <w:sz w:val="18"/>
                <w:szCs w:val="18"/>
                <w:spacing w:val="6"/>
              </w:rPr>
              <w:t>≥50</w:t>
            </w:r>
            <w:r>
              <w:rPr>
                <w:rFonts w:ascii="Times New Roman" w:hAnsi="Times New Roman" w:eastAsia="Times New Roman" w:cs="Times New Roman"/>
                <w:sz w:val="18"/>
                <w:szCs w:val="18"/>
              </w:rPr>
              <w:t>km</w:t>
            </w:r>
            <w:r>
              <w:rPr>
                <w:rFonts w:ascii="Microsoft YaHei" w:hAnsi="Microsoft YaHei" w:eastAsia="Microsoft YaHei" w:cs="Microsoft YaHei"/>
                <w:sz w:val="18"/>
                <w:szCs w:val="18"/>
                <w:spacing w:val="6"/>
              </w:rPr>
              <w:t>□</w:t>
            </w:r>
          </w:p>
        </w:tc>
        <w:tc>
          <w:tcPr>
            <w:tcW w:w="2891" w:type="dxa"/>
            <w:vAlign w:val="top"/>
            <w:gridSpan w:val="5"/>
          </w:tcPr>
          <w:p>
            <w:pPr>
              <w:pStyle w:val="TableText"/>
              <w:ind w:left="869"/>
              <w:spacing w:before="89" w:line="161" w:lineRule="auto"/>
              <w:rPr>
                <w:rFonts w:ascii="Microsoft YaHei" w:hAnsi="Microsoft YaHei" w:eastAsia="Microsoft YaHei" w:cs="Microsoft YaHei"/>
                <w:sz w:val="18"/>
                <w:szCs w:val="18"/>
              </w:rPr>
            </w:pPr>
            <w:r>
              <w:rPr>
                <w:sz w:val="18"/>
                <w:szCs w:val="18"/>
                <w:spacing w:val="4"/>
              </w:rPr>
              <w:t>边长</w:t>
            </w:r>
            <w:r>
              <w:rPr>
                <w:sz w:val="18"/>
                <w:szCs w:val="18"/>
                <w:spacing w:val="-39"/>
              </w:rPr>
              <w:t xml:space="preserve"> </w:t>
            </w:r>
            <w:r>
              <w:rPr>
                <w:rFonts w:ascii="Times New Roman" w:hAnsi="Times New Roman" w:eastAsia="Times New Roman" w:cs="Times New Roman"/>
                <w:sz w:val="18"/>
                <w:szCs w:val="18"/>
                <w:spacing w:val="4"/>
              </w:rPr>
              <w:t>5~50</w:t>
            </w:r>
            <w:r>
              <w:rPr>
                <w:rFonts w:ascii="Times New Roman" w:hAnsi="Times New Roman" w:eastAsia="Times New Roman" w:cs="Times New Roman"/>
                <w:sz w:val="18"/>
                <w:szCs w:val="18"/>
              </w:rPr>
              <w:t>km</w:t>
            </w:r>
            <w:r>
              <w:rPr>
                <w:rFonts w:ascii="Microsoft YaHei" w:hAnsi="Microsoft YaHei" w:eastAsia="Microsoft YaHei" w:cs="Microsoft YaHei"/>
                <w:sz w:val="18"/>
                <w:szCs w:val="18"/>
                <w:spacing w:val="4"/>
              </w:rPr>
              <w:t>□</w:t>
            </w:r>
          </w:p>
        </w:tc>
        <w:tc>
          <w:tcPr>
            <w:tcW w:w="1782" w:type="dxa"/>
            <w:vAlign w:val="top"/>
            <w:gridSpan w:val="4"/>
          </w:tcPr>
          <w:p>
            <w:pPr>
              <w:pStyle w:val="TableText"/>
              <w:ind w:left="424"/>
              <w:spacing w:before="57" w:line="186" w:lineRule="auto"/>
              <w:rPr>
                <w:rFonts w:ascii="Microsoft YaHei" w:hAnsi="Microsoft YaHei" w:eastAsia="Microsoft YaHei" w:cs="Microsoft YaHei"/>
                <w:sz w:val="18"/>
                <w:szCs w:val="18"/>
              </w:rPr>
            </w:pPr>
            <w:r>
              <w:rPr>
                <w:sz w:val="18"/>
                <w:szCs w:val="18"/>
                <w:spacing w:val="-2"/>
              </w:rPr>
              <w:t>边长</w:t>
            </w:r>
            <w:r>
              <w:rPr>
                <w:rFonts w:ascii="Times New Roman" w:hAnsi="Times New Roman" w:eastAsia="Times New Roman" w:cs="Times New Roman"/>
                <w:sz w:val="18"/>
                <w:szCs w:val="18"/>
                <w:spacing w:val="-2"/>
              </w:rPr>
              <w:t>=5km</w:t>
            </w:r>
            <w:r>
              <w:rPr>
                <w:rFonts w:ascii="Microsoft YaHei" w:hAnsi="Microsoft YaHei" w:eastAsia="Microsoft YaHei" w:cs="Microsoft YaHei"/>
                <w:sz w:val="18"/>
                <w:szCs w:val="18"/>
                <w:spacing w:val="-2"/>
              </w:rPr>
              <w:t>⑦</w:t>
            </w:r>
          </w:p>
        </w:tc>
      </w:tr>
      <w:tr>
        <w:trPr>
          <w:trHeight w:val="609" w:hRule="atLeast"/>
        </w:trPr>
        <w:tc>
          <w:tcPr>
            <w:tcW w:w="735" w:type="dxa"/>
            <w:vAlign w:val="top"/>
            <w:vMerge w:val="continue"/>
            <w:tcBorders>
              <w:top w:val="nil"/>
              <w:bottom w:val="nil"/>
            </w:tcBorders>
          </w:tcPr>
          <w:p>
            <w:pPr>
              <w:rPr>
                <w:rFonts w:ascii="Arial"/>
                <w:sz w:val="21"/>
              </w:rPr>
            </w:pPr>
            <w:r/>
          </w:p>
        </w:tc>
        <w:tc>
          <w:tcPr>
            <w:tcW w:w="1618" w:type="dxa"/>
            <w:vAlign w:val="top"/>
          </w:tcPr>
          <w:p>
            <w:pPr>
              <w:pStyle w:val="TableText"/>
              <w:ind w:left="452"/>
              <w:spacing w:before="240" w:line="220" w:lineRule="auto"/>
              <w:rPr>
                <w:sz w:val="18"/>
                <w:szCs w:val="18"/>
              </w:rPr>
            </w:pPr>
            <w:r>
              <w:rPr>
                <w:sz w:val="18"/>
                <w:szCs w:val="18"/>
                <w:spacing w:val="-3"/>
              </w:rPr>
              <w:t>预测因子</w:t>
            </w:r>
          </w:p>
        </w:tc>
        <w:tc>
          <w:tcPr>
            <w:tcW w:w="3911" w:type="dxa"/>
            <w:vAlign w:val="top"/>
            <w:gridSpan w:val="7"/>
          </w:tcPr>
          <w:p>
            <w:pPr>
              <w:pStyle w:val="TableText"/>
              <w:ind w:left="612"/>
              <w:spacing w:before="241" w:line="219" w:lineRule="auto"/>
              <w:rPr>
                <w:sz w:val="18"/>
                <w:szCs w:val="18"/>
              </w:rPr>
            </w:pPr>
            <w:r>
              <w:rPr>
                <w:sz w:val="18"/>
                <w:szCs w:val="18"/>
                <w:spacing w:val="-1"/>
              </w:rPr>
              <w:t>预测因子（不进行进一步的预测）</w:t>
            </w:r>
          </w:p>
        </w:tc>
        <w:tc>
          <w:tcPr>
            <w:tcW w:w="2209" w:type="dxa"/>
            <w:vAlign w:val="top"/>
            <w:gridSpan w:val="5"/>
          </w:tcPr>
          <w:p>
            <w:pPr>
              <w:pStyle w:val="TableText"/>
              <w:ind w:left="355" w:right="346" w:firstLine="88"/>
              <w:spacing w:before="89" w:line="198" w:lineRule="auto"/>
              <w:rPr>
                <w:rFonts w:ascii="Microsoft YaHei" w:hAnsi="Microsoft YaHei" w:eastAsia="Microsoft YaHei" w:cs="Microsoft YaHei"/>
                <w:sz w:val="18"/>
                <w:szCs w:val="18"/>
              </w:rPr>
            </w:pPr>
            <w:r>
              <w:rPr>
                <w:sz w:val="18"/>
                <w:szCs w:val="18"/>
                <w:spacing w:val="2"/>
              </w:rPr>
              <w:t>包括二次</w:t>
            </w:r>
            <w:r>
              <w:rPr>
                <w:sz w:val="18"/>
                <w:szCs w:val="18"/>
                <w:spacing w:val="-36"/>
              </w:rPr>
              <w:t xml:space="preserve"> </w:t>
            </w:r>
            <w:r>
              <w:rPr>
                <w:rFonts w:ascii="Times New Roman" w:hAnsi="Times New Roman" w:eastAsia="Times New Roman" w:cs="Times New Roman"/>
                <w:sz w:val="18"/>
                <w:szCs w:val="18"/>
              </w:rPr>
              <w:t>PM</w:t>
            </w:r>
            <w:r>
              <w:rPr>
                <w:rFonts w:ascii="Times New Roman" w:hAnsi="Times New Roman" w:eastAsia="Times New Roman" w:cs="Times New Roman"/>
                <w:sz w:val="11"/>
                <w:szCs w:val="11"/>
                <w:spacing w:val="2"/>
                <w:position w:val="-1"/>
              </w:rPr>
              <w:t>2.5</w:t>
            </w:r>
            <w:r>
              <w:rPr>
                <w:rFonts w:ascii="Times New Roman" w:hAnsi="Times New Roman" w:eastAsia="Times New Roman" w:cs="Times New Roman"/>
                <w:sz w:val="11"/>
                <w:szCs w:val="11"/>
                <w:spacing w:val="-12"/>
                <w:position w:val="-1"/>
              </w:rPr>
              <w:t xml:space="preserve"> </w:t>
            </w:r>
            <w:r>
              <w:rPr>
                <w:rFonts w:ascii="Microsoft YaHei" w:hAnsi="Microsoft YaHei" w:eastAsia="Microsoft YaHei" w:cs="Microsoft YaHei"/>
                <w:sz w:val="18"/>
                <w:szCs w:val="18"/>
                <w:spacing w:val="2"/>
              </w:rPr>
              <w:t>□</w:t>
            </w:r>
            <w:r>
              <w:rPr>
                <w:rFonts w:ascii="Microsoft YaHei" w:hAnsi="Microsoft YaHei" w:eastAsia="Microsoft YaHei" w:cs="Microsoft YaHei"/>
                <w:sz w:val="18"/>
                <w:szCs w:val="18"/>
              </w:rPr>
              <w:t xml:space="preserve">   </w:t>
            </w:r>
            <w:r>
              <w:rPr>
                <w:sz w:val="18"/>
                <w:szCs w:val="18"/>
                <w:spacing w:val="2"/>
              </w:rPr>
              <w:t>不包括二次</w:t>
            </w:r>
            <w:r>
              <w:rPr>
                <w:sz w:val="18"/>
                <w:szCs w:val="18"/>
                <w:spacing w:val="-41"/>
              </w:rPr>
              <w:t xml:space="preserve"> </w:t>
            </w:r>
            <w:r>
              <w:rPr>
                <w:rFonts w:ascii="Times New Roman" w:hAnsi="Times New Roman" w:eastAsia="Times New Roman" w:cs="Times New Roman"/>
                <w:sz w:val="18"/>
                <w:szCs w:val="18"/>
              </w:rPr>
              <w:t>PM</w:t>
            </w:r>
            <w:r>
              <w:rPr>
                <w:rFonts w:ascii="Times New Roman" w:hAnsi="Times New Roman" w:eastAsia="Times New Roman" w:cs="Times New Roman"/>
                <w:sz w:val="11"/>
                <w:szCs w:val="11"/>
                <w:spacing w:val="2"/>
                <w:position w:val="-1"/>
              </w:rPr>
              <w:t>2.5</w:t>
            </w:r>
            <w:r>
              <w:rPr>
                <w:rFonts w:ascii="Times New Roman" w:hAnsi="Times New Roman" w:eastAsia="Times New Roman" w:cs="Times New Roman"/>
                <w:sz w:val="11"/>
                <w:szCs w:val="11"/>
                <w:spacing w:val="-9"/>
                <w:position w:val="-1"/>
              </w:rPr>
              <w:t xml:space="preserve"> </w:t>
            </w:r>
            <w:r>
              <w:rPr>
                <w:rFonts w:ascii="Microsoft YaHei" w:hAnsi="Microsoft YaHei" w:eastAsia="Microsoft YaHei" w:cs="Microsoft YaHei"/>
                <w:sz w:val="18"/>
                <w:szCs w:val="18"/>
                <w:spacing w:val="2"/>
              </w:rPr>
              <w:t>□</w:t>
            </w:r>
          </w:p>
        </w:tc>
      </w:tr>
      <w:tr>
        <w:trPr>
          <w:trHeight w:val="608" w:hRule="atLeast"/>
        </w:trPr>
        <w:tc>
          <w:tcPr>
            <w:tcW w:w="735" w:type="dxa"/>
            <w:vAlign w:val="top"/>
            <w:vMerge w:val="continue"/>
            <w:tcBorders>
              <w:top w:val="nil"/>
              <w:bottom w:val="nil"/>
            </w:tcBorders>
          </w:tcPr>
          <w:p>
            <w:pPr>
              <w:rPr>
                <w:rFonts w:ascii="Arial"/>
                <w:sz w:val="21"/>
              </w:rPr>
            </w:pPr>
            <w:r/>
          </w:p>
        </w:tc>
        <w:tc>
          <w:tcPr>
            <w:tcW w:w="1618" w:type="dxa"/>
            <w:vAlign w:val="top"/>
          </w:tcPr>
          <w:p>
            <w:pPr>
              <w:pStyle w:val="TableText"/>
              <w:ind w:left="543" w:right="89" w:hanging="449"/>
              <w:spacing w:before="89" w:line="261" w:lineRule="auto"/>
              <w:rPr>
                <w:sz w:val="18"/>
                <w:szCs w:val="18"/>
              </w:rPr>
            </w:pPr>
            <w:r>
              <w:rPr>
                <w:sz w:val="18"/>
                <w:szCs w:val="18"/>
                <w:spacing w:val="-2"/>
              </w:rPr>
              <w:t>正常排放短期浓度</w:t>
            </w:r>
            <w:r>
              <w:rPr>
                <w:sz w:val="18"/>
                <w:szCs w:val="18"/>
                <w:spacing w:val="4"/>
              </w:rPr>
              <w:t xml:space="preserve"> </w:t>
            </w:r>
            <w:r>
              <w:rPr>
                <w:sz w:val="18"/>
                <w:szCs w:val="18"/>
                <w:spacing w:val="-4"/>
              </w:rPr>
              <w:t>贡献值</w:t>
            </w:r>
          </w:p>
        </w:tc>
        <w:tc>
          <w:tcPr>
            <w:tcW w:w="3911" w:type="dxa"/>
            <w:vAlign w:val="top"/>
            <w:gridSpan w:val="7"/>
          </w:tcPr>
          <w:p>
            <w:pPr>
              <w:pStyle w:val="TableText"/>
              <w:ind w:left="953"/>
              <w:spacing w:before="240" w:line="193" w:lineRule="auto"/>
              <w:rPr>
                <w:rFonts w:ascii="Microsoft YaHei" w:hAnsi="Microsoft YaHei" w:eastAsia="Microsoft YaHei" w:cs="Microsoft YaHei"/>
                <w:sz w:val="18"/>
                <w:szCs w:val="18"/>
              </w:rPr>
            </w:pPr>
            <w:r>
              <w:rPr>
                <w:rFonts w:ascii="Times New Roman" w:hAnsi="Times New Roman" w:eastAsia="Times New Roman" w:cs="Times New Roman"/>
                <w:sz w:val="18"/>
                <w:szCs w:val="18"/>
                <w:spacing w:val="4"/>
              </w:rPr>
              <w:t>C </w:t>
            </w:r>
            <w:r>
              <w:rPr>
                <w:sz w:val="8"/>
                <w:szCs w:val="8"/>
                <w:spacing w:val="4"/>
                <w:position w:val="-2"/>
              </w:rPr>
              <w:t>本项目</w:t>
            </w:r>
            <w:r>
              <w:rPr>
                <w:sz w:val="18"/>
                <w:szCs w:val="18"/>
                <w:spacing w:val="4"/>
              </w:rPr>
              <w:t>最大占标率</w:t>
            </w:r>
            <w:r>
              <w:rPr>
                <w:rFonts w:ascii="Times New Roman" w:hAnsi="Times New Roman" w:eastAsia="Times New Roman" w:cs="Times New Roman"/>
                <w:sz w:val="18"/>
                <w:szCs w:val="18"/>
                <w:spacing w:val="4"/>
              </w:rPr>
              <w:t>≤100%</w:t>
            </w:r>
            <w:r>
              <w:rPr>
                <w:rFonts w:ascii="Microsoft YaHei" w:hAnsi="Microsoft YaHei" w:eastAsia="Microsoft YaHei" w:cs="Microsoft YaHei"/>
                <w:sz w:val="18"/>
                <w:szCs w:val="18"/>
                <w:spacing w:val="4"/>
              </w:rPr>
              <w:t>□</w:t>
            </w:r>
          </w:p>
        </w:tc>
        <w:tc>
          <w:tcPr>
            <w:tcW w:w="2209" w:type="dxa"/>
            <w:vAlign w:val="top"/>
            <w:gridSpan w:val="5"/>
          </w:tcPr>
          <w:p>
            <w:pPr>
              <w:pStyle w:val="TableText"/>
              <w:ind w:left="61"/>
              <w:spacing w:before="240" w:line="193" w:lineRule="auto"/>
              <w:rPr>
                <w:rFonts w:ascii="Microsoft YaHei" w:hAnsi="Microsoft YaHei" w:eastAsia="Microsoft YaHei" w:cs="Microsoft YaHei"/>
                <w:sz w:val="18"/>
                <w:szCs w:val="18"/>
              </w:rPr>
            </w:pPr>
            <w:r>
              <w:rPr>
                <w:rFonts w:ascii="Times New Roman" w:hAnsi="Times New Roman" w:eastAsia="Times New Roman" w:cs="Times New Roman"/>
                <w:sz w:val="18"/>
                <w:szCs w:val="18"/>
                <w:spacing w:val="4"/>
              </w:rPr>
              <w:t>C </w:t>
            </w:r>
            <w:r>
              <w:rPr>
                <w:sz w:val="8"/>
                <w:szCs w:val="8"/>
                <w:spacing w:val="4"/>
                <w:position w:val="-2"/>
              </w:rPr>
              <w:t>本项目</w:t>
            </w:r>
            <w:r>
              <w:rPr>
                <w:sz w:val="18"/>
                <w:szCs w:val="18"/>
                <w:spacing w:val="4"/>
              </w:rPr>
              <w:t>最大占标率＞</w:t>
            </w:r>
            <w:r>
              <w:rPr>
                <w:rFonts w:ascii="Times New Roman" w:hAnsi="Times New Roman" w:eastAsia="Times New Roman" w:cs="Times New Roman"/>
                <w:sz w:val="18"/>
                <w:szCs w:val="18"/>
                <w:spacing w:val="4"/>
              </w:rPr>
              <w:t>100%</w:t>
            </w:r>
            <w:r>
              <w:rPr>
                <w:rFonts w:ascii="Microsoft YaHei" w:hAnsi="Microsoft YaHei" w:eastAsia="Microsoft YaHei" w:cs="Microsoft YaHei"/>
                <w:sz w:val="18"/>
                <w:szCs w:val="18"/>
                <w:spacing w:val="4"/>
              </w:rPr>
              <w:t>□</w:t>
            </w:r>
          </w:p>
        </w:tc>
      </w:tr>
      <w:tr>
        <w:trPr>
          <w:trHeight w:val="307" w:hRule="atLeast"/>
        </w:trPr>
        <w:tc>
          <w:tcPr>
            <w:tcW w:w="735" w:type="dxa"/>
            <w:vAlign w:val="top"/>
            <w:vMerge w:val="continue"/>
            <w:tcBorders>
              <w:top w:val="nil"/>
              <w:bottom w:val="nil"/>
            </w:tcBorders>
          </w:tcPr>
          <w:p>
            <w:pPr>
              <w:rPr>
                <w:rFonts w:ascii="Arial"/>
                <w:sz w:val="21"/>
              </w:rPr>
            </w:pPr>
            <w:r/>
          </w:p>
        </w:tc>
        <w:tc>
          <w:tcPr>
            <w:tcW w:w="1618" w:type="dxa"/>
            <w:vAlign w:val="top"/>
            <w:vMerge w:val="restart"/>
            <w:tcBorders>
              <w:bottom w:val="nil"/>
            </w:tcBorders>
          </w:tcPr>
          <w:p>
            <w:pPr>
              <w:pStyle w:val="TableText"/>
              <w:ind w:left="543" w:right="89" w:hanging="449"/>
              <w:spacing w:before="96" w:line="263" w:lineRule="auto"/>
              <w:rPr>
                <w:sz w:val="18"/>
                <w:szCs w:val="18"/>
              </w:rPr>
            </w:pPr>
            <w:r>
              <w:rPr>
                <w:sz w:val="18"/>
                <w:szCs w:val="18"/>
                <w:spacing w:val="-2"/>
              </w:rPr>
              <w:t>正常排放年均浓度</w:t>
            </w:r>
            <w:r>
              <w:rPr>
                <w:sz w:val="18"/>
                <w:szCs w:val="18"/>
                <w:spacing w:val="4"/>
              </w:rPr>
              <w:t xml:space="preserve"> </w:t>
            </w:r>
            <w:r>
              <w:rPr>
                <w:sz w:val="18"/>
                <w:szCs w:val="18"/>
                <w:spacing w:val="-4"/>
              </w:rPr>
              <w:t>贡献值</w:t>
            </w:r>
          </w:p>
        </w:tc>
        <w:tc>
          <w:tcPr>
            <w:tcW w:w="879" w:type="dxa"/>
            <w:vAlign w:val="top"/>
            <w:gridSpan w:val="2"/>
          </w:tcPr>
          <w:p>
            <w:pPr>
              <w:pStyle w:val="TableText"/>
              <w:ind w:left="177"/>
              <w:spacing w:before="91" w:line="211" w:lineRule="auto"/>
              <w:rPr>
                <w:sz w:val="18"/>
                <w:szCs w:val="18"/>
              </w:rPr>
            </w:pPr>
            <w:r>
              <w:rPr>
                <w:sz w:val="18"/>
                <w:szCs w:val="18"/>
                <w:spacing w:val="-4"/>
              </w:rPr>
              <w:t>一类区</w:t>
            </w:r>
          </w:p>
        </w:tc>
        <w:tc>
          <w:tcPr>
            <w:tcW w:w="3032" w:type="dxa"/>
            <w:vAlign w:val="top"/>
            <w:gridSpan w:val="5"/>
          </w:tcPr>
          <w:p>
            <w:pPr>
              <w:pStyle w:val="TableText"/>
              <w:ind w:left="559"/>
              <w:spacing w:before="91" w:line="160" w:lineRule="auto"/>
              <w:rPr>
                <w:rFonts w:ascii="Microsoft YaHei" w:hAnsi="Microsoft YaHei" w:eastAsia="Microsoft YaHei" w:cs="Microsoft YaHei"/>
                <w:sz w:val="18"/>
                <w:szCs w:val="18"/>
              </w:rPr>
            </w:pPr>
            <w:r>
              <w:rPr>
                <w:rFonts w:ascii="Times New Roman" w:hAnsi="Times New Roman" w:eastAsia="Times New Roman" w:cs="Times New Roman"/>
                <w:sz w:val="18"/>
                <w:szCs w:val="18"/>
                <w:spacing w:val="4"/>
              </w:rPr>
              <w:t>C </w:t>
            </w:r>
            <w:r>
              <w:rPr>
                <w:sz w:val="8"/>
                <w:szCs w:val="8"/>
                <w:spacing w:val="4"/>
                <w:position w:val="-2"/>
              </w:rPr>
              <w:t>本项目</w:t>
            </w:r>
            <w:r>
              <w:rPr>
                <w:sz w:val="18"/>
                <w:szCs w:val="18"/>
                <w:spacing w:val="4"/>
              </w:rPr>
              <w:t>最大占标率</w:t>
            </w:r>
            <w:r>
              <w:rPr>
                <w:rFonts w:ascii="Times New Roman" w:hAnsi="Times New Roman" w:eastAsia="Times New Roman" w:cs="Times New Roman"/>
                <w:sz w:val="18"/>
                <w:szCs w:val="18"/>
                <w:spacing w:val="4"/>
              </w:rPr>
              <w:t>≤10%</w:t>
            </w:r>
            <w:r>
              <w:rPr>
                <w:rFonts w:ascii="Microsoft YaHei" w:hAnsi="Microsoft YaHei" w:eastAsia="Microsoft YaHei" w:cs="Microsoft YaHei"/>
                <w:sz w:val="18"/>
                <w:szCs w:val="18"/>
                <w:spacing w:val="4"/>
              </w:rPr>
              <w:t>□</w:t>
            </w:r>
          </w:p>
        </w:tc>
        <w:tc>
          <w:tcPr>
            <w:tcW w:w="2209" w:type="dxa"/>
            <w:vAlign w:val="top"/>
            <w:gridSpan w:val="5"/>
          </w:tcPr>
          <w:p>
            <w:pPr>
              <w:pStyle w:val="TableText"/>
              <w:ind w:left="105"/>
              <w:spacing w:before="91" w:line="160" w:lineRule="auto"/>
              <w:rPr>
                <w:rFonts w:ascii="Microsoft YaHei" w:hAnsi="Microsoft YaHei" w:eastAsia="Microsoft YaHei" w:cs="Microsoft YaHei"/>
                <w:sz w:val="18"/>
                <w:szCs w:val="18"/>
              </w:rPr>
            </w:pPr>
            <w:r>
              <w:rPr>
                <w:rFonts w:ascii="Times New Roman" w:hAnsi="Times New Roman" w:eastAsia="Times New Roman" w:cs="Times New Roman"/>
                <w:sz w:val="18"/>
                <w:szCs w:val="18"/>
                <w:spacing w:val="4"/>
              </w:rPr>
              <w:t>C </w:t>
            </w:r>
            <w:r>
              <w:rPr>
                <w:sz w:val="8"/>
                <w:szCs w:val="8"/>
                <w:spacing w:val="4"/>
                <w:position w:val="-2"/>
              </w:rPr>
              <w:t>本项目</w:t>
            </w:r>
            <w:r>
              <w:rPr>
                <w:sz w:val="18"/>
                <w:szCs w:val="18"/>
                <w:spacing w:val="4"/>
              </w:rPr>
              <w:t>最大占标率＞</w:t>
            </w:r>
            <w:r>
              <w:rPr>
                <w:rFonts w:ascii="Times New Roman" w:hAnsi="Times New Roman" w:eastAsia="Times New Roman" w:cs="Times New Roman"/>
                <w:sz w:val="18"/>
                <w:szCs w:val="18"/>
                <w:spacing w:val="4"/>
              </w:rPr>
              <w:t>10%</w:t>
            </w:r>
            <w:r>
              <w:rPr>
                <w:rFonts w:ascii="Microsoft YaHei" w:hAnsi="Microsoft YaHei" w:eastAsia="Microsoft YaHei" w:cs="Microsoft YaHei"/>
                <w:sz w:val="18"/>
                <w:szCs w:val="18"/>
                <w:spacing w:val="4"/>
              </w:rPr>
              <w:t>□</w:t>
            </w:r>
          </w:p>
        </w:tc>
      </w:tr>
      <w:tr>
        <w:trPr>
          <w:trHeight w:val="307" w:hRule="atLeast"/>
        </w:trPr>
        <w:tc>
          <w:tcPr>
            <w:tcW w:w="735" w:type="dxa"/>
            <w:vAlign w:val="top"/>
            <w:vMerge w:val="continue"/>
            <w:tcBorders>
              <w:top w:val="nil"/>
              <w:bottom w:val="nil"/>
            </w:tcBorders>
          </w:tcPr>
          <w:p>
            <w:pPr>
              <w:rPr>
                <w:rFonts w:ascii="Arial"/>
                <w:sz w:val="21"/>
              </w:rPr>
            </w:pPr>
            <w:r/>
          </w:p>
        </w:tc>
        <w:tc>
          <w:tcPr>
            <w:tcW w:w="1618" w:type="dxa"/>
            <w:vAlign w:val="top"/>
            <w:vMerge w:val="continue"/>
            <w:tcBorders>
              <w:top w:val="nil"/>
            </w:tcBorders>
          </w:tcPr>
          <w:p>
            <w:pPr>
              <w:rPr>
                <w:rFonts w:ascii="Arial"/>
                <w:sz w:val="21"/>
              </w:rPr>
            </w:pPr>
            <w:r/>
          </w:p>
        </w:tc>
        <w:tc>
          <w:tcPr>
            <w:tcW w:w="879" w:type="dxa"/>
            <w:vAlign w:val="top"/>
            <w:gridSpan w:val="2"/>
          </w:tcPr>
          <w:p>
            <w:pPr>
              <w:pStyle w:val="TableText"/>
              <w:ind w:left="177"/>
              <w:spacing w:before="91" w:line="211" w:lineRule="auto"/>
              <w:rPr>
                <w:sz w:val="18"/>
                <w:szCs w:val="18"/>
              </w:rPr>
            </w:pPr>
            <w:r>
              <w:rPr>
                <w:sz w:val="18"/>
                <w:szCs w:val="18"/>
                <w:spacing w:val="-4"/>
              </w:rPr>
              <w:t>二类区</w:t>
            </w:r>
          </w:p>
        </w:tc>
        <w:tc>
          <w:tcPr>
            <w:tcW w:w="3032" w:type="dxa"/>
            <w:vAlign w:val="top"/>
            <w:gridSpan w:val="5"/>
          </w:tcPr>
          <w:p>
            <w:pPr>
              <w:pStyle w:val="TableText"/>
              <w:ind w:left="559"/>
              <w:spacing w:before="91" w:line="160" w:lineRule="auto"/>
              <w:rPr>
                <w:rFonts w:ascii="Microsoft YaHei" w:hAnsi="Microsoft YaHei" w:eastAsia="Microsoft YaHei" w:cs="Microsoft YaHei"/>
                <w:sz w:val="18"/>
                <w:szCs w:val="18"/>
              </w:rPr>
            </w:pPr>
            <w:r>
              <w:rPr>
                <w:rFonts w:ascii="Times New Roman" w:hAnsi="Times New Roman" w:eastAsia="Times New Roman" w:cs="Times New Roman"/>
                <w:sz w:val="18"/>
                <w:szCs w:val="18"/>
                <w:spacing w:val="4"/>
              </w:rPr>
              <w:t>C </w:t>
            </w:r>
            <w:r>
              <w:rPr>
                <w:sz w:val="8"/>
                <w:szCs w:val="8"/>
                <w:spacing w:val="4"/>
                <w:position w:val="-2"/>
              </w:rPr>
              <w:t>本项目</w:t>
            </w:r>
            <w:r>
              <w:rPr>
                <w:sz w:val="18"/>
                <w:szCs w:val="18"/>
                <w:spacing w:val="4"/>
              </w:rPr>
              <w:t>最大占标率</w:t>
            </w:r>
            <w:r>
              <w:rPr>
                <w:rFonts w:ascii="Times New Roman" w:hAnsi="Times New Roman" w:eastAsia="Times New Roman" w:cs="Times New Roman"/>
                <w:sz w:val="18"/>
                <w:szCs w:val="18"/>
                <w:spacing w:val="4"/>
              </w:rPr>
              <w:t>≤30%</w:t>
            </w:r>
            <w:r>
              <w:rPr>
                <w:rFonts w:ascii="Microsoft YaHei" w:hAnsi="Microsoft YaHei" w:eastAsia="Microsoft YaHei" w:cs="Microsoft YaHei"/>
                <w:sz w:val="18"/>
                <w:szCs w:val="18"/>
                <w:spacing w:val="4"/>
              </w:rPr>
              <w:t>□</w:t>
            </w:r>
          </w:p>
        </w:tc>
        <w:tc>
          <w:tcPr>
            <w:tcW w:w="2209" w:type="dxa"/>
            <w:vAlign w:val="top"/>
            <w:gridSpan w:val="5"/>
          </w:tcPr>
          <w:p>
            <w:pPr>
              <w:pStyle w:val="TableText"/>
              <w:ind w:left="105"/>
              <w:spacing w:before="91" w:line="160" w:lineRule="auto"/>
              <w:rPr>
                <w:rFonts w:ascii="Microsoft YaHei" w:hAnsi="Microsoft YaHei" w:eastAsia="Microsoft YaHei" w:cs="Microsoft YaHei"/>
                <w:sz w:val="18"/>
                <w:szCs w:val="18"/>
              </w:rPr>
            </w:pPr>
            <w:r>
              <w:rPr>
                <w:rFonts w:ascii="Times New Roman" w:hAnsi="Times New Roman" w:eastAsia="Times New Roman" w:cs="Times New Roman"/>
                <w:sz w:val="18"/>
                <w:szCs w:val="18"/>
                <w:spacing w:val="4"/>
              </w:rPr>
              <w:t>C </w:t>
            </w:r>
            <w:r>
              <w:rPr>
                <w:sz w:val="8"/>
                <w:szCs w:val="8"/>
                <w:spacing w:val="4"/>
                <w:position w:val="-2"/>
              </w:rPr>
              <w:t>本项目</w:t>
            </w:r>
            <w:r>
              <w:rPr>
                <w:sz w:val="18"/>
                <w:szCs w:val="18"/>
                <w:spacing w:val="4"/>
              </w:rPr>
              <w:t>最大占标率＞</w:t>
            </w:r>
            <w:r>
              <w:rPr>
                <w:rFonts w:ascii="Times New Roman" w:hAnsi="Times New Roman" w:eastAsia="Times New Roman" w:cs="Times New Roman"/>
                <w:sz w:val="18"/>
                <w:szCs w:val="18"/>
                <w:spacing w:val="4"/>
              </w:rPr>
              <w:t>30%</w:t>
            </w:r>
            <w:r>
              <w:rPr>
                <w:rFonts w:ascii="Microsoft YaHei" w:hAnsi="Microsoft YaHei" w:eastAsia="Microsoft YaHei" w:cs="Microsoft YaHei"/>
                <w:sz w:val="18"/>
                <w:szCs w:val="18"/>
                <w:spacing w:val="4"/>
              </w:rPr>
              <w:t>□</w:t>
            </w:r>
          </w:p>
        </w:tc>
      </w:tr>
      <w:tr>
        <w:trPr>
          <w:trHeight w:val="609" w:hRule="atLeast"/>
        </w:trPr>
        <w:tc>
          <w:tcPr>
            <w:tcW w:w="735" w:type="dxa"/>
            <w:vAlign w:val="top"/>
            <w:vMerge w:val="continue"/>
            <w:tcBorders>
              <w:top w:val="nil"/>
              <w:bottom w:val="nil"/>
            </w:tcBorders>
          </w:tcPr>
          <w:p>
            <w:pPr>
              <w:rPr>
                <w:rFonts w:ascii="Arial"/>
                <w:sz w:val="21"/>
              </w:rPr>
            </w:pPr>
            <w:r/>
          </w:p>
        </w:tc>
        <w:tc>
          <w:tcPr>
            <w:tcW w:w="1618" w:type="dxa"/>
            <w:vAlign w:val="top"/>
          </w:tcPr>
          <w:p>
            <w:pPr>
              <w:pStyle w:val="TableText"/>
              <w:ind w:left="8" w:right="3"/>
              <w:spacing w:before="92" w:line="260" w:lineRule="auto"/>
              <w:rPr>
                <w:sz w:val="18"/>
                <w:szCs w:val="18"/>
              </w:rPr>
            </w:pPr>
            <w:r>
              <w:rPr>
                <w:sz w:val="18"/>
                <w:szCs w:val="18"/>
              </w:rPr>
              <w:t>非正常排放 </w:t>
            </w:r>
            <w:r>
              <w:rPr>
                <w:rFonts w:ascii="Times New Roman" w:hAnsi="Times New Roman" w:eastAsia="Times New Roman" w:cs="Times New Roman"/>
                <w:sz w:val="18"/>
                <w:szCs w:val="18"/>
              </w:rPr>
              <w:t>1h</w:t>
            </w:r>
            <w:r>
              <w:rPr>
                <w:rFonts w:ascii="Times New Roman" w:hAnsi="Times New Roman" w:eastAsia="Times New Roman" w:cs="Times New Roman"/>
                <w:sz w:val="18"/>
                <w:szCs w:val="18"/>
                <w:spacing w:val="24"/>
                <w:w w:val="101"/>
              </w:rPr>
              <w:t xml:space="preserve"> </w:t>
            </w:r>
            <w:r>
              <w:rPr>
                <w:sz w:val="18"/>
                <w:szCs w:val="18"/>
              </w:rPr>
              <w:t>浓度 </w:t>
            </w:r>
            <w:r>
              <w:rPr>
                <w:sz w:val="18"/>
                <w:szCs w:val="18"/>
                <w:spacing w:val="-4"/>
              </w:rPr>
              <w:t>贡献值</w:t>
            </w:r>
          </w:p>
        </w:tc>
        <w:tc>
          <w:tcPr>
            <w:tcW w:w="2154" w:type="dxa"/>
            <w:vAlign w:val="top"/>
            <w:gridSpan w:val="4"/>
          </w:tcPr>
          <w:p>
            <w:pPr>
              <w:pStyle w:val="TableText"/>
              <w:ind w:left="203"/>
              <w:spacing w:before="242" w:line="219" w:lineRule="auto"/>
              <w:rPr>
                <w:rFonts w:ascii="Times New Roman" w:hAnsi="Times New Roman" w:eastAsia="Times New Roman" w:cs="Times New Roman"/>
                <w:sz w:val="18"/>
                <w:szCs w:val="18"/>
              </w:rPr>
            </w:pPr>
            <w:r>
              <w:rPr>
                <w:sz w:val="18"/>
                <w:szCs w:val="18"/>
                <w:spacing w:val="-1"/>
              </w:rPr>
              <w:t>非正常持续时长（</w:t>
            </w:r>
            <w:r>
              <w:rPr>
                <w:rFonts w:ascii="Times New Roman" w:hAnsi="Times New Roman" w:eastAsia="Times New Roman" w:cs="Times New Roman"/>
                <w:sz w:val="18"/>
                <w:szCs w:val="18"/>
                <w:spacing w:val="-1"/>
              </w:rPr>
              <w:t>/</w:t>
            </w:r>
            <w:r>
              <w:rPr>
                <w:sz w:val="18"/>
                <w:szCs w:val="18"/>
                <w:spacing w:val="-1"/>
              </w:rPr>
              <w:t>）</w:t>
            </w:r>
            <w:r>
              <w:rPr>
                <w:rFonts w:ascii="Times New Roman" w:hAnsi="Times New Roman" w:eastAsia="Times New Roman" w:cs="Times New Roman"/>
                <w:sz w:val="18"/>
                <w:szCs w:val="18"/>
                <w:spacing w:val="-1"/>
              </w:rPr>
              <w:t>h</w:t>
            </w:r>
          </w:p>
        </w:tc>
        <w:tc>
          <w:tcPr>
            <w:tcW w:w="1757" w:type="dxa"/>
            <w:vAlign w:val="top"/>
            <w:gridSpan w:val="3"/>
          </w:tcPr>
          <w:p>
            <w:pPr>
              <w:pStyle w:val="TableText"/>
              <w:ind w:left="57"/>
              <w:spacing w:before="242" w:line="193" w:lineRule="auto"/>
              <w:rPr>
                <w:rFonts w:ascii="Microsoft YaHei" w:hAnsi="Microsoft YaHei" w:eastAsia="Microsoft YaHei" w:cs="Microsoft YaHei"/>
                <w:sz w:val="18"/>
                <w:szCs w:val="18"/>
              </w:rPr>
            </w:pPr>
            <w:r>
              <w:rPr>
                <w:rFonts w:ascii="Times New Roman" w:hAnsi="Times New Roman" w:eastAsia="Times New Roman" w:cs="Times New Roman"/>
                <w:sz w:val="18"/>
                <w:szCs w:val="18"/>
                <w:spacing w:val="1"/>
              </w:rPr>
              <w:t>C </w:t>
            </w:r>
            <w:r>
              <w:rPr>
                <w:sz w:val="8"/>
                <w:szCs w:val="8"/>
                <w:spacing w:val="1"/>
                <w:position w:val="-2"/>
              </w:rPr>
              <w:t>非正常 </w:t>
            </w:r>
            <w:r>
              <w:rPr>
                <w:sz w:val="18"/>
                <w:szCs w:val="18"/>
                <w:spacing w:val="1"/>
              </w:rPr>
              <w:t>占标率</w:t>
            </w:r>
            <w:r>
              <w:rPr>
                <w:rFonts w:ascii="Times New Roman" w:hAnsi="Times New Roman" w:eastAsia="Times New Roman" w:cs="Times New Roman"/>
                <w:sz w:val="18"/>
                <w:szCs w:val="18"/>
                <w:spacing w:val="1"/>
              </w:rPr>
              <w:t>≤100%</w:t>
            </w:r>
            <w:r>
              <w:rPr>
                <w:rFonts w:ascii="Microsoft YaHei" w:hAnsi="Microsoft YaHei" w:eastAsia="Microsoft YaHei" w:cs="Microsoft YaHei"/>
                <w:sz w:val="18"/>
                <w:szCs w:val="18"/>
                <w:spacing w:val="1"/>
              </w:rPr>
              <w:t>□</w:t>
            </w:r>
          </w:p>
        </w:tc>
        <w:tc>
          <w:tcPr>
            <w:tcW w:w="2209" w:type="dxa"/>
            <w:vAlign w:val="top"/>
            <w:gridSpan w:val="5"/>
          </w:tcPr>
          <w:p>
            <w:pPr>
              <w:pStyle w:val="TableText"/>
              <w:ind w:left="241"/>
              <w:spacing w:before="242" w:line="193" w:lineRule="auto"/>
              <w:rPr>
                <w:rFonts w:ascii="Microsoft YaHei" w:hAnsi="Microsoft YaHei" w:eastAsia="Microsoft YaHei" w:cs="Microsoft YaHei"/>
                <w:sz w:val="18"/>
                <w:szCs w:val="18"/>
              </w:rPr>
            </w:pPr>
            <w:r>
              <w:rPr>
                <w:rFonts w:ascii="Times New Roman" w:hAnsi="Times New Roman" w:eastAsia="Times New Roman" w:cs="Times New Roman"/>
                <w:sz w:val="18"/>
                <w:szCs w:val="18"/>
                <w:spacing w:val="1"/>
              </w:rPr>
              <w:t>C </w:t>
            </w:r>
            <w:r>
              <w:rPr>
                <w:sz w:val="8"/>
                <w:szCs w:val="8"/>
                <w:spacing w:val="1"/>
                <w:position w:val="-2"/>
              </w:rPr>
              <w:t>非正常 </w:t>
            </w:r>
            <w:r>
              <w:rPr>
                <w:sz w:val="18"/>
                <w:szCs w:val="18"/>
                <w:spacing w:val="1"/>
              </w:rPr>
              <w:t>占标率＞</w:t>
            </w:r>
            <w:r>
              <w:rPr>
                <w:rFonts w:ascii="Times New Roman" w:hAnsi="Times New Roman" w:eastAsia="Times New Roman" w:cs="Times New Roman"/>
                <w:sz w:val="18"/>
                <w:szCs w:val="18"/>
                <w:spacing w:val="1"/>
              </w:rPr>
              <w:t>100%</w:t>
            </w:r>
            <w:r>
              <w:rPr>
                <w:rFonts w:ascii="Microsoft YaHei" w:hAnsi="Microsoft YaHei" w:eastAsia="Microsoft YaHei" w:cs="Microsoft YaHei"/>
                <w:sz w:val="18"/>
                <w:szCs w:val="18"/>
                <w:spacing w:val="1"/>
              </w:rPr>
              <w:t>□</w:t>
            </w:r>
          </w:p>
        </w:tc>
      </w:tr>
      <w:tr>
        <w:trPr>
          <w:trHeight w:val="910" w:hRule="atLeast"/>
        </w:trPr>
        <w:tc>
          <w:tcPr>
            <w:tcW w:w="735" w:type="dxa"/>
            <w:vAlign w:val="top"/>
            <w:vMerge w:val="continue"/>
            <w:tcBorders>
              <w:top w:val="nil"/>
              <w:bottom w:val="nil"/>
            </w:tcBorders>
          </w:tcPr>
          <w:p>
            <w:pPr>
              <w:rPr>
                <w:rFonts w:ascii="Arial"/>
                <w:sz w:val="21"/>
              </w:rPr>
            </w:pPr>
            <w:r/>
          </w:p>
        </w:tc>
        <w:tc>
          <w:tcPr>
            <w:tcW w:w="1618" w:type="dxa"/>
            <w:vAlign w:val="top"/>
          </w:tcPr>
          <w:p>
            <w:pPr>
              <w:pStyle w:val="TableText"/>
              <w:ind w:left="91"/>
              <w:spacing w:before="92" w:line="219" w:lineRule="auto"/>
              <w:rPr>
                <w:sz w:val="18"/>
                <w:szCs w:val="18"/>
              </w:rPr>
            </w:pPr>
            <w:r>
              <w:rPr>
                <w:sz w:val="18"/>
                <w:szCs w:val="18"/>
                <w:spacing w:val="-1"/>
              </w:rPr>
              <w:t>保证率日平均浓度</w:t>
            </w:r>
          </w:p>
          <w:p>
            <w:pPr>
              <w:pStyle w:val="TableText"/>
              <w:ind w:left="91"/>
              <w:spacing w:before="88" w:line="219" w:lineRule="auto"/>
              <w:rPr>
                <w:sz w:val="18"/>
                <w:szCs w:val="18"/>
              </w:rPr>
            </w:pPr>
            <w:r>
              <w:rPr>
                <w:sz w:val="18"/>
                <w:szCs w:val="18"/>
                <w:spacing w:val="-1"/>
              </w:rPr>
              <w:t>和年平均浓度叠加</w:t>
            </w:r>
          </w:p>
          <w:p>
            <w:pPr>
              <w:pStyle w:val="TableText"/>
              <w:ind w:left="721"/>
              <w:spacing w:before="86" w:line="211" w:lineRule="auto"/>
              <w:rPr>
                <w:sz w:val="18"/>
                <w:szCs w:val="18"/>
              </w:rPr>
            </w:pPr>
            <w:r>
              <w:rPr>
                <w:sz w:val="18"/>
                <w:szCs w:val="18"/>
              </w:rPr>
              <w:t>值</w:t>
            </w:r>
          </w:p>
        </w:tc>
        <w:tc>
          <w:tcPr>
            <w:tcW w:w="3911" w:type="dxa"/>
            <w:vAlign w:val="top"/>
            <w:gridSpan w:val="7"/>
          </w:tcPr>
          <w:p>
            <w:pPr>
              <w:spacing w:line="315" w:lineRule="auto"/>
              <w:rPr>
                <w:rFonts w:ascii="Arial"/>
                <w:sz w:val="21"/>
              </w:rPr>
            </w:pPr>
            <w:r/>
          </w:p>
          <w:p>
            <w:pPr>
              <w:pStyle w:val="TableText"/>
              <w:ind w:left="1527"/>
              <w:spacing w:before="77" w:line="192" w:lineRule="auto"/>
              <w:rPr>
                <w:rFonts w:ascii="Microsoft YaHei" w:hAnsi="Microsoft YaHei" w:eastAsia="Microsoft YaHei" w:cs="Microsoft YaHei"/>
                <w:sz w:val="18"/>
                <w:szCs w:val="18"/>
              </w:rPr>
            </w:pPr>
            <w:r>
              <w:rPr>
                <w:rFonts w:ascii="Times New Roman" w:hAnsi="Times New Roman" w:eastAsia="Times New Roman" w:cs="Times New Roman"/>
                <w:sz w:val="18"/>
                <w:szCs w:val="18"/>
                <w:spacing w:val="8"/>
              </w:rPr>
              <w:t>C </w:t>
            </w:r>
            <w:r>
              <w:rPr>
                <w:sz w:val="8"/>
                <w:szCs w:val="8"/>
                <w:spacing w:val="8"/>
                <w:position w:val="-2"/>
              </w:rPr>
              <w:t>叠加</w:t>
            </w:r>
            <w:r>
              <w:rPr>
                <w:sz w:val="18"/>
                <w:szCs w:val="18"/>
                <w:spacing w:val="8"/>
              </w:rPr>
              <w:t>达标</w:t>
            </w:r>
            <w:r>
              <w:rPr>
                <w:rFonts w:ascii="Microsoft YaHei" w:hAnsi="Microsoft YaHei" w:eastAsia="Microsoft YaHei" w:cs="Microsoft YaHei"/>
                <w:sz w:val="18"/>
                <w:szCs w:val="18"/>
                <w:spacing w:val="8"/>
              </w:rPr>
              <w:t>□</w:t>
            </w:r>
          </w:p>
        </w:tc>
        <w:tc>
          <w:tcPr>
            <w:tcW w:w="2209" w:type="dxa"/>
            <w:vAlign w:val="top"/>
            <w:gridSpan w:val="5"/>
          </w:tcPr>
          <w:p>
            <w:pPr>
              <w:spacing w:line="315" w:lineRule="auto"/>
              <w:rPr>
                <w:rFonts w:ascii="Arial"/>
                <w:sz w:val="21"/>
              </w:rPr>
            </w:pPr>
            <w:r/>
          </w:p>
          <w:p>
            <w:pPr>
              <w:pStyle w:val="TableText"/>
              <w:ind w:left="585"/>
              <w:spacing w:before="77" w:line="192" w:lineRule="auto"/>
              <w:rPr>
                <w:rFonts w:ascii="Microsoft YaHei" w:hAnsi="Microsoft YaHei" w:eastAsia="Microsoft YaHei" w:cs="Microsoft YaHei"/>
                <w:sz w:val="18"/>
                <w:szCs w:val="18"/>
              </w:rPr>
            </w:pPr>
            <w:r>
              <w:rPr>
                <w:rFonts w:ascii="Times New Roman" w:hAnsi="Times New Roman" w:eastAsia="Times New Roman" w:cs="Times New Roman"/>
                <w:sz w:val="18"/>
                <w:szCs w:val="18"/>
                <w:spacing w:val="7"/>
              </w:rPr>
              <w:t>C </w:t>
            </w:r>
            <w:r>
              <w:rPr>
                <w:sz w:val="8"/>
                <w:szCs w:val="8"/>
                <w:spacing w:val="7"/>
                <w:position w:val="-2"/>
              </w:rPr>
              <w:t>叠加</w:t>
            </w:r>
            <w:r>
              <w:rPr>
                <w:sz w:val="18"/>
                <w:szCs w:val="18"/>
                <w:spacing w:val="7"/>
              </w:rPr>
              <w:t>不达标</w:t>
            </w:r>
            <w:r>
              <w:rPr>
                <w:rFonts w:ascii="Microsoft YaHei" w:hAnsi="Microsoft YaHei" w:eastAsia="Microsoft YaHei" w:cs="Microsoft YaHei"/>
                <w:sz w:val="18"/>
                <w:szCs w:val="18"/>
                <w:spacing w:val="7"/>
              </w:rPr>
              <w:t>□</w:t>
            </w:r>
          </w:p>
        </w:tc>
      </w:tr>
      <w:tr>
        <w:trPr>
          <w:trHeight w:val="609" w:hRule="atLeast"/>
        </w:trPr>
        <w:tc>
          <w:tcPr>
            <w:tcW w:w="735" w:type="dxa"/>
            <w:vAlign w:val="top"/>
            <w:vMerge w:val="continue"/>
            <w:tcBorders>
              <w:top w:val="nil"/>
            </w:tcBorders>
          </w:tcPr>
          <w:p>
            <w:pPr>
              <w:rPr>
                <w:rFonts w:ascii="Arial"/>
                <w:sz w:val="21"/>
              </w:rPr>
            </w:pPr>
            <w:r/>
          </w:p>
        </w:tc>
        <w:tc>
          <w:tcPr>
            <w:tcW w:w="1618" w:type="dxa"/>
            <w:vAlign w:val="top"/>
          </w:tcPr>
          <w:p>
            <w:pPr>
              <w:pStyle w:val="TableText"/>
              <w:ind w:left="360" w:right="89" w:hanging="257"/>
              <w:spacing w:before="92" w:line="260" w:lineRule="auto"/>
              <w:rPr>
                <w:sz w:val="18"/>
                <w:szCs w:val="18"/>
              </w:rPr>
            </w:pPr>
            <w:r>
              <w:rPr>
                <w:sz w:val="18"/>
                <w:szCs w:val="18"/>
                <w:spacing w:val="-3"/>
              </w:rPr>
              <w:t>区域环境质量的整</w:t>
            </w:r>
            <w:r>
              <w:rPr>
                <w:sz w:val="18"/>
                <w:szCs w:val="18"/>
                <w:spacing w:val="2"/>
              </w:rPr>
              <w:t xml:space="preserve"> </w:t>
            </w:r>
            <w:r>
              <w:rPr>
                <w:sz w:val="18"/>
                <w:szCs w:val="18"/>
                <w:spacing w:val="-2"/>
              </w:rPr>
              <w:t>体变化情况</w:t>
            </w:r>
          </w:p>
        </w:tc>
        <w:tc>
          <w:tcPr>
            <w:tcW w:w="3911" w:type="dxa"/>
            <w:vAlign w:val="top"/>
            <w:gridSpan w:val="7"/>
          </w:tcPr>
          <w:p>
            <w:pPr>
              <w:ind w:left="1584"/>
              <w:spacing w:before="245" w:line="200" w:lineRule="auto"/>
              <w:rPr>
                <w:rFonts w:ascii="Microsoft YaHei" w:hAnsi="Microsoft YaHei" w:eastAsia="Microsoft YaHei" w:cs="Microsoft YaHei"/>
                <w:sz w:val="18"/>
                <w:szCs w:val="18"/>
              </w:rPr>
            </w:pPr>
            <w:r>
              <w:rPr>
                <w:rFonts w:ascii="Times New Roman" w:hAnsi="Times New Roman" w:eastAsia="Times New Roman" w:cs="Times New Roman"/>
                <w:sz w:val="18"/>
                <w:szCs w:val="18"/>
                <w:spacing w:val="5"/>
              </w:rPr>
              <w:t>k≤-20%</w:t>
            </w:r>
            <w:r>
              <w:rPr>
                <w:rFonts w:ascii="Microsoft YaHei" w:hAnsi="Microsoft YaHei" w:eastAsia="Microsoft YaHei" w:cs="Microsoft YaHei"/>
                <w:sz w:val="18"/>
                <w:szCs w:val="18"/>
                <w:spacing w:val="5"/>
              </w:rPr>
              <w:t>□</w:t>
            </w:r>
          </w:p>
        </w:tc>
        <w:tc>
          <w:tcPr>
            <w:tcW w:w="2209" w:type="dxa"/>
            <w:vAlign w:val="top"/>
            <w:gridSpan w:val="5"/>
          </w:tcPr>
          <w:p>
            <w:pPr>
              <w:pStyle w:val="TableText"/>
              <w:ind w:left="692"/>
              <w:spacing w:before="242" w:line="210" w:lineRule="auto"/>
              <w:rPr>
                <w:rFonts w:ascii="Microsoft YaHei" w:hAnsi="Microsoft YaHei" w:eastAsia="Microsoft YaHei" w:cs="Microsoft YaHei"/>
                <w:sz w:val="18"/>
                <w:szCs w:val="18"/>
              </w:rPr>
            </w:pPr>
            <w:r>
              <w:rPr>
                <w:rFonts w:ascii="Times New Roman" w:hAnsi="Times New Roman" w:eastAsia="Times New Roman" w:cs="Times New Roman"/>
                <w:sz w:val="18"/>
                <w:szCs w:val="18"/>
                <w:spacing w:val="5"/>
              </w:rPr>
              <w:t>k</w:t>
            </w:r>
            <w:r>
              <w:rPr>
                <w:sz w:val="18"/>
                <w:szCs w:val="18"/>
                <w:spacing w:val="5"/>
              </w:rPr>
              <w:t>＞</w:t>
            </w:r>
            <w:r>
              <w:rPr>
                <w:rFonts w:ascii="Times New Roman" w:hAnsi="Times New Roman" w:eastAsia="Times New Roman" w:cs="Times New Roman"/>
                <w:sz w:val="18"/>
                <w:szCs w:val="18"/>
                <w:spacing w:val="5"/>
              </w:rPr>
              <w:t>-20%</w:t>
            </w:r>
            <w:r>
              <w:rPr>
                <w:rFonts w:ascii="Microsoft YaHei" w:hAnsi="Microsoft YaHei" w:eastAsia="Microsoft YaHei" w:cs="Microsoft YaHei"/>
                <w:sz w:val="18"/>
                <w:szCs w:val="18"/>
                <w:spacing w:val="5"/>
              </w:rPr>
              <w:t>□</w:t>
            </w:r>
          </w:p>
        </w:tc>
      </w:tr>
      <w:tr>
        <w:trPr>
          <w:trHeight w:val="609" w:hRule="atLeast"/>
        </w:trPr>
        <w:tc>
          <w:tcPr>
            <w:tcW w:w="735" w:type="dxa"/>
            <w:vAlign w:val="top"/>
            <w:vMerge w:val="restart"/>
            <w:tcBorders>
              <w:bottom w:val="nil"/>
            </w:tcBorders>
          </w:tcPr>
          <w:p>
            <w:pPr>
              <w:pStyle w:val="TableText"/>
              <w:ind w:left="12"/>
              <w:spacing w:before="247" w:line="220" w:lineRule="auto"/>
              <w:rPr>
                <w:sz w:val="18"/>
                <w:szCs w:val="18"/>
              </w:rPr>
            </w:pPr>
            <w:r>
              <w:rPr>
                <w:sz w:val="18"/>
                <w:szCs w:val="18"/>
                <w:spacing w:val="-2"/>
              </w:rPr>
              <w:t>环境监测</w:t>
            </w:r>
          </w:p>
          <w:p>
            <w:pPr>
              <w:pStyle w:val="TableText"/>
              <w:ind w:left="192"/>
              <w:spacing w:before="87" w:line="221" w:lineRule="auto"/>
              <w:rPr>
                <w:sz w:val="18"/>
                <w:szCs w:val="18"/>
              </w:rPr>
            </w:pPr>
            <w:r>
              <w:rPr>
                <w:sz w:val="18"/>
                <w:szCs w:val="18"/>
                <w:spacing w:val="-4"/>
              </w:rPr>
              <w:t>计划</w:t>
            </w:r>
          </w:p>
        </w:tc>
        <w:tc>
          <w:tcPr>
            <w:tcW w:w="1618" w:type="dxa"/>
            <w:vAlign w:val="top"/>
          </w:tcPr>
          <w:p>
            <w:pPr>
              <w:pStyle w:val="TableText"/>
              <w:ind w:left="363"/>
              <w:spacing w:before="242" w:line="220" w:lineRule="auto"/>
              <w:rPr>
                <w:sz w:val="18"/>
                <w:szCs w:val="18"/>
              </w:rPr>
            </w:pPr>
            <w:r>
              <w:rPr>
                <w:sz w:val="18"/>
                <w:szCs w:val="18"/>
                <w:spacing w:val="-2"/>
              </w:rPr>
              <w:t>污染源监测</w:t>
            </w:r>
          </w:p>
        </w:tc>
        <w:tc>
          <w:tcPr>
            <w:tcW w:w="3609" w:type="dxa"/>
            <w:vAlign w:val="top"/>
            <w:gridSpan w:val="6"/>
          </w:tcPr>
          <w:p>
            <w:pPr>
              <w:pStyle w:val="TableText"/>
              <w:spacing w:before="91" w:line="220" w:lineRule="auto"/>
              <w:jc w:val="right"/>
              <w:rPr>
                <w:sz w:val="18"/>
                <w:szCs w:val="18"/>
              </w:rPr>
            </w:pPr>
            <w:r>
              <w:rPr>
                <w:sz w:val="18"/>
                <w:szCs w:val="18"/>
                <w:spacing w:val="-9"/>
              </w:rPr>
              <w:t>监测因子（</w:t>
            </w:r>
            <w:r>
              <w:rPr>
                <w:rFonts w:ascii="Times New Roman" w:hAnsi="Times New Roman" w:eastAsia="Times New Roman" w:cs="Times New Roman"/>
                <w:sz w:val="18"/>
                <w:szCs w:val="18"/>
                <w:spacing w:val="-9"/>
              </w:rPr>
              <w:t>TSP</w:t>
            </w:r>
            <w:r>
              <w:rPr>
                <w:sz w:val="18"/>
                <w:szCs w:val="18"/>
                <w:spacing w:val="-9"/>
              </w:rPr>
              <w:t>、</w:t>
            </w:r>
            <w:r>
              <w:rPr>
                <w:rFonts w:ascii="Times New Roman" w:hAnsi="Times New Roman" w:eastAsia="Times New Roman" w:cs="Times New Roman"/>
                <w:sz w:val="18"/>
                <w:szCs w:val="18"/>
                <w:spacing w:val="-9"/>
              </w:rPr>
              <w:t>PM</w:t>
            </w:r>
            <w:r>
              <w:rPr>
                <w:rFonts w:ascii="Times New Roman" w:hAnsi="Times New Roman" w:eastAsia="Times New Roman" w:cs="Times New Roman"/>
                <w:sz w:val="11"/>
                <w:szCs w:val="11"/>
                <w:spacing w:val="3"/>
                <w:position w:val="-1"/>
              </w:rPr>
              <w:t>10</w:t>
            </w:r>
            <w:r>
              <w:rPr>
                <w:sz w:val="18"/>
                <w:szCs w:val="18"/>
                <w:spacing w:val="-12"/>
              </w:rPr>
              <w:t>、</w:t>
            </w:r>
            <w:r>
              <w:rPr>
                <w:rFonts w:ascii="Times New Roman" w:hAnsi="Times New Roman" w:eastAsia="Times New Roman" w:cs="Times New Roman"/>
                <w:sz w:val="18"/>
                <w:szCs w:val="18"/>
                <w:spacing w:val="-12"/>
              </w:rPr>
              <w:t>SO</w:t>
            </w:r>
            <w:r>
              <w:rPr>
                <w:rFonts w:ascii="Times New Roman" w:hAnsi="Times New Roman" w:eastAsia="Times New Roman" w:cs="Times New Roman"/>
                <w:sz w:val="11"/>
                <w:szCs w:val="11"/>
                <w:spacing w:val="1"/>
                <w:position w:val="-1"/>
              </w:rPr>
              <w:t>2</w:t>
            </w:r>
            <w:r>
              <w:rPr>
                <w:sz w:val="18"/>
                <w:szCs w:val="18"/>
                <w:spacing w:val="-13"/>
              </w:rPr>
              <w:t>、</w:t>
            </w:r>
            <w:r>
              <w:rPr>
                <w:rFonts w:ascii="Times New Roman" w:hAnsi="Times New Roman" w:eastAsia="Times New Roman" w:cs="Times New Roman"/>
                <w:sz w:val="18"/>
                <w:szCs w:val="18"/>
                <w:spacing w:val="-13"/>
              </w:rPr>
              <w:t>NO</w:t>
            </w:r>
            <w:r>
              <w:rPr>
                <w:rFonts w:ascii="Times New Roman" w:hAnsi="Times New Roman" w:eastAsia="Times New Roman" w:cs="Times New Roman"/>
                <w:sz w:val="11"/>
                <w:szCs w:val="11"/>
                <w:spacing w:val="5"/>
                <w:position w:val="-1"/>
              </w:rPr>
              <w:t>x</w:t>
            </w:r>
            <w:r>
              <w:rPr>
                <w:sz w:val="18"/>
                <w:szCs w:val="18"/>
                <w:spacing w:val="-18"/>
              </w:rPr>
              <w:t>、</w:t>
            </w:r>
            <w:r>
              <w:rPr>
                <w:rFonts w:ascii="Times New Roman" w:hAnsi="Times New Roman" w:eastAsia="Times New Roman" w:cs="Times New Roman"/>
                <w:sz w:val="18"/>
                <w:szCs w:val="18"/>
                <w:spacing w:val="-18"/>
              </w:rPr>
              <w:t>H</w:t>
            </w:r>
            <w:r>
              <w:rPr>
                <w:rFonts w:ascii="Times New Roman" w:hAnsi="Times New Roman" w:eastAsia="Times New Roman" w:cs="Times New Roman"/>
                <w:sz w:val="11"/>
                <w:szCs w:val="11"/>
                <w:position w:val="-1"/>
              </w:rPr>
              <w:t>2</w:t>
            </w:r>
            <w:r>
              <w:rPr>
                <w:rFonts w:ascii="Times New Roman" w:hAnsi="Times New Roman" w:eastAsia="Times New Roman" w:cs="Times New Roman"/>
                <w:sz w:val="18"/>
                <w:szCs w:val="18"/>
              </w:rPr>
              <w:t>S</w:t>
            </w:r>
            <w:r>
              <w:rPr>
                <w:sz w:val="18"/>
                <w:szCs w:val="18"/>
                <w:spacing w:val="-13"/>
              </w:rPr>
              <w:t>、</w:t>
            </w:r>
            <w:r>
              <w:rPr>
                <w:rFonts w:ascii="Times New Roman" w:hAnsi="Times New Roman" w:eastAsia="Times New Roman" w:cs="Times New Roman"/>
                <w:sz w:val="18"/>
                <w:szCs w:val="18"/>
                <w:spacing w:val="-13"/>
              </w:rPr>
              <w:t>NH</w:t>
            </w:r>
            <w:r>
              <w:rPr>
                <w:rFonts w:ascii="Times New Roman" w:hAnsi="Times New Roman" w:eastAsia="Times New Roman" w:cs="Times New Roman"/>
                <w:sz w:val="11"/>
                <w:szCs w:val="11"/>
                <w:spacing w:val="3"/>
                <w:position w:val="-1"/>
              </w:rPr>
              <w:t>3</w:t>
            </w:r>
            <w:r>
              <w:rPr>
                <w:sz w:val="18"/>
                <w:szCs w:val="18"/>
                <w:spacing w:val="-33"/>
              </w:rPr>
              <w:t>、</w:t>
            </w:r>
          </w:p>
          <w:p>
            <w:pPr>
              <w:pStyle w:val="TableText"/>
              <w:ind w:left="1359"/>
              <w:spacing w:before="88" w:line="210" w:lineRule="auto"/>
              <w:rPr>
                <w:sz w:val="18"/>
                <w:szCs w:val="18"/>
              </w:rPr>
            </w:pPr>
            <w:r>
              <w:rPr>
                <w:sz w:val="18"/>
                <w:szCs w:val="18"/>
                <w:spacing w:val="-2"/>
              </w:rPr>
              <w:t>臭气浓度）</w:t>
            </w:r>
          </w:p>
        </w:tc>
        <w:tc>
          <w:tcPr>
            <w:tcW w:w="1499" w:type="dxa"/>
            <w:vAlign w:val="top"/>
            <w:gridSpan w:val="4"/>
          </w:tcPr>
          <w:p>
            <w:pPr>
              <w:pStyle w:val="TableText"/>
              <w:ind w:left="45" w:right="35"/>
              <w:spacing w:before="91" w:line="197" w:lineRule="auto"/>
              <w:rPr>
                <w:rFonts w:ascii="Microsoft YaHei" w:hAnsi="Microsoft YaHei" w:eastAsia="Microsoft YaHei" w:cs="Microsoft YaHei"/>
                <w:sz w:val="18"/>
                <w:szCs w:val="18"/>
              </w:rPr>
            </w:pPr>
            <w:r>
              <w:rPr>
                <w:sz w:val="18"/>
                <w:szCs w:val="18"/>
                <w:spacing w:val="-4"/>
              </w:rPr>
              <w:t>有组织废气监测</w:t>
            </w:r>
            <w:r>
              <w:rPr>
                <w:rFonts w:ascii="Microsoft YaHei" w:hAnsi="Microsoft YaHei" w:eastAsia="Microsoft YaHei" w:cs="Microsoft YaHei"/>
                <w:sz w:val="18"/>
                <w:szCs w:val="18"/>
                <w:spacing w:val="-4"/>
              </w:rPr>
              <w:t>⑦</w:t>
            </w:r>
            <w:r>
              <w:rPr>
                <w:rFonts w:ascii="Microsoft YaHei" w:hAnsi="Microsoft YaHei" w:eastAsia="Microsoft YaHei" w:cs="Microsoft YaHei"/>
                <w:sz w:val="18"/>
                <w:szCs w:val="18"/>
                <w:spacing w:val="3"/>
              </w:rPr>
              <w:t xml:space="preserve"> </w:t>
            </w:r>
            <w:r>
              <w:rPr>
                <w:sz w:val="18"/>
                <w:szCs w:val="18"/>
                <w:spacing w:val="-4"/>
              </w:rPr>
              <w:t>无组织废气监测</w:t>
            </w:r>
            <w:r>
              <w:rPr>
                <w:rFonts w:ascii="Microsoft YaHei" w:hAnsi="Microsoft YaHei" w:eastAsia="Microsoft YaHei" w:cs="Microsoft YaHei"/>
                <w:sz w:val="18"/>
                <w:szCs w:val="18"/>
                <w:spacing w:val="-4"/>
              </w:rPr>
              <w:t>⑦</w:t>
            </w:r>
          </w:p>
        </w:tc>
        <w:tc>
          <w:tcPr>
            <w:tcW w:w="1012" w:type="dxa"/>
            <w:vAlign w:val="top"/>
            <w:gridSpan w:val="2"/>
          </w:tcPr>
          <w:p>
            <w:pPr>
              <w:pStyle w:val="TableText"/>
              <w:ind w:left="162"/>
              <w:spacing w:before="243" w:line="200" w:lineRule="auto"/>
              <w:rPr>
                <w:rFonts w:ascii="Microsoft YaHei" w:hAnsi="Microsoft YaHei" w:eastAsia="Microsoft YaHei" w:cs="Microsoft YaHei"/>
                <w:sz w:val="18"/>
                <w:szCs w:val="18"/>
              </w:rPr>
            </w:pPr>
            <w:r>
              <w:rPr>
                <w:sz w:val="18"/>
                <w:szCs w:val="18"/>
                <w:spacing w:val="8"/>
              </w:rPr>
              <w:t>无监测</w:t>
            </w:r>
            <w:r>
              <w:rPr>
                <w:rFonts w:ascii="Microsoft YaHei" w:hAnsi="Microsoft YaHei" w:eastAsia="Microsoft YaHei" w:cs="Microsoft YaHei"/>
                <w:sz w:val="18"/>
                <w:szCs w:val="18"/>
                <w:spacing w:val="8"/>
              </w:rPr>
              <w:t>□</w:t>
            </w:r>
          </w:p>
        </w:tc>
      </w:tr>
      <w:tr>
        <w:trPr>
          <w:trHeight w:val="307" w:hRule="atLeast"/>
        </w:trPr>
        <w:tc>
          <w:tcPr>
            <w:tcW w:w="735" w:type="dxa"/>
            <w:vAlign w:val="top"/>
            <w:vMerge w:val="continue"/>
            <w:tcBorders>
              <w:top w:val="nil"/>
            </w:tcBorders>
          </w:tcPr>
          <w:p>
            <w:pPr>
              <w:rPr>
                <w:rFonts w:ascii="Arial"/>
                <w:sz w:val="21"/>
              </w:rPr>
            </w:pPr>
            <w:r/>
          </w:p>
        </w:tc>
        <w:tc>
          <w:tcPr>
            <w:tcW w:w="1618" w:type="dxa"/>
            <w:vAlign w:val="top"/>
          </w:tcPr>
          <w:p>
            <w:pPr>
              <w:pStyle w:val="TableText"/>
              <w:ind w:left="270"/>
              <w:spacing w:before="92" w:line="210" w:lineRule="auto"/>
              <w:rPr>
                <w:sz w:val="18"/>
                <w:szCs w:val="18"/>
              </w:rPr>
            </w:pPr>
            <w:r>
              <w:rPr>
                <w:sz w:val="18"/>
                <w:szCs w:val="18"/>
                <w:spacing w:val="-2"/>
              </w:rPr>
              <w:t>环境质量监测</w:t>
            </w:r>
          </w:p>
        </w:tc>
        <w:tc>
          <w:tcPr>
            <w:tcW w:w="3609" w:type="dxa"/>
            <w:vAlign w:val="top"/>
            <w:gridSpan w:val="6"/>
          </w:tcPr>
          <w:p>
            <w:pPr>
              <w:pStyle w:val="TableText"/>
              <w:ind w:left="124"/>
              <w:spacing w:before="92" w:line="210" w:lineRule="auto"/>
              <w:rPr>
                <w:sz w:val="18"/>
                <w:szCs w:val="18"/>
              </w:rPr>
            </w:pPr>
            <w:r>
              <w:rPr>
                <w:sz w:val="18"/>
                <w:szCs w:val="18"/>
                <w:spacing w:val="-1"/>
              </w:rPr>
              <w:t>监测因子（硫化氢、氨、臭气浓度、</w:t>
            </w:r>
            <w:r>
              <w:rPr>
                <w:rFonts w:ascii="Times New Roman" w:hAnsi="Times New Roman" w:eastAsia="Times New Roman" w:cs="Times New Roman"/>
                <w:sz w:val="18"/>
                <w:szCs w:val="18"/>
                <w:spacing w:val="-1"/>
              </w:rPr>
              <w:t>TSP</w:t>
            </w:r>
            <w:r>
              <w:rPr>
                <w:sz w:val="18"/>
                <w:szCs w:val="18"/>
                <w:spacing w:val="-1"/>
              </w:rPr>
              <w:t>）</w:t>
            </w:r>
          </w:p>
        </w:tc>
        <w:tc>
          <w:tcPr>
            <w:tcW w:w="1499" w:type="dxa"/>
            <w:vAlign w:val="top"/>
            <w:gridSpan w:val="4"/>
          </w:tcPr>
          <w:p>
            <w:pPr>
              <w:pStyle w:val="TableText"/>
              <w:ind w:left="81"/>
              <w:spacing w:before="92" w:line="210" w:lineRule="auto"/>
              <w:rPr>
                <w:sz w:val="18"/>
                <w:szCs w:val="18"/>
              </w:rPr>
            </w:pPr>
            <w:r>
              <w:rPr>
                <w:sz w:val="18"/>
                <w:szCs w:val="18"/>
                <w:spacing w:val="-1"/>
              </w:rPr>
              <w:t>监测点位数（</w:t>
            </w:r>
            <w:r>
              <w:rPr>
                <w:rFonts w:ascii="Times New Roman" w:hAnsi="Times New Roman" w:eastAsia="Times New Roman" w:cs="Times New Roman"/>
                <w:sz w:val="18"/>
                <w:szCs w:val="18"/>
                <w:spacing w:val="-1"/>
              </w:rPr>
              <w:t>2</w:t>
            </w:r>
            <w:r>
              <w:rPr>
                <w:sz w:val="18"/>
                <w:szCs w:val="18"/>
                <w:spacing w:val="-1"/>
              </w:rPr>
              <w:t>）</w:t>
            </w:r>
          </w:p>
        </w:tc>
        <w:tc>
          <w:tcPr>
            <w:tcW w:w="1012" w:type="dxa"/>
            <w:vAlign w:val="top"/>
            <w:gridSpan w:val="2"/>
          </w:tcPr>
          <w:p>
            <w:pPr>
              <w:pStyle w:val="TableText"/>
              <w:ind w:left="162"/>
              <w:spacing w:before="92" w:line="159" w:lineRule="auto"/>
              <w:rPr>
                <w:rFonts w:ascii="Microsoft YaHei" w:hAnsi="Microsoft YaHei" w:eastAsia="Microsoft YaHei" w:cs="Microsoft YaHei"/>
                <w:sz w:val="18"/>
                <w:szCs w:val="18"/>
              </w:rPr>
            </w:pPr>
            <w:r>
              <w:rPr>
                <w:sz w:val="18"/>
                <w:szCs w:val="18"/>
                <w:spacing w:val="8"/>
              </w:rPr>
              <w:t>无监测</w:t>
            </w:r>
            <w:r>
              <w:rPr>
                <w:rFonts w:ascii="Microsoft YaHei" w:hAnsi="Microsoft YaHei" w:eastAsia="Microsoft YaHei" w:cs="Microsoft YaHei"/>
                <w:sz w:val="18"/>
                <w:szCs w:val="18"/>
                <w:spacing w:val="8"/>
              </w:rPr>
              <w:t>□</w:t>
            </w:r>
          </w:p>
        </w:tc>
      </w:tr>
      <w:tr>
        <w:trPr>
          <w:trHeight w:val="307" w:hRule="atLeast"/>
        </w:trPr>
        <w:tc>
          <w:tcPr>
            <w:tcW w:w="735" w:type="dxa"/>
            <w:vAlign w:val="top"/>
            <w:vMerge w:val="restart"/>
            <w:tcBorders>
              <w:bottom w:val="nil"/>
            </w:tcBorders>
          </w:tcPr>
          <w:p>
            <w:pPr>
              <w:spacing w:line="343" w:lineRule="auto"/>
              <w:rPr>
                <w:rFonts w:ascii="Arial"/>
                <w:sz w:val="21"/>
              </w:rPr>
            </w:pPr>
            <w:r/>
          </w:p>
          <w:p>
            <w:pPr>
              <w:pStyle w:val="TableText"/>
              <w:ind w:left="11"/>
              <w:spacing w:before="58" w:line="218" w:lineRule="auto"/>
              <w:rPr>
                <w:sz w:val="18"/>
                <w:szCs w:val="18"/>
              </w:rPr>
            </w:pPr>
            <w:r>
              <w:rPr>
                <w:sz w:val="18"/>
                <w:szCs w:val="18"/>
                <w:spacing w:val="-2"/>
              </w:rPr>
              <w:t>评价结论</w:t>
            </w:r>
          </w:p>
        </w:tc>
        <w:tc>
          <w:tcPr>
            <w:tcW w:w="1618" w:type="dxa"/>
            <w:vAlign w:val="top"/>
          </w:tcPr>
          <w:p>
            <w:pPr>
              <w:pStyle w:val="TableText"/>
              <w:ind w:left="450"/>
              <w:spacing w:before="92" w:line="210" w:lineRule="auto"/>
              <w:rPr>
                <w:sz w:val="18"/>
                <w:szCs w:val="18"/>
              </w:rPr>
            </w:pPr>
            <w:r>
              <w:rPr>
                <w:sz w:val="18"/>
                <w:szCs w:val="18"/>
                <w:spacing w:val="-2"/>
              </w:rPr>
              <w:t>环境影响</w:t>
            </w:r>
          </w:p>
        </w:tc>
        <w:tc>
          <w:tcPr>
            <w:tcW w:w="3609" w:type="dxa"/>
            <w:vAlign w:val="top"/>
            <w:gridSpan w:val="6"/>
          </w:tcPr>
          <w:p>
            <w:pPr>
              <w:pStyle w:val="TableText"/>
              <w:ind w:left="1370"/>
              <w:spacing w:before="92" w:line="159" w:lineRule="auto"/>
              <w:rPr>
                <w:rFonts w:ascii="Microsoft YaHei" w:hAnsi="Microsoft YaHei" w:eastAsia="Microsoft YaHei" w:cs="Microsoft YaHei"/>
                <w:sz w:val="18"/>
                <w:szCs w:val="18"/>
              </w:rPr>
            </w:pPr>
            <w:r>
              <w:rPr>
                <w:sz w:val="18"/>
                <w:szCs w:val="18"/>
                <w:spacing w:val="-2"/>
              </w:rPr>
              <w:t>可以接受</w:t>
            </w:r>
            <w:r>
              <w:rPr>
                <w:rFonts w:ascii="Microsoft YaHei" w:hAnsi="Microsoft YaHei" w:eastAsia="Microsoft YaHei" w:cs="Microsoft YaHei"/>
                <w:sz w:val="18"/>
                <w:szCs w:val="18"/>
                <w:spacing w:val="-2"/>
              </w:rPr>
              <w:t>⑦</w:t>
            </w:r>
          </w:p>
        </w:tc>
        <w:tc>
          <w:tcPr>
            <w:tcW w:w="2511" w:type="dxa"/>
            <w:vAlign w:val="top"/>
            <w:gridSpan w:val="6"/>
          </w:tcPr>
          <w:p>
            <w:pPr>
              <w:pStyle w:val="TableText"/>
              <w:ind w:left="732"/>
              <w:spacing w:before="92" w:line="159" w:lineRule="auto"/>
              <w:rPr>
                <w:rFonts w:ascii="Microsoft YaHei" w:hAnsi="Microsoft YaHei" w:eastAsia="Microsoft YaHei" w:cs="Microsoft YaHei"/>
                <w:sz w:val="18"/>
                <w:szCs w:val="18"/>
              </w:rPr>
            </w:pPr>
            <w:r>
              <w:rPr>
                <w:sz w:val="18"/>
                <w:szCs w:val="18"/>
                <w:spacing w:val="5"/>
              </w:rPr>
              <w:t>不可以接受</w:t>
            </w:r>
            <w:r>
              <w:rPr>
                <w:rFonts w:ascii="Microsoft YaHei" w:hAnsi="Microsoft YaHei" w:eastAsia="Microsoft YaHei" w:cs="Microsoft YaHei"/>
                <w:sz w:val="18"/>
                <w:szCs w:val="18"/>
                <w:spacing w:val="5"/>
              </w:rPr>
              <w:t>□</w:t>
            </w:r>
          </w:p>
        </w:tc>
      </w:tr>
      <w:tr>
        <w:trPr>
          <w:trHeight w:val="307" w:hRule="atLeast"/>
        </w:trPr>
        <w:tc>
          <w:tcPr>
            <w:tcW w:w="735" w:type="dxa"/>
            <w:vAlign w:val="top"/>
            <w:vMerge w:val="continue"/>
            <w:tcBorders>
              <w:top w:val="nil"/>
              <w:bottom w:val="nil"/>
            </w:tcBorders>
          </w:tcPr>
          <w:p>
            <w:pPr>
              <w:rPr>
                <w:rFonts w:ascii="Arial"/>
                <w:sz w:val="21"/>
              </w:rPr>
            </w:pPr>
            <w:r/>
          </w:p>
        </w:tc>
        <w:tc>
          <w:tcPr>
            <w:tcW w:w="1618" w:type="dxa"/>
            <w:vAlign w:val="top"/>
          </w:tcPr>
          <w:p>
            <w:pPr>
              <w:pStyle w:val="TableText"/>
              <w:ind w:left="92"/>
              <w:spacing w:before="92" w:line="210" w:lineRule="auto"/>
              <w:rPr>
                <w:sz w:val="18"/>
                <w:szCs w:val="18"/>
              </w:rPr>
            </w:pPr>
            <w:r>
              <w:rPr>
                <w:sz w:val="18"/>
                <w:szCs w:val="18"/>
                <w:spacing w:val="-2"/>
              </w:rPr>
              <w:t>大气环境防护距离</w:t>
            </w:r>
          </w:p>
        </w:tc>
        <w:tc>
          <w:tcPr>
            <w:tcW w:w="6120" w:type="dxa"/>
            <w:vAlign w:val="top"/>
            <w:gridSpan w:val="12"/>
          </w:tcPr>
          <w:p>
            <w:pPr>
              <w:pStyle w:val="TableText"/>
              <w:ind w:left="1352"/>
              <w:spacing w:before="92" w:line="210" w:lineRule="auto"/>
              <w:rPr>
                <w:sz w:val="18"/>
                <w:szCs w:val="18"/>
              </w:rPr>
            </w:pPr>
            <w:r>
              <w:rPr>
                <w:sz w:val="18"/>
                <w:szCs w:val="18"/>
                <w:spacing w:val="-1"/>
              </w:rPr>
              <w:t>根据预测结果，本项目无需设大气防护距离</w:t>
            </w:r>
          </w:p>
        </w:tc>
      </w:tr>
      <w:tr>
        <w:trPr>
          <w:trHeight w:val="307" w:hRule="atLeast"/>
        </w:trPr>
        <w:tc>
          <w:tcPr>
            <w:tcW w:w="735" w:type="dxa"/>
            <w:vAlign w:val="top"/>
            <w:vMerge w:val="continue"/>
            <w:tcBorders>
              <w:top w:val="nil"/>
            </w:tcBorders>
          </w:tcPr>
          <w:p>
            <w:pPr>
              <w:rPr>
                <w:rFonts w:ascii="Arial"/>
                <w:sz w:val="21"/>
              </w:rPr>
            </w:pPr>
            <w:r/>
          </w:p>
        </w:tc>
        <w:tc>
          <w:tcPr>
            <w:tcW w:w="1618" w:type="dxa"/>
            <w:vAlign w:val="top"/>
          </w:tcPr>
          <w:p>
            <w:pPr>
              <w:pStyle w:val="TableText"/>
              <w:ind w:left="70"/>
              <w:spacing w:before="92" w:line="210" w:lineRule="auto"/>
              <w:rPr>
                <w:rFonts w:ascii="Times New Roman" w:hAnsi="Times New Roman" w:eastAsia="Times New Roman" w:cs="Times New Roman"/>
                <w:sz w:val="18"/>
                <w:szCs w:val="18"/>
              </w:rPr>
            </w:pPr>
            <w:r>
              <w:rPr>
                <w:sz w:val="18"/>
                <w:szCs w:val="18"/>
                <w:spacing w:val="-1"/>
              </w:rPr>
              <w:t>污染源年排放量</w:t>
            </w:r>
            <w:r>
              <w:rPr>
                <w:sz w:val="18"/>
                <w:szCs w:val="18"/>
                <w:spacing w:val="-43"/>
              </w:rPr>
              <w:t xml:space="preserve"> </w:t>
            </w:r>
            <w:r>
              <w:rPr>
                <w:rFonts w:ascii="Times New Roman" w:hAnsi="Times New Roman" w:eastAsia="Times New Roman" w:cs="Times New Roman"/>
                <w:sz w:val="18"/>
                <w:szCs w:val="18"/>
                <w:spacing w:val="-1"/>
              </w:rPr>
              <w:t>t/a</w:t>
            </w:r>
          </w:p>
        </w:tc>
        <w:tc>
          <w:tcPr>
            <w:tcW w:w="2154" w:type="dxa"/>
            <w:vAlign w:val="top"/>
            <w:gridSpan w:val="4"/>
          </w:tcPr>
          <w:p>
            <w:pPr>
              <w:ind w:left="1050"/>
              <w:spacing w:before="119"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1455" w:type="dxa"/>
            <w:vAlign w:val="top"/>
            <w:gridSpan w:val="2"/>
          </w:tcPr>
          <w:p>
            <w:pPr>
              <w:pStyle w:val="TableText"/>
              <w:ind w:left="183"/>
              <w:spacing w:before="92" w:line="210" w:lineRule="auto"/>
              <w:rPr>
                <w:sz w:val="18"/>
                <w:szCs w:val="18"/>
              </w:rPr>
            </w:pPr>
            <w:r>
              <w:rPr>
                <w:rFonts w:ascii="Times New Roman" w:hAnsi="Times New Roman" w:eastAsia="Times New Roman" w:cs="Times New Roman"/>
                <w:sz w:val="18"/>
                <w:szCs w:val="18"/>
              </w:rPr>
              <w:t>NO</w:t>
            </w:r>
            <w:r>
              <w:rPr>
                <w:rFonts w:ascii="Times New Roman" w:hAnsi="Times New Roman" w:eastAsia="Times New Roman" w:cs="Times New Roman"/>
                <w:sz w:val="11"/>
                <w:szCs w:val="11"/>
                <w:position w:val="-1"/>
              </w:rPr>
              <w:t>x</w:t>
            </w:r>
            <w:r>
              <w:rPr>
                <w:sz w:val="18"/>
                <w:szCs w:val="18"/>
              </w:rPr>
              <w:t>（</w:t>
            </w:r>
            <w:r>
              <w:rPr>
                <w:rFonts w:ascii="Times New Roman" w:hAnsi="Times New Roman" w:eastAsia="Times New Roman" w:cs="Times New Roman"/>
                <w:sz w:val="18"/>
                <w:szCs w:val="18"/>
              </w:rPr>
              <w:t>5.038</w:t>
            </w:r>
            <w:r>
              <w:rPr>
                <w:sz w:val="18"/>
                <w:szCs w:val="18"/>
              </w:rPr>
              <w:t>）</w:t>
            </w:r>
          </w:p>
        </w:tc>
        <w:tc>
          <w:tcPr>
            <w:tcW w:w="1499" w:type="dxa"/>
            <w:vAlign w:val="top"/>
            <w:gridSpan w:val="4"/>
          </w:tcPr>
          <w:p>
            <w:pPr>
              <w:ind w:left="724"/>
              <w:spacing w:before="119"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1012" w:type="dxa"/>
            <w:vAlign w:val="top"/>
            <w:gridSpan w:val="2"/>
          </w:tcPr>
          <w:p>
            <w:pPr>
              <w:ind w:left="478"/>
              <w:spacing w:before="119"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r>
      <w:tr>
        <w:trPr>
          <w:trHeight w:val="311" w:hRule="atLeast"/>
        </w:trPr>
        <w:tc>
          <w:tcPr>
            <w:tcW w:w="8473" w:type="dxa"/>
            <w:vAlign w:val="top"/>
            <w:gridSpan w:val="14"/>
          </w:tcPr>
          <w:p>
            <w:pPr>
              <w:pStyle w:val="TableText"/>
              <w:ind w:left="12"/>
              <w:spacing w:before="59" w:line="241" w:lineRule="exact"/>
              <w:rPr>
                <w:sz w:val="18"/>
                <w:szCs w:val="18"/>
              </w:rPr>
            </w:pPr>
            <w:r>
              <w:rPr>
                <w:sz w:val="18"/>
                <w:szCs w:val="18"/>
                <w:spacing w:val="-4"/>
              </w:rPr>
              <w:t>注：</w:t>
            </w:r>
            <w:r>
              <w:rPr>
                <w:rFonts w:ascii="Times New Roman" w:hAnsi="Times New Roman" w:eastAsia="Times New Roman" w:cs="Times New Roman"/>
                <w:sz w:val="18"/>
                <w:szCs w:val="18"/>
                <w:spacing w:val="-4"/>
              </w:rPr>
              <w:t>“□”</w:t>
            </w:r>
            <w:r>
              <w:rPr>
                <w:sz w:val="18"/>
                <w:szCs w:val="18"/>
                <w:spacing w:val="-4"/>
              </w:rPr>
              <w:t>为勾选项，填</w:t>
            </w:r>
            <w:r>
              <w:rPr>
                <w:rFonts w:ascii="Times New Roman" w:hAnsi="Times New Roman" w:eastAsia="Times New Roman" w:cs="Times New Roman"/>
                <w:sz w:val="18"/>
                <w:szCs w:val="18"/>
                <w:spacing w:val="-4"/>
              </w:rPr>
              <w:t>“√”</w:t>
            </w:r>
            <w:r>
              <w:rPr>
                <w:rFonts w:ascii="Times New Roman" w:hAnsi="Times New Roman" w:eastAsia="Times New Roman" w:cs="Times New Roman"/>
                <w:sz w:val="18"/>
                <w:szCs w:val="18"/>
                <w:spacing w:val="-6"/>
              </w:rPr>
              <w:t xml:space="preserve"> </w:t>
            </w:r>
            <w:r>
              <w:rPr>
                <w:sz w:val="18"/>
                <w:szCs w:val="18"/>
                <w:spacing w:val="-4"/>
              </w:rPr>
              <w:t>;</w:t>
            </w:r>
            <w:r>
              <w:rPr>
                <w:sz w:val="18"/>
                <w:szCs w:val="18"/>
                <w:spacing w:val="42"/>
              </w:rPr>
              <w:t xml:space="preserve"> </w:t>
            </w:r>
            <w:r>
              <w:rPr>
                <w:rFonts w:ascii="Times New Roman" w:hAnsi="Times New Roman" w:eastAsia="Times New Roman" w:cs="Times New Roman"/>
                <w:sz w:val="18"/>
                <w:szCs w:val="18"/>
                <w:spacing w:val="-4"/>
              </w:rPr>
              <w:t>“  </w:t>
            </w:r>
            <w:r>
              <w:rPr>
                <w:sz w:val="18"/>
                <w:szCs w:val="18"/>
                <w:spacing w:val="-4"/>
              </w:rPr>
              <w:t>()</w:t>
            </w:r>
            <w:r>
              <w:rPr>
                <w:sz w:val="18"/>
                <w:szCs w:val="18"/>
                <w:spacing w:val="18"/>
              </w:rPr>
              <w:t xml:space="preserve"> </w:t>
            </w:r>
            <w:r>
              <w:rPr>
                <w:rFonts w:ascii="Times New Roman" w:hAnsi="Times New Roman" w:eastAsia="Times New Roman" w:cs="Times New Roman"/>
                <w:sz w:val="18"/>
                <w:szCs w:val="18"/>
                <w:spacing w:val="-4"/>
              </w:rPr>
              <w:t>”</w:t>
            </w:r>
            <w:r>
              <w:rPr>
                <w:sz w:val="18"/>
                <w:szCs w:val="18"/>
                <w:spacing w:val="-4"/>
              </w:rPr>
              <w:t>为内容填写项</w:t>
            </w:r>
          </w:p>
        </w:tc>
      </w:tr>
    </w:tbl>
    <w:p>
      <w:pPr>
        <w:ind w:left="15"/>
        <w:spacing w:before="201" w:line="222" w:lineRule="auto"/>
        <w:outlineLvl w:val="1"/>
        <w:rPr>
          <w:rFonts w:ascii="SimHei" w:hAnsi="SimHei" w:eastAsia="SimHei" w:cs="SimHei"/>
          <w:sz w:val="30"/>
          <w:szCs w:val="30"/>
        </w:rPr>
      </w:pPr>
      <w:bookmarkStart w:name="bookmark92" w:id="116"/>
      <w:bookmarkEnd w:id="116"/>
      <w:bookmarkStart w:name="bookmark93" w:id="117"/>
      <w:bookmarkEnd w:id="117"/>
      <w:r>
        <w:rPr>
          <w:rFonts w:ascii="Times New Roman" w:hAnsi="Times New Roman" w:eastAsia="Times New Roman" w:cs="Times New Roman"/>
          <w:sz w:val="30"/>
          <w:szCs w:val="30"/>
          <w:spacing w:val="-1"/>
        </w:rPr>
        <w:t>5.2 </w:t>
      </w:r>
      <w:r>
        <w:rPr>
          <w:rFonts w:ascii="SimHei" w:hAnsi="SimHei" w:eastAsia="SimHei" w:cs="SimHei"/>
          <w:sz w:val="30"/>
          <w:szCs w:val="30"/>
          <w:spacing w:val="-1"/>
        </w:rPr>
        <w:t>地表水环境影响分析与评价</w:t>
      </w:r>
    </w:p>
    <w:p>
      <w:pPr>
        <w:pStyle w:val="BodyText"/>
        <w:spacing w:line="281" w:lineRule="auto"/>
        <w:rPr/>
      </w:pPr>
      <w:r/>
    </w:p>
    <w:p>
      <w:pPr>
        <w:ind w:left="14"/>
        <w:spacing w:before="91" w:line="222" w:lineRule="auto"/>
        <w:outlineLvl w:val="2"/>
        <w:rPr>
          <w:rFonts w:ascii="SimHei" w:hAnsi="SimHei" w:eastAsia="SimHei" w:cs="SimHei"/>
          <w:sz w:val="28"/>
          <w:szCs w:val="28"/>
        </w:rPr>
      </w:pPr>
      <w:bookmarkStart w:name="bookmark238" w:id="118"/>
      <w:bookmarkEnd w:id="118"/>
      <w:r>
        <w:rPr>
          <w:rFonts w:ascii="Times New Roman" w:hAnsi="Times New Roman" w:eastAsia="Times New Roman" w:cs="Times New Roman"/>
          <w:sz w:val="28"/>
          <w:szCs w:val="28"/>
          <w:spacing w:val="-2"/>
        </w:rPr>
        <w:t>5.2.1 </w:t>
      </w:r>
      <w:r>
        <w:rPr>
          <w:rFonts w:ascii="SimHei" w:hAnsi="SimHei" w:eastAsia="SimHei" w:cs="SimHei"/>
          <w:sz w:val="28"/>
          <w:szCs w:val="28"/>
          <w:spacing w:val="-2"/>
        </w:rPr>
        <w:t>项目排水情况</w:t>
      </w:r>
    </w:p>
    <w:p>
      <w:pPr>
        <w:pStyle w:val="BodyText"/>
        <w:spacing w:line="278" w:lineRule="auto"/>
        <w:rPr/>
      </w:pPr>
      <w:r/>
    </w:p>
    <w:p>
      <w:pPr>
        <w:ind w:left="8" w:firstLine="481"/>
        <w:spacing w:before="78" w:line="360" w:lineRule="auto"/>
        <w:jc w:val="both"/>
        <w:rPr>
          <w:rFonts w:ascii="SimSun" w:hAnsi="SimSun" w:eastAsia="SimSun" w:cs="SimSun"/>
          <w:sz w:val="24"/>
          <w:szCs w:val="24"/>
        </w:rPr>
      </w:pPr>
      <w:r>
        <w:rPr>
          <w:rFonts w:ascii="SimSun" w:hAnsi="SimSun" w:eastAsia="SimSun" w:cs="SimSun"/>
          <w:sz w:val="24"/>
          <w:szCs w:val="24"/>
        </w:rPr>
        <w:t>本项目洗毛废水、车间地面冲洗水、冲厕废水经废水收集池</w:t>
      </w:r>
      <w:r>
        <w:rPr>
          <w:rFonts w:ascii="SimSun" w:hAnsi="SimSun" w:eastAsia="SimSun" w:cs="SimSun"/>
          <w:sz w:val="24"/>
          <w:szCs w:val="24"/>
          <w:spacing w:val="-1"/>
        </w:rPr>
        <w:t>收集、</w:t>
      </w:r>
      <w:r>
        <w:rPr>
          <w:rFonts w:ascii="Times New Roman" w:hAnsi="Times New Roman" w:eastAsia="Times New Roman" w:cs="Times New Roman"/>
          <w:sz w:val="24"/>
          <w:szCs w:val="24"/>
          <w:spacing w:val="-1"/>
        </w:rPr>
        <w:t>TS </w:t>
      </w:r>
      <w:r>
        <w:rPr>
          <w:rFonts w:ascii="SimSun" w:hAnsi="SimSun" w:eastAsia="SimSun" w:cs="SimSun"/>
          <w:sz w:val="24"/>
          <w:szCs w:val="24"/>
          <w:spacing w:val="-1"/>
        </w:rPr>
        <w:t>调节池</w:t>
      </w:r>
      <w:r>
        <w:rPr>
          <w:rFonts w:ascii="SimSun" w:hAnsi="SimSun" w:eastAsia="SimSun" w:cs="SimSun"/>
          <w:sz w:val="24"/>
          <w:szCs w:val="24"/>
        </w:rPr>
        <w:t xml:space="preserve"> </w:t>
      </w:r>
      <w:r>
        <w:rPr>
          <w:rFonts w:ascii="SimSun" w:hAnsi="SimSun" w:eastAsia="SimSun" w:cs="SimSun"/>
          <w:sz w:val="24"/>
          <w:szCs w:val="24"/>
          <w:spacing w:val="3"/>
        </w:rPr>
        <w:t>调质后进入厌氧发酵装置，不外排；东厂区和西厂区</w:t>
      </w:r>
      <w:r>
        <w:rPr>
          <w:rFonts w:ascii="SimSun" w:hAnsi="SimSun" w:eastAsia="SimSun" w:cs="SimSun"/>
          <w:sz w:val="24"/>
          <w:szCs w:val="24"/>
          <w:spacing w:val="2"/>
        </w:rPr>
        <w:t>员工洗浴废水通过独立管道</w:t>
      </w:r>
      <w:r>
        <w:rPr>
          <w:rFonts w:ascii="SimSun" w:hAnsi="SimSun" w:eastAsia="SimSun" w:cs="SimSun"/>
          <w:sz w:val="24"/>
          <w:szCs w:val="24"/>
        </w:rPr>
        <w:t xml:space="preserve"> </w:t>
      </w:r>
      <w:r>
        <w:rPr>
          <w:rFonts w:ascii="SimSun" w:hAnsi="SimSun" w:eastAsia="SimSun" w:cs="SimSun"/>
          <w:sz w:val="24"/>
          <w:szCs w:val="24"/>
          <w:spacing w:val="3"/>
        </w:rPr>
        <w:t>系统外排市政污水管网，进入明安图镇污水处理厂。</w:t>
      </w:r>
      <w:r>
        <w:rPr>
          <w:rFonts w:ascii="SimSun" w:hAnsi="SimSun" w:eastAsia="SimSun" w:cs="SimSun"/>
          <w:sz w:val="24"/>
          <w:szCs w:val="24"/>
          <w:spacing w:val="2"/>
        </w:rPr>
        <w:t>西厂区冲厕水经独立管道排</w:t>
      </w:r>
      <w:r>
        <w:rPr>
          <w:rFonts w:ascii="SimSun" w:hAnsi="SimSun" w:eastAsia="SimSun" w:cs="SimSun"/>
          <w:sz w:val="24"/>
          <w:szCs w:val="24"/>
        </w:rPr>
        <w:t xml:space="preserve"> </w:t>
      </w:r>
      <w:r>
        <w:rPr>
          <w:rFonts w:ascii="SimSun" w:hAnsi="SimSun" w:eastAsia="SimSun" w:cs="SimSun"/>
          <w:sz w:val="24"/>
          <w:szCs w:val="24"/>
          <w:spacing w:val="-1"/>
        </w:rPr>
        <w:t>入化粪池（容积</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30m</w:t>
      </w:r>
      <w:r>
        <w:rPr>
          <w:rFonts w:ascii="Times New Roman" w:hAnsi="Times New Roman" w:eastAsia="Times New Roman" w:cs="Times New Roman"/>
          <w:sz w:val="15"/>
          <w:szCs w:val="15"/>
          <w:spacing w:val="-1"/>
          <w:position w:val="7"/>
        </w:rPr>
        <w:t>3 </w:t>
      </w:r>
      <w:r>
        <w:rPr>
          <w:rFonts w:ascii="SimSun" w:hAnsi="SimSun" w:eastAsia="SimSun" w:cs="SimSun"/>
          <w:sz w:val="24"/>
          <w:szCs w:val="24"/>
          <w:spacing w:val="-1"/>
        </w:rPr>
        <w:t>）预处理后，输送至西厂区废水收集池与洗毛废水混合，然</w:t>
      </w:r>
      <w:r>
        <w:rPr>
          <w:rFonts w:ascii="SimSun" w:hAnsi="SimSun" w:eastAsia="SimSun" w:cs="SimSun"/>
          <w:sz w:val="24"/>
          <w:szCs w:val="24"/>
        </w:rPr>
        <w:t xml:space="preserve"> </w:t>
      </w:r>
      <w:r>
        <w:rPr>
          <w:rFonts w:ascii="SimSun" w:hAnsi="SimSun" w:eastAsia="SimSun" w:cs="SimSun"/>
          <w:sz w:val="24"/>
          <w:szCs w:val="24"/>
          <w:spacing w:val="-2"/>
        </w:rPr>
        <w:t>后进入</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TS </w:t>
      </w:r>
      <w:r>
        <w:rPr>
          <w:rFonts w:ascii="SimSun" w:hAnsi="SimSun" w:eastAsia="SimSun" w:cs="SimSun"/>
          <w:sz w:val="24"/>
          <w:szCs w:val="24"/>
          <w:spacing w:val="-2"/>
        </w:rPr>
        <w:t>调节池调质后进入厌氧发酵装置。东厂区冲厕水与洗毛废水一起进入东</w:t>
      </w:r>
      <w:r>
        <w:rPr>
          <w:rFonts w:ascii="SimSun" w:hAnsi="SimSun" w:eastAsia="SimSun" w:cs="SimSun"/>
          <w:sz w:val="24"/>
          <w:szCs w:val="24"/>
        </w:rPr>
        <w:t xml:space="preserve"> </w:t>
      </w:r>
      <w:r>
        <w:rPr>
          <w:rFonts w:ascii="SimSun" w:hAnsi="SimSun" w:eastAsia="SimSun" w:cs="SimSun"/>
          <w:sz w:val="24"/>
          <w:szCs w:val="24"/>
          <w:spacing w:val="-1"/>
        </w:rPr>
        <w:t>厂区洗毛废水收集池（</w:t>
      </w:r>
      <w:r>
        <w:rPr>
          <w:rFonts w:ascii="Times New Roman" w:hAnsi="Times New Roman" w:eastAsia="Times New Roman" w:cs="Times New Roman"/>
          <w:sz w:val="24"/>
          <w:szCs w:val="24"/>
          <w:spacing w:val="-1"/>
        </w:rPr>
        <w:t>10m</w:t>
      </w:r>
      <w:r>
        <w:rPr>
          <w:rFonts w:ascii="Times New Roman" w:hAnsi="Times New Roman" w:eastAsia="Times New Roman" w:cs="Times New Roman"/>
          <w:sz w:val="15"/>
          <w:szCs w:val="15"/>
          <w:spacing w:val="-1"/>
          <w:position w:val="8"/>
        </w:rPr>
        <w:t>3 </w:t>
      </w:r>
      <w:r>
        <w:rPr>
          <w:rFonts w:ascii="SimSun" w:hAnsi="SimSun" w:eastAsia="SimSun" w:cs="SimSun"/>
          <w:sz w:val="24"/>
          <w:szCs w:val="24"/>
          <w:spacing w:val="-14"/>
        </w:rPr>
        <w:t>），</w:t>
      </w:r>
      <w:r>
        <w:rPr>
          <w:rFonts w:ascii="SimSun" w:hAnsi="SimSun" w:eastAsia="SimSun" w:cs="SimSun"/>
          <w:sz w:val="24"/>
          <w:szCs w:val="24"/>
          <w:spacing w:val="-1"/>
        </w:rPr>
        <w:t>然后通过管道输送至西厂区废水收集池，</w:t>
      </w:r>
      <w:r>
        <w:rPr>
          <w:rFonts w:ascii="Times New Roman" w:hAnsi="Times New Roman" w:eastAsia="Times New Roman" w:cs="Times New Roman"/>
          <w:sz w:val="24"/>
          <w:szCs w:val="24"/>
          <w:spacing w:val="-1"/>
        </w:rPr>
        <w:t>TS </w:t>
      </w:r>
      <w:r>
        <w:rPr>
          <w:rFonts w:ascii="SimSun" w:hAnsi="SimSun" w:eastAsia="SimSun" w:cs="SimSun"/>
          <w:sz w:val="24"/>
          <w:szCs w:val="24"/>
          <w:spacing w:val="-1"/>
        </w:rPr>
        <w:t>调节</w:t>
      </w:r>
    </w:p>
    <w:p>
      <w:pPr>
        <w:spacing w:line="360" w:lineRule="auto"/>
        <w:sectPr>
          <w:headerReference w:type="default" r:id="rId161"/>
          <w:footerReference w:type="default" r:id="rId221"/>
          <w:pgSz w:w="11906" w:h="16839"/>
          <w:pgMar w:top="1567" w:right="1700" w:bottom="1482" w:left="1701" w:header="1221" w:footer="1248" w:gutter="0"/>
        </w:sectPr>
        <w:rPr>
          <w:rFonts w:ascii="SimSun" w:hAnsi="SimSun" w:eastAsia="SimSun" w:cs="SimSun"/>
          <w:sz w:val="24"/>
          <w:szCs w:val="24"/>
        </w:rPr>
      </w:pPr>
    </w:p>
    <w:p>
      <w:pPr>
        <w:ind w:left="11" w:hanging="2"/>
        <w:spacing w:before="169" w:line="360" w:lineRule="auto"/>
        <w:rPr>
          <w:rFonts w:ascii="SimSun" w:hAnsi="SimSun" w:eastAsia="SimSun" w:cs="SimSun"/>
          <w:sz w:val="24"/>
          <w:szCs w:val="24"/>
        </w:rPr>
      </w:pPr>
      <w:r>
        <w:pict>
          <v:shape id="_x0000_s846" style="position:absolute;margin-left:85.05pt;margin-top:78.87pt;mso-position-vertical-relative:page;mso-position-horizontal-relative:page;width:425.25pt;height:0.75pt;z-index:252023808;" o:allowincell="f" fillcolor="#000000" filled="true" stroked="false" coordsize="8505,15" coordorigin="0,0" path="m,l8504,0l8504,14l0,14l0,0xe"/>
        </w:pict>
      </w:r>
      <w:r>
        <w:rPr>
          <w:rFonts w:ascii="SimSun" w:hAnsi="SimSun" w:eastAsia="SimSun" w:cs="SimSun"/>
          <w:sz w:val="24"/>
          <w:szCs w:val="24"/>
          <w:spacing w:val="3"/>
        </w:rPr>
        <w:t>池调质后进入厌氧发酵装置。锅炉及纯水装置排水</w:t>
      </w:r>
      <w:r>
        <w:rPr>
          <w:rFonts w:ascii="SimSun" w:hAnsi="SimSun" w:eastAsia="SimSun" w:cs="SimSun"/>
          <w:sz w:val="24"/>
          <w:szCs w:val="24"/>
          <w:spacing w:val="2"/>
        </w:rPr>
        <w:t>通过独立管道系统排入市政污</w:t>
      </w:r>
      <w:r>
        <w:rPr>
          <w:rFonts w:ascii="SimSun" w:hAnsi="SimSun" w:eastAsia="SimSun" w:cs="SimSun"/>
          <w:sz w:val="24"/>
          <w:szCs w:val="24"/>
        </w:rPr>
        <w:t xml:space="preserve"> </w:t>
      </w:r>
      <w:r>
        <w:rPr>
          <w:rFonts w:ascii="SimSun" w:hAnsi="SimSun" w:eastAsia="SimSun" w:cs="SimSun"/>
          <w:sz w:val="24"/>
          <w:szCs w:val="24"/>
          <w:spacing w:val="-1"/>
        </w:rPr>
        <w:t>水管网，进入明安图镇污水处理厂，均不直接外排。</w:t>
      </w:r>
    </w:p>
    <w:p>
      <w:pPr>
        <w:ind w:left="14"/>
        <w:spacing w:before="157" w:line="222" w:lineRule="auto"/>
        <w:outlineLvl w:val="2"/>
        <w:rPr>
          <w:rFonts w:ascii="SimHei" w:hAnsi="SimHei" w:eastAsia="SimHei" w:cs="SimHei"/>
          <w:sz w:val="28"/>
          <w:szCs w:val="28"/>
        </w:rPr>
      </w:pPr>
      <w:bookmarkStart w:name="bookmark94" w:id="119"/>
      <w:bookmarkEnd w:id="119"/>
      <w:r>
        <w:rPr>
          <w:rFonts w:ascii="Times New Roman" w:hAnsi="Times New Roman" w:eastAsia="Times New Roman" w:cs="Times New Roman"/>
          <w:sz w:val="28"/>
          <w:szCs w:val="28"/>
          <w:spacing w:val="-2"/>
        </w:rPr>
        <w:t>5.2.2</w:t>
      </w:r>
      <w:r>
        <w:rPr>
          <w:rFonts w:ascii="Times New Roman" w:hAnsi="Times New Roman" w:eastAsia="Times New Roman" w:cs="Times New Roman"/>
          <w:sz w:val="28"/>
          <w:szCs w:val="28"/>
          <w:spacing w:val="27"/>
        </w:rPr>
        <w:t xml:space="preserve"> </w:t>
      </w:r>
      <w:r>
        <w:rPr>
          <w:rFonts w:ascii="SimHei" w:hAnsi="SimHei" w:eastAsia="SimHei" w:cs="SimHei"/>
          <w:sz w:val="28"/>
          <w:szCs w:val="28"/>
          <w:spacing w:val="-2"/>
        </w:rPr>
        <w:t>明安图镇污水处理厂依托可行性分析</w:t>
      </w:r>
    </w:p>
    <w:p>
      <w:pPr>
        <w:pStyle w:val="BodyText"/>
        <w:spacing w:line="281" w:lineRule="auto"/>
        <w:rPr/>
      </w:pPr>
      <w:r/>
    </w:p>
    <w:p>
      <w:pPr>
        <w:ind w:left="10" w:firstLine="483"/>
        <w:spacing w:before="78" w:line="385" w:lineRule="auto"/>
        <w:jc w:val="both"/>
        <w:rPr>
          <w:rFonts w:ascii="SimSun" w:hAnsi="SimSun" w:eastAsia="SimSun" w:cs="SimSun"/>
          <w:sz w:val="24"/>
          <w:szCs w:val="24"/>
        </w:rPr>
      </w:pPr>
      <w:r>
        <w:rPr>
          <w:rFonts w:ascii="SimSun" w:hAnsi="SimSun" w:eastAsia="SimSun" w:cs="SimSun"/>
          <w:sz w:val="24"/>
          <w:szCs w:val="24"/>
          <w:spacing w:val="-3"/>
        </w:rPr>
        <w:t>正镶白旗明安图镇污水处理厂坐落于明安图镇西</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4"/>
        </w:rPr>
        <w:t>5</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4"/>
        </w:rPr>
        <w:t>公里处，</w:t>
      </w:r>
      <w:r>
        <w:rPr>
          <w:rFonts w:ascii="SimSun" w:hAnsi="SimSun" w:eastAsia="SimSun" w:cs="SimSun"/>
          <w:sz w:val="24"/>
          <w:szCs w:val="24"/>
          <w:spacing w:val="-71"/>
        </w:rPr>
        <w:t xml:space="preserve"> </w:t>
      </w:r>
      <w:r>
        <w:rPr>
          <w:rFonts w:ascii="SimSun" w:hAnsi="SimSun" w:eastAsia="SimSun" w:cs="SimSun"/>
          <w:sz w:val="24"/>
          <w:szCs w:val="24"/>
          <w:spacing w:val="-4"/>
        </w:rPr>
        <w:t>占地</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50 </w:t>
      </w:r>
      <w:r>
        <w:rPr>
          <w:rFonts w:ascii="SimSun" w:hAnsi="SimSun" w:eastAsia="SimSun" w:cs="SimSun"/>
          <w:sz w:val="24"/>
          <w:szCs w:val="24"/>
          <w:spacing w:val="-4"/>
        </w:rPr>
        <w:t>亩，污</w:t>
      </w:r>
      <w:r>
        <w:rPr>
          <w:rFonts w:ascii="SimSun" w:hAnsi="SimSun" w:eastAsia="SimSun" w:cs="SimSun"/>
          <w:sz w:val="24"/>
          <w:szCs w:val="24"/>
        </w:rPr>
        <w:t xml:space="preserve"> </w:t>
      </w:r>
      <w:r>
        <w:rPr>
          <w:rFonts w:ascii="SimSun" w:hAnsi="SimSun" w:eastAsia="SimSun" w:cs="SimSun"/>
          <w:sz w:val="24"/>
          <w:szCs w:val="24"/>
          <w:spacing w:val="-1"/>
        </w:rPr>
        <w:t>水处理规模为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3000m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，主体处理工艺为</w:t>
      </w:r>
      <w:r>
        <w:rPr>
          <w:rFonts w:ascii="Times New Roman" w:hAnsi="Times New Roman" w:eastAsia="Times New Roman" w:cs="Times New Roman"/>
          <w:sz w:val="24"/>
          <w:szCs w:val="24"/>
          <w:spacing w:val="-1"/>
        </w:rPr>
        <w:t>“A</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24"/>
          <w:szCs w:val="24"/>
          <w:spacing w:val="-1"/>
        </w:rPr>
        <w:t>/O-MBBR </w:t>
      </w:r>
      <w:r>
        <w:rPr>
          <w:rFonts w:ascii="SimSun" w:hAnsi="SimSun" w:eastAsia="SimSun" w:cs="SimSun"/>
          <w:sz w:val="24"/>
          <w:szCs w:val="24"/>
          <w:spacing w:val="-1"/>
        </w:rPr>
        <w:t>生物池</w:t>
      </w:r>
      <w:r>
        <w:rPr>
          <w:rFonts w:ascii="Times New Roman" w:hAnsi="Times New Roman" w:eastAsia="Times New Roman" w:cs="Times New Roman"/>
          <w:sz w:val="24"/>
          <w:szCs w:val="24"/>
          <w:spacing w:val="-1"/>
        </w:rPr>
        <w:t>+</w:t>
      </w:r>
      <w:r>
        <w:rPr>
          <w:rFonts w:ascii="SimSun" w:hAnsi="SimSun" w:eastAsia="SimSun" w:cs="SimSun"/>
          <w:sz w:val="24"/>
          <w:szCs w:val="24"/>
          <w:spacing w:val="-1"/>
        </w:rPr>
        <w:t>超滤</w:t>
      </w:r>
      <w:r>
        <w:rPr>
          <w:rFonts w:ascii="Times New Roman" w:hAnsi="Times New Roman" w:eastAsia="Times New Roman" w:cs="Times New Roman"/>
          <w:sz w:val="24"/>
          <w:szCs w:val="24"/>
          <w:spacing w:val="-1"/>
        </w:rPr>
        <w:t>”</w:t>
      </w:r>
      <w:r>
        <w:rPr>
          <w:rFonts w:ascii="SimSun" w:hAnsi="SimSun" w:eastAsia="SimSun" w:cs="SimSun"/>
          <w:sz w:val="24"/>
          <w:szCs w:val="24"/>
          <w:spacing w:val="-1"/>
        </w:rPr>
        <w:t>出水水</w:t>
      </w:r>
      <w:r>
        <w:rPr>
          <w:rFonts w:ascii="SimSun" w:hAnsi="SimSun" w:eastAsia="SimSun" w:cs="SimSun"/>
          <w:sz w:val="24"/>
          <w:szCs w:val="24"/>
          <w:spacing w:val="-2"/>
        </w:rPr>
        <w:t>质达</w:t>
      </w:r>
      <w:r>
        <w:rPr>
          <w:rFonts w:ascii="SimSun" w:hAnsi="SimSun" w:eastAsia="SimSun" w:cs="SimSun"/>
          <w:sz w:val="24"/>
          <w:szCs w:val="24"/>
        </w:rPr>
        <w:t xml:space="preserve"> </w:t>
      </w:r>
      <w:r>
        <w:rPr>
          <w:rFonts w:ascii="SimSun" w:hAnsi="SimSun" w:eastAsia="SimSun" w:cs="SimSun"/>
          <w:sz w:val="24"/>
          <w:szCs w:val="24"/>
          <w:spacing w:val="-2"/>
        </w:rPr>
        <w:t>到《城镇污水处理厂污染物排放标准》</w:t>
      </w:r>
      <w:r>
        <w:rPr>
          <w:rFonts w:ascii="Times New Roman" w:hAnsi="Times New Roman" w:eastAsia="Times New Roman" w:cs="Times New Roman"/>
          <w:sz w:val="24"/>
          <w:szCs w:val="24"/>
          <w:spacing w:val="-2"/>
        </w:rPr>
        <w:t>GB18918-2002 </w:t>
      </w:r>
      <w:r>
        <w:rPr>
          <w:rFonts w:ascii="SimSun" w:hAnsi="SimSun" w:eastAsia="SimSun" w:cs="SimSun"/>
          <w:sz w:val="24"/>
          <w:szCs w:val="24"/>
          <w:spacing w:val="-2"/>
        </w:rPr>
        <w:t>一级</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A </w:t>
      </w:r>
      <w:r>
        <w:rPr>
          <w:rFonts w:ascii="SimSun" w:hAnsi="SimSun" w:eastAsia="SimSun" w:cs="SimSun"/>
          <w:sz w:val="24"/>
          <w:szCs w:val="24"/>
          <w:spacing w:val="-2"/>
        </w:rPr>
        <w:t>标准。夏季主要供绿</w:t>
      </w:r>
      <w:r>
        <w:rPr>
          <w:rFonts w:ascii="SimSun" w:hAnsi="SimSun" w:eastAsia="SimSun" w:cs="SimSun"/>
          <w:sz w:val="24"/>
          <w:szCs w:val="24"/>
        </w:rPr>
        <w:t xml:space="preserve"> </w:t>
      </w:r>
      <w:r>
        <w:rPr>
          <w:rFonts w:ascii="SimSun" w:hAnsi="SimSun" w:eastAsia="SimSun" w:cs="SimSun"/>
          <w:sz w:val="24"/>
          <w:szCs w:val="24"/>
        </w:rPr>
        <w:t>化用水及景观用水，冬季作为中水回用，剩余部</w:t>
      </w:r>
      <w:r>
        <w:rPr>
          <w:rFonts w:ascii="SimSun" w:hAnsi="SimSun" w:eastAsia="SimSun" w:cs="SimSun"/>
          <w:sz w:val="24"/>
          <w:szCs w:val="24"/>
          <w:spacing w:val="-1"/>
        </w:rPr>
        <w:t>分经入河排污口排入河道。</w:t>
      </w:r>
    </w:p>
    <w:p>
      <w:pPr>
        <w:ind w:left="12" w:firstLine="478"/>
        <w:spacing w:before="5" w:line="384" w:lineRule="auto"/>
        <w:jc w:val="both"/>
        <w:rPr>
          <w:rFonts w:ascii="SimSun" w:hAnsi="SimSun" w:eastAsia="SimSun" w:cs="SimSun"/>
          <w:sz w:val="24"/>
          <w:szCs w:val="24"/>
        </w:rPr>
      </w:pPr>
      <w:r>
        <w:rPr>
          <w:rFonts w:ascii="SimSun" w:hAnsi="SimSun" w:eastAsia="SimSun" w:cs="SimSun"/>
          <w:sz w:val="24"/>
          <w:szCs w:val="24"/>
        </w:rPr>
        <w:t>本项目项目排入明安图镇污水处理厂的废水满足</w:t>
      </w:r>
      <w:r>
        <w:rPr>
          <w:rFonts w:ascii="SimSun" w:hAnsi="SimSun" w:eastAsia="SimSun" w:cs="SimSun"/>
          <w:sz w:val="24"/>
          <w:szCs w:val="24"/>
          <w:spacing w:val="-1"/>
        </w:rPr>
        <w:t>其接收水质、水量要求，本</w:t>
      </w:r>
      <w:r>
        <w:rPr>
          <w:rFonts w:ascii="SimSun" w:hAnsi="SimSun" w:eastAsia="SimSun" w:cs="SimSun"/>
          <w:sz w:val="24"/>
          <w:szCs w:val="24"/>
        </w:rPr>
        <w:t xml:space="preserve">  </w:t>
      </w:r>
      <w:r>
        <w:rPr>
          <w:rFonts w:ascii="SimSun" w:hAnsi="SimSun" w:eastAsia="SimSun" w:cs="SimSun"/>
          <w:sz w:val="24"/>
          <w:szCs w:val="24"/>
          <w:spacing w:val="-3"/>
        </w:rPr>
        <w:t>项目废水排放量为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46.667m</w:t>
      </w:r>
      <w:r>
        <w:rPr>
          <w:rFonts w:ascii="Times New Roman" w:hAnsi="Times New Roman" w:eastAsia="Times New Roman" w:cs="Times New Roman"/>
          <w:sz w:val="15"/>
          <w:szCs w:val="15"/>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，水量仅占正镶白旗明安图镇污水处理厂设计污水处</w:t>
      </w:r>
      <w:r>
        <w:rPr>
          <w:rFonts w:ascii="SimSun" w:hAnsi="SimSun" w:eastAsia="SimSun" w:cs="SimSun"/>
          <w:sz w:val="24"/>
          <w:szCs w:val="24"/>
        </w:rPr>
        <w:t xml:space="preserve"> </w:t>
      </w:r>
      <w:r>
        <w:rPr>
          <w:rFonts w:ascii="SimSun" w:hAnsi="SimSun" w:eastAsia="SimSun" w:cs="SimSun"/>
          <w:sz w:val="24"/>
          <w:szCs w:val="24"/>
          <w:spacing w:val="-4"/>
        </w:rPr>
        <w:t>理能力的</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4"/>
        </w:rPr>
        <w:t>1.55%</w:t>
      </w:r>
      <w:r>
        <w:rPr>
          <w:rFonts w:ascii="SimSun" w:hAnsi="SimSun" w:eastAsia="SimSun" w:cs="SimSun"/>
          <w:sz w:val="24"/>
          <w:szCs w:val="24"/>
          <w:spacing w:val="-4"/>
        </w:rPr>
        <w:t>，正镶白旗明安图镇污水处理厂污水处理余量可以满足本项目污水</w:t>
      </w:r>
      <w:r>
        <w:rPr>
          <w:rFonts w:ascii="SimSun" w:hAnsi="SimSun" w:eastAsia="SimSun" w:cs="SimSun"/>
          <w:sz w:val="24"/>
          <w:szCs w:val="24"/>
        </w:rPr>
        <w:t xml:space="preserve"> </w:t>
      </w:r>
      <w:r>
        <w:rPr>
          <w:rFonts w:ascii="SimSun" w:hAnsi="SimSun" w:eastAsia="SimSun" w:cs="SimSun"/>
          <w:sz w:val="24"/>
          <w:szCs w:val="24"/>
        </w:rPr>
        <w:t>处理需求，因此，项目废水经处理达标后排入正</w:t>
      </w:r>
      <w:r>
        <w:rPr>
          <w:rFonts w:ascii="SimSun" w:hAnsi="SimSun" w:eastAsia="SimSun" w:cs="SimSun"/>
          <w:sz w:val="24"/>
          <w:szCs w:val="24"/>
          <w:spacing w:val="-1"/>
        </w:rPr>
        <w:t>镶白旗明安图镇污水处理厂是可</w:t>
      </w:r>
      <w:r>
        <w:rPr>
          <w:rFonts w:ascii="SimSun" w:hAnsi="SimSun" w:eastAsia="SimSun" w:cs="SimSun"/>
          <w:sz w:val="24"/>
          <w:szCs w:val="24"/>
        </w:rPr>
        <w:t xml:space="preserve">  </w:t>
      </w:r>
      <w:r>
        <w:rPr>
          <w:rFonts w:ascii="SimSun" w:hAnsi="SimSun" w:eastAsia="SimSun" w:cs="SimSun"/>
          <w:sz w:val="24"/>
          <w:szCs w:val="24"/>
          <w:spacing w:val="-5"/>
        </w:rPr>
        <w:t>行的。</w:t>
      </w:r>
    </w:p>
    <w:p>
      <w:pPr>
        <w:ind w:left="14"/>
        <w:spacing w:line="222" w:lineRule="auto"/>
        <w:outlineLvl w:val="2"/>
        <w:rPr>
          <w:rFonts w:ascii="SimHei" w:hAnsi="SimHei" w:eastAsia="SimHei" w:cs="SimHei"/>
          <w:sz w:val="28"/>
          <w:szCs w:val="28"/>
        </w:rPr>
      </w:pPr>
      <w:bookmarkStart w:name="bookmark95" w:id="120"/>
      <w:bookmarkEnd w:id="120"/>
      <w:r>
        <w:rPr>
          <w:rFonts w:ascii="Times New Roman" w:hAnsi="Times New Roman" w:eastAsia="Times New Roman" w:cs="Times New Roman"/>
          <w:sz w:val="28"/>
          <w:szCs w:val="28"/>
          <w:spacing w:val="-1"/>
        </w:rPr>
        <w:t>5.2.3 </w:t>
      </w:r>
      <w:r>
        <w:rPr>
          <w:rFonts w:ascii="SimHei" w:hAnsi="SimHei" w:eastAsia="SimHei" w:cs="SimHei"/>
          <w:sz w:val="28"/>
          <w:szCs w:val="28"/>
          <w:spacing w:val="-1"/>
        </w:rPr>
        <w:t>事故水池设置情况</w:t>
      </w:r>
    </w:p>
    <w:p>
      <w:pPr>
        <w:ind w:left="9" w:firstLine="482"/>
        <w:spacing w:before="202" w:line="359" w:lineRule="auto"/>
        <w:rPr>
          <w:rFonts w:ascii="SimSun" w:hAnsi="SimSun" w:eastAsia="SimSun" w:cs="SimSun"/>
          <w:sz w:val="24"/>
          <w:szCs w:val="24"/>
        </w:rPr>
      </w:pPr>
      <w:r>
        <w:rPr>
          <w:rFonts w:ascii="SimSun" w:hAnsi="SimSun" w:eastAsia="SimSun" w:cs="SimSun"/>
          <w:sz w:val="24"/>
          <w:szCs w:val="24"/>
          <w:spacing w:val="3"/>
        </w:rPr>
        <w:t>建设单位对项目厂区的事故水、消防废水、初期雨水</w:t>
      </w:r>
      <w:r>
        <w:rPr>
          <w:rFonts w:ascii="SimSun" w:hAnsi="SimSun" w:eastAsia="SimSun" w:cs="SimSun"/>
          <w:sz w:val="24"/>
          <w:szCs w:val="24"/>
          <w:spacing w:val="2"/>
        </w:rPr>
        <w:t>等进行收集，收集进入</w:t>
      </w:r>
      <w:r>
        <w:rPr>
          <w:rFonts w:ascii="SimSun" w:hAnsi="SimSun" w:eastAsia="SimSun" w:cs="SimSun"/>
          <w:sz w:val="24"/>
          <w:szCs w:val="24"/>
        </w:rPr>
        <w:t xml:space="preserve"> </w:t>
      </w:r>
      <w:r>
        <w:rPr>
          <w:rFonts w:ascii="SimSun" w:hAnsi="SimSun" w:eastAsia="SimSun" w:cs="SimSun"/>
          <w:sz w:val="24"/>
          <w:szCs w:val="24"/>
          <w:spacing w:val="-2"/>
        </w:rPr>
        <w:t>事故水池。</w:t>
      </w:r>
    </w:p>
    <w:p>
      <w:pPr>
        <w:ind w:left="8" w:right="2" w:firstLine="481"/>
        <w:spacing w:before="2" w:line="342" w:lineRule="auto"/>
        <w:rPr>
          <w:rFonts w:ascii="SimSun" w:hAnsi="SimSun" w:eastAsia="SimSun" w:cs="SimSun"/>
          <w:sz w:val="24"/>
          <w:szCs w:val="24"/>
        </w:rPr>
      </w:pPr>
      <w:r>
        <w:rPr>
          <w:rFonts w:ascii="SimSun" w:hAnsi="SimSun" w:eastAsia="SimSun" w:cs="SimSun"/>
          <w:sz w:val="24"/>
          <w:szCs w:val="24"/>
          <w:spacing w:val="3"/>
        </w:rPr>
        <w:t>本次评价，全厂事故应急水池容积根据中石化安环局</w:t>
      </w:r>
      <w:r>
        <w:rPr>
          <w:rFonts w:ascii="SimSun" w:hAnsi="SimSun" w:eastAsia="SimSun" w:cs="SimSun"/>
          <w:sz w:val="24"/>
          <w:szCs w:val="24"/>
          <w:spacing w:val="2"/>
        </w:rPr>
        <w:t>《水体污染防控紧急措</w:t>
      </w:r>
      <w:r>
        <w:rPr>
          <w:rFonts w:ascii="SimSun" w:hAnsi="SimSun" w:eastAsia="SimSun" w:cs="SimSun"/>
          <w:sz w:val="24"/>
          <w:szCs w:val="24"/>
        </w:rPr>
        <w:t xml:space="preserve"> </w:t>
      </w:r>
      <w:r>
        <w:rPr>
          <w:rFonts w:ascii="SimSun" w:hAnsi="SimSun" w:eastAsia="SimSun" w:cs="SimSun"/>
          <w:sz w:val="24"/>
          <w:szCs w:val="24"/>
          <w:spacing w:val="-1"/>
        </w:rPr>
        <w:t>施设计导则》进行计算：</w:t>
      </w:r>
    </w:p>
    <w:p>
      <w:pPr>
        <w:ind w:left="2856"/>
        <w:spacing w:line="322" w:lineRule="exact"/>
        <w:rPr>
          <w:rFonts w:ascii="Times New Roman" w:hAnsi="Times New Roman" w:eastAsia="Times New Roman" w:cs="Times New Roman"/>
          <w:sz w:val="15"/>
          <w:szCs w:val="15"/>
        </w:rPr>
      </w:pPr>
      <w:r>
        <w:rPr>
          <w:rFonts w:ascii="Times New Roman" w:hAnsi="Times New Roman" w:eastAsia="Times New Roman" w:cs="Times New Roman"/>
          <w:sz w:val="24"/>
          <w:szCs w:val="24"/>
          <w:spacing w:val="-1"/>
          <w:position w:val="1"/>
        </w:rPr>
        <w:t>V=</w:t>
      </w:r>
      <w:r>
        <w:rPr>
          <w:rFonts w:ascii="SimSun" w:hAnsi="SimSun" w:eastAsia="SimSun" w:cs="SimSun"/>
          <w:sz w:val="24"/>
          <w:szCs w:val="24"/>
          <w:spacing w:val="-1"/>
          <w:position w:val="1"/>
        </w:rPr>
        <w:t>（</w:t>
      </w:r>
      <w:r>
        <w:rPr>
          <w:rFonts w:ascii="Times New Roman" w:hAnsi="Times New Roman" w:eastAsia="Times New Roman" w:cs="Times New Roman"/>
          <w:sz w:val="24"/>
          <w:szCs w:val="24"/>
          <w:spacing w:val="-1"/>
          <w:position w:val="1"/>
        </w:rPr>
        <w:t>V</w:t>
      </w:r>
      <w:r>
        <w:rPr>
          <w:rFonts w:ascii="Times New Roman" w:hAnsi="Times New Roman" w:eastAsia="Times New Roman" w:cs="Times New Roman"/>
          <w:sz w:val="15"/>
          <w:szCs w:val="15"/>
          <w:spacing w:val="-1"/>
        </w:rPr>
        <w:t>1</w:t>
      </w:r>
      <w:r>
        <w:rPr>
          <w:rFonts w:ascii="Times New Roman" w:hAnsi="Times New Roman" w:eastAsia="Times New Roman" w:cs="Times New Roman"/>
          <w:sz w:val="24"/>
          <w:szCs w:val="24"/>
          <w:spacing w:val="-1"/>
          <w:position w:val="1"/>
        </w:rPr>
        <w:t>+V</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24"/>
          <w:szCs w:val="24"/>
          <w:spacing w:val="-1"/>
          <w:position w:val="1"/>
        </w:rPr>
        <w:t>-V</w:t>
      </w:r>
      <w:r>
        <w:rPr>
          <w:rFonts w:ascii="Times New Roman" w:hAnsi="Times New Roman" w:eastAsia="Times New Roman" w:cs="Times New Roman"/>
          <w:sz w:val="15"/>
          <w:szCs w:val="15"/>
          <w:spacing w:val="-1"/>
        </w:rPr>
        <w:t>3 </w:t>
      </w:r>
      <w:r>
        <w:rPr>
          <w:rFonts w:ascii="SimSun" w:hAnsi="SimSun" w:eastAsia="SimSun" w:cs="SimSun"/>
          <w:sz w:val="24"/>
          <w:szCs w:val="24"/>
          <w:spacing w:val="-1"/>
          <w:position w:val="1"/>
        </w:rPr>
        <w:t>）</w:t>
      </w:r>
      <w:r>
        <w:rPr>
          <w:rFonts w:ascii="Times New Roman" w:hAnsi="Times New Roman" w:eastAsia="Times New Roman" w:cs="Times New Roman"/>
          <w:sz w:val="15"/>
          <w:szCs w:val="15"/>
          <w:spacing w:val="-1"/>
        </w:rPr>
        <w:t>max</w:t>
      </w:r>
      <w:r>
        <w:rPr>
          <w:rFonts w:ascii="Times New Roman" w:hAnsi="Times New Roman" w:eastAsia="Times New Roman" w:cs="Times New Roman"/>
          <w:sz w:val="24"/>
          <w:szCs w:val="24"/>
          <w:spacing w:val="-1"/>
          <w:position w:val="1"/>
        </w:rPr>
        <w:t>+V</w:t>
      </w:r>
      <w:r>
        <w:rPr>
          <w:rFonts w:ascii="Times New Roman" w:hAnsi="Times New Roman" w:eastAsia="Times New Roman" w:cs="Times New Roman"/>
          <w:sz w:val="15"/>
          <w:szCs w:val="15"/>
          <w:spacing w:val="-1"/>
        </w:rPr>
        <w:t>4</w:t>
      </w:r>
      <w:r>
        <w:rPr>
          <w:rFonts w:ascii="Times New Roman" w:hAnsi="Times New Roman" w:eastAsia="Times New Roman" w:cs="Times New Roman"/>
          <w:sz w:val="24"/>
          <w:szCs w:val="24"/>
          <w:spacing w:val="-1"/>
          <w:position w:val="1"/>
        </w:rPr>
        <w:t>+V</w:t>
      </w:r>
      <w:r>
        <w:rPr>
          <w:rFonts w:ascii="Times New Roman" w:hAnsi="Times New Roman" w:eastAsia="Times New Roman" w:cs="Times New Roman"/>
          <w:sz w:val="15"/>
          <w:szCs w:val="15"/>
          <w:spacing w:val="-1"/>
        </w:rPr>
        <w:t>5</w:t>
      </w:r>
    </w:p>
    <w:p>
      <w:pPr>
        <w:ind w:left="494"/>
        <w:spacing w:before="189" w:line="219"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V</w:t>
      </w:r>
      <w:r>
        <w:rPr>
          <w:rFonts w:ascii="Times New Roman" w:hAnsi="Times New Roman" w:eastAsia="Times New Roman" w:cs="Times New Roman"/>
          <w:sz w:val="15"/>
          <w:szCs w:val="15"/>
          <w:spacing w:val="-1"/>
          <w:position w:val="-1"/>
        </w:rPr>
        <w:t>1</w:t>
      </w:r>
      <w:r>
        <w:rPr>
          <w:rFonts w:ascii="Times New Roman" w:hAnsi="Times New Roman" w:eastAsia="Times New Roman" w:cs="Times New Roman"/>
          <w:sz w:val="24"/>
          <w:szCs w:val="24"/>
          <w:spacing w:val="-1"/>
        </w:rPr>
        <w:t>—</w:t>
      </w:r>
      <w:r>
        <w:rPr>
          <w:rFonts w:ascii="SimSun" w:hAnsi="SimSun" w:eastAsia="SimSun" w:cs="SimSun"/>
          <w:sz w:val="24"/>
          <w:szCs w:val="24"/>
          <w:spacing w:val="-1"/>
        </w:rPr>
        <w:t>收集系统范围内发生事故的一个罐组或一套装置的物料量。</w:t>
      </w:r>
    </w:p>
    <w:p>
      <w:pPr>
        <w:ind w:left="1202"/>
        <w:spacing w:before="181" w:line="219" w:lineRule="auto"/>
        <w:rPr>
          <w:rFonts w:ascii="SimSun" w:hAnsi="SimSun" w:eastAsia="SimSun" w:cs="SimSun"/>
          <w:sz w:val="24"/>
          <w:szCs w:val="24"/>
        </w:rPr>
      </w:pPr>
      <w:r>
        <w:rPr>
          <w:rFonts w:ascii="Times New Roman" w:hAnsi="Times New Roman" w:eastAsia="Times New Roman" w:cs="Times New Roman"/>
          <w:sz w:val="24"/>
          <w:szCs w:val="24"/>
        </w:rPr>
        <w:t>V</w:t>
      </w:r>
      <w:r>
        <w:rPr>
          <w:rFonts w:ascii="Times New Roman" w:hAnsi="Times New Roman" w:eastAsia="Times New Roman" w:cs="Times New Roman"/>
          <w:sz w:val="15"/>
          <w:szCs w:val="15"/>
          <w:position w:val="-1"/>
        </w:rPr>
        <w:t>2</w:t>
      </w:r>
      <w:r>
        <w:rPr>
          <w:rFonts w:ascii="Times New Roman" w:hAnsi="Times New Roman" w:eastAsia="Times New Roman" w:cs="Times New Roman"/>
          <w:sz w:val="24"/>
          <w:szCs w:val="24"/>
        </w:rPr>
        <w:t>—</w:t>
      </w:r>
      <w:r>
        <w:rPr>
          <w:rFonts w:ascii="SimSun" w:hAnsi="SimSun" w:eastAsia="SimSun" w:cs="SimSun"/>
          <w:sz w:val="24"/>
          <w:szCs w:val="24"/>
        </w:rPr>
        <w:t>发生事故的储罐或装置的消防水量，</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8"/>
        </w:rPr>
        <w:t>3</w:t>
      </w:r>
      <w:r>
        <w:rPr>
          <w:rFonts w:ascii="SimSun" w:hAnsi="SimSun" w:eastAsia="SimSun" w:cs="SimSun"/>
          <w:sz w:val="24"/>
          <w:szCs w:val="24"/>
        </w:rPr>
        <w:t>；</w:t>
      </w:r>
    </w:p>
    <w:p>
      <w:pPr>
        <w:ind w:left="1202"/>
        <w:spacing w:before="183" w:line="219" w:lineRule="auto"/>
        <w:rPr>
          <w:rFonts w:ascii="SimSun" w:hAnsi="SimSun" w:eastAsia="SimSun" w:cs="SimSun"/>
          <w:sz w:val="24"/>
          <w:szCs w:val="24"/>
        </w:rPr>
      </w:pPr>
      <w:r>
        <w:rPr>
          <w:rFonts w:ascii="Times New Roman" w:hAnsi="Times New Roman" w:eastAsia="Times New Roman" w:cs="Times New Roman"/>
          <w:sz w:val="24"/>
          <w:szCs w:val="24"/>
        </w:rPr>
        <w:t>V</w:t>
      </w:r>
      <w:r>
        <w:rPr>
          <w:rFonts w:ascii="Times New Roman" w:hAnsi="Times New Roman" w:eastAsia="Times New Roman" w:cs="Times New Roman"/>
          <w:sz w:val="15"/>
          <w:szCs w:val="15"/>
          <w:position w:val="-1"/>
        </w:rPr>
        <w:t>3</w:t>
      </w:r>
      <w:r>
        <w:rPr>
          <w:rFonts w:ascii="Times New Roman" w:hAnsi="Times New Roman" w:eastAsia="Times New Roman" w:cs="Times New Roman"/>
          <w:sz w:val="24"/>
          <w:szCs w:val="24"/>
        </w:rPr>
        <w:t>—</w:t>
      </w:r>
      <w:r>
        <w:rPr>
          <w:rFonts w:ascii="SimSun" w:hAnsi="SimSun" w:eastAsia="SimSun" w:cs="SimSun"/>
          <w:sz w:val="24"/>
          <w:szCs w:val="24"/>
        </w:rPr>
        <w:t>发生事故时可以传输到其他储存或处理设施物料量，</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8"/>
        </w:rPr>
        <w:t>3</w:t>
      </w:r>
      <w:r>
        <w:rPr>
          <w:rFonts w:ascii="SimSun" w:hAnsi="SimSun" w:eastAsia="SimSun" w:cs="SimSun"/>
          <w:sz w:val="24"/>
          <w:szCs w:val="24"/>
        </w:rPr>
        <w:t>；</w:t>
      </w:r>
    </w:p>
    <w:p>
      <w:pPr>
        <w:ind w:left="1202"/>
        <w:spacing w:before="181" w:line="219" w:lineRule="auto"/>
        <w:rPr>
          <w:rFonts w:ascii="SimSun" w:hAnsi="SimSun" w:eastAsia="SimSun" w:cs="SimSun"/>
          <w:sz w:val="24"/>
          <w:szCs w:val="24"/>
        </w:rPr>
      </w:pPr>
      <w:r>
        <w:rPr>
          <w:rFonts w:ascii="Times New Roman" w:hAnsi="Times New Roman" w:eastAsia="Times New Roman" w:cs="Times New Roman"/>
          <w:sz w:val="24"/>
          <w:szCs w:val="24"/>
        </w:rPr>
        <w:t>V</w:t>
      </w:r>
      <w:r>
        <w:rPr>
          <w:rFonts w:ascii="Times New Roman" w:hAnsi="Times New Roman" w:eastAsia="Times New Roman" w:cs="Times New Roman"/>
          <w:sz w:val="15"/>
          <w:szCs w:val="15"/>
          <w:position w:val="-1"/>
        </w:rPr>
        <w:t>4</w:t>
      </w:r>
      <w:r>
        <w:rPr>
          <w:rFonts w:ascii="Times New Roman" w:hAnsi="Times New Roman" w:eastAsia="Times New Roman" w:cs="Times New Roman"/>
          <w:sz w:val="24"/>
          <w:szCs w:val="24"/>
        </w:rPr>
        <w:t>—</w:t>
      </w:r>
      <w:r>
        <w:rPr>
          <w:rFonts w:ascii="SimSun" w:hAnsi="SimSun" w:eastAsia="SimSun" w:cs="SimSun"/>
          <w:sz w:val="24"/>
          <w:szCs w:val="24"/>
        </w:rPr>
        <w:t>发生事故时仍必须进入该收集系统的生产废水量，</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7"/>
        </w:rPr>
        <w:t>3</w:t>
      </w:r>
      <w:r>
        <w:rPr>
          <w:rFonts w:ascii="SimSun" w:hAnsi="SimSun" w:eastAsia="SimSun" w:cs="SimSun"/>
          <w:sz w:val="24"/>
          <w:szCs w:val="24"/>
        </w:rPr>
        <w:t>；</w:t>
      </w:r>
    </w:p>
    <w:p>
      <w:pPr>
        <w:ind w:left="1202"/>
        <w:spacing w:before="184" w:line="219" w:lineRule="auto"/>
        <w:rPr>
          <w:rFonts w:ascii="SimSun" w:hAnsi="SimSun" w:eastAsia="SimSun" w:cs="SimSun"/>
          <w:sz w:val="24"/>
          <w:szCs w:val="24"/>
        </w:rPr>
      </w:pPr>
      <w:r>
        <w:rPr>
          <w:rFonts w:ascii="Times New Roman" w:hAnsi="Times New Roman" w:eastAsia="Times New Roman" w:cs="Times New Roman"/>
          <w:sz w:val="24"/>
          <w:szCs w:val="24"/>
        </w:rPr>
        <w:t>V</w:t>
      </w:r>
      <w:r>
        <w:rPr>
          <w:rFonts w:ascii="Times New Roman" w:hAnsi="Times New Roman" w:eastAsia="Times New Roman" w:cs="Times New Roman"/>
          <w:sz w:val="15"/>
          <w:szCs w:val="15"/>
          <w:position w:val="-1"/>
        </w:rPr>
        <w:t>5</w:t>
      </w:r>
      <w:r>
        <w:rPr>
          <w:rFonts w:ascii="Times New Roman" w:hAnsi="Times New Roman" w:eastAsia="Times New Roman" w:cs="Times New Roman"/>
          <w:sz w:val="24"/>
          <w:szCs w:val="24"/>
        </w:rPr>
        <w:t>—</w:t>
      </w:r>
      <w:r>
        <w:rPr>
          <w:rFonts w:ascii="SimSun" w:hAnsi="SimSun" w:eastAsia="SimSun" w:cs="SimSun"/>
          <w:sz w:val="24"/>
          <w:szCs w:val="24"/>
        </w:rPr>
        <w:t>发生事故时可能进入该收集系统的降雨量，</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8"/>
        </w:rPr>
        <w:t>3</w:t>
      </w:r>
      <w:r>
        <w:rPr>
          <w:rFonts w:ascii="SimSun" w:hAnsi="SimSun" w:eastAsia="SimSun" w:cs="SimSun"/>
          <w:sz w:val="24"/>
          <w:szCs w:val="24"/>
        </w:rPr>
        <w:t>；</w:t>
      </w:r>
    </w:p>
    <w:p>
      <w:pPr>
        <w:ind w:left="3813"/>
        <w:spacing w:before="120" w:line="323"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4"/>
        </w:rPr>
        <w:t>V</w:t>
      </w:r>
      <w:r>
        <w:rPr>
          <w:rFonts w:ascii="Times New Roman" w:hAnsi="Times New Roman" w:eastAsia="Times New Roman" w:cs="Times New Roman"/>
          <w:sz w:val="15"/>
          <w:szCs w:val="15"/>
          <w:spacing w:val="-5"/>
          <w:position w:val="3"/>
        </w:rPr>
        <w:t>5</w:t>
      </w:r>
      <w:r>
        <w:rPr>
          <w:rFonts w:ascii="Times New Roman" w:hAnsi="Times New Roman" w:eastAsia="Times New Roman" w:cs="Times New Roman"/>
          <w:sz w:val="24"/>
          <w:szCs w:val="24"/>
          <w:spacing w:val="-5"/>
          <w:position w:val="4"/>
        </w:rPr>
        <w:t>=</w:t>
      </w:r>
      <w:r>
        <w:rPr>
          <w:rFonts w:ascii="Times New Roman" w:hAnsi="Times New Roman" w:eastAsia="Times New Roman" w:cs="Times New Roman"/>
          <w:sz w:val="24"/>
          <w:szCs w:val="24"/>
          <w:spacing w:val="-28"/>
          <w:position w:val="4"/>
        </w:rPr>
        <w:t xml:space="preserve"> </w:t>
      </w:r>
      <w:r>
        <w:rPr>
          <w:rFonts w:ascii="Times New Roman" w:hAnsi="Times New Roman" w:eastAsia="Times New Roman" w:cs="Times New Roman"/>
          <w:sz w:val="24"/>
          <w:szCs w:val="24"/>
          <w:spacing w:val="-5"/>
          <w:position w:val="4"/>
        </w:rPr>
        <w:t>10qF</w:t>
      </w:r>
    </w:p>
    <w:p>
      <w:pPr>
        <w:ind w:left="1208"/>
        <w:spacing w:before="107" w:line="323" w:lineRule="exact"/>
        <w:rPr>
          <w:rFonts w:ascii="SimSun" w:hAnsi="SimSun" w:eastAsia="SimSun" w:cs="SimSun"/>
          <w:sz w:val="24"/>
          <w:szCs w:val="24"/>
        </w:rPr>
      </w:pPr>
      <w:r>
        <w:rPr>
          <w:rFonts w:ascii="Times New Roman" w:hAnsi="Times New Roman" w:eastAsia="Times New Roman" w:cs="Times New Roman"/>
          <w:sz w:val="24"/>
          <w:szCs w:val="24"/>
          <w:spacing w:val="-2"/>
          <w:position w:val="2"/>
        </w:rPr>
        <w:t>q—</w:t>
      </w:r>
      <w:r>
        <w:rPr>
          <w:rFonts w:ascii="SimSun" w:hAnsi="SimSun" w:eastAsia="SimSun" w:cs="SimSun"/>
          <w:sz w:val="24"/>
          <w:szCs w:val="24"/>
          <w:spacing w:val="-2"/>
          <w:position w:val="2"/>
        </w:rPr>
        <w:t>降雨强度，</w:t>
      </w:r>
      <w:r>
        <w:rPr>
          <w:rFonts w:ascii="Times New Roman" w:hAnsi="Times New Roman" w:eastAsia="Times New Roman" w:cs="Times New Roman"/>
          <w:sz w:val="24"/>
          <w:szCs w:val="24"/>
          <w:spacing w:val="-2"/>
          <w:position w:val="2"/>
        </w:rPr>
        <w:t>mm</w:t>
      </w:r>
      <w:r>
        <w:rPr>
          <w:rFonts w:ascii="Times New Roman" w:hAnsi="Times New Roman" w:eastAsia="Times New Roman" w:cs="Times New Roman"/>
          <w:sz w:val="24"/>
          <w:szCs w:val="24"/>
          <w:spacing w:val="-18"/>
          <w:position w:val="2"/>
        </w:rPr>
        <w:t xml:space="preserve"> </w:t>
      </w:r>
      <w:r>
        <w:rPr>
          <w:rFonts w:ascii="SimSun" w:hAnsi="SimSun" w:eastAsia="SimSun" w:cs="SimSun"/>
          <w:sz w:val="24"/>
          <w:szCs w:val="24"/>
          <w:spacing w:val="-2"/>
          <w:position w:val="2"/>
        </w:rPr>
        <w:t>，按平均日降雨量，</w:t>
      </w:r>
      <w:r>
        <w:rPr>
          <w:rFonts w:ascii="Times New Roman" w:hAnsi="Times New Roman" w:eastAsia="Times New Roman" w:cs="Times New Roman"/>
          <w:sz w:val="24"/>
          <w:szCs w:val="24"/>
          <w:spacing w:val="-2"/>
          <w:position w:val="2"/>
        </w:rPr>
        <w:t>q=q</w:t>
      </w:r>
      <w:r>
        <w:rPr>
          <w:rFonts w:ascii="Times New Roman" w:hAnsi="Times New Roman" w:eastAsia="Times New Roman" w:cs="Times New Roman"/>
          <w:sz w:val="15"/>
          <w:szCs w:val="15"/>
          <w:spacing w:val="-2"/>
          <w:position w:val="2"/>
        </w:rPr>
        <w:t>a</w:t>
      </w:r>
      <w:r>
        <w:rPr>
          <w:rFonts w:ascii="Times New Roman" w:hAnsi="Times New Roman" w:eastAsia="Times New Roman" w:cs="Times New Roman"/>
          <w:sz w:val="24"/>
          <w:szCs w:val="24"/>
          <w:spacing w:val="-2"/>
          <w:position w:val="2"/>
        </w:rPr>
        <w:t>/n</w:t>
      </w:r>
      <w:r>
        <w:rPr>
          <w:rFonts w:ascii="SimSun" w:hAnsi="SimSun" w:eastAsia="SimSun" w:cs="SimSun"/>
          <w:sz w:val="24"/>
          <w:szCs w:val="24"/>
          <w:spacing w:val="-2"/>
          <w:position w:val="2"/>
        </w:rPr>
        <w:t>；</w:t>
      </w:r>
    </w:p>
    <w:p>
      <w:pPr>
        <w:ind w:left="13" w:right="39" w:firstLine="1194"/>
        <w:spacing w:before="187" w:line="345" w:lineRule="auto"/>
        <w:rPr>
          <w:rFonts w:ascii="SimSun" w:hAnsi="SimSun" w:eastAsia="SimSun" w:cs="SimSun"/>
          <w:sz w:val="24"/>
          <w:szCs w:val="24"/>
        </w:rPr>
      </w:pPr>
      <w:r>
        <w:rPr>
          <w:rFonts w:ascii="Times New Roman" w:hAnsi="Times New Roman" w:eastAsia="Times New Roman" w:cs="Times New Roman"/>
          <w:sz w:val="24"/>
          <w:szCs w:val="24"/>
        </w:rPr>
        <w:t>q</w:t>
      </w:r>
      <w:r>
        <w:rPr>
          <w:rFonts w:ascii="Times New Roman" w:hAnsi="Times New Roman" w:eastAsia="Times New Roman" w:cs="Times New Roman"/>
          <w:sz w:val="15"/>
          <w:szCs w:val="15"/>
        </w:rPr>
        <w:t>a</w:t>
      </w:r>
      <w:r>
        <w:rPr>
          <w:rFonts w:ascii="Times New Roman" w:hAnsi="Times New Roman" w:eastAsia="Times New Roman" w:cs="Times New Roman"/>
          <w:sz w:val="24"/>
          <w:szCs w:val="24"/>
          <w:spacing w:val="1"/>
        </w:rPr>
        <w:t>—</w:t>
      </w:r>
      <w:r>
        <w:rPr>
          <w:rFonts w:ascii="SimSun" w:hAnsi="SimSun" w:eastAsia="SimSun" w:cs="SimSun"/>
          <w:sz w:val="24"/>
          <w:szCs w:val="24"/>
          <w:spacing w:val="1"/>
        </w:rPr>
        <w:t>年平均降雨量，正镶白旗南部丘陵草原平</w:t>
      </w:r>
      <w:r>
        <w:rPr>
          <w:rFonts w:ascii="SimSun" w:hAnsi="SimSun" w:eastAsia="SimSun" w:cs="SimSun"/>
          <w:sz w:val="24"/>
          <w:szCs w:val="24"/>
        </w:rPr>
        <w:t>均年降雨量为</w:t>
      </w:r>
      <w:r>
        <w:rPr>
          <w:rFonts w:ascii="SimSun" w:hAnsi="SimSun" w:eastAsia="SimSun" w:cs="SimSun"/>
          <w:sz w:val="24"/>
          <w:szCs w:val="24"/>
          <w:spacing w:val="-45"/>
        </w:rPr>
        <w:t xml:space="preserve"> </w:t>
      </w:r>
      <w:r>
        <w:rPr>
          <w:rFonts w:ascii="Times New Roman" w:hAnsi="Times New Roman" w:eastAsia="Times New Roman" w:cs="Times New Roman"/>
          <w:sz w:val="24"/>
          <w:szCs w:val="24"/>
        </w:rPr>
        <w:t>360mm</w:t>
      </w:r>
      <w:r>
        <w:rPr>
          <w:rFonts w:ascii="SimSun" w:hAnsi="SimSun" w:eastAsia="SimSun" w:cs="SimSun"/>
          <w:sz w:val="24"/>
          <w:szCs w:val="24"/>
        </w:rPr>
        <w:t>、 </w:t>
      </w:r>
      <w:r>
        <w:rPr>
          <w:rFonts w:ascii="SimSun" w:hAnsi="SimSun" w:eastAsia="SimSun" w:cs="SimSun"/>
          <w:sz w:val="24"/>
          <w:szCs w:val="24"/>
          <w:spacing w:val="-2"/>
        </w:rPr>
        <w:t>北部沙区平均年降雨量为</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2"/>
        </w:rPr>
        <w:t>268mm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，本项目位于南部草原丘陵区，取值</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360mm</w:t>
      </w:r>
      <w:r>
        <w:rPr>
          <w:rFonts w:ascii="SimSun" w:hAnsi="SimSun" w:eastAsia="SimSun" w:cs="SimSun"/>
          <w:sz w:val="24"/>
          <w:szCs w:val="24"/>
          <w:spacing w:val="-2"/>
        </w:rPr>
        <w:t>；</w:t>
      </w:r>
    </w:p>
    <w:p>
      <w:pPr>
        <w:spacing w:line="345" w:lineRule="auto"/>
        <w:sectPr>
          <w:footerReference w:type="default" r:id="rId222"/>
          <w:pgSz w:w="11906" w:h="16839"/>
          <w:pgMar w:top="1567" w:right="1700" w:bottom="1811" w:left="1701" w:header="1221" w:footer="1128" w:gutter="0"/>
        </w:sectPr>
        <w:rPr>
          <w:rFonts w:ascii="SimSun" w:hAnsi="SimSun" w:eastAsia="SimSun" w:cs="SimSun"/>
          <w:sz w:val="24"/>
          <w:szCs w:val="24"/>
        </w:rPr>
      </w:pPr>
    </w:p>
    <w:p>
      <w:pPr>
        <w:ind w:left="10" w:firstLine="1191"/>
        <w:spacing w:before="188" w:line="358" w:lineRule="auto"/>
        <w:rPr>
          <w:rFonts w:ascii="SimSun" w:hAnsi="SimSun" w:eastAsia="SimSun" w:cs="SimSun"/>
          <w:sz w:val="24"/>
          <w:szCs w:val="24"/>
        </w:rPr>
      </w:pPr>
      <w:r>
        <w:pict>
          <v:shape id="_x0000_s848" style="position:absolute;margin-left:85.05pt;margin-top:79.11pt;mso-position-vertical-relative:page;mso-position-horizontal-relative:page;width:425.25pt;height:0.75pt;z-index:252025856;" o:allowincell="f" fillcolor="#000000" filled="true" stroked="false" coordsize="8505,15" coordorigin="0,0" path="m,l8504,0l8504,14l0,14l0,0xe"/>
        </w:pict>
      </w:r>
      <w:r>
        <w:rPr>
          <w:rFonts w:ascii="Times New Roman" w:hAnsi="Times New Roman" w:eastAsia="Times New Roman" w:cs="Times New Roman"/>
          <w:sz w:val="24"/>
          <w:szCs w:val="24"/>
          <w:spacing w:val="-1"/>
        </w:rPr>
        <w:t>n—</w:t>
      </w:r>
      <w:r>
        <w:rPr>
          <w:rFonts w:ascii="SimSun" w:hAnsi="SimSun" w:eastAsia="SimSun" w:cs="SimSun"/>
          <w:sz w:val="24"/>
          <w:szCs w:val="24"/>
          <w:spacing w:val="-1"/>
        </w:rPr>
        <w:t>年平均降雨天数，正镶白旗年降雨天数为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60~80 </w:t>
      </w:r>
      <w:r>
        <w:rPr>
          <w:rFonts w:ascii="SimSun" w:hAnsi="SimSun" w:eastAsia="SimSun" w:cs="SimSun"/>
          <w:sz w:val="24"/>
          <w:szCs w:val="24"/>
          <w:spacing w:val="-1"/>
        </w:rPr>
        <w:t>天，</w:t>
      </w:r>
      <w:r>
        <w:rPr>
          <w:rFonts w:ascii="SimSun" w:hAnsi="SimSun" w:eastAsia="SimSun" w:cs="SimSun"/>
          <w:sz w:val="24"/>
          <w:szCs w:val="24"/>
          <w:spacing w:val="-2"/>
        </w:rPr>
        <w:t>本次评价取值</w:t>
      </w:r>
      <w:r>
        <w:rPr>
          <w:rFonts w:ascii="SimSun" w:hAnsi="SimSun" w:eastAsia="SimSun" w:cs="SimSun"/>
          <w:sz w:val="24"/>
          <w:szCs w:val="24"/>
        </w:rPr>
        <w:t xml:space="preserve"> </w:t>
      </w:r>
      <w:r>
        <w:rPr>
          <w:rFonts w:ascii="Times New Roman" w:hAnsi="Times New Roman" w:eastAsia="Times New Roman" w:cs="Times New Roman"/>
          <w:sz w:val="24"/>
          <w:szCs w:val="24"/>
          <w:spacing w:val="-7"/>
        </w:rPr>
        <w:t>60</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7"/>
        </w:rPr>
        <w:t>天；</w:t>
      </w:r>
    </w:p>
    <w:p>
      <w:pPr>
        <w:ind w:left="1204"/>
        <w:spacing w:line="219" w:lineRule="auto"/>
        <w:rPr>
          <w:rFonts w:ascii="SimSun" w:hAnsi="SimSun" w:eastAsia="SimSun" w:cs="SimSun"/>
          <w:sz w:val="24"/>
          <w:szCs w:val="24"/>
        </w:rPr>
      </w:pPr>
      <w:r>
        <w:rPr>
          <w:rFonts w:ascii="Times New Roman" w:hAnsi="Times New Roman" w:eastAsia="Times New Roman" w:cs="Times New Roman"/>
          <w:sz w:val="24"/>
          <w:szCs w:val="24"/>
          <w:spacing w:val="-1"/>
        </w:rPr>
        <w:t>F—</w:t>
      </w:r>
      <w:r>
        <w:rPr>
          <w:rFonts w:ascii="SimSun" w:hAnsi="SimSun" w:eastAsia="SimSun" w:cs="SimSun"/>
          <w:sz w:val="24"/>
          <w:szCs w:val="24"/>
          <w:spacing w:val="-1"/>
        </w:rPr>
        <w:t>必须进入事故废水收集系统的雨水汇水面积，</w:t>
      </w:r>
      <w:r>
        <w:rPr>
          <w:rFonts w:ascii="Times New Roman" w:hAnsi="Times New Roman" w:eastAsia="Times New Roman" w:cs="Times New Roman"/>
          <w:sz w:val="24"/>
          <w:szCs w:val="24"/>
          <w:spacing w:val="-1"/>
        </w:rPr>
        <w:t>ha</w:t>
      </w:r>
      <w:r>
        <w:rPr>
          <w:rFonts w:ascii="SimSun" w:hAnsi="SimSun" w:eastAsia="SimSun" w:cs="SimSun"/>
          <w:sz w:val="24"/>
          <w:szCs w:val="24"/>
          <w:spacing w:val="-1"/>
        </w:rPr>
        <w:t>；</w:t>
      </w:r>
    </w:p>
    <w:p>
      <w:pPr>
        <w:ind w:left="482"/>
        <w:spacing w:before="139" w:line="323" w:lineRule="exact"/>
        <w:rPr>
          <w:rFonts w:ascii="SimSun" w:hAnsi="SimSun" w:eastAsia="SimSun" w:cs="SimSun"/>
          <w:sz w:val="24"/>
          <w:szCs w:val="24"/>
        </w:rPr>
      </w:pPr>
      <w:r>
        <w:rPr>
          <w:rFonts w:ascii="Times New Roman" w:hAnsi="Times New Roman" w:eastAsia="Times New Roman" w:cs="Times New Roman"/>
          <w:sz w:val="24"/>
          <w:szCs w:val="24"/>
          <w:spacing w:val="-3"/>
          <w:position w:val="1"/>
        </w:rPr>
        <w:t>V</w:t>
      </w:r>
      <w:r>
        <w:rPr>
          <w:rFonts w:ascii="Times New Roman" w:hAnsi="Times New Roman" w:eastAsia="Times New Roman" w:cs="Times New Roman"/>
          <w:sz w:val="15"/>
          <w:szCs w:val="15"/>
          <w:spacing w:val="-3"/>
        </w:rPr>
        <w:t>1</w:t>
      </w:r>
      <w:r>
        <w:rPr>
          <w:rFonts w:ascii="Times New Roman" w:hAnsi="Times New Roman" w:eastAsia="Times New Roman" w:cs="Times New Roman"/>
          <w:sz w:val="15"/>
          <w:szCs w:val="15"/>
          <w:spacing w:val="-9"/>
        </w:rPr>
        <w:t xml:space="preserve"> </w:t>
      </w:r>
      <w:r>
        <w:rPr>
          <w:rFonts w:ascii="SimSun" w:hAnsi="SimSun" w:eastAsia="SimSun" w:cs="SimSun"/>
          <w:sz w:val="24"/>
          <w:szCs w:val="24"/>
          <w:spacing w:val="-3"/>
          <w:position w:val="1"/>
        </w:rPr>
        <w:t>，西厂区</w:t>
      </w:r>
      <w:r>
        <w:rPr>
          <w:rFonts w:ascii="SimSun" w:hAnsi="SimSun" w:eastAsia="SimSun" w:cs="SimSun"/>
          <w:sz w:val="24"/>
          <w:szCs w:val="24"/>
          <w:spacing w:val="-58"/>
          <w:position w:val="1"/>
        </w:rPr>
        <w:t xml:space="preserve"> </w:t>
      </w:r>
      <w:r>
        <w:rPr>
          <w:rFonts w:ascii="Times New Roman" w:hAnsi="Times New Roman" w:eastAsia="Times New Roman" w:cs="Times New Roman"/>
          <w:sz w:val="24"/>
          <w:szCs w:val="24"/>
          <w:spacing w:val="-3"/>
          <w:position w:val="1"/>
        </w:rPr>
        <w:t>V</w:t>
      </w:r>
      <w:r>
        <w:rPr>
          <w:rFonts w:ascii="Times New Roman" w:hAnsi="Times New Roman" w:eastAsia="Times New Roman" w:cs="Times New Roman"/>
          <w:sz w:val="15"/>
          <w:szCs w:val="15"/>
          <w:spacing w:val="-3"/>
        </w:rPr>
        <w:t>1</w:t>
      </w:r>
      <w:r>
        <w:rPr>
          <w:rFonts w:ascii="Times New Roman" w:hAnsi="Times New Roman" w:eastAsia="Times New Roman" w:cs="Times New Roman"/>
          <w:sz w:val="24"/>
          <w:szCs w:val="24"/>
          <w:spacing w:val="-3"/>
          <w:position w:val="1"/>
        </w:rPr>
        <w:t>=64</w:t>
      </w:r>
      <w:r>
        <w:rPr>
          <w:rFonts w:ascii="SimSun" w:hAnsi="SimSun" w:eastAsia="SimSun" w:cs="SimSun"/>
          <w:sz w:val="24"/>
          <w:szCs w:val="24"/>
          <w:spacing w:val="-3"/>
          <w:position w:val="1"/>
        </w:rPr>
        <w:t>（沼肥</w:t>
      </w:r>
      <w:r>
        <w:rPr>
          <w:rFonts w:ascii="SimSun" w:hAnsi="SimSun" w:eastAsia="SimSun" w:cs="SimSun"/>
          <w:sz w:val="24"/>
          <w:szCs w:val="24"/>
          <w:spacing w:val="17"/>
          <w:position w:val="1"/>
        </w:rPr>
        <w:t>），</w:t>
      </w:r>
      <w:r>
        <w:rPr>
          <w:rFonts w:ascii="SimSun" w:hAnsi="SimSun" w:eastAsia="SimSun" w:cs="SimSun"/>
          <w:sz w:val="24"/>
          <w:szCs w:val="24"/>
          <w:spacing w:val="-3"/>
          <w:position w:val="1"/>
        </w:rPr>
        <w:t>东厂区</w:t>
      </w:r>
      <w:r>
        <w:rPr>
          <w:rFonts w:ascii="SimSun" w:hAnsi="SimSun" w:eastAsia="SimSun" w:cs="SimSun"/>
          <w:sz w:val="24"/>
          <w:szCs w:val="24"/>
          <w:spacing w:val="-58"/>
          <w:position w:val="1"/>
        </w:rPr>
        <w:t xml:space="preserve"> </w:t>
      </w:r>
      <w:r>
        <w:rPr>
          <w:rFonts w:ascii="Times New Roman" w:hAnsi="Times New Roman" w:eastAsia="Times New Roman" w:cs="Times New Roman"/>
          <w:sz w:val="24"/>
          <w:szCs w:val="24"/>
          <w:spacing w:val="-3"/>
          <w:position w:val="1"/>
        </w:rPr>
        <w:t>V</w:t>
      </w:r>
      <w:r>
        <w:rPr>
          <w:rFonts w:ascii="Times New Roman" w:hAnsi="Times New Roman" w:eastAsia="Times New Roman" w:cs="Times New Roman"/>
          <w:sz w:val="15"/>
          <w:szCs w:val="15"/>
          <w:spacing w:val="-3"/>
        </w:rPr>
        <w:t>1</w:t>
      </w:r>
      <w:r>
        <w:rPr>
          <w:rFonts w:ascii="Times New Roman" w:hAnsi="Times New Roman" w:eastAsia="Times New Roman" w:cs="Times New Roman"/>
          <w:sz w:val="24"/>
          <w:szCs w:val="24"/>
          <w:spacing w:val="-3"/>
          <w:position w:val="1"/>
        </w:rPr>
        <w:t>=0</w:t>
      </w:r>
      <w:r>
        <w:rPr>
          <w:rFonts w:ascii="SimSun" w:hAnsi="SimSun" w:eastAsia="SimSun" w:cs="SimSun"/>
          <w:sz w:val="24"/>
          <w:szCs w:val="24"/>
          <w:spacing w:val="-3"/>
          <w:position w:val="1"/>
        </w:rPr>
        <w:t>；</w:t>
      </w:r>
    </w:p>
    <w:p>
      <w:pPr>
        <w:ind w:left="482"/>
        <w:spacing w:before="188" w:line="219" w:lineRule="auto"/>
        <w:rPr>
          <w:rFonts w:ascii="SimSun" w:hAnsi="SimSun" w:eastAsia="SimSun" w:cs="SimSun"/>
          <w:sz w:val="24"/>
          <w:szCs w:val="24"/>
        </w:rPr>
      </w:pPr>
      <w:r>
        <w:rPr>
          <w:rFonts w:ascii="Times New Roman" w:hAnsi="Times New Roman" w:eastAsia="Times New Roman" w:cs="Times New Roman"/>
          <w:sz w:val="24"/>
          <w:szCs w:val="24"/>
          <w:spacing w:val="-1"/>
        </w:rPr>
        <w:t>V</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15"/>
          <w:szCs w:val="15"/>
          <w:spacing w:val="-7"/>
          <w:position w:val="-1"/>
        </w:rPr>
        <w:t xml:space="preserve"> </w:t>
      </w:r>
      <w:r>
        <w:rPr>
          <w:rFonts w:ascii="SimSun" w:hAnsi="SimSun" w:eastAsia="SimSun" w:cs="SimSun"/>
          <w:sz w:val="24"/>
          <w:szCs w:val="24"/>
          <w:spacing w:val="-1"/>
        </w:rPr>
        <w:t>，按全厂最大一次消防用水量计算得到，最大消防用水量为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288m</w:t>
      </w:r>
      <w:r>
        <w:rPr>
          <w:rFonts w:ascii="Times New Roman" w:hAnsi="Times New Roman" w:eastAsia="Times New Roman" w:cs="Times New Roman"/>
          <w:sz w:val="15"/>
          <w:szCs w:val="15"/>
          <w:spacing w:val="-1"/>
          <w:position w:val="8"/>
        </w:rPr>
        <w:t>3</w:t>
      </w:r>
      <w:r>
        <w:rPr>
          <w:rFonts w:ascii="SimSun" w:hAnsi="SimSun" w:eastAsia="SimSun" w:cs="SimSun"/>
          <w:sz w:val="24"/>
          <w:szCs w:val="24"/>
          <w:spacing w:val="-1"/>
        </w:rPr>
        <w:t>。</w:t>
      </w:r>
    </w:p>
    <w:p>
      <w:pPr>
        <w:ind w:left="482"/>
        <w:spacing w:before="180" w:line="219" w:lineRule="auto"/>
        <w:rPr>
          <w:rFonts w:ascii="SimSun" w:hAnsi="SimSun" w:eastAsia="SimSun" w:cs="SimSun"/>
          <w:sz w:val="24"/>
          <w:szCs w:val="24"/>
        </w:rPr>
      </w:pPr>
      <w:r>
        <w:rPr>
          <w:rFonts w:ascii="Times New Roman" w:hAnsi="Times New Roman" w:eastAsia="Times New Roman" w:cs="Times New Roman"/>
          <w:sz w:val="24"/>
          <w:szCs w:val="24"/>
        </w:rPr>
        <w:t>V</w:t>
      </w:r>
      <w:r>
        <w:rPr>
          <w:rFonts w:ascii="Times New Roman" w:hAnsi="Times New Roman" w:eastAsia="Times New Roman" w:cs="Times New Roman"/>
          <w:sz w:val="15"/>
          <w:szCs w:val="15"/>
          <w:position w:val="-1"/>
        </w:rPr>
        <w:t>3</w:t>
      </w:r>
      <w:r>
        <w:rPr>
          <w:rFonts w:ascii="Times New Roman" w:hAnsi="Times New Roman" w:eastAsia="Times New Roman" w:cs="Times New Roman"/>
          <w:sz w:val="15"/>
          <w:szCs w:val="15"/>
          <w:spacing w:val="-4"/>
          <w:position w:val="-1"/>
        </w:rPr>
        <w:t xml:space="preserve"> </w:t>
      </w:r>
      <w:r>
        <w:rPr>
          <w:rFonts w:ascii="SimSun" w:hAnsi="SimSun" w:eastAsia="SimSun" w:cs="SimSun"/>
          <w:sz w:val="24"/>
          <w:szCs w:val="24"/>
          <w:spacing w:val="-15"/>
        </w:rPr>
        <w:t>，</w:t>
      </w:r>
      <w:r>
        <w:rPr>
          <w:rFonts w:ascii="Times New Roman" w:hAnsi="Times New Roman" w:eastAsia="Times New Roman" w:cs="Times New Roman"/>
          <w:sz w:val="24"/>
          <w:szCs w:val="24"/>
          <w:spacing w:val="-15"/>
        </w:rPr>
        <w:t>V</w:t>
      </w:r>
      <w:r>
        <w:rPr>
          <w:rFonts w:ascii="Times New Roman" w:hAnsi="Times New Roman" w:eastAsia="Times New Roman" w:cs="Times New Roman"/>
          <w:sz w:val="15"/>
          <w:szCs w:val="15"/>
          <w:spacing w:val="-4"/>
          <w:position w:val="-1"/>
        </w:rPr>
        <w:t>3</w:t>
      </w:r>
      <w:r>
        <w:rPr>
          <w:rFonts w:ascii="Times New Roman" w:hAnsi="Times New Roman" w:eastAsia="Times New Roman" w:cs="Times New Roman"/>
          <w:sz w:val="15"/>
          <w:szCs w:val="15"/>
          <w:spacing w:val="14"/>
          <w:w w:val="101"/>
          <w:position w:val="-1"/>
        </w:rPr>
        <w:t xml:space="preserve"> </w:t>
      </w:r>
      <w:r>
        <w:rPr>
          <w:rFonts w:ascii="SimSun" w:hAnsi="SimSun" w:eastAsia="SimSun" w:cs="SimSun"/>
          <w:sz w:val="24"/>
          <w:szCs w:val="24"/>
          <w:spacing w:val="-4"/>
        </w:rPr>
        <w:t>取值为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4"/>
        </w:rPr>
        <w:t>0</w:t>
      </w:r>
      <w:r>
        <w:rPr>
          <w:rFonts w:ascii="SimSun" w:hAnsi="SimSun" w:eastAsia="SimSun" w:cs="SimSun"/>
          <w:sz w:val="24"/>
          <w:szCs w:val="24"/>
          <w:spacing w:val="-4"/>
        </w:rPr>
        <w:t>；</w:t>
      </w:r>
    </w:p>
    <w:p>
      <w:pPr>
        <w:ind w:left="482"/>
        <w:spacing w:before="183" w:line="215" w:lineRule="auto"/>
        <w:rPr>
          <w:rFonts w:ascii="SimSun" w:hAnsi="SimSun" w:eastAsia="SimSun" w:cs="SimSun"/>
          <w:sz w:val="24"/>
          <w:szCs w:val="24"/>
        </w:rPr>
      </w:pPr>
      <w:r>
        <w:rPr>
          <w:rFonts w:ascii="Times New Roman" w:hAnsi="Times New Roman" w:eastAsia="Times New Roman" w:cs="Times New Roman"/>
          <w:sz w:val="24"/>
          <w:szCs w:val="24"/>
          <w:spacing w:val="-1"/>
        </w:rPr>
        <w:t>V</w:t>
      </w:r>
      <w:r>
        <w:rPr>
          <w:rFonts w:ascii="Times New Roman" w:hAnsi="Times New Roman" w:eastAsia="Times New Roman" w:cs="Times New Roman"/>
          <w:sz w:val="15"/>
          <w:szCs w:val="15"/>
          <w:spacing w:val="-1"/>
          <w:position w:val="-1"/>
        </w:rPr>
        <w:t>4</w:t>
      </w:r>
      <w:r>
        <w:rPr>
          <w:rFonts w:ascii="SimSun" w:hAnsi="SimSun" w:eastAsia="SimSun" w:cs="SimSun"/>
          <w:sz w:val="12"/>
          <w:szCs w:val="12"/>
          <w:spacing w:val="-1"/>
          <w:position w:val="-3"/>
        </w:rPr>
        <w:t>，</w:t>
      </w:r>
      <w:r>
        <w:rPr>
          <w:rFonts w:ascii="SimSun" w:hAnsi="SimSun" w:eastAsia="SimSun" w:cs="SimSun"/>
          <w:sz w:val="24"/>
          <w:szCs w:val="24"/>
          <w:spacing w:val="-1"/>
        </w:rPr>
        <w:t>对于本项目不考虑，</w:t>
      </w:r>
      <w:r>
        <w:rPr>
          <w:rFonts w:ascii="Times New Roman" w:hAnsi="Times New Roman" w:eastAsia="Times New Roman" w:cs="Times New Roman"/>
          <w:sz w:val="24"/>
          <w:szCs w:val="24"/>
          <w:spacing w:val="-1"/>
        </w:rPr>
        <w:t>0</w:t>
      </w:r>
      <w:r>
        <w:rPr>
          <w:rFonts w:ascii="SimSun" w:hAnsi="SimSun" w:eastAsia="SimSun" w:cs="SimSun"/>
          <w:sz w:val="24"/>
          <w:szCs w:val="24"/>
          <w:spacing w:val="-1"/>
        </w:rPr>
        <w:t>；</w:t>
      </w:r>
    </w:p>
    <w:p>
      <w:pPr>
        <w:ind w:left="2" w:firstLine="480"/>
        <w:spacing w:before="185" w:line="351" w:lineRule="auto"/>
        <w:jc w:val="both"/>
        <w:rPr>
          <w:rFonts w:ascii="SimSun" w:hAnsi="SimSun" w:eastAsia="SimSun" w:cs="SimSun"/>
          <w:sz w:val="24"/>
          <w:szCs w:val="24"/>
        </w:rPr>
      </w:pPr>
      <w:r>
        <w:rPr>
          <w:rFonts w:ascii="Times New Roman" w:hAnsi="Times New Roman" w:eastAsia="Times New Roman" w:cs="Times New Roman"/>
          <w:sz w:val="24"/>
          <w:szCs w:val="24"/>
          <w:spacing w:val="-1"/>
        </w:rPr>
        <w:t>V</w:t>
      </w:r>
      <w:r>
        <w:rPr>
          <w:rFonts w:ascii="Times New Roman" w:hAnsi="Times New Roman" w:eastAsia="Times New Roman" w:cs="Times New Roman"/>
          <w:sz w:val="15"/>
          <w:szCs w:val="15"/>
          <w:spacing w:val="-1"/>
          <w:position w:val="-1"/>
        </w:rPr>
        <w:t>5</w:t>
      </w:r>
      <w:r>
        <w:rPr>
          <w:rFonts w:ascii="Times New Roman" w:hAnsi="Times New Roman" w:eastAsia="Times New Roman" w:cs="Times New Roman"/>
          <w:sz w:val="15"/>
          <w:szCs w:val="15"/>
          <w:spacing w:val="8"/>
          <w:position w:val="-1"/>
        </w:rPr>
        <w:t xml:space="preserve"> </w:t>
      </w:r>
      <w:r>
        <w:rPr>
          <w:rFonts w:ascii="SimSun" w:hAnsi="SimSun" w:eastAsia="SimSun" w:cs="SimSun"/>
          <w:sz w:val="24"/>
          <w:szCs w:val="24"/>
          <w:spacing w:val="-1"/>
        </w:rPr>
        <w:t>，东厂区占地面积</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11703.99m</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15"/>
          <w:szCs w:val="15"/>
          <w:spacing w:val="-7"/>
          <w:position w:val="7"/>
        </w:rPr>
        <w:t xml:space="preserve"> </w:t>
      </w:r>
      <w:r>
        <w:rPr>
          <w:rFonts w:ascii="SimSun" w:hAnsi="SimSun" w:eastAsia="SimSun" w:cs="SimSun"/>
          <w:sz w:val="24"/>
          <w:szCs w:val="24"/>
          <w:spacing w:val="-1"/>
        </w:rPr>
        <w:t>，必须进入事故废水收集系统的雨水汇水面</w:t>
      </w:r>
      <w:r>
        <w:rPr>
          <w:rFonts w:ascii="SimSun" w:hAnsi="SimSun" w:eastAsia="SimSun" w:cs="SimSun"/>
          <w:sz w:val="24"/>
          <w:szCs w:val="24"/>
        </w:rPr>
        <w:t xml:space="preserve"> </w:t>
      </w:r>
      <w:r>
        <w:rPr>
          <w:rFonts w:ascii="SimSun" w:hAnsi="SimSun" w:eastAsia="SimSun" w:cs="SimSun"/>
          <w:sz w:val="24"/>
          <w:szCs w:val="24"/>
          <w:spacing w:val="-2"/>
        </w:rPr>
        <w:t>积为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3000m</w:t>
      </w:r>
      <w:r>
        <w:rPr>
          <w:rFonts w:ascii="Times New Roman" w:hAnsi="Times New Roman" w:eastAsia="Times New Roman" w:cs="Times New Roman"/>
          <w:sz w:val="15"/>
          <w:szCs w:val="15"/>
          <w:spacing w:val="-2"/>
          <w:position w:val="8"/>
        </w:rPr>
        <w:t>2</w:t>
      </w:r>
      <w:r>
        <w:rPr>
          <w:rFonts w:ascii="SimSun" w:hAnsi="SimSun" w:eastAsia="SimSun" w:cs="SimSun"/>
          <w:sz w:val="24"/>
          <w:szCs w:val="24"/>
          <w:spacing w:val="-2"/>
        </w:rPr>
        <w:t>（</w:t>
      </w:r>
      <w:r>
        <w:rPr>
          <w:rFonts w:ascii="Times New Roman" w:hAnsi="Times New Roman" w:eastAsia="Times New Roman" w:cs="Times New Roman"/>
          <w:sz w:val="24"/>
          <w:szCs w:val="24"/>
          <w:spacing w:val="-2"/>
        </w:rPr>
        <w:t>0.3ha</w:t>
      </w:r>
      <w:r>
        <w:rPr>
          <w:rFonts w:ascii="SimSun" w:hAnsi="SimSun" w:eastAsia="SimSun" w:cs="SimSun"/>
          <w:sz w:val="24"/>
          <w:szCs w:val="24"/>
          <w:spacing w:val="-3"/>
        </w:rPr>
        <w:t>）；</w:t>
      </w:r>
      <w:r>
        <w:rPr>
          <w:rFonts w:ascii="SimSun" w:hAnsi="SimSun" w:eastAsia="SimSun" w:cs="SimSun"/>
          <w:sz w:val="24"/>
          <w:szCs w:val="24"/>
          <w:spacing w:val="-2"/>
        </w:rPr>
        <w:t>西厂区占地面积</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20729.85m</w:t>
      </w:r>
      <w:r>
        <w:rPr>
          <w:rFonts w:ascii="Times New Roman" w:hAnsi="Times New Roman" w:eastAsia="Times New Roman" w:cs="Times New Roman"/>
          <w:sz w:val="15"/>
          <w:szCs w:val="15"/>
          <w:spacing w:val="-2"/>
          <w:position w:val="8"/>
        </w:rPr>
        <w:t>2</w:t>
      </w:r>
      <w:r>
        <w:rPr>
          <w:rFonts w:ascii="Times New Roman" w:hAnsi="Times New Roman" w:eastAsia="Times New Roman" w:cs="Times New Roman"/>
          <w:sz w:val="15"/>
          <w:szCs w:val="15"/>
          <w:spacing w:val="-10"/>
          <w:position w:val="8"/>
        </w:rPr>
        <w:t xml:space="preserve"> </w:t>
      </w:r>
      <w:r>
        <w:rPr>
          <w:rFonts w:ascii="SimSun" w:hAnsi="SimSun" w:eastAsia="SimSun" w:cs="SimSun"/>
          <w:sz w:val="24"/>
          <w:szCs w:val="24"/>
          <w:spacing w:val="-2"/>
        </w:rPr>
        <w:t>，必须进入事故废水收集系统</w:t>
      </w:r>
      <w:r>
        <w:rPr>
          <w:rFonts w:ascii="SimSun" w:hAnsi="SimSun" w:eastAsia="SimSun" w:cs="SimSun"/>
          <w:sz w:val="24"/>
          <w:szCs w:val="24"/>
        </w:rPr>
        <w:t xml:space="preserve"> </w:t>
      </w:r>
      <w:r>
        <w:rPr>
          <w:rFonts w:ascii="SimSun" w:hAnsi="SimSun" w:eastAsia="SimSun" w:cs="SimSun"/>
          <w:sz w:val="24"/>
          <w:szCs w:val="24"/>
          <w:spacing w:val="-3"/>
        </w:rPr>
        <w:t>的雨水汇水面积为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3"/>
        </w:rPr>
        <w:t>8300m</w:t>
      </w:r>
      <w:r>
        <w:rPr>
          <w:rFonts w:ascii="Times New Roman" w:hAnsi="Times New Roman" w:eastAsia="Times New Roman" w:cs="Times New Roman"/>
          <w:sz w:val="15"/>
          <w:szCs w:val="15"/>
          <w:spacing w:val="-3"/>
          <w:position w:val="8"/>
        </w:rPr>
        <w:t>2</w:t>
      </w:r>
      <w:r>
        <w:rPr>
          <w:rFonts w:ascii="SimSun" w:hAnsi="SimSun" w:eastAsia="SimSun" w:cs="SimSun"/>
          <w:sz w:val="24"/>
          <w:szCs w:val="24"/>
          <w:spacing w:val="-3"/>
        </w:rPr>
        <w:t>（</w:t>
      </w:r>
      <w:r>
        <w:rPr>
          <w:rFonts w:ascii="Times New Roman" w:hAnsi="Times New Roman" w:eastAsia="Times New Roman" w:cs="Times New Roman"/>
          <w:sz w:val="24"/>
          <w:szCs w:val="24"/>
          <w:spacing w:val="-3"/>
        </w:rPr>
        <w:t>0.83ha</w:t>
      </w:r>
      <w:r>
        <w:rPr>
          <w:rFonts w:ascii="SimSun" w:hAnsi="SimSun" w:eastAsia="SimSun" w:cs="SimSun"/>
          <w:sz w:val="24"/>
          <w:szCs w:val="24"/>
          <w:spacing w:val="-10"/>
        </w:rPr>
        <w:t>），</w:t>
      </w:r>
      <w:r>
        <w:rPr>
          <w:rFonts w:ascii="SimSun" w:hAnsi="SimSun" w:eastAsia="SimSun" w:cs="SimSun"/>
          <w:sz w:val="24"/>
          <w:szCs w:val="24"/>
          <w:spacing w:val="-3"/>
        </w:rPr>
        <w:t>故东厂区</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V</w:t>
      </w:r>
      <w:r>
        <w:rPr>
          <w:rFonts w:ascii="Times New Roman" w:hAnsi="Times New Roman" w:eastAsia="Times New Roman" w:cs="Times New Roman"/>
          <w:sz w:val="15"/>
          <w:szCs w:val="15"/>
          <w:spacing w:val="-3"/>
          <w:position w:val="-1"/>
        </w:rPr>
        <w:t>5</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10×360/60×0.3=</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3"/>
        </w:rPr>
        <w:t>18m</w:t>
      </w:r>
      <w:r>
        <w:rPr>
          <w:rFonts w:ascii="Times New Roman" w:hAnsi="Times New Roman" w:eastAsia="Times New Roman" w:cs="Times New Roman"/>
          <w:sz w:val="15"/>
          <w:szCs w:val="15"/>
          <w:spacing w:val="-3"/>
          <w:position w:val="8"/>
        </w:rPr>
        <w:t>3</w:t>
      </w:r>
      <w:r>
        <w:rPr>
          <w:rFonts w:ascii="Times New Roman" w:hAnsi="Times New Roman" w:eastAsia="Times New Roman" w:cs="Times New Roman"/>
          <w:sz w:val="15"/>
          <w:szCs w:val="15"/>
          <w:spacing w:val="-9"/>
          <w:position w:val="8"/>
        </w:rPr>
        <w:t xml:space="preserve"> </w:t>
      </w:r>
      <w:r>
        <w:rPr>
          <w:rFonts w:ascii="SimSun" w:hAnsi="SimSun" w:eastAsia="SimSun" w:cs="SimSun"/>
          <w:sz w:val="24"/>
          <w:szCs w:val="24"/>
          <w:spacing w:val="-3"/>
        </w:rPr>
        <w:t>，西厂区</w:t>
      </w:r>
      <w:r>
        <w:rPr>
          <w:rFonts w:ascii="SimSun" w:hAnsi="SimSun" w:eastAsia="SimSun" w:cs="SimSun"/>
          <w:sz w:val="24"/>
          <w:szCs w:val="24"/>
        </w:rPr>
        <w:t xml:space="preserve"> </w:t>
      </w:r>
      <w:r>
        <w:rPr>
          <w:rFonts w:ascii="Times New Roman" w:hAnsi="Times New Roman" w:eastAsia="Times New Roman" w:cs="Times New Roman"/>
          <w:sz w:val="24"/>
          <w:szCs w:val="24"/>
          <w:spacing w:val="-1"/>
        </w:rPr>
        <w:t>V</w:t>
      </w:r>
      <w:r>
        <w:rPr>
          <w:rFonts w:ascii="Times New Roman" w:hAnsi="Times New Roman" w:eastAsia="Times New Roman" w:cs="Times New Roman"/>
          <w:sz w:val="15"/>
          <w:szCs w:val="15"/>
          <w:spacing w:val="-1"/>
          <w:position w:val="-2"/>
        </w:rPr>
        <w:t>5</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30"/>
        </w:rPr>
        <w:t xml:space="preserve"> </w:t>
      </w:r>
      <w:r>
        <w:rPr>
          <w:rFonts w:ascii="Times New Roman" w:hAnsi="Times New Roman" w:eastAsia="Times New Roman" w:cs="Times New Roman"/>
          <w:sz w:val="24"/>
          <w:szCs w:val="24"/>
          <w:spacing w:val="-1"/>
        </w:rPr>
        <w:t>10×360/60×0.83=49</w:t>
      </w:r>
      <w:r>
        <w:rPr>
          <w:rFonts w:ascii="Times New Roman" w:hAnsi="Times New Roman" w:eastAsia="Times New Roman" w:cs="Times New Roman"/>
          <w:sz w:val="24"/>
          <w:szCs w:val="24"/>
          <w:spacing w:val="-2"/>
        </w:rPr>
        <w:t>.8m</w:t>
      </w:r>
      <w:r>
        <w:rPr>
          <w:rFonts w:ascii="Times New Roman" w:hAnsi="Times New Roman" w:eastAsia="Times New Roman" w:cs="Times New Roman"/>
          <w:sz w:val="15"/>
          <w:szCs w:val="15"/>
          <w:spacing w:val="-2"/>
          <w:position w:val="7"/>
        </w:rPr>
        <w:t>3</w:t>
      </w:r>
      <w:r>
        <w:rPr>
          <w:rFonts w:ascii="SimSun" w:hAnsi="SimSun" w:eastAsia="SimSun" w:cs="SimSun"/>
          <w:sz w:val="24"/>
          <w:szCs w:val="24"/>
          <w:spacing w:val="-2"/>
        </w:rPr>
        <w:t>。</w:t>
      </w:r>
    </w:p>
    <w:p>
      <w:pPr>
        <w:ind w:left="8" w:firstLine="485"/>
        <w:spacing w:before="3" w:line="349" w:lineRule="auto"/>
        <w:jc w:val="both"/>
        <w:rPr>
          <w:rFonts w:ascii="SimSun" w:hAnsi="SimSun" w:eastAsia="SimSun" w:cs="SimSun"/>
          <w:sz w:val="24"/>
          <w:szCs w:val="24"/>
        </w:rPr>
      </w:pPr>
      <w:r>
        <w:rPr>
          <w:rFonts w:ascii="SimSun" w:hAnsi="SimSun" w:eastAsia="SimSun" w:cs="SimSun"/>
          <w:sz w:val="24"/>
          <w:szCs w:val="24"/>
          <w:spacing w:val="-1"/>
        </w:rPr>
        <w:t>故西厂</w:t>
      </w:r>
      <w:r>
        <w:rPr>
          <w:rFonts w:ascii="SimSun" w:hAnsi="SimSun" w:eastAsia="SimSun" w:cs="SimSun"/>
          <w:sz w:val="24"/>
          <w:szCs w:val="24"/>
          <w:spacing w:val="-52"/>
        </w:rPr>
        <w:t xml:space="preserve"> </w:t>
      </w:r>
      <w:r>
        <w:rPr>
          <w:rFonts w:ascii="SimSun" w:hAnsi="SimSun" w:eastAsia="SimSun" w:cs="SimSun"/>
          <w:sz w:val="24"/>
          <w:szCs w:val="24"/>
          <w:spacing w:val="-1"/>
        </w:rPr>
        <w:t>区</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V=</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1"/>
        </w:rPr>
        <w:t>（</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V</w:t>
      </w:r>
      <w:r>
        <w:rPr>
          <w:rFonts w:ascii="Times New Roman" w:hAnsi="Times New Roman" w:eastAsia="Times New Roman" w:cs="Times New Roman"/>
          <w:sz w:val="15"/>
          <w:szCs w:val="15"/>
          <w:spacing w:val="-1"/>
          <w:position w:val="-1"/>
        </w:rPr>
        <w:t>1</w:t>
      </w:r>
      <w:r>
        <w:rPr>
          <w:rFonts w:ascii="Times New Roman" w:hAnsi="Times New Roman" w:eastAsia="Times New Roman" w:cs="Times New Roman"/>
          <w:sz w:val="24"/>
          <w:szCs w:val="24"/>
          <w:spacing w:val="-1"/>
        </w:rPr>
        <w:t>+V</w:t>
      </w:r>
      <w:r>
        <w:rPr>
          <w:rFonts w:ascii="Times New Roman" w:hAnsi="Times New Roman" w:eastAsia="Times New Roman" w:cs="Times New Roman"/>
          <w:sz w:val="15"/>
          <w:szCs w:val="15"/>
          <w:spacing w:val="-1"/>
        </w:rPr>
        <w:t>2</w:t>
      </w:r>
      <w:r>
        <w:rPr>
          <w:rFonts w:ascii="Times New Roman" w:hAnsi="Times New Roman" w:eastAsia="Times New Roman" w:cs="Times New Roman"/>
          <w:sz w:val="24"/>
          <w:szCs w:val="24"/>
          <w:spacing w:val="-1"/>
        </w:rPr>
        <w:t>-V</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spacing w:val="29"/>
          <w:w w:val="101"/>
          <w:position w:val="-1"/>
        </w:rPr>
        <w:t xml:space="preserve"> </w:t>
      </w:r>
      <w:r>
        <w:rPr>
          <w:rFonts w:ascii="SimSun" w:hAnsi="SimSun" w:eastAsia="SimSun" w:cs="SimSun"/>
          <w:sz w:val="24"/>
          <w:szCs w:val="24"/>
          <w:spacing w:val="-1"/>
        </w:rPr>
        <w:t>）</w:t>
      </w:r>
      <w:r>
        <w:rPr>
          <w:rFonts w:ascii="Times New Roman" w:hAnsi="Times New Roman" w:eastAsia="Times New Roman" w:cs="Times New Roman"/>
          <w:sz w:val="15"/>
          <w:szCs w:val="15"/>
          <w:spacing w:val="-1"/>
          <w:position w:val="-1"/>
        </w:rPr>
        <w:t>max</w:t>
      </w:r>
      <w:r>
        <w:rPr>
          <w:rFonts w:ascii="Times New Roman" w:hAnsi="Times New Roman" w:eastAsia="Times New Roman" w:cs="Times New Roman"/>
          <w:sz w:val="24"/>
          <w:szCs w:val="24"/>
          <w:spacing w:val="-1"/>
        </w:rPr>
        <w:t>+V</w:t>
      </w:r>
      <w:r>
        <w:rPr>
          <w:rFonts w:ascii="Times New Roman" w:hAnsi="Times New Roman" w:eastAsia="Times New Roman" w:cs="Times New Roman"/>
          <w:sz w:val="15"/>
          <w:szCs w:val="15"/>
          <w:spacing w:val="-1"/>
          <w:position w:val="-1"/>
        </w:rPr>
        <w:t>4</w:t>
      </w:r>
      <w:r>
        <w:rPr>
          <w:rFonts w:ascii="Times New Roman" w:hAnsi="Times New Roman" w:eastAsia="Times New Roman" w:cs="Times New Roman"/>
          <w:sz w:val="24"/>
          <w:szCs w:val="24"/>
          <w:spacing w:val="-1"/>
        </w:rPr>
        <w:t>+V</w:t>
      </w:r>
      <w:r>
        <w:rPr>
          <w:rFonts w:ascii="Times New Roman" w:hAnsi="Times New Roman" w:eastAsia="Times New Roman" w:cs="Times New Roman"/>
          <w:sz w:val="15"/>
          <w:szCs w:val="15"/>
          <w:spacing w:val="-1"/>
          <w:position w:val="-1"/>
        </w:rPr>
        <w:t>5</w:t>
      </w:r>
      <w:r>
        <w:rPr>
          <w:rFonts w:ascii="Times New Roman" w:hAnsi="Times New Roman" w:eastAsia="Times New Roman" w:cs="Times New Roman"/>
          <w:sz w:val="24"/>
          <w:szCs w:val="24"/>
          <w:spacing w:val="-1"/>
        </w:rPr>
        <w:t>=64+288-0+0+18=370m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15"/>
          <w:szCs w:val="15"/>
          <w:spacing w:val="24"/>
          <w:position w:val="8"/>
        </w:rPr>
        <w:t xml:space="preserve"> </w:t>
      </w:r>
      <w:r>
        <w:rPr>
          <w:rFonts w:ascii="SimSun" w:hAnsi="SimSun" w:eastAsia="SimSun" w:cs="SimSun"/>
          <w:sz w:val="24"/>
          <w:szCs w:val="24"/>
          <w:spacing w:val="-1"/>
        </w:rPr>
        <w:t>，</w:t>
      </w:r>
      <w:r>
        <w:rPr>
          <w:rFonts w:ascii="SimSun" w:hAnsi="SimSun" w:eastAsia="SimSun" w:cs="SimSun"/>
          <w:sz w:val="24"/>
          <w:szCs w:val="24"/>
          <w:spacing w:val="-71"/>
        </w:rPr>
        <w:t xml:space="preserve"> </w:t>
      </w:r>
      <w:r>
        <w:rPr>
          <w:rFonts w:ascii="SimSun" w:hAnsi="SimSun" w:eastAsia="SimSun" w:cs="SimSun"/>
          <w:sz w:val="24"/>
          <w:szCs w:val="24"/>
          <w:spacing w:val="-1"/>
        </w:rPr>
        <w:t>东厂</w:t>
      </w:r>
      <w:r>
        <w:rPr>
          <w:rFonts w:ascii="SimSun" w:hAnsi="SimSun" w:eastAsia="SimSun" w:cs="SimSun"/>
          <w:sz w:val="24"/>
          <w:szCs w:val="24"/>
          <w:spacing w:val="-59"/>
        </w:rPr>
        <w:t xml:space="preserve"> </w:t>
      </w:r>
      <w:r>
        <w:rPr>
          <w:rFonts w:ascii="SimSun" w:hAnsi="SimSun" w:eastAsia="SimSun" w:cs="SimSun"/>
          <w:sz w:val="24"/>
          <w:szCs w:val="24"/>
          <w:spacing w:val="-1"/>
        </w:rPr>
        <w:t>区</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V=</w:t>
      </w:r>
      <w:r>
        <w:rPr>
          <w:rFonts w:ascii="Times New Roman" w:hAnsi="Times New Roman" w:eastAsia="Times New Roman" w:cs="Times New Roman"/>
          <w:sz w:val="24"/>
          <w:szCs w:val="24"/>
        </w:rPr>
        <w:t xml:space="preserve"> </w:t>
      </w:r>
      <w:r>
        <w:rPr>
          <w:rFonts w:ascii="SimSun" w:hAnsi="SimSun" w:eastAsia="SimSun" w:cs="SimSun"/>
          <w:sz w:val="24"/>
          <w:szCs w:val="24"/>
        </w:rPr>
        <w:t>（</w:t>
      </w:r>
      <w:r>
        <w:rPr>
          <w:rFonts w:ascii="Times New Roman" w:hAnsi="Times New Roman" w:eastAsia="Times New Roman" w:cs="Times New Roman"/>
          <w:sz w:val="24"/>
          <w:szCs w:val="24"/>
        </w:rPr>
        <w:t>V</w:t>
      </w:r>
      <w:r>
        <w:rPr>
          <w:rFonts w:ascii="Times New Roman" w:hAnsi="Times New Roman" w:eastAsia="Times New Roman" w:cs="Times New Roman"/>
          <w:sz w:val="15"/>
          <w:szCs w:val="15"/>
          <w:position w:val="-1"/>
        </w:rPr>
        <w:t>1</w:t>
      </w:r>
      <w:r>
        <w:rPr>
          <w:rFonts w:ascii="Times New Roman" w:hAnsi="Times New Roman" w:eastAsia="Times New Roman" w:cs="Times New Roman"/>
          <w:sz w:val="24"/>
          <w:szCs w:val="24"/>
        </w:rPr>
        <w:t>+V</w:t>
      </w:r>
      <w:r>
        <w:rPr>
          <w:rFonts w:ascii="Times New Roman" w:hAnsi="Times New Roman" w:eastAsia="Times New Roman" w:cs="Times New Roman"/>
          <w:sz w:val="15"/>
          <w:szCs w:val="15"/>
        </w:rPr>
        <w:t>2</w:t>
      </w:r>
      <w:r>
        <w:rPr>
          <w:rFonts w:ascii="Times New Roman" w:hAnsi="Times New Roman" w:eastAsia="Times New Roman" w:cs="Times New Roman"/>
          <w:sz w:val="24"/>
          <w:szCs w:val="24"/>
        </w:rPr>
        <w:t>-V</w:t>
      </w:r>
      <w:r>
        <w:rPr>
          <w:rFonts w:ascii="Times New Roman" w:hAnsi="Times New Roman" w:eastAsia="Times New Roman" w:cs="Times New Roman"/>
          <w:sz w:val="15"/>
          <w:szCs w:val="15"/>
          <w:position w:val="-1"/>
        </w:rPr>
        <w:t>3</w:t>
      </w:r>
      <w:r>
        <w:rPr>
          <w:rFonts w:ascii="SimSun" w:hAnsi="SimSun" w:eastAsia="SimSun" w:cs="SimSun"/>
          <w:sz w:val="24"/>
          <w:szCs w:val="24"/>
        </w:rPr>
        <w:t>）</w:t>
      </w:r>
      <w:r>
        <w:rPr>
          <w:rFonts w:ascii="Times New Roman" w:hAnsi="Times New Roman" w:eastAsia="Times New Roman" w:cs="Times New Roman"/>
          <w:sz w:val="15"/>
          <w:szCs w:val="15"/>
          <w:position w:val="-1"/>
        </w:rPr>
        <w:t>max</w:t>
      </w:r>
      <w:r>
        <w:rPr>
          <w:rFonts w:ascii="Times New Roman" w:hAnsi="Times New Roman" w:eastAsia="Times New Roman" w:cs="Times New Roman"/>
          <w:sz w:val="24"/>
          <w:szCs w:val="24"/>
        </w:rPr>
        <w:t>+V</w:t>
      </w:r>
      <w:r>
        <w:rPr>
          <w:rFonts w:ascii="Times New Roman" w:hAnsi="Times New Roman" w:eastAsia="Times New Roman" w:cs="Times New Roman"/>
          <w:sz w:val="15"/>
          <w:szCs w:val="15"/>
          <w:position w:val="-1"/>
        </w:rPr>
        <w:t>4</w:t>
      </w:r>
      <w:r>
        <w:rPr>
          <w:rFonts w:ascii="Times New Roman" w:hAnsi="Times New Roman" w:eastAsia="Times New Roman" w:cs="Times New Roman"/>
          <w:sz w:val="24"/>
          <w:szCs w:val="24"/>
        </w:rPr>
        <w:t>+V</w:t>
      </w:r>
      <w:r>
        <w:rPr>
          <w:rFonts w:ascii="Times New Roman" w:hAnsi="Times New Roman" w:eastAsia="Times New Roman" w:cs="Times New Roman"/>
          <w:sz w:val="15"/>
          <w:szCs w:val="15"/>
          <w:position w:val="-1"/>
        </w:rPr>
        <w:t>5</w:t>
      </w:r>
      <w:r>
        <w:rPr>
          <w:rFonts w:ascii="Times New Roman" w:hAnsi="Times New Roman" w:eastAsia="Times New Roman" w:cs="Times New Roman"/>
          <w:sz w:val="24"/>
          <w:szCs w:val="24"/>
        </w:rPr>
        <w:t>=0+288-</w:t>
      </w:r>
      <w:r>
        <w:rPr>
          <w:rFonts w:ascii="Times New Roman" w:hAnsi="Times New Roman" w:eastAsia="Times New Roman" w:cs="Times New Roman"/>
          <w:sz w:val="24"/>
          <w:szCs w:val="24"/>
          <w:spacing w:val="-1"/>
        </w:rPr>
        <w:t>0+0+49.8=337.8m</w:t>
      </w:r>
      <w:r>
        <w:rPr>
          <w:rFonts w:ascii="Times New Roman" w:hAnsi="Times New Roman" w:eastAsia="Times New Roman" w:cs="Times New Roman"/>
          <w:sz w:val="15"/>
          <w:szCs w:val="15"/>
          <w:spacing w:val="-1"/>
          <w:position w:val="8"/>
        </w:rPr>
        <w:t>3</w:t>
      </w:r>
      <w:r>
        <w:rPr>
          <w:rFonts w:ascii="SimSun" w:hAnsi="SimSun" w:eastAsia="SimSun" w:cs="SimSun"/>
          <w:sz w:val="24"/>
          <w:szCs w:val="24"/>
          <w:spacing w:val="-1"/>
        </w:rPr>
        <w:t>，本项目东西两个厂区内分别配</w:t>
      </w:r>
      <w:r>
        <w:rPr>
          <w:rFonts w:ascii="SimSun" w:hAnsi="SimSun" w:eastAsia="SimSun" w:cs="SimSun"/>
          <w:sz w:val="24"/>
          <w:szCs w:val="24"/>
        </w:rPr>
        <w:t xml:space="preserve"> </w:t>
      </w:r>
      <w:r>
        <w:rPr>
          <w:rFonts w:ascii="SimSun" w:hAnsi="SimSun" w:eastAsia="SimSun" w:cs="SimSun"/>
          <w:sz w:val="24"/>
          <w:szCs w:val="24"/>
          <w:spacing w:val="-2"/>
        </w:rPr>
        <w:t>置</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座事故水池，容积均为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400m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15"/>
          <w:szCs w:val="15"/>
          <w:spacing w:val="-7"/>
          <w:position w:val="7"/>
        </w:rPr>
        <w:t xml:space="preserve"> </w:t>
      </w:r>
      <w:r>
        <w:rPr>
          <w:rFonts w:ascii="SimSun" w:hAnsi="SimSun" w:eastAsia="SimSun" w:cs="SimSun"/>
          <w:sz w:val="24"/>
          <w:szCs w:val="24"/>
          <w:spacing w:val="-2"/>
        </w:rPr>
        <w:t>，可以满足厂区事故废水的</w:t>
      </w:r>
      <w:r>
        <w:rPr>
          <w:rFonts w:ascii="SimSun" w:hAnsi="SimSun" w:eastAsia="SimSun" w:cs="SimSun"/>
          <w:sz w:val="24"/>
          <w:szCs w:val="24"/>
          <w:spacing w:val="-3"/>
        </w:rPr>
        <w:t>存放。</w:t>
      </w:r>
    </w:p>
    <w:p>
      <w:pPr>
        <w:ind w:left="14"/>
        <w:spacing w:before="243" w:line="222" w:lineRule="auto"/>
        <w:outlineLvl w:val="2"/>
        <w:rPr>
          <w:rFonts w:ascii="SimHei" w:hAnsi="SimHei" w:eastAsia="SimHei" w:cs="SimHei"/>
          <w:sz w:val="28"/>
          <w:szCs w:val="28"/>
        </w:rPr>
      </w:pPr>
      <w:r>
        <w:rPr>
          <w:rFonts w:ascii="Times New Roman" w:hAnsi="Times New Roman" w:eastAsia="Times New Roman" w:cs="Times New Roman"/>
          <w:sz w:val="28"/>
          <w:szCs w:val="28"/>
          <w:spacing w:val="-3"/>
        </w:rPr>
        <w:t>5.2.4</w:t>
      </w:r>
      <w:r>
        <w:rPr>
          <w:rFonts w:ascii="Times New Roman" w:hAnsi="Times New Roman" w:eastAsia="Times New Roman" w:cs="Times New Roman"/>
          <w:sz w:val="28"/>
          <w:szCs w:val="28"/>
          <w:spacing w:val="30"/>
        </w:rPr>
        <w:t xml:space="preserve"> </w:t>
      </w:r>
      <w:r>
        <w:rPr>
          <w:rFonts w:ascii="SimHei" w:hAnsi="SimHei" w:eastAsia="SimHei" w:cs="SimHei"/>
          <w:sz w:val="28"/>
          <w:szCs w:val="28"/>
          <w:spacing w:val="-3"/>
        </w:rPr>
        <w:t>雨水收集管网设置情况</w:t>
      </w:r>
    </w:p>
    <w:p>
      <w:pPr>
        <w:ind w:left="12" w:firstLine="478"/>
        <w:spacing w:before="204" w:line="360" w:lineRule="auto"/>
        <w:jc w:val="both"/>
        <w:rPr>
          <w:rFonts w:ascii="SimSun" w:hAnsi="SimSun" w:eastAsia="SimSun" w:cs="SimSun"/>
          <w:sz w:val="24"/>
          <w:szCs w:val="24"/>
        </w:rPr>
      </w:pPr>
      <w:r>
        <w:rPr>
          <w:rFonts w:ascii="SimSun" w:hAnsi="SimSun" w:eastAsia="SimSun" w:cs="SimSun"/>
          <w:sz w:val="24"/>
          <w:szCs w:val="24"/>
          <w:spacing w:val="3"/>
        </w:rPr>
        <w:t>本项目污染区的初期雨水通过排水沟汇集，在厂区四周设</w:t>
      </w:r>
      <w:r>
        <w:rPr>
          <w:rFonts w:ascii="SimSun" w:hAnsi="SimSun" w:eastAsia="SimSun" w:cs="SimSun"/>
          <w:sz w:val="24"/>
          <w:szCs w:val="24"/>
          <w:spacing w:val="2"/>
        </w:rPr>
        <w:t>置排水沟，初期雨</w:t>
      </w:r>
      <w:r>
        <w:rPr>
          <w:rFonts w:ascii="SimSun" w:hAnsi="SimSun" w:eastAsia="SimSun" w:cs="SimSun"/>
          <w:sz w:val="24"/>
          <w:szCs w:val="24"/>
        </w:rPr>
        <w:t xml:space="preserve"> </w:t>
      </w:r>
      <w:r>
        <w:rPr>
          <w:rFonts w:ascii="SimSun" w:hAnsi="SimSun" w:eastAsia="SimSun" w:cs="SimSun"/>
          <w:sz w:val="24"/>
          <w:szCs w:val="24"/>
          <w:spacing w:val="2"/>
        </w:rPr>
        <w:t>水通过排水沟进入雨水收集池（厂区事故水池</w:t>
      </w:r>
      <w:r>
        <w:rPr>
          <w:rFonts w:ascii="SimSun" w:hAnsi="SimSun" w:eastAsia="SimSun" w:cs="SimSun"/>
          <w:sz w:val="24"/>
          <w:szCs w:val="24"/>
          <w:spacing w:val="11"/>
        </w:rPr>
        <w:t>）；</w:t>
      </w:r>
      <w:r>
        <w:rPr>
          <w:rFonts w:ascii="SimSun" w:hAnsi="SimSun" w:eastAsia="SimSun" w:cs="SimSun"/>
          <w:sz w:val="24"/>
          <w:szCs w:val="24"/>
          <w:spacing w:val="2"/>
        </w:rPr>
        <w:t>后期清净雨水通过重力流排入</w:t>
      </w:r>
      <w:r>
        <w:rPr>
          <w:rFonts w:ascii="SimSun" w:hAnsi="SimSun" w:eastAsia="SimSun" w:cs="SimSun"/>
          <w:sz w:val="24"/>
          <w:szCs w:val="24"/>
          <w:spacing w:val="1"/>
        </w:rPr>
        <w:t xml:space="preserve"> </w:t>
      </w:r>
      <w:r>
        <w:rPr>
          <w:rFonts w:ascii="SimSun" w:hAnsi="SimSun" w:eastAsia="SimSun" w:cs="SimSun"/>
          <w:sz w:val="24"/>
          <w:szCs w:val="24"/>
          <w:spacing w:val="-2"/>
        </w:rPr>
        <w:t>厂区外雨水管网。</w:t>
      </w:r>
    </w:p>
    <w:p>
      <w:pPr>
        <w:ind w:left="14"/>
        <w:spacing w:before="155" w:line="222" w:lineRule="auto"/>
        <w:outlineLvl w:val="2"/>
        <w:rPr>
          <w:rFonts w:ascii="SimHei" w:hAnsi="SimHei" w:eastAsia="SimHei" w:cs="SimHei"/>
          <w:sz w:val="28"/>
          <w:szCs w:val="28"/>
        </w:rPr>
      </w:pPr>
      <w:bookmarkStart w:name="bookmark96" w:id="121"/>
      <w:bookmarkEnd w:id="121"/>
      <w:r>
        <w:rPr>
          <w:rFonts w:ascii="Times New Roman" w:hAnsi="Times New Roman" w:eastAsia="Times New Roman" w:cs="Times New Roman"/>
          <w:sz w:val="28"/>
          <w:szCs w:val="28"/>
          <w:spacing w:val="-1"/>
        </w:rPr>
        <w:t>5.2.5 </w:t>
      </w:r>
      <w:r>
        <w:rPr>
          <w:rFonts w:ascii="SimHei" w:hAnsi="SimHei" w:eastAsia="SimHei" w:cs="SimHei"/>
          <w:sz w:val="28"/>
          <w:szCs w:val="28"/>
          <w:spacing w:val="-1"/>
        </w:rPr>
        <w:t>地表水环境影响评价结论</w:t>
      </w:r>
    </w:p>
    <w:p>
      <w:pPr>
        <w:pStyle w:val="BodyText"/>
        <w:spacing w:line="277" w:lineRule="auto"/>
        <w:rPr/>
      </w:pPr>
      <w:r/>
    </w:p>
    <w:p>
      <w:pPr>
        <w:ind w:left="8" w:firstLine="484"/>
        <w:spacing w:before="78" w:line="360" w:lineRule="auto"/>
        <w:rPr>
          <w:rFonts w:ascii="SimSun" w:hAnsi="SimSun" w:eastAsia="SimSun" w:cs="SimSun"/>
          <w:sz w:val="24"/>
          <w:szCs w:val="24"/>
        </w:rPr>
      </w:pPr>
      <w:r>
        <w:rPr>
          <w:rFonts w:ascii="SimSun" w:hAnsi="SimSun" w:eastAsia="SimSun" w:cs="SimSun"/>
          <w:sz w:val="24"/>
          <w:szCs w:val="24"/>
          <w:spacing w:val="3"/>
        </w:rPr>
        <w:t>项目所有废水均不会直接排入地表水体，为了保证</w:t>
      </w:r>
      <w:r>
        <w:rPr>
          <w:rFonts w:ascii="SimSun" w:hAnsi="SimSun" w:eastAsia="SimSun" w:cs="SimSun"/>
          <w:sz w:val="24"/>
          <w:szCs w:val="24"/>
          <w:spacing w:val="2"/>
        </w:rPr>
        <w:t>事故情况下，事故废水不</w:t>
      </w:r>
      <w:r>
        <w:rPr>
          <w:rFonts w:ascii="SimSun" w:hAnsi="SimSun" w:eastAsia="SimSun" w:cs="SimSun"/>
          <w:sz w:val="24"/>
          <w:szCs w:val="24"/>
        </w:rPr>
        <w:t xml:space="preserve"> </w:t>
      </w:r>
      <w:r>
        <w:rPr>
          <w:rFonts w:ascii="SimSun" w:hAnsi="SimSun" w:eastAsia="SimSun" w:cs="SimSun"/>
          <w:sz w:val="24"/>
          <w:szCs w:val="24"/>
          <w:spacing w:val="1"/>
        </w:rPr>
        <w:t>会对土壤及水环境产生影响，在东西厂区内分别建设</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座</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400m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15"/>
          <w:szCs w:val="15"/>
          <w:spacing w:val="14"/>
          <w:w w:val="101"/>
          <w:position w:val="8"/>
        </w:rPr>
        <w:t xml:space="preserve"> </w:t>
      </w:r>
      <w:r>
        <w:rPr>
          <w:rFonts w:ascii="SimSun" w:hAnsi="SimSun" w:eastAsia="SimSun" w:cs="SimSun"/>
          <w:sz w:val="24"/>
          <w:szCs w:val="24"/>
          <w:spacing w:val="1"/>
        </w:rPr>
        <w:t>应急事故水池。</w:t>
      </w:r>
      <w:r>
        <w:rPr>
          <w:rFonts w:ascii="SimSun" w:hAnsi="SimSun" w:eastAsia="SimSun" w:cs="SimSun"/>
          <w:sz w:val="24"/>
          <w:szCs w:val="24"/>
        </w:rPr>
        <w:t xml:space="preserve"> </w:t>
      </w:r>
      <w:r>
        <w:rPr>
          <w:rFonts w:ascii="SimSun" w:hAnsi="SimSun" w:eastAsia="SimSun" w:cs="SimSun"/>
          <w:sz w:val="24"/>
          <w:szCs w:val="24"/>
          <w:spacing w:val="3"/>
        </w:rPr>
        <w:t>水池为钢混结构，池体及池底部进行防渗处理，保证</w:t>
      </w:r>
      <w:r>
        <w:rPr>
          <w:rFonts w:ascii="SimSun" w:hAnsi="SimSun" w:eastAsia="SimSun" w:cs="SimSun"/>
          <w:sz w:val="24"/>
          <w:szCs w:val="24"/>
          <w:spacing w:val="2"/>
        </w:rPr>
        <w:t>其防渗要求为，厚度不小于</w:t>
      </w:r>
      <w:r>
        <w:rPr>
          <w:rFonts w:ascii="SimSun" w:hAnsi="SimSun" w:eastAsia="SimSun" w:cs="SimSun"/>
          <w:sz w:val="24"/>
          <w:szCs w:val="24"/>
        </w:rPr>
        <w:t xml:space="preserve"> </w:t>
      </w:r>
      <w:r>
        <w:rPr>
          <w:rFonts w:ascii="Times New Roman" w:hAnsi="Times New Roman" w:eastAsia="Times New Roman" w:cs="Times New Roman"/>
          <w:sz w:val="24"/>
          <w:szCs w:val="24"/>
          <w:spacing w:val="-2"/>
        </w:rPr>
        <w:t>6m</w:t>
      </w:r>
      <w:r>
        <w:rPr>
          <w:rFonts w:ascii="Times New Roman" w:hAnsi="Times New Roman" w:eastAsia="Times New Roman" w:cs="Times New Roman"/>
          <w:sz w:val="24"/>
          <w:szCs w:val="24"/>
          <w:spacing w:val="-12"/>
        </w:rPr>
        <w:t xml:space="preserve"> </w:t>
      </w:r>
      <w:r>
        <w:rPr>
          <w:rFonts w:ascii="SimSun" w:hAnsi="SimSun" w:eastAsia="SimSun" w:cs="SimSun"/>
          <w:sz w:val="24"/>
          <w:szCs w:val="24"/>
          <w:spacing w:val="-2"/>
        </w:rPr>
        <w:t>，防渗系数不大于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1×10</w:t>
      </w:r>
      <w:r>
        <w:rPr>
          <w:rFonts w:ascii="Times New Roman" w:hAnsi="Times New Roman" w:eastAsia="Times New Roman" w:cs="Times New Roman"/>
          <w:sz w:val="15"/>
          <w:szCs w:val="15"/>
          <w:spacing w:val="-2"/>
          <w:position w:val="8"/>
        </w:rPr>
        <w:t>-7</w:t>
      </w:r>
      <w:r>
        <w:rPr>
          <w:rFonts w:ascii="Times New Roman" w:hAnsi="Times New Roman" w:eastAsia="Times New Roman" w:cs="Times New Roman"/>
          <w:sz w:val="15"/>
          <w:szCs w:val="15"/>
          <w:spacing w:val="31"/>
          <w:position w:val="8"/>
        </w:rPr>
        <w:t xml:space="preserve"> </w:t>
      </w:r>
      <w:r>
        <w:rPr>
          <w:rFonts w:ascii="SimSun" w:hAnsi="SimSun" w:eastAsia="SimSun" w:cs="SimSun"/>
          <w:sz w:val="24"/>
          <w:szCs w:val="24"/>
          <w:spacing w:val="-2"/>
        </w:rPr>
        <w:t>的等效黏土防渗层。水池容积可以满足全厂事故排水</w:t>
      </w:r>
      <w:r>
        <w:rPr>
          <w:rFonts w:ascii="SimSun" w:hAnsi="SimSun" w:eastAsia="SimSun" w:cs="SimSun"/>
          <w:sz w:val="24"/>
          <w:szCs w:val="24"/>
        </w:rPr>
        <w:t xml:space="preserve"> </w:t>
      </w:r>
      <w:r>
        <w:rPr>
          <w:rFonts w:ascii="SimSun" w:hAnsi="SimSun" w:eastAsia="SimSun" w:cs="SimSun"/>
          <w:sz w:val="24"/>
          <w:szCs w:val="24"/>
          <w:spacing w:val="3"/>
        </w:rPr>
        <w:t>和初期雨污水的收集要求。待事故结束后，采用罐车</w:t>
      </w:r>
      <w:r>
        <w:rPr>
          <w:rFonts w:ascii="SimSun" w:hAnsi="SimSun" w:eastAsia="SimSun" w:cs="SimSun"/>
          <w:sz w:val="24"/>
          <w:szCs w:val="24"/>
          <w:spacing w:val="2"/>
        </w:rPr>
        <w:t>运往明安图镇污水处理厂处</w:t>
      </w:r>
      <w:r>
        <w:rPr>
          <w:rFonts w:ascii="SimSun" w:hAnsi="SimSun" w:eastAsia="SimSun" w:cs="SimSun"/>
          <w:sz w:val="24"/>
          <w:szCs w:val="24"/>
        </w:rPr>
        <w:t xml:space="preserve"> </w:t>
      </w:r>
      <w:r>
        <w:rPr>
          <w:rFonts w:ascii="SimSun" w:hAnsi="SimSun" w:eastAsia="SimSun" w:cs="SimSun"/>
          <w:sz w:val="24"/>
          <w:szCs w:val="24"/>
        </w:rPr>
        <w:t>理。因此，本项目的废水不会对当地水体环境造</w:t>
      </w:r>
      <w:r>
        <w:rPr>
          <w:rFonts w:ascii="SimSun" w:hAnsi="SimSun" w:eastAsia="SimSun" w:cs="SimSun"/>
          <w:sz w:val="24"/>
          <w:szCs w:val="24"/>
          <w:spacing w:val="-1"/>
        </w:rPr>
        <w:t>成直接的、大的影响。</w:t>
      </w:r>
    </w:p>
    <w:p>
      <w:pPr>
        <w:spacing w:line="360" w:lineRule="auto"/>
        <w:sectPr>
          <w:footerReference w:type="default" r:id="rId223"/>
          <w:pgSz w:w="11906" w:h="16839"/>
          <w:pgMar w:top="1567" w:right="1700" w:bottom="1482" w:left="1701" w:header="1221" w:footer="1248" w:gutter="0"/>
        </w:sectPr>
        <w:rPr>
          <w:rFonts w:ascii="SimSun" w:hAnsi="SimSun" w:eastAsia="SimSun" w:cs="SimSun"/>
          <w:sz w:val="24"/>
          <w:szCs w:val="24"/>
        </w:rPr>
      </w:pPr>
    </w:p>
    <w:p>
      <w:pPr>
        <w:ind w:left="23"/>
        <w:spacing w:before="174" w:line="222" w:lineRule="auto"/>
        <w:outlineLvl w:val="2"/>
        <w:rPr>
          <w:rFonts w:ascii="SimHei" w:hAnsi="SimHei" w:eastAsia="SimHei" w:cs="SimHei"/>
          <w:sz w:val="28"/>
          <w:szCs w:val="28"/>
        </w:rPr>
      </w:pPr>
      <w:r>
        <w:pict>
          <v:shape id="_x0000_s852" style="position:absolute;margin-left:85.05pt;margin-top:78.87pt;mso-position-vertical-relative:page;mso-position-horizontal-relative:page;width:425.25pt;height:0.75pt;z-index:252027904;" o:allowincell="f" fillcolor="#000000" filled="true" stroked="false" coordsize="8505,15" coordorigin="0,0" path="m,l8504,0l8504,14l0,14l0,0xe"/>
        </w:pict>
      </w:r>
      <w:bookmarkStart w:name="bookmark97" w:id="122"/>
      <w:bookmarkEnd w:id="122"/>
      <w:r>
        <w:rPr>
          <w:rFonts w:ascii="Times New Roman" w:hAnsi="Times New Roman" w:eastAsia="Times New Roman" w:cs="Times New Roman"/>
          <w:sz w:val="28"/>
          <w:szCs w:val="28"/>
          <w:spacing w:val="-1"/>
        </w:rPr>
        <w:t>5.2.6 </w:t>
      </w:r>
      <w:r>
        <w:rPr>
          <w:rFonts w:ascii="SimHei" w:hAnsi="SimHei" w:eastAsia="SimHei" w:cs="SimHei"/>
          <w:sz w:val="28"/>
          <w:szCs w:val="28"/>
          <w:spacing w:val="-1"/>
        </w:rPr>
        <w:t>地表水环境影响评价自查表</w:t>
      </w:r>
    </w:p>
    <w:p>
      <w:pPr>
        <w:pStyle w:val="BodyText"/>
        <w:spacing w:line="278" w:lineRule="auto"/>
        <w:rPr/>
      </w:pPr>
      <w:r/>
    </w:p>
    <w:p>
      <w:pPr>
        <w:ind w:left="500"/>
        <w:spacing w:before="78" w:line="218" w:lineRule="auto"/>
        <w:rPr>
          <w:rFonts w:ascii="SimSun" w:hAnsi="SimSun" w:eastAsia="SimSun" w:cs="SimSun"/>
          <w:sz w:val="24"/>
          <w:szCs w:val="24"/>
        </w:rPr>
      </w:pPr>
      <w:r>
        <w:rPr>
          <w:rFonts w:ascii="SimSun" w:hAnsi="SimSun" w:eastAsia="SimSun" w:cs="SimSun"/>
          <w:sz w:val="24"/>
          <w:szCs w:val="24"/>
          <w:spacing w:val="-1"/>
        </w:rPr>
        <w:t>本建设项目地表水环境影响评价自查表见表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5.2-1</w:t>
      </w:r>
      <w:r>
        <w:rPr>
          <w:rFonts w:ascii="SimSun" w:hAnsi="SimSun" w:eastAsia="SimSun" w:cs="SimSun"/>
          <w:sz w:val="24"/>
          <w:szCs w:val="24"/>
          <w:spacing w:val="-1"/>
        </w:rPr>
        <w:t>。</w:t>
      </w:r>
    </w:p>
    <w:p>
      <w:pPr>
        <w:ind w:left="2183"/>
        <w:spacing w:before="182"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9"/>
        </w:rPr>
        <w:t xml:space="preserve"> </w:t>
      </w:r>
      <w:r>
        <w:rPr>
          <w:rFonts w:ascii="Times New Roman" w:hAnsi="Times New Roman" w:eastAsia="Times New Roman" w:cs="Times New Roman"/>
          <w:sz w:val="24"/>
          <w:szCs w:val="24"/>
          <w:b/>
          <w:bCs/>
          <w:spacing w:val="-2"/>
        </w:rPr>
        <w:t>5.2-1        </w:t>
      </w:r>
      <w:r>
        <w:rPr>
          <w:rFonts w:ascii="SimSun" w:hAnsi="SimSun" w:eastAsia="SimSun" w:cs="SimSun"/>
          <w:sz w:val="24"/>
          <w:szCs w:val="24"/>
          <w:b/>
          <w:bCs/>
          <w:spacing w:val="-2"/>
        </w:rPr>
        <w:t>地表水环境影响评价自查表</w:t>
      </w:r>
    </w:p>
    <w:tbl>
      <w:tblPr>
        <w:tblStyle w:val="TableNormal"/>
        <w:tblW w:w="851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30"/>
        <w:gridCol w:w="1276"/>
        <w:gridCol w:w="2805"/>
        <w:gridCol w:w="1186"/>
        <w:gridCol w:w="1466"/>
        <w:gridCol w:w="213"/>
        <w:gridCol w:w="1141"/>
      </w:tblGrid>
      <w:tr>
        <w:trPr>
          <w:trHeight w:val="242" w:hRule="atLeast"/>
        </w:trPr>
        <w:tc>
          <w:tcPr>
            <w:tcW w:w="1706" w:type="dxa"/>
            <w:vAlign w:val="top"/>
            <w:gridSpan w:val="2"/>
          </w:tcPr>
          <w:p>
            <w:pPr>
              <w:pStyle w:val="TableText"/>
              <w:ind w:left="499"/>
              <w:spacing w:before="31" w:line="206" w:lineRule="auto"/>
              <w:rPr>
                <w:sz w:val="18"/>
                <w:szCs w:val="18"/>
              </w:rPr>
            </w:pPr>
            <w:r>
              <w:rPr>
                <w:sz w:val="18"/>
                <w:szCs w:val="18"/>
                <w:spacing w:val="-3"/>
              </w:rPr>
              <w:t>工作内容</w:t>
            </w:r>
          </w:p>
        </w:tc>
        <w:tc>
          <w:tcPr>
            <w:tcW w:w="6811" w:type="dxa"/>
            <w:vAlign w:val="top"/>
            <w:gridSpan w:val="5"/>
          </w:tcPr>
          <w:p>
            <w:pPr>
              <w:pStyle w:val="TableText"/>
              <w:ind w:left="3078"/>
              <w:spacing w:before="31" w:line="206" w:lineRule="auto"/>
              <w:rPr>
                <w:sz w:val="18"/>
                <w:szCs w:val="18"/>
              </w:rPr>
            </w:pPr>
            <w:r>
              <w:rPr>
                <w:sz w:val="18"/>
                <w:szCs w:val="18"/>
                <w:spacing w:val="-10"/>
              </w:rPr>
              <w:t>自查项目</w:t>
            </w:r>
          </w:p>
        </w:tc>
      </w:tr>
      <w:tr>
        <w:trPr>
          <w:trHeight w:val="239" w:hRule="atLeast"/>
        </w:trPr>
        <w:tc>
          <w:tcPr>
            <w:tcW w:w="430" w:type="dxa"/>
            <w:vAlign w:val="top"/>
            <w:vMerge w:val="restart"/>
            <w:tcBorders>
              <w:bottom w:val="nil"/>
            </w:tcBorders>
          </w:tcPr>
          <w:p>
            <w:pPr>
              <w:spacing w:line="343" w:lineRule="auto"/>
              <w:rPr>
                <w:rFonts w:ascii="Arial"/>
                <w:sz w:val="21"/>
              </w:rPr>
            </w:pPr>
            <w:r/>
          </w:p>
          <w:p>
            <w:pPr>
              <w:spacing w:line="343" w:lineRule="auto"/>
              <w:rPr>
                <w:rFonts w:ascii="Arial"/>
                <w:sz w:val="21"/>
              </w:rPr>
            </w:pPr>
            <w:r/>
          </w:p>
          <w:p>
            <w:pPr>
              <w:pStyle w:val="TableText"/>
              <w:ind w:left="38"/>
              <w:spacing w:before="59" w:line="221" w:lineRule="auto"/>
              <w:rPr>
                <w:sz w:val="18"/>
                <w:szCs w:val="18"/>
              </w:rPr>
            </w:pPr>
            <w:r>
              <w:rPr>
                <w:sz w:val="18"/>
                <w:szCs w:val="18"/>
                <w:spacing w:val="-4"/>
              </w:rPr>
              <w:t>影响</w:t>
            </w:r>
          </w:p>
          <w:p>
            <w:pPr>
              <w:pStyle w:val="TableText"/>
              <w:ind w:left="40"/>
              <w:spacing w:before="16" w:line="220" w:lineRule="auto"/>
              <w:rPr>
                <w:sz w:val="18"/>
                <w:szCs w:val="18"/>
              </w:rPr>
            </w:pPr>
            <w:r>
              <w:rPr>
                <w:sz w:val="18"/>
                <w:szCs w:val="18"/>
                <w:spacing w:val="-5"/>
              </w:rPr>
              <w:t>识别</w:t>
            </w:r>
          </w:p>
        </w:tc>
        <w:tc>
          <w:tcPr>
            <w:tcW w:w="1276" w:type="dxa"/>
            <w:vAlign w:val="top"/>
          </w:tcPr>
          <w:p>
            <w:pPr>
              <w:pStyle w:val="TableText"/>
              <w:ind w:left="280"/>
              <w:spacing w:before="29" w:line="205" w:lineRule="auto"/>
              <w:rPr>
                <w:sz w:val="18"/>
                <w:szCs w:val="18"/>
              </w:rPr>
            </w:pPr>
            <w:r>
              <w:rPr>
                <w:sz w:val="18"/>
                <w:szCs w:val="18"/>
                <w:spacing w:val="-2"/>
              </w:rPr>
              <w:t>影响类型</w:t>
            </w:r>
          </w:p>
        </w:tc>
        <w:tc>
          <w:tcPr>
            <w:tcW w:w="6811" w:type="dxa"/>
            <w:vAlign w:val="top"/>
            <w:gridSpan w:val="5"/>
          </w:tcPr>
          <w:p>
            <w:pPr>
              <w:pStyle w:val="TableText"/>
              <w:ind w:left="10"/>
              <w:spacing w:before="29" w:line="205" w:lineRule="auto"/>
              <w:rPr>
                <w:rFonts w:ascii="MS UI Gothic" w:hAnsi="MS UI Gothic" w:eastAsia="MS UI Gothic" w:cs="MS UI Gothic"/>
                <w:sz w:val="18"/>
                <w:szCs w:val="18"/>
              </w:rPr>
            </w:pPr>
            <w:r>
              <w:rPr>
                <w:sz w:val="18"/>
                <w:szCs w:val="18"/>
                <w:spacing w:val="-2"/>
              </w:rPr>
              <w:t>水污染影响型 </w:t>
            </w:r>
            <w:r>
              <w:rPr>
                <w:rFonts w:ascii="MS UI Gothic" w:hAnsi="MS UI Gothic" w:eastAsia="MS UI Gothic" w:cs="MS UI Gothic"/>
                <w:sz w:val="18"/>
                <w:szCs w:val="18"/>
                <w:spacing w:val="-2"/>
              </w:rPr>
              <w:t>☐</w:t>
            </w:r>
            <w:r>
              <w:rPr>
                <w:sz w:val="18"/>
                <w:szCs w:val="18"/>
                <w:spacing w:val="-2"/>
              </w:rPr>
              <w:t>；水文要素影响型</w:t>
            </w:r>
            <w:r>
              <w:rPr>
                <w:rFonts w:ascii="MS UI Gothic" w:hAnsi="MS UI Gothic" w:eastAsia="MS UI Gothic" w:cs="MS UI Gothic"/>
                <w:sz w:val="18"/>
                <w:szCs w:val="18"/>
                <w:spacing w:val="-2"/>
              </w:rPr>
              <w:t>□</w:t>
            </w:r>
          </w:p>
        </w:tc>
      </w:tr>
      <w:tr>
        <w:trPr>
          <w:trHeight w:val="704" w:hRule="atLeast"/>
        </w:trPr>
        <w:tc>
          <w:tcPr>
            <w:tcW w:w="430" w:type="dxa"/>
            <w:vAlign w:val="top"/>
            <w:vMerge w:val="continue"/>
            <w:tcBorders>
              <w:top w:val="nil"/>
              <w:bottom w:val="nil"/>
            </w:tcBorders>
          </w:tcPr>
          <w:p>
            <w:pPr>
              <w:rPr>
                <w:rFonts w:ascii="Arial"/>
                <w:sz w:val="21"/>
              </w:rPr>
            </w:pPr>
            <w:r/>
          </w:p>
        </w:tc>
        <w:tc>
          <w:tcPr>
            <w:tcW w:w="1276" w:type="dxa"/>
            <w:vAlign w:val="top"/>
          </w:tcPr>
          <w:p>
            <w:pPr>
              <w:pStyle w:val="TableText"/>
              <w:ind w:left="11"/>
              <w:spacing w:before="260" w:line="219" w:lineRule="auto"/>
              <w:rPr>
                <w:sz w:val="18"/>
                <w:szCs w:val="18"/>
              </w:rPr>
            </w:pPr>
            <w:r>
              <w:rPr>
                <w:sz w:val="18"/>
                <w:szCs w:val="18"/>
                <w:spacing w:val="-2"/>
              </w:rPr>
              <w:t>水环境保护目标</w:t>
            </w:r>
          </w:p>
        </w:tc>
        <w:tc>
          <w:tcPr>
            <w:tcW w:w="6811" w:type="dxa"/>
            <w:vAlign w:val="top"/>
            <w:gridSpan w:val="5"/>
          </w:tcPr>
          <w:p>
            <w:pPr>
              <w:pStyle w:val="TableText"/>
              <w:ind w:left="11" w:hanging="3"/>
              <w:spacing w:before="27" w:line="228" w:lineRule="auto"/>
              <w:jc w:val="both"/>
              <w:rPr>
                <w:rFonts w:ascii="MS UI Gothic" w:hAnsi="MS UI Gothic" w:eastAsia="MS UI Gothic" w:cs="MS UI Gothic"/>
                <w:sz w:val="18"/>
                <w:szCs w:val="18"/>
              </w:rPr>
            </w:pPr>
            <w:r>
              <w:rPr>
                <w:sz w:val="18"/>
                <w:szCs w:val="18"/>
                <w:spacing w:val="-4"/>
              </w:rPr>
              <w:t>饮用水水源保护区</w:t>
            </w:r>
            <w:r>
              <w:rPr>
                <w:rFonts w:ascii="MS UI Gothic" w:hAnsi="MS UI Gothic" w:eastAsia="MS UI Gothic" w:cs="MS UI Gothic"/>
                <w:sz w:val="18"/>
                <w:szCs w:val="18"/>
                <w:spacing w:val="-4"/>
              </w:rPr>
              <w:t>□</w:t>
            </w:r>
            <w:r>
              <w:rPr>
                <w:sz w:val="18"/>
                <w:szCs w:val="18"/>
                <w:spacing w:val="-4"/>
              </w:rPr>
              <w:t>；饮用水取水口</w:t>
            </w:r>
            <w:r>
              <w:rPr>
                <w:rFonts w:ascii="MS UI Gothic" w:hAnsi="MS UI Gothic" w:eastAsia="MS UI Gothic" w:cs="MS UI Gothic"/>
                <w:sz w:val="18"/>
                <w:szCs w:val="18"/>
                <w:spacing w:val="-4"/>
              </w:rPr>
              <w:t>□</w:t>
            </w:r>
            <w:r>
              <w:rPr>
                <w:sz w:val="18"/>
                <w:szCs w:val="18"/>
                <w:spacing w:val="-4"/>
              </w:rPr>
              <w:t>；涉水的自然保护区</w:t>
            </w:r>
            <w:r>
              <w:rPr>
                <w:rFonts w:ascii="MS UI Gothic" w:hAnsi="MS UI Gothic" w:eastAsia="MS UI Gothic" w:cs="MS UI Gothic"/>
                <w:sz w:val="18"/>
                <w:szCs w:val="18"/>
                <w:spacing w:val="-4"/>
              </w:rPr>
              <w:t>□</w:t>
            </w:r>
            <w:r>
              <w:rPr>
                <w:sz w:val="18"/>
                <w:szCs w:val="18"/>
                <w:spacing w:val="-4"/>
              </w:rPr>
              <w:t>；重要湿地</w:t>
            </w:r>
            <w:r>
              <w:rPr>
                <w:rFonts w:ascii="MS UI Gothic" w:hAnsi="MS UI Gothic" w:eastAsia="MS UI Gothic" w:cs="MS UI Gothic"/>
                <w:sz w:val="18"/>
                <w:szCs w:val="18"/>
                <w:spacing w:val="-4"/>
              </w:rPr>
              <w:t>□</w:t>
            </w:r>
            <w:r>
              <w:rPr>
                <w:sz w:val="18"/>
                <w:szCs w:val="18"/>
                <w:spacing w:val="-4"/>
              </w:rPr>
              <w:t>；重点保护</w:t>
            </w:r>
            <w:r>
              <w:rPr>
                <w:sz w:val="18"/>
                <w:szCs w:val="18"/>
                <w:spacing w:val="5"/>
              </w:rPr>
              <w:t xml:space="preserve">  </w:t>
            </w:r>
            <w:r>
              <w:rPr>
                <w:sz w:val="18"/>
                <w:szCs w:val="18"/>
                <w:spacing w:val="-6"/>
              </w:rPr>
              <w:t>与珍稀水生生物的栖息地</w:t>
            </w:r>
            <w:r>
              <w:rPr>
                <w:rFonts w:ascii="MS UI Gothic" w:hAnsi="MS UI Gothic" w:eastAsia="MS UI Gothic" w:cs="MS UI Gothic"/>
                <w:sz w:val="18"/>
                <w:szCs w:val="18"/>
                <w:spacing w:val="-6"/>
              </w:rPr>
              <w:t>□</w:t>
            </w:r>
            <w:r>
              <w:rPr>
                <w:sz w:val="18"/>
                <w:szCs w:val="18"/>
                <w:spacing w:val="-6"/>
              </w:rPr>
              <w:t>；重要水生生物的自然产卵地及索耳场、越冬场和洄游通道、</w:t>
            </w:r>
            <w:r>
              <w:rPr>
                <w:sz w:val="18"/>
                <w:szCs w:val="18"/>
                <w:spacing w:val="7"/>
              </w:rPr>
              <w:t xml:space="preserve"> </w:t>
            </w:r>
            <w:r>
              <w:rPr>
                <w:sz w:val="18"/>
                <w:szCs w:val="18"/>
                <w:spacing w:val="-3"/>
              </w:rPr>
              <w:t>天然渔场等水体；涉水的风景名胜区</w:t>
            </w:r>
            <w:r>
              <w:rPr>
                <w:rFonts w:ascii="MS UI Gothic" w:hAnsi="MS UI Gothic" w:eastAsia="MS UI Gothic" w:cs="MS UI Gothic"/>
                <w:sz w:val="18"/>
                <w:szCs w:val="18"/>
                <w:spacing w:val="-3"/>
              </w:rPr>
              <w:t>□</w:t>
            </w:r>
            <w:r>
              <w:rPr>
                <w:sz w:val="18"/>
                <w:szCs w:val="18"/>
                <w:spacing w:val="-3"/>
              </w:rPr>
              <w:t>；其他</w:t>
            </w:r>
            <w:r>
              <w:rPr>
                <w:rFonts w:ascii="MS UI Gothic" w:hAnsi="MS UI Gothic" w:eastAsia="MS UI Gothic" w:cs="MS UI Gothic"/>
                <w:sz w:val="18"/>
                <w:szCs w:val="18"/>
                <w:spacing w:val="-3"/>
              </w:rPr>
              <w:t>□</w:t>
            </w:r>
          </w:p>
        </w:tc>
      </w:tr>
      <w:tr>
        <w:trPr>
          <w:trHeight w:val="238" w:hRule="atLeast"/>
        </w:trPr>
        <w:tc>
          <w:tcPr>
            <w:tcW w:w="430" w:type="dxa"/>
            <w:vAlign w:val="top"/>
            <w:vMerge w:val="continue"/>
            <w:tcBorders>
              <w:top w:val="nil"/>
              <w:bottom w:val="nil"/>
            </w:tcBorders>
          </w:tcPr>
          <w:p>
            <w:pPr>
              <w:rPr>
                <w:rFonts w:ascii="Arial"/>
                <w:sz w:val="21"/>
              </w:rPr>
            </w:pPr>
            <w:r/>
          </w:p>
        </w:tc>
        <w:tc>
          <w:tcPr>
            <w:tcW w:w="1276" w:type="dxa"/>
            <w:vAlign w:val="top"/>
            <w:vMerge w:val="restart"/>
            <w:tcBorders>
              <w:bottom w:val="nil"/>
            </w:tcBorders>
          </w:tcPr>
          <w:p>
            <w:pPr>
              <w:pStyle w:val="TableText"/>
              <w:ind w:left="280"/>
              <w:spacing w:before="151" w:line="219" w:lineRule="auto"/>
              <w:rPr>
                <w:sz w:val="18"/>
                <w:szCs w:val="18"/>
              </w:rPr>
            </w:pPr>
            <w:r>
              <w:rPr>
                <w:sz w:val="18"/>
                <w:szCs w:val="18"/>
                <w:spacing w:val="-2"/>
              </w:rPr>
              <w:t>影响途径</w:t>
            </w:r>
          </w:p>
        </w:tc>
        <w:tc>
          <w:tcPr>
            <w:tcW w:w="3991" w:type="dxa"/>
            <w:vAlign w:val="top"/>
            <w:gridSpan w:val="2"/>
          </w:tcPr>
          <w:p>
            <w:pPr>
              <w:pStyle w:val="TableText"/>
              <w:ind w:left="1462"/>
              <w:spacing w:before="28" w:line="205" w:lineRule="auto"/>
              <w:rPr>
                <w:sz w:val="18"/>
                <w:szCs w:val="18"/>
              </w:rPr>
            </w:pPr>
            <w:r>
              <w:rPr>
                <w:sz w:val="18"/>
                <w:szCs w:val="18"/>
                <w:spacing w:val="-2"/>
              </w:rPr>
              <w:t>水污染影响型</w:t>
            </w:r>
          </w:p>
        </w:tc>
        <w:tc>
          <w:tcPr>
            <w:tcW w:w="2820" w:type="dxa"/>
            <w:vAlign w:val="top"/>
            <w:gridSpan w:val="3"/>
          </w:tcPr>
          <w:p>
            <w:pPr>
              <w:pStyle w:val="TableText"/>
              <w:ind w:left="785"/>
              <w:spacing w:before="28" w:line="205" w:lineRule="auto"/>
              <w:rPr>
                <w:sz w:val="18"/>
                <w:szCs w:val="18"/>
              </w:rPr>
            </w:pPr>
            <w:r>
              <w:rPr>
                <w:sz w:val="18"/>
                <w:szCs w:val="18"/>
                <w:spacing w:val="-2"/>
              </w:rPr>
              <w:t>水文要素影响型</w:t>
            </w:r>
          </w:p>
        </w:tc>
      </w:tr>
      <w:tr>
        <w:trPr>
          <w:trHeight w:val="239" w:hRule="atLeast"/>
        </w:trPr>
        <w:tc>
          <w:tcPr>
            <w:tcW w:w="430" w:type="dxa"/>
            <w:vAlign w:val="top"/>
            <w:vMerge w:val="continue"/>
            <w:tcBorders>
              <w:top w:val="nil"/>
              <w:bottom w:val="nil"/>
            </w:tcBorders>
          </w:tcPr>
          <w:p>
            <w:pPr>
              <w:rPr>
                <w:rFonts w:ascii="Arial"/>
                <w:sz w:val="21"/>
              </w:rPr>
            </w:pPr>
            <w:r/>
          </w:p>
        </w:tc>
        <w:tc>
          <w:tcPr>
            <w:tcW w:w="1276" w:type="dxa"/>
            <w:vAlign w:val="top"/>
            <w:vMerge w:val="continue"/>
            <w:tcBorders>
              <w:top w:val="nil"/>
            </w:tcBorders>
          </w:tcPr>
          <w:p>
            <w:pPr>
              <w:rPr>
                <w:rFonts w:ascii="Arial"/>
                <w:sz w:val="21"/>
              </w:rPr>
            </w:pPr>
            <w:r/>
          </w:p>
        </w:tc>
        <w:tc>
          <w:tcPr>
            <w:tcW w:w="3991" w:type="dxa"/>
            <w:vAlign w:val="top"/>
            <w:gridSpan w:val="2"/>
          </w:tcPr>
          <w:p>
            <w:pPr>
              <w:pStyle w:val="TableText"/>
              <w:ind w:left="9"/>
              <w:spacing w:before="30" w:line="204" w:lineRule="auto"/>
              <w:rPr>
                <w:rFonts w:ascii="MS UI Gothic" w:hAnsi="MS UI Gothic" w:eastAsia="MS UI Gothic" w:cs="MS UI Gothic"/>
                <w:sz w:val="18"/>
                <w:szCs w:val="18"/>
              </w:rPr>
            </w:pPr>
            <w:r>
              <w:rPr>
                <w:sz w:val="18"/>
                <w:szCs w:val="18"/>
                <w:spacing w:val="-4"/>
              </w:rPr>
              <w:t>直接排放</w:t>
            </w:r>
            <w:r>
              <w:rPr>
                <w:rFonts w:ascii="MS UI Gothic" w:hAnsi="MS UI Gothic" w:eastAsia="MS UI Gothic" w:cs="MS UI Gothic"/>
                <w:sz w:val="18"/>
                <w:szCs w:val="18"/>
                <w:spacing w:val="-4"/>
              </w:rPr>
              <w:t>□</w:t>
            </w:r>
            <w:r>
              <w:rPr>
                <w:sz w:val="18"/>
                <w:szCs w:val="18"/>
                <w:spacing w:val="-4"/>
              </w:rPr>
              <w:t>；间接排放</w:t>
            </w:r>
            <w:r>
              <w:rPr>
                <w:rFonts w:ascii="MS UI Gothic" w:hAnsi="MS UI Gothic" w:eastAsia="MS UI Gothic" w:cs="MS UI Gothic"/>
                <w:sz w:val="18"/>
                <w:szCs w:val="18"/>
                <w:spacing w:val="-4"/>
              </w:rPr>
              <w:t>☐</w:t>
            </w:r>
            <w:r>
              <w:rPr>
                <w:sz w:val="18"/>
                <w:szCs w:val="18"/>
                <w:spacing w:val="-4"/>
              </w:rPr>
              <w:t>；其他</w:t>
            </w:r>
            <w:r>
              <w:rPr>
                <w:rFonts w:ascii="MS UI Gothic" w:hAnsi="MS UI Gothic" w:eastAsia="MS UI Gothic" w:cs="MS UI Gothic"/>
                <w:sz w:val="18"/>
                <w:szCs w:val="18"/>
                <w:spacing w:val="-4"/>
              </w:rPr>
              <w:t>□</w:t>
            </w:r>
          </w:p>
        </w:tc>
        <w:tc>
          <w:tcPr>
            <w:tcW w:w="2820" w:type="dxa"/>
            <w:vAlign w:val="top"/>
            <w:gridSpan w:val="3"/>
          </w:tcPr>
          <w:p>
            <w:pPr>
              <w:pStyle w:val="TableText"/>
              <w:ind w:left="12"/>
              <w:spacing w:before="30" w:line="204" w:lineRule="auto"/>
              <w:rPr>
                <w:rFonts w:ascii="MS UI Gothic" w:hAnsi="MS UI Gothic" w:eastAsia="MS UI Gothic" w:cs="MS UI Gothic"/>
                <w:sz w:val="18"/>
                <w:szCs w:val="18"/>
              </w:rPr>
            </w:pPr>
            <w:r>
              <w:rPr>
                <w:sz w:val="18"/>
                <w:szCs w:val="18"/>
                <w:spacing w:val="-4"/>
              </w:rPr>
              <w:t>水温</w:t>
            </w:r>
            <w:r>
              <w:rPr>
                <w:rFonts w:ascii="MS UI Gothic" w:hAnsi="MS UI Gothic" w:eastAsia="MS UI Gothic" w:cs="MS UI Gothic"/>
                <w:sz w:val="18"/>
                <w:szCs w:val="18"/>
                <w:spacing w:val="-4"/>
              </w:rPr>
              <w:t>□</w:t>
            </w:r>
            <w:r>
              <w:rPr>
                <w:sz w:val="18"/>
                <w:szCs w:val="18"/>
                <w:spacing w:val="-4"/>
              </w:rPr>
              <w:t>；径流</w:t>
            </w:r>
            <w:r>
              <w:rPr>
                <w:rFonts w:ascii="MS UI Gothic" w:hAnsi="MS UI Gothic" w:eastAsia="MS UI Gothic" w:cs="MS UI Gothic"/>
                <w:sz w:val="18"/>
                <w:szCs w:val="18"/>
                <w:spacing w:val="-4"/>
              </w:rPr>
              <w:t>□</w:t>
            </w:r>
            <w:r>
              <w:rPr>
                <w:sz w:val="18"/>
                <w:szCs w:val="18"/>
                <w:spacing w:val="-4"/>
              </w:rPr>
              <w:t>；水域面积</w:t>
            </w:r>
            <w:r>
              <w:rPr>
                <w:rFonts w:ascii="MS UI Gothic" w:hAnsi="MS UI Gothic" w:eastAsia="MS UI Gothic" w:cs="MS UI Gothic"/>
                <w:sz w:val="18"/>
                <w:szCs w:val="18"/>
                <w:spacing w:val="-4"/>
              </w:rPr>
              <w:t>□</w:t>
            </w:r>
          </w:p>
        </w:tc>
      </w:tr>
      <w:tr>
        <w:trPr>
          <w:trHeight w:val="472" w:hRule="atLeast"/>
        </w:trPr>
        <w:tc>
          <w:tcPr>
            <w:tcW w:w="430" w:type="dxa"/>
            <w:vAlign w:val="top"/>
            <w:vMerge w:val="continue"/>
            <w:tcBorders>
              <w:top w:val="nil"/>
            </w:tcBorders>
          </w:tcPr>
          <w:p>
            <w:pPr>
              <w:rPr>
                <w:rFonts w:ascii="Arial"/>
                <w:sz w:val="21"/>
              </w:rPr>
            </w:pPr>
            <w:r/>
          </w:p>
        </w:tc>
        <w:tc>
          <w:tcPr>
            <w:tcW w:w="1276" w:type="dxa"/>
            <w:vAlign w:val="top"/>
          </w:tcPr>
          <w:p>
            <w:pPr>
              <w:pStyle w:val="TableText"/>
              <w:ind w:left="280"/>
              <w:spacing w:before="144" w:line="220" w:lineRule="auto"/>
              <w:rPr>
                <w:sz w:val="18"/>
                <w:szCs w:val="18"/>
              </w:rPr>
            </w:pPr>
            <w:r>
              <w:rPr>
                <w:sz w:val="18"/>
                <w:szCs w:val="18"/>
                <w:spacing w:val="-2"/>
              </w:rPr>
              <w:t>影响因子</w:t>
            </w:r>
          </w:p>
        </w:tc>
        <w:tc>
          <w:tcPr>
            <w:tcW w:w="3991" w:type="dxa"/>
            <w:vAlign w:val="top"/>
            <w:gridSpan w:val="2"/>
          </w:tcPr>
          <w:p>
            <w:pPr>
              <w:pStyle w:val="TableText"/>
              <w:ind w:left="10" w:right="39"/>
              <w:spacing w:before="29" w:line="222" w:lineRule="auto"/>
              <w:rPr>
                <w:rFonts w:ascii="MS UI Gothic" w:hAnsi="MS UI Gothic" w:eastAsia="MS UI Gothic" w:cs="MS UI Gothic"/>
                <w:sz w:val="18"/>
                <w:szCs w:val="18"/>
              </w:rPr>
            </w:pPr>
            <w:r>
              <w:rPr>
                <w:sz w:val="18"/>
                <w:szCs w:val="18"/>
                <w:spacing w:val="-3"/>
              </w:rPr>
              <w:t>持久性污染物</w:t>
            </w:r>
            <w:r>
              <w:rPr>
                <w:rFonts w:ascii="MS UI Gothic" w:hAnsi="MS UI Gothic" w:eastAsia="MS UI Gothic" w:cs="MS UI Gothic"/>
                <w:sz w:val="18"/>
                <w:szCs w:val="18"/>
                <w:spacing w:val="-3"/>
              </w:rPr>
              <w:t>□</w:t>
            </w:r>
            <w:r>
              <w:rPr>
                <w:sz w:val="18"/>
                <w:szCs w:val="18"/>
                <w:spacing w:val="-3"/>
              </w:rPr>
              <w:t>；有毒有害污染物</w:t>
            </w:r>
            <w:r>
              <w:rPr>
                <w:rFonts w:ascii="MS UI Gothic" w:hAnsi="MS UI Gothic" w:eastAsia="MS UI Gothic" w:cs="MS UI Gothic"/>
                <w:sz w:val="18"/>
                <w:szCs w:val="18"/>
                <w:spacing w:val="-3"/>
              </w:rPr>
              <w:t>□</w:t>
            </w:r>
            <w:r>
              <w:rPr>
                <w:sz w:val="18"/>
                <w:szCs w:val="18"/>
                <w:spacing w:val="-3"/>
              </w:rPr>
              <w:t>；非持久性污</w:t>
            </w:r>
            <w:r>
              <w:rPr>
                <w:sz w:val="18"/>
                <w:szCs w:val="18"/>
                <w:spacing w:val="15"/>
              </w:rPr>
              <w:t xml:space="preserve"> </w:t>
            </w:r>
            <w:r>
              <w:rPr>
                <w:sz w:val="18"/>
                <w:szCs w:val="18"/>
                <w:spacing w:val="-5"/>
              </w:rPr>
              <w:t>染物</w:t>
            </w:r>
            <w:r>
              <w:rPr>
                <w:rFonts w:ascii="MS UI Gothic" w:hAnsi="MS UI Gothic" w:eastAsia="MS UI Gothic" w:cs="MS UI Gothic"/>
                <w:sz w:val="18"/>
                <w:szCs w:val="18"/>
                <w:spacing w:val="-5"/>
              </w:rPr>
              <w:t>☐</w:t>
            </w:r>
            <w:r>
              <w:rPr>
                <w:sz w:val="18"/>
                <w:szCs w:val="18"/>
                <w:spacing w:val="-5"/>
              </w:rPr>
              <w:t>；</w:t>
            </w:r>
            <w:r>
              <w:rPr>
                <w:rFonts w:ascii="Times New Roman" w:hAnsi="Times New Roman" w:eastAsia="Times New Roman" w:cs="Times New Roman"/>
                <w:sz w:val="18"/>
                <w:szCs w:val="18"/>
                <w:spacing w:val="-5"/>
              </w:rPr>
              <w:t>pH </w:t>
            </w:r>
            <w:r>
              <w:rPr>
                <w:sz w:val="18"/>
                <w:szCs w:val="18"/>
                <w:spacing w:val="-5"/>
              </w:rPr>
              <w:t>值</w:t>
            </w:r>
            <w:r>
              <w:rPr>
                <w:rFonts w:ascii="MS UI Gothic" w:hAnsi="MS UI Gothic" w:eastAsia="MS UI Gothic" w:cs="MS UI Gothic"/>
                <w:sz w:val="18"/>
                <w:szCs w:val="18"/>
                <w:spacing w:val="-5"/>
              </w:rPr>
              <w:t>□</w:t>
            </w:r>
            <w:r>
              <w:rPr>
                <w:sz w:val="18"/>
                <w:szCs w:val="18"/>
                <w:spacing w:val="-5"/>
              </w:rPr>
              <w:t>；热污染</w:t>
            </w:r>
            <w:r>
              <w:rPr>
                <w:rFonts w:ascii="MS UI Gothic" w:hAnsi="MS UI Gothic" w:eastAsia="MS UI Gothic" w:cs="MS UI Gothic"/>
                <w:sz w:val="18"/>
                <w:szCs w:val="18"/>
                <w:spacing w:val="-5"/>
              </w:rPr>
              <w:t>□</w:t>
            </w:r>
            <w:r>
              <w:rPr>
                <w:sz w:val="18"/>
                <w:szCs w:val="18"/>
                <w:spacing w:val="-5"/>
              </w:rPr>
              <w:t>；富营养化</w:t>
            </w:r>
            <w:r>
              <w:rPr>
                <w:rFonts w:ascii="MS UI Gothic" w:hAnsi="MS UI Gothic" w:eastAsia="MS UI Gothic" w:cs="MS UI Gothic"/>
                <w:sz w:val="18"/>
                <w:szCs w:val="18"/>
                <w:spacing w:val="-5"/>
              </w:rPr>
              <w:t>□</w:t>
            </w:r>
            <w:r>
              <w:rPr>
                <w:sz w:val="18"/>
                <w:szCs w:val="18"/>
                <w:spacing w:val="-5"/>
              </w:rPr>
              <w:t>；其他</w:t>
            </w:r>
            <w:r>
              <w:rPr>
                <w:rFonts w:ascii="MS UI Gothic" w:hAnsi="MS UI Gothic" w:eastAsia="MS UI Gothic" w:cs="MS UI Gothic"/>
                <w:sz w:val="18"/>
                <w:szCs w:val="18"/>
                <w:spacing w:val="-5"/>
              </w:rPr>
              <w:t>□</w:t>
            </w:r>
          </w:p>
        </w:tc>
        <w:tc>
          <w:tcPr>
            <w:tcW w:w="2820" w:type="dxa"/>
            <w:vAlign w:val="top"/>
            <w:gridSpan w:val="3"/>
          </w:tcPr>
          <w:p>
            <w:pPr>
              <w:pStyle w:val="TableText"/>
              <w:ind w:left="11" w:right="46" w:firstLine="1"/>
              <w:spacing w:before="29" w:line="222" w:lineRule="auto"/>
              <w:rPr>
                <w:rFonts w:ascii="MS UI Gothic" w:hAnsi="MS UI Gothic" w:eastAsia="MS UI Gothic" w:cs="MS UI Gothic"/>
                <w:sz w:val="18"/>
                <w:szCs w:val="18"/>
              </w:rPr>
            </w:pPr>
            <w:r>
              <w:rPr>
                <w:sz w:val="18"/>
                <w:szCs w:val="18"/>
                <w:spacing w:val="-10"/>
              </w:rPr>
              <w:t>水温</w:t>
            </w:r>
            <w:r>
              <w:rPr>
                <w:rFonts w:ascii="MS UI Gothic" w:hAnsi="MS UI Gothic" w:eastAsia="MS UI Gothic" w:cs="MS UI Gothic"/>
                <w:sz w:val="18"/>
                <w:szCs w:val="18"/>
                <w:spacing w:val="-10"/>
              </w:rPr>
              <w:t>□</w:t>
            </w:r>
            <w:r>
              <w:rPr>
                <w:sz w:val="18"/>
                <w:szCs w:val="18"/>
                <w:spacing w:val="-10"/>
              </w:rPr>
              <w:t>；水位（水深）</w:t>
            </w:r>
            <w:r>
              <w:rPr>
                <w:rFonts w:ascii="MS UI Gothic" w:hAnsi="MS UI Gothic" w:eastAsia="MS UI Gothic" w:cs="MS UI Gothic"/>
                <w:sz w:val="18"/>
                <w:szCs w:val="18"/>
                <w:spacing w:val="-10"/>
              </w:rPr>
              <w:t>□</w:t>
            </w:r>
            <w:r>
              <w:rPr>
                <w:rFonts w:ascii="MS UI Gothic" w:hAnsi="MS UI Gothic" w:eastAsia="MS UI Gothic" w:cs="MS UI Gothic"/>
                <w:sz w:val="18"/>
                <w:szCs w:val="18"/>
                <w:spacing w:val="-34"/>
              </w:rPr>
              <w:t xml:space="preserve"> </w:t>
            </w:r>
            <w:r>
              <w:rPr>
                <w:sz w:val="18"/>
                <w:szCs w:val="18"/>
                <w:spacing w:val="-10"/>
              </w:rPr>
              <w:t>；流速 </w:t>
            </w:r>
            <w:r>
              <w:rPr>
                <w:rFonts w:ascii="MS UI Gothic" w:hAnsi="MS UI Gothic" w:eastAsia="MS UI Gothic" w:cs="MS UI Gothic"/>
                <w:sz w:val="18"/>
                <w:szCs w:val="18"/>
                <w:spacing w:val="-10"/>
              </w:rPr>
              <w:t>□</w:t>
            </w:r>
            <w:r>
              <w:rPr>
                <w:rFonts w:ascii="MS UI Gothic" w:hAnsi="MS UI Gothic" w:eastAsia="MS UI Gothic" w:cs="MS UI Gothic"/>
                <w:sz w:val="18"/>
                <w:szCs w:val="18"/>
                <w:spacing w:val="-32"/>
              </w:rPr>
              <w:t xml:space="preserve"> </w:t>
            </w:r>
            <w:r>
              <w:rPr>
                <w:sz w:val="18"/>
                <w:szCs w:val="18"/>
                <w:spacing w:val="-10"/>
              </w:rPr>
              <w:t>;</w:t>
            </w:r>
            <w:r>
              <w:rPr>
                <w:sz w:val="18"/>
                <w:szCs w:val="18"/>
              </w:rPr>
              <w:t xml:space="preserve"> </w:t>
            </w:r>
            <w:r>
              <w:rPr>
                <w:sz w:val="18"/>
                <w:szCs w:val="18"/>
                <w:spacing w:val="-4"/>
              </w:rPr>
              <w:t>流量</w:t>
            </w:r>
            <w:r>
              <w:rPr>
                <w:rFonts w:ascii="MS UI Gothic" w:hAnsi="MS UI Gothic" w:eastAsia="MS UI Gothic" w:cs="MS UI Gothic"/>
                <w:sz w:val="18"/>
                <w:szCs w:val="18"/>
                <w:spacing w:val="-4"/>
              </w:rPr>
              <w:t>□</w:t>
            </w:r>
            <w:r>
              <w:rPr>
                <w:sz w:val="18"/>
                <w:szCs w:val="18"/>
                <w:spacing w:val="-4"/>
              </w:rPr>
              <w:t>；其他</w:t>
            </w:r>
            <w:r>
              <w:rPr>
                <w:rFonts w:ascii="MS UI Gothic" w:hAnsi="MS UI Gothic" w:eastAsia="MS UI Gothic" w:cs="MS UI Gothic"/>
                <w:sz w:val="18"/>
                <w:szCs w:val="18"/>
                <w:spacing w:val="-4"/>
              </w:rPr>
              <w:t>□</w:t>
            </w:r>
          </w:p>
        </w:tc>
      </w:tr>
      <w:tr>
        <w:trPr>
          <w:trHeight w:val="238" w:hRule="atLeast"/>
        </w:trPr>
        <w:tc>
          <w:tcPr>
            <w:tcW w:w="1706" w:type="dxa"/>
            <w:vAlign w:val="top"/>
            <w:gridSpan w:val="2"/>
            <w:vMerge w:val="restart"/>
            <w:tcBorders>
              <w:bottom w:val="nil"/>
            </w:tcBorders>
          </w:tcPr>
          <w:p>
            <w:pPr>
              <w:pStyle w:val="TableText"/>
              <w:ind w:left="496"/>
              <w:spacing w:before="149" w:line="218" w:lineRule="auto"/>
              <w:rPr>
                <w:sz w:val="18"/>
                <w:szCs w:val="18"/>
              </w:rPr>
            </w:pPr>
            <w:r>
              <w:rPr>
                <w:sz w:val="18"/>
                <w:szCs w:val="18"/>
                <w:spacing w:val="-2"/>
              </w:rPr>
              <w:t>评价等级</w:t>
            </w:r>
          </w:p>
        </w:tc>
        <w:tc>
          <w:tcPr>
            <w:tcW w:w="3991" w:type="dxa"/>
            <w:vAlign w:val="top"/>
            <w:gridSpan w:val="2"/>
          </w:tcPr>
          <w:p>
            <w:pPr>
              <w:pStyle w:val="TableText"/>
              <w:ind w:left="1462"/>
              <w:spacing w:before="29" w:line="204" w:lineRule="auto"/>
              <w:rPr>
                <w:sz w:val="18"/>
                <w:szCs w:val="18"/>
              </w:rPr>
            </w:pPr>
            <w:r>
              <w:rPr>
                <w:sz w:val="18"/>
                <w:szCs w:val="18"/>
                <w:spacing w:val="-2"/>
              </w:rPr>
              <w:t>水污染影响型</w:t>
            </w:r>
          </w:p>
        </w:tc>
        <w:tc>
          <w:tcPr>
            <w:tcW w:w="2820" w:type="dxa"/>
            <w:vAlign w:val="top"/>
            <w:gridSpan w:val="3"/>
          </w:tcPr>
          <w:p>
            <w:pPr>
              <w:pStyle w:val="TableText"/>
              <w:ind w:left="785"/>
              <w:spacing w:before="29" w:line="204" w:lineRule="auto"/>
              <w:rPr>
                <w:sz w:val="18"/>
                <w:szCs w:val="18"/>
              </w:rPr>
            </w:pPr>
            <w:r>
              <w:rPr>
                <w:sz w:val="18"/>
                <w:szCs w:val="18"/>
                <w:spacing w:val="-2"/>
              </w:rPr>
              <w:t>水文要素影响型</w:t>
            </w:r>
          </w:p>
        </w:tc>
      </w:tr>
      <w:tr>
        <w:trPr>
          <w:trHeight w:val="239" w:hRule="atLeast"/>
        </w:trPr>
        <w:tc>
          <w:tcPr>
            <w:tcW w:w="1706" w:type="dxa"/>
            <w:vAlign w:val="top"/>
            <w:gridSpan w:val="2"/>
            <w:vMerge w:val="continue"/>
            <w:tcBorders>
              <w:top w:val="nil"/>
            </w:tcBorders>
          </w:tcPr>
          <w:p>
            <w:pPr>
              <w:rPr>
                <w:rFonts w:ascii="Arial"/>
                <w:sz w:val="21"/>
              </w:rPr>
            </w:pPr>
            <w:r/>
          </w:p>
        </w:tc>
        <w:tc>
          <w:tcPr>
            <w:tcW w:w="3991" w:type="dxa"/>
            <w:vAlign w:val="top"/>
            <w:gridSpan w:val="2"/>
          </w:tcPr>
          <w:p>
            <w:pPr>
              <w:pStyle w:val="TableText"/>
              <w:ind w:left="10"/>
              <w:spacing w:before="29" w:line="205" w:lineRule="auto"/>
              <w:rPr>
                <w:rFonts w:ascii="MS UI Gothic" w:hAnsi="MS UI Gothic" w:eastAsia="MS UI Gothic" w:cs="MS UI Gothic"/>
                <w:sz w:val="18"/>
                <w:szCs w:val="18"/>
              </w:rPr>
            </w:pPr>
            <w:r>
              <w:rPr>
                <w:sz w:val="18"/>
                <w:szCs w:val="18"/>
                <w:spacing w:val="-7"/>
              </w:rPr>
              <w:t>一级</w:t>
            </w:r>
            <w:r>
              <w:rPr>
                <w:rFonts w:ascii="MS UI Gothic" w:hAnsi="MS UI Gothic" w:eastAsia="MS UI Gothic" w:cs="MS UI Gothic"/>
                <w:sz w:val="18"/>
                <w:szCs w:val="18"/>
                <w:spacing w:val="-7"/>
              </w:rPr>
              <w:t>□</w:t>
            </w:r>
            <w:r>
              <w:rPr>
                <w:sz w:val="18"/>
                <w:szCs w:val="18"/>
                <w:spacing w:val="-7"/>
              </w:rPr>
              <w:t>；二级</w:t>
            </w:r>
            <w:r>
              <w:rPr>
                <w:rFonts w:ascii="MS UI Gothic" w:hAnsi="MS UI Gothic" w:eastAsia="MS UI Gothic" w:cs="MS UI Gothic"/>
                <w:sz w:val="18"/>
                <w:szCs w:val="18"/>
                <w:spacing w:val="-7"/>
              </w:rPr>
              <w:t>□</w:t>
            </w:r>
            <w:r>
              <w:rPr>
                <w:sz w:val="18"/>
                <w:szCs w:val="18"/>
                <w:spacing w:val="-7"/>
              </w:rPr>
              <w:t>；三级</w:t>
            </w:r>
            <w:r>
              <w:rPr>
                <w:sz w:val="18"/>
                <w:szCs w:val="18"/>
                <w:spacing w:val="-38"/>
              </w:rPr>
              <w:t xml:space="preserve"> </w:t>
            </w:r>
            <w:r>
              <w:rPr>
                <w:rFonts w:ascii="Times New Roman" w:hAnsi="Times New Roman" w:eastAsia="Times New Roman" w:cs="Times New Roman"/>
                <w:sz w:val="18"/>
                <w:szCs w:val="18"/>
                <w:spacing w:val="-7"/>
              </w:rPr>
              <w:t>A</w:t>
            </w:r>
            <w:r>
              <w:rPr>
                <w:rFonts w:ascii="Times New Roman" w:hAnsi="Times New Roman" w:eastAsia="Times New Roman" w:cs="Times New Roman"/>
                <w:sz w:val="18"/>
                <w:szCs w:val="18"/>
                <w:spacing w:val="13"/>
              </w:rPr>
              <w:t xml:space="preserve"> </w:t>
            </w:r>
            <w:r>
              <w:rPr>
                <w:rFonts w:ascii="MS UI Gothic" w:hAnsi="MS UI Gothic" w:eastAsia="MS UI Gothic" w:cs="MS UI Gothic"/>
                <w:sz w:val="18"/>
                <w:szCs w:val="18"/>
                <w:spacing w:val="-7"/>
              </w:rPr>
              <w:t>□</w:t>
            </w:r>
            <w:r>
              <w:rPr>
                <w:rFonts w:ascii="MS UI Gothic" w:hAnsi="MS UI Gothic" w:eastAsia="MS UI Gothic" w:cs="MS UI Gothic"/>
                <w:sz w:val="18"/>
                <w:szCs w:val="18"/>
                <w:spacing w:val="-32"/>
              </w:rPr>
              <w:t xml:space="preserve"> </w:t>
            </w:r>
            <w:r>
              <w:rPr>
                <w:sz w:val="18"/>
                <w:szCs w:val="18"/>
                <w:spacing w:val="-7"/>
              </w:rPr>
              <w:t>；三级</w:t>
            </w:r>
            <w:r>
              <w:rPr>
                <w:sz w:val="18"/>
                <w:szCs w:val="18"/>
                <w:spacing w:val="-41"/>
              </w:rPr>
              <w:t xml:space="preserve"> </w:t>
            </w:r>
            <w:r>
              <w:rPr>
                <w:rFonts w:ascii="Times New Roman" w:hAnsi="Times New Roman" w:eastAsia="Times New Roman" w:cs="Times New Roman"/>
                <w:sz w:val="18"/>
                <w:szCs w:val="18"/>
                <w:spacing w:val="-7"/>
              </w:rPr>
              <w:t>B</w:t>
            </w:r>
            <w:r>
              <w:rPr>
                <w:rFonts w:ascii="Times New Roman" w:hAnsi="Times New Roman" w:eastAsia="Times New Roman" w:cs="Times New Roman"/>
                <w:sz w:val="18"/>
                <w:szCs w:val="18"/>
                <w:spacing w:val="15"/>
                <w:w w:val="102"/>
              </w:rPr>
              <w:t xml:space="preserve"> </w:t>
            </w:r>
            <w:r>
              <w:rPr>
                <w:rFonts w:ascii="MS UI Gothic" w:hAnsi="MS UI Gothic" w:eastAsia="MS UI Gothic" w:cs="MS UI Gothic"/>
                <w:sz w:val="18"/>
                <w:szCs w:val="18"/>
                <w:spacing w:val="-7"/>
              </w:rPr>
              <w:t>☐</w:t>
            </w:r>
          </w:p>
        </w:tc>
        <w:tc>
          <w:tcPr>
            <w:tcW w:w="2820" w:type="dxa"/>
            <w:vAlign w:val="top"/>
            <w:gridSpan w:val="3"/>
          </w:tcPr>
          <w:p>
            <w:pPr>
              <w:pStyle w:val="TableText"/>
              <w:ind w:left="13"/>
              <w:spacing w:before="29" w:line="205" w:lineRule="auto"/>
              <w:rPr>
                <w:rFonts w:ascii="MS UI Gothic" w:hAnsi="MS UI Gothic" w:eastAsia="MS UI Gothic" w:cs="MS UI Gothic"/>
                <w:sz w:val="18"/>
                <w:szCs w:val="18"/>
              </w:rPr>
            </w:pPr>
            <w:r>
              <w:rPr>
                <w:sz w:val="18"/>
                <w:szCs w:val="18"/>
                <w:spacing w:val="-5"/>
              </w:rPr>
              <w:t>一级</w:t>
            </w:r>
            <w:r>
              <w:rPr>
                <w:rFonts w:ascii="MS UI Gothic" w:hAnsi="MS UI Gothic" w:eastAsia="MS UI Gothic" w:cs="MS UI Gothic"/>
                <w:sz w:val="18"/>
                <w:szCs w:val="18"/>
                <w:spacing w:val="-5"/>
              </w:rPr>
              <w:t>□</w:t>
            </w:r>
            <w:r>
              <w:rPr>
                <w:sz w:val="18"/>
                <w:szCs w:val="18"/>
                <w:spacing w:val="-5"/>
              </w:rPr>
              <w:t>；二级</w:t>
            </w:r>
            <w:r>
              <w:rPr>
                <w:rFonts w:ascii="MS UI Gothic" w:hAnsi="MS UI Gothic" w:eastAsia="MS UI Gothic" w:cs="MS UI Gothic"/>
                <w:sz w:val="18"/>
                <w:szCs w:val="18"/>
                <w:spacing w:val="-5"/>
              </w:rPr>
              <w:t>□</w:t>
            </w:r>
            <w:r>
              <w:rPr>
                <w:sz w:val="18"/>
                <w:szCs w:val="18"/>
                <w:spacing w:val="-5"/>
              </w:rPr>
              <w:t>；三级</w:t>
            </w:r>
            <w:r>
              <w:rPr>
                <w:rFonts w:ascii="MS UI Gothic" w:hAnsi="MS UI Gothic" w:eastAsia="MS UI Gothic" w:cs="MS UI Gothic"/>
                <w:sz w:val="18"/>
                <w:szCs w:val="18"/>
                <w:spacing w:val="-5"/>
              </w:rPr>
              <w:t>□</w:t>
            </w:r>
          </w:p>
        </w:tc>
      </w:tr>
      <w:tr>
        <w:trPr>
          <w:trHeight w:val="238" w:hRule="atLeast"/>
        </w:trPr>
        <w:tc>
          <w:tcPr>
            <w:tcW w:w="430" w:type="dxa"/>
            <w:vAlign w:val="top"/>
            <w:vMerge w:val="restart"/>
            <w:tcBorders>
              <w:bottom w:val="nil"/>
            </w:tcBorders>
          </w:tcPr>
          <w:p>
            <w:pPr>
              <w:spacing w:line="252"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pStyle w:val="TableText"/>
              <w:ind w:left="40"/>
              <w:spacing w:before="58" w:line="219" w:lineRule="auto"/>
              <w:rPr>
                <w:sz w:val="18"/>
                <w:szCs w:val="18"/>
              </w:rPr>
            </w:pPr>
            <w:r>
              <w:rPr>
                <w:sz w:val="18"/>
                <w:szCs w:val="18"/>
                <w:spacing w:val="-5"/>
              </w:rPr>
              <w:t>现状</w:t>
            </w:r>
          </w:p>
          <w:p>
            <w:pPr>
              <w:pStyle w:val="TableText"/>
              <w:ind w:left="40"/>
              <w:spacing w:before="19" w:line="221" w:lineRule="auto"/>
              <w:rPr>
                <w:sz w:val="18"/>
                <w:szCs w:val="18"/>
              </w:rPr>
            </w:pPr>
            <w:r>
              <w:rPr>
                <w:sz w:val="18"/>
                <w:szCs w:val="18"/>
                <w:spacing w:val="-5"/>
              </w:rPr>
              <w:t>调查</w:t>
            </w:r>
          </w:p>
        </w:tc>
        <w:tc>
          <w:tcPr>
            <w:tcW w:w="1276" w:type="dxa"/>
            <w:vAlign w:val="top"/>
            <w:vMerge w:val="restart"/>
            <w:tcBorders>
              <w:bottom w:val="nil"/>
            </w:tcBorders>
          </w:tcPr>
          <w:p>
            <w:pPr>
              <w:spacing w:line="321" w:lineRule="auto"/>
              <w:rPr>
                <w:rFonts w:ascii="Arial"/>
                <w:sz w:val="21"/>
              </w:rPr>
            </w:pPr>
            <w:r/>
          </w:p>
          <w:p>
            <w:pPr>
              <w:pStyle w:val="TableText"/>
              <w:ind w:left="202"/>
              <w:spacing w:before="59" w:line="220" w:lineRule="auto"/>
              <w:rPr>
                <w:sz w:val="18"/>
                <w:szCs w:val="18"/>
              </w:rPr>
            </w:pPr>
            <w:r>
              <w:rPr>
                <w:sz w:val="18"/>
                <w:szCs w:val="18"/>
                <w:spacing w:val="-5"/>
              </w:rPr>
              <w:t>区域污染源</w:t>
            </w:r>
          </w:p>
        </w:tc>
        <w:tc>
          <w:tcPr>
            <w:tcW w:w="3991" w:type="dxa"/>
            <w:vAlign w:val="top"/>
            <w:gridSpan w:val="2"/>
          </w:tcPr>
          <w:p>
            <w:pPr>
              <w:pStyle w:val="TableText"/>
              <w:ind w:left="1641"/>
              <w:spacing w:before="27" w:line="206" w:lineRule="auto"/>
              <w:rPr>
                <w:sz w:val="18"/>
                <w:szCs w:val="18"/>
              </w:rPr>
            </w:pPr>
            <w:r>
              <w:rPr>
                <w:sz w:val="18"/>
                <w:szCs w:val="18"/>
                <w:spacing w:val="-3"/>
              </w:rPr>
              <w:t>调查项目</w:t>
            </w:r>
          </w:p>
        </w:tc>
        <w:tc>
          <w:tcPr>
            <w:tcW w:w="2820" w:type="dxa"/>
            <w:vAlign w:val="top"/>
            <w:gridSpan w:val="3"/>
          </w:tcPr>
          <w:p>
            <w:pPr>
              <w:pStyle w:val="TableText"/>
              <w:ind w:left="1056"/>
              <w:spacing w:before="27" w:line="206" w:lineRule="auto"/>
              <w:rPr>
                <w:sz w:val="18"/>
                <w:szCs w:val="18"/>
              </w:rPr>
            </w:pPr>
            <w:r>
              <w:rPr>
                <w:sz w:val="18"/>
                <w:szCs w:val="18"/>
                <w:spacing w:val="-3"/>
              </w:rPr>
              <w:t>数据来源</w:t>
            </w:r>
          </w:p>
        </w:tc>
      </w:tr>
      <w:tr>
        <w:trPr>
          <w:trHeight w:val="704" w:hRule="atLeast"/>
        </w:trPr>
        <w:tc>
          <w:tcPr>
            <w:tcW w:w="430" w:type="dxa"/>
            <w:vAlign w:val="top"/>
            <w:vMerge w:val="continue"/>
            <w:tcBorders>
              <w:top w:val="nil"/>
              <w:bottom w:val="nil"/>
            </w:tcBorders>
          </w:tcPr>
          <w:p>
            <w:pPr>
              <w:rPr>
                <w:rFonts w:ascii="Arial"/>
                <w:sz w:val="21"/>
              </w:rPr>
            </w:pPr>
            <w:r/>
          </w:p>
        </w:tc>
        <w:tc>
          <w:tcPr>
            <w:tcW w:w="1276" w:type="dxa"/>
            <w:vAlign w:val="top"/>
            <w:vMerge w:val="continue"/>
            <w:tcBorders>
              <w:top w:val="nil"/>
            </w:tcBorders>
          </w:tcPr>
          <w:p>
            <w:pPr>
              <w:rPr>
                <w:rFonts w:ascii="Arial"/>
                <w:sz w:val="21"/>
              </w:rPr>
            </w:pPr>
            <w:r/>
          </w:p>
        </w:tc>
        <w:tc>
          <w:tcPr>
            <w:tcW w:w="2805" w:type="dxa"/>
            <w:vAlign w:val="top"/>
          </w:tcPr>
          <w:p>
            <w:pPr>
              <w:pStyle w:val="TableText"/>
              <w:ind w:left="27"/>
              <w:spacing w:before="261" w:line="232" w:lineRule="auto"/>
              <w:rPr>
                <w:sz w:val="18"/>
                <w:szCs w:val="18"/>
              </w:rPr>
            </w:pPr>
            <w:r>
              <w:rPr>
                <w:sz w:val="18"/>
                <w:szCs w:val="18"/>
                <w:spacing w:val="-7"/>
              </w:rPr>
              <w:t>已建</w:t>
            </w:r>
            <w:r>
              <w:rPr>
                <w:rFonts w:ascii="MS UI Gothic" w:hAnsi="MS UI Gothic" w:eastAsia="MS UI Gothic" w:cs="MS UI Gothic"/>
                <w:sz w:val="18"/>
                <w:szCs w:val="18"/>
                <w:spacing w:val="-7"/>
              </w:rPr>
              <w:t>□</w:t>
            </w:r>
            <w:r>
              <w:rPr>
                <w:sz w:val="18"/>
                <w:szCs w:val="18"/>
                <w:spacing w:val="-7"/>
              </w:rPr>
              <w:t>；在建</w:t>
            </w:r>
            <w:r>
              <w:rPr>
                <w:rFonts w:ascii="MS UI Gothic" w:hAnsi="MS UI Gothic" w:eastAsia="MS UI Gothic" w:cs="MS UI Gothic"/>
                <w:sz w:val="18"/>
                <w:szCs w:val="18"/>
                <w:spacing w:val="-7"/>
              </w:rPr>
              <w:t>□</w:t>
            </w:r>
            <w:r>
              <w:rPr>
                <w:sz w:val="18"/>
                <w:szCs w:val="18"/>
                <w:spacing w:val="-7"/>
              </w:rPr>
              <w:t>；拟建</w:t>
            </w:r>
            <w:r>
              <w:rPr>
                <w:rFonts w:ascii="MS UI Gothic" w:hAnsi="MS UI Gothic" w:eastAsia="MS UI Gothic" w:cs="MS UI Gothic"/>
                <w:sz w:val="18"/>
                <w:szCs w:val="18"/>
                <w:spacing w:val="-7"/>
              </w:rPr>
              <w:t>□</w:t>
            </w:r>
            <w:r>
              <w:rPr>
                <w:sz w:val="18"/>
                <w:szCs w:val="18"/>
                <w:spacing w:val="-7"/>
              </w:rPr>
              <w:t>；其他</w:t>
            </w:r>
            <w:r>
              <w:rPr>
                <w:rFonts w:ascii="MS UI Gothic" w:hAnsi="MS UI Gothic" w:eastAsia="MS UI Gothic" w:cs="MS UI Gothic"/>
                <w:sz w:val="18"/>
                <w:szCs w:val="18"/>
                <w:spacing w:val="-7"/>
              </w:rPr>
              <w:t>□</w:t>
            </w:r>
            <w:r>
              <w:rPr>
                <w:sz w:val="18"/>
                <w:szCs w:val="18"/>
                <w:spacing w:val="-7"/>
              </w:rPr>
              <w:t>;</w:t>
            </w:r>
          </w:p>
        </w:tc>
        <w:tc>
          <w:tcPr>
            <w:tcW w:w="1186" w:type="dxa"/>
            <w:vAlign w:val="top"/>
          </w:tcPr>
          <w:p>
            <w:pPr>
              <w:pStyle w:val="TableText"/>
              <w:ind w:left="7" w:right="99"/>
              <w:spacing w:before="144" w:line="249" w:lineRule="auto"/>
              <w:rPr>
                <w:rFonts w:ascii="MS UI Gothic" w:hAnsi="MS UI Gothic" w:eastAsia="MS UI Gothic" w:cs="MS UI Gothic"/>
                <w:sz w:val="18"/>
                <w:szCs w:val="18"/>
              </w:rPr>
            </w:pPr>
            <w:r>
              <w:rPr>
                <w:sz w:val="18"/>
                <w:szCs w:val="18"/>
                <w:spacing w:val="-2"/>
              </w:rPr>
              <w:t>拟替代的污染</w:t>
            </w:r>
            <w:r>
              <w:rPr>
                <w:sz w:val="18"/>
                <w:szCs w:val="18"/>
                <w:spacing w:val="3"/>
              </w:rPr>
              <w:t xml:space="preserve"> </w:t>
            </w:r>
            <w:r>
              <w:rPr>
                <w:sz w:val="18"/>
                <w:szCs w:val="18"/>
                <w:spacing w:val="-4"/>
              </w:rPr>
              <w:t>源</w:t>
            </w:r>
            <w:r>
              <w:rPr>
                <w:rFonts w:ascii="MS UI Gothic" w:hAnsi="MS UI Gothic" w:eastAsia="MS UI Gothic" w:cs="MS UI Gothic"/>
                <w:sz w:val="18"/>
                <w:szCs w:val="18"/>
                <w:spacing w:val="-4"/>
              </w:rPr>
              <w:t>□</w:t>
            </w:r>
          </w:p>
        </w:tc>
        <w:tc>
          <w:tcPr>
            <w:tcW w:w="2820" w:type="dxa"/>
            <w:vAlign w:val="top"/>
            <w:gridSpan w:val="3"/>
          </w:tcPr>
          <w:p>
            <w:pPr>
              <w:pStyle w:val="TableText"/>
              <w:ind w:left="23" w:right="3" w:hanging="13"/>
              <w:spacing w:before="30" w:line="227" w:lineRule="auto"/>
              <w:jc w:val="both"/>
              <w:rPr>
                <w:rFonts w:ascii="MS UI Gothic" w:hAnsi="MS UI Gothic" w:eastAsia="MS UI Gothic" w:cs="MS UI Gothic"/>
                <w:sz w:val="18"/>
                <w:szCs w:val="18"/>
              </w:rPr>
            </w:pPr>
            <w:r>
              <w:rPr>
                <w:sz w:val="18"/>
                <w:szCs w:val="18"/>
                <w:spacing w:val="-13"/>
              </w:rPr>
              <w:t>排污许可证</w:t>
            </w:r>
            <w:r>
              <w:rPr>
                <w:rFonts w:ascii="MS UI Gothic" w:hAnsi="MS UI Gothic" w:eastAsia="MS UI Gothic" w:cs="MS UI Gothic"/>
                <w:sz w:val="18"/>
                <w:szCs w:val="18"/>
                <w:spacing w:val="-13"/>
              </w:rPr>
              <w:t>□</w:t>
            </w:r>
            <w:r>
              <w:rPr>
                <w:sz w:val="18"/>
                <w:szCs w:val="18"/>
                <w:spacing w:val="-13"/>
              </w:rPr>
              <w:t>；环评</w:t>
            </w:r>
            <w:r>
              <w:rPr>
                <w:rFonts w:ascii="MS UI Gothic" w:hAnsi="MS UI Gothic" w:eastAsia="MS UI Gothic" w:cs="MS UI Gothic"/>
                <w:sz w:val="18"/>
                <w:szCs w:val="18"/>
                <w:spacing w:val="-13"/>
              </w:rPr>
              <w:t>□</w:t>
            </w:r>
            <w:r>
              <w:rPr>
                <w:sz w:val="18"/>
                <w:szCs w:val="18"/>
                <w:spacing w:val="-13"/>
              </w:rPr>
              <w:t>；环保验收</w:t>
            </w:r>
            <w:r>
              <w:rPr>
                <w:rFonts w:ascii="MS UI Gothic" w:hAnsi="MS UI Gothic" w:eastAsia="MS UI Gothic" w:cs="MS UI Gothic"/>
                <w:sz w:val="18"/>
                <w:szCs w:val="18"/>
                <w:spacing w:val="-13"/>
              </w:rPr>
              <w:t>□</w:t>
            </w:r>
            <w:r>
              <w:rPr>
                <w:sz w:val="18"/>
                <w:szCs w:val="18"/>
                <w:spacing w:val="-13"/>
              </w:rPr>
              <w:t>;</w:t>
            </w:r>
            <w:r>
              <w:rPr>
                <w:sz w:val="18"/>
                <w:szCs w:val="18"/>
                <w:spacing w:val="7"/>
              </w:rPr>
              <w:t xml:space="preserve"> </w:t>
            </w:r>
            <w:r>
              <w:rPr>
                <w:sz w:val="18"/>
                <w:szCs w:val="18"/>
                <w:spacing w:val="-6"/>
              </w:rPr>
              <w:t>即有实测</w:t>
            </w:r>
            <w:r>
              <w:rPr>
                <w:rFonts w:ascii="MS UI Gothic" w:hAnsi="MS UI Gothic" w:eastAsia="MS UI Gothic" w:cs="MS UI Gothic"/>
                <w:sz w:val="18"/>
                <w:szCs w:val="18"/>
                <w:spacing w:val="-6"/>
              </w:rPr>
              <w:t>□</w:t>
            </w:r>
            <w:r>
              <w:rPr>
                <w:sz w:val="18"/>
                <w:szCs w:val="18"/>
                <w:spacing w:val="-6"/>
              </w:rPr>
              <w:t>；现场监测</w:t>
            </w:r>
            <w:r>
              <w:rPr>
                <w:rFonts w:ascii="MS UI Gothic" w:hAnsi="MS UI Gothic" w:eastAsia="MS UI Gothic" w:cs="MS UI Gothic"/>
                <w:sz w:val="18"/>
                <w:szCs w:val="18"/>
                <w:spacing w:val="-6"/>
              </w:rPr>
              <w:t>□</w:t>
            </w:r>
            <w:r>
              <w:rPr>
                <w:sz w:val="18"/>
                <w:szCs w:val="18"/>
                <w:spacing w:val="-6"/>
              </w:rPr>
              <w:t>；入河排放</w:t>
            </w:r>
            <w:r>
              <w:rPr>
                <w:sz w:val="18"/>
                <w:szCs w:val="18"/>
                <w:spacing w:val="2"/>
              </w:rPr>
              <w:t xml:space="preserve"> </w:t>
            </w:r>
            <w:r>
              <w:rPr>
                <w:sz w:val="18"/>
                <w:szCs w:val="18"/>
                <w:spacing w:val="-5"/>
              </w:rPr>
              <w:t>口数据</w:t>
            </w:r>
            <w:r>
              <w:rPr>
                <w:rFonts w:ascii="MS UI Gothic" w:hAnsi="MS UI Gothic" w:eastAsia="MS UI Gothic" w:cs="MS UI Gothic"/>
                <w:sz w:val="18"/>
                <w:szCs w:val="18"/>
                <w:spacing w:val="-5"/>
              </w:rPr>
              <w:t>□</w:t>
            </w:r>
            <w:r>
              <w:rPr>
                <w:sz w:val="18"/>
                <w:szCs w:val="18"/>
                <w:spacing w:val="-5"/>
              </w:rPr>
              <w:t>；其他</w:t>
            </w:r>
            <w:r>
              <w:rPr>
                <w:rFonts w:ascii="MS UI Gothic" w:hAnsi="MS UI Gothic" w:eastAsia="MS UI Gothic" w:cs="MS UI Gothic"/>
                <w:sz w:val="18"/>
                <w:szCs w:val="18"/>
                <w:spacing w:val="-5"/>
              </w:rPr>
              <w:t>□</w:t>
            </w:r>
          </w:p>
        </w:tc>
      </w:tr>
      <w:tr>
        <w:trPr>
          <w:trHeight w:val="239" w:hRule="atLeast"/>
        </w:trPr>
        <w:tc>
          <w:tcPr>
            <w:tcW w:w="430" w:type="dxa"/>
            <w:vAlign w:val="top"/>
            <w:vMerge w:val="continue"/>
            <w:tcBorders>
              <w:top w:val="nil"/>
              <w:bottom w:val="nil"/>
            </w:tcBorders>
          </w:tcPr>
          <w:p>
            <w:pPr>
              <w:rPr>
                <w:rFonts w:ascii="Arial"/>
                <w:sz w:val="21"/>
              </w:rPr>
            </w:pPr>
            <w:r/>
          </w:p>
        </w:tc>
        <w:tc>
          <w:tcPr>
            <w:tcW w:w="1276" w:type="dxa"/>
            <w:vAlign w:val="top"/>
            <w:vMerge w:val="restart"/>
            <w:tcBorders>
              <w:bottom w:val="nil"/>
            </w:tcBorders>
          </w:tcPr>
          <w:p>
            <w:pPr>
              <w:pStyle w:val="TableText"/>
              <w:ind w:left="13"/>
              <w:spacing w:before="150" w:line="219" w:lineRule="auto"/>
              <w:rPr>
                <w:sz w:val="18"/>
                <w:szCs w:val="18"/>
              </w:rPr>
            </w:pPr>
            <w:r>
              <w:rPr>
                <w:sz w:val="18"/>
                <w:szCs w:val="18"/>
                <w:spacing w:val="-2"/>
              </w:rPr>
              <w:t>受影响水体水环</w:t>
            </w:r>
          </w:p>
          <w:p>
            <w:pPr>
              <w:pStyle w:val="TableText"/>
              <w:ind w:left="370"/>
              <w:spacing w:before="19" w:line="220" w:lineRule="auto"/>
              <w:rPr>
                <w:sz w:val="18"/>
                <w:szCs w:val="18"/>
              </w:rPr>
            </w:pPr>
            <w:r>
              <w:rPr>
                <w:sz w:val="18"/>
                <w:szCs w:val="18"/>
                <w:spacing w:val="-3"/>
              </w:rPr>
              <w:t>境质量</w:t>
            </w:r>
          </w:p>
        </w:tc>
        <w:tc>
          <w:tcPr>
            <w:tcW w:w="3991" w:type="dxa"/>
            <w:vAlign w:val="top"/>
            <w:gridSpan w:val="2"/>
          </w:tcPr>
          <w:p>
            <w:pPr>
              <w:pStyle w:val="TableText"/>
              <w:ind w:left="1641"/>
              <w:spacing w:before="30" w:line="204" w:lineRule="auto"/>
              <w:rPr>
                <w:sz w:val="18"/>
                <w:szCs w:val="18"/>
              </w:rPr>
            </w:pPr>
            <w:r>
              <w:rPr>
                <w:sz w:val="18"/>
                <w:szCs w:val="18"/>
                <w:spacing w:val="-3"/>
              </w:rPr>
              <w:t>调查时期</w:t>
            </w:r>
          </w:p>
        </w:tc>
        <w:tc>
          <w:tcPr>
            <w:tcW w:w="2820" w:type="dxa"/>
            <w:vAlign w:val="top"/>
            <w:gridSpan w:val="3"/>
          </w:tcPr>
          <w:p>
            <w:pPr>
              <w:pStyle w:val="TableText"/>
              <w:ind w:left="1056"/>
              <w:spacing w:before="30" w:line="204" w:lineRule="auto"/>
              <w:rPr>
                <w:sz w:val="18"/>
                <w:szCs w:val="18"/>
              </w:rPr>
            </w:pPr>
            <w:r>
              <w:rPr>
                <w:sz w:val="18"/>
                <w:szCs w:val="18"/>
                <w:spacing w:val="-3"/>
              </w:rPr>
              <w:t>数据来源</w:t>
            </w:r>
          </w:p>
        </w:tc>
      </w:tr>
      <w:tr>
        <w:trPr>
          <w:trHeight w:val="472" w:hRule="atLeast"/>
        </w:trPr>
        <w:tc>
          <w:tcPr>
            <w:tcW w:w="430" w:type="dxa"/>
            <w:vAlign w:val="top"/>
            <w:vMerge w:val="continue"/>
            <w:tcBorders>
              <w:top w:val="nil"/>
              <w:bottom w:val="nil"/>
            </w:tcBorders>
          </w:tcPr>
          <w:p>
            <w:pPr>
              <w:rPr>
                <w:rFonts w:ascii="Arial"/>
                <w:sz w:val="21"/>
              </w:rPr>
            </w:pPr>
            <w:r/>
          </w:p>
        </w:tc>
        <w:tc>
          <w:tcPr>
            <w:tcW w:w="1276" w:type="dxa"/>
            <w:vAlign w:val="top"/>
            <w:vMerge w:val="continue"/>
            <w:tcBorders>
              <w:top w:val="nil"/>
            </w:tcBorders>
          </w:tcPr>
          <w:p>
            <w:pPr>
              <w:rPr>
                <w:rFonts w:ascii="Arial"/>
                <w:sz w:val="21"/>
              </w:rPr>
            </w:pPr>
            <w:r/>
          </w:p>
        </w:tc>
        <w:tc>
          <w:tcPr>
            <w:tcW w:w="3991" w:type="dxa"/>
            <w:vAlign w:val="top"/>
            <w:gridSpan w:val="2"/>
          </w:tcPr>
          <w:p>
            <w:pPr>
              <w:pStyle w:val="TableText"/>
              <w:ind w:left="7" w:right="596" w:firstLine="1"/>
              <w:spacing w:before="29" w:line="222" w:lineRule="auto"/>
              <w:rPr>
                <w:rFonts w:ascii="MS UI Gothic" w:hAnsi="MS UI Gothic" w:eastAsia="MS UI Gothic" w:cs="MS UI Gothic"/>
                <w:sz w:val="18"/>
                <w:szCs w:val="18"/>
              </w:rPr>
            </w:pPr>
            <w:r>
              <w:rPr>
                <w:sz w:val="18"/>
                <w:szCs w:val="18"/>
                <w:spacing w:val="-7"/>
              </w:rPr>
              <w:t>丰水期</w:t>
            </w:r>
            <w:r>
              <w:rPr>
                <w:rFonts w:ascii="MS UI Gothic" w:hAnsi="MS UI Gothic" w:eastAsia="MS UI Gothic" w:cs="MS UI Gothic"/>
                <w:sz w:val="18"/>
                <w:szCs w:val="18"/>
                <w:spacing w:val="-7"/>
              </w:rPr>
              <w:t>□</w:t>
            </w:r>
            <w:r>
              <w:rPr>
                <w:sz w:val="18"/>
                <w:szCs w:val="18"/>
                <w:spacing w:val="-7"/>
              </w:rPr>
              <w:t>；平水期</w:t>
            </w:r>
            <w:r>
              <w:rPr>
                <w:rFonts w:ascii="MS UI Gothic" w:hAnsi="MS UI Gothic" w:eastAsia="MS UI Gothic" w:cs="MS UI Gothic"/>
                <w:sz w:val="18"/>
                <w:szCs w:val="18"/>
                <w:spacing w:val="-7"/>
              </w:rPr>
              <w:t>□</w:t>
            </w:r>
            <w:r>
              <w:rPr>
                <w:sz w:val="18"/>
                <w:szCs w:val="18"/>
                <w:spacing w:val="-7"/>
              </w:rPr>
              <w:t>；枯水期</w:t>
            </w:r>
            <w:r>
              <w:rPr>
                <w:rFonts w:ascii="MS UI Gothic" w:hAnsi="MS UI Gothic" w:eastAsia="MS UI Gothic" w:cs="MS UI Gothic"/>
                <w:sz w:val="18"/>
                <w:szCs w:val="18"/>
                <w:spacing w:val="-7"/>
              </w:rPr>
              <w:t>□</w:t>
            </w:r>
            <w:r>
              <w:rPr>
                <w:sz w:val="18"/>
                <w:szCs w:val="18"/>
                <w:spacing w:val="-7"/>
              </w:rPr>
              <w:t>；冰封期</w:t>
            </w:r>
            <w:r>
              <w:rPr>
                <w:rFonts w:ascii="MS UI Gothic" w:hAnsi="MS UI Gothic" w:eastAsia="MS UI Gothic" w:cs="MS UI Gothic"/>
                <w:sz w:val="18"/>
                <w:szCs w:val="18"/>
                <w:spacing w:val="-7"/>
              </w:rPr>
              <w:t>□</w:t>
            </w:r>
            <w:r>
              <w:rPr>
                <w:sz w:val="18"/>
                <w:szCs w:val="18"/>
                <w:spacing w:val="-7"/>
              </w:rPr>
              <w:t>;</w:t>
            </w:r>
            <w:r>
              <w:rPr>
                <w:sz w:val="18"/>
                <w:szCs w:val="18"/>
                <w:spacing w:val="9"/>
              </w:rPr>
              <w:t xml:space="preserve"> </w:t>
            </w:r>
            <w:r>
              <w:rPr>
                <w:sz w:val="18"/>
                <w:szCs w:val="18"/>
                <w:spacing w:val="-5"/>
              </w:rPr>
              <w:t>春季</w:t>
            </w:r>
            <w:r>
              <w:rPr>
                <w:rFonts w:ascii="MS UI Gothic" w:hAnsi="MS UI Gothic" w:eastAsia="MS UI Gothic" w:cs="MS UI Gothic"/>
                <w:sz w:val="18"/>
                <w:szCs w:val="18"/>
                <w:spacing w:val="-5"/>
              </w:rPr>
              <w:t>□</w:t>
            </w:r>
            <w:r>
              <w:rPr>
                <w:sz w:val="18"/>
                <w:szCs w:val="18"/>
                <w:spacing w:val="-5"/>
              </w:rPr>
              <w:t>；夏季</w:t>
            </w:r>
            <w:r>
              <w:rPr>
                <w:rFonts w:ascii="MS UI Gothic" w:hAnsi="MS UI Gothic" w:eastAsia="MS UI Gothic" w:cs="MS UI Gothic"/>
                <w:sz w:val="18"/>
                <w:szCs w:val="18"/>
                <w:spacing w:val="-5"/>
              </w:rPr>
              <w:t>□</w:t>
            </w:r>
            <w:r>
              <w:rPr>
                <w:sz w:val="18"/>
                <w:szCs w:val="18"/>
                <w:spacing w:val="-5"/>
              </w:rPr>
              <w:t>；秋季</w:t>
            </w:r>
            <w:r>
              <w:rPr>
                <w:rFonts w:ascii="MS UI Gothic" w:hAnsi="MS UI Gothic" w:eastAsia="MS UI Gothic" w:cs="MS UI Gothic"/>
                <w:sz w:val="18"/>
                <w:szCs w:val="18"/>
                <w:spacing w:val="-5"/>
              </w:rPr>
              <w:t>□</w:t>
            </w:r>
            <w:r>
              <w:rPr>
                <w:sz w:val="18"/>
                <w:szCs w:val="18"/>
                <w:spacing w:val="-5"/>
              </w:rPr>
              <w:t>；冬季</w:t>
            </w:r>
            <w:r>
              <w:rPr>
                <w:rFonts w:ascii="MS UI Gothic" w:hAnsi="MS UI Gothic" w:eastAsia="MS UI Gothic" w:cs="MS UI Gothic"/>
                <w:sz w:val="18"/>
                <w:szCs w:val="18"/>
                <w:spacing w:val="-5"/>
              </w:rPr>
              <w:t>□</w:t>
            </w:r>
          </w:p>
        </w:tc>
        <w:tc>
          <w:tcPr>
            <w:tcW w:w="2820" w:type="dxa"/>
            <w:vAlign w:val="top"/>
            <w:gridSpan w:val="3"/>
          </w:tcPr>
          <w:p>
            <w:pPr>
              <w:pStyle w:val="TableText"/>
              <w:ind w:left="18" w:right="3" w:hanging="6"/>
              <w:spacing w:before="29" w:line="222" w:lineRule="auto"/>
              <w:rPr>
                <w:rFonts w:ascii="MS UI Gothic" w:hAnsi="MS UI Gothic" w:eastAsia="MS UI Gothic" w:cs="MS UI Gothic"/>
                <w:sz w:val="18"/>
                <w:szCs w:val="18"/>
              </w:rPr>
            </w:pPr>
            <w:r>
              <w:rPr>
                <w:sz w:val="18"/>
                <w:szCs w:val="18"/>
                <w:spacing w:val="-6"/>
              </w:rPr>
              <w:t>生态环境保护主管部门</w:t>
            </w:r>
            <w:r>
              <w:rPr>
                <w:rFonts w:ascii="MS UI Gothic" w:hAnsi="MS UI Gothic" w:eastAsia="MS UI Gothic" w:cs="MS UI Gothic"/>
                <w:sz w:val="18"/>
                <w:szCs w:val="18"/>
                <w:spacing w:val="-6"/>
              </w:rPr>
              <w:t>□</w:t>
            </w:r>
            <w:r>
              <w:rPr>
                <w:sz w:val="18"/>
                <w:szCs w:val="18"/>
                <w:spacing w:val="-6"/>
              </w:rPr>
              <w:t>；补充监测</w:t>
            </w:r>
            <w:r>
              <w:rPr>
                <w:sz w:val="18"/>
                <w:szCs w:val="18"/>
                <w:spacing w:val="14"/>
              </w:rPr>
              <w:t xml:space="preserve"> </w:t>
            </w:r>
            <w:r>
              <w:rPr>
                <w:rFonts w:ascii="MS UI Gothic" w:hAnsi="MS UI Gothic" w:eastAsia="MS UI Gothic" w:cs="MS UI Gothic"/>
                <w:sz w:val="18"/>
                <w:szCs w:val="18"/>
                <w:spacing w:val="-12"/>
              </w:rPr>
              <w:t>□</w:t>
            </w:r>
            <w:r>
              <w:rPr>
                <w:rFonts w:ascii="MS UI Gothic" w:hAnsi="MS UI Gothic" w:eastAsia="MS UI Gothic" w:cs="MS UI Gothic"/>
                <w:sz w:val="18"/>
                <w:szCs w:val="18"/>
                <w:spacing w:val="-31"/>
              </w:rPr>
              <w:t xml:space="preserve"> </w:t>
            </w:r>
            <w:r>
              <w:rPr>
                <w:sz w:val="18"/>
                <w:szCs w:val="18"/>
                <w:spacing w:val="-12"/>
              </w:rPr>
              <w:t>；其他</w:t>
            </w:r>
            <w:r>
              <w:rPr>
                <w:rFonts w:ascii="MS UI Gothic" w:hAnsi="MS UI Gothic" w:eastAsia="MS UI Gothic" w:cs="MS UI Gothic"/>
                <w:sz w:val="18"/>
                <w:szCs w:val="18"/>
                <w:spacing w:val="-12"/>
              </w:rPr>
              <w:t>□</w:t>
            </w:r>
          </w:p>
        </w:tc>
      </w:tr>
      <w:tr>
        <w:trPr>
          <w:trHeight w:val="472" w:hRule="atLeast"/>
        </w:trPr>
        <w:tc>
          <w:tcPr>
            <w:tcW w:w="430" w:type="dxa"/>
            <w:vAlign w:val="top"/>
            <w:vMerge w:val="continue"/>
            <w:tcBorders>
              <w:top w:val="nil"/>
              <w:bottom w:val="nil"/>
            </w:tcBorders>
          </w:tcPr>
          <w:p>
            <w:pPr>
              <w:rPr>
                <w:rFonts w:ascii="Arial"/>
                <w:sz w:val="21"/>
              </w:rPr>
            </w:pPr>
            <w:r/>
          </w:p>
        </w:tc>
        <w:tc>
          <w:tcPr>
            <w:tcW w:w="1276" w:type="dxa"/>
            <w:vAlign w:val="top"/>
          </w:tcPr>
          <w:p>
            <w:pPr>
              <w:pStyle w:val="TableText"/>
              <w:ind w:left="22"/>
              <w:spacing w:before="29" w:line="219" w:lineRule="auto"/>
              <w:rPr>
                <w:sz w:val="18"/>
                <w:szCs w:val="18"/>
              </w:rPr>
            </w:pPr>
            <w:r>
              <w:rPr>
                <w:sz w:val="18"/>
                <w:szCs w:val="18"/>
                <w:spacing w:val="-3"/>
              </w:rPr>
              <w:t>区域水资源开发</w:t>
            </w:r>
          </w:p>
          <w:p>
            <w:pPr>
              <w:pStyle w:val="TableText"/>
              <w:ind w:left="281"/>
              <w:spacing w:before="18" w:line="205" w:lineRule="auto"/>
              <w:rPr>
                <w:sz w:val="18"/>
                <w:szCs w:val="18"/>
              </w:rPr>
            </w:pPr>
            <w:r>
              <w:rPr>
                <w:sz w:val="18"/>
                <w:szCs w:val="18"/>
                <w:spacing w:val="-2"/>
              </w:rPr>
              <w:t>利用状况</w:t>
            </w:r>
          </w:p>
        </w:tc>
        <w:tc>
          <w:tcPr>
            <w:tcW w:w="6811" w:type="dxa"/>
            <w:vAlign w:val="top"/>
            <w:gridSpan w:val="5"/>
          </w:tcPr>
          <w:p>
            <w:pPr>
              <w:pStyle w:val="TableText"/>
              <w:ind w:left="10"/>
              <w:spacing w:before="144" w:line="233" w:lineRule="auto"/>
              <w:rPr>
                <w:rFonts w:ascii="MS UI Gothic" w:hAnsi="MS UI Gothic" w:eastAsia="MS UI Gothic" w:cs="MS UI Gothic"/>
                <w:sz w:val="18"/>
                <w:szCs w:val="18"/>
              </w:rPr>
            </w:pPr>
            <w:r>
              <w:rPr>
                <w:sz w:val="18"/>
                <w:szCs w:val="18"/>
                <w:spacing w:val="-3"/>
              </w:rPr>
              <w:t>未开发</w:t>
            </w:r>
            <w:r>
              <w:rPr>
                <w:rFonts w:ascii="MS UI Gothic" w:hAnsi="MS UI Gothic" w:eastAsia="MS UI Gothic" w:cs="MS UI Gothic"/>
                <w:sz w:val="18"/>
                <w:szCs w:val="18"/>
                <w:spacing w:val="-3"/>
              </w:rPr>
              <w:t>□</w:t>
            </w:r>
            <w:r>
              <w:rPr>
                <w:sz w:val="18"/>
                <w:szCs w:val="18"/>
                <w:spacing w:val="-3"/>
              </w:rPr>
              <w:t>；开发量</w:t>
            </w:r>
            <w:r>
              <w:rPr>
                <w:sz w:val="18"/>
                <w:szCs w:val="18"/>
                <w:spacing w:val="-30"/>
              </w:rPr>
              <w:t xml:space="preserve"> </w:t>
            </w:r>
            <w:r>
              <w:rPr>
                <w:rFonts w:ascii="Times New Roman" w:hAnsi="Times New Roman" w:eastAsia="Times New Roman" w:cs="Times New Roman"/>
                <w:sz w:val="18"/>
                <w:szCs w:val="18"/>
                <w:spacing w:val="-3"/>
              </w:rPr>
              <w:t>40%</w:t>
            </w:r>
            <w:r>
              <w:rPr>
                <w:sz w:val="18"/>
                <w:szCs w:val="18"/>
                <w:spacing w:val="-3"/>
              </w:rPr>
              <w:t>以下</w:t>
            </w:r>
            <w:r>
              <w:rPr>
                <w:rFonts w:ascii="MS UI Gothic" w:hAnsi="MS UI Gothic" w:eastAsia="MS UI Gothic" w:cs="MS UI Gothic"/>
                <w:sz w:val="18"/>
                <w:szCs w:val="18"/>
                <w:spacing w:val="-3"/>
              </w:rPr>
              <w:t>□</w:t>
            </w:r>
            <w:r>
              <w:rPr>
                <w:sz w:val="18"/>
                <w:szCs w:val="18"/>
                <w:spacing w:val="-3"/>
              </w:rPr>
              <w:t>；开发量</w:t>
            </w:r>
            <w:r>
              <w:rPr>
                <w:sz w:val="18"/>
                <w:szCs w:val="18"/>
                <w:spacing w:val="-41"/>
              </w:rPr>
              <w:t xml:space="preserve"> </w:t>
            </w:r>
            <w:r>
              <w:rPr>
                <w:rFonts w:ascii="Times New Roman" w:hAnsi="Times New Roman" w:eastAsia="Times New Roman" w:cs="Times New Roman"/>
                <w:sz w:val="18"/>
                <w:szCs w:val="18"/>
                <w:spacing w:val="-3"/>
              </w:rPr>
              <w:t>40%</w:t>
            </w:r>
            <w:r>
              <w:rPr>
                <w:sz w:val="18"/>
                <w:szCs w:val="18"/>
                <w:spacing w:val="-3"/>
              </w:rPr>
              <w:t>以上</w:t>
            </w:r>
            <w:r>
              <w:rPr>
                <w:rFonts w:ascii="MS UI Gothic" w:hAnsi="MS UI Gothic" w:eastAsia="MS UI Gothic" w:cs="MS UI Gothic"/>
                <w:sz w:val="18"/>
                <w:szCs w:val="18"/>
                <w:spacing w:val="-3"/>
              </w:rPr>
              <w:t>□</w:t>
            </w:r>
          </w:p>
        </w:tc>
      </w:tr>
      <w:tr>
        <w:trPr>
          <w:trHeight w:val="238" w:hRule="atLeast"/>
        </w:trPr>
        <w:tc>
          <w:tcPr>
            <w:tcW w:w="430" w:type="dxa"/>
            <w:vAlign w:val="top"/>
            <w:vMerge w:val="continue"/>
            <w:tcBorders>
              <w:top w:val="nil"/>
              <w:bottom w:val="nil"/>
            </w:tcBorders>
          </w:tcPr>
          <w:p>
            <w:pPr>
              <w:rPr>
                <w:rFonts w:ascii="Arial"/>
                <w:sz w:val="21"/>
              </w:rPr>
            </w:pPr>
            <w:r/>
          </w:p>
        </w:tc>
        <w:tc>
          <w:tcPr>
            <w:tcW w:w="1276" w:type="dxa"/>
            <w:vAlign w:val="top"/>
            <w:vMerge w:val="restart"/>
            <w:tcBorders>
              <w:bottom w:val="nil"/>
            </w:tcBorders>
          </w:tcPr>
          <w:p>
            <w:pPr>
              <w:pStyle w:val="TableText"/>
              <w:ind w:left="102"/>
              <w:spacing w:before="267" w:line="219" w:lineRule="auto"/>
              <w:rPr>
                <w:sz w:val="18"/>
                <w:szCs w:val="18"/>
              </w:rPr>
            </w:pPr>
            <w:r>
              <w:rPr>
                <w:sz w:val="18"/>
                <w:szCs w:val="18"/>
                <w:spacing w:val="-2"/>
              </w:rPr>
              <w:t>水文情势调查</w:t>
            </w:r>
          </w:p>
        </w:tc>
        <w:tc>
          <w:tcPr>
            <w:tcW w:w="3991" w:type="dxa"/>
            <w:vAlign w:val="top"/>
            <w:gridSpan w:val="2"/>
          </w:tcPr>
          <w:p>
            <w:pPr>
              <w:pStyle w:val="TableText"/>
              <w:ind w:left="1641"/>
              <w:spacing w:before="30" w:line="203" w:lineRule="auto"/>
              <w:rPr>
                <w:sz w:val="18"/>
                <w:szCs w:val="18"/>
              </w:rPr>
            </w:pPr>
            <w:r>
              <w:rPr>
                <w:sz w:val="18"/>
                <w:szCs w:val="18"/>
                <w:spacing w:val="-3"/>
              </w:rPr>
              <w:t>调查时期</w:t>
            </w:r>
          </w:p>
        </w:tc>
        <w:tc>
          <w:tcPr>
            <w:tcW w:w="2820" w:type="dxa"/>
            <w:vAlign w:val="top"/>
            <w:gridSpan w:val="3"/>
          </w:tcPr>
          <w:p>
            <w:pPr>
              <w:pStyle w:val="TableText"/>
              <w:ind w:left="1056"/>
              <w:spacing w:before="30" w:line="203" w:lineRule="auto"/>
              <w:rPr>
                <w:sz w:val="18"/>
                <w:szCs w:val="18"/>
              </w:rPr>
            </w:pPr>
            <w:r>
              <w:rPr>
                <w:sz w:val="18"/>
                <w:szCs w:val="18"/>
                <w:spacing w:val="-3"/>
              </w:rPr>
              <w:t>数据来源</w:t>
            </w:r>
          </w:p>
        </w:tc>
      </w:tr>
      <w:tr>
        <w:trPr>
          <w:trHeight w:val="472" w:hRule="atLeast"/>
        </w:trPr>
        <w:tc>
          <w:tcPr>
            <w:tcW w:w="430" w:type="dxa"/>
            <w:vAlign w:val="top"/>
            <w:vMerge w:val="continue"/>
            <w:tcBorders>
              <w:top w:val="nil"/>
              <w:bottom w:val="nil"/>
            </w:tcBorders>
          </w:tcPr>
          <w:p>
            <w:pPr>
              <w:rPr>
                <w:rFonts w:ascii="Arial"/>
                <w:sz w:val="21"/>
              </w:rPr>
            </w:pPr>
            <w:r/>
          </w:p>
        </w:tc>
        <w:tc>
          <w:tcPr>
            <w:tcW w:w="1276" w:type="dxa"/>
            <w:vAlign w:val="top"/>
            <w:vMerge w:val="continue"/>
            <w:tcBorders>
              <w:top w:val="nil"/>
            </w:tcBorders>
          </w:tcPr>
          <w:p>
            <w:pPr>
              <w:rPr>
                <w:rFonts w:ascii="Arial"/>
                <w:sz w:val="21"/>
              </w:rPr>
            </w:pPr>
            <w:r/>
          </w:p>
        </w:tc>
        <w:tc>
          <w:tcPr>
            <w:tcW w:w="3991" w:type="dxa"/>
            <w:vAlign w:val="top"/>
            <w:gridSpan w:val="2"/>
          </w:tcPr>
          <w:p>
            <w:pPr>
              <w:pStyle w:val="TableText"/>
              <w:ind w:left="7" w:right="596" w:firstLine="1"/>
              <w:spacing w:before="29" w:line="222" w:lineRule="auto"/>
              <w:rPr>
                <w:rFonts w:ascii="MS UI Gothic" w:hAnsi="MS UI Gothic" w:eastAsia="MS UI Gothic" w:cs="MS UI Gothic"/>
                <w:sz w:val="18"/>
                <w:szCs w:val="18"/>
              </w:rPr>
            </w:pPr>
            <w:r>
              <w:rPr>
                <w:sz w:val="18"/>
                <w:szCs w:val="18"/>
                <w:spacing w:val="-7"/>
              </w:rPr>
              <w:t>丰水期</w:t>
            </w:r>
            <w:r>
              <w:rPr>
                <w:rFonts w:ascii="MS UI Gothic" w:hAnsi="MS UI Gothic" w:eastAsia="MS UI Gothic" w:cs="MS UI Gothic"/>
                <w:sz w:val="18"/>
                <w:szCs w:val="18"/>
                <w:spacing w:val="-7"/>
              </w:rPr>
              <w:t>□</w:t>
            </w:r>
            <w:r>
              <w:rPr>
                <w:sz w:val="18"/>
                <w:szCs w:val="18"/>
                <w:spacing w:val="-7"/>
              </w:rPr>
              <w:t>；平水期</w:t>
            </w:r>
            <w:r>
              <w:rPr>
                <w:rFonts w:ascii="MS UI Gothic" w:hAnsi="MS UI Gothic" w:eastAsia="MS UI Gothic" w:cs="MS UI Gothic"/>
                <w:sz w:val="18"/>
                <w:szCs w:val="18"/>
                <w:spacing w:val="-7"/>
              </w:rPr>
              <w:t>□</w:t>
            </w:r>
            <w:r>
              <w:rPr>
                <w:sz w:val="18"/>
                <w:szCs w:val="18"/>
                <w:spacing w:val="-7"/>
              </w:rPr>
              <w:t>；枯水期</w:t>
            </w:r>
            <w:r>
              <w:rPr>
                <w:rFonts w:ascii="MS UI Gothic" w:hAnsi="MS UI Gothic" w:eastAsia="MS UI Gothic" w:cs="MS UI Gothic"/>
                <w:sz w:val="18"/>
                <w:szCs w:val="18"/>
                <w:spacing w:val="-7"/>
              </w:rPr>
              <w:t>□</w:t>
            </w:r>
            <w:r>
              <w:rPr>
                <w:sz w:val="18"/>
                <w:szCs w:val="18"/>
                <w:spacing w:val="-7"/>
              </w:rPr>
              <w:t>；冰封期</w:t>
            </w:r>
            <w:r>
              <w:rPr>
                <w:rFonts w:ascii="MS UI Gothic" w:hAnsi="MS UI Gothic" w:eastAsia="MS UI Gothic" w:cs="MS UI Gothic"/>
                <w:sz w:val="18"/>
                <w:szCs w:val="18"/>
                <w:spacing w:val="-7"/>
              </w:rPr>
              <w:t>□</w:t>
            </w:r>
            <w:r>
              <w:rPr>
                <w:sz w:val="18"/>
                <w:szCs w:val="18"/>
                <w:spacing w:val="-7"/>
              </w:rPr>
              <w:t>;</w:t>
            </w:r>
            <w:r>
              <w:rPr>
                <w:sz w:val="18"/>
                <w:szCs w:val="18"/>
                <w:spacing w:val="9"/>
              </w:rPr>
              <w:t xml:space="preserve"> </w:t>
            </w:r>
            <w:r>
              <w:rPr>
                <w:sz w:val="18"/>
                <w:szCs w:val="18"/>
                <w:spacing w:val="-5"/>
              </w:rPr>
              <w:t>春季</w:t>
            </w:r>
            <w:r>
              <w:rPr>
                <w:rFonts w:ascii="MS UI Gothic" w:hAnsi="MS UI Gothic" w:eastAsia="MS UI Gothic" w:cs="MS UI Gothic"/>
                <w:sz w:val="18"/>
                <w:szCs w:val="18"/>
                <w:spacing w:val="-5"/>
              </w:rPr>
              <w:t>□</w:t>
            </w:r>
            <w:r>
              <w:rPr>
                <w:sz w:val="18"/>
                <w:szCs w:val="18"/>
                <w:spacing w:val="-5"/>
              </w:rPr>
              <w:t>；夏季</w:t>
            </w:r>
            <w:r>
              <w:rPr>
                <w:rFonts w:ascii="MS UI Gothic" w:hAnsi="MS UI Gothic" w:eastAsia="MS UI Gothic" w:cs="MS UI Gothic"/>
                <w:sz w:val="18"/>
                <w:szCs w:val="18"/>
                <w:spacing w:val="-5"/>
              </w:rPr>
              <w:t>□</w:t>
            </w:r>
            <w:r>
              <w:rPr>
                <w:sz w:val="18"/>
                <w:szCs w:val="18"/>
                <w:spacing w:val="-5"/>
              </w:rPr>
              <w:t>；秋季</w:t>
            </w:r>
            <w:r>
              <w:rPr>
                <w:rFonts w:ascii="MS UI Gothic" w:hAnsi="MS UI Gothic" w:eastAsia="MS UI Gothic" w:cs="MS UI Gothic"/>
                <w:sz w:val="18"/>
                <w:szCs w:val="18"/>
                <w:spacing w:val="-5"/>
              </w:rPr>
              <w:t>□</w:t>
            </w:r>
            <w:r>
              <w:rPr>
                <w:sz w:val="18"/>
                <w:szCs w:val="18"/>
                <w:spacing w:val="-5"/>
              </w:rPr>
              <w:t>；冬季</w:t>
            </w:r>
            <w:r>
              <w:rPr>
                <w:rFonts w:ascii="MS UI Gothic" w:hAnsi="MS UI Gothic" w:eastAsia="MS UI Gothic" w:cs="MS UI Gothic"/>
                <w:sz w:val="18"/>
                <w:szCs w:val="18"/>
                <w:spacing w:val="-5"/>
              </w:rPr>
              <w:t>□</w:t>
            </w:r>
          </w:p>
        </w:tc>
        <w:tc>
          <w:tcPr>
            <w:tcW w:w="2820" w:type="dxa"/>
            <w:vAlign w:val="top"/>
            <w:gridSpan w:val="3"/>
          </w:tcPr>
          <w:p>
            <w:pPr>
              <w:pStyle w:val="TableText"/>
              <w:ind w:left="10" w:right="3" w:firstLine="2"/>
              <w:spacing w:before="29" w:line="222" w:lineRule="auto"/>
              <w:rPr>
                <w:rFonts w:ascii="MS UI Gothic" w:hAnsi="MS UI Gothic" w:eastAsia="MS UI Gothic" w:cs="MS UI Gothic"/>
                <w:sz w:val="18"/>
                <w:szCs w:val="18"/>
              </w:rPr>
            </w:pPr>
            <w:r>
              <w:rPr>
                <w:sz w:val="18"/>
                <w:szCs w:val="18"/>
                <w:spacing w:val="-6"/>
              </w:rPr>
              <w:t>水行政主管部门</w:t>
            </w:r>
            <w:r>
              <w:rPr>
                <w:rFonts w:ascii="MS UI Gothic" w:hAnsi="MS UI Gothic" w:eastAsia="MS UI Gothic" w:cs="MS UI Gothic"/>
                <w:sz w:val="18"/>
                <w:szCs w:val="18"/>
                <w:spacing w:val="-6"/>
              </w:rPr>
              <w:t>□</w:t>
            </w:r>
            <w:r>
              <w:rPr>
                <w:sz w:val="18"/>
                <w:szCs w:val="18"/>
                <w:spacing w:val="-6"/>
              </w:rPr>
              <w:t>；补充监测</w:t>
            </w:r>
            <w:r>
              <w:rPr>
                <w:rFonts w:ascii="MS UI Gothic" w:hAnsi="MS UI Gothic" w:eastAsia="MS UI Gothic" w:cs="MS UI Gothic"/>
                <w:sz w:val="18"/>
                <w:szCs w:val="18"/>
                <w:spacing w:val="-6"/>
              </w:rPr>
              <w:t>□</w:t>
            </w:r>
            <w:r>
              <w:rPr>
                <w:sz w:val="18"/>
                <w:szCs w:val="18"/>
                <w:spacing w:val="-6"/>
              </w:rPr>
              <w:t>；其</w:t>
            </w:r>
            <w:r>
              <w:rPr>
                <w:sz w:val="18"/>
                <w:szCs w:val="18"/>
                <w:spacing w:val="13"/>
              </w:rPr>
              <w:t xml:space="preserve"> </w:t>
            </w:r>
            <w:r>
              <w:rPr>
                <w:sz w:val="18"/>
                <w:szCs w:val="18"/>
                <w:spacing w:val="-4"/>
              </w:rPr>
              <w:t>他</w:t>
            </w:r>
            <w:r>
              <w:rPr>
                <w:rFonts w:ascii="MS UI Gothic" w:hAnsi="MS UI Gothic" w:eastAsia="MS UI Gothic" w:cs="MS UI Gothic"/>
                <w:sz w:val="18"/>
                <w:szCs w:val="18"/>
                <w:spacing w:val="-4"/>
              </w:rPr>
              <w:t>□</w:t>
            </w:r>
          </w:p>
        </w:tc>
      </w:tr>
      <w:tr>
        <w:trPr>
          <w:trHeight w:val="238" w:hRule="atLeast"/>
        </w:trPr>
        <w:tc>
          <w:tcPr>
            <w:tcW w:w="430" w:type="dxa"/>
            <w:vAlign w:val="top"/>
            <w:vMerge w:val="continue"/>
            <w:tcBorders>
              <w:top w:val="nil"/>
              <w:bottom w:val="nil"/>
            </w:tcBorders>
          </w:tcPr>
          <w:p>
            <w:pPr>
              <w:rPr>
                <w:rFonts w:ascii="Arial"/>
                <w:sz w:val="21"/>
              </w:rPr>
            </w:pPr>
            <w:r/>
          </w:p>
        </w:tc>
        <w:tc>
          <w:tcPr>
            <w:tcW w:w="1276" w:type="dxa"/>
            <w:vAlign w:val="top"/>
            <w:vMerge w:val="restart"/>
            <w:tcBorders>
              <w:bottom w:val="nil"/>
            </w:tcBorders>
          </w:tcPr>
          <w:p>
            <w:pPr>
              <w:pStyle w:val="TableText"/>
              <w:ind w:left="280"/>
              <w:spacing w:before="267" w:line="220" w:lineRule="auto"/>
              <w:rPr>
                <w:sz w:val="18"/>
                <w:szCs w:val="18"/>
              </w:rPr>
            </w:pPr>
            <w:r>
              <w:rPr>
                <w:sz w:val="18"/>
                <w:szCs w:val="18"/>
                <w:spacing w:val="-2"/>
              </w:rPr>
              <w:t>补充监测</w:t>
            </w:r>
          </w:p>
        </w:tc>
        <w:tc>
          <w:tcPr>
            <w:tcW w:w="3991" w:type="dxa"/>
            <w:vAlign w:val="top"/>
            <w:gridSpan w:val="2"/>
          </w:tcPr>
          <w:p>
            <w:pPr>
              <w:pStyle w:val="TableText"/>
              <w:ind w:left="1640"/>
              <w:spacing w:before="30" w:line="203" w:lineRule="auto"/>
              <w:rPr>
                <w:sz w:val="18"/>
                <w:szCs w:val="18"/>
              </w:rPr>
            </w:pPr>
            <w:r>
              <w:rPr>
                <w:sz w:val="18"/>
                <w:szCs w:val="18"/>
                <w:spacing w:val="-2"/>
              </w:rPr>
              <w:t>监测时期</w:t>
            </w:r>
          </w:p>
        </w:tc>
        <w:tc>
          <w:tcPr>
            <w:tcW w:w="1466" w:type="dxa"/>
            <w:vAlign w:val="top"/>
          </w:tcPr>
          <w:p>
            <w:pPr>
              <w:pStyle w:val="TableText"/>
              <w:ind w:left="378"/>
              <w:spacing w:before="30" w:line="203" w:lineRule="auto"/>
              <w:rPr>
                <w:sz w:val="18"/>
                <w:szCs w:val="18"/>
              </w:rPr>
            </w:pPr>
            <w:r>
              <w:rPr>
                <w:sz w:val="18"/>
                <w:szCs w:val="18"/>
                <w:spacing w:val="-2"/>
              </w:rPr>
              <w:t>监测因子</w:t>
            </w:r>
          </w:p>
        </w:tc>
        <w:tc>
          <w:tcPr>
            <w:tcW w:w="1354" w:type="dxa"/>
            <w:vAlign w:val="top"/>
            <w:gridSpan w:val="2"/>
          </w:tcPr>
          <w:p>
            <w:pPr>
              <w:pStyle w:val="TableText"/>
              <w:ind w:left="52"/>
              <w:spacing w:before="30" w:line="203" w:lineRule="auto"/>
              <w:rPr>
                <w:sz w:val="18"/>
                <w:szCs w:val="18"/>
              </w:rPr>
            </w:pPr>
            <w:r>
              <w:rPr>
                <w:sz w:val="18"/>
                <w:szCs w:val="18"/>
                <w:spacing w:val="-2"/>
              </w:rPr>
              <w:t>监测断面或点位</w:t>
            </w:r>
          </w:p>
        </w:tc>
      </w:tr>
      <w:tr>
        <w:trPr>
          <w:trHeight w:val="472" w:hRule="atLeast"/>
        </w:trPr>
        <w:tc>
          <w:tcPr>
            <w:tcW w:w="430" w:type="dxa"/>
            <w:vAlign w:val="top"/>
            <w:vMerge w:val="continue"/>
            <w:tcBorders>
              <w:top w:val="nil"/>
            </w:tcBorders>
          </w:tcPr>
          <w:p>
            <w:pPr>
              <w:rPr>
                <w:rFonts w:ascii="Arial"/>
                <w:sz w:val="21"/>
              </w:rPr>
            </w:pPr>
            <w:r/>
          </w:p>
        </w:tc>
        <w:tc>
          <w:tcPr>
            <w:tcW w:w="1276" w:type="dxa"/>
            <w:vAlign w:val="top"/>
            <w:vMerge w:val="continue"/>
            <w:tcBorders>
              <w:top w:val="nil"/>
            </w:tcBorders>
          </w:tcPr>
          <w:p>
            <w:pPr>
              <w:rPr>
                <w:rFonts w:ascii="Arial"/>
                <w:sz w:val="21"/>
              </w:rPr>
            </w:pPr>
            <w:r/>
          </w:p>
        </w:tc>
        <w:tc>
          <w:tcPr>
            <w:tcW w:w="3991" w:type="dxa"/>
            <w:vAlign w:val="top"/>
            <w:gridSpan w:val="2"/>
          </w:tcPr>
          <w:p>
            <w:pPr>
              <w:pStyle w:val="TableText"/>
              <w:ind w:left="7" w:right="507" w:firstLine="1"/>
              <w:spacing w:before="29" w:line="222" w:lineRule="auto"/>
              <w:rPr>
                <w:rFonts w:ascii="MS UI Gothic" w:hAnsi="MS UI Gothic" w:eastAsia="MS UI Gothic" w:cs="MS UI Gothic"/>
                <w:sz w:val="18"/>
                <w:szCs w:val="18"/>
              </w:rPr>
            </w:pPr>
            <w:r>
              <w:rPr>
                <w:sz w:val="18"/>
                <w:szCs w:val="18"/>
                <w:spacing w:val="-8"/>
              </w:rPr>
              <w:t>丰水期</w:t>
            </w:r>
            <w:r>
              <w:rPr>
                <w:rFonts w:ascii="MS UI Gothic" w:hAnsi="MS UI Gothic" w:eastAsia="MS UI Gothic" w:cs="MS UI Gothic"/>
                <w:sz w:val="18"/>
                <w:szCs w:val="18"/>
                <w:spacing w:val="-8"/>
              </w:rPr>
              <w:t>□</w:t>
            </w:r>
            <w:r>
              <w:rPr>
                <w:sz w:val="18"/>
                <w:szCs w:val="18"/>
                <w:spacing w:val="-8"/>
              </w:rPr>
              <w:t>；平水期</w:t>
            </w:r>
            <w:r>
              <w:rPr>
                <w:rFonts w:ascii="MS UI Gothic" w:hAnsi="MS UI Gothic" w:eastAsia="MS UI Gothic" w:cs="MS UI Gothic"/>
                <w:sz w:val="18"/>
                <w:szCs w:val="18"/>
                <w:spacing w:val="-8"/>
              </w:rPr>
              <w:t>□</w:t>
            </w:r>
            <w:r>
              <w:rPr>
                <w:sz w:val="18"/>
                <w:szCs w:val="18"/>
                <w:spacing w:val="-8"/>
              </w:rPr>
              <w:t>；枯水期</w:t>
            </w:r>
            <w:r>
              <w:rPr>
                <w:rFonts w:ascii="MS UI Gothic" w:hAnsi="MS UI Gothic" w:eastAsia="MS UI Gothic" w:cs="MS UI Gothic"/>
                <w:sz w:val="18"/>
                <w:szCs w:val="18"/>
                <w:spacing w:val="-8"/>
              </w:rPr>
              <w:t>□</w:t>
            </w:r>
            <w:r>
              <w:rPr>
                <w:sz w:val="18"/>
                <w:szCs w:val="18"/>
                <w:spacing w:val="-8"/>
              </w:rPr>
              <w:t>；冰封期 </w:t>
            </w:r>
            <w:r>
              <w:rPr>
                <w:rFonts w:ascii="MS UI Gothic" w:hAnsi="MS UI Gothic" w:eastAsia="MS UI Gothic" w:cs="MS UI Gothic"/>
                <w:sz w:val="18"/>
                <w:szCs w:val="18"/>
                <w:spacing w:val="-8"/>
              </w:rPr>
              <w:t>□</w:t>
            </w:r>
            <w:r>
              <w:rPr>
                <w:rFonts w:ascii="MS UI Gothic" w:hAnsi="MS UI Gothic" w:eastAsia="MS UI Gothic" w:cs="MS UI Gothic"/>
                <w:sz w:val="18"/>
                <w:szCs w:val="18"/>
                <w:spacing w:val="-19"/>
              </w:rPr>
              <w:t xml:space="preserve"> </w:t>
            </w:r>
            <w:r>
              <w:rPr>
                <w:sz w:val="18"/>
                <w:szCs w:val="18"/>
                <w:spacing w:val="-8"/>
              </w:rPr>
              <w:t>;</w:t>
            </w:r>
            <w:r>
              <w:rPr>
                <w:sz w:val="18"/>
                <w:szCs w:val="18"/>
              </w:rPr>
              <w:t xml:space="preserve"> </w:t>
            </w:r>
            <w:r>
              <w:rPr>
                <w:sz w:val="18"/>
                <w:szCs w:val="18"/>
                <w:spacing w:val="-5"/>
              </w:rPr>
              <w:t>春季</w:t>
            </w:r>
            <w:r>
              <w:rPr>
                <w:rFonts w:ascii="MS UI Gothic" w:hAnsi="MS UI Gothic" w:eastAsia="MS UI Gothic" w:cs="MS UI Gothic"/>
                <w:sz w:val="18"/>
                <w:szCs w:val="18"/>
                <w:spacing w:val="-5"/>
              </w:rPr>
              <w:t>□</w:t>
            </w:r>
            <w:r>
              <w:rPr>
                <w:sz w:val="18"/>
                <w:szCs w:val="18"/>
                <w:spacing w:val="-5"/>
              </w:rPr>
              <w:t>；夏季</w:t>
            </w:r>
            <w:r>
              <w:rPr>
                <w:rFonts w:ascii="MS UI Gothic" w:hAnsi="MS UI Gothic" w:eastAsia="MS UI Gothic" w:cs="MS UI Gothic"/>
                <w:sz w:val="18"/>
                <w:szCs w:val="18"/>
                <w:spacing w:val="-5"/>
              </w:rPr>
              <w:t>□</w:t>
            </w:r>
            <w:r>
              <w:rPr>
                <w:sz w:val="18"/>
                <w:szCs w:val="18"/>
                <w:spacing w:val="-5"/>
              </w:rPr>
              <w:t>；秋季</w:t>
            </w:r>
            <w:r>
              <w:rPr>
                <w:rFonts w:ascii="MS UI Gothic" w:hAnsi="MS UI Gothic" w:eastAsia="MS UI Gothic" w:cs="MS UI Gothic"/>
                <w:sz w:val="18"/>
                <w:szCs w:val="18"/>
                <w:spacing w:val="-5"/>
              </w:rPr>
              <w:t>□</w:t>
            </w:r>
            <w:r>
              <w:rPr>
                <w:sz w:val="18"/>
                <w:szCs w:val="18"/>
                <w:spacing w:val="-5"/>
              </w:rPr>
              <w:t>；冬季</w:t>
            </w:r>
            <w:r>
              <w:rPr>
                <w:rFonts w:ascii="MS UI Gothic" w:hAnsi="MS UI Gothic" w:eastAsia="MS UI Gothic" w:cs="MS UI Gothic"/>
                <w:sz w:val="18"/>
                <w:szCs w:val="18"/>
                <w:spacing w:val="-5"/>
              </w:rPr>
              <w:t>□</w:t>
            </w:r>
          </w:p>
        </w:tc>
        <w:tc>
          <w:tcPr>
            <w:tcW w:w="1466" w:type="dxa"/>
            <w:vAlign w:val="top"/>
          </w:tcPr>
          <w:p>
            <w:pPr>
              <w:pStyle w:val="TableText"/>
              <w:ind w:left="249"/>
              <w:spacing w:before="147" w:line="222" w:lineRule="auto"/>
              <w:rPr>
                <w:sz w:val="18"/>
                <w:szCs w:val="18"/>
              </w:rPr>
            </w:pPr>
            <w:r>
              <w:rPr>
                <w:sz w:val="18"/>
                <w:szCs w:val="18"/>
                <w:spacing w:val="-19"/>
              </w:rPr>
              <w:t>(            )</w:t>
            </w:r>
          </w:p>
        </w:tc>
        <w:tc>
          <w:tcPr>
            <w:tcW w:w="1354" w:type="dxa"/>
            <w:vAlign w:val="top"/>
            <w:gridSpan w:val="2"/>
          </w:tcPr>
          <w:p>
            <w:pPr>
              <w:pStyle w:val="TableText"/>
              <w:ind w:left="11" w:right="85"/>
              <w:spacing w:before="29" w:line="222" w:lineRule="auto"/>
              <w:rPr>
                <w:sz w:val="18"/>
                <w:szCs w:val="18"/>
              </w:rPr>
            </w:pPr>
            <w:r>
              <w:rPr>
                <w:sz w:val="18"/>
                <w:szCs w:val="18"/>
                <w:spacing w:val="-2"/>
              </w:rPr>
              <w:t>监测断面或点位</w:t>
            </w:r>
            <w:r>
              <w:rPr>
                <w:sz w:val="18"/>
                <w:szCs w:val="18"/>
                <w:spacing w:val="5"/>
              </w:rPr>
              <w:t xml:space="preserve"> </w:t>
            </w:r>
            <w:r>
              <w:rPr>
                <w:sz w:val="18"/>
                <w:szCs w:val="18"/>
                <w:spacing w:val="-3"/>
              </w:rPr>
              <w:t>个数</w:t>
            </w:r>
            <w:r>
              <w:rPr>
                <w:sz w:val="18"/>
                <w:szCs w:val="18"/>
                <w:spacing w:val="-23"/>
              </w:rPr>
              <w:t>（</w:t>
            </w:r>
            <w:r>
              <w:rPr>
                <w:sz w:val="18"/>
                <w:szCs w:val="18"/>
                <w:spacing w:val="27"/>
              </w:rPr>
              <w:t xml:space="preserve">  </w:t>
            </w:r>
            <w:r>
              <w:rPr>
                <w:sz w:val="18"/>
                <w:szCs w:val="18"/>
                <w:spacing w:val="-23"/>
              </w:rPr>
              <w:t>）</w:t>
            </w:r>
            <w:r>
              <w:rPr>
                <w:sz w:val="18"/>
                <w:szCs w:val="18"/>
                <w:spacing w:val="-3"/>
              </w:rPr>
              <w:t>个</w:t>
            </w:r>
          </w:p>
        </w:tc>
      </w:tr>
      <w:tr>
        <w:trPr>
          <w:trHeight w:val="239" w:hRule="atLeast"/>
        </w:trPr>
        <w:tc>
          <w:tcPr>
            <w:tcW w:w="430" w:type="dxa"/>
            <w:vAlign w:val="top"/>
            <w:vMerge w:val="restart"/>
            <w:tcBorders>
              <w:bottom w:val="nil"/>
            </w:tcBorders>
          </w:tcPr>
          <w:p>
            <w:pPr>
              <w:spacing w:line="263" w:lineRule="auto"/>
              <w:rPr>
                <w:rFonts w:ascii="Arial"/>
                <w:sz w:val="21"/>
              </w:rPr>
            </w:pPr>
            <w:r/>
          </w:p>
          <w:p>
            <w:pPr>
              <w:spacing w:line="263"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pStyle w:val="TableText"/>
              <w:ind w:left="40"/>
              <w:spacing w:before="59" w:line="219" w:lineRule="auto"/>
              <w:rPr>
                <w:sz w:val="18"/>
                <w:szCs w:val="18"/>
              </w:rPr>
            </w:pPr>
            <w:r>
              <w:rPr>
                <w:sz w:val="18"/>
                <w:szCs w:val="18"/>
                <w:spacing w:val="-5"/>
              </w:rPr>
              <w:t>现状</w:t>
            </w:r>
          </w:p>
          <w:p>
            <w:pPr>
              <w:pStyle w:val="TableText"/>
              <w:ind w:left="38"/>
              <w:spacing w:before="18" w:line="218" w:lineRule="auto"/>
              <w:rPr>
                <w:sz w:val="18"/>
                <w:szCs w:val="18"/>
              </w:rPr>
            </w:pPr>
            <w:r>
              <w:rPr>
                <w:sz w:val="18"/>
                <w:szCs w:val="18"/>
                <w:spacing w:val="-4"/>
              </w:rPr>
              <w:t>评价</w:t>
            </w:r>
          </w:p>
        </w:tc>
        <w:tc>
          <w:tcPr>
            <w:tcW w:w="1276" w:type="dxa"/>
            <w:vAlign w:val="top"/>
          </w:tcPr>
          <w:p>
            <w:pPr>
              <w:pStyle w:val="TableText"/>
              <w:ind w:left="280"/>
              <w:spacing w:before="30" w:line="204" w:lineRule="auto"/>
              <w:rPr>
                <w:sz w:val="18"/>
                <w:szCs w:val="18"/>
              </w:rPr>
            </w:pPr>
            <w:r>
              <w:rPr>
                <w:sz w:val="18"/>
                <w:szCs w:val="18"/>
                <w:spacing w:val="-2"/>
              </w:rPr>
              <w:t>评价范围</w:t>
            </w:r>
          </w:p>
        </w:tc>
        <w:tc>
          <w:tcPr>
            <w:tcW w:w="6811" w:type="dxa"/>
            <w:vAlign w:val="top"/>
            <w:gridSpan w:val="5"/>
          </w:tcPr>
          <w:p>
            <w:pPr>
              <w:pStyle w:val="TableText"/>
              <w:ind w:left="7"/>
              <w:spacing w:before="30" w:line="204" w:lineRule="auto"/>
              <w:rPr>
                <w:rFonts w:ascii="Times New Roman" w:hAnsi="Times New Roman" w:eastAsia="Times New Roman" w:cs="Times New Roman"/>
                <w:sz w:val="11"/>
                <w:szCs w:val="11"/>
              </w:rPr>
            </w:pPr>
            <w:r>
              <w:rPr>
                <w:sz w:val="18"/>
                <w:szCs w:val="18"/>
                <w:spacing w:val="-1"/>
              </w:rPr>
              <w:t>河流：长度</w:t>
            </w:r>
            <w:r>
              <w:rPr>
                <w:sz w:val="18"/>
                <w:szCs w:val="18"/>
                <w:spacing w:val="-22"/>
              </w:rPr>
              <w:t>（</w:t>
            </w:r>
            <w:r>
              <w:rPr>
                <w:sz w:val="18"/>
                <w:szCs w:val="18"/>
                <w:spacing w:val="13"/>
              </w:rPr>
              <w:t xml:space="preserve">    </w:t>
            </w:r>
            <w:r>
              <w:rPr>
                <w:sz w:val="18"/>
                <w:szCs w:val="18"/>
                <w:spacing w:val="-22"/>
              </w:rPr>
              <w:t>）</w:t>
            </w:r>
            <w:r>
              <w:rPr>
                <w:rFonts w:ascii="Times New Roman" w:hAnsi="Times New Roman" w:eastAsia="Times New Roman" w:cs="Times New Roman"/>
                <w:sz w:val="18"/>
                <w:szCs w:val="18"/>
                <w:spacing w:val="-1"/>
              </w:rPr>
              <w:t>km</w:t>
            </w:r>
            <w:r>
              <w:rPr>
                <w:sz w:val="18"/>
                <w:szCs w:val="18"/>
                <w:spacing w:val="-1"/>
              </w:rPr>
              <w:t>；湖库、河口及近岸海域：面积</w:t>
            </w:r>
            <w:r>
              <w:rPr>
                <w:sz w:val="18"/>
                <w:szCs w:val="18"/>
                <w:spacing w:val="-22"/>
              </w:rPr>
              <w:t>（</w:t>
            </w:r>
            <w:r>
              <w:rPr>
                <w:sz w:val="18"/>
                <w:szCs w:val="18"/>
                <w:spacing w:val="14"/>
              </w:rPr>
              <w:t xml:space="preserve">    </w:t>
            </w:r>
            <w:r>
              <w:rPr>
                <w:sz w:val="18"/>
                <w:szCs w:val="18"/>
                <w:spacing w:val="-22"/>
              </w:rPr>
              <w:t>）</w:t>
            </w:r>
            <w:r>
              <w:rPr>
                <w:rFonts w:ascii="Times New Roman" w:hAnsi="Times New Roman" w:eastAsia="Times New Roman" w:cs="Times New Roman"/>
                <w:sz w:val="18"/>
                <w:szCs w:val="18"/>
                <w:spacing w:val="-1"/>
              </w:rPr>
              <w:t>km</w:t>
            </w:r>
            <w:r>
              <w:rPr>
                <w:rFonts w:ascii="Times New Roman" w:hAnsi="Times New Roman" w:eastAsia="Times New Roman" w:cs="Times New Roman"/>
                <w:sz w:val="11"/>
                <w:szCs w:val="11"/>
                <w:spacing w:val="-1"/>
                <w:position w:val="5"/>
              </w:rPr>
              <w:t>2</w:t>
            </w:r>
          </w:p>
        </w:tc>
      </w:tr>
      <w:tr>
        <w:trPr>
          <w:trHeight w:val="238" w:hRule="atLeast"/>
        </w:trPr>
        <w:tc>
          <w:tcPr>
            <w:tcW w:w="430" w:type="dxa"/>
            <w:vAlign w:val="top"/>
            <w:vMerge w:val="continue"/>
            <w:tcBorders>
              <w:top w:val="nil"/>
              <w:bottom w:val="nil"/>
            </w:tcBorders>
          </w:tcPr>
          <w:p>
            <w:pPr>
              <w:rPr>
                <w:rFonts w:ascii="Arial"/>
                <w:sz w:val="21"/>
              </w:rPr>
            </w:pPr>
            <w:r/>
          </w:p>
        </w:tc>
        <w:tc>
          <w:tcPr>
            <w:tcW w:w="1276" w:type="dxa"/>
            <w:vAlign w:val="top"/>
          </w:tcPr>
          <w:p>
            <w:pPr>
              <w:pStyle w:val="TableText"/>
              <w:ind w:left="280"/>
              <w:spacing w:before="28" w:line="205" w:lineRule="auto"/>
              <w:rPr>
                <w:sz w:val="18"/>
                <w:szCs w:val="18"/>
              </w:rPr>
            </w:pPr>
            <w:r>
              <w:rPr>
                <w:sz w:val="18"/>
                <w:szCs w:val="18"/>
                <w:spacing w:val="-2"/>
              </w:rPr>
              <w:t>评价因子</w:t>
            </w:r>
          </w:p>
        </w:tc>
        <w:tc>
          <w:tcPr>
            <w:tcW w:w="6811" w:type="dxa"/>
            <w:vAlign w:val="top"/>
            <w:gridSpan w:val="5"/>
          </w:tcPr>
          <w:p>
            <w:pPr>
              <w:pStyle w:val="TableText"/>
              <w:ind w:left="102"/>
              <w:spacing w:before="28" w:line="205" w:lineRule="auto"/>
              <w:rPr>
                <w:sz w:val="18"/>
                <w:szCs w:val="18"/>
              </w:rPr>
            </w:pPr>
            <w:r>
              <w:rPr>
                <w:sz w:val="18"/>
                <w:szCs w:val="18"/>
                <w:spacing w:val="-15"/>
                <w:w w:val="95"/>
              </w:rPr>
              <w:t>(</w:t>
            </w:r>
            <w:r>
              <w:rPr>
                <w:sz w:val="18"/>
                <w:szCs w:val="18"/>
                <w:spacing w:val="8"/>
              </w:rPr>
              <w:t xml:space="preserve">      </w:t>
            </w:r>
            <w:r>
              <w:rPr>
                <w:sz w:val="18"/>
                <w:szCs w:val="18"/>
                <w:spacing w:val="-15"/>
                <w:w w:val="95"/>
              </w:rPr>
              <w:t>)</w:t>
            </w:r>
          </w:p>
        </w:tc>
      </w:tr>
      <w:tr>
        <w:trPr>
          <w:trHeight w:val="704" w:hRule="atLeast"/>
        </w:trPr>
        <w:tc>
          <w:tcPr>
            <w:tcW w:w="430" w:type="dxa"/>
            <w:vAlign w:val="top"/>
            <w:vMerge w:val="continue"/>
            <w:tcBorders>
              <w:top w:val="nil"/>
              <w:bottom w:val="nil"/>
            </w:tcBorders>
          </w:tcPr>
          <w:p>
            <w:pPr>
              <w:rPr>
                <w:rFonts w:ascii="Arial"/>
                <w:sz w:val="21"/>
              </w:rPr>
            </w:pPr>
            <w:r/>
          </w:p>
        </w:tc>
        <w:tc>
          <w:tcPr>
            <w:tcW w:w="1276" w:type="dxa"/>
            <w:vAlign w:val="top"/>
          </w:tcPr>
          <w:p>
            <w:pPr>
              <w:pStyle w:val="TableText"/>
              <w:ind w:left="280"/>
              <w:spacing w:before="262" w:line="218" w:lineRule="auto"/>
              <w:rPr>
                <w:sz w:val="18"/>
                <w:szCs w:val="18"/>
              </w:rPr>
            </w:pPr>
            <w:r>
              <w:rPr>
                <w:sz w:val="18"/>
                <w:szCs w:val="18"/>
                <w:spacing w:val="-2"/>
              </w:rPr>
              <w:t>评价标准</w:t>
            </w:r>
          </w:p>
        </w:tc>
        <w:tc>
          <w:tcPr>
            <w:tcW w:w="6811" w:type="dxa"/>
            <w:vAlign w:val="top"/>
            <w:gridSpan w:val="5"/>
          </w:tcPr>
          <w:p>
            <w:pPr>
              <w:pStyle w:val="TableText"/>
              <w:ind w:left="7"/>
              <w:spacing w:before="30" w:line="232" w:lineRule="auto"/>
              <w:rPr>
                <w:sz w:val="18"/>
                <w:szCs w:val="18"/>
              </w:rPr>
            </w:pPr>
            <w:r>
              <w:rPr>
                <w:sz w:val="18"/>
                <w:szCs w:val="18"/>
                <w:spacing w:val="-10"/>
              </w:rPr>
              <w:t>河流、湖库、河口：</w:t>
            </w:r>
            <w:r>
              <w:rPr>
                <w:rFonts w:ascii="Times New Roman" w:hAnsi="Times New Roman" w:eastAsia="Times New Roman" w:cs="Times New Roman"/>
                <w:sz w:val="18"/>
                <w:szCs w:val="18"/>
                <w:spacing w:val="-10"/>
              </w:rPr>
              <w:t>Ⅰ</w:t>
            </w:r>
            <w:r>
              <w:rPr>
                <w:sz w:val="18"/>
                <w:szCs w:val="18"/>
                <w:spacing w:val="-10"/>
              </w:rPr>
              <w:t>类</w:t>
            </w:r>
            <w:r>
              <w:rPr>
                <w:rFonts w:ascii="MS UI Gothic" w:hAnsi="MS UI Gothic" w:eastAsia="MS UI Gothic" w:cs="MS UI Gothic"/>
                <w:sz w:val="18"/>
                <w:szCs w:val="18"/>
                <w:spacing w:val="-10"/>
              </w:rPr>
              <w:t>□</w:t>
            </w:r>
            <w:r>
              <w:rPr>
                <w:sz w:val="18"/>
                <w:szCs w:val="18"/>
                <w:spacing w:val="-10"/>
              </w:rPr>
              <w:t>;</w:t>
            </w:r>
            <w:r>
              <w:rPr>
                <w:sz w:val="18"/>
                <w:szCs w:val="18"/>
                <w:spacing w:val="46"/>
              </w:rPr>
              <w:t xml:space="preserve"> </w:t>
            </w:r>
            <w:r>
              <w:rPr>
                <w:rFonts w:ascii="Times New Roman" w:hAnsi="Times New Roman" w:eastAsia="Times New Roman" w:cs="Times New Roman"/>
                <w:sz w:val="18"/>
                <w:szCs w:val="18"/>
                <w:spacing w:val="-10"/>
              </w:rPr>
              <w:t>Ⅱ</w:t>
            </w:r>
            <w:r>
              <w:rPr>
                <w:sz w:val="18"/>
                <w:szCs w:val="18"/>
                <w:spacing w:val="-10"/>
              </w:rPr>
              <w:t>类</w:t>
            </w:r>
            <w:r>
              <w:rPr>
                <w:rFonts w:ascii="MS UI Gothic" w:hAnsi="MS UI Gothic" w:eastAsia="MS UI Gothic" w:cs="MS UI Gothic"/>
                <w:sz w:val="18"/>
                <w:szCs w:val="18"/>
                <w:spacing w:val="-10"/>
              </w:rPr>
              <w:t>□</w:t>
            </w:r>
            <w:r>
              <w:rPr>
                <w:sz w:val="18"/>
                <w:szCs w:val="18"/>
                <w:spacing w:val="-10"/>
              </w:rPr>
              <w:t>;</w:t>
            </w:r>
            <w:r>
              <w:rPr>
                <w:sz w:val="18"/>
                <w:szCs w:val="18"/>
                <w:spacing w:val="46"/>
              </w:rPr>
              <w:t xml:space="preserve"> </w:t>
            </w:r>
            <w:r>
              <w:rPr>
                <w:rFonts w:ascii="Times New Roman" w:hAnsi="Times New Roman" w:eastAsia="Times New Roman" w:cs="Times New Roman"/>
                <w:sz w:val="18"/>
                <w:szCs w:val="18"/>
                <w:spacing w:val="-10"/>
              </w:rPr>
              <w:t>Ⅲ</w:t>
            </w:r>
            <w:r>
              <w:rPr>
                <w:sz w:val="18"/>
                <w:szCs w:val="18"/>
                <w:spacing w:val="-10"/>
              </w:rPr>
              <w:t>类</w:t>
            </w:r>
            <w:r>
              <w:rPr>
                <w:rFonts w:ascii="MS UI Gothic" w:hAnsi="MS UI Gothic" w:eastAsia="MS UI Gothic" w:cs="MS UI Gothic"/>
                <w:sz w:val="18"/>
                <w:szCs w:val="18"/>
                <w:spacing w:val="-10"/>
              </w:rPr>
              <w:t>□</w:t>
            </w:r>
            <w:r>
              <w:rPr>
                <w:sz w:val="18"/>
                <w:szCs w:val="18"/>
                <w:spacing w:val="-10"/>
              </w:rPr>
              <w:t>;</w:t>
            </w:r>
            <w:r>
              <w:rPr>
                <w:sz w:val="18"/>
                <w:szCs w:val="18"/>
                <w:spacing w:val="47"/>
              </w:rPr>
              <w:t xml:space="preserve"> </w:t>
            </w:r>
            <w:r>
              <w:rPr>
                <w:rFonts w:ascii="Times New Roman" w:hAnsi="Times New Roman" w:eastAsia="Times New Roman" w:cs="Times New Roman"/>
                <w:sz w:val="18"/>
                <w:szCs w:val="18"/>
                <w:spacing w:val="-10"/>
              </w:rPr>
              <w:t>Ⅳ</w:t>
            </w:r>
            <w:r>
              <w:rPr>
                <w:sz w:val="18"/>
                <w:szCs w:val="18"/>
                <w:spacing w:val="-10"/>
              </w:rPr>
              <w:t>类</w:t>
            </w:r>
            <w:r>
              <w:rPr>
                <w:rFonts w:ascii="MS UI Gothic" w:hAnsi="MS UI Gothic" w:eastAsia="MS UI Gothic" w:cs="MS UI Gothic"/>
                <w:sz w:val="18"/>
                <w:szCs w:val="18"/>
                <w:spacing w:val="-10"/>
              </w:rPr>
              <w:t>□</w:t>
            </w:r>
            <w:r>
              <w:rPr>
                <w:sz w:val="18"/>
                <w:szCs w:val="18"/>
                <w:spacing w:val="-10"/>
              </w:rPr>
              <w:t>;</w:t>
            </w:r>
            <w:r>
              <w:rPr>
                <w:sz w:val="18"/>
                <w:szCs w:val="18"/>
                <w:spacing w:val="43"/>
              </w:rPr>
              <w:t xml:space="preserve"> </w:t>
            </w:r>
            <w:r>
              <w:rPr>
                <w:rFonts w:ascii="Times New Roman" w:hAnsi="Times New Roman" w:eastAsia="Times New Roman" w:cs="Times New Roman"/>
                <w:sz w:val="18"/>
                <w:szCs w:val="18"/>
                <w:spacing w:val="-10"/>
              </w:rPr>
              <w:t>Ⅴ</w:t>
            </w:r>
            <w:r>
              <w:rPr>
                <w:sz w:val="18"/>
                <w:szCs w:val="18"/>
                <w:spacing w:val="-10"/>
              </w:rPr>
              <w:t>类</w:t>
            </w:r>
            <w:r>
              <w:rPr>
                <w:rFonts w:ascii="MS UI Gothic" w:hAnsi="MS UI Gothic" w:eastAsia="MS UI Gothic" w:cs="MS UI Gothic"/>
                <w:sz w:val="18"/>
                <w:szCs w:val="18"/>
                <w:spacing w:val="-10"/>
              </w:rPr>
              <w:t>□</w:t>
            </w:r>
            <w:r>
              <w:rPr>
                <w:sz w:val="18"/>
                <w:szCs w:val="18"/>
                <w:spacing w:val="-10"/>
              </w:rPr>
              <w:t>;</w:t>
            </w:r>
          </w:p>
          <w:p>
            <w:pPr>
              <w:pStyle w:val="TableText"/>
              <w:ind w:left="8" w:right="2564" w:hanging="1"/>
              <w:spacing w:before="6" w:line="221" w:lineRule="auto"/>
              <w:rPr>
                <w:sz w:val="18"/>
                <w:szCs w:val="18"/>
              </w:rPr>
            </w:pPr>
            <w:r>
              <w:rPr>
                <w:sz w:val="18"/>
                <w:szCs w:val="18"/>
                <w:spacing w:val="-4"/>
              </w:rPr>
              <w:t>近岸海域：第一类</w:t>
            </w:r>
            <w:r>
              <w:rPr>
                <w:rFonts w:ascii="MS UI Gothic" w:hAnsi="MS UI Gothic" w:eastAsia="MS UI Gothic" w:cs="MS UI Gothic"/>
                <w:sz w:val="18"/>
                <w:szCs w:val="18"/>
                <w:spacing w:val="-4"/>
              </w:rPr>
              <w:t>□</w:t>
            </w:r>
            <w:r>
              <w:rPr>
                <w:sz w:val="18"/>
                <w:szCs w:val="18"/>
                <w:spacing w:val="-4"/>
              </w:rPr>
              <w:t>；第二类</w:t>
            </w:r>
            <w:r>
              <w:rPr>
                <w:rFonts w:ascii="MS UI Gothic" w:hAnsi="MS UI Gothic" w:eastAsia="MS UI Gothic" w:cs="MS UI Gothic"/>
                <w:sz w:val="18"/>
                <w:szCs w:val="18"/>
                <w:spacing w:val="-4"/>
              </w:rPr>
              <w:t>□</w:t>
            </w:r>
            <w:r>
              <w:rPr>
                <w:sz w:val="18"/>
                <w:szCs w:val="18"/>
                <w:spacing w:val="-4"/>
              </w:rPr>
              <w:t>；第三类</w:t>
            </w:r>
            <w:r>
              <w:rPr>
                <w:rFonts w:ascii="MS UI Gothic" w:hAnsi="MS UI Gothic" w:eastAsia="MS UI Gothic" w:cs="MS UI Gothic"/>
                <w:sz w:val="18"/>
                <w:szCs w:val="18"/>
                <w:spacing w:val="-4"/>
              </w:rPr>
              <w:t>□</w:t>
            </w:r>
            <w:r>
              <w:rPr>
                <w:sz w:val="18"/>
                <w:szCs w:val="18"/>
                <w:spacing w:val="-4"/>
              </w:rPr>
              <w:t>；第四类</w:t>
            </w:r>
            <w:r>
              <w:rPr>
                <w:rFonts w:ascii="MS UI Gothic" w:hAnsi="MS UI Gothic" w:eastAsia="MS UI Gothic" w:cs="MS UI Gothic"/>
                <w:sz w:val="18"/>
                <w:szCs w:val="18"/>
                <w:spacing w:val="-4"/>
              </w:rPr>
              <w:t>□</w:t>
            </w:r>
            <w:r>
              <w:rPr>
                <w:rFonts w:ascii="MS UI Gothic" w:hAnsi="MS UI Gothic" w:eastAsia="MS UI Gothic" w:cs="MS UI Gothic"/>
                <w:sz w:val="18"/>
                <w:szCs w:val="18"/>
                <w:spacing w:val="9"/>
              </w:rPr>
              <w:t xml:space="preserve"> </w:t>
            </w:r>
            <w:r>
              <w:rPr>
                <w:sz w:val="18"/>
                <w:szCs w:val="18"/>
                <w:spacing w:val="-6"/>
              </w:rPr>
              <w:t>规划年评价标准</w:t>
            </w:r>
            <w:r>
              <w:rPr>
                <w:sz w:val="18"/>
                <w:szCs w:val="18"/>
                <w:spacing w:val="19"/>
              </w:rPr>
              <w:t xml:space="preserve"> </w:t>
            </w:r>
            <w:r>
              <w:rPr>
                <w:sz w:val="18"/>
                <w:szCs w:val="18"/>
                <w:spacing w:val="-6"/>
              </w:rPr>
              <w:t>(</w:t>
            </w:r>
            <w:r>
              <w:rPr>
                <w:sz w:val="18"/>
                <w:szCs w:val="18"/>
                <w:spacing w:val="26"/>
              </w:rPr>
              <w:t xml:space="preserve">  </w:t>
            </w:r>
            <w:r>
              <w:rPr>
                <w:sz w:val="18"/>
                <w:szCs w:val="18"/>
                <w:spacing w:val="-6"/>
              </w:rPr>
              <w:t>)</w:t>
            </w:r>
          </w:p>
        </w:tc>
      </w:tr>
      <w:tr>
        <w:trPr>
          <w:trHeight w:val="472" w:hRule="atLeast"/>
        </w:trPr>
        <w:tc>
          <w:tcPr>
            <w:tcW w:w="430" w:type="dxa"/>
            <w:vAlign w:val="top"/>
            <w:vMerge w:val="continue"/>
            <w:tcBorders>
              <w:top w:val="nil"/>
              <w:bottom w:val="nil"/>
            </w:tcBorders>
          </w:tcPr>
          <w:p>
            <w:pPr>
              <w:rPr>
                <w:rFonts w:ascii="Arial"/>
                <w:sz w:val="21"/>
              </w:rPr>
            </w:pPr>
            <w:r/>
          </w:p>
        </w:tc>
        <w:tc>
          <w:tcPr>
            <w:tcW w:w="1276" w:type="dxa"/>
            <w:vAlign w:val="top"/>
          </w:tcPr>
          <w:p>
            <w:pPr>
              <w:pStyle w:val="TableText"/>
              <w:ind w:left="280"/>
              <w:spacing w:before="146" w:line="218" w:lineRule="auto"/>
              <w:rPr>
                <w:sz w:val="18"/>
                <w:szCs w:val="18"/>
              </w:rPr>
            </w:pPr>
            <w:r>
              <w:rPr>
                <w:sz w:val="18"/>
                <w:szCs w:val="18"/>
                <w:spacing w:val="-2"/>
              </w:rPr>
              <w:t>评价时期</w:t>
            </w:r>
          </w:p>
        </w:tc>
        <w:tc>
          <w:tcPr>
            <w:tcW w:w="6811" w:type="dxa"/>
            <w:vAlign w:val="top"/>
            <w:gridSpan w:val="5"/>
          </w:tcPr>
          <w:p>
            <w:pPr>
              <w:pStyle w:val="TableText"/>
              <w:ind w:left="7" w:right="3416" w:firstLine="1"/>
              <w:spacing w:before="31" w:line="221" w:lineRule="auto"/>
              <w:rPr>
                <w:rFonts w:ascii="MS UI Gothic" w:hAnsi="MS UI Gothic" w:eastAsia="MS UI Gothic" w:cs="MS UI Gothic"/>
                <w:sz w:val="18"/>
                <w:szCs w:val="18"/>
              </w:rPr>
            </w:pPr>
            <w:r>
              <w:rPr>
                <w:sz w:val="18"/>
                <w:szCs w:val="18"/>
                <w:spacing w:val="-7"/>
              </w:rPr>
              <w:t>丰水期</w:t>
            </w:r>
            <w:r>
              <w:rPr>
                <w:rFonts w:ascii="MS UI Gothic" w:hAnsi="MS UI Gothic" w:eastAsia="MS UI Gothic" w:cs="MS UI Gothic"/>
                <w:sz w:val="18"/>
                <w:szCs w:val="18"/>
                <w:spacing w:val="-7"/>
              </w:rPr>
              <w:t>□</w:t>
            </w:r>
            <w:r>
              <w:rPr>
                <w:sz w:val="18"/>
                <w:szCs w:val="18"/>
                <w:spacing w:val="-7"/>
              </w:rPr>
              <w:t>；平水期</w:t>
            </w:r>
            <w:r>
              <w:rPr>
                <w:rFonts w:ascii="MS UI Gothic" w:hAnsi="MS UI Gothic" w:eastAsia="MS UI Gothic" w:cs="MS UI Gothic"/>
                <w:sz w:val="18"/>
                <w:szCs w:val="18"/>
                <w:spacing w:val="-7"/>
              </w:rPr>
              <w:t>□</w:t>
            </w:r>
            <w:r>
              <w:rPr>
                <w:sz w:val="18"/>
                <w:szCs w:val="18"/>
                <w:spacing w:val="-7"/>
              </w:rPr>
              <w:t>；枯水期</w:t>
            </w:r>
            <w:r>
              <w:rPr>
                <w:rFonts w:ascii="MS UI Gothic" w:hAnsi="MS UI Gothic" w:eastAsia="MS UI Gothic" w:cs="MS UI Gothic"/>
                <w:sz w:val="18"/>
                <w:szCs w:val="18"/>
                <w:spacing w:val="-7"/>
              </w:rPr>
              <w:t>□</w:t>
            </w:r>
            <w:r>
              <w:rPr>
                <w:sz w:val="18"/>
                <w:szCs w:val="18"/>
                <w:spacing w:val="-7"/>
              </w:rPr>
              <w:t>；冰封期</w:t>
            </w:r>
            <w:r>
              <w:rPr>
                <w:rFonts w:ascii="MS UI Gothic" w:hAnsi="MS UI Gothic" w:eastAsia="MS UI Gothic" w:cs="MS UI Gothic"/>
                <w:sz w:val="18"/>
                <w:szCs w:val="18"/>
                <w:spacing w:val="-7"/>
              </w:rPr>
              <w:t>□</w:t>
            </w:r>
            <w:r>
              <w:rPr>
                <w:sz w:val="18"/>
                <w:szCs w:val="18"/>
                <w:spacing w:val="-7"/>
              </w:rPr>
              <w:t>;</w:t>
            </w:r>
            <w:r>
              <w:rPr>
                <w:sz w:val="18"/>
                <w:szCs w:val="18"/>
                <w:spacing w:val="9"/>
              </w:rPr>
              <w:t xml:space="preserve"> </w:t>
            </w:r>
            <w:r>
              <w:rPr>
                <w:sz w:val="18"/>
                <w:szCs w:val="18"/>
                <w:spacing w:val="-5"/>
              </w:rPr>
              <w:t>春季</w:t>
            </w:r>
            <w:r>
              <w:rPr>
                <w:rFonts w:ascii="MS UI Gothic" w:hAnsi="MS UI Gothic" w:eastAsia="MS UI Gothic" w:cs="MS UI Gothic"/>
                <w:sz w:val="18"/>
                <w:szCs w:val="18"/>
                <w:spacing w:val="-5"/>
              </w:rPr>
              <w:t>□</w:t>
            </w:r>
            <w:r>
              <w:rPr>
                <w:sz w:val="18"/>
                <w:szCs w:val="18"/>
                <w:spacing w:val="-5"/>
              </w:rPr>
              <w:t>；夏季</w:t>
            </w:r>
            <w:r>
              <w:rPr>
                <w:rFonts w:ascii="MS UI Gothic" w:hAnsi="MS UI Gothic" w:eastAsia="MS UI Gothic" w:cs="MS UI Gothic"/>
                <w:sz w:val="18"/>
                <w:szCs w:val="18"/>
                <w:spacing w:val="-5"/>
              </w:rPr>
              <w:t>□</w:t>
            </w:r>
            <w:r>
              <w:rPr>
                <w:sz w:val="18"/>
                <w:szCs w:val="18"/>
                <w:spacing w:val="-5"/>
              </w:rPr>
              <w:t>；秋季</w:t>
            </w:r>
            <w:r>
              <w:rPr>
                <w:rFonts w:ascii="MS UI Gothic" w:hAnsi="MS UI Gothic" w:eastAsia="MS UI Gothic" w:cs="MS UI Gothic"/>
                <w:sz w:val="18"/>
                <w:szCs w:val="18"/>
                <w:spacing w:val="-5"/>
              </w:rPr>
              <w:t>□</w:t>
            </w:r>
            <w:r>
              <w:rPr>
                <w:sz w:val="18"/>
                <w:szCs w:val="18"/>
                <w:spacing w:val="-5"/>
              </w:rPr>
              <w:t>；冬季</w:t>
            </w:r>
            <w:r>
              <w:rPr>
                <w:rFonts w:ascii="MS UI Gothic" w:hAnsi="MS UI Gothic" w:eastAsia="MS UI Gothic" w:cs="MS UI Gothic"/>
                <w:sz w:val="18"/>
                <w:szCs w:val="18"/>
                <w:spacing w:val="-5"/>
              </w:rPr>
              <w:t>□</w:t>
            </w:r>
          </w:p>
        </w:tc>
      </w:tr>
      <w:tr>
        <w:trPr>
          <w:trHeight w:val="2572" w:hRule="atLeast"/>
        </w:trPr>
        <w:tc>
          <w:tcPr>
            <w:tcW w:w="430" w:type="dxa"/>
            <w:vAlign w:val="top"/>
            <w:vMerge w:val="continue"/>
            <w:tcBorders>
              <w:top w:val="nil"/>
            </w:tcBorders>
          </w:tcPr>
          <w:p>
            <w:pPr>
              <w:rPr>
                <w:rFonts w:ascii="Arial"/>
                <w:sz w:val="21"/>
              </w:rPr>
            </w:pPr>
            <w:r/>
          </w:p>
        </w:tc>
        <w:tc>
          <w:tcPr>
            <w:tcW w:w="1276" w:type="dxa"/>
            <w:vAlign w:val="top"/>
          </w:tcPr>
          <w:p>
            <w:pPr>
              <w:spacing w:line="282" w:lineRule="auto"/>
              <w:rPr>
                <w:rFonts w:ascii="Arial"/>
                <w:sz w:val="21"/>
              </w:rPr>
            </w:pPr>
            <w:r/>
          </w:p>
          <w:p>
            <w:pPr>
              <w:spacing w:line="282" w:lineRule="auto"/>
              <w:rPr>
                <w:rFonts w:ascii="Arial"/>
                <w:sz w:val="21"/>
              </w:rPr>
            </w:pPr>
            <w:r/>
          </w:p>
          <w:p>
            <w:pPr>
              <w:spacing w:line="283" w:lineRule="auto"/>
              <w:rPr>
                <w:rFonts w:ascii="Arial"/>
                <w:sz w:val="21"/>
              </w:rPr>
            </w:pPr>
            <w:r/>
          </w:p>
          <w:p>
            <w:pPr>
              <w:spacing w:line="283" w:lineRule="auto"/>
              <w:rPr>
                <w:rFonts w:ascii="Arial"/>
                <w:sz w:val="21"/>
              </w:rPr>
            </w:pPr>
            <w:r/>
          </w:p>
          <w:p>
            <w:pPr>
              <w:pStyle w:val="TableText"/>
              <w:ind w:left="280"/>
              <w:spacing w:before="59" w:line="218" w:lineRule="auto"/>
              <w:rPr>
                <w:sz w:val="18"/>
                <w:szCs w:val="18"/>
              </w:rPr>
            </w:pPr>
            <w:r>
              <w:rPr>
                <w:sz w:val="18"/>
                <w:szCs w:val="18"/>
                <w:spacing w:val="-2"/>
              </w:rPr>
              <w:t>评价结论</w:t>
            </w:r>
          </w:p>
        </w:tc>
        <w:tc>
          <w:tcPr>
            <w:tcW w:w="5670" w:type="dxa"/>
            <w:vAlign w:val="top"/>
            <w:gridSpan w:val="4"/>
          </w:tcPr>
          <w:p>
            <w:pPr>
              <w:pStyle w:val="TableText"/>
              <w:ind w:left="10" w:right="55"/>
              <w:spacing w:before="31" w:line="239" w:lineRule="auto"/>
              <w:rPr>
                <w:rFonts w:ascii="MS UI Gothic" w:hAnsi="MS UI Gothic" w:eastAsia="MS UI Gothic" w:cs="MS UI Gothic"/>
                <w:sz w:val="18"/>
                <w:szCs w:val="18"/>
              </w:rPr>
            </w:pPr>
            <w:r>
              <w:rPr>
                <w:sz w:val="18"/>
                <w:szCs w:val="18"/>
                <w:spacing w:val="-2"/>
              </w:rPr>
              <w:t>水环境功能区或水功能区、近岸海域环境功能区水质达</w:t>
            </w:r>
            <w:r>
              <w:rPr>
                <w:sz w:val="18"/>
                <w:szCs w:val="18"/>
                <w:spacing w:val="-3"/>
              </w:rPr>
              <w:t>标状况：达标</w:t>
            </w:r>
            <w:r>
              <w:rPr>
                <w:rFonts w:ascii="MS UI Gothic" w:hAnsi="MS UI Gothic" w:eastAsia="MS UI Gothic" w:cs="MS UI Gothic"/>
                <w:sz w:val="18"/>
                <w:szCs w:val="18"/>
                <w:spacing w:val="-3"/>
              </w:rPr>
              <w:t>□</w:t>
            </w:r>
            <w:r>
              <w:rPr>
                <w:sz w:val="18"/>
                <w:szCs w:val="18"/>
                <w:spacing w:val="-3"/>
              </w:rPr>
              <w:t>;</w:t>
            </w:r>
            <w:r>
              <w:rPr>
                <w:sz w:val="18"/>
                <w:szCs w:val="18"/>
              </w:rPr>
              <w:t xml:space="preserve"> </w:t>
            </w:r>
            <w:r>
              <w:rPr>
                <w:sz w:val="18"/>
                <w:szCs w:val="18"/>
                <w:spacing w:val="-3"/>
              </w:rPr>
              <w:t>不达标</w:t>
            </w:r>
            <w:r>
              <w:rPr>
                <w:rFonts w:ascii="MS UI Gothic" w:hAnsi="MS UI Gothic" w:eastAsia="MS UI Gothic" w:cs="MS UI Gothic"/>
                <w:sz w:val="18"/>
                <w:szCs w:val="18"/>
                <w:spacing w:val="-3"/>
              </w:rPr>
              <w:t>□</w:t>
            </w:r>
          </w:p>
          <w:p>
            <w:pPr>
              <w:pStyle w:val="TableText"/>
              <w:ind w:left="10"/>
              <w:spacing w:line="229" w:lineRule="auto"/>
              <w:rPr>
                <w:rFonts w:ascii="MS UI Gothic" w:hAnsi="MS UI Gothic" w:eastAsia="MS UI Gothic" w:cs="MS UI Gothic"/>
                <w:sz w:val="18"/>
                <w:szCs w:val="18"/>
              </w:rPr>
            </w:pPr>
            <w:r>
              <w:rPr>
                <w:sz w:val="18"/>
                <w:szCs w:val="18"/>
                <w:spacing w:val="-2"/>
              </w:rPr>
              <w:t>水环境控制单元或断面水质达标状况</w:t>
            </w:r>
            <w:r>
              <w:rPr>
                <w:rFonts w:ascii="MS UI Gothic" w:hAnsi="MS UI Gothic" w:eastAsia="MS UI Gothic" w:cs="MS UI Gothic"/>
                <w:sz w:val="18"/>
                <w:szCs w:val="18"/>
                <w:spacing w:val="-2"/>
              </w:rPr>
              <w:t>□</w:t>
            </w:r>
            <w:r>
              <w:rPr>
                <w:sz w:val="18"/>
                <w:szCs w:val="18"/>
                <w:spacing w:val="-2"/>
              </w:rPr>
              <w:t>：达标</w:t>
            </w:r>
            <w:r>
              <w:rPr>
                <w:rFonts w:ascii="MS UI Gothic" w:hAnsi="MS UI Gothic" w:eastAsia="MS UI Gothic" w:cs="MS UI Gothic"/>
                <w:sz w:val="18"/>
                <w:szCs w:val="18"/>
                <w:spacing w:val="-2"/>
              </w:rPr>
              <w:t>□</w:t>
            </w:r>
            <w:r>
              <w:rPr>
                <w:sz w:val="18"/>
                <w:szCs w:val="18"/>
                <w:spacing w:val="-2"/>
              </w:rPr>
              <w:t>；不达标</w:t>
            </w:r>
            <w:r>
              <w:rPr>
                <w:rFonts w:ascii="MS UI Gothic" w:hAnsi="MS UI Gothic" w:eastAsia="MS UI Gothic" w:cs="MS UI Gothic"/>
                <w:sz w:val="18"/>
                <w:szCs w:val="18"/>
                <w:spacing w:val="-2"/>
              </w:rPr>
              <w:t>□</w:t>
            </w:r>
          </w:p>
          <w:p>
            <w:pPr>
              <w:pStyle w:val="TableText"/>
              <w:ind w:left="10"/>
              <w:spacing w:before="8" w:line="232" w:lineRule="auto"/>
              <w:rPr>
                <w:rFonts w:ascii="MS UI Gothic" w:hAnsi="MS UI Gothic" w:eastAsia="MS UI Gothic" w:cs="MS UI Gothic"/>
                <w:sz w:val="18"/>
                <w:szCs w:val="18"/>
              </w:rPr>
            </w:pPr>
            <w:r>
              <w:rPr>
                <w:sz w:val="18"/>
                <w:szCs w:val="18"/>
                <w:spacing w:val="-3"/>
              </w:rPr>
              <w:t>水环境保护目标质量状况</w:t>
            </w:r>
            <w:r>
              <w:rPr>
                <w:rFonts w:ascii="MS UI Gothic" w:hAnsi="MS UI Gothic" w:eastAsia="MS UI Gothic" w:cs="MS UI Gothic"/>
                <w:sz w:val="18"/>
                <w:szCs w:val="18"/>
                <w:spacing w:val="-3"/>
              </w:rPr>
              <w:t>□</w:t>
            </w:r>
            <w:r>
              <w:rPr>
                <w:sz w:val="18"/>
                <w:szCs w:val="18"/>
                <w:spacing w:val="-3"/>
              </w:rPr>
              <w:t>：达标</w:t>
            </w:r>
            <w:r>
              <w:rPr>
                <w:rFonts w:ascii="MS UI Gothic" w:hAnsi="MS UI Gothic" w:eastAsia="MS UI Gothic" w:cs="MS UI Gothic"/>
                <w:sz w:val="18"/>
                <w:szCs w:val="18"/>
                <w:spacing w:val="-3"/>
              </w:rPr>
              <w:t>□</w:t>
            </w:r>
            <w:r>
              <w:rPr>
                <w:sz w:val="18"/>
                <w:szCs w:val="18"/>
                <w:spacing w:val="-3"/>
              </w:rPr>
              <w:t>；不达标</w:t>
            </w:r>
            <w:r>
              <w:rPr>
                <w:rFonts w:ascii="MS UI Gothic" w:hAnsi="MS UI Gothic" w:eastAsia="MS UI Gothic" w:cs="MS UI Gothic"/>
                <w:sz w:val="18"/>
                <w:szCs w:val="18"/>
                <w:spacing w:val="-3"/>
              </w:rPr>
              <w:t>□</w:t>
            </w:r>
          </w:p>
          <w:p>
            <w:pPr>
              <w:pStyle w:val="TableText"/>
              <w:ind w:left="7" w:right="324"/>
              <w:spacing w:before="6"/>
              <w:rPr>
                <w:rFonts w:ascii="MS UI Gothic" w:hAnsi="MS UI Gothic" w:eastAsia="MS UI Gothic" w:cs="MS UI Gothic"/>
                <w:sz w:val="18"/>
                <w:szCs w:val="18"/>
              </w:rPr>
            </w:pPr>
            <w:r>
              <w:rPr>
                <w:sz w:val="18"/>
                <w:szCs w:val="18"/>
                <w:spacing w:val="-2"/>
              </w:rPr>
              <w:t>对照断面、控制断面等代表性断面的水质状况</w:t>
            </w:r>
            <w:r>
              <w:rPr>
                <w:rFonts w:ascii="MS UI Gothic" w:hAnsi="MS UI Gothic" w:eastAsia="MS UI Gothic" w:cs="MS UI Gothic"/>
                <w:sz w:val="18"/>
                <w:szCs w:val="18"/>
                <w:spacing w:val="-2"/>
              </w:rPr>
              <w:t>□</w:t>
            </w:r>
            <w:r>
              <w:rPr>
                <w:sz w:val="18"/>
                <w:szCs w:val="18"/>
                <w:spacing w:val="-2"/>
              </w:rPr>
              <w:t>：</w:t>
            </w:r>
            <w:r>
              <w:rPr>
                <w:sz w:val="18"/>
                <w:szCs w:val="18"/>
                <w:spacing w:val="-3"/>
              </w:rPr>
              <w:t>达标</w:t>
            </w:r>
            <w:r>
              <w:rPr>
                <w:rFonts w:ascii="MS UI Gothic" w:hAnsi="MS UI Gothic" w:eastAsia="MS UI Gothic" w:cs="MS UI Gothic"/>
                <w:sz w:val="18"/>
                <w:szCs w:val="18"/>
                <w:spacing w:val="-3"/>
              </w:rPr>
              <w:t>□</w:t>
            </w:r>
            <w:r>
              <w:rPr>
                <w:sz w:val="18"/>
                <w:szCs w:val="18"/>
                <w:spacing w:val="-3"/>
              </w:rPr>
              <w:t>；不达标</w:t>
            </w:r>
            <w:r>
              <w:rPr>
                <w:rFonts w:ascii="MS UI Gothic" w:hAnsi="MS UI Gothic" w:eastAsia="MS UI Gothic" w:cs="MS UI Gothic"/>
                <w:sz w:val="18"/>
                <w:szCs w:val="18"/>
                <w:spacing w:val="-3"/>
              </w:rPr>
              <w:t>□</w:t>
            </w:r>
            <w:r>
              <w:rPr>
                <w:rFonts w:ascii="MS UI Gothic" w:hAnsi="MS UI Gothic" w:eastAsia="MS UI Gothic" w:cs="MS UI Gothic"/>
                <w:sz w:val="18"/>
                <w:szCs w:val="18"/>
              </w:rPr>
              <w:t xml:space="preserve"> </w:t>
            </w:r>
            <w:r>
              <w:rPr>
                <w:sz w:val="18"/>
                <w:szCs w:val="18"/>
                <w:spacing w:val="-1"/>
              </w:rPr>
              <w:t>底泥污染评价</w:t>
            </w:r>
            <w:r>
              <w:rPr>
                <w:rFonts w:ascii="MS UI Gothic" w:hAnsi="MS UI Gothic" w:eastAsia="MS UI Gothic" w:cs="MS UI Gothic"/>
                <w:sz w:val="18"/>
                <w:szCs w:val="18"/>
                <w:spacing w:val="-1"/>
              </w:rPr>
              <w:t>□</w:t>
            </w:r>
          </w:p>
          <w:p>
            <w:pPr>
              <w:pStyle w:val="TableText"/>
              <w:ind w:left="10"/>
              <w:spacing w:before="1" w:line="230" w:lineRule="auto"/>
              <w:rPr>
                <w:rFonts w:ascii="MS UI Gothic" w:hAnsi="MS UI Gothic" w:eastAsia="MS UI Gothic" w:cs="MS UI Gothic"/>
                <w:sz w:val="18"/>
                <w:szCs w:val="18"/>
              </w:rPr>
            </w:pPr>
            <w:r>
              <w:rPr>
                <w:sz w:val="18"/>
                <w:szCs w:val="18"/>
                <w:spacing w:val="-1"/>
              </w:rPr>
              <w:t>水资源与开发利用程度及其水文情势评价</w:t>
            </w:r>
            <w:r>
              <w:rPr>
                <w:rFonts w:ascii="MS UI Gothic" w:hAnsi="MS UI Gothic" w:eastAsia="MS UI Gothic" w:cs="MS UI Gothic"/>
                <w:sz w:val="18"/>
                <w:szCs w:val="18"/>
                <w:spacing w:val="-1"/>
              </w:rPr>
              <w:t>□</w:t>
            </w:r>
          </w:p>
          <w:p>
            <w:pPr>
              <w:pStyle w:val="TableText"/>
              <w:ind w:left="10"/>
              <w:spacing w:before="8" w:line="231" w:lineRule="auto"/>
              <w:rPr>
                <w:rFonts w:ascii="MS UI Gothic" w:hAnsi="MS UI Gothic" w:eastAsia="MS UI Gothic" w:cs="MS UI Gothic"/>
                <w:sz w:val="18"/>
                <w:szCs w:val="18"/>
              </w:rPr>
            </w:pPr>
            <w:r>
              <w:rPr>
                <w:sz w:val="18"/>
                <w:szCs w:val="18"/>
                <w:spacing w:val="-1"/>
              </w:rPr>
              <w:t>水环境质量回顾评价</w:t>
            </w:r>
            <w:r>
              <w:rPr>
                <w:rFonts w:ascii="MS UI Gothic" w:hAnsi="MS UI Gothic" w:eastAsia="MS UI Gothic" w:cs="MS UI Gothic"/>
                <w:sz w:val="18"/>
                <w:szCs w:val="18"/>
                <w:spacing w:val="-1"/>
              </w:rPr>
              <w:t>□</w:t>
            </w:r>
          </w:p>
          <w:p>
            <w:pPr>
              <w:pStyle w:val="TableText"/>
              <w:ind w:left="8" w:right="84"/>
              <w:spacing w:before="9" w:line="227" w:lineRule="auto"/>
              <w:rPr>
                <w:rFonts w:ascii="MS UI Gothic" w:hAnsi="MS UI Gothic" w:eastAsia="MS UI Gothic" w:cs="MS UI Gothic"/>
                <w:sz w:val="18"/>
                <w:szCs w:val="18"/>
              </w:rPr>
            </w:pPr>
            <w:r>
              <w:rPr>
                <w:sz w:val="18"/>
                <w:szCs w:val="18"/>
              </w:rPr>
              <w:t>流域（区域）水资源（包括水能资源）与开发利用</w:t>
            </w:r>
            <w:r>
              <w:rPr>
                <w:sz w:val="18"/>
                <w:szCs w:val="18"/>
                <w:spacing w:val="-1"/>
              </w:rPr>
              <w:t>总体状况、生态流量</w:t>
            </w:r>
            <w:r>
              <w:rPr>
                <w:sz w:val="18"/>
                <w:szCs w:val="18"/>
              </w:rPr>
              <w:t xml:space="preserve"> </w:t>
            </w:r>
            <w:r>
              <w:rPr>
                <w:sz w:val="18"/>
                <w:szCs w:val="18"/>
              </w:rPr>
              <w:t>管理要求与现状满足程度、建设项目占用水域空间</w:t>
            </w:r>
            <w:r>
              <w:rPr>
                <w:sz w:val="18"/>
                <w:szCs w:val="18"/>
                <w:spacing w:val="-1"/>
              </w:rPr>
              <w:t>的水流状况与河湖演</w:t>
            </w:r>
            <w:r>
              <w:rPr>
                <w:sz w:val="18"/>
                <w:szCs w:val="18"/>
              </w:rPr>
              <w:t xml:space="preserve"> </w:t>
            </w:r>
            <w:r>
              <w:rPr>
                <w:sz w:val="18"/>
                <w:szCs w:val="18"/>
                <w:spacing w:val="-2"/>
              </w:rPr>
              <w:t>变状况</w:t>
            </w:r>
            <w:r>
              <w:rPr>
                <w:rFonts w:ascii="MS UI Gothic" w:hAnsi="MS UI Gothic" w:eastAsia="MS UI Gothic" w:cs="MS UI Gothic"/>
                <w:sz w:val="18"/>
                <w:szCs w:val="18"/>
                <w:spacing w:val="-2"/>
              </w:rPr>
              <w:t>□</w:t>
            </w:r>
          </w:p>
        </w:tc>
        <w:tc>
          <w:tcPr>
            <w:tcW w:w="1141" w:type="dxa"/>
            <w:vAlign w:val="top"/>
          </w:tcPr>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pStyle w:val="TableText"/>
              <w:ind w:left="10"/>
              <w:spacing w:before="58" w:line="233" w:lineRule="auto"/>
              <w:rPr>
                <w:rFonts w:ascii="MS UI Gothic" w:hAnsi="MS UI Gothic" w:eastAsia="MS UI Gothic" w:cs="MS UI Gothic"/>
                <w:sz w:val="18"/>
                <w:szCs w:val="18"/>
              </w:rPr>
            </w:pPr>
            <w:r>
              <w:rPr>
                <w:sz w:val="18"/>
                <w:szCs w:val="18"/>
                <w:spacing w:val="-2"/>
              </w:rPr>
              <w:t>达标区</w:t>
            </w:r>
            <w:r>
              <w:rPr>
                <w:rFonts w:ascii="MS UI Gothic" w:hAnsi="MS UI Gothic" w:eastAsia="MS UI Gothic" w:cs="MS UI Gothic"/>
                <w:sz w:val="18"/>
                <w:szCs w:val="18"/>
                <w:spacing w:val="-2"/>
              </w:rPr>
              <w:t>□</w:t>
            </w:r>
          </w:p>
          <w:p>
            <w:pPr>
              <w:pStyle w:val="TableText"/>
              <w:ind w:left="14"/>
              <w:spacing w:before="5" w:line="233" w:lineRule="auto"/>
              <w:rPr>
                <w:rFonts w:ascii="MS UI Gothic" w:hAnsi="MS UI Gothic" w:eastAsia="MS UI Gothic" w:cs="MS UI Gothic"/>
                <w:sz w:val="18"/>
                <w:szCs w:val="18"/>
              </w:rPr>
            </w:pPr>
            <w:r>
              <w:rPr>
                <w:sz w:val="18"/>
                <w:szCs w:val="18"/>
                <w:spacing w:val="-2"/>
              </w:rPr>
              <w:t>不达标区</w:t>
            </w:r>
            <w:r>
              <w:rPr>
                <w:rFonts w:ascii="MS UI Gothic" w:hAnsi="MS UI Gothic" w:eastAsia="MS UI Gothic" w:cs="MS UI Gothic"/>
                <w:sz w:val="18"/>
                <w:szCs w:val="18"/>
                <w:spacing w:val="-2"/>
              </w:rPr>
              <w:t>□</w:t>
            </w:r>
          </w:p>
        </w:tc>
      </w:tr>
      <w:tr>
        <w:trPr>
          <w:trHeight w:val="239" w:hRule="atLeast"/>
        </w:trPr>
        <w:tc>
          <w:tcPr>
            <w:tcW w:w="430" w:type="dxa"/>
            <w:vAlign w:val="top"/>
            <w:vMerge w:val="restart"/>
            <w:tcBorders>
              <w:bottom w:val="nil"/>
            </w:tcBorders>
          </w:tcPr>
          <w:p>
            <w:pPr>
              <w:spacing w:line="332" w:lineRule="auto"/>
              <w:rPr>
                <w:rFonts w:ascii="Arial"/>
                <w:sz w:val="21"/>
              </w:rPr>
            </w:pPr>
            <w:r/>
          </w:p>
          <w:p>
            <w:pPr>
              <w:pStyle w:val="TableText"/>
              <w:ind w:left="38"/>
              <w:spacing w:before="59" w:line="221" w:lineRule="auto"/>
              <w:rPr>
                <w:sz w:val="18"/>
                <w:szCs w:val="18"/>
              </w:rPr>
            </w:pPr>
            <w:r>
              <w:rPr>
                <w:sz w:val="18"/>
                <w:szCs w:val="18"/>
                <w:spacing w:val="-4"/>
              </w:rPr>
              <w:t>影响</w:t>
            </w:r>
          </w:p>
          <w:p>
            <w:pPr>
              <w:pStyle w:val="TableText"/>
              <w:ind w:left="40"/>
              <w:spacing w:before="16" w:line="220" w:lineRule="auto"/>
              <w:rPr>
                <w:sz w:val="18"/>
                <w:szCs w:val="18"/>
              </w:rPr>
            </w:pPr>
            <w:r>
              <w:rPr>
                <w:sz w:val="18"/>
                <w:szCs w:val="18"/>
                <w:spacing w:val="-5"/>
              </w:rPr>
              <w:t>预测</w:t>
            </w:r>
          </w:p>
        </w:tc>
        <w:tc>
          <w:tcPr>
            <w:tcW w:w="1276" w:type="dxa"/>
            <w:vAlign w:val="top"/>
          </w:tcPr>
          <w:p>
            <w:pPr>
              <w:pStyle w:val="TableText"/>
              <w:ind w:left="282"/>
              <w:spacing w:before="33" w:line="201" w:lineRule="auto"/>
              <w:rPr>
                <w:sz w:val="18"/>
                <w:szCs w:val="18"/>
              </w:rPr>
            </w:pPr>
            <w:r>
              <w:rPr>
                <w:sz w:val="18"/>
                <w:szCs w:val="18"/>
                <w:spacing w:val="-3"/>
              </w:rPr>
              <w:t>预测范围</w:t>
            </w:r>
          </w:p>
        </w:tc>
        <w:tc>
          <w:tcPr>
            <w:tcW w:w="6811" w:type="dxa"/>
            <w:vAlign w:val="top"/>
            <w:gridSpan w:val="5"/>
          </w:tcPr>
          <w:p>
            <w:pPr>
              <w:pStyle w:val="TableText"/>
              <w:ind w:left="7"/>
              <w:spacing w:before="33" w:line="201" w:lineRule="auto"/>
              <w:rPr>
                <w:rFonts w:ascii="Times New Roman" w:hAnsi="Times New Roman" w:eastAsia="Times New Roman" w:cs="Times New Roman"/>
                <w:sz w:val="11"/>
                <w:szCs w:val="11"/>
              </w:rPr>
            </w:pPr>
            <w:r>
              <w:rPr>
                <w:sz w:val="18"/>
                <w:szCs w:val="18"/>
                <w:spacing w:val="-1"/>
              </w:rPr>
              <w:t>河流：长度</w:t>
            </w:r>
            <w:r>
              <w:rPr>
                <w:sz w:val="18"/>
                <w:szCs w:val="18"/>
                <w:spacing w:val="-22"/>
              </w:rPr>
              <w:t>（</w:t>
            </w:r>
            <w:r>
              <w:rPr>
                <w:sz w:val="18"/>
                <w:szCs w:val="18"/>
                <w:spacing w:val="13"/>
              </w:rPr>
              <w:t xml:space="preserve">    </w:t>
            </w:r>
            <w:r>
              <w:rPr>
                <w:sz w:val="18"/>
                <w:szCs w:val="18"/>
                <w:spacing w:val="-22"/>
              </w:rPr>
              <w:t>）</w:t>
            </w:r>
            <w:r>
              <w:rPr>
                <w:rFonts w:ascii="Times New Roman" w:hAnsi="Times New Roman" w:eastAsia="Times New Roman" w:cs="Times New Roman"/>
                <w:sz w:val="18"/>
                <w:szCs w:val="18"/>
                <w:spacing w:val="-1"/>
              </w:rPr>
              <w:t>km</w:t>
            </w:r>
            <w:r>
              <w:rPr>
                <w:sz w:val="18"/>
                <w:szCs w:val="18"/>
                <w:spacing w:val="-1"/>
              </w:rPr>
              <w:t>；湖库、河口及近岸海域：面积</w:t>
            </w:r>
            <w:r>
              <w:rPr>
                <w:sz w:val="18"/>
                <w:szCs w:val="18"/>
                <w:spacing w:val="-22"/>
              </w:rPr>
              <w:t>（</w:t>
            </w:r>
            <w:r>
              <w:rPr>
                <w:sz w:val="18"/>
                <w:szCs w:val="18"/>
                <w:spacing w:val="14"/>
              </w:rPr>
              <w:t xml:space="preserve">    </w:t>
            </w:r>
            <w:r>
              <w:rPr>
                <w:sz w:val="18"/>
                <w:szCs w:val="18"/>
                <w:spacing w:val="-22"/>
              </w:rPr>
              <w:t>）</w:t>
            </w:r>
            <w:r>
              <w:rPr>
                <w:rFonts w:ascii="Times New Roman" w:hAnsi="Times New Roman" w:eastAsia="Times New Roman" w:cs="Times New Roman"/>
                <w:sz w:val="18"/>
                <w:szCs w:val="18"/>
                <w:spacing w:val="-1"/>
              </w:rPr>
              <w:t>km</w:t>
            </w:r>
            <w:r>
              <w:rPr>
                <w:rFonts w:ascii="Times New Roman" w:hAnsi="Times New Roman" w:eastAsia="Times New Roman" w:cs="Times New Roman"/>
                <w:sz w:val="11"/>
                <w:szCs w:val="11"/>
                <w:spacing w:val="-1"/>
                <w:position w:val="6"/>
              </w:rPr>
              <w:t>2</w:t>
            </w:r>
          </w:p>
        </w:tc>
      </w:tr>
      <w:tr>
        <w:trPr>
          <w:trHeight w:val="238" w:hRule="atLeast"/>
        </w:trPr>
        <w:tc>
          <w:tcPr>
            <w:tcW w:w="430" w:type="dxa"/>
            <w:vAlign w:val="top"/>
            <w:vMerge w:val="continue"/>
            <w:tcBorders>
              <w:top w:val="nil"/>
              <w:bottom w:val="nil"/>
            </w:tcBorders>
          </w:tcPr>
          <w:p>
            <w:pPr>
              <w:rPr>
                <w:rFonts w:ascii="Arial"/>
                <w:sz w:val="21"/>
              </w:rPr>
            </w:pPr>
            <w:r/>
          </w:p>
        </w:tc>
        <w:tc>
          <w:tcPr>
            <w:tcW w:w="1276" w:type="dxa"/>
            <w:vAlign w:val="top"/>
          </w:tcPr>
          <w:p>
            <w:pPr>
              <w:pStyle w:val="TableText"/>
              <w:ind w:left="282"/>
              <w:spacing w:before="31" w:line="202" w:lineRule="auto"/>
              <w:rPr>
                <w:sz w:val="18"/>
                <w:szCs w:val="18"/>
              </w:rPr>
            </w:pPr>
            <w:r>
              <w:rPr>
                <w:sz w:val="18"/>
                <w:szCs w:val="18"/>
                <w:spacing w:val="-3"/>
              </w:rPr>
              <w:t>预测因子</w:t>
            </w:r>
          </w:p>
        </w:tc>
        <w:tc>
          <w:tcPr>
            <w:tcW w:w="6811" w:type="dxa"/>
            <w:vAlign w:val="top"/>
            <w:gridSpan w:val="5"/>
          </w:tcPr>
          <w:p>
            <w:pPr>
              <w:pStyle w:val="TableText"/>
              <w:ind w:left="102"/>
              <w:spacing w:before="31" w:line="202" w:lineRule="auto"/>
              <w:rPr>
                <w:sz w:val="18"/>
                <w:szCs w:val="18"/>
              </w:rPr>
            </w:pPr>
            <w:r>
              <w:rPr>
                <w:sz w:val="18"/>
                <w:szCs w:val="18"/>
                <w:spacing w:val="-19"/>
              </w:rPr>
              <w:t>(       )</w:t>
            </w:r>
          </w:p>
        </w:tc>
      </w:tr>
      <w:tr>
        <w:trPr>
          <w:trHeight w:val="707" w:hRule="atLeast"/>
        </w:trPr>
        <w:tc>
          <w:tcPr>
            <w:tcW w:w="430" w:type="dxa"/>
            <w:vAlign w:val="top"/>
            <w:vMerge w:val="continue"/>
            <w:tcBorders>
              <w:top w:val="nil"/>
            </w:tcBorders>
          </w:tcPr>
          <w:p>
            <w:pPr>
              <w:rPr>
                <w:rFonts w:ascii="Arial"/>
                <w:sz w:val="21"/>
              </w:rPr>
            </w:pPr>
            <w:r/>
          </w:p>
        </w:tc>
        <w:tc>
          <w:tcPr>
            <w:tcW w:w="1276" w:type="dxa"/>
            <w:vAlign w:val="top"/>
          </w:tcPr>
          <w:p>
            <w:pPr>
              <w:pStyle w:val="TableText"/>
              <w:ind w:left="282"/>
              <w:spacing w:before="263" w:line="220" w:lineRule="auto"/>
              <w:rPr>
                <w:sz w:val="18"/>
                <w:szCs w:val="18"/>
              </w:rPr>
            </w:pPr>
            <w:r>
              <w:rPr>
                <w:sz w:val="18"/>
                <w:szCs w:val="18"/>
                <w:spacing w:val="-3"/>
              </w:rPr>
              <w:t>预测时期</w:t>
            </w:r>
          </w:p>
        </w:tc>
        <w:tc>
          <w:tcPr>
            <w:tcW w:w="6811" w:type="dxa"/>
            <w:vAlign w:val="top"/>
            <w:gridSpan w:val="5"/>
          </w:tcPr>
          <w:p>
            <w:pPr>
              <w:pStyle w:val="TableText"/>
              <w:ind w:left="7" w:right="3416" w:firstLine="1"/>
              <w:spacing w:before="30" w:line="239" w:lineRule="auto"/>
              <w:rPr>
                <w:rFonts w:ascii="MS UI Gothic" w:hAnsi="MS UI Gothic" w:eastAsia="MS UI Gothic" w:cs="MS UI Gothic"/>
                <w:sz w:val="18"/>
                <w:szCs w:val="18"/>
              </w:rPr>
            </w:pPr>
            <w:r>
              <w:rPr>
                <w:sz w:val="18"/>
                <w:szCs w:val="18"/>
                <w:spacing w:val="-7"/>
              </w:rPr>
              <w:t>丰水期</w:t>
            </w:r>
            <w:r>
              <w:rPr>
                <w:rFonts w:ascii="MS UI Gothic" w:hAnsi="MS UI Gothic" w:eastAsia="MS UI Gothic" w:cs="MS UI Gothic"/>
                <w:sz w:val="18"/>
                <w:szCs w:val="18"/>
                <w:spacing w:val="-7"/>
              </w:rPr>
              <w:t>□</w:t>
            </w:r>
            <w:r>
              <w:rPr>
                <w:sz w:val="18"/>
                <w:szCs w:val="18"/>
                <w:spacing w:val="-7"/>
              </w:rPr>
              <w:t>；平水期</w:t>
            </w:r>
            <w:r>
              <w:rPr>
                <w:rFonts w:ascii="MS UI Gothic" w:hAnsi="MS UI Gothic" w:eastAsia="MS UI Gothic" w:cs="MS UI Gothic"/>
                <w:sz w:val="18"/>
                <w:szCs w:val="18"/>
                <w:spacing w:val="-7"/>
              </w:rPr>
              <w:t>□</w:t>
            </w:r>
            <w:r>
              <w:rPr>
                <w:sz w:val="18"/>
                <w:szCs w:val="18"/>
                <w:spacing w:val="-7"/>
              </w:rPr>
              <w:t>；枯水期</w:t>
            </w:r>
            <w:r>
              <w:rPr>
                <w:rFonts w:ascii="MS UI Gothic" w:hAnsi="MS UI Gothic" w:eastAsia="MS UI Gothic" w:cs="MS UI Gothic"/>
                <w:sz w:val="18"/>
                <w:szCs w:val="18"/>
                <w:spacing w:val="-7"/>
              </w:rPr>
              <w:t>□</w:t>
            </w:r>
            <w:r>
              <w:rPr>
                <w:sz w:val="18"/>
                <w:szCs w:val="18"/>
                <w:spacing w:val="-7"/>
              </w:rPr>
              <w:t>；冰封期</w:t>
            </w:r>
            <w:r>
              <w:rPr>
                <w:rFonts w:ascii="MS UI Gothic" w:hAnsi="MS UI Gothic" w:eastAsia="MS UI Gothic" w:cs="MS UI Gothic"/>
                <w:sz w:val="18"/>
                <w:szCs w:val="18"/>
                <w:spacing w:val="-7"/>
              </w:rPr>
              <w:t>□</w:t>
            </w:r>
            <w:r>
              <w:rPr>
                <w:sz w:val="18"/>
                <w:szCs w:val="18"/>
                <w:spacing w:val="-7"/>
              </w:rPr>
              <w:t>;</w:t>
            </w:r>
            <w:r>
              <w:rPr>
                <w:sz w:val="18"/>
                <w:szCs w:val="18"/>
                <w:spacing w:val="9"/>
              </w:rPr>
              <w:t xml:space="preserve"> </w:t>
            </w:r>
            <w:r>
              <w:rPr>
                <w:sz w:val="18"/>
                <w:szCs w:val="18"/>
                <w:spacing w:val="-5"/>
              </w:rPr>
              <w:t>春季</w:t>
            </w:r>
            <w:r>
              <w:rPr>
                <w:rFonts w:ascii="MS UI Gothic" w:hAnsi="MS UI Gothic" w:eastAsia="MS UI Gothic" w:cs="MS UI Gothic"/>
                <w:sz w:val="18"/>
                <w:szCs w:val="18"/>
                <w:spacing w:val="-5"/>
              </w:rPr>
              <w:t>□</w:t>
            </w:r>
            <w:r>
              <w:rPr>
                <w:sz w:val="18"/>
                <w:szCs w:val="18"/>
                <w:spacing w:val="-5"/>
              </w:rPr>
              <w:t>；夏季</w:t>
            </w:r>
            <w:r>
              <w:rPr>
                <w:rFonts w:ascii="MS UI Gothic" w:hAnsi="MS UI Gothic" w:eastAsia="MS UI Gothic" w:cs="MS UI Gothic"/>
                <w:sz w:val="18"/>
                <w:szCs w:val="18"/>
                <w:spacing w:val="-5"/>
              </w:rPr>
              <w:t>□</w:t>
            </w:r>
            <w:r>
              <w:rPr>
                <w:sz w:val="18"/>
                <w:szCs w:val="18"/>
                <w:spacing w:val="-5"/>
              </w:rPr>
              <w:t>；秋季</w:t>
            </w:r>
            <w:r>
              <w:rPr>
                <w:rFonts w:ascii="MS UI Gothic" w:hAnsi="MS UI Gothic" w:eastAsia="MS UI Gothic" w:cs="MS UI Gothic"/>
                <w:sz w:val="18"/>
                <w:szCs w:val="18"/>
                <w:spacing w:val="-5"/>
              </w:rPr>
              <w:t>□</w:t>
            </w:r>
            <w:r>
              <w:rPr>
                <w:sz w:val="18"/>
                <w:szCs w:val="18"/>
                <w:spacing w:val="-5"/>
              </w:rPr>
              <w:t>；冬季</w:t>
            </w:r>
            <w:r>
              <w:rPr>
                <w:rFonts w:ascii="MS UI Gothic" w:hAnsi="MS UI Gothic" w:eastAsia="MS UI Gothic" w:cs="MS UI Gothic"/>
                <w:sz w:val="18"/>
                <w:szCs w:val="18"/>
                <w:spacing w:val="-5"/>
              </w:rPr>
              <w:t>□</w:t>
            </w:r>
          </w:p>
          <w:p>
            <w:pPr>
              <w:pStyle w:val="TableText"/>
              <w:ind w:left="10"/>
              <w:spacing w:line="205" w:lineRule="auto"/>
              <w:rPr>
                <w:rFonts w:ascii="MS UI Gothic" w:hAnsi="MS UI Gothic" w:eastAsia="MS UI Gothic" w:cs="MS UI Gothic"/>
                <w:sz w:val="18"/>
                <w:szCs w:val="18"/>
              </w:rPr>
            </w:pPr>
            <w:r>
              <w:rPr>
                <w:sz w:val="18"/>
                <w:szCs w:val="18"/>
                <w:spacing w:val="-2"/>
              </w:rPr>
              <w:t>设计水文条件</w:t>
            </w:r>
            <w:r>
              <w:rPr>
                <w:rFonts w:ascii="MS UI Gothic" w:hAnsi="MS UI Gothic" w:eastAsia="MS UI Gothic" w:cs="MS UI Gothic"/>
                <w:sz w:val="18"/>
                <w:szCs w:val="18"/>
                <w:spacing w:val="-2"/>
              </w:rPr>
              <w:t>□</w:t>
            </w:r>
          </w:p>
        </w:tc>
      </w:tr>
    </w:tbl>
    <w:p>
      <w:pPr>
        <w:pStyle w:val="BodyText"/>
        <w:spacing w:line="140" w:lineRule="exact"/>
        <w:rPr>
          <w:sz w:val="12"/>
        </w:rPr>
      </w:pPr>
      <w:r/>
    </w:p>
    <w:p>
      <w:pPr>
        <w:spacing w:line="140" w:lineRule="exact"/>
        <w:sectPr>
          <w:headerReference w:type="default" r:id="rId224"/>
          <w:footerReference w:type="default" r:id="rId225"/>
          <w:pgSz w:w="11906" w:h="16839"/>
          <w:pgMar w:top="1567" w:right="1692" w:bottom="1811" w:left="1691" w:header="1221" w:footer="1128" w:gutter="0"/>
        </w:sectPr>
        <w:rPr>
          <w:sz w:val="12"/>
          <w:szCs w:val="12"/>
        </w:rPr>
      </w:pPr>
    </w:p>
    <w:p>
      <w:pPr>
        <w:spacing w:line="151" w:lineRule="exact"/>
        <w:rPr/>
      </w:pPr>
      <w:r>
        <w:pict>
          <v:shape id="_x0000_s854" style="position:absolute;margin-left:85.05pt;margin-top:79.11pt;mso-position-vertical-relative:page;mso-position-horizontal-relative:page;width:425.25pt;height:0.75pt;z-index:252029952;" o:allowincell="f" fillcolor="#000000" filled="true" stroked="false" coordsize="8505,15" coordorigin="0,0" path="m,l8504,0l8504,14l0,14l0,0xe"/>
        </w:pict>
      </w:r>
      <w:r/>
    </w:p>
    <w:tbl>
      <w:tblPr>
        <w:tblStyle w:val="TableNormal"/>
        <w:tblW w:w="851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30"/>
        <w:gridCol w:w="1276"/>
        <w:gridCol w:w="1843"/>
        <w:gridCol w:w="310"/>
        <w:gridCol w:w="491"/>
        <w:gridCol w:w="854"/>
        <w:gridCol w:w="901"/>
        <w:gridCol w:w="976"/>
        <w:gridCol w:w="1436"/>
      </w:tblGrid>
      <w:tr>
        <w:trPr>
          <w:trHeight w:val="242" w:hRule="atLeast"/>
        </w:trPr>
        <w:tc>
          <w:tcPr>
            <w:tcW w:w="1706" w:type="dxa"/>
            <w:vAlign w:val="top"/>
            <w:gridSpan w:val="2"/>
          </w:tcPr>
          <w:p>
            <w:pPr>
              <w:pStyle w:val="TableText"/>
              <w:ind w:left="499"/>
              <w:spacing w:before="33" w:line="204" w:lineRule="auto"/>
              <w:rPr>
                <w:sz w:val="18"/>
                <w:szCs w:val="18"/>
              </w:rPr>
            </w:pPr>
            <w:r>
              <w:rPr>
                <w:sz w:val="18"/>
                <w:szCs w:val="18"/>
                <w:spacing w:val="-3"/>
              </w:rPr>
              <w:t>工作内容</w:t>
            </w:r>
          </w:p>
        </w:tc>
        <w:tc>
          <w:tcPr>
            <w:tcW w:w="6811" w:type="dxa"/>
            <w:vAlign w:val="top"/>
            <w:gridSpan w:val="7"/>
          </w:tcPr>
          <w:p>
            <w:pPr>
              <w:pStyle w:val="TableText"/>
              <w:ind w:left="3078"/>
              <w:spacing w:before="33" w:line="204" w:lineRule="auto"/>
              <w:rPr>
                <w:sz w:val="18"/>
                <w:szCs w:val="18"/>
              </w:rPr>
            </w:pPr>
            <w:r>
              <w:rPr>
                <w:sz w:val="18"/>
                <w:szCs w:val="18"/>
                <w:spacing w:val="-10"/>
              </w:rPr>
              <w:t>自查项目</w:t>
            </w:r>
          </w:p>
        </w:tc>
      </w:tr>
      <w:tr>
        <w:trPr>
          <w:trHeight w:val="938" w:hRule="atLeast"/>
        </w:trPr>
        <w:tc>
          <w:tcPr>
            <w:tcW w:w="430" w:type="dxa"/>
            <w:vAlign w:val="top"/>
            <w:vMerge w:val="restart"/>
            <w:tcBorders>
              <w:bottom w:val="nil"/>
            </w:tcBorders>
          </w:tcPr>
          <w:p>
            <w:pPr>
              <w:rPr>
                <w:rFonts w:ascii="Arial"/>
                <w:sz w:val="21"/>
              </w:rPr>
            </w:pPr>
            <w:r/>
          </w:p>
        </w:tc>
        <w:tc>
          <w:tcPr>
            <w:tcW w:w="1276" w:type="dxa"/>
            <w:vAlign w:val="top"/>
          </w:tcPr>
          <w:p>
            <w:pPr>
              <w:spacing w:line="316" w:lineRule="auto"/>
              <w:rPr>
                <w:rFonts w:ascii="Arial"/>
                <w:sz w:val="21"/>
              </w:rPr>
            </w:pPr>
            <w:r/>
          </w:p>
          <w:p>
            <w:pPr>
              <w:pStyle w:val="TableText"/>
              <w:ind w:left="282"/>
              <w:spacing w:before="58" w:line="219" w:lineRule="auto"/>
              <w:rPr>
                <w:sz w:val="18"/>
                <w:szCs w:val="18"/>
              </w:rPr>
            </w:pPr>
            <w:r>
              <w:rPr>
                <w:sz w:val="18"/>
                <w:szCs w:val="18"/>
                <w:spacing w:val="-3"/>
              </w:rPr>
              <w:t>预测情景</w:t>
            </w:r>
          </w:p>
        </w:tc>
        <w:tc>
          <w:tcPr>
            <w:tcW w:w="6811" w:type="dxa"/>
            <w:vAlign w:val="top"/>
            <w:gridSpan w:val="7"/>
          </w:tcPr>
          <w:p>
            <w:pPr>
              <w:pStyle w:val="TableText"/>
              <w:ind w:left="11" w:right="3625" w:hanging="1"/>
              <w:spacing w:before="27" w:line="181" w:lineRule="auto"/>
              <w:rPr>
                <w:rFonts w:ascii="Microsoft YaHei" w:hAnsi="Microsoft YaHei" w:eastAsia="Microsoft YaHei" w:cs="Microsoft YaHei"/>
                <w:sz w:val="18"/>
                <w:szCs w:val="18"/>
              </w:rPr>
            </w:pPr>
            <w:r>
              <w:rPr>
                <w:sz w:val="18"/>
                <w:szCs w:val="18"/>
                <w:spacing w:val="6"/>
              </w:rPr>
              <w:t>建设期</w:t>
            </w:r>
            <w:r>
              <w:rPr>
                <w:rFonts w:ascii="Microsoft YaHei" w:hAnsi="Microsoft YaHei" w:eastAsia="Microsoft YaHei" w:cs="Microsoft YaHei"/>
                <w:sz w:val="18"/>
                <w:szCs w:val="18"/>
                <w:spacing w:val="6"/>
              </w:rPr>
              <w:t>□</w:t>
            </w:r>
            <w:r>
              <w:rPr>
                <w:sz w:val="18"/>
                <w:szCs w:val="18"/>
                <w:spacing w:val="6"/>
              </w:rPr>
              <w:t>；生产运行期</w:t>
            </w:r>
            <w:r>
              <w:rPr>
                <w:rFonts w:ascii="Microsoft YaHei" w:hAnsi="Microsoft YaHei" w:eastAsia="Microsoft YaHei" w:cs="Microsoft YaHei"/>
                <w:sz w:val="18"/>
                <w:szCs w:val="18"/>
                <w:spacing w:val="6"/>
              </w:rPr>
              <w:t>□</w:t>
            </w:r>
            <w:r>
              <w:rPr>
                <w:sz w:val="18"/>
                <w:szCs w:val="18"/>
                <w:spacing w:val="6"/>
              </w:rPr>
              <w:t>；服务期满后</w:t>
            </w:r>
            <w:r>
              <w:rPr>
                <w:rFonts w:ascii="Microsoft YaHei" w:hAnsi="Microsoft YaHei" w:eastAsia="Microsoft YaHei" w:cs="Microsoft YaHei"/>
                <w:sz w:val="18"/>
                <w:szCs w:val="18"/>
                <w:spacing w:val="6"/>
              </w:rPr>
              <w:t>□</w:t>
            </w:r>
            <w:r>
              <w:rPr>
                <w:rFonts w:ascii="Microsoft YaHei" w:hAnsi="Microsoft YaHei" w:eastAsia="Microsoft YaHei" w:cs="Microsoft YaHei"/>
                <w:sz w:val="18"/>
                <w:szCs w:val="18"/>
                <w:spacing w:val="9"/>
              </w:rPr>
              <w:t xml:space="preserve"> </w:t>
            </w:r>
            <w:r>
              <w:rPr>
                <w:sz w:val="18"/>
                <w:szCs w:val="18"/>
                <w:spacing w:val="6"/>
              </w:rPr>
              <w:t>正常工况</w:t>
            </w:r>
            <w:r>
              <w:rPr>
                <w:rFonts w:ascii="Microsoft YaHei" w:hAnsi="Microsoft YaHei" w:eastAsia="Microsoft YaHei" w:cs="Microsoft YaHei"/>
                <w:sz w:val="18"/>
                <w:szCs w:val="18"/>
                <w:spacing w:val="6"/>
              </w:rPr>
              <w:t>□</w:t>
            </w:r>
            <w:r>
              <w:rPr>
                <w:sz w:val="18"/>
                <w:szCs w:val="18"/>
                <w:spacing w:val="6"/>
              </w:rPr>
              <w:t>；非正常工况</w:t>
            </w:r>
            <w:r>
              <w:rPr>
                <w:rFonts w:ascii="Microsoft YaHei" w:hAnsi="Microsoft YaHei" w:eastAsia="Microsoft YaHei" w:cs="Microsoft YaHei"/>
                <w:sz w:val="18"/>
                <w:szCs w:val="18"/>
                <w:spacing w:val="6"/>
              </w:rPr>
              <w:t>□</w:t>
            </w:r>
          </w:p>
          <w:p>
            <w:pPr>
              <w:pStyle w:val="TableText"/>
              <w:ind w:left="9"/>
              <w:spacing w:line="182" w:lineRule="auto"/>
              <w:rPr>
                <w:rFonts w:ascii="Microsoft YaHei" w:hAnsi="Microsoft YaHei" w:eastAsia="Microsoft YaHei" w:cs="Microsoft YaHei"/>
                <w:sz w:val="18"/>
                <w:szCs w:val="18"/>
              </w:rPr>
            </w:pPr>
            <w:r>
              <w:rPr>
                <w:sz w:val="18"/>
                <w:szCs w:val="18"/>
                <w:spacing w:val="2"/>
              </w:rPr>
              <w:t>污染控制可减缓措施方案</w:t>
            </w:r>
            <w:r>
              <w:rPr>
                <w:rFonts w:ascii="Microsoft YaHei" w:hAnsi="Microsoft YaHei" w:eastAsia="Microsoft YaHei" w:cs="Microsoft YaHei"/>
                <w:sz w:val="18"/>
                <w:szCs w:val="18"/>
                <w:spacing w:val="2"/>
              </w:rPr>
              <w:t>□</w:t>
            </w:r>
          </w:p>
          <w:p>
            <w:pPr>
              <w:pStyle w:val="TableText"/>
              <w:ind w:left="21"/>
              <w:spacing w:line="199" w:lineRule="exact"/>
              <w:rPr>
                <w:rFonts w:ascii="Microsoft YaHei" w:hAnsi="Microsoft YaHei" w:eastAsia="Microsoft YaHei" w:cs="Microsoft YaHei"/>
                <w:sz w:val="18"/>
                <w:szCs w:val="18"/>
              </w:rPr>
            </w:pPr>
            <w:r>
              <w:rPr>
                <w:sz w:val="18"/>
                <w:szCs w:val="18"/>
                <w:spacing w:val="1"/>
                <w:position w:val="-1"/>
              </w:rPr>
              <w:t>区（流）域环境质量改善目标要求情景</w:t>
            </w:r>
            <w:r>
              <w:rPr>
                <w:rFonts w:ascii="Microsoft YaHei" w:hAnsi="Microsoft YaHei" w:eastAsia="Microsoft YaHei" w:cs="Microsoft YaHei"/>
                <w:sz w:val="18"/>
                <w:szCs w:val="18"/>
                <w:spacing w:val="1"/>
                <w:position w:val="-1"/>
              </w:rPr>
              <w:t>□</w:t>
            </w:r>
          </w:p>
        </w:tc>
      </w:tr>
      <w:tr>
        <w:trPr>
          <w:trHeight w:val="472" w:hRule="atLeast"/>
        </w:trPr>
        <w:tc>
          <w:tcPr>
            <w:tcW w:w="430" w:type="dxa"/>
            <w:vAlign w:val="top"/>
            <w:vMerge w:val="continue"/>
            <w:tcBorders>
              <w:top w:val="nil"/>
            </w:tcBorders>
          </w:tcPr>
          <w:p>
            <w:pPr>
              <w:rPr>
                <w:rFonts w:ascii="Arial"/>
                <w:sz w:val="21"/>
              </w:rPr>
            </w:pPr>
            <w:r/>
          </w:p>
        </w:tc>
        <w:tc>
          <w:tcPr>
            <w:tcW w:w="1276" w:type="dxa"/>
            <w:vAlign w:val="top"/>
          </w:tcPr>
          <w:p>
            <w:pPr>
              <w:pStyle w:val="TableText"/>
              <w:ind w:left="282"/>
              <w:spacing w:before="146" w:line="220" w:lineRule="auto"/>
              <w:rPr>
                <w:sz w:val="18"/>
                <w:szCs w:val="18"/>
              </w:rPr>
            </w:pPr>
            <w:r>
              <w:rPr>
                <w:sz w:val="18"/>
                <w:szCs w:val="18"/>
                <w:spacing w:val="-3"/>
              </w:rPr>
              <w:t>预测方法</w:t>
            </w:r>
          </w:p>
        </w:tc>
        <w:tc>
          <w:tcPr>
            <w:tcW w:w="6811" w:type="dxa"/>
            <w:vAlign w:val="top"/>
            <w:gridSpan w:val="7"/>
          </w:tcPr>
          <w:p>
            <w:pPr>
              <w:pStyle w:val="TableText"/>
              <w:ind w:left="12" w:right="4525" w:hanging="3"/>
              <w:spacing w:before="29" w:line="168" w:lineRule="auto"/>
              <w:rPr>
                <w:rFonts w:ascii="Microsoft YaHei" w:hAnsi="Microsoft YaHei" w:eastAsia="Microsoft YaHei" w:cs="Microsoft YaHei"/>
                <w:sz w:val="18"/>
                <w:szCs w:val="18"/>
              </w:rPr>
            </w:pPr>
            <w:r>
              <w:rPr>
                <w:sz w:val="18"/>
                <w:szCs w:val="18"/>
                <w:spacing w:val="9"/>
              </w:rPr>
              <w:t>数值解</w:t>
            </w:r>
            <w:r>
              <w:rPr>
                <w:rFonts w:ascii="Microsoft YaHei" w:hAnsi="Microsoft YaHei" w:eastAsia="Microsoft YaHei" w:cs="Microsoft YaHei"/>
                <w:sz w:val="18"/>
                <w:szCs w:val="18"/>
                <w:spacing w:val="9"/>
              </w:rPr>
              <w:t>□</w:t>
            </w:r>
            <w:r>
              <w:rPr>
                <w:sz w:val="18"/>
                <w:szCs w:val="18"/>
                <w:spacing w:val="9"/>
              </w:rPr>
              <w:t>；解析解</w:t>
            </w:r>
            <w:r>
              <w:rPr>
                <w:rFonts w:ascii="Microsoft YaHei" w:hAnsi="Microsoft YaHei" w:eastAsia="Microsoft YaHei" w:cs="Microsoft YaHei"/>
                <w:sz w:val="18"/>
                <w:szCs w:val="18"/>
                <w:spacing w:val="9"/>
              </w:rPr>
              <w:t>□</w:t>
            </w:r>
            <w:r>
              <w:rPr>
                <w:sz w:val="18"/>
                <w:szCs w:val="18"/>
                <w:spacing w:val="9"/>
              </w:rPr>
              <w:t>；其他</w:t>
            </w:r>
            <w:r>
              <w:rPr>
                <w:rFonts w:ascii="Microsoft YaHei" w:hAnsi="Microsoft YaHei" w:eastAsia="Microsoft YaHei" w:cs="Microsoft YaHei"/>
                <w:sz w:val="18"/>
                <w:szCs w:val="18"/>
                <w:spacing w:val="9"/>
              </w:rPr>
              <w:t>□</w:t>
            </w:r>
            <w:r>
              <w:rPr>
                <w:rFonts w:ascii="Microsoft YaHei" w:hAnsi="Microsoft YaHei" w:eastAsia="Microsoft YaHei" w:cs="Microsoft YaHei"/>
                <w:sz w:val="18"/>
                <w:szCs w:val="18"/>
              </w:rPr>
              <w:t xml:space="preserve"> </w:t>
            </w:r>
            <w:r>
              <w:rPr>
                <w:sz w:val="18"/>
                <w:szCs w:val="18"/>
                <w:spacing w:val="6"/>
              </w:rPr>
              <w:t>导则推荐模式</w:t>
            </w:r>
            <w:r>
              <w:rPr>
                <w:rFonts w:ascii="Microsoft YaHei" w:hAnsi="Microsoft YaHei" w:eastAsia="Microsoft YaHei" w:cs="Microsoft YaHei"/>
                <w:sz w:val="18"/>
                <w:szCs w:val="18"/>
                <w:spacing w:val="6"/>
              </w:rPr>
              <w:t>□</w:t>
            </w:r>
            <w:r>
              <w:rPr>
                <w:sz w:val="18"/>
                <w:szCs w:val="18"/>
                <w:spacing w:val="6"/>
              </w:rPr>
              <w:t>；其他</w:t>
            </w:r>
            <w:r>
              <w:rPr>
                <w:rFonts w:ascii="Microsoft YaHei" w:hAnsi="Microsoft YaHei" w:eastAsia="Microsoft YaHei" w:cs="Microsoft YaHei"/>
                <w:sz w:val="18"/>
                <w:szCs w:val="18"/>
                <w:spacing w:val="6"/>
              </w:rPr>
              <w:t>□</w:t>
            </w:r>
          </w:p>
        </w:tc>
      </w:tr>
      <w:tr>
        <w:trPr>
          <w:trHeight w:val="704" w:hRule="atLeast"/>
        </w:trPr>
        <w:tc>
          <w:tcPr>
            <w:tcW w:w="430" w:type="dxa"/>
            <w:vAlign w:val="top"/>
            <w:vMerge w:val="restart"/>
            <w:tcBorders>
              <w:bottom w:val="nil"/>
            </w:tcBorders>
          </w:tcPr>
          <w:p>
            <w:pPr>
              <w:spacing w:line="244" w:lineRule="auto"/>
              <w:rPr>
                <w:rFonts w:ascii="Arial"/>
                <w:sz w:val="21"/>
              </w:rPr>
            </w:pPr>
            <w:r/>
          </w:p>
          <w:p>
            <w:pPr>
              <w:spacing w:line="244"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pStyle w:val="TableText"/>
              <w:ind w:left="38"/>
              <w:spacing w:before="59" w:line="221" w:lineRule="auto"/>
              <w:rPr>
                <w:sz w:val="18"/>
                <w:szCs w:val="18"/>
              </w:rPr>
            </w:pPr>
            <w:r>
              <w:rPr>
                <w:sz w:val="18"/>
                <w:szCs w:val="18"/>
                <w:spacing w:val="-4"/>
              </w:rPr>
              <w:t>影响</w:t>
            </w:r>
          </w:p>
          <w:p>
            <w:pPr>
              <w:pStyle w:val="TableText"/>
              <w:ind w:left="38"/>
              <w:spacing w:before="16" w:line="218" w:lineRule="auto"/>
              <w:rPr>
                <w:sz w:val="18"/>
                <w:szCs w:val="18"/>
              </w:rPr>
            </w:pPr>
            <w:r>
              <w:rPr>
                <w:sz w:val="18"/>
                <w:szCs w:val="18"/>
                <w:spacing w:val="-4"/>
              </w:rPr>
              <w:t>评价</w:t>
            </w:r>
          </w:p>
        </w:tc>
        <w:tc>
          <w:tcPr>
            <w:tcW w:w="1276" w:type="dxa"/>
            <w:vAlign w:val="top"/>
          </w:tcPr>
          <w:p>
            <w:pPr>
              <w:pStyle w:val="TableText"/>
              <w:ind w:left="11"/>
              <w:spacing w:before="29" w:line="219" w:lineRule="auto"/>
              <w:rPr>
                <w:sz w:val="18"/>
                <w:szCs w:val="18"/>
              </w:rPr>
            </w:pPr>
            <w:r>
              <w:rPr>
                <w:sz w:val="18"/>
                <w:szCs w:val="18"/>
                <w:spacing w:val="-2"/>
              </w:rPr>
              <w:t>水污染控制和水</w:t>
            </w:r>
          </w:p>
          <w:p>
            <w:pPr>
              <w:pStyle w:val="TableText"/>
              <w:ind w:left="99" w:right="8" w:hanging="90"/>
              <w:spacing w:before="18" w:line="222" w:lineRule="auto"/>
              <w:rPr>
                <w:sz w:val="18"/>
                <w:szCs w:val="18"/>
              </w:rPr>
            </w:pPr>
            <w:r>
              <w:rPr>
                <w:sz w:val="18"/>
                <w:szCs w:val="18"/>
                <w:spacing w:val="-2"/>
              </w:rPr>
              <w:t>环境影响减缓措</w:t>
            </w:r>
            <w:r>
              <w:rPr>
                <w:sz w:val="18"/>
                <w:szCs w:val="18"/>
                <w:spacing w:val="5"/>
              </w:rPr>
              <w:t xml:space="preserve"> </w:t>
            </w:r>
            <w:r>
              <w:rPr>
                <w:sz w:val="18"/>
                <w:szCs w:val="18"/>
                <w:spacing w:val="-2"/>
              </w:rPr>
              <w:t>施有效性评价</w:t>
            </w:r>
          </w:p>
        </w:tc>
        <w:tc>
          <w:tcPr>
            <w:tcW w:w="6811" w:type="dxa"/>
            <w:vAlign w:val="top"/>
            <w:gridSpan w:val="7"/>
          </w:tcPr>
          <w:p>
            <w:pPr>
              <w:pStyle w:val="TableText"/>
              <w:ind w:left="21"/>
              <w:spacing w:before="261" w:line="200" w:lineRule="auto"/>
              <w:rPr>
                <w:rFonts w:ascii="Microsoft YaHei" w:hAnsi="Microsoft YaHei" w:eastAsia="Microsoft YaHei" w:cs="Microsoft YaHei"/>
                <w:sz w:val="18"/>
                <w:szCs w:val="18"/>
              </w:rPr>
            </w:pPr>
            <w:r>
              <w:rPr>
                <w:sz w:val="18"/>
                <w:szCs w:val="18"/>
                <w:spacing w:val="3"/>
              </w:rPr>
              <w:t>区（流）域环境质量改善目标</w:t>
            </w:r>
            <w:r>
              <w:rPr>
                <w:rFonts w:ascii="Microsoft YaHei" w:hAnsi="Microsoft YaHei" w:eastAsia="Microsoft YaHei" w:cs="Microsoft YaHei"/>
                <w:sz w:val="18"/>
                <w:szCs w:val="18"/>
                <w:spacing w:val="3"/>
              </w:rPr>
              <w:t>□</w:t>
            </w:r>
            <w:r>
              <w:rPr>
                <w:sz w:val="18"/>
                <w:szCs w:val="18"/>
                <w:spacing w:val="3"/>
              </w:rPr>
              <w:t>； 替代消</w:t>
            </w:r>
            <w:r>
              <w:rPr>
                <w:sz w:val="18"/>
                <w:szCs w:val="18"/>
                <w:spacing w:val="2"/>
              </w:rPr>
              <w:t>减源</w:t>
            </w:r>
            <w:r>
              <w:rPr>
                <w:rFonts w:ascii="Microsoft YaHei" w:hAnsi="Microsoft YaHei" w:eastAsia="Microsoft YaHei" w:cs="Microsoft YaHei"/>
                <w:sz w:val="18"/>
                <w:szCs w:val="18"/>
                <w:spacing w:val="2"/>
              </w:rPr>
              <w:t>□</w:t>
            </w:r>
          </w:p>
        </w:tc>
      </w:tr>
      <w:tr>
        <w:trPr>
          <w:trHeight w:val="2805" w:hRule="atLeast"/>
        </w:trPr>
        <w:tc>
          <w:tcPr>
            <w:tcW w:w="430" w:type="dxa"/>
            <w:vAlign w:val="top"/>
            <w:vMerge w:val="continue"/>
            <w:tcBorders>
              <w:top w:val="nil"/>
              <w:bottom w:val="nil"/>
            </w:tcBorders>
          </w:tcPr>
          <w:p>
            <w:pPr>
              <w:rPr>
                <w:rFonts w:ascii="Arial"/>
                <w:sz w:val="21"/>
              </w:rPr>
            </w:pPr>
            <w:r/>
          </w:p>
        </w:tc>
        <w:tc>
          <w:tcPr>
            <w:tcW w:w="1276" w:type="dxa"/>
            <w:vAlign w:val="top"/>
          </w:tcPr>
          <w:p>
            <w:pPr>
              <w:spacing w:line="249" w:lineRule="auto"/>
              <w:rPr>
                <w:rFonts w:ascii="Arial"/>
                <w:sz w:val="21"/>
              </w:rPr>
            </w:pPr>
            <w:r/>
          </w:p>
          <w:p>
            <w:pPr>
              <w:spacing w:line="249"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pStyle w:val="TableText"/>
              <w:ind w:left="11"/>
              <w:spacing w:before="58" w:line="218" w:lineRule="auto"/>
              <w:rPr>
                <w:sz w:val="18"/>
                <w:szCs w:val="18"/>
              </w:rPr>
            </w:pPr>
            <w:r>
              <w:rPr>
                <w:sz w:val="18"/>
                <w:szCs w:val="18"/>
                <w:spacing w:val="-2"/>
              </w:rPr>
              <w:t>水环境影响评价</w:t>
            </w:r>
          </w:p>
        </w:tc>
        <w:tc>
          <w:tcPr>
            <w:tcW w:w="6811" w:type="dxa"/>
            <w:vAlign w:val="top"/>
            <w:gridSpan w:val="7"/>
          </w:tcPr>
          <w:p>
            <w:pPr>
              <w:pStyle w:val="TableText"/>
              <w:ind w:left="8"/>
              <w:spacing w:before="30" w:line="181" w:lineRule="auto"/>
              <w:rPr>
                <w:rFonts w:ascii="Microsoft YaHei" w:hAnsi="Microsoft YaHei" w:eastAsia="Microsoft YaHei" w:cs="Microsoft YaHei"/>
                <w:sz w:val="18"/>
                <w:szCs w:val="18"/>
              </w:rPr>
            </w:pPr>
            <w:r>
              <w:rPr>
                <w:sz w:val="18"/>
                <w:szCs w:val="18"/>
                <w:spacing w:val="2"/>
              </w:rPr>
              <w:t>排放口混合气外满足水环境保护要求</w:t>
            </w:r>
            <w:r>
              <w:rPr>
                <w:rFonts w:ascii="Microsoft YaHei" w:hAnsi="Microsoft YaHei" w:eastAsia="Microsoft YaHei" w:cs="Microsoft YaHei"/>
                <w:sz w:val="18"/>
                <w:szCs w:val="18"/>
                <w:spacing w:val="2"/>
              </w:rPr>
              <w:t>□</w:t>
            </w:r>
          </w:p>
          <w:p>
            <w:pPr>
              <w:pStyle w:val="TableText"/>
              <w:ind w:left="10"/>
              <w:spacing w:before="1" w:line="180" w:lineRule="auto"/>
              <w:rPr>
                <w:rFonts w:ascii="Microsoft YaHei" w:hAnsi="Microsoft YaHei" w:eastAsia="Microsoft YaHei" w:cs="Microsoft YaHei"/>
                <w:sz w:val="18"/>
                <w:szCs w:val="18"/>
              </w:rPr>
            </w:pPr>
            <w:r>
              <w:rPr>
                <w:sz w:val="18"/>
                <w:szCs w:val="18"/>
                <w:spacing w:val="1"/>
              </w:rPr>
              <w:t>水环境功能区或水功能区、近岸海域环境功能区水质达标</w:t>
            </w:r>
            <w:r>
              <w:rPr>
                <w:rFonts w:ascii="Microsoft YaHei" w:hAnsi="Microsoft YaHei" w:eastAsia="Microsoft YaHei" w:cs="Microsoft YaHei"/>
                <w:sz w:val="18"/>
                <w:szCs w:val="18"/>
                <w:spacing w:val="1"/>
              </w:rPr>
              <w:t>□</w:t>
            </w:r>
          </w:p>
          <w:p>
            <w:pPr>
              <w:pStyle w:val="TableText"/>
              <w:ind w:left="8"/>
              <w:spacing w:line="182" w:lineRule="auto"/>
              <w:rPr>
                <w:rFonts w:ascii="Microsoft YaHei" w:hAnsi="Microsoft YaHei" w:eastAsia="Microsoft YaHei" w:cs="Microsoft YaHei"/>
                <w:sz w:val="18"/>
                <w:szCs w:val="18"/>
              </w:rPr>
            </w:pPr>
            <w:r>
              <w:rPr>
                <w:sz w:val="18"/>
                <w:szCs w:val="18"/>
                <w:spacing w:val="1"/>
              </w:rPr>
              <w:t>满足水环境保护目标水域水环境质量要求</w:t>
            </w:r>
            <w:r>
              <w:rPr>
                <w:rFonts w:ascii="Microsoft YaHei" w:hAnsi="Microsoft YaHei" w:eastAsia="Microsoft YaHei" w:cs="Microsoft YaHei"/>
                <w:sz w:val="18"/>
                <w:szCs w:val="18"/>
                <w:spacing w:val="1"/>
              </w:rPr>
              <w:t>□</w:t>
            </w:r>
          </w:p>
          <w:p>
            <w:pPr>
              <w:pStyle w:val="TableText"/>
              <w:ind w:left="10"/>
              <w:spacing w:before="1" w:line="180" w:lineRule="auto"/>
              <w:rPr>
                <w:rFonts w:ascii="Microsoft YaHei" w:hAnsi="Microsoft YaHei" w:eastAsia="Microsoft YaHei" w:cs="Microsoft YaHei"/>
                <w:sz w:val="18"/>
                <w:szCs w:val="18"/>
              </w:rPr>
            </w:pPr>
            <w:r>
              <w:rPr>
                <w:sz w:val="18"/>
                <w:szCs w:val="18"/>
                <w:spacing w:val="2"/>
              </w:rPr>
              <w:t>水环境控制单元或断面水质达标</w:t>
            </w:r>
            <w:r>
              <w:rPr>
                <w:rFonts w:ascii="Microsoft YaHei" w:hAnsi="Microsoft YaHei" w:eastAsia="Microsoft YaHei" w:cs="Microsoft YaHei"/>
                <w:sz w:val="18"/>
                <w:szCs w:val="18"/>
                <w:spacing w:val="2"/>
              </w:rPr>
              <w:t>□</w:t>
            </w:r>
          </w:p>
          <w:p>
            <w:pPr>
              <w:pStyle w:val="TableText"/>
              <w:ind w:left="8" w:right="3"/>
              <w:spacing w:before="1" w:line="205" w:lineRule="auto"/>
              <w:rPr>
                <w:rFonts w:ascii="Microsoft YaHei" w:hAnsi="Microsoft YaHei" w:eastAsia="Microsoft YaHei" w:cs="Microsoft YaHei"/>
                <w:sz w:val="18"/>
                <w:szCs w:val="18"/>
              </w:rPr>
            </w:pPr>
            <w:r>
              <w:rPr>
                <w:sz w:val="18"/>
                <w:szCs w:val="18"/>
                <w:spacing w:val="-1"/>
              </w:rPr>
              <w:t>满足重点水污染物排放总量控制指标要求，重点行业建设项目，主</w:t>
            </w:r>
            <w:r>
              <w:rPr>
                <w:sz w:val="18"/>
                <w:szCs w:val="18"/>
                <w:spacing w:val="-2"/>
              </w:rPr>
              <w:t>要污染物排放满足等</w:t>
            </w:r>
            <w:r>
              <w:rPr>
                <w:sz w:val="18"/>
                <w:szCs w:val="18"/>
              </w:rPr>
              <w:t xml:space="preserve"> </w:t>
            </w:r>
            <w:r>
              <w:rPr>
                <w:sz w:val="18"/>
                <w:szCs w:val="18"/>
                <w:spacing w:val="3"/>
              </w:rPr>
              <w:t>量或减量替代要求</w:t>
            </w:r>
            <w:r>
              <w:rPr>
                <w:rFonts w:ascii="Microsoft YaHei" w:hAnsi="Microsoft YaHei" w:eastAsia="Microsoft YaHei" w:cs="Microsoft YaHei"/>
                <w:sz w:val="18"/>
                <w:szCs w:val="18"/>
                <w:spacing w:val="3"/>
              </w:rPr>
              <w:t>□</w:t>
            </w:r>
          </w:p>
          <w:p>
            <w:pPr>
              <w:pStyle w:val="TableText"/>
              <w:ind w:left="8"/>
              <w:spacing w:before="1" w:line="182" w:lineRule="auto"/>
              <w:rPr>
                <w:rFonts w:ascii="Microsoft YaHei" w:hAnsi="Microsoft YaHei" w:eastAsia="Microsoft YaHei" w:cs="Microsoft YaHei"/>
                <w:sz w:val="18"/>
                <w:szCs w:val="18"/>
              </w:rPr>
            </w:pPr>
            <w:r>
              <w:rPr>
                <w:sz w:val="18"/>
                <w:szCs w:val="18"/>
                <w:spacing w:val="1"/>
              </w:rPr>
              <w:t>满足区（流）域环境质量改善目标要求</w:t>
            </w:r>
            <w:r>
              <w:rPr>
                <w:rFonts w:ascii="Microsoft YaHei" w:hAnsi="Microsoft YaHei" w:eastAsia="Microsoft YaHei" w:cs="Microsoft YaHei"/>
                <w:sz w:val="18"/>
                <w:szCs w:val="18"/>
                <w:spacing w:val="1"/>
              </w:rPr>
              <w:t>□</w:t>
            </w:r>
          </w:p>
          <w:p>
            <w:pPr>
              <w:pStyle w:val="TableText"/>
              <w:ind w:left="8" w:right="3" w:firstLine="2"/>
              <w:spacing w:before="2" w:line="205" w:lineRule="auto"/>
              <w:rPr>
                <w:rFonts w:ascii="Microsoft YaHei" w:hAnsi="Microsoft YaHei" w:eastAsia="Microsoft YaHei" w:cs="Microsoft YaHei"/>
                <w:sz w:val="18"/>
                <w:szCs w:val="18"/>
              </w:rPr>
            </w:pPr>
            <w:r>
              <w:rPr>
                <w:sz w:val="18"/>
                <w:szCs w:val="18"/>
                <w:spacing w:val="-1"/>
              </w:rPr>
              <w:t>水文要素影响型建设项目同时应包括水文情势变化评价、主要</w:t>
            </w:r>
            <w:r>
              <w:rPr>
                <w:sz w:val="18"/>
                <w:szCs w:val="18"/>
                <w:spacing w:val="-2"/>
              </w:rPr>
              <w:t>水文特征值影响评价、生</w:t>
            </w:r>
            <w:r>
              <w:rPr>
                <w:sz w:val="18"/>
                <w:szCs w:val="18"/>
              </w:rPr>
              <w:t xml:space="preserve"> </w:t>
            </w:r>
            <w:r>
              <w:rPr>
                <w:sz w:val="18"/>
                <w:szCs w:val="18"/>
                <w:spacing w:val="3"/>
              </w:rPr>
              <w:t>态流量符合性评价</w:t>
            </w:r>
            <w:r>
              <w:rPr>
                <w:rFonts w:ascii="Microsoft YaHei" w:hAnsi="Microsoft YaHei" w:eastAsia="Microsoft YaHei" w:cs="Microsoft YaHei"/>
                <w:sz w:val="18"/>
                <w:szCs w:val="18"/>
                <w:spacing w:val="3"/>
              </w:rPr>
              <w:t>□</w:t>
            </w:r>
          </w:p>
          <w:p>
            <w:pPr>
              <w:pStyle w:val="TableText"/>
              <w:ind w:left="8" w:right="3" w:hanging="1"/>
              <w:spacing w:before="2" w:line="206" w:lineRule="auto"/>
              <w:rPr>
                <w:rFonts w:ascii="Microsoft YaHei" w:hAnsi="Microsoft YaHei" w:eastAsia="Microsoft YaHei" w:cs="Microsoft YaHei"/>
                <w:sz w:val="18"/>
                <w:szCs w:val="18"/>
              </w:rPr>
            </w:pPr>
            <w:r>
              <w:rPr>
                <w:sz w:val="18"/>
                <w:szCs w:val="18"/>
                <w:spacing w:val="-1"/>
              </w:rPr>
              <w:t>对于新设或调整入河（湖库、近岸海域）排放口的建设项目，应包括</w:t>
            </w:r>
            <w:r>
              <w:rPr>
                <w:sz w:val="18"/>
                <w:szCs w:val="18"/>
                <w:spacing w:val="-2"/>
              </w:rPr>
              <w:t>排放口设置的环境</w:t>
            </w:r>
            <w:r>
              <w:rPr>
                <w:sz w:val="18"/>
                <w:szCs w:val="18"/>
              </w:rPr>
              <w:t xml:space="preserve"> </w:t>
            </w:r>
            <w:r>
              <w:rPr>
                <w:sz w:val="18"/>
                <w:szCs w:val="18"/>
                <w:spacing w:val="5"/>
              </w:rPr>
              <w:t>合理性评价</w:t>
            </w:r>
            <w:r>
              <w:rPr>
                <w:rFonts w:ascii="Microsoft YaHei" w:hAnsi="Microsoft YaHei" w:eastAsia="Microsoft YaHei" w:cs="Microsoft YaHei"/>
                <w:sz w:val="18"/>
                <w:szCs w:val="18"/>
                <w:spacing w:val="5"/>
              </w:rPr>
              <w:t>□</w:t>
            </w:r>
          </w:p>
          <w:p>
            <w:pPr>
              <w:pStyle w:val="TableText"/>
              <w:ind w:left="8"/>
              <w:spacing w:line="197" w:lineRule="exact"/>
              <w:rPr>
                <w:rFonts w:ascii="Microsoft YaHei" w:hAnsi="Microsoft YaHei" w:eastAsia="Microsoft YaHei" w:cs="Microsoft YaHei"/>
                <w:sz w:val="18"/>
                <w:szCs w:val="18"/>
              </w:rPr>
            </w:pPr>
            <w:r>
              <w:rPr>
                <w:sz w:val="18"/>
                <w:szCs w:val="18"/>
                <w:spacing w:val="1"/>
                <w:position w:val="-1"/>
              </w:rPr>
              <w:t>满足生态保护红线、水环境质量底线、资源利用上线和环境准入清单管理要求</w:t>
            </w:r>
            <w:r>
              <w:rPr>
                <w:rFonts w:ascii="Microsoft YaHei" w:hAnsi="Microsoft YaHei" w:eastAsia="Microsoft YaHei" w:cs="Microsoft YaHei"/>
                <w:sz w:val="18"/>
                <w:szCs w:val="18"/>
                <w:spacing w:val="1"/>
                <w:position w:val="-1"/>
              </w:rPr>
              <w:t>□</w:t>
            </w:r>
          </w:p>
        </w:tc>
      </w:tr>
      <w:tr>
        <w:trPr>
          <w:trHeight w:val="238" w:hRule="atLeast"/>
        </w:trPr>
        <w:tc>
          <w:tcPr>
            <w:tcW w:w="430" w:type="dxa"/>
            <w:vAlign w:val="top"/>
            <w:vMerge w:val="continue"/>
            <w:tcBorders>
              <w:top w:val="nil"/>
              <w:bottom w:val="nil"/>
            </w:tcBorders>
          </w:tcPr>
          <w:p>
            <w:pPr>
              <w:rPr>
                <w:rFonts w:ascii="Arial"/>
                <w:sz w:val="21"/>
              </w:rPr>
            </w:pPr>
            <w:r/>
          </w:p>
        </w:tc>
        <w:tc>
          <w:tcPr>
            <w:tcW w:w="1276" w:type="dxa"/>
            <w:vAlign w:val="top"/>
            <w:vMerge w:val="restart"/>
            <w:tcBorders>
              <w:bottom w:val="nil"/>
            </w:tcBorders>
          </w:tcPr>
          <w:p>
            <w:pPr>
              <w:pStyle w:val="TableText"/>
              <w:ind w:left="11"/>
              <w:spacing w:before="35" w:line="220" w:lineRule="auto"/>
              <w:rPr>
                <w:sz w:val="18"/>
                <w:szCs w:val="18"/>
              </w:rPr>
            </w:pPr>
            <w:r>
              <w:rPr>
                <w:sz w:val="18"/>
                <w:szCs w:val="18"/>
                <w:spacing w:val="-2"/>
              </w:rPr>
              <w:t>污染物排放量核</w:t>
            </w:r>
          </w:p>
          <w:p>
            <w:pPr>
              <w:pStyle w:val="TableText"/>
              <w:ind w:left="551"/>
              <w:spacing w:before="18" w:line="209" w:lineRule="auto"/>
              <w:rPr>
                <w:sz w:val="18"/>
                <w:szCs w:val="18"/>
              </w:rPr>
            </w:pPr>
            <w:r>
              <w:rPr>
                <w:sz w:val="18"/>
                <w:szCs w:val="18"/>
              </w:rPr>
              <w:t>算</w:t>
            </w:r>
          </w:p>
        </w:tc>
        <w:tc>
          <w:tcPr>
            <w:tcW w:w="2644" w:type="dxa"/>
            <w:vAlign w:val="top"/>
            <w:gridSpan w:val="3"/>
          </w:tcPr>
          <w:p>
            <w:pPr>
              <w:pStyle w:val="TableText"/>
              <w:ind w:left="875"/>
              <w:spacing w:before="31" w:line="202" w:lineRule="auto"/>
              <w:rPr>
                <w:sz w:val="18"/>
                <w:szCs w:val="18"/>
              </w:rPr>
            </w:pPr>
            <w:r>
              <w:rPr>
                <w:sz w:val="18"/>
                <w:szCs w:val="18"/>
                <w:spacing w:val="-2"/>
              </w:rPr>
              <w:t>污染物名称</w:t>
            </w:r>
          </w:p>
        </w:tc>
        <w:tc>
          <w:tcPr>
            <w:tcW w:w="1755" w:type="dxa"/>
            <w:vAlign w:val="top"/>
            <w:gridSpan w:val="2"/>
          </w:tcPr>
          <w:p>
            <w:pPr>
              <w:pStyle w:val="TableText"/>
              <w:ind w:left="316"/>
              <w:spacing w:before="31" w:line="202" w:lineRule="auto"/>
              <w:rPr>
                <w:sz w:val="18"/>
                <w:szCs w:val="18"/>
              </w:rPr>
            </w:pPr>
            <w:r>
              <w:rPr>
                <w:sz w:val="18"/>
                <w:szCs w:val="18"/>
                <w:spacing w:val="-1"/>
              </w:rPr>
              <w:t>排放量</w:t>
            </w:r>
            <w:r>
              <w:rPr>
                <w:rFonts w:ascii="Times New Roman" w:hAnsi="Times New Roman" w:eastAsia="Times New Roman" w:cs="Times New Roman"/>
                <w:sz w:val="18"/>
                <w:szCs w:val="18"/>
                <w:spacing w:val="-1"/>
              </w:rPr>
              <w:t>/</w:t>
            </w:r>
            <w:r>
              <w:rPr>
                <w:sz w:val="18"/>
                <w:szCs w:val="18"/>
                <w:spacing w:val="-1"/>
              </w:rPr>
              <w:t>（</w:t>
            </w:r>
            <w:r>
              <w:rPr>
                <w:rFonts w:ascii="Times New Roman" w:hAnsi="Times New Roman" w:eastAsia="Times New Roman" w:cs="Times New Roman"/>
                <w:sz w:val="18"/>
                <w:szCs w:val="18"/>
                <w:spacing w:val="-1"/>
              </w:rPr>
              <w:t>t/a</w:t>
            </w:r>
            <w:r>
              <w:rPr>
                <w:sz w:val="18"/>
                <w:szCs w:val="18"/>
                <w:spacing w:val="-1"/>
              </w:rPr>
              <w:t>）</w:t>
            </w:r>
          </w:p>
        </w:tc>
        <w:tc>
          <w:tcPr>
            <w:tcW w:w="2412" w:type="dxa"/>
            <w:vAlign w:val="top"/>
            <w:gridSpan w:val="2"/>
          </w:tcPr>
          <w:p>
            <w:pPr>
              <w:pStyle w:val="TableText"/>
              <w:ind w:left="449"/>
              <w:spacing w:before="31" w:line="202" w:lineRule="auto"/>
              <w:rPr>
                <w:sz w:val="18"/>
                <w:szCs w:val="18"/>
              </w:rPr>
            </w:pPr>
            <w:r>
              <w:rPr>
                <w:sz w:val="18"/>
                <w:szCs w:val="18"/>
                <w:spacing w:val="-1"/>
              </w:rPr>
              <w:t>排放浓度</w:t>
            </w:r>
            <w:r>
              <w:rPr>
                <w:rFonts w:ascii="Times New Roman" w:hAnsi="Times New Roman" w:eastAsia="Times New Roman" w:cs="Times New Roman"/>
                <w:sz w:val="18"/>
                <w:szCs w:val="18"/>
                <w:spacing w:val="-1"/>
              </w:rPr>
              <w:t>/</w:t>
            </w:r>
            <w:r>
              <w:rPr>
                <w:sz w:val="18"/>
                <w:szCs w:val="18"/>
                <w:spacing w:val="-1"/>
              </w:rPr>
              <w:t>（</w:t>
            </w:r>
            <w:r>
              <w:rPr>
                <w:rFonts w:ascii="Times New Roman" w:hAnsi="Times New Roman" w:eastAsia="Times New Roman" w:cs="Times New Roman"/>
                <w:sz w:val="18"/>
                <w:szCs w:val="18"/>
                <w:spacing w:val="-1"/>
              </w:rPr>
              <w:t>mg/L</w:t>
            </w:r>
            <w:r>
              <w:rPr>
                <w:sz w:val="18"/>
                <w:szCs w:val="18"/>
                <w:spacing w:val="-1"/>
              </w:rPr>
              <w:t>）</w:t>
            </w:r>
          </w:p>
        </w:tc>
      </w:tr>
      <w:tr>
        <w:trPr>
          <w:trHeight w:val="239" w:hRule="atLeast"/>
        </w:trPr>
        <w:tc>
          <w:tcPr>
            <w:tcW w:w="430" w:type="dxa"/>
            <w:vAlign w:val="top"/>
            <w:vMerge w:val="continue"/>
            <w:tcBorders>
              <w:top w:val="nil"/>
              <w:bottom w:val="nil"/>
            </w:tcBorders>
          </w:tcPr>
          <w:p>
            <w:pPr>
              <w:rPr>
                <w:rFonts w:ascii="Arial"/>
                <w:sz w:val="21"/>
              </w:rPr>
            </w:pPr>
            <w:r/>
          </w:p>
        </w:tc>
        <w:tc>
          <w:tcPr>
            <w:tcW w:w="1276" w:type="dxa"/>
            <w:vAlign w:val="top"/>
            <w:vMerge w:val="continue"/>
            <w:tcBorders>
              <w:top w:val="nil"/>
            </w:tcBorders>
          </w:tcPr>
          <w:p>
            <w:pPr>
              <w:rPr>
                <w:rFonts w:ascii="Arial"/>
                <w:sz w:val="21"/>
              </w:rPr>
            </w:pPr>
            <w:r/>
          </w:p>
        </w:tc>
        <w:tc>
          <w:tcPr>
            <w:tcW w:w="2644" w:type="dxa"/>
            <w:vAlign w:val="top"/>
            <w:gridSpan w:val="3"/>
          </w:tcPr>
          <w:p>
            <w:pPr>
              <w:pStyle w:val="TableText"/>
              <w:ind w:left="1060"/>
              <w:spacing w:before="33" w:line="201" w:lineRule="auto"/>
              <w:rPr>
                <w:sz w:val="18"/>
                <w:szCs w:val="18"/>
              </w:rPr>
            </w:pPr>
            <w:r>
              <w:rPr>
                <w:sz w:val="18"/>
                <w:szCs w:val="18"/>
                <w:spacing w:val="-15"/>
                <w:w w:val="95"/>
              </w:rPr>
              <w:t>(</w:t>
            </w:r>
            <w:r>
              <w:rPr>
                <w:sz w:val="18"/>
                <w:szCs w:val="18"/>
                <w:spacing w:val="13"/>
              </w:rPr>
              <w:t xml:space="preserve">    </w:t>
            </w:r>
            <w:r>
              <w:rPr>
                <w:sz w:val="18"/>
                <w:szCs w:val="18"/>
                <w:spacing w:val="-15"/>
                <w:w w:val="95"/>
              </w:rPr>
              <w:t>)</w:t>
            </w:r>
          </w:p>
        </w:tc>
        <w:tc>
          <w:tcPr>
            <w:tcW w:w="1755" w:type="dxa"/>
            <w:vAlign w:val="top"/>
            <w:gridSpan w:val="2"/>
          </w:tcPr>
          <w:p>
            <w:pPr>
              <w:pStyle w:val="TableText"/>
              <w:ind w:left="617"/>
              <w:spacing w:before="33" w:line="201" w:lineRule="auto"/>
              <w:rPr>
                <w:sz w:val="18"/>
                <w:szCs w:val="18"/>
              </w:rPr>
            </w:pPr>
            <w:r>
              <w:rPr>
                <w:sz w:val="18"/>
                <w:szCs w:val="18"/>
                <w:spacing w:val="-15"/>
                <w:w w:val="95"/>
              </w:rPr>
              <w:t>(</w:t>
            </w:r>
            <w:r>
              <w:rPr>
                <w:sz w:val="18"/>
                <w:szCs w:val="18"/>
                <w:spacing w:val="13"/>
              </w:rPr>
              <w:t xml:space="preserve">    </w:t>
            </w:r>
            <w:r>
              <w:rPr>
                <w:sz w:val="18"/>
                <w:szCs w:val="18"/>
                <w:spacing w:val="-15"/>
                <w:w w:val="95"/>
              </w:rPr>
              <w:t>)</w:t>
            </w:r>
          </w:p>
        </w:tc>
        <w:tc>
          <w:tcPr>
            <w:tcW w:w="2412" w:type="dxa"/>
            <w:vAlign w:val="top"/>
            <w:gridSpan w:val="2"/>
          </w:tcPr>
          <w:p>
            <w:pPr>
              <w:pStyle w:val="TableText"/>
              <w:ind w:left="945"/>
              <w:spacing w:before="33" w:line="201" w:lineRule="auto"/>
              <w:rPr>
                <w:sz w:val="18"/>
                <w:szCs w:val="18"/>
              </w:rPr>
            </w:pPr>
            <w:r>
              <w:rPr>
                <w:sz w:val="18"/>
                <w:szCs w:val="18"/>
                <w:spacing w:val="-15"/>
                <w:w w:val="95"/>
              </w:rPr>
              <w:t>(</w:t>
            </w:r>
            <w:r>
              <w:rPr>
                <w:sz w:val="18"/>
                <w:szCs w:val="18"/>
                <w:spacing w:val="13"/>
              </w:rPr>
              <w:t xml:space="preserve">    </w:t>
            </w:r>
            <w:r>
              <w:rPr>
                <w:sz w:val="18"/>
                <w:szCs w:val="18"/>
                <w:spacing w:val="-15"/>
                <w:w w:val="95"/>
              </w:rPr>
              <w:t>)</w:t>
            </w:r>
          </w:p>
        </w:tc>
      </w:tr>
      <w:tr>
        <w:trPr>
          <w:trHeight w:val="238" w:hRule="atLeast"/>
        </w:trPr>
        <w:tc>
          <w:tcPr>
            <w:tcW w:w="430" w:type="dxa"/>
            <w:vAlign w:val="top"/>
            <w:vMerge w:val="continue"/>
            <w:tcBorders>
              <w:top w:val="nil"/>
              <w:bottom w:val="nil"/>
            </w:tcBorders>
          </w:tcPr>
          <w:p>
            <w:pPr>
              <w:rPr>
                <w:rFonts w:ascii="Arial"/>
                <w:sz w:val="21"/>
              </w:rPr>
            </w:pPr>
            <w:r/>
          </w:p>
        </w:tc>
        <w:tc>
          <w:tcPr>
            <w:tcW w:w="1276" w:type="dxa"/>
            <w:vAlign w:val="top"/>
            <w:vMerge w:val="restart"/>
            <w:tcBorders>
              <w:bottom w:val="nil"/>
            </w:tcBorders>
          </w:tcPr>
          <w:p>
            <w:pPr>
              <w:pStyle w:val="TableText"/>
              <w:ind w:left="17"/>
              <w:spacing w:before="36" w:line="219" w:lineRule="auto"/>
              <w:rPr>
                <w:sz w:val="18"/>
                <w:szCs w:val="18"/>
              </w:rPr>
            </w:pPr>
            <w:r>
              <w:rPr>
                <w:sz w:val="18"/>
                <w:szCs w:val="18"/>
                <w:spacing w:val="-3"/>
              </w:rPr>
              <w:t>替代源排放量情</w:t>
            </w:r>
          </w:p>
          <w:p>
            <w:pPr>
              <w:pStyle w:val="TableText"/>
              <w:ind w:left="551"/>
              <w:spacing w:before="18" w:line="208" w:lineRule="auto"/>
              <w:rPr>
                <w:sz w:val="18"/>
                <w:szCs w:val="18"/>
              </w:rPr>
            </w:pPr>
            <w:r>
              <w:rPr>
                <w:sz w:val="18"/>
                <w:szCs w:val="18"/>
              </w:rPr>
              <w:t>况</w:t>
            </w:r>
          </w:p>
        </w:tc>
        <w:tc>
          <w:tcPr>
            <w:tcW w:w="2153" w:type="dxa"/>
            <w:vAlign w:val="top"/>
            <w:gridSpan w:val="2"/>
          </w:tcPr>
          <w:p>
            <w:pPr>
              <w:pStyle w:val="TableText"/>
              <w:ind w:left="631"/>
              <w:spacing w:before="31" w:line="202" w:lineRule="auto"/>
              <w:rPr>
                <w:sz w:val="18"/>
                <w:szCs w:val="18"/>
              </w:rPr>
            </w:pPr>
            <w:r>
              <w:rPr>
                <w:sz w:val="18"/>
                <w:szCs w:val="18"/>
                <w:spacing w:val="-2"/>
              </w:rPr>
              <w:t>污染源名称</w:t>
            </w:r>
          </w:p>
        </w:tc>
        <w:tc>
          <w:tcPr>
            <w:tcW w:w="1345" w:type="dxa"/>
            <w:vAlign w:val="top"/>
            <w:gridSpan w:val="2"/>
          </w:tcPr>
          <w:p>
            <w:pPr>
              <w:pStyle w:val="TableText"/>
              <w:ind w:left="46"/>
              <w:spacing w:before="31" w:line="202" w:lineRule="auto"/>
              <w:rPr>
                <w:sz w:val="18"/>
                <w:szCs w:val="18"/>
              </w:rPr>
            </w:pPr>
            <w:r>
              <w:rPr>
                <w:sz w:val="18"/>
                <w:szCs w:val="18"/>
                <w:spacing w:val="-2"/>
              </w:rPr>
              <w:t>排污许可证编号</w:t>
            </w:r>
          </w:p>
        </w:tc>
        <w:tc>
          <w:tcPr>
            <w:tcW w:w="901" w:type="dxa"/>
            <w:vAlign w:val="top"/>
          </w:tcPr>
          <w:p>
            <w:pPr>
              <w:pStyle w:val="TableText"/>
              <w:ind w:left="95"/>
              <w:spacing w:before="31" w:line="202" w:lineRule="auto"/>
              <w:rPr>
                <w:sz w:val="18"/>
                <w:szCs w:val="18"/>
              </w:rPr>
            </w:pPr>
            <w:r>
              <w:rPr>
                <w:sz w:val="18"/>
                <w:szCs w:val="18"/>
                <w:spacing w:val="-13"/>
                <w:w w:val="90"/>
              </w:rPr>
              <w:t>污染物名称</w:t>
            </w:r>
          </w:p>
        </w:tc>
        <w:tc>
          <w:tcPr>
            <w:tcW w:w="976" w:type="dxa"/>
            <w:vAlign w:val="top"/>
          </w:tcPr>
          <w:p>
            <w:pPr>
              <w:pStyle w:val="TableText"/>
              <w:ind w:left="224"/>
              <w:spacing w:before="31" w:line="202" w:lineRule="auto"/>
              <w:rPr>
                <w:sz w:val="18"/>
                <w:szCs w:val="18"/>
              </w:rPr>
            </w:pPr>
            <w:r>
              <w:rPr>
                <w:sz w:val="18"/>
                <w:szCs w:val="18"/>
                <w:spacing w:val="-3"/>
              </w:rPr>
              <w:t>排放量</w:t>
            </w:r>
          </w:p>
        </w:tc>
        <w:tc>
          <w:tcPr>
            <w:tcW w:w="1436" w:type="dxa"/>
            <w:vAlign w:val="top"/>
          </w:tcPr>
          <w:p>
            <w:pPr>
              <w:pStyle w:val="TableText"/>
              <w:spacing w:before="31" w:line="202" w:lineRule="auto"/>
              <w:jc w:val="right"/>
              <w:rPr>
                <w:sz w:val="18"/>
                <w:szCs w:val="18"/>
              </w:rPr>
            </w:pPr>
            <w:r>
              <w:rPr>
                <w:sz w:val="18"/>
                <w:szCs w:val="18"/>
                <w:spacing w:val="-10"/>
              </w:rPr>
              <w:t>排放浓度</w:t>
            </w:r>
            <w:r>
              <w:rPr>
                <w:rFonts w:ascii="Times New Roman" w:hAnsi="Times New Roman" w:eastAsia="Times New Roman" w:cs="Times New Roman"/>
                <w:sz w:val="18"/>
                <w:szCs w:val="18"/>
                <w:spacing w:val="-10"/>
              </w:rPr>
              <w:t>/</w:t>
            </w:r>
            <w:r>
              <w:rPr>
                <w:sz w:val="18"/>
                <w:szCs w:val="18"/>
                <w:spacing w:val="-10"/>
              </w:rPr>
              <w:t>（</w:t>
            </w:r>
            <w:r>
              <w:rPr>
                <w:rFonts w:ascii="Times New Roman" w:hAnsi="Times New Roman" w:eastAsia="Times New Roman" w:cs="Times New Roman"/>
                <w:sz w:val="18"/>
                <w:szCs w:val="18"/>
                <w:spacing w:val="-10"/>
              </w:rPr>
              <w:t>mg/L</w:t>
            </w:r>
            <w:r>
              <w:rPr>
                <w:sz w:val="18"/>
                <w:szCs w:val="18"/>
                <w:spacing w:val="-10"/>
              </w:rPr>
              <w:t>）</w:t>
            </w:r>
          </w:p>
        </w:tc>
      </w:tr>
      <w:tr>
        <w:trPr>
          <w:trHeight w:val="238" w:hRule="atLeast"/>
        </w:trPr>
        <w:tc>
          <w:tcPr>
            <w:tcW w:w="430" w:type="dxa"/>
            <w:vAlign w:val="top"/>
            <w:vMerge w:val="continue"/>
            <w:tcBorders>
              <w:top w:val="nil"/>
              <w:bottom w:val="nil"/>
            </w:tcBorders>
          </w:tcPr>
          <w:p>
            <w:pPr>
              <w:rPr>
                <w:rFonts w:ascii="Arial"/>
                <w:sz w:val="21"/>
              </w:rPr>
            </w:pPr>
            <w:r/>
          </w:p>
        </w:tc>
        <w:tc>
          <w:tcPr>
            <w:tcW w:w="1276" w:type="dxa"/>
            <w:vAlign w:val="top"/>
            <w:vMerge w:val="continue"/>
            <w:tcBorders>
              <w:top w:val="nil"/>
            </w:tcBorders>
          </w:tcPr>
          <w:p>
            <w:pPr>
              <w:rPr>
                <w:rFonts w:ascii="Arial"/>
                <w:sz w:val="21"/>
              </w:rPr>
            </w:pPr>
            <w:r/>
          </w:p>
        </w:tc>
        <w:tc>
          <w:tcPr>
            <w:tcW w:w="2153" w:type="dxa"/>
            <w:vAlign w:val="top"/>
            <w:gridSpan w:val="2"/>
          </w:tcPr>
          <w:p>
            <w:pPr>
              <w:pStyle w:val="TableText"/>
              <w:ind w:left="815"/>
              <w:spacing w:before="30" w:line="203" w:lineRule="auto"/>
              <w:rPr>
                <w:sz w:val="18"/>
                <w:szCs w:val="18"/>
              </w:rPr>
            </w:pPr>
            <w:r>
              <w:rPr>
                <w:sz w:val="18"/>
                <w:szCs w:val="18"/>
                <w:spacing w:val="-15"/>
                <w:w w:val="95"/>
              </w:rPr>
              <w:t>(</w:t>
            </w:r>
            <w:r>
              <w:rPr>
                <w:sz w:val="18"/>
                <w:szCs w:val="18"/>
                <w:spacing w:val="13"/>
              </w:rPr>
              <w:t xml:space="preserve">    </w:t>
            </w:r>
            <w:r>
              <w:rPr>
                <w:sz w:val="18"/>
                <w:szCs w:val="18"/>
                <w:spacing w:val="-15"/>
                <w:w w:val="95"/>
              </w:rPr>
              <w:t>)</w:t>
            </w:r>
          </w:p>
        </w:tc>
        <w:tc>
          <w:tcPr>
            <w:tcW w:w="1345" w:type="dxa"/>
            <w:vAlign w:val="top"/>
            <w:gridSpan w:val="2"/>
          </w:tcPr>
          <w:p>
            <w:pPr>
              <w:pStyle w:val="TableText"/>
              <w:ind w:left="412"/>
              <w:spacing w:before="30" w:line="203" w:lineRule="auto"/>
              <w:rPr>
                <w:sz w:val="18"/>
                <w:szCs w:val="18"/>
              </w:rPr>
            </w:pPr>
            <w:r>
              <w:rPr>
                <w:sz w:val="18"/>
                <w:szCs w:val="18"/>
                <w:spacing w:val="-15"/>
                <w:w w:val="95"/>
              </w:rPr>
              <w:t>(</w:t>
            </w:r>
            <w:r>
              <w:rPr>
                <w:sz w:val="18"/>
                <w:szCs w:val="18"/>
                <w:spacing w:val="13"/>
              </w:rPr>
              <w:t xml:space="preserve">    </w:t>
            </w:r>
            <w:r>
              <w:rPr>
                <w:sz w:val="18"/>
                <w:szCs w:val="18"/>
                <w:spacing w:val="-15"/>
                <w:w w:val="95"/>
              </w:rPr>
              <w:t>)</w:t>
            </w:r>
          </w:p>
        </w:tc>
        <w:tc>
          <w:tcPr>
            <w:tcW w:w="901" w:type="dxa"/>
            <w:vAlign w:val="top"/>
          </w:tcPr>
          <w:p>
            <w:pPr>
              <w:pStyle w:val="TableText"/>
              <w:ind w:left="190"/>
              <w:spacing w:before="30" w:line="203" w:lineRule="auto"/>
              <w:rPr>
                <w:sz w:val="18"/>
                <w:szCs w:val="18"/>
              </w:rPr>
            </w:pPr>
            <w:r>
              <w:rPr>
                <w:sz w:val="18"/>
                <w:szCs w:val="18"/>
                <w:spacing w:val="-15"/>
                <w:w w:val="95"/>
              </w:rPr>
              <w:t>(</w:t>
            </w:r>
            <w:r>
              <w:rPr>
                <w:sz w:val="18"/>
                <w:szCs w:val="18"/>
                <w:spacing w:val="13"/>
              </w:rPr>
              <w:t xml:space="preserve">    </w:t>
            </w:r>
            <w:r>
              <w:rPr>
                <w:sz w:val="18"/>
                <w:szCs w:val="18"/>
                <w:spacing w:val="-15"/>
                <w:w w:val="95"/>
              </w:rPr>
              <w:t>)</w:t>
            </w:r>
          </w:p>
        </w:tc>
        <w:tc>
          <w:tcPr>
            <w:tcW w:w="976" w:type="dxa"/>
            <w:vAlign w:val="top"/>
          </w:tcPr>
          <w:p>
            <w:pPr>
              <w:pStyle w:val="TableText"/>
              <w:ind w:left="227"/>
              <w:spacing w:before="30" w:line="203" w:lineRule="auto"/>
              <w:rPr>
                <w:sz w:val="18"/>
                <w:szCs w:val="18"/>
              </w:rPr>
            </w:pPr>
            <w:r>
              <w:rPr>
                <w:sz w:val="18"/>
                <w:szCs w:val="18"/>
                <w:spacing w:val="-15"/>
                <w:w w:val="95"/>
              </w:rPr>
              <w:t>(</w:t>
            </w:r>
            <w:r>
              <w:rPr>
                <w:sz w:val="18"/>
                <w:szCs w:val="18"/>
                <w:spacing w:val="13"/>
              </w:rPr>
              <w:t xml:space="preserve">    </w:t>
            </w:r>
            <w:r>
              <w:rPr>
                <w:sz w:val="18"/>
                <w:szCs w:val="18"/>
                <w:spacing w:val="-15"/>
                <w:w w:val="95"/>
              </w:rPr>
              <w:t>)</w:t>
            </w:r>
          </w:p>
        </w:tc>
        <w:tc>
          <w:tcPr>
            <w:tcW w:w="1436" w:type="dxa"/>
            <w:vAlign w:val="top"/>
          </w:tcPr>
          <w:p>
            <w:pPr>
              <w:pStyle w:val="TableText"/>
              <w:ind w:left="456"/>
              <w:spacing w:before="30" w:line="203" w:lineRule="auto"/>
              <w:rPr>
                <w:sz w:val="18"/>
                <w:szCs w:val="18"/>
              </w:rPr>
            </w:pPr>
            <w:r>
              <w:rPr>
                <w:sz w:val="18"/>
                <w:szCs w:val="18"/>
                <w:spacing w:val="-15"/>
                <w:w w:val="95"/>
              </w:rPr>
              <w:t>(</w:t>
            </w:r>
            <w:r>
              <w:rPr>
                <w:sz w:val="18"/>
                <w:szCs w:val="18"/>
                <w:spacing w:val="13"/>
              </w:rPr>
              <w:t xml:space="preserve">    </w:t>
            </w:r>
            <w:r>
              <w:rPr>
                <w:sz w:val="18"/>
                <w:szCs w:val="18"/>
                <w:spacing w:val="-15"/>
                <w:w w:val="95"/>
              </w:rPr>
              <w:t>)</w:t>
            </w:r>
          </w:p>
        </w:tc>
      </w:tr>
      <w:tr>
        <w:trPr>
          <w:trHeight w:val="472" w:hRule="atLeast"/>
        </w:trPr>
        <w:tc>
          <w:tcPr>
            <w:tcW w:w="430" w:type="dxa"/>
            <w:vAlign w:val="top"/>
            <w:vMerge w:val="continue"/>
            <w:tcBorders>
              <w:top w:val="nil"/>
            </w:tcBorders>
          </w:tcPr>
          <w:p>
            <w:pPr>
              <w:rPr>
                <w:rFonts w:ascii="Arial"/>
                <w:sz w:val="21"/>
              </w:rPr>
            </w:pPr>
            <w:r/>
          </w:p>
        </w:tc>
        <w:tc>
          <w:tcPr>
            <w:tcW w:w="1276" w:type="dxa"/>
            <w:vAlign w:val="top"/>
          </w:tcPr>
          <w:p>
            <w:pPr>
              <w:pStyle w:val="TableText"/>
              <w:ind w:left="102"/>
              <w:spacing w:before="147" w:line="220" w:lineRule="auto"/>
              <w:rPr>
                <w:sz w:val="18"/>
                <w:szCs w:val="18"/>
              </w:rPr>
            </w:pPr>
            <w:r>
              <w:rPr>
                <w:sz w:val="18"/>
                <w:szCs w:val="18"/>
                <w:spacing w:val="-2"/>
              </w:rPr>
              <w:t>生态流量确定</w:t>
            </w:r>
          </w:p>
        </w:tc>
        <w:tc>
          <w:tcPr>
            <w:tcW w:w="6811" w:type="dxa"/>
            <w:vAlign w:val="top"/>
            <w:gridSpan w:val="7"/>
          </w:tcPr>
          <w:p>
            <w:pPr>
              <w:pStyle w:val="TableText"/>
              <w:ind w:left="9"/>
              <w:spacing w:before="32" w:line="219" w:lineRule="auto"/>
              <w:rPr>
                <w:rFonts w:ascii="Times New Roman" w:hAnsi="Times New Roman" w:eastAsia="Times New Roman" w:cs="Times New Roman"/>
                <w:sz w:val="18"/>
                <w:szCs w:val="18"/>
              </w:rPr>
            </w:pPr>
            <w:r>
              <w:rPr>
                <w:sz w:val="18"/>
                <w:szCs w:val="18"/>
              </w:rPr>
              <w:t>生态流量：一般水期</w:t>
            </w:r>
            <w:r>
              <w:rPr>
                <w:sz w:val="18"/>
                <w:szCs w:val="18"/>
                <w:spacing w:val="-26"/>
              </w:rPr>
              <w:t>（</w:t>
            </w:r>
            <w:r>
              <w:rPr>
                <w:sz w:val="18"/>
                <w:szCs w:val="18"/>
                <w:spacing w:val="28"/>
              </w:rPr>
              <w:t xml:space="preserve">  </w:t>
            </w:r>
            <w:r>
              <w:rPr>
                <w:sz w:val="18"/>
                <w:szCs w:val="18"/>
                <w:spacing w:val="-26"/>
              </w:rPr>
              <w:t>）</w:t>
            </w:r>
            <w:r>
              <w:rPr>
                <w:rFonts w:ascii="Times New Roman" w:hAnsi="Times New Roman" w:eastAsia="Times New Roman" w:cs="Times New Roman"/>
                <w:sz w:val="18"/>
                <w:szCs w:val="18"/>
              </w:rPr>
              <w:t>m</w:t>
            </w:r>
            <w:r>
              <w:rPr>
                <w:rFonts w:ascii="Times New Roman" w:hAnsi="Times New Roman" w:eastAsia="Times New Roman" w:cs="Times New Roman"/>
                <w:sz w:val="11"/>
                <w:szCs w:val="11"/>
                <w:position w:val="5"/>
              </w:rPr>
              <w:t>3</w:t>
            </w:r>
            <w:r>
              <w:rPr>
                <w:rFonts w:ascii="Times New Roman" w:hAnsi="Times New Roman" w:eastAsia="Times New Roman" w:cs="Times New Roman"/>
                <w:sz w:val="18"/>
                <w:szCs w:val="18"/>
              </w:rPr>
              <w:t>/s</w:t>
            </w:r>
            <w:r>
              <w:rPr>
                <w:sz w:val="18"/>
                <w:szCs w:val="18"/>
              </w:rPr>
              <w:t>；鱼类繁殖期</w:t>
            </w:r>
            <w:r>
              <w:rPr>
                <w:sz w:val="18"/>
                <w:szCs w:val="18"/>
                <w:spacing w:val="-26"/>
              </w:rPr>
              <w:t>（</w:t>
            </w:r>
            <w:r>
              <w:rPr>
                <w:sz w:val="18"/>
                <w:szCs w:val="18"/>
                <w:spacing w:val="26"/>
              </w:rPr>
              <w:t xml:space="preserve">  </w:t>
            </w:r>
            <w:r>
              <w:rPr>
                <w:sz w:val="18"/>
                <w:szCs w:val="18"/>
                <w:spacing w:val="-26"/>
              </w:rPr>
              <w:t>）</w:t>
            </w:r>
            <w:r>
              <w:rPr>
                <w:rFonts w:ascii="Times New Roman" w:hAnsi="Times New Roman" w:eastAsia="Times New Roman" w:cs="Times New Roman"/>
                <w:sz w:val="18"/>
                <w:szCs w:val="18"/>
              </w:rPr>
              <w:t>m</w:t>
            </w:r>
            <w:r>
              <w:rPr>
                <w:rFonts w:ascii="Times New Roman" w:hAnsi="Times New Roman" w:eastAsia="Times New Roman" w:cs="Times New Roman"/>
                <w:sz w:val="11"/>
                <w:szCs w:val="11"/>
                <w:position w:val="5"/>
              </w:rPr>
              <w:t>3</w:t>
            </w:r>
            <w:r>
              <w:rPr>
                <w:rFonts w:ascii="Times New Roman" w:hAnsi="Times New Roman" w:eastAsia="Times New Roman" w:cs="Times New Roman"/>
                <w:sz w:val="18"/>
                <w:szCs w:val="18"/>
              </w:rPr>
              <w:t>/s</w:t>
            </w:r>
            <w:r>
              <w:rPr>
                <w:sz w:val="18"/>
                <w:szCs w:val="18"/>
              </w:rPr>
              <w:t>；</w:t>
            </w:r>
            <w:r>
              <w:rPr>
                <w:sz w:val="18"/>
                <w:szCs w:val="18"/>
                <w:spacing w:val="-1"/>
              </w:rPr>
              <w:t>其他</w:t>
            </w:r>
            <w:r>
              <w:rPr>
                <w:sz w:val="18"/>
                <w:szCs w:val="18"/>
                <w:spacing w:val="-26"/>
              </w:rPr>
              <w:t>（</w:t>
            </w:r>
            <w:r>
              <w:rPr>
                <w:sz w:val="18"/>
                <w:szCs w:val="18"/>
                <w:spacing w:val="26"/>
              </w:rPr>
              <w:t xml:space="preserve">  </w:t>
            </w:r>
            <w:r>
              <w:rPr>
                <w:sz w:val="18"/>
                <w:szCs w:val="18"/>
                <w:spacing w:val="-26"/>
              </w:rPr>
              <w:t>）</w:t>
            </w:r>
            <w:r>
              <w:rPr>
                <w:rFonts w:ascii="Times New Roman" w:hAnsi="Times New Roman" w:eastAsia="Times New Roman" w:cs="Times New Roman"/>
                <w:sz w:val="18"/>
                <w:szCs w:val="18"/>
                <w:spacing w:val="-1"/>
              </w:rPr>
              <w:t>m</w:t>
            </w:r>
            <w:r>
              <w:rPr>
                <w:rFonts w:ascii="Times New Roman" w:hAnsi="Times New Roman" w:eastAsia="Times New Roman" w:cs="Times New Roman"/>
                <w:sz w:val="11"/>
                <w:szCs w:val="11"/>
                <w:spacing w:val="-1"/>
                <w:position w:val="5"/>
              </w:rPr>
              <w:t>3</w:t>
            </w:r>
            <w:r>
              <w:rPr>
                <w:rFonts w:ascii="Times New Roman" w:hAnsi="Times New Roman" w:eastAsia="Times New Roman" w:cs="Times New Roman"/>
                <w:sz w:val="18"/>
                <w:szCs w:val="18"/>
                <w:spacing w:val="-1"/>
              </w:rPr>
              <w:t>/s</w:t>
            </w:r>
          </w:p>
          <w:p>
            <w:pPr>
              <w:pStyle w:val="TableText"/>
              <w:ind w:left="9"/>
              <w:spacing w:before="19" w:line="202" w:lineRule="auto"/>
              <w:rPr>
                <w:rFonts w:ascii="Times New Roman" w:hAnsi="Times New Roman" w:eastAsia="Times New Roman" w:cs="Times New Roman"/>
                <w:sz w:val="18"/>
                <w:szCs w:val="18"/>
              </w:rPr>
            </w:pPr>
            <w:r>
              <w:rPr>
                <w:sz w:val="18"/>
                <w:szCs w:val="18"/>
              </w:rPr>
              <w:t>生态水位：一般水期</w:t>
            </w:r>
            <w:r>
              <w:rPr>
                <w:sz w:val="18"/>
                <w:szCs w:val="18"/>
                <w:spacing w:val="-26"/>
              </w:rPr>
              <w:t>（</w:t>
            </w:r>
            <w:r>
              <w:rPr>
                <w:sz w:val="18"/>
                <w:szCs w:val="18"/>
                <w:spacing w:val="28"/>
              </w:rPr>
              <w:t xml:space="preserve">  </w:t>
            </w:r>
            <w:r>
              <w:rPr>
                <w:sz w:val="18"/>
                <w:szCs w:val="18"/>
                <w:spacing w:val="-26"/>
              </w:rPr>
              <w:t>）</w:t>
            </w:r>
            <w:r>
              <w:rPr>
                <w:rFonts w:ascii="Times New Roman" w:hAnsi="Times New Roman" w:eastAsia="Times New Roman" w:cs="Times New Roman"/>
                <w:sz w:val="18"/>
                <w:szCs w:val="18"/>
              </w:rPr>
              <w:t>m</w:t>
            </w:r>
            <w:r>
              <w:rPr>
                <w:rFonts w:ascii="Times New Roman" w:hAnsi="Times New Roman" w:eastAsia="Times New Roman" w:cs="Times New Roman"/>
                <w:sz w:val="11"/>
                <w:szCs w:val="11"/>
                <w:position w:val="5"/>
              </w:rPr>
              <w:t>3</w:t>
            </w:r>
            <w:r>
              <w:rPr>
                <w:rFonts w:ascii="Times New Roman" w:hAnsi="Times New Roman" w:eastAsia="Times New Roman" w:cs="Times New Roman"/>
                <w:sz w:val="18"/>
                <w:szCs w:val="18"/>
              </w:rPr>
              <w:t>/s</w:t>
            </w:r>
            <w:r>
              <w:rPr>
                <w:sz w:val="18"/>
                <w:szCs w:val="18"/>
              </w:rPr>
              <w:t>；鱼类繁殖期</w:t>
            </w:r>
            <w:r>
              <w:rPr>
                <w:sz w:val="18"/>
                <w:szCs w:val="18"/>
                <w:spacing w:val="-26"/>
              </w:rPr>
              <w:t>（</w:t>
            </w:r>
            <w:r>
              <w:rPr>
                <w:sz w:val="18"/>
                <w:szCs w:val="18"/>
                <w:spacing w:val="26"/>
              </w:rPr>
              <w:t xml:space="preserve">  </w:t>
            </w:r>
            <w:r>
              <w:rPr>
                <w:sz w:val="18"/>
                <w:szCs w:val="18"/>
                <w:spacing w:val="-26"/>
              </w:rPr>
              <w:t>）</w:t>
            </w:r>
            <w:r>
              <w:rPr>
                <w:rFonts w:ascii="Times New Roman" w:hAnsi="Times New Roman" w:eastAsia="Times New Roman" w:cs="Times New Roman"/>
                <w:sz w:val="18"/>
                <w:szCs w:val="18"/>
              </w:rPr>
              <w:t>m</w:t>
            </w:r>
            <w:r>
              <w:rPr>
                <w:rFonts w:ascii="Times New Roman" w:hAnsi="Times New Roman" w:eastAsia="Times New Roman" w:cs="Times New Roman"/>
                <w:sz w:val="11"/>
                <w:szCs w:val="11"/>
                <w:position w:val="5"/>
              </w:rPr>
              <w:t>3</w:t>
            </w:r>
            <w:r>
              <w:rPr>
                <w:rFonts w:ascii="Times New Roman" w:hAnsi="Times New Roman" w:eastAsia="Times New Roman" w:cs="Times New Roman"/>
                <w:sz w:val="18"/>
                <w:szCs w:val="18"/>
              </w:rPr>
              <w:t>/s</w:t>
            </w:r>
            <w:r>
              <w:rPr>
                <w:sz w:val="18"/>
                <w:szCs w:val="18"/>
              </w:rPr>
              <w:t>；</w:t>
            </w:r>
            <w:r>
              <w:rPr>
                <w:sz w:val="18"/>
                <w:szCs w:val="18"/>
                <w:spacing w:val="-1"/>
              </w:rPr>
              <w:t>其他</w:t>
            </w:r>
            <w:r>
              <w:rPr>
                <w:sz w:val="18"/>
                <w:szCs w:val="18"/>
                <w:spacing w:val="-26"/>
              </w:rPr>
              <w:t>（</w:t>
            </w:r>
            <w:r>
              <w:rPr>
                <w:sz w:val="18"/>
                <w:szCs w:val="18"/>
                <w:spacing w:val="26"/>
              </w:rPr>
              <w:t xml:space="preserve">  </w:t>
            </w:r>
            <w:r>
              <w:rPr>
                <w:sz w:val="18"/>
                <w:szCs w:val="18"/>
                <w:spacing w:val="-26"/>
              </w:rPr>
              <w:t>）</w:t>
            </w:r>
            <w:r>
              <w:rPr>
                <w:rFonts w:ascii="Times New Roman" w:hAnsi="Times New Roman" w:eastAsia="Times New Roman" w:cs="Times New Roman"/>
                <w:sz w:val="18"/>
                <w:szCs w:val="18"/>
                <w:spacing w:val="-1"/>
              </w:rPr>
              <w:t>m</w:t>
            </w:r>
            <w:r>
              <w:rPr>
                <w:rFonts w:ascii="Times New Roman" w:hAnsi="Times New Roman" w:eastAsia="Times New Roman" w:cs="Times New Roman"/>
                <w:sz w:val="11"/>
                <w:szCs w:val="11"/>
                <w:spacing w:val="-1"/>
                <w:position w:val="5"/>
              </w:rPr>
              <w:t>3</w:t>
            </w:r>
            <w:r>
              <w:rPr>
                <w:rFonts w:ascii="Times New Roman" w:hAnsi="Times New Roman" w:eastAsia="Times New Roman" w:cs="Times New Roman"/>
                <w:sz w:val="18"/>
                <w:szCs w:val="18"/>
                <w:spacing w:val="-1"/>
              </w:rPr>
              <w:t>/s</w:t>
            </w:r>
          </w:p>
        </w:tc>
      </w:tr>
      <w:tr>
        <w:trPr>
          <w:trHeight w:val="472" w:hRule="atLeast"/>
        </w:trPr>
        <w:tc>
          <w:tcPr>
            <w:tcW w:w="430" w:type="dxa"/>
            <w:vAlign w:val="top"/>
            <w:vMerge w:val="restart"/>
            <w:tcBorders>
              <w:bottom w:val="nil"/>
            </w:tcBorders>
          </w:tcPr>
          <w:p>
            <w:pPr>
              <w:spacing w:line="288" w:lineRule="auto"/>
              <w:rPr>
                <w:rFonts w:ascii="Arial"/>
                <w:sz w:val="21"/>
              </w:rPr>
            </w:pPr>
            <w:r/>
          </w:p>
          <w:p>
            <w:pPr>
              <w:spacing w:line="289" w:lineRule="auto"/>
              <w:rPr>
                <w:rFonts w:ascii="Arial"/>
                <w:sz w:val="21"/>
              </w:rPr>
            </w:pPr>
            <w:r/>
          </w:p>
          <w:p>
            <w:pPr>
              <w:pStyle w:val="TableText"/>
              <w:ind w:left="50"/>
              <w:spacing w:before="59" w:line="220" w:lineRule="auto"/>
              <w:rPr>
                <w:sz w:val="18"/>
                <w:szCs w:val="18"/>
              </w:rPr>
            </w:pPr>
            <w:r>
              <w:rPr>
                <w:sz w:val="18"/>
                <w:szCs w:val="18"/>
                <w:spacing w:val="-10"/>
              </w:rPr>
              <w:t>防治</w:t>
            </w:r>
          </w:p>
          <w:p>
            <w:pPr>
              <w:pStyle w:val="TableText"/>
              <w:ind w:left="38"/>
              <w:spacing w:before="18" w:line="220" w:lineRule="auto"/>
              <w:rPr>
                <w:sz w:val="18"/>
                <w:szCs w:val="18"/>
              </w:rPr>
            </w:pPr>
            <w:r>
              <w:rPr>
                <w:sz w:val="18"/>
                <w:szCs w:val="18"/>
                <w:spacing w:val="-4"/>
              </w:rPr>
              <w:t>措施</w:t>
            </w:r>
          </w:p>
        </w:tc>
        <w:tc>
          <w:tcPr>
            <w:tcW w:w="1276" w:type="dxa"/>
            <w:vAlign w:val="top"/>
          </w:tcPr>
          <w:p>
            <w:pPr>
              <w:pStyle w:val="TableText"/>
              <w:ind w:left="280"/>
              <w:spacing w:before="148" w:line="220" w:lineRule="auto"/>
              <w:rPr>
                <w:sz w:val="18"/>
                <w:szCs w:val="18"/>
              </w:rPr>
            </w:pPr>
            <w:r>
              <w:rPr>
                <w:sz w:val="18"/>
                <w:szCs w:val="18"/>
                <w:spacing w:val="-2"/>
              </w:rPr>
              <w:t>环保措施</w:t>
            </w:r>
          </w:p>
        </w:tc>
        <w:tc>
          <w:tcPr>
            <w:tcW w:w="6811" w:type="dxa"/>
            <w:vAlign w:val="top"/>
            <w:gridSpan w:val="7"/>
          </w:tcPr>
          <w:p>
            <w:pPr>
              <w:pStyle w:val="TableText"/>
              <w:ind w:left="8" w:right="46"/>
              <w:spacing w:before="32" w:line="167" w:lineRule="auto"/>
              <w:rPr>
                <w:rFonts w:ascii="Microsoft YaHei" w:hAnsi="Microsoft YaHei" w:eastAsia="Microsoft YaHei" w:cs="Microsoft YaHei"/>
                <w:sz w:val="18"/>
                <w:szCs w:val="18"/>
              </w:rPr>
            </w:pPr>
            <w:r>
              <w:rPr>
                <w:sz w:val="18"/>
                <w:szCs w:val="18"/>
                <w:spacing w:val="-3"/>
              </w:rPr>
              <w:t>污水处理设施</w:t>
            </w:r>
            <w:r>
              <w:rPr>
                <w:rFonts w:ascii="Microsoft YaHei" w:hAnsi="Microsoft YaHei" w:eastAsia="Microsoft YaHei" w:cs="Microsoft YaHei"/>
                <w:sz w:val="18"/>
                <w:szCs w:val="18"/>
                <w:spacing w:val="-3"/>
              </w:rPr>
              <w:t>□</w:t>
            </w:r>
            <w:r>
              <w:rPr>
                <w:sz w:val="18"/>
                <w:szCs w:val="18"/>
                <w:spacing w:val="-3"/>
              </w:rPr>
              <w:t>；水文减缓设施</w:t>
            </w:r>
            <w:r>
              <w:rPr>
                <w:rFonts w:ascii="Microsoft YaHei" w:hAnsi="Microsoft YaHei" w:eastAsia="Microsoft YaHei" w:cs="Microsoft YaHei"/>
                <w:sz w:val="18"/>
                <w:szCs w:val="18"/>
                <w:spacing w:val="-3"/>
              </w:rPr>
              <w:t>□</w:t>
            </w:r>
            <w:r>
              <w:rPr>
                <w:sz w:val="18"/>
                <w:szCs w:val="18"/>
                <w:spacing w:val="-3"/>
              </w:rPr>
              <w:t>；生态流量保障设施</w:t>
            </w:r>
            <w:r>
              <w:rPr>
                <w:rFonts w:ascii="Microsoft YaHei" w:hAnsi="Microsoft YaHei" w:eastAsia="Microsoft YaHei" w:cs="Microsoft YaHei"/>
                <w:sz w:val="18"/>
                <w:szCs w:val="18"/>
                <w:spacing w:val="-3"/>
              </w:rPr>
              <w:t>□</w:t>
            </w:r>
            <w:r>
              <w:rPr>
                <w:sz w:val="18"/>
                <w:szCs w:val="18"/>
                <w:spacing w:val="-3"/>
              </w:rPr>
              <w:t>；区域消减依托其他工程措施</w:t>
            </w:r>
            <w:r>
              <w:rPr>
                <w:rFonts w:ascii="Microsoft YaHei" w:hAnsi="Microsoft YaHei" w:eastAsia="Microsoft YaHei" w:cs="Microsoft YaHei"/>
                <w:sz w:val="18"/>
                <w:szCs w:val="18"/>
                <w:spacing w:val="-3"/>
              </w:rPr>
              <w:t>□</w:t>
            </w:r>
            <w:r>
              <w:rPr>
                <w:sz w:val="18"/>
                <w:szCs w:val="18"/>
                <w:spacing w:val="-3"/>
              </w:rPr>
              <w:t>;</w:t>
            </w:r>
            <w:r>
              <w:rPr>
                <w:sz w:val="18"/>
                <w:szCs w:val="18"/>
                <w:spacing w:val="9"/>
              </w:rPr>
              <w:t xml:space="preserve"> </w:t>
            </w:r>
            <w:r>
              <w:rPr>
                <w:sz w:val="18"/>
                <w:szCs w:val="18"/>
                <w:spacing w:val="11"/>
              </w:rPr>
              <w:t>其他</w:t>
            </w:r>
            <w:r>
              <w:rPr>
                <w:rFonts w:ascii="Microsoft YaHei" w:hAnsi="Microsoft YaHei" w:eastAsia="Microsoft YaHei" w:cs="Microsoft YaHei"/>
                <w:sz w:val="18"/>
                <w:szCs w:val="18"/>
                <w:spacing w:val="11"/>
              </w:rPr>
              <w:t>□</w:t>
            </w:r>
          </w:p>
        </w:tc>
      </w:tr>
      <w:tr>
        <w:trPr>
          <w:trHeight w:val="239" w:hRule="atLeast"/>
        </w:trPr>
        <w:tc>
          <w:tcPr>
            <w:tcW w:w="430" w:type="dxa"/>
            <w:vAlign w:val="top"/>
            <w:vMerge w:val="continue"/>
            <w:tcBorders>
              <w:top w:val="nil"/>
              <w:bottom w:val="nil"/>
            </w:tcBorders>
          </w:tcPr>
          <w:p>
            <w:pPr>
              <w:rPr>
                <w:rFonts w:ascii="Arial"/>
                <w:sz w:val="21"/>
              </w:rPr>
            </w:pPr>
            <w:r/>
          </w:p>
        </w:tc>
        <w:tc>
          <w:tcPr>
            <w:tcW w:w="1276" w:type="dxa"/>
            <w:vAlign w:val="top"/>
            <w:vMerge w:val="restart"/>
            <w:tcBorders>
              <w:bottom w:val="nil"/>
            </w:tcBorders>
          </w:tcPr>
          <w:p>
            <w:pPr>
              <w:spacing w:line="334" w:lineRule="auto"/>
              <w:rPr>
                <w:rFonts w:ascii="Arial"/>
                <w:sz w:val="21"/>
              </w:rPr>
            </w:pPr>
            <w:r/>
          </w:p>
          <w:p>
            <w:pPr>
              <w:pStyle w:val="TableText"/>
              <w:ind w:left="281"/>
              <w:spacing w:before="59" w:line="221" w:lineRule="auto"/>
              <w:rPr>
                <w:sz w:val="18"/>
                <w:szCs w:val="18"/>
              </w:rPr>
            </w:pPr>
            <w:r>
              <w:rPr>
                <w:sz w:val="18"/>
                <w:szCs w:val="18"/>
                <w:spacing w:val="-2"/>
              </w:rPr>
              <w:t>监测计划</w:t>
            </w:r>
          </w:p>
        </w:tc>
        <w:tc>
          <w:tcPr>
            <w:tcW w:w="1843" w:type="dxa"/>
            <w:vAlign w:val="top"/>
          </w:tcPr>
          <w:p>
            <w:pPr>
              <w:spacing w:line="229" w:lineRule="exact"/>
              <w:rPr>
                <w:rFonts w:ascii="Arial"/>
                <w:sz w:val="19"/>
              </w:rPr>
            </w:pPr>
            <w:r/>
          </w:p>
        </w:tc>
        <w:tc>
          <w:tcPr>
            <w:tcW w:w="2556" w:type="dxa"/>
            <w:vAlign w:val="top"/>
            <w:gridSpan w:val="4"/>
          </w:tcPr>
          <w:p>
            <w:pPr>
              <w:pStyle w:val="TableText"/>
              <w:ind w:left="922"/>
              <w:spacing w:before="33" w:line="201" w:lineRule="auto"/>
              <w:rPr>
                <w:sz w:val="18"/>
                <w:szCs w:val="18"/>
              </w:rPr>
            </w:pPr>
            <w:r>
              <w:rPr>
                <w:sz w:val="18"/>
                <w:szCs w:val="18"/>
                <w:spacing w:val="-2"/>
              </w:rPr>
              <w:t>环境质量</w:t>
            </w:r>
          </w:p>
        </w:tc>
        <w:tc>
          <w:tcPr>
            <w:tcW w:w="2412" w:type="dxa"/>
            <w:vAlign w:val="top"/>
            <w:gridSpan w:val="2"/>
          </w:tcPr>
          <w:p>
            <w:pPr>
              <w:pStyle w:val="TableText"/>
              <w:ind w:left="940"/>
              <w:spacing w:before="33" w:line="201" w:lineRule="auto"/>
              <w:rPr>
                <w:sz w:val="18"/>
                <w:szCs w:val="18"/>
              </w:rPr>
            </w:pPr>
            <w:r>
              <w:rPr>
                <w:sz w:val="18"/>
                <w:szCs w:val="18"/>
                <w:spacing w:val="-3"/>
              </w:rPr>
              <w:t>污染源</w:t>
            </w:r>
          </w:p>
        </w:tc>
      </w:tr>
      <w:tr>
        <w:trPr>
          <w:trHeight w:val="238" w:hRule="atLeast"/>
        </w:trPr>
        <w:tc>
          <w:tcPr>
            <w:tcW w:w="430" w:type="dxa"/>
            <w:vAlign w:val="top"/>
            <w:vMerge w:val="continue"/>
            <w:tcBorders>
              <w:top w:val="nil"/>
              <w:bottom w:val="nil"/>
            </w:tcBorders>
          </w:tcPr>
          <w:p>
            <w:pPr>
              <w:rPr>
                <w:rFonts w:ascii="Arial"/>
                <w:sz w:val="21"/>
              </w:rPr>
            </w:pPr>
            <w:r/>
          </w:p>
        </w:tc>
        <w:tc>
          <w:tcPr>
            <w:tcW w:w="1276" w:type="dxa"/>
            <w:vAlign w:val="top"/>
            <w:vMerge w:val="continue"/>
            <w:tcBorders>
              <w:top w:val="nil"/>
              <w:bottom w:val="nil"/>
            </w:tcBorders>
          </w:tcPr>
          <w:p>
            <w:pPr>
              <w:rPr>
                <w:rFonts w:ascii="Arial"/>
                <w:sz w:val="21"/>
              </w:rPr>
            </w:pPr>
            <w:r/>
          </w:p>
        </w:tc>
        <w:tc>
          <w:tcPr>
            <w:tcW w:w="1843" w:type="dxa"/>
            <w:vAlign w:val="top"/>
          </w:tcPr>
          <w:p>
            <w:pPr>
              <w:pStyle w:val="TableText"/>
              <w:ind w:left="565"/>
              <w:spacing w:before="32" w:line="201" w:lineRule="auto"/>
              <w:rPr>
                <w:sz w:val="18"/>
                <w:szCs w:val="18"/>
              </w:rPr>
            </w:pPr>
            <w:r>
              <w:rPr>
                <w:sz w:val="18"/>
                <w:szCs w:val="18"/>
                <w:spacing w:val="-2"/>
              </w:rPr>
              <w:t>监测方法</w:t>
            </w:r>
          </w:p>
        </w:tc>
        <w:tc>
          <w:tcPr>
            <w:tcW w:w="2556" w:type="dxa"/>
            <w:vAlign w:val="top"/>
            <w:gridSpan w:val="4"/>
          </w:tcPr>
          <w:p>
            <w:pPr>
              <w:pStyle w:val="TableText"/>
              <w:ind w:left="233"/>
              <w:spacing w:before="31" w:line="196" w:lineRule="exact"/>
              <w:rPr>
                <w:rFonts w:ascii="Microsoft YaHei" w:hAnsi="Microsoft YaHei" w:eastAsia="Microsoft YaHei" w:cs="Microsoft YaHei"/>
                <w:sz w:val="18"/>
                <w:szCs w:val="18"/>
              </w:rPr>
            </w:pPr>
            <w:r>
              <w:rPr>
                <w:sz w:val="18"/>
                <w:szCs w:val="18"/>
                <w:spacing w:val="6"/>
                <w:position w:val="-1"/>
              </w:rPr>
              <w:t>手动</w:t>
            </w:r>
            <w:r>
              <w:rPr>
                <w:rFonts w:ascii="Microsoft YaHei" w:hAnsi="Microsoft YaHei" w:eastAsia="Microsoft YaHei" w:cs="Microsoft YaHei"/>
                <w:sz w:val="18"/>
                <w:szCs w:val="18"/>
                <w:spacing w:val="6"/>
                <w:position w:val="-1"/>
              </w:rPr>
              <w:t>□</w:t>
            </w:r>
            <w:r>
              <w:rPr>
                <w:sz w:val="18"/>
                <w:szCs w:val="18"/>
                <w:spacing w:val="6"/>
                <w:position w:val="-1"/>
              </w:rPr>
              <w:t>；</w:t>
            </w:r>
            <w:r>
              <w:rPr>
                <w:sz w:val="18"/>
                <w:szCs w:val="18"/>
                <w:spacing w:val="-43"/>
                <w:position w:val="-1"/>
              </w:rPr>
              <w:t xml:space="preserve"> </w:t>
            </w:r>
            <w:r>
              <w:rPr>
                <w:sz w:val="18"/>
                <w:szCs w:val="18"/>
                <w:spacing w:val="6"/>
                <w:position w:val="-1"/>
              </w:rPr>
              <w:t>自动</w:t>
            </w:r>
            <w:r>
              <w:rPr>
                <w:rFonts w:ascii="Microsoft YaHei" w:hAnsi="Microsoft YaHei" w:eastAsia="Microsoft YaHei" w:cs="Microsoft YaHei"/>
                <w:sz w:val="18"/>
                <w:szCs w:val="18"/>
                <w:spacing w:val="6"/>
                <w:position w:val="-1"/>
              </w:rPr>
              <w:t>□</w:t>
            </w:r>
            <w:r>
              <w:rPr>
                <w:sz w:val="18"/>
                <w:szCs w:val="18"/>
                <w:spacing w:val="6"/>
                <w:position w:val="-1"/>
              </w:rPr>
              <w:t>；无检测</w:t>
            </w:r>
            <w:r>
              <w:rPr>
                <w:rFonts w:ascii="Microsoft YaHei" w:hAnsi="Microsoft YaHei" w:eastAsia="Microsoft YaHei" w:cs="Microsoft YaHei"/>
                <w:sz w:val="18"/>
                <w:szCs w:val="18"/>
                <w:spacing w:val="6"/>
                <w:position w:val="-1"/>
              </w:rPr>
              <w:t>□</w:t>
            </w:r>
          </w:p>
        </w:tc>
        <w:tc>
          <w:tcPr>
            <w:tcW w:w="2412" w:type="dxa"/>
            <w:vAlign w:val="top"/>
            <w:gridSpan w:val="2"/>
          </w:tcPr>
          <w:p>
            <w:pPr>
              <w:pStyle w:val="TableText"/>
              <w:ind w:left="159"/>
              <w:spacing w:before="31" w:line="196" w:lineRule="exact"/>
              <w:rPr>
                <w:rFonts w:ascii="Microsoft YaHei" w:hAnsi="Microsoft YaHei" w:eastAsia="Microsoft YaHei" w:cs="Microsoft YaHei"/>
                <w:sz w:val="18"/>
                <w:szCs w:val="18"/>
              </w:rPr>
            </w:pPr>
            <w:r>
              <w:rPr>
                <w:sz w:val="18"/>
                <w:szCs w:val="18"/>
                <w:spacing w:val="6"/>
                <w:position w:val="-1"/>
              </w:rPr>
              <w:t>手动</w:t>
            </w:r>
            <w:r>
              <w:rPr>
                <w:rFonts w:ascii="Microsoft YaHei" w:hAnsi="Microsoft YaHei" w:eastAsia="Microsoft YaHei" w:cs="Microsoft YaHei"/>
                <w:sz w:val="18"/>
                <w:szCs w:val="18"/>
                <w:spacing w:val="6"/>
                <w:position w:val="-1"/>
              </w:rPr>
              <w:t>□</w:t>
            </w:r>
            <w:r>
              <w:rPr>
                <w:sz w:val="18"/>
                <w:szCs w:val="18"/>
                <w:spacing w:val="6"/>
                <w:position w:val="-1"/>
              </w:rPr>
              <w:t>；</w:t>
            </w:r>
            <w:r>
              <w:rPr>
                <w:sz w:val="18"/>
                <w:szCs w:val="18"/>
                <w:spacing w:val="-43"/>
                <w:position w:val="-1"/>
              </w:rPr>
              <w:t xml:space="preserve"> </w:t>
            </w:r>
            <w:r>
              <w:rPr>
                <w:sz w:val="18"/>
                <w:szCs w:val="18"/>
                <w:spacing w:val="6"/>
                <w:position w:val="-1"/>
              </w:rPr>
              <w:t>自动</w:t>
            </w:r>
            <w:r>
              <w:rPr>
                <w:rFonts w:ascii="Microsoft YaHei" w:hAnsi="Microsoft YaHei" w:eastAsia="Microsoft YaHei" w:cs="Microsoft YaHei"/>
                <w:sz w:val="18"/>
                <w:szCs w:val="18"/>
                <w:spacing w:val="6"/>
                <w:position w:val="-1"/>
              </w:rPr>
              <w:t>□</w:t>
            </w:r>
            <w:r>
              <w:rPr>
                <w:sz w:val="18"/>
                <w:szCs w:val="18"/>
                <w:spacing w:val="6"/>
                <w:position w:val="-1"/>
              </w:rPr>
              <w:t>；无检测</w:t>
            </w:r>
            <w:r>
              <w:rPr>
                <w:rFonts w:ascii="Microsoft YaHei" w:hAnsi="Microsoft YaHei" w:eastAsia="Microsoft YaHei" w:cs="Microsoft YaHei"/>
                <w:sz w:val="18"/>
                <w:szCs w:val="18"/>
                <w:spacing w:val="6"/>
                <w:position w:val="-1"/>
              </w:rPr>
              <w:t>□</w:t>
            </w:r>
          </w:p>
        </w:tc>
      </w:tr>
      <w:tr>
        <w:trPr>
          <w:trHeight w:val="238" w:hRule="atLeast"/>
        </w:trPr>
        <w:tc>
          <w:tcPr>
            <w:tcW w:w="430" w:type="dxa"/>
            <w:vAlign w:val="top"/>
            <w:vMerge w:val="continue"/>
            <w:tcBorders>
              <w:top w:val="nil"/>
              <w:bottom w:val="nil"/>
            </w:tcBorders>
          </w:tcPr>
          <w:p>
            <w:pPr>
              <w:rPr>
                <w:rFonts w:ascii="Arial"/>
                <w:sz w:val="21"/>
              </w:rPr>
            </w:pPr>
            <w:r/>
          </w:p>
        </w:tc>
        <w:tc>
          <w:tcPr>
            <w:tcW w:w="1276" w:type="dxa"/>
            <w:vAlign w:val="top"/>
            <w:vMerge w:val="continue"/>
            <w:tcBorders>
              <w:top w:val="nil"/>
              <w:bottom w:val="nil"/>
            </w:tcBorders>
          </w:tcPr>
          <w:p>
            <w:pPr>
              <w:rPr>
                <w:rFonts w:ascii="Arial"/>
                <w:sz w:val="21"/>
              </w:rPr>
            </w:pPr>
            <w:r/>
          </w:p>
        </w:tc>
        <w:tc>
          <w:tcPr>
            <w:tcW w:w="1843" w:type="dxa"/>
            <w:vAlign w:val="top"/>
          </w:tcPr>
          <w:p>
            <w:pPr>
              <w:pStyle w:val="TableText"/>
              <w:ind w:left="565"/>
              <w:spacing w:before="31" w:line="202" w:lineRule="auto"/>
              <w:rPr>
                <w:sz w:val="18"/>
                <w:szCs w:val="18"/>
              </w:rPr>
            </w:pPr>
            <w:r>
              <w:rPr>
                <w:sz w:val="18"/>
                <w:szCs w:val="18"/>
                <w:spacing w:val="-2"/>
              </w:rPr>
              <w:t>监测点位</w:t>
            </w:r>
          </w:p>
        </w:tc>
        <w:tc>
          <w:tcPr>
            <w:tcW w:w="2556" w:type="dxa"/>
            <w:vAlign w:val="top"/>
            <w:gridSpan w:val="4"/>
          </w:tcPr>
          <w:p>
            <w:pPr>
              <w:pStyle w:val="TableText"/>
              <w:ind w:left="928"/>
              <w:spacing w:before="31" w:line="202" w:lineRule="auto"/>
              <w:rPr>
                <w:sz w:val="18"/>
                <w:szCs w:val="18"/>
              </w:rPr>
            </w:pPr>
            <w:r>
              <w:rPr>
                <w:sz w:val="18"/>
                <w:szCs w:val="18"/>
                <w:spacing w:val="-15"/>
                <w:w w:val="95"/>
              </w:rPr>
              <w:t>(</w:t>
            </w:r>
            <w:r>
              <w:rPr>
                <w:sz w:val="18"/>
                <w:szCs w:val="18"/>
                <w:spacing w:val="8"/>
              </w:rPr>
              <w:t xml:space="preserve">      </w:t>
            </w:r>
            <w:r>
              <w:rPr>
                <w:sz w:val="18"/>
                <w:szCs w:val="18"/>
                <w:spacing w:val="-15"/>
                <w:w w:val="95"/>
              </w:rPr>
              <w:t>)</w:t>
            </w:r>
          </w:p>
        </w:tc>
        <w:tc>
          <w:tcPr>
            <w:tcW w:w="2412" w:type="dxa"/>
            <w:vAlign w:val="top"/>
            <w:gridSpan w:val="2"/>
          </w:tcPr>
          <w:p>
            <w:pPr>
              <w:pStyle w:val="TableText"/>
              <w:ind w:left="854"/>
              <w:spacing w:before="31" w:line="202" w:lineRule="auto"/>
              <w:rPr>
                <w:sz w:val="18"/>
                <w:szCs w:val="18"/>
              </w:rPr>
            </w:pPr>
            <w:r>
              <w:rPr>
                <w:sz w:val="18"/>
                <w:szCs w:val="18"/>
                <w:spacing w:val="-15"/>
                <w:w w:val="95"/>
              </w:rPr>
              <w:t>(</w:t>
            </w:r>
            <w:r>
              <w:rPr>
                <w:sz w:val="18"/>
                <w:szCs w:val="18"/>
                <w:spacing w:val="8"/>
              </w:rPr>
              <w:t xml:space="preserve">      </w:t>
            </w:r>
            <w:r>
              <w:rPr>
                <w:sz w:val="18"/>
                <w:szCs w:val="18"/>
                <w:spacing w:val="-15"/>
                <w:w w:val="95"/>
              </w:rPr>
              <w:t>)</w:t>
            </w:r>
          </w:p>
        </w:tc>
      </w:tr>
      <w:tr>
        <w:trPr>
          <w:trHeight w:val="239" w:hRule="atLeast"/>
        </w:trPr>
        <w:tc>
          <w:tcPr>
            <w:tcW w:w="430" w:type="dxa"/>
            <w:vAlign w:val="top"/>
            <w:vMerge w:val="continue"/>
            <w:tcBorders>
              <w:top w:val="nil"/>
              <w:bottom w:val="nil"/>
            </w:tcBorders>
          </w:tcPr>
          <w:p>
            <w:pPr>
              <w:rPr>
                <w:rFonts w:ascii="Arial"/>
                <w:sz w:val="21"/>
              </w:rPr>
            </w:pPr>
            <w:r/>
          </w:p>
        </w:tc>
        <w:tc>
          <w:tcPr>
            <w:tcW w:w="1276" w:type="dxa"/>
            <w:vAlign w:val="top"/>
            <w:vMerge w:val="continue"/>
            <w:tcBorders>
              <w:top w:val="nil"/>
            </w:tcBorders>
          </w:tcPr>
          <w:p>
            <w:pPr>
              <w:rPr>
                <w:rFonts w:ascii="Arial"/>
                <w:sz w:val="21"/>
              </w:rPr>
            </w:pPr>
            <w:r/>
          </w:p>
        </w:tc>
        <w:tc>
          <w:tcPr>
            <w:tcW w:w="1843" w:type="dxa"/>
            <w:vAlign w:val="top"/>
          </w:tcPr>
          <w:p>
            <w:pPr>
              <w:pStyle w:val="TableText"/>
              <w:ind w:left="565"/>
              <w:spacing w:before="33" w:line="201" w:lineRule="auto"/>
              <w:rPr>
                <w:sz w:val="18"/>
                <w:szCs w:val="18"/>
              </w:rPr>
            </w:pPr>
            <w:r>
              <w:rPr>
                <w:sz w:val="18"/>
                <w:szCs w:val="18"/>
                <w:spacing w:val="-2"/>
              </w:rPr>
              <w:t>监测因子</w:t>
            </w:r>
          </w:p>
        </w:tc>
        <w:tc>
          <w:tcPr>
            <w:tcW w:w="2556" w:type="dxa"/>
            <w:vAlign w:val="top"/>
            <w:gridSpan w:val="4"/>
          </w:tcPr>
          <w:p>
            <w:pPr>
              <w:pStyle w:val="TableText"/>
              <w:ind w:left="928"/>
              <w:spacing w:before="33" w:line="201" w:lineRule="auto"/>
              <w:rPr>
                <w:sz w:val="18"/>
                <w:szCs w:val="18"/>
              </w:rPr>
            </w:pPr>
            <w:r>
              <w:rPr>
                <w:sz w:val="18"/>
                <w:szCs w:val="18"/>
                <w:spacing w:val="-15"/>
                <w:w w:val="95"/>
              </w:rPr>
              <w:t>(</w:t>
            </w:r>
            <w:r>
              <w:rPr>
                <w:sz w:val="18"/>
                <w:szCs w:val="18"/>
                <w:spacing w:val="8"/>
              </w:rPr>
              <w:t xml:space="preserve">      </w:t>
            </w:r>
            <w:r>
              <w:rPr>
                <w:sz w:val="18"/>
                <w:szCs w:val="18"/>
                <w:spacing w:val="-15"/>
                <w:w w:val="95"/>
              </w:rPr>
              <w:t>)</w:t>
            </w:r>
          </w:p>
        </w:tc>
        <w:tc>
          <w:tcPr>
            <w:tcW w:w="2412" w:type="dxa"/>
            <w:vAlign w:val="top"/>
            <w:gridSpan w:val="2"/>
          </w:tcPr>
          <w:p>
            <w:pPr>
              <w:pStyle w:val="TableText"/>
              <w:ind w:left="854"/>
              <w:spacing w:before="33" w:line="201" w:lineRule="auto"/>
              <w:rPr>
                <w:sz w:val="18"/>
                <w:szCs w:val="18"/>
              </w:rPr>
            </w:pPr>
            <w:r>
              <w:rPr>
                <w:sz w:val="18"/>
                <w:szCs w:val="18"/>
                <w:spacing w:val="-15"/>
                <w:w w:val="95"/>
              </w:rPr>
              <w:t>(</w:t>
            </w:r>
            <w:r>
              <w:rPr>
                <w:sz w:val="18"/>
                <w:szCs w:val="18"/>
                <w:spacing w:val="8"/>
              </w:rPr>
              <w:t xml:space="preserve">      </w:t>
            </w:r>
            <w:r>
              <w:rPr>
                <w:sz w:val="18"/>
                <w:szCs w:val="18"/>
                <w:spacing w:val="-15"/>
                <w:w w:val="95"/>
              </w:rPr>
              <w:t>)</w:t>
            </w:r>
          </w:p>
        </w:tc>
      </w:tr>
      <w:tr>
        <w:trPr>
          <w:trHeight w:val="238" w:hRule="atLeast"/>
        </w:trPr>
        <w:tc>
          <w:tcPr>
            <w:tcW w:w="430" w:type="dxa"/>
            <w:vAlign w:val="top"/>
            <w:vMerge w:val="continue"/>
            <w:tcBorders>
              <w:top w:val="nil"/>
            </w:tcBorders>
          </w:tcPr>
          <w:p>
            <w:pPr>
              <w:rPr>
                <w:rFonts w:ascii="Arial"/>
                <w:sz w:val="21"/>
              </w:rPr>
            </w:pPr>
            <w:r/>
          </w:p>
        </w:tc>
        <w:tc>
          <w:tcPr>
            <w:tcW w:w="1276" w:type="dxa"/>
            <w:vAlign w:val="top"/>
          </w:tcPr>
          <w:p>
            <w:pPr>
              <w:pStyle w:val="TableText"/>
              <w:ind w:left="11"/>
              <w:spacing w:before="31" w:line="202" w:lineRule="auto"/>
              <w:rPr>
                <w:sz w:val="18"/>
                <w:szCs w:val="18"/>
              </w:rPr>
            </w:pPr>
            <w:r>
              <w:rPr>
                <w:sz w:val="18"/>
                <w:szCs w:val="18"/>
                <w:spacing w:val="-2"/>
              </w:rPr>
              <w:t>污染物排放清单</w:t>
            </w:r>
          </w:p>
        </w:tc>
        <w:tc>
          <w:tcPr>
            <w:tcW w:w="6811" w:type="dxa"/>
            <w:vAlign w:val="top"/>
            <w:gridSpan w:val="7"/>
          </w:tcPr>
          <w:p>
            <w:pPr>
              <w:ind w:left="16"/>
              <w:spacing w:before="36" w:line="191" w:lineRule="exact"/>
              <w:rPr>
                <w:rFonts w:ascii="Microsoft YaHei" w:hAnsi="Microsoft YaHei" w:eastAsia="Microsoft YaHei" w:cs="Microsoft YaHei"/>
                <w:sz w:val="18"/>
                <w:szCs w:val="18"/>
              </w:rPr>
            </w:pPr>
            <w:r>
              <w:rPr>
                <w:rFonts w:ascii="Microsoft YaHei" w:hAnsi="Microsoft YaHei" w:eastAsia="Microsoft YaHei" w:cs="Microsoft YaHei"/>
                <w:sz w:val="18"/>
                <w:szCs w:val="18"/>
                <w:position w:val="-2"/>
              </w:rPr>
              <w:t>四</w:t>
            </w:r>
          </w:p>
        </w:tc>
      </w:tr>
      <w:tr>
        <w:trPr>
          <w:trHeight w:val="239" w:hRule="atLeast"/>
        </w:trPr>
        <w:tc>
          <w:tcPr>
            <w:tcW w:w="1706" w:type="dxa"/>
            <w:vAlign w:val="top"/>
            <w:gridSpan w:val="2"/>
          </w:tcPr>
          <w:p>
            <w:pPr>
              <w:pStyle w:val="TableText"/>
              <w:ind w:left="496"/>
              <w:spacing w:before="33" w:line="201" w:lineRule="auto"/>
              <w:rPr>
                <w:sz w:val="18"/>
                <w:szCs w:val="18"/>
              </w:rPr>
            </w:pPr>
            <w:r>
              <w:rPr>
                <w:sz w:val="18"/>
                <w:szCs w:val="18"/>
                <w:spacing w:val="-2"/>
              </w:rPr>
              <w:t>评价结论</w:t>
            </w:r>
          </w:p>
        </w:tc>
        <w:tc>
          <w:tcPr>
            <w:tcW w:w="6811" w:type="dxa"/>
            <w:vAlign w:val="top"/>
            <w:gridSpan w:val="7"/>
          </w:tcPr>
          <w:p>
            <w:pPr>
              <w:pStyle w:val="TableText"/>
              <w:ind w:left="9"/>
              <w:spacing w:before="33" w:line="196" w:lineRule="exact"/>
              <w:rPr>
                <w:sz w:val="18"/>
                <w:szCs w:val="18"/>
              </w:rPr>
            </w:pPr>
            <w:r>
              <w:rPr>
                <w:sz w:val="18"/>
                <w:szCs w:val="18"/>
                <w:spacing w:val="-1"/>
              </w:rPr>
              <w:t>可以接受 </w:t>
            </w:r>
            <w:r>
              <w:rPr>
                <w:rFonts w:ascii="Microsoft YaHei" w:hAnsi="Microsoft YaHei" w:eastAsia="Microsoft YaHei" w:cs="Microsoft YaHei"/>
                <w:sz w:val="18"/>
                <w:szCs w:val="18"/>
                <w:spacing w:val="-1"/>
              </w:rPr>
              <w:t>四</w:t>
            </w:r>
            <w:r>
              <w:rPr>
                <w:sz w:val="18"/>
                <w:szCs w:val="18"/>
                <w:spacing w:val="-1"/>
              </w:rPr>
              <w:t>；不可以接受</w:t>
            </w:r>
            <w:r>
              <w:rPr>
                <w:sz w:val="18"/>
                <w:szCs w:val="18"/>
                <w:spacing w:val="28"/>
              </w:rPr>
              <w:t xml:space="preserve"> </w:t>
            </w:r>
            <w:r>
              <w:rPr>
                <w:rFonts w:ascii="Microsoft YaHei" w:hAnsi="Microsoft YaHei" w:eastAsia="Microsoft YaHei" w:cs="Microsoft YaHei"/>
                <w:sz w:val="18"/>
                <w:szCs w:val="18"/>
                <w:spacing w:val="-1"/>
              </w:rPr>
              <w:t>□</w:t>
            </w:r>
            <w:r>
              <w:rPr>
                <w:rFonts w:ascii="Microsoft YaHei" w:hAnsi="Microsoft YaHei" w:eastAsia="Microsoft YaHei" w:cs="Microsoft YaHei"/>
                <w:sz w:val="18"/>
                <w:szCs w:val="18"/>
                <w:spacing w:val="-33"/>
              </w:rPr>
              <w:t xml:space="preserve"> </w:t>
            </w:r>
            <w:r>
              <w:rPr>
                <w:sz w:val="18"/>
                <w:szCs w:val="18"/>
                <w:spacing w:val="-1"/>
              </w:rPr>
              <w:t>;</w:t>
            </w:r>
          </w:p>
        </w:tc>
      </w:tr>
      <w:tr>
        <w:trPr>
          <w:trHeight w:val="242" w:hRule="atLeast"/>
        </w:trPr>
        <w:tc>
          <w:tcPr>
            <w:tcW w:w="8517" w:type="dxa"/>
            <w:vAlign w:val="top"/>
            <w:gridSpan w:val="9"/>
          </w:tcPr>
          <w:p>
            <w:pPr>
              <w:pStyle w:val="TableText"/>
              <w:ind w:left="12"/>
              <w:spacing w:line="180" w:lineRule="auto"/>
              <w:rPr>
                <w:sz w:val="18"/>
                <w:szCs w:val="18"/>
              </w:rPr>
            </w:pPr>
            <w:r>
              <w:rPr>
                <w:sz w:val="18"/>
                <w:szCs w:val="18"/>
                <w:spacing w:val="-2"/>
              </w:rPr>
              <w:t>注：</w:t>
            </w:r>
            <w:r>
              <w:rPr>
                <w:rFonts w:ascii="Times New Roman" w:hAnsi="Times New Roman" w:eastAsia="Times New Roman" w:cs="Times New Roman"/>
                <w:sz w:val="18"/>
                <w:szCs w:val="18"/>
                <w:spacing w:val="-2"/>
              </w:rPr>
              <w:t>“</w:t>
            </w:r>
            <w:r>
              <w:rPr>
                <w:rFonts w:ascii="Times New Roman" w:hAnsi="Times New Roman" w:eastAsia="Times New Roman" w:cs="Times New Roman"/>
                <w:sz w:val="18"/>
                <w:szCs w:val="18"/>
                <w:spacing w:val="-31"/>
              </w:rPr>
              <w:t xml:space="preserve"> </w:t>
            </w:r>
            <w:r>
              <w:rPr>
                <w:rFonts w:ascii="Microsoft YaHei" w:hAnsi="Microsoft YaHei" w:eastAsia="Microsoft YaHei" w:cs="Microsoft YaHei"/>
                <w:sz w:val="18"/>
                <w:szCs w:val="18"/>
                <w:spacing w:val="-2"/>
              </w:rPr>
              <w:t>□</w:t>
            </w:r>
            <w:r>
              <w:rPr>
                <w:rFonts w:ascii="Times New Roman" w:hAnsi="Times New Roman" w:eastAsia="Times New Roman" w:cs="Times New Roman"/>
                <w:sz w:val="18"/>
                <w:szCs w:val="18"/>
                <w:spacing w:val="-2"/>
              </w:rPr>
              <w:t>”</w:t>
            </w:r>
            <w:r>
              <w:rPr>
                <w:sz w:val="18"/>
                <w:szCs w:val="18"/>
                <w:spacing w:val="-2"/>
              </w:rPr>
              <w:t>为勾选项，可</w:t>
            </w:r>
            <w:r>
              <w:rPr>
                <w:rFonts w:ascii="Times New Roman" w:hAnsi="Times New Roman" w:eastAsia="Times New Roman" w:cs="Times New Roman"/>
                <w:sz w:val="18"/>
                <w:szCs w:val="18"/>
                <w:spacing w:val="-2"/>
              </w:rPr>
              <w:t>√</w:t>
            </w:r>
            <w:r>
              <w:rPr>
                <w:rFonts w:ascii="Times New Roman" w:hAnsi="Times New Roman" w:eastAsia="Times New Roman" w:cs="Times New Roman"/>
                <w:sz w:val="18"/>
                <w:szCs w:val="18"/>
                <w:spacing w:val="-23"/>
              </w:rPr>
              <w:t xml:space="preserve"> </w:t>
            </w:r>
            <w:r>
              <w:rPr>
                <w:sz w:val="18"/>
                <w:szCs w:val="18"/>
                <w:spacing w:val="-2"/>
              </w:rPr>
              <w:t>;</w:t>
            </w:r>
            <w:r>
              <w:rPr>
                <w:sz w:val="18"/>
                <w:szCs w:val="18"/>
                <w:spacing w:val="43"/>
              </w:rPr>
              <w:t xml:space="preserve"> </w:t>
            </w:r>
            <w:r>
              <w:rPr>
                <w:rFonts w:ascii="Times New Roman" w:hAnsi="Times New Roman" w:eastAsia="Times New Roman" w:cs="Times New Roman"/>
                <w:sz w:val="18"/>
                <w:szCs w:val="18"/>
                <w:spacing w:val="-2"/>
              </w:rPr>
              <w:t>“  </w:t>
            </w:r>
            <w:r>
              <w:rPr>
                <w:sz w:val="18"/>
                <w:szCs w:val="18"/>
                <w:spacing w:val="-2"/>
              </w:rPr>
              <w:t>(</w:t>
            </w:r>
            <w:r>
              <w:rPr>
                <w:sz w:val="18"/>
                <w:szCs w:val="18"/>
                <w:spacing w:val="26"/>
              </w:rPr>
              <w:t xml:space="preserve">  </w:t>
            </w:r>
            <w:r>
              <w:rPr>
                <w:sz w:val="18"/>
                <w:szCs w:val="18"/>
                <w:spacing w:val="-2"/>
              </w:rPr>
              <w:t>) </w:t>
            </w:r>
            <w:r>
              <w:rPr>
                <w:rFonts w:ascii="Times New Roman" w:hAnsi="Times New Roman" w:eastAsia="Times New Roman" w:cs="Times New Roman"/>
                <w:sz w:val="18"/>
                <w:szCs w:val="18"/>
                <w:spacing w:val="-3"/>
              </w:rPr>
              <w:t>”</w:t>
            </w:r>
            <w:r>
              <w:rPr>
                <w:sz w:val="18"/>
                <w:szCs w:val="18"/>
                <w:spacing w:val="-3"/>
              </w:rPr>
              <w:t>为内容填写项：</w:t>
            </w:r>
            <w:r>
              <w:rPr>
                <w:rFonts w:ascii="Times New Roman" w:hAnsi="Times New Roman" w:eastAsia="Times New Roman" w:cs="Times New Roman"/>
                <w:sz w:val="18"/>
                <w:szCs w:val="18"/>
                <w:spacing w:val="-3"/>
              </w:rPr>
              <w:t>“</w:t>
            </w:r>
            <w:r>
              <w:rPr>
                <w:sz w:val="18"/>
                <w:szCs w:val="18"/>
                <w:spacing w:val="-3"/>
              </w:rPr>
              <w:t>备注</w:t>
            </w:r>
            <w:r>
              <w:rPr>
                <w:rFonts w:ascii="Times New Roman" w:hAnsi="Times New Roman" w:eastAsia="Times New Roman" w:cs="Times New Roman"/>
                <w:sz w:val="18"/>
                <w:szCs w:val="18"/>
                <w:spacing w:val="-3"/>
              </w:rPr>
              <w:t>”</w:t>
            </w:r>
            <w:r>
              <w:rPr>
                <w:sz w:val="18"/>
                <w:szCs w:val="18"/>
                <w:spacing w:val="-3"/>
              </w:rPr>
              <w:t>为其他补充内容。</w:t>
            </w:r>
          </w:p>
        </w:tc>
      </w:tr>
    </w:tbl>
    <w:p>
      <w:pPr>
        <w:ind w:left="24"/>
        <w:spacing w:before="200" w:line="222" w:lineRule="auto"/>
        <w:outlineLvl w:val="1"/>
        <w:rPr>
          <w:rFonts w:ascii="SimHei" w:hAnsi="SimHei" w:eastAsia="SimHei" w:cs="SimHei"/>
          <w:sz w:val="30"/>
          <w:szCs w:val="30"/>
        </w:rPr>
      </w:pPr>
      <w:bookmarkStart w:name="bookmark98" w:id="123"/>
      <w:bookmarkEnd w:id="123"/>
      <w:r>
        <w:rPr>
          <w:rFonts w:ascii="Times New Roman" w:hAnsi="Times New Roman" w:eastAsia="Times New Roman" w:cs="Times New Roman"/>
          <w:sz w:val="30"/>
          <w:szCs w:val="30"/>
          <w:spacing w:val="-1"/>
        </w:rPr>
        <w:t>5.3 </w:t>
      </w:r>
      <w:r>
        <w:rPr>
          <w:rFonts w:ascii="SimHei" w:hAnsi="SimHei" w:eastAsia="SimHei" w:cs="SimHei"/>
          <w:sz w:val="30"/>
          <w:szCs w:val="30"/>
          <w:spacing w:val="-1"/>
        </w:rPr>
        <w:t>地下水环境影响预测与评价</w:t>
      </w:r>
    </w:p>
    <w:p>
      <w:pPr>
        <w:pStyle w:val="BodyText"/>
        <w:spacing w:line="283" w:lineRule="auto"/>
        <w:rPr/>
      </w:pPr>
      <w:r/>
    </w:p>
    <w:p>
      <w:pPr>
        <w:ind w:left="23"/>
        <w:spacing w:before="91" w:line="222" w:lineRule="auto"/>
        <w:outlineLvl w:val="2"/>
        <w:rPr>
          <w:rFonts w:ascii="SimHei" w:hAnsi="SimHei" w:eastAsia="SimHei" w:cs="SimHei"/>
          <w:sz w:val="28"/>
          <w:szCs w:val="28"/>
        </w:rPr>
      </w:pPr>
      <w:bookmarkStart w:name="bookmark239" w:id="124"/>
      <w:bookmarkEnd w:id="124"/>
      <w:r>
        <w:rPr>
          <w:rFonts w:ascii="Times New Roman" w:hAnsi="Times New Roman" w:eastAsia="Times New Roman" w:cs="Times New Roman"/>
          <w:sz w:val="28"/>
          <w:szCs w:val="28"/>
          <w:spacing w:val="-2"/>
        </w:rPr>
        <w:t>5.3.1 </w:t>
      </w:r>
      <w:r>
        <w:rPr>
          <w:rFonts w:ascii="SimHei" w:hAnsi="SimHei" w:eastAsia="SimHei" w:cs="SimHei"/>
          <w:sz w:val="28"/>
          <w:szCs w:val="28"/>
          <w:spacing w:val="-2"/>
        </w:rPr>
        <w:t>水文地质条件</w:t>
      </w:r>
    </w:p>
    <w:p>
      <w:pPr>
        <w:pStyle w:val="BodyText"/>
        <w:spacing w:line="355" w:lineRule="auto"/>
        <w:rPr/>
      </w:pPr>
      <w:r/>
    </w:p>
    <w:p>
      <w:pPr>
        <w:ind w:left="18"/>
        <w:spacing w:before="78" w:line="219" w:lineRule="auto"/>
        <w:outlineLvl w:val="3"/>
        <w:rPr>
          <w:rFonts w:ascii="SimSun" w:hAnsi="SimSun" w:eastAsia="SimSun" w:cs="SimSun"/>
          <w:sz w:val="24"/>
          <w:szCs w:val="24"/>
        </w:rPr>
      </w:pPr>
      <w:bookmarkStart w:name="bookmark99" w:id="125"/>
      <w:bookmarkEnd w:id="125"/>
      <w:r>
        <w:rPr>
          <w:rFonts w:ascii="Times New Roman" w:hAnsi="Times New Roman" w:eastAsia="Times New Roman" w:cs="Times New Roman"/>
          <w:sz w:val="24"/>
          <w:szCs w:val="24"/>
          <w:b/>
          <w:bCs/>
          <w:spacing w:val="-4"/>
        </w:rPr>
        <w:t>5.3.1.1</w:t>
      </w:r>
      <w:r>
        <w:rPr>
          <w:rFonts w:ascii="Times New Roman" w:hAnsi="Times New Roman" w:eastAsia="Times New Roman" w:cs="Times New Roman"/>
          <w:sz w:val="24"/>
          <w:szCs w:val="24"/>
          <w:b/>
          <w:bCs/>
          <w:spacing w:val="32"/>
        </w:rPr>
        <w:t xml:space="preserve"> </w:t>
      </w:r>
      <w:r>
        <w:rPr>
          <w:rFonts w:ascii="SimSun" w:hAnsi="SimSun" w:eastAsia="SimSun" w:cs="SimSun"/>
          <w:sz w:val="24"/>
          <w:szCs w:val="24"/>
          <w:b/>
          <w:bCs/>
          <w:spacing w:val="-4"/>
        </w:rPr>
        <w:t>区域地质条件</w:t>
      </w:r>
    </w:p>
    <w:p>
      <w:pPr>
        <w:ind w:left="518"/>
        <w:spacing w:before="279" w:line="219" w:lineRule="auto"/>
        <w:rPr>
          <w:rFonts w:ascii="SimSun" w:hAnsi="SimSun" w:eastAsia="SimSun" w:cs="SimSun"/>
          <w:sz w:val="24"/>
          <w:szCs w:val="24"/>
        </w:rPr>
      </w:pPr>
      <w:r>
        <w:rPr>
          <w:rFonts w:ascii="Times New Roman" w:hAnsi="Times New Roman" w:eastAsia="Times New Roman" w:cs="Times New Roman"/>
          <w:sz w:val="24"/>
          <w:szCs w:val="24"/>
          <w:spacing w:val="-14"/>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4"/>
        </w:rPr>
        <w:t>、地层</w:t>
      </w:r>
    </w:p>
    <w:p>
      <w:pPr>
        <w:ind w:left="19" w:right="8" w:firstLine="481"/>
        <w:spacing w:before="235" w:line="403" w:lineRule="auto"/>
        <w:rPr>
          <w:rFonts w:ascii="SimSun" w:hAnsi="SimSun" w:eastAsia="SimSun" w:cs="SimSun"/>
          <w:sz w:val="24"/>
          <w:szCs w:val="24"/>
        </w:rPr>
      </w:pPr>
      <w:r>
        <w:rPr>
          <w:rFonts w:ascii="SimSun" w:hAnsi="SimSun" w:eastAsia="SimSun" w:cs="SimSun"/>
          <w:sz w:val="24"/>
          <w:szCs w:val="24"/>
          <w:spacing w:val="3"/>
        </w:rPr>
        <w:t>依照《内蒙古自治区岩石地层》中对地层分区的论述，</w:t>
      </w:r>
      <w:r>
        <w:rPr>
          <w:rFonts w:ascii="SimSun" w:hAnsi="SimSun" w:eastAsia="SimSun" w:cs="SimSun"/>
          <w:sz w:val="24"/>
          <w:szCs w:val="24"/>
          <w:spacing w:val="2"/>
        </w:rPr>
        <w:t>区域内的古生代岩石</w:t>
      </w:r>
      <w:r>
        <w:rPr>
          <w:rFonts w:ascii="SimSun" w:hAnsi="SimSun" w:eastAsia="SimSun" w:cs="SimSun"/>
          <w:sz w:val="24"/>
          <w:szCs w:val="24"/>
        </w:rPr>
        <w:t xml:space="preserve"> </w:t>
      </w:r>
      <w:r>
        <w:rPr>
          <w:rFonts w:ascii="SimSun" w:hAnsi="SimSun" w:eastAsia="SimSun" w:cs="SimSun"/>
          <w:sz w:val="24"/>
          <w:szCs w:val="24"/>
          <w:spacing w:val="-4"/>
        </w:rPr>
        <w:t>地层划分为：华北地层大区 (</w:t>
      </w:r>
      <w:r>
        <w:rPr>
          <w:rFonts w:ascii="Times New Roman" w:hAnsi="Times New Roman" w:eastAsia="Times New Roman" w:cs="Times New Roman"/>
          <w:sz w:val="24"/>
          <w:szCs w:val="24"/>
          <w:spacing w:val="-4"/>
        </w:rPr>
        <w:t>Ⅴ</w:t>
      </w:r>
      <w:r>
        <w:rPr>
          <w:rFonts w:ascii="SimSun" w:hAnsi="SimSun" w:eastAsia="SimSun" w:cs="SimSun"/>
          <w:sz w:val="24"/>
          <w:szCs w:val="24"/>
          <w:spacing w:val="-4"/>
        </w:rPr>
        <w:t>)</w:t>
      </w:r>
      <w:r>
        <w:rPr>
          <w:rFonts w:ascii="SimSun" w:hAnsi="SimSun" w:eastAsia="SimSun" w:cs="SimSun"/>
          <w:sz w:val="24"/>
          <w:szCs w:val="24"/>
          <w:spacing w:val="33"/>
        </w:rPr>
        <w:t xml:space="preserve"> </w:t>
      </w:r>
      <w:r>
        <w:rPr>
          <w:rFonts w:ascii="SimSun" w:hAnsi="SimSun" w:eastAsia="SimSun" w:cs="SimSun"/>
          <w:sz w:val="24"/>
          <w:szCs w:val="24"/>
          <w:spacing w:val="-4"/>
        </w:rPr>
        <w:t>、内蒙古草原地层区 (</w:t>
      </w:r>
      <w:r>
        <w:rPr>
          <w:rFonts w:ascii="Times New Roman" w:hAnsi="Times New Roman" w:eastAsia="Times New Roman" w:cs="Times New Roman"/>
          <w:sz w:val="24"/>
          <w:szCs w:val="24"/>
          <w:spacing w:val="-4"/>
        </w:rPr>
        <w:t>Ⅴ</w:t>
      </w:r>
      <w:r>
        <w:rPr>
          <w:rFonts w:ascii="Times New Roman" w:hAnsi="Times New Roman" w:eastAsia="Times New Roman" w:cs="Times New Roman"/>
          <w:sz w:val="15"/>
          <w:szCs w:val="15"/>
          <w:spacing w:val="-4"/>
          <w:position w:val="-1"/>
        </w:rPr>
        <w:t>3 </w:t>
      </w:r>
      <w:r>
        <w:rPr>
          <w:rFonts w:ascii="SimSun" w:hAnsi="SimSun" w:eastAsia="SimSun" w:cs="SimSun"/>
          <w:sz w:val="24"/>
          <w:szCs w:val="24"/>
          <w:spacing w:val="-4"/>
        </w:rPr>
        <w:t>）、乌兰浩特</w:t>
      </w:r>
      <w:r>
        <w:rPr>
          <w:rFonts w:ascii="Times New Roman" w:hAnsi="Times New Roman" w:eastAsia="Times New Roman" w:cs="Times New Roman"/>
          <w:sz w:val="24"/>
          <w:szCs w:val="24"/>
          <w:spacing w:val="-4"/>
        </w:rPr>
        <w:t>—</w:t>
      </w:r>
      <w:r>
        <w:rPr>
          <w:rFonts w:ascii="SimSun" w:hAnsi="SimSun" w:eastAsia="SimSun" w:cs="SimSun"/>
          <w:sz w:val="24"/>
          <w:szCs w:val="24"/>
          <w:spacing w:val="-4"/>
        </w:rPr>
        <w:t>哈尔滨</w:t>
      </w:r>
    </w:p>
    <w:p>
      <w:pPr>
        <w:spacing w:line="403" w:lineRule="auto"/>
        <w:sectPr>
          <w:footerReference w:type="default" r:id="rId226"/>
          <w:pgSz w:w="11906" w:h="16839"/>
          <w:pgMar w:top="1567" w:right="1692" w:bottom="1482" w:left="1691" w:header="1221" w:footer="1248" w:gutter="0"/>
        </w:sectPr>
        <w:rPr>
          <w:rFonts w:ascii="SimSun" w:hAnsi="SimSun" w:eastAsia="SimSun" w:cs="SimSun"/>
          <w:sz w:val="24"/>
          <w:szCs w:val="24"/>
        </w:rPr>
      </w:pPr>
    </w:p>
    <w:p>
      <w:pPr>
        <w:pStyle w:val="BodyText"/>
        <w:spacing w:line="263" w:lineRule="auto"/>
        <w:rPr/>
      </w:pPr>
      <w:r>
        <w:pict>
          <v:shape id="_x0000_s858" style="position:absolute;margin-left:0.066002pt;margin-top:0.439941pt;mso-position-vertical-relative:text;mso-position-horizontal-relative:text;width:425.25pt;height:0.75pt;z-index:252032000;" fillcolor="#000000" filled="true" stroked="false" coordsize="8505,15" coordorigin="0,0" path="m,l8504,0l8504,14l0,14l0,0xe"/>
        </w:pict>
      </w:r>
      <w:r/>
    </w:p>
    <w:p>
      <w:pPr>
        <w:ind w:left="13" w:hanging="2"/>
        <w:spacing w:before="78" w:line="400" w:lineRule="auto"/>
        <w:rPr>
          <w:rFonts w:ascii="SimSun" w:hAnsi="SimSun" w:eastAsia="SimSun" w:cs="SimSun"/>
          <w:sz w:val="24"/>
          <w:szCs w:val="24"/>
        </w:rPr>
      </w:pPr>
      <w:r>
        <w:rPr>
          <w:rFonts w:ascii="SimSun" w:hAnsi="SimSun" w:eastAsia="SimSun" w:cs="SimSun"/>
          <w:sz w:val="24"/>
          <w:szCs w:val="24"/>
          <w:spacing w:val="-2"/>
        </w:rPr>
        <w:t>地层分区 (</w:t>
      </w:r>
      <w:r>
        <w:rPr>
          <w:rFonts w:ascii="Times New Roman" w:hAnsi="Times New Roman" w:eastAsia="Times New Roman" w:cs="Times New Roman"/>
          <w:sz w:val="24"/>
          <w:szCs w:val="24"/>
          <w:spacing w:val="-2"/>
        </w:rPr>
        <w:t>Ⅴ</w:t>
      </w:r>
      <w:r>
        <w:rPr>
          <w:rFonts w:ascii="Times New Roman" w:hAnsi="Times New Roman" w:eastAsia="Times New Roman" w:cs="Times New Roman"/>
          <w:sz w:val="15"/>
          <w:szCs w:val="15"/>
          <w:spacing w:val="-2"/>
          <w:position w:val="-1"/>
        </w:rPr>
        <w:t>3</w:t>
      </w:r>
      <w:r>
        <w:rPr>
          <w:rFonts w:ascii="Times New Roman" w:hAnsi="Times New Roman" w:eastAsia="Times New Roman" w:cs="Times New Roman"/>
          <w:sz w:val="15"/>
          <w:szCs w:val="15"/>
          <w:spacing w:val="-2"/>
          <w:position w:val="8"/>
        </w:rPr>
        <w:t>3 </w:t>
      </w:r>
      <w:r>
        <w:rPr>
          <w:rFonts w:ascii="SimSun" w:hAnsi="SimSun" w:eastAsia="SimSun" w:cs="SimSun"/>
          <w:sz w:val="24"/>
          <w:szCs w:val="24"/>
          <w:spacing w:val="-4"/>
        </w:rPr>
        <w:t>）；</w:t>
      </w:r>
      <w:r>
        <w:rPr>
          <w:rFonts w:ascii="SimSun" w:hAnsi="SimSun" w:eastAsia="SimSun" w:cs="SimSun"/>
          <w:sz w:val="24"/>
          <w:szCs w:val="24"/>
          <w:spacing w:val="-2"/>
        </w:rPr>
        <w:t>区域内的中、新生代岩石地层划分为：滨太平洋地层区（</w:t>
      </w:r>
      <w:r>
        <w:rPr>
          <w:rFonts w:ascii="Times New Roman" w:hAnsi="Times New Roman" w:eastAsia="Times New Roman" w:cs="Times New Roman"/>
          <w:sz w:val="24"/>
          <w:szCs w:val="24"/>
          <w:spacing w:val="-2"/>
        </w:rPr>
        <w:t>5</w:t>
      </w:r>
      <w:r>
        <w:rPr>
          <w:rFonts w:ascii="SimSun" w:hAnsi="SimSun" w:eastAsia="SimSun" w:cs="SimSun"/>
          <w:sz w:val="24"/>
          <w:szCs w:val="24"/>
          <w:spacing w:val="-2"/>
        </w:rPr>
        <w:t>）、</w:t>
      </w:r>
      <w:r>
        <w:rPr>
          <w:rFonts w:ascii="SimSun" w:hAnsi="SimSun" w:eastAsia="SimSun" w:cs="SimSun"/>
          <w:sz w:val="24"/>
          <w:szCs w:val="24"/>
        </w:rPr>
        <w:t xml:space="preserve"> </w:t>
      </w:r>
      <w:r>
        <w:rPr>
          <w:rFonts w:ascii="SimSun" w:hAnsi="SimSun" w:eastAsia="SimSun" w:cs="SimSun"/>
          <w:sz w:val="24"/>
          <w:szCs w:val="24"/>
          <w:spacing w:val="-2"/>
        </w:rPr>
        <w:t>大兴安岭</w:t>
      </w:r>
      <w:r>
        <w:rPr>
          <w:rFonts w:ascii="Times New Roman" w:hAnsi="Times New Roman" w:eastAsia="Times New Roman" w:cs="Times New Roman"/>
          <w:sz w:val="24"/>
          <w:szCs w:val="24"/>
          <w:spacing w:val="-2"/>
        </w:rPr>
        <w:t>—</w:t>
      </w:r>
      <w:r>
        <w:rPr>
          <w:rFonts w:ascii="SimSun" w:hAnsi="SimSun" w:eastAsia="SimSun" w:cs="SimSun"/>
          <w:sz w:val="24"/>
          <w:szCs w:val="24"/>
          <w:spacing w:val="-2"/>
        </w:rPr>
        <w:t>燕山地层分区（</w:t>
      </w:r>
      <w:r>
        <w:rPr>
          <w:rFonts w:ascii="Times New Roman" w:hAnsi="Times New Roman" w:eastAsia="Times New Roman" w:cs="Times New Roman"/>
          <w:sz w:val="24"/>
          <w:szCs w:val="24"/>
          <w:spacing w:val="-2"/>
        </w:rPr>
        <w:t>5</w:t>
      </w:r>
      <w:r>
        <w:rPr>
          <w:rFonts w:ascii="Times New Roman" w:hAnsi="Times New Roman" w:eastAsia="Times New Roman" w:cs="Times New Roman"/>
          <w:sz w:val="15"/>
          <w:szCs w:val="15"/>
          <w:spacing w:val="-2"/>
          <w:position w:val="-1"/>
        </w:rPr>
        <w:t>1 </w:t>
      </w:r>
      <w:r>
        <w:rPr>
          <w:rFonts w:ascii="SimSun" w:hAnsi="SimSun" w:eastAsia="SimSun" w:cs="SimSun"/>
          <w:sz w:val="24"/>
          <w:szCs w:val="24"/>
          <w:spacing w:val="-2"/>
        </w:rPr>
        <w:t>）、乌兰浩特</w:t>
      </w:r>
      <w:r>
        <w:rPr>
          <w:rFonts w:ascii="Times New Roman" w:hAnsi="Times New Roman" w:eastAsia="Times New Roman" w:cs="Times New Roman"/>
          <w:sz w:val="24"/>
          <w:szCs w:val="24"/>
          <w:spacing w:val="-2"/>
        </w:rPr>
        <w:t>—</w:t>
      </w:r>
      <w:r>
        <w:rPr>
          <w:rFonts w:ascii="SimSun" w:hAnsi="SimSun" w:eastAsia="SimSun" w:cs="SimSun"/>
          <w:sz w:val="24"/>
          <w:szCs w:val="24"/>
          <w:spacing w:val="-3"/>
        </w:rPr>
        <w:t>赤峰地层小区（</w:t>
      </w:r>
      <w:r>
        <w:rPr>
          <w:rFonts w:ascii="Times New Roman" w:hAnsi="Times New Roman" w:eastAsia="Times New Roman" w:cs="Times New Roman"/>
          <w:sz w:val="24"/>
          <w:szCs w:val="24"/>
          <w:spacing w:val="-3"/>
        </w:rPr>
        <w:t>5</w:t>
      </w:r>
      <w:r>
        <w:rPr>
          <w:rFonts w:ascii="Times New Roman" w:hAnsi="Times New Roman" w:eastAsia="Times New Roman" w:cs="Times New Roman"/>
          <w:sz w:val="15"/>
          <w:szCs w:val="15"/>
          <w:spacing w:val="-3"/>
          <w:position w:val="-1"/>
        </w:rPr>
        <w:t>1</w:t>
      </w:r>
      <w:r>
        <w:rPr>
          <w:rFonts w:ascii="Times New Roman" w:hAnsi="Times New Roman" w:eastAsia="Times New Roman" w:cs="Times New Roman"/>
          <w:sz w:val="15"/>
          <w:szCs w:val="15"/>
          <w:spacing w:val="-3"/>
          <w:position w:val="8"/>
        </w:rPr>
        <w:t>3 </w:t>
      </w:r>
      <w:r>
        <w:rPr>
          <w:rFonts w:ascii="SimSun" w:hAnsi="SimSun" w:eastAsia="SimSun" w:cs="SimSun"/>
          <w:sz w:val="24"/>
          <w:szCs w:val="24"/>
          <w:spacing w:val="-3"/>
        </w:rPr>
        <w:t>）。</w:t>
      </w:r>
    </w:p>
    <w:p>
      <w:pPr>
        <w:ind w:left="502"/>
        <w:spacing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）二叠系下统三面井组（</w:t>
      </w:r>
      <w:r>
        <w:rPr>
          <w:rFonts w:ascii="Times New Roman" w:hAnsi="Times New Roman" w:eastAsia="Times New Roman" w:cs="Times New Roman"/>
          <w:sz w:val="24"/>
          <w:szCs w:val="24"/>
          <w:spacing w:val="-2"/>
        </w:rPr>
        <w:t>P</w:t>
      </w:r>
      <w:r>
        <w:rPr>
          <w:rFonts w:ascii="Times New Roman" w:hAnsi="Times New Roman" w:eastAsia="Times New Roman" w:cs="Times New Roman"/>
          <w:sz w:val="15"/>
          <w:szCs w:val="15"/>
          <w:spacing w:val="-2"/>
        </w:rPr>
        <w:t>1</w:t>
      </w:r>
      <w:r>
        <w:rPr>
          <w:rFonts w:ascii="Times New Roman" w:hAnsi="Times New Roman" w:eastAsia="Times New Roman" w:cs="Times New Roman"/>
          <w:sz w:val="24"/>
          <w:szCs w:val="24"/>
          <w:i/>
          <w:iCs/>
          <w:spacing w:val="-2"/>
        </w:rPr>
        <w:t>sm</w:t>
      </w:r>
      <w:r>
        <w:rPr>
          <w:rFonts w:ascii="SimSun" w:hAnsi="SimSun" w:eastAsia="SimSun" w:cs="SimSun"/>
          <w:sz w:val="24"/>
          <w:szCs w:val="24"/>
          <w:spacing w:val="-2"/>
        </w:rPr>
        <w:t>）</w:t>
      </w:r>
    </w:p>
    <w:p>
      <w:pPr>
        <w:ind w:left="11" w:right="63" w:firstLine="480"/>
        <w:spacing w:before="233" w:line="394" w:lineRule="auto"/>
        <w:rPr>
          <w:rFonts w:ascii="SimSun" w:hAnsi="SimSun" w:eastAsia="SimSun" w:cs="SimSun"/>
          <w:sz w:val="24"/>
          <w:szCs w:val="24"/>
        </w:rPr>
      </w:pPr>
      <w:r>
        <w:rPr>
          <w:rFonts w:ascii="SimSun" w:hAnsi="SimSun" w:eastAsia="SimSun" w:cs="SimSun"/>
          <w:sz w:val="24"/>
          <w:szCs w:val="24"/>
          <w:spacing w:val="3"/>
        </w:rPr>
        <w:t>三面井组分布于区域中部和东北部，出露面积均较小，基岩</w:t>
      </w:r>
      <w:r>
        <w:rPr>
          <w:rFonts w:ascii="SimSun" w:hAnsi="SimSun" w:eastAsia="SimSun" w:cs="SimSun"/>
          <w:sz w:val="24"/>
          <w:szCs w:val="24"/>
          <w:spacing w:val="2"/>
        </w:rPr>
        <w:t>断续出露，该组</w:t>
      </w:r>
      <w:r>
        <w:rPr>
          <w:rFonts w:ascii="SimSun" w:hAnsi="SimSun" w:eastAsia="SimSun" w:cs="SimSun"/>
          <w:sz w:val="24"/>
          <w:szCs w:val="24"/>
        </w:rPr>
        <w:t xml:space="preserve"> </w:t>
      </w:r>
      <w:r>
        <w:rPr>
          <w:rFonts w:ascii="SimSun" w:hAnsi="SimSun" w:eastAsia="SimSun" w:cs="SimSun"/>
          <w:sz w:val="24"/>
          <w:szCs w:val="24"/>
          <w:spacing w:val="1"/>
        </w:rPr>
        <w:t>地层区域上呈东西向展布，向西或北西西倾，倾角 </w:t>
      </w:r>
      <w:r>
        <w:rPr>
          <w:rFonts w:ascii="Times New Roman" w:hAnsi="Times New Roman" w:eastAsia="Times New Roman" w:cs="Times New Roman"/>
          <w:sz w:val="24"/>
          <w:szCs w:val="24"/>
          <w:spacing w:val="1"/>
        </w:rPr>
        <w:t>55-60°</w:t>
      </w:r>
      <w:r>
        <w:rPr>
          <w:rFonts w:ascii="SimSun" w:hAnsi="SimSun" w:eastAsia="SimSun" w:cs="SimSun"/>
          <w:sz w:val="24"/>
          <w:szCs w:val="24"/>
          <w:spacing w:val="1"/>
        </w:rPr>
        <w:t>之间。上部</w:t>
      </w:r>
      <w:r>
        <w:rPr>
          <w:rFonts w:ascii="SimSun" w:hAnsi="SimSun" w:eastAsia="SimSun" w:cs="SimSun"/>
          <w:sz w:val="24"/>
          <w:szCs w:val="24"/>
        </w:rPr>
        <w:t>被满克头鄂 </w:t>
      </w:r>
      <w:r>
        <w:rPr>
          <w:rFonts w:ascii="SimSun" w:hAnsi="SimSun" w:eastAsia="SimSun" w:cs="SimSun"/>
          <w:sz w:val="24"/>
          <w:szCs w:val="24"/>
          <w:spacing w:val="3"/>
        </w:rPr>
        <w:t>博组英安质含角砾岩屑凝灰岩不整合覆盖。岩性主</w:t>
      </w:r>
      <w:r>
        <w:rPr>
          <w:rFonts w:ascii="SimSun" w:hAnsi="SimSun" w:eastAsia="SimSun" w:cs="SimSun"/>
          <w:sz w:val="24"/>
          <w:szCs w:val="24"/>
          <w:spacing w:val="2"/>
        </w:rPr>
        <w:t>要为灰绿色钙质中细粒长石石</w:t>
      </w:r>
      <w:r>
        <w:rPr>
          <w:rFonts w:ascii="SimSun" w:hAnsi="SimSun" w:eastAsia="SimSun" w:cs="SimSun"/>
          <w:sz w:val="24"/>
          <w:szCs w:val="24"/>
        </w:rPr>
        <w:t xml:space="preserve"> </w:t>
      </w:r>
      <w:r>
        <w:rPr>
          <w:rFonts w:ascii="SimSun" w:hAnsi="SimSun" w:eastAsia="SimSun" w:cs="SimSun"/>
          <w:sz w:val="24"/>
          <w:szCs w:val="24"/>
          <w:spacing w:val="3"/>
        </w:rPr>
        <w:t>英砂岩、灰色钙质中细粒岩屑长石砂岩、褐黄色变</w:t>
      </w:r>
      <w:r>
        <w:rPr>
          <w:rFonts w:ascii="SimSun" w:hAnsi="SimSun" w:eastAsia="SimSun" w:cs="SimSun"/>
          <w:sz w:val="24"/>
          <w:szCs w:val="24"/>
          <w:spacing w:val="2"/>
        </w:rPr>
        <w:t>质中细粒岩屑长石砂岩夹结晶</w:t>
      </w:r>
      <w:r>
        <w:rPr>
          <w:rFonts w:ascii="SimSun" w:hAnsi="SimSun" w:eastAsia="SimSun" w:cs="SimSun"/>
          <w:sz w:val="24"/>
          <w:szCs w:val="24"/>
        </w:rPr>
        <w:t xml:space="preserve"> </w:t>
      </w:r>
      <w:r>
        <w:rPr>
          <w:rFonts w:ascii="SimSun" w:hAnsi="SimSun" w:eastAsia="SimSun" w:cs="SimSun"/>
          <w:sz w:val="24"/>
          <w:szCs w:val="24"/>
          <w:spacing w:val="-1"/>
        </w:rPr>
        <w:t>灰岩、泥灰岩透镜体、下部为砾岩。厚度大于</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937.4m</w:t>
      </w:r>
      <w:r>
        <w:rPr>
          <w:rFonts w:ascii="SimSun" w:hAnsi="SimSun" w:eastAsia="SimSun" w:cs="SimSun"/>
          <w:sz w:val="24"/>
          <w:szCs w:val="24"/>
          <w:spacing w:val="-1"/>
        </w:rPr>
        <w:t>。</w:t>
      </w:r>
    </w:p>
    <w:p>
      <w:pPr>
        <w:ind w:left="502"/>
        <w:spacing w:line="318" w:lineRule="exact"/>
        <w:rPr>
          <w:rFonts w:ascii="SimSun" w:hAnsi="SimSun" w:eastAsia="SimSun" w:cs="SimSun"/>
          <w:sz w:val="24"/>
          <w:szCs w:val="24"/>
        </w:rPr>
      </w:pPr>
      <w:r>
        <w:rPr>
          <w:rFonts w:ascii="SimSun" w:hAnsi="SimSun" w:eastAsia="SimSun" w:cs="SimSun"/>
          <w:sz w:val="24"/>
          <w:szCs w:val="24"/>
          <w:spacing w:val="-1"/>
          <w:position w:val="1"/>
        </w:rPr>
        <w:t>（</w:t>
      </w:r>
      <w:r>
        <w:rPr>
          <w:rFonts w:ascii="Times New Roman" w:hAnsi="Times New Roman" w:eastAsia="Times New Roman" w:cs="Times New Roman"/>
          <w:sz w:val="24"/>
          <w:szCs w:val="24"/>
          <w:spacing w:val="-1"/>
          <w:position w:val="1"/>
        </w:rPr>
        <w:t>2</w:t>
      </w:r>
      <w:r>
        <w:rPr>
          <w:rFonts w:ascii="SimSun" w:hAnsi="SimSun" w:eastAsia="SimSun" w:cs="SimSun"/>
          <w:sz w:val="24"/>
          <w:szCs w:val="24"/>
          <w:spacing w:val="-1"/>
          <w:position w:val="1"/>
        </w:rPr>
        <w:t>）侏罗系上统满克头鄂博组（</w:t>
      </w:r>
      <w:r>
        <w:rPr>
          <w:rFonts w:ascii="Times New Roman" w:hAnsi="Times New Roman" w:eastAsia="Times New Roman" w:cs="Times New Roman"/>
          <w:sz w:val="24"/>
          <w:szCs w:val="24"/>
          <w:spacing w:val="-1"/>
          <w:position w:val="1"/>
        </w:rPr>
        <w:t>J</w:t>
      </w:r>
      <w:r>
        <w:rPr>
          <w:rFonts w:ascii="Times New Roman" w:hAnsi="Times New Roman" w:eastAsia="Times New Roman" w:cs="Times New Roman"/>
          <w:sz w:val="15"/>
          <w:szCs w:val="15"/>
          <w:spacing w:val="-1"/>
        </w:rPr>
        <w:t>3</w:t>
      </w:r>
      <w:r>
        <w:rPr>
          <w:rFonts w:ascii="Times New Roman" w:hAnsi="Times New Roman" w:eastAsia="Times New Roman" w:cs="Times New Roman"/>
          <w:sz w:val="24"/>
          <w:szCs w:val="24"/>
          <w:i/>
          <w:iCs/>
          <w:spacing w:val="-1"/>
          <w:position w:val="1"/>
        </w:rPr>
        <w:t>mk</w:t>
      </w:r>
      <w:r>
        <w:rPr>
          <w:rFonts w:ascii="SimSun" w:hAnsi="SimSun" w:eastAsia="SimSun" w:cs="SimSun"/>
          <w:sz w:val="24"/>
          <w:szCs w:val="24"/>
          <w:spacing w:val="-1"/>
          <w:position w:val="1"/>
        </w:rPr>
        <w:t>）</w:t>
      </w:r>
    </w:p>
    <w:p>
      <w:pPr>
        <w:ind w:left="10" w:right="63" w:firstLine="482"/>
        <w:spacing w:before="240" w:line="400" w:lineRule="auto"/>
        <w:rPr>
          <w:rFonts w:ascii="SimSun" w:hAnsi="SimSun" w:eastAsia="SimSun" w:cs="SimSun"/>
          <w:sz w:val="24"/>
          <w:szCs w:val="24"/>
        </w:rPr>
      </w:pPr>
      <w:r>
        <w:rPr>
          <w:rFonts w:ascii="SimSun" w:hAnsi="SimSun" w:eastAsia="SimSun" w:cs="SimSun"/>
          <w:sz w:val="24"/>
          <w:szCs w:val="24"/>
          <w:spacing w:val="3"/>
        </w:rPr>
        <w:t>主要出露于区域东部、东北部，岩性主要为灰紫色流纹</w:t>
      </w:r>
      <w:r>
        <w:rPr>
          <w:rFonts w:ascii="SimSun" w:hAnsi="SimSun" w:eastAsia="SimSun" w:cs="SimSun"/>
          <w:sz w:val="24"/>
          <w:szCs w:val="24"/>
          <w:spacing w:val="2"/>
        </w:rPr>
        <w:t>岩、黄灰色流纹质晶</w:t>
      </w:r>
      <w:r>
        <w:rPr>
          <w:rFonts w:ascii="SimSun" w:hAnsi="SimSun" w:eastAsia="SimSun" w:cs="SimSun"/>
          <w:sz w:val="24"/>
          <w:szCs w:val="24"/>
        </w:rPr>
        <w:t xml:space="preserve"> </w:t>
      </w:r>
      <w:r>
        <w:rPr>
          <w:rFonts w:ascii="SimSun" w:hAnsi="SimSun" w:eastAsia="SimSun" w:cs="SimSun"/>
          <w:sz w:val="24"/>
          <w:szCs w:val="24"/>
          <w:spacing w:val="3"/>
        </w:rPr>
        <w:t>屑玻屑熔结凝灰岩、流纹质含角砾岩屑晶屑凝灰熔岩</w:t>
      </w:r>
      <w:r>
        <w:rPr>
          <w:rFonts w:ascii="SimSun" w:hAnsi="SimSun" w:eastAsia="SimSun" w:cs="SimSun"/>
          <w:sz w:val="24"/>
          <w:szCs w:val="24"/>
          <w:spacing w:val="2"/>
        </w:rPr>
        <w:t>、流纹质含角砾岩屑晶屑凝</w:t>
      </w:r>
      <w:r>
        <w:rPr>
          <w:rFonts w:ascii="SimSun" w:hAnsi="SimSun" w:eastAsia="SimSun" w:cs="SimSun"/>
          <w:sz w:val="24"/>
          <w:szCs w:val="24"/>
        </w:rPr>
        <w:t xml:space="preserve"> </w:t>
      </w:r>
      <w:r>
        <w:rPr>
          <w:rFonts w:ascii="SimSun" w:hAnsi="SimSun" w:eastAsia="SimSun" w:cs="SimSun"/>
          <w:sz w:val="24"/>
          <w:szCs w:val="24"/>
          <w:spacing w:val="3"/>
        </w:rPr>
        <w:t>灰岩、流纹质含角砾岩屑晶屑熔结凝灰岩、安山质熔</w:t>
      </w:r>
      <w:r>
        <w:rPr>
          <w:rFonts w:ascii="SimSun" w:hAnsi="SimSun" w:eastAsia="SimSun" w:cs="SimSun"/>
          <w:sz w:val="24"/>
          <w:szCs w:val="24"/>
          <w:spacing w:val="2"/>
        </w:rPr>
        <w:t>结火山角砾岩、英安质含角</w:t>
      </w:r>
      <w:r>
        <w:rPr>
          <w:rFonts w:ascii="SimSun" w:hAnsi="SimSun" w:eastAsia="SimSun" w:cs="SimSun"/>
          <w:sz w:val="24"/>
          <w:szCs w:val="24"/>
        </w:rPr>
        <w:t xml:space="preserve"> </w:t>
      </w:r>
      <w:r>
        <w:rPr>
          <w:rFonts w:ascii="SimSun" w:hAnsi="SimSun" w:eastAsia="SimSun" w:cs="SimSun"/>
          <w:sz w:val="24"/>
          <w:szCs w:val="24"/>
          <w:spacing w:val="3"/>
        </w:rPr>
        <w:t>砾晶屑岩屑熔结凝灰岩、英安质角砾岩屑凝灰岩、灰</w:t>
      </w:r>
      <w:r>
        <w:rPr>
          <w:rFonts w:ascii="SimSun" w:hAnsi="SimSun" w:eastAsia="SimSun" w:cs="SimSun"/>
          <w:sz w:val="24"/>
          <w:szCs w:val="24"/>
          <w:spacing w:val="2"/>
        </w:rPr>
        <w:t>黑色安山质含角砾岩屑晶屑</w:t>
      </w:r>
      <w:r>
        <w:rPr>
          <w:rFonts w:ascii="SimSun" w:hAnsi="SimSun" w:eastAsia="SimSun" w:cs="SimSun"/>
          <w:sz w:val="24"/>
          <w:szCs w:val="24"/>
        </w:rPr>
        <w:t xml:space="preserve"> </w:t>
      </w:r>
      <w:r>
        <w:rPr>
          <w:rFonts w:ascii="SimSun" w:hAnsi="SimSun" w:eastAsia="SimSun" w:cs="SimSun"/>
          <w:sz w:val="24"/>
          <w:szCs w:val="24"/>
          <w:spacing w:val="-2"/>
        </w:rPr>
        <w:t>凝灰岩等。</w:t>
      </w:r>
    </w:p>
    <w:p>
      <w:pPr>
        <w:ind w:left="502"/>
        <w:spacing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）侏罗系上统玛尼吐组（</w:t>
      </w:r>
      <w:r>
        <w:rPr>
          <w:rFonts w:ascii="Times New Roman" w:hAnsi="Times New Roman" w:eastAsia="Times New Roman" w:cs="Times New Roman"/>
          <w:sz w:val="24"/>
          <w:szCs w:val="24"/>
          <w:spacing w:val="-2"/>
        </w:rPr>
        <w:t>J</w:t>
      </w:r>
      <w:r>
        <w:rPr>
          <w:rFonts w:ascii="Times New Roman" w:hAnsi="Times New Roman" w:eastAsia="Times New Roman" w:cs="Times New Roman"/>
          <w:sz w:val="15"/>
          <w:szCs w:val="15"/>
          <w:spacing w:val="-2"/>
          <w:position w:val="-1"/>
        </w:rPr>
        <w:t>3</w:t>
      </w:r>
      <w:r>
        <w:rPr>
          <w:rFonts w:ascii="Times New Roman" w:hAnsi="Times New Roman" w:eastAsia="Times New Roman" w:cs="Times New Roman"/>
          <w:sz w:val="24"/>
          <w:szCs w:val="24"/>
          <w:i/>
          <w:iCs/>
          <w:spacing w:val="-2"/>
        </w:rPr>
        <w:t>mn</w:t>
      </w:r>
      <w:r>
        <w:rPr>
          <w:rFonts w:ascii="SimSun" w:hAnsi="SimSun" w:eastAsia="SimSun" w:cs="SimSun"/>
          <w:sz w:val="24"/>
          <w:szCs w:val="24"/>
          <w:spacing w:val="-2"/>
        </w:rPr>
        <w:t>）</w:t>
      </w:r>
    </w:p>
    <w:p>
      <w:pPr>
        <w:ind w:right="63" w:firstLine="493"/>
        <w:spacing w:before="240" w:line="400" w:lineRule="auto"/>
        <w:rPr>
          <w:rFonts w:ascii="SimSun" w:hAnsi="SimSun" w:eastAsia="SimSun" w:cs="SimSun"/>
          <w:sz w:val="24"/>
          <w:szCs w:val="24"/>
        </w:rPr>
      </w:pPr>
      <w:r>
        <w:rPr>
          <w:rFonts w:ascii="SimSun" w:hAnsi="SimSun" w:eastAsia="SimSun" w:cs="SimSun"/>
          <w:sz w:val="24"/>
          <w:szCs w:val="24"/>
          <w:spacing w:val="3"/>
        </w:rPr>
        <w:t>主要分布于园区南部，局部被第四系覆盖。与下伏满克</w:t>
      </w:r>
      <w:r>
        <w:rPr>
          <w:rFonts w:ascii="SimSun" w:hAnsi="SimSun" w:eastAsia="SimSun" w:cs="SimSun"/>
          <w:sz w:val="24"/>
          <w:szCs w:val="24"/>
          <w:spacing w:val="2"/>
        </w:rPr>
        <w:t>头鄂博组呈平行不整</w:t>
      </w:r>
      <w:r>
        <w:rPr>
          <w:rFonts w:ascii="SimSun" w:hAnsi="SimSun" w:eastAsia="SimSun" w:cs="SimSun"/>
          <w:sz w:val="24"/>
          <w:szCs w:val="24"/>
        </w:rPr>
        <w:t xml:space="preserve"> </w:t>
      </w:r>
      <w:r>
        <w:rPr>
          <w:rFonts w:ascii="SimSun" w:hAnsi="SimSun" w:eastAsia="SimSun" w:cs="SimSun"/>
          <w:sz w:val="24"/>
          <w:szCs w:val="24"/>
          <w:spacing w:val="13"/>
        </w:rPr>
        <w:t>合接触</w:t>
      </w:r>
      <w:r>
        <w:rPr>
          <w:rFonts w:ascii="SimSun" w:hAnsi="SimSun" w:eastAsia="SimSun" w:cs="SimSun"/>
          <w:sz w:val="24"/>
          <w:szCs w:val="24"/>
          <w:spacing w:val="-67"/>
        </w:rPr>
        <w:t xml:space="preserve"> </w:t>
      </w:r>
      <w:r>
        <w:rPr>
          <w:rFonts w:ascii="SimSun" w:hAnsi="SimSun" w:eastAsia="SimSun" w:cs="SimSun"/>
          <w:sz w:val="24"/>
          <w:szCs w:val="24"/>
          <w:spacing w:val="13"/>
        </w:rPr>
        <w:t>，与上覆白音高老组呈整合接触</w:t>
      </w:r>
      <w:r>
        <w:rPr>
          <w:rFonts w:ascii="SimSun" w:hAnsi="SimSun" w:eastAsia="SimSun" w:cs="SimSun"/>
          <w:sz w:val="24"/>
          <w:szCs w:val="24"/>
          <w:spacing w:val="-70"/>
        </w:rPr>
        <w:t xml:space="preserve"> </w:t>
      </w:r>
      <w:r>
        <w:rPr>
          <w:rFonts w:ascii="SimSun" w:hAnsi="SimSun" w:eastAsia="SimSun" w:cs="SimSun"/>
          <w:sz w:val="24"/>
          <w:szCs w:val="24"/>
          <w:spacing w:val="13"/>
        </w:rPr>
        <w:t>。其地质时限为晚侏罗世</w:t>
      </w:r>
      <w:r>
        <w:rPr>
          <w:rFonts w:ascii="SimSun" w:hAnsi="SimSun" w:eastAsia="SimSun" w:cs="SimSun"/>
          <w:sz w:val="24"/>
          <w:szCs w:val="24"/>
          <w:spacing w:val="-68"/>
        </w:rPr>
        <w:t xml:space="preserve"> </w:t>
      </w:r>
      <w:r>
        <w:rPr>
          <w:rFonts w:ascii="SimSun" w:hAnsi="SimSun" w:eastAsia="SimSun" w:cs="SimSun"/>
          <w:sz w:val="24"/>
          <w:szCs w:val="24"/>
          <w:spacing w:val="13"/>
        </w:rPr>
        <w:t>。厚度大于</w:t>
      </w:r>
      <w:r>
        <w:rPr>
          <w:rFonts w:ascii="SimSun" w:hAnsi="SimSun" w:eastAsia="SimSun" w:cs="SimSun"/>
          <w:sz w:val="24"/>
          <w:szCs w:val="24"/>
        </w:rPr>
        <w:t xml:space="preserve"> </w:t>
      </w:r>
      <w:r>
        <w:rPr>
          <w:rFonts w:ascii="Times New Roman" w:hAnsi="Times New Roman" w:eastAsia="Times New Roman" w:cs="Times New Roman"/>
          <w:sz w:val="24"/>
          <w:szCs w:val="24"/>
          <w:spacing w:val="-1"/>
        </w:rPr>
        <w:t>1405.9m</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。岩性组合以红褐色安山岩，灰色安山</w:t>
      </w:r>
      <w:r>
        <w:rPr>
          <w:rFonts w:ascii="Times New Roman" w:hAnsi="Times New Roman" w:eastAsia="Times New Roman" w:cs="Times New Roman"/>
          <w:sz w:val="24"/>
          <w:szCs w:val="24"/>
          <w:spacing w:val="-2"/>
        </w:rPr>
        <w:t>—</w:t>
      </w:r>
      <w:r>
        <w:rPr>
          <w:rFonts w:ascii="SimSun" w:hAnsi="SimSun" w:eastAsia="SimSun" w:cs="SimSun"/>
          <w:sz w:val="24"/>
          <w:szCs w:val="24"/>
          <w:spacing w:val="-2"/>
        </w:rPr>
        <w:t>英安质火山角砾岩，灰色英安质</w:t>
      </w:r>
      <w:r>
        <w:rPr>
          <w:rFonts w:ascii="SimSun" w:hAnsi="SimSun" w:eastAsia="SimSun" w:cs="SimSun"/>
          <w:sz w:val="24"/>
          <w:szCs w:val="24"/>
        </w:rPr>
        <w:t xml:space="preserve"> </w:t>
      </w:r>
      <w:r>
        <w:rPr>
          <w:rFonts w:ascii="SimSun" w:hAnsi="SimSun" w:eastAsia="SimSun" w:cs="SimSun"/>
          <w:sz w:val="24"/>
          <w:szCs w:val="24"/>
          <w:spacing w:val="3"/>
        </w:rPr>
        <w:t>晶屑凝灰质熔岩，灰色英安质凝灰质熔岩，灰色英安岩，褐色气孔安山岩，</w:t>
      </w:r>
      <w:r>
        <w:rPr>
          <w:rFonts w:ascii="SimSun" w:hAnsi="SimSun" w:eastAsia="SimSun" w:cs="SimSun"/>
          <w:sz w:val="24"/>
          <w:szCs w:val="24"/>
          <w:spacing w:val="2"/>
        </w:rPr>
        <w:t>灰褐</w:t>
      </w:r>
      <w:r>
        <w:rPr>
          <w:rFonts w:ascii="SimSun" w:hAnsi="SimSun" w:eastAsia="SimSun" w:cs="SimSun"/>
          <w:sz w:val="24"/>
          <w:szCs w:val="24"/>
        </w:rPr>
        <w:t xml:space="preserve"> </w:t>
      </w:r>
      <w:r>
        <w:rPr>
          <w:rFonts w:ascii="SimSun" w:hAnsi="SimSun" w:eastAsia="SimSun" w:cs="SimSun"/>
          <w:sz w:val="24"/>
          <w:szCs w:val="24"/>
          <w:spacing w:val="3"/>
        </w:rPr>
        <w:t>色气孔</w:t>
      </w:r>
      <w:r>
        <w:rPr>
          <w:rFonts w:ascii="Times New Roman" w:hAnsi="Times New Roman" w:eastAsia="Times New Roman" w:cs="Times New Roman"/>
          <w:sz w:val="24"/>
          <w:szCs w:val="24"/>
          <w:spacing w:val="3"/>
        </w:rPr>
        <w:t>—</w:t>
      </w:r>
      <w:r>
        <w:rPr>
          <w:rFonts w:ascii="SimSun" w:hAnsi="SimSun" w:eastAsia="SimSun" w:cs="SimSun"/>
          <w:sz w:val="24"/>
          <w:szCs w:val="24"/>
          <w:spacing w:val="3"/>
        </w:rPr>
        <w:t>杏仁状安山岩，灰色英安质晶屑熔结凝灰岩，安山质晶屑凝灰岩，</w:t>
      </w:r>
      <w:r>
        <w:rPr>
          <w:rFonts w:ascii="SimSun" w:hAnsi="SimSun" w:eastAsia="SimSun" w:cs="SimSun"/>
          <w:sz w:val="24"/>
          <w:szCs w:val="24"/>
          <w:spacing w:val="2"/>
        </w:rPr>
        <w:t>英安</w:t>
      </w:r>
      <w:r>
        <w:rPr>
          <w:rFonts w:ascii="SimSun" w:hAnsi="SimSun" w:eastAsia="SimSun" w:cs="SimSun"/>
          <w:sz w:val="24"/>
          <w:szCs w:val="24"/>
        </w:rPr>
        <w:t xml:space="preserve"> </w:t>
      </w:r>
      <w:r>
        <w:rPr>
          <w:rFonts w:ascii="Times New Roman" w:hAnsi="Times New Roman" w:eastAsia="Times New Roman" w:cs="Times New Roman"/>
          <w:sz w:val="24"/>
          <w:szCs w:val="24"/>
          <w:spacing w:val="3"/>
        </w:rPr>
        <w:t>—</w:t>
      </w:r>
      <w:r>
        <w:rPr>
          <w:rFonts w:ascii="SimSun" w:hAnsi="SimSun" w:eastAsia="SimSun" w:cs="SimSun"/>
          <w:sz w:val="24"/>
          <w:szCs w:val="24"/>
          <w:spacing w:val="3"/>
        </w:rPr>
        <w:t>安山质熔结凝灰岩为主。在序列上，上部红褐色安山岩夹灰色安山</w:t>
      </w:r>
      <w:r>
        <w:rPr>
          <w:rFonts w:ascii="Times New Roman" w:hAnsi="Times New Roman" w:eastAsia="Times New Roman" w:cs="Times New Roman"/>
          <w:sz w:val="24"/>
          <w:szCs w:val="24"/>
          <w:spacing w:val="3"/>
        </w:rPr>
        <w:t>—</w:t>
      </w:r>
      <w:r>
        <w:rPr>
          <w:rFonts w:ascii="SimSun" w:hAnsi="SimSun" w:eastAsia="SimSun" w:cs="SimSun"/>
          <w:sz w:val="24"/>
          <w:szCs w:val="24"/>
          <w:spacing w:val="3"/>
        </w:rPr>
        <w:t>英安质火</w:t>
      </w:r>
      <w:r>
        <w:rPr>
          <w:rFonts w:ascii="SimSun" w:hAnsi="SimSun" w:eastAsia="SimSun" w:cs="SimSun"/>
          <w:sz w:val="24"/>
          <w:szCs w:val="24"/>
        </w:rPr>
        <w:t xml:space="preserve"> </w:t>
      </w:r>
      <w:r>
        <w:rPr>
          <w:rFonts w:ascii="SimSun" w:hAnsi="SimSun" w:eastAsia="SimSun" w:cs="SimSun"/>
          <w:sz w:val="24"/>
          <w:szCs w:val="24"/>
          <w:spacing w:val="3"/>
        </w:rPr>
        <w:t>山角砾岩，中部为红褐色安山岩与灰色英安质晶屑凝灰质熔岩互层；中部灰</w:t>
      </w:r>
      <w:r>
        <w:rPr>
          <w:rFonts w:ascii="SimSun" w:hAnsi="SimSun" w:eastAsia="SimSun" w:cs="SimSun"/>
          <w:sz w:val="24"/>
          <w:szCs w:val="24"/>
          <w:spacing w:val="2"/>
        </w:rPr>
        <w:t>色英</w:t>
      </w:r>
      <w:r>
        <w:rPr>
          <w:rFonts w:ascii="SimSun" w:hAnsi="SimSun" w:eastAsia="SimSun" w:cs="SimSun"/>
          <w:sz w:val="24"/>
          <w:szCs w:val="24"/>
        </w:rPr>
        <w:t xml:space="preserve"> </w:t>
      </w:r>
      <w:r>
        <w:rPr>
          <w:rFonts w:ascii="SimSun" w:hAnsi="SimSun" w:eastAsia="SimSun" w:cs="SimSun"/>
          <w:sz w:val="24"/>
          <w:szCs w:val="24"/>
          <w:spacing w:val="3"/>
        </w:rPr>
        <w:t>安岩，褐色气孔安山岩，灰褐色气孔</w:t>
      </w:r>
      <w:r>
        <w:rPr>
          <w:rFonts w:ascii="Times New Roman" w:hAnsi="Times New Roman" w:eastAsia="Times New Roman" w:cs="Times New Roman"/>
          <w:sz w:val="24"/>
          <w:szCs w:val="24"/>
          <w:spacing w:val="3"/>
        </w:rPr>
        <w:t>—</w:t>
      </w:r>
      <w:r>
        <w:rPr>
          <w:rFonts w:ascii="SimSun" w:hAnsi="SimSun" w:eastAsia="SimSun" w:cs="SimSun"/>
          <w:sz w:val="24"/>
          <w:szCs w:val="24"/>
          <w:spacing w:val="3"/>
        </w:rPr>
        <w:t>杏仁状安山岩夹灰色英安质凝灰质熔岩，</w:t>
      </w:r>
      <w:r>
        <w:rPr>
          <w:rFonts w:ascii="SimSun" w:hAnsi="SimSun" w:eastAsia="SimSun" w:cs="SimSun"/>
          <w:sz w:val="24"/>
          <w:szCs w:val="24"/>
        </w:rPr>
        <w:t xml:space="preserve"> </w:t>
      </w:r>
      <w:r>
        <w:rPr>
          <w:rFonts w:ascii="SimSun" w:hAnsi="SimSun" w:eastAsia="SimSun" w:cs="SimSun"/>
          <w:sz w:val="24"/>
          <w:szCs w:val="24"/>
          <w:spacing w:val="3"/>
        </w:rPr>
        <w:t>灰色英安质晶屑熔结凝灰岩；下部红褐色安山岩夹安山质晶屑凝灰岩，英安</w:t>
      </w:r>
      <w:r>
        <w:rPr>
          <w:rFonts w:ascii="Times New Roman" w:hAnsi="Times New Roman" w:eastAsia="Times New Roman" w:cs="Times New Roman"/>
          <w:sz w:val="24"/>
          <w:szCs w:val="24"/>
          <w:spacing w:val="3"/>
        </w:rPr>
        <w:t>—</w:t>
      </w:r>
      <w:r>
        <w:rPr>
          <w:rFonts w:ascii="SimSun" w:hAnsi="SimSun" w:eastAsia="SimSun" w:cs="SimSun"/>
          <w:sz w:val="24"/>
          <w:szCs w:val="24"/>
          <w:spacing w:val="3"/>
        </w:rPr>
        <w:t>安</w:t>
      </w:r>
      <w:r>
        <w:rPr>
          <w:rFonts w:ascii="SimSun" w:hAnsi="SimSun" w:eastAsia="SimSun" w:cs="SimSun"/>
          <w:sz w:val="24"/>
          <w:szCs w:val="24"/>
        </w:rPr>
        <w:t xml:space="preserve"> </w:t>
      </w:r>
      <w:r>
        <w:rPr>
          <w:rFonts w:ascii="SimSun" w:hAnsi="SimSun" w:eastAsia="SimSun" w:cs="SimSun"/>
          <w:sz w:val="24"/>
          <w:szCs w:val="24"/>
        </w:rPr>
        <w:t>山质熔结凝灰岩。</w:t>
      </w:r>
    </w:p>
    <w:p>
      <w:pPr>
        <w:spacing w:line="400" w:lineRule="auto"/>
        <w:sectPr>
          <w:headerReference w:type="default" r:id="rId227"/>
          <w:footerReference w:type="default" r:id="rId228"/>
          <w:pgSz w:w="11906" w:h="16839"/>
          <w:pgMar w:top="1567" w:right="1637" w:bottom="1811" w:left="1699" w:header="1221" w:footer="1128" w:gutter="0"/>
        </w:sectPr>
        <w:rPr>
          <w:rFonts w:ascii="SimSun" w:hAnsi="SimSun" w:eastAsia="SimSun" w:cs="SimSun"/>
          <w:sz w:val="24"/>
          <w:szCs w:val="24"/>
        </w:rPr>
      </w:pPr>
    </w:p>
    <w:p>
      <w:pPr>
        <w:pStyle w:val="BodyText"/>
        <w:spacing w:line="241" w:lineRule="auto"/>
        <w:rPr/>
      </w:pPr>
      <w:r>
        <w:pict>
          <v:shape id="_x0000_s860" style="position:absolute;margin-left:0pt;margin-top:0.719971pt;mso-position-vertical-relative:text;mso-position-horizontal-relative:text;width:425.25pt;height:0.75pt;z-index:252034048;" fillcolor="#000000" filled="true" stroked="false" coordsize="8505,15" coordorigin="0,0" path="m,l8504,0l8504,14l0,14l0,0xe"/>
        </w:pict>
      </w:r>
      <w:r/>
    </w:p>
    <w:p>
      <w:pPr>
        <w:ind w:left="501"/>
        <w:spacing w:before="78" w:line="319" w:lineRule="exact"/>
        <w:rPr>
          <w:rFonts w:ascii="SimSun" w:hAnsi="SimSun" w:eastAsia="SimSun" w:cs="SimSun"/>
          <w:sz w:val="24"/>
          <w:szCs w:val="24"/>
        </w:rPr>
      </w:pPr>
      <w:r>
        <w:rPr>
          <w:rFonts w:ascii="SimSun" w:hAnsi="SimSun" w:eastAsia="SimSun" w:cs="SimSun"/>
          <w:sz w:val="24"/>
          <w:szCs w:val="24"/>
          <w:spacing w:val="-2"/>
          <w:position w:val="1"/>
        </w:rPr>
        <w:t>（</w:t>
      </w:r>
      <w:r>
        <w:rPr>
          <w:rFonts w:ascii="Times New Roman" w:hAnsi="Times New Roman" w:eastAsia="Times New Roman" w:cs="Times New Roman"/>
          <w:sz w:val="24"/>
          <w:szCs w:val="24"/>
          <w:spacing w:val="-2"/>
          <w:position w:val="1"/>
        </w:rPr>
        <w:t>4</w:t>
      </w:r>
      <w:r>
        <w:rPr>
          <w:rFonts w:ascii="SimSun" w:hAnsi="SimSun" w:eastAsia="SimSun" w:cs="SimSun"/>
          <w:sz w:val="24"/>
          <w:szCs w:val="24"/>
          <w:spacing w:val="-2"/>
          <w:position w:val="1"/>
        </w:rPr>
        <w:t>）侏罗系上统白音高老组（</w:t>
      </w:r>
      <w:r>
        <w:rPr>
          <w:rFonts w:ascii="Times New Roman" w:hAnsi="Times New Roman" w:eastAsia="Times New Roman" w:cs="Times New Roman"/>
          <w:sz w:val="24"/>
          <w:szCs w:val="24"/>
          <w:spacing w:val="-2"/>
          <w:position w:val="1"/>
        </w:rPr>
        <w:t>J</w:t>
      </w:r>
      <w:r>
        <w:rPr>
          <w:rFonts w:ascii="Times New Roman" w:hAnsi="Times New Roman" w:eastAsia="Times New Roman" w:cs="Times New Roman"/>
          <w:sz w:val="15"/>
          <w:szCs w:val="15"/>
          <w:spacing w:val="-2"/>
        </w:rPr>
        <w:t>3</w:t>
      </w:r>
      <w:r>
        <w:rPr>
          <w:rFonts w:ascii="Times New Roman" w:hAnsi="Times New Roman" w:eastAsia="Times New Roman" w:cs="Times New Roman"/>
          <w:sz w:val="24"/>
          <w:szCs w:val="24"/>
          <w:i/>
          <w:iCs/>
          <w:spacing w:val="-2"/>
          <w:position w:val="1"/>
        </w:rPr>
        <w:t>b</w:t>
      </w:r>
      <w:r>
        <w:rPr>
          <w:rFonts w:ascii="SimSun" w:hAnsi="SimSun" w:eastAsia="SimSun" w:cs="SimSun"/>
          <w:sz w:val="24"/>
          <w:szCs w:val="24"/>
          <w:spacing w:val="-2"/>
          <w:position w:val="1"/>
        </w:rPr>
        <w:t>）</w:t>
      </w:r>
    </w:p>
    <w:p>
      <w:pPr>
        <w:ind w:left="8" w:right="18" w:firstLine="483"/>
        <w:spacing w:before="245" w:line="395" w:lineRule="auto"/>
        <w:rPr>
          <w:rFonts w:ascii="SimSun" w:hAnsi="SimSun" w:eastAsia="SimSun" w:cs="SimSun"/>
          <w:sz w:val="24"/>
          <w:szCs w:val="24"/>
        </w:rPr>
      </w:pPr>
      <w:r>
        <w:rPr>
          <w:rFonts w:ascii="SimSun" w:hAnsi="SimSun" w:eastAsia="SimSun" w:cs="SimSun"/>
          <w:sz w:val="24"/>
          <w:szCs w:val="24"/>
          <w:spacing w:val="3"/>
        </w:rPr>
        <w:t>分散分布于区域西北部，与下伏玛尼吐组平行不整合</w:t>
      </w:r>
      <w:r>
        <w:rPr>
          <w:rFonts w:ascii="SimSun" w:hAnsi="SimSun" w:eastAsia="SimSun" w:cs="SimSun"/>
          <w:sz w:val="24"/>
          <w:szCs w:val="24"/>
          <w:spacing w:val="2"/>
        </w:rPr>
        <w:t>接触，之上被第四纪沉</w:t>
      </w:r>
      <w:r>
        <w:rPr>
          <w:rFonts w:ascii="SimSun" w:hAnsi="SimSun" w:eastAsia="SimSun" w:cs="SimSun"/>
          <w:sz w:val="24"/>
          <w:szCs w:val="24"/>
        </w:rPr>
        <w:t xml:space="preserve"> </w:t>
      </w:r>
      <w:r>
        <w:rPr>
          <w:rFonts w:ascii="SimSun" w:hAnsi="SimSun" w:eastAsia="SimSun" w:cs="SimSun"/>
          <w:sz w:val="24"/>
          <w:szCs w:val="24"/>
          <w:spacing w:val="1"/>
        </w:rPr>
        <w:t>积物覆盖，厚约</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698—897m</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1"/>
        </w:rPr>
        <w:t>。地质时限为晚侏罗世晚期。岩性组合以熔结火山集</w:t>
      </w:r>
      <w:r>
        <w:rPr>
          <w:rFonts w:ascii="SimSun" w:hAnsi="SimSun" w:eastAsia="SimSun" w:cs="SimSun"/>
          <w:sz w:val="24"/>
          <w:szCs w:val="24"/>
        </w:rPr>
        <w:t xml:space="preserve"> </w:t>
      </w:r>
      <w:r>
        <w:rPr>
          <w:rFonts w:ascii="SimSun" w:hAnsi="SimSun" w:eastAsia="SimSun" w:cs="SimSun"/>
          <w:sz w:val="24"/>
          <w:szCs w:val="24"/>
          <w:spacing w:val="3"/>
        </w:rPr>
        <w:t>块岩，流纹质凝灰质熔结火山角砾岩，含角砾流纹质</w:t>
      </w:r>
      <w:r>
        <w:rPr>
          <w:rFonts w:ascii="SimSun" w:hAnsi="SimSun" w:eastAsia="SimSun" w:cs="SimSun"/>
          <w:sz w:val="24"/>
          <w:szCs w:val="24"/>
          <w:spacing w:val="2"/>
        </w:rPr>
        <w:t>晶屑玻屑岩屑凝灰岩，含角</w:t>
      </w:r>
      <w:r>
        <w:rPr>
          <w:rFonts w:ascii="SimSun" w:hAnsi="SimSun" w:eastAsia="SimSun" w:cs="SimSun"/>
          <w:sz w:val="24"/>
          <w:szCs w:val="24"/>
        </w:rPr>
        <w:t xml:space="preserve"> </w:t>
      </w:r>
      <w:r>
        <w:rPr>
          <w:rFonts w:ascii="SimSun" w:hAnsi="SimSun" w:eastAsia="SimSun" w:cs="SimSun"/>
          <w:sz w:val="24"/>
          <w:szCs w:val="24"/>
          <w:spacing w:val="-2"/>
        </w:rPr>
        <w:t>砾英安质岩屑晶屑凝灰熔岩，含角砾流纹质晶屑凝灰</w:t>
      </w:r>
      <w:r>
        <w:rPr>
          <w:rFonts w:ascii="SimSun" w:hAnsi="SimSun" w:eastAsia="SimSun" w:cs="SimSun"/>
          <w:sz w:val="24"/>
          <w:szCs w:val="24"/>
          <w:spacing w:val="-3"/>
        </w:rPr>
        <w:t>熔岩，流纹质晶屑凝灰熔岩，</w:t>
      </w:r>
      <w:r>
        <w:rPr>
          <w:rFonts w:ascii="SimSun" w:hAnsi="SimSun" w:eastAsia="SimSun" w:cs="SimSun"/>
          <w:sz w:val="24"/>
          <w:szCs w:val="24"/>
        </w:rPr>
        <w:t xml:space="preserve"> </w:t>
      </w:r>
      <w:r>
        <w:rPr>
          <w:rFonts w:ascii="SimSun" w:hAnsi="SimSun" w:eastAsia="SimSun" w:cs="SimSun"/>
          <w:sz w:val="24"/>
          <w:szCs w:val="24"/>
          <w:spacing w:val="3"/>
        </w:rPr>
        <w:t>灰褐色粗面质含玻屑浆屑熔结凝灰岩，粗安质玻屑浆</w:t>
      </w:r>
      <w:r>
        <w:rPr>
          <w:rFonts w:ascii="SimSun" w:hAnsi="SimSun" w:eastAsia="SimSun" w:cs="SimSun"/>
          <w:sz w:val="24"/>
          <w:szCs w:val="24"/>
          <w:spacing w:val="2"/>
        </w:rPr>
        <w:t>屑强熔结凝灰岩，蚀变粗安</w:t>
      </w:r>
      <w:r>
        <w:rPr>
          <w:rFonts w:ascii="SimSun" w:hAnsi="SimSun" w:eastAsia="SimSun" w:cs="SimSun"/>
          <w:sz w:val="24"/>
          <w:szCs w:val="24"/>
        </w:rPr>
        <w:t xml:space="preserve"> </w:t>
      </w:r>
      <w:r>
        <w:rPr>
          <w:rFonts w:ascii="SimSun" w:hAnsi="SimSun" w:eastAsia="SimSun" w:cs="SimSun"/>
          <w:sz w:val="24"/>
          <w:szCs w:val="24"/>
          <w:spacing w:val="3"/>
        </w:rPr>
        <w:t>岩为主，常见黑矅岩和珍珠岩，整体以流纹质与粗安</w:t>
      </w:r>
      <w:r>
        <w:rPr>
          <w:rFonts w:ascii="SimSun" w:hAnsi="SimSun" w:eastAsia="SimSun" w:cs="SimSun"/>
          <w:sz w:val="24"/>
          <w:szCs w:val="24"/>
          <w:spacing w:val="2"/>
        </w:rPr>
        <w:t>质为特征。在序列上，由凝</w:t>
      </w:r>
      <w:r>
        <w:rPr>
          <w:rFonts w:ascii="SimSun" w:hAnsi="SimSun" w:eastAsia="SimSun" w:cs="SimSun"/>
          <w:sz w:val="24"/>
          <w:szCs w:val="24"/>
        </w:rPr>
        <w:t xml:space="preserve"> </w:t>
      </w:r>
      <w:r>
        <w:rPr>
          <w:rFonts w:ascii="SimSun" w:hAnsi="SimSun" w:eastAsia="SimSun" w:cs="SimSun"/>
          <w:sz w:val="24"/>
          <w:szCs w:val="24"/>
        </w:rPr>
        <w:t>灰质熔岩到熔结火山集块岩，或有含角砾多屑凝灰岩流</w:t>
      </w:r>
      <w:r>
        <w:rPr>
          <w:rFonts w:ascii="SimSun" w:hAnsi="SimSun" w:eastAsia="SimSun" w:cs="SimSun"/>
          <w:sz w:val="24"/>
          <w:szCs w:val="24"/>
          <w:spacing w:val="-1"/>
        </w:rPr>
        <w:t>纹质熔结火山角砾岩。</w:t>
      </w:r>
    </w:p>
    <w:p>
      <w:pPr>
        <w:ind w:left="501"/>
        <w:spacing w:line="318" w:lineRule="exact"/>
        <w:rPr>
          <w:rFonts w:ascii="SimSun" w:hAnsi="SimSun" w:eastAsia="SimSun" w:cs="SimSun"/>
          <w:sz w:val="24"/>
          <w:szCs w:val="24"/>
        </w:rPr>
      </w:pPr>
      <w:r>
        <w:rPr>
          <w:rFonts w:ascii="SimSun" w:hAnsi="SimSun" w:eastAsia="SimSun" w:cs="SimSun"/>
          <w:sz w:val="24"/>
          <w:szCs w:val="24"/>
          <w:spacing w:val="-2"/>
          <w:position w:val="1"/>
        </w:rPr>
        <w:t>（</w:t>
      </w:r>
      <w:r>
        <w:rPr>
          <w:rFonts w:ascii="Times New Roman" w:hAnsi="Times New Roman" w:eastAsia="Times New Roman" w:cs="Times New Roman"/>
          <w:sz w:val="24"/>
          <w:szCs w:val="24"/>
          <w:spacing w:val="-2"/>
          <w:position w:val="1"/>
        </w:rPr>
        <w:t>5</w:t>
      </w:r>
      <w:r>
        <w:rPr>
          <w:rFonts w:ascii="SimSun" w:hAnsi="SimSun" w:eastAsia="SimSun" w:cs="SimSun"/>
          <w:sz w:val="24"/>
          <w:szCs w:val="24"/>
          <w:spacing w:val="-2"/>
          <w:position w:val="1"/>
        </w:rPr>
        <w:t>）新近系汉诺坝组（</w:t>
      </w:r>
      <w:r>
        <w:rPr>
          <w:rFonts w:ascii="Times New Roman" w:hAnsi="Times New Roman" w:eastAsia="Times New Roman" w:cs="Times New Roman"/>
          <w:sz w:val="24"/>
          <w:szCs w:val="24"/>
          <w:spacing w:val="-2"/>
          <w:position w:val="1"/>
        </w:rPr>
        <w:t>N</w:t>
      </w:r>
      <w:r>
        <w:rPr>
          <w:rFonts w:ascii="Times New Roman" w:hAnsi="Times New Roman" w:eastAsia="Times New Roman" w:cs="Times New Roman"/>
          <w:sz w:val="15"/>
          <w:szCs w:val="15"/>
          <w:spacing w:val="-2"/>
        </w:rPr>
        <w:t>1</w:t>
      </w:r>
      <w:r>
        <w:rPr>
          <w:rFonts w:ascii="Times New Roman" w:hAnsi="Times New Roman" w:eastAsia="Times New Roman" w:cs="Times New Roman"/>
          <w:sz w:val="24"/>
          <w:szCs w:val="24"/>
          <w:i/>
          <w:iCs/>
          <w:spacing w:val="-2"/>
          <w:position w:val="1"/>
        </w:rPr>
        <w:t>h</w:t>
      </w:r>
      <w:r>
        <w:rPr>
          <w:rFonts w:ascii="SimSun" w:hAnsi="SimSun" w:eastAsia="SimSun" w:cs="SimSun"/>
          <w:sz w:val="24"/>
          <w:szCs w:val="24"/>
          <w:spacing w:val="-2"/>
          <w:position w:val="1"/>
        </w:rPr>
        <w:t>）</w:t>
      </w:r>
    </w:p>
    <w:p>
      <w:pPr>
        <w:ind w:left="9" w:right="80" w:firstLine="478"/>
        <w:spacing w:before="243" w:line="400" w:lineRule="auto"/>
        <w:rPr>
          <w:rFonts w:ascii="SimSun" w:hAnsi="SimSun" w:eastAsia="SimSun" w:cs="SimSun"/>
          <w:sz w:val="24"/>
          <w:szCs w:val="24"/>
        </w:rPr>
      </w:pPr>
      <w:r>
        <w:rPr>
          <w:rFonts w:ascii="SimSun" w:hAnsi="SimSun" w:eastAsia="SimSun" w:cs="SimSun"/>
          <w:sz w:val="24"/>
          <w:szCs w:val="24"/>
          <w:spacing w:val="-1"/>
        </w:rPr>
        <w:t>仅见于明安图镇东部阿拉旦梳盖至沁发采石场一带，分布面积约</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3km</w:t>
      </w:r>
      <w:r>
        <w:rPr>
          <w:rFonts w:ascii="Times New Roman" w:hAnsi="Times New Roman" w:eastAsia="Times New Roman" w:cs="Times New Roman"/>
          <w:sz w:val="15"/>
          <w:szCs w:val="15"/>
          <w:spacing w:val="-1"/>
          <w:position w:val="8"/>
        </w:rPr>
        <w:t>2</w:t>
      </w:r>
      <w:r>
        <w:rPr>
          <w:rFonts w:ascii="Times New Roman" w:hAnsi="Times New Roman" w:eastAsia="Times New Roman" w:cs="Times New Roman"/>
          <w:sz w:val="15"/>
          <w:szCs w:val="15"/>
          <w:spacing w:val="-10"/>
          <w:position w:val="8"/>
        </w:rPr>
        <w:t xml:space="preserve"> </w:t>
      </w:r>
      <w:r>
        <w:rPr>
          <w:rFonts w:ascii="SimSun" w:hAnsi="SimSun" w:eastAsia="SimSun" w:cs="SimSun"/>
          <w:sz w:val="24"/>
          <w:szCs w:val="24"/>
          <w:spacing w:val="-1"/>
        </w:rPr>
        <w:t>，与下</w:t>
      </w:r>
      <w:r>
        <w:rPr>
          <w:rFonts w:ascii="SimSun" w:hAnsi="SimSun" w:eastAsia="SimSun" w:cs="SimSun"/>
          <w:sz w:val="24"/>
          <w:szCs w:val="24"/>
        </w:rPr>
        <w:t xml:space="preserve"> </w:t>
      </w:r>
      <w:r>
        <w:rPr>
          <w:rFonts w:ascii="SimSun" w:hAnsi="SimSun" w:eastAsia="SimSun" w:cs="SimSun"/>
          <w:sz w:val="24"/>
          <w:szCs w:val="24"/>
          <w:spacing w:val="-1"/>
        </w:rPr>
        <w:t>伏侏罗系玛尼吐组、白音高老组呈角度不整合，厚度约</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261m</w:t>
      </w:r>
      <w:r>
        <w:rPr>
          <w:rFonts w:ascii="SimSun" w:hAnsi="SimSun" w:eastAsia="SimSun" w:cs="SimSun"/>
          <w:sz w:val="24"/>
          <w:szCs w:val="24"/>
          <w:spacing w:val="-1"/>
        </w:rPr>
        <w:t>。</w:t>
      </w:r>
    </w:p>
    <w:p>
      <w:pPr>
        <w:ind w:left="501"/>
        <w:spacing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6</w:t>
      </w:r>
      <w:r>
        <w:rPr>
          <w:rFonts w:ascii="SimSun" w:hAnsi="SimSun" w:eastAsia="SimSun" w:cs="SimSun"/>
          <w:sz w:val="24"/>
          <w:szCs w:val="24"/>
          <w:spacing w:val="-3"/>
        </w:rPr>
        <w:t>）第四系地层</w:t>
      </w:r>
    </w:p>
    <w:p>
      <w:pPr>
        <w:ind w:left="507"/>
        <w:spacing w:before="235" w:line="219" w:lineRule="auto"/>
        <w:rPr>
          <w:rFonts w:ascii="SimSun" w:hAnsi="SimSun" w:eastAsia="SimSun" w:cs="SimSun"/>
          <w:sz w:val="24"/>
          <w:szCs w:val="24"/>
        </w:rPr>
      </w:pPr>
      <w:r>
        <w:rPr>
          <w:rFonts w:ascii="SimSun" w:hAnsi="SimSun" w:eastAsia="SimSun" w:cs="SimSun"/>
          <w:sz w:val="24"/>
          <w:szCs w:val="24"/>
          <w:spacing w:val="-1"/>
        </w:rPr>
        <w:t>区域第四系地层分布也较广泛，主要出露于盆地、沟谷洼地及山前坡地。</w:t>
      </w:r>
    </w:p>
    <w:p>
      <w:pPr>
        <w:ind w:left="488"/>
        <w:spacing w:before="235" w:line="212" w:lineRule="auto"/>
        <w:rPr>
          <w:rFonts w:ascii="SimSun" w:hAnsi="SimSun" w:eastAsia="SimSun" w:cs="SimSun"/>
          <w:sz w:val="24"/>
          <w:szCs w:val="24"/>
        </w:rPr>
      </w:pPr>
      <w:r>
        <w:rPr>
          <w:rFonts w:ascii="SimSun" w:hAnsi="SimSun" w:eastAsia="SimSun" w:cs="SimSun"/>
          <w:sz w:val="24"/>
          <w:szCs w:val="24"/>
          <w:spacing w:val="-1"/>
        </w:rPr>
        <w:t>①上更新统冲洪积层（</w:t>
      </w:r>
      <w:r>
        <w:rPr>
          <w:rFonts w:ascii="Times New Roman" w:hAnsi="Times New Roman" w:eastAsia="Times New Roman" w:cs="Times New Roman"/>
          <w:sz w:val="24"/>
          <w:szCs w:val="24"/>
          <w:spacing w:val="-1"/>
        </w:rPr>
        <w:t>Qp3alp</w:t>
      </w:r>
      <w:r>
        <w:rPr>
          <w:rFonts w:ascii="SimSun" w:hAnsi="SimSun" w:eastAsia="SimSun" w:cs="SimSun"/>
          <w:sz w:val="24"/>
          <w:szCs w:val="24"/>
          <w:spacing w:val="-1"/>
        </w:rPr>
        <w:t>）</w:t>
      </w:r>
    </w:p>
    <w:p>
      <w:pPr>
        <w:ind w:left="11" w:right="80" w:firstLine="480"/>
        <w:spacing w:before="244" w:line="400" w:lineRule="auto"/>
        <w:rPr>
          <w:rFonts w:ascii="SimSun" w:hAnsi="SimSun" w:eastAsia="SimSun" w:cs="SimSun"/>
          <w:sz w:val="24"/>
          <w:szCs w:val="24"/>
        </w:rPr>
      </w:pPr>
      <w:r>
        <w:rPr>
          <w:rFonts w:ascii="SimSun" w:hAnsi="SimSun" w:eastAsia="SimSun" w:cs="SimSun"/>
          <w:sz w:val="24"/>
          <w:szCs w:val="24"/>
          <w:spacing w:val="3"/>
        </w:rPr>
        <w:t>大面积分布于区内，为第四系主要组成部分。冲洪积</w:t>
      </w:r>
      <w:r>
        <w:rPr>
          <w:rFonts w:ascii="SimSun" w:hAnsi="SimSun" w:eastAsia="SimSun" w:cs="SimSun"/>
          <w:sz w:val="24"/>
          <w:szCs w:val="24"/>
          <w:spacing w:val="2"/>
        </w:rPr>
        <w:t>砂土及含砾石砂土和风</w:t>
      </w:r>
      <w:r>
        <w:rPr>
          <w:rFonts w:ascii="SimSun" w:hAnsi="SimSun" w:eastAsia="SimSun" w:cs="SimSun"/>
          <w:sz w:val="24"/>
          <w:szCs w:val="24"/>
        </w:rPr>
        <w:t xml:space="preserve"> </w:t>
      </w:r>
      <w:r>
        <w:rPr>
          <w:rFonts w:ascii="SimSun" w:hAnsi="SimSun" w:eastAsia="SimSun" w:cs="SimSun"/>
          <w:sz w:val="24"/>
          <w:szCs w:val="24"/>
          <w:spacing w:val="-4"/>
        </w:rPr>
        <w:t>成砂。</w:t>
      </w:r>
    </w:p>
    <w:p>
      <w:pPr>
        <w:ind w:left="488"/>
        <w:spacing w:line="212" w:lineRule="auto"/>
        <w:rPr>
          <w:rFonts w:ascii="SimSun" w:hAnsi="SimSun" w:eastAsia="SimSun" w:cs="SimSun"/>
          <w:sz w:val="24"/>
          <w:szCs w:val="24"/>
        </w:rPr>
      </w:pPr>
      <w:r>
        <w:rPr>
          <w:rFonts w:ascii="SimSun" w:hAnsi="SimSun" w:eastAsia="SimSun" w:cs="SimSun"/>
          <w:sz w:val="24"/>
          <w:szCs w:val="24"/>
          <w:spacing w:val="-1"/>
        </w:rPr>
        <w:t>②全新统冲积层（</w:t>
      </w:r>
      <w:r>
        <w:rPr>
          <w:rFonts w:ascii="Times New Roman" w:hAnsi="Times New Roman" w:eastAsia="Times New Roman" w:cs="Times New Roman"/>
          <w:sz w:val="24"/>
          <w:szCs w:val="24"/>
          <w:spacing w:val="-1"/>
        </w:rPr>
        <w:t>Qhal</w:t>
      </w:r>
      <w:r>
        <w:rPr>
          <w:rFonts w:ascii="SimSun" w:hAnsi="SimSun" w:eastAsia="SimSun" w:cs="SimSun"/>
          <w:sz w:val="24"/>
          <w:szCs w:val="24"/>
          <w:spacing w:val="-1"/>
        </w:rPr>
        <w:t>）</w:t>
      </w:r>
    </w:p>
    <w:p>
      <w:pPr>
        <w:ind w:left="12" w:right="80" w:firstLine="479"/>
        <w:spacing w:before="244" w:line="400" w:lineRule="auto"/>
        <w:rPr>
          <w:rFonts w:ascii="SimSun" w:hAnsi="SimSun" w:eastAsia="SimSun" w:cs="SimSun"/>
          <w:sz w:val="24"/>
          <w:szCs w:val="24"/>
        </w:rPr>
      </w:pPr>
      <w:r>
        <w:rPr>
          <w:rFonts w:ascii="SimSun" w:hAnsi="SimSun" w:eastAsia="SimSun" w:cs="SimSun"/>
          <w:sz w:val="24"/>
          <w:szCs w:val="24"/>
          <w:spacing w:val="3"/>
        </w:rPr>
        <w:t>主要分布于枝状沟谷洼地中，岩性为砂砾石，含砾亚砂</w:t>
      </w:r>
      <w:r>
        <w:rPr>
          <w:rFonts w:ascii="SimSun" w:hAnsi="SimSun" w:eastAsia="SimSun" w:cs="SimSun"/>
          <w:sz w:val="24"/>
          <w:szCs w:val="24"/>
          <w:spacing w:val="2"/>
        </w:rPr>
        <w:t>土、淤泥等，砾石成</w:t>
      </w:r>
      <w:r>
        <w:rPr>
          <w:rFonts w:ascii="SimSun" w:hAnsi="SimSun" w:eastAsia="SimSun" w:cs="SimSun"/>
          <w:sz w:val="24"/>
          <w:szCs w:val="24"/>
        </w:rPr>
        <w:t xml:space="preserve"> </w:t>
      </w:r>
      <w:r>
        <w:rPr>
          <w:rFonts w:ascii="SimSun" w:hAnsi="SimSun" w:eastAsia="SimSun" w:cs="SimSun"/>
          <w:sz w:val="24"/>
          <w:szCs w:val="24"/>
          <w:spacing w:val="-1"/>
        </w:rPr>
        <w:t>分复杂，磨圆度和分选不均。枝状沟谷洼地中其厚度较薄。</w:t>
      </w:r>
    </w:p>
    <w:p>
      <w:pPr>
        <w:ind w:left="485"/>
        <w:spacing w:line="220" w:lineRule="auto"/>
        <w:rPr>
          <w:rFonts w:ascii="SimSun" w:hAnsi="SimSun" w:eastAsia="SimSun" w:cs="SimSun"/>
          <w:sz w:val="24"/>
          <w:szCs w:val="24"/>
        </w:rPr>
      </w:pPr>
      <w:r>
        <w:rPr>
          <w:rFonts w:ascii="Times New Roman" w:hAnsi="Times New Roman" w:eastAsia="Times New Roman" w:cs="Times New Roman"/>
          <w:sz w:val="24"/>
          <w:szCs w:val="24"/>
          <w:spacing w:val="-7"/>
        </w:rPr>
        <w:t>2</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7"/>
        </w:rPr>
        <w:t>、侵入岩</w:t>
      </w:r>
    </w:p>
    <w:p>
      <w:pPr>
        <w:ind w:left="9" w:firstLine="497"/>
        <w:spacing w:before="235" w:line="400" w:lineRule="auto"/>
        <w:rPr>
          <w:rFonts w:ascii="SimSun" w:hAnsi="SimSun" w:eastAsia="SimSun" w:cs="SimSun"/>
          <w:sz w:val="24"/>
          <w:szCs w:val="24"/>
        </w:rPr>
      </w:pPr>
      <w:r>
        <w:rPr>
          <w:rFonts w:ascii="SimSun" w:hAnsi="SimSun" w:eastAsia="SimSun" w:cs="SimSun"/>
          <w:sz w:val="24"/>
          <w:szCs w:val="24"/>
          <w:spacing w:val="-3"/>
        </w:rPr>
        <w:t>区内岩浆岩活动频繁，侵入岩较发育，由西向东均有分布，且分布面积较大。</w:t>
      </w:r>
      <w:r>
        <w:rPr>
          <w:rFonts w:ascii="SimSun" w:hAnsi="SimSun" w:eastAsia="SimSun" w:cs="SimSun"/>
          <w:sz w:val="24"/>
          <w:szCs w:val="24"/>
          <w:spacing w:val="17"/>
        </w:rPr>
        <w:t xml:space="preserve"> </w:t>
      </w:r>
      <w:r>
        <w:rPr>
          <w:rFonts w:ascii="SimSun" w:hAnsi="SimSun" w:eastAsia="SimSun" w:cs="SimSun"/>
          <w:sz w:val="24"/>
          <w:szCs w:val="24"/>
          <w:spacing w:val="3"/>
        </w:rPr>
        <w:t>岩体多呈岩基状或岩株状形态产出，时代为白垩系</w:t>
      </w:r>
      <w:r>
        <w:rPr>
          <w:rFonts w:ascii="SimSun" w:hAnsi="SimSun" w:eastAsia="SimSun" w:cs="SimSun"/>
          <w:sz w:val="24"/>
          <w:szCs w:val="24"/>
          <w:spacing w:val="2"/>
        </w:rPr>
        <w:t>、侏罗系和三叠系，岩性以中</w:t>
      </w:r>
      <w:r>
        <w:rPr>
          <w:rFonts w:ascii="SimSun" w:hAnsi="SimSun" w:eastAsia="SimSun" w:cs="SimSun"/>
          <w:sz w:val="24"/>
          <w:szCs w:val="24"/>
        </w:rPr>
        <w:t xml:space="preserve"> </w:t>
      </w:r>
      <w:r>
        <w:rPr>
          <w:rFonts w:ascii="SimSun" w:hAnsi="SimSun" w:eastAsia="SimSun" w:cs="SimSun"/>
          <w:sz w:val="24"/>
          <w:szCs w:val="24"/>
        </w:rPr>
        <w:t>酸性为主。岩体中以花岗斑岩体出露面积最大，</w:t>
      </w:r>
      <w:r>
        <w:rPr>
          <w:rFonts w:ascii="SimSun" w:hAnsi="SimSun" w:eastAsia="SimSun" w:cs="SimSun"/>
          <w:sz w:val="24"/>
          <w:szCs w:val="24"/>
          <w:spacing w:val="-1"/>
        </w:rPr>
        <w:t>其次花岗岩、斑岩侵入。</w:t>
      </w:r>
    </w:p>
    <w:p>
      <w:pPr>
        <w:ind w:left="490"/>
        <w:spacing w:line="220" w:lineRule="auto"/>
        <w:rPr>
          <w:rFonts w:ascii="SimSun" w:hAnsi="SimSun" w:eastAsia="SimSun" w:cs="SimSun"/>
          <w:sz w:val="24"/>
          <w:szCs w:val="24"/>
        </w:rPr>
      </w:pPr>
      <w:r>
        <w:rPr>
          <w:rFonts w:ascii="Times New Roman" w:hAnsi="Times New Roman" w:eastAsia="Times New Roman" w:cs="Times New Roman"/>
          <w:sz w:val="24"/>
          <w:szCs w:val="24"/>
          <w:spacing w:val="-9"/>
        </w:rPr>
        <w:t>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9"/>
        </w:rPr>
        <w:t>、构造</w:t>
      </w:r>
    </w:p>
    <w:p>
      <w:pPr>
        <w:ind w:left="507"/>
        <w:spacing w:before="235" w:line="219" w:lineRule="auto"/>
        <w:rPr>
          <w:rFonts w:ascii="SimSun" w:hAnsi="SimSun" w:eastAsia="SimSun" w:cs="SimSun"/>
          <w:sz w:val="24"/>
          <w:szCs w:val="24"/>
        </w:rPr>
      </w:pPr>
      <w:r>
        <w:rPr>
          <w:rFonts w:ascii="SimSun" w:hAnsi="SimSun" w:eastAsia="SimSun" w:cs="SimSun"/>
          <w:sz w:val="24"/>
          <w:szCs w:val="24"/>
          <w:spacing w:val="2"/>
        </w:rPr>
        <w:t>区域处于一级构造单元，内蒙古中部地槽褶皱系内。二级构造单元为温都尔</w:t>
      </w:r>
    </w:p>
    <w:p>
      <w:pPr>
        <w:spacing w:line="219" w:lineRule="auto"/>
        <w:sectPr>
          <w:headerReference w:type="default" r:id="rId157"/>
          <w:footerReference w:type="default" r:id="rId229"/>
          <w:pgSz w:w="11906" w:h="16839"/>
          <w:pgMar w:top="1567" w:right="1620" w:bottom="1482" w:left="1701" w:header="1221" w:footer="1248" w:gutter="0"/>
        </w:sectPr>
        <w:rPr>
          <w:rFonts w:ascii="SimSun" w:hAnsi="SimSun" w:eastAsia="SimSun" w:cs="SimSun"/>
          <w:sz w:val="24"/>
          <w:szCs w:val="24"/>
        </w:rPr>
      </w:pPr>
    </w:p>
    <w:p>
      <w:pPr>
        <w:pStyle w:val="BodyText"/>
        <w:spacing w:line="266" w:lineRule="auto"/>
        <w:rPr/>
      </w:pPr>
      <w:r>
        <w:pict>
          <v:shape id="_x0000_s862" style="position:absolute;margin-left:0pt;margin-top:0.594971pt;mso-position-vertical-relative:text;mso-position-horizontal-relative:text;width:425.25pt;height:0.75pt;z-index:252036096;" fillcolor="#000000" filled="true" stroked="false" coordsize="8505,15" coordorigin="0,0" path="m,l8504,0l8504,14l0,14l0,0xe"/>
        </w:pict>
      </w:r>
      <w:r/>
    </w:p>
    <w:p>
      <w:pPr>
        <w:ind w:left="9" w:hanging="1"/>
        <w:spacing w:before="78" w:line="377" w:lineRule="auto"/>
        <w:jc w:val="right"/>
        <w:rPr>
          <w:rFonts w:ascii="SimSun" w:hAnsi="SimSun" w:eastAsia="SimSun" w:cs="SimSun"/>
          <w:sz w:val="24"/>
          <w:szCs w:val="24"/>
        </w:rPr>
      </w:pPr>
      <w:r>
        <w:rPr>
          <w:rFonts w:ascii="SimSun" w:hAnsi="SimSun" w:eastAsia="SimSun" w:cs="SimSun"/>
          <w:sz w:val="24"/>
          <w:szCs w:val="24"/>
          <w:spacing w:val="3"/>
        </w:rPr>
        <w:t>庙</w:t>
      </w:r>
      <w:r>
        <w:rPr>
          <w:rFonts w:ascii="Times New Roman" w:hAnsi="Times New Roman" w:eastAsia="Times New Roman" w:cs="Times New Roman"/>
          <w:sz w:val="24"/>
          <w:szCs w:val="24"/>
          <w:spacing w:val="3"/>
        </w:rPr>
        <w:t>—</w:t>
      </w:r>
      <w:r>
        <w:rPr>
          <w:rFonts w:ascii="SimSun" w:hAnsi="SimSun" w:eastAsia="SimSun" w:cs="SimSun"/>
          <w:sz w:val="24"/>
          <w:szCs w:val="24"/>
          <w:spacing w:val="3"/>
        </w:rPr>
        <w:t>正镶白旗加里东地槽褶皱带上。三级构造单</w:t>
      </w:r>
      <w:r>
        <w:rPr>
          <w:rFonts w:ascii="SimSun" w:hAnsi="SimSun" w:eastAsia="SimSun" w:cs="SimSun"/>
          <w:sz w:val="24"/>
          <w:szCs w:val="24"/>
          <w:spacing w:val="2"/>
        </w:rPr>
        <w:t>元为多伦复背斜。皱带与地轴之</w:t>
      </w:r>
      <w:r>
        <w:rPr>
          <w:rFonts w:ascii="SimSun" w:hAnsi="SimSun" w:eastAsia="SimSun" w:cs="SimSun"/>
          <w:sz w:val="24"/>
          <w:szCs w:val="24"/>
        </w:rPr>
        <w:t xml:space="preserve"> </w:t>
      </w:r>
      <w:r>
        <w:rPr>
          <w:rFonts w:ascii="SimSun" w:hAnsi="SimSun" w:eastAsia="SimSun" w:cs="SimSun"/>
          <w:sz w:val="24"/>
          <w:szCs w:val="24"/>
          <w:spacing w:val="3"/>
        </w:rPr>
        <w:t>间以深大断裂为界，此断裂近东西向延伸，在区</w:t>
      </w:r>
      <w:r>
        <w:rPr>
          <w:rFonts w:ascii="SimSun" w:hAnsi="SimSun" w:eastAsia="SimSun" w:cs="SimSun"/>
          <w:sz w:val="24"/>
          <w:szCs w:val="24"/>
          <w:spacing w:val="2"/>
        </w:rPr>
        <w:t>内南缘附近通过。从地质力学观</w:t>
      </w:r>
      <w:r>
        <w:rPr>
          <w:rFonts w:ascii="SimSun" w:hAnsi="SimSun" w:eastAsia="SimSun" w:cs="SimSun"/>
          <w:sz w:val="24"/>
          <w:szCs w:val="24"/>
        </w:rPr>
        <w:t xml:space="preserve"> </w:t>
      </w:r>
      <w:r>
        <w:rPr>
          <w:rFonts w:ascii="SimSun" w:hAnsi="SimSun" w:eastAsia="SimSun" w:cs="SimSun"/>
          <w:sz w:val="24"/>
          <w:szCs w:val="24"/>
          <w:spacing w:val="3"/>
        </w:rPr>
        <w:t>点，本区属正镶白旗北东凹褶带。其中一级的单</w:t>
      </w:r>
      <w:r>
        <w:rPr>
          <w:rFonts w:ascii="SimSun" w:hAnsi="SimSun" w:eastAsia="SimSun" w:cs="SimSun"/>
          <w:sz w:val="24"/>
          <w:szCs w:val="24"/>
          <w:spacing w:val="2"/>
        </w:rPr>
        <w:t>元是西部的红光农场凹陷，受新</w:t>
      </w:r>
      <w:r>
        <w:rPr>
          <w:rFonts w:ascii="SimSun" w:hAnsi="SimSun" w:eastAsia="SimSun" w:cs="SimSun"/>
          <w:sz w:val="24"/>
          <w:szCs w:val="24"/>
        </w:rPr>
        <w:t xml:space="preserve"> </w:t>
      </w:r>
      <w:r>
        <w:rPr>
          <w:rFonts w:ascii="SimSun" w:hAnsi="SimSun" w:eastAsia="SimSun" w:cs="SimSun"/>
          <w:sz w:val="24"/>
          <w:szCs w:val="24"/>
          <w:spacing w:val="-10"/>
        </w:rPr>
        <w:t>华夏系构造复合关系的影响，使区内主要构造呈现北东向（详见构造纲要图</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0"/>
        </w:rPr>
        <w:t>5.3-2</w:t>
      </w:r>
      <w:r>
        <w:rPr>
          <w:rFonts w:ascii="SimSun" w:hAnsi="SimSun" w:eastAsia="SimSun" w:cs="SimSun"/>
          <w:sz w:val="24"/>
          <w:szCs w:val="24"/>
          <w:spacing w:val="-10"/>
        </w:rPr>
        <w:t>）。</w:t>
      </w:r>
      <w:r>
        <w:rPr>
          <w:rFonts w:ascii="SimSun" w:hAnsi="SimSun" w:eastAsia="SimSun" w:cs="SimSun"/>
          <w:sz w:val="24"/>
          <w:szCs w:val="24"/>
        </w:rPr>
        <w:t xml:space="preserve"> </w:t>
      </w:r>
      <w:r>
        <w:rPr>
          <w:rFonts w:ascii="SimSun" w:hAnsi="SimSun" w:eastAsia="SimSun" w:cs="SimSun"/>
          <w:sz w:val="24"/>
          <w:szCs w:val="24"/>
          <w:spacing w:val="-4"/>
        </w:rPr>
        <w:t>本项目位于宝沙岱凹陷的西缘。宝沙岱凹陷</w:t>
      </w:r>
      <w:r>
        <w:rPr>
          <w:rFonts w:ascii="SimSun" w:hAnsi="SimSun" w:eastAsia="SimSun" w:cs="SimSun"/>
          <w:sz w:val="24"/>
          <w:szCs w:val="24"/>
          <w:spacing w:val="-5"/>
        </w:rPr>
        <w:t>轴向约</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5"/>
        </w:rPr>
        <w:t>40—50°</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5"/>
        </w:rPr>
        <w:t>,</w:t>
      </w:r>
      <w:r>
        <w:rPr>
          <w:rFonts w:ascii="SimSun" w:hAnsi="SimSun" w:eastAsia="SimSun" w:cs="SimSun"/>
          <w:sz w:val="24"/>
          <w:szCs w:val="24"/>
          <w:spacing w:val="66"/>
        </w:rPr>
        <w:t xml:space="preserve"> </w:t>
      </w:r>
      <w:r>
        <w:rPr>
          <w:rFonts w:ascii="SimSun" w:hAnsi="SimSun" w:eastAsia="SimSun" w:cs="SimSun"/>
          <w:sz w:val="24"/>
          <w:szCs w:val="24"/>
          <w:spacing w:val="-5"/>
        </w:rPr>
        <w:t>以巴啥台诺尔为</w:t>
      </w:r>
    </w:p>
    <w:p>
      <w:pPr>
        <w:ind w:left="10" w:right="71" w:firstLine="21"/>
        <w:spacing w:line="361" w:lineRule="auto"/>
        <w:jc w:val="both"/>
        <w:rPr>
          <w:rFonts w:ascii="SimSun" w:hAnsi="SimSun" w:eastAsia="SimSun" w:cs="SimSun"/>
          <w:sz w:val="24"/>
          <w:szCs w:val="24"/>
        </w:rPr>
      </w:pPr>
      <w:r>
        <w:rPr>
          <w:rFonts w:ascii="SimSun" w:hAnsi="SimSun" w:eastAsia="SimSun" w:cs="SimSun"/>
          <w:sz w:val="24"/>
          <w:szCs w:val="24"/>
          <w:spacing w:val="-2"/>
        </w:rPr>
        <w:t>中心，由于北西</w:t>
      </w:r>
      <w:r>
        <w:rPr>
          <w:rFonts w:ascii="Times New Roman" w:hAnsi="Times New Roman" w:eastAsia="Times New Roman" w:cs="Times New Roman"/>
          <w:sz w:val="24"/>
          <w:szCs w:val="24"/>
          <w:spacing w:val="-2"/>
        </w:rPr>
        <w:t>-</w:t>
      </w:r>
      <w:r>
        <w:rPr>
          <w:rFonts w:ascii="SimSun" w:hAnsi="SimSun" w:eastAsia="SimSun" w:cs="SimSun"/>
          <w:sz w:val="24"/>
          <w:szCs w:val="24"/>
          <w:spacing w:val="-2"/>
        </w:rPr>
        <w:t>南东向的四顶房</w:t>
      </w:r>
      <w:r>
        <w:rPr>
          <w:rFonts w:ascii="Times New Roman" w:hAnsi="Times New Roman" w:eastAsia="Times New Roman" w:cs="Times New Roman"/>
          <w:sz w:val="24"/>
          <w:szCs w:val="24"/>
          <w:spacing w:val="-2"/>
        </w:rPr>
        <w:t>-</w:t>
      </w:r>
      <w:r>
        <w:rPr>
          <w:rFonts w:ascii="SimSun" w:hAnsi="SimSun" w:eastAsia="SimSun" w:cs="SimSun"/>
          <w:sz w:val="24"/>
          <w:szCs w:val="24"/>
          <w:spacing w:val="-2"/>
        </w:rPr>
        <w:t>敖包山断裂</w:t>
      </w:r>
      <w:r>
        <w:rPr>
          <w:rFonts w:ascii="SimSun" w:hAnsi="SimSun" w:eastAsia="SimSun" w:cs="SimSun"/>
          <w:sz w:val="24"/>
          <w:szCs w:val="24"/>
          <w:spacing w:val="-3"/>
        </w:rPr>
        <w:t>发生，使得该凹陷向南东方向延伸扩</w:t>
      </w:r>
      <w:r>
        <w:rPr>
          <w:rFonts w:ascii="SimSun" w:hAnsi="SimSun" w:eastAsia="SimSun" w:cs="SimSun"/>
          <w:sz w:val="24"/>
          <w:szCs w:val="24"/>
        </w:rPr>
        <w:t xml:space="preserve"> </w:t>
      </w:r>
      <w:r>
        <w:rPr>
          <w:rFonts w:ascii="SimSun" w:hAnsi="SimSun" w:eastAsia="SimSun" w:cs="SimSun"/>
          <w:sz w:val="24"/>
          <w:szCs w:val="24"/>
          <w:spacing w:val="-2"/>
        </w:rPr>
        <w:t>大，并在</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2"/>
        </w:rPr>
        <w:t>ZK12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号孔附近形成了另一个凹陷中心，</w:t>
      </w:r>
      <w:r>
        <w:rPr>
          <w:rFonts w:ascii="SimSun" w:hAnsi="SimSun" w:eastAsia="SimSun" w:cs="SimSun"/>
          <w:sz w:val="24"/>
          <w:szCs w:val="24"/>
          <w:spacing w:val="-3"/>
        </w:rPr>
        <w:t>这样整个凹陷形态呈</w:t>
      </w:r>
      <w:r>
        <w:rPr>
          <w:rFonts w:ascii="Times New Roman" w:hAnsi="Times New Roman" w:eastAsia="Times New Roman" w:cs="Times New Roman"/>
          <w:sz w:val="24"/>
          <w:szCs w:val="24"/>
          <w:spacing w:val="-3"/>
        </w:rPr>
        <w:t>“</w:t>
      </w:r>
      <w:r>
        <w:rPr>
          <w:rFonts w:ascii="SimSun" w:hAnsi="SimSun" w:eastAsia="SimSun" w:cs="SimSun"/>
          <w:sz w:val="24"/>
          <w:szCs w:val="24"/>
          <w:spacing w:val="-3"/>
        </w:rPr>
        <w:t>丁字形</w:t>
      </w:r>
      <w:r>
        <w:rPr>
          <w:rFonts w:ascii="Times New Roman" w:hAnsi="Times New Roman" w:eastAsia="Times New Roman" w:cs="Times New Roman"/>
          <w:sz w:val="24"/>
          <w:szCs w:val="24"/>
          <w:spacing w:val="-3"/>
        </w:rPr>
        <w:t>”</w:t>
      </w:r>
      <w:r>
        <w:rPr>
          <w:rFonts w:ascii="SimSun" w:hAnsi="SimSun" w:eastAsia="SimSun" w:cs="SimSun"/>
          <w:sz w:val="24"/>
          <w:szCs w:val="24"/>
          <w:spacing w:val="-3"/>
        </w:rPr>
        <w:t>，</w:t>
      </w:r>
      <w:r>
        <w:rPr>
          <w:rFonts w:ascii="SimSun" w:hAnsi="SimSun" w:eastAsia="SimSun" w:cs="SimSun"/>
          <w:sz w:val="24"/>
          <w:szCs w:val="24"/>
        </w:rPr>
        <w:t xml:space="preserve"> </w:t>
      </w:r>
      <w:r>
        <w:rPr>
          <w:rFonts w:ascii="SimSun" w:hAnsi="SimSun" w:eastAsia="SimSun" w:cs="SimSun"/>
          <w:sz w:val="24"/>
          <w:szCs w:val="24"/>
          <w:spacing w:val="-2"/>
        </w:rPr>
        <w:t>向侧向延伸部分尚有断陷性质。凹陷内中，新生代最大的沉积厚度超过</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200m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，究</w:t>
      </w:r>
      <w:r>
        <w:rPr>
          <w:rFonts w:ascii="SimSun" w:hAnsi="SimSun" w:eastAsia="SimSun" w:cs="SimSun"/>
          <w:sz w:val="24"/>
          <w:szCs w:val="24"/>
        </w:rPr>
        <w:t xml:space="preserve"> </w:t>
      </w:r>
      <w:r>
        <w:rPr>
          <w:rFonts w:ascii="SimSun" w:hAnsi="SimSun" w:eastAsia="SimSun" w:cs="SimSun"/>
          <w:sz w:val="24"/>
          <w:szCs w:val="24"/>
          <w:spacing w:val="-1"/>
        </w:rPr>
        <w:t>其含水性较好，局部地段尚可形成承压</w:t>
      </w:r>
      <w:r>
        <w:rPr>
          <w:rFonts w:ascii="Times New Roman" w:hAnsi="Times New Roman" w:eastAsia="Times New Roman" w:cs="Times New Roman"/>
          <w:sz w:val="24"/>
          <w:szCs w:val="24"/>
          <w:spacing w:val="-1"/>
        </w:rPr>
        <w:t>—</w:t>
      </w:r>
      <w:r>
        <w:rPr>
          <w:rFonts w:ascii="SimSun" w:hAnsi="SimSun" w:eastAsia="SimSun" w:cs="SimSun"/>
          <w:sz w:val="24"/>
          <w:szCs w:val="24"/>
          <w:spacing w:val="-1"/>
        </w:rPr>
        <w:t>自流水。</w:t>
      </w:r>
    </w:p>
    <w:p>
      <w:pPr>
        <w:spacing w:line="361" w:lineRule="auto"/>
        <w:sectPr>
          <w:footerReference w:type="default" r:id="rId230"/>
          <w:pgSz w:w="11906" w:h="16839"/>
          <w:pgMar w:top="1567" w:right="1620" w:bottom="1811" w:left="1701" w:header="1221" w:footer="1128" w:gutter="0"/>
        </w:sectPr>
        <w:rPr>
          <w:rFonts w:ascii="SimSun" w:hAnsi="SimSun" w:eastAsia="SimSun" w:cs="SimSun"/>
          <w:sz w:val="24"/>
          <w:szCs w:val="24"/>
        </w:rPr>
      </w:pPr>
    </w:p>
    <w:p>
      <w:pPr>
        <w:pStyle w:val="BodyText"/>
        <w:spacing w:line="264" w:lineRule="auto"/>
        <w:rPr/>
      </w:pPr>
      <w:r>
        <w:pict>
          <v:shape id="_x0000_s866" style="position:absolute;margin-left:0pt;margin-top:0.719971pt;mso-position-vertical-relative:text;mso-position-horizontal-relative:text;width:671.8pt;height:0.75pt;z-index:252038144;" fillcolor="#000000" filled="true" stroked="false" coordsize="13435,15" coordorigin="0,0" path="m,l13435,0l13435,14l0,14l0,0xe"/>
        </w:pict>
      </w:r>
      <w:r/>
    </w:p>
    <w:p>
      <w:pPr>
        <w:spacing w:line="7466" w:lineRule="exact"/>
        <w:rPr/>
      </w:pPr>
      <w:r>
        <w:rPr>
          <w:position w:val="-149"/>
        </w:rPr>
        <w:drawing>
          <wp:inline distT="0" distB="0" distL="0" distR="0">
            <wp:extent cx="8523731" cy="4741163"/>
            <wp:effectExtent l="0" t="0" r="0" b="0"/>
            <wp:docPr id="126" name="IM 126"/>
            <wp:cNvGraphicFramePr/>
            <a:graphic>
              <a:graphicData uri="http://schemas.openxmlformats.org/drawingml/2006/picture">
                <pic:pic>
                  <pic:nvPicPr>
                    <pic:cNvPr id="126" name="IM 126"/>
                    <pic:cNvPicPr/>
                  </pic:nvPicPr>
                  <pic:blipFill>
                    <a:blip r:embed="rId232"/>
                    <a:stretch>
                      <a:fillRect/>
                    </a:stretch>
                  </pic:blipFill>
                  <pic:spPr>
                    <a:xfrm rot="0">
                      <a:off x="0" y="0"/>
                      <a:ext cx="8523731" cy="4741163"/>
                    </a:xfrm>
                    <a:prstGeom prst="rect">
                      <a:avLst/>
                    </a:prstGeom>
                  </pic:spPr>
                </pic:pic>
              </a:graphicData>
            </a:graphic>
          </wp:inline>
        </w:drawing>
      </w:r>
    </w:p>
    <w:p>
      <w:pPr>
        <w:ind w:left="5553"/>
        <w:spacing w:before="214" w:line="220" w:lineRule="auto"/>
        <w:rPr>
          <w:rFonts w:ascii="SimSun" w:hAnsi="SimSun" w:eastAsia="SimSun" w:cs="SimSun"/>
          <w:sz w:val="24"/>
          <w:szCs w:val="24"/>
        </w:rPr>
      </w:pPr>
      <w:r>
        <w:rPr>
          <w:rFonts w:ascii="SimSun" w:hAnsi="SimSun" w:eastAsia="SimSun" w:cs="SimSun"/>
          <w:sz w:val="24"/>
          <w:szCs w:val="24"/>
          <w:b/>
          <w:bCs/>
          <w:spacing w:val="-8"/>
        </w:rPr>
        <w:t>图</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8"/>
        </w:rPr>
        <w:t>5.3-1</w:t>
      </w:r>
      <w:r>
        <w:rPr>
          <w:rFonts w:ascii="Times New Roman" w:hAnsi="Times New Roman" w:eastAsia="Times New Roman" w:cs="Times New Roman"/>
          <w:sz w:val="24"/>
          <w:szCs w:val="24"/>
          <w:b/>
          <w:bCs/>
          <w:spacing w:val="4"/>
        </w:rPr>
        <w:t xml:space="preserve">      </w:t>
      </w:r>
      <w:r>
        <w:rPr>
          <w:rFonts w:ascii="SimSun" w:hAnsi="SimSun" w:eastAsia="SimSun" w:cs="SimSun"/>
          <w:sz w:val="24"/>
          <w:szCs w:val="24"/>
          <w:b/>
          <w:bCs/>
          <w:spacing w:val="-8"/>
        </w:rPr>
        <w:t>区域地质图</w:t>
      </w:r>
    </w:p>
    <w:p>
      <w:pPr>
        <w:pStyle w:val="BodyText"/>
        <w:spacing w:line="278" w:lineRule="auto"/>
        <w:rPr/>
      </w:pPr>
      <w:r/>
    </w:p>
    <w:p>
      <w:pPr>
        <w:pStyle w:val="BodyText"/>
        <w:spacing w:line="279" w:lineRule="auto"/>
        <w:rPr/>
      </w:pPr>
      <w:r/>
    </w:p>
    <w:p>
      <w:pPr>
        <w:ind w:left="7"/>
        <w:spacing w:before="62" w:line="227" w:lineRule="auto"/>
        <w:rPr>
          <w:rFonts w:ascii="Times New Roman" w:hAnsi="Times New Roman" w:eastAsia="Times New Roman" w:cs="Times New Roman"/>
          <w:sz w:val="18"/>
          <w:szCs w:val="18"/>
        </w:rPr>
      </w:pPr>
      <w:r>
        <w:rPr>
          <w:rFonts w:ascii="SimSun" w:hAnsi="SimSun" w:eastAsia="SimSun" w:cs="SimSun"/>
          <w:sz w:val="19"/>
          <w:szCs w:val="19"/>
          <w:spacing w:val="6"/>
        </w:rPr>
        <w:t>锡林郭勒盟中安环境技术咨询有限责任公司                            </w:t>
      </w:r>
      <w:r>
        <w:rPr>
          <w:rFonts w:ascii="Times New Roman" w:hAnsi="Times New Roman" w:eastAsia="Times New Roman" w:cs="Times New Roman"/>
          <w:sz w:val="18"/>
          <w:szCs w:val="18"/>
          <w:spacing w:val="6"/>
          <w:position w:val="2"/>
        </w:rPr>
        <w:t>175</w:t>
      </w:r>
    </w:p>
    <w:p>
      <w:pPr>
        <w:spacing w:line="227" w:lineRule="auto"/>
        <w:sectPr>
          <w:headerReference w:type="default" r:id="rId231"/>
          <w:footerReference w:type="default" r:id="rId3"/>
          <w:pgSz w:w="16839" w:h="11906"/>
          <w:pgMar w:top="1567" w:right="1701" w:bottom="400" w:left="1701" w:header="1221" w:footer="0" w:gutter="0"/>
        </w:sectPr>
        <w:rPr>
          <w:rFonts w:ascii="Times New Roman" w:hAnsi="Times New Roman" w:eastAsia="Times New Roman" w:cs="Times New Roman"/>
          <w:sz w:val="18"/>
          <w:szCs w:val="18"/>
        </w:rPr>
      </w:pPr>
    </w:p>
    <w:p>
      <w:pPr>
        <w:spacing w:before="239" w:line="7589" w:lineRule="exact"/>
        <w:rPr/>
      </w:pPr>
      <w:r>
        <w:pict>
          <v:shape id="_x0000_s868" style="position:absolute;margin-left:85.05pt;margin-top:78.87pt;mso-position-vertical-relative:page;mso-position-horizontal-relative:page;width:425.25pt;height:0.75pt;z-index:252040192;" o:allowincell="f" fillcolor="#000000" filled="true" stroked="false" coordsize="8505,15" coordorigin="0,0" path="m,l8504,0l8504,14l0,14l0,0xe"/>
        </w:pict>
      </w:r>
      <w:r>
        <w:rPr>
          <w:position w:val="-151"/>
        </w:rPr>
        <w:drawing>
          <wp:inline distT="0" distB="0" distL="0" distR="0">
            <wp:extent cx="5364479" cy="4818888"/>
            <wp:effectExtent l="0" t="0" r="0" b="0"/>
            <wp:docPr id="128" name="IM 128"/>
            <wp:cNvGraphicFramePr/>
            <a:graphic>
              <a:graphicData uri="http://schemas.openxmlformats.org/drawingml/2006/picture">
                <pic:pic>
                  <pic:nvPicPr>
                    <pic:cNvPr id="128" name="IM 128"/>
                    <pic:cNvPicPr/>
                  </pic:nvPicPr>
                  <pic:blipFill>
                    <a:blip r:embed="rId234"/>
                    <a:stretch>
                      <a:fillRect/>
                    </a:stretch>
                  </pic:blipFill>
                  <pic:spPr>
                    <a:xfrm rot="0">
                      <a:off x="0" y="0"/>
                      <a:ext cx="5364479" cy="4818888"/>
                    </a:xfrm>
                    <a:prstGeom prst="rect">
                      <a:avLst/>
                    </a:prstGeom>
                  </pic:spPr>
                </pic:pic>
              </a:graphicData>
            </a:graphic>
          </wp:inline>
        </w:drawing>
      </w:r>
    </w:p>
    <w:p>
      <w:pPr>
        <w:ind w:firstLine="442"/>
        <w:spacing w:before="132" w:line="554" w:lineRule="exact"/>
        <w:rPr/>
      </w:pPr>
      <w:r>
        <w:rPr>
          <w:position w:val="-11"/>
        </w:rPr>
        <w:drawing>
          <wp:inline distT="0" distB="0" distL="0" distR="0">
            <wp:extent cx="4835652" cy="352044"/>
            <wp:effectExtent l="0" t="0" r="0" b="0"/>
            <wp:docPr id="130" name="IM 130"/>
            <wp:cNvGraphicFramePr/>
            <a:graphic>
              <a:graphicData uri="http://schemas.openxmlformats.org/drawingml/2006/picture">
                <pic:pic>
                  <pic:nvPicPr>
                    <pic:cNvPr id="130" name="IM 130"/>
                    <pic:cNvPicPr/>
                  </pic:nvPicPr>
                  <pic:blipFill>
                    <a:blip r:embed="rId235"/>
                    <a:stretch>
                      <a:fillRect/>
                    </a:stretch>
                  </pic:blipFill>
                  <pic:spPr>
                    <a:xfrm rot="0">
                      <a:off x="0" y="0"/>
                      <a:ext cx="4835652" cy="352044"/>
                    </a:xfrm>
                    <a:prstGeom prst="rect">
                      <a:avLst/>
                    </a:prstGeom>
                  </pic:spPr>
                </pic:pic>
              </a:graphicData>
            </a:graphic>
          </wp:inline>
        </w:drawing>
      </w:r>
    </w:p>
    <w:p>
      <w:pPr>
        <w:ind w:left="3" w:right="51" w:firstLine="21"/>
        <w:spacing w:before="172" w:line="425" w:lineRule="auto"/>
        <w:rPr>
          <w:rFonts w:ascii="SimSun" w:hAnsi="SimSun" w:eastAsia="SimSun" w:cs="SimSun"/>
          <w:sz w:val="20"/>
          <w:szCs w:val="20"/>
        </w:rPr>
      </w:pPr>
      <w:r>
        <w:rPr>
          <w:rFonts w:ascii="Times New Roman" w:hAnsi="Times New Roman" w:eastAsia="Times New Roman" w:cs="Times New Roman"/>
          <w:sz w:val="20"/>
          <w:szCs w:val="20"/>
          <w:spacing w:val="6"/>
        </w:rPr>
        <w:t>1</w:t>
      </w:r>
      <w:r>
        <w:rPr>
          <w:rFonts w:ascii="Times New Roman" w:hAnsi="Times New Roman" w:eastAsia="Times New Roman" w:cs="Times New Roman"/>
          <w:sz w:val="20"/>
          <w:szCs w:val="20"/>
          <w:spacing w:val="-25"/>
        </w:rPr>
        <w:t xml:space="preserve"> </w:t>
      </w:r>
      <w:r>
        <w:rPr>
          <w:rFonts w:ascii="SimSun" w:hAnsi="SimSun" w:eastAsia="SimSun" w:cs="SimSun"/>
          <w:sz w:val="20"/>
          <w:szCs w:val="20"/>
          <w:spacing w:val="6"/>
        </w:rPr>
        <w:t>：浑善达克挽近槽地界线，</w:t>
      </w:r>
      <w:r>
        <w:rPr>
          <w:rFonts w:ascii="Times New Roman" w:hAnsi="Times New Roman" w:eastAsia="Times New Roman" w:cs="Times New Roman"/>
          <w:sz w:val="20"/>
          <w:szCs w:val="20"/>
          <w:spacing w:val="6"/>
        </w:rPr>
        <w:t>2</w:t>
      </w:r>
      <w:r>
        <w:rPr>
          <w:rFonts w:ascii="Times New Roman" w:hAnsi="Times New Roman" w:eastAsia="Times New Roman" w:cs="Times New Roman"/>
          <w:sz w:val="20"/>
          <w:szCs w:val="20"/>
          <w:spacing w:val="-22"/>
        </w:rPr>
        <w:t xml:space="preserve"> </w:t>
      </w:r>
      <w:r>
        <w:rPr>
          <w:rFonts w:ascii="SimSun" w:hAnsi="SimSun" w:eastAsia="SimSun" w:cs="SimSun"/>
          <w:sz w:val="20"/>
          <w:szCs w:val="20"/>
          <w:spacing w:val="6"/>
        </w:rPr>
        <w:t>：中新生代断陷及凹陷盆地界线，</w:t>
      </w:r>
      <w:r>
        <w:rPr>
          <w:rFonts w:ascii="Times New Roman" w:hAnsi="Times New Roman" w:eastAsia="Times New Roman" w:cs="Times New Roman"/>
          <w:sz w:val="20"/>
          <w:szCs w:val="20"/>
          <w:spacing w:val="6"/>
        </w:rPr>
        <w:t>3</w:t>
      </w:r>
      <w:r>
        <w:rPr>
          <w:rFonts w:ascii="Times New Roman" w:hAnsi="Times New Roman" w:eastAsia="Times New Roman" w:cs="Times New Roman"/>
          <w:sz w:val="20"/>
          <w:szCs w:val="20"/>
          <w:spacing w:val="-26"/>
        </w:rPr>
        <w:t xml:space="preserve"> </w:t>
      </w:r>
      <w:r>
        <w:rPr>
          <w:rFonts w:ascii="SimSun" w:hAnsi="SimSun" w:eastAsia="SimSun" w:cs="SimSun"/>
          <w:sz w:val="20"/>
          <w:szCs w:val="20"/>
          <w:spacing w:val="6"/>
        </w:rPr>
        <w:t>：推测深大断裂及其</w:t>
      </w:r>
      <w:r>
        <w:rPr>
          <w:rFonts w:ascii="SimSun" w:hAnsi="SimSun" w:eastAsia="SimSun" w:cs="SimSun"/>
          <w:sz w:val="20"/>
          <w:szCs w:val="20"/>
          <w:spacing w:val="5"/>
        </w:rPr>
        <w:t>编号，</w:t>
      </w:r>
      <w:r>
        <w:rPr>
          <w:rFonts w:ascii="SimSun" w:hAnsi="SimSun" w:eastAsia="SimSun" w:cs="SimSun"/>
          <w:sz w:val="20"/>
          <w:szCs w:val="20"/>
        </w:rPr>
        <w:t xml:space="preserve"> </w:t>
      </w:r>
      <w:r>
        <w:rPr>
          <w:rFonts w:ascii="Times New Roman" w:hAnsi="Times New Roman" w:eastAsia="Times New Roman" w:cs="Times New Roman"/>
          <w:sz w:val="20"/>
          <w:szCs w:val="20"/>
          <w:spacing w:val="6"/>
        </w:rPr>
        <w:t>4</w:t>
      </w:r>
      <w:r>
        <w:rPr>
          <w:rFonts w:ascii="Times New Roman" w:hAnsi="Times New Roman" w:eastAsia="Times New Roman" w:cs="Times New Roman"/>
          <w:sz w:val="20"/>
          <w:szCs w:val="20"/>
          <w:spacing w:val="-19"/>
        </w:rPr>
        <w:t xml:space="preserve"> </w:t>
      </w:r>
      <w:r>
        <w:rPr>
          <w:rFonts w:ascii="SimSun" w:hAnsi="SimSun" w:eastAsia="SimSun" w:cs="SimSun"/>
          <w:sz w:val="20"/>
          <w:szCs w:val="20"/>
          <w:spacing w:val="6"/>
        </w:rPr>
        <w:t>：推测断裂及其编号，</w:t>
      </w:r>
      <w:r>
        <w:rPr>
          <w:rFonts w:ascii="Times New Roman" w:hAnsi="Times New Roman" w:eastAsia="Times New Roman" w:cs="Times New Roman"/>
          <w:sz w:val="20"/>
          <w:szCs w:val="20"/>
          <w:spacing w:val="6"/>
        </w:rPr>
        <w:t>5</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6"/>
        </w:rPr>
        <w:t>：旗政府所在地，</w:t>
      </w:r>
      <w:r>
        <w:rPr>
          <w:rFonts w:ascii="Times New Roman" w:hAnsi="Times New Roman" w:eastAsia="Times New Roman" w:cs="Times New Roman"/>
          <w:sz w:val="20"/>
          <w:szCs w:val="20"/>
          <w:spacing w:val="6"/>
        </w:rPr>
        <w:t>6</w:t>
      </w:r>
      <w:r>
        <w:rPr>
          <w:rFonts w:ascii="Times New Roman" w:hAnsi="Times New Roman" w:eastAsia="Times New Roman" w:cs="Times New Roman"/>
          <w:sz w:val="20"/>
          <w:szCs w:val="20"/>
          <w:spacing w:val="-23"/>
        </w:rPr>
        <w:t xml:space="preserve"> </w:t>
      </w:r>
      <w:r>
        <w:rPr>
          <w:rFonts w:ascii="SimSun" w:hAnsi="SimSun" w:eastAsia="SimSun" w:cs="SimSun"/>
          <w:sz w:val="20"/>
          <w:szCs w:val="20"/>
          <w:spacing w:val="6"/>
        </w:rPr>
        <w:t>：公社所在地</w:t>
      </w:r>
    </w:p>
    <w:p>
      <w:pPr>
        <w:ind w:left="2620"/>
        <w:spacing w:line="220" w:lineRule="auto"/>
        <w:rPr>
          <w:rFonts w:ascii="SimSun" w:hAnsi="SimSun" w:eastAsia="SimSun" w:cs="SimSun"/>
          <w:sz w:val="24"/>
          <w:szCs w:val="24"/>
        </w:rPr>
      </w:pPr>
      <w:r>
        <w:rPr>
          <w:rFonts w:ascii="SimSun" w:hAnsi="SimSun" w:eastAsia="SimSun" w:cs="SimSun"/>
          <w:sz w:val="24"/>
          <w:szCs w:val="24"/>
          <w:b/>
          <w:bCs/>
          <w:spacing w:val="-6"/>
        </w:rPr>
        <w:t>图</w:t>
      </w:r>
      <w:r>
        <w:rPr>
          <w:rFonts w:ascii="SimSun" w:hAnsi="SimSun" w:eastAsia="SimSun" w:cs="SimSun"/>
          <w:sz w:val="24"/>
          <w:szCs w:val="24"/>
          <w:spacing w:val="-50"/>
        </w:rPr>
        <w:t xml:space="preserve"> </w:t>
      </w:r>
      <w:r>
        <w:rPr>
          <w:rFonts w:ascii="Times New Roman" w:hAnsi="Times New Roman" w:eastAsia="Times New Roman" w:cs="Times New Roman"/>
          <w:sz w:val="24"/>
          <w:szCs w:val="24"/>
          <w:b/>
          <w:bCs/>
          <w:spacing w:val="-6"/>
        </w:rPr>
        <w:t>5.3-2</w:t>
      </w:r>
      <w:r>
        <w:rPr>
          <w:rFonts w:ascii="Times New Roman" w:hAnsi="Times New Roman" w:eastAsia="Times New Roman" w:cs="Times New Roman"/>
          <w:sz w:val="24"/>
          <w:szCs w:val="24"/>
          <w:b/>
          <w:bCs/>
          <w:spacing w:val="4"/>
        </w:rPr>
        <w:t xml:space="preserve">      </w:t>
      </w:r>
      <w:r>
        <w:rPr>
          <w:rFonts w:ascii="SimSun" w:hAnsi="SimSun" w:eastAsia="SimSun" w:cs="SimSun"/>
          <w:sz w:val="24"/>
          <w:szCs w:val="24"/>
          <w:b/>
          <w:bCs/>
          <w:spacing w:val="-6"/>
        </w:rPr>
        <w:t>区域地质构造纲要图</w:t>
      </w:r>
    </w:p>
    <w:p>
      <w:pPr>
        <w:ind w:left="8"/>
        <w:spacing w:before="182"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4"/>
        </w:rPr>
        <w:t>5.3.1.2</w:t>
      </w:r>
      <w:r>
        <w:rPr>
          <w:rFonts w:ascii="Times New Roman" w:hAnsi="Times New Roman" w:eastAsia="Times New Roman" w:cs="Times New Roman"/>
          <w:sz w:val="24"/>
          <w:szCs w:val="24"/>
          <w:b/>
          <w:bCs/>
          <w:spacing w:val="35"/>
        </w:rPr>
        <w:t xml:space="preserve"> </w:t>
      </w:r>
      <w:r>
        <w:rPr>
          <w:rFonts w:ascii="SimSun" w:hAnsi="SimSun" w:eastAsia="SimSun" w:cs="SimSun"/>
          <w:sz w:val="24"/>
          <w:szCs w:val="24"/>
          <w:b/>
          <w:bCs/>
          <w:spacing w:val="-4"/>
        </w:rPr>
        <w:t>区域水文地质条件</w:t>
      </w:r>
    </w:p>
    <w:p>
      <w:pPr>
        <w:ind w:left="508"/>
        <w:spacing w:before="183" w:line="219" w:lineRule="auto"/>
        <w:rPr>
          <w:rFonts w:ascii="SimSun" w:hAnsi="SimSun" w:eastAsia="SimSun" w:cs="SimSun"/>
          <w:sz w:val="24"/>
          <w:szCs w:val="24"/>
        </w:rPr>
      </w:pP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6"/>
        </w:rPr>
        <w:t>、区域水文地质特征</w:t>
      </w:r>
    </w:p>
    <w:p>
      <w:pPr>
        <w:ind w:left="12" w:right="103" w:firstLine="477"/>
        <w:spacing w:before="182" w:line="360" w:lineRule="auto"/>
        <w:rPr>
          <w:rFonts w:ascii="SimSun" w:hAnsi="SimSun" w:eastAsia="SimSun" w:cs="SimSun"/>
          <w:sz w:val="24"/>
          <w:szCs w:val="24"/>
        </w:rPr>
      </w:pPr>
      <w:r>
        <w:rPr>
          <w:rFonts w:ascii="SimSun" w:hAnsi="SimSun" w:eastAsia="SimSun" w:cs="SimSun"/>
          <w:sz w:val="24"/>
          <w:szCs w:val="24"/>
        </w:rPr>
        <w:t>根据含水地层岩性及地下水的赋存条件将区域含水</w:t>
      </w:r>
      <w:r>
        <w:rPr>
          <w:rFonts w:ascii="SimSun" w:hAnsi="SimSun" w:eastAsia="SimSun" w:cs="SimSun"/>
          <w:sz w:val="24"/>
          <w:szCs w:val="24"/>
          <w:spacing w:val="-1"/>
        </w:rPr>
        <w:t>岩类划分为松散岩类孔隙</w:t>
      </w:r>
      <w:r>
        <w:rPr>
          <w:rFonts w:ascii="SimSun" w:hAnsi="SimSun" w:eastAsia="SimSun" w:cs="SimSun"/>
          <w:sz w:val="24"/>
          <w:szCs w:val="24"/>
        </w:rPr>
        <w:t xml:space="preserve"> </w:t>
      </w:r>
      <w:r>
        <w:rPr>
          <w:rFonts w:ascii="SimSun" w:hAnsi="SimSun" w:eastAsia="SimSun" w:cs="SimSun"/>
          <w:sz w:val="24"/>
          <w:szCs w:val="24"/>
          <w:spacing w:val="-1"/>
        </w:rPr>
        <w:t>水、碎屑岩类裂隙孔隙水和基岩裂隙水（详见区域水文地质图</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5.3-3</w:t>
      </w:r>
      <w:r>
        <w:rPr>
          <w:rFonts w:ascii="SimSun" w:hAnsi="SimSun" w:eastAsia="SimSun" w:cs="SimSun"/>
          <w:sz w:val="24"/>
          <w:szCs w:val="24"/>
          <w:spacing w:val="-1"/>
        </w:rPr>
        <w:t>）。</w:t>
      </w:r>
    </w:p>
    <w:p>
      <w:pPr>
        <w:ind w:left="501"/>
        <w:spacing w:before="1"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）松散岩类孔隙水</w:t>
      </w:r>
    </w:p>
    <w:p>
      <w:pPr>
        <w:ind w:left="488"/>
        <w:spacing w:before="183" w:line="217" w:lineRule="auto"/>
        <w:rPr>
          <w:rFonts w:ascii="SimSun" w:hAnsi="SimSun" w:eastAsia="SimSun" w:cs="SimSun"/>
          <w:sz w:val="24"/>
          <w:szCs w:val="24"/>
        </w:rPr>
      </w:pPr>
      <w:r>
        <w:rPr>
          <w:rFonts w:ascii="SimSun" w:hAnsi="SimSun" w:eastAsia="SimSun" w:cs="SimSun"/>
          <w:sz w:val="24"/>
          <w:szCs w:val="24"/>
          <w:spacing w:val="-1"/>
        </w:rPr>
        <w:t>①第四系全新统孔隙潜水含水层</w:t>
      </w:r>
    </w:p>
    <w:p>
      <w:pPr>
        <w:ind w:left="491"/>
        <w:spacing w:before="185" w:line="219" w:lineRule="auto"/>
        <w:rPr>
          <w:rFonts w:ascii="SimSun" w:hAnsi="SimSun" w:eastAsia="SimSun" w:cs="SimSun"/>
          <w:sz w:val="24"/>
          <w:szCs w:val="24"/>
        </w:rPr>
      </w:pPr>
      <w:r>
        <w:rPr>
          <w:rFonts w:ascii="SimSun" w:hAnsi="SimSun" w:eastAsia="SimSun" w:cs="SimSun"/>
          <w:sz w:val="24"/>
          <w:szCs w:val="24"/>
        </w:rPr>
        <w:t>主要分布在区域的河流阶地、河谷之中、湖泊</w:t>
      </w:r>
      <w:r>
        <w:rPr>
          <w:rFonts w:ascii="SimSun" w:hAnsi="SimSun" w:eastAsia="SimSun" w:cs="SimSun"/>
          <w:sz w:val="24"/>
          <w:szCs w:val="24"/>
          <w:spacing w:val="-1"/>
        </w:rPr>
        <w:t>周围等，含水层岩性主要为冲</w:t>
      </w:r>
    </w:p>
    <w:p>
      <w:pPr>
        <w:spacing w:line="219" w:lineRule="auto"/>
        <w:sectPr>
          <w:headerReference w:type="default" r:id="rId161"/>
          <w:footerReference w:type="default" r:id="rId233"/>
          <w:pgSz w:w="11906" w:h="16839"/>
          <w:pgMar w:top="1567" w:right="1700" w:bottom="1811" w:left="1701" w:header="1221" w:footer="1128" w:gutter="0"/>
        </w:sectPr>
        <w:rPr>
          <w:rFonts w:ascii="SimSun" w:hAnsi="SimSun" w:eastAsia="SimSun" w:cs="SimSun"/>
          <w:sz w:val="24"/>
          <w:szCs w:val="24"/>
        </w:rPr>
      </w:pPr>
    </w:p>
    <w:p>
      <w:pPr>
        <w:ind w:left="2" w:firstLine="9"/>
        <w:spacing w:before="267" w:line="360" w:lineRule="auto"/>
        <w:jc w:val="both"/>
        <w:rPr>
          <w:rFonts w:ascii="SimSun" w:hAnsi="SimSun" w:eastAsia="SimSun" w:cs="SimSun"/>
          <w:sz w:val="24"/>
          <w:szCs w:val="24"/>
        </w:rPr>
      </w:pPr>
      <w:r>
        <w:pict>
          <v:shape id="_x0000_s872" style="position:absolute;margin-left:85.05pt;margin-top:79.11pt;mso-position-vertical-relative:page;mso-position-horizontal-relative:page;width:425.25pt;height:0.75pt;z-index:252042240;" o:allowincell="f" fillcolor="#000000" filled="true" stroked="false" coordsize="8505,15" coordorigin="0,0" path="m,l8504,0l8504,14l0,14l0,0xe"/>
        </w:pict>
      </w:r>
      <w:r>
        <w:rPr>
          <w:rFonts w:ascii="SimSun" w:hAnsi="SimSun" w:eastAsia="SimSun" w:cs="SimSun"/>
          <w:sz w:val="24"/>
          <w:szCs w:val="24"/>
          <w:spacing w:val="-6"/>
        </w:rPr>
        <w:t>洪积砂砾石、含砾中粗砂，湖积细砂等。水位埋深一般小于</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6"/>
        </w:rPr>
        <w:t>3m</w:t>
      </w:r>
      <w:r>
        <w:rPr>
          <w:rFonts w:ascii="SimSun" w:hAnsi="SimSun" w:eastAsia="SimSun" w:cs="SimSun"/>
          <w:sz w:val="24"/>
          <w:szCs w:val="24"/>
          <w:spacing w:val="-6"/>
        </w:rPr>
        <w:t>。含水层厚度</w:t>
      </w:r>
      <w:r>
        <w:rPr>
          <w:rFonts w:ascii="SimSun" w:hAnsi="SimSun" w:eastAsia="SimSun" w:cs="SimSun"/>
          <w:sz w:val="24"/>
          <w:szCs w:val="24"/>
          <w:spacing w:val="-7"/>
        </w:rPr>
        <w:t>较薄，</w:t>
      </w:r>
      <w:r>
        <w:rPr>
          <w:rFonts w:ascii="SimSun" w:hAnsi="SimSun" w:eastAsia="SimSun" w:cs="SimSun"/>
          <w:sz w:val="24"/>
          <w:szCs w:val="24"/>
        </w:rPr>
        <w:t xml:space="preserve"> </w:t>
      </w:r>
      <w:r>
        <w:rPr>
          <w:rFonts w:ascii="SimSun" w:hAnsi="SimSun" w:eastAsia="SimSun" w:cs="SimSun"/>
          <w:sz w:val="24"/>
          <w:szCs w:val="24"/>
          <w:spacing w:val="-7"/>
        </w:rPr>
        <w:t>厚度约</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7"/>
        </w:rPr>
        <w:t>3.40m </w:t>
      </w:r>
      <w:r>
        <w:rPr>
          <w:rFonts w:ascii="SimSun" w:hAnsi="SimSun" w:eastAsia="SimSun" w:cs="SimSun"/>
          <w:sz w:val="24"/>
          <w:szCs w:val="24"/>
          <w:spacing w:val="-7"/>
        </w:rPr>
        <w:t>左右。水量差别也较大，角隆河流域为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7"/>
        </w:rPr>
        <w:t>50-100m</w:t>
      </w:r>
      <w:r>
        <w:rPr>
          <w:rFonts w:ascii="Times New Roman" w:hAnsi="Times New Roman" w:eastAsia="Times New Roman" w:cs="Times New Roman"/>
          <w:sz w:val="15"/>
          <w:szCs w:val="15"/>
          <w:spacing w:val="-7"/>
          <w:position w:val="8"/>
        </w:rPr>
        <w:t>3</w:t>
      </w:r>
      <w:r>
        <w:rPr>
          <w:rFonts w:ascii="Times New Roman" w:hAnsi="Times New Roman" w:eastAsia="Times New Roman" w:cs="Times New Roman"/>
          <w:sz w:val="24"/>
          <w:szCs w:val="24"/>
          <w:spacing w:val="-7"/>
        </w:rPr>
        <w:t>/d</w:t>
      </w:r>
      <w:r>
        <w:rPr>
          <w:rFonts w:ascii="SimSun" w:hAnsi="SimSun" w:eastAsia="SimSun" w:cs="SimSun"/>
          <w:sz w:val="24"/>
          <w:szCs w:val="24"/>
          <w:spacing w:val="-7"/>
        </w:rPr>
        <w:t>，其他河谷为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10-50</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
        </w:rPr>
        <w:t>。水质自上游到中下游呈有规律变化。水化学类型变化特征为：</w:t>
      </w:r>
    </w:p>
    <w:p>
      <w:pPr>
        <w:ind w:left="9" w:right="61" w:hanging="5"/>
        <w:spacing w:before="3" w:line="356" w:lineRule="auto"/>
        <w:jc w:val="both"/>
        <w:rPr>
          <w:rFonts w:ascii="SimSun" w:hAnsi="SimSun" w:eastAsia="SimSun" w:cs="SimSun"/>
          <w:sz w:val="24"/>
          <w:szCs w:val="24"/>
        </w:rPr>
      </w:pPr>
      <w:r>
        <w:rPr>
          <w:rFonts w:ascii="Times New Roman" w:hAnsi="Times New Roman" w:eastAsia="Times New Roman" w:cs="Times New Roman"/>
          <w:sz w:val="24"/>
          <w:szCs w:val="24"/>
          <w:spacing w:val="-1"/>
        </w:rPr>
        <w:t>HCO</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24"/>
          <w:szCs w:val="24"/>
          <w:spacing w:val="-1"/>
        </w:rPr>
        <w:t>·Cl-Na·Ca</w:t>
      </w:r>
      <w:r>
        <w:rPr>
          <w:rFonts w:ascii="SimSun" w:hAnsi="SimSun" w:eastAsia="SimSun" w:cs="SimSun"/>
          <w:sz w:val="24"/>
          <w:szCs w:val="24"/>
          <w:spacing w:val="-1"/>
        </w:rPr>
        <w:t>、</w:t>
      </w:r>
      <w:r>
        <w:rPr>
          <w:rFonts w:ascii="Times New Roman" w:hAnsi="Times New Roman" w:eastAsia="Times New Roman" w:cs="Times New Roman"/>
          <w:sz w:val="24"/>
          <w:szCs w:val="24"/>
          <w:spacing w:val="-1"/>
        </w:rPr>
        <w:t>HCO</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24"/>
          <w:szCs w:val="24"/>
          <w:spacing w:val="-1"/>
        </w:rPr>
        <w:t>·Cl-Na·Mg </w:t>
      </w:r>
      <w:r>
        <w:rPr>
          <w:rFonts w:ascii="SimSun" w:hAnsi="SimSun" w:eastAsia="SimSun" w:cs="SimSun"/>
          <w:sz w:val="24"/>
          <w:szCs w:val="24"/>
          <w:spacing w:val="-1"/>
        </w:rPr>
        <w:t>至</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Cl·HCO</w:t>
      </w:r>
      <w:r>
        <w:rPr>
          <w:rFonts w:ascii="Times New Roman" w:hAnsi="Times New Roman" w:eastAsia="Times New Roman" w:cs="Times New Roman"/>
          <w:sz w:val="15"/>
          <w:szCs w:val="15"/>
          <w:spacing w:val="-1"/>
        </w:rPr>
        <w:t>3</w:t>
      </w:r>
      <w:r>
        <w:rPr>
          <w:rFonts w:ascii="Times New Roman" w:hAnsi="Times New Roman" w:eastAsia="Times New Roman" w:cs="Times New Roman"/>
          <w:sz w:val="24"/>
          <w:szCs w:val="24"/>
          <w:spacing w:val="-1"/>
        </w:rPr>
        <w:t>-Na·Mg </w:t>
      </w:r>
      <w:r>
        <w:rPr>
          <w:rFonts w:ascii="SimSun" w:hAnsi="SimSun" w:eastAsia="SimSun" w:cs="SimSun"/>
          <w:sz w:val="24"/>
          <w:szCs w:val="24"/>
          <w:spacing w:val="-1"/>
        </w:rPr>
        <w:t>至</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Cl·SO</w:t>
      </w:r>
      <w:r>
        <w:rPr>
          <w:rFonts w:ascii="Times New Roman" w:hAnsi="Times New Roman" w:eastAsia="Times New Roman" w:cs="Times New Roman"/>
          <w:sz w:val="15"/>
          <w:szCs w:val="15"/>
          <w:spacing w:val="-1"/>
        </w:rPr>
        <w:t>4</w:t>
      </w:r>
      <w:r>
        <w:rPr>
          <w:rFonts w:ascii="Times New Roman" w:hAnsi="Times New Roman" w:eastAsia="Times New Roman" w:cs="Times New Roman"/>
          <w:sz w:val="24"/>
          <w:szCs w:val="24"/>
          <w:spacing w:val="-1"/>
        </w:rPr>
        <w:t>-Na·Mg</w:t>
      </w:r>
      <w:r>
        <w:rPr>
          <w:rFonts w:ascii="SimSun" w:hAnsi="SimSun" w:eastAsia="SimSun" w:cs="SimSun"/>
          <w:sz w:val="24"/>
          <w:szCs w:val="24"/>
          <w:spacing w:val="-1"/>
        </w:rPr>
        <w:t>，矿化度变</w:t>
      </w:r>
      <w:r>
        <w:rPr>
          <w:rFonts w:ascii="SimSun" w:hAnsi="SimSun" w:eastAsia="SimSun" w:cs="SimSun"/>
          <w:sz w:val="24"/>
          <w:szCs w:val="24"/>
        </w:rPr>
        <w:t xml:space="preserve"> </w:t>
      </w:r>
      <w:r>
        <w:rPr>
          <w:rFonts w:ascii="SimSun" w:hAnsi="SimSun" w:eastAsia="SimSun" w:cs="SimSun"/>
          <w:sz w:val="24"/>
          <w:szCs w:val="24"/>
          <w:spacing w:val="-4"/>
        </w:rPr>
        <w:t>化特征为由小于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1g/L</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，渐变为略大于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1g/L</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4"/>
        </w:rPr>
        <w:t>，在到介于</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4"/>
        </w:rPr>
        <w:t>1-3g/L </w:t>
      </w:r>
      <w:r>
        <w:rPr>
          <w:rFonts w:ascii="SimSun" w:hAnsi="SimSun" w:eastAsia="SimSun" w:cs="SimSun"/>
          <w:sz w:val="24"/>
          <w:szCs w:val="24"/>
          <w:spacing w:val="-4"/>
        </w:rPr>
        <w:t>之间。湖积细砂含水</w:t>
      </w:r>
      <w:r>
        <w:rPr>
          <w:rFonts w:ascii="SimSun" w:hAnsi="SimSun" w:eastAsia="SimSun" w:cs="SimSun"/>
          <w:sz w:val="24"/>
          <w:szCs w:val="24"/>
        </w:rPr>
        <w:t xml:space="preserve"> </w:t>
      </w:r>
      <w:r>
        <w:rPr>
          <w:rFonts w:ascii="SimSun" w:hAnsi="SimSun" w:eastAsia="SimSun" w:cs="SimSun"/>
          <w:sz w:val="24"/>
          <w:szCs w:val="24"/>
          <w:spacing w:val="-2"/>
        </w:rPr>
        <w:t>层厚度薄而不稳定，水位埋深小于</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2"/>
        </w:rPr>
        <w:t>1m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，水量贫乏（</w:t>
      </w:r>
      <w:r>
        <w:rPr>
          <w:rFonts w:ascii="Times New Roman" w:hAnsi="Times New Roman" w:eastAsia="Times New Roman" w:cs="Times New Roman"/>
          <w:sz w:val="24"/>
          <w:szCs w:val="24"/>
          <w:spacing w:val="-2"/>
        </w:rPr>
        <w:t>&lt;10m</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r>
        <w:rPr>
          <w:rFonts w:ascii="Times New Roman" w:hAnsi="Times New Roman" w:eastAsia="Times New Roman" w:cs="Times New Roman"/>
          <w:sz w:val="24"/>
          <w:szCs w:val="24"/>
          <w:spacing w:val="-2"/>
        </w:rPr>
        <w:t>,</w:t>
      </w:r>
      <w:r>
        <w:rPr>
          <w:rFonts w:ascii="SimSun" w:hAnsi="SimSun" w:eastAsia="SimSun" w:cs="SimSun"/>
          <w:sz w:val="24"/>
          <w:szCs w:val="24"/>
          <w:spacing w:val="-2"/>
        </w:rPr>
        <w:t>水质也差，矿化度</w:t>
      </w:r>
      <w:r>
        <w:rPr>
          <w:rFonts w:ascii="SimSun" w:hAnsi="SimSun" w:eastAsia="SimSun" w:cs="SimSun"/>
          <w:sz w:val="24"/>
          <w:szCs w:val="24"/>
        </w:rPr>
        <w:t xml:space="preserve"> </w:t>
      </w:r>
      <w:r>
        <w:rPr>
          <w:rFonts w:ascii="SimSun" w:hAnsi="SimSun" w:eastAsia="SimSun" w:cs="SimSun"/>
          <w:sz w:val="24"/>
          <w:szCs w:val="24"/>
          <w:spacing w:val="-7"/>
        </w:rPr>
        <w:t>多在</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7"/>
        </w:rPr>
        <w:t>3g/L</w:t>
      </w:r>
      <w:r>
        <w:rPr>
          <w:rFonts w:ascii="Times New Roman" w:hAnsi="Times New Roman" w:eastAsia="Times New Roman" w:cs="Times New Roman"/>
          <w:sz w:val="24"/>
          <w:szCs w:val="24"/>
          <w:spacing w:val="36"/>
        </w:rPr>
        <w:t xml:space="preserve"> </w:t>
      </w:r>
      <w:r>
        <w:rPr>
          <w:rFonts w:ascii="SimSun" w:hAnsi="SimSun" w:eastAsia="SimSun" w:cs="SimSun"/>
          <w:sz w:val="24"/>
          <w:szCs w:val="24"/>
          <w:spacing w:val="-7"/>
        </w:rPr>
        <w:t>以上。</w:t>
      </w:r>
    </w:p>
    <w:p>
      <w:pPr>
        <w:ind w:left="488"/>
        <w:spacing w:before="17" w:line="217" w:lineRule="auto"/>
        <w:rPr>
          <w:rFonts w:ascii="SimSun" w:hAnsi="SimSun" w:eastAsia="SimSun" w:cs="SimSun"/>
          <w:sz w:val="24"/>
          <w:szCs w:val="24"/>
        </w:rPr>
      </w:pPr>
      <w:r>
        <w:rPr>
          <w:rFonts w:ascii="SimSun" w:hAnsi="SimSun" w:eastAsia="SimSun" w:cs="SimSun"/>
          <w:sz w:val="24"/>
          <w:szCs w:val="24"/>
          <w:spacing w:val="-1"/>
        </w:rPr>
        <w:t>②第四系上更新统冲洪积中粗砂孔隙潜水含水层</w:t>
      </w:r>
    </w:p>
    <w:p>
      <w:pPr>
        <w:ind w:left="9" w:right="61" w:firstLine="481"/>
        <w:spacing w:before="185" w:line="360" w:lineRule="auto"/>
        <w:rPr>
          <w:rFonts w:ascii="SimSun" w:hAnsi="SimSun" w:eastAsia="SimSun" w:cs="SimSun"/>
          <w:sz w:val="24"/>
          <w:szCs w:val="24"/>
        </w:rPr>
      </w:pPr>
      <w:r>
        <w:rPr>
          <w:rFonts w:ascii="SimSun" w:hAnsi="SimSun" w:eastAsia="SimSun" w:cs="SimSun"/>
          <w:sz w:val="24"/>
          <w:szCs w:val="24"/>
        </w:rPr>
        <w:t>主要分布在区域的丘间沟谷洼地和盆地中。含</w:t>
      </w:r>
      <w:r>
        <w:rPr>
          <w:rFonts w:ascii="SimSun" w:hAnsi="SimSun" w:eastAsia="SimSun" w:cs="SimSun"/>
          <w:sz w:val="24"/>
          <w:szCs w:val="24"/>
          <w:spacing w:val="-1"/>
        </w:rPr>
        <w:t>水层岩性主要为中粗砂，含水</w:t>
      </w:r>
      <w:r>
        <w:rPr>
          <w:rFonts w:ascii="SimSun" w:hAnsi="SimSun" w:eastAsia="SimSun" w:cs="SimSun"/>
          <w:sz w:val="24"/>
          <w:szCs w:val="24"/>
        </w:rPr>
        <w:t xml:space="preserve">  </w:t>
      </w:r>
      <w:r>
        <w:rPr>
          <w:rFonts w:ascii="SimSun" w:hAnsi="SimSun" w:eastAsia="SimSun" w:cs="SimSun"/>
          <w:sz w:val="24"/>
          <w:szCs w:val="24"/>
          <w:spacing w:val="-3"/>
        </w:rPr>
        <w:t>层厚度薄而不稳定，涌水量小而变化大，含水层厚度上游段多为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3"/>
        </w:rPr>
        <w:t>5m </w:t>
      </w:r>
      <w:r>
        <w:rPr>
          <w:rFonts w:ascii="SimSun" w:hAnsi="SimSun" w:eastAsia="SimSun" w:cs="SimSun"/>
          <w:sz w:val="24"/>
          <w:szCs w:val="24"/>
          <w:spacing w:val="-3"/>
        </w:rPr>
        <w:t>左右，下游段</w:t>
      </w:r>
      <w:r>
        <w:rPr>
          <w:rFonts w:ascii="SimSun" w:hAnsi="SimSun" w:eastAsia="SimSun" w:cs="SimSun"/>
          <w:sz w:val="24"/>
          <w:szCs w:val="24"/>
        </w:rPr>
        <w:t xml:space="preserve"> </w:t>
      </w:r>
      <w:r>
        <w:rPr>
          <w:rFonts w:ascii="SimSun" w:hAnsi="SimSun" w:eastAsia="SimSun" w:cs="SimSun"/>
          <w:sz w:val="24"/>
          <w:szCs w:val="24"/>
          <w:spacing w:val="-4"/>
        </w:rPr>
        <w:t>增加至</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4"/>
        </w:rPr>
        <w:t>10-20m</w:t>
      </w:r>
      <w:r>
        <w:rPr>
          <w:rFonts w:ascii="SimSun" w:hAnsi="SimSun" w:eastAsia="SimSun" w:cs="SimSun"/>
          <w:sz w:val="24"/>
          <w:szCs w:val="24"/>
          <w:spacing w:val="-4"/>
        </w:rPr>
        <w:t>，水位埋深</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2-5m</w:t>
      </w:r>
      <w:r>
        <w:rPr>
          <w:rFonts w:ascii="SimSun" w:hAnsi="SimSun" w:eastAsia="SimSun" w:cs="SimSun"/>
          <w:sz w:val="24"/>
          <w:szCs w:val="24"/>
          <w:spacing w:val="-4"/>
        </w:rPr>
        <w:t>，水量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10-50m</w:t>
      </w:r>
      <w:r>
        <w:rPr>
          <w:rFonts w:ascii="Times New Roman" w:hAnsi="Times New Roman" w:eastAsia="Times New Roman" w:cs="Times New Roman"/>
          <w:sz w:val="15"/>
          <w:szCs w:val="15"/>
          <w:spacing w:val="-4"/>
          <w:position w:val="8"/>
        </w:rPr>
        <w:t>3</w:t>
      </w:r>
      <w:r>
        <w:rPr>
          <w:rFonts w:ascii="Times New Roman" w:hAnsi="Times New Roman" w:eastAsia="Times New Roman" w:cs="Times New Roman"/>
          <w:sz w:val="24"/>
          <w:szCs w:val="24"/>
          <w:spacing w:val="-4"/>
        </w:rPr>
        <w:t>/d</w:t>
      </w:r>
      <w:r>
        <w:rPr>
          <w:rFonts w:ascii="SimSun" w:hAnsi="SimSun" w:eastAsia="SimSun" w:cs="SimSun"/>
          <w:sz w:val="24"/>
          <w:szCs w:val="24"/>
          <w:spacing w:val="-4"/>
        </w:rPr>
        <w:t>。水质一般</w:t>
      </w:r>
      <w:r>
        <w:rPr>
          <w:rFonts w:ascii="Times New Roman" w:hAnsi="Times New Roman" w:eastAsia="Times New Roman" w:cs="Times New Roman"/>
          <w:sz w:val="24"/>
          <w:szCs w:val="24"/>
          <w:spacing w:val="-4"/>
        </w:rPr>
        <w:t>--</w:t>
      </w:r>
      <w:r>
        <w:rPr>
          <w:rFonts w:ascii="SimSun" w:hAnsi="SimSun" w:eastAsia="SimSun" w:cs="SimSun"/>
          <w:sz w:val="24"/>
          <w:szCs w:val="24"/>
          <w:spacing w:val="-4"/>
        </w:rPr>
        <w:t>较好，水化学类型多</w:t>
      </w:r>
      <w:r>
        <w:rPr>
          <w:rFonts w:ascii="SimSun" w:hAnsi="SimSun" w:eastAsia="SimSun" w:cs="SimSun"/>
          <w:sz w:val="24"/>
          <w:szCs w:val="24"/>
        </w:rPr>
        <w:t xml:space="preserve"> </w:t>
      </w:r>
      <w:r>
        <w:rPr>
          <w:rFonts w:ascii="SimSun" w:hAnsi="SimSun" w:eastAsia="SimSun" w:cs="SimSun"/>
          <w:sz w:val="24"/>
          <w:szCs w:val="24"/>
          <w:spacing w:val="-1"/>
        </w:rPr>
        <w:t>属</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HCO</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24"/>
          <w:szCs w:val="24"/>
          <w:spacing w:val="-1"/>
        </w:rPr>
        <w:t>·Cl-Na·Ca</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HCO</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24"/>
          <w:szCs w:val="24"/>
          <w:spacing w:val="-1"/>
        </w:rPr>
        <w:t>·Cl-Na·Mg</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1"/>
        </w:rPr>
        <w:t>型</w:t>
      </w:r>
      <w:r>
        <w:rPr>
          <w:rFonts w:ascii="SimSun" w:hAnsi="SimSun" w:eastAsia="SimSun" w:cs="SimSun"/>
          <w:sz w:val="24"/>
          <w:szCs w:val="24"/>
          <w:spacing w:val="-2"/>
        </w:rPr>
        <w:t>，矿化度</w:t>
      </w:r>
      <w:r>
        <w:rPr>
          <w:rFonts w:ascii="Times New Roman" w:hAnsi="Times New Roman" w:eastAsia="Times New Roman" w:cs="Times New Roman"/>
          <w:sz w:val="24"/>
          <w:szCs w:val="24"/>
          <w:spacing w:val="-2"/>
        </w:rPr>
        <w:t>&lt;1.00g/L</w:t>
      </w:r>
      <w:r>
        <w:rPr>
          <w:rFonts w:ascii="SimSun" w:hAnsi="SimSun" w:eastAsia="SimSun" w:cs="SimSun"/>
          <w:sz w:val="24"/>
          <w:szCs w:val="24"/>
          <w:spacing w:val="-2"/>
        </w:rPr>
        <w:t>。</w:t>
      </w:r>
    </w:p>
    <w:p>
      <w:pPr>
        <w:ind w:left="501"/>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）碎屑岩类裂隙孔隙水</w:t>
      </w:r>
    </w:p>
    <w:p>
      <w:pPr>
        <w:ind w:left="489"/>
        <w:spacing w:before="183" w:line="219" w:lineRule="auto"/>
        <w:rPr>
          <w:rFonts w:ascii="SimSun" w:hAnsi="SimSun" w:eastAsia="SimSun" w:cs="SimSun"/>
          <w:sz w:val="24"/>
          <w:szCs w:val="24"/>
        </w:rPr>
      </w:pPr>
      <w:r>
        <w:rPr>
          <w:rFonts w:ascii="SimSun" w:hAnsi="SimSun" w:eastAsia="SimSun" w:cs="SimSun"/>
          <w:sz w:val="24"/>
          <w:szCs w:val="24"/>
          <w:spacing w:val="-1"/>
        </w:rPr>
        <w:t>第三系上新统底部砂砾岩</w:t>
      </w:r>
      <w:r>
        <w:rPr>
          <w:rFonts w:ascii="Times New Roman" w:hAnsi="Times New Roman" w:eastAsia="Times New Roman" w:cs="Times New Roman"/>
          <w:sz w:val="24"/>
          <w:szCs w:val="24"/>
          <w:spacing w:val="-1"/>
        </w:rPr>
        <w:t>—</w:t>
      </w:r>
      <w:r>
        <w:rPr>
          <w:rFonts w:ascii="SimSun" w:hAnsi="SimSun" w:eastAsia="SimSun" w:cs="SimSun"/>
          <w:sz w:val="24"/>
          <w:szCs w:val="24"/>
          <w:spacing w:val="-1"/>
        </w:rPr>
        <w:t>基岩裂隙孔隙承压含水组</w:t>
      </w:r>
    </w:p>
    <w:p>
      <w:pPr>
        <w:ind w:left="9" w:right="26" w:firstLine="481"/>
        <w:spacing w:before="185" w:line="360" w:lineRule="auto"/>
        <w:rPr>
          <w:rFonts w:ascii="SimSun" w:hAnsi="SimSun" w:eastAsia="SimSun" w:cs="SimSun"/>
          <w:sz w:val="24"/>
          <w:szCs w:val="24"/>
        </w:rPr>
      </w:pPr>
      <w:r>
        <w:rPr>
          <w:rFonts w:ascii="SimSun" w:hAnsi="SimSun" w:eastAsia="SimSun" w:cs="SimSun"/>
          <w:sz w:val="24"/>
          <w:szCs w:val="24"/>
        </w:rPr>
        <w:t>主要分布在较宽阔的沟谷洼地和丘间盆地，含</w:t>
      </w:r>
      <w:r>
        <w:rPr>
          <w:rFonts w:ascii="SimSun" w:hAnsi="SimSun" w:eastAsia="SimSun" w:cs="SimSun"/>
          <w:sz w:val="24"/>
          <w:szCs w:val="24"/>
          <w:spacing w:val="-1"/>
        </w:rPr>
        <w:t>水层岩性主要为其底部的砂砾</w:t>
      </w:r>
      <w:r>
        <w:rPr>
          <w:rFonts w:ascii="SimSun" w:hAnsi="SimSun" w:eastAsia="SimSun" w:cs="SimSun"/>
          <w:sz w:val="24"/>
          <w:szCs w:val="24"/>
        </w:rPr>
        <w:t xml:space="preserve">  </w:t>
      </w:r>
      <w:r>
        <w:rPr>
          <w:rFonts w:ascii="SimSun" w:hAnsi="SimSun" w:eastAsia="SimSun" w:cs="SimSun"/>
          <w:sz w:val="24"/>
          <w:szCs w:val="24"/>
          <w:spacing w:val="-1"/>
        </w:rPr>
        <w:t>岩，厚度一般在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2.70-45.90m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。并与下伏的各类基岩风化壳共</w:t>
      </w:r>
      <w:r>
        <w:rPr>
          <w:rFonts w:ascii="SimSun" w:hAnsi="SimSun" w:eastAsia="SimSun" w:cs="SimSun"/>
          <w:sz w:val="24"/>
          <w:szCs w:val="24"/>
          <w:spacing w:val="-2"/>
        </w:rPr>
        <w:t>同组成上新统</w:t>
      </w:r>
      <w:r>
        <w:rPr>
          <w:rFonts w:ascii="Times New Roman" w:hAnsi="Times New Roman" w:eastAsia="Times New Roman" w:cs="Times New Roman"/>
          <w:sz w:val="24"/>
          <w:szCs w:val="24"/>
          <w:spacing w:val="-2"/>
        </w:rPr>
        <w:t>—</w:t>
      </w:r>
      <w:r>
        <w:rPr>
          <w:rFonts w:ascii="SimSun" w:hAnsi="SimSun" w:eastAsia="SimSun" w:cs="SimSun"/>
          <w:sz w:val="24"/>
          <w:szCs w:val="24"/>
          <w:spacing w:val="-2"/>
        </w:rPr>
        <w:t>基岩</w:t>
      </w:r>
      <w:r>
        <w:rPr>
          <w:rFonts w:ascii="SimSun" w:hAnsi="SimSun" w:eastAsia="SimSun" w:cs="SimSun"/>
          <w:sz w:val="24"/>
          <w:szCs w:val="24"/>
        </w:rPr>
        <w:t xml:space="preserve"> </w:t>
      </w:r>
      <w:r>
        <w:rPr>
          <w:rFonts w:ascii="SimSun" w:hAnsi="SimSun" w:eastAsia="SimSun" w:cs="SimSun"/>
          <w:sz w:val="24"/>
          <w:szCs w:val="24"/>
          <w:spacing w:val="-1"/>
        </w:rPr>
        <w:t>裂隙孔隙承压含水组。水位埋深一般在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13.90-+10.60m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。该含水组厚度变化</w:t>
      </w:r>
      <w:r>
        <w:rPr>
          <w:rFonts w:ascii="SimSun" w:hAnsi="SimSun" w:eastAsia="SimSun" w:cs="SimSun"/>
          <w:sz w:val="24"/>
          <w:szCs w:val="24"/>
          <w:spacing w:val="-2"/>
        </w:rPr>
        <w:t>较大，</w:t>
      </w:r>
      <w:r>
        <w:rPr>
          <w:rFonts w:ascii="SimSun" w:hAnsi="SimSun" w:eastAsia="SimSun" w:cs="SimSun"/>
          <w:sz w:val="24"/>
          <w:szCs w:val="24"/>
        </w:rPr>
        <w:t xml:space="preserve"> </w:t>
      </w:r>
      <w:r>
        <w:rPr>
          <w:rFonts w:ascii="SimSun" w:hAnsi="SimSun" w:eastAsia="SimSun" w:cs="SimSun"/>
          <w:sz w:val="24"/>
          <w:szCs w:val="24"/>
          <w:spacing w:val="-4"/>
        </w:rPr>
        <w:t>一般在</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4"/>
        </w:rPr>
        <w:t>13.40-55.60m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4"/>
        </w:rPr>
        <w:t>。水量也不稳定，一般在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1.0-130.0m</w:t>
      </w:r>
      <w:r>
        <w:rPr>
          <w:rFonts w:ascii="Times New Roman" w:hAnsi="Times New Roman" w:eastAsia="Times New Roman" w:cs="Times New Roman"/>
          <w:sz w:val="15"/>
          <w:szCs w:val="15"/>
          <w:spacing w:val="-4"/>
          <w:position w:val="8"/>
        </w:rPr>
        <w:t>3</w:t>
      </w:r>
      <w:r>
        <w:rPr>
          <w:rFonts w:ascii="Times New Roman" w:hAnsi="Times New Roman" w:eastAsia="Times New Roman" w:cs="Times New Roman"/>
          <w:sz w:val="24"/>
          <w:szCs w:val="24"/>
          <w:spacing w:val="-4"/>
        </w:rPr>
        <w:t>/d</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4"/>
        </w:rPr>
        <w:t>。该含水组水质较差，</w:t>
      </w:r>
      <w:r>
        <w:rPr>
          <w:rFonts w:ascii="SimSun" w:hAnsi="SimSun" w:eastAsia="SimSun" w:cs="SimSun"/>
          <w:sz w:val="24"/>
          <w:szCs w:val="24"/>
        </w:rPr>
        <w:t xml:space="preserve"> </w:t>
      </w:r>
      <w:r>
        <w:rPr>
          <w:rFonts w:ascii="SimSun" w:hAnsi="SimSun" w:eastAsia="SimSun" w:cs="SimSun"/>
          <w:sz w:val="24"/>
          <w:szCs w:val="24"/>
          <w:spacing w:val="-1"/>
        </w:rPr>
        <w:t>水化学类型复杂多变，以</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Cl·HCO</w:t>
      </w:r>
      <w:r>
        <w:rPr>
          <w:rFonts w:ascii="Times New Roman" w:hAnsi="Times New Roman" w:eastAsia="Times New Roman" w:cs="Times New Roman"/>
          <w:sz w:val="15"/>
          <w:szCs w:val="15"/>
          <w:spacing w:val="-1"/>
        </w:rPr>
        <w:t>3</w:t>
      </w:r>
      <w:r>
        <w:rPr>
          <w:rFonts w:ascii="Times New Roman" w:hAnsi="Times New Roman" w:eastAsia="Times New Roman" w:cs="Times New Roman"/>
          <w:sz w:val="24"/>
          <w:szCs w:val="24"/>
          <w:spacing w:val="-1"/>
        </w:rPr>
        <w:t>-Na</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H</w:t>
      </w:r>
      <w:r>
        <w:rPr>
          <w:rFonts w:ascii="Times New Roman" w:hAnsi="Times New Roman" w:eastAsia="Times New Roman" w:cs="Times New Roman"/>
          <w:sz w:val="24"/>
          <w:szCs w:val="24"/>
          <w:spacing w:val="-2"/>
        </w:rPr>
        <w:t>CO</w:t>
      </w:r>
      <w:r>
        <w:rPr>
          <w:rFonts w:ascii="Times New Roman" w:hAnsi="Times New Roman" w:eastAsia="Times New Roman" w:cs="Times New Roman"/>
          <w:sz w:val="15"/>
          <w:szCs w:val="15"/>
          <w:spacing w:val="-2"/>
        </w:rPr>
        <w:t>3</w:t>
      </w:r>
      <w:r>
        <w:rPr>
          <w:rFonts w:ascii="Times New Roman" w:hAnsi="Times New Roman" w:eastAsia="Times New Roman" w:cs="Times New Roman"/>
          <w:sz w:val="24"/>
          <w:szCs w:val="24"/>
          <w:spacing w:val="-2"/>
        </w:rPr>
        <w:t>-Na·Mg</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2"/>
        </w:rPr>
        <w:t>型居多，矿化度一般在</w:t>
      </w:r>
    </w:p>
    <w:p>
      <w:pPr>
        <w:ind w:left="28"/>
        <w:spacing w:before="33" w:line="183" w:lineRule="auto"/>
        <w:rPr>
          <w:rFonts w:ascii="SimSun" w:hAnsi="SimSun" w:eastAsia="SimSun" w:cs="SimSun"/>
          <w:sz w:val="24"/>
          <w:szCs w:val="24"/>
        </w:rPr>
      </w:pPr>
      <w:r>
        <w:rPr>
          <w:rFonts w:ascii="Times New Roman" w:hAnsi="Times New Roman" w:eastAsia="Times New Roman" w:cs="Times New Roman"/>
          <w:sz w:val="24"/>
          <w:szCs w:val="24"/>
          <w:spacing w:val="-3"/>
        </w:rPr>
        <w:t>1.00-2.00g/L</w:t>
      </w:r>
      <w:r>
        <w:rPr>
          <w:rFonts w:ascii="SimSun" w:hAnsi="SimSun" w:eastAsia="SimSun" w:cs="SimSun"/>
          <w:sz w:val="24"/>
          <w:szCs w:val="24"/>
          <w:spacing w:val="-3"/>
        </w:rPr>
        <w:t>。</w:t>
      </w:r>
    </w:p>
    <w:p>
      <w:pPr>
        <w:ind w:left="501"/>
        <w:spacing w:before="195"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）基岩裂隙潜水弱含水层</w:t>
      </w:r>
    </w:p>
    <w:p>
      <w:pPr>
        <w:ind w:left="488"/>
        <w:spacing w:before="183" w:line="217" w:lineRule="auto"/>
        <w:rPr>
          <w:rFonts w:ascii="SimSun" w:hAnsi="SimSun" w:eastAsia="SimSun" w:cs="SimSun"/>
          <w:sz w:val="24"/>
          <w:szCs w:val="24"/>
        </w:rPr>
      </w:pPr>
      <w:r>
        <w:rPr>
          <w:rFonts w:ascii="SimSun" w:hAnsi="SimSun" w:eastAsia="SimSun" w:cs="SimSun"/>
          <w:sz w:val="24"/>
          <w:szCs w:val="24"/>
          <w:spacing w:val="-1"/>
        </w:rPr>
        <w:t>①侏罗系上统火山杂岩为主的层状岩类裂隙含水层</w:t>
      </w:r>
    </w:p>
    <w:p>
      <w:pPr>
        <w:ind w:left="8" w:firstLine="480"/>
        <w:spacing w:before="186" w:line="360" w:lineRule="auto"/>
        <w:jc w:val="both"/>
        <w:rPr>
          <w:rFonts w:ascii="SimSun" w:hAnsi="SimSun" w:eastAsia="SimSun" w:cs="SimSun"/>
          <w:sz w:val="24"/>
          <w:szCs w:val="24"/>
        </w:rPr>
      </w:pPr>
      <w:r>
        <w:rPr>
          <w:rFonts w:ascii="SimSun" w:hAnsi="SimSun" w:eastAsia="SimSun" w:cs="SimSun"/>
          <w:sz w:val="24"/>
          <w:szCs w:val="24"/>
        </w:rPr>
        <w:t>矿区内大面积分布。岩性主要为上侏罗统中酸性火山</w:t>
      </w:r>
      <w:r>
        <w:rPr>
          <w:rFonts w:ascii="SimSun" w:hAnsi="SimSun" w:eastAsia="SimSun" w:cs="SimSun"/>
          <w:sz w:val="24"/>
          <w:szCs w:val="24"/>
          <w:spacing w:val="-1"/>
        </w:rPr>
        <w:t>熔岩及火山碎屑岩，火</w:t>
      </w:r>
      <w:r>
        <w:rPr>
          <w:rFonts w:ascii="SimSun" w:hAnsi="SimSun" w:eastAsia="SimSun" w:cs="SimSun"/>
          <w:sz w:val="24"/>
          <w:szCs w:val="24"/>
        </w:rPr>
        <w:t xml:space="preserve">  </w:t>
      </w:r>
      <w:r>
        <w:rPr>
          <w:rFonts w:ascii="SimSun" w:hAnsi="SimSun" w:eastAsia="SimSun" w:cs="SimSun"/>
          <w:sz w:val="24"/>
          <w:szCs w:val="24"/>
        </w:rPr>
        <w:t>山碎屑沉积岩。裸露基岩区含裂隙潜水并以风化裂隙为主</w:t>
      </w:r>
      <w:r>
        <w:rPr>
          <w:rFonts w:ascii="SimSun" w:hAnsi="SimSun" w:eastAsia="SimSun" w:cs="SimSun"/>
          <w:sz w:val="24"/>
          <w:szCs w:val="24"/>
          <w:spacing w:val="-1"/>
        </w:rPr>
        <w:t>。风化裂隙带发育厚度</w:t>
      </w:r>
      <w:r>
        <w:rPr>
          <w:rFonts w:ascii="SimSun" w:hAnsi="SimSun" w:eastAsia="SimSun" w:cs="SimSun"/>
          <w:sz w:val="24"/>
          <w:szCs w:val="24"/>
        </w:rPr>
        <w:t xml:space="preserve">  </w:t>
      </w:r>
      <w:r>
        <w:rPr>
          <w:rFonts w:ascii="SimSun" w:hAnsi="SimSun" w:eastAsia="SimSun" w:cs="SimSun"/>
          <w:sz w:val="24"/>
          <w:szCs w:val="24"/>
          <w:spacing w:val="-2"/>
        </w:rPr>
        <w:t>一般在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50-60m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2"/>
        </w:rPr>
        <w:t>。该层含水不连续，水位埋深不稳定，一</w:t>
      </w:r>
      <w:r>
        <w:rPr>
          <w:rFonts w:ascii="SimSun" w:hAnsi="SimSun" w:eastAsia="SimSun" w:cs="SimSun"/>
          <w:sz w:val="24"/>
          <w:szCs w:val="24"/>
          <w:spacing w:val="-3"/>
        </w:rPr>
        <w:t>般小于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，富水性极不</w:t>
      </w:r>
      <w:r>
        <w:rPr>
          <w:rFonts w:ascii="SimSun" w:hAnsi="SimSun" w:eastAsia="SimSun" w:cs="SimSun"/>
          <w:sz w:val="24"/>
          <w:szCs w:val="24"/>
        </w:rPr>
        <w:t xml:space="preserve"> </w:t>
      </w:r>
      <w:r>
        <w:rPr>
          <w:rFonts w:ascii="SimSun" w:hAnsi="SimSun" w:eastAsia="SimSun" w:cs="SimSun"/>
          <w:sz w:val="24"/>
          <w:szCs w:val="24"/>
          <w:spacing w:val="-5"/>
        </w:rPr>
        <w:t>均匀，多数情况下水量相当小，民井出水量也多小于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10 m</w:t>
      </w:r>
      <w:r>
        <w:rPr>
          <w:rFonts w:ascii="Times New Roman" w:hAnsi="Times New Roman" w:eastAsia="Times New Roman" w:cs="Times New Roman"/>
          <w:sz w:val="15"/>
          <w:szCs w:val="15"/>
          <w:spacing w:val="-5"/>
          <w:position w:val="8"/>
        </w:rPr>
        <w:t>3</w:t>
      </w:r>
      <w:r>
        <w:rPr>
          <w:rFonts w:ascii="Times New Roman" w:hAnsi="Times New Roman" w:eastAsia="Times New Roman" w:cs="Times New Roman"/>
          <w:sz w:val="24"/>
          <w:szCs w:val="24"/>
          <w:spacing w:val="-5"/>
        </w:rPr>
        <w:t>/d</w:t>
      </w:r>
      <w:r>
        <w:rPr>
          <w:rFonts w:ascii="SimSun" w:hAnsi="SimSun" w:eastAsia="SimSun" w:cs="SimSun"/>
          <w:sz w:val="24"/>
          <w:szCs w:val="24"/>
          <w:spacing w:val="-5"/>
        </w:rPr>
        <w:t>。其地下水水质良</w:t>
      </w:r>
      <w:r>
        <w:rPr>
          <w:rFonts w:ascii="SimSun" w:hAnsi="SimSun" w:eastAsia="SimSun" w:cs="SimSun"/>
          <w:sz w:val="24"/>
          <w:szCs w:val="24"/>
          <w:spacing w:val="-6"/>
        </w:rPr>
        <w:t>好，</w:t>
      </w:r>
      <w:r>
        <w:rPr>
          <w:rFonts w:ascii="SimSun" w:hAnsi="SimSun" w:eastAsia="SimSun" w:cs="SimSun"/>
          <w:sz w:val="24"/>
          <w:szCs w:val="24"/>
        </w:rPr>
        <w:t xml:space="preserve"> </w:t>
      </w:r>
      <w:r>
        <w:rPr>
          <w:rFonts w:ascii="SimSun" w:hAnsi="SimSun" w:eastAsia="SimSun" w:cs="SimSun"/>
          <w:sz w:val="24"/>
          <w:szCs w:val="24"/>
          <w:spacing w:val="-3"/>
        </w:rPr>
        <w:t>矿化度小于</w:t>
      </w:r>
      <w:r>
        <w:rPr>
          <w:rFonts w:ascii="SimSun" w:hAnsi="SimSun" w:eastAsia="SimSun" w:cs="SimSun"/>
          <w:sz w:val="24"/>
          <w:szCs w:val="24"/>
          <w:spacing w:val="-21"/>
        </w:rPr>
        <w:t xml:space="preserve"> </w:t>
      </w:r>
      <w:r>
        <w:rPr>
          <w:rFonts w:ascii="Times New Roman" w:hAnsi="Times New Roman" w:eastAsia="Times New Roman" w:cs="Times New Roman"/>
          <w:sz w:val="24"/>
          <w:szCs w:val="24"/>
          <w:spacing w:val="-3"/>
        </w:rPr>
        <w:t>1 g/L</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，水化学类型为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HCO</w:t>
      </w:r>
      <w:r>
        <w:rPr>
          <w:rFonts w:ascii="Times New Roman" w:hAnsi="Times New Roman" w:eastAsia="Times New Roman" w:cs="Times New Roman"/>
          <w:sz w:val="15"/>
          <w:szCs w:val="15"/>
          <w:spacing w:val="-3"/>
          <w:position w:val="-1"/>
        </w:rPr>
        <w:t>3</w:t>
      </w:r>
      <w:r>
        <w:rPr>
          <w:rFonts w:ascii="Times New Roman" w:hAnsi="Times New Roman" w:eastAsia="Times New Roman" w:cs="Times New Roman"/>
          <w:sz w:val="24"/>
          <w:szCs w:val="24"/>
          <w:spacing w:val="-3"/>
        </w:rPr>
        <w:t>·Cl-Na·Mg</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3"/>
        </w:rPr>
        <w:t>型。该层对矿床开采影响较小。</w:t>
      </w:r>
    </w:p>
    <w:p>
      <w:pPr>
        <w:ind w:left="488"/>
        <w:spacing w:line="217" w:lineRule="auto"/>
        <w:rPr>
          <w:rFonts w:ascii="SimSun" w:hAnsi="SimSun" w:eastAsia="SimSun" w:cs="SimSun"/>
          <w:sz w:val="24"/>
          <w:szCs w:val="24"/>
        </w:rPr>
      </w:pPr>
      <w:r>
        <w:rPr>
          <w:rFonts w:ascii="SimSun" w:hAnsi="SimSun" w:eastAsia="SimSun" w:cs="SimSun"/>
          <w:sz w:val="24"/>
          <w:szCs w:val="24"/>
          <w:spacing w:val="-1"/>
        </w:rPr>
        <w:t>②燕山早期侵入岩为主的块状岩类裂隙含水岩体</w:t>
      </w:r>
    </w:p>
    <w:p>
      <w:pPr>
        <w:pStyle w:val="BodyText"/>
        <w:spacing w:line="268" w:lineRule="auto"/>
        <w:rPr/>
      </w:pPr>
      <w:r/>
    </w:p>
    <w:p>
      <w:pPr>
        <w:pStyle w:val="BodyText"/>
        <w:spacing w:line="269" w:lineRule="auto"/>
        <w:rPr/>
      </w:pPr>
      <w:r/>
    </w:p>
    <w:p>
      <w:pPr>
        <w:ind w:left="7"/>
        <w:spacing w:before="63" w:line="22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177</w:t>
      </w:r>
    </w:p>
    <w:p>
      <w:pPr>
        <w:spacing w:line="227" w:lineRule="auto"/>
        <w:sectPr>
          <w:headerReference w:type="default" r:id="rId236"/>
          <w:footerReference w:type="default" r:id="rId3"/>
          <w:pgSz w:w="11906" w:h="16839"/>
          <w:pgMar w:top="1567" w:right="1639" w:bottom="400" w:left="1701" w:header="1221" w:footer="0" w:gutter="0"/>
        </w:sectPr>
        <w:rPr>
          <w:rFonts w:ascii="Times New Roman" w:hAnsi="Times New Roman" w:eastAsia="Times New Roman" w:cs="Times New Roman"/>
          <w:sz w:val="18"/>
          <w:szCs w:val="18"/>
        </w:rPr>
      </w:pPr>
    </w:p>
    <w:p>
      <w:pPr>
        <w:ind w:left="9" w:right="61" w:firstLine="480"/>
        <w:spacing w:before="247" w:line="360" w:lineRule="auto"/>
        <w:jc w:val="both"/>
        <w:rPr>
          <w:rFonts w:ascii="SimSun" w:hAnsi="SimSun" w:eastAsia="SimSun" w:cs="SimSun"/>
          <w:sz w:val="24"/>
          <w:szCs w:val="24"/>
        </w:rPr>
      </w:pPr>
      <w:r>
        <w:pict>
          <v:shape id="_x0000_s874" style="position:absolute;margin-left:85.05pt;margin-top:78.87pt;mso-position-vertical-relative:page;mso-position-horizontal-relative:page;width:425.25pt;height:0.75pt;z-index:252044288;" o:allowincell="f" fillcolor="#000000" filled="true" stroked="false" coordsize="8505,15" coordorigin="0,0" path="m,l8504,0l8504,14l0,14l0,0xe"/>
        </w:pict>
      </w:r>
      <w:r>
        <w:rPr>
          <w:rFonts w:ascii="SimSun" w:hAnsi="SimSun" w:eastAsia="SimSun" w:cs="SimSun"/>
          <w:sz w:val="24"/>
          <w:szCs w:val="24"/>
          <w:spacing w:val="-2"/>
        </w:rPr>
        <w:t>广泛分布在低山丘陵区。岩性主要为花岗闪长</w:t>
      </w:r>
      <w:r>
        <w:rPr>
          <w:rFonts w:ascii="SimSun" w:hAnsi="SimSun" w:eastAsia="SimSun" w:cs="SimSun"/>
          <w:sz w:val="24"/>
          <w:szCs w:val="24"/>
          <w:spacing w:val="-3"/>
        </w:rPr>
        <w:t>岩，钾长花岗斑岩</w:t>
      </w:r>
      <w:r>
        <w:rPr>
          <w:rFonts w:ascii="Times New Roman" w:hAnsi="Times New Roman" w:eastAsia="Times New Roman" w:cs="Times New Roman"/>
          <w:sz w:val="24"/>
          <w:szCs w:val="24"/>
          <w:spacing w:val="-3"/>
        </w:rPr>
        <w:t>,  </w:t>
      </w:r>
      <w:r>
        <w:rPr>
          <w:rFonts w:ascii="SimSun" w:hAnsi="SimSun" w:eastAsia="SimSun" w:cs="SimSun"/>
          <w:sz w:val="24"/>
          <w:szCs w:val="24"/>
          <w:spacing w:val="-3"/>
        </w:rPr>
        <w:t>钾长石英斑</w:t>
      </w:r>
      <w:r>
        <w:rPr>
          <w:rFonts w:ascii="SimSun" w:hAnsi="SimSun" w:eastAsia="SimSun" w:cs="SimSun"/>
          <w:sz w:val="24"/>
          <w:szCs w:val="24"/>
        </w:rPr>
        <w:t xml:space="preserve"> </w:t>
      </w:r>
      <w:r>
        <w:rPr>
          <w:rFonts w:ascii="SimSun" w:hAnsi="SimSun" w:eastAsia="SimSun" w:cs="SimSun"/>
          <w:sz w:val="24"/>
          <w:szCs w:val="24"/>
        </w:rPr>
        <w:t>岩，黑云母花岗岩。花岗岩类裂隙水与层状岩类裂隙水</w:t>
      </w:r>
      <w:r>
        <w:rPr>
          <w:rFonts w:ascii="SimSun" w:hAnsi="SimSun" w:eastAsia="SimSun" w:cs="SimSun"/>
          <w:sz w:val="24"/>
          <w:szCs w:val="24"/>
          <w:spacing w:val="-1"/>
        </w:rPr>
        <w:t>相比较，除同样具有含水</w:t>
      </w:r>
      <w:r>
        <w:rPr>
          <w:rFonts w:ascii="SimSun" w:hAnsi="SimSun" w:eastAsia="SimSun" w:cs="SimSun"/>
          <w:sz w:val="24"/>
          <w:szCs w:val="24"/>
        </w:rPr>
        <w:t xml:space="preserve">  </w:t>
      </w:r>
      <w:r>
        <w:rPr>
          <w:rFonts w:ascii="SimSun" w:hAnsi="SimSun" w:eastAsia="SimSun" w:cs="SimSun"/>
          <w:sz w:val="24"/>
          <w:szCs w:val="24"/>
        </w:rPr>
        <w:t>不连续、水位埋深不稳定、富水性不均匀、水质良好等</w:t>
      </w:r>
      <w:r>
        <w:rPr>
          <w:rFonts w:ascii="SimSun" w:hAnsi="SimSun" w:eastAsia="SimSun" w:cs="SimSun"/>
          <w:sz w:val="24"/>
          <w:szCs w:val="24"/>
          <w:spacing w:val="-1"/>
        </w:rPr>
        <w:t>特征外，还具有以下几个</w:t>
      </w:r>
      <w:r>
        <w:rPr>
          <w:rFonts w:ascii="SimSun" w:hAnsi="SimSun" w:eastAsia="SimSun" w:cs="SimSun"/>
          <w:sz w:val="24"/>
          <w:szCs w:val="24"/>
        </w:rPr>
        <w:t xml:space="preserve">  </w:t>
      </w:r>
      <w:r>
        <w:rPr>
          <w:rFonts w:ascii="SimSun" w:hAnsi="SimSun" w:eastAsia="SimSun" w:cs="SimSun"/>
          <w:sz w:val="24"/>
          <w:szCs w:val="24"/>
          <w:spacing w:val="-4"/>
        </w:rPr>
        <w:t>特点：</w:t>
      </w:r>
    </w:p>
    <w:p>
      <w:pPr>
        <w:ind w:left="12" w:firstLine="476"/>
        <w:spacing w:line="289" w:lineRule="auto"/>
        <w:rPr>
          <w:rFonts w:ascii="SimSun" w:hAnsi="SimSun" w:eastAsia="SimSun" w:cs="SimSun"/>
          <w:sz w:val="24"/>
          <w:szCs w:val="24"/>
        </w:rPr>
      </w:pPr>
      <w:r>
        <w:rPr>
          <w:rFonts w:ascii="Times New Roman" w:hAnsi="Times New Roman" w:eastAsia="Times New Roman" w:cs="Times New Roman"/>
          <w:sz w:val="24"/>
          <w:szCs w:val="24"/>
          <w:spacing w:val="-8"/>
        </w:rPr>
        <w:t>a</w:t>
      </w:r>
      <w:r>
        <w:rPr>
          <w:rFonts w:ascii="SimSun" w:hAnsi="SimSun" w:eastAsia="SimSun" w:cs="SimSun"/>
          <w:sz w:val="24"/>
          <w:szCs w:val="24"/>
          <w:spacing w:val="-8"/>
        </w:rPr>
        <w:t>、风化裂隙较发育，含水层分布相对比较连续，单井出水量一般小于</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8"/>
        </w:rPr>
        <w:t>10 m</w:t>
      </w:r>
      <w:r>
        <w:rPr>
          <w:rFonts w:ascii="Times New Roman" w:hAnsi="Times New Roman" w:eastAsia="Times New Roman" w:cs="Times New Roman"/>
          <w:sz w:val="15"/>
          <w:szCs w:val="15"/>
          <w:spacing w:val="-8"/>
          <w:position w:val="8"/>
        </w:rPr>
        <w:t>3</w:t>
      </w:r>
      <w:r>
        <w:rPr>
          <w:rFonts w:ascii="Times New Roman" w:hAnsi="Times New Roman" w:eastAsia="Times New Roman" w:cs="Times New Roman"/>
          <w:sz w:val="24"/>
          <w:szCs w:val="24"/>
          <w:spacing w:val="-8"/>
        </w:rPr>
        <w:t>/d</w:t>
      </w:r>
      <w:r>
        <w:rPr>
          <w:rFonts w:ascii="SimSun" w:hAnsi="SimSun" w:eastAsia="SimSun" w:cs="SimSun"/>
          <w:sz w:val="24"/>
          <w:szCs w:val="24"/>
          <w:spacing w:val="-8"/>
        </w:rPr>
        <w:t>，</w:t>
      </w:r>
      <w:r>
        <w:rPr>
          <w:rFonts w:ascii="SimSun" w:hAnsi="SimSun" w:eastAsia="SimSun" w:cs="SimSun"/>
          <w:sz w:val="24"/>
          <w:szCs w:val="24"/>
        </w:rPr>
        <w:t xml:space="preserve"> </w:t>
      </w:r>
      <w:r>
        <w:rPr>
          <w:rFonts w:ascii="SimSun" w:hAnsi="SimSun" w:eastAsia="SimSun" w:cs="SimSun"/>
          <w:sz w:val="24"/>
          <w:szCs w:val="24"/>
          <w:spacing w:val="-1"/>
        </w:rPr>
        <w:t>仍然可以作为较小居民点的人畜供水井。</w:t>
      </w:r>
    </w:p>
    <w:p>
      <w:pPr>
        <w:ind w:left="12" w:right="179" w:firstLine="467"/>
        <w:spacing w:before="182" w:line="290" w:lineRule="auto"/>
        <w:rPr>
          <w:rFonts w:ascii="SimSun" w:hAnsi="SimSun" w:eastAsia="SimSun" w:cs="SimSun"/>
          <w:sz w:val="24"/>
          <w:szCs w:val="24"/>
        </w:rPr>
      </w:pPr>
      <w:r>
        <w:rPr>
          <w:rFonts w:ascii="Times New Roman" w:hAnsi="Times New Roman" w:eastAsia="Times New Roman" w:cs="Times New Roman"/>
          <w:sz w:val="24"/>
          <w:szCs w:val="24"/>
          <w:spacing w:val="-1"/>
        </w:rPr>
        <w:t>b</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1"/>
        </w:rPr>
        <w:t>、在潜水径流途中如遇花岗岩体阻扼，地下水便富集而形成</w:t>
      </w:r>
      <w:r>
        <w:rPr>
          <w:rFonts w:ascii="Times New Roman" w:hAnsi="Times New Roman" w:eastAsia="Times New Roman" w:cs="Times New Roman"/>
          <w:sz w:val="24"/>
          <w:szCs w:val="24"/>
          <w:spacing w:val="-1"/>
        </w:rPr>
        <w:t>“</w:t>
      </w:r>
      <w:r>
        <w:rPr>
          <w:rFonts w:ascii="SimSun" w:hAnsi="SimSun" w:eastAsia="SimSun" w:cs="SimSun"/>
          <w:sz w:val="24"/>
          <w:szCs w:val="24"/>
          <w:spacing w:val="-1"/>
        </w:rPr>
        <w:t>基岩阻水型蓄</w:t>
      </w:r>
      <w:r>
        <w:rPr>
          <w:rFonts w:ascii="SimSun" w:hAnsi="SimSun" w:eastAsia="SimSun" w:cs="SimSun"/>
          <w:sz w:val="24"/>
          <w:szCs w:val="24"/>
        </w:rPr>
        <w:t xml:space="preserve"> </w:t>
      </w:r>
      <w:r>
        <w:rPr>
          <w:rFonts w:ascii="SimSun" w:hAnsi="SimSun" w:eastAsia="SimSun" w:cs="SimSun"/>
          <w:sz w:val="24"/>
          <w:szCs w:val="24"/>
          <w:spacing w:val="-3"/>
        </w:rPr>
        <w:t>水构造</w:t>
      </w:r>
      <w:r>
        <w:rPr>
          <w:rFonts w:ascii="Times New Roman" w:hAnsi="Times New Roman" w:eastAsia="Times New Roman" w:cs="Times New Roman"/>
          <w:sz w:val="24"/>
          <w:szCs w:val="24"/>
          <w:spacing w:val="-3"/>
        </w:rPr>
        <w:t>”</w:t>
      </w:r>
      <w:r>
        <w:rPr>
          <w:rFonts w:ascii="SimSun" w:hAnsi="SimSun" w:eastAsia="SimSun" w:cs="SimSun"/>
          <w:sz w:val="24"/>
          <w:szCs w:val="24"/>
          <w:spacing w:val="-3"/>
        </w:rPr>
        <w:t>。</w:t>
      </w:r>
    </w:p>
    <w:p>
      <w:pPr>
        <w:ind w:left="28" w:right="117" w:firstLine="460"/>
        <w:spacing w:before="184" w:line="289" w:lineRule="auto"/>
        <w:rPr>
          <w:rFonts w:ascii="SimSun" w:hAnsi="SimSun" w:eastAsia="SimSun" w:cs="SimSun"/>
          <w:sz w:val="24"/>
          <w:szCs w:val="24"/>
        </w:rPr>
      </w:pPr>
      <w:r>
        <w:rPr>
          <w:rFonts w:ascii="Times New Roman" w:hAnsi="Times New Roman" w:eastAsia="Times New Roman" w:cs="Times New Roman"/>
          <w:sz w:val="24"/>
          <w:szCs w:val="24"/>
          <w:spacing w:val="-3"/>
        </w:rPr>
        <w:t>c</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3"/>
        </w:rPr>
        <w:t>、钾长石英斑岩岩性脆硬，节理裂隙比较发育，易接受大气降水入渗补给，</w:t>
      </w:r>
      <w:r>
        <w:rPr>
          <w:rFonts w:ascii="SimSun" w:hAnsi="SimSun" w:eastAsia="SimSun" w:cs="SimSun"/>
          <w:sz w:val="24"/>
          <w:szCs w:val="24"/>
        </w:rPr>
        <w:t xml:space="preserve"> </w:t>
      </w:r>
      <w:r>
        <w:rPr>
          <w:rFonts w:ascii="SimSun" w:hAnsi="SimSun" w:eastAsia="SimSun" w:cs="SimSun"/>
          <w:sz w:val="24"/>
          <w:szCs w:val="24"/>
          <w:spacing w:val="-1"/>
        </w:rPr>
        <w:t>因而其分布范围内泉水露头较多，流量一般大</w:t>
      </w:r>
      <w:r>
        <w:rPr>
          <w:rFonts w:ascii="SimSun" w:hAnsi="SimSun" w:eastAsia="SimSun" w:cs="SimSun"/>
          <w:sz w:val="24"/>
          <w:szCs w:val="24"/>
          <w:spacing w:val="-2"/>
        </w:rPr>
        <w:t>于</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30m</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p>
    <w:p>
      <w:pPr>
        <w:ind w:left="485"/>
        <w:spacing w:before="184" w:line="219" w:lineRule="auto"/>
        <w:rPr>
          <w:rFonts w:ascii="SimSun" w:hAnsi="SimSun" w:eastAsia="SimSun" w:cs="SimSun"/>
          <w:sz w:val="24"/>
          <w:szCs w:val="24"/>
        </w:rPr>
      </w:pP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、区域地下水的补给和排泄</w:t>
      </w:r>
    </w:p>
    <w:p>
      <w:pPr>
        <w:ind w:left="501"/>
        <w:spacing w:before="183"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）区域地下水的补给</w:t>
      </w:r>
    </w:p>
    <w:p>
      <w:pPr>
        <w:ind w:left="9" w:right="92" w:firstLine="497"/>
        <w:spacing w:before="183" w:line="360" w:lineRule="auto"/>
        <w:rPr>
          <w:rFonts w:ascii="SimSun" w:hAnsi="SimSun" w:eastAsia="SimSun" w:cs="SimSun"/>
          <w:sz w:val="24"/>
          <w:szCs w:val="24"/>
        </w:rPr>
      </w:pPr>
      <w:r>
        <w:rPr>
          <w:rFonts w:ascii="SimSun" w:hAnsi="SimSun" w:eastAsia="SimSun" w:cs="SimSun"/>
          <w:sz w:val="24"/>
          <w:szCs w:val="24"/>
          <w:spacing w:val="-1"/>
        </w:rPr>
        <w:t>区域地下水的主要补给来源有两种。一是大气降水，降雨的补给强度大，但</w:t>
      </w:r>
      <w:r>
        <w:rPr>
          <w:rFonts w:ascii="SimSun" w:hAnsi="SimSun" w:eastAsia="SimSun" w:cs="SimSun"/>
          <w:sz w:val="24"/>
          <w:szCs w:val="24"/>
          <w:spacing w:val="4"/>
        </w:rPr>
        <w:t xml:space="preserve"> </w:t>
      </w:r>
      <w:r>
        <w:rPr>
          <w:rFonts w:ascii="SimSun" w:hAnsi="SimSun" w:eastAsia="SimSun" w:cs="SimSun"/>
          <w:sz w:val="24"/>
          <w:szCs w:val="24"/>
          <w:spacing w:val="-3"/>
        </w:rPr>
        <w:t>补给时间短。本区年均降水量</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3"/>
        </w:rPr>
        <w:t>363mm</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，多以暴雨形式集中在</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7</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8</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9 </w:t>
      </w:r>
      <w:r>
        <w:rPr>
          <w:rFonts w:ascii="SimSun" w:hAnsi="SimSun" w:eastAsia="SimSun" w:cs="SimSun"/>
          <w:sz w:val="24"/>
          <w:szCs w:val="24"/>
          <w:spacing w:val="-3"/>
        </w:rPr>
        <w:t>三个月内出</w:t>
      </w:r>
      <w:r>
        <w:rPr>
          <w:rFonts w:ascii="SimSun" w:hAnsi="SimSun" w:eastAsia="SimSun" w:cs="SimSun"/>
          <w:sz w:val="24"/>
          <w:szCs w:val="24"/>
        </w:rPr>
        <w:t xml:space="preserve"> </w:t>
      </w:r>
      <w:r>
        <w:rPr>
          <w:rFonts w:ascii="SimSun" w:hAnsi="SimSun" w:eastAsia="SimSun" w:cs="SimSun"/>
          <w:sz w:val="24"/>
          <w:szCs w:val="24"/>
          <w:spacing w:val="-1"/>
        </w:rPr>
        <w:t>现；二是地下水的径流补给。</w:t>
      </w:r>
    </w:p>
    <w:p>
      <w:pPr>
        <w:ind w:left="501"/>
        <w:spacing w:before="1"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）区域地下水排泄</w:t>
      </w:r>
    </w:p>
    <w:p>
      <w:pPr>
        <w:ind w:left="9" w:right="61" w:firstLine="480"/>
        <w:spacing w:before="183" w:line="361" w:lineRule="auto"/>
        <w:rPr>
          <w:rFonts w:ascii="SimSun" w:hAnsi="SimSun" w:eastAsia="SimSun" w:cs="SimSun"/>
          <w:sz w:val="24"/>
          <w:szCs w:val="24"/>
        </w:rPr>
      </w:pPr>
      <w:r>
        <w:rPr>
          <w:rFonts w:ascii="SimSun" w:hAnsi="SimSun" w:eastAsia="SimSun" w:cs="SimSun"/>
          <w:sz w:val="24"/>
          <w:szCs w:val="24"/>
          <w:spacing w:val="3"/>
        </w:rPr>
        <w:t>地下水的排泄方式主要为四种。一是蒸发排泄，本区属干旱</w:t>
      </w:r>
      <w:r>
        <w:rPr>
          <w:rFonts w:ascii="SimSun" w:hAnsi="SimSun" w:eastAsia="SimSun" w:cs="SimSun"/>
          <w:sz w:val="24"/>
          <w:szCs w:val="24"/>
          <w:spacing w:val="2"/>
        </w:rPr>
        <w:t>区，蒸发强度较</w:t>
      </w:r>
      <w:r>
        <w:rPr>
          <w:rFonts w:ascii="SimSun" w:hAnsi="SimSun" w:eastAsia="SimSun" w:cs="SimSun"/>
          <w:sz w:val="24"/>
          <w:szCs w:val="24"/>
        </w:rPr>
        <w:t xml:space="preserve"> </w:t>
      </w:r>
      <w:r>
        <w:rPr>
          <w:rFonts w:ascii="SimSun" w:hAnsi="SimSun" w:eastAsia="SimSun" w:cs="SimSun"/>
          <w:sz w:val="24"/>
          <w:szCs w:val="24"/>
          <w:spacing w:val="-4"/>
        </w:rPr>
        <w:t>大，年均蒸发量为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1884mm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4"/>
        </w:rPr>
        <w:t>。因此，蒸发排泄是本区地下</w:t>
      </w:r>
      <w:r>
        <w:rPr>
          <w:rFonts w:ascii="SimSun" w:hAnsi="SimSun" w:eastAsia="SimSun" w:cs="SimSun"/>
          <w:sz w:val="24"/>
          <w:szCs w:val="24"/>
          <w:spacing w:val="-5"/>
        </w:rPr>
        <w:t>水的主要排泄方式；二是</w:t>
      </w:r>
      <w:r>
        <w:rPr>
          <w:rFonts w:ascii="SimSun" w:hAnsi="SimSun" w:eastAsia="SimSun" w:cs="SimSun"/>
          <w:sz w:val="24"/>
          <w:szCs w:val="24"/>
        </w:rPr>
        <w:t xml:space="preserve"> </w:t>
      </w:r>
      <w:r>
        <w:rPr>
          <w:rFonts w:ascii="SimSun" w:hAnsi="SimSun" w:eastAsia="SimSun" w:cs="SimSun"/>
          <w:sz w:val="24"/>
          <w:szCs w:val="24"/>
          <w:spacing w:val="3"/>
        </w:rPr>
        <w:t>地下水以径流的方式排泄于区外；三是以泉水的形</w:t>
      </w:r>
      <w:r>
        <w:rPr>
          <w:rFonts w:ascii="SimSun" w:hAnsi="SimSun" w:eastAsia="SimSun" w:cs="SimSun"/>
          <w:sz w:val="24"/>
          <w:szCs w:val="24"/>
          <w:spacing w:val="2"/>
        </w:rPr>
        <w:t>式排泄；四是人畜的饮用及工</w:t>
      </w:r>
      <w:r>
        <w:rPr>
          <w:rFonts w:ascii="SimSun" w:hAnsi="SimSun" w:eastAsia="SimSun" w:cs="SimSun"/>
          <w:sz w:val="24"/>
          <w:szCs w:val="24"/>
        </w:rPr>
        <w:t xml:space="preserve"> </w:t>
      </w:r>
      <w:r>
        <w:rPr>
          <w:rFonts w:ascii="SimSun" w:hAnsi="SimSun" w:eastAsia="SimSun" w:cs="SimSun"/>
          <w:sz w:val="24"/>
          <w:szCs w:val="24"/>
          <w:spacing w:val="-2"/>
        </w:rPr>
        <w:t>农业用水。</w:t>
      </w:r>
    </w:p>
    <w:p>
      <w:pPr>
        <w:spacing w:line="361" w:lineRule="auto"/>
        <w:sectPr>
          <w:footerReference w:type="default" r:id="rId237"/>
          <w:pgSz w:w="11906" w:h="16839"/>
          <w:pgMar w:top="1567" w:right="1639" w:bottom="1811" w:left="1701" w:header="1221" w:footer="1128" w:gutter="0"/>
        </w:sectPr>
        <w:rPr>
          <w:rFonts w:ascii="SimSun" w:hAnsi="SimSun" w:eastAsia="SimSun" w:cs="SimSun"/>
          <w:sz w:val="24"/>
          <w:szCs w:val="24"/>
        </w:rPr>
      </w:pPr>
    </w:p>
    <w:p>
      <w:pPr>
        <w:ind w:firstLine="298"/>
        <w:spacing w:before="150" w:line="7901" w:lineRule="exact"/>
        <w:rPr/>
      </w:pPr>
      <w:r>
        <w:pict>
          <v:shape id="_x0000_s876" style="position:absolute;margin-left:85.05pt;margin-top:79.11pt;mso-position-vertical-relative:page;mso-position-horizontal-relative:page;width:671.8pt;height:0.75pt;z-index:252046336;" o:allowincell="f" fillcolor="#000000" filled="true" stroked="false" coordsize="13435,15" coordorigin="0,0" path="m,l13435,0l13435,14l0,14l0,0xe"/>
        </w:pict>
      </w:r>
      <w:r>
        <w:rPr>
          <w:position w:val="-158"/>
        </w:rPr>
        <w:drawing>
          <wp:inline distT="0" distB="0" distL="0" distR="0">
            <wp:extent cx="8136635" cy="5017008"/>
            <wp:effectExtent l="0" t="0" r="0" b="0"/>
            <wp:docPr id="132" name="IM 132"/>
            <wp:cNvGraphicFramePr/>
            <a:graphic>
              <a:graphicData uri="http://schemas.openxmlformats.org/drawingml/2006/picture">
                <pic:pic>
                  <pic:nvPicPr>
                    <pic:cNvPr id="132" name="IM 132"/>
                    <pic:cNvPicPr/>
                  </pic:nvPicPr>
                  <pic:blipFill>
                    <a:blip r:embed="rId238"/>
                    <a:stretch>
                      <a:fillRect/>
                    </a:stretch>
                  </pic:blipFill>
                  <pic:spPr>
                    <a:xfrm rot="0">
                      <a:off x="0" y="0"/>
                      <a:ext cx="8136635" cy="5017008"/>
                    </a:xfrm>
                    <a:prstGeom prst="rect">
                      <a:avLst/>
                    </a:prstGeom>
                  </pic:spPr>
                </pic:pic>
              </a:graphicData>
            </a:graphic>
          </wp:inline>
        </w:drawing>
      </w:r>
    </w:p>
    <w:p>
      <w:pPr>
        <w:ind w:left="5327"/>
        <w:spacing w:before="56" w:line="219" w:lineRule="auto"/>
        <w:rPr>
          <w:rFonts w:ascii="SimSun" w:hAnsi="SimSun" w:eastAsia="SimSun" w:cs="SimSun"/>
          <w:sz w:val="24"/>
          <w:szCs w:val="24"/>
        </w:rPr>
      </w:pPr>
      <w:r>
        <w:rPr>
          <w:rFonts w:ascii="SimSun" w:hAnsi="SimSun" w:eastAsia="SimSun" w:cs="SimSun"/>
          <w:sz w:val="24"/>
          <w:szCs w:val="24"/>
          <w:b/>
          <w:bCs/>
          <w:spacing w:val="-7"/>
        </w:rPr>
        <w:t>图</w:t>
      </w:r>
      <w:r>
        <w:rPr>
          <w:rFonts w:ascii="SimSun" w:hAnsi="SimSun" w:eastAsia="SimSun" w:cs="SimSun"/>
          <w:sz w:val="24"/>
          <w:szCs w:val="24"/>
          <w:spacing w:val="-47"/>
        </w:rPr>
        <w:t xml:space="preserve"> </w:t>
      </w:r>
      <w:r>
        <w:rPr>
          <w:rFonts w:ascii="Times New Roman" w:hAnsi="Times New Roman" w:eastAsia="Times New Roman" w:cs="Times New Roman"/>
          <w:sz w:val="24"/>
          <w:szCs w:val="24"/>
          <w:b/>
          <w:bCs/>
          <w:spacing w:val="-7"/>
        </w:rPr>
        <w:t>5.3-3</w:t>
      </w:r>
      <w:r>
        <w:rPr>
          <w:rFonts w:ascii="Times New Roman" w:hAnsi="Times New Roman" w:eastAsia="Times New Roman" w:cs="Times New Roman"/>
          <w:sz w:val="24"/>
          <w:szCs w:val="24"/>
          <w:b/>
          <w:bCs/>
          <w:spacing w:val="4"/>
        </w:rPr>
        <w:t xml:space="preserve">      </w:t>
      </w:r>
      <w:r>
        <w:rPr>
          <w:rFonts w:ascii="SimSun" w:hAnsi="SimSun" w:eastAsia="SimSun" w:cs="SimSun"/>
          <w:sz w:val="24"/>
          <w:szCs w:val="24"/>
          <w:b/>
          <w:bCs/>
          <w:spacing w:val="-7"/>
        </w:rPr>
        <w:t>区域水文地质图</w:t>
      </w:r>
    </w:p>
    <w:p>
      <w:pPr>
        <w:pStyle w:val="BodyText"/>
        <w:spacing w:line="399" w:lineRule="auto"/>
        <w:rPr/>
      </w:pPr>
      <w:r/>
    </w:p>
    <w:p>
      <w:pPr>
        <w:ind w:left="7"/>
        <w:spacing w:before="61" w:line="227" w:lineRule="auto"/>
        <w:rPr>
          <w:rFonts w:ascii="Times New Roman" w:hAnsi="Times New Roman" w:eastAsia="Times New Roman" w:cs="Times New Roman"/>
          <w:sz w:val="18"/>
          <w:szCs w:val="18"/>
        </w:rPr>
      </w:pPr>
      <w:r>
        <w:rPr>
          <w:rFonts w:ascii="SimSun" w:hAnsi="SimSun" w:eastAsia="SimSun" w:cs="SimSun"/>
          <w:sz w:val="19"/>
          <w:szCs w:val="19"/>
          <w:spacing w:val="6"/>
        </w:rPr>
        <w:t>锡林郭勒盟中安环境技术咨询有限责任公司                            </w:t>
      </w:r>
      <w:r>
        <w:rPr>
          <w:rFonts w:ascii="Times New Roman" w:hAnsi="Times New Roman" w:eastAsia="Times New Roman" w:cs="Times New Roman"/>
          <w:sz w:val="18"/>
          <w:szCs w:val="18"/>
          <w:spacing w:val="6"/>
          <w:position w:val="2"/>
        </w:rPr>
        <w:t>179</w:t>
      </w:r>
    </w:p>
    <w:p>
      <w:pPr>
        <w:spacing w:line="227" w:lineRule="auto"/>
        <w:sectPr>
          <w:headerReference w:type="default" r:id="rId231"/>
          <w:footerReference w:type="default" r:id="rId3"/>
          <w:pgSz w:w="16839" w:h="11906"/>
          <w:pgMar w:top="1567" w:right="1701" w:bottom="400" w:left="1701" w:header="1221" w:footer="0" w:gutter="0"/>
        </w:sectPr>
        <w:rPr>
          <w:rFonts w:ascii="Times New Roman" w:hAnsi="Times New Roman" w:eastAsia="Times New Roman" w:cs="Times New Roman"/>
          <w:sz w:val="18"/>
          <w:szCs w:val="18"/>
        </w:rPr>
      </w:pPr>
    </w:p>
    <w:p>
      <w:pPr>
        <w:ind w:left="8"/>
        <w:spacing w:before="247" w:line="218" w:lineRule="auto"/>
        <w:outlineLvl w:val="3"/>
        <w:rPr>
          <w:rFonts w:ascii="SimSun" w:hAnsi="SimSun" w:eastAsia="SimSun" w:cs="SimSun"/>
          <w:sz w:val="24"/>
          <w:szCs w:val="24"/>
        </w:rPr>
      </w:pPr>
      <w:r>
        <w:pict>
          <v:shape id="_x0000_s878" style="position:absolute;margin-left:85.05pt;margin-top:78.87pt;mso-position-vertical-relative:page;mso-position-horizontal-relative:page;width:425.25pt;height:0.75pt;z-index:252048384;" o:allowincell="f" fillcolor="#000000" filled="true" stroked="false" coordsize="8505,15" coordorigin="0,0" path="m,l8504,0l8504,14l0,14l0,0xe"/>
        </w:pict>
      </w:r>
      <w:r>
        <w:rPr>
          <w:rFonts w:ascii="Times New Roman" w:hAnsi="Times New Roman" w:eastAsia="Times New Roman" w:cs="Times New Roman"/>
          <w:sz w:val="24"/>
          <w:szCs w:val="24"/>
          <w:b/>
          <w:bCs/>
          <w:spacing w:val="-2"/>
        </w:rPr>
        <w:t>5.3.1.3 </w:t>
      </w:r>
      <w:r>
        <w:rPr>
          <w:rFonts w:ascii="SimSun" w:hAnsi="SimSun" w:eastAsia="SimSun" w:cs="SimSun"/>
          <w:sz w:val="24"/>
          <w:szCs w:val="24"/>
          <w:b/>
          <w:bCs/>
          <w:spacing w:val="-2"/>
        </w:rPr>
        <w:t>评价区地质条件</w:t>
      </w:r>
    </w:p>
    <w:p>
      <w:pPr>
        <w:ind w:left="501"/>
        <w:spacing w:before="185"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）地下水类型及富水性</w:t>
      </w:r>
    </w:p>
    <w:p>
      <w:pPr>
        <w:ind w:left="8" w:right="80" w:firstLine="480"/>
        <w:spacing w:before="182" w:line="360" w:lineRule="auto"/>
        <w:rPr>
          <w:rFonts w:ascii="SimSun" w:hAnsi="SimSun" w:eastAsia="SimSun" w:cs="SimSun"/>
          <w:sz w:val="24"/>
          <w:szCs w:val="24"/>
        </w:rPr>
      </w:pPr>
      <w:r>
        <w:rPr>
          <w:rFonts w:ascii="SimSun" w:hAnsi="SimSun" w:eastAsia="SimSun" w:cs="SimSun"/>
          <w:sz w:val="24"/>
          <w:szCs w:val="24"/>
          <w:spacing w:val="3"/>
        </w:rPr>
        <w:t>根据地下水赋存条件，将评价区地下水类型分为第四系松散</w:t>
      </w:r>
      <w:r>
        <w:rPr>
          <w:rFonts w:ascii="SimSun" w:hAnsi="SimSun" w:eastAsia="SimSun" w:cs="SimSun"/>
          <w:sz w:val="24"/>
          <w:szCs w:val="24"/>
          <w:spacing w:val="2"/>
        </w:rPr>
        <w:t>岩类孔隙潜水、</w:t>
      </w:r>
      <w:r>
        <w:rPr>
          <w:rFonts w:ascii="SimSun" w:hAnsi="SimSun" w:eastAsia="SimSun" w:cs="SimSun"/>
          <w:sz w:val="24"/>
          <w:szCs w:val="24"/>
        </w:rPr>
        <w:t xml:space="preserve"> </w:t>
      </w:r>
      <w:r>
        <w:rPr>
          <w:rFonts w:ascii="SimSun" w:hAnsi="SimSun" w:eastAsia="SimSun" w:cs="SimSun"/>
          <w:sz w:val="24"/>
          <w:szCs w:val="24"/>
          <w:spacing w:val="2"/>
        </w:rPr>
        <w:t>碎屑岩类裂隙孔隙水及基岩裂隙水</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3 </w:t>
      </w:r>
      <w:r>
        <w:rPr>
          <w:rFonts w:ascii="SimSun" w:hAnsi="SimSun" w:eastAsia="SimSun" w:cs="SimSun"/>
          <w:sz w:val="24"/>
          <w:szCs w:val="24"/>
          <w:spacing w:val="2"/>
        </w:rPr>
        <w:t>种类型，其中与本项目关系密切的主要为第</w:t>
      </w:r>
      <w:r>
        <w:rPr>
          <w:rFonts w:ascii="SimSun" w:hAnsi="SimSun" w:eastAsia="SimSun" w:cs="SimSun"/>
          <w:sz w:val="24"/>
          <w:szCs w:val="24"/>
        </w:rPr>
        <w:t xml:space="preserve"> </w:t>
      </w:r>
      <w:r>
        <w:rPr>
          <w:rFonts w:ascii="SimSun" w:hAnsi="SimSun" w:eastAsia="SimSun" w:cs="SimSun"/>
          <w:sz w:val="24"/>
          <w:szCs w:val="24"/>
          <w:spacing w:val="-1"/>
        </w:rPr>
        <w:t>四系松散岩类孔隙潜水。分述如下：</w:t>
      </w:r>
    </w:p>
    <w:p>
      <w:pPr>
        <w:ind w:left="488"/>
        <w:spacing w:line="217" w:lineRule="auto"/>
        <w:rPr>
          <w:rFonts w:ascii="SimSun" w:hAnsi="SimSun" w:eastAsia="SimSun" w:cs="SimSun"/>
          <w:sz w:val="24"/>
          <w:szCs w:val="24"/>
        </w:rPr>
      </w:pPr>
      <w:r>
        <w:rPr>
          <w:rFonts w:ascii="SimSun" w:hAnsi="SimSun" w:eastAsia="SimSun" w:cs="SimSun"/>
          <w:sz w:val="24"/>
          <w:szCs w:val="24"/>
          <w:spacing w:val="-1"/>
        </w:rPr>
        <w:t>①第四系松散岩类孔隙水</w:t>
      </w:r>
    </w:p>
    <w:p>
      <w:pPr>
        <w:ind w:left="8" w:firstLine="2"/>
        <w:spacing w:before="184" w:line="360" w:lineRule="auto"/>
        <w:rPr>
          <w:rFonts w:ascii="SimSun" w:hAnsi="SimSun" w:eastAsia="SimSun" w:cs="SimSun"/>
          <w:sz w:val="24"/>
          <w:szCs w:val="24"/>
        </w:rPr>
      </w:pPr>
      <w:r>
        <w:rPr>
          <w:rFonts w:ascii="SimSun" w:hAnsi="SimSun" w:eastAsia="SimSun" w:cs="SimSun"/>
          <w:sz w:val="24"/>
          <w:szCs w:val="24"/>
          <w:spacing w:val="3"/>
        </w:rPr>
        <w:t>呈条带状分布在评价区的沟谷之中。赋存于第四系全系统、上更新统冲洪积砂、</w:t>
      </w:r>
      <w:r>
        <w:rPr>
          <w:rFonts w:ascii="SimSun" w:hAnsi="SimSun" w:eastAsia="SimSun" w:cs="SimSun"/>
          <w:sz w:val="24"/>
          <w:szCs w:val="24"/>
          <w:spacing w:val="11"/>
        </w:rPr>
        <w:t xml:space="preserve"> </w:t>
      </w:r>
      <w:r>
        <w:rPr>
          <w:rFonts w:ascii="SimSun" w:hAnsi="SimSun" w:eastAsia="SimSun" w:cs="SimSun"/>
          <w:sz w:val="24"/>
          <w:szCs w:val="24"/>
          <w:spacing w:val="-3"/>
        </w:rPr>
        <w:t>砂砾石层中。含水层底板为新近系泥岩，地下水位埋深平均</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6.72m</w:t>
      </w:r>
      <w:r>
        <w:rPr>
          <w:rFonts w:ascii="SimSun" w:hAnsi="SimSun" w:eastAsia="SimSun" w:cs="SimSun"/>
          <w:sz w:val="24"/>
          <w:szCs w:val="24"/>
          <w:spacing w:val="-3"/>
        </w:rPr>
        <w:t>，其中靠近沟谷</w:t>
      </w:r>
      <w:r>
        <w:rPr>
          <w:rFonts w:ascii="SimSun" w:hAnsi="SimSun" w:eastAsia="SimSun" w:cs="SimSun"/>
          <w:sz w:val="24"/>
          <w:szCs w:val="24"/>
        </w:rPr>
        <w:t xml:space="preserve"> </w:t>
      </w:r>
      <w:r>
        <w:rPr>
          <w:rFonts w:ascii="SimSun" w:hAnsi="SimSun" w:eastAsia="SimSun" w:cs="SimSun"/>
          <w:sz w:val="24"/>
          <w:szCs w:val="24"/>
          <w:spacing w:val="-10"/>
        </w:rPr>
        <w:t>中心埋深多小于</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0"/>
        </w:rPr>
        <w:t>5m</w:t>
      </w:r>
      <w:r>
        <w:rPr>
          <w:rFonts w:ascii="SimSun" w:hAnsi="SimSun" w:eastAsia="SimSun" w:cs="SimSun"/>
          <w:sz w:val="24"/>
          <w:szCs w:val="24"/>
          <w:spacing w:val="-10"/>
        </w:rPr>
        <w:t>，向沟谷两侧埋深增大，最</w:t>
      </w:r>
      <w:r>
        <w:rPr>
          <w:rFonts w:ascii="SimSun" w:hAnsi="SimSun" w:eastAsia="SimSun" w:cs="SimSun"/>
          <w:sz w:val="24"/>
          <w:szCs w:val="24"/>
          <w:spacing w:val="-11"/>
        </w:rPr>
        <w:t>大约为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11"/>
        </w:rPr>
        <w:t>17.63m</w:t>
      </w:r>
      <w:r>
        <w:rPr>
          <w:rFonts w:ascii="SimSun" w:hAnsi="SimSun" w:eastAsia="SimSun" w:cs="SimSun"/>
          <w:sz w:val="24"/>
          <w:szCs w:val="24"/>
          <w:spacing w:val="-11"/>
        </w:rPr>
        <w:t>，含水层厚度为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1"/>
        </w:rPr>
        <w:t>2~5m</w:t>
      </w:r>
      <w:r>
        <w:rPr>
          <w:rFonts w:ascii="SimSun" w:hAnsi="SimSun" w:eastAsia="SimSun" w:cs="SimSun"/>
          <w:sz w:val="24"/>
          <w:szCs w:val="24"/>
          <w:spacing w:val="-11"/>
        </w:rPr>
        <w:t>。</w:t>
      </w:r>
      <w:r>
        <w:rPr>
          <w:rFonts w:ascii="SimSun" w:hAnsi="SimSun" w:eastAsia="SimSun" w:cs="SimSun"/>
          <w:sz w:val="24"/>
          <w:szCs w:val="24"/>
        </w:rPr>
        <w:t xml:space="preserve"> </w:t>
      </w:r>
      <w:r>
        <w:rPr>
          <w:rFonts w:ascii="SimSun" w:hAnsi="SimSun" w:eastAsia="SimSun" w:cs="SimSun"/>
          <w:sz w:val="24"/>
          <w:szCs w:val="24"/>
        </w:rPr>
        <w:t>地下水富水性一般，涌水量为</w:t>
      </w:r>
      <w:r>
        <w:rPr>
          <w:rFonts w:ascii="SimSun" w:hAnsi="SimSun" w:eastAsia="SimSun" w:cs="SimSun"/>
          <w:sz w:val="24"/>
          <w:szCs w:val="24"/>
          <w:spacing w:val="-30"/>
        </w:rPr>
        <w:t xml:space="preserve"> </w:t>
      </w:r>
      <w:r>
        <w:rPr>
          <w:rFonts w:ascii="Times New Roman" w:hAnsi="Times New Roman" w:eastAsia="Times New Roman" w:cs="Times New Roman"/>
          <w:sz w:val="24"/>
          <w:szCs w:val="24"/>
        </w:rPr>
        <w:t>10~500m</w:t>
      </w:r>
      <w:r>
        <w:rPr>
          <w:rFonts w:ascii="Times New Roman" w:hAnsi="Times New Roman" w:eastAsia="Times New Roman" w:cs="Times New Roman"/>
          <w:sz w:val="15"/>
          <w:szCs w:val="15"/>
          <w:position w:val="8"/>
        </w:rPr>
        <w:t>3</w:t>
      </w:r>
      <w:r>
        <w:rPr>
          <w:rFonts w:ascii="Times New Roman" w:hAnsi="Times New Roman" w:eastAsia="Times New Roman" w:cs="Times New Roman"/>
          <w:sz w:val="24"/>
          <w:szCs w:val="24"/>
        </w:rPr>
        <w:t>/d</w:t>
      </w:r>
      <w:r>
        <w:rPr>
          <w:rFonts w:ascii="Times New Roman" w:hAnsi="Times New Roman" w:eastAsia="Times New Roman" w:cs="Times New Roman"/>
          <w:sz w:val="24"/>
          <w:szCs w:val="24"/>
          <w:spacing w:val="-25"/>
        </w:rPr>
        <w:t xml:space="preserve"> </w:t>
      </w:r>
      <w:r>
        <w:rPr>
          <w:rFonts w:ascii="SimSun" w:hAnsi="SimSun" w:eastAsia="SimSun" w:cs="SimSun"/>
          <w:sz w:val="24"/>
          <w:szCs w:val="24"/>
        </w:rPr>
        <w:t>。其中在低山丘</w:t>
      </w:r>
      <w:r>
        <w:rPr>
          <w:rFonts w:ascii="SimSun" w:hAnsi="SimSun" w:eastAsia="SimSun" w:cs="SimSun"/>
          <w:sz w:val="24"/>
          <w:szCs w:val="24"/>
          <w:spacing w:val="-1"/>
        </w:rPr>
        <w:t>陵向河谷过渡地带如调</w:t>
      </w:r>
      <w:r>
        <w:rPr>
          <w:rFonts w:ascii="SimSun" w:hAnsi="SimSun" w:eastAsia="SimSun" w:cs="SimSun"/>
          <w:sz w:val="24"/>
          <w:szCs w:val="24"/>
        </w:rPr>
        <w:t xml:space="preserve"> </w:t>
      </w:r>
      <w:r>
        <w:rPr>
          <w:rFonts w:ascii="SimSun" w:hAnsi="SimSun" w:eastAsia="SimSun" w:cs="SimSun"/>
          <w:sz w:val="24"/>
          <w:szCs w:val="24"/>
          <w:spacing w:val="-2"/>
        </w:rPr>
        <w:t>查评价区北部、南部富水性差，单井涌水量小于</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2"/>
        </w:rPr>
        <w:t>10m</w:t>
      </w:r>
      <w:r>
        <w:rPr>
          <w:rFonts w:ascii="SimSun" w:hAnsi="SimSun" w:eastAsia="SimSun" w:cs="SimSun"/>
          <w:sz w:val="24"/>
          <w:szCs w:val="24"/>
          <w:spacing w:val="-2"/>
        </w:rPr>
        <w:t>³</w:t>
      </w:r>
      <w:r>
        <w:rPr>
          <w:rFonts w:ascii="Times New Roman" w:hAnsi="Times New Roman" w:eastAsia="Times New Roman" w:cs="Times New Roman"/>
          <w:sz w:val="24"/>
          <w:szCs w:val="24"/>
          <w:spacing w:val="-2"/>
        </w:rPr>
        <w:t>/d,</w:t>
      </w:r>
      <w:r>
        <w:rPr>
          <w:rFonts w:ascii="SimSun" w:hAnsi="SimSun" w:eastAsia="SimSun" w:cs="SimSun"/>
          <w:sz w:val="24"/>
          <w:szCs w:val="24"/>
          <w:spacing w:val="-2"/>
        </w:rPr>
        <w:t>在贯穿于评价区的河谷地</w:t>
      </w:r>
      <w:r>
        <w:rPr>
          <w:rFonts w:ascii="SimSun" w:hAnsi="SimSun" w:eastAsia="SimSun" w:cs="SimSun"/>
          <w:sz w:val="24"/>
          <w:szCs w:val="24"/>
        </w:rPr>
        <w:t xml:space="preserve"> </w:t>
      </w:r>
      <w:r>
        <w:rPr>
          <w:rFonts w:ascii="SimSun" w:hAnsi="SimSun" w:eastAsia="SimSun" w:cs="SimSun"/>
          <w:sz w:val="24"/>
          <w:szCs w:val="24"/>
          <w:spacing w:val="-1"/>
        </w:rPr>
        <w:t>带单井涌水量在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10~500m</w:t>
      </w:r>
      <w:r>
        <w:rPr>
          <w:rFonts w:ascii="SimSun" w:hAnsi="SimSun" w:eastAsia="SimSun" w:cs="SimSun"/>
          <w:sz w:val="24"/>
          <w:szCs w:val="24"/>
          <w:spacing w:val="-1"/>
        </w:rPr>
        <w:t>³</w:t>
      </w:r>
      <w:r>
        <w:rPr>
          <w:rFonts w:ascii="Times New Roman" w:hAnsi="Times New Roman" w:eastAsia="Times New Roman" w:cs="Times New Roman"/>
          <w:sz w:val="24"/>
          <w:szCs w:val="24"/>
          <w:spacing w:val="-1"/>
        </w:rPr>
        <w:t>/d </w:t>
      </w:r>
      <w:r>
        <w:rPr>
          <w:rFonts w:ascii="SimSun" w:hAnsi="SimSun" w:eastAsia="SimSun" w:cs="SimSun"/>
          <w:sz w:val="24"/>
          <w:szCs w:val="24"/>
          <w:spacing w:val="-1"/>
        </w:rPr>
        <w:t>地之间，地</w:t>
      </w:r>
      <w:r>
        <w:rPr>
          <w:rFonts w:ascii="SimSun" w:hAnsi="SimSun" w:eastAsia="SimSun" w:cs="SimSun"/>
          <w:sz w:val="24"/>
          <w:szCs w:val="24"/>
          <w:spacing w:val="-2"/>
        </w:rPr>
        <w:t>下水矿化度为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0.8~</w:t>
      </w:r>
      <w:r>
        <w:rPr>
          <w:rFonts w:ascii="Times New Roman" w:hAnsi="Times New Roman" w:eastAsia="Times New Roman" w:cs="Times New Roman"/>
          <w:sz w:val="24"/>
          <w:szCs w:val="24"/>
          <w:spacing w:val="-33"/>
        </w:rPr>
        <w:t xml:space="preserve"> </w:t>
      </w:r>
      <w:r>
        <w:rPr>
          <w:rFonts w:ascii="Times New Roman" w:hAnsi="Times New Roman" w:eastAsia="Times New Roman" w:cs="Times New Roman"/>
          <w:sz w:val="24"/>
          <w:szCs w:val="24"/>
          <w:spacing w:val="-2"/>
        </w:rPr>
        <w:t>1.0g/L</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，地下水化学类</w:t>
      </w:r>
      <w:r>
        <w:rPr>
          <w:rFonts w:ascii="SimSun" w:hAnsi="SimSun" w:eastAsia="SimSun" w:cs="SimSun"/>
          <w:sz w:val="24"/>
          <w:szCs w:val="24"/>
        </w:rPr>
        <w:t xml:space="preserve"> </w:t>
      </w:r>
      <w:r>
        <w:rPr>
          <w:rFonts w:ascii="SimSun" w:hAnsi="SimSun" w:eastAsia="SimSun" w:cs="SimSun"/>
          <w:sz w:val="24"/>
          <w:szCs w:val="24"/>
          <w:spacing w:val="-5"/>
        </w:rPr>
        <w:t>型为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5"/>
        </w:rPr>
        <w:t>HCO</w:t>
      </w:r>
      <w:r>
        <w:rPr>
          <w:rFonts w:ascii="Times New Roman" w:hAnsi="Times New Roman" w:eastAsia="Times New Roman" w:cs="Times New Roman"/>
          <w:sz w:val="15"/>
          <w:szCs w:val="15"/>
          <w:spacing w:val="-5"/>
          <w:position w:val="-1"/>
        </w:rPr>
        <w:t>3</w:t>
      </w:r>
      <w:r>
        <w:rPr>
          <w:rFonts w:ascii="Times New Roman" w:hAnsi="Times New Roman" w:eastAsia="Times New Roman" w:cs="Times New Roman"/>
          <w:sz w:val="24"/>
          <w:szCs w:val="24"/>
          <w:spacing w:val="-5"/>
        </w:rPr>
        <w:t>·SO</w:t>
      </w:r>
      <w:r>
        <w:rPr>
          <w:rFonts w:ascii="Times New Roman" w:hAnsi="Times New Roman" w:eastAsia="Times New Roman" w:cs="Times New Roman"/>
          <w:sz w:val="15"/>
          <w:szCs w:val="15"/>
          <w:spacing w:val="-5"/>
        </w:rPr>
        <w:t>4</w:t>
      </w:r>
      <w:r>
        <w:rPr>
          <w:rFonts w:ascii="Times New Roman" w:hAnsi="Times New Roman" w:eastAsia="Times New Roman" w:cs="Times New Roman"/>
          <w:sz w:val="24"/>
          <w:szCs w:val="24"/>
          <w:spacing w:val="-5"/>
        </w:rPr>
        <w:t>-Ca·Mg</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5"/>
        </w:rPr>
        <w:t>型。根据区域水文</w:t>
      </w:r>
      <w:r>
        <w:rPr>
          <w:rFonts w:ascii="SimSun" w:hAnsi="SimSun" w:eastAsia="SimSun" w:cs="SimSun"/>
          <w:sz w:val="24"/>
          <w:szCs w:val="24"/>
          <w:spacing w:val="-6"/>
        </w:rPr>
        <w:t>地质资料，含水层渗透系数约为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19.5m/d</w:t>
      </w:r>
      <w:r>
        <w:rPr>
          <w:rFonts w:ascii="SimSun" w:hAnsi="SimSun" w:eastAsia="SimSun" w:cs="SimSun"/>
          <w:sz w:val="24"/>
          <w:szCs w:val="24"/>
          <w:spacing w:val="-6"/>
        </w:rPr>
        <w:t>。</w:t>
      </w:r>
    </w:p>
    <w:p>
      <w:pPr>
        <w:ind w:left="488"/>
        <w:spacing w:before="1" w:line="217" w:lineRule="auto"/>
        <w:rPr>
          <w:rFonts w:ascii="SimSun" w:hAnsi="SimSun" w:eastAsia="SimSun" w:cs="SimSun"/>
          <w:sz w:val="24"/>
          <w:szCs w:val="24"/>
        </w:rPr>
      </w:pPr>
      <w:r>
        <w:rPr>
          <w:rFonts w:ascii="SimSun" w:hAnsi="SimSun" w:eastAsia="SimSun" w:cs="SimSun"/>
          <w:sz w:val="24"/>
          <w:szCs w:val="24"/>
          <w:spacing w:val="-1"/>
        </w:rPr>
        <w:t>②碎屑岩类裂隙孔隙水</w:t>
      </w:r>
    </w:p>
    <w:p>
      <w:pPr>
        <w:ind w:left="9" w:right="80" w:firstLine="480"/>
        <w:spacing w:before="186" w:line="360" w:lineRule="auto"/>
        <w:rPr>
          <w:rFonts w:ascii="SimSun" w:hAnsi="SimSun" w:eastAsia="SimSun" w:cs="SimSun"/>
          <w:sz w:val="24"/>
          <w:szCs w:val="24"/>
        </w:rPr>
      </w:pPr>
      <w:r>
        <w:rPr>
          <w:rFonts w:ascii="SimSun" w:hAnsi="SimSun" w:eastAsia="SimSun" w:cs="SimSun"/>
          <w:sz w:val="24"/>
          <w:szCs w:val="24"/>
          <w:spacing w:val="3"/>
        </w:rPr>
        <w:t>根据收集以往勘探资料，在调查评价区个别钻孔揭露碎屑岩</w:t>
      </w:r>
      <w:r>
        <w:rPr>
          <w:rFonts w:ascii="SimSun" w:hAnsi="SimSun" w:eastAsia="SimSun" w:cs="SimSun"/>
          <w:sz w:val="24"/>
          <w:szCs w:val="24"/>
          <w:spacing w:val="2"/>
        </w:rPr>
        <w:t>类孔隙裂隙水，</w:t>
      </w:r>
      <w:r>
        <w:rPr>
          <w:rFonts w:ascii="SimSun" w:hAnsi="SimSun" w:eastAsia="SimSun" w:cs="SimSun"/>
          <w:sz w:val="24"/>
          <w:szCs w:val="24"/>
        </w:rPr>
        <w:t xml:space="preserve"> </w:t>
      </w:r>
      <w:r>
        <w:rPr>
          <w:rFonts w:ascii="SimSun" w:hAnsi="SimSun" w:eastAsia="SimSun" w:cs="SimSun"/>
          <w:sz w:val="24"/>
          <w:szCs w:val="24"/>
          <w:spacing w:val="3"/>
        </w:rPr>
        <w:t>该含水层在评价区赋存在新近系上新统泥岩层以下</w:t>
      </w:r>
      <w:r>
        <w:rPr>
          <w:rFonts w:ascii="SimSun" w:hAnsi="SimSun" w:eastAsia="SimSun" w:cs="SimSun"/>
          <w:sz w:val="24"/>
          <w:szCs w:val="24"/>
          <w:spacing w:val="2"/>
        </w:rPr>
        <w:t>的细砂岩之中，属于碎屑岩类</w:t>
      </w:r>
      <w:r>
        <w:rPr>
          <w:rFonts w:ascii="SimSun" w:hAnsi="SimSun" w:eastAsia="SimSun" w:cs="SimSun"/>
          <w:sz w:val="24"/>
          <w:szCs w:val="24"/>
        </w:rPr>
        <w:t xml:space="preserve"> </w:t>
      </w:r>
      <w:r>
        <w:rPr>
          <w:rFonts w:ascii="SimSun" w:hAnsi="SimSun" w:eastAsia="SimSun" w:cs="SimSun"/>
          <w:sz w:val="24"/>
          <w:szCs w:val="24"/>
          <w:spacing w:val="-4"/>
        </w:rPr>
        <w:t>裂隙孔隙承压水。含水层顶板埋深一般小于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w:t>
      </w:r>
      <w:r>
        <w:rPr>
          <w:rFonts w:ascii="Times New Roman" w:hAnsi="Times New Roman" w:eastAsia="Times New Roman" w:cs="Times New Roman"/>
          <w:sz w:val="24"/>
          <w:szCs w:val="24"/>
          <w:spacing w:val="-5"/>
        </w:rPr>
        <w:t>0m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5"/>
        </w:rPr>
        <w:t>，富水性弱，换算</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5"/>
        </w:rPr>
        <w:t>8 </w:t>
      </w:r>
      <w:r>
        <w:rPr>
          <w:rFonts w:ascii="SimSun" w:hAnsi="SimSun" w:eastAsia="SimSun" w:cs="SimSun"/>
          <w:sz w:val="24"/>
          <w:szCs w:val="24"/>
          <w:spacing w:val="-5"/>
        </w:rPr>
        <w:t>寸口径，</w:t>
      </w:r>
      <w:r>
        <w:rPr>
          <w:rFonts w:ascii="Times New Roman" w:hAnsi="Times New Roman" w:eastAsia="Times New Roman" w:cs="Times New Roman"/>
          <w:sz w:val="24"/>
          <w:szCs w:val="24"/>
          <w:spacing w:val="-5"/>
        </w:rPr>
        <w:t>5m</w:t>
      </w:r>
      <w:r>
        <w:rPr>
          <w:rFonts w:ascii="Times New Roman" w:hAnsi="Times New Roman" w:eastAsia="Times New Roman" w:cs="Times New Roman"/>
          <w:sz w:val="24"/>
          <w:szCs w:val="24"/>
        </w:rPr>
        <w:t xml:space="preserve"> </w:t>
      </w:r>
      <w:r>
        <w:rPr>
          <w:rFonts w:ascii="SimSun" w:hAnsi="SimSun" w:eastAsia="SimSun" w:cs="SimSun"/>
          <w:sz w:val="24"/>
          <w:szCs w:val="24"/>
          <w:spacing w:val="-3"/>
        </w:rPr>
        <w:t>降深涌水量小于</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3"/>
        </w:rPr>
        <w:t>10m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p>
    <w:p>
      <w:pPr>
        <w:ind w:left="488"/>
        <w:spacing w:line="217" w:lineRule="auto"/>
        <w:rPr>
          <w:rFonts w:ascii="SimSun" w:hAnsi="SimSun" w:eastAsia="SimSun" w:cs="SimSun"/>
          <w:sz w:val="24"/>
          <w:szCs w:val="24"/>
        </w:rPr>
      </w:pPr>
      <w:r>
        <w:rPr>
          <w:rFonts w:ascii="SimSun" w:hAnsi="SimSun" w:eastAsia="SimSun" w:cs="SimSun"/>
          <w:sz w:val="24"/>
          <w:szCs w:val="24"/>
          <w:spacing w:val="-2"/>
        </w:rPr>
        <w:t>③基岩裂隙水</w:t>
      </w:r>
    </w:p>
    <w:p>
      <w:pPr>
        <w:ind w:left="8" w:firstLine="483"/>
        <w:spacing w:before="190" w:line="359" w:lineRule="auto"/>
        <w:rPr>
          <w:rFonts w:ascii="SimSun" w:hAnsi="SimSun" w:eastAsia="SimSun" w:cs="SimSun"/>
          <w:sz w:val="24"/>
          <w:szCs w:val="24"/>
        </w:rPr>
      </w:pPr>
      <w:r>
        <w:rPr>
          <w:rFonts w:ascii="SimSun" w:hAnsi="SimSun" w:eastAsia="SimSun" w:cs="SimSun"/>
          <w:sz w:val="24"/>
          <w:szCs w:val="24"/>
          <w:spacing w:val="3"/>
        </w:rPr>
        <w:t>分布在评价区的南部和北部区域。主要赋存于燕山期</w:t>
      </w:r>
      <w:r>
        <w:rPr>
          <w:rFonts w:ascii="SimSun" w:hAnsi="SimSun" w:eastAsia="SimSun" w:cs="SimSun"/>
          <w:sz w:val="24"/>
          <w:szCs w:val="24"/>
          <w:spacing w:val="2"/>
        </w:rPr>
        <w:t>侵入岩及侏罗系上统流</w:t>
      </w:r>
      <w:r>
        <w:rPr>
          <w:rFonts w:ascii="SimSun" w:hAnsi="SimSun" w:eastAsia="SimSun" w:cs="SimSun"/>
          <w:sz w:val="24"/>
          <w:szCs w:val="24"/>
        </w:rPr>
        <w:t xml:space="preserve"> </w:t>
      </w:r>
      <w:r>
        <w:rPr>
          <w:rFonts w:ascii="SimSun" w:hAnsi="SimSun" w:eastAsia="SimSun" w:cs="SimSun"/>
          <w:sz w:val="24"/>
          <w:szCs w:val="24"/>
          <w:spacing w:val="4"/>
        </w:rPr>
        <w:t>纹岩、岩屑晶屑凝灰岩、石英粗面斑岩、粗安玢</w:t>
      </w:r>
      <w:r>
        <w:rPr>
          <w:rFonts w:ascii="SimSun" w:hAnsi="SimSun" w:eastAsia="SimSun" w:cs="SimSun"/>
          <w:sz w:val="24"/>
          <w:szCs w:val="24"/>
          <w:spacing w:val="3"/>
        </w:rPr>
        <w:t>岩的风化和构造基岩裂隙之中。</w:t>
      </w:r>
      <w:r>
        <w:rPr>
          <w:rFonts w:ascii="SimSun" w:hAnsi="SimSun" w:eastAsia="SimSun" w:cs="SimSun"/>
          <w:sz w:val="24"/>
          <w:szCs w:val="24"/>
        </w:rPr>
        <w:t xml:space="preserve"> </w:t>
      </w:r>
      <w:r>
        <w:rPr>
          <w:rFonts w:ascii="SimSun" w:hAnsi="SimSun" w:eastAsia="SimSun" w:cs="SimSun"/>
          <w:sz w:val="24"/>
          <w:szCs w:val="24"/>
          <w:spacing w:val="3"/>
        </w:rPr>
        <w:t>在北部属于块状基岩裂隙水，赋存于燕山期侵入岩的</w:t>
      </w:r>
      <w:r>
        <w:rPr>
          <w:rFonts w:ascii="SimSun" w:hAnsi="SimSun" w:eastAsia="SimSun" w:cs="SimSun"/>
          <w:sz w:val="24"/>
          <w:szCs w:val="24"/>
          <w:spacing w:val="2"/>
        </w:rPr>
        <w:t>构造基岩裂隙之中，南部属</w:t>
      </w:r>
      <w:r>
        <w:rPr>
          <w:rFonts w:ascii="SimSun" w:hAnsi="SimSun" w:eastAsia="SimSun" w:cs="SimSun"/>
          <w:sz w:val="24"/>
          <w:szCs w:val="24"/>
        </w:rPr>
        <w:t xml:space="preserve"> </w:t>
      </w:r>
      <w:r>
        <w:rPr>
          <w:rFonts w:ascii="SimSun" w:hAnsi="SimSun" w:eastAsia="SimSun" w:cs="SimSun"/>
          <w:sz w:val="24"/>
          <w:szCs w:val="24"/>
          <w:spacing w:val="3"/>
        </w:rPr>
        <w:t>于层状基岩裂隙水，赋存于侏罗系基岩裂隙之中。含</w:t>
      </w:r>
      <w:r>
        <w:rPr>
          <w:rFonts w:ascii="SimSun" w:hAnsi="SimSun" w:eastAsia="SimSun" w:cs="SimSun"/>
          <w:sz w:val="24"/>
          <w:szCs w:val="24"/>
          <w:spacing w:val="2"/>
        </w:rPr>
        <w:t>水层富水性弱，单井涌水量</w:t>
      </w:r>
      <w:r>
        <w:rPr>
          <w:rFonts w:ascii="SimSun" w:hAnsi="SimSun" w:eastAsia="SimSun" w:cs="SimSun"/>
          <w:sz w:val="24"/>
          <w:szCs w:val="24"/>
        </w:rPr>
        <w:t xml:space="preserve"> </w:t>
      </w:r>
      <w:r>
        <w:rPr>
          <w:rFonts w:ascii="SimSun" w:hAnsi="SimSun" w:eastAsia="SimSun" w:cs="SimSun"/>
          <w:sz w:val="24"/>
          <w:szCs w:val="24"/>
          <w:spacing w:val="-1"/>
        </w:rPr>
        <w:t>（换算</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5m</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降深，</w:t>
      </w:r>
      <w:r>
        <w:rPr>
          <w:rFonts w:ascii="Times New Roman" w:hAnsi="Times New Roman" w:eastAsia="Times New Roman" w:cs="Times New Roman"/>
          <w:sz w:val="24"/>
          <w:szCs w:val="24"/>
          <w:spacing w:val="-1"/>
        </w:rPr>
        <w:t>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寸口径）一般小于</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100m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1"/>
        </w:rPr>
        <w:t>。</w:t>
      </w:r>
      <w:r>
        <w:rPr>
          <w:rFonts w:ascii="SimSun" w:hAnsi="SimSun" w:eastAsia="SimSun" w:cs="SimSun"/>
          <w:sz w:val="24"/>
          <w:szCs w:val="24"/>
          <w:spacing w:val="-2"/>
        </w:rPr>
        <w:t>含水层矿化度一般小于</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0.5g/L</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2"/>
        </w:rPr>
        <w:t>，</w:t>
      </w:r>
      <w:r>
        <w:rPr>
          <w:rFonts w:ascii="SimSun" w:hAnsi="SimSun" w:eastAsia="SimSun" w:cs="SimSun"/>
          <w:sz w:val="24"/>
          <w:szCs w:val="24"/>
        </w:rPr>
        <w:t xml:space="preserve"> </w:t>
      </w:r>
      <w:r>
        <w:rPr>
          <w:rFonts w:ascii="SimSun" w:hAnsi="SimSun" w:eastAsia="SimSun" w:cs="SimSun"/>
          <w:sz w:val="24"/>
          <w:szCs w:val="24"/>
          <w:spacing w:val="-1"/>
        </w:rPr>
        <w:t>地下水化学类型为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HCO</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24"/>
          <w:szCs w:val="24"/>
          <w:spacing w:val="-1"/>
        </w:rPr>
        <w:t>·Cl-Na·Mg</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1"/>
        </w:rPr>
        <w:t>型。由于含水层介质结构较为完整，使得含水</w:t>
      </w:r>
      <w:r>
        <w:rPr>
          <w:rFonts w:ascii="SimSun" w:hAnsi="SimSun" w:eastAsia="SimSun" w:cs="SimSun"/>
          <w:sz w:val="24"/>
          <w:szCs w:val="24"/>
        </w:rPr>
        <w:t xml:space="preserve"> </w:t>
      </w:r>
      <w:r>
        <w:rPr>
          <w:rFonts w:ascii="SimSun" w:hAnsi="SimSun" w:eastAsia="SimSun" w:cs="SimSun"/>
          <w:sz w:val="24"/>
          <w:szCs w:val="24"/>
          <w:spacing w:val="-6"/>
        </w:rPr>
        <w:t>层渗透性弱，根据收集的资料，基岩裂隙含水层渗透系数一般仅为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6"/>
        </w:rPr>
        <w:t>0</w:t>
      </w:r>
      <w:r>
        <w:rPr>
          <w:rFonts w:ascii="Times New Roman" w:hAnsi="Times New Roman" w:eastAsia="Times New Roman" w:cs="Times New Roman"/>
          <w:sz w:val="24"/>
          <w:szCs w:val="24"/>
          <w:spacing w:val="-7"/>
        </w:rPr>
        <w:t>.024~0.067m/d</w:t>
      </w:r>
      <w:r>
        <w:rPr>
          <w:rFonts w:ascii="SimSun" w:hAnsi="SimSun" w:eastAsia="SimSun" w:cs="SimSun"/>
          <w:sz w:val="24"/>
          <w:szCs w:val="24"/>
          <w:spacing w:val="-7"/>
        </w:rPr>
        <w:t>。</w:t>
      </w:r>
    </w:p>
    <w:p>
      <w:pPr>
        <w:ind w:left="501"/>
        <w:spacing w:before="5"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）地下水补径排条件</w:t>
      </w:r>
    </w:p>
    <w:p>
      <w:pPr>
        <w:ind w:left="488"/>
        <w:spacing w:before="183" w:line="218" w:lineRule="auto"/>
        <w:rPr>
          <w:rFonts w:ascii="SimSun" w:hAnsi="SimSun" w:eastAsia="SimSun" w:cs="SimSun"/>
          <w:sz w:val="24"/>
          <w:szCs w:val="24"/>
        </w:rPr>
      </w:pPr>
      <w:r>
        <w:rPr>
          <w:rFonts w:ascii="SimSun" w:hAnsi="SimSun" w:eastAsia="SimSun" w:cs="SimSun"/>
          <w:sz w:val="24"/>
          <w:szCs w:val="24"/>
          <w:spacing w:val="3"/>
        </w:rPr>
        <w:t>评价区第四系松散岩类孔隙潜水含水层直接接受大气降水入渗</w:t>
      </w:r>
      <w:r>
        <w:rPr>
          <w:rFonts w:ascii="SimSun" w:hAnsi="SimSun" w:eastAsia="SimSun" w:cs="SimSun"/>
          <w:sz w:val="24"/>
          <w:szCs w:val="24"/>
          <w:spacing w:val="2"/>
        </w:rPr>
        <w:t>补给、邻区基</w:t>
      </w:r>
    </w:p>
    <w:p>
      <w:pPr>
        <w:spacing w:line="218" w:lineRule="auto"/>
        <w:sectPr>
          <w:headerReference w:type="default" r:id="rId157"/>
          <w:footerReference w:type="default" r:id="rId239"/>
          <w:pgSz w:w="11906" w:h="16839"/>
          <w:pgMar w:top="1567" w:right="1620" w:bottom="1811" w:left="1701" w:header="1221" w:footer="1128" w:gutter="0"/>
        </w:sectPr>
        <w:rPr>
          <w:rFonts w:ascii="SimSun" w:hAnsi="SimSun" w:eastAsia="SimSun" w:cs="SimSun"/>
          <w:sz w:val="24"/>
          <w:szCs w:val="24"/>
        </w:rPr>
      </w:pPr>
    </w:p>
    <w:p>
      <w:pPr>
        <w:ind w:left="9" w:right="61"/>
        <w:spacing w:before="267" w:line="360" w:lineRule="auto"/>
        <w:jc w:val="both"/>
        <w:rPr>
          <w:rFonts w:ascii="SimSun" w:hAnsi="SimSun" w:eastAsia="SimSun" w:cs="SimSun"/>
          <w:sz w:val="24"/>
          <w:szCs w:val="24"/>
        </w:rPr>
      </w:pPr>
      <w:r>
        <w:pict>
          <v:shape id="_x0000_s880" style="position:absolute;margin-left:85.05pt;margin-top:79.11pt;mso-position-vertical-relative:page;mso-position-horizontal-relative:page;width:425.25pt;height:0.75pt;z-index:252050432;" o:allowincell="f" fillcolor="#000000" filled="true" stroked="false" coordsize="8505,15" coordorigin="0,0" path="m,l8504,0l8504,14l0,14l0,0xe"/>
        </w:pict>
      </w:r>
      <w:r>
        <w:rPr>
          <w:rFonts w:ascii="SimSun" w:hAnsi="SimSun" w:eastAsia="SimSun" w:cs="SimSun"/>
          <w:sz w:val="24"/>
          <w:szCs w:val="24"/>
          <w:spacing w:val="3"/>
        </w:rPr>
        <w:t>岩裂隙水和上游松散岩类孔隙水的侧向径流补给后</w:t>
      </w:r>
      <w:r>
        <w:rPr>
          <w:rFonts w:ascii="SimSun" w:hAnsi="SimSun" w:eastAsia="SimSun" w:cs="SimSun"/>
          <w:sz w:val="24"/>
          <w:szCs w:val="24"/>
          <w:spacing w:val="2"/>
        </w:rPr>
        <w:t>，顺着沟谷由东向西径流，最</w:t>
      </w:r>
      <w:r>
        <w:rPr>
          <w:rFonts w:ascii="SimSun" w:hAnsi="SimSun" w:eastAsia="SimSun" w:cs="SimSun"/>
          <w:sz w:val="24"/>
          <w:szCs w:val="24"/>
        </w:rPr>
        <w:t xml:space="preserve"> </w:t>
      </w:r>
      <w:r>
        <w:rPr>
          <w:rFonts w:ascii="SimSun" w:hAnsi="SimSun" w:eastAsia="SimSun" w:cs="SimSun"/>
          <w:sz w:val="24"/>
          <w:szCs w:val="24"/>
          <w:spacing w:val="3"/>
        </w:rPr>
        <w:t>后由西部断面以侧向径流的方式排出区外。此外，</w:t>
      </w:r>
      <w:r>
        <w:rPr>
          <w:rFonts w:ascii="SimSun" w:hAnsi="SimSun" w:eastAsia="SimSun" w:cs="SimSun"/>
          <w:sz w:val="24"/>
          <w:szCs w:val="24"/>
          <w:spacing w:val="2"/>
        </w:rPr>
        <w:t>第四系潜水地下水位埋深多小</w:t>
      </w:r>
      <w:r>
        <w:rPr>
          <w:rFonts w:ascii="SimSun" w:hAnsi="SimSun" w:eastAsia="SimSun" w:cs="SimSun"/>
          <w:sz w:val="24"/>
          <w:szCs w:val="24"/>
        </w:rPr>
        <w:t xml:space="preserve"> </w:t>
      </w:r>
      <w:r>
        <w:rPr>
          <w:rFonts w:ascii="SimSun" w:hAnsi="SimSun" w:eastAsia="SimSun" w:cs="SimSun"/>
          <w:sz w:val="24"/>
          <w:szCs w:val="24"/>
          <w:spacing w:val="-2"/>
        </w:rPr>
        <w:t>于</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，蒸发排泄也是主要排泄方式之一。另外，零星分布在沟谷中的居民点凿浅</w:t>
      </w:r>
      <w:r>
        <w:rPr>
          <w:rFonts w:ascii="SimSun" w:hAnsi="SimSun" w:eastAsia="SimSun" w:cs="SimSun"/>
          <w:sz w:val="24"/>
          <w:szCs w:val="24"/>
        </w:rPr>
        <w:t xml:space="preserve"> </w:t>
      </w:r>
      <w:r>
        <w:rPr>
          <w:rFonts w:ascii="SimSun" w:hAnsi="SimSun" w:eastAsia="SimSun" w:cs="SimSun"/>
          <w:sz w:val="24"/>
          <w:szCs w:val="24"/>
          <w:spacing w:val="3"/>
        </w:rPr>
        <w:t>井开采第四系含水层作为人畜饮用和灌溉用水，人</w:t>
      </w:r>
      <w:r>
        <w:rPr>
          <w:rFonts w:ascii="SimSun" w:hAnsi="SimSun" w:eastAsia="SimSun" w:cs="SimSun"/>
          <w:sz w:val="24"/>
          <w:szCs w:val="24"/>
          <w:spacing w:val="2"/>
        </w:rPr>
        <w:t>工开采也是第四系含水层的主</w:t>
      </w:r>
      <w:r>
        <w:rPr>
          <w:rFonts w:ascii="SimSun" w:hAnsi="SimSun" w:eastAsia="SimSun" w:cs="SimSun"/>
          <w:sz w:val="24"/>
          <w:szCs w:val="24"/>
        </w:rPr>
        <w:t xml:space="preserve"> </w:t>
      </w:r>
      <w:r>
        <w:rPr>
          <w:rFonts w:ascii="SimSun" w:hAnsi="SimSun" w:eastAsia="SimSun" w:cs="SimSun"/>
          <w:sz w:val="24"/>
          <w:szCs w:val="24"/>
          <w:spacing w:val="3"/>
        </w:rPr>
        <w:t>要排泄方式。碎屑岩类裂隙孔隙水接受邻区侧向径</w:t>
      </w:r>
      <w:r>
        <w:rPr>
          <w:rFonts w:ascii="SimSun" w:hAnsi="SimSun" w:eastAsia="SimSun" w:cs="SimSun"/>
          <w:sz w:val="24"/>
          <w:szCs w:val="24"/>
          <w:spacing w:val="2"/>
        </w:rPr>
        <w:t>流补给，以水平层流的方式向</w:t>
      </w:r>
      <w:r>
        <w:rPr>
          <w:rFonts w:ascii="SimSun" w:hAnsi="SimSun" w:eastAsia="SimSun" w:cs="SimSun"/>
          <w:sz w:val="24"/>
          <w:szCs w:val="24"/>
        </w:rPr>
        <w:t xml:space="preserve"> </w:t>
      </w:r>
      <w:r>
        <w:rPr>
          <w:rFonts w:ascii="SimSun" w:hAnsi="SimSun" w:eastAsia="SimSun" w:cs="SimSun"/>
          <w:sz w:val="24"/>
          <w:szCs w:val="24"/>
          <w:spacing w:val="3"/>
        </w:rPr>
        <w:t>下游径流，最后以侧向径流的方式由西部断面排出</w:t>
      </w:r>
      <w:r>
        <w:rPr>
          <w:rFonts w:ascii="SimSun" w:hAnsi="SimSun" w:eastAsia="SimSun" w:cs="SimSun"/>
          <w:sz w:val="24"/>
          <w:szCs w:val="24"/>
          <w:spacing w:val="2"/>
        </w:rPr>
        <w:t>区外。基岩裂隙水则主要接受</w:t>
      </w:r>
      <w:r>
        <w:rPr>
          <w:rFonts w:ascii="SimSun" w:hAnsi="SimSun" w:eastAsia="SimSun" w:cs="SimSun"/>
          <w:sz w:val="24"/>
          <w:szCs w:val="24"/>
        </w:rPr>
        <w:t xml:space="preserve"> </w:t>
      </w:r>
      <w:r>
        <w:rPr>
          <w:rFonts w:ascii="SimSun" w:hAnsi="SimSun" w:eastAsia="SimSun" w:cs="SimSun"/>
          <w:sz w:val="24"/>
          <w:szCs w:val="24"/>
        </w:rPr>
        <w:t>大气降水入渗补给，之后以侧向径流的方式补给下游第</w:t>
      </w:r>
      <w:r>
        <w:rPr>
          <w:rFonts w:ascii="SimSun" w:hAnsi="SimSun" w:eastAsia="SimSun" w:cs="SimSun"/>
          <w:sz w:val="24"/>
          <w:szCs w:val="24"/>
          <w:spacing w:val="-1"/>
        </w:rPr>
        <w:t>四系松散岩类孔隙潜水。</w:t>
      </w:r>
    </w:p>
    <w:p>
      <w:pPr>
        <w:ind w:left="501"/>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）各含水层之间的水力联系</w:t>
      </w:r>
    </w:p>
    <w:p>
      <w:pPr>
        <w:ind w:left="9" w:right="61" w:firstLine="481"/>
        <w:spacing w:before="182" w:line="360" w:lineRule="auto"/>
        <w:rPr>
          <w:rFonts w:ascii="SimSun" w:hAnsi="SimSun" w:eastAsia="SimSun" w:cs="SimSun"/>
          <w:sz w:val="24"/>
          <w:szCs w:val="24"/>
        </w:rPr>
      </w:pPr>
      <w:r>
        <w:rPr>
          <w:rFonts w:ascii="SimSun" w:hAnsi="SimSun" w:eastAsia="SimSun" w:cs="SimSun"/>
          <w:sz w:val="24"/>
          <w:szCs w:val="24"/>
          <w:spacing w:val="3"/>
        </w:rPr>
        <w:t>调查评价区内第四系孔隙水含水层和碎屑岩类孔隙承压</w:t>
      </w:r>
      <w:r>
        <w:rPr>
          <w:rFonts w:ascii="SimSun" w:hAnsi="SimSun" w:eastAsia="SimSun" w:cs="SimSun"/>
          <w:sz w:val="24"/>
          <w:szCs w:val="24"/>
          <w:spacing w:val="2"/>
        </w:rPr>
        <w:t>含水层之间有新近系</w:t>
      </w:r>
      <w:r>
        <w:rPr>
          <w:rFonts w:ascii="SimSun" w:hAnsi="SimSun" w:eastAsia="SimSun" w:cs="SimSun"/>
          <w:sz w:val="24"/>
          <w:szCs w:val="24"/>
        </w:rPr>
        <w:t xml:space="preserve"> </w:t>
      </w:r>
      <w:r>
        <w:rPr>
          <w:rFonts w:ascii="SimSun" w:hAnsi="SimSun" w:eastAsia="SimSun" w:cs="SimSun"/>
          <w:sz w:val="24"/>
          <w:szCs w:val="24"/>
          <w:spacing w:val="3"/>
        </w:rPr>
        <w:t>泥岩阻隔，没有明显的水力联系，价区内第四系孔</w:t>
      </w:r>
      <w:r>
        <w:rPr>
          <w:rFonts w:ascii="SimSun" w:hAnsi="SimSun" w:eastAsia="SimSun" w:cs="SimSun"/>
          <w:sz w:val="24"/>
          <w:szCs w:val="24"/>
          <w:spacing w:val="2"/>
        </w:rPr>
        <w:t>隙水含水层接收南北两侧基岩</w:t>
      </w:r>
      <w:r>
        <w:rPr>
          <w:rFonts w:ascii="SimSun" w:hAnsi="SimSun" w:eastAsia="SimSun" w:cs="SimSun"/>
          <w:sz w:val="24"/>
          <w:szCs w:val="24"/>
        </w:rPr>
        <w:t xml:space="preserve"> </w:t>
      </w:r>
      <w:r>
        <w:rPr>
          <w:rFonts w:ascii="SimSun" w:hAnsi="SimSun" w:eastAsia="SimSun" w:cs="SimSun"/>
          <w:sz w:val="24"/>
          <w:szCs w:val="24"/>
          <w:spacing w:val="-2"/>
        </w:rPr>
        <w:t>裂隙水侧向补给。</w:t>
      </w:r>
    </w:p>
    <w:p>
      <w:pPr>
        <w:ind w:left="501"/>
        <w:spacing w:before="1" w:line="217"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4</w:t>
      </w:r>
      <w:r>
        <w:rPr>
          <w:rFonts w:ascii="SimSun" w:hAnsi="SimSun" w:eastAsia="SimSun" w:cs="SimSun"/>
          <w:sz w:val="24"/>
          <w:szCs w:val="24"/>
          <w:spacing w:val="-2"/>
        </w:rPr>
        <w:t>）评价区地下水与地表水的水力联系</w:t>
      </w:r>
    </w:p>
    <w:p>
      <w:pPr>
        <w:ind w:left="8" w:firstLine="484"/>
        <w:spacing w:before="184" w:line="362" w:lineRule="auto"/>
        <w:rPr>
          <w:rFonts w:ascii="SimSun" w:hAnsi="SimSun" w:eastAsia="SimSun" w:cs="SimSun"/>
          <w:sz w:val="24"/>
          <w:szCs w:val="24"/>
        </w:rPr>
      </w:pPr>
      <w:r>
        <w:rPr>
          <w:rFonts w:ascii="SimSun" w:hAnsi="SimSun" w:eastAsia="SimSun" w:cs="SimSun"/>
          <w:sz w:val="24"/>
          <w:szCs w:val="24"/>
          <w:spacing w:val="-3"/>
        </w:rPr>
        <w:t>项目厂址南侧紧邻后河，根据本次开展的枯丰两期地下水水位调查结果来看，</w:t>
      </w:r>
      <w:r>
        <w:rPr>
          <w:rFonts w:ascii="SimSun" w:hAnsi="SimSun" w:eastAsia="SimSun" w:cs="SimSun"/>
          <w:sz w:val="24"/>
          <w:szCs w:val="24"/>
          <w:spacing w:val="12"/>
        </w:rPr>
        <w:t xml:space="preserve"> </w:t>
      </w:r>
      <w:r>
        <w:rPr>
          <w:rFonts w:ascii="SimSun" w:hAnsi="SimSun" w:eastAsia="SimSun" w:cs="SimSun"/>
          <w:sz w:val="24"/>
          <w:szCs w:val="24"/>
        </w:rPr>
        <w:t>河谷区地下水水位均低于河水位，表明第四系孔隙水</w:t>
      </w:r>
      <w:r>
        <w:rPr>
          <w:rFonts w:ascii="SimSun" w:hAnsi="SimSun" w:eastAsia="SimSun" w:cs="SimSun"/>
          <w:sz w:val="24"/>
          <w:szCs w:val="24"/>
          <w:spacing w:val="-1"/>
        </w:rPr>
        <w:t>含水层接受河水补给。</w:t>
      </w:r>
    </w:p>
    <w:p>
      <w:pPr>
        <w:pStyle w:val="BodyText"/>
        <w:spacing w:line="244"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ind w:left="7"/>
        <w:spacing w:before="62" w:line="22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181</w:t>
      </w:r>
    </w:p>
    <w:p>
      <w:pPr>
        <w:spacing w:line="227" w:lineRule="auto"/>
        <w:sectPr>
          <w:headerReference w:type="default" r:id="rId236"/>
          <w:footerReference w:type="default" r:id="rId3"/>
          <w:pgSz w:w="11906" w:h="16839"/>
          <w:pgMar w:top="1567" w:right="1639" w:bottom="400" w:left="1701" w:header="1221" w:footer="0" w:gutter="0"/>
        </w:sectPr>
        <w:rPr>
          <w:rFonts w:ascii="Times New Roman" w:hAnsi="Times New Roman" w:eastAsia="Times New Roman" w:cs="Times New Roman"/>
          <w:sz w:val="18"/>
          <w:szCs w:val="18"/>
        </w:rPr>
      </w:pPr>
    </w:p>
    <w:p>
      <w:pPr>
        <w:pStyle w:val="BodyText"/>
        <w:spacing w:line="252" w:lineRule="auto"/>
        <w:rPr/>
      </w:pPr>
      <w:r>
        <w:pict>
          <v:shape id="_x0000_s882" style="position:absolute;margin-left:0pt;margin-top:0.47998pt;mso-position-vertical-relative:text;mso-position-horizontal-relative:text;width:425.25pt;height:0.75pt;z-index:252052480;" fillcolor="#000000" filled="true" stroked="false" coordsize="8505,15" coordorigin="0,0" path="m,l8504,0l8504,14l0,14l0,0xe"/>
        </w:pict>
      </w:r>
      <w:r/>
    </w:p>
    <w:p>
      <w:pPr>
        <w:spacing w:line="9101" w:lineRule="exact"/>
        <w:rPr/>
      </w:pPr>
      <w:r>
        <w:rPr>
          <w:position w:val="-182"/>
        </w:rPr>
        <w:drawing>
          <wp:inline distT="0" distB="0" distL="0" distR="0">
            <wp:extent cx="5364479" cy="5779008"/>
            <wp:effectExtent l="0" t="0" r="0" b="0"/>
            <wp:docPr id="134" name="IM 134"/>
            <wp:cNvGraphicFramePr/>
            <a:graphic>
              <a:graphicData uri="http://schemas.openxmlformats.org/drawingml/2006/picture">
                <pic:pic>
                  <pic:nvPicPr>
                    <pic:cNvPr id="134" name="IM 134"/>
                    <pic:cNvPicPr/>
                  </pic:nvPicPr>
                  <pic:blipFill>
                    <a:blip r:embed="rId241"/>
                    <a:stretch>
                      <a:fillRect/>
                    </a:stretch>
                  </pic:blipFill>
                  <pic:spPr>
                    <a:xfrm rot="0">
                      <a:off x="0" y="0"/>
                      <a:ext cx="5364479" cy="5779008"/>
                    </a:xfrm>
                    <a:prstGeom prst="rect">
                      <a:avLst/>
                    </a:prstGeom>
                  </pic:spPr>
                </pic:pic>
              </a:graphicData>
            </a:graphic>
          </wp:inline>
        </w:drawing>
      </w:r>
    </w:p>
    <w:p>
      <w:pPr>
        <w:ind w:left="2711"/>
        <w:spacing w:before="176" w:line="218" w:lineRule="auto"/>
        <w:rPr>
          <w:rFonts w:ascii="SimSun" w:hAnsi="SimSun" w:eastAsia="SimSun" w:cs="SimSun"/>
          <w:sz w:val="24"/>
          <w:szCs w:val="24"/>
        </w:rPr>
      </w:pPr>
      <w:r>
        <w:rPr>
          <w:rFonts w:ascii="SimSun" w:hAnsi="SimSun" w:eastAsia="SimSun" w:cs="SimSun"/>
          <w:sz w:val="24"/>
          <w:szCs w:val="24"/>
          <w:b/>
          <w:bCs/>
          <w:spacing w:val="-3"/>
        </w:rPr>
        <w:t>图</w:t>
      </w:r>
      <w:r>
        <w:rPr>
          <w:rFonts w:ascii="Times New Roman" w:hAnsi="Times New Roman" w:eastAsia="Times New Roman" w:cs="Times New Roman"/>
          <w:sz w:val="24"/>
          <w:szCs w:val="24"/>
          <w:b/>
          <w:bCs/>
          <w:spacing w:val="-3"/>
        </w:rPr>
        <w:t>5.3-4        </w:t>
      </w:r>
      <w:r>
        <w:rPr>
          <w:rFonts w:ascii="SimSun" w:hAnsi="SimSun" w:eastAsia="SimSun" w:cs="SimSun"/>
          <w:sz w:val="24"/>
          <w:szCs w:val="24"/>
          <w:b/>
          <w:bCs/>
          <w:spacing w:val="-3"/>
        </w:rPr>
        <w:t>评价区水文地质图</w:t>
      </w:r>
    </w:p>
    <w:p>
      <w:pPr>
        <w:spacing w:line="218" w:lineRule="auto"/>
        <w:sectPr>
          <w:headerReference w:type="default" r:id="rId161"/>
          <w:footerReference w:type="default" r:id="rId240"/>
          <w:pgSz w:w="11906" w:h="16839"/>
          <w:pgMar w:top="1567" w:right="1700" w:bottom="1811" w:left="1701" w:header="1221" w:footer="1128" w:gutter="0"/>
        </w:sectPr>
        <w:rPr>
          <w:rFonts w:ascii="SimSun" w:hAnsi="SimSun" w:eastAsia="SimSun" w:cs="SimSun"/>
          <w:sz w:val="24"/>
          <w:szCs w:val="24"/>
        </w:rPr>
      </w:pPr>
    </w:p>
    <w:p>
      <w:pPr>
        <w:spacing w:before="150" w:line="3970" w:lineRule="exact"/>
        <w:rPr/>
      </w:pPr>
      <w:r>
        <w:pict>
          <v:shape id="_x0000_s886" style="position:absolute;margin-left:85.05pt;margin-top:79.11pt;mso-position-vertical-relative:page;mso-position-horizontal-relative:page;width:671.8pt;height:0.75pt;z-index:252054528;" o:allowincell="f" fillcolor="#000000" filled="true" stroked="false" coordsize="13435,15" coordorigin="0,0" path="m,l13435,0l13435,14l0,14l0,0xe"/>
        </w:pict>
      </w:r>
      <w:r>
        <w:rPr>
          <w:position w:val="-79"/>
        </w:rPr>
        <w:drawing>
          <wp:inline distT="0" distB="0" distL="0" distR="0">
            <wp:extent cx="8546592" cy="2520696"/>
            <wp:effectExtent l="0" t="0" r="0" b="0"/>
            <wp:docPr id="136" name="IM 136"/>
            <wp:cNvGraphicFramePr/>
            <a:graphic>
              <a:graphicData uri="http://schemas.openxmlformats.org/drawingml/2006/picture">
                <pic:pic>
                  <pic:nvPicPr>
                    <pic:cNvPr id="136" name="IM 136"/>
                    <pic:cNvPicPr/>
                  </pic:nvPicPr>
                  <pic:blipFill>
                    <a:blip r:embed="rId243"/>
                    <a:stretch>
                      <a:fillRect/>
                    </a:stretch>
                  </pic:blipFill>
                  <pic:spPr>
                    <a:xfrm rot="0">
                      <a:off x="0" y="0"/>
                      <a:ext cx="8546592" cy="2520696"/>
                    </a:xfrm>
                    <a:prstGeom prst="rect">
                      <a:avLst/>
                    </a:prstGeom>
                  </pic:spPr>
                </pic:pic>
              </a:graphicData>
            </a:graphic>
          </wp:inline>
        </w:drawing>
      </w:r>
    </w:p>
    <w:p>
      <w:pPr>
        <w:ind w:left="4936"/>
        <w:spacing w:before="135" w:line="218" w:lineRule="auto"/>
        <w:rPr>
          <w:rFonts w:ascii="SimSun" w:hAnsi="SimSun" w:eastAsia="SimSun" w:cs="SimSun"/>
          <w:sz w:val="24"/>
          <w:szCs w:val="24"/>
        </w:rPr>
      </w:pPr>
      <w:r>
        <w:rPr>
          <w:rFonts w:ascii="SimSun" w:hAnsi="SimSun" w:eastAsia="SimSun" w:cs="SimSun"/>
          <w:sz w:val="24"/>
          <w:szCs w:val="24"/>
          <w:b/>
          <w:bCs/>
          <w:spacing w:val="-2"/>
        </w:rPr>
        <w:t>图</w:t>
      </w:r>
      <w:r>
        <w:rPr>
          <w:rFonts w:ascii="Times New Roman" w:hAnsi="Times New Roman" w:eastAsia="Times New Roman" w:cs="Times New Roman"/>
          <w:sz w:val="24"/>
          <w:szCs w:val="24"/>
          <w:b/>
          <w:bCs/>
          <w:spacing w:val="-2"/>
        </w:rPr>
        <w:t>5.3-5        </w:t>
      </w:r>
      <w:r>
        <w:rPr>
          <w:rFonts w:ascii="SimSun" w:hAnsi="SimSun" w:eastAsia="SimSun" w:cs="SimSun"/>
          <w:sz w:val="24"/>
          <w:szCs w:val="24"/>
          <w:b/>
          <w:bCs/>
          <w:spacing w:val="-2"/>
        </w:rPr>
        <w:t>评价区水文</w:t>
      </w:r>
      <w:r>
        <w:rPr>
          <w:rFonts w:ascii="SimSun" w:hAnsi="SimSun" w:eastAsia="SimSun" w:cs="SimSun"/>
          <w:sz w:val="24"/>
          <w:szCs w:val="24"/>
          <w:b/>
          <w:bCs/>
          <w:spacing w:val="-3"/>
        </w:rPr>
        <w:t>地质剖面图</w:t>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ind w:left="7"/>
        <w:spacing w:before="62" w:line="227" w:lineRule="auto"/>
        <w:rPr>
          <w:rFonts w:ascii="Times New Roman" w:hAnsi="Times New Roman" w:eastAsia="Times New Roman" w:cs="Times New Roman"/>
          <w:sz w:val="18"/>
          <w:szCs w:val="18"/>
        </w:rPr>
      </w:pPr>
      <w:r>
        <w:rPr>
          <w:rFonts w:ascii="SimSun" w:hAnsi="SimSun" w:eastAsia="SimSun" w:cs="SimSun"/>
          <w:sz w:val="19"/>
          <w:szCs w:val="19"/>
          <w:spacing w:val="6"/>
        </w:rPr>
        <w:t>锡林郭勒盟中安环境技术咨询有限责任公司                            </w:t>
      </w:r>
      <w:r>
        <w:rPr>
          <w:rFonts w:ascii="Times New Roman" w:hAnsi="Times New Roman" w:eastAsia="Times New Roman" w:cs="Times New Roman"/>
          <w:sz w:val="18"/>
          <w:szCs w:val="18"/>
          <w:spacing w:val="6"/>
          <w:position w:val="2"/>
        </w:rPr>
        <w:t>183</w:t>
      </w:r>
    </w:p>
    <w:p>
      <w:pPr>
        <w:spacing w:line="227" w:lineRule="auto"/>
        <w:sectPr>
          <w:headerReference w:type="default" r:id="rId242"/>
          <w:footerReference w:type="default" r:id="rId3"/>
          <w:pgSz w:w="16839" w:h="11906"/>
          <w:pgMar w:top="1567" w:right="1677" w:bottom="400" w:left="1701" w:header="1221" w:footer="0" w:gutter="0"/>
        </w:sectPr>
        <w:rPr>
          <w:rFonts w:ascii="Times New Roman" w:hAnsi="Times New Roman" w:eastAsia="Times New Roman" w:cs="Times New Roman"/>
          <w:sz w:val="18"/>
          <w:szCs w:val="18"/>
        </w:rPr>
      </w:pPr>
    </w:p>
    <w:p>
      <w:pPr>
        <w:ind w:left="8"/>
        <w:spacing w:before="169" w:line="219" w:lineRule="auto"/>
        <w:outlineLvl w:val="3"/>
        <w:rPr>
          <w:rFonts w:ascii="SimSun" w:hAnsi="SimSun" w:eastAsia="SimSun" w:cs="SimSun"/>
          <w:sz w:val="24"/>
          <w:szCs w:val="24"/>
        </w:rPr>
      </w:pPr>
      <w:r>
        <w:pict>
          <v:shape id="_x0000_s888" style="position:absolute;margin-left:85.05pt;margin-top:78.87pt;mso-position-vertical-relative:page;mso-position-horizontal-relative:page;width:425.25pt;height:0.75pt;z-index:252056576;" o:allowincell="f" fillcolor="#000000" filled="true" stroked="false" coordsize="8505,15" coordorigin="0,0" path="m,l8505,0l8505,14l0,14l0,0xe"/>
        </w:pict>
      </w:r>
      <w:r>
        <w:rPr>
          <w:rFonts w:ascii="Times New Roman" w:hAnsi="Times New Roman" w:eastAsia="Times New Roman" w:cs="Times New Roman"/>
          <w:sz w:val="24"/>
          <w:szCs w:val="24"/>
          <w:b/>
          <w:bCs/>
          <w:spacing w:val="-2"/>
        </w:rPr>
        <w:t>5.3.1.4 </w:t>
      </w:r>
      <w:r>
        <w:rPr>
          <w:rFonts w:ascii="SimSun" w:hAnsi="SimSun" w:eastAsia="SimSun" w:cs="SimSun"/>
          <w:sz w:val="24"/>
          <w:szCs w:val="24"/>
          <w:b/>
          <w:bCs/>
          <w:spacing w:val="-2"/>
        </w:rPr>
        <w:t>厂区地质及水文地质条件</w:t>
      </w:r>
    </w:p>
    <w:p>
      <w:pPr>
        <w:ind w:left="501"/>
        <w:spacing w:before="180"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）厂区地层</w:t>
      </w:r>
    </w:p>
    <w:p>
      <w:pPr>
        <w:ind w:left="17" w:right="61" w:firstLine="473"/>
        <w:spacing w:before="183" w:line="359" w:lineRule="auto"/>
        <w:rPr>
          <w:rFonts w:ascii="SimSun" w:hAnsi="SimSun" w:eastAsia="SimSun" w:cs="SimSun"/>
          <w:sz w:val="24"/>
          <w:szCs w:val="24"/>
        </w:rPr>
      </w:pPr>
      <w:r>
        <w:rPr>
          <w:rFonts w:ascii="SimSun" w:hAnsi="SimSun" w:eastAsia="SimSun" w:cs="SimSun"/>
          <w:sz w:val="24"/>
          <w:szCs w:val="24"/>
        </w:rPr>
        <w:t>本项目西厂区原为正镶白旗宏业毛纺织有限公司，</w:t>
      </w:r>
      <w:r>
        <w:rPr>
          <w:rFonts w:ascii="Times New Roman" w:hAnsi="Times New Roman" w:eastAsia="Times New Roman" w:cs="Times New Roman"/>
          <w:sz w:val="24"/>
          <w:szCs w:val="24"/>
        </w:rPr>
        <w:t>2025 </w:t>
      </w:r>
      <w:r>
        <w:rPr>
          <w:rFonts w:ascii="SimSun" w:hAnsi="SimSun" w:eastAsia="SimSun" w:cs="SimSun"/>
          <w:sz w:val="24"/>
          <w:szCs w:val="24"/>
        </w:rPr>
        <w:t>年</w:t>
      </w:r>
      <w:r>
        <w:rPr>
          <w:rFonts w:ascii="SimSun" w:hAnsi="SimSun" w:eastAsia="SimSun" w:cs="SimSun"/>
          <w:sz w:val="24"/>
          <w:szCs w:val="24"/>
          <w:spacing w:val="-46"/>
        </w:rPr>
        <w:t xml:space="preserve"> </w:t>
      </w:r>
      <w:r>
        <w:rPr>
          <w:rFonts w:ascii="Times New Roman" w:hAnsi="Times New Roman" w:eastAsia="Times New Roman" w:cs="Times New Roman"/>
          <w:sz w:val="24"/>
          <w:szCs w:val="24"/>
        </w:rPr>
        <w:t>2</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rPr>
        <w:t>月，内蒙古源浩 </w:t>
      </w:r>
      <w:r>
        <w:rPr>
          <w:rFonts w:ascii="SimSun" w:hAnsi="SimSun" w:eastAsia="SimSun" w:cs="SimSun"/>
          <w:sz w:val="24"/>
          <w:szCs w:val="24"/>
          <w:spacing w:val="-1"/>
        </w:rPr>
        <w:t>羊绒制品有限公司购买正镶白旗宏业毛纺织有限公司厂区及厂区内建构筑物。</w:t>
      </w:r>
    </w:p>
    <w:p>
      <w:pPr>
        <w:ind w:left="8" w:right="59" w:firstLine="480"/>
        <w:spacing w:before="1" w:line="359" w:lineRule="auto"/>
        <w:jc w:val="both"/>
        <w:rPr>
          <w:rFonts w:ascii="SimSun" w:hAnsi="SimSun" w:eastAsia="SimSun" w:cs="SimSun"/>
          <w:sz w:val="24"/>
          <w:szCs w:val="24"/>
        </w:rPr>
      </w:pPr>
      <w:r>
        <w:rPr>
          <w:rFonts w:ascii="SimSun" w:hAnsi="SimSun" w:eastAsia="SimSun" w:cs="SimSun"/>
          <w:sz w:val="24"/>
          <w:szCs w:val="24"/>
        </w:rPr>
        <w:t>根据呼和浩特市华贸岩土工程有限责任公司</w:t>
      </w:r>
      <w:r>
        <w:rPr>
          <w:rFonts w:ascii="Times New Roman" w:hAnsi="Times New Roman" w:eastAsia="Times New Roman" w:cs="Times New Roman"/>
          <w:sz w:val="24"/>
          <w:szCs w:val="24"/>
        </w:rPr>
        <w:t>2024 </w:t>
      </w:r>
      <w:r>
        <w:rPr>
          <w:rFonts w:ascii="SimSun" w:hAnsi="SimSun" w:eastAsia="SimSun" w:cs="SimSun"/>
          <w:sz w:val="24"/>
          <w:szCs w:val="24"/>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月出具的《正镶白旗宏</w:t>
      </w:r>
      <w:r>
        <w:rPr>
          <w:rFonts w:ascii="SimSun" w:hAnsi="SimSun" w:eastAsia="SimSun" w:cs="SimSun"/>
          <w:sz w:val="24"/>
          <w:szCs w:val="24"/>
        </w:rPr>
        <w:t xml:space="preserve"> </w:t>
      </w:r>
      <w:r>
        <w:rPr>
          <w:rFonts w:ascii="SimSun" w:hAnsi="SimSun" w:eastAsia="SimSun" w:cs="SimSun"/>
          <w:sz w:val="24"/>
          <w:szCs w:val="24"/>
          <w:spacing w:val="3"/>
        </w:rPr>
        <w:t>业毛纺织有限公司岩土工程勘察报告》可知，厂区地层分</w:t>
      </w:r>
      <w:r>
        <w:rPr>
          <w:rFonts w:ascii="SimSun" w:hAnsi="SimSun" w:eastAsia="SimSun" w:cs="SimSun"/>
          <w:sz w:val="24"/>
          <w:szCs w:val="24"/>
          <w:spacing w:val="2"/>
        </w:rPr>
        <w:t>布较均匀，现将勘探深</w:t>
      </w:r>
      <w:r>
        <w:rPr>
          <w:rFonts w:ascii="SimSun" w:hAnsi="SimSun" w:eastAsia="SimSun" w:cs="SimSun"/>
          <w:sz w:val="24"/>
          <w:szCs w:val="24"/>
        </w:rPr>
        <w:t xml:space="preserve"> </w:t>
      </w:r>
      <w:r>
        <w:rPr>
          <w:rFonts w:ascii="SimSun" w:hAnsi="SimSun" w:eastAsia="SimSun" w:cs="SimSun"/>
          <w:sz w:val="24"/>
          <w:szCs w:val="24"/>
          <w:spacing w:val="-1"/>
        </w:rPr>
        <w:t>度内出露的地层划分为</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3 </w:t>
      </w:r>
      <w:r>
        <w:rPr>
          <w:rFonts w:ascii="SimSun" w:hAnsi="SimSun" w:eastAsia="SimSun" w:cs="SimSun"/>
          <w:sz w:val="24"/>
          <w:szCs w:val="24"/>
          <w:spacing w:val="-1"/>
        </w:rPr>
        <w:t>层，各层分别描述如下：</w:t>
      </w:r>
    </w:p>
    <w:p>
      <w:pPr>
        <w:ind w:left="8" w:firstLine="480"/>
        <w:spacing w:line="289" w:lineRule="auto"/>
        <w:rPr>
          <w:rFonts w:ascii="SimSun" w:hAnsi="SimSun" w:eastAsia="SimSun" w:cs="SimSun"/>
          <w:sz w:val="24"/>
          <w:szCs w:val="24"/>
        </w:rPr>
      </w:pPr>
      <w:r>
        <w:rPr>
          <w:rFonts w:ascii="SimSun" w:hAnsi="SimSun" w:eastAsia="SimSun" w:cs="SimSun"/>
          <w:sz w:val="24"/>
          <w:szCs w:val="24"/>
          <w:spacing w:val="-13"/>
        </w:rPr>
        <w:t>①杂填土：杂色，松散，稍湿，含有建筑垃圾及砂质颗粒。厚度约</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3"/>
        </w:rPr>
        <w:t>2.30m~2.50m</w:t>
      </w:r>
      <w:r>
        <w:rPr>
          <w:rFonts w:ascii="SimSun" w:hAnsi="SimSun" w:eastAsia="SimSun" w:cs="SimSun"/>
          <w:sz w:val="24"/>
          <w:szCs w:val="24"/>
          <w:spacing w:val="-13"/>
        </w:rPr>
        <w:t>，</w:t>
      </w:r>
      <w:r>
        <w:rPr>
          <w:rFonts w:ascii="SimSun" w:hAnsi="SimSun" w:eastAsia="SimSun" w:cs="SimSun"/>
          <w:sz w:val="24"/>
          <w:szCs w:val="24"/>
        </w:rPr>
        <w:t xml:space="preserve"> </w:t>
      </w:r>
      <w:r>
        <w:rPr>
          <w:rFonts w:ascii="SimSun" w:hAnsi="SimSun" w:eastAsia="SimSun" w:cs="SimSun"/>
          <w:sz w:val="24"/>
          <w:szCs w:val="24"/>
          <w:spacing w:val="-2"/>
        </w:rPr>
        <w:t>平均厚度</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2.40m</w:t>
      </w:r>
      <w:r>
        <w:rPr>
          <w:rFonts w:ascii="SimSun" w:hAnsi="SimSun" w:eastAsia="SimSun" w:cs="SimSun"/>
          <w:sz w:val="24"/>
          <w:szCs w:val="24"/>
          <w:spacing w:val="-2"/>
        </w:rPr>
        <w:t>。</w:t>
      </w:r>
    </w:p>
    <w:p>
      <w:pPr>
        <w:ind w:left="8" w:firstLine="479"/>
        <w:spacing w:before="181" w:line="324" w:lineRule="auto"/>
        <w:rPr>
          <w:rFonts w:ascii="SimSun" w:hAnsi="SimSun" w:eastAsia="SimSun" w:cs="SimSun"/>
          <w:sz w:val="24"/>
          <w:szCs w:val="24"/>
        </w:rPr>
      </w:pPr>
      <w:r>
        <w:rPr>
          <w:rFonts w:ascii="SimSun" w:hAnsi="SimSun" w:eastAsia="SimSun" w:cs="SimSun"/>
          <w:sz w:val="24"/>
          <w:szCs w:val="24"/>
          <w:spacing w:val="-3"/>
        </w:rPr>
        <w:t>②细砂：浅黄色，稍密～中密，稍湿，颗粒较均匀，砂质较纯，分选性较好，</w:t>
      </w:r>
      <w:r>
        <w:rPr>
          <w:rFonts w:ascii="SimSun" w:hAnsi="SimSun" w:eastAsia="SimSun" w:cs="SimSun"/>
          <w:sz w:val="24"/>
          <w:szCs w:val="24"/>
          <w:spacing w:val="18"/>
        </w:rPr>
        <w:t xml:space="preserve"> </w:t>
      </w:r>
      <w:r>
        <w:rPr>
          <w:rFonts w:ascii="SimSun" w:hAnsi="SimSun" w:eastAsia="SimSun" w:cs="SimSun"/>
          <w:sz w:val="24"/>
          <w:szCs w:val="24"/>
          <w:spacing w:val="3"/>
        </w:rPr>
        <w:t>偶含中、粗砂颗粒，局部地段夹中砂透镜体，以长石</w:t>
      </w:r>
      <w:r>
        <w:rPr>
          <w:rFonts w:ascii="SimSun" w:hAnsi="SimSun" w:eastAsia="SimSun" w:cs="SimSun"/>
          <w:sz w:val="24"/>
          <w:szCs w:val="24"/>
          <w:spacing w:val="2"/>
        </w:rPr>
        <w:t>、石英为主要矿物成分。顶</w:t>
      </w:r>
      <w:r>
        <w:rPr>
          <w:rFonts w:ascii="SimSun" w:hAnsi="SimSun" w:eastAsia="SimSun" w:cs="SimSun"/>
          <w:sz w:val="24"/>
          <w:szCs w:val="24"/>
        </w:rPr>
        <w:t xml:space="preserve"> </w:t>
      </w:r>
      <w:r>
        <w:rPr>
          <w:rFonts w:ascii="SimSun" w:hAnsi="SimSun" w:eastAsia="SimSun" w:cs="SimSun"/>
          <w:sz w:val="24"/>
          <w:szCs w:val="24"/>
          <w:spacing w:val="-3"/>
        </w:rPr>
        <w:t>板埋深约</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2.30m~2.50m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，底板埋深约</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4.80m~5.20m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，厚度约</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2.40m~2.80m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，平均厚</w:t>
      </w:r>
      <w:r>
        <w:rPr>
          <w:rFonts w:ascii="SimSun" w:hAnsi="SimSun" w:eastAsia="SimSun" w:cs="SimSun"/>
          <w:sz w:val="24"/>
          <w:szCs w:val="24"/>
        </w:rPr>
        <w:t xml:space="preserve"> </w:t>
      </w:r>
      <w:r>
        <w:rPr>
          <w:rFonts w:ascii="SimSun" w:hAnsi="SimSun" w:eastAsia="SimSun" w:cs="SimSun"/>
          <w:sz w:val="24"/>
          <w:szCs w:val="24"/>
          <w:spacing w:val="-3"/>
        </w:rPr>
        <w:t>度</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2.66m</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3"/>
        </w:rPr>
        <w:t>。标准贯入试验锤击数</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12</w:t>
      </w:r>
      <w:r>
        <w:rPr>
          <w:rFonts w:ascii="SimSun" w:hAnsi="SimSun" w:eastAsia="SimSun" w:cs="SimSun"/>
          <w:sz w:val="24"/>
          <w:szCs w:val="24"/>
          <w:spacing w:val="-3"/>
        </w:rPr>
        <w:t>～</w:t>
      </w:r>
      <w:r>
        <w:rPr>
          <w:rFonts w:ascii="Times New Roman" w:hAnsi="Times New Roman" w:eastAsia="Times New Roman" w:cs="Times New Roman"/>
          <w:sz w:val="24"/>
          <w:szCs w:val="24"/>
          <w:spacing w:val="-3"/>
        </w:rPr>
        <w:t>17 </w:t>
      </w:r>
      <w:r>
        <w:rPr>
          <w:rFonts w:ascii="SimSun" w:hAnsi="SimSun" w:eastAsia="SimSun" w:cs="SimSun"/>
          <w:sz w:val="24"/>
          <w:szCs w:val="24"/>
          <w:spacing w:val="-3"/>
        </w:rPr>
        <w:t>击，修正后平均锤击数为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14.1 </w:t>
      </w:r>
      <w:r>
        <w:rPr>
          <w:rFonts w:ascii="SimSun" w:hAnsi="SimSun" w:eastAsia="SimSun" w:cs="SimSun"/>
          <w:sz w:val="24"/>
          <w:szCs w:val="24"/>
          <w:spacing w:val="-3"/>
        </w:rPr>
        <w:t>击。</w:t>
      </w:r>
    </w:p>
    <w:p>
      <w:pPr>
        <w:ind w:left="8" w:right="61" w:firstLine="479"/>
        <w:spacing w:before="185" w:line="324" w:lineRule="auto"/>
        <w:rPr>
          <w:rFonts w:ascii="SimSun" w:hAnsi="SimSun" w:eastAsia="SimSun" w:cs="SimSun"/>
          <w:sz w:val="24"/>
          <w:szCs w:val="24"/>
        </w:rPr>
      </w:pPr>
      <w:r>
        <w:rPr>
          <w:rFonts w:ascii="SimSun" w:hAnsi="SimSun" w:eastAsia="SimSun" w:cs="SimSun"/>
          <w:sz w:val="24"/>
          <w:szCs w:val="24"/>
          <w:spacing w:val="3"/>
        </w:rPr>
        <w:t>③粗砂：浅黄、褐黄色，中密，稍湿～饱和，颗粒不均匀，级配</w:t>
      </w:r>
      <w:r>
        <w:rPr>
          <w:rFonts w:ascii="SimSun" w:hAnsi="SimSun" w:eastAsia="SimSun" w:cs="SimSun"/>
          <w:sz w:val="24"/>
          <w:szCs w:val="24"/>
          <w:spacing w:val="2"/>
        </w:rPr>
        <w:t>心良好，含</w:t>
      </w:r>
      <w:r>
        <w:rPr>
          <w:rFonts w:ascii="SimSun" w:hAnsi="SimSun" w:eastAsia="SimSun" w:cs="SimSun"/>
          <w:sz w:val="24"/>
          <w:szCs w:val="24"/>
        </w:rPr>
        <w:t xml:space="preserve"> </w:t>
      </w:r>
      <w:r>
        <w:rPr>
          <w:rFonts w:ascii="SimSun" w:hAnsi="SimSun" w:eastAsia="SimSun" w:cs="SimSun"/>
          <w:sz w:val="24"/>
          <w:szCs w:val="24"/>
          <w:spacing w:val="3"/>
        </w:rPr>
        <w:t>细砂、中砂、砾砂，局部地段夹中砂透镜体，以长石</w:t>
      </w:r>
      <w:r>
        <w:rPr>
          <w:rFonts w:ascii="SimSun" w:hAnsi="SimSun" w:eastAsia="SimSun" w:cs="SimSun"/>
          <w:sz w:val="24"/>
          <w:szCs w:val="24"/>
          <w:spacing w:val="2"/>
        </w:rPr>
        <w:t>、石英为主要矿物成分。顶</w:t>
      </w:r>
      <w:r>
        <w:rPr>
          <w:rFonts w:ascii="SimSun" w:hAnsi="SimSun" w:eastAsia="SimSun" w:cs="SimSun"/>
          <w:sz w:val="24"/>
          <w:szCs w:val="24"/>
        </w:rPr>
        <w:t xml:space="preserve"> </w:t>
      </w:r>
      <w:r>
        <w:rPr>
          <w:rFonts w:ascii="SimSun" w:hAnsi="SimSun" w:eastAsia="SimSun" w:cs="SimSun"/>
          <w:sz w:val="24"/>
          <w:szCs w:val="24"/>
          <w:spacing w:val="-6"/>
        </w:rPr>
        <w:t>板埋深约</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6"/>
        </w:rPr>
        <w:t>4.80m~5.30m</w:t>
      </w:r>
      <w:r>
        <w:rPr>
          <w:rFonts w:ascii="SimSun" w:hAnsi="SimSun" w:eastAsia="SimSun" w:cs="SimSun"/>
          <w:sz w:val="24"/>
          <w:szCs w:val="24"/>
          <w:spacing w:val="-6"/>
        </w:rPr>
        <w:t>，标准贯入试验锤击数</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19</w:t>
      </w:r>
      <w:r>
        <w:rPr>
          <w:rFonts w:ascii="SimSun" w:hAnsi="SimSun" w:eastAsia="SimSun" w:cs="SimSun"/>
          <w:sz w:val="24"/>
          <w:szCs w:val="24"/>
          <w:spacing w:val="-6"/>
        </w:rPr>
        <w:t>～</w:t>
      </w:r>
      <w:r>
        <w:rPr>
          <w:rFonts w:ascii="Times New Roman" w:hAnsi="Times New Roman" w:eastAsia="Times New Roman" w:cs="Times New Roman"/>
          <w:sz w:val="24"/>
          <w:szCs w:val="24"/>
          <w:spacing w:val="-6"/>
        </w:rPr>
        <w:t>30 </w:t>
      </w:r>
      <w:r>
        <w:rPr>
          <w:rFonts w:ascii="SimSun" w:hAnsi="SimSun" w:eastAsia="SimSun" w:cs="SimSun"/>
          <w:sz w:val="24"/>
          <w:szCs w:val="24"/>
          <w:spacing w:val="-6"/>
        </w:rPr>
        <w:t>击</w:t>
      </w:r>
      <w:r>
        <w:rPr>
          <w:rFonts w:ascii="SimSun" w:hAnsi="SimSun" w:eastAsia="SimSun" w:cs="SimSun"/>
          <w:sz w:val="24"/>
          <w:szCs w:val="24"/>
          <w:spacing w:val="-7"/>
        </w:rPr>
        <w:t>，修正后平均锤击数为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19.1</w:t>
      </w:r>
      <w:r>
        <w:rPr>
          <w:rFonts w:ascii="Times New Roman" w:hAnsi="Times New Roman" w:eastAsia="Times New Roman" w:cs="Times New Roman"/>
          <w:sz w:val="24"/>
          <w:szCs w:val="24"/>
        </w:rPr>
        <w:t xml:space="preserve"> </w:t>
      </w:r>
      <w:r>
        <w:rPr>
          <w:rFonts w:ascii="SimSun" w:hAnsi="SimSun" w:eastAsia="SimSun" w:cs="SimSun"/>
          <w:sz w:val="24"/>
          <w:szCs w:val="24"/>
          <w:spacing w:val="-1"/>
        </w:rPr>
        <w:t>击。察工作在最大勘探深度范围内未穿透该层，揭露最大厚度约</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1"/>
        </w:rPr>
        <w:t>5.40m</w:t>
      </w:r>
      <w:r>
        <w:rPr>
          <w:rFonts w:ascii="SimSun" w:hAnsi="SimSun" w:eastAsia="SimSun" w:cs="SimSun"/>
          <w:sz w:val="24"/>
          <w:szCs w:val="24"/>
          <w:spacing w:val="-1"/>
        </w:rPr>
        <w:t>。</w:t>
      </w:r>
    </w:p>
    <w:p>
      <w:pPr>
        <w:spacing w:line="324" w:lineRule="auto"/>
        <w:sectPr>
          <w:headerReference w:type="default" r:id="rId16"/>
          <w:footerReference w:type="default" r:id="rId244"/>
          <w:pgSz w:w="11907" w:h="16840"/>
          <w:pgMar w:top="1567" w:right="1640" w:bottom="1921" w:left="1701" w:header="1221" w:footer="1247" w:gutter="0"/>
        </w:sectPr>
        <w:rPr>
          <w:rFonts w:ascii="SimSun" w:hAnsi="SimSun" w:eastAsia="SimSun" w:cs="SimSun"/>
          <w:sz w:val="24"/>
          <w:szCs w:val="24"/>
        </w:rPr>
      </w:pPr>
    </w:p>
    <w:p>
      <w:pPr>
        <w:ind w:firstLine="290"/>
        <w:spacing w:before="150" w:line="5863" w:lineRule="exact"/>
        <w:rPr/>
      </w:pPr>
      <w:r>
        <w:pict>
          <v:shape id="_x0000_s890" style="position:absolute;margin-left:85.05pt;margin-top:79.11pt;mso-position-vertical-relative:page;mso-position-horizontal-relative:page;width:425.25pt;height:0.75pt;z-index:252059648;" o:allowincell="f" fillcolor="#000000" filled="true" stroked="false" coordsize="8505,15" coordorigin="0,0" path="m,l8505,0l8505,14l0,14l0,0xe"/>
        </w:pict>
      </w:r>
      <w:r>
        <w:rPr>
          <w:position w:val="-117"/>
        </w:rPr>
        <w:drawing>
          <wp:inline distT="0" distB="0" distL="0" distR="0">
            <wp:extent cx="5021579" cy="3723132"/>
            <wp:effectExtent l="0" t="0" r="0" b="0"/>
            <wp:docPr id="138" name="IM 138"/>
            <wp:cNvGraphicFramePr/>
            <a:graphic>
              <a:graphicData uri="http://schemas.openxmlformats.org/drawingml/2006/picture">
                <pic:pic>
                  <pic:nvPicPr>
                    <pic:cNvPr id="138" name="IM 138"/>
                    <pic:cNvPicPr/>
                  </pic:nvPicPr>
                  <pic:blipFill>
                    <a:blip r:embed="rId245"/>
                    <a:stretch>
                      <a:fillRect/>
                    </a:stretch>
                  </pic:blipFill>
                  <pic:spPr>
                    <a:xfrm rot="0">
                      <a:off x="0" y="0"/>
                      <a:ext cx="5021579" cy="3723132"/>
                    </a:xfrm>
                    <a:prstGeom prst="rect">
                      <a:avLst/>
                    </a:prstGeom>
                  </pic:spPr>
                </pic:pic>
              </a:graphicData>
            </a:graphic>
          </wp:inline>
        </w:drawing>
      </w:r>
    </w:p>
    <w:p>
      <w:pPr>
        <w:ind w:left="2560"/>
        <w:spacing w:before="207" w:line="220"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4"/>
        </w:rPr>
        <w:t xml:space="preserve"> </w:t>
      </w:r>
      <w:r>
        <w:rPr>
          <w:rFonts w:ascii="Times New Roman" w:hAnsi="Times New Roman" w:eastAsia="Times New Roman" w:cs="Times New Roman"/>
          <w:sz w:val="24"/>
          <w:szCs w:val="24"/>
          <w:b/>
          <w:bCs/>
          <w:spacing w:val="-3"/>
        </w:rPr>
        <w:t>5.3-6        </w:t>
      </w:r>
      <w:r>
        <w:rPr>
          <w:rFonts w:ascii="SimSun" w:hAnsi="SimSun" w:eastAsia="SimSun" w:cs="SimSun"/>
          <w:sz w:val="24"/>
          <w:szCs w:val="24"/>
          <w:b/>
          <w:bCs/>
          <w:spacing w:val="-3"/>
        </w:rPr>
        <w:t>厂区工程地质剖面图</w:t>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ind w:left="7"/>
        <w:spacing w:before="61" w:line="227" w:lineRule="auto"/>
        <w:rPr>
          <w:rFonts w:ascii="SimSun" w:hAnsi="SimSun" w:eastAsia="SimSun" w:cs="SimSun"/>
          <w:sz w:val="19"/>
          <w:szCs w:val="19"/>
        </w:rPr>
      </w:pPr>
      <w:r>
        <w:pict>
          <v:shape id="_x0000_s892" style="position:absolute;margin-left:159.33pt;margin-top:2.09306pt;mso-position-vertical-relative:text;mso-position-horizontal-relative:text;width:61pt;height:13.75pt;z-index:25205862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rPr>
                    <w:t>任公司</w:t>
                  </w:r>
                  <w:r>
                    <w:rPr>
                      <w:rFonts w:ascii="SimSun" w:hAnsi="SimSun" w:eastAsia="SimSun" w:cs="SimSun"/>
                      <w:sz w:val="19"/>
                      <w:szCs w:val="19"/>
                      <w:spacing w:val="18"/>
                    </w:rPr>
                    <w:t xml:space="preserve">   </w:t>
                  </w:r>
                  <w:r>
                    <w:rPr>
                      <w:rFonts w:ascii="Times New Roman" w:hAnsi="Times New Roman" w:eastAsia="Times New Roman" w:cs="Times New Roman"/>
                      <w:sz w:val="18"/>
                      <w:szCs w:val="18"/>
                      <w:position w:val="2"/>
                    </w:rPr>
                    <w:t>185</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2"/>
          <w:footerReference w:type="default" r:id="rId3"/>
          <w:pgSz w:w="11907" w:h="16840"/>
          <w:pgMar w:top="1567" w:right="1700" w:bottom="400" w:left="1701" w:header="1221" w:footer="0" w:gutter="0"/>
        </w:sectPr>
        <w:rPr>
          <w:rFonts w:ascii="SimSun" w:hAnsi="SimSun" w:eastAsia="SimSun" w:cs="SimSun"/>
          <w:sz w:val="19"/>
          <w:szCs w:val="19"/>
        </w:rPr>
      </w:pPr>
    </w:p>
    <w:p>
      <w:pPr>
        <w:ind w:firstLine="290"/>
        <w:spacing w:before="133" w:line="10764" w:lineRule="exact"/>
        <w:rPr/>
      </w:pPr>
      <w:r>
        <w:pict>
          <v:shape id="_x0000_s894" style="position:absolute;margin-left:85.05pt;margin-top:78.87pt;mso-position-vertical-relative:page;mso-position-horizontal-relative:page;width:425.25pt;height:0.75pt;z-index:252060672;" o:allowincell="f" fillcolor="#000000" filled="true" stroked="false" coordsize="8505,15" coordorigin="0,0" path="m,l8505,0l8505,14l0,14l0,0xe"/>
        </w:pict>
      </w:r>
      <w:r>
        <w:rPr>
          <w:position w:val="-215"/>
        </w:rPr>
        <w:drawing>
          <wp:inline distT="0" distB="0" distL="0" distR="0">
            <wp:extent cx="5024628" cy="6835140"/>
            <wp:effectExtent l="0" t="0" r="0" b="0"/>
            <wp:docPr id="140" name="IM 140"/>
            <wp:cNvGraphicFramePr/>
            <a:graphic>
              <a:graphicData uri="http://schemas.openxmlformats.org/drawingml/2006/picture">
                <pic:pic>
                  <pic:nvPicPr>
                    <pic:cNvPr id="140" name="IM 140"/>
                    <pic:cNvPicPr/>
                  </pic:nvPicPr>
                  <pic:blipFill>
                    <a:blip r:embed="rId247"/>
                    <a:stretch>
                      <a:fillRect/>
                    </a:stretch>
                  </pic:blipFill>
                  <pic:spPr>
                    <a:xfrm rot="0">
                      <a:off x="0" y="0"/>
                      <a:ext cx="5024628" cy="6835140"/>
                    </a:xfrm>
                    <a:prstGeom prst="rect">
                      <a:avLst/>
                    </a:prstGeom>
                  </pic:spPr>
                </pic:pic>
              </a:graphicData>
            </a:graphic>
          </wp:inline>
        </w:drawing>
      </w:r>
    </w:p>
    <w:p>
      <w:pPr>
        <w:ind w:left="2507"/>
        <w:spacing w:before="196"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3"/>
        </w:rPr>
        <w:t>5.3-7        </w:t>
      </w:r>
      <w:r>
        <w:rPr>
          <w:rFonts w:ascii="SimSun" w:hAnsi="SimSun" w:eastAsia="SimSun" w:cs="SimSun"/>
          <w:sz w:val="24"/>
          <w:szCs w:val="24"/>
          <w:b/>
          <w:bCs/>
          <w:spacing w:val="-3"/>
        </w:rPr>
        <w:t>厂区</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3"/>
        </w:rPr>
        <w:t>ZK1</w:t>
      </w:r>
      <w:r>
        <w:rPr>
          <w:rFonts w:ascii="Times New Roman" w:hAnsi="Times New Roman" w:eastAsia="Times New Roman" w:cs="Times New Roman"/>
          <w:sz w:val="24"/>
          <w:szCs w:val="24"/>
          <w:b/>
          <w:bCs/>
          <w:spacing w:val="11"/>
        </w:rPr>
        <w:t xml:space="preserve"> </w:t>
      </w:r>
      <w:r>
        <w:rPr>
          <w:rFonts w:ascii="SimSun" w:hAnsi="SimSun" w:eastAsia="SimSun" w:cs="SimSun"/>
          <w:sz w:val="24"/>
          <w:szCs w:val="24"/>
          <w:b/>
          <w:bCs/>
          <w:spacing w:val="-3"/>
        </w:rPr>
        <w:t>钻孔柱状图</w:t>
      </w:r>
    </w:p>
    <w:p>
      <w:pPr>
        <w:ind w:left="501"/>
        <w:spacing w:before="183"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）厂区地下水含水岩组及特征</w:t>
      </w:r>
    </w:p>
    <w:p>
      <w:pPr>
        <w:ind w:left="9" w:firstLine="482"/>
        <w:spacing w:before="179" w:line="337" w:lineRule="auto"/>
        <w:rPr>
          <w:rFonts w:ascii="SimSun" w:hAnsi="SimSun" w:eastAsia="SimSun" w:cs="SimSun"/>
          <w:sz w:val="24"/>
          <w:szCs w:val="24"/>
        </w:rPr>
      </w:pPr>
      <w:r>
        <w:rPr>
          <w:rFonts w:ascii="SimSun" w:hAnsi="SimSun" w:eastAsia="SimSun" w:cs="SimSun"/>
          <w:sz w:val="24"/>
          <w:szCs w:val="24"/>
          <w:spacing w:val="-2"/>
        </w:rPr>
        <w:t>厂区所在位置地层主要第四系全新统冲洪积层，赋存第四系松散岩类孔隙</w:t>
      </w:r>
      <w:r>
        <w:rPr>
          <w:rFonts w:ascii="SimSun" w:hAnsi="SimSun" w:eastAsia="SimSun" w:cs="SimSun"/>
          <w:sz w:val="24"/>
          <w:szCs w:val="24"/>
          <w:spacing w:val="-3"/>
        </w:rPr>
        <w:t>水。</w:t>
      </w:r>
      <w:r>
        <w:rPr>
          <w:rFonts w:ascii="SimSun" w:hAnsi="SimSun" w:eastAsia="SimSun" w:cs="SimSun"/>
          <w:sz w:val="24"/>
          <w:szCs w:val="24"/>
        </w:rPr>
        <w:t xml:space="preserve"> </w:t>
      </w:r>
      <w:r>
        <w:rPr>
          <w:rFonts w:ascii="SimSun" w:hAnsi="SimSun" w:eastAsia="SimSun" w:cs="SimSun"/>
          <w:sz w:val="24"/>
          <w:szCs w:val="24"/>
          <w:spacing w:val="10"/>
        </w:rPr>
        <w:t>根据工勘报告，水位埋深在</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0"/>
        </w:rPr>
        <w:t>6.4~6.9m</w:t>
      </w:r>
      <w:r>
        <w:rPr>
          <w:rFonts w:ascii="Times New Roman" w:hAnsi="Times New Roman" w:eastAsia="Times New Roman" w:cs="Times New Roman"/>
          <w:sz w:val="24"/>
          <w:szCs w:val="24"/>
          <w:spacing w:val="26"/>
          <w:w w:val="101"/>
        </w:rPr>
        <w:t xml:space="preserve"> </w:t>
      </w:r>
      <w:r>
        <w:rPr>
          <w:rFonts w:ascii="SimSun" w:hAnsi="SimSun" w:eastAsia="SimSun" w:cs="SimSun"/>
          <w:sz w:val="24"/>
          <w:szCs w:val="24"/>
          <w:spacing w:val="10"/>
        </w:rPr>
        <w:t>之间</w:t>
      </w:r>
      <w:r>
        <w:rPr>
          <w:rFonts w:ascii="SimSun" w:hAnsi="SimSun" w:eastAsia="SimSun" w:cs="SimSun"/>
          <w:sz w:val="24"/>
          <w:szCs w:val="24"/>
          <w:spacing w:val="-71"/>
        </w:rPr>
        <w:t xml:space="preserve"> </w:t>
      </w:r>
      <w:r>
        <w:rPr>
          <w:rFonts w:ascii="SimSun" w:hAnsi="SimSun" w:eastAsia="SimSun" w:cs="SimSun"/>
          <w:sz w:val="24"/>
          <w:szCs w:val="24"/>
          <w:spacing w:val="10"/>
        </w:rPr>
        <w:t>。厂区地下水接受大气降水和侧向</w:t>
      </w:r>
      <w:r>
        <w:rPr>
          <w:rFonts w:ascii="SimSun" w:hAnsi="SimSun" w:eastAsia="SimSun" w:cs="SimSun"/>
          <w:sz w:val="24"/>
          <w:szCs w:val="24"/>
        </w:rPr>
        <w:t xml:space="preserve"> </w:t>
      </w:r>
      <w:r>
        <w:rPr>
          <w:rFonts w:ascii="SimSun" w:hAnsi="SimSun" w:eastAsia="SimSun" w:cs="SimSun"/>
          <w:sz w:val="24"/>
          <w:szCs w:val="24"/>
          <w:spacing w:val="16"/>
        </w:rPr>
        <w:t>补给后自东北向西南径流</w:t>
      </w:r>
      <w:r>
        <w:rPr>
          <w:rFonts w:ascii="SimSun" w:hAnsi="SimSun" w:eastAsia="SimSun" w:cs="SimSun"/>
          <w:sz w:val="24"/>
          <w:szCs w:val="24"/>
          <w:spacing w:val="-70"/>
        </w:rPr>
        <w:t xml:space="preserve"> </w:t>
      </w:r>
      <w:r>
        <w:rPr>
          <w:rFonts w:ascii="SimSun" w:hAnsi="SimSun" w:eastAsia="SimSun" w:cs="SimSun"/>
          <w:sz w:val="24"/>
          <w:szCs w:val="24"/>
          <w:spacing w:val="16"/>
        </w:rPr>
        <w:t>。含水岩组富水性及水质特征与评</w:t>
      </w:r>
      <w:r>
        <w:rPr>
          <w:rFonts w:ascii="SimSun" w:hAnsi="SimSun" w:eastAsia="SimSun" w:cs="SimSun"/>
          <w:sz w:val="24"/>
          <w:szCs w:val="24"/>
          <w:spacing w:val="15"/>
        </w:rPr>
        <w:t>价区含水岩组一</w:t>
      </w:r>
    </w:p>
    <w:p>
      <w:pPr>
        <w:spacing w:line="337" w:lineRule="auto"/>
        <w:sectPr>
          <w:headerReference w:type="default" r:id="rId11"/>
          <w:footerReference w:type="default" r:id="rId246"/>
          <w:pgSz w:w="11907" w:h="16840"/>
          <w:pgMar w:top="1567" w:right="1621" w:bottom="1921" w:left="1701" w:header="1221" w:footer="1247" w:gutter="0"/>
        </w:sectPr>
        <w:rPr>
          <w:rFonts w:ascii="SimSun" w:hAnsi="SimSun" w:eastAsia="SimSun" w:cs="SimSun"/>
          <w:sz w:val="24"/>
          <w:szCs w:val="24"/>
        </w:rPr>
      </w:pPr>
    </w:p>
    <w:p>
      <w:pPr>
        <w:ind w:left="9"/>
        <w:spacing w:before="187" w:line="220" w:lineRule="auto"/>
        <w:rPr>
          <w:rFonts w:ascii="SimSun" w:hAnsi="SimSun" w:eastAsia="SimSun" w:cs="SimSun"/>
          <w:sz w:val="24"/>
          <w:szCs w:val="24"/>
        </w:rPr>
      </w:pPr>
      <w:r>
        <w:pict>
          <v:shape id="_x0000_s898" style="position:absolute;margin-left:85.05pt;margin-top:79.11pt;mso-position-vertical-relative:page;mso-position-horizontal-relative:page;width:425.25pt;height:0.75pt;z-index:252063744;" o:allowincell="f" fillcolor="#000000" filled="true" stroked="false" coordsize="8505,15" coordorigin="0,0" path="m,l8505,0l8505,14l0,14l0,0xe"/>
        </w:pict>
      </w:r>
      <w:r>
        <w:rPr>
          <w:rFonts w:ascii="SimSun" w:hAnsi="SimSun" w:eastAsia="SimSun" w:cs="SimSun"/>
          <w:sz w:val="24"/>
          <w:szCs w:val="24"/>
          <w:spacing w:val="-5"/>
        </w:rPr>
        <w:t>致。</w:t>
      </w:r>
    </w:p>
    <w:p>
      <w:pPr>
        <w:ind w:left="501"/>
        <w:spacing w:before="179"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）厂区包气带及其防污性能</w:t>
      </w:r>
    </w:p>
    <w:p>
      <w:pPr>
        <w:ind w:left="11" w:right="2" w:firstLine="480"/>
        <w:spacing w:before="180" w:line="362" w:lineRule="auto"/>
        <w:rPr>
          <w:rFonts w:ascii="SimSun" w:hAnsi="SimSun" w:eastAsia="SimSun" w:cs="SimSun"/>
          <w:sz w:val="24"/>
          <w:szCs w:val="24"/>
        </w:rPr>
      </w:pPr>
      <w:r>
        <w:rPr>
          <w:rFonts w:ascii="SimSun" w:hAnsi="SimSun" w:eastAsia="SimSun" w:cs="SimSun"/>
          <w:sz w:val="24"/>
          <w:szCs w:val="24"/>
          <w:spacing w:val="-2"/>
        </w:rPr>
        <w:t>厂区包气带厚度约为</w:t>
      </w:r>
      <w:r>
        <w:rPr>
          <w:rFonts w:ascii="Times New Roman" w:hAnsi="Times New Roman" w:eastAsia="Times New Roman" w:cs="Times New Roman"/>
          <w:sz w:val="24"/>
          <w:szCs w:val="24"/>
          <w:spacing w:val="-2"/>
        </w:rPr>
        <w:t>6.4-6.9m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，岩性为细砂、粗砂层</w:t>
      </w:r>
      <w:r>
        <w:rPr>
          <w:rFonts w:ascii="SimSun" w:hAnsi="SimSun" w:eastAsia="SimSun" w:cs="SimSun"/>
          <w:sz w:val="24"/>
          <w:szCs w:val="24"/>
          <w:spacing w:val="-3"/>
        </w:rPr>
        <w:t>，垂向渗透系数按岩性取</w:t>
      </w:r>
      <w:r>
        <w:rPr>
          <w:rFonts w:ascii="SimSun" w:hAnsi="SimSun" w:eastAsia="SimSun" w:cs="SimSun"/>
          <w:sz w:val="24"/>
          <w:szCs w:val="24"/>
        </w:rPr>
        <w:t xml:space="preserve"> </w:t>
      </w:r>
      <w:r>
        <w:rPr>
          <w:rFonts w:ascii="SimSun" w:hAnsi="SimSun" w:eastAsia="SimSun" w:cs="SimSun"/>
          <w:sz w:val="24"/>
          <w:szCs w:val="24"/>
          <w:spacing w:val="-1"/>
        </w:rPr>
        <w:t>经验值约为</w:t>
      </w:r>
      <w:r>
        <w:rPr>
          <w:rFonts w:ascii="Times New Roman" w:hAnsi="Times New Roman" w:eastAsia="Times New Roman" w:cs="Times New Roman"/>
          <w:sz w:val="24"/>
          <w:szCs w:val="24"/>
          <w:spacing w:val="-1"/>
        </w:rPr>
        <w:t>5.79×10</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cm/s~5.78×10</w:t>
      </w:r>
      <w:r>
        <w:rPr>
          <w:rFonts w:ascii="Times New Roman" w:hAnsi="Times New Roman" w:eastAsia="Times New Roman" w:cs="Times New Roman"/>
          <w:sz w:val="15"/>
          <w:szCs w:val="15"/>
          <w:spacing w:val="-1"/>
          <w:position w:val="8"/>
        </w:rPr>
        <w:t>-2</w:t>
      </w:r>
      <w:r>
        <w:rPr>
          <w:rFonts w:ascii="Times New Roman" w:hAnsi="Times New Roman" w:eastAsia="Times New Roman" w:cs="Times New Roman"/>
          <w:sz w:val="24"/>
          <w:szCs w:val="24"/>
          <w:spacing w:val="-1"/>
        </w:rPr>
        <w:t>cm/s</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1"/>
        </w:rPr>
        <w:t>，包气带防污性能为</w:t>
      </w:r>
      <w:r>
        <w:rPr>
          <w:rFonts w:ascii="Times New Roman" w:hAnsi="Times New Roman" w:eastAsia="Times New Roman" w:cs="Times New Roman"/>
          <w:sz w:val="24"/>
          <w:szCs w:val="24"/>
          <w:spacing w:val="-1"/>
        </w:rPr>
        <w:t>“</w:t>
      </w:r>
      <w:r>
        <w:rPr>
          <w:rFonts w:ascii="SimSun" w:hAnsi="SimSun" w:eastAsia="SimSun" w:cs="SimSun"/>
          <w:sz w:val="24"/>
          <w:szCs w:val="24"/>
          <w:spacing w:val="-1"/>
        </w:rPr>
        <w:t>弱</w:t>
      </w:r>
      <w:r>
        <w:rPr>
          <w:rFonts w:ascii="Times New Roman" w:hAnsi="Times New Roman" w:eastAsia="Times New Roman" w:cs="Times New Roman"/>
          <w:sz w:val="24"/>
          <w:szCs w:val="24"/>
          <w:spacing w:val="-1"/>
        </w:rPr>
        <w:t>”</w:t>
      </w:r>
      <w:r>
        <w:rPr>
          <w:rFonts w:ascii="SimSun" w:hAnsi="SimSun" w:eastAsia="SimSun" w:cs="SimSun"/>
          <w:sz w:val="24"/>
          <w:szCs w:val="24"/>
          <w:spacing w:val="-1"/>
        </w:rPr>
        <w:t>。</w:t>
      </w:r>
    </w:p>
    <w:p>
      <w:pPr>
        <w:ind w:left="14"/>
        <w:spacing w:before="121" w:line="222" w:lineRule="auto"/>
        <w:outlineLvl w:val="2"/>
        <w:rPr>
          <w:rFonts w:ascii="SimHei" w:hAnsi="SimHei" w:eastAsia="SimHei" w:cs="SimHei"/>
          <w:sz w:val="28"/>
          <w:szCs w:val="28"/>
        </w:rPr>
      </w:pPr>
      <w:bookmarkStart w:name="bookmark100" w:id="126"/>
      <w:bookmarkEnd w:id="126"/>
      <w:r>
        <w:rPr>
          <w:rFonts w:ascii="Times New Roman" w:hAnsi="Times New Roman" w:eastAsia="Times New Roman" w:cs="Times New Roman"/>
          <w:sz w:val="28"/>
          <w:szCs w:val="28"/>
          <w:spacing w:val="-1"/>
        </w:rPr>
        <w:t>5.3.2 </w:t>
      </w:r>
      <w:r>
        <w:rPr>
          <w:rFonts w:ascii="SimHei" w:hAnsi="SimHei" w:eastAsia="SimHei" w:cs="SimHei"/>
          <w:sz w:val="28"/>
          <w:szCs w:val="28"/>
          <w:spacing w:val="-1"/>
        </w:rPr>
        <w:t>地下水影响预测与评价</w:t>
      </w:r>
    </w:p>
    <w:p>
      <w:pPr>
        <w:pStyle w:val="BodyText"/>
        <w:spacing w:line="243" w:lineRule="auto"/>
        <w:rPr/>
      </w:pPr>
      <w:r/>
    </w:p>
    <w:p>
      <w:pPr>
        <w:ind w:left="8"/>
        <w:spacing w:before="78"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5.3.2.1 </w:t>
      </w:r>
      <w:r>
        <w:rPr>
          <w:rFonts w:ascii="SimSun" w:hAnsi="SimSun" w:eastAsia="SimSun" w:cs="SimSun"/>
          <w:sz w:val="24"/>
          <w:szCs w:val="24"/>
          <w:b/>
          <w:bCs/>
          <w:spacing w:val="-2"/>
        </w:rPr>
        <w:t>地下水流数值模型</w:t>
      </w:r>
    </w:p>
    <w:p>
      <w:pPr>
        <w:ind w:left="11" w:right="2" w:firstLine="478"/>
        <w:spacing w:before="180" w:line="359" w:lineRule="auto"/>
        <w:rPr>
          <w:rFonts w:ascii="SimSun" w:hAnsi="SimSun" w:eastAsia="SimSun" w:cs="SimSun"/>
          <w:sz w:val="24"/>
          <w:szCs w:val="24"/>
        </w:rPr>
      </w:pPr>
      <w:r>
        <w:rPr>
          <w:rFonts w:ascii="SimSun" w:hAnsi="SimSun" w:eastAsia="SimSun" w:cs="SimSun"/>
          <w:sz w:val="24"/>
          <w:szCs w:val="24"/>
          <w:spacing w:val="-1"/>
        </w:rPr>
        <w:t>根据《环境影响评价技术导则 地下水环境》（</w:t>
      </w:r>
      <w:r>
        <w:rPr>
          <w:rFonts w:ascii="Times New Roman" w:hAnsi="Times New Roman" w:eastAsia="Times New Roman" w:cs="Times New Roman"/>
          <w:sz w:val="24"/>
          <w:szCs w:val="24"/>
          <w:spacing w:val="-1"/>
        </w:rPr>
        <w:t>HJ610-2016</w:t>
      </w:r>
      <w:r>
        <w:rPr>
          <w:rFonts w:ascii="SimSun" w:hAnsi="SimSun" w:eastAsia="SimSun" w:cs="SimSun"/>
          <w:sz w:val="24"/>
          <w:szCs w:val="24"/>
          <w:spacing w:val="11"/>
        </w:rPr>
        <w:t>），</w:t>
      </w:r>
      <w:r>
        <w:rPr>
          <w:rFonts w:ascii="SimSun" w:hAnsi="SimSun" w:eastAsia="SimSun" w:cs="SimSun"/>
          <w:sz w:val="24"/>
          <w:szCs w:val="24"/>
          <w:spacing w:val="-1"/>
        </w:rPr>
        <w:t>本次评价采用</w:t>
      </w:r>
      <w:r>
        <w:rPr>
          <w:rFonts w:ascii="SimSun" w:hAnsi="SimSun" w:eastAsia="SimSun" w:cs="SimSun"/>
          <w:sz w:val="24"/>
          <w:szCs w:val="24"/>
          <w:spacing w:val="1"/>
        </w:rPr>
        <w:t xml:space="preserve"> </w:t>
      </w:r>
      <w:r>
        <w:rPr>
          <w:rFonts w:ascii="SimSun" w:hAnsi="SimSun" w:eastAsia="SimSun" w:cs="SimSun"/>
          <w:sz w:val="24"/>
          <w:szCs w:val="24"/>
          <w:spacing w:val="-1"/>
        </w:rPr>
        <w:t>数值法进行地下水环境影响的预测和评价。</w:t>
      </w:r>
    </w:p>
    <w:p>
      <w:pPr>
        <w:ind w:left="9" w:firstLine="480"/>
        <w:spacing w:before="2" w:line="359" w:lineRule="auto"/>
        <w:jc w:val="both"/>
        <w:rPr>
          <w:rFonts w:ascii="SimSun" w:hAnsi="SimSun" w:eastAsia="SimSun" w:cs="SimSun"/>
          <w:sz w:val="24"/>
          <w:szCs w:val="24"/>
        </w:rPr>
      </w:pPr>
      <w:r>
        <w:rPr>
          <w:rFonts w:ascii="SimSun" w:hAnsi="SimSun" w:eastAsia="SimSun" w:cs="SimSun"/>
          <w:sz w:val="24"/>
          <w:szCs w:val="24"/>
          <w:spacing w:val="3"/>
        </w:rPr>
        <w:t>地下水数值模型是地下水资源评价和预测地下水系统状态及其变化</w:t>
      </w:r>
      <w:r>
        <w:rPr>
          <w:rFonts w:ascii="SimSun" w:hAnsi="SimSun" w:eastAsia="SimSun" w:cs="SimSun"/>
          <w:sz w:val="24"/>
          <w:szCs w:val="24"/>
          <w:spacing w:val="2"/>
        </w:rPr>
        <w:t>趋势的有</w:t>
      </w:r>
      <w:r>
        <w:rPr>
          <w:rFonts w:ascii="SimSun" w:hAnsi="SimSun" w:eastAsia="SimSun" w:cs="SimSun"/>
          <w:sz w:val="24"/>
          <w:szCs w:val="24"/>
        </w:rPr>
        <w:t xml:space="preserve"> </w:t>
      </w:r>
      <w:r>
        <w:rPr>
          <w:rFonts w:ascii="SimSun" w:hAnsi="SimSun" w:eastAsia="SimSun" w:cs="SimSun"/>
          <w:sz w:val="24"/>
          <w:szCs w:val="24"/>
          <w:spacing w:val="3"/>
        </w:rPr>
        <w:t>效工具。本次预测在水文地质条件概化的基础上，运用</w:t>
      </w:r>
      <w:r>
        <w:rPr>
          <w:rFonts w:ascii="SimSun" w:hAnsi="SimSun" w:eastAsia="SimSun" w:cs="SimSun"/>
          <w:sz w:val="24"/>
          <w:szCs w:val="24"/>
          <w:spacing w:val="2"/>
        </w:rPr>
        <w:t>地下水数值模拟软件建立</w:t>
      </w:r>
      <w:r>
        <w:rPr>
          <w:rFonts w:ascii="SimSun" w:hAnsi="SimSun" w:eastAsia="SimSun" w:cs="SimSun"/>
          <w:sz w:val="24"/>
          <w:szCs w:val="24"/>
        </w:rPr>
        <w:t xml:space="preserve"> </w:t>
      </w:r>
      <w:r>
        <w:rPr>
          <w:rFonts w:ascii="SimSun" w:hAnsi="SimSun" w:eastAsia="SimSun" w:cs="SimSun"/>
          <w:sz w:val="24"/>
          <w:szCs w:val="24"/>
          <w:spacing w:val="3"/>
        </w:rPr>
        <w:t>地下水流模拟模型，并通过流场和水位过程线的拟合，对</w:t>
      </w:r>
      <w:r>
        <w:rPr>
          <w:rFonts w:ascii="SimSun" w:hAnsi="SimSun" w:eastAsia="SimSun" w:cs="SimSun"/>
          <w:sz w:val="24"/>
          <w:szCs w:val="24"/>
          <w:spacing w:val="2"/>
        </w:rPr>
        <w:t>模型进行识别和验证，</w:t>
      </w:r>
      <w:r>
        <w:rPr>
          <w:rFonts w:ascii="SimSun" w:hAnsi="SimSun" w:eastAsia="SimSun" w:cs="SimSun"/>
          <w:sz w:val="24"/>
          <w:szCs w:val="24"/>
        </w:rPr>
        <w:t xml:space="preserve"> </w:t>
      </w:r>
      <w:r>
        <w:rPr>
          <w:rFonts w:ascii="SimSun" w:hAnsi="SimSun" w:eastAsia="SimSun" w:cs="SimSun"/>
          <w:sz w:val="24"/>
          <w:szCs w:val="24"/>
          <w:spacing w:val="3"/>
        </w:rPr>
        <w:t>为地下水变化趋势预测奠定基础，为厂区平面布局方案</w:t>
      </w:r>
      <w:r>
        <w:rPr>
          <w:rFonts w:ascii="SimSun" w:hAnsi="SimSun" w:eastAsia="SimSun" w:cs="SimSun"/>
          <w:sz w:val="24"/>
          <w:szCs w:val="24"/>
          <w:spacing w:val="2"/>
        </w:rPr>
        <w:t>的确定及其环境影响评价</w:t>
      </w:r>
      <w:r>
        <w:rPr>
          <w:rFonts w:ascii="SimSun" w:hAnsi="SimSun" w:eastAsia="SimSun" w:cs="SimSun"/>
          <w:sz w:val="24"/>
          <w:szCs w:val="24"/>
        </w:rPr>
        <w:t xml:space="preserve"> </w:t>
      </w:r>
      <w:r>
        <w:rPr>
          <w:rFonts w:ascii="SimSun" w:hAnsi="SimSun" w:eastAsia="SimSun" w:cs="SimSun"/>
          <w:sz w:val="24"/>
          <w:szCs w:val="24"/>
          <w:spacing w:val="-2"/>
        </w:rPr>
        <w:t>提供有效的工具。</w:t>
      </w:r>
    </w:p>
    <w:p>
      <w:pPr>
        <w:ind w:left="508"/>
        <w:spacing w:line="219" w:lineRule="auto"/>
        <w:rPr>
          <w:rFonts w:ascii="SimSun" w:hAnsi="SimSun" w:eastAsia="SimSun" w:cs="SimSun"/>
          <w:sz w:val="24"/>
          <w:szCs w:val="24"/>
        </w:rPr>
      </w:pP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6"/>
        </w:rPr>
        <w:t>、水文地质概念模型</w:t>
      </w:r>
    </w:p>
    <w:p>
      <w:pPr>
        <w:ind w:left="8" w:firstLine="482"/>
        <w:spacing w:before="181" w:line="359" w:lineRule="auto"/>
        <w:rPr>
          <w:rFonts w:ascii="SimSun" w:hAnsi="SimSun" w:eastAsia="SimSun" w:cs="SimSun"/>
          <w:sz w:val="24"/>
          <w:szCs w:val="24"/>
        </w:rPr>
      </w:pPr>
      <w:r>
        <w:rPr>
          <w:rFonts w:ascii="SimSun" w:hAnsi="SimSun" w:eastAsia="SimSun" w:cs="SimSun"/>
          <w:sz w:val="24"/>
          <w:szCs w:val="24"/>
          <w:spacing w:val="3"/>
        </w:rPr>
        <w:t>数值模拟中的水文地质概念模型是对评价区水文地质条件的简</w:t>
      </w:r>
      <w:r>
        <w:rPr>
          <w:rFonts w:ascii="SimSun" w:hAnsi="SimSun" w:eastAsia="SimSun" w:cs="SimSun"/>
          <w:sz w:val="24"/>
          <w:szCs w:val="24"/>
          <w:spacing w:val="2"/>
        </w:rPr>
        <w:t>化，使得水文</w:t>
      </w:r>
      <w:r>
        <w:rPr>
          <w:rFonts w:ascii="SimSun" w:hAnsi="SimSun" w:eastAsia="SimSun" w:cs="SimSun"/>
          <w:sz w:val="24"/>
          <w:szCs w:val="24"/>
        </w:rPr>
        <w:t xml:space="preserve"> </w:t>
      </w:r>
      <w:r>
        <w:rPr>
          <w:rFonts w:ascii="SimSun" w:hAnsi="SimSun" w:eastAsia="SimSun" w:cs="SimSun"/>
          <w:sz w:val="24"/>
          <w:szCs w:val="24"/>
          <w:spacing w:val="3"/>
        </w:rPr>
        <w:t>地质条件尽可能简单明了，并准确充分地反映地下水系统</w:t>
      </w:r>
      <w:r>
        <w:rPr>
          <w:rFonts w:ascii="SimSun" w:hAnsi="SimSun" w:eastAsia="SimSun" w:cs="SimSun"/>
          <w:sz w:val="24"/>
          <w:szCs w:val="24"/>
          <w:spacing w:val="2"/>
        </w:rPr>
        <w:t>的主要功能和特征。根</w:t>
      </w:r>
      <w:r>
        <w:rPr>
          <w:rFonts w:ascii="SimSun" w:hAnsi="SimSun" w:eastAsia="SimSun" w:cs="SimSun"/>
          <w:sz w:val="24"/>
          <w:szCs w:val="24"/>
        </w:rPr>
        <w:t xml:space="preserve"> </w:t>
      </w:r>
      <w:r>
        <w:rPr>
          <w:rFonts w:ascii="SimSun" w:hAnsi="SimSun" w:eastAsia="SimSun" w:cs="SimSun"/>
          <w:sz w:val="24"/>
          <w:szCs w:val="24"/>
          <w:spacing w:val="3"/>
        </w:rPr>
        <w:t>据评价区的地层岩性、地质构造、水动力场、水化学场等</w:t>
      </w:r>
      <w:r>
        <w:rPr>
          <w:rFonts w:ascii="SimSun" w:hAnsi="SimSun" w:eastAsia="SimSun" w:cs="SimSun"/>
          <w:sz w:val="24"/>
          <w:szCs w:val="24"/>
          <w:spacing w:val="2"/>
        </w:rPr>
        <w:t>的分析，来确定水文地</w:t>
      </w:r>
      <w:r>
        <w:rPr>
          <w:rFonts w:ascii="SimSun" w:hAnsi="SimSun" w:eastAsia="SimSun" w:cs="SimSun"/>
          <w:sz w:val="24"/>
          <w:szCs w:val="24"/>
        </w:rPr>
        <w:t xml:space="preserve"> </w:t>
      </w:r>
      <w:r>
        <w:rPr>
          <w:rFonts w:ascii="SimSun" w:hAnsi="SimSun" w:eastAsia="SimSun" w:cs="SimSun"/>
          <w:sz w:val="24"/>
          <w:szCs w:val="24"/>
          <w:spacing w:val="-1"/>
        </w:rPr>
        <w:t>质概念模型的要素。</w:t>
      </w:r>
    </w:p>
    <w:p>
      <w:pPr>
        <w:ind w:left="501"/>
        <w:spacing w:before="1"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）含水层结构概化</w:t>
      </w:r>
    </w:p>
    <w:p>
      <w:pPr>
        <w:ind w:left="9" w:firstLine="480"/>
        <w:spacing w:before="177" w:line="360" w:lineRule="auto"/>
        <w:rPr>
          <w:rFonts w:ascii="SimSun" w:hAnsi="SimSun" w:eastAsia="SimSun" w:cs="SimSun"/>
          <w:sz w:val="24"/>
          <w:szCs w:val="24"/>
        </w:rPr>
      </w:pPr>
      <w:r>
        <w:rPr>
          <w:rFonts w:ascii="SimSun" w:hAnsi="SimSun" w:eastAsia="SimSun" w:cs="SimSun"/>
          <w:sz w:val="24"/>
          <w:szCs w:val="24"/>
          <w:spacing w:val="3"/>
        </w:rPr>
        <w:t>本项目评价区内主要赋存第四系松散岩类孔隙水和基岩裂隙水，</w:t>
      </w:r>
      <w:r>
        <w:rPr>
          <w:rFonts w:ascii="SimSun" w:hAnsi="SimSun" w:eastAsia="SimSun" w:cs="SimSun"/>
          <w:sz w:val="24"/>
          <w:szCs w:val="24"/>
          <w:spacing w:val="2"/>
        </w:rPr>
        <w:t>地下水含于</w:t>
      </w:r>
      <w:r>
        <w:rPr>
          <w:rFonts w:ascii="SimSun" w:hAnsi="SimSun" w:eastAsia="SimSun" w:cs="SimSun"/>
          <w:sz w:val="24"/>
          <w:szCs w:val="24"/>
        </w:rPr>
        <w:t xml:space="preserve"> </w:t>
      </w:r>
      <w:r>
        <w:rPr>
          <w:rFonts w:ascii="SimSun" w:hAnsi="SimSun" w:eastAsia="SimSun" w:cs="SimSun"/>
          <w:sz w:val="24"/>
          <w:szCs w:val="24"/>
          <w:spacing w:val="3"/>
        </w:rPr>
        <w:t>基岩风化带、岩脉、构造断裂裂隙带等含水介质中，连</w:t>
      </w:r>
      <w:r>
        <w:rPr>
          <w:rFonts w:ascii="SimSun" w:hAnsi="SimSun" w:eastAsia="SimSun" w:cs="SimSun"/>
          <w:sz w:val="24"/>
          <w:szCs w:val="24"/>
          <w:spacing w:val="2"/>
        </w:rPr>
        <w:t>通性差，一般不具备水平</w:t>
      </w:r>
      <w:r>
        <w:rPr>
          <w:rFonts w:ascii="SimSun" w:hAnsi="SimSun" w:eastAsia="SimSun" w:cs="SimSun"/>
          <w:sz w:val="24"/>
          <w:szCs w:val="24"/>
        </w:rPr>
        <w:t xml:space="preserve"> </w:t>
      </w:r>
      <w:r>
        <w:rPr>
          <w:rFonts w:ascii="SimSun" w:hAnsi="SimSun" w:eastAsia="SimSun" w:cs="SimSun"/>
          <w:sz w:val="24"/>
          <w:szCs w:val="24"/>
          <w:spacing w:val="3"/>
        </w:rPr>
        <w:t>成层性，含水体难以概化为等效多孔介质，不适用</w:t>
      </w:r>
      <w:r>
        <w:rPr>
          <w:rFonts w:ascii="SimSun" w:hAnsi="SimSun" w:eastAsia="SimSun" w:cs="SimSun"/>
          <w:sz w:val="24"/>
          <w:szCs w:val="24"/>
          <w:spacing w:val="2"/>
        </w:rPr>
        <w:t>于数值法预测，其中第四系潜</w:t>
      </w:r>
      <w:r>
        <w:rPr>
          <w:rFonts w:ascii="SimSun" w:hAnsi="SimSun" w:eastAsia="SimSun" w:cs="SimSun"/>
          <w:sz w:val="24"/>
          <w:szCs w:val="24"/>
        </w:rPr>
        <w:t xml:space="preserve"> </w:t>
      </w:r>
      <w:r>
        <w:rPr>
          <w:rFonts w:ascii="SimSun" w:hAnsi="SimSun" w:eastAsia="SimSun" w:cs="SimSun"/>
          <w:sz w:val="24"/>
          <w:szCs w:val="24"/>
          <w:spacing w:val="3"/>
        </w:rPr>
        <w:t>水容易受到建设项目的污染，是本次工作主要的研</w:t>
      </w:r>
      <w:r>
        <w:rPr>
          <w:rFonts w:ascii="SimSun" w:hAnsi="SimSun" w:eastAsia="SimSun" w:cs="SimSun"/>
          <w:sz w:val="24"/>
          <w:szCs w:val="24"/>
          <w:spacing w:val="2"/>
        </w:rPr>
        <w:t>究对象，为了便于数值模型的</w:t>
      </w:r>
      <w:r>
        <w:rPr>
          <w:rFonts w:ascii="SimSun" w:hAnsi="SimSun" w:eastAsia="SimSun" w:cs="SimSun"/>
          <w:sz w:val="24"/>
          <w:szCs w:val="24"/>
        </w:rPr>
        <w:t xml:space="preserve"> </w:t>
      </w:r>
      <w:r>
        <w:rPr>
          <w:rFonts w:ascii="SimSun" w:hAnsi="SimSun" w:eastAsia="SimSun" w:cs="SimSun"/>
          <w:sz w:val="24"/>
          <w:szCs w:val="24"/>
          <w:spacing w:val="3"/>
        </w:rPr>
        <w:t>建立，本次评价将第四系松散岩类孔隙水作为模拟</w:t>
      </w:r>
      <w:r>
        <w:rPr>
          <w:rFonts w:ascii="SimSun" w:hAnsi="SimSun" w:eastAsia="SimSun" w:cs="SimSun"/>
          <w:sz w:val="24"/>
          <w:szCs w:val="24"/>
          <w:spacing w:val="2"/>
        </w:rPr>
        <w:t>预测的目的层。区内地下水流</w:t>
      </w:r>
      <w:r>
        <w:rPr>
          <w:rFonts w:ascii="SimSun" w:hAnsi="SimSun" w:eastAsia="SimSun" w:cs="SimSun"/>
          <w:sz w:val="24"/>
          <w:szCs w:val="24"/>
        </w:rPr>
        <w:t xml:space="preserve"> </w:t>
      </w:r>
      <w:r>
        <w:rPr>
          <w:rFonts w:ascii="SimSun" w:hAnsi="SimSun" w:eastAsia="SimSun" w:cs="SimSun"/>
          <w:sz w:val="24"/>
          <w:szCs w:val="24"/>
          <w:spacing w:val="3"/>
        </w:rPr>
        <w:t>动态存在季节变化性，但地下水等水位线形状在全年基</w:t>
      </w:r>
      <w:r>
        <w:rPr>
          <w:rFonts w:ascii="SimSun" w:hAnsi="SimSun" w:eastAsia="SimSun" w:cs="SimSun"/>
          <w:sz w:val="24"/>
          <w:szCs w:val="24"/>
          <w:spacing w:val="2"/>
        </w:rPr>
        <w:t>本保持不变，决定污染物</w:t>
      </w:r>
      <w:r>
        <w:rPr>
          <w:rFonts w:ascii="SimSun" w:hAnsi="SimSun" w:eastAsia="SimSun" w:cs="SimSun"/>
          <w:sz w:val="24"/>
          <w:szCs w:val="24"/>
        </w:rPr>
        <w:t xml:space="preserve"> </w:t>
      </w:r>
      <w:r>
        <w:rPr>
          <w:rFonts w:ascii="SimSun" w:hAnsi="SimSun" w:eastAsia="SimSun" w:cs="SimSun"/>
          <w:sz w:val="24"/>
          <w:szCs w:val="24"/>
          <w:spacing w:val="3"/>
        </w:rPr>
        <w:t>扩散的水流速度、水力梯度等参数年内基本保持不变，</w:t>
      </w:r>
      <w:r>
        <w:rPr>
          <w:rFonts w:ascii="SimSun" w:hAnsi="SimSun" w:eastAsia="SimSun" w:cs="SimSun"/>
          <w:sz w:val="24"/>
          <w:szCs w:val="24"/>
          <w:spacing w:val="2"/>
        </w:rPr>
        <w:t>因此，本次为简化起见概</w:t>
      </w:r>
      <w:r>
        <w:rPr>
          <w:rFonts w:ascii="SimSun" w:hAnsi="SimSun" w:eastAsia="SimSun" w:cs="SimSun"/>
          <w:sz w:val="24"/>
          <w:szCs w:val="24"/>
        </w:rPr>
        <w:t xml:space="preserve"> </w:t>
      </w:r>
      <w:r>
        <w:rPr>
          <w:rFonts w:ascii="SimSun" w:hAnsi="SimSun" w:eastAsia="SimSun" w:cs="SimSun"/>
          <w:sz w:val="24"/>
          <w:szCs w:val="24"/>
          <w:spacing w:val="3"/>
        </w:rPr>
        <w:t>化为稳定流。地下水径流符合平面顺层水平流规律，因</w:t>
      </w:r>
      <w:r>
        <w:rPr>
          <w:rFonts w:ascii="SimSun" w:hAnsi="SimSun" w:eastAsia="SimSun" w:cs="SimSun"/>
          <w:sz w:val="24"/>
          <w:szCs w:val="24"/>
          <w:spacing w:val="2"/>
        </w:rPr>
        <w:t>此，本次模拟将地下水流</w:t>
      </w:r>
      <w:r>
        <w:rPr>
          <w:rFonts w:ascii="SimSun" w:hAnsi="SimSun" w:eastAsia="SimSun" w:cs="SimSun"/>
          <w:sz w:val="24"/>
          <w:szCs w:val="24"/>
        </w:rPr>
        <w:t xml:space="preserve"> </w:t>
      </w:r>
      <w:r>
        <w:rPr>
          <w:rFonts w:ascii="SimSun" w:hAnsi="SimSun" w:eastAsia="SimSun" w:cs="SimSun"/>
          <w:sz w:val="24"/>
          <w:szCs w:val="24"/>
          <w:spacing w:val="-1"/>
        </w:rPr>
        <w:t>系统概化为二维非均质稳定地下水流系统。</w:t>
      </w:r>
    </w:p>
    <w:p>
      <w:pPr>
        <w:ind w:left="7"/>
        <w:spacing w:before="209" w:line="227" w:lineRule="auto"/>
        <w:rPr>
          <w:rFonts w:ascii="SimSun" w:hAnsi="SimSun" w:eastAsia="SimSun" w:cs="SimSun"/>
          <w:sz w:val="19"/>
          <w:szCs w:val="19"/>
        </w:rPr>
      </w:pPr>
      <w:r>
        <w:pict>
          <v:shape id="_x0000_s900" style="position:absolute;margin-left:159.33pt;margin-top:9.44938pt;mso-position-vertical-relative:text;mso-position-horizontal-relative:text;width:61pt;height:13.75pt;z-index:25206272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rPr>
                    <w:t>任公司</w:t>
                  </w:r>
                  <w:r>
                    <w:rPr>
                      <w:rFonts w:ascii="SimSun" w:hAnsi="SimSun" w:eastAsia="SimSun" w:cs="SimSun"/>
                      <w:sz w:val="19"/>
                      <w:szCs w:val="19"/>
                      <w:spacing w:val="18"/>
                    </w:rPr>
                    <w:t xml:space="preserve">   </w:t>
                  </w:r>
                  <w:r>
                    <w:rPr>
                      <w:rFonts w:ascii="Times New Roman" w:hAnsi="Times New Roman" w:eastAsia="Times New Roman" w:cs="Times New Roman"/>
                      <w:sz w:val="18"/>
                      <w:szCs w:val="18"/>
                      <w:position w:val="2"/>
                    </w:rPr>
                    <w:t>187</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248"/>
          <w:footerReference w:type="default" r:id="rId3"/>
          <w:pgSz w:w="11907" w:h="16840"/>
          <w:pgMar w:top="1567" w:right="1699" w:bottom="400" w:left="1701" w:header="1221" w:footer="0" w:gutter="0"/>
        </w:sectPr>
        <w:rPr>
          <w:rFonts w:ascii="SimSun" w:hAnsi="SimSun" w:eastAsia="SimSun" w:cs="SimSun"/>
          <w:sz w:val="19"/>
          <w:szCs w:val="19"/>
        </w:rPr>
      </w:pPr>
    </w:p>
    <w:p>
      <w:pPr>
        <w:ind w:left="501"/>
        <w:spacing w:before="169" w:line="219" w:lineRule="auto"/>
        <w:rPr>
          <w:rFonts w:ascii="SimSun" w:hAnsi="SimSun" w:eastAsia="SimSun" w:cs="SimSun"/>
          <w:sz w:val="24"/>
          <w:szCs w:val="24"/>
        </w:rPr>
      </w:pPr>
      <w:r>
        <w:pict>
          <v:shape id="_x0000_s902" style="position:absolute;margin-left:85.05pt;margin-top:78.87pt;mso-position-vertical-relative:page;mso-position-horizontal-relative:page;width:425.25pt;height:0.75pt;z-index:252064768;" o:allowincell="f" fillcolor="#000000" filled="true" stroked="false" coordsize="8505,15" coordorigin="0,0" path="m,l8505,0l8505,14l0,14l0,0xe"/>
        </w:pict>
      </w: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）边界条件概化</w:t>
      </w:r>
    </w:p>
    <w:p>
      <w:pPr>
        <w:ind w:left="488"/>
        <w:spacing w:before="180" w:line="217" w:lineRule="auto"/>
        <w:rPr>
          <w:rFonts w:ascii="SimSun" w:hAnsi="SimSun" w:eastAsia="SimSun" w:cs="SimSun"/>
          <w:sz w:val="24"/>
          <w:szCs w:val="24"/>
        </w:rPr>
      </w:pPr>
      <w:r>
        <w:rPr>
          <w:rFonts w:ascii="SimSun" w:hAnsi="SimSun" w:eastAsia="SimSun" w:cs="SimSun"/>
          <w:sz w:val="24"/>
          <w:szCs w:val="24"/>
          <w:spacing w:val="-2"/>
        </w:rPr>
        <w:t>①模拟范围</w:t>
      </w:r>
    </w:p>
    <w:p>
      <w:pPr>
        <w:ind w:left="8" w:right="78" w:firstLine="482"/>
        <w:spacing w:before="186" w:line="359" w:lineRule="auto"/>
        <w:jc w:val="both"/>
        <w:rPr>
          <w:rFonts w:ascii="SimSun" w:hAnsi="SimSun" w:eastAsia="SimSun" w:cs="SimSun"/>
          <w:sz w:val="24"/>
          <w:szCs w:val="24"/>
        </w:rPr>
      </w:pPr>
      <w:r>
        <w:rPr>
          <w:rFonts w:ascii="SimSun" w:hAnsi="SimSun" w:eastAsia="SimSun" w:cs="SimSun"/>
          <w:sz w:val="24"/>
          <w:szCs w:val="24"/>
          <w:spacing w:val="3"/>
        </w:rPr>
        <w:t>数值模拟范围的确定，应该以评价区水文地质条件为依据，同</w:t>
      </w:r>
      <w:r>
        <w:rPr>
          <w:rFonts w:ascii="SimSun" w:hAnsi="SimSun" w:eastAsia="SimSun" w:cs="SimSun"/>
          <w:sz w:val="24"/>
          <w:szCs w:val="24"/>
          <w:spacing w:val="2"/>
        </w:rPr>
        <w:t>时还应充分考</w:t>
      </w:r>
      <w:r>
        <w:rPr>
          <w:rFonts w:ascii="SimSun" w:hAnsi="SimSun" w:eastAsia="SimSun" w:cs="SimSun"/>
          <w:sz w:val="24"/>
          <w:szCs w:val="24"/>
        </w:rPr>
        <w:t xml:space="preserve"> </w:t>
      </w:r>
      <w:r>
        <w:rPr>
          <w:rFonts w:ascii="SimSun" w:hAnsi="SimSun" w:eastAsia="SimSun" w:cs="SimSun"/>
          <w:sz w:val="24"/>
          <w:szCs w:val="24"/>
          <w:spacing w:val="3"/>
        </w:rPr>
        <w:t>虑地下水系统的完整性和独立性。根据对地质、水文地质</w:t>
      </w:r>
      <w:r>
        <w:rPr>
          <w:rFonts w:ascii="SimSun" w:hAnsi="SimSun" w:eastAsia="SimSun" w:cs="SimSun"/>
          <w:sz w:val="24"/>
          <w:szCs w:val="24"/>
          <w:spacing w:val="2"/>
        </w:rPr>
        <w:t>资料的收集整理和现场</w:t>
      </w:r>
      <w:r>
        <w:rPr>
          <w:rFonts w:ascii="SimSun" w:hAnsi="SimSun" w:eastAsia="SimSun" w:cs="SimSun"/>
          <w:sz w:val="24"/>
          <w:szCs w:val="24"/>
        </w:rPr>
        <w:t xml:space="preserve"> </w:t>
      </w:r>
      <w:r>
        <w:rPr>
          <w:rFonts w:ascii="SimSun" w:hAnsi="SimSun" w:eastAsia="SimSun" w:cs="SimSun"/>
          <w:sz w:val="24"/>
          <w:szCs w:val="24"/>
          <w:spacing w:val="3"/>
        </w:rPr>
        <w:t>勘查分析，以及对区内环境保护目标的调查，同时考虑本</w:t>
      </w:r>
      <w:r>
        <w:rPr>
          <w:rFonts w:ascii="SimSun" w:hAnsi="SimSun" w:eastAsia="SimSun" w:cs="SimSun"/>
          <w:sz w:val="24"/>
          <w:szCs w:val="24"/>
          <w:spacing w:val="2"/>
        </w:rPr>
        <w:t>项目对地下水环境影响</w:t>
      </w:r>
      <w:r>
        <w:rPr>
          <w:rFonts w:ascii="SimSun" w:hAnsi="SimSun" w:eastAsia="SimSun" w:cs="SimSun"/>
          <w:sz w:val="24"/>
          <w:szCs w:val="24"/>
        </w:rPr>
        <w:t xml:space="preserve"> </w:t>
      </w:r>
      <w:r>
        <w:rPr>
          <w:rFonts w:ascii="SimSun" w:hAnsi="SimSun" w:eastAsia="SimSun" w:cs="SimSun"/>
          <w:sz w:val="24"/>
          <w:szCs w:val="24"/>
        </w:rPr>
        <w:t>影响程度，以能满足环境影响预测和分析的要求为</w:t>
      </w:r>
      <w:r>
        <w:rPr>
          <w:rFonts w:ascii="SimSun" w:hAnsi="SimSun" w:eastAsia="SimSun" w:cs="SimSun"/>
          <w:sz w:val="24"/>
          <w:szCs w:val="24"/>
          <w:spacing w:val="-1"/>
        </w:rPr>
        <w:t>原则建立了数值模型。</w:t>
      </w:r>
    </w:p>
    <w:p>
      <w:pPr>
        <w:ind w:left="488"/>
        <w:spacing w:line="217" w:lineRule="auto"/>
        <w:rPr>
          <w:rFonts w:ascii="SimSun" w:hAnsi="SimSun" w:eastAsia="SimSun" w:cs="SimSun"/>
          <w:sz w:val="24"/>
          <w:szCs w:val="24"/>
        </w:rPr>
      </w:pPr>
      <w:r>
        <w:rPr>
          <w:rFonts w:ascii="SimSun" w:hAnsi="SimSun" w:eastAsia="SimSun" w:cs="SimSun"/>
          <w:sz w:val="24"/>
          <w:szCs w:val="24"/>
          <w:spacing w:val="-2"/>
        </w:rPr>
        <w:t>②边界条件</w:t>
      </w:r>
    </w:p>
    <w:p>
      <w:pPr>
        <w:ind w:left="9" w:firstLine="480"/>
        <w:spacing w:before="185" w:line="360" w:lineRule="auto"/>
        <w:rPr>
          <w:rFonts w:ascii="SimSun" w:hAnsi="SimSun" w:eastAsia="SimSun" w:cs="SimSun"/>
          <w:sz w:val="24"/>
          <w:szCs w:val="24"/>
        </w:rPr>
      </w:pPr>
      <w:r>
        <w:rPr>
          <w:rFonts w:ascii="SimSun" w:hAnsi="SimSun" w:eastAsia="SimSun" w:cs="SimSun"/>
          <w:sz w:val="24"/>
          <w:szCs w:val="24"/>
          <w:spacing w:val="-1"/>
        </w:rPr>
        <w:t>本次评模拟东西边界分别以</w:t>
      </w:r>
      <w:r>
        <w:rPr>
          <w:rFonts w:ascii="Times New Roman" w:hAnsi="Times New Roman" w:eastAsia="Times New Roman" w:cs="Times New Roman"/>
          <w:sz w:val="24"/>
          <w:szCs w:val="24"/>
          <w:spacing w:val="-1"/>
        </w:rPr>
        <w:t>1325m</w:t>
      </w:r>
      <w:r>
        <w:rPr>
          <w:rFonts w:ascii="SimSun" w:hAnsi="SimSun" w:eastAsia="SimSun" w:cs="SimSun"/>
          <w:sz w:val="24"/>
          <w:szCs w:val="24"/>
          <w:spacing w:val="-1"/>
        </w:rPr>
        <w:t>和</w:t>
      </w:r>
      <w:r>
        <w:rPr>
          <w:rFonts w:ascii="Times New Roman" w:hAnsi="Times New Roman" w:eastAsia="Times New Roman" w:cs="Times New Roman"/>
          <w:sz w:val="24"/>
          <w:szCs w:val="24"/>
          <w:spacing w:val="-1"/>
        </w:rPr>
        <w:t>1300m</w:t>
      </w:r>
      <w:r>
        <w:rPr>
          <w:rFonts w:ascii="SimSun" w:hAnsi="SimSun" w:eastAsia="SimSun" w:cs="SimSun"/>
          <w:sz w:val="24"/>
          <w:szCs w:val="24"/>
          <w:spacing w:val="-1"/>
        </w:rPr>
        <w:t>等水位线为界，将其概化</w:t>
      </w:r>
      <w:r>
        <w:rPr>
          <w:rFonts w:ascii="SimSun" w:hAnsi="SimSun" w:eastAsia="SimSun" w:cs="SimSun"/>
          <w:sz w:val="24"/>
          <w:szCs w:val="24"/>
          <w:spacing w:val="-2"/>
        </w:rPr>
        <w:t>为一类边</w:t>
      </w:r>
      <w:r>
        <w:rPr>
          <w:rFonts w:ascii="SimSun" w:hAnsi="SimSun" w:eastAsia="SimSun" w:cs="SimSun"/>
          <w:sz w:val="24"/>
          <w:szCs w:val="24"/>
        </w:rPr>
        <w:t xml:space="preserve"> </w:t>
      </w:r>
      <w:r>
        <w:rPr>
          <w:rFonts w:ascii="SimSun" w:hAnsi="SimSun" w:eastAsia="SimSun" w:cs="SimSun"/>
          <w:sz w:val="24"/>
          <w:szCs w:val="24"/>
          <w:spacing w:val="3"/>
        </w:rPr>
        <w:t>界，边界附近含水层厚度、水力梯度以及渗透系数</w:t>
      </w:r>
      <w:r>
        <w:rPr>
          <w:rFonts w:ascii="SimSun" w:hAnsi="SimSun" w:eastAsia="SimSun" w:cs="SimSun"/>
          <w:sz w:val="24"/>
          <w:szCs w:val="24"/>
          <w:spacing w:val="2"/>
        </w:rPr>
        <w:t>已知，可根据达西定律计算边</w:t>
      </w:r>
      <w:r>
        <w:rPr>
          <w:rFonts w:ascii="SimSun" w:hAnsi="SimSun" w:eastAsia="SimSun" w:cs="SimSun"/>
          <w:sz w:val="24"/>
          <w:szCs w:val="24"/>
        </w:rPr>
        <w:t xml:space="preserve"> </w:t>
      </w:r>
      <w:r>
        <w:rPr>
          <w:rFonts w:ascii="SimSun" w:hAnsi="SimSun" w:eastAsia="SimSun" w:cs="SimSun"/>
          <w:sz w:val="24"/>
          <w:szCs w:val="24"/>
          <w:spacing w:val="3"/>
        </w:rPr>
        <w:t>界各段侧向径流补给量，南、北部边界以基岩区和</w:t>
      </w:r>
      <w:r>
        <w:rPr>
          <w:rFonts w:ascii="SimSun" w:hAnsi="SimSun" w:eastAsia="SimSun" w:cs="SimSun"/>
          <w:sz w:val="24"/>
          <w:szCs w:val="24"/>
          <w:spacing w:val="2"/>
        </w:rPr>
        <w:t>松散地层交界处为界，将其概</w:t>
      </w:r>
      <w:r>
        <w:rPr>
          <w:rFonts w:ascii="SimSun" w:hAnsi="SimSun" w:eastAsia="SimSun" w:cs="SimSun"/>
          <w:sz w:val="24"/>
          <w:szCs w:val="24"/>
        </w:rPr>
        <w:t xml:space="preserve"> </w:t>
      </w:r>
      <w:r>
        <w:rPr>
          <w:rFonts w:ascii="SimSun" w:hAnsi="SimSun" w:eastAsia="SimSun" w:cs="SimSun"/>
          <w:sz w:val="24"/>
          <w:szCs w:val="24"/>
          <w:spacing w:val="-2"/>
        </w:rPr>
        <w:t>化为二类边界。含水层上部直接接收大气降水入渗补给，因此，概化为大气边界。</w:t>
      </w:r>
      <w:r>
        <w:rPr>
          <w:rFonts w:ascii="SimSun" w:hAnsi="SimSun" w:eastAsia="SimSun" w:cs="SimSun"/>
          <w:sz w:val="24"/>
          <w:szCs w:val="24"/>
          <w:spacing w:val="5"/>
        </w:rPr>
        <w:t xml:space="preserve"> </w:t>
      </w:r>
      <w:r>
        <w:rPr>
          <w:rFonts w:ascii="SimSun" w:hAnsi="SimSun" w:eastAsia="SimSun" w:cs="SimSun"/>
          <w:sz w:val="24"/>
          <w:szCs w:val="24"/>
          <w:spacing w:val="-1"/>
        </w:rPr>
        <w:t>含水层下部为泥岩隔水层，概化为隔水边界。</w:t>
      </w:r>
    </w:p>
    <w:p>
      <w:pPr>
        <w:spacing w:line="360" w:lineRule="auto"/>
        <w:sectPr>
          <w:headerReference w:type="default" r:id="rId11"/>
          <w:footerReference w:type="default" r:id="rId249"/>
          <w:pgSz w:w="11907" w:h="16840"/>
          <w:pgMar w:top="1567" w:right="1621" w:bottom="1921" w:left="1701" w:header="1221" w:footer="1247" w:gutter="0"/>
        </w:sectPr>
        <w:rPr>
          <w:rFonts w:ascii="SimSun" w:hAnsi="SimSun" w:eastAsia="SimSun" w:cs="SimSun"/>
          <w:sz w:val="24"/>
          <w:szCs w:val="24"/>
        </w:rPr>
      </w:pPr>
    </w:p>
    <w:p>
      <w:pPr>
        <w:spacing w:before="150" w:line="9144" w:lineRule="exact"/>
        <w:rPr/>
      </w:pPr>
      <w:r>
        <w:pict>
          <v:shape id="_x0000_s906" style="position:absolute;margin-left:85.05pt;margin-top:79.11pt;mso-position-vertical-relative:page;mso-position-horizontal-relative:page;width:425.25pt;height:0.75pt;z-index:252067840;" o:allowincell="f" fillcolor="#000000" filled="true" stroked="false" coordsize="8505,15" coordorigin="0,0" path="m,l8505,0l8505,14l0,14l0,0xe"/>
        </w:pict>
      </w:r>
      <w:r>
        <w:rPr>
          <w:position w:val="-182"/>
        </w:rPr>
        <w:drawing>
          <wp:inline distT="0" distB="0" distL="0" distR="0">
            <wp:extent cx="5436107" cy="5806440"/>
            <wp:effectExtent l="0" t="0" r="0" b="0"/>
            <wp:docPr id="142" name="IM 142"/>
            <wp:cNvGraphicFramePr/>
            <a:graphic>
              <a:graphicData uri="http://schemas.openxmlformats.org/drawingml/2006/picture">
                <pic:pic>
                  <pic:nvPicPr>
                    <pic:cNvPr id="142" name="IM 142"/>
                    <pic:cNvPicPr/>
                  </pic:nvPicPr>
                  <pic:blipFill>
                    <a:blip r:embed="rId251"/>
                    <a:stretch>
                      <a:fillRect/>
                    </a:stretch>
                  </pic:blipFill>
                  <pic:spPr>
                    <a:xfrm rot="0">
                      <a:off x="0" y="0"/>
                      <a:ext cx="5436107" cy="5806440"/>
                    </a:xfrm>
                    <a:prstGeom prst="rect">
                      <a:avLst/>
                    </a:prstGeom>
                  </pic:spPr>
                </pic:pic>
              </a:graphicData>
            </a:graphic>
          </wp:inline>
        </w:drawing>
      </w:r>
    </w:p>
    <w:p>
      <w:pPr>
        <w:ind w:left="2380"/>
        <w:spacing w:before="178"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7"/>
        </w:rPr>
        <w:t xml:space="preserve"> </w:t>
      </w:r>
      <w:r>
        <w:rPr>
          <w:rFonts w:ascii="Times New Roman" w:hAnsi="Times New Roman" w:eastAsia="Times New Roman" w:cs="Times New Roman"/>
          <w:sz w:val="24"/>
          <w:szCs w:val="24"/>
          <w:b/>
          <w:bCs/>
          <w:spacing w:val="-3"/>
        </w:rPr>
        <w:t>5.3-8      </w:t>
      </w:r>
      <w:r>
        <w:rPr>
          <w:rFonts w:ascii="SimSun" w:hAnsi="SimSun" w:eastAsia="SimSun" w:cs="SimSun"/>
          <w:sz w:val="24"/>
          <w:szCs w:val="24"/>
          <w:b/>
          <w:bCs/>
          <w:spacing w:val="-3"/>
        </w:rPr>
        <w:t>项目数值模拟范围示意图</w:t>
      </w:r>
    </w:p>
    <w:p>
      <w:pPr>
        <w:ind w:left="485"/>
        <w:spacing w:before="184" w:line="219" w:lineRule="auto"/>
        <w:rPr>
          <w:rFonts w:ascii="SimSun" w:hAnsi="SimSun" w:eastAsia="SimSun" w:cs="SimSun"/>
          <w:sz w:val="24"/>
          <w:szCs w:val="24"/>
        </w:rPr>
      </w:pP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、地下水数学模型</w:t>
      </w:r>
    </w:p>
    <w:p>
      <w:pPr>
        <w:ind w:left="17" w:right="55" w:firstLine="473"/>
        <w:spacing w:before="180" w:line="362" w:lineRule="auto"/>
        <w:rPr>
          <w:rFonts w:ascii="SimSun" w:hAnsi="SimSun" w:eastAsia="SimSun" w:cs="SimSun"/>
          <w:sz w:val="24"/>
          <w:szCs w:val="24"/>
        </w:rPr>
      </w:pPr>
      <w:r>
        <w:rPr>
          <w:rFonts w:ascii="SimSun" w:hAnsi="SimSun" w:eastAsia="SimSun" w:cs="SimSun"/>
          <w:sz w:val="24"/>
          <w:szCs w:val="24"/>
          <w:spacing w:val="3"/>
        </w:rPr>
        <w:t>本模拟区地下水流系统概化为非均质、各向同性、二维结构稳定</w:t>
      </w:r>
      <w:r>
        <w:rPr>
          <w:rFonts w:ascii="SimSun" w:hAnsi="SimSun" w:eastAsia="SimSun" w:cs="SimSun"/>
          <w:sz w:val="24"/>
          <w:szCs w:val="24"/>
          <w:spacing w:val="2"/>
        </w:rPr>
        <w:t>流，可用如</w:t>
      </w:r>
      <w:r>
        <w:rPr>
          <w:rFonts w:ascii="SimSun" w:hAnsi="SimSun" w:eastAsia="SimSun" w:cs="SimSun"/>
          <w:sz w:val="24"/>
          <w:szCs w:val="24"/>
        </w:rPr>
        <w:t xml:space="preserve"> </w:t>
      </w:r>
      <w:r>
        <w:rPr>
          <w:rFonts w:ascii="SimSun" w:hAnsi="SimSun" w:eastAsia="SimSun" w:cs="SimSun"/>
          <w:sz w:val="24"/>
          <w:szCs w:val="24"/>
          <w:spacing w:val="-2"/>
        </w:rPr>
        <w:t>下微分方程的定解问题来描述：</w:t>
      </w:r>
    </w:p>
    <w:p>
      <w:pPr>
        <w:pStyle w:val="BodyText"/>
        <w:spacing w:line="262" w:lineRule="auto"/>
        <w:rPr/>
      </w:pPr>
      <w:r/>
    </w:p>
    <w:p>
      <w:pPr>
        <w:pStyle w:val="BodyText"/>
        <w:spacing w:line="262" w:lineRule="auto"/>
        <w:rPr/>
      </w:pPr>
      <w:r/>
    </w:p>
    <w:p>
      <w:pPr>
        <w:pStyle w:val="BodyText"/>
        <w:spacing w:line="263" w:lineRule="auto"/>
        <w:rPr/>
      </w:pPr>
      <w:r/>
    </w:p>
    <w:p>
      <w:pPr>
        <w:pStyle w:val="BodyText"/>
        <w:spacing w:line="263" w:lineRule="auto"/>
        <w:rPr/>
      </w:pPr>
      <w:r/>
    </w:p>
    <w:p>
      <w:pPr>
        <w:pStyle w:val="BodyText"/>
        <w:spacing w:line="263" w:lineRule="auto"/>
        <w:rPr/>
      </w:pPr>
      <w:r/>
    </w:p>
    <w:p>
      <w:pPr>
        <w:pStyle w:val="BodyText"/>
        <w:spacing w:line="263" w:lineRule="auto"/>
        <w:rPr/>
      </w:pPr>
      <w:r/>
    </w:p>
    <w:p>
      <w:pPr>
        <w:pStyle w:val="BodyText"/>
        <w:spacing w:line="263" w:lineRule="auto"/>
        <w:rPr/>
      </w:pPr>
      <w:r/>
    </w:p>
    <w:p>
      <w:pPr>
        <w:pStyle w:val="BodyText"/>
        <w:spacing w:line="263" w:lineRule="auto"/>
        <w:rPr/>
      </w:pPr>
      <w:r/>
    </w:p>
    <w:p>
      <w:pPr>
        <w:pStyle w:val="BodyText"/>
        <w:spacing w:line="263" w:lineRule="auto"/>
        <w:rPr/>
      </w:pPr>
      <w:r/>
    </w:p>
    <w:p>
      <w:pPr>
        <w:ind w:left="7"/>
        <w:spacing w:before="62" w:line="227" w:lineRule="auto"/>
        <w:rPr>
          <w:rFonts w:ascii="SimSun" w:hAnsi="SimSun" w:eastAsia="SimSun" w:cs="SimSun"/>
          <w:sz w:val="19"/>
          <w:szCs w:val="19"/>
        </w:rPr>
      </w:pPr>
      <w:r>
        <w:pict>
          <v:shape id="_x0000_s908" style="position:absolute;margin-left:159.33pt;margin-top:2.1292pt;mso-position-vertical-relative:text;mso-position-horizontal-relative:text;width:61pt;height:13.75pt;z-index:25206681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rPr>
                    <w:t>任公司</w:t>
                  </w:r>
                  <w:r>
                    <w:rPr>
                      <w:rFonts w:ascii="SimSun" w:hAnsi="SimSun" w:eastAsia="SimSun" w:cs="SimSun"/>
                      <w:sz w:val="19"/>
                      <w:szCs w:val="19"/>
                      <w:spacing w:val="18"/>
                    </w:rPr>
                    <w:t xml:space="preserve">   </w:t>
                  </w:r>
                  <w:r>
                    <w:rPr>
                      <w:rFonts w:ascii="Times New Roman" w:hAnsi="Times New Roman" w:eastAsia="Times New Roman" w:cs="Times New Roman"/>
                      <w:sz w:val="18"/>
                      <w:szCs w:val="18"/>
                      <w:position w:val="2"/>
                    </w:rPr>
                    <w:t>189</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250"/>
          <w:footerReference w:type="default" r:id="rId3"/>
          <w:pgSz w:w="11907" w:h="16840"/>
          <w:pgMar w:top="1567" w:right="1644" w:bottom="400" w:left="1701" w:header="1221" w:footer="0" w:gutter="0"/>
        </w:sectPr>
        <w:rPr>
          <w:rFonts w:ascii="SimSun" w:hAnsi="SimSun" w:eastAsia="SimSun" w:cs="SimSun"/>
          <w:sz w:val="19"/>
          <w:szCs w:val="19"/>
        </w:rPr>
      </w:pPr>
    </w:p>
    <w:p>
      <w:pPr>
        <w:ind w:firstLine="170"/>
        <w:spacing w:before="133" w:line="2371" w:lineRule="exact"/>
        <w:rPr/>
      </w:pPr>
      <w:r>
        <w:pict>
          <v:shape id="_x0000_s910" style="position:absolute;margin-left:85.05pt;margin-top:78.87pt;mso-position-vertical-relative:page;mso-position-horizontal-relative:page;width:425.25pt;height:0.75pt;z-index:252068864;" o:allowincell="f" fillcolor="#000000" filled="true" stroked="false" coordsize="8505,15" coordorigin="0,0" path="m,l8505,0l8505,14l0,14l0,0xe"/>
        </w:pict>
      </w:r>
      <w:r>
        <w:rPr>
          <w:position w:val="-47"/>
        </w:rPr>
        <w:drawing>
          <wp:inline distT="0" distB="0" distL="0" distR="0">
            <wp:extent cx="5163311" cy="1505711"/>
            <wp:effectExtent l="0" t="0" r="0" b="0"/>
            <wp:docPr id="144" name="IM 144"/>
            <wp:cNvGraphicFramePr/>
            <a:graphic>
              <a:graphicData uri="http://schemas.openxmlformats.org/drawingml/2006/picture">
                <pic:pic>
                  <pic:nvPicPr>
                    <pic:cNvPr id="144" name="IM 144"/>
                    <pic:cNvPicPr/>
                  </pic:nvPicPr>
                  <pic:blipFill>
                    <a:blip r:embed="rId253"/>
                    <a:stretch>
                      <a:fillRect/>
                    </a:stretch>
                  </pic:blipFill>
                  <pic:spPr>
                    <a:xfrm rot="0">
                      <a:off x="0" y="0"/>
                      <a:ext cx="5163311" cy="1505711"/>
                    </a:xfrm>
                    <a:prstGeom prst="rect">
                      <a:avLst/>
                    </a:prstGeom>
                  </pic:spPr>
                </pic:pic>
              </a:graphicData>
            </a:graphic>
          </wp:inline>
        </w:drawing>
      </w:r>
    </w:p>
    <w:p>
      <w:pPr>
        <w:ind w:left="14"/>
        <w:spacing w:before="171" w:line="220" w:lineRule="auto"/>
        <w:rPr>
          <w:rFonts w:ascii="SimSun" w:hAnsi="SimSun" w:eastAsia="SimSun" w:cs="SimSun"/>
          <w:sz w:val="24"/>
          <w:szCs w:val="24"/>
        </w:rPr>
      </w:pPr>
      <w:r>
        <w:rPr>
          <w:rFonts w:ascii="SimSun" w:hAnsi="SimSun" w:eastAsia="SimSun" w:cs="SimSun"/>
          <w:sz w:val="24"/>
          <w:szCs w:val="24"/>
          <w:spacing w:val="-5"/>
        </w:rPr>
        <w:t>式中：</w:t>
      </w:r>
    </w:p>
    <w:p>
      <w:pPr>
        <w:ind w:left="484"/>
        <w:spacing w:before="179" w:line="219" w:lineRule="auto"/>
        <w:rPr>
          <w:rFonts w:ascii="SimSun" w:hAnsi="SimSun" w:eastAsia="SimSun" w:cs="SimSun"/>
          <w:sz w:val="24"/>
          <w:szCs w:val="24"/>
        </w:rPr>
      </w:pPr>
      <w:r>
        <w:rPr>
          <w:rFonts w:ascii="Times New Roman" w:hAnsi="Times New Roman" w:eastAsia="Times New Roman" w:cs="Times New Roman"/>
          <w:sz w:val="24"/>
          <w:szCs w:val="24"/>
          <w:spacing w:val="-1"/>
        </w:rPr>
        <w:t>H—</w:t>
      </w:r>
      <w:r>
        <w:rPr>
          <w:rFonts w:ascii="SimSun" w:hAnsi="SimSun" w:eastAsia="SimSun" w:cs="SimSun"/>
          <w:sz w:val="24"/>
          <w:szCs w:val="24"/>
          <w:spacing w:val="-1"/>
        </w:rPr>
        <w:t>地下水水头（</w:t>
      </w:r>
      <w:r>
        <w:rPr>
          <w:rFonts w:ascii="Times New Roman" w:hAnsi="Times New Roman" w:eastAsia="Times New Roman" w:cs="Times New Roman"/>
          <w:sz w:val="24"/>
          <w:szCs w:val="24"/>
          <w:spacing w:val="-1"/>
        </w:rPr>
        <w:t>m</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16"/>
        </w:rPr>
        <w:t>）；</w:t>
      </w:r>
    </w:p>
    <w:p>
      <w:pPr>
        <w:ind w:left="484"/>
        <w:spacing w:before="183" w:line="210" w:lineRule="auto"/>
        <w:rPr>
          <w:rFonts w:ascii="SimSun" w:hAnsi="SimSun" w:eastAsia="SimSun" w:cs="SimSun"/>
          <w:sz w:val="24"/>
          <w:szCs w:val="24"/>
        </w:rPr>
      </w:pPr>
      <w:r>
        <w:rPr>
          <w:rFonts w:ascii="Times New Roman" w:hAnsi="Times New Roman" w:eastAsia="Times New Roman" w:cs="Times New Roman"/>
          <w:sz w:val="24"/>
          <w:szCs w:val="24"/>
          <w:spacing w:val="-1"/>
        </w:rPr>
        <w:t>K—</w:t>
      </w:r>
      <w:r>
        <w:rPr>
          <w:rFonts w:ascii="SimSun" w:hAnsi="SimSun" w:eastAsia="SimSun" w:cs="SimSun"/>
          <w:sz w:val="24"/>
          <w:szCs w:val="24"/>
          <w:spacing w:val="-1"/>
        </w:rPr>
        <w:t>渗透系数</w:t>
      </w:r>
      <w:r>
        <w:rPr>
          <w:rFonts w:ascii="Times New Roman" w:hAnsi="Times New Roman" w:eastAsia="Times New Roman" w:cs="Times New Roman"/>
          <w:sz w:val="24"/>
          <w:szCs w:val="24"/>
          <w:spacing w:val="-1"/>
        </w:rPr>
        <w:t>[m/d]</w:t>
      </w:r>
      <w:r>
        <w:rPr>
          <w:rFonts w:ascii="SimSun" w:hAnsi="SimSun" w:eastAsia="SimSun" w:cs="SimSun"/>
          <w:sz w:val="24"/>
          <w:szCs w:val="24"/>
          <w:spacing w:val="-1"/>
        </w:rPr>
        <w:t>；</w:t>
      </w:r>
    </w:p>
    <w:p>
      <w:pPr>
        <w:ind w:left="484"/>
        <w:spacing w:before="193" w:line="212" w:lineRule="auto"/>
        <w:rPr>
          <w:rFonts w:ascii="SimSun" w:hAnsi="SimSun" w:eastAsia="SimSun" w:cs="SimSun"/>
          <w:sz w:val="24"/>
          <w:szCs w:val="24"/>
        </w:rPr>
      </w:pP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0</w:t>
      </w:r>
      <w:r>
        <w:rPr>
          <w:rFonts w:ascii="SimSun" w:hAnsi="SimSun" w:eastAsia="SimSun" w:cs="SimSun"/>
          <w:sz w:val="24"/>
          <w:szCs w:val="24"/>
          <w:spacing w:val="-1"/>
        </w:rPr>
        <w:t>（</w:t>
      </w:r>
      <w:r>
        <w:rPr>
          <w:rFonts w:ascii="Times New Roman" w:hAnsi="Times New Roman" w:eastAsia="Times New Roman" w:cs="Times New Roman"/>
          <w:sz w:val="24"/>
          <w:szCs w:val="24"/>
          <w:spacing w:val="-1"/>
        </w:rPr>
        <w:t>x</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y</w:t>
      </w:r>
      <w:r>
        <w:rPr>
          <w:rFonts w:ascii="SimSun" w:hAnsi="SimSun" w:eastAsia="SimSun" w:cs="SimSun"/>
          <w:sz w:val="24"/>
          <w:szCs w:val="24"/>
          <w:spacing w:val="-1"/>
        </w:rPr>
        <w:t>）</w:t>
      </w:r>
      <w:r>
        <w:rPr>
          <w:rFonts w:ascii="Times New Roman" w:hAnsi="Times New Roman" w:eastAsia="Times New Roman" w:cs="Times New Roman"/>
          <w:sz w:val="24"/>
          <w:szCs w:val="24"/>
          <w:spacing w:val="-1"/>
        </w:rPr>
        <w:t>—</w:t>
      </w:r>
      <w:r>
        <w:rPr>
          <w:rFonts w:ascii="SimSun" w:hAnsi="SimSun" w:eastAsia="SimSun" w:cs="SimSun"/>
          <w:sz w:val="24"/>
          <w:szCs w:val="24"/>
          <w:spacing w:val="-1"/>
        </w:rPr>
        <w:t>第一类边界恒定地下水水头函数</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2"/>
        </w:rPr>
        <w:t>m]</w:t>
      </w:r>
      <w:r>
        <w:rPr>
          <w:rFonts w:ascii="SimSun" w:hAnsi="SimSun" w:eastAsia="SimSun" w:cs="SimSun"/>
          <w:sz w:val="24"/>
          <w:szCs w:val="24"/>
          <w:spacing w:val="-2"/>
        </w:rPr>
        <w:t>；</w:t>
      </w:r>
    </w:p>
    <w:p>
      <w:pPr>
        <w:ind w:left="488"/>
        <w:spacing w:before="192" w:line="212" w:lineRule="auto"/>
        <w:rPr>
          <w:rFonts w:ascii="SimSun" w:hAnsi="SimSun" w:eastAsia="SimSun" w:cs="SimSun"/>
          <w:sz w:val="24"/>
          <w:szCs w:val="24"/>
        </w:rPr>
      </w:pPr>
      <w:r>
        <w:rPr>
          <w:rFonts w:ascii="Times New Roman" w:hAnsi="Times New Roman" w:eastAsia="Times New Roman" w:cs="Times New Roman"/>
          <w:sz w:val="24"/>
          <w:szCs w:val="24"/>
          <w:spacing w:val="-1"/>
        </w:rPr>
        <w:t>ε—</w:t>
      </w:r>
      <w:r>
        <w:rPr>
          <w:rFonts w:ascii="SimSun" w:hAnsi="SimSun" w:eastAsia="SimSun" w:cs="SimSun"/>
          <w:sz w:val="24"/>
          <w:szCs w:val="24"/>
          <w:spacing w:val="-1"/>
        </w:rPr>
        <w:t>源汇项强度（包括开采强度等）</w:t>
      </w:r>
      <w:r>
        <w:rPr>
          <w:rFonts w:ascii="Times New Roman" w:hAnsi="Times New Roman" w:eastAsia="Times New Roman" w:cs="Times New Roman"/>
          <w:sz w:val="24"/>
          <w:szCs w:val="24"/>
          <w:spacing w:val="-1"/>
        </w:rPr>
        <w:t>[m/d]</w:t>
      </w:r>
      <w:r>
        <w:rPr>
          <w:rFonts w:ascii="SimSun" w:hAnsi="SimSun" w:eastAsia="SimSun" w:cs="SimSun"/>
          <w:sz w:val="24"/>
          <w:szCs w:val="24"/>
          <w:spacing w:val="-1"/>
        </w:rPr>
        <w:t>；</w:t>
      </w:r>
    </w:p>
    <w:p>
      <w:pPr>
        <w:ind w:left="487"/>
        <w:spacing w:before="193" w:line="220" w:lineRule="auto"/>
        <w:rPr>
          <w:rFonts w:ascii="SimSun" w:hAnsi="SimSun" w:eastAsia="SimSun" w:cs="SimSun"/>
          <w:sz w:val="24"/>
          <w:szCs w:val="24"/>
        </w:rPr>
      </w:pPr>
      <w:r>
        <w:rPr>
          <w:rFonts w:ascii="Times New Roman" w:hAnsi="Times New Roman" w:eastAsia="Times New Roman" w:cs="Times New Roman"/>
          <w:sz w:val="24"/>
          <w:szCs w:val="24"/>
          <w:spacing w:val="-2"/>
        </w:rPr>
        <w:t>Ω—</w:t>
      </w:r>
      <w:r>
        <w:rPr>
          <w:rFonts w:ascii="SimSun" w:hAnsi="SimSun" w:eastAsia="SimSun" w:cs="SimSun"/>
          <w:sz w:val="24"/>
          <w:szCs w:val="24"/>
          <w:spacing w:val="-2"/>
        </w:rPr>
        <w:t>渗流区域；</w:t>
      </w:r>
    </w:p>
    <w:p>
      <w:pPr>
        <w:ind w:left="484"/>
        <w:spacing w:before="179" w:line="219" w:lineRule="auto"/>
        <w:rPr>
          <w:rFonts w:ascii="SimSun" w:hAnsi="SimSun" w:eastAsia="SimSun" w:cs="SimSun"/>
          <w:sz w:val="24"/>
          <w:szCs w:val="24"/>
        </w:rPr>
      </w:pPr>
      <w:r>
        <w:rPr>
          <w:rFonts w:ascii="Times New Roman" w:hAnsi="Times New Roman" w:eastAsia="Times New Roman" w:cs="Times New Roman"/>
          <w:sz w:val="24"/>
          <w:szCs w:val="24"/>
          <w:spacing w:val="-1"/>
        </w:rPr>
        <w:t>B</w:t>
      </w:r>
      <w:r>
        <w:rPr>
          <w:rFonts w:ascii="Times New Roman" w:hAnsi="Times New Roman" w:eastAsia="Times New Roman" w:cs="Times New Roman"/>
          <w:sz w:val="15"/>
          <w:szCs w:val="15"/>
          <w:spacing w:val="-1"/>
          <w:position w:val="-1"/>
        </w:rPr>
        <w:t>1</w:t>
      </w:r>
      <w:r>
        <w:rPr>
          <w:rFonts w:ascii="Times New Roman" w:hAnsi="Times New Roman" w:eastAsia="Times New Roman" w:cs="Times New Roman"/>
          <w:sz w:val="24"/>
          <w:szCs w:val="24"/>
          <w:spacing w:val="-1"/>
        </w:rPr>
        <w:t>—</w:t>
      </w:r>
      <w:r>
        <w:rPr>
          <w:rFonts w:ascii="SimSun" w:hAnsi="SimSun" w:eastAsia="SimSun" w:cs="SimSun"/>
          <w:sz w:val="24"/>
          <w:szCs w:val="24"/>
          <w:spacing w:val="-1"/>
        </w:rPr>
        <w:t>为恒定水头已知边界，第一类边界；</w:t>
      </w:r>
    </w:p>
    <w:p>
      <w:pPr>
        <w:ind w:left="484"/>
        <w:spacing w:before="184" w:line="219" w:lineRule="auto"/>
        <w:rPr>
          <w:rFonts w:ascii="SimSun" w:hAnsi="SimSun" w:eastAsia="SimSun" w:cs="SimSun"/>
          <w:sz w:val="24"/>
          <w:szCs w:val="24"/>
        </w:rPr>
      </w:pPr>
      <w:r>
        <w:rPr>
          <w:rFonts w:ascii="Times New Roman" w:hAnsi="Times New Roman" w:eastAsia="Times New Roman" w:cs="Times New Roman"/>
          <w:sz w:val="24"/>
          <w:szCs w:val="24"/>
          <w:spacing w:val="-1"/>
        </w:rPr>
        <w:t>B</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24"/>
          <w:szCs w:val="24"/>
          <w:spacing w:val="-1"/>
        </w:rPr>
        <w:t>—</w:t>
      </w:r>
      <w:r>
        <w:rPr>
          <w:rFonts w:ascii="SimSun" w:hAnsi="SimSun" w:eastAsia="SimSun" w:cs="SimSun"/>
          <w:sz w:val="24"/>
          <w:szCs w:val="24"/>
          <w:spacing w:val="-1"/>
        </w:rPr>
        <w:t>为零流量已知边界，第二类边界；</w:t>
      </w:r>
    </w:p>
    <w:p>
      <w:pPr>
        <w:ind w:left="482"/>
        <w:spacing w:before="180" w:line="220" w:lineRule="auto"/>
        <w:rPr>
          <w:rFonts w:ascii="SimSun" w:hAnsi="SimSun" w:eastAsia="SimSun" w:cs="SimSun"/>
          <w:sz w:val="24"/>
          <w:szCs w:val="24"/>
        </w:rPr>
      </w:pPr>
      <w:r>
        <w:rPr>
          <w:rFonts w:ascii="Times New Roman" w:hAnsi="Times New Roman" w:eastAsia="Times New Roman" w:cs="Times New Roman"/>
          <w:sz w:val="24"/>
          <w:szCs w:val="24"/>
          <w:spacing w:val="-1"/>
        </w:rPr>
        <w:t>n—</w:t>
      </w:r>
      <w:r>
        <w:rPr>
          <w:rFonts w:ascii="SimSun" w:hAnsi="SimSun" w:eastAsia="SimSun" w:cs="SimSun"/>
          <w:sz w:val="24"/>
          <w:szCs w:val="24"/>
          <w:spacing w:val="-1"/>
        </w:rPr>
        <w:t>渗流区边界的单位外法线方向。</w:t>
      </w:r>
    </w:p>
    <w:p>
      <w:pPr>
        <w:ind w:left="490"/>
        <w:spacing w:before="183" w:line="219" w:lineRule="auto"/>
        <w:rPr>
          <w:rFonts w:ascii="SimSun" w:hAnsi="SimSun" w:eastAsia="SimSun" w:cs="SimSun"/>
          <w:sz w:val="24"/>
          <w:szCs w:val="24"/>
        </w:rPr>
      </w:pPr>
      <w:r>
        <w:rPr>
          <w:rFonts w:ascii="Times New Roman" w:hAnsi="Times New Roman" w:eastAsia="Times New Roman" w:cs="Times New Roman"/>
          <w:sz w:val="24"/>
          <w:szCs w:val="24"/>
          <w:spacing w:val="-6"/>
        </w:rPr>
        <w:t>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6"/>
        </w:rPr>
        <w:t>、数值模型</w:t>
      </w:r>
    </w:p>
    <w:p>
      <w:pPr>
        <w:ind w:left="501"/>
        <w:spacing w:before="181"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）模型求解</w:t>
      </w:r>
    </w:p>
    <w:p>
      <w:pPr>
        <w:ind w:left="4" w:firstLine="486"/>
        <w:spacing w:before="183" w:line="359" w:lineRule="auto"/>
        <w:rPr>
          <w:rFonts w:ascii="SimSun" w:hAnsi="SimSun" w:eastAsia="SimSun" w:cs="SimSun"/>
          <w:sz w:val="24"/>
          <w:szCs w:val="24"/>
        </w:rPr>
      </w:pPr>
      <w:r>
        <w:rPr>
          <w:rFonts w:ascii="SimSun" w:hAnsi="SimSun" w:eastAsia="SimSun" w:cs="SimSun"/>
          <w:sz w:val="24"/>
          <w:szCs w:val="24"/>
          <w:spacing w:val="-2"/>
        </w:rPr>
        <w:t>本次模拟采用</w:t>
      </w:r>
      <w:r>
        <w:rPr>
          <w:rFonts w:ascii="Times New Roman" w:hAnsi="Times New Roman" w:eastAsia="Times New Roman" w:cs="Times New Roman"/>
          <w:sz w:val="24"/>
          <w:szCs w:val="24"/>
          <w:spacing w:val="-2"/>
        </w:rPr>
        <w:t>GMS</w:t>
      </w:r>
      <w:r>
        <w:rPr>
          <w:rFonts w:ascii="SimSun" w:hAnsi="SimSun" w:eastAsia="SimSun" w:cs="SimSun"/>
          <w:sz w:val="24"/>
          <w:szCs w:val="24"/>
          <w:spacing w:val="-2"/>
        </w:rPr>
        <w:t>（</w:t>
      </w:r>
      <w:r>
        <w:rPr>
          <w:rFonts w:ascii="Times New Roman" w:hAnsi="Times New Roman" w:eastAsia="Times New Roman" w:cs="Times New Roman"/>
          <w:sz w:val="24"/>
          <w:szCs w:val="24"/>
          <w:spacing w:val="-2"/>
        </w:rPr>
        <w:t>Groundwater Model</w:t>
      </w:r>
      <w:r>
        <w:rPr>
          <w:rFonts w:ascii="Times New Roman" w:hAnsi="Times New Roman" w:eastAsia="Times New Roman" w:cs="Times New Roman"/>
          <w:sz w:val="24"/>
          <w:szCs w:val="24"/>
          <w:spacing w:val="25"/>
          <w:w w:val="101"/>
        </w:rPr>
        <w:t xml:space="preserve"> </w:t>
      </w:r>
      <w:r>
        <w:rPr>
          <w:rFonts w:ascii="Times New Roman" w:hAnsi="Times New Roman" w:eastAsia="Times New Roman" w:cs="Times New Roman"/>
          <w:sz w:val="24"/>
          <w:szCs w:val="24"/>
          <w:spacing w:val="-2"/>
        </w:rPr>
        <w:t>System</w:t>
      </w:r>
      <w:r>
        <w:rPr>
          <w:rFonts w:ascii="SimSun" w:hAnsi="SimSun" w:eastAsia="SimSun" w:cs="SimSun"/>
          <w:sz w:val="24"/>
          <w:szCs w:val="24"/>
          <w:spacing w:val="-2"/>
        </w:rPr>
        <w:t>）模拟软件。</w:t>
      </w:r>
      <w:r>
        <w:rPr>
          <w:rFonts w:ascii="Times New Roman" w:hAnsi="Times New Roman" w:eastAsia="Times New Roman" w:cs="Times New Roman"/>
          <w:sz w:val="24"/>
          <w:szCs w:val="24"/>
          <w:spacing w:val="-2"/>
        </w:rPr>
        <w:t>GMS</w:t>
      </w:r>
      <w:r>
        <w:rPr>
          <w:rFonts w:ascii="SimSun" w:hAnsi="SimSun" w:eastAsia="SimSun" w:cs="SimSun"/>
          <w:sz w:val="24"/>
          <w:szCs w:val="24"/>
          <w:spacing w:val="-2"/>
        </w:rPr>
        <w:t>软件模块由</w:t>
      </w:r>
      <w:r>
        <w:rPr>
          <w:rFonts w:ascii="SimSun" w:hAnsi="SimSun" w:eastAsia="SimSun" w:cs="SimSun"/>
          <w:sz w:val="24"/>
          <w:szCs w:val="24"/>
        </w:rPr>
        <w:t xml:space="preserve"> </w:t>
      </w:r>
      <w:r>
        <w:rPr>
          <w:rFonts w:ascii="Times New Roman" w:hAnsi="Times New Roman" w:eastAsia="Times New Roman" w:cs="Times New Roman"/>
          <w:sz w:val="24"/>
          <w:szCs w:val="24"/>
          <w:spacing w:val="-2"/>
        </w:rPr>
        <w:t>MODFLOW</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MT3DMS</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MODPATH</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F</w:t>
      </w:r>
      <w:r>
        <w:rPr>
          <w:rFonts w:ascii="Times New Roman" w:hAnsi="Times New Roman" w:eastAsia="Times New Roman" w:cs="Times New Roman"/>
          <w:sz w:val="24"/>
          <w:szCs w:val="24"/>
          <w:spacing w:val="-3"/>
        </w:rPr>
        <w:t>EMWATER</w:t>
      </w:r>
      <w:r>
        <w:rPr>
          <w:rFonts w:ascii="SimSun" w:hAnsi="SimSun" w:eastAsia="SimSun" w:cs="SimSun"/>
          <w:sz w:val="24"/>
          <w:szCs w:val="24"/>
          <w:spacing w:val="-3"/>
        </w:rPr>
        <w:t>等计算模块和</w:t>
      </w:r>
      <w:r>
        <w:rPr>
          <w:rFonts w:ascii="Times New Roman" w:hAnsi="Times New Roman" w:eastAsia="Times New Roman" w:cs="Times New Roman"/>
          <w:sz w:val="24"/>
          <w:szCs w:val="24"/>
          <w:spacing w:val="-3"/>
        </w:rPr>
        <w:t>MAP</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TINS</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w:t>
      </w:r>
      <w:r>
        <w:rPr>
          <w:rFonts w:ascii="SimSun" w:hAnsi="SimSun" w:eastAsia="SimSun" w:cs="SimSun"/>
          <w:sz w:val="24"/>
          <w:szCs w:val="24"/>
        </w:rPr>
        <w:t xml:space="preserve"> </w:t>
      </w:r>
      <w:r>
        <w:rPr>
          <w:rFonts w:ascii="Times New Roman" w:hAnsi="Times New Roman" w:eastAsia="Times New Roman" w:cs="Times New Roman"/>
          <w:sz w:val="24"/>
          <w:szCs w:val="24"/>
        </w:rPr>
        <w:t>Borehole</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rPr>
        <w:t>Solid</w:t>
      </w:r>
      <w:r>
        <w:rPr>
          <w:rFonts w:ascii="SimSun" w:hAnsi="SimSun" w:eastAsia="SimSun" w:cs="SimSun"/>
          <w:sz w:val="24"/>
          <w:szCs w:val="24"/>
          <w:spacing w:val="3"/>
        </w:rPr>
        <w:t>等辅助模块组成。</w:t>
      </w:r>
      <w:r>
        <w:rPr>
          <w:rFonts w:ascii="Times New Roman" w:hAnsi="Times New Roman" w:eastAsia="Times New Roman" w:cs="Times New Roman"/>
          <w:sz w:val="24"/>
          <w:szCs w:val="24"/>
        </w:rPr>
        <w:t>GMS</w:t>
      </w:r>
      <w:r>
        <w:rPr>
          <w:rFonts w:ascii="SimSun" w:hAnsi="SimSun" w:eastAsia="SimSun" w:cs="SimSun"/>
          <w:sz w:val="24"/>
          <w:szCs w:val="24"/>
          <w:spacing w:val="3"/>
        </w:rPr>
        <w:t>按模型前处理、数值模拟计算、后处理结</w:t>
      </w:r>
      <w:r>
        <w:rPr>
          <w:rFonts w:ascii="SimSun" w:hAnsi="SimSun" w:eastAsia="SimSun" w:cs="SimSun"/>
          <w:sz w:val="24"/>
          <w:szCs w:val="24"/>
        </w:rPr>
        <w:t xml:space="preserve"> </w:t>
      </w:r>
      <w:r>
        <w:rPr>
          <w:rFonts w:ascii="SimSun" w:hAnsi="SimSun" w:eastAsia="SimSun" w:cs="SimSun"/>
          <w:sz w:val="24"/>
          <w:szCs w:val="24"/>
          <w:spacing w:val="3"/>
        </w:rPr>
        <w:t>构设计，是一个基于概念模型的综合性图形界面软件，因其系统化、</w:t>
      </w:r>
      <w:r>
        <w:rPr>
          <w:rFonts w:ascii="SimSun" w:hAnsi="SimSun" w:eastAsia="SimSun" w:cs="SimSun"/>
          <w:sz w:val="24"/>
          <w:szCs w:val="24"/>
          <w:spacing w:val="2"/>
        </w:rPr>
        <w:t>可视化以及</w:t>
      </w:r>
      <w:r>
        <w:rPr>
          <w:rFonts w:ascii="SimSun" w:hAnsi="SimSun" w:eastAsia="SimSun" w:cs="SimSun"/>
          <w:sz w:val="24"/>
          <w:szCs w:val="24"/>
        </w:rPr>
        <w:t xml:space="preserve"> </w:t>
      </w:r>
      <w:r>
        <w:rPr>
          <w:rFonts w:ascii="SimSun" w:hAnsi="SimSun" w:eastAsia="SimSun" w:cs="SimSun"/>
          <w:sz w:val="24"/>
          <w:szCs w:val="24"/>
          <w:spacing w:val="1"/>
        </w:rPr>
        <w:t>强大的数值模拟功能，被国际同行普遍认可，</w:t>
      </w:r>
      <w:r>
        <w:rPr>
          <w:rFonts w:ascii="SimSun" w:hAnsi="SimSun" w:eastAsia="SimSun" w:cs="SimSun"/>
          <w:sz w:val="24"/>
          <w:szCs w:val="24"/>
          <w:spacing w:val="-55"/>
        </w:rPr>
        <w:t xml:space="preserve"> </w:t>
      </w:r>
      <w:r>
        <w:rPr>
          <w:rFonts w:ascii="SimSun" w:hAnsi="SimSun" w:eastAsia="SimSun" w:cs="SimSun"/>
          <w:sz w:val="24"/>
          <w:szCs w:val="24"/>
          <w:spacing w:val="1"/>
        </w:rPr>
        <w:t>目前已成为国际上最受欢迎的地下</w:t>
      </w:r>
      <w:r>
        <w:rPr>
          <w:rFonts w:ascii="SimSun" w:hAnsi="SimSun" w:eastAsia="SimSun" w:cs="SimSun"/>
          <w:sz w:val="24"/>
          <w:szCs w:val="24"/>
        </w:rPr>
        <w:t xml:space="preserve"> </w:t>
      </w:r>
      <w:r>
        <w:rPr>
          <w:rFonts w:ascii="SimSun" w:hAnsi="SimSun" w:eastAsia="SimSun" w:cs="SimSun"/>
          <w:sz w:val="24"/>
          <w:szCs w:val="24"/>
          <w:spacing w:val="-1"/>
        </w:rPr>
        <w:t>水模拟软件之一。</w:t>
      </w:r>
    </w:p>
    <w:p>
      <w:pPr>
        <w:ind w:left="12" w:firstLine="478"/>
        <w:spacing w:before="2" w:line="359" w:lineRule="auto"/>
        <w:jc w:val="both"/>
        <w:rPr>
          <w:rFonts w:ascii="SimSun" w:hAnsi="SimSun" w:eastAsia="SimSun" w:cs="SimSun"/>
          <w:sz w:val="24"/>
          <w:szCs w:val="24"/>
        </w:rPr>
      </w:pPr>
      <w:r>
        <w:rPr>
          <w:rFonts w:ascii="SimSun" w:hAnsi="SimSun" w:eastAsia="SimSun" w:cs="SimSun"/>
          <w:sz w:val="24"/>
          <w:szCs w:val="24"/>
          <w:spacing w:val="3"/>
        </w:rPr>
        <w:t>本次预测评价则采用概念模型的方式建立数值模拟模型。采用矩</w:t>
      </w:r>
      <w:r>
        <w:rPr>
          <w:rFonts w:ascii="SimSun" w:hAnsi="SimSun" w:eastAsia="SimSun" w:cs="SimSun"/>
          <w:sz w:val="24"/>
          <w:szCs w:val="24"/>
          <w:spacing w:val="2"/>
        </w:rPr>
        <w:t>形剖分与线</w:t>
      </w:r>
      <w:r>
        <w:rPr>
          <w:rFonts w:ascii="SimSun" w:hAnsi="SimSun" w:eastAsia="SimSun" w:cs="SimSun"/>
          <w:sz w:val="24"/>
          <w:szCs w:val="24"/>
        </w:rPr>
        <w:t xml:space="preserve"> </w:t>
      </w:r>
      <w:r>
        <w:rPr>
          <w:rFonts w:ascii="SimSun" w:hAnsi="SimSun" w:eastAsia="SimSun" w:cs="SimSun"/>
          <w:sz w:val="24"/>
          <w:szCs w:val="24"/>
          <w:spacing w:val="3"/>
        </w:rPr>
        <w:t>性插值，应用迦辽金有限差分法将数学模型离散为</w:t>
      </w:r>
      <w:r>
        <w:rPr>
          <w:rFonts w:ascii="SimSun" w:hAnsi="SimSun" w:eastAsia="SimSun" w:cs="SimSun"/>
          <w:sz w:val="24"/>
          <w:szCs w:val="24"/>
          <w:spacing w:val="2"/>
        </w:rPr>
        <w:t>有限单元方程组，进而对其进</w:t>
      </w:r>
      <w:r>
        <w:rPr>
          <w:rFonts w:ascii="SimSun" w:hAnsi="SimSun" w:eastAsia="SimSun" w:cs="SimSun"/>
          <w:sz w:val="24"/>
          <w:szCs w:val="24"/>
        </w:rPr>
        <w:t xml:space="preserve"> </w:t>
      </w:r>
      <w:r>
        <w:rPr>
          <w:rFonts w:ascii="SimSun" w:hAnsi="SimSun" w:eastAsia="SimSun" w:cs="SimSun"/>
          <w:sz w:val="24"/>
          <w:szCs w:val="24"/>
          <w:spacing w:val="-4"/>
        </w:rPr>
        <w:t>行求解。</w:t>
      </w:r>
    </w:p>
    <w:p>
      <w:pPr>
        <w:ind w:left="501"/>
        <w:spacing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）值模型空间离散</w:t>
      </w:r>
    </w:p>
    <w:p>
      <w:pPr>
        <w:ind w:left="10" w:right="2" w:firstLine="479"/>
        <w:spacing w:before="180" w:line="331" w:lineRule="auto"/>
        <w:rPr>
          <w:rFonts w:ascii="SimSun" w:hAnsi="SimSun" w:eastAsia="SimSun" w:cs="SimSun"/>
          <w:sz w:val="24"/>
          <w:szCs w:val="24"/>
        </w:rPr>
      </w:pPr>
      <w:r>
        <w:rPr>
          <w:rFonts w:ascii="SimSun" w:hAnsi="SimSun" w:eastAsia="SimSun" w:cs="SimSun"/>
          <w:sz w:val="24"/>
          <w:szCs w:val="24"/>
          <w:spacing w:val="-2"/>
        </w:rPr>
        <w:t>借助于</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MODFLOW </w:t>
      </w:r>
      <w:r>
        <w:rPr>
          <w:rFonts w:ascii="SimSun" w:hAnsi="SimSun" w:eastAsia="SimSun" w:cs="SimSun"/>
          <w:sz w:val="24"/>
          <w:szCs w:val="24"/>
          <w:spacing w:val="-2"/>
        </w:rPr>
        <w:t>模块，采用有限差分法，对研究区进行矩形剖分，将模型</w:t>
      </w:r>
      <w:r>
        <w:rPr>
          <w:rFonts w:ascii="SimSun" w:hAnsi="SimSun" w:eastAsia="SimSun" w:cs="SimSun"/>
          <w:sz w:val="24"/>
          <w:szCs w:val="24"/>
        </w:rPr>
        <w:t xml:space="preserve"> </w:t>
      </w:r>
      <w:r>
        <w:rPr>
          <w:rFonts w:ascii="SimSun" w:hAnsi="SimSun" w:eastAsia="SimSun" w:cs="SimSun"/>
          <w:sz w:val="24"/>
          <w:szCs w:val="24"/>
          <w:spacing w:val="-4"/>
        </w:rPr>
        <w:t>剖分为</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层，</w:t>
      </w:r>
      <w:r>
        <w:rPr>
          <w:rFonts w:ascii="Times New Roman" w:hAnsi="Times New Roman" w:eastAsia="Times New Roman" w:cs="Times New Roman"/>
          <w:sz w:val="24"/>
          <w:szCs w:val="24"/>
          <w:spacing w:val="-4"/>
        </w:rPr>
        <w:t>20m×20m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4"/>
        </w:rPr>
        <w:t>的网格。</w:t>
      </w:r>
    </w:p>
    <w:p>
      <w:pPr>
        <w:spacing w:line="331" w:lineRule="auto"/>
        <w:sectPr>
          <w:headerReference w:type="default" r:id="rId120"/>
          <w:footerReference w:type="default" r:id="rId252"/>
          <w:pgSz w:w="11907" w:h="16840"/>
          <w:pgMar w:top="1567" w:right="1700" w:bottom="1921" w:left="1701" w:header="1221" w:footer="1247" w:gutter="0"/>
        </w:sectPr>
        <w:rPr>
          <w:rFonts w:ascii="SimSun" w:hAnsi="SimSun" w:eastAsia="SimSun" w:cs="SimSun"/>
          <w:sz w:val="24"/>
          <w:szCs w:val="24"/>
        </w:rPr>
      </w:pPr>
    </w:p>
    <w:p>
      <w:pPr>
        <w:spacing w:before="150" w:line="3864" w:lineRule="exact"/>
        <w:rPr/>
      </w:pPr>
      <w:r>
        <w:pict>
          <v:shape id="_x0000_s912" style="position:absolute;margin-left:85.05pt;margin-top:79.11pt;mso-position-vertical-relative:page;mso-position-horizontal-relative:page;width:425.25pt;height:0.75pt;z-index:252071936;" o:allowincell="f" fillcolor="#000000" filled="true" stroked="false" coordsize="8505,15" coordorigin="0,0" path="m,l8505,0l8505,14l0,14l0,0xe"/>
        </w:pict>
      </w:r>
      <w:r>
        <w:rPr>
          <w:position w:val="-77"/>
        </w:rPr>
        <w:drawing>
          <wp:inline distT="0" distB="0" distL="0" distR="0">
            <wp:extent cx="5430011" cy="2453640"/>
            <wp:effectExtent l="0" t="0" r="0" b="0"/>
            <wp:docPr id="146" name="IM 146"/>
            <wp:cNvGraphicFramePr/>
            <a:graphic>
              <a:graphicData uri="http://schemas.openxmlformats.org/drawingml/2006/picture">
                <pic:pic>
                  <pic:nvPicPr>
                    <pic:cNvPr id="146" name="IM 146"/>
                    <pic:cNvPicPr/>
                  </pic:nvPicPr>
                  <pic:blipFill>
                    <a:blip r:embed="rId254"/>
                    <a:stretch>
                      <a:fillRect/>
                    </a:stretch>
                  </pic:blipFill>
                  <pic:spPr>
                    <a:xfrm rot="0">
                      <a:off x="0" y="0"/>
                      <a:ext cx="5430011" cy="2453640"/>
                    </a:xfrm>
                    <a:prstGeom prst="rect">
                      <a:avLst/>
                    </a:prstGeom>
                  </pic:spPr>
                </pic:pic>
              </a:graphicData>
            </a:graphic>
          </wp:inline>
        </w:drawing>
      </w:r>
    </w:p>
    <w:p>
      <w:pPr>
        <w:ind w:left="2560"/>
        <w:spacing w:before="178"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3"/>
        </w:rPr>
        <w:t>5.3-9    </w:t>
      </w:r>
      <w:r>
        <w:rPr>
          <w:rFonts w:ascii="SimSun" w:hAnsi="SimSun" w:eastAsia="SimSun" w:cs="SimSun"/>
          <w:sz w:val="24"/>
          <w:szCs w:val="24"/>
          <w:b/>
          <w:bCs/>
          <w:spacing w:val="-3"/>
        </w:rPr>
        <w:t>模拟区空间离散示意图</w:t>
      </w:r>
    </w:p>
    <w:p>
      <w:pPr>
        <w:ind w:left="501"/>
        <w:spacing w:before="147"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）底板高程值</w:t>
      </w:r>
    </w:p>
    <w:p>
      <w:pPr>
        <w:ind w:left="8" w:right="56" w:firstLine="480"/>
        <w:spacing w:before="184" w:line="359" w:lineRule="auto"/>
        <w:rPr>
          <w:rFonts w:ascii="SimSun" w:hAnsi="SimSun" w:eastAsia="SimSun" w:cs="SimSun"/>
          <w:sz w:val="24"/>
          <w:szCs w:val="24"/>
        </w:rPr>
      </w:pPr>
      <w:r>
        <w:rPr>
          <w:rFonts w:ascii="SimSun" w:hAnsi="SimSun" w:eastAsia="SimSun" w:cs="SimSun"/>
          <w:sz w:val="24"/>
          <w:szCs w:val="24"/>
          <w:spacing w:val="-2"/>
        </w:rPr>
        <w:t>模拟中的地面标高主要来自于</w:t>
      </w:r>
      <w:r>
        <w:rPr>
          <w:rFonts w:ascii="Times New Roman" w:hAnsi="Times New Roman" w:eastAsia="Times New Roman" w:cs="Times New Roman"/>
          <w:sz w:val="24"/>
          <w:szCs w:val="24"/>
          <w:spacing w:val="-2"/>
        </w:rPr>
        <w:t>SRTM</w:t>
      </w:r>
      <w:r>
        <w:rPr>
          <w:rFonts w:ascii="SimSun" w:hAnsi="SimSun" w:eastAsia="SimSun" w:cs="SimSun"/>
          <w:sz w:val="24"/>
          <w:szCs w:val="24"/>
          <w:spacing w:val="-2"/>
        </w:rPr>
        <w:t>全球数字高程数据</w:t>
      </w:r>
      <w:r>
        <w:rPr>
          <w:rFonts w:ascii="SimSun" w:hAnsi="SimSun" w:eastAsia="SimSun" w:cs="SimSun"/>
          <w:sz w:val="24"/>
          <w:szCs w:val="24"/>
          <w:spacing w:val="-3"/>
        </w:rPr>
        <w:t>，经过高程点提取、异</w:t>
      </w:r>
      <w:r>
        <w:rPr>
          <w:rFonts w:ascii="SimSun" w:hAnsi="SimSun" w:eastAsia="SimSun" w:cs="SimSun"/>
          <w:sz w:val="24"/>
          <w:szCs w:val="24"/>
        </w:rPr>
        <w:t xml:space="preserve"> </w:t>
      </w:r>
      <w:r>
        <w:rPr>
          <w:rFonts w:ascii="SimSun" w:hAnsi="SimSun" w:eastAsia="SimSun" w:cs="SimSun"/>
          <w:sz w:val="24"/>
          <w:szCs w:val="24"/>
          <w:spacing w:val="3"/>
        </w:rPr>
        <w:t>常点剔除后获得计算区原始高程数据，并结合区内钻孔所</w:t>
      </w:r>
      <w:r>
        <w:rPr>
          <w:rFonts w:ascii="SimSun" w:hAnsi="SimSun" w:eastAsia="SimSun" w:cs="SimSun"/>
          <w:sz w:val="24"/>
          <w:szCs w:val="24"/>
          <w:spacing w:val="2"/>
        </w:rPr>
        <w:t>显示的高程获得顶板高</w:t>
      </w:r>
      <w:r>
        <w:rPr>
          <w:rFonts w:ascii="SimSun" w:hAnsi="SimSun" w:eastAsia="SimSun" w:cs="SimSun"/>
          <w:sz w:val="24"/>
          <w:szCs w:val="24"/>
        </w:rPr>
        <w:t xml:space="preserve"> </w:t>
      </w:r>
      <w:r>
        <w:rPr>
          <w:rFonts w:ascii="SimSun" w:hAnsi="SimSun" w:eastAsia="SimSun" w:cs="SimSun"/>
          <w:sz w:val="24"/>
          <w:szCs w:val="24"/>
          <w:spacing w:val="3"/>
        </w:rPr>
        <w:t>程；潜水底板则根据区内钻孔的岩性分界，并结合评价区</w:t>
      </w:r>
      <w:r>
        <w:rPr>
          <w:rFonts w:ascii="SimSun" w:hAnsi="SimSun" w:eastAsia="SimSun" w:cs="SimSun"/>
          <w:sz w:val="24"/>
          <w:szCs w:val="24"/>
          <w:spacing w:val="2"/>
        </w:rPr>
        <w:t>水文地质、工程地质相</w:t>
      </w:r>
      <w:r>
        <w:rPr>
          <w:rFonts w:ascii="SimSun" w:hAnsi="SimSun" w:eastAsia="SimSun" w:cs="SimSun"/>
          <w:sz w:val="24"/>
          <w:szCs w:val="24"/>
        </w:rPr>
        <w:t xml:space="preserve"> </w:t>
      </w:r>
      <w:r>
        <w:rPr>
          <w:rFonts w:ascii="SimSun" w:hAnsi="SimSun" w:eastAsia="SimSun" w:cs="SimSun"/>
          <w:sz w:val="24"/>
          <w:szCs w:val="24"/>
          <w:spacing w:val="-1"/>
        </w:rPr>
        <w:t>关资料而定，将顶底板高程导入</w:t>
      </w:r>
      <w:r>
        <w:rPr>
          <w:rFonts w:ascii="Times New Roman" w:hAnsi="Times New Roman" w:eastAsia="Times New Roman" w:cs="Times New Roman"/>
          <w:sz w:val="24"/>
          <w:szCs w:val="24"/>
          <w:spacing w:val="-1"/>
        </w:rPr>
        <w:t>GMS</w:t>
      </w:r>
      <w:r>
        <w:rPr>
          <w:rFonts w:ascii="SimSun" w:hAnsi="SimSun" w:eastAsia="SimSun" w:cs="SimSun"/>
          <w:sz w:val="24"/>
          <w:szCs w:val="24"/>
          <w:spacing w:val="-1"/>
        </w:rPr>
        <w:t>软件后进行插值调整。</w:t>
      </w:r>
    </w:p>
    <w:p>
      <w:pPr>
        <w:ind w:left="501"/>
        <w:spacing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）地下水源汇项</w:t>
      </w:r>
    </w:p>
    <w:p>
      <w:pPr>
        <w:ind w:left="30" w:right="56" w:firstLine="458"/>
        <w:spacing w:before="180" w:line="359" w:lineRule="auto"/>
        <w:rPr>
          <w:rFonts w:ascii="SimSun" w:hAnsi="SimSun" w:eastAsia="SimSun" w:cs="SimSun"/>
          <w:sz w:val="24"/>
          <w:szCs w:val="24"/>
        </w:rPr>
      </w:pPr>
      <w:r>
        <w:rPr>
          <w:rFonts w:ascii="SimSun" w:hAnsi="SimSun" w:eastAsia="SimSun" w:cs="SimSun"/>
          <w:sz w:val="24"/>
          <w:szCs w:val="24"/>
          <w:spacing w:val="3"/>
        </w:rPr>
        <w:t>评价区内补给项主要为大气降水入渗补给量和侧向流入量，排泄项</w:t>
      </w:r>
      <w:r>
        <w:rPr>
          <w:rFonts w:ascii="SimSun" w:hAnsi="SimSun" w:eastAsia="SimSun" w:cs="SimSun"/>
          <w:sz w:val="24"/>
          <w:szCs w:val="24"/>
          <w:spacing w:val="2"/>
        </w:rPr>
        <w:t>有侧向流</w:t>
      </w:r>
      <w:r>
        <w:rPr>
          <w:rFonts w:ascii="SimSun" w:hAnsi="SimSun" w:eastAsia="SimSun" w:cs="SimSun"/>
          <w:sz w:val="24"/>
          <w:szCs w:val="24"/>
        </w:rPr>
        <w:t xml:space="preserve"> </w:t>
      </w:r>
      <w:r>
        <w:rPr>
          <w:rFonts w:ascii="SimSun" w:hAnsi="SimSun" w:eastAsia="SimSun" w:cs="SimSun"/>
          <w:sz w:val="24"/>
          <w:szCs w:val="24"/>
          <w:spacing w:val="-4"/>
        </w:rPr>
        <w:t>出排泄、开采量。</w:t>
      </w:r>
    </w:p>
    <w:p>
      <w:pPr>
        <w:ind w:left="488"/>
        <w:spacing w:line="217" w:lineRule="auto"/>
        <w:rPr>
          <w:rFonts w:ascii="SimSun" w:hAnsi="SimSun" w:eastAsia="SimSun" w:cs="SimSun"/>
          <w:sz w:val="24"/>
          <w:szCs w:val="24"/>
        </w:rPr>
      </w:pPr>
      <w:r>
        <w:rPr>
          <w:rFonts w:ascii="SimSun" w:hAnsi="SimSun" w:eastAsia="SimSun" w:cs="SimSun"/>
          <w:sz w:val="24"/>
          <w:szCs w:val="24"/>
          <w:spacing w:val="-2"/>
        </w:rPr>
        <w:t>①降水入渗补给量</w:t>
      </w:r>
    </w:p>
    <w:p>
      <w:pPr>
        <w:ind w:left="10" w:right="56" w:firstLine="481"/>
        <w:spacing w:before="185" w:line="348" w:lineRule="auto"/>
        <w:rPr>
          <w:rFonts w:ascii="SimSun" w:hAnsi="SimSun" w:eastAsia="SimSun" w:cs="SimSun"/>
          <w:sz w:val="24"/>
          <w:szCs w:val="24"/>
        </w:rPr>
      </w:pPr>
      <w:r>
        <w:rPr>
          <w:rFonts w:ascii="SimSun" w:hAnsi="SimSun" w:eastAsia="SimSun" w:cs="SimSun"/>
          <w:sz w:val="24"/>
          <w:szCs w:val="24"/>
          <w:spacing w:val="3"/>
        </w:rPr>
        <w:t>大气降水入渗补给地下水是一个复杂的过程，入渗补给量的</w:t>
      </w:r>
      <w:r>
        <w:rPr>
          <w:rFonts w:ascii="SimSun" w:hAnsi="SimSun" w:eastAsia="SimSun" w:cs="SimSun"/>
          <w:sz w:val="24"/>
          <w:szCs w:val="24"/>
          <w:spacing w:val="2"/>
        </w:rPr>
        <w:t>大小不仅与降水</w:t>
      </w:r>
      <w:r>
        <w:rPr>
          <w:rFonts w:ascii="SimSun" w:hAnsi="SimSun" w:eastAsia="SimSun" w:cs="SimSun"/>
          <w:sz w:val="24"/>
          <w:szCs w:val="24"/>
        </w:rPr>
        <w:t xml:space="preserve"> </w:t>
      </w:r>
      <w:r>
        <w:rPr>
          <w:rFonts w:ascii="SimSun" w:hAnsi="SimSun" w:eastAsia="SimSun" w:cs="SimSun"/>
          <w:sz w:val="24"/>
          <w:szCs w:val="24"/>
          <w:spacing w:val="3"/>
        </w:rPr>
        <w:t>强度、降水在时间上的分配、地形、植被的情况有关，</w:t>
      </w:r>
      <w:r>
        <w:rPr>
          <w:rFonts w:ascii="SimSun" w:hAnsi="SimSun" w:eastAsia="SimSun" w:cs="SimSun"/>
          <w:sz w:val="24"/>
          <w:szCs w:val="24"/>
          <w:spacing w:val="2"/>
        </w:rPr>
        <w:t>而且与地下水的埋深、包</w:t>
      </w:r>
      <w:r>
        <w:rPr>
          <w:rFonts w:ascii="SimSun" w:hAnsi="SimSun" w:eastAsia="SimSun" w:cs="SimSun"/>
          <w:sz w:val="24"/>
          <w:szCs w:val="24"/>
        </w:rPr>
        <w:t xml:space="preserve"> </w:t>
      </w:r>
      <w:r>
        <w:rPr>
          <w:rFonts w:ascii="SimSun" w:hAnsi="SimSun" w:eastAsia="SimSun" w:cs="SimSun"/>
          <w:sz w:val="24"/>
          <w:szCs w:val="24"/>
        </w:rPr>
        <w:t>气带岩性以及降水前包气带的含水量等有关。为简化</w:t>
      </w:r>
      <w:r>
        <w:rPr>
          <w:rFonts w:ascii="SimSun" w:hAnsi="SimSun" w:eastAsia="SimSun" w:cs="SimSun"/>
          <w:sz w:val="24"/>
          <w:szCs w:val="24"/>
          <w:spacing w:val="-1"/>
        </w:rPr>
        <w:t>起见，通常采用下式计算：</w:t>
      </w:r>
    </w:p>
    <w:p>
      <w:pPr>
        <w:ind w:left="3741"/>
        <w:spacing w:line="323"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position w:val="4"/>
        </w:rPr>
        <w:t>Q</w:t>
      </w:r>
      <w:r>
        <w:rPr>
          <w:rFonts w:ascii="Times New Roman" w:hAnsi="Times New Roman" w:eastAsia="Times New Roman" w:cs="Times New Roman"/>
          <w:sz w:val="24"/>
          <w:szCs w:val="24"/>
          <w:spacing w:val="14"/>
          <w:position w:val="4"/>
        </w:rPr>
        <w:t xml:space="preserve"> </w:t>
      </w:r>
      <w:r>
        <w:rPr>
          <w:rFonts w:ascii="SimSun" w:hAnsi="SimSun" w:eastAsia="SimSun" w:cs="SimSun"/>
          <w:sz w:val="12"/>
          <w:szCs w:val="12"/>
          <w:spacing w:val="-3"/>
          <w:position w:val="1"/>
        </w:rPr>
        <w:t>降</w:t>
      </w:r>
      <w:r>
        <w:rPr>
          <w:rFonts w:ascii="Times New Roman" w:hAnsi="Times New Roman" w:eastAsia="Times New Roman" w:cs="Times New Roman"/>
          <w:sz w:val="24"/>
          <w:szCs w:val="24"/>
          <w:spacing w:val="-3"/>
          <w:position w:val="4"/>
        </w:rPr>
        <w:t>=α·F·P</w:t>
      </w:r>
    </w:p>
    <w:p>
      <w:pPr>
        <w:ind w:left="9" w:right="58" w:firstLine="484"/>
        <w:spacing w:before="189" w:line="359" w:lineRule="auto"/>
        <w:jc w:val="both"/>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α——</w:t>
      </w:r>
      <w:r>
        <w:rPr>
          <w:rFonts w:ascii="SimSun" w:hAnsi="SimSun" w:eastAsia="SimSun" w:cs="SimSun"/>
          <w:sz w:val="24"/>
          <w:szCs w:val="24"/>
          <w:spacing w:val="-1"/>
        </w:rPr>
        <w:t>降水入渗系数（无量纲</w:t>
      </w:r>
      <w:r>
        <w:rPr>
          <w:rFonts w:ascii="SimSun" w:hAnsi="SimSun" w:eastAsia="SimSun" w:cs="SimSun"/>
          <w:sz w:val="24"/>
          <w:szCs w:val="24"/>
          <w:spacing w:val="1"/>
        </w:rPr>
        <w:t>），</w:t>
      </w:r>
      <w:r>
        <w:rPr>
          <w:rFonts w:ascii="SimSun" w:hAnsi="SimSun" w:eastAsia="SimSun" w:cs="SimSun"/>
          <w:sz w:val="24"/>
          <w:szCs w:val="24"/>
          <w:spacing w:val="-1"/>
        </w:rPr>
        <w:t>根据区域水文地质</w:t>
      </w:r>
      <w:r>
        <w:rPr>
          <w:rFonts w:ascii="SimSun" w:hAnsi="SimSun" w:eastAsia="SimSun" w:cs="SimSun"/>
          <w:sz w:val="24"/>
          <w:szCs w:val="24"/>
          <w:spacing w:val="-2"/>
        </w:rPr>
        <w:t>资料，对于地下水</w:t>
      </w:r>
      <w:r>
        <w:rPr>
          <w:rFonts w:ascii="SimSun" w:hAnsi="SimSun" w:eastAsia="SimSun" w:cs="SimSun"/>
          <w:sz w:val="24"/>
          <w:szCs w:val="24"/>
        </w:rPr>
        <w:t xml:space="preserve"> </w:t>
      </w:r>
      <w:r>
        <w:rPr>
          <w:rFonts w:ascii="SimSun" w:hAnsi="SimSun" w:eastAsia="SimSun" w:cs="SimSun"/>
          <w:sz w:val="24"/>
          <w:szCs w:val="24"/>
          <w:spacing w:val="-7"/>
        </w:rPr>
        <w:t>位埋深小于</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7"/>
        </w:rPr>
        <w:t>5m</w:t>
      </w:r>
      <w:r>
        <w:rPr>
          <w:rFonts w:ascii="Times New Roman" w:hAnsi="Times New Roman" w:eastAsia="Times New Roman" w:cs="Times New Roman"/>
          <w:sz w:val="24"/>
          <w:szCs w:val="24"/>
          <w:spacing w:val="25"/>
          <w:w w:val="101"/>
        </w:rPr>
        <w:t xml:space="preserve"> </w:t>
      </w:r>
      <w:r>
        <w:rPr>
          <w:rFonts w:ascii="SimSun" w:hAnsi="SimSun" w:eastAsia="SimSun" w:cs="SimSun"/>
          <w:sz w:val="24"/>
          <w:szCs w:val="24"/>
          <w:spacing w:val="-7"/>
        </w:rPr>
        <w:t>区，取</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7"/>
        </w:rPr>
        <w:t>0.22</w:t>
      </w:r>
      <w:r>
        <w:rPr>
          <w:rFonts w:ascii="SimSun" w:hAnsi="SimSun" w:eastAsia="SimSun" w:cs="SimSun"/>
          <w:sz w:val="24"/>
          <w:szCs w:val="24"/>
          <w:spacing w:val="-7"/>
        </w:rPr>
        <w:t>，地下水位埋深</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7"/>
        </w:rPr>
        <w:t>5~</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7"/>
        </w:rPr>
        <w:t>10m</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7"/>
        </w:rPr>
        <w:t>区取</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7"/>
        </w:rPr>
        <w:t>0.15,</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7"/>
        </w:rPr>
        <w:t>10~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8"/>
        </w:rPr>
        <w:t>5m</w:t>
      </w:r>
      <w:r>
        <w:rPr>
          <w:rFonts w:ascii="Times New Roman" w:hAnsi="Times New Roman" w:eastAsia="Times New Roman" w:cs="Times New Roman"/>
          <w:sz w:val="24"/>
          <w:szCs w:val="24"/>
          <w:spacing w:val="27"/>
          <w:w w:val="101"/>
        </w:rPr>
        <w:t xml:space="preserve"> </w:t>
      </w:r>
      <w:r>
        <w:rPr>
          <w:rFonts w:ascii="SimSun" w:hAnsi="SimSun" w:eastAsia="SimSun" w:cs="SimSun"/>
          <w:sz w:val="24"/>
          <w:szCs w:val="24"/>
          <w:spacing w:val="-8"/>
        </w:rPr>
        <w:t>区取</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8"/>
        </w:rPr>
        <w:t>0.08</w:t>
      </w:r>
      <w:r>
        <w:rPr>
          <w:rFonts w:ascii="SimSun" w:hAnsi="SimSun" w:eastAsia="SimSun" w:cs="SimSun"/>
          <w:sz w:val="24"/>
          <w:szCs w:val="24"/>
          <w:spacing w:val="-8"/>
        </w:rPr>
        <w:t>，地</w:t>
      </w:r>
      <w:r>
        <w:rPr>
          <w:rFonts w:ascii="SimSun" w:hAnsi="SimSun" w:eastAsia="SimSun" w:cs="SimSun"/>
          <w:sz w:val="24"/>
          <w:szCs w:val="24"/>
        </w:rPr>
        <w:t xml:space="preserve"> </w:t>
      </w:r>
      <w:r>
        <w:rPr>
          <w:rFonts w:ascii="SimSun" w:hAnsi="SimSun" w:eastAsia="SimSun" w:cs="SimSun"/>
          <w:sz w:val="24"/>
          <w:szCs w:val="24"/>
          <w:spacing w:val="-4"/>
        </w:rPr>
        <w:t>下水位埋深大于</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4"/>
        </w:rPr>
        <w:t>15m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4"/>
        </w:rPr>
        <w:t>区几乎不下渗，取</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4"/>
        </w:rPr>
        <w:t>0</w:t>
      </w:r>
      <w:r>
        <w:rPr>
          <w:rFonts w:ascii="SimSun" w:hAnsi="SimSun" w:eastAsia="SimSun" w:cs="SimSun"/>
          <w:sz w:val="24"/>
          <w:szCs w:val="24"/>
          <w:spacing w:val="-4"/>
        </w:rPr>
        <w:t>；</w:t>
      </w:r>
    </w:p>
    <w:p>
      <w:pPr>
        <w:ind w:left="484"/>
        <w:spacing w:before="1" w:line="210" w:lineRule="auto"/>
        <w:rPr>
          <w:rFonts w:ascii="SimSun" w:hAnsi="SimSun" w:eastAsia="SimSun" w:cs="SimSun"/>
          <w:sz w:val="24"/>
          <w:szCs w:val="24"/>
        </w:rPr>
      </w:pPr>
      <w:r>
        <w:rPr>
          <w:rFonts w:ascii="Times New Roman" w:hAnsi="Times New Roman" w:eastAsia="Times New Roman" w:cs="Times New Roman"/>
          <w:sz w:val="24"/>
          <w:szCs w:val="24"/>
          <w:spacing w:val="-1"/>
        </w:rPr>
        <w:t>F——</w:t>
      </w:r>
      <w:r>
        <w:rPr>
          <w:rFonts w:ascii="SimSun" w:hAnsi="SimSun" w:eastAsia="SimSun" w:cs="SimSun"/>
          <w:sz w:val="24"/>
          <w:szCs w:val="24"/>
          <w:spacing w:val="-1"/>
        </w:rPr>
        <w:t>接受降水入渗的地表面积（</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7"/>
        </w:rPr>
        <w:t>2 </w:t>
      </w:r>
      <w:r>
        <w:rPr>
          <w:rFonts w:ascii="SimSun" w:hAnsi="SimSun" w:eastAsia="SimSun" w:cs="SimSun"/>
          <w:sz w:val="24"/>
          <w:szCs w:val="24"/>
          <w:spacing w:val="-1"/>
        </w:rPr>
        <w:t>）</w:t>
      </w:r>
      <w:r>
        <w:rPr>
          <w:rFonts w:ascii="Times New Roman" w:hAnsi="Times New Roman" w:eastAsia="Times New Roman" w:cs="Times New Roman"/>
          <w:sz w:val="24"/>
          <w:szCs w:val="24"/>
          <w:spacing w:val="-1"/>
        </w:rPr>
        <w:t>,</w:t>
      </w:r>
      <w:r>
        <w:rPr>
          <w:rFonts w:ascii="SimSun" w:hAnsi="SimSun" w:eastAsia="SimSun" w:cs="SimSun"/>
          <w:sz w:val="24"/>
          <w:szCs w:val="24"/>
          <w:spacing w:val="-1"/>
        </w:rPr>
        <w:t>地表入渗面积为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4.8</w:t>
      </w:r>
      <w:r>
        <w:rPr>
          <w:rFonts w:ascii="Times New Roman" w:hAnsi="Times New Roman" w:eastAsia="Times New Roman" w:cs="Times New Roman"/>
          <w:sz w:val="24"/>
          <w:szCs w:val="24"/>
          <w:spacing w:val="-2"/>
        </w:rPr>
        <w:t>04km</w:t>
      </w:r>
      <w:r>
        <w:rPr>
          <w:rFonts w:ascii="Times New Roman" w:hAnsi="Times New Roman" w:eastAsia="Times New Roman" w:cs="Times New Roman"/>
          <w:sz w:val="15"/>
          <w:szCs w:val="15"/>
          <w:spacing w:val="-2"/>
          <w:position w:val="7"/>
        </w:rPr>
        <w:t>2</w:t>
      </w:r>
      <w:r>
        <w:rPr>
          <w:rFonts w:ascii="SimSun" w:hAnsi="SimSun" w:eastAsia="SimSun" w:cs="SimSun"/>
          <w:sz w:val="24"/>
          <w:szCs w:val="24"/>
          <w:spacing w:val="-2"/>
        </w:rPr>
        <w:t>；</w:t>
      </w:r>
    </w:p>
    <w:p>
      <w:pPr>
        <w:spacing w:before="192" w:line="219" w:lineRule="auto"/>
        <w:jc w:val="right"/>
        <w:rPr>
          <w:rFonts w:ascii="SimSun" w:hAnsi="SimSun" w:eastAsia="SimSun" w:cs="SimSun"/>
          <w:sz w:val="24"/>
          <w:szCs w:val="24"/>
        </w:rPr>
      </w:pPr>
      <w:r>
        <w:rPr>
          <w:rFonts w:ascii="Times New Roman" w:hAnsi="Times New Roman" w:eastAsia="Times New Roman" w:cs="Times New Roman"/>
          <w:sz w:val="24"/>
          <w:szCs w:val="24"/>
          <w:spacing w:val="-4"/>
        </w:rPr>
        <w:t>P——</w:t>
      </w:r>
      <w:r>
        <w:rPr>
          <w:rFonts w:ascii="SimSun" w:hAnsi="SimSun" w:eastAsia="SimSun" w:cs="SimSun"/>
          <w:sz w:val="24"/>
          <w:szCs w:val="24"/>
          <w:spacing w:val="-4"/>
        </w:rPr>
        <w:t>年平均降水量（降水深</w:t>
      </w:r>
      <w:r>
        <w:rPr>
          <w:rFonts w:ascii="SimSun" w:hAnsi="SimSun" w:eastAsia="SimSun" w:cs="SimSun"/>
          <w:sz w:val="24"/>
          <w:szCs w:val="24"/>
          <w:spacing w:val="-29"/>
        </w:rPr>
        <w:t>）（</w:t>
      </w:r>
      <w:r>
        <w:rPr>
          <w:rFonts w:ascii="Times New Roman" w:hAnsi="Times New Roman" w:eastAsia="Times New Roman" w:cs="Times New Roman"/>
          <w:sz w:val="24"/>
          <w:szCs w:val="24"/>
          <w:spacing w:val="-4"/>
        </w:rPr>
        <w:t>m</w:t>
      </w:r>
      <w:r>
        <w:rPr>
          <w:rFonts w:ascii="SimSun" w:hAnsi="SimSun" w:eastAsia="SimSun" w:cs="SimSun"/>
          <w:sz w:val="24"/>
          <w:szCs w:val="24"/>
          <w:spacing w:val="-29"/>
        </w:rPr>
        <w:t>），</w:t>
      </w:r>
      <w:r>
        <w:rPr>
          <w:rFonts w:ascii="SimSun" w:hAnsi="SimSun" w:eastAsia="SimSun" w:cs="SimSun"/>
          <w:sz w:val="24"/>
          <w:szCs w:val="24"/>
          <w:spacing w:val="-4"/>
        </w:rPr>
        <w:t>正镶白旗地区年平均降水量为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351mm</w:t>
      </w:r>
      <w:r>
        <w:rPr>
          <w:rFonts w:ascii="SimSun" w:hAnsi="SimSun" w:eastAsia="SimSun" w:cs="SimSun"/>
          <w:sz w:val="24"/>
          <w:szCs w:val="24"/>
          <w:spacing w:val="-4"/>
        </w:rPr>
        <w:t>；</w:t>
      </w:r>
    </w:p>
    <w:p>
      <w:pPr>
        <w:ind w:left="488"/>
        <w:spacing w:before="181" w:line="217" w:lineRule="auto"/>
        <w:rPr>
          <w:rFonts w:ascii="SimSun" w:hAnsi="SimSun" w:eastAsia="SimSun" w:cs="SimSun"/>
          <w:sz w:val="24"/>
          <w:szCs w:val="24"/>
        </w:rPr>
      </w:pPr>
      <w:r>
        <w:rPr>
          <w:rFonts w:ascii="SimSun" w:hAnsi="SimSun" w:eastAsia="SimSun" w:cs="SimSun"/>
          <w:sz w:val="24"/>
          <w:szCs w:val="24"/>
          <w:spacing w:val="-2"/>
        </w:rPr>
        <w:t>②人工开采量</w:t>
      </w:r>
    </w:p>
    <w:p>
      <w:pPr>
        <w:pStyle w:val="BodyText"/>
        <w:spacing w:line="416" w:lineRule="auto"/>
        <w:rPr/>
      </w:pPr>
      <w:r/>
    </w:p>
    <w:p>
      <w:pPr>
        <w:ind w:left="7"/>
        <w:spacing w:before="62" w:line="227" w:lineRule="auto"/>
        <w:rPr>
          <w:rFonts w:ascii="SimSun" w:hAnsi="SimSun" w:eastAsia="SimSun" w:cs="SimSun"/>
          <w:sz w:val="19"/>
          <w:szCs w:val="19"/>
        </w:rPr>
      </w:pPr>
      <w:r>
        <w:pict>
          <v:shape id="_x0000_s914" style="position:absolute;margin-left:159.33pt;margin-top:2.09458pt;mso-position-vertical-relative:text;mso-position-horizontal-relative:text;width:61pt;height:13.75pt;z-index:252070912;"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rPr>
                    <w:t>任公司</w:t>
                  </w:r>
                  <w:r>
                    <w:rPr>
                      <w:rFonts w:ascii="SimSun" w:hAnsi="SimSun" w:eastAsia="SimSun" w:cs="SimSun"/>
                      <w:sz w:val="19"/>
                      <w:szCs w:val="19"/>
                      <w:spacing w:val="18"/>
                    </w:rPr>
                    <w:t xml:space="preserve">   </w:t>
                  </w:r>
                  <w:r>
                    <w:rPr>
                      <w:rFonts w:ascii="Times New Roman" w:hAnsi="Times New Roman" w:eastAsia="Times New Roman" w:cs="Times New Roman"/>
                      <w:sz w:val="18"/>
                      <w:szCs w:val="18"/>
                      <w:position w:val="2"/>
                    </w:rPr>
                    <w:t>191</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38"/>
          <w:footerReference w:type="default" r:id="rId3"/>
          <w:pgSz w:w="11907" w:h="16840"/>
          <w:pgMar w:top="1567" w:right="1643" w:bottom="400" w:left="1701" w:header="1221" w:footer="0" w:gutter="0"/>
        </w:sectPr>
        <w:rPr>
          <w:rFonts w:ascii="SimSun" w:hAnsi="SimSun" w:eastAsia="SimSun" w:cs="SimSun"/>
          <w:sz w:val="19"/>
          <w:szCs w:val="19"/>
        </w:rPr>
      </w:pPr>
    </w:p>
    <w:p>
      <w:pPr>
        <w:ind w:left="122" w:right="169" w:firstLine="481"/>
        <w:spacing w:before="168" w:line="359" w:lineRule="auto"/>
        <w:rPr>
          <w:rFonts w:ascii="SimSun" w:hAnsi="SimSun" w:eastAsia="SimSun" w:cs="SimSun"/>
          <w:sz w:val="24"/>
          <w:szCs w:val="24"/>
        </w:rPr>
      </w:pPr>
      <w:r>
        <w:pict>
          <v:shape id="_x0000_s918" style="position:absolute;margin-left:85.05pt;margin-top:78.87pt;mso-position-vertical-relative:page;mso-position-horizontal-relative:page;width:425.25pt;height:0.75pt;z-index:252072960;" o:allowincell="f" fillcolor="#000000" filled="true" stroked="false" coordsize="8505,15" coordorigin="0,0" path="m,l8505,0l8505,14l0,14l0,0xe"/>
        </w:pict>
      </w:r>
      <w:r>
        <w:rPr>
          <w:rFonts w:ascii="SimSun" w:hAnsi="SimSun" w:eastAsia="SimSun" w:cs="SimSun"/>
          <w:sz w:val="24"/>
          <w:szCs w:val="24"/>
          <w:spacing w:val="3"/>
        </w:rPr>
        <w:t>人工开采量为野外实地调查的评价区开采量，对分散式饮用水</w:t>
      </w:r>
      <w:r>
        <w:rPr>
          <w:rFonts w:ascii="SimSun" w:hAnsi="SimSun" w:eastAsia="SimSun" w:cs="SimSun"/>
          <w:sz w:val="24"/>
          <w:szCs w:val="24"/>
          <w:spacing w:val="2"/>
        </w:rPr>
        <w:t>井，调查开采</w:t>
      </w:r>
      <w:r>
        <w:rPr>
          <w:rFonts w:ascii="SimSun" w:hAnsi="SimSun" w:eastAsia="SimSun" w:cs="SimSun"/>
          <w:sz w:val="24"/>
          <w:szCs w:val="24"/>
        </w:rPr>
        <w:t xml:space="preserve"> </w:t>
      </w:r>
      <w:r>
        <w:rPr>
          <w:rFonts w:ascii="SimSun" w:hAnsi="SimSun" w:eastAsia="SimSun" w:cs="SimSun"/>
          <w:sz w:val="24"/>
          <w:szCs w:val="24"/>
          <w:spacing w:val="-1"/>
        </w:rPr>
        <w:t>量则以点的形式直接赋予模型中的</w:t>
      </w:r>
      <w:r>
        <w:rPr>
          <w:rFonts w:ascii="Times New Roman" w:hAnsi="Times New Roman" w:eastAsia="Times New Roman" w:cs="Times New Roman"/>
          <w:sz w:val="24"/>
          <w:szCs w:val="24"/>
          <w:spacing w:val="-1"/>
        </w:rPr>
        <w:t>“well”</w:t>
      </w:r>
      <w:r>
        <w:rPr>
          <w:rFonts w:ascii="SimSun" w:hAnsi="SimSun" w:eastAsia="SimSun" w:cs="SimSun"/>
          <w:sz w:val="24"/>
          <w:szCs w:val="24"/>
          <w:spacing w:val="-1"/>
        </w:rPr>
        <w:t>模块中。</w:t>
      </w:r>
    </w:p>
    <w:p>
      <w:pPr>
        <w:ind w:left="113" w:right="171" w:firstLine="488"/>
        <w:spacing w:before="1" w:line="359" w:lineRule="auto"/>
        <w:rPr>
          <w:rFonts w:ascii="SimSun" w:hAnsi="SimSun" w:eastAsia="SimSun" w:cs="SimSun"/>
          <w:sz w:val="24"/>
          <w:szCs w:val="24"/>
        </w:rPr>
      </w:pPr>
      <w:r>
        <w:rPr>
          <w:rFonts w:ascii="SimSun" w:hAnsi="SimSun" w:eastAsia="SimSun" w:cs="SimSun"/>
          <w:sz w:val="24"/>
          <w:szCs w:val="24"/>
          <w:spacing w:val="3"/>
        </w:rPr>
        <w:t>评价区内企业生活用水、工业用水均由园区集中供给，评价区</w:t>
      </w:r>
      <w:r>
        <w:rPr>
          <w:rFonts w:ascii="SimSun" w:hAnsi="SimSun" w:eastAsia="SimSun" w:cs="SimSun"/>
          <w:sz w:val="24"/>
          <w:szCs w:val="24"/>
          <w:spacing w:val="2"/>
        </w:rPr>
        <w:t>内仅个别居民</w:t>
      </w:r>
      <w:r>
        <w:rPr>
          <w:rFonts w:ascii="SimSun" w:hAnsi="SimSun" w:eastAsia="SimSun" w:cs="SimSun"/>
          <w:sz w:val="24"/>
          <w:szCs w:val="24"/>
        </w:rPr>
        <w:t xml:space="preserve"> </w:t>
      </w:r>
      <w:r>
        <w:rPr>
          <w:rFonts w:ascii="SimSun" w:hAnsi="SimSun" w:eastAsia="SimSun" w:cs="SimSun"/>
          <w:sz w:val="24"/>
          <w:szCs w:val="24"/>
          <w:spacing w:val="-2"/>
        </w:rPr>
        <w:t>开采地下水作为生活用水，根据居民用水定额计算评价区</w:t>
      </w:r>
      <w:r>
        <w:rPr>
          <w:rFonts w:ascii="SimSun" w:hAnsi="SimSun" w:eastAsia="SimSun" w:cs="SimSun"/>
          <w:sz w:val="24"/>
          <w:szCs w:val="24"/>
          <w:spacing w:val="-3"/>
        </w:rPr>
        <w:t>内总开采量为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31105.3m</w:t>
      </w:r>
      <w:r>
        <w:rPr>
          <w:rFonts w:ascii="SimSun" w:hAnsi="SimSun" w:eastAsia="SimSun" w:cs="SimSun"/>
          <w:sz w:val="24"/>
          <w:szCs w:val="24"/>
          <w:spacing w:val="-3"/>
        </w:rPr>
        <w:t>³</w:t>
      </w:r>
      <w:r>
        <w:rPr>
          <w:rFonts w:ascii="SimSun" w:hAnsi="SimSun" w:eastAsia="SimSun" w:cs="SimSun"/>
          <w:sz w:val="24"/>
          <w:szCs w:val="24"/>
        </w:rPr>
        <w:t xml:space="preserve"> </w:t>
      </w:r>
      <w:r>
        <w:rPr>
          <w:rFonts w:ascii="Times New Roman" w:hAnsi="Times New Roman" w:eastAsia="Times New Roman" w:cs="Times New Roman"/>
          <w:sz w:val="24"/>
          <w:szCs w:val="24"/>
          <w:spacing w:val="-1"/>
        </w:rPr>
        <w:t>/a</w:t>
      </w:r>
      <w:r>
        <w:rPr>
          <w:rFonts w:ascii="SimSun" w:hAnsi="SimSun" w:eastAsia="SimSun" w:cs="SimSun"/>
          <w:sz w:val="24"/>
          <w:szCs w:val="24"/>
          <w:spacing w:val="-1"/>
        </w:rPr>
        <w:t>（</w:t>
      </w:r>
      <w:r>
        <w:rPr>
          <w:rFonts w:ascii="Times New Roman" w:hAnsi="Times New Roman" w:eastAsia="Times New Roman" w:cs="Times New Roman"/>
          <w:sz w:val="24"/>
          <w:szCs w:val="24"/>
          <w:spacing w:val="-1"/>
        </w:rPr>
        <w:t>85.22m</w:t>
      </w:r>
      <w:r>
        <w:rPr>
          <w:rFonts w:ascii="SimSun" w:hAnsi="SimSun" w:eastAsia="SimSun" w:cs="SimSun"/>
          <w:sz w:val="24"/>
          <w:szCs w:val="24"/>
          <w:spacing w:val="-1"/>
        </w:rPr>
        <w:t>³</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p>
    <w:p>
      <w:pPr>
        <w:ind w:left="600"/>
        <w:spacing w:line="217" w:lineRule="auto"/>
        <w:rPr>
          <w:rFonts w:ascii="SimSun" w:hAnsi="SimSun" w:eastAsia="SimSun" w:cs="SimSun"/>
          <w:sz w:val="24"/>
          <w:szCs w:val="24"/>
        </w:rPr>
      </w:pPr>
      <w:r>
        <w:rPr>
          <w:rFonts w:ascii="SimSun" w:hAnsi="SimSun" w:eastAsia="SimSun" w:cs="SimSun"/>
          <w:sz w:val="24"/>
          <w:szCs w:val="24"/>
          <w:spacing w:val="-1"/>
        </w:rPr>
        <w:t>③侧向流入流出量</w:t>
      </w:r>
    </w:p>
    <w:p>
      <w:pPr>
        <w:ind w:left="121" w:right="169" w:firstLine="480"/>
        <w:spacing w:before="184" w:line="357" w:lineRule="auto"/>
        <w:rPr>
          <w:rFonts w:ascii="SimSun" w:hAnsi="SimSun" w:eastAsia="SimSun" w:cs="SimSun"/>
          <w:sz w:val="24"/>
          <w:szCs w:val="24"/>
        </w:rPr>
      </w:pPr>
      <w:r>
        <w:rPr>
          <w:rFonts w:ascii="SimSun" w:hAnsi="SimSun" w:eastAsia="SimSun" w:cs="SimSun"/>
          <w:sz w:val="24"/>
          <w:szCs w:val="24"/>
          <w:spacing w:val="1"/>
        </w:rPr>
        <w:t>评价区栋部、西部边界定水头边界，将边界定水头赋予模型的</w:t>
      </w:r>
      <w:r>
        <w:rPr>
          <w:rFonts w:ascii="SimSun" w:hAnsi="SimSun" w:eastAsia="SimSun" w:cs="SimSun"/>
          <w:sz w:val="24"/>
          <w:szCs w:val="24"/>
          <w:spacing w:val="-34"/>
        </w:rPr>
        <w:t xml:space="preserve"> </w:t>
      </w:r>
      <w:r>
        <w:rPr>
          <w:rFonts w:ascii="Times New Roman" w:hAnsi="Times New Roman" w:eastAsia="Times New Roman" w:cs="Times New Roman"/>
          <w:sz w:val="24"/>
          <w:szCs w:val="24"/>
        </w:rPr>
        <w:t>Specified</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head </w:t>
      </w:r>
      <w:r>
        <w:rPr>
          <w:rFonts w:ascii="SimSun" w:hAnsi="SimSun" w:eastAsia="SimSun" w:cs="SimSun"/>
          <w:sz w:val="24"/>
          <w:szCs w:val="24"/>
          <w:spacing w:val="3"/>
        </w:rPr>
        <w:t>边界条件中，模型可根据边界附近含水层厚度、渗透系数</w:t>
      </w:r>
      <w:r>
        <w:rPr>
          <w:rFonts w:ascii="SimSun" w:hAnsi="SimSun" w:eastAsia="SimSun" w:cs="SimSun"/>
          <w:sz w:val="24"/>
          <w:szCs w:val="24"/>
          <w:spacing w:val="2"/>
        </w:rPr>
        <w:t>和水力梯度、边界长度</w:t>
      </w:r>
      <w:r>
        <w:rPr>
          <w:rFonts w:ascii="SimSun" w:hAnsi="SimSun" w:eastAsia="SimSun" w:cs="SimSun"/>
          <w:sz w:val="24"/>
          <w:szCs w:val="24"/>
        </w:rPr>
        <w:t xml:space="preserve"> </w:t>
      </w:r>
      <w:r>
        <w:rPr>
          <w:rFonts w:ascii="SimSun" w:hAnsi="SimSun" w:eastAsia="SimSun" w:cs="SimSun"/>
          <w:sz w:val="24"/>
          <w:szCs w:val="24"/>
          <w:spacing w:val="-1"/>
        </w:rPr>
        <w:t>采用达西定律由模型进行自动计算。</w:t>
      </w:r>
    </w:p>
    <w:p>
      <w:pPr>
        <w:ind w:left="600"/>
        <w:spacing w:before="8" w:line="217" w:lineRule="auto"/>
        <w:rPr>
          <w:rFonts w:ascii="SimSun" w:hAnsi="SimSun" w:eastAsia="SimSun" w:cs="SimSun"/>
          <w:sz w:val="24"/>
          <w:szCs w:val="24"/>
        </w:rPr>
      </w:pPr>
      <w:r>
        <w:rPr>
          <w:rFonts w:ascii="SimSun" w:hAnsi="SimSun" w:eastAsia="SimSun" w:cs="SimSun"/>
          <w:sz w:val="24"/>
          <w:szCs w:val="24"/>
          <w:spacing w:val="-2"/>
        </w:rPr>
        <w:t>④蒸发量</w:t>
      </w:r>
    </w:p>
    <w:p>
      <w:pPr>
        <w:ind w:left="605"/>
        <w:spacing w:before="184" w:line="219" w:lineRule="auto"/>
        <w:rPr>
          <w:rFonts w:ascii="SimSun" w:hAnsi="SimSun" w:eastAsia="SimSun" w:cs="SimSun"/>
          <w:sz w:val="24"/>
          <w:szCs w:val="24"/>
        </w:rPr>
      </w:pPr>
      <w:r>
        <w:rPr>
          <w:rFonts w:ascii="SimSun" w:hAnsi="SimSun" w:eastAsia="SimSun" w:cs="SimSun"/>
          <w:sz w:val="24"/>
          <w:szCs w:val="24"/>
          <w:spacing w:val="-3"/>
        </w:rPr>
        <w:t>极限蒸发深度取</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3"/>
        </w:rPr>
        <w:t>5m</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，项目所在区多年平均蒸发量取</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1932mm</w:t>
      </w:r>
      <w:r>
        <w:rPr>
          <w:rFonts w:ascii="SimSun" w:hAnsi="SimSun" w:eastAsia="SimSun" w:cs="SimSun"/>
          <w:sz w:val="24"/>
          <w:szCs w:val="24"/>
          <w:spacing w:val="-3"/>
        </w:rPr>
        <w:t>。</w:t>
      </w:r>
    </w:p>
    <w:p>
      <w:pPr>
        <w:ind w:left="614"/>
        <w:spacing w:before="183"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5</w:t>
      </w:r>
      <w:r>
        <w:rPr>
          <w:rFonts w:ascii="SimSun" w:hAnsi="SimSun" w:eastAsia="SimSun" w:cs="SimSun"/>
          <w:sz w:val="24"/>
          <w:szCs w:val="24"/>
          <w:spacing w:val="-2"/>
        </w:rPr>
        <w:t>）数值模型参数初始参数</w:t>
      </w:r>
    </w:p>
    <w:p>
      <w:pPr>
        <w:ind w:left="122" w:right="169" w:firstLine="482"/>
        <w:spacing w:before="182" w:line="360" w:lineRule="auto"/>
        <w:rPr>
          <w:rFonts w:ascii="SimSun" w:hAnsi="SimSun" w:eastAsia="SimSun" w:cs="SimSun"/>
          <w:sz w:val="24"/>
          <w:szCs w:val="24"/>
        </w:rPr>
      </w:pPr>
      <w:r>
        <w:rPr>
          <w:rFonts w:ascii="SimSun" w:hAnsi="SimSun" w:eastAsia="SimSun" w:cs="SimSun"/>
          <w:sz w:val="24"/>
          <w:szCs w:val="24"/>
          <w:spacing w:val="3"/>
        </w:rPr>
        <w:t>为了较准确地刻画评价区水文地质条件，模型中参数的确定</w:t>
      </w:r>
      <w:r>
        <w:rPr>
          <w:rFonts w:ascii="SimSun" w:hAnsi="SimSun" w:eastAsia="SimSun" w:cs="SimSun"/>
          <w:sz w:val="24"/>
          <w:szCs w:val="24"/>
          <w:spacing w:val="2"/>
        </w:rPr>
        <w:t>主要依据评价区</w:t>
      </w:r>
      <w:r>
        <w:rPr>
          <w:rFonts w:ascii="SimSun" w:hAnsi="SimSun" w:eastAsia="SimSun" w:cs="SimSun"/>
          <w:sz w:val="24"/>
          <w:szCs w:val="24"/>
        </w:rPr>
        <w:t xml:space="preserve"> </w:t>
      </w:r>
      <w:r>
        <w:rPr>
          <w:rFonts w:ascii="SimSun" w:hAnsi="SimSun" w:eastAsia="SimSun" w:cs="SimSun"/>
          <w:sz w:val="24"/>
          <w:szCs w:val="24"/>
          <w:spacing w:val="3"/>
        </w:rPr>
        <w:t>已有的水文地质勘查资料，并结合项目所在地区域</w:t>
      </w:r>
      <w:r>
        <w:rPr>
          <w:rFonts w:ascii="SimSun" w:hAnsi="SimSun" w:eastAsia="SimSun" w:cs="SimSun"/>
          <w:sz w:val="24"/>
          <w:szCs w:val="24"/>
          <w:spacing w:val="2"/>
        </w:rPr>
        <w:t>水文地质资料和经验值，确定</w:t>
      </w:r>
      <w:r>
        <w:rPr>
          <w:rFonts w:ascii="SimSun" w:hAnsi="SimSun" w:eastAsia="SimSun" w:cs="SimSun"/>
          <w:sz w:val="24"/>
          <w:szCs w:val="24"/>
        </w:rPr>
        <w:t xml:space="preserve"> </w:t>
      </w:r>
      <w:r>
        <w:rPr>
          <w:rFonts w:ascii="SimSun" w:hAnsi="SimSun" w:eastAsia="SimSun" w:cs="SimSun"/>
          <w:sz w:val="24"/>
          <w:szCs w:val="24"/>
          <w:spacing w:val="-2"/>
        </w:rPr>
        <w:t>含水层参数值。</w:t>
      </w:r>
    </w:p>
    <w:p>
      <w:pPr>
        <w:ind w:left="2828"/>
        <w:spacing w:before="155"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6"/>
        </w:rPr>
        <w:t xml:space="preserve"> </w:t>
      </w:r>
      <w:r>
        <w:rPr>
          <w:rFonts w:ascii="Times New Roman" w:hAnsi="Times New Roman" w:eastAsia="Times New Roman" w:cs="Times New Roman"/>
          <w:sz w:val="24"/>
          <w:szCs w:val="24"/>
          <w:b/>
          <w:bCs/>
          <w:spacing w:val="-2"/>
        </w:rPr>
        <w:t>5.3-1      </w:t>
      </w:r>
      <w:r>
        <w:rPr>
          <w:rFonts w:ascii="SimSun" w:hAnsi="SimSun" w:eastAsia="SimSun" w:cs="SimSun"/>
          <w:sz w:val="24"/>
          <w:szCs w:val="24"/>
          <w:b/>
          <w:bCs/>
          <w:spacing w:val="-2"/>
        </w:rPr>
        <w:t>水文地质参数取值</w:t>
      </w:r>
    </w:p>
    <w:p>
      <w:pPr>
        <w:spacing w:line="21" w:lineRule="exact"/>
        <w:rPr/>
      </w:pPr>
      <w:r/>
    </w:p>
    <w:tbl>
      <w:tblPr>
        <w:tblStyle w:val="TableNormal"/>
        <w:tblW w:w="87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969"/>
        <w:gridCol w:w="960"/>
        <w:gridCol w:w="1509"/>
        <w:gridCol w:w="4345"/>
      </w:tblGrid>
      <w:tr>
        <w:trPr>
          <w:trHeight w:val="405" w:hRule="atLeast"/>
        </w:trPr>
        <w:tc>
          <w:tcPr>
            <w:tcW w:w="1969" w:type="dxa"/>
            <w:vAlign w:val="top"/>
          </w:tcPr>
          <w:p>
            <w:pPr>
              <w:pStyle w:val="TableText"/>
              <w:ind w:left="117"/>
              <w:spacing w:before="96" w:line="228" w:lineRule="auto"/>
              <w:rPr/>
            </w:pPr>
            <w:r>
              <w:rPr>
                <w:b/>
                <w:bCs/>
                <w:spacing w:val="4"/>
              </w:rPr>
              <w:t>渗透系数</w:t>
            </w:r>
            <w:r>
              <w:rPr>
                <w:spacing w:val="-36"/>
              </w:rPr>
              <w:t xml:space="preserve"> </w:t>
            </w:r>
            <w:r>
              <w:rPr>
                <w:rFonts w:ascii="Times New Roman" w:hAnsi="Times New Roman" w:eastAsia="Times New Roman" w:cs="Times New Roman"/>
                <w:b/>
                <w:bCs/>
                <w:spacing w:val="4"/>
              </w:rPr>
              <w:t>K</w:t>
            </w:r>
            <w:r>
              <w:rPr>
                <w:b/>
                <w:bCs/>
                <w:spacing w:val="4"/>
              </w:rPr>
              <w:t>（</w:t>
            </w:r>
            <w:r>
              <w:rPr>
                <w:rFonts w:ascii="Times New Roman" w:hAnsi="Times New Roman" w:eastAsia="Times New Roman" w:cs="Times New Roman"/>
                <w:b/>
                <w:bCs/>
                <w:spacing w:val="4"/>
              </w:rPr>
              <w:t>m/d</w:t>
            </w:r>
            <w:r>
              <w:rPr>
                <w:b/>
                <w:bCs/>
                <w:spacing w:val="4"/>
              </w:rPr>
              <w:t>）</w:t>
            </w:r>
          </w:p>
        </w:tc>
        <w:tc>
          <w:tcPr>
            <w:tcW w:w="960" w:type="dxa"/>
            <w:vAlign w:val="top"/>
          </w:tcPr>
          <w:p>
            <w:pPr>
              <w:pStyle w:val="TableText"/>
              <w:ind w:left="169"/>
              <w:spacing w:before="96" w:line="228" w:lineRule="auto"/>
              <w:rPr/>
            </w:pPr>
            <w:r>
              <w:rPr>
                <w:b/>
                <w:bCs/>
                <w:spacing w:val="5"/>
              </w:rPr>
              <w:t>给水度</w:t>
            </w:r>
          </w:p>
        </w:tc>
        <w:tc>
          <w:tcPr>
            <w:tcW w:w="1509" w:type="dxa"/>
            <w:vAlign w:val="top"/>
          </w:tcPr>
          <w:p>
            <w:pPr>
              <w:pStyle w:val="TableText"/>
              <w:ind w:left="143"/>
              <w:spacing w:before="96" w:line="228" w:lineRule="auto"/>
              <w:rPr/>
            </w:pPr>
            <w:r>
              <w:rPr>
                <w:b/>
                <w:bCs/>
                <w:spacing w:val="4"/>
              </w:rPr>
              <w:t>降雨入渗系数</w:t>
            </w:r>
          </w:p>
        </w:tc>
        <w:tc>
          <w:tcPr>
            <w:tcW w:w="4345" w:type="dxa"/>
            <w:vAlign w:val="top"/>
          </w:tcPr>
          <w:p>
            <w:pPr>
              <w:pStyle w:val="TableText"/>
              <w:ind w:left="1757"/>
              <w:spacing w:before="96" w:line="228" w:lineRule="auto"/>
              <w:rPr/>
            </w:pPr>
            <w:r>
              <w:rPr>
                <w:b/>
                <w:bCs/>
                <w:spacing w:val="6"/>
              </w:rPr>
              <w:t>数据来源</w:t>
            </w:r>
          </w:p>
        </w:tc>
      </w:tr>
      <w:tr>
        <w:trPr>
          <w:trHeight w:val="823" w:hRule="atLeast"/>
        </w:trPr>
        <w:tc>
          <w:tcPr>
            <w:tcW w:w="1969" w:type="dxa"/>
            <w:vAlign w:val="top"/>
          </w:tcPr>
          <w:p>
            <w:pPr>
              <w:spacing w:line="283" w:lineRule="auto"/>
              <w:rPr>
                <w:rFonts w:ascii="Arial"/>
                <w:sz w:val="21"/>
              </w:rPr>
            </w:pPr>
            <w:r/>
          </w:p>
          <w:p>
            <w:pPr>
              <w:ind w:left="821"/>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19.5</w:t>
            </w:r>
          </w:p>
        </w:tc>
        <w:tc>
          <w:tcPr>
            <w:tcW w:w="960" w:type="dxa"/>
            <w:vAlign w:val="top"/>
          </w:tcPr>
          <w:p>
            <w:pPr>
              <w:spacing w:line="283" w:lineRule="auto"/>
              <w:rPr>
                <w:rFonts w:ascii="Arial"/>
                <w:sz w:val="21"/>
              </w:rPr>
            </w:pPr>
            <w:r/>
          </w:p>
          <w:p>
            <w:pPr>
              <w:ind w:left="29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0.27</w:t>
            </w:r>
          </w:p>
        </w:tc>
        <w:tc>
          <w:tcPr>
            <w:tcW w:w="1509" w:type="dxa"/>
            <w:vAlign w:val="top"/>
          </w:tcPr>
          <w:p>
            <w:pPr>
              <w:spacing w:line="283" w:lineRule="auto"/>
              <w:rPr>
                <w:rFonts w:ascii="Arial"/>
                <w:sz w:val="21"/>
              </w:rPr>
            </w:pPr>
            <w:r/>
          </w:p>
          <w:p>
            <w:pPr>
              <w:ind w:left="33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0.15~0.22</w:t>
            </w:r>
          </w:p>
        </w:tc>
        <w:tc>
          <w:tcPr>
            <w:tcW w:w="4345" w:type="dxa"/>
            <w:vAlign w:val="top"/>
          </w:tcPr>
          <w:p>
            <w:pPr>
              <w:pStyle w:val="TableText"/>
              <w:ind w:left="130"/>
              <w:spacing w:before="33" w:line="226" w:lineRule="auto"/>
              <w:rPr/>
            </w:pPr>
            <w:r>
              <w:rPr>
                <w:rFonts w:ascii="Times New Roman" w:hAnsi="Times New Roman" w:eastAsia="Times New Roman" w:cs="Times New Roman"/>
                <w:spacing w:val="4"/>
              </w:rPr>
              <w:t>1</w:t>
            </w:r>
            <w:r>
              <w:rPr>
                <w:spacing w:val="4"/>
              </w:rPr>
              <w:t>：</w:t>
            </w:r>
            <w:r>
              <w:rPr>
                <w:rFonts w:ascii="Times New Roman" w:hAnsi="Times New Roman" w:eastAsia="Times New Roman" w:cs="Times New Roman"/>
                <w:spacing w:val="4"/>
              </w:rPr>
              <w:t>200000</w:t>
            </w:r>
            <w:r>
              <w:rPr>
                <w:spacing w:val="4"/>
              </w:rPr>
              <w:t>《区域水文地质普查报告 正镶白旗</w:t>
            </w:r>
          </w:p>
          <w:p>
            <w:pPr>
              <w:pStyle w:val="TableText"/>
              <w:ind w:left="121"/>
              <w:spacing w:before="28" w:line="226" w:lineRule="auto"/>
              <w:rPr/>
            </w:pPr>
            <w:r>
              <w:rPr>
                <w:spacing w:val="5"/>
              </w:rPr>
              <w:t>幅》、《内蒙古自治区正镶白旗南部区域水文</w:t>
            </w:r>
          </w:p>
          <w:p>
            <w:pPr>
              <w:pStyle w:val="TableText"/>
              <w:ind w:left="1652"/>
              <w:spacing w:before="26" w:line="217" w:lineRule="auto"/>
              <w:rPr/>
            </w:pPr>
            <w:r>
              <w:rPr>
                <w:spacing w:val="5"/>
              </w:rPr>
              <w:t>地质报告》</w:t>
            </w:r>
          </w:p>
        </w:tc>
      </w:tr>
    </w:tbl>
    <w:p>
      <w:pPr>
        <w:ind w:left="614"/>
        <w:spacing w:before="157"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6</w:t>
      </w:r>
      <w:r>
        <w:rPr>
          <w:rFonts w:ascii="SimSun" w:hAnsi="SimSun" w:eastAsia="SimSun" w:cs="SimSun"/>
          <w:sz w:val="24"/>
          <w:szCs w:val="24"/>
          <w:spacing w:val="-2"/>
        </w:rPr>
        <w:t>）数值模型运行调试和有效性检验</w:t>
      </w:r>
    </w:p>
    <w:p>
      <w:pPr>
        <w:ind w:left="131" w:right="91" w:firstLine="470"/>
        <w:spacing w:before="182" w:line="359" w:lineRule="auto"/>
        <w:rPr>
          <w:rFonts w:ascii="SimSun" w:hAnsi="SimSun" w:eastAsia="SimSun" w:cs="SimSun"/>
          <w:sz w:val="24"/>
          <w:szCs w:val="24"/>
        </w:rPr>
      </w:pPr>
      <w:r>
        <w:rPr>
          <w:rFonts w:ascii="SimSun" w:hAnsi="SimSun" w:eastAsia="SimSun" w:cs="SimSun"/>
          <w:sz w:val="24"/>
          <w:szCs w:val="24"/>
          <w:spacing w:val="3"/>
        </w:rPr>
        <w:t>模型的识别与验证过程是整个模拟中极为重要的一步工作，通常要</w:t>
      </w:r>
      <w:r>
        <w:rPr>
          <w:rFonts w:ascii="SimSun" w:hAnsi="SimSun" w:eastAsia="SimSun" w:cs="SimSun"/>
          <w:sz w:val="24"/>
          <w:szCs w:val="24"/>
          <w:spacing w:val="2"/>
        </w:rPr>
        <w:t>在反复修</w:t>
      </w:r>
      <w:r>
        <w:rPr>
          <w:rFonts w:ascii="SimSun" w:hAnsi="SimSun" w:eastAsia="SimSun" w:cs="SimSun"/>
          <w:sz w:val="24"/>
          <w:szCs w:val="24"/>
        </w:rPr>
        <w:t xml:space="preserve"> </w:t>
      </w:r>
      <w:r>
        <w:rPr>
          <w:rFonts w:ascii="SimSun" w:hAnsi="SimSun" w:eastAsia="SimSun" w:cs="SimSun"/>
          <w:sz w:val="24"/>
          <w:szCs w:val="24"/>
          <w:spacing w:val="2"/>
        </w:rPr>
        <w:t>改参数和调整某些源汇项输入的基础上，才能达到较为理想的拟合结果。此模型</w:t>
      </w:r>
      <w:r>
        <w:rPr>
          <w:rFonts w:ascii="SimSun" w:hAnsi="SimSun" w:eastAsia="SimSun" w:cs="SimSun"/>
          <w:sz w:val="24"/>
          <w:szCs w:val="24"/>
          <w:spacing w:val="16"/>
        </w:rPr>
        <w:t xml:space="preserve"> </w:t>
      </w:r>
      <w:r>
        <w:rPr>
          <w:rFonts w:ascii="SimSun" w:hAnsi="SimSun" w:eastAsia="SimSun" w:cs="SimSun"/>
          <w:sz w:val="24"/>
          <w:szCs w:val="24"/>
          <w:spacing w:val="-2"/>
        </w:rPr>
        <w:t>的识别与检验过程采用的方法称为试估</w:t>
      </w:r>
      <w:r>
        <w:rPr>
          <w:rFonts w:ascii="Times New Roman" w:hAnsi="Times New Roman" w:eastAsia="Times New Roman" w:cs="Times New Roman"/>
          <w:sz w:val="24"/>
          <w:szCs w:val="24"/>
          <w:spacing w:val="-2"/>
        </w:rPr>
        <w:t>—</w:t>
      </w:r>
      <w:r>
        <w:rPr>
          <w:rFonts w:ascii="SimSun" w:hAnsi="SimSun" w:eastAsia="SimSun" w:cs="SimSun"/>
          <w:sz w:val="24"/>
          <w:szCs w:val="24"/>
          <w:spacing w:val="-2"/>
        </w:rPr>
        <w:t>校正法，属于反求参数的间接方</w:t>
      </w:r>
      <w:r>
        <w:rPr>
          <w:rFonts w:ascii="SimSun" w:hAnsi="SimSun" w:eastAsia="SimSun" w:cs="SimSun"/>
          <w:sz w:val="24"/>
          <w:szCs w:val="24"/>
          <w:spacing w:val="-3"/>
        </w:rPr>
        <w:t>法之一。</w:t>
      </w:r>
    </w:p>
    <w:p>
      <w:pPr>
        <w:ind w:left="603"/>
        <w:spacing w:line="219" w:lineRule="auto"/>
        <w:rPr>
          <w:rFonts w:ascii="SimSun" w:hAnsi="SimSun" w:eastAsia="SimSun" w:cs="SimSun"/>
          <w:sz w:val="24"/>
          <w:szCs w:val="24"/>
        </w:rPr>
      </w:pPr>
      <w:r>
        <w:rPr>
          <w:rFonts w:ascii="SimSun" w:hAnsi="SimSun" w:eastAsia="SimSun" w:cs="SimSun"/>
          <w:sz w:val="24"/>
          <w:szCs w:val="24"/>
          <w:spacing w:val="-1"/>
        </w:rPr>
        <w:t>稳定流模型识别和验证主要遵循以下原则：</w:t>
      </w:r>
    </w:p>
    <w:p>
      <w:pPr>
        <w:ind w:left="125" w:right="172" w:firstLine="476"/>
        <w:spacing w:before="180" w:line="290" w:lineRule="auto"/>
        <w:rPr>
          <w:rFonts w:ascii="SimSun" w:hAnsi="SimSun" w:eastAsia="SimSun" w:cs="SimSun"/>
          <w:sz w:val="24"/>
          <w:szCs w:val="24"/>
        </w:rPr>
      </w:pPr>
      <w:r>
        <w:rPr>
          <w:rFonts w:ascii="SimSun" w:hAnsi="SimSun" w:eastAsia="SimSun" w:cs="SimSun"/>
          <w:sz w:val="24"/>
          <w:szCs w:val="24"/>
          <w:spacing w:val="3"/>
        </w:rPr>
        <w:t>①模拟的地下水流场要与实际地下水流场基本一致，即要求地</w:t>
      </w:r>
      <w:r>
        <w:rPr>
          <w:rFonts w:ascii="SimSun" w:hAnsi="SimSun" w:eastAsia="SimSun" w:cs="SimSun"/>
          <w:sz w:val="24"/>
          <w:szCs w:val="24"/>
          <w:spacing w:val="2"/>
        </w:rPr>
        <w:t>下水模拟等值</w:t>
      </w:r>
      <w:r>
        <w:rPr>
          <w:rFonts w:ascii="SimSun" w:hAnsi="SimSun" w:eastAsia="SimSun" w:cs="SimSun"/>
          <w:sz w:val="24"/>
          <w:szCs w:val="24"/>
        </w:rPr>
        <w:t xml:space="preserve"> </w:t>
      </w:r>
      <w:r>
        <w:rPr>
          <w:rFonts w:ascii="SimSun" w:hAnsi="SimSun" w:eastAsia="SimSun" w:cs="SimSun"/>
          <w:sz w:val="24"/>
          <w:szCs w:val="24"/>
          <w:spacing w:val="-1"/>
        </w:rPr>
        <w:t>线与实测地下水位等值线形状相似；</w:t>
      </w:r>
    </w:p>
    <w:p>
      <w:pPr>
        <w:ind w:left="600"/>
        <w:spacing w:before="181" w:line="217" w:lineRule="auto"/>
        <w:rPr>
          <w:rFonts w:ascii="SimSun" w:hAnsi="SimSun" w:eastAsia="SimSun" w:cs="SimSun"/>
          <w:sz w:val="24"/>
          <w:szCs w:val="24"/>
        </w:rPr>
      </w:pPr>
      <w:r>
        <w:rPr>
          <w:rFonts w:ascii="SimSun" w:hAnsi="SimSun" w:eastAsia="SimSun" w:cs="SimSun"/>
          <w:sz w:val="24"/>
          <w:szCs w:val="24"/>
          <w:spacing w:val="-1"/>
        </w:rPr>
        <w:t>②水位监测点监测数据要与模拟值接近；</w:t>
      </w:r>
    </w:p>
    <w:p>
      <w:pPr>
        <w:ind w:left="600"/>
        <w:spacing w:before="185" w:line="217" w:lineRule="auto"/>
        <w:rPr>
          <w:rFonts w:ascii="SimSun" w:hAnsi="SimSun" w:eastAsia="SimSun" w:cs="SimSun"/>
          <w:sz w:val="24"/>
          <w:szCs w:val="24"/>
        </w:rPr>
      </w:pPr>
      <w:r>
        <w:rPr>
          <w:rFonts w:ascii="SimSun" w:hAnsi="SimSun" w:eastAsia="SimSun" w:cs="SimSun"/>
          <w:sz w:val="24"/>
          <w:szCs w:val="24"/>
          <w:spacing w:val="-1"/>
        </w:rPr>
        <w:t>③模型水均衡计算源汇项相对偏差在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5%</w:t>
      </w:r>
      <w:r>
        <w:rPr>
          <w:rFonts w:ascii="SimSun" w:hAnsi="SimSun" w:eastAsia="SimSun" w:cs="SimSun"/>
          <w:sz w:val="24"/>
          <w:szCs w:val="24"/>
          <w:spacing w:val="-1"/>
        </w:rPr>
        <w:t>以内；</w:t>
      </w:r>
    </w:p>
    <w:p>
      <w:pPr>
        <w:spacing w:line="217" w:lineRule="auto"/>
        <w:sectPr>
          <w:headerReference w:type="default" r:id="rId255"/>
          <w:footerReference w:type="default" r:id="rId256"/>
          <w:pgSz w:w="11907" w:h="16840"/>
          <w:pgMar w:top="1567" w:right="1530" w:bottom="1921" w:left="1588" w:header="1221" w:footer="1247" w:gutter="0"/>
        </w:sectPr>
        <w:rPr>
          <w:rFonts w:ascii="SimSun" w:hAnsi="SimSun" w:eastAsia="SimSun" w:cs="SimSun"/>
          <w:sz w:val="24"/>
          <w:szCs w:val="24"/>
        </w:rPr>
      </w:pPr>
    </w:p>
    <w:p>
      <w:pPr>
        <w:ind w:left="600"/>
        <w:spacing w:before="188" w:line="217" w:lineRule="auto"/>
        <w:rPr>
          <w:rFonts w:ascii="SimSun" w:hAnsi="SimSun" w:eastAsia="SimSun" w:cs="SimSun"/>
          <w:sz w:val="24"/>
          <w:szCs w:val="24"/>
        </w:rPr>
      </w:pPr>
      <w:r>
        <w:pict>
          <v:shape id="_x0000_s922" style="position:absolute;margin-left:85.05pt;margin-top:79.11pt;mso-position-vertical-relative:page;mso-position-horizontal-relative:page;width:425.25pt;height:0.75pt;z-index:252076032;" o:allowincell="f" fillcolor="#000000" filled="true" stroked="false" coordsize="8505,15" coordorigin="0,0" path="m,l8505,0l8505,14l0,14l0,0xe"/>
        </w:pict>
      </w:r>
      <w:r>
        <w:rPr>
          <w:rFonts w:ascii="SimSun" w:hAnsi="SimSun" w:eastAsia="SimSun" w:cs="SimSun"/>
          <w:sz w:val="24"/>
          <w:szCs w:val="24"/>
          <w:spacing w:val="-1"/>
        </w:rPr>
        <w:t>④识别的水文地质参数要符合实际水文地质条件。</w:t>
      </w:r>
    </w:p>
    <w:p>
      <w:pPr>
        <w:ind w:left="124" w:right="165" w:firstLine="478"/>
        <w:spacing w:before="183" w:line="359" w:lineRule="auto"/>
        <w:rPr>
          <w:rFonts w:ascii="SimSun" w:hAnsi="SimSun" w:eastAsia="SimSun" w:cs="SimSun"/>
          <w:sz w:val="24"/>
          <w:szCs w:val="24"/>
        </w:rPr>
      </w:pPr>
      <w:r>
        <w:rPr>
          <w:rFonts w:ascii="SimSun" w:hAnsi="SimSun" w:eastAsia="SimSun" w:cs="SimSun"/>
          <w:sz w:val="24"/>
          <w:szCs w:val="24"/>
          <w:spacing w:val="3"/>
        </w:rPr>
        <w:t>根据以上四个原则，对模拟区地下水系统进行了识别和验证，通过</w:t>
      </w:r>
      <w:r>
        <w:rPr>
          <w:rFonts w:ascii="SimSun" w:hAnsi="SimSun" w:eastAsia="SimSun" w:cs="SimSun"/>
          <w:sz w:val="24"/>
          <w:szCs w:val="24"/>
          <w:spacing w:val="2"/>
        </w:rPr>
        <w:t>反复调整</w:t>
      </w:r>
      <w:r>
        <w:rPr>
          <w:rFonts w:ascii="SimSun" w:hAnsi="SimSun" w:eastAsia="SimSun" w:cs="SimSun"/>
          <w:sz w:val="24"/>
          <w:szCs w:val="24"/>
        </w:rPr>
        <w:t xml:space="preserve"> </w:t>
      </w:r>
      <w:r>
        <w:rPr>
          <w:rFonts w:ascii="SimSun" w:hAnsi="SimSun" w:eastAsia="SimSun" w:cs="SimSun"/>
          <w:sz w:val="24"/>
          <w:szCs w:val="24"/>
        </w:rPr>
        <w:t>参数和均衡量，识别水文地质条件，确定了</w:t>
      </w:r>
      <w:r>
        <w:rPr>
          <w:rFonts w:ascii="SimSun" w:hAnsi="SimSun" w:eastAsia="SimSun" w:cs="SimSun"/>
          <w:sz w:val="24"/>
          <w:szCs w:val="24"/>
          <w:spacing w:val="-1"/>
        </w:rPr>
        <w:t>模型结构、参数和均衡要素。</w:t>
      </w:r>
    </w:p>
    <w:p>
      <w:pPr>
        <w:ind w:left="122" w:right="167" w:firstLine="509"/>
        <w:spacing w:before="3" w:line="349" w:lineRule="auto"/>
        <w:jc w:val="both"/>
        <w:rPr>
          <w:rFonts w:ascii="SimSun" w:hAnsi="SimSun" w:eastAsia="SimSun" w:cs="SimSun"/>
          <w:sz w:val="24"/>
          <w:szCs w:val="24"/>
        </w:rPr>
      </w:pPr>
      <w:r>
        <w:rPr>
          <w:rFonts w:ascii="SimSun" w:hAnsi="SimSun" w:eastAsia="SimSun" w:cs="SimSun"/>
          <w:sz w:val="24"/>
          <w:szCs w:val="24"/>
          <w:spacing w:val="-4"/>
        </w:rPr>
        <w:t>由图</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4"/>
        </w:rPr>
        <w:t>5.3-10 </w:t>
      </w:r>
      <w:r>
        <w:rPr>
          <w:rFonts w:ascii="SimSun" w:hAnsi="SimSun" w:eastAsia="SimSun" w:cs="SimSun"/>
          <w:sz w:val="24"/>
          <w:szCs w:val="24"/>
          <w:spacing w:val="-4"/>
        </w:rPr>
        <w:t>可知：本次选取</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13</w:t>
      </w:r>
      <w:r>
        <w:rPr>
          <w:rFonts w:ascii="Times New Roman" w:hAnsi="Times New Roman" w:eastAsia="Times New Roman" w:cs="Times New Roman"/>
          <w:sz w:val="24"/>
          <w:szCs w:val="24"/>
          <w:spacing w:val="24"/>
          <w:w w:val="101"/>
        </w:rPr>
        <w:t xml:space="preserve"> </w:t>
      </w:r>
      <w:r>
        <w:rPr>
          <w:rFonts w:ascii="SimSun" w:hAnsi="SimSun" w:eastAsia="SimSun" w:cs="SimSun"/>
          <w:sz w:val="24"/>
          <w:szCs w:val="24"/>
          <w:spacing w:val="-4"/>
        </w:rPr>
        <w:t>眼水位观测孔，观测孔实测水位与模拟水位拟</w:t>
      </w:r>
      <w:r>
        <w:rPr>
          <w:rFonts w:ascii="SimSun" w:hAnsi="SimSun" w:eastAsia="SimSun" w:cs="SimSun"/>
          <w:sz w:val="24"/>
          <w:szCs w:val="24"/>
        </w:rPr>
        <w:t xml:space="preserve"> </w:t>
      </w:r>
      <w:r>
        <w:rPr>
          <w:rFonts w:ascii="SimSun" w:hAnsi="SimSun" w:eastAsia="SimSun" w:cs="SimSun"/>
          <w:sz w:val="24"/>
          <w:szCs w:val="24"/>
          <w:spacing w:val="-1"/>
        </w:rPr>
        <w:t>合较好</w:t>
      </w:r>
      <w:r>
        <w:rPr>
          <w:rFonts w:ascii="Times New Roman" w:hAnsi="Times New Roman" w:eastAsia="Times New Roman" w:cs="Times New Roman"/>
          <w:sz w:val="24"/>
          <w:szCs w:val="24"/>
          <w:spacing w:val="-1"/>
        </w:rPr>
        <w:t>,</w:t>
      </w:r>
      <w:r>
        <w:rPr>
          <w:rFonts w:ascii="SimSun" w:hAnsi="SimSun" w:eastAsia="SimSun" w:cs="SimSun"/>
          <w:sz w:val="24"/>
          <w:szCs w:val="24"/>
          <w:spacing w:val="-1"/>
        </w:rPr>
        <w:t>监测点模拟预测值与实测值之差小于</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0.5m</w:t>
      </w:r>
      <w:r>
        <w:rPr>
          <w:rFonts w:ascii="SimSun" w:hAnsi="SimSun" w:eastAsia="SimSun" w:cs="SimSun"/>
          <w:sz w:val="24"/>
          <w:szCs w:val="24"/>
          <w:spacing w:val="-1"/>
        </w:rPr>
        <w:t>，满足“至少</w:t>
      </w:r>
      <w:r>
        <w:rPr>
          <w:rFonts w:ascii="Times New Roman" w:hAnsi="Times New Roman" w:eastAsia="Times New Roman" w:cs="Times New Roman"/>
          <w:sz w:val="24"/>
          <w:szCs w:val="24"/>
          <w:spacing w:val="-1"/>
        </w:rPr>
        <w:t>75</w:t>
      </w:r>
      <w:r>
        <w:rPr>
          <w:rFonts w:ascii="SimSun" w:hAnsi="SimSun" w:eastAsia="SimSun" w:cs="SimSun"/>
          <w:sz w:val="24"/>
          <w:szCs w:val="24"/>
          <w:spacing w:val="-1"/>
        </w:rPr>
        <w:t>％以上</w:t>
      </w:r>
      <w:r>
        <w:rPr>
          <w:rFonts w:ascii="SimSun" w:hAnsi="SimSun" w:eastAsia="SimSun" w:cs="SimSun"/>
          <w:sz w:val="24"/>
          <w:szCs w:val="24"/>
          <w:spacing w:val="-2"/>
        </w:rPr>
        <w:t>的点计算</w:t>
      </w:r>
      <w:r>
        <w:rPr>
          <w:rFonts w:ascii="SimSun" w:hAnsi="SimSun" w:eastAsia="SimSun" w:cs="SimSun"/>
          <w:sz w:val="24"/>
          <w:szCs w:val="24"/>
        </w:rPr>
        <w:t xml:space="preserve"> </w:t>
      </w:r>
      <w:r>
        <w:rPr>
          <w:rFonts w:ascii="SimSun" w:hAnsi="SimSun" w:eastAsia="SimSun" w:cs="SimSun"/>
          <w:sz w:val="24"/>
          <w:szCs w:val="24"/>
          <w:spacing w:val="-3"/>
        </w:rPr>
        <w:t>值与实测值之差小于</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0.5 </w:t>
      </w:r>
      <w:r>
        <w:rPr>
          <w:rFonts w:ascii="SimSun" w:hAnsi="SimSun" w:eastAsia="SimSun" w:cs="SimSun"/>
          <w:sz w:val="24"/>
          <w:szCs w:val="24"/>
          <w:spacing w:val="-3"/>
        </w:rPr>
        <w:t>米</w:t>
      </w:r>
      <w:r>
        <w:rPr>
          <w:rFonts w:ascii="SimSun" w:hAnsi="SimSun" w:eastAsia="SimSun" w:cs="SimSun"/>
          <w:sz w:val="24"/>
          <w:szCs w:val="24"/>
          <w:spacing w:val="-88"/>
        </w:rPr>
        <w:t xml:space="preserve"> </w:t>
      </w:r>
      <w:r>
        <w:rPr>
          <w:rFonts w:ascii="SimSun" w:hAnsi="SimSun" w:eastAsia="SimSun" w:cs="SimSun"/>
          <w:sz w:val="24"/>
          <w:szCs w:val="24"/>
          <w:spacing w:val="-3"/>
        </w:rPr>
        <w:t>”的要求。</w:t>
      </w:r>
    </w:p>
    <w:p>
      <w:pPr>
        <w:ind w:firstLine="113"/>
        <w:spacing w:line="2251" w:lineRule="exact"/>
        <w:rPr/>
      </w:pPr>
      <w:r>
        <w:rPr>
          <w:position w:val="-45"/>
        </w:rPr>
        <w:drawing>
          <wp:inline distT="0" distB="0" distL="0" distR="0">
            <wp:extent cx="5436107" cy="1429512"/>
            <wp:effectExtent l="0" t="0" r="0" b="0"/>
            <wp:docPr id="148" name="IM 148"/>
            <wp:cNvGraphicFramePr/>
            <a:graphic>
              <a:graphicData uri="http://schemas.openxmlformats.org/drawingml/2006/picture">
                <pic:pic>
                  <pic:nvPicPr>
                    <pic:cNvPr id="148" name="IM 148"/>
                    <pic:cNvPicPr/>
                  </pic:nvPicPr>
                  <pic:blipFill>
                    <a:blip r:embed="rId258"/>
                    <a:stretch>
                      <a:fillRect/>
                    </a:stretch>
                  </pic:blipFill>
                  <pic:spPr>
                    <a:xfrm rot="0">
                      <a:off x="0" y="0"/>
                      <a:ext cx="5436107" cy="1429512"/>
                    </a:xfrm>
                    <a:prstGeom prst="rect">
                      <a:avLst/>
                    </a:prstGeom>
                  </pic:spPr>
                </pic:pic>
              </a:graphicData>
            </a:graphic>
          </wp:inline>
        </w:drawing>
      </w:r>
    </w:p>
    <w:p>
      <w:pPr>
        <w:ind w:left="2733"/>
        <w:spacing w:before="173"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3"/>
        </w:rPr>
        <w:t>5.3-10        </w:t>
      </w:r>
      <w:r>
        <w:rPr>
          <w:rFonts w:ascii="SimSun" w:hAnsi="SimSun" w:eastAsia="SimSun" w:cs="SimSun"/>
          <w:sz w:val="24"/>
          <w:szCs w:val="24"/>
          <w:b/>
          <w:bCs/>
          <w:spacing w:val="-3"/>
        </w:rPr>
        <w:t>观测点拟合结果图</w:t>
      </w:r>
    </w:p>
    <w:p>
      <w:pPr>
        <w:ind w:left="631"/>
        <w:spacing w:before="180" w:line="219" w:lineRule="auto"/>
        <w:rPr>
          <w:rFonts w:ascii="SimSun" w:hAnsi="SimSun" w:eastAsia="SimSun" w:cs="SimSun"/>
          <w:sz w:val="24"/>
          <w:szCs w:val="24"/>
        </w:rPr>
      </w:pPr>
      <w:r>
        <w:rPr>
          <w:rFonts w:ascii="SimSun" w:hAnsi="SimSun" w:eastAsia="SimSun" w:cs="SimSun"/>
          <w:sz w:val="24"/>
          <w:szCs w:val="24"/>
          <w:spacing w:val="-2"/>
        </w:rPr>
        <w:t>由图</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2"/>
        </w:rPr>
        <w:t>5.3-11 </w:t>
      </w:r>
      <w:r>
        <w:rPr>
          <w:rFonts w:ascii="SimSun" w:hAnsi="SimSun" w:eastAsia="SimSun" w:cs="SimSun"/>
          <w:sz w:val="24"/>
          <w:szCs w:val="24"/>
          <w:spacing w:val="-2"/>
        </w:rPr>
        <w:t>可知：经识别后实测流场和模拟流场拟合较好。</w:t>
      </w:r>
    </w:p>
    <w:p>
      <w:pPr>
        <w:ind w:firstLine="113"/>
        <w:spacing w:before="147" w:line="3820" w:lineRule="exact"/>
        <w:rPr/>
      </w:pPr>
      <w:r>
        <w:rPr>
          <w:position w:val="-76"/>
        </w:rPr>
        <w:drawing>
          <wp:inline distT="0" distB="0" distL="0" distR="0">
            <wp:extent cx="5431535" cy="2426207"/>
            <wp:effectExtent l="0" t="0" r="0" b="0"/>
            <wp:docPr id="150" name="IM 150"/>
            <wp:cNvGraphicFramePr/>
            <a:graphic>
              <a:graphicData uri="http://schemas.openxmlformats.org/drawingml/2006/picture">
                <pic:pic>
                  <pic:nvPicPr>
                    <pic:cNvPr id="150" name="IM 150"/>
                    <pic:cNvPicPr/>
                  </pic:nvPicPr>
                  <pic:blipFill>
                    <a:blip r:embed="rId259"/>
                    <a:stretch>
                      <a:fillRect/>
                    </a:stretch>
                  </pic:blipFill>
                  <pic:spPr>
                    <a:xfrm rot="0">
                      <a:off x="0" y="0"/>
                      <a:ext cx="5431535" cy="2426207"/>
                    </a:xfrm>
                    <a:prstGeom prst="rect">
                      <a:avLst/>
                    </a:prstGeom>
                  </pic:spPr>
                </pic:pic>
              </a:graphicData>
            </a:graphic>
          </wp:inline>
        </w:drawing>
      </w:r>
    </w:p>
    <w:p>
      <w:pPr>
        <w:ind w:left="2853"/>
        <w:spacing w:before="193"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3"/>
        </w:rPr>
        <w:t>5.3-11        </w:t>
      </w:r>
      <w:r>
        <w:rPr>
          <w:rFonts w:ascii="SimSun" w:hAnsi="SimSun" w:eastAsia="SimSun" w:cs="SimSun"/>
          <w:sz w:val="24"/>
          <w:szCs w:val="24"/>
          <w:b/>
          <w:bCs/>
          <w:spacing w:val="-3"/>
        </w:rPr>
        <w:t>流场拟合结果图</w:t>
      </w:r>
    </w:p>
    <w:p>
      <w:pPr>
        <w:ind w:left="123" w:right="168" w:firstLine="508"/>
        <w:spacing w:before="186" w:line="385" w:lineRule="auto"/>
        <w:rPr>
          <w:rFonts w:ascii="SimSun" w:hAnsi="SimSun" w:eastAsia="SimSun" w:cs="SimSun"/>
          <w:sz w:val="24"/>
          <w:szCs w:val="24"/>
        </w:rPr>
      </w:pPr>
      <w:r>
        <w:rPr>
          <w:rFonts w:ascii="SimSun" w:hAnsi="SimSun" w:eastAsia="SimSun" w:cs="SimSun"/>
          <w:sz w:val="24"/>
          <w:szCs w:val="24"/>
          <w:spacing w:val="-1"/>
        </w:rPr>
        <w:t>由表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6.5-3 </w:t>
      </w:r>
      <w:r>
        <w:rPr>
          <w:rFonts w:ascii="SimSun" w:hAnsi="SimSun" w:eastAsia="SimSun" w:cs="SimSun"/>
          <w:sz w:val="24"/>
          <w:szCs w:val="24"/>
          <w:spacing w:val="-1"/>
        </w:rPr>
        <w:t>可知，模型水均衡计算源汇项相对误差在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5</w:t>
      </w:r>
      <w:r>
        <w:rPr>
          <w:rFonts w:ascii="SimSun" w:hAnsi="SimSun" w:eastAsia="SimSun" w:cs="SimSun"/>
          <w:sz w:val="24"/>
          <w:szCs w:val="24"/>
          <w:spacing w:val="-1"/>
        </w:rPr>
        <w:t>％以内，经过识别</w:t>
      </w:r>
      <w:r>
        <w:rPr>
          <w:rFonts w:ascii="SimSun" w:hAnsi="SimSun" w:eastAsia="SimSun" w:cs="SimSun"/>
          <w:sz w:val="24"/>
          <w:szCs w:val="24"/>
          <w:spacing w:val="-2"/>
        </w:rPr>
        <w:t>后的</w:t>
      </w:r>
      <w:r>
        <w:rPr>
          <w:rFonts w:ascii="SimSun" w:hAnsi="SimSun" w:eastAsia="SimSun" w:cs="SimSun"/>
          <w:sz w:val="24"/>
          <w:szCs w:val="24"/>
        </w:rPr>
        <w:t xml:space="preserve"> </w:t>
      </w:r>
      <w:r>
        <w:rPr>
          <w:rFonts w:ascii="SimSun" w:hAnsi="SimSun" w:eastAsia="SimSun" w:cs="SimSun"/>
          <w:sz w:val="24"/>
          <w:szCs w:val="24"/>
          <w:spacing w:val="-1"/>
        </w:rPr>
        <w:t>渗透系数渗透系数与初始参数相差较小（</w:t>
      </w:r>
      <w:r>
        <w:rPr>
          <w:rFonts w:ascii="Times New Roman" w:hAnsi="Times New Roman" w:eastAsia="Times New Roman" w:cs="Times New Roman"/>
          <w:sz w:val="24"/>
          <w:szCs w:val="24"/>
          <w:spacing w:val="-1"/>
        </w:rPr>
        <w:t>16m/d</w:t>
      </w:r>
      <w:r>
        <w:rPr>
          <w:rFonts w:ascii="SimSun" w:hAnsi="SimSun" w:eastAsia="SimSun" w:cs="SimSun"/>
          <w:sz w:val="24"/>
          <w:szCs w:val="24"/>
          <w:spacing w:val="11"/>
        </w:rPr>
        <w:t>），</w:t>
      </w:r>
      <w:r>
        <w:rPr>
          <w:rFonts w:ascii="SimSun" w:hAnsi="SimSun" w:eastAsia="SimSun" w:cs="SimSun"/>
          <w:sz w:val="24"/>
          <w:szCs w:val="24"/>
          <w:spacing w:val="-1"/>
        </w:rPr>
        <w:t>符合评价区水文地质条件。</w:t>
      </w:r>
    </w:p>
    <w:p>
      <w:pPr>
        <w:ind w:left="2646"/>
        <w:spacing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7"/>
        </w:rPr>
        <w:t xml:space="preserve"> </w:t>
      </w:r>
      <w:r>
        <w:rPr>
          <w:rFonts w:ascii="Times New Roman" w:hAnsi="Times New Roman" w:eastAsia="Times New Roman" w:cs="Times New Roman"/>
          <w:sz w:val="24"/>
          <w:szCs w:val="24"/>
          <w:b/>
          <w:bCs/>
          <w:spacing w:val="-2"/>
        </w:rPr>
        <w:t>5.3-2    </w:t>
      </w:r>
      <w:r>
        <w:rPr>
          <w:rFonts w:ascii="SimSun" w:hAnsi="SimSun" w:eastAsia="SimSun" w:cs="SimSun"/>
          <w:sz w:val="24"/>
          <w:szCs w:val="24"/>
          <w:b/>
          <w:bCs/>
          <w:spacing w:val="-2"/>
        </w:rPr>
        <w:t>模型水均衡计算结果一览表</w:t>
      </w:r>
    </w:p>
    <w:p>
      <w:pPr>
        <w:spacing w:line="20" w:lineRule="exact"/>
        <w:rPr/>
      </w:pPr>
      <w:r/>
    </w:p>
    <w:tbl>
      <w:tblPr>
        <w:tblStyle w:val="TableNormal"/>
        <w:tblW w:w="877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960"/>
        <w:gridCol w:w="2835"/>
        <w:gridCol w:w="2984"/>
      </w:tblGrid>
      <w:tr>
        <w:trPr>
          <w:trHeight w:val="405" w:hRule="atLeast"/>
        </w:trPr>
        <w:tc>
          <w:tcPr>
            <w:tcW w:w="2960" w:type="dxa"/>
            <w:vAlign w:val="top"/>
          </w:tcPr>
          <w:p>
            <w:pPr>
              <w:pStyle w:val="TableText"/>
              <w:ind w:left="1380"/>
              <w:spacing w:before="98" w:line="228" w:lineRule="auto"/>
              <w:rPr/>
            </w:pPr>
            <w:r>
              <w:rPr>
                <w:spacing w:val="7"/>
              </w:rPr>
              <w:t>源汇项</w:t>
            </w:r>
          </w:p>
        </w:tc>
        <w:tc>
          <w:tcPr>
            <w:tcW w:w="2835" w:type="dxa"/>
            <w:vAlign w:val="top"/>
          </w:tcPr>
          <w:p>
            <w:pPr>
              <w:pStyle w:val="TableText"/>
              <w:ind w:left="1120"/>
              <w:spacing w:before="97" w:line="231" w:lineRule="auto"/>
              <w:rPr/>
            </w:pPr>
            <w:r>
              <w:rPr>
                <w:spacing w:val="4"/>
              </w:rPr>
              <w:t>源（</w:t>
            </w:r>
            <w:r>
              <w:rPr>
                <w:rFonts w:ascii="Times New Roman" w:hAnsi="Times New Roman" w:eastAsia="Times New Roman" w:cs="Times New Roman"/>
                <w:spacing w:val="4"/>
              </w:rPr>
              <w:t>m</w:t>
            </w:r>
            <w:r>
              <w:rPr>
                <w:rFonts w:ascii="Times New Roman" w:hAnsi="Times New Roman" w:eastAsia="Times New Roman" w:cs="Times New Roman"/>
                <w:sz w:val="13"/>
                <w:szCs w:val="13"/>
                <w:spacing w:val="4"/>
                <w:position w:val="6"/>
              </w:rPr>
              <w:t>3</w:t>
            </w:r>
            <w:r>
              <w:rPr>
                <w:rFonts w:ascii="Times New Roman" w:hAnsi="Times New Roman" w:eastAsia="Times New Roman" w:cs="Times New Roman"/>
                <w:spacing w:val="4"/>
              </w:rPr>
              <w:t>/d</w:t>
            </w:r>
            <w:r>
              <w:rPr>
                <w:spacing w:val="4"/>
              </w:rPr>
              <w:t>）</w:t>
            </w:r>
          </w:p>
        </w:tc>
        <w:tc>
          <w:tcPr>
            <w:tcW w:w="2984" w:type="dxa"/>
            <w:vAlign w:val="top"/>
          </w:tcPr>
          <w:p>
            <w:pPr>
              <w:pStyle w:val="TableText"/>
              <w:ind w:left="1195"/>
              <w:spacing w:before="98" w:line="233" w:lineRule="auto"/>
              <w:rPr/>
            </w:pPr>
            <w:r>
              <w:rPr>
                <w:spacing w:val="4"/>
              </w:rPr>
              <w:t>汇（</w:t>
            </w:r>
            <w:r>
              <w:rPr>
                <w:rFonts w:ascii="Times New Roman" w:hAnsi="Times New Roman" w:eastAsia="Times New Roman" w:cs="Times New Roman"/>
                <w:spacing w:val="4"/>
              </w:rPr>
              <w:t>m</w:t>
            </w:r>
            <w:r>
              <w:rPr>
                <w:rFonts w:ascii="Times New Roman" w:hAnsi="Times New Roman" w:eastAsia="Times New Roman" w:cs="Times New Roman"/>
                <w:sz w:val="13"/>
                <w:szCs w:val="13"/>
                <w:spacing w:val="4"/>
                <w:position w:val="6"/>
              </w:rPr>
              <w:t>3</w:t>
            </w:r>
            <w:r>
              <w:rPr>
                <w:rFonts w:ascii="Times New Roman" w:hAnsi="Times New Roman" w:eastAsia="Times New Roman" w:cs="Times New Roman"/>
                <w:spacing w:val="4"/>
              </w:rPr>
              <w:t>/d</w:t>
            </w:r>
            <w:r>
              <w:rPr>
                <w:spacing w:val="4"/>
              </w:rPr>
              <w:t>）</w:t>
            </w:r>
          </w:p>
        </w:tc>
      </w:tr>
      <w:tr>
        <w:trPr>
          <w:trHeight w:val="400" w:hRule="atLeast"/>
        </w:trPr>
        <w:tc>
          <w:tcPr>
            <w:tcW w:w="2960" w:type="dxa"/>
            <w:vAlign w:val="top"/>
          </w:tcPr>
          <w:p>
            <w:pPr>
              <w:pStyle w:val="TableText"/>
              <w:ind w:left="959"/>
              <w:spacing w:before="95" w:line="228" w:lineRule="auto"/>
              <w:rPr/>
            </w:pPr>
            <w:r>
              <w:rPr>
                <w:spacing w:val="8"/>
              </w:rPr>
              <w:t>侧向流入流出量</w:t>
            </w:r>
          </w:p>
        </w:tc>
        <w:tc>
          <w:tcPr>
            <w:tcW w:w="2835" w:type="dxa"/>
            <w:vAlign w:val="top"/>
          </w:tcPr>
          <w:p>
            <w:pPr>
              <w:ind w:left="1292"/>
              <w:spacing w:before="13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3883.58</w:t>
            </w:r>
          </w:p>
        </w:tc>
        <w:tc>
          <w:tcPr>
            <w:tcW w:w="2984" w:type="dxa"/>
            <w:vAlign w:val="top"/>
          </w:tcPr>
          <w:p>
            <w:pPr>
              <w:ind w:left="1332"/>
              <w:spacing w:before="13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-1221.84</w:t>
            </w:r>
          </w:p>
        </w:tc>
      </w:tr>
      <w:tr>
        <w:trPr>
          <w:trHeight w:val="403" w:hRule="atLeast"/>
        </w:trPr>
        <w:tc>
          <w:tcPr>
            <w:tcW w:w="2960" w:type="dxa"/>
            <w:vAlign w:val="top"/>
          </w:tcPr>
          <w:p>
            <w:pPr>
              <w:pStyle w:val="TableText"/>
              <w:ind w:left="1382"/>
              <w:spacing w:before="96" w:line="227" w:lineRule="auto"/>
              <w:rPr/>
            </w:pPr>
            <w:r>
              <w:rPr>
                <w:spacing w:val="6"/>
              </w:rPr>
              <w:t>开采量</w:t>
            </w:r>
          </w:p>
        </w:tc>
        <w:tc>
          <w:tcPr>
            <w:tcW w:w="2835" w:type="dxa"/>
            <w:vAlign w:val="top"/>
          </w:tcPr>
          <w:p>
            <w:pPr>
              <w:rPr>
                <w:rFonts w:ascii="Arial"/>
                <w:sz w:val="21"/>
              </w:rPr>
            </w:pPr>
            <w:r/>
          </w:p>
        </w:tc>
        <w:tc>
          <w:tcPr>
            <w:tcW w:w="2984" w:type="dxa"/>
            <w:vAlign w:val="top"/>
          </w:tcPr>
          <w:p>
            <w:pPr>
              <w:ind w:left="1435"/>
              <w:spacing w:before="13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-85.22</w:t>
            </w:r>
          </w:p>
        </w:tc>
      </w:tr>
    </w:tbl>
    <w:p>
      <w:pPr>
        <w:pStyle w:val="BodyText"/>
        <w:spacing w:line="434" w:lineRule="auto"/>
        <w:rPr/>
      </w:pPr>
      <w:r/>
    </w:p>
    <w:p>
      <w:pPr>
        <w:ind w:left="120"/>
        <w:spacing w:before="62" w:line="227" w:lineRule="auto"/>
        <w:rPr>
          <w:rFonts w:ascii="SimSun" w:hAnsi="SimSun" w:eastAsia="SimSun" w:cs="SimSun"/>
          <w:sz w:val="19"/>
          <w:szCs w:val="19"/>
        </w:rPr>
      </w:pPr>
      <w:r>
        <w:pict>
          <v:shape id="_x0000_s924" style="position:absolute;margin-left:164.97pt;margin-top:2.1072pt;mso-position-vertical-relative:text;mso-position-horizontal-relative:text;width:61pt;height:13.75pt;z-index:252075008;"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rPr>
                    <w:t>任公司</w:t>
                  </w:r>
                  <w:r>
                    <w:rPr>
                      <w:rFonts w:ascii="SimSun" w:hAnsi="SimSun" w:eastAsia="SimSun" w:cs="SimSun"/>
                      <w:sz w:val="19"/>
                      <w:szCs w:val="19"/>
                      <w:spacing w:val="18"/>
                    </w:rPr>
                    <w:t xml:space="preserve">   </w:t>
                  </w:r>
                  <w:r>
                    <w:rPr>
                      <w:rFonts w:ascii="Times New Roman" w:hAnsi="Times New Roman" w:eastAsia="Times New Roman" w:cs="Times New Roman"/>
                      <w:sz w:val="18"/>
                      <w:szCs w:val="18"/>
                      <w:position w:val="2"/>
                    </w:rPr>
                    <w:t>193</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257"/>
          <w:footerReference w:type="default" r:id="rId3"/>
          <w:pgSz w:w="11907" w:h="16840"/>
          <w:pgMar w:top="1567" w:right="1534" w:bottom="400" w:left="1588" w:header="1221" w:footer="0" w:gutter="0"/>
        </w:sectPr>
        <w:rPr>
          <w:rFonts w:ascii="SimSun" w:hAnsi="SimSun" w:eastAsia="SimSun" w:cs="SimSun"/>
          <w:sz w:val="19"/>
          <w:szCs w:val="19"/>
        </w:rPr>
      </w:pPr>
    </w:p>
    <w:p>
      <w:pPr>
        <w:spacing w:line="133" w:lineRule="exact"/>
        <w:rPr/>
      </w:pPr>
      <w:r>
        <w:pict>
          <v:shape id="_x0000_s926" style="position:absolute;margin-left:85.05pt;margin-top:78.87pt;mso-position-vertical-relative:page;mso-position-horizontal-relative:page;width:425.25pt;height:0.75pt;z-index:252077056;" o:allowincell="f" fillcolor="#000000" filled="true" stroked="false" coordsize="8505,15" coordorigin="0,0" path="m,l8505,0l8505,14l0,14l0,0xe"/>
        </w:pict>
      </w:r>
      <w:r/>
    </w:p>
    <w:tbl>
      <w:tblPr>
        <w:tblStyle w:val="TableNormal"/>
        <w:tblW w:w="877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960"/>
        <w:gridCol w:w="2835"/>
        <w:gridCol w:w="2984"/>
      </w:tblGrid>
      <w:tr>
        <w:trPr>
          <w:trHeight w:val="405" w:hRule="atLeast"/>
        </w:trPr>
        <w:tc>
          <w:tcPr>
            <w:tcW w:w="2960" w:type="dxa"/>
            <w:vAlign w:val="top"/>
          </w:tcPr>
          <w:p>
            <w:pPr>
              <w:pStyle w:val="TableText"/>
              <w:ind w:left="977"/>
              <w:spacing w:before="97" w:line="228" w:lineRule="auto"/>
              <w:rPr/>
            </w:pPr>
            <w:r>
              <w:rPr>
                <w:spacing w:val="6"/>
              </w:rPr>
              <w:t>降水入渗补给量</w:t>
            </w:r>
          </w:p>
        </w:tc>
        <w:tc>
          <w:tcPr>
            <w:tcW w:w="2835" w:type="dxa"/>
            <w:vAlign w:val="top"/>
          </w:tcPr>
          <w:p>
            <w:pPr>
              <w:ind w:left="1346"/>
              <w:spacing w:before="13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568.54</w:t>
            </w:r>
          </w:p>
        </w:tc>
        <w:tc>
          <w:tcPr>
            <w:tcW w:w="2984" w:type="dxa"/>
            <w:vAlign w:val="top"/>
          </w:tcPr>
          <w:p>
            <w:pPr>
              <w:rPr>
                <w:rFonts w:ascii="Arial"/>
                <w:sz w:val="21"/>
              </w:rPr>
            </w:pPr>
            <w:r/>
          </w:p>
        </w:tc>
      </w:tr>
      <w:tr>
        <w:trPr>
          <w:trHeight w:val="401" w:hRule="atLeast"/>
        </w:trPr>
        <w:tc>
          <w:tcPr>
            <w:tcW w:w="2960" w:type="dxa"/>
            <w:vAlign w:val="top"/>
          </w:tcPr>
          <w:p>
            <w:pPr>
              <w:pStyle w:val="TableText"/>
              <w:ind w:left="1383"/>
              <w:spacing w:before="96" w:line="228" w:lineRule="auto"/>
              <w:rPr/>
            </w:pPr>
            <w:r>
              <w:rPr>
                <w:spacing w:val="6"/>
              </w:rPr>
              <w:t>蒸发量</w:t>
            </w:r>
          </w:p>
        </w:tc>
        <w:tc>
          <w:tcPr>
            <w:tcW w:w="2835" w:type="dxa"/>
            <w:vAlign w:val="top"/>
          </w:tcPr>
          <w:p>
            <w:pPr>
              <w:rPr>
                <w:rFonts w:ascii="Arial"/>
                <w:sz w:val="21"/>
              </w:rPr>
            </w:pPr>
            <w:r/>
          </w:p>
        </w:tc>
        <w:tc>
          <w:tcPr>
            <w:tcW w:w="2984" w:type="dxa"/>
            <w:vAlign w:val="top"/>
          </w:tcPr>
          <w:p>
            <w:pPr>
              <w:ind w:left="1332"/>
              <w:spacing w:before="13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-3146.23</w:t>
            </w:r>
          </w:p>
        </w:tc>
      </w:tr>
      <w:tr>
        <w:trPr>
          <w:trHeight w:val="401" w:hRule="atLeast"/>
        </w:trPr>
        <w:tc>
          <w:tcPr>
            <w:tcW w:w="2960" w:type="dxa"/>
            <w:vAlign w:val="top"/>
          </w:tcPr>
          <w:p>
            <w:pPr>
              <w:pStyle w:val="TableText"/>
              <w:ind w:left="1169"/>
              <w:spacing w:before="95" w:line="228" w:lineRule="auto"/>
              <w:rPr/>
            </w:pPr>
            <w:r>
              <w:rPr>
                <w:spacing w:val="8"/>
              </w:rPr>
              <w:t>源汇项总和</w:t>
            </w:r>
          </w:p>
        </w:tc>
        <w:tc>
          <w:tcPr>
            <w:tcW w:w="2835" w:type="dxa"/>
            <w:vAlign w:val="top"/>
          </w:tcPr>
          <w:p>
            <w:pPr>
              <w:ind w:left="1286"/>
              <w:spacing w:before="13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4452.</w:t>
            </w:r>
            <w:r>
              <w:rPr>
                <w:rFonts w:ascii="Times New Roman" w:hAnsi="Times New Roman" w:eastAsia="Times New Roman" w:cs="Times New Roman"/>
                <w:sz w:val="20"/>
                <w:szCs w:val="20"/>
                <w:spacing w:val="-22"/>
              </w:rPr>
              <w:t xml:space="preserve"> </w:t>
            </w:r>
            <w:r>
              <w:rPr>
                <w:rFonts w:ascii="Times New Roman" w:hAnsi="Times New Roman" w:eastAsia="Times New Roman" w:cs="Times New Roman"/>
                <w:sz w:val="20"/>
                <w:szCs w:val="20"/>
              </w:rPr>
              <w:t>12</w:t>
            </w:r>
          </w:p>
        </w:tc>
        <w:tc>
          <w:tcPr>
            <w:tcW w:w="2984" w:type="dxa"/>
            <w:vAlign w:val="top"/>
          </w:tcPr>
          <w:p>
            <w:pPr>
              <w:ind w:left="1332"/>
              <w:spacing w:before="13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-4453.29</w:t>
            </w:r>
          </w:p>
        </w:tc>
      </w:tr>
      <w:tr>
        <w:trPr>
          <w:trHeight w:val="401" w:hRule="atLeast"/>
        </w:trPr>
        <w:tc>
          <w:tcPr>
            <w:tcW w:w="2960" w:type="dxa"/>
            <w:vAlign w:val="top"/>
          </w:tcPr>
          <w:p>
            <w:pPr>
              <w:pStyle w:val="TableText"/>
              <w:ind w:left="924"/>
              <w:spacing w:before="97" w:line="229" w:lineRule="auto"/>
              <w:rPr/>
            </w:pPr>
            <w:r>
              <w:rPr>
                <w:spacing w:val="7"/>
              </w:rPr>
              <w:t>源</w:t>
            </w:r>
            <w:r>
              <w:rPr>
                <w:rFonts w:ascii="Times New Roman" w:hAnsi="Times New Roman" w:eastAsia="Times New Roman" w:cs="Times New Roman"/>
                <w:spacing w:val="7"/>
              </w:rPr>
              <w:t>-</w:t>
            </w:r>
            <w:r>
              <w:rPr>
                <w:spacing w:val="7"/>
              </w:rPr>
              <w:t>汇及相对误差</w:t>
            </w:r>
          </w:p>
        </w:tc>
        <w:tc>
          <w:tcPr>
            <w:tcW w:w="2835" w:type="dxa"/>
            <w:vAlign w:val="top"/>
          </w:tcPr>
          <w:p>
            <w:pPr>
              <w:pStyle w:val="TableText"/>
              <w:ind w:left="1370"/>
              <w:spacing w:before="96" w:line="231" w:lineRule="auto"/>
              <w:rPr/>
            </w:pPr>
            <w:r>
              <w:rPr>
                <w:spacing w:val="5"/>
              </w:rPr>
              <w:t>源</w:t>
            </w:r>
            <w:r>
              <w:rPr>
                <w:rFonts w:ascii="Times New Roman" w:hAnsi="Times New Roman" w:eastAsia="Times New Roman" w:cs="Times New Roman"/>
                <w:spacing w:val="5"/>
              </w:rPr>
              <w:t>–</w:t>
            </w:r>
            <w:r>
              <w:rPr>
                <w:spacing w:val="5"/>
              </w:rPr>
              <w:t>汇</w:t>
            </w:r>
          </w:p>
        </w:tc>
        <w:tc>
          <w:tcPr>
            <w:tcW w:w="2984" w:type="dxa"/>
            <w:vAlign w:val="top"/>
          </w:tcPr>
          <w:p>
            <w:pPr>
              <w:pStyle w:val="TableText"/>
              <w:ind w:left="1199"/>
              <w:spacing w:before="97" w:line="229" w:lineRule="auto"/>
              <w:rPr/>
            </w:pPr>
            <w:r>
              <w:rPr>
                <w:rFonts w:ascii="Times New Roman" w:hAnsi="Times New Roman" w:eastAsia="Times New Roman" w:cs="Times New Roman"/>
                <w:spacing w:val="7"/>
              </w:rPr>
              <w:t>%</w:t>
            </w:r>
            <w:r>
              <w:rPr>
                <w:spacing w:val="7"/>
              </w:rPr>
              <w:t>相对误差</w:t>
            </w:r>
          </w:p>
        </w:tc>
      </w:tr>
      <w:tr>
        <w:trPr>
          <w:trHeight w:val="406" w:hRule="atLeast"/>
        </w:trPr>
        <w:tc>
          <w:tcPr>
            <w:tcW w:w="2960" w:type="dxa"/>
            <w:vAlign w:val="top"/>
          </w:tcPr>
          <w:p>
            <w:pPr>
              <w:ind w:left="1105"/>
              <w:spacing w:before="131"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Sources/Sinks</w:t>
            </w:r>
          </w:p>
        </w:tc>
        <w:tc>
          <w:tcPr>
            <w:tcW w:w="2835" w:type="dxa"/>
            <w:vAlign w:val="top"/>
          </w:tcPr>
          <w:p>
            <w:pPr>
              <w:ind w:left="1464"/>
              <w:spacing w:before="13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1.17</w:t>
            </w:r>
          </w:p>
        </w:tc>
        <w:tc>
          <w:tcPr>
            <w:tcW w:w="2984" w:type="dxa"/>
            <w:vAlign w:val="top"/>
          </w:tcPr>
          <w:p>
            <w:pPr>
              <w:ind w:left="1470"/>
              <w:spacing w:before="13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0.026</w:t>
            </w:r>
          </w:p>
        </w:tc>
      </w:tr>
    </w:tbl>
    <w:p>
      <w:pPr>
        <w:ind w:left="122" w:right="165" w:firstLine="482"/>
        <w:spacing w:before="155" w:line="360" w:lineRule="auto"/>
        <w:rPr>
          <w:rFonts w:ascii="SimSun" w:hAnsi="SimSun" w:eastAsia="SimSun" w:cs="SimSun"/>
          <w:sz w:val="24"/>
          <w:szCs w:val="24"/>
        </w:rPr>
      </w:pPr>
      <w:r>
        <w:rPr>
          <w:rFonts w:ascii="SimSun" w:hAnsi="SimSun" w:eastAsia="SimSun" w:cs="SimSun"/>
          <w:sz w:val="24"/>
          <w:szCs w:val="24"/>
          <w:spacing w:val="3"/>
        </w:rPr>
        <w:t>综上，所建立的模拟模型可以达到精度要求，符合水文地质</w:t>
      </w:r>
      <w:r>
        <w:rPr>
          <w:rFonts w:ascii="SimSun" w:hAnsi="SimSun" w:eastAsia="SimSun" w:cs="SimSun"/>
          <w:sz w:val="24"/>
          <w:szCs w:val="24"/>
          <w:spacing w:val="2"/>
        </w:rPr>
        <w:t>条件，能够真实</w:t>
      </w:r>
      <w:r>
        <w:rPr>
          <w:rFonts w:ascii="SimSun" w:hAnsi="SimSun" w:eastAsia="SimSun" w:cs="SimSun"/>
          <w:sz w:val="24"/>
          <w:szCs w:val="24"/>
        </w:rPr>
        <w:t xml:space="preserve"> </w:t>
      </w:r>
      <w:r>
        <w:rPr>
          <w:rFonts w:ascii="SimSun" w:hAnsi="SimSun" w:eastAsia="SimSun" w:cs="SimSun"/>
          <w:sz w:val="24"/>
          <w:szCs w:val="24"/>
        </w:rPr>
        <w:t>地反映地下水系统的水文特征，建立的模型可以</w:t>
      </w:r>
      <w:r>
        <w:rPr>
          <w:rFonts w:ascii="SimSun" w:hAnsi="SimSun" w:eastAsia="SimSun" w:cs="SimSun"/>
          <w:sz w:val="24"/>
          <w:szCs w:val="24"/>
          <w:spacing w:val="-1"/>
        </w:rPr>
        <w:t>用来进行溶质运移模拟。</w:t>
      </w:r>
    </w:p>
    <w:p>
      <w:pPr>
        <w:ind w:left="597"/>
        <w:spacing w:before="118" w:line="219" w:lineRule="auto"/>
        <w:rPr>
          <w:rFonts w:ascii="SimSun" w:hAnsi="SimSun" w:eastAsia="SimSun" w:cs="SimSun"/>
          <w:sz w:val="24"/>
          <w:szCs w:val="24"/>
        </w:rPr>
      </w:pPr>
      <w:r>
        <w:rPr>
          <w:rFonts w:ascii="Times New Roman" w:hAnsi="Times New Roman" w:eastAsia="Times New Roman" w:cs="Times New Roman"/>
          <w:sz w:val="24"/>
          <w:szCs w:val="24"/>
          <w:b/>
          <w:bCs/>
          <w:spacing w:val="-5"/>
        </w:rPr>
        <w:t>3</w:t>
      </w:r>
      <w:r>
        <w:rPr>
          <w:rFonts w:ascii="Times New Roman" w:hAnsi="Times New Roman" w:eastAsia="Times New Roman" w:cs="Times New Roman"/>
          <w:sz w:val="24"/>
          <w:szCs w:val="24"/>
          <w:b/>
          <w:bCs/>
          <w:spacing w:val="-28"/>
        </w:rPr>
        <w:t xml:space="preserve"> </w:t>
      </w:r>
      <w:r>
        <w:rPr>
          <w:rFonts w:ascii="SimSun" w:hAnsi="SimSun" w:eastAsia="SimSun" w:cs="SimSun"/>
          <w:sz w:val="24"/>
          <w:szCs w:val="24"/>
          <w:b/>
          <w:bCs/>
          <w:spacing w:val="-5"/>
        </w:rPr>
        <w:t>、地下水溶质运移模型</w:t>
      </w:r>
    </w:p>
    <w:p>
      <w:pPr>
        <w:ind w:left="601"/>
        <w:spacing w:before="183" w:line="217" w:lineRule="auto"/>
        <w:rPr>
          <w:rFonts w:ascii="SimSun" w:hAnsi="SimSun" w:eastAsia="SimSun" w:cs="SimSun"/>
          <w:sz w:val="24"/>
          <w:szCs w:val="24"/>
        </w:rPr>
      </w:pPr>
      <w:r>
        <w:rPr>
          <w:rFonts w:ascii="SimSun" w:hAnsi="SimSun" w:eastAsia="SimSun" w:cs="SimSun"/>
          <w:sz w:val="24"/>
          <w:szCs w:val="24"/>
          <w:spacing w:val="-1"/>
        </w:rPr>
        <w:t>①溶质迁移数学模型</w:t>
      </w:r>
    </w:p>
    <w:p>
      <w:pPr>
        <w:ind w:left="121" w:right="165" w:firstLine="483"/>
        <w:spacing w:before="182" w:line="346" w:lineRule="auto"/>
        <w:rPr>
          <w:rFonts w:ascii="SimSun" w:hAnsi="SimSun" w:eastAsia="SimSun" w:cs="SimSun"/>
          <w:sz w:val="24"/>
          <w:szCs w:val="24"/>
        </w:rPr>
      </w:pPr>
      <w:r>
        <w:rPr>
          <w:rFonts w:ascii="SimSun" w:hAnsi="SimSun" w:eastAsia="SimSun" w:cs="SimSun"/>
          <w:sz w:val="24"/>
          <w:szCs w:val="24"/>
          <w:spacing w:val="3"/>
        </w:rPr>
        <w:t>水是溶质运移模型的载体，地下水溶质运移数值模拟应在地</w:t>
      </w:r>
      <w:r>
        <w:rPr>
          <w:rFonts w:ascii="SimSun" w:hAnsi="SimSun" w:eastAsia="SimSun" w:cs="SimSun"/>
          <w:sz w:val="24"/>
          <w:szCs w:val="24"/>
          <w:spacing w:val="2"/>
        </w:rPr>
        <w:t>下水流场模拟基</w:t>
      </w:r>
      <w:r>
        <w:rPr>
          <w:rFonts w:ascii="SimSun" w:hAnsi="SimSun" w:eastAsia="SimSun" w:cs="SimSun"/>
          <w:sz w:val="24"/>
          <w:szCs w:val="24"/>
        </w:rPr>
        <w:t xml:space="preserve"> </w:t>
      </w:r>
      <w:r>
        <w:rPr>
          <w:rFonts w:ascii="SimSun" w:hAnsi="SimSun" w:eastAsia="SimSun" w:cs="SimSun"/>
          <w:sz w:val="24"/>
          <w:szCs w:val="24"/>
          <w:spacing w:val="-1"/>
        </w:rPr>
        <w:t>础上进行，溶质运移模型控制方程为：</w:t>
      </w:r>
    </w:p>
    <w:p>
      <w:pPr>
        <w:ind w:firstLine="533"/>
        <w:spacing w:line="811" w:lineRule="exact"/>
        <w:rPr/>
      </w:pPr>
      <w:r>
        <w:rPr>
          <w:position w:val="-16"/>
        </w:rPr>
        <w:drawing>
          <wp:inline distT="0" distB="0" distL="0" distR="0">
            <wp:extent cx="4448555" cy="515111"/>
            <wp:effectExtent l="0" t="0" r="0" b="0"/>
            <wp:docPr id="152" name="IM 152"/>
            <wp:cNvGraphicFramePr/>
            <a:graphic>
              <a:graphicData uri="http://schemas.openxmlformats.org/drawingml/2006/picture">
                <pic:pic>
                  <pic:nvPicPr>
                    <pic:cNvPr id="152" name="IM 152"/>
                    <pic:cNvPicPr/>
                  </pic:nvPicPr>
                  <pic:blipFill>
                    <a:blip r:embed="rId261"/>
                    <a:stretch>
                      <a:fillRect/>
                    </a:stretch>
                  </pic:blipFill>
                  <pic:spPr>
                    <a:xfrm rot="0">
                      <a:off x="0" y="0"/>
                      <a:ext cx="4448555" cy="515111"/>
                    </a:xfrm>
                    <a:prstGeom prst="rect">
                      <a:avLst/>
                    </a:prstGeom>
                  </pic:spPr>
                </pic:pic>
              </a:graphicData>
            </a:graphic>
          </wp:inline>
        </w:drawing>
      </w:r>
    </w:p>
    <w:p>
      <w:pPr>
        <w:ind w:left="607" w:right="3840" w:firstLine="6"/>
        <w:spacing w:before="129" w:line="354" w:lineRule="auto"/>
        <w:rPr>
          <w:rFonts w:ascii="SimSun" w:hAnsi="SimSun" w:eastAsia="SimSun" w:cs="SimSun"/>
          <w:sz w:val="24"/>
          <w:szCs w:val="24"/>
        </w:rPr>
      </w:pPr>
      <w:r>
        <w:rPr>
          <w:rFonts w:ascii="SimSun" w:hAnsi="SimSun" w:eastAsia="SimSun" w:cs="SimSun"/>
          <w:sz w:val="24"/>
          <w:szCs w:val="24"/>
          <w:spacing w:val="-13"/>
        </w:rPr>
        <w:t>（</w:t>
      </w:r>
      <w:r>
        <w:rPr>
          <w:rFonts w:ascii="Times New Roman" w:hAnsi="Times New Roman" w:eastAsia="Times New Roman" w:cs="Times New Roman"/>
          <w:sz w:val="24"/>
          <w:szCs w:val="24"/>
          <w:spacing w:val="-13"/>
        </w:rPr>
        <w:t>x</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3"/>
        </w:rPr>
        <w:t>，</w:t>
      </w:r>
      <w:r>
        <w:rPr>
          <w:rFonts w:ascii="Times New Roman" w:hAnsi="Times New Roman" w:eastAsia="Times New Roman" w:cs="Times New Roman"/>
          <w:sz w:val="24"/>
          <w:szCs w:val="24"/>
          <w:spacing w:val="-13"/>
        </w:rPr>
        <w:t>y</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3"/>
        </w:rPr>
        <w:t>，</w:t>
      </w:r>
      <w:r>
        <w:rPr>
          <w:rFonts w:ascii="Times New Roman" w:hAnsi="Times New Roman" w:eastAsia="Times New Roman" w:cs="Times New Roman"/>
          <w:sz w:val="24"/>
          <w:szCs w:val="24"/>
          <w:spacing w:val="-13"/>
        </w:rPr>
        <w:t>t</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13"/>
        </w:rPr>
        <w:t>）</w:t>
      </w:r>
      <w:r>
        <w:rPr>
          <w:rFonts w:ascii="Times New Roman" w:hAnsi="Times New Roman" w:eastAsia="Times New Roman" w:cs="Times New Roman"/>
          <w:sz w:val="24"/>
          <w:szCs w:val="24"/>
          <w:spacing w:val="-13"/>
        </w:rPr>
        <w:t>=c</w:t>
      </w:r>
      <w:r>
        <w:rPr>
          <w:rFonts w:ascii="Times New Roman" w:hAnsi="Times New Roman" w:eastAsia="Times New Roman" w:cs="Times New Roman"/>
          <w:sz w:val="15"/>
          <w:szCs w:val="15"/>
          <w:spacing w:val="6"/>
        </w:rPr>
        <w:t>0</w:t>
      </w:r>
      <w:r>
        <w:rPr>
          <w:rFonts w:ascii="SimSun" w:hAnsi="SimSun" w:eastAsia="SimSun" w:cs="SimSun"/>
          <w:sz w:val="24"/>
          <w:szCs w:val="24"/>
          <w:spacing w:val="-15"/>
        </w:rPr>
        <w:t>（</w:t>
      </w:r>
      <w:r>
        <w:rPr>
          <w:rFonts w:ascii="Times New Roman" w:hAnsi="Times New Roman" w:eastAsia="Times New Roman" w:cs="Times New Roman"/>
          <w:sz w:val="24"/>
          <w:szCs w:val="24"/>
          <w:spacing w:val="-15"/>
        </w:rPr>
        <w:t>x</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5"/>
        </w:rPr>
        <w:t>，</w:t>
      </w:r>
      <w:r>
        <w:rPr>
          <w:rFonts w:ascii="Times New Roman" w:hAnsi="Times New Roman" w:eastAsia="Times New Roman" w:cs="Times New Roman"/>
          <w:sz w:val="24"/>
          <w:szCs w:val="24"/>
          <w:spacing w:val="-15"/>
        </w:rPr>
        <w:t>y</w:t>
      </w:r>
      <w:r>
        <w:rPr>
          <w:rFonts w:ascii="SimSun" w:hAnsi="SimSun" w:eastAsia="SimSun" w:cs="SimSun"/>
          <w:sz w:val="24"/>
          <w:szCs w:val="24"/>
          <w:spacing w:val="4"/>
        </w:rPr>
        <w:t>），</w:t>
      </w:r>
      <w:r>
        <w:rPr>
          <w:rFonts w:ascii="Times New Roman" w:hAnsi="Times New Roman" w:eastAsia="Times New Roman" w:cs="Times New Roman"/>
          <w:sz w:val="24"/>
          <w:szCs w:val="24"/>
          <w:spacing w:val="-15"/>
        </w:rPr>
        <w:t>x</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5"/>
        </w:rPr>
        <w:t>，</w:t>
      </w:r>
      <w:r>
        <w:rPr>
          <w:rFonts w:ascii="Times New Roman" w:hAnsi="Times New Roman" w:eastAsia="Times New Roman" w:cs="Times New Roman"/>
          <w:sz w:val="24"/>
          <w:szCs w:val="24"/>
          <w:spacing w:val="-15"/>
        </w:rPr>
        <w:t>y</w:t>
      </w:r>
      <w:r>
        <w:rPr>
          <w:rFonts w:ascii="SimSun" w:hAnsi="SimSun" w:eastAsia="SimSun" w:cs="SimSun"/>
          <w:sz w:val="24"/>
          <w:szCs w:val="24"/>
          <w:spacing w:val="-15"/>
        </w:rPr>
        <w:t>∈</w:t>
      </w:r>
      <w:r>
        <w:rPr>
          <w:rFonts w:ascii="Times New Roman" w:hAnsi="Times New Roman" w:eastAsia="Times New Roman" w:cs="Times New Roman"/>
          <w:sz w:val="24"/>
          <w:szCs w:val="24"/>
          <w:spacing w:val="-15"/>
        </w:rPr>
        <w:t>Ω</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5"/>
        </w:rPr>
        <w:t>,</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5"/>
        </w:rPr>
        <w:t>t</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15"/>
        </w:rPr>
        <w:t>≧</w:t>
      </w:r>
      <w:r>
        <w:rPr>
          <w:rFonts w:ascii="Times New Roman" w:hAnsi="Times New Roman" w:eastAsia="Times New Roman" w:cs="Times New Roman"/>
          <w:sz w:val="24"/>
          <w:szCs w:val="24"/>
          <w:spacing w:val="-15"/>
        </w:rPr>
        <w:t>0</w:t>
      </w:r>
      <w:r>
        <w:rPr>
          <w:rFonts w:ascii="Times New Roman" w:hAnsi="Times New Roman" w:eastAsia="Times New Roman" w:cs="Times New Roman"/>
          <w:sz w:val="24"/>
          <w:szCs w:val="24"/>
        </w:rPr>
        <w:t xml:space="preserve"> </w:t>
      </w:r>
      <w:r>
        <w:rPr>
          <w:rFonts w:ascii="SimSun" w:hAnsi="SimSun" w:eastAsia="SimSun" w:cs="SimSun"/>
          <w:sz w:val="24"/>
          <w:szCs w:val="24"/>
          <w:spacing w:val="-5"/>
        </w:rPr>
        <w:t>式中：</w:t>
      </w:r>
    </w:p>
    <w:p>
      <w:pPr>
        <w:ind w:left="597"/>
        <w:spacing w:before="55" w:line="219" w:lineRule="auto"/>
        <w:rPr>
          <w:rFonts w:ascii="SimSun" w:hAnsi="SimSun" w:eastAsia="SimSun" w:cs="SimSun"/>
          <w:sz w:val="24"/>
          <w:szCs w:val="24"/>
        </w:rPr>
      </w:pPr>
      <w:r>
        <w:rPr>
          <w:rFonts w:ascii="Times New Roman" w:hAnsi="Times New Roman" w:eastAsia="Times New Roman" w:cs="Times New Roman"/>
          <w:sz w:val="24"/>
          <w:szCs w:val="24"/>
          <w:spacing w:val="-1"/>
        </w:rPr>
        <w:t>R-</w:t>
      </w:r>
      <w:r>
        <w:rPr>
          <w:rFonts w:ascii="SimSun" w:hAnsi="SimSun" w:eastAsia="SimSun" w:cs="SimSun"/>
          <w:sz w:val="24"/>
          <w:szCs w:val="24"/>
          <w:spacing w:val="-1"/>
        </w:rPr>
        <w:t>迟滞系数，无量纲；</w:t>
      </w:r>
    </w:p>
    <w:p>
      <w:pPr>
        <w:ind w:left="603"/>
        <w:spacing w:before="183" w:line="219" w:lineRule="auto"/>
        <w:rPr>
          <w:rFonts w:ascii="SimSun" w:hAnsi="SimSun" w:eastAsia="SimSun" w:cs="SimSun"/>
          <w:sz w:val="24"/>
          <w:szCs w:val="24"/>
        </w:rPr>
      </w:pPr>
      <w:r>
        <w:rPr>
          <w:rFonts w:ascii="Times New Roman" w:hAnsi="Times New Roman" w:eastAsia="Times New Roman" w:cs="Times New Roman"/>
          <w:sz w:val="24"/>
          <w:szCs w:val="24"/>
          <w:spacing w:val="-1"/>
        </w:rPr>
        <w:t>θ-</w:t>
      </w:r>
      <w:r>
        <w:rPr>
          <w:rFonts w:ascii="SimSun" w:hAnsi="SimSun" w:eastAsia="SimSun" w:cs="SimSun"/>
          <w:sz w:val="24"/>
          <w:szCs w:val="24"/>
          <w:spacing w:val="-1"/>
        </w:rPr>
        <w:t>介质孔隙度，无量纲；</w:t>
      </w:r>
    </w:p>
    <w:p>
      <w:pPr>
        <w:ind w:left="602"/>
        <w:spacing w:before="181" w:line="212" w:lineRule="auto"/>
        <w:rPr>
          <w:rFonts w:ascii="SimSun" w:hAnsi="SimSun" w:eastAsia="SimSun" w:cs="SimSun"/>
          <w:sz w:val="24"/>
          <w:szCs w:val="24"/>
        </w:rPr>
      </w:pPr>
      <w:r>
        <w:rPr>
          <w:rFonts w:ascii="Times New Roman" w:hAnsi="Times New Roman" w:eastAsia="Times New Roman" w:cs="Times New Roman"/>
          <w:sz w:val="24"/>
          <w:szCs w:val="24"/>
          <w:spacing w:val="-1"/>
        </w:rPr>
        <w:t>C-</w:t>
      </w:r>
      <w:r>
        <w:rPr>
          <w:rFonts w:ascii="SimSun" w:hAnsi="SimSun" w:eastAsia="SimSun" w:cs="SimSun"/>
          <w:sz w:val="24"/>
          <w:szCs w:val="24"/>
          <w:spacing w:val="-1"/>
        </w:rPr>
        <w:t>组分的浓度，</w:t>
      </w:r>
      <w:r>
        <w:rPr>
          <w:rFonts w:ascii="Times New Roman" w:hAnsi="Times New Roman" w:eastAsia="Times New Roman" w:cs="Times New Roman"/>
          <w:sz w:val="24"/>
          <w:szCs w:val="24"/>
          <w:spacing w:val="-1"/>
        </w:rPr>
        <w:t>mg/L</w:t>
      </w:r>
      <w:r>
        <w:rPr>
          <w:rFonts w:ascii="SimSun" w:hAnsi="SimSun" w:eastAsia="SimSun" w:cs="SimSun"/>
          <w:sz w:val="24"/>
          <w:szCs w:val="24"/>
          <w:spacing w:val="-1"/>
        </w:rPr>
        <w:t>；</w:t>
      </w:r>
    </w:p>
    <w:p>
      <w:pPr>
        <w:ind w:left="595" w:right="3937" w:hanging="2"/>
        <w:spacing w:before="156" w:line="354" w:lineRule="auto"/>
        <w:rPr>
          <w:rFonts w:ascii="SimSun" w:hAnsi="SimSun" w:eastAsia="SimSun" w:cs="SimSun"/>
          <w:sz w:val="24"/>
          <w:szCs w:val="24"/>
        </w:rPr>
      </w:pPr>
      <w:r>
        <w:rPr>
          <w:rFonts w:ascii="Times New Roman" w:hAnsi="Times New Roman" w:eastAsia="Times New Roman" w:cs="Times New Roman"/>
          <w:sz w:val="24"/>
          <w:szCs w:val="24"/>
        </w:rPr>
        <w:drawing>
          <wp:inline distT="0" distB="0" distL="0" distR="0">
            <wp:extent cx="121919" cy="210311"/>
            <wp:effectExtent l="0" t="0" r="0" b="0"/>
            <wp:docPr id="154" name="IM 154"/>
            <wp:cNvGraphicFramePr/>
            <a:graphic>
              <a:graphicData uri="http://schemas.openxmlformats.org/drawingml/2006/picture">
                <pic:pic>
                  <pic:nvPicPr>
                    <pic:cNvPr id="154" name="IM 154"/>
                    <pic:cNvPicPr/>
                  </pic:nvPicPr>
                  <pic:blipFill>
                    <a:blip r:embed="rId262"/>
                    <a:stretch>
                      <a:fillRect/>
                    </a:stretch>
                  </pic:blipFill>
                  <pic:spPr>
                    <a:xfrm rot="0">
                      <a:off x="0" y="0"/>
                      <a:ext cx="121919" cy="210311"/>
                    </a:xfrm>
                    <a:prstGeom prst="rect">
                      <a:avLst/>
                    </a:prstGeom>
                  </pic:spPr>
                </pic:pic>
              </a:graphicData>
            </a:graphic>
          </wp:inline>
        </w:drawing>
      </w:r>
      <w:r>
        <w:rPr>
          <w:rFonts w:ascii="Times New Roman" w:hAnsi="Times New Roman" w:eastAsia="Times New Roman" w:cs="Times New Roman"/>
          <w:sz w:val="24"/>
          <w:szCs w:val="24"/>
          <w:spacing w:val="-26"/>
        </w:rPr>
        <w:t xml:space="preserve"> </w:t>
      </w:r>
      <w:r>
        <w:rPr>
          <w:rFonts w:ascii="Times New Roman" w:hAnsi="Times New Roman" w:eastAsia="Times New Roman" w:cs="Times New Roman"/>
          <w:sz w:val="24"/>
          <w:szCs w:val="24"/>
          <w:spacing w:val="-4"/>
        </w:rPr>
        <w:t>-</w:t>
      </w:r>
      <w:r>
        <w:rPr>
          <w:rFonts w:ascii="SimSun" w:hAnsi="SimSun" w:eastAsia="SimSun" w:cs="SimSun"/>
          <w:sz w:val="24"/>
          <w:szCs w:val="24"/>
          <w:spacing w:val="-4"/>
        </w:rPr>
        <w:t>介质骨架吸附的溶质质量分数，</w:t>
      </w:r>
      <w:r>
        <w:rPr>
          <w:rFonts w:ascii="Times New Roman" w:hAnsi="Times New Roman" w:eastAsia="Times New Roman" w:cs="Times New Roman"/>
          <w:sz w:val="24"/>
          <w:szCs w:val="24"/>
          <w:spacing w:val="-4"/>
        </w:rPr>
        <w:t>g/kg</w:t>
      </w:r>
      <w:r>
        <w:rPr>
          <w:rFonts w:ascii="SimSun" w:hAnsi="SimSun" w:eastAsia="SimSun" w:cs="SimSun"/>
          <w:sz w:val="24"/>
          <w:szCs w:val="24"/>
          <w:spacing w:val="-4"/>
        </w:rPr>
        <w:t>；</w:t>
      </w:r>
      <w:r>
        <w:rPr>
          <w:rFonts w:ascii="SimSun" w:hAnsi="SimSun" w:eastAsia="SimSun" w:cs="SimSun"/>
          <w:sz w:val="24"/>
          <w:szCs w:val="24"/>
        </w:rPr>
        <w:t xml:space="preserve"> </w:t>
      </w:r>
      <w:r>
        <w:rPr>
          <w:rFonts w:ascii="Times New Roman" w:hAnsi="Times New Roman" w:eastAsia="Times New Roman" w:cs="Times New Roman"/>
          <w:sz w:val="24"/>
          <w:szCs w:val="24"/>
          <w:spacing w:val="-1"/>
        </w:rPr>
        <w:t>t-</w:t>
      </w:r>
      <w:r>
        <w:rPr>
          <w:rFonts w:ascii="SimSun" w:hAnsi="SimSun" w:eastAsia="SimSun" w:cs="SimSun"/>
          <w:sz w:val="24"/>
          <w:szCs w:val="24"/>
          <w:spacing w:val="-1"/>
        </w:rPr>
        <w:t>时间，</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p>
    <w:p>
      <w:pPr>
        <w:ind w:left="596"/>
        <w:spacing w:before="50" w:line="210" w:lineRule="auto"/>
        <w:rPr>
          <w:rFonts w:ascii="SimSun" w:hAnsi="SimSun" w:eastAsia="SimSun" w:cs="SimSun"/>
          <w:sz w:val="24"/>
          <w:szCs w:val="24"/>
        </w:rPr>
      </w:pPr>
      <w:r>
        <w:rPr>
          <w:rFonts w:ascii="Times New Roman" w:hAnsi="Times New Roman" w:eastAsia="Times New Roman" w:cs="Times New Roman"/>
          <w:sz w:val="24"/>
          <w:szCs w:val="24"/>
          <w:spacing w:val="-3"/>
        </w:rPr>
        <w:t>x</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y-</w:t>
      </w:r>
      <w:r>
        <w:rPr>
          <w:rFonts w:ascii="SimSun" w:hAnsi="SimSun" w:eastAsia="SimSun" w:cs="SimSun"/>
          <w:sz w:val="24"/>
          <w:szCs w:val="24"/>
          <w:spacing w:val="-3"/>
        </w:rPr>
        <w:t>空间位置坐标，</w:t>
      </w:r>
      <w:r>
        <w:rPr>
          <w:rFonts w:ascii="Times New Roman" w:hAnsi="Times New Roman" w:eastAsia="Times New Roman" w:cs="Times New Roman"/>
          <w:sz w:val="24"/>
          <w:szCs w:val="24"/>
          <w:spacing w:val="-3"/>
        </w:rPr>
        <w:t>m</w:t>
      </w:r>
      <w:r>
        <w:rPr>
          <w:rFonts w:ascii="SimSun" w:hAnsi="SimSun" w:eastAsia="SimSun" w:cs="SimSun"/>
          <w:sz w:val="24"/>
          <w:szCs w:val="24"/>
          <w:spacing w:val="-3"/>
        </w:rPr>
        <w:t>；</w:t>
      </w:r>
    </w:p>
    <w:p>
      <w:pPr>
        <w:ind w:left="597"/>
        <w:spacing w:before="193" w:line="218" w:lineRule="auto"/>
        <w:rPr>
          <w:rFonts w:ascii="SimSun" w:hAnsi="SimSun" w:eastAsia="SimSun" w:cs="SimSun"/>
          <w:sz w:val="24"/>
          <w:szCs w:val="24"/>
        </w:rPr>
      </w:pP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15"/>
          <w:szCs w:val="15"/>
          <w:spacing w:val="-1"/>
          <w:position w:val="-1"/>
        </w:rPr>
        <w:t>ij</w:t>
      </w:r>
      <w:r>
        <w:rPr>
          <w:rFonts w:ascii="Times New Roman" w:hAnsi="Times New Roman" w:eastAsia="Times New Roman" w:cs="Times New Roman"/>
          <w:sz w:val="24"/>
          <w:szCs w:val="24"/>
          <w:spacing w:val="-1"/>
        </w:rPr>
        <w:t>-</w:t>
      </w:r>
      <w:r>
        <w:rPr>
          <w:rFonts w:ascii="SimSun" w:hAnsi="SimSun" w:eastAsia="SimSun" w:cs="SimSun"/>
          <w:sz w:val="24"/>
          <w:szCs w:val="24"/>
          <w:spacing w:val="-1"/>
        </w:rPr>
        <w:t>水动力弥散系数张量，</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8"/>
        </w:rPr>
        <w:t>2</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p>
    <w:p>
      <w:pPr>
        <w:ind w:left="596" w:right="4937" w:hanging="1"/>
        <w:spacing w:before="183" w:line="289" w:lineRule="auto"/>
        <w:rPr>
          <w:rFonts w:ascii="SimSun" w:hAnsi="SimSun" w:eastAsia="SimSun" w:cs="SimSun"/>
          <w:sz w:val="24"/>
          <w:szCs w:val="24"/>
        </w:rPr>
      </w:pPr>
      <w:r>
        <w:rPr>
          <w:rFonts w:ascii="Times New Roman" w:hAnsi="Times New Roman" w:eastAsia="Times New Roman" w:cs="Times New Roman"/>
          <w:sz w:val="24"/>
          <w:szCs w:val="24"/>
          <w:spacing w:val="-4"/>
        </w:rPr>
        <w:t>v </w:t>
      </w:r>
      <w:r>
        <w:rPr>
          <w:rFonts w:ascii="Times New Roman" w:hAnsi="Times New Roman" w:eastAsia="Times New Roman" w:cs="Times New Roman"/>
          <w:sz w:val="15"/>
          <w:szCs w:val="15"/>
          <w:spacing w:val="-4"/>
        </w:rPr>
        <w:t>i</w:t>
      </w:r>
      <w:r>
        <w:rPr>
          <w:rFonts w:ascii="Times New Roman" w:hAnsi="Times New Roman" w:eastAsia="Times New Roman" w:cs="Times New Roman"/>
          <w:sz w:val="24"/>
          <w:szCs w:val="24"/>
          <w:spacing w:val="-4"/>
        </w:rPr>
        <w:t>-</w:t>
      </w:r>
      <w:r>
        <w:rPr>
          <w:rFonts w:ascii="SimSun" w:hAnsi="SimSun" w:eastAsia="SimSun" w:cs="SimSun"/>
          <w:sz w:val="24"/>
          <w:szCs w:val="24"/>
          <w:spacing w:val="-4"/>
        </w:rPr>
        <w:t>地下水渗流速度张量，</w:t>
      </w:r>
      <w:r>
        <w:rPr>
          <w:rFonts w:ascii="Times New Roman" w:hAnsi="Times New Roman" w:eastAsia="Times New Roman" w:cs="Times New Roman"/>
          <w:sz w:val="24"/>
          <w:szCs w:val="24"/>
          <w:spacing w:val="-4"/>
        </w:rPr>
        <w:t>m/d</w:t>
      </w:r>
      <w:r>
        <w:rPr>
          <w:rFonts w:ascii="SimSun" w:hAnsi="SimSun" w:eastAsia="SimSun" w:cs="SimSun"/>
          <w:sz w:val="24"/>
          <w:szCs w:val="24"/>
          <w:spacing w:val="-4"/>
        </w:rPr>
        <w:t>；</w:t>
      </w:r>
      <w:r>
        <w:rPr>
          <w:rFonts w:ascii="SimSun" w:hAnsi="SimSun" w:eastAsia="SimSun" w:cs="SimSun"/>
          <w:sz w:val="24"/>
          <w:szCs w:val="24"/>
          <w:spacing w:val="7"/>
        </w:rPr>
        <w:t xml:space="preserve"> </w:t>
      </w:r>
      <w:r>
        <w:rPr>
          <w:rFonts w:ascii="Times New Roman" w:hAnsi="Times New Roman" w:eastAsia="Times New Roman" w:cs="Times New Roman"/>
          <w:sz w:val="24"/>
          <w:szCs w:val="24"/>
          <w:spacing w:val="-1"/>
        </w:rPr>
        <w:t>W -</w:t>
      </w:r>
      <w:r>
        <w:rPr>
          <w:rFonts w:ascii="SimSun" w:hAnsi="SimSun" w:eastAsia="SimSun" w:cs="SimSun"/>
          <w:sz w:val="24"/>
          <w:szCs w:val="24"/>
          <w:spacing w:val="-1"/>
        </w:rPr>
        <w:t>水流的源和汇，</w:t>
      </w:r>
      <w:r>
        <w:rPr>
          <w:rFonts w:ascii="Times New Roman" w:hAnsi="Times New Roman" w:eastAsia="Times New Roman" w:cs="Times New Roman"/>
          <w:sz w:val="24"/>
          <w:szCs w:val="24"/>
          <w:spacing w:val="-1"/>
        </w:rPr>
        <w:t>1/d</w:t>
      </w:r>
      <w:r>
        <w:rPr>
          <w:rFonts w:ascii="SimSun" w:hAnsi="SimSun" w:eastAsia="SimSun" w:cs="SimSun"/>
          <w:sz w:val="24"/>
          <w:szCs w:val="24"/>
          <w:spacing w:val="-1"/>
        </w:rPr>
        <w:t>；</w:t>
      </w:r>
    </w:p>
    <w:p>
      <w:pPr>
        <w:ind w:left="602"/>
        <w:spacing w:before="183" w:line="210" w:lineRule="auto"/>
        <w:rPr>
          <w:rFonts w:ascii="SimSun" w:hAnsi="SimSun" w:eastAsia="SimSun" w:cs="SimSun"/>
          <w:sz w:val="24"/>
          <w:szCs w:val="24"/>
        </w:rPr>
      </w:pPr>
      <w:r>
        <w:rPr>
          <w:rFonts w:ascii="Times New Roman" w:hAnsi="Times New Roman" w:eastAsia="Times New Roman" w:cs="Times New Roman"/>
          <w:sz w:val="24"/>
          <w:szCs w:val="24"/>
          <w:spacing w:val="-1"/>
        </w:rPr>
        <w:t>Cs-</w:t>
      </w:r>
      <w:r>
        <w:rPr>
          <w:rFonts w:ascii="SimSun" w:hAnsi="SimSun" w:eastAsia="SimSun" w:cs="SimSun"/>
          <w:sz w:val="24"/>
          <w:szCs w:val="24"/>
          <w:spacing w:val="-1"/>
        </w:rPr>
        <w:t>组分的浓度，</w:t>
      </w:r>
      <w:r>
        <w:rPr>
          <w:rFonts w:ascii="Times New Roman" w:hAnsi="Times New Roman" w:eastAsia="Times New Roman" w:cs="Times New Roman"/>
          <w:sz w:val="24"/>
          <w:szCs w:val="24"/>
          <w:spacing w:val="-1"/>
        </w:rPr>
        <w:t>g/L</w:t>
      </w:r>
      <w:r>
        <w:rPr>
          <w:rFonts w:ascii="SimSun" w:hAnsi="SimSun" w:eastAsia="SimSun" w:cs="SimSun"/>
          <w:sz w:val="24"/>
          <w:szCs w:val="24"/>
          <w:spacing w:val="-1"/>
        </w:rPr>
        <w:t>；</w:t>
      </w:r>
    </w:p>
    <w:p>
      <w:pPr>
        <w:ind w:left="596"/>
        <w:spacing w:before="193" w:line="219" w:lineRule="auto"/>
        <w:rPr>
          <w:rFonts w:ascii="SimSun" w:hAnsi="SimSun" w:eastAsia="SimSun" w:cs="SimSun"/>
          <w:sz w:val="24"/>
          <w:szCs w:val="24"/>
        </w:rPr>
      </w:pPr>
      <w:r>
        <w:rPr>
          <w:rFonts w:ascii="Times New Roman" w:hAnsi="Times New Roman" w:eastAsia="Times New Roman" w:cs="Times New Roman"/>
          <w:sz w:val="24"/>
          <w:szCs w:val="24"/>
          <w:spacing w:val="-6"/>
        </w:rPr>
        <w:t>λ</w:t>
      </w:r>
      <w:r>
        <w:rPr>
          <w:rFonts w:ascii="Times New Roman" w:hAnsi="Times New Roman" w:eastAsia="Times New Roman" w:cs="Times New Roman"/>
          <w:sz w:val="24"/>
          <w:szCs w:val="24"/>
          <w:spacing w:val="-39"/>
        </w:rPr>
        <w:t xml:space="preserve"> </w:t>
      </w:r>
      <w:r>
        <w:rPr>
          <w:rFonts w:ascii="Times New Roman" w:hAnsi="Times New Roman" w:eastAsia="Times New Roman" w:cs="Times New Roman"/>
          <w:sz w:val="15"/>
          <w:szCs w:val="15"/>
          <w:spacing w:val="-6"/>
          <w:position w:val="-1"/>
        </w:rPr>
        <w:t>1  </w:t>
      </w:r>
      <w:r>
        <w:rPr>
          <w:rFonts w:ascii="Times New Roman" w:hAnsi="Times New Roman" w:eastAsia="Times New Roman" w:cs="Times New Roman"/>
          <w:sz w:val="24"/>
          <w:szCs w:val="24"/>
          <w:spacing w:val="-1"/>
        </w:rPr>
        <w:t>-</w:t>
      </w:r>
      <w:r>
        <w:rPr>
          <w:rFonts w:ascii="SimSun" w:hAnsi="SimSun" w:eastAsia="SimSun" w:cs="SimSun"/>
          <w:sz w:val="24"/>
          <w:szCs w:val="24"/>
          <w:spacing w:val="-1"/>
        </w:rPr>
        <w:t>溶解相一级反应速率，</w:t>
      </w:r>
      <w:r>
        <w:rPr>
          <w:rFonts w:ascii="Times New Roman" w:hAnsi="Times New Roman" w:eastAsia="Times New Roman" w:cs="Times New Roman"/>
          <w:sz w:val="24"/>
          <w:szCs w:val="24"/>
          <w:spacing w:val="-1"/>
        </w:rPr>
        <w:t>1/d</w:t>
      </w:r>
      <w:r>
        <w:rPr>
          <w:rFonts w:ascii="SimSun" w:hAnsi="SimSun" w:eastAsia="SimSun" w:cs="SimSun"/>
          <w:sz w:val="24"/>
          <w:szCs w:val="24"/>
          <w:spacing w:val="-1"/>
        </w:rPr>
        <w:t>；</w:t>
      </w:r>
    </w:p>
    <w:p>
      <w:pPr>
        <w:ind w:left="596"/>
        <w:spacing w:before="182" w:line="219" w:lineRule="auto"/>
        <w:rPr>
          <w:rFonts w:ascii="SimSun" w:hAnsi="SimSun" w:eastAsia="SimSun" w:cs="SimSun"/>
          <w:sz w:val="24"/>
          <w:szCs w:val="24"/>
        </w:rPr>
      </w:pPr>
      <w:r>
        <w:rPr>
          <w:rFonts w:ascii="Times New Roman" w:hAnsi="Times New Roman" w:eastAsia="Times New Roman" w:cs="Times New Roman"/>
          <w:sz w:val="24"/>
          <w:szCs w:val="24"/>
          <w:spacing w:val="-1"/>
        </w:rPr>
        <w:t>λ</w:t>
      </w:r>
      <w:r>
        <w:rPr>
          <w:rFonts w:ascii="Times New Roman" w:hAnsi="Times New Roman" w:eastAsia="Times New Roman" w:cs="Times New Roman"/>
          <w:sz w:val="15"/>
          <w:szCs w:val="15"/>
          <w:spacing w:val="-1"/>
        </w:rPr>
        <w:t>2</w:t>
      </w:r>
      <w:r>
        <w:rPr>
          <w:rFonts w:ascii="Times New Roman" w:hAnsi="Times New Roman" w:eastAsia="Times New Roman" w:cs="Times New Roman"/>
          <w:sz w:val="15"/>
          <w:szCs w:val="15"/>
          <w:spacing w:val="34"/>
          <w:w w:val="101"/>
        </w:rPr>
        <w:t xml:space="preserve"> </w:t>
      </w:r>
      <w:r>
        <w:rPr>
          <w:rFonts w:ascii="Times New Roman" w:hAnsi="Times New Roman" w:eastAsia="Times New Roman" w:cs="Times New Roman"/>
          <w:sz w:val="24"/>
          <w:szCs w:val="24"/>
          <w:spacing w:val="-1"/>
        </w:rPr>
        <w:t>-</w:t>
      </w:r>
      <w:r>
        <w:rPr>
          <w:rFonts w:ascii="SimSun" w:hAnsi="SimSun" w:eastAsia="SimSun" w:cs="SimSun"/>
          <w:sz w:val="24"/>
          <w:szCs w:val="24"/>
          <w:spacing w:val="-1"/>
        </w:rPr>
        <w:t>吸附相反应速率，</w:t>
      </w:r>
      <w:r>
        <w:rPr>
          <w:rFonts w:ascii="Times New Roman" w:hAnsi="Times New Roman" w:eastAsia="Times New Roman" w:cs="Times New Roman"/>
          <w:sz w:val="24"/>
          <w:szCs w:val="24"/>
          <w:spacing w:val="-1"/>
        </w:rPr>
        <w:t>1/d</w:t>
      </w:r>
      <w:r>
        <w:rPr>
          <w:rFonts w:ascii="SimSun" w:hAnsi="SimSun" w:eastAsia="SimSun" w:cs="SimSun"/>
          <w:sz w:val="24"/>
          <w:szCs w:val="24"/>
          <w:spacing w:val="-1"/>
        </w:rPr>
        <w:t>；</w:t>
      </w:r>
    </w:p>
    <w:p>
      <w:pPr>
        <w:ind w:left="601"/>
        <w:spacing w:before="182" w:line="212" w:lineRule="auto"/>
        <w:rPr>
          <w:rFonts w:ascii="SimSun" w:hAnsi="SimSun" w:eastAsia="SimSun" w:cs="SimSun"/>
          <w:sz w:val="24"/>
          <w:szCs w:val="24"/>
        </w:rPr>
      </w:pPr>
      <w:r>
        <w:rPr>
          <w:rFonts w:ascii="Times New Roman" w:hAnsi="Times New Roman" w:eastAsia="Times New Roman" w:cs="Times New Roman"/>
          <w:sz w:val="24"/>
          <w:szCs w:val="24"/>
          <w:spacing w:val="-4"/>
        </w:rPr>
        <w:t>c</w:t>
      </w:r>
      <w:r>
        <w:rPr>
          <w:rFonts w:ascii="Times New Roman" w:hAnsi="Times New Roman" w:eastAsia="Times New Roman" w:cs="Times New Roman"/>
          <w:sz w:val="15"/>
          <w:szCs w:val="15"/>
          <w:spacing w:val="-4"/>
        </w:rPr>
        <w:t>0</w:t>
      </w:r>
      <w:r>
        <w:rPr>
          <w:rFonts w:ascii="SimSun" w:hAnsi="SimSun" w:eastAsia="SimSun" w:cs="SimSun"/>
          <w:sz w:val="24"/>
          <w:szCs w:val="24"/>
          <w:spacing w:val="-3"/>
        </w:rPr>
        <w:t>（</w:t>
      </w:r>
      <w:r>
        <w:rPr>
          <w:rFonts w:ascii="Times New Roman" w:hAnsi="Times New Roman" w:eastAsia="Times New Roman" w:cs="Times New Roman"/>
          <w:sz w:val="24"/>
          <w:szCs w:val="24"/>
          <w:spacing w:val="-3"/>
        </w:rPr>
        <w:t>x</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y</w:t>
      </w:r>
      <w:r>
        <w:rPr>
          <w:rFonts w:ascii="SimSun" w:hAnsi="SimSun" w:eastAsia="SimSun" w:cs="SimSun"/>
          <w:sz w:val="24"/>
          <w:szCs w:val="24"/>
          <w:spacing w:val="-3"/>
        </w:rPr>
        <w:t>）</w:t>
      </w:r>
      <w:r>
        <w:rPr>
          <w:rFonts w:ascii="Times New Roman" w:hAnsi="Times New Roman" w:eastAsia="Times New Roman" w:cs="Times New Roman"/>
          <w:sz w:val="24"/>
          <w:szCs w:val="24"/>
          <w:spacing w:val="-3"/>
        </w:rPr>
        <w:t>-</w:t>
      </w:r>
      <w:r>
        <w:rPr>
          <w:rFonts w:ascii="SimSun" w:hAnsi="SimSun" w:eastAsia="SimSun" w:cs="SimSun"/>
          <w:sz w:val="24"/>
          <w:szCs w:val="24"/>
          <w:spacing w:val="-3"/>
        </w:rPr>
        <w:t>已知浓度分布；</w:t>
      </w:r>
    </w:p>
    <w:p>
      <w:pPr>
        <w:spacing w:line="212" w:lineRule="auto"/>
        <w:sectPr>
          <w:footerReference w:type="default" r:id="rId260"/>
          <w:pgSz w:w="11907" w:h="16840"/>
          <w:pgMar w:top="1567" w:right="1534" w:bottom="1921" w:left="1588" w:header="1221" w:footer="1247" w:gutter="0"/>
        </w:sectPr>
        <w:rPr>
          <w:rFonts w:ascii="SimSun" w:hAnsi="SimSun" w:eastAsia="SimSun" w:cs="SimSun"/>
          <w:sz w:val="24"/>
          <w:szCs w:val="24"/>
        </w:rPr>
      </w:pPr>
    </w:p>
    <w:p>
      <w:pPr>
        <w:ind w:left="631"/>
        <w:spacing w:before="188" w:line="210" w:lineRule="auto"/>
        <w:rPr>
          <w:rFonts w:ascii="SimSun" w:hAnsi="SimSun" w:eastAsia="SimSun" w:cs="SimSun"/>
          <w:sz w:val="24"/>
          <w:szCs w:val="24"/>
        </w:rPr>
      </w:pPr>
      <w:r>
        <w:pict>
          <v:shape id="_x0000_s930" style="position:absolute;margin-left:85.05pt;margin-top:79.11pt;mso-position-vertical-relative:page;mso-position-horizontal-relative:page;width:425.25pt;height:0.75pt;z-index:252080128;" o:allowincell="f" fillcolor="#000000" filled="true" stroked="false" coordsize="8505,15" coordorigin="0,0" path="m,l8505,0l8505,14l0,14l0,0xe"/>
        </w:pict>
      </w:r>
      <w:r>
        <w:rPr>
          <w:rFonts w:ascii="Times New Roman" w:hAnsi="Times New Roman" w:eastAsia="Times New Roman" w:cs="Times New Roman"/>
          <w:sz w:val="24"/>
          <w:szCs w:val="24"/>
          <w:spacing w:val="-7"/>
        </w:rPr>
        <w:t>C</w:t>
      </w:r>
      <w:r>
        <w:rPr>
          <w:rFonts w:ascii="SimSun" w:hAnsi="SimSun" w:eastAsia="SimSun" w:cs="SimSun"/>
          <w:sz w:val="24"/>
          <w:szCs w:val="24"/>
          <w:spacing w:val="-7"/>
        </w:rPr>
        <w:t>（</w:t>
      </w:r>
      <w:r>
        <w:rPr>
          <w:rFonts w:ascii="Times New Roman" w:hAnsi="Times New Roman" w:eastAsia="Times New Roman" w:cs="Times New Roman"/>
          <w:sz w:val="24"/>
          <w:szCs w:val="24"/>
          <w:spacing w:val="-7"/>
        </w:rPr>
        <w:t>x</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7"/>
        </w:rPr>
        <w:t>，</w:t>
      </w:r>
      <w:r>
        <w:rPr>
          <w:rFonts w:ascii="Times New Roman" w:hAnsi="Times New Roman" w:eastAsia="Times New Roman" w:cs="Times New Roman"/>
          <w:sz w:val="24"/>
          <w:szCs w:val="24"/>
          <w:spacing w:val="-7"/>
        </w:rPr>
        <w:t>y</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7"/>
        </w:rPr>
        <w:t>，</w:t>
      </w:r>
      <w:r>
        <w:rPr>
          <w:rFonts w:ascii="Times New Roman" w:hAnsi="Times New Roman" w:eastAsia="Times New Roman" w:cs="Times New Roman"/>
          <w:sz w:val="24"/>
          <w:szCs w:val="24"/>
          <w:spacing w:val="-7"/>
        </w:rPr>
        <w:t>t</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7"/>
        </w:rPr>
        <w:t>）</w:t>
      </w:r>
      <w:r>
        <w:rPr>
          <w:rFonts w:ascii="Times New Roman" w:hAnsi="Times New Roman" w:eastAsia="Times New Roman" w:cs="Times New Roman"/>
          <w:sz w:val="24"/>
          <w:szCs w:val="24"/>
          <w:spacing w:val="-7"/>
        </w:rPr>
        <w:t>-</w:t>
      </w:r>
      <w:r>
        <w:rPr>
          <w:rFonts w:ascii="SimSun" w:hAnsi="SimSun" w:eastAsia="SimSun" w:cs="SimSun"/>
          <w:sz w:val="24"/>
          <w:szCs w:val="24"/>
          <w:spacing w:val="-7"/>
        </w:rPr>
        <w:t>定浓度边界；</w:t>
      </w:r>
    </w:p>
    <w:p>
      <w:pPr>
        <w:ind w:left="629"/>
        <w:spacing w:before="191" w:line="219" w:lineRule="auto"/>
        <w:rPr>
          <w:rFonts w:ascii="SimSun" w:hAnsi="SimSun" w:eastAsia="SimSun" w:cs="SimSun"/>
          <w:sz w:val="24"/>
          <w:szCs w:val="24"/>
        </w:rPr>
      </w:pPr>
      <w:r>
        <w:rPr>
          <w:rFonts w:ascii="Times New Roman" w:hAnsi="Times New Roman" w:eastAsia="Times New Roman" w:cs="Times New Roman"/>
          <w:sz w:val="24"/>
          <w:szCs w:val="24"/>
          <w:spacing w:val="-1"/>
        </w:rPr>
        <w:t>Ω-</w:t>
      </w:r>
      <w:r>
        <w:rPr>
          <w:rFonts w:ascii="SimSun" w:hAnsi="SimSun" w:eastAsia="SimSun" w:cs="SimSun"/>
          <w:sz w:val="24"/>
          <w:szCs w:val="24"/>
          <w:spacing w:val="-1"/>
        </w:rPr>
        <w:t>模型模拟区域。</w:t>
      </w:r>
    </w:p>
    <w:p>
      <w:pPr>
        <w:ind w:left="629"/>
        <w:spacing w:before="181" w:line="217" w:lineRule="auto"/>
        <w:rPr>
          <w:rFonts w:ascii="SimSun" w:hAnsi="SimSun" w:eastAsia="SimSun" w:cs="SimSun"/>
          <w:sz w:val="24"/>
          <w:szCs w:val="24"/>
        </w:rPr>
      </w:pPr>
      <w:r>
        <w:rPr>
          <w:rFonts w:ascii="SimSun" w:hAnsi="SimSun" w:eastAsia="SimSun" w:cs="SimSun"/>
          <w:sz w:val="24"/>
          <w:szCs w:val="24"/>
          <w:spacing w:val="-1"/>
        </w:rPr>
        <w:t>②溶质迁移模型参数</w:t>
      </w:r>
    </w:p>
    <w:p>
      <w:pPr>
        <w:ind w:left="150" w:right="140" w:firstLine="480"/>
        <w:spacing w:before="187" w:line="359" w:lineRule="auto"/>
        <w:rPr>
          <w:rFonts w:ascii="SimSun" w:hAnsi="SimSun" w:eastAsia="SimSun" w:cs="SimSun"/>
          <w:sz w:val="24"/>
          <w:szCs w:val="24"/>
        </w:rPr>
      </w:pPr>
      <w:r>
        <w:rPr>
          <w:rFonts w:ascii="SimSun" w:hAnsi="SimSun" w:eastAsia="SimSun" w:cs="SimSun"/>
          <w:sz w:val="24"/>
          <w:szCs w:val="24"/>
          <w:spacing w:val="3"/>
        </w:rPr>
        <w:t>地下水溶质运移模型参数主要包括弥散度和有效孔隙度。有效孔隙</w:t>
      </w:r>
      <w:r>
        <w:rPr>
          <w:rFonts w:ascii="SimSun" w:hAnsi="SimSun" w:eastAsia="SimSun" w:cs="SimSun"/>
          <w:sz w:val="24"/>
          <w:szCs w:val="24"/>
          <w:spacing w:val="2"/>
        </w:rPr>
        <w:t>度根据厂</w:t>
      </w:r>
      <w:r>
        <w:rPr>
          <w:rFonts w:ascii="SimSun" w:hAnsi="SimSun" w:eastAsia="SimSun" w:cs="SimSun"/>
          <w:sz w:val="24"/>
          <w:szCs w:val="24"/>
        </w:rPr>
        <w:t xml:space="preserve"> </w:t>
      </w:r>
      <w:r>
        <w:rPr>
          <w:rFonts w:ascii="SimSun" w:hAnsi="SimSun" w:eastAsia="SimSun" w:cs="SimSun"/>
          <w:sz w:val="24"/>
          <w:szCs w:val="24"/>
          <w:spacing w:val="3"/>
        </w:rPr>
        <w:t>区内工堪实测的孔隙率数据结合经验值确定。弥散度的确</w:t>
      </w:r>
      <w:r>
        <w:rPr>
          <w:rFonts w:ascii="SimSun" w:hAnsi="SimSun" w:eastAsia="SimSun" w:cs="SimSun"/>
          <w:sz w:val="24"/>
          <w:szCs w:val="24"/>
          <w:spacing w:val="2"/>
        </w:rPr>
        <w:t>定相对比较困难，通常</w:t>
      </w:r>
      <w:r>
        <w:rPr>
          <w:rFonts w:ascii="SimSun" w:hAnsi="SimSun" w:eastAsia="SimSun" w:cs="SimSun"/>
          <w:sz w:val="24"/>
          <w:szCs w:val="24"/>
        </w:rPr>
        <w:t xml:space="preserve"> </w:t>
      </w:r>
      <w:r>
        <w:rPr>
          <w:rFonts w:ascii="SimSun" w:hAnsi="SimSun" w:eastAsia="SimSun" w:cs="SimSun"/>
          <w:sz w:val="24"/>
          <w:szCs w:val="24"/>
          <w:spacing w:val="3"/>
        </w:rPr>
        <w:t>空隙介质中的弥散度随着溶质扩散距离的增加而增大，这</w:t>
      </w:r>
      <w:r>
        <w:rPr>
          <w:rFonts w:ascii="SimSun" w:hAnsi="SimSun" w:eastAsia="SimSun" w:cs="SimSun"/>
          <w:sz w:val="24"/>
          <w:szCs w:val="24"/>
          <w:spacing w:val="2"/>
        </w:rPr>
        <w:t>种现象称之为水动力弥</w:t>
      </w:r>
      <w:r>
        <w:rPr>
          <w:rFonts w:ascii="SimSun" w:hAnsi="SimSun" w:eastAsia="SimSun" w:cs="SimSun"/>
          <w:sz w:val="24"/>
          <w:szCs w:val="24"/>
        </w:rPr>
        <w:t xml:space="preserve"> </w:t>
      </w:r>
      <w:r>
        <w:rPr>
          <w:rFonts w:ascii="SimSun" w:hAnsi="SimSun" w:eastAsia="SimSun" w:cs="SimSun"/>
          <w:sz w:val="24"/>
          <w:szCs w:val="24"/>
          <w:spacing w:val="3"/>
        </w:rPr>
        <w:t>散尺度效应。其具体表现为：野外弥散试验所求出的弥散</w:t>
      </w:r>
      <w:r>
        <w:rPr>
          <w:rFonts w:ascii="SimSun" w:hAnsi="SimSun" w:eastAsia="SimSun" w:cs="SimSun"/>
          <w:sz w:val="24"/>
          <w:szCs w:val="24"/>
          <w:spacing w:val="2"/>
        </w:rPr>
        <w:t>度远远大于在实验室所</w:t>
      </w:r>
      <w:r>
        <w:rPr>
          <w:rFonts w:ascii="SimSun" w:hAnsi="SimSun" w:eastAsia="SimSun" w:cs="SimSun"/>
          <w:sz w:val="24"/>
          <w:szCs w:val="24"/>
        </w:rPr>
        <w:t xml:space="preserve"> </w:t>
      </w:r>
      <w:r>
        <w:rPr>
          <w:rFonts w:ascii="SimSun" w:hAnsi="SimSun" w:eastAsia="SimSun" w:cs="SimSun"/>
          <w:sz w:val="24"/>
          <w:szCs w:val="24"/>
          <w:spacing w:val="2"/>
        </w:rPr>
        <w:t>测出的值，相差可达</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4~5 </w:t>
      </w:r>
      <w:r>
        <w:rPr>
          <w:rFonts w:ascii="SimSun" w:hAnsi="SimSun" w:eastAsia="SimSun" w:cs="SimSun"/>
          <w:sz w:val="24"/>
          <w:szCs w:val="24"/>
          <w:spacing w:val="2"/>
        </w:rPr>
        <w:t>个数量级。即使是同一含水层，溶质扩散距离越大，所</w:t>
      </w:r>
      <w:r>
        <w:rPr>
          <w:rFonts w:ascii="SimSun" w:hAnsi="SimSun" w:eastAsia="SimSun" w:cs="SimSun"/>
          <w:sz w:val="24"/>
          <w:szCs w:val="24"/>
        </w:rPr>
        <w:t xml:space="preserve"> </w:t>
      </w:r>
      <w:r>
        <w:rPr>
          <w:rFonts w:ascii="SimSun" w:hAnsi="SimSun" w:eastAsia="SimSun" w:cs="SimSun"/>
          <w:sz w:val="24"/>
          <w:szCs w:val="24"/>
          <w:spacing w:val="3"/>
        </w:rPr>
        <w:t>计算出的弥散度也越大。因此，结合收集的野外弥散试验</w:t>
      </w:r>
      <w:r>
        <w:rPr>
          <w:rFonts w:ascii="SimSun" w:hAnsi="SimSun" w:eastAsia="SimSun" w:cs="SimSun"/>
          <w:sz w:val="24"/>
          <w:szCs w:val="24"/>
          <w:spacing w:val="2"/>
        </w:rPr>
        <w:t>结果和参考前人的研究</w:t>
      </w:r>
      <w:r>
        <w:rPr>
          <w:rFonts w:ascii="SimSun" w:hAnsi="SimSun" w:eastAsia="SimSun" w:cs="SimSun"/>
          <w:sz w:val="24"/>
          <w:szCs w:val="24"/>
        </w:rPr>
        <w:t xml:space="preserve"> </w:t>
      </w:r>
      <w:r>
        <w:rPr>
          <w:rFonts w:ascii="SimSun" w:hAnsi="SimSun" w:eastAsia="SimSun" w:cs="SimSun"/>
          <w:sz w:val="24"/>
          <w:szCs w:val="24"/>
          <w:spacing w:val="-2"/>
        </w:rPr>
        <w:t>成果（李国敏，地球科学，</w:t>
      </w:r>
      <w:r>
        <w:rPr>
          <w:rFonts w:ascii="Times New Roman" w:hAnsi="Times New Roman" w:eastAsia="Times New Roman" w:cs="Times New Roman"/>
          <w:sz w:val="24"/>
          <w:szCs w:val="24"/>
          <w:spacing w:val="-2"/>
        </w:rPr>
        <w:t>1995</w:t>
      </w:r>
      <w:r>
        <w:rPr>
          <w:rFonts w:ascii="SimSun" w:hAnsi="SimSun" w:eastAsia="SimSun" w:cs="SimSun"/>
          <w:sz w:val="24"/>
          <w:szCs w:val="24"/>
          <w:spacing w:val="7"/>
        </w:rPr>
        <w:t>），</w:t>
      </w:r>
      <w:r>
        <w:rPr>
          <w:rFonts w:ascii="SimSun" w:hAnsi="SimSun" w:eastAsia="SimSun" w:cs="SimSun"/>
          <w:sz w:val="24"/>
          <w:szCs w:val="24"/>
          <w:spacing w:val="-2"/>
        </w:rPr>
        <w:t>纵向弥散度取</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10m</w:t>
      </w:r>
      <w:r>
        <w:rPr>
          <w:rFonts w:ascii="SimSun" w:hAnsi="SimSun" w:eastAsia="SimSun" w:cs="SimSun"/>
          <w:sz w:val="24"/>
          <w:szCs w:val="24"/>
          <w:spacing w:val="-2"/>
        </w:rPr>
        <w:t>。</w:t>
      </w:r>
    </w:p>
    <w:p>
      <w:pPr>
        <w:ind w:left="150"/>
        <w:spacing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5.3.2.2 </w:t>
      </w:r>
      <w:r>
        <w:rPr>
          <w:rFonts w:ascii="SimSun" w:hAnsi="SimSun" w:eastAsia="SimSun" w:cs="SimSun"/>
          <w:sz w:val="24"/>
          <w:szCs w:val="24"/>
          <w:b/>
          <w:bCs/>
          <w:spacing w:val="-2"/>
        </w:rPr>
        <w:t>地下水污染预测情景及源强</w:t>
      </w:r>
    </w:p>
    <w:p>
      <w:pPr>
        <w:ind w:left="153" w:right="199" w:firstLine="479"/>
        <w:spacing w:before="181" w:line="362" w:lineRule="auto"/>
        <w:rPr>
          <w:rFonts w:ascii="SimSun" w:hAnsi="SimSun" w:eastAsia="SimSun" w:cs="SimSun"/>
          <w:sz w:val="24"/>
          <w:szCs w:val="24"/>
        </w:rPr>
      </w:pPr>
      <w:r>
        <w:rPr>
          <w:rFonts w:ascii="SimSun" w:hAnsi="SimSun" w:eastAsia="SimSun" w:cs="SimSun"/>
          <w:sz w:val="24"/>
          <w:szCs w:val="24"/>
          <w:spacing w:val="1"/>
        </w:rPr>
        <w:t>本次评价首先对本项目厂区所有工程单元逐单元进行地下水污染风险识别，</w:t>
      </w:r>
      <w:r>
        <w:rPr>
          <w:rFonts w:ascii="SimSun" w:hAnsi="SimSun" w:eastAsia="SimSun" w:cs="SimSun"/>
          <w:sz w:val="24"/>
          <w:szCs w:val="24"/>
          <w:spacing w:val="2"/>
        </w:rPr>
        <w:t xml:space="preserve"> </w:t>
      </w:r>
      <w:r>
        <w:rPr>
          <w:rFonts w:ascii="SimSun" w:hAnsi="SimSun" w:eastAsia="SimSun" w:cs="SimSun"/>
          <w:sz w:val="24"/>
          <w:szCs w:val="24"/>
          <w:spacing w:val="-2"/>
        </w:rPr>
        <w:t>识别结果见下表。</w:t>
      </w:r>
    </w:p>
    <w:p>
      <w:pPr>
        <w:ind w:left="2375"/>
        <w:spacing w:before="112"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5.3-3      </w:t>
      </w:r>
      <w:r>
        <w:rPr>
          <w:rFonts w:ascii="SimSun" w:hAnsi="SimSun" w:eastAsia="SimSun" w:cs="SimSun"/>
          <w:sz w:val="24"/>
          <w:szCs w:val="24"/>
          <w:b/>
          <w:bCs/>
          <w:spacing w:val="-2"/>
        </w:rPr>
        <w:t>地下水污染风险识别一览表</w:t>
      </w:r>
    </w:p>
    <w:tbl>
      <w:tblPr>
        <w:tblStyle w:val="TableNormal"/>
        <w:tblW w:w="87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79"/>
        <w:gridCol w:w="1118"/>
        <w:gridCol w:w="1230"/>
        <w:gridCol w:w="2419"/>
        <w:gridCol w:w="3237"/>
      </w:tblGrid>
      <w:tr>
        <w:trPr>
          <w:trHeight w:val="553" w:hRule="atLeast"/>
        </w:trPr>
        <w:tc>
          <w:tcPr>
            <w:tcW w:w="779" w:type="dxa"/>
            <w:vAlign w:val="top"/>
          </w:tcPr>
          <w:p>
            <w:pPr>
              <w:pStyle w:val="TableText"/>
              <w:ind w:left="186"/>
              <w:spacing w:before="169" w:line="228" w:lineRule="auto"/>
              <w:rPr/>
            </w:pPr>
            <w:r>
              <w:rPr>
                <w:spacing w:val="3"/>
              </w:rPr>
              <w:t>厂区</w:t>
            </w:r>
          </w:p>
        </w:tc>
        <w:tc>
          <w:tcPr>
            <w:tcW w:w="1118" w:type="dxa"/>
            <w:vAlign w:val="top"/>
          </w:tcPr>
          <w:p>
            <w:pPr>
              <w:pStyle w:val="TableText"/>
              <w:ind w:left="157"/>
              <w:spacing w:before="168" w:line="228" w:lineRule="auto"/>
              <w:rPr/>
            </w:pPr>
            <w:r>
              <w:rPr>
                <w:spacing w:val="3"/>
              </w:rPr>
              <w:t>区域名称</w:t>
            </w:r>
          </w:p>
        </w:tc>
        <w:tc>
          <w:tcPr>
            <w:tcW w:w="1230" w:type="dxa"/>
            <w:vAlign w:val="top"/>
          </w:tcPr>
          <w:p>
            <w:pPr>
              <w:pStyle w:val="TableText"/>
              <w:ind w:left="199"/>
              <w:spacing w:before="34" w:line="228" w:lineRule="auto"/>
              <w:rPr/>
            </w:pPr>
            <w:r>
              <w:rPr>
                <w:spacing w:val="7"/>
              </w:rPr>
              <w:t>地下水污</w:t>
            </w:r>
          </w:p>
          <w:p>
            <w:pPr>
              <w:pStyle w:val="TableText"/>
              <w:ind w:left="203"/>
              <w:spacing w:before="27" w:line="216" w:lineRule="auto"/>
              <w:rPr/>
            </w:pPr>
            <w:r>
              <w:rPr>
                <w:spacing w:val="6"/>
              </w:rPr>
              <w:t>染风险源</w:t>
            </w:r>
          </w:p>
        </w:tc>
        <w:tc>
          <w:tcPr>
            <w:tcW w:w="2419" w:type="dxa"/>
            <w:vAlign w:val="top"/>
          </w:tcPr>
          <w:p>
            <w:pPr>
              <w:pStyle w:val="TableText"/>
              <w:ind w:left="800"/>
              <w:spacing w:before="169" w:line="228" w:lineRule="auto"/>
              <w:rPr/>
            </w:pPr>
            <w:r>
              <w:rPr>
                <w:spacing w:val="6"/>
              </w:rPr>
              <w:t>处理措施</w:t>
            </w:r>
          </w:p>
        </w:tc>
        <w:tc>
          <w:tcPr>
            <w:tcW w:w="3237" w:type="dxa"/>
            <w:vAlign w:val="top"/>
          </w:tcPr>
          <w:p>
            <w:pPr>
              <w:pStyle w:val="TableText"/>
              <w:ind w:left="678"/>
              <w:spacing w:before="168" w:line="228" w:lineRule="auto"/>
              <w:rPr/>
            </w:pPr>
            <w:r>
              <w:rPr>
                <w:spacing w:val="8"/>
              </w:rPr>
              <w:t>地下水污染风险识别</w:t>
            </w:r>
          </w:p>
        </w:tc>
      </w:tr>
      <w:tr>
        <w:trPr>
          <w:trHeight w:val="1638" w:hRule="atLeast"/>
        </w:trPr>
        <w:tc>
          <w:tcPr>
            <w:tcW w:w="779" w:type="dxa"/>
            <w:vAlign w:val="top"/>
            <w:vMerge w:val="restart"/>
            <w:textDirection w:val="tbRlV"/>
            <w:tcBorders>
              <w:bottom w:val="nil"/>
            </w:tcBorders>
          </w:tcPr>
          <w:p>
            <w:pPr>
              <w:spacing w:line="377" w:lineRule="auto"/>
              <w:rPr>
                <w:rFonts w:ascii="Arial"/>
                <w:sz w:val="21"/>
              </w:rPr>
            </w:pPr>
            <w:r>
              <w:pict>
                <v:shape id="_x0000_s932" style="position:absolute;margin-left:-16.3371pt;margin-top:82.7635pt;mso-position-vertical-relative:top-margin-area;mso-position-horizontal-relative:right-margin-area;width:11.95pt;height:14.4pt;z-index:252081152;" filled="false" stroked="false" type="#_x0000_t202">
                  <v:fill on="false"/>
                  <v:stroke on="false"/>
                  <v:path/>
                  <v:imagedata o:title=""/>
                  <o:lock v:ext="edit" aspectratio="false"/>
                  <v:textbox inset="0mm,0mm,0mm,0mm">
                    <w:txbxContent>
                      <w:p>
                        <w:pPr>
                          <w:pStyle w:val="TableText"/>
                          <w:ind w:left="20"/>
                          <w:spacing w:before="20" w:line="228" w:lineRule="auto"/>
                          <w:rPr/>
                        </w:pPr>
                        <w:r>
                          <w:rPr/>
                          <w:t>厂</w:t>
                        </w:r>
                      </w:p>
                    </w:txbxContent>
                  </v:textbox>
                </v:shape>
              </w:pict>
            </w:r>
            <w:r/>
          </w:p>
          <w:p>
            <w:pPr>
              <w:pStyle w:val="TableText"/>
              <w:ind w:left="1675"/>
              <w:spacing w:before="67" w:line="209" w:lineRule="auto"/>
              <w:rPr/>
            </w:pPr>
            <w:r>
              <w:rPr>
                <w:spacing w:val="8"/>
              </w:rPr>
              <w:t>东</w:t>
            </w:r>
            <w:r>
              <w:rPr>
                <w:spacing w:val="-38"/>
              </w:rPr>
              <w:t xml:space="preserve"> </w:t>
            </w:r>
            <w:r>
              <w:rPr>
                <w:spacing w:val="8"/>
              </w:rPr>
              <w:t>区</w:t>
            </w:r>
          </w:p>
        </w:tc>
        <w:tc>
          <w:tcPr>
            <w:tcW w:w="1118" w:type="dxa"/>
            <w:vAlign w:val="top"/>
          </w:tcPr>
          <w:p>
            <w:pPr>
              <w:spacing w:line="254" w:lineRule="auto"/>
              <w:rPr>
                <w:rFonts w:ascii="Arial"/>
                <w:sz w:val="21"/>
              </w:rPr>
            </w:pPr>
            <w:r/>
          </w:p>
          <w:p>
            <w:pPr>
              <w:spacing w:line="254" w:lineRule="auto"/>
              <w:rPr>
                <w:rFonts w:ascii="Arial"/>
                <w:sz w:val="21"/>
              </w:rPr>
            </w:pPr>
            <w:r/>
          </w:p>
          <w:p>
            <w:pPr>
              <w:pStyle w:val="TableText"/>
              <w:ind w:left="116" w:right="105" w:hanging="4"/>
              <w:spacing w:before="65" w:line="254" w:lineRule="auto"/>
              <w:rPr/>
            </w:pPr>
            <w:r>
              <w:rPr>
                <w:spacing w:val="23"/>
              </w:rPr>
              <w:t>洗毛车间</w:t>
            </w:r>
            <w:r>
              <w:rPr>
                <w:spacing w:val="2"/>
              </w:rPr>
              <w:t xml:space="preserve"> </w:t>
            </w:r>
            <w:r>
              <w:rPr/>
              <w:t>一</w:t>
            </w:r>
          </w:p>
        </w:tc>
        <w:tc>
          <w:tcPr>
            <w:tcW w:w="1230" w:type="dxa"/>
            <w:vAlign w:val="top"/>
          </w:tcPr>
          <w:p>
            <w:pPr>
              <w:spacing w:line="371" w:lineRule="auto"/>
              <w:rPr>
                <w:rFonts w:ascii="Arial"/>
                <w:sz w:val="21"/>
              </w:rPr>
            </w:pPr>
            <w:r/>
          </w:p>
          <w:p>
            <w:pPr>
              <w:pStyle w:val="TableText"/>
              <w:ind w:left="198"/>
              <w:spacing w:before="65" w:line="228" w:lineRule="auto"/>
              <w:rPr/>
            </w:pPr>
            <w:r>
              <w:rPr>
                <w:spacing w:val="7"/>
              </w:rPr>
              <w:t>废水收集</w:t>
            </w:r>
          </w:p>
          <w:p>
            <w:pPr>
              <w:pStyle w:val="TableText"/>
              <w:ind w:left="199"/>
              <w:spacing w:before="27" w:line="228" w:lineRule="auto"/>
              <w:rPr/>
            </w:pPr>
            <w:r>
              <w:rPr>
                <w:spacing w:val="7"/>
              </w:rPr>
              <w:t>池渗漏污</w:t>
            </w:r>
          </w:p>
          <w:p>
            <w:pPr>
              <w:pStyle w:val="TableText"/>
              <w:ind w:left="203"/>
              <w:spacing w:before="23" w:line="228" w:lineRule="auto"/>
              <w:rPr/>
            </w:pPr>
            <w:r>
              <w:rPr>
                <w:spacing w:val="6"/>
              </w:rPr>
              <w:t>染地下水</w:t>
            </w:r>
          </w:p>
        </w:tc>
        <w:tc>
          <w:tcPr>
            <w:tcW w:w="2419" w:type="dxa"/>
            <w:vAlign w:val="top"/>
          </w:tcPr>
          <w:p>
            <w:pPr>
              <w:pStyle w:val="TableText"/>
              <w:ind w:left="166"/>
              <w:spacing w:before="304" w:line="227" w:lineRule="auto"/>
              <w:rPr/>
            </w:pPr>
            <w:r>
              <w:rPr>
                <w:spacing w:val="9"/>
              </w:rPr>
              <w:t>车间地面、池体采取防</w:t>
            </w:r>
          </w:p>
          <w:p>
            <w:pPr>
              <w:pStyle w:val="TableText"/>
              <w:ind w:left="165"/>
              <w:spacing w:before="25" w:line="228" w:lineRule="auto"/>
              <w:rPr/>
            </w:pPr>
            <w:r>
              <w:rPr>
                <w:spacing w:val="9"/>
              </w:rPr>
              <w:t>渗防腐措施，达到渗透</w:t>
            </w:r>
          </w:p>
          <w:p>
            <w:pPr>
              <w:pStyle w:val="TableText"/>
              <w:ind w:left="205"/>
              <w:spacing w:before="24" w:line="228" w:lineRule="auto"/>
              <w:rPr/>
            </w:pPr>
            <w:r>
              <w:rPr>
                <w:spacing w:val="3"/>
              </w:rPr>
              <w:t>系数</w:t>
            </w:r>
            <w:r>
              <w:rPr>
                <w:spacing w:val="-34"/>
              </w:rPr>
              <w:t xml:space="preserve"> </w:t>
            </w:r>
            <w:r>
              <w:rPr>
                <w:rFonts w:ascii="Times New Roman" w:hAnsi="Times New Roman" w:eastAsia="Times New Roman" w:cs="Times New Roman"/>
                <w:spacing w:val="3"/>
              </w:rPr>
              <w:t>K</w:t>
            </w:r>
            <w:r>
              <w:rPr>
                <w:spacing w:val="3"/>
              </w:rPr>
              <w:t>≤</w:t>
            </w:r>
            <w:r>
              <w:rPr>
                <w:rFonts w:ascii="Times New Roman" w:hAnsi="Times New Roman" w:eastAsia="Times New Roman" w:cs="Times New Roman"/>
                <w:spacing w:val="3"/>
              </w:rPr>
              <w:t>10</w:t>
            </w:r>
            <w:r>
              <w:rPr>
                <w:rFonts w:ascii="Times New Roman" w:hAnsi="Times New Roman" w:eastAsia="Times New Roman" w:cs="Times New Roman"/>
                <w:sz w:val="13"/>
                <w:szCs w:val="13"/>
                <w:spacing w:val="3"/>
                <w:position w:val="6"/>
              </w:rPr>
              <w:t>-7</w:t>
            </w:r>
            <w:r>
              <w:rPr>
                <w:rFonts w:ascii="Times New Roman" w:hAnsi="Times New Roman" w:eastAsia="Times New Roman" w:cs="Times New Roman"/>
                <w:sz w:val="13"/>
                <w:szCs w:val="13"/>
                <w:spacing w:val="27"/>
                <w:w w:val="101"/>
                <w:position w:val="6"/>
              </w:rPr>
              <w:t xml:space="preserve"> </w:t>
            </w:r>
            <w:r>
              <w:rPr>
                <w:spacing w:val="3"/>
              </w:rPr>
              <w:t>的防渗性</w:t>
            </w:r>
          </w:p>
          <w:p>
            <w:pPr>
              <w:pStyle w:val="TableText"/>
              <w:ind w:left="1013"/>
              <w:spacing w:before="27" w:line="229" w:lineRule="auto"/>
              <w:rPr/>
            </w:pPr>
            <w:r>
              <w:rPr>
                <w:spacing w:val="-4"/>
              </w:rPr>
              <w:t>能。</w:t>
            </w:r>
          </w:p>
        </w:tc>
        <w:tc>
          <w:tcPr>
            <w:tcW w:w="3237" w:type="dxa"/>
            <w:vAlign w:val="top"/>
          </w:tcPr>
          <w:p>
            <w:pPr>
              <w:pStyle w:val="TableText"/>
              <w:ind w:left="157"/>
              <w:spacing w:before="31" w:line="227" w:lineRule="auto"/>
              <w:rPr/>
            </w:pPr>
            <w:r>
              <w:rPr>
                <w:spacing w:val="8"/>
              </w:rPr>
              <w:t>正常状况下车间地面、池体采取</w:t>
            </w:r>
          </w:p>
          <w:p>
            <w:pPr>
              <w:pStyle w:val="TableText"/>
              <w:ind w:left="139"/>
              <w:spacing w:before="27" w:line="228" w:lineRule="auto"/>
              <w:rPr/>
            </w:pPr>
            <w:r>
              <w:rPr>
                <w:spacing w:val="7"/>
              </w:rPr>
              <w:t>防渗防腐措施，渗透系数＜</w:t>
            </w:r>
            <w:r>
              <w:rPr>
                <w:rFonts w:ascii="Times New Roman" w:hAnsi="Times New Roman" w:eastAsia="Times New Roman" w:cs="Times New Roman"/>
                <w:spacing w:val="7"/>
              </w:rPr>
              <w:t>1.0</w:t>
            </w:r>
            <w:r>
              <w:rPr>
                <w:spacing w:val="7"/>
              </w:rPr>
              <w:t>×</w:t>
            </w:r>
          </w:p>
          <w:p>
            <w:pPr>
              <w:pStyle w:val="TableText"/>
              <w:ind w:left="131"/>
              <w:spacing w:before="24" w:line="224" w:lineRule="auto"/>
              <w:rPr/>
            </w:pPr>
            <w:r>
              <w:rPr>
                <w:rFonts w:ascii="Times New Roman" w:hAnsi="Times New Roman" w:eastAsia="Times New Roman" w:cs="Times New Roman"/>
                <w:spacing w:val="4"/>
              </w:rPr>
              <w:t>10</w:t>
            </w:r>
            <w:r>
              <w:rPr>
                <w:rFonts w:ascii="Times New Roman" w:hAnsi="Times New Roman" w:eastAsia="Times New Roman" w:cs="Times New Roman"/>
                <w:sz w:val="13"/>
                <w:szCs w:val="13"/>
                <w:spacing w:val="4"/>
                <w:position w:val="6"/>
              </w:rPr>
              <w:t>-7</w:t>
            </w:r>
            <w:r>
              <w:rPr>
                <w:rFonts w:ascii="Times New Roman" w:hAnsi="Times New Roman" w:eastAsia="Times New Roman" w:cs="Times New Roman"/>
              </w:rPr>
              <w:t>cm</w:t>
            </w:r>
            <w:r>
              <w:rPr>
                <w:rFonts w:ascii="Times New Roman" w:hAnsi="Times New Roman" w:eastAsia="Times New Roman" w:cs="Times New Roman"/>
                <w:spacing w:val="4"/>
              </w:rPr>
              <w:t>/s</w:t>
            </w:r>
            <w:r>
              <w:rPr>
                <w:rFonts w:ascii="Times New Roman" w:hAnsi="Times New Roman" w:eastAsia="Times New Roman" w:cs="Times New Roman"/>
                <w:spacing w:val="-13"/>
              </w:rPr>
              <w:t xml:space="preserve"> </w:t>
            </w:r>
            <w:r>
              <w:rPr>
                <w:spacing w:val="4"/>
              </w:rPr>
              <w:t>，不会污染地下水。非正</w:t>
            </w:r>
          </w:p>
          <w:p>
            <w:pPr>
              <w:pStyle w:val="TableText"/>
              <w:ind w:left="263"/>
              <w:spacing w:before="30" w:line="227" w:lineRule="auto"/>
              <w:rPr/>
            </w:pPr>
            <w:r>
              <w:rPr>
                <w:spacing w:val="8"/>
              </w:rPr>
              <w:t>常工况池体防渗层破损较难发</w:t>
            </w:r>
          </w:p>
          <w:p>
            <w:pPr>
              <w:pStyle w:val="TableText"/>
              <w:ind w:right="14"/>
              <w:spacing w:before="25" w:line="224" w:lineRule="auto"/>
              <w:jc w:val="right"/>
              <w:rPr/>
            </w:pPr>
            <w:r>
              <w:rPr>
                <w:spacing w:val="6"/>
              </w:rPr>
              <w:t>现，可能会发生持续性泄漏事故，</w:t>
            </w:r>
          </w:p>
          <w:p>
            <w:pPr>
              <w:pStyle w:val="TableText"/>
              <w:ind w:left="469"/>
              <w:spacing w:before="30" w:line="216" w:lineRule="auto"/>
              <w:rPr/>
            </w:pPr>
            <w:r>
              <w:rPr>
                <w:spacing w:val="8"/>
              </w:rPr>
              <w:t>对地下水环境影响较大。</w:t>
            </w:r>
          </w:p>
        </w:tc>
      </w:tr>
      <w:tr>
        <w:trPr>
          <w:trHeight w:val="1366" w:hRule="atLeast"/>
        </w:trPr>
        <w:tc>
          <w:tcPr>
            <w:tcW w:w="779" w:type="dxa"/>
            <w:vAlign w:val="top"/>
            <w:vMerge w:val="continue"/>
            <w:textDirection w:val="tbRlV"/>
            <w:tcBorders>
              <w:top w:val="nil"/>
              <w:bottom w:val="nil"/>
            </w:tcBorders>
          </w:tcPr>
          <w:p>
            <w:pPr>
              <w:rPr>
                <w:rFonts w:ascii="Arial"/>
                <w:sz w:val="21"/>
              </w:rPr>
            </w:pPr>
            <w:r/>
          </w:p>
        </w:tc>
        <w:tc>
          <w:tcPr>
            <w:tcW w:w="1118" w:type="dxa"/>
            <w:vAlign w:val="top"/>
          </w:tcPr>
          <w:p>
            <w:pPr>
              <w:pStyle w:val="TableText"/>
              <w:ind w:left="117"/>
              <w:spacing w:before="31" w:line="228" w:lineRule="auto"/>
              <w:rPr/>
            </w:pPr>
            <w:r>
              <w:rPr>
                <w:spacing w:val="22"/>
              </w:rPr>
              <w:t>原毛库房</w:t>
            </w:r>
          </w:p>
          <w:p>
            <w:pPr>
              <w:pStyle w:val="TableText"/>
              <w:ind w:left="116"/>
              <w:spacing w:before="26" w:line="232" w:lineRule="auto"/>
              <w:rPr/>
            </w:pPr>
            <w:r>
              <w:rPr>
                <w:spacing w:val="1"/>
              </w:rPr>
              <w:t>一</w:t>
            </w:r>
            <w:r>
              <w:rPr>
                <w:spacing w:val="-55"/>
              </w:rPr>
              <w:t xml:space="preserve"> </w:t>
            </w:r>
            <w:r>
              <w:rPr>
                <w:spacing w:val="1"/>
              </w:rPr>
              <w:t>、</w:t>
            </w:r>
            <w:r>
              <w:rPr>
                <w:spacing w:val="-59"/>
              </w:rPr>
              <w:t xml:space="preserve"> </w:t>
            </w:r>
            <w:r>
              <w:rPr>
                <w:spacing w:val="1"/>
              </w:rPr>
              <w:t>原毛</w:t>
            </w:r>
          </w:p>
          <w:p>
            <w:pPr>
              <w:pStyle w:val="TableText"/>
              <w:ind w:left="113"/>
              <w:spacing w:before="19" w:line="228" w:lineRule="auto"/>
              <w:rPr/>
            </w:pPr>
            <w:r>
              <w:rPr>
                <w:spacing w:val="21"/>
              </w:rPr>
              <w:t>库房二、</w:t>
            </w:r>
          </w:p>
          <w:p>
            <w:pPr>
              <w:pStyle w:val="TableText"/>
              <w:ind w:left="112" w:right="105" w:firstLine="5"/>
              <w:spacing w:before="27" w:line="233" w:lineRule="auto"/>
              <w:rPr/>
            </w:pPr>
            <w:r>
              <w:rPr>
                <w:spacing w:val="22"/>
              </w:rPr>
              <w:t>原毛库房</w:t>
            </w:r>
            <w:r>
              <w:rPr/>
              <w:t xml:space="preserve"> </w:t>
            </w:r>
            <w:r>
              <w:rPr/>
              <w:t>三</w:t>
            </w:r>
          </w:p>
        </w:tc>
        <w:tc>
          <w:tcPr>
            <w:tcW w:w="1230" w:type="dxa"/>
            <w:vAlign w:val="top"/>
          </w:tcPr>
          <w:p>
            <w:pPr>
              <w:spacing w:line="372" w:lineRule="auto"/>
              <w:rPr>
                <w:rFonts w:ascii="Arial"/>
                <w:sz w:val="21"/>
              </w:rPr>
            </w:pPr>
            <w:r/>
          </w:p>
          <w:p>
            <w:pPr>
              <w:pStyle w:val="TableText"/>
              <w:ind w:left="201"/>
              <w:spacing w:before="65" w:line="228" w:lineRule="auto"/>
              <w:rPr/>
            </w:pPr>
            <w:r>
              <w:rPr>
                <w:spacing w:val="6"/>
              </w:rPr>
              <w:t>无废水产</w:t>
            </w:r>
          </w:p>
          <w:p>
            <w:pPr>
              <w:pStyle w:val="TableText"/>
              <w:ind w:left="515"/>
              <w:spacing w:before="26" w:line="238" w:lineRule="auto"/>
              <w:rPr/>
            </w:pPr>
            <w:r>
              <w:rPr/>
              <w:t>生</w:t>
            </w:r>
          </w:p>
        </w:tc>
        <w:tc>
          <w:tcPr>
            <w:tcW w:w="2419" w:type="dxa"/>
            <w:vAlign w:val="top"/>
          </w:tcPr>
          <w:p>
            <w:pPr>
              <w:spacing w:line="254" w:lineRule="auto"/>
              <w:rPr>
                <w:rFonts w:ascii="Arial"/>
                <w:sz w:val="21"/>
              </w:rPr>
            </w:pPr>
            <w:r/>
          </w:p>
          <w:p>
            <w:pPr>
              <w:spacing w:line="255" w:lineRule="auto"/>
              <w:rPr>
                <w:rFonts w:ascii="Arial"/>
                <w:sz w:val="21"/>
              </w:rPr>
            </w:pPr>
            <w:r/>
          </w:p>
          <w:p>
            <w:pPr>
              <w:pStyle w:val="TableText"/>
              <w:ind w:left="796"/>
              <w:spacing w:before="65" w:line="229" w:lineRule="auto"/>
              <w:rPr/>
            </w:pPr>
            <w:r>
              <w:rPr>
                <w:spacing w:val="7"/>
              </w:rPr>
              <w:t>地面硬化</w:t>
            </w:r>
          </w:p>
        </w:tc>
        <w:tc>
          <w:tcPr>
            <w:tcW w:w="3237" w:type="dxa"/>
            <w:vAlign w:val="top"/>
          </w:tcPr>
          <w:p>
            <w:pPr>
              <w:spacing w:line="319" w:lineRule="auto"/>
              <w:rPr>
                <w:rFonts w:ascii="Arial"/>
                <w:sz w:val="21"/>
              </w:rPr>
            </w:pPr>
            <w:r/>
          </w:p>
          <w:p>
            <w:pPr>
              <w:spacing w:line="320" w:lineRule="auto"/>
              <w:rPr>
                <w:rFonts w:ascii="Arial"/>
                <w:sz w:val="21"/>
              </w:rPr>
            </w:pPr>
            <w:r/>
          </w:p>
          <w:p>
            <w:pPr>
              <w:ind w:left="1588"/>
              <w:spacing w:before="58"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821" w:hRule="atLeast"/>
        </w:trPr>
        <w:tc>
          <w:tcPr>
            <w:tcW w:w="779" w:type="dxa"/>
            <w:vAlign w:val="top"/>
            <w:vMerge w:val="continue"/>
            <w:textDirection w:val="tbRlV"/>
            <w:tcBorders>
              <w:top w:val="nil"/>
            </w:tcBorders>
          </w:tcPr>
          <w:p>
            <w:pPr>
              <w:rPr>
                <w:rFonts w:ascii="Arial"/>
                <w:sz w:val="21"/>
              </w:rPr>
            </w:pPr>
            <w:r/>
          </w:p>
        </w:tc>
        <w:tc>
          <w:tcPr>
            <w:tcW w:w="1118" w:type="dxa"/>
            <w:vAlign w:val="top"/>
          </w:tcPr>
          <w:p>
            <w:pPr>
              <w:pStyle w:val="TableText"/>
              <w:ind w:left="113" w:right="105" w:hanging="1"/>
              <w:spacing w:before="171" w:line="252" w:lineRule="auto"/>
              <w:rPr/>
            </w:pPr>
            <w:r>
              <w:rPr>
                <w:spacing w:val="23"/>
              </w:rPr>
              <w:t>洗净毛库</w:t>
            </w:r>
            <w:r>
              <w:rPr>
                <w:spacing w:val="2"/>
              </w:rPr>
              <w:t xml:space="preserve"> </w:t>
            </w:r>
            <w:r>
              <w:rPr/>
              <w:t>房</w:t>
            </w:r>
          </w:p>
        </w:tc>
        <w:tc>
          <w:tcPr>
            <w:tcW w:w="1230" w:type="dxa"/>
            <w:vAlign w:val="top"/>
          </w:tcPr>
          <w:p>
            <w:pPr>
              <w:pStyle w:val="TableText"/>
              <w:ind w:left="200"/>
              <w:spacing w:before="33" w:line="228" w:lineRule="auto"/>
              <w:rPr/>
            </w:pPr>
            <w:r>
              <w:rPr>
                <w:spacing w:val="7"/>
              </w:rPr>
              <w:t>贮存洗净</w:t>
            </w:r>
          </w:p>
          <w:p>
            <w:pPr>
              <w:pStyle w:val="TableText"/>
              <w:ind w:left="119"/>
              <w:spacing w:before="24" w:line="228" w:lineRule="auto"/>
              <w:rPr/>
            </w:pPr>
            <w:r>
              <w:rPr>
                <w:spacing w:val="-1"/>
              </w:rPr>
              <w:t>羊毛，无废</w:t>
            </w:r>
          </w:p>
          <w:p>
            <w:pPr>
              <w:pStyle w:val="TableText"/>
              <w:ind w:left="307"/>
              <w:spacing w:before="26" w:line="214" w:lineRule="auto"/>
              <w:rPr/>
            </w:pPr>
            <w:r>
              <w:rPr>
                <w:spacing w:val="6"/>
              </w:rPr>
              <w:t>水产生</w:t>
            </w:r>
          </w:p>
        </w:tc>
        <w:tc>
          <w:tcPr>
            <w:tcW w:w="2419" w:type="dxa"/>
            <w:vAlign w:val="top"/>
          </w:tcPr>
          <w:p>
            <w:pPr>
              <w:pStyle w:val="TableText"/>
              <w:ind w:left="796"/>
              <w:spacing w:before="305" w:line="229" w:lineRule="auto"/>
              <w:rPr/>
            </w:pPr>
            <w:r>
              <w:rPr>
                <w:spacing w:val="7"/>
              </w:rPr>
              <w:t>地面硬化</w:t>
            </w:r>
          </w:p>
        </w:tc>
        <w:tc>
          <w:tcPr>
            <w:tcW w:w="3237" w:type="dxa"/>
            <w:vAlign w:val="top"/>
          </w:tcPr>
          <w:p>
            <w:pPr>
              <w:spacing w:line="369" w:lineRule="auto"/>
              <w:rPr>
                <w:rFonts w:ascii="Arial"/>
                <w:sz w:val="21"/>
              </w:rPr>
            </w:pPr>
            <w:r/>
          </w:p>
          <w:p>
            <w:pPr>
              <w:ind w:left="1588"/>
              <w:spacing w:before="58"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1638" w:hRule="atLeast"/>
        </w:trPr>
        <w:tc>
          <w:tcPr>
            <w:tcW w:w="779" w:type="dxa"/>
            <w:vAlign w:val="top"/>
            <w:vMerge w:val="restart"/>
            <w:tcBorders>
              <w:bottom w:val="nil"/>
            </w:tcBorders>
          </w:tcPr>
          <w:p>
            <w:pPr>
              <w:spacing w:line="262" w:lineRule="auto"/>
              <w:rPr>
                <w:rFonts w:ascii="Arial"/>
                <w:sz w:val="21"/>
              </w:rPr>
            </w:pPr>
            <w:r/>
          </w:p>
          <w:p>
            <w:pPr>
              <w:spacing w:line="262" w:lineRule="auto"/>
              <w:rPr>
                <w:rFonts w:ascii="Arial"/>
                <w:sz w:val="21"/>
              </w:rPr>
            </w:pPr>
            <w:r/>
          </w:p>
          <w:p>
            <w:pPr>
              <w:spacing w:line="263" w:lineRule="auto"/>
              <w:rPr>
                <w:rFonts w:ascii="Arial"/>
                <w:sz w:val="21"/>
              </w:rPr>
            </w:pPr>
            <w:r/>
          </w:p>
          <w:p>
            <w:pPr>
              <w:pStyle w:val="TableText"/>
              <w:ind w:left="304" w:right="180" w:hanging="116"/>
              <w:spacing w:before="65" w:line="254" w:lineRule="auto"/>
              <w:rPr/>
            </w:pPr>
            <w:r>
              <w:rPr>
                <w:spacing w:val="2"/>
              </w:rPr>
              <w:t>西厂</w:t>
            </w:r>
            <w:r>
              <w:rPr/>
              <w:t xml:space="preserve"> </w:t>
            </w:r>
            <w:r>
              <w:rPr/>
              <w:t>区</w:t>
            </w:r>
          </w:p>
        </w:tc>
        <w:tc>
          <w:tcPr>
            <w:tcW w:w="1118" w:type="dxa"/>
            <w:vAlign w:val="top"/>
          </w:tcPr>
          <w:p>
            <w:pPr>
              <w:spacing w:line="254" w:lineRule="auto"/>
              <w:rPr>
                <w:rFonts w:ascii="Arial"/>
                <w:sz w:val="21"/>
              </w:rPr>
            </w:pPr>
            <w:r/>
          </w:p>
          <w:p>
            <w:pPr>
              <w:spacing w:line="255" w:lineRule="auto"/>
              <w:rPr>
                <w:rFonts w:ascii="Arial"/>
                <w:sz w:val="21"/>
              </w:rPr>
            </w:pPr>
            <w:r/>
          </w:p>
          <w:p>
            <w:pPr>
              <w:pStyle w:val="TableText"/>
              <w:ind w:left="140"/>
              <w:spacing w:before="65" w:line="228" w:lineRule="auto"/>
              <w:rPr/>
            </w:pPr>
            <w:r>
              <w:rPr>
                <w:spacing w:val="7"/>
              </w:rPr>
              <w:t>洗毛车间</w:t>
            </w:r>
          </w:p>
          <w:p>
            <w:pPr>
              <w:pStyle w:val="TableText"/>
              <w:ind w:left="461"/>
              <w:spacing w:before="66" w:line="183" w:lineRule="auto"/>
              <w:rPr/>
            </w:pPr>
            <w:r>
              <w:rPr/>
              <w:t>二</w:t>
            </w:r>
          </w:p>
        </w:tc>
        <w:tc>
          <w:tcPr>
            <w:tcW w:w="1230" w:type="dxa"/>
            <w:vAlign w:val="top"/>
          </w:tcPr>
          <w:p>
            <w:pPr>
              <w:spacing w:line="376" w:lineRule="auto"/>
              <w:rPr>
                <w:rFonts w:ascii="Arial"/>
                <w:sz w:val="21"/>
              </w:rPr>
            </w:pPr>
            <w:r/>
          </w:p>
          <w:p>
            <w:pPr>
              <w:pStyle w:val="TableText"/>
              <w:ind w:left="198"/>
              <w:spacing w:before="65" w:line="228" w:lineRule="auto"/>
              <w:rPr/>
            </w:pPr>
            <w:r>
              <w:rPr>
                <w:spacing w:val="7"/>
              </w:rPr>
              <w:t>废水收集</w:t>
            </w:r>
          </w:p>
          <w:p>
            <w:pPr>
              <w:pStyle w:val="TableText"/>
              <w:ind w:left="199"/>
              <w:spacing w:before="24" w:line="228" w:lineRule="auto"/>
              <w:rPr/>
            </w:pPr>
            <w:r>
              <w:rPr>
                <w:spacing w:val="7"/>
              </w:rPr>
              <w:t>池渗漏污</w:t>
            </w:r>
          </w:p>
          <w:p>
            <w:pPr>
              <w:pStyle w:val="TableText"/>
              <w:ind w:left="203"/>
              <w:spacing w:before="23" w:line="228" w:lineRule="auto"/>
              <w:rPr/>
            </w:pPr>
            <w:r>
              <w:rPr>
                <w:spacing w:val="6"/>
              </w:rPr>
              <w:t>染地下水</w:t>
            </w:r>
          </w:p>
        </w:tc>
        <w:tc>
          <w:tcPr>
            <w:tcW w:w="2419" w:type="dxa"/>
            <w:vAlign w:val="top"/>
          </w:tcPr>
          <w:p>
            <w:pPr>
              <w:rPr>
                <w:rFonts w:ascii="Arial"/>
                <w:sz w:val="21"/>
              </w:rPr>
            </w:pPr>
            <w:r/>
          </w:p>
          <w:p>
            <w:pPr>
              <w:pStyle w:val="TableText"/>
              <w:ind w:left="166"/>
              <w:spacing w:before="65" w:line="227" w:lineRule="auto"/>
              <w:rPr/>
            </w:pPr>
            <w:r>
              <w:rPr>
                <w:spacing w:val="9"/>
              </w:rPr>
              <w:t>车间地面、池体采取防</w:t>
            </w:r>
          </w:p>
          <w:p>
            <w:pPr>
              <w:pStyle w:val="TableText"/>
              <w:ind w:left="165"/>
              <w:spacing w:before="24" w:line="228" w:lineRule="auto"/>
              <w:rPr/>
            </w:pPr>
            <w:r>
              <w:rPr>
                <w:spacing w:val="9"/>
              </w:rPr>
              <w:t>渗防腐措施，达到渗透</w:t>
            </w:r>
          </w:p>
          <w:p>
            <w:pPr>
              <w:pStyle w:val="TableText"/>
              <w:ind w:left="205"/>
              <w:spacing w:before="26" w:line="228" w:lineRule="auto"/>
              <w:rPr/>
            </w:pPr>
            <w:r>
              <w:rPr>
                <w:spacing w:val="3"/>
              </w:rPr>
              <w:t>系数</w:t>
            </w:r>
            <w:r>
              <w:rPr>
                <w:spacing w:val="-34"/>
              </w:rPr>
              <w:t xml:space="preserve"> </w:t>
            </w:r>
            <w:r>
              <w:rPr>
                <w:rFonts w:ascii="Times New Roman" w:hAnsi="Times New Roman" w:eastAsia="Times New Roman" w:cs="Times New Roman"/>
                <w:spacing w:val="3"/>
              </w:rPr>
              <w:t>K</w:t>
            </w:r>
            <w:r>
              <w:rPr>
                <w:spacing w:val="3"/>
              </w:rPr>
              <w:t>≤</w:t>
            </w:r>
            <w:r>
              <w:rPr>
                <w:rFonts w:ascii="Times New Roman" w:hAnsi="Times New Roman" w:eastAsia="Times New Roman" w:cs="Times New Roman"/>
                <w:spacing w:val="3"/>
              </w:rPr>
              <w:t>10</w:t>
            </w:r>
            <w:r>
              <w:rPr>
                <w:rFonts w:ascii="Times New Roman" w:hAnsi="Times New Roman" w:eastAsia="Times New Roman" w:cs="Times New Roman"/>
                <w:sz w:val="13"/>
                <w:szCs w:val="13"/>
                <w:spacing w:val="3"/>
                <w:position w:val="6"/>
              </w:rPr>
              <w:t>-7</w:t>
            </w:r>
            <w:r>
              <w:rPr>
                <w:rFonts w:ascii="Times New Roman" w:hAnsi="Times New Roman" w:eastAsia="Times New Roman" w:cs="Times New Roman"/>
                <w:sz w:val="13"/>
                <w:szCs w:val="13"/>
                <w:spacing w:val="27"/>
                <w:w w:val="101"/>
                <w:position w:val="6"/>
              </w:rPr>
              <w:t xml:space="preserve"> </w:t>
            </w:r>
            <w:r>
              <w:rPr>
                <w:spacing w:val="3"/>
              </w:rPr>
              <w:t>的防渗性</w:t>
            </w:r>
          </w:p>
          <w:p>
            <w:pPr>
              <w:pStyle w:val="TableText"/>
              <w:ind w:left="1013"/>
              <w:spacing w:before="24" w:line="229" w:lineRule="auto"/>
              <w:rPr/>
            </w:pPr>
            <w:r>
              <w:rPr>
                <w:spacing w:val="-4"/>
              </w:rPr>
              <w:t>能。</w:t>
            </w:r>
          </w:p>
        </w:tc>
        <w:tc>
          <w:tcPr>
            <w:tcW w:w="3237" w:type="dxa"/>
            <w:vAlign w:val="top"/>
          </w:tcPr>
          <w:p>
            <w:pPr>
              <w:pStyle w:val="TableText"/>
              <w:ind w:left="157"/>
              <w:spacing w:before="35" w:line="227" w:lineRule="auto"/>
              <w:rPr/>
            </w:pPr>
            <w:r>
              <w:rPr>
                <w:spacing w:val="8"/>
              </w:rPr>
              <w:t>正常状况下车间地面、池体采取</w:t>
            </w:r>
          </w:p>
          <w:p>
            <w:pPr>
              <w:pStyle w:val="TableText"/>
              <w:ind w:left="139"/>
              <w:spacing w:before="24" w:line="228" w:lineRule="auto"/>
              <w:rPr/>
            </w:pPr>
            <w:r>
              <w:rPr>
                <w:spacing w:val="7"/>
              </w:rPr>
              <w:t>防渗防腐措施，渗透系数＜</w:t>
            </w:r>
            <w:r>
              <w:rPr>
                <w:rFonts w:ascii="Times New Roman" w:hAnsi="Times New Roman" w:eastAsia="Times New Roman" w:cs="Times New Roman"/>
                <w:spacing w:val="7"/>
              </w:rPr>
              <w:t>1.0</w:t>
            </w:r>
            <w:r>
              <w:rPr>
                <w:spacing w:val="7"/>
              </w:rPr>
              <w:t>×</w:t>
            </w:r>
          </w:p>
          <w:p>
            <w:pPr>
              <w:pStyle w:val="TableText"/>
              <w:ind w:left="131"/>
              <w:spacing w:before="24" w:line="224" w:lineRule="auto"/>
              <w:rPr/>
            </w:pPr>
            <w:r>
              <w:rPr>
                <w:rFonts w:ascii="Times New Roman" w:hAnsi="Times New Roman" w:eastAsia="Times New Roman" w:cs="Times New Roman"/>
                <w:spacing w:val="4"/>
              </w:rPr>
              <w:t>10</w:t>
            </w:r>
            <w:r>
              <w:rPr>
                <w:rFonts w:ascii="Times New Roman" w:hAnsi="Times New Roman" w:eastAsia="Times New Roman" w:cs="Times New Roman"/>
                <w:sz w:val="13"/>
                <w:szCs w:val="13"/>
                <w:spacing w:val="4"/>
                <w:position w:val="6"/>
              </w:rPr>
              <w:t>-7</w:t>
            </w:r>
            <w:r>
              <w:rPr>
                <w:rFonts w:ascii="Times New Roman" w:hAnsi="Times New Roman" w:eastAsia="Times New Roman" w:cs="Times New Roman"/>
              </w:rPr>
              <w:t>cm</w:t>
            </w:r>
            <w:r>
              <w:rPr>
                <w:rFonts w:ascii="Times New Roman" w:hAnsi="Times New Roman" w:eastAsia="Times New Roman" w:cs="Times New Roman"/>
                <w:spacing w:val="4"/>
              </w:rPr>
              <w:t>/s</w:t>
            </w:r>
            <w:r>
              <w:rPr>
                <w:rFonts w:ascii="Times New Roman" w:hAnsi="Times New Roman" w:eastAsia="Times New Roman" w:cs="Times New Roman"/>
                <w:spacing w:val="-13"/>
              </w:rPr>
              <w:t xml:space="preserve"> </w:t>
            </w:r>
            <w:r>
              <w:rPr>
                <w:spacing w:val="4"/>
              </w:rPr>
              <w:t>，不会污染地下水。非正</w:t>
            </w:r>
          </w:p>
          <w:p>
            <w:pPr>
              <w:pStyle w:val="TableText"/>
              <w:ind w:left="263"/>
              <w:spacing w:before="31" w:line="227" w:lineRule="auto"/>
              <w:rPr/>
            </w:pPr>
            <w:r>
              <w:rPr>
                <w:spacing w:val="8"/>
              </w:rPr>
              <w:t>常工况池体防渗层破损较难发</w:t>
            </w:r>
          </w:p>
          <w:p>
            <w:pPr>
              <w:pStyle w:val="TableText"/>
              <w:ind w:right="14"/>
              <w:spacing w:before="25" w:line="224" w:lineRule="auto"/>
              <w:jc w:val="right"/>
              <w:rPr/>
            </w:pPr>
            <w:r>
              <w:rPr>
                <w:spacing w:val="6"/>
              </w:rPr>
              <w:t>现，可能会发生持续性泄漏事故，</w:t>
            </w:r>
          </w:p>
          <w:p>
            <w:pPr>
              <w:pStyle w:val="TableText"/>
              <w:ind w:left="469"/>
              <w:spacing w:before="32" w:line="213" w:lineRule="auto"/>
              <w:rPr/>
            </w:pPr>
            <w:r>
              <w:rPr>
                <w:spacing w:val="8"/>
              </w:rPr>
              <w:t>对地下水环境影响较大。</w:t>
            </w:r>
          </w:p>
        </w:tc>
      </w:tr>
      <w:tr>
        <w:trPr>
          <w:trHeight w:val="552" w:hRule="atLeast"/>
        </w:trPr>
        <w:tc>
          <w:tcPr>
            <w:tcW w:w="779" w:type="dxa"/>
            <w:vAlign w:val="top"/>
            <w:vMerge w:val="continue"/>
            <w:tcBorders>
              <w:top w:val="nil"/>
            </w:tcBorders>
          </w:tcPr>
          <w:p>
            <w:pPr>
              <w:rPr>
                <w:rFonts w:ascii="Arial"/>
                <w:sz w:val="21"/>
              </w:rPr>
            </w:pPr>
            <w:r/>
          </w:p>
        </w:tc>
        <w:tc>
          <w:tcPr>
            <w:tcW w:w="1118" w:type="dxa"/>
            <w:vAlign w:val="top"/>
          </w:tcPr>
          <w:p>
            <w:pPr>
              <w:pStyle w:val="TableText"/>
              <w:ind w:left="140"/>
              <w:spacing w:before="171" w:line="228" w:lineRule="auto"/>
              <w:rPr/>
            </w:pPr>
            <w:r>
              <w:rPr>
                <w:spacing w:val="7"/>
              </w:rPr>
              <w:t>梳绒车间</w:t>
            </w:r>
          </w:p>
        </w:tc>
        <w:tc>
          <w:tcPr>
            <w:tcW w:w="1230" w:type="dxa"/>
            <w:vAlign w:val="top"/>
          </w:tcPr>
          <w:p>
            <w:pPr>
              <w:pStyle w:val="TableText"/>
              <w:ind w:left="201"/>
              <w:spacing w:before="36" w:line="228" w:lineRule="auto"/>
              <w:rPr/>
            </w:pPr>
            <w:r>
              <w:rPr>
                <w:spacing w:val="6"/>
              </w:rPr>
              <w:t>无废水产</w:t>
            </w:r>
          </w:p>
          <w:p>
            <w:pPr>
              <w:pStyle w:val="TableText"/>
              <w:ind w:left="515"/>
              <w:spacing w:before="24" w:line="216" w:lineRule="auto"/>
              <w:rPr/>
            </w:pPr>
            <w:r>
              <w:rPr/>
              <w:t>生</w:t>
            </w:r>
          </w:p>
        </w:tc>
        <w:tc>
          <w:tcPr>
            <w:tcW w:w="2419" w:type="dxa"/>
            <w:vAlign w:val="top"/>
          </w:tcPr>
          <w:p>
            <w:pPr>
              <w:pStyle w:val="TableText"/>
              <w:ind w:left="796"/>
              <w:spacing w:before="171" w:line="229" w:lineRule="auto"/>
              <w:rPr/>
            </w:pPr>
            <w:r>
              <w:rPr>
                <w:spacing w:val="7"/>
              </w:rPr>
              <w:t>地面硬化</w:t>
            </w:r>
          </w:p>
        </w:tc>
        <w:tc>
          <w:tcPr>
            <w:tcW w:w="3237" w:type="dxa"/>
            <w:vAlign w:val="top"/>
          </w:tcPr>
          <w:p>
            <w:pPr>
              <w:ind w:left="1588"/>
              <w:spacing w:before="295"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bl>
    <w:p>
      <w:pPr>
        <w:pStyle w:val="BodyText"/>
        <w:spacing w:line="470" w:lineRule="auto"/>
        <w:rPr/>
      </w:pPr>
      <w:r/>
    </w:p>
    <w:p>
      <w:pPr>
        <w:ind w:left="149"/>
        <w:spacing w:before="62" w:line="225" w:lineRule="auto"/>
        <w:rPr>
          <w:rFonts w:ascii="SimSun" w:hAnsi="SimSun" w:eastAsia="SimSun" w:cs="SimSun"/>
          <w:sz w:val="19"/>
          <w:szCs w:val="19"/>
        </w:rPr>
      </w:pPr>
      <w:r>
        <w:pict>
          <v:shape id="_x0000_s934" style="position:absolute;margin-left:166.42pt;margin-top:2.08768pt;mso-position-vertical-relative:text;mso-position-horizontal-relative:text;width:61pt;height:13.75pt;z-index:25207910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rPr>
                    <w:t>任公司</w:t>
                  </w:r>
                  <w:r>
                    <w:rPr>
                      <w:rFonts w:ascii="SimSun" w:hAnsi="SimSun" w:eastAsia="SimSun" w:cs="SimSun"/>
                      <w:sz w:val="19"/>
                      <w:szCs w:val="19"/>
                      <w:spacing w:val="18"/>
                    </w:rPr>
                    <w:t xml:space="preserve">   </w:t>
                  </w:r>
                  <w:r>
                    <w:rPr>
                      <w:rFonts w:ascii="Times New Roman" w:hAnsi="Times New Roman" w:eastAsia="Times New Roman" w:cs="Times New Roman"/>
                      <w:sz w:val="18"/>
                      <w:szCs w:val="18"/>
                      <w:position w:val="2"/>
                    </w:rPr>
                    <w:t>195</w:t>
                  </w:r>
                </w:p>
              </w:txbxContent>
            </v:textbox>
          </v:shape>
        </w:pict>
      </w:r>
      <w:r>
        <w:rPr>
          <w:rFonts w:ascii="SimSun" w:hAnsi="SimSun" w:eastAsia="SimSun" w:cs="SimSun"/>
          <w:sz w:val="19"/>
          <w:szCs w:val="19"/>
          <w:spacing w:val="9"/>
        </w:rPr>
        <w:t>锡林郭勒盟中安环境技术咨询有限责</w:t>
      </w:r>
    </w:p>
    <w:p>
      <w:pPr>
        <w:spacing w:line="225" w:lineRule="auto"/>
        <w:sectPr>
          <w:headerReference w:type="default" r:id="rId263"/>
          <w:footerReference w:type="default" r:id="rId3"/>
          <w:pgSz w:w="11907" w:h="16840"/>
          <w:pgMar w:top="1567" w:right="1559" w:bottom="400" w:left="1559" w:header="1221" w:footer="0" w:gutter="0"/>
        </w:sectPr>
        <w:rPr>
          <w:rFonts w:ascii="SimSun" w:hAnsi="SimSun" w:eastAsia="SimSun" w:cs="SimSun"/>
          <w:sz w:val="19"/>
          <w:szCs w:val="19"/>
        </w:rPr>
      </w:pPr>
    </w:p>
    <w:p>
      <w:pPr>
        <w:spacing w:line="133" w:lineRule="exact"/>
        <w:rPr/>
      </w:pPr>
      <w:r>
        <w:pict>
          <v:shape id="_x0000_s936" style="position:absolute;margin-left:85.05pt;margin-top:78.87pt;mso-position-vertical-relative:page;mso-position-horizontal-relative:page;width:425.25pt;height:0.75pt;z-index:252082176;" o:allowincell="f" fillcolor="#000000" filled="true" stroked="false" coordsize="8505,15" coordorigin="0,0" path="m,l8505,0l8505,14l0,14l0,0xe"/>
        </w:pict>
      </w:r>
      <w:r/>
    </w:p>
    <w:tbl>
      <w:tblPr>
        <w:tblStyle w:val="TableNormal"/>
        <w:tblW w:w="87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79"/>
        <w:gridCol w:w="1118"/>
        <w:gridCol w:w="1230"/>
        <w:gridCol w:w="2419"/>
        <w:gridCol w:w="3237"/>
      </w:tblGrid>
      <w:tr>
        <w:trPr>
          <w:trHeight w:val="554" w:hRule="atLeast"/>
        </w:trPr>
        <w:tc>
          <w:tcPr>
            <w:tcW w:w="779" w:type="dxa"/>
            <w:vAlign w:val="top"/>
          </w:tcPr>
          <w:p>
            <w:pPr>
              <w:pStyle w:val="TableText"/>
              <w:ind w:left="186"/>
              <w:spacing w:before="172" w:line="228" w:lineRule="auto"/>
              <w:rPr/>
            </w:pPr>
            <w:r>
              <w:rPr>
                <w:spacing w:val="3"/>
              </w:rPr>
              <w:t>厂区</w:t>
            </w:r>
          </w:p>
        </w:tc>
        <w:tc>
          <w:tcPr>
            <w:tcW w:w="1118" w:type="dxa"/>
            <w:vAlign w:val="top"/>
          </w:tcPr>
          <w:p>
            <w:pPr>
              <w:pStyle w:val="TableText"/>
              <w:ind w:left="157"/>
              <w:spacing w:before="172" w:line="228" w:lineRule="auto"/>
              <w:rPr/>
            </w:pPr>
            <w:r>
              <w:rPr>
                <w:spacing w:val="3"/>
              </w:rPr>
              <w:t>区域名称</w:t>
            </w:r>
          </w:p>
        </w:tc>
        <w:tc>
          <w:tcPr>
            <w:tcW w:w="1230" w:type="dxa"/>
            <w:vAlign w:val="top"/>
          </w:tcPr>
          <w:p>
            <w:pPr>
              <w:pStyle w:val="TableText"/>
              <w:ind w:left="199"/>
              <w:spacing w:before="35" w:line="228" w:lineRule="auto"/>
              <w:rPr/>
            </w:pPr>
            <w:r>
              <w:rPr>
                <w:spacing w:val="7"/>
              </w:rPr>
              <w:t>地下水污</w:t>
            </w:r>
          </w:p>
          <w:p>
            <w:pPr>
              <w:pStyle w:val="TableText"/>
              <w:ind w:left="203"/>
              <w:spacing w:before="26" w:line="217" w:lineRule="auto"/>
              <w:rPr/>
            </w:pPr>
            <w:r>
              <w:rPr>
                <w:spacing w:val="6"/>
              </w:rPr>
              <w:t>染风险源</w:t>
            </w:r>
          </w:p>
        </w:tc>
        <w:tc>
          <w:tcPr>
            <w:tcW w:w="2419" w:type="dxa"/>
            <w:vAlign w:val="top"/>
          </w:tcPr>
          <w:p>
            <w:pPr>
              <w:pStyle w:val="TableText"/>
              <w:ind w:left="800"/>
              <w:spacing w:before="172" w:line="228" w:lineRule="auto"/>
              <w:rPr/>
            </w:pPr>
            <w:r>
              <w:rPr>
                <w:spacing w:val="6"/>
              </w:rPr>
              <w:t>处理措施</w:t>
            </w:r>
          </w:p>
        </w:tc>
        <w:tc>
          <w:tcPr>
            <w:tcW w:w="3237" w:type="dxa"/>
            <w:vAlign w:val="top"/>
          </w:tcPr>
          <w:p>
            <w:pPr>
              <w:pStyle w:val="TableText"/>
              <w:ind w:left="678"/>
              <w:spacing w:before="171" w:line="228" w:lineRule="auto"/>
              <w:rPr/>
            </w:pPr>
            <w:r>
              <w:rPr>
                <w:spacing w:val="8"/>
              </w:rPr>
              <w:t>地下水污染风险识别</w:t>
            </w:r>
          </w:p>
        </w:tc>
      </w:tr>
      <w:tr>
        <w:trPr>
          <w:trHeight w:val="548" w:hRule="atLeast"/>
        </w:trPr>
        <w:tc>
          <w:tcPr>
            <w:tcW w:w="779" w:type="dxa"/>
            <w:vAlign w:val="top"/>
            <w:vMerge w:val="restart"/>
            <w:tcBorders>
              <w:bottom w:val="nil"/>
            </w:tcBorders>
          </w:tcPr>
          <w:p>
            <w:pPr>
              <w:rPr>
                <w:rFonts w:ascii="Arial"/>
                <w:sz w:val="21"/>
              </w:rPr>
            </w:pPr>
            <w:r/>
          </w:p>
        </w:tc>
        <w:tc>
          <w:tcPr>
            <w:tcW w:w="1118" w:type="dxa"/>
            <w:vAlign w:val="top"/>
          </w:tcPr>
          <w:p>
            <w:pPr>
              <w:pStyle w:val="TableText"/>
              <w:ind w:left="146"/>
              <w:spacing w:before="30" w:line="228" w:lineRule="auto"/>
              <w:rPr/>
            </w:pPr>
            <w:r>
              <w:rPr>
                <w:spacing w:val="6"/>
              </w:rPr>
              <w:t>原毛库房</w:t>
            </w:r>
          </w:p>
          <w:p>
            <w:pPr>
              <w:pStyle w:val="TableText"/>
              <w:ind w:left="478"/>
              <w:spacing w:before="26" w:line="216" w:lineRule="auto"/>
              <w:rPr/>
            </w:pPr>
            <w:r>
              <w:rPr/>
              <w:t>四</w:t>
            </w:r>
          </w:p>
        </w:tc>
        <w:tc>
          <w:tcPr>
            <w:tcW w:w="1230" w:type="dxa"/>
            <w:vAlign w:val="top"/>
          </w:tcPr>
          <w:p>
            <w:pPr>
              <w:pStyle w:val="TableText"/>
              <w:ind w:left="201"/>
              <w:spacing w:before="30" w:line="228" w:lineRule="auto"/>
              <w:rPr/>
            </w:pPr>
            <w:r>
              <w:rPr>
                <w:spacing w:val="6"/>
              </w:rPr>
              <w:t>无废水产</w:t>
            </w:r>
          </w:p>
          <w:p>
            <w:pPr>
              <w:pStyle w:val="TableText"/>
              <w:ind w:left="515"/>
              <w:spacing w:before="26" w:line="216" w:lineRule="auto"/>
              <w:rPr/>
            </w:pPr>
            <w:r>
              <w:rPr/>
              <w:t>生</w:t>
            </w:r>
          </w:p>
        </w:tc>
        <w:tc>
          <w:tcPr>
            <w:tcW w:w="2419" w:type="dxa"/>
            <w:vAlign w:val="top"/>
          </w:tcPr>
          <w:p>
            <w:pPr>
              <w:pStyle w:val="TableText"/>
              <w:ind w:left="796"/>
              <w:spacing w:before="165" w:line="229" w:lineRule="auto"/>
              <w:rPr/>
            </w:pPr>
            <w:r>
              <w:rPr>
                <w:spacing w:val="7"/>
              </w:rPr>
              <w:t>地面硬化</w:t>
            </w:r>
          </w:p>
        </w:tc>
        <w:tc>
          <w:tcPr>
            <w:tcW w:w="3237" w:type="dxa"/>
            <w:vAlign w:val="top"/>
          </w:tcPr>
          <w:p>
            <w:pPr>
              <w:ind w:left="1588"/>
              <w:spacing w:before="291"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550" w:hRule="atLeast"/>
        </w:trPr>
        <w:tc>
          <w:tcPr>
            <w:tcW w:w="779" w:type="dxa"/>
            <w:vAlign w:val="top"/>
            <w:vMerge w:val="continue"/>
            <w:tcBorders>
              <w:top w:val="nil"/>
              <w:bottom w:val="nil"/>
            </w:tcBorders>
          </w:tcPr>
          <w:p>
            <w:pPr>
              <w:rPr>
                <w:rFonts w:ascii="Arial"/>
                <w:sz w:val="21"/>
              </w:rPr>
            </w:pPr>
            <w:r/>
          </w:p>
        </w:tc>
        <w:tc>
          <w:tcPr>
            <w:tcW w:w="1118" w:type="dxa"/>
            <w:vAlign w:val="top"/>
          </w:tcPr>
          <w:p>
            <w:pPr>
              <w:pStyle w:val="TableText"/>
              <w:ind w:left="140"/>
              <w:spacing w:before="31" w:line="228" w:lineRule="auto"/>
              <w:rPr/>
            </w:pPr>
            <w:r>
              <w:rPr>
                <w:spacing w:val="7"/>
              </w:rPr>
              <w:t>洗净毛库</w:t>
            </w:r>
          </w:p>
          <w:p>
            <w:pPr>
              <w:pStyle w:val="TableText"/>
              <w:ind w:left="459"/>
              <w:spacing w:before="27" w:line="216" w:lineRule="auto"/>
              <w:rPr/>
            </w:pPr>
            <w:r>
              <w:rPr/>
              <w:t>房</w:t>
            </w:r>
          </w:p>
        </w:tc>
        <w:tc>
          <w:tcPr>
            <w:tcW w:w="1230" w:type="dxa"/>
            <w:vAlign w:val="top"/>
          </w:tcPr>
          <w:p>
            <w:pPr>
              <w:pStyle w:val="TableText"/>
              <w:ind w:left="201"/>
              <w:spacing w:before="31" w:line="228" w:lineRule="auto"/>
              <w:rPr/>
            </w:pPr>
            <w:r>
              <w:rPr>
                <w:spacing w:val="6"/>
              </w:rPr>
              <w:t>无废水产</w:t>
            </w:r>
          </w:p>
          <w:p>
            <w:pPr>
              <w:pStyle w:val="TableText"/>
              <w:ind w:left="515"/>
              <w:spacing w:before="27" w:line="216" w:lineRule="auto"/>
              <w:rPr/>
            </w:pPr>
            <w:r>
              <w:rPr/>
              <w:t>生</w:t>
            </w:r>
          </w:p>
        </w:tc>
        <w:tc>
          <w:tcPr>
            <w:tcW w:w="2419" w:type="dxa"/>
            <w:vAlign w:val="top"/>
          </w:tcPr>
          <w:p>
            <w:pPr>
              <w:pStyle w:val="TableText"/>
              <w:ind w:left="796"/>
              <w:spacing w:before="169" w:line="229" w:lineRule="auto"/>
              <w:rPr/>
            </w:pPr>
            <w:r>
              <w:rPr>
                <w:spacing w:val="7"/>
              </w:rPr>
              <w:t>地面硬化</w:t>
            </w:r>
          </w:p>
        </w:tc>
        <w:tc>
          <w:tcPr>
            <w:tcW w:w="3237" w:type="dxa"/>
            <w:vAlign w:val="top"/>
          </w:tcPr>
          <w:p>
            <w:pPr>
              <w:ind w:left="1588"/>
              <w:spacing w:before="293"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1638" w:hRule="atLeast"/>
        </w:trPr>
        <w:tc>
          <w:tcPr>
            <w:tcW w:w="779" w:type="dxa"/>
            <w:vAlign w:val="top"/>
            <w:vMerge w:val="continue"/>
            <w:tcBorders>
              <w:top w:val="nil"/>
              <w:bottom w:val="nil"/>
            </w:tcBorders>
          </w:tcPr>
          <w:p>
            <w:pPr>
              <w:rPr>
                <w:rFonts w:ascii="Arial"/>
                <w:sz w:val="21"/>
              </w:rPr>
            </w:pPr>
            <w:r/>
          </w:p>
        </w:tc>
        <w:tc>
          <w:tcPr>
            <w:tcW w:w="1118" w:type="dxa"/>
            <w:vAlign w:val="top"/>
          </w:tcPr>
          <w:p>
            <w:pPr>
              <w:pStyle w:val="TableText"/>
              <w:ind w:left="142"/>
              <w:spacing w:before="168" w:line="227" w:lineRule="auto"/>
              <w:rPr/>
            </w:pPr>
            <w:r>
              <w:rPr>
                <w:spacing w:val="7"/>
              </w:rPr>
              <w:t>厌氧发酵</w:t>
            </w:r>
          </w:p>
          <w:p>
            <w:pPr>
              <w:pStyle w:val="TableText"/>
              <w:ind w:left="112" w:right="108" w:firstLine="27"/>
              <w:spacing w:before="28" w:line="251" w:lineRule="auto"/>
              <w:jc w:val="both"/>
              <w:rPr/>
            </w:pPr>
            <w:r>
              <w:rPr>
                <w:spacing w:val="7"/>
              </w:rPr>
              <w:t>废水收集</w:t>
            </w:r>
            <w:r>
              <w:rPr>
                <w:spacing w:val="1"/>
              </w:rPr>
              <w:t xml:space="preserve"> </w:t>
            </w:r>
            <w:r>
              <w:rPr>
                <w:spacing w:val="-2"/>
              </w:rPr>
              <w:t>池、</w:t>
            </w:r>
            <w:r>
              <w:rPr>
                <w:rFonts w:ascii="Times New Roman" w:hAnsi="Times New Roman" w:eastAsia="Times New Roman" w:cs="Times New Roman"/>
                <w:spacing w:val="-2"/>
              </w:rPr>
              <w:t>TS</w:t>
            </w:r>
            <w:r>
              <w:rPr>
                <w:rFonts w:ascii="Times New Roman" w:hAnsi="Times New Roman" w:eastAsia="Times New Roman" w:cs="Times New Roman"/>
                <w:spacing w:val="17"/>
                <w:w w:val="101"/>
              </w:rPr>
              <w:t xml:space="preserve"> </w:t>
            </w:r>
            <w:r>
              <w:rPr>
                <w:spacing w:val="-2"/>
              </w:rPr>
              <w:t>调</w:t>
            </w:r>
            <w:r>
              <w:rPr/>
              <w:t xml:space="preserve"> </w:t>
            </w:r>
            <w:r>
              <w:rPr>
                <w:spacing w:val="14"/>
              </w:rPr>
              <w:t>节池、厌</w:t>
            </w:r>
          </w:p>
          <w:p>
            <w:pPr>
              <w:pStyle w:val="TableText"/>
              <w:ind w:left="142"/>
              <w:spacing w:line="226" w:lineRule="auto"/>
              <w:rPr/>
            </w:pPr>
            <w:r>
              <w:rPr>
                <w:spacing w:val="7"/>
              </w:rPr>
              <w:t>氧发酵罐</w:t>
            </w:r>
          </w:p>
        </w:tc>
        <w:tc>
          <w:tcPr>
            <w:tcW w:w="1230" w:type="dxa"/>
            <w:vAlign w:val="top"/>
          </w:tcPr>
          <w:p>
            <w:pPr>
              <w:spacing w:line="375" w:lineRule="auto"/>
              <w:rPr>
                <w:rFonts w:ascii="Arial"/>
                <w:sz w:val="21"/>
              </w:rPr>
            </w:pPr>
            <w:r/>
          </w:p>
          <w:p>
            <w:pPr>
              <w:pStyle w:val="TableText"/>
              <w:ind w:left="154"/>
              <w:spacing w:before="65" w:line="228" w:lineRule="auto"/>
              <w:rPr/>
            </w:pPr>
            <w:r>
              <w:rPr>
                <w:rFonts w:ascii="Times New Roman" w:hAnsi="Times New Roman" w:eastAsia="Times New Roman" w:cs="Times New Roman"/>
              </w:rPr>
              <w:t>TS</w:t>
            </w:r>
            <w:r>
              <w:rPr>
                <w:rFonts w:ascii="Times New Roman" w:hAnsi="Times New Roman" w:eastAsia="Times New Roman" w:cs="Times New Roman"/>
                <w:spacing w:val="12"/>
                <w:w w:val="101"/>
              </w:rPr>
              <w:t xml:space="preserve"> </w:t>
            </w:r>
            <w:r>
              <w:rPr>
                <w:spacing w:val="7"/>
              </w:rPr>
              <w:t>调节池</w:t>
            </w:r>
          </w:p>
          <w:p>
            <w:pPr>
              <w:pStyle w:val="TableText"/>
              <w:ind w:left="200"/>
              <w:spacing w:before="24" w:line="228" w:lineRule="auto"/>
              <w:rPr/>
            </w:pPr>
            <w:r>
              <w:rPr>
                <w:spacing w:val="7"/>
              </w:rPr>
              <w:t>渗漏污染</w:t>
            </w:r>
          </w:p>
          <w:p>
            <w:pPr>
              <w:pStyle w:val="TableText"/>
              <w:ind w:left="305"/>
              <w:spacing w:before="23" w:line="228" w:lineRule="auto"/>
              <w:rPr/>
            </w:pPr>
            <w:r>
              <w:rPr>
                <w:spacing w:val="6"/>
              </w:rPr>
              <w:t>地下水</w:t>
            </w:r>
          </w:p>
        </w:tc>
        <w:tc>
          <w:tcPr>
            <w:tcW w:w="2419" w:type="dxa"/>
            <w:vAlign w:val="top"/>
          </w:tcPr>
          <w:p>
            <w:pPr>
              <w:spacing w:line="374" w:lineRule="auto"/>
              <w:rPr>
                <w:rFonts w:ascii="Arial"/>
                <w:sz w:val="21"/>
              </w:rPr>
            </w:pPr>
            <w:r/>
          </w:p>
          <w:p>
            <w:pPr>
              <w:pStyle w:val="TableText"/>
              <w:ind w:left="270"/>
              <w:spacing w:before="65" w:line="227" w:lineRule="auto"/>
              <w:rPr/>
            </w:pPr>
            <w:r>
              <w:rPr>
                <w:spacing w:val="8"/>
              </w:rPr>
              <w:t>池体采取防渗防腐措</w:t>
            </w:r>
          </w:p>
          <w:p>
            <w:pPr>
              <w:pStyle w:val="TableText"/>
              <w:ind w:left="168"/>
              <w:spacing w:before="24" w:line="228" w:lineRule="auto"/>
              <w:rPr/>
            </w:pPr>
            <w:r>
              <w:rPr>
                <w:spacing w:val="14"/>
              </w:rPr>
              <w:t>施，达到渗透系数</w:t>
            </w:r>
            <w:r>
              <w:rPr>
                <w:rFonts w:ascii="Times New Roman" w:hAnsi="Times New Roman" w:eastAsia="Times New Roman" w:cs="Times New Roman"/>
                <w:spacing w:val="14"/>
              </w:rPr>
              <w:t>K</w:t>
            </w:r>
            <w:r>
              <w:rPr>
                <w:spacing w:val="14"/>
              </w:rPr>
              <w:t>≤</w:t>
            </w:r>
          </w:p>
          <w:p>
            <w:pPr>
              <w:pStyle w:val="TableText"/>
              <w:ind w:left="423"/>
              <w:spacing w:before="24" w:line="228" w:lineRule="auto"/>
              <w:rPr/>
            </w:pPr>
            <w:r>
              <w:rPr>
                <w:rFonts w:ascii="Times New Roman" w:hAnsi="Times New Roman" w:eastAsia="Times New Roman" w:cs="Times New Roman"/>
                <w:spacing w:val="1"/>
              </w:rPr>
              <w:t>10</w:t>
            </w:r>
            <w:r>
              <w:rPr>
                <w:rFonts w:ascii="Times New Roman" w:hAnsi="Times New Roman" w:eastAsia="Times New Roman" w:cs="Times New Roman"/>
                <w:sz w:val="13"/>
                <w:szCs w:val="13"/>
                <w:spacing w:val="1"/>
                <w:position w:val="6"/>
              </w:rPr>
              <w:t>-7</w:t>
            </w:r>
            <w:r>
              <w:rPr>
                <w:rFonts w:ascii="Times New Roman" w:hAnsi="Times New Roman" w:eastAsia="Times New Roman" w:cs="Times New Roman"/>
                <w:sz w:val="13"/>
                <w:szCs w:val="13"/>
                <w:spacing w:val="30"/>
                <w:w w:val="101"/>
                <w:position w:val="6"/>
              </w:rPr>
              <w:t xml:space="preserve"> </w:t>
            </w:r>
            <w:r>
              <w:rPr>
                <w:spacing w:val="1"/>
              </w:rPr>
              <w:t>的防渗性能。</w:t>
            </w:r>
          </w:p>
        </w:tc>
        <w:tc>
          <w:tcPr>
            <w:tcW w:w="3237" w:type="dxa"/>
            <w:vAlign w:val="top"/>
          </w:tcPr>
          <w:p>
            <w:pPr>
              <w:pStyle w:val="TableText"/>
              <w:ind w:left="158"/>
              <w:spacing w:before="33" w:line="227" w:lineRule="auto"/>
              <w:rPr/>
            </w:pPr>
            <w:r>
              <w:rPr>
                <w:spacing w:val="9"/>
              </w:rPr>
              <w:t>常状况下车间地面、池体采取防</w:t>
            </w:r>
          </w:p>
          <w:p>
            <w:pPr>
              <w:pStyle w:val="TableText"/>
              <w:ind w:left="233"/>
              <w:spacing w:before="24" w:line="228" w:lineRule="auto"/>
              <w:rPr/>
            </w:pPr>
            <w:r>
              <w:rPr>
                <w:spacing w:val="8"/>
              </w:rPr>
              <w:t>渗防腐措施，渗透系数＜</w:t>
            </w:r>
            <w:r>
              <w:rPr>
                <w:rFonts w:ascii="Times New Roman" w:hAnsi="Times New Roman" w:eastAsia="Times New Roman" w:cs="Times New Roman"/>
                <w:spacing w:val="8"/>
              </w:rPr>
              <w:t>1.0</w:t>
            </w:r>
            <w:r>
              <w:rPr>
                <w:spacing w:val="8"/>
              </w:rPr>
              <w:t>×</w:t>
            </w:r>
          </w:p>
          <w:p>
            <w:pPr>
              <w:pStyle w:val="TableText"/>
              <w:ind w:left="131"/>
              <w:spacing w:before="24" w:line="227" w:lineRule="auto"/>
              <w:rPr/>
            </w:pPr>
            <w:r>
              <w:rPr>
                <w:rFonts w:ascii="Times New Roman" w:hAnsi="Times New Roman" w:eastAsia="Times New Roman" w:cs="Times New Roman"/>
                <w:spacing w:val="4"/>
              </w:rPr>
              <w:t>10</w:t>
            </w:r>
            <w:r>
              <w:rPr>
                <w:rFonts w:ascii="Times New Roman" w:hAnsi="Times New Roman" w:eastAsia="Times New Roman" w:cs="Times New Roman"/>
                <w:sz w:val="13"/>
                <w:szCs w:val="13"/>
                <w:spacing w:val="4"/>
                <w:position w:val="6"/>
              </w:rPr>
              <w:t>-7</w:t>
            </w:r>
            <w:r>
              <w:rPr>
                <w:rFonts w:ascii="Times New Roman" w:hAnsi="Times New Roman" w:eastAsia="Times New Roman" w:cs="Times New Roman"/>
              </w:rPr>
              <w:t>cm</w:t>
            </w:r>
            <w:r>
              <w:rPr>
                <w:rFonts w:ascii="Times New Roman" w:hAnsi="Times New Roman" w:eastAsia="Times New Roman" w:cs="Times New Roman"/>
                <w:spacing w:val="4"/>
              </w:rPr>
              <w:t>/s</w:t>
            </w:r>
            <w:r>
              <w:rPr>
                <w:rFonts w:ascii="Times New Roman" w:hAnsi="Times New Roman" w:eastAsia="Times New Roman" w:cs="Times New Roman"/>
                <w:spacing w:val="-13"/>
              </w:rPr>
              <w:t xml:space="preserve"> </w:t>
            </w:r>
            <w:r>
              <w:rPr>
                <w:spacing w:val="4"/>
              </w:rPr>
              <w:t>，不会污染地下水。非正</w:t>
            </w:r>
          </w:p>
          <w:p>
            <w:pPr>
              <w:pStyle w:val="TableText"/>
              <w:ind w:left="263"/>
              <w:spacing w:before="27" w:line="228" w:lineRule="auto"/>
              <w:rPr/>
            </w:pPr>
            <w:r>
              <w:rPr>
                <w:spacing w:val="8"/>
              </w:rPr>
              <w:t>常工况池体防渗层破损较难发</w:t>
            </w:r>
          </w:p>
          <w:p>
            <w:pPr>
              <w:pStyle w:val="TableText"/>
              <w:ind w:right="14"/>
              <w:spacing w:before="25" w:line="227" w:lineRule="auto"/>
              <w:jc w:val="right"/>
              <w:rPr/>
            </w:pPr>
            <w:r>
              <w:rPr>
                <w:spacing w:val="6"/>
              </w:rPr>
              <w:t>现，可能会发生持续性泄漏事故，</w:t>
            </w:r>
          </w:p>
          <w:p>
            <w:pPr>
              <w:pStyle w:val="TableText"/>
              <w:ind w:left="469"/>
              <w:spacing w:before="28" w:line="215" w:lineRule="auto"/>
              <w:rPr/>
            </w:pPr>
            <w:r>
              <w:rPr>
                <w:spacing w:val="8"/>
              </w:rPr>
              <w:t>对地下水环境影响较大。</w:t>
            </w:r>
          </w:p>
        </w:tc>
      </w:tr>
      <w:tr>
        <w:trPr>
          <w:trHeight w:val="821" w:hRule="atLeast"/>
        </w:trPr>
        <w:tc>
          <w:tcPr>
            <w:tcW w:w="779" w:type="dxa"/>
            <w:vAlign w:val="top"/>
            <w:vMerge w:val="continue"/>
            <w:tcBorders>
              <w:top w:val="nil"/>
              <w:bottom w:val="nil"/>
            </w:tcBorders>
          </w:tcPr>
          <w:p>
            <w:pPr>
              <w:rPr>
                <w:rFonts w:ascii="Arial"/>
                <w:sz w:val="21"/>
              </w:rPr>
            </w:pPr>
            <w:r/>
          </w:p>
        </w:tc>
        <w:tc>
          <w:tcPr>
            <w:tcW w:w="1118" w:type="dxa"/>
            <w:vAlign w:val="top"/>
          </w:tcPr>
          <w:p>
            <w:pPr>
              <w:pStyle w:val="TableText"/>
              <w:ind w:left="253" w:right="141" w:hanging="108"/>
              <w:spacing w:before="169" w:line="254" w:lineRule="auto"/>
              <w:rPr/>
            </w:pPr>
            <w:r>
              <w:rPr>
                <w:spacing w:val="6"/>
              </w:rPr>
              <w:t>一般固废</w:t>
            </w:r>
            <w:r>
              <w:rPr>
                <w:spacing w:val="1"/>
              </w:rPr>
              <w:t xml:space="preserve"> </w:t>
            </w:r>
            <w:r>
              <w:rPr>
                <w:spacing w:val="4"/>
              </w:rPr>
              <w:t>暂存库</w:t>
            </w:r>
          </w:p>
        </w:tc>
        <w:tc>
          <w:tcPr>
            <w:tcW w:w="1230" w:type="dxa"/>
            <w:vAlign w:val="top"/>
          </w:tcPr>
          <w:p>
            <w:pPr>
              <w:pStyle w:val="TableText"/>
              <w:ind w:left="200"/>
              <w:spacing w:before="34" w:line="228" w:lineRule="auto"/>
              <w:rPr/>
            </w:pPr>
            <w:r>
              <w:rPr>
                <w:spacing w:val="7"/>
              </w:rPr>
              <w:t>贮存固体</w:t>
            </w:r>
          </w:p>
          <w:p>
            <w:pPr>
              <w:pStyle w:val="TableText"/>
              <w:ind w:left="112"/>
              <w:spacing w:before="24" w:line="228" w:lineRule="auto"/>
              <w:rPr/>
            </w:pPr>
            <w:r>
              <w:rPr>
                <w:spacing w:val="1"/>
              </w:rPr>
              <w:t>废物，无废</w:t>
            </w:r>
          </w:p>
          <w:p>
            <w:pPr>
              <w:pStyle w:val="TableText"/>
              <w:ind w:left="307"/>
              <w:spacing w:before="23" w:line="216" w:lineRule="auto"/>
              <w:rPr/>
            </w:pPr>
            <w:r>
              <w:rPr>
                <w:spacing w:val="6"/>
              </w:rPr>
              <w:t>水产生</w:t>
            </w:r>
          </w:p>
        </w:tc>
        <w:tc>
          <w:tcPr>
            <w:tcW w:w="2419" w:type="dxa"/>
            <w:vAlign w:val="top"/>
          </w:tcPr>
          <w:p>
            <w:pPr>
              <w:pStyle w:val="TableText"/>
              <w:ind w:left="270"/>
              <w:spacing w:before="34" w:line="227" w:lineRule="auto"/>
              <w:rPr/>
            </w:pPr>
            <w:r>
              <w:rPr>
                <w:spacing w:val="8"/>
              </w:rPr>
              <w:t>地面采取防渗防腐措</w:t>
            </w:r>
          </w:p>
          <w:p>
            <w:pPr>
              <w:pStyle w:val="TableText"/>
              <w:ind w:left="168"/>
              <w:spacing w:before="24" w:line="228" w:lineRule="auto"/>
              <w:rPr/>
            </w:pPr>
            <w:r>
              <w:rPr>
                <w:spacing w:val="14"/>
              </w:rPr>
              <w:t>施，达到渗透系数</w:t>
            </w:r>
            <w:r>
              <w:rPr>
                <w:rFonts w:ascii="Times New Roman" w:hAnsi="Times New Roman" w:eastAsia="Times New Roman" w:cs="Times New Roman"/>
                <w:spacing w:val="14"/>
              </w:rPr>
              <w:t>K</w:t>
            </w:r>
            <w:r>
              <w:rPr>
                <w:spacing w:val="14"/>
              </w:rPr>
              <w:t>≤</w:t>
            </w:r>
          </w:p>
          <w:p>
            <w:pPr>
              <w:pStyle w:val="TableText"/>
              <w:ind w:left="423"/>
              <w:spacing w:before="24" w:line="216" w:lineRule="auto"/>
              <w:rPr/>
            </w:pPr>
            <w:r>
              <w:rPr>
                <w:rFonts w:ascii="Times New Roman" w:hAnsi="Times New Roman" w:eastAsia="Times New Roman" w:cs="Times New Roman"/>
                <w:spacing w:val="1"/>
              </w:rPr>
              <w:t>10</w:t>
            </w:r>
            <w:r>
              <w:rPr>
                <w:rFonts w:ascii="Times New Roman" w:hAnsi="Times New Roman" w:eastAsia="Times New Roman" w:cs="Times New Roman"/>
                <w:sz w:val="13"/>
                <w:szCs w:val="13"/>
                <w:spacing w:val="1"/>
                <w:position w:val="6"/>
              </w:rPr>
              <w:t>-7</w:t>
            </w:r>
            <w:r>
              <w:rPr>
                <w:rFonts w:ascii="Times New Roman" w:hAnsi="Times New Roman" w:eastAsia="Times New Roman" w:cs="Times New Roman"/>
                <w:sz w:val="13"/>
                <w:szCs w:val="13"/>
                <w:spacing w:val="30"/>
                <w:w w:val="101"/>
                <w:position w:val="6"/>
              </w:rPr>
              <w:t xml:space="preserve"> </w:t>
            </w:r>
            <w:r>
              <w:rPr>
                <w:spacing w:val="1"/>
              </w:rPr>
              <w:t>的防渗性能。</w:t>
            </w:r>
          </w:p>
        </w:tc>
        <w:tc>
          <w:tcPr>
            <w:tcW w:w="3237" w:type="dxa"/>
            <w:vAlign w:val="top"/>
          </w:tcPr>
          <w:p>
            <w:pPr>
              <w:spacing w:line="370" w:lineRule="auto"/>
              <w:rPr>
                <w:rFonts w:ascii="Arial"/>
                <w:sz w:val="21"/>
              </w:rPr>
            </w:pPr>
            <w:r/>
          </w:p>
          <w:p>
            <w:pPr>
              <w:ind w:left="1588"/>
              <w:spacing w:before="58" w:line="9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1915" w:hRule="atLeast"/>
        </w:trPr>
        <w:tc>
          <w:tcPr>
            <w:tcW w:w="779" w:type="dxa"/>
            <w:vAlign w:val="top"/>
            <w:vMerge w:val="continue"/>
            <w:tcBorders>
              <w:top w:val="nil"/>
            </w:tcBorders>
          </w:tcPr>
          <w:p>
            <w:pPr>
              <w:rPr>
                <w:rFonts w:ascii="Arial"/>
                <w:sz w:val="21"/>
              </w:rPr>
            </w:pPr>
            <w:r/>
          </w:p>
        </w:tc>
        <w:tc>
          <w:tcPr>
            <w:tcW w:w="1118" w:type="dxa"/>
            <w:vAlign w:val="top"/>
          </w:tcPr>
          <w:p>
            <w:pPr>
              <w:spacing w:line="323" w:lineRule="auto"/>
              <w:rPr>
                <w:rFonts w:ascii="Arial"/>
                <w:sz w:val="21"/>
              </w:rPr>
            </w:pPr>
            <w:r/>
          </w:p>
          <w:p>
            <w:pPr>
              <w:spacing w:line="324" w:lineRule="auto"/>
              <w:rPr>
                <w:rFonts w:ascii="Arial"/>
                <w:sz w:val="21"/>
              </w:rPr>
            </w:pPr>
            <w:r/>
          </w:p>
          <w:p>
            <w:pPr>
              <w:pStyle w:val="TableText"/>
              <w:ind w:left="144"/>
              <w:spacing w:before="65" w:line="228" w:lineRule="auto"/>
              <w:rPr/>
            </w:pPr>
            <w:r>
              <w:rPr>
                <w:spacing w:val="6"/>
              </w:rPr>
              <w:t>危险废物</w:t>
            </w:r>
          </w:p>
          <w:p>
            <w:pPr>
              <w:pStyle w:val="TableText"/>
              <w:ind w:left="253"/>
              <w:spacing w:before="23" w:line="228" w:lineRule="auto"/>
              <w:rPr/>
            </w:pPr>
            <w:r>
              <w:rPr>
                <w:spacing w:val="4"/>
              </w:rPr>
              <w:t>暂存间</w:t>
            </w:r>
          </w:p>
        </w:tc>
        <w:tc>
          <w:tcPr>
            <w:tcW w:w="1230" w:type="dxa"/>
            <w:vAlign w:val="top"/>
          </w:tcPr>
          <w:p>
            <w:pPr>
              <w:spacing w:line="255" w:lineRule="auto"/>
              <w:rPr>
                <w:rFonts w:ascii="Arial"/>
                <w:sz w:val="21"/>
              </w:rPr>
            </w:pPr>
            <w:r/>
          </w:p>
          <w:p>
            <w:pPr>
              <w:spacing w:line="255" w:lineRule="auto"/>
              <w:rPr>
                <w:rFonts w:ascii="Arial"/>
                <w:sz w:val="21"/>
              </w:rPr>
            </w:pPr>
            <w:r/>
          </w:p>
          <w:p>
            <w:pPr>
              <w:pStyle w:val="TableText"/>
              <w:ind w:left="198"/>
              <w:spacing w:before="65" w:line="228" w:lineRule="auto"/>
              <w:rPr/>
            </w:pPr>
            <w:r>
              <w:rPr>
                <w:spacing w:val="8"/>
              </w:rPr>
              <w:t>矿物油泄</w:t>
            </w:r>
          </w:p>
          <w:p>
            <w:pPr>
              <w:pStyle w:val="TableText"/>
              <w:ind w:left="199"/>
              <w:spacing w:before="24" w:line="228" w:lineRule="auto"/>
              <w:rPr/>
            </w:pPr>
            <w:r>
              <w:rPr>
                <w:spacing w:val="7"/>
              </w:rPr>
              <w:t>漏污染地</w:t>
            </w:r>
          </w:p>
          <w:p>
            <w:pPr>
              <w:pStyle w:val="TableText"/>
              <w:ind w:left="417"/>
              <w:spacing w:before="25" w:line="228" w:lineRule="auto"/>
              <w:rPr/>
            </w:pPr>
            <w:r>
              <w:rPr>
                <w:spacing w:val="1"/>
              </w:rPr>
              <w:t>下水</w:t>
            </w:r>
          </w:p>
        </w:tc>
        <w:tc>
          <w:tcPr>
            <w:tcW w:w="2419" w:type="dxa"/>
            <w:vAlign w:val="top"/>
          </w:tcPr>
          <w:p>
            <w:pPr>
              <w:pStyle w:val="TableText"/>
              <w:ind w:right="9"/>
              <w:spacing w:before="35" w:line="228" w:lineRule="auto"/>
              <w:jc w:val="right"/>
              <w:rPr/>
            </w:pPr>
            <w:r>
              <w:rPr>
                <w:spacing w:val="6"/>
              </w:rPr>
              <w:t>固体废物袋装，半固体、</w:t>
            </w:r>
          </w:p>
          <w:p>
            <w:pPr>
              <w:pStyle w:val="TableText"/>
              <w:ind w:left="166"/>
              <w:spacing w:before="26" w:line="227" w:lineRule="auto"/>
              <w:rPr/>
            </w:pPr>
            <w:r>
              <w:rPr>
                <w:spacing w:val="9"/>
              </w:rPr>
              <w:t>液体废物采用桶装，地</w:t>
            </w:r>
          </w:p>
          <w:p>
            <w:pPr>
              <w:pStyle w:val="TableText"/>
              <w:ind w:left="165"/>
              <w:spacing w:before="25" w:line="227" w:lineRule="auto"/>
              <w:rPr/>
            </w:pPr>
            <w:r>
              <w:rPr>
                <w:spacing w:val="7"/>
              </w:rPr>
              <w:t>面采取防渗防腐措施，</w:t>
            </w:r>
          </w:p>
          <w:p>
            <w:pPr>
              <w:pStyle w:val="TableText"/>
              <w:ind w:left="180"/>
              <w:spacing w:before="27" w:line="228" w:lineRule="auto"/>
              <w:rPr>
                <w:rFonts w:ascii="Times New Roman" w:hAnsi="Times New Roman" w:eastAsia="Times New Roman" w:cs="Times New Roman"/>
                <w:sz w:val="13"/>
                <w:szCs w:val="13"/>
              </w:rPr>
            </w:pPr>
            <w:r>
              <w:rPr>
                <w:spacing w:val="6"/>
              </w:rPr>
              <w:t>达到渗透系数</w:t>
            </w:r>
            <w:r>
              <w:rPr>
                <w:spacing w:val="-37"/>
              </w:rPr>
              <w:t xml:space="preserve"> </w:t>
            </w:r>
            <w:r>
              <w:rPr>
                <w:rFonts w:ascii="Times New Roman" w:hAnsi="Times New Roman" w:eastAsia="Times New Roman" w:cs="Times New Roman"/>
                <w:spacing w:val="6"/>
              </w:rPr>
              <w:t>K</w:t>
            </w:r>
            <w:r>
              <w:rPr>
                <w:spacing w:val="6"/>
              </w:rPr>
              <w:t>≤</w:t>
            </w:r>
            <w:r>
              <w:rPr>
                <w:rFonts w:ascii="Times New Roman" w:hAnsi="Times New Roman" w:eastAsia="Times New Roman" w:cs="Times New Roman"/>
                <w:spacing w:val="6"/>
              </w:rPr>
              <w:t>10</w:t>
            </w:r>
            <w:r>
              <w:rPr>
                <w:rFonts w:ascii="Times New Roman" w:hAnsi="Times New Roman" w:eastAsia="Times New Roman" w:cs="Times New Roman"/>
                <w:sz w:val="13"/>
                <w:szCs w:val="13"/>
                <w:spacing w:val="6"/>
                <w:position w:val="6"/>
              </w:rPr>
              <w:t>-10</w:t>
            </w:r>
          </w:p>
          <w:p>
            <w:pPr>
              <w:pStyle w:val="TableText"/>
              <w:ind w:left="182"/>
              <w:spacing w:before="24" w:line="228" w:lineRule="auto"/>
              <w:rPr/>
            </w:pPr>
            <w:r>
              <w:rPr>
                <w:spacing w:val="7"/>
              </w:rPr>
              <w:t>的防渗性能，库内配置</w:t>
            </w:r>
          </w:p>
          <w:p>
            <w:pPr>
              <w:pStyle w:val="TableText"/>
              <w:ind w:left="168"/>
              <w:spacing w:before="24" w:line="228" w:lineRule="auto"/>
              <w:rPr/>
            </w:pPr>
            <w:r>
              <w:rPr>
                <w:spacing w:val="8"/>
              </w:rPr>
              <w:t>泄露液收集系统，设置</w:t>
            </w:r>
          </w:p>
          <w:p>
            <w:pPr>
              <w:pStyle w:val="TableText"/>
              <w:ind w:left="689"/>
              <w:spacing w:before="26" w:line="218" w:lineRule="auto"/>
              <w:rPr/>
            </w:pPr>
            <w:r>
              <w:rPr>
                <w:spacing w:val="6"/>
              </w:rPr>
              <w:t>截留裙脚。</w:t>
            </w:r>
          </w:p>
        </w:tc>
        <w:tc>
          <w:tcPr>
            <w:tcW w:w="3237" w:type="dxa"/>
            <w:vAlign w:val="top"/>
          </w:tcPr>
          <w:p>
            <w:pPr>
              <w:pStyle w:val="TableText"/>
              <w:ind w:left="157"/>
              <w:spacing w:before="171" w:line="228" w:lineRule="auto"/>
              <w:rPr/>
            </w:pPr>
            <w:r>
              <w:rPr>
                <w:spacing w:val="8"/>
              </w:rPr>
              <w:t>正常状况下矿物油存桶装，车间</w:t>
            </w:r>
          </w:p>
          <w:p>
            <w:pPr>
              <w:pStyle w:val="TableText"/>
              <w:ind w:left="153"/>
              <w:spacing w:before="24" w:line="227" w:lineRule="auto"/>
              <w:rPr/>
            </w:pPr>
            <w:r>
              <w:rPr>
                <w:spacing w:val="9"/>
              </w:rPr>
              <w:t>地面采取防渗防腐措施，渗透系</w:t>
            </w:r>
          </w:p>
          <w:p>
            <w:pPr>
              <w:pStyle w:val="TableText"/>
              <w:ind w:left="154"/>
              <w:spacing w:before="25" w:line="227" w:lineRule="auto"/>
              <w:rPr/>
            </w:pPr>
            <w:r>
              <w:rPr>
                <w:spacing w:val="5"/>
              </w:rPr>
              <w:t>数＜</w:t>
            </w:r>
            <w:r>
              <w:rPr>
                <w:rFonts w:ascii="Times New Roman" w:hAnsi="Times New Roman" w:eastAsia="Times New Roman" w:cs="Times New Roman"/>
                <w:spacing w:val="5"/>
              </w:rPr>
              <w:t>1.0</w:t>
            </w:r>
            <w:r>
              <w:rPr>
                <w:spacing w:val="5"/>
              </w:rPr>
              <w:t>×</w:t>
            </w:r>
            <w:r>
              <w:rPr>
                <w:rFonts w:ascii="Times New Roman" w:hAnsi="Times New Roman" w:eastAsia="Times New Roman" w:cs="Times New Roman"/>
                <w:spacing w:val="5"/>
              </w:rPr>
              <w:t>10</w:t>
            </w:r>
            <w:r>
              <w:rPr>
                <w:rFonts w:ascii="Times New Roman" w:hAnsi="Times New Roman" w:eastAsia="Times New Roman" w:cs="Times New Roman"/>
                <w:sz w:val="13"/>
                <w:szCs w:val="13"/>
                <w:spacing w:val="5"/>
                <w:position w:val="6"/>
              </w:rPr>
              <w:t>-10</w:t>
            </w:r>
            <w:r>
              <w:rPr>
                <w:rFonts w:ascii="Times New Roman" w:hAnsi="Times New Roman" w:eastAsia="Times New Roman" w:cs="Times New Roman"/>
              </w:rPr>
              <w:t>cm</w:t>
            </w:r>
            <w:r>
              <w:rPr>
                <w:rFonts w:ascii="Times New Roman" w:hAnsi="Times New Roman" w:eastAsia="Times New Roman" w:cs="Times New Roman"/>
                <w:spacing w:val="5"/>
              </w:rPr>
              <w:t>/s</w:t>
            </w:r>
            <w:r>
              <w:rPr>
                <w:rFonts w:ascii="Times New Roman" w:hAnsi="Times New Roman" w:eastAsia="Times New Roman" w:cs="Times New Roman"/>
                <w:spacing w:val="-20"/>
              </w:rPr>
              <w:t xml:space="preserve"> </w:t>
            </w:r>
            <w:r>
              <w:rPr>
                <w:spacing w:val="5"/>
              </w:rPr>
              <w:t>，不会污染地</w:t>
            </w:r>
          </w:p>
          <w:p>
            <w:pPr>
              <w:pStyle w:val="TableText"/>
              <w:ind w:left="159"/>
              <w:spacing w:before="27" w:line="228" w:lineRule="auto"/>
              <w:rPr/>
            </w:pPr>
            <w:r>
              <w:rPr>
                <w:spacing w:val="8"/>
              </w:rPr>
              <w:t>下水。发生泄漏可及时发现并得</w:t>
            </w:r>
          </w:p>
          <w:p>
            <w:pPr>
              <w:pStyle w:val="TableText"/>
              <w:ind w:left="158"/>
              <w:spacing w:before="24" w:line="228" w:lineRule="auto"/>
              <w:rPr/>
            </w:pPr>
            <w:r>
              <w:rPr>
                <w:spacing w:val="8"/>
              </w:rPr>
              <w:t>到处置。造成地下水污染的可能</w:t>
            </w:r>
          </w:p>
          <w:p>
            <w:pPr>
              <w:pStyle w:val="TableText"/>
              <w:ind w:left="1312"/>
              <w:spacing w:before="27" w:line="229" w:lineRule="auto"/>
              <w:rPr/>
            </w:pPr>
            <w:r>
              <w:rPr>
                <w:spacing w:val="6"/>
              </w:rPr>
              <w:t>性较小</w:t>
            </w:r>
          </w:p>
        </w:tc>
      </w:tr>
    </w:tbl>
    <w:p>
      <w:pPr>
        <w:ind w:left="150" w:right="140" w:firstLine="510"/>
        <w:spacing w:before="191" w:line="385" w:lineRule="auto"/>
        <w:jc w:val="both"/>
        <w:rPr>
          <w:rFonts w:ascii="SimSun" w:hAnsi="SimSun" w:eastAsia="SimSun" w:cs="SimSun"/>
          <w:sz w:val="24"/>
          <w:szCs w:val="24"/>
        </w:rPr>
      </w:pPr>
      <w:r>
        <w:rPr>
          <w:rFonts w:ascii="SimSun" w:hAnsi="SimSun" w:eastAsia="SimSun" w:cs="SimSun"/>
          <w:sz w:val="24"/>
          <w:szCs w:val="24"/>
          <w:spacing w:val="2"/>
        </w:rPr>
        <w:t>由工程分析结果及污染风险识别结果可知：本项目地下水污染风险最大的区</w:t>
      </w:r>
      <w:r>
        <w:rPr>
          <w:rFonts w:ascii="SimSun" w:hAnsi="SimSun" w:eastAsia="SimSun" w:cs="SimSun"/>
          <w:sz w:val="24"/>
          <w:szCs w:val="24"/>
        </w:rPr>
        <w:t xml:space="preserve"> </w:t>
      </w:r>
      <w:r>
        <w:rPr>
          <w:rFonts w:ascii="SimSun" w:hAnsi="SimSun" w:eastAsia="SimSun" w:cs="SimSun"/>
          <w:sz w:val="24"/>
          <w:szCs w:val="24"/>
          <w:spacing w:val="-2"/>
        </w:rPr>
        <w:t>域为东、西厂区洗毛车间内地下废水收集池、厌氧发酵</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TS </w:t>
      </w:r>
      <w:r>
        <w:rPr>
          <w:rFonts w:ascii="SimSun" w:hAnsi="SimSun" w:eastAsia="SimSun" w:cs="SimSun"/>
          <w:sz w:val="24"/>
          <w:szCs w:val="24"/>
          <w:spacing w:val="-2"/>
        </w:rPr>
        <w:t>调节池防渗层破损难以</w:t>
      </w:r>
      <w:r>
        <w:rPr>
          <w:rFonts w:ascii="SimSun" w:hAnsi="SimSun" w:eastAsia="SimSun" w:cs="SimSun"/>
          <w:sz w:val="24"/>
          <w:szCs w:val="24"/>
        </w:rPr>
        <w:t xml:space="preserve"> </w:t>
      </w:r>
      <w:r>
        <w:rPr>
          <w:rFonts w:ascii="SimSun" w:hAnsi="SimSun" w:eastAsia="SimSun" w:cs="SimSun"/>
          <w:sz w:val="24"/>
          <w:szCs w:val="24"/>
          <w:spacing w:val="3"/>
        </w:rPr>
        <w:t>及时发现，得不到及时处置，容易发生持续泄漏，对</w:t>
      </w:r>
      <w:r>
        <w:rPr>
          <w:rFonts w:ascii="SimSun" w:hAnsi="SimSun" w:eastAsia="SimSun" w:cs="SimSun"/>
          <w:sz w:val="24"/>
          <w:szCs w:val="24"/>
          <w:spacing w:val="2"/>
        </w:rPr>
        <w:t>地下水污染风险较大。考虑</w:t>
      </w:r>
      <w:r>
        <w:rPr>
          <w:rFonts w:ascii="SimSun" w:hAnsi="SimSun" w:eastAsia="SimSun" w:cs="SimSun"/>
          <w:sz w:val="24"/>
          <w:szCs w:val="24"/>
        </w:rPr>
        <w:t xml:space="preserve"> </w:t>
      </w:r>
      <w:r>
        <w:rPr>
          <w:rFonts w:ascii="SimSun" w:hAnsi="SimSun" w:eastAsia="SimSun" w:cs="SimSun"/>
          <w:sz w:val="24"/>
          <w:szCs w:val="24"/>
          <w:spacing w:val="-2"/>
        </w:rPr>
        <w:t>到东、西厂区洗毛车间两车间废水收集池收集废水进入</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TS </w:t>
      </w:r>
      <w:r>
        <w:rPr>
          <w:rFonts w:ascii="SimSun" w:hAnsi="SimSun" w:eastAsia="SimSun" w:cs="SimSun"/>
          <w:sz w:val="24"/>
          <w:szCs w:val="24"/>
          <w:spacing w:val="-2"/>
        </w:rPr>
        <w:t>调节池调质后，都汇聚</w:t>
      </w:r>
      <w:r>
        <w:rPr>
          <w:rFonts w:ascii="SimSun" w:hAnsi="SimSun" w:eastAsia="SimSun" w:cs="SimSun"/>
          <w:sz w:val="24"/>
          <w:szCs w:val="24"/>
        </w:rPr>
        <w:t xml:space="preserve"> </w:t>
      </w:r>
      <w:r>
        <w:rPr>
          <w:rFonts w:ascii="SimSun" w:hAnsi="SimSun" w:eastAsia="SimSun" w:cs="SimSun"/>
          <w:sz w:val="24"/>
          <w:szCs w:val="24"/>
          <w:spacing w:val="-2"/>
        </w:rPr>
        <w:t>到厌氧发酵罐区处理，本次选择厌氧发酵</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TS </w:t>
      </w:r>
      <w:r>
        <w:rPr>
          <w:rFonts w:ascii="SimSun" w:hAnsi="SimSun" w:eastAsia="SimSun" w:cs="SimSun"/>
          <w:sz w:val="24"/>
          <w:szCs w:val="24"/>
          <w:spacing w:val="-2"/>
        </w:rPr>
        <w:t>调节池作为预测对象进行预测。主要</w:t>
      </w:r>
      <w:r>
        <w:rPr>
          <w:rFonts w:ascii="SimSun" w:hAnsi="SimSun" w:eastAsia="SimSun" w:cs="SimSun"/>
          <w:sz w:val="24"/>
          <w:szCs w:val="24"/>
        </w:rPr>
        <w:t xml:space="preserve"> </w:t>
      </w:r>
      <w:r>
        <w:rPr>
          <w:rFonts w:ascii="SimSun" w:hAnsi="SimSun" w:eastAsia="SimSun" w:cs="SimSun"/>
          <w:sz w:val="24"/>
          <w:szCs w:val="24"/>
          <w:spacing w:val="-1"/>
        </w:rPr>
        <w:t>设置如下预测情景：</w:t>
      </w:r>
    </w:p>
    <w:p>
      <w:pPr>
        <w:ind w:left="630"/>
        <w:spacing w:line="217" w:lineRule="auto"/>
        <w:rPr>
          <w:rFonts w:ascii="SimSun" w:hAnsi="SimSun" w:eastAsia="SimSun" w:cs="SimSun"/>
          <w:sz w:val="24"/>
          <w:szCs w:val="24"/>
        </w:rPr>
      </w:pPr>
      <w:r>
        <w:rPr>
          <w:rFonts w:ascii="SimSun" w:hAnsi="SimSun" w:eastAsia="SimSun" w:cs="SimSun"/>
          <w:sz w:val="24"/>
          <w:szCs w:val="24"/>
          <w:spacing w:val="-1"/>
        </w:rPr>
        <w:t>①正常状况厌氧发酵装置</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TS </w:t>
      </w:r>
      <w:r>
        <w:rPr>
          <w:rFonts w:ascii="SimSun" w:hAnsi="SimSun" w:eastAsia="SimSun" w:cs="SimSun"/>
          <w:sz w:val="24"/>
          <w:szCs w:val="24"/>
          <w:spacing w:val="-1"/>
        </w:rPr>
        <w:t>调节池有防渗；</w:t>
      </w:r>
    </w:p>
    <w:p>
      <w:pPr>
        <w:ind w:left="629"/>
        <w:spacing w:before="217" w:line="217" w:lineRule="auto"/>
        <w:rPr>
          <w:rFonts w:ascii="SimSun" w:hAnsi="SimSun" w:eastAsia="SimSun" w:cs="SimSun"/>
          <w:sz w:val="24"/>
          <w:szCs w:val="24"/>
        </w:rPr>
      </w:pPr>
      <w:r>
        <w:rPr>
          <w:rFonts w:ascii="SimSun" w:hAnsi="SimSun" w:eastAsia="SimSun" w:cs="SimSun"/>
          <w:sz w:val="24"/>
          <w:szCs w:val="24"/>
          <w:spacing w:val="-1"/>
        </w:rPr>
        <w:t>②非正常状况厌氧发酵装置</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TS </w:t>
      </w:r>
      <w:r>
        <w:rPr>
          <w:rFonts w:ascii="SimSun" w:hAnsi="SimSun" w:eastAsia="SimSun" w:cs="SimSun"/>
          <w:sz w:val="24"/>
          <w:szCs w:val="24"/>
          <w:spacing w:val="-1"/>
        </w:rPr>
        <w:t>调节池防渗层破损，短时泄漏。</w:t>
      </w:r>
    </w:p>
    <w:p>
      <w:pPr>
        <w:ind w:left="650"/>
        <w:spacing w:before="216" w:line="220" w:lineRule="auto"/>
        <w:rPr>
          <w:rFonts w:ascii="SimSun" w:hAnsi="SimSun" w:eastAsia="SimSun" w:cs="SimSun"/>
          <w:sz w:val="24"/>
          <w:szCs w:val="24"/>
        </w:rPr>
      </w:pPr>
      <w:r>
        <w:rPr>
          <w:rFonts w:ascii="Times New Roman" w:hAnsi="Times New Roman" w:eastAsia="Times New Roman" w:cs="Times New Roman"/>
          <w:sz w:val="24"/>
          <w:szCs w:val="24"/>
          <w:spacing w:val="-10"/>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0"/>
        </w:rPr>
        <w:t>、预测因子</w:t>
      </w:r>
    </w:p>
    <w:p>
      <w:pPr>
        <w:ind w:left="151" w:right="140" w:firstLine="480"/>
        <w:spacing w:before="216" w:line="377" w:lineRule="auto"/>
        <w:jc w:val="both"/>
        <w:rPr>
          <w:rFonts w:ascii="SimSun" w:hAnsi="SimSun" w:eastAsia="SimSun" w:cs="SimSun"/>
          <w:sz w:val="24"/>
          <w:szCs w:val="24"/>
        </w:rPr>
      </w:pPr>
      <w:r>
        <w:rPr>
          <w:rFonts w:ascii="SimSun" w:hAnsi="SimSun" w:eastAsia="SimSun" w:cs="SimSun"/>
          <w:sz w:val="24"/>
          <w:szCs w:val="24"/>
          <w:spacing w:val="-1"/>
        </w:rPr>
        <w:t>根据《地下水环境影响评价技术导则 地下水环境》（</w:t>
      </w:r>
      <w:r>
        <w:rPr>
          <w:rFonts w:ascii="Times New Roman" w:hAnsi="Times New Roman" w:eastAsia="Times New Roman" w:cs="Times New Roman"/>
          <w:sz w:val="24"/>
          <w:szCs w:val="24"/>
          <w:spacing w:val="-1"/>
        </w:rPr>
        <w:t>HJ610-2016</w:t>
      </w:r>
      <w:r>
        <w:rPr>
          <w:rFonts w:ascii="SimSun" w:hAnsi="SimSun" w:eastAsia="SimSun" w:cs="SimSun"/>
          <w:sz w:val="24"/>
          <w:szCs w:val="24"/>
          <w:spacing w:val="11"/>
        </w:rPr>
        <w:t>），</w:t>
      </w:r>
      <w:r>
        <w:rPr>
          <w:rFonts w:ascii="SimSun" w:hAnsi="SimSun" w:eastAsia="SimSun" w:cs="SimSun"/>
          <w:sz w:val="24"/>
          <w:szCs w:val="24"/>
          <w:spacing w:val="-1"/>
        </w:rPr>
        <w:t>预测时</w:t>
      </w:r>
      <w:r>
        <w:rPr>
          <w:rFonts w:ascii="SimSun" w:hAnsi="SimSun" w:eastAsia="SimSun" w:cs="SimSun"/>
          <w:sz w:val="24"/>
          <w:szCs w:val="24"/>
          <w:spacing w:val="1"/>
        </w:rPr>
        <w:t xml:space="preserve"> </w:t>
      </w:r>
      <w:r>
        <w:rPr>
          <w:rFonts w:ascii="SimSun" w:hAnsi="SimSun" w:eastAsia="SimSun" w:cs="SimSun"/>
          <w:sz w:val="24"/>
          <w:szCs w:val="24"/>
          <w:spacing w:val="3"/>
        </w:rPr>
        <w:t>段应包括项目建设期、运行期和服务期满三个阶段。项</w:t>
      </w:r>
      <w:r>
        <w:rPr>
          <w:rFonts w:ascii="SimSun" w:hAnsi="SimSun" w:eastAsia="SimSun" w:cs="SimSun"/>
          <w:sz w:val="24"/>
          <w:szCs w:val="24"/>
          <w:spacing w:val="2"/>
        </w:rPr>
        <w:t>目在建设阶段的工程施工</w:t>
      </w:r>
      <w:r>
        <w:rPr>
          <w:rFonts w:ascii="SimSun" w:hAnsi="SimSun" w:eastAsia="SimSun" w:cs="SimSun"/>
          <w:sz w:val="24"/>
          <w:szCs w:val="24"/>
        </w:rPr>
        <w:t xml:space="preserve"> </w:t>
      </w:r>
      <w:r>
        <w:rPr>
          <w:rFonts w:ascii="SimSun" w:hAnsi="SimSun" w:eastAsia="SimSun" w:cs="SimSun"/>
          <w:sz w:val="24"/>
          <w:szCs w:val="24"/>
          <w:spacing w:val="3"/>
        </w:rPr>
        <w:t>过程中对环境影响较小，故本次不做考虑。项目服务期</w:t>
      </w:r>
      <w:r>
        <w:rPr>
          <w:rFonts w:ascii="SimSun" w:hAnsi="SimSun" w:eastAsia="SimSun" w:cs="SimSun"/>
          <w:sz w:val="24"/>
          <w:szCs w:val="24"/>
          <w:spacing w:val="2"/>
        </w:rPr>
        <w:t>满后，将采取相关的环保</w:t>
      </w:r>
      <w:r>
        <w:rPr>
          <w:rFonts w:ascii="SimSun" w:hAnsi="SimSun" w:eastAsia="SimSun" w:cs="SimSun"/>
          <w:sz w:val="24"/>
          <w:szCs w:val="24"/>
        </w:rPr>
        <w:t xml:space="preserve"> </w:t>
      </w:r>
      <w:r>
        <w:rPr>
          <w:rFonts w:ascii="SimSun" w:hAnsi="SimSun" w:eastAsia="SimSun" w:cs="SimSun"/>
          <w:sz w:val="24"/>
          <w:szCs w:val="24"/>
          <w:spacing w:val="3"/>
        </w:rPr>
        <w:t>措施，杜绝污染源泄漏；因此这里只考虑项目运行过程</w:t>
      </w:r>
      <w:r>
        <w:rPr>
          <w:rFonts w:ascii="SimSun" w:hAnsi="SimSun" w:eastAsia="SimSun" w:cs="SimSun"/>
          <w:sz w:val="24"/>
          <w:szCs w:val="24"/>
          <w:spacing w:val="2"/>
        </w:rPr>
        <w:t>中的相关污染源渗漏的问</w:t>
      </w:r>
      <w:r>
        <w:rPr>
          <w:rFonts w:ascii="SimSun" w:hAnsi="SimSun" w:eastAsia="SimSun" w:cs="SimSun"/>
          <w:sz w:val="24"/>
          <w:szCs w:val="24"/>
        </w:rPr>
        <w:t xml:space="preserve"> </w:t>
      </w:r>
      <w:r>
        <w:rPr>
          <w:rFonts w:ascii="SimSun" w:hAnsi="SimSun" w:eastAsia="SimSun" w:cs="SimSun"/>
          <w:sz w:val="24"/>
          <w:szCs w:val="24"/>
          <w:spacing w:val="-5"/>
        </w:rPr>
        <w:t>题。</w:t>
      </w:r>
    </w:p>
    <w:p>
      <w:pPr>
        <w:spacing w:line="377" w:lineRule="auto"/>
        <w:sectPr>
          <w:footerReference w:type="default" r:id="rId264"/>
          <w:pgSz w:w="11907" w:h="16840"/>
          <w:pgMar w:top="1567" w:right="1559" w:bottom="1921" w:left="1559" w:header="1221" w:footer="1247" w:gutter="0"/>
        </w:sectPr>
        <w:rPr>
          <w:rFonts w:ascii="SimSun" w:hAnsi="SimSun" w:eastAsia="SimSun" w:cs="SimSun"/>
          <w:sz w:val="24"/>
          <w:szCs w:val="24"/>
        </w:rPr>
      </w:pPr>
    </w:p>
    <w:p>
      <w:pPr>
        <w:pStyle w:val="BodyText"/>
        <w:spacing w:line="263" w:lineRule="auto"/>
        <w:rPr/>
      </w:pPr>
      <w:r>
        <w:pict>
          <v:shape id="_x0000_s940" style="position:absolute;margin-left:0.890007pt;margin-top:0.569946pt;mso-position-vertical-relative:text;mso-position-horizontal-relative:text;width:425.25pt;height:0.75pt;z-index:252086272;" fillcolor="#000000" filled="true" stroked="false" coordsize="8505,15" coordorigin="0,0" path="m,l8505,0l8505,14l0,14l0,0xe"/>
        </w:pict>
      </w:r>
      <w:r/>
    </w:p>
    <w:p>
      <w:pPr>
        <w:ind w:left="26" w:right="18" w:firstLine="481"/>
        <w:spacing w:before="78" w:line="385" w:lineRule="auto"/>
        <w:jc w:val="both"/>
        <w:rPr>
          <w:rFonts w:ascii="SimSun" w:hAnsi="SimSun" w:eastAsia="SimSun" w:cs="SimSun"/>
          <w:sz w:val="24"/>
          <w:szCs w:val="24"/>
        </w:rPr>
      </w:pPr>
      <w:r>
        <w:rPr>
          <w:rFonts w:ascii="SimSun" w:hAnsi="SimSun" w:eastAsia="SimSun" w:cs="SimSun"/>
          <w:sz w:val="24"/>
          <w:szCs w:val="24"/>
          <w:spacing w:val="3"/>
        </w:rPr>
        <w:t>本次评价通过选定优先控制污染物，主要预测在非正常工况下污</w:t>
      </w:r>
      <w:r>
        <w:rPr>
          <w:rFonts w:ascii="SimSun" w:hAnsi="SimSun" w:eastAsia="SimSun" w:cs="SimSun"/>
          <w:sz w:val="24"/>
          <w:szCs w:val="24"/>
          <w:spacing w:val="2"/>
        </w:rPr>
        <w:t>染物在地下</w:t>
      </w:r>
      <w:r>
        <w:rPr>
          <w:rFonts w:ascii="SimSun" w:hAnsi="SimSun" w:eastAsia="SimSun" w:cs="SimSun"/>
          <w:sz w:val="24"/>
          <w:szCs w:val="24"/>
        </w:rPr>
        <w:t xml:space="preserve"> </w:t>
      </w:r>
      <w:r>
        <w:rPr>
          <w:rFonts w:ascii="SimSun" w:hAnsi="SimSun" w:eastAsia="SimSun" w:cs="SimSun"/>
          <w:sz w:val="24"/>
          <w:szCs w:val="24"/>
          <w:spacing w:val="3"/>
        </w:rPr>
        <w:t>水中的迁移过程，进一步分析污染物影响范围、超标范围</w:t>
      </w:r>
      <w:r>
        <w:rPr>
          <w:rFonts w:ascii="SimSun" w:hAnsi="SimSun" w:eastAsia="SimSun" w:cs="SimSun"/>
          <w:sz w:val="24"/>
          <w:szCs w:val="24"/>
          <w:spacing w:val="2"/>
        </w:rPr>
        <w:t>及浓度变化趋势；本次</w:t>
      </w:r>
      <w:r>
        <w:rPr>
          <w:rFonts w:ascii="SimSun" w:hAnsi="SimSun" w:eastAsia="SimSun" w:cs="SimSun"/>
          <w:sz w:val="24"/>
          <w:szCs w:val="24"/>
        </w:rPr>
        <w:t xml:space="preserve"> </w:t>
      </w:r>
      <w:r>
        <w:rPr>
          <w:rFonts w:ascii="SimSun" w:hAnsi="SimSun" w:eastAsia="SimSun" w:cs="SimSun"/>
          <w:sz w:val="24"/>
          <w:szCs w:val="24"/>
          <w:spacing w:val="-4"/>
        </w:rPr>
        <w:t>评价选定氧发酵装置</w:t>
      </w:r>
      <w:r>
        <w:rPr>
          <w:rFonts w:ascii="Times New Roman" w:hAnsi="Times New Roman" w:eastAsia="Times New Roman" w:cs="Times New Roman"/>
          <w:sz w:val="24"/>
          <w:szCs w:val="24"/>
          <w:spacing w:val="-4"/>
        </w:rPr>
        <w:t>TS</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4"/>
        </w:rPr>
        <w:t>调节池作为非正常工况下的污染源，排放形式为连续排</w:t>
      </w:r>
      <w:r>
        <w:rPr>
          <w:rFonts w:ascii="SimSun" w:hAnsi="SimSun" w:eastAsia="SimSun" w:cs="SimSun"/>
          <w:sz w:val="24"/>
          <w:szCs w:val="24"/>
          <w:spacing w:val="-5"/>
        </w:rPr>
        <w:t>放。</w:t>
      </w:r>
      <w:r>
        <w:rPr>
          <w:rFonts w:ascii="SimSun" w:hAnsi="SimSun" w:eastAsia="SimSun" w:cs="SimSun"/>
          <w:sz w:val="24"/>
          <w:szCs w:val="24"/>
        </w:rPr>
        <w:t xml:space="preserve"> </w:t>
      </w:r>
      <w:r>
        <w:rPr>
          <w:rFonts w:ascii="SimSun" w:hAnsi="SimSun" w:eastAsia="SimSun" w:cs="SimSun"/>
          <w:sz w:val="24"/>
          <w:szCs w:val="24"/>
        </w:rPr>
        <w:t>根据《环境影响评价技术导则地下水环境》</w:t>
      </w:r>
      <w:r>
        <w:rPr>
          <w:rFonts w:ascii="Times New Roman" w:hAnsi="Times New Roman" w:eastAsia="Times New Roman" w:cs="Times New Roman"/>
          <w:sz w:val="24"/>
          <w:szCs w:val="24"/>
        </w:rPr>
        <w:t>HJ610-2016</w:t>
      </w:r>
      <w:r>
        <w:rPr>
          <w:rFonts w:ascii="Times New Roman" w:hAnsi="Times New Roman" w:eastAsia="Times New Roman" w:cs="Times New Roman"/>
          <w:sz w:val="24"/>
          <w:szCs w:val="24"/>
          <w:spacing w:val="47"/>
        </w:rPr>
        <w:t xml:space="preserve"> </w:t>
      </w:r>
      <w:r>
        <w:rPr>
          <w:rFonts w:ascii="SimSun" w:hAnsi="SimSun" w:eastAsia="SimSun" w:cs="SimSun"/>
          <w:sz w:val="24"/>
          <w:szCs w:val="24"/>
        </w:rPr>
        <w:t>的要求，选用标准指数法 </w:t>
      </w:r>
      <w:r>
        <w:rPr>
          <w:rFonts w:ascii="SimSun" w:hAnsi="SimSun" w:eastAsia="SimSun" w:cs="SimSun"/>
          <w:sz w:val="24"/>
          <w:szCs w:val="24"/>
          <w:spacing w:val="-2"/>
        </w:rPr>
        <w:t>对各项污染因子进行排序，假设厌氧发酵装置</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TS </w:t>
      </w:r>
      <w:r>
        <w:rPr>
          <w:rFonts w:ascii="SimSun" w:hAnsi="SimSun" w:eastAsia="SimSun" w:cs="SimSun"/>
          <w:sz w:val="24"/>
          <w:szCs w:val="24"/>
          <w:spacing w:val="-2"/>
        </w:rPr>
        <w:t>调节池发生渗漏事故，根据项目</w:t>
      </w:r>
      <w:r>
        <w:rPr>
          <w:rFonts w:ascii="SimSun" w:hAnsi="SimSun" w:eastAsia="SimSun" w:cs="SimSun"/>
          <w:sz w:val="24"/>
          <w:szCs w:val="24"/>
        </w:rPr>
        <w:t xml:space="preserve"> </w:t>
      </w:r>
      <w:r>
        <w:rPr>
          <w:rFonts w:ascii="SimSun" w:hAnsi="SimSun" w:eastAsia="SimSun" w:cs="SimSun"/>
          <w:sz w:val="24"/>
          <w:szCs w:val="24"/>
          <w:spacing w:val="-1"/>
        </w:rPr>
        <w:t>废水水质分析，各污染物标准指数排序表见表</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5.3-4</w:t>
      </w:r>
      <w:r>
        <w:rPr>
          <w:rFonts w:ascii="SimSun" w:hAnsi="SimSun" w:eastAsia="SimSun" w:cs="SimSun"/>
          <w:sz w:val="24"/>
          <w:szCs w:val="24"/>
          <w:spacing w:val="-1"/>
        </w:rPr>
        <w:t>。</w:t>
      </w:r>
    </w:p>
    <w:p>
      <w:pPr>
        <w:ind w:left="2402"/>
        <w:spacing w:line="219" w:lineRule="auto"/>
        <w:rPr>
          <w:rFonts w:ascii="SimSun" w:hAnsi="SimSun" w:eastAsia="SimSun" w:cs="SimSun"/>
          <w:sz w:val="24"/>
          <w:szCs w:val="24"/>
        </w:rPr>
      </w:pPr>
      <w:r>
        <w:rPr>
          <w:rFonts w:ascii="SimSun" w:hAnsi="SimSun" w:eastAsia="SimSun" w:cs="SimSun"/>
          <w:sz w:val="24"/>
          <w:szCs w:val="24"/>
          <w:b/>
          <w:bCs/>
          <w:spacing w:val="-2"/>
        </w:rPr>
        <w:t>表</w:t>
      </w:r>
      <w:r>
        <w:rPr>
          <w:rFonts w:ascii="Times New Roman" w:hAnsi="Times New Roman" w:eastAsia="Times New Roman" w:cs="Times New Roman"/>
          <w:sz w:val="24"/>
          <w:szCs w:val="24"/>
          <w:b/>
          <w:bCs/>
          <w:spacing w:val="-2"/>
        </w:rPr>
        <w:t>5.3-4      </w:t>
      </w:r>
      <w:r>
        <w:rPr>
          <w:rFonts w:ascii="SimSun" w:hAnsi="SimSun" w:eastAsia="SimSun" w:cs="SimSun"/>
          <w:sz w:val="24"/>
          <w:szCs w:val="24"/>
          <w:b/>
          <w:bCs/>
          <w:spacing w:val="-2"/>
        </w:rPr>
        <w:t>各污染物标准指数排序表</w:t>
      </w:r>
    </w:p>
    <w:p>
      <w:pPr>
        <w:spacing w:line="89" w:lineRule="exact"/>
        <w:rPr/>
      </w:pPr>
      <w:r/>
    </w:p>
    <w:tbl>
      <w:tblPr>
        <w:tblStyle w:val="TableNormal"/>
        <w:tblW w:w="853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59"/>
        <w:gridCol w:w="1377"/>
        <w:gridCol w:w="1368"/>
        <w:gridCol w:w="1312"/>
        <w:gridCol w:w="1288"/>
        <w:gridCol w:w="2230"/>
      </w:tblGrid>
      <w:tr>
        <w:trPr>
          <w:trHeight w:val="554" w:hRule="atLeast"/>
        </w:trPr>
        <w:tc>
          <w:tcPr>
            <w:tcW w:w="959" w:type="dxa"/>
            <w:vAlign w:val="top"/>
          </w:tcPr>
          <w:p>
            <w:pPr>
              <w:pStyle w:val="TableText"/>
              <w:ind w:left="172"/>
              <w:spacing w:before="170" w:line="228" w:lineRule="auto"/>
              <w:rPr/>
            </w:pPr>
            <w:r>
              <w:rPr>
                <w:spacing w:val="6"/>
              </w:rPr>
              <w:t>污染源</w:t>
            </w:r>
          </w:p>
        </w:tc>
        <w:tc>
          <w:tcPr>
            <w:tcW w:w="1377" w:type="dxa"/>
            <w:vAlign w:val="top"/>
          </w:tcPr>
          <w:p>
            <w:pPr>
              <w:pStyle w:val="TableText"/>
              <w:ind w:left="170"/>
              <w:spacing w:before="170" w:line="228" w:lineRule="auto"/>
              <w:rPr/>
            </w:pPr>
            <w:r>
              <w:rPr>
                <w:spacing w:val="7"/>
              </w:rPr>
              <w:t>主要污染物</w:t>
            </w:r>
          </w:p>
        </w:tc>
        <w:tc>
          <w:tcPr>
            <w:tcW w:w="1368" w:type="dxa"/>
            <w:vAlign w:val="top"/>
          </w:tcPr>
          <w:p>
            <w:pPr>
              <w:pStyle w:val="TableText"/>
              <w:ind w:left="267"/>
              <w:spacing w:before="35" w:line="228" w:lineRule="auto"/>
              <w:rPr/>
            </w:pPr>
            <w:r>
              <w:rPr>
                <w:spacing w:val="7"/>
              </w:rPr>
              <w:t>产生浓度</w:t>
            </w:r>
          </w:p>
          <w:p>
            <w:pPr>
              <w:pStyle w:val="TableText"/>
              <w:ind w:left="261"/>
              <w:spacing w:before="24" w:line="219" w:lineRule="auto"/>
              <w:rPr/>
            </w:pPr>
            <w:r>
              <w:rPr>
                <w:spacing w:val="2"/>
              </w:rPr>
              <w:t>（</w:t>
            </w:r>
            <w:r>
              <w:rPr>
                <w:rFonts w:ascii="Times New Roman" w:hAnsi="Times New Roman" w:eastAsia="Times New Roman" w:cs="Times New Roman"/>
              </w:rPr>
              <w:t>mg</w:t>
            </w:r>
            <w:r>
              <w:rPr>
                <w:rFonts w:ascii="Times New Roman" w:hAnsi="Times New Roman" w:eastAsia="Times New Roman" w:cs="Times New Roman"/>
                <w:spacing w:val="2"/>
              </w:rPr>
              <w:t>/L</w:t>
            </w:r>
            <w:r>
              <w:rPr>
                <w:spacing w:val="2"/>
              </w:rPr>
              <w:t>）</w:t>
            </w:r>
          </w:p>
        </w:tc>
        <w:tc>
          <w:tcPr>
            <w:tcW w:w="1312" w:type="dxa"/>
            <w:vAlign w:val="top"/>
          </w:tcPr>
          <w:p>
            <w:pPr>
              <w:pStyle w:val="TableText"/>
              <w:ind w:left="347"/>
              <w:spacing w:before="169" w:line="228" w:lineRule="auto"/>
              <w:rPr/>
            </w:pPr>
            <w:r>
              <w:rPr>
                <w:spacing w:val="6"/>
              </w:rPr>
              <w:t>标准值</w:t>
            </w:r>
          </w:p>
        </w:tc>
        <w:tc>
          <w:tcPr>
            <w:tcW w:w="1288" w:type="dxa"/>
            <w:vAlign w:val="top"/>
          </w:tcPr>
          <w:p>
            <w:pPr>
              <w:pStyle w:val="TableText"/>
              <w:ind w:left="231"/>
              <w:spacing w:before="169" w:line="228" w:lineRule="auto"/>
              <w:rPr/>
            </w:pPr>
            <w:r>
              <w:rPr>
                <w:spacing w:val="7"/>
              </w:rPr>
              <w:t>标准指数</w:t>
            </w:r>
          </w:p>
        </w:tc>
        <w:tc>
          <w:tcPr>
            <w:tcW w:w="2230" w:type="dxa"/>
            <w:vAlign w:val="top"/>
          </w:tcPr>
          <w:p>
            <w:pPr>
              <w:pStyle w:val="TableText"/>
              <w:ind w:left="492"/>
              <w:spacing w:before="169" w:line="228" w:lineRule="auto"/>
              <w:rPr/>
            </w:pPr>
            <w:r>
              <w:rPr>
                <w:spacing w:val="7"/>
              </w:rPr>
              <w:t>参照执行标准</w:t>
            </w:r>
          </w:p>
        </w:tc>
      </w:tr>
      <w:tr>
        <w:trPr>
          <w:trHeight w:val="246" w:hRule="atLeast"/>
        </w:trPr>
        <w:tc>
          <w:tcPr>
            <w:tcW w:w="959" w:type="dxa"/>
            <w:vAlign w:val="top"/>
            <w:vMerge w:val="restart"/>
            <w:tcBorders>
              <w:bottom w:val="nil"/>
            </w:tcBorders>
          </w:tcPr>
          <w:p>
            <w:pPr>
              <w:spacing w:line="266" w:lineRule="auto"/>
              <w:rPr>
                <w:rFonts w:ascii="Arial"/>
                <w:sz w:val="21"/>
              </w:rPr>
            </w:pPr>
            <w:r/>
          </w:p>
          <w:p>
            <w:pPr>
              <w:spacing w:line="266" w:lineRule="auto"/>
              <w:rPr>
                <w:rFonts w:ascii="Arial"/>
                <w:sz w:val="21"/>
              </w:rPr>
            </w:pPr>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pStyle w:val="TableText"/>
              <w:ind w:left="66"/>
              <w:spacing w:before="65" w:line="228" w:lineRule="auto"/>
              <w:rPr/>
            </w:pPr>
            <w:r>
              <w:rPr>
                <w:spacing w:val="6"/>
              </w:rPr>
              <w:t>调质后废</w:t>
            </w:r>
          </w:p>
          <w:p>
            <w:pPr>
              <w:pStyle w:val="TableText"/>
              <w:ind w:left="381"/>
              <w:spacing w:before="23" w:line="228" w:lineRule="auto"/>
              <w:rPr/>
            </w:pPr>
            <w:r>
              <w:rPr/>
              <w:t>水</w:t>
            </w:r>
          </w:p>
        </w:tc>
        <w:tc>
          <w:tcPr>
            <w:tcW w:w="1377" w:type="dxa"/>
            <w:vAlign w:val="top"/>
          </w:tcPr>
          <w:p>
            <w:pPr>
              <w:ind w:left="556"/>
              <w:spacing w:before="55"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pH</w:t>
            </w:r>
          </w:p>
        </w:tc>
        <w:tc>
          <w:tcPr>
            <w:tcW w:w="1368" w:type="dxa"/>
            <w:vAlign w:val="top"/>
          </w:tcPr>
          <w:p>
            <w:pPr>
              <w:ind w:left="496"/>
              <w:spacing w:before="52"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6-10</w:t>
            </w:r>
          </w:p>
        </w:tc>
        <w:tc>
          <w:tcPr>
            <w:tcW w:w="1312" w:type="dxa"/>
            <w:vAlign w:val="top"/>
          </w:tcPr>
          <w:p>
            <w:pPr>
              <w:ind w:left="343"/>
              <w:spacing w:before="52"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6.5~8.5</w:t>
            </w:r>
          </w:p>
        </w:tc>
        <w:tc>
          <w:tcPr>
            <w:tcW w:w="1288" w:type="dxa"/>
            <w:vAlign w:val="top"/>
          </w:tcPr>
          <w:p>
            <w:pPr>
              <w:ind w:left="617"/>
              <w:spacing w:before="140" w:line="9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2230" w:type="dxa"/>
            <w:vAlign w:val="top"/>
          </w:tcPr>
          <w:p>
            <w:pPr>
              <w:ind w:left="1085"/>
              <w:spacing w:before="140" w:line="95"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47" w:hRule="atLeast"/>
        </w:trPr>
        <w:tc>
          <w:tcPr>
            <w:tcW w:w="959" w:type="dxa"/>
            <w:vAlign w:val="top"/>
            <w:vMerge w:val="continue"/>
            <w:tcBorders>
              <w:top w:val="nil"/>
              <w:bottom w:val="nil"/>
            </w:tcBorders>
          </w:tcPr>
          <w:p>
            <w:pPr>
              <w:rPr>
                <w:rFonts w:ascii="Arial"/>
                <w:sz w:val="21"/>
              </w:rPr>
            </w:pPr>
            <w:r/>
          </w:p>
        </w:tc>
        <w:tc>
          <w:tcPr>
            <w:tcW w:w="1377" w:type="dxa"/>
            <w:vAlign w:val="top"/>
          </w:tcPr>
          <w:p>
            <w:pPr>
              <w:ind w:left="417"/>
              <w:spacing w:before="53" w:line="19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COD</w:t>
            </w:r>
            <w:r>
              <w:rPr>
                <w:rFonts w:ascii="Times New Roman" w:hAnsi="Times New Roman" w:eastAsia="Times New Roman" w:cs="Times New Roman"/>
                <w:sz w:val="13"/>
                <w:szCs w:val="13"/>
                <w:spacing w:val="3"/>
                <w:position w:val="-1"/>
              </w:rPr>
              <w:t>cr</w:t>
            </w:r>
          </w:p>
        </w:tc>
        <w:tc>
          <w:tcPr>
            <w:tcW w:w="1368" w:type="dxa"/>
            <w:vAlign w:val="top"/>
          </w:tcPr>
          <w:p>
            <w:pPr>
              <w:ind w:left="442"/>
              <w:spacing w:before="53"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15000</w:t>
            </w:r>
          </w:p>
        </w:tc>
        <w:tc>
          <w:tcPr>
            <w:tcW w:w="1312" w:type="dxa"/>
            <w:vAlign w:val="top"/>
          </w:tcPr>
          <w:p>
            <w:pPr>
              <w:ind w:left="552"/>
              <w:spacing w:before="53"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1288" w:type="dxa"/>
            <w:vAlign w:val="top"/>
          </w:tcPr>
          <w:p>
            <w:pPr>
              <w:ind w:left="493"/>
              <w:spacing w:before="53"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750</w:t>
            </w:r>
          </w:p>
        </w:tc>
        <w:tc>
          <w:tcPr>
            <w:tcW w:w="2230" w:type="dxa"/>
            <w:vAlign w:val="top"/>
            <w:vMerge w:val="restart"/>
            <w:tcBorders>
              <w:bottom w:val="nil"/>
            </w:tcBorders>
          </w:tcPr>
          <w:p>
            <w:pPr>
              <w:pStyle w:val="TableText"/>
              <w:spacing w:before="31" w:line="228" w:lineRule="auto"/>
              <w:jc w:val="right"/>
              <w:rPr/>
            </w:pPr>
            <w:r>
              <w:rPr/>
              <w:t>《地表水环境质量标准》</w:t>
            </w:r>
          </w:p>
          <w:p>
            <w:pPr>
              <w:pStyle w:val="TableText"/>
              <w:ind w:left="66"/>
              <w:spacing w:before="39" w:line="209" w:lineRule="auto"/>
              <w:rPr/>
            </w:pPr>
            <w:r>
              <w:rPr>
                <w:spacing w:val="5"/>
              </w:rPr>
              <w:t>（</w:t>
            </w:r>
            <w:r>
              <w:rPr>
                <w:rFonts w:ascii="Times New Roman" w:hAnsi="Times New Roman" w:eastAsia="Times New Roman" w:cs="Times New Roman"/>
              </w:rPr>
              <w:t>GB</w:t>
            </w:r>
            <w:r>
              <w:rPr>
                <w:rFonts w:ascii="Times New Roman" w:hAnsi="Times New Roman" w:eastAsia="Times New Roman" w:cs="Times New Roman"/>
                <w:spacing w:val="5"/>
              </w:rPr>
              <w:t>3838-2002</w:t>
            </w:r>
            <w:r>
              <w:rPr>
                <w:spacing w:val="5"/>
              </w:rPr>
              <w:t>）</w:t>
            </w:r>
            <w:r>
              <w:rPr>
                <w:rFonts w:ascii="Times New Roman" w:hAnsi="Times New Roman" w:eastAsia="Times New Roman" w:cs="Times New Roman"/>
                <w:sz w:val="24"/>
                <w:szCs w:val="24"/>
              </w:rPr>
              <w:t>III</w:t>
            </w:r>
            <w:r>
              <w:rPr>
                <w:rFonts w:ascii="Times New Roman" w:hAnsi="Times New Roman" w:eastAsia="Times New Roman" w:cs="Times New Roman"/>
                <w:sz w:val="24"/>
                <w:szCs w:val="24"/>
                <w:spacing w:val="5"/>
              </w:rPr>
              <w:t xml:space="preserve"> </w:t>
            </w:r>
            <w:r>
              <w:rPr>
                <w:spacing w:val="5"/>
              </w:rPr>
              <w:t>类</w:t>
            </w:r>
          </w:p>
          <w:p>
            <w:pPr>
              <w:pStyle w:val="TableText"/>
              <w:ind w:left="911"/>
              <w:spacing w:before="24" w:line="217" w:lineRule="auto"/>
              <w:rPr/>
            </w:pPr>
            <w:r>
              <w:rPr>
                <w:spacing w:val="4"/>
              </w:rPr>
              <w:t>标准</w:t>
            </w:r>
          </w:p>
        </w:tc>
      </w:tr>
      <w:tr>
        <w:trPr>
          <w:trHeight w:val="582" w:hRule="atLeast"/>
        </w:trPr>
        <w:tc>
          <w:tcPr>
            <w:tcW w:w="959" w:type="dxa"/>
            <w:vAlign w:val="top"/>
            <w:vMerge w:val="continue"/>
            <w:tcBorders>
              <w:top w:val="nil"/>
              <w:bottom w:val="nil"/>
            </w:tcBorders>
          </w:tcPr>
          <w:p>
            <w:pPr>
              <w:rPr>
                <w:rFonts w:ascii="Arial"/>
                <w:sz w:val="21"/>
              </w:rPr>
            </w:pPr>
            <w:r/>
          </w:p>
        </w:tc>
        <w:tc>
          <w:tcPr>
            <w:tcW w:w="1377" w:type="dxa"/>
            <w:vAlign w:val="top"/>
          </w:tcPr>
          <w:p>
            <w:pPr>
              <w:ind w:left="433"/>
              <w:spacing w:before="219" w:line="202"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BOD</w:t>
            </w:r>
            <w:r>
              <w:rPr>
                <w:rFonts w:ascii="Times New Roman" w:hAnsi="Times New Roman" w:eastAsia="Times New Roman" w:cs="Times New Roman"/>
                <w:sz w:val="13"/>
                <w:szCs w:val="13"/>
                <w:spacing w:val="19"/>
                <w:position w:val="-1"/>
              </w:rPr>
              <w:t>5</w:t>
            </w:r>
          </w:p>
        </w:tc>
        <w:tc>
          <w:tcPr>
            <w:tcW w:w="1368" w:type="dxa"/>
            <w:vAlign w:val="top"/>
          </w:tcPr>
          <w:p>
            <w:pPr>
              <w:ind w:left="442"/>
              <w:spacing w:before="21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10000</w:t>
            </w:r>
          </w:p>
        </w:tc>
        <w:tc>
          <w:tcPr>
            <w:tcW w:w="1312" w:type="dxa"/>
            <w:vAlign w:val="top"/>
          </w:tcPr>
          <w:p>
            <w:pPr>
              <w:ind w:left="603"/>
              <w:spacing w:before="21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288" w:type="dxa"/>
            <w:vAlign w:val="top"/>
          </w:tcPr>
          <w:p>
            <w:pPr>
              <w:ind w:left="437"/>
              <w:spacing w:before="21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2500</w:t>
            </w:r>
          </w:p>
        </w:tc>
        <w:tc>
          <w:tcPr>
            <w:tcW w:w="2230" w:type="dxa"/>
            <w:vAlign w:val="top"/>
            <w:vMerge w:val="continue"/>
            <w:tcBorders>
              <w:top w:val="nil"/>
            </w:tcBorders>
          </w:tcPr>
          <w:p>
            <w:pPr>
              <w:rPr>
                <w:rFonts w:ascii="Arial"/>
                <w:sz w:val="21"/>
              </w:rPr>
            </w:pPr>
            <w:r/>
          </w:p>
        </w:tc>
      </w:tr>
      <w:tr>
        <w:trPr>
          <w:trHeight w:val="246" w:hRule="atLeast"/>
        </w:trPr>
        <w:tc>
          <w:tcPr>
            <w:tcW w:w="959" w:type="dxa"/>
            <w:vAlign w:val="top"/>
            <w:vMerge w:val="continue"/>
            <w:tcBorders>
              <w:top w:val="nil"/>
              <w:bottom w:val="nil"/>
            </w:tcBorders>
          </w:tcPr>
          <w:p>
            <w:pPr>
              <w:rPr>
                <w:rFonts w:ascii="Arial"/>
                <w:sz w:val="21"/>
              </w:rPr>
            </w:pPr>
            <w:r/>
          </w:p>
        </w:tc>
        <w:tc>
          <w:tcPr>
            <w:tcW w:w="1377" w:type="dxa"/>
            <w:vAlign w:val="top"/>
          </w:tcPr>
          <w:p>
            <w:pPr>
              <w:ind w:left="581"/>
              <w:spacing w:before="54"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SS</w:t>
            </w:r>
          </w:p>
        </w:tc>
        <w:tc>
          <w:tcPr>
            <w:tcW w:w="1368" w:type="dxa"/>
            <w:vAlign w:val="top"/>
          </w:tcPr>
          <w:p>
            <w:pPr>
              <w:ind w:left="442"/>
              <w:spacing w:before="54"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12000</w:t>
            </w:r>
          </w:p>
        </w:tc>
        <w:tc>
          <w:tcPr>
            <w:tcW w:w="1312" w:type="dxa"/>
            <w:vAlign w:val="top"/>
          </w:tcPr>
          <w:p>
            <w:pPr>
              <w:ind w:left="628"/>
              <w:spacing w:before="142" w:line="9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1288" w:type="dxa"/>
            <w:vAlign w:val="top"/>
          </w:tcPr>
          <w:p>
            <w:pPr>
              <w:ind w:left="617"/>
              <w:spacing w:before="142" w:line="9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2230" w:type="dxa"/>
            <w:vAlign w:val="top"/>
          </w:tcPr>
          <w:p>
            <w:pPr>
              <w:ind w:left="1085"/>
              <w:spacing w:before="142" w:line="93"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834" w:hRule="atLeast"/>
        </w:trPr>
        <w:tc>
          <w:tcPr>
            <w:tcW w:w="959" w:type="dxa"/>
            <w:vAlign w:val="top"/>
            <w:vMerge w:val="continue"/>
            <w:tcBorders>
              <w:top w:val="nil"/>
              <w:bottom w:val="nil"/>
            </w:tcBorders>
          </w:tcPr>
          <w:p>
            <w:pPr>
              <w:rPr>
                <w:rFonts w:ascii="Arial"/>
                <w:sz w:val="21"/>
              </w:rPr>
            </w:pPr>
            <w:r/>
          </w:p>
        </w:tc>
        <w:tc>
          <w:tcPr>
            <w:tcW w:w="1377" w:type="dxa"/>
            <w:vAlign w:val="top"/>
          </w:tcPr>
          <w:p>
            <w:pPr>
              <w:spacing w:line="245" w:lineRule="auto"/>
              <w:rPr>
                <w:rFonts w:ascii="Arial"/>
                <w:sz w:val="21"/>
              </w:rPr>
            </w:pPr>
            <w:r/>
          </w:p>
          <w:p>
            <w:pPr>
              <w:pStyle w:val="TableText"/>
              <w:ind w:left="483"/>
              <w:spacing w:before="65" w:line="227" w:lineRule="auto"/>
              <w:rPr/>
            </w:pPr>
            <w:r>
              <w:rPr>
                <w:spacing w:val="4"/>
              </w:rPr>
              <w:t>氨氮</w:t>
            </w:r>
          </w:p>
        </w:tc>
        <w:tc>
          <w:tcPr>
            <w:tcW w:w="1368" w:type="dxa"/>
            <w:vAlign w:val="top"/>
          </w:tcPr>
          <w:p>
            <w:pPr>
              <w:spacing w:line="288" w:lineRule="auto"/>
              <w:rPr>
                <w:rFonts w:ascii="Arial"/>
                <w:sz w:val="21"/>
              </w:rPr>
            </w:pPr>
            <w:r/>
          </w:p>
          <w:p>
            <w:pPr>
              <w:ind w:left="495"/>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1000</w:t>
            </w:r>
          </w:p>
        </w:tc>
        <w:tc>
          <w:tcPr>
            <w:tcW w:w="1312" w:type="dxa"/>
            <w:vAlign w:val="top"/>
          </w:tcPr>
          <w:p>
            <w:pPr>
              <w:spacing w:line="288" w:lineRule="auto"/>
              <w:rPr>
                <w:rFonts w:ascii="Arial"/>
                <w:sz w:val="21"/>
              </w:rPr>
            </w:pPr>
            <w:r/>
          </w:p>
          <w:p>
            <w:pPr>
              <w:ind w:left="531"/>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0.5</w:t>
            </w:r>
          </w:p>
        </w:tc>
        <w:tc>
          <w:tcPr>
            <w:tcW w:w="1288" w:type="dxa"/>
            <w:vAlign w:val="top"/>
          </w:tcPr>
          <w:p>
            <w:pPr>
              <w:spacing w:line="288" w:lineRule="auto"/>
              <w:rPr>
                <w:rFonts w:ascii="Arial"/>
                <w:sz w:val="21"/>
              </w:rPr>
            </w:pPr>
            <w:r/>
          </w:p>
          <w:p>
            <w:pPr>
              <w:ind w:left="437"/>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2000</w:t>
            </w:r>
          </w:p>
        </w:tc>
        <w:tc>
          <w:tcPr>
            <w:tcW w:w="2230" w:type="dxa"/>
            <w:vAlign w:val="top"/>
          </w:tcPr>
          <w:p>
            <w:pPr>
              <w:pStyle w:val="TableText"/>
              <w:ind w:left="181"/>
              <w:spacing w:before="33" w:line="228" w:lineRule="auto"/>
              <w:rPr/>
            </w:pPr>
            <w:r>
              <w:rPr>
                <w:spacing w:val="7"/>
              </w:rPr>
              <w:t>《地下水质量标准》</w:t>
            </w:r>
          </w:p>
          <w:p>
            <w:pPr>
              <w:pStyle w:val="TableText"/>
              <w:ind w:left="54"/>
              <w:spacing w:before="38" w:line="221" w:lineRule="auto"/>
              <w:rPr>
                <w:rFonts w:ascii="Times New Roman" w:hAnsi="Times New Roman" w:eastAsia="Times New Roman" w:cs="Times New Roman"/>
                <w:sz w:val="24"/>
                <w:szCs w:val="24"/>
              </w:rPr>
            </w:pPr>
            <w:r>
              <w:rPr>
                <w:spacing w:val="5"/>
              </w:rPr>
              <w:t>（</w:t>
            </w:r>
            <w:r>
              <w:rPr>
                <w:rFonts w:ascii="Times New Roman" w:hAnsi="Times New Roman" w:eastAsia="Times New Roman" w:cs="Times New Roman"/>
              </w:rPr>
              <w:t>GB</w:t>
            </w:r>
            <w:r>
              <w:rPr>
                <w:rFonts w:ascii="Times New Roman" w:hAnsi="Times New Roman" w:eastAsia="Times New Roman" w:cs="Times New Roman"/>
                <w:spacing w:val="5"/>
              </w:rPr>
              <w:t>/T14848-2017</w:t>
            </w:r>
            <w:r>
              <w:rPr>
                <w:spacing w:val="5"/>
              </w:rPr>
              <w:t>）</w:t>
            </w:r>
            <w:r>
              <w:rPr>
                <w:rFonts w:ascii="Times New Roman" w:hAnsi="Times New Roman" w:eastAsia="Times New Roman" w:cs="Times New Roman"/>
                <w:sz w:val="24"/>
                <w:szCs w:val="24"/>
              </w:rPr>
              <w:t>III</w:t>
            </w:r>
          </w:p>
          <w:p>
            <w:pPr>
              <w:pStyle w:val="TableText"/>
              <w:ind w:left="804"/>
              <w:spacing w:before="11" w:line="215" w:lineRule="auto"/>
              <w:rPr/>
            </w:pPr>
            <w:r>
              <w:rPr>
                <w:spacing w:val="6"/>
              </w:rPr>
              <w:t>类标准</w:t>
            </w:r>
          </w:p>
        </w:tc>
      </w:tr>
      <w:tr>
        <w:trPr>
          <w:trHeight w:val="277" w:hRule="atLeast"/>
        </w:trPr>
        <w:tc>
          <w:tcPr>
            <w:tcW w:w="959" w:type="dxa"/>
            <w:vAlign w:val="top"/>
            <w:vMerge w:val="continue"/>
            <w:tcBorders>
              <w:top w:val="nil"/>
              <w:bottom w:val="nil"/>
            </w:tcBorders>
          </w:tcPr>
          <w:p>
            <w:pPr>
              <w:rPr>
                <w:rFonts w:ascii="Arial"/>
                <w:sz w:val="21"/>
              </w:rPr>
            </w:pPr>
            <w:r/>
          </w:p>
        </w:tc>
        <w:tc>
          <w:tcPr>
            <w:tcW w:w="1377" w:type="dxa"/>
            <w:vAlign w:val="top"/>
          </w:tcPr>
          <w:p>
            <w:pPr>
              <w:pStyle w:val="TableText"/>
              <w:ind w:left="488"/>
              <w:spacing w:before="33" w:line="216" w:lineRule="auto"/>
              <w:rPr/>
            </w:pPr>
            <w:r>
              <w:rPr>
                <w:spacing w:val="2"/>
              </w:rPr>
              <w:t>总磷</w:t>
            </w:r>
          </w:p>
        </w:tc>
        <w:tc>
          <w:tcPr>
            <w:tcW w:w="1368" w:type="dxa"/>
            <w:vAlign w:val="top"/>
          </w:tcPr>
          <w:p>
            <w:pPr>
              <w:ind w:left="53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300</w:t>
            </w:r>
          </w:p>
        </w:tc>
        <w:tc>
          <w:tcPr>
            <w:tcW w:w="1312" w:type="dxa"/>
            <w:vAlign w:val="top"/>
          </w:tcPr>
          <w:p>
            <w:pPr>
              <w:ind w:left="531"/>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1288" w:type="dxa"/>
            <w:vAlign w:val="top"/>
          </w:tcPr>
          <w:p>
            <w:pPr>
              <w:ind w:left="45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1500</w:t>
            </w:r>
          </w:p>
        </w:tc>
        <w:tc>
          <w:tcPr>
            <w:tcW w:w="2230" w:type="dxa"/>
            <w:vAlign w:val="top"/>
            <w:vMerge w:val="restart"/>
            <w:tcBorders>
              <w:bottom w:val="nil"/>
            </w:tcBorders>
          </w:tcPr>
          <w:p>
            <w:pPr>
              <w:pStyle w:val="TableText"/>
              <w:spacing w:before="32" w:line="228" w:lineRule="auto"/>
              <w:jc w:val="right"/>
              <w:rPr/>
            </w:pPr>
            <w:r>
              <w:rPr/>
              <w:t>《地表水环境质量标准》</w:t>
            </w:r>
          </w:p>
          <w:p>
            <w:pPr>
              <w:pStyle w:val="TableText"/>
              <w:ind w:left="66"/>
              <w:spacing w:before="39" w:line="209" w:lineRule="auto"/>
              <w:rPr/>
            </w:pPr>
            <w:r>
              <w:rPr>
                <w:spacing w:val="5"/>
              </w:rPr>
              <w:t>（</w:t>
            </w:r>
            <w:r>
              <w:rPr>
                <w:rFonts w:ascii="Times New Roman" w:hAnsi="Times New Roman" w:eastAsia="Times New Roman" w:cs="Times New Roman"/>
              </w:rPr>
              <w:t>GB</w:t>
            </w:r>
            <w:r>
              <w:rPr>
                <w:rFonts w:ascii="Times New Roman" w:hAnsi="Times New Roman" w:eastAsia="Times New Roman" w:cs="Times New Roman"/>
                <w:spacing w:val="5"/>
              </w:rPr>
              <w:t>3838-2002</w:t>
            </w:r>
            <w:r>
              <w:rPr>
                <w:spacing w:val="5"/>
              </w:rPr>
              <w:t>）</w:t>
            </w:r>
            <w:r>
              <w:rPr>
                <w:rFonts w:ascii="Times New Roman" w:hAnsi="Times New Roman" w:eastAsia="Times New Roman" w:cs="Times New Roman"/>
                <w:sz w:val="24"/>
                <w:szCs w:val="24"/>
              </w:rPr>
              <w:t>III</w:t>
            </w:r>
            <w:r>
              <w:rPr>
                <w:rFonts w:ascii="Times New Roman" w:hAnsi="Times New Roman" w:eastAsia="Times New Roman" w:cs="Times New Roman"/>
                <w:sz w:val="24"/>
                <w:szCs w:val="24"/>
                <w:spacing w:val="5"/>
              </w:rPr>
              <w:t xml:space="preserve"> </w:t>
            </w:r>
            <w:r>
              <w:rPr>
                <w:spacing w:val="5"/>
              </w:rPr>
              <w:t>类</w:t>
            </w:r>
          </w:p>
          <w:p>
            <w:pPr>
              <w:pStyle w:val="TableText"/>
              <w:ind w:left="911"/>
              <w:spacing w:before="24" w:line="216" w:lineRule="auto"/>
              <w:rPr/>
            </w:pPr>
            <w:r>
              <w:rPr>
                <w:spacing w:val="4"/>
              </w:rPr>
              <w:t>标准</w:t>
            </w:r>
          </w:p>
        </w:tc>
      </w:tr>
      <w:tr>
        <w:trPr>
          <w:trHeight w:val="551" w:hRule="atLeast"/>
        </w:trPr>
        <w:tc>
          <w:tcPr>
            <w:tcW w:w="959" w:type="dxa"/>
            <w:vAlign w:val="top"/>
            <w:vMerge w:val="continue"/>
            <w:tcBorders>
              <w:top w:val="nil"/>
              <w:bottom w:val="nil"/>
            </w:tcBorders>
          </w:tcPr>
          <w:p>
            <w:pPr>
              <w:rPr>
                <w:rFonts w:ascii="Arial"/>
                <w:sz w:val="21"/>
              </w:rPr>
            </w:pPr>
            <w:r/>
          </w:p>
        </w:tc>
        <w:tc>
          <w:tcPr>
            <w:tcW w:w="1377" w:type="dxa"/>
            <w:vAlign w:val="top"/>
          </w:tcPr>
          <w:p>
            <w:pPr>
              <w:pStyle w:val="TableText"/>
              <w:ind w:left="488"/>
              <w:spacing w:before="170" w:line="227" w:lineRule="auto"/>
              <w:rPr/>
            </w:pPr>
            <w:r>
              <w:rPr>
                <w:spacing w:val="2"/>
              </w:rPr>
              <w:t>总氮</w:t>
            </w:r>
          </w:p>
        </w:tc>
        <w:tc>
          <w:tcPr>
            <w:tcW w:w="1368" w:type="dxa"/>
            <w:vAlign w:val="top"/>
          </w:tcPr>
          <w:p>
            <w:pPr>
              <w:ind w:left="586"/>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1312" w:type="dxa"/>
            <w:vAlign w:val="top"/>
          </w:tcPr>
          <w:p>
            <w:pPr>
              <w:ind w:left="548"/>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w:t>
            </w:r>
          </w:p>
        </w:tc>
        <w:tc>
          <w:tcPr>
            <w:tcW w:w="1288" w:type="dxa"/>
            <w:vAlign w:val="top"/>
          </w:tcPr>
          <w:p>
            <w:pPr>
              <w:ind w:left="546"/>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2230" w:type="dxa"/>
            <w:vAlign w:val="top"/>
            <w:vMerge w:val="continue"/>
            <w:tcBorders>
              <w:top w:val="nil"/>
            </w:tcBorders>
          </w:tcPr>
          <w:p>
            <w:pPr>
              <w:rPr>
                <w:rFonts w:ascii="Arial"/>
                <w:sz w:val="21"/>
              </w:rPr>
            </w:pPr>
            <w:r/>
          </w:p>
        </w:tc>
      </w:tr>
      <w:tr>
        <w:trPr>
          <w:trHeight w:val="277" w:hRule="atLeast"/>
        </w:trPr>
        <w:tc>
          <w:tcPr>
            <w:tcW w:w="959" w:type="dxa"/>
            <w:vAlign w:val="top"/>
            <w:vMerge w:val="continue"/>
            <w:tcBorders>
              <w:top w:val="nil"/>
            </w:tcBorders>
          </w:tcPr>
          <w:p>
            <w:pPr>
              <w:rPr>
                <w:rFonts w:ascii="Arial"/>
                <w:sz w:val="21"/>
              </w:rPr>
            </w:pPr>
            <w:r/>
          </w:p>
        </w:tc>
        <w:tc>
          <w:tcPr>
            <w:tcW w:w="1377" w:type="dxa"/>
            <w:vAlign w:val="top"/>
          </w:tcPr>
          <w:p>
            <w:pPr>
              <w:pStyle w:val="TableText"/>
              <w:ind w:left="272"/>
              <w:spacing w:before="34" w:line="215" w:lineRule="auto"/>
              <w:rPr/>
            </w:pPr>
            <w:r>
              <w:rPr>
                <w:spacing w:val="7"/>
              </w:rPr>
              <w:t>动植物油</w:t>
            </w:r>
          </w:p>
        </w:tc>
        <w:tc>
          <w:tcPr>
            <w:tcW w:w="1368" w:type="dxa"/>
            <w:vAlign w:val="top"/>
          </w:tcPr>
          <w:p>
            <w:pPr>
              <w:ind w:left="58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1312" w:type="dxa"/>
            <w:vAlign w:val="top"/>
          </w:tcPr>
          <w:p>
            <w:pPr>
              <w:ind w:left="628"/>
              <w:spacing w:before="158"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1288" w:type="dxa"/>
            <w:vAlign w:val="top"/>
          </w:tcPr>
          <w:p>
            <w:pPr>
              <w:ind w:left="617"/>
              <w:spacing w:before="158"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2230" w:type="dxa"/>
            <w:vAlign w:val="top"/>
          </w:tcPr>
          <w:p>
            <w:pPr>
              <w:ind w:left="1085"/>
              <w:spacing w:before="158"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r>
      <w:tr>
        <w:trPr>
          <w:trHeight w:val="278" w:hRule="atLeast"/>
        </w:trPr>
        <w:tc>
          <w:tcPr>
            <w:tcW w:w="959" w:type="dxa"/>
            <w:vAlign w:val="top"/>
            <w:vMerge w:val="restart"/>
            <w:tcBorders>
              <w:bottom w:val="nil"/>
            </w:tcBorders>
          </w:tcPr>
          <w:p>
            <w:pPr>
              <w:spacing w:line="399" w:lineRule="auto"/>
              <w:rPr>
                <w:rFonts w:ascii="Arial"/>
                <w:sz w:val="21"/>
              </w:rPr>
            </w:pPr>
            <w:r/>
          </w:p>
          <w:p>
            <w:pPr>
              <w:pStyle w:val="TableText"/>
              <w:ind w:left="64"/>
              <w:spacing w:before="65" w:line="228" w:lineRule="auto"/>
              <w:rPr/>
            </w:pPr>
            <w:r>
              <w:rPr>
                <w:spacing w:val="7"/>
              </w:rPr>
              <w:t>地下水现</w:t>
            </w:r>
          </w:p>
          <w:p>
            <w:pPr>
              <w:pStyle w:val="TableText"/>
              <w:ind w:left="64"/>
              <w:spacing w:before="26" w:line="228" w:lineRule="auto"/>
              <w:rPr/>
            </w:pPr>
            <w:r>
              <w:rPr>
                <w:spacing w:val="7"/>
              </w:rPr>
              <w:t>状超标因</w:t>
            </w:r>
          </w:p>
          <w:p>
            <w:pPr>
              <w:pStyle w:val="TableText"/>
              <w:ind w:left="379"/>
              <w:spacing w:before="24" w:line="228" w:lineRule="auto"/>
              <w:rPr/>
            </w:pPr>
            <w:r>
              <w:rPr/>
              <w:t>子</w:t>
            </w:r>
          </w:p>
        </w:tc>
        <w:tc>
          <w:tcPr>
            <w:tcW w:w="1377" w:type="dxa"/>
            <w:vAlign w:val="top"/>
          </w:tcPr>
          <w:p>
            <w:pPr>
              <w:pStyle w:val="TableText"/>
              <w:ind w:left="383"/>
              <w:spacing w:before="36" w:line="214" w:lineRule="auto"/>
              <w:rPr/>
            </w:pPr>
            <w:r>
              <w:rPr>
                <w:spacing w:val="5"/>
              </w:rPr>
              <w:t>总硬度</w:t>
            </w:r>
          </w:p>
        </w:tc>
        <w:tc>
          <w:tcPr>
            <w:tcW w:w="1368" w:type="dxa"/>
            <w:vAlign w:val="top"/>
          </w:tcPr>
          <w:p>
            <w:pPr>
              <w:ind w:left="53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871</w:t>
            </w:r>
          </w:p>
        </w:tc>
        <w:tc>
          <w:tcPr>
            <w:tcW w:w="1312" w:type="dxa"/>
            <w:vAlign w:val="top"/>
          </w:tcPr>
          <w:p>
            <w:pPr>
              <w:ind w:left="50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450</w:t>
            </w:r>
          </w:p>
        </w:tc>
        <w:tc>
          <w:tcPr>
            <w:tcW w:w="1288" w:type="dxa"/>
            <w:vAlign w:val="top"/>
          </w:tcPr>
          <w:p>
            <w:pPr>
              <w:ind w:left="48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1.94</w:t>
            </w:r>
          </w:p>
        </w:tc>
        <w:tc>
          <w:tcPr>
            <w:tcW w:w="2230" w:type="dxa"/>
            <w:vAlign w:val="top"/>
            <w:vMerge w:val="restart"/>
            <w:tcBorders>
              <w:bottom w:val="nil"/>
            </w:tcBorders>
          </w:tcPr>
          <w:p>
            <w:pPr>
              <w:spacing w:line="399" w:lineRule="auto"/>
              <w:rPr>
                <w:rFonts w:ascii="Arial"/>
                <w:sz w:val="21"/>
              </w:rPr>
            </w:pPr>
            <w:r/>
          </w:p>
          <w:p>
            <w:pPr>
              <w:pStyle w:val="TableText"/>
              <w:ind w:left="181"/>
              <w:spacing w:before="65" w:line="228" w:lineRule="auto"/>
              <w:rPr/>
            </w:pPr>
            <w:r>
              <w:rPr>
                <w:spacing w:val="7"/>
              </w:rPr>
              <w:t>《地下水质量标准》</w:t>
            </w:r>
          </w:p>
          <w:p>
            <w:pPr>
              <w:pStyle w:val="TableText"/>
              <w:ind w:left="68"/>
              <w:spacing w:before="26"/>
              <w:rPr>
                <w:rFonts w:ascii="Times New Roman" w:hAnsi="Times New Roman" w:eastAsia="Times New Roman" w:cs="Times New Roman"/>
              </w:rPr>
            </w:pPr>
            <w:r>
              <w:rPr>
                <w:spacing w:val="5"/>
              </w:rPr>
              <w:t>（</w:t>
            </w:r>
            <w:r>
              <w:rPr>
                <w:rFonts w:ascii="Times New Roman" w:hAnsi="Times New Roman" w:eastAsia="Times New Roman" w:cs="Times New Roman"/>
              </w:rPr>
              <w:t>GB</w:t>
            </w:r>
            <w:r>
              <w:rPr>
                <w:rFonts w:ascii="Times New Roman" w:hAnsi="Times New Roman" w:eastAsia="Times New Roman" w:cs="Times New Roman"/>
                <w:spacing w:val="5"/>
              </w:rPr>
              <w:t>/T14848-2017</w:t>
            </w:r>
            <w:r>
              <w:rPr>
                <w:spacing w:val="5"/>
              </w:rPr>
              <w:t>）</w:t>
            </w:r>
            <w:r>
              <w:rPr>
                <w:rFonts w:ascii="Times New Roman" w:hAnsi="Times New Roman" w:eastAsia="Times New Roman" w:cs="Times New Roman"/>
              </w:rPr>
              <w:t>III</w:t>
            </w:r>
          </w:p>
          <w:p>
            <w:pPr>
              <w:pStyle w:val="TableText"/>
              <w:ind w:left="804"/>
              <w:spacing w:before="10" w:line="228" w:lineRule="auto"/>
              <w:rPr/>
            </w:pPr>
            <w:r>
              <w:rPr>
                <w:spacing w:val="6"/>
              </w:rPr>
              <w:t>类标准</w:t>
            </w:r>
          </w:p>
        </w:tc>
      </w:tr>
      <w:tr>
        <w:trPr>
          <w:trHeight w:val="276" w:hRule="atLeast"/>
        </w:trPr>
        <w:tc>
          <w:tcPr>
            <w:tcW w:w="959" w:type="dxa"/>
            <w:vAlign w:val="top"/>
            <w:vMerge w:val="continue"/>
            <w:tcBorders>
              <w:top w:val="nil"/>
              <w:bottom w:val="nil"/>
            </w:tcBorders>
          </w:tcPr>
          <w:p>
            <w:pPr>
              <w:rPr>
                <w:rFonts w:ascii="Arial"/>
                <w:sz w:val="21"/>
              </w:rPr>
            </w:pPr>
            <w:r/>
          </w:p>
        </w:tc>
        <w:tc>
          <w:tcPr>
            <w:tcW w:w="1377" w:type="dxa"/>
            <w:vAlign w:val="top"/>
          </w:tcPr>
          <w:p>
            <w:pPr>
              <w:pStyle w:val="TableText"/>
              <w:ind w:left="376"/>
              <w:spacing w:before="33" w:line="215" w:lineRule="auto"/>
              <w:rPr/>
            </w:pPr>
            <w:r>
              <w:rPr>
                <w:spacing w:val="7"/>
              </w:rPr>
              <w:t>硫酸盐</w:t>
            </w:r>
          </w:p>
        </w:tc>
        <w:tc>
          <w:tcPr>
            <w:tcW w:w="1368" w:type="dxa"/>
            <w:vAlign w:val="top"/>
          </w:tcPr>
          <w:p>
            <w:pPr>
              <w:ind w:left="52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406</w:t>
            </w:r>
          </w:p>
        </w:tc>
        <w:tc>
          <w:tcPr>
            <w:tcW w:w="1312" w:type="dxa"/>
            <w:vAlign w:val="top"/>
          </w:tcPr>
          <w:p>
            <w:pPr>
              <w:ind w:left="50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250</w:t>
            </w:r>
          </w:p>
        </w:tc>
        <w:tc>
          <w:tcPr>
            <w:tcW w:w="1288" w:type="dxa"/>
            <w:vAlign w:val="top"/>
          </w:tcPr>
          <w:p>
            <w:pPr>
              <w:ind w:left="484"/>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1.62</w:t>
            </w:r>
          </w:p>
        </w:tc>
        <w:tc>
          <w:tcPr>
            <w:tcW w:w="2230" w:type="dxa"/>
            <w:vAlign w:val="top"/>
            <w:vMerge w:val="continue"/>
            <w:tcBorders>
              <w:top w:val="nil"/>
              <w:bottom w:val="nil"/>
            </w:tcBorders>
          </w:tcPr>
          <w:p>
            <w:pPr>
              <w:rPr>
                <w:rFonts w:ascii="Arial"/>
                <w:sz w:val="21"/>
              </w:rPr>
            </w:pPr>
            <w:r/>
          </w:p>
        </w:tc>
      </w:tr>
      <w:tr>
        <w:trPr>
          <w:trHeight w:val="277" w:hRule="atLeast"/>
        </w:trPr>
        <w:tc>
          <w:tcPr>
            <w:tcW w:w="959" w:type="dxa"/>
            <w:vAlign w:val="top"/>
            <w:vMerge w:val="continue"/>
            <w:tcBorders>
              <w:top w:val="nil"/>
              <w:bottom w:val="nil"/>
            </w:tcBorders>
          </w:tcPr>
          <w:p>
            <w:pPr>
              <w:rPr>
                <w:rFonts w:ascii="Arial"/>
                <w:sz w:val="21"/>
              </w:rPr>
            </w:pPr>
            <w:r/>
          </w:p>
        </w:tc>
        <w:tc>
          <w:tcPr>
            <w:tcW w:w="1377" w:type="dxa"/>
            <w:vAlign w:val="top"/>
          </w:tcPr>
          <w:p>
            <w:pPr>
              <w:pStyle w:val="TableText"/>
              <w:ind w:left="381"/>
              <w:spacing w:before="35" w:line="214" w:lineRule="auto"/>
              <w:rPr/>
            </w:pPr>
            <w:r>
              <w:rPr>
                <w:spacing w:val="5"/>
              </w:rPr>
              <w:t>氯化物</w:t>
            </w:r>
          </w:p>
        </w:tc>
        <w:tc>
          <w:tcPr>
            <w:tcW w:w="1368" w:type="dxa"/>
            <w:vAlign w:val="top"/>
          </w:tcPr>
          <w:p>
            <w:pPr>
              <w:ind w:left="53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543</w:t>
            </w:r>
          </w:p>
        </w:tc>
        <w:tc>
          <w:tcPr>
            <w:tcW w:w="1312" w:type="dxa"/>
            <w:vAlign w:val="top"/>
          </w:tcPr>
          <w:p>
            <w:pPr>
              <w:ind w:left="50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250</w:t>
            </w:r>
          </w:p>
        </w:tc>
        <w:tc>
          <w:tcPr>
            <w:tcW w:w="1288" w:type="dxa"/>
            <w:vAlign w:val="top"/>
          </w:tcPr>
          <w:p>
            <w:pPr>
              <w:ind w:left="46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2.17</w:t>
            </w:r>
          </w:p>
        </w:tc>
        <w:tc>
          <w:tcPr>
            <w:tcW w:w="2230" w:type="dxa"/>
            <w:vAlign w:val="top"/>
            <w:vMerge w:val="continue"/>
            <w:tcBorders>
              <w:top w:val="nil"/>
              <w:bottom w:val="nil"/>
            </w:tcBorders>
          </w:tcPr>
          <w:p>
            <w:pPr>
              <w:rPr>
                <w:rFonts w:ascii="Arial"/>
                <w:sz w:val="21"/>
              </w:rPr>
            </w:pPr>
            <w:r/>
          </w:p>
        </w:tc>
      </w:tr>
      <w:tr>
        <w:trPr>
          <w:trHeight w:val="278" w:hRule="atLeast"/>
        </w:trPr>
        <w:tc>
          <w:tcPr>
            <w:tcW w:w="959" w:type="dxa"/>
            <w:vAlign w:val="top"/>
            <w:vMerge w:val="continue"/>
            <w:tcBorders>
              <w:top w:val="nil"/>
              <w:bottom w:val="nil"/>
            </w:tcBorders>
          </w:tcPr>
          <w:p>
            <w:pPr>
              <w:rPr>
                <w:rFonts w:ascii="Arial"/>
                <w:sz w:val="21"/>
              </w:rPr>
            </w:pPr>
            <w:r/>
          </w:p>
        </w:tc>
        <w:tc>
          <w:tcPr>
            <w:tcW w:w="1377" w:type="dxa"/>
            <w:vAlign w:val="top"/>
          </w:tcPr>
          <w:p>
            <w:pPr>
              <w:pStyle w:val="TableText"/>
              <w:ind w:left="588"/>
              <w:spacing w:before="37" w:line="213" w:lineRule="auto"/>
              <w:rPr/>
            </w:pPr>
            <w:r>
              <w:rPr>
                <w:spacing w:val="1"/>
              </w:rPr>
              <w:t>钠</w:t>
            </w:r>
          </w:p>
        </w:tc>
        <w:tc>
          <w:tcPr>
            <w:tcW w:w="1368" w:type="dxa"/>
            <w:vAlign w:val="top"/>
          </w:tcPr>
          <w:p>
            <w:pPr>
              <w:ind w:left="527"/>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486</w:t>
            </w:r>
          </w:p>
        </w:tc>
        <w:tc>
          <w:tcPr>
            <w:tcW w:w="1312" w:type="dxa"/>
            <w:vAlign w:val="top"/>
          </w:tcPr>
          <w:p>
            <w:pPr>
              <w:ind w:left="501"/>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w:t>
            </w:r>
          </w:p>
        </w:tc>
        <w:tc>
          <w:tcPr>
            <w:tcW w:w="1288" w:type="dxa"/>
            <w:vAlign w:val="top"/>
          </w:tcPr>
          <w:p>
            <w:pPr>
              <w:ind w:left="464"/>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2.43</w:t>
            </w:r>
          </w:p>
        </w:tc>
        <w:tc>
          <w:tcPr>
            <w:tcW w:w="2230" w:type="dxa"/>
            <w:vAlign w:val="top"/>
            <w:vMerge w:val="continue"/>
            <w:tcBorders>
              <w:top w:val="nil"/>
              <w:bottom w:val="nil"/>
            </w:tcBorders>
          </w:tcPr>
          <w:p>
            <w:pPr>
              <w:rPr>
                <w:rFonts w:ascii="Arial"/>
                <w:sz w:val="21"/>
              </w:rPr>
            </w:pPr>
            <w:r/>
          </w:p>
        </w:tc>
      </w:tr>
      <w:tr>
        <w:trPr>
          <w:trHeight w:val="277" w:hRule="atLeast"/>
        </w:trPr>
        <w:tc>
          <w:tcPr>
            <w:tcW w:w="959" w:type="dxa"/>
            <w:vAlign w:val="top"/>
            <w:vMerge w:val="continue"/>
            <w:tcBorders>
              <w:top w:val="nil"/>
              <w:bottom w:val="nil"/>
            </w:tcBorders>
          </w:tcPr>
          <w:p>
            <w:pPr>
              <w:rPr>
                <w:rFonts w:ascii="Arial"/>
                <w:sz w:val="21"/>
              </w:rPr>
            </w:pPr>
            <w:r/>
          </w:p>
        </w:tc>
        <w:tc>
          <w:tcPr>
            <w:tcW w:w="1377" w:type="dxa"/>
            <w:vAlign w:val="top"/>
          </w:tcPr>
          <w:p>
            <w:pPr>
              <w:pStyle w:val="TableText"/>
              <w:ind w:left="378"/>
              <w:spacing w:before="35" w:line="214" w:lineRule="auto"/>
              <w:rPr/>
            </w:pPr>
            <w:r>
              <w:rPr>
                <w:spacing w:val="6"/>
              </w:rPr>
              <w:t>氟化物</w:t>
            </w:r>
          </w:p>
        </w:tc>
        <w:tc>
          <w:tcPr>
            <w:tcW w:w="1368" w:type="dxa"/>
            <w:vAlign w:val="top"/>
          </w:tcPr>
          <w:p>
            <w:pPr>
              <w:ind w:left="501"/>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2.22</w:t>
            </w:r>
          </w:p>
        </w:tc>
        <w:tc>
          <w:tcPr>
            <w:tcW w:w="1312" w:type="dxa"/>
            <w:vAlign w:val="top"/>
          </w:tcPr>
          <w:p>
            <w:pPr>
              <w:ind w:left="62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288" w:type="dxa"/>
            <w:vAlign w:val="top"/>
          </w:tcPr>
          <w:p>
            <w:pPr>
              <w:ind w:left="46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2.22</w:t>
            </w:r>
          </w:p>
        </w:tc>
        <w:tc>
          <w:tcPr>
            <w:tcW w:w="2230" w:type="dxa"/>
            <w:vAlign w:val="top"/>
            <w:vMerge w:val="continue"/>
            <w:tcBorders>
              <w:top w:val="nil"/>
              <w:bottom w:val="nil"/>
            </w:tcBorders>
          </w:tcPr>
          <w:p>
            <w:pPr>
              <w:rPr>
                <w:rFonts w:ascii="Arial"/>
                <w:sz w:val="21"/>
              </w:rPr>
            </w:pPr>
            <w:r/>
          </w:p>
        </w:tc>
      </w:tr>
      <w:tr>
        <w:trPr>
          <w:trHeight w:val="281" w:hRule="atLeast"/>
        </w:trPr>
        <w:tc>
          <w:tcPr>
            <w:tcW w:w="959" w:type="dxa"/>
            <w:vAlign w:val="top"/>
            <w:vMerge w:val="continue"/>
            <w:tcBorders>
              <w:top w:val="nil"/>
            </w:tcBorders>
          </w:tcPr>
          <w:p>
            <w:pPr>
              <w:rPr>
                <w:rFonts w:ascii="Arial"/>
                <w:sz w:val="21"/>
              </w:rPr>
            </w:pPr>
            <w:r/>
          </w:p>
        </w:tc>
        <w:tc>
          <w:tcPr>
            <w:tcW w:w="1377" w:type="dxa"/>
            <w:vAlign w:val="top"/>
          </w:tcPr>
          <w:p>
            <w:pPr>
              <w:pStyle w:val="TableText"/>
              <w:ind w:left="65"/>
              <w:spacing w:before="35" w:line="217" w:lineRule="auto"/>
              <w:rPr/>
            </w:pPr>
            <w:r>
              <w:rPr>
                <w:spacing w:val="7"/>
              </w:rPr>
              <w:t>溶解性总固体</w:t>
            </w:r>
          </w:p>
        </w:tc>
        <w:tc>
          <w:tcPr>
            <w:tcW w:w="1368" w:type="dxa"/>
            <w:vAlign w:val="top"/>
          </w:tcPr>
          <w:p>
            <w:pPr>
              <w:ind w:left="49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1950</w:t>
            </w:r>
          </w:p>
        </w:tc>
        <w:tc>
          <w:tcPr>
            <w:tcW w:w="1312" w:type="dxa"/>
            <w:vAlign w:val="top"/>
          </w:tcPr>
          <w:p>
            <w:pPr>
              <w:ind w:left="46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1000</w:t>
            </w:r>
          </w:p>
        </w:tc>
        <w:tc>
          <w:tcPr>
            <w:tcW w:w="1288" w:type="dxa"/>
            <w:vAlign w:val="top"/>
          </w:tcPr>
          <w:p>
            <w:pPr>
              <w:ind w:left="48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1.95</w:t>
            </w:r>
          </w:p>
        </w:tc>
        <w:tc>
          <w:tcPr>
            <w:tcW w:w="2230" w:type="dxa"/>
            <w:vAlign w:val="top"/>
            <w:vMerge w:val="continue"/>
            <w:tcBorders>
              <w:top w:val="nil"/>
            </w:tcBorders>
          </w:tcPr>
          <w:p>
            <w:pPr>
              <w:rPr>
                <w:rFonts w:ascii="Arial"/>
                <w:sz w:val="21"/>
              </w:rPr>
            </w:pPr>
            <w:r/>
          </w:p>
        </w:tc>
      </w:tr>
    </w:tbl>
    <w:p>
      <w:pPr>
        <w:ind w:left="28" w:right="99" w:firstLine="479"/>
        <w:spacing w:before="37" w:line="359" w:lineRule="auto"/>
        <w:rPr>
          <w:rFonts w:ascii="SimSun" w:hAnsi="SimSun" w:eastAsia="SimSun" w:cs="SimSun"/>
          <w:sz w:val="24"/>
          <w:szCs w:val="24"/>
        </w:rPr>
      </w:pPr>
      <w:r>
        <w:rPr>
          <w:rFonts w:ascii="SimSun" w:hAnsi="SimSun" w:eastAsia="SimSun" w:cs="SimSun"/>
          <w:sz w:val="24"/>
          <w:szCs w:val="24"/>
          <w:spacing w:val="3"/>
        </w:rPr>
        <w:t>根据上表，同时考虑各污染物对地下水的影响程度，确定地</w:t>
      </w:r>
      <w:r>
        <w:rPr>
          <w:rFonts w:ascii="SimSun" w:hAnsi="SimSun" w:eastAsia="SimSun" w:cs="SimSun"/>
          <w:sz w:val="24"/>
          <w:szCs w:val="24"/>
          <w:spacing w:val="2"/>
        </w:rPr>
        <w:t>下水环境影响预</w:t>
      </w:r>
      <w:r>
        <w:rPr>
          <w:rFonts w:ascii="SimSun" w:hAnsi="SimSun" w:eastAsia="SimSun" w:cs="SimSun"/>
          <w:sz w:val="24"/>
          <w:szCs w:val="24"/>
        </w:rPr>
        <w:t xml:space="preserve"> </w:t>
      </w:r>
      <w:r>
        <w:rPr>
          <w:rFonts w:ascii="SimSun" w:hAnsi="SimSun" w:eastAsia="SimSun" w:cs="SimSun"/>
          <w:sz w:val="24"/>
          <w:szCs w:val="24"/>
          <w:spacing w:val="-3"/>
        </w:rPr>
        <w:t>测因子为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BOD</w:t>
      </w:r>
      <w:r>
        <w:rPr>
          <w:rFonts w:ascii="Times New Roman" w:hAnsi="Times New Roman" w:eastAsia="Times New Roman" w:cs="Times New Roman"/>
          <w:sz w:val="15"/>
          <w:szCs w:val="15"/>
          <w:spacing w:val="-3"/>
          <w:position w:val="-1"/>
        </w:rPr>
        <w:t>5</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3"/>
        </w:rPr>
        <w:t>、氨氮，</w:t>
      </w:r>
      <w:r>
        <w:rPr>
          <w:rFonts w:ascii="Times New Roman" w:hAnsi="Times New Roman" w:eastAsia="Times New Roman" w:cs="Times New Roman"/>
          <w:sz w:val="24"/>
          <w:szCs w:val="24"/>
          <w:spacing w:val="-3"/>
        </w:rPr>
        <w:t>BOD</w:t>
      </w:r>
      <w:r>
        <w:rPr>
          <w:rFonts w:ascii="Times New Roman" w:hAnsi="Times New Roman" w:eastAsia="Times New Roman" w:cs="Times New Roman"/>
          <w:sz w:val="15"/>
          <w:szCs w:val="15"/>
          <w:spacing w:val="-3"/>
          <w:position w:val="-1"/>
        </w:rPr>
        <w:t>5</w:t>
      </w:r>
      <w:r>
        <w:rPr>
          <w:rFonts w:ascii="Times New Roman" w:hAnsi="Times New Roman" w:eastAsia="Times New Roman" w:cs="Times New Roman"/>
          <w:sz w:val="15"/>
          <w:szCs w:val="15"/>
          <w:spacing w:val="11"/>
          <w:w w:val="102"/>
          <w:position w:val="-1"/>
        </w:rPr>
        <w:t xml:space="preserve"> </w:t>
      </w:r>
      <w:r>
        <w:rPr>
          <w:rFonts w:ascii="SimSun" w:hAnsi="SimSun" w:eastAsia="SimSun" w:cs="SimSun"/>
          <w:sz w:val="24"/>
          <w:szCs w:val="24"/>
          <w:spacing w:val="-3"/>
        </w:rPr>
        <w:t>浓度取</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10000mg/L</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、氨氮浓度取</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1000mg</w:t>
      </w:r>
      <w:r>
        <w:rPr>
          <w:rFonts w:ascii="Times New Roman" w:hAnsi="Times New Roman" w:eastAsia="Times New Roman" w:cs="Times New Roman"/>
          <w:sz w:val="24"/>
          <w:szCs w:val="24"/>
          <w:spacing w:val="-4"/>
        </w:rPr>
        <w:t>/L</w:t>
      </w:r>
      <w:r>
        <w:rPr>
          <w:rFonts w:ascii="SimSun" w:hAnsi="SimSun" w:eastAsia="SimSun" w:cs="SimSun"/>
          <w:sz w:val="24"/>
          <w:szCs w:val="24"/>
          <w:spacing w:val="-4"/>
        </w:rPr>
        <w:t>。</w:t>
      </w:r>
    </w:p>
    <w:p>
      <w:pPr>
        <w:ind w:left="503"/>
        <w:spacing w:line="219" w:lineRule="auto"/>
        <w:rPr>
          <w:rFonts w:ascii="SimSun" w:hAnsi="SimSun" w:eastAsia="SimSun" w:cs="SimSun"/>
          <w:sz w:val="24"/>
          <w:szCs w:val="24"/>
        </w:rPr>
      </w:pPr>
      <w:r>
        <w:rPr>
          <w:rFonts w:ascii="Times New Roman" w:hAnsi="Times New Roman" w:eastAsia="Times New Roman" w:cs="Times New Roman"/>
          <w:sz w:val="24"/>
          <w:szCs w:val="24"/>
          <w:spacing w:val="-6"/>
        </w:rPr>
        <w:t>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6"/>
        </w:rPr>
        <w:t>、预测内容</w:t>
      </w:r>
    </w:p>
    <w:p>
      <w:pPr>
        <w:ind w:left="26" w:right="96" w:firstLine="484"/>
        <w:spacing w:before="182" w:line="359" w:lineRule="auto"/>
        <w:rPr>
          <w:rFonts w:ascii="SimSun" w:hAnsi="SimSun" w:eastAsia="SimSun" w:cs="SimSun"/>
          <w:sz w:val="24"/>
          <w:szCs w:val="24"/>
        </w:rPr>
      </w:pPr>
      <w:r>
        <w:rPr>
          <w:rFonts w:ascii="SimSun" w:hAnsi="SimSun" w:eastAsia="SimSun" w:cs="SimSun"/>
          <w:sz w:val="24"/>
          <w:szCs w:val="24"/>
          <w:spacing w:val="3"/>
        </w:rPr>
        <w:t>项目采取分区防渗措施，正常工况下不会对区内地下水水</w:t>
      </w:r>
      <w:r>
        <w:rPr>
          <w:rFonts w:ascii="SimSun" w:hAnsi="SimSun" w:eastAsia="SimSun" w:cs="SimSun"/>
          <w:sz w:val="24"/>
          <w:szCs w:val="24"/>
          <w:spacing w:val="2"/>
        </w:rPr>
        <w:t>质造成影响。假设</w:t>
      </w:r>
      <w:r>
        <w:rPr>
          <w:rFonts w:ascii="SimSun" w:hAnsi="SimSun" w:eastAsia="SimSun" w:cs="SimSun"/>
          <w:sz w:val="24"/>
          <w:szCs w:val="24"/>
        </w:rPr>
        <w:t xml:space="preserve"> </w:t>
      </w:r>
      <w:r>
        <w:rPr>
          <w:rFonts w:ascii="SimSun" w:hAnsi="SimSun" w:eastAsia="SimSun" w:cs="SimSun"/>
          <w:sz w:val="24"/>
          <w:szCs w:val="24"/>
          <w:spacing w:val="-1"/>
        </w:rPr>
        <w:t>非正常工况下厌氧发酵装置</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TS </w:t>
      </w:r>
      <w:r>
        <w:rPr>
          <w:rFonts w:ascii="SimSun" w:hAnsi="SimSun" w:eastAsia="SimSun" w:cs="SimSun"/>
          <w:sz w:val="24"/>
          <w:szCs w:val="24"/>
          <w:spacing w:val="-1"/>
        </w:rPr>
        <w:t>调节池渗漏导致</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BOD</w:t>
      </w:r>
      <w:r>
        <w:rPr>
          <w:rFonts w:ascii="Times New Roman" w:hAnsi="Times New Roman" w:eastAsia="Times New Roman" w:cs="Times New Roman"/>
          <w:sz w:val="15"/>
          <w:szCs w:val="15"/>
          <w:spacing w:val="-1"/>
          <w:position w:val="-1"/>
        </w:rPr>
        <w:t>5</w:t>
      </w:r>
      <w:r>
        <w:rPr>
          <w:rFonts w:ascii="Times New Roman" w:hAnsi="Times New Roman" w:eastAsia="Times New Roman" w:cs="Times New Roman"/>
          <w:sz w:val="15"/>
          <w:szCs w:val="15"/>
          <w:spacing w:val="-10"/>
          <w:position w:val="-1"/>
        </w:rPr>
        <w:t xml:space="preserve"> </w:t>
      </w:r>
      <w:r>
        <w:rPr>
          <w:rFonts w:ascii="SimSun" w:hAnsi="SimSun" w:eastAsia="SimSun" w:cs="SimSun"/>
          <w:sz w:val="24"/>
          <w:szCs w:val="24"/>
          <w:spacing w:val="-1"/>
        </w:rPr>
        <w:t>、氨氮污染物通过包气带进</w:t>
      </w:r>
      <w:r>
        <w:rPr>
          <w:rFonts w:ascii="SimSun" w:hAnsi="SimSun" w:eastAsia="SimSun" w:cs="SimSun"/>
          <w:sz w:val="24"/>
          <w:szCs w:val="24"/>
        </w:rPr>
        <w:t xml:space="preserve"> </w:t>
      </w:r>
      <w:r>
        <w:rPr>
          <w:rFonts w:ascii="SimSun" w:hAnsi="SimSun" w:eastAsia="SimSun" w:cs="SimSun"/>
          <w:sz w:val="24"/>
          <w:szCs w:val="24"/>
        </w:rPr>
        <w:t>入地下水，导致地下水遭受污染，在此状况下预测</w:t>
      </w:r>
      <w:r>
        <w:rPr>
          <w:rFonts w:ascii="SimSun" w:hAnsi="SimSun" w:eastAsia="SimSun" w:cs="SimSun"/>
          <w:sz w:val="24"/>
          <w:szCs w:val="24"/>
          <w:spacing w:val="-1"/>
        </w:rPr>
        <w:t>对地下水造成的影响。</w:t>
      </w:r>
    </w:p>
    <w:p>
      <w:pPr>
        <w:ind w:left="508"/>
        <w:spacing w:line="220" w:lineRule="auto"/>
        <w:rPr>
          <w:rFonts w:ascii="SimSun" w:hAnsi="SimSun" w:eastAsia="SimSun" w:cs="SimSun"/>
          <w:sz w:val="24"/>
          <w:szCs w:val="24"/>
        </w:rPr>
      </w:pPr>
      <w:r>
        <w:rPr>
          <w:rFonts w:ascii="Times New Roman" w:hAnsi="Times New Roman" w:eastAsia="Times New Roman" w:cs="Times New Roman"/>
          <w:sz w:val="24"/>
          <w:szCs w:val="24"/>
          <w:spacing w:val="-6"/>
        </w:rPr>
        <w:t>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6"/>
        </w:rPr>
        <w:t>、源强确定</w:t>
      </w:r>
    </w:p>
    <w:p>
      <w:pPr>
        <w:ind w:left="519"/>
        <w:spacing w:before="180"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）正常状况有防渗</w:t>
      </w:r>
    </w:p>
    <w:p>
      <w:pPr>
        <w:spacing w:before="183" w:line="218" w:lineRule="auto"/>
        <w:jc w:val="right"/>
        <w:rPr>
          <w:rFonts w:ascii="SimSun" w:hAnsi="SimSun" w:eastAsia="SimSun" w:cs="SimSun"/>
          <w:sz w:val="24"/>
          <w:szCs w:val="24"/>
        </w:rPr>
      </w:pPr>
      <w:r>
        <w:rPr>
          <w:rFonts w:ascii="SimSun" w:hAnsi="SimSun" w:eastAsia="SimSun" w:cs="SimSun"/>
          <w:sz w:val="24"/>
          <w:szCs w:val="24"/>
          <w:spacing w:val="-1"/>
        </w:rPr>
        <w:t>正常状况有防渗，根据《环境影响评价技术导则地下水环境》（</w:t>
      </w:r>
      <w:r>
        <w:rPr>
          <w:rFonts w:ascii="Times New Roman" w:hAnsi="Times New Roman" w:eastAsia="Times New Roman" w:cs="Times New Roman"/>
          <w:sz w:val="24"/>
          <w:szCs w:val="24"/>
          <w:spacing w:val="-1"/>
        </w:rPr>
        <w:t>HJ610-2016</w:t>
      </w:r>
      <w:r>
        <w:rPr>
          <w:rFonts w:ascii="SimSun" w:hAnsi="SimSun" w:eastAsia="SimSun" w:cs="SimSun"/>
          <w:sz w:val="24"/>
          <w:szCs w:val="24"/>
          <w:spacing w:val="-1"/>
        </w:rPr>
        <w:t>）</w:t>
      </w:r>
    </w:p>
    <w:p>
      <w:pPr>
        <w:pStyle w:val="BodyText"/>
        <w:spacing w:line="388" w:lineRule="auto"/>
        <w:rPr/>
      </w:pPr>
      <w:r/>
    </w:p>
    <w:p>
      <w:pPr>
        <w:ind w:left="25"/>
        <w:spacing w:before="63" w:line="227" w:lineRule="auto"/>
        <w:rPr>
          <w:rFonts w:ascii="SimSun" w:hAnsi="SimSun" w:eastAsia="SimSun" w:cs="SimSun"/>
          <w:sz w:val="19"/>
          <w:szCs w:val="19"/>
        </w:rPr>
      </w:pPr>
      <w:r>
        <w:pict>
          <v:shape id="_x0000_s942" style="position:absolute;margin-left:160.22pt;margin-top:2.13736pt;mso-position-vertical-relative:text;mso-position-horizontal-relative:text;width:61pt;height:13.75pt;z-index:252085248;"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rPr>
                    <w:t>任公司</w:t>
                  </w:r>
                  <w:r>
                    <w:rPr>
                      <w:rFonts w:ascii="SimSun" w:hAnsi="SimSun" w:eastAsia="SimSun" w:cs="SimSun"/>
                      <w:sz w:val="19"/>
                      <w:szCs w:val="19"/>
                      <w:spacing w:val="18"/>
                    </w:rPr>
                    <w:t xml:space="preserve">   </w:t>
                  </w:r>
                  <w:r>
                    <w:rPr>
                      <w:rFonts w:ascii="Times New Roman" w:hAnsi="Times New Roman" w:eastAsia="Times New Roman" w:cs="Times New Roman"/>
                      <w:sz w:val="18"/>
                      <w:szCs w:val="18"/>
                      <w:position w:val="2"/>
                    </w:rPr>
                    <w:t>197</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265"/>
          <w:footerReference w:type="default" r:id="rId3"/>
          <w:pgSz w:w="11907" w:h="16840"/>
          <w:pgMar w:top="1567" w:right="1603" w:bottom="400" w:left="1683" w:header="1221" w:footer="0" w:gutter="0"/>
        </w:sectPr>
        <w:rPr>
          <w:rFonts w:ascii="SimSun" w:hAnsi="SimSun" w:eastAsia="SimSun" w:cs="SimSun"/>
          <w:sz w:val="19"/>
          <w:szCs w:val="19"/>
        </w:rPr>
      </w:pPr>
    </w:p>
    <w:p>
      <w:pPr>
        <w:ind w:left="125" w:right="110" w:firstLine="18"/>
        <w:spacing w:before="169" w:line="359" w:lineRule="auto"/>
        <w:jc w:val="both"/>
        <w:rPr>
          <w:rFonts w:ascii="SimSun" w:hAnsi="SimSun" w:eastAsia="SimSun" w:cs="SimSun"/>
          <w:sz w:val="24"/>
          <w:szCs w:val="24"/>
        </w:rPr>
      </w:pPr>
      <w:r>
        <w:pict>
          <v:shape id="_x0000_s946" style="position:absolute;margin-left:85.05pt;margin-top:78.87pt;mso-position-vertical-relative:page;mso-position-horizontal-relative:page;width:425.25pt;height:0.75pt;z-index:252088320;" o:allowincell="f" fillcolor="#000000" filled="true" stroked="false" coordsize="8505,15" coordorigin="0,0" path="m,l8505,0l8505,14l0,14l0,0xe"/>
        </w:pict>
      </w:r>
      <w:r>
        <w:rPr>
          <w:rFonts w:ascii="SimSun" w:hAnsi="SimSun" w:eastAsia="SimSun" w:cs="SimSun"/>
          <w:sz w:val="24"/>
          <w:szCs w:val="24"/>
          <w:spacing w:val="-2"/>
        </w:rPr>
        <w:t>中已依据</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GB16889</w:t>
      </w:r>
      <w:r>
        <w:rPr>
          <w:rFonts w:ascii="SimSun" w:hAnsi="SimSun" w:eastAsia="SimSun" w:cs="SimSun"/>
          <w:sz w:val="24"/>
          <w:szCs w:val="24"/>
          <w:spacing w:val="-2"/>
        </w:rPr>
        <w:t>、</w:t>
      </w:r>
      <w:r>
        <w:rPr>
          <w:rFonts w:ascii="Times New Roman" w:hAnsi="Times New Roman" w:eastAsia="Times New Roman" w:cs="Times New Roman"/>
          <w:sz w:val="24"/>
          <w:szCs w:val="24"/>
          <w:spacing w:val="-2"/>
        </w:rPr>
        <w:t>GB18597</w:t>
      </w:r>
      <w:r>
        <w:rPr>
          <w:rFonts w:ascii="SimSun" w:hAnsi="SimSun" w:eastAsia="SimSun" w:cs="SimSun"/>
          <w:sz w:val="24"/>
          <w:szCs w:val="24"/>
          <w:spacing w:val="-2"/>
        </w:rPr>
        <w:t>、</w:t>
      </w:r>
      <w:r>
        <w:rPr>
          <w:rFonts w:ascii="Times New Roman" w:hAnsi="Times New Roman" w:eastAsia="Times New Roman" w:cs="Times New Roman"/>
          <w:sz w:val="24"/>
          <w:szCs w:val="24"/>
          <w:spacing w:val="-3"/>
        </w:rPr>
        <w:t>GB18598</w:t>
      </w:r>
      <w:r>
        <w:rPr>
          <w:rFonts w:ascii="SimSun" w:hAnsi="SimSun" w:eastAsia="SimSun" w:cs="SimSun"/>
          <w:sz w:val="24"/>
          <w:szCs w:val="24"/>
          <w:spacing w:val="-3"/>
        </w:rPr>
        <w:t>、</w:t>
      </w:r>
      <w:r>
        <w:rPr>
          <w:rFonts w:ascii="Times New Roman" w:hAnsi="Times New Roman" w:eastAsia="Times New Roman" w:cs="Times New Roman"/>
          <w:sz w:val="24"/>
          <w:szCs w:val="24"/>
          <w:spacing w:val="-3"/>
        </w:rPr>
        <w:t>GB18599</w:t>
      </w:r>
      <w:r>
        <w:rPr>
          <w:rFonts w:ascii="SimSun" w:hAnsi="SimSun" w:eastAsia="SimSun" w:cs="SimSun"/>
          <w:sz w:val="24"/>
          <w:szCs w:val="24"/>
          <w:spacing w:val="-3"/>
        </w:rPr>
        <w:t>、</w:t>
      </w:r>
      <w:r>
        <w:rPr>
          <w:rFonts w:ascii="Times New Roman" w:hAnsi="Times New Roman" w:eastAsia="Times New Roman" w:cs="Times New Roman"/>
          <w:sz w:val="24"/>
          <w:szCs w:val="24"/>
          <w:spacing w:val="-3"/>
        </w:rPr>
        <w:t>GB/T50934 </w:t>
      </w:r>
      <w:r>
        <w:rPr>
          <w:rFonts w:ascii="SimSun" w:hAnsi="SimSun" w:eastAsia="SimSun" w:cs="SimSun"/>
          <w:sz w:val="24"/>
          <w:szCs w:val="24"/>
          <w:spacing w:val="-3"/>
        </w:rPr>
        <w:t>设计地下水污染</w:t>
      </w:r>
      <w:r>
        <w:rPr>
          <w:rFonts w:ascii="SimSun" w:hAnsi="SimSun" w:eastAsia="SimSun" w:cs="SimSun"/>
          <w:sz w:val="24"/>
          <w:szCs w:val="24"/>
        </w:rPr>
        <w:t xml:space="preserve"> </w:t>
      </w:r>
      <w:r>
        <w:rPr>
          <w:rFonts w:ascii="SimSun" w:hAnsi="SimSun" w:eastAsia="SimSun" w:cs="SimSun"/>
          <w:sz w:val="24"/>
          <w:szCs w:val="24"/>
          <w:spacing w:val="3"/>
        </w:rPr>
        <w:t>防渗措施的建设项目，可不进行正常状况情景下</w:t>
      </w:r>
      <w:r>
        <w:rPr>
          <w:rFonts w:ascii="SimSun" w:hAnsi="SimSun" w:eastAsia="SimSun" w:cs="SimSun"/>
          <w:sz w:val="24"/>
          <w:szCs w:val="24"/>
          <w:spacing w:val="2"/>
        </w:rPr>
        <w:t>的预测。本项目执行相关标准中</w:t>
      </w:r>
      <w:r>
        <w:rPr>
          <w:rFonts w:ascii="SimSun" w:hAnsi="SimSun" w:eastAsia="SimSun" w:cs="SimSun"/>
          <w:sz w:val="24"/>
          <w:szCs w:val="24"/>
        </w:rPr>
        <w:t xml:space="preserve"> </w:t>
      </w:r>
      <w:r>
        <w:rPr>
          <w:rFonts w:ascii="SimSun" w:hAnsi="SimSun" w:eastAsia="SimSun" w:cs="SimSun"/>
          <w:sz w:val="24"/>
          <w:szCs w:val="24"/>
          <w:spacing w:val="3"/>
        </w:rPr>
        <w:t>防渗措施，正常状况下，污染物对地下水环境无</w:t>
      </w:r>
      <w:r>
        <w:rPr>
          <w:rFonts w:ascii="SimSun" w:hAnsi="SimSun" w:eastAsia="SimSun" w:cs="SimSun"/>
          <w:sz w:val="24"/>
          <w:szCs w:val="24"/>
          <w:spacing w:val="2"/>
        </w:rPr>
        <w:t>影响。因此，本次预测主要考虑</w:t>
      </w:r>
      <w:r>
        <w:rPr>
          <w:rFonts w:ascii="SimSun" w:hAnsi="SimSun" w:eastAsia="SimSun" w:cs="SimSun"/>
          <w:sz w:val="24"/>
          <w:szCs w:val="24"/>
        </w:rPr>
        <w:t xml:space="preserve"> </w:t>
      </w:r>
      <w:r>
        <w:rPr>
          <w:rFonts w:ascii="SimSun" w:hAnsi="SimSun" w:eastAsia="SimSun" w:cs="SimSun"/>
          <w:sz w:val="24"/>
          <w:szCs w:val="24"/>
          <w:spacing w:val="-3"/>
        </w:rPr>
        <w:t>非正常情况。</w:t>
      </w:r>
    </w:p>
    <w:p>
      <w:pPr>
        <w:ind w:left="613"/>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）非正常状况防渗层破损，短时泄漏</w:t>
      </w:r>
    </w:p>
    <w:p>
      <w:pPr>
        <w:ind w:left="120" w:right="112" w:firstLine="480"/>
        <w:spacing w:before="183" w:line="359" w:lineRule="auto"/>
        <w:rPr>
          <w:rFonts w:ascii="SimSun" w:hAnsi="SimSun" w:eastAsia="SimSun" w:cs="SimSun"/>
          <w:sz w:val="24"/>
          <w:szCs w:val="24"/>
        </w:rPr>
      </w:pPr>
      <w:r>
        <w:rPr>
          <w:rFonts w:ascii="SimSun" w:hAnsi="SimSun" w:eastAsia="SimSun" w:cs="SimSun"/>
          <w:sz w:val="24"/>
          <w:szCs w:val="24"/>
          <w:spacing w:val="-2"/>
        </w:rPr>
        <w:t>假设最不利情况，非正常状况下，厌氧发酵</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TS </w:t>
      </w:r>
      <w:r>
        <w:rPr>
          <w:rFonts w:ascii="SimSun" w:hAnsi="SimSun" w:eastAsia="SimSun" w:cs="SimSun"/>
          <w:sz w:val="24"/>
          <w:szCs w:val="24"/>
          <w:spacing w:val="-2"/>
        </w:rPr>
        <w:t>调节池防渗层破损</w:t>
      </w:r>
      <w:r>
        <w:rPr>
          <w:rFonts w:ascii="SimSun" w:hAnsi="SimSun" w:eastAsia="SimSun" w:cs="SimSun"/>
          <w:sz w:val="24"/>
          <w:szCs w:val="24"/>
          <w:spacing w:val="-3"/>
        </w:rPr>
        <w:t>导致废水发</w:t>
      </w:r>
      <w:r>
        <w:rPr>
          <w:rFonts w:ascii="SimSun" w:hAnsi="SimSun" w:eastAsia="SimSun" w:cs="SimSun"/>
          <w:sz w:val="24"/>
          <w:szCs w:val="24"/>
        </w:rPr>
        <w:t xml:space="preserve"> </w:t>
      </w:r>
      <w:r>
        <w:rPr>
          <w:rFonts w:ascii="SimSun" w:hAnsi="SimSun" w:eastAsia="SimSun" w:cs="SimSun"/>
          <w:sz w:val="24"/>
          <w:szCs w:val="24"/>
          <w:spacing w:val="3"/>
        </w:rPr>
        <w:t>生泄漏，假设企业下游的地下水污染跟踪监测井进行</w:t>
      </w:r>
      <w:r>
        <w:rPr>
          <w:rFonts w:ascii="SimSun" w:hAnsi="SimSun" w:eastAsia="SimSun" w:cs="SimSun"/>
          <w:sz w:val="24"/>
          <w:szCs w:val="24"/>
          <w:spacing w:val="2"/>
        </w:rPr>
        <w:t>跟踪监测，监测频率为每季</w:t>
      </w:r>
      <w:r>
        <w:rPr>
          <w:rFonts w:ascii="SimSun" w:hAnsi="SimSun" w:eastAsia="SimSun" w:cs="SimSun"/>
          <w:sz w:val="24"/>
          <w:szCs w:val="24"/>
        </w:rPr>
        <w:t xml:space="preserve"> </w:t>
      </w:r>
      <w:r>
        <w:rPr>
          <w:rFonts w:ascii="SimSun" w:hAnsi="SimSun" w:eastAsia="SimSun" w:cs="SimSun"/>
          <w:sz w:val="24"/>
          <w:szCs w:val="24"/>
          <w:spacing w:val="2"/>
        </w:rPr>
        <w:t>度一次。假设在</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3 </w:t>
      </w:r>
      <w:r>
        <w:rPr>
          <w:rFonts w:ascii="SimSun" w:hAnsi="SimSun" w:eastAsia="SimSun" w:cs="SimSun"/>
          <w:sz w:val="24"/>
          <w:szCs w:val="24"/>
          <w:spacing w:val="2"/>
        </w:rPr>
        <w:t>个月内发现了泄漏，继而启动应急措施，对厂区泄漏源进行排</w:t>
      </w:r>
      <w:r>
        <w:rPr>
          <w:rFonts w:ascii="SimSun" w:hAnsi="SimSun" w:eastAsia="SimSun" w:cs="SimSun"/>
          <w:sz w:val="24"/>
          <w:szCs w:val="24"/>
        </w:rPr>
        <w:t xml:space="preserve"> </w:t>
      </w:r>
      <w:r>
        <w:rPr>
          <w:rFonts w:ascii="SimSun" w:hAnsi="SimSun" w:eastAsia="SimSun" w:cs="SimSun"/>
          <w:sz w:val="24"/>
          <w:szCs w:val="24"/>
          <w:spacing w:val="-1"/>
        </w:rPr>
        <w:t>查，找出并切断泄漏源，假定从开始泄漏至修复时间持续了</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100 </w:t>
      </w:r>
      <w:r>
        <w:rPr>
          <w:rFonts w:ascii="SimSun" w:hAnsi="SimSun" w:eastAsia="SimSun" w:cs="SimSun"/>
          <w:sz w:val="24"/>
          <w:szCs w:val="24"/>
          <w:spacing w:val="-2"/>
        </w:rPr>
        <w:t>天。</w:t>
      </w:r>
    </w:p>
    <w:p>
      <w:pPr>
        <w:ind w:left="126" w:right="112" w:firstLine="476"/>
        <w:spacing w:before="1" w:line="341" w:lineRule="auto"/>
        <w:rPr>
          <w:rFonts w:ascii="SimSun" w:hAnsi="SimSun" w:eastAsia="SimSun" w:cs="SimSun"/>
          <w:sz w:val="24"/>
          <w:szCs w:val="24"/>
        </w:rPr>
      </w:pPr>
      <w:r>
        <w:rPr>
          <w:rFonts w:ascii="SimSun" w:hAnsi="SimSun" w:eastAsia="SimSun" w:cs="SimSun"/>
          <w:sz w:val="24"/>
          <w:szCs w:val="24"/>
          <w:spacing w:val="-3"/>
        </w:rPr>
        <w:t>本项目设</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座</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128m</w:t>
      </w:r>
      <w:r>
        <w:rPr>
          <w:rFonts w:ascii="Times New Roman" w:hAnsi="Times New Roman" w:eastAsia="Times New Roman" w:cs="Times New Roman"/>
          <w:sz w:val="15"/>
          <w:szCs w:val="15"/>
          <w:spacing w:val="-3"/>
          <w:position w:val="8"/>
        </w:rPr>
        <w:t>3</w:t>
      </w:r>
      <w:r>
        <w:rPr>
          <w:rFonts w:ascii="Times New Roman" w:hAnsi="Times New Roman" w:eastAsia="Times New Roman" w:cs="Times New Roman"/>
          <w:sz w:val="15"/>
          <w:szCs w:val="15"/>
          <w:spacing w:val="13"/>
          <w:w w:val="102"/>
          <w:position w:val="8"/>
        </w:rPr>
        <w:t xml:space="preserve"> </w:t>
      </w:r>
      <w:r>
        <w:rPr>
          <w:rFonts w:ascii="SimSun" w:hAnsi="SimSun" w:eastAsia="SimSun" w:cs="SimSun"/>
          <w:sz w:val="24"/>
          <w:szCs w:val="24"/>
          <w:spacing w:val="-3"/>
        </w:rPr>
        <w:t>调节池，其规格为</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3"/>
        </w:rPr>
        <w:t>4m×8m×4m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的混凝土建筑源强计</w:t>
      </w:r>
      <w:r>
        <w:rPr>
          <w:rFonts w:ascii="SimSun" w:hAnsi="SimSun" w:eastAsia="SimSun" w:cs="SimSun"/>
          <w:sz w:val="24"/>
          <w:szCs w:val="24"/>
          <w:spacing w:val="-4"/>
        </w:rPr>
        <w:t>算公</w:t>
      </w:r>
      <w:r>
        <w:rPr>
          <w:rFonts w:ascii="SimSun" w:hAnsi="SimSun" w:eastAsia="SimSun" w:cs="SimSun"/>
          <w:sz w:val="24"/>
          <w:szCs w:val="24"/>
        </w:rPr>
        <w:t xml:space="preserve"> </w:t>
      </w:r>
      <w:r>
        <w:rPr>
          <w:rFonts w:ascii="SimSun" w:hAnsi="SimSun" w:eastAsia="SimSun" w:cs="SimSun"/>
          <w:sz w:val="24"/>
          <w:szCs w:val="24"/>
          <w:spacing w:val="-4"/>
        </w:rPr>
        <w:t>式如下：</w:t>
      </w:r>
    </w:p>
    <w:p>
      <w:pPr>
        <w:pStyle w:val="BodyText"/>
        <w:ind w:left="3187"/>
        <w:spacing w:line="322" w:lineRule="exact"/>
        <w:rPr>
          <w:rFonts w:ascii="SimSun" w:hAnsi="SimSun" w:eastAsia="SimSun" w:cs="SimSun"/>
          <w:sz w:val="24"/>
          <w:szCs w:val="24"/>
        </w:rPr>
      </w:pPr>
      <w:r>
        <w:rPr>
          <w:rFonts w:ascii="Times New Roman" w:hAnsi="Times New Roman" w:eastAsia="Times New Roman" w:cs="Times New Roman"/>
          <w:sz w:val="24"/>
          <w:szCs w:val="24"/>
          <w:spacing w:val="-1"/>
          <w:position w:val="2"/>
        </w:rPr>
        <w:t>Q=</w:t>
      </w:r>
      <w:r>
        <w:rPr>
          <w:rFonts w:ascii="SimSun" w:hAnsi="SimSun" w:eastAsia="SimSun" w:cs="SimSun"/>
          <w:sz w:val="24"/>
          <w:szCs w:val="24"/>
          <w:spacing w:val="-1"/>
          <w:position w:val="2"/>
        </w:rPr>
        <w:t>渗漏面积</w:t>
      </w:r>
      <w:r>
        <w:rPr>
          <w:sz w:val="24"/>
          <w:szCs w:val="24"/>
          <w:spacing w:val="-1"/>
          <w:position w:val="2"/>
        </w:rPr>
        <w:t>×</w:t>
      </w:r>
      <w:r>
        <w:rPr>
          <w:rFonts w:ascii="SimSun" w:hAnsi="SimSun" w:eastAsia="SimSun" w:cs="SimSun"/>
          <w:sz w:val="24"/>
          <w:szCs w:val="24"/>
          <w:spacing w:val="-1"/>
          <w:position w:val="2"/>
        </w:rPr>
        <w:t>渗漏强度</w:t>
      </w:r>
    </w:p>
    <w:p>
      <w:pPr>
        <w:ind w:left="606"/>
        <w:spacing w:before="188" w:line="212"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Q—</w:t>
      </w:r>
      <w:r>
        <w:rPr>
          <w:rFonts w:ascii="SimSun" w:hAnsi="SimSun" w:eastAsia="SimSun" w:cs="SimSun"/>
          <w:sz w:val="24"/>
          <w:szCs w:val="24"/>
          <w:spacing w:val="-1"/>
        </w:rPr>
        <w:t>渗入到地下的污水量，</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p>
    <w:p>
      <w:pPr>
        <w:ind w:left="1321"/>
        <w:spacing w:before="147" w:line="322" w:lineRule="exact"/>
        <w:rPr>
          <w:rFonts w:ascii="SimSun" w:hAnsi="SimSun" w:eastAsia="SimSun" w:cs="SimSun"/>
          <w:sz w:val="24"/>
          <w:szCs w:val="24"/>
        </w:rPr>
      </w:pPr>
      <w:r>
        <w:rPr>
          <w:rFonts w:ascii="SimSun" w:hAnsi="SimSun" w:eastAsia="SimSun" w:cs="SimSun"/>
          <w:sz w:val="24"/>
          <w:szCs w:val="24"/>
          <w:spacing w:val="-2"/>
          <w:position w:val="1"/>
        </w:rPr>
        <w:t>假设渗漏面积</w:t>
      </w:r>
      <w:r>
        <w:rPr>
          <w:rFonts w:ascii="Times New Roman" w:hAnsi="Times New Roman" w:eastAsia="Times New Roman" w:cs="Times New Roman"/>
          <w:sz w:val="24"/>
          <w:szCs w:val="24"/>
          <w:spacing w:val="-2"/>
          <w:position w:val="1"/>
        </w:rPr>
        <w:t>=</w:t>
      </w:r>
      <w:r>
        <w:rPr>
          <w:rFonts w:ascii="SimSun" w:hAnsi="SimSun" w:eastAsia="SimSun" w:cs="SimSun"/>
          <w:sz w:val="24"/>
          <w:szCs w:val="24"/>
          <w:spacing w:val="-2"/>
          <w:position w:val="1"/>
        </w:rPr>
        <w:t>（池壁面积</w:t>
      </w:r>
      <w:r>
        <w:rPr>
          <w:rFonts w:ascii="Times New Roman" w:hAnsi="Times New Roman" w:eastAsia="Times New Roman" w:cs="Times New Roman"/>
          <w:sz w:val="24"/>
          <w:szCs w:val="24"/>
          <w:spacing w:val="-2"/>
          <w:position w:val="1"/>
        </w:rPr>
        <w:t>+</w:t>
      </w:r>
      <w:r>
        <w:rPr>
          <w:rFonts w:ascii="SimSun" w:hAnsi="SimSun" w:eastAsia="SimSun" w:cs="SimSun"/>
          <w:sz w:val="24"/>
          <w:szCs w:val="24"/>
          <w:spacing w:val="-2"/>
          <w:position w:val="1"/>
        </w:rPr>
        <w:t>池底面积）</w:t>
      </w:r>
      <w:r>
        <w:rPr>
          <w:rFonts w:ascii="Times New Roman" w:hAnsi="Times New Roman" w:eastAsia="Times New Roman" w:cs="Times New Roman"/>
          <w:sz w:val="24"/>
          <w:szCs w:val="24"/>
          <w:spacing w:val="-2"/>
          <w:position w:val="1"/>
        </w:rPr>
        <w:t>=</w:t>
      </w:r>
      <w:r>
        <w:rPr>
          <w:rFonts w:ascii="Times New Roman" w:hAnsi="Times New Roman" w:eastAsia="Times New Roman" w:cs="Times New Roman"/>
          <w:sz w:val="24"/>
          <w:szCs w:val="24"/>
          <w:spacing w:val="-20"/>
          <w:position w:val="1"/>
        </w:rPr>
        <w:t xml:space="preserve"> </w:t>
      </w:r>
      <w:r>
        <w:rPr>
          <w:rFonts w:ascii="Times New Roman" w:hAnsi="Times New Roman" w:eastAsia="Times New Roman" w:cs="Times New Roman"/>
          <w:sz w:val="24"/>
          <w:szCs w:val="24"/>
          <w:spacing w:val="-2"/>
          <w:position w:val="1"/>
        </w:rPr>
        <w:t>128m</w:t>
      </w:r>
      <w:r>
        <w:rPr>
          <w:rFonts w:ascii="Times New Roman" w:hAnsi="Times New Roman" w:eastAsia="Times New Roman" w:cs="Times New Roman"/>
          <w:sz w:val="15"/>
          <w:szCs w:val="15"/>
          <w:spacing w:val="-2"/>
          <w:position w:val="9"/>
        </w:rPr>
        <w:t>2</w:t>
      </w:r>
      <w:r>
        <w:rPr>
          <w:rFonts w:ascii="SimSun" w:hAnsi="SimSun" w:eastAsia="SimSun" w:cs="SimSun"/>
          <w:sz w:val="24"/>
          <w:szCs w:val="24"/>
          <w:spacing w:val="-2"/>
          <w:position w:val="1"/>
        </w:rPr>
        <w:t>；</w:t>
      </w:r>
    </w:p>
    <w:p>
      <w:pPr>
        <w:ind w:left="116" w:right="112" w:firstLine="490"/>
        <w:spacing w:before="189" w:line="359" w:lineRule="auto"/>
        <w:jc w:val="both"/>
        <w:rPr>
          <w:rFonts w:ascii="SimSun" w:hAnsi="SimSun" w:eastAsia="SimSun" w:cs="SimSun"/>
          <w:sz w:val="24"/>
          <w:szCs w:val="24"/>
        </w:rPr>
      </w:pPr>
      <w:r>
        <w:rPr>
          <w:rFonts w:ascii="SimSun" w:hAnsi="SimSun" w:eastAsia="SimSun" w:cs="SimSun"/>
          <w:sz w:val="24"/>
          <w:szCs w:val="24"/>
          <w:spacing w:val="-10"/>
        </w:rPr>
        <w:t>正</w:t>
      </w:r>
      <w:r>
        <w:rPr>
          <w:rFonts w:ascii="SimSun" w:hAnsi="SimSun" w:eastAsia="SimSun" w:cs="SimSun"/>
          <w:sz w:val="24"/>
          <w:szCs w:val="24"/>
          <w:spacing w:val="-64"/>
        </w:rPr>
        <w:t xml:space="preserve"> </w:t>
      </w:r>
      <w:r>
        <w:rPr>
          <w:rFonts w:ascii="SimSun" w:hAnsi="SimSun" w:eastAsia="SimSun" w:cs="SimSun"/>
          <w:sz w:val="24"/>
          <w:szCs w:val="24"/>
          <w:spacing w:val="-10"/>
        </w:rPr>
        <w:t>常</w:t>
      </w:r>
      <w:r>
        <w:rPr>
          <w:rFonts w:ascii="SimSun" w:hAnsi="SimSun" w:eastAsia="SimSun" w:cs="SimSun"/>
          <w:sz w:val="24"/>
          <w:szCs w:val="24"/>
          <w:spacing w:val="-65"/>
        </w:rPr>
        <w:t xml:space="preserve"> </w:t>
      </w:r>
      <w:r>
        <w:rPr>
          <w:rFonts w:ascii="SimSun" w:hAnsi="SimSun" w:eastAsia="SimSun" w:cs="SimSun"/>
          <w:sz w:val="24"/>
          <w:szCs w:val="24"/>
          <w:spacing w:val="-10"/>
        </w:rPr>
        <w:t>工</w:t>
      </w:r>
      <w:r>
        <w:rPr>
          <w:rFonts w:ascii="SimSun" w:hAnsi="SimSun" w:eastAsia="SimSun" w:cs="SimSun"/>
          <w:sz w:val="24"/>
          <w:szCs w:val="24"/>
          <w:spacing w:val="-68"/>
        </w:rPr>
        <w:t xml:space="preserve"> </w:t>
      </w:r>
      <w:r>
        <w:rPr>
          <w:rFonts w:ascii="SimSun" w:hAnsi="SimSun" w:eastAsia="SimSun" w:cs="SimSun"/>
          <w:sz w:val="24"/>
          <w:szCs w:val="24"/>
          <w:spacing w:val="-10"/>
        </w:rPr>
        <w:t>况</w:t>
      </w:r>
      <w:r>
        <w:rPr>
          <w:rFonts w:ascii="SimSun" w:hAnsi="SimSun" w:eastAsia="SimSun" w:cs="SimSun"/>
          <w:sz w:val="24"/>
          <w:szCs w:val="24"/>
          <w:spacing w:val="-62"/>
        </w:rPr>
        <w:t xml:space="preserve"> </w:t>
      </w:r>
      <w:r>
        <w:rPr>
          <w:rFonts w:ascii="SimSun" w:hAnsi="SimSun" w:eastAsia="SimSun" w:cs="SimSun"/>
          <w:sz w:val="24"/>
          <w:szCs w:val="24"/>
          <w:spacing w:val="-10"/>
        </w:rPr>
        <w:t>下</w:t>
      </w:r>
      <w:r>
        <w:rPr>
          <w:rFonts w:ascii="SimSun" w:hAnsi="SimSun" w:eastAsia="SimSun" w:cs="SimSun"/>
          <w:sz w:val="24"/>
          <w:szCs w:val="24"/>
          <w:spacing w:val="-65"/>
        </w:rPr>
        <w:t xml:space="preserve"> </w:t>
      </w:r>
      <w:r>
        <w:rPr>
          <w:rFonts w:ascii="SimSun" w:hAnsi="SimSun" w:eastAsia="SimSun" w:cs="SimSun"/>
          <w:sz w:val="24"/>
          <w:szCs w:val="24"/>
          <w:spacing w:val="-10"/>
        </w:rPr>
        <w:t>污</w:t>
      </w:r>
      <w:r>
        <w:rPr>
          <w:rFonts w:ascii="SimSun" w:hAnsi="SimSun" w:eastAsia="SimSun" w:cs="SimSun"/>
          <w:sz w:val="24"/>
          <w:szCs w:val="24"/>
          <w:spacing w:val="-67"/>
        </w:rPr>
        <w:t xml:space="preserve"> </w:t>
      </w:r>
      <w:r>
        <w:rPr>
          <w:rFonts w:ascii="SimSun" w:hAnsi="SimSun" w:eastAsia="SimSun" w:cs="SimSun"/>
          <w:sz w:val="24"/>
          <w:szCs w:val="24"/>
          <w:spacing w:val="-10"/>
        </w:rPr>
        <w:t>水</w:t>
      </w:r>
      <w:r>
        <w:rPr>
          <w:rFonts w:ascii="SimSun" w:hAnsi="SimSun" w:eastAsia="SimSun" w:cs="SimSun"/>
          <w:sz w:val="24"/>
          <w:szCs w:val="24"/>
          <w:spacing w:val="-70"/>
        </w:rPr>
        <w:t xml:space="preserve"> </w:t>
      </w:r>
      <w:r>
        <w:rPr>
          <w:rFonts w:ascii="SimSun" w:hAnsi="SimSun" w:eastAsia="SimSun" w:cs="SimSun"/>
          <w:sz w:val="24"/>
          <w:szCs w:val="24"/>
          <w:spacing w:val="-10"/>
        </w:rPr>
        <w:t>池</w:t>
      </w:r>
      <w:r>
        <w:rPr>
          <w:rFonts w:ascii="SimSun" w:hAnsi="SimSun" w:eastAsia="SimSun" w:cs="SimSun"/>
          <w:sz w:val="24"/>
          <w:szCs w:val="24"/>
          <w:spacing w:val="-42"/>
        </w:rPr>
        <w:t xml:space="preserve"> </w:t>
      </w:r>
      <w:r>
        <w:rPr>
          <w:rFonts w:ascii="SimSun" w:hAnsi="SimSun" w:eastAsia="SimSun" w:cs="SimSun"/>
          <w:sz w:val="24"/>
          <w:szCs w:val="24"/>
          <w:spacing w:val="-10"/>
        </w:rPr>
        <w:t>已</w:t>
      </w:r>
      <w:r>
        <w:rPr>
          <w:rFonts w:ascii="SimSun" w:hAnsi="SimSun" w:eastAsia="SimSun" w:cs="SimSun"/>
          <w:sz w:val="24"/>
          <w:szCs w:val="24"/>
          <w:spacing w:val="-67"/>
        </w:rPr>
        <w:t xml:space="preserve"> </w:t>
      </w:r>
      <w:r>
        <w:rPr>
          <w:rFonts w:ascii="SimSun" w:hAnsi="SimSun" w:eastAsia="SimSun" w:cs="SimSun"/>
          <w:sz w:val="24"/>
          <w:szCs w:val="24"/>
          <w:spacing w:val="-10"/>
        </w:rPr>
        <w:t>按</w:t>
      </w:r>
      <w:r>
        <w:rPr>
          <w:rFonts w:ascii="SimSun" w:hAnsi="SimSun" w:eastAsia="SimSun" w:cs="SimSun"/>
          <w:sz w:val="24"/>
          <w:szCs w:val="24"/>
          <w:spacing w:val="-63"/>
        </w:rPr>
        <w:t xml:space="preserve"> </w:t>
      </w:r>
      <w:r>
        <w:rPr>
          <w:rFonts w:ascii="SimSun" w:hAnsi="SimSun" w:eastAsia="SimSun" w:cs="SimSun"/>
          <w:sz w:val="24"/>
          <w:szCs w:val="24"/>
          <w:spacing w:val="-10"/>
        </w:rPr>
        <w:t>照 </w:t>
      </w:r>
      <w:r>
        <w:rPr>
          <w:rFonts w:ascii="Times New Roman" w:hAnsi="Times New Roman" w:eastAsia="Times New Roman" w:cs="Times New Roman"/>
          <w:sz w:val="24"/>
          <w:szCs w:val="24"/>
          <w:spacing w:val="-10"/>
        </w:rPr>
        <w:t>GB/T50934  </w:t>
      </w:r>
      <w:r>
        <w:rPr>
          <w:rFonts w:ascii="SimSun" w:hAnsi="SimSun" w:eastAsia="SimSun" w:cs="SimSun"/>
          <w:sz w:val="24"/>
          <w:szCs w:val="24"/>
          <w:spacing w:val="-10"/>
        </w:rPr>
        <w:t>等</w:t>
      </w:r>
      <w:r>
        <w:rPr>
          <w:rFonts w:ascii="SimSun" w:hAnsi="SimSun" w:eastAsia="SimSun" w:cs="SimSun"/>
          <w:sz w:val="24"/>
          <w:szCs w:val="24"/>
          <w:spacing w:val="-69"/>
        </w:rPr>
        <w:t xml:space="preserve"> </w:t>
      </w:r>
      <w:r>
        <w:rPr>
          <w:rFonts w:ascii="SimSun" w:hAnsi="SimSun" w:eastAsia="SimSun" w:cs="SimSun"/>
          <w:sz w:val="24"/>
          <w:szCs w:val="24"/>
          <w:spacing w:val="-10"/>
        </w:rPr>
        <w:t>规</w:t>
      </w:r>
      <w:r>
        <w:rPr>
          <w:rFonts w:ascii="SimSun" w:hAnsi="SimSun" w:eastAsia="SimSun" w:cs="SimSun"/>
          <w:sz w:val="24"/>
          <w:szCs w:val="24"/>
          <w:spacing w:val="-61"/>
        </w:rPr>
        <w:t xml:space="preserve"> </w:t>
      </w:r>
      <w:r>
        <w:rPr>
          <w:rFonts w:ascii="SimSun" w:hAnsi="SimSun" w:eastAsia="SimSun" w:cs="SimSun"/>
          <w:sz w:val="24"/>
          <w:szCs w:val="24"/>
          <w:spacing w:val="-10"/>
        </w:rPr>
        <w:t>范</w:t>
      </w:r>
      <w:r>
        <w:rPr>
          <w:rFonts w:ascii="SimSun" w:hAnsi="SimSun" w:eastAsia="SimSun" w:cs="SimSun"/>
          <w:sz w:val="24"/>
          <w:szCs w:val="24"/>
          <w:spacing w:val="-66"/>
        </w:rPr>
        <w:t xml:space="preserve"> </w:t>
      </w:r>
      <w:r>
        <w:rPr>
          <w:rFonts w:ascii="SimSun" w:hAnsi="SimSun" w:eastAsia="SimSun" w:cs="SimSun"/>
          <w:sz w:val="24"/>
          <w:szCs w:val="24"/>
          <w:spacing w:val="-10"/>
        </w:rPr>
        <w:t>设</w:t>
      </w:r>
      <w:r>
        <w:rPr>
          <w:rFonts w:ascii="SimSun" w:hAnsi="SimSun" w:eastAsia="SimSun" w:cs="SimSun"/>
          <w:sz w:val="24"/>
          <w:szCs w:val="24"/>
          <w:spacing w:val="-72"/>
        </w:rPr>
        <w:t xml:space="preserve"> </w:t>
      </w:r>
      <w:r>
        <w:rPr>
          <w:rFonts w:ascii="SimSun" w:hAnsi="SimSun" w:eastAsia="SimSun" w:cs="SimSun"/>
          <w:sz w:val="24"/>
          <w:szCs w:val="24"/>
          <w:spacing w:val="-11"/>
        </w:rPr>
        <w:t>置</w:t>
      </w:r>
      <w:r>
        <w:rPr>
          <w:rFonts w:ascii="SimSun" w:hAnsi="SimSun" w:eastAsia="SimSun" w:cs="SimSun"/>
          <w:sz w:val="24"/>
          <w:szCs w:val="24"/>
          <w:spacing w:val="-53"/>
        </w:rPr>
        <w:t xml:space="preserve"> </w:t>
      </w:r>
      <w:r>
        <w:rPr>
          <w:rFonts w:ascii="SimSun" w:hAnsi="SimSun" w:eastAsia="SimSun" w:cs="SimSun"/>
          <w:sz w:val="24"/>
          <w:szCs w:val="24"/>
          <w:spacing w:val="-11"/>
        </w:rPr>
        <w:t>防</w:t>
      </w:r>
      <w:r>
        <w:rPr>
          <w:rFonts w:ascii="SimSun" w:hAnsi="SimSun" w:eastAsia="SimSun" w:cs="SimSun"/>
          <w:sz w:val="24"/>
          <w:szCs w:val="24"/>
          <w:spacing w:val="-68"/>
        </w:rPr>
        <w:t xml:space="preserve"> </w:t>
      </w:r>
      <w:r>
        <w:rPr>
          <w:rFonts w:ascii="SimSun" w:hAnsi="SimSun" w:eastAsia="SimSun" w:cs="SimSun"/>
          <w:sz w:val="24"/>
          <w:szCs w:val="24"/>
          <w:spacing w:val="-11"/>
        </w:rPr>
        <w:t>渗</w:t>
      </w:r>
      <w:r>
        <w:rPr>
          <w:rFonts w:ascii="SimSun" w:hAnsi="SimSun" w:eastAsia="SimSun" w:cs="SimSun"/>
          <w:sz w:val="24"/>
          <w:szCs w:val="24"/>
          <w:spacing w:val="-70"/>
        </w:rPr>
        <w:t xml:space="preserve"> </w:t>
      </w:r>
      <w:r>
        <w:rPr>
          <w:rFonts w:ascii="SimSun" w:hAnsi="SimSun" w:eastAsia="SimSun" w:cs="SimSun"/>
          <w:sz w:val="24"/>
          <w:szCs w:val="24"/>
          <w:spacing w:val="-11"/>
        </w:rPr>
        <w:t>层</w:t>
      </w:r>
      <w:r>
        <w:rPr>
          <w:rFonts w:ascii="SimSun" w:hAnsi="SimSun" w:eastAsia="SimSun" w:cs="SimSun"/>
          <w:sz w:val="24"/>
          <w:szCs w:val="24"/>
          <w:spacing w:val="-48"/>
        </w:rPr>
        <w:t xml:space="preserve"> </w:t>
      </w:r>
      <w:r>
        <w:rPr>
          <w:rFonts w:ascii="SimSun" w:hAnsi="SimSun" w:eastAsia="SimSun" w:cs="SimSun"/>
          <w:sz w:val="24"/>
          <w:szCs w:val="24"/>
          <w:spacing w:val="-11"/>
        </w:rPr>
        <w:t>，</w:t>
      </w:r>
      <w:r>
        <w:rPr>
          <w:rFonts w:ascii="SimSun" w:hAnsi="SimSun" w:eastAsia="SimSun" w:cs="SimSun"/>
          <w:sz w:val="24"/>
          <w:szCs w:val="24"/>
          <w:spacing w:val="-69"/>
        </w:rPr>
        <w:t xml:space="preserve"> </w:t>
      </w:r>
      <w:r>
        <w:rPr>
          <w:rFonts w:ascii="SimSun" w:hAnsi="SimSun" w:eastAsia="SimSun" w:cs="SimSun"/>
          <w:sz w:val="24"/>
          <w:szCs w:val="24"/>
          <w:spacing w:val="-11"/>
        </w:rPr>
        <w:t>渗</w:t>
      </w:r>
      <w:r>
        <w:rPr>
          <w:rFonts w:ascii="SimSun" w:hAnsi="SimSun" w:eastAsia="SimSun" w:cs="SimSun"/>
          <w:sz w:val="24"/>
          <w:szCs w:val="24"/>
          <w:spacing w:val="-71"/>
        </w:rPr>
        <w:t xml:space="preserve"> </w:t>
      </w:r>
      <w:r>
        <w:rPr>
          <w:rFonts w:ascii="SimSun" w:hAnsi="SimSun" w:eastAsia="SimSun" w:cs="SimSun"/>
          <w:sz w:val="24"/>
          <w:szCs w:val="24"/>
          <w:spacing w:val="-11"/>
        </w:rPr>
        <w:t>透</w:t>
      </w:r>
      <w:r>
        <w:rPr>
          <w:rFonts w:ascii="SimSun" w:hAnsi="SimSun" w:eastAsia="SimSun" w:cs="SimSun"/>
          <w:sz w:val="24"/>
          <w:szCs w:val="24"/>
          <w:spacing w:val="-62"/>
        </w:rPr>
        <w:t xml:space="preserve"> </w:t>
      </w:r>
      <w:r>
        <w:rPr>
          <w:rFonts w:ascii="SimSun" w:hAnsi="SimSun" w:eastAsia="SimSun" w:cs="SimSun"/>
          <w:sz w:val="24"/>
          <w:szCs w:val="24"/>
          <w:spacing w:val="-11"/>
        </w:rPr>
        <w:t>系</w:t>
      </w:r>
      <w:r>
        <w:rPr>
          <w:rFonts w:ascii="SimSun" w:hAnsi="SimSun" w:eastAsia="SimSun" w:cs="SimSun"/>
          <w:sz w:val="24"/>
          <w:szCs w:val="24"/>
          <w:spacing w:val="-68"/>
        </w:rPr>
        <w:t xml:space="preserve"> </w:t>
      </w:r>
      <w:r>
        <w:rPr>
          <w:rFonts w:ascii="SimSun" w:hAnsi="SimSun" w:eastAsia="SimSun" w:cs="SimSun"/>
          <w:sz w:val="24"/>
          <w:szCs w:val="24"/>
          <w:spacing w:val="-11"/>
        </w:rPr>
        <w:t>数</w:t>
      </w:r>
      <w:r>
        <w:rPr>
          <w:rFonts w:ascii="SimSun" w:hAnsi="SimSun" w:eastAsia="SimSun" w:cs="SimSun"/>
          <w:sz w:val="24"/>
          <w:szCs w:val="24"/>
        </w:rPr>
        <w:t xml:space="preserve"> </w:t>
      </w:r>
      <w:r>
        <w:rPr>
          <w:rFonts w:ascii="Times New Roman" w:hAnsi="Times New Roman" w:eastAsia="Times New Roman" w:cs="Times New Roman"/>
          <w:sz w:val="24"/>
          <w:szCs w:val="24"/>
        </w:rPr>
        <w:t>K≤1×10</w:t>
      </w:r>
      <w:r>
        <w:rPr>
          <w:rFonts w:ascii="Times New Roman" w:hAnsi="Times New Roman" w:eastAsia="Times New Roman" w:cs="Times New Roman"/>
          <w:sz w:val="15"/>
          <w:szCs w:val="15"/>
          <w:position w:val="8"/>
        </w:rPr>
        <w:t>-7</w:t>
      </w:r>
      <w:r>
        <w:rPr>
          <w:rFonts w:ascii="Times New Roman" w:hAnsi="Times New Roman" w:eastAsia="Times New Roman" w:cs="Times New Roman"/>
          <w:sz w:val="24"/>
          <w:szCs w:val="24"/>
        </w:rPr>
        <w:t>cm/s</w:t>
      </w:r>
      <w:r>
        <w:rPr>
          <w:rFonts w:ascii="SimSun" w:hAnsi="SimSun" w:eastAsia="SimSun" w:cs="SimSun"/>
          <w:sz w:val="24"/>
          <w:szCs w:val="24"/>
        </w:rPr>
        <w:t>；非正常状况下防渗性能应不小于正常状况防渗性能的</w:t>
      </w:r>
      <w:r>
        <w:rPr>
          <w:rFonts w:ascii="SimSun" w:hAnsi="SimSun" w:eastAsia="SimSun" w:cs="SimSun"/>
          <w:sz w:val="24"/>
          <w:szCs w:val="24"/>
          <w:spacing w:val="-21"/>
        </w:rPr>
        <w:t xml:space="preserve"> </w:t>
      </w:r>
      <w:r>
        <w:rPr>
          <w:rFonts w:ascii="Times New Roman" w:hAnsi="Times New Roman" w:eastAsia="Times New Roman" w:cs="Times New Roman"/>
          <w:sz w:val="24"/>
          <w:szCs w:val="24"/>
        </w:rPr>
        <w:t>10 </w:t>
      </w:r>
      <w:r>
        <w:rPr>
          <w:rFonts w:ascii="SimSun" w:hAnsi="SimSun" w:eastAsia="SimSun" w:cs="SimSun"/>
          <w:sz w:val="24"/>
          <w:szCs w:val="24"/>
        </w:rPr>
        <w:t>倍，则非 </w:t>
      </w:r>
      <w:r>
        <w:rPr>
          <w:rFonts w:ascii="SimSun" w:hAnsi="SimSun" w:eastAsia="SimSun" w:cs="SimSun"/>
          <w:sz w:val="24"/>
          <w:szCs w:val="24"/>
          <w:spacing w:val="2"/>
        </w:rPr>
        <w:t>正常状况渗漏量为渗漏强度</w:t>
      </w:r>
      <w:r>
        <w:rPr>
          <w:rFonts w:ascii="Times New Roman" w:hAnsi="Times New Roman" w:eastAsia="Times New Roman" w:cs="Times New Roman"/>
          <w:sz w:val="24"/>
          <w:szCs w:val="24"/>
          <w:spacing w:val="2"/>
        </w:rPr>
        <w:t>×</w:t>
      </w:r>
      <w:r>
        <w:rPr>
          <w:rFonts w:ascii="SimSun" w:hAnsi="SimSun" w:eastAsia="SimSun" w:cs="SimSun"/>
          <w:sz w:val="24"/>
          <w:szCs w:val="24"/>
          <w:spacing w:val="2"/>
        </w:rPr>
        <w:t>渗漏面积</w:t>
      </w:r>
      <w:r>
        <w:rPr>
          <w:rFonts w:ascii="Times New Roman" w:hAnsi="Times New Roman" w:eastAsia="Times New Roman" w:cs="Times New Roman"/>
          <w:sz w:val="24"/>
          <w:szCs w:val="24"/>
          <w:spacing w:val="2"/>
        </w:rPr>
        <w:t>×10</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2"/>
        </w:rPr>
        <w:t>，渗漏强度</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0.000864m/d</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2"/>
        </w:rPr>
        <w:t>，渗漏面积为</w:t>
      </w:r>
      <w:r>
        <w:rPr>
          <w:rFonts w:ascii="SimSun" w:hAnsi="SimSun" w:eastAsia="SimSun" w:cs="SimSun"/>
          <w:sz w:val="24"/>
          <w:szCs w:val="24"/>
        </w:rPr>
        <w:t xml:space="preserve"> </w:t>
      </w:r>
      <w:r>
        <w:rPr>
          <w:rFonts w:ascii="Times New Roman" w:hAnsi="Times New Roman" w:eastAsia="Times New Roman" w:cs="Times New Roman"/>
          <w:sz w:val="24"/>
          <w:szCs w:val="24"/>
          <w:spacing w:val="-1"/>
        </w:rPr>
        <w:t>128m</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15"/>
          <w:szCs w:val="15"/>
          <w:spacing w:val="-8"/>
          <w:position w:val="7"/>
        </w:rPr>
        <w:t xml:space="preserve"> </w:t>
      </w:r>
      <w:r>
        <w:rPr>
          <w:rFonts w:ascii="SimSun" w:hAnsi="SimSun" w:eastAsia="SimSun" w:cs="SimSun"/>
          <w:sz w:val="24"/>
          <w:szCs w:val="24"/>
          <w:spacing w:val="-1"/>
        </w:rPr>
        <w:t>，计算得到非正常状况下的渗漏量：</w:t>
      </w:r>
      <w:r>
        <w:rPr>
          <w:rFonts w:ascii="Times New Roman" w:hAnsi="Times New Roman" w:eastAsia="Times New Roman" w:cs="Times New Roman"/>
          <w:sz w:val="24"/>
          <w:szCs w:val="24"/>
          <w:spacing w:val="-1"/>
        </w:rPr>
        <w:t>Q=0.00086</w:t>
      </w:r>
      <w:r>
        <w:rPr>
          <w:rFonts w:ascii="Times New Roman" w:hAnsi="Times New Roman" w:eastAsia="Times New Roman" w:cs="Times New Roman"/>
          <w:sz w:val="24"/>
          <w:szCs w:val="24"/>
          <w:spacing w:val="-2"/>
        </w:rPr>
        <w:t>4</w:t>
      </w:r>
      <w:r>
        <w:rPr>
          <w:rFonts w:ascii="SimSun" w:hAnsi="SimSun" w:eastAsia="SimSun" w:cs="SimSun"/>
          <w:sz w:val="24"/>
          <w:szCs w:val="24"/>
          <w:spacing w:val="-2"/>
        </w:rPr>
        <w:t>×</w:t>
      </w:r>
      <w:r>
        <w:rPr>
          <w:rFonts w:ascii="Times New Roman" w:hAnsi="Times New Roman" w:eastAsia="Times New Roman" w:cs="Times New Roman"/>
          <w:sz w:val="24"/>
          <w:szCs w:val="24"/>
          <w:spacing w:val="-2"/>
        </w:rPr>
        <w:t>128=0.</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2"/>
        </w:rPr>
        <w:t>1106m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/d  </w:t>
      </w:r>
      <w:r>
        <w:rPr>
          <w:rFonts w:ascii="SimSun" w:hAnsi="SimSun" w:eastAsia="SimSun" w:cs="SimSun"/>
          <w:sz w:val="24"/>
          <w:szCs w:val="24"/>
          <w:spacing w:val="-2"/>
        </w:rPr>
        <w:t>。</w:t>
      </w:r>
    </w:p>
    <w:p>
      <w:pPr>
        <w:ind w:left="121" w:right="110" w:firstLine="481"/>
        <w:spacing w:before="1" w:line="350" w:lineRule="auto"/>
        <w:rPr>
          <w:rFonts w:ascii="SimSun" w:hAnsi="SimSun" w:eastAsia="SimSun" w:cs="SimSun"/>
          <w:sz w:val="24"/>
          <w:szCs w:val="24"/>
        </w:rPr>
      </w:pPr>
      <w:r>
        <w:rPr>
          <w:rFonts w:ascii="SimSun" w:hAnsi="SimSun" w:eastAsia="SimSun" w:cs="SimSun"/>
          <w:sz w:val="24"/>
          <w:szCs w:val="24"/>
          <w:spacing w:val="-3"/>
        </w:rPr>
        <w:t>调节池</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BOD</w:t>
      </w:r>
      <w:r>
        <w:rPr>
          <w:rFonts w:ascii="Times New Roman" w:hAnsi="Times New Roman" w:eastAsia="Times New Roman" w:cs="Times New Roman"/>
          <w:sz w:val="15"/>
          <w:szCs w:val="15"/>
          <w:spacing w:val="-3"/>
          <w:position w:val="-1"/>
        </w:rPr>
        <w:t>5</w:t>
      </w:r>
      <w:r>
        <w:rPr>
          <w:rFonts w:ascii="Times New Roman" w:hAnsi="Times New Roman" w:eastAsia="Times New Roman" w:cs="Times New Roman"/>
          <w:sz w:val="15"/>
          <w:szCs w:val="15"/>
          <w:spacing w:val="11"/>
          <w:w w:val="102"/>
          <w:position w:val="-1"/>
        </w:rPr>
        <w:t xml:space="preserve"> </w:t>
      </w:r>
      <w:r>
        <w:rPr>
          <w:rFonts w:ascii="SimSun" w:hAnsi="SimSun" w:eastAsia="SimSun" w:cs="SimSun"/>
          <w:sz w:val="24"/>
          <w:szCs w:val="24"/>
          <w:spacing w:val="-3"/>
        </w:rPr>
        <w:t>浓度为</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3"/>
        </w:rPr>
        <w:t>10000mg/L</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3"/>
        </w:rPr>
        <w:t>，则</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4"/>
        </w:rPr>
        <w:t>BOD</w:t>
      </w:r>
      <w:r>
        <w:rPr>
          <w:rFonts w:ascii="Times New Roman" w:hAnsi="Times New Roman" w:eastAsia="Times New Roman" w:cs="Times New Roman"/>
          <w:sz w:val="15"/>
          <w:szCs w:val="15"/>
          <w:spacing w:val="-4"/>
          <w:position w:val="-1"/>
        </w:rPr>
        <w:t>5</w:t>
      </w:r>
      <w:r>
        <w:rPr>
          <w:rFonts w:ascii="Times New Roman" w:hAnsi="Times New Roman" w:eastAsia="Times New Roman" w:cs="Times New Roman"/>
          <w:sz w:val="15"/>
          <w:szCs w:val="15"/>
          <w:spacing w:val="14"/>
          <w:w w:val="102"/>
          <w:position w:val="-1"/>
        </w:rPr>
        <w:t xml:space="preserve"> </w:t>
      </w:r>
      <w:r>
        <w:rPr>
          <w:rFonts w:ascii="SimSun" w:hAnsi="SimSun" w:eastAsia="SimSun" w:cs="SimSun"/>
          <w:sz w:val="24"/>
          <w:szCs w:val="24"/>
          <w:spacing w:val="-4"/>
        </w:rPr>
        <w:t>最大泄漏量为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1106g</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4"/>
        </w:rPr>
        <w:t>。调节池氨氮</w:t>
      </w:r>
      <w:r>
        <w:rPr>
          <w:rFonts w:ascii="SimSun" w:hAnsi="SimSun" w:eastAsia="SimSun" w:cs="SimSun"/>
          <w:sz w:val="24"/>
          <w:szCs w:val="24"/>
        </w:rPr>
        <w:t xml:space="preserve"> </w:t>
      </w:r>
      <w:r>
        <w:rPr>
          <w:rFonts w:ascii="SimSun" w:hAnsi="SimSun" w:eastAsia="SimSun" w:cs="SimSun"/>
          <w:sz w:val="24"/>
          <w:szCs w:val="24"/>
          <w:spacing w:val="-4"/>
        </w:rPr>
        <w:t>浓度为</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4"/>
        </w:rPr>
        <w:t>1000mg/L</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，则氨氮最大泄漏量为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110.6g</w:t>
      </w:r>
      <w:r>
        <w:rPr>
          <w:rFonts w:ascii="SimSun" w:hAnsi="SimSun" w:eastAsia="SimSun" w:cs="SimSun"/>
          <w:sz w:val="24"/>
          <w:szCs w:val="24"/>
          <w:spacing w:val="-4"/>
        </w:rPr>
        <w:t>。</w:t>
      </w:r>
    </w:p>
    <w:p>
      <w:pPr>
        <w:ind w:left="596"/>
        <w:spacing w:before="26" w:line="219" w:lineRule="auto"/>
        <w:rPr>
          <w:rFonts w:ascii="SimSun" w:hAnsi="SimSun" w:eastAsia="SimSun" w:cs="SimSun"/>
          <w:sz w:val="24"/>
          <w:szCs w:val="24"/>
        </w:rPr>
      </w:pPr>
      <w:r>
        <w:rPr>
          <w:rFonts w:ascii="Times New Roman" w:hAnsi="Times New Roman" w:eastAsia="Times New Roman" w:cs="Times New Roman"/>
          <w:sz w:val="24"/>
          <w:szCs w:val="24"/>
          <w:spacing w:val="-5"/>
        </w:rPr>
        <w:t>4</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5"/>
        </w:rPr>
        <w:t>、预测情景</w:t>
      </w:r>
    </w:p>
    <w:p>
      <w:pPr>
        <w:ind w:left="120" w:right="110" w:firstLine="481"/>
        <w:spacing w:before="182" w:line="359" w:lineRule="auto"/>
        <w:rPr>
          <w:rFonts w:ascii="SimSun" w:hAnsi="SimSun" w:eastAsia="SimSun" w:cs="SimSun"/>
          <w:sz w:val="24"/>
          <w:szCs w:val="24"/>
        </w:rPr>
      </w:pPr>
      <w:r>
        <w:rPr>
          <w:rFonts w:ascii="SimSun" w:hAnsi="SimSun" w:eastAsia="SimSun" w:cs="SimSun"/>
          <w:sz w:val="24"/>
          <w:szCs w:val="24"/>
        </w:rPr>
        <w:t>本项目将非正常工况下的泄漏点设定为</w:t>
      </w:r>
      <w:r>
        <w:rPr>
          <w:rFonts w:ascii="SimSun" w:hAnsi="SimSun" w:eastAsia="SimSun" w:cs="SimSun"/>
          <w:sz w:val="24"/>
          <w:szCs w:val="24"/>
          <w:spacing w:val="-53"/>
        </w:rPr>
        <w:t xml:space="preserve"> </w:t>
      </w:r>
      <w:r>
        <w:rPr>
          <w:rFonts w:ascii="Times New Roman" w:hAnsi="Times New Roman" w:eastAsia="Times New Roman" w:cs="Times New Roman"/>
          <w:sz w:val="24"/>
          <w:szCs w:val="24"/>
        </w:rPr>
        <w:t>TS </w:t>
      </w:r>
      <w:r>
        <w:rPr>
          <w:rFonts w:ascii="SimSun" w:hAnsi="SimSun" w:eastAsia="SimSun" w:cs="SimSun"/>
          <w:sz w:val="24"/>
          <w:szCs w:val="24"/>
        </w:rPr>
        <w:t>调节池，情景为</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TS </w:t>
      </w:r>
      <w:r>
        <w:rPr>
          <w:rFonts w:ascii="SimSun" w:hAnsi="SimSun" w:eastAsia="SimSun" w:cs="SimSun"/>
          <w:sz w:val="24"/>
          <w:szCs w:val="24"/>
        </w:rPr>
        <w:t>调节池</w:t>
      </w:r>
      <w:r>
        <w:rPr>
          <w:rFonts w:ascii="SimSun" w:hAnsi="SimSun" w:eastAsia="SimSun" w:cs="SimSun"/>
          <w:sz w:val="24"/>
          <w:szCs w:val="24"/>
          <w:spacing w:val="-1"/>
        </w:rPr>
        <w:t>防渗层</w:t>
      </w:r>
      <w:r>
        <w:rPr>
          <w:rFonts w:ascii="SimSun" w:hAnsi="SimSun" w:eastAsia="SimSun" w:cs="SimSun"/>
          <w:sz w:val="24"/>
          <w:szCs w:val="24"/>
        </w:rPr>
        <w:t xml:space="preserve"> </w:t>
      </w:r>
      <w:r>
        <w:rPr>
          <w:rFonts w:ascii="SimSun" w:hAnsi="SimSun" w:eastAsia="SimSun" w:cs="SimSun"/>
          <w:sz w:val="24"/>
          <w:szCs w:val="24"/>
          <w:spacing w:val="-2"/>
        </w:rPr>
        <w:t>破损导致污染物发生渗漏，对废水中主要污染物</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BOD</w:t>
      </w:r>
      <w:r>
        <w:rPr>
          <w:rFonts w:ascii="Times New Roman" w:hAnsi="Times New Roman" w:eastAsia="Times New Roman" w:cs="Times New Roman"/>
          <w:sz w:val="15"/>
          <w:szCs w:val="15"/>
          <w:spacing w:val="-2"/>
          <w:position w:val="-1"/>
        </w:rPr>
        <w:t>5</w:t>
      </w:r>
      <w:r>
        <w:rPr>
          <w:rFonts w:ascii="SimSun" w:hAnsi="SimSun" w:eastAsia="SimSun" w:cs="SimSun"/>
          <w:sz w:val="24"/>
          <w:szCs w:val="24"/>
          <w:spacing w:val="-2"/>
        </w:rPr>
        <w:t>、氨氮进行污染预测，预测</w:t>
      </w:r>
      <w:r>
        <w:rPr>
          <w:rFonts w:ascii="SimSun" w:hAnsi="SimSun" w:eastAsia="SimSun" w:cs="SimSun"/>
          <w:sz w:val="24"/>
          <w:szCs w:val="24"/>
        </w:rPr>
        <w:t xml:space="preserve"> </w:t>
      </w:r>
      <w:r>
        <w:rPr>
          <w:rFonts w:ascii="SimSun" w:hAnsi="SimSun" w:eastAsia="SimSun" w:cs="SimSun"/>
          <w:sz w:val="24"/>
          <w:szCs w:val="24"/>
          <w:spacing w:val="-4"/>
        </w:rPr>
        <w:t>周期为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4"/>
        </w:rPr>
        <w:t>5000</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4"/>
        </w:rPr>
        <w:t>天。</w:t>
      </w:r>
    </w:p>
    <w:p>
      <w:pPr>
        <w:ind w:left="120"/>
        <w:spacing w:before="1" w:line="217"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5.3.2.3 </w:t>
      </w:r>
      <w:r>
        <w:rPr>
          <w:rFonts w:ascii="SimSun" w:hAnsi="SimSun" w:eastAsia="SimSun" w:cs="SimSun"/>
          <w:sz w:val="24"/>
          <w:szCs w:val="24"/>
          <w:b/>
          <w:bCs/>
          <w:spacing w:val="-2"/>
        </w:rPr>
        <w:t>预测结果及评价</w:t>
      </w:r>
    </w:p>
    <w:p>
      <w:pPr>
        <w:ind w:left="613"/>
        <w:spacing w:before="182" w:line="220" w:lineRule="auto"/>
        <w:rPr>
          <w:rFonts w:ascii="SimSun" w:hAnsi="SimSun" w:eastAsia="SimSun" w:cs="SimSun"/>
          <w:sz w:val="24"/>
          <w:szCs w:val="24"/>
        </w:rPr>
      </w:pPr>
      <w:r>
        <w:rPr>
          <w:rFonts w:ascii="SimSun" w:hAnsi="SimSun" w:eastAsia="SimSun" w:cs="SimSun"/>
          <w:sz w:val="24"/>
          <w:szCs w:val="24"/>
          <w:b/>
          <w:bCs/>
          <w:spacing w:val="-4"/>
        </w:rPr>
        <w:t>（1）</w:t>
      </w:r>
      <w:r>
        <w:rPr>
          <w:rFonts w:ascii="Times New Roman" w:hAnsi="Times New Roman" w:eastAsia="Times New Roman" w:cs="Times New Roman"/>
          <w:sz w:val="24"/>
          <w:szCs w:val="24"/>
          <w:spacing w:val="-4"/>
        </w:rPr>
        <w:t>BOD</w:t>
      </w:r>
      <w:r>
        <w:rPr>
          <w:rFonts w:ascii="Times New Roman" w:hAnsi="Times New Roman" w:eastAsia="Times New Roman" w:cs="Times New Roman"/>
          <w:sz w:val="15"/>
          <w:szCs w:val="15"/>
          <w:spacing w:val="-4"/>
          <w:position w:val="-1"/>
        </w:rPr>
        <w:t>5</w:t>
      </w:r>
      <w:r>
        <w:rPr>
          <w:rFonts w:ascii="Times New Roman" w:hAnsi="Times New Roman" w:eastAsia="Times New Roman" w:cs="Times New Roman"/>
          <w:sz w:val="15"/>
          <w:szCs w:val="15"/>
          <w:spacing w:val="11"/>
          <w:w w:val="101"/>
          <w:position w:val="-1"/>
        </w:rPr>
        <w:t xml:space="preserve"> </w:t>
      </w:r>
      <w:r>
        <w:rPr>
          <w:rFonts w:ascii="SimSun" w:hAnsi="SimSun" w:eastAsia="SimSun" w:cs="SimSun"/>
          <w:sz w:val="24"/>
          <w:szCs w:val="24"/>
          <w:b/>
          <w:bCs/>
          <w:spacing w:val="-4"/>
        </w:rPr>
        <w:t>预测结果</w:t>
      </w:r>
    </w:p>
    <w:p>
      <w:pPr>
        <w:ind w:left="1135"/>
        <w:spacing w:before="146"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6"/>
        </w:rPr>
        <w:t xml:space="preserve"> </w:t>
      </w:r>
      <w:r>
        <w:rPr>
          <w:rFonts w:ascii="Times New Roman" w:hAnsi="Times New Roman" w:eastAsia="Times New Roman" w:cs="Times New Roman"/>
          <w:sz w:val="24"/>
          <w:szCs w:val="24"/>
          <w:b/>
          <w:bCs/>
          <w:spacing w:val="-2"/>
        </w:rPr>
        <w:t>5.3-5        </w:t>
      </w:r>
      <w:r>
        <w:rPr>
          <w:rFonts w:ascii="SimSun" w:hAnsi="SimSun" w:eastAsia="SimSun" w:cs="SimSun"/>
          <w:sz w:val="24"/>
          <w:szCs w:val="24"/>
          <w:b/>
          <w:bCs/>
          <w:spacing w:val="-2"/>
        </w:rPr>
        <w:t>非正常状况</w:t>
      </w:r>
      <w:r>
        <w:rPr>
          <w:rFonts w:ascii="SimSun" w:hAnsi="SimSun" w:eastAsia="SimSun" w:cs="SimSun"/>
          <w:sz w:val="24"/>
          <w:szCs w:val="24"/>
          <w:spacing w:val="-51"/>
        </w:rPr>
        <w:t xml:space="preserve"> </w:t>
      </w:r>
      <w:r>
        <w:rPr>
          <w:rFonts w:ascii="Times New Roman" w:hAnsi="Times New Roman" w:eastAsia="Times New Roman" w:cs="Times New Roman"/>
          <w:sz w:val="24"/>
          <w:szCs w:val="24"/>
          <w:b/>
          <w:bCs/>
          <w:spacing w:val="-2"/>
        </w:rPr>
        <w:t>TS </w:t>
      </w:r>
      <w:r>
        <w:rPr>
          <w:rFonts w:ascii="SimSun" w:hAnsi="SimSun" w:eastAsia="SimSun" w:cs="SimSun"/>
          <w:sz w:val="24"/>
          <w:szCs w:val="24"/>
          <w:b/>
          <w:bCs/>
          <w:spacing w:val="-2"/>
        </w:rPr>
        <w:t>调节池渗漏</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BOD</w:t>
      </w:r>
      <w:r>
        <w:rPr>
          <w:rFonts w:ascii="Times New Roman" w:hAnsi="Times New Roman" w:eastAsia="Times New Roman" w:cs="Times New Roman"/>
          <w:sz w:val="15"/>
          <w:szCs w:val="15"/>
          <w:spacing w:val="-2"/>
          <w:position w:val="-1"/>
        </w:rPr>
        <w:t>5</w:t>
      </w:r>
      <w:r>
        <w:rPr>
          <w:rFonts w:ascii="Times New Roman" w:hAnsi="Times New Roman" w:eastAsia="Times New Roman" w:cs="Times New Roman"/>
          <w:sz w:val="15"/>
          <w:szCs w:val="15"/>
          <w:spacing w:val="9"/>
          <w:w w:val="102"/>
          <w:position w:val="-1"/>
        </w:rPr>
        <w:t xml:space="preserve"> </w:t>
      </w:r>
      <w:r>
        <w:rPr>
          <w:rFonts w:ascii="SimSun" w:hAnsi="SimSun" w:eastAsia="SimSun" w:cs="SimSun"/>
          <w:sz w:val="24"/>
          <w:szCs w:val="24"/>
          <w:b/>
          <w:bCs/>
          <w:spacing w:val="-2"/>
        </w:rPr>
        <w:t>影响情况一览表</w:t>
      </w:r>
    </w:p>
    <w:tbl>
      <w:tblPr>
        <w:tblStyle w:val="TableNormal"/>
        <w:tblW w:w="872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31"/>
        <w:gridCol w:w="2494"/>
        <w:gridCol w:w="2397"/>
        <w:gridCol w:w="2401"/>
      </w:tblGrid>
      <w:tr>
        <w:trPr>
          <w:trHeight w:val="404" w:hRule="atLeast"/>
        </w:trPr>
        <w:tc>
          <w:tcPr>
            <w:tcW w:w="1431" w:type="dxa"/>
            <w:vAlign w:val="top"/>
          </w:tcPr>
          <w:p>
            <w:pPr>
              <w:pStyle w:val="TableText"/>
              <w:ind w:left="521"/>
              <w:spacing w:before="98" w:line="230" w:lineRule="auto"/>
              <w:rPr/>
            </w:pPr>
            <w:r>
              <w:rPr>
                <w:spacing w:val="-1"/>
              </w:rPr>
              <w:t>时间</w:t>
            </w:r>
          </w:p>
        </w:tc>
        <w:tc>
          <w:tcPr>
            <w:tcW w:w="2494" w:type="dxa"/>
            <w:vAlign w:val="top"/>
          </w:tcPr>
          <w:p>
            <w:pPr>
              <w:pStyle w:val="TableText"/>
              <w:ind w:left="190"/>
              <w:spacing w:before="99" w:line="228" w:lineRule="auto"/>
              <w:rPr/>
            </w:pPr>
            <w:r>
              <w:rPr>
                <w:spacing w:val="7"/>
              </w:rPr>
              <w:t>超标污染晕面积（</w:t>
            </w:r>
            <w:r>
              <w:rPr>
                <w:rFonts w:ascii="Times New Roman" w:hAnsi="Times New Roman" w:eastAsia="Times New Roman" w:cs="Times New Roman"/>
                <w:spacing w:val="7"/>
              </w:rPr>
              <w:t>m</w:t>
            </w:r>
            <w:r>
              <w:rPr>
                <w:rFonts w:ascii="Times New Roman" w:hAnsi="Times New Roman" w:eastAsia="Times New Roman" w:cs="Times New Roman"/>
                <w:sz w:val="13"/>
                <w:szCs w:val="13"/>
                <w:spacing w:val="7"/>
                <w:position w:val="6"/>
              </w:rPr>
              <w:t>2</w:t>
            </w:r>
            <w:r>
              <w:rPr>
                <w:spacing w:val="7"/>
              </w:rPr>
              <w:t>）</w:t>
            </w:r>
          </w:p>
        </w:tc>
        <w:tc>
          <w:tcPr>
            <w:tcW w:w="2397" w:type="dxa"/>
            <w:vAlign w:val="top"/>
          </w:tcPr>
          <w:p>
            <w:pPr>
              <w:pStyle w:val="TableText"/>
              <w:ind w:left="198"/>
              <w:spacing w:before="99" w:line="228" w:lineRule="auto"/>
              <w:rPr/>
            </w:pPr>
            <w:r>
              <w:rPr>
                <w:spacing w:val="5"/>
              </w:rPr>
              <w:t>向下游迁移距离（</w:t>
            </w:r>
            <w:r>
              <w:rPr>
                <w:rFonts w:ascii="Times New Roman" w:hAnsi="Times New Roman" w:eastAsia="Times New Roman" w:cs="Times New Roman"/>
                <w:spacing w:val="5"/>
              </w:rPr>
              <w:t>m</w:t>
            </w:r>
            <w:r>
              <w:rPr>
                <w:spacing w:val="5"/>
              </w:rPr>
              <w:t>）</w:t>
            </w:r>
          </w:p>
        </w:tc>
        <w:tc>
          <w:tcPr>
            <w:tcW w:w="2401" w:type="dxa"/>
            <w:vAlign w:val="top"/>
          </w:tcPr>
          <w:p>
            <w:pPr>
              <w:pStyle w:val="TableText"/>
              <w:ind w:left="350"/>
              <w:spacing w:before="99" w:line="221" w:lineRule="auto"/>
              <w:rPr/>
            </w:pPr>
            <w:r>
              <w:rPr>
                <w:spacing w:val="7"/>
              </w:rPr>
              <w:t>最大浓度（</w:t>
            </w:r>
            <w:r>
              <w:rPr>
                <w:rFonts w:ascii="Times New Roman" w:hAnsi="Times New Roman" w:eastAsia="Times New Roman" w:cs="Times New Roman"/>
              </w:rPr>
              <w:t>mg</w:t>
            </w:r>
            <w:r>
              <w:rPr>
                <w:rFonts w:ascii="Times New Roman" w:hAnsi="Times New Roman" w:eastAsia="Times New Roman" w:cs="Times New Roman"/>
                <w:spacing w:val="7"/>
              </w:rPr>
              <w:t>/L</w:t>
            </w:r>
            <w:r>
              <w:rPr>
                <w:spacing w:val="7"/>
              </w:rPr>
              <w:t>）</w:t>
            </w:r>
          </w:p>
        </w:tc>
      </w:tr>
    </w:tbl>
    <w:p>
      <w:pPr>
        <w:pStyle w:val="BodyText"/>
        <w:rPr/>
      </w:pPr>
      <w:r/>
    </w:p>
    <w:p>
      <w:pPr>
        <w:sectPr>
          <w:headerReference w:type="default" r:id="rId266"/>
          <w:footerReference w:type="default" r:id="rId267"/>
          <w:pgSz w:w="11907" w:h="16840"/>
          <w:pgMar w:top="1567" w:right="1589" w:bottom="1921" w:left="1589" w:header="1221" w:footer="1247" w:gutter="0"/>
        </w:sectPr>
        <w:rPr/>
      </w:pPr>
    </w:p>
    <w:p>
      <w:pPr>
        <w:spacing w:line="151" w:lineRule="exact"/>
        <w:rPr/>
      </w:pPr>
      <w:r>
        <w:pict>
          <v:shape id="_x0000_s950" style="position:absolute;margin-left:85.05pt;margin-top:79.11pt;mso-position-vertical-relative:page;mso-position-horizontal-relative:page;width:425.25pt;height:0.75pt;z-index:252092416;" o:allowincell="f" fillcolor="#000000" filled="true" stroked="false" coordsize="8505,15" coordorigin="0,0" path="m,l8505,0l8505,14l0,14l0,0xe"/>
        </w:pict>
      </w:r>
      <w:r/>
    </w:p>
    <w:tbl>
      <w:tblPr>
        <w:tblStyle w:val="TableNormal"/>
        <w:tblW w:w="872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31"/>
        <w:gridCol w:w="2494"/>
        <w:gridCol w:w="2397"/>
        <w:gridCol w:w="2401"/>
      </w:tblGrid>
      <w:tr>
        <w:trPr>
          <w:trHeight w:val="405" w:hRule="atLeast"/>
        </w:trPr>
        <w:tc>
          <w:tcPr>
            <w:tcW w:w="1431" w:type="dxa"/>
            <w:vAlign w:val="top"/>
          </w:tcPr>
          <w:p>
            <w:pPr>
              <w:ind w:left="527"/>
              <w:spacing w:before="131"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100d</w:t>
            </w:r>
          </w:p>
        </w:tc>
        <w:tc>
          <w:tcPr>
            <w:tcW w:w="2494" w:type="dxa"/>
            <w:vAlign w:val="top"/>
          </w:tcPr>
          <w:p>
            <w:pPr>
              <w:ind w:left="904"/>
              <w:spacing w:before="13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4065.75</w:t>
            </w:r>
          </w:p>
        </w:tc>
        <w:tc>
          <w:tcPr>
            <w:tcW w:w="2397" w:type="dxa"/>
            <w:vAlign w:val="top"/>
          </w:tcPr>
          <w:p>
            <w:pPr>
              <w:ind w:left="970"/>
              <w:spacing w:before="13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54.37</w:t>
            </w:r>
          </w:p>
        </w:tc>
        <w:tc>
          <w:tcPr>
            <w:tcW w:w="2401" w:type="dxa"/>
            <w:vAlign w:val="top"/>
          </w:tcPr>
          <w:p>
            <w:pPr>
              <w:ind w:left="965"/>
              <w:spacing w:before="13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28.78</w:t>
            </w:r>
          </w:p>
        </w:tc>
      </w:tr>
      <w:tr>
        <w:trPr>
          <w:trHeight w:val="401" w:hRule="atLeast"/>
        </w:trPr>
        <w:tc>
          <w:tcPr>
            <w:tcW w:w="1431" w:type="dxa"/>
            <w:vAlign w:val="top"/>
          </w:tcPr>
          <w:p>
            <w:pPr>
              <w:ind w:left="513"/>
              <w:spacing w:before="12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500d</w:t>
            </w:r>
          </w:p>
        </w:tc>
        <w:tc>
          <w:tcPr>
            <w:tcW w:w="2494" w:type="dxa"/>
            <w:vAlign w:val="top"/>
          </w:tcPr>
          <w:p>
            <w:pPr>
              <w:ind w:left="911"/>
              <w:spacing w:before="13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5691.48</w:t>
            </w:r>
          </w:p>
        </w:tc>
        <w:tc>
          <w:tcPr>
            <w:tcW w:w="2397" w:type="dxa"/>
            <w:vAlign w:val="top"/>
          </w:tcPr>
          <w:p>
            <w:pPr>
              <w:ind w:left="932"/>
              <w:spacing w:before="13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124.04</w:t>
            </w:r>
          </w:p>
        </w:tc>
        <w:tc>
          <w:tcPr>
            <w:tcW w:w="2401" w:type="dxa"/>
            <w:vAlign w:val="top"/>
          </w:tcPr>
          <w:p>
            <w:pPr>
              <w:ind w:left="1022"/>
              <w:spacing w:before="13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9.23</w:t>
            </w:r>
          </w:p>
        </w:tc>
      </w:tr>
      <w:tr>
        <w:trPr>
          <w:trHeight w:val="401" w:hRule="atLeast"/>
        </w:trPr>
        <w:tc>
          <w:tcPr>
            <w:tcW w:w="1431" w:type="dxa"/>
            <w:vAlign w:val="top"/>
          </w:tcPr>
          <w:p>
            <w:pPr>
              <w:ind w:left="475"/>
              <w:spacing w:before="12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1000d</w:t>
            </w:r>
          </w:p>
        </w:tc>
        <w:tc>
          <w:tcPr>
            <w:tcW w:w="2494" w:type="dxa"/>
            <w:vAlign w:val="top"/>
          </w:tcPr>
          <w:p>
            <w:pPr>
              <w:ind w:left="909"/>
              <w:spacing w:before="13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3224.54</w:t>
            </w:r>
          </w:p>
        </w:tc>
        <w:tc>
          <w:tcPr>
            <w:tcW w:w="2397" w:type="dxa"/>
            <w:vAlign w:val="top"/>
          </w:tcPr>
          <w:p>
            <w:pPr>
              <w:ind w:left="932"/>
              <w:spacing w:before="13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193.62</w:t>
            </w:r>
          </w:p>
        </w:tc>
        <w:tc>
          <w:tcPr>
            <w:tcW w:w="2401" w:type="dxa"/>
            <w:vAlign w:val="top"/>
          </w:tcPr>
          <w:p>
            <w:pPr>
              <w:ind w:left="1024"/>
              <w:spacing w:before="13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5.08</w:t>
            </w:r>
          </w:p>
        </w:tc>
      </w:tr>
      <w:tr>
        <w:trPr>
          <w:trHeight w:val="401" w:hRule="atLeast"/>
        </w:trPr>
        <w:tc>
          <w:tcPr>
            <w:tcW w:w="1431" w:type="dxa"/>
            <w:vAlign w:val="top"/>
          </w:tcPr>
          <w:p>
            <w:pPr>
              <w:ind w:left="475"/>
              <w:spacing w:before="12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1200d</w:t>
            </w:r>
          </w:p>
        </w:tc>
        <w:tc>
          <w:tcPr>
            <w:tcW w:w="2494" w:type="dxa"/>
            <w:vAlign w:val="top"/>
          </w:tcPr>
          <w:p>
            <w:pPr>
              <w:ind w:left="925"/>
              <w:spacing w:before="13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1256.42</w:t>
            </w:r>
          </w:p>
        </w:tc>
        <w:tc>
          <w:tcPr>
            <w:tcW w:w="2397" w:type="dxa"/>
            <w:vAlign w:val="top"/>
          </w:tcPr>
          <w:p>
            <w:pPr>
              <w:ind w:left="912"/>
              <w:spacing w:before="13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205.36</w:t>
            </w:r>
          </w:p>
        </w:tc>
        <w:tc>
          <w:tcPr>
            <w:tcW w:w="2401" w:type="dxa"/>
            <w:vAlign w:val="top"/>
          </w:tcPr>
          <w:p>
            <w:pPr>
              <w:ind w:left="1067"/>
              <w:spacing w:before="13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w:t>
            </w:r>
          </w:p>
        </w:tc>
      </w:tr>
      <w:tr>
        <w:trPr>
          <w:trHeight w:val="406" w:hRule="atLeast"/>
        </w:trPr>
        <w:tc>
          <w:tcPr>
            <w:tcW w:w="1431" w:type="dxa"/>
            <w:vAlign w:val="top"/>
          </w:tcPr>
          <w:p>
            <w:pPr>
              <w:ind w:left="460"/>
              <w:spacing w:before="13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5000d</w:t>
            </w:r>
          </w:p>
        </w:tc>
        <w:tc>
          <w:tcPr>
            <w:tcW w:w="2494" w:type="dxa"/>
            <w:vAlign w:val="top"/>
          </w:tcPr>
          <w:p>
            <w:pPr>
              <w:ind w:left="1216"/>
              <w:spacing w:before="222"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2397" w:type="dxa"/>
            <w:vAlign w:val="top"/>
          </w:tcPr>
          <w:p>
            <w:pPr>
              <w:ind w:left="1170"/>
              <w:spacing w:before="222"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2401" w:type="dxa"/>
            <w:vAlign w:val="top"/>
          </w:tcPr>
          <w:p>
            <w:pPr>
              <w:ind w:left="1021"/>
              <w:spacing w:before="13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0.28</w:t>
            </w:r>
          </w:p>
        </w:tc>
      </w:tr>
    </w:tbl>
    <w:p>
      <w:pPr>
        <w:ind w:firstLine="112"/>
        <w:spacing w:line="7754" w:lineRule="exact"/>
        <w:rPr/>
      </w:pPr>
      <w:r>
        <w:rPr>
          <w:position w:val="-155"/>
        </w:rPr>
        <w:drawing>
          <wp:inline distT="0" distB="0" distL="0" distR="0">
            <wp:extent cx="5533643" cy="4923916"/>
            <wp:effectExtent l="0" t="0" r="0" b="0"/>
            <wp:docPr id="156" name="IM 156"/>
            <wp:cNvGraphicFramePr/>
            <a:graphic>
              <a:graphicData uri="http://schemas.openxmlformats.org/drawingml/2006/picture">
                <pic:pic>
                  <pic:nvPicPr>
                    <pic:cNvPr id="156" name="IM 156"/>
                    <pic:cNvPicPr/>
                  </pic:nvPicPr>
                  <pic:blipFill>
                    <a:blip r:embed="rId269"/>
                    <a:stretch>
                      <a:fillRect/>
                    </a:stretch>
                  </pic:blipFill>
                  <pic:spPr>
                    <a:xfrm rot="0">
                      <a:off x="0" y="0"/>
                      <a:ext cx="5533643" cy="4923916"/>
                    </a:xfrm>
                    <a:prstGeom prst="rect">
                      <a:avLst/>
                    </a:prstGeom>
                  </pic:spPr>
                </pic:pic>
              </a:graphicData>
            </a:graphic>
          </wp:inline>
        </w:drawing>
      </w:r>
    </w:p>
    <w:p>
      <w:pPr>
        <w:ind w:left="1094"/>
        <w:spacing w:before="188" w:line="219" w:lineRule="auto"/>
        <w:rPr>
          <w:rFonts w:ascii="SimSun" w:hAnsi="SimSun" w:eastAsia="SimSun" w:cs="SimSun"/>
          <w:sz w:val="24"/>
          <w:szCs w:val="24"/>
        </w:rPr>
      </w:pPr>
      <w:r>
        <w:rPr>
          <w:rFonts w:ascii="SimSun" w:hAnsi="SimSun" w:eastAsia="SimSun" w:cs="SimSun"/>
          <w:sz w:val="24"/>
          <w:szCs w:val="24"/>
          <w:spacing w:val="-3"/>
        </w:rPr>
        <w:t>持续渗漏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100d </w:t>
      </w:r>
      <w:r>
        <w:rPr>
          <w:rFonts w:ascii="SimSun" w:hAnsi="SimSun" w:eastAsia="SimSun" w:cs="SimSun"/>
          <w:sz w:val="24"/>
          <w:szCs w:val="24"/>
          <w:spacing w:val="-3"/>
        </w:rPr>
        <w:t>后停止渗漏，第</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100</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3"/>
        </w:rPr>
        <w:t>天</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BOD</w:t>
      </w:r>
      <w:r>
        <w:rPr>
          <w:rFonts w:ascii="Times New Roman" w:hAnsi="Times New Roman" w:eastAsia="Times New Roman" w:cs="Times New Roman"/>
          <w:sz w:val="15"/>
          <w:szCs w:val="15"/>
          <w:spacing w:val="-3"/>
          <w:position w:val="-1"/>
        </w:rPr>
        <w:t>5</w:t>
      </w:r>
      <w:r>
        <w:rPr>
          <w:rFonts w:ascii="Times New Roman" w:hAnsi="Times New Roman" w:eastAsia="Times New Roman" w:cs="Times New Roman"/>
          <w:sz w:val="15"/>
          <w:szCs w:val="15"/>
          <w:spacing w:val="11"/>
          <w:position w:val="-1"/>
        </w:rPr>
        <w:t xml:space="preserve"> </w:t>
      </w:r>
      <w:r>
        <w:rPr>
          <w:rFonts w:ascii="SimSun" w:hAnsi="SimSun" w:eastAsia="SimSun" w:cs="SimSun"/>
          <w:sz w:val="24"/>
          <w:szCs w:val="24"/>
          <w:spacing w:val="-3"/>
        </w:rPr>
        <w:t>污染晕扩散平面图</w:t>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2"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ind w:left="119"/>
        <w:spacing w:before="62" w:line="227" w:lineRule="auto"/>
        <w:rPr>
          <w:rFonts w:ascii="SimSun" w:hAnsi="SimSun" w:eastAsia="SimSun" w:cs="SimSun"/>
          <w:sz w:val="19"/>
          <w:szCs w:val="19"/>
        </w:rPr>
      </w:pPr>
      <w:r>
        <w:pict>
          <v:shape id="_x0000_s952" style="position:absolute;margin-left:164.92pt;margin-top:2.10074pt;mso-position-vertical-relative:text;mso-position-horizontal-relative:text;width:61pt;height:13.75pt;z-index:252091392;"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rPr>
                    <w:t>任公司</w:t>
                  </w:r>
                  <w:r>
                    <w:rPr>
                      <w:rFonts w:ascii="SimSun" w:hAnsi="SimSun" w:eastAsia="SimSun" w:cs="SimSun"/>
                      <w:sz w:val="19"/>
                      <w:szCs w:val="19"/>
                      <w:spacing w:val="18"/>
                    </w:rPr>
                    <w:t xml:space="preserve">   </w:t>
                  </w:r>
                  <w:r>
                    <w:rPr>
                      <w:rFonts w:ascii="Times New Roman" w:hAnsi="Times New Roman" w:eastAsia="Times New Roman" w:cs="Times New Roman"/>
                      <w:sz w:val="18"/>
                      <w:szCs w:val="18"/>
                      <w:position w:val="2"/>
                    </w:rPr>
                    <w:t>199</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268"/>
          <w:footerReference w:type="default" r:id="rId3"/>
          <w:pgSz w:w="11907" w:h="16840"/>
          <w:pgMar w:top="1567" w:right="1490" w:bottom="400" w:left="1589" w:header="1221" w:footer="0" w:gutter="0"/>
        </w:sectPr>
        <w:rPr>
          <w:rFonts w:ascii="SimSun" w:hAnsi="SimSun" w:eastAsia="SimSun" w:cs="SimSun"/>
          <w:sz w:val="19"/>
          <w:szCs w:val="19"/>
        </w:rPr>
      </w:pPr>
    </w:p>
    <w:p>
      <w:pPr>
        <w:spacing w:before="133" w:line="7666" w:lineRule="exact"/>
        <w:rPr/>
      </w:pPr>
      <w:r>
        <w:pict>
          <v:shape id="_x0000_s954" style="position:absolute;margin-left:85.05pt;margin-top:78.87pt;mso-position-vertical-relative:page;mso-position-horizontal-relative:page;width:425.25pt;height:0.75pt;z-index:252094464;" o:allowincell="f" fillcolor="#000000" filled="true" stroked="false" coordsize="8505,15" coordorigin="0,0" path="m,l8505,0l8505,14l0,14l0,0xe"/>
        </w:pict>
      </w:r>
      <w:r>
        <w:rPr>
          <w:position w:val="-153"/>
        </w:rPr>
        <w:drawing>
          <wp:inline distT="0" distB="0" distL="0" distR="0">
            <wp:extent cx="5362955" cy="4867656"/>
            <wp:effectExtent l="0" t="0" r="0" b="0"/>
            <wp:docPr id="158" name="IM 158"/>
            <wp:cNvGraphicFramePr/>
            <a:graphic>
              <a:graphicData uri="http://schemas.openxmlformats.org/drawingml/2006/picture">
                <pic:pic>
                  <pic:nvPicPr>
                    <pic:cNvPr id="158" name="IM 158"/>
                    <pic:cNvPicPr/>
                  </pic:nvPicPr>
                  <pic:blipFill>
                    <a:blip r:embed="rId271"/>
                    <a:stretch>
                      <a:fillRect/>
                    </a:stretch>
                  </pic:blipFill>
                  <pic:spPr>
                    <a:xfrm rot="0">
                      <a:off x="0" y="0"/>
                      <a:ext cx="5362955" cy="4867656"/>
                    </a:xfrm>
                    <a:prstGeom prst="rect">
                      <a:avLst/>
                    </a:prstGeom>
                  </pic:spPr>
                </pic:pic>
              </a:graphicData>
            </a:graphic>
          </wp:inline>
        </w:drawing>
      </w:r>
    </w:p>
    <w:p>
      <w:pPr>
        <w:ind w:left="982"/>
        <w:spacing w:before="186" w:line="219" w:lineRule="auto"/>
        <w:rPr>
          <w:rFonts w:ascii="SimSun" w:hAnsi="SimSun" w:eastAsia="SimSun" w:cs="SimSun"/>
          <w:sz w:val="24"/>
          <w:szCs w:val="24"/>
        </w:rPr>
      </w:pPr>
      <w:r>
        <w:rPr>
          <w:rFonts w:ascii="SimSun" w:hAnsi="SimSun" w:eastAsia="SimSun" w:cs="SimSun"/>
          <w:sz w:val="24"/>
          <w:szCs w:val="24"/>
          <w:spacing w:val="-2"/>
        </w:rPr>
        <w:t>持续渗漏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100d </w:t>
      </w:r>
      <w:r>
        <w:rPr>
          <w:rFonts w:ascii="SimSun" w:hAnsi="SimSun" w:eastAsia="SimSun" w:cs="SimSun"/>
          <w:sz w:val="24"/>
          <w:szCs w:val="24"/>
          <w:spacing w:val="-2"/>
        </w:rPr>
        <w:t>后停止渗漏，第</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500 </w:t>
      </w:r>
      <w:r>
        <w:rPr>
          <w:rFonts w:ascii="SimSun" w:hAnsi="SimSun" w:eastAsia="SimSun" w:cs="SimSun"/>
          <w:sz w:val="24"/>
          <w:szCs w:val="24"/>
          <w:spacing w:val="-2"/>
        </w:rPr>
        <w:t>天</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BOD</w:t>
      </w:r>
      <w:r>
        <w:rPr>
          <w:rFonts w:ascii="Times New Roman" w:hAnsi="Times New Roman" w:eastAsia="Times New Roman" w:cs="Times New Roman"/>
          <w:sz w:val="15"/>
          <w:szCs w:val="15"/>
          <w:spacing w:val="-2"/>
          <w:position w:val="-1"/>
        </w:rPr>
        <w:t>5</w:t>
      </w:r>
      <w:r>
        <w:rPr>
          <w:rFonts w:ascii="Times New Roman" w:hAnsi="Times New Roman" w:eastAsia="Times New Roman" w:cs="Times New Roman"/>
          <w:sz w:val="15"/>
          <w:szCs w:val="15"/>
          <w:spacing w:val="11"/>
          <w:position w:val="-1"/>
        </w:rPr>
        <w:t xml:space="preserve"> </w:t>
      </w:r>
      <w:r>
        <w:rPr>
          <w:rFonts w:ascii="SimSun" w:hAnsi="SimSun" w:eastAsia="SimSun" w:cs="SimSun"/>
          <w:sz w:val="24"/>
          <w:szCs w:val="24"/>
          <w:spacing w:val="-2"/>
        </w:rPr>
        <w:t>污染晕扩散平面图</w:t>
      </w:r>
    </w:p>
    <w:p>
      <w:pPr>
        <w:spacing w:line="219" w:lineRule="auto"/>
        <w:sectPr>
          <w:headerReference w:type="default" r:id="rId2"/>
          <w:footerReference w:type="default" r:id="rId270"/>
          <w:pgSz w:w="11907" w:h="16840"/>
          <w:pgMar w:top="1567" w:right="1700" w:bottom="1921" w:left="1701" w:header="1221" w:footer="1247" w:gutter="0"/>
        </w:sectPr>
        <w:rPr>
          <w:rFonts w:ascii="SimSun" w:hAnsi="SimSun" w:eastAsia="SimSun" w:cs="SimSun"/>
          <w:sz w:val="24"/>
          <w:szCs w:val="24"/>
        </w:rPr>
      </w:pPr>
    </w:p>
    <w:p>
      <w:pPr>
        <w:spacing w:before="150" w:line="7560" w:lineRule="exact"/>
        <w:rPr/>
      </w:pPr>
      <w:r>
        <w:pict>
          <v:shape id="_x0000_s958" style="position:absolute;margin-left:85.05pt;margin-top:79.11pt;mso-position-vertical-relative:page;mso-position-horizontal-relative:page;width:425.25pt;height:0.75pt;z-index:252098560;" o:allowincell="f" fillcolor="#000000" filled="true" stroked="false" coordsize="8505,15" coordorigin="0,0" path="m,l8505,0l8505,14l0,14l0,0xe"/>
        </w:pict>
      </w:r>
      <w:r>
        <w:rPr>
          <w:position w:val="-151"/>
        </w:rPr>
        <w:drawing>
          <wp:inline distT="0" distB="0" distL="0" distR="0">
            <wp:extent cx="5410200" cy="4800600"/>
            <wp:effectExtent l="0" t="0" r="0" b="0"/>
            <wp:docPr id="160" name="IM 160"/>
            <wp:cNvGraphicFramePr/>
            <a:graphic>
              <a:graphicData uri="http://schemas.openxmlformats.org/drawingml/2006/picture">
                <pic:pic>
                  <pic:nvPicPr>
                    <pic:cNvPr id="160" name="IM 160"/>
                    <pic:cNvPicPr/>
                  </pic:nvPicPr>
                  <pic:blipFill>
                    <a:blip r:embed="rId273"/>
                    <a:stretch>
                      <a:fillRect/>
                    </a:stretch>
                  </pic:blipFill>
                  <pic:spPr>
                    <a:xfrm rot="0">
                      <a:off x="0" y="0"/>
                      <a:ext cx="5410200" cy="4800600"/>
                    </a:xfrm>
                    <a:prstGeom prst="rect">
                      <a:avLst/>
                    </a:prstGeom>
                  </pic:spPr>
                </pic:pic>
              </a:graphicData>
            </a:graphic>
          </wp:inline>
        </w:drawing>
      </w:r>
    </w:p>
    <w:p>
      <w:pPr>
        <w:ind w:left="732"/>
        <w:spacing w:before="174" w:line="219" w:lineRule="auto"/>
        <w:rPr>
          <w:rFonts w:ascii="SimSun" w:hAnsi="SimSun" w:eastAsia="SimSun" w:cs="SimSun"/>
          <w:sz w:val="24"/>
          <w:szCs w:val="24"/>
        </w:rPr>
      </w:pPr>
      <w:r>
        <w:rPr>
          <w:rFonts w:ascii="SimSun" w:hAnsi="SimSun" w:eastAsia="SimSun" w:cs="SimSun"/>
          <w:sz w:val="24"/>
          <w:szCs w:val="24"/>
          <w:spacing w:val="-3"/>
        </w:rPr>
        <w:t>持续渗漏</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3"/>
        </w:rPr>
        <w:t>100d </w:t>
      </w:r>
      <w:r>
        <w:rPr>
          <w:rFonts w:ascii="SimSun" w:hAnsi="SimSun" w:eastAsia="SimSun" w:cs="SimSun"/>
          <w:sz w:val="24"/>
          <w:szCs w:val="24"/>
          <w:spacing w:val="-3"/>
        </w:rPr>
        <w:t>后停止渗漏，第</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天</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BOD</w:t>
      </w:r>
      <w:r>
        <w:rPr>
          <w:rFonts w:ascii="Times New Roman" w:hAnsi="Times New Roman" w:eastAsia="Times New Roman" w:cs="Times New Roman"/>
          <w:sz w:val="15"/>
          <w:szCs w:val="15"/>
          <w:spacing w:val="-3"/>
          <w:position w:val="-1"/>
        </w:rPr>
        <w:t>5</w:t>
      </w:r>
      <w:r>
        <w:rPr>
          <w:rFonts w:ascii="Times New Roman" w:hAnsi="Times New Roman" w:eastAsia="Times New Roman" w:cs="Times New Roman"/>
          <w:sz w:val="15"/>
          <w:szCs w:val="15"/>
          <w:spacing w:val="11"/>
          <w:position w:val="-1"/>
        </w:rPr>
        <w:t xml:space="preserve"> </w:t>
      </w:r>
      <w:r>
        <w:rPr>
          <w:rFonts w:ascii="SimSun" w:hAnsi="SimSun" w:eastAsia="SimSun" w:cs="SimSun"/>
          <w:sz w:val="24"/>
          <w:szCs w:val="24"/>
          <w:spacing w:val="-3"/>
        </w:rPr>
        <w:t>污染晕扩散平面图</w:t>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ind w:left="7"/>
        <w:spacing w:before="61" w:line="227" w:lineRule="auto"/>
        <w:rPr>
          <w:rFonts w:ascii="SimSun" w:hAnsi="SimSun" w:eastAsia="SimSun" w:cs="SimSun"/>
          <w:sz w:val="19"/>
          <w:szCs w:val="19"/>
        </w:rPr>
      </w:pPr>
      <w:r>
        <w:pict>
          <v:shape id="_x0000_s960" style="position:absolute;margin-left:159.33pt;margin-top:2.08928pt;mso-position-vertical-relative:text;mso-position-horizontal-relative:text;width:61pt;height:13.75pt;z-index:25209753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201</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272"/>
          <w:footerReference w:type="default" r:id="rId3"/>
          <w:pgSz w:w="11907" w:h="16840"/>
          <w:pgMar w:top="1567" w:right="1685" w:bottom="400" w:left="1701" w:header="1221" w:footer="0" w:gutter="0"/>
        </w:sectPr>
        <w:rPr>
          <w:rFonts w:ascii="SimSun" w:hAnsi="SimSun" w:eastAsia="SimSun" w:cs="SimSun"/>
          <w:sz w:val="19"/>
          <w:szCs w:val="19"/>
        </w:rPr>
      </w:pPr>
    </w:p>
    <w:p>
      <w:pPr>
        <w:ind w:firstLine="50"/>
        <w:spacing w:before="133" w:line="7412" w:lineRule="exact"/>
        <w:rPr/>
      </w:pPr>
      <w:r>
        <w:pict>
          <v:shape id="_x0000_s962" style="position:absolute;margin-left:85.05pt;margin-top:78.87pt;mso-position-vertical-relative:page;mso-position-horizontal-relative:page;width:425.25pt;height:0.75pt;z-index:252100608;" o:allowincell="f" fillcolor="#000000" filled="true" stroked="false" coordsize="8505,15" coordorigin="0,0" path="m,l8505,0l8505,14l0,14l0,0xe"/>
        </w:pict>
      </w:r>
      <w:r>
        <w:rPr>
          <w:position w:val="-148"/>
        </w:rPr>
        <w:drawing>
          <wp:inline distT="0" distB="0" distL="0" distR="0">
            <wp:extent cx="5324855" cy="4706111"/>
            <wp:effectExtent l="0" t="0" r="0" b="0"/>
            <wp:docPr id="162" name="IM 162"/>
            <wp:cNvGraphicFramePr/>
            <a:graphic>
              <a:graphicData uri="http://schemas.openxmlformats.org/drawingml/2006/picture">
                <pic:pic>
                  <pic:nvPicPr>
                    <pic:cNvPr id="162" name="IM 162"/>
                    <pic:cNvPicPr/>
                  </pic:nvPicPr>
                  <pic:blipFill>
                    <a:blip r:embed="rId275"/>
                    <a:stretch>
                      <a:fillRect/>
                    </a:stretch>
                  </pic:blipFill>
                  <pic:spPr>
                    <a:xfrm rot="0">
                      <a:off x="0" y="0"/>
                      <a:ext cx="5324855" cy="4706111"/>
                    </a:xfrm>
                    <a:prstGeom prst="rect">
                      <a:avLst/>
                    </a:prstGeom>
                  </pic:spPr>
                </pic:pic>
              </a:graphicData>
            </a:graphic>
          </wp:inline>
        </w:drawing>
      </w:r>
    </w:p>
    <w:p>
      <w:pPr>
        <w:ind w:left="922"/>
        <w:spacing w:before="193" w:line="219" w:lineRule="auto"/>
        <w:rPr>
          <w:rFonts w:ascii="SimSun" w:hAnsi="SimSun" w:eastAsia="SimSun" w:cs="SimSun"/>
          <w:sz w:val="24"/>
          <w:szCs w:val="24"/>
        </w:rPr>
      </w:pPr>
      <w:r>
        <w:rPr>
          <w:rFonts w:ascii="SimSun" w:hAnsi="SimSun" w:eastAsia="SimSun" w:cs="SimSun"/>
          <w:sz w:val="24"/>
          <w:szCs w:val="24"/>
          <w:spacing w:val="-3"/>
        </w:rPr>
        <w:t>持续渗漏</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3"/>
        </w:rPr>
        <w:t>100d </w:t>
      </w:r>
      <w:r>
        <w:rPr>
          <w:rFonts w:ascii="SimSun" w:hAnsi="SimSun" w:eastAsia="SimSun" w:cs="SimSun"/>
          <w:sz w:val="24"/>
          <w:szCs w:val="24"/>
          <w:spacing w:val="-3"/>
        </w:rPr>
        <w:t>后停止渗漏，第</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1200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天</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BOD</w:t>
      </w:r>
      <w:r>
        <w:rPr>
          <w:rFonts w:ascii="Times New Roman" w:hAnsi="Times New Roman" w:eastAsia="Times New Roman" w:cs="Times New Roman"/>
          <w:sz w:val="15"/>
          <w:szCs w:val="15"/>
          <w:spacing w:val="-3"/>
          <w:position w:val="-1"/>
        </w:rPr>
        <w:t>5</w:t>
      </w:r>
      <w:r>
        <w:rPr>
          <w:rFonts w:ascii="Times New Roman" w:hAnsi="Times New Roman" w:eastAsia="Times New Roman" w:cs="Times New Roman"/>
          <w:sz w:val="15"/>
          <w:szCs w:val="15"/>
          <w:spacing w:val="11"/>
          <w:position w:val="-1"/>
        </w:rPr>
        <w:t xml:space="preserve"> </w:t>
      </w:r>
      <w:r>
        <w:rPr>
          <w:rFonts w:ascii="SimSun" w:hAnsi="SimSun" w:eastAsia="SimSun" w:cs="SimSun"/>
          <w:sz w:val="24"/>
          <w:szCs w:val="24"/>
          <w:spacing w:val="-3"/>
        </w:rPr>
        <w:t>污染晕扩散平面图</w:t>
      </w:r>
    </w:p>
    <w:p>
      <w:pPr>
        <w:ind w:left="801"/>
        <w:spacing w:before="214"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3"/>
        </w:rPr>
        <w:t>5.3-12      </w:t>
      </w:r>
      <w:r>
        <w:rPr>
          <w:rFonts w:ascii="SimSun" w:hAnsi="SimSun" w:eastAsia="SimSun" w:cs="SimSun"/>
          <w:sz w:val="24"/>
          <w:szCs w:val="24"/>
          <w:b/>
          <w:bCs/>
          <w:spacing w:val="-3"/>
        </w:rPr>
        <w:t>非正常状况</w:t>
      </w:r>
      <w:r>
        <w:rPr>
          <w:rFonts w:ascii="SimSun" w:hAnsi="SimSun" w:eastAsia="SimSun" w:cs="SimSun"/>
          <w:sz w:val="24"/>
          <w:szCs w:val="24"/>
          <w:spacing w:val="-49"/>
        </w:rPr>
        <w:t xml:space="preserve"> </w:t>
      </w:r>
      <w:r>
        <w:rPr>
          <w:rFonts w:ascii="Times New Roman" w:hAnsi="Times New Roman" w:eastAsia="Times New Roman" w:cs="Times New Roman"/>
          <w:sz w:val="24"/>
          <w:szCs w:val="24"/>
          <w:b/>
          <w:bCs/>
          <w:spacing w:val="-3"/>
        </w:rPr>
        <w:t>TS </w:t>
      </w:r>
      <w:r>
        <w:rPr>
          <w:rFonts w:ascii="SimSun" w:hAnsi="SimSun" w:eastAsia="SimSun" w:cs="SimSun"/>
          <w:sz w:val="24"/>
          <w:szCs w:val="24"/>
          <w:b/>
          <w:bCs/>
          <w:spacing w:val="-3"/>
        </w:rPr>
        <w:t>调节池渗漏</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3"/>
        </w:rPr>
        <w:t>100 </w:t>
      </w:r>
      <w:r>
        <w:rPr>
          <w:rFonts w:ascii="SimSun" w:hAnsi="SimSun" w:eastAsia="SimSun" w:cs="SimSun"/>
          <w:sz w:val="24"/>
          <w:szCs w:val="24"/>
          <w:b/>
          <w:bCs/>
          <w:spacing w:val="-3"/>
        </w:rPr>
        <w:t>天</w:t>
      </w:r>
      <w:r>
        <w:rPr>
          <w:rFonts w:ascii="SimSun" w:hAnsi="SimSun" w:eastAsia="SimSun" w:cs="SimSun"/>
          <w:sz w:val="24"/>
          <w:szCs w:val="24"/>
          <w:spacing w:val="-55"/>
        </w:rPr>
        <w:t xml:space="preserve"> </w:t>
      </w:r>
      <w:r>
        <w:rPr>
          <w:rFonts w:ascii="Times New Roman" w:hAnsi="Times New Roman" w:eastAsia="Times New Roman" w:cs="Times New Roman"/>
          <w:sz w:val="24"/>
          <w:szCs w:val="24"/>
          <w:b/>
          <w:bCs/>
          <w:spacing w:val="-3"/>
        </w:rPr>
        <w:t>BOD</w:t>
      </w:r>
      <w:r>
        <w:rPr>
          <w:rFonts w:ascii="Times New Roman" w:hAnsi="Times New Roman" w:eastAsia="Times New Roman" w:cs="Times New Roman"/>
          <w:sz w:val="15"/>
          <w:szCs w:val="15"/>
          <w:b/>
          <w:bCs/>
          <w:spacing w:val="-3"/>
          <w:position w:val="-1"/>
        </w:rPr>
        <w:t>5</w:t>
      </w:r>
      <w:r>
        <w:rPr>
          <w:rFonts w:ascii="Times New Roman" w:hAnsi="Times New Roman" w:eastAsia="Times New Roman" w:cs="Times New Roman"/>
          <w:sz w:val="15"/>
          <w:szCs w:val="15"/>
          <w:b/>
          <w:bCs/>
          <w:spacing w:val="13"/>
          <w:w w:val="102"/>
          <w:position w:val="-1"/>
        </w:rPr>
        <w:t xml:space="preserve"> </w:t>
      </w:r>
      <w:r>
        <w:rPr>
          <w:rFonts w:ascii="SimSun" w:hAnsi="SimSun" w:eastAsia="SimSun" w:cs="SimSun"/>
          <w:sz w:val="24"/>
          <w:szCs w:val="24"/>
          <w:b/>
          <w:bCs/>
          <w:spacing w:val="-3"/>
        </w:rPr>
        <w:t>污染预测结果</w:t>
      </w:r>
    </w:p>
    <w:p>
      <w:pPr>
        <w:spacing w:line="219" w:lineRule="auto"/>
        <w:sectPr>
          <w:headerReference w:type="default" r:id="rId2"/>
          <w:footerReference w:type="default" r:id="rId274"/>
          <w:pgSz w:w="11907" w:h="16840"/>
          <w:pgMar w:top="1567" w:right="1700" w:bottom="1921" w:left="1701" w:header="1221" w:footer="1247" w:gutter="0"/>
        </w:sectPr>
        <w:rPr>
          <w:rFonts w:ascii="SimSun" w:hAnsi="SimSun" w:eastAsia="SimSun" w:cs="SimSun"/>
          <w:sz w:val="24"/>
          <w:szCs w:val="24"/>
        </w:rPr>
      </w:pPr>
    </w:p>
    <w:p>
      <w:pPr>
        <w:ind w:left="634" w:right="142" w:hanging="4"/>
        <w:spacing w:before="187" w:line="289" w:lineRule="auto"/>
        <w:rPr>
          <w:rFonts w:ascii="SimSun" w:hAnsi="SimSun" w:eastAsia="SimSun" w:cs="SimSun"/>
          <w:sz w:val="24"/>
          <w:szCs w:val="24"/>
        </w:rPr>
      </w:pPr>
      <w:r>
        <w:pict>
          <v:shape id="_x0000_s964" style="position:absolute;margin-left:85.05pt;margin-top:79.11pt;mso-position-vertical-relative:page;mso-position-horizontal-relative:page;width:425.25pt;height:0.75pt;z-index:252104704;" o:allowincell="f" fillcolor="#000000" filled="true" stroked="false" coordsize="8505,15" coordorigin="0,0" path="m,l8505,0l8505,14l0,14l0,0xe"/>
        </w:pict>
      </w:r>
      <w:r>
        <w:rPr>
          <w:rFonts w:ascii="SimSun" w:hAnsi="SimSun" w:eastAsia="SimSun" w:cs="SimSun"/>
          <w:sz w:val="24"/>
          <w:szCs w:val="24"/>
          <w:b/>
          <w:bCs/>
          <w:spacing w:val="-1"/>
        </w:rPr>
        <w:t>①非正常状况</w:t>
      </w:r>
      <w:r>
        <w:rPr>
          <w:rFonts w:ascii="SimSun" w:hAnsi="SimSun" w:eastAsia="SimSun" w:cs="SimSun"/>
          <w:sz w:val="24"/>
          <w:szCs w:val="24"/>
          <w:spacing w:val="-71"/>
        </w:rPr>
        <w:t xml:space="preserve"> </w:t>
      </w:r>
      <w:r>
        <w:rPr>
          <w:rFonts w:ascii="Times New Roman" w:hAnsi="Times New Roman" w:eastAsia="Times New Roman" w:cs="Times New Roman"/>
          <w:sz w:val="24"/>
          <w:szCs w:val="24"/>
          <w:b/>
          <w:bCs/>
          <w:spacing w:val="-1"/>
        </w:rPr>
        <w:t>TS </w:t>
      </w:r>
      <w:r>
        <w:rPr>
          <w:rFonts w:ascii="SimSun" w:hAnsi="SimSun" w:eastAsia="SimSun" w:cs="SimSun"/>
          <w:sz w:val="24"/>
          <w:szCs w:val="24"/>
          <w:b/>
          <w:bCs/>
          <w:spacing w:val="-1"/>
        </w:rPr>
        <w:t>调节池渗漏</w:t>
      </w:r>
      <w:r>
        <w:rPr>
          <w:rFonts w:ascii="Times New Roman" w:hAnsi="Times New Roman" w:eastAsia="Times New Roman" w:cs="Times New Roman"/>
          <w:sz w:val="24"/>
          <w:szCs w:val="24"/>
          <w:b/>
          <w:bCs/>
          <w:spacing w:val="-1"/>
        </w:rPr>
        <w:t>BOD</w:t>
      </w:r>
      <w:r>
        <w:rPr>
          <w:rFonts w:ascii="Times New Roman" w:hAnsi="Times New Roman" w:eastAsia="Times New Roman" w:cs="Times New Roman"/>
          <w:sz w:val="15"/>
          <w:szCs w:val="15"/>
          <w:b/>
          <w:bCs/>
          <w:spacing w:val="-1"/>
          <w:position w:val="-1"/>
        </w:rPr>
        <w:t>5 </w:t>
      </w:r>
      <w:r>
        <w:rPr>
          <w:rFonts w:ascii="SimSun" w:hAnsi="SimSun" w:eastAsia="SimSun" w:cs="SimSun"/>
          <w:sz w:val="24"/>
          <w:szCs w:val="24"/>
          <w:b/>
          <w:bCs/>
          <w:spacing w:val="-2"/>
        </w:rPr>
        <w:t>对周边分散式饮用水源井的影响预测结果</w:t>
      </w:r>
      <w:r>
        <w:rPr>
          <w:rFonts w:ascii="SimSun" w:hAnsi="SimSun" w:eastAsia="SimSun" w:cs="SimSun"/>
          <w:sz w:val="24"/>
          <w:szCs w:val="24"/>
        </w:rPr>
        <w:t xml:space="preserve"> </w:t>
      </w:r>
      <w:r>
        <w:rPr>
          <w:rFonts w:ascii="SimSun" w:hAnsi="SimSun" w:eastAsia="SimSun" w:cs="SimSun"/>
          <w:sz w:val="24"/>
          <w:szCs w:val="24"/>
          <w:spacing w:val="5"/>
        </w:rPr>
        <w:t>非正常状况</w:t>
      </w:r>
      <w:r>
        <w:rPr>
          <w:rFonts w:ascii="SimSun" w:hAnsi="SimSun" w:eastAsia="SimSun" w:cs="SimSun"/>
          <w:sz w:val="24"/>
          <w:szCs w:val="24"/>
          <w:spacing w:val="-42"/>
        </w:rPr>
        <w:t xml:space="preserve"> </w:t>
      </w:r>
      <w:r>
        <w:rPr>
          <w:rFonts w:ascii="Times New Roman" w:hAnsi="Times New Roman" w:eastAsia="Times New Roman" w:cs="Times New Roman"/>
          <w:sz w:val="24"/>
          <w:szCs w:val="24"/>
        </w:rPr>
        <w:t>TS</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5"/>
        </w:rPr>
        <w:t>调节池渗漏</w:t>
      </w:r>
      <w:r>
        <w:rPr>
          <w:rFonts w:ascii="SimSun" w:hAnsi="SimSun" w:eastAsia="SimSun" w:cs="SimSun"/>
          <w:sz w:val="24"/>
          <w:szCs w:val="24"/>
          <w:spacing w:val="-49"/>
        </w:rPr>
        <w:t xml:space="preserve"> </w:t>
      </w:r>
      <w:r>
        <w:rPr>
          <w:rFonts w:ascii="Times New Roman" w:hAnsi="Times New Roman" w:eastAsia="Times New Roman" w:cs="Times New Roman"/>
          <w:sz w:val="24"/>
          <w:szCs w:val="24"/>
        </w:rPr>
        <w:t>BOD</w:t>
      </w:r>
      <w:r>
        <w:rPr>
          <w:rFonts w:ascii="Times New Roman" w:hAnsi="Times New Roman" w:eastAsia="Times New Roman" w:cs="Times New Roman"/>
          <w:sz w:val="15"/>
          <w:szCs w:val="15"/>
          <w:spacing w:val="5"/>
          <w:position w:val="-1"/>
        </w:rPr>
        <w:t>5</w:t>
      </w:r>
      <w:r>
        <w:rPr>
          <w:rFonts w:ascii="Times New Roman" w:hAnsi="Times New Roman" w:eastAsia="Times New Roman" w:cs="Times New Roman"/>
          <w:sz w:val="15"/>
          <w:szCs w:val="15"/>
          <w:spacing w:val="15"/>
          <w:w w:val="101"/>
          <w:position w:val="-1"/>
        </w:rPr>
        <w:t xml:space="preserve"> </w:t>
      </w:r>
      <w:r>
        <w:rPr>
          <w:rFonts w:ascii="SimSun" w:hAnsi="SimSun" w:eastAsia="SimSun" w:cs="SimSun"/>
          <w:sz w:val="24"/>
          <w:szCs w:val="24"/>
          <w:spacing w:val="5"/>
        </w:rPr>
        <w:t>超标污染晕在预测周期内最大运移距离为</w:t>
      </w:r>
    </w:p>
    <w:p>
      <w:pPr>
        <w:ind w:left="155" w:right="81" w:hanging="8"/>
        <w:spacing w:before="181" w:line="289" w:lineRule="auto"/>
        <w:rPr>
          <w:rFonts w:ascii="SimSun" w:hAnsi="SimSun" w:eastAsia="SimSun" w:cs="SimSun"/>
          <w:sz w:val="24"/>
          <w:szCs w:val="24"/>
        </w:rPr>
      </w:pPr>
      <w:r>
        <w:rPr>
          <w:rFonts w:ascii="Times New Roman" w:hAnsi="Times New Roman" w:eastAsia="Times New Roman" w:cs="Times New Roman"/>
          <w:sz w:val="24"/>
          <w:szCs w:val="24"/>
          <w:spacing w:val="-4"/>
        </w:rPr>
        <w:t>205.36m,</w:t>
      </w:r>
      <w:r>
        <w:rPr>
          <w:rFonts w:ascii="SimSun" w:hAnsi="SimSun" w:eastAsia="SimSun" w:cs="SimSun"/>
          <w:sz w:val="24"/>
          <w:szCs w:val="24"/>
          <w:spacing w:val="-4"/>
        </w:rPr>
        <w:t>拟建厂址距下游最近地下水保护目标分散式饮用水井距</w:t>
      </w:r>
      <w:r>
        <w:rPr>
          <w:rFonts w:ascii="SimSun" w:hAnsi="SimSun" w:eastAsia="SimSun" w:cs="SimSun"/>
          <w:sz w:val="24"/>
          <w:szCs w:val="24"/>
          <w:spacing w:val="-5"/>
        </w:rPr>
        <w:t>离为</w:t>
      </w:r>
      <w:r>
        <w:rPr>
          <w:rFonts w:ascii="Times New Roman" w:hAnsi="Times New Roman" w:eastAsia="Times New Roman" w:cs="Times New Roman"/>
          <w:sz w:val="24"/>
          <w:szCs w:val="24"/>
          <w:spacing w:val="-5"/>
        </w:rPr>
        <w:t>2.</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5"/>
        </w:rPr>
        <w:t>1km</w:t>
      </w:r>
      <w:r>
        <w:rPr>
          <w:rFonts w:ascii="SimSun" w:hAnsi="SimSun" w:eastAsia="SimSun" w:cs="SimSun"/>
          <w:sz w:val="24"/>
          <w:szCs w:val="24"/>
          <w:spacing w:val="-5"/>
        </w:rPr>
        <w:t>，因此，</w:t>
      </w:r>
      <w:r>
        <w:rPr>
          <w:rFonts w:ascii="SimSun" w:hAnsi="SimSun" w:eastAsia="SimSun" w:cs="SimSun"/>
          <w:sz w:val="24"/>
          <w:szCs w:val="24"/>
        </w:rPr>
        <w:t xml:space="preserve"> </w:t>
      </w:r>
      <w:r>
        <w:rPr>
          <w:rFonts w:ascii="SimSun" w:hAnsi="SimSun" w:eastAsia="SimSun" w:cs="SimSun"/>
          <w:sz w:val="24"/>
          <w:szCs w:val="24"/>
          <w:spacing w:val="-1"/>
        </w:rPr>
        <w:t>发生泄漏事故不会对最近分散式饮用水源地造成污染。</w:t>
      </w:r>
    </w:p>
    <w:p>
      <w:pPr>
        <w:ind w:left="629"/>
        <w:spacing w:before="184" w:line="217" w:lineRule="auto"/>
        <w:rPr>
          <w:rFonts w:ascii="SimSun" w:hAnsi="SimSun" w:eastAsia="SimSun" w:cs="SimSun"/>
          <w:sz w:val="24"/>
          <w:szCs w:val="24"/>
        </w:rPr>
      </w:pPr>
      <w:r>
        <w:rPr>
          <w:rFonts w:ascii="SimSun" w:hAnsi="SimSun" w:eastAsia="SimSun" w:cs="SimSun"/>
          <w:sz w:val="24"/>
          <w:szCs w:val="24"/>
          <w:b/>
          <w:bCs/>
          <w:spacing w:val="-3"/>
        </w:rPr>
        <w:t>②对含水层的影响评价</w:t>
      </w:r>
    </w:p>
    <w:p>
      <w:pPr>
        <w:ind w:left="153" w:right="142" w:firstLine="506"/>
        <w:spacing w:before="183" w:line="359" w:lineRule="auto"/>
        <w:jc w:val="both"/>
        <w:rPr>
          <w:rFonts w:ascii="SimSun" w:hAnsi="SimSun" w:eastAsia="SimSun" w:cs="SimSun"/>
          <w:sz w:val="24"/>
          <w:szCs w:val="24"/>
        </w:rPr>
      </w:pPr>
      <w:r>
        <w:rPr>
          <w:rFonts w:ascii="SimSun" w:hAnsi="SimSun" w:eastAsia="SimSun" w:cs="SimSun"/>
          <w:sz w:val="24"/>
          <w:szCs w:val="24"/>
          <w:spacing w:val="8"/>
        </w:rPr>
        <w:t>由预测结果可知：污染物泄漏</w:t>
      </w:r>
      <w:r>
        <w:rPr>
          <w:rFonts w:ascii="SimSun" w:hAnsi="SimSun" w:eastAsia="SimSun" w:cs="SimSun"/>
          <w:sz w:val="24"/>
          <w:szCs w:val="24"/>
          <w:spacing w:val="-39"/>
        </w:rPr>
        <w:t xml:space="preserve"> </w:t>
      </w:r>
      <w:r>
        <w:rPr>
          <w:rFonts w:ascii="Times New Roman" w:hAnsi="Times New Roman" w:eastAsia="Times New Roman" w:cs="Times New Roman"/>
          <w:sz w:val="24"/>
          <w:szCs w:val="24"/>
        </w:rPr>
        <w:t>BOD</w:t>
      </w:r>
      <w:r>
        <w:rPr>
          <w:rFonts w:ascii="Times New Roman" w:hAnsi="Times New Roman" w:eastAsia="Times New Roman" w:cs="Times New Roman"/>
          <w:sz w:val="15"/>
          <w:szCs w:val="15"/>
          <w:spacing w:val="8"/>
          <w:position w:val="-1"/>
        </w:rPr>
        <w:t>5</w:t>
      </w:r>
      <w:r>
        <w:rPr>
          <w:rFonts w:ascii="Times New Roman" w:hAnsi="Times New Roman" w:eastAsia="Times New Roman" w:cs="Times New Roman"/>
          <w:sz w:val="15"/>
          <w:szCs w:val="15"/>
          <w:spacing w:val="21"/>
          <w:position w:val="-1"/>
        </w:rPr>
        <w:t xml:space="preserve"> </w:t>
      </w:r>
      <w:r>
        <w:rPr>
          <w:rFonts w:ascii="SimSun" w:hAnsi="SimSun" w:eastAsia="SimSun" w:cs="SimSun"/>
          <w:sz w:val="24"/>
          <w:szCs w:val="24"/>
          <w:spacing w:val="8"/>
        </w:rPr>
        <w:t>超标污染晕面积在</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8"/>
        </w:rPr>
        <w:t>500</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8"/>
        </w:rPr>
        <w:t>天时最大，为</w:t>
      </w:r>
      <w:r>
        <w:rPr>
          <w:rFonts w:ascii="SimSun" w:hAnsi="SimSun" w:eastAsia="SimSun" w:cs="SimSun"/>
          <w:sz w:val="24"/>
          <w:szCs w:val="24"/>
        </w:rPr>
        <w:t xml:space="preserve"> </w:t>
      </w:r>
      <w:r>
        <w:rPr>
          <w:rFonts w:ascii="Times New Roman" w:hAnsi="Times New Roman" w:eastAsia="Times New Roman" w:cs="Times New Roman"/>
          <w:sz w:val="24"/>
          <w:szCs w:val="24"/>
          <w:spacing w:val="-4"/>
        </w:rPr>
        <w:t>5691.48m</w:t>
      </w:r>
      <w:r>
        <w:rPr>
          <w:rFonts w:ascii="Times New Roman" w:hAnsi="Times New Roman" w:eastAsia="Times New Roman" w:cs="Times New Roman"/>
          <w:sz w:val="15"/>
          <w:szCs w:val="15"/>
          <w:spacing w:val="-4"/>
          <w:position w:val="8"/>
        </w:rPr>
        <w:t>2</w:t>
      </w:r>
      <w:r>
        <w:rPr>
          <w:rFonts w:ascii="SimSun" w:hAnsi="SimSun" w:eastAsia="SimSun" w:cs="SimSun"/>
          <w:sz w:val="24"/>
          <w:szCs w:val="24"/>
          <w:spacing w:val="-4"/>
        </w:rPr>
        <w:t>，之后超标污染晕面积逐步减小，在渗漏事故发生</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4"/>
        </w:rPr>
        <w:t>1200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天之后超标污染</w:t>
      </w:r>
      <w:r>
        <w:rPr>
          <w:rFonts w:ascii="SimSun" w:hAnsi="SimSun" w:eastAsia="SimSun" w:cs="SimSun"/>
          <w:sz w:val="24"/>
          <w:szCs w:val="24"/>
        </w:rPr>
        <w:t xml:space="preserve"> </w:t>
      </w:r>
      <w:r>
        <w:rPr>
          <w:rFonts w:ascii="SimSun" w:hAnsi="SimSun" w:eastAsia="SimSun" w:cs="SimSun"/>
          <w:sz w:val="24"/>
          <w:szCs w:val="24"/>
          <w:spacing w:val="1"/>
        </w:rPr>
        <w:t>晕消失。满足《环境影响评价技术导则 地下水环境》（</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1"/>
        </w:rPr>
        <w:t>610 201</w:t>
      </w:r>
      <w:r>
        <w:rPr>
          <w:rFonts w:ascii="Times New Roman" w:hAnsi="Times New Roman" w:eastAsia="Times New Roman" w:cs="Times New Roman"/>
          <w:sz w:val="24"/>
          <w:szCs w:val="24"/>
        </w:rPr>
        <w:t>6</w:t>
      </w:r>
      <w:r>
        <w:rPr>
          <w:rFonts w:ascii="SimSun" w:hAnsi="SimSun" w:eastAsia="SimSun" w:cs="SimSun"/>
          <w:sz w:val="24"/>
          <w:szCs w:val="24"/>
        </w:rPr>
        <w:t>）</w:t>
      </w:r>
      <w:r>
        <w:rPr>
          <w:rFonts w:ascii="Times New Roman" w:hAnsi="Times New Roman" w:eastAsia="Times New Roman" w:cs="Times New Roman"/>
          <w:sz w:val="24"/>
          <w:szCs w:val="24"/>
        </w:rPr>
        <w:t>10.4.1</w:t>
      </w:r>
      <w:r>
        <w:rPr>
          <w:rFonts w:ascii="Times New Roman" w:hAnsi="Times New Roman" w:eastAsia="Times New Roman" w:cs="Times New Roman"/>
          <w:sz w:val="24"/>
          <w:szCs w:val="24"/>
          <w:spacing w:val="31"/>
          <w:w w:val="101"/>
        </w:rPr>
        <w:t xml:space="preserve"> </w:t>
      </w:r>
      <w:r>
        <w:rPr>
          <w:rFonts w:ascii="SimSun" w:hAnsi="SimSun" w:eastAsia="SimSun" w:cs="SimSun"/>
          <w:sz w:val="24"/>
          <w:szCs w:val="24"/>
        </w:rPr>
        <w:t>的相 </w:t>
      </w:r>
      <w:r>
        <w:rPr>
          <w:rFonts w:ascii="SimSun" w:hAnsi="SimSun" w:eastAsia="SimSun" w:cs="SimSun"/>
          <w:sz w:val="24"/>
          <w:szCs w:val="24"/>
          <w:spacing w:val="-3"/>
        </w:rPr>
        <w:t>关要求。</w:t>
      </w:r>
    </w:p>
    <w:p>
      <w:pPr>
        <w:ind w:left="629"/>
        <w:spacing w:line="217" w:lineRule="auto"/>
        <w:rPr>
          <w:rFonts w:ascii="SimSun" w:hAnsi="SimSun" w:eastAsia="SimSun" w:cs="SimSun"/>
          <w:sz w:val="24"/>
          <w:szCs w:val="24"/>
        </w:rPr>
      </w:pPr>
      <w:r>
        <w:rPr>
          <w:rFonts w:ascii="SimSun" w:hAnsi="SimSun" w:eastAsia="SimSun" w:cs="SimSun"/>
          <w:sz w:val="24"/>
          <w:szCs w:val="24"/>
          <w:b/>
          <w:bCs/>
          <w:spacing w:val="-3"/>
        </w:rPr>
        <w:t>③预测结果综合分析</w:t>
      </w:r>
    </w:p>
    <w:p>
      <w:pPr>
        <w:ind w:left="146" w:right="142" w:firstLine="487"/>
        <w:spacing w:before="185" w:line="359" w:lineRule="auto"/>
        <w:jc w:val="both"/>
        <w:rPr>
          <w:rFonts w:ascii="SimSun" w:hAnsi="SimSun" w:eastAsia="SimSun" w:cs="SimSun"/>
          <w:sz w:val="24"/>
          <w:szCs w:val="24"/>
        </w:rPr>
      </w:pPr>
      <w:r>
        <w:rPr>
          <w:rFonts w:ascii="SimSun" w:hAnsi="SimSun" w:eastAsia="SimSun" w:cs="SimSun"/>
          <w:sz w:val="24"/>
          <w:szCs w:val="24"/>
          <w:spacing w:val="-1"/>
        </w:rPr>
        <w:t>预测结果表明，</w:t>
      </w:r>
      <w:r>
        <w:rPr>
          <w:rFonts w:ascii="Times New Roman" w:hAnsi="Times New Roman" w:eastAsia="Times New Roman" w:cs="Times New Roman"/>
          <w:sz w:val="24"/>
          <w:szCs w:val="24"/>
          <w:spacing w:val="-1"/>
        </w:rPr>
        <w:t>BOD</w:t>
      </w:r>
      <w:r>
        <w:rPr>
          <w:rFonts w:ascii="Times New Roman" w:hAnsi="Times New Roman" w:eastAsia="Times New Roman" w:cs="Times New Roman"/>
          <w:sz w:val="15"/>
          <w:szCs w:val="15"/>
          <w:spacing w:val="-1"/>
          <w:position w:val="-1"/>
        </w:rPr>
        <w:t>5</w:t>
      </w:r>
      <w:r>
        <w:rPr>
          <w:rFonts w:ascii="Times New Roman" w:hAnsi="Times New Roman" w:eastAsia="Times New Roman" w:cs="Times New Roman"/>
          <w:sz w:val="15"/>
          <w:szCs w:val="15"/>
          <w:spacing w:val="15"/>
          <w:w w:val="102"/>
          <w:position w:val="-1"/>
        </w:rPr>
        <w:t xml:space="preserve"> </w:t>
      </w:r>
      <w:r>
        <w:rPr>
          <w:rFonts w:ascii="SimSun" w:hAnsi="SimSun" w:eastAsia="SimSun" w:cs="SimSun"/>
          <w:sz w:val="24"/>
          <w:szCs w:val="24"/>
          <w:spacing w:val="-1"/>
        </w:rPr>
        <w:t>在预测周期</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5000d</w:t>
      </w:r>
      <w:r>
        <w:rPr>
          <w:rFonts w:ascii="Times New Roman" w:hAnsi="Times New Roman" w:eastAsia="Times New Roman" w:cs="Times New Roman"/>
          <w:sz w:val="24"/>
          <w:szCs w:val="24"/>
          <w:spacing w:val="43"/>
        </w:rPr>
        <w:t xml:space="preserve"> </w:t>
      </w:r>
      <w:r>
        <w:rPr>
          <w:rFonts w:ascii="SimSun" w:hAnsi="SimSun" w:eastAsia="SimSun" w:cs="SimSun"/>
          <w:sz w:val="24"/>
          <w:szCs w:val="24"/>
          <w:spacing w:val="-1"/>
        </w:rPr>
        <w:t>内最大浓度为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28.78mg/L</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1200</w:t>
      </w:r>
      <w:r>
        <w:rPr>
          <w:rFonts w:ascii="Times New Roman" w:hAnsi="Times New Roman" w:eastAsia="Times New Roman" w:cs="Times New Roman"/>
          <w:sz w:val="24"/>
          <w:szCs w:val="24"/>
          <w:spacing w:val="-2"/>
        </w:rPr>
        <w:t>d</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之</w:t>
      </w:r>
      <w:r>
        <w:rPr>
          <w:rFonts w:ascii="SimSun" w:hAnsi="SimSun" w:eastAsia="SimSun" w:cs="SimSun"/>
          <w:sz w:val="24"/>
          <w:szCs w:val="24"/>
        </w:rPr>
        <w:t xml:space="preserve"> </w:t>
      </w:r>
      <w:r>
        <w:rPr>
          <w:rFonts w:ascii="SimSun" w:hAnsi="SimSun" w:eastAsia="SimSun" w:cs="SimSun"/>
          <w:sz w:val="24"/>
          <w:szCs w:val="24"/>
          <w:spacing w:val="-1"/>
        </w:rPr>
        <w:t>后污染物</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BOD</w:t>
      </w:r>
      <w:r>
        <w:rPr>
          <w:rFonts w:ascii="Times New Roman" w:hAnsi="Times New Roman" w:eastAsia="Times New Roman" w:cs="Times New Roman"/>
          <w:sz w:val="15"/>
          <w:szCs w:val="15"/>
          <w:spacing w:val="-1"/>
          <w:position w:val="-1"/>
        </w:rPr>
        <w:t>5 </w:t>
      </w:r>
      <w:r>
        <w:rPr>
          <w:rFonts w:ascii="SimSun" w:hAnsi="SimSun" w:eastAsia="SimSun" w:cs="SimSun"/>
          <w:sz w:val="24"/>
          <w:szCs w:val="24"/>
          <w:spacing w:val="-1"/>
        </w:rPr>
        <w:t>浓度低于《地表水环境质量标准》（</w:t>
      </w:r>
      <w:r>
        <w:rPr>
          <w:rFonts w:ascii="Times New Roman" w:hAnsi="Times New Roman" w:eastAsia="Times New Roman" w:cs="Times New Roman"/>
          <w:sz w:val="24"/>
          <w:szCs w:val="24"/>
          <w:spacing w:val="-1"/>
        </w:rPr>
        <w:t>HJ3838-2002</w:t>
      </w:r>
      <w:r>
        <w:rPr>
          <w:rFonts w:ascii="SimSun" w:hAnsi="SimSun" w:eastAsia="SimSun" w:cs="SimSun"/>
          <w:sz w:val="24"/>
          <w:szCs w:val="24"/>
          <w:spacing w:val="-1"/>
        </w:rPr>
        <w:t>）</w:t>
      </w:r>
      <w:r>
        <w:rPr>
          <w:rFonts w:ascii="Times New Roman" w:hAnsi="Times New Roman" w:eastAsia="Times New Roman" w:cs="Times New Roman"/>
          <w:sz w:val="24"/>
          <w:szCs w:val="24"/>
          <w:spacing w:val="-1"/>
        </w:rPr>
        <w:t>III </w:t>
      </w:r>
      <w:r>
        <w:rPr>
          <w:rFonts w:ascii="SimSun" w:hAnsi="SimSun" w:eastAsia="SimSun" w:cs="SimSun"/>
          <w:sz w:val="24"/>
          <w:szCs w:val="24"/>
          <w:spacing w:val="-1"/>
        </w:rPr>
        <w:t>类标准。超</w:t>
      </w:r>
      <w:r>
        <w:rPr>
          <w:rFonts w:ascii="SimSun" w:hAnsi="SimSun" w:eastAsia="SimSun" w:cs="SimSun"/>
          <w:sz w:val="24"/>
          <w:szCs w:val="24"/>
        </w:rPr>
        <w:t xml:space="preserve"> </w:t>
      </w:r>
      <w:r>
        <w:rPr>
          <w:rFonts w:ascii="SimSun" w:hAnsi="SimSun" w:eastAsia="SimSun" w:cs="SimSun"/>
          <w:sz w:val="24"/>
          <w:szCs w:val="24"/>
          <w:spacing w:val="3"/>
        </w:rPr>
        <w:t>标污染晕消失；根据对周边分散式饮用水源井的影响预测结果分</w:t>
      </w:r>
      <w:r>
        <w:rPr>
          <w:rFonts w:ascii="SimSun" w:hAnsi="SimSun" w:eastAsia="SimSun" w:cs="SimSun"/>
          <w:sz w:val="24"/>
          <w:szCs w:val="24"/>
          <w:spacing w:val="2"/>
        </w:rPr>
        <w:t>析，预测周期内</w:t>
      </w:r>
      <w:r>
        <w:rPr>
          <w:rFonts w:ascii="SimSun" w:hAnsi="SimSun" w:eastAsia="SimSun" w:cs="SimSun"/>
          <w:sz w:val="24"/>
          <w:szCs w:val="24"/>
        </w:rPr>
        <w:t xml:space="preserve"> </w:t>
      </w:r>
      <w:r>
        <w:rPr>
          <w:rFonts w:ascii="Times New Roman" w:hAnsi="Times New Roman" w:eastAsia="Times New Roman" w:cs="Times New Roman"/>
          <w:sz w:val="24"/>
          <w:szCs w:val="24"/>
          <w:spacing w:val="-1"/>
        </w:rPr>
        <w:t>BOD</w:t>
      </w:r>
      <w:r>
        <w:rPr>
          <w:rFonts w:ascii="Times New Roman" w:hAnsi="Times New Roman" w:eastAsia="Times New Roman" w:cs="Times New Roman"/>
          <w:sz w:val="15"/>
          <w:szCs w:val="15"/>
          <w:spacing w:val="-1"/>
          <w:position w:val="-1"/>
        </w:rPr>
        <w:t>5</w:t>
      </w:r>
      <w:r>
        <w:rPr>
          <w:rFonts w:ascii="Times New Roman" w:hAnsi="Times New Roman" w:eastAsia="Times New Roman" w:cs="Times New Roman"/>
          <w:sz w:val="15"/>
          <w:szCs w:val="15"/>
          <w:spacing w:val="11"/>
          <w:w w:val="102"/>
          <w:position w:val="-1"/>
        </w:rPr>
        <w:t xml:space="preserve"> </w:t>
      </w:r>
      <w:r>
        <w:rPr>
          <w:rFonts w:ascii="SimSun" w:hAnsi="SimSun" w:eastAsia="SimSun" w:cs="SimSun"/>
          <w:sz w:val="24"/>
          <w:szCs w:val="24"/>
          <w:spacing w:val="-1"/>
        </w:rPr>
        <w:t>污染晕不会到达最近的地下水分散式饮</w:t>
      </w:r>
      <w:r>
        <w:rPr>
          <w:rFonts w:ascii="SimSun" w:hAnsi="SimSun" w:eastAsia="SimSun" w:cs="SimSun"/>
          <w:sz w:val="24"/>
          <w:szCs w:val="24"/>
          <w:spacing w:val="-2"/>
        </w:rPr>
        <w:t>用水水源地，不会对分散式饮用水水</w:t>
      </w:r>
      <w:r>
        <w:rPr>
          <w:rFonts w:ascii="SimSun" w:hAnsi="SimSun" w:eastAsia="SimSun" w:cs="SimSun"/>
          <w:sz w:val="24"/>
          <w:szCs w:val="24"/>
        </w:rPr>
        <w:t xml:space="preserve"> </w:t>
      </w:r>
      <w:r>
        <w:rPr>
          <w:rFonts w:ascii="SimSun" w:hAnsi="SimSun" w:eastAsia="SimSun" w:cs="SimSun"/>
          <w:sz w:val="24"/>
          <w:szCs w:val="24"/>
          <w:spacing w:val="3"/>
        </w:rPr>
        <w:t>源地造成影响；污染物的泄漏虽会在泄漏点下游潜水含水层中形</w:t>
      </w:r>
      <w:r>
        <w:rPr>
          <w:rFonts w:ascii="SimSun" w:hAnsi="SimSun" w:eastAsia="SimSun" w:cs="SimSun"/>
          <w:sz w:val="24"/>
          <w:szCs w:val="24"/>
          <w:spacing w:val="2"/>
        </w:rPr>
        <w:t>成一个超标污染</w:t>
      </w:r>
      <w:r>
        <w:rPr>
          <w:rFonts w:ascii="SimSun" w:hAnsi="SimSun" w:eastAsia="SimSun" w:cs="SimSun"/>
          <w:sz w:val="24"/>
          <w:szCs w:val="24"/>
        </w:rPr>
        <w:t xml:space="preserve"> </w:t>
      </w:r>
      <w:r>
        <w:rPr>
          <w:rFonts w:ascii="SimSun" w:hAnsi="SimSun" w:eastAsia="SimSun" w:cs="SimSun"/>
          <w:sz w:val="24"/>
          <w:szCs w:val="24"/>
          <w:spacing w:val="3"/>
        </w:rPr>
        <w:t>晕，但超标污染晕可在地下水自然稀释净化作用下消失，不会</w:t>
      </w:r>
      <w:r>
        <w:rPr>
          <w:rFonts w:ascii="SimSun" w:hAnsi="SimSun" w:eastAsia="SimSun" w:cs="SimSun"/>
          <w:sz w:val="24"/>
          <w:szCs w:val="24"/>
          <w:spacing w:val="2"/>
        </w:rPr>
        <w:t>对潜水含水层造成</w:t>
      </w:r>
      <w:r>
        <w:rPr>
          <w:rFonts w:ascii="SimSun" w:hAnsi="SimSun" w:eastAsia="SimSun" w:cs="SimSun"/>
          <w:sz w:val="24"/>
          <w:szCs w:val="24"/>
        </w:rPr>
        <w:t xml:space="preserve"> </w:t>
      </w:r>
      <w:r>
        <w:rPr>
          <w:rFonts w:ascii="SimSun" w:hAnsi="SimSun" w:eastAsia="SimSun" w:cs="SimSun"/>
          <w:sz w:val="24"/>
          <w:szCs w:val="24"/>
          <w:spacing w:val="-1"/>
        </w:rPr>
        <w:t>持续污染，满足导则可行结论要求。</w:t>
      </w:r>
    </w:p>
    <w:p>
      <w:pPr>
        <w:ind w:left="153" w:right="140" w:firstLine="480"/>
        <w:spacing w:before="1" w:line="359" w:lineRule="auto"/>
        <w:jc w:val="both"/>
        <w:rPr>
          <w:rFonts w:ascii="SimSun" w:hAnsi="SimSun" w:eastAsia="SimSun" w:cs="SimSun"/>
          <w:sz w:val="24"/>
          <w:szCs w:val="24"/>
        </w:rPr>
      </w:pPr>
      <w:r>
        <w:rPr>
          <w:rFonts w:ascii="SimSun" w:hAnsi="SimSun" w:eastAsia="SimSun" w:cs="SimSun"/>
          <w:sz w:val="24"/>
          <w:szCs w:val="24"/>
          <w:spacing w:val="3"/>
        </w:rPr>
        <w:t>综上，发生泄漏事故后，若能及时采取应急处置措施，在较</w:t>
      </w:r>
      <w:r>
        <w:rPr>
          <w:rFonts w:ascii="SimSun" w:hAnsi="SimSun" w:eastAsia="SimSun" w:cs="SimSun"/>
          <w:sz w:val="24"/>
          <w:szCs w:val="24"/>
          <w:spacing w:val="2"/>
        </w:rPr>
        <w:t>短的时间内切断</w:t>
      </w:r>
      <w:r>
        <w:rPr>
          <w:rFonts w:ascii="SimSun" w:hAnsi="SimSun" w:eastAsia="SimSun" w:cs="SimSun"/>
          <w:sz w:val="24"/>
          <w:szCs w:val="24"/>
        </w:rPr>
        <w:t xml:space="preserve"> </w:t>
      </w:r>
      <w:r>
        <w:rPr>
          <w:rFonts w:ascii="SimSun" w:hAnsi="SimSun" w:eastAsia="SimSun" w:cs="SimSun"/>
          <w:sz w:val="24"/>
          <w:szCs w:val="24"/>
          <w:spacing w:val="3"/>
        </w:rPr>
        <w:t>污染物下渗通道，下渗引起的污染晕不会对含水层造</w:t>
      </w:r>
      <w:r>
        <w:rPr>
          <w:rFonts w:ascii="SimSun" w:hAnsi="SimSun" w:eastAsia="SimSun" w:cs="SimSun"/>
          <w:sz w:val="24"/>
          <w:szCs w:val="24"/>
          <w:spacing w:val="2"/>
        </w:rPr>
        <w:t>成持续的污染，不会对周边</w:t>
      </w:r>
      <w:r>
        <w:rPr>
          <w:rFonts w:ascii="SimSun" w:hAnsi="SimSun" w:eastAsia="SimSun" w:cs="SimSun"/>
          <w:sz w:val="24"/>
          <w:szCs w:val="24"/>
        </w:rPr>
        <w:t xml:space="preserve"> </w:t>
      </w:r>
      <w:r>
        <w:rPr>
          <w:rFonts w:ascii="SimSun" w:hAnsi="SimSun" w:eastAsia="SimSun" w:cs="SimSun"/>
          <w:sz w:val="24"/>
          <w:szCs w:val="24"/>
          <w:spacing w:val="-1"/>
        </w:rPr>
        <w:t>的分散式饮用水源地造成污染，对地下水影响较小。</w:t>
      </w:r>
    </w:p>
    <w:p>
      <w:pPr>
        <w:ind w:left="643"/>
        <w:spacing w:line="218" w:lineRule="auto"/>
        <w:rPr>
          <w:rFonts w:ascii="SimSun" w:hAnsi="SimSun" w:eastAsia="SimSun" w:cs="SimSun"/>
          <w:sz w:val="24"/>
          <w:szCs w:val="24"/>
        </w:rPr>
      </w:pPr>
      <w:r>
        <w:rPr>
          <w:rFonts w:ascii="SimSun" w:hAnsi="SimSun" w:eastAsia="SimSun" w:cs="SimSun"/>
          <w:sz w:val="24"/>
          <w:szCs w:val="24"/>
          <w:b/>
          <w:bCs/>
          <w:spacing w:val="-5"/>
        </w:rPr>
        <w:t>（</w:t>
      </w:r>
      <w:r>
        <w:rPr>
          <w:rFonts w:ascii="Times New Roman" w:hAnsi="Times New Roman" w:eastAsia="Times New Roman" w:cs="Times New Roman"/>
          <w:sz w:val="24"/>
          <w:szCs w:val="24"/>
          <w:b/>
          <w:bCs/>
          <w:spacing w:val="-5"/>
        </w:rPr>
        <w:t>2</w:t>
      </w:r>
      <w:r>
        <w:rPr>
          <w:rFonts w:ascii="SimSun" w:hAnsi="SimSun" w:eastAsia="SimSun" w:cs="SimSun"/>
          <w:sz w:val="24"/>
          <w:szCs w:val="24"/>
          <w:b/>
          <w:bCs/>
          <w:spacing w:val="-5"/>
        </w:rPr>
        <w:t>）氨氮预测结果</w:t>
      </w:r>
    </w:p>
    <w:p>
      <w:pPr>
        <w:ind w:left="1326"/>
        <w:spacing w:before="148"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6"/>
        </w:rPr>
        <w:t xml:space="preserve"> </w:t>
      </w:r>
      <w:r>
        <w:rPr>
          <w:rFonts w:ascii="Times New Roman" w:hAnsi="Times New Roman" w:eastAsia="Times New Roman" w:cs="Times New Roman"/>
          <w:sz w:val="24"/>
          <w:szCs w:val="24"/>
          <w:b/>
          <w:bCs/>
          <w:spacing w:val="-2"/>
        </w:rPr>
        <w:t>5.3-6      </w:t>
      </w:r>
      <w:r>
        <w:rPr>
          <w:rFonts w:ascii="SimSun" w:hAnsi="SimSun" w:eastAsia="SimSun" w:cs="SimSun"/>
          <w:sz w:val="24"/>
          <w:szCs w:val="24"/>
          <w:b/>
          <w:bCs/>
          <w:spacing w:val="-2"/>
        </w:rPr>
        <w:t>非正常状况</w:t>
      </w:r>
      <w:r>
        <w:rPr>
          <w:rFonts w:ascii="SimSun" w:hAnsi="SimSun" w:eastAsia="SimSun" w:cs="SimSun"/>
          <w:sz w:val="24"/>
          <w:szCs w:val="24"/>
          <w:spacing w:val="-51"/>
        </w:rPr>
        <w:t xml:space="preserve"> </w:t>
      </w:r>
      <w:r>
        <w:rPr>
          <w:rFonts w:ascii="Times New Roman" w:hAnsi="Times New Roman" w:eastAsia="Times New Roman" w:cs="Times New Roman"/>
          <w:sz w:val="24"/>
          <w:szCs w:val="24"/>
          <w:b/>
          <w:bCs/>
          <w:spacing w:val="-2"/>
        </w:rPr>
        <w:t>TS </w:t>
      </w:r>
      <w:r>
        <w:rPr>
          <w:rFonts w:ascii="SimSun" w:hAnsi="SimSun" w:eastAsia="SimSun" w:cs="SimSun"/>
          <w:sz w:val="24"/>
          <w:szCs w:val="24"/>
          <w:b/>
          <w:bCs/>
          <w:spacing w:val="-2"/>
        </w:rPr>
        <w:t>调节池渗漏氨氮影响情况一览表</w:t>
      </w:r>
    </w:p>
    <w:tbl>
      <w:tblPr>
        <w:tblStyle w:val="TableNormal"/>
        <w:tblW w:w="87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42"/>
        <w:gridCol w:w="2410"/>
        <w:gridCol w:w="2514"/>
        <w:gridCol w:w="2417"/>
      </w:tblGrid>
      <w:tr>
        <w:trPr>
          <w:trHeight w:val="405" w:hRule="atLeast"/>
        </w:trPr>
        <w:tc>
          <w:tcPr>
            <w:tcW w:w="1442" w:type="dxa"/>
            <w:vAlign w:val="top"/>
          </w:tcPr>
          <w:p>
            <w:pPr>
              <w:pStyle w:val="TableText"/>
              <w:ind w:left="527"/>
              <w:spacing w:before="98" w:line="230" w:lineRule="auto"/>
              <w:rPr/>
            </w:pPr>
            <w:r>
              <w:rPr>
                <w:spacing w:val="-1"/>
              </w:rPr>
              <w:t>时间</w:t>
            </w:r>
          </w:p>
        </w:tc>
        <w:tc>
          <w:tcPr>
            <w:tcW w:w="2410" w:type="dxa"/>
            <w:vAlign w:val="top"/>
          </w:tcPr>
          <w:p>
            <w:pPr>
              <w:pStyle w:val="TableText"/>
              <w:ind w:left="147"/>
              <w:spacing w:before="99" w:line="228" w:lineRule="auto"/>
              <w:rPr/>
            </w:pPr>
            <w:r>
              <w:rPr>
                <w:spacing w:val="7"/>
              </w:rPr>
              <w:t>超标污染晕面积（</w:t>
            </w:r>
            <w:r>
              <w:rPr>
                <w:rFonts w:ascii="Times New Roman" w:hAnsi="Times New Roman" w:eastAsia="Times New Roman" w:cs="Times New Roman"/>
                <w:spacing w:val="7"/>
              </w:rPr>
              <w:t>m</w:t>
            </w:r>
            <w:r>
              <w:rPr>
                <w:rFonts w:ascii="Times New Roman" w:hAnsi="Times New Roman" w:eastAsia="Times New Roman" w:cs="Times New Roman"/>
                <w:sz w:val="13"/>
                <w:szCs w:val="13"/>
                <w:spacing w:val="7"/>
                <w:position w:val="6"/>
              </w:rPr>
              <w:t>2</w:t>
            </w:r>
            <w:r>
              <w:rPr>
                <w:spacing w:val="7"/>
              </w:rPr>
              <w:t>）</w:t>
            </w:r>
          </w:p>
        </w:tc>
        <w:tc>
          <w:tcPr>
            <w:tcW w:w="2514" w:type="dxa"/>
            <w:vAlign w:val="top"/>
          </w:tcPr>
          <w:p>
            <w:pPr>
              <w:pStyle w:val="TableText"/>
              <w:ind w:left="258"/>
              <w:spacing w:before="99" w:line="228" w:lineRule="auto"/>
              <w:rPr/>
            </w:pPr>
            <w:r>
              <w:rPr>
                <w:spacing w:val="5"/>
              </w:rPr>
              <w:t>向下游迁移距离（</w:t>
            </w:r>
            <w:r>
              <w:rPr>
                <w:rFonts w:ascii="Times New Roman" w:hAnsi="Times New Roman" w:eastAsia="Times New Roman" w:cs="Times New Roman"/>
                <w:spacing w:val="5"/>
              </w:rPr>
              <w:t>m</w:t>
            </w:r>
            <w:r>
              <w:rPr>
                <w:spacing w:val="5"/>
              </w:rPr>
              <w:t>）</w:t>
            </w:r>
          </w:p>
        </w:tc>
        <w:tc>
          <w:tcPr>
            <w:tcW w:w="2417" w:type="dxa"/>
            <w:vAlign w:val="top"/>
          </w:tcPr>
          <w:p>
            <w:pPr>
              <w:pStyle w:val="TableText"/>
              <w:ind w:left="358"/>
              <w:spacing w:before="99" w:line="221" w:lineRule="auto"/>
              <w:rPr/>
            </w:pPr>
            <w:r>
              <w:rPr>
                <w:spacing w:val="7"/>
              </w:rPr>
              <w:t>最大浓度（</w:t>
            </w:r>
            <w:r>
              <w:rPr>
                <w:rFonts w:ascii="Times New Roman" w:hAnsi="Times New Roman" w:eastAsia="Times New Roman" w:cs="Times New Roman"/>
              </w:rPr>
              <w:t>mg</w:t>
            </w:r>
            <w:r>
              <w:rPr>
                <w:rFonts w:ascii="Times New Roman" w:hAnsi="Times New Roman" w:eastAsia="Times New Roman" w:cs="Times New Roman"/>
                <w:spacing w:val="7"/>
              </w:rPr>
              <w:t>/L</w:t>
            </w:r>
            <w:r>
              <w:rPr>
                <w:spacing w:val="7"/>
              </w:rPr>
              <w:t>）</w:t>
            </w:r>
          </w:p>
        </w:tc>
      </w:tr>
      <w:tr>
        <w:trPr>
          <w:trHeight w:val="401" w:hRule="atLeast"/>
        </w:trPr>
        <w:tc>
          <w:tcPr>
            <w:tcW w:w="1442" w:type="dxa"/>
            <w:vAlign w:val="top"/>
          </w:tcPr>
          <w:p>
            <w:pPr>
              <w:ind w:left="533"/>
              <w:spacing w:before="126"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100d</w:t>
            </w:r>
          </w:p>
        </w:tc>
        <w:tc>
          <w:tcPr>
            <w:tcW w:w="2410" w:type="dxa"/>
            <w:vAlign w:val="top"/>
          </w:tcPr>
          <w:p>
            <w:pPr>
              <w:ind w:left="868"/>
              <w:spacing w:before="13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3705.22</w:t>
            </w:r>
          </w:p>
        </w:tc>
        <w:tc>
          <w:tcPr>
            <w:tcW w:w="2514" w:type="dxa"/>
            <w:vAlign w:val="top"/>
          </w:tcPr>
          <w:p>
            <w:pPr>
              <w:ind w:left="1021"/>
              <w:spacing w:before="13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47.93</w:t>
            </w:r>
          </w:p>
        </w:tc>
        <w:tc>
          <w:tcPr>
            <w:tcW w:w="2417" w:type="dxa"/>
            <w:vAlign w:val="top"/>
          </w:tcPr>
          <w:p>
            <w:pPr>
              <w:ind w:left="1026"/>
              <w:spacing w:before="13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2.87</w:t>
            </w:r>
          </w:p>
        </w:tc>
      </w:tr>
      <w:tr>
        <w:trPr>
          <w:trHeight w:val="401" w:hRule="atLeast"/>
        </w:trPr>
        <w:tc>
          <w:tcPr>
            <w:tcW w:w="1442" w:type="dxa"/>
            <w:vAlign w:val="top"/>
          </w:tcPr>
          <w:p>
            <w:pPr>
              <w:ind w:left="519"/>
              <w:spacing w:before="12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500d</w:t>
            </w:r>
          </w:p>
        </w:tc>
        <w:tc>
          <w:tcPr>
            <w:tcW w:w="2410" w:type="dxa"/>
            <w:vAlign w:val="top"/>
          </w:tcPr>
          <w:p>
            <w:pPr>
              <w:ind w:left="863"/>
              <w:spacing w:before="13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4285.56</w:t>
            </w:r>
          </w:p>
        </w:tc>
        <w:tc>
          <w:tcPr>
            <w:tcW w:w="2514" w:type="dxa"/>
            <w:vAlign w:val="top"/>
          </w:tcPr>
          <w:p>
            <w:pPr>
              <w:ind w:left="989"/>
              <w:spacing w:before="13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112.03</w:t>
            </w:r>
          </w:p>
        </w:tc>
        <w:tc>
          <w:tcPr>
            <w:tcW w:w="2417" w:type="dxa"/>
            <w:vAlign w:val="top"/>
          </w:tcPr>
          <w:p>
            <w:pPr>
              <w:ind w:left="1029"/>
              <w:spacing w:before="13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0.92</w:t>
            </w:r>
          </w:p>
        </w:tc>
      </w:tr>
      <w:tr>
        <w:trPr>
          <w:trHeight w:val="401" w:hRule="atLeast"/>
        </w:trPr>
        <w:tc>
          <w:tcPr>
            <w:tcW w:w="1442" w:type="dxa"/>
            <w:vAlign w:val="top"/>
          </w:tcPr>
          <w:p>
            <w:pPr>
              <w:ind w:left="481"/>
              <w:spacing w:before="12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1000d</w:t>
            </w:r>
          </w:p>
        </w:tc>
        <w:tc>
          <w:tcPr>
            <w:tcW w:w="2410" w:type="dxa"/>
            <w:vAlign w:val="top"/>
          </w:tcPr>
          <w:p>
            <w:pPr>
              <w:ind w:left="913"/>
              <w:spacing w:before="13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413.88</w:t>
            </w:r>
          </w:p>
        </w:tc>
        <w:tc>
          <w:tcPr>
            <w:tcW w:w="2514" w:type="dxa"/>
            <w:vAlign w:val="top"/>
          </w:tcPr>
          <w:p>
            <w:pPr>
              <w:ind w:left="989"/>
              <w:spacing w:before="13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161.26</w:t>
            </w:r>
          </w:p>
        </w:tc>
        <w:tc>
          <w:tcPr>
            <w:tcW w:w="2417" w:type="dxa"/>
            <w:vAlign w:val="top"/>
          </w:tcPr>
          <w:p>
            <w:pPr>
              <w:ind w:left="1029"/>
              <w:spacing w:before="13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0.51</w:t>
            </w:r>
          </w:p>
        </w:tc>
      </w:tr>
      <w:tr>
        <w:trPr>
          <w:trHeight w:val="406" w:hRule="atLeast"/>
        </w:trPr>
        <w:tc>
          <w:tcPr>
            <w:tcW w:w="1442" w:type="dxa"/>
            <w:vAlign w:val="top"/>
          </w:tcPr>
          <w:p>
            <w:pPr>
              <w:ind w:left="466"/>
              <w:spacing w:before="130"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5000d</w:t>
            </w:r>
          </w:p>
        </w:tc>
        <w:tc>
          <w:tcPr>
            <w:tcW w:w="2410" w:type="dxa"/>
            <w:vAlign w:val="top"/>
          </w:tcPr>
          <w:p>
            <w:pPr>
              <w:ind w:left="1173"/>
              <w:spacing w:before="222"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2514" w:type="dxa"/>
            <w:vAlign w:val="top"/>
          </w:tcPr>
          <w:p>
            <w:pPr>
              <w:ind w:left="1228"/>
              <w:spacing w:before="222" w:line="9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position w:val="-2"/>
              </w:rPr>
              <w:t>-</w:t>
            </w:r>
          </w:p>
        </w:tc>
        <w:tc>
          <w:tcPr>
            <w:tcW w:w="2417" w:type="dxa"/>
            <w:vAlign w:val="top"/>
          </w:tcPr>
          <w:p>
            <w:pPr>
              <w:ind w:left="976"/>
              <w:spacing w:before="13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0.028</w:t>
            </w:r>
          </w:p>
        </w:tc>
      </w:tr>
    </w:tbl>
    <w:p>
      <w:pPr>
        <w:pStyle w:val="BodyText"/>
        <w:rPr/>
      </w:pPr>
      <w:r/>
    </w:p>
    <w:p>
      <w:pPr>
        <w:pStyle w:val="BodyText"/>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ind w:left="149"/>
        <w:spacing w:before="62" w:line="227" w:lineRule="auto"/>
        <w:rPr>
          <w:rFonts w:ascii="SimSun" w:hAnsi="SimSun" w:eastAsia="SimSun" w:cs="SimSun"/>
          <w:sz w:val="19"/>
          <w:szCs w:val="19"/>
        </w:rPr>
      </w:pPr>
      <w:r>
        <w:pict>
          <v:shape id="_x0000_s966" style="position:absolute;margin-left:166.42pt;margin-top:2.09588pt;mso-position-vertical-relative:text;mso-position-horizontal-relative:text;width:61pt;height:13.75pt;z-index:25210368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203</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263"/>
          <w:footerReference w:type="default" r:id="rId3"/>
          <w:pgSz w:w="11907" w:h="16840"/>
          <w:pgMar w:top="1567" w:right="1559" w:bottom="400" w:left="1559" w:header="1221" w:footer="0" w:gutter="0"/>
        </w:sectPr>
        <w:rPr>
          <w:rFonts w:ascii="SimSun" w:hAnsi="SimSun" w:eastAsia="SimSun" w:cs="SimSun"/>
          <w:sz w:val="19"/>
          <w:szCs w:val="19"/>
        </w:rPr>
      </w:pPr>
    </w:p>
    <w:p>
      <w:pPr>
        <w:spacing w:before="133" w:line="7546" w:lineRule="exact"/>
        <w:rPr/>
      </w:pPr>
      <w:r>
        <w:pict>
          <v:shape id="_x0000_s968" style="position:absolute;margin-left:85.05pt;margin-top:78.87pt;mso-position-vertical-relative:page;mso-position-horizontal-relative:page;width:425.25pt;height:0.75pt;z-index:252106752;" o:allowincell="f" fillcolor="#000000" filled="true" stroked="false" coordsize="8505,15" coordorigin="0,0" path="m,l8505,0l8505,14l0,14l0,0xe"/>
        </w:pict>
      </w:r>
      <w:r>
        <w:rPr>
          <w:position w:val="-150"/>
        </w:rPr>
        <w:drawing>
          <wp:inline distT="0" distB="0" distL="0" distR="0">
            <wp:extent cx="5384291" cy="4791456"/>
            <wp:effectExtent l="0" t="0" r="0" b="0"/>
            <wp:docPr id="164" name="IM 164"/>
            <wp:cNvGraphicFramePr/>
            <a:graphic>
              <a:graphicData uri="http://schemas.openxmlformats.org/drawingml/2006/picture">
                <pic:pic>
                  <pic:nvPicPr>
                    <pic:cNvPr id="164" name="IM 164"/>
                    <pic:cNvPicPr/>
                  </pic:nvPicPr>
                  <pic:blipFill>
                    <a:blip r:embed="rId277"/>
                    <a:stretch>
                      <a:fillRect/>
                    </a:stretch>
                  </pic:blipFill>
                  <pic:spPr>
                    <a:xfrm rot="0">
                      <a:off x="0" y="0"/>
                      <a:ext cx="5384291" cy="4791456"/>
                    </a:xfrm>
                    <a:prstGeom prst="rect">
                      <a:avLst/>
                    </a:prstGeom>
                  </pic:spPr>
                </pic:pic>
              </a:graphicData>
            </a:graphic>
          </wp:inline>
        </w:drawing>
      </w:r>
    </w:p>
    <w:p>
      <w:pPr>
        <w:ind w:left="1083"/>
        <w:spacing w:before="48" w:line="219" w:lineRule="auto"/>
        <w:rPr>
          <w:rFonts w:ascii="SimSun" w:hAnsi="SimSun" w:eastAsia="SimSun" w:cs="SimSun"/>
          <w:sz w:val="24"/>
          <w:szCs w:val="24"/>
        </w:rPr>
      </w:pPr>
      <w:r>
        <w:rPr>
          <w:rFonts w:ascii="SimSun" w:hAnsi="SimSun" w:eastAsia="SimSun" w:cs="SimSun"/>
          <w:sz w:val="24"/>
          <w:szCs w:val="24"/>
          <w:spacing w:val="-2"/>
        </w:rPr>
        <w:t>持续渗漏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100d </w:t>
      </w:r>
      <w:r>
        <w:rPr>
          <w:rFonts w:ascii="SimSun" w:hAnsi="SimSun" w:eastAsia="SimSun" w:cs="SimSun"/>
          <w:sz w:val="24"/>
          <w:szCs w:val="24"/>
          <w:spacing w:val="-2"/>
        </w:rPr>
        <w:t>后停止渗漏，第</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100 </w:t>
      </w:r>
      <w:r>
        <w:rPr>
          <w:rFonts w:ascii="SimSun" w:hAnsi="SimSun" w:eastAsia="SimSun" w:cs="SimSun"/>
          <w:sz w:val="24"/>
          <w:szCs w:val="24"/>
          <w:spacing w:val="-2"/>
        </w:rPr>
        <w:t>天氨氮</w:t>
      </w:r>
      <w:r>
        <w:rPr>
          <w:rFonts w:ascii="SimSun" w:hAnsi="SimSun" w:eastAsia="SimSun" w:cs="SimSun"/>
          <w:sz w:val="24"/>
          <w:szCs w:val="24"/>
          <w:spacing w:val="-3"/>
        </w:rPr>
        <w:t>污染晕扩散平面图</w:t>
      </w:r>
    </w:p>
    <w:p>
      <w:pPr>
        <w:spacing w:line="219" w:lineRule="auto"/>
        <w:sectPr>
          <w:headerReference w:type="default" r:id="rId2"/>
          <w:footerReference w:type="default" r:id="rId276"/>
          <w:pgSz w:w="11907" w:h="16840"/>
          <w:pgMar w:top="1567" w:right="1700" w:bottom="1921" w:left="1701" w:header="1221" w:footer="1247" w:gutter="0"/>
        </w:sectPr>
        <w:rPr>
          <w:rFonts w:ascii="SimSun" w:hAnsi="SimSun" w:eastAsia="SimSun" w:cs="SimSun"/>
          <w:sz w:val="24"/>
          <w:szCs w:val="24"/>
        </w:rPr>
      </w:pPr>
    </w:p>
    <w:p>
      <w:pPr>
        <w:spacing w:before="150" w:line="7666" w:lineRule="exact"/>
        <w:rPr/>
      </w:pPr>
      <w:r>
        <w:pict>
          <v:shape id="_x0000_s970" style="position:absolute;margin-left:85.05pt;margin-top:79.11pt;mso-position-vertical-relative:page;mso-position-horizontal-relative:page;width:425.25pt;height:0.75pt;z-index:252110848;" o:allowincell="f" fillcolor="#000000" filled="true" stroked="false" coordsize="8505,15" coordorigin="0,0" path="m,l8505,0l8505,14l0,14l0,0xe"/>
        </w:pict>
      </w:r>
      <w:r>
        <w:rPr>
          <w:position w:val="-153"/>
        </w:rPr>
        <w:drawing>
          <wp:inline distT="0" distB="0" distL="0" distR="0">
            <wp:extent cx="5362955" cy="4867655"/>
            <wp:effectExtent l="0" t="0" r="0" b="0"/>
            <wp:docPr id="166" name="IM 166"/>
            <wp:cNvGraphicFramePr/>
            <a:graphic>
              <a:graphicData uri="http://schemas.openxmlformats.org/drawingml/2006/picture">
                <pic:pic>
                  <pic:nvPicPr>
                    <pic:cNvPr id="166" name="IM 166"/>
                    <pic:cNvPicPr/>
                  </pic:nvPicPr>
                  <pic:blipFill>
                    <a:blip r:embed="rId278"/>
                    <a:stretch>
                      <a:fillRect/>
                    </a:stretch>
                  </pic:blipFill>
                  <pic:spPr>
                    <a:xfrm rot="0">
                      <a:off x="0" y="0"/>
                      <a:ext cx="5362955" cy="4867655"/>
                    </a:xfrm>
                    <a:prstGeom prst="rect">
                      <a:avLst/>
                    </a:prstGeom>
                  </pic:spPr>
                </pic:pic>
              </a:graphicData>
            </a:graphic>
          </wp:inline>
        </w:drawing>
      </w:r>
    </w:p>
    <w:p>
      <w:pPr>
        <w:ind w:left="1083"/>
        <w:spacing w:before="51" w:line="219" w:lineRule="auto"/>
        <w:rPr>
          <w:rFonts w:ascii="SimSun" w:hAnsi="SimSun" w:eastAsia="SimSun" w:cs="SimSun"/>
          <w:sz w:val="24"/>
          <w:szCs w:val="24"/>
        </w:rPr>
      </w:pPr>
      <w:r>
        <w:rPr>
          <w:rFonts w:ascii="SimSun" w:hAnsi="SimSun" w:eastAsia="SimSun" w:cs="SimSun"/>
          <w:sz w:val="24"/>
          <w:szCs w:val="24"/>
          <w:spacing w:val="-2"/>
        </w:rPr>
        <w:t>持续渗漏</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2"/>
        </w:rPr>
        <w:t>100d </w:t>
      </w:r>
      <w:r>
        <w:rPr>
          <w:rFonts w:ascii="SimSun" w:hAnsi="SimSun" w:eastAsia="SimSun" w:cs="SimSun"/>
          <w:sz w:val="24"/>
          <w:szCs w:val="24"/>
          <w:spacing w:val="-2"/>
        </w:rPr>
        <w:t>后停止渗漏，第</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500 </w:t>
      </w:r>
      <w:r>
        <w:rPr>
          <w:rFonts w:ascii="SimSun" w:hAnsi="SimSun" w:eastAsia="SimSun" w:cs="SimSun"/>
          <w:sz w:val="24"/>
          <w:szCs w:val="24"/>
          <w:spacing w:val="-2"/>
        </w:rPr>
        <w:t>天氨氮污染晕扩散平面图</w:t>
      </w:r>
    </w:p>
    <w:p>
      <w:pPr>
        <w:pStyle w:val="BodyText"/>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ind w:left="7"/>
        <w:spacing w:before="62" w:line="227" w:lineRule="auto"/>
        <w:rPr>
          <w:rFonts w:ascii="SimSun" w:hAnsi="SimSun" w:eastAsia="SimSun" w:cs="SimSun"/>
          <w:sz w:val="19"/>
          <w:szCs w:val="19"/>
        </w:rPr>
      </w:pPr>
      <w:r>
        <w:pict>
          <v:shape id="_x0000_s972" style="position:absolute;margin-left:159.33pt;margin-top:2.12089pt;mso-position-vertical-relative:text;mso-position-horizontal-relative:text;width:61pt;height:13.75pt;z-index:25210982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205</w:t>
                  </w:r>
                </w:p>
              </w:txbxContent>
            </v:textbox>
          </v:shape>
        </w:pict>
      </w:r>
      <w:r>
        <w:rPr>
          <w:rFonts w:ascii="SimSun" w:hAnsi="SimSun" w:eastAsia="SimSun" w:cs="SimSun"/>
          <w:sz w:val="19"/>
          <w:szCs w:val="19"/>
          <w:spacing w:val="9"/>
        </w:rPr>
        <w:t>锡林郭勒盟中安环境技术咨询有限责</w:t>
      </w:r>
    </w:p>
    <w:p>
      <w:pPr>
        <w:spacing w:line="227" w:lineRule="auto"/>
        <w:sectPr>
          <w:footerReference w:type="default" r:id="rId3"/>
          <w:pgSz w:w="11907" w:h="16840"/>
          <w:pgMar w:top="1567" w:right="1700" w:bottom="400" w:left="1701" w:header="1221" w:footer="0" w:gutter="0"/>
        </w:sectPr>
        <w:rPr>
          <w:rFonts w:ascii="SimSun" w:hAnsi="SimSun" w:eastAsia="SimSun" w:cs="SimSun"/>
          <w:sz w:val="19"/>
          <w:szCs w:val="19"/>
        </w:rPr>
      </w:pPr>
    </w:p>
    <w:p>
      <w:pPr>
        <w:spacing w:before="133" w:line="7560" w:lineRule="exact"/>
        <w:rPr/>
      </w:pPr>
      <w:r>
        <w:pict>
          <v:shape id="_x0000_s974" style="position:absolute;margin-left:85.05pt;margin-top:78.87pt;mso-position-vertical-relative:page;mso-position-horizontal-relative:page;width:425.25pt;height:0.75pt;z-index:252112896;" o:allowincell="f" fillcolor="#000000" filled="true" stroked="false" coordsize="8505,15" coordorigin="0,0" path="m,l8505,0l8505,14l0,14l0,0xe"/>
        </w:pict>
      </w:r>
      <w:r>
        <w:rPr>
          <w:position w:val="-151"/>
        </w:rPr>
        <w:drawing>
          <wp:inline distT="0" distB="0" distL="0" distR="0">
            <wp:extent cx="5410200" cy="4800600"/>
            <wp:effectExtent l="0" t="0" r="0" b="0"/>
            <wp:docPr id="168" name="IM 168"/>
            <wp:cNvGraphicFramePr/>
            <a:graphic>
              <a:graphicData uri="http://schemas.openxmlformats.org/drawingml/2006/picture">
                <pic:pic>
                  <pic:nvPicPr>
                    <pic:cNvPr id="168" name="IM 168"/>
                    <pic:cNvPicPr/>
                  </pic:nvPicPr>
                  <pic:blipFill>
                    <a:blip r:embed="rId280"/>
                    <a:stretch>
                      <a:fillRect/>
                    </a:stretch>
                  </pic:blipFill>
                  <pic:spPr>
                    <a:xfrm rot="0">
                      <a:off x="0" y="0"/>
                      <a:ext cx="5410200" cy="4800600"/>
                    </a:xfrm>
                    <a:prstGeom prst="rect">
                      <a:avLst/>
                    </a:prstGeom>
                  </pic:spPr>
                </pic:pic>
              </a:graphicData>
            </a:graphic>
          </wp:inline>
        </w:drawing>
      </w:r>
    </w:p>
    <w:p>
      <w:pPr>
        <w:ind w:left="1023"/>
        <w:spacing w:before="192" w:line="219" w:lineRule="auto"/>
        <w:rPr>
          <w:rFonts w:ascii="SimSun" w:hAnsi="SimSun" w:eastAsia="SimSun" w:cs="SimSun"/>
          <w:sz w:val="24"/>
          <w:szCs w:val="24"/>
        </w:rPr>
      </w:pPr>
      <w:r>
        <w:rPr>
          <w:rFonts w:ascii="SimSun" w:hAnsi="SimSun" w:eastAsia="SimSun" w:cs="SimSun"/>
          <w:sz w:val="24"/>
          <w:szCs w:val="24"/>
          <w:spacing w:val="-2"/>
        </w:rPr>
        <w:t>持续渗漏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100d </w:t>
      </w:r>
      <w:r>
        <w:rPr>
          <w:rFonts w:ascii="SimSun" w:hAnsi="SimSun" w:eastAsia="SimSun" w:cs="SimSun"/>
          <w:sz w:val="24"/>
          <w:szCs w:val="24"/>
          <w:spacing w:val="-2"/>
        </w:rPr>
        <w:t>后停止渗漏，第</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1000 </w:t>
      </w:r>
      <w:r>
        <w:rPr>
          <w:rFonts w:ascii="SimSun" w:hAnsi="SimSun" w:eastAsia="SimSun" w:cs="SimSun"/>
          <w:sz w:val="24"/>
          <w:szCs w:val="24"/>
          <w:spacing w:val="-2"/>
        </w:rPr>
        <w:t>天氨氮污染</w:t>
      </w:r>
      <w:r>
        <w:rPr>
          <w:rFonts w:ascii="SimSun" w:hAnsi="SimSun" w:eastAsia="SimSun" w:cs="SimSun"/>
          <w:sz w:val="24"/>
          <w:szCs w:val="24"/>
          <w:spacing w:val="-3"/>
        </w:rPr>
        <w:t>晕扩散平面图</w:t>
      </w:r>
    </w:p>
    <w:p>
      <w:pPr>
        <w:ind w:left="909"/>
        <w:spacing w:before="216"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35"/>
        </w:rPr>
        <w:t xml:space="preserve"> </w:t>
      </w:r>
      <w:r>
        <w:rPr>
          <w:rFonts w:ascii="Times New Roman" w:hAnsi="Times New Roman" w:eastAsia="Times New Roman" w:cs="Times New Roman"/>
          <w:sz w:val="24"/>
          <w:szCs w:val="24"/>
          <w:b/>
          <w:bCs/>
          <w:spacing w:val="-3"/>
        </w:rPr>
        <w:t>5.3-13      </w:t>
      </w:r>
      <w:r>
        <w:rPr>
          <w:rFonts w:ascii="SimSun" w:hAnsi="SimSun" w:eastAsia="SimSun" w:cs="SimSun"/>
          <w:sz w:val="24"/>
          <w:szCs w:val="24"/>
          <w:b/>
          <w:bCs/>
          <w:spacing w:val="-3"/>
        </w:rPr>
        <w:t>非正常状况</w:t>
      </w:r>
      <w:r>
        <w:rPr>
          <w:rFonts w:ascii="SimSun" w:hAnsi="SimSun" w:eastAsia="SimSun" w:cs="SimSun"/>
          <w:sz w:val="24"/>
          <w:szCs w:val="24"/>
          <w:spacing w:val="-51"/>
        </w:rPr>
        <w:t xml:space="preserve"> </w:t>
      </w:r>
      <w:r>
        <w:rPr>
          <w:rFonts w:ascii="Times New Roman" w:hAnsi="Times New Roman" w:eastAsia="Times New Roman" w:cs="Times New Roman"/>
          <w:sz w:val="24"/>
          <w:szCs w:val="24"/>
          <w:b/>
          <w:bCs/>
          <w:spacing w:val="-3"/>
        </w:rPr>
        <w:t>TS </w:t>
      </w:r>
      <w:r>
        <w:rPr>
          <w:rFonts w:ascii="SimSun" w:hAnsi="SimSun" w:eastAsia="SimSun" w:cs="SimSun"/>
          <w:sz w:val="24"/>
          <w:szCs w:val="24"/>
          <w:b/>
          <w:bCs/>
          <w:spacing w:val="-3"/>
        </w:rPr>
        <w:t>调节池渗漏</w:t>
      </w:r>
      <w:r>
        <w:rPr>
          <w:rFonts w:ascii="SimSun" w:hAnsi="SimSun" w:eastAsia="SimSun" w:cs="SimSun"/>
          <w:sz w:val="24"/>
          <w:szCs w:val="24"/>
          <w:spacing w:val="-44"/>
        </w:rPr>
        <w:t xml:space="preserve"> </w:t>
      </w:r>
      <w:r>
        <w:rPr>
          <w:rFonts w:ascii="Times New Roman" w:hAnsi="Times New Roman" w:eastAsia="Times New Roman" w:cs="Times New Roman"/>
          <w:sz w:val="24"/>
          <w:szCs w:val="24"/>
          <w:b/>
          <w:bCs/>
          <w:spacing w:val="-3"/>
        </w:rPr>
        <w:t>100 </w:t>
      </w:r>
      <w:r>
        <w:rPr>
          <w:rFonts w:ascii="SimSun" w:hAnsi="SimSun" w:eastAsia="SimSun" w:cs="SimSun"/>
          <w:sz w:val="24"/>
          <w:szCs w:val="24"/>
          <w:b/>
          <w:bCs/>
          <w:spacing w:val="-3"/>
        </w:rPr>
        <w:t>天氨氮污染预测结果</w:t>
      </w:r>
    </w:p>
    <w:p>
      <w:pPr>
        <w:spacing w:line="219" w:lineRule="auto"/>
        <w:sectPr>
          <w:headerReference w:type="default" r:id="rId272"/>
          <w:footerReference w:type="default" r:id="rId279"/>
          <w:pgSz w:w="11907" w:h="16840"/>
          <w:pgMar w:top="1567" w:right="1685" w:bottom="1921" w:left="1701" w:header="1221" w:footer="1247" w:gutter="0"/>
        </w:sectPr>
        <w:rPr>
          <w:rFonts w:ascii="SimSun" w:hAnsi="SimSun" w:eastAsia="SimSun" w:cs="SimSun"/>
          <w:sz w:val="24"/>
          <w:szCs w:val="24"/>
        </w:rPr>
      </w:pPr>
    </w:p>
    <w:p>
      <w:pPr>
        <w:ind w:left="14" w:right="61" w:firstLine="474"/>
        <w:spacing w:before="188" w:line="358" w:lineRule="auto"/>
        <w:rPr>
          <w:rFonts w:ascii="SimSun" w:hAnsi="SimSun" w:eastAsia="SimSun" w:cs="SimSun"/>
          <w:sz w:val="24"/>
          <w:szCs w:val="24"/>
        </w:rPr>
      </w:pPr>
      <w:r>
        <w:pict>
          <v:shape id="_x0000_s976" style="position:absolute;margin-left:85.05pt;margin-top:79.11pt;mso-position-vertical-relative:page;mso-position-horizontal-relative:page;width:425.25pt;height:0.75pt;z-index:252116992;" o:allowincell="f" fillcolor="#000000" filled="true" stroked="false" coordsize="8505,15" coordorigin="0,0" path="m,l8505,0l8505,14l0,14l0,0xe"/>
        </w:pict>
      </w:r>
      <w:r>
        <w:rPr>
          <w:rFonts w:ascii="SimSun" w:hAnsi="SimSun" w:eastAsia="SimSun" w:cs="SimSun"/>
          <w:sz w:val="24"/>
          <w:szCs w:val="24"/>
          <w:b/>
          <w:bCs/>
          <w:spacing w:val="2"/>
        </w:rPr>
        <w:t>①非正常状况车</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rPr>
        <w:t>TS</w:t>
      </w:r>
      <w:r>
        <w:rPr>
          <w:rFonts w:ascii="Times New Roman" w:hAnsi="Times New Roman" w:eastAsia="Times New Roman" w:cs="Times New Roman"/>
          <w:sz w:val="24"/>
          <w:szCs w:val="24"/>
          <w:b/>
          <w:bCs/>
          <w:spacing w:val="2"/>
        </w:rPr>
        <w:t xml:space="preserve"> </w:t>
      </w:r>
      <w:r>
        <w:rPr>
          <w:rFonts w:ascii="SimSun" w:hAnsi="SimSun" w:eastAsia="SimSun" w:cs="SimSun"/>
          <w:sz w:val="24"/>
          <w:szCs w:val="24"/>
          <w:b/>
          <w:bCs/>
          <w:spacing w:val="2"/>
        </w:rPr>
        <w:t>调节池渗漏氨氮对周边分散式饮用水源井的影响预测结</w:t>
      </w:r>
      <w:r>
        <w:rPr>
          <w:rFonts w:ascii="SimSun" w:hAnsi="SimSun" w:eastAsia="SimSun" w:cs="SimSun"/>
          <w:sz w:val="24"/>
          <w:szCs w:val="24"/>
        </w:rPr>
        <w:t xml:space="preserve"> </w:t>
      </w:r>
      <w:r>
        <w:rPr>
          <w:rFonts w:ascii="SimSun" w:hAnsi="SimSun" w:eastAsia="SimSun" w:cs="SimSun"/>
          <w:sz w:val="24"/>
          <w:szCs w:val="24"/>
          <w:b/>
          <w:bCs/>
          <w:spacing w:val="-3"/>
        </w:rPr>
        <w:t>果</w:t>
      </w:r>
    </w:p>
    <w:p>
      <w:pPr>
        <w:ind w:left="493"/>
        <w:spacing w:line="218" w:lineRule="auto"/>
        <w:rPr>
          <w:rFonts w:ascii="SimSun" w:hAnsi="SimSun" w:eastAsia="SimSun" w:cs="SimSun"/>
          <w:sz w:val="24"/>
          <w:szCs w:val="24"/>
        </w:rPr>
      </w:pPr>
      <w:r>
        <w:rPr>
          <w:rFonts w:ascii="SimSun" w:hAnsi="SimSun" w:eastAsia="SimSun" w:cs="SimSun"/>
          <w:sz w:val="24"/>
          <w:szCs w:val="24"/>
          <w:spacing w:val="12"/>
        </w:rPr>
        <w:t>非正常状况</w:t>
      </w:r>
      <w:r>
        <w:rPr>
          <w:rFonts w:ascii="SimSun" w:hAnsi="SimSun" w:eastAsia="SimSun" w:cs="SimSun"/>
          <w:sz w:val="24"/>
          <w:szCs w:val="24"/>
          <w:spacing w:val="-38"/>
        </w:rPr>
        <w:t xml:space="preserve"> </w:t>
      </w:r>
      <w:r>
        <w:rPr>
          <w:rFonts w:ascii="Times New Roman" w:hAnsi="Times New Roman" w:eastAsia="Times New Roman" w:cs="Times New Roman"/>
          <w:sz w:val="24"/>
          <w:szCs w:val="24"/>
        </w:rPr>
        <w:t>TS</w:t>
      </w:r>
      <w:r>
        <w:rPr>
          <w:rFonts w:ascii="Times New Roman" w:hAnsi="Times New Roman" w:eastAsia="Times New Roman" w:cs="Times New Roman"/>
          <w:sz w:val="24"/>
          <w:szCs w:val="24"/>
          <w:spacing w:val="26"/>
          <w:w w:val="101"/>
        </w:rPr>
        <w:t xml:space="preserve"> </w:t>
      </w:r>
      <w:r>
        <w:rPr>
          <w:rFonts w:ascii="SimSun" w:hAnsi="SimSun" w:eastAsia="SimSun" w:cs="SimSun"/>
          <w:sz w:val="24"/>
          <w:szCs w:val="24"/>
          <w:spacing w:val="12"/>
        </w:rPr>
        <w:t>调节池渗漏氨氮超标污染晕在预测周期内最大运移距离为</w:t>
      </w:r>
    </w:p>
    <w:p>
      <w:pPr>
        <w:ind w:left="10" w:right="61" w:firstLine="17"/>
        <w:spacing w:before="184" w:line="289" w:lineRule="auto"/>
        <w:rPr>
          <w:rFonts w:ascii="SimSun" w:hAnsi="SimSun" w:eastAsia="SimSun" w:cs="SimSun"/>
          <w:sz w:val="24"/>
          <w:szCs w:val="24"/>
        </w:rPr>
      </w:pPr>
      <w:r>
        <w:rPr>
          <w:rFonts w:ascii="Times New Roman" w:hAnsi="Times New Roman" w:eastAsia="Times New Roman" w:cs="Times New Roman"/>
          <w:sz w:val="24"/>
          <w:szCs w:val="24"/>
          <w:spacing w:val="-2"/>
        </w:rPr>
        <w:t>161.26m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，拟建厂址距下游最近地下水保护目标分散式饮</w:t>
      </w:r>
      <w:r>
        <w:rPr>
          <w:rFonts w:ascii="SimSun" w:hAnsi="SimSun" w:eastAsia="SimSun" w:cs="SimSun"/>
          <w:sz w:val="24"/>
          <w:szCs w:val="24"/>
          <w:spacing w:val="-3"/>
        </w:rPr>
        <w:t>用水井距离为</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1km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，因</w:t>
      </w:r>
      <w:r>
        <w:rPr>
          <w:rFonts w:ascii="SimSun" w:hAnsi="SimSun" w:eastAsia="SimSun" w:cs="SimSun"/>
          <w:sz w:val="24"/>
          <w:szCs w:val="24"/>
        </w:rPr>
        <w:t xml:space="preserve"> </w:t>
      </w:r>
      <w:r>
        <w:rPr>
          <w:rFonts w:ascii="SimSun" w:hAnsi="SimSun" w:eastAsia="SimSun" w:cs="SimSun"/>
          <w:sz w:val="24"/>
          <w:szCs w:val="24"/>
          <w:spacing w:val="-1"/>
        </w:rPr>
        <w:t>此，发生泄漏事故不会对最近分散式饮用水源地造成污染。</w:t>
      </w:r>
    </w:p>
    <w:p>
      <w:pPr>
        <w:ind w:left="488"/>
        <w:spacing w:before="181" w:line="217" w:lineRule="auto"/>
        <w:rPr>
          <w:rFonts w:ascii="SimSun" w:hAnsi="SimSun" w:eastAsia="SimSun" w:cs="SimSun"/>
          <w:sz w:val="24"/>
          <w:szCs w:val="24"/>
        </w:rPr>
      </w:pPr>
      <w:r>
        <w:rPr>
          <w:rFonts w:ascii="SimSun" w:hAnsi="SimSun" w:eastAsia="SimSun" w:cs="SimSun"/>
          <w:sz w:val="24"/>
          <w:szCs w:val="24"/>
          <w:b/>
          <w:bCs/>
          <w:spacing w:val="-3"/>
        </w:rPr>
        <w:t>②对含水层的影响评价</w:t>
      </w:r>
    </w:p>
    <w:p>
      <w:pPr>
        <w:ind w:left="4" w:right="61" w:firstLine="514"/>
        <w:spacing w:before="186" w:line="359" w:lineRule="auto"/>
        <w:jc w:val="both"/>
        <w:rPr>
          <w:rFonts w:ascii="SimSun" w:hAnsi="SimSun" w:eastAsia="SimSun" w:cs="SimSun"/>
          <w:sz w:val="24"/>
          <w:szCs w:val="24"/>
        </w:rPr>
      </w:pPr>
      <w:r>
        <w:rPr>
          <w:rFonts w:ascii="SimSun" w:hAnsi="SimSun" w:eastAsia="SimSun" w:cs="SimSun"/>
          <w:sz w:val="24"/>
          <w:szCs w:val="24"/>
          <w:spacing w:val="12"/>
        </w:rPr>
        <w:t>由预测结果可知：</w:t>
      </w:r>
      <w:r>
        <w:rPr>
          <w:rFonts w:ascii="SimSun" w:hAnsi="SimSun" w:eastAsia="SimSun" w:cs="SimSun"/>
          <w:sz w:val="24"/>
          <w:szCs w:val="24"/>
          <w:spacing w:val="-68"/>
        </w:rPr>
        <w:t xml:space="preserve"> </w:t>
      </w:r>
      <w:r>
        <w:rPr>
          <w:rFonts w:ascii="SimSun" w:hAnsi="SimSun" w:eastAsia="SimSun" w:cs="SimSun"/>
          <w:sz w:val="24"/>
          <w:szCs w:val="24"/>
          <w:spacing w:val="12"/>
        </w:rPr>
        <w:t>污染物泄漏氨氮超标污染晕面积在</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2"/>
        </w:rPr>
        <w:t>50</w:t>
      </w:r>
      <w:r>
        <w:rPr>
          <w:rFonts w:ascii="Times New Roman" w:hAnsi="Times New Roman" w:eastAsia="Times New Roman" w:cs="Times New Roman"/>
          <w:sz w:val="24"/>
          <w:szCs w:val="24"/>
          <w:spacing w:val="11"/>
        </w:rPr>
        <w:t>0</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1"/>
        </w:rPr>
        <w:t>天时最大</w:t>
      </w:r>
      <w:r>
        <w:rPr>
          <w:rFonts w:ascii="SimSun" w:hAnsi="SimSun" w:eastAsia="SimSun" w:cs="SimSun"/>
          <w:sz w:val="24"/>
          <w:szCs w:val="24"/>
          <w:spacing w:val="-70"/>
        </w:rPr>
        <w:t xml:space="preserve"> </w:t>
      </w:r>
      <w:r>
        <w:rPr>
          <w:rFonts w:ascii="SimSun" w:hAnsi="SimSun" w:eastAsia="SimSun" w:cs="SimSun"/>
          <w:sz w:val="24"/>
          <w:szCs w:val="24"/>
          <w:spacing w:val="11"/>
        </w:rPr>
        <w:t>，为</w:t>
      </w:r>
      <w:r>
        <w:rPr>
          <w:rFonts w:ascii="SimSun" w:hAnsi="SimSun" w:eastAsia="SimSun" w:cs="SimSun"/>
          <w:sz w:val="24"/>
          <w:szCs w:val="24"/>
        </w:rPr>
        <w:t xml:space="preserve"> </w:t>
      </w:r>
      <w:r>
        <w:rPr>
          <w:rFonts w:ascii="Times New Roman" w:hAnsi="Times New Roman" w:eastAsia="Times New Roman" w:cs="Times New Roman"/>
          <w:sz w:val="24"/>
          <w:szCs w:val="24"/>
          <w:spacing w:val="-3"/>
        </w:rPr>
        <w:t>4285.56m</w:t>
      </w:r>
      <w:r>
        <w:rPr>
          <w:rFonts w:ascii="Times New Roman" w:hAnsi="Times New Roman" w:eastAsia="Times New Roman" w:cs="Times New Roman"/>
          <w:sz w:val="15"/>
          <w:szCs w:val="15"/>
          <w:spacing w:val="-3"/>
          <w:position w:val="7"/>
        </w:rPr>
        <w:t>2</w:t>
      </w:r>
      <w:r>
        <w:rPr>
          <w:rFonts w:ascii="SimSun" w:hAnsi="SimSun" w:eastAsia="SimSun" w:cs="SimSun"/>
          <w:sz w:val="24"/>
          <w:szCs w:val="24"/>
          <w:spacing w:val="-3"/>
        </w:rPr>
        <w:t>，之后超标污染晕面积逐步减</w:t>
      </w:r>
      <w:r>
        <w:rPr>
          <w:rFonts w:ascii="SimSun" w:hAnsi="SimSun" w:eastAsia="SimSun" w:cs="SimSun"/>
          <w:sz w:val="24"/>
          <w:szCs w:val="24"/>
          <w:spacing w:val="-4"/>
        </w:rPr>
        <w:t>小，在渗漏事故发生</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1000</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4"/>
        </w:rPr>
        <w:t>天之后超标污染</w:t>
      </w:r>
      <w:r>
        <w:rPr>
          <w:rFonts w:ascii="SimSun" w:hAnsi="SimSun" w:eastAsia="SimSun" w:cs="SimSun"/>
          <w:sz w:val="24"/>
          <w:szCs w:val="24"/>
        </w:rPr>
        <w:t xml:space="preserve"> </w:t>
      </w:r>
      <w:r>
        <w:rPr>
          <w:rFonts w:ascii="SimSun" w:hAnsi="SimSun" w:eastAsia="SimSun" w:cs="SimSun"/>
          <w:sz w:val="24"/>
          <w:szCs w:val="24"/>
          <w:spacing w:val="1"/>
        </w:rPr>
        <w:t>晕消失。满足《环境影响评价技术导则 地下水环境》（</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1"/>
        </w:rPr>
        <w:t>610 2016</w:t>
      </w:r>
      <w:r>
        <w:rPr>
          <w:rFonts w:ascii="SimSun" w:hAnsi="SimSun" w:eastAsia="SimSun" w:cs="SimSun"/>
          <w:sz w:val="24"/>
          <w:szCs w:val="24"/>
          <w:spacing w:val="1"/>
        </w:rPr>
        <w:t>）</w:t>
      </w:r>
      <w:r>
        <w:rPr>
          <w:rFonts w:ascii="Times New Roman" w:hAnsi="Times New Roman" w:eastAsia="Times New Roman" w:cs="Times New Roman"/>
          <w:sz w:val="24"/>
          <w:szCs w:val="24"/>
          <w:spacing w:val="1"/>
        </w:rPr>
        <w:t>10.4.1</w:t>
      </w:r>
      <w:r>
        <w:rPr>
          <w:rFonts w:ascii="Times New Roman" w:hAnsi="Times New Roman" w:eastAsia="Times New Roman" w:cs="Times New Roman"/>
          <w:sz w:val="24"/>
          <w:szCs w:val="24"/>
          <w:spacing w:val="31"/>
          <w:w w:val="101"/>
        </w:rPr>
        <w:t xml:space="preserve"> </w:t>
      </w:r>
      <w:r>
        <w:rPr>
          <w:rFonts w:ascii="SimSun" w:hAnsi="SimSun" w:eastAsia="SimSun" w:cs="SimSun"/>
          <w:sz w:val="24"/>
          <w:szCs w:val="24"/>
        </w:rPr>
        <w:t>的相 </w:t>
      </w:r>
      <w:r>
        <w:rPr>
          <w:rFonts w:ascii="SimSun" w:hAnsi="SimSun" w:eastAsia="SimSun" w:cs="SimSun"/>
          <w:sz w:val="24"/>
          <w:szCs w:val="24"/>
          <w:spacing w:val="-1"/>
        </w:rPr>
        <w:t>关要求。</w:t>
      </w:r>
    </w:p>
    <w:p>
      <w:pPr>
        <w:ind w:left="488"/>
        <w:spacing w:line="217" w:lineRule="auto"/>
        <w:rPr>
          <w:rFonts w:ascii="SimSun" w:hAnsi="SimSun" w:eastAsia="SimSun" w:cs="SimSun"/>
          <w:sz w:val="24"/>
          <w:szCs w:val="24"/>
        </w:rPr>
      </w:pPr>
      <w:r>
        <w:rPr>
          <w:rFonts w:ascii="SimSun" w:hAnsi="SimSun" w:eastAsia="SimSun" w:cs="SimSun"/>
          <w:sz w:val="24"/>
          <w:szCs w:val="24"/>
          <w:b/>
          <w:bCs/>
          <w:spacing w:val="-3"/>
        </w:rPr>
        <w:t>③预测结果综合分析</w:t>
      </w:r>
    </w:p>
    <w:p>
      <w:pPr>
        <w:ind w:left="8" w:right="59" w:firstLine="482"/>
        <w:spacing w:before="185" w:line="359" w:lineRule="auto"/>
        <w:jc w:val="both"/>
        <w:rPr>
          <w:rFonts w:ascii="SimSun" w:hAnsi="SimSun" w:eastAsia="SimSun" w:cs="SimSun"/>
          <w:sz w:val="24"/>
          <w:szCs w:val="24"/>
        </w:rPr>
      </w:pPr>
      <w:r>
        <w:rPr>
          <w:rFonts w:ascii="SimSun" w:hAnsi="SimSun" w:eastAsia="SimSun" w:cs="SimSun"/>
          <w:sz w:val="24"/>
          <w:szCs w:val="24"/>
          <w:spacing w:val="-4"/>
        </w:rPr>
        <w:t>预测结果表明，氨氮在预测周期</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5000d</w:t>
      </w:r>
      <w:r>
        <w:rPr>
          <w:rFonts w:ascii="Times New Roman" w:hAnsi="Times New Roman" w:eastAsia="Times New Roman" w:cs="Times New Roman"/>
          <w:sz w:val="24"/>
          <w:szCs w:val="24"/>
          <w:spacing w:val="38"/>
          <w:w w:val="101"/>
        </w:rPr>
        <w:t xml:space="preserve"> </w:t>
      </w:r>
      <w:r>
        <w:rPr>
          <w:rFonts w:ascii="SimSun" w:hAnsi="SimSun" w:eastAsia="SimSun" w:cs="SimSun"/>
          <w:sz w:val="24"/>
          <w:szCs w:val="24"/>
          <w:spacing w:val="-4"/>
        </w:rPr>
        <w:t>内最大浓度为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2.87mg</w:t>
      </w:r>
      <w:r>
        <w:rPr>
          <w:rFonts w:ascii="Times New Roman" w:hAnsi="Times New Roman" w:eastAsia="Times New Roman" w:cs="Times New Roman"/>
          <w:sz w:val="24"/>
          <w:szCs w:val="24"/>
          <w:spacing w:val="-5"/>
        </w:rPr>
        <w:t>/L</w:t>
      </w:r>
      <w:r>
        <w:rPr>
          <w:rFonts w:ascii="SimSun" w:hAnsi="SimSun" w:eastAsia="SimSun" w:cs="SimSun"/>
          <w:sz w:val="24"/>
          <w:szCs w:val="24"/>
          <w:spacing w:val="-5"/>
        </w:rPr>
        <w:t>，</w:t>
      </w:r>
      <w:r>
        <w:rPr>
          <w:rFonts w:ascii="Times New Roman" w:hAnsi="Times New Roman" w:eastAsia="Times New Roman" w:cs="Times New Roman"/>
          <w:sz w:val="24"/>
          <w:szCs w:val="24"/>
          <w:spacing w:val="-5"/>
        </w:rPr>
        <w:t>1000d </w:t>
      </w:r>
      <w:r>
        <w:rPr>
          <w:rFonts w:ascii="SimSun" w:hAnsi="SimSun" w:eastAsia="SimSun" w:cs="SimSun"/>
          <w:sz w:val="24"/>
          <w:szCs w:val="24"/>
          <w:spacing w:val="-5"/>
        </w:rPr>
        <w:t>之后污</w:t>
      </w:r>
      <w:r>
        <w:rPr>
          <w:rFonts w:ascii="SimSun" w:hAnsi="SimSun" w:eastAsia="SimSun" w:cs="SimSun"/>
          <w:sz w:val="24"/>
          <w:szCs w:val="24"/>
        </w:rPr>
        <w:t xml:space="preserve"> </w:t>
      </w:r>
      <w:r>
        <w:rPr>
          <w:rFonts w:ascii="SimSun" w:hAnsi="SimSun" w:eastAsia="SimSun" w:cs="SimSun"/>
          <w:sz w:val="24"/>
          <w:szCs w:val="24"/>
        </w:rPr>
        <w:t>染物氨氮浓度低于《地下水质量标准》（</w:t>
      </w:r>
      <w:r>
        <w:rPr>
          <w:rFonts w:ascii="Times New Roman" w:hAnsi="Times New Roman" w:eastAsia="Times New Roman" w:cs="Times New Roman"/>
          <w:sz w:val="24"/>
          <w:szCs w:val="24"/>
        </w:rPr>
        <w:t>DB/T14848-2017</w:t>
      </w:r>
      <w:r>
        <w:rPr>
          <w:rFonts w:ascii="SimSun" w:hAnsi="SimSun" w:eastAsia="SimSun" w:cs="SimSun"/>
          <w:sz w:val="24"/>
          <w:szCs w:val="24"/>
        </w:rPr>
        <w:t>）</w:t>
      </w:r>
      <w:r>
        <w:rPr>
          <w:rFonts w:ascii="Times New Roman" w:hAnsi="Times New Roman" w:eastAsia="Times New Roman" w:cs="Times New Roman"/>
          <w:sz w:val="24"/>
          <w:szCs w:val="24"/>
        </w:rPr>
        <w:t>III </w:t>
      </w:r>
      <w:r>
        <w:rPr>
          <w:rFonts w:ascii="SimSun" w:hAnsi="SimSun" w:eastAsia="SimSun" w:cs="SimSun"/>
          <w:sz w:val="24"/>
          <w:szCs w:val="24"/>
        </w:rPr>
        <w:t>类标准，超标污染</w:t>
      </w:r>
      <w:r>
        <w:rPr>
          <w:rFonts w:ascii="SimSun" w:hAnsi="SimSun" w:eastAsia="SimSun" w:cs="SimSun"/>
          <w:sz w:val="24"/>
          <w:szCs w:val="24"/>
          <w:spacing w:val="7"/>
        </w:rPr>
        <w:t xml:space="preserve"> </w:t>
      </w:r>
      <w:r>
        <w:rPr>
          <w:rFonts w:ascii="SimSun" w:hAnsi="SimSun" w:eastAsia="SimSun" w:cs="SimSun"/>
          <w:sz w:val="24"/>
          <w:szCs w:val="24"/>
          <w:spacing w:val="3"/>
        </w:rPr>
        <w:t>晕消失；根据对周边分散式饮用水源井的影响预测结</w:t>
      </w:r>
      <w:r>
        <w:rPr>
          <w:rFonts w:ascii="SimSun" w:hAnsi="SimSun" w:eastAsia="SimSun" w:cs="SimSun"/>
          <w:sz w:val="24"/>
          <w:szCs w:val="24"/>
          <w:spacing w:val="2"/>
        </w:rPr>
        <w:t>果分析，预测周期内氨氮污</w:t>
      </w:r>
      <w:r>
        <w:rPr>
          <w:rFonts w:ascii="SimSun" w:hAnsi="SimSun" w:eastAsia="SimSun" w:cs="SimSun"/>
          <w:sz w:val="24"/>
          <w:szCs w:val="24"/>
        </w:rPr>
        <w:t xml:space="preserve"> </w:t>
      </w:r>
      <w:r>
        <w:rPr>
          <w:rFonts w:ascii="SimSun" w:hAnsi="SimSun" w:eastAsia="SimSun" w:cs="SimSun"/>
          <w:sz w:val="24"/>
          <w:szCs w:val="24"/>
          <w:spacing w:val="3"/>
        </w:rPr>
        <w:t>染晕不会到达最近的地下水分散式饮用水水源地，不会对</w:t>
      </w:r>
      <w:r>
        <w:rPr>
          <w:rFonts w:ascii="SimSun" w:hAnsi="SimSun" w:eastAsia="SimSun" w:cs="SimSun"/>
          <w:sz w:val="24"/>
          <w:szCs w:val="24"/>
          <w:spacing w:val="2"/>
        </w:rPr>
        <w:t>分散式饮用水水源地造</w:t>
      </w:r>
      <w:r>
        <w:rPr>
          <w:rFonts w:ascii="SimSun" w:hAnsi="SimSun" w:eastAsia="SimSun" w:cs="SimSun"/>
          <w:sz w:val="24"/>
          <w:szCs w:val="24"/>
        </w:rPr>
        <w:t xml:space="preserve"> </w:t>
      </w:r>
      <w:r>
        <w:rPr>
          <w:rFonts w:ascii="SimSun" w:hAnsi="SimSun" w:eastAsia="SimSun" w:cs="SimSun"/>
          <w:sz w:val="24"/>
          <w:szCs w:val="24"/>
          <w:spacing w:val="3"/>
        </w:rPr>
        <w:t>成影响；污染物的泄漏虽会在泄漏点下游潜水含水层</w:t>
      </w:r>
      <w:r>
        <w:rPr>
          <w:rFonts w:ascii="SimSun" w:hAnsi="SimSun" w:eastAsia="SimSun" w:cs="SimSun"/>
          <w:sz w:val="24"/>
          <w:szCs w:val="24"/>
          <w:spacing w:val="2"/>
        </w:rPr>
        <w:t>中形成一个超标污染晕，但</w:t>
      </w:r>
      <w:r>
        <w:rPr>
          <w:rFonts w:ascii="SimSun" w:hAnsi="SimSun" w:eastAsia="SimSun" w:cs="SimSun"/>
          <w:sz w:val="24"/>
          <w:szCs w:val="24"/>
        </w:rPr>
        <w:t xml:space="preserve"> </w:t>
      </w:r>
      <w:r>
        <w:rPr>
          <w:rFonts w:ascii="SimSun" w:hAnsi="SimSun" w:eastAsia="SimSun" w:cs="SimSun"/>
          <w:sz w:val="24"/>
          <w:szCs w:val="24"/>
          <w:spacing w:val="3"/>
        </w:rPr>
        <w:t>超标污染晕可在地下水自然稀释净化作用下消失，不</w:t>
      </w:r>
      <w:r>
        <w:rPr>
          <w:rFonts w:ascii="SimSun" w:hAnsi="SimSun" w:eastAsia="SimSun" w:cs="SimSun"/>
          <w:sz w:val="24"/>
          <w:szCs w:val="24"/>
          <w:spacing w:val="2"/>
        </w:rPr>
        <w:t>会对潜水含水层造成持续污</w:t>
      </w:r>
      <w:r>
        <w:rPr>
          <w:rFonts w:ascii="SimSun" w:hAnsi="SimSun" w:eastAsia="SimSun" w:cs="SimSun"/>
          <w:sz w:val="24"/>
          <w:szCs w:val="24"/>
        </w:rPr>
        <w:t xml:space="preserve"> </w:t>
      </w:r>
      <w:r>
        <w:rPr>
          <w:rFonts w:ascii="SimSun" w:hAnsi="SimSun" w:eastAsia="SimSun" w:cs="SimSun"/>
          <w:sz w:val="24"/>
          <w:szCs w:val="24"/>
          <w:spacing w:val="-1"/>
        </w:rPr>
        <w:t>染，满足导则可行结论要求。</w:t>
      </w:r>
    </w:p>
    <w:p>
      <w:pPr>
        <w:ind w:left="11" w:right="59" w:firstLine="480"/>
        <w:spacing w:before="2" w:line="359" w:lineRule="auto"/>
        <w:jc w:val="both"/>
        <w:rPr>
          <w:rFonts w:ascii="SimSun" w:hAnsi="SimSun" w:eastAsia="SimSun" w:cs="SimSun"/>
          <w:sz w:val="24"/>
          <w:szCs w:val="24"/>
        </w:rPr>
      </w:pPr>
      <w:r>
        <w:rPr>
          <w:rFonts w:ascii="SimSun" w:hAnsi="SimSun" w:eastAsia="SimSun" w:cs="SimSun"/>
          <w:sz w:val="24"/>
          <w:szCs w:val="24"/>
          <w:spacing w:val="3"/>
        </w:rPr>
        <w:t>综上，发生泄漏事故后，若能及时采取应急处置措施，在较</w:t>
      </w:r>
      <w:r>
        <w:rPr>
          <w:rFonts w:ascii="SimSun" w:hAnsi="SimSun" w:eastAsia="SimSun" w:cs="SimSun"/>
          <w:sz w:val="24"/>
          <w:szCs w:val="24"/>
          <w:spacing w:val="2"/>
        </w:rPr>
        <w:t>短的时间内切断</w:t>
      </w:r>
      <w:r>
        <w:rPr>
          <w:rFonts w:ascii="SimSun" w:hAnsi="SimSun" w:eastAsia="SimSun" w:cs="SimSun"/>
          <w:sz w:val="24"/>
          <w:szCs w:val="24"/>
        </w:rPr>
        <w:t xml:space="preserve"> </w:t>
      </w:r>
      <w:r>
        <w:rPr>
          <w:rFonts w:ascii="SimSun" w:hAnsi="SimSun" w:eastAsia="SimSun" w:cs="SimSun"/>
          <w:sz w:val="24"/>
          <w:szCs w:val="24"/>
          <w:spacing w:val="3"/>
        </w:rPr>
        <w:t>污染物下渗通道，下渗引起的污染晕不会对含水层造</w:t>
      </w:r>
      <w:r>
        <w:rPr>
          <w:rFonts w:ascii="SimSun" w:hAnsi="SimSun" w:eastAsia="SimSun" w:cs="SimSun"/>
          <w:sz w:val="24"/>
          <w:szCs w:val="24"/>
          <w:spacing w:val="2"/>
        </w:rPr>
        <w:t>成持续的污染，不会对周边</w:t>
      </w:r>
      <w:r>
        <w:rPr>
          <w:rFonts w:ascii="SimSun" w:hAnsi="SimSun" w:eastAsia="SimSun" w:cs="SimSun"/>
          <w:sz w:val="24"/>
          <w:szCs w:val="24"/>
        </w:rPr>
        <w:t xml:space="preserve"> </w:t>
      </w:r>
      <w:r>
        <w:rPr>
          <w:rFonts w:ascii="SimSun" w:hAnsi="SimSun" w:eastAsia="SimSun" w:cs="SimSun"/>
          <w:sz w:val="24"/>
          <w:szCs w:val="24"/>
          <w:spacing w:val="-1"/>
        </w:rPr>
        <w:t>的分散式饮用水源地造成污染，对地下水影响较小。</w:t>
      </w:r>
    </w:p>
    <w:p>
      <w:pPr>
        <w:ind w:left="8"/>
        <w:spacing w:before="1" w:line="217"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5.3.2.4 </w:t>
      </w:r>
      <w:r>
        <w:rPr>
          <w:rFonts w:ascii="SimSun" w:hAnsi="SimSun" w:eastAsia="SimSun" w:cs="SimSun"/>
          <w:sz w:val="24"/>
          <w:szCs w:val="24"/>
          <w:b/>
          <w:bCs/>
          <w:spacing w:val="-2"/>
        </w:rPr>
        <w:t>地下水污染预测评价结论</w:t>
      </w:r>
    </w:p>
    <w:p>
      <w:pPr>
        <w:ind w:left="14" w:right="59" w:firstLine="476"/>
        <w:spacing w:before="184" w:line="359" w:lineRule="auto"/>
        <w:jc w:val="both"/>
        <w:rPr>
          <w:rFonts w:ascii="SimSun" w:hAnsi="SimSun" w:eastAsia="SimSun" w:cs="SimSun"/>
          <w:sz w:val="24"/>
          <w:szCs w:val="24"/>
        </w:rPr>
      </w:pPr>
      <w:r>
        <w:rPr>
          <w:rFonts w:ascii="SimSun" w:hAnsi="SimSun" w:eastAsia="SimSun" w:cs="SimSun"/>
          <w:sz w:val="24"/>
          <w:szCs w:val="24"/>
          <w:spacing w:val="3"/>
        </w:rPr>
        <w:t>本次从施工期和运营期两个阶段开展了地下水污染风险识别，然</w:t>
      </w:r>
      <w:r>
        <w:rPr>
          <w:rFonts w:ascii="SimSun" w:hAnsi="SimSun" w:eastAsia="SimSun" w:cs="SimSun"/>
          <w:sz w:val="24"/>
          <w:szCs w:val="24"/>
          <w:spacing w:val="2"/>
        </w:rPr>
        <w:t>后从识别结</w:t>
      </w:r>
      <w:r>
        <w:rPr>
          <w:rFonts w:ascii="SimSun" w:hAnsi="SimSun" w:eastAsia="SimSun" w:cs="SimSun"/>
          <w:sz w:val="24"/>
          <w:szCs w:val="24"/>
        </w:rPr>
        <w:t xml:space="preserve"> </w:t>
      </w:r>
      <w:r>
        <w:rPr>
          <w:rFonts w:ascii="SimSun" w:hAnsi="SimSun" w:eastAsia="SimSun" w:cs="SimSun"/>
          <w:sz w:val="24"/>
          <w:szCs w:val="24"/>
          <w:spacing w:val="3"/>
        </w:rPr>
        <w:t>果中筛选了风险最大、可能对地下水造成污染</w:t>
      </w:r>
      <w:r>
        <w:rPr>
          <w:rFonts w:ascii="SimSun" w:hAnsi="SimSun" w:eastAsia="SimSun" w:cs="SimSun"/>
          <w:sz w:val="24"/>
          <w:szCs w:val="24"/>
          <w:spacing w:val="2"/>
        </w:rPr>
        <w:t>后果最严重的非正常泄漏情景进行</w:t>
      </w:r>
      <w:r>
        <w:rPr>
          <w:rFonts w:ascii="SimSun" w:hAnsi="SimSun" w:eastAsia="SimSun" w:cs="SimSun"/>
          <w:sz w:val="24"/>
          <w:szCs w:val="24"/>
        </w:rPr>
        <w:t xml:space="preserve"> </w:t>
      </w:r>
      <w:r>
        <w:rPr>
          <w:rFonts w:ascii="SimSun" w:hAnsi="SimSun" w:eastAsia="SimSun" w:cs="SimSun"/>
          <w:sz w:val="24"/>
          <w:szCs w:val="24"/>
          <w:spacing w:val="-1"/>
        </w:rPr>
        <w:t>了预测和评价。预测评价结果表明：</w:t>
      </w:r>
    </w:p>
    <w:p>
      <w:pPr>
        <w:ind w:left="7" w:firstLine="483"/>
        <w:spacing w:before="6" w:line="375" w:lineRule="auto"/>
        <w:jc w:val="both"/>
        <w:rPr>
          <w:rFonts w:ascii="SimSun" w:hAnsi="SimSun" w:eastAsia="SimSun" w:cs="SimSun"/>
          <w:sz w:val="19"/>
          <w:szCs w:val="19"/>
        </w:rPr>
      </w:pPr>
      <w:r>
        <w:pict>
          <v:shape id="_x0000_s978" style="position:absolute;margin-left:159.33pt;margin-top:95.8558pt;mso-position-vertical-relative:text;mso-position-horizontal-relative:text;width:61pt;height:13.75pt;z-index:252115968;"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207</w:t>
                  </w:r>
                </w:p>
              </w:txbxContent>
            </v:textbox>
          </v:shape>
        </w:pict>
      </w:r>
      <w:r>
        <w:rPr>
          <w:rFonts w:ascii="SimSun" w:hAnsi="SimSun" w:eastAsia="SimSun" w:cs="SimSun"/>
          <w:sz w:val="24"/>
          <w:szCs w:val="24"/>
          <w:spacing w:val="-5"/>
        </w:rPr>
        <w:t>厌氧发酵装置</w:t>
      </w:r>
      <w:r>
        <w:rPr>
          <w:rFonts w:ascii="Times New Roman" w:hAnsi="Times New Roman" w:eastAsia="Times New Roman" w:cs="Times New Roman"/>
          <w:sz w:val="24"/>
          <w:szCs w:val="24"/>
          <w:spacing w:val="-5"/>
        </w:rPr>
        <w:t>TS</w:t>
      </w:r>
      <w:r>
        <w:rPr>
          <w:rFonts w:ascii="Times New Roman" w:hAnsi="Times New Roman" w:eastAsia="Times New Roman" w:cs="Times New Roman"/>
          <w:sz w:val="24"/>
          <w:szCs w:val="24"/>
          <w:spacing w:val="-12"/>
        </w:rPr>
        <w:t xml:space="preserve"> </w:t>
      </w:r>
      <w:r>
        <w:rPr>
          <w:rFonts w:ascii="SimSun" w:hAnsi="SimSun" w:eastAsia="SimSun" w:cs="SimSun"/>
          <w:sz w:val="24"/>
          <w:szCs w:val="24"/>
          <w:spacing w:val="-5"/>
        </w:rPr>
        <w:t>调节池发生非正常状况泄漏后，若能及时采取应急处置措施，</w:t>
      </w:r>
      <w:r>
        <w:rPr>
          <w:rFonts w:ascii="SimSun" w:hAnsi="SimSun" w:eastAsia="SimSun" w:cs="SimSun"/>
          <w:sz w:val="24"/>
          <w:szCs w:val="24"/>
        </w:rPr>
        <w:t xml:space="preserve"> </w:t>
      </w:r>
      <w:r>
        <w:rPr>
          <w:rFonts w:ascii="SimSun" w:hAnsi="SimSun" w:eastAsia="SimSun" w:cs="SimSun"/>
          <w:sz w:val="24"/>
          <w:szCs w:val="24"/>
          <w:spacing w:val="3"/>
        </w:rPr>
        <w:t>在较短的时间内切断污染物下渗通道，下渗引起的污染晕不会</w:t>
      </w:r>
      <w:r>
        <w:rPr>
          <w:rFonts w:ascii="SimSun" w:hAnsi="SimSun" w:eastAsia="SimSun" w:cs="SimSun"/>
          <w:sz w:val="24"/>
          <w:szCs w:val="24"/>
          <w:spacing w:val="2"/>
        </w:rPr>
        <w:t>对含水层造成持续</w:t>
      </w:r>
      <w:r>
        <w:rPr>
          <w:rFonts w:ascii="SimSun" w:hAnsi="SimSun" w:eastAsia="SimSun" w:cs="SimSun"/>
          <w:sz w:val="24"/>
          <w:szCs w:val="24"/>
        </w:rPr>
        <w:t xml:space="preserve"> </w:t>
      </w:r>
      <w:r>
        <w:rPr>
          <w:rFonts w:ascii="SimSun" w:hAnsi="SimSun" w:eastAsia="SimSun" w:cs="SimSun"/>
          <w:sz w:val="24"/>
          <w:szCs w:val="24"/>
          <w:spacing w:val="3"/>
        </w:rPr>
        <w:t>的污染，不会对周边的分散式饮用水源地造成污染，使之满足地下水</w:t>
      </w:r>
      <w:r>
        <w:rPr>
          <w:rFonts w:ascii="SimSun" w:hAnsi="SimSun" w:eastAsia="SimSun" w:cs="SimSun"/>
          <w:sz w:val="24"/>
          <w:szCs w:val="24"/>
          <w:spacing w:val="2"/>
        </w:rPr>
        <w:t>导则</w:t>
      </w:r>
      <w:r>
        <w:rPr>
          <w:rFonts w:ascii="Times New Roman" w:hAnsi="Times New Roman" w:eastAsia="Times New Roman" w:cs="Times New Roman"/>
          <w:sz w:val="24"/>
          <w:szCs w:val="24"/>
          <w:spacing w:val="2"/>
        </w:rPr>
        <w:t>“10.4.1</w:t>
      </w:r>
      <w:r>
        <w:rPr>
          <w:rFonts w:ascii="Times New Roman" w:hAnsi="Times New Roman" w:eastAsia="Times New Roman" w:cs="Times New Roman"/>
          <w:sz w:val="24"/>
          <w:szCs w:val="24"/>
        </w:rPr>
        <w:t xml:space="preserve">  </w:t>
      </w:r>
      <w:r>
        <w:rPr>
          <w:rFonts w:ascii="SimSun" w:hAnsi="SimSun" w:eastAsia="SimSun" w:cs="SimSun"/>
          <w:sz w:val="24"/>
          <w:szCs w:val="24"/>
        </w:rPr>
        <w:t>以下情况应得出可以满足标准要求的结论</w:t>
      </w:r>
      <w:r>
        <w:rPr>
          <w:rFonts w:ascii="Times New Roman" w:hAnsi="Times New Roman" w:eastAsia="Times New Roman" w:cs="Times New Roman"/>
          <w:sz w:val="24"/>
          <w:szCs w:val="24"/>
        </w:rPr>
        <w:t>a</w:t>
      </w:r>
      <w:r>
        <w:rPr>
          <w:rFonts w:ascii="SimSun" w:hAnsi="SimSun" w:eastAsia="SimSun" w:cs="SimSun"/>
          <w:sz w:val="24"/>
          <w:szCs w:val="24"/>
        </w:rPr>
        <w:t>）建设项目</w:t>
      </w:r>
      <w:r>
        <w:rPr>
          <w:rFonts w:ascii="SimSun" w:hAnsi="SimSun" w:eastAsia="SimSun" w:cs="SimSun"/>
          <w:sz w:val="24"/>
          <w:szCs w:val="24"/>
          <w:spacing w:val="-1"/>
        </w:rPr>
        <w:t>各个不同阶段，除厂界内小</w:t>
      </w:r>
      <w:r>
        <w:rPr>
          <w:rFonts w:ascii="SimSun" w:hAnsi="SimSun" w:eastAsia="SimSun" w:cs="SimSun"/>
          <w:sz w:val="24"/>
          <w:szCs w:val="24"/>
        </w:rPr>
        <w:t xml:space="preserve"> </w:t>
      </w:r>
      <w:r>
        <w:rPr>
          <w:rFonts w:ascii="SimSun" w:hAnsi="SimSun" w:eastAsia="SimSun" w:cs="SimSun"/>
          <w:sz w:val="19"/>
          <w:szCs w:val="19"/>
          <w:spacing w:val="9"/>
        </w:rPr>
        <w:t>锡林郭勒盟中安环境技术咨询有限责</w:t>
      </w:r>
    </w:p>
    <w:p>
      <w:pPr>
        <w:spacing w:line="375" w:lineRule="auto"/>
        <w:sectPr>
          <w:headerReference w:type="default" r:id="rId16"/>
          <w:footerReference w:type="default" r:id="rId3"/>
          <w:pgSz w:w="11907" w:h="16840"/>
          <w:pgMar w:top="1567" w:right="1640" w:bottom="400" w:left="1701" w:header="1221" w:footer="0" w:gutter="0"/>
        </w:sectPr>
        <w:rPr>
          <w:rFonts w:ascii="SimSun" w:hAnsi="SimSun" w:eastAsia="SimSun" w:cs="SimSun"/>
          <w:sz w:val="19"/>
          <w:szCs w:val="19"/>
        </w:rPr>
      </w:pPr>
    </w:p>
    <w:p>
      <w:pPr>
        <w:ind w:left="521" w:hanging="477"/>
        <w:spacing w:before="169" w:line="358" w:lineRule="auto"/>
        <w:rPr>
          <w:rFonts w:ascii="SimSun" w:hAnsi="SimSun" w:eastAsia="SimSun" w:cs="SimSun"/>
          <w:sz w:val="24"/>
          <w:szCs w:val="24"/>
        </w:rPr>
      </w:pPr>
      <w:r>
        <w:pict>
          <v:shape id="_x0000_s982" style="position:absolute;margin-left:85.05pt;margin-top:78.87pt;mso-position-vertical-relative:page;mso-position-horizontal-relative:page;width:425.25pt;height:0.75pt;z-index:252119040;" o:allowincell="f" fillcolor="#000000" filled="true" stroked="false" coordsize="8505,15" coordorigin="0,0" path="m,l8505,0l8505,14l0,14l0,0xe"/>
        </w:pict>
      </w:r>
      <w:r>
        <w:rPr>
          <w:rFonts w:ascii="SimSun" w:hAnsi="SimSun" w:eastAsia="SimSun" w:cs="SimSun"/>
          <w:sz w:val="24"/>
          <w:szCs w:val="24"/>
          <w:spacing w:val="-4"/>
        </w:rPr>
        <w:t>范围地区，均能满足</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GB/T</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4"/>
        </w:rPr>
        <w:t>14848  </w:t>
      </w:r>
      <w:r>
        <w:rPr>
          <w:rFonts w:ascii="SimSun" w:hAnsi="SimSun" w:eastAsia="SimSun" w:cs="SimSun"/>
          <w:sz w:val="24"/>
          <w:szCs w:val="24"/>
          <w:spacing w:val="-4"/>
        </w:rPr>
        <w:t>或国家（行业、地方）相关标准要求的</w:t>
      </w:r>
      <w:r>
        <w:rPr>
          <w:rFonts w:ascii="Times New Roman" w:hAnsi="Times New Roman" w:eastAsia="Times New Roman" w:cs="Times New Roman"/>
          <w:sz w:val="24"/>
          <w:szCs w:val="24"/>
          <w:spacing w:val="-4"/>
        </w:rPr>
        <w:t>”</w:t>
      </w:r>
      <w:r>
        <w:rPr>
          <w:rFonts w:ascii="SimSun" w:hAnsi="SimSun" w:eastAsia="SimSun" w:cs="SimSun"/>
          <w:sz w:val="24"/>
          <w:szCs w:val="24"/>
          <w:spacing w:val="-4"/>
        </w:rPr>
        <w:t>的要求。</w:t>
      </w:r>
      <w:r>
        <w:rPr>
          <w:rFonts w:ascii="SimSun" w:hAnsi="SimSun" w:eastAsia="SimSun" w:cs="SimSun"/>
          <w:sz w:val="24"/>
          <w:szCs w:val="24"/>
        </w:rPr>
        <w:t xml:space="preserve"> </w:t>
      </w:r>
      <w:r>
        <w:rPr>
          <w:rFonts w:ascii="SimSun" w:hAnsi="SimSun" w:eastAsia="SimSun" w:cs="SimSun"/>
          <w:sz w:val="24"/>
          <w:szCs w:val="24"/>
          <w:spacing w:val="3"/>
        </w:rPr>
        <w:t>综上，本项目各工程单元严格落实地下水各项污染防治措施</w:t>
      </w:r>
      <w:r>
        <w:rPr>
          <w:rFonts w:ascii="SimSun" w:hAnsi="SimSun" w:eastAsia="SimSun" w:cs="SimSun"/>
          <w:sz w:val="24"/>
          <w:szCs w:val="24"/>
          <w:spacing w:val="2"/>
        </w:rPr>
        <w:t>的前提下，从地</w:t>
      </w:r>
    </w:p>
    <w:p>
      <w:pPr>
        <w:ind w:left="46"/>
        <w:spacing w:before="1" w:line="219" w:lineRule="auto"/>
        <w:rPr>
          <w:rFonts w:ascii="SimSun" w:hAnsi="SimSun" w:eastAsia="SimSun" w:cs="SimSun"/>
          <w:sz w:val="24"/>
          <w:szCs w:val="24"/>
        </w:rPr>
      </w:pPr>
      <w:r>
        <w:rPr>
          <w:rFonts w:ascii="SimSun" w:hAnsi="SimSun" w:eastAsia="SimSun" w:cs="SimSun"/>
          <w:sz w:val="24"/>
          <w:szCs w:val="24"/>
          <w:spacing w:val="-1"/>
        </w:rPr>
        <w:t>下水环境保护的角度上分析，本项目建设可行。</w:t>
      </w:r>
    </w:p>
    <w:p>
      <w:pPr>
        <w:pStyle w:val="BodyText"/>
        <w:spacing w:line="248" w:lineRule="auto"/>
        <w:rPr/>
      </w:pPr>
      <w:r/>
    </w:p>
    <w:p>
      <w:pPr>
        <w:ind w:left="43"/>
        <w:spacing w:before="98" w:line="222" w:lineRule="auto"/>
        <w:outlineLvl w:val="1"/>
        <w:rPr>
          <w:rFonts w:ascii="SimHei" w:hAnsi="SimHei" w:eastAsia="SimHei" w:cs="SimHei"/>
          <w:sz w:val="30"/>
          <w:szCs w:val="30"/>
        </w:rPr>
      </w:pPr>
      <w:bookmarkStart w:name="bookmark101" w:id="127"/>
      <w:bookmarkEnd w:id="127"/>
      <w:bookmarkStart w:name="bookmark102" w:id="128"/>
      <w:bookmarkEnd w:id="128"/>
      <w:r>
        <w:rPr>
          <w:rFonts w:ascii="Times New Roman" w:hAnsi="Times New Roman" w:eastAsia="Times New Roman" w:cs="Times New Roman"/>
          <w:sz w:val="30"/>
          <w:szCs w:val="30"/>
          <w:spacing w:val="-2"/>
        </w:rPr>
        <w:t>5.4 </w:t>
      </w:r>
      <w:r>
        <w:rPr>
          <w:rFonts w:ascii="SimHei" w:hAnsi="SimHei" w:eastAsia="SimHei" w:cs="SimHei"/>
          <w:sz w:val="30"/>
          <w:szCs w:val="30"/>
          <w:spacing w:val="-2"/>
        </w:rPr>
        <w:t>声环境影响预测与评价</w:t>
      </w:r>
    </w:p>
    <w:p>
      <w:pPr>
        <w:pStyle w:val="BodyText"/>
        <w:spacing w:line="282" w:lineRule="auto"/>
        <w:rPr/>
      </w:pPr>
      <w:r/>
    </w:p>
    <w:p>
      <w:pPr>
        <w:ind w:left="42"/>
        <w:spacing w:before="91" w:line="222" w:lineRule="auto"/>
        <w:outlineLvl w:val="2"/>
        <w:rPr>
          <w:rFonts w:ascii="SimHei" w:hAnsi="SimHei" w:eastAsia="SimHei" w:cs="SimHei"/>
          <w:sz w:val="28"/>
          <w:szCs w:val="28"/>
        </w:rPr>
      </w:pPr>
      <w:bookmarkStart w:name="bookmark240" w:id="129"/>
      <w:bookmarkEnd w:id="129"/>
      <w:r>
        <w:rPr>
          <w:rFonts w:ascii="Times New Roman" w:hAnsi="Times New Roman" w:eastAsia="Times New Roman" w:cs="Times New Roman"/>
          <w:sz w:val="28"/>
          <w:szCs w:val="28"/>
          <w:spacing w:val="-2"/>
        </w:rPr>
        <w:t>5.4.1 </w:t>
      </w:r>
      <w:r>
        <w:rPr>
          <w:rFonts w:ascii="SimHei" w:hAnsi="SimHei" w:eastAsia="SimHei" w:cs="SimHei"/>
          <w:sz w:val="28"/>
          <w:szCs w:val="28"/>
          <w:spacing w:val="-2"/>
        </w:rPr>
        <w:t>主要噪声源强</w:t>
      </w:r>
    </w:p>
    <w:p>
      <w:pPr>
        <w:pStyle w:val="BodyText"/>
        <w:spacing w:line="277" w:lineRule="auto"/>
        <w:rPr/>
      </w:pPr>
      <w:r/>
    </w:p>
    <w:p>
      <w:pPr>
        <w:ind w:left="57" w:right="80" w:firstLine="462"/>
        <w:spacing w:before="78" w:line="360" w:lineRule="auto"/>
        <w:rPr>
          <w:rFonts w:ascii="SimSun" w:hAnsi="SimSun" w:eastAsia="SimSun" w:cs="SimSun"/>
          <w:sz w:val="24"/>
          <w:szCs w:val="24"/>
        </w:rPr>
      </w:pPr>
      <w:r>
        <w:rPr>
          <w:rFonts w:ascii="SimSun" w:hAnsi="SimSun" w:eastAsia="SimSun" w:cs="SimSun"/>
          <w:sz w:val="24"/>
          <w:szCs w:val="24"/>
        </w:rPr>
        <w:t>本项目主要噪声源为工艺设备和运输车辆，噪声强度一般</w:t>
      </w:r>
      <w:r>
        <w:rPr>
          <w:rFonts w:ascii="SimSun" w:hAnsi="SimSun" w:eastAsia="SimSun" w:cs="SimSun"/>
          <w:sz w:val="24"/>
          <w:szCs w:val="24"/>
          <w:spacing w:val="-1"/>
        </w:rPr>
        <w:t>在</w:t>
      </w:r>
      <w:r>
        <w:rPr>
          <w:rFonts w:ascii="Times New Roman" w:hAnsi="Times New Roman" w:eastAsia="Times New Roman" w:cs="Times New Roman"/>
          <w:sz w:val="24"/>
          <w:szCs w:val="24"/>
          <w:spacing w:val="-1"/>
        </w:rPr>
        <w:t>50~95dB</w:t>
      </w:r>
      <w:r>
        <w:rPr>
          <w:rFonts w:ascii="SimSun" w:hAnsi="SimSun" w:eastAsia="SimSun" w:cs="SimSun"/>
          <w:sz w:val="24"/>
          <w:szCs w:val="24"/>
          <w:spacing w:val="-1"/>
        </w:rPr>
        <w:t>（</w:t>
      </w:r>
      <w:r>
        <w:rPr>
          <w:rFonts w:ascii="Times New Roman" w:hAnsi="Times New Roman" w:eastAsia="Times New Roman" w:cs="Times New Roman"/>
          <w:sz w:val="24"/>
          <w:szCs w:val="24"/>
          <w:spacing w:val="-1"/>
        </w:rPr>
        <w:t>A</w:t>
      </w:r>
      <w:r>
        <w:rPr>
          <w:rFonts w:ascii="SimSun" w:hAnsi="SimSun" w:eastAsia="SimSun" w:cs="SimSun"/>
          <w:sz w:val="24"/>
          <w:szCs w:val="24"/>
          <w:spacing w:val="-1"/>
        </w:rPr>
        <w:t>）之</w:t>
      </w:r>
      <w:r>
        <w:rPr>
          <w:rFonts w:ascii="SimSun" w:hAnsi="SimSun" w:eastAsia="SimSun" w:cs="SimSun"/>
          <w:sz w:val="24"/>
          <w:szCs w:val="24"/>
        </w:rPr>
        <w:t xml:space="preserve"> </w:t>
      </w:r>
      <w:r>
        <w:rPr>
          <w:rFonts w:ascii="SimSun" w:hAnsi="SimSun" w:eastAsia="SimSun" w:cs="SimSun"/>
          <w:sz w:val="24"/>
          <w:szCs w:val="24"/>
          <w:spacing w:val="-1"/>
        </w:rPr>
        <w:t>间。工艺设备噪声源为宽频带、固定、连续噪声源。主要噪声源详见表</w:t>
      </w:r>
      <w:r>
        <w:rPr>
          <w:rFonts w:ascii="Times New Roman" w:hAnsi="Times New Roman" w:eastAsia="Times New Roman" w:cs="Times New Roman"/>
          <w:sz w:val="24"/>
          <w:szCs w:val="24"/>
          <w:spacing w:val="-1"/>
        </w:rPr>
        <w:t>5.4-1</w:t>
      </w:r>
      <w:r>
        <w:rPr>
          <w:rFonts w:ascii="SimSun" w:hAnsi="SimSun" w:eastAsia="SimSun" w:cs="SimSun"/>
          <w:sz w:val="24"/>
          <w:szCs w:val="24"/>
          <w:spacing w:val="-1"/>
        </w:rPr>
        <w:t>。</w:t>
      </w:r>
    </w:p>
    <w:p>
      <w:pPr>
        <w:ind w:left="1720"/>
        <w:spacing w:before="1"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7"/>
        </w:rPr>
        <w:t xml:space="preserve"> </w:t>
      </w:r>
      <w:r>
        <w:rPr>
          <w:rFonts w:ascii="Times New Roman" w:hAnsi="Times New Roman" w:eastAsia="Times New Roman" w:cs="Times New Roman"/>
          <w:sz w:val="24"/>
          <w:szCs w:val="24"/>
          <w:b/>
          <w:bCs/>
          <w:spacing w:val="-2"/>
        </w:rPr>
        <w:t>5.4-1        </w:t>
      </w:r>
      <w:r>
        <w:rPr>
          <w:rFonts w:ascii="SimSun" w:hAnsi="SimSun" w:eastAsia="SimSun" w:cs="SimSun"/>
          <w:sz w:val="24"/>
          <w:szCs w:val="24"/>
          <w:b/>
          <w:bCs/>
          <w:spacing w:val="-2"/>
        </w:rPr>
        <w:t>室内噪声污染源及其治理措施一览表</w:t>
      </w:r>
    </w:p>
    <w:tbl>
      <w:tblPr>
        <w:tblStyle w:val="TableNormal"/>
        <w:tblW w:w="8556"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53"/>
        <w:gridCol w:w="563"/>
        <w:gridCol w:w="1151"/>
        <w:gridCol w:w="306"/>
        <w:gridCol w:w="325"/>
        <w:gridCol w:w="419"/>
        <w:gridCol w:w="423"/>
        <w:gridCol w:w="505"/>
        <w:gridCol w:w="607"/>
        <w:gridCol w:w="495"/>
        <w:gridCol w:w="454"/>
        <w:gridCol w:w="637"/>
        <w:gridCol w:w="454"/>
        <w:gridCol w:w="654"/>
        <w:gridCol w:w="740"/>
        <w:gridCol w:w="570"/>
      </w:tblGrid>
      <w:tr>
        <w:trPr>
          <w:trHeight w:val="281" w:hRule="atLeast"/>
        </w:trPr>
        <w:tc>
          <w:tcPr>
            <w:tcW w:w="253" w:type="dxa"/>
            <w:vAlign w:val="top"/>
            <w:vMerge w:val="restart"/>
            <w:textDirection w:val="tbRlV"/>
            <w:tcBorders>
              <w:bottom w:val="nil"/>
            </w:tcBorders>
          </w:tcPr>
          <w:p>
            <w:pPr>
              <w:pStyle w:val="TableText"/>
              <w:ind w:left="312"/>
              <w:spacing w:before="19" w:line="218" w:lineRule="auto"/>
              <w:rPr/>
            </w:pPr>
            <w:r>
              <w:rPr>
                <w:spacing w:val="8"/>
              </w:rPr>
              <w:t>序</w:t>
            </w:r>
            <w:r>
              <w:rPr>
                <w:spacing w:val="-38"/>
              </w:rPr>
              <w:t xml:space="preserve"> </w:t>
            </w:r>
            <w:r>
              <w:rPr>
                <w:spacing w:val="8"/>
              </w:rPr>
              <w:t>号</w:t>
            </w:r>
          </w:p>
        </w:tc>
        <w:tc>
          <w:tcPr>
            <w:tcW w:w="563" w:type="dxa"/>
            <w:vAlign w:val="top"/>
            <w:vMerge w:val="restart"/>
            <w:tcBorders>
              <w:bottom w:val="nil"/>
            </w:tcBorders>
          </w:tcPr>
          <w:p>
            <w:pPr>
              <w:pStyle w:val="TableText"/>
              <w:ind w:left="77"/>
              <w:spacing w:before="176" w:line="228" w:lineRule="auto"/>
              <w:rPr/>
            </w:pPr>
            <w:r>
              <w:rPr>
                <w:spacing w:val="3"/>
              </w:rPr>
              <w:t>建筑</w:t>
            </w:r>
          </w:p>
          <w:p>
            <w:pPr>
              <w:pStyle w:val="TableText"/>
              <w:ind w:left="176" w:right="73" w:hanging="102"/>
              <w:spacing w:before="23" w:line="253" w:lineRule="auto"/>
              <w:rPr/>
            </w:pPr>
            <w:r>
              <w:rPr>
                <w:spacing w:val="4"/>
              </w:rPr>
              <w:t>物名</w:t>
            </w:r>
            <w:r>
              <w:rPr/>
              <w:t xml:space="preserve"> </w:t>
            </w:r>
            <w:r>
              <w:rPr>
                <w:spacing w:val="1"/>
              </w:rPr>
              <w:t>称</w:t>
            </w:r>
          </w:p>
        </w:tc>
        <w:tc>
          <w:tcPr>
            <w:tcW w:w="1151" w:type="dxa"/>
            <w:vAlign w:val="top"/>
            <w:vMerge w:val="restart"/>
            <w:tcBorders>
              <w:bottom w:val="nil"/>
            </w:tcBorders>
          </w:tcPr>
          <w:p>
            <w:pPr>
              <w:spacing w:line="382" w:lineRule="auto"/>
              <w:rPr>
                <w:rFonts w:ascii="Arial"/>
                <w:sz w:val="21"/>
              </w:rPr>
            </w:pPr>
            <w:r/>
          </w:p>
          <w:p>
            <w:pPr>
              <w:pStyle w:val="TableText"/>
              <w:ind w:left="163"/>
              <w:spacing w:before="65" w:line="228" w:lineRule="auto"/>
              <w:rPr/>
            </w:pPr>
            <w:r>
              <w:rPr>
                <w:spacing w:val="6"/>
              </w:rPr>
              <w:t>声源名称</w:t>
            </w:r>
          </w:p>
        </w:tc>
        <w:tc>
          <w:tcPr>
            <w:tcW w:w="306" w:type="dxa"/>
            <w:vAlign w:val="top"/>
            <w:vMerge w:val="restart"/>
            <w:textDirection w:val="tbRlV"/>
            <w:tcBorders>
              <w:bottom w:val="nil"/>
            </w:tcBorders>
          </w:tcPr>
          <w:p>
            <w:pPr>
              <w:pStyle w:val="TableText"/>
              <w:ind w:left="312"/>
              <w:spacing w:before="47" w:line="216" w:lineRule="auto"/>
              <w:rPr/>
            </w:pPr>
            <w:r>
              <w:rPr>
                <w:spacing w:val="8"/>
              </w:rPr>
              <w:t>单</w:t>
            </w:r>
            <w:r>
              <w:rPr>
                <w:spacing w:val="-38"/>
              </w:rPr>
              <w:t xml:space="preserve"> </w:t>
            </w:r>
            <w:r>
              <w:rPr>
                <w:spacing w:val="8"/>
              </w:rPr>
              <w:t>位</w:t>
            </w:r>
          </w:p>
        </w:tc>
        <w:tc>
          <w:tcPr>
            <w:tcW w:w="325" w:type="dxa"/>
            <w:vAlign w:val="top"/>
            <w:vMerge w:val="restart"/>
            <w:textDirection w:val="tbRlV"/>
            <w:tcBorders>
              <w:bottom w:val="nil"/>
            </w:tcBorders>
          </w:tcPr>
          <w:p>
            <w:pPr>
              <w:pStyle w:val="TableText"/>
              <w:ind w:left="312"/>
              <w:spacing w:before="57" w:line="216" w:lineRule="auto"/>
              <w:rPr/>
            </w:pPr>
            <w:r>
              <w:rPr>
                <w:spacing w:val="8"/>
              </w:rPr>
              <w:t>数</w:t>
            </w:r>
            <w:r>
              <w:rPr>
                <w:spacing w:val="-38"/>
              </w:rPr>
              <w:t xml:space="preserve"> </w:t>
            </w:r>
            <w:r>
              <w:rPr>
                <w:spacing w:val="8"/>
              </w:rPr>
              <w:t>量</w:t>
            </w:r>
          </w:p>
        </w:tc>
        <w:tc>
          <w:tcPr>
            <w:tcW w:w="1347" w:type="dxa"/>
            <w:vAlign w:val="top"/>
            <w:gridSpan w:val="3"/>
          </w:tcPr>
          <w:p>
            <w:pPr>
              <w:pStyle w:val="TableText"/>
              <w:ind w:left="52"/>
              <w:spacing w:before="33" w:line="219" w:lineRule="auto"/>
              <w:rPr/>
            </w:pPr>
            <w:r>
              <w:rPr>
                <w:spacing w:val="7"/>
              </w:rPr>
              <w:t>空间位置分布</w:t>
            </w:r>
          </w:p>
        </w:tc>
        <w:tc>
          <w:tcPr>
            <w:tcW w:w="607" w:type="dxa"/>
            <w:vAlign w:val="top"/>
            <w:vMerge w:val="restart"/>
            <w:tcBorders>
              <w:bottom w:val="nil"/>
            </w:tcBorders>
          </w:tcPr>
          <w:p>
            <w:pPr>
              <w:spacing w:line="260" w:lineRule="auto"/>
              <w:rPr>
                <w:rFonts w:ascii="Arial"/>
                <w:sz w:val="21"/>
              </w:rPr>
            </w:pPr>
            <w:r/>
          </w:p>
          <w:p>
            <w:pPr>
              <w:pStyle w:val="TableText"/>
              <w:ind w:left="1" w:right="8" w:firstLine="95"/>
              <w:spacing w:before="65" w:line="259" w:lineRule="auto"/>
              <w:rPr>
                <w:rFonts w:ascii="Times New Roman" w:hAnsi="Times New Roman" w:eastAsia="Times New Roman" w:cs="Times New Roman"/>
              </w:rPr>
            </w:pPr>
            <w:r>
              <w:rPr>
                <w:spacing w:val="5"/>
              </w:rPr>
              <w:t>源强</w:t>
            </w:r>
            <w:r>
              <w:rPr/>
              <w:t xml:space="preserve">  </w:t>
            </w:r>
            <w:r>
              <w:rPr>
                <w:rFonts w:ascii="Times New Roman" w:hAnsi="Times New Roman" w:eastAsia="Times New Roman" w:cs="Times New Roman"/>
                <w:spacing w:val="6"/>
              </w:rPr>
              <w:t>/</w:t>
            </w:r>
            <w:r>
              <w:rPr>
                <w:rFonts w:ascii="Times New Roman" w:hAnsi="Times New Roman" w:eastAsia="Times New Roman" w:cs="Times New Roman"/>
              </w:rPr>
              <w:t>dB</w:t>
            </w:r>
            <w:r>
              <w:rPr>
                <w:rFonts w:ascii="Times New Roman" w:hAnsi="Times New Roman" w:eastAsia="Times New Roman" w:cs="Times New Roman"/>
                <w:spacing w:val="6"/>
              </w:rPr>
              <w:t>(A)</w:t>
            </w:r>
          </w:p>
        </w:tc>
        <w:tc>
          <w:tcPr>
            <w:tcW w:w="495" w:type="dxa"/>
            <w:vAlign w:val="top"/>
            <w:vMerge w:val="restart"/>
            <w:tcBorders>
              <w:bottom w:val="nil"/>
            </w:tcBorders>
          </w:tcPr>
          <w:p>
            <w:pPr>
              <w:pStyle w:val="TableText"/>
              <w:ind w:left="47"/>
              <w:spacing w:before="176" w:line="228" w:lineRule="auto"/>
              <w:rPr/>
            </w:pPr>
            <w:r>
              <w:rPr>
                <w:spacing w:val="2"/>
              </w:rPr>
              <w:t>声源</w:t>
            </w:r>
          </w:p>
          <w:p>
            <w:pPr>
              <w:pStyle w:val="TableText"/>
              <w:ind w:left="42"/>
              <w:spacing w:before="24" w:line="228" w:lineRule="auto"/>
              <w:rPr/>
            </w:pPr>
            <w:r>
              <w:rPr>
                <w:spacing w:val="5"/>
              </w:rPr>
              <w:t>控制</w:t>
            </w:r>
          </w:p>
          <w:p>
            <w:pPr>
              <w:pStyle w:val="TableText"/>
              <w:ind w:left="42"/>
              <w:spacing w:before="24" w:line="228" w:lineRule="auto"/>
              <w:rPr/>
            </w:pPr>
            <w:r>
              <w:rPr>
                <w:spacing w:val="4"/>
              </w:rPr>
              <w:t>措施</w:t>
            </w:r>
          </w:p>
        </w:tc>
        <w:tc>
          <w:tcPr>
            <w:tcW w:w="454" w:type="dxa"/>
            <w:vAlign w:val="top"/>
            <w:vMerge w:val="restart"/>
            <w:tcBorders>
              <w:bottom w:val="nil"/>
            </w:tcBorders>
          </w:tcPr>
          <w:p>
            <w:pPr>
              <w:pStyle w:val="TableText"/>
              <w:ind w:left="19"/>
              <w:spacing w:before="38" w:line="236" w:lineRule="auto"/>
              <w:rPr/>
            </w:pPr>
            <w:r>
              <w:rPr>
                <w:spacing w:val="5"/>
              </w:rPr>
              <w:t>距室</w:t>
            </w:r>
          </w:p>
          <w:p>
            <w:pPr>
              <w:pStyle w:val="TableText"/>
              <w:ind w:left="46"/>
              <w:spacing w:before="15" w:line="228" w:lineRule="auto"/>
              <w:rPr/>
            </w:pPr>
            <w:r>
              <w:rPr>
                <w:spacing w:val="-8"/>
              </w:rPr>
              <w:t>内边</w:t>
            </w:r>
          </w:p>
          <w:p>
            <w:pPr>
              <w:pStyle w:val="TableText"/>
              <w:ind w:left="19" w:right="12" w:firstLine="6"/>
              <w:spacing w:before="26" w:line="237" w:lineRule="auto"/>
              <w:rPr>
                <w:rFonts w:ascii="Times New Roman" w:hAnsi="Times New Roman" w:eastAsia="Times New Roman" w:cs="Times New Roman"/>
              </w:rPr>
            </w:pPr>
            <w:r>
              <w:rPr>
                <w:spacing w:val="2"/>
              </w:rPr>
              <w:t>界距</w:t>
            </w:r>
            <w:r>
              <w:rPr/>
              <w:t xml:space="preserve"> </w:t>
            </w:r>
            <w:r>
              <w:rPr>
                <w:spacing w:val="2"/>
              </w:rPr>
              <w:t>离</w:t>
            </w:r>
            <w:r>
              <w:rPr>
                <w:rFonts w:ascii="Times New Roman" w:hAnsi="Times New Roman" w:eastAsia="Times New Roman" w:cs="Times New Roman"/>
                <w:spacing w:val="2"/>
              </w:rPr>
              <w:t>/m</w:t>
            </w:r>
          </w:p>
        </w:tc>
        <w:tc>
          <w:tcPr>
            <w:tcW w:w="637" w:type="dxa"/>
            <w:vAlign w:val="top"/>
            <w:vMerge w:val="restart"/>
            <w:tcBorders>
              <w:bottom w:val="nil"/>
            </w:tcBorders>
          </w:tcPr>
          <w:p>
            <w:pPr>
              <w:pStyle w:val="TableText"/>
              <w:ind w:left="117"/>
              <w:spacing w:before="55" w:line="228" w:lineRule="auto"/>
              <w:rPr/>
            </w:pPr>
            <w:r>
              <w:rPr>
                <w:spacing w:val="3"/>
              </w:rPr>
              <w:t>室内</w:t>
            </w:r>
          </w:p>
          <w:p>
            <w:pPr>
              <w:pStyle w:val="TableText"/>
              <w:ind w:left="113"/>
              <w:spacing w:before="24" w:line="229" w:lineRule="auto"/>
              <w:rPr/>
            </w:pPr>
            <w:r>
              <w:rPr>
                <w:spacing w:val="5"/>
              </w:rPr>
              <w:t>边界</w:t>
            </w:r>
          </w:p>
          <w:p>
            <w:pPr>
              <w:pStyle w:val="TableText"/>
              <w:ind w:left="17" w:right="22" w:firstLine="100"/>
              <w:spacing w:before="23" w:line="244" w:lineRule="auto"/>
              <w:rPr>
                <w:rFonts w:ascii="Times New Roman" w:hAnsi="Times New Roman" w:eastAsia="Times New Roman" w:cs="Times New Roman"/>
              </w:rPr>
            </w:pPr>
            <w:r>
              <w:rPr>
                <w:spacing w:val="2"/>
              </w:rPr>
              <w:t>声级</w:t>
            </w:r>
            <w:r>
              <w:rPr/>
              <w:t xml:space="preserve">  </w:t>
            </w:r>
            <w:r>
              <w:rPr>
                <w:rFonts w:ascii="Times New Roman" w:hAnsi="Times New Roman" w:eastAsia="Times New Roman" w:cs="Times New Roman"/>
                <w:spacing w:val="6"/>
              </w:rPr>
              <w:t>/</w:t>
            </w:r>
            <w:r>
              <w:rPr>
                <w:rFonts w:ascii="Times New Roman" w:hAnsi="Times New Roman" w:eastAsia="Times New Roman" w:cs="Times New Roman"/>
              </w:rPr>
              <w:t>dB</w:t>
            </w:r>
            <w:r>
              <w:rPr>
                <w:rFonts w:ascii="Times New Roman" w:hAnsi="Times New Roman" w:eastAsia="Times New Roman" w:cs="Times New Roman"/>
                <w:spacing w:val="6"/>
              </w:rPr>
              <w:t>(A)</w:t>
            </w:r>
          </w:p>
        </w:tc>
        <w:tc>
          <w:tcPr>
            <w:tcW w:w="454" w:type="dxa"/>
            <w:vAlign w:val="top"/>
            <w:vMerge w:val="restart"/>
            <w:tcBorders>
              <w:bottom w:val="nil"/>
            </w:tcBorders>
          </w:tcPr>
          <w:p>
            <w:pPr>
              <w:spacing w:line="246" w:lineRule="auto"/>
              <w:rPr>
                <w:rFonts w:ascii="Arial"/>
                <w:sz w:val="21"/>
              </w:rPr>
            </w:pPr>
            <w:r/>
          </w:p>
          <w:p>
            <w:pPr>
              <w:pStyle w:val="TableText"/>
              <w:ind w:left="21"/>
              <w:spacing w:before="65" w:line="228" w:lineRule="auto"/>
              <w:rPr/>
            </w:pPr>
            <w:r>
              <w:rPr>
                <w:spacing w:val="4"/>
              </w:rPr>
              <w:t>运行</w:t>
            </w:r>
          </w:p>
          <w:p>
            <w:pPr>
              <w:pStyle w:val="TableText"/>
              <w:ind w:left="31"/>
              <w:spacing w:before="23" w:line="229" w:lineRule="auto"/>
              <w:rPr/>
            </w:pPr>
            <w:r>
              <w:rPr>
                <w:spacing w:val="-1"/>
              </w:rPr>
              <w:t>时段</w:t>
            </w:r>
          </w:p>
        </w:tc>
        <w:tc>
          <w:tcPr>
            <w:tcW w:w="654" w:type="dxa"/>
            <w:vAlign w:val="top"/>
            <w:vMerge w:val="restart"/>
            <w:tcBorders>
              <w:bottom w:val="nil"/>
            </w:tcBorders>
          </w:tcPr>
          <w:p>
            <w:pPr>
              <w:pStyle w:val="TableText"/>
              <w:ind w:left="21"/>
              <w:spacing w:before="56" w:line="228" w:lineRule="auto"/>
              <w:rPr/>
            </w:pPr>
            <w:r>
              <w:rPr>
                <w:spacing w:val="6"/>
              </w:rPr>
              <w:t>建筑物</w:t>
            </w:r>
          </w:p>
          <w:p>
            <w:pPr>
              <w:pStyle w:val="TableText"/>
              <w:ind w:left="18"/>
              <w:spacing w:before="24" w:line="228" w:lineRule="auto"/>
              <w:rPr/>
            </w:pPr>
            <w:r>
              <w:rPr>
                <w:spacing w:val="7"/>
              </w:rPr>
              <w:t>插入损</w:t>
            </w:r>
          </w:p>
          <w:p>
            <w:pPr>
              <w:pStyle w:val="TableText"/>
              <w:ind w:left="232"/>
              <w:spacing w:before="23" w:line="229" w:lineRule="auto"/>
              <w:rPr/>
            </w:pPr>
            <w:r>
              <w:rPr/>
              <w:t>失</w:t>
            </w:r>
          </w:p>
          <w:p>
            <w:pPr>
              <w:ind w:left="27"/>
              <w:spacing w:before="42"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rPr>
              <w:t>dB</w:t>
            </w:r>
            <w:r>
              <w:rPr>
                <w:rFonts w:ascii="Times New Roman" w:hAnsi="Times New Roman" w:eastAsia="Times New Roman" w:cs="Times New Roman"/>
                <w:sz w:val="20"/>
                <w:szCs w:val="20"/>
                <w:spacing w:val="6"/>
              </w:rPr>
              <w:t>(A)</w:t>
            </w:r>
          </w:p>
        </w:tc>
        <w:tc>
          <w:tcPr>
            <w:tcW w:w="1310" w:type="dxa"/>
            <w:vAlign w:val="top"/>
            <w:gridSpan w:val="2"/>
          </w:tcPr>
          <w:p>
            <w:pPr>
              <w:pStyle w:val="TableText"/>
              <w:ind w:left="32"/>
              <w:spacing w:before="33" w:line="219" w:lineRule="auto"/>
              <w:rPr/>
            </w:pPr>
            <w:r>
              <w:rPr>
                <w:spacing w:val="7"/>
              </w:rPr>
              <w:t>建筑物外噪声</w:t>
            </w:r>
          </w:p>
        </w:tc>
      </w:tr>
      <w:tr>
        <w:trPr>
          <w:trHeight w:val="821" w:hRule="atLeast"/>
        </w:trPr>
        <w:tc>
          <w:tcPr>
            <w:tcW w:w="253" w:type="dxa"/>
            <w:vAlign w:val="top"/>
            <w:vMerge w:val="continue"/>
            <w:textDirection w:val="tbRlV"/>
            <w:tcBorders>
              <w:top w:val="nil"/>
            </w:tcBorders>
          </w:tcPr>
          <w:p>
            <w:pPr>
              <w:rPr>
                <w:rFonts w:ascii="Arial"/>
                <w:sz w:val="21"/>
              </w:rPr>
            </w:pPr>
            <w:r/>
          </w:p>
        </w:tc>
        <w:tc>
          <w:tcPr>
            <w:tcW w:w="563" w:type="dxa"/>
            <w:vAlign w:val="top"/>
            <w:vMerge w:val="continue"/>
            <w:tcBorders>
              <w:top w:val="nil"/>
            </w:tcBorders>
          </w:tcPr>
          <w:p>
            <w:pPr>
              <w:rPr>
                <w:rFonts w:ascii="Arial"/>
                <w:sz w:val="21"/>
              </w:rPr>
            </w:pPr>
            <w:r/>
          </w:p>
        </w:tc>
        <w:tc>
          <w:tcPr>
            <w:tcW w:w="1151" w:type="dxa"/>
            <w:vAlign w:val="top"/>
            <w:vMerge w:val="continue"/>
            <w:tcBorders>
              <w:top w:val="nil"/>
            </w:tcBorders>
          </w:tcPr>
          <w:p>
            <w:pPr>
              <w:rPr>
                <w:rFonts w:ascii="Arial"/>
                <w:sz w:val="21"/>
              </w:rPr>
            </w:pPr>
            <w:r/>
          </w:p>
        </w:tc>
        <w:tc>
          <w:tcPr>
            <w:tcW w:w="306" w:type="dxa"/>
            <w:vAlign w:val="top"/>
            <w:vMerge w:val="continue"/>
            <w:textDirection w:val="tbRlV"/>
            <w:tcBorders>
              <w:top w:val="nil"/>
            </w:tcBorders>
          </w:tcPr>
          <w:p>
            <w:pPr>
              <w:rPr>
                <w:rFonts w:ascii="Arial"/>
                <w:sz w:val="21"/>
              </w:rPr>
            </w:pPr>
            <w:r/>
          </w:p>
        </w:tc>
        <w:tc>
          <w:tcPr>
            <w:tcW w:w="325" w:type="dxa"/>
            <w:vAlign w:val="top"/>
            <w:vMerge w:val="continue"/>
            <w:textDirection w:val="tbRlV"/>
            <w:tcBorders>
              <w:top w:val="nil"/>
            </w:tcBorders>
          </w:tcPr>
          <w:p>
            <w:pPr>
              <w:rPr>
                <w:rFonts w:ascii="Arial"/>
                <w:sz w:val="21"/>
              </w:rPr>
            </w:pPr>
            <w:r/>
          </w:p>
        </w:tc>
        <w:tc>
          <w:tcPr>
            <w:tcW w:w="419" w:type="dxa"/>
            <w:vAlign w:val="top"/>
          </w:tcPr>
          <w:p>
            <w:pPr>
              <w:spacing w:line="284" w:lineRule="auto"/>
              <w:rPr>
                <w:rFonts w:ascii="Arial"/>
                <w:sz w:val="21"/>
              </w:rPr>
            </w:pPr>
            <w:r/>
          </w:p>
          <w:p>
            <w:pPr>
              <w:ind w:left="130"/>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X</w:t>
            </w:r>
          </w:p>
        </w:tc>
        <w:tc>
          <w:tcPr>
            <w:tcW w:w="423" w:type="dxa"/>
            <w:vAlign w:val="top"/>
          </w:tcPr>
          <w:p>
            <w:pPr>
              <w:spacing w:line="284" w:lineRule="auto"/>
              <w:rPr>
                <w:rFonts w:ascii="Arial"/>
                <w:sz w:val="21"/>
              </w:rPr>
            </w:pPr>
            <w:r/>
          </w:p>
          <w:p>
            <w:pPr>
              <w:ind w:left="131"/>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Y</w:t>
            </w:r>
          </w:p>
        </w:tc>
        <w:tc>
          <w:tcPr>
            <w:tcW w:w="505" w:type="dxa"/>
            <w:vAlign w:val="top"/>
          </w:tcPr>
          <w:p>
            <w:pPr>
              <w:spacing w:line="284" w:lineRule="auto"/>
              <w:rPr>
                <w:rFonts w:ascii="Arial"/>
                <w:sz w:val="21"/>
              </w:rPr>
            </w:pPr>
            <w:r/>
          </w:p>
          <w:p>
            <w:pPr>
              <w:ind w:left="187"/>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Z</w:t>
            </w:r>
          </w:p>
        </w:tc>
        <w:tc>
          <w:tcPr>
            <w:tcW w:w="607" w:type="dxa"/>
            <w:vAlign w:val="top"/>
            <w:vMerge w:val="continue"/>
            <w:tcBorders>
              <w:top w:val="nil"/>
            </w:tcBorders>
          </w:tcPr>
          <w:p>
            <w:pPr>
              <w:rPr>
                <w:rFonts w:ascii="Arial"/>
                <w:sz w:val="21"/>
              </w:rPr>
            </w:pPr>
            <w:r/>
          </w:p>
        </w:tc>
        <w:tc>
          <w:tcPr>
            <w:tcW w:w="495" w:type="dxa"/>
            <w:vAlign w:val="top"/>
            <w:vMerge w:val="continue"/>
            <w:tcBorders>
              <w:top w:val="nil"/>
            </w:tcBorders>
          </w:tcPr>
          <w:p>
            <w:pPr>
              <w:rPr>
                <w:rFonts w:ascii="Arial"/>
                <w:sz w:val="21"/>
              </w:rPr>
            </w:pPr>
            <w:r/>
          </w:p>
        </w:tc>
        <w:tc>
          <w:tcPr>
            <w:tcW w:w="454" w:type="dxa"/>
            <w:vAlign w:val="top"/>
            <w:vMerge w:val="continue"/>
            <w:tcBorders>
              <w:top w:val="nil"/>
            </w:tcBorders>
          </w:tcPr>
          <w:p>
            <w:pPr>
              <w:rPr>
                <w:rFonts w:ascii="Arial"/>
                <w:sz w:val="21"/>
              </w:rPr>
            </w:pPr>
            <w:r/>
          </w:p>
        </w:tc>
        <w:tc>
          <w:tcPr>
            <w:tcW w:w="637" w:type="dxa"/>
            <w:vAlign w:val="top"/>
            <w:vMerge w:val="continue"/>
            <w:tcBorders>
              <w:top w:val="nil"/>
            </w:tcBorders>
          </w:tcPr>
          <w:p>
            <w:pPr>
              <w:rPr>
                <w:rFonts w:ascii="Arial"/>
                <w:sz w:val="21"/>
              </w:rPr>
            </w:pPr>
            <w:r/>
          </w:p>
        </w:tc>
        <w:tc>
          <w:tcPr>
            <w:tcW w:w="454" w:type="dxa"/>
            <w:vAlign w:val="top"/>
            <w:vMerge w:val="continue"/>
            <w:tcBorders>
              <w:top w:val="nil"/>
            </w:tcBorders>
          </w:tcPr>
          <w:p>
            <w:pPr>
              <w:rPr>
                <w:rFonts w:ascii="Arial"/>
                <w:sz w:val="21"/>
              </w:rPr>
            </w:pPr>
            <w:r/>
          </w:p>
        </w:tc>
        <w:tc>
          <w:tcPr>
            <w:tcW w:w="654" w:type="dxa"/>
            <w:vAlign w:val="top"/>
            <w:vMerge w:val="continue"/>
            <w:tcBorders>
              <w:top w:val="nil"/>
            </w:tcBorders>
          </w:tcPr>
          <w:p>
            <w:pPr>
              <w:rPr>
                <w:rFonts w:ascii="Arial"/>
                <w:sz w:val="21"/>
              </w:rPr>
            </w:pPr>
            <w:r/>
          </w:p>
        </w:tc>
        <w:tc>
          <w:tcPr>
            <w:tcW w:w="740" w:type="dxa"/>
            <w:vAlign w:val="top"/>
          </w:tcPr>
          <w:p>
            <w:pPr>
              <w:pStyle w:val="TableText"/>
              <w:ind w:left="72" w:right="53" w:hanging="7"/>
              <w:spacing w:before="182" w:line="259" w:lineRule="auto"/>
              <w:rPr>
                <w:rFonts w:ascii="Times New Roman" w:hAnsi="Times New Roman" w:eastAsia="Times New Roman" w:cs="Times New Roman"/>
              </w:rPr>
            </w:pPr>
            <w:r>
              <w:rPr>
                <w:spacing w:val="5"/>
              </w:rPr>
              <w:t>声压级</w:t>
            </w:r>
            <w:r>
              <w:rPr/>
              <w:t xml:space="preserve"> </w:t>
            </w:r>
            <w:r>
              <w:rPr>
                <w:rFonts w:ascii="Times New Roman" w:hAnsi="Times New Roman" w:eastAsia="Times New Roman" w:cs="Times New Roman"/>
                <w:spacing w:val="6"/>
              </w:rPr>
              <w:t>/</w:t>
            </w:r>
            <w:r>
              <w:rPr>
                <w:rFonts w:ascii="Times New Roman" w:hAnsi="Times New Roman" w:eastAsia="Times New Roman" w:cs="Times New Roman"/>
              </w:rPr>
              <w:t>dB</w:t>
            </w:r>
            <w:r>
              <w:rPr>
                <w:rFonts w:ascii="Times New Roman" w:hAnsi="Times New Roman" w:eastAsia="Times New Roman" w:cs="Times New Roman"/>
                <w:spacing w:val="6"/>
              </w:rPr>
              <w:t>(A)</w:t>
            </w:r>
          </w:p>
        </w:tc>
        <w:tc>
          <w:tcPr>
            <w:tcW w:w="570" w:type="dxa"/>
            <w:vAlign w:val="top"/>
          </w:tcPr>
          <w:p>
            <w:pPr>
              <w:pStyle w:val="TableText"/>
              <w:ind w:left="84"/>
              <w:spacing w:before="31" w:line="228" w:lineRule="auto"/>
              <w:rPr/>
            </w:pPr>
            <w:r>
              <w:rPr>
                <w:spacing w:val="3"/>
              </w:rPr>
              <w:t>建筑</w:t>
            </w:r>
          </w:p>
          <w:p>
            <w:pPr>
              <w:pStyle w:val="TableText"/>
              <w:ind w:left="81"/>
              <w:spacing w:before="26" w:line="228" w:lineRule="auto"/>
              <w:rPr/>
            </w:pPr>
            <w:r>
              <w:rPr>
                <w:spacing w:val="4"/>
              </w:rPr>
              <w:t>物外</w:t>
            </w:r>
          </w:p>
          <w:p>
            <w:pPr>
              <w:pStyle w:val="TableText"/>
              <w:ind w:left="80"/>
              <w:spacing w:before="23" w:line="217" w:lineRule="auto"/>
              <w:rPr/>
            </w:pPr>
            <w:r>
              <w:rPr>
                <w:spacing w:val="5"/>
              </w:rPr>
              <w:t>距离</w:t>
            </w:r>
          </w:p>
        </w:tc>
      </w:tr>
      <w:tr>
        <w:trPr>
          <w:trHeight w:val="277" w:hRule="atLeast"/>
        </w:trPr>
        <w:tc>
          <w:tcPr>
            <w:tcW w:w="253" w:type="dxa"/>
            <w:vAlign w:val="top"/>
            <w:vMerge w:val="restart"/>
            <w:tcBorders>
              <w:bottom w:val="nil"/>
            </w:tcBorders>
          </w:tcPr>
          <w:p>
            <w:pPr>
              <w:spacing w:line="286" w:lineRule="auto"/>
              <w:rPr>
                <w:rFonts w:ascii="Arial"/>
                <w:sz w:val="21"/>
              </w:rPr>
            </w:pPr>
            <w:r/>
          </w:p>
          <w:p>
            <w:pPr>
              <w:spacing w:line="286" w:lineRule="auto"/>
              <w:rPr>
                <w:rFonts w:ascii="Arial"/>
                <w:sz w:val="21"/>
              </w:rPr>
            </w:pPr>
            <w:r/>
          </w:p>
          <w:p>
            <w:pPr>
              <w:ind w:left="94"/>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563" w:type="dxa"/>
            <w:vAlign w:val="top"/>
            <w:vMerge w:val="restart"/>
            <w:tcBorders>
              <w:bottom w:val="nil"/>
            </w:tcBorders>
          </w:tcPr>
          <w:p>
            <w:pPr>
              <w:spacing w:line="257" w:lineRule="auto"/>
              <w:rPr>
                <w:rFonts w:ascii="Arial"/>
                <w:sz w:val="21"/>
              </w:rPr>
            </w:pPr>
            <w:r/>
          </w:p>
          <w:p>
            <w:pPr>
              <w:pStyle w:val="TableText"/>
              <w:ind w:left="73"/>
              <w:spacing w:before="65" w:line="229" w:lineRule="auto"/>
              <w:rPr/>
            </w:pPr>
            <w:r>
              <w:rPr>
                <w:spacing w:val="5"/>
              </w:rPr>
              <w:t>洗毛</w:t>
            </w:r>
          </w:p>
          <w:p>
            <w:pPr>
              <w:pStyle w:val="TableText"/>
              <w:ind w:left="76"/>
              <w:spacing w:before="25" w:line="228" w:lineRule="auto"/>
              <w:rPr/>
            </w:pPr>
            <w:r>
              <w:rPr>
                <w:spacing w:val="3"/>
              </w:rPr>
              <w:t>车间</w:t>
            </w:r>
          </w:p>
          <w:p>
            <w:pPr>
              <w:pStyle w:val="TableText"/>
              <w:ind w:left="181"/>
              <w:spacing w:before="102" w:line="156" w:lineRule="exact"/>
              <w:rPr/>
            </w:pPr>
            <w:r>
              <w:rPr>
                <w:position w:val="-4"/>
              </w:rPr>
              <w:t>一</w:t>
            </w:r>
          </w:p>
        </w:tc>
        <w:tc>
          <w:tcPr>
            <w:tcW w:w="1151" w:type="dxa"/>
            <w:vAlign w:val="top"/>
          </w:tcPr>
          <w:p>
            <w:pPr>
              <w:pStyle w:val="TableText"/>
              <w:ind w:left="262"/>
              <w:spacing w:before="33" w:line="216" w:lineRule="auto"/>
              <w:rPr/>
            </w:pPr>
            <w:r>
              <w:rPr>
                <w:spacing w:val="7"/>
              </w:rPr>
              <w:t>解包机</w:t>
            </w:r>
          </w:p>
        </w:tc>
        <w:tc>
          <w:tcPr>
            <w:tcW w:w="306" w:type="dxa"/>
            <w:vAlign w:val="top"/>
          </w:tcPr>
          <w:p>
            <w:pPr>
              <w:pStyle w:val="TableText"/>
              <w:ind w:left="69"/>
              <w:spacing w:before="33" w:line="216" w:lineRule="auto"/>
              <w:rPr/>
            </w:pPr>
            <w:r>
              <w:rPr/>
              <w:t>台</w:t>
            </w:r>
          </w:p>
        </w:tc>
        <w:tc>
          <w:tcPr>
            <w:tcW w:w="325" w:type="dxa"/>
            <w:vAlign w:val="top"/>
          </w:tcPr>
          <w:p>
            <w:pPr>
              <w:ind w:left="13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19" w:type="dxa"/>
            <w:vAlign w:val="top"/>
          </w:tcPr>
          <w:p>
            <w:pPr>
              <w:ind w:left="5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219</w:t>
            </w:r>
          </w:p>
        </w:tc>
        <w:tc>
          <w:tcPr>
            <w:tcW w:w="423" w:type="dxa"/>
            <w:vAlign w:val="top"/>
          </w:tcPr>
          <w:p>
            <w:pPr>
              <w:ind w:left="7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163</w:t>
            </w:r>
          </w:p>
        </w:tc>
        <w:tc>
          <w:tcPr>
            <w:tcW w:w="505" w:type="dxa"/>
            <w:vAlign w:val="top"/>
          </w:tcPr>
          <w:p>
            <w:pPr>
              <w:ind w:left="22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07" w:type="dxa"/>
            <w:vAlign w:val="top"/>
          </w:tcPr>
          <w:p>
            <w:pPr>
              <w:ind w:left="20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85</w:t>
            </w:r>
          </w:p>
        </w:tc>
        <w:tc>
          <w:tcPr>
            <w:tcW w:w="495" w:type="dxa"/>
            <w:vAlign w:val="top"/>
            <w:vMerge w:val="restart"/>
            <w:tcBorders>
              <w:bottom w:val="nil"/>
            </w:tcBorders>
          </w:tcPr>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1" w:lineRule="auto"/>
              <w:rPr>
                <w:rFonts w:ascii="Arial"/>
                <w:sz w:val="21"/>
              </w:rPr>
            </w:pPr>
            <w:r/>
          </w:p>
          <w:p>
            <w:pPr>
              <w:spacing w:line="261" w:lineRule="auto"/>
              <w:rPr>
                <w:rFonts w:ascii="Arial"/>
                <w:sz w:val="21"/>
              </w:rPr>
            </w:pPr>
            <w:r/>
          </w:p>
          <w:p>
            <w:pPr>
              <w:pStyle w:val="TableText"/>
              <w:ind w:left="47" w:right="72" w:firstLine="111"/>
              <w:spacing w:before="65" w:line="251" w:lineRule="auto"/>
              <w:rPr/>
            </w:pPr>
            <w:r>
              <w:rPr>
                <w:spacing w:val="-12"/>
              </w:rPr>
              <w:t>隔</w:t>
            </w:r>
            <w:r>
              <w:rPr/>
              <w:t xml:space="preserve"> </w:t>
            </w:r>
            <w:r>
              <w:rPr>
                <w:spacing w:val="-15"/>
              </w:rPr>
              <w:t>声、</w:t>
            </w:r>
          </w:p>
          <w:p>
            <w:pPr>
              <w:pStyle w:val="TableText"/>
              <w:ind w:left="42"/>
              <w:spacing w:line="228" w:lineRule="auto"/>
              <w:rPr/>
            </w:pPr>
            <w:r>
              <w:rPr>
                <w:spacing w:val="4"/>
              </w:rPr>
              <w:t>减振</w:t>
            </w:r>
          </w:p>
        </w:tc>
        <w:tc>
          <w:tcPr>
            <w:tcW w:w="454" w:type="dxa"/>
            <w:vAlign w:val="top"/>
          </w:tcPr>
          <w:p>
            <w:pPr>
              <w:ind w:left="9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637" w:type="dxa"/>
            <w:vAlign w:val="top"/>
          </w:tcPr>
          <w:p>
            <w:pPr>
              <w:ind w:left="8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77.04</w:t>
            </w:r>
          </w:p>
        </w:tc>
        <w:tc>
          <w:tcPr>
            <w:tcW w:w="454" w:type="dxa"/>
            <w:vAlign w:val="top"/>
          </w:tcPr>
          <w:p>
            <w:pPr>
              <w:pStyle w:val="TableText"/>
              <w:ind w:left="21"/>
              <w:spacing w:before="33" w:line="216" w:lineRule="auto"/>
              <w:rPr/>
            </w:pPr>
            <w:r>
              <w:rPr>
                <w:spacing w:val="6"/>
              </w:rPr>
              <w:t>全天</w:t>
            </w:r>
          </w:p>
        </w:tc>
        <w:tc>
          <w:tcPr>
            <w:tcW w:w="654" w:type="dxa"/>
            <w:vAlign w:val="top"/>
          </w:tcPr>
          <w:p>
            <w:pPr>
              <w:ind w:left="22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52.04</w:t>
            </w:r>
          </w:p>
        </w:tc>
        <w:tc>
          <w:tcPr>
            <w:tcW w:w="570" w:type="dxa"/>
            <w:vAlign w:val="top"/>
          </w:tcPr>
          <w:p>
            <w:pPr>
              <w:ind w:left="17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bottom w:val="nil"/>
            </w:tcBorders>
          </w:tcPr>
          <w:p>
            <w:pPr>
              <w:rPr>
                <w:rFonts w:ascii="Arial"/>
                <w:sz w:val="21"/>
              </w:rPr>
            </w:pPr>
            <w:r/>
          </w:p>
        </w:tc>
        <w:tc>
          <w:tcPr>
            <w:tcW w:w="563" w:type="dxa"/>
            <w:vAlign w:val="top"/>
            <w:vMerge w:val="continue"/>
            <w:tcBorders>
              <w:top w:val="nil"/>
              <w:bottom w:val="nil"/>
            </w:tcBorders>
          </w:tcPr>
          <w:p>
            <w:pPr>
              <w:rPr>
                <w:rFonts w:ascii="Arial"/>
                <w:sz w:val="21"/>
              </w:rPr>
            </w:pPr>
            <w:r/>
          </w:p>
        </w:tc>
        <w:tc>
          <w:tcPr>
            <w:tcW w:w="1151" w:type="dxa"/>
            <w:vAlign w:val="top"/>
          </w:tcPr>
          <w:p>
            <w:pPr>
              <w:pStyle w:val="TableText"/>
              <w:ind w:left="273"/>
              <w:spacing w:before="31" w:line="217" w:lineRule="auto"/>
              <w:rPr/>
            </w:pPr>
            <w:r>
              <w:rPr>
                <w:spacing w:val="3"/>
              </w:rPr>
              <w:t>喂毛机</w:t>
            </w:r>
          </w:p>
        </w:tc>
        <w:tc>
          <w:tcPr>
            <w:tcW w:w="306" w:type="dxa"/>
            <w:vAlign w:val="top"/>
          </w:tcPr>
          <w:p>
            <w:pPr>
              <w:pStyle w:val="TableText"/>
              <w:ind w:left="69"/>
              <w:spacing w:before="31" w:line="217" w:lineRule="auto"/>
              <w:rPr/>
            </w:pPr>
            <w:r>
              <w:rPr/>
              <w:t>台</w:t>
            </w:r>
          </w:p>
        </w:tc>
        <w:tc>
          <w:tcPr>
            <w:tcW w:w="325" w:type="dxa"/>
            <w:vAlign w:val="top"/>
          </w:tcPr>
          <w:p>
            <w:pPr>
              <w:ind w:left="109"/>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419" w:type="dxa"/>
            <w:vAlign w:val="top"/>
          </w:tcPr>
          <w:p>
            <w:pPr>
              <w:ind w:left="51"/>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214</w:t>
            </w:r>
          </w:p>
        </w:tc>
        <w:tc>
          <w:tcPr>
            <w:tcW w:w="423" w:type="dxa"/>
            <w:vAlign w:val="top"/>
          </w:tcPr>
          <w:p>
            <w:pPr>
              <w:ind w:left="75"/>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166</w:t>
            </w:r>
          </w:p>
        </w:tc>
        <w:tc>
          <w:tcPr>
            <w:tcW w:w="505" w:type="dxa"/>
            <w:vAlign w:val="top"/>
          </w:tcPr>
          <w:p>
            <w:pPr>
              <w:ind w:left="220"/>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07" w:type="dxa"/>
            <w:vAlign w:val="top"/>
          </w:tcPr>
          <w:p>
            <w:pPr>
              <w:ind w:left="203"/>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70</w:t>
            </w:r>
          </w:p>
        </w:tc>
        <w:tc>
          <w:tcPr>
            <w:tcW w:w="495" w:type="dxa"/>
            <w:vAlign w:val="top"/>
            <w:vMerge w:val="continue"/>
            <w:tcBorders>
              <w:top w:val="nil"/>
              <w:bottom w:val="nil"/>
            </w:tcBorders>
          </w:tcPr>
          <w:p>
            <w:pPr>
              <w:rPr>
                <w:rFonts w:ascii="Arial"/>
                <w:sz w:val="21"/>
              </w:rPr>
            </w:pPr>
            <w:r/>
          </w:p>
        </w:tc>
        <w:tc>
          <w:tcPr>
            <w:tcW w:w="454" w:type="dxa"/>
            <w:vAlign w:val="top"/>
          </w:tcPr>
          <w:p>
            <w:pPr>
              <w:ind w:left="179"/>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637" w:type="dxa"/>
            <w:vAlign w:val="top"/>
          </w:tcPr>
          <w:p>
            <w:pPr>
              <w:ind w:left="88"/>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60.46</w:t>
            </w:r>
          </w:p>
        </w:tc>
        <w:tc>
          <w:tcPr>
            <w:tcW w:w="454" w:type="dxa"/>
            <w:vAlign w:val="top"/>
          </w:tcPr>
          <w:p>
            <w:pPr>
              <w:pStyle w:val="TableText"/>
              <w:ind w:left="21"/>
              <w:spacing w:before="31" w:line="217" w:lineRule="auto"/>
              <w:rPr/>
            </w:pPr>
            <w:r>
              <w:rPr>
                <w:spacing w:val="6"/>
              </w:rPr>
              <w:t>全天</w:t>
            </w:r>
          </w:p>
        </w:tc>
        <w:tc>
          <w:tcPr>
            <w:tcW w:w="654" w:type="dxa"/>
            <w:vAlign w:val="top"/>
          </w:tcPr>
          <w:p>
            <w:pPr>
              <w:ind w:left="223"/>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0"/>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35.46</w:t>
            </w:r>
          </w:p>
        </w:tc>
        <w:tc>
          <w:tcPr>
            <w:tcW w:w="570" w:type="dxa"/>
            <w:vAlign w:val="top"/>
          </w:tcPr>
          <w:p>
            <w:pPr>
              <w:ind w:left="17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bottom w:val="nil"/>
            </w:tcBorders>
          </w:tcPr>
          <w:p>
            <w:pPr>
              <w:rPr>
                <w:rFonts w:ascii="Arial"/>
                <w:sz w:val="21"/>
              </w:rPr>
            </w:pPr>
            <w:r/>
          </w:p>
        </w:tc>
        <w:tc>
          <w:tcPr>
            <w:tcW w:w="563" w:type="dxa"/>
            <w:vAlign w:val="top"/>
            <w:vMerge w:val="continue"/>
            <w:tcBorders>
              <w:top w:val="nil"/>
              <w:bottom w:val="nil"/>
            </w:tcBorders>
          </w:tcPr>
          <w:p>
            <w:pPr>
              <w:rPr>
                <w:rFonts w:ascii="Arial"/>
                <w:sz w:val="21"/>
              </w:rPr>
            </w:pPr>
            <w:r/>
          </w:p>
        </w:tc>
        <w:tc>
          <w:tcPr>
            <w:tcW w:w="1151" w:type="dxa"/>
            <w:vAlign w:val="top"/>
          </w:tcPr>
          <w:p>
            <w:pPr>
              <w:pStyle w:val="TableText"/>
              <w:ind w:left="263"/>
              <w:spacing w:before="33" w:line="216" w:lineRule="auto"/>
              <w:rPr/>
            </w:pPr>
            <w:r>
              <w:rPr>
                <w:spacing w:val="6"/>
              </w:rPr>
              <w:t>开松机</w:t>
            </w:r>
          </w:p>
        </w:tc>
        <w:tc>
          <w:tcPr>
            <w:tcW w:w="306" w:type="dxa"/>
            <w:vAlign w:val="top"/>
          </w:tcPr>
          <w:p>
            <w:pPr>
              <w:pStyle w:val="TableText"/>
              <w:ind w:left="69"/>
              <w:spacing w:before="33" w:line="216" w:lineRule="auto"/>
              <w:rPr/>
            </w:pPr>
            <w:r>
              <w:rPr/>
              <w:t>台</w:t>
            </w:r>
          </w:p>
        </w:tc>
        <w:tc>
          <w:tcPr>
            <w:tcW w:w="325" w:type="dxa"/>
            <w:vAlign w:val="top"/>
          </w:tcPr>
          <w:p>
            <w:pPr>
              <w:ind w:left="13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19" w:type="dxa"/>
            <w:vAlign w:val="top"/>
          </w:tcPr>
          <w:p>
            <w:pPr>
              <w:ind w:left="5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210</w:t>
            </w:r>
          </w:p>
        </w:tc>
        <w:tc>
          <w:tcPr>
            <w:tcW w:w="423" w:type="dxa"/>
            <w:vAlign w:val="top"/>
          </w:tcPr>
          <w:p>
            <w:pPr>
              <w:ind w:left="7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173</w:t>
            </w:r>
          </w:p>
        </w:tc>
        <w:tc>
          <w:tcPr>
            <w:tcW w:w="505" w:type="dxa"/>
            <w:vAlign w:val="top"/>
          </w:tcPr>
          <w:p>
            <w:pPr>
              <w:ind w:left="22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07" w:type="dxa"/>
            <w:vAlign w:val="top"/>
          </w:tcPr>
          <w:p>
            <w:pPr>
              <w:ind w:left="20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495" w:type="dxa"/>
            <w:vAlign w:val="top"/>
            <w:vMerge w:val="continue"/>
            <w:tcBorders>
              <w:top w:val="nil"/>
              <w:bottom w:val="nil"/>
            </w:tcBorders>
          </w:tcPr>
          <w:p>
            <w:pPr>
              <w:rPr>
                <w:rFonts w:ascii="Arial"/>
                <w:sz w:val="21"/>
              </w:rPr>
            </w:pPr>
            <w:r/>
          </w:p>
        </w:tc>
        <w:tc>
          <w:tcPr>
            <w:tcW w:w="454" w:type="dxa"/>
            <w:vAlign w:val="top"/>
          </w:tcPr>
          <w:p>
            <w:pPr>
              <w:ind w:left="181"/>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637" w:type="dxa"/>
            <w:vAlign w:val="top"/>
          </w:tcPr>
          <w:p>
            <w:pPr>
              <w:ind w:left="8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76.02</w:t>
            </w:r>
          </w:p>
        </w:tc>
        <w:tc>
          <w:tcPr>
            <w:tcW w:w="454" w:type="dxa"/>
            <w:vAlign w:val="top"/>
          </w:tcPr>
          <w:p>
            <w:pPr>
              <w:pStyle w:val="TableText"/>
              <w:ind w:left="21"/>
              <w:spacing w:before="33" w:line="216" w:lineRule="auto"/>
              <w:rPr/>
            </w:pPr>
            <w:r>
              <w:rPr>
                <w:spacing w:val="6"/>
              </w:rPr>
              <w:t>全天</w:t>
            </w:r>
          </w:p>
        </w:tc>
        <w:tc>
          <w:tcPr>
            <w:tcW w:w="654" w:type="dxa"/>
            <w:vAlign w:val="top"/>
          </w:tcPr>
          <w:p>
            <w:pPr>
              <w:ind w:left="22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51.02</w:t>
            </w:r>
          </w:p>
        </w:tc>
        <w:tc>
          <w:tcPr>
            <w:tcW w:w="570" w:type="dxa"/>
            <w:vAlign w:val="top"/>
          </w:tcPr>
          <w:p>
            <w:pPr>
              <w:ind w:left="17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bottom w:val="nil"/>
            </w:tcBorders>
          </w:tcPr>
          <w:p>
            <w:pPr>
              <w:rPr>
                <w:rFonts w:ascii="Arial"/>
                <w:sz w:val="21"/>
              </w:rPr>
            </w:pPr>
            <w:r/>
          </w:p>
        </w:tc>
        <w:tc>
          <w:tcPr>
            <w:tcW w:w="563" w:type="dxa"/>
            <w:vAlign w:val="top"/>
            <w:vMerge w:val="continue"/>
            <w:tcBorders>
              <w:top w:val="nil"/>
              <w:bottom w:val="nil"/>
            </w:tcBorders>
          </w:tcPr>
          <w:p>
            <w:pPr>
              <w:rPr>
                <w:rFonts w:ascii="Arial"/>
                <w:sz w:val="21"/>
              </w:rPr>
            </w:pPr>
            <w:r/>
          </w:p>
        </w:tc>
        <w:tc>
          <w:tcPr>
            <w:tcW w:w="1151" w:type="dxa"/>
            <w:vAlign w:val="top"/>
          </w:tcPr>
          <w:p>
            <w:pPr>
              <w:pStyle w:val="TableText"/>
              <w:ind w:left="263"/>
              <w:spacing w:before="35" w:line="214" w:lineRule="auto"/>
              <w:rPr/>
            </w:pPr>
            <w:r>
              <w:rPr>
                <w:spacing w:val="6"/>
              </w:rPr>
              <w:t>压水机</w:t>
            </w:r>
          </w:p>
        </w:tc>
        <w:tc>
          <w:tcPr>
            <w:tcW w:w="306" w:type="dxa"/>
            <w:vAlign w:val="top"/>
          </w:tcPr>
          <w:p>
            <w:pPr>
              <w:pStyle w:val="TableText"/>
              <w:ind w:left="69"/>
              <w:spacing w:before="35" w:line="214" w:lineRule="auto"/>
              <w:rPr/>
            </w:pPr>
            <w:r>
              <w:rPr/>
              <w:t>台</w:t>
            </w:r>
          </w:p>
        </w:tc>
        <w:tc>
          <w:tcPr>
            <w:tcW w:w="325" w:type="dxa"/>
            <w:vAlign w:val="top"/>
          </w:tcPr>
          <w:p>
            <w:pPr>
              <w:ind w:left="11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419" w:type="dxa"/>
            <w:vAlign w:val="top"/>
          </w:tcPr>
          <w:p>
            <w:pPr>
              <w:ind w:left="51"/>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206</w:t>
            </w:r>
          </w:p>
        </w:tc>
        <w:tc>
          <w:tcPr>
            <w:tcW w:w="423" w:type="dxa"/>
            <w:vAlign w:val="top"/>
          </w:tcPr>
          <w:p>
            <w:pPr>
              <w:ind w:left="7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178</w:t>
            </w:r>
          </w:p>
        </w:tc>
        <w:tc>
          <w:tcPr>
            <w:tcW w:w="505" w:type="dxa"/>
            <w:vAlign w:val="top"/>
          </w:tcPr>
          <w:p>
            <w:pPr>
              <w:ind w:left="22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07" w:type="dxa"/>
            <w:vAlign w:val="top"/>
          </w:tcPr>
          <w:p>
            <w:pPr>
              <w:ind w:left="20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495" w:type="dxa"/>
            <w:vAlign w:val="top"/>
            <w:vMerge w:val="continue"/>
            <w:tcBorders>
              <w:top w:val="nil"/>
              <w:bottom w:val="nil"/>
            </w:tcBorders>
          </w:tcPr>
          <w:p>
            <w:pPr>
              <w:rPr>
                <w:rFonts w:ascii="Arial"/>
                <w:sz w:val="21"/>
              </w:rPr>
            </w:pPr>
            <w:r/>
          </w:p>
        </w:tc>
        <w:tc>
          <w:tcPr>
            <w:tcW w:w="454" w:type="dxa"/>
            <w:vAlign w:val="top"/>
          </w:tcPr>
          <w:p>
            <w:pPr>
              <w:ind w:left="181"/>
              <w:spacing w:before="7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637" w:type="dxa"/>
            <w:vAlign w:val="top"/>
          </w:tcPr>
          <w:p>
            <w:pPr>
              <w:ind w:left="8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51.02</w:t>
            </w:r>
          </w:p>
        </w:tc>
        <w:tc>
          <w:tcPr>
            <w:tcW w:w="454" w:type="dxa"/>
            <w:vAlign w:val="top"/>
          </w:tcPr>
          <w:p>
            <w:pPr>
              <w:pStyle w:val="TableText"/>
              <w:ind w:left="21"/>
              <w:spacing w:before="35" w:line="214" w:lineRule="auto"/>
              <w:rPr/>
            </w:pPr>
            <w:r>
              <w:rPr>
                <w:spacing w:val="6"/>
              </w:rPr>
              <w:t>全天</w:t>
            </w:r>
          </w:p>
        </w:tc>
        <w:tc>
          <w:tcPr>
            <w:tcW w:w="654" w:type="dxa"/>
            <w:vAlign w:val="top"/>
          </w:tcPr>
          <w:p>
            <w:pPr>
              <w:ind w:left="22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3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26.02</w:t>
            </w:r>
          </w:p>
        </w:tc>
        <w:tc>
          <w:tcPr>
            <w:tcW w:w="570" w:type="dxa"/>
            <w:vAlign w:val="top"/>
          </w:tcPr>
          <w:p>
            <w:pPr>
              <w:ind w:left="17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tcBorders>
          </w:tcPr>
          <w:p>
            <w:pPr>
              <w:rPr>
                <w:rFonts w:ascii="Arial"/>
                <w:sz w:val="21"/>
              </w:rPr>
            </w:pPr>
            <w:r/>
          </w:p>
        </w:tc>
        <w:tc>
          <w:tcPr>
            <w:tcW w:w="563" w:type="dxa"/>
            <w:vAlign w:val="top"/>
            <w:vMerge w:val="continue"/>
            <w:tcBorders>
              <w:top w:val="nil"/>
            </w:tcBorders>
          </w:tcPr>
          <w:p>
            <w:pPr>
              <w:rPr>
                <w:rFonts w:ascii="Arial"/>
                <w:sz w:val="21"/>
              </w:rPr>
            </w:pPr>
            <w:r/>
          </w:p>
        </w:tc>
        <w:tc>
          <w:tcPr>
            <w:tcW w:w="1151" w:type="dxa"/>
            <w:vAlign w:val="top"/>
          </w:tcPr>
          <w:p>
            <w:pPr>
              <w:pStyle w:val="TableText"/>
              <w:ind w:left="53"/>
              <w:spacing w:before="33" w:line="216" w:lineRule="auto"/>
              <w:rPr/>
            </w:pPr>
            <w:r>
              <w:rPr>
                <w:spacing w:val="8"/>
              </w:rPr>
              <w:t>平帘烘干机</w:t>
            </w:r>
          </w:p>
        </w:tc>
        <w:tc>
          <w:tcPr>
            <w:tcW w:w="306" w:type="dxa"/>
            <w:vAlign w:val="top"/>
          </w:tcPr>
          <w:p>
            <w:pPr>
              <w:pStyle w:val="TableText"/>
              <w:ind w:left="69"/>
              <w:spacing w:before="33" w:line="216" w:lineRule="auto"/>
              <w:rPr/>
            </w:pPr>
            <w:r>
              <w:rPr/>
              <w:t>台</w:t>
            </w:r>
          </w:p>
        </w:tc>
        <w:tc>
          <w:tcPr>
            <w:tcW w:w="325" w:type="dxa"/>
            <w:vAlign w:val="top"/>
          </w:tcPr>
          <w:p>
            <w:pPr>
              <w:ind w:left="13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19" w:type="dxa"/>
            <w:vAlign w:val="top"/>
          </w:tcPr>
          <w:p>
            <w:pPr>
              <w:ind w:left="5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204</w:t>
            </w:r>
          </w:p>
        </w:tc>
        <w:tc>
          <w:tcPr>
            <w:tcW w:w="423" w:type="dxa"/>
            <w:vAlign w:val="top"/>
          </w:tcPr>
          <w:p>
            <w:pPr>
              <w:ind w:left="7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182</w:t>
            </w:r>
          </w:p>
        </w:tc>
        <w:tc>
          <w:tcPr>
            <w:tcW w:w="505" w:type="dxa"/>
            <w:vAlign w:val="top"/>
          </w:tcPr>
          <w:p>
            <w:pPr>
              <w:ind w:left="14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1.2</w:t>
            </w:r>
          </w:p>
        </w:tc>
        <w:tc>
          <w:tcPr>
            <w:tcW w:w="607" w:type="dxa"/>
            <w:vAlign w:val="top"/>
          </w:tcPr>
          <w:p>
            <w:pPr>
              <w:ind w:left="20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85</w:t>
            </w:r>
          </w:p>
        </w:tc>
        <w:tc>
          <w:tcPr>
            <w:tcW w:w="495" w:type="dxa"/>
            <w:vAlign w:val="top"/>
            <w:vMerge w:val="continue"/>
            <w:tcBorders>
              <w:top w:val="nil"/>
              <w:bottom w:val="nil"/>
            </w:tcBorders>
          </w:tcPr>
          <w:p>
            <w:pPr>
              <w:rPr>
                <w:rFonts w:ascii="Arial"/>
                <w:sz w:val="21"/>
              </w:rPr>
            </w:pPr>
            <w:r/>
          </w:p>
        </w:tc>
        <w:tc>
          <w:tcPr>
            <w:tcW w:w="454" w:type="dxa"/>
            <w:vAlign w:val="top"/>
          </w:tcPr>
          <w:p>
            <w:pPr>
              <w:ind w:left="18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637" w:type="dxa"/>
            <w:vAlign w:val="top"/>
          </w:tcPr>
          <w:p>
            <w:pPr>
              <w:ind w:left="8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66.94</w:t>
            </w:r>
          </w:p>
        </w:tc>
        <w:tc>
          <w:tcPr>
            <w:tcW w:w="454" w:type="dxa"/>
            <w:vAlign w:val="top"/>
          </w:tcPr>
          <w:p>
            <w:pPr>
              <w:pStyle w:val="TableText"/>
              <w:ind w:left="21"/>
              <w:spacing w:before="33" w:line="216" w:lineRule="auto"/>
              <w:rPr/>
            </w:pPr>
            <w:r>
              <w:rPr>
                <w:spacing w:val="6"/>
              </w:rPr>
              <w:t>全天</w:t>
            </w:r>
          </w:p>
        </w:tc>
        <w:tc>
          <w:tcPr>
            <w:tcW w:w="654" w:type="dxa"/>
            <w:vAlign w:val="top"/>
          </w:tcPr>
          <w:p>
            <w:pPr>
              <w:ind w:left="22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3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41.94</w:t>
            </w:r>
          </w:p>
        </w:tc>
        <w:tc>
          <w:tcPr>
            <w:tcW w:w="570" w:type="dxa"/>
            <w:vAlign w:val="top"/>
          </w:tcPr>
          <w:p>
            <w:pPr>
              <w:ind w:left="17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restart"/>
            <w:tcBorders>
              <w:bottom w:val="nil"/>
            </w:tcBorders>
          </w:tcPr>
          <w:p>
            <w:pPr>
              <w:spacing w:line="286" w:lineRule="auto"/>
              <w:rPr>
                <w:rFonts w:ascii="Arial"/>
                <w:sz w:val="21"/>
              </w:rPr>
            </w:pPr>
            <w:r/>
          </w:p>
          <w:p>
            <w:pPr>
              <w:spacing w:line="287" w:lineRule="auto"/>
              <w:rPr>
                <w:rFonts w:ascii="Arial"/>
                <w:sz w:val="21"/>
              </w:rPr>
            </w:pPr>
            <w:r/>
          </w:p>
          <w:p>
            <w:pPr>
              <w:ind w:left="74"/>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563" w:type="dxa"/>
            <w:vAlign w:val="top"/>
            <w:vMerge w:val="restart"/>
            <w:tcBorders>
              <w:bottom w:val="nil"/>
            </w:tcBorders>
          </w:tcPr>
          <w:p>
            <w:pPr>
              <w:spacing w:line="260" w:lineRule="auto"/>
              <w:rPr>
                <w:rFonts w:ascii="Arial"/>
                <w:sz w:val="21"/>
              </w:rPr>
            </w:pPr>
            <w:r/>
          </w:p>
          <w:p>
            <w:pPr>
              <w:pStyle w:val="TableText"/>
              <w:ind w:left="73"/>
              <w:spacing w:before="65" w:line="229" w:lineRule="auto"/>
              <w:rPr/>
            </w:pPr>
            <w:r>
              <w:rPr>
                <w:spacing w:val="5"/>
              </w:rPr>
              <w:t>洗毛</w:t>
            </w:r>
          </w:p>
          <w:p>
            <w:pPr>
              <w:pStyle w:val="TableText"/>
              <w:ind w:left="76"/>
              <w:spacing w:before="22" w:line="228" w:lineRule="auto"/>
              <w:rPr/>
            </w:pPr>
            <w:r>
              <w:rPr>
                <w:spacing w:val="3"/>
              </w:rPr>
              <w:t>车间</w:t>
            </w:r>
          </w:p>
          <w:p>
            <w:pPr>
              <w:pStyle w:val="TableText"/>
              <w:ind w:left="181"/>
              <w:spacing w:before="63" w:line="183" w:lineRule="auto"/>
              <w:rPr/>
            </w:pPr>
            <w:r>
              <w:rPr/>
              <w:t>二</w:t>
            </w:r>
          </w:p>
        </w:tc>
        <w:tc>
          <w:tcPr>
            <w:tcW w:w="1151" w:type="dxa"/>
            <w:vAlign w:val="top"/>
          </w:tcPr>
          <w:p>
            <w:pPr>
              <w:pStyle w:val="TableText"/>
              <w:ind w:left="262"/>
              <w:spacing w:before="35" w:line="214" w:lineRule="auto"/>
              <w:rPr/>
            </w:pPr>
            <w:r>
              <w:rPr>
                <w:spacing w:val="7"/>
              </w:rPr>
              <w:t>解包机</w:t>
            </w:r>
          </w:p>
        </w:tc>
        <w:tc>
          <w:tcPr>
            <w:tcW w:w="306" w:type="dxa"/>
            <w:vAlign w:val="top"/>
          </w:tcPr>
          <w:p>
            <w:pPr>
              <w:pStyle w:val="TableText"/>
              <w:ind w:left="69"/>
              <w:spacing w:before="35" w:line="214" w:lineRule="auto"/>
              <w:rPr/>
            </w:pPr>
            <w:r>
              <w:rPr/>
              <w:t>台</w:t>
            </w:r>
          </w:p>
        </w:tc>
        <w:tc>
          <w:tcPr>
            <w:tcW w:w="325" w:type="dxa"/>
            <w:vAlign w:val="top"/>
          </w:tcPr>
          <w:p>
            <w:pPr>
              <w:ind w:left="13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19" w:type="dxa"/>
            <w:vAlign w:val="top"/>
          </w:tcPr>
          <w:p>
            <w:pPr>
              <w:ind w:left="2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22.5</w:t>
            </w:r>
          </w:p>
        </w:tc>
        <w:tc>
          <w:tcPr>
            <w:tcW w:w="423" w:type="dxa"/>
            <w:vAlign w:val="top"/>
          </w:tcPr>
          <w:p>
            <w:pPr>
              <w:ind w:left="10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33</w:t>
            </w:r>
          </w:p>
        </w:tc>
        <w:tc>
          <w:tcPr>
            <w:tcW w:w="505" w:type="dxa"/>
            <w:vAlign w:val="top"/>
          </w:tcPr>
          <w:p>
            <w:pPr>
              <w:ind w:left="22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07" w:type="dxa"/>
            <w:vAlign w:val="top"/>
          </w:tcPr>
          <w:p>
            <w:pPr>
              <w:ind w:left="208"/>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85</w:t>
            </w:r>
          </w:p>
        </w:tc>
        <w:tc>
          <w:tcPr>
            <w:tcW w:w="495" w:type="dxa"/>
            <w:vAlign w:val="top"/>
            <w:vMerge w:val="continue"/>
            <w:tcBorders>
              <w:top w:val="nil"/>
              <w:bottom w:val="nil"/>
            </w:tcBorders>
          </w:tcPr>
          <w:p>
            <w:pPr>
              <w:rPr>
                <w:rFonts w:ascii="Arial"/>
                <w:sz w:val="21"/>
              </w:rPr>
            </w:pPr>
            <w:r/>
          </w:p>
        </w:tc>
        <w:tc>
          <w:tcPr>
            <w:tcW w:w="454" w:type="dxa"/>
            <w:vAlign w:val="top"/>
          </w:tcPr>
          <w:p>
            <w:pPr>
              <w:ind w:left="9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637" w:type="dxa"/>
            <w:vAlign w:val="top"/>
          </w:tcPr>
          <w:p>
            <w:pPr>
              <w:ind w:left="8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77.04</w:t>
            </w:r>
          </w:p>
        </w:tc>
        <w:tc>
          <w:tcPr>
            <w:tcW w:w="454" w:type="dxa"/>
            <w:vAlign w:val="top"/>
          </w:tcPr>
          <w:p>
            <w:pPr>
              <w:pStyle w:val="TableText"/>
              <w:ind w:left="21"/>
              <w:spacing w:before="35" w:line="214" w:lineRule="auto"/>
              <w:rPr/>
            </w:pPr>
            <w:r>
              <w:rPr>
                <w:spacing w:val="6"/>
              </w:rPr>
              <w:t>全天</w:t>
            </w:r>
          </w:p>
        </w:tc>
        <w:tc>
          <w:tcPr>
            <w:tcW w:w="654" w:type="dxa"/>
            <w:vAlign w:val="top"/>
          </w:tcPr>
          <w:p>
            <w:pPr>
              <w:ind w:left="22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52.04</w:t>
            </w:r>
          </w:p>
        </w:tc>
        <w:tc>
          <w:tcPr>
            <w:tcW w:w="570" w:type="dxa"/>
            <w:vAlign w:val="top"/>
          </w:tcPr>
          <w:p>
            <w:pPr>
              <w:ind w:left="17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8" w:hRule="atLeast"/>
        </w:trPr>
        <w:tc>
          <w:tcPr>
            <w:tcW w:w="253" w:type="dxa"/>
            <w:vAlign w:val="top"/>
            <w:vMerge w:val="continue"/>
            <w:tcBorders>
              <w:top w:val="nil"/>
              <w:bottom w:val="nil"/>
            </w:tcBorders>
          </w:tcPr>
          <w:p>
            <w:pPr>
              <w:rPr>
                <w:rFonts w:ascii="Arial"/>
                <w:sz w:val="21"/>
              </w:rPr>
            </w:pPr>
            <w:r/>
          </w:p>
        </w:tc>
        <w:tc>
          <w:tcPr>
            <w:tcW w:w="563" w:type="dxa"/>
            <w:vAlign w:val="top"/>
            <w:vMerge w:val="continue"/>
            <w:tcBorders>
              <w:top w:val="nil"/>
              <w:bottom w:val="nil"/>
            </w:tcBorders>
          </w:tcPr>
          <w:p>
            <w:pPr>
              <w:rPr>
                <w:rFonts w:ascii="Arial"/>
                <w:sz w:val="21"/>
              </w:rPr>
            </w:pPr>
            <w:r/>
          </w:p>
        </w:tc>
        <w:tc>
          <w:tcPr>
            <w:tcW w:w="1151" w:type="dxa"/>
            <w:vAlign w:val="top"/>
          </w:tcPr>
          <w:p>
            <w:pPr>
              <w:pStyle w:val="TableText"/>
              <w:ind w:left="273"/>
              <w:spacing w:before="36" w:line="214" w:lineRule="auto"/>
              <w:rPr/>
            </w:pPr>
            <w:r>
              <w:rPr>
                <w:spacing w:val="3"/>
              </w:rPr>
              <w:t>喂毛机</w:t>
            </w:r>
          </w:p>
        </w:tc>
        <w:tc>
          <w:tcPr>
            <w:tcW w:w="306" w:type="dxa"/>
            <w:vAlign w:val="top"/>
          </w:tcPr>
          <w:p>
            <w:pPr>
              <w:pStyle w:val="TableText"/>
              <w:ind w:left="69"/>
              <w:spacing w:before="36" w:line="214" w:lineRule="auto"/>
              <w:rPr/>
            </w:pPr>
            <w:r>
              <w:rPr/>
              <w:t>台</w:t>
            </w:r>
          </w:p>
        </w:tc>
        <w:tc>
          <w:tcPr>
            <w:tcW w:w="325" w:type="dxa"/>
            <w:vAlign w:val="top"/>
          </w:tcPr>
          <w:p>
            <w:pPr>
              <w:ind w:left="10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419" w:type="dxa"/>
            <w:vAlign w:val="top"/>
          </w:tcPr>
          <w:p>
            <w:pPr>
              <w:ind w:left="2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27.6</w:t>
            </w:r>
          </w:p>
        </w:tc>
        <w:tc>
          <w:tcPr>
            <w:tcW w:w="423" w:type="dxa"/>
            <w:vAlign w:val="top"/>
          </w:tcPr>
          <w:p>
            <w:pPr>
              <w:ind w:left="10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34</w:t>
            </w:r>
          </w:p>
        </w:tc>
        <w:tc>
          <w:tcPr>
            <w:tcW w:w="505" w:type="dxa"/>
            <w:vAlign w:val="top"/>
          </w:tcPr>
          <w:p>
            <w:pPr>
              <w:ind w:left="22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07" w:type="dxa"/>
            <w:vAlign w:val="top"/>
          </w:tcPr>
          <w:p>
            <w:pPr>
              <w:ind w:left="20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70</w:t>
            </w:r>
          </w:p>
        </w:tc>
        <w:tc>
          <w:tcPr>
            <w:tcW w:w="495" w:type="dxa"/>
            <w:vAlign w:val="top"/>
            <w:vMerge w:val="continue"/>
            <w:tcBorders>
              <w:top w:val="nil"/>
              <w:bottom w:val="nil"/>
            </w:tcBorders>
          </w:tcPr>
          <w:p>
            <w:pPr>
              <w:rPr>
                <w:rFonts w:ascii="Arial"/>
                <w:sz w:val="21"/>
              </w:rPr>
            </w:pPr>
            <w:r/>
          </w:p>
        </w:tc>
        <w:tc>
          <w:tcPr>
            <w:tcW w:w="454" w:type="dxa"/>
            <w:vAlign w:val="top"/>
          </w:tcPr>
          <w:p>
            <w:pPr>
              <w:ind w:left="17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637" w:type="dxa"/>
            <w:vAlign w:val="top"/>
          </w:tcPr>
          <w:p>
            <w:pPr>
              <w:ind w:left="8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60.46</w:t>
            </w:r>
          </w:p>
        </w:tc>
        <w:tc>
          <w:tcPr>
            <w:tcW w:w="454" w:type="dxa"/>
            <w:vAlign w:val="top"/>
          </w:tcPr>
          <w:p>
            <w:pPr>
              <w:pStyle w:val="TableText"/>
              <w:ind w:left="21"/>
              <w:spacing w:before="36" w:line="214" w:lineRule="auto"/>
              <w:rPr/>
            </w:pPr>
            <w:r>
              <w:rPr>
                <w:spacing w:val="6"/>
              </w:rPr>
              <w:t>全天</w:t>
            </w:r>
          </w:p>
        </w:tc>
        <w:tc>
          <w:tcPr>
            <w:tcW w:w="654" w:type="dxa"/>
            <w:vAlign w:val="top"/>
          </w:tcPr>
          <w:p>
            <w:pPr>
              <w:ind w:left="22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35.46</w:t>
            </w:r>
          </w:p>
        </w:tc>
        <w:tc>
          <w:tcPr>
            <w:tcW w:w="570" w:type="dxa"/>
            <w:vAlign w:val="top"/>
          </w:tcPr>
          <w:p>
            <w:pPr>
              <w:ind w:left="17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bottom w:val="nil"/>
            </w:tcBorders>
          </w:tcPr>
          <w:p>
            <w:pPr>
              <w:rPr>
                <w:rFonts w:ascii="Arial"/>
                <w:sz w:val="21"/>
              </w:rPr>
            </w:pPr>
            <w:r/>
          </w:p>
        </w:tc>
        <w:tc>
          <w:tcPr>
            <w:tcW w:w="563" w:type="dxa"/>
            <w:vAlign w:val="top"/>
            <w:vMerge w:val="continue"/>
            <w:tcBorders>
              <w:top w:val="nil"/>
              <w:bottom w:val="nil"/>
            </w:tcBorders>
          </w:tcPr>
          <w:p>
            <w:pPr>
              <w:rPr>
                <w:rFonts w:ascii="Arial"/>
                <w:sz w:val="21"/>
              </w:rPr>
            </w:pPr>
            <w:r/>
          </w:p>
        </w:tc>
        <w:tc>
          <w:tcPr>
            <w:tcW w:w="1151" w:type="dxa"/>
            <w:vAlign w:val="top"/>
          </w:tcPr>
          <w:p>
            <w:pPr>
              <w:pStyle w:val="TableText"/>
              <w:ind w:left="263"/>
              <w:spacing w:before="34" w:line="215" w:lineRule="auto"/>
              <w:rPr/>
            </w:pPr>
            <w:r>
              <w:rPr>
                <w:spacing w:val="6"/>
              </w:rPr>
              <w:t>开松机</w:t>
            </w:r>
          </w:p>
        </w:tc>
        <w:tc>
          <w:tcPr>
            <w:tcW w:w="306" w:type="dxa"/>
            <w:vAlign w:val="top"/>
          </w:tcPr>
          <w:p>
            <w:pPr>
              <w:pStyle w:val="TableText"/>
              <w:ind w:left="69"/>
              <w:spacing w:before="34" w:line="215" w:lineRule="auto"/>
              <w:rPr/>
            </w:pPr>
            <w:r>
              <w:rPr/>
              <w:t>台</w:t>
            </w:r>
          </w:p>
        </w:tc>
        <w:tc>
          <w:tcPr>
            <w:tcW w:w="325" w:type="dxa"/>
            <w:vAlign w:val="top"/>
          </w:tcPr>
          <w:p>
            <w:pPr>
              <w:ind w:left="13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19" w:type="dxa"/>
            <w:vAlign w:val="top"/>
          </w:tcPr>
          <w:p>
            <w:pPr>
              <w:ind w:left="10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34</w:t>
            </w:r>
          </w:p>
        </w:tc>
        <w:tc>
          <w:tcPr>
            <w:tcW w:w="423" w:type="dxa"/>
            <w:vAlign w:val="top"/>
          </w:tcPr>
          <w:p>
            <w:pPr>
              <w:ind w:left="10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37</w:t>
            </w:r>
          </w:p>
        </w:tc>
        <w:tc>
          <w:tcPr>
            <w:tcW w:w="505" w:type="dxa"/>
            <w:vAlign w:val="top"/>
          </w:tcPr>
          <w:p>
            <w:pPr>
              <w:ind w:left="22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07" w:type="dxa"/>
            <w:vAlign w:val="top"/>
          </w:tcPr>
          <w:p>
            <w:pPr>
              <w:ind w:left="20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495" w:type="dxa"/>
            <w:vAlign w:val="top"/>
            <w:vMerge w:val="continue"/>
            <w:tcBorders>
              <w:top w:val="nil"/>
              <w:bottom w:val="nil"/>
            </w:tcBorders>
          </w:tcPr>
          <w:p>
            <w:pPr>
              <w:rPr>
                <w:rFonts w:ascii="Arial"/>
                <w:sz w:val="21"/>
              </w:rPr>
            </w:pPr>
            <w:r/>
          </w:p>
        </w:tc>
        <w:tc>
          <w:tcPr>
            <w:tcW w:w="454" w:type="dxa"/>
            <w:vAlign w:val="top"/>
          </w:tcPr>
          <w:p>
            <w:pPr>
              <w:ind w:left="181"/>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637" w:type="dxa"/>
            <w:vAlign w:val="top"/>
          </w:tcPr>
          <w:p>
            <w:pPr>
              <w:ind w:left="8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76.02</w:t>
            </w:r>
          </w:p>
        </w:tc>
        <w:tc>
          <w:tcPr>
            <w:tcW w:w="454" w:type="dxa"/>
            <w:vAlign w:val="top"/>
          </w:tcPr>
          <w:p>
            <w:pPr>
              <w:pStyle w:val="TableText"/>
              <w:ind w:left="21"/>
              <w:spacing w:before="34" w:line="215" w:lineRule="auto"/>
              <w:rPr/>
            </w:pPr>
            <w:r>
              <w:rPr>
                <w:spacing w:val="6"/>
              </w:rPr>
              <w:t>全天</w:t>
            </w:r>
          </w:p>
        </w:tc>
        <w:tc>
          <w:tcPr>
            <w:tcW w:w="654" w:type="dxa"/>
            <w:vAlign w:val="top"/>
          </w:tcPr>
          <w:p>
            <w:pPr>
              <w:ind w:left="22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51.02</w:t>
            </w:r>
          </w:p>
        </w:tc>
        <w:tc>
          <w:tcPr>
            <w:tcW w:w="570" w:type="dxa"/>
            <w:vAlign w:val="top"/>
          </w:tcPr>
          <w:p>
            <w:pPr>
              <w:ind w:left="17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bottom w:val="nil"/>
            </w:tcBorders>
          </w:tcPr>
          <w:p>
            <w:pPr>
              <w:rPr>
                <w:rFonts w:ascii="Arial"/>
                <w:sz w:val="21"/>
              </w:rPr>
            </w:pPr>
            <w:r/>
          </w:p>
        </w:tc>
        <w:tc>
          <w:tcPr>
            <w:tcW w:w="563" w:type="dxa"/>
            <w:vAlign w:val="top"/>
            <w:vMerge w:val="continue"/>
            <w:tcBorders>
              <w:top w:val="nil"/>
              <w:bottom w:val="nil"/>
            </w:tcBorders>
          </w:tcPr>
          <w:p>
            <w:pPr>
              <w:rPr>
                <w:rFonts w:ascii="Arial"/>
                <w:sz w:val="21"/>
              </w:rPr>
            </w:pPr>
            <w:r/>
          </w:p>
        </w:tc>
        <w:tc>
          <w:tcPr>
            <w:tcW w:w="1151" w:type="dxa"/>
            <w:vAlign w:val="top"/>
          </w:tcPr>
          <w:p>
            <w:pPr>
              <w:pStyle w:val="TableText"/>
              <w:ind w:left="263"/>
              <w:spacing w:before="35" w:line="214" w:lineRule="auto"/>
              <w:rPr/>
            </w:pPr>
            <w:r>
              <w:rPr>
                <w:spacing w:val="6"/>
              </w:rPr>
              <w:t>压水机</w:t>
            </w:r>
          </w:p>
        </w:tc>
        <w:tc>
          <w:tcPr>
            <w:tcW w:w="306" w:type="dxa"/>
            <w:vAlign w:val="top"/>
          </w:tcPr>
          <w:p>
            <w:pPr>
              <w:pStyle w:val="TableText"/>
              <w:ind w:left="69"/>
              <w:spacing w:before="35" w:line="214" w:lineRule="auto"/>
              <w:rPr/>
            </w:pPr>
            <w:r>
              <w:rPr/>
              <w:t>台</w:t>
            </w:r>
          </w:p>
        </w:tc>
        <w:tc>
          <w:tcPr>
            <w:tcW w:w="325" w:type="dxa"/>
            <w:vAlign w:val="top"/>
          </w:tcPr>
          <w:p>
            <w:pPr>
              <w:ind w:left="11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419" w:type="dxa"/>
            <w:vAlign w:val="top"/>
          </w:tcPr>
          <w:p>
            <w:pPr>
              <w:ind w:right="4"/>
              <w:spacing w:before="70"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39.</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c>
          <w:tcPr>
            <w:tcW w:w="423" w:type="dxa"/>
            <w:vAlign w:val="top"/>
          </w:tcPr>
          <w:p>
            <w:pPr>
              <w:ind w:left="3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39.2</w:t>
            </w:r>
          </w:p>
        </w:tc>
        <w:tc>
          <w:tcPr>
            <w:tcW w:w="505" w:type="dxa"/>
            <w:vAlign w:val="top"/>
          </w:tcPr>
          <w:p>
            <w:pPr>
              <w:ind w:left="22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07" w:type="dxa"/>
            <w:vAlign w:val="top"/>
          </w:tcPr>
          <w:p>
            <w:pPr>
              <w:ind w:left="20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c>
          <w:tcPr>
            <w:tcW w:w="495" w:type="dxa"/>
            <w:vAlign w:val="top"/>
            <w:vMerge w:val="continue"/>
            <w:tcBorders>
              <w:top w:val="nil"/>
              <w:bottom w:val="nil"/>
            </w:tcBorders>
          </w:tcPr>
          <w:p>
            <w:pPr>
              <w:rPr>
                <w:rFonts w:ascii="Arial"/>
                <w:sz w:val="21"/>
              </w:rPr>
            </w:pPr>
            <w:r/>
          </w:p>
        </w:tc>
        <w:tc>
          <w:tcPr>
            <w:tcW w:w="454" w:type="dxa"/>
            <w:vAlign w:val="top"/>
          </w:tcPr>
          <w:p>
            <w:pPr>
              <w:ind w:left="181"/>
              <w:spacing w:before="7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637" w:type="dxa"/>
            <w:vAlign w:val="top"/>
          </w:tcPr>
          <w:p>
            <w:pPr>
              <w:ind w:left="8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51.02</w:t>
            </w:r>
          </w:p>
        </w:tc>
        <w:tc>
          <w:tcPr>
            <w:tcW w:w="454" w:type="dxa"/>
            <w:vAlign w:val="top"/>
          </w:tcPr>
          <w:p>
            <w:pPr>
              <w:pStyle w:val="TableText"/>
              <w:ind w:left="21"/>
              <w:spacing w:before="35" w:line="214" w:lineRule="auto"/>
              <w:rPr/>
            </w:pPr>
            <w:r>
              <w:rPr>
                <w:spacing w:val="6"/>
              </w:rPr>
              <w:t>全天</w:t>
            </w:r>
          </w:p>
        </w:tc>
        <w:tc>
          <w:tcPr>
            <w:tcW w:w="654" w:type="dxa"/>
            <w:vAlign w:val="top"/>
          </w:tcPr>
          <w:p>
            <w:pPr>
              <w:ind w:left="22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3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26.02</w:t>
            </w:r>
          </w:p>
        </w:tc>
        <w:tc>
          <w:tcPr>
            <w:tcW w:w="570" w:type="dxa"/>
            <w:vAlign w:val="top"/>
          </w:tcPr>
          <w:p>
            <w:pPr>
              <w:ind w:left="17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8" w:hRule="atLeast"/>
        </w:trPr>
        <w:tc>
          <w:tcPr>
            <w:tcW w:w="253" w:type="dxa"/>
            <w:vAlign w:val="top"/>
            <w:vMerge w:val="continue"/>
            <w:tcBorders>
              <w:top w:val="nil"/>
            </w:tcBorders>
          </w:tcPr>
          <w:p>
            <w:pPr>
              <w:rPr>
                <w:rFonts w:ascii="Arial"/>
                <w:sz w:val="21"/>
              </w:rPr>
            </w:pPr>
            <w:r/>
          </w:p>
        </w:tc>
        <w:tc>
          <w:tcPr>
            <w:tcW w:w="563" w:type="dxa"/>
            <w:vAlign w:val="top"/>
            <w:vMerge w:val="continue"/>
            <w:tcBorders>
              <w:top w:val="nil"/>
            </w:tcBorders>
          </w:tcPr>
          <w:p>
            <w:pPr>
              <w:rPr>
                <w:rFonts w:ascii="Arial"/>
                <w:sz w:val="21"/>
              </w:rPr>
            </w:pPr>
            <w:r/>
          </w:p>
        </w:tc>
        <w:tc>
          <w:tcPr>
            <w:tcW w:w="1151" w:type="dxa"/>
            <w:vAlign w:val="top"/>
          </w:tcPr>
          <w:p>
            <w:pPr>
              <w:pStyle w:val="TableText"/>
              <w:ind w:left="53"/>
              <w:spacing w:before="36" w:line="214" w:lineRule="auto"/>
              <w:rPr/>
            </w:pPr>
            <w:r>
              <w:rPr>
                <w:spacing w:val="8"/>
              </w:rPr>
              <w:t>平帘烘干机</w:t>
            </w:r>
          </w:p>
        </w:tc>
        <w:tc>
          <w:tcPr>
            <w:tcW w:w="306" w:type="dxa"/>
            <w:vAlign w:val="top"/>
          </w:tcPr>
          <w:p>
            <w:pPr>
              <w:pStyle w:val="TableText"/>
              <w:ind w:left="69"/>
              <w:spacing w:before="36" w:line="214" w:lineRule="auto"/>
              <w:rPr/>
            </w:pPr>
            <w:r>
              <w:rPr/>
              <w:t>台</w:t>
            </w:r>
          </w:p>
        </w:tc>
        <w:tc>
          <w:tcPr>
            <w:tcW w:w="325" w:type="dxa"/>
            <w:vAlign w:val="top"/>
          </w:tcPr>
          <w:p>
            <w:pPr>
              <w:ind w:left="130"/>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19" w:type="dxa"/>
            <w:vAlign w:val="top"/>
          </w:tcPr>
          <w:p>
            <w:pPr>
              <w:ind w:left="2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44.8</w:t>
            </w:r>
          </w:p>
        </w:tc>
        <w:tc>
          <w:tcPr>
            <w:tcW w:w="423" w:type="dxa"/>
            <w:vAlign w:val="top"/>
          </w:tcPr>
          <w:p>
            <w:pPr>
              <w:ind w:left="2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40.4</w:t>
            </w:r>
          </w:p>
        </w:tc>
        <w:tc>
          <w:tcPr>
            <w:tcW w:w="505" w:type="dxa"/>
            <w:vAlign w:val="top"/>
          </w:tcPr>
          <w:p>
            <w:pPr>
              <w:ind w:left="14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1.2</w:t>
            </w:r>
          </w:p>
        </w:tc>
        <w:tc>
          <w:tcPr>
            <w:tcW w:w="607" w:type="dxa"/>
            <w:vAlign w:val="top"/>
          </w:tcPr>
          <w:p>
            <w:pPr>
              <w:ind w:left="20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85</w:t>
            </w:r>
          </w:p>
        </w:tc>
        <w:tc>
          <w:tcPr>
            <w:tcW w:w="495" w:type="dxa"/>
            <w:vAlign w:val="top"/>
            <w:vMerge w:val="continue"/>
            <w:tcBorders>
              <w:top w:val="nil"/>
              <w:bottom w:val="nil"/>
            </w:tcBorders>
          </w:tcPr>
          <w:p>
            <w:pPr>
              <w:rPr>
                <w:rFonts w:ascii="Arial"/>
                <w:sz w:val="21"/>
              </w:rPr>
            </w:pPr>
            <w:r/>
          </w:p>
        </w:tc>
        <w:tc>
          <w:tcPr>
            <w:tcW w:w="454" w:type="dxa"/>
            <w:vAlign w:val="top"/>
          </w:tcPr>
          <w:p>
            <w:pPr>
              <w:ind w:left="18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637" w:type="dxa"/>
            <w:vAlign w:val="top"/>
          </w:tcPr>
          <w:p>
            <w:pPr>
              <w:ind w:left="8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66.94</w:t>
            </w:r>
          </w:p>
        </w:tc>
        <w:tc>
          <w:tcPr>
            <w:tcW w:w="454" w:type="dxa"/>
            <w:vAlign w:val="top"/>
          </w:tcPr>
          <w:p>
            <w:pPr>
              <w:pStyle w:val="TableText"/>
              <w:ind w:left="21"/>
              <w:spacing w:before="36" w:line="214" w:lineRule="auto"/>
              <w:rPr/>
            </w:pPr>
            <w:r>
              <w:rPr>
                <w:spacing w:val="6"/>
              </w:rPr>
              <w:t>全天</w:t>
            </w:r>
          </w:p>
        </w:tc>
        <w:tc>
          <w:tcPr>
            <w:tcW w:w="654" w:type="dxa"/>
            <w:vAlign w:val="top"/>
          </w:tcPr>
          <w:p>
            <w:pPr>
              <w:ind w:left="22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3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41.94</w:t>
            </w:r>
          </w:p>
        </w:tc>
        <w:tc>
          <w:tcPr>
            <w:tcW w:w="570" w:type="dxa"/>
            <w:vAlign w:val="top"/>
          </w:tcPr>
          <w:p>
            <w:pPr>
              <w:ind w:left="172"/>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restart"/>
            <w:tcBorders>
              <w:bottom w:val="nil"/>
            </w:tcBorders>
          </w:tcPr>
          <w:p>
            <w:pPr>
              <w:ind w:left="78"/>
              <w:spacing w:before="21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563" w:type="dxa"/>
            <w:vAlign w:val="top"/>
            <w:vMerge w:val="restart"/>
            <w:tcBorders>
              <w:bottom w:val="nil"/>
            </w:tcBorders>
          </w:tcPr>
          <w:p>
            <w:pPr>
              <w:pStyle w:val="TableText"/>
              <w:ind w:left="73"/>
              <w:spacing w:before="38" w:line="228" w:lineRule="auto"/>
              <w:rPr/>
            </w:pPr>
            <w:r>
              <w:rPr>
                <w:spacing w:val="5"/>
              </w:rPr>
              <w:t>梳绒</w:t>
            </w:r>
          </w:p>
          <w:p>
            <w:pPr>
              <w:pStyle w:val="TableText"/>
              <w:ind w:left="76"/>
              <w:spacing w:before="24" w:line="221" w:lineRule="auto"/>
              <w:rPr/>
            </w:pPr>
            <w:r>
              <w:rPr>
                <w:spacing w:val="3"/>
              </w:rPr>
              <w:t>车间</w:t>
            </w:r>
          </w:p>
        </w:tc>
        <w:tc>
          <w:tcPr>
            <w:tcW w:w="1151" w:type="dxa"/>
            <w:vAlign w:val="top"/>
          </w:tcPr>
          <w:p>
            <w:pPr>
              <w:pStyle w:val="TableText"/>
              <w:ind w:left="263"/>
              <w:spacing w:before="34" w:line="215" w:lineRule="auto"/>
              <w:rPr/>
            </w:pPr>
            <w:r>
              <w:rPr>
                <w:spacing w:val="6"/>
              </w:rPr>
              <w:t>开松机</w:t>
            </w:r>
          </w:p>
        </w:tc>
        <w:tc>
          <w:tcPr>
            <w:tcW w:w="306" w:type="dxa"/>
            <w:vAlign w:val="top"/>
          </w:tcPr>
          <w:p>
            <w:pPr>
              <w:pStyle w:val="TableText"/>
              <w:ind w:left="69"/>
              <w:spacing w:before="34" w:line="215" w:lineRule="auto"/>
              <w:rPr/>
            </w:pPr>
            <w:r>
              <w:rPr/>
              <w:t>台</w:t>
            </w:r>
          </w:p>
        </w:tc>
        <w:tc>
          <w:tcPr>
            <w:tcW w:w="325" w:type="dxa"/>
            <w:vAlign w:val="top"/>
          </w:tcPr>
          <w:p>
            <w:pPr>
              <w:ind w:left="114"/>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19" w:type="dxa"/>
            <w:vAlign w:val="top"/>
          </w:tcPr>
          <w:p>
            <w:pPr>
              <w:ind w:left="11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81</w:t>
            </w:r>
          </w:p>
        </w:tc>
        <w:tc>
          <w:tcPr>
            <w:tcW w:w="423" w:type="dxa"/>
            <w:vAlign w:val="top"/>
          </w:tcPr>
          <w:p>
            <w:pPr>
              <w:ind w:left="7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124</w:t>
            </w:r>
          </w:p>
        </w:tc>
        <w:tc>
          <w:tcPr>
            <w:tcW w:w="505" w:type="dxa"/>
            <w:vAlign w:val="top"/>
          </w:tcPr>
          <w:p>
            <w:pPr>
              <w:ind w:left="22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07" w:type="dxa"/>
            <w:vAlign w:val="top"/>
          </w:tcPr>
          <w:p>
            <w:pPr>
              <w:ind w:left="20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495" w:type="dxa"/>
            <w:vAlign w:val="top"/>
            <w:vMerge w:val="continue"/>
            <w:tcBorders>
              <w:top w:val="nil"/>
              <w:bottom w:val="nil"/>
            </w:tcBorders>
          </w:tcPr>
          <w:p>
            <w:pPr>
              <w:rPr>
                <w:rFonts w:ascii="Arial"/>
                <w:sz w:val="21"/>
              </w:rPr>
            </w:pPr>
            <w:r/>
          </w:p>
        </w:tc>
        <w:tc>
          <w:tcPr>
            <w:tcW w:w="454" w:type="dxa"/>
            <w:vAlign w:val="top"/>
          </w:tcPr>
          <w:p>
            <w:pPr>
              <w:ind w:left="9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637" w:type="dxa"/>
            <w:vAlign w:val="top"/>
          </w:tcPr>
          <w:p>
            <w:pPr>
              <w:ind w:left="9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82.04</w:t>
            </w:r>
          </w:p>
        </w:tc>
        <w:tc>
          <w:tcPr>
            <w:tcW w:w="454" w:type="dxa"/>
            <w:vAlign w:val="top"/>
          </w:tcPr>
          <w:p>
            <w:pPr>
              <w:pStyle w:val="TableText"/>
              <w:ind w:left="21"/>
              <w:spacing w:before="34" w:line="215" w:lineRule="auto"/>
              <w:rPr/>
            </w:pPr>
            <w:r>
              <w:rPr>
                <w:spacing w:val="6"/>
              </w:rPr>
              <w:t>全天</w:t>
            </w:r>
          </w:p>
        </w:tc>
        <w:tc>
          <w:tcPr>
            <w:tcW w:w="654" w:type="dxa"/>
            <w:vAlign w:val="top"/>
          </w:tcPr>
          <w:p>
            <w:pPr>
              <w:ind w:left="22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57.04</w:t>
            </w:r>
          </w:p>
        </w:tc>
        <w:tc>
          <w:tcPr>
            <w:tcW w:w="570" w:type="dxa"/>
            <w:vAlign w:val="top"/>
          </w:tcPr>
          <w:p>
            <w:pPr>
              <w:ind w:left="17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tcBorders>
          </w:tcPr>
          <w:p>
            <w:pPr>
              <w:rPr>
                <w:rFonts w:ascii="Arial"/>
                <w:sz w:val="21"/>
              </w:rPr>
            </w:pPr>
            <w:r/>
          </w:p>
        </w:tc>
        <w:tc>
          <w:tcPr>
            <w:tcW w:w="563" w:type="dxa"/>
            <w:vAlign w:val="top"/>
            <w:vMerge w:val="continue"/>
            <w:tcBorders>
              <w:top w:val="nil"/>
            </w:tcBorders>
          </w:tcPr>
          <w:p>
            <w:pPr>
              <w:rPr>
                <w:rFonts w:ascii="Arial"/>
                <w:sz w:val="21"/>
              </w:rPr>
            </w:pPr>
            <w:r/>
          </w:p>
        </w:tc>
        <w:tc>
          <w:tcPr>
            <w:tcW w:w="1151" w:type="dxa"/>
            <w:vAlign w:val="top"/>
          </w:tcPr>
          <w:p>
            <w:pPr>
              <w:pStyle w:val="TableText"/>
              <w:ind w:left="265"/>
              <w:spacing w:before="35" w:line="214" w:lineRule="auto"/>
              <w:rPr/>
            </w:pPr>
            <w:r>
              <w:rPr>
                <w:spacing w:val="6"/>
              </w:rPr>
              <w:t>分梳机</w:t>
            </w:r>
          </w:p>
        </w:tc>
        <w:tc>
          <w:tcPr>
            <w:tcW w:w="306" w:type="dxa"/>
            <w:vAlign w:val="top"/>
          </w:tcPr>
          <w:p>
            <w:pPr>
              <w:pStyle w:val="TableText"/>
              <w:ind w:left="69"/>
              <w:spacing w:before="35" w:line="214" w:lineRule="auto"/>
              <w:rPr/>
            </w:pPr>
            <w:r>
              <w:rPr/>
              <w:t>台</w:t>
            </w:r>
          </w:p>
        </w:tc>
        <w:tc>
          <w:tcPr>
            <w:tcW w:w="325" w:type="dxa"/>
            <w:vAlign w:val="top"/>
          </w:tcPr>
          <w:p>
            <w:pPr>
              <w:ind w:left="61"/>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67</w:t>
            </w:r>
          </w:p>
        </w:tc>
        <w:tc>
          <w:tcPr>
            <w:tcW w:w="419" w:type="dxa"/>
            <w:vAlign w:val="top"/>
          </w:tcPr>
          <w:p>
            <w:pPr>
              <w:ind w:left="11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85</w:t>
            </w:r>
          </w:p>
        </w:tc>
        <w:tc>
          <w:tcPr>
            <w:tcW w:w="423" w:type="dxa"/>
            <w:vAlign w:val="top"/>
          </w:tcPr>
          <w:p>
            <w:pPr>
              <w:ind w:left="7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119</w:t>
            </w:r>
          </w:p>
        </w:tc>
        <w:tc>
          <w:tcPr>
            <w:tcW w:w="505" w:type="dxa"/>
            <w:vAlign w:val="top"/>
          </w:tcPr>
          <w:p>
            <w:pPr>
              <w:ind w:left="22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607" w:type="dxa"/>
            <w:vAlign w:val="top"/>
          </w:tcPr>
          <w:p>
            <w:pPr>
              <w:ind w:left="20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95</w:t>
            </w:r>
          </w:p>
        </w:tc>
        <w:tc>
          <w:tcPr>
            <w:tcW w:w="495" w:type="dxa"/>
            <w:vAlign w:val="top"/>
            <w:vMerge w:val="continue"/>
            <w:tcBorders>
              <w:top w:val="nil"/>
              <w:bottom w:val="nil"/>
            </w:tcBorders>
          </w:tcPr>
          <w:p>
            <w:pPr>
              <w:rPr>
                <w:rFonts w:ascii="Arial"/>
                <w:sz w:val="21"/>
              </w:rPr>
            </w:pPr>
            <w:r/>
          </w:p>
        </w:tc>
        <w:tc>
          <w:tcPr>
            <w:tcW w:w="454" w:type="dxa"/>
            <w:vAlign w:val="top"/>
          </w:tcPr>
          <w:p>
            <w:pPr>
              <w:ind w:left="9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637" w:type="dxa"/>
            <w:vAlign w:val="top"/>
          </w:tcPr>
          <w:p>
            <w:pPr>
              <w:ind w:left="9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87.04</w:t>
            </w:r>
          </w:p>
        </w:tc>
        <w:tc>
          <w:tcPr>
            <w:tcW w:w="454" w:type="dxa"/>
            <w:vAlign w:val="top"/>
          </w:tcPr>
          <w:p>
            <w:pPr>
              <w:pStyle w:val="TableText"/>
              <w:ind w:left="21"/>
              <w:spacing w:before="35" w:line="214" w:lineRule="auto"/>
              <w:rPr/>
            </w:pPr>
            <w:r>
              <w:rPr>
                <w:spacing w:val="6"/>
              </w:rPr>
              <w:t>全天</w:t>
            </w:r>
          </w:p>
        </w:tc>
        <w:tc>
          <w:tcPr>
            <w:tcW w:w="654" w:type="dxa"/>
            <w:vAlign w:val="top"/>
          </w:tcPr>
          <w:p>
            <w:pPr>
              <w:ind w:left="22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62.04</w:t>
            </w:r>
          </w:p>
        </w:tc>
        <w:tc>
          <w:tcPr>
            <w:tcW w:w="570" w:type="dxa"/>
            <w:vAlign w:val="top"/>
          </w:tcPr>
          <w:p>
            <w:pPr>
              <w:ind w:left="17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8" w:hRule="atLeast"/>
        </w:trPr>
        <w:tc>
          <w:tcPr>
            <w:tcW w:w="253" w:type="dxa"/>
            <w:vAlign w:val="top"/>
            <w:vMerge w:val="restart"/>
            <w:tcBorders>
              <w:bottom w:val="nil"/>
            </w:tcBorders>
          </w:tcPr>
          <w:p>
            <w:pPr>
              <w:spacing w:line="357" w:lineRule="auto"/>
              <w:rPr>
                <w:rFonts w:ascii="Arial"/>
                <w:sz w:val="21"/>
              </w:rPr>
            </w:pPr>
            <w:r/>
          </w:p>
          <w:p>
            <w:pPr>
              <w:spacing w:line="358" w:lineRule="auto"/>
              <w:rPr>
                <w:rFonts w:ascii="Arial"/>
                <w:sz w:val="21"/>
              </w:rPr>
            </w:pPr>
            <w:r/>
          </w:p>
          <w:p>
            <w:pPr>
              <w:ind w:left="7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563" w:type="dxa"/>
            <w:vAlign w:val="top"/>
            <w:vMerge w:val="restart"/>
            <w:tcBorders>
              <w:bottom w:val="nil"/>
            </w:tcBorders>
          </w:tcPr>
          <w:p>
            <w:pPr>
              <w:spacing w:line="268" w:lineRule="auto"/>
              <w:rPr>
                <w:rFonts w:ascii="Arial"/>
                <w:sz w:val="21"/>
              </w:rPr>
            </w:pPr>
            <w:r/>
          </w:p>
          <w:p>
            <w:pPr>
              <w:spacing w:line="268" w:lineRule="auto"/>
              <w:rPr>
                <w:rFonts w:ascii="Arial"/>
                <w:sz w:val="21"/>
              </w:rPr>
            </w:pPr>
            <w:r/>
          </w:p>
          <w:p>
            <w:pPr>
              <w:pStyle w:val="TableText"/>
              <w:ind w:left="75"/>
              <w:spacing w:before="65" w:line="227" w:lineRule="auto"/>
              <w:rPr/>
            </w:pPr>
            <w:r>
              <w:rPr>
                <w:spacing w:val="4"/>
              </w:rPr>
              <w:t>厌氧</w:t>
            </w:r>
          </w:p>
          <w:p>
            <w:pPr>
              <w:pStyle w:val="TableText"/>
              <w:ind w:left="78"/>
              <w:spacing w:before="25" w:line="228" w:lineRule="auto"/>
              <w:rPr/>
            </w:pPr>
            <w:r>
              <w:rPr>
                <w:spacing w:val="3"/>
              </w:rPr>
              <w:t>发酵</w:t>
            </w:r>
          </w:p>
        </w:tc>
        <w:tc>
          <w:tcPr>
            <w:tcW w:w="1151" w:type="dxa"/>
            <w:vAlign w:val="top"/>
          </w:tcPr>
          <w:p>
            <w:pPr>
              <w:pStyle w:val="TableText"/>
              <w:ind w:left="263"/>
              <w:spacing w:before="36" w:line="214" w:lineRule="auto"/>
              <w:rPr/>
            </w:pPr>
            <w:r>
              <w:rPr>
                <w:spacing w:val="6"/>
              </w:rPr>
              <w:t>脱水机</w:t>
            </w:r>
          </w:p>
        </w:tc>
        <w:tc>
          <w:tcPr>
            <w:tcW w:w="306" w:type="dxa"/>
            <w:vAlign w:val="top"/>
          </w:tcPr>
          <w:p>
            <w:pPr>
              <w:pStyle w:val="TableText"/>
              <w:ind w:left="69"/>
              <w:spacing w:before="36" w:line="214" w:lineRule="auto"/>
              <w:rPr/>
            </w:pPr>
            <w:r>
              <w:rPr/>
              <w:t>台</w:t>
            </w:r>
          </w:p>
        </w:tc>
        <w:tc>
          <w:tcPr>
            <w:tcW w:w="325" w:type="dxa"/>
            <w:vAlign w:val="top"/>
          </w:tcPr>
          <w:p>
            <w:pPr>
              <w:ind w:left="110"/>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419" w:type="dxa"/>
            <w:vAlign w:val="top"/>
          </w:tcPr>
          <w:p>
            <w:pPr>
              <w:ind w:left="108"/>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91</w:t>
            </w:r>
          </w:p>
        </w:tc>
        <w:tc>
          <w:tcPr>
            <w:tcW w:w="423" w:type="dxa"/>
            <w:vAlign w:val="top"/>
          </w:tcPr>
          <w:p>
            <w:pPr>
              <w:ind w:left="75"/>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121</w:t>
            </w:r>
          </w:p>
        </w:tc>
        <w:tc>
          <w:tcPr>
            <w:tcW w:w="505" w:type="dxa"/>
            <w:vAlign w:val="top"/>
          </w:tcPr>
          <w:p>
            <w:pPr>
              <w:ind w:left="124"/>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0.8</w:t>
            </w:r>
          </w:p>
        </w:tc>
        <w:tc>
          <w:tcPr>
            <w:tcW w:w="607" w:type="dxa"/>
            <w:vAlign w:val="top"/>
          </w:tcPr>
          <w:p>
            <w:pPr>
              <w:ind w:left="208"/>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85</w:t>
            </w:r>
          </w:p>
        </w:tc>
        <w:tc>
          <w:tcPr>
            <w:tcW w:w="495" w:type="dxa"/>
            <w:vAlign w:val="top"/>
            <w:vMerge w:val="continue"/>
            <w:tcBorders>
              <w:top w:val="nil"/>
              <w:bottom w:val="nil"/>
            </w:tcBorders>
          </w:tcPr>
          <w:p>
            <w:pPr>
              <w:rPr>
                <w:rFonts w:ascii="Arial"/>
                <w:sz w:val="21"/>
              </w:rPr>
            </w:pPr>
            <w:r/>
          </w:p>
        </w:tc>
        <w:tc>
          <w:tcPr>
            <w:tcW w:w="454" w:type="dxa"/>
            <w:vAlign w:val="top"/>
          </w:tcPr>
          <w:p>
            <w:pPr>
              <w:ind w:left="174"/>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637" w:type="dxa"/>
            <w:vAlign w:val="top"/>
          </w:tcPr>
          <w:p>
            <w:pPr>
              <w:ind w:left="87"/>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72.96</w:t>
            </w:r>
          </w:p>
        </w:tc>
        <w:tc>
          <w:tcPr>
            <w:tcW w:w="454" w:type="dxa"/>
            <w:vAlign w:val="top"/>
          </w:tcPr>
          <w:p>
            <w:pPr>
              <w:pStyle w:val="TableText"/>
              <w:ind w:left="21"/>
              <w:spacing w:before="36" w:line="214" w:lineRule="auto"/>
              <w:rPr/>
            </w:pPr>
            <w:r>
              <w:rPr>
                <w:spacing w:val="6"/>
              </w:rPr>
              <w:t>全天</w:t>
            </w:r>
          </w:p>
        </w:tc>
        <w:tc>
          <w:tcPr>
            <w:tcW w:w="654" w:type="dxa"/>
            <w:vAlign w:val="top"/>
          </w:tcPr>
          <w:p>
            <w:pPr>
              <w:ind w:left="223"/>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35"/>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47.96</w:t>
            </w:r>
          </w:p>
        </w:tc>
        <w:tc>
          <w:tcPr>
            <w:tcW w:w="570" w:type="dxa"/>
            <w:vAlign w:val="top"/>
          </w:tcPr>
          <w:p>
            <w:pPr>
              <w:ind w:left="172"/>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bottom w:val="nil"/>
            </w:tcBorders>
          </w:tcPr>
          <w:p>
            <w:pPr>
              <w:rPr>
                <w:rFonts w:ascii="Arial"/>
                <w:sz w:val="21"/>
              </w:rPr>
            </w:pPr>
            <w:r/>
          </w:p>
        </w:tc>
        <w:tc>
          <w:tcPr>
            <w:tcW w:w="563" w:type="dxa"/>
            <w:vAlign w:val="top"/>
            <w:vMerge w:val="continue"/>
            <w:tcBorders>
              <w:top w:val="nil"/>
              <w:bottom w:val="nil"/>
            </w:tcBorders>
          </w:tcPr>
          <w:p>
            <w:pPr>
              <w:rPr>
                <w:rFonts w:ascii="Arial"/>
                <w:sz w:val="21"/>
              </w:rPr>
            </w:pPr>
            <w:r/>
          </w:p>
        </w:tc>
        <w:tc>
          <w:tcPr>
            <w:tcW w:w="1151" w:type="dxa"/>
            <w:vAlign w:val="top"/>
          </w:tcPr>
          <w:p>
            <w:pPr>
              <w:pStyle w:val="TableText"/>
              <w:ind w:left="53"/>
              <w:spacing w:before="34" w:line="215" w:lineRule="auto"/>
              <w:rPr/>
            </w:pPr>
            <w:r>
              <w:rPr>
                <w:spacing w:val="8"/>
              </w:rPr>
              <w:t>潜水搅拌机</w:t>
            </w:r>
          </w:p>
        </w:tc>
        <w:tc>
          <w:tcPr>
            <w:tcW w:w="306" w:type="dxa"/>
            <w:vAlign w:val="top"/>
          </w:tcPr>
          <w:p>
            <w:pPr>
              <w:pStyle w:val="TableText"/>
              <w:ind w:left="69"/>
              <w:spacing w:before="34" w:line="215" w:lineRule="auto"/>
              <w:rPr/>
            </w:pPr>
            <w:r>
              <w:rPr/>
              <w:t>台</w:t>
            </w:r>
          </w:p>
        </w:tc>
        <w:tc>
          <w:tcPr>
            <w:tcW w:w="325" w:type="dxa"/>
            <w:vAlign w:val="top"/>
          </w:tcPr>
          <w:p>
            <w:pPr>
              <w:ind w:left="10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419" w:type="dxa"/>
            <w:vAlign w:val="top"/>
          </w:tcPr>
          <w:p>
            <w:pPr>
              <w:ind w:left="10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423" w:type="dxa"/>
            <w:vAlign w:val="top"/>
          </w:tcPr>
          <w:p>
            <w:pPr>
              <w:ind w:left="7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106</w:t>
            </w:r>
          </w:p>
        </w:tc>
        <w:tc>
          <w:tcPr>
            <w:tcW w:w="505" w:type="dxa"/>
            <w:vAlign w:val="top"/>
          </w:tcPr>
          <w:p>
            <w:pPr>
              <w:ind w:left="8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-1.5</w:t>
            </w:r>
          </w:p>
        </w:tc>
        <w:tc>
          <w:tcPr>
            <w:tcW w:w="607" w:type="dxa"/>
            <w:vAlign w:val="top"/>
          </w:tcPr>
          <w:p>
            <w:pPr>
              <w:ind w:left="20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85</w:t>
            </w:r>
          </w:p>
        </w:tc>
        <w:tc>
          <w:tcPr>
            <w:tcW w:w="495" w:type="dxa"/>
            <w:vAlign w:val="top"/>
            <w:vMerge w:val="continue"/>
            <w:tcBorders>
              <w:top w:val="nil"/>
              <w:bottom w:val="nil"/>
            </w:tcBorders>
          </w:tcPr>
          <w:p>
            <w:pPr>
              <w:rPr>
                <w:rFonts w:ascii="Arial"/>
                <w:sz w:val="21"/>
              </w:rPr>
            </w:pPr>
            <w:r/>
          </w:p>
        </w:tc>
        <w:tc>
          <w:tcPr>
            <w:tcW w:w="454" w:type="dxa"/>
            <w:vAlign w:val="top"/>
          </w:tcPr>
          <w:p>
            <w:pPr>
              <w:ind w:left="17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637" w:type="dxa"/>
            <w:vAlign w:val="top"/>
          </w:tcPr>
          <w:p>
            <w:pPr>
              <w:ind w:left="8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75.46</w:t>
            </w:r>
          </w:p>
        </w:tc>
        <w:tc>
          <w:tcPr>
            <w:tcW w:w="454" w:type="dxa"/>
            <w:vAlign w:val="top"/>
          </w:tcPr>
          <w:p>
            <w:pPr>
              <w:pStyle w:val="TableText"/>
              <w:ind w:left="21"/>
              <w:spacing w:before="34" w:line="215" w:lineRule="auto"/>
              <w:rPr/>
            </w:pPr>
            <w:r>
              <w:rPr>
                <w:spacing w:val="6"/>
              </w:rPr>
              <w:t>全天</w:t>
            </w:r>
          </w:p>
        </w:tc>
        <w:tc>
          <w:tcPr>
            <w:tcW w:w="654" w:type="dxa"/>
            <w:vAlign w:val="top"/>
          </w:tcPr>
          <w:p>
            <w:pPr>
              <w:ind w:left="22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50.46</w:t>
            </w:r>
          </w:p>
        </w:tc>
        <w:tc>
          <w:tcPr>
            <w:tcW w:w="570" w:type="dxa"/>
            <w:vAlign w:val="top"/>
          </w:tcPr>
          <w:p>
            <w:pPr>
              <w:ind w:left="17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bottom w:val="nil"/>
            </w:tcBorders>
          </w:tcPr>
          <w:p>
            <w:pPr>
              <w:rPr>
                <w:rFonts w:ascii="Arial"/>
                <w:sz w:val="21"/>
              </w:rPr>
            </w:pPr>
            <w:r/>
          </w:p>
        </w:tc>
        <w:tc>
          <w:tcPr>
            <w:tcW w:w="563" w:type="dxa"/>
            <w:vAlign w:val="top"/>
            <w:vMerge w:val="continue"/>
            <w:tcBorders>
              <w:top w:val="nil"/>
              <w:bottom w:val="nil"/>
            </w:tcBorders>
          </w:tcPr>
          <w:p>
            <w:pPr>
              <w:rPr>
                <w:rFonts w:ascii="Arial"/>
                <w:sz w:val="21"/>
              </w:rPr>
            </w:pPr>
            <w:r/>
          </w:p>
        </w:tc>
        <w:tc>
          <w:tcPr>
            <w:tcW w:w="1151" w:type="dxa"/>
            <w:vAlign w:val="top"/>
          </w:tcPr>
          <w:p>
            <w:pPr>
              <w:pStyle w:val="TableText"/>
              <w:ind w:left="371"/>
              <w:spacing w:before="35" w:line="214" w:lineRule="auto"/>
              <w:rPr/>
            </w:pPr>
            <w:r>
              <w:rPr>
                <w:spacing w:val="3"/>
              </w:rPr>
              <w:t>水泵</w:t>
            </w:r>
          </w:p>
        </w:tc>
        <w:tc>
          <w:tcPr>
            <w:tcW w:w="306" w:type="dxa"/>
            <w:vAlign w:val="top"/>
          </w:tcPr>
          <w:p>
            <w:pPr>
              <w:pStyle w:val="TableText"/>
              <w:ind w:left="69"/>
              <w:spacing w:before="35" w:line="214" w:lineRule="auto"/>
              <w:rPr/>
            </w:pPr>
            <w:r>
              <w:rPr/>
              <w:t>台</w:t>
            </w:r>
          </w:p>
        </w:tc>
        <w:tc>
          <w:tcPr>
            <w:tcW w:w="325" w:type="dxa"/>
            <w:vAlign w:val="top"/>
          </w:tcPr>
          <w:p>
            <w:pPr>
              <w:ind w:left="10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419" w:type="dxa"/>
            <w:vAlign w:val="top"/>
          </w:tcPr>
          <w:p>
            <w:pPr>
              <w:ind w:left="10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423" w:type="dxa"/>
            <w:vAlign w:val="top"/>
          </w:tcPr>
          <w:p>
            <w:pPr>
              <w:ind w:left="11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54</w:t>
            </w:r>
          </w:p>
        </w:tc>
        <w:tc>
          <w:tcPr>
            <w:tcW w:w="505" w:type="dxa"/>
            <w:vAlign w:val="top"/>
          </w:tcPr>
          <w:p>
            <w:pPr>
              <w:ind w:left="12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607" w:type="dxa"/>
            <w:vAlign w:val="top"/>
          </w:tcPr>
          <w:p>
            <w:pPr>
              <w:ind w:left="20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95</w:t>
            </w:r>
          </w:p>
        </w:tc>
        <w:tc>
          <w:tcPr>
            <w:tcW w:w="495" w:type="dxa"/>
            <w:vAlign w:val="top"/>
            <w:vMerge w:val="continue"/>
            <w:tcBorders>
              <w:top w:val="nil"/>
              <w:bottom w:val="nil"/>
            </w:tcBorders>
          </w:tcPr>
          <w:p>
            <w:pPr>
              <w:rPr>
                <w:rFonts w:ascii="Arial"/>
                <w:sz w:val="21"/>
              </w:rPr>
            </w:pPr>
            <w:r/>
          </w:p>
        </w:tc>
        <w:tc>
          <w:tcPr>
            <w:tcW w:w="454" w:type="dxa"/>
            <w:vAlign w:val="top"/>
          </w:tcPr>
          <w:p>
            <w:pPr>
              <w:ind w:left="9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637" w:type="dxa"/>
            <w:vAlign w:val="top"/>
          </w:tcPr>
          <w:p>
            <w:pPr>
              <w:ind w:left="9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87.04</w:t>
            </w:r>
          </w:p>
        </w:tc>
        <w:tc>
          <w:tcPr>
            <w:tcW w:w="454" w:type="dxa"/>
            <w:vAlign w:val="top"/>
          </w:tcPr>
          <w:p>
            <w:pPr>
              <w:pStyle w:val="TableText"/>
              <w:ind w:left="21"/>
              <w:spacing w:before="35" w:line="214" w:lineRule="auto"/>
              <w:rPr/>
            </w:pPr>
            <w:r>
              <w:rPr>
                <w:spacing w:val="6"/>
              </w:rPr>
              <w:t>全天</w:t>
            </w:r>
          </w:p>
        </w:tc>
        <w:tc>
          <w:tcPr>
            <w:tcW w:w="654" w:type="dxa"/>
            <w:vAlign w:val="top"/>
          </w:tcPr>
          <w:p>
            <w:pPr>
              <w:ind w:left="22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62.04</w:t>
            </w:r>
          </w:p>
        </w:tc>
        <w:tc>
          <w:tcPr>
            <w:tcW w:w="570" w:type="dxa"/>
            <w:vAlign w:val="top"/>
          </w:tcPr>
          <w:p>
            <w:pPr>
              <w:ind w:left="17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bottom w:val="nil"/>
            </w:tcBorders>
          </w:tcPr>
          <w:p>
            <w:pPr>
              <w:rPr>
                <w:rFonts w:ascii="Arial"/>
                <w:sz w:val="21"/>
              </w:rPr>
            </w:pPr>
            <w:r/>
          </w:p>
        </w:tc>
        <w:tc>
          <w:tcPr>
            <w:tcW w:w="563" w:type="dxa"/>
            <w:vAlign w:val="top"/>
            <w:vMerge w:val="continue"/>
            <w:tcBorders>
              <w:top w:val="nil"/>
              <w:bottom w:val="nil"/>
            </w:tcBorders>
          </w:tcPr>
          <w:p>
            <w:pPr>
              <w:rPr>
                <w:rFonts w:ascii="Arial"/>
                <w:sz w:val="21"/>
              </w:rPr>
            </w:pPr>
            <w:r/>
          </w:p>
        </w:tc>
        <w:tc>
          <w:tcPr>
            <w:tcW w:w="1151" w:type="dxa"/>
            <w:vAlign w:val="top"/>
          </w:tcPr>
          <w:p>
            <w:pPr>
              <w:pStyle w:val="TableText"/>
              <w:ind w:left="160"/>
              <w:spacing w:before="36" w:line="213" w:lineRule="auto"/>
              <w:rPr/>
            </w:pPr>
            <w:r>
              <w:rPr>
                <w:spacing w:val="7"/>
              </w:rPr>
              <w:t>脱硫设备</w:t>
            </w:r>
          </w:p>
        </w:tc>
        <w:tc>
          <w:tcPr>
            <w:tcW w:w="306" w:type="dxa"/>
            <w:vAlign w:val="top"/>
          </w:tcPr>
          <w:p>
            <w:pPr>
              <w:pStyle w:val="TableText"/>
              <w:ind w:left="53"/>
              <w:spacing w:before="36" w:line="213" w:lineRule="auto"/>
              <w:rPr/>
            </w:pPr>
            <w:r>
              <w:rPr/>
              <w:t>套</w:t>
            </w:r>
          </w:p>
        </w:tc>
        <w:tc>
          <w:tcPr>
            <w:tcW w:w="325" w:type="dxa"/>
            <w:vAlign w:val="top"/>
          </w:tcPr>
          <w:p>
            <w:pPr>
              <w:ind w:left="130"/>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19" w:type="dxa"/>
            <w:vAlign w:val="top"/>
          </w:tcPr>
          <w:p>
            <w:pPr>
              <w:ind w:left="83"/>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5.6</w:t>
            </w:r>
          </w:p>
        </w:tc>
        <w:tc>
          <w:tcPr>
            <w:tcW w:w="423" w:type="dxa"/>
            <w:vAlign w:val="top"/>
          </w:tcPr>
          <w:p>
            <w:pPr>
              <w:ind w:left="26"/>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25.6</w:t>
            </w:r>
          </w:p>
        </w:tc>
        <w:tc>
          <w:tcPr>
            <w:tcW w:w="505" w:type="dxa"/>
            <w:vAlign w:val="top"/>
          </w:tcPr>
          <w:p>
            <w:pPr>
              <w:ind w:left="200"/>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607" w:type="dxa"/>
            <w:vAlign w:val="top"/>
          </w:tcPr>
          <w:p>
            <w:pPr>
              <w:ind w:left="205"/>
              <w:spacing w:before="7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55</w:t>
            </w:r>
          </w:p>
        </w:tc>
        <w:tc>
          <w:tcPr>
            <w:tcW w:w="495" w:type="dxa"/>
            <w:vAlign w:val="top"/>
            <w:vMerge w:val="continue"/>
            <w:tcBorders>
              <w:top w:val="nil"/>
              <w:bottom w:val="nil"/>
            </w:tcBorders>
          </w:tcPr>
          <w:p>
            <w:pPr>
              <w:rPr>
                <w:rFonts w:ascii="Arial"/>
                <w:sz w:val="21"/>
              </w:rPr>
            </w:pPr>
            <w:r/>
          </w:p>
        </w:tc>
        <w:tc>
          <w:tcPr>
            <w:tcW w:w="454" w:type="dxa"/>
            <w:vAlign w:val="top"/>
          </w:tcPr>
          <w:p>
            <w:pPr>
              <w:ind w:left="181"/>
              <w:spacing w:before="7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637" w:type="dxa"/>
            <w:vAlign w:val="top"/>
          </w:tcPr>
          <w:p>
            <w:pPr>
              <w:ind w:left="89"/>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54.</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3"/>
              </w:rPr>
              <w:t>12</w:t>
            </w:r>
          </w:p>
        </w:tc>
        <w:tc>
          <w:tcPr>
            <w:tcW w:w="454" w:type="dxa"/>
            <w:vAlign w:val="top"/>
          </w:tcPr>
          <w:p>
            <w:pPr>
              <w:pStyle w:val="TableText"/>
              <w:ind w:left="21"/>
              <w:spacing w:before="36" w:line="213" w:lineRule="auto"/>
              <w:rPr/>
            </w:pPr>
            <w:r>
              <w:rPr>
                <w:spacing w:val="4"/>
              </w:rPr>
              <w:t>全天</w:t>
            </w:r>
          </w:p>
        </w:tc>
        <w:tc>
          <w:tcPr>
            <w:tcW w:w="654" w:type="dxa"/>
            <w:vAlign w:val="top"/>
          </w:tcPr>
          <w:p>
            <w:pPr>
              <w:ind w:left="223"/>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0"/>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34.</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12</w:t>
            </w:r>
          </w:p>
        </w:tc>
        <w:tc>
          <w:tcPr>
            <w:tcW w:w="570" w:type="dxa"/>
            <w:vAlign w:val="top"/>
          </w:tcPr>
          <w:p>
            <w:pPr>
              <w:ind w:left="172"/>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bottom w:val="nil"/>
            </w:tcBorders>
          </w:tcPr>
          <w:p>
            <w:pPr>
              <w:rPr>
                <w:rFonts w:ascii="Arial"/>
                <w:sz w:val="21"/>
              </w:rPr>
            </w:pPr>
            <w:r/>
          </w:p>
        </w:tc>
        <w:tc>
          <w:tcPr>
            <w:tcW w:w="563" w:type="dxa"/>
            <w:vAlign w:val="top"/>
            <w:vMerge w:val="continue"/>
            <w:tcBorders>
              <w:top w:val="nil"/>
              <w:bottom w:val="nil"/>
            </w:tcBorders>
          </w:tcPr>
          <w:p>
            <w:pPr>
              <w:rPr>
                <w:rFonts w:ascii="Arial"/>
                <w:sz w:val="21"/>
              </w:rPr>
            </w:pPr>
            <w:r/>
          </w:p>
        </w:tc>
        <w:tc>
          <w:tcPr>
            <w:tcW w:w="1151" w:type="dxa"/>
            <w:vAlign w:val="top"/>
          </w:tcPr>
          <w:p>
            <w:pPr>
              <w:pStyle w:val="TableText"/>
              <w:ind w:left="369"/>
              <w:spacing w:before="35" w:line="214" w:lineRule="auto"/>
              <w:rPr/>
            </w:pPr>
            <w:r>
              <w:rPr>
                <w:spacing w:val="4"/>
              </w:rPr>
              <w:t>风机</w:t>
            </w:r>
          </w:p>
        </w:tc>
        <w:tc>
          <w:tcPr>
            <w:tcW w:w="306" w:type="dxa"/>
            <w:vAlign w:val="top"/>
          </w:tcPr>
          <w:p>
            <w:pPr>
              <w:pStyle w:val="TableText"/>
              <w:ind w:left="69"/>
              <w:spacing w:before="35" w:line="214" w:lineRule="auto"/>
              <w:rPr/>
            </w:pPr>
            <w:r>
              <w:rPr/>
              <w:t>台</w:t>
            </w:r>
          </w:p>
        </w:tc>
        <w:tc>
          <w:tcPr>
            <w:tcW w:w="325" w:type="dxa"/>
            <w:vAlign w:val="top"/>
          </w:tcPr>
          <w:p>
            <w:pPr>
              <w:ind w:left="11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419" w:type="dxa"/>
            <w:vAlign w:val="top"/>
          </w:tcPr>
          <w:p>
            <w:pPr>
              <w:ind w:left="16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423" w:type="dxa"/>
            <w:vAlign w:val="top"/>
          </w:tcPr>
          <w:p>
            <w:pPr>
              <w:ind w:left="10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26</w:t>
            </w:r>
          </w:p>
        </w:tc>
        <w:tc>
          <w:tcPr>
            <w:tcW w:w="505" w:type="dxa"/>
            <w:vAlign w:val="top"/>
          </w:tcPr>
          <w:p>
            <w:pPr>
              <w:ind w:left="12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0.5</w:t>
            </w:r>
          </w:p>
        </w:tc>
        <w:tc>
          <w:tcPr>
            <w:tcW w:w="607" w:type="dxa"/>
            <w:vAlign w:val="top"/>
          </w:tcPr>
          <w:p>
            <w:pPr>
              <w:ind w:left="20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495" w:type="dxa"/>
            <w:vAlign w:val="top"/>
            <w:vMerge w:val="continue"/>
            <w:tcBorders>
              <w:top w:val="nil"/>
              <w:bottom w:val="nil"/>
            </w:tcBorders>
          </w:tcPr>
          <w:p>
            <w:pPr>
              <w:rPr>
                <w:rFonts w:ascii="Arial"/>
                <w:sz w:val="21"/>
              </w:rPr>
            </w:pPr>
            <w:r/>
          </w:p>
        </w:tc>
        <w:tc>
          <w:tcPr>
            <w:tcW w:w="454" w:type="dxa"/>
            <w:vAlign w:val="top"/>
          </w:tcPr>
          <w:p>
            <w:pPr>
              <w:ind w:left="17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637" w:type="dxa"/>
            <w:vAlign w:val="top"/>
          </w:tcPr>
          <w:p>
            <w:pPr>
              <w:ind w:left="8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76.31</w:t>
            </w:r>
          </w:p>
        </w:tc>
        <w:tc>
          <w:tcPr>
            <w:tcW w:w="454" w:type="dxa"/>
            <w:vAlign w:val="top"/>
          </w:tcPr>
          <w:p>
            <w:pPr>
              <w:pStyle w:val="TableText"/>
              <w:ind w:left="21"/>
              <w:spacing w:before="35" w:line="214" w:lineRule="auto"/>
              <w:rPr/>
            </w:pPr>
            <w:r>
              <w:rPr>
                <w:spacing w:val="4"/>
              </w:rPr>
              <w:t>全天</w:t>
            </w:r>
          </w:p>
        </w:tc>
        <w:tc>
          <w:tcPr>
            <w:tcW w:w="654" w:type="dxa"/>
            <w:vAlign w:val="top"/>
          </w:tcPr>
          <w:p>
            <w:pPr>
              <w:ind w:left="22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56.31</w:t>
            </w:r>
          </w:p>
        </w:tc>
        <w:tc>
          <w:tcPr>
            <w:tcW w:w="570" w:type="dxa"/>
            <w:vAlign w:val="top"/>
          </w:tcPr>
          <w:p>
            <w:pPr>
              <w:ind w:left="17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tcBorders>
          </w:tcPr>
          <w:p>
            <w:pPr>
              <w:rPr>
                <w:rFonts w:ascii="Arial"/>
                <w:sz w:val="21"/>
              </w:rPr>
            </w:pPr>
            <w:r/>
          </w:p>
        </w:tc>
        <w:tc>
          <w:tcPr>
            <w:tcW w:w="563" w:type="dxa"/>
            <w:vAlign w:val="top"/>
            <w:vMerge w:val="continue"/>
            <w:tcBorders>
              <w:top w:val="nil"/>
            </w:tcBorders>
          </w:tcPr>
          <w:p>
            <w:pPr>
              <w:rPr>
                <w:rFonts w:ascii="Arial"/>
                <w:sz w:val="21"/>
              </w:rPr>
            </w:pPr>
            <w:r/>
          </w:p>
        </w:tc>
        <w:tc>
          <w:tcPr>
            <w:tcW w:w="1151" w:type="dxa"/>
            <w:vAlign w:val="top"/>
          </w:tcPr>
          <w:p>
            <w:pPr>
              <w:pStyle w:val="TableText"/>
              <w:ind w:left="369"/>
              <w:spacing w:before="36" w:line="213" w:lineRule="auto"/>
              <w:rPr/>
            </w:pPr>
            <w:r>
              <w:rPr>
                <w:spacing w:val="4"/>
              </w:rPr>
              <w:t>泵类</w:t>
            </w:r>
          </w:p>
        </w:tc>
        <w:tc>
          <w:tcPr>
            <w:tcW w:w="306" w:type="dxa"/>
            <w:vAlign w:val="top"/>
          </w:tcPr>
          <w:p>
            <w:pPr>
              <w:pStyle w:val="TableText"/>
              <w:ind w:left="69"/>
              <w:spacing w:before="36" w:line="213" w:lineRule="auto"/>
              <w:rPr/>
            </w:pPr>
            <w:r>
              <w:rPr/>
              <w:t>台</w:t>
            </w:r>
          </w:p>
        </w:tc>
        <w:tc>
          <w:tcPr>
            <w:tcW w:w="325" w:type="dxa"/>
            <w:vAlign w:val="top"/>
          </w:tcPr>
          <w:p>
            <w:pPr>
              <w:ind w:left="114"/>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419" w:type="dxa"/>
            <w:vAlign w:val="top"/>
          </w:tcPr>
          <w:p>
            <w:pPr>
              <w:ind w:left="124"/>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423" w:type="dxa"/>
            <w:vAlign w:val="top"/>
          </w:tcPr>
          <w:p>
            <w:pPr>
              <w:ind w:left="125"/>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17</w:t>
            </w:r>
          </w:p>
        </w:tc>
        <w:tc>
          <w:tcPr>
            <w:tcW w:w="505" w:type="dxa"/>
            <w:vAlign w:val="top"/>
          </w:tcPr>
          <w:p>
            <w:pPr>
              <w:ind w:left="124"/>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607" w:type="dxa"/>
            <w:vAlign w:val="top"/>
          </w:tcPr>
          <w:p>
            <w:pPr>
              <w:ind w:left="208"/>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80</w:t>
            </w:r>
          </w:p>
        </w:tc>
        <w:tc>
          <w:tcPr>
            <w:tcW w:w="495" w:type="dxa"/>
            <w:vAlign w:val="top"/>
            <w:vMerge w:val="continue"/>
            <w:tcBorders>
              <w:top w:val="nil"/>
            </w:tcBorders>
          </w:tcPr>
          <w:p>
            <w:pPr>
              <w:rPr>
                <w:rFonts w:ascii="Arial"/>
                <w:sz w:val="21"/>
              </w:rPr>
            </w:pPr>
            <w:r/>
          </w:p>
        </w:tc>
        <w:tc>
          <w:tcPr>
            <w:tcW w:w="454" w:type="dxa"/>
            <w:vAlign w:val="top"/>
          </w:tcPr>
          <w:p>
            <w:pPr>
              <w:ind w:left="179"/>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637" w:type="dxa"/>
            <w:vAlign w:val="top"/>
          </w:tcPr>
          <w:p>
            <w:pPr>
              <w:ind w:left="88"/>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62.</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3"/>
              </w:rPr>
              <w:t>11</w:t>
            </w:r>
          </w:p>
        </w:tc>
        <w:tc>
          <w:tcPr>
            <w:tcW w:w="454" w:type="dxa"/>
            <w:vAlign w:val="top"/>
          </w:tcPr>
          <w:p>
            <w:pPr>
              <w:pStyle w:val="TableText"/>
              <w:ind w:left="21"/>
              <w:spacing w:before="36" w:line="213" w:lineRule="auto"/>
              <w:rPr/>
            </w:pPr>
            <w:r>
              <w:rPr>
                <w:spacing w:val="4"/>
              </w:rPr>
              <w:t>全天</w:t>
            </w:r>
          </w:p>
        </w:tc>
        <w:tc>
          <w:tcPr>
            <w:tcW w:w="654" w:type="dxa"/>
            <w:vAlign w:val="top"/>
          </w:tcPr>
          <w:p>
            <w:pPr>
              <w:ind w:left="223"/>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35"/>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11</w:t>
            </w:r>
          </w:p>
        </w:tc>
        <w:tc>
          <w:tcPr>
            <w:tcW w:w="570" w:type="dxa"/>
            <w:vAlign w:val="top"/>
          </w:tcPr>
          <w:p>
            <w:pPr>
              <w:ind w:left="172"/>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8" w:hRule="atLeast"/>
        </w:trPr>
        <w:tc>
          <w:tcPr>
            <w:tcW w:w="253" w:type="dxa"/>
            <w:vAlign w:val="top"/>
            <w:vMerge w:val="restart"/>
            <w:tcBorders>
              <w:bottom w:val="nil"/>
            </w:tcBorders>
          </w:tcPr>
          <w:p>
            <w:pPr>
              <w:spacing w:line="297" w:lineRule="auto"/>
              <w:rPr>
                <w:rFonts w:ascii="Arial"/>
                <w:sz w:val="21"/>
              </w:rPr>
            </w:pPr>
            <w:r/>
          </w:p>
          <w:p>
            <w:pPr>
              <w:ind w:left="80"/>
              <w:spacing w:before="58"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563" w:type="dxa"/>
            <w:vAlign w:val="top"/>
            <w:vMerge w:val="restart"/>
            <w:tcBorders>
              <w:bottom w:val="nil"/>
            </w:tcBorders>
          </w:tcPr>
          <w:p>
            <w:pPr>
              <w:pStyle w:val="TableText"/>
              <w:ind w:left="178" w:right="73" w:hanging="104"/>
              <w:spacing w:before="182" w:line="254" w:lineRule="auto"/>
              <w:rPr/>
            </w:pPr>
            <w:r>
              <w:rPr>
                <w:spacing w:val="4"/>
              </w:rPr>
              <w:t>锅炉</w:t>
            </w:r>
            <w:r>
              <w:rPr/>
              <w:t xml:space="preserve"> </w:t>
            </w:r>
            <w:r>
              <w:rPr/>
              <w:t>房</w:t>
            </w:r>
          </w:p>
        </w:tc>
        <w:tc>
          <w:tcPr>
            <w:tcW w:w="1151" w:type="dxa"/>
            <w:vAlign w:val="top"/>
          </w:tcPr>
          <w:p>
            <w:pPr>
              <w:pStyle w:val="TableText"/>
              <w:ind w:left="55"/>
              <w:spacing w:before="35" w:line="215" w:lineRule="auto"/>
              <w:rPr/>
            </w:pPr>
            <w:r>
              <w:rPr>
                <w:spacing w:val="7"/>
              </w:rPr>
              <w:t>生物质锅炉</w:t>
            </w:r>
          </w:p>
        </w:tc>
        <w:tc>
          <w:tcPr>
            <w:tcW w:w="306" w:type="dxa"/>
            <w:vAlign w:val="top"/>
          </w:tcPr>
          <w:p>
            <w:pPr>
              <w:pStyle w:val="TableText"/>
              <w:ind w:left="69"/>
              <w:spacing w:before="35" w:line="215" w:lineRule="auto"/>
              <w:rPr/>
            </w:pPr>
            <w:r>
              <w:rPr/>
              <w:t>台</w:t>
            </w:r>
          </w:p>
        </w:tc>
        <w:tc>
          <w:tcPr>
            <w:tcW w:w="325" w:type="dxa"/>
            <w:vAlign w:val="top"/>
          </w:tcPr>
          <w:p>
            <w:pPr>
              <w:ind w:left="13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19" w:type="dxa"/>
            <w:vAlign w:val="top"/>
          </w:tcPr>
          <w:p>
            <w:pPr>
              <w:ind w:left="7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131</w:t>
            </w:r>
          </w:p>
        </w:tc>
        <w:tc>
          <w:tcPr>
            <w:tcW w:w="423" w:type="dxa"/>
            <w:vAlign w:val="top"/>
          </w:tcPr>
          <w:p>
            <w:pPr>
              <w:ind w:left="11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59</w:t>
            </w:r>
          </w:p>
        </w:tc>
        <w:tc>
          <w:tcPr>
            <w:tcW w:w="505" w:type="dxa"/>
            <w:vAlign w:val="top"/>
          </w:tcPr>
          <w:p>
            <w:pPr>
              <w:ind w:left="14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w:t>
            </w:r>
          </w:p>
        </w:tc>
        <w:tc>
          <w:tcPr>
            <w:tcW w:w="607" w:type="dxa"/>
            <w:vAlign w:val="top"/>
          </w:tcPr>
          <w:p>
            <w:pPr>
              <w:ind w:left="20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85</w:t>
            </w:r>
          </w:p>
        </w:tc>
        <w:tc>
          <w:tcPr>
            <w:tcW w:w="495" w:type="dxa"/>
            <w:vAlign w:val="top"/>
            <w:vMerge w:val="restart"/>
            <w:tcBorders>
              <w:bottom w:val="nil"/>
            </w:tcBorders>
          </w:tcPr>
          <w:p>
            <w:pPr>
              <w:pStyle w:val="TableText"/>
              <w:ind w:left="47" w:right="72" w:firstLine="111"/>
              <w:spacing w:before="45" w:line="251" w:lineRule="auto"/>
              <w:rPr/>
            </w:pPr>
            <w:r>
              <w:rPr>
                <w:spacing w:val="-12"/>
              </w:rPr>
              <w:t>隔</w:t>
            </w:r>
            <w:r>
              <w:rPr/>
              <w:t xml:space="preserve"> </w:t>
            </w:r>
            <w:r>
              <w:rPr>
                <w:spacing w:val="-15"/>
              </w:rPr>
              <w:t>声、</w:t>
            </w:r>
          </w:p>
          <w:p>
            <w:pPr>
              <w:pStyle w:val="TableText"/>
              <w:ind w:left="42"/>
              <w:spacing w:line="228" w:lineRule="auto"/>
              <w:rPr/>
            </w:pPr>
            <w:r>
              <w:rPr>
                <w:spacing w:val="4"/>
              </w:rPr>
              <w:t>减振</w:t>
            </w:r>
          </w:p>
        </w:tc>
        <w:tc>
          <w:tcPr>
            <w:tcW w:w="454" w:type="dxa"/>
            <w:vAlign w:val="top"/>
          </w:tcPr>
          <w:p>
            <w:pPr>
              <w:ind w:left="17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637" w:type="dxa"/>
            <w:vAlign w:val="top"/>
          </w:tcPr>
          <w:p>
            <w:pPr>
              <w:ind w:left="8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75.46</w:t>
            </w:r>
          </w:p>
        </w:tc>
        <w:tc>
          <w:tcPr>
            <w:tcW w:w="454" w:type="dxa"/>
            <w:vAlign w:val="top"/>
          </w:tcPr>
          <w:p>
            <w:pPr>
              <w:pStyle w:val="TableText"/>
              <w:ind w:left="21"/>
              <w:spacing w:before="35" w:line="215" w:lineRule="auto"/>
              <w:rPr/>
            </w:pPr>
            <w:r>
              <w:rPr>
                <w:spacing w:val="6"/>
              </w:rPr>
              <w:t>全天</w:t>
            </w:r>
          </w:p>
        </w:tc>
        <w:tc>
          <w:tcPr>
            <w:tcW w:w="654" w:type="dxa"/>
            <w:vAlign w:val="top"/>
          </w:tcPr>
          <w:p>
            <w:pPr>
              <w:ind w:left="22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50.46</w:t>
            </w:r>
          </w:p>
        </w:tc>
        <w:tc>
          <w:tcPr>
            <w:tcW w:w="570" w:type="dxa"/>
            <w:vAlign w:val="top"/>
          </w:tcPr>
          <w:p>
            <w:pPr>
              <w:ind w:left="17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77" w:hRule="atLeast"/>
        </w:trPr>
        <w:tc>
          <w:tcPr>
            <w:tcW w:w="253" w:type="dxa"/>
            <w:vAlign w:val="top"/>
            <w:vMerge w:val="continue"/>
            <w:tcBorders>
              <w:top w:val="nil"/>
              <w:bottom w:val="nil"/>
            </w:tcBorders>
          </w:tcPr>
          <w:p>
            <w:pPr>
              <w:rPr>
                <w:rFonts w:ascii="Arial"/>
                <w:sz w:val="21"/>
              </w:rPr>
            </w:pPr>
            <w:r/>
          </w:p>
        </w:tc>
        <w:tc>
          <w:tcPr>
            <w:tcW w:w="563" w:type="dxa"/>
            <w:vAlign w:val="top"/>
            <w:vMerge w:val="continue"/>
            <w:tcBorders>
              <w:top w:val="nil"/>
              <w:bottom w:val="nil"/>
            </w:tcBorders>
          </w:tcPr>
          <w:p>
            <w:pPr>
              <w:rPr>
                <w:rFonts w:ascii="Arial"/>
                <w:sz w:val="21"/>
              </w:rPr>
            </w:pPr>
            <w:r/>
          </w:p>
        </w:tc>
        <w:tc>
          <w:tcPr>
            <w:tcW w:w="1151" w:type="dxa"/>
            <w:vAlign w:val="top"/>
          </w:tcPr>
          <w:p>
            <w:pPr>
              <w:pStyle w:val="TableText"/>
              <w:ind w:left="162"/>
              <w:spacing w:before="35" w:line="214" w:lineRule="auto"/>
              <w:rPr/>
            </w:pPr>
            <w:r>
              <w:rPr>
                <w:spacing w:val="6"/>
              </w:rPr>
              <w:t>蒸汽锅炉</w:t>
            </w:r>
          </w:p>
        </w:tc>
        <w:tc>
          <w:tcPr>
            <w:tcW w:w="306" w:type="dxa"/>
            <w:vAlign w:val="top"/>
          </w:tcPr>
          <w:p>
            <w:pPr>
              <w:pStyle w:val="TableText"/>
              <w:ind w:left="69"/>
              <w:spacing w:before="35" w:line="214" w:lineRule="auto"/>
              <w:rPr/>
            </w:pPr>
            <w:r>
              <w:rPr/>
              <w:t>台</w:t>
            </w:r>
          </w:p>
        </w:tc>
        <w:tc>
          <w:tcPr>
            <w:tcW w:w="325" w:type="dxa"/>
            <w:vAlign w:val="top"/>
          </w:tcPr>
          <w:p>
            <w:pPr>
              <w:ind w:left="13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19" w:type="dxa"/>
            <w:vAlign w:val="top"/>
          </w:tcPr>
          <w:p>
            <w:pPr>
              <w:ind w:left="7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129</w:t>
            </w:r>
          </w:p>
        </w:tc>
        <w:tc>
          <w:tcPr>
            <w:tcW w:w="423" w:type="dxa"/>
            <w:vAlign w:val="top"/>
          </w:tcPr>
          <w:p>
            <w:pPr>
              <w:ind w:left="10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505" w:type="dxa"/>
            <w:vAlign w:val="top"/>
          </w:tcPr>
          <w:p>
            <w:pPr>
              <w:ind w:left="14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w:t>
            </w:r>
          </w:p>
        </w:tc>
        <w:tc>
          <w:tcPr>
            <w:tcW w:w="607" w:type="dxa"/>
            <w:vAlign w:val="top"/>
          </w:tcPr>
          <w:p>
            <w:pPr>
              <w:ind w:left="20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85</w:t>
            </w:r>
          </w:p>
        </w:tc>
        <w:tc>
          <w:tcPr>
            <w:tcW w:w="495" w:type="dxa"/>
            <w:vAlign w:val="top"/>
            <w:vMerge w:val="continue"/>
            <w:tcBorders>
              <w:top w:val="nil"/>
              <w:bottom w:val="nil"/>
            </w:tcBorders>
          </w:tcPr>
          <w:p>
            <w:pPr>
              <w:rPr>
                <w:rFonts w:ascii="Arial"/>
                <w:sz w:val="21"/>
              </w:rPr>
            </w:pPr>
            <w:r/>
          </w:p>
        </w:tc>
        <w:tc>
          <w:tcPr>
            <w:tcW w:w="454" w:type="dxa"/>
            <w:vAlign w:val="top"/>
          </w:tcPr>
          <w:p>
            <w:pPr>
              <w:ind w:left="17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637" w:type="dxa"/>
            <w:vAlign w:val="top"/>
          </w:tcPr>
          <w:p>
            <w:pPr>
              <w:ind w:left="8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75.46</w:t>
            </w:r>
          </w:p>
        </w:tc>
        <w:tc>
          <w:tcPr>
            <w:tcW w:w="454" w:type="dxa"/>
            <w:vAlign w:val="top"/>
          </w:tcPr>
          <w:p>
            <w:pPr>
              <w:pStyle w:val="TableText"/>
              <w:ind w:left="21"/>
              <w:spacing w:before="35" w:line="214" w:lineRule="auto"/>
              <w:rPr/>
            </w:pPr>
            <w:r>
              <w:rPr>
                <w:spacing w:val="6"/>
              </w:rPr>
              <w:t>全天</w:t>
            </w:r>
          </w:p>
        </w:tc>
        <w:tc>
          <w:tcPr>
            <w:tcW w:w="654" w:type="dxa"/>
            <w:vAlign w:val="top"/>
          </w:tcPr>
          <w:p>
            <w:pPr>
              <w:ind w:left="22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4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50.46</w:t>
            </w:r>
          </w:p>
        </w:tc>
        <w:tc>
          <w:tcPr>
            <w:tcW w:w="570" w:type="dxa"/>
            <w:vAlign w:val="top"/>
          </w:tcPr>
          <w:p>
            <w:pPr>
              <w:ind w:left="17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r>
        <w:trPr>
          <w:trHeight w:val="282" w:hRule="atLeast"/>
        </w:trPr>
        <w:tc>
          <w:tcPr>
            <w:tcW w:w="253" w:type="dxa"/>
            <w:vAlign w:val="top"/>
            <w:vMerge w:val="continue"/>
            <w:tcBorders>
              <w:top w:val="nil"/>
            </w:tcBorders>
          </w:tcPr>
          <w:p>
            <w:pPr>
              <w:rPr>
                <w:rFonts w:ascii="Arial"/>
                <w:sz w:val="21"/>
              </w:rPr>
            </w:pPr>
            <w:r/>
          </w:p>
        </w:tc>
        <w:tc>
          <w:tcPr>
            <w:tcW w:w="563" w:type="dxa"/>
            <w:vAlign w:val="top"/>
            <w:vMerge w:val="continue"/>
            <w:tcBorders>
              <w:top w:val="nil"/>
            </w:tcBorders>
          </w:tcPr>
          <w:p>
            <w:pPr>
              <w:rPr>
                <w:rFonts w:ascii="Arial"/>
                <w:sz w:val="21"/>
              </w:rPr>
            </w:pPr>
            <w:r/>
          </w:p>
        </w:tc>
        <w:tc>
          <w:tcPr>
            <w:tcW w:w="1151" w:type="dxa"/>
            <w:vAlign w:val="top"/>
          </w:tcPr>
          <w:p>
            <w:pPr>
              <w:pStyle w:val="TableText"/>
              <w:ind w:left="162"/>
              <w:spacing w:before="36" w:line="217" w:lineRule="auto"/>
              <w:rPr/>
            </w:pPr>
            <w:r>
              <w:rPr>
                <w:spacing w:val="6"/>
              </w:rPr>
              <w:t>纯水制备</w:t>
            </w:r>
          </w:p>
        </w:tc>
        <w:tc>
          <w:tcPr>
            <w:tcW w:w="306" w:type="dxa"/>
            <w:vAlign w:val="top"/>
          </w:tcPr>
          <w:p>
            <w:pPr>
              <w:pStyle w:val="TableText"/>
              <w:ind w:left="53"/>
              <w:spacing w:before="36" w:line="217" w:lineRule="auto"/>
              <w:rPr/>
            </w:pPr>
            <w:r>
              <w:rPr/>
              <w:t>套</w:t>
            </w:r>
          </w:p>
        </w:tc>
        <w:tc>
          <w:tcPr>
            <w:tcW w:w="325" w:type="dxa"/>
            <w:vAlign w:val="top"/>
          </w:tcPr>
          <w:p>
            <w:pPr>
              <w:ind w:left="130"/>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419" w:type="dxa"/>
            <w:vAlign w:val="top"/>
          </w:tcPr>
          <w:p>
            <w:pPr>
              <w:ind w:left="71"/>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126</w:t>
            </w:r>
          </w:p>
        </w:tc>
        <w:tc>
          <w:tcPr>
            <w:tcW w:w="423" w:type="dxa"/>
            <w:vAlign w:val="top"/>
          </w:tcPr>
          <w:p>
            <w:pPr>
              <w:ind w:left="111"/>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58</w:t>
            </w:r>
          </w:p>
        </w:tc>
        <w:tc>
          <w:tcPr>
            <w:tcW w:w="505" w:type="dxa"/>
            <w:vAlign w:val="top"/>
          </w:tcPr>
          <w:p>
            <w:pPr>
              <w:ind w:left="124"/>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0.5</w:t>
            </w:r>
          </w:p>
        </w:tc>
        <w:tc>
          <w:tcPr>
            <w:tcW w:w="607" w:type="dxa"/>
            <w:vAlign w:val="top"/>
          </w:tcPr>
          <w:p>
            <w:pPr>
              <w:ind w:left="205"/>
              <w:spacing w:before="7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55</w:t>
            </w:r>
          </w:p>
        </w:tc>
        <w:tc>
          <w:tcPr>
            <w:tcW w:w="495" w:type="dxa"/>
            <w:vAlign w:val="top"/>
            <w:vMerge w:val="continue"/>
            <w:tcBorders>
              <w:top w:val="nil"/>
            </w:tcBorders>
          </w:tcPr>
          <w:p>
            <w:pPr>
              <w:rPr>
                <w:rFonts w:ascii="Arial"/>
                <w:sz w:val="21"/>
              </w:rPr>
            </w:pPr>
            <w:r/>
          </w:p>
        </w:tc>
        <w:tc>
          <w:tcPr>
            <w:tcW w:w="454" w:type="dxa"/>
            <w:vAlign w:val="top"/>
          </w:tcPr>
          <w:p>
            <w:pPr>
              <w:ind w:left="116"/>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1.5</w:t>
            </w:r>
          </w:p>
        </w:tc>
        <w:tc>
          <w:tcPr>
            <w:tcW w:w="637" w:type="dxa"/>
            <w:vAlign w:val="top"/>
          </w:tcPr>
          <w:p>
            <w:pPr>
              <w:ind w:left="82"/>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45.46</w:t>
            </w:r>
          </w:p>
        </w:tc>
        <w:tc>
          <w:tcPr>
            <w:tcW w:w="454" w:type="dxa"/>
            <w:vAlign w:val="top"/>
          </w:tcPr>
          <w:p>
            <w:pPr>
              <w:pStyle w:val="TableText"/>
              <w:ind w:left="21"/>
              <w:spacing w:before="36" w:line="217" w:lineRule="auto"/>
              <w:rPr/>
            </w:pPr>
            <w:r>
              <w:rPr>
                <w:spacing w:val="6"/>
              </w:rPr>
              <w:t>全天</w:t>
            </w:r>
          </w:p>
        </w:tc>
        <w:tc>
          <w:tcPr>
            <w:tcW w:w="654" w:type="dxa"/>
            <w:vAlign w:val="top"/>
          </w:tcPr>
          <w:p>
            <w:pPr>
              <w:ind w:left="223"/>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40" w:type="dxa"/>
            <w:vAlign w:val="top"/>
          </w:tcPr>
          <w:p>
            <w:pPr>
              <w:ind w:left="136"/>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20.46</w:t>
            </w:r>
          </w:p>
        </w:tc>
        <w:tc>
          <w:tcPr>
            <w:tcW w:w="570" w:type="dxa"/>
            <w:vAlign w:val="top"/>
          </w:tcPr>
          <w:p>
            <w:pPr>
              <w:ind w:left="172"/>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1m</w:t>
            </w:r>
          </w:p>
        </w:tc>
      </w:tr>
    </w:tbl>
    <w:p>
      <w:pPr>
        <w:ind w:left="42"/>
        <w:spacing w:before="196" w:line="222" w:lineRule="auto"/>
        <w:outlineLvl w:val="2"/>
        <w:rPr>
          <w:rFonts w:ascii="SimHei" w:hAnsi="SimHei" w:eastAsia="SimHei" w:cs="SimHei"/>
          <w:sz w:val="28"/>
          <w:szCs w:val="28"/>
        </w:rPr>
      </w:pPr>
      <w:bookmarkStart w:name="bookmark103" w:id="130"/>
      <w:bookmarkEnd w:id="130"/>
      <w:r>
        <w:rPr>
          <w:rFonts w:ascii="Times New Roman" w:hAnsi="Times New Roman" w:eastAsia="Times New Roman" w:cs="Times New Roman"/>
          <w:sz w:val="28"/>
          <w:szCs w:val="28"/>
          <w:spacing w:val="-2"/>
        </w:rPr>
        <w:t>5.4.2 </w:t>
      </w:r>
      <w:r>
        <w:rPr>
          <w:rFonts w:ascii="SimHei" w:hAnsi="SimHei" w:eastAsia="SimHei" w:cs="SimHei"/>
          <w:sz w:val="28"/>
          <w:szCs w:val="28"/>
          <w:spacing w:val="-2"/>
        </w:rPr>
        <w:t>预测模式</w:t>
      </w:r>
    </w:p>
    <w:p>
      <w:pPr>
        <w:pStyle w:val="BodyText"/>
        <w:spacing w:line="277" w:lineRule="auto"/>
        <w:rPr/>
      </w:pPr>
      <w:r/>
    </w:p>
    <w:p>
      <w:pPr>
        <w:ind w:left="530"/>
        <w:spacing w:before="79"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）预测模式选择</w:t>
      </w:r>
    </w:p>
    <w:p>
      <w:pPr>
        <w:ind w:left="518"/>
        <w:spacing w:before="183" w:line="218" w:lineRule="auto"/>
        <w:rPr>
          <w:rFonts w:ascii="SimSun" w:hAnsi="SimSun" w:eastAsia="SimSun" w:cs="SimSun"/>
          <w:sz w:val="24"/>
          <w:szCs w:val="24"/>
        </w:rPr>
      </w:pPr>
      <w:r>
        <w:rPr>
          <w:rFonts w:ascii="SimSun" w:hAnsi="SimSun" w:eastAsia="SimSun" w:cs="SimSun"/>
          <w:sz w:val="24"/>
          <w:szCs w:val="24"/>
          <w:spacing w:val="-1"/>
        </w:rPr>
        <w:t>根据《环境影响评价技术导则 声环境》（</w:t>
      </w:r>
      <w:r>
        <w:rPr>
          <w:rFonts w:ascii="Times New Roman" w:hAnsi="Times New Roman" w:eastAsia="Times New Roman" w:cs="Times New Roman"/>
          <w:sz w:val="24"/>
          <w:szCs w:val="24"/>
          <w:spacing w:val="-1"/>
        </w:rPr>
        <w:t>HJ 2.4-2021</w:t>
      </w:r>
      <w:r>
        <w:rPr>
          <w:rFonts w:ascii="SimSun" w:hAnsi="SimSun" w:eastAsia="SimSun" w:cs="SimSun"/>
          <w:sz w:val="24"/>
          <w:szCs w:val="24"/>
          <w:spacing w:val="13"/>
        </w:rPr>
        <w:t>），</w:t>
      </w:r>
      <w:r>
        <w:rPr>
          <w:rFonts w:ascii="SimSun" w:hAnsi="SimSun" w:eastAsia="SimSun" w:cs="SimSun"/>
          <w:sz w:val="24"/>
          <w:szCs w:val="24"/>
          <w:spacing w:val="-1"/>
        </w:rPr>
        <w:t>声环境影响预测，</w:t>
      </w:r>
    </w:p>
    <w:p>
      <w:pPr>
        <w:spacing w:line="218" w:lineRule="auto"/>
        <w:sectPr>
          <w:headerReference w:type="default" r:id="rId281"/>
          <w:footerReference w:type="default" r:id="rId282"/>
          <w:pgSz w:w="11907" w:h="16840"/>
          <w:pgMar w:top="1567" w:right="1621" w:bottom="1921" w:left="1672" w:header="1221" w:footer="1250" w:gutter="0"/>
        </w:sectPr>
        <w:rPr>
          <w:rFonts w:ascii="SimSun" w:hAnsi="SimSun" w:eastAsia="SimSun" w:cs="SimSun"/>
          <w:sz w:val="24"/>
          <w:szCs w:val="24"/>
        </w:rPr>
      </w:pPr>
    </w:p>
    <w:p>
      <w:pPr>
        <w:ind w:left="9" w:right="18" w:firstLine="3"/>
        <w:spacing w:before="186" w:line="359" w:lineRule="auto"/>
        <w:jc w:val="both"/>
        <w:rPr>
          <w:rFonts w:ascii="SimSun" w:hAnsi="SimSun" w:eastAsia="SimSun" w:cs="SimSun"/>
          <w:sz w:val="24"/>
          <w:szCs w:val="24"/>
        </w:rPr>
      </w:pPr>
      <w:r>
        <w:pict>
          <v:shape id="_x0000_s984" style="position:absolute;margin-left:85.05pt;margin-top:79.11pt;mso-position-vertical-relative:page;mso-position-horizontal-relative:page;width:425.25pt;height:0.75pt;z-index:252123136;" o:allowincell="f" fillcolor="#000000" filled="true" stroked="false" coordsize="8505,15" coordorigin="0,0" path="m,l8505,0l8505,14l0,14l0,0xe"/>
        </w:pict>
      </w:r>
      <w:r>
        <w:rPr>
          <w:rFonts w:ascii="SimSun" w:hAnsi="SimSun" w:eastAsia="SimSun" w:cs="SimSun"/>
          <w:sz w:val="24"/>
          <w:szCs w:val="24"/>
          <w:spacing w:val="2"/>
        </w:rPr>
        <w:t>一般采用声源的倍频带声功率级、</w:t>
      </w:r>
      <w:r>
        <w:rPr>
          <w:rFonts w:ascii="Times New Roman" w:hAnsi="Times New Roman" w:eastAsia="Times New Roman" w:cs="Times New Roman"/>
          <w:sz w:val="24"/>
          <w:szCs w:val="24"/>
          <w:spacing w:val="2"/>
        </w:rPr>
        <w:t>A</w:t>
      </w:r>
      <w:r>
        <w:rPr>
          <w:rFonts w:ascii="Times New Roman" w:hAnsi="Times New Roman" w:eastAsia="Times New Roman" w:cs="Times New Roman"/>
          <w:sz w:val="24"/>
          <w:szCs w:val="24"/>
          <w:spacing w:val="27"/>
          <w:w w:val="101"/>
        </w:rPr>
        <w:t xml:space="preserve"> </w:t>
      </w:r>
      <w:r>
        <w:rPr>
          <w:rFonts w:ascii="SimSun" w:hAnsi="SimSun" w:eastAsia="SimSun" w:cs="SimSun"/>
          <w:sz w:val="24"/>
          <w:szCs w:val="24"/>
          <w:spacing w:val="2"/>
        </w:rPr>
        <w:t>声功率级或靠近声源某一位置的倍频带声压</w:t>
      </w:r>
      <w:r>
        <w:rPr>
          <w:rFonts w:ascii="SimSun" w:hAnsi="SimSun" w:eastAsia="SimSun" w:cs="SimSun"/>
          <w:sz w:val="24"/>
          <w:szCs w:val="24"/>
        </w:rPr>
        <w:t xml:space="preserve"> </w:t>
      </w:r>
      <w:r>
        <w:rPr>
          <w:rFonts w:ascii="SimSun" w:hAnsi="SimSun" w:eastAsia="SimSun" w:cs="SimSun"/>
          <w:sz w:val="24"/>
          <w:szCs w:val="24"/>
          <w:spacing w:val="-2"/>
        </w:rPr>
        <w:t>级、</w:t>
      </w:r>
      <w:r>
        <w:rPr>
          <w:rFonts w:ascii="Times New Roman" w:hAnsi="Times New Roman" w:eastAsia="Times New Roman" w:cs="Times New Roman"/>
          <w:sz w:val="24"/>
          <w:szCs w:val="24"/>
          <w:spacing w:val="-2"/>
        </w:rPr>
        <w:t>A </w:t>
      </w:r>
      <w:r>
        <w:rPr>
          <w:rFonts w:ascii="SimSun" w:hAnsi="SimSun" w:eastAsia="SimSun" w:cs="SimSun"/>
          <w:sz w:val="24"/>
          <w:szCs w:val="24"/>
          <w:spacing w:val="-2"/>
        </w:rPr>
        <w:t>声级来预测计算距声源不同距离的声级。工业声源有室外和室</w:t>
      </w:r>
      <w:r>
        <w:rPr>
          <w:rFonts w:ascii="SimSun" w:hAnsi="SimSun" w:eastAsia="SimSun" w:cs="SimSun"/>
          <w:sz w:val="24"/>
          <w:szCs w:val="24"/>
          <w:spacing w:val="-3"/>
        </w:rPr>
        <w:t>内两种声源，</w:t>
      </w:r>
      <w:r>
        <w:rPr>
          <w:rFonts w:ascii="SimSun" w:hAnsi="SimSun" w:eastAsia="SimSun" w:cs="SimSun"/>
          <w:sz w:val="24"/>
          <w:szCs w:val="24"/>
        </w:rPr>
        <w:t xml:space="preserve"> </w:t>
      </w:r>
      <w:r>
        <w:rPr>
          <w:rFonts w:ascii="SimSun" w:hAnsi="SimSun" w:eastAsia="SimSun" w:cs="SimSun"/>
          <w:sz w:val="24"/>
          <w:szCs w:val="24"/>
          <w:spacing w:val="-2"/>
        </w:rPr>
        <w:t>应分别计算。</w:t>
      </w:r>
    </w:p>
    <w:p>
      <w:pPr>
        <w:ind w:left="13" w:right="80" w:firstLine="482"/>
        <w:spacing w:line="359" w:lineRule="auto"/>
        <w:rPr>
          <w:rFonts w:ascii="SimSun" w:hAnsi="SimSun" w:eastAsia="SimSun" w:cs="SimSun"/>
          <w:sz w:val="24"/>
          <w:szCs w:val="24"/>
        </w:rPr>
      </w:pPr>
      <w:r>
        <w:rPr>
          <w:rFonts w:ascii="SimSun" w:hAnsi="SimSun" w:eastAsia="SimSun" w:cs="SimSun"/>
          <w:sz w:val="24"/>
          <w:szCs w:val="24"/>
        </w:rPr>
        <w:t>《环境影响评价技术导则 声环境》（</w:t>
      </w:r>
      <w:r>
        <w:rPr>
          <w:rFonts w:ascii="Times New Roman" w:hAnsi="Times New Roman" w:eastAsia="Times New Roman" w:cs="Times New Roman"/>
          <w:sz w:val="24"/>
          <w:szCs w:val="24"/>
        </w:rPr>
        <w:t>HJ </w:t>
      </w:r>
      <w:r>
        <w:rPr>
          <w:rFonts w:ascii="Times New Roman" w:hAnsi="Times New Roman" w:eastAsia="Times New Roman" w:cs="Times New Roman"/>
          <w:sz w:val="24"/>
          <w:szCs w:val="24"/>
          <w:spacing w:val="-1"/>
        </w:rPr>
        <w:t>2.4-2021</w:t>
      </w:r>
      <w:r>
        <w:rPr>
          <w:rFonts w:ascii="SimSun" w:hAnsi="SimSun" w:eastAsia="SimSun" w:cs="SimSun"/>
          <w:sz w:val="24"/>
          <w:szCs w:val="24"/>
          <w:spacing w:val="-1"/>
        </w:rPr>
        <w:t>）中工业噪声预测计算模型</w:t>
      </w:r>
      <w:r>
        <w:rPr>
          <w:rFonts w:ascii="SimSun" w:hAnsi="SimSun" w:eastAsia="SimSun" w:cs="SimSun"/>
          <w:sz w:val="24"/>
          <w:szCs w:val="24"/>
        </w:rPr>
        <w:t xml:space="preserve"> </w:t>
      </w:r>
      <w:r>
        <w:rPr>
          <w:rFonts w:ascii="SimSun" w:hAnsi="SimSun" w:eastAsia="SimSun" w:cs="SimSun"/>
          <w:sz w:val="24"/>
          <w:szCs w:val="24"/>
          <w:spacing w:val="-5"/>
        </w:rPr>
        <w:t>如下：</w:t>
      </w:r>
    </w:p>
    <w:p>
      <w:pPr>
        <w:ind w:left="488"/>
        <w:spacing w:line="217" w:lineRule="auto"/>
        <w:rPr>
          <w:rFonts w:ascii="SimSun" w:hAnsi="SimSun" w:eastAsia="SimSun" w:cs="SimSun"/>
          <w:sz w:val="24"/>
          <w:szCs w:val="24"/>
        </w:rPr>
      </w:pPr>
      <w:r>
        <w:rPr>
          <w:rFonts w:ascii="SimSun" w:hAnsi="SimSun" w:eastAsia="SimSun" w:cs="SimSun"/>
          <w:sz w:val="24"/>
          <w:szCs w:val="24"/>
          <w:spacing w:val="-1"/>
        </w:rPr>
        <w:t>①室外声源在预测点产生的声级计算模型</w:t>
      </w:r>
    </w:p>
    <w:p>
      <w:pPr>
        <w:ind w:left="22" w:firstLine="468"/>
        <w:spacing w:before="184" w:line="351" w:lineRule="auto"/>
        <w:rPr>
          <w:rFonts w:ascii="SimSun" w:hAnsi="SimSun" w:eastAsia="SimSun" w:cs="SimSun"/>
          <w:sz w:val="24"/>
          <w:szCs w:val="24"/>
        </w:rPr>
      </w:pPr>
      <w:r>
        <w:rPr>
          <w:rFonts w:ascii="SimSun" w:hAnsi="SimSun" w:eastAsia="SimSun" w:cs="SimSun"/>
          <w:sz w:val="24"/>
          <w:szCs w:val="24"/>
          <w:spacing w:val="-6"/>
        </w:rPr>
        <w:t>户外声传播衰减包括几何发散（</w:t>
      </w:r>
      <w:r>
        <w:rPr>
          <w:rFonts w:ascii="Times New Roman" w:hAnsi="Times New Roman" w:eastAsia="Times New Roman" w:cs="Times New Roman"/>
          <w:sz w:val="24"/>
          <w:szCs w:val="24"/>
          <w:spacing w:val="-6"/>
        </w:rPr>
        <w:t>A</w:t>
      </w:r>
      <w:r>
        <w:rPr>
          <w:rFonts w:ascii="Times New Roman" w:hAnsi="Times New Roman" w:eastAsia="Times New Roman" w:cs="Times New Roman"/>
          <w:sz w:val="15"/>
          <w:szCs w:val="15"/>
          <w:spacing w:val="-6"/>
          <w:position w:val="-1"/>
        </w:rPr>
        <w:t>div </w:t>
      </w:r>
      <w:r>
        <w:rPr>
          <w:rFonts w:ascii="SimSun" w:hAnsi="SimSun" w:eastAsia="SimSun" w:cs="SimSun"/>
          <w:sz w:val="24"/>
          <w:szCs w:val="24"/>
          <w:spacing w:val="-6"/>
        </w:rPr>
        <w:t>）、大气吸收（</w:t>
      </w:r>
      <w:r>
        <w:rPr>
          <w:rFonts w:ascii="Times New Roman" w:hAnsi="Times New Roman" w:eastAsia="Times New Roman" w:cs="Times New Roman"/>
          <w:sz w:val="24"/>
          <w:szCs w:val="24"/>
          <w:spacing w:val="-6"/>
        </w:rPr>
        <w:t>A</w:t>
      </w:r>
      <w:r>
        <w:rPr>
          <w:rFonts w:ascii="Times New Roman" w:hAnsi="Times New Roman" w:eastAsia="Times New Roman" w:cs="Times New Roman"/>
          <w:sz w:val="15"/>
          <w:szCs w:val="15"/>
          <w:spacing w:val="-6"/>
          <w:position w:val="-1"/>
        </w:rPr>
        <w:t>atm </w:t>
      </w:r>
      <w:r>
        <w:rPr>
          <w:rFonts w:ascii="SimSun" w:hAnsi="SimSun" w:eastAsia="SimSun" w:cs="SimSun"/>
          <w:sz w:val="24"/>
          <w:szCs w:val="24"/>
          <w:spacing w:val="-6"/>
        </w:rPr>
        <w:t>）、地面效应（</w:t>
      </w:r>
      <w:r>
        <w:rPr>
          <w:rFonts w:ascii="Times New Roman" w:hAnsi="Times New Roman" w:eastAsia="Times New Roman" w:cs="Times New Roman"/>
          <w:sz w:val="24"/>
          <w:szCs w:val="24"/>
          <w:spacing w:val="-6"/>
        </w:rPr>
        <w:t>A</w:t>
      </w:r>
      <w:r>
        <w:rPr>
          <w:rFonts w:ascii="Times New Roman" w:hAnsi="Times New Roman" w:eastAsia="Times New Roman" w:cs="Times New Roman"/>
          <w:sz w:val="15"/>
          <w:szCs w:val="15"/>
          <w:spacing w:val="-6"/>
          <w:position w:val="-1"/>
        </w:rPr>
        <w:t>gr</w:t>
      </w:r>
      <w:r>
        <w:rPr>
          <w:rFonts w:ascii="SimSun" w:hAnsi="SimSun" w:eastAsia="SimSun" w:cs="SimSun"/>
          <w:sz w:val="24"/>
          <w:szCs w:val="24"/>
          <w:spacing w:val="-6"/>
        </w:rPr>
        <w:t>）、</w:t>
      </w:r>
      <w:r>
        <w:rPr>
          <w:rFonts w:ascii="SimSun" w:hAnsi="SimSun" w:eastAsia="SimSun" w:cs="SimSun"/>
          <w:sz w:val="24"/>
          <w:szCs w:val="24"/>
          <w:spacing w:val="13"/>
        </w:rPr>
        <w:t xml:space="preserve"> </w:t>
      </w:r>
      <w:r>
        <w:rPr>
          <w:rFonts w:ascii="SimSun" w:hAnsi="SimSun" w:eastAsia="SimSun" w:cs="SimSun"/>
          <w:sz w:val="24"/>
          <w:szCs w:val="24"/>
          <w:spacing w:val="-1"/>
        </w:rPr>
        <w:t>障碍物屏蔽（</w:t>
      </w:r>
      <w:r>
        <w:rPr>
          <w:rFonts w:ascii="Times New Roman" w:hAnsi="Times New Roman" w:eastAsia="Times New Roman" w:cs="Times New Roman"/>
          <w:sz w:val="24"/>
          <w:szCs w:val="24"/>
          <w:spacing w:val="-1"/>
        </w:rPr>
        <w:t>A</w:t>
      </w:r>
      <w:r>
        <w:rPr>
          <w:rFonts w:ascii="Times New Roman" w:hAnsi="Times New Roman" w:eastAsia="Times New Roman" w:cs="Times New Roman"/>
          <w:sz w:val="15"/>
          <w:szCs w:val="15"/>
          <w:spacing w:val="-1"/>
          <w:position w:val="-1"/>
        </w:rPr>
        <w:t>bar</w:t>
      </w:r>
      <w:r>
        <w:rPr>
          <w:rFonts w:ascii="SimSun" w:hAnsi="SimSun" w:eastAsia="SimSun" w:cs="SimSun"/>
          <w:sz w:val="24"/>
          <w:szCs w:val="24"/>
          <w:spacing w:val="-1"/>
        </w:rPr>
        <w:t>）、其他多方面效应</w:t>
      </w:r>
      <w:r>
        <w:rPr>
          <w:rFonts w:ascii="SimSun" w:hAnsi="SimSun" w:eastAsia="SimSun" w:cs="SimSun"/>
          <w:sz w:val="24"/>
          <w:szCs w:val="24"/>
          <w:spacing w:val="-2"/>
        </w:rPr>
        <w:t>（</w:t>
      </w:r>
      <w:r>
        <w:rPr>
          <w:rFonts w:ascii="Times New Roman" w:hAnsi="Times New Roman" w:eastAsia="Times New Roman" w:cs="Times New Roman"/>
          <w:sz w:val="24"/>
          <w:szCs w:val="24"/>
          <w:spacing w:val="-2"/>
        </w:rPr>
        <w:t>A</w:t>
      </w:r>
      <w:r>
        <w:rPr>
          <w:rFonts w:ascii="Times New Roman" w:hAnsi="Times New Roman" w:eastAsia="Times New Roman" w:cs="Times New Roman"/>
          <w:sz w:val="15"/>
          <w:szCs w:val="15"/>
          <w:spacing w:val="-2"/>
          <w:position w:val="-1"/>
        </w:rPr>
        <w:t>misc </w:t>
      </w:r>
      <w:r>
        <w:rPr>
          <w:rFonts w:ascii="SimSun" w:hAnsi="SimSun" w:eastAsia="SimSun" w:cs="SimSun"/>
          <w:sz w:val="24"/>
          <w:szCs w:val="24"/>
          <w:spacing w:val="-2"/>
        </w:rPr>
        <w:t>）引起的衰减。</w:t>
      </w:r>
    </w:p>
    <w:p>
      <w:pPr>
        <w:ind w:left="10" w:right="80" w:firstLine="478"/>
        <w:spacing w:before="22" w:line="359" w:lineRule="auto"/>
        <w:rPr>
          <w:rFonts w:ascii="SimSun" w:hAnsi="SimSun" w:eastAsia="SimSun" w:cs="SimSun"/>
          <w:sz w:val="24"/>
          <w:szCs w:val="24"/>
        </w:rPr>
      </w:pPr>
      <w:r>
        <w:rPr>
          <w:rFonts w:ascii="Times New Roman" w:hAnsi="Times New Roman" w:eastAsia="Times New Roman" w:cs="Times New Roman"/>
          <w:sz w:val="24"/>
          <w:szCs w:val="24"/>
          <w:spacing w:val="-2"/>
        </w:rPr>
        <w:t>a.</w:t>
      </w:r>
      <w:r>
        <w:rPr>
          <w:rFonts w:ascii="SimSun" w:hAnsi="SimSun" w:eastAsia="SimSun" w:cs="SimSun"/>
          <w:sz w:val="24"/>
          <w:szCs w:val="24"/>
          <w:spacing w:val="-2"/>
        </w:rPr>
        <w:t>在环境影响评价中，应根据声源声功率级或参考位置处的声压级、户</w:t>
      </w:r>
      <w:r>
        <w:rPr>
          <w:rFonts w:ascii="SimSun" w:hAnsi="SimSun" w:eastAsia="SimSun" w:cs="SimSun"/>
          <w:sz w:val="24"/>
          <w:szCs w:val="24"/>
          <w:spacing w:val="-3"/>
        </w:rPr>
        <w:t>外声传</w:t>
      </w:r>
      <w:r>
        <w:rPr>
          <w:rFonts w:ascii="SimSun" w:hAnsi="SimSun" w:eastAsia="SimSun" w:cs="SimSun"/>
          <w:sz w:val="24"/>
          <w:szCs w:val="24"/>
        </w:rPr>
        <w:t xml:space="preserve"> </w:t>
      </w:r>
      <w:r>
        <w:rPr>
          <w:rFonts w:ascii="SimSun" w:hAnsi="SimSun" w:eastAsia="SimSun" w:cs="SimSun"/>
          <w:sz w:val="24"/>
          <w:szCs w:val="24"/>
          <w:spacing w:val="-1"/>
        </w:rPr>
        <w:t>播衰减，计算预测点的声级，分别按下面两个公式计算：</w:t>
      </w:r>
    </w:p>
    <w:p>
      <w:pPr>
        <w:ind w:left="494" w:right="1706" w:firstLine="1116"/>
        <w:spacing w:line="352" w:lineRule="auto"/>
        <w:rPr>
          <w:rFonts w:ascii="SimSun" w:hAnsi="SimSun" w:eastAsia="SimSun" w:cs="SimSun"/>
          <w:sz w:val="24"/>
          <w:szCs w:val="24"/>
        </w:rPr>
      </w:pP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1"/>
        </w:rPr>
        <w:t>p</w:t>
      </w:r>
      <w:r>
        <w:rPr>
          <w:rFonts w:ascii="SimSun" w:hAnsi="SimSun" w:eastAsia="SimSun" w:cs="SimSun"/>
          <w:sz w:val="24"/>
          <w:szCs w:val="24"/>
          <w:spacing w:val="6"/>
        </w:rPr>
        <w:t>（</w:t>
      </w:r>
      <w:r>
        <w:rPr>
          <w:rFonts w:ascii="Times New Roman" w:hAnsi="Times New Roman" w:eastAsia="Times New Roman" w:cs="Times New Roman"/>
          <w:sz w:val="24"/>
          <w:szCs w:val="24"/>
          <w:spacing w:val="6"/>
        </w:rPr>
        <w:t>r</w:t>
      </w:r>
      <w:r>
        <w:rPr>
          <w:rFonts w:ascii="SimSun" w:hAnsi="SimSun" w:eastAsia="SimSun" w:cs="SimSun"/>
          <w:sz w:val="24"/>
          <w:szCs w:val="24"/>
          <w:spacing w:val="-15"/>
        </w:rPr>
        <w:t>）＝</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1"/>
        </w:rPr>
        <w:t>w</w:t>
      </w:r>
      <w:r>
        <w:rPr>
          <w:rFonts w:ascii="Times New Roman" w:hAnsi="Times New Roman" w:eastAsia="Times New Roman" w:cs="Times New Roman"/>
          <w:sz w:val="24"/>
          <w:szCs w:val="24"/>
          <w:spacing w:val="6"/>
        </w:rPr>
        <w:t>+</w:t>
      </w:r>
      <w:r>
        <w:rPr>
          <w:rFonts w:ascii="Times New Roman" w:hAnsi="Times New Roman" w:eastAsia="Times New Roman" w:cs="Times New Roman"/>
          <w:sz w:val="24"/>
          <w:szCs w:val="24"/>
        </w:rPr>
        <w:t>D</w:t>
      </w:r>
      <w:r>
        <w:rPr>
          <w:rFonts w:ascii="Times New Roman" w:hAnsi="Times New Roman" w:eastAsia="Times New Roman" w:cs="Times New Roman"/>
          <w:sz w:val="15"/>
          <w:szCs w:val="15"/>
          <w:position w:val="-1"/>
        </w:rPr>
        <w:t>C</w:t>
      </w:r>
      <w:r>
        <w:rPr>
          <w:rFonts w:ascii="Times New Roman" w:hAnsi="Times New Roman" w:eastAsia="Times New Roman" w:cs="Times New Roman"/>
          <w:sz w:val="15"/>
          <w:szCs w:val="15"/>
          <w:spacing w:val="-7"/>
          <w:position w:val="-1"/>
        </w:rPr>
        <w:t xml:space="preserve"> </w:t>
      </w:r>
      <w:r>
        <w:rPr>
          <w:rFonts w:ascii="SimSun" w:hAnsi="SimSun" w:eastAsia="SimSun" w:cs="SimSun"/>
          <w:sz w:val="24"/>
          <w:szCs w:val="24"/>
          <w:spacing w:val="-15"/>
        </w:rPr>
        <w:t>－（</w:t>
      </w: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1"/>
        </w:rPr>
        <w:t>div</w:t>
      </w:r>
      <w:r>
        <w:rPr>
          <w:rFonts w:ascii="SimSun" w:hAnsi="SimSun" w:eastAsia="SimSun" w:cs="SimSun"/>
          <w:sz w:val="24"/>
          <w:szCs w:val="24"/>
          <w:spacing w:val="6"/>
        </w:rPr>
        <w:t>＋</w:t>
      </w: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1"/>
        </w:rPr>
        <w:t>atm</w:t>
      </w:r>
      <w:r>
        <w:rPr>
          <w:rFonts w:ascii="SimSun" w:hAnsi="SimSun" w:eastAsia="SimSun" w:cs="SimSun"/>
          <w:sz w:val="24"/>
          <w:szCs w:val="24"/>
          <w:spacing w:val="6"/>
        </w:rPr>
        <w:t>＋</w:t>
      </w: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1"/>
        </w:rPr>
        <w:t>gr</w:t>
      </w:r>
      <w:r>
        <w:rPr>
          <w:rFonts w:ascii="SimSun" w:hAnsi="SimSun" w:eastAsia="SimSun" w:cs="SimSun"/>
          <w:sz w:val="24"/>
          <w:szCs w:val="24"/>
          <w:spacing w:val="6"/>
        </w:rPr>
        <w:t>＋</w:t>
      </w: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1"/>
        </w:rPr>
        <w:t>bar</w:t>
      </w:r>
      <w:r>
        <w:rPr>
          <w:rFonts w:ascii="SimSun" w:hAnsi="SimSun" w:eastAsia="SimSun" w:cs="SimSun"/>
          <w:sz w:val="24"/>
          <w:szCs w:val="24"/>
          <w:spacing w:val="6"/>
        </w:rPr>
        <w:t>＋</w:t>
      </w: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1"/>
        </w:rPr>
        <w:t>misc</w:t>
      </w:r>
      <w:r>
        <w:rPr>
          <w:rFonts w:ascii="SimSun" w:hAnsi="SimSun" w:eastAsia="SimSun" w:cs="SimSun"/>
          <w:sz w:val="24"/>
          <w:szCs w:val="24"/>
          <w:spacing w:val="6"/>
        </w:rPr>
        <w:t>）</w:t>
      </w:r>
      <w:r>
        <w:rPr>
          <w:rFonts w:ascii="SimSun" w:hAnsi="SimSun" w:eastAsia="SimSun" w:cs="SimSun"/>
          <w:sz w:val="24"/>
          <w:szCs w:val="24"/>
        </w:rPr>
        <w:t xml:space="preserve"> </w:t>
      </w:r>
      <w:r>
        <w:rPr>
          <w:rFonts w:ascii="SimSun" w:hAnsi="SimSun" w:eastAsia="SimSun" w:cs="SimSun"/>
          <w:sz w:val="24"/>
          <w:szCs w:val="24"/>
          <w:spacing w:val="-1"/>
        </w:rPr>
        <w:t>式中：</w:t>
      </w: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1"/>
        </w:rPr>
        <w:t>p</w:t>
      </w:r>
      <w:r>
        <w:rPr>
          <w:rFonts w:ascii="SimSun" w:hAnsi="SimSun" w:eastAsia="SimSun" w:cs="SimSun"/>
          <w:sz w:val="24"/>
          <w:szCs w:val="24"/>
          <w:spacing w:val="-1"/>
        </w:rPr>
        <w:t>（</w:t>
      </w:r>
      <w:r>
        <w:rPr>
          <w:rFonts w:ascii="Times New Roman" w:hAnsi="Times New Roman" w:eastAsia="Times New Roman" w:cs="Times New Roman"/>
          <w:sz w:val="24"/>
          <w:szCs w:val="24"/>
          <w:spacing w:val="-1"/>
        </w:rPr>
        <w:t>r</w:t>
      </w:r>
      <w:r>
        <w:rPr>
          <w:rFonts w:ascii="SimSun" w:hAnsi="SimSun" w:eastAsia="SimSun" w:cs="SimSun"/>
          <w:sz w:val="24"/>
          <w:szCs w:val="24"/>
          <w:spacing w:val="-1"/>
        </w:rPr>
        <w:t>）</w:t>
      </w:r>
      <w:r>
        <w:rPr>
          <w:rFonts w:ascii="Times New Roman" w:hAnsi="Times New Roman" w:eastAsia="Times New Roman" w:cs="Times New Roman"/>
          <w:sz w:val="24"/>
          <w:szCs w:val="24"/>
          <w:spacing w:val="-1"/>
        </w:rPr>
        <w:t>—</w:t>
      </w:r>
      <w:r>
        <w:rPr>
          <w:rFonts w:ascii="SimSun" w:hAnsi="SimSun" w:eastAsia="SimSun" w:cs="SimSun"/>
          <w:sz w:val="24"/>
          <w:szCs w:val="24"/>
          <w:spacing w:val="-1"/>
        </w:rPr>
        <w:t>预测点处声压级，</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1205"/>
        <w:spacing w:before="19" w:line="219" w:lineRule="auto"/>
        <w:rPr>
          <w:rFonts w:ascii="SimSun" w:hAnsi="SimSun" w:eastAsia="SimSun" w:cs="SimSun"/>
          <w:sz w:val="24"/>
          <w:szCs w:val="24"/>
        </w:rPr>
      </w:pP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1"/>
        </w:rPr>
        <w:t>w</w:t>
      </w:r>
      <w:r>
        <w:rPr>
          <w:rFonts w:ascii="Times New Roman" w:hAnsi="Times New Roman" w:eastAsia="Times New Roman" w:cs="Times New Roman"/>
          <w:sz w:val="24"/>
          <w:szCs w:val="24"/>
          <w:spacing w:val="-1"/>
        </w:rPr>
        <w:t>—</w:t>
      </w:r>
      <w:r>
        <w:rPr>
          <w:rFonts w:ascii="SimSun" w:hAnsi="SimSun" w:eastAsia="SimSun" w:cs="SimSun"/>
          <w:sz w:val="24"/>
          <w:szCs w:val="24"/>
          <w:spacing w:val="-1"/>
        </w:rPr>
        <w:t>由点声源产生的声功率级（</w:t>
      </w:r>
      <w:r>
        <w:rPr>
          <w:rFonts w:ascii="Times New Roman" w:hAnsi="Times New Roman" w:eastAsia="Times New Roman" w:cs="Times New Roman"/>
          <w:sz w:val="24"/>
          <w:szCs w:val="24"/>
          <w:spacing w:val="-1"/>
        </w:rPr>
        <w:t>A </w:t>
      </w:r>
      <w:r>
        <w:rPr>
          <w:rFonts w:ascii="SimSun" w:hAnsi="SimSun" w:eastAsia="SimSun" w:cs="SimSun"/>
          <w:sz w:val="24"/>
          <w:szCs w:val="24"/>
          <w:spacing w:val="-1"/>
        </w:rPr>
        <w:t>计权或倍频带</w:t>
      </w:r>
      <w:r>
        <w:rPr>
          <w:rFonts w:ascii="SimSun" w:hAnsi="SimSun" w:eastAsia="SimSun" w:cs="SimSun"/>
          <w:sz w:val="24"/>
          <w:szCs w:val="24"/>
          <w:spacing w:val="10"/>
        </w:rPr>
        <w:t>），</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29" w:right="77" w:firstLine="1175"/>
        <w:spacing w:before="180" w:line="360" w:lineRule="auto"/>
        <w:rPr>
          <w:rFonts w:ascii="SimSun" w:hAnsi="SimSun" w:eastAsia="SimSun" w:cs="SimSun"/>
          <w:sz w:val="24"/>
          <w:szCs w:val="24"/>
        </w:rPr>
      </w:pPr>
      <w:r>
        <w:rPr>
          <w:rFonts w:ascii="Times New Roman" w:hAnsi="Times New Roman" w:eastAsia="Times New Roman" w:cs="Times New Roman"/>
          <w:sz w:val="24"/>
          <w:szCs w:val="24"/>
        </w:rPr>
        <w:t>D</w:t>
      </w:r>
      <w:r>
        <w:rPr>
          <w:rFonts w:ascii="Times New Roman" w:hAnsi="Times New Roman" w:eastAsia="Times New Roman" w:cs="Times New Roman"/>
          <w:sz w:val="15"/>
          <w:szCs w:val="15"/>
          <w:position w:val="-1"/>
        </w:rPr>
        <w:t>C</w:t>
      </w:r>
      <w:r>
        <w:rPr>
          <w:rFonts w:ascii="Times New Roman" w:hAnsi="Times New Roman" w:eastAsia="Times New Roman" w:cs="Times New Roman"/>
          <w:sz w:val="24"/>
          <w:szCs w:val="24"/>
        </w:rPr>
        <w:t>—</w:t>
      </w:r>
      <w:r>
        <w:rPr>
          <w:rFonts w:ascii="SimSun" w:hAnsi="SimSun" w:eastAsia="SimSun" w:cs="SimSun"/>
          <w:sz w:val="24"/>
          <w:szCs w:val="24"/>
        </w:rPr>
        <w:t>指向性校正，它描述点声源的等效连</w:t>
      </w:r>
      <w:r>
        <w:rPr>
          <w:rFonts w:ascii="SimSun" w:hAnsi="SimSun" w:eastAsia="SimSun" w:cs="SimSun"/>
          <w:sz w:val="24"/>
          <w:szCs w:val="24"/>
          <w:spacing w:val="-1"/>
        </w:rPr>
        <w:t>续声压级与产生声功率级</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1"/>
        </w:rPr>
        <w:t>w</w:t>
      </w:r>
      <w:r>
        <w:rPr>
          <w:rFonts w:ascii="Times New Roman" w:hAnsi="Times New Roman" w:eastAsia="Times New Roman" w:cs="Times New Roman"/>
          <w:sz w:val="15"/>
          <w:szCs w:val="15"/>
          <w:position w:val="-1"/>
        </w:rPr>
        <w:t xml:space="preserve"> </w:t>
      </w:r>
      <w:r>
        <w:rPr>
          <w:rFonts w:ascii="SimSun" w:hAnsi="SimSun" w:eastAsia="SimSun" w:cs="SimSun"/>
          <w:sz w:val="24"/>
          <w:szCs w:val="24"/>
          <w:spacing w:val="-2"/>
        </w:rPr>
        <w:t>的全向点声源在规定方向的声级的偏差程度，</w:t>
      </w:r>
      <w:r>
        <w:rPr>
          <w:rFonts w:ascii="Times New Roman" w:hAnsi="Times New Roman" w:eastAsia="Times New Roman" w:cs="Times New Roman"/>
          <w:sz w:val="24"/>
          <w:szCs w:val="24"/>
          <w:spacing w:val="-2"/>
        </w:rPr>
        <w:t>dB</w:t>
      </w:r>
      <w:r>
        <w:rPr>
          <w:rFonts w:ascii="SimSun" w:hAnsi="SimSun" w:eastAsia="SimSun" w:cs="SimSun"/>
          <w:sz w:val="24"/>
          <w:szCs w:val="24"/>
          <w:spacing w:val="-2"/>
        </w:rPr>
        <w:t>；</w:t>
      </w:r>
    </w:p>
    <w:p>
      <w:pPr>
        <w:ind w:left="1202"/>
        <w:spacing w:before="1" w:line="218" w:lineRule="auto"/>
        <w:rPr>
          <w:rFonts w:ascii="SimSun" w:hAnsi="SimSun" w:eastAsia="SimSun" w:cs="SimSun"/>
          <w:sz w:val="24"/>
          <w:szCs w:val="24"/>
        </w:rPr>
      </w:pP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1"/>
        </w:rPr>
        <w:t>div</w:t>
      </w:r>
      <w:r>
        <w:rPr>
          <w:rFonts w:ascii="Times New Roman" w:hAnsi="Times New Roman" w:eastAsia="Times New Roman" w:cs="Times New Roman"/>
          <w:sz w:val="24"/>
          <w:szCs w:val="24"/>
        </w:rPr>
        <w:t>—</w:t>
      </w:r>
      <w:r>
        <w:rPr>
          <w:rFonts w:ascii="SimSun" w:hAnsi="SimSun" w:eastAsia="SimSun" w:cs="SimSun"/>
          <w:sz w:val="24"/>
          <w:szCs w:val="24"/>
        </w:rPr>
        <w:t>几何发散引起的衰减，</w:t>
      </w:r>
      <w:r>
        <w:rPr>
          <w:rFonts w:ascii="Times New Roman" w:hAnsi="Times New Roman" w:eastAsia="Times New Roman" w:cs="Times New Roman"/>
          <w:sz w:val="24"/>
          <w:szCs w:val="24"/>
        </w:rPr>
        <w:t>dB</w:t>
      </w:r>
      <w:r>
        <w:rPr>
          <w:rFonts w:ascii="SimSun" w:hAnsi="SimSun" w:eastAsia="SimSun" w:cs="SimSun"/>
          <w:sz w:val="24"/>
          <w:szCs w:val="24"/>
        </w:rPr>
        <w:t>；</w:t>
      </w:r>
    </w:p>
    <w:p>
      <w:pPr>
        <w:ind w:left="1202"/>
        <w:spacing w:before="182" w:line="219" w:lineRule="auto"/>
        <w:rPr>
          <w:rFonts w:ascii="SimSun" w:hAnsi="SimSun" w:eastAsia="SimSun" w:cs="SimSun"/>
          <w:sz w:val="24"/>
          <w:szCs w:val="24"/>
        </w:rPr>
      </w:pP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1"/>
        </w:rPr>
        <w:t>atm</w:t>
      </w:r>
      <w:r>
        <w:rPr>
          <w:rFonts w:ascii="Times New Roman" w:hAnsi="Times New Roman" w:eastAsia="Times New Roman" w:cs="Times New Roman"/>
          <w:sz w:val="24"/>
          <w:szCs w:val="24"/>
        </w:rPr>
        <w:t>—</w:t>
      </w:r>
      <w:r>
        <w:rPr>
          <w:rFonts w:ascii="SimSun" w:hAnsi="SimSun" w:eastAsia="SimSun" w:cs="SimSun"/>
          <w:sz w:val="24"/>
          <w:szCs w:val="24"/>
        </w:rPr>
        <w:t>大气吸收引起的衰减，</w:t>
      </w:r>
      <w:r>
        <w:rPr>
          <w:rFonts w:ascii="Times New Roman" w:hAnsi="Times New Roman" w:eastAsia="Times New Roman" w:cs="Times New Roman"/>
          <w:sz w:val="24"/>
          <w:szCs w:val="24"/>
        </w:rPr>
        <w:t>dB</w:t>
      </w:r>
      <w:r>
        <w:rPr>
          <w:rFonts w:ascii="SimSun" w:hAnsi="SimSun" w:eastAsia="SimSun" w:cs="SimSun"/>
          <w:sz w:val="24"/>
          <w:szCs w:val="24"/>
        </w:rPr>
        <w:t>；</w:t>
      </w:r>
    </w:p>
    <w:p>
      <w:pPr>
        <w:ind w:left="1202"/>
        <w:spacing w:before="181" w:line="218" w:lineRule="auto"/>
        <w:rPr>
          <w:rFonts w:ascii="SimSun" w:hAnsi="SimSun" w:eastAsia="SimSun" w:cs="SimSun"/>
          <w:sz w:val="24"/>
          <w:szCs w:val="24"/>
        </w:rPr>
      </w:pP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1"/>
        </w:rPr>
        <w:t>gr</w:t>
      </w:r>
      <w:r>
        <w:rPr>
          <w:rFonts w:ascii="Times New Roman" w:hAnsi="Times New Roman" w:eastAsia="Times New Roman" w:cs="Times New Roman"/>
          <w:sz w:val="24"/>
          <w:szCs w:val="24"/>
        </w:rPr>
        <w:t>—</w:t>
      </w:r>
      <w:r>
        <w:rPr>
          <w:rFonts w:ascii="SimSun" w:hAnsi="SimSun" w:eastAsia="SimSun" w:cs="SimSun"/>
          <w:sz w:val="24"/>
          <w:szCs w:val="24"/>
        </w:rPr>
        <w:t>地面效应引起的衰减，</w:t>
      </w:r>
      <w:r>
        <w:rPr>
          <w:rFonts w:ascii="Times New Roman" w:hAnsi="Times New Roman" w:eastAsia="Times New Roman" w:cs="Times New Roman"/>
          <w:sz w:val="24"/>
          <w:szCs w:val="24"/>
        </w:rPr>
        <w:t>dB</w:t>
      </w:r>
      <w:r>
        <w:rPr>
          <w:rFonts w:ascii="SimSun" w:hAnsi="SimSun" w:eastAsia="SimSun" w:cs="SimSun"/>
          <w:sz w:val="24"/>
          <w:szCs w:val="24"/>
        </w:rPr>
        <w:t>；</w:t>
      </w:r>
    </w:p>
    <w:p>
      <w:pPr>
        <w:ind w:left="1202"/>
        <w:spacing w:before="184" w:line="219" w:lineRule="auto"/>
        <w:rPr>
          <w:rFonts w:ascii="SimSun" w:hAnsi="SimSun" w:eastAsia="SimSun" w:cs="SimSun"/>
          <w:sz w:val="24"/>
          <w:szCs w:val="24"/>
        </w:rPr>
      </w:pP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1"/>
        </w:rPr>
        <w:t>bar</w:t>
      </w:r>
      <w:r>
        <w:rPr>
          <w:rFonts w:ascii="Times New Roman" w:hAnsi="Times New Roman" w:eastAsia="Times New Roman" w:cs="Times New Roman"/>
          <w:sz w:val="24"/>
          <w:szCs w:val="24"/>
        </w:rPr>
        <w:t>—</w:t>
      </w:r>
      <w:r>
        <w:rPr>
          <w:rFonts w:ascii="SimSun" w:hAnsi="SimSun" w:eastAsia="SimSun" w:cs="SimSun"/>
          <w:sz w:val="24"/>
          <w:szCs w:val="24"/>
        </w:rPr>
        <w:t>障碍物屏蔽引起的衰减，</w:t>
      </w:r>
      <w:r>
        <w:rPr>
          <w:rFonts w:ascii="Times New Roman" w:hAnsi="Times New Roman" w:eastAsia="Times New Roman" w:cs="Times New Roman"/>
          <w:sz w:val="24"/>
          <w:szCs w:val="24"/>
        </w:rPr>
        <w:t>dB</w:t>
      </w:r>
      <w:r>
        <w:rPr>
          <w:rFonts w:ascii="SimSun" w:hAnsi="SimSun" w:eastAsia="SimSun" w:cs="SimSun"/>
          <w:sz w:val="24"/>
          <w:szCs w:val="24"/>
        </w:rPr>
        <w:t>；</w:t>
      </w:r>
    </w:p>
    <w:p>
      <w:pPr>
        <w:ind w:left="1202"/>
        <w:spacing w:before="181" w:line="220" w:lineRule="auto"/>
        <w:rPr>
          <w:rFonts w:ascii="SimSun" w:hAnsi="SimSun" w:eastAsia="SimSun" w:cs="SimSun"/>
          <w:sz w:val="24"/>
          <w:szCs w:val="24"/>
        </w:rPr>
      </w:pP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1"/>
        </w:rPr>
        <w:t>misc</w:t>
      </w:r>
      <w:r>
        <w:rPr>
          <w:rFonts w:ascii="Times New Roman" w:hAnsi="Times New Roman" w:eastAsia="Times New Roman" w:cs="Times New Roman"/>
          <w:sz w:val="24"/>
          <w:szCs w:val="24"/>
        </w:rPr>
        <w:t>—</w:t>
      </w:r>
      <w:r>
        <w:rPr>
          <w:rFonts w:ascii="SimSun" w:hAnsi="SimSun" w:eastAsia="SimSun" w:cs="SimSun"/>
          <w:sz w:val="24"/>
          <w:szCs w:val="24"/>
        </w:rPr>
        <w:t>其他多方面效应引起的衰减，</w:t>
      </w:r>
      <w:r>
        <w:rPr>
          <w:rFonts w:ascii="Times New Roman" w:hAnsi="Times New Roman" w:eastAsia="Times New Roman" w:cs="Times New Roman"/>
          <w:sz w:val="24"/>
          <w:szCs w:val="24"/>
        </w:rPr>
        <w:t>dB</w:t>
      </w:r>
      <w:r>
        <w:rPr>
          <w:rFonts w:ascii="SimSun" w:hAnsi="SimSun" w:eastAsia="SimSun" w:cs="SimSun"/>
          <w:sz w:val="24"/>
          <w:szCs w:val="24"/>
        </w:rPr>
        <w:t>。</w:t>
      </w:r>
    </w:p>
    <w:p>
      <w:pPr>
        <w:ind w:left="494" w:right="1406" w:firstLine="813"/>
        <w:spacing w:before="182" w:line="354" w:lineRule="auto"/>
        <w:rPr>
          <w:rFonts w:ascii="SimSun" w:hAnsi="SimSun" w:eastAsia="SimSun" w:cs="SimSun"/>
          <w:sz w:val="24"/>
          <w:szCs w:val="24"/>
        </w:rPr>
      </w:pPr>
      <w:r>
        <w:rPr>
          <w:rFonts w:ascii="Times New Roman" w:hAnsi="Times New Roman" w:eastAsia="Times New Roman" w:cs="Times New Roman"/>
          <w:sz w:val="24"/>
          <w:szCs w:val="24"/>
          <w:spacing w:val="-2"/>
        </w:rPr>
        <w:t>L</w:t>
      </w:r>
      <w:r>
        <w:rPr>
          <w:rFonts w:ascii="Times New Roman" w:hAnsi="Times New Roman" w:eastAsia="Times New Roman" w:cs="Times New Roman"/>
          <w:sz w:val="15"/>
          <w:szCs w:val="15"/>
          <w:spacing w:val="-2"/>
          <w:position w:val="-1"/>
        </w:rPr>
        <w:t>p</w:t>
      </w:r>
      <w:r>
        <w:rPr>
          <w:rFonts w:ascii="SimSun" w:hAnsi="SimSun" w:eastAsia="SimSun" w:cs="SimSun"/>
          <w:sz w:val="24"/>
          <w:szCs w:val="24"/>
          <w:spacing w:val="4"/>
        </w:rPr>
        <w:t>（</w:t>
      </w:r>
      <w:r>
        <w:rPr>
          <w:rFonts w:ascii="Times New Roman" w:hAnsi="Times New Roman" w:eastAsia="Times New Roman" w:cs="Times New Roman"/>
          <w:sz w:val="24"/>
          <w:szCs w:val="24"/>
          <w:spacing w:val="4"/>
        </w:rPr>
        <w:t>r</w:t>
      </w:r>
      <w:r>
        <w:rPr>
          <w:rFonts w:ascii="SimSun" w:hAnsi="SimSun" w:eastAsia="SimSun" w:cs="SimSun"/>
          <w:sz w:val="24"/>
          <w:szCs w:val="24"/>
          <w:spacing w:val="-15"/>
        </w:rPr>
        <w:t>）＝</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1"/>
        </w:rPr>
        <w:t>p</w:t>
      </w:r>
      <w:r>
        <w:rPr>
          <w:rFonts w:ascii="SimSun" w:hAnsi="SimSun" w:eastAsia="SimSun" w:cs="SimSun"/>
          <w:sz w:val="24"/>
          <w:szCs w:val="24"/>
          <w:spacing w:val="4"/>
        </w:rPr>
        <w:t>（</w:t>
      </w:r>
      <w:r>
        <w:rPr>
          <w:rFonts w:ascii="Times New Roman" w:hAnsi="Times New Roman" w:eastAsia="Times New Roman" w:cs="Times New Roman"/>
          <w:sz w:val="24"/>
          <w:szCs w:val="24"/>
          <w:spacing w:val="4"/>
        </w:rPr>
        <w:t>r</w:t>
      </w:r>
      <w:r>
        <w:rPr>
          <w:rFonts w:ascii="Times New Roman" w:hAnsi="Times New Roman" w:eastAsia="Times New Roman" w:cs="Times New Roman"/>
          <w:sz w:val="15"/>
          <w:szCs w:val="15"/>
          <w:spacing w:val="4"/>
        </w:rPr>
        <w:t>0</w:t>
      </w:r>
      <w:r>
        <w:rPr>
          <w:rFonts w:ascii="SimSun" w:hAnsi="SimSun" w:eastAsia="SimSun" w:cs="SimSun"/>
          <w:sz w:val="24"/>
          <w:szCs w:val="24"/>
          <w:spacing w:val="4"/>
        </w:rPr>
        <w:t>）</w:t>
      </w:r>
      <w:r>
        <w:rPr>
          <w:rFonts w:ascii="Times New Roman" w:hAnsi="Times New Roman" w:eastAsia="Times New Roman" w:cs="Times New Roman"/>
          <w:sz w:val="24"/>
          <w:szCs w:val="24"/>
          <w:spacing w:val="4"/>
        </w:rPr>
        <w:t>+</w:t>
      </w:r>
      <w:r>
        <w:rPr>
          <w:rFonts w:ascii="Times New Roman" w:hAnsi="Times New Roman" w:eastAsia="Times New Roman" w:cs="Times New Roman"/>
          <w:sz w:val="24"/>
          <w:szCs w:val="24"/>
        </w:rPr>
        <w:t>D</w:t>
      </w:r>
      <w:r>
        <w:rPr>
          <w:rFonts w:ascii="Times New Roman" w:hAnsi="Times New Roman" w:eastAsia="Times New Roman" w:cs="Times New Roman"/>
          <w:sz w:val="15"/>
          <w:szCs w:val="15"/>
          <w:position w:val="-1"/>
        </w:rPr>
        <w:t>C</w:t>
      </w:r>
      <w:r>
        <w:rPr>
          <w:rFonts w:ascii="Times New Roman" w:hAnsi="Times New Roman" w:eastAsia="Times New Roman" w:cs="Times New Roman"/>
          <w:sz w:val="15"/>
          <w:szCs w:val="15"/>
          <w:spacing w:val="-4"/>
          <w:position w:val="-1"/>
        </w:rPr>
        <w:t xml:space="preserve"> </w:t>
      </w:r>
      <w:r>
        <w:rPr>
          <w:rFonts w:ascii="SimSun" w:hAnsi="SimSun" w:eastAsia="SimSun" w:cs="SimSun"/>
          <w:sz w:val="24"/>
          <w:szCs w:val="24"/>
          <w:spacing w:val="-15"/>
        </w:rPr>
        <w:t>－（</w:t>
      </w: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1"/>
        </w:rPr>
        <w:t>div</w:t>
      </w:r>
      <w:r>
        <w:rPr>
          <w:rFonts w:ascii="SimSun" w:hAnsi="SimSun" w:eastAsia="SimSun" w:cs="SimSun"/>
          <w:sz w:val="24"/>
          <w:szCs w:val="24"/>
          <w:spacing w:val="4"/>
        </w:rPr>
        <w:t>＋</w:t>
      </w: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1"/>
        </w:rPr>
        <w:t>atm</w:t>
      </w:r>
      <w:r>
        <w:rPr>
          <w:rFonts w:ascii="SimSun" w:hAnsi="SimSun" w:eastAsia="SimSun" w:cs="SimSun"/>
          <w:sz w:val="24"/>
          <w:szCs w:val="24"/>
          <w:spacing w:val="4"/>
        </w:rPr>
        <w:t>＋</w:t>
      </w: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1"/>
        </w:rPr>
        <w:t>gr</w:t>
      </w:r>
      <w:r>
        <w:rPr>
          <w:rFonts w:ascii="SimSun" w:hAnsi="SimSun" w:eastAsia="SimSun" w:cs="SimSun"/>
          <w:sz w:val="24"/>
          <w:szCs w:val="24"/>
          <w:spacing w:val="4"/>
        </w:rPr>
        <w:t>＋</w:t>
      </w: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1"/>
        </w:rPr>
        <w:t>bar</w:t>
      </w:r>
      <w:r>
        <w:rPr>
          <w:rFonts w:ascii="SimSun" w:hAnsi="SimSun" w:eastAsia="SimSun" w:cs="SimSun"/>
          <w:sz w:val="24"/>
          <w:szCs w:val="24"/>
          <w:spacing w:val="4"/>
        </w:rPr>
        <w:t>＋</w:t>
      </w: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1"/>
        </w:rPr>
        <w:t>misc</w:t>
      </w:r>
      <w:r>
        <w:rPr>
          <w:rFonts w:ascii="SimSun" w:hAnsi="SimSun" w:eastAsia="SimSun" w:cs="SimSun"/>
          <w:sz w:val="24"/>
          <w:szCs w:val="24"/>
          <w:spacing w:val="4"/>
        </w:rPr>
        <w:t>）</w:t>
      </w:r>
      <w:r>
        <w:rPr>
          <w:rFonts w:ascii="SimSun" w:hAnsi="SimSun" w:eastAsia="SimSun" w:cs="SimSun"/>
          <w:sz w:val="24"/>
          <w:szCs w:val="24"/>
        </w:rPr>
        <w:t xml:space="preserve"> </w:t>
      </w:r>
      <w:r>
        <w:rPr>
          <w:rFonts w:ascii="SimSun" w:hAnsi="SimSun" w:eastAsia="SimSun" w:cs="SimSun"/>
          <w:sz w:val="24"/>
          <w:szCs w:val="24"/>
          <w:spacing w:val="-1"/>
        </w:rPr>
        <w:t>式中：</w:t>
      </w: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1"/>
        </w:rPr>
        <w:t>p</w:t>
      </w:r>
      <w:r>
        <w:rPr>
          <w:rFonts w:ascii="SimSun" w:hAnsi="SimSun" w:eastAsia="SimSun" w:cs="SimSun"/>
          <w:sz w:val="24"/>
          <w:szCs w:val="24"/>
          <w:spacing w:val="-1"/>
        </w:rPr>
        <w:t>（</w:t>
      </w:r>
      <w:r>
        <w:rPr>
          <w:rFonts w:ascii="Times New Roman" w:hAnsi="Times New Roman" w:eastAsia="Times New Roman" w:cs="Times New Roman"/>
          <w:sz w:val="24"/>
          <w:szCs w:val="24"/>
          <w:spacing w:val="-1"/>
        </w:rPr>
        <w:t>r</w:t>
      </w:r>
      <w:r>
        <w:rPr>
          <w:rFonts w:ascii="SimSun" w:hAnsi="SimSun" w:eastAsia="SimSun" w:cs="SimSun"/>
          <w:sz w:val="24"/>
          <w:szCs w:val="24"/>
          <w:spacing w:val="-1"/>
        </w:rPr>
        <w:t>）</w:t>
      </w:r>
      <w:r>
        <w:rPr>
          <w:rFonts w:ascii="Times New Roman" w:hAnsi="Times New Roman" w:eastAsia="Times New Roman" w:cs="Times New Roman"/>
          <w:sz w:val="24"/>
          <w:szCs w:val="24"/>
          <w:spacing w:val="-1"/>
        </w:rPr>
        <w:t>—</w:t>
      </w:r>
      <w:r>
        <w:rPr>
          <w:rFonts w:ascii="SimSun" w:hAnsi="SimSun" w:eastAsia="SimSun" w:cs="SimSun"/>
          <w:sz w:val="24"/>
          <w:szCs w:val="24"/>
          <w:spacing w:val="-1"/>
        </w:rPr>
        <w:t>预测点处声压级，</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1205"/>
        <w:spacing w:before="13" w:line="218" w:lineRule="auto"/>
        <w:rPr>
          <w:rFonts w:ascii="SimSun" w:hAnsi="SimSun" w:eastAsia="SimSun" w:cs="SimSun"/>
          <w:sz w:val="24"/>
          <w:szCs w:val="24"/>
        </w:rPr>
      </w:pPr>
      <w:r>
        <w:rPr>
          <w:rFonts w:ascii="Times New Roman" w:hAnsi="Times New Roman" w:eastAsia="Times New Roman" w:cs="Times New Roman"/>
          <w:sz w:val="24"/>
          <w:szCs w:val="24"/>
          <w:spacing w:val="-2"/>
        </w:rPr>
        <w:t>L</w:t>
      </w:r>
      <w:r>
        <w:rPr>
          <w:rFonts w:ascii="Times New Roman" w:hAnsi="Times New Roman" w:eastAsia="Times New Roman" w:cs="Times New Roman"/>
          <w:sz w:val="15"/>
          <w:szCs w:val="15"/>
          <w:spacing w:val="-2"/>
          <w:position w:val="-1"/>
        </w:rPr>
        <w:t>p</w:t>
      </w:r>
      <w:r>
        <w:rPr>
          <w:rFonts w:ascii="SimSun" w:hAnsi="SimSun" w:eastAsia="SimSun" w:cs="SimSun"/>
          <w:sz w:val="24"/>
          <w:szCs w:val="24"/>
          <w:spacing w:val="-1"/>
        </w:rPr>
        <w:t>（</w:t>
      </w:r>
      <w:r>
        <w:rPr>
          <w:rFonts w:ascii="Times New Roman" w:hAnsi="Times New Roman" w:eastAsia="Times New Roman" w:cs="Times New Roman"/>
          <w:sz w:val="24"/>
          <w:szCs w:val="24"/>
          <w:spacing w:val="-1"/>
        </w:rPr>
        <w:t>r</w:t>
      </w:r>
      <w:r>
        <w:rPr>
          <w:rFonts w:ascii="Times New Roman" w:hAnsi="Times New Roman" w:eastAsia="Times New Roman" w:cs="Times New Roman"/>
          <w:sz w:val="15"/>
          <w:szCs w:val="15"/>
          <w:spacing w:val="-1"/>
        </w:rPr>
        <w:t>0</w:t>
      </w:r>
      <w:r>
        <w:rPr>
          <w:rFonts w:ascii="SimSun" w:hAnsi="SimSun" w:eastAsia="SimSun" w:cs="SimSun"/>
          <w:sz w:val="24"/>
          <w:szCs w:val="24"/>
          <w:spacing w:val="-1"/>
        </w:rPr>
        <w:t>）</w:t>
      </w:r>
      <w:r>
        <w:rPr>
          <w:rFonts w:ascii="Times New Roman" w:hAnsi="Times New Roman" w:eastAsia="Times New Roman" w:cs="Times New Roman"/>
          <w:sz w:val="24"/>
          <w:szCs w:val="24"/>
          <w:spacing w:val="-1"/>
        </w:rPr>
        <w:t>—</w:t>
      </w:r>
      <w:r>
        <w:rPr>
          <w:rFonts w:ascii="SimSun" w:hAnsi="SimSun" w:eastAsia="SimSun" w:cs="SimSun"/>
          <w:sz w:val="24"/>
          <w:szCs w:val="24"/>
          <w:spacing w:val="-1"/>
        </w:rPr>
        <w:t>参考位置</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r0</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1"/>
        </w:rPr>
        <w:t>处的声压级，</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29" w:right="77" w:firstLine="1175"/>
        <w:spacing w:before="185" w:line="359" w:lineRule="auto"/>
        <w:rPr>
          <w:rFonts w:ascii="SimSun" w:hAnsi="SimSun" w:eastAsia="SimSun" w:cs="SimSun"/>
          <w:sz w:val="24"/>
          <w:szCs w:val="24"/>
        </w:rPr>
      </w:pPr>
      <w:r>
        <w:rPr>
          <w:rFonts w:ascii="Times New Roman" w:hAnsi="Times New Roman" w:eastAsia="Times New Roman" w:cs="Times New Roman"/>
          <w:sz w:val="24"/>
          <w:szCs w:val="24"/>
        </w:rPr>
        <w:t>D</w:t>
      </w:r>
      <w:r>
        <w:rPr>
          <w:rFonts w:ascii="Times New Roman" w:hAnsi="Times New Roman" w:eastAsia="Times New Roman" w:cs="Times New Roman"/>
          <w:sz w:val="15"/>
          <w:szCs w:val="15"/>
          <w:position w:val="-1"/>
        </w:rPr>
        <w:t>C</w:t>
      </w:r>
      <w:r>
        <w:rPr>
          <w:rFonts w:ascii="Times New Roman" w:hAnsi="Times New Roman" w:eastAsia="Times New Roman" w:cs="Times New Roman"/>
          <w:sz w:val="24"/>
          <w:szCs w:val="24"/>
        </w:rPr>
        <w:t>—</w:t>
      </w:r>
      <w:r>
        <w:rPr>
          <w:rFonts w:ascii="SimSun" w:hAnsi="SimSun" w:eastAsia="SimSun" w:cs="SimSun"/>
          <w:sz w:val="24"/>
          <w:szCs w:val="24"/>
        </w:rPr>
        <w:t>指向性校正，它描述点声源的等效连</w:t>
      </w:r>
      <w:r>
        <w:rPr>
          <w:rFonts w:ascii="SimSun" w:hAnsi="SimSun" w:eastAsia="SimSun" w:cs="SimSun"/>
          <w:sz w:val="24"/>
          <w:szCs w:val="24"/>
          <w:spacing w:val="-1"/>
        </w:rPr>
        <w:t>续声压级与产生声功率级</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1"/>
        </w:rPr>
        <w:t>w</w:t>
      </w:r>
      <w:r>
        <w:rPr>
          <w:rFonts w:ascii="Times New Roman" w:hAnsi="Times New Roman" w:eastAsia="Times New Roman" w:cs="Times New Roman"/>
          <w:sz w:val="15"/>
          <w:szCs w:val="15"/>
          <w:position w:val="-1"/>
        </w:rPr>
        <w:t xml:space="preserve"> </w:t>
      </w:r>
      <w:r>
        <w:rPr>
          <w:rFonts w:ascii="SimSun" w:hAnsi="SimSun" w:eastAsia="SimSun" w:cs="SimSun"/>
          <w:sz w:val="24"/>
          <w:szCs w:val="24"/>
          <w:spacing w:val="-2"/>
        </w:rPr>
        <w:t>的全向点声源在规定方向的声级的偏差程度，</w:t>
      </w:r>
      <w:r>
        <w:rPr>
          <w:rFonts w:ascii="Times New Roman" w:hAnsi="Times New Roman" w:eastAsia="Times New Roman" w:cs="Times New Roman"/>
          <w:sz w:val="24"/>
          <w:szCs w:val="24"/>
          <w:spacing w:val="-2"/>
        </w:rPr>
        <w:t>dB</w:t>
      </w:r>
      <w:r>
        <w:rPr>
          <w:rFonts w:ascii="SimSun" w:hAnsi="SimSun" w:eastAsia="SimSun" w:cs="SimSun"/>
          <w:sz w:val="24"/>
          <w:szCs w:val="24"/>
          <w:spacing w:val="-2"/>
        </w:rPr>
        <w:t>；</w:t>
      </w:r>
    </w:p>
    <w:p>
      <w:pPr>
        <w:ind w:left="1202"/>
        <w:spacing w:line="218" w:lineRule="auto"/>
        <w:rPr>
          <w:rFonts w:ascii="SimSun" w:hAnsi="SimSun" w:eastAsia="SimSun" w:cs="SimSun"/>
          <w:sz w:val="24"/>
          <w:szCs w:val="24"/>
        </w:rPr>
      </w:pP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1"/>
        </w:rPr>
        <w:t>div</w:t>
      </w:r>
      <w:r>
        <w:rPr>
          <w:rFonts w:ascii="Times New Roman" w:hAnsi="Times New Roman" w:eastAsia="Times New Roman" w:cs="Times New Roman"/>
          <w:sz w:val="24"/>
          <w:szCs w:val="24"/>
        </w:rPr>
        <w:t>—</w:t>
      </w:r>
      <w:r>
        <w:rPr>
          <w:rFonts w:ascii="SimSun" w:hAnsi="SimSun" w:eastAsia="SimSun" w:cs="SimSun"/>
          <w:sz w:val="24"/>
          <w:szCs w:val="24"/>
        </w:rPr>
        <w:t>几何发散引起的衰减，</w:t>
      </w:r>
      <w:r>
        <w:rPr>
          <w:rFonts w:ascii="Times New Roman" w:hAnsi="Times New Roman" w:eastAsia="Times New Roman" w:cs="Times New Roman"/>
          <w:sz w:val="24"/>
          <w:szCs w:val="24"/>
        </w:rPr>
        <w:t>dB</w:t>
      </w:r>
      <w:r>
        <w:rPr>
          <w:rFonts w:ascii="SimSun" w:hAnsi="SimSun" w:eastAsia="SimSun" w:cs="SimSun"/>
          <w:sz w:val="24"/>
          <w:szCs w:val="24"/>
        </w:rPr>
        <w:t>；</w:t>
      </w:r>
    </w:p>
    <w:p>
      <w:pPr>
        <w:ind w:left="1202"/>
        <w:spacing w:before="182" w:line="219" w:lineRule="auto"/>
        <w:rPr>
          <w:rFonts w:ascii="SimSun" w:hAnsi="SimSun" w:eastAsia="SimSun" w:cs="SimSun"/>
          <w:sz w:val="24"/>
          <w:szCs w:val="24"/>
        </w:rPr>
      </w:pP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1"/>
        </w:rPr>
        <w:t>atm</w:t>
      </w:r>
      <w:r>
        <w:rPr>
          <w:rFonts w:ascii="Times New Roman" w:hAnsi="Times New Roman" w:eastAsia="Times New Roman" w:cs="Times New Roman"/>
          <w:sz w:val="24"/>
          <w:szCs w:val="24"/>
        </w:rPr>
        <w:t>—</w:t>
      </w:r>
      <w:r>
        <w:rPr>
          <w:rFonts w:ascii="SimSun" w:hAnsi="SimSun" w:eastAsia="SimSun" w:cs="SimSun"/>
          <w:sz w:val="24"/>
          <w:szCs w:val="24"/>
        </w:rPr>
        <w:t>大气吸收引起的衰减，</w:t>
      </w:r>
      <w:r>
        <w:rPr>
          <w:rFonts w:ascii="Times New Roman" w:hAnsi="Times New Roman" w:eastAsia="Times New Roman" w:cs="Times New Roman"/>
          <w:sz w:val="24"/>
          <w:szCs w:val="24"/>
        </w:rPr>
        <w:t>dB</w:t>
      </w:r>
      <w:r>
        <w:rPr>
          <w:rFonts w:ascii="SimSun" w:hAnsi="SimSun" w:eastAsia="SimSun" w:cs="SimSun"/>
          <w:sz w:val="24"/>
          <w:szCs w:val="24"/>
        </w:rPr>
        <w:t>；</w:t>
      </w:r>
    </w:p>
    <w:p>
      <w:pPr>
        <w:ind w:left="1202"/>
        <w:spacing w:before="184" w:line="218" w:lineRule="auto"/>
        <w:rPr>
          <w:rFonts w:ascii="SimSun" w:hAnsi="SimSun" w:eastAsia="SimSun" w:cs="SimSun"/>
          <w:sz w:val="24"/>
          <w:szCs w:val="24"/>
        </w:rPr>
      </w:pP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1"/>
        </w:rPr>
        <w:t>gr</w:t>
      </w:r>
      <w:r>
        <w:rPr>
          <w:rFonts w:ascii="Times New Roman" w:hAnsi="Times New Roman" w:eastAsia="Times New Roman" w:cs="Times New Roman"/>
          <w:sz w:val="24"/>
          <w:szCs w:val="24"/>
        </w:rPr>
        <w:t>—</w:t>
      </w:r>
      <w:r>
        <w:rPr>
          <w:rFonts w:ascii="SimSun" w:hAnsi="SimSun" w:eastAsia="SimSun" w:cs="SimSun"/>
          <w:sz w:val="24"/>
          <w:szCs w:val="24"/>
        </w:rPr>
        <w:t>地面效应引起的衰减，</w:t>
      </w:r>
      <w:r>
        <w:rPr>
          <w:rFonts w:ascii="Times New Roman" w:hAnsi="Times New Roman" w:eastAsia="Times New Roman" w:cs="Times New Roman"/>
          <w:sz w:val="24"/>
          <w:szCs w:val="24"/>
        </w:rPr>
        <w:t>dB</w:t>
      </w:r>
      <w:r>
        <w:rPr>
          <w:rFonts w:ascii="SimSun" w:hAnsi="SimSun" w:eastAsia="SimSun" w:cs="SimSun"/>
          <w:sz w:val="24"/>
          <w:szCs w:val="24"/>
        </w:rPr>
        <w:t>；</w:t>
      </w:r>
    </w:p>
    <w:p>
      <w:pPr>
        <w:ind w:left="7" w:right="3674" w:firstLine="1194"/>
        <w:spacing w:before="181" w:line="424" w:lineRule="auto"/>
        <w:rPr>
          <w:rFonts w:ascii="SimSun" w:hAnsi="SimSun" w:eastAsia="SimSun" w:cs="SimSun"/>
          <w:sz w:val="19"/>
          <w:szCs w:val="19"/>
        </w:rPr>
      </w:pPr>
      <w:r>
        <w:pict>
          <v:shape id="_x0000_s986" style="position:absolute;margin-left:159.33pt;margin-top:34.696pt;mso-position-vertical-relative:text;mso-position-horizontal-relative:text;width:61pt;height:13.75pt;z-index:252122112;"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209</w:t>
                  </w:r>
                </w:p>
              </w:txbxContent>
            </v:textbox>
          </v:shape>
        </w:pict>
      </w:r>
      <w:r>
        <w:rPr>
          <w:rFonts w:ascii="Times New Roman" w:hAnsi="Times New Roman" w:eastAsia="Times New Roman" w:cs="Times New Roman"/>
          <w:sz w:val="24"/>
          <w:szCs w:val="24"/>
          <w:spacing w:val="-4"/>
        </w:rPr>
        <w:t>A</w:t>
      </w:r>
      <w:r>
        <w:rPr>
          <w:rFonts w:ascii="Times New Roman" w:hAnsi="Times New Roman" w:eastAsia="Times New Roman" w:cs="Times New Roman"/>
          <w:sz w:val="15"/>
          <w:szCs w:val="15"/>
          <w:spacing w:val="-4"/>
          <w:position w:val="-1"/>
        </w:rPr>
        <w:t>bar</w:t>
      </w:r>
      <w:r>
        <w:rPr>
          <w:rFonts w:ascii="Times New Roman" w:hAnsi="Times New Roman" w:eastAsia="Times New Roman" w:cs="Times New Roman"/>
          <w:sz w:val="24"/>
          <w:szCs w:val="24"/>
          <w:spacing w:val="-4"/>
        </w:rPr>
        <w:t>—</w:t>
      </w:r>
      <w:r>
        <w:rPr>
          <w:rFonts w:ascii="SimSun" w:hAnsi="SimSun" w:eastAsia="SimSun" w:cs="SimSun"/>
          <w:sz w:val="24"/>
          <w:szCs w:val="24"/>
          <w:spacing w:val="-4"/>
        </w:rPr>
        <w:t>障碍物屏蔽引起的衰减，</w:t>
      </w:r>
      <w:r>
        <w:rPr>
          <w:rFonts w:ascii="Times New Roman" w:hAnsi="Times New Roman" w:eastAsia="Times New Roman" w:cs="Times New Roman"/>
          <w:sz w:val="24"/>
          <w:szCs w:val="24"/>
          <w:spacing w:val="-4"/>
        </w:rPr>
        <w:t>dB</w:t>
      </w:r>
      <w:r>
        <w:rPr>
          <w:rFonts w:ascii="SimSun" w:hAnsi="SimSun" w:eastAsia="SimSun" w:cs="SimSun"/>
          <w:sz w:val="24"/>
          <w:szCs w:val="24"/>
          <w:spacing w:val="-4"/>
        </w:rPr>
        <w:t>；</w:t>
      </w:r>
      <w:r>
        <w:rPr>
          <w:rFonts w:ascii="SimSun" w:hAnsi="SimSun" w:eastAsia="SimSun" w:cs="SimSun"/>
          <w:sz w:val="24"/>
          <w:szCs w:val="24"/>
          <w:spacing w:val="17"/>
        </w:rPr>
        <w:t xml:space="preserve"> </w:t>
      </w:r>
      <w:r>
        <w:rPr>
          <w:rFonts w:ascii="SimSun" w:hAnsi="SimSun" w:eastAsia="SimSun" w:cs="SimSun"/>
          <w:sz w:val="19"/>
          <w:szCs w:val="19"/>
          <w:spacing w:val="9"/>
        </w:rPr>
        <w:t>锡林郭勒盟中安环境技术咨询有限责</w:t>
      </w:r>
    </w:p>
    <w:p>
      <w:pPr>
        <w:spacing w:line="424" w:lineRule="auto"/>
        <w:sectPr>
          <w:headerReference w:type="default" r:id="rId11"/>
          <w:footerReference w:type="default" r:id="rId3"/>
          <w:pgSz w:w="11907" w:h="16840"/>
          <w:pgMar w:top="1567" w:right="1621" w:bottom="400" w:left="1701" w:header="1221" w:footer="0" w:gutter="0"/>
        </w:sectPr>
        <w:rPr>
          <w:rFonts w:ascii="SimSun" w:hAnsi="SimSun" w:eastAsia="SimSun" w:cs="SimSun"/>
          <w:sz w:val="19"/>
          <w:szCs w:val="19"/>
        </w:rPr>
      </w:pPr>
    </w:p>
    <w:p>
      <w:pPr>
        <w:ind w:left="1202"/>
        <w:spacing w:before="168" w:line="220" w:lineRule="auto"/>
        <w:rPr>
          <w:rFonts w:ascii="SimSun" w:hAnsi="SimSun" w:eastAsia="SimSun" w:cs="SimSun"/>
          <w:sz w:val="24"/>
          <w:szCs w:val="24"/>
        </w:rPr>
      </w:pPr>
      <w:r>
        <w:pict>
          <v:shape id="_x0000_s990" style="position:absolute;margin-left:85.05pt;margin-top:78.87pt;mso-position-vertical-relative:page;mso-position-horizontal-relative:page;width:425.25pt;height:0.75pt;z-index:252125184;" o:allowincell="f" fillcolor="#000000" filled="true" stroked="false" coordsize="8505,15" coordorigin="0,0" path="m,l8505,0l8505,14l0,14l0,0xe"/>
        </w:pict>
      </w: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1"/>
        </w:rPr>
        <w:t>misc</w:t>
      </w:r>
      <w:r>
        <w:rPr>
          <w:rFonts w:ascii="Times New Roman" w:hAnsi="Times New Roman" w:eastAsia="Times New Roman" w:cs="Times New Roman"/>
          <w:sz w:val="24"/>
          <w:szCs w:val="24"/>
        </w:rPr>
        <w:t>—</w:t>
      </w:r>
      <w:r>
        <w:rPr>
          <w:rFonts w:ascii="SimSun" w:hAnsi="SimSun" w:eastAsia="SimSun" w:cs="SimSun"/>
          <w:sz w:val="24"/>
          <w:szCs w:val="24"/>
        </w:rPr>
        <w:t>其他多方面效应引起的衰减，</w:t>
      </w:r>
      <w:r>
        <w:rPr>
          <w:rFonts w:ascii="Times New Roman" w:hAnsi="Times New Roman" w:eastAsia="Times New Roman" w:cs="Times New Roman"/>
          <w:sz w:val="24"/>
          <w:szCs w:val="24"/>
        </w:rPr>
        <w:t>dB</w:t>
      </w:r>
      <w:r>
        <w:rPr>
          <w:rFonts w:ascii="SimSun" w:hAnsi="SimSun" w:eastAsia="SimSun" w:cs="SimSun"/>
          <w:sz w:val="24"/>
          <w:szCs w:val="24"/>
        </w:rPr>
        <w:t>。</w:t>
      </w:r>
    </w:p>
    <w:p>
      <w:pPr>
        <w:ind w:left="30" w:right="2" w:firstLine="449"/>
        <w:spacing w:before="178" w:line="346" w:lineRule="auto"/>
        <w:rPr>
          <w:rFonts w:ascii="SimSun" w:hAnsi="SimSun" w:eastAsia="SimSun" w:cs="SimSun"/>
          <w:sz w:val="24"/>
          <w:szCs w:val="24"/>
        </w:rPr>
      </w:pPr>
      <w:r>
        <w:rPr>
          <w:rFonts w:ascii="Times New Roman" w:hAnsi="Times New Roman" w:eastAsia="Times New Roman" w:cs="Times New Roman"/>
          <w:sz w:val="24"/>
          <w:szCs w:val="24"/>
          <w:spacing w:val="-4"/>
        </w:rPr>
        <w:t>b.</w:t>
      </w:r>
      <w:r>
        <w:rPr>
          <w:rFonts w:ascii="SimSun" w:hAnsi="SimSun" w:eastAsia="SimSun" w:cs="SimSun"/>
          <w:sz w:val="24"/>
          <w:szCs w:val="24"/>
          <w:spacing w:val="-4"/>
        </w:rPr>
        <w:t>预测点的</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A</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4"/>
        </w:rPr>
        <w:t>声级</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LA</w:t>
      </w:r>
      <w:r>
        <w:rPr>
          <w:rFonts w:ascii="SimSun" w:hAnsi="SimSun" w:eastAsia="SimSun" w:cs="SimSun"/>
          <w:sz w:val="24"/>
          <w:szCs w:val="24"/>
          <w:spacing w:val="-4"/>
        </w:rPr>
        <w:t>（</w:t>
      </w:r>
      <w:r>
        <w:rPr>
          <w:rFonts w:ascii="Times New Roman" w:hAnsi="Times New Roman" w:eastAsia="Times New Roman" w:cs="Times New Roman"/>
          <w:sz w:val="24"/>
          <w:szCs w:val="24"/>
          <w:spacing w:val="-4"/>
        </w:rPr>
        <w:t>r</w:t>
      </w:r>
      <w:r>
        <w:rPr>
          <w:rFonts w:ascii="SimSun" w:hAnsi="SimSun" w:eastAsia="SimSun" w:cs="SimSun"/>
          <w:sz w:val="24"/>
          <w:szCs w:val="24"/>
          <w:spacing w:val="-4"/>
        </w:rPr>
        <w:t>）可按下式计算，即将</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4"/>
        </w:rPr>
        <w:t>8 </w:t>
      </w:r>
      <w:r>
        <w:rPr>
          <w:rFonts w:ascii="SimSun" w:hAnsi="SimSun" w:eastAsia="SimSun" w:cs="SimSun"/>
          <w:sz w:val="24"/>
          <w:szCs w:val="24"/>
          <w:spacing w:val="-4"/>
        </w:rPr>
        <w:t>个倍频带声压级合成，计算</w:t>
      </w:r>
      <w:r>
        <w:rPr>
          <w:rFonts w:ascii="SimSun" w:hAnsi="SimSun" w:eastAsia="SimSun" w:cs="SimSun"/>
          <w:sz w:val="24"/>
          <w:szCs w:val="24"/>
        </w:rPr>
        <w:t xml:space="preserve"> </w:t>
      </w:r>
      <w:r>
        <w:rPr>
          <w:rFonts w:ascii="SimSun" w:hAnsi="SimSun" w:eastAsia="SimSun" w:cs="SimSun"/>
          <w:sz w:val="24"/>
          <w:szCs w:val="24"/>
          <w:spacing w:val="-2"/>
        </w:rPr>
        <w:t>出预测点的</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A </w:t>
      </w:r>
      <w:r>
        <w:rPr>
          <w:rFonts w:ascii="SimSun" w:hAnsi="SimSun" w:eastAsia="SimSun" w:cs="SimSun"/>
          <w:sz w:val="24"/>
          <w:szCs w:val="24"/>
          <w:spacing w:val="-2"/>
        </w:rPr>
        <w:t>声级</w:t>
      </w:r>
      <w:r>
        <w:rPr>
          <w:rFonts w:ascii="Times New Roman" w:hAnsi="Times New Roman" w:eastAsia="Times New Roman" w:cs="Times New Roman"/>
          <w:sz w:val="24"/>
          <w:szCs w:val="24"/>
          <w:spacing w:val="-2"/>
        </w:rPr>
        <w:t>[LA</w:t>
      </w:r>
      <w:r>
        <w:rPr>
          <w:rFonts w:ascii="SimSun" w:hAnsi="SimSun" w:eastAsia="SimSun" w:cs="SimSun"/>
          <w:sz w:val="24"/>
          <w:szCs w:val="24"/>
          <w:spacing w:val="-2"/>
        </w:rPr>
        <w:t>（</w:t>
      </w:r>
      <w:r>
        <w:rPr>
          <w:rFonts w:ascii="Times New Roman" w:hAnsi="Times New Roman" w:eastAsia="Times New Roman" w:cs="Times New Roman"/>
          <w:sz w:val="24"/>
          <w:szCs w:val="24"/>
          <w:spacing w:val="-2"/>
        </w:rPr>
        <w:t>r</w:t>
      </w:r>
      <w:r>
        <w:rPr>
          <w:rFonts w:ascii="SimSun" w:hAnsi="SimSun" w:eastAsia="SimSun" w:cs="SimSun"/>
          <w:sz w:val="24"/>
          <w:szCs w:val="24"/>
          <w:spacing w:val="-2"/>
        </w:rPr>
        <w:t>）</w:t>
      </w:r>
      <w:r>
        <w:rPr>
          <w:rFonts w:ascii="Times New Roman" w:hAnsi="Times New Roman" w:eastAsia="Times New Roman" w:cs="Times New Roman"/>
          <w:sz w:val="24"/>
          <w:szCs w:val="24"/>
          <w:spacing w:val="-2"/>
        </w:rPr>
        <w:t>]</w:t>
      </w:r>
      <w:r>
        <w:rPr>
          <w:rFonts w:ascii="SimSun" w:hAnsi="SimSun" w:eastAsia="SimSun" w:cs="SimSun"/>
          <w:sz w:val="24"/>
          <w:szCs w:val="24"/>
          <w:spacing w:val="-2"/>
        </w:rPr>
        <w:t>：</w:t>
      </w:r>
    </w:p>
    <w:p>
      <w:pPr>
        <w:ind w:firstLine="2031"/>
        <w:spacing w:line="1017" w:lineRule="exact"/>
        <w:rPr/>
      </w:pPr>
      <w:r>
        <w:rPr>
          <w:position w:val="-20"/>
        </w:rPr>
        <w:drawing>
          <wp:inline distT="0" distB="0" distL="0" distR="0">
            <wp:extent cx="2801111" cy="646176"/>
            <wp:effectExtent l="0" t="0" r="0" b="0"/>
            <wp:docPr id="170" name="IM 170"/>
            <wp:cNvGraphicFramePr/>
            <a:graphic>
              <a:graphicData uri="http://schemas.openxmlformats.org/drawingml/2006/picture">
                <pic:pic>
                  <pic:nvPicPr>
                    <pic:cNvPr id="170" name="IM 170"/>
                    <pic:cNvPicPr/>
                  </pic:nvPicPr>
                  <pic:blipFill>
                    <a:blip r:embed="rId285"/>
                    <a:stretch>
                      <a:fillRect/>
                    </a:stretch>
                  </pic:blipFill>
                  <pic:spPr>
                    <a:xfrm rot="0">
                      <a:off x="0" y="0"/>
                      <a:ext cx="2801111" cy="646176"/>
                    </a:xfrm>
                    <a:prstGeom prst="rect">
                      <a:avLst/>
                    </a:prstGeom>
                  </pic:spPr>
                </pic:pic>
              </a:graphicData>
            </a:graphic>
          </wp:inline>
        </w:drawing>
      </w:r>
    </w:p>
    <w:p>
      <w:pPr>
        <w:ind w:left="494"/>
        <w:spacing w:before="176" w:line="212"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1"/>
        </w:rPr>
        <w:t>A</w:t>
      </w:r>
      <w:r>
        <w:rPr>
          <w:rFonts w:ascii="SimSun" w:hAnsi="SimSun" w:eastAsia="SimSun" w:cs="SimSun"/>
          <w:sz w:val="24"/>
          <w:szCs w:val="24"/>
          <w:spacing w:val="-1"/>
        </w:rPr>
        <w:t>（</w:t>
      </w:r>
      <w:r>
        <w:rPr>
          <w:rFonts w:ascii="Times New Roman" w:hAnsi="Times New Roman" w:eastAsia="Times New Roman" w:cs="Times New Roman"/>
          <w:sz w:val="24"/>
          <w:szCs w:val="24"/>
          <w:spacing w:val="-1"/>
        </w:rPr>
        <w:t>r</w:t>
      </w:r>
      <w:r>
        <w:rPr>
          <w:rFonts w:ascii="SimSun" w:hAnsi="SimSun" w:eastAsia="SimSun" w:cs="SimSun"/>
          <w:sz w:val="24"/>
          <w:szCs w:val="24"/>
          <w:spacing w:val="-1"/>
        </w:rPr>
        <w:t>）</w:t>
      </w:r>
      <w:r>
        <w:rPr>
          <w:rFonts w:ascii="Times New Roman" w:hAnsi="Times New Roman" w:eastAsia="Times New Roman" w:cs="Times New Roman"/>
          <w:sz w:val="24"/>
          <w:szCs w:val="24"/>
          <w:spacing w:val="-1"/>
        </w:rPr>
        <w:t>—</w:t>
      </w:r>
      <w:r>
        <w:rPr>
          <w:rFonts w:ascii="SimSun" w:hAnsi="SimSun" w:eastAsia="SimSun" w:cs="SimSun"/>
          <w:sz w:val="24"/>
          <w:szCs w:val="24"/>
          <w:spacing w:val="-1"/>
        </w:rPr>
        <w:t>距声源</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r </w:t>
      </w:r>
      <w:r>
        <w:rPr>
          <w:rFonts w:ascii="SimSun" w:hAnsi="SimSun" w:eastAsia="SimSun" w:cs="SimSun"/>
          <w:sz w:val="24"/>
          <w:szCs w:val="24"/>
          <w:spacing w:val="-1"/>
        </w:rPr>
        <w:t>处的</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A </w:t>
      </w:r>
      <w:r>
        <w:rPr>
          <w:rFonts w:ascii="SimSun" w:hAnsi="SimSun" w:eastAsia="SimSun" w:cs="SimSun"/>
          <w:sz w:val="24"/>
          <w:szCs w:val="24"/>
          <w:spacing w:val="-1"/>
        </w:rPr>
        <w:t>声级，</w:t>
      </w:r>
      <w:r>
        <w:rPr>
          <w:rFonts w:ascii="Times New Roman" w:hAnsi="Times New Roman" w:eastAsia="Times New Roman" w:cs="Times New Roman"/>
          <w:sz w:val="24"/>
          <w:szCs w:val="24"/>
          <w:spacing w:val="-1"/>
        </w:rPr>
        <w:t>dB(A)</w:t>
      </w:r>
      <w:r>
        <w:rPr>
          <w:rFonts w:ascii="SimSun" w:hAnsi="SimSun" w:eastAsia="SimSun" w:cs="SimSun"/>
          <w:sz w:val="24"/>
          <w:szCs w:val="24"/>
          <w:spacing w:val="-1"/>
        </w:rPr>
        <w:t>；</w:t>
      </w:r>
    </w:p>
    <w:p>
      <w:pPr>
        <w:ind w:left="1205"/>
        <w:spacing w:before="193" w:line="218" w:lineRule="auto"/>
        <w:rPr>
          <w:rFonts w:ascii="SimSun" w:hAnsi="SimSun" w:eastAsia="SimSun" w:cs="SimSun"/>
          <w:sz w:val="24"/>
          <w:szCs w:val="24"/>
        </w:rPr>
      </w:pP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1"/>
        </w:rPr>
        <w:t>pi</w:t>
      </w:r>
      <w:r>
        <w:rPr>
          <w:rFonts w:ascii="SimSun" w:hAnsi="SimSun" w:eastAsia="SimSun" w:cs="SimSun"/>
          <w:sz w:val="24"/>
          <w:szCs w:val="24"/>
          <w:spacing w:val="-1"/>
        </w:rPr>
        <w:t>（</w:t>
      </w:r>
      <w:r>
        <w:rPr>
          <w:rFonts w:ascii="Times New Roman" w:hAnsi="Times New Roman" w:eastAsia="Times New Roman" w:cs="Times New Roman"/>
          <w:sz w:val="24"/>
          <w:szCs w:val="24"/>
          <w:spacing w:val="-1"/>
        </w:rPr>
        <w:t>r</w:t>
      </w:r>
      <w:r>
        <w:rPr>
          <w:rFonts w:ascii="SimSun" w:hAnsi="SimSun" w:eastAsia="SimSun" w:cs="SimSun"/>
          <w:sz w:val="24"/>
          <w:szCs w:val="24"/>
          <w:spacing w:val="-1"/>
        </w:rPr>
        <w:t>）</w:t>
      </w:r>
      <w:r>
        <w:rPr>
          <w:rFonts w:ascii="Times New Roman" w:hAnsi="Times New Roman" w:eastAsia="Times New Roman" w:cs="Times New Roman"/>
          <w:sz w:val="24"/>
          <w:szCs w:val="24"/>
          <w:spacing w:val="-1"/>
        </w:rPr>
        <w:t>—</w:t>
      </w:r>
      <w:r>
        <w:rPr>
          <w:rFonts w:ascii="SimSun" w:hAnsi="SimSun" w:eastAsia="SimSun" w:cs="SimSun"/>
          <w:sz w:val="24"/>
          <w:szCs w:val="24"/>
          <w:spacing w:val="-1"/>
        </w:rPr>
        <w:t>预测点（</w:t>
      </w:r>
      <w:r>
        <w:rPr>
          <w:rFonts w:ascii="Times New Roman" w:hAnsi="Times New Roman" w:eastAsia="Times New Roman" w:cs="Times New Roman"/>
          <w:sz w:val="24"/>
          <w:szCs w:val="24"/>
          <w:spacing w:val="-1"/>
        </w:rPr>
        <w:t>r</w:t>
      </w:r>
      <w:r>
        <w:rPr>
          <w:rFonts w:ascii="SimSun" w:hAnsi="SimSun" w:eastAsia="SimSun" w:cs="SimSun"/>
          <w:sz w:val="24"/>
          <w:szCs w:val="24"/>
          <w:spacing w:val="-1"/>
        </w:rPr>
        <w:t>）处，第</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1"/>
        </w:rPr>
        <w:t>i </w:t>
      </w:r>
      <w:r>
        <w:rPr>
          <w:rFonts w:ascii="SimSun" w:hAnsi="SimSun" w:eastAsia="SimSun" w:cs="SimSun"/>
          <w:sz w:val="24"/>
          <w:szCs w:val="24"/>
          <w:spacing w:val="-1"/>
        </w:rPr>
        <w:t>倍频带声压级，</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1206"/>
        <w:spacing w:before="182" w:line="219" w:lineRule="auto"/>
        <w:rPr>
          <w:rFonts w:ascii="SimSun" w:hAnsi="SimSun" w:eastAsia="SimSun" w:cs="SimSun"/>
          <w:sz w:val="24"/>
          <w:szCs w:val="24"/>
        </w:rPr>
      </w:pPr>
      <w:r>
        <w:rPr>
          <w:rFonts w:ascii="Times New Roman" w:hAnsi="Times New Roman" w:eastAsia="Times New Roman" w:cs="Times New Roman"/>
          <w:sz w:val="24"/>
          <w:szCs w:val="24"/>
          <w:spacing w:val="-1"/>
        </w:rPr>
        <w:t>ΔL</w:t>
      </w:r>
      <w:r>
        <w:rPr>
          <w:rFonts w:ascii="Times New Roman" w:hAnsi="Times New Roman" w:eastAsia="Times New Roman" w:cs="Times New Roman"/>
          <w:sz w:val="15"/>
          <w:szCs w:val="15"/>
          <w:spacing w:val="-1"/>
        </w:rPr>
        <w:t>i</w:t>
      </w:r>
      <w:r>
        <w:rPr>
          <w:rFonts w:ascii="Times New Roman" w:hAnsi="Times New Roman" w:eastAsia="Times New Roman" w:cs="Times New Roman"/>
          <w:sz w:val="24"/>
          <w:szCs w:val="24"/>
          <w:spacing w:val="-1"/>
        </w:rPr>
        <w:t>—</w:t>
      </w:r>
      <w:r>
        <w:rPr>
          <w:rFonts w:ascii="SimSun" w:hAnsi="SimSun" w:eastAsia="SimSun" w:cs="SimSun"/>
          <w:sz w:val="24"/>
          <w:szCs w:val="24"/>
          <w:spacing w:val="-1"/>
        </w:rPr>
        <w:t>第</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i </w:t>
      </w:r>
      <w:r>
        <w:rPr>
          <w:rFonts w:ascii="SimSun" w:hAnsi="SimSun" w:eastAsia="SimSun" w:cs="SimSun"/>
          <w:sz w:val="24"/>
          <w:szCs w:val="24"/>
          <w:spacing w:val="-1"/>
        </w:rPr>
        <w:t>倍频带的</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A </w:t>
      </w:r>
      <w:r>
        <w:rPr>
          <w:rFonts w:ascii="SimSun" w:hAnsi="SimSun" w:eastAsia="SimSun" w:cs="SimSun"/>
          <w:sz w:val="24"/>
          <w:szCs w:val="24"/>
          <w:spacing w:val="-1"/>
        </w:rPr>
        <w:t>计权网络修正值，</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488"/>
        <w:spacing w:before="182" w:line="219" w:lineRule="auto"/>
        <w:rPr>
          <w:rFonts w:ascii="SimSun" w:hAnsi="SimSun" w:eastAsia="SimSun" w:cs="SimSun"/>
          <w:sz w:val="24"/>
          <w:szCs w:val="24"/>
        </w:rPr>
      </w:pPr>
      <w:r>
        <w:rPr>
          <w:rFonts w:ascii="Times New Roman" w:hAnsi="Times New Roman" w:eastAsia="Times New Roman" w:cs="Times New Roman"/>
          <w:sz w:val="24"/>
          <w:szCs w:val="24"/>
          <w:spacing w:val="-1"/>
        </w:rPr>
        <w:t>c.</w:t>
      </w:r>
      <w:r>
        <w:rPr>
          <w:rFonts w:ascii="SimSun" w:hAnsi="SimSun" w:eastAsia="SimSun" w:cs="SimSun"/>
          <w:sz w:val="24"/>
          <w:szCs w:val="24"/>
          <w:spacing w:val="-1"/>
        </w:rPr>
        <w:t>在只考虑几何发散衰减时，可按下式计算：</w:t>
      </w:r>
    </w:p>
    <w:p>
      <w:pPr>
        <w:ind w:left="3026"/>
        <w:spacing w:before="139" w:line="322" w:lineRule="exact"/>
        <w:rPr>
          <w:rFonts w:ascii="Times New Roman" w:hAnsi="Times New Roman" w:eastAsia="Times New Roman" w:cs="Times New Roman"/>
          <w:sz w:val="15"/>
          <w:szCs w:val="15"/>
        </w:rPr>
      </w:pPr>
      <w:r>
        <w:rPr>
          <w:rFonts w:ascii="Times New Roman" w:hAnsi="Times New Roman" w:eastAsia="Times New Roman" w:cs="Times New Roman"/>
          <w:sz w:val="24"/>
          <w:szCs w:val="24"/>
          <w:spacing w:val="-1"/>
          <w:position w:val="1"/>
        </w:rPr>
        <w:t>L</w:t>
      </w:r>
      <w:r>
        <w:rPr>
          <w:rFonts w:ascii="Times New Roman" w:hAnsi="Times New Roman" w:eastAsia="Times New Roman" w:cs="Times New Roman"/>
          <w:sz w:val="15"/>
          <w:szCs w:val="15"/>
          <w:spacing w:val="-1"/>
        </w:rPr>
        <w:t>A</w:t>
      </w:r>
      <w:r>
        <w:rPr>
          <w:rFonts w:ascii="SimSun" w:hAnsi="SimSun" w:eastAsia="SimSun" w:cs="SimSun"/>
          <w:sz w:val="24"/>
          <w:szCs w:val="24"/>
          <w:spacing w:val="1"/>
          <w:position w:val="1"/>
        </w:rPr>
        <w:t>（</w:t>
      </w:r>
      <w:r>
        <w:rPr>
          <w:rFonts w:ascii="Times New Roman" w:hAnsi="Times New Roman" w:eastAsia="Times New Roman" w:cs="Times New Roman"/>
          <w:sz w:val="24"/>
          <w:szCs w:val="24"/>
          <w:spacing w:val="1"/>
          <w:position w:val="1"/>
        </w:rPr>
        <w:t>r</w:t>
      </w:r>
      <w:r>
        <w:rPr>
          <w:rFonts w:ascii="SimSun" w:hAnsi="SimSun" w:eastAsia="SimSun" w:cs="SimSun"/>
          <w:sz w:val="24"/>
          <w:szCs w:val="24"/>
          <w:spacing w:val="1"/>
          <w:position w:val="1"/>
        </w:rPr>
        <w:t>）</w:t>
      </w:r>
      <w:r>
        <w:rPr>
          <w:rFonts w:ascii="Times New Roman" w:hAnsi="Times New Roman" w:eastAsia="Times New Roman" w:cs="Times New Roman"/>
          <w:sz w:val="24"/>
          <w:szCs w:val="24"/>
          <w:spacing w:val="1"/>
          <w:position w:val="1"/>
        </w:rPr>
        <w:t>=</w:t>
      </w:r>
      <w:r>
        <w:rPr>
          <w:rFonts w:ascii="Times New Roman" w:hAnsi="Times New Roman" w:eastAsia="Times New Roman" w:cs="Times New Roman"/>
          <w:sz w:val="24"/>
          <w:szCs w:val="24"/>
          <w:position w:val="1"/>
        </w:rPr>
        <w:t>L</w:t>
      </w:r>
      <w:r>
        <w:rPr>
          <w:rFonts w:ascii="Times New Roman" w:hAnsi="Times New Roman" w:eastAsia="Times New Roman" w:cs="Times New Roman"/>
          <w:sz w:val="15"/>
          <w:szCs w:val="15"/>
        </w:rPr>
        <w:t>A</w:t>
      </w:r>
      <w:r>
        <w:rPr>
          <w:rFonts w:ascii="SimSun" w:hAnsi="SimSun" w:eastAsia="SimSun" w:cs="SimSun"/>
          <w:sz w:val="24"/>
          <w:szCs w:val="24"/>
          <w:spacing w:val="1"/>
          <w:position w:val="1"/>
        </w:rPr>
        <w:t>（</w:t>
      </w:r>
      <w:r>
        <w:rPr>
          <w:rFonts w:ascii="Times New Roman" w:hAnsi="Times New Roman" w:eastAsia="Times New Roman" w:cs="Times New Roman"/>
          <w:sz w:val="24"/>
          <w:szCs w:val="24"/>
          <w:spacing w:val="1"/>
          <w:position w:val="1"/>
        </w:rPr>
        <w:t>r</w:t>
      </w:r>
      <w:r>
        <w:rPr>
          <w:rFonts w:ascii="Times New Roman" w:hAnsi="Times New Roman" w:eastAsia="Times New Roman" w:cs="Times New Roman"/>
          <w:sz w:val="15"/>
          <w:szCs w:val="15"/>
          <w:spacing w:val="1"/>
          <w:position w:val="1"/>
        </w:rPr>
        <w:t>0</w:t>
      </w:r>
      <w:r>
        <w:rPr>
          <w:rFonts w:ascii="SimSun" w:hAnsi="SimSun" w:eastAsia="SimSun" w:cs="SimSun"/>
          <w:sz w:val="24"/>
          <w:szCs w:val="24"/>
          <w:spacing w:val="1"/>
          <w:position w:val="1"/>
        </w:rPr>
        <w:t>）</w:t>
      </w:r>
      <w:r>
        <w:rPr>
          <w:rFonts w:ascii="Times New Roman" w:hAnsi="Times New Roman" w:eastAsia="Times New Roman" w:cs="Times New Roman"/>
          <w:sz w:val="24"/>
          <w:szCs w:val="24"/>
          <w:spacing w:val="1"/>
          <w:position w:val="1"/>
        </w:rPr>
        <w:t>—</w:t>
      </w:r>
      <w:r>
        <w:rPr>
          <w:rFonts w:ascii="Times New Roman" w:hAnsi="Times New Roman" w:eastAsia="Times New Roman" w:cs="Times New Roman"/>
          <w:sz w:val="24"/>
          <w:szCs w:val="24"/>
          <w:position w:val="1"/>
        </w:rPr>
        <w:t>A</w:t>
      </w:r>
      <w:r>
        <w:rPr>
          <w:rFonts w:ascii="Times New Roman" w:hAnsi="Times New Roman" w:eastAsia="Times New Roman" w:cs="Times New Roman"/>
          <w:sz w:val="15"/>
          <w:szCs w:val="15"/>
        </w:rPr>
        <w:t>div</w:t>
      </w:r>
    </w:p>
    <w:p>
      <w:pPr>
        <w:ind w:left="494"/>
        <w:spacing w:before="186" w:line="212"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1"/>
        </w:rPr>
        <w:t>A</w:t>
      </w:r>
      <w:r>
        <w:rPr>
          <w:rFonts w:ascii="SimSun" w:hAnsi="SimSun" w:eastAsia="SimSun" w:cs="SimSun"/>
          <w:sz w:val="24"/>
          <w:szCs w:val="24"/>
          <w:spacing w:val="-1"/>
        </w:rPr>
        <w:t>（</w:t>
      </w:r>
      <w:r>
        <w:rPr>
          <w:rFonts w:ascii="Times New Roman" w:hAnsi="Times New Roman" w:eastAsia="Times New Roman" w:cs="Times New Roman"/>
          <w:sz w:val="24"/>
          <w:szCs w:val="24"/>
          <w:spacing w:val="-1"/>
        </w:rPr>
        <w:t>r</w:t>
      </w:r>
      <w:r>
        <w:rPr>
          <w:rFonts w:ascii="SimSun" w:hAnsi="SimSun" w:eastAsia="SimSun" w:cs="SimSun"/>
          <w:sz w:val="24"/>
          <w:szCs w:val="24"/>
          <w:spacing w:val="-1"/>
        </w:rPr>
        <w:t>）</w:t>
      </w:r>
      <w:r>
        <w:rPr>
          <w:rFonts w:ascii="Times New Roman" w:hAnsi="Times New Roman" w:eastAsia="Times New Roman" w:cs="Times New Roman"/>
          <w:sz w:val="24"/>
          <w:szCs w:val="24"/>
          <w:spacing w:val="-1"/>
        </w:rPr>
        <w:t>—</w:t>
      </w:r>
      <w:r>
        <w:rPr>
          <w:rFonts w:ascii="SimSun" w:hAnsi="SimSun" w:eastAsia="SimSun" w:cs="SimSun"/>
          <w:sz w:val="24"/>
          <w:szCs w:val="24"/>
          <w:spacing w:val="-1"/>
        </w:rPr>
        <w:t>距声源</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r </w:t>
      </w:r>
      <w:r>
        <w:rPr>
          <w:rFonts w:ascii="SimSun" w:hAnsi="SimSun" w:eastAsia="SimSun" w:cs="SimSun"/>
          <w:sz w:val="24"/>
          <w:szCs w:val="24"/>
          <w:spacing w:val="-1"/>
        </w:rPr>
        <w:t>处的</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A </w:t>
      </w:r>
      <w:r>
        <w:rPr>
          <w:rFonts w:ascii="SimSun" w:hAnsi="SimSun" w:eastAsia="SimSun" w:cs="SimSun"/>
          <w:sz w:val="24"/>
          <w:szCs w:val="24"/>
          <w:spacing w:val="-1"/>
        </w:rPr>
        <w:t>声级，</w:t>
      </w:r>
      <w:r>
        <w:rPr>
          <w:rFonts w:ascii="Times New Roman" w:hAnsi="Times New Roman" w:eastAsia="Times New Roman" w:cs="Times New Roman"/>
          <w:sz w:val="24"/>
          <w:szCs w:val="24"/>
          <w:spacing w:val="-1"/>
        </w:rPr>
        <w:t>dB(A)</w:t>
      </w:r>
      <w:r>
        <w:rPr>
          <w:rFonts w:ascii="SimSun" w:hAnsi="SimSun" w:eastAsia="SimSun" w:cs="SimSun"/>
          <w:sz w:val="24"/>
          <w:szCs w:val="24"/>
          <w:spacing w:val="-1"/>
        </w:rPr>
        <w:t>；</w:t>
      </w:r>
    </w:p>
    <w:p>
      <w:pPr>
        <w:ind w:left="1205"/>
        <w:spacing w:before="193" w:line="212" w:lineRule="auto"/>
        <w:rPr>
          <w:rFonts w:ascii="SimSun" w:hAnsi="SimSun" w:eastAsia="SimSun" w:cs="SimSun"/>
          <w:sz w:val="24"/>
          <w:szCs w:val="24"/>
        </w:rPr>
      </w:pP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1"/>
        </w:rPr>
        <w:t>A</w:t>
      </w:r>
      <w:r>
        <w:rPr>
          <w:rFonts w:ascii="SimSun" w:hAnsi="SimSun" w:eastAsia="SimSun" w:cs="SimSun"/>
          <w:sz w:val="24"/>
          <w:szCs w:val="24"/>
          <w:spacing w:val="1"/>
        </w:rPr>
        <w:t>（</w:t>
      </w:r>
      <w:r>
        <w:rPr>
          <w:rFonts w:ascii="Times New Roman" w:hAnsi="Times New Roman" w:eastAsia="Times New Roman" w:cs="Times New Roman"/>
          <w:sz w:val="24"/>
          <w:szCs w:val="24"/>
          <w:spacing w:val="1"/>
        </w:rPr>
        <w:t>r</w:t>
      </w:r>
      <w:r>
        <w:rPr>
          <w:rFonts w:ascii="Times New Roman" w:hAnsi="Times New Roman" w:eastAsia="Times New Roman" w:cs="Times New Roman"/>
          <w:sz w:val="15"/>
          <w:szCs w:val="15"/>
          <w:spacing w:val="1"/>
        </w:rPr>
        <w:t>0</w:t>
      </w:r>
      <w:r>
        <w:rPr>
          <w:rFonts w:ascii="SimSun" w:hAnsi="SimSun" w:eastAsia="SimSun" w:cs="SimSun"/>
          <w:sz w:val="24"/>
          <w:szCs w:val="24"/>
          <w:spacing w:val="1"/>
        </w:rPr>
        <w:t>）</w:t>
      </w:r>
      <w:r>
        <w:rPr>
          <w:rFonts w:ascii="Times New Roman" w:hAnsi="Times New Roman" w:eastAsia="Times New Roman" w:cs="Times New Roman"/>
          <w:sz w:val="24"/>
          <w:szCs w:val="24"/>
          <w:spacing w:val="1"/>
        </w:rPr>
        <w:t>—</w:t>
      </w:r>
      <w:r>
        <w:rPr>
          <w:rFonts w:ascii="SimSun" w:hAnsi="SimSun" w:eastAsia="SimSun" w:cs="SimSun"/>
          <w:sz w:val="24"/>
          <w:szCs w:val="24"/>
          <w:spacing w:val="1"/>
        </w:rPr>
        <w:t>参考位置</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r</w:t>
      </w:r>
      <w:r>
        <w:rPr>
          <w:rFonts w:ascii="Times New Roman" w:hAnsi="Times New Roman" w:eastAsia="Times New Roman" w:cs="Times New Roman"/>
          <w:sz w:val="15"/>
          <w:szCs w:val="15"/>
          <w:spacing w:val="1"/>
        </w:rPr>
        <w:t>0</w:t>
      </w:r>
      <w:r>
        <w:rPr>
          <w:rFonts w:ascii="SimSun" w:hAnsi="SimSun" w:eastAsia="SimSun" w:cs="SimSun"/>
          <w:sz w:val="24"/>
          <w:szCs w:val="24"/>
          <w:spacing w:val="1"/>
        </w:rPr>
        <w:t>处的</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A </w:t>
      </w:r>
      <w:r>
        <w:rPr>
          <w:rFonts w:ascii="SimSun" w:hAnsi="SimSun" w:eastAsia="SimSun" w:cs="SimSun"/>
          <w:sz w:val="24"/>
          <w:szCs w:val="24"/>
          <w:spacing w:val="1"/>
        </w:rPr>
        <w:t>声级，</w:t>
      </w:r>
      <w:r>
        <w:rPr>
          <w:rFonts w:ascii="Times New Roman" w:hAnsi="Times New Roman" w:eastAsia="Times New Roman" w:cs="Times New Roman"/>
          <w:sz w:val="24"/>
          <w:szCs w:val="24"/>
        </w:rPr>
        <w:t>dB</w:t>
      </w:r>
      <w:r>
        <w:rPr>
          <w:rFonts w:ascii="Times New Roman" w:hAnsi="Times New Roman" w:eastAsia="Times New Roman" w:cs="Times New Roman"/>
          <w:sz w:val="24"/>
          <w:szCs w:val="24"/>
          <w:spacing w:val="1"/>
        </w:rPr>
        <w:t>(A)</w:t>
      </w:r>
      <w:r>
        <w:rPr>
          <w:rFonts w:ascii="SimSun" w:hAnsi="SimSun" w:eastAsia="SimSun" w:cs="SimSun"/>
          <w:sz w:val="24"/>
          <w:szCs w:val="24"/>
          <w:spacing w:val="1"/>
        </w:rPr>
        <w:t>；</w:t>
      </w:r>
    </w:p>
    <w:p>
      <w:pPr>
        <w:ind w:left="1202"/>
        <w:spacing w:before="192" w:line="219" w:lineRule="auto"/>
        <w:rPr>
          <w:rFonts w:ascii="SimSun" w:hAnsi="SimSun" w:eastAsia="SimSun" w:cs="SimSun"/>
          <w:sz w:val="24"/>
          <w:szCs w:val="24"/>
        </w:rPr>
      </w:pP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1"/>
        </w:rPr>
        <w:t>div</w:t>
      </w:r>
      <w:r>
        <w:rPr>
          <w:rFonts w:ascii="Times New Roman" w:hAnsi="Times New Roman" w:eastAsia="Times New Roman" w:cs="Times New Roman"/>
          <w:sz w:val="24"/>
          <w:szCs w:val="24"/>
        </w:rPr>
        <w:t>—</w:t>
      </w:r>
      <w:r>
        <w:rPr>
          <w:rFonts w:ascii="SimSun" w:hAnsi="SimSun" w:eastAsia="SimSun" w:cs="SimSun"/>
          <w:sz w:val="24"/>
          <w:szCs w:val="24"/>
        </w:rPr>
        <w:t>几何发散引起的衰减，</w:t>
      </w:r>
      <w:r>
        <w:rPr>
          <w:rFonts w:ascii="Times New Roman" w:hAnsi="Times New Roman" w:eastAsia="Times New Roman" w:cs="Times New Roman"/>
          <w:sz w:val="24"/>
          <w:szCs w:val="24"/>
        </w:rPr>
        <w:t>dB</w:t>
      </w:r>
      <w:r>
        <w:rPr>
          <w:rFonts w:ascii="SimSun" w:hAnsi="SimSun" w:eastAsia="SimSun" w:cs="SimSun"/>
          <w:sz w:val="24"/>
          <w:szCs w:val="24"/>
        </w:rPr>
        <w:t>。</w:t>
      </w:r>
    </w:p>
    <w:p>
      <w:pPr>
        <w:ind w:left="488"/>
        <w:spacing w:before="181" w:line="217" w:lineRule="auto"/>
        <w:rPr>
          <w:rFonts w:ascii="SimSun" w:hAnsi="SimSun" w:eastAsia="SimSun" w:cs="SimSun"/>
          <w:sz w:val="24"/>
          <w:szCs w:val="24"/>
        </w:rPr>
      </w:pPr>
      <w:r>
        <w:rPr>
          <w:rFonts w:ascii="SimSun" w:hAnsi="SimSun" w:eastAsia="SimSun" w:cs="SimSun"/>
          <w:sz w:val="24"/>
          <w:szCs w:val="24"/>
          <w:spacing w:val="-1"/>
        </w:rPr>
        <w:t>②室内声源等效室外声源声功率级计算方法</w:t>
      </w:r>
    </w:p>
    <w:p>
      <w:pPr>
        <w:ind w:left="8" w:firstLine="484"/>
        <w:spacing w:before="188" w:line="350" w:lineRule="auto"/>
        <w:rPr>
          <w:rFonts w:ascii="SimSun" w:hAnsi="SimSun" w:eastAsia="SimSun" w:cs="SimSun"/>
          <w:sz w:val="24"/>
          <w:szCs w:val="24"/>
        </w:rPr>
      </w:pPr>
      <w:r>
        <w:rPr>
          <w:rFonts w:ascii="SimSun" w:hAnsi="SimSun" w:eastAsia="SimSun" w:cs="SimSun"/>
          <w:sz w:val="24"/>
          <w:szCs w:val="24"/>
          <w:spacing w:val="2"/>
        </w:rPr>
        <w:t>如图</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2"/>
        </w:rPr>
        <w:t>5 </w:t>
      </w:r>
      <w:r>
        <w:rPr>
          <w:rFonts w:ascii="SimSun" w:hAnsi="SimSun" w:eastAsia="SimSun" w:cs="SimSun"/>
          <w:sz w:val="24"/>
          <w:szCs w:val="24"/>
          <w:spacing w:val="2"/>
        </w:rPr>
        <w:t>所示，声源位于室内，室内声源可采用等效室外声源声功率级法进行</w:t>
      </w:r>
      <w:r>
        <w:rPr>
          <w:rFonts w:ascii="SimSun" w:hAnsi="SimSun" w:eastAsia="SimSun" w:cs="SimSun"/>
          <w:sz w:val="24"/>
          <w:szCs w:val="24"/>
        </w:rPr>
        <w:t xml:space="preserve"> </w:t>
      </w:r>
      <w:r>
        <w:rPr>
          <w:rFonts w:ascii="SimSun" w:hAnsi="SimSun" w:eastAsia="SimSun" w:cs="SimSun"/>
          <w:sz w:val="24"/>
          <w:szCs w:val="24"/>
          <w:spacing w:val="-2"/>
        </w:rPr>
        <w:t>计算。设靠近开口处（或窗户）室内、室外某倍频带的声压级或</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A </w:t>
      </w:r>
      <w:r>
        <w:rPr>
          <w:rFonts w:ascii="SimSun" w:hAnsi="SimSun" w:eastAsia="SimSun" w:cs="SimSun"/>
          <w:sz w:val="24"/>
          <w:szCs w:val="24"/>
          <w:spacing w:val="-2"/>
        </w:rPr>
        <w:t>声级</w:t>
      </w:r>
      <w:r>
        <w:rPr>
          <w:rFonts w:ascii="SimSun" w:hAnsi="SimSun" w:eastAsia="SimSun" w:cs="SimSun"/>
          <w:sz w:val="24"/>
          <w:szCs w:val="24"/>
          <w:spacing w:val="-3"/>
        </w:rPr>
        <w:t>分别为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L</w:t>
      </w:r>
      <w:r>
        <w:rPr>
          <w:rFonts w:ascii="Times New Roman" w:hAnsi="Times New Roman" w:eastAsia="Times New Roman" w:cs="Times New Roman"/>
          <w:sz w:val="15"/>
          <w:szCs w:val="15"/>
          <w:spacing w:val="-3"/>
          <w:position w:val="-1"/>
        </w:rPr>
        <w:t>p1</w:t>
      </w:r>
      <w:r>
        <w:rPr>
          <w:rFonts w:ascii="Times New Roman" w:hAnsi="Times New Roman" w:eastAsia="Times New Roman" w:cs="Times New Roman"/>
          <w:sz w:val="15"/>
          <w:szCs w:val="15"/>
          <w:position w:val="-1"/>
        </w:rPr>
        <w:t xml:space="preserve"> </w:t>
      </w:r>
      <w:r>
        <w:rPr>
          <w:rFonts w:ascii="SimSun" w:hAnsi="SimSun" w:eastAsia="SimSun" w:cs="SimSun"/>
          <w:sz w:val="24"/>
          <w:szCs w:val="24"/>
          <w:spacing w:val="-2"/>
        </w:rPr>
        <w:t>和</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L</w:t>
      </w:r>
      <w:r>
        <w:rPr>
          <w:rFonts w:ascii="Times New Roman" w:hAnsi="Times New Roman" w:eastAsia="Times New Roman" w:cs="Times New Roman"/>
          <w:sz w:val="15"/>
          <w:szCs w:val="15"/>
          <w:spacing w:val="-2"/>
          <w:position w:val="-1"/>
        </w:rPr>
        <w:t>p2 </w:t>
      </w:r>
      <w:r>
        <w:rPr>
          <w:rFonts w:ascii="SimSun" w:hAnsi="SimSun" w:eastAsia="SimSun" w:cs="SimSun"/>
          <w:sz w:val="24"/>
          <w:szCs w:val="24"/>
          <w:spacing w:val="-2"/>
        </w:rPr>
        <w:t>。若声源所在室内声场为近似扩散声场，则室外的倍频带声压级可按下式近</w:t>
      </w:r>
      <w:r>
        <w:rPr>
          <w:rFonts w:ascii="SimSun" w:hAnsi="SimSun" w:eastAsia="SimSun" w:cs="SimSun"/>
          <w:sz w:val="24"/>
          <w:szCs w:val="24"/>
        </w:rPr>
        <w:t xml:space="preserve"> </w:t>
      </w:r>
      <w:r>
        <w:rPr>
          <w:rFonts w:ascii="SimSun" w:hAnsi="SimSun" w:eastAsia="SimSun" w:cs="SimSun"/>
          <w:sz w:val="24"/>
          <w:szCs w:val="24"/>
          <w:spacing w:val="-3"/>
        </w:rPr>
        <w:t>似求出：</w:t>
      </w:r>
    </w:p>
    <w:p>
      <w:pPr>
        <w:ind w:left="3252"/>
        <w:spacing w:line="322" w:lineRule="exact"/>
        <w:rPr>
          <w:rFonts w:ascii="SimSun" w:hAnsi="SimSun" w:eastAsia="SimSun" w:cs="SimSun"/>
          <w:sz w:val="24"/>
          <w:szCs w:val="24"/>
        </w:rPr>
      </w:pPr>
      <w:r>
        <w:rPr>
          <w:rFonts w:ascii="Times New Roman" w:hAnsi="Times New Roman" w:eastAsia="Times New Roman" w:cs="Times New Roman"/>
          <w:sz w:val="24"/>
          <w:szCs w:val="24"/>
          <w:position w:val="3"/>
        </w:rPr>
        <w:t>L</w:t>
      </w:r>
      <w:r>
        <w:rPr>
          <w:rFonts w:ascii="Times New Roman" w:hAnsi="Times New Roman" w:eastAsia="Times New Roman" w:cs="Times New Roman"/>
          <w:sz w:val="15"/>
          <w:szCs w:val="15"/>
          <w:position w:val="2"/>
        </w:rPr>
        <w:t>p2</w:t>
      </w:r>
      <w:r>
        <w:rPr>
          <w:rFonts w:ascii="Times New Roman" w:hAnsi="Times New Roman" w:eastAsia="Times New Roman" w:cs="Times New Roman"/>
          <w:sz w:val="24"/>
          <w:szCs w:val="24"/>
          <w:position w:val="3"/>
        </w:rPr>
        <w:t>=L</w:t>
      </w:r>
      <w:r>
        <w:rPr>
          <w:rFonts w:ascii="Times New Roman" w:hAnsi="Times New Roman" w:eastAsia="Times New Roman" w:cs="Times New Roman"/>
          <w:sz w:val="15"/>
          <w:szCs w:val="15"/>
          <w:position w:val="2"/>
        </w:rPr>
        <w:t>p1</w:t>
      </w:r>
      <w:r>
        <w:rPr>
          <w:rFonts w:ascii="Times New Roman" w:hAnsi="Times New Roman" w:eastAsia="Times New Roman" w:cs="Times New Roman"/>
          <w:sz w:val="24"/>
          <w:szCs w:val="24"/>
          <w:position w:val="3"/>
        </w:rPr>
        <w:t>—</w:t>
      </w:r>
      <w:r>
        <w:rPr>
          <w:rFonts w:ascii="SimSun" w:hAnsi="SimSun" w:eastAsia="SimSun" w:cs="SimSun"/>
          <w:sz w:val="24"/>
          <w:szCs w:val="24"/>
          <w:position w:val="3"/>
        </w:rPr>
        <w:t>（</w:t>
      </w:r>
      <w:r>
        <w:rPr>
          <w:rFonts w:ascii="Times New Roman" w:hAnsi="Times New Roman" w:eastAsia="Times New Roman" w:cs="Times New Roman"/>
          <w:sz w:val="24"/>
          <w:szCs w:val="24"/>
          <w:position w:val="3"/>
        </w:rPr>
        <w:t>TL+6</w:t>
      </w:r>
      <w:r>
        <w:rPr>
          <w:rFonts w:ascii="SimSun" w:hAnsi="SimSun" w:eastAsia="SimSun" w:cs="SimSun"/>
          <w:sz w:val="24"/>
          <w:szCs w:val="24"/>
          <w:position w:val="3"/>
        </w:rPr>
        <w:t>）</w:t>
      </w:r>
    </w:p>
    <w:p>
      <w:pPr>
        <w:ind w:left="494"/>
        <w:spacing w:before="189" w:line="218" w:lineRule="auto"/>
        <w:rPr>
          <w:rFonts w:ascii="SimSun" w:hAnsi="SimSun" w:eastAsia="SimSun" w:cs="SimSun"/>
          <w:sz w:val="24"/>
          <w:szCs w:val="24"/>
        </w:rPr>
      </w:pPr>
      <w:r>
        <w:rPr>
          <w:rFonts w:ascii="SimSun" w:hAnsi="SimSun" w:eastAsia="SimSun" w:cs="SimSun"/>
          <w:sz w:val="24"/>
          <w:szCs w:val="24"/>
        </w:rPr>
        <w:t>式中：</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1"/>
        </w:rPr>
        <w:t>p1</w:t>
      </w:r>
      <w:r>
        <w:rPr>
          <w:rFonts w:ascii="Times New Roman" w:hAnsi="Times New Roman" w:eastAsia="Times New Roman" w:cs="Times New Roman"/>
          <w:sz w:val="24"/>
          <w:szCs w:val="24"/>
        </w:rPr>
        <w:t>—</w:t>
      </w:r>
      <w:r>
        <w:rPr>
          <w:rFonts w:ascii="SimSun" w:hAnsi="SimSun" w:eastAsia="SimSun" w:cs="SimSun"/>
          <w:sz w:val="24"/>
          <w:szCs w:val="24"/>
        </w:rPr>
        <w:t>靠近开口处（或窗户）室内某倍</w:t>
      </w:r>
      <w:r>
        <w:rPr>
          <w:rFonts w:ascii="SimSun" w:hAnsi="SimSun" w:eastAsia="SimSun" w:cs="SimSun"/>
          <w:sz w:val="24"/>
          <w:szCs w:val="24"/>
          <w:spacing w:val="-1"/>
        </w:rPr>
        <w:t>频带的声压级或</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A </w:t>
      </w:r>
      <w:r>
        <w:rPr>
          <w:rFonts w:ascii="SimSun" w:hAnsi="SimSun" w:eastAsia="SimSun" w:cs="SimSun"/>
          <w:sz w:val="24"/>
          <w:szCs w:val="24"/>
          <w:spacing w:val="-1"/>
        </w:rPr>
        <w:t>声级，</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1269" w:right="190" w:hanging="2"/>
        <w:spacing w:before="184" w:line="351" w:lineRule="auto"/>
        <w:rPr>
          <w:rFonts w:ascii="SimSun" w:hAnsi="SimSun" w:eastAsia="SimSun" w:cs="SimSun"/>
          <w:sz w:val="24"/>
          <w:szCs w:val="24"/>
        </w:rPr>
      </w:pPr>
      <w:r>
        <w:rPr>
          <w:rFonts w:ascii="Times New Roman" w:hAnsi="Times New Roman" w:eastAsia="Times New Roman" w:cs="Times New Roman"/>
          <w:sz w:val="24"/>
          <w:szCs w:val="24"/>
          <w:spacing w:val="-2"/>
        </w:rPr>
        <w:t>L</w:t>
      </w:r>
      <w:r>
        <w:rPr>
          <w:rFonts w:ascii="Times New Roman" w:hAnsi="Times New Roman" w:eastAsia="Times New Roman" w:cs="Times New Roman"/>
          <w:sz w:val="15"/>
          <w:szCs w:val="15"/>
          <w:spacing w:val="-2"/>
          <w:position w:val="-1"/>
        </w:rPr>
        <w:t>p2</w:t>
      </w:r>
      <w:r>
        <w:rPr>
          <w:rFonts w:ascii="Times New Roman" w:hAnsi="Times New Roman" w:eastAsia="Times New Roman" w:cs="Times New Roman"/>
          <w:sz w:val="24"/>
          <w:szCs w:val="24"/>
          <w:spacing w:val="-2"/>
        </w:rPr>
        <w:t>—</w:t>
      </w:r>
      <w:r>
        <w:rPr>
          <w:rFonts w:ascii="SimSun" w:hAnsi="SimSun" w:eastAsia="SimSun" w:cs="SimSun"/>
          <w:sz w:val="24"/>
          <w:szCs w:val="24"/>
          <w:spacing w:val="-2"/>
        </w:rPr>
        <w:t>靠近开口处（或窗户）室外某倍频带的声压级或</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A </w:t>
      </w:r>
      <w:r>
        <w:rPr>
          <w:rFonts w:ascii="SimSun" w:hAnsi="SimSun" w:eastAsia="SimSun" w:cs="SimSun"/>
          <w:sz w:val="24"/>
          <w:szCs w:val="24"/>
          <w:spacing w:val="-2"/>
        </w:rPr>
        <w:t>声级，</w:t>
      </w:r>
      <w:r>
        <w:rPr>
          <w:rFonts w:ascii="Times New Roman" w:hAnsi="Times New Roman" w:eastAsia="Times New Roman" w:cs="Times New Roman"/>
          <w:sz w:val="24"/>
          <w:szCs w:val="24"/>
          <w:spacing w:val="-2"/>
        </w:rPr>
        <w:t>dB</w:t>
      </w:r>
      <w:r>
        <w:rPr>
          <w:rFonts w:ascii="SimSun" w:hAnsi="SimSun" w:eastAsia="SimSun" w:cs="SimSun"/>
          <w:sz w:val="24"/>
          <w:szCs w:val="24"/>
          <w:spacing w:val="-2"/>
        </w:rPr>
        <w:t>；</w:t>
      </w:r>
      <w:r>
        <w:rPr>
          <w:rFonts w:ascii="SimSun" w:hAnsi="SimSun" w:eastAsia="SimSun" w:cs="SimSun"/>
          <w:sz w:val="24"/>
          <w:szCs w:val="24"/>
        </w:rPr>
        <w:t xml:space="preserve"> </w:t>
      </w:r>
      <w:r>
        <w:rPr>
          <w:rFonts w:ascii="Times New Roman" w:hAnsi="Times New Roman" w:eastAsia="Times New Roman" w:cs="Times New Roman"/>
          <w:sz w:val="24"/>
          <w:szCs w:val="24"/>
          <w:spacing w:val="-1"/>
        </w:rPr>
        <w:t>TL—</w:t>
      </w:r>
      <w:r>
        <w:rPr>
          <w:rFonts w:ascii="SimSun" w:hAnsi="SimSun" w:eastAsia="SimSun" w:cs="SimSun"/>
          <w:sz w:val="24"/>
          <w:szCs w:val="24"/>
          <w:spacing w:val="-1"/>
        </w:rPr>
        <w:t>隔墙（或窗户）倍频带或</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A </w:t>
      </w:r>
      <w:r>
        <w:rPr>
          <w:rFonts w:ascii="SimSun" w:hAnsi="SimSun" w:eastAsia="SimSun" w:cs="SimSun"/>
          <w:sz w:val="24"/>
          <w:szCs w:val="24"/>
          <w:spacing w:val="-1"/>
        </w:rPr>
        <w:t>声级的隔声量，</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firstLine="2302"/>
        <w:spacing w:before="6" w:line="1972" w:lineRule="exact"/>
        <w:rPr/>
      </w:pPr>
      <w:r>
        <w:rPr>
          <w:position w:val="-39"/>
        </w:rPr>
        <w:drawing>
          <wp:inline distT="0" distB="0" distL="0" distR="0">
            <wp:extent cx="2425099" cy="1252070"/>
            <wp:effectExtent l="0" t="0" r="0" b="0"/>
            <wp:docPr id="172" name="IM 172"/>
            <wp:cNvGraphicFramePr/>
            <a:graphic>
              <a:graphicData uri="http://schemas.openxmlformats.org/drawingml/2006/picture">
                <pic:pic>
                  <pic:nvPicPr>
                    <pic:cNvPr id="172" name="IM 172"/>
                    <pic:cNvPicPr/>
                  </pic:nvPicPr>
                  <pic:blipFill>
                    <a:blip r:embed="rId286"/>
                    <a:stretch>
                      <a:fillRect/>
                    </a:stretch>
                  </pic:blipFill>
                  <pic:spPr>
                    <a:xfrm rot="0">
                      <a:off x="0" y="0"/>
                      <a:ext cx="2425099" cy="1252070"/>
                    </a:xfrm>
                    <a:prstGeom prst="rect">
                      <a:avLst/>
                    </a:prstGeom>
                  </pic:spPr>
                </pic:pic>
              </a:graphicData>
            </a:graphic>
          </wp:inline>
        </w:drawing>
      </w:r>
    </w:p>
    <w:p>
      <w:pPr>
        <w:ind w:left="2078"/>
        <w:spacing w:before="192"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35"/>
        </w:rPr>
        <w:t xml:space="preserve"> </w:t>
      </w:r>
      <w:r>
        <w:rPr>
          <w:rFonts w:ascii="Times New Roman" w:hAnsi="Times New Roman" w:eastAsia="Times New Roman" w:cs="Times New Roman"/>
          <w:sz w:val="24"/>
          <w:szCs w:val="24"/>
          <w:b/>
          <w:bCs/>
          <w:spacing w:val="-3"/>
        </w:rPr>
        <w:t>5.4-1        </w:t>
      </w:r>
      <w:r>
        <w:rPr>
          <w:rFonts w:ascii="SimSun" w:hAnsi="SimSun" w:eastAsia="SimSun" w:cs="SimSun"/>
          <w:sz w:val="24"/>
          <w:szCs w:val="24"/>
          <w:b/>
          <w:bCs/>
          <w:spacing w:val="-3"/>
        </w:rPr>
        <w:t>室内声源等效为室外声源图例</w:t>
      </w:r>
    </w:p>
    <w:p>
      <w:pPr>
        <w:spacing w:line="219" w:lineRule="auto"/>
        <w:sectPr>
          <w:headerReference w:type="default" r:id="rId283"/>
          <w:footerReference w:type="default" r:id="rId284"/>
          <w:pgSz w:w="11907" w:h="16840"/>
          <w:pgMar w:top="1567" w:right="1699" w:bottom="1921" w:left="1701" w:header="1221" w:footer="1247" w:gutter="0"/>
        </w:sectPr>
        <w:rPr>
          <w:rFonts w:ascii="SimSun" w:hAnsi="SimSun" w:eastAsia="SimSun" w:cs="SimSun"/>
          <w:sz w:val="24"/>
          <w:szCs w:val="24"/>
        </w:rPr>
      </w:pPr>
    </w:p>
    <w:p>
      <w:pPr>
        <w:ind w:left="13" w:right="58" w:firstLine="480"/>
        <w:spacing w:before="187" w:line="345" w:lineRule="auto"/>
        <w:rPr>
          <w:rFonts w:ascii="SimSun" w:hAnsi="SimSun" w:eastAsia="SimSun" w:cs="SimSun"/>
          <w:sz w:val="24"/>
          <w:szCs w:val="24"/>
        </w:rPr>
      </w:pPr>
      <w:r>
        <w:pict>
          <v:shape id="_x0000_s992" style="position:absolute;margin-left:85.05pt;margin-top:79.11pt;mso-position-vertical-relative:page;mso-position-horizontal-relative:page;width:425.25pt;height:0.75pt;z-index:252129280;" o:allowincell="f" fillcolor="#000000" filled="true" stroked="false" coordsize="8505,15" coordorigin="0,0" path="m,l8505,0l8505,14l0,14l0,0xe"/>
        </w:pict>
      </w:r>
      <w:r>
        <w:rPr>
          <w:rFonts w:ascii="SimSun" w:hAnsi="SimSun" w:eastAsia="SimSun" w:cs="SimSun"/>
          <w:sz w:val="24"/>
          <w:szCs w:val="24"/>
          <w:spacing w:val="7"/>
        </w:rPr>
        <w:t>也可按下式计算某一室内声源靠近围护结构处产生的倍频带声压级或</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7"/>
        </w:rPr>
        <w:t>A</w:t>
      </w:r>
      <w:r>
        <w:rPr>
          <w:rFonts w:ascii="Times New Roman" w:hAnsi="Times New Roman" w:eastAsia="Times New Roman" w:cs="Times New Roman"/>
          <w:sz w:val="24"/>
          <w:szCs w:val="24"/>
          <w:spacing w:val="23"/>
          <w:w w:val="101"/>
        </w:rPr>
        <w:t xml:space="preserve"> </w:t>
      </w:r>
      <w:r>
        <w:rPr>
          <w:rFonts w:ascii="SimSun" w:hAnsi="SimSun" w:eastAsia="SimSun" w:cs="SimSun"/>
          <w:sz w:val="24"/>
          <w:szCs w:val="24"/>
          <w:spacing w:val="7"/>
        </w:rPr>
        <w:t>声</w:t>
      </w:r>
      <w:r>
        <w:rPr>
          <w:rFonts w:ascii="SimSun" w:hAnsi="SimSun" w:eastAsia="SimSun" w:cs="SimSun"/>
          <w:sz w:val="24"/>
          <w:szCs w:val="24"/>
        </w:rPr>
        <w:t xml:space="preserve"> </w:t>
      </w:r>
      <w:r>
        <w:rPr>
          <w:rFonts w:ascii="SimSun" w:hAnsi="SimSun" w:eastAsia="SimSun" w:cs="SimSun"/>
          <w:sz w:val="24"/>
          <w:szCs w:val="24"/>
          <w:spacing w:val="-7"/>
        </w:rPr>
        <w:t>级：</w:t>
      </w:r>
    </w:p>
    <w:p>
      <w:pPr>
        <w:ind w:firstLine="2691"/>
        <w:spacing w:line="736" w:lineRule="exact"/>
        <w:rPr/>
      </w:pPr>
      <w:r>
        <w:rPr>
          <w:position w:val="-14"/>
        </w:rPr>
        <w:drawing>
          <wp:inline distT="0" distB="0" distL="0" distR="0">
            <wp:extent cx="1972055" cy="467868"/>
            <wp:effectExtent l="0" t="0" r="0" b="0"/>
            <wp:docPr id="174" name="IM 174"/>
            <wp:cNvGraphicFramePr/>
            <a:graphic>
              <a:graphicData uri="http://schemas.openxmlformats.org/drawingml/2006/picture">
                <pic:pic>
                  <pic:nvPicPr>
                    <pic:cNvPr id="174" name="IM 174"/>
                    <pic:cNvPicPr/>
                  </pic:nvPicPr>
                  <pic:blipFill>
                    <a:blip r:embed="rId287"/>
                    <a:stretch>
                      <a:fillRect/>
                    </a:stretch>
                  </pic:blipFill>
                  <pic:spPr>
                    <a:xfrm rot="0">
                      <a:off x="0" y="0"/>
                      <a:ext cx="1972055" cy="467868"/>
                    </a:xfrm>
                    <a:prstGeom prst="rect">
                      <a:avLst/>
                    </a:prstGeom>
                  </pic:spPr>
                </pic:pic>
              </a:graphicData>
            </a:graphic>
          </wp:inline>
        </w:drawing>
      </w:r>
    </w:p>
    <w:p>
      <w:pPr>
        <w:ind w:left="494"/>
        <w:spacing w:before="186" w:line="218" w:lineRule="auto"/>
        <w:rPr>
          <w:rFonts w:ascii="SimSun" w:hAnsi="SimSun" w:eastAsia="SimSun" w:cs="SimSun"/>
          <w:sz w:val="24"/>
          <w:szCs w:val="24"/>
        </w:rPr>
      </w:pPr>
      <w:r>
        <w:rPr>
          <w:rFonts w:ascii="SimSun" w:hAnsi="SimSun" w:eastAsia="SimSun" w:cs="SimSun"/>
          <w:sz w:val="24"/>
          <w:szCs w:val="24"/>
        </w:rPr>
        <w:t>式中：</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1"/>
        </w:rPr>
        <w:t>p1</w:t>
      </w:r>
      <w:r>
        <w:rPr>
          <w:rFonts w:ascii="Times New Roman" w:hAnsi="Times New Roman" w:eastAsia="Times New Roman" w:cs="Times New Roman"/>
          <w:sz w:val="24"/>
          <w:szCs w:val="24"/>
        </w:rPr>
        <w:t>—</w:t>
      </w:r>
      <w:r>
        <w:rPr>
          <w:rFonts w:ascii="SimSun" w:hAnsi="SimSun" w:eastAsia="SimSun" w:cs="SimSun"/>
          <w:sz w:val="24"/>
          <w:szCs w:val="24"/>
        </w:rPr>
        <w:t>靠近开口处（或窗户）室内某倍</w:t>
      </w:r>
      <w:r>
        <w:rPr>
          <w:rFonts w:ascii="SimSun" w:hAnsi="SimSun" w:eastAsia="SimSun" w:cs="SimSun"/>
          <w:sz w:val="24"/>
          <w:szCs w:val="24"/>
          <w:spacing w:val="-1"/>
        </w:rPr>
        <w:t>频带的声压级或</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A </w:t>
      </w:r>
      <w:r>
        <w:rPr>
          <w:rFonts w:ascii="SimSun" w:hAnsi="SimSun" w:eastAsia="SimSun" w:cs="SimSun"/>
          <w:sz w:val="24"/>
          <w:szCs w:val="24"/>
          <w:spacing w:val="-1"/>
        </w:rPr>
        <w:t>声级，</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1205"/>
        <w:spacing w:before="184" w:line="219" w:lineRule="auto"/>
        <w:rPr>
          <w:rFonts w:ascii="SimSun" w:hAnsi="SimSun" w:eastAsia="SimSun" w:cs="SimSun"/>
          <w:sz w:val="24"/>
          <w:szCs w:val="24"/>
        </w:rPr>
      </w:pP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1"/>
        </w:rPr>
        <w:t>w</w:t>
      </w:r>
      <w:r>
        <w:rPr>
          <w:rFonts w:ascii="Times New Roman" w:hAnsi="Times New Roman" w:eastAsia="Times New Roman" w:cs="Times New Roman"/>
          <w:sz w:val="24"/>
          <w:szCs w:val="24"/>
          <w:spacing w:val="-1"/>
        </w:rPr>
        <w:t>—</w:t>
      </w:r>
      <w:r>
        <w:rPr>
          <w:rFonts w:ascii="SimSun" w:hAnsi="SimSun" w:eastAsia="SimSun" w:cs="SimSun"/>
          <w:sz w:val="24"/>
          <w:szCs w:val="24"/>
          <w:spacing w:val="-1"/>
        </w:rPr>
        <w:t>点声源声功率级（</w:t>
      </w:r>
      <w:r>
        <w:rPr>
          <w:rFonts w:ascii="Times New Roman" w:hAnsi="Times New Roman" w:eastAsia="Times New Roman" w:cs="Times New Roman"/>
          <w:sz w:val="24"/>
          <w:szCs w:val="24"/>
          <w:spacing w:val="-1"/>
        </w:rPr>
        <w:t>A </w:t>
      </w:r>
      <w:r>
        <w:rPr>
          <w:rFonts w:ascii="SimSun" w:hAnsi="SimSun" w:eastAsia="SimSun" w:cs="SimSun"/>
          <w:sz w:val="24"/>
          <w:szCs w:val="24"/>
          <w:spacing w:val="-1"/>
        </w:rPr>
        <w:t>计权或倍频带</w:t>
      </w:r>
      <w:r>
        <w:rPr>
          <w:rFonts w:ascii="SimSun" w:hAnsi="SimSun" w:eastAsia="SimSun" w:cs="SimSun"/>
          <w:sz w:val="24"/>
          <w:szCs w:val="24"/>
          <w:spacing w:val="8"/>
        </w:rPr>
        <w:t>），</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14" w:firstLine="1194"/>
        <w:spacing w:before="137" w:line="351" w:lineRule="auto"/>
        <w:jc w:val="both"/>
        <w:rPr>
          <w:rFonts w:ascii="SimSun" w:hAnsi="SimSun" w:eastAsia="SimSun" w:cs="SimSun"/>
          <w:sz w:val="24"/>
          <w:szCs w:val="24"/>
        </w:rPr>
      </w:pPr>
      <w:r>
        <w:rPr>
          <w:rFonts w:ascii="Times New Roman" w:hAnsi="Times New Roman" w:eastAsia="Times New Roman" w:cs="Times New Roman"/>
          <w:sz w:val="24"/>
          <w:szCs w:val="24"/>
          <w:spacing w:val="-6"/>
        </w:rPr>
        <w:t>Q—</w:t>
      </w:r>
      <w:r>
        <w:rPr>
          <w:rFonts w:ascii="SimSun" w:hAnsi="SimSun" w:eastAsia="SimSun" w:cs="SimSun"/>
          <w:sz w:val="24"/>
          <w:szCs w:val="24"/>
          <w:spacing w:val="-6"/>
        </w:rPr>
        <w:t>指向性因数；通常对无指向性声源，当声源</w:t>
      </w:r>
      <w:r>
        <w:rPr>
          <w:rFonts w:ascii="SimSun" w:hAnsi="SimSun" w:eastAsia="SimSun" w:cs="SimSun"/>
          <w:sz w:val="24"/>
          <w:szCs w:val="24"/>
          <w:spacing w:val="-7"/>
        </w:rPr>
        <w:t>放在房间中心时，</w:t>
      </w:r>
      <w:r>
        <w:rPr>
          <w:rFonts w:ascii="Times New Roman" w:hAnsi="Times New Roman" w:eastAsia="Times New Roman" w:cs="Times New Roman"/>
          <w:sz w:val="24"/>
          <w:szCs w:val="24"/>
          <w:spacing w:val="-7"/>
        </w:rPr>
        <w:t>Q=1</w:t>
      </w:r>
      <w:r>
        <w:rPr>
          <w:rFonts w:ascii="SimSun" w:hAnsi="SimSun" w:eastAsia="SimSun" w:cs="SimSun"/>
          <w:sz w:val="24"/>
          <w:szCs w:val="24"/>
          <w:spacing w:val="-7"/>
        </w:rPr>
        <w:t>；</w:t>
      </w:r>
      <w:r>
        <w:rPr>
          <w:rFonts w:ascii="SimSun" w:hAnsi="SimSun" w:eastAsia="SimSun" w:cs="SimSun"/>
          <w:sz w:val="24"/>
          <w:szCs w:val="24"/>
        </w:rPr>
        <w:t xml:space="preserve"> </w:t>
      </w:r>
      <w:r>
        <w:rPr>
          <w:rFonts w:ascii="SimSun" w:hAnsi="SimSun" w:eastAsia="SimSun" w:cs="SimSun"/>
          <w:sz w:val="24"/>
          <w:szCs w:val="24"/>
          <w:spacing w:val="-2"/>
        </w:rPr>
        <w:t>当放在一面墙的中心时，</w:t>
      </w:r>
      <w:r>
        <w:rPr>
          <w:rFonts w:ascii="Times New Roman" w:hAnsi="Times New Roman" w:eastAsia="Times New Roman" w:cs="Times New Roman"/>
          <w:sz w:val="24"/>
          <w:szCs w:val="24"/>
          <w:spacing w:val="-2"/>
        </w:rPr>
        <w:t>Q=2</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；当放在两面墙夹角处时，</w:t>
      </w:r>
      <w:r>
        <w:rPr>
          <w:rFonts w:ascii="Times New Roman" w:hAnsi="Times New Roman" w:eastAsia="Times New Roman" w:cs="Times New Roman"/>
          <w:sz w:val="24"/>
          <w:szCs w:val="24"/>
          <w:spacing w:val="-2"/>
        </w:rPr>
        <w:t>Q=4</w:t>
      </w:r>
      <w:r>
        <w:rPr>
          <w:rFonts w:ascii="SimSun" w:hAnsi="SimSun" w:eastAsia="SimSun" w:cs="SimSun"/>
          <w:sz w:val="24"/>
          <w:szCs w:val="24"/>
          <w:spacing w:val="-2"/>
        </w:rPr>
        <w:t>；当放</w:t>
      </w:r>
      <w:r>
        <w:rPr>
          <w:rFonts w:ascii="SimSun" w:hAnsi="SimSun" w:eastAsia="SimSun" w:cs="SimSun"/>
          <w:sz w:val="24"/>
          <w:szCs w:val="24"/>
          <w:spacing w:val="-3"/>
        </w:rPr>
        <w:t>在三面墙夹角</w:t>
      </w:r>
      <w:r>
        <w:rPr>
          <w:rFonts w:ascii="SimSun" w:hAnsi="SimSun" w:eastAsia="SimSun" w:cs="SimSun"/>
          <w:sz w:val="24"/>
          <w:szCs w:val="24"/>
        </w:rPr>
        <w:t xml:space="preserve"> </w:t>
      </w:r>
      <w:r>
        <w:rPr>
          <w:rFonts w:ascii="SimSun" w:hAnsi="SimSun" w:eastAsia="SimSun" w:cs="SimSun"/>
          <w:sz w:val="24"/>
          <w:szCs w:val="24"/>
          <w:spacing w:val="-3"/>
        </w:rPr>
        <w:t>处时，</w:t>
      </w:r>
      <w:r>
        <w:rPr>
          <w:rFonts w:ascii="Times New Roman" w:hAnsi="Times New Roman" w:eastAsia="Times New Roman" w:cs="Times New Roman"/>
          <w:sz w:val="24"/>
          <w:szCs w:val="24"/>
          <w:spacing w:val="-3"/>
        </w:rPr>
        <w:t>Q=8</w:t>
      </w:r>
      <w:r>
        <w:rPr>
          <w:rFonts w:ascii="SimSun" w:hAnsi="SimSun" w:eastAsia="SimSun" w:cs="SimSun"/>
          <w:sz w:val="24"/>
          <w:szCs w:val="24"/>
          <w:spacing w:val="-3"/>
        </w:rPr>
        <w:t>；</w:t>
      </w:r>
    </w:p>
    <w:p>
      <w:pPr>
        <w:ind w:left="14" w:right="56" w:firstLine="1014"/>
        <w:spacing w:before="34" w:line="352" w:lineRule="auto"/>
        <w:rPr>
          <w:rFonts w:ascii="SimSun" w:hAnsi="SimSun" w:eastAsia="SimSun" w:cs="SimSun"/>
          <w:sz w:val="24"/>
          <w:szCs w:val="24"/>
        </w:rPr>
      </w:pPr>
      <w:r>
        <w:rPr>
          <w:rFonts w:ascii="Times New Roman" w:hAnsi="Times New Roman" w:eastAsia="Times New Roman" w:cs="Times New Roman"/>
          <w:sz w:val="24"/>
          <w:szCs w:val="24"/>
          <w:spacing w:val="-3"/>
        </w:rPr>
        <w:t>R—</w:t>
      </w:r>
      <w:r>
        <w:rPr>
          <w:rFonts w:ascii="SimSun" w:hAnsi="SimSun" w:eastAsia="SimSun" w:cs="SimSun"/>
          <w:sz w:val="24"/>
          <w:szCs w:val="24"/>
          <w:spacing w:val="-3"/>
        </w:rPr>
        <w:t>房间常数；</w:t>
      </w:r>
      <w:r>
        <w:rPr>
          <w:rFonts w:ascii="Times New Roman" w:hAnsi="Times New Roman" w:eastAsia="Times New Roman" w:cs="Times New Roman"/>
          <w:sz w:val="24"/>
          <w:szCs w:val="24"/>
          <w:spacing w:val="-3"/>
        </w:rPr>
        <w:t>R=Sα/</w:t>
      </w:r>
      <w:r>
        <w:rPr>
          <w:rFonts w:ascii="SimSun" w:hAnsi="SimSun" w:eastAsia="SimSun" w:cs="SimSun"/>
          <w:sz w:val="24"/>
          <w:szCs w:val="24"/>
          <w:spacing w:val="-3"/>
        </w:rPr>
        <w:t>（</w:t>
      </w:r>
      <w:r>
        <w:rPr>
          <w:rFonts w:ascii="Times New Roman" w:hAnsi="Times New Roman" w:eastAsia="Times New Roman" w:cs="Times New Roman"/>
          <w:sz w:val="24"/>
          <w:szCs w:val="24"/>
          <w:spacing w:val="-3"/>
        </w:rPr>
        <w:t>1-α</w:t>
      </w:r>
      <w:r>
        <w:rPr>
          <w:rFonts w:ascii="SimSun" w:hAnsi="SimSun" w:eastAsia="SimSun" w:cs="SimSun"/>
          <w:sz w:val="24"/>
          <w:szCs w:val="24"/>
          <w:spacing w:val="-3"/>
        </w:rPr>
        <w:t>)</w:t>
      </w:r>
      <w:r>
        <w:rPr>
          <w:rFonts w:ascii="SimSun" w:hAnsi="SimSun" w:eastAsia="SimSun" w:cs="SimSun"/>
          <w:sz w:val="24"/>
          <w:szCs w:val="24"/>
          <w:spacing w:val="44"/>
        </w:rPr>
        <w:t xml:space="preserve"> </w:t>
      </w:r>
      <w:r>
        <w:rPr>
          <w:rFonts w:ascii="SimSun" w:hAnsi="SimSun" w:eastAsia="SimSun" w:cs="SimSun"/>
          <w:sz w:val="24"/>
          <w:szCs w:val="24"/>
          <w:spacing w:val="-3"/>
        </w:rPr>
        <w:t>,</w:t>
      </w:r>
      <w:r>
        <w:rPr>
          <w:rFonts w:ascii="SimSun" w:hAnsi="SimSun" w:eastAsia="SimSun" w:cs="SimSun"/>
          <w:sz w:val="24"/>
          <w:szCs w:val="24"/>
          <w:spacing w:val="71"/>
        </w:rPr>
        <w:t xml:space="preserve"> </w:t>
      </w:r>
      <w:r>
        <w:rPr>
          <w:rFonts w:ascii="Times New Roman" w:hAnsi="Times New Roman" w:eastAsia="Times New Roman" w:cs="Times New Roman"/>
          <w:sz w:val="24"/>
          <w:szCs w:val="24"/>
          <w:spacing w:val="-3"/>
        </w:rPr>
        <w:t>S </w:t>
      </w:r>
      <w:r>
        <w:rPr>
          <w:rFonts w:ascii="SimSun" w:hAnsi="SimSun" w:eastAsia="SimSun" w:cs="SimSun"/>
          <w:sz w:val="24"/>
          <w:szCs w:val="24"/>
          <w:spacing w:val="-3"/>
        </w:rPr>
        <w:t>为房间内表面面积，</w:t>
      </w:r>
      <w:r>
        <w:rPr>
          <w:rFonts w:ascii="Times New Roman" w:hAnsi="Times New Roman" w:eastAsia="Times New Roman" w:cs="Times New Roman"/>
          <w:sz w:val="24"/>
          <w:szCs w:val="24"/>
          <w:spacing w:val="-3"/>
        </w:rPr>
        <w:t>m</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15"/>
          <w:szCs w:val="15"/>
          <w:spacing w:val="-8"/>
          <w:position w:val="7"/>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α</w:t>
      </w:r>
      <w:r>
        <w:rPr>
          <w:rFonts w:ascii="SimSun" w:hAnsi="SimSun" w:eastAsia="SimSun" w:cs="SimSun"/>
          <w:sz w:val="24"/>
          <w:szCs w:val="24"/>
          <w:spacing w:val="-3"/>
        </w:rPr>
        <w:t>为平</w:t>
      </w:r>
      <w:r>
        <w:rPr>
          <w:rFonts w:ascii="SimSun" w:hAnsi="SimSun" w:eastAsia="SimSun" w:cs="SimSun"/>
          <w:sz w:val="24"/>
          <w:szCs w:val="24"/>
          <w:spacing w:val="-4"/>
        </w:rPr>
        <w:t>均吸声</w:t>
      </w:r>
      <w:r>
        <w:rPr>
          <w:rFonts w:ascii="SimSun" w:hAnsi="SimSun" w:eastAsia="SimSun" w:cs="SimSun"/>
          <w:sz w:val="24"/>
          <w:szCs w:val="24"/>
        </w:rPr>
        <w:t xml:space="preserve"> </w:t>
      </w:r>
      <w:r>
        <w:rPr>
          <w:rFonts w:ascii="SimSun" w:hAnsi="SimSun" w:eastAsia="SimSun" w:cs="SimSun"/>
          <w:sz w:val="24"/>
          <w:szCs w:val="24"/>
          <w:spacing w:val="-5"/>
        </w:rPr>
        <w:t>系数；</w:t>
      </w:r>
    </w:p>
    <w:p>
      <w:pPr>
        <w:ind w:left="1026"/>
        <w:spacing w:before="60" w:line="220" w:lineRule="auto"/>
        <w:rPr>
          <w:rFonts w:ascii="SimSun" w:hAnsi="SimSun" w:eastAsia="SimSun" w:cs="SimSun"/>
          <w:sz w:val="24"/>
          <w:szCs w:val="24"/>
        </w:rPr>
      </w:pPr>
      <w:r>
        <w:rPr>
          <w:rFonts w:ascii="Times New Roman" w:hAnsi="Times New Roman" w:eastAsia="Times New Roman" w:cs="Times New Roman"/>
          <w:sz w:val="24"/>
          <w:szCs w:val="24"/>
          <w:spacing w:val="-1"/>
        </w:rPr>
        <w:t>r —</w:t>
      </w:r>
      <w:r>
        <w:rPr>
          <w:rFonts w:ascii="SimSun" w:hAnsi="SimSun" w:eastAsia="SimSun" w:cs="SimSun"/>
          <w:sz w:val="24"/>
          <w:szCs w:val="24"/>
          <w:spacing w:val="-1"/>
        </w:rPr>
        <w:t>声源到靠近围护结构某点处的距离，</w:t>
      </w:r>
      <w:r>
        <w:rPr>
          <w:rFonts w:ascii="Times New Roman" w:hAnsi="Times New Roman" w:eastAsia="Times New Roman" w:cs="Times New Roman"/>
          <w:sz w:val="24"/>
          <w:szCs w:val="24"/>
          <w:spacing w:val="-1"/>
        </w:rPr>
        <w:t>m</w:t>
      </w:r>
      <w:r>
        <w:rPr>
          <w:rFonts w:ascii="SimSun" w:hAnsi="SimSun" w:eastAsia="SimSun" w:cs="SimSun"/>
          <w:sz w:val="24"/>
          <w:szCs w:val="24"/>
          <w:spacing w:val="-1"/>
        </w:rPr>
        <w:t>。</w:t>
      </w:r>
    </w:p>
    <w:p>
      <w:pPr>
        <w:ind w:left="490"/>
        <w:spacing w:before="183" w:line="219" w:lineRule="auto"/>
        <w:rPr>
          <w:rFonts w:ascii="SimSun" w:hAnsi="SimSun" w:eastAsia="SimSun" w:cs="SimSun"/>
          <w:sz w:val="24"/>
          <w:szCs w:val="24"/>
        </w:rPr>
      </w:pPr>
      <w:r>
        <w:rPr>
          <w:rFonts w:ascii="SimSun" w:hAnsi="SimSun" w:eastAsia="SimSun" w:cs="SimSun"/>
          <w:sz w:val="24"/>
          <w:szCs w:val="24"/>
          <w:spacing w:val="-1"/>
        </w:rPr>
        <w:t>然后按下式计算出所有室内声源在围护结构处产生的</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i </w:t>
      </w:r>
      <w:r>
        <w:rPr>
          <w:rFonts w:ascii="SimSun" w:hAnsi="SimSun" w:eastAsia="SimSun" w:cs="SimSun"/>
          <w:sz w:val="24"/>
          <w:szCs w:val="24"/>
          <w:spacing w:val="-1"/>
        </w:rPr>
        <w:t>倍频带叠加声压级：</w:t>
      </w:r>
    </w:p>
    <w:p>
      <w:pPr>
        <w:ind w:firstLine="2647"/>
        <w:spacing w:before="145" w:line="907" w:lineRule="exact"/>
        <w:rPr/>
      </w:pPr>
      <w:r>
        <w:rPr>
          <w:position w:val="-18"/>
        </w:rPr>
        <w:drawing>
          <wp:inline distT="0" distB="0" distL="0" distR="0">
            <wp:extent cx="2023872" cy="576071"/>
            <wp:effectExtent l="0" t="0" r="0" b="0"/>
            <wp:docPr id="176" name="IM 176"/>
            <wp:cNvGraphicFramePr/>
            <a:graphic>
              <a:graphicData uri="http://schemas.openxmlformats.org/drawingml/2006/picture">
                <pic:pic>
                  <pic:nvPicPr>
                    <pic:cNvPr id="176" name="IM 176"/>
                    <pic:cNvPicPr/>
                  </pic:nvPicPr>
                  <pic:blipFill>
                    <a:blip r:embed="rId288"/>
                    <a:stretch>
                      <a:fillRect/>
                    </a:stretch>
                  </pic:blipFill>
                  <pic:spPr>
                    <a:xfrm rot="0">
                      <a:off x="0" y="0"/>
                      <a:ext cx="2023872" cy="576071"/>
                    </a:xfrm>
                    <a:prstGeom prst="rect">
                      <a:avLst/>
                    </a:prstGeom>
                  </pic:spPr>
                </pic:pic>
              </a:graphicData>
            </a:graphic>
          </wp:inline>
        </w:drawing>
      </w:r>
    </w:p>
    <w:p>
      <w:pPr>
        <w:spacing w:before="196" w:line="218" w:lineRule="auto"/>
        <w:jc w:val="right"/>
        <w:rPr>
          <w:rFonts w:ascii="SimSun" w:hAnsi="SimSun" w:eastAsia="SimSun" w:cs="SimSun"/>
          <w:sz w:val="24"/>
          <w:szCs w:val="24"/>
        </w:rPr>
      </w:pPr>
      <w:r>
        <w:rPr>
          <w:rFonts w:ascii="SimSun" w:hAnsi="SimSun" w:eastAsia="SimSun" w:cs="SimSun"/>
          <w:sz w:val="24"/>
          <w:szCs w:val="24"/>
          <w:spacing w:val="-4"/>
        </w:rPr>
        <w:t>式中：</w:t>
      </w:r>
      <w:r>
        <w:rPr>
          <w:rFonts w:ascii="Times New Roman" w:hAnsi="Times New Roman" w:eastAsia="Times New Roman" w:cs="Times New Roman"/>
          <w:sz w:val="24"/>
          <w:szCs w:val="24"/>
          <w:spacing w:val="-4"/>
        </w:rPr>
        <w:t>L</w:t>
      </w:r>
      <w:r>
        <w:rPr>
          <w:rFonts w:ascii="Times New Roman" w:hAnsi="Times New Roman" w:eastAsia="Times New Roman" w:cs="Times New Roman"/>
          <w:sz w:val="15"/>
          <w:szCs w:val="15"/>
          <w:spacing w:val="-4"/>
          <w:position w:val="-1"/>
        </w:rPr>
        <w:t>p1i</w:t>
      </w:r>
      <w:r>
        <w:rPr>
          <w:rFonts w:ascii="SimSun" w:hAnsi="SimSun" w:eastAsia="SimSun" w:cs="SimSun"/>
          <w:sz w:val="24"/>
          <w:szCs w:val="24"/>
          <w:spacing w:val="-2"/>
        </w:rPr>
        <w:t>（</w:t>
      </w:r>
      <w:r>
        <w:rPr>
          <w:rFonts w:ascii="Times New Roman" w:hAnsi="Times New Roman" w:eastAsia="Times New Roman" w:cs="Times New Roman"/>
          <w:sz w:val="24"/>
          <w:szCs w:val="24"/>
          <w:spacing w:val="-2"/>
        </w:rPr>
        <w:t>T</w:t>
      </w:r>
      <w:r>
        <w:rPr>
          <w:rFonts w:ascii="SimSun" w:hAnsi="SimSun" w:eastAsia="SimSun" w:cs="SimSun"/>
          <w:sz w:val="24"/>
          <w:szCs w:val="24"/>
          <w:spacing w:val="-2"/>
        </w:rPr>
        <w:t>）</w:t>
      </w:r>
      <w:r>
        <w:rPr>
          <w:rFonts w:ascii="Times New Roman" w:hAnsi="Times New Roman" w:eastAsia="Times New Roman" w:cs="Times New Roman"/>
          <w:sz w:val="24"/>
          <w:szCs w:val="24"/>
          <w:spacing w:val="-2"/>
        </w:rPr>
        <w:t>—</w:t>
      </w:r>
      <w:r>
        <w:rPr>
          <w:rFonts w:ascii="SimSun" w:hAnsi="SimSun" w:eastAsia="SimSun" w:cs="SimSun"/>
          <w:sz w:val="24"/>
          <w:szCs w:val="24"/>
          <w:spacing w:val="-2"/>
        </w:rPr>
        <w:t>靠近围护结构处室内</w:t>
      </w:r>
      <w:r>
        <w:rPr>
          <w:rFonts w:ascii="Times New Roman" w:hAnsi="Times New Roman" w:eastAsia="Times New Roman" w:cs="Times New Roman"/>
          <w:sz w:val="24"/>
          <w:szCs w:val="24"/>
          <w:spacing w:val="-2"/>
        </w:rPr>
        <w:t>N </w:t>
      </w:r>
      <w:r>
        <w:rPr>
          <w:rFonts w:ascii="SimSun" w:hAnsi="SimSun" w:eastAsia="SimSun" w:cs="SimSun"/>
          <w:sz w:val="24"/>
          <w:szCs w:val="24"/>
          <w:spacing w:val="-2"/>
        </w:rPr>
        <w:t>个声源</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i </w:t>
      </w:r>
      <w:r>
        <w:rPr>
          <w:rFonts w:ascii="SimSun" w:hAnsi="SimSun" w:eastAsia="SimSun" w:cs="SimSun"/>
          <w:sz w:val="24"/>
          <w:szCs w:val="24"/>
          <w:spacing w:val="-2"/>
        </w:rPr>
        <w:t>倍频带的叠加声压级，</w:t>
      </w:r>
      <w:r>
        <w:rPr>
          <w:rFonts w:ascii="Times New Roman" w:hAnsi="Times New Roman" w:eastAsia="Times New Roman" w:cs="Times New Roman"/>
          <w:sz w:val="24"/>
          <w:szCs w:val="24"/>
          <w:spacing w:val="-2"/>
        </w:rPr>
        <w:t>dB</w:t>
      </w:r>
      <w:r>
        <w:rPr>
          <w:rFonts w:ascii="SimSun" w:hAnsi="SimSun" w:eastAsia="SimSun" w:cs="SimSun"/>
          <w:sz w:val="24"/>
          <w:szCs w:val="24"/>
          <w:spacing w:val="-2"/>
        </w:rPr>
        <w:t>；</w:t>
      </w:r>
    </w:p>
    <w:p>
      <w:pPr>
        <w:ind w:left="1030"/>
        <w:spacing w:before="185" w:line="211" w:lineRule="auto"/>
        <w:rPr>
          <w:rFonts w:ascii="SimSun" w:hAnsi="SimSun" w:eastAsia="SimSun" w:cs="SimSun"/>
          <w:sz w:val="24"/>
          <w:szCs w:val="24"/>
        </w:rPr>
      </w:pP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1"/>
        </w:rPr>
        <w:t>p</w:t>
      </w:r>
      <w:r>
        <w:rPr>
          <w:rFonts w:ascii="Times New Roman" w:hAnsi="Times New Roman" w:eastAsia="Times New Roman" w:cs="Times New Roman"/>
          <w:sz w:val="15"/>
          <w:szCs w:val="15"/>
          <w:spacing w:val="2"/>
          <w:position w:val="-1"/>
        </w:rPr>
        <w:t>1</w:t>
      </w:r>
      <w:r>
        <w:rPr>
          <w:rFonts w:ascii="Times New Roman" w:hAnsi="Times New Roman" w:eastAsia="Times New Roman" w:cs="Times New Roman"/>
          <w:sz w:val="15"/>
          <w:szCs w:val="15"/>
          <w:position w:val="-1"/>
        </w:rPr>
        <w:t>ij</w:t>
      </w:r>
      <w:r>
        <w:rPr>
          <w:rFonts w:ascii="Times New Roman" w:hAnsi="Times New Roman" w:eastAsia="Times New Roman" w:cs="Times New Roman"/>
          <w:sz w:val="24"/>
          <w:szCs w:val="24"/>
          <w:spacing w:val="2"/>
        </w:rPr>
        <w:t>—</w:t>
      </w:r>
      <w:r>
        <w:rPr>
          <w:rFonts w:ascii="SimSun" w:hAnsi="SimSun" w:eastAsia="SimSun" w:cs="SimSun"/>
          <w:sz w:val="24"/>
          <w:szCs w:val="24"/>
          <w:spacing w:val="2"/>
        </w:rPr>
        <w:t>室内</w:t>
      </w:r>
      <w:r>
        <w:rPr>
          <w:rFonts w:ascii="Times New Roman" w:hAnsi="Times New Roman" w:eastAsia="Times New Roman" w:cs="Times New Roman"/>
          <w:sz w:val="24"/>
          <w:szCs w:val="24"/>
          <w:spacing w:val="2"/>
        </w:rPr>
        <w:t>j </w:t>
      </w:r>
      <w:r>
        <w:rPr>
          <w:rFonts w:ascii="SimSun" w:hAnsi="SimSun" w:eastAsia="SimSun" w:cs="SimSun"/>
          <w:sz w:val="24"/>
          <w:szCs w:val="24"/>
          <w:spacing w:val="2"/>
        </w:rPr>
        <w:t>声源</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2"/>
        </w:rPr>
        <w:t>i </w:t>
      </w:r>
      <w:r>
        <w:rPr>
          <w:rFonts w:ascii="SimSun" w:hAnsi="SimSun" w:eastAsia="SimSun" w:cs="SimSun"/>
          <w:sz w:val="24"/>
          <w:szCs w:val="24"/>
          <w:spacing w:val="2"/>
        </w:rPr>
        <w:t>倍频带的声压级，</w:t>
      </w:r>
      <w:r>
        <w:rPr>
          <w:rFonts w:ascii="Times New Roman" w:hAnsi="Times New Roman" w:eastAsia="Times New Roman" w:cs="Times New Roman"/>
          <w:sz w:val="24"/>
          <w:szCs w:val="24"/>
        </w:rPr>
        <w:t>dB</w:t>
      </w:r>
      <w:r>
        <w:rPr>
          <w:rFonts w:ascii="SimSun" w:hAnsi="SimSun" w:eastAsia="SimSun" w:cs="SimSun"/>
          <w:sz w:val="24"/>
          <w:szCs w:val="24"/>
          <w:spacing w:val="2"/>
        </w:rPr>
        <w:t>；</w:t>
      </w:r>
    </w:p>
    <w:p>
      <w:pPr>
        <w:ind w:left="1022"/>
        <w:spacing w:before="191" w:line="219" w:lineRule="auto"/>
        <w:rPr>
          <w:rFonts w:ascii="SimSun" w:hAnsi="SimSun" w:eastAsia="SimSun" w:cs="SimSun"/>
          <w:sz w:val="24"/>
          <w:szCs w:val="24"/>
        </w:rPr>
      </w:pPr>
      <w:r>
        <w:rPr>
          <w:rFonts w:ascii="Times New Roman" w:hAnsi="Times New Roman" w:eastAsia="Times New Roman" w:cs="Times New Roman"/>
          <w:sz w:val="24"/>
          <w:szCs w:val="24"/>
        </w:rPr>
        <w:t>N—</w:t>
      </w:r>
      <w:r>
        <w:rPr>
          <w:rFonts w:ascii="SimSun" w:hAnsi="SimSun" w:eastAsia="SimSun" w:cs="SimSun"/>
          <w:sz w:val="24"/>
          <w:szCs w:val="24"/>
        </w:rPr>
        <w:t>室内声源总数。</w:t>
      </w:r>
    </w:p>
    <w:p>
      <w:pPr>
        <w:ind w:left="488"/>
        <w:spacing w:before="184" w:line="219" w:lineRule="auto"/>
        <w:rPr>
          <w:rFonts w:ascii="SimSun" w:hAnsi="SimSun" w:eastAsia="SimSun" w:cs="SimSun"/>
          <w:sz w:val="24"/>
          <w:szCs w:val="24"/>
        </w:rPr>
      </w:pPr>
      <w:r>
        <w:rPr>
          <w:rFonts w:ascii="SimSun" w:hAnsi="SimSun" w:eastAsia="SimSun" w:cs="SimSun"/>
          <w:sz w:val="24"/>
          <w:szCs w:val="24"/>
        </w:rPr>
        <w:t>在室内近似为扩散声场时，按下式计算出靠近室外</w:t>
      </w:r>
      <w:r>
        <w:rPr>
          <w:rFonts w:ascii="SimSun" w:hAnsi="SimSun" w:eastAsia="SimSun" w:cs="SimSun"/>
          <w:sz w:val="24"/>
          <w:szCs w:val="24"/>
          <w:spacing w:val="-1"/>
        </w:rPr>
        <w:t>围护结构处的声压级：</w:t>
      </w:r>
    </w:p>
    <w:p>
      <w:pPr>
        <w:ind w:left="2642"/>
        <w:spacing w:before="137" w:line="323" w:lineRule="exact"/>
        <w:rPr>
          <w:rFonts w:ascii="SimSun" w:hAnsi="SimSun" w:eastAsia="SimSun" w:cs="SimSun"/>
          <w:sz w:val="24"/>
          <w:szCs w:val="24"/>
        </w:rPr>
      </w:pPr>
      <w:r>
        <w:rPr>
          <w:rFonts w:ascii="Times New Roman" w:hAnsi="Times New Roman" w:eastAsia="Times New Roman" w:cs="Times New Roman"/>
          <w:sz w:val="24"/>
          <w:szCs w:val="24"/>
          <w:position w:val="3"/>
        </w:rPr>
        <w:t>L</w:t>
      </w:r>
      <w:r>
        <w:rPr>
          <w:rFonts w:ascii="Times New Roman" w:hAnsi="Times New Roman" w:eastAsia="Times New Roman" w:cs="Times New Roman"/>
          <w:sz w:val="15"/>
          <w:szCs w:val="15"/>
          <w:position w:val="2"/>
        </w:rPr>
        <w:t>p</w:t>
      </w:r>
      <w:r>
        <w:rPr>
          <w:rFonts w:ascii="Times New Roman" w:hAnsi="Times New Roman" w:eastAsia="Times New Roman" w:cs="Times New Roman"/>
          <w:sz w:val="15"/>
          <w:szCs w:val="15"/>
          <w:spacing w:val="1"/>
          <w:position w:val="2"/>
        </w:rPr>
        <w:t>2i</w:t>
      </w:r>
      <w:r>
        <w:rPr>
          <w:rFonts w:ascii="SimSun" w:hAnsi="SimSun" w:eastAsia="SimSun" w:cs="SimSun"/>
          <w:sz w:val="24"/>
          <w:szCs w:val="24"/>
          <w:position w:val="3"/>
        </w:rPr>
        <w:t>（</w:t>
      </w:r>
      <w:r>
        <w:rPr>
          <w:rFonts w:ascii="Times New Roman" w:hAnsi="Times New Roman" w:eastAsia="Times New Roman" w:cs="Times New Roman"/>
          <w:sz w:val="24"/>
          <w:szCs w:val="24"/>
          <w:position w:val="3"/>
        </w:rPr>
        <w:t>T</w:t>
      </w:r>
      <w:r>
        <w:rPr>
          <w:rFonts w:ascii="SimSun" w:hAnsi="SimSun" w:eastAsia="SimSun" w:cs="SimSun"/>
          <w:sz w:val="24"/>
          <w:szCs w:val="24"/>
          <w:position w:val="3"/>
        </w:rPr>
        <w:t>）</w:t>
      </w:r>
      <w:r>
        <w:rPr>
          <w:rFonts w:ascii="Times New Roman" w:hAnsi="Times New Roman" w:eastAsia="Times New Roman" w:cs="Times New Roman"/>
          <w:sz w:val="24"/>
          <w:szCs w:val="24"/>
          <w:position w:val="3"/>
        </w:rPr>
        <w:t>=L</w:t>
      </w:r>
      <w:r>
        <w:rPr>
          <w:rFonts w:ascii="Times New Roman" w:hAnsi="Times New Roman" w:eastAsia="Times New Roman" w:cs="Times New Roman"/>
          <w:sz w:val="15"/>
          <w:szCs w:val="15"/>
          <w:position w:val="2"/>
        </w:rPr>
        <w:t>p1i</w:t>
      </w:r>
      <w:r>
        <w:rPr>
          <w:rFonts w:ascii="SimSun" w:hAnsi="SimSun" w:eastAsia="SimSun" w:cs="SimSun"/>
          <w:sz w:val="24"/>
          <w:szCs w:val="24"/>
          <w:position w:val="3"/>
        </w:rPr>
        <w:t>（</w:t>
      </w:r>
      <w:r>
        <w:rPr>
          <w:rFonts w:ascii="Times New Roman" w:hAnsi="Times New Roman" w:eastAsia="Times New Roman" w:cs="Times New Roman"/>
          <w:sz w:val="24"/>
          <w:szCs w:val="24"/>
          <w:position w:val="3"/>
        </w:rPr>
        <w:t>T</w:t>
      </w:r>
      <w:r>
        <w:rPr>
          <w:rFonts w:ascii="SimSun" w:hAnsi="SimSun" w:eastAsia="SimSun" w:cs="SimSun"/>
          <w:sz w:val="24"/>
          <w:szCs w:val="24"/>
          <w:position w:val="3"/>
        </w:rPr>
        <w:t>）</w:t>
      </w:r>
      <w:r>
        <w:rPr>
          <w:rFonts w:ascii="Times New Roman" w:hAnsi="Times New Roman" w:eastAsia="Times New Roman" w:cs="Times New Roman"/>
          <w:sz w:val="24"/>
          <w:szCs w:val="24"/>
          <w:position w:val="3"/>
        </w:rPr>
        <w:t>-</w:t>
      </w:r>
      <w:r>
        <w:rPr>
          <w:rFonts w:ascii="SimSun" w:hAnsi="SimSun" w:eastAsia="SimSun" w:cs="SimSun"/>
          <w:sz w:val="24"/>
          <w:szCs w:val="24"/>
          <w:position w:val="3"/>
        </w:rPr>
        <w:t>（</w:t>
      </w:r>
      <w:r>
        <w:rPr>
          <w:rFonts w:ascii="Times New Roman" w:hAnsi="Times New Roman" w:eastAsia="Times New Roman" w:cs="Times New Roman"/>
          <w:sz w:val="24"/>
          <w:szCs w:val="24"/>
          <w:position w:val="3"/>
        </w:rPr>
        <w:t>TL</w:t>
      </w:r>
      <w:r>
        <w:rPr>
          <w:rFonts w:ascii="Times New Roman" w:hAnsi="Times New Roman" w:eastAsia="Times New Roman" w:cs="Times New Roman"/>
          <w:sz w:val="15"/>
          <w:szCs w:val="15"/>
          <w:position w:val="2"/>
        </w:rPr>
        <w:t>i</w:t>
      </w:r>
      <w:r>
        <w:rPr>
          <w:rFonts w:ascii="Times New Roman" w:hAnsi="Times New Roman" w:eastAsia="Times New Roman" w:cs="Times New Roman"/>
          <w:sz w:val="24"/>
          <w:szCs w:val="24"/>
          <w:position w:val="3"/>
        </w:rPr>
        <w:t>+6</w:t>
      </w:r>
      <w:r>
        <w:rPr>
          <w:rFonts w:ascii="SimSun" w:hAnsi="SimSun" w:eastAsia="SimSun" w:cs="SimSun"/>
          <w:sz w:val="24"/>
          <w:szCs w:val="24"/>
          <w:position w:val="3"/>
        </w:rPr>
        <w:t>）</w:t>
      </w:r>
    </w:p>
    <w:p>
      <w:pPr>
        <w:spacing w:before="189" w:line="218" w:lineRule="auto"/>
        <w:jc w:val="right"/>
        <w:rPr>
          <w:rFonts w:ascii="SimSun" w:hAnsi="SimSun" w:eastAsia="SimSun" w:cs="SimSun"/>
          <w:sz w:val="24"/>
          <w:szCs w:val="24"/>
        </w:rPr>
      </w:pPr>
      <w:r>
        <w:rPr>
          <w:rFonts w:ascii="SimSun" w:hAnsi="SimSun" w:eastAsia="SimSun" w:cs="SimSun"/>
          <w:sz w:val="24"/>
          <w:szCs w:val="24"/>
          <w:spacing w:val="-4"/>
        </w:rPr>
        <w:t>式中：</w:t>
      </w:r>
      <w:r>
        <w:rPr>
          <w:rFonts w:ascii="Times New Roman" w:hAnsi="Times New Roman" w:eastAsia="Times New Roman" w:cs="Times New Roman"/>
          <w:sz w:val="24"/>
          <w:szCs w:val="24"/>
          <w:spacing w:val="-4"/>
        </w:rPr>
        <w:t>L</w:t>
      </w:r>
      <w:r>
        <w:rPr>
          <w:rFonts w:ascii="Times New Roman" w:hAnsi="Times New Roman" w:eastAsia="Times New Roman" w:cs="Times New Roman"/>
          <w:sz w:val="15"/>
          <w:szCs w:val="15"/>
          <w:spacing w:val="-4"/>
          <w:position w:val="-1"/>
        </w:rPr>
        <w:t>p2i</w:t>
      </w:r>
      <w:r>
        <w:rPr>
          <w:rFonts w:ascii="SimSun" w:hAnsi="SimSun" w:eastAsia="SimSun" w:cs="SimSun"/>
          <w:sz w:val="24"/>
          <w:szCs w:val="24"/>
          <w:spacing w:val="-4"/>
        </w:rPr>
        <w:t>（</w:t>
      </w:r>
      <w:r>
        <w:rPr>
          <w:rFonts w:ascii="Times New Roman" w:hAnsi="Times New Roman" w:eastAsia="Times New Roman" w:cs="Times New Roman"/>
          <w:sz w:val="24"/>
          <w:szCs w:val="24"/>
          <w:spacing w:val="-4"/>
        </w:rPr>
        <w:t>T</w:t>
      </w:r>
      <w:r>
        <w:rPr>
          <w:rFonts w:ascii="SimSun" w:hAnsi="SimSun" w:eastAsia="SimSun" w:cs="SimSun"/>
          <w:sz w:val="24"/>
          <w:szCs w:val="24"/>
          <w:spacing w:val="-4"/>
        </w:rPr>
        <w:t>）</w:t>
      </w:r>
      <w:r>
        <w:rPr>
          <w:rFonts w:ascii="Times New Roman" w:hAnsi="Times New Roman" w:eastAsia="Times New Roman" w:cs="Times New Roman"/>
          <w:sz w:val="24"/>
          <w:szCs w:val="24"/>
          <w:spacing w:val="-4"/>
        </w:rPr>
        <w:t>—</w:t>
      </w:r>
      <w:r>
        <w:rPr>
          <w:rFonts w:ascii="SimSun" w:hAnsi="SimSun" w:eastAsia="SimSun" w:cs="SimSun"/>
          <w:sz w:val="24"/>
          <w:szCs w:val="24"/>
          <w:spacing w:val="-4"/>
        </w:rPr>
        <w:t>靠近围护结构处室外</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N </w:t>
      </w:r>
      <w:r>
        <w:rPr>
          <w:rFonts w:ascii="SimSun" w:hAnsi="SimSun" w:eastAsia="SimSun" w:cs="SimSun"/>
          <w:sz w:val="24"/>
          <w:szCs w:val="24"/>
          <w:spacing w:val="-4"/>
        </w:rPr>
        <w:t>个声源</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4"/>
        </w:rPr>
        <w:t>i </w:t>
      </w:r>
      <w:r>
        <w:rPr>
          <w:rFonts w:ascii="SimSun" w:hAnsi="SimSun" w:eastAsia="SimSun" w:cs="SimSun"/>
          <w:sz w:val="24"/>
          <w:szCs w:val="24"/>
          <w:spacing w:val="-4"/>
        </w:rPr>
        <w:t>倍频带的叠加声压级，</w:t>
      </w:r>
      <w:r>
        <w:rPr>
          <w:rFonts w:ascii="Times New Roman" w:hAnsi="Times New Roman" w:eastAsia="Times New Roman" w:cs="Times New Roman"/>
          <w:sz w:val="24"/>
          <w:szCs w:val="24"/>
          <w:spacing w:val="-4"/>
        </w:rPr>
        <w:t>dB</w:t>
      </w:r>
      <w:r>
        <w:rPr>
          <w:rFonts w:ascii="SimSun" w:hAnsi="SimSun" w:eastAsia="SimSun" w:cs="SimSun"/>
          <w:sz w:val="24"/>
          <w:szCs w:val="24"/>
          <w:spacing w:val="-4"/>
        </w:rPr>
        <w:t>；</w:t>
      </w:r>
    </w:p>
    <w:p>
      <w:pPr>
        <w:ind w:left="1032" w:right="108" w:hanging="2"/>
        <w:spacing w:before="180" w:line="353" w:lineRule="auto"/>
        <w:rPr>
          <w:rFonts w:ascii="SimSun" w:hAnsi="SimSun" w:eastAsia="SimSun" w:cs="SimSun"/>
          <w:sz w:val="24"/>
          <w:szCs w:val="24"/>
        </w:rPr>
      </w:pP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1"/>
        </w:rPr>
        <w:t>p</w:t>
      </w:r>
      <w:r>
        <w:rPr>
          <w:rFonts w:ascii="Times New Roman" w:hAnsi="Times New Roman" w:eastAsia="Times New Roman" w:cs="Times New Roman"/>
          <w:sz w:val="15"/>
          <w:szCs w:val="15"/>
          <w:spacing w:val="1"/>
          <w:position w:val="-1"/>
        </w:rPr>
        <w:t>1i</w:t>
      </w:r>
      <w:r>
        <w:rPr>
          <w:rFonts w:ascii="SimSun" w:hAnsi="SimSun" w:eastAsia="SimSun" w:cs="SimSun"/>
          <w:sz w:val="24"/>
          <w:szCs w:val="24"/>
        </w:rPr>
        <w:t>（</w:t>
      </w:r>
      <w:r>
        <w:rPr>
          <w:rFonts w:ascii="Times New Roman" w:hAnsi="Times New Roman" w:eastAsia="Times New Roman" w:cs="Times New Roman"/>
          <w:sz w:val="24"/>
          <w:szCs w:val="24"/>
        </w:rPr>
        <w:t>T</w:t>
      </w:r>
      <w:r>
        <w:rPr>
          <w:rFonts w:ascii="SimSun" w:hAnsi="SimSun" w:eastAsia="SimSun" w:cs="SimSun"/>
          <w:sz w:val="24"/>
          <w:szCs w:val="24"/>
        </w:rPr>
        <w:t>）</w:t>
      </w:r>
      <w:r>
        <w:rPr>
          <w:rFonts w:ascii="Times New Roman" w:hAnsi="Times New Roman" w:eastAsia="Times New Roman" w:cs="Times New Roman"/>
          <w:sz w:val="24"/>
          <w:szCs w:val="24"/>
        </w:rPr>
        <w:t>—</w:t>
      </w:r>
      <w:r>
        <w:rPr>
          <w:rFonts w:ascii="SimSun" w:hAnsi="SimSun" w:eastAsia="SimSun" w:cs="SimSun"/>
          <w:sz w:val="24"/>
          <w:szCs w:val="24"/>
        </w:rPr>
        <w:t>靠近围护结构处室内</w:t>
      </w:r>
      <w:r>
        <w:rPr>
          <w:rFonts w:ascii="Times New Roman" w:hAnsi="Times New Roman" w:eastAsia="Times New Roman" w:cs="Times New Roman"/>
          <w:sz w:val="24"/>
          <w:szCs w:val="24"/>
        </w:rPr>
        <w:t>N </w:t>
      </w:r>
      <w:r>
        <w:rPr>
          <w:rFonts w:ascii="SimSun" w:hAnsi="SimSun" w:eastAsia="SimSun" w:cs="SimSun"/>
          <w:sz w:val="24"/>
          <w:szCs w:val="24"/>
        </w:rPr>
        <w:t>个声源</w:t>
      </w:r>
      <w:r>
        <w:rPr>
          <w:rFonts w:ascii="SimSun" w:hAnsi="SimSun" w:eastAsia="SimSun" w:cs="SimSun"/>
          <w:sz w:val="24"/>
          <w:szCs w:val="24"/>
          <w:spacing w:val="-53"/>
        </w:rPr>
        <w:t xml:space="preserve"> </w:t>
      </w:r>
      <w:r>
        <w:rPr>
          <w:rFonts w:ascii="Times New Roman" w:hAnsi="Times New Roman" w:eastAsia="Times New Roman" w:cs="Times New Roman"/>
          <w:sz w:val="24"/>
          <w:szCs w:val="24"/>
        </w:rPr>
        <w:t>i </w:t>
      </w:r>
      <w:r>
        <w:rPr>
          <w:rFonts w:ascii="SimSun" w:hAnsi="SimSun" w:eastAsia="SimSun" w:cs="SimSun"/>
          <w:sz w:val="24"/>
          <w:szCs w:val="24"/>
        </w:rPr>
        <w:t>倍频</w:t>
      </w:r>
      <w:r>
        <w:rPr>
          <w:rFonts w:ascii="SimSun" w:hAnsi="SimSun" w:eastAsia="SimSun" w:cs="SimSun"/>
          <w:sz w:val="24"/>
          <w:szCs w:val="24"/>
          <w:spacing w:val="-1"/>
        </w:rPr>
        <w:t>带的叠加声压级，</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r>
        <w:rPr>
          <w:rFonts w:ascii="SimSun" w:hAnsi="SimSun" w:eastAsia="SimSun" w:cs="SimSun"/>
          <w:sz w:val="24"/>
          <w:szCs w:val="24"/>
        </w:rPr>
        <w:t xml:space="preserve"> </w:t>
      </w:r>
      <w:r>
        <w:rPr>
          <w:rFonts w:ascii="Times New Roman" w:hAnsi="Times New Roman" w:eastAsia="Times New Roman" w:cs="Times New Roman"/>
          <w:sz w:val="24"/>
          <w:szCs w:val="24"/>
          <w:spacing w:val="-1"/>
        </w:rPr>
        <w:t>TL</w:t>
      </w:r>
      <w:r>
        <w:rPr>
          <w:rFonts w:ascii="Times New Roman" w:hAnsi="Times New Roman" w:eastAsia="Times New Roman" w:cs="Times New Roman"/>
          <w:sz w:val="15"/>
          <w:szCs w:val="15"/>
          <w:spacing w:val="-1"/>
          <w:position w:val="-1"/>
        </w:rPr>
        <w:t>i</w:t>
      </w:r>
      <w:r>
        <w:rPr>
          <w:rFonts w:ascii="Times New Roman" w:hAnsi="Times New Roman" w:eastAsia="Times New Roman" w:cs="Times New Roman"/>
          <w:sz w:val="24"/>
          <w:szCs w:val="24"/>
          <w:spacing w:val="-1"/>
        </w:rPr>
        <w:t>—</w:t>
      </w:r>
      <w:r>
        <w:rPr>
          <w:rFonts w:ascii="SimSun" w:hAnsi="SimSun" w:eastAsia="SimSun" w:cs="SimSun"/>
          <w:sz w:val="24"/>
          <w:szCs w:val="24"/>
          <w:spacing w:val="-1"/>
        </w:rPr>
        <w:t>围护结构</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i </w:t>
      </w:r>
      <w:r>
        <w:rPr>
          <w:rFonts w:ascii="SimSun" w:hAnsi="SimSun" w:eastAsia="SimSun" w:cs="SimSun"/>
          <w:sz w:val="24"/>
          <w:szCs w:val="24"/>
          <w:spacing w:val="-1"/>
        </w:rPr>
        <w:t>倍频带的隔声量，</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32" w:right="59" w:firstLine="458"/>
        <w:spacing w:before="18" w:line="342" w:lineRule="auto"/>
        <w:rPr>
          <w:rFonts w:ascii="SimSun" w:hAnsi="SimSun" w:eastAsia="SimSun" w:cs="SimSun"/>
          <w:sz w:val="24"/>
          <w:szCs w:val="24"/>
        </w:rPr>
      </w:pPr>
      <w:r>
        <w:rPr>
          <w:rFonts w:ascii="SimSun" w:hAnsi="SimSun" w:eastAsia="SimSun" w:cs="SimSun"/>
          <w:sz w:val="24"/>
          <w:szCs w:val="24"/>
          <w:spacing w:val="3"/>
        </w:rPr>
        <w:t>然后按下式将室外声源的声压级和透过面积换算成等效的</w:t>
      </w:r>
      <w:r>
        <w:rPr>
          <w:rFonts w:ascii="SimSun" w:hAnsi="SimSun" w:eastAsia="SimSun" w:cs="SimSun"/>
          <w:sz w:val="24"/>
          <w:szCs w:val="24"/>
          <w:spacing w:val="2"/>
        </w:rPr>
        <w:t>室外声源，计算出</w:t>
      </w:r>
      <w:r>
        <w:rPr>
          <w:rFonts w:ascii="SimSun" w:hAnsi="SimSun" w:eastAsia="SimSun" w:cs="SimSun"/>
          <w:sz w:val="24"/>
          <w:szCs w:val="24"/>
        </w:rPr>
        <w:t xml:space="preserve"> </w:t>
      </w:r>
      <w:r>
        <w:rPr>
          <w:rFonts w:ascii="SimSun" w:hAnsi="SimSun" w:eastAsia="SimSun" w:cs="SimSun"/>
          <w:sz w:val="24"/>
          <w:szCs w:val="24"/>
          <w:spacing w:val="-1"/>
        </w:rPr>
        <w:t>中心位置位于透声面积（</w:t>
      </w:r>
      <w:r>
        <w:rPr>
          <w:rFonts w:ascii="Times New Roman" w:hAnsi="Times New Roman" w:eastAsia="Times New Roman" w:cs="Times New Roman"/>
          <w:sz w:val="24"/>
          <w:szCs w:val="24"/>
          <w:spacing w:val="-1"/>
        </w:rPr>
        <w:t>S</w:t>
      </w:r>
      <w:r>
        <w:rPr>
          <w:rFonts w:ascii="SimSun" w:hAnsi="SimSun" w:eastAsia="SimSun" w:cs="SimSun"/>
          <w:sz w:val="24"/>
          <w:szCs w:val="24"/>
          <w:spacing w:val="-1"/>
        </w:rPr>
        <w:t>）处的等效声源的倍</w:t>
      </w:r>
      <w:r>
        <w:rPr>
          <w:rFonts w:ascii="SimSun" w:hAnsi="SimSun" w:eastAsia="SimSun" w:cs="SimSun"/>
          <w:sz w:val="24"/>
          <w:szCs w:val="24"/>
          <w:spacing w:val="-2"/>
        </w:rPr>
        <w:t>频带声功率级：</w:t>
      </w:r>
    </w:p>
    <w:p>
      <w:pPr>
        <w:ind w:left="3247"/>
        <w:spacing w:line="323"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3"/>
        </w:rPr>
        <w:t>L</w:t>
      </w:r>
      <w:r>
        <w:rPr>
          <w:rFonts w:ascii="Times New Roman" w:hAnsi="Times New Roman" w:eastAsia="Times New Roman" w:cs="Times New Roman"/>
          <w:sz w:val="15"/>
          <w:szCs w:val="15"/>
          <w:position w:val="2"/>
        </w:rPr>
        <w:t>w</w:t>
      </w:r>
      <w:r>
        <w:rPr>
          <w:rFonts w:ascii="Times New Roman" w:hAnsi="Times New Roman" w:eastAsia="Times New Roman" w:cs="Times New Roman"/>
          <w:sz w:val="24"/>
          <w:szCs w:val="24"/>
          <w:position w:val="3"/>
        </w:rPr>
        <w:t>=L</w:t>
      </w:r>
      <w:r>
        <w:rPr>
          <w:rFonts w:ascii="Times New Roman" w:hAnsi="Times New Roman" w:eastAsia="Times New Roman" w:cs="Times New Roman"/>
          <w:sz w:val="15"/>
          <w:szCs w:val="15"/>
          <w:position w:val="2"/>
        </w:rPr>
        <w:t>p2</w:t>
      </w:r>
      <w:r>
        <w:rPr>
          <w:rFonts w:ascii="SimSun" w:hAnsi="SimSun" w:eastAsia="SimSun" w:cs="SimSun"/>
          <w:sz w:val="24"/>
          <w:szCs w:val="24"/>
          <w:position w:val="3"/>
        </w:rPr>
        <w:t>（</w:t>
      </w:r>
      <w:r>
        <w:rPr>
          <w:rFonts w:ascii="Times New Roman" w:hAnsi="Times New Roman" w:eastAsia="Times New Roman" w:cs="Times New Roman"/>
          <w:sz w:val="24"/>
          <w:szCs w:val="24"/>
          <w:position w:val="3"/>
        </w:rPr>
        <w:t>T</w:t>
      </w:r>
      <w:r>
        <w:rPr>
          <w:rFonts w:ascii="SimSun" w:hAnsi="SimSun" w:eastAsia="SimSun" w:cs="SimSun"/>
          <w:sz w:val="24"/>
          <w:szCs w:val="24"/>
          <w:position w:val="3"/>
        </w:rPr>
        <w:t>）</w:t>
      </w:r>
      <w:r>
        <w:rPr>
          <w:rFonts w:ascii="Times New Roman" w:hAnsi="Times New Roman" w:eastAsia="Times New Roman" w:cs="Times New Roman"/>
          <w:sz w:val="24"/>
          <w:szCs w:val="24"/>
          <w:position w:val="3"/>
        </w:rPr>
        <w:t>+10lgS</w:t>
      </w:r>
    </w:p>
    <w:p>
      <w:pPr>
        <w:spacing w:before="189" w:line="219" w:lineRule="auto"/>
        <w:jc w:val="right"/>
        <w:rPr>
          <w:rFonts w:ascii="SimSun" w:hAnsi="SimSun" w:eastAsia="SimSun" w:cs="SimSun"/>
          <w:sz w:val="24"/>
          <w:szCs w:val="24"/>
        </w:rPr>
      </w:pPr>
      <w:r>
        <w:rPr>
          <w:rFonts w:ascii="SimSun" w:hAnsi="SimSun" w:eastAsia="SimSun" w:cs="SimSun"/>
          <w:sz w:val="24"/>
          <w:szCs w:val="24"/>
          <w:spacing w:val="-17"/>
        </w:rPr>
        <w:t>式中：</w:t>
      </w:r>
      <w:r>
        <w:rPr>
          <w:rFonts w:ascii="Times New Roman" w:hAnsi="Times New Roman" w:eastAsia="Times New Roman" w:cs="Times New Roman"/>
          <w:sz w:val="24"/>
          <w:szCs w:val="24"/>
          <w:spacing w:val="-17"/>
        </w:rPr>
        <w:t>L</w:t>
      </w:r>
      <w:r>
        <w:rPr>
          <w:rFonts w:ascii="Times New Roman" w:hAnsi="Times New Roman" w:eastAsia="Times New Roman" w:cs="Times New Roman"/>
          <w:sz w:val="15"/>
          <w:szCs w:val="15"/>
          <w:spacing w:val="-7"/>
          <w:position w:val="-1"/>
        </w:rPr>
        <w:t>w</w:t>
      </w:r>
      <w:r>
        <w:rPr>
          <w:rFonts w:ascii="Times New Roman" w:hAnsi="Times New Roman" w:eastAsia="Times New Roman" w:cs="Times New Roman"/>
          <w:sz w:val="24"/>
          <w:szCs w:val="24"/>
          <w:spacing w:val="-7"/>
        </w:rPr>
        <w:t>—</w:t>
      </w:r>
      <w:r>
        <w:rPr>
          <w:rFonts w:ascii="SimSun" w:hAnsi="SimSun" w:eastAsia="SimSun" w:cs="SimSun"/>
          <w:sz w:val="24"/>
          <w:szCs w:val="24"/>
          <w:spacing w:val="-7"/>
        </w:rPr>
        <w:t>中心位置位于透声面积（</w:t>
      </w:r>
      <w:r>
        <w:rPr>
          <w:rFonts w:ascii="Times New Roman" w:hAnsi="Times New Roman" w:eastAsia="Times New Roman" w:cs="Times New Roman"/>
          <w:sz w:val="24"/>
          <w:szCs w:val="24"/>
          <w:spacing w:val="-7"/>
        </w:rPr>
        <w:t>S</w:t>
      </w:r>
      <w:r>
        <w:rPr>
          <w:rFonts w:ascii="SimSun" w:hAnsi="SimSun" w:eastAsia="SimSun" w:cs="SimSun"/>
          <w:sz w:val="24"/>
          <w:szCs w:val="24"/>
          <w:spacing w:val="-7"/>
        </w:rPr>
        <w:t>）处的等效声源的倍频带声功率级，</w:t>
      </w:r>
      <w:r>
        <w:rPr>
          <w:rFonts w:ascii="Times New Roman" w:hAnsi="Times New Roman" w:eastAsia="Times New Roman" w:cs="Times New Roman"/>
          <w:sz w:val="24"/>
          <w:szCs w:val="24"/>
          <w:spacing w:val="-7"/>
        </w:rPr>
        <w:t>dB</w:t>
      </w:r>
      <w:r>
        <w:rPr>
          <w:rFonts w:ascii="SimSun" w:hAnsi="SimSun" w:eastAsia="SimSun" w:cs="SimSun"/>
          <w:sz w:val="24"/>
          <w:szCs w:val="24"/>
          <w:spacing w:val="-7"/>
        </w:rPr>
        <w:t>；</w:t>
      </w:r>
    </w:p>
    <w:p>
      <w:pPr>
        <w:ind w:left="1030"/>
        <w:spacing w:before="183" w:line="218" w:lineRule="auto"/>
        <w:rPr>
          <w:rFonts w:ascii="SimSun" w:hAnsi="SimSun" w:eastAsia="SimSun" w:cs="SimSun"/>
          <w:sz w:val="24"/>
          <w:szCs w:val="24"/>
        </w:rPr>
      </w:pP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1"/>
        </w:rPr>
        <w:t>p2</w:t>
      </w:r>
      <w:r>
        <w:rPr>
          <w:rFonts w:ascii="SimSun" w:hAnsi="SimSun" w:eastAsia="SimSun" w:cs="SimSun"/>
          <w:sz w:val="24"/>
          <w:szCs w:val="24"/>
        </w:rPr>
        <w:t>（</w:t>
      </w:r>
      <w:r>
        <w:rPr>
          <w:rFonts w:ascii="Times New Roman" w:hAnsi="Times New Roman" w:eastAsia="Times New Roman" w:cs="Times New Roman"/>
          <w:sz w:val="24"/>
          <w:szCs w:val="24"/>
        </w:rPr>
        <w:t>T</w:t>
      </w:r>
      <w:r>
        <w:rPr>
          <w:rFonts w:ascii="SimSun" w:hAnsi="SimSun" w:eastAsia="SimSun" w:cs="SimSun"/>
          <w:sz w:val="24"/>
          <w:szCs w:val="24"/>
        </w:rPr>
        <w:t>）</w:t>
      </w:r>
      <w:r>
        <w:rPr>
          <w:rFonts w:ascii="Times New Roman" w:hAnsi="Times New Roman" w:eastAsia="Times New Roman" w:cs="Times New Roman"/>
          <w:sz w:val="24"/>
          <w:szCs w:val="24"/>
        </w:rPr>
        <w:t>—</w:t>
      </w:r>
      <w:r>
        <w:rPr>
          <w:rFonts w:ascii="SimSun" w:hAnsi="SimSun" w:eastAsia="SimSun" w:cs="SimSun"/>
          <w:sz w:val="24"/>
          <w:szCs w:val="24"/>
        </w:rPr>
        <w:t>靠近围护结构处室外声源的声压级，</w:t>
      </w:r>
      <w:r>
        <w:rPr>
          <w:rFonts w:ascii="Times New Roman" w:hAnsi="Times New Roman" w:eastAsia="Times New Roman" w:cs="Times New Roman"/>
          <w:sz w:val="24"/>
          <w:szCs w:val="24"/>
        </w:rPr>
        <w:t>dB</w:t>
      </w:r>
      <w:r>
        <w:rPr>
          <w:rFonts w:ascii="SimSun" w:hAnsi="SimSun" w:eastAsia="SimSun" w:cs="SimSun"/>
          <w:sz w:val="24"/>
          <w:szCs w:val="24"/>
        </w:rPr>
        <w:t>；</w:t>
      </w:r>
    </w:p>
    <w:p>
      <w:pPr>
        <w:pStyle w:val="BodyText"/>
        <w:spacing w:line="280" w:lineRule="auto"/>
        <w:rPr/>
      </w:pPr>
      <w:r/>
    </w:p>
    <w:p>
      <w:pPr>
        <w:pStyle w:val="BodyText"/>
        <w:spacing w:line="280" w:lineRule="auto"/>
        <w:rPr/>
      </w:pPr>
      <w:r/>
    </w:p>
    <w:p>
      <w:pPr>
        <w:ind w:left="7"/>
        <w:spacing w:before="62" w:line="227" w:lineRule="auto"/>
        <w:rPr>
          <w:rFonts w:ascii="SimSun" w:hAnsi="SimSun" w:eastAsia="SimSun" w:cs="SimSun"/>
          <w:sz w:val="19"/>
          <w:szCs w:val="19"/>
        </w:rPr>
      </w:pPr>
      <w:r>
        <w:pict>
          <v:shape id="_x0000_s994" style="position:absolute;margin-left:159.33pt;margin-top:2.0945pt;mso-position-vertical-relative:text;mso-position-horizontal-relative:text;width:61pt;height:13.75pt;z-index:25212825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211</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38"/>
          <w:footerReference w:type="default" r:id="rId3"/>
          <w:pgSz w:w="11907" w:h="16840"/>
          <w:pgMar w:top="1567" w:right="1643" w:bottom="400" w:left="1701" w:header="1221" w:footer="0" w:gutter="0"/>
        </w:sectPr>
        <w:rPr>
          <w:rFonts w:ascii="SimSun" w:hAnsi="SimSun" w:eastAsia="SimSun" w:cs="SimSun"/>
          <w:sz w:val="19"/>
          <w:szCs w:val="19"/>
        </w:rPr>
      </w:pPr>
    </w:p>
    <w:p>
      <w:pPr>
        <w:ind w:left="1049"/>
        <w:spacing w:before="168" w:line="220" w:lineRule="auto"/>
        <w:rPr>
          <w:rFonts w:ascii="SimSun" w:hAnsi="SimSun" w:eastAsia="SimSun" w:cs="SimSun"/>
          <w:sz w:val="24"/>
          <w:szCs w:val="24"/>
        </w:rPr>
      </w:pPr>
      <w:r>
        <w:pict>
          <v:shape id="_x0000_s998" style="position:absolute;margin-left:85.05pt;margin-top:78.87pt;mso-position-vertical-relative:page;mso-position-horizontal-relative:page;width:425.25pt;height:0.75pt;z-index:252131328;" o:allowincell="f" fillcolor="#000000" filled="true" stroked="false" coordsize="8505,15" coordorigin="0,0" path="m,l8505,0l8505,14l0,14l0,0xe"/>
        </w:pict>
      </w:r>
      <w:r>
        <w:rPr>
          <w:rFonts w:ascii="Times New Roman" w:hAnsi="Times New Roman" w:eastAsia="Times New Roman" w:cs="Times New Roman"/>
          <w:sz w:val="24"/>
          <w:szCs w:val="24"/>
          <w:spacing w:val="-2"/>
        </w:rPr>
        <w:t>S—</w:t>
      </w:r>
      <w:r>
        <w:rPr>
          <w:rFonts w:ascii="SimSun" w:hAnsi="SimSun" w:eastAsia="SimSun" w:cs="SimSun"/>
          <w:sz w:val="24"/>
          <w:szCs w:val="24"/>
          <w:spacing w:val="-2"/>
        </w:rPr>
        <w:t>透声面积，</w:t>
      </w:r>
      <w:r>
        <w:rPr>
          <w:rFonts w:ascii="Times New Roman" w:hAnsi="Times New Roman" w:eastAsia="Times New Roman" w:cs="Times New Roman"/>
          <w:sz w:val="24"/>
          <w:szCs w:val="24"/>
          <w:spacing w:val="-2"/>
        </w:rPr>
        <w:t>m</w:t>
      </w:r>
      <w:r>
        <w:rPr>
          <w:rFonts w:ascii="Times New Roman" w:hAnsi="Times New Roman" w:eastAsia="Times New Roman" w:cs="Times New Roman"/>
          <w:sz w:val="15"/>
          <w:szCs w:val="15"/>
          <w:spacing w:val="-2"/>
          <w:position w:val="7"/>
        </w:rPr>
        <w:t>2</w:t>
      </w:r>
      <w:r>
        <w:rPr>
          <w:rFonts w:ascii="SimSun" w:hAnsi="SimSun" w:eastAsia="SimSun" w:cs="SimSun"/>
          <w:sz w:val="24"/>
          <w:szCs w:val="24"/>
          <w:spacing w:val="-2"/>
        </w:rPr>
        <w:t>。</w:t>
      </w:r>
    </w:p>
    <w:p>
      <w:pPr>
        <w:ind w:left="499"/>
        <w:spacing w:before="179" w:line="219" w:lineRule="auto"/>
        <w:rPr>
          <w:rFonts w:ascii="SimSun" w:hAnsi="SimSun" w:eastAsia="SimSun" w:cs="SimSun"/>
          <w:sz w:val="24"/>
          <w:szCs w:val="24"/>
        </w:rPr>
      </w:pPr>
      <w:r>
        <w:rPr>
          <w:rFonts w:ascii="SimSun" w:hAnsi="SimSun" w:eastAsia="SimSun" w:cs="SimSun"/>
          <w:sz w:val="24"/>
          <w:szCs w:val="24"/>
          <w:spacing w:val="-1"/>
        </w:rPr>
        <w:t>然后按室外声源预测方法计算预测点处的</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A </w:t>
      </w:r>
      <w:r>
        <w:rPr>
          <w:rFonts w:ascii="SimSun" w:hAnsi="SimSun" w:eastAsia="SimSun" w:cs="SimSun"/>
          <w:sz w:val="24"/>
          <w:szCs w:val="24"/>
          <w:spacing w:val="-1"/>
        </w:rPr>
        <w:t>声级。</w:t>
      </w:r>
    </w:p>
    <w:p>
      <w:pPr>
        <w:ind w:left="496"/>
        <w:spacing w:before="183" w:line="217" w:lineRule="auto"/>
        <w:rPr>
          <w:rFonts w:ascii="SimSun" w:hAnsi="SimSun" w:eastAsia="SimSun" w:cs="SimSun"/>
          <w:sz w:val="24"/>
          <w:szCs w:val="24"/>
        </w:rPr>
      </w:pPr>
      <w:r>
        <w:rPr>
          <w:rFonts w:ascii="SimSun" w:hAnsi="SimSun" w:eastAsia="SimSun" w:cs="SimSun"/>
          <w:sz w:val="24"/>
          <w:szCs w:val="24"/>
          <w:spacing w:val="-1"/>
        </w:rPr>
        <w:t>③工业企业噪声计算</w:t>
      </w:r>
    </w:p>
    <w:p>
      <w:pPr>
        <w:ind w:left="21" w:right="10" w:firstLine="480"/>
        <w:spacing w:before="185" w:line="350" w:lineRule="auto"/>
        <w:rPr>
          <w:rFonts w:ascii="SimSun" w:hAnsi="SimSun" w:eastAsia="SimSun" w:cs="SimSun"/>
          <w:sz w:val="24"/>
          <w:szCs w:val="24"/>
        </w:rPr>
      </w:pPr>
      <w:r>
        <w:rPr>
          <w:rFonts w:ascii="SimSun" w:hAnsi="SimSun" w:eastAsia="SimSun" w:cs="SimSun"/>
          <w:sz w:val="24"/>
          <w:szCs w:val="24"/>
          <w:spacing w:val="-3"/>
        </w:rPr>
        <w:t>设第</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3"/>
        </w:rPr>
        <w:t>i </w:t>
      </w:r>
      <w:r>
        <w:rPr>
          <w:rFonts w:ascii="SimSun" w:hAnsi="SimSun" w:eastAsia="SimSun" w:cs="SimSun"/>
          <w:sz w:val="24"/>
          <w:szCs w:val="24"/>
          <w:spacing w:val="-3"/>
        </w:rPr>
        <w:t>个室外声源在预测点产生的</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A</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声级为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L</w:t>
      </w:r>
      <w:r>
        <w:rPr>
          <w:rFonts w:ascii="Times New Roman" w:hAnsi="Times New Roman" w:eastAsia="Times New Roman" w:cs="Times New Roman"/>
          <w:sz w:val="15"/>
          <w:szCs w:val="15"/>
          <w:spacing w:val="-3"/>
          <w:position w:val="-1"/>
        </w:rPr>
        <w:t>Ai</w:t>
      </w:r>
      <w:r>
        <w:rPr>
          <w:rFonts w:ascii="SimSun" w:hAnsi="SimSun" w:eastAsia="SimSun" w:cs="SimSun"/>
          <w:sz w:val="24"/>
          <w:szCs w:val="24"/>
          <w:spacing w:val="-3"/>
        </w:rPr>
        <w:t>，在</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3"/>
        </w:rPr>
        <w:t>时间内该声源</w:t>
      </w:r>
      <w:r>
        <w:rPr>
          <w:rFonts w:ascii="SimSun" w:hAnsi="SimSun" w:eastAsia="SimSun" w:cs="SimSun"/>
          <w:sz w:val="24"/>
          <w:szCs w:val="24"/>
          <w:spacing w:val="-4"/>
        </w:rPr>
        <w:t>工作时间</w:t>
      </w:r>
      <w:r>
        <w:rPr>
          <w:rFonts w:ascii="SimSun" w:hAnsi="SimSun" w:eastAsia="SimSun" w:cs="SimSun"/>
          <w:sz w:val="24"/>
          <w:szCs w:val="24"/>
        </w:rPr>
        <w:t xml:space="preserve"> </w:t>
      </w:r>
      <w:r>
        <w:rPr>
          <w:rFonts w:ascii="SimSun" w:hAnsi="SimSun" w:eastAsia="SimSun" w:cs="SimSun"/>
          <w:sz w:val="24"/>
          <w:szCs w:val="24"/>
          <w:spacing w:val="-1"/>
        </w:rPr>
        <w:t>为</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t</w:t>
      </w:r>
      <w:r>
        <w:rPr>
          <w:rFonts w:ascii="Times New Roman" w:hAnsi="Times New Roman" w:eastAsia="Times New Roman" w:cs="Times New Roman"/>
          <w:sz w:val="15"/>
          <w:szCs w:val="15"/>
          <w:spacing w:val="-1"/>
          <w:position w:val="-1"/>
        </w:rPr>
        <w:t>i</w:t>
      </w:r>
      <w:r>
        <w:rPr>
          <w:rFonts w:ascii="Times New Roman" w:hAnsi="Times New Roman" w:eastAsia="Times New Roman" w:cs="Times New Roman"/>
          <w:sz w:val="15"/>
          <w:szCs w:val="15"/>
          <w:spacing w:val="-7"/>
          <w:position w:val="-1"/>
        </w:rPr>
        <w:t xml:space="preserve"> </w:t>
      </w:r>
      <w:r>
        <w:rPr>
          <w:rFonts w:ascii="SimSun" w:hAnsi="SimSun" w:eastAsia="SimSun" w:cs="SimSun"/>
          <w:sz w:val="24"/>
          <w:szCs w:val="24"/>
          <w:spacing w:val="-1"/>
        </w:rPr>
        <w:t>；第</w:t>
      </w:r>
      <w:r>
        <w:rPr>
          <w:rFonts w:ascii="Times New Roman" w:hAnsi="Times New Roman" w:eastAsia="Times New Roman" w:cs="Times New Roman"/>
          <w:sz w:val="24"/>
          <w:szCs w:val="24"/>
          <w:spacing w:val="-1"/>
        </w:rPr>
        <w:t>j </w:t>
      </w:r>
      <w:r>
        <w:rPr>
          <w:rFonts w:ascii="SimSun" w:hAnsi="SimSun" w:eastAsia="SimSun" w:cs="SimSun"/>
          <w:sz w:val="24"/>
          <w:szCs w:val="24"/>
          <w:spacing w:val="-1"/>
        </w:rPr>
        <w:t>个等效室外声源在预测点产生的</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A</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1"/>
        </w:rPr>
        <w:t>声级为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1"/>
        </w:rPr>
        <w:t>Aj </w:t>
      </w:r>
      <w:r>
        <w:rPr>
          <w:rFonts w:ascii="SimSun" w:hAnsi="SimSun" w:eastAsia="SimSun" w:cs="SimSun"/>
          <w:sz w:val="24"/>
          <w:szCs w:val="24"/>
          <w:spacing w:val="-1"/>
        </w:rPr>
        <w:t>，在</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T</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1"/>
        </w:rPr>
        <w:t>时间内</w:t>
      </w:r>
      <w:r>
        <w:rPr>
          <w:rFonts w:ascii="SimSun" w:hAnsi="SimSun" w:eastAsia="SimSun" w:cs="SimSun"/>
          <w:sz w:val="24"/>
          <w:szCs w:val="24"/>
          <w:spacing w:val="-2"/>
        </w:rPr>
        <w:t>该声源工作</w:t>
      </w:r>
      <w:r>
        <w:rPr>
          <w:rFonts w:ascii="SimSun" w:hAnsi="SimSun" w:eastAsia="SimSun" w:cs="SimSun"/>
          <w:sz w:val="24"/>
          <w:szCs w:val="24"/>
        </w:rPr>
        <w:t xml:space="preserve"> </w:t>
      </w:r>
      <w:r>
        <w:rPr>
          <w:rFonts w:ascii="SimSun" w:hAnsi="SimSun" w:eastAsia="SimSun" w:cs="SimSun"/>
          <w:sz w:val="24"/>
          <w:szCs w:val="24"/>
          <w:spacing w:val="-2"/>
        </w:rPr>
        <w:t>时间为</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t</w:t>
      </w:r>
      <w:r>
        <w:rPr>
          <w:rFonts w:ascii="Times New Roman" w:hAnsi="Times New Roman" w:eastAsia="Times New Roman" w:cs="Times New Roman"/>
          <w:sz w:val="15"/>
          <w:szCs w:val="15"/>
          <w:spacing w:val="-2"/>
          <w:position w:val="-1"/>
        </w:rPr>
        <w:t>j</w:t>
      </w:r>
      <w:r>
        <w:rPr>
          <w:rFonts w:ascii="Times New Roman" w:hAnsi="Times New Roman" w:eastAsia="Times New Roman" w:cs="Times New Roman"/>
          <w:sz w:val="15"/>
          <w:szCs w:val="15"/>
          <w:spacing w:val="-8"/>
          <w:position w:val="-1"/>
        </w:rPr>
        <w:t xml:space="preserve"> </w:t>
      </w:r>
      <w:r>
        <w:rPr>
          <w:rFonts w:ascii="SimSun" w:hAnsi="SimSun" w:eastAsia="SimSun" w:cs="SimSun"/>
          <w:sz w:val="24"/>
          <w:szCs w:val="24"/>
          <w:spacing w:val="-2"/>
        </w:rPr>
        <w:t>，则拟建工程声源对预测点产生的贡献</w:t>
      </w:r>
      <w:r>
        <w:rPr>
          <w:rFonts w:ascii="SimSun" w:hAnsi="SimSun" w:eastAsia="SimSun" w:cs="SimSun"/>
          <w:sz w:val="24"/>
          <w:szCs w:val="24"/>
          <w:spacing w:val="-3"/>
        </w:rPr>
        <w:t>值（</w:t>
      </w:r>
      <w:r>
        <w:rPr>
          <w:rFonts w:ascii="Times New Roman" w:hAnsi="Times New Roman" w:eastAsia="Times New Roman" w:cs="Times New Roman"/>
          <w:sz w:val="24"/>
          <w:szCs w:val="24"/>
          <w:spacing w:val="-3"/>
        </w:rPr>
        <w:t>L</w:t>
      </w:r>
      <w:r>
        <w:rPr>
          <w:rFonts w:ascii="Times New Roman" w:hAnsi="Times New Roman" w:eastAsia="Times New Roman" w:cs="Times New Roman"/>
          <w:sz w:val="15"/>
          <w:szCs w:val="15"/>
          <w:spacing w:val="-3"/>
          <w:position w:val="-1"/>
        </w:rPr>
        <w:t>eqg </w:t>
      </w:r>
      <w:r>
        <w:rPr>
          <w:rFonts w:ascii="SimSun" w:hAnsi="SimSun" w:eastAsia="SimSun" w:cs="SimSun"/>
          <w:sz w:val="24"/>
          <w:szCs w:val="24"/>
          <w:spacing w:val="-3"/>
        </w:rPr>
        <w:t>）为：</w:t>
      </w:r>
    </w:p>
    <w:p>
      <w:pPr>
        <w:ind w:firstLine="1636"/>
        <w:spacing w:line="991" w:lineRule="exact"/>
        <w:rPr/>
      </w:pPr>
      <w:r>
        <w:rPr>
          <w:position w:val="-19"/>
        </w:rPr>
        <w:drawing>
          <wp:inline distT="0" distB="0" distL="0" distR="0">
            <wp:extent cx="3326891" cy="629411"/>
            <wp:effectExtent l="0" t="0" r="0" b="0"/>
            <wp:docPr id="178" name="IM 178"/>
            <wp:cNvGraphicFramePr/>
            <a:graphic>
              <a:graphicData uri="http://schemas.openxmlformats.org/drawingml/2006/picture">
                <pic:pic>
                  <pic:nvPicPr>
                    <pic:cNvPr id="178" name="IM 178"/>
                    <pic:cNvPicPr/>
                  </pic:nvPicPr>
                  <pic:blipFill>
                    <a:blip r:embed="rId291"/>
                    <a:stretch>
                      <a:fillRect/>
                    </a:stretch>
                  </pic:blipFill>
                  <pic:spPr>
                    <a:xfrm rot="0">
                      <a:off x="0" y="0"/>
                      <a:ext cx="3326891" cy="629411"/>
                    </a:xfrm>
                    <a:prstGeom prst="rect">
                      <a:avLst/>
                    </a:prstGeom>
                  </pic:spPr>
                </pic:pic>
              </a:graphicData>
            </a:graphic>
          </wp:inline>
        </w:drawing>
      </w:r>
    </w:p>
    <w:p>
      <w:pPr>
        <w:ind w:left="503"/>
        <w:spacing w:before="203" w:line="218" w:lineRule="auto"/>
        <w:rPr>
          <w:rFonts w:ascii="SimSun" w:hAnsi="SimSun" w:eastAsia="SimSun" w:cs="SimSun"/>
          <w:sz w:val="24"/>
          <w:szCs w:val="24"/>
        </w:rPr>
      </w:pPr>
      <w:r>
        <w:rPr>
          <w:rFonts w:ascii="SimSun" w:hAnsi="SimSun" w:eastAsia="SimSun" w:cs="SimSun"/>
          <w:sz w:val="24"/>
          <w:szCs w:val="24"/>
        </w:rPr>
        <w:t>式中：</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1"/>
        </w:rPr>
        <w:t>eqg</w:t>
      </w:r>
      <w:r>
        <w:rPr>
          <w:rFonts w:ascii="Times New Roman" w:hAnsi="Times New Roman" w:eastAsia="Times New Roman" w:cs="Times New Roman"/>
          <w:sz w:val="24"/>
          <w:szCs w:val="24"/>
        </w:rPr>
        <w:t>—</w:t>
      </w:r>
      <w:r>
        <w:rPr>
          <w:rFonts w:ascii="SimSun" w:hAnsi="SimSun" w:eastAsia="SimSun" w:cs="SimSun"/>
          <w:sz w:val="24"/>
          <w:szCs w:val="24"/>
        </w:rPr>
        <w:t>建设项目声源在预测点产生的</w:t>
      </w:r>
      <w:r>
        <w:rPr>
          <w:rFonts w:ascii="SimSun" w:hAnsi="SimSun" w:eastAsia="SimSun" w:cs="SimSun"/>
          <w:sz w:val="24"/>
          <w:szCs w:val="24"/>
          <w:spacing w:val="-1"/>
        </w:rPr>
        <w:t>噪声贡献值，</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1216"/>
        <w:spacing w:before="182" w:line="219" w:lineRule="auto"/>
        <w:rPr>
          <w:rFonts w:ascii="SimSun" w:hAnsi="SimSun" w:eastAsia="SimSun" w:cs="SimSun"/>
          <w:sz w:val="24"/>
          <w:szCs w:val="24"/>
        </w:rPr>
      </w:pPr>
      <w:r>
        <w:rPr>
          <w:rFonts w:ascii="Times New Roman" w:hAnsi="Times New Roman" w:eastAsia="Times New Roman" w:cs="Times New Roman"/>
          <w:sz w:val="24"/>
          <w:szCs w:val="24"/>
          <w:spacing w:val="-1"/>
        </w:rPr>
        <w:t>T—</w:t>
      </w:r>
      <w:r>
        <w:rPr>
          <w:rFonts w:ascii="SimSun" w:hAnsi="SimSun" w:eastAsia="SimSun" w:cs="SimSun"/>
          <w:sz w:val="24"/>
          <w:szCs w:val="24"/>
          <w:spacing w:val="-1"/>
        </w:rPr>
        <w:t>用于计算等效声级的时间，</w:t>
      </w:r>
      <w:r>
        <w:rPr>
          <w:rFonts w:ascii="Times New Roman" w:hAnsi="Times New Roman" w:eastAsia="Times New Roman" w:cs="Times New Roman"/>
          <w:sz w:val="24"/>
          <w:szCs w:val="24"/>
          <w:spacing w:val="-1"/>
        </w:rPr>
        <w:t>s</w:t>
      </w:r>
      <w:r>
        <w:rPr>
          <w:rFonts w:ascii="SimSun" w:hAnsi="SimSun" w:eastAsia="SimSun" w:cs="SimSun"/>
          <w:sz w:val="24"/>
          <w:szCs w:val="24"/>
          <w:spacing w:val="-1"/>
        </w:rPr>
        <w:t>；</w:t>
      </w:r>
    </w:p>
    <w:p>
      <w:pPr>
        <w:ind w:left="1206"/>
        <w:spacing w:before="181" w:line="219" w:lineRule="auto"/>
        <w:rPr>
          <w:rFonts w:ascii="SimSun" w:hAnsi="SimSun" w:eastAsia="SimSun" w:cs="SimSun"/>
          <w:sz w:val="24"/>
          <w:szCs w:val="24"/>
        </w:rPr>
      </w:pPr>
      <w:r>
        <w:rPr>
          <w:rFonts w:ascii="Times New Roman" w:hAnsi="Times New Roman" w:eastAsia="Times New Roman" w:cs="Times New Roman"/>
          <w:sz w:val="24"/>
          <w:szCs w:val="24"/>
        </w:rPr>
        <w:t>N—</w:t>
      </w:r>
      <w:r>
        <w:rPr>
          <w:rFonts w:ascii="SimSun" w:hAnsi="SimSun" w:eastAsia="SimSun" w:cs="SimSun"/>
          <w:sz w:val="24"/>
          <w:szCs w:val="24"/>
        </w:rPr>
        <w:t>室外声源个数；</w:t>
      </w:r>
    </w:p>
    <w:p>
      <w:pPr>
        <w:ind w:left="1211"/>
        <w:spacing w:before="183" w:line="219" w:lineRule="auto"/>
        <w:rPr>
          <w:rFonts w:ascii="SimSun" w:hAnsi="SimSun" w:eastAsia="SimSun" w:cs="SimSun"/>
          <w:sz w:val="24"/>
          <w:szCs w:val="24"/>
        </w:rPr>
      </w:pPr>
      <w:r>
        <w:rPr>
          <w:rFonts w:ascii="Times New Roman" w:hAnsi="Times New Roman" w:eastAsia="Times New Roman" w:cs="Times New Roman"/>
          <w:sz w:val="24"/>
          <w:szCs w:val="24"/>
          <w:spacing w:val="-3"/>
        </w:rPr>
        <w:t>t</w:t>
      </w:r>
      <w:r>
        <w:rPr>
          <w:rFonts w:ascii="Times New Roman" w:hAnsi="Times New Roman" w:eastAsia="Times New Roman" w:cs="Times New Roman"/>
          <w:sz w:val="15"/>
          <w:szCs w:val="15"/>
          <w:spacing w:val="-3"/>
        </w:rPr>
        <w:t>i</w:t>
      </w:r>
      <w:r>
        <w:rPr>
          <w:rFonts w:ascii="Times New Roman" w:hAnsi="Times New Roman" w:eastAsia="Times New Roman" w:cs="Times New Roman"/>
          <w:sz w:val="24"/>
          <w:szCs w:val="24"/>
          <w:spacing w:val="-3"/>
        </w:rPr>
        <w:t>—</w:t>
      </w:r>
      <w:r>
        <w:rPr>
          <w:rFonts w:ascii="SimSun" w:hAnsi="SimSun" w:eastAsia="SimSun" w:cs="SimSun"/>
          <w:sz w:val="24"/>
          <w:szCs w:val="24"/>
          <w:spacing w:val="-3"/>
        </w:rPr>
        <w:t>在</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3"/>
        </w:rPr>
        <w:t>时间内</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3"/>
        </w:rPr>
        <w:t>i</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3"/>
        </w:rPr>
        <w:t>声源工作时间，</w:t>
      </w:r>
      <w:r>
        <w:rPr>
          <w:rFonts w:ascii="Times New Roman" w:hAnsi="Times New Roman" w:eastAsia="Times New Roman" w:cs="Times New Roman"/>
          <w:sz w:val="24"/>
          <w:szCs w:val="24"/>
          <w:spacing w:val="-3"/>
        </w:rPr>
        <w:t>s</w:t>
      </w:r>
      <w:r>
        <w:rPr>
          <w:rFonts w:ascii="SimSun" w:hAnsi="SimSun" w:eastAsia="SimSun" w:cs="SimSun"/>
          <w:sz w:val="24"/>
          <w:szCs w:val="24"/>
          <w:spacing w:val="-3"/>
        </w:rPr>
        <w:t>；</w:t>
      </w:r>
    </w:p>
    <w:p>
      <w:pPr>
        <w:ind w:left="1213"/>
        <w:spacing w:before="183" w:line="219" w:lineRule="auto"/>
        <w:rPr>
          <w:rFonts w:ascii="SimSun" w:hAnsi="SimSun" w:eastAsia="SimSun" w:cs="SimSun"/>
          <w:sz w:val="24"/>
          <w:szCs w:val="24"/>
        </w:rPr>
      </w:pPr>
      <w:r>
        <w:rPr>
          <w:rFonts w:ascii="Times New Roman" w:hAnsi="Times New Roman" w:eastAsia="Times New Roman" w:cs="Times New Roman"/>
          <w:sz w:val="24"/>
          <w:szCs w:val="24"/>
          <w:spacing w:val="-1"/>
        </w:rPr>
        <w:t>M—</w:t>
      </w:r>
      <w:r>
        <w:rPr>
          <w:rFonts w:ascii="SimSun" w:hAnsi="SimSun" w:eastAsia="SimSun" w:cs="SimSun"/>
          <w:sz w:val="24"/>
          <w:szCs w:val="24"/>
          <w:spacing w:val="-1"/>
        </w:rPr>
        <w:t>等效室外声源个数；</w:t>
      </w:r>
    </w:p>
    <w:p>
      <w:pPr>
        <w:ind w:left="1211"/>
        <w:spacing w:before="181" w:line="212" w:lineRule="auto"/>
        <w:rPr>
          <w:rFonts w:ascii="SimSun" w:hAnsi="SimSun" w:eastAsia="SimSun" w:cs="SimSun"/>
          <w:sz w:val="24"/>
          <w:szCs w:val="24"/>
        </w:rPr>
      </w:pP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1"/>
        </w:rPr>
        <w:t>j</w:t>
      </w:r>
      <w:r>
        <w:rPr>
          <w:rFonts w:ascii="Times New Roman" w:hAnsi="Times New Roman" w:eastAsia="Times New Roman" w:cs="Times New Roman"/>
          <w:sz w:val="24"/>
          <w:szCs w:val="24"/>
          <w:spacing w:val="1"/>
        </w:rPr>
        <w:t>—</w:t>
      </w:r>
      <w:r>
        <w:rPr>
          <w:rFonts w:ascii="SimSun" w:hAnsi="SimSun" w:eastAsia="SimSun" w:cs="SimSun"/>
          <w:sz w:val="24"/>
          <w:szCs w:val="24"/>
          <w:spacing w:val="1"/>
        </w:rPr>
        <w:t>在</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T</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1"/>
        </w:rPr>
        <w:t>时间内</w:t>
      </w:r>
      <w:r>
        <w:rPr>
          <w:rFonts w:ascii="Times New Roman" w:hAnsi="Times New Roman" w:eastAsia="Times New Roman" w:cs="Times New Roman"/>
          <w:sz w:val="24"/>
          <w:szCs w:val="24"/>
          <w:spacing w:val="1"/>
        </w:rPr>
        <w:t>j </w:t>
      </w:r>
      <w:r>
        <w:rPr>
          <w:rFonts w:ascii="SimSun" w:hAnsi="SimSun" w:eastAsia="SimSun" w:cs="SimSun"/>
          <w:sz w:val="24"/>
          <w:szCs w:val="24"/>
          <w:spacing w:val="1"/>
        </w:rPr>
        <w:t>声源工作时间，</w:t>
      </w:r>
      <w:r>
        <w:rPr>
          <w:rFonts w:ascii="Times New Roman" w:hAnsi="Times New Roman" w:eastAsia="Times New Roman" w:cs="Times New Roman"/>
          <w:sz w:val="24"/>
          <w:szCs w:val="24"/>
          <w:spacing w:val="1"/>
        </w:rPr>
        <w:t>s</w:t>
      </w:r>
      <w:r>
        <w:rPr>
          <w:rFonts w:ascii="SimSun" w:hAnsi="SimSun" w:eastAsia="SimSun" w:cs="SimSun"/>
          <w:sz w:val="24"/>
          <w:szCs w:val="24"/>
          <w:spacing w:val="1"/>
        </w:rPr>
        <w:t>。</w:t>
      </w:r>
    </w:p>
    <w:p>
      <w:pPr>
        <w:ind w:left="496"/>
        <w:spacing w:before="193" w:line="217" w:lineRule="auto"/>
        <w:rPr>
          <w:rFonts w:ascii="SimSun" w:hAnsi="SimSun" w:eastAsia="SimSun" w:cs="SimSun"/>
          <w:sz w:val="24"/>
          <w:szCs w:val="24"/>
        </w:rPr>
      </w:pPr>
      <w:r>
        <w:rPr>
          <w:rFonts w:ascii="SimSun" w:hAnsi="SimSun" w:eastAsia="SimSun" w:cs="SimSun"/>
          <w:sz w:val="24"/>
          <w:szCs w:val="24"/>
          <w:spacing w:val="-2"/>
        </w:rPr>
        <w:t>④预测值计算</w:t>
      </w:r>
    </w:p>
    <w:p>
      <w:pPr>
        <w:ind w:left="509" w:right="1833" w:hanging="9"/>
        <w:spacing w:before="182" w:line="346" w:lineRule="auto"/>
        <w:rPr>
          <w:rFonts w:ascii="SimSun" w:hAnsi="SimSun" w:eastAsia="SimSun" w:cs="SimSun"/>
          <w:sz w:val="24"/>
          <w:szCs w:val="24"/>
        </w:rPr>
      </w:pPr>
      <w:r>
        <w:rPr>
          <w:rFonts w:ascii="SimSun" w:hAnsi="SimSun" w:eastAsia="SimSun" w:cs="SimSun"/>
          <w:sz w:val="24"/>
          <w:szCs w:val="24"/>
          <w:spacing w:val="-2"/>
        </w:rPr>
        <w:t>预测点的贡献值和背景值按能量叠加方法计算得到的声级。</w:t>
      </w:r>
      <w:r>
        <w:rPr>
          <w:rFonts w:ascii="SimSun" w:hAnsi="SimSun" w:eastAsia="SimSun" w:cs="SimSun"/>
          <w:sz w:val="24"/>
          <w:szCs w:val="24"/>
        </w:rPr>
        <w:t xml:space="preserve"> </w:t>
      </w:r>
      <w:r>
        <w:rPr>
          <w:rFonts w:ascii="SimSun" w:hAnsi="SimSun" w:eastAsia="SimSun" w:cs="SimSun"/>
          <w:sz w:val="24"/>
          <w:szCs w:val="24"/>
          <w:spacing w:val="-2"/>
        </w:rPr>
        <w:t>噪声预测值（</w:t>
      </w:r>
      <w:r>
        <w:rPr>
          <w:rFonts w:ascii="Times New Roman" w:hAnsi="Times New Roman" w:eastAsia="Times New Roman" w:cs="Times New Roman"/>
          <w:sz w:val="24"/>
          <w:szCs w:val="24"/>
          <w:spacing w:val="-2"/>
        </w:rPr>
        <w:t>L</w:t>
      </w:r>
      <w:r>
        <w:rPr>
          <w:rFonts w:ascii="Times New Roman" w:hAnsi="Times New Roman" w:eastAsia="Times New Roman" w:cs="Times New Roman"/>
          <w:sz w:val="15"/>
          <w:szCs w:val="15"/>
          <w:spacing w:val="-2"/>
          <w:position w:val="-1"/>
        </w:rPr>
        <w:t>eq</w:t>
      </w:r>
      <w:r>
        <w:rPr>
          <w:rFonts w:ascii="SimSun" w:hAnsi="SimSun" w:eastAsia="SimSun" w:cs="SimSun"/>
          <w:sz w:val="24"/>
          <w:szCs w:val="24"/>
          <w:spacing w:val="-2"/>
        </w:rPr>
        <w:t>）计算公式为：</w:t>
      </w:r>
    </w:p>
    <w:p>
      <w:pPr>
        <w:ind w:firstLine="2431"/>
        <w:spacing w:line="607" w:lineRule="exact"/>
        <w:rPr/>
      </w:pPr>
      <w:r>
        <w:rPr>
          <w:position w:val="-12"/>
        </w:rPr>
        <w:drawing>
          <wp:inline distT="0" distB="0" distL="0" distR="0">
            <wp:extent cx="2319527" cy="385571"/>
            <wp:effectExtent l="0" t="0" r="0" b="0"/>
            <wp:docPr id="180" name="IM 180"/>
            <wp:cNvGraphicFramePr/>
            <a:graphic>
              <a:graphicData uri="http://schemas.openxmlformats.org/drawingml/2006/picture">
                <pic:pic>
                  <pic:nvPicPr>
                    <pic:cNvPr id="180" name="IM 180"/>
                    <pic:cNvPicPr/>
                  </pic:nvPicPr>
                  <pic:blipFill>
                    <a:blip r:embed="rId292"/>
                    <a:stretch>
                      <a:fillRect/>
                    </a:stretch>
                  </pic:blipFill>
                  <pic:spPr>
                    <a:xfrm rot="0">
                      <a:off x="0" y="0"/>
                      <a:ext cx="2319527" cy="385571"/>
                    </a:xfrm>
                    <a:prstGeom prst="rect">
                      <a:avLst/>
                    </a:prstGeom>
                  </pic:spPr>
                </pic:pic>
              </a:graphicData>
            </a:graphic>
          </wp:inline>
        </w:drawing>
      </w:r>
    </w:p>
    <w:p>
      <w:pPr>
        <w:ind w:left="503"/>
        <w:spacing w:before="199" w:line="218"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1"/>
        </w:rPr>
        <w:t>eq</w:t>
      </w:r>
      <w:r>
        <w:rPr>
          <w:rFonts w:ascii="Times New Roman" w:hAnsi="Times New Roman" w:eastAsia="Times New Roman" w:cs="Times New Roman"/>
          <w:sz w:val="24"/>
          <w:szCs w:val="24"/>
          <w:spacing w:val="-1"/>
        </w:rPr>
        <w:t>—</w:t>
      </w:r>
      <w:r>
        <w:rPr>
          <w:rFonts w:ascii="SimSun" w:hAnsi="SimSun" w:eastAsia="SimSun" w:cs="SimSun"/>
          <w:sz w:val="24"/>
          <w:szCs w:val="24"/>
          <w:spacing w:val="-1"/>
        </w:rPr>
        <w:t>预测点的噪声预测值，</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1214" w:right="1683"/>
        <w:spacing w:before="182" w:line="352" w:lineRule="auto"/>
        <w:rPr>
          <w:rFonts w:ascii="SimSun" w:hAnsi="SimSun" w:eastAsia="SimSun" w:cs="SimSun"/>
          <w:sz w:val="24"/>
          <w:szCs w:val="24"/>
        </w:rPr>
      </w:pPr>
      <w:r>
        <w:rPr>
          <w:rFonts w:ascii="Times New Roman" w:hAnsi="Times New Roman" w:eastAsia="Times New Roman" w:cs="Times New Roman"/>
          <w:sz w:val="24"/>
          <w:szCs w:val="24"/>
          <w:spacing w:val="-2"/>
        </w:rPr>
        <w:t>L</w:t>
      </w:r>
      <w:r>
        <w:rPr>
          <w:rFonts w:ascii="Times New Roman" w:hAnsi="Times New Roman" w:eastAsia="Times New Roman" w:cs="Times New Roman"/>
          <w:sz w:val="15"/>
          <w:szCs w:val="15"/>
          <w:spacing w:val="-2"/>
          <w:position w:val="-1"/>
        </w:rPr>
        <w:t>eqg</w:t>
      </w:r>
      <w:r>
        <w:rPr>
          <w:rFonts w:ascii="Times New Roman" w:hAnsi="Times New Roman" w:eastAsia="Times New Roman" w:cs="Times New Roman"/>
          <w:sz w:val="24"/>
          <w:szCs w:val="24"/>
          <w:spacing w:val="-2"/>
        </w:rPr>
        <w:t>—</w:t>
      </w:r>
      <w:r>
        <w:rPr>
          <w:rFonts w:ascii="SimSun" w:hAnsi="SimSun" w:eastAsia="SimSun" w:cs="SimSun"/>
          <w:sz w:val="24"/>
          <w:szCs w:val="24"/>
          <w:spacing w:val="-2"/>
        </w:rPr>
        <w:t>建设项目声源在预测点产生的噪声贡</w:t>
      </w:r>
      <w:r>
        <w:rPr>
          <w:rFonts w:ascii="SimSun" w:hAnsi="SimSun" w:eastAsia="SimSun" w:cs="SimSun"/>
          <w:sz w:val="24"/>
          <w:szCs w:val="24"/>
          <w:spacing w:val="-3"/>
        </w:rPr>
        <w:t>献值，</w:t>
      </w:r>
      <w:r>
        <w:rPr>
          <w:rFonts w:ascii="Times New Roman" w:hAnsi="Times New Roman" w:eastAsia="Times New Roman" w:cs="Times New Roman"/>
          <w:sz w:val="24"/>
          <w:szCs w:val="24"/>
          <w:spacing w:val="-3"/>
        </w:rPr>
        <w:t>dB</w:t>
      </w:r>
      <w:r>
        <w:rPr>
          <w:rFonts w:ascii="SimSun" w:hAnsi="SimSun" w:eastAsia="SimSun" w:cs="SimSun"/>
          <w:sz w:val="24"/>
          <w:szCs w:val="24"/>
          <w:spacing w:val="-3"/>
        </w:rPr>
        <w:t>；</w:t>
      </w:r>
      <w:r>
        <w:rPr>
          <w:rFonts w:ascii="SimSun" w:hAnsi="SimSun" w:eastAsia="SimSun" w:cs="SimSun"/>
          <w:sz w:val="24"/>
          <w:szCs w:val="24"/>
        </w:rPr>
        <w:t xml:space="preserve"> </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1"/>
        </w:rPr>
        <w:t>eqb</w:t>
      </w:r>
      <w:r>
        <w:rPr>
          <w:rFonts w:ascii="Times New Roman" w:hAnsi="Times New Roman" w:eastAsia="Times New Roman" w:cs="Times New Roman"/>
          <w:sz w:val="24"/>
          <w:szCs w:val="24"/>
        </w:rPr>
        <w:t>—</w:t>
      </w:r>
      <w:r>
        <w:rPr>
          <w:rFonts w:ascii="SimSun" w:hAnsi="SimSun" w:eastAsia="SimSun" w:cs="SimSun"/>
          <w:sz w:val="24"/>
          <w:szCs w:val="24"/>
        </w:rPr>
        <w:t>预测点的背景噪声值，</w:t>
      </w:r>
      <w:r>
        <w:rPr>
          <w:rFonts w:ascii="Times New Roman" w:hAnsi="Times New Roman" w:eastAsia="Times New Roman" w:cs="Times New Roman"/>
          <w:sz w:val="24"/>
          <w:szCs w:val="24"/>
        </w:rPr>
        <w:t>dB</w:t>
      </w:r>
      <w:r>
        <w:rPr>
          <w:rFonts w:ascii="SimSun" w:hAnsi="SimSun" w:eastAsia="SimSun" w:cs="SimSun"/>
          <w:sz w:val="24"/>
          <w:szCs w:val="24"/>
        </w:rPr>
        <w:t>。</w:t>
      </w:r>
    </w:p>
    <w:p>
      <w:pPr>
        <w:ind w:left="510"/>
        <w:spacing w:before="17"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）影响声波传播的各类参数</w:t>
      </w:r>
    </w:p>
    <w:p>
      <w:pPr>
        <w:ind w:left="499"/>
        <w:spacing w:before="181" w:line="219" w:lineRule="auto"/>
        <w:rPr>
          <w:rFonts w:ascii="SimSun" w:hAnsi="SimSun" w:eastAsia="SimSun" w:cs="SimSun"/>
          <w:sz w:val="24"/>
          <w:szCs w:val="24"/>
        </w:rPr>
      </w:pPr>
      <w:r>
        <w:rPr>
          <w:rFonts w:ascii="SimSun" w:hAnsi="SimSun" w:eastAsia="SimSun" w:cs="SimSun"/>
          <w:sz w:val="24"/>
          <w:szCs w:val="24"/>
          <w:spacing w:val="-2"/>
        </w:rPr>
        <w:t>本项目影响声波传播的各类参量见</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5.4-2</w:t>
      </w:r>
      <w:r>
        <w:rPr>
          <w:rFonts w:ascii="SimSun" w:hAnsi="SimSun" w:eastAsia="SimSun" w:cs="SimSun"/>
          <w:sz w:val="24"/>
          <w:szCs w:val="24"/>
          <w:spacing w:val="-2"/>
        </w:rPr>
        <w:t>。</w:t>
      </w:r>
    </w:p>
    <w:p>
      <w:pPr>
        <w:ind w:left="2182"/>
        <w:spacing w:before="184"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9"/>
        </w:rPr>
        <w:t xml:space="preserve"> </w:t>
      </w:r>
      <w:r>
        <w:rPr>
          <w:rFonts w:ascii="Times New Roman" w:hAnsi="Times New Roman" w:eastAsia="Times New Roman" w:cs="Times New Roman"/>
          <w:sz w:val="24"/>
          <w:szCs w:val="24"/>
          <w:b/>
          <w:bCs/>
          <w:spacing w:val="-2"/>
        </w:rPr>
        <w:t>5.4-2        </w:t>
      </w:r>
      <w:r>
        <w:rPr>
          <w:rFonts w:ascii="SimSun" w:hAnsi="SimSun" w:eastAsia="SimSun" w:cs="SimSun"/>
          <w:sz w:val="24"/>
          <w:szCs w:val="24"/>
          <w:b/>
          <w:bCs/>
          <w:spacing w:val="-2"/>
        </w:rPr>
        <w:t>影响声波传播的各类参量表</w:t>
      </w:r>
    </w:p>
    <w:tbl>
      <w:tblPr>
        <w:tblStyle w:val="TableNormal"/>
        <w:tblW w:w="851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415"/>
        <w:gridCol w:w="2977"/>
        <w:gridCol w:w="3125"/>
      </w:tblGrid>
      <w:tr>
        <w:trPr>
          <w:trHeight w:val="280" w:hRule="atLeast"/>
        </w:trPr>
        <w:tc>
          <w:tcPr>
            <w:tcW w:w="2415" w:type="dxa"/>
            <w:vAlign w:val="top"/>
          </w:tcPr>
          <w:p>
            <w:pPr>
              <w:pStyle w:val="TableText"/>
              <w:ind w:left="587"/>
              <w:spacing w:before="36" w:line="216" w:lineRule="auto"/>
              <w:rPr/>
            </w:pPr>
            <w:r>
              <w:rPr>
                <w:spacing w:val="7"/>
              </w:rPr>
              <w:t>项目所在区域</w:t>
            </w:r>
          </w:p>
        </w:tc>
        <w:tc>
          <w:tcPr>
            <w:tcW w:w="2977" w:type="dxa"/>
            <w:vAlign w:val="top"/>
          </w:tcPr>
          <w:p>
            <w:pPr>
              <w:pStyle w:val="TableText"/>
              <w:ind w:left="1285"/>
              <w:spacing w:before="36" w:line="216" w:lineRule="auto"/>
              <w:rPr/>
            </w:pPr>
            <w:r>
              <w:rPr>
                <w:spacing w:val="3"/>
              </w:rPr>
              <w:t>参量</w:t>
            </w:r>
          </w:p>
        </w:tc>
        <w:tc>
          <w:tcPr>
            <w:tcW w:w="3125" w:type="dxa"/>
            <w:vAlign w:val="top"/>
          </w:tcPr>
          <w:p>
            <w:pPr>
              <w:pStyle w:val="TableText"/>
              <w:ind w:left="1359"/>
              <w:spacing w:before="36" w:line="216" w:lineRule="auto"/>
              <w:rPr/>
            </w:pPr>
            <w:r>
              <w:rPr>
                <w:spacing w:val="3"/>
              </w:rPr>
              <w:t>取值</w:t>
            </w:r>
          </w:p>
        </w:tc>
      </w:tr>
      <w:tr>
        <w:trPr>
          <w:trHeight w:val="276" w:hRule="atLeast"/>
        </w:trPr>
        <w:tc>
          <w:tcPr>
            <w:tcW w:w="2415" w:type="dxa"/>
            <w:vAlign w:val="top"/>
            <w:vMerge w:val="restart"/>
            <w:tcBorders>
              <w:bottom w:val="nil"/>
            </w:tcBorders>
          </w:tcPr>
          <w:p>
            <w:pPr>
              <w:spacing w:line="252" w:lineRule="auto"/>
              <w:rPr>
                <w:rFonts w:ascii="Arial"/>
                <w:sz w:val="21"/>
              </w:rPr>
            </w:pPr>
            <w:r/>
          </w:p>
          <w:p>
            <w:pPr>
              <w:pStyle w:val="TableText"/>
              <w:ind w:left="395" w:right="51" w:hanging="338"/>
              <w:spacing w:before="65" w:line="254" w:lineRule="auto"/>
              <w:rPr/>
            </w:pPr>
            <w:r>
              <w:rPr>
                <w:spacing w:val="9"/>
              </w:rPr>
              <w:t>锡林郭勒盟正镶白旗明安</w:t>
            </w:r>
            <w:r>
              <w:rPr>
                <w:spacing w:val="1"/>
              </w:rPr>
              <w:t xml:space="preserve"> </w:t>
            </w:r>
            <w:r>
              <w:rPr>
                <w:spacing w:val="6"/>
              </w:rPr>
              <w:t>图镇乌宁巴图西街</w:t>
            </w:r>
          </w:p>
        </w:tc>
        <w:tc>
          <w:tcPr>
            <w:tcW w:w="2977" w:type="dxa"/>
            <w:vAlign w:val="top"/>
          </w:tcPr>
          <w:p>
            <w:pPr>
              <w:pStyle w:val="TableText"/>
              <w:ind w:left="1074"/>
              <w:spacing w:before="34" w:line="214" w:lineRule="auto"/>
              <w:rPr/>
            </w:pPr>
            <w:r>
              <w:rPr>
                <w:spacing w:val="6"/>
              </w:rPr>
              <w:t>主导风向</w:t>
            </w:r>
          </w:p>
        </w:tc>
        <w:tc>
          <w:tcPr>
            <w:tcW w:w="3125" w:type="dxa"/>
            <w:vAlign w:val="top"/>
          </w:tcPr>
          <w:p>
            <w:pPr>
              <w:ind w:left="1462"/>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W</w:t>
            </w:r>
          </w:p>
        </w:tc>
      </w:tr>
      <w:tr>
        <w:trPr>
          <w:trHeight w:val="277" w:hRule="atLeast"/>
        </w:trPr>
        <w:tc>
          <w:tcPr>
            <w:tcW w:w="2415" w:type="dxa"/>
            <w:vAlign w:val="top"/>
            <w:vMerge w:val="continue"/>
            <w:tcBorders>
              <w:top w:val="nil"/>
              <w:bottom w:val="nil"/>
            </w:tcBorders>
          </w:tcPr>
          <w:p>
            <w:pPr>
              <w:rPr>
                <w:rFonts w:ascii="Arial"/>
                <w:sz w:val="21"/>
              </w:rPr>
            </w:pPr>
            <w:r/>
          </w:p>
        </w:tc>
        <w:tc>
          <w:tcPr>
            <w:tcW w:w="2977" w:type="dxa"/>
            <w:vAlign w:val="top"/>
          </w:tcPr>
          <w:p>
            <w:pPr>
              <w:pStyle w:val="TableText"/>
              <w:ind w:left="513"/>
              <w:spacing w:before="34" w:line="215" w:lineRule="auto"/>
              <w:rPr/>
            </w:pPr>
            <w:r>
              <w:rPr>
                <w:spacing w:val="5"/>
              </w:rPr>
              <w:t>多年平均风速（</w:t>
            </w:r>
            <w:r>
              <w:rPr>
                <w:rFonts w:ascii="Times New Roman" w:hAnsi="Times New Roman" w:eastAsia="Times New Roman" w:cs="Times New Roman"/>
                <w:spacing w:val="5"/>
              </w:rPr>
              <w:t>m/s</w:t>
            </w:r>
            <w:r>
              <w:rPr>
                <w:spacing w:val="5"/>
              </w:rPr>
              <w:t>）</w:t>
            </w:r>
          </w:p>
        </w:tc>
        <w:tc>
          <w:tcPr>
            <w:tcW w:w="3125" w:type="dxa"/>
            <w:vAlign w:val="top"/>
          </w:tcPr>
          <w:p>
            <w:pPr>
              <w:ind w:left="143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3.2</w:t>
            </w:r>
          </w:p>
        </w:tc>
      </w:tr>
      <w:tr>
        <w:trPr>
          <w:trHeight w:val="276" w:hRule="atLeast"/>
        </w:trPr>
        <w:tc>
          <w:tcPr>
            <w:tcW w:w="2415" w:type="dxa"/>
            <w:vAlign w:val="top"/>
            <w:vMerge w:val="continue"/>
            <w:tcBorders>
              <w:top w:val="nil"/>
              <w:bottom w:val="nil"/>
            </w:tcBorders>
          </w:tcPr>
          <w:p>
            <w:pPr>
              <w:rPr>
                <w:rFonts w:ascii="Arial"/>
                <w:sz w:val="21"/>
              </w:rPr>
            </w:pPr>
            <w:r/>
          </w:p>
        </w:tc>
        <w:tc>
          <w:tcPr>
            <w:tcW w:w="2977" w:type="dxa"/>
            <w:vAlign w:val="top"/>
          </w:tcPr>
          <w:p>
            <w:pPr>
              <w:pStyle w:val="TableText"/>
              <w:ind w:left="653"/>
              <w:spacing w:before="35" w:line="213" w:lineRule="auto"/>
              <w:rPr/>
            </w:pPr>
            <w:r>
              <w:rPr>
                <w:spacing w:val="5"/>
              </w:rPr>
              <w:t>年平均气温</w:t>
            </w:r>
            <w:r>
              <w:rPr>
                <w:spacing w:val="19"/>
              </w:rPr>
              <w:t xml:space="preserve"> </w:t>
            </w:r>
            <w:r>
              <w:rPr>
                <w:spacing w:val="5"/>
              </w:rPr>
              <w:t>(</w:t>
            </w:r>
            <w:r>
              <w:rPr>
                <w:rFonts w:ascii="Times New Roman" w:hAnsi="Times New Roman" w:eastAsia="Times New Roman" w:cs="Times New Roman"/>
                <w:spacing w:val="5"/>
              </w:rPr>
              <w:t>℃</w:t>
            </w:r>
            <w:r>
              <w:rPr>
                <w:spacing w:val="5"/>
              </w:rPr>
              <w:t>)</w:t>
            </w:r>
          </w:p>
        </w:tc>
        <w:tc>
          <w:tcPr>
            <w:tcW w:w="3125" w:type="dxa"/>
            <w:vAlign w:val="top"/>
          </w:tcPr>
          <w:p>
            <w:pPr>
              <w:ind w:left="143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2.8</w:t>
            </w:r>
          </w:p>
        </w:tc>
      </w:tr>
      <w:tr>
        <w:trPr>
          <w:trHeight w:val="279" w:hRule="atLeast"/>
        </w:trPr>
        <w:tc>
          <w:tcPr>
            <w:tcW w:w="2415" w:type="dxa"/>
            <w:vAlign w:val="top"/>
            <w:vMerge w:val="continue"/>
            <w:tcBorders>
              <w:top w:val="nil"/>
            </w:tcBorders>
          </w:tcPr>
          <w:p>
            <w:pPr>
              <w:rPr>
                <w:rFonts w:ascii="Arial"/>
                <w:sz w:val="21"/>
              </w:rPr>
            </w:pPr>
            <w:r/>
          </w:p>
        </w:tc>
        <w:tc>
          <w:tcPr>
            <w:tcW w:w="2977" w:type="dxa"/>
            <w:vAlign w:val="top"/>
          </w:tcPr>
          <w:p>
            <w:pPr>
              <w:pStyle w:val="TableText"/>
              <w:ind w:left="461"/>
              <w:spacing w:before="37" w:line="214" w:lineRule="auto"/>
              <w:rPr/>
            </w:pPr>
            <w:r>
              <w:rPr>
                <w:spacing w:val="7"/>
              </w:rPr>
              <w:t>年平均相对湿度（</w:t>
            </w:r>
            <w:r>
              <w:rPr>
                <w:rFonts w:ascii="Times New Roman" w:hAnsi="Times New Roman" w:eastAsia="Times New Roman" w:cs="Times New Roman"/>
                <w:spacing w:val="7"/>
              </w:rPr>
              <w:t>%</w:t>
            </w:r>
            <w:r>
              <w:rPr>
                <w:spacing w:val="7"/>
              </w:rPr>
              <w:t>）</w:t>
            </w:r>
          </w:p>
        </w:tc>
        <w:tc>
          <w:tcPr>
            <w:tcW w:w="3125" w:type="dxa"/>
            <w:vAlign w:val="top"/>
          </w:tcPr>
          <w:p>
            <w:pPr>
              <w:ind w:left="1376"/>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59%</w:t>
            </w:r>
          </w:p>
        </w:tc>
      </w:tr>
    </w:tbl>
    <w:p>
      <w:pPr>
        <w:pStyle w:val="BodyText"/>
        <w:spacing w:line="213" w:lineRule="exact"/>
        <w:rPr>
          <w:sz w:val="18"/>
        </w:rPr>
      </w:pPr>
      <w:r/>
    </w:p>
    <w:p>
      <w:pPr>
        <w:spacing w:line="213" w:lineRule="exact"/>
        <w:sectPr>
          <w:headerReference w:type="default" r:id="rId289"/>
          <w:footerReference w:type="default" r:id="rId290"/>
          <w:pgSz w:w="11907" w:h="16840"/>
          <w:pgMar w:top="1567" w:right="1692" w:bottom="1921" w:left="1692" w:header="1221" w:footer="1247" w:gutter="0"/>
        </w:sectPr>
        <w:rPr>
          <w:sz w:val="18"/>
          <w:szCs w:val="18"/>
        </w:rPr>
      </w:pPr>
    </w:p>
    <w:p>
      <w:pPr>
        <w:spacing w:line="151" w:lineRule="exact"/>
        <w:rPr/>
      </w:pPr>
      <w:r>
        <w:pict>
          <v:shape id="_x0000_s1002" style="position:absolute;margin-left:85.05pt;margin-top:79.11pt;mso-position-vertical-relative:page;mso-position-horizontal-relative:page;width:425.25pt;height:0.75pt;z-index:252135424;" o:allowincell="f" fillcolor="#000000" filled="true" stroked="false" coordsize="8505,15" coordorigin="0,0" path="m,l8505,0l8505,14l0,14l0,0xe"/>
        </w:pict>
      </w:r>
      <w:r/>
    </w:p>
    <w:tbl>
      <w:tblPr>
        <w:tblStyle w:val="TableNormal"/>
        <w:tblW w:w="8517" w:type="dxa"/>
        <w:tblInd w:w="1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415"/>
        <w:gridCol w:w="2977"/>
        <w:gridCol w:w="3125"/>
      </w:tblGrid>
      <w:tr>
        <w:trPr>
          <w:trHeight w:val="281" w:hRule="atLeast"/>
        </w:trPr>
        <w:tc>
          <w:tcPr>
            <w:tcW w:w="2415" w:type="dxa"/>
            <w:vAlign w:val="top"/>
          </w:tcPr>
          <w:p>
            <w:pPr>
              <w:rPr>
                <w:rFonts w:ascii="Arial"/>
                <w:sz w:val="21"/>
              </w:rPr>
            </w:pPr>
            <w:r/>
          </w:p>
        </w:tc>
        <w:tc>
          <w:tcPr>
            <w:tcW w:w="2977" w:type="dxa"/>
            <w:vAlign w:val="top"/>
          </w:tcPr>
          <w:p>
            <w:pPr>
              <w:pStyle w:val="TableText"/>
              <w:ind w:left="497"/>
              <w:spacing w:before="36" w:line="216" w:lineRule="auto"/>
              <w:rPr/>
            </w:pPr>
            <w:r>
              <w:rPr>
                <w:spacing w:val="9"/>
              </w:rPr>
              <w:t>年平均大气压（</w:t>
            </w:r>
            <w:r>
              <w:rPr>
                <w:rFonts w:ascii="Times New Roman" w:hAnsi="Times New Roman" w:eastAsia="Times New Roman" w:cs="Times New Roman"/>
              </w:rPr>
              <w:t>hPa</w:t>
            </w:r>
            <w:r>
              <w:rPr>
                <w:spacing w:val="9"/>
              </w:rPr>
              <w:t>）</w:t>
            </w:r>
          </w:p>
        </w:tc>
        <w:tc>
          <w:tcPr>
            <w:tcW w:w="3125" w:type="dxa"/>
            <w:vAlign w:val="top"/>
          </w:tcPr>
          <w:p>
            <w:pPr>
              <w:ind w:left="1335"/>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864.3</w:t>
            </w:r>
          </w:p>
        </w:tc>
      </w:tr>
    </w:tbl>
    <w:p>
      <w:pPr>
        <w:ind w:left="33"/>
        <w:spacing w:before="197" w:line="222" w:lineRule="auto"/>
        <w:outlineLvl w:val="2"/>
        <w:rPr>
          <w:rFonts w:ascii="SimHei" w:hAnsi="SimHei" w:eastAsia="SimHei" w:cs="SimHei"/>
          <w:sz w:val="28"/>
          <w:szCs w:val="28"/>
        </w:rPr>
      </w:pPr>
      <w:bookmarkStart w:name="bookmark104" w:id="131"/>
      <w:bookmarkEnd w:id="131"/>
      <w:r>
        <w:rPr>
          <w:rFonts w:ascii="Times New Roman" w:hAnsi="Times New Roman" w:eastAsia="Times New Roman" w:cs="Times New Roman"/>
          <w:sz w:val="28"/>
          <w:szCs w:val="28"/>
          <w:spacing w:val="-2"/>
        </w:rPr>
        <w:t>5.4.3 </w:t>
      </w:r>
      <w:r>
        <w:rPr>
          <w:rFonts w:ascii="SimHei" w:hAnsi="SimHei" w:eastAsia="SimHei" w:cs="SimHei"/>
          <w:sz w:val="28"/>
          <w:szCs w:val="28"/>
          <w:spacing w:val="-2"/>
        </w:rPr>
        <w:t>预测结果</w:t>
      </w:r>
    </w:p>
    <w:p>
      <w:pPr>
        <w:pStyle w:val="BodyText"/>
        <w:spacing w:line="277" w:lineRule="auto"/>
        <w:rPr/>
      </w:pPr>
      <w:r/>
    </w:p>
    <w:p>
      <w:pPr>
        <w:ind w:left="510"/>
        <w:spacing w:before="78" w:line="219" w:lineRule="auto"/>
        <w:rPr>
          <w:rFonts w:ascii="SimSun" w:hAnsi="SimSun" w:eastAsia="SimSun" w:cs="SimSun"/>
          <w:sz w:val="24"/>
          <w:szCs w:val="24"/>
        </w:rPr>
      </w:pPr>
      <w:r>
        <w:rPr>
          <w:rFonts w:ascii="SimSun" w:hAnsi="SimSun" w:eastAsia="SimSun" w:cs="SimSun"/>
          <w:sz w:val="24"/>
          <w:szCs w:val="24"/>
          <w:spacing w:val="-1"/>
        </w:rPr>
        <w:t>本项目建成后厂界噪声预测结果见表</w:t>
      </w:r>
      <w:r>
        <w:rPr>
          <w:rFonts w:ascii="Times New Roman" w:hAnsi="Times New Roman" w:eastAsia="Times New Roman" w:cs="Times New Roman"/>
          <w:sz w:val="24"/>
          <w:szCs w:val="24"/>
          <w:spacing w:val="-1"/>
        </w:rPr>
        <w:t>5.4-3</w:t>
      </w:r>
      <w:r>
        <w:rPr>
          <w:rFonts w:ascii="SimSun" w:hAnsi="SimSun" w:eastAsia="SimSun" w:cs="SimSun"/>
          <w:sz w:val="24"/>
          <w:szCs w:val="24"/>
          <w:spacing w:val="-1"/>
        </w:rPr>
        <w:t>。</w:t>
      </w:r>
    </w:p>
    <w:p>
      <w:pPr>
        <w:ind w:left="1147"/>
        <w:spacing w:before="183" w:line="212" w:lineRule="auto"/>
        <w:rPr>
          <w:rFonts w:ascii="SimSun" w:hAnsi="SimSun" w:eastAsia="SimSun" w:cs="SimSun"/>
          <w:sz w:val="24"/>
          <w:szCs w:val="24"/>
        </w:rPr>
      </w:pPr>
      <w:r>
        <w:rPr>
          <w:rFonts w:ascii="SimSun" w:hAnsi="SimSun" w:eastAsia="SimSun" w:cs="SimSun"/>
          <w:sz w:val="24"/>
          <w:szCs w:val="24"/>
          <w:b/>
          <w:bCs/>
          <w:spacing w:val="-1"/>
        </w:rPr>
        <w:t>表</w:t>
      </w:r>
      <w:r>
        <w:rPr>
          <w:rFonts w:ascii="Times New Roman" w:hAnsi="Times New Roman" w:eastAsia="Times New Roman" w:cs="Times New Roman"/>
          <w:sz w:val="24"/>
          <w:szCs w:val="24"/>
          <w:b/>
          <w:bCs/>
          <w:spacing w:val="-1"/>
        </w:rPr>
        <w:t>5.4-3        </w:t>
      </w:r>
      <w:r>
        <w:rPr>
          <w:rFonts w:ascii="SimSun" w:hAnsi="SimSun" w:eastAsia="SimSun" w:cs="SimSun"/>
          <w:sz w:val="24"/>
          <w:szCs w:val="24"/>
          <w:b/>
          <w:bCs/>
          <w:spacing w:val="-1"/>
        </w:rPr>
        <w:t>厂区四界噪声贡献值预测结果</w:t>
      </w:r>
      <w:r>
        <w:rPr>
          <w:rFonts w:ascii="SimSun" w:hAnsi="SimSun" w:eastAsia="SimSun" w:cs="SimSun"/>
          <w:sz w:val="24"/>
          <w:szCs w:val="24"/>
          <w:spacing w:val="-1"/>
        </w:rPr>
        <w:t xml:space="preserve">  </w:t>
      </w:r>
      <w:r>
        <w:rPr>
          <w:rFonts w:ascii="SimSun" w:hAnsi="SimSun" w:eastAsia="SimSun" w:cs="SimSun"/>
          <w:sz w:val="24"/>
          <w:szCs w:val="24"/>
          <w:b/>
          <w:bCs/>
          <w:spacing w:val="-1"/>
        </w:rPr>
        <w:t>单位：</w:t>
      </w:r>
      <w:r>
        <w:rPr>
          <w:rFonts w:ascii="Times New Roman" w:hAnsi="Times New Roman" w:eastAsia="Times New Roman" w:cs="Times New Roman"/>
          <w:sz w:val="24"/>
          <w:szCs w:val="24"/>
          <w:b/>
          <w:bCs/>
          <w:spacing w:val="-1"/>
        </w:rPr>
        <w:t>dB</w:t>
      </w:r>
      <w:r>
        <w:rPr>
          <w:rFonts w:ascii="SimSun" w:hAnsi="SimSun" w:eastAsia="SimSun" w:cs="SimSun"/>
          <w:sz w:val="24"/>
          <w:szCs w:val="24"/>
          <w:b/>
          <w:bCs/>
          <w:spacing w:val="-2"/>
        </w:rPr>
        <w:t>（</w:t>
      </w:r>
      <w:r>
        <w:rPr>
          <w:rFonts w:ascii="Times New Roman" w:hAnsi="Times New Roman" w:eastAsia="Times New Roman" w:cs="Times New Roman"/>
          <w:sz w:val="24"/>
          <w:szCs w:val="24"/>
          <w:b/>
          <w:bCs/>
          <w:spacing w:val="-2"/>
        </w:rPr>
        <w:t>A</w:t>
      </w:r>
      <w:r>
        <w:rPr>
          <w:rFonts w:ascii="SimSun" w:hAnsi="SimSun" w:eastAsia="SimSun" w:cs="SimSun"/>
          <w:sz w:val="24"/>
          <w:szCs w:val="24"/>
          <w:b/>
          <w:bCs/>
          <w:spacing w:val="-2"/>
        </w:rPr>
        <w:t>）</w:t>
      </w:r>
    </w:p>
    <w:tbl>
      <w:tblPr>
        <w:tblStyle w:val="TableNormal"/>
        <w:tblW w:w="8526" w:type="dxa"/>
        <w:tblInd w:w="8"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64"/>
        <w:gridCol w:w="3351"/>
        <w:gridCol w:w="2271"/>
        <w:gridCol w:w="2140"/>
      </w:tblGrid>
      <w:tr>
        <w:trPr>
          <w:trHeight w:val="282" w:hRule="atLeast"/>
        </w:trPr>
        <w:tc>
          <w:tcPr>
            <w:tcW w:w="764" w:type="dxa"/>
            <w:vAlign w:val="top"/>
            <w:vMerge w:val="restart"/>
            <w:tcBorders>
              <w:bottom w:val="nil"/>
            </w:tcBorders>
          </w:tcPr>
          <w:p>
            <w:pPr>
              <w:pStyle w:val="TableText"/>
              <w:ind w:left="177"/>
              <w:spacing w:before="176" w:line="229" w:lineRule="auto"/>
              <w:rPr/>
            </w:pPr>
            <w:r>
              <w:rPr>
                <w:spacing w:val="5"/>
              </w:rPr>
              <w:t>序号</w:t>
            </w:r>
          </w:p>
        </w:tc>
        <w:tc>
          <w:tcPr>
            <w:tcW w:w="3351" w:type="dxa"/>
            <w:vAlign w:val="top"/>
            <w:vMerge w:val="restart"/>
            <w:tcBorders>
              <w:bottom w:val="nil"/>
            </w:tcBorders>
          </w:tcPr>
          <w:p>
            <w:pPr>
              <w:pStyle w:val="TableText"/>
              <w:ind w:left="1261"/>
              <w:spacing w:before="175" w:line="228" w:lineRule="auto"/>
              <w:rPr/>
            </w:pPr>
            <w:r>
              <w:rPr>
                <w:spacing w:val="6"/>
              </w:rPr>
              <w:t>预测点位</w:t>
            </w:r>
          </w:p>
        </w:tc>
        <w:tc>
          <w:tcPr>
            <w:tcW w:w="4411" w:type="dxa"/>
            <w:vAlign w:val="top"/>
            <w:gridSpan w:val="2"/>
          </w:tcPr>
          <w:p>
            <w:pPr>
              <w:pStyle w:val="TableText"/>
              <w:ind w:left="1897"/>
              <w:spacing w:before="36" w:line="217" w:lineRule="auto"/>
              <w:rPr/>
            </w:pPr>
            <w:r>
              <w:rPr>
                <w:spacing w:val="6"/>
              </w:rPr>
              <w:t>贡献值</w:t>
            </w:r>
          </w:p>
        </w:tc>
      </w:tr>
      <w:tr>
        <w:trPr>
          <w:trHeight w:val="277" w:hRule="atLeast"/>
        </w:trPr>
        <w:tc>
          <w:tcPr>
            <w:tcW w:w="764" w:type="dxa"/>
            <w:vAlign w:val="top"/>
            <w:vMerge w:val="continue"/>
            <w:tcBorders>
              <w:top w:val="nil"/>
            </w:tcBorders>
          </w:tcPr>
          <w:p>
            <w:pPr>
              <w:rPr>
                <w:rFonts w:ascii="Arial"/>
                <w:sz w:val="21"/>
              </w:rPr>
            </w:pPr>
            <w:r/>
          </w:p>
        </w:tc>
        <w:tc>
          <w:tcPr>
            <w:tcW w:w="3351" w:type="dxa"/>
            <w:vAlign w:val="top"/>
            <w:vMerge w:val="continue"/>
            <w:tcBorders>
              <w:top w:val="nil"/>
            </w:tcBorders>
          </w:tcPr>
          <w:p>
            <w:pPr>
              <w:rPr>
                <w:rFonts w:ascii="Arial"/>
                <w:sz w:val="21"/>
              </w:rPr>
            </w:pPr>
            <w:r/>
          </w:p>
        </w:tc>
        <w:tc>
          <w:tcPr>
            <w:tcW w:w="2271" w:type="dxa"/>
            <w:vAlign w:val="top"/>
          </w:tcPr>
          <w:p>
            <w:pPr>
              <w:pStyle w:val="TableText"/>
              <w:ind w:left="932"/>
              <w:spacing w:before="30" w:line="218" w:lineRule="auto"/>
              <w:rPr/>
            </w:pPr>
            <w:r>
              <w:rPr>
                <w:spacing w:val="5"/>
              </w:rPr>
              <w:t>昼间</w:t>
            </w:r>
          </w:p>
        </w:tc>
        <w:tc>
          <w:tcPr>
            <w:tcW w:w="2140" w:type="dxa"/>
            <w:vAlign w:val="top"/>
          </w:tcPr>
          <w:p>
            <w:pPr>
              <w:pStyle w:val="TableText"/>
              <w:ind w:left="868"/>
              <w:spacing w:before="30" w:line="218" w:lineRule="auto"/>
              <w:rPr/>
            </w:pPr>
            <w:r>
              <w:rPr>
                <w:spacing w:val="3"/>
              </w:rPr>
              <w:t>夜间</w:t>
            </w:r>
          </w:p>
        </w:tc>
      </w:tr>
      <w:tr>
        <w:trPr>
          <w:trHeight w:val="276" w:hRule="atLeast"/>
        </w:trPr>
        <w:tc>
          <w:tcPr>
            <w:tcW w:w="764" w:type="dxa"/>
            <w:vAlign w:val="top"/>
          </w:tcPr>
          <w:p>
            <w:pPr>
              <w:ind w:left="350"/>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3351" w:type="dxa"/>
            <w:vAlign w:val="top"/>
          </w:tcPr>
          <w:p>
            <w:pPr>
              <w:pStyle w:val="TableText"/>
              <w:ind w:left="530"/>
              <w:spacing w:before="31" w:line="216" w:lineRule="auto"/>
              <w:rPr/>
            </w:pPr>
            <w:r>
              <w:rPr>
                <w:spacing w:val="5"/>
              </w:rPr>
              <w:t>西厂区厂界东侧外</w:t>
            </w:r>
            <w:r>
              <w:rPr>
                <w:spacing w:val="-18"/>
              </w:rPr>
              <w:t xml:space="preserve"> </w:t>
            </w:r>
            <w:r>
              <w:rPr>
                <w:rFonts w:ascii="Times New Roman" w:hAnsi="Times New Roman" w:eastAsia="Times New Roman" w:cs="Times New Roman"/>
                <w:spacing w:val="5"/>
              </w:rPr>
              <w:t>1 </w:t>
            </w:r>
            <w:r>
              <w:rPr>
                <w:spacing w:val="5"/>
              </w:rPr>
              <w:t>米处</w:t>
            </w:r>
          </w:p>
        </w:tc>
        <w:tc>
          <w:tcPr>
            <w:tcW w:w="2271" w:type="dxa"/>
            <w:vAlign w:val="top"/>
          </w:tcPr>
          <w:p>
            <w:pPr>
              <w:ind w:left="899"/>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42.69</w:t>
            </w:r>
          </w:p>
        </w:tc>
        <w:tc>
          <w:tcPr>
            <w:tcW w:w="2140" w:type="dxa"/>
            <w:vAlign w:val="top"/>
          </w:tcPr>
          <w:p>
            <w:pPr>
              <w:ind w:left="833"/>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42.69</w:t>
            </w:r>
          </w:p>
        </w:tc>
      </w:tr>
      <w:tr>
        <w:trPr>
          <w:trHeight w:val="277" w:hRule="atLeast"/>
        </w:trPr>
        <w:tc>
          <w:tcPr>
            <w:tcW w:w="764" w:type="dxa"/>
            <w:vAlign w:val="top"/>
          </w:tcPr>
          <w:p>
            <w:pPr>
              <w:ind w:left="33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3351" w:type="dxa"/>
            <w:vAlign w:val="top"/>
          </w:tcPr>
          <w:p>
            <w:pPr>
              <w:pStyle w:val="TableText"/>
              <w:ind w:left="530"/>
              <w:spacing w:before="34" w:line="215" w:lineRule="auto"/>
              <w:rPr/>
            </w:pPr>
            <w:r>
              <w:rPr>
                <w:spacing w:val="5"/>
              </w:rPr>
              <w:t>西厂区厂界南侧外</w:t>
            </w:r>
            <w:r>
              <w:rPr>
                <w:spacing w:val="-18"/>
              </w:rPr>
              <w:t xml:space="preserve"> </w:t>
            </w:r>
            <w:r>
              <w:rPr>
                <w:rFonts w:ascii="Times New Roman" w:hAnsi="Times New Roman" w:eastAsia="Times New Roman" w:cs="Times New Roman"/>
                <w:spacing w:val="5"/>
              </w:rPr>
              <w:t>1 </w:t>
            </w:r>
            <w:r>
              <w:rPr>
                <w:spacing w:val="5"/>
              </w:rPr>
              <w:t>米处</w:t>
            </w:r>
          </w:p>
        </w:tc>
        <w:tc>
          <w:tcPr>
            <w:tcW w:w="2271" w:type="dxa"/>
            <w:vAlign w:val="top"/>
          </w:tcPr>
          <w:p>
            <w:pPr>
              <w:ind w:left="89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48.19</w:t>
            </w:r>
          </w:p>
        </w:tc>
        <w:tc>
          <w:tcPr>
            <w:tcW w:w="2140" w:type="dxa"/>
            <w:vAlign w:val="top"/>
          </w:tcPr>
          <w:p>
            <w:pPr>
              <w:ind w:left="83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48.19</w:t>
            </w:r>
          </w:p>
        </w:tc>
      </w:tr>
      <w:tr>
        <w:trPr>
          <w:trHeight w:val="276" w:hRule="atLeast"/>
        </w:trPr>
        <w:tc>
          <w:tcPr>
            <w:tcW w:w="764" w:type="dxa"/>
            <w:vAlign w:val="top"/>
          </w:tcPr>
          <w:p>
            <w:pPr>
              <w:ind w:left="33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3351" w:type="dxa"/>
            <w:vAlign w:val="top"/>
          </w:tcPr>
          <w:p>
            <w:pPr>
              <w:pStyle w:val="TableText"/>
              <w:ind w:left="530"/>
              <w:spacing w:before="33" w:line="215" w:lineRule="auto"/>
              <w:rPr/>
            </w:pPr>
            <w:r>
              <w:rPr>
                <w:spacing w:val="5"/>
              </w:rPr>
              <w:t>西厂区厂界西侧外</w:t>
            </w:r>
            <w:r>
              <w:rPr>
                <w:spacing w:val="-18"/>
              </w:rPr>
              <w:t xml:space="preserve"> </w:t>
            </w:r>
            <w:r>
              <w:rPr>
                <w:rFonts w:ascii="Times New Roman" w:hAnsi="Times New Roman" w:eastAsia="Times New Roman" w:cs="Times New Roman"/>
                <w:spacing w:val="5"/>
              </w:rPr>
              <w:t>1 </w:t>
            </w:r>
            <w:r>
              <w:rPr>
                <w:spacing w:val="5"/>
              </w:rPr>
              <w:t>米处</w:t>
            </w:r>
          </w:p>
        </w:tc>
        <w:tc>
          <w:tcPr>
            <w:tcW w:w="2271" w:type="dxa"/>
            <w:vAlign w:val="top"/>
          </w:tcPr>
          <w:p>
            <w:pPr>
              <w:ind w:left="899"/>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45.21</w:t>
            </w:r>
          </w:p>
        </w:tc>
        <w:tc>
          <w:tcPr>
            <w:tcW w:w="2140" w:type="dxa"/>
            <w:vAlign w:val="top"/>
          </w:tcPr>
          <w:p>
            <w:pPr>
              <w:ind w:left="833"/>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45.21</w:t>
            </w:r>
          </w:p>
        </w:tc>
      </w:tr>
      <w:tr>
        <w:trPr>
          <w:trHeight w:val="277" w:hRule="atLeast"/>
        </w:trPr>
        <w:tc>
          <w:tcPr>
            <w:tcW w:w="764" w:type="dxa"/>
            <w:vAlign w:val="top"/>
          </w:tcPr>
          <w:p>
            <w:pPr>
              <w:ind w:left="32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3351" w:type="dxa"/>
            <w:vAlign w:val="top"/>
          </w:tcPr>
          <w:p>
            <w:pPr>
              <w:pStyle w:val="TableText"/>
              <w:ind w:left="530"/>
              <w:spacing w:before="35" w:line="214" w:lineRule="auto"/>
              <w:rPr/>
            </w:pPr>
            <w:r>
              <w:rPr>
                <w:spacing w:val="5"/>
              </w:rPr>
              <w:t>西厂区厂界北侧外</w:t>
            </w:r>
            <w:r>
              <w:rPr>
                <w:spacing w:val="-18"/>
              </w:rPr>
              <w:t xml:space="preserve"> </w:t>
            </w:r>
            <w:r>
              <w:rPr>
                <w:rFonts w:ascii="Times New Roman" w:hAnsi="Times New Roman" w:eastAsia="Times New Roman" w:cs="Times New Roman"/>
                <w:spacing w:val="5"/>
              </w:rPr>
              <w:t>1 </w:t>
            </w:r>
            <w:r>
              <w:rPr>
                <w:spacing w:val="5"/>
              </w:rPr>
              <w:t>米处</w:t>
            </w:r>
          </w:p>
        </w:tc>
        <w:tc>
          <w:tcPr>
            <w:tcW w:w="2271" w:type="dxa"/>
            <w:vAlign w:val="top"/>
          </w:tcPr>
          <w:p>
            <w:pPr>
              <w:ind w:left="90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31.87</w:t>
            </w:r>
          </w:p>
        </w:tc>
        <w:tc>
          <w:tcPr>
            <w:tcW w:w="2140" w:type="dxa"/>
            <w:vAlign w:val="top"/>
          </w:tcPr>
          <w:p>
            <w:pPr>
              <w:ind w:left="83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31.87</w:t>
            </w:r>
          </w:p>
        </w:tc>
      </w:tr>
      <w:tr>
        <w:trPr>
          <w:trHeight w:val="277" w:hRule="atLeast"/>
        </w:trPr>
        <w:tc>
          <w:tcPr>
            <w:tcW w:w="764" w:type="dxa"/>
            <w:vAlign w:val="top"/>
          </w:tcPr>
          <w:p>
            <w:pPr>
              <w:ind w:left="336"/>
              <w:spacing w:before="7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3351" w:type="dxa"/>
            <w:vAlign w:val="top"/>
          </w:tcPr>
          <w:p>
            <w:pPr>
              <w:pStyle w:val="TableText"/>
              <w:ind w:left="532"/>
              <w:spacing w:before="36" w:line="213" w:lineRule="auto"/>
              <w:rPr/>
            </w:pPr>
            <w:r>
              <w:rPr>
                <w:spacing w:val="5"/>
              </w:rPr>
              <w:t>东厂区厂界东侧外</w:t>
            </w:r>
            <w:r>
              <w:rPr>
                <w:spacing w:val="-20"/>
              </w:rPr>
              <w:t xml:space="preserve"> </w:t>
            </w:r>
            <w:r>
              <w:rPr>
                <w:rFonts w:ascii="Times New Roman" w:hAnsi="Times New Roman" w:eastAsia="Times New Roman" w:cs="Times New Roman"/>
                <w:spacing w:val="5"/>
              </w:rPr>
              <w:t>1 </w:t>
            </w:r>
            <w:r>
              <w:rPr>
                <w:spacing w:val="5"/>
              </w:rPr>
              <w:t>米处</w:t>
            </w:r>
          </w:p>
        </w:tc>
        <w:tc>
          <w:tcPr>
            <w:tcW w:w="2271" w:type="dxa"/>
            <w:vAlign w:val="top"/>
          </w:tcPr>
          <w:p>
            <w:pPr>
              <w:ind w:left="904"/>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36.57</w:t>
            </w:r>
          </w:p>
        </w:tc>
        <w:tc>
          <w:tcPr>
            <w:tcW w:w="2140" w:type="dxa"/>
            <w:vAlign w:val="top"/>
          </w:tcPr>
          <w:p>
            <w:pPr>
              <w:ind w:left="839"/>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36.57</w:t>
            </w:r>
          </w:p>
        </w:tc>
      </w:tr>
      <w:tr>
        <w:trPr>
          <w:trHeight w:val="277" w:hRule="atLeast"/>
        </w:trPr>
        <w:tc>
          <w:tcPr>
            <w:tcW w:w="764" w:type="dxa"/>
            <w:vAlign w:val="top"/>
          </w:tcPr>
          <w:p>
            <w:pPr>
              <w:ind w:left="33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3351" w:type="dxa"/>
            <w:vAlign w:val="top"/>
          </w:tcPr>
          <w:p>
            <w:pPr>
              <w:pStyle w:val="TableText"/>
              <w:ind w:left="532"/>
              <w:spacing w:before="35" w:line="214" w:lineRule="auto"/>
              <w:rPr/>
            </w:pPr>
            <w:r>
              <w:rPr>
                <w:spacing w:val="5"/>
              </w:rPr>
              <w:t>东厂区厂界南侧外</w:t>
            </w:r>
            <w:r>
              <w:rPr>
                <w:spacing w:val="-20"/>
              </w:rPr>
              <w:t xml:space="preserve"> </w:t>
            </w:r>
            <w:r>
              <w:rPr>
                <w:rFonts w:ascii="Times New Roman" w:hAnsi="Times New Roman" w:eastAsia="Times New Roman" w:cs="Times New Roman"/>
                <w:spacing w:val="5"/>
              </w:rPr>
              <w:t>1 </w:t>
            </w:r>
            <w:r>
              <w:rPr>
                <w:spacing w:val="5"/>
              </w:rPr>
              <w:t>米处</w:t>
            </w:r>
          </w:p>
        </w:tc>
        <w:tc>
          <w:tcPr>
            <w:tcW w:w="2271" w:type="dxa"/>
            <w:vAlign w:val="top"/>
          </w:tcPr>
          <w:p>
            <w:pPr>
              <w:ind w:left="90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33.58</w:t>
            </w:r>
          </w:p>
        </w:tc>
        <w:tc>
          <w:tcPr>
            <w:tcW w:w="2140" w:type="dxa"/>
            <w:vAlign w:val="top"/>
          </w:tcPr>
          <w:p>
            <w:pPr>
              <w:ind w:left="83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33.58</w:t>
            </w:r>
          </w:p>
        </w:tc>
      </w:tr>
      <w:tr>
        <w:trPr>
          <w:trHeight w:val="277" w:hRule="atLeast"/>
        </w:trPr>
        <w:tc>
          <w:tcPr>
            <w:tcW w:w="764" w:type="dxa"/>
            <w:vAlign w:val="top"/>
          </w:tcPr>
          <w:p>
            <w:pPr>
              <w:ind w:left="333"/>
              <w:spacing w:before="7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3351" w:type="dxa"/>
            <w:vAlign w:val="top"/>
          </w:tcPr>
          <w:p>
            <w:pPr>
              <w:pStyle w:val="TableText"/>
              <w:ind w:left="532"/>
              <w:spacing w:before="36" w:line="213" w:lineRule="auto"/>
              <w:rPr/>
            </w:pPr>
            <w:r>
              <w:rPr>
                <w:spacing w:val="5"/>
              </w:rPr>
              <w:t>东厂区厂界西侧外</w:t>
            </w:r>
            <w:r>
              <w:rPr>
                <w:spacing w:val="-20"/>
              </w:rPr>
              <w:t xml:space="preserve"> </w:t>
            </w:r>
            <w:r>
              <w:rPr>
                <w:rFonts w:ascii="Times New Roman" w:hAnsi="Times New Roman" w:eastAsia="Times New Roman" w:cs="Times New Roman"/>
                <w:spacing w:val="5"/>
              </w:rPr>
              <w:t>1 </w:t>
            </w:r>
            <w:r>
              <w:rPr>
                <w:spacing w:val="5"/>
              </w:rPr>
              <w:t>米处</w:t>
            </w:r>
          </w:p>
        </w:tc>
        <w:tc>
          <w:tcPr>
            <w:tcW w:w="2271" w:type="dxa"/>
            <w:vAlign w:val="top"/>
          </w:tcPr>
          <w:p>
            <w:pPr>
              <w:ind w:left="904"/>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30.67</w:t>
            </w:r>
          </w:p>
        </w:tc>
        <w:tc>
          <w:tcPr>
            <w:tcW w:w="2140" w:type="dxa"/>
            <w:vAlign w:val="top"/>
          </w:tcPr>
          <w:p>
            <w:pPr>
              <w:ind w:left="839"/>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30.67</w:t>
            </w:r>
          </w:p>
        </w:tc>
      </w:tr>
      <w:tr>
        <w:trPr>
          <w:trHeight w:val="282" w:hRule="atLeast"/>
        </w:trPr>
        <w:tc>
          <w:tcPr>
            <w:tcW w:w="764" w:type="dxa"/>
            <w:vAlign w:val="top"/>
          </w:tcPr>
          <w:p>
            <w:pPr>
              <w:ind w:left="338"/>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3351" w:type="dxa"/>
            <w:vAlign w:val="top"/>
          </w:tcPr>
          <w:p>
            <w:pPr>
              <w:pStyle w:val="TableText"/>
              <w:ind w:left="532"/>
              <w:spacing w:before="37" w:line="216" w:lineRule="auto"/>
              <w:rPr/>
            </w:pPr>
            <w:r>
              <w:rPr>
                <w:spacing w:val="5"/>
              </w:rPr>
              <w:t>东厂区厂界北侧外</w:t>
            </w:r>
            <w:r>
              <w:rPr>
                <w:spacing w:val="-20"/>
              </w:rPr>
              <w:t xml:space="preserve"> </w:t>
            </w:r>
            <w:r>
              <w:rPr>
                <w:rFonts w:ascii="Times New Roman" w:hAnsi="Times New Roman" w:eastAsia="Times New Roman" w:cs="Times New Roman"/>
                <w:spacing w:val="5"/>
              </w:rPr>
              <w:t>1 </w:t>
            </w:r>
            <w:r>
              <w:rPr>
                <w:spacing w:val="5"/>
              </w:rPr>
              <w:t>米处</w:t>
            </w:r>
          </w:p>
        </w:tc>
        <w:tc>
          <w:tcPr>
            <w:tcW w:w="2271" w:type="dxa"/>
            <w:vAlign w:val="top"/>
          </w:tcPr>
          <w:p>
            <w:pPr>
              <w:ind w:left="899"/>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42.28</w:t>
            </w:r>
          </w:p>
        </w:tc>
        <w:tc>
          <w:tcPr>
            <w:tcW w:w="2140" w:type="dxa"/>
            <w:vAlign w:val="top"/>
          </w:tcPr>
          <w:p>
            <w:pPr>
              <w:ind w:left="833"/>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42.28</w:t>
            </w:r>
          </w:p>
        </w:tc>
      </w:tr>
    </w:tbl>
    <w:p>
      <w:pPr>
        <w:ind w:left="1027"/>
        <w:spacing w:before="35" w:line="212" w:lineRule="auto"/>
        <w:rPr>
          <w:rFonts w:ascii="SimSun" w:hAnsi="SimSun" w:eastAsia="SimSun" w:cs="SimSun"/>
          <w:sz w:val="24"/>
          <w:szCs w:val="24"/>
        </w:rPr>
      </w:pPr>
      <w:r>
        <w:rPr>
          <w:rFonts w:ascii="SimSun" w:hAnsi="SimSun" w:eastAsia="SimSun" w:cs="SimSun"/>
          <w:sz w:val="24"/>
          <w:szCs w:val="24"/>
          <w:b/>
          <w:bCs/>
          <w:spacing w:val="-1"/>
        </w:rPr>
        <w:t>表</w:t>
      </w:r>
      <w:r>
        <w:rPr>
          <w:rFonts w:ascii="Times New Roman" w:hAnsi="Times New Roman" w:eastAsia="Times New Roman" w:cs="Times New Roman"/>
          <w:sz w:val="24"/>
          <w:szCs w:val="24"/>
          <w:b/>
          <w:bCs/>
          <w:spacing w:val="-1"/>
        </w:rPr>
        <w:t>5.4-4        </w:t>
      </w:r>
      <w:r>
        <w:rPr>
          <w:rFonts w:ascii="SimSun" w:hAnsi="SimSun" w:eastAsia="SimSun" w:cs="SimSun"/>
          <w:sz w:val="24"/>
          <w:szCs w:val="24"/>
          <w:b/>
          <w:bCs/>
          <w:spacing w:val="-1"/>
        </w:rPr>
        <w:t>声环境保护目标噪声预测结果表</w:t>
      </w:r>
      <w:r>
        <w:rPr>
          <w:rFonts w:ascii="SimSun" w:hAnsi="SimSun" w:eastAsia="SimSun" w:cs="SimSun"/>
          <w:sz w:val="24"/>
          <w:szCs w:val="24"/>
          <w:spacing w:val="-1"/>
        </w:rPr>
        <w:t xml:space="preserve">  </w:t>
      </w:r>
      <w:r>
        <w:rPr>
          <w:rFonts w:ascii="SimSun" w:hAnsi="SimSun" w:eastAsia="SimSun" w:cs="SimSun"/>
          <w:sz w:val="24"/>
          <w:szCs w:val="24"/>
          <w:b/>
          <w:bCs/>
          <w:spacing w:val="-1"/>
        </w:rPr>
        <w:t>单位：</w:t>
      </w:r>
      <w:r>
        <w:rPr>
          <w:rFonts w:ascii="Times New Roman" w:hAnsi="Times New Roman" w:eastAsia="Times New Roman" w:cs="Times New Roman"/>
          <w:sz w:val="24"/>
          <w:szCs w:val="24"/>
          <w:b/>
          <w:bCs/>
          <w:spacing w:val="-2"/>
        </w:rPr>
        <w:t>dB</w:t>
      </w:r>
      <w:r>
        <w:rPr>
          <w:rFonts w:ascii="SimSun" w:hAnsi="SimSun" w:eastAsia="SimSun" w:cs="SimSun"/>
          <w:sz w:val="24"/>
          <w:szCs w:val="24"/>
          <w:b/>
          <w:bCs/>
          <w:spacing w:val="-2"/>
        </w:rPr>
        <w:t>（</w:t>
      </w:r>
      <w:r>
        <w:rPr>
          <w:rFonts w:ascii="Times New Roman" w:hAnsi="Times New Roman" w:eastAsia="Times New Roman" w:cs="Times New Roman"/>
          <w:sz w:val="24"/>
          <w:szCs w:val="24"/>
          <w:b/>
          <w:bCs/>
          <w:spacing w:val="-2"/>
        </w:rPr>
        <w:t>A</w:t>
      </w:r>
      <w:r>
        <w:rPr>
          <w:rFonts w:ascii="SimSun" w:hAnsi="SimSun" w:eastAsia="SimSun" w:cs="SimSun"/>
          <w:sz w:val="24"/>
          <w:szCs w:val="24"/>
          <w:b/>
          <w:bCs/>
          <w:spacing w:val="-2"/>
        </w:rPr>
        <w:t>）</w:t>
      </w:r>
    </w:p>
    <w:tbl>
      <w:tblPr>
        <w:tblStyle w:val="TableNormal"/>
        <w:tblW w:w="853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85"/>
        <w:gridCol w:w="564"/>
        <w:gridCol w:w="639"/>
        <w:gridCol w:w="559"/>
        <w:gridCol w:w="737"/>
        <w:gridCol w:w="608"/>
        <w:gridCol w:w="778"/>
        <w:gridCol w:w="694"/>
        <w:gridCol w:w="649"/>
        <w:gridCol w:w="662"/>
        <w:gridCol w:w="620"/>
        <w:gridCol w:w="542"/>
        <w:gridCol w:w="514"/>
        <w:gridCol w:w="588"/>
      </w:tblGrid>
      <w:tr>
        <w:trPr>
          <w:trHeight w:val="552" w:hRule="atLeast"/>
        </w:trPr>
        <w:tc>
          <w:tcPr>
            <w:tcW w:w="385" w:type="dxa"/>
            <w:vAlign w:val="top"/>
            <w:vMerge w:val="restart"/>
            <w:textDirection w:val="tbRlV"/>
            <w:tcBorders>
              <w:bottom w:val="nil"/>
            </w:tcBorders>
          </w:tcPr>
          <w:p>
            <w:pPr>
              <w:pStyle w:val="TableText"/>
              <w:ind w:left="177"/>
              <w:spacing w:before="85" w:line="218" w:lineRule="auto"/>
              <w:rPr/>
            </w:pPr>
            <w:r>
              <w:rPr>
                <w:spacing w:val="8"/>
              </w:rPr>
              <w:t>序</w:t>
            </w:r>
            <w:r>
              <w:rPr>
                <w:spacing w:val="-38"/>
              </w:rPr>
              <w:t xml:space="preserve"> </w:t>
            </w:r>
            <w:r>
              <w:rPr>
                <w:spacing w:val="8"/>
              </w:rPr>
              <w:t>号</w:t>
            </w:r>
          </w:p>
        </w:tc>
        <w:tc>
          <w:tcPr>
            <w:tcW w:w="564" w:type="dxa"/>
            <w:vAlign w:val="top"/>
            <w:vMerge w:val="restart"/>
            <w:tcBorders>
              <w:bottom w:val="nil"/>
            </w:tcBorders>
          </w:tcPr>
          <w:p>
            <w:pPr>
              <w:pStyle w:val="TableText"/>
              <w:ind w:left="77"/>
              <w:spacing w:before="177" w:line="228" w:lineRule="auto"/>
              <w:rPr/>
            </w:pPr>
            <w:r>
              <w:rPr>
                <w:spacing w:val="3"/>
              </w:rPr>
              <w:t>预测</w:t>
            </w:r>
          </w:p>
          <w:p>
            <w:pPr>
              <w:pStyle w:val="TableText"/>
              <w:ind w:left="86"/>
              <w:spacing w:before="24" w:line="228" w:lineRule="auto"/>
              <w:rPr/>
            </w:pPr>
            <w:r>
              <w:rPr>
                <w:spacing w:val="-1"/>
              </w:rPr>
              <w:t>点位</w:t>
            </w:r>
          </w:p>
        </w:tc>
        <w:tc>
          <w:tcPr>
            <w:tcW w:w="1198" w:type="dxa"/>
            <w:vAlign w:val="top"/>
            <w:gridSpan w:val="2"/>
          </w:tcPr>
          <w:p>
            <w:pPr>
              <w:pStyle w:val="TableText"/>
              <w:ind w:left="290"/>
              <w:spacing w:before="169" w:line="228" w:lineRule="auto"/>
              <w:rPr/>
            </w:pPr>
            <w:r>
              <w:rPr>
                <w:spacing w:val="6"/>
              </w:rPr>
              <w:t>现状值</w:t>
            </w:r>
          </w:p>
        </w:tc>
        <w:tc>
          <w:tcPr>
            <w:tcW w:w="1345" w:type="dxa"/>
            <w:vAlign w:val="top"/>
            <w:gridSpan w:val="2"/>
          </w:tcPr>
          <w:p>
            <w:pPr>
              <w:pStyle w:val="TableText"/>
              <w:ind w:left="365"/>
              <w:spacing w:before="170" w:line="227" w:lineRule="auto"/>
              <w:rPr/>
            </w:pPr>
            <w:r>
              <w:rPr>
                <w:spacing w:val="6"/>
              </w:rPr>
              <w:t>贡献值</w:t>
            </w:r>
          </w:p>
        </w:tc>
        <w:tc>
          <w:tcPr>
            <w:tcW w:w="1472" w:type="dxa"/>
            <w:vAlign w:val="top"/>
            <w:gridSpan w:val="2"/>
          </w:tcPr>
          <w:p>
            <w:pPr>
              <w:pStyle w:val="TableText"/>
              <w:ind w:left="428"/>
              <w:spacing w:before="169" w:line="228" w:lineRule="auto"/>
              <w:rPr/>
            </w:pPr>
            <w:r>
              <w:rPr>
                <w:spacing w:val="6"/>
              </w:rPr>
              <w:t>预测值</w:t>
            </w:r>
          </w:p>
        </w:tc>
        <w:tc>
          <w:tcPr>
            <w:tcW w:w="1311" w:type="dxa"/>
            <w:vAlign w:val="top"/>
            <w:gridSpan w:val="2"/>
          </w:tcPr>
          <w:p>
            <w:pPr>
              <w:pStyle w:val="TableText"/>
              <w:ind w:left="453"/>
              <w:spacing w:before="170" w:line="228" w:lineRule="auto"/>
              <w:rPr/>
            </w:pPr>
            <w:r>
              <w:rPr>
                <w:spacing w:val="4"/>
              </w:rPr>
              <w:t>标准</w:t>
            </w:r>
          </w:p>
        </w:tc>
        <w:tc>
          <w:tcPr>
            <w:tcW w:w="1162" w:type="dxa"/>
            <w:vAlign w:val="top"/>
            <w:gridSpan w:val="2"/>
          </w:tcPr>
          <w:p>
            <w:pPr>
              <w:pStyle w:val="TableText"/>
              <w:ind w:left="62"/>
              <w:spacing w:before="169" w:line="228" w:lineRule="auto"/>
              <w:rPr/>
            </w:pPr>
            <w:r>
              <w:rPr>
                <w:spacing w:val="8"/>
              </w:rPr>
              <w:t>较现状增量</w:t>
            </w:r>
          </w:p>
        </w:tc>
        <w:tc>
          <w:tcPr>
            <w:tcW w:w="1102" w:type="dxa"/>
            <w:vAlign w:val="top"/>
            <w:gridSpan w:val="2"/>
          </w:tcPr>
          <w:p>
            <w:pPr>
              <w:pStyle w:val="TableText"/>
              <w:ind w:left="30"/>
              <w:spacing w:before="36" w:line="228" w:lineRule="auto"/>
              <w:rPr/>
            </w:pPr>
            <w:r>
              <w:rPr>
                <w:spacing w:val="8"/>
              </w:rPr>
              <w:t>超标和达标</w:t>
            </w:r>
          </w:p>
          <w:p>
            <w:pPr>
              <w:pStyle w:val="TableText"/>
              <w:ind w:left="346"/>
              <w:spacing w:before="23" w:line="217" w:lineRule="auto"/>
              <w:rPr/>
            </w:pPr>
            <w:r>
              <w:rPr>
                <w:spacing w:val="4"/>
              </w:rPr>
              <w:t>情况</w:t>
            </w:r>
          </w:p>
        </w:tc>
      </w:tr>
      <w:tr>
        <w:trPr>
          <w:trHeight w:val="276" w:hRule="atLeast"/>
        </w:trPr>
        <w:tc>
          <w:tcPr>
            <w:tcW w:w="385" w:type="dxa"/>
            <w:vAlign w:val="top"/>
            <w:vMerge w:val="continue"/>
            <w:textDirection w:val="tbRlV"/>
            <w:tcBorders>
              <w:top w:val="nil"/>
            </w:tcBorders>
          </w:tcPr>
          <w:p>
            <w:pPr>
              <w:rPr>
                <w:rFonts w:ascii="Arial"/>
                <w:sz w:val="21"/>
              </w:rPr>
            </w:pPr>
            <w:r/>
          </w:p>
        </w:tc>
        <w:tc>
          <w:tcPr>
            <w:tcW w:w="564" w:type="dxa"/>
            <w:vAlign w:val="top"/>
            <w:vMerge w:val="continue"/>
            <w:tcBorders>
              <w:top w:val="nil"/>
            </w:tcBorders>
          </w:tcPr>
          <w:p>
            <w:pPr>
              <w:rPr>
                <w:rFonts w:ascii="Arial"/>
                <w:sz w:val="21"/>
              </w:rPr>
            </w:pPr>
            <w:r/>
          </w:p>
        </w:tc>
        <w:tc>
          <w:tcPr>
            <w:tcW w:w="639" w:type="dxa"/>
            <w:vAlign w:val="top"/>
          </w:tcPr>
          <w:p>
            <w:pPr>
              <w:pStyle w:val="TableText"/>
              <w:ind w:left="112"/>
              <w:spacing w:before="33" w:line="215" w:lineRule="auto"/>
              <w:rPr/>
            </w:pPr>
            <w:r>
              <w:rPr>
                <w:spacing w:val="5"/>
              </w:rPr>
              <w:t>昼间</w:t>
            </w:r>
          </w:p>
        </w:tc>
        <w:tc>
          <w:tcPr>
            <w:tcW w:w="559" w:type="dxa"/>
            <w:vAlign w:val="top"/>
          </w:tcPr>
          <w:p>
            <w:pPr>
              <w:pStyle w:val="TableText"/>
              <w:ind w:left="75"/>
              <w:spacing w:before="33" w:line="215" w:lineRule="auto"/>
              <w:rPr/>
            </w:pPr>
            <w:r>
              <w:rPr>
                <w:spacing w:val="3"/>
              </w:rPr>
              <w:t>夜间</w:t>
            </w:r>
          </w:p>
        </w:tc>
        <w:tc>
          <w:tcPr>
            <w:tcW w:w="737" w:type="dxa"/>
            <w:vAlign w:val="top"/>
          </w:tcPr>
          <w:p>
            <w:pPr>
              <w:pStyle w:val="TableText"/>
              <w:ind w:left="162"/>
              <w:spacing w:before="33" w:line="215" w:lineRule="auto"/>
              <w:rPr/>
            </w:pPr>
            <w:r>
              <w:rPr>
                <w:spacing w:val="5"/>
              </w:rPr>
              <w:t>昼间</w:t>
            </w:r>
          </w:p>
        </w:tc>
        <w:tc>
          <w:tcPr>
            <w:tcW w:w="608" w:type="dxa"/>
            <w:vAlign w:val="top"/>
          </w:tcPr>
          <w:p>
            <w:pPr>
              <w:pStyle w:val="TableText"/>
              <w:ind w:left="102"/>
              <w:spacing w:before="33" w:line="215" w:lineRule="auto"/>
              <w:rPr/>
            </w:pPr>
            <w:r>
              <w:rPr>
                <w:spacing w:val="3"/>
              </w:rPr>
              <w:t>夜间</w:t>
            </w:r>
          </w:p>
        </w:tc>
        <w:tc>
          <w:tcPr>
            <w:tcW w:w="778" w:type="dxa"/>
            <w:vAlign w:val="top"/>
          </w:tcPr>
          <w:p>
            <w:pPr>
              <w:pStyle w:val="TableText"/>
              <w:ind w:left="183"/>
              <w:spacing w:before="33" w:line="215" w:lineRule="auto"/>
              <w:rPr/>
            </w:pPr>
            <w:r>
              <w:rPr>
                <w:spacing w:val="5"/>
              </w:rPr>
              <w:t>昼间</w:t>
            </w:r>
          </w:p>
        </w:tc>
        <w:tc>
          <w:tcPr>
            <w:tcW w:w="694" w:type="dxa"/>
            <w:vAlign w:val="top"/>
          </w:tcPr>
          <w:p>
            <w:pPr>
              <w:pStyle w:val="TableText"/>
              <w:ind w:left="146"/>
              <w:spacing w:before="33" w:line="215" w:lineRule="auto"/>
              <w:rPr/>
            </w:pPr>
            <w:r>
              <w:rPr>
                <w:spacing w:val="3"/>
              </w:rPr>
              <w:t>夜间</w:t>
            </w:r>
          </w:p>
        </w:tc>
        <w:tc>
          <w:tcPr>
            <w:tcW w:w="649" w:type="dxa"/>
            <w:vAlign w:val="top"/>
          </w:tcPr>
          <w:p>
            <w:pPr>
              <w:pStyle w:val="TableText"/>
              <w:ind w:left="120"/>
              <w:spacing w:before="33" w:line="215" w:lineRule="auto"/>
              <w:rPr/>
            </w:pPr>
            <w:r>
              <w:rPr>
                <w:spacing w:val="5"/>
              </w:rPr>
              <w:t>昼间</w:t>
            </w:r>
          </w:p>
        </w:tc>
        <w:tc>
          <w:tcPr>
            <w:tcW w:w="662" w:type="dxa"/>
            <w:vAlign w:val="top"/>
          </w:tcPr>
          <w:p>
            <w:pPr>
              <w:pStyle w:val="TableText"/>
              <w:ind w:left="130"/>
              <w:spacing w:before="33" w:line="215" w:lineRule="auto"/>
              <w:rPr/>
            </w:pPr>
            <w:r>
              <w:rPr>
                <w:spacing w:val="3"/>
              </w:rPr>
              <w:t>夜间</w:t>
            </w:r>
          </w:p>
        </w:tc>
        <w:tc>
          <w:tcPr>
            <w:tcW w:w="620" w:type="dxa"/>
            <w:vAlign w:val="top"/>
          </w:tcPr>
          <w:p>
            <w:pPr>
              <w:pStyle w:val="TableText"/>
              <w:ind w:left="107"/>
              <w:spacing w:before="33" w:line="215" w:lineRule="auto"/>
              <w:rPr/>
            </w:pPr>
            <w:r>
              <w:rPr>
                <w:spacing w:val="5"/>
              </w:rPr>
              <w:t>昼间</w:t>
            </w:r>
          </w:p>
        </w:tc>
        <w:tc>
          <w:tcPr>
            <w:tcW w:w="542" w:type="dxa"/>
            <w:vAlign w:val="top"/>
          </w:tcPr>
          <w:p>
            <w:pPr>
              <w:pStyle w:val="TableText"/>
              <w:ind w:left="72"/>
              <w:spacing w:before="33" w:line="215" w:lineRule="auto"/>
              <w:rPr/>
            </w:pPr>
            <w:r>
              <w:rPr>
                <w:spacing w:val="3"/>
              </w:rPr>
              <w:t>夜间</w:t>
            </w:r>
          </w:p>
        </w:tc>
        <w:tc>
          <w:tcPr>
            <w:tcW w:w="514" w:type="dxa"/>
            <w:vAlign w:val="top"/>
          </w:tcPr>
          <w:p>
            <w:pPr>
              <w:pStyle w:val="TableText"/>
              <w:ind w:left="54"/>
              <w:spacing w:before="33" w:line="215" w:lineRule="auto"/>
              <w:rPr/>
            </w:pPr>
            <w:r>
              <w:rPr>
                <w:spacing w:val="5"/>
              </w:rPr>
              <w:t>昼间</w:t>
            </w:r>
          </w:p>
        </w:tc>
        <w:tc>
          <w:tcPr>
            <w:tcW w:w="588" w:type="dxa"/>
            <w:vAlign w:val="top"/>
          </w:tcPr>
          <w:p>
            <w:pPr>
              <w:pStyle w:val="TableText"/>
              <w:ind w:left="94"/>
              <w:spacing w:before="33" w:line="215" w:lineRule="auto"/>
              <w:rPr/>
            </w:pPr>
            <w:r>
              <w:rPr>
                <w:spacing w:val="3"/>
              </w:rPr>
              <w:t>夜间</w:t>
            </w:r>
          </w:p>
        </w:tc>
      </w:tr>
      <w:tr>
        <w:trPr>
          <w:trHeight w:val="280" w:hRule="atLeast"/>
        </w:trPr>
        <w:tc>
          <w:tcPr>
            <w:tcW w:w="385" w:type="dxa"/>
            <w:vAlign w:val="top"/>
          </w:tcPr>
          <w:p>
            <w:pPr>
              <w:ind w:left="16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564" w:type="dxa"/>
            <w:vAlign w:val="top"/>
          </w:tcPr>
          <w:p>
            <w:pPr>
              <w:pStyle w:val="TableText"/>
              <w:ind w:left="7"/>
              <w:spacing w:before="36" w:line="216" w:lineRule="auto"/>
              <w:rPr>
                <w:rFonts w:ascii="Times New Roman" w:hAnsi="Times New Roman" w:eastAsia="Times New Roman" w:cs="Times New Roman"/>
              </w:rPr>
            </w:pPr>
            <w:r>
              <w:rPr>
                <w:spacing w:val="15"/>
              </w:rPr>
              <w:t>散户</w:t>
            </w:r>
            <w:r>
              <w:rPr>
                <w:rFonts w:ascii="Times New Roman" w:hAnsi="Times New Roman" w:eastAsia="Times New Roman" w:cs="Times New Roman"/>
                <w:spacing w:val="15"/>
              </w:rPr>
              <w:t>2</w:t>
            </w:r>
          </w:p>
        </w:tc>
        <w:tc>
          <w:tcPr>
            <w:tcW w:w="639" w:type="dxa"/>
            <w:vAlign w:val="top"/>
          </w:tcPr>
          <w:p>
            <w:pPr>
              <w:ind w:left="21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52</w:t>
            </w:r>
          </w:p>
        </w:tc>
        <w:tc>
          <w:tcPr>
            <w:tcW w:w="559" w:type="dxa"/>
            <w:vAlign w:val="top"/>
          </w:tcPr>
          <w:p>
            <w:pPr>
              <w:ind w:left="17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41</w:t>
            </w:r>
          </w:p>
        </w:tc>
        <w:tc>
          <w:tcPr>
            <w:tcW w:w="737" w:type="dxa"/>
            <w:vAlign w:val="top"/>
          </w:tcPr>
          <w:p>
            <w:pPr>
              <w:ind w:left="13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21.82</w:t>
            </w:r>
          </w:p>
        </w:tc>
        <w:tc>
          <w:tcPr>
            <w:tcW w:w="608" w:type="dxa"/>
            <w:vAlign w:val="top"/>
          </w:tcPr>
          <w:p>
            <w:pPr>
              <w:ind w:left="6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21.82</w:t>
            </w:r>
          </w:p>
        </w:tc>
        <w:tc>
          <w:tcPr>
            <w:tcW w:w="778" w:type="dxa"/>
            <w:vAlign w:val="top"/>
          </w:tcPr>
          <w:p>
            <w:pPr>
              <w:ind w:left="15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52.01</w:t>
            </w:r>
          </w:p>
        </w:tc>
        <w:tc>
          <w:tcPr>
            <w:tcW w:w="694" w:type="dxa"/>
            <w:vAlign w:val="top"/>
          </w:tcPr>
          <w:p>
            <w:pPr>
              <w:ind w:left="11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41.04</w:t>
            </w:r>
          </w:p>
        </w:tc>
        <w:tc>
          <w:tcPr>
            <w:tcW w:w="649" w:type="dxa"/>
            <w:vAlign w:val="top"/>
          </w:tcPr>
          <w:p>
            <w:pPr>
              <w:ind w:left="22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662" w:type="dxa"/>
            <w:vAlign w:val="top"/>
          </w:tcPr>
          <w:p>
            <w:pPr>
              <w:ind w:left="23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620" w:type="dxa"/>
            <w:vAlign w:val="top"/>
          </w:tcPr>
          <w:p>
            <w:pPr>
              <w:ind w:left="13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542" w:type="dxa"/>
            <w:vAlign w:val="top"/>
          </w:tcPr>
          <w:p>
            <w:pPr>
              <w:ind w:left="9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0.04</w:t>
            </w:r>
          </w:p>
        </w:tc>
        <w:tc>
          <w:tcPr>
            <w:tcW w:w="514" w:type="dxa"/>
            <w:vAlign w:val="top"/>
          </w:tcPr>
          <w:p>
            <w:pPr>
              <w:pStyle w:val="TableText"/>
              <w:ind w:left="54"/>
              <w:spacing w:before="36" w:line="216" w:lineRule="auto"/>
              <w:rPr/>
            </w:pPr>
            <w:r>
              <w:rPr>
                <w:spacing w:val="5"/>
              </w:rPr>
              <w:t>达标</w:t>
            </w:r>
          </w:p>
        </w:tc>
        <w:tc>
          <w:tcPr>
            <w:tcW w:w="588" w:type="dxa"/>
            <w:vAlign w:val="top"/>
          </w:tcPr>
          <w:p>
            <w:pPr>
              <w:pStyle w:val="TableText"/>
              <w:ind w:left="90"/>
              <w:spacing w:before="36" w:line="216" w:lineRule="auto"/>
              <w:rPr/>
            </w:pPr>
            <w:r>
              <w:rPr>
                <w:spacing w:val="5"/>
              </w:rPr>
              <w:t>达标</w:t>
            </w:r>
          </w:p>
        </w:tc>
      </w:tr>
    </w:tbl>
    <w:p>
      <w:pPr>
        <w:ind w:left="25" w:firstLine="484"/>
        <w:spacing w:before="194" w:line="386" w:lineRule="auto"/>
        <w:rPr>
          <w:rFonts w:ascii="SimSun" w:hAnsi="SimSun" w:eastAsia="SimSun" w:cs="SimSun"/>
          <w:sz w:val="24"/>
          <w:szCs w:val="24"/>
        </w:rPr>
      </w:pPr>
      <w:r>
        <w:rPr>
          <w:rFonts w:ascii="SimSun" w:hAnsi="SimSun" w:eastAsia="SimSun" w:cs="SimSun"/>
          <w:sz w:val="24"/>
          <w:szCs w:val="24"/>
          <w:spacing w:val="4"/>
        </w:rPr>
        <w:t>根据预测结果，本项目建成后东厂区和西厂</w:t>
      </w:r>
      <w:r>
        <w:rPr>
          <w:rFonts w:ascii="SimSun" w:hAnsi="SimSun" w:eastAsia="SimSun" w:cs="SimSun"/>
          <w:sz w:val="24"/>
          <w:szCs w:val="24"/>
          <w:spacing w:val="3"/>
        </w:rPr>
        <w:t>区厂界噪声最大贡献值在昼间、</w:t>
      </w:r>
      <w:r>
        <w:rPr>
          <w:rFonts w:ascii="SimSun" w:hAnsi="SimSun" w:eastAsia="SimSun" w:cs="SimSun"/>
          <w:sz w:val="24"/>
          <w:szCs w:val="24"/>
        </w:rPr>
        <w:t xml:space="preserve"> </w:t>
      </w:r>
      <w:r>
        <w:rPr>
          <w:rFonts w:ascii="SimSun" w:hAnsi="SimSun" w:eastAsia="SimSun" w:cs="SimSun"/>
          <w:sz w:val="24"/>
          <w:szCs w:val="24"/>
          <w:spacing w:val="-2"/>
        </w:rPr>
        <w:t>夜间均能满足《工业企业厂界环境噪声排放标准》（</w:t>
      </w:r>
      <w:r>
        <w:rPr>
          <w:rFonts w:ascii="Times New Roman" w:hAnsi="Times New Roman" w:eastAsia="Times New Roman" w:cs="Times New Roman"/>
          <w:sz w:val="24"/>
          <w:szCs w:val="24"/>
          <w:spacing w:val="-2"/>
        </w:rPr>
        <w:t>GB12348-2008</w:t>
      </w: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类区标准限</w:t>
      </w:r>
      <w:r>
        <w:rPr>
          <w:rFonts w:ascii="SimSun" w:hAnsi="SimSun" w:eastAsia="SimSun" w:cs="SimSun"/>
          <w:sz w:val="24"/>
          <w:szCs w:val="24"/>
          <w:spacing w:val="7"/>
        </w:rPr>
        <w:t xml:space="preserve"> </w:t>
      </w:r>
      <w:r>
        <w:rPr>
          <w:rFonts w:ascii="SimSun" w:hAnsi="SimSun" w:eastAsia="SimSun" w:cs="SimSun"/>
          <w:sz w:val="24"/>
          <w:szCs w:val="24"/>
          <w:spacing w:val="-5"/>
        </w:rPr>
        <w:t>值的要求。声环境敏感点噪声预测结果可满足《声环境质量标准》（</w:t>
      </w:r>
      <w:r>
        <w:rPr>
          <w:rFonts w:ascii="Times New Roman" w:hAnsi="Times New Roman" w:eastAsia="Times New Roman" w:cs="Times New Roman"/>
          <w:sz w:val="24"/>
          <w:szCs w:val="24"/>
          <w:spacing w:val="-5"/>
        </w:rPr>
        <w:t>GB30</w:t>
      </w:r>
      <w:r>
        <w:rPr>
          <w:rFonts w:ascii="Times New Roman" w:hAnsi="Times New Roman" w:eastAsia="Times New Roman" w:cs="Times New Roman"/>
          <w:sz w:val="24"/>
          <w:szCs w:val="24"/>
          <w:spacing w:val="-6"/>
        </w:rPr>
        <w:t>96-2008</w:t>
      </w:r>
      <w:r>
        <w:rPr>
          <w:rFonts w:ascii="SimSun" w:hAnsi="SimSun" w:eastAsia="SimSun" w:cs="SimSun"/>
          <w:sz w:val="24"/>
          <w:szCs w:val="24"/>
          <w:spacing w:val="-6"/>
        </w:rPr>
        <w:t>）</w:t>
      </w:r>
      <w:r>
        <w:rPr>
          <w:rFonts w:ascii="SimSun" w:hAnsi="SimSun" w:eastAsia="SimSun" w:cs="SimSun"/>
          <w:sz w:val="24"/>
          <w:szCs w:val="24"/>
        </w:rPr>
        <w:t xml:space="preserve"> </w:t>
      </w:r>
      <w:r>
        <w:rPr>
          <w:rFonts w:ascii="Times New Roman" w:hAnsi="Times New Roman" w:eastAsia="Times New Roman" w:cs="Times New Roman"/>
          <w:sz w:val="24"/>
          <w:szCs w:val="24"/>
          <w:spacing w:val="-2"/>
        </w:rPr>
        <w:t>2</w:t>
      </w:r>
      <w:r>
        <w:rPr>
          <w:rFonts w:ascii="SimSun" w:hAnsi="SimSun" w:eastAsia="SimSun" w:cs="SimSun"/>
          <w:sz w:val="24"/>
          <w:szCs w:val="24"/>
          <w:spacing w:val="-2"/>
        </w:rPr>
        <w:t>类标准。</w:t>
      </w:r>
    </w:p>
    <w:p>
      <w:pPr>
        <w:pStyle w:val="BodyText"/>
        <w:spacing w:line="244" w:lineRule="auto"/>
        <w:rPr/>
      </w:pPr>
      <w:r/>
    </w:p>
    <w:p>
      <w:pPr>
        <w:pStyle w:val="BodyText"/>
        <w:spacing w:line="244"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ind w:left="27"/>
        <w:spacing w:before="63" w:line="225" w:lineRule="auto"/>
        <w:rPr>
          <w:rFonts w:ascii="SimSun" w:hAnsi="SimSun" w:eastAsia="SimSun" w:cs="SimSun"/>
          <w:sz w:val="19"/>
          <w:szCs w:val="19"/>
        </w:rPr>
      </w:pPr>
      <w:r>
        <w:pict>
          <v:shape id="_x0000_s1004" style="position:absolute;margin-left:160.32pt;margin-top:2.12459pt;mso-position-vertical-relative:text;mso-position-horizontal-relative:text;width:61pt;height:13.75pt;z-index:25213440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213</w:t>
                  </w:r>
                </w:p>
              </w:txbxContent>
            </v:textbox>
          </v:shape>
        </w:pict>
      </w:r>
      <w:r>
        <w:rPr>
          <w:rFonts w:ascii="SimSun" w:hAnsi="SimSun" w:eastAsia="SimSun" w:cs="SimSun"/>
          <w:sz w:val="19"/>
          <w:szCs w:val="19"/>
          <w:spacing w:val="9"/>
        </w:rPr>
        <w:t>锡林郭勒盟中安环境技术咨询有限责</w:t>
      </w:r>
    </w:p>
    <w:p>
      <w:pPr>
        <w:spacing w:line="225" w:lineRule="auto"/>
        <w:sectPr>
          <w:headerReference w:type="default" r:id="rId293"/>
          <w:footerReference w:type="default" r:id="rId3"/>
          <w:pgSz w:w="11907" w:h="16840"/>
          <w:pgMar w:top="1567" w:right="1603" w:bottom="400" w:left="1681" w:header="1221" w:footer="0" w:gutter="0"/>
        </w:sectPr>
        <w:rPr>
          <w:rFonts w:ascii="SimSun" w:hAnsi="SimSun" w:eastAsia="SimSun" w:cs="SimSun"/>
          <w:sz w:val="19"/>
          <w:szCs w:val="19"/>
        </w:rPr>
      </w:pPr>
    </w:p>
    <w:p>
      <w:pPr>
        <w:ind w:firstLine="9"/>
        <w:spacing w:before="133" w:line="6512" w:lineRule="exact"/>
        <w:rPr/>
      </w:pPr>
      <w:r>
        <w:pict>
          <v:shape id="_x0000_s1006" style="position:absolute;margin-left:85.05pt;margin-top:78.87pt;mso-position-vertical-relative:page;mso-position-horizontal-relative:page;width:425.25pt;height:0.75pt;z-index:252137472;" o:allowincell="f" fillcolor="#000000" filled="true" stroked="false" coordsize="8505,15" coordorigin="0,0" path="m,l8505,0l8505,14l0,14l0,0xe"/>
        </w:pict>
      </w:r>
      <w:r>
        <w:rPr>
          <w:position w:val="-130"/>
        </w:rPr>
        <w:drawing>
          <wp:inline distT="0" distB="0" distL="0" distR="0">
            <wp:extent cx="5398007" cy="4134611"/>
            <wp:effectExtent l="0" t="0" r="0" b="0"/>
            <wp:docPr id="182" name="IM 182"/>
            <wp:cNvGraphicFramePr/>
            <a:graphic>
              <a:graphicData uri="http://schemas.openxmlformats.org/drawingml/2006/picture">
                <pic:pic>
                  <pic:nvPicPr>
                    <pic:cNvPr id="182" name="IM 182"/>
                    <pic:cNvPicPr/>
                  </pic:nvPicPr>
                  <pic:blipFill>
                    <a:blip r:embed="rId295"/>
                    <a:stretch>
                      <a:fillRect/>
                    </a:stretch>
                  </pic:blipFill>
                  <pic:spPr>
                    <a:xfrm rot="0">
                      <a:off x="0" y="0"/>
                      <a:ext cx="5398007" cy="4134611"/>
                    </a:xfrm>
                    <a:prstGeom prst="rect">
                      <a:avLst/>
                    </a:prstGeom>
                  </pic:spPr>
                </pic:pic>
              </a:graphicData>
            </a:graphic>
          </wp:inline>
        </w:drawing>
      </w:r>
    </w:p>
    <w:p>
      <w:pPr>
        <w:ind w:left="1885"/>
        <w:spacing w:before="171" w:line="220" w:lineRule="auto"/>
        <w:rPr>
          <w:rFonts w:ascii="SimSun" w:hAnsi="SimSun" w:eastAsia="SimSun" w:cs="SimSun"/>
          <w:sz w:val="24"/>
          <w:szCs w:val="24"/>
        </w:rPr>
      </w:pPr>
      <w:bookmarkStart w:name="bookmark105" w:id="132"/>
      <w:bookmarkEnd w:id="132"/>
      <w:r>
        <w:rPr>
          <w:rFonts w:ascii="SimSun" w:hAnsi="SimSun" w:eastAsia="SimSun" w:cs="SimSun"/>
          <w:sz w:val="24"/>
          <w:szCs w:val="24"/>
          <w:b/>
          <w:bCs/>
          <w:spacing w:val="-3"/>
        </w:rPr>
        <w:t>图</w:t>
      </w:r>
      <w:r>
        <w:rPr>
          <w:rFonts w:ascii="Times New Roman" w:hAnsi="Times New Roman" w:eastAsia="Times New Roman" w:cs="Times New Roman"/>
          <w:sz w:val="24"/>
          <w:szCs w:val="24"/>
          <w:b/>
          <w:bCs/>
          <w:spacing w:val="-3"/>
        </w:rPr>
        <w:t>5.4-2        </w:t>
      </w:r>
      <w:r>
        <w:rPr>
          <w:rFonts w:ascii="SimSun" w:hAnsi="SimSun" w:eastAsia="SimSun" w:cs="SimSun"/>
          <w:sz w:val="24"/>
          <w:szCs w:val="24"/>
          <w:b/>
          <w:bCs/>
          <w:spacing w:val="-3"/>
        </w:rPr>
        <w:t>噪声预测结果图</w:t>
      </w:r>
      <w:r>
        <w:rPr>
          <w:rFonts w:ascii="SimSun" w:hAnsi="SimSun" w:eastAsia="SimSun" w:cs="SimSun"/>
          <w:sz w:val="24"/>
          <w:szCs w:val="24"/>
          <w:spacing w:val="15"/>
        </w:rPr>
        <w:t xml:space="preserve">  </w:t>
      </w:r>
      <w:r>
        <w:rPr>
          <w:rFonts w:ascii="SimSun" w:hAnsi="SimSun" w:eastAsia="SimSun" w:cs="SimSun"/>
          <w:sz w:val="24"/>
          <w:szCs w:val="24"/>
          <w:b/>
          <w:bCs/>
          <w:spacing w:val="-3"/>
        </w:rPr>
        <w:t>单位：</w:t>
      </w:r>
      <w:r>
        <w:rPr>
          <w:rFonts w:ascii="Times New Roman" w:hAnsi="Times New Roman" w:eastAsia="Times New Roman" w:cs="Times New Roman"/>
          <w:sz w:val="24"/>
          <w:szCs w:val="24"/>
          <w:b/>
          <w:bCs/>
          <w:spacing w:val="-3"/>
        </w:rPr>
        <w:t>dB</w:t>
      </w:r>
      <w:r>
        <w:rPr>
          <w:rFonts w:ascii="SimSun" w:hAnsi="SimSun" w:eastAsia="SimSun" w:cs="SimSun"/>
          <w:sz w:val="24"/>
          <w:szCs w:val="24"/>
          <w:b/>
          <w:bCs/>
          <w:spacing w:val="-3"/>
        </w:rPr>
        <w:t>（</w:t>
      </w:r>
      <w:r>
        <w:rPr>
          <w:rFonts w:ascii="Times New Roman" w:hAnsi="Times New Roman" w:eastAsia="Times New Roman" w:cs="Times New Roman"/>
          <w:sz w:val="24"/>
          <w:szCs w:val="24"/>
          <w:b/>
          <w:bCs/>
          <w:spacing w:val="-3"/>
        </w:rPr>
        <w:t>A</w:t>
      </w:r>
      <w:r>
        <w:rPr>
          <w:rFonts w:ascii="SimSun" w:hAnsi="SimSun" w:eastAsia="SimSun" w:cs="SimSun"/>
          <w:sz w:val="24"/>
          <w:szCs w:val="24"/>
          <w:b/>
          <w:bCs/>
          <w:spacing w:val="-3"/>
        </w:rPr>
        <w:t>）</w:t>
      </w:r>
    </w:p>
    <w:p>
      <w:pPr>
        <w:ind w:left="22"/>
        <w:spacing w:before="188" w:line="224" w:lineRule="auto"/>
        <w:outlineLvl w:val="2"/>
        <w:rPr>
          <w:rFonts w:ascii="SimHei" w:hAnsi="SimHei" w:eastAsia="SimHei" w:cs="SimHei"/>
          <w:sz w:val="28"/>
          <w:szCs w:val="28"/>
        </w:rPr>
      </w:pPr>
      <w:bookmarkStart w:name="bookmark241" w:id="133"/>
      <w:bookmarkEnd w:id="133"/>
      <w:r>
        <w:rPr>
          <w:rFonts w:ascii="Times New Roman" w:hAnsi="Times New Roman" w:eastAsia="Times New Roman" w:cs="Times New Roman"/>
          <w:sz w:val="28"/>
          <w:szCs w:val="28"/>
          <w:spacing w:val="-5"/>
        </w:rPr>
        <w:t>5.4.4</w:t>
      </w:r>
      <w:r>
        <w:rPr>
          <w:rFonts w:ascii="Times New Roman" w:hAnsi="Times New Roman" w:eastAsia="Times New Roman" w:cs="Times New Roman"/>
          <w:sz w:val="28"/>
          <w:szCs w:val="28"/>
          <w:spacing w:val="21"/>
        </w:rPr>
        <w:t xml:space="preserve"> </w:t>
      </w:r>
      <w:r>
        <w:rPr>
          <w:rFonts w:ascii="SimHei" w:hAnsi="SimHei" w:eastAsia="SimHei" w:cs="SimHei"/>
          <w:sz w:val="28"/>
          <w:szCs w:val="28"/>
          <w:spacing w:val="-5"/>
        </w:rPr>
        <w:t>小结</w:t>
      </w:r>
    </w:p>
    <w:p>
      <w:pPr>
        <w:pStyle w:val="BodyText"/>
        <w:spacing w:line="275" w:lineRule="auto"/>
        <w:rPr/>
      </w:pPr>
      <w:r/>
    </w:p>
    <w:p>
      <w:pPr>
        <w:ind w:left="498"/>
        <w:spacing w:before="78" w:line="218" w:lineRule="auto"/>
        <w:rPr>
          <w:rFonts w:ascii="SimSun" w:hAnsi="SimSun" w:eastAsia="SimSun" w:cs="SimSun"/>
          <w:sz w:val="24"/>
          <w:szCs w:val="24"/>
        </w:rPr>
      </w:pPr>
      <w:r>
        <w:rPr>
          <w:rFonts w:ascii="SimSun" w:hAnsi="SimSun" w:eastAsia="SimSun" w:cs="SimSun"/>
          <w:sz w:val="24"/>
          <w:szCs w:val="24"/>
          <w:spacing w:val="-1"/>
        </w:rPr>
        <w:t>拟建项目声环境影响评价自查见下表</w:t>
      </w:r>
      <w:r>
        <w:rPr>
          <w:rFonts w:ascii="Times New Roman" w:hAnsi="Times New Roman" w:eastAsia="Times New Roman" w:cs="Times New Roman"/>
          <w:sz w:val="24"/>
          <w:szCs w:val="24"/>
          <w:spacing w:val="-1"/>
        </w:rPr>
        <w:t>5.4-4</w:t>
      </w:r>
      <w:r>
        <w:rPr>
          <w:rFonts w:ascii="SimSun" w:hAnsi="SimSun" w:eastAsia="SimSun" w:cs="SimSun"/>
          <w:sz w:val="24"/>
          <w:szCs w:val="24"/>
          <w:spacing w:val="-1"/>
        </w:rPr>
        <w:t>。</w:t>
      </w:r>
    </w:p>
    <w:p>
      <w:pPr>
        <w:ind w:left="2453"/>
        <w:spacing w:before="182" w:line="213" w:lineRule="auto"/>
        <w:rPr>
          <w:rFonts w:ascii="SimSun" w:hAnsi="SimSun" w:eastAsia="SimSun" w:cs="SimSun"/>
          <w:sz w:val="24"/>
          <w:szCs w:val="24"/>
        </w:rPr>
      </w:pPr>
      <w:r>
        <w:rPr>
          <w:rFonts w:ascii="SimSun" w:hAnsi="SimSun" w:eastAsia="SimSun" w:cs="SimSun"/>
          <w:sz w:val="24"/>
          <w:szCs w:val="24"/>
          <w:b/>
          <w:bCs/>
          <w:spacing w:val="-1"/>
        </w:rPr>
        <w:t>表</w:t>
      </w:r>
      <w:r>
        <w:rPr>
          <w:rFonts w:ascii="Times New Roman" w:hAnsi="Times New Roman" w:eastAsia="Times New Roman" w:cs="Times New Roman"/>
          <w:sz w:val="24"/>
          <w:szCs w:val="24"/>
          <w:b/>
          <w:bCs/>
          <w:spacing w:val="-1"/>
        </w:rPr>
        <w:t>5.4-4        </w:t>
      </w:r>
      <w:r>
        <w:rPr>
          <w:rFonts w:ascii="SimSun" w:hAnsi="SimSun" w:eastAsia="SimSun" w:cs="SimSun"/>
          <w:sz w:val="24"/>
          <w:szCs w:val="24"/>
          <w:b/>
          <w:bCs/>
          <w:spacing w:val="-1"/>
        </w:rPr>
        <w:t>声环境影响</w:t>
      </w:r>
      <w:r>
        <w:rPr>
          <w:rFonts w:ascii="SimSun" w:hAnsi="SimSun" w:eastAsia="SimSun" w:cs="SimSun"/>
          <w:sz w:val="24"/>
          <w:szCs w:val="24"/>
          <w:b/>
          <w:bCs/>
          <w:spacing w:val="-2"/>
        </w:rPr>
        <w:t>评价自查表</w:t>
      </w:r>
    </w:p>
    <w:tbl>
      <w:tblPr>
        <w:tblStyle w:val="TableNormal"/>
        <w:tblW w:w="8516"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59"/>
        <w:gridCol w:w="1499"/>
        <w:gridCol w:w="956"/>
        <w:gridCol w:w="489"/>
        <w:gridCol w:w="305"/>
        <w:gridCol w:w="221"/>
        <w:gridCol w:w="1037"/>
        <w:gridCol w:w="581"/>
        <w:gridCol w:w="502"/>
        <w:gridCol w:w="529"/>
        <w:gridCol w:w="557"/>
        <w:gridCol w:w="981"/>
      </w:tblGrid>
      <w:tr>
        <w:trPr>
          <w:trHeight w:val="281" w:hRule="atLeast"/>
        </w:trPr>
        <w:tc>
          <w:tcPr>
            <w:tcW w:w="2358" w:type="dxa"/>
            <w:vAlign w:val="top"/>
            <w:gridSpan w:val="2"/>
          </w:tcPr>
          <w:p>
            <w:pPr>
              <w:pStyle w:val="TableText"/>
              <w:ind w:left="766"/>
              <w:spacing w:before="36" w:line="216" w:lineRule="auto"/>
              <w:rPr/>
            </w:pPr>
            <w:r>
              <w:rPr>
                <w:spacing w:val="6"/>
              </w:rPr>
              <w:t>工作内容</w:t>
            </w:r>
          </w:p>
        </w:tc>
        <w:tc>
          <w:tcPr>
            <w:tcW w:w="6158" w:type="dxa"/>
            <w:vAlign w:val="top"/>
            <w:gridSpan w:val="10"/>
          </w:tcPr>
          <w:p>
            <w:pPr>
              <w:pStyle w:val="TableText"/>
              <w:ind w:left="2697"/>
              <w:spacing w:before="36" w:line="216" w:lineRule="auto"/>
              <w:rPr/>
            </w:pPr>
            <w:r>
              <w:rPr>
                <w:spacing w:val="-2"/>
              </w:rPr>
              <w:t>自查项目</w:t>
            </w:r>
          </w:p>
        </w:tc>
      </w:tr>
      <w:tr>
        <w:trPr>
          <w:trHeight w:val="278" w:hRule="atLeast"/>
        </w:trPr>
        <w:tc>
          <w:tcPr>
            <w:tcW w:w="859" w:type="dxa"/>
            <w:vAlign w:val="top"/>
            <w:vMerge w:val="restart"/>
            <w:tcBorders>
              <w:bottom w:val="nil"/>
            </w:tcBorders>
          </w:tcPr>
          <w:p>
            <w:pPr>
              <w:pStyle w:val="TableText"/>
              <w:ind w:left="124" w:right="9" w:hanging="110"/>
              <w:spacing w:before="37" w:line="236" w:lineRule="auto"/>
              <w:rPr/>
            </w:pPr>
            <w:r>
              <w:rPr>
                <w:spacing w:val="7"/>
              </w:rPr>
              <w:t>评价等级</w:t>
            </w:r>
            <w:r>
              <w:rPr>
                <w:spacing w:val="1"/>
              </w:rPr>
              <w:t xml:space="preserve"> </w:t>
            </w:r>
            <w:r>
              <w:rPr>
                <w:spacing w:val="5"/>
              </w:rPr>
              <w:t>与范围</w:t>
            </w:r>
          </w:p>
        </w:tc>
        <w:tc>
          <w:tcPr>
            <w:tcW w:w="1499" w:type="dxa"/>
            <w:vAlign w:val="top"/>
          </w:tcPr>
          <w:p>
            <w:pPr>
              <w:pStyle w:val="TableText"/>
              <w:ind w:left="333"/>
              <w:spacing w:before="31" w:line="218" w:lineRule="auto"/>
              <w:rPr/>
            </w:pPr>
            <w:r>
              <w:rPr>
                <w:spacing w:val="7"/>
              </w:rPr>
              <w:t>评价等级</w:t>
            </w:r>
          </w:p>
        </w:tc>
        <w:tc>
          <w:tcPr>
            <w:tcW w:w="6158" w:type="dxa"/>
            <w:vAlign w:val="top"/>
            <w:gridSpan w:val="10"/>
          </w:tcPr>
          <w:p>
            <w:pPr>
              <w:pStyle w:val="TableText"/>
              <w:ind w:left="965"/>
              <w:spacing w:before="32" w:line="165" w:lineRule="auto"/>
              <w:rPr>
                <w:rFonts w:ascii="Microsoft YaHei" w:hAnsi="Microsoft YaHei" w:eastAsia="Microsoft YaHei" w:cs="Microsoft YaHei"/>
              </w:rPr>
            </w:pPr>
            <w:r>
              <w:rPr>
                <w:spacing w:val="7"/>
              </w:rPr>
              <w:t>一级□              二级</w:t>
            </w:r>
            <w:r>
              <w:rPr>
                <w:rFonts w:ascii="MS Gothic" w:hAnsi="MS Gothic" w:eastAsia="MS Gothic" w:cs="MS Gothic"/>
                <w:spacing w:val="7"/>
              </w:rPr>
              <w:t>☑</w:t>
            </w:r>
            <w:r>
              <w:rPr>
                <w:rFonts w:ascii="MS Gothic" w:hAnsi="MS Gothic" w:eastAsia="MS Gothic" w:cs="MS Gothic"/>
                <w:spacing w:val="4"/>
              </w:rPr>
              <w:t xml:space="preserve">         </w:t>
            </w:r>
            <w:r>
              <w:rPr>
                <w:spacing w:val="7"/>
              </w:rPr>
              <w:t>三级</w:t>
            </w:r>
            <w:r>
              <w:rPr>
                <w:rFonts w:ascii="Microsoft YaHei" w:hAnsi="Microsoft YaHei" w:eastAsia="Microsoft YaHei" w:cs="Microsoft YaHei"/>
                <w:spacing w:val="7"/>
              </w:rPr>
              <w:t>□</w:t>
            </w:r>
          </w:p>
        </w:tc>
      </w:tr>
      <w:tr>
        <w:trPr>
          <w:trHeight w:val="276" w:hRule="atLeast"/>
        </w:trPr>
        <w:tc>
          <w:tcPr>
            <w:tcW w:w="859" w:type="dxa"/>
            <w:vAlign w:val="top"/>
            <w:vMerge w:val="continue"/>
            <w:tcBorders>
              <w:top w:val="nil"/>
            </w:tcBorders>
          </w:tcPr>
          <w:p>
            <w:pPr>
              <w:rPr>
                <w:rFonts w:ascii="Arial"/>
                <w:sz w:val="21"/>
              </w:rPr>
            </w:pPr>
            <w:r/>
          </w:p>
        </w:tc>
        <w:tc>
          <w:tcPr>
            <w:tcW w:w="1499" w:type="dxa"/>
            <w:vAlign w:val="top"/>
          </w:tcPr>
          <w:p>
            <w:pPr>
              <w:pStyle w:val="TableText"/>
              <w:ind w:left="333"/>
              <w:spacing w:before="31" w:line="216" w:lineRule="auto"/>
              <w:rPr/>
            </w:pPr>
            <w:r>
              <w:rPr>
                <w:spacing w:val="7"/>
              </w:rPr>
              <w:t>评价范围</w:t>
            </w:r>
          </w:p>
        </w:tc>
        <w:tc>
          <w:tcPr>
            <w:tcW w:w="6158" w:type="dxa"/>
            <w:vAlign w:val="top"/>
            <w:gridSpan w:val="10"/>
          </w:tcPr>
          <w:p>
            <w:pPr>
              <w:pStyle w:val="TableText"/>
              <w:ind w:left="141"/>
              <w:spacing w:before="32" w:line="163" w:lineRule="auto"/>
              <w:rPr/>
            </w:pPr>
            <w:r>
              <w:rPr>
                <w:rFonts w:ascii="Times New Roman" w:hAnsi="Times New Roman" w:eastAsia="Times New Roman" w:cs="Times New Roman"/>
                <w:spacing w:val="4"/>
              </w:rPr>
              <w:t>200m</w:t>
            </w:r>
            <w:r>
              <w:rPr>
                <w:rFonts w:ascii="Microsoft YaHei" w:hAnsi="Microsoft YaHei" w:eastAsia="Microsoft YaHei" w:cs="Microsoft YaHei"/>
                <w:spacing w:val="4"/>
              </w:rPr>
              <w:t>四                            </w:t>
            </w:r>
            <w:r>
              <w:rPr>
                <w:spacing w:val="4"/>
              </w:rPr>
              <w:t>大于</w:t>
            </w:r>
            <w:r>
              <w:rPr>
                <w:rFonts w:ascii="Times New Roman" w:hAnsi="Times New Roman" w:eastAsia="Times New Roman" w:cs="Times New Roman"/>
                <w:spacing w:val="4"/>
              </w:rPr>
              <w:t>200m</w:t>
            </w:r>
            <w:r>
              <w:rPr>
                <w:spacing w:val="4"/>
              </w:rPr>
              <w:t>□            小于</w:t>
            </w:r>
            <w:r>
              <w:rPr>
                <w:rFonts w:ascii="Times New Roman" w:hAnsi="Times New Roman" w:eastAsia="Times New Roman" w:cs="Times New Roman"/>
                <w:spacing w:val="4"/>
              </w:rPr>
              <w:t>200m</w:t>
            </w:r>
            <w:r>
              <w:rPr>
                <w:spacing w:val="4"/>
              </w:rPr>
              <w:t>□</w:t>
            </w:r>
          </w:p>
        </w:tc>
      </w:tr>
      <w:tr>
        <w:trPr>
          <w:trHeight w:val="277" w:hRule="atLeast"/>
        </w:trPr>
        <w:tc>
          <w:tcPr>
            <w:tcW w:w="859" w:type="dxa"/>
            <w:vAlign w:val="top"/>
          </w:tcPr>
          <w:p>
            <w:pPr>
              <w:pStyle w:val="TableText"/>
              <w:ind w:left="14"/>
              <w:spacing w:before="34" w:line="215" w:lineRule="auto"/>
              <w:rPr/>
            </w:pPr>
            <w:r>
              <w:rPr>
                <w:spacing w:val="7"/>
              </w:rPr>
              <w:t>评价因子</w:t>
            </w:r>
          </w:p>
        </w:tc>
        <w:tc>
          <w:tcPr>
            <w:tcW w:w="1499" w:type="dxa"/>
            <w:vAlign w:val="top"/>
          </w:tcPr>
          <w:p>
            <w:pPr>
              <w:pStyle w:val="TableText"/>
              <w:ind w:left="333"/>
              <w:spacing w:before="34" w:line="215" w:lineRule="auto"/>
              <w:rPr/>
            </w:pPr>
            <w:r>
              <w:rPr>
                <w:spacing w:val="7"/>
              </w:rPr>
              <w:t>评价因子</w:t>
            </w:r>
          </w:p>
        </w:tc>
        <w:tc>
          <w:tcPr>
            <w:tcW w:w="6158" w:type="dxa"/>
            <w:vAlign w:val="top"/>
            <w:gridSpan w:val="10"/>
          </w:tcPr>
          <w:p>
            <w:pPr>
              <w:pStyle w:val="TableText"/>
              <w:ind w:left="58"/>
              <w:spacing w:before="33" w:line="163" w:lineRule="auto"/>
              <w:rPr/>
            </w:pPr>
            <w:r>
              <w:rPr>
                <w:spacing w:val="7"/>
              </w:rPr>
              <w:t>等效连续</w:t>
            </w:r>
            <w:r>
              <w:rPr>
                <w:rFonts w:ascii="Times New Roman" w:hAnsi="Times New Roman" w:eastAsia="Times New Roman" w:cs="Times New Roman"/>
                <w:spacing w:val="7"/>
              </w:rPr>
              <w:t>A</w:t>
            </w:r>
            <w:r>
              <w:rPr>
                <w:spacing w:val="7"/>
              </w:rPr>
              <w:t>声级</w:t>
            </w:r>
            <w:r>
              <w:rPr>
                <w:rFonts w:ascii="Microsoft YaHei" w:hAnsi="Microsoft YaHei" w:eastAsia="Microsoft YaHei" w:cs="Microsoft YaHei"/>
                <w:spacing w:val="7"/>
              </w:rPr>
              <w:t>四       </w:t>
            </w:r>
            <w:r>
              <w:rPr>
                <w:spacing w:val="7"/>
              </w:rPr>
              <w:t>最大</w:t>
            </w:r>
            <w:r>
              <w:rPr>
                <w:rFonts w:ascii="Times New Roman" w:hAnsi="Times New Roman" w:eastAsia="Times New Roman" w:cs="Times New Roman"/>
                <w:spacing w:val="7"/>
              </w:rPr>
              <w:t>A</w:t>
            </w:r>
            <w:r>
              <w:rPr>
                <w:spacing w:val="7"/>
              </w:rPr>
              <w:t>声级□  </w:t>
            </w:r>
            <w:r>
              <w:rPr>
                <w:spacing w:val="6"/>
              </w:rPr>
              <w:t xml:space="preserve"> 计权等效连续感觉噪声级□</w:t>
            </w:r>
          </w:p>
        </w:tc>
      </w:tr>
      <w:tr>
        <w:trPr>
          <w:trHeight w:val="277" w:hRule="atLeast"/>
        </w:trPr>
        <w:tc>
          <w:tcPr>
            <w:tcW w:w="859" w:type="dxa"/>
            <w:vAlign w:val="top"/>
          </w:tcPr>
          <w:p>
            <w:pPr>
              <w:pStyle w:val="TableText"/>
              <w:ind w:left="14"/>
              <w:spacing w:before="33" w:line="216" w:lineRule="auto"/>
              <w:rPr/>
            </w:pPr>
            <w:r>
              <w:rPr>
                <w:spacing w:val="7"/>
              </w:rPr>
              <w:t>评价标准</w:t>
            </w:r>
          </w:p>
        </w:tc>
        <w:tc>
          <w:tcPr>
            <w:tcW w:w="1499" w:type="dxa"/>
            <w:vAlign w:val="top"/>
          </w:tcPr>
          <w:p>
            <w:pPr>
              <w:pStyle w:val="TableText"/>
              <w:ind w:left="333"/>
              <w:spacing w:before="33" w:line="216" w:lineRule="auto"/>
              <w:rPr/>
            </w:pPr>
            <w:r>
              <w:rPr>
                <w:spacing w:val="7"/>
              </w:rPr>
              <w:t>评价标准</w:t>
            </w:r>
          </w:p>
        </w:tc>
        <w:tc>
          <w:tcPr>
            <w:tcW w:w="6158" w:type="dxa"/>
            <w:vAlign w:val="top"/>
            <w:gridSpan w:val="10"/>
          </w:tcPr>
          <w:p>
            <w:pPr>
              <w:pStyle w:val="TableText"/>
              <w:ind w:left="70"/>
              <w:spacing w:before="33" w:line="163" w:lineRule="auto"/>
              <w:rPr/>
            </w:pPr>
            <w:r>
              <w:rPr>
                <w:spacing w:val="2"/>
              </w:rPr>
              <w:t>国家标准</w:t>
            </w:r>
            <w:r>
              <w:rPr>
                <w:rFonts w:ascii="Microsoft YaHei" w:hAnsi="Microsoft YaHei" w:eastAsia="Microsoft YaHei" w:cs="Microsoft YaHei"/>
                <w:spacing w:val="2"/>
              </w:rPr>
              <w:t>四                        </w:t>
            </w:r>
            <w:r>
              <w:rPr>
                <w:spacing w:val="2"/>
              </w:rPr>
              <w:t>地方标准□               国外标准□</w:t>
            </w:r>
          </w:p>
        </w:tc>
      </w:tr>
      <w:tr>
        <w:trPr>
          <w:trHeight w:val="277" w:hRule="atLeast"/>
        </w:trPr>
        <w:tc>
          <w:tcPr>
            <w:tcW w:w="859" w:type="dxa"/>
            <w:vAlign w:val="top"/>
            <w:vMerge w:val="restart"/>
            <w:tcBorders>
              <w:bottom w:val="nil"/>
            </w:tcBorders>
          </w:tcPr>
          <w:p>
            <w:pPr>
              <w:spacing w:line="389" w:lineRule="auto"/>
              <w:rPr>
                <w:rFonts w:ascii="Arial"/>
                <w:sz w:val="21"/>
              </w:rPr>
            </w:pPr>
            <w:r/>
          </w:p>
          <w:p>
            <w:pPr>
              <w:pStyle w:val="TableText"/>
              <w:ind w:left="16"/>
              <w:spacing w:before="65" w:line="226" w:lineRule="auto"/>
              <w:rPr/>
            </w:pPr>
            <w:r>
              <w:rPr>
                <w:spacing w:val="6"/>
              </w:rPr>
              <w:t>现状评价</w:t>
            </w:r>
          </w:p>
        </w:tc>
        <w:tc>
          <w:tcPr>
            <w:tcW w:w="1499" w:type="dxa"/>
            <w:vAlign w:val="top"/>
          </w:tcPr>
          <w:p>
            <w:pPr>
              <w:pStyle w:val="TableText"/>
              <w:ind w:left="228"/>
              <w:spacing w:before="34" w:line="215" w:lineRule="auto"/>
              <w:rPr/>
            </w:pPr>
            <w:r>
              <w:rPr>
                <w:spacing w:val="8"/>
              </w:rPr>
              <w:t>环境功能区</w:t>
            </w:r>
          </w:p>
        </w:tc>
        <w:tc>
          <w:tcPr>
            <w:tcW w:w="956" w:type="dxa"/>
            <w:vAlign w:val="top"/>
          </w:tcPr>
          <w:p>
            <w:pPr>
              <w:pStyle w:val="TableText"/>
              <w:ind w:left="116"/>
              <w:spacing w:before="34" w:line="215" w:lineRule="auto"/>
              <w:rPr/>
            </w:pPr>
            <w:r>
              <w:rPr>
                <w:rFonts w:ascii="Times New Roman" w:hAnsi="Times New Roman" w:eastAsia="Times New Roman" w:cs="Times New Roman"/>
                <w:spacing w:val="6"/>
              </w:rPr>
              <w:t>0</w:t>
            </w:r>
            <w:r>
              <w:rPr>
                <w:spacing w:val="6"/>
              </w:rPr>
              <w:t>类区□</w:t>
            </w:r>
          </w:p>
        </w:tc>
        <w:tc>
          <w:tcPr>
            <w:tcW w:w="1015" w:type="dxa"/>
            <w:vAlign w:val="top"/>
            <w:gridSpan w:val="3"/>
          </w:tcPr>
          <w:p>
            <w:pPr>
              <w:pStyle w:val="TableText"/>
              <w:ind w:left="161"/>
              <w:spacing w:before="34" w:line="215" w:lineRule="auto"/>
              <w:rPr/>
            </w:pPr>
            <w:r>
              <w:rPr>
                <w:rFonts w:ascii="Times New Roman" w:hAnsi="Times New Roman" w:eastAsia="Times New Roman" w:cs="Times New Roman"/>
                <w:spacing w:val="2"/>
              </w:rPr>
              <w:t>1</w:t>
            </w:r>
            <w:r>
              <w:rPr>
                <w:spacing w:val="2"/>
              </w:rPr>
              <w:t>类区□</w:t>
            </w:r>
          </w:p>
        </w:tc>
        <w:tc>
          <w:tcPr>
            <w:tcW w:w="1037" w:type="dxa"/>
            <w:vAlign w:val="top"/>
          </w:tcPr>
          <w:p>
            <w:pPr>
              <w:pStyle w:val="TableText"/>
              <w:ind w:left="153"/>
              <w:spacing w:before="34" w:line="215" w:lineRule="auto"/>
              <w:rPr>
                <w:rFonts w:ascii="MS Gothic" w:hAnsi="MS Gothic" w:eastAsia="MS Gothic" w:cs="MS Gothic"/>
              </w:rPr>
            </w:pPr>
            <w:r>
              <w:rPr>
                <w:rFonts w:ascii="Times New Roman" w:hAnsi="Times New Roman" w:eastAsia="Times New Roman" w:cs="Times New Roman"/>
                <w:spacing w:val="6"/>
              </w:rPr>
              <w:t>2</w:t>
            </w:r>
            <w:r>
              <w:rPr>
                <w:spacing w:val="6"/>
              </w:rPr>
              <w:t>类区</w:t>
            </w:r>
            <w:r>
              <w:rPr>
                <w:rFonts w:ascii="MS Gothic" w:hAnsi="MS Gothic" w:eastAsia="MS Gothic" w:cs="MS Gothic"/>
                <w:spacing w:val="6"/>
              </w:rPr>
              <w:t>☑</w:t>
            </w:r>
          </w:p>
        </w:tc>
        <w:tc>
          <w:tcPr>
            <w:tcW w:w="1083" w:type="dxa"/>
            <w:vAlign w:val="top"/>
            <w:gridSpan w:val="2"/>
          </w:tcPr>
          <w:p>
            <w:pPr>
              <w:pStyle w:val="TableText"/>
              <w:ind w:left="193"/>
              <w:spacing w:before="33" w:line="163" w:lineRule="auto"/>
              <w:rPr>
                <w:rFonts w:ascii="Microsoft YaHei" w:hAnsi="Microsoft YaHei" w:eastAsia="Microsoft YaHei" w:cs="Microsoft YaHei"/>
              </w:rPr>
            </w:pPr>
            <w:r>
              <w:rPr>
                <w:rFonts w:ascii="Times New Roman" w:hAnsi="Times New Roman" w:eastAsia="Times New Roman" w:cs="Times New Roman"/>
                <w:spacing w:val="18"/>
              </w:rPr>
              <w:t>3</w:t>
            </w:r>
            <w:r>
              <w:rPr>
                <w:spacing w:val="18"/>
              </w:rPr>
              <w:t>类区</w:t>
            </w:r>
            <w:r>
              <w:rPr>
                <w:rFonts w:ascii="Microsoft YaHei" w:hAnsi="Microsoft YaHei" w:eastAsia="Microsoft YaHei" w:cs="Microsoft YaHei"/>
                <w:spacing w:val="18"/>
              </w:rPr>
              <w:t>□</w:t>
            </w:r>
          </w:p>
        </w:tc>
        <w:tc>
          <w:tcPr>
            <w:tcW w:w="1086" w:type="dxa"/>
            <w:vAlign w:val="top"/>
            <w:gridSpan w:val="2"/>
          </w:tcPr>
          <w:p>
            <w:pPr>
              <w:pStyle w:val="TableText"/>
              <w:ind w:left="132"/>
              <w:spacing w:before="34" w:line="215" w:lineRule="auto"/>
              <w:rPr/>
            </w:pPr>
            <w:r>
              <w:rPr>
                <w:rFonts w:ascii="Times New Roman" w:hAnsi="Times New Roman" w:eastAsia="Times New Roman" w:cs="Times New Roman"/>
                <w:spacing w:val="6"/>
              </w:rPr>
              <w:t>4a</w:t>
            </w:r>
            <w:r>
              <w:rPr>
                <w:spacing w:val="6"/>
              </w:rPr>
              <w:t>类区□</w:t>
            </w:r>
          </w:p>
        </w:tc>
        <w:tc>
          <w:tcPr>
            <w:tcW w:w="981" w:type="dxa"/>
            <w:vAlign w:val="top"/>
          </w:tcPr>
          <w:p>
            <w:pPr>
              <w:pStyle w:val="TableText"/>
              <w:ind w:left="71"/>
              <w:spacing w:before="34" w:line="215" w:lineRule="auto"/>
              <w:rPr/>
            </w:pPr>
            <w:r>
              <w:rPr>
                <w:rFonts w:ascii="Times New Roman" w:hAnsi="Times New Roman" w:eastAsia="Times New Roman" w:cs="Times New Roman"/>
                <w:spacing w:val="6"/>
              </w:rPr>
              <w:t>4b</w:t>
            </w:r>
            <w:r>
              <w:rPr>
                <w:spacing w:val="6"/>
              </w:rPr>
              <w:t>类区□</w:t>
            </w:r>
          </w:p>
        </w:tc>
      </w:tr>
      <w:tr>
        <w:trPr>
          <w:trHeight w:val="277" w:hRule="atLeast"/>
        </w:trPr>
        <w:tc>
          <w:tcPr>
            <w:tcW w:w="859" w:type="dxa"/>
            <w:vAlign w:val="top"/>
            <w:vMerge w:val="continue"/>
            <w:tcBorders>
              <w:top w:val="nil"/>
              <w:bottom w:val="nil"/>
            </w:tcBorders>
          </w:tcPr>
          <w:p>
            <w:pPr>
              <w:rPr>
                <w:rFonts w:ascii="Arial"/>
                <w:sz w:val="21"/>
              </w:rPr>
            </w:pPr>
            <w:r/>
          </w:p>
        </w:tc>
        <w:tc>
          <w:tcPr>
            <w:tcW w:w="1499" w:type="dxa"/>
            <w:vAlign w:val="top"/>
          </w:tcPr>
          <w:p>
            <w:pPr>
              <w:pStyle w:val="TableText"/>
              <w:ind w:left="333"/>
              <w:spacing w:before="33" w:line="216" w:lineRule="auto"/>
              <w:rPr/>
            </w:pPr>
            <w:r>
              <w:rPr>
                <w:spacing w:val="7"/>
              </w:rPr>
              <w:t>评价年度</w:t>
            </w:r>
          </w:p>
        </w:tc>
        <w:tc>
          <w:tcPr>
            <w:tcW w:w="1445" w:type="dxa"/>
            <w:vAlign w:val="top"/>
            <w:gridSpan w:val="2"/>
          </w:tcPr>
          <w:p>
            <w:pPr>
              <w:pStyle w:val="TableText"/>
              <w:ind w:left="411"/>
              <w:spacing w:before="33" w:line="216" w:lineRule="auto"/>
              <w:rPr/>
            </w:pPr>
            <w:r>
              <w:rPr>
                <w:spacing w:val="7"/>
              </w:rPr>
              <w:t>初期□</w:t>
            </w:r>
          </w:p>
        </w:tc>
        <w:tc>
          <w:tcPr>
            <w:tcW w:w="1563" w:type="dxa"/>
            <w:vAlign w:val="top"/>
            <w:gridSpan w:val="3"/>
          </w:tcPr>
          <w:p>
            <w:pPr>
              <w:pStyle w:val="TableText"/>
              <w:ind w:left="471"/>
              <w:spacing w:before="33" w:line="216" w:lineRule="auto"/>
              <w:rPr/>
            </w:pPr>
            <w:r>
              <w:rPr>
                <w:spacing w:val="7"/>
              </w:rPr>
              <w:t>近期□</w:t>
            </w:r>
          </w:p>
        </w:tc>
        <w:tc>
          <w:tcPr>
            <w:tcW w:w="1612" w:type="dxa"/>
            <w:vAlign w:val="top"/>
            <w:gridSpan w:val="3"/>
          </w:tcPr>
          <w:p>
            <w:pPr>
              <w:pStyle w:val="TableText"/>
              <w:ind w:left="517"/>
              <w:spacing w:before="33" w:line="216" w:lineRule="auto"/>
              <w:rPr/>
            </w:pPr>
            <w:r>
              <w:rPr/>
              <w:t>中期□</w:t>
            </w:r>
          </w:p>
        </w:tc>
        <w:tc>
          <w:tcPr>
            <w:tcW w:w="1538" w:type="dxa"/>
            <w:vAlign w:val="top"/>
            <w:gridSpan w:val="2"/>
          </w:tcPr>
          <w:p>
            <w:pPr>
              <w:pStyle w:val="TableText"/>
              <w:ind w:left="460"/>
              <w:spacing w:before="33" w:line="216" w:lineRule="auto"/>
              <w:rPr/>
            </w:pPr>
            <w:r>
              <w:rPr>
                <w:spacing w:val="6"/>
              </w:rPr>
              <w:t>远期□</w:t>
            </w:r>
          </w:p>
        </w:tc>
      </w:tr>
      <w:tr>
        <w:trPr>
          <w:trHeight w:val="278" w:hRule="atLeast"/>
        </w:trPr>
        <w:tc>
          <w:tcPr>
            <w:tcW w:w="859" w:type="dxa"/>
            <w:vAlign w:val="top"/>
            <w:vMerge w:val="continue"/>
            <w:tcBorders>
              <w:top w:val="nil"/>
              <w:bottom w:val="nil"/>
            </w:tcBorders>
          </w:tcPr>
          <w:p>
            <w:pPr>
              <w:rPr>
                <w:rFonts w:ascii="Arial"/>
                <w:sz w:val="21"/>
              </w:rPr>
            </w:pPr>
            <w:r/>
          </w:p>
        </w:tc>
        <w:tc>
          <w:tcPr>
            <w:tcW w:w="1499" w:type="dxa"/>
            <w:vAlign w:val="top"/>
          </w:tcPr>
          <w:p>
            <w:pPr>
              <w:pStyle w:val="TableText"/>
              <w:ind w:left="124"/>
              <w:spacing w:before="33" w:line="216" w:lineRule="auto"/>
              <w:rPr/>
            </w:pPr>
            <w:r>
              <w:rPr>
                <w:spacing w:val="7"/>
              </w:rPr>
              <w:t>现状调查方法</w:t>
            </w:r>
          </w:p>
        </w:tc>
        <w:tc>
          <w:tcPr>
            <w:tcW w:w="6158" w:type="dxa"/>
            <w:vAlign w:val="top"/>
            <w:gridSpan w:val="10"/>
          </w:tcPr>
          <w:p>
            <w:pPr>
              <w:pStyle w:val="TableText"/>
              <w:ind w:left="313"/>
              <w:spacing w:before="34" w:line="163" w:lineRule="auto"/>
              <w:rPr/>
            </w:pPr>
            <w:r>
              <w:rPr>
                <w:spacing w:val="7"/>
              </w:rPr>
              <w:t>现场实测法</w:t>
            </w:r>
            <w:r>
              <w:rPr>
                <w:rFonts w:ascii="Microsoft YaHei" w:hAnsi="Microsoft YaHei" w:eastAsia="Microsoft YaHei" w:cs="Microsoft YaHei"/>
                <w:spacing w:val="7"/>
              </w:rPr>
              <w:t>四        </w:t>
            </w:r>
            <w:r>
              <w:rPr>
                <w:spacing w:val="7"/>
              </w:rPr>
              <w:t>现场实测加模型计算法□</w:t>
            </w:r>
            <w:r>
              <w:rPr>
                <w:spacing w:val="11"/>
              </w:rPr>
              <w:t xml:space="preserve">    </w:t>
            </w:r>
            <w:r>
              <w:rPr>
                <w:spacing w:val="7"/>
              </w:rPr>
              <w:t>收集资料□</w:t>
            </w:r>
          </w:p>
        </w:tc>
      </w:tr>
      <w:tr>
        <w:trPr>
          <w:trHeight w:val="277" w:hRule="atLeast"/>
        </w:trPr>
        <w:tc>
          <w:tcPr>
            <w:tcW w:w="859" w:type="dxa"/>
            <w:vAlign w:val="top"/>
            <w:vMerge w:val="continue"/>
            <w:tcBorders>
              <w:top w:val="nil"/>
            </w:tcBorders>
          </w:tcPr>
          <w:p>
            <w:pPr>
              <w:rPr>
                <w:rFonts w:ascii="Arial"/>
                <w:sz w:val="21"/>
              </w:rPr>
            </w:pPr>
            <w:r/>
          </w:p>
        </w:tc>
        <w:tc>
          <w:tcPr>
            <w:tcW w:w="1499" w:type="dxa"/>
            <w:vAlign w:val="top"/>
          </w:tcPr>
          <w:p>
            <w:pPr>
              <w:pStyle w:val="TableText"/>
              <w:ind w:left="336"/>
              <w:spacing w:before="31" w:line="217" w:lineRule="auto"/>
              <w:rPr/>
            </w:pPr>
            <w:r>
              <w:rPr>
                <w:spacing w:val="6"/>
              </w:rPr>
              <w:t>现状评价</w:t>
            </w:r>
          </w:p>
        </w:tc>
        <w:tc>
          <w:tcPr>
            <w:tcW w:w="1750" w:type="dxa"/>
            <w:vAlign w:val="top"/>
            <w:gridSpan w:val="3"/>
          </w:tcPr>
          <w:p>
            <w:pPr>
              <w:pStyle w:val="TableText"/>
              <w:ind w:left="353"/>
              <w:spacing w:before="31" w:line="217" w:lineRule="auto"/>
              <w:rPr/>
            </w:pPr>
            <w:r>
              <w:rPr>
                <w:spacing w:val="8"/>
              </w:rPr>
              <w:t>达标百分比</w:t>
            </w:r>
          </w:p>
        </w:tc>
        <w:tc>
          <w:tcPr>
            <w:tcW w:w="4408" w:type="dxa"/>
            <w:vAlign w:val="top"/>
            <w:gridSpan w:val="7"/>
          </w:tcPr>
          <w:p>
            <w:pPr>
              <w:ind w:left="1980"/>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100%</w:t>
            </w:r>
          </w:p>
        </w:tc>
      </w:tr>
      <w:tr>
        <w:trPr>
          <w:trHeight w:val="549" w:hRule="atLeast"/>
        </w:trPr>
        <w:tc>
          <w:tcPr>
            <w:tcW w:w="859" w:type="dxa"/>
            <w:vAlign w:val="top"/>
          </w:tcPr>
          <w:p>
            <w:pPr>
              <w:pStyle w:val="TableText"/>
              <w:ind w:left="24"/>
              <w:spacing w:before="33" w:line="228" w:lineRule="auto"/>
              <w:rPr/>
            </w:pPr>
            <w:r>
              <w:rPr>
                <w:spacing w:val="4"/>
              </w:rPr>
              <w:t>噪声源调</w:t>
            </w:r>
          </w:p>
          <w:p>
            <w:pPr>
              <w:pStyle w:val="TableText"/>
              <w:ind w:left="331"/>
              <w:spacing w:before="26" w:line="214" w:lineRule="auto"/>
              <w:rPr/>
            </w:pPr>
            <w:r>
              <w:rPr/>
              <w:t>查</w:t>
            </w:r>
          </w:p>
        </w:tc>
        <w:tc>
          <w:tcPr>
            <w:tcW w:w="1499" w:type="dxa"/>
            <w:vAlign w:val="top"/>
          </w:tcPr>
          <w:p>
            <w:pPr>
              <w:pStyle w:val="TableText"/>
              <w:ind w:left="29"/>
              <w:spacing w:before="170" w:line="228" w:lineRule="auto"/>
              <w:rPr/>
            </w:pPr>
            <w:r>
              <w:rPr>
                <w:spacing w:val="7"/>
              </w:rPr>
              <w:t>噪声源调查方法</w:t>
            </w:r>
          </w:p>
        </w:tc>
        <w:tc>
          <w:tcPr>
            <w:tcW w:w="6158" w:type="dxa"/>
            <w:vAlign w:val="top"/>
            <w:gridSpan w:val="10"/>
          </w:tcPr>
          <w:p>
            <w:pPr>
              <w:pStyle w:val="TableText"/>
              <w:ind w:left="51"/>
              <w:spacing w:before="169" w:line="193" w:lineRule="auto"/>
              <w:rPr/>
            </w:pPr>
            <w:r>
              <w:rPr>
                <w:spacing w:val="4"/>
              </w:rPr>
              <w:t>现场实测□</w:t>
            </w:r>
            <w:r>
              <w:rPr/>
              <w:t xml:space="preserve">                </w:t>
            </w:r>
            <w:r>
              <w:rPr>
                <w:spacing w:val="4"/>
              </w:rPr>
              <w:t>已有资料</w:t>
            </w:r>
            <w:r>
              <w:rPr>
                <w:rFonts w:ascii="Microsoft YaHei" w:hAnsi="Microsoft YaHei" w:eastAsia="Microsoft YaHei" w:cs="Microsoft YaHei"/>
                <w:spacing w:val="4"/>
              </w:rPr>
              <w:t>四                      </w:t>
            </w:r>
            <w:r>
              <w:rPr>
                <w:spacing w:val="4"/>
              </w:rPr>
              <w:t>研</w:t>
            </w:r>
            <w:r>
              <w:rPr>
                <w:spacing w:val="3"/>
              </w:rPr>
              <w:t>究成果□</w:t>
            </w:r>
          </w:p>
        </w:tc>
      </w:tr>
      <w:tr>
        <w:trPr>
          <w:trHeight w:val="277" w:hRule="atLeast"/>
        </w:trPr>
        <w:tc>
          <w:tcPr>
            <w:tcW w:w="859" w:type="dxa"/>
            <w:vAlign w:val="top"/>
            <w:vMerge w:val="restart"/>
            <w:tcBorders>
              <w:bottom w:val="nil"/>
            </w:tcBorders>
          </w:tcPr>
          <w:p>
            <w:pPr>
              <w:spacing w:line="258" w:lineRule="auto"/>
              <w:rPr>
                <w:rFonts w:ascii="Arial"/>
                <w:sz w:val="21"/>
              </w:rPr>
            </w:pPr>
            <w:r/>
          </w:p>
          <w:p>
            <w:pPr>
              <w:pStyle w:val="TableText"/>
              <w:ind w:left="19"/>
              <w:spacing w:before="65" w:line="228" w:lineRule="auto"/>
              <w:rPr/>
            </w:pPr>
            <w:r>
              <w:rPr>
                <w:spacing w:val="6"/>
              </w:rPr>
              <w:t>声环境影</w:t>
            </w:r>
          </w:p>
          <w:p>
            <w:pPr>
              <w:pStyle w:val="TableText"/>
              <w:ind w:left="222" w:right="9" w:hanging="197"/>
              <w:spacing w:before="26" w:line="251" w:lineRule="auto"/>
              <w:rPr/>
            </w:pPr>
            <w:r>
              <w:rPr>
                <w:spacing w:val="4"/>
              </w:rPr>
              <w:t>响预测与</w:t>
            </w:r>
            <w:r>
              <w:rPr>
                <w:spacing w:val="1"/>
              </w:rPr>
              <w:t xml:space="preserve"> </w:t>
            </w:r>
            <w:r>
              <w:rPr>
                <w:spacing w:val="5"/>
              </w:rPr>
              <w:t>评价</w:t>
            </w:r>
          </w:p>
        </w:tc>
        <w:tc>
          <w:tcPr>
            <w:tcW w:w="1499" w:type="dxa"/>
            <w:vAlign w:val="top"/>
          </w:tcPr>
          <w:p>
            <w:pPr>
              <w:pStyle w:val="TableText"/>
              <w:ind w:left="336"/>
              <w:spacing w:before="34" w:line="215" w:lineRule="auto"/>
              <w:rPr/>
            </w:pPr>
            <w:r>
              <w:rPr>
                <w:spacing w:val="6"/>
              </w:rPr>
              <w:t>预测模型</w:t>
            </w:r>
          </w:p>
        </w:tc>
        <w:tc>
          <w:tcPr>
            <w:tcW w:w="3589" w:type="dxa"/>
            <w:vAlign w:val="top"/>
            <w:gridSpan w:val="6"/>
          </w:tcPr>
          <w:p>
            <w:pPr>
              <w:pStyle w:val="TableText"/>
              <w:ind w:left="1082"/>
              <w:spacing w:before="33" w:line="163" w:lineRule="auto"/>
              <w:rPr>
                <w:rFonts w:ascii="Microsoft YaHei" w:hAnsi="Microsoft YaHei" w:eastAsia="Microsoft YaHei" w:cs="Microsoft YaHei"/>
              </w:rPr>
            </w:pPr>
            <w:r>
              <w:rPr>
                <w:spacing w:val="6"/>
              </w:rPr>
              <w:t>导则推荐模型</w:t>
            </w:r>
            <w:r>
              <w:rPr>
                <w:rFonts w:ascii="Microsoft YaHei" w:hAnsi="Microsoft YaHei" w:eastAsia="Microsoft YaHei" w:cs="Microsoft YaHei"/>
                <w:spacing w:val="6"/>
              </w:rPr>
              <w:t>四</w:t>
            </w:r>
          </w:p>
        </w:tc>
        <w:tc>
          <w:tcPr>
            <w:tcW w:w="2569" w:type="dxa"/>
            <w:vAlign w:val="top"/>
            <w:gridSpan w:val="4"/>
          </w:tcPr>
          <w:p>
            <w:pPr>
              <w:pStyle w:val="TableText"/>
              <w:ind w:left="975"/>
              <w:spacing w:before="34" w:line="215" w:lineRule="auto"/>
              <w:rPr/>
            </w:pPr>
            <w:r>
              <w:rPr>
                <w:spacing w:val="6"/>
              </w:rPr>
              <w:t>其他□</w:t>
            </w:r>
          </w:p>
        </w:tc>
      </w:tr>
      <w:tr>
        <w:trPr>
          <w:trHeight w:val="277" w:hRule="atLeast"/>
        </w:trPr>
        <w:tc>
          <w:tcPr>
            <w:tcW w:w="859" w:type="dxa"/>
            <w:vAlign w:val="top"/>
            <w:vMerge w:val="continue"/>
            <w:tcBorders>
              <w:top w:val="nil"/>
              <w:bottom w:val="nil"/>
            </w:tcBorders>
          </w:tcPr>
          <w:p>
            <w:pPr>
              <w:rPr>
                <w:rFonts w:ascii="Arial"/>
                <w:sz w:val="21"/>
              </w:rPr>
            </w:pPr>
            <w:r/>
          </w:p>
        </w:tc>
        <w:tc>
          <w:tcPr>
            <w:tcW w:w="1499" w:type="dxa"/>
            <w:vAlign w:val="top"/>
          </w:tcPr>
          <w:p>
            <w:pPr>
              <w:pStyle w:val="TableText"/>
              <w:ind w:left="336"/>
              <w:spacing w:before="35" w:line="214" w:lineRule="auto"/>
              <w:rPr/>
            </w:pPr>
            <w:r>
              <w:rPr>
                <w:spacing w:val="6"/>
              </w:rPr>
              <w:t>预测范围</w:t>
            </w:r>
          </w:p>
        </w:tc>
        <w:tc>
          <w:tcPr>
            <w:tcW w:w="6158" w:type="dxa"/>
            <w:vAlign w:val="top"/>
            <w:gridSpan w:val="10"/>
          </w:tcPr>
          <w:p>
            <w:pPr>
              <w:pStyle w:val="TableText"/>
              <w:ind w:left="535"/>
              <w:spacing w:before="35" w:line="162" w:lineRule="auto"/>
              <w:rPr/>
            </w:pPr>
            <w:r>
              <w:rPr>
                <w:rFonts w:ascii="Times New Roman" w:hAnsi="Times New Roman" w:eastAsia="Times New Roman" w:cs="Times New Roman"/>
                <w:spacing w:val="4"/>
              </w:rPr>
              <w:t>200m</w:t>
            </w:r>
            <w:r>
              <w:rPr>
                <w:rFonts w:ascii="Microsoft YaHei" w:hAnsi="Microsoft YaHei" w:eastAsia="Microsoft YaHei" w:cs="Microsoft YaHei"/>
                <w:spacing w:val="4"/>
              </w:rPr>
              <w:t>四                 </w:t>
            </w:r>
            <w:r>
              <w:rPr>
                <w:spacing w:val="4"/>
              </w:rPr>
              <w:t>大于</w:t>
            </w:r>
            <w:r>
              <w:rPr>
                <w:rFonts w:ascii="Times New Roman" w:hAnsi="Times New Roman" w:eastAsia="Times New Roman" w:cs="Times New Roman"/>
                <w:spacing w:val="4"/>
              </w:rPr>
              <w:t>200m</w:t>
            </w:r>
            <w:r>
              <w:rPr>
                <w:spacing w:val="4"/>
              </w:rPr>
              <w:t>□</w:t>
            </w:r>
            <w:r>
              <w:rPr>
                <w:spacing w:val="6"/>
              </w:rPr>
              <w:t xml:space="preserve">           </w:t>
            </w:r>
            <w:r>
              <w:rPr>
                <w:spacing w:val="3"/>
              </w:rPr>
              <w:t>小于</w:t>
            </w:r>
            <w:r>
              <w:rPr>
                <w:rFonts w:ascii="Times New Roman" w:hAnsi="Times New Roman" w:eastAsia="Times New Roman" w:cs="Times New Roman"/>
                <w:spacing w:val="3"/>
              </w:rPr>
              <w:t>200m</w:t>
            </w:r>
            <w:r>
              <w:rPr>
                <w:spacing w:val="3"/>
              </w:rPr>
              <w:t>□</w:t>
            </w:r>
          </w:p>
        </w:tc>
      </w:tr>
      <w:tr>
        <w:trPr>
          <w:trHeight w:val="277" w:hRule="atLeast"/>
        </w:trPr>
        <w:tc>
          <w:tcPr>
            <w:tcW w:w="859" w:type="dxa"/>
            <w:vAlign w:val="top"/>
            <w:vMerge w:val="continue"/>
            <w:tcBorders>
              <w:top w:val="nil"/>
              <w:bottom w:val="nil"/>
            </w:tcBorders>
          </w:tcPr>
          <w:p>
            <w:pPr>
              <w:rPr>
                <w:rFonts w:ascii="Arial"/>
                <w:sz w:val="21"/>
              </w:rPr>
            </w:pPr>
            <w:r/>
          </w:p>
        </w:tc>
        <w:tc>
          <w:tcPr>
            <w:tcW w:w="1499" w:type="dxa"/>
            <w:vAlign w:val="top"/>
          </w:tcPr>
          <w:p>
            <w:pPr>
              <w:pStyle w:val="TableText"/>
              <w:ind w:left="336"/>
              <w:spacing w:before="36" w:line="213" w:lineRule="auto"/>
              <w:rPr/>
            </w:pPr>
            <w:r>
              <w:rPr>
                <w:spacing w:val="6"/>
              </w:rPr>
              <w:t>预测因子</w:t>
            </w:r>
          </w:p>
        </w:tc>
        <w:tc>
          <w:tcPr>
            <w:tcW w:w="1750" w:type="dxa"/>
            <w:vAlign w:val="top"/>
            <w:gridSpan w:val="3"/>
          </w:tcPr>
          <w:p>
            <w:pPr>
              <w:pStyle w:val="TableText"/>
              <w:ind w:left="82"/>
              <w:spacing w:before="36" w:line="161" w:lineRule="auto"/>
              <w:rPr>
                <w:rFonts w:ascii="Microsoft YaHei" w:hAnsi="Microsoft YaHei" w:eastAsia="Microsoft YaHei" w:cs="Microsoft YaHei"/>
              </w:rPr>
            </w:pPr>
            <w:r>
              <w:rPr>
                <w:spacing w:val="6"/>
              </w:rPr>
              <w:t>等效连续</w:t>
            </w:r>
            <w:r>
              <w:rPr>
                <w:rFonts w:ascii="Times New Roman" w:hAnsi="Times New Roman" w:eastAsia="Times New Roman" w:cs="Times New Roman"/>
                <w:spacing w:val="6"/>
              </w:rPr>
              <w:t>A</w:t>
            </w:r>
            <w:r>
              <w:rPr>
                <w:spacing w:val="6"/>
              </w:rPr>
              <w:t>声级</w:t>
            </w:r>
            <w:r>
              <w:rPr>
                <w:rFonts w:ascii="Microsoft YaHei" w:hAnsi="Microsoft YaHei" w:eastAsia="Microsoft YaHei" w:cs="Microsoft YaHei"/>
                <w:spacing w:val="6"/>
              </w:rPr>
              <w:t>四</w:t>
            </w:r>
          </w:p>
        </w:tc>
        <w:tc>
          <w:tcPr>
            <w:tcW w:w="1839" w:type="dxa"/>
            <w:vAlign w:val="top"/>
            <w:gridSpan w:val="3"/>
          </w:tcPr>
          <w:p>
            <w:pPr>
              <w:pStyle w:val="TableText"/>
              <w:ind w:left="327"/>
              <w:spacing w:before="36" w:line="213" w:lineRule="auto"/>
              <w:rPr/>
            </w:pPr>
            <w:r>
              <w:rPr>
                <w:spacing w:val="7"/>
              </w:rPr>
              <w:t>最大</w:t>
            </w:r>
            <w:r>
              <w:rPr>
                <w:rFonts w:ascii="Times New Roman" w:hAnsi="Times New Roman" w:eastAsia="Times New Roman" w:cs="Times New Roman"/>
                <w:spacing w:val="7"/>
              </w:rPr>
              <w:t>A</w:t>
            </w:r>
            <w:r>
              <w:rPr>
                <w:spacing w:val="7"/>
              </w:rPr>
              <w:t>声级□</w:t>
            </w:r>
          </w:p>
        </w:tc>
        <w:tc>
          <w:tcPr>
            <w:tcW w:w="2569" w:type="dxa"/>
            <w:vAlign w:val="top"/>
            <w:gridSpan w:val="4"/>
          </w:tcPr>
          <w:p>
            <w:pPr>
              <w:pStyle w:val="TableText"/>
              <w:ind w:left="29"/>
              <w:spacing w:before="36" w:line="213" w:lineRule="auto"/>
              <w:rPr/>
            </w:pPr>
            <w:r>
              <w:rPr>
                <w:spacing w:val="9"/>
              </w:rPr>
              <w:t>计权等效连续感觉噪声级□</w:t>
            </w:r>
          </w:p>
        </w:tc>
      </w:tr>
      <w:tr>
        <w:trPr>
          <w:trHeight w:val="277" w:hRule="atLeast"/>
        </w:trPr>
        <w:tc>
          <w:tcPr>
            <w:tcW w:w="859" w:type="dxa"/>
            <w:vAlign w:val="top"/>
            <w:vMerge w:val="continue"/>
            <w:tcBorders>
              <w:top w:val="nil"/>
              <w:bottom w:val="nil"/>
            </w:tcBorders>
          </w:tcPr>
          <w:p>
            <w:pPr>
              <w:rPr>
                <w:rFonts w:ascii="Arial"/>
                <w:sz w:val="21"/>
              </w:rPr>
            </w:pPr>
            <w:r/>
          </w:p>
        </w:tc>
        <w:tc>
          <w:tcPr>
            <w:tcW w:w="1499" w:type="dxa"/>
            <w:vAlign w:val="top"/>
          </w:tcPr>
          <w:p>
            <w:pPr>
              <w:pStyle w:val="TableText"/>
              <w:ind w:left="22"/>
              <w:spacing w:before="35" w:line="214" w:lineRule="auto"/>
              <w:rPr/>
            </w:pPr>
            <w:r>
              <w:rPr>
                <w:spacing w:val="8"/>
              </w:rPr>
              <w:t>厂界噪声贡献值</w:t>
            </w:r>
          </w:p>
        </w:tc>
        <w:tc>
          <w:tcPr>
            <w:tcW w:w="6158" w:type="dxa"/>
            <w:vAlign w:val="top"/>
            <w:gridSpan w:val="10"/>
          </w:tcPr>
          <w:p>
            <w:pPr>
              <w:pStyle w:val="TableText"/>
              <w:ind w:left="941"/>
              <w:spacing w:before="35" w:line="162" w:lineRule="auto"/>
              <w:rPr/>
            </w:pPr>
            <w:r>
              <w:rPr>
                <w:spacing w:val="2"/>
              </w:rPr>
              <w:t>达标</w:t>
            </w:r>
            <w:r>
              <w:rPr>
                <w:rFonts w:ascii="Microsoft YaHei" w:hAnsi="Microsoft YaHei" w:eastAsia="Microsoft YaHei" w:cs="Microsoft YaHei"/>
                <w:spacing w:val="2"/>
              </w:rPr>
              <w:t>四                                </w:t>
            </w:r>
            <w:r>
              <w:rPr>
                <w:rFonts w:ascii="Microsoft YaHei" w:hAnsi="Microsoft YaHei" w:eastAsia="Microsoft YaHei" w:cs="Microsoft YaHei"/>
                <w:spacing w:val="1"/>
              </w:rPr>
              <w:t xml:space="preserve">               </w:t>
            </w:r>
            <w:r>
              <w:rPr>
                <w:spacing w:val="1"/>
              </w:rPr>
              <w:t>不达标□</w:t>
            </w:r>
          </w:p>
        </w:tc>
      </w:tr>
      <w:tr>
        <w:trPr>
          <w:trHeight w:val="280" w:hRule="atLeast"/>
        </w:trPr>
        <w:tc>
          <w:tcPr>
            <w:tcW w:w="859" w:type="dxa"/>
            <w:vAlign w:val="top"/>
            <w:vMerge w:val="continue"/>
            <w:tcBorders>
              <w:top w:val="nil"/>
            </w:tcBorders>
          </w:tcPr>
          <w:p>
            <w:pPr>
              <w:rPr>
                <w:rFonts w:ascii="Arial"/>
                <w:sz w:val="21"/>
              </w:rPr>
            </w:pPr>
            <w:r/>
          </w:p>
        </w:tc>
        <w:tc>
          <w:tcPr>
            <w:tcW w:w="1499" w:type="dxa"/>
            <w:vAlign w:val="top"/>
          </w:tcPr>
          <w:p>
            <w:pPr>
              <w:pStyle w:val="TableText"/>
              <w:ind w:left="24"/>
              <w:spacing w:before="36" w:line="216" w:lineRule="auto"/>
              <w:rPr/>
            </w:pPr>
            <w:r>
              <w:rPr>
                <w:spacing w:val="8"/>
              </w:rPr>
              <w:t>声环境保护目标</w:t>
            </w:r>
          </w:p>
        </w:tc>
        <w:tc>
          <w:tcPr>
            <w:tcW w:w="6158" w:type="dxa"/>
            <w:vAlign w:val="top"/>
            <w:gridSpan w:val="10"/>
          </w:tcPr>
          <w:p>
            <w:pPr>
              <w:pStyle w:val="TableText"/>
              <w:ind w:left="876"/>
              <w:spacing w:before="36" w:line="216" w:lineRule="auto"/>
              <w:rPr/>
            </w:pPr>
            <w:r>
              <w:rPr>
                <w:spacing w:val="6"/>
              </w:rPr>
              <w:t>达标</w:t>
            </w:r>
            <w:r>
              <w:rPr>
                <w:rFonts w:ascii="MS Gothic" w:hAnsi="MS Gothic" w:eastAsia="MS Gothic" w:cs="MS Gothic"/>
                <w:spacing w:val="6"/>
              </w:rPr>
              <w:t>☑</w:t>
            </w:r>
            <w:r>
              <w:rPr>
                <w:rFonts w:ascii="MS Gothic" w:hAnsi="MS Gothic" w:eastAsia="MS Gothic" w:cs="MS Gothic"/>
                <w:spacing w:val="2"/>
              </w:rPr>
              <w:t xml:space="preserve">                             </w:t>
            </w:r>
            <w:r>
              <w:rPr>
                <w:spacing w:val="6"/>
              </w:rPr>
              <w:t>不达标□</w:t>
            </w:r>
          </w:p>
        </w:tc>
      </w:tr>
    </w:tbl>
    <w:p>
      <w:pPr>
        <w:pStyle w:val="BodyText"/>
        <w:spacing w:line="96" w:lineRule="exact"/>
        <w:rPr>
          <w:sz w:val="8"/>
        </w:rPr>
      </w:pPr>
      <w:r/>
    </w:p>
    <w:p>
      <w:pPr>
        <w:spacing w:line="96" w:lineRule="exact"/>
        <w:sectPr>
          <w:headerReference w:type="default" r:id="rId93"/>
          <w:footerReference w:type="default" r:id="rId294"/>
          <w:pgSz w:w="11907" w:h="16840"/>
          <w:pgMar w:top="1567" w:right="1693" w:bottom="1921" w:left="1692" w:header="1221" w:footer="1247" w:gutter="0"/>
        </w:sectPr>
        <w:rPr>
          <w:sz w:val="8"/>
          <w:szCs w:val="8"/>
        </w:rPr>
      </w:pPr>
    </w:p>
    <w:p>
      <w:pPr>
        <w:spacing w:line="151" w:lineRule="exact"/>
        <w:rPr/>
      </w:pPr>
      <w:r>
        <w:pict>
          <v:shape id="_x0000_s1008" style="position:absolute;margin-left:85.05pt;margin-top:79.11pt;mso-position-vertical-relative:page;mso-position-horizontal-relative:page;width:425.25pt;height:0.75pt;z-index:252141568;" o:allowincell="f" fillcolor="#000000" filled="true" stroked="false" coordsize="8505,15" coordorigin="0,0" path="m,l8505,0l8505,14l0,14l0,0xe"/>
        </w:pict>
      </w:r>
      <w:r/>
    </w:p>
    <w:tbl>
      <w:tblPr>
        <w:tblStyle w:val="TableNormal"/>
        <w:tblW w:w="8516"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59"/>
        <w:gridCol w:w="1499"/>
        <w:gridCol w:w="3008"/>
        <w:gridCol w:w="2104"/>
        <w:gridCol w:w="1046"/>
      </w:tblGrid>
      <w:tr>
        <w:trPr>
          <w:trHeight w:val="281" w:hRule="atLeast"/>
        </w:trPr>
        <w:tc>
          <w:tcPr>
            <w:tcW w:w="859" w:type="dxa"/>
            <w:vAlign w:val="top"/>
          </w:tcPr>
          <w:p>
            <w:pPr>
              <w:rPr>
                <w:rFonts w:ascii="Arial"/>
                <w:sz w:val="21"/>
              </w:rPr>
            </w:pPr>
            <w:r/>
          </w:p>
        </w:tc>
        <w:tc>
          <w:tcPr>
            <w:tcW w:w="1499" w:type="dxa"/>
            <w:vAlign w:val="top"/>
          </w:tcPr>
          <w:p>
            <w:pPr>
              <w:pStyle w:val="TableText"/>
              <w:ind w:left="338"/>
              <w:spacing w:before="36" w:line="216" w:lineRule="auto"/>
              <w:rPr/>
            </w:pPr>
            <w:r>
              <w:rPr>
                <w:spacing w:val="6"/>
              </w:rPr>
              <w:t>处噪声值</w:t>
            </w:r>
          </w:p>
        </w:tc>
        <w:tc>
          <w:tcPr>
            <w:tcW w:w="6158" w:type="dxa"/>
            <w:vAlign w:val="top"/>
            <w:gridSpan w:val="3"/>
          </w:tcPr>
          <w:p>
            <w:pPr>
              <w:rPr>
                <w:rFonts w:ascii="Arial"/>
                <w:sz w:val="21"/>
              </w:rPr>
            </w:pPr>
            <w:r/>
          </w:p>
        </w:tc>
      </w:tr>
      <w:tr>
        <w:trPr>
          <w:trHeight w:val="549" w:hRule="atLeast"/>
        </w:trPr>
        <w:tc>
          <w:tcPr>
            <w:tcW w:w="859" w:type="dxa"/>
            <w:vAlign w:val="top"/>
            <w:vMerge w:val="restart"/>
            <w:tcBorders>
              <w:bottom w:val="nil"/>
            </w:tcBorders>
          </w:tcPr>
          <w:p>
            <w:pPr>
              <w:spacing w:line="243" w:lineRule="auto"/>
              <w:rPr>
                <w:rFonts w:ascii="Arial"/>
                <w:sz w:val="21"/>
              </w:rPr>
            </w:pPr>
            <w:r/>
          </w:p>
          <w:p>
            <w:pPr>
              <w:pStyle w:val="TableText"/>
              <w:ind w:left="14"/>
              <w:spacing w:before="65" w:line="228" w:lineRule="auto"/>
              <w:rPr/>
            </w:pPr>
            <w:r>
              <w:rPr>
                <w:spacing w:val="7"/>
              </w:rPr>
              <w:t>环境监测</w:t>
            </w:r>
          </w:p>
          <w:p>
            <w:pPr>
              <w:pStyle w:val="TableText"/>
              <w:ind w:left="223"/>
              <w:spacing w:before="23" w:line="229" w:lineRule="auto"/>
              <w:rPr/>
            </w:pPr>
            <w:r>
              <w:rPr>
                <w:spacing w:val="4"/>
              </w:rPr>
              <w:t>计划</w:t>
            </w:r>
          </w:p>
        </w:tc>
        <w:tc>
          <w:tcPr>
            <w:tcW w:w="1499" w:type="dxa"/>
            <w:vAlign w:val="top"/>
          </w:tcPr>
          <w:p>
            <w:pPr>
              <w:pStyle w:val="TableText"/>
              <w:ind w:left="334"/>
              <w:spacing w:before="168" w:line="229" w:lineRule="auto"/>
              <w:rPr/>
            </w:pPr>
            <w:r>
              <w:rPr>
                <w:spacing w:val="7"/>
              </w:rPr>
              <w:t>排放监测</w:t>
            </w:r>
          </w:p>
        </w:tc>
        <w:tc>
          <w:tcPr>
            <w:tcW w:w="6158" w:type="dxa"/>
            <w:vAlign w:val="top"/>
            <w:gridSpan w:val="3"/>
          </w:tcPr>
          <w:p>
            <w:pPr>
              <w:pStyle w:val="TableText"/>
              <w:ind w:left="10" w:right="5"/>
              <w:spacing w:before="32" w:line="234" w:lineRule="auto"/>
              <w:rPr/>
            </w:pPr>
            <w:r>
              <w:rPr>
                <w:spacing w:val="9"/>
              </w:rPr>
              <w:t>厂界监测</w:t>
            </w:r>
            <w:r>
              <w:rPr>
                <w:rFonts w:ascii="MS UI Gothic" w:hAnsi="MS UI Gothic" w:eastAsia="MS UI Gothic" w:cs="MS UI Gothic"/>
                <w:spacing w:val="9"/>
              </w:rPr>
              <w:t>☐         </w:t>
            </w:r>
            <w:r>
              <w:rPr>
                <w:spacing w:val="9"/>
              </w:rPr>
              <w:t>固定位置监测□     自动监测□</w:t>
            </w:r>
            <w:r>
              <w:rPr>
                <w:spacing w:val="21"/>
              </w:rPr>
              <w:t xml:space="preserve">   </w:t>
            </w:r>
            <w:r>
              <w:rPr>
                <w:spacing w:val="9"/>
              </w:rPr>
              <w:t>手动监测□</w:t>
            </w:r>
            <w:r>
              <w:rPr/>
              <w:t xml:space="preserve"> </w:t>
            </w:r>
            <w:r>
              <w:rPr>
                <w:spacing w:val="7"/>
              </w:rPr>
              <w:t>无监测□</w:t>
            </w:r>
          </w:p>
        </w:tc>
      </w:tr>
      <w:tr>
        <w:trPr>
          <w:trHeight w:val="548" w:hRule="atLeast"/>
        </w:trPr>
        <w:tc>
          <w:tcPr>
            <w:tcW w:w="859" w:type="dxa"/>
            <w:vAlign w:val="top"/>
            <w:vMerge w:val="continue"/>
            <w:tcBorders>
              <w:top w:val="nil"/>
            </w:tcBorders>
          </w:tcPr>
          <w:p>
            <w:pPr>
              <w:rPr>
                <w:rFonts w:ascii="Arial"/>
                <w:sz w:val="21"/>
              </w:rPr>
            </w:pPr>
            <w:r/>
          </w:p>
        </w:tc>
        <w:tc>
          <w:tcPr>
            <w:tcW w:w="1499" w:type="dxa"/>
            <w:vAlign w:val="top"/>
          </w:tcPr>
          <w:p>
            <w:pPr>
              <w:pStyle w:val="TableText"/>
              <w:ind w:left="232" w:right="13" w:hanging="208"/>
              <w:spacing w:before="35" w:line="232" w:lineRule="auto"/>
              <w:rPr/>
            </w:pPr>
            <w:r>
              <w:rPr>
                <w:spacing w:val="8"/>
              </w:rPr>
              <w:t>声环境保护目标</w:t>
            </w:r>
            <w:r>
              <w:rPr/>
              <w:t xml:space="preserve"> </w:t>
            </w:r>
            <w:r>
              <w:rPr>
                <w:spacing w:val="7"/>
              </w:rPr>
              <w:t>处噪声监测</w:t>
            </w:r>
          </w:p>
        </w:tc>
        <w:tc>
          <w:tcPr>
            <w:tcW w:w="3008" w:type="dxa"/>
            <w:vAlign w:val="top"/>
          </w:tcPr>
          <w:p>
            <w:pPr>
              <w:pStyle w:val="TableText"/>
              <w:spacing w:before="168" w:line="227" w:lineRule="auto"/>
              <w:jc w:val="right"/>
              <w:rPr/>
            </w:pPr>
            <w:r>
              <w:rPr>
                <w:spacing w:val="4"/>
              </w:rPr>
              <w:t>监测因子</w:t>
            </w:r>
            <w:r>
              <w:rPr>
                <w:spacing w:val="-25"/>
                <w:w w:val="46"/>
              </w:rPr>
              <w:t>：（</w:t>
            </w:r>
            <w:r>
              <w:rPr>
                <w:spacing w:val="4"/>
              </w:rPr>
              <w:t>与现状监测布点一致）</w:t>
            </w:r>
          </w:p>
        </w:tc>
        <w:tc>
          <w:tcPr>
            <w:tcW w:w="2104" w:type="dxa"/>
            <w:vAlign w:val="top"/>
          </w:tcPr>
          <w:p>
            <w:pPr>
              <w:pStyle w:val="TableText"/>
              <w:ind w:left="272"/>
              <w:spacing w:before="168" w:line="228" w:lineRule="auto"/>
              <w:rPr/>
            </w:pPr>
            <w:r>
              <w:rPr>
                <w:spacing w:val="6"/>
              </w:rPr>
              <w:t>监测点位数（</w:t>
            </w:r>
            <w:r>
              <w:rPr>
                <w:rFonts w:ascii="Times New Roman" w:hAnsi="Times New Roman" w:eastAsia="Times New Roman" w:cs="Times New Roman"/>
                <w:spacing w:val="6"/>
              </w:rPr>
              <w:t>2</w:t>
            </w:r>
            <w:r>
              <w:rPr>
                <w:spacing w:val="6"/>
              </w:rPr>
              <w:t>）</w:t>
            </w:r>
          </w:p>
        </w:tc>
        <w:tc>
          <w:tcPr>
            <w:tcW w:w="1046" w:type="dxa"/>
            <w:vAlign w:val="top"/>
          </w:tcPr>
          <w:p>
            <w:pPr>
              <w:pStyle w:val="TableText"/>
              <w:ind w:left="152"/>
              <w:spacing w:before="169" w:line="228" w:lineRule="auto"/>
              <w:rPr>
                <w:rFonts w:ascii="Times New Roman" w:hAnsi="Times New Roman" w:eastAsia="Times New Roman" w:cs="Times New Roman"/>
              </w:rPr>
            </w:pPr>
            <w:r>
              <w:rPr>
                <w:spacing w:val="6"/>
              </w:rPr>
              <w:t>无监测</w:t>
            </w:r>
            <w:r>
              <w:rPr>
                <w:rFonts w:ascii="Times New Roman" w:hAnsi="Times New Roman" w:eastAsia="Times New Roman" w:cs="Times New Roman"/>
                <w:spacing w:val="6"/>
              </w:rPr>
              <w:t>□</w:t>
            </w:r>
          </w:p>
        </w:tc>
      </w:tr>
      <w:tr>
        <w:trPr>
          <w:trHeight w:val="276" w:hRule="atLeast"/>
        </w:trPr>
        <w:tc>
          <w:tcPr>
            <w:tcW w:w="859" w:type="dxa"/>
            <w:vAlign w:val="top"/>
          </w:tcPr>
          <w:p>
            <w:pPr>
              <w:pStyle w:val="TableText"/>
              <w:ind w:left="14"/>
              <w:spacing w:before="33" w:line="215" w:lineRule="auto"/>
              <w:rPr/>
            </w:pPr>
            <w:r>
              <w:rPr>
                <w:spacing w:val="7"/>
              </w:rPr>
              <w:t>评价结论</w:t>
            </w:r>
          </w:p>
        </w:tc>
        <w:tc>
          <w:tcPr>
            <w:tcW w:w="1499" w:type="dxa"/>
            <w:vAlign w:val="top"/>
          </w:tcPr>
          <w:p>
            <w:pPr>
              <w:pStyle w:val="TableText"/>
              <w:ind w:left="334"/>
              <w:spacing w:before="33" w:line="215" w:lineRule="auto"/>
              <w:rPr/>
            </w:pPr>
            <w:r>
              <w:rPr>
                <w:spacing w:val="7"/>
              </w:rPr>
              <w:t>环境影响</w:t>
            </w:r>
          </w:p>
        </w:tc>
        <w:tc>
          <w:tcPr>
            <w:tcW w:w="6158" w:type="dxa"/>
            <w:vAlign w:val="top"/>
            <w:gridSpan w:val="3"/>
          </w:tcPr>
          <w:p>
            <w:pPr>
              <w:pStyle w:val="TableText"/>
              <w:ind w:left="2062"/>
              <w:spacing w:before="33" w:line="215" w:lineRule="auto"/>
              <w:rPr/>
            </w:pPr>
            <w:r>
              <w:rPr>
                <w:spacing w:val="3"/>
              </w:rPr>
              <w:t>可行</w:t>
            </w:r>
            <w:r>
              <w:rPr>
                <w:rFonts w:ascii="MS UI Gothic" w:hAnsi="MS UI Gothic" w:eastAsia="MS UI Gothic" w:cs="MS UI Gothic"/>
                <w:spacing w:val="3"/>
              </w:rPr>
              <w:t>☐</w:t>
            </w:r>
            <w:r>
              <w:rPr>
                <w:rFonts w:ascii="MS UI Gothic" w:hAnsi="MS UI Gothic" w:eastAsia="MS UI Gothic" w:cs="MS UI Gothic"/>
                <w:spacing w:val="6"/>
              </w:rPr>
              <w:t xml:space="preserve">         </w:t>
            </w:r>
            <w:r>
              <w:rPr>
                <w:spacing w:val="3"/>
              </w:rPr>
              <w:t>不可行□</w:t>
            </w:r>
          </w:p>
        </w:tc>
      </w:tr>
      <w:tr>
        <w:trPr>
          <w:trHeight w:val="281" w:hRule="atLeast"/>
        </w:trPr>
        <w:tc>
          <w:tcPr>
            <w:tcW w:w="8516" w:type="dxa"/>
            <w:vAlign w:val="top"/>
            <w:gridSpan w:val="5"/>
          </w:tcPr>
          <w:p>
            <w:pPr>
              <w:pStyle w:val="TableText"/>
              <w:ind w:left="12"/>
              <w:spacing w:line="270" w:lineRule="exact"/>
              <w:rPr/>
            </w:pPr>
            <w:r>
              <w:rPr>
                <w:spacing w:val="-2"/>
              </w:rPr>
              <w:t>注</w:t>
            </w:r>
            <w:r>
              <w:rPr>
                <w:rFonts w:ascii="Times New Roman" w:hAnsi="Times New Roman" w:eastAsia="Times New Roman" w:cs="Times New Roman"/>
                <w:spacing w:val="-2"/>
              </w:rPr>
              <w:t>“□”</w:t>
            </w:r>
            <w:r>
              <w:rPr>
                <w:spacing w:val="-2"/>
              </w:rPr>
              <w:t>为勾选项</w:t>
            </w:r>
            <w:r>
              <w:rPr>
                <w:spacing w:val="48"/>
              </w:rPr>
              <w:t xml:space="preserve"> </w:t>
            </w:r>
            <w:r>
              <w:rPr>
                <w:spacing w:val="-2"/>
              </w:rPr>
              <w:t>，可</w:t>
            </w:r>
            <w:r>
              <w:rPr>
                <w:rFonts w:ascii="Times New Roman" w:hAnsi="Times New Roman" w:eastAsia="Times New Roman" w:cs="Times New Roman"/>
                <w:spacing w:val="-2"/>
              </w:rPr>
              <w:t>√</w:t>
            </w:r>
            <w:r>
              <w:rPr>
                <w:rFonts w:ascii="Times New Roman" w:hAnsi="Times New Roman" w:eastAsia="Times New Roman" w:cs="Times New Roman"/>
                <w:spacing w:val="-23"/>
              </w:rPr>
              <w:t xml:space="preserve"> </w:t>
            </w:r>
            <w:r>
              <w:rPr>
                <w:spacing w:val="-2"/>
              </w:rPr>
              <w:t>;</w:t>
            </w:r>
            <w:r>
              <w:rPr>
                <w:spacing w:val="57"/>
              </w:rPr>
              <w:t xml:space="preserve"> </w:t>
            </w:r>
            <w:r>
              <w:rPr>
                <w:rFonts w:ascii="Times New Roman" w:hAnsi="Times New Roman" w:eastAsia="Times New Roman" w:cs="Times New Roman"/>
                <w:spacing w:val="-2"/>
              </w:rPr>
              <w:t>“  </w:t>
            </w:r>
            <w:r>
              <w:rPr>
                <w:spacing w:val="-2"/>
              </w:rPr>
              <w:t>(   )</w:t>
            </w:r>
            <w:r>
              <w:rPr>
                <w:spacing w:val="27"/>
              </w:rPr>
              <w:t xml:space="preserve"> </w:t>
            </w:r>
            <w:r>
              <w:rPr>
                <w:rFonts w:ascii="Times New Roman" w:hAnsi="Times New Roman" w:eastAsia="Times New Roman" w:cs="Times New Roman"/>
                <w:spacing w:val="-2"/>
              </w:rPr>
              <w:t>”</w:t>
            </w:r>
            <w:r>
              <w:rPr>
                <w:spacing w:val="-2"/>
              </w:rPr>
              <w:t>为内容填写项。</w:t>
            </w:r>
          </w:p>
        </w:tc>
      </w:tr>
    </w:tbl>
    <w:p>
      <w:pPr>
        <w:ind w:left="23"/>
        <w:spacing w:before="200" w:line="222" w:lineRule="auto"/>
        <w:outlineLvl w:val="1"/>
        <w:rPr>
          <w:rFonts w:ascii="SimHei" w:hAnsi="SimHei" w:eastAsia="SimHei" w:cs="SimHei"/>
          <w:sz w:val="30"/>
          <w:szCs w:val="30"/>
        </w:rPr>
      </w:pPr>
      <w:bookmarkStart w:name="bookmark106" w:id="134"/>
      <w:bookmarkEnd w:id="134"/>
      <w:r>
        <w:rPr>
          <w:rFonts w:ascii="Times New Roman" w:hAnsi="Times New Roman" w:eastAsia="Times New Roman" w:cs="Times New Roman"/>
          <w:sz w:val="30"/>
          <w:szCs w:val="30"/>
          <w:spacing w:val="-4"/>
        </w:rPr>
        <w:t>5.5</w:t>
      </w:r>
      <w:r>
        <w:rPr>
          <w:rFonts w:ascii="Times New Roman" w:hAnsi="Times New Roman" w:eastAsia="Times New Roman" w:cs="Times New Roman"/>
          <w:sz w:val="30"/>
          <w:szCs w:val="30"/>
          <w:spacing w:val="31"/>
        </w:rPr>
        <w:t xml:space="preserve"> </w:t>
      </w:r>
      <w:r>
        <w:rPr>
          <w:rFonts w:ascii="SimHei" w:hAnsi="SimHei" w:eastAsia="SimHei" w:cs="SimHei"/>
          <w:sz w:val="30"/>
          <w:szCs w:val="30"/>
          <w:spacing w:val="-4"/>
        </w:rPr>
        <w:t>固体废弃物影响分析</w:t>
      </w:r>
    </w:p>
    <w:p>
      <w:pPr>
        <w:pStyle w:val="BodyText"/>
        <w:spacing w:line="291" w:lineRule="auto"/>
        <w:rPr/>
      </w:pPr>
      <w:r/>
    </w:p>
    <w:p>
      <w:pPr>
        <w:ind w:left="31" w:right="9" w:firstLine="470"/>
        <w:spacing w:before="78" w:line="359" w:lineRule="auto"/>
        <w:rPr>
          <w:rFonts w:ascii="SimSun" w:hAnsi="SimSun" w:eastAsia="SimSun" w:cs="SimSun"/>
          <w:sz w:val="24"/>
          <w:szCs w:val="24"/>
        </w:rPr>
      </w:pPr>
      <w:r>
        <w:rPr>
          <w:rFonts w:ascii="SimSun" w:hAnsi="SimSun" w:eastAsia="SimSun" w:cs="SimSun"/>
          <w:sz w:val="24"/>
          <w:szCs w:val="24"/>
          <w:spacing w:val="-1"/>
        </w:rPr>
        <w:t>项目固体废物产生总量为</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1"/>
        </w:rPr>
        <w:t>10617.428t/a</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，其中一般工业固废</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10585.838t/a</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1"/>
        </w:rPr>
        <w:t>，危</w:t>
      </w:r>
      <w:r>
        <w:rPr>
          <w:rFonts w:ascii="SimSun" w:hAnsi="SimSun" w:eastAsia="SimSun" w:cs="SimSun"/>
          <w:sz w:val="24"/>
          <w:szCs w:val="24"/>
        </w:rPr>
        <w:t xml:space="preserve"> </w:t>
      </w:r>
      <w:r>
        <w:rPr>
          <w:rFonts w:ascii="SimSun" w:hAnsi="SimSun" w:eastAsia="SimSun" w:cs="SimSun"/>
          <w:sz w:val="24"/>
          <w:szCs w:val="24"/>
          <w:spacing w:val="-4"/>
        </w:rPr>
        <w:t>险废物</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16.59t/a</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，生活垃圾</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15t/a</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，全</w:t>
      </w:r>
      <w:r>
        <w:rPr>
          <w:rFonts w:ascii="SimSun" w:hAnsi="SimSun" w:eastAsia="SimSun" w:cs="SimSun"/>
          <w:sz w:val="24"/>
          <w:szCs w:val="24"/>
          <w:spacing w:val="-5"/>
        </w:rPr>
        <w:t>部得到了合理处置。</w:t>
      </w:r>
    </w:p>
    <w:p>
      <w:pPr>
        <w:ind w:left="1748"/>
        <w:spacing w:line="212" w:lineRule="auto"/>
        <w:rPr>
          <w:rFonts w:ascii="Times New Roman" w:hAnsi="Times New Roman" w:eastAsia="Times New Roman" w:cs="Times New Roman"/>
          <w:sz w:val="24"/>
          <w:szCs w:val="24"/>
        </w:rPr>
      </w:pPr>
      <w:r>
        <w:rPr>
          <w:rFonts w:ascii="SimSun" w:hAnsi="SimSun" w:eastAsia="SimSun" w:cs="SimSun"/>
          <w:sz w:val="24"/>
          <w:szCs w:val="24"/>
          <w:b/>
          <w:bCs/>
          <w:spacing w:val="-2"/>
        </w:rPr>
        <w:t>表</w:t>
      </w:r>
      <w:r>
        <w:rPr>
          <w:rFonts w:ascii="SimSun" w:hAnsi="SimSun" w:eastAsia="SimSun" w:cs="SimSun"/>
          <w:sz w:val="24"/>
          <w:szCs w:val="24"/>
          <w:spacing w:val="-47"/>
        </w:rPr>
        <w:t xml:space="preserve"> </w:t>
      </w:r>
      <w:r>
        <w:rPr>
          <w:rFonts w:ascii="Times New Roman" w:hAnsi="Times New Roman" w:eastAsia="Times New Roman" w:cs="Times New Roman"/>
          <w:sz w:val="24"/>
          <w:szCs w:val="24"/>
          <w:b/>
          <w:bCs/>
          <w:spacing w:val="-2"/>
        </w:rPr>
        <w:t>5.5-1      </w:t>
      </w:r>
      <w:r>
        <w:rPr>
          <w:rFonts w:ascii="SimSun" w:hAnsi="SimSun" w:eastAsia="SimSun" w:cs="SimSun"/>
          <w:sz w:val="24"/>
          <w:szCs w:val="24"/>
          <w:b/>
          <w:bCs/>
          <w:spacing w:val="-2"/>
        </w:rPr>
        <w:t>固废污染源排放一览表</w:t>
      </w:r>
      <w:r>
        <w:rPr>
          <w:rFonts w:ascii="SimSun" w:hAnsi="SimSun" w:eastAsia="SimSun" w:cs="SimSun"/>
          <w:sz w:val="24"/>
          <w:szCs w:val="24"/>
          <w:spacing w:val="3"/>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t/a</w:t>
      </w:r>
    </w:p>
    <w:tbl>
      <w:tblPr>
        <w:tblStyle w:val="TableNormal"/>
        <w:tblW w:w="8514" w:type="dxa"/>
        <w:tblInd w:w="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98"/>
        <w:gridCol w:w="1466"/>
        <w:gridCol w:w="902"/>
        <w:gridCol w:w="1442"/>
        <w:gridCol w:w="989"/>
        <w:gridCol w:w="1606"/>
        <w:gridCol w:w="1611"/>
      </w:tblGrid>
      <w:tr>
        <w:trPr>
          <w:trHeight w:val="281" w:hRule="atLeast"/>
        </w:trPr>
        <w:tc>
          <w:tcPr>
            <w:tcW w:w="498" w:type="dxa"/>
            <w:vAlign w:val="top"/>
          </w:tcPr>
          <w:p>
            <w:pPr>
              <w:pStyle w:val="TableText"/>
              <w:ind w:left="44"/>
              <w:spacing w:before="35" w:line="217" w:lineRule="auto"/>
              <w:rPr/>
            </w:pPr>
            <w:r>
              <w:rPr>
                <w:spacing w:val="3"/>
              </w:rPr>
              <w:t>编号</w:t>
            </w:r>
          </w:p>
        </w:tc>
        <w:tc>
          <w:tcPr>
            <w:tcW w:w="1466" w:type="dxa"/>
            <w:vAlign w:val="top"/>
          </w:tcPr>
          <w:p>
            <w:pPr>
              <w:pStyle w:val="TableText"/>
              <w:ind w:left="333"/>
              <w:spacing w:before="35" w:line="217" w:lineRule="auto"/>
              <w:rPr/>
            </w:pPr>
            <w:r>
              <w:rPr>
                <w:spacing w:val="2"/>
              </w:rPr>
              <w:t>固废名称</w:t>
            </w:r>
          </w:p>
        </w:tc>
        <w:tc>
          <w:tcPr>
            <w:tcW w:w="902" w:type="dxa"/>
            <w:vAlign w:val="top"/>
          </w:tcPr>
          <w:p>
            <w:pPr>
              <w:pStyle w:val="TableText"/>
              <w:ind w:left="140"/>
              <w:spacing w:before="35" w:line="217" w:lineRule="auto"/>
              <w:rPr/>
            </w:pPr>
            <w:r>
              <w:rPr>
                <w:spacing w:val="6"/>
              </w:rPr>
              <w:t>产生量</w:t>
            </w:r>
          </w:p>
        </w:tc>
        <w:tc>
          <w:tcPr>
            <w:tcW w:w="1442" w:type="dxa"/>
            <w:vAlign w:val="top"/>
          </w:tcPr>
          <w:p>
            <w:pPr>
              <w:pStyle w:val="TableText"/>
              <w:ind w:left="308"/>
              <w:spacing w:before="35" w:line="217" w:lineRule="auto"/>
              <w:rPr/>
            </w:pPr>
            <w:r>
              <w:rPr>
                <w:spacing w:val="6"/>
              </w:rPr>
              <w:t>主要成分</w:t>
            </w:r>
          </w:p>
        </w:tc>
        <w:tc>
          <w:tcPr>
            <w:tcW w:w="989" w:type="dxa"/>
            <w:vAlign w:val="top"/>
          </w:tcPr>
          <w:p>
            <w:pPr>
              <w:pStyle w:val="TableText"/>
              <w:ind w:left="291"/>
              <w:spacing w:before="35" w:line="217" w:lineRule="auto"/>
              <w:rPr/>
            </w:pPr>
            <w:r>
              <w:rPr>
                <w:spacing w:val="3"/>
              </w:rPr>
              <w:t>属性</w:t>
            </w:r>
          </w:p>
        </w:tc>
        <w:tc>
          <w:tcPr>
            <w:tcW w:w="1606" w:type="dxa"/>
            <w:vAlign w:val="top"/>
          </w:tcPr>
          <w:p>
            <w:pPr>
              <w:pStyle w:val="TableText"/>
              <w:ind w:left="391"/>
              <w:spacing w:before="35" w:line="217" w:lineRule="auto"/>
              <w:rPr/>
            </w:pPr>
            <w:r>
              <w:rPr>
                <w:spacing w:val="7"/>
              </w:rPr>
              <w:t>贮存位置</w:t>
            </w:r>
          </w:p>
        </w:tc>
        <w:tc>
          <w:tcPr>
            <w:tcW w:w="1611" w:type="dxa"/>
            <w:vAlign w:val="top"/>
          </w:tcPr>
          <w:p>
            <w:pPr>
              <w:pStyle w:val="TableText"/>
              <w:ind w:left="75"/>
              <w:spacing w:before="35" w:line="217" w:lineRule="auto"/>
              <w:rPr/>
            </w:pPr>
            <w:r>
              <w:rPr>
                <w:spacing w:val="8"/>
              </w:rPr>
              <w:t>拟采取处理措施</w:t>
            </w:r>
          </w:p>
        </w:tc>
      </w:tr>
      <w:tr>
        <w:trPr>
          <w:trHeight w:val="821" w:hRule="atLeast"/>
        </w:trPr>
        <w:tc>
          <w:tcPr>
            <w:tcW w:w="498" w:type="dxa"/>
            <w:vAlign w:val="top"/>
          </w:tcPr>
          <w:p>
            <w:pPr>
              <w:spacing w:line="281" w:lineRule="auto"/>
              <w:rPr>
                <w:rFonts w:ascii="Arial"/>
                <w:sz w:val="21"/>
              </w:rPr>
            </w:pPr>
            <w:r/>
          </w:p>
          <w:p>
            <w:pPr>
              <w:ind w:left="110"/>
              <w:spacing w:before="58"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1-1</w:t>
            </w:r>
          </w:p>
        </w:tc>
        <w:tc>
          <w:tcPr>
            <w:tcW w:w="1466" w:type="dxa"/>
            <w:vAlign w:val="top"/>
          </w:tcPr>
          <w:p>
            <w:pPr>
              <w:pStyle w:val="TableText"/>
              <w:ind w:left="314"/>
              <w:spacing w:before="304" w:line="228" w:lineRule="auto"/>
              <w:rPr/>
            </w:pPr>
            <w:r>
              <w:rPr>
                <w:spacing w:val="7"/>
              </w:rPr>
              <w:t>废包装物</w:t>
            </w:r>
          </w:p>
        </w:tc>
        <w:tc>
          <w:tcPr>
            <w:tcW w:w="902" w:type="dxa"/>
            <w:vAlign w:val="top"/>
          </w:tcPr>
          <w:p>
            <w:pPr>
              <w:spacing w:line="284" w:lineRule="auto"/>
              <w:rPr>
                <w:rFonts w:ascii="Arial"/>
                <w:sz w:val="21"/>
              </w:rPr>
            </w:pPr>
            <w:r/>
          </w:p>
          <w:p>
            <w:pPr>
              <w:ind w:left="348"/>
              <w:spacing w:before="5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75</w:t>
            </w:r>
          </w:p>
        </w:tc>
        <w:tc>
          <w:tcPr>
            <w:tcW w:w="1442" w:type="dxa"/>
            <w:vAlign w:val="top"/>
          </w:tcPr>
          <w:p>
            <w:pPr>
              <w:pStyle w:val="TableText"/>
              <w:ind w:left="18" w:right="3" w:firstLine="81"/>
              <w:spacing w:before="33" w:line="250" w:lineRule="auto"/>
              <w:rPr/>
            </w:pPr>
            <w:r>
              <w:rPr>
                <w:spacing w:val="7"/>
              </w:rPr>
              <w:t>高密度聚乙烯</w:t>
            </w:r>
            <w:r>
              <w:rPr/>
              <w:t xml:space="preserve">  </w:t>
            </w:r>
            <w:r>
              <w:rPr>
                <w:spacing w:val="2"/>
              </w:rPr>
              <w:t>（包布）和钢丝</w:t>
            </w:r>
          </w:p>
          <w:p>
            <w:pPr>
              <w:pStyle w:val="TableText"/>
              <w:ind w:left="316"/>
              <w:spacing w:line="217" w:lineRule="auto"/>
              <w:rPr/>
            </w:pPr>
            <w:r>
              <w:rPr>
                <w:spacing w:val="2"/>
              </w:rPr>
              <w:t>（包索）</w:t>
            </w:r>
          </w:p>
        </w:tc>
        <w:tc>
          <w:tcPr>
            <w:tcW w:w="989" w:type="dxa"/>
            <w:vAlign w:val="top"/>
          </w:tcPr>
          <w:p>
            <w:pPr>
              <w:pStyle w:val="TableText"/>
              <w:ind w:left="84"/>
              <w:spacing w:before="304" w:line="228" w:lineRule="auto"/>
              <w:rPr/>
            </w:pPr>
            <w:r>
              <w:rPr>
                <w:spacing w:val="6"/>
              </w:rPr>
              <w:t>一般固废</w:t>
            </w:r>
          </w:p>
        </w:tc>
        <w:tc>
          <w:tcPr>
            <w:tcW w:w="1606" w:type="dxa"/>
            <w:vAlign w:val="top"/>
          </w:tcPr>
          <w:p>
            <w:pPr>
              <w:pStyle w:val="TableText"/>
              <w:ind w:left="77"/>
              <w:spacing w:before="304" w:line="228" w:lineRule="auto"/>
              <w:rPr/>
            </w:pPr>
            <w:r>
              <w:rPr>
                <w:spacing w:val="8"/>
              </w:rPr>
              <w:t>一般固废暂存间</w:t>
            </w:r>
          </w:p>
        </w:tc>
        <w:tc>
          <w:tcPr>
            <w:tcW w:w="1611" w:type="dxa"/>
            <w:vAlign w:val="top"/>
          </w:tcPr>
          <w:p>
            <w:pPr>
              <w:pStyle w:val="TableText"/>
              <w:ind w:left="285" w:right="69" w:hanging="206"/>
              <w:spacing w:before="168" w:line="254" w:lineRule="auto"/>
              <w:rPr/>
            </w:pPr>
            <w:r>
              <w:rPr>
                <w:spacing w:val="8"/>
              </w:rPr>
              <w:t>外售废品回收企</w:t>
            </w:r>
            <w:r>
              <w:rPr/>
              <w:t xml:space="preserve"> </w:t>
            </w:r>
            <w:r>
              <w:rPr>
                <w:spacing w:val="8"/>
              </w:rPr>
              <w:t>业综合利用</w:t>
            </w:r>
          </w:p>
        </w:tc>
      </w:tr>
      <w:tr>
        <w:trPr>
          <w:trHeight w:val="550" w:hRule="atLeast"/>
        </w:trPr>
        <w:tc>
          <w:tcPr>
            <w:tcW w:w="498" w:type="dxa"/>
            <w:vAlign w:val="top"/>
          </w:tcPr>
          <w:p>
            <w:pPr>
              <w:ind w:left="110"/>
              <w:spacing w:before="205"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1-2</w:t>
            </w:r>
          </w:p>
        </w:tc>
        <w:tc>
          <w:tcPr>
            <w:tcW w:w="1466" w:type="dxa"/>
            <w:vAlign w:val="top"/>
          </w:tcPr>
          <w:p>
            <w:pPr>
              <w:pStyle w:val="TableText"/>
              <w:ind w:left="317"/>
              <w:spacing w:before="166" w:line="228" w:lineRule="auto"/>
              <w:rPr/>
            </w:pPr>
            <w:r>
              <w:rPr>
                <w:spacing w:val="6"/>
              </w:rPr>
              <w:t>分选杂物</w:t>
            </w:r>
          </w:p>
        </w:tc>
        <w:tc>
          <w:tcPr>
            <w:tcW w:w="902" w:type="dxa"/>
            <w:vAlign w:val="top"/>
          </w:tcPr>
          <w:p>
            <w:pPr>
              <w:ind w:left="262"/>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1850</w:t>
            </w:r>
          </w:p>
        </w:tc>
        <w:tc>
          <w:tcPr>
            <w:tcW w:w="1442" w:type="dxa"/>
            <w:vAlign w:val="top"/>
          </w:tcPr>
          <w:p>
            <w:pPr>
              <w:pStyle w:val="TableText"/>
              <w:ind w:left="199"/>
              <w:spacing w:before="167" w:line="228" w:lineRule="auto"/>
              <w:rPr/>
            </w:pPr>
            <w:r>
              <w:rPr>
                <w:spacing w:val="8"/>
              </w:rPr>
              <w:t>砂石、木块</w:t>
            </w:r>
          </w:p>
        </w:tc>
        <w:tc>
          <w:tcPr>
            <w:tcW w:w="989" w:type="dxa"/>
            <w:vAlign w:val="top"/>
          </w:tcPr>
          <w:p>
            <w:pPr>
              <w:pStyle w:val="TableText"/>
              <w:ind w:left="84"/>
              <w:spacing w:before="167" w:line="228" w:lineRule="auto"/>
              <w:rPr/>
            </w:pPr>
            <w:r>
              <w:rPr>
                <w:spacing w:val="6"/>
              </w:rPr>
              <w:t>一般固废</w:t>
            </w:r>
          </w:p>
        </w:tc>
        <w:tc>
          <w:tcPr>
            <w:tcW w:w="1606" w:type="dxa"/>
            <w:vAlign w:val="top"/>
          </w:tcPr>
          <w:p>
            <w:pPr>
              <w:pStyle w:val="TableText"/>
              <w:ind w:left="77"/>
              <w:spacing w:before="166" w:line="228" w:lineRule="auto"/>
              <w:rPr/>
            </w:pPr>
            <w:r>
              <w:rPr>
                <w:spacing w:val="8"/>
              </w:rPr>
              <w:t>一般固废暂存间</w:t>
            </w:r>
          </w:p>
        </w:tc>
        <w:tc>
          <w:tcPr>
            <w:tcW w:w="1611" w:type="dxa"/>
            <w:vAlign w:val="top"/>
          </w:tcPr>
          <w:p>
            <w:pPr>
              <w:pStyle w:val="TableText"/>
              <w:ind w:left="309" w:right="69" w:hanging="235"/>
              <w:spacing w:before="32" w:line="234" w:lineRule="auto"/>
              <w:rPr/>
            </w:pPr>
            <w:r>
              <w:rPr>
                <w:spacing w:val="8"/>
              </w:rPr>
              <w:t>委托当地环卫部</w:t>
            </w:r>
            <w:r>
              <w:rPr>
                <w:spacing w:val="4"/>
              </w:rPr>
              <w:t xml:space="preserve"> </w:t>
            </w:r>
            <w:r>
              <w:rPr>
                <w:spacing w:val="3"/>
              </w:rPr>
              <w:t>门清运处理</w:t>
            </w:r>
          </w:p>
        </w:tc>
      </w:tr>
      <w:tr>
        <w:trPr>
          <w:trHeight w:val="2727" w:hRule="atLeast"/>
        </w:trPr>
        <w:tc>
          <w:tcPr>
            <w:tcW w:w="498" w:type="dxa"/>
            <w:vAlign w:val="top"/>
          </w:tcPr>
          <w:p>
            <w:pPr>
              <w:spacing w:line="245"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ind w:left="110"/>
              <w:spacing w:before="57" w:line="21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1-3</w:t>
            </w:r>
          </w:p>
        </w:tc>
        <w:tc>
          <w:tcPr>
            <w:tcW w:w="1466" w:type="dxa"/>
            <w:vAlign w:val="top"/>
          </w:tcPr>
          <w:p>
            <w:pPr>
              <w:spacing w:line="296" w:lineRule="auto"/>
              <w:rPr>
                <w:rFonts w:ascii="Arial"/>
                <w:sz w:val="21"/>
              </w:rPr>
            </w:pPr>
            <w:r/>
          </w:p>
          <w:p>
            <w:pPr>
              <w:spacing w:line="296" w:lineRule="auto"/>
              <w:rPr>
                <w:rFonts w:ascii="Arial"/>
                <w:sz w:val="21"/>
              </w:rPr>
            </w:pPr>
            <w:r/>
          </w:p>
          <w:p>
            <w:pPr>
              <w:spacing w:line="296" w:lineRule="auto"/>
              <w:rPr>
                <w:rFonts w:ascii="Arial"/>
                <w:sz w:val="21"/>
              </w:rPr>
            </w:pPr>
            <w:r/>
          </w:p>
          <w:p>
            <w:pPr>
              <w:spacing w:line="297" w:lineRule="auto"/>
              <w:rPr>
                <w:rFonts w:ascii="Arial"/>
                <w:sz w:val="21"/>
              </w:rPr>
            </w:pPr>
            <w:r/>
          </w:p>
          <w:p>
            <w:pPr>
              <w:pStyle w:val="TableText"/>
              <w:ind w:left="315"/>
              <w:spacing w:before="65" w:line="228" w:lineRule="auto"/>
              <w:rPr/>
            </w:pPr>
            <w:r>
              <w:rPr>
                <w:spacing w:val="7"/>
              </w:rPr>
              <w:t>开松杂质</w:t>
            </w:r>
          </w:p>
        </w:tc>
        <w:tc>
          <w:tcPr>
            <w:tcW w:w="902" w:type="dxa"/>
            <w:vAlign w:val="top"/>
          </w:tcPr>
          <w:p>
            <w:pPr>
              <w:spacing w:line="245"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ind w:left="11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7882.85</w:t>
            </w:r>
          </w:p>
        </w:tc>
        <w:tc>
          <w:tcPr>
            <w:tcW w:w="1442" w:type="dxa"/>
            <w:vAlign w:val="top"/>
          </w:tcPr>
          <w:p>
            <w:pPr>
              <w:spacing w:line="304" w:lineRule="auto"/>
              <w:rPr>
                <w:rFonts w:ascii="Arial"/>
                <w:sz w:val="21"/>
              </w:rPr>
            </w:pPr>
            <w:r/>
          </w:p>
          <w:p>
            <w:pPr>
              <w:spacing w:line="305" w:lineRule="auto"/>
              <w:rPr>
                <w:rFonts w:ascii="Arial"/>
                <w:sz w:val="21"/>
              </w:rPr>
            </w:pPr>
            <w:r/>
          </w:p>
          <w:p>
            <w:pPr>
              <w:spacing w:line="305" w:lineRule="auto"/>
              <w:rPr>
                <w:rFonts w:ascii="Arial"/>
                <w:sz w:val="21"/>
              </w:rPr>
            </w:pPr>
            <w:r/>
          </w:p>
          <w:p>
            <w:pPr>
              <w:pStyle w:val="TableText"/>
              <w:ind w:left="10"/>
              <w:spacing w:before="65" w:line="228" w:lineRule="auto"/>
              <w:rPr/>
            </w:pPr>
            <w:r>
              <w:rPr>
                <w:spacing w:val="3"/>
              </w:rPr>
              <w:t>杂草、泥沙、石</w:t>
            </w:r>
          </w:p>
          <w:p>
            <w:pPr>
              <w:pStyle w:val="TableText"/>
              <w:ind w:left="95"/>
              <w:spacing w:before="24" w:line="228" w:lineRule="auto"/>
              <w:rPr/>
            </w:pPr>
            <w:r>
              <w:rPr>
                <w:spacing w:val="8"/>
              </w:rPr>
              <w:t>子及少量的羊</w:t>
            </w:r>
          </w:p>
          <w:p>
            <w:pPr>
              <w:pStyle w:val="TableText"/>
              <w:ind w:left="413"/>
              <w:spacing w:before="25" w:line="228" w:lineRule="auto"/>
              <w:rPr/>
            </w:pPr>
            <w:r>
              <w:rPr>
                <w:spacing w:val="6"/>
              </w:rPr>
              <w:t>粪便等</w:t>
            </w:r>
          </w:p>
        </w:tc>
        <w:tc>
          <w:tcPr>
            <w:tcW w:w="989" w:type="dxa"/>
            <w:vAlign w:val="top"/>
          </w:tcPr>
          <w:p>
            <w:pPr>
              <w:spacing w:line="296" w:lineRule="auto"/>
              <w:rPr>
                <w:rFonts w:ascii="Arial"/>
                <w:sz w:val="21"/>
              </w:rPr>
            </w:pPr>
            <w:r/>
          </w:p>
          <w:p>
            <w:pPr>
              <w:spacing w:line="296" w:lineRule="auto"/>
              <w:rPr>
                <w:rFonts w:ascii="Arial"/>
                <w:sz w:val="21"/>
              </w:rPr>
            </w:pPr>
            <w:r/>
          </w:p>
          <w:p>
            <w:pPr>
              <w:spacing w:line="297" w:lineRule="auto"/>
              <w:rPr>
                <w:rFonts w:ascii="Arial"/>
                <w:sz w:val="21"/>
              </w:rPr>
            </w:pPr>
            <w:r/>
          </w:p>
          <w:p>
            <w:pPr>
              <w:spacing w:line="297" w:lineRule="auto"/>
              <w:rPr>
                <w:rFonts w:ascii="Arial"/>
                <w:sz w:val="21"/>
              </w:rPr>
            </w:pPr>
            <w:r/>
          </w:p>
          <w:p>
            <w:pPr>
              <w:pStyle w:val="TableText"/>
              <w:ind w:left="84"/>
              <w:spacing w:before="65" w:line="228" w:lineRule="auto"/>
              <w:rPr/>
            </w:pPr>
            <w:r>
              <w:rPr>
                <w:spacing w:val="6"/>
              </w:rPr>
              <w:t>一般固废</w:t>
            </w:r>
          </w:p>
        </w:tc>
        <w:tc>
          <w:tcPr>
            <w:tcW w:w="1606" w:type="dxa"/>
            <w:vAlign w:val="top"/>
          </w:tcPr>
          <w:p>
            <w:pPr>
              <w:spacing w:line="296" w:lineRule="auto"/>
              <w:rPr>
                <w:rFonts w:ascii="Arial"/>
                <w:sz w:val="21"/>
              </w:rPr>
            </w:pPr>
            <w:r/>
          </w:p>
          <w:p>
            <w:pPr>
              <w:spacing w:line="296" w:lineRule="auto"/>
              <w:rPr>
                <w:rFonts w:ascii="Arial"/>
                <w:sz w:val="21"/>
              </w:rPr>
            </w:pPr>
            <w:r/>
          </w:p>
          <w:p>
            <w:pPr>
              <w:spacing w:line="296" w:lineRule="auto"/>
              <w:rPr>
                <w:rFonts w:ascii="Arial"/>
                <w:sz w:val="21"/>
              </w:rPr>
            </w:pPr>
            <w:r/>
          </w:p>
          <w:p>
            <w:pPr>
              <w:spacing w:line="297" w:lineRule="auto"/>
              <w:rPr>
                <w:rFonts w:ascii="Arial"/>
                <w:sz w:val="21"/>
              </w:rPr>
            </w:pPr>
            <w:r/>
          </w:p>
          <w:p>
            <w:pPr>
              <w:pStyle w:val="TableText"/>
              <w:ind w:left="77"/>
              <w:spacing w:before="65" w:line="228" w:lineRule="auto"/>
              <w:rPr/>
            </w:pPr>
            <w:r>
              <w:rPr>
                <w:spacing w:val="8"/>
              </w:rPr>
              <w:t>一般固废暂存间</w:t>
            </w:r>
          </w:p>
        </w:tc>
        <w:tc>
          <w:tcPr>
            <w:tcW w:w="1611" w:type="dxa"/>
            <w:vAlign w:val="top"/>
          </w:tcPr>
          <w:p>
            <w:pPr>
              <w:pStyle w:val="TableText"/>
              <w:ind w:left="79"/>
              <w:spacing w:before="31" w:line="228" w:lineRule="auto"/>
              <w:rPr/>
            </w:pPr>
            <w:r>
              <w:rPr>
                <w:spacing w:val="8"/>
              </w:rPr>
              <w:t>外运内蒙古盎然</w:t>
            </w:r>
          </w:p>
          <w:p>
            <w:pPr>
              <w:pStyle w:val="TableText"/>
              <w:ind w:left="75"/>
              <w:spacing w:before="27" w:line="228" w:lineRule="auto"/>
              <w:rPr/>
            </w:pPr>
            <w:r>
              <w:rPr>
                <w:spacing w:val="8"/>
              </w:rPr>
              <w:t>农业发展有限公</w:t>
            </w:r>
          </w:p>
          <w:p>
            <w:pPr>
              <w:pStyle w:val="TableText"/>
              <w:ind w:left="83"/>
              <w:spacing w:before="23" w:line="227" w:lineRule="auto"/>
              <w:rPr/>
            </w:pPr>
            <w:r>
              <w:rPr>
                <w:spacing w:val="7"/>
              </w:rPr>
              <w:t>司有机肥厂做有</w:t>
            </w:r>
          </w:p>
          <w:p>
            <w:pPr>
              <w:pStyle w:val="TableText"/>
              <w:ind w:left="12"/>
              <w:spacing w:before="27" w:line="227" w:lineRule="auto"/>
              <w:rPr/>
            </w:pPr>
            <w:r>
              <w:rPr>
                <w:spacing w:val="-2"/>
              </w:rPr>
              <w:t>机肥，待内蒙古源</w:t>
            </w:r>
          </w:p>
          <w:p>
            <w:pPr>
              <w:pStyle w:val="TableText"/>
              <w:ind w:left="76"/>
              <w:spacing w:before="26" w:line="228" w:lineRule="auto"/>
              <w:rPr/>
            </w:pPr>
            <w:r>
              <w:rPr>
                <w:spacing w:val="8"/>
              </w:rPr>
              <w:t>浩羊绒制品有限</w:t>
            </w:r>
          </w:p>
          <w:p>
            <w:pPr>
              <w:pStyle w:val="TableText"/>
              <w:ind w:left="82"/>
              <w:spacing w:before="26" w:line="228" w:lineRule="auto"/>
              <w:rPr/>
            </w:pPr>
            <w:r>
              <w:rPr>
                <w:spacing w:val="7"/>
              </w:rPr>
              <w:t>公司废弃物高效</w:t>
            </w:r>
          </w:p>
          <w:p>
            <w:pPr>
              <w:pStyle w:val="TableText"/>
              <w:ind w:left="13"/>
              <w:spacing w:before="24" w:line="228" w:lineRule="auto"/>
              <w:rPr/>
            </w:pPr>
            <w:r>
              <w:rPr>
                <w:spacing w:val="-2"/>
              </w:rPr>
              <w:t>循环利用项目（二</w:t>
            </w:r>
          </w:p>
          <w:p>
            <w:pPr>
              <w:pStyle w:val="TableText"/>
              <w:ind w:left="15"/>
              <w:spacing w:before="27" w:line="227" w:lineRule="auto"/>
              <w:rPr/>
            </w:pPr>
            <w:r>
              <w:rPr>
                <w:spacing w:val="-3"/>
              </w:rPr>
              <w:t>期）有机肥生产线</w:t>
            </w:r>
          </w:p>
          <w:p>
            <w:pPr>
              <w:pStyle w:val="TableText"/>
              <w:ind w:left="78"/>
              <w:spacing w:before="25" w:line="228" w:lineRule="auto"/>
              <w:rPr/>
            </w:pPr>
            <w:r>
              <w:rPr>
                <w:spacing w:val="8"/>
              </w:rPr>
              <w:t>建成后用于生产</w:t>
            </w:r>
          </w:p>
          <w:p>
            <w:pPr>
              <w:pStyle w:val="TableText"/>
              <w:ind w:left="390"/>
              <w:spacing w:before="27" w:line="214" w:lineRule="auto"/>
              <w:rPr/>
            </w:pPr>
            <w:r>
              <w:rPr>
                <w:spacing w:val="4"/>
              </w:rPr>
              <w:t>有机肥。</w:t>
            </w:r>
          </w:p>
        </w:tc>
      </w:tr>
      <w:tr>
        <w:trPr>
          <w:trHeight w:val="1093" w:hRule="atLeast"/>
        </w:trPr>
        <w:tc>
          <w:tcPr>
            <w:tcW w:w="498" w:type="dxa"/>
            <w:vAlign w:val="top"/>
          </w:tcPr>
          <w:p>
            <w:pPr>
              <w:spacing w:line="417" w:lineRule="auto"/>
              <w:rPr>
                <w:rFonts w:ascii="Arial"/>
                <w:sz w:val="21"/>
              </w:rPr>
            </w:pPr>
            <w:r/>
          </w:p>
          <w:p>
            <w:pPr>
              <w:ind w:left="110"/>
              <w:spacing w:before="58" w:line="21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1-5</w:t>
            </w:r>
          </w:p>
        </w:tc>
        <w:tc>
          <w:tcPr>
            <w:tcW w:w="1466" w:type="dxa"/>
            <w:vAlign w:val="top"/>
          </w:tcPr>
          <w:p>
            <w:pPr>
              <w:pStyle w:val="TableText"/>
              <w:ind w:left="107"/>
              <w:spacing w:before="168" w:line="227" w:lineRule="auto"/>
              <w:rPr/>
            </w:pPr>
            <w:r>
              <w:rPr>
                <w:spacing w:val="8"/>
              </w:rPr>
              <w:t>开松除杂布袋</w:t>
            </w:r>
          </w:p>
          <w:p>
            <w:pPr>
              <w:pStyle w:val="TableText"/>
              <w:ind w:left="118"/>
              <w:spacing w:before="27" w:line="228" w:lineRule="auto"/>
              <w:rPr/>
            </w:pPr>
            <w:r>
              <w:rPr>
                <w:spacing w:val="6"/>
              </w:rPr>
              <w:t>除尘器收集粉</w:t>
            </w:r>
          </w:p>
          <w:p>
            <w:pPr>
              <w:pStyle w:val="TableText"/>
              <w:ind w:left="633"/>
              <w:spacing w:before="24" w:line="234" w:lineRule="auto"/>
              <w:rPr/>
            </w:pPr>
            <w:r>
              <w:rPr/>
              <w:t>尘</w:t>
            </w:r>
          </w:p>
        </w:tc>
        <w:tc>
          <w:tcPr>
            <w:tcW w:w="902" w:type="dxa"/>
            <w:vAlign w:val="top"/>
          </w:tcPr>
          <w:p>
            <w:pPr>
              <w:spacing w:line="417" w:lineRule="auto"/>
              <w:rPr>
                <w:rFonts w:ascii="Arial"/>
                <w:sz w:val="21"/>
              </w:rPr>
            </w:pPr>
            <w:r/>
          </w:p>
          <w:p>
            <w:pPr>
              <w:ind w:left="218"/>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0.148</w:t>
            </w:r>
          </w:p>
        </w:tc>
        <w:tc>
          <w:tcPr>
            <w:tcW w:w="1442" w:type="dxa"/>
            <w:vAlign w:val="top"/>
          </w:tcPr>
          <w:p>
            <w:pPr>
              <w:spacing w:line="374" w:lineRule="auto"/>
              <w:rPr>
                <w:rFonts w:ascii="Arial"/>
                <w:sz w:val="21"/>
              </w:rPr>
            </w:pPr>
            <w:r/>
          </w:p>
          <w:p>
            <w:pPr>
              <w:pStyle w:val="TableText"/>
              <w:ind w:left="10"/>
              <w:spacing w:before="65" w:line="228" w:lineRule="auto"/>
              <w:rPr/>
            </w:pPr>
            <w:r>
              <w:rPr>
                <w:spacing w:val="3"/>
              </w:rPr>
              <w:t>泥沙、羊粪便等</w:t>
            </w:r>
          </w:p>
        </w:tc>
        <w:tc>
          <w:tcPr>
            <w:tcW w:w="989" w:type="dxa"/>
            <w:vAlign w:val="top"/>
          </w:tcPr>
          <w:p>
            <w:pPr>
              <w:spacing w:line="374" w:lineRule="auto"/>
              <w:rPr>
                <w:rFonts w:ascii="Arial"/>
                <w:sz w:val="21"/>
              </w:rPr>
            </w:pPr>
            <w:r/>
          </w:p>
          <w:p>
            <w:pPr>
              <w:pStyle w:val="TableText"/>
              <w:ind w:left="84"/>
              <w:spacing w:before="65" w:line="228" w:lineRule="auto"/>
              <w:rPr/>
            </w:pPr>
            <w:r>
              <w:rPr>
                <w:spacing w:val="6"/>
              </w:rPr>
              <w:t>一般固废</w:t>
            </w:r>
          </w:p>
        </w:tc>
        <w:tc>
          <w:tcPr>
            <w:tcW w:w="1606" w:type="dxa"/>
            <w:vAlign w:val="top"/>
          </w:tcPr>
          <w:p>
            <w:pPr>
              <w:spacing w:line="374" w:lineRule="auto"/>
              <w:rPr>
                <w:rFonts w:ascii="Arial"/>
                <w:sz w:val="21"/>
              </w:rPr>
            </w:pPr>
            <w:r/>
          </w:p>
          <w:p>
            <w:pPr>
              <w:pStyle w:val="TableText"/>
              <w:ind w:left="77"/>
              <w:spacing w:before="65" w:line="228" w:lineRule="auto"/>
              <w:rPr/>
            </w:pPr>
            <w:r>
              <w:rPr>
                <w:spacing w:val="8"/>
              </w:rPr>
              <w:t>一般固废暂存间</w:t>
            </w:r>
          </w:p>
        </w:tc>
        <w:tc>
          <w:tcPr>
            <w:tcW w:w="1611" w:type="dxa"/>
            <w:vAlign w:val="top"/>
          </w:tcPr>
          <w:p>
            <w:pPr>
              <w:pStyle w:val="TableText"/>
              <w:ind w:left="79"/>
              <w:spacing w:before="33" w:line="228" w:lineRule="auto"/>
              <w:rPr/>
            </w:pPr>
            <w:r>
              <w:rPr>
                <w:spacing w:val="8"/>
              </w:rPr>
              <w:t>外运内蒙古盎然</w:t>
            </w:r>
          </w:p>
          <w:p>
            <w:pPr>
              <w:pStyle w:val="TableText"/>
              <w:ind w:left="75"/>
              <w:spacing w:before="27" w:line="228" w:lineRule="auto"/>
              <w:rPr/>
            </w:pPr>
            <w:r>
              <w:rPr>
                <w:spacing w:val="8"/>
              </w:rPr>
              <w:t>农业发展有限公</w:t>
            </w:r>
          </w:p>
          <w:p>
            <w:pPr>
              <w:pStyle w:val="TableText"/>
              <w:ind w:left="83"/>
              <w:spacing w:before="23" w:line="227" w:lineRule="auto"/>
              <w:rPr/>
            </w:pPr>
            <w:r>
              <w:rPr>
                <w:spacing w:val="7"/>
              </w:rPr>
              <w:t>司有机肥厂做有</w:t>
            </w:r>
          </w:p>
          <w:p>
            <w:pPr>
              <w:pStyle w:val="TableText"/>
              <w:ind w:left="494"/>
              <w:spacing w:before="27" w:line="213" w:lineRule="auto"/>
              <w:rPr/>
            </w:pPr>
            <w:r>
              <w:rPr>
                <w:spacing w:val="3"/>
              </w:rPr>
              <w:t>机肥。</w:t>
            </w:r>
          </w:p>
        </w:tc>
      </w:tr>
      <w:tr>
        <w:trPr>
          <w:trHeight w:val="550" w:hRule="atLeast"/>
        </w:trPr>
        <w:tc>
          <w:tcPr>
            <w:tcW w:w="498" w:type="dxa"/>
            <w:vAlign w:val="top"/>
          </w:tcPr>
          <w:p>
            <w:pPr>
              <w:ind w:left="110"/>
              <w:spacing w:before="207" w:line="21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1-6</w:t>
            </w:r>
          </w:p>
        </w:tc>
        <w:tc>
          <w:tcPr>
            <w:tcW w:w="1466" w:type="dxa"/>
            <w:vAlign w:val="top"/>
          </w:tcPr>
          <w:p>
            <w:pPr>
              <w:pStyle w:val="TableText"/>
              <w:ind w:left="105"/>
              <w:spacing w:before="34" w:line="228" w:lineRule="auto"/>
              <w:rPr/>
            </w:pPr>
            <w:r>
              <w:rPr>
                <w:spacing w:val="8"/>
              </w:rPr>
              <w:t>废水收集池沉</w:t>
            </w:r>
          </w:p>
          <w:p>
            <w:pPr>
              <w:pStyle w:val="TableText"/>
              <w:ind w:left="423"/>
              <w:spacing w:before="24" w:line="216" w:lineRule="auto"/>
              <w:rPr/>
            </w:pPr>
            <w:r>
              <w:rPr>
                <w:spacing w:val="6"/>
              </w:rPr>
              <w:t>淀杂质</w:t>
            </w:r>
          </w:p>
        </w:tc>
        <w:tc>
          <w:tcPr>
            <w:tcW w:w="902" w:type="dxa"/>
            <w:vAlign w:val="top"/>
          </w:tcPr>
          <w:p>
            <w:pPr>
              <w:ind w:left="294"/>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242</w:t>
            </w:r>
          </w:p>
        </w:tc>
        <w:tc>
          <w:tcPr>
            <w:tcW w:w="1442" w:type="dxa"/>
            <w:vAlign w:val="top"/>
          </w:tcPr>
          <w:p>
            <w:pPr>
              <w:pStyle w:val="TableText"/>
              <w:ind w:left="96"/>
              <w:spacing w:before="169" w:line="228" w:lineRule="auto"/>
              <w:rPr/>
            </w:pPr>
            <w:r>
              <w:rPr>
                <w:spacing w:val="7"/>
              </w:rPr>
              <w:t>泥沙、石子等</w:t>
            </w:r>
          </w:p>
        </w:tc>
        <w:tc>
          <w:tcPr>
            <w:tcW w:w="989" w:type="dxa"/>
            <w:vAlign w:val="top"/>
          </w:tcPr>
          <w:p>
            <w:pPr>
              <w:pStyle w:val="TableText"/>
              <w:ind w:left="84"/>
              <w:spacing w:before="169" w:line="228" w:lineRule="auto"/>
              <w:rPr/>
            </w:pPr>
            <w:r>
              <w:rPr>
                <w:spacing w:val="6"/>
              </w:rPr>
              <w:t>一般固废</w:t>
            </w:r>
          </w:p>
        </w:tc>
        <w:tc>
          <w:tcPr>
            <w:tcW w:w="1606" w:type="dxa"/>
            <w:vAlign w:val="top"/>
          </w:tcPr>
          <w:p>
            <w:pPr>
              <w:pStyle w:val="TableText"/>
              <w:ind w:left="77"/>
              <w:spacing w:before="169" w:line="228" w:lineRule="auto"/>
              <w:rPr/>
            </w:pPr>
            <w:r>
              <w:rPr>
                <w:spacing w:val="8"/>
              </w:rPr>
              <w:t>一般固废暂存间</w:t>
            </w:r>
          </w:p>
        </w:tc>
        <w:tc>
          <w:tcPr>
            <w:tcW w:w="1611" w:type="dxa"/>
            <w:vAlign w:val="top"/>
          </w:tcPr>
          <w:p>
            <w:pPr>
              <w:pStyle w:val="TableText"/>
              <w:ind w:left="288" w:right="69" w:hanging="214"/>
              <w:spacing w:before="35" w:line="233" w:lineRule="auto"/>
              <w:rPr/>
            </w:pPr>
            <w:r>
              <w:rPr>
                <w:spacing w:val="8"/>
              </w:rPr>
              <w:t>委托环卫部门定</w:t>
            </w:r>
            <w:r>
              <w:rPr>
                <w:spacing w:val="4"/>
              </w:rPr>
              <w:t xml:space="preserve"> </w:t>
            </w:r>
            <w:r>
              <w:rPr>
                <w:spacing w:val="7"/>
              </w:rPr>
              <w:t>期清运处理</w:t>
            </w:r>
          </w:p>
        </w:tc>
      </w:tr>
      <w:tr>
        <w:trPr>
          <w:trHeight w:val="549" w:hRule="atLeast"/>
        </w:trPr>
        <w:tc>
          <w:tcPr>
            <w:tcW w:w="498" w:type="dxa"/>
            <w:vAlign w:val="top"/>
          </w:tcPr>
          <w:p>
            <w:pPr>
              <w:ind w:left="110"/>
              <w:spacing w:before="207"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2-1</w:t>
            </w:r>
          </w:p>
        </w:tc>
        <w:tc>
          <w:tcPr>
            <w:tcW w:w="1466" w:type="dxa"/>
            <w:vAlign w:val="top"/>
          </w:tcPr>
          <w:p>
            <w:pPr>
              <w:pStyle w:val="TableText"/>
              <w:ind w:left="105"/>
              <w:spacing w:before="34" w:line="228" w:lineRule="auto"/>
              <w:rPr/>
            </w:pPr>
            <w:r>
              <w:rPr>
                <w:spacing w:val="8"/>
              </w:rPr>
              <w:t>梳绒短纤维及</w:t>
            </w:r>
          </w:p>
          <w:p>
            <w:pPr>
              <w:pStyle w:val="TableText"/>
              <w:ind w:left="528"/>
              <w:spacing w:before="27" w:line="213" w:lineRule="auto"/>
              <w:rPr/>
            </w:pPr>
            <w:r>
              <w:rPr>
                <w:spacing w:val="3"/>
              </w:rPr>
              <w:t>杂毛</w:t>
            </w:r>
          </w:p>
        </w:tc>
        <w:tc>
          <w:tcPr>
            <w:tcW w:w="902" w:type="dxa"/>
            <w:vAlign w:val="top"/>
          </w:tcPr>
          <w:p>
            <w:pPr>
              <w:ind w:left="162"/>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244.94</w:t>
            </w:r>
          </w:p>
        </w:tc>
        <w:tc>
          <w:tcPr>
            <w:tcW w:w="1442" w:type="dxa"/>
            <w:vAlign w:val="top"/>
          </w:tcPr>
          <w:p>
            <w:pPr>
              <w:pStyle w:val="TableText"/>
              <w:ind w:left="97"/>
              <w:spacing w:before="170" w:line="228" w:lineRule="auto"/>
              <w:rPr/>
            </w:pPr>
            <w:r>
              <w:rPr>
                <w:spacing w:val="7"/>
              </w:rPr>
              <w:t>短纤维及杂毛</w:t>
            </w:r>
          </w:p>
        </w:tc>
        <w:tc>
          <w:tcPr>
            <w:tcW w:w="989" w:type="dxa"/>
            <w:vAlign w:val="top"/>
          </w:tcPr>
          <w:p>
            <w:pPr>
              <w:pStyle w:val="TableText"/>
              <w:ind w:left="84"/>
              <w:spacing w:before="171" w:line="228" w:lineRule="auto"/>
              <w:rPr/>
            </w:pPr>
            <w:r>
              <w:rPr>
                <w:spacing w:val="6"/>
              </w:rPr>
              <w:t>一般固废</w:t>
            </w:r>
          </w:p>
        </w:tc>
        <w:tc>
          <w:tcPr>
            <w:tcW w:w="1606" w:type="dxa"/>
            <w:vAlign w:val="top"/>
          </w:tcPr>
          <w:p>
            <w:pPr>
              <w:pStyle w:val="TableText"/>
              <w:ind w:left="77"/>
              <w:spacing w:before="170" w:line="228" w:lineRule="auto"/>
              <w:rPr/>
            </w:pPr>
            <w:r>
              <w:rPr>
                <w:spacing w:val="8"/>
              </w:rPr>
              <w:t>一般固废暂存间</w:t>
            </w:r>
          </w:p>
        </w:tc>
        <w:tc>
          <w:tcPr>
            <w:tcW w:w="1611" w:type="dxa"/>
            <w:vAlign w:val="top"/>
          </w:tcPr>
          <w:p>
            <w:pPr>
              <w:pStyle w:val="TableText"/>
              <w:ind w:left="17"/>
              <w:spacing w:before="34" w:line="228" w:lineRule="auto"/>
              <w:rPr/>
            </w:pPr>
            <w:r>
              <w:rPr>
                <w:spacing w:val="-3"/>
              </w:rPr>
              <w:t>外售综合利用（工</w:t>
            </w:r>
          </w:p>
          <w:p>
            <w:pPr>
              <w:pStyle w:val="TableText"/>
              <w:ind w:left="286"/>
              <w:spacing w:before="26" w:line="213" w:lineRule="auto"/>
              <w:rPr/>
            </w:pPr>
            <w:r>
              <w:rPr>
                <w:spacing w:val="6"/>
              </w:rPr>
              <w:t>业毛毡等）</w:t>
            </w:r>
          </w:p>
        </w:tc>
      </w:tr>
      <w:tr>
        <w:trPr>
          <w:trHeight w:val="550" w:hRule="atLeast"/>
        </w:trPr>
        <w:tc>
          <w:tcPr>
            <w:tcW w:w="498" w:type="dxa"/>
            <w:vAlign w:val="top"/>
          </w:tcPr>
          <w:p>
            <w:pPr>
              <w:ind w:left="110"/>
              <w:spacing w:before="207" w:line="21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3-1</w:t>
            </w:r>
          </w:p>
        </w:tc>
        <w:tc>
          <w:tcPr>
            <w:tcW w:w="1466" w:type="dxa"/>
            <w:vAlign w:val="top"/>
          </w:tcPr>
          <w:p>
            <w:pPr>
              <w:pStyle w:val="TableText"/>
              <w:ind w:left="314"/>
              <w:spacing w:before="171" w:line="227" w:lineRule="auto"/>
              <w:rPr/>
            </w:pPr>
            <w:r>
              <w:rPr>
                <w:spacing w:val="7"/>
              </w:rPr>
              <w:t>废脱硫剂</w:t>
            </w:r>
          </w:p>
        </w:tc>
        <w:tc>
          <w:tcPr>
            <w:tcW w:w="902" w:type="dxa"/>
            <w:vAlign w:val="top"/>
          </w:tcPr>
          <w:p>
            <w:pPr>
              <w:ind w:left="322"/>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rPr>
              <w:t>1</w:t>
            </w:r>
          </w:p>
        </w:tc>
        <w:tc>
          <w:tcPr>
            <w:tcW w:w="1442" w:type="dxa"/>
            <w:vAlign w:val="top"/>
          </w:tcPr>
          <w:p>
            <w:pPr>
              <w:pStyle w:val="TableText"/>
              <w:spacing w:before="208" w:line="192" w:lineRule="auto"/>
              <w:jc w:val="right"/>
              <w:rPr>
                <w:rFonts w:ascii="Times New Roman" w:hAnsi="Times New Roman" w:eastAsia="Times New Roman" w:cs="Times New Roman"/>
              </w:rPr>
            </w:pPr>
            <w:r>
              <w:rPr>
                <w:rFonts w:ascii="Times New Roman" w:hAnsi="Times New Roman" w:eastAsia="Times New Roman" w:cs="Times New Roman"/>
              </w:rPr>
              <w:t>Fe</w:t>
            </w:r>
            <w:r>
              <w:rPr>
                <w:rFonts w:ascii="Times New Roman" w:hAnsi="Times New Roman" w:eastAsia="Times New Roman" w:cs="Times New Roman"/>
                <w:sz w:val="13"/>
                <w:szCs w:val="13"/>
              </w:rPr>
              <w:t>2</w:t>
            </w:r>
            <w:r>
              <w:rPr>
                <w:rFonts w:ascii="Times New Roman" w:hAnsi="Times New Roman" w:eastAsia="Times New Roman" w:cs="Times New Roman"/>
              </w:rPr>
              <w:t>O</w:t>
            </w:r>
            <w:r>
              <w:rPr>
                <w:rFonts w:ascii="Times New Roman" w:hAnsi="Times New Roman" w:eastAsia="Times New Roman" w:cs="Times New Roman"/>
                <w:sz w:val="13"/>
                <w:szCs w:val="13"/>
                <w:position w:val="-1"/>
              </w:rPr>
              <w:t>3</w:t>
            </w:r>
            <w:r>
              <w:rPr/>
              <w:t>、</w:t>
            </w:r>
            <w:r>
              <w:rPr>
                <w:rFonts w:ascii="Times New Roman" w:hAnsi="Times New Roman" w:eastAsia="Times New Roman" w:cs="Times New Roman"/>
              </w:rPr>
              <w:t>Fe</w:t>
            </w:r>
            <w:r>
              <w:rPr>
                <w:rFonts w:ascii="Times New Roman" w:hAnsi="Times New Roman" w:eastAsia="Times New Roman" w:cs="Times New Roman"/>
                <w:sz w:val="13"/>
                <w:szCs w:val="13"/>
              </w:rPr>
              <w:t>2</w:t>
            </w:r>
            <w:r>
              <w:rPr>
                <w:rFonts w:ascii="Times New Roman" w:hAnsi="Times New Roman" w:eastAsia="Times New Roman" w:cs="Times New Roman"/>
              </w:rPr>
              <w:t>S</w:t>
            </w:r>
            <w:r>
              <w:rPr>
                <w:rFonts w:ascii="Times New Roman" w:hAnsi="Times New Roman" w:eastAsia="Times New Roman" w:cs="Times New Roman"/>
                <w:sz w:val="13"/>
                <w:szCs w:val="13"/>
                <w:position w:val="-1"/>
              </w:rPr>
              <w:t>3</w:t>
            </w:r>
            <w:r>
              <w:rPr/>
              <w:t>、</w:t>
            </w:r>
            <w:r>
              <w:rPr>
                <w:rFonts w:ascii="Times New Roman" w:hAnsi="Times New Roman" w:eastAsia="Times New Roman" w:cs="Times New Roman"/>
              </w:rPr>
              <w:t>S</w:t>
            </w:r>
          </w:p>
        </w:tc>
        <w:tc>
          <w:tcPr>
            <w:tcW w:w="989" w:type="dxa"/>
            <w:vAlign w:val="top"/>
          </w:tcPr>
          <w:p>
            <w:pPr>
              <w:pStyle w:val="TableText"/>
              <w:ind w:left="84"/>
              <w:spacing w:before="172" w:line="228" w:lineRule="auto"/>
              <w:rPr/>
            </w:pPr>
            <w:r>
              <w:rPr>
                <w:spacing w:val="6"/>
              </w:rPr>
              <w:t>一般固废</w:t>
            </w:r>
          </w:p>
        </w:tc>
        <w:tc>
          <w:tcPr>
            <w:tcW w:w="1606" w:type="dxa"/>
            <w:vAlign w:val="top"/>
          </w:tcPr>
          <w:p>
            <w:pPr>
              <w:pStyle w:val="TableText"/>
              <w:ind w:left="77"/>
              <w:spacing w:before="171" w:line="228" w:lineRule="auto"/>
              <w:rPr/>
            </w:pPr>
            <w:r>
              <w:rPr>
                <w:spacing w:val="8"/>
              </w:rPr>
              <w:t>一般固废暂存间</w:t>
            </w:r>
          </w:p>
        </w:tc>
        <w:tc>
          <w:tcPr>
            <w:tcW w:w="1611" w:type="dxa"/>
            <w:vAlign w:val="top"/>
          </w:tcPr>
          <w:p>
            <w:pPr>
              <w:pStyle w:val="TableText"/>
              <w:ind w:left="714" w:right="69" w:hanging="613"/>
              <w:spacing w:before="37" w:line="232" w:lineRule="auto"/>
              <w:rPr/>
            </w:pPr>
            <w:r>
              <w:rPr>
                <w:spacing w:val="5"/>
              </w:rPr>
              <w:t>由其生产厂家回</w:t>
            </w:r>
            <w:r>
              <w:rPr/>
              <w:t xml:space="preserve"> </w:t>
            </w:r>
            <w:r>
              <w:rPr/>
              <w:t>收</w:t>
            </w:r>
          </w:p>
        </w:tc>
      </w:tr>
      <w:tr>
        <w:trPr>
          <w:trHeight w:val="550" w:hRule="atLeast"/>
        </w:trPr>
        <w:tc>
          <w:tcPr>
            <w:tcW w:w="498" w:type="dxa"/>
            <w:vAlign w:val="top"/>
          </w:tcPr>
          <w:p>
            <w:pPr>
              <w:ind w:left="110"/>
              <w:spacing w:before="207"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4-1</w:t>
            </w:r>
          </w:p>
        </w:tc>
        <w:tc>
          <w:tcPr>
            <w:tcW w:w="1466" w:type="dxa"/>
            <w:vAlign w:val="top"/>
          </w:tcPr>
          <w:p>
            <w:pPr>
              <w:pStyle w:val="TableText"/>
              <w:ind w:left="316"/>
              <w:spacing w:before="171" w:line="228" w:lineRule="auto"/>
              <w:rPr/>
            </w:pPr>
            <w:r>
              <w:rPr>
                <w:spacing w:val="6"/>
              </w:rPr>
              <w:t>生活垃圾</w:t>
            </w:r>
          </w:p>
        </w:tc>
        <w:tc>
          <w:tcPr>
            <w:tcW w:w="902" w:type="dxa"/>
            <w:vAlign w:val="top"/>
          </w:tcPr>
          <w:p>
            <w:pPr>
              <w:ind w:left="365"/>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1442" w:type="dxa"/>
            <w:vAlign w:val="top"/>
          </w:tcPr>
          <w:p>
            <w:pPr>
              <w:pStyle w:val="TableText"/>
              <w:ind w:left="622" w:right="3" w:hanging="612"/>
              <w:spacing w:before="35" w:line="233" w:lineRule="auto"/>
              <w:rPr/>
            </w:pPr>
            <w:r>
              <w:rPr>
                <w:spacing w:val="3"/>
              </w:rPr>
              <w:t>纸张、食物残渣</w:t>
            </w:r>
            <w:r>
              <w:rPr>
                <w:spacing w:val="1"/>
              </w:rPr>
              <w:t xml:space="preserve"> </w:t>
            </w:r>
            <w:r>
              <w:rPr/>
              <w:t>等</w:t>
            </w:r>
          </w:p>
        </w:tc>
        <w:tc>
          <w:tcPr>
            <w:tcW w:w="989" w:type="dxa"/>
            <w:vAlign w:val="top"/>
          </w:tcPr>
          <w:p>
            <w:pPr>
              <w:ind w:left="464"/>
              <w:spacing w:before="203"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606" w:type="dxa"/>
            <w:vAlign w:val="top"/>
          </w:tcPr>
          <w:p>
            <w:pPr>
              <w:pStyle w:val="TableText"/>
              <w:ind w:left="495"/>
              <w:spacing w:before="170" w:line="228" w:lineRule="auto"/>
              <w:rPr/>
            </w:pPr>
            <w:r>
              <w:rPr>
                <w:spacing w:val="6"/>
              </w:rPr>
              <w:t>垃圾桶</w:t>
            </w:r>
          </w:p>
        </w:tc>
        <w:tc>
          <w:tcPr>
            <w:tcW w:w="1611" w:type="dxa"/>
            <w:vAlign w:val="top"/>
          </w:tcPr>
          <w:p>
            <w:pPr>
              <w:pStyle w:val="TableText"/>
              <w:ind w:left="708" w:right="69" w:hanging="634"/>
              <w:spacing w:before="35" w:line="233" w:lineRule="auto"/>
              <w:rPr/>
            </w:pPr>
            <w:r>
              <w:rPr>
                <w:spacing w:val="8"/>
              </w:rPr>
              <w:t>委托环卫部门清</w:t>
            </w:r>
            <w:r>
              <w:rPr>
                <w:spacing w:val="4"/>
              </w:rPr>
              <w:t xml:space="preserve"> </w:t>
            </w:r>
            <w:r>
              <w:rPr/>
              <w:t>理</w:t>
            </w:r>
          </w:p>
        </w:tc>
      </w:tr>
      <w:tr>
        <w:trPr>
          <w:trHeight w:val="549" w:hRule="atLeast"/>
        </w:trPr>
        <w:tc>
          <w:tcPr>
            <w:tcW w:w="498" w:type="dxa"/>
            <w:vAlign w:val="top"/>
          </w:tcPr>
          <w:p>
            <w:pPr>
              <w:ind w:left="110"/>
              <w:spacing w:before="206"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4-2</w:t>
            </w:r>
          </w:p>
        </w:tc>
        <w:tc>
          <w:tcPr>
            <w:tcW w:w="1466" w:type="dxa"/>
            <w:vAlign w:val="top"/>
          </w:tcPr>
          <w:p>
            <w:pPr>
              <w:pStyle w:val="TableText"/>
              <w:ind w:left="315" w:right="11" w:hanging="304"/>
              <w:spacing w:before="36" w:line="232" w:lineRule="auto"/>
              <w:rPr/>
            </w:pPr>
            <w:r>
              <w:rPr>
                <w:spacing w:val="8"/>
              </w:rPr>
              <w:t>废</w:t>
            </w:r>
            <w:r>
              <w:rPr>
                <w:spacing w:val="-40"/>
              </w:rPr>
              <w:t xml:space="preserve"> </w:t>
            </w:r>
            <w:r>
              <w:rPr>
                <w:rFonts w:ascii="Times New Roman" w:hAnsi="Times New Roman" w:eastAsia="Times New Roman" w:cs="Times New Roman"/>
              </w:rPr>
              <w:t>RO</w:t>
            </w:r>
            <w:r>
              <w:rPr>
                <w:rFonts w:ascii="Times New Roman" w:hAnsi="Times New Roman" w:eastAsia="Times New Roman" w:cs="Times New Roman"/>
                <w:spacing w:val="8"/>
              </w:rPr>
              <w:t xml:space="preserve"> </w:t>
            </w:r>
            <w:r>
              <w:rPr>
                <w:spacing w:val="8"/>
              </w:rPr>
              <w:t>膜、废过</w:t>
            </w:r>
            <w:r>
              <w:rPr/>
              <w:t xml:space="preserve"> </w:t>
            </w:r>
            <w:r>
              <w:rPr>
                <w:spacing w:val="6"/>
              </w:rPr>
              <w:t>滤器组件</w:t>
            </w:r>
          </w:p>
        </w:tc>
        <w:tc>
          <w:tcPr>
            <w:tcW w:w="902" w:type="dxa"/>
            <w:vAlign w:val="top"/>
          </w:tcPr>
          <w:p>
            <w:pPr>
              <w:ind w:left="323"/>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3.5</w:t>
            </w:r>
          </w:p>
        </w:tc>
        <w:tc>
          <w:tcPr>
            <w:tcW w:w="1442" w:type="dxa"/>
            <w:vAlign w:val="top"/>
          </w:tcPr>
          <w:p>
            <w:pPr>
              <w:pStyle w:val="TableText"/>
              <w:ind w:left="23"/>
              <w:spacing w:before="36" w:line="228" w:lineRule="auto"/>
              <w:rPr/>
            </w:pPr>
            <w:r>
              <w:rPr>
                <w:rFonts w:ascii="Times New Roman" w:hAnsi="Times New Roman" w:eastAsia="Times New Roman" w:cs="Times New Roman"/>
              </w:rPr>
              <w:t>RO</w:t>
            </w:r>
            <w:r>
              <w:rPr>
                <w:rFonts w:ascii="Times New Roman" w:hAnsi="Times New Roman" w:eastAsia="Times New Roman" w:cs="Times New Roman"/>
                <w:spacing w:val="10"/>
              </w:rPr>
              <w:t xml:space="preserve"> </w:t>
            </w:r>
            <w:r>
              <w:rPr>
                <w:spacing w:val="10"/>
              </w:rPr>
              <w:t>膜、过滤器</w:t>
            </w:r>
          </w:p>
          <w:p>
            <w:pPr>
              <w:pStyle w:val="TableText"/>
              <w:ind w:left="517"/>
              <w:spacing w:before="23" w:line="214" w:lineRule="auto"/>
              <w:rPr/>
            </w:pPr>
            <w:r>
              <w:rPr>
                <w:spacing w:val="3"/>
              </w:rPr>
              <w:t>组件</w:t>
            </w:r>
          </w:p>
        </w:tc>
        <w:tc>
          <w:tcPr>
            <w:tcW w:w="989" w:type="dxa"/>
            <w:vAlign w:val="top"/>
          </w:tcPr>
          <w:p>
            <w:pPr>
              <w:pStyle w:val="TableText"/>
              <w:ind w:left="84"/>
              <w:spacing w:before="170" w:line="228" w:lineRule="auto"/>
              <w:rPr/>
            </w:pPr>
            <w:r>
              <w:rPr>
                <w:spacing w:val="6"/>
              </w:rPr>
              <w:t>一般固废</w:t>
            </w:r>
          </w:p>
        </w:tc>
        <w:tc>
          <w:tcPr>
            <w:tcW w:w="1606" w:type="dxa"/>
            <w:vAlign w:val="top"/>
          </w:tcPr>
          <w:p>
            <w:pPr>
              <w:pStyle w:val="TableText"/>
              <w:ind w:left="77"/>
              <w:spacing w:before="170" w:line="228" w:lineRule="auto"/>
              <w:rPr/>
            </w:pPr>
            <w:r>
              <w:rPr>
                <w:spacing w:val="8"/>
              </w:rPr>
              <w:t>一般固废暂存间</w:t>
            </w:r>
          </w:p>
        </w:tc>
        <w:tc>
          <w:tcPr>
            <w:tcW w:w="1611" w:type="dxa"/>
            <w:vAlign w:val="top"/>
          </w:tcPr>
          <w:p>
            <w:pPr>
              <w:pStyle w:val="TableText"/>
              <w:ind w:left="714" w:right="69" w:hanging="613"/>
              <w:spacing w:before="36" w:line="232" w:lineRule="auto"/>
              <w:rPr/>
            </w:pPr>
            <w:r>
              <w:rPr>
                <w:spacing w:val="5"/>
              </w:rPr>
              <w:t>由其生产厂家回</w:t>
            </w:r>
            <w:r>
              <w:rPr/>
              <w:t xml:space="preserve"> </w:t>
            </w:r>
            <w:r>
              <w:rPr/>
              <w:t>收</w:t>
            </w:r>
          </w:p>
        </w:tc>
      </w:tr>
      <w:tr>
        <w:trPr>
          <w:trHeight w:val="550" w:hRule="atLeast"/>
        </w:trPr>
        <w:tc>
          <w:tcPr>
            <w:tcW w:w="498" w:type="dxa"/>
            <w:vAlign w:val="top"/>
          </w:tcPr>
          <w:p>
            <w:pPr>
              <w:ind w:left="110"/>
              <w:spacing w:before="209" w:line="211"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4-3</w:t>
            </w:r>
          </w:p>
        </w:tc>
        <w:tc>
          <w:tcPr>
            <w:tcW w:w="1466" w:type="dxa"/>
            <w:vAlign w:val="top"/>
          </w:tcPr>
          <w:p>
            <w:pPr>
              <w:pStyle w:val="TableText"/>
              <w:ind w:left="211"/>
              <w:spacing w:before="170" w:line="228" w:lineRule="auto"/>
              <w:rPr/>
            </w:pPr>
            <w:r>
              <w:rPr>
                <w:spacing w:val="8"/>
              </w:rPr>
              <w:t>锅炉草木灰</w:t>
            </w:r>
          </w:p>
        </w:tc>
        <w:tc>
          <w:tcPr>
            <w:tcW w:w="902" w:type="dxa"/>
            <w:vAlign w:val="top"/>
          </w:tcPr>
          <w:p>
            <w:pPr>
              <w:ind w:left="215"/>
              <w:spacing w:before="20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279.8</w:t>
            </w:r>
          </w:p>
        </w:tc>
        <w:tc>
          <w:tcPr>
            <w:tcW w:w="1442" w:type="dxa"/>
            <w:vAlign w:val="top"/>
          </w:tcPr>
          <w:p>
            <w:pPr>
              <w:pStyle w:val="TableText"/>
              <w:ind w:left="413"/>
              <w:spacing w:before="170" w:line="228" w:lineRule="auto"/>
              <w:rPr/>
            </w:pPr>
            <w:r>
              <w:rPr>
                <w:spacing w:val="6"/>
              </w:rPr>
              <w:t>草木灰</w:t>
            </w:r>
          </w:p>
        </w:tc>
        <w:tc>
          <w:tcPr>
            <w:tcW w:w="989" w:type="dxa"/>
            <w:vAlign w:val="top"/>
          </w:tcPr>
          <w:p>
            <w:pPr>
              <w:pStyle w:val="TableText"/>
              <w:ind w:left="84"/>
              <w:spacing w:before="171" w:line="228" w:lineRule="auto"/>
              <w:rPr/>
            </w:pPr>
            <w:r>
              <w:rPr>
                <w:spacing w:val="6"/>
              </w:rPr>
              <w:t>一般固废</w:t>
            </w:r>
          </w:p>
        </w:tc>
        <w:tc>
          <w:tcPr>
            <w:tcW w:w="1606" w:type="dxa"/>
            <w:vAlign w:val="top"/>
          </w:tcPr>
          <w:p>
            <w:pPr>
              <w:pStyle w:val="TableText"/>
              <w:ind w:left="77"/>
              <w:spacing w:before="170" w:line="228" w:lineRule="auto"/>
              <w:rPr/>
            </w:pPr>
            <w:r>
              <w:rPr>
                <w:spacing w:val="8"/>
              </w:rPr>
              <w:t>一般固废暂存间</w:t>
            </w:r>
          </w:p>
        </w:tc>
        <w:tc>
          <w:tcPr>
            <w:tcW w:w="1611" w:type="dxa"/>
            <w:vAlign w:val="top"/>
          </w:tcPr>
          <w:p>
            <w:pPr>
              <w:pStyle w:val="TableText"/>
              <w:ind w:left="731" w:right="69" w:hanging="652"/>
              <w:spacing w:before="37" w:line="232" w:lineRule="auto"/>
              <w:rPr/>
            </w:pPr>
            <w:r>
              <w:rPr>
                <w:spacing w:val="8"/>
              </w:rPr>
              <w:t>外售作为肥料还</w:t>
            </w:r>
            <w:r>
              <w:rPr/>
              <w:t xml:space="preserve"> </w:t>
            </w:r>
            <w:r>
              <w:rPr/>
              <w:t>田</w:t>
            </w:r>
          </w:p>
        </w:tc>
      </w:tr>
      <w:tr>
        <w:trPr>
          <w:trHeight w:val="279" w:hRule="atLeast"/>
        </w:trPr>
        <w:tc>
          <w:tcPr>
            <w:tcW w:w="498" w:type="dxa"/>
            <w:vAlign w:val="top"/>
          </w:tcPr>
          <w:p>
            <w:pPr>
              <w:pStyle w:val="TableText"/>
              <w:ind w:left="18"/>
              <w:spacing w:before="71" w:line="200" w:lineRule="auto"/>
              <w:rPr>
                <w:sz w:val="10"/>
                <w:szCs w:val="10"/>
              </w:rPr>
            </w:pPr>
            <w:r>
              <w:rPr>
                <w:rFonts w:ascii="Times New Roman" w:hAnsi="Times New Roman" w:eastAsia="Times New Roman" w:cs="Times New Roman"/>
                <w:spacing w:val="-1"/>
              </w:rPr>
              <w:t>S</w:t>
            </w:r>
            <w:r>
              <w:rPr>
                <w:rFonts w:ascii="Times New Roman" w:hAnsi="Times New Roman" w:eastAsia="Times New Roman" w:cs="Times New Roman"/>
                <w:sz w:val="13"/>
                <w:szCs w:val="13"/>
                <w:spacing w:val="-1"/>
              </w:rPr>
              <w:t>1-4</w:t>
            </w:r>
            <w:r>
              <w:rPr>
                <w:rFonts w:ascii="Times New Roman" w:hAnsi="Times New Roman" w:eastAsia="Times New Roman" w:cs="Times New Roman"/>
                <w:sz w:val="13"/>
                <w:szCs w:val="13"/>
                <w:spacing w:val="9"/>
                <w:w w:val="101"/>
              </w:rPr>
              <w:t xml:space="preserve">  </w:t>
            </w:r>
            <w:r>
              <w:rPr>
                <w:sz w:val="10"/>
                <w:szCs w:val="10"/>
                <w:spacing w:val="-1"/>
                <w:position w:val="-2"/>
              </w:rPr>
              <w:t>、</w:t>
            </w:r>
          </w:p>
        </w:tc>
        <w:tc>
          <w:tcPr>
            <w:tcW w:w="1466" w:type="dxa"/>
            <w:vAlign w:val="top"/>
          </w:tcPr>
          <w:p>
            <w:pPr>
              <w:pStyle w:val="TableText"/>
              <w:ind w:left="419"/>
              <w:spacing w:before="36" w:line="215" w:lineRule="auto"/>
              <w:rPr/>
            </w:pPr>
            <w:r>
              <w:rPr>
                <w:spacing w:val="7"/>
              </w:rPr>
              <w:t>废布袋</w:t>
            </w:r>
          </w:p>
        </w:tc>
        <w:tc>
          <w:tcPr>
            <w:tcW w:w="902" w:type="dxa"/>
            <w:vAlign w:val="top"/>
          </w:tcPr>
          <w:p>
            <w:pPr>
              <w:ind w:left="32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0.5</w:t>
            </w:r>
          </w:p>
        </w:tc>
        <w:tc>
          <w:tcPr>
            <w:tcW w:w="1442" w:type="dxa"/>
            <w:vAlign w:val="top"/>
          </w:tcPr>
          <w:p>
            <w:pPr>
              <w:pStyle w:val="TableText"/>
              <w:ind w:left="200"/>
              <w:spacing w:before="36" w:line="215" w:lineRule="auto"/>
              <w:rPr/>
            </w:pPr>
            <w:r>
              <w:rPr>
                <w:spacing w:val="8"/>
              </w:rPr>
              <w:t>布袋除尘器</w:t>
            </w:r>
          </w:p>
        </w:tc>
        <w:tc>
          <w:tcPr>
            <w:tcW w:w="989" w:type="dxa"/>
            <w:vAlign w:val="top"/>
          </w:tcPr>
          <w:p>
            <w:pPr>
              <w:pStyle w:val="TableText"/>
              <w:ind w:left="84"/>
              <w:spacing w:before="36" w:line="215" w:lineRule="auto"/>
              <w:rPr/>
            </w:pPr>
            <w:r>
              <w:rPr>
                <w:spacing w:val="6"/>
              </w:rPr>
              <w:t>一般固废</w:t>
            </w:r>
          </w:p>
        </w:tc>
        <w:tc>
          <w:tcPr>
            <w:tcW w:w="1606" w:type="dxa"/>
            <w:vAlign w:val="top"/>
          </w:tcPr>
          <w:p>
            <w:pPr>
              <w:pStyle w:val="TableText"/>
              <w:ind w:left="77"/>
              <w:spacing w:before="36" w:line="215" w:lineRule="auto"/>
              <w:rPr/>
            </w:pPr>
            <w:r>
              <w:rPr>
                <w:spacing w:val="8"/>
              </w:rPr>
              <w:t>一般固废暂存间</w:t>
            </w:r>
          </w:p>
        </w:tc>
        <w:tc>
          <w:tcPr>
            <w:tcW w:w="1611" w:type="dxa"/>
            <w:vAlign w:val="top"/>
          </w:tcPr>
          <w:p>
            <w:pPr>
              <w:pStyle w:val="TableText"/>
              <w:ind w:left="101"/>
              <w:spacing w:before="36" w:line="215" w:lineRule="auto"/>
              <w:rPr/>
            </w:pPr>
            <w:r>
              <w:rPr>
                <w:spacing w:val="5"/>
              </w:rPr>
              <w:t>由其生产厂家回</w:t>
            </w:r>
          </w:p>
        </w:tc>
      </w:tr>
    </w:tbl>
    <w:p>
      <w:pPr>
        <w:pStyle w:val="BodyText"/>
        <w:spacing w:line="353" w:lineRule="auto"/>
        <w:rPr/>
      </w:pPr>
      <w:r/>
    </w:p>
    <w:p>
      <w:pPr>
        <w:ind w:left="16"/>
        <w:spacing w:before="62" w:line="227" w:lineRule="auto"/>
        <w:rPr>
          <w:rFonts w:ascii="SimSun" w:hAnsi="SimSun" w:eastAsia="SimSun" w:cs="SimSun"/>
          <w:sz w:val="19"/>
          <w:szCs w:val="19"/>
        </w:rPr>
      </w:pPr>
      <w:r>
        <w:pict>
          <v:shape id="_x0000_s1010" style="position:absolute;margin-left:159.77pt;margin-top:2.13212pt;mso-position-vertical-relative:text;mso-position-horizontal-relative:text;width:61pt;height:13.75pt;z-index:25214054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215</w:t>
                  </w:r>
                </w:p>
              </w:txbxContent>
            </v:textbox>
          </v:shape>
        </w:pict>
      </w:r>
      <w:r>
        <w:rPr>
          <w:rFonts w:ascii="SimSun" w:hAnsi="SimSun" w:eastAsia="SimSun" w:cs="SimSun"/>
          <w:sz w:val="19"/>
          <w:szCs w:val="19"/>
          <w:spacing w:val="9"/>
        </w:rPr>
        <w:t>锡林郭勒盟中安环境技术咨询有限责</w:t>
      </w:r>
    </w:p>
    <w:p>
      <w:pPr>
        <w:spacing w:line="227" w:lineRule="auto"/>
        <w:sectPr>
          <w:footerReference w:type="default" r:id="rId3"/>
          <w:pgSz w:w="11907" w:h="16840"/>
          <w:pgMar w:top="1567" w:right="1693" w:bottom="400" w:left="1692" w:header="1221" w:footer="0" w:gutter="0"/>
        </w:sectPr>
        <w:rPr>
          <w:rFonts w:ascii="SimSun" w:hAnsi="SimSun" w:eastAsia="SimSun" w:cs="SimSun"/>
          <w:sz w:val="19"/>
          <w:szCs w:val="19"/>
        </w:rPr>
      </w:pPr>
    </w:p>
    <w:p>
      <w:pPr>
        <w:spacing w:line="133" w:lineRule="exact"/>
        <w:rPr/>
      </w:pPr>
      <w:r>
        <w:pict>
          <v:shape id="_x0000_s1014" style="position:absolute;margin-left:85.05pt;margin-top:78.87pt;mso-position-vertical-relative:page;mso-position-horizontal-relative:page;width:425.25pt;height:0.75pt;z-index:252143616;" o:allowincell="f" fillcolor="#000000" filled="true" stroked="false" coordsize="8505,15" coordorigin="0,0" path="m,l8505,0l8505,14l0,14l0,0xe"/>
        </w:pict>
      </w:r>
      <w:r/>
    </w:p>
    <w:tbl>
      <w:tblPr>
        <w:tblStyle w:val="TableNormal"/>
        <w:tblW w:w="851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98"/>
        <w:gridCol w:w="1466"/>
        <w:gridCol w:w="902"/>
        <w:gridCol w:w="1442"/>
        <w:gridCol w:w="989"/>
        <w:gridCol w:w="1606"/>
        <w:gridCol w:w="1611"/>
      </w:tblGrid>
      <w:tr>
        <w:trPr>
          <w:trHeight w:val="281" w:hRule="atLeast"/>
        </w:trPr>
        <w:tc>
          <w:tcPr>
            <w:tcW w:w="498" w:type="dxa"/>
            <w:vAlign w:val="top"/>
          </w:tcPr>
          <w:p>
            <w:pPr>
              <w:pStyle w:val="TableText"/>
              <w:ind w:left="44"/>
              <w:spacing w:before="35" w:line="217" w:lineRule="auto"/>
              <w:rPr/>
            </w:pPr>
            <w:r>
              <w:rPr>
                <w:spacing w:val="3"/>
              </w:rPr>
              <w:t>编号</w:t>
            </w:r>
          </w:p>
        </w:tc>
        <w:tc>
          <w:tcPr>
            <w:tcW w:w="1466" w:type="dxa"/>
            <w:vAlign w:val="top"/>
          </w:tcPr>
          <w:p>
            <w:pPr>
              <w:pStyle w:val="TableText"/>
              <w:ind w:left="333"/>
              <w:spacing w:before="35" w:line="217" w:lineRule="auto"/>
              <w:rPr/>
            </w:pPr>
            <w:r>
              <w:rPr>
                <w:spacing w:val="2"/>
              </w:rPr>
              <w:t>固废名称</w:t>
            </w:r>
          </w:p>
        </w:tc>
        <w:tc>
          <w:tcPr>
            <w:tcW w:w="902" w:type="dxa"/>
            <w:vAlign w:val="top"/>
          </w:tcPr>
          <w:p>
            <w:pPr>
              <w:pStyle w:val="TableText"/>
              <w:ind w:left="140"/>
              <w:spacing w:before="35" w:line="217" w:lineRule="auto"/>
              <w:rPr/>
            </w:pPr>
            <w:r>
              <w:rPr>
                <w:spacing w:val="6"/>
              </w:rPr>
              <w:t>产生量</w:t>
            </w:r>
          </w:p>
        </w:tc>
        <w:tc>
          <w:tcPr>
            <w:tcW w:w="1442" w:type="dxa"/>
            <w:vAlign w:val="top"/>
          </w:tcPr>
          <w:p>
            <w:pPr>
              <w:pStyle w:val="TableText"/>
              <w:ind w:left="308"/>
              <w:spacing w:before="35" w:line="217" w:lineRule="auto"/>
              <w:rPr/>
            </w:pPr>
            <w:r>
              <w:rPr>
                <w:spacing w:val="6"/>
              </w:rPr>
              <w:t>主要成分</w:t>
            </w:r>
          </w:p>
        </w:tc>
        <w:tc>
          <w:tcPr>
            <w:tcW w:w="989" w:type="dxa"/>
            <w:vAlign w:val="top"/>
          </w:tcPr>
          <w:p>
            <w:pPr>
              <w:pStyle w:val="TableText"/>
              <w:ind w:left="291"/>
              <w:spacing w:before="35" w:line="217" w:lineRule="auto"/>
              <w:rPr/>
            </w:pPr>
            <w:r>
              <w:rPr>
                <w:spacing w:val="3"/>
              </w:rPr>
              <w:t>属性</w:t>
            </w:r>
          </w:p>
        </w:tc>
        <w:tc>
          <w:tcPr>
            <w:tcW w:w="1606" w:type="dxa"/>
            <w:vAlign w:val="top"/>
          </w:tcPr>
          <w:p>
            <w:pPr>
              <w:pStyle w:val="TableText"/>
              <w:ind w:left="391"/>
              <w:spacing w:before="35" w:line="217" w:lineRule="auto"/>
              <w:rPr/>
            </w:pPr>
            <w:r>
              <w:rPr>
                <w:spacing w:val="7"/>
              </w:rPr>
              <w:t>贮存位置</w:t>
            </w:r>
          </w:p>
        </w:tc>
        <w:tc>
          <w:tcPr>
            <w:tcW w:w="1611" w:type="dxa"/>
            <w:vAlign w:val="top"/>
          </w:tcPr>
          <w:p>
            <w:pPr>
              <w:pStyle w:val="TableText"/>
              <w:ind w:left="75"/>
              <w:spacing w:before="35" w:line="217" w:lineRule="auto"/>
              <w:rPr/>
            </w:pPr>
            <w:r>
              <w:rPr>
                <w:spacing w:val="8"/>
              </w:rPr>
              <w:t>拟采取处理措施</w:t>
            </w:r>
          </w:p>
        </w:tc>
      </w:tr>
      <w:tr>
        <w:trPr>
          <w:trHeight w:val="277" w:hRule="atLeast"/>
        </w:trPr>
        <w:tc>
          <w:tcPr>
            <w:tcW w:w="498" w:type="dxa"/>
            <w:vAlign w:val="top"/>
          </w:tcPr>
          <w:p>
            <w:pPr>
              <w:ind w:left="18"/>
              <w:spacing w:before="54"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4-4</w:t>
            </w:r>
          </w:p>
        </w:tc>
        <w:tc>
          <w:tcPr>
            <w:tcW w:w="1466" w:type="dxa"/>
            <w:vAlign w:val="top"/>
          </w:tcPr>
          <w:p>
            <w:pPr>
              <w:rPr>
                <w:rFonts w:ascii="Arial"/>
                <w:sz w:val="21"/>
              </w:rPr>
            </w:pPr>
            <w:r/>
          </w:p>
        </w:tc>
        <w:tc>
          <w:tcPr>
            <w:tcW w:w="902" w:type="dxa"/>
            <w:vAlign w:val="top"/>
          </w:tcPr>
          <w:p>
            <w:pPr>
              <w:rPr>
                <w:rFonts w:ascii="Arial"/>
                <w:sz w:val="21"/>
              </w:rPr>
            </w:pPr>
            <w:r/>
          </w:p>
        </w:tc>
        <w:tc>
          <w:tcPr>
            <w:tcW w:w="1442" w:type="dxa"/>
            <w:vAlign w:val="top"/>
          </w:tcPr>
          <w:p>
            <w:pPr>
              <w:rPr>
                <w:rFonts w:ascii="Arial"/>
                <w:sz w:val="21"/>
              </w:rPr>
            </w:pPr>
            <w:r/>
          </w:p>
        </w:tc>
        <w:tc>
          <w:tcPr>
            <w:tcW w:w="989" w:type="dxa"/>
            <w:vAlign w:val="top"/>
          </w:tcPr>
          <w:p>
            <w:pPr>
              <w:rPr>
                <w:rFonts w:ascii="Arial"/>
                <w:sz w:val="21"/>
              </w:rPr>
            </w:pPr>
            <w:r/>
          </w:p>
        </w:tc>
        <w:tc>
          <w:tcPr>
            <w:tcW w:w="1606" w:type="dxa"/>
            <w:vAlign w:val="top"/>
          </w:tcPr>
          <w:p>
            <w:pPr>
              <w:rPr>
                <w:rFonts w:ascii="Arial"/>
                <w:sz w:val="21"/>
              </w:rPr>
            </w:pPr>
            <w:r/>
          </w:p>
        </w:tc>
        <w:tc>
          <w:tcPr>
            <w:tcW w:w="1611" w:type="dxa"/>
            <w:vAlign w:val="top"/>
          </w:tcPr>
          <w:p>
            <w:pPr>
              <w:pStyle w:val="TableText"/>
              <w:ind w:left="714"/>
              <w:spacing w:before="32" w:line="216" w:lineRule="auto"/>
              <w:rPr/>
            </w:pPr>
            <w:r>
              <w:rPr/>
              <w:t>收</w:t>
            </w:r>
          </w:p>
        </w:tc>
      </w:tr>
      <w:tr>
        <w:trPr>
          <w:trHeight w:val="548" w:hRule="atLeast"/>
        </w:trPr>
        <w:tc>
          <w:tcPr>
            <w:tcW w:w="498" w:type="dxa"/>
            <w:vAlign w:val="top"/>
          </w:tcPr>
          <w:p>
            <w:pPr>
              <w:ind w:left="110"/>
              <w:spacing w:before="204"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4-1</w:t>
            </w:r>
          </w:p>
        </w:tc>
        <w:tc>
          <w:tcPr>
            <w:tcW w:w="1466" w:type="dxa"/>
            <w:vAlign w:val="top"/>
          </w:tcPr>
          <w:p>
            <w:pPr>
              <w:pStyle w:val="TableText"/>
              <w:ind w:left="314"/>
              <w:spacing w:before="167" w:line="228" w:lineRule="auto"/>
              <w:rPr/>
            </w:pPr>
            <w:r>
              <w:rPr>
                <w:spacing w:val="7"/>
              </w:rPr>
              <w:t>废矿物油</w:t>
            </w:r>
          </w:p>
        </w:tc>
        <w:tc>
          <w:tcPr>
            <w:tcW w:w="902" w:type="dxa"/>
            <w:vAlign w:val="top"/>
          </w:tcPr>
          <w:p>
            <w:pPr>
              <w:ind w:left="266"/>
              <w:spacing w:before="2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2.73</w:t>
            </w:r>
          </w:p>
        </w:tc>
        <w:tc>
          <w:tcPr>
            <w:tcW w:w="1442" w:type="dxa"/>
            <w:vAlign w:val="top"/>
          </w:tcPr>
          <w:p>
            <w:pPr>
              <w:pStyle w:val="TableText"/>
              <w:ind w:left="199"/>
              <w:spacing w:before="167" w:line="228" w:lineRule="auto"/>
              <w:rPr/>
            </w:pPr>
            <w:r>
              <w:rPr>
                <w:spacing w:val="8"/>
              </w:rPr>
              <w:t>废润滑油等</w:t>
            </w:r>
          </w:p>
        </w:tc>
        <w:tc>
          <w:tcPr>
            <w:tcW w:w="989" w:type="dxa"/>
            <w:vAlign w:val="top"/>
          </w:tcPr>
          <w:p>
            <w:pPr>
              <w:pStyle w:val="TableText"/>
              <w:ind w:left="83"/>
              <w:spacing w:before="168" w:line="228" w:lineRule="auto"/>
              <w:rPr/>
            </w:pPr>
            <w:r>
              <w:rPr>
                <w:spacing w:val="6"/>
              </w:rPr>
              <w:t>危险废物</w:t>
            </w:r>
          </w:p>
        </w:tc>
        <w:tc>
          <w:tcPr>
            <w:tcW w:w="1606" w:type="dxa"/>
            <w:vAlign w:val="top"/>
          </w:tcPr>
          <w:p>
            <w:pPr>
              <w:pStyle w:val="TableText"/>
              <w:ind w:left="287"/>
              <w:spacing w:before="167" w:line="228" w:lineRule="auto"/>
              <w:rPr/>
            </w:pPr>
            <w:r>
              <w:rPr>
                <w:spacing w:val="7"/>
              </w:rPr>
              <w:t>危废暂存间</w:t>
            </w:r>
          </w:p>
        </w:tc>
        <w:tc>
          <w:tcPr>
            <w:tcW w:w="1611" w:type="dxa"/>
            <w:vAlign w:val="top"/>
          </w:tcPr>
          <w:p>
            <w:pPr>
              <w:pStyle w:val="TableText"/>
              <w:ind w:left="604" w:right="69" w:hanging="530"/>
              <w:spacing w:before="31" w:line="234" w:lineRule="auto"/>
              <w:rPr/>
            </w:pPr>
            <w:r>
              <w:rPr>
                <w:spacing w:val="8"/>
              </w:rPr>
              <w:t>委托有资质单位</w:t>
            </w:r>
            <w:r>
              <w:rPr>
                <w:spacing w:val="4"/>
              </w:rPr>
              <w:t xml:space="preserve"> </w:t>
            </w:r>
            <w:r>
              <w:rPr>
                <w:spacing w:val="2"/>
              </w:rPr>
              <w:t>处理</w:t>
            </w:r>
          </w:p>
        </w:tc>
      </w:tr>
      <w:tr>
        <w:trPr>
          <w:trHeight w:val="548" w:hRule="atLeast"/>
        </w:trPr>
        <w:tc>
          <w:tcPr>
            <w:tcW w:w="498" w:type="dxa"/>
            <w:vAlign w:val="top"/>
          </w:tcPr>
          <w:p>
            <w:pPr>
              <w:ind w:left="110"/>
              <w:spacing w:before="205" w:line="20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1"/>
              </w:rPr>
              <w:t>S</w:t>
            </w:r>
            <w:r>
              <w:rPr>
                <w:rFonts w:ascii="Times New Roman" w:hAnsi="Times New Roman" w:eastAsia="Times New Roman" w:cs="Times New Roman"/>
                <w:sz w:val="13"/>
                <w:szCs w:val="13"/>
                <w:spacing w:val="-1"/>
              </w:rPr>
              <w:t>4-2</w:t>
            </w:r>
          </w:p>
        </w:tc>
        <w:tc>
          <w:tcPr>
            <w:tcW w:w="1466" w:type="dxa"/>
            <w:vAlign w:val="top"/>
          </w:tcPr>
          <w:p>
            <w:pPr>
              <w:pStyle w:val="TableText"/>
              <w:ind w:left="419"/>
              <w:spacing w:before="169" w:line="228" w:lineRule="auto"/>
              <w:rPr/>
            </w:pPr>
            <w:r>
              <w:rPr>
                <w:spacing w:val="7"/>
              </w:rPr>
              <w:t>废油桶</w:t>
            </w:r>
          </w:p>
        </w:tc>
        <w:tc>
          <w:tcPr>
            <w:tcW w:w="902" w:type="dxa"/>
            <w:vAlign w:val="top"/>
          </w:tcPr>
          <w:p>
            <w:pPr>
              <w:ind w:left="269"/>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0.26</w:t>
            </w:r>
          </w:p>
        </w:tc>
        <w:tc>
          <w:tcPr>
            <w:tcW w:w="1442" w:type="dxa"/>
            <w:vAlign w:val="top"/>
          </w:tcPr>
          <w:p>
            <w:pPr>
              <w:pStyle w:val="TableText"/>
              <w:ind w:left="412"/>
              <w:spacing w:before="169" w:line="228" w:lineRule="auto"/>
              <w:rPr/>
            </w:pPr>
            <w:r>
              <w:rPr>
                <w:spacing w:val="6"/>
              </w:rPr>
              <w:t>石油类</w:t>
            </w:r>
          </w:p>
        </w:tc>
        <w:tc>
          <w:tcPr>
            <w:tcW w:w="989" w:type="dxa"/>
            <w:vAlign w:val="top"/>
          </w:tcPr>
          <w:p>
            <w:pPr>
              <w:pStyle w:val="TableText"/>
              <w:ind w:left="83"/>
              <w:spacing w:before="170" w:line="228" w:lineRule="auto"/>
              <w:rPr/>
            </w:pPr>
            <w:r>
              <w:rPr>
                <w:spacing w:val="6"/>
              </w:rPr>
              <w:t>危险废物</w:t>
            </w:r>
          </w:p>
        </w:tc>
        <w:tc>
          <w:tcPr>
            <w:tcW w:w="1606" w:type="dxa"/>
            <w:vAlign w:val="top"/>
          </w:tcPr>
          <w:p>
            <w:pPr>
              <w:pStyle w:val="TableText"/>
              <w:ind w:left="287"/>
              <w:spacing w:before="169" w:line="228" w:lineRule="auto"/>
              <w:rPr/>
            </w:pPr>
            <w:r>
              <w:rPr>
                <w:spacing w:val="7"/>
              </w:rPr>
              <w:t>危废暂存间</w:t>
            </w:r>
          </w:p>
        </w:tc>
        <w:tc>
          <w:tcPr>
            <w:tcW w:w="1611" w:type="dxa"/>
            <w:vAlign w:val="top"/>
          </w:tcPr>
          <w:p>
            <w:pPr>
              <w:pStyle w:val="TableText"/>
              <w:ind w:left="604" w:right="69" w:hanging="530"/>
              <w:spacing w:before="35" w:line="232" w:lineRule="auto"/>
              <w:rPr/>
            </w:pPr>
            <w:r>
              <w:rPr>
                <w:spacing w:val="8"/>
              </w:rPr>
              <w:t>委托有资质单位</w:t>
            </w:r>
            <w:r>
              <w:rPr>
                <w:spacing w:val="4"/>
              </w:rPr>
              <w:t xml:space="preserve"> </w:t>
            </w:r>
            <w:r>
              <w:rPr>
                <w:spacing w:val="2"/>
              </w:rPr>
              <w:t>处理</w:t>
            </w:r>
          </w:p>
        </w:tc>
      </w:tr>
      <w:tr>
        <w:trPr>
          <w:trHeight w:val="281" w:hRule="atLeast"/>
        </w:trPr>
        <w:tc>
          <w:tcPr>
            <w:tcW w:w="498" w:type="dxa"/>
            <w:vAlign w:val="top"/>
          </w:tcPr>
          <w:p>
            <w:pPr>
              <w:ind w:left="217"/>
              <w:spacing w:before="6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466" w:type="dxa"/>
            <w:vAlign w:val="top"/>
          </w:tcPr>
          <w:p>
            <w:pPr>
              <w:pStyle w:val="TableText"/>
              <w:ind w:left="527"/>
              <w:spacing w:before="36" w:line="216" w:lineRule="auto"/>
              <w:rPr/>
            </w:pPr>
            <w:r>
              <w:rPr>
                <w:spacing w:val="4"/>
              </w:rPr>
              <w:t>合计</w:t>
            </w:r>
          </w:p>
        </w:tc>
        <w:tc>
          <w:tcPr>
            <w:tcW w:w="902" w:type="dxa"/>
            <w:vAlign w:val="top"/>
          </w:tcPr>
          <w:p>
            <w:pPr>
              <w:ind w:right="2"/>
              <w:spacing w:before="72" w:line="195"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10617.428</w:t>
            </w:r>
          </w:p>
        </w:tc>
        <w:tc>
          <w:tcPr>
            <w:tcW w:w="1442" w:type="dxa"/>
            <w:vAlign w:val="top"/>
          </w:tcPr>
          <w:p>
            <w:pPr>
              <w:ind w:left="689"/>
              <w:spacing w:before="6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989" w:type="dxa"/>
            <w:vAlign w:val="top"/>
          </w:tcPr>
          <w:p>
            <w:pPr>
              <w:ind w:left="464"/>
              <w:spacing w:before="6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606" w:type="dxa"/>
            <w:vAlign w:val="top"/>
          </w:tcPr>
          <w:p>
            <w:pPr>
              <w:rPr>
                <w:rFonts w:ascii="Arial"/>
                <w:sz w:val="21"/>
              </w:rPr>
            </w:pPr>
            <w:r/>
          </w:p>
        </w:tc>
        <w:tc>
          <w:tcPr>
            <w:tcW w:w="1611" w:type="dxa"/>
            <w:vAlign w:val="top"/>
          </w:tcPr>
          <w:p>
            <w:pPr>
              <w:ind w:left="773"/>
              <w:spacing w:before="6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bl>
    <w:p>
      <w:pPr>
        <w:ind w:left="21"/>
        <w:spacing w:before="160" w:line="222" w:lineRule="auto"/>
        <w:outlineLvl w:val="2"/>
        <w:rPr>
          <w:rFonts w:ascii="SimHei" w:hAnsi="SimHei" w:eastAsia="SimHei" w:cs="SimHei"/>
          <w:sz w:val="28"/>
          <w:szCs w:val="28"/>
        </w:rPr>
      </w:pPr>
      <w:bookmarkStart w:name="bookmark107" w:id="135"/>
      <w:bookmarkEnd w:id="135"/>
      <w:r>
        <w:rPr>
          <w:rFonts w:ascii="Times New Roman" w:hAnsi="Times New Roman" w:eastAsia="Times New Roman" w:cs="Times New Roman"/>
          <w:sz w:val="28"/>
          <w:szCs w:val="28"/>
          <w:spacing w:val="-1"/>
        </w:rPr>
        <w:t>5.5.1 </w:t>
      </w:r>
      <w:r>
        <w:rPr>
          <w:rFonts w:ascii="SimHei" w:hAnsi="SimHei" w:eastAsia="SimHei" w:cs="SimHei"/>
          <w:sz w:val="28"/>
          <w:szCs w:val="28"/>
          <w:spacing w:val="-1"/>
        </w:rPr>
        <w:t>一般固体废物处置措施</w:t>
      </w:r>
    </w:p>
    <w:p>
      <w:pPr>
        <w:pStyle w:val="BodyText"/>
        <w:spacing w:line="245" w:lineRule="auto"/>
        <w:rPr/>
      </w:pPr>
      <w:r/>
    </w:p>
    <w:p>
      <w:pPr>
        <w:ind w:left="16" w:right="77" w:firstLine="492"/>
        <w:spacing w:before="78" w:line="312"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）废包装物来自原毛包的解包工序，其主要成分为高密度聚乙</w:t>
      </w:r>
      <w:r>
        <w:rPr>
          <w:rFonts w:ascii="SimSun" w:hAnsi="SimSun" w:eastAsia="SimSun" w:cs="SimSun"/>
          <w:sz w:val="24"/>
          <w:szCs w:val="24"/>
          <w:spacing w:val="-2"/>
        </w:rPr>
        <w:t>烯（包布）</w:t>
      </w:r>
      <w:r>
        <w:rPr>
          <w:rFonts w:ascii="SimSun" w:hAnsi="SimSun" w:eastAsia="SimSun" w:cs="SimSun"/>
          <w:sz w:val="24"/>
          <w:szCs w:val="24"/>
        </w:rPr>
        <w:t xml:space="preserve"> </w:t>
      </w:r>
      <w:r>
        <w:rPr>
          <w:rFonts w:ascii="SimSun" w:hAnsi="SimSun" w:eastAsia="SimSun" w:cs="SimSun"/>
          <w:sz w:val="24"/>
          <w:szCs w:val="24"/>
          <w:spacing w:val="2"/>
        </w:rPr>
        <w:t>和钢丝（包索</w:t>
      </w:r>
      <w:r>
        <w:rPr>
          <w:rFonts w:ascii="SimSun" w:hAnsi="SimSun" w:eastAsia="SimSun" w:cs="SimSun"/>
          <w:sz w:val="24"/>
          <w:szCs w:val="24"/>
          <w:spacing w:val="13"/>
        </w:rPr>
        <w:t>），</w:t>
      </w:r>
      <w:r>
        <w:rPr>
          <w:rFonts w:ascii="SimSun" w:hAnsi="SimSun" w:eastAsia="SimSun" w:cs="SimSun"/>
          <w:sz w:val="24"/>
          <w:szCs w:val="24"/>
          <w:spacing w:val="2"/>
        </w:rPr>
        <w:t>属于一般固废，在一般固废暂存库内扎捆临时贮存，定期外售</w:t>
      </w:r>
      <w:r>
        <w:rPr>
          <w:rFonts w:ascii="SimSun" w:hAnsi="SimSun" w:eastAsia="SimSun" w:cs="SimSun"/>
          <w:sz w:val="24"/>
          <w:szCs w:val="24"/>
          <w:spacing w:val="1"/>
        </w:rPr>
        <w:t xml:space="preserve"> </w:t>
      </w:r>
      <w:r>
        <w:rPr>
          <w:rFonts w:ascii="SimSun" w:hAnsi="SimSun" w:eastAsia="SimSun" w:cs="SimSun"/>
          <w:sz w:val="24"/>
          <w:szCs w:val="24"/>
          <w:spacing w:val="-1"/>
        </w:rPr>
        <w:t>废品回收企业综合利用。</w:t>
      </w:r>
    </w:p>
    <w:p>
      <w:pPr>
        <w:ind w:left="17" w:firstLine="505"/>
        <w:spacing w:before="182" w:line="289" w:lineRule="auto"/>
        <w:rPr>
          <w:rFonts w:ascii="SimSun" w:hAnsi="SimSun" w:eastAsia="SimSun" w:cs="SimSun"/>
          <w:sz w:val="24"/>
          <w:szCs w:val="24"/>
        </w:rPr>
      </w:pPr>
      <w:r>
        <w:rPr>
          <w:rFonts w:ascii="SimSun" w:hAnsi="SimSun" w:eastAsia="SimSun" w:cs="SimSun"/>
          <w:sz w:val="24"/>
          <w:szCs w:val="24"/>
          <w:spacing w:val="8"/>
        </w:rPr>
        <w:t>（</w:t>
      </w:r>
      <w:r>
        <w:rPr>
          <w:rFonts w:ascii="Times New Roman" w:hAnsi="Times New Roman" w:eastAsia="Times New Roman" w:cs="Times New Roman"/>
          <w:sz w:val="24"/>
          <w:szCs w:val="24"/>
          <w:spacing w:val="8"/>
        </w:rPr>
        <w:t>2</w:t>
      </w:r>
      <w:r>
        <w:rPr>
          <w:rFonts w:ascii="SimSun" w:hAnsi="SimSun" w:eastAsia="SimSun" w:cs="SimSun"/>
          <w:sz w:val="24"/>
          <w:szCs w:val="24"/>
          <w:spacing w:val="8"/>
        </w:rPr>
        <w:t>）分选杂物来自分选工序，主要成分为砂石、木块等，属于</w:t>
      </w:r>
      <w:r>
        <w:rPr>
          <w:rFonts w:ascii="SimSun" w:hAnsi="SimSun" w:eastAsia="SimSun" w:cs="SimSun"/>
          <w:sz w:val="24"/>
          <w:szCs w:val="24"/>
          <w:spacing w:val="7"/>
        </w:rPr>
        <w:t>一般固废，</w:t>
      </w:r>
      <w:r>
        <w:rPr>
          <w:rFonts w:ascii="SimSun" w:hAnsi="SimSun" w:eastAsia="SimSun" w:cs="SimSun"/>
          <w:sz w:val="24"/>
          <w:szCs w:val="24"/>
        </w:rPr>
        <w:t xml:space="preserve"> </w:t>
      </w:r>
      <w:r>
        <w:rPr>
          <w:rFonts w:ascii="SimSun" w:hAnsi="SimSun" w:eastAsia="SimSun" w:cs="SimSun"/>
          <w:sz w:val="24"/>
          <w:szCs w:val="24"/>
          <w:spacing w:val="-2"/>
        </w:rPr>
        <w:t>根据其成分特征，在一般固废暂存间贮存，定期外运委托当地环卫部门清运处理。</w:t>
      </w:r>
    </w:p>
    <w:p>
      <w:pPr>
        <w:ind w:left="19" w:right="83" w:firstLine="503"/>
        <w:spacing w:before="183" w:line="324"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）开松杂质来自原毛开松除杂工序，主要成分为杂草、泥沙、羊粪便等，</w:t>
      </w:r>
      <w:r>
        <w:rPr>
          <w:rFonts w:ascii="SimSun" w:hAnsi="SimSun" w:eastAsia="SimSun" w:cs="SimSun"/>
          <w:sz w:val="24"/>
          <w:szCs w:val="24"/>
          <w:spacing w:val="9"/>
        </w:rPr>
        <w:t xml:space="preserve"> </w:t>
      </w:r>
      <w:r>
        <w:rPr>
          <w:rFonts w:ascii="SimSun" w:hAnsi="SimSun" w:eastAsia="SimSun" w:cs="SimSun"/>
          <w:sz w:val="24"/>
          <w:szCs w:val="24"/>
          <w:spacing w:val="9"/>
        </w:rPr>
        <w:t>属于一般固废，在一般固废暂存间内袋装暂存，根据其成分特征，外运内蒙古</w:t>
      </w:r>
      <w:r>
        <w:rPr>
          <w:rFonts w:ascii="SimSun" w:hAnsi="SimSun" w:eastAsia="SimSun" w:cs="SimSun"/>
          <w:sz w:val="24"/>
          <w:szCs w:val="24"/>
          <w:spacing w:val="17"/>
        </w:rPr>
        <w:t xml:space="preserve"> </w:t>
      </w:r>
      <w:r>
        <w:rPr>
          <w:rFonts w:ascii="SimSun" w:hAnsi="SimSun" w:eastAsia="SimSun" w:cs="SimSun"/>
          <w:sz w:val="24"/>
          <w:szCs w:val="24"/>
          <w:spacing w:val="9"/>
        </w:rPr>
        <w:t>盎然农业发展有限公司有机肥厂做有机肥，待内蒙古源浩羊绒制品有限公司废</w:t>
      </w:r>
      <w:r>
        <w:rPr>
          <w:rFonts w:ascii="SimSun" w:hAnsi="SimSun" w:eastAsia="SimSun" w:cs="SimSun"/>
          <w:sz w:val="24"/>
          <w:szCs w:val="24"/>
          <w:spacing w:val="17"/>
        </w:rPr>
        <w:t xml:space="preserve"> </w:t>
      </w:r>
      <w:r>
        <w:rPr>
          <w:rFonts w:ascii="SimSun" w:hAnsi="SimSun" w:eastAsia="SimSun" w:cs="SimSun"/>
          <w:sz w:val="24"/>
          <w:szCs w:val="24"/>
          <w:spacing w:val="7"/>
        </w:rPr>
        <w:t>弃物高效循环利用项目（二期）有机肥生产线建成后用于生产有机肥。</w:t>
      </w:r>
    </w:p>
    <w:p>
      <w:pPr>
        <w:ind w:left="17" w:right="85" w:firstLine="505"/>
        <w:spacing w:before="182" w:line="312"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4</w:t>
      </w:r>
      <w:r>
        <w:rPr>
          <w:rFonts w:ascii="SimSun" w:hAnsi="SimSun" w:eastAsia="SimSun" w:cs="SimSun"/>
          <w:sz w:val="24"/>
          <w:szCs w:val="24"/>
          <w:spacing w:val="5"/>
        </w:rPr>
        <w:t>）开松除杂布袋除尘器收集粉尘，主要成分为细颗粒的羊粪、碎毛、泥</w:t>
      </w:r>
      <w:r>
        <w:rPr>
          <w:rFonts w:ascii="SimSun" w:hAnsi="SimSun" w:eastAsia="SimSun" w:cs="SimSun"/>
          <w:sz w:val="24"/>
          <w:szCs w:val="24"/>
          <w:spacing w:val="14"/>
        </w:rPr>
        <w:t xml:space="preserve"> </w:t>
      </w:r>
      <w:r>
        <w:rPr>
          <w:rFonts w:ascii="SimSun" w:hAnsi="SimSun" w:eastAsia="SimSun" w:cs="SimSun"/>
          <w:sz w:val="24"/>
          <w:szCs w:val="24"/>
          <w:spacing w:val="10"/>
        </w:rPr>
        <w:t>土等，在一般固废暂存间内袋装暂存，外运</w:t>
      </w:r>
      <w:r>
        <w:rPr>
          <w:rFonts w:ascii="SimSun" w:hAnsi="SimSun" w:eastAsia="SimSun" w:cs="SimSun"/>
          <w:sz w:val="24"/>
          <w:szCs w:val="24"/>
          <w:spacing w:val="9"/>
        </w:rPr>
        <w:t>内蒙古盎然农业发展有限公司有机</w:t>
      </w:r>
      <w:r>
        <w:rPr>
          <w:rFonts w:ascii="SimSun" w:hAnsi="SimSun" w:eastAsia="SimSun" w:cs="SimSun"/>
          <w:sz w:val="24"/>
          <w:szCs w:val="24"/>
        </w:rPr>
        <w:t xml:space="preserve"> </w:t>
      </w:r>
      <w:r>
        <w:rPr>
          <w:rFonts w:ascii="SimSun" w:hAnsi="SimSun" w:eastAsia="SimSun" w:cs="SimSun"/>
          <w:sz w:val="24"/>
          <w:szCs w:val="24"/>
          <w:spacing w:val="4"/>
        </w:rPr>
        <w:t>肥厂做有机肥。</w:t>
      </w:r>
    </w:p>
    <w:p>
      <w:pPr>
        <w:ind w:left="18" w:right="74" w:firstLine="504"/>
        <w:spacing w:before="183" w:line="316" w:lineRule="auto"/>
        <w:rPr>
          <w:rFonts w:ascii="SimSun" w:hAnsi="SimSun" w:eastAsia="SimSun" w:cs="SimSun"/>
          <w:sz w:val="24"/>
          <w:szCs w:val="24"/>
        </w:rPr>
      </w:pPr>
      <w:r>
        <w:rPr>
          <w:rFonts w:ascii="SimSun" w:hAnsi="SimSun" w:eastAsia="SimSun" w:cs="SimSun"/>
          <w:sz w:val="24"/>
          <w:szCs w:val="24"/>
          <w:spacing w:val="6"/>
        </w:rPr>
        <w:t>（</w:t>
      </w:r>
      <w:r>
        <w:rPr>
          <w:rFonts w:ascii="Times New Roman" w:hAnsi="Times New Roman" w:eastAsia="Times New Roman" w:cs="Times New Roman"/>
          <w:sz w:val="24"/>
          <w:szCs w:val="24"/>
          <w:spacing w:val="6"/>
        </w:rPr>
        <w:t>5</w:t>
      </w:r>
      <w:r>
        <w:rPr>
          <w:rFonts w:ascii="SimSun" w:hAnsi="SimSun" w:eastAsia="SimSun" w:cs="SimSun"/>
          <w:sz w:val="24"/>
          <w:szCs w:val="24"/>
          <w:spacing w:val="6"/>
        </w:rPr>
        <w:t>）废水收集池沉淀杂质来自于洗毛车间废水收集池，</w:t>
      </w:r>
      <w:r>
        <w:rPr>
          <w:rFonts w:ascii="SimSun" w:hAnsi="SimSun" w:eastAsia="SimSun" w:cs="SimSun"/>
          <w:sz w:val="24"/>
          <w:szCs w:val="24"/>
          <w:spacing w:val="5"/>
        </w:rPr>
        <w:t>主要成分为泥沙、</w:t>
      </w:r>
      <w:r>
        <w:rPr>
          <w:rFonts w:ascii="SimSun" w:hAnsi="SimSun" w:eastAsia="SimSun" w:cs="SimSun"/>
          <w:sz w:val="24"/>
          <w:szCs w:val="24"/>
        </w:rPr>
        <w:t xml:space="preserve"> </w:t>
      </w:r>
      <w:r>
        <w:rPr>
          <w:rFonts w:ascii="SimSun" w:hAnsi="SimSun" w:eastAsia="SimSun" w:cs="SimSun"/>
          <w:sz w:val="24"/>
          <w:szCs w:val="24"/>
          <w:spacing w:val="9"/>
        </w:rPr>
        <w:t>石子等，属于一般固废，根据其成分特征，定期外运委托当地环卫部门清运处</w:t>
      </w:r>
      <w:r>
        <w:rPr>
          <w:rFonts w:ascii="SimSun" w:hAnsi="SimSun" w:eastAsia="SimSun" w:cs="SimSun"/>
          <w:sz w:val="24"/>
          <w:szCs w:val="24"/>
          <w:spacing w:val="18"/>
        </w:rPr>
        <w:t xml:space="preserve"> </w:t>
      </w:r>
      <w:r>
        <w:rPr>
          <w:rFonts w:ascii="SimSun" w:hAnsi="SimSun" w:eastAsia="SimSun" w:cs="SimSun"/>
          <w:sz w:val="24"/>
          <w:szCs w:val="24"/>
          <w:spacing w:val="-6"/>
        </w:rPr>
        <w:t>理。</w:t>
      </w:r>
    </w:p>
    <w:p>
      <w:pPr>
        <w:ind w:left="19" w:right="85" w:firstLine="503"/>
        <w:spacing w:before="166" w:line="313"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6</w:t>
      </w:r>
      <w:r>
        <w:rPr>
          <w:rFonts w:ascii="SimSun" w:hAnsi="SimSun" w:eastAsia="SimSun" w:cs="SimSun"/>
          <w:sz w:val="24"/>
          <w:szCs w:val="24"/>
          <w:spacing w:val="5"/>
        </w:rPr>
        <w:t>）梳绒短纤维及杂毛来自梳绒工序产生，主要成分为短纤维及杂毛，属</w:t>
      </w:r>
      <w:r>
        <w:rPr>
          <w:rFonts w:ascii="SimSun" w:hAnsi="SimSun" w:eastAsia="SimSun" w:cs="SimSun"/>
          <w:sz w:val="24"/>
          <w:szCs w:val="24"/>
          <w:spacing w:val="14"/>
        </w:rPr>
        <w:t xml:space="preserve"> </w:t>
      </w:r>
      <w:r>
        <w:rPr>
          <w:rFonts w:ascii="SimSun" w:hAnsi="SimSun" w:eastAsia="SimSun" w:cs="SimSun"/>
          <w:sz w:val="24"/>
          <w:szCs w:val="24"/>
          <w:spacing w:val="9"/>
        </w:rPr>
        <w:t>于一般固废，袋装后在洗净毛库房内分隔贮存，定期外售综合利用（工业毛毡</w:t>
      </w:r>
      <w:r>
        <w:rPr>
          <w:rFonts w:ascii="SimSun" w:hAnsi="SimSun" w:eastAsia="SimSun" w:cs="SimSun"/>
          <w:sz w:val="24"/>
          <w:szCs w:val="24"/>
          <w:spacing w:val="17"/>
        </w:rPr>
        <w:t xml:space="preserve"> </w:t>
      </w:r>
      <w:r>
        <w:rPr>
          <w:rFonts w:ascii="SimSun" w:hAnsi="SimSun" w:eastAsia="SimSun" w:cs="SimSun"/>
          <w:sz w:val="24"/>
          <w:szCs w:val="24"/>
          <w:spacing w:val="-4"/>
        </w:rPr>
        <w:t>等）。</w:t>
      </w:r>
    </w:p>
    <w:p>
      <w:pPr>
        <w:ind w:left="12" w:right="77" w:firstLine="511"/>
        <w:spacing w:before="182" w:line="324"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7</w:t>
      </w:r>
      <w:r>
        <w:rPr>
          <w:rFonts w:ascii="SimSun" w:hAnsi="SimSun" w:eastAsia="SimSun" w:cs="SimSun"/>
          <w:sz w:val="24"/>
          <w:szCs w:val="24"/>
        </w:rPr>
        <w:t>）沼气脱硫装置脱硫剂每</w:t>
      </w:r>
      <w:r>
        <w:rPr>
          <w:rFonts w:ascii="SimSun" w:hAnsi="SimSun" w:eastAsia="SimSun" w:cs="SimSun"/>
          <w:sz w:val="24"/>
          <w:szCs w:val="24"/>
          <w:spacing w:val="-32"/>
        </w:rPr>
        <w:t xml:space="preserve"> </w:t>
      </w:r>
      <w:r>
        <w:rPr>
          <w:rFonts w:ascii="Times New Roman" w:hAnsi="Times New Roman" w:eastAsia="Times New Roman" w:cs="Times New Roman"/>
          <w:sz w:val="24"/>
          <w:szCs w:val="24"/>
        </w:rPr>
        <w:t>180 </w:t>
      </w:r>
      <w:r>
        <w:rPr>
          <w:rFonts w:ascii="SimSun" w:hAnsi="SimSun" w:eastAsia="SimSun" w:cs="SimSun"/>
          <w:sz w:val="24"/>
          <w:szCs w:val="24"/>
        </w:rPr>
        <w:t>天更换一次，废</w:t>
      </w:r>
      <w:r>
        <w:rPr>
          <w:rFonts w:ascii="SimSun" w:hAnsi="SimSun" w:eastAsia="SimSun" w:cs="SimSun"/>
          <w:sz w:val="24"/>
          <w:szCs w:val="24"/>
          <w:spacing w:val="-1"/>
        </w:rPr>
        <w:t>脱硫剂主要成分为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Fe</w:t>
      </w:r>
      <w:r>
        <w:rPr>
          <w:rFonts w:ascii="Times New Roman" w:hAnsi="Times New Roman" w:eastAsia="Times New Roman" w:cs="Times New Roman"/>
          <w:sz w:val="15"/>
          <w:szCs w:val="15"/>
          <w:spacing w:val="-1"/>
        </w:rPr>
        <w:t>2</w:t>
      </w:r>
      <w:r>
        <w:rPr>
          <w:rFonts w:ascii="Times New Roman" w:hAnsi="Times New Roman" w:eastAsia="Times New Roman" w:cs="Times New Roman"/>
          <w:sz w:val="24"/>
          <w:szCs w:val="24"/>
          <w:spacing w:val="-1"/>
        </w:rPr>
        <w:t>O</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1"/>
        </w:rPr>
        <w:t>、</w:t>
      </w:r>
      <w:r>
        <w:rPr>
          <w:rFonts w:ascii="SimSun" w:hAnsi="SimSun" w:eastAsia="SimSun" w:cs="SimSun"/>
          <w:sz w:val="24"/>
          <w:szCs w:val="24"/>
        </w:rPr>
        <w:t xml:space="preserve"> </w:t>
      </w:r>
      <w:r>
        <w:rPr>
          <w:rFonts w:ascii="Times New Roman" w:hAnsi="Times New Roman" w:eastAsia="Times New Roman" w:cs="Times New Roman"/>
          <w:sz w:val="24"/>
          <w:szCs w:val="24"/>
        </w:rPr>
        <w:t>Fe</w:t>
      </w:r>
      <w:r>
        <w:rPr>
          <w:rFonts w:ascii="Times New Roman" w:hAnsi="Times New Roman" w:eastAsia="Times New Roman" w:cs="Times New Roman"/>
          <w:sz w:val="15"/>
          <w:szCs w:val="15"/>
        </w:rPr>
        <w:t>2</w:t>
      </w:r>
      <w:r>
        <w:rPr>
          <w:rFonts w:ascii="Times New Roman" w:hAnsi="Times New Roman" w:eastAsia="Times New Roman" w:cs="Times New Roman"/>
          <w:sz w:val="24"/>
          <w:szCs w:val="24"/>
        </w:rPr>
        <w:t>S</w:t>
      </w:r>
      <w:r>
        <w:rPr>
          <w:rFonts w:ascii="Times New Roman" w:hAnsi="Times New Roman" w:eastAsia="Times New Roman" w:cs="Times New Roman"/>
          <w:sz w:val="15"/>
          <w:szCs w:val="15"/>
          <w:position w:val="-1"/>
        </w:rPr>
        <w:t>3</w:t>
      </w:r>
      <w:r>
        <w:rPr>
          <w:rFonts w:ascii="Times New Roman" w:hAnsi="Times New Roman" w:eastAsia="Times New Roman" w:cs="Times New Roman"/>
          <w:sz w:val="15"/>
          <w:szCs w:val="15"/>
          <w:spacing w:val="17"/>
          <w:position w:val="-1"/>
        </w:rPr>
        <w:t xml:space="preserve"> </w:t>
      </w:r>
      <w:r>
        <w:rPr>
          <w:rFonts w:ascii="SimSun" w:hAnsi="SimSun" w:eastAsia="SimSun" w:cs="SimSun"/>
          <w:sz w:val="24"/>
          <w:szCs w:val="24"/>
        </w:rPr>
        <w:t>及单质硫，可用于油漆、橡胶、塑料、建筑等的着色，是无机颜料。废脱硫 </w:t>
      </w:r>
      <w:r>
        <w:rPr>
          <w:rFonts w:ascii="SimSun" w:hAnsi="SimSun" w:eastAsia="SimSun" w:cs="SimSun"/>
          <w:sz w:val="24"/>
          <w:szCs w:val="24"/>
          <w:spacing w:val="3"/>
        </w:rPr>
        <w:t>剂属于不溶性无机物，无毒无害；属于一般固废，在一般固体废</w:t>
      </w:r>
      <w:r>
        <w:rPr>
          <w:rFonts w:ascii="SimSun" w:hAnsi="SimSun" w:eastAsia="SimSun" w:cs="SimSun"/>
          <w:sz w:val="24"/>
          <w:szCs w:val="24"/>
          <w:spacing w:val="2"/>
        </w:rPr>
        <w:t>弃物贮存库内袋</w:t>
      </w:r>
      <w:r>
        <w:rPr>
          <w:rFonts w:ascii="SimSun" w:hAnsi="SimSun" w:eastAsia="SimSun" w:cs="SimSun"/>
          <w:sz w:val="24"/>
          <w:szCs w:val="24"/>
        </w:rPr>
        <w:t xml:space="preserve"> </w:t>
      </w:r>
      <w:r>
        <w:rPr>
          <w:rFonts w:ascii="SimSun" w:hAnsi="SimSun" w:eastAsia="SimSun" w:cs="SimSun"/>
          <w:sz w:val="24"/>
          <w:szCs w:val="24"/>
          <w:spacing w:val="-1"/>
        </w:rPr>
        <w:t>装暂存，由厂家回收。</w:t>
      </w:r>
    </w:p>
    <w:p>
      <w:pPr>
        <w:spacing w:line="324" w:lineRule="auto"/>
        <w:sectPr>
          <w:headerReference w:type="default" r:id="rId296"/>
          <w:footerReference w:type="default" r:id="rId297"/>
          <w:pgSz w:w="11907" w:h="16840"/>
          <w:pgMar w:top="1567" w:right="1624" w:bottom="1921" w:left="1693" w:header="1221" w:footer="1247" w:gutter="0"/>
        </w:sectPr>
        <w:rPr>
          <w:rFonts w:ascii="SimSun" w:hAnsi="SimSun" w:eastAsia="SimSun" w:cs="SimSun"/>
          <w:sz w:val="24"/>
          <w:szCs w:val="24"/>
        </w:rPr>
      </w:pPr>
    </w:p>
    <w:p>
      <w:pPr>
        <w:ind w:left="12" w:right="21" w:firstLine="488"/>
        <w:spacing w:before="187" w:line="312" w:lineRule="auto"/>
        <w:rPr>
          <w:rFonts w:ascii="SimSun" w:hAnsi="SimSun" w:eastAsia="SimSun" w:cs="SimSun"/>
          <w:sz w:val="24"/>
          <w:szCs w:val="24"/>
        </w:rPr>
      </w:pPr>
      <w:r>
        <w:pict>
          <v:shape id="_x0000_s1016" style="position:absolute;margin-left:85.05pt;margin-top:79.11pt;mso-position-vertical-relative:page;mso-position-horizontal-relative:page;width:425.25pt;height:0.75pt;z-index:252147712;" o:allowincell="f" fillcolor="#000000" filled="true" stroked="false" coordsize="8505,15" coordorigin="0,0" path="m,l8505,0l8505,14l0,14l0,0xe"/>
        </w:pict>
      </w:r>
      <w:r>
        <w:rPr>
          <w:rFonts w:ascii="SimSun" w:hAnsi="SimSun" w:eastAsia="SimSun" w:cs="SimSun"/>
          <w:sz w:val="24"/>
          <w:szCs w:val="24"/>
          <w:spacing w:val="1"/>
        </w:rPr>
        <w:t>（</w:t>
      </w:r>
      <w:r>
        <w:rPr>
          <w:rFonts w:ascii="Times New Roman" w:hAnsi="Times New Roman" w:eastAsia="Times New Roman" w:cs="Times New Roman"/>
          <w:sz w:val="24"/>
          <w:szCs w:val="24"/>
          <w:spacing w:val="1"/>
        </w:rPr>
        <w:t>8</w:t>
      </w:r>
      <w:r>
        <w:rPr>
          <w:rFonts w:ascii="SimSun" w:hAnsi="SimSun" w:eastAsia="SimSun" w:cs="SimSun"/>
          <w:sz w:val="24"/>
          <w:szCs w:val="24"/>
          <w:spacing w:val="1"/>
        </w:rPr>
        <w:t>）锅炉房纯水制备装置采用反渗透制备工艺，运行过程中</w:t>
      </w:r>
      <w:r>
        <w:rPr>
          <w:rFonts w:ascii="Times New Roman" w:hAnsi="Times New Roman" w:eastAsia="Times New Roman" w:cs="Times New Roman"/>
          <w:sz w:val="24"/>
          <w:szCs w:val="24"/>
        </w:rPr>
        <w:t>RO</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膜组件需要</w:t>
      </w:r>
      <w:r>
        <w:rPr>
          <w:rFonts w:ascii="SimSun" w:hAnsi="SimSun" w:eastAsia="SimSun" w:cs="SimSun"/>
          <w:sz w:val="24"/>
          <w:szCs w:val="24"/>
          <w:spacing w:val="17"/>
        </w:rPr>
        <w:t xml:space="preserve"> </w:t>
      </w:r>
      <w:r>
        <w:rPr>
          <w:rFonts w:ascii="SimSun" w:hAnsi="SimSun" w:eastAsia="SimSun" w:cs="SimSun"/>
          <w:sz w:val="24"/>
          <w:szCs w:val="24"/>
          <w:spacing w:val="-5"/>
        </w:rPr>
        <w:t>定期，更换周期</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3</w:t>
      </w:r>
      <w:r>
        <w:rPr>
          <w:rFonts w:ascii="SimSun" w:hAnsi="SimSun" w:eastAsia="SimSun" w:cs="SimSun"/>
          <w:sz w:val="24"/>
          <w:szCs w:val="24"/>
          <w:spacing w:val="-5"/>
        </w:rPr>
        <w:t>～</w:t>
      </w:r>
      <w:r>
        <w:rPr>
          <w:rFonts w:ascii="Times New Roman" w:hAnsi="Times New Roman" w:eastAsia="Times New Roman" w:cs="Times New Roman"/>
          <w:sz w:val="24"/>
          <w:szCs w:val="24"/>
          <w:spacing w:val="-5"/>
        </w:rPr>
        <w:t>5 </w:t>
      </w:r>
      <w:r>
        <w:rPr>
          <w:rFonts w:ascii="SimSun" w:hAnsi="SimSun" w:eastAsia="SimSun" w:cs="SimSun"/>
          <w:sz w:val="24"/>
          <w:szCs w:val="24"/>
          <w:spacing w:val="-5"/>
        </w:rPr>
        <w:t>年，更换产生废</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5"/>
        </w:rPr>
        <w:t>RO </w:t>
      </w:r>
      <w:r>
        <w:rPr>
          <w:rFonts w:ascii="SimSun" w:hAnsi="SimSun" w:eastAsia="SimSun" w:cs="SimSun"/>
          <w:sz w:val="24"/>
          <w:szCs w:val="24"/>
          <w:spacing w:val="-5"/>
        </w:rPr>
        <w:t>膜、废过滤器组件，属于一般工</w:t>
      </w:r>
      <w:r>
        <w:rPr>
          <w:rFonts w:ascii="SimSun" w:hAnsi="SimSun" w:eastAsia="SimSun" w:cs="SimSun"/>
          <w:sz w:val="24"/>
          <w:szCs w:val="24"/>
          <w:spacing w:val="-6"/>
        </w:rPr>
        <w:t>业固废，</w:t>
      </w:r>
      <w:r>
        <w:rPr>
          <w:rFonts w:ascii="SimSun" w:hAnsi="SimSun" w:eastAsia="SimSun" w:cs="SimSun"/>
          <w:sz w:val="24"/>
          <w:szCs w:val="24"/>
        </w:rPr>
        <w:t xml:space="preserve"> </w:t>
      </w:r>
      <w:r>
        <w:rPr>
          <w:rFonts w:ascii="SimSun" w:hAnsi="SimSun" w:eastAsia="SimSun" w:cs="SimSun"/>
          <w:sz w:val="24"/>
          <w:szCs w:val="24"/>
          <w:spacing w:val="3"/>
        </w:rPr>
        <w:t>更换后在一般固体废弃物贮存库内暂存，</w:t>
      </w:r>
      <w:r>
        <w:rPr>
          <w:rFonts w:ascii="SimSun" w:hAnsi="SimSun" w:eastAsia="SimSun" w:cs="SimSun"/>
          <w:sz w:val="24"/>
          <w:szCs w:val="24"/>
          <w:spacing w:val="-71"/>
        </w:rPr>
        <w:t xml:space="preserve"> </w:t>
      </w:r>
      <w:r>
        <w:rPr>
          <w:rFonts w:ascii="SimSun" w:hAnsi="SimSun" w:eastAsia="SimSun" w:cs="SimSun"/>
          <w:sz w:val="24"/>
          <w:szCs w:val="24"/>
          <w:spacing w:val="3"/>
        </w:rPr>
        <w:t>由其生产厂家回收。</w:t>
      </w:r>
    </w:p>
    <w:p>
      <w:pPr>
        <w:ind w:left="8" w:right="80" w:firstLine="506"/>
        <w:spacing w:before="183" w:line="312"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9</w:t>
      </w:r>
      <w:r>
        <w:rPr>
          <w:rFonts w:ascii="SimSun" w:hAnsi="SimSun" w:eastAsia="SimSun" w:cs="SimSun"/>
          <w:sz w:val="24"/>
          <w:szCs w:val="24"/>
          <w:spacing w:val="5"/>
        </w:rPr>
        <w:t>）锅炉草木灰来自生物质锅炉燃烧生物质燃料产生，包含炉渣和除尘灰</w:t>
      </w:r>
      <w:r>
        <w:rPr>
          <w:rFonts w:ascii="SimSun" w:hAnsi="SimSun" w:eastAsia="SimSun" w:cs="SimSun"/>
          <w:sz w:val="24"/>
          <w:szCs w:val="24"/>
          <w:spacing w:val="14"/>
        </w:rPr>
        <w:t xml:space="preserve"> </w:t>
      </w:r>
      <w:r>
        <w:rPr>
          <w:rFonts w:ascii="SimSun" w:hAnsi="SimSun" w:eastAsia="SimSun" w:cs="SimSun"/>
          <w:sz w:val="24"/>
          <w:szCs w:val="24"/>
          <w:spacing w:val="3"/>
        </w:rPr>
        <w:t>两部分，主要成分为草木灰，属于一般固废，装袋在</w:t>
      </w:r>
      <w:r>
        <w:rPr>
          <w:rFonts w:ascii="SimSun" w:hAnsi="SimSun" w:eastAsia="SimSun" w:cs="SimSun"/>
          <w:sz w:val="24"/>
          <w:szCs w:val="24"/>
          <w:spacing w:val="2"/>
        </w:rPr>
        <w:t>一般固体废弃物贮存库内暂</w:t>
      </w:r>
      <w:r>
        <w:rPr>
          <w:rFonts w:ascii="SimSun" w:hAnsi="SimSun" w:eastAsia="SimSun" w:cs="SimSun"/>
          <w:sz w:val="24"/>
          <w:szCs w:val="24"/>
        </w:rPr>
        <w:t xml:space="preserve"> </w:t>
      </w:r>
      <w:r>
        <w:rPr>
          <w:rFonts w:ascii="SimSun" w:hAnsi="SimSun" w:eastAsia="SimSun" w:cs="SimSun"/>
          <w:sz w:val="24"/>
          <w:szCs w:val="24"/>
          <w:spacing w:val="-1"/>
        </w:rPr>
        <w:t>存，定期外售作为肥料还田。</w:t>
      </w:r>
    </w:p>
    <w:p>
      <w:pPr>
        <w:ind w:left="11" w:right="87" w:firstLine="503"/>
        <w:spacing w:before="183" w:line="28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10</w:t>
      </w:r>
      <w:r>
        <w:rPr>
          <w:rFonts w:ascii="SimSun" w:hAnsi="SimSun" w:eastAsia="SimSun" w:cs="SimSun"/>
          <w:sz w:val="24"/>
          <w:szCs w:val="24"/>
          <w:spacing w:val="3"/>
        </w:rPr>
        <w:t>）布袋除尘器定期更换破损布袋，废布袋更换量约</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3"/>
        </w:rPr>
        <w:t>0.5t/a</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3"/>
        </w:rPr>
        <w:t>，由其生产厂</w:t>
      </w:r>
      <w:r>
        <w:rPr>
          <w:rFonts w:ascii="SimSun" w:hAnsi="SimSun" w:eastAsia="SimSun" w:cs="SimSun"/>
          <w:sz w:val="24"/>
          <w:szCs w:val="24"/>
        </w:rPr>
        <w:t xml:space="preserve"> </w:t>
      </w:r>
      <w:r>
        <w:rPr>
          <w:rFonts w:ascii="SimSun" w:hAnsi="SimSun" w:eastAsia="SimSun" w:cs="SimSun"/>
          <w:sz w:val="24"/>
          <w:szCs w:val="24"/>
          <w:spacing w:val="1"/>
        </w:rPr>
        <w:t>家回收。</w:t>
      </w:r>
    </w:p>
    <w:p>
      <w:pPr>
        <w:ind w:left="518"/>
        <w:spacing w:before="182" w:line="219" w:lineRule="auto"/>
        <w:rPr>
          <w:rFonts w:ascii="SimSun" w:hAnsi="SimSun" w:eastAsia="SimSun" w:cs="SimSun"/>
          <w:sz w:val="24"/>
          <w:szCs w:val="24"/>
        </w:rPr>
      </w:pPr>
      <w:r>
        <w:rPr>
          <w:rFonts w:ascii="SimSun" w:hAnsi="SimSun" w:eastAsia="SimSun" w:cs="SimSun"/>
          <w:sz w:val="24"/>
          <w:szCs w:val="24"/>
          <w:spacing w:val="-2"/>
        </w:rPr>
        <w:t>由上可知，本项目一般固废均可以得到合理处置。</w:t>
      </w:r>
    </w:p>
    <w:p>
      <w:pPr>
        <w:ind w:left="10" w:firstLine="494"/>
        <w:spacing w:before="182" w:line="360" w:lineRule="auto"/>
        <w:rPr>
          <w:rFonts w:ascii="SimSun" w:hAnsi="SimSun" w:eastAsia="SimSun" w:cs="SimSun"/>
          <w:sz w:val="24"/>
          <w:szCs w:val="24"/>
        </w:rPr>
      </w:pPr>
      <w:r>
        <w:rPr>
          <w:rFonts w:ascii="SimSun" w:hAnsi="SimSun" w:eastAsia="SimSun" w:cs="SimSun"/>
          <w:sz w:val="24"/>
          <w:szCs w:val="24"/>
          <w:spacing w:val="10"/>
        </w:rPr>
        <w:t>本项</w:t>
      </w:r>
      <w:r>
        <w:rPr>
          <w:rFonts w:ascii="SimSun" w:hAnsi="SimSun" w:eastAsia="SimSun" w:cs="SimSun"/>
          <w:sz w:val="24"/>
          <w:szCs w:val="24"/>
          <w:spacing w:val="-41"/>
        </w:rPr>
        <w:t xml:space="preserve"> </w:t>
      </w:r>
      <w:r>
        <w:rPr>
          <w:rFonts w:ascii="SimSun" w:hAnsi="SimSun" w:eastAsia="SimSun" w:cs="SimSun"/>
          <w:sz w:val="24"/>
          <w:szCs w:val="24"/>
          <w:spacing w:val="10"/>
        </w:rPr>
        <w:t>目在西厂区洗净毛库房西侧建设 </w:t>
      </w:r>
      <w:r>
        <w:rPr>
          <w:rFonts w:ascii="Times New Roman" w:hAnsi="Times New Roman" w:eastAsia="Times New Roman" w:cs="Times New Roman"/>
          <w:sz w:val="24"/>
          <w:szCs w:val="24"/>
          <w:spacing w:val="10"/>
        </w:rPr>
        <w:t>1</w:t>
      </w:r>
      <w:r>
        <w:rPr>
          <w:rFonts w:ascii="Times New Roman" w:hAnsi="Times New Roman" w:eastAsia="Times New Roman" w:cs="Times New Roman"/>
          <w:sz w:val="24"/>
          <w:szCs w:val="24"/>
          <w:spacing w:val="43"/>
        </w:rPr>
        <w:t xml:space="preserve"> </w:t>
      </w:r>
      <w:r>
        <w:rPr>
          <w:rFonts w:ascii="SimSun" w:hAnsi="SimSun" w:eastAsia="SimSun" w:cs="SimSun"/>
          <w:sz w:val="24"/>
          <w:szCs w:val="24"/>
          <w:spacing w:val="10"/>
        </w:rPr>
        <w:t>间一般固废暂存间</w:t>
      </w:r>
      <w:r>
        <w:rPr>
          <w:rFonts w:ascii="SimSun" w:hAnsi="SimSun" w:eastAsia="SimSun" w:cs="SimSun"/>
          <w:sz w:val="24"/>
          <w:szCs w:val="24"/>
          <w:spacing w:val="-72"/>
        </w:rPr>
        <w:t xml:space="preserve"> </w:t>
      </w:r>
      <w:r>
        <w:rPr>
          <w:rFonts w:ascii="SimSun" w:hAnsi="SimSun" w:eastAsia="SimSun" w:cs="SimSun"/>
          <w:sz w:val="24"/>
          <w:szCs w:val="24"/>
          <w:spacing w:val="10"/>
        </w:rPr>
        <w:t>，建筑面积为</w:t>
      </w:r>
      <w:r>
        <w:rPr>
          <w:rFonts w:ascii="SimSun" w:hAnsi="SimSun" w:eastAsia="SimSun" w:cs="SimSun"/>
          <w:sz w:val="24"/>
          <w:szCs w:val="24"/>
        </w:rPr>
        <w:t xml:space="preserve"> </w:t>
      </w:r>
      <w:r>
        <w:rPr>
          <w:rFonts w:ascii="SimSun" w:hAnsi="SimSun" w:eastAsia="SimSun" w:cs="SimSun"/>
          <w:sz w:val="24"/>
          <w:szCs w:val="24"/>
          <w:spacing w:val="-2"/>
        </w:rPr>
        <w:t>80</w:t>
      </w:r>
      <w:r>
        <w:rPr>
          <w:rFonts w:ascii="Times New Roman" w:hAnsi="Times New Roman" w:eastAsia="Times New Roman" w:cs="Times New Roman"/>
          <w:sz w:val="24"/>
          <w:szCs w:val="24"/>
          <w:spacing w:val="-2"/>
        </w:rPr>
        <w:t>m</w:t>
      </w:r>
      <w:r>
        <w:rPr>
          <w:rFonts w:ascii="Times New Roman" w:hAnsi="Times New Roman" w:eastAsia="Times New Roman" w:cs="Times New Roman"/>
          <w:sz w:val="15"/>
          <w:szCs w:val="15"/>
          <w:spacing w:val="-2"/>
          <w:position w:val="8"/>
        </w:rPr>
        <w:t>2</w:t>
      </w:r>
      <w:r>
        <w:rPr>
          <w:rFonts w:ascii="SimSun" w:hAnsi="SimSun" w:eastAsia="SimSun" w:cs="SimSun"/>
          <w:sz w:val="24"/>
          <w:szCs w:val="24"/>
          <w:spacing w:val="-2"/>
        </w:rPr>
        <w:t>，全封闭建设，地面进行硬化防渗，同时具有</w:t>
      </w:r>
      <w:r>
        <w:rPr>
          <w:rFonts w:ascii="SimSun" w:hAnsi="SimSun" w:eastAsia="SimSun" w:cs="SimSun"/>
          <w:sz w:val="24"/>
          <w:szCs w:val="24"/>
          <w:spacing w:val="-3"/>
        </w:rPr>
        <w:t>防雨措施，用于贮存废包装物、</w:t>
      </w:r>
      <w:r>
        <w:rPr>
          <w:rFonts w:ascii="SimSun" w:hAnsi="SimSun" w:eastAsia="SimSun" w:cs="SimSun"/>
          <w:sz w:val="24"/>
          <w:szCs w:val="24"/>
        </w:rPr>
        <w:t xml:space="preserve"> </w:t>
      </w:r>
      <w:r>
        <w:rPr>
          <w:rFonts w:ascii="SimSun" w:hAnsi="SimSun" w:eastAsia="SimSun" w:cs="SimSun"/>
          <w:sz w:val="24"/>
          <w:szCs w:val="24"/>
          <w:spacing w:val="-1"/>
        </w:rPr>
        <w:t>开松杂质、废脱硫剂、废</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RO </w:t>
      </w:r>
      <w:r>
        <w:rPr>
          <w:rFonts w:ascii="SimSun" w:hAnsi="SimSun" w:eastAsia="SimSun" w:cs="SimSun"/>
          <w:sz w:val="24"/>
          <w:szCs w:val="24"/>
          <w:spacing w:val="-1"/>
        </w:rPr>
        <w:t>膜、废过滤器组件、锅炉草木灰、废布袋等。</w:t>
      </w:r>
    </w:p>
    <w:p>
      <w:pPr>
        <w:ind w:left="14"/>
        <w:spacing w:before="122" w:line="222" w:lineRule="auto"/>
        <w:outlineLvl w:val="2"/>
        <w:rPr>
          <w:rFonts w:ascii="SimHei" w:hAnsi="SimHei" w:eastAsia="SimHei" w:cs="SimHei"/>
          <w:sz w:val="28"/>
          <w:szCs w:val="28"/>
        </w:rPr>
      </w:pPr>
      <w:bookmarkStart w:name="bookmark108" w:id="136"/>
      <w:bookmarkEnd w:id="136"/>
      <w:r>
        <w:rPr>
          <w:rFonts w:ascii="Times New Roman" w:hAnsi="Times New Roman" w:eastAsia="Times New Roman" w:cs="Times New Roman"/>
          <w:sz w:val="28"/>
          <w:szCs w:val="28"/>
          <w:spacing w:val="-1"/>
        </w:rPr>
        <w:t>5.5.2 </w:t>
      </w:r>
      <w:r>
        <w:rPr>
          <w:rFonts w:ascii="SimHei" w:hAnsi="SimHei" w:eastAsia="SimHei" w:cs="SimHei"/>
          <w:sz w:val="28"/>
          <w:szCs w:val="28"/>
          <w:spacing w:val="-1"/>
        </w:rPr>
        <w:t>危险废物治理措施</w:t>
      </w:r>
    </w:p>
    <w:p>
      <w:pPr>
        <w:pStyle w:val="BodyText"/>
        <w:rPr/>
      </w:pPr>
      <w:r/>
    </w:p>
    <w:p>
      <w:pPr>
        <w:ind w:left="11" w:right="21" w:firstLine="489"/>
        <w:spacing w:before="79" w:line="31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）废水收集池等恶臭气体处理采用活性炭吸附</w:t>
      </w:r>
      <w:r>
        <w:rPr>
          <w:rFonts w:ascii="SimSun" w:hAnsi="SimSun" w:eastAsia="SimSun" w:cs="SimSun"/>
          <w:sz w:val="24"/>
          <w:szCs w:val="24"/>
          <w:spacing w:val="-2"/>
        </w:rPr>
        <w:t>，废活性炭被列入《国家危</w:t>
      </w:r>
      <w:r>
        <w:rPr>
          <w:rFonts w:ascii="SimSun" w:hAnsi="SimSun" w:eastAsia="SimSun" w:cs="SimSun"/>
          <w:sz w:val="24"/>
          <w:szCs w:val="24"/>
        </w:rPr>
        <w:t xml:space="preserve"> </w:t>
      </w:r>
      <w:r>
        <w:rPr>
          <w:rFonts w:ascii="SimSun" w:hAnsi="SimSun" w:eastAsia="SimSun" w:cs="SimSun"/>
          <w:sz w:val="24"/>
          <w:szCs w:val="24"/>
          <w:spacing w:val="-10"/>
        </w:rPr>
        <w:t>险废物名录（</w:t>
      </w:r>
      <w:r>
        <w:rPr>
          <w:rFonts w:ascii="Times New Roman" w:hAnsi="Times New Roman" w:eastAsia="Times New Roman" w:cs="Times New Roman"/>
          <w:sz w:val="24"/>
          <w:szCs w:val="24"/>
          <w:spacing w:val="-10"/>
        </w:rPr>
        <w:t>2025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0"/>
        </w:rPr>
        <w:t>年）》中，危废类别为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0"/>
        </w:rPr>
        <w:t>HW49</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10"/>
        </w:rPr>
        <w:t>其他废物，</w:t>
      </w:r>
      <w:r>
        <w:rPr>
          <w:rFonts w:ascii="SimSun" w:hAnsi="SimSun" w:eastAsia="SimSun" w:cs="SimSun"/>
          <w:sz w:val="24"/>
          <w:szCs w:val="24"/>
          <w:spacing w:val="-11"/>
        </w:rPr>
        <w:t>危废代码为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1"/>
        </w:rPr>
        <w:t>900-039-49</w:t>
      </w:r>
      <w:r>
        <w:rPr>
          <w:rFonts w:ascii="SimSun" w:hAnsi="SimSun" w:eastAsia="SimSun" w:cs="SimSun"/>
          <w:sz w:val="24"/>
          <w:szCs w:val="24"/>
          <w:spacing w:val="-11"/>
        </w:rPr>
        <w:t>，</w:t>
      </w:r>
      <w:r>
        <w:rPr>
          <w:rFonts w:ascii="SimSun" w:hAnsi="SimSun" w:eastAsia="SimSun" w:cs="SimSun"/>
          <w:sz w:val="24"/>
          <w:szCs w:val="24"/>
        </w:rPr>
        <w:t xml:space="preserve"> </w:t>
      </w:r>
      <w:r>
        <w:rPr>
          <w:rFonts w:ascii="SimSun" w:hAnsi="SimSun" w:eastAsia="SimSun" w:cs="SimSun"/>
          <w:sz w:val="24"/>
          <w:szCs w:val="24"/>
          <w:spacing w:val="-1"/>
        </w:rPr>
        <w:t>属于危险废物，暂存于危废暂存间，委托有资质单位处置。</w:t>
      </w:r>
    </w:p>
    <w:p>
      <w:pPr>
        <w:ind w:left="11" w:right="21" w:firstLine="489"/>
        <w:spacing w:before="178" w:line="31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）设备保养、检修、维修产生的废矿物油，主</w:t>
      </w:r>
      <w:r>
        <w:rPr>
          <w:rFonts w:ascii="SimSun" w:hAnsi="SimSun" w:eastAsia="SimSun" w:cs="SimSun"/>
          <w:sz w:val="24"/>
          <w:szCs w:val="24"/>
          <w:spacing w:val="-2"/>
        </w:rPr>
        <w:t>要废润滑油等，被列入《国</w:t>
      </w:r>
      <w:r>
        <w:rPr>
          <w:rFonts w:ascii="SimSun" w:hAnsi="SimSun" w:eastAsia="SimSun" w:cs="SimSun"/>
          <w:sz w:val="24"/>
          <w:szCs w:val="24"/>
        </w:rPr>
        <w:t xml:space="preserve"> </w:t>
      </w:r>
      <w:r>
        <w:rPr>
          <w:rFonts w:ascii="SimSun" w:hAnsi="SimSun" w:eastAsia="SimSun" w:cs="SimSun"/>
          <w:sz w:val="24"/>
          <w:szCs w:val="24"/>
        </w:rPr>
        <w:t>家危险废物名录（</w:t>
      </w:r>
      <w:r>
        <w:rPr>
          <w:rFonts w:ascii="Times New Roman" w:hAnsi="Times New Roman" w:eastAsia="Times New Roman" w:cs="Times New Roman"/>
          <w:sz w:val="24"/>
          <w:szCs w:val="24"/>
        </w:rPr>
        <w:t>2025 </w:t>
      </w:r>
      <w:r>
        <w:rPr>
          <w:rFonts w:ascii="SimSun" w:hAnsi="SimSun" w:eastAsia="SimSun" w:cs="SimSun"/>
          <w:sz w:val="24"/>
          <w:szCs w:val="24"/>
        </w:rPr>
        <w:t>年）》中，危废类别为</w:t>
      </w:r>
      <w:r>
        <w:rPr>
          <w:rFonts w:ascii="SimSun" w:hAnsi="SimSun" w:eastAsia="SimSun" w:cs="SimSun"/>
          <w:sz w:val="24"/>
          <w:szCs w:val="24"/>
          <w:spacing w:val="-28"/>
        </w:rPr>
        <w:t xml:space="preserve"> </w:t>
      </w:r>
      <w:r>
        <w:rPr>
          <w:rFonts w:ascii="Times New Roman" w:hAnsi="Times New Roman" w:eastAsia="Times New Roman" w:cs="Times New Roman"/>
          <w:sz w:val="24"/>
          <w:szCs w:val="24"/>
        </w:rPr>
        <w:t>HW08</w:t>
      </w:r>
      <w:r>
        <w:rPr>
          <w:rFonts w:ascii="Times New Roman" w:hAnsi="Times New Roman" w:eastAsia="Times New Roman" w:cs="Times New Roman"/>
          <w:sz w:val="24"/>
          <w:szCs w:val="24"/>
          <w:spacing w:val="18"/>
        </w:rPr>
        <w:t xml:space="preserve"> </w:t>
      </w:r>
      <w:r>
        <w:rPr>
          <w:rFonts w:ascii="SimSun" w:hAnsi="SimSun" w:eastAsia="SimSun" w:cs="SimSun"/>
          <w:sz w:val="24"/>
          <w:szCs w:val="24"/>
        </w:rPr>
        <w:t>废矿物油与含矿物油废物， </w:t>
      </w:r>
      <w:r>
        <w:rPr>
          <w:rFonts w:ascii="SimSun" w:hAnsi="SimSun" w:eastAsia="SimSun" w:cs="SimSun"/>
          <w:sz w:val="24"/>
          <w:szCs w:val="24"/>
        </w:rPr>
        <w:t>属于危险废物，桶装后在危废暂存间内分隔</w:t>
      </w:r>
      <w:r>
        <w:rPr>
          <w:rFonts w:ascii="SimSun" w:hAnsi="SimSun" w:eastAsia="SimSun" w:cs="SimSun"/>
          <w:sz w:val="24"/>
          <w:szCs w:val="24"/>
          <w:spacing w:val="-1"/>
        </w:rPr>
        <w:t>暂存，委托有资质单位处理。</w:t>
      </w:r>
    </w:p>
    <w:p>
      <w:pPr>
        <w:ind w:left="11" w:right="80" w:firstLine="489"/>
        <w:spacing w:before="181" w:line="325"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）本项目生产过程中生产设备检修、保养、维护，润滑油定期</w:t>
      </w:r>
      <w:r>
        <w:rPr>
          <w:rFonts w:ascii="SimSun" w:hAnsi="SimSun" w:eastAsia="SimSun" w:cs="SimSun"/>
          <w:sz w:val="24"/>
          <w:szCs w:val="24"/>
          <w:spacing w:val="-2"/>
        </w:rPr>
        <w:t>更换等，使</w:t>
      </w:r>
      <w:r>
        <w:rPr>
          <w:rFonts w:ascii="SimSun" w:hAnsi="SimSun" w:eastAsia="SimSun" w:cs="SimSun"/>
          <w:sz w:val="24"/>
          <w:szCs w:val="24"/>
        </w:rPr>
        <w:t xml:space="preserve"> </w:t>
      </w:r>
      <w:r>
        <w:rPr>
          <w:rFonts w:ascii="SimSun" w:hAnsi="SimSun" w:eastAsia="SimSun" w:cs="SimSun"/>
          <w:sz w:val="24"/>
          <w:szCs w:val="24"/>
          <w:spacing w:val="7"/>
        </w:rPr>
        <w:t>用润滑油等产生废油桶，被列入《国家危险废物名录（</w:t>
      </w:r>
      <w:r>
        <w:rPr>
          <w:rFonts w:ascii="Times New Roman" w:hAnsi="Times New Roman" w:eastAsia="Times New Roman" w:cs="Times New Roman"/>
          <w:sz w:val="24"/>
          <w:szCs w:val="24"/>
          <w:spacing w:val="7"/>
        </w:rPr>
        <w:t>202</w:t>
      </w:r>
      <w:r>
        <w:rPr>
          <w:rFonts w:ascii="Times New Roman" w:hAnsi="Times New Roman" w:eastAsia="Times New Roman" w:cs="Times New Roman"/>
          <w:sz w:val="24"/>
          <w:szCs w:val="24"/>
          <w:spacing w:val="6"/>
        </w:rPr>
        <w:t>5</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6"/>
        </w:rPr>
        <w:t>年）》中，危废类</w:t>
      </w:r>
      <w:r>
        <w:rPr>
          <w:rFonts w:ascii="SimSun" w:hAnsi="SimSun" w:eastAsia="SimSun" w:cs="SimSun"/>
          <w:sz w:val="24"/>
          <w:szCs w:val="24"/>
        </w:rPr>
        <w:t xml:space="preserve"> </w:t>
      </w:r>
      <w:r>
        <w:rPr>
          <w:rFonts w:ascii="SimSun" w:hAnsi="SimSun" w:eastAsia="SimSun" w:cs="SimSun"/>
          <w:sz w:val="24"/>
          <w:szCs w:val="24"/>
          <w:spacing w:val="1"/>
        </w:rPr>
        <w:t>别为</w:t>
      </w:r>
      <w:r>
        <w:rPr>
          <w:rFonts w:ascii="SimSun" w:hAnsi="SimSun" w:eastAsia="SimSun" w:cs="SimSun"/>
          <w:sz w:val="24"/>
          <w:szCs w:val="24"/>
          <w:spacing w:val="-46"/>
        </w:rPr>
        <w:t xml:space="preserve"> </w:t>
      </w:r>
      <w:r>
        <w:rPr>
          <w:rFonts w:ascii="Times New Roman" w:hAnsi="Times New Roman" w:eastAsia="Times New Roman" w:cs="Times New Roman"/>
          <w:sz w:val="24"/>
          <w:szCs w:val="24"/>
        </w:rPr>
        <w:t>HW</w:t>
      </w:r>
      <w:r>
        <w:rPr>
          <w:rFonts w:ascii="Times New Roman" w:hAnsi="Times New Roman" w:eastAsia="Times New Roman" w:cs="Times New Roman"/>
          <w:sz w:val="24"/>
          <w:szCs w:val="24"/>
          <w:spacing w:val="1"/>
        </w:rPr>
        <w:t>08</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1"/>
        </w:rPr>
        <w:t>废矿物油与含矿物油废物，属于危</w:t>
      </w:r>
      <w:r>
        <w:rPr>
          <w:rFonts w:ascii="SimSun" w:hAnsi="SimSun" w:eastAsia="SimSun" w:cs="SimSun"/>
          <w:sz w:val="24"/>
          <w:szCs w:val="24"/>
        </w:rPr>
        <w:t>险废物，在危废暂存间内暂存，定 </w:t>
      </w:r>
      <w:r>
        <w:rPr>
          <w:rFonts w:ascii="SimSun" w:hAnsi="SimSun" w:eastAsia="SimSun" w:cs="SimSun"/>
          <w:sz w:val="24"/>
          <w:szCs w:val="24"/>
          <w:spacing w:val="-2"/>
        </w:rPr>
        <w:t>期委托有资质单位处理。</w:t>
      </w:r>
    </w:p>
    <w:p>
      <w:pPr>
        <w:ind w:left="9" w:right="77" w:firstLine="480"/>
        <w:spacing w:before="179" w:line="360" w:lineRule="auto"/>
        <w:jc w:val="both"/>
        <w:rPr>
          <w:rFonts w:ascii="Times New Roman" w:hAnsi="Times New Roman" w:eastAsia="Times New Roman" w:cs="Times New Roman"/>
          <w:sz w:val="24"/>
          <w:szCs w:val="24"/>
        </w:rPr>
      </w:pPr>
      <w:r>
        <w:rPr>
          <w:rFonts w:ascii="SimSun" w:hAnsi="SimSun" w:eastAsia="SimSun" w:cs="SimSun"/>
          <w:sz w:val="24"/>
          <w:szCs w:val="24"/>
          <w:spacing w:val="11"/>
        </w:rPr>
        <w:t>本项</w:t>
      </w:r>
      <w:r>
        <w:rPr>
          <w:rFonts w:ascii="SimSun" w:hAnsi="SimSun" w:eastAsia="SimSun" w:cs="SimSun"/>
          <w:sz w:val="24"/>
          <w:szCs w:val="24"/>
          <w:spacing w:val="-46"/>
        </w:rPr>
        <w:t xml:space="preserve"> </w:t>
      </w:r>
      <w:r>
        <w:rPr>
          <w:rFonts w:ascii="SimSun" w:hAnsi="SimSun" w:eastAsia="SimSun" w:cs="SimSun"/>
          <w:sz w:val="24"/>
          <w:szCs w:val="24"/>
          <w:spacing w:val="11"/>
        </w:rPr>
        <w:t>目在西厂区洗净毛库房西侧建设 </w:t>
      </w:r>
      <w:r>
        <w:rPr>
          <w:rFonts w:ascii="Times New Roman" w:hAnsi="Times New Roman" w:eastAsia="Times New Roman" w:cs="Times New Roman"/>
          <w:sz w:val="24"/>
          <w:szCs w:val="24"/>
          <w:spacing w:val="11"/>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1"/>
        </w:rPr>
        <w:t>座危险废物暂存间</w:t>
      </w:r>
      <w:r>
        <w:rPr>
          <w:rFonts w:ascii="SimSun" w:hAnsi="SimSun" w:eastAsia="SimSun" w:cs="SimSun"/>
          <w:sz w:val="24"/>
          <w:szCs w:val="24"/>
          <w:spacing w:val="-72"/>
        </w:rPr>
        <w:t xml:space="preserve"> </w:t>
      </w:r>
      <w:r>
        <w:rPr>
          <w:rFonts w:ascii="SimSun" w:hAnsi="SimSun" w:eastAsia="SimSun" w:cs="SimSun"/>
          <w:sz w:val="24"/>
          <w:szCs w:val="24"/>
          <w:spacing w:val="11"/>
        </w:rPr>
        <w:t>，建筑面积为</w:t>
      </w:r>
      <w:r>
        <w:rPr>
          <w:rFonts w:ascii="SimSun" w:hAnsi="SimSun" w:eastAsia="SimSun" w:cs="SimSun"/>
          <w:sz w:val="24"/>
          <w:szCs w:val="24"/>
        </w:rPr>
        <w:t xml:space="preserve"> </w:t>
      </w:r>
      <w:r>
        <w:rPr>
          <w:rFonts w:ascii="Times New Roman" w:hAnsi="Times New Roman" w:eastAsia="Times New Roman" w:cs="Times New Roman"/>
          <w:sz w:val="24"/>
          <w:szCs w:val="24"/>
          <w:spacing w:val="7"/>
        </w:rPr>
        <w:t>15m</w:t>
      </w:r>
      <w:r>
        <w:rPr>
          <w:rFonts w:ascii="Times New Roman" w:hAnsi="Times New Roman" w:eastAsia="Times New Roman" w:cs="Times New Roman"/>
          <w:sz w:val="15"/>
          <w:szCs w:val="15"/>
          <w:spacing w:val="7"/>
          <w:position w:val="7"/>
        </w:rPr>
        <w:t>2 </w:t>
      </w:r>
      <w:r>
        <w:rPr>
          <w:rFonts w:ascii="SimSun" w:hAnsi="SimSun" w:eastAsia="SimSun" w:cs="SimSun"/>
          <w:sz w:val="24"/>
          <w:szCs w:val="24"/>
          <w:spacing w:val="7"/>
        </w:rPr>
        <w:t>，全封闭建设，用于储存废矿物油、废油桶废活性炭等。根据危险废物的 </w:t>
      </w:r>
      <w:r>
        <w:rPr>
          <w:rFonts w:ascii="SimSun" w:hAnsi="SimSun" w:eastAsia="SimSun" w:cs="SimSun"/>
          <w:sz w:val="24"/>
          <w:szCs w:val="24"/>
          <w:spacing w:val="3"/>
        </w:rPr>
        <w:t>性质，分区储存。要求危废暂存间内地面与裙脚应采取表</w:t>
      </w:r>
      <w:r>
        <w:rPr>
          <w:rFonts w:ascii="SimSun" w:hAnsi="SimSun" w:eastAsia="SimSun" w:cs="SimSun"/>
          <w:sz w:val="24"/>
          <w:szCs w:val="24"/>
          <w:spacing w:val="2"/>
        </w:rPr>
        <w:t>面防渗措施；表面防渗</w:t>
      </w:r>
      <w:r>
        <w:rPr>
          <w:rFonts w:ascii="SimSun" w:hAnsi="SimSun" w:eastAsia="SimSun" w:cs="SimSun"/>
          <w:sz w:val="24"/>
          <w:szCs w:val="24"/>
        </w:rPr>
        <w:t xml:space="preserve"> </w:t>
      </w:r>
      <w:r>
        <w:rPr>
          <w:rFonts w:ascii="SimSun" w:hAnsi="SimSun" w:eastAsia="SimSun" w:cs="SimSun"/>
          <w:sz w:val="24"/>
          <w:szCs w:val="24"/>
          <w:spacing w:val="3"/>
        </w:rPr>
        <w:t>材料应与所接触的物料或污染物相容，贮存的危险废物</w:t>
      </w:r>
      <w:r>
        <w:rPr>
          <w:rFonts w:ascii="SimSun" w:hAnsi="SimSun" w:eastAsia="SimSun" w:cs="SimSun"/>
          <w:sz w:val="24"/>
          <w:szCs w:val="24"/>
          <w:spacing w:val="2"/>
        </w:rPr>
        <w:t>直接接触地面的，还应进</w:t>
      </w:r>
      <w:r>
        <w:rPr>
          <w:rFonts w:ascii="SimSun" w:hAnsi="SimSun" w:eastAsia="SimSun" w:cs="SimSun"/>
          <w:sz w:val="24"/>
          <w:szCs w:val="24"/>
        </w:rPr>
        <w:t xml:space="preserve"> </w:t>
      </w:r>
      <w:r>
        <w:rPr>
          <w:rFonts w:ascii="SimSun" w:hAnsi="SimSun" w:eastAsia="SimSun" w:cs="SimSun"/>
          <w:sz w:val="24"/>
          <w:szCs w:val="24"/>
          <w:spacing w:val="-6"/>
        </w:rPr>
        <w:t>行基础防渗，防渗层为至少</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6"/>
        </w:rPr>
        <w:t>1m</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6"/>
        </w:rPr>
        <w:t>厚黏土层（渗透系数不大</w:t>
      </w:r>
      <w:r>
        <w:rPr>
          <w:rFonts w:ascii="SimSun" w:hAnsi="SimSun" w:eastAsia="SimSun" w:cs="SimSun"/>
          <w:sz w:val="24"/>
          <w:szCs w:val="24"/>
          <w:spacing w:val="-7"/>
        </w:rPr>
        <w:t>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10</w:t>
      </w:r>
      <w:r>
        <w:rPr>
          <w:rFonts w:ascii="Times New Roman" w:hAnsi="Times New Roman" w:eastAsia="Times New Roman" w:cs="Times New Roman"/>
          <w:sz w:val="15"/>
          <w:szCs w:val="15"/>
          <w:spacing w:val="-7"/>
          <w:position w:val="8"/>
        </w:rPr>
        <w:t>-7</w:t>
      </w:r>
      <w:r>
        <w:rPr>
          <w:rFonts w:ascii="Times New Roman" w:hAnsi="Times New Roman" w:eastAsia="Times New Roman" w:cs="Times New Roman"/>
          <w:sz w:val="24"/>
          <w:szCs w:val="24"/>
          <w:spacing w:val="-7"/>
        </w:rPr>
        <w:t>cm/s</w:t>
      </w:r>
      <w:r>
        <w:rPr>
          <w:rFonts w:ascii="SimSun" w:hAnsi="SimSun" w:eastAsia="SimSun" w:cs="SimSun"/>
          <w:sz w:val="24"/>
          <w:szCs w:val="24"/>
          <w:spacing w:val="-59"/>
          <w:w w:val="94"/>
        </w:rPr>
        <w:t>），</w:t>
      </w:r>
      <w:r>
        <w:rPr>
          <w:rFonts w:ascii="SimSun" w:hAnsi="SimSun" w:eastAsia="SimSun" w:cs="SimSun"/>
          <w:sz w:val="24"/>
          <w:szCs w:val="24"/>
          <w:spacing w:val="-7"/>
        </w:rPr>
        <w:t>或至少</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2mm</w:t>
      </w:r>
    </w:p>
    <w:p>
      <w:pPr>
        <w:ind w:left="7"/>
        <w:spacing w:before="209" w:line="227" w:lineRule="auto"/>
        <w:rPr>
          <w:rFonts w:ascii="SimSun" w:hAnsi="SimSun" w:eastAsia="SimSun" w:cs="SimSun"/>
          <w:sz w:val="19"/>
          <w:szCs w:val="19"/>
        </w:rPr>
      </w:pPr>
      <w:r>
        <w:pict>
          <v:shape id="_x0000_s1018" style="position:absolute;margin-left:159.33pt;margin-top:9.44925pt;mso-position-vertical-relative:text;mso-position-horizontal-relative:text;width:61pt;height:13.75pt;z-index:252146688;"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217</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1"/>
          <w:footerReference w:type="default" r:id="rId3"/>
          <w:pgSz w:w="11907" w:h="16840"/>
          <w:pgMar w:top="1567" w:right="1621" w:bottom="400" w:left="1701" w:header="1221" w:footer="0" w:gutter="0"/>
        </w:sectPr>
        <w:rPr>
          <w:rFonts w:ascii="SimSun" w:hAnsi="SimSun" w:eastAsia="SimSun" w:cs="SimSun"/>
          <w:sz w:val="19"/>
          <w:szCs w:val="19"/>
        </w:rPr>
      </w:pPr>
    </w:p>
    <w:p>
      <w:pPr>
        <w:ind w:left="2" w:right="18" w:firstLine="12"/>
        <w:spacing w:before="170" w:line="359" w:lineRule="auto"/>
        <w:rPr>
          <w:rFonts w:ascii="SimSun" w:hAnsi="SimSun" w:eastAsia="SimSun" w:cs="SimSun"/>
          <w:sz w:val="24"/>
          <w:szCs w:val="24"/>
        </w:rPr>
      </w:pPr>
      <w:r>
        <w:pict>
          <v:shape id="_x0000_s1020" style="position:absolute;margin-left:85.05pt;margin-top:78.87pt;mso-position-vertical-relative:page;mso-position-horizontal-relative:page;width:425.25pt;height:0.75pt;z-index:252149760;" o:allowincell="f" fillcolor="#000000" filled="true" stroked="false" coordsize="8505,15" coordorigin="0,0" path="m,l8505,0l8505,14l0,14l0,0xe"/>
        </w:pict>
      </w:r>
      <w:r>
        <w:rPr>
          <w:rFonts w:ascii="SimSun" w:hAnsi="SimSun" w:eastAsia="SimSun" w:cs="SimSun"/>
          <w:sz w:val="24"/>
          <w:szCs w:val="24"/>
          <w:spacing w:val="1"/>
        </w:rPr>
        <w:t>厚高密度聚乙烯膜等人工防渗材料（渗透系数不大于</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
        </w:rPr>
        <w:t>10</w:t>
      </w:r>
      <w:r>
        <w:rPr>
          <w:rFonts w:ascii="Times New Roman" w:hAnsi="Times New Roman" w:eastAsia="Times New Roman" w:cs="Times New Roman"/>
          <w:sz w:val="15"/>
          <w:szCs w:val="15"/>
          <w:spacing w:val="1"/>
          <w:position w:val="8"/>
        </w:rPr>
        <w:t>-10</w:t>
      </w:r>
      <w:r>
        <w:rPr>
          <w:rFonts w:ascii="Times New Roman" w:hAnsi="Times New Roman" w:eastAsia="Times New Roman" w:cs="Times New Roman"/>
          <w:sz w:val="24"/>
          <w:szCs w:val="24"/>
        </w:rPr>
        <w:t>cm</w:t>
      </w:r>
      <w:r>
        <w:rPr>
          <w:rFonts w:ascii="Times New Roman" w:hAnsi="Times New Roman" w:eastAsia="Times New Roman" w:cs="Times New Roman"/>
          <w:sz w:val="24"/>
          <w:szCs w:val="24"/>
          <w:spacing w:val="1"/>
        </w:rPr>
        <w:t>/s</w:t>
      </w:r>
      <w:r>
        <w:rPr>
          <w:rFonts w:ascii="SimSun" w:hAnsi="SimSun" w:eastAsia="SimSun" w:cs="SimSun"/>
          <w:sz w:val="24"/>
          <w:szCs w:val="24"/>
          <w:spacing w:val="13"/>
        </w:rPr>
        <w:t>），</w:t>
      </w:r>
      <w:r>
        <w:rPr>
          <w:rFonts w:ascii="SimSun" w:hAnsi="SimSun" w:eastAsia="SimSun" w:cs="SimSun"/>
          <w:sz w:val="24"/>
          <w:szCs w:val="24"/>
          <w:spacing w:val="1"/>
        </w:rPr>
        <w:t>或其他防渗性</w:t>
      </w:r>
      <w:r>
        <w:rPr>
          <w:rFonts w:ascii="SimSun" w:hAnsi="SimSun" w:eastAsia="SimSun" w:cs="SimSun"/>
          <w:sz w:val="24"/>
          <w:szCs w:val="24"/>
        </w:rPr>
        <w:t xml:space="preserve"> </w:t>
      </w:r>
      <w:r>
        <w:rPr>
          <w:rFonts w:ascii="SimSun" w:hAnsi="SimSun" w:eastAsia="SimSun" w:cs="SimSun"/>
          <w:sz w:val="24"/>
          <w:szCs w:val="24"/>
          <w:spacing w:val="3"/>
        </w:rPr>
        <w:t>能等效的材料。贮存库内不同贮存分区之间应采取隔离措施。隔离措施可</w:t>
      </w:r>
      <w:r>
        <w:rPr>
          <w:rFonts w:ascii="SimSun" w:hAnsi="SimSun" w:eastAsia="SimSun" w:cs="SimSun"/>
          <w:sz w:val="24"/>
          <w:szCs w:val="24"/>
          <w:spacing w:val="2"/>
        </w:rPr>
        <w:t>根据危</w:t>
      </w:r>
      <w:r>
        <w:rPr>
          <w:rFonts w:ascii="SimSun" w:hAnsi="SimSun" w:eastAsia="SimSun" w:cs="SimSun"/>
          <w:sz w:val="24"/>
          <w:szCs w:val="24"/>
        </w:rPr>
        <w:t xml:space="preserve"> </w:t>
      </w:r>
      <w:r>
        <w:rPr>
          <w:rFonts w:ascii="SimSun" w:hAnsi="SimSun" w:eastAsia="SimSun" w:cs="SimSun"/>
          <w:sz w:val="24"/>
          <w:szCs w:val="24"/>
          <w:spacing w:val="-2"/>
        </w:rPr>
        <w:t>险废物特性采用过道、隔板或隔墙等方式。在贮存库内应具有液体</w:t>
      </w:r>
      <w:r>
        <w:rPr>
          <w:rFonts w:ascii="SimSun" w:hAnsi="SimSun" w:eastAsia="SimSun" w:cs="SimSun"/>
          <w:sz w:val="24"/>
          <w:szCs w:val="24"/>
          <w:spacing w:val="-3"/>
        </w:rPr>
        <w:t>泄漏堵截设施，</w:t>
      </w:r>
      <w:r>
        <w:rPr>
          <w:rFonts w:ascii="SimSun" w:hAnsi="SimSun" w:eastAsia="SimSun" w:cs="SimSun"/>
          <w:sz w:val="24"/>
          <w:szCs w:val="24"/>
        </w:rPr>
        <w:t xml:space="preserve"> </w:t>
      </w:r>
      <w:r>
        <w:rPr>
          <w:rFonts w:ascii="SimSun" w:hAnsi="SimSun" w:eastAsia="SimSun" w:cs="SimSun"/>
          <w:sz w:val="24"/>
          <w:szCs w:val="24"/>
          <w:spacing w:val="3"/>
        </w:rPr>
        <w:t>堵截设施最小容积不应低于对应贮存区域最大液态废物容器容积或液态废</w:t>
      </w:r>
      <w:r>
        <w:rPr>
          <w:rFonts w:ascii="SimSun" w:hAnsi="SimSun" w:eastAsia="SimSun" w:cs="SimSun"/>
          <w:sz w:val="24"/>
          <w:szCs w:val="24"/>
          <w:spacing w:val="2"/>
        </w:rPr>
        <w:t>物总储</w:t>
      </w:r>
      <w:r>
        <w:rPr>
          <w:rFonts w:ascii="SimSun" w:hAnsi="SimSun" w:eastAsia="SimSun" w:cs="SimSun"/>
          <w:sz w:val="24"/>
          <w:szCs w:val="24"/>
        </w:rPr>
        <w:t xml:space="preserve"> </w:t>
      </w:r>
      <w:r>
        <w:rPr>
          <w:rFonts w:ascii="SimSun" w:hAnsi="SimSun" w:eastAsia="SimSun" w:cs="SimSun"/>
          <w:sz w:val="24"/>
          <w:szCs w:val="24"/>
          <w:spacing w:val="1"/>
        </w:rPr>
        <w:t>量</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1"/>
        </w:rPr>
        <w:t>1/10</w:t>
      </w:r>
      <w:r>
        <w:rPr>
          <w:rFonts w:ascii="SimSun" w:hAnsi="SimSun" w:eastAsia="SimSun" w:cs="SimSun"/>
          <w:sz w:val="24"/>
          <w:szCs w:val="24"/>
          <w:spacing w:val="1"/>
        </w:rPr>
        <w:t>（二者取较大者</w:t>
      </w:r>
      <w:r>
        <w:rPr>
          <w:rFonts w:ascii="SimSun" w:hAnsi="SimSun" w:eastAsia="SimSun" w:cs="SimSun"/>
          <w:sz w:val="24"/>
          <w:szCs w:val="24"/>
          <w:spacing w:val="13"/>
        </w:rPr>
        <w:t>）；</w:t>
      </w:r>
      <w:r>
        <w:rPr>
          <w:rFonts w:ascii="SimSun" w:hAnsi="SimSun" w:eastAsia="SimSun" w:cs="SimSun"/>
          <w:sz w:val="24"/>
          <w:szCs w:val="24"/>
          <w:spacing w:val="1"/>
        </w:rPr>
        <w:t>用于贮存可能产生渗滤液的危险废物的贮存库或贮存</w:t>
      </w:r>
      <w:r>
        <w:rPr>
          <w:rFonts w:ascii="SimSun" w:hAnsi="SimSun" w:eastAsia="SimSun" w:cs="SimSun"/>
          <w:sz w:val="24"/>
          <w:szCs w:val="24"/>
        </w:rPr>
        <w:t xml:space="preserve"> </w:t>
      </w:r>
      <w:r>
        <w:rPr>
          <w:rFonts w:ascii="SimSun" w:hAnsi="SimSun" w:eastAsia="SimSun" w:cs="SimSun"/>
          <w:sz w:val="24"/>
          <w:szCs w:val="24"/>
          <w:spacing w:val="3"/>
        </w:rPr>
        <w:t>分区应设计渗滤液收集设施，收集设施容积应满足渗滤液的收集要求。在</w:t>
      </w:r>
      <w:r>
        <w:rPr>
          <w:rFonts w:ascii="SimSun" w:hAnsi="SimSun" w:eastAsia="SimSun" w:cs="SimSun"/>
          <w:sz w:val="24"/>
          <w:szCs w:val="24"/>
          <w:spacing w:val="2"/>
        </w:rPr>
        <w:t>常温常</w:t>
      </w:r>
      <w:r>
        <w:rPr>
          <w:rFonts w:ascii="SimSun" w:hAnsi="SimSun" w:eastAsia="SimSun" w:cs="SimSun"/>
          <w:sz w:val="24"/>
          <w:szCs w:val="24"/>
        </w:rPr>
        <w:t xml:space="preserve"> </w:t>
      </w:r>
      <w:r>
        <w:rPr>
          <w:rFonts w:ascii="SimSun" w:hAnsi="SimSun" w:eastAsia="SimSun" w:cs="SimSun"/>
          <w:sz w:val="24"/>
          <w:szCs w:val="24"/>
          <w:spacing w:val="3"/>
        </w:rPr>
        <w:t>压下不易水解、不易挥发的固态危险废物可分类堆放贮存，其他固态危险</w:t>
      </w:r>
      <w:r>
        <w:rPr>
          <w:rFonts w:ascii="SimSun" w:hAnsi="SimSun" w:eastAsia="SimSun" w:cs="SimSun"/>
          <w:sz w:val="24"/>
          <w:szCs w:val="24"/>
          <w:spacing w:val="2"/>
        </w:rPr>
        <w:t>废物应</w:t>
      </w:r>
      <w:r>
        <w:rPr>
          <w:rFonts w:ascii="SimSun" w:hAnsi="SimSun" w:eastAsia="SimSun" w:cs="SimSun"/>
          <w:sz w:val="24"/>
          <w:szCs w:val="24"/>
        </w:rPr>
        <w:t xml:space="preserve"> </w:t>
      </w:r>
      <w:r>
        <w:rPr>
          <w:rFonts w:ascii="SimSun" w:hAnsi="SimSun" w:eastAsia="SimSun" w:cs="SimSun"/>
          <w:sz w:val="24"/>
          <w:szCs w:val="24"/>
          <w:spacing w:val="-2"/>
        </w:rPr>
        <w:t>装入容器或包装物内贮存。液态危险废物应装入容器内贮存。贮存</w:t>
      </w:r>
      <w:r>
        <w:rPr>
          <w:rFonts w:ascii="SimSun" w:hAnsi="SimSun" w:eastAsia="SimSun" w:cs="SimSun"/>
          <w:sz w:val="24"/>
          <w:szCs w:val="24"/>
          <w:spacing w:val="-3"/>
        </w:rPr>
        <w:t>设施运行期间，</w:t>
      </w:r>
      <w:r>
        <w:rPr>
          <w:rFonts w:ascii="SimSun" w:hAnsi="SimSun" w:eastAsia="SimSun" w:cs="SimSun"/>
          <w:sz w:val="24"/>
          <w:szCs w:val="24"/>
        </w:rPr>
        <w:t xml:space="preserve"> </w:t>
      </w:r>
      <w:r>
        <w:rPr>
          <w:rFonts w:ascii="SimSun" w:hAnsi="SimSun" w:eastAsia="SimSun" w:cs="SimSun"/>
          <w:sz w:val="24"/>
          <w:szCs w:val="24"/>
          <w:spacing w:val="3"/>
        </w:rPr>
        <w:t>应按国家有关标准和规定建立危险废物管理台账并保存。贮存设施所有者</w:t>
      </w:r>
      <w:r>
        <w:rPr>
          <w:rFonts w:ascii="SimSun" w:hAnsi="SimSun" w:eastAsia="SimSun" w:cs="SimSun"/>
          <w:sz w:val="24"/>
          <w:szCs w:val="24"/>
          <w:spacing w:val="2"/>
        </w:rPr>
        <w:t>或运营</w:t>
      </w:r>
      <w:r>
        <w:rPr>
          <w:rFonts w:ascii="SimSun" w:hAnsi="SimSun" w:eastAsia="SimSun" w:cs="SimSun"/>
          <w:sz w:val="24"/>
          <w:szCs w:val="24"/>
        </w:rPr>
        <w:t xml:space="preserve"> </w:t>
      </w:r>
      <w:r>
        <w:rPr>
          <w:rFonts w:ascii="SimSun" w:hAnsi="SimSun" w:eastAsia="SimSun" w:cs="SimSun"/>
          <w:sz w:val="24"/>
          <w:szCs w:val="24"/>
          <w:spacing w:val="4"/>
        </w:rPr>
        <w:t>者应建立贮存设施环境管理制度、管理人员岗位职责</w:t>
      </w:r>
      <w:r>
        <w:rPr>
          <w:rFonts w:ascii="SimSun" w:hAnsi="SimSun" w:eastAsia="SimSun" w:cs="SimSun"/>
          <w:sz w:val="24"/>
          <w:szCs w:val="24"/>
          <w:spacing w:val="3"/>
        </w:rPr>
        <w:t>制度、设施运行操作制度、</w:t>
      </w:r>
      <w:r>
        <w:rPr>
          <w:rFonts w:ascii="SimSun" w:hAnsi="SimSun" w:eastAsia="SimSun" w:cs="SimSun"/>
          <w:sz w:val="24"/>
          <w:szCs w:val="24"/>
        </w:rPr>
        <w:t xml:space="preserve"> </w:t>
      </w:r>
      <w:r>
        <w:rPr>
          <w:rFonts w:ascii="SimSun" w:hAnsi="SimSun" w:eastAsia="SimSun" w:cs="SimSun"/>
          <w:sz w:val="24"/>
          <w:szCs w:val="24"/>
          <w:spacing w:val="3"/>
        </w:rPr>
        <w:t>人员岗位培训制度等。贮存设施应采取技术和管理措施防止无关人员进入</w:t>
      </w:r>
      <w:r>
        <w:rPr>
          <w:rFonts w:ascii="SimSun" w:hAnsi="SimSun" w:eastAsia="SimSun" w:cs="SimSun"/>
          <w:sz w:val="24"/>
          <w:szCs w:val="24"/>
          <w:spacing w:val="2"/>
        </w:rPr>
        <w:t>。本项</w:t>
      </w:r>
      <w:r>
        <w:rPr>
          <w:rFonts w:ascii="SimSun" w:hAnsi="SimSun" w:eastAsia="SimSun" w:cs="SimSun"/>
          <w:sz w:val="24"/>
          <w:szCs w:val="24"/>
        </w:rPr>
        <w:t xml:space="preserve"> </w:t>
      </w:r>
      <w:r>
        <w:rPr>
          <w:rFonts w:ascii="SimSun" w:hAnsi="SimSun" w:eastAsia="SimSun" w:cs="SimSun"/>
          <w:sz w:val="24"/>
          <w:szCs w:val="24"/>
          <w:spacing w:val="-1"/>
        </w:rPr>
        <w:t>目产生及厂区现有各类危险废物均不易产生粉尘、</w:t>
      </w:r>
      <w:r>
        <w:rPr>
          <w:rFonts w:ascii="Times New Roman" w:hAnsi="Times New Roman" w:eastAsia="Times New Roman" w:cs="Times New Roman"/>
          <w:sz w:val="24"/>
          <w:szCs w:val="24"/>
          <w:spacing w:val="-1"/>
        </w:rPr>
        <w:t>VOC</w:t>
      </w:r>
      <w:r>
        <w:rPr>
          <w:rFonts w:ascii="Times New Roman" w:hAnsi="Times New Roman" w:eastAsia="Times New Roman" w:cs="Times New Roman"/>
          <w:sz w:val="24"/>
          <w:szCs w:val="24"/>
          <w:spacing w:val="-2"/>
        </w:rPr>
        <w:t>s</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、酸雾、有毒有害大气污</w:t>
      </w:r>
      <w:r>
        <w:rPr>
          <w:rFonts w:ascii="SimSun" w:hAnsi="SimSun" w:eastAsia="SimSun" w:cs="SimSun"/>
          <w:sz w:val="24"/>
          <w:szCs w:val="24"/>
        </w:rPr>
        <w:t xml:space="preserve"> </w:t>
      </w:r>
      <w:r>
        <w:rPr>
          <w:rFonts w:ascii="SimSun" w:hAnsi="SimSun" w:eastAsia="SimSun" w:cs="SimSun"/>
          <w:sz w:val="24"/>
          <w:szCs w:val="24"/>
          <w:spacing w:val="3"/>
        </w:rPr>
        <w:t>染物和刺激性气味气体，废矿物油在密封油桶内暂存，且存在量较少</w:t>
      </w:r>
      <w:r>
        <w:rPr>
          <w:rFonts w:ascii="SimSun" w:hAnsi="SimSun" w:eastAsia="SimSun" w:cs="SimSun"/>
          <w:sz w:val="24"/>
          <w:szCs w:val="24"/>
          <w:spacing w:val="2"/>
        </w:rPr>
        <w:t>，不会产生</w:t>
      </w:r>
      <w:r>
        <w:rPr>
          <w:rFonts w:ascii="SimSun" w:hAnsi="SimSun" w:eastAsia="SimSun" w:cs="SimSun"/>
          <w:sz w:val="24"/>
          <w:szCs w:val="24"/>
        </w:rPr>
        <w:t xml:space="preserve"> </w:t>
      </w:r>
      <w:r>
        <w:rPr>
          <w:rFonts w:ascii="Times New Roman" w:hAnsi="Times New Roman" w:eastAsia="Times New Roman" w:cs="Times New Roman"/>
          <w:sz w:val="24"/>
          <w:szCs w:val="24"/>
        </w:rPr>
        <w:t>VOCs</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废气排放，因此该危废暂存间未设置气体收集装置和气体净</w:t>
      </w:r>
      <w:r>
        <w:rPr>
          <w:rFonts w:ascii="SimSun" w:hAnsi="SimSun" w:eastAsia="SimSun" w:cs="SimSun"/>
          <w:sz w:val="24"/>
          <w:szCs w:val="24"/>
        </w:rPr>
        <w:t>化设施。</w:t>
      </w:r>
    </w:p>
    <w:p>
      <w:pPr>
        <w:ind w:left="9" w:right="18" w:firstLine="481"/>
        <w:spacing w:before="3" w:line="359" w:lineRule="auto"/>
        <w:jc w:val="both"/>
        <w:rPr>
          <w:rFonts w:ascii="SimSun" w:hAnsi="SimSun" w:eastAsia="SimSun" w:cs="SimSun"/>
          <w:sz w:val="24"/>
          <w:szCs w:val="24"/>
        </w:rPr>
      </w:pPr>
      <w:r>
        <w:rPr>
          <w:rFonts w:ascii="SimSun" w:hAnsi="SimSun" w:eastAsia="SimSun" w:cs="SimSun"/>
          <w:sz w:val="24"/>
          <w:szCs w:val="24"/>
          <w:spacing w:val="15"/>
        </w:rPr>
        <w:t>上述危险废物的贮存和转移应执行《危险废物贮存污染控</w:t>
      </w:r>
      <w:r>
        <w:rPr>
          <w:rFonts w:ascii="SimSun" w:hAnsi="SimSun" w:eastAsia="SimSun" w:cs="SimSun"/>
          <w:sz w:val="24"/>
          <w:szCs w:val="24"/>
          <w:spacing w:val="14"/>
        </w:rPr>
        <w:t>制标准》</w:t>
      </w:r>
      <w:r>
        <w:rPr>
          <w:rFonts w:ascii="SimSun" w:hAnsi="SimSun" w:eastAsia="SimSun" w:cs="SimSun"/>
          <w:sz w:val="24"/>
          <w:szCs w:val="24"/>
          <w:spacing w:val="-87"/>
        </w:rPr>
        <w:t xml:space="preserve"> </w:t>
      </w:r>
      <w:r>
        <w:rPr>
          <w:rFonts w:ascii="SimSun" w:hAnsi="SimSun" w:eastAsia="SimSun" w:cs="SimSun"/>
          <w:sz w:val="24"/>
          <w:szCs w:val="24"/>
          <w:spacing w:val="14"/>
        </w:rPr>
        <w:t>（</w:t>
      </w:r>
      <w:r>
        <w:rPr>
          <w:rFonts w:ascii="Times New Roman" w:hAnsi="Times New Roman" w:eastAsia="Times New Roman" w:cs="Times New Roman"/>
          <w:sz w:val="24"/>
          <w:szCs w:val="24"/>
        </w:rPr>
        <w:t>GB  </w:t>
      </w:r>
      <w:r>
        <w:rPr>
          <w:rFonts w:ascii="Times New Roman" w:hAnsi="Times New Roman" w:eastAsia="Times New Roman" w:cs="Times New Roman"/>
          <w:sz w:val="24"/>
          <w:szCs w:val="24"/>
          <w:spacing w:val="-3"/>
        </w:rPr>
        <w:t>18597-2023</w:t>
      </w:r>
      <w:r>
        <w:rPr>
          <w:rFonts w:ascii="SimSun" w:hAnsi="SimSun" w:eastAsia="SimSun" w:cs="SimSun"/>
          <w:sz w:val="24"/>
          <w:szCs w:val="24"/>
          <w:spacing w:val="-3"/>
        </w:rPr>
        <w:t>）的规定、《危险废物污染防治技术政策》和《危险废物转移联单管理</w:t>
      </w:r>
      <w:r>
        <w:rPr>
          <w:rFonts w:ascii="SimSun" w:hAnsi="SimSun" w:eastAsia="SimSun" w:cs="SimSun"/>
          <w:sz w:val="24"/>
          <w:szCs w:val="24"/>
          <w:spacing w:val="15"/>
        </w:rPr>
        <w:t xml:space="preserve"> </w:t>
      </w:r>
      <w:r>
        <w:rPr>
          <w:rFonts w:ascii="SimSun" w:hAnsi="SimSun" w:eastAsia="SimSun" w:cs="SimSun"/>
          <w:sz w:val="24"/>
          <w:szCs w:val="24"/>
          <w:spacing w:val="3"/>
        </w:rPr>
        <w:t>办法》中的有关规定。根据危险废物的产生量，合理安</w:t>
      </w:r>
      <w:r>
        <w:rPr>
          <w:rFonts w:ascii="SimSun" w:hAnsi="SimSun" w:eastAsia="SimSun" w:cs="SimSun"/>
          <w:sz w:val="24"/>
          <w:szCs w:val="24"/>
          <w:spacing w:val="2"/>
        </w:rPr>
        <w:t>排运输计划，运输危险废</w:t>
      </w:r>
      <w:r>
        <w:rPr>
          <w:rFonts w:ascii="SimSun" w:hAnsi="SimSun" w:eastAsia="SimSun" w:cs="SimSun"/>
          <w:sz w:val="24"/>
          <w:szCs w:val="24"/>
        </w:rPr>
        <w:t xml:space="preserve"> </w:t>
      </w:r>
      <w:r>
        <w:rPr>
          <w:rFonts w:ascii="SimSun" w:hAnsi="SimSun" w:eastAsia="SimSun" w:cs="SimSun"/>
          <w:sz w:val="24"/>
          <w:szCs w:val="24"/>
          <w:spacing w:val="3"/>
        </w:rPr>
        <w:t>物所用的车辆必须符合《危险化学品安全管理条例》的</w:t>
      </w:r>
      <w:r>
        <w:rPr>
          <w:rFonts w:ascii="SimSun" w:hAnsi="SimSun" w:eastAsia="SimSun" w:cs="SimSun"/>
          <w:sz w:val="24"/>
          <w:szCs w:val="24"/>
          <w:spacing w:val="2"/>
        </w:rPr>
        <w:t>管理规定。需持有运输许</w:t>
      </w:r>
      <w:r>
        <w:rPr>
          <w:rFonts w:ascii="SimSun" w:hAnsi="SimSun" w:eastAsia="SimSun" w:cs="SimSun"/>
          <w:sz w:val="24"/>
          <w:szCs w:val="24"/>
        </w:rPr>
        <w:t xml:space="preserve"> </w:t>
      </w:r>
      <w:r>
        <w:rPr>
          <w:rFonts w:ascii="SimSun" w:hAnsi="SimSun" w:eastAsia="SimSun" w:cs="SimSun"/>
          <w:sz w:val="24"/>
          <w:szCs w:val="24"/>
          <w:spacing w:val="-2"/>
        </w:rPr>
        <w:t>可证，其上应注明废物来源、性质运往地点。运输</w:t>
      </w:r>
      <w:r>
        <w:rPr>
          <w:rFonts w:ascii="SimSun" w:hAnsi="SimSun" w:eastAsia="SimSun" w:cs="SimSun"/>
          <w:sz w:val="24"/>
          <w:szCs w:val="24"/>
          <w:spacing w:val="-3"/>
        </w:rPr>
        <w:t>车辆应进行定期的维护和检查，</w:t>
      </w:r>
      <w:r>
        <w:rPr>
          <w:rFonts w:ascii="SimSun" w:hAnsi="SimSun" w:eastAsia="SimSun" w:cs="SimSun"/>
          <w:sz w:val="24"/>
          <w:szCs w:val="24"/>
        </w:rPr>
        <w:t xml:space="preserve"> </w:t>
      </w:r>
      <w:r>
        <w:rPr>
          <w:rFonts w:ascii="SimSun" w:hAnsi="SimSun" w:eastAsia="SimSun" w:cs="SimSun"/>
          <w:sz w:val="24"/>
          <w:szCs w:val="24"/>
          <w:spacing w:val="-1"/>
        </w:rPr>
        <w:t>防患于未然，保持车辆良好的工作状态。</w:t>
      </w:r>
    </w:p>
    <w:p>
      <w:pPr>
        <w:ind w:left="490"/>
        <w:spacing w:line="218" w:lineRule="auto"/>
        <w:rPr>
          <w:rFonts w:ascii="SimSun" w:hAnsi="SimSun" w:eastAsia="SimSun" w:cs="SimSun"/>
          <w:sz w:val="24"/>
          <w:szCs w:val="24"/>
        </w:rPr>
      </w:pPr>
      <w:r>
        <w:rPr>
          <w:rFonts w:ascii="SimSun" w:hAnsi="SimSun" w:eastAsia="SimSun" w:cs="SimSun"/>
          <w:sz w:val="24"/>
          <w:szCs w:val="24"/>
          <w:spacing w:val="-1"/>
        </w:rPr>
        <w:t>本项目产生的危险废物得到妥善处理，措施可行。</w:t>
      </w:r>
    </w:p>
    <w:p>
      <w:pPr>
        <w:ind w:left="14"/>
        <w:spacing w:before="307" w:line="222" w:lineRule="auto"/>
        <w:outlineLvl w:val="2"/>
        <w:rPr>
          <w:rFonts w:ascii="SimHei" w:hAnsi="SimHei" w:eastAsia="SimHei" w:cs="SimHei"/>
          <w:sz w:val="28"/>
          <w:szCs w:val="28"/>
        </w:rPr>
      </w:pPr>
      <w:bookmarkStart w:name="bookmark109" w:id="137"/>
      <w:bookmarkEnd w:id="137"/>
      <w:r>
        <w:rPr>
          <w:rFonts w:ascii="Times New Roman" w:hAnsi="Times New Roman" w:eastAsia="Times New Roman" w:cs="Times New Roman"/>
          <w:sz w:val="28"/>
          <w:szCs w:val="28"/>
          <w:spacing w:val="-1"/>
        </w:rPr>
        <w:t>5.5.3 </w:t>
      </w:r>
      <w:r>
        <w:rPr>
          <w:rFonts w:ascii="SimHei" w:hAnsi="SimHei" w:eastAsia="SimHei" w:cs="SimHei"/>
          <w:sz w:val="28"/>
          <w:szCs w:val="28"/>
          <w:spacing w:val="-1"/>
        </w:rPr>
        <w:t>其他固废治理措施</w:t>
      </w:r>
    </w:p>
    <w:p>
      <w:pPr>
        <w:pStyle w:val="BodyText"/>
        <w:spacing w:line="243" w:lineRule="auto"/>
        <w:rPr/>
      </w:pPr>
      <w:r/>
    </w:p>
    <w:p>
      <w:pPr>
        <w:ind w:left="8" w:right="138" w:firstLine="482"/>
        <w:spacing w:before="78" w:line="360" w:lineRule="auto"/>
        <w:rPr>
          <w:rFonts w:ascii="SimSun" w:hAnsi="SimSun" w:eastAsia="SimSun" w:cs="SimSun"/>
          <w:sz w:val="24"/>
          <w:szCs w:val="24"/>
        </w:rPr>
      </w:pPr>
      <w:r>
        <w:rPr>
          <w:rFonts w:ascii="SimSun" w:hAnsi="SimSun" w:eastAsia="SimSun" w:cs="SimSun"/>
          <w:sz w:val="24"/>
          <w:szCs w:val="24"/>
          <w:spacing w:val="1"/>
        </w:rPr>
        <w:t>本项目产生的生活垃圾在厂区内集中收集后，定期交由环卫部门定期清理，</w:t>
      </w:r>
      <w:r>
        <w:rPr>
          <w:rFonts w:ascii="SimSun" w:hAnsi="SimSun" w:eastAsia="SimSun" w:cs="SimSun"/>
          <w:sz w:val="24"/>
          <w:szCs w:val="24"/>
        </w:rPr>
        <w:t xml:space="preserve"> </w:t>
      </w:r>
      <w:r>
        <w:rPr>
          <w:rFonts w:ascii="SimSun" w:hAnsi="SimSun" w:eastAsia="SimSun" w:cs="SimSun"/>
          <w:sz w:val="24"/>
          <w:szCs w:val="24"/>
          <w:spacing w:val="-1"/>
        </w:rPr>
        <w:t>送往当地生活垃圾填埋场卫生填埋处理。</w:t>
      </w:r>
    </w:p>
    <w:p>
      <w:pPr>
        <w:ind w:left="14"/>
        <w:spacing w:before="122" w:line="222" w:lineRule="auto"/>
        <w:outlineLvl w:val="2"/>
        <w:rPr>
          <w:rFonts w:ascii="SimHei" w:hAnsi="SimHei" w:eastAsia="SimHei" w:cs="SimHei"/>
          <w:sz w:val="28"/>
          <w:szCs w:val="28"/>
        </w:rPr>
      </w:pPr>
      <w:bookmarkStart w:name="bookmark110" w:id="138"/>
      <w:bookmarkEnd w:id="138"/>
      <w:r>
        <w:rPr>
          <w:rFonts w:ascii="Times New Roman" w:hAnsi="Times New Roman" w:eastAsia="Times New Roman" w:cs="Times New Roman"/>
          <w:sz w:val="28"/>
          <w:szCs w:val="28"/>
          <w:spacing w:val="-2"/>
        </w:rPr>
        <w:t>5.5.4 </w:t>
      </w:r>
      <w:r>
        <w:rPr>
          <w:rFonts w:ascii="SimHei" w:hAnsi="SimHei" w:eastAsia="SimHei" w:cs="SimHei"/>
          <w:sz w:val="28"/>
          <w:szCs w:val="28"/>
          <w:spacing w:val="-2"/>
        </w:rPr>
        <w:t>环境影响分析</w:t>
      </w:r>
    </w:p>
    <w:p>
      <w:pPr>
        <w:pStyle w:val="BodyText"/>
        <w:spacing w:line="241" w:lineRule="auto"/>
        <w:rPr/>
      </w:pPr>
      <w:r/>
    </w:p>
    <w:p>
      <w:pPr>
        <w:ind w:left="10" w:firstLine="479"/>
        <w:spacing w:before="78" w:line="333" w:lineRule="auto"/>
        <w:rPr>
          <w:rFonts w:ascii="SimSun" w:hAnsi="SimSun" w:eastAsia="SimSun" w:cs="SimSun"/>
          <w:sz w:val="24"/>
          <w:szCs w:val="24"/>
        </w:rPr>
      </w:pPr>
      <w:r>
        <w:rPr>
          <w:rFonts w:ascii="SimSun" w:hAnsi="SimSun" w:eastAsia="SimSun" w:cs="SimSun"/>
          <w:sz w:val="24"/>
          <w:szCs w:val="24"/>
          <w:spacing w:val="3"/>
        </w:rPr>
        <w:t>通常固体废物中有害物质通过释放到水体、土壤和大气中而进入环</w:t>
      </w:r>
      <w:r>
        <w:rPr>
          <w:rFonts w:ascii="SimSun" w:hAnsi="SimSun" w:eastAsia="SimSun" w:cs="SimSun"/>
          <w:sz w:val="24"/>
          <w:szCs w:val="24"/>
          <w:spacing w:val="2"/>
        </w:rPr>
        <w:t>境，对环</w:t>
      </w:r>
      <w:r>
        <w:rPr>
          <w:rFonts w:ascii="SimSun" w:hAnsi="SimSun" w:eastAsia="SimSun" w:cs="SimSun"/>
          <w:sz w:val="24"/>
          <w:szCs w:val="24"/>
        </w:rPr>
        <w:t xml:space="preserve"> </w:t>
      </w:r>
      <w:r>
        <w:rPr>
          <w:rFonts w:ascii="SimSun" w:hAnsi="SimSun" w:eastAsia="SimSun" w:cs="SimSun"/>
          <w:sz w:val="24"/>
          <w:szCs w:val="24"/>
          <w:spacing w:val="-2"/>
        </w:rPr>
        <w:t>境造成影响，影响的程度取决于释放过程中污染物的转移量及其进入环境的浓度。</w:t>
      </w:r>
    </w:p>
    <w:p>
      <w:pPr>
        <w:spacing w:line="333" w:lineRule="auto"/>
        <w:sectPr>
          <w:footerReference w:type="default" r:id="rId298"/>
          <w:pgSz w:w="11907" w:h="16840"/>
          <w:pgMar w:top="1567" w:right="1621" w:bottom="1921" w:left="1701" w:header="1221" w:footer="1247" w:gutter="0"/>
        </w:sectPr>
        <w:rPr>
          <w:rFonts w:ascii="SimSun" w:hAnsi="SimSun" w:eastAsia="SimSun" w:cs="SimSun"/>
          <w:sz w:val="24"/>
          <w:szCs w:val="24"/>
        </w:rPr>
      </w:pPr>
    </w:p>
    <w:p>
      <w:pPr>
        <w:ind w:left="46" w:firstLine="1"/>
        <w:spacing w:before="187" w:line="359" w:lineRule="auto"/>
        <w:jc w:val="both"/>
        <w:rPr>
          <w:rFonts w:ascii="SimSun" w:hAnsi="SimSun" w:eastAsia="SimSun" w:cs="SimSun"/>
          <w:sz w:val="24"/>
          <w:szCs w:val="24"/>
        </w:rPr>
      </w:pPr>
      <w:r>
        <w:pict>
          <v:shape id="_x0000_s1024" style="position:absolute;margin-left:85.05pt;margin-top:79.11pt;mso-position-vertical-relative:page;mso-position-horizontal-relative:page;width:425.25pt;height:0.75pt;z-index:252153856;" o:allowincell="f" fillcolor="#000000" filled="true" stroked="false" coordsize="8505,15" coordorigin="0,0" path="m,l8505,0l8505,14l0,14l0,0xe"/>
        </w:pict>
      </w:r>
      <w:r>
        <w:rPr>
          <w:rFonts w:ascii="SimSun" w:hAnsi="SimSun" w:eastAsia="SimSun" w:cs="SimSun"/>
          <w:sz w:val="24"/>
          <w:szCs w:val="24"/>
          <w:spacing w:val="3"/>
        </w:rPr>
        <w:t>根据对本项目各类固体废物处置分析可以看出，本项目</w:t>
      </w:r>
      <w:r>
        <w:rPr>
          <w:rFonts w:ascii="SimSun" w:hAnsi="SimSun" w:eastAsia="SimSun" w:cs="SimSun"/>
          <w:sz w:val="24"/>
          <w:szCs w:val="24"/>
          <w:spacing w:val="2"/>
        </w:rPr>
        <w:t>的固体废物都有相应的处</w:t>
      </w:r>
      <w:r>
        <w:rPr>
          <w:rFonts w:ascii="SimSun" w:hAnsi="SimSun" w:eastAsia="SimSun" w:cs="SimSun"/>
          <w:sz w:val="24"/>
          <w:szCs w:val="24"/>
        </w:rPr>
        <w:t xml:space="preserve">  </w:t>
      </w:r>
      <w:r>
        <w:rPr>
          <w:rFonts w:ascii="SimSun" w:hAnsi="SimSun" w:eastAsia="SimSun" w:cs="SimSun"/>
          <w:sz w:val="24"/>
          <w:szCs w:val="24"/>
          <w:spacing w:val="3"/>
        </w:rPr>
        <w:t>置方案，为了减少固废在临时储存和运输中对环境产生的不</w:t>
      </w:r>
      <w:r>
        <w:rPr>
          <w:rFonts w:ascii="SimSun" w:hAnsi="SimSun" w:eastAsia="SimSun" w:cs="SimSun"/>
          <w:sz w:val="24"/>
          <w:szCs w:val="24"/>
          <w:spacing w:val="2"/>
        </w:rPr>
        <w:t>利影响，要求在储存</w:t>
      </w:r>
      <w:r>
        <w:rPr>
          <w:rFonts w:ascii="SimSun" w:hAnsi="SimSun" w:eastAsia="SimSun" w:cs="SimSun"/>
          <w:sz w:val="24"/>
          <w:szCs w:val="24"/>
        </w:rPr>
        <w:t xml:space="preserve">  </w:t>
      </w:r>
      <w:r>
        <w:rPr>
          <w:rFonts w:ascii="SimSun" w:hAnsi="SimSun" w:eastAsia="SimSun" w:cs="SimSun"/>
          <w:sz w:val="24"/>
          <w:szCs w:val="24"/>
          <w:spacing w:val="3"/>
        </w:rPr>
        <w:t>和运输过程中应严禁跑、冒、滴、漏现象的发生，并严</w:t>
      </w:r>
      <w:r>
        <w:rPr>
          <w:rFonts w:ascii="SimSun" w:hAnsi="SimSun" w:eastAsia="SimSun" w:cs="SimSun"/>
          <w:sz w:val="24"/>
          <w:szCs w:val="24"/>
          <w:spacing w:val="2"/>
        </w:rPr>
        <w:t>格按照《一般工业固体废</w:t>
      </w:r>
      <w:r>
        <w:rPr>
          <w:rFonts w:ascii="SimSun" w:hAnsi="SimSun" w:eastAsia="SimSun" w:cs="SimSun"/>
          <w:sz w:val="24"/>
          <w:szCs w:val="24"/>
        </w:rPr>
        <w:t xml:space="preserve">  </w:t>
      </w:r>
      <w:r>
        <w:rPr>
          <w:rFonts w:ascii="SimSun" w:hAnsi="SimSun" w:eastAsia="SimSun" w:cs="SimSun"/>
          <w:sz w:val="24"/>
          <w:szCs w:val="24"/>
          <w:spacing w:val="-4"/>
        </w:rPr>
        <w:t>物贮存和填埋污染控制标准》（</w:t>
      </w:r>
      <w:r>
        <w:rPr>
          <w:rFonts w:ascii="Times New Roman" w:hAnsi="Times New Roman" w:eastAsia="Times New Roman" w:cs="Times New Roman"/>
          <w:sz w:val="24"/>
          <w:szCs w:val="24"/>
          <w:spacing w:val="-4"/>
        </w:rPr>
        <w:t>GB</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4"/>
        </w:rPr>
        <w:t>18599-2020</w:t>
      </w:r>
      <w:r>
        <w:rPr>
          <w:rFonts w:ascii="SimSun" w:hAnsi="SimSun" w:eastAsia="SimSun" w:cs="SimSun"/>
          <w:sz w:val="24"/>
          <w:szCs w:val="24"/>
          <w:spacing w:val="-4"/>
        </w:rPr>
        <w:t>）及</w:t>
      </w:r>
      <w:r>
        <w:rPr>
          <w:rFonts w:ascii="SimSun" w:hAnsi="SimSun" w:eastAsia="SimSun" w:cs="SimSun"/>
          <w:sz w:val="24"/>
          <w:szCs w:val="24"/>
          <w:spacing w:val="-5"/>
        </w:rPr>
        <w:t>《危险废物贮存污染控制标准》</w:t>
      </w:r>
      <w:r>
        <w:rPr>
          <w:rFonts w:ascii="SimSun" w:hAnsi="SimSun" w:eastAsia="SimSun" w:cs="SimSun"/>
          <w:sz w:val="24"/>
          <w:szCs w:val="24"/>
        </w:rPr>
        <w:t xml:space="preserve"> </w:t>
      </w:r>
      <w:r>
        <w:rPr>
          <w:rFonts w:ascii="SimSun" w:hAnsi="SimSun" w:eastAsia="SimSun" w:cs="SimSun"/>
          <w:sz w:val="24"/>
          <w:szCs w:val="24"/>
        </w:rPr>
        <w:t>（</w:t>
      </w:r>
      <w:r>
        <w:rPr>
          <w:rFonts w:ascii="Times New Roman" w:hAnsi="Times New Roman" w:eastAsia="Times New Roman" w:cs="Times New Roman"/>
          <w:sz w:val="24"/>
          <w:szCs w:val="24"/>
        </w:rPr>
        <w:t>GB18597-2023</w:t>
      </w:r>
      <w:r>
        <w:rPr>
          <w:rFonts w:ascii="SimSun" w:hAnsi="SimSun" w:eastAsia="SimSun" w:cs="SimSun"/>
          <w:sz w:val="24"/>
          <w:szCs w:val="24"/>
        </w:rPr>
        <w:t>）要求建设固废临时储存场所，以免</w:t>
      </w:r>
      <w:r>
        <w:rPr>
          <w:rFonts w:ascii="SimSun" w:hAnsi="SimSun" w:eastAsia="SimSun" w:cs="SimSun"/>
          <w:sz w:val="24"/>
          <w:szCs w:val="24"/>
          <w:spacing w:val="-1"/>
        </w:rPr>
        <w:t>造成对环境的影响。</w:t>
      </w:r>
    </w:p>
    <w:p>
      <w:pPr>
        <w:ind w:left="47" w:right="103" w:firstLine="483"/>
        <w:spacing w:before="1" w:line="361" w:lineRule="auto"/>
        <w:rPr>
          <w:rFonts w:ascii="SimSun" w:hAnsi="SimSun" w:eastAsia="SimSun" w:cs="SimSun"/>
          <w:sz w:val="24"/>
          <w:szCs w:val="24"/>
        </w:rPr>
      </w:pPr>
      <w:r>
        <w:rPr>
          <w:rFonts w:ascii="SimSun" w:hAnsi="SimSun" w:eastAsia="SimSun" w:cs="SimSun"/>
          <w:sz w:val="24"/>
          <w:szCs w:val="24"/>
          <w:spacing w:val="3"/>
        </w:rPr>
        <w:t>综上，本项目的固体废物都有相应的处置方案，并且对固废</w:t>
      </w:r>
      <w:r>
        <w:rPr>
          <w:rFonts w:ascii="SimSun" w:hAnsi="SimSun" w:eastAsia="SimSun" w:cs="SimSun"/>
          <w:sz w:val="24"/>
          <w:szCs w:val="24"/>
          <w:spacing w:val="2"/>
        </w:rPr>
        <w:t>的临时储存和运</w:t>
      </w:r>
      <w:r>
        <w:rPr>
          <w:rFonts w:ascii="SimSun" w:hAnsi="SimSun" w:eastAsia="SimSun" w:cs="SimSun"/>
          <w:sz w:val="24"/>
          <w:szCs w:val="24"/>
        </w:rPr>
        <w:t xml:space="preserve"> </w:t>
      </w:r>
      <w:r>
        <w:rPr>
          <w:rFonts w:ascii="SimSun" w:hAnsi="SimSun" w:eastAsia="SimSun" w:cs="SimSun"/>
          <w:sz w:val="24"/>
          <w:szCs w:val="24"/>
        </w:rPr>
        <w:t>输采取了相应的污染防治措施，因此本项目</w:t>
      </w:r>
      <w:r>
        <w:rPr>
          <w:rFonts w:ascii="SimSun" w:hAnsi="SimSun" w:eastAsia="SimSun" w:cs="SimSun"/>
          <w:sz w:val="24"/>
          <w:szCs w:val="24"/>
          <w:spacing w:val="-1"/>
        </w:rPr>
        <w:t>固废对环境影响较小。</w:t>
      </w:r>
    </w:p>
    <w:p>
      <w:pPr>
        <w:ind w:left="53"/>
        <w:spacing w:before="159" w:line="222" w:lineRule="auto"/>
        <w:outlineLvl w:val="1"/>
        <w:rPr>
          <w:rFonts w:ascii="SimHei" w:hAnsi="SimHei" w:eastAsia="SimHei" w:cs="SimHei"/>
          <w:sz w:val="30"/>
          <w:szCs w:val="30"/>
        </w:rPr>
      </w:pPr>
      <w:bookmarkStart w:name="bookmark111" w:id="139"/>
      <w:bookmarkEnd w:id="139"/>
      <w:r>
        <w:rPr>
          <w:rFonts w:ascii="Times New Roman" w:hAnsi="Times New Roman" w:eastAsia="Times New Roman" w:cs="Times New Roman"/>
          <w:sz w:val="30"/>
          <w:szCs w:val="30"/>
          <w:spacing w:val="-2"/>
        </w:rPr>
        <w:t>5.6 </w:t>
      </w:r>
      <w:r>
        <w:rPr>
          <w:rFonts w:ascii="SimHei" w:hAnsi="SimHei" w:eastAsia="SimHei" w:cs="SimHei"/>
          <w:sz w:val="30"/>
          <w:szCs w:val="30"/>
          <w:spacing w:val="-2"/>
        </w:rPr>
        <w:t>土壤环境影响分析</w:t>
      </w:r>
    </w:p>
    <w:p>
      <w:pPr>
        <w:pStyle w:val="BodyText"/>
        <w:spacing w:line="281" w:lineRule="auto"/>
        <w:rPr/>
      </w:pPr>
      <w:r/>
    </w:p>
    <w:p>
      <w:pPr>
        <w:ind w:left="52"/>
        <w:spacing w:before="91" w:line="222" w:lineRule="auto"/>
        <w:outlineLvl w:val="2"/>
        <w:rPr>
          <w:rFonts w:ascii="SimHei" w:hAnsi="SimHei" w:eastAsia="SimHei" w:cs="SimHei"/>
          <w:sz w:val="28"/>
          <w:szCs w:val="28"/>
        </w:rPr>
      </w:pPr>
      <w:bookmarkStart w:name="bookmark112" w:id="140"/>
      <w:bookmarkEnd w:id="140"/>
      <w:r>
        <w:rPr>
          <w:rFonts w:ascii="Times New Roman" w:hAnsi="Times New Roman" w:eastAsia="Times New Roman" w:cs="Times New Roman"/>
          <w:sz w:val="28"/>
          <w:szCs w:val="28"/>
          <w:spacing w:val="-1"/>
        </w:rPr>
        <w:t>5.6.1 </w:t>
      </w:r>
      <w:r>
        <w:rPr>
          <w:rFonts w:ascii="SimHei" w:hAnsi="SimHei" w:eastAsia="SimHei" w:cs="SimHei"/>
          <w:sz w:val="28"/>
          <w:szCs w:val="28"/>
          <w:spacing w:val="-1"/>
        </w:rPr>
        <w:t>土壤环境污染途径分析</w:t>
      </w:r>
    </w:p>
    <w:p>
      <w:pPr>
        <w:pStyle w:val="BodyText"/>
        <w:spacing w:line="242" w:lineRule="auto"/>
        <w:rPr/>
      </w:pPr>
      <w:r/>
    </w:p>
    <w:p>
      <w:pPr>
        <w:ind w:left="49" w:right="103" w:firstLine="480"/>
        <w:spacing w:before="78" w:line="359" w:lineRule="auto"/>
        <w:rPr>
          <w:rFonts w:ascii="SimSun" w:hAnsi="SimSun" w:eastAsia="SimSun" w:cs="SimSun"/>
          <w:sz w:val="24"/>
          <w:szCs w:val="24"/>
        </w:rPr>
      </w:pPr>
      <w:r>
        <w:rPr>
          <w:rFonts w:ascii="SimSun" w:hAnsi="SimSun" w:eastAsia="SimSun" w:cs="SimSun"/>
          <w:sz w:val="24"/>
          <w:szCs w:val="24"/>
          <w:spacing w:val="3"/>
        </w:rPr>
        <w:t>本项目属于污染影响型项目，对土壤的污染途径包括大气沉降、</w:t>
      </w:r>
      <w:r>
        <w:rPr>
          <w:rFonts w:ascii="SimSun" w:hAnsi="SimSun" w:eastAsia="SimSun" w:cs="SimSun"/>
          <w:sz w:val="24"/>
          <w:szCs w:val="24"/>
          <w:spacing w:val="2"/>
        </w:rPr>
        <w:t>地面漫流和</w:t>
      </w:r>
      <w:r>
        <w:rPr>
          <w:rFonts w:ascii="SimSun" w:hAnsi="SimSun" w:eastAsia="SimSun" w:cs="SimSun"/>
          <w:sz w:val="24"/>
          <w:szCs w:val="24"/>
        </w:rPr>
        <w:t xml:space="preserve"> </w:t>
      </w:r>
      <w:r>
        <w:rPr>
          <w:rFonts w:ascii="SimSun" w:hAnsi="SimSun" w:eastAsia="SimSun" w:cs="SimSun"/>
          <w:sz w:val="24"/>
          <w:szCs w:val="24"/>
          <w:spacing w:val="-1"/>
        </w:rPr>
        <w:t>垂直入渗，土壤环境影响及影响因子识别见表</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5.6-1</w:t>
      </w:r>
      <w:r>
        <w:rPr>
          <w:rFonts w:ascii="SimSun" w:hAnsi="SimSun" w:eastAsia="SimSun" w:cs="SimSun"/>
          <w:sz w:val="24"/>
          <w:szCs w:val="24"/>
          <w:spacing w:val="-1"/>
        </w:rPr>
        <w:t>。</w:t>
      </w:r>
    </w:p>
    <w:p>
      <w:pPr>
        <w:ind w:left="1490"/>
        <w:spacing w:before="1"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8"/>
        </w:rPr>
        <w:t xml:space="preserve"> </w:t>
      </w:r>
      <w:r>
        <w:rPr>
          <w:rFonts w:ascii="Times New Roman" w:hAnsi="Times New Roman" w:eastAsia="Times New Roman" w:cs="Times New Roman"/>
          <w:sz w:val="24"/>
          <w:szCs w:val="24"/>
          <w:b/>
          <w:bCs/>
          <w:spacing w:val="-2"/>
        </w:rPr>
        <w:t>5.6-1        </w:t>
      </w:r>
      <w:r>
        <w:rPr>
          <w:rFonts w:ascii="SimSun" w:hAnsi="SimSun" w:eastAsia="SimSun" w:cs="SimSun"/>
          <w:sz w:val="24"/>
          <w:szCs w:val="24"/>
          <w:b/>
          <w:bCs/>
          <w:spacing w:val="-2"/>
        </w:rPr>
        <w:t>本项目土壤环境影响源及影响因子识别表</w:t>
      </w:r>
    </w:p>
    <w:tbl>
      <w:tblPr>
        <w:tblStyle w:val="TableNormal"/>
        <w:tblW w:w="857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98"/>
        <w:gridCol w:w="1286"/>
        <w:gridCol w:w="4355"/>
        <w:gridCol w:w="1438"/>
      </w:tblGrid>
      <w:tr>
        <w:trPr>
          <w:trHeight w:val="282" w:hRule="atLeast"/>
        </w:trPr>
        <w:tc>
          <w:tcPr>
            <w:tcW w:w="1498" w:type="dxa"/>
            <w:vAlign w:val="top"/>
          </w:tcPr>
          <w:p>
            <w:pPr>
              <w:pStyle w:val="TableText"/>
              <w:ind w:left="442"/>
              <w:spacing w:before="35" w:line="218" w:lineRule="auto"/>
              <w:rPr/>
            </w:pPr>
            <w:r>
              <w:rPr>
                <w:spacing w:val="6"/>
              </w:rPr>
              <w:t>污染源</w:t>
            </w:r>
          </w:p>
        </w:tc>
        <w:tc>
          <w:tcPr>
            <w:tcW w:w="1286" w:type="dxa"/>
            <w:vAlign w:val="top"/>
          </w:tcPr>
          <w:p>
            <w:pPr>
              <w:pStyle w:val="TableText"/>
              <w:ind w:left="228"/>
              <w:spacing w:before="35" w:line="218" w:lineRule="auto"/>
              <w:rPr/>
            </w:pPr>
            <w:r>
              <w:rPr>
                <w:spacing w:val="6"/>
              </w:rPr>
              <w:t>污染途径</w:t>
            </w:r>
          </w:p>
        </w:tc>
        <w:tc>
          <w:tcPr>
            <w:tcW w:w="4355" w:type="dxa"/>
            <w:vAlign w:val="top"/>
          </w:tcPr>
          <w:p>
            <w:pPr>
              <w:pStyle w:val="TableText"/>
              <w:ind w:left="1659"/>
              <w:spacing w:before="35" w:line="218" w:lineRule="auto"/>
              <w:rPr/>
            </w:pPr>
            <w:r>
              <w:rPr>
                <w:spacing w:val="7"/>
              </w:rPr>
              <w:t>污染物指标</w:t>
            </w:r>
          </w:p>
        </w:tc>
        <w:tc>
          <w:tcPr>
            <w:tcW w:w="1438" w:type="dxa"/>
            <w:vAlign w:val="top"/>
          </w:tcPr>
          <w:p>
            <w:pPr>
              <w:pStyle w:val="TableText"/>
              <w:ind w:left="516"/>
              <w:spacing w:before="35" w:line="218" w:lineRule="auto"/>
              <w:rPr/>
            </w:pPr>
            <w:r>
              <w:rPr>
                <w:spacing w:val="3"/>
              </w:rPr>
              <w:t>工况</w:t>
            </w:r>
          </w:p>
        </w:tc>
      </w:tr>
      <w:tr>
        <w:trPr>
          <w:trHeight w:val="276" w:hRule="atLeast"/>
        </w:trPr>
        <w:tc>
          <w:tcPr>
            <w:tcW w:w="1498" w:type="dxa"/>
            <w:vAlign w:val="top"/>
          </w:tcPr>
          <w:p>
            <w:pPr>
              <w:pStyle w:val="TableText"/>
              <w:ind w:left="543"/>
              <w:spacing w:before="31" w:line="216" w:lineRule="auto"/>
              <w:rPr/>
            </w:pPr>
            <w:r>
              <w:rPr>
                <w:spacing w:val="5"/>
              </w:rPr>
              <w:t>废气</w:t>
            </w:r>
          </w:p>
        </w:tc>
        <w:tc>
          <w:tcPr>
            <w:tcW w:w="1286" w:type="dxa"/>
            <w:vAlign w:val="top"/>
          </w:tcPr>
          <w:p>
            <w:pPr>
              <w:pStyle w:val="TableText"/>
              <w:ind w:left="229"/>
              <w:spacing w:before="31" w:line="216" w:lineRule="auto"/>
              <w:rPr/>
            </w:pPr>
            <w:r>
              <w:rPr>
                <w:spacing w:val="6"/>
              </w:rPr>
              <w:t>大气沉降</w:t>
            </w:r>
          </w:p>
        </w:tc>
        <w:tc>
          <w:tcPr>
            <w:tcW w:w="4355" w:type="dxa"/>
            <w:vAlign w:val="top"/>
          </w:tcPr>
          <w:p>
            <w:pPr>
              <w:pStyle w:val="TableText"/>
              <w:ind w:left="569"/>
              <w:spacing w:before="31" w:line="216" w:lineRule="auto"/>
              <w:rPr/>
            </w:pPr>
            <w:r>
              <w:rPr>
                <w:spacing w:val="7"/>
              </w:rPr>
              <w:t>颗粒物、</w:t>
            </w:r>
            <w:r>
              <w:rPr>
                <w:rFonts w:ascii="Times New Roman" w:hAnsi="Times New Roman" w:eastAsia="Times New Roman" w:cs="Times New Roman"/>
              </w:rPr>
              <w:t>SO</w:t>
            </w:r>
            <w:r>
              <w:rPr>
                <w:rFonts w:ascii="Times New Roman" w:hAnsi="Times New Roman" w:eastAsia="Times New Roman" w:cs="Times New Roman"/>
                <w:sz w:val="13"/>
                <w:szCs w:val="13"/>
                <w:spacing w:val="7"/>
                <w:position w:val="-1"/>
              </w:rPr>
              <w:t>2</w:t>
            </w:r>
            <w:r>
              <w:rPr>
                <w:rFonts w:ascii="Times New Roman" w:hAnsi="Times New Roman" w:eastAsia="Times New Roman" w:cs="Times New Roman"/>
                <w:sz w:val="13"/>
                <w:szCs w:val="13"/>
                <w:spacing w:val="-7"/>
                <w:position w:val="-1"/>
              </w:rPr>
              <w:t xml:space="preserve"> </w:t>
            </w:r>
            <w:r>
              <w:rPr>
                <w:spacing w:val="7"/>
              </w:rPr>
              <w:t>、</w:t>
            </w:r>
            <w:r>
              <w:rPr>
                <w:rFonts w:ascii="Times New Roman" w:hAnsi="Times New Roman" w:eastAsia="Times New Roman" w:cs="Times New Roman"/>
              </w:rPr>
              <w:t>NO</w:t>
            </w:r>
            <w:r>
              <w:rPr>
                <w:rFonts w:ascii="Times New Roman" w:hAnsi="Times New Roman" w:eastAsia="Times New Roman" w:cs="Times New Roman"/>
                <w:sz w:val="13"/>
                <w:szCs w:val="13"/>
                <w:position w:val="-1"/>
              </w:rPr>
              <w:t>x</w:t>
            </w:r>
            <w:r>
              <w:rPr>
                <w:rFonts w:ascii="Times New Roman" w:hAnsi="Times New Roman" w:eastAsia="Times New Roman" w:cs="Times New Roman"/>
                <w:sz w:val="13"/>
                <w:szCs w:val="13"/>
                <w:spacing w:val="-9"/>
                <w:position w:val="-1"/>
              </w:rPr>
              <w:t xml:space="preserve"> </w:t>
            </w:r>
            <w:r>
              <w:rPr>
                <w:spacing w:val="7"/>
              </w:rPr>
              <w:t>、硫化氢、氨等</w:t>
            </w:r>
          </w:p>
        </w:tc>
        <w:tc>
          <w:tcPr>
            <w:tcW w:w="1438" w:type="dxa"/>
            <w:vAlign w:val="top"/>
          </w:tcPr>
          <w:p>
            <w:pPr>
              <w:pStyle w:val="TableText"/>
              <w:ind w:left="16"/>
              <w:spacing w:before="31" w:line="216" w:lineRule="auto"/>
              <w:rPr/>
            </w:pPr>
            <w:r>
              <w:rPr>
                <w:spacing w:val="1"/>
              </w:rPr>
              <w:t>正常工况、连续</w:t>
            </w:r>
          </w:p>
        </w:tc>
      </w:tr>
      <w:tr>
        <w:trPr>
          <w:trHeight w:val="276" w:hRule="atLeast"/>
        </w:trPr>
        <w:tc>
          <w:tcPr>
            <w:tcW w:w="1498" w:type="dxa"/>
            <w:vAlign w:val="top"/>
          </w:tcPr>
          <w:p>
            <w:pPr>
              <w:pStyle w:val="TableText"/>
              <w:ind w:left="441"/>
              <w:spacing w:before="34" w:line="214" w:lineRule="auto"/>
              <w:rPr/>
            </w:pPr>
            <w:r>
              <w:rPr>
                <w:spacing w:val="6"/>
              </w:rPr>
              <w:t>化粪池</w:t>
            </w:r>
          </w:p>
        </w:tc>
        <w:tc>
          <w:tcPr>
            <w:tcW w:w="1286" w:type="dxa"/>
            <w:vAlign w:val="top"/>
            <w:vMerge w:val="restart"/>
            <w:tcBorders>
              <w:bottom w:val="nil"/>
            </w:tcBorders>
          </w:tcPr>
          <w:p>
            <w:pPr>
              <w:spacing w:line="260" w:lineRule="auto"/>
              <w:rPr>
                <w:rFonts w:ascii="Arial"/>
                <w:sz w:val="21"/>
              </w:rPr>
            </w:pPr>
            <w:r/>
          </w:p>
          <w:p>
            <w:pPr>
              <w:spacing w:line="260" w:lineRule="auto"/>
              <w:rPr>
                <w:rFonts w:ascii="Arial"/>
                <w:sz w:val="21"/>
              </w:rPr>
            </w:pPr>
            <w:r/>
          </w:p>
          <w:p>
            <w:pPr>
              <w:pStyle w:val="TableText"/>
              <w:ind w:left="15"/>
              <w:spacing w:before="65" w:line="228" w:lineRule="auto"/>
              <w:rPr/>
            </w:pPr>
            <w:r>
              <w:rPr>
                <w:spacing w:val="8"/>
              </w:rPr>
              <w:t>地面漫流、垂</w:t>
            </w:r>
          </w:p>
          <w:p>
            <w:pPr>
              <w:pStyle w:val="TableText"/>
              <w:ind w:left="334"/>
              <w:spacing w:before="24" w:line="228" w:lineRule="auto"/>
              <w:rPr/>
            </w:pPr>
            <w:r>
              <w:rPr>
                <w:spacing w:val="5"/>
              </w:rPr>
              <w:t>直入渗</w:t>
            </w:r>
          </w:p>
        </w:tc>
        <w:tc>
          <w:tcPr>
            <w:tcW w:w="4355" w:type="dxa"/>
            <w:vAlign w:val="top"/>
          </w:tcPr>
          <w:p>
            <w:pPr>
              <w:pStyle w:val="TableText"/>
              <w:ind w:left="1318"/>
              <w:spacing w:before="34" w:line="214" w:lineRule="auto"/>
              <w:rPr/>
            </w:pPr>
            <w:r>
              <w:rPr>
                <w:rFonts w:ascii="Times New Roman" w:hAnsi="Times New Roman" w:eastAsia="Times New Roman" w:cs="Times New Roman"/>
              </w:rPr>
              <w:t>COD</w:t>
            </w:r>
            <w:r>
              <w:rPr>
                <w:rFonts w:ascii="Times New Roman" w:hAnsi="Times New Roman" w:eastAsia="Times New Roman" w:cs="Times New Roman"/>
                <w:spacing w:val="-23"/>
              </w:rPr>
              <w:t xml:space="preserve"> </w:t>
            </w:r>
            <w:r>
              <w:rPr>
                <w:spacing w:val="5"/>
              </w:rPr>
              <w:t>、</w:t>
            </w:r>
            <w:r>
              <w:rPr>
                <w:rFonts w:ascii="Times New Roman" w:hAnsi="Times New Roman" w:eastAsia="Times New Roman" w:cs="Times New Roman"/>
              </w:rPr>
              <w:t>BOD</w:t>
            </w:r>
            <w:r>
              <w:rPr>
                <w:rFonts w:ascii="Times New Roman" w:hAnsi="Times New Roman" w:eastAsia="Times New Roman" w:cs="Times New Roman"/>
                <w:spacing w:val="-25"/>
              </w:rPr>
              <w:t xml:space="preserve"> </w:t>
            </w:r>
            <w:r>
              <w:rPr>
                <w:spacing w:val="5"/>
              </w:rPr>
              <w:t>、氨氮</w:t>
            </w:r>
          </w:p>
        </w:tc>
        <w:tc>
          <w:tcPr>
            <w:tcW w:w="1438" w:type="dxa"/>
            <w:vAlign w:val="top"/>
          </w:tcPr>
          <w:p>
            <w:pPr>
              <w:pStyle w:val="TableText"/>
              <w:ind w:left="513"/>
              <w:spacing w:before="34" w:line="214" w:lineRule="auto"/>
              <w:rPr/>
            </w:pPr>
            <w:r>
              <w:rPr>
                <w:spacing w:val="4"/>
              </w:rPr>
              <w:t>事故</w:t>
            </w:r>
          </w:p>
        </w:tc>
      </w:tr>
      <w:tr>
        <w:trPr>
          <w:trHeight w:val="820" w:hRule="atLeast"/>
        </w:trPr>
        <w:tc>
          <w:tcPr>
            <w:tcW w:w="1498" w:type="dxa"/>
            <w:vAlign w:val="top"/>
          </w:tcPr>
          <w:p>
            <w:pPr>
              <w:pStyle w:val="TableText"/>
              <w:ind w:left="12"/>
              <w:spacing w:before="33" w:line="228" w:lineRule="auto"/>
              <w:rPr>
                <w:rFonts w:ascii="Times New Roman" w:hAnsi="Times New Roman" w:eastAsia="Times New Roman" w:cs="Times New Roman"/>
              </w:rPr>
            </w:pPr>
            <w:r>
              <w:rPr>
                <w:spacing w:val="6"/>
              </w:rPr>
              <w:t>废水收集池、</w:t>
            </w:r>
            <w:r>
              <w:rPr>
                <w:rFonts w:ascii="Times New Roman" w:hAnsi="Times New Roman" w:eastAsia="Times New Roman" w:cs="Times New Roman"/>
              </w:rPr>
              <w:t>TS</w:t>
            </w:r>
          </w:p>
          <w:p>
            <w:pPr>
              <w:pStyle w:val="TableText"/>
              <w:ind w:left="22"/>
              <w:spacing w:before="27" w:line="228" w:lineRule="auto"/>
              <w:rPr/>
            </w:pPr>
            <w:r>
              <w:rPr>
                <w:spacing w:val="8"/>
              </w:rPr>
              <w:t>调节池、沼液池</w:t>
            </w:r>
          </w:p>
          <w:p>
            <w:pPr>
              <w:pStyle w:val="TableText"/>
              <w:ind w:left="651"/>
              <w:spacing w:before="23" w:line="214" w:lineRule="auto"/>
              <w:rPr/>
            </w:pPr>
            <w:r>
              <w:rPr/>
              <w:t>等</w:t>
            </w:r>
          </w:p>
        </w:tc>
        <w:tc>
          <w:tcPr>
            <w:tcW w:w="1286" w:type="dxa"/>
            <w:vAlign w:val="top"/>
            <w:vMerge w:val="continue"/>
            <w:tcBorders>
              <w:top w:val="nil"/>
              <w:bottom w:val="nil"/>
            </w:tcBorders>
          </w:tcPr>
          <w:p>
            <w:pPr>
              <w:rPr>
                <w:rFonts w:ascii="Arial"/>
                <w:sz w:val="21"/>
              </w:rPr>
            </w:pPr>
            <w:r/>
          </w:p>
        </w:tc>
        <w:tc>
          <w:tcPr>
            <w:tcW w:w="4355" w:type="dxa"/>
            <w:vAlign w:val="top"/>
          </w:tcPr>
          <w:p>
            <w:pPr>
              <w:pStyle w:val="TableText"/>
              <w:ind w:left="17"/>
              <w:spacing w:before="170" w:line="221" w:lineRule="auto"/>
              <w:rPr/>
            </w:pPr>
            <w:r>
              <w:rPr>
                <w:rFonts w:ascii="Times New Roman" w:hAnsi="Times New Roman" w:eastAsia="Times New Roman" w:cs="Times New Roman"/>
              </w:rPr>
              <w:t>pH</w:t>
            </w:r>
            <w:r>
              <w:rPr>
                <w:rFonts w:ascii="Times New Roman" w:hAnsi="Times New Roman" w:eastAsia="Times New Roman" w:cs="Times New Roman"/>
                <w:spacing w:val="-23"/>
              </w:rPr>
              <w:t xml:space="preserve"> </w:t>
            </w:r>
            <w:r>
              <w:rPr>
                <w:spacing w:val="7"/>
              </w:rPr>
              <w:t>、</w:t>
            </w:r>
            <w:r>
              <w:rPr>
                <w:rFonts w:ascii="Times New Roman" w:hAnsi="Times New Roman" w:eastAsia="Times New Roman" w:cs="Times New Roman"/>
              </w:rPr>
              <w:t>COD</w:t>
            </w:r>
            <w:r>
              <w:rPr>
                <w:rFonts w:ascii="Times New Roman" w:hAnsi="Times New Roman" w:eastAsia="Times New Roman" w:cs="Times New Roman"/>
                <w:spacing w:val="-24"/>
              </w:rPr>
              <w:t xml:space="preserve"> </w:t>
            </w:r>
            <w:r>
              <w:rPr>
                <w:spacing w:val="7"/>
              </w:rPr>
              <w:t>、</w:t>
            </w:r>
            <w:r>
              <w:rPr>
                <w:rFonts w:ascii="Times New Roman" w:hAnsi="Times New Roman" w:eastAsia="Times New Roman" w:cs="Times New Roman"/>
              </w:rPr>
              <w:t>BOD</w:t>
            </w:r>
            <w:r>
              <w:rPr>
                <w:rFonts w:ascii="Times New Roman" w:hAnsi="Times New Roman" w:eastAsia="Times New Roman" w:cs="Times New Roman"/>
                <w:spacing w:val="-25"/>
              </w:rPr>
              <w:t xml:space="preserve"> </w:t>
            </w:r>
            <w:r>
              <w:rPr>
                <w:spacing w:val="7"/>
              </w:rPr>
              <w:t>、</w:t>
            </w:r>
            <w:r>
              <w:rPr>
                <w:rFonts w:ascii="Times New Roman" w:hAnsi="Times New Roman" w:eastAsia="Times New Roman" w:cs="Times New Roman"/>
              </w:rPr>
              <w:t>SS</w:t>
            </w:r>
            <w:r>
              <w:rPr>
                <w:rFonts w:ascii="Times New Roman" w:hAnsi="Times New Roman" w:eastAsia="Times New Roman" w:cs="Times New Roman"/>
                <w:spacing w:val="-26"/>
              </w:rPr>
              <w:t xml:space="preserve"> </w:t>
            </w:r>
            <w:r>
              <w:rPr>
                <w:spacing w:val="7"/>
              </w:rPr>
              <w:t>、氨氮、总氮、总磷、动</w:t>
            </w:r>
          </w:p>
          <w:p>
            <w:pPr>
              <w:pStyle w:val="TableText"/>
              <w:ind w:left="1869"/>
              <w:spacing w:before="31" w:line="228" w:lineRule="auto"/>
              <w:rPr/>
            </w:pPr>
            <w:r>
              <w:rPr>
                <w:spacing w:val="6"/>
              </w:rPr>
              <w:t>植物油</w:t>
            </w:r>
          </w:p>
        </w:tc>
        <w:tc>
          <w:tcPr>
            <w:tcW w:w="1438" w:type="dxa"/>
            <w:vAlign w:val="top"/>
          </w:tcPr>
          <w:p>
            <w:pPr>
              <w:spacing w:line="241" w:lineRule="auto"/>
              <w:rPr>
                <w:rFonts w:ascii="Arial"/>
                <w:sz w:val="21"/>
              </w:rPr>
            </w:pPr>
            <w:r/>
          </w:p>
          <w:p>
            <w:pPr>
              <w:pStyle w:val="TableText"/>
              <w:ind w:left="513"/>
              <w:spacing w:before="65" w:line="228" w:lineRule="auto"/>
              <w:rPr/>
            </w:pPr>
            <w:r>
              <w:rPr>
                <w:spacing w:val="4"/>
              </w:rPr>
              <w:t>事故</w:t>
            </w:r>
          </w:p>
        </w:tc>
      </w:tr>
      <w:tr>
        <w:trPr>
          <w:trHeight w:val="554" w:hRule="atLeast"/>
        </w:trPr>
        <w:tc>
          <w:tcPr>
            <w:tcW w:w="1498" w:type="dxa"/>
            <w:vAlign w:val="top"/>
          </w:tcPr>
          <w:p>
            <w:pPr>
              <w:pStyle w:val="TableText"/>
              <w:ind w:left="230"/>
              <w:spacing w:before="171" w:line="227" w:lineRule="auto"/>
              <w:rPr/>
            </w:pPr>
            <w:r>
              <w:rPr>
                <w:spacing w:val="7"/>
              </w:rPr>
              <w:t>厌氧发酵罐</w:t>
            </w:r>
          </w:p>
        </w:tc>
        <w:tc>
          <w:tcPr>
            <w:tcW w:w="1286" w:type="dxa"/>
            <w:vAlign w:val="top"/>
            <w:vMerge w:val="continue"/>
            <w:tcBorders>
              <w:top w:val="nil"/>
            </w:tcBorders>
          </w:tcPr>
          <w:p>
            <w:pPr>
              <w:rPr>
                <w:rFonts w:ascii="Arial"/>
                <w:sz w:val="21"/>
              </w:rPr>
            </w:pPr>
            <w:r/>
          </w:p>
        </w:tc>
        <w:tc>
          <w:tcPr>
            <w:tcW w:w="4355" w:type="dxa"/>
            <w:vAlign w:val="top"/>
          </w:tcPr>
          <w:p>
            <w:pPr>
              <w:pStyle w:val="TableText"/>
              <w:ind w:left="17"/>
              <w:spacing w:before="36" w:line="221" w:lineRule="auto"/>
              <w:rPr/>
            </w:pPr>
            <w:r>
              <w:rPr>
                <w:rFonts w:ascii="Times New Roman" w:hAnsi="Times New Roman" w:eastAsia="Times New Roman" w:cs="Times New Roman"/>
              </w:rPr>
              <w:t>pH</w:t>
            </w:r>
            <w:r>
              <w:rPr>
                <w:rFonts w:ascii="Times New Roman" w:hAnsi="Times New Roman" w:eastAsia="Times New Roman" w:cs="Times New Roman"/>
                <w:spacing w:val="-23"/>
              </w:rPr>
              <w:t xml:space="preserve"> </w:t>
            </w:r>
            <w:r>
              <w:rPr>
                <w:spacing w:val="7"/>
              </w:rPr>
              <w:t>、</w:t>
            </w:r>
            <w:r>
              <w:rPr>
                <w:rFonts w:ascii="Times New Roman" w:hAnsi="Times New Roman" w:eastAsia="Times New Roman" w:cs="Times New Roman"/>
              </w:rPr>
              <w:t>COD</w:t>
            </w:r>
            <w:r>
              <w:rPr>
                <w:rFonts w:ascii="Times New Roman" w:hAnsi="Times New Roman" w:eastAsia="Times New Roman" w:cs="Times New Roman"/>
                <w:spacing w:val="-24"/>
              </w:rPr>
              <w:t xml:space="preserve"> </w:t>
            </w:r>
            <w:r>
              <w:rPr>
                <w:spacing w:val="7"/>
              </w:rPr>
              <w:t>、</w:t>
            </w:r>
            <w:r>
              <w:rPr>
                <w:rFonts w:ascii="Times New Roman" w:hAnsi="Times New Roman" w:eastAsia="Times New Roman" w:cs="Times New Roman"/>
              </w:rPr>
              <w:t>BOD</w:t>
            </w:r>
            <w:r>
              <w:rPr>
                <w:rFonts w:ascii="Times New Roman" w:hAnsi="Times New Roman" w:eastAsia="Times New Roman" w:cs="Times New Roman"/>
                <w:spacing w:val="-25"/>
              </w:rPr>
              <w:t xml:space="preserve"> </w:t>
            </w:r>
            <w:r>
              <w:rPr>
                <w:spacing w:val="7"/>
              </w:rPr>
              <w:t>、</w:t>
            </w:r>
            <w:r>
              <w:rPr>
                <w:rFonts w:ascii="Times New Roman" w:hAnsi="Times New Roman" w:eastAsia="Times New Roman" w:cs="Times New Roman"/>
              </w:rPr>
              <w:t>SS</w:t>
            </w:r>
            <w:r>
              <w:rPr>
                <w:rFonts w:ascii="Times New Roman" w:hAnsi="Times New Roman" w:eastAsia="Times New Roman" w:cs="Times New Roman"/>
                <w:spacing w:val="-26"/>
              </w:rPr>
              <w:t xml:space="preserve"> </w:t>
            </w:r>
            <w:r>
              <w:rPr>
                <w:spacing w:val="7"/>
              </w:rPr>
              <w:t>、氨氮、总氮、总磷、动</w:t>
            </w:r>
          </w:p>
          <w:p>
            <w:pPr>
              <w:pStyle w:val="TableText"/>
              <w:ind w:left="1869"/>
              <w:spacing w:before="31" w:line="218" w:lineRule="auto"/>
              <w:rPr/>
            </w:pPr>
            <w:r>
              <w:rPr>
                <w:spacing w:val="6"/>
              </w:rPr>
              <w:t>植物油</w:t>
            </w:r>
          </w:p>
        </w:tc>
        <w:tc>
          <w:tcPr>
            <w:tcW w:w="1438" w:type="dxa"/>
            <w:vAlign w:val="top"/>
          </w:tcPr>
          <w:p>
            <w:pPr>
              <w:pStyle w:val="TableText"/>
              <w:ind w:left="513"/>
              <w:spacing w:before="171" w:line="228" w:lineRule="auto"/>
              <w:rPr/>
            </w:pPr>
            <w:r>
              <w:rPr>
                <w:spacing w:val="4"/>
              </w:rPr>
              <w:t>事故</w:t>
            </w:r>
          </w:p>
        </w:tc>
      </w:tr>
    </w:tbl>
    <w:p>
      <w:pPr>
        <w:ind w:left="48" w:right="103" w:firstLine="483"/>
        <w:spacing w:before="35" w:line="359" w:lineRule="auto"/>
        <w:jc w:val="both"/>
        <w:rPr>
          <w:rFonts w:ascii="SimSun" w:hAnsi="SimSun" w:eastAsia="SimSun" w:cs="SimSun"/>
          <w:sz w:val="24"/>
          <w:szCs w:val="24"/>
        </w:rPr>
      </w:pPr>
      <w:r>
        <w:rPr>
          <w:rFonts w:ascii="SimSun" w:hAnsi="SimSun" w:eastAsia="SimSun" w:cs="SimSun"/>
          <w:sz w:val="24"/>
          <w:szCs w:val="24"/>
          <w:spacing w:val="3"/>
        </w:rPr>
        <w:t>项目运营期对土壤的污染途径主要为生产装置或者储存设</w:t>
      </w:r>
      <w:r>
        <w:rPr>
          <w:rFonts w:ascii="SimSun" w:hAnsi="SimSun" w:eastAsia="SimSun" w:cs="SimSun"/>
          <w:sz w:val="24"/>
          <w:szCs w:val="24"/>
          <w:spacing w:val="2"/>
        </w:rPr>
        <w:t>施一旦发生物料泄</w:t>
      </w:r>
      <w:r>
        <w:rPr>
          <w:rFonts w:ascii="SimSun" w:hAnsi="SimSun" w:eastAsia="SimSun" w:cs="SimSun"/>
          <w:sz w:val="24"/>
          <w:szCs w:val="24"/>
        </w:rPr>
        <w:t xml:space="preserve"> </w:t>
      </w:r>
      <w:r>
        <w:rPr>
          <w:rFonts w:ascii="SimSun" w:hAnsi="SimSun" w:eastAsia="SimSun" w:cs="SimSun"/>
          <w:sz w:val="24"/>
          <w:szCs w:val="24"/>
          <w:spacing w:val="3"/>
        </w:rPr>
        <w:t>漏，泄漏的物料冲出生产车间、装置区，未被及时收集的</w:t>
      </w:r>
      <w:r>
        <w:rPr>
          <w:rFonts w:ascii="SimSun" w:hAnsi="SimSun" w:eastAsia="SimSun" w:cs="SimSun"/>
          <w:sz w:val="24"/>
          <w:szCs w:val="24"/>
          <w:spacing w:val="2"/>
        </w:rPr>
        <w:t>情况下，将进入土壤，</w:t>
      </w:r>
      <w:r>
        <w:rPr>
          <w:rFonts w:ascii="SimSun" w:hAnsi="SimSun" w:eastAsia="SimSun" w:cs="SimSun"/>
          <w:sz w:val="24"/>
          <w:szCs w:val="24"/>
        </w:rPr>
        <w:t xml:space="preserve"> </w:t>
      </w:r>
      <w:r>
        <w:rPr>
          <w:rFonts w:ascii="SimSun" w:hAnsi="SimSun" w:eastAsia="SimSun" w:cs="SimSun"/>
          <w:sz w:val="24"/>
          <w:szCs w:val="24"/>
          <w:spacing w:val="3"/>
        </w:rPr>
        <w:t>甚至渗入地下水层。泄漏物料一旦进入土壤可能对周围</w:t>
      </w:r>
      <w:r>
        <w:rPr>
          <w:rFonts w:ascii="SimSun" w:hAnsi="SimSun" w:eastAsia="SimSun" w:cs="SimSun"/>
          <w:sz w:val="24"/>
          <w:szCs w:val="24"/>
          <w:spacing w:val="2"/>
        </w:rPr>
        <w:t>土壤造成污染，影响土壤</w:t>
      </w:r>
      <w:r>
        <w:rPr>
          <w:rFonts w:ascii="SimSun" w:hAnsi="SimSun" w:eastAsia="SimSun" w:cs="SimSun"/>
          <w:sz w:val="24"/>
          <w:szCs w:val="24"/>
        </w:rPr>
        <w:t xml:space="preserve"> </w:t>
      </w:r>
      <w:r>
        <w:rPr>
          <w:rFonts w:ascii="SimSun" w:hAnsi="SimSun" w:eastAsia="SimSun" w:cs="SimSun"/>
          <w:sz w:val="24"/>
          <w:szCs w:val="24"/>
          <w:spacing w:val="3"/>
        </w:rPr>
        <w:t>中的微生物生存，造成土壤的盐碱化，破坏土壤的结构</w:t>
      </w:r>
      <w:r>
        <w:rPr>
          <w:rFonts w:ascii="SimSun" w:hAnsi="SimSun" w:eastAsia="SimSun" w:cs="SimSun"/>
          <w:sz w:val="24"/>
          <w:szCs w:val="24"/>
          <w:spacing w:val="2"/>
        </w:rPr>
        <w:t>，对土壤环境造成局部斑</w:t>
      </w:r>
      <w:r>
        <w:rPr>
          <w:rFonts w:ascii="SimSun" w:hAnsi="SimSun" w:eastAsia="SimSun" w:cs="SimSun"/>
          <w:sz w:val="24"/>
          <w:szCs w:val="24"/>
        </w:rPr>
        <w:t xml:space="preserve"> </w:t>
      </w:r>
      <w:r>
        <w:rPr>
          <w:rFonts w:ascii="SimSun" w:hAnsi="SimSun" w:eastAsia="SimSun" w:cs="SimSun"/>
          <w:sz w:val="24"/>
          <w:szCs w:val="24"/>
          <w:spacing w:val="-2"/>
        </w:rPr>
        <w:t>块状的影响。</w:t>
      </w:r>
    </w:p>
    <w:p>
      <w:pPr>
        <w:ind w:left="47" w:right="103" w:firstLine="479"/>
        <w:spacing w:before="3" w:line="359" w:lineRule="auto"/>
        <w:jc w:val="both"/>
        <w:rPr>
          <w:rFonts w:ascii="SimSun" w:hAnsi="SimSun" w:eastAsia="SimSun" w:cs="SimSun"/>
          <w:sz w:val="24"/>
          <w:szCs w:val="24"/>
        </w:rPr>
      </w:pPr>
      <w:r>
        <w:rPr>
          <w:rFonts w:ascii="SimSun" w:hAnsi="SimSun" w:eastAsia="SimSun" w:cs="SimSun"/>
          <w:sz w:val="24"/>
          <w:szCs w:val="24"/>
          <w:spacing w:val="3"/>
        </w:rPr>
        <w:t>但是，考虑到一旦大量物料泄漏能够及时发现，因此在发生风险事故</w:t>
      </w:r>
      <w:r>
        <w:rPr>
          <w:rFonts w:ascii="SimSun" w:hAnsi="SimSun" w:eastAsia="SimSun" w:cs="SimSun"/>
          <w:sz w:val="24"/>
          <w:szCs w:val="24"/>
          <w:spacing w:val="2"/>
        </w:rPr>
        <w:t>时也能</w:t>
      </w:r>
      <w:r>
        <w:rPr>
          <w:rFonts w:ascii="SimSun" w:hAnsi="SimSun" w:eastAsia="SimSun" w:cs="SimSun"/>
          <w:sz w:val="24"/>
          <w:szCs w:val="24"/>
        </w:rPr>
        <w:t xml:space="preserve"> </w:t>
      </w:r>
      <w:r>
        <w:rPr>
          <w:rFonts w:ascii="SimSun" w:hAnsi="SimSun" w:eastAsia="SimSun" w:cs="SimSun"/>
          <w:sz w:val="24"/>
          <w:szCs w:val="24"/>
          <w:spacing w:val="3"/>
        </w:rPr>
        <w:t>够及时有效的对泄漏物质进行处置，减少物料在地面停留</w:t>
      </w:r>
      <w:r>
        <w:rPr>
          <w:rFonts w:ascii="SimSun" w:hAnsi="SimSun" w:eastAsia="SimSun" w:cs="SimSun"/>
          <w:sz w:val="24"/>
          <w:szCs w:val="24"/>
          <w:spacing w:val="2"/>
        </w:rPr>
        <w:t>的时间，从而降低物料</w:t>
      </w:r>
      <w:r>
        <w:rPr>
          <w:rFonts w:ascii="SimSun" w:hAnsi="SimSun" w:eastAsia="SimSun" w:cs="SimSun"/>
          <w:sz w:val="24"/>
          <w:szCs w:val="24"/>
        </w:rPr>
        <w:t xml:space="preserve"> </w:t>
      </w:r>
      <w:r>
        <w:rPr>
          <w:rFonts w:ascii="SimSun" w:hAnsi="SimSun" w:eastAsia="SimSun" w:cs="SimSun"/>
          <w:sz w:val="24"/>
          <w:szCs w:val="24"/>
          <w:spacing w:val="3"/>
        </w:rPr>
        <w:t>渗入土壤的风险。发生泄漏事故时，泄漏物质可能进入土壤</w:t>
      </w:r>
      <w:r>
        <w:rPr>
          <w:rFonts w:ascii="SimSun" w:hAnsi="SimSun" w:eastAsia="SimSun" w:cs="SimSun"/>
          <w:sz w:val="24"/>
          <w:szCs w:val="24"/>
          <w:spacing w:val="2"/>
        </w:rPr>
        <w:t>和地下水中，企业设</w:t>
      </w:r>
      <w:r>
        <w:rPr>
          <w:rFonts w:ascii="SimSun" w:hAnsi="SimSun" w:eastAsia="SimSun" w:cs="SimSun"/>
          <w:sz w:val="24"/>
          <w:szCs w:val="24"/>
        </w:rPr>
        <w:t xml:space="preserve"> </w:t>
      </w:r>
      <w:r>
        <w:rPr>
          <w:rFonts w:ascii="SimSun" w:hAnsi="SimSun" w:eastAsia="SimSun" w:cs="SimSun"/>
          <w:sz w:val="24"/>
          <w:szCs w:val="24"/>
        </w:rPr>
        <w:t>有地下水监测井，能够监测泄漏的物质进入</w:t>
      </w:r>
      <w:r>
        <w:rPr>
          <w:rFonts w:ascii="SimSun" w:hAnsi="SimSun" w:eastAsia="SimSun" w:cs="SimSun"/>
          <w:sz w:val="24"/>
          <w:szCs w:val="24"/>
          <w:spacing w:val="-1"/>
        </w:rPr>
        <w:t>土壤和地下水的情况。</w:t>
      </w:r>
    </w:p>
    <w:p>
      <w:pPr>
        <w:ind w:left="531"/>
        <w:spacing w:before="1" w:line="218" w:lineRule="auto"/>
        <w:rPr>
          <w:rFonts w:ascii="SimSun" w:hAnsi="SimSun" w:eastAsia="SimSun" w:cs="SimSun"/>
          <w:sz w:val="24"/>
          <w:szCs w:val="24"/>
        </w:rPr>
      </w:pPr>
      <w:r>
        <w:rPr>
          <w:rFonts w:ascii="SimSun" w:hAnsi="SimSun" w:eastAsia="SimSun" w:cs="SimSun"/>
          <w:sz w:val="24"/>
          <w:szCs w:val="24"/>
          <w:spacing w:val="3"/>
        </w:rPr>
        <w:t>厂区除了绿化用地以外，其余区域都是混凝土地面，</w:t>
      </w:r>
      <w:r>
        <w:rPr>
          <w:rFonts w:ascii="SimSun" w:hAnsi="SimSun" w:eastAsia="SimSun" w:cs="SimSun"/>
          <w:sz w:val="24"/>
          <w:szCs w:val="24"/>
          <w:spacing w:val="2"/>
        </w:rPr>
        <w:t>基本没有直接裸露的土</w:t>
      </w:r>
    </w:p>
    <w:p>
      <w:pPr>
        <w:ind w:left="46" w:right="103" w:firstLine="2"/>
        <w:spacing w:before="181" w:line="496" w:lineRule="auto"/>
        <w:rPr>
          <w:rFonts w:ascii="SimSun" w:hAnsi="SimSun" w:eastAsia="SimSun" w:cs="SimSun"/>
          <w:sz w:val="19"/>
          <w:szCs w:val="19"/>
        </w:rPr>
      </w:pPr>
      <w:r>
        <w:pict>
          <v:shape id="_x0000_s1026" style="position:absolute;margin-left:161.27pt;margin-top:39.194pt;mso-position-vertical-relative:text;mso-position-horizontal-relative:text;width:61pt;height:13.75pt;z-index:252152832;"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219</w:t>
                  </w:r>
                </w:p>
              </w:txbxContent>
            </v:textbox>
          </v:shape>
        </w:pict>
      </w:r>
      <w:r>
        <w:rPr>
          <w:rFonts w:ascii="SimSun" w:hAnsi="SimSun" w:eastAsia="SimSun" w:cs="SimSun"/>
          <w:sz w:val="24"/>
          <w:szCs w:val="24"/>
          <w:spacing w:val="3"/>
        </w:rPr>
        <w:t>壤存在，因此，本工程发生物料泄漏对厂内的土壤影响</w:t>
      </w:r>
      <w:r>
        <w:rPr>
          <w:rFonts w:ascii="SimSun" w:hAnsi="SimSun" w:eastAsia="SimSun" w:cs="SimSun"/>
          <w:sz w:val="24"/>
          <w:szCs w:val="24"/>
          <w:spacing w:val="2"/>
        </w:rPr>
        <w:t>有限，事故后及时控制基</w:t>
      </w:r>
      <w:r>
        <w:rPr>
          <w:rFonts w:ascii="SimSun" w:hAnsi="SimSun" w:eastAsia="SimSun" w:cs="SimSun"/>
          <w:sz w:val="24"/>
          <w:szCs w:val="24"/>
        </w:rPr>
        <w:t xml:space="preserve"> </w:t>
      </w:r>
      <w:r>
        <w:rPr>
          <w:rFonts w:ascii="SimSun" w:hAnsi="SimSun" w:eastAsia="SimSun" w:cs="SimSun"/>
          <w:sz w:val="19"/>
          <w:szCs w:val="19"/>
          <w:spacing w:val="9"/>
        </w:rPr>
        <w:t>锡林郭勒盟中安环境技术咨询有限责</w:t>
      </w:r>
    </w:p>
    <w:p>
      <w:pPr>
        <w:spacing w:line="496" w:lineRule="auto"/>
        <w:sectPr>
          <w:headerReference w:type="default" r:id="rId299"/>
          <w:footerReference w:type="default" r:id="rId3"/>
          <w:pgSz w:w="11907" w:h="16840"/>
          <w:pgMar w:top="1567" w:right="1596" w:bottom="400" w:left="1662" w:header="1221" w:footer="0" w:gutter="0"/>
        </w:sectPr>
        <w:rPr>
          <w:rFonts w:ascii="SimSun" w:hAnsi="SimSun" w:eastAsia="SimSun" w:cs="SimSun"/>
          <w:sz w:val="19"/>
          <w:szCs w:val="19"/>
        </w:rPr>
      </w:pPr>
    </w:p>
    <w:p>
      <w:pPr>
        <w:ind w:left="10"/>
        <w:spacing w:before="168" w:line="219" w:lineRule="auto"/>
        <w:rPr>
          <w:rFonts w:ascii="SimSun" w:hAnsi="SimSun" w:eastAsia="SimSun" w:cs="SimSun"/>
          <w:sz w:val="24"/>
          <w:szCs w:val="24"/>
        </w:rPr>
      </w:pPr>
      <w:r>
        <w:pict>
          <v:shape id="_x0000_s1028" style="position:absolute;margin-left:85.05pt;margin-top:78.87pt;mso-position-vertical-relative:page;mso-position-horizontal-relative:page;width:425.25pt;height:0.75pt;z-index:252155904;" o:allowincell="f" fillcolor="#000000" filled="true" stroked="false" coordsize="8505,15" coordorigin="0,0" path="m,l8505,0l8505,14l0,14l0,0xe"/>
        </w:pict>
      </w:r>
      <w:r>
        <w:rPr>
          <w:rFonts w:ascii="SimSun" w:hAnsi="SimSun" w:eastAsia="SimSun" w:cs="SimSun"/>
          <w:sz w:val="24"/>
          <w:szCs w:val="24"/>
          <w:spacing w:val="-1"/>
        </w:rPr>
        <w:t>本不会对厂内的土壤造成严重污染。</w:t>
      </w:r>
    </w:p>
    <w:p>
      <w:pPr>
        <w:ind w:left="10" w:right="78" w:firstLine="480"/>
        <w:spacing w:before="179" w:line="361" w:lineRule="auto"/>
        <w:jc w:val="both"/>
        <w:rPr>
          <w:rFonts w:ascii="SimSun" w:hAnsi="SimSun" w:eastAsia="SimSun" w:cs="SimSun"/>
          <w:sz w:val="24"/>
          <w:szCs w:val="24"/>
        </w:rPr>
      </w:pPr>
      <w:r>
        <w:rPr>
          <w:rFonts w:ascii="SimSun" w:hAnsi="SimSun" w:eastAsia="SimSun" w:cs="SimSun"/>
          <w:sz w:val="24"/>
          <w:szCs w:val="24"/>
          <w:spacing w:val="3"/>
        </w:rPr>
        <w:t>本项目事故泄漏物料、废水对厂区外部的土壤污染更低，</w:t>
      </w:r>
      <w:r>
        <w:rPr>
          <w:rFonts w:ascii="SimSun" w:hAnsi="SimSun" w:eastAsia="SimSun" w:cs="SimSun"/>
          <w:sz w:val="24"/>
          <w:szCs w:val="24"/>
          <w:spacing w:val="2"/>
        </w:rPr>
        <w:t>其对土壤的污染主</w:t>
      </w:r>
      <w:r>
        <w:rPr>
          <w:rFonts w:ascii="SimSun" w:hAnsi="SimSun" w:eastAsia="SimSun" w:cs="SimSun"/>
          <w:sz w:val="24"/>
          <w:szCs w:val="24"/>
        </w:rPr>
        <w:t xml:space="preserve"> </w:t>
      </w:r>
      <w:r>
        <w:rPr>
          <w:rFonts w:ascii="SimSun" w:hAnsi="SimSun" w:eastAsia="SimSun" w:cs="SimSun"/>
          <w:sz w:val="24"/>
          <w:szCs w:val="24"/>
          <w:spacing w:val="3"/>
        </w:rPr>
        <w:t>要是由泄漏到大气环境中的事故污染物沉降到土壤中引</w:t>
      </w:r>
      <w:r>
        <w:rPr>
          <w:rFonts w:ascii="SimSun" w:hAnsi="SimSun" w:eastAsia="SimSun" w:cs="SimSun"/>
          <w:sz w:val="24"/>
          <w:szCs w:val="24"/>
          <w:spacing w:val="2"/>
        </w:rPr>
        <w:t>起的。但是项目事故泄漏</w:t>
      </w:r>
      <w:r>
        <w:rPr>
          <w:rFonts w:ascii="SimSun" w:hAnsi="SimSun" w:eastAsia="SimSun" w:cs="SimSun"/>
          <w:sz w:val="24"/>
          <w:szCs w:val="24"/>
        </w:rPr>
        <w:t xml:space="preserve"> </w:t>
      </w:r>
      <w:r>
        <w:rPr>
          <w:rFonts w:ascii="SimSun" w:hAnsi="SimSun" w:eastAsia="SimSun" w:cs="SimSun"/>
          <w:sz w:val="24"/>
          <w:szCs w:val="24"/>
          <w:spacing w:val="3"/>
        </w:rPr>
        <w:t>污染物总量不高，而且是属于短期事故，通过大气沉降</w:t>
      </w:r>
      <w:r>
        <w:rPr>
          <w:rFonts w:ascii="SimSun" w:hAnsi="SimSun" w:eastAsia="SimSun" w:cs="SimSun"/>
          <w:sz w:val="24"/>
          <w:szCs w:val="24"/>
          <w:spacing w:val="2"/>
        </w:rPr>
        <w:t>对厂界外土壤造成污染的</w:t>
      </w:r>
      <w:r>
        <w:rPr>
          <w:rFonts w:ascii="SimSun" w:hAnsi="SimSun" w:eastAsia="SimSun" w:cs="SimSun"/>
          <w:sz w:val="24"/>
          <w:szCs w:val="24"/>
        </w:rPr>
        <w:t xml:space="preserve"> </w:t>
      </w:r>
      <w:r>
        <w:rPr>
          <w:rFonts w:ascii="SimSun" w:hAnsi="SimSun" w:eastAsia="SimSun" w:cs="SimSun"/>
          <w:sz w:val="24"/>
          <w:szCs w:val="24"/>
          <w:spacing w:val="-2"/>
        </w:rPr>
        <w:t>可能性很小。</w:t>
      </w:r>
    </w:p>
    <w:p>
      <w:pPr>
        <w:ind w:left="14"/>
        <w:spacing w:before="120" w:line="222" w:lineRule="auto"/>
        <w:outlineLvl w:val="2"/>
        <w:rPr>
          <w:rFonts w:ascii="SimHei" w:hAnsi="SimHei" w:eastAsia="SimHei" w:cs="SimHei"/>
          <w:sz w:val="28"/>
          <w:szCs w:val="28"/>
        </w:rPr>
      </w:pPr>
      <w:bookmarkStart w:name="bookmark113" w:id="141"/>
      <w:bookmarkEnd w:id="141"/>
      <w:r>
        <w:rPr>
          <w:rFonts w:ascii="Times New Roman" w:hAnsi="Times New Roman" w:eastAsia="Times New Roman" w:cs="Times New Roman"/>
          <w:sz w:val="28"/>
          <w:szCs w:val="28"/>
          <w:spacing w:val="-1"/>
        </w:rPr>
        <w:t>5.6.2 </w:t>
      </w:r>
      <w:r>
        <w:rPr>
          <w:rFonts w:ascii="SimHei" w:hAnsi="SimHei" w:eastAsia="SimHei" w:cs="SimHei"/>
          <w:sz w:val="28"/>
          <w:szCs w:val="28"/>
          <w:spacing w:val="-1"/>
        </w:rPr>
        <w:t>土壤环境影响分析</w:t>
      </w:r>
    </w:p>
    <w:p>
      <w:pPr>
        <w:pStyle w:val="BodyText"/>
        <w:spacing w:line="243" w:lineRule="auto"/>
        <w:rPr/>
      </w:pPr>
      <w:r/>
    </w:p>
    <w:p>
      <w:pPr>
        <w:ind w:left="8"/>
        <w:spacing w:before="78"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5.6.2.1 </w:t>
      </w:r>
      <w:r>
        <w:rPr>
          <w:rFonts w:ascii="SimSun" w:hAnsi="SimSun" w:eastAsia="SimSun" w:cs="SimSun"/>
          <w:sz w:val="24"/>
          <w:szCs w:val="24"/>
          <w:b/>
          <w:bCs/>
          <w:spacing w:val="-2"/>
        </w:rPr>
        <w:t>大气沉降影响分析</w:t>
      </w:r>
    </w:p>
    <w:p>
      <w:pPr>
        <w:ind w:left="9" w:right="78" w:firstLine="479"/>
        <w:spacing w:before="180" w:line="359" w:lineRule="auto"/>
        <w:jc w:val="both"/>
        <w:rPr>
          <w:rFonts w:ascii="SimSun" w:hAnsi="SimSun" w:eastAsia="SimSun" w:cs="SimSun"/>
          <w:sz w:val="24"/>
          <w:szCs w:val="24"/>
        </w:rPr>
      </w:pPr>
      <w:r>
        <w:rPr>
          <w:rFonts w:ascii="SimSun" w:hAnsi="SimSun" w:eastAsia="SimSun" w:cs="SimSun"/>
          <w:sz w:val="24"/>
          <w:szCs w:val="24"/>
          <w:spacing w:val="3"/>
        </w:rPr>
        <w:t>废气中污染物在干湿沉降作用下进入土壤层，在土壤吸附、络合、</w:t>
      </w:r>
      <w:r>
        <w:rPr>
          <w:rFonts w:ascii="SimSun" w:hAnsi="SimSun" w:eastAsia="SimSun" w:cs="SimSun"/>
          <w:sz w:val="24"/>
          <w:szCs w:val="24"/>
          <w:spacing w:val="2"/>
        </w:rPr>
        <w:t>沉淀和阻</w:t>
      </w:r>
      <w:r>
        <w:rPr>
          <w:rFonts w:ascii="SimSun" w:hAnsi="SimSun" w:eastAsia="SimSun" w:cs="SimSun"/>
          <w:sz w:val="24"/>
          <w:szCs w:val="24"/>
        </w:rPr>
        <w:t xml:space="preserve"> </w:t>
      </w:r>
      <w:r>
        <w:rPr>
          <w:rFonts w:ascii="SimSun" w:hAnsi="SimSun" w:eastAsia="SimSun" w:cs="SimSun"/>
          <w:sz w:val="24"/>
          <w:szCs w:val="24"/>
          <w:spacing w:val="3"/>
        </w:rPr>
        <w:t>留作用下，迁移速度较缓慢，大部分残留在土壤表层，</w:t>
      </w:r>
      <w:r>
        <w:rPr>
          <w:rFonts w:ascii="SimSun" w:hAnsi="SimSun" w:eastAsia="SimSun" w:cs="SimSun"/>
          <w:sz w:val="24"/>
          <w:szCs w:val="24"/>
          <w:spacing w:val="2"/>
        </w:rPr>
        <w:t>极少向下层土壤迁移。项</w:t>
      </w:r>
      <w:r>
        <w:rPr>
          <w:rFonts w:ascii="SimSun" w:hAnsi="SimSun" w:eastAsia="SimSun" w:cs="SimSun"/>
          <w:sz w:val="24"/>
          <w:szCs w:val="24"/>
        </w:rPr>
        <w:t xml:space="preserve"> </w:t>
      </w:r>
      <w:r>
        <w:rPr>
          <w:rFonts w:ascii="SimSun" w:hAnsi="SimSun" w:eastAsia="SimSun" w:cs="SimSun"/>
          <w:sz w:val="24"/>
          <w:szCs w:val="24"/>
          <w:spacing w:val="3"/>
        </w:rPr>
        <w:t>目生产过程中产生的废气均采取了相应的处理措施，确</w:t>
      </w:r>
      <w:r>
        <w:rPr>
          <w:rFonts w:ascii="SimSun" w:hAnsi="SimSun" w:eastAsia="SimSun" w:cs="SimSun"/>
          <w:sz w:val="24"/>
          <w:szCs w:val="24"/>
          <w:spacing w:val="2"/>
        </w:rPr>
        <w:t>保各类废气污染物达标排</w:t>
      </w:r>
      <w:r>
        <w:rPr>
          <w:rFonts w:ascii="SimSun" w:hAnsi="SimSun" w:eastAsia="SimSun" w:cs="SimSun"/>
          <w:sz w:val="24"/>
          <w:szCs w:val="24"/>
        </w:rPr>
        <w:t xml:space="preserve"> </w:t>
      </w:r>
      <w:r>
        <w:rPr>
          <w:rFonts w:ascii="SimSun" w:hAnsi="SimSun" w:eastAsia="SimSun" w:cs="SimSun"/>
          <w:sz w:val="24"/>
          <w:szCs w:val="24"/>
          <w:spacing w:val="-1"/>
        </w:rPr>
        <w:t>放，可以有效减少废气污染物通过沉降或降水进入土壤的量。</w:t>
      </w:r>
    </w:p>
    <w:p>
      <w:pPr>
        <w:ind w:left="8" w:right="80" w:firstLine="481"/>
        <w:spacing w:line="359" w:lineRule="auto"/>
        <w:jc w:val="both"/>
        <w:rPr>
          <w:rFonts w:ascii="SimSun" w:hAnsi="SimSun" w:eastAsia="SimSun" w:cs="SimSun"/>
          <w:sz w:val="24"/>
          <w:szCs w:val="24"/>
        </w:rPr>
      </w:pPr>
      <w:r>
        <w:rPr>
          <w:rFonts w:ascii="SimSun" w:hAnsi="SimSun" w:eastAsia="SimSun" w:cs="SimSun"/>
          <w:sz w:val="24"/>
          <w:szCs w:val="24"/>
          <w:spacing w:val="3"/>
        </w:rPr>
        <w:t>本项目涉及的大气污染物包括颗粒物、硫化氢、氨、二氧</w:t>
      </w:r>
      <w:r>
        <w:rPr>
          <w:rFonts w:ascii="SimSun" w:hAnsi="SimSun" w:eastAsia="SimSun" w:cs="SimSun"/>
          <w:sz w:val="24"/>
          <w:szCs w:val="24"/>
          <w:spacing w:val="2"/>
        </w:rPr>
        <w:t>化硫及氮氧化物，</w:t>
      </w:r>
      <w:r>
        <w:rPr>
          <w:rFonts w:ascii="SimSun" w:hAnsi="SimSun" w:eastAsia="SimSun" w:cs="SimSun"/>
          <w:sz w:val="24"/>
          <w:szCs w:val="24"/>
        </w:rPr>
        <w:t xml:space="preserve"> </w:t>
      </w:r>
      <w:r>
        <w:rPr>
          <w:rFonts w:ascii="SimSun" w:hAnsi="SimSun" w:eastAsia="SimSun" w:cs="SimSun"/>
          <w:sz w:val="24"/>
          <w:szCs w:val="24"/>
          <w:spacing w:val="3"/>
        </w:rPr>
        <w:t>颗粒物排放量很少；硫化氢、氨、二氧化硫及氮氧化</w:t>
      </w:r>
      <w:r>
        <w:rPr>
          <w:rFonts w:ascii="SimSun" w:hAnsi="SimSun" w:eastAsia="SimSun" w:cs="SimSun"/>
          <w:sz w:val="24"/>
          <w:szCs w:val="24"/>
          <w:spacing w:val="2"/>
        </w:rPr>
        <w:t>物均为气态污染物，沉降量</w:t>
      </w:r>
      <w:r>
        <w:rPr>
          <w:rFonts w:ascii="SimSun" w:hAnsi="SimSun" w:eastAsia="SimSun" w:cs="SimSun"/>
          <w:sz w:val="24"/>
          <w:szCs w:val="24"/>
        </w:rPr>
        <w:t xml:space="preserve"> </w:t>
      </w:r>
      <w:r>
        <w:rPr>
          <w:rFonts w:ascii="SimSun" w:hAnsi="SimSun" w:eastAsia="SimSun" w:cs="SimSun"/>
          <w:sz w:val="24"/>
          <w:szCs w:val="24"/>
          <w:spacing w:val="3"/>
        </w:rPr>
        <w:t>少，在土壤中积累量很小。同时厂区加强绿化，可以</w:t>
      </w:r>
      <w:r>
        <w:rPr>
          <w:rFonts w:ascii="SimSun" w:hAnsi="SimSun" w:eastAsia="SimSun" w:cs="SimSun"/>
          <w:sz w:val="24"/>
          <w:szCs w:val="24"/>
          <w:spacing w:val="2"/>
        </w:rPr>
        <w:t>有效吸附、阻隔大气沉降对</w:t>
      </w:r>
      <w:r>
        <w:rPr>
          <w:rFonts w:ascii="SimSun" w:hAnsi="SimSun" w:eastAsia="SimSun" w:cs="SimSun"/>
          <w:sz w:val="24"/>
          <w:szCs w:val="24"/>
        </w:rPr>
        <w:t xml:space="preserve"> </w:t>
      </w:r>
      <w:r>
        <w:rPr>
          <w:rFonts w:ascii="SimSun" w:hAnsi="SimSun" w:eastAsia="SimSun" w:cs="SimSun"/>
          <w:sz w:val="24"/>
          <w:szCs w:val="24"/>
        </w:rPr>
        <w:t>土壤的污染。因此，本项目大气沉降对项目周</w:t>
      </w:r>
      <w:r>
        <w:rPr>
          <w:rFonts w:ascii="SimSun" w:hAnsi="SimSun" w:eastAsia="SimSun" w:cs="SimSun"/>
          <w:sz w:val="24"/>
          <w:szCs w:val="24"/>
          <w:spacing w:val="-1"/>
        </w:rPr>
        <w:t>边土壤环境影响较小。</w:t>
      </w:r>
    </w:p>
    <w:p>
      <w:pPr>
        <w:ind w:left="8"/>
        <w:spacing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5.6.2.2 </w:t>
      </w:r>
      <w:r>
        <w:rPr>
          <w:rFonts w:ascii="SimSun" w:hAnsi="SimSun" w:eastAsia="SimSun" w:cs="SimSun"/>
          <w:sz w:val="24"/>
          <w:szCs w:val="24"/>
          <w:b/>
          <w:bCs/>
          <w:spacing w:val="-2"/>
        </w:rPr>
        <w:t>地面漫流影响分析</w:t>
      </w:r>
    </w:p>
    <w:p>
      <w:pPr>
        <w:ind w:right="18" w:firstLine="488"/>
        <w:spacing w:before="179" w:line="358" w:lineRule="auto"/>
        <w:jc w:val="both"/>
        <w:rPr>
          <w:rFonts w:ascii="SimSun" w:hAnsi="SimSun" w:eastAsia="SimSun" w:cs="SimSun"/>
          <w:sz w:val="24"/>
          <w:szCs w:val="24"/>
        </w:rPr>
      </w:pPr>
      <w:r>
        <w:rPr>
          <w:rFonts w:ascii="SimSun" w:hAnsi="SimSun" w:eastAsia="SimSun" w:cs="SimSun"/>
          <w:sz w:val="24"/>
          <w:szCs w:val="24"/>
          <w:spacing w:val="-3"/>
        </w:rPr>
        <w:t>在事故工况产生的事故废水或污水管道断裂、池体破裂可能会发生地面漫流，</w:t>
      </w:r>
      <w:r>
        <w:rPr>
          <w:rFonts w:ascii="SimSun" w:hAnsi="SimSun" w:eastAsia="SimSun" w:cs="SimSun"/>
          <w:sz w:val="24"/>
          <w:szCs w:val="24"/>
          <w:spacing w:val="17"/>
        </w:rPr>
        <w:t xml:space="preserve"> </w:t>
      </w:r>
      <w:r>
        <w:rPr>
          <w:rFonts w:ascii="SimSun" w:hAnsi="SimSun" w:eastAsia="SimSun" w:cs="SimSun"/>
          <w:sz w:val="24"/>
          <w:szCs w:val="24"/>
        </w:rPr>
        <w:t>进一步污染土壤。根据《环境影响评价技术导则 土壤环境》（</w:t>
      </w:r>
      <w:r>
        <w:rPr>
          <w:rFonts w:ascii="Times New Roman" w:hAnsi="Times New Roman" w:eastAsia="Times New Roman" w:cs="Times New Roman"/>
          <w:sz w:val="24"/>
          <w:szCs w:val="24"/>
          <w:spacing w:val="-1"/>
        </w:rPr>
        <w:t>HJ964-2018</w:t>
      </w:r>
      <w:r>
        <w:rPr>
          <w:rFonts w:ascii="SimSun" w:hAnsi="SimSun" w:eastAsia="SimSun" w:cs="SimSun"/>
          <w:sz w:val="24"/>
          <w:szCs w:val="24"/>
          <w:spacing w:val="3"/>
        </w:rPr>
        <w:t>），</w:t>
      </w:r>
      <w:r>
        <w:rPr>
          <w:rFonts w:ascii="SimSun" w:hAnsi="SimSun" w:eastAsia="SimSun" w:cs="SimSun"/>
          <w:sz w:val="24"/>
          <w:szCs w:val="24"/>
          <w:spacing w:val="-1"/>
        </w:rPr>
        <w:t>地</w:t>
      </w:r>
      <w:r>
        <w:rPr>
          <w:rFonts w:ascii="SimSun" w:hAnsi="SimSun" w:eastAsia="SimSun" w:cs="SimSun"/>
          <w:sz w:val="24"/>
          <w:szCs w:val="24"/>
          <w:spacing w:val="1"/>
        </w:rPr>
        <w:t xml:space="preserve"> </w:t>
      </w:r>
      <w:r>
        <w:rPr>
          <w:rFonts w:ascii="SimSun" w:hAnsi="SimSun" w:eastAsia="SimSun" w:cs="SimSun"/>
          <w:sz w:val="24"/>
          <w:szCs w:val="24"/>
          <w:spacing w:val="-2"/>
        </w:rPr>
        <w:t>面漫流对土壤的影响主要为废水中</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2"/>
        </w:rPr>
        <w:t>pH </w:t>
      </w:r>
      <w:r>
        <w:rPr>
          <w:rFonts w:ascii="SimSun" w:hAnsi="SimSun" w:eastAsia="SimSun" w:cs="SimSun"/>
          <w:sz w:val="24"/>
          <w:szCs w:val="24"/>
          <w:spacing w:val="-2"/>
        </w:rPr>
        <w:t>对土壤酸化、碱化的影响，本项目厂区产生</w:t>
      </w:r>
      <w:r>
        <w:rPr>
          <w:rFonts w:ascii="SimSun" w:hAnsi="SimSun" w:eastAsia="SimSun" w:cs="SimSun"/>
          <w:sz w:val="24"/>
          <w:szCs w:val="24"/>
        </w:rPr>
        <w:t xml:space="preserve"> </w:t>
      </w:r>
      <w:r>
        <w:rPr>
          <w:rFonts w:ascii="SimSun" w:hAnsi="SimSun" w:eastAsia="SimSun" w:cs="SimSun"/>
          <w:sz w:val="24"/>
          <w:szCs w:val="24"/>
          <w:spacing w:val="-1"/>
        </w:rPr>
        <w:t>的废水</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1"/>
        </w:rPr>
        <w:t>pH </w:t>
      </w:r>
      <w:r>
        <w:rPr>
          <w:rFonts w:ascii="SimSun" w:hAnsi="SimSun" w:eastAsia="SimSun" w:cs="SimSun"/>
          <w:sz w:val="24"/>
          <w:szCs w:val="24"/>
          <w:spacing w:val="-1"/>
        </w:rPr>
        <w:t>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6-8 </w:t>
      </w:r>
      <w:r>
        <w:rPr>
          <w:rFonts w:ascii="SimSun" w:hAnsi="SimSun" w:eastAsia="SimSun" w:cs="SimSun"/>
          <w:sz w:val="24"/>
          <w:szCs w:val="24"/>
          <w:spacing w:val="-1"/>
        </w:rPr>
        <w:t>之间，若事故状态下，与土壤中酸性、碱性物质中和后，土</w:t>
      </w:r>
      <w:r>
        <w:rPr>
          <w:rFonts w:ascii="SimSun" w:hAnsi="SimSun" w:eastAsia="SimSun" w:cs="SimSun"/>
          <w:sz w:val="24"/>
          <w:szCs w:val="24"/>
          <w:spacing w:val="-2"/>
        </w:rPr>
        <w:t>壤中</w:t>
      </w:r>
      <w:r>
        <w:rPr>
          <w:rFonts w:ascii="SimSun" w:hAnsi="SimSun" w:eastAsia="SimSun" w:cs="SimSun"/>
          <w:sz w:val="24"/>
          <w:szCs w:val="24"/>
        </w:rPr>
        <w:t xml:space="preserve"> </w:t>
      </w:r>
      <w:r>
        <w:rPr>
          <w:rFonts w:ascii="Times New Roman" w:hAnsi="Times New Roman" w:eastAsia="Times New Roman" w:cs="Times New Roman"/>
          <w:sz w:val="24"/>
          <w:szCs w:val="24"/>
          <w:spacing w:val="-1"/>
        </w:rPr>
        <w:t>pH </w:t>
      </w:r>
      <w:r>
        <w:rPr>
          <w:rFonts w:ascii="SimSun" w:hAnsi="SimSun" w:eastAsia="SimSun" w:cs="SimSun"/>
          <w:sz w:val="24"/>
          <w:szCs w:val="24"/>
          <w:spacing w:val="-1"/>
        </w:rPr>
        <w:t>值变化不大，对土壤的影响较小。</w:t>
      </w:r>
    </w:p>
    <w:p>
      <w:pPr>
        <w:ind w:left="10" w:firstLine="481"/>
        <w:spacing w:before="8" w:line="360" w:lineRule="auto"/>
        <w:jc w:val="both"/>
        <w:rPr>
          <w:rFonts w:ascii="SimSun" w:hAnsi="SimSun" w:eastAsia="SimSun" w:cs="SimSun"/>
          <w:sz w:val="24"/>
          <w:szCs w:val="24"/>
        </w:rPr>
      </w:pPr>
      <w:r>
        <w:rPr>
          <w:rFonts w:ascii="SimSun" w:hAnsi="SimSun" w:eastAsia="SimSun" w:cs="SimSun"/>
          <w:sz w:val="24"/>
          <w:szCs w:val="24"/>
          <w:spacing w:val="3"/>
        </w:rPr>
        <w:t>建设单位应按照国家环境保护法律法规及标准要求，建立从</w:t>
      </w:r>
      <w:r>
        <w:rPr>
          <w:rFonts w:ascii="SimSun" w:hAnsi="SimSun" w:eastAsia="SimSun" w:cs="SimSun"/>
          <w:sz w:val="24"/>
          <w:szCs w:val="24"/>
          <w:spacing w:val="2"/>
        </w:rPr>
        <w:t>污染源头、过程</w:t>
      </w:r>
      <w:r>
        <w:rPr>
          <w:rFonts w:ascii="SimSun" w:hAnsi="SimSun" w:eastAsia="SimSun" w:cs="SimSun"/>
          <w:sz w:val="24"/>
          <w:szCs w:val="24"/>
        </w:rPr>
        <w:t xml:space="preserve"> </w:t>
      </w:r>
      <w:r>
        <w:rPr>
          <w:rFonts w:ascii="SimSun" w:hAnsi="SimSun" w:eastAsia="SimSun" w:cs="SimSun"/>
          <w:sz w:val="24"/>
          <w:szCs w:val="24"/>
          <w:spacing w:val="3"/>
        </w:rPr>
        <w:t>处理和最终排放的厂内三级防控体系，其中一级</w:t>
      </w:r>
      <w:r>
        <w:rPr>
          <w:rFonts w:ascii="SimSun" w:hAnsi="SimSun" w:eastAsia="SimSun" w:cs="SimSun"/>
          <w:sz w:val="24"/>
          <w:szCs w:val="24"/>
          <w:spacing w:val="2"/>
        </w:rPr>
        <w:t>防控系统为各装置区防止废液外</w:t>
      </w:r>
      <w:r>
        <w:rPr>
          <w:rFonts w:ascii="SimSun" w:hAnsi="SimSun" w:eastAsia="SimSun" w:cs="SimSun"/>
          <w:sz w:val="24"/>
          <w:szCs w:val="24"/>
        </w:rPr>
        <w:t xml:space="preserve"> </w:t>
      </w:r>
      <w:r>
        <w:rPr>
          <w:rFonts w:ascii="SimSun" w:hAnsi="SimSun" w:eastAsia="SimSun" w:cs="SimSun"/>
          <w:sz w:val="24"/>
          <w:szCs w:val="24"/>
          <w:spacing w:val="1"/>
        </w:rPr>
        <w:t>流的围堰</w:t>
      </w:r>
      <w:r>
        <w:rPr>
          <w:rFonts w:ascii="Times New Roman" w:hAnsi="Times New Roman" w:eastAsia="Times New Roman" w:cs="Times New Roman"/>
          <w:sz w:val="24"/>
          <w:szCs w:val="24"/>
          <w:spacing w:val="1"/>
        </w:rPr>
        <w:t>/</w:t>
      </w:r>
      <w:r>
        <w:rPr>
          <w:rFonts w:ascii="SimSun" w:hAnsi="SimSun" w:eastAsia="SimSun" w:cs="SimSun"/>
          <w:sz w:val="24"/>
          <w:szCs w:val="24"/>
          <w:spacing w:val="1"/>
        </w:rPr>
        <w:t>围堤、沟槽、截漏设施等，二级防控系统为全</w:t>
      </w:r>
      <w:r>
        <w:rPr>
          <w:rFonts w:ascii="SimSun" w:hAnsi="SimSun" w:eastAsia="SimSun" w:cs="SimSun"/>
          <w:sz w:val="24"/>
          <w:szCs w:val="24"/>
        </w:rPr>
        <w:t>厂事故水池，三级防控系 </w:t>
      </w:r>
      <w:r>
        <w:rPr>
          <w:rFonts w:ascii="SimSun" w:hAnsi="SimSun" w:eastAsia="SimSun" w:cs="SimSun"/>
          <w:sz w:val="24"/>
          <w:szCs w:val="24"/>
          <w:spacing w:val="3"/>
        </w:rPr>
        <w:t>统为园区事故水池。本项目通过三级防控系统，</w:t>
      </w:r>
      <w:r>
        <w:rPr>
          <w:rFonts w:ascii="SimSun" w:hAnsi="SimSun" w:eastAsia="SimSun" w:cs="SimSun"/>
          <w:sz w:val="24"/>
          <w:szCs w:val="24"/>
          <w:spacing w:val="2"/>
        </w:rPr>
        <w:t>全面防控事故废水和可能受污染</w:t>
      </w:r>
      <w:r>
        <w:rPr>
          <w:rFonts w:ascii="SimSun" w:hAnsi="SimSun" w:eastAsia="SimSun" w:cs="SimSun"/>
          <w:sz w:val="24"/>
          <w:szCs w:val="24"/>
        </w:rPr>
        <w:t xml:space="preserve"> </w:t>
      </w:r>
      <w:r>
        <w:rPr>
          <w:rFonts w:ascii="SimSun" w:hAnsi="SimSun" w:eastAsia="SimSun" w:cs="SimSun"/>
          <w:sz w:val="24"/>
          <w:szCs w:val="24"/>
          <w:spacing w:val="-2"/>
        </w:rPr>
        <w:t>的雨水发生地面漫流，进入土壤，可将事故状态下事故废水控制在本项目范围内。</w:t>
      </w:r>
      <w:r>
        <w:rPr>
          <w:rFonts w:ascii="SimSun" w:hAnsi="SimSun" w:eastAsia="SimSun" w:cs="SimSun"/>
          <w:sz w:val="24"/>
          <w:szCs w:val="24"/>
          <w:spacing w:val="4"/>
        </w:rPr>
        <w:t xml:space="preserve"> </w:t>
      </w:r>
      <w:r>
        <w:rPr>
          <w:rFonts w:ascii="SimSun" w:hAnsi="SimSun" w:eastAsia="SimSun" w:cs="SimSun"/>
          <w:sz w:val="24"/>
          <w:szCs w:val="24"/>
          <w:spacing w:val="3"/>
        </w:rPr>
        <w:t>若出现极端事故工况，当事故水池发出高液位预</w:t>
      </w:r>
      <w:r>
        <w:rPr>
          <w:rFonts w:ascii="SimSun" w:hAnsi="SimSun" w:eastAsia="SimSun" w:cs="SimSun"/>
          <w:sz w:val="24"/>
          <w:szCs w:val="24"/>
          <w:spacing w:val="2"/>
        </w:rPr>
        <w:t>警时，则开启区域事故水池与项</w:t>
      </w:r>
    </w:p>
    <w:p>
      <w:pPr>
        <w:spacing w:line="360" w:lineRule="auto"/>
        <w:sectPr>
          <w:headerReference w:type="default" r:id="rId11"/>
          <w:footerReference w:type="default" r:id="rId300"/>
          <w:pgSz w:w="11907" w:h="16840"/>
          <w:pgMar w:top="1567" w:right="1621" w:bottom="1921" w:left="1701" w:header="1221" w:footer="1247" w:gutter="0"/>
        </w:sectPr>
        <w:rPr>
          <w:rFonts w:ascii="SimSun" w:hAnsi="SimSun" w:eastAsia="SimSun" w:cs="SimSun"/>
          <w:sz w:val="24"/>
          <w:szCs w:val="24"/>
        </w:rPr>
      </w:pPr>
    </w:p>
    <w:p>
      <w:pPr>
        <w:ind w:left="13" w:right="61" w:firstLine="41"/>
        <w:spacing w:before="188" w:line="358" w:lineRule="auto"/>
        <w:rPr>
          <w:rFonts w:ascii="SimSun" w:hAnsi="SimSun" w:eastAsia="SimSun" w:cs="SimSun"/>
          <w:sz w:val="24"/>
          <w:szCs w:val="24"/>
        </w:rPr>
      </w:pPr>
      <w:r>
        <w:pict>
          <v:shape id="_x0000_s1030" style="position:absolute;margin-left:85.05pt;margin-top:79.11pt;mso-position-vertical-relative:page;mso-position-horizontal-relative:page;width:425.25pt;height:0.75pt;z-index:252160000;" o:allowincell="f" fillcolor="#000000" filled="true" stroked="false" coordsize="8505,15" coordorigin="0,0" path="m,l8505,0l8505,14l0,14l0,0xe"/>
        </w:pict>
      </w:r>
      <w:r>
        <w:rPr>
          <w:rFonts w:ascii="SimSun" w:hAnsi="SimSun" w:eastAsia="SimSun" w:cs="SimSun"/>
          <w:sz w:val="24"/>
          <w:szCs w:val="24"/>
          <w:spacing w:val="1"/>
        </w:rPr>
        <w:t>目事故水池联动系统，将事故废水导入区域事故水池，确保事故废水和可能受污</w:t>
      </w:r>
      <w:r>
        <w:rPr>
          <w:rFonts w:ascii="SimSun" w:hAnsi="SimSun" w:eastAsia="SimSun" w:cs="SimSun"/>
          <w:sz w:val="24"/>
          <w:szCs w:val="24"/>
          <w:spacing w:val="11"/>
        </w:rPr>
        <w:t xml:space="preserve"> </w:t>
      </w:r>
      <w:r>
        <w:rPr>
          <w:rFonts w:ascii="SimSun" w:hAnsi="SimSun" w:eastAsia="SimSun" w:cs="SimSun"/>
          <w:sz w:val="24"/>
          <w:szCs w:val="24"/>
          <w:spacing w:val="-1"/>
        </w:rPr>
        <w:t>染的雨水不会发生地面漫流，进入土壤。</w:t>
      </w:r>
    </w:p>
    <w:p>
      <w:pPr>
        <w:ind w:left="8"/>
        <w:spacing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5.6.2.3 </w:t>
      </w:r>
      <w:r>
        <w:rPr>
          <w:rFonts w:ascii="SimSun" w:hAnsi="SimSun" w:eastAsia="SimSun" w:cs="SimSun"/>
          <w:sz w:val="24"/>
          <w:szCs w:val="24"/>
          <w:b/>
          <w:bCs/>
          <w:spacing w:val="-2"/>
        </w:rPr>
        <w:t>垂直下渗影响预测</w:t>
      </w:r>
    </w:p>
    <w:p>
      <w:pPr>
        <w:ind w:left="508"/>
        <w:spacing w:before="181" w:line="220" w:lineRule="auto"/>
        <w:rPr>
          <w:rFonts w:ascii="SimSun" w:hAnsi="SimSun" w:eastAsia="SimSun" w:cs="SimSun"/>
          <w:sz w:val="24"/>
          <w:szCs w:val="24"/>
        </w:rPr>
      </w:pP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7"/>
        </w:rPr>
        <w:t>、污染预测方法</w:t>
      </w:r>
    </w:p>
    <w:p>
      <w:pPr>
        <w:ind w:left="9" w:firstLine="480"/>
        <w:spacing w:before="183" w:line="355" w:lineRule="auto"/>
        <w:rPr>
          <w:rFonts w:ascii="SimSun" w:hAnsi="SimSun" w:eastAsia="SimSun" w:cs="SimSun"/>
          <w:sz w:val="24"/>
          <w:szCs w:val="24"/>
        </w:rPr>
      </w:pPr>
      <w:r>
        <w:rPr>
          <w:rFonts w:ascii="SimSun" w:hAnsi="SimSun" w:eastAsia="SimSun" w:cs="SimSun"/>
          <w:sz w:val="24"/>
          <w:szCs w:val="24"/>
          <w:spacing w:val="3"/>
        </w:rPr>
        <w:t>本项目为污染影响型建设性项目，主要考虑项目建设期及</w:t>
      </w:r>
      <w:r>
        <w:rPr>
          <w:rFonts w:ascii="SimSun" w:hAnsi="SimSun" w:eastAsia="SimSun" w:cs="SimSun"/>
          <w:sz w:val="24"/>
          <w:szCs w:val="24"/>
          <w:spacing w:val="2"/>
        </w:rPr>
        <w:t>运营期污染源对土</w:t>
      </w:r>
      <w:r>
        <w:rPr>
          <w:rFonts w:ascii="SimSun" w:hAnsi="SimSun" w:eastAsia="SimSun" w:cs="SimSun"/>
          <w:sz w:val="24"/>
          <w:szCs w:val="24"/>
        </w:rPr>
        <w:t xml:space="preserve"> </w:t>
      </w:r>
      <w:r>
        <w:rPr>
          <w:rFonts w:ascii="SimSun" w:hAnsi="SimSun" w:eastAsia="SimSun" w:cs="SimSun"/>
          <w:sz w:val="24"/>
          <w:szCs w:val="24"/>
        </w:rPr>
        <w:t>壤产生的污染风险。根据《环境影响评价技术导则</w:t>
      </w:r>
      <w:r>
        <w:rPr>
          <w:rFonts w:ascii="Times New Roman" w:hAnsi="Times New Roman" w:eastAsia="Times New Roman" w:cs="Times New Roman"/>
          <w:sz w:val="24"/>
          <w:szCs w:val="24"/>
        </w:rPr>
        <w:t>-</w:t>
      </w:r>
      <w:r>
        <w:rPr>
          <w:rFonts w:ascii="SimSun" w:hAnsi="SimSun" w:eastAsia="SimSun" w:cs="SimSun"/>
          <w:sz w:val="24"/>
          <w:szCs w:val="24"/>
        </w:rPr>
        <w:t>土壤环境</w:t>
      </w:r>
      <w:r>
        <w:rPr>
          <w:rFonts w:ascii="SimSun" w:hAnsi="SimSun" w:eastAsia="SimSun" w:cs="SimSun"/>
          <w:sz w:val="24"/>
          <w:szCs w:val="24"/>
          <w:spacing w:val="-1"/>
        </w:rPr>
        <w:t>》（</w:t>
      </w:r>
      <w:r>
        <w:rPr>
          <w:rFonts w:ascii="Times New Roman" w:hAnsi="Times New Roman" w:eastAsia="Times New Roman" w:cs="Times New Roman"/>
          <w:sz w:val="24"/>
          <w:szCs w:val="24"/>
          <w:spacing w:val="-1"/>
        </w:rPr>
        <w:t>HJ 964-2018</w:t>
      </w:r>
      <w:r>
        <w:rPr>
          <w:rFonts w:ascii="SimSun" w:hAnsi="SimSun" w:eastAsia="SimSun" w:cs="SimSun"/>
          <w:sz w:val="24"/>
          <w:szCs w:val="24"/>
          <w:spacing w:val="14"/>
        </w:rPr>
        <w:t>），</w:t>
      </w:r>
      <w:r>
        <w:rPr>
          <w:rFonts w:ascii="SimSun" w:hAnsi="SimSun" w:eastAsia="SimSun" w:cs="SimSun"/>
          <w:sz w:val="24"/>
          <w:szCs w:val="24"/>
          <w:spacing w:val="1"/>
        </w:rPr>
        <w:t xml:space="preserve"> </w:t>
      </w:r>
      <w:r>
        <w:rPr>
          <w:rFonts w:ascii="SimSun" w:hAnsi="SimSun" w:eastAsia="SimSun" w:cs="SimSun"/>
          <w:sz w:val="24"/>
          <w:szCs w:val="24"/>
          <w:spacing w:val="1"/>
        </w:rPr>
        <w:t>拟采用附录</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E</w:t>
      </w:r>
      <w:r>
        <w:rPr>
          <w:rFonts w:ascii="Times New Roman" w:hAnsi="Times New Roman" w:eastAsia="Times New Roman" w:cs="Times New Roman"/>
          <w:sz w:val="24"/>
          <w:szCs w:val="24"/>
          <w:spacing w:val="34"/>
          <w:w w:val="101"/>
        </w:rPr>
        <w:t xml:space="preserve"> </w:t>
      </w:r>
      <w:r>
        <w:rPr>
          <w:rFonts w:ascii="SimSun" w:hAnsi="SimSun" w:eastAsia="SimSun" w:cs="SimSun"/>
          <w:sz w:val="24"/>
          <w:szCs w:val="24"/>
          <w:spacing w:val="1"/>
        </w:rPr>
        <w:t>中的方法二对土壤污染进行预测评价，重点关</w:t>
      </w:r>
      <w:r>
        <w:rPr>
          <w:rFonts w:ascii="SimSun" w:hAnsi="SimSun" w:eastAsia="SimSun" w:cs="SimSun"/>
          <w:sz w:val="24"/>
          <w:szCs w:val="24"/>
        </w:rPr>
        <w:t>注敏感点位浅层土壤 </w:t>
      </w:r>
      <w:r>
        <w:rPr>
          <w:rFonts w:ascii="SimSun" w:hAnsi="SimSun" w:eastAsia="SimSun" w:cs="SimSun"/>
          <w:sz w:val="24"/>
          <w:szCs w:val="24"/>
          <w:spacing w:val="-2"/>
        </w:rPr>
        <w:t>（包气带）垂向污染物运移情况。由于植被影响程</w:t>
      </w:r>
      <w:r>
        <w:rPr>
          <w:rFonts w:ascii="SimSun" w:hAnsi="SimSun" w:eastAsia="SimSun" w:cs="SimSun"/>
          <w:sz w:val="24"/>
          <w:szCs w:val="24"/>
          <w:spacing w:val="-3"/>
        </w:rPr>
        <w:t>度较小，不考虑植物根系吸水，</w:t>
      </w:r>
      <w:r>
        <w:rPr>
          <w:rFonts w:ascii="SimSun" w:hAnsi="SimSun" w:eastAsia="SimSun" w:cs="SimSun"/>
          <w:sz w:val="24"/>
          <w:szCs w:val="24"/>
        </w:rPr>
        <w:t xml:space="preserve"> </w:t>
      </w:r>
      <w:r>
        <w:rPr>
          <w:rFonts w:ascii="SimSun" w:hAnsi="SimSun" w:eastAsia="SimSun" w:cs="SimSun"/>
          <w:sz w:val="24"/>
          <w:szCs w:val="24"/>
          <w:spacing w:val="3"/>
        </w:rPr>
        <w:t>也不考虑土壤中热对流及热扩散，仅考虑土壤垂向一维</w:t>
      </w:r>
      <w:r>
        <w:rPr>
          <w:rFonts w:ascii="SimSun" w:hAnsi="SimSun" w:eastAsia="SimSun" w:cs="SimSun"/>
          <w:sz w:val="24"/>
          <w:szCs w:val="24"/>
          <w:spacing w:val="2"/>
        </w:rPr>
        <w:t>水分运移及溶质扩散。其</w:t>
      </w:r>
      <w:r>
        <w:rPr>
          <w:rFonts w:ascii="SimSun" w:hAnsi="SimSun" w:eastAsia="SimSun" w:cs="SimSun"/>
          <w:sz w:val="24"/>
          <w:szCs w:val="24"/>
        </w:rPr>
        <w:t xml:space="preserve"> </w:t>
      </w:r>
      <w:r>
        <w:rPr>
          <w:rFonts w:ascii="SimSun" w:hAnsi="SimSun" w:eastAsia="SimSun" w:cs="SimSun"/>
          <w:sz w:val="24"/>
          <w:szCs w:val="24"/>
          <w:spacing w:val="-1"/>
        </w:rPr>
        <w:t>中土壤水分运动方程为：</w:t>
      </w:r>
    </w:p>
    <w:p>
      <w:pPr>
        <w:ind w:left="3285"/>
        <w:spacing w:line="665" w:lineRule="exact"/>
        <w:rPr/>
      </w:pPr>
      <w:r>
        <w:rPr>
          <w:position w:val="-13"/>
        </w:rPr>
        <w:drawing>
          <wp:inline distT="0" distB="0" distL="0" distR="0">
            <wp:extent cx="1207731" cy="422499"/>
            <wp:effectExtent l="0" t="0" r="0" b="0"/>
            <wp:docPr id="184" name="IM 184"/>
            <wp:cNvGraphicFramePr/>
            <a:graphic>
              <a:graphicData uri="http://schemas.openxmlformats.org/drawingml/2006/picture">
                <pic:pic>
                  <pic:nvPicPr>
                    <pic:cNvPr id="184" name="IM 184"/>
                    <pic:cNvPicPr/>
                  </pic:nvPicPr>
                  <pic:blipFill>
                    <a:blip r:embed="rId301"/>
                    <a:stretch>
                      <a:fillRect/>
                    </a:stretch>
                  </pic:blipFill>
                  <pic:spPr>
                    <a:xfrm rot="0">
                      <a:off x="0" y="0"/>
                      <a:ext cx="1207731" cy="422499"/>
                    </a:xfrm>
                    <a:prstGeom prst="rect">
                      <a:avLst/>
                    </a:prstGeom>
                  </pic:spPr>
                </pic:pic>
              </a:graphicData>
            </a:graphic>
          </wp:inline>
        </w:drawing>
      </w:r>
    </w:p>
    <w:p>
      <w:pPr>
        <w:ind w:left="8" w:firstLine="486"/>
        <w:spacing w:before="10" w:line="363" w:lineRule="auto"/>
        <w:jc w:val="both"/>
        <w:rPr>
          <w:rFonts w:ascii="SimSun" w:hAnsi="SimSun" w:eastAsia="SimSun" w:cs="SimSun"/>
          <w:sz w:val="24"/>
          <w:szCs w:val="24"/>
        </w:rPr>
      </w:pPr>
      <w:r>
        <w:rPr>
          <w:rFonts w:ascii="SimSun" w:hAnsi="SimSun" w:eastAsia="SimSun" w:cs="SimSun"/>
          <w:sz w:val="24"/>
          <w:szCs w:val="24"/>
          <w:spacing w:val="-2"/>
        </w:rPr>
        <w:t>式中</w:t>
      </w:r>
      <w:r>
        <w:rPr>
          <w:sz w:val="24"/>
          <w:szCs w:val="24"/>
          <w:position w:val="-1"/>
        </w:rPr>
        <w:drawing>
          <wp:inline distT="0" distB="0" distL="0" distR="0">
            <wp:extent cx="94488" cy="114808"/>
            <wp:effectExtent l="0" t="0" r="0" b="0"/>
            <wp:docPr id="186" name="IM 186"/>
            <wp:cNvGraphicFramePr/>
            <a:graphic>
              <a:graphicData uri="http://schemas.openxmlformats.org/drawingml/2006/picture">
                <pic:pic>
                  <pic:nvPicPr>
                    <pic:cNvPr id="186" name="IM 186"/>
                    <pic:cNvPicPr/>
                  </pic:nvPicPr>
                  <pic:blipFill>
                    <a:blip r:embed="rId302"/>
                    <a:stretch>
                      <a:fillRect/>
                    </a:stretch>
                  </pic:blipFill>
                  <pic:spPr>
                    <a:xfrm rot="0">
                      <a:off x="0" y="0"/>
                      <a:ext cx="94488" cy="114808"/>
                    </a:xfrm>
                    <a:prstGeom prst="rect">
                      <a:avLst/>
                    </a:prstGeom>
                  </pic:spPr>
                </pic:pic>
              </a:graphicData>
            </a:graphic>
          </wp:inline>
        </w:drawing>
      </w:r>
      <w:r>
        <w:rPr>
          <w:rFonts w:ascii="SimSun" w:hAnsi="SimSun" w:eastAsia="SimSun" w:cs="SimSun"/>
          <w:sz w:val="24"/>
          <w:szCs w:val="24"/>
          <w:spacing w:val="-2"/>
        </w:rPr>
        <w:t>为土壤体积含水量，</w:t>
      </w:r>
      <w:r>
        <w:rPr>
          <w:rFonts w:ascii="Cambria Math" w:hAnsi="Cambria Math" w:eastAsia="Cambria Math" w:cs="Cambria Math"/>
          <w:sz w:val="24"/>
          <w:szCs w:val="24"/>
          <w:spacing w:val="-2"/>
        </w:rPr>
        <w:t>cm</w:t>
      </w:r>
      <w:r>
        <w:rPr>
          <w:rFonts w:ascii="Cambria Math" w:hAnsi="Cambria Math" w:eastAsia="Cambria Math" w:cs="Cambria Math"/>
          <w:sz w:val="16"/>
          <w:szCs w:val="16"/>
          <w:spacing w:val="-2"/>
          <w:position w:val="8"/>
        </w:rPr>
        <w:t>3</w:t>
      </w:r>
      <w:r>
        <w:rPr>
          <w:rFonts w:ascii="Cambria Math" w:hAnsi="Cambria Math" w:eastAsia="Cambria Math" w:cs="Cambria Math"/>
          <w:sz w:val="24"/>
          <w:szCs w:val="24"/>
          <w:spacing w:val="-2"/>
        </w:rPr>
        <w:t>/cm</w:t>
      </w:r>
      <w:r>
        <w:rPr>
          <w:rFonts w:ascii="Cambria Math" w:hAnsi="Cambria Math" w:eastAsia="Cambria Math" w:cs="Cambria Math"/>
          <w:sz w:val="16"/>
          <w:szCs w:val="16"/>
          <w:spacing w:val="-2"/>
          <w:position w:val="8"/>
        </w:rPr>
        <w:t>3 </w:t>
      </w:r>
      <w:r>
        <w:rPr>
          <w:rFonts w:ascii="SimSun" w:hAnsi="SimSun" w:eastAsia="SimSun" w:cs="SimSun"/>
          <w:sz w:val="24"/>
          <w:szCs w:val="24"/>
          <w:spacing w:val="-2"/>
        </w:rPr>
        <w:t>；</w:t>
      </w:r>
      <w:r>
        <w:rPr>
          <w:rFonts w:ascii="Cambria Math" w:hAnsi="Cambria Math" w:eastAsia="Cambria Math" w:cs="Cambria Math"/>
          <w:sz w:val="24"/>
          <w:szCs w:val="24"/>
          <w:spacing w:val="-2"/>
        </w:rPr>
        <w:t>t</w:t>
      </w:r>
      <w:r>
        <w:rPr>
          <w:rFonts w:ascii="SimSun" w:hAnsi="SimSun" w:eastAsia="SimSun" w:cs="SimSun"/>
          <w:sz w:val="24"/>
          <w:szCs w:val="24"/>
          <w:spacing w:val="-2"/>
        </w:rPr>
        <w:t>为时间，</w:t>
      </w:r>
      <w:r>
        <w:rPr>
          <w:rFonts w:ascii="Times New Roman" w:hAnsi="Times New Roman" w:eastAsia="Times New Roman" w:cs="Times New Roman"/>
          <w:sz w:val="24"/>
          <w:szCs w:val="24"/>
          <w:i/>
          <w:iCs/>
          <w:spacing w:val="-2"/>
        </w:rPr>
        <w:t>d</w:t>
      </w:r>
      <w:r>
        <w:rPr>
          <w:rFonts w:ascii="SimSun" w:hAnsi="SimSun" w:eastAsia="SimSun" w:cs="SimSun"/>
          <w:sz w:val="24"/>
          <w:szCs w:val="24"/>
          <w:spacing w:val="-2"/>
        </w:rPr>
        <w:t>；</w:t>
      </w:r>
      <w:r>
        <w:rPr>
          <w:rFonts w:ascii="Cambria Math" w:hAnsi="Cambria Math" w:eastAsia="Cambria Math" w:cs="Cambria Math"/>
          <w:sz w:val="24"/>
          <w:szCs w:val="24"/>
          <w:spacing w:val="-2"/>
        </w:rPr>
        <w:t>z</w:t>
      </w:r>
      <w:r>
        <w:rPr>
          <w:rFonts w:ascii="SimSun" w:hAnsi="SimSun" w:eastAsia="SimSun" w:cs="SimSun"/>
          <w:sz w:val="24"/>
          <w:szCs w:val="24"/>
          <w:spacing w:val="-2"/>
        </w:rPr>
        <w:t>为垂向坐标，</w:t>
      </w:r>
      <w:r>
        <w:rPr>
          <w:rFonts w:ascii="Cambria Math" w:hAnsi="Cambria Math" w:eastAsia="Cambria Math" w:cs="Cambria Math"/>
          <w:sz w:val="24"/>
          <w:szCs w:val="24"/>
          <w:spacing w:val="-2"/>
        </w:rPr>
        <w:t>cm</w:t>
      </w:r>
      <w:r>
        <w:rPr>
          <w:rFonts w:ascii="SimSun" w:hAnsi="SimSun" w:eastAsia="SimSun" w:cs="SimSun"/>
          <w:sz w:val="24"/>
          <w:szCs w:val="24"/>
          <w:spacing w:val="-2"/>
        </w:rPr>
        <w:t>；</w:t>
      </w:r>
      <w:r>
        <w:rPr>
          <w:rFonts w:ascii="Cambria Math" w:hAnsi="Cambria Math" w:eastAsia="Cambria Math" w:cs="Cambria Math"/>
          <w:sz w:val="24"/>
          <w:szCs w:val="24"/>
          <w:spacing w:val="-2"/>
        </w:rPr>
        <w:t>h</w:t>
      </w:r>
      <w:r>
        <w:rPr>
          <w:rFonts w:ascii="SimSun" w:hAnsi="SimSun" w:eastAsia="SimSun" w:cs="SimSun"/>
          <w:sz w:val="24"/>
          <w:szCs w:val="24"/>
          <w:spacing w:val="-2"/>
        </w:rPr>
        <w:t>为压</w:t>
      </w:r>
      <w:r>
        <w:rPr>
          <w:rFonts w:ascii="SimSun" w:hAnsi="SimSun" w:eastAsia="SimSun" w:cs="SimSun"/>
          <w:sz w:val="24"/>
          <w:szCs w:val="24"/>
          <w:spacing w:val="9"/>
        </w:rPr>
        <w:t xml:space="preserve"> </w:t>
      </w:r>
      <w:r>
        <w:rPr>
          <w:rFonts w:ascii="SimSun" w:hAnsi="SimSun" w:eastAsia="SimSun" w:cs="SimSun"/>
          <w:sz w:val="24"/>
          <w:szCs w:val="24"/>
          <w:spacing w:val="1"/>
        </w:rPr>
        <w:t>力水头，</w:t>
      </w:r>
      <w:r>
        <w:rPr>
          <w:rFonts w:ascii="Cambria Math" w:hAnsi="Cambria Math" w:eastAsia="Cambria Math" w:cs="Cambria Math"/>
          <w:sz w:val="24"/>
          <w:szCs w:val="24"/>
        </w:rPr>
        <w:t>cm</w:t>
      </w:r>
      <w:r>
        <w:rPr>
          <w:rFonts w:ascii="SimSun" w:hAnsi="SimSun" w:eastAsia="SimSun" w:cs="SimSun"/>
          <w:sz w:val="24"/>
          <w:szCs w:val="24"/>
          <w:spacing w:val="1"/>
        </w:rPr>
        <w:t>；</w:t>
      </w:r>
      <w:r>
        <w:rPr>
          <w:rFonts w:ascii="Cambria Math" w:hAnsi="Cambria Math" w:eastAsia="Cambria Math" w:cs="Cambria Math"/>
          <w:sz w:val="24"/>
          <w:szCs w:val="24"/>
          <w:spacing w:val="1"/>
        </w:rPr>
        <w:t>K</w:t>
      </w:r>
      <w:r>
        <w:rPr>
          <w:rFonts w:ascii="SimSun" w:hAnsi="SimSun" w:eastAsia="SimSun" w:cs="SimSun"/>
          <w:sz w:val="24"/>
          <w:szCs w:val="24"/>
          <w:spacing w:val="1"/>
        </w:rPr>
        <w:t>为土壤非饱和导水系数，</w:t>
      </w:r>
      <w:r>
        <w:rPr>
          <w:rFonts w:ascii="Cambria Math" w:hAnsi="Cambria Math" w:eastAsia="Cambria Math" w:cs="Cambria Math"/>
          <w:sz w:val="24"/>
          <w:szCs w:val="24"/>
        </w:rPr>
        <w:t>cm</w:t>
      </w:r>
      <w:r>
        <w:rPr>
          <w:rFonts w:ascii="Cambria Math" w:hAnsi="Cambria Math" w:eastAsia="Cambria Math" w:cs="Cambria Math"/>
          <w:sz w:val="24"/>
          <w:szCs w:val="24"/>
          <w:spacing w:val="1"/>
        </w:rPr>
        <w:t>/s</w:t>
      </w:r>
      <w:r>
        <w:rPr>
          <w:rFonts w:ascii="SimSun" w:hAnsi="SimSun" w:eastAsia="SimSun" w:cs="SimSun"/>
          <w:sz w:val="24"/>
          <w:szCs w:val="24"/>
          <w:spacing w:val="1"/>
        </w:rPr>
        <w:t>；</w:t>
      </w:r>
      <w:r>
        <w:rPr>
          <w:rFonts w:ascii="Cambria Math" w:hAnsi="Cambria Math" w:eastAsia="Cambria Math" w:cs="Cambria Math"/>
          <w:sz w:val="24"/>
          <w:szCs w:val="24"/>
          <w:spacing w:val="1"/>
        </w:rPr>
        <w:t>S</w:t>
      </w:r>
      <w:r>
        <w:rPr>
          <w:rFonts w:ascii="SimSun" w:hAnsi="SimSun" w:eastAsia="SimSun" w:cs="SimSun"/>
          <w:sz w:val="24"/>
          <w:szCs w:val="24"/>
          <w:spacing w:val="1"/>
        </w:rPr>
        <w:t>为模型的源汇项。式中</w:t>
      </w:r>
      <w:r>
        <w:rPr>
          <w:rFonts w:ascii="Cambria Math" w:hAnsi="Cambria Math" w:eastAsia="Cambria Math" w:cs="Cambria Math"/>
          <w:sz w:val="24"/>
          <w:szCs w:val="24"/>
          <w:spacing w:val="1"/>
        </w:rPr>
        <w:t>K</w:t>
      </w:r>
      <w:r>
        <w:rPr>
          <w:rFonts w:ascii="SimSun" w:hAnsi="SimSun" w:eastAsia="SimSun" w:cs="SimSun"/>
          <w:sz w:val="24"/>
          <w:szCs w:val="24"/>
          <w:spacing w:val="1"/>
        </w:rPr>
        <w:t>与土壤</w:t>
      </w:r>
      <w:r>
        <w:rPr>
          <w:rFonts w:ascii="SimSun" w:hAnsi="SimSun" w:eastAsia="SimSun" w:cs="SimSun"/>
          <w:sz w:val="24"/>
          <w:szCs w:val="24"/>
          <w:spacing w:val="6"/>
        </w:rPr>
        <w:t xml:space="preserve"> </w:t>
      </w:r>
      <w:r>
        <w:rPr>
          <w:rFonts w:ascii="SimSun" w:hAnsi="SimSun" w:eastAsia="SimSun" w:cs="SimSun"/>
          <w:sz w:val="24"/>
          <w:szCs w:val="24"/>
          <w:spacing w:val="-2"/>
        </w:rPr>
        <w:t>含水率或土壤基质势有关。本项目溶质不具有挥发性，</w:t>
      </w:r>
      <w:r>
        <w:rPr>
          <w:rFonts w:ascii="SimSun" w:hAnsi="SimSun" w:eastAsia="SimSun" w:cs="SimSun"/>
          <w:sz w:val="24"/>
          <w:szCs w:val="24"/>
          <w:spacing w:val="-3"/>
        </w:rPr>
        <w:t>忽略溶质固相和气相成分，</w:t>
      </w:r>
      <w:r>
        <w:rPr>
          <w:rFonts w:ascii="SimSun" w:hAnsi="SimSun" w:eastAsia="SimSun" w:cs="SimSun"/>
          <w:sz w:val="24"/>
          <w:szCs w:val="24"/>
        </w:rPr>
        <w:t xml:space="preserve"> </w:t>
      </w:r>
      <w:r>
        <w:rPr>
          <w:rFonts w:ascii="SimSun" w:hAnsi="SimSun" w:eastAsia="SimSun" w:cs="SimSun"/>
          <w:sz w:val="24"/>
          <w:szCs w:val="24"/>
        </w:rPr>
        <w:t>仅考虑溶质与液态水耦合运移，因此土壤非饱</w:t>
      </w:r>
      <w:r>
        <w:rPr>
          <w:rFonts w:ascii="SimSun" w:hAnsi="SimSun" w:eastAsia="SimSun" w:cs="SimSun"/>
          <w:sz w:val="24"/>
          <w:szCs w:val="24"/>
          <w:spacing w:val="-1"/>
        </w:rPr>
        <w:t>和溶质运移方程为：</w:t>
      </w:r>
    </w:p>
    <w:p>
      <w:pPr>
        <w:ind w:left="2816"/>
        <w:spacing w:line="661" w:lineRule="exact"/>
        <w:rPr/>
      </w:pPr>
      <w:r>
        <w:rPr>
          <w:position w:val="-13"/>
        </w:rPr>
        <w:drawing>
          <wp:inline distT="0" distB="0" distL="0" distR="0">
            <wp:extent cx="1803760" cy="419779"/>
            <wp:effectExtent l="0" t="0" r="0" b="0"/>
            <wp:docPr id="188" name="IM 188"/>
            <wp:cNvGraphicFramePr/>
            <a:graphic>
              <a:graphicData uri="http://schemas.openxmlformats.org/drawingml/2006/picture">
                <pic:pic>
                  <pic:nvPicPr>
                    <pic:cNvPr id="188" name="IM 188"/>
                    <pic:cNvPicPr/>
                  </pic:nvPicPr>
                  <pic:blipFill>
                    <a:blip r:embed="rId303"/>
                    <a:stretch>
                      <a:fillRect/>
                    </a:stretch>
                  </pic:blipFill>
                  <pic:spPr>
                    <a:xfrm rot="0">
                      <a:off x="0" y="0"/>
                      <a:ext cx="1803760" cy="419779"/>
                    </a:xfrm>
                    <a:prstGeom prst="rect">
                      <a:avLst/>
                    </a:prstGeom>
                  </pic:spPr>
                </pic:pic>
              </a:graphicData>
            </a:graphic>
          </wp:inline>
        </w:drawing>
      </w:r>
    </w:p>
    <w:p>
      <w:pPr>
        <w:ind w:left="16" w:right="61" w:firstLine="478"/>
        <w:spacing w:before="50" w:line="350" w:lineRule="auto"/>
        <w:rPr>
          <w:rFonts w:ascii="SimSun" w:hAnsi="SimSun" w:eastAsia="SimSun" w:cs="SimSun"/>
          <w:sz w:val="24"/>
          <w:szCs w:val="24"/>
        </w:rPr>
      </w:pPr>
      <w:r>
        <w:rPr>
          <w:rFonts w:ascii="SimSun" w:hAnsi="SimSun" w:eastAsia="SimSun" w:cs="SimSun"/>
          <w:sz w:val="24"/>
          <w:szCs w:val="24"/>
          <w:spacing w:val="2"/>
        </w:rPr>
        <w:t>式中</w:t>
      </w:r>
      <w:r>
        <w:rPr>
          <w:sz w:val="24"/>
          <w:szCs w:val="24"/>
        </w:rPr>
        <w:drawing>
          <wp:inline distT="0" distB="0" distL="0" distR="0">
            <wp:extent cx="94493" cy="114808"/>
            <wp:effectExtent l="0" t="0" r="0" b="0"/>
            <wp:docPr id="190" name="IM 190"/>
            <wp:cNvGraphicFramePr/>
            <a:graphic>
              <a:graphicData uri="http://schemas.openxmlformats.org/drawingml/2006/picture">
                <pic:pic>
                  <pic:nvPicPr>
                    <pic:cNvPr id="190" name="IM 190"/>
                    <pic:cNvPicPr/>
                  </pic:nvPicPr>
                  <pic:blipFill>
                    <a:blip r:embed="rId304"/>
                    <a:stretch>
                      <a:fillRect/>
                    </a:stretch>
                  </pic:blipFill>
                  <pic:spPr>
                    <a:xfrm rot="0">
                      <a:off x="0" y="0"/>
                      <a:ext cx="94493" cy="114808"/>
                    </a:xfrm>
                    <a:prstGeom prst="rect">
                      <a:avLst/>
                    </a:prstGeom>
                  </pic:spPr>
                </pic:pic>
              </a:graphicData>
            </a:graphic>
          </wp:inline>
        </w:drawing>
      </w:r>
      <w:r>
        <w:rPr>
          <w:rFonts w:ascii="SimSun" w:hAnsi="SimSun" w:eastAsia="SimSun" w:cs="SimSun"/>
          <w:sz w:val="24"/>
          <w:szCs w:val="24"/>
          <w:spacing w:val="2"/>
        </w:rPr>
        <w:t>为土壤体积含水量，</w:t>
      </w:r>
      <w:r>
        <w:rPr>
          <w:rFonts w:ascii="Cambria Math" w:hAnsi="Cambria Math" w:eastAsia="Cambria Math" w:cs="Cambria Math"/>
          <w:sz w:val="24"/>
          <w:szCs w:val="24"/>
        </w:rPr>
        <w:t>cm</w:t>
      </w:r>
      <w:r>
        <w:rPr>
          <w:rFonts w:ascii="Cambria Math" w:hAnsi="Cambria Math" w:eastAsia="Cambria Math" w:cs="Cambria Math"/>
          <w:sz w:val="16"/>
          <w:szCs w:val="16"/>
          <w:spacing w:val="2"/>
          <w:position w:val="8"/>
        </w:rPr>
        <w:t>3</w:t>
      </w:r>
      <w:r>
        <w:rPr>
          <w:rFonts w:ascii="Cambria Math" w:hAnsi="Cambria Math" w:eastAsia="Cambria Math" w:cs="Cambria Math"/>
          <w:sz w:val="16"/>
          <w:szCs w:val="16"/>
          <w:spacing w:val="-13"/>
          <w:position w:val="8"/>
        </w:rPr>
        <w:t xml:space="preserve"> </w:t>
      </w:r>
      <w:r>
        <w:rPr>
          <w:rFonts w:ascii="Cambria Math" w:hAnsi="Cambria Math" w:eastAsia="Cambria Math" w:cs="Cambria Math"/>
          <w:sz w:val="24"/>
          <w:szCs w:val="24"/>
          <w:spacing w:val="2"/>
        </w:rPr>
        <w:t>/</w:t>
      </w:r>
      <w:r>
        <w:rPr>
          <w:rFonts w:ascii="Cambria Math" w:hAnsi="Cambria Math" w:eastAsia="Cambria Math" w:cs="Cambria Math"/>
          <w:sz w:val="24"/>
          <w:szCs w:val="24"/>
        </w:rPr>
        <w:t>cm</w:t>
      </w:r>
      <w:r>
        <w:rPr>
          <w:rFonts w:ascii="Cambria Math" w:hAnsi="Cambria Math" w:eastAsia="Cambria Math" w:cs="Cambria Math"/>
          <w:sz w:val="16"/>
          <w:szCs w:val="16"/>
          <w:spacing w:val="2"/>
          <w:position w:val="8"/>
        </w:rPr>
        <w:t>3 </w:t>
      </w:r>
      <w:r>
        <w:rPr>
          <w:rFonts w:ascii="SimSun" w:hAnsi="SimSun" w:eastAsia="SimSun" w:cs="SimSun"/>
          <w:sz w:val="24"/>
          <w:szCs w:val="24"/>
          <w:spacing w:val="2"/>
        </w:rPr>
        <w:t>；</w:t>
      </w:r>
      <w:r>
        <w:rPr>
          <w:rFonts w:ascii="Cambria Math" w:hAnsi="Cambria Math" w:eastAsia="Cambria Math" w:cs="Cambria Math"/>
          <w:sz w:val="24"/>
          <w:szCs w:val="24"/>
          <w:spacing w:val="2"/>
        </w:rPr>
        <w:t>c</w:t>
      </w:r>
      <w:r>
        <w:rPr>
          <w:rFonts w:ascii="SimSun" w:hAnsi="SimSun" w:eastAsia="SimSun" w:cs="SimSun"/>
          <w:sz w:val="24"/>
          <w:szCs w:val="24"/>
          <w:spacing w:val="2"/>
        </w:rPr>
        <w:t>为污染物介质中的浓度，</w:t>
      </w:r>
      <w:r>
        <w:rPr>
          <w:rFonts w:ascii="Cambria Math" w:hAnsi="Cambria Math" w:eastAsia="Cambria Math" w:cs="Cambria Math"/>
          <w:sz w:val="24"/>
          <w:szCs w:val="24"/>
        </w:rPr>
        <w:t>mg</w:t>
      </w:r>
      <w:r>
        <w:rPr>
          <w:rFonts w:ascii="Cambria Math" w:hAnsi="Cambria Math" w:eastAsia="Cambria Math" w:cs="Cambria Math"/>
          <w:sz w:val="24"/>
          <w:szCs w:val="24"/>
          <w:spacing w:val="2"/>
        </w:rPr>
        <w:t>/L</w:t>
      </w:r>
      <w:r>
        <w:rPr>
          <w:rFonts w:ascii="SimSun" w:hAnsi="SimSun" w:eastAsia="SimSun" w:cs="SimSun"/>
          <w:sz w:val="24"/>
          <w:szCs w:val="24"/>
          <w:spacing w:val="2"/>
        </w:rPr>
        <w:t>；</w:t>
      </w:r>
      <w:r>
        <w:rPr>
          <w:rFonts w:ascii="Cambria Math" w:hAnsi="Cambria Math" w:eastAsia="Cambria Math" w:cs="Cambria Math"/>
          <w:sz w:val="24"/>
          <w:szCs w:val="24"/>
          <w:spacing w:val="2"/>
        </w:rPr>
        <w:t>D</w:t>
      </w:r>
      <w:r>
        <w:rPr>
          <w:rFonts w:ascii="SimSun" w:hAnsi="SimSun" w:eastAsia="SimSun" w:cs="SimSun"/>
          <w:sz w:val="24"/>
          <w:szCs w:val="24"/>
          <w:spacing w:val="2"/>
        </w:rPr>
        <w:t>为</w:t>
      </w:r>
      <w:r>
        <w:rPr>
          <w:rFonts w:ascii="SimSun" w:hAnsi="SimSun" w:eastAsia="SimSun" w:cs="SimSun"/>
          <w:sz w:val="24"/>
          <w:szCs w:val="24"/>
        </w:rPr>
        <w:t xml:space="preserve"> </w:t>
      </w:r>
      <w:r>
        <w:rPr>
          <w:rFonts w:ascii="SimSun" w:hAnsi="SimSun" w:eastAsia="SimSun" w:cs="SimSun"/>
          <w:sz w:val="24"/>
          <w:szCs w:val="24"/>
          <w:spacing w:val="1"/>
        </w:rPr>
        <w:t>弥散系数，</w:t>
      </w:r>
      <w:r>
        <w:rPr>
          <w:rFonts w:ascii="Cambria Math" w:hAnsi="Cambria Math" w:eastAsia="Cambria Math" w:cs="Cambria Math"/>
          <w:sz w:val="24"/>
          <w:szCs w:val="24"/>
        </w:rPr>
        <w:t>cm</w:t>
      </w:r>
      <w:r>
        <w:rPr>
          <w:rFonts w:ascii="Cambria Math" w:hAnsi="Cambria Math" w:eastAsia="Cambria Math" w:cs="Cambria Math"/>
          <w:sz w:val="16"/>
          <w:szCs w:val="16"/>
          <w:spacing w:val="1"/>
          <w:position w:val="8"/>
        </w:rPr>
        <w:t>2</w:t>
      </w:r>
      <w:r>
        <w:rPr>
          <w:rFonts w:ascii="Cambria Math" w:hAnsi="Cambria Math" w:eastAsia="Cambria Math" w:cs="Cambria Math"/>
          <w:sz w:val="16"/>
          <w:szCs w:val="16"/>
          <w:spacing w:val="-4"/>
          <w:position w:val="8"/>
        </w:rPr>
        <w:t xml:space="preserve"> </w:t>
      </w:r>
      <w:r>
        <w:rPr>
          <w:rFonts w:ascii="Cambria Math" w:hAnsi="Cambria Math" w:eastAsia="Cambria Math" w:cs="Cambria Math"/>
          <w:sz w:val="24"/>
          <w:szCs w:val="24"/>
          <w:spacing w:val="1"/>
        </w:rPr>
        <w:t>/d</w:t>
      </w:r>
      <w:r>
        <w:rPr>
          <w:rFonts w:ascii="SimSun" w:hAnsi="SimSun" w:eastAsia="SimSun" w:cs="SimSun"/>
          <w:sz w:val="24"/>
          <w:szCs w:val="24"/>
          <w:spacing w:val="1"/>
        </w:rPr>
        <w:t>；</w:t>
      </w:r>
      <w:r>
        <w:rPr>
          <w:rFonts w:ascii="Cambria Math" w:hAnsi="Cambria Math" w:eastAsia="Cambria Math" w:cs="Cambria Math"/>
          <w:sz w:val="24"/>
          <w:szCs w:val="24"/>
          <w:spacing w:val="1"/>
        </w:rPr>
        <w:t>g</w:t>
      </w:r>
      <w:r>
        <w:rPr>
          <w:rFonts w:ascii="SimSun" w:hAnsi="SimSun" w:eastAsia="SimSun" w:cs="SimSun"/>
          <w:sz w:val="24"/>
          <w:szCs w:val="24"/>
          <w:spacing w:val="1"/>
        </w:rPr>
        <w:t>渗流速率，</w:t>
      </w:r>
      <w:r>
        <w:rPr>
          <w:rFonts w:ascii="Cambria Math" w:hAnsi="Cambria Math" w:eastAsia="Cambria Math" w:cs="Cambria Math"/>
          <w:sz w:val="24"/>
          <w:szCs w:val="24"/>
          <w:spacing w:val="1"/>
        </w:rPr>
        <w:t>m/d</w:t>
      </w:r>
      <w:r>
        <w:rPr>
          <w:rFonts w:ascii="SimSun" w:hAnsi="SimSun" w:eastAsia="SimSun" w:cs="SimSun"/>
          <w:sz w:val="24"/>
          <w:szCs w:val="24"/>
          <w:spacing w:val="1"/>
        </w:rPr>
        <w:t>；</w:t>
      </w:r>
      <w:r>
        <w:rPr>
          <w:rFonts w:ascii="Cambria Math" w:hAnsi="Cambria Math" w:eastAsia="Cambria Math" w:cs="Cambria Math"/>
          <w:sz w:val="24"/>
          <w:szCs w:val="24"/>
          <w:spacing w:val="1"/>
        </w:rPr>
        <w:t>t</w:t>
      </w:r>
      <w:r>
        <w:rPr>
          <w:rFonts w:ascii="SimSun" w:hAnsi="SimSun" w:eastAsia="SimSun" w:cs="SimSun"/>
          <w:sz w:val="24"/>
          <w:szCs w:val="24"/>
          <w:spacing w:val="1"/>
        </w:rPr>
        <w:t>为时间变量，</w:t>
      </w:r>
      <w:r>
        <w:rPr>
          <w:rFonts w:ascii="Cambria Math" w:hAnsi="Cambria Math" w:eastAsia="Cambria Math" w:cs="Cambria Math"/>
          <w:sz w:val="24"/>
          <w:szCs w:val="24"/>
          <w:spacing w:val="1"/>
        </w:rPr>
        <w:t>d</w:t>
      </w:r>
      <w:r>
        <w:rPr>
          <w:rFonts w:ascii="SimSun" w:hAnsi="SimSun" w:eastAsia="SimSun" w:cs="SimSun"/>
          <w:sz w:val="24"/>
          <w:szCs w:val="24"/>
          <w:spacing w:val="1"/>
        </w:rPr>
        <w:t>。</w:t>
      </w:r>
    </w:p>
    <w:p>
      <w:pPr>
        <w:ind w:left="485"/>
        <w:spacing w:before="25" w:line="219" w:lineRule="auto"/>
        <w:rPr>
          <w:rFonts w:ascii="SimSun" w:hAnsi="SimSun" w:eastAsia="SimSun" w:cs="SimSun"/>
          <w:sz w:val="24"/>
          <w:szCs w:val="24"/>
        </w:rPr>
      </w:pP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、土壤水分特征曲线模型</w:t>
      </w:r>
    </w:p>
    <w:p>
      <w:pPr>
        <w:ind w:left="8" w:right="53" w:firstLine="480"/>
        <w:spacing w:before="184" w:line="359" w:lineRule="auto"/>
        <w:rPr>
          <w:rFonts w:ascii="SimSun" w:hAnsi="SimSun" w:eastAsia="SimSun" w:cs="SimSun"/>
          <w:sz w:val="24"/>
          <w:szCs w:val="24"/>
        </w:rPr>
      </w:pPr>
      <w:r>
        <w:rPr>
          <w:rFonts w:ascii="SimSun" w:hAnsi="SimSun" w:eastAsia="SimSun" w:cs="SimSun"/>
          <w:sz w:val="24"/>
          <w:szCs w:val="24"/>
          <w:spacing w:val="3"/>
        </w:rPr>
        <w:t>野外测量的土壤水分一般是土壤质量或者体积含水量，利用土壤水</w:t>
      </w:r>
      <w:r>
        <w:rPr>
          <w:rFonts w:ascii="SimSun" w:hAnsi="SimSun" w:eastAsia="SimSun" w:cs="SimSun"/>
          <w:sz w:val="24"/>
          <w:szCs w:val="24"/>
          <w:spacing w:val="2"/>
        </w:rPr>
        <w:t>分特征曲</w:t>
      </w:r>
      <w:r>
        <w:rPr>
          <w:rFonts w:ascii="SimSun" w:hAnsi="SimSun" w:eastAsia="SimSun" w:cs="SimSun"/>
          <w:sz w:val="24"/>
          <w:szCs w:val="24"/>
        </w:rPr>
        <w:t xml:space="preserve"> </w:t>
      </w:r>
      <w:r>
        <w:rPr>
          <w:rFonts w:ascii="SimSun" w:hAnsi="SimSun" w:eastAsia="SimSun" w:cs="SimSun"/>
          <w:sz w:val="24"/>
          <w:szCs w:val="24"/>
          <w:spacing w:val="-1"/>
        </w:rPr>
        <w:t>线可将其与土壤基质势关联。土壤水分特征曲线（</w:t>
      </w:r>
      <w:r>
        <w:rPr>
          <w:rFonts w:ascii="Times New Roman" w:hAnsi="Times New Roman" w:eastAsia="Times New Roman" w:cs="Times New Roman"/>
          <w:sz w:val="24"/>
          <w:szCs w:val="24"/>
          <w:spacing w:val="-1"/>
        </w:rPr>
        <w:t>Water Retentio</w:t>
      </w:r>
      <w:r>
        <w:rPr>
          <w:rFonts w:ascii="Times New Roman" w:hAnsi="Times New Roman" w:eastAsia="Times New Roman" w:cs="Times New Roman"/>
          <w:sz w:val="24"/>
          <w:szCs w:val="24"/>
          <w:spacing w:val="-2"/>
        </w:rPr>
        <w:t>n Curve</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WRC</w:t>
      </w:r>
      <w:r>
        <w:rPr>
          <w:rFonts w:ascii="SimSun" w:hAnsi="SimSun" w:eastAsia="SimSun" w:cs="SimSun"/>
          <w:sz w:val="24"/>
          <w:szCs w:val="24"/>
          <w:spacing w:val="-2"/>
        </w:rPr>
        <w:t>）</w:t>
      </w:r>
      <w:r>
        <w:rPr>
          <w:rFonts w:ascii="SimSun" w:hAnsi="SimSun" w:eastAsia="SimSun" w:cs="SimSun"/>
          <w:sz w:val="24"/>
          <w:szCs w:val="24"/>
        </w:rPr>
        <w:t xml:space="preserve"> </w:t>
      </w:r>
      <w:r>
        <w:rPr>
          <w:rFonts w:ascii="SimSun" w:hAnsi="SimSun" w:eastAsia="SimSun" w:cs="SimSun"/>
          <w:sz w:val="24"/>
          <w:szCs w:val="24"/>
          <w:spacing w:val="-4"/>
        </w:rPr>
        <w:t>是非饱和土壤水分和溶质运移的关键参数。</w:t>
      </w:r>
      <w:r>
        <w:rPr>
          <w:rFonts w:ascii="Times New Roman" w:hAnsi="Times New Roman" w:eastAsia="Times New Roman" w:cs="Times New Roman"/>
          <w:sz w:val="24"/>
          <w:szCs w:val="24"/>
          <w:spacing w:val="-4"/>
        </w:rPr>
        <w:t>WRC</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4"/>
        </w:rPr>
        <w:t>常用</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4"/>
        </w:rPr>
        <w:t>Gardner</w:t>
      </w:r>
      <w:r>
        <w:rPr>
          <w:rFonts w:ascii="SimSun" w:hAnsi="SimSun" w:eastAsia="SimSun" w:cs="SimSun"/>
          <w:sz w:val="24"/>
          <w:szCs w:val="24"/>
          <w:spacing w:val="-4"/>
        </w:rPr>
        <w:t>、</w:t>
      </w:r>
      <w:r>
        <w:rPr>
          <w:rFonts w:ascii="Times New Roman" w:hAnsi="Times New Roman" w:eastAsia="Times New Roman" w:cs="Times New Roman"/>
          <w:sz w:val="24"/>
          <w:szCs w:val="24"/>
          <w:spacing w:val="-5"/>
        </w:rPr>
        <w:t>Brooks-Corey</w:t>
      </w:r>
      <w:r>
        <w:rPr>
          <w:rFonts w:ascii="SimSun" w:hAnsi="SimSun" w:eastAsia="SimSun" w:cs="SimSun"/>
          <w:sz w:val="24"/>
          <w:szCs w:val="24"/>
          <w:spacing w:val="-5"/>
        </w:rPr>
        <w:t>、</w:t>
      </w:r>
      <w:r>
        <w:rPr>
          <w:rFonts w:ascii="Times New Roman" w:hAnsi="Times New Roman" w:eastAsia="Times New Roman" w:cs="Times New Roman"/>
          <w:sz w:val="24"/>
          <w:szCs w:val="24"/>
          <w:spacing w:val="-5"/>
        </w:rPr>
        <w:t>van</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Genuchten</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4"/>
        </w:rPr>
        <w:t>等经验公式或数学模型描述，其中</w:t>
      </w:r>
      <w:r>
        <w:rPr>
          <w:rFonts w:ascii="Times New Roman" w:hAnsi="Times New Roman" w:eastAsia="Times New Roman" w:cs="Times New Roman"/>
          <w:sz w:val="24"/>
          <w:szCs w:val="24"/>
        </w:rPr>
        <w:t>van</w:t>
      </w:r>
      <w:r>
        <w:rPr>
          <w:rFonts w:ascii="Times New Roman" w:hAnsi="Times New Roman" w:eastAsia="Times New Roman" w:cs="Times New Roman"/>
          <w:sz w:val="24"/>
          <w:szCs w:val="24"/>
          <w:spacing w:val="4"/>
        </w:rPr>
        <w:t xml:space="preserve"> </w:t>
      </w:r>
      <w:r>
        <w:rPr>
          <w:rFonts w:ascii="Times New Roman" w:hAnsi="Times New Roman" w:eastAsia="Times New Roman" w:cs="Times New Roman"/>
          <w:sz w:val="24"/>
          <w:szCs w:val="24"/>
        </w:rPr>
        <w:t>Genuchten</w:t>
      </w:r>
      <w:r>
        <w:rPr>
          <w:rFonts w:ascii="Times New Roman" w:hAnsi="Times New Roman" w:eastAsia="Times New Roman" w:cs="Times New Roman"/>
          <w:sz w:val="24"/>
          <w:szCs w:val="24"/>
          <w:spacing w:val="4"/>
        </w:rPr>
        <w:t xml:space="preserve"> </w:t>
      </w:r>
      <w:r>
        <w:rPr>
          <w:rFonts w:ascii="SimSun" w:hAnsi="SimSun" w:eastAsia="SimSun" w:cs="SimSun"/>
          <w:sz w:val="24"/>
          <w:szCs w:val="24"/>
          <w:spacing w:val="4"/>
        </w:rPr>
        <w:t>模型适用的土壤质地</w:t>
      </w:r>
      <w:r>
        <w:rPr>
          <w:rFonts w:ascii="SimSun" w:hAnsi="SimSun" w:eastAsia="SimSun" w:cs="SimSun"/>
          <w:sz w:val="24"/>
          <w:szCs w:val="24"/>
        </w:rPr>
        <w:t xml:space="preserve"> </w:t>
      </w:r>
      <w:r>
        <w:rPr>
          <w:rFonts w:ascii="SimSun" w:hAnsi="SimSun" w:eastAsia="SimSun" w:cs="SimSun"/>
          <w:sz w:val="24"/>
          <w:szCs w:val="24"/>
          <w:spacing w:val="3"/>
        </w:rPr>
        <w:t>范围较宽，应用最为广泛。获取上述模型参数的方法有很</w:t>
      </w:r>
      <w:r>
        <w:rPr>
          <w:rFonts w:ascii="SimSun" w:hAnsi="SimSun" w:eastAsia="SimSun" w:cs="SimSun"/>
          <w:sz w:val="24"/>
          <w:szCs w:val="24"/>
          <w:spacing w:val="2"/>
        </w:rPr>
        <w:t>多，此处采用转换函数</w:t>
      </w:r>
      <w:r>
        <w:rPr>
          <w:rFonts w:ascii="SimSun" w:hAnsi="SimSun" w:eastAsia="SimSun" w:cs="SimSun"/>
          <w:sz w:val="24"/>
          <w:szCs w:val="24"/>
        </w:rPr>
        <w:t xml:space="preserve"> </w:t>
      </w:r>
      <w:r>
        <w:rPr>
          <w:rFonts w:ascii="SimSun" w:hAnsi="SimSun" w:eastAsia="SimSun" w:cs="SimSun"/>
          <w:sz w:val="24"/>
          <w:szCs w:val="24"/>
        </w:rPr>
        <w:t>法（</w:t>
      </w:r>
      <w:r>
        <w:rPr>
          <w:rFonts w:ascii="Times New Roman" w:hAnsi="Times New Roman" w:eastAsia="Times New Roman" w:cs="Times New Roman"/>
          <w:sz w:val="24"/>
          <w:szCs w:val="24"/>
        </w:rPr>
        <w:t>Pedotransfer Functio</w:t>
      </w:r>
      <w:r>
        <w:rPr>
          <w:rFonts w:ascii="Times New Roman" w:hAnsi="Times New Roman" w:eastAsia="Times New Roman" w:cs="Times New Roman"/>
          <w:sz w:val="24"/>
          <w:szCs w:val="24"/>
          <w:spacing w:val="-1"/>
        </w:rPr>
        <w:t>ns</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PTF</w:t>
      </w:r>
      <w:r>
        <w:rPr>
          <w:rFonts w:ascii="SimSun" w:hAnsi="SimSun" w:eastAsia="SimSun" w:cs="SimSun"/>
          <w:sz w:val="24"/>
          <w:szCs w:val="24"/>
          <w:spacing w:val="-1"/>
        </w:rPr>
        <w:t>）利用经验参数，基于</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van Genuchten -Mualem </w:t>
      </w:r>
      <w:r>
        <w:rPr>
          <w:rFonts w:ascii="SimSun" w:hAnsi="SimSun" w:eastAsia="SimSun" w:cs="SimSun"/>
          <w:sz w:val="24"/>
          <w:szCs w:val="24"/>
          <w:spacing w:val="-1"/>
        </w:rPr>
        <w:t>模</w:t>
      </w:r>
      <w:r>
        <w:rPr>
          <w:rFonts w:ascii="SimSun" w:hAnsi="SimSun" w:eastAsia="SimSun" w:cs="SimSun"/>
          <w:sz w:val="24"/>
          <w:szCs w:val="24"/>
        </w:rPr>
        <w:t xml:space="preserve"> </w:t>
      </w:r>
      <w:r>
        <w:rPr>
          <w:rFonts w:ascii="SimSun" w:hAnsi="SimSun" w:eastAsia="SimSun" w:cs="SimSun"/>
          <w:sz w:val="24"/>
          <w:szCs w:val="24"/>
          <w:spacing w:val="-1"/>
        </w:rPr>
        <w:t>型描述土壤含水量与基质吸力、土壤饱和度与导水率的关系为：</w:t>
      </w:r>
    </w:p>
    <w:p>
      <w:pPr>
        <w:pStyle w:val="BodyText"/>
        <w:spacing w:line="317" w:lineRule="auto"/>
        <w:rPr/>
      </w:pPr>
      <w:r/>
    </w:p>
    <w:p>
      <w:pPr>
        <w:pStyle w:val="BodyText"/>
        <w:spacing w:line="317" w:lineRule="auto"/>
        <w:rPr/>
      </w:pPr>
      <w:r/>
    </w:p>
    <w:p>
      <w:pPr>
        <w:pStyle w:val="BodyText"/>
        <w:spacing w:line="318" w:lineRule="auto"/>
        <w:rPr/>
      </w:pPr>
      <w:r/>
    </w:p>
    <w:p>
      <w:pPr>
        <w:ind w:left="7"/>
        <w:spacing w:before="62" w:line="227" w:lineRule="auto"/>
        <w:rPr>
          <w:rFonts w:ascii="SimSun" w:hAnsi="SimSun" w:eastAsia="SimSun" w:cs="SimSun"/>
          <w:sz w:val="19"/>
          <w:szCs w:val="19"/>
        </w:rPr>
      </w:pPr>
      <w:r>
        <w:pict>
          <v:shape id="_x0000_s1032" style="position:absolute;margin-left:159.33pt;margin-top:2.09312pt;mso-position-vertical-relative:text;mso-position-horizontal-relative:text;width:61pt;height:13.75pt;z-index:25215897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221</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6"/>
          <w:footerReference w:type="default" r:id="rId3"/>
          <w:pgSz w:w="11907" w:h="16840"/>
          <w:pgMar w:top="1567" w:right="1640" w:bottom="400" w:left="1701" w:header="1221" w:footer="0" w:gutter="0"/>
        </w:sectPr>
        <w:rPr>
          <w:rFonts w:ascii="SimSun" w:hAnsi="SimSun" w:eastAsia="SimSun" w:cs="SimSun"/>
          <w:sz w:val="19"/>
          <w:szCs w:val="19"/>
        </w:rPr>
      </w:pPr>
    </w:p>
    <w:p>
      <w:pPr>
        <w:ind w:left="2379"/>
        <w:spacing w:before="139" w:line="1113" w:lineRule="exact"/>
        <w:rPr/>
      </w:pPr>
      <w:r>
        <w:pict>
          <v:shape id="_x0000_s1036" style="position:absolute;margin-left:85.05pt;margin-top:78.87pt;mso-position-vertical-relative:page;mso-position-horizontal-relative:page;width:425.25pt;height:0.75pt;z-index:252162048;" o:allowincell="f" fillcolor="#000000" filled="true" stroked="false" coordsize="8505,15" coordorigin="0,0" path="m,l8505,0l8505,14l0,14l0,0xe"/>
        </w:pict>
      </w:r>
      <w:r>
        <w:rPr>
          <w:position w:val="-22"/>
        </w:rPr>
        <w:drawing>
          <wp:inline distT="0" distB="0" distL="0" distR="0">
            <wp:extent cx="2319186" cy="706659"/>
            <wp:effectExtent l="0" t="0" r="0" b="0"/>
            <wp:docPr id="192" name="IM 192"/>
            <wp:cNvGraphicFramePr/>
            <a:graphic>
              <a:graphicData uri="http://schemas.openxmlformats.org/drawingml/2006/picture">
                <pic:pic>
                  <pic:nvPicPr>
                    <pic:cNvPr id="192" name="IM 192"/>
                    <pic:cNvPicPr/>
                  </pic:nvPicPr>
                  <pic:blipFill>
                    <a:blip r:embed="rId307"/>
                    <a:stretch>
                      <a:fillRect/>
                    </a:stretch>
                  </pic:blipFill>
                  <pic:spPr>
                    <a:xfrm rot="0">
                      <a:off x="0" y="0"/>
                      <a:ext cx="2319186" cy="706659"/>
                    </a:xfrm>
                    <a:prstGeom prst="rect">
                      <a:avLst/>
                    </a:prstGeom>
                  </pic:spPr>
                </pic:pic>
              </a:graphicData>
            </a:graphic>
          </wp:inline>
        </w:drawing>
      </w:r>
    </w:p>
    <w:p>
      <w:pPr>
        <w:pStyle w:val="BodyText"/>
        <w:ind w:left="3049"/>
        <w:spacing w:before="27" w:line="320" w:lineRule="exact"/>
        <w:rPr>
          <w:rFonts w:ascii="Times New Roman" w:hAnsi="Times New Roman" w:eastAsia="Times New Roman" w:cs="Times New Roman"/>
          <w:sz w:val="13"/>
          <w:szCs w:val="13"/>
        </w:rPr>
      </w:pPr>
      <w:r>
        <w:rPr>
          <w:rFonts w:ascii="Times New Roman" w:hAnsi="Times New Roman" w:eastAsia="Times New Roman" w:cs="Times New Roman"/>
          <w:sz w:val="23"/>
          <w:szCs w:val="23"/>
          <w:i/>
          <w:iCs/>
          <w:spacing w:val="10"/>
          <w:position w:val="2"/>
        </w:rPr>
        <w:t>K</w:t>
      </w:r>
      <w:r>
        <w:rPr>
          <w:rFonts w:ascii="Times New Roman" w:hAnsi="Times New Roman" w:eastAsia="Times New Roman" w:cs="Times New Roman"/>
          <w:sz w:val="23"/>
          <w:szCs w:val="23"/>
          <w:spacing w:val="10"/>
          <w:position w:val="2"/>
        </w:rPr>
        <w:t>(</w:t>
      </w:r>
      <w:r>
        <w:rPr>
          <w:rFonts w:ascii="Times New Roman" w:hAnsi="Times New Roman" w:eastAsia="Times New Roman" w:cs="Times New Roman"/>
          <w:sz w:val="23"/>
          <w:szCs w:val="23"/>
          <w:i/>
          <w:iCs/>
          <w:spacing w:val="10"/>
          <w:position w:val="2"/>
        </w:rPr>
        <w:t>h</w:t>
      </w:r>
      <w:r>
        <w:rPr>
          <w:rFonts w:ascii="Times New Roman" w:hAnsi="Times New Roman" w:eastAsia="Times New Roman" w:cs="Times New Roman"/>
          <w:sz w:val="23"/>
          <w:szCs w:val="23"/>
          <w:spacing w:val="10"/>
          <w:position w:val="2"/>
        </w:rPr>
        <w:t>) </w:t>
      </w:r>
      <w:r>
        <w:rPr>
          <w:sz w:val="23"/>
          <w:szCs w:val="23"/>
          <w:spacing w:val="10"/>
          <w:position w:val="2"/>
        </w:rPr>
        <w:t>= </w:t>
      </w:r>
      <w:r>
        <w:rPr>
          <w:rFonts w:ascii="Times New Roman" w:hAnsi="Times New Roman" w:eastAsia="Times New Roman" w:cs="Times New Roman"/>
          <w:sz w:val="23"/>
          <w:szCs w:val="23"/>
          <w:i/>
          <w:iCs/>
          <w:position w:val="2"/>
        </w:rPr>
        <w:t>K</w:t>
      </w:r>
      <w:r>
        <w:rPr>
          <w:rFonts w:ascii="Times New Roman" w:hAnsi="Times New Roman" w:eastAsia="Times New Roman" w:cs="Times New Roman"/>
          <w:sz w:val="13"/>
          <w:szCs w:val="13"/>
          <w:i/>
          <w:iCs/>
          <w:position w:val="-3"/>
        </w:rPr>
        <w:t>s</w:t>
      </w:r>
      <w:r>
        <w:rPr>
          <w:rFonts w:ascii="Times New Roman" w:hAnsi="Times New Roman" w:eastAsia="Times New Roman" w:cs="Times New Roman"/>
          <w:sz w:val="13"/>
          <w:szCs w:val="13"/>
          <w:i/>
          <w:iCs/>
          <w:spacing w:val="2"/>
          <w:position w:val="-3"/>
        </w:rPr>
        <w:t xml:space="preserve"> </w:t>
      </w:r>
      <w:r>
        <w:rPr>
          <w:rFonts w:ascii="Times New Roman" w:hAnsi="Times New Roman" w:eastAsia="Times New Roman" w:cs="Times New Roman"/>
          <w:sz w:val="23"/>
          <w:szCs w:val="23"/>
          <w:i/>
          <w:iCs/>
          <w:position w:val="2"/>
        </w:rPr>
        <w:t>S</w:t>
      </w:r>
      <w:r>
        <w:rPr>
          <w:sz w:val="23"/>
          <w:szCs w:val="23"/>
          <w:position w:val="-5"/>
        </w:rPr>
        <w:drawing>
          <wp:inline distT="0" distB="0" distL="0" distR="0">
            <wp:extent cx="41379" cy="195313"/>
            <wp:effectExtent l="0" t="0" r="0" b="0"/>
            <wp:docPr id="194" name="IM 194"/>
            <wp:cNvGraphicFramePr/>
            <a:graphic>
              <a:graphicData uri="http://schemas.openxmlformats.org/drawingml/2006/picture">
                <pic:pic>
                  <pic:nvPicPr>
                    <pic:cNvPr id="194" name="IM 194"/>
                    <pic:cNvPicPr/>
                  </pic:nvPicPr>
                  <pic:blipFill>
                    <a:blip r:embed="rId308"/>
                    <a:stretch>
                      <a:fillRect/>
                    </a:stretch>
                  </pic:blipFill>
                  <pic:spPr>
                    <a:xfrm rot="0">
                      <a:off x="0" y="0"/>
                      <a:ext cx="41379" cy="195313"/>
                    </a:xfrm>
                    <a:prstGeom prst="rect">
                      <a:avLst/>
                    </a:prstGeom>
                  </pic:spPr>
                </pic:pic>
              </a:graphicData>
            </a:graphic>
          </wp:inline>
        </w:drawing>
      </w:r>
      <w:r>
        <w:rPr>
          <w:rFonts w:ascii="Times New Roman" w:hAnsi="Times New Roman" w:eastAsia="Times New Roman" w:cs="Times New Roman"/>
          <w:sz w:val="23"/>
          <w:szCs w:val="23"/>
          <w:i/>
          <w:iCs/>
          <w:spacing w:val="-17"/>
          <w:position w:val="2"/>
        </w:rPr>
        <w:t xml:space="preserve"> </w:t>
      </w:r>
      <w:r>
        <w:rPr>
          <w:rFonts w:ascii="Times New Roman" w:hAnsi="Times New Roman" w:eastAsia="Times New Roman" w:cs="Times New Roman"/>
          <w:sz w:val="23"/>
          <w:szCs w:val="23"/>
          <w:spacing w:val="10"/>
          <w:position w:val="2"/>
        </w:rPr>
        <w:t>[1</w:t>
      </w:r>
      <w:r>
        <w:rPr>
          <w:rFonts w:ascii="Times New Roman" w:hAnsi="Times New Roman" w:eastAsia="Times New Roman" w:cs="Times New Roman"/>
          <w:sz w:val="23"/>
          <w:szCs w:val="23"/>
          <w:spacing w:val="-19"/>
          <w:position w:val="2"/>
        </w:rPr>
        <w:t xml:space="preserve"> </w:t>
      </w:r>
      <w:r>
        <w:rPr>
          <w:sz w:val="23"/>
          <w:szCs w:val="23"/>
          <w:spacing w:val="10"/>
          <w:position w:val="2"/>
        </w:rPr>
        <w:t>-</w:t>
      </w:r>
      <w:r>
        <w:rPr>
          <w:sz w:val="23"/>
          <w:szCs w:val="23"/>
          <w:spacing w:val="-6"/>
          <w:position w:val="2"/>
        </w:rPr>
        <w:t xml:space="preserve"> </w:t>
      </w:r>
      <w:r>
        <w:rPr>
          <w:rFonts w:ascii="Times New Roman" w:hAnsi="Times New Roman" w:eastAsia="Times New Roman" w:cs="Times New Roman"/>
          <w:sz w:val="23"/>
          <w:szCs w:val="23"/>
          <w:spacing w:val="10"/>
          <w:position w:val="2"/>
        </w:rPr>
        <w:t>(1</w:t>
      </w:r>
      <w:r>
        <w:rPr>
          <w:rFonts w:ascii="Times New Roman" w:hAnsi="Times New Roman" w:eastAsia="Times New Roman" w:cs="Times New Roman"/>
          <w:sz w:val="23"/>
          <w:szCs w:val="23"/>
          <w:spacing w:val="-19"/>
          <w:position w:val="2"/>
        </w:rPr>
        <w:t xml:space="preserve"> </w:t>
      </w:r>
      <w:r>
        <w:rPr>
          <w:sz w:val="23"/>
          <w:szCs w:val="23"/>
          <w:spacing w:val="10"/>
          <w:position w:val="2"/>
        </w:rPr>
        <w:t>-</w:t>
      </w:r>
      <w:r>
        <w:rPr>
          <w:sz w:val="23"/>
          <w:szCs w:val="23"/>
          <w:spacing w:val="-6"/>
          <w:position w:val="2"/>
        </w:rPr>
        <w:t xml:space="preserve"> </w:t>
      </w:r>
      <w:r>
        <w:rPr>
          <w:rFonts w:ascii="Times New Roman" w:hAnsi="Times New Roman" w:eastAsia="Times New Roman" w:cs="Times New Roman"/>
          <w:sz w:val="23"/>
          <w:szCs w:val="23"/>
          <w:i/>
          <w:iCs/>
          <w:spacing w:val="10"/>
          <w:position w:val="2"/>
        </w:rPr>
        <w:t>S</w:t>
      </w:r>
      <w:r>
        <w:ruby>
          <w:rubyPr>
            <w:rubyAlign w:val="left"/>
            <w:hpsRaise w:val="8"/>
            <w:hps w:val="13"/>
            <w:hpsBaseText w:val="13"/>
          </w:rubyPr>
          <w:rt>
            <w:r>
              <w:rPr>
                <w:rFonts w:ascii="Times New Roman" w:hAnsi="Times New Roman" w:eastAsia="Times New Roman" w:cs="Times New Roman"/>
                <w:sz w:val="13"/>
                <w:szCs w:val="13"/>
                <w:w w:val="123"/>
                <w:position w:val="3"/>
              </w:rPr>
              <w:t>1</w:t>
            </w:r>
          </w:rt>
          <w:rubyBase>
            <w:r>
              <w:rPr>
                <w:rFonts w:ascii="Times New Roman" w:hAnsi="Times New Roman" w:eastAsia="Times New Roman" w:cs="Times New Roman"/>
                <w:sz w:val="13"/>
                <w:szCs w:val="13"/>
                <w:i/>
                <w:iCs/>
                <w:w w:val="112"/>
                <w:position w:val="-3"/>
              </w:rPr>
              <w:t>e</w:t>
            </w:r>
          </w:rubyBase>
        </w:ruby>
      </w:r>
      <w:r>
        <w:rPr>
          <w:rFonts w:ascii="Times New Roman" w:hAnsi="Times New Roman" w:eastAsia="Times New Roman" w:cs="Times New Roman"/>
          <w:sz w:val="13"/>
          <w:szCs w:val="13"/>
          <w:spacing w:val="10"/>
          <w:position w:val="12"/>
        </w:rPr>
        <w:t>/</w:t>
      </w:r>
      <w:r>
        <w:rPr>
          <w:rFonts w:ascii="Times New Roman" w:hAnsi="Times New Roman" w:eastAsia="Times New Roman" w:cs="Times New Roman"/>
          <w:sz w:val="13"/>
          <w:szCs w:val="13"/>
          <w:spacing w:val="-8"/>
          <w:position w:val="12"/>
        </w:rPr>
        <w:t xml:space="preserve"> </w:t>
      </w:r>
      <w:r>
        <w:rPr>
          <w:rFonts w:ascii="Times New Roman" w:hAnsi="Times New Roman" w:eastAsia="Times New Roman" w:cs="Times New Roman"/>
          <w:sz w:val="13"/>
          <w:szCs w:val="13"/>
          <w:i/>
          <w:iCs/>
          <w:spacing w:val="10"/>
          <w:position w:val="12"/>
        </w:rPr>
        <w:t>m </w:t>
      </w:r>
      <w:r>
        <w:rPr>
          <w:rFonts w:ascii="Times New Roman" w:hAnsi="Times New Roman" w:eastAsia="Times New Roman" w:cs="Times New Roman"/>
          <w:sz w:val="23"/>
          <w:szCs w:val="23"/>
          <w:spacing w:val="10"/>
          <w:position w:val="2"/>
        </w:rPr>
        <w:t>)</w:t>
      </w:r>
      <w:r>
        <w:rPr>
          <w:rFonts w:ascii="Times New Roman" w:hAnsi="Times New Roman" w:eastAsia="Times New Roman" w:cs="Times New Roman"/>
          <w:sz w:val="13"/>
          <w:szCs w:val="13"/>
          <w:i/>
          <w:iCs/>
          <w:spacing w:val="10"/>
          <w:position w:val="12"/>
        </w:rPr>
        <w:t>m </w:t>
      </w:r>
      <w:r>
        <w:rPr>
          <w:rFonts w:ascii="Times New Roman" w:hAnsi="Times New Roman" w:eastAsia="Times New Roman" w:cs="Times New Roman"/>
          <w:sz w:val="23"/>
          <w:szCs w:val="23"/>
          <w:spacing w:val="10"/>
          <w:position w:val="2"/>
        </w:rPr>
        <w:t>]</w:t>
      </w:r>
      <w:r>
        <w:rPr>
          <w:rFonts w:ascii="Times New Roman" w:hAnsi="Times New Roman" w:eastAsia="Times New Roman" w:cs="Times New Roman"/>
          <w:sz w:val="13"/>
          <w:szCs w:val="13"/>
          <w:spacing w:val="10"/>
          <w:position w:val="12"/>
        </w:rPr>
        <w:t>2</w:t>
      </w:r>
    </w:p>
    <w:p>
      <w:pPr>
        <w:pStyle w:val="BodyText"/>
        <w:ind w:left="11" w:right="3" w:firstLine="482"/>
        <w:spacing w:before="85" w:line="346" w:lineRule="auto"/>
        <w:jc w:val="both"/>
        <w:rPr>
          <w:rFonts w:ascii="SimSun" w:hAnsi="SimSun" w:eastAsia="SimSun" w:cs="SimSun"/>
          <w:sz w:val="24"/>
          <w:szCs w:val="24"/>
        </w:rPr>
      </w:pPr>
      <w:r>
        <w:rPr>
          <w:rFonts w:ascii="SimSun" w:hAnsi="SimSun" w:eastAsia="SimSun" w:cs="SimSun"/>
          <w:sz w:val="24"/>
          <w:szCs w:val="24"/>
          <w:spacing w:val="6"/>
        </w:rPr>
        <w:t>式中</w:t>
      </w:r>
      <w:r>
        <w:rPr>
          <w:sz w:val="24"/>
          <w:szCs w:val="24"/>
          <w:position w:val="-4"/>
        </w:rPr>
        <w:drawing>
          <wp:inline distT="0" distB="0" distL="0" distR="0">
            <wp:extent cx="302822" cy="172211"/>
            <wp:effectExtent l="0" t="0" r="0" b="0"/>
            <wp:docPr id="196" name="IM 196"/>
            <wp:cNvGraphicFramePr/>
            <a:graphic>
              <a:graphicData uri="http://schemas.openxmlformats.org/drawingml/2006/picture">
                <pic:pic>
                  <pic:nvPicPr>
                    <pic:cNvPr id="196" name="IM 196"/>
                    <pic:cNvPicPr/>
                  </pic:nvPicPr>
                  <pic:blipFill>
                    <a:blip r:embed="rId309"/>
                    <a:stretch>
                      <a:fillRect/>
                    </a:stretch>
                  </pic:blipFill>
                  <pic:spPr>
                    <a:xfrm rot="0">
                      <a:off x="0" y="0"/>
                      <a:ext cx="302822" cy="172211"/>
                    </a:xfrm>
                    <a:prstGeom prst="rect">
                      <a:avLst/>
                    </a:prstGeom>
                  </pic:spPr>
                </pic:pic>
              </a:graphicData>
            </a:graphic>
          </wp:inline>
        </w:drawing>
      </w:r>
      <w:r>
        <w:rPr>
          <w:rFonts w:ascii="SimSun" w:hAnsi="SimSun" w:eastAsia="SimSun" w:cs="SimSun"/>
          <w:sz w:val="24"/>
          <w:szCs w:val="24"/>
          <w:spacing w:val="6"/>
        </w:rPr>
        <w:t>为土壤体积含水量（</w:t>
      </w:r>
      <w:r>
        <w:rPr>
          <w:rFonts w:ascii="SimSun" w:hAnsi="SimSun" w:eastAsia="SimSun" w:cs="SimSun"/>
          <w:sz w:val="24"/>
          <w:szCs w:val="24"/>
        </w:rPr>
        <w:t>cm</w:t>
      </w:r>
      <w:r>
        <w:rPr>
          <w:rFonts w:ascii="SimSun" w:hAnsi="SimSun" w:eastAsia="SimSun" w:cs="SimSun"/>
          <w:sz w:val="16"/>
          <w:szCs w:val="16"/>
          <w:spacing w:val="6"/>
          <w:position w:val="8"/>
        </w:rPr>
        <w:t>3</w:t>
      </w:r>
      <w:r>
        <w:rPr>
          <w:rFonts w:ascii="SimSun" w:hAnsi="SimSun" w:eastAsia="SimSun" w:cs="SimSun"/>
          <w:sz w:val="24"/>
          <w:szCs w:val="24"/>
          <w:spacing w:val="6"/>
        </w:rPr>
        <w:t>/</w:t>
      </w:r>
      <w:r>
        <w:rPr>
          <w:rFonts w:ascii="SimSun" w:hAnsi="SimSun" w:eastAsia="SimSun" w:cs="SimSun"/>
          <w:sz w:val="24"/>
          <w:szCs w:val="24"/>
        </w:rPr>
        <w:t>cm</w:t>
      </w:r>
      <w:r>
        <w:rPr>
          <w:rFonts w:ascii="SimSun" w:hAnsi="SimSun" w:eastAsia="SimSun" w:cs="SimSun"/>
          <w:sz w:val="16"/>
          <w:szCs w:val="16"/>
          <w:spacing w:val="6"/>
          <w:position w:val="8"/>
        </w:rPr>
        <w:t>3</w:t>
      </w:r>
      <w:r>
        <w:rPr>
          <w:rFonts w:ascii="SimSun" w:hAnsi="SimSun" w:eastAsia="SimSun" w:cs="SimSun"/>
          <w:sz w:val="16"/>
          <w:szCs w:val="16"/>
          <w:spacing w:val="-32"/>
          <w:position w:val="8"/>
        </w:rPr>
        <w:t xml:space="preserve"> </w:t>
      </w:r>
      <w:r>
        <w:rPr>
          <w:rFonts w:ascii="SimSun" w:hAnsi="SimSun" w:eastAsia="SimSun" w:cs="SimSun"/>
          <w:sz w:val="24"/>
          <w:szCs w:val="24"/>
          <w:spacing w:val="-14"/>
        </w:rPr>
        <w:t>）；</w:t>
      </w:r>
      <w:r>
        <w:rPr>
          <w:sz w:val="24"/>
          <w:szCs w:val="24"/>
          <w:position w:val="-4"/>
        </w:rPr>
        <w:drawing>
          <wp:inline distT="0" distB="0" distL="0" distR="0">
            <wp:extent cx="129999" cy="172211"/>
            <wp:effectExtent l="0" t="0" r="0" b="0"/>
            <wp:docPr id="198" name="IM 198"/>
            <wp:cNvGraphicFramePr/>
            <a:graphic>
              <a:graphicData uri="http://schemas.openxmlformats.org/drawingml/2006/picture">
                <pic:pic>
                  <pic:nvPicPr>
                    <pic:cNvPr id="198" name="IM 198"/>
                    <pic:cNvPicPr/>
                  </pic:nvPicPr>
                  <pic:blipFill>
                    <a:blip r:embed="rId310"/>
                    <a:stretch>
                      <a:fillRect/>
                    </a:stretch>
                  </pic:blipFill>
                  <pic:spPr>
                    <a:xfrm rot="0">
                      <a:off x="0" y="0"/>
                      <a:ext cx="129999" cy="172211"/>
                    </a:xfrm>
                    <a:prstGeom prst="rect">
                      <a:avLst/>
                    </a:prstGeom>
                  </pic:spPr>
                </pic:pic>
              </a:graphicData>
            </a:graphic>
          </wp:inline>
        </w:drawing>
      </w:r>
      <w:r>
        <w:rPr>
          <w:rFonts w:ascii="SimSun" w:hAnsi="SimSun" w:eastAsia="SimSun" w:cs="SimSun"/>
          <w:sz w:val="24"/>
          <w:szCs w:val="24"/>
          <w:spacing w:val="-92"/>
        </w:rPr>
        <w:t xml:space="preserve"> </w:t>
      </w:r>
      <w:r>
        <w:rPr>
          <w:rFonts w:ascii="SimSun" w:hAnsi="SimSun" w:eastAsia="SimSun" w:cs="SimSun"/>
          <w:sz w:val="24"/>
          <w:szCs w:val="24"/>
          <w:spacing w:val="6"/>
        </w:rPr>
        <w:t>、</w:t>
      </w:r>
      <w:r>
        <w:rPr>
          <w:sz w:val="24"/>
          <w:szCs w:val="24"/>
          <w:color w:val="868A8A"/>
          <w:spacing w:val="6"/>
        </w:rPr>
        <w:t>6,</w:t>
      </w:r>
      <w:r>
        <w:rPr>
          <w:sz w:val="24"/>
          <w:szCs w:val="24"/>
          <w:color w:val="868A8A"/>
          <w:spacing w:val="-37"/>
        </w:rPr>
        <w:t xml:space="preserve"> </w:t>
      </w:r>
      <w:r>
        <w:rPr>
          <w:rFonts w:ascii="SimSun" w:hAnsi="SimSun" w:eastAsia="SimSun" w:cs="SimSun"/>
          <w:sz w:val="24"/>
          <w:szCs w:val="24"/>
          <w:spacing w:val="6"/>
        </w:rPr>
        <w:t>、</w:t>
      </w:r>
      <w:r>
        <w:rPr>
          <w:sz w:val="24"/>
          <w:szCs w:val="24"/>
          <w:color w:val="848788"/>
          <w:spacing w:val="6"/>
        </w:rPr>
        <w:t>a</w:t>
      </w:r>
      <w:r>
        <w:rPr>
          <w:sz w:val="24"/>
          <w:szCs w:val="24"/>
          <w:color w:val="848788"/>
          <w:spacing w:val="-32"/>
        </w:rPr>
        <w:t xml:space="preserve"> </w:t>
      </w:r>
      <w:r>
        <w:rPr>
          <w:rFonts w:ascii="SimSun" w:hAnsi="SimSun" w:eastAsia="SimSun" w:cs="SimSun"/>
          <w:sz w:val="24"/>
          <w:szCs w:val="24"/>
          <w:spacing w:val="6"/>
        </w:rPr>
        <w:t>、</w:t>
      </w:r>
      <w:r>
        <w:rPr>
          <w:rFonts w:ascii="Times New Roman" w:hAnsi="Times New Roman" w:eastAsia="Times New Roman" w:cs="Times New Roman"/>
          <w:sz w:val="24"/>
          <w:szCs w:val="24"/>
          <w:i/>
          <w:iCs/>
          <w:spacing w:val="6"/>
        </w:rPr>
        <w:t>n </w:t>
      </w:r>
      <w:r>
        <w:rPr>
          <w:rFonts w:ascii="SimSun" w:hAnsi="SimSun" w:eastAsia="SimSun" w:cs="SimSun"/>
          <w:sz w:val="24"/>
          <w:szCs w:val="24"/>
          <w:spacing w:val="6"/>
        </w:rPr>
        <w:t>为模型的四个重要</w:t>
      </w:r>
      <w:r>
        <w:rPr>
          <w:rFonts w:ascii="SimSun" w:hAnsi="SimSun" w:eastAsia="SimSun" w:cs="SimSun"/>
          <w:sz w:val="24"/>
          <w:szCs w:val="24"/>
        </w:rPr>
        <w:t xml:space="preserve"> </w:t>
      </w:r>
      <w:r>
        <w:rPr>
          <w:rFonts w:ascii="SimSun" w:hAnsi="SimSun" w:eastAsia="SimSun" w:cs="SimSun"/>
          <w:sz w:val="24"/>
          <w:szCs w:val="24"/>
          <w:spacing w:val="-9"/>
        </w:rPr>
        <w:t>参数，</w:t>
      </w:r>
      <w:r>
        <w:rPr>
          <w:sz w:val="24"/>
          <w:szCs w:val="24"/>
          <w:position w:val="-4"/>
        </w:rPr>
        <w:drawing>
          <wp:inline distT="0" distB="0" distL="0" distR="0">
            <wp:extent cx="129539" cy="172211"/>
            <wp:effectExtent l="0" t="0" r="0" b="0"/>
            <wp:docPr id="200" name="IM 200"/>
            <wp:cNvGraphicFramePr/>
            <a:graphic>
              <a:graphicData uri="http://schemas.openxmlformats.org/drawingml/2006/picture">
                <pic:pic>
                  <pic:nvPicPr>
                    <pic:cNvPr id="200" name="IM 200"/>
                    <pic:cNvPicPr/>
                  </pic:nvPicPr>
                  <pic:blipFill>
                    <a:blip r:embed="rId311"/>
                    <a:stretch>
                      <a:fillRect/>
                    </a:stretch>
                  </pic:blipFill>
                  <pic:spPr>
                    <a:xfrm rot="0">
                      <a:off x="0" y="0"/>
                      <a:ext cx="129539" cy="172211"/>
                    </a:xfrm>
                    <a:prstGeom prst="rect">
                      <a:avLst/>
                    </a:prstGeom>
                  </pic:spPr>
                </pic:pic>
              </a:graphicData>
            </a:graphic>
          </wp:inline>
        </w:drawing>
      </w:r>
      <w:r>
        <w:rPr>
          <w:rFonts w:ascii="SimSun" w:hAnsi="SimSun" w:eastAsia="SimSun" w:cs="SimSun"/>
          <w:sz w:val="24"/>
          <w:szCs w:val="24"/>
          <w:spacing w:val="-9"/>
        </w:rPr>
        <w:t>、</w:t>
      </w:r>
      <w:r>
        <w:rPr>
          <w:sz w:val="24"/>
          <w:szCs w:val="24"/>
          <w:color w:val="878789"/>
          <w:spacing w:val="-9"/>
        </w:rPr>
        <w:t>6,</w:t>
      </w:r>
      <w:r>
        <w:rPr>
          <w:rFonts w:ascii="SimSun" w:hAnsi="SimSun" w:eastAsia="SimSun" w:cs="SimSun"/>
          <w:sz w:val="24"/>
          <w:szCs w:val="24"/>
          <w:spacing w:val="-9"/>
        </w:rPr>
        <w:t>是土壤的饱和含水量与残留含水量，</w:t>
      </w:r>
      <w:r>
        <w:rPr>
          <w:sz w:val="24"/>
          <w:szCs w:val="24"/>
          <w:color w:val="828283"/>
          <w:spacing w:val="-9"/>
          <w:position w:val="1"/>
        </w:rPr>
        <w:t>a</w:t>
      </w:r>
      <w:r>
        <w:rPr>
          <w:rFonts w:ascii="SimSun" w:hAnsi="SimSun" w:eastAsia="SimSun" w:cs="SimSun"/>
          <w:sz w:val="24"/>
          <w:szCs w:val="24"/>
          <w:spacing w:val="-9"/>
        </w:rPr>
        <w:t>、</w:t>
      </w:r>
      <w:r>
        <w:rPr>
          <w:rFonts w:ascii="Times New Roman" w:hAnsi="Times New Roman" w:eastAsia="Times New Roman" w:cs="Times New Roman"/>
          <w:sz w:val="24"/>
          <w:szCs w:val="24"/>
          <w:i/>
          <w:iCs/>
          <w:spacing w:val="-9"/>
        </w:rPr>
        <w:t>n</w:t>
      </w:r>
      <w:r>
        <w:rPr>
          <w:rFonts w:ascii="SimSun" w:hAnsi="SimSun" w:eastAsia="SimSun" w:cs="SimSun"/>
          <w:sz w:val="25"/>
          <w:szCs w:val="25"/>
          <w:i/>
          <w:iCs/>
          <w:spacing w:val="-9"/>
        </w:rPr>
        <w:t>、</w:t>
      </w:r>
      <w:r>
        <w:rPr>
          <w:rFonts w:ascii="SimSun" w:hAnsi="SimSun" w:eastAsia="SimSun" w:cs="SimSun"/>
          <w:sz w:val="24"/>
          <w:szCs w:val="24"/>
          <w:spacing w:val="-9"/>
        </w:rPr>
        <w:t>m为经验参数，其中m</w:t>
      </w:r>
      <w:r>
        <w:rPr>
          <w:rFonts w:ascii="SimSun" w:hAnsi="SimSun" w:eastAsia="SimSun" w:cs="SimSun"/>
          <w:sz w:val="24"/>
          <w:szCs w:val="24"/>
          <w:spacing w:val="-25"/>
        </w:rPr>
        <w:t xml:space="preserve"> </w:t>
      </w:r>
      <w:r>
        <w:rPr>
          <w:rFonts w:ascii="SimSun" w:hAnsi="SimSun" w:eastAsia="SimSun" w:cs="SimSun"/>
          <w:sz w:val="24"/>
          <w:szCs w:val="24"/>
          <w:spacing w:val="-9"/>
        </w:rPr>
        <w:t>=</w:t>
      </w:r>
      <w:r>
        <w:rPr>
          <w:rFonts w:ascii="SimSun" w:hAnsi="SimSun" w:eastAsia="SimSun" w:cs="SimSun"/>
          <w:sz w:val="24"/>
          <w:szCs w:val="24"/>
          <w:spacing w:val="-36"/>
        </w:rPr>
        <w:t xml:space="preserve"> </w:t>
      </w:r>
      <w:r>
        <w:rPr>
          <w:rFonts w:ascii="SimSun" w:hAnsi="SimSun" w:eastAsia="SimSun" w:cs="SimSun"/>
          <w:sz w:val="24"/>
          <w:szCs w:val="24"/>
          <w:spacing w:val="-9"/>
        </w:rPr>
        <w:t>1</w:t>
      </w:r>
      <w:r>
        <w:rPr>
          <w:rFonts w:ascii="SimSun" w:hAnsi="SimSun" w:eastAsia="SimSun" w:cs="SimSun"/>
          <w:sz w:val="24"/>
          <w:szCs w:val="24"/>
          <w:spacing w:val="-46"/>
        </w:rPr>
        <w:t xml:space="preserve"> </w:t>
      </w:r>
      <w:r>
        <w:rPr>
          <w:rFonts w:ascii="SimSun" w:hAnsi="SimSun" w:eastAsia="SimSun" w:cs="SimSun"/>
          <w:sz w:val="24"/>
          <w:szCs w:val="24"/>
          <w:spacing w:val="-9"/>
        </w:rPr>
        <w:t>一</w:t>
      </w:r>
    </w:p>
    <w:p>
      <w:pPr>
        <w:ind w:left="21"/>
        <w:spacing w:before="25" w:line="262" w:lineRule="exact"/>
        <w:rPr>
          <w:rFonts w:ascii="SimSun" w:hAnsi="SimSun" w:eastAsia="SimSun" w:cs="SimSun"/>
          <w:sz w:val="24"/>
          <w:szCs w:val="24"/>
        </w:rPr>
      </w:pPr>
      <w:r>
        <w:rPr>
          <w:rFonts w:ascii="SimSun" w:hAnsi="SimSun" w:eastAsia="SimSun" w:cs="SimSun"/>
          <w:sz w:val="24"/>
          <w:szCs w:val="24"/>
          <w:spacing w:val="1"/>
          <w:position w:val="-3"/>
        </w:rPr>
        <w:t>1/n</w:t>
      </w:r>
      <w:r>
        <w:rPr>
          <w:rFonts w:ascii="SimSun" w:hAnsi="SimSun" w:eastAsia="SimSun" w:cs="SimSun"/>
          <w:sz w:val="24"/>
          <w:szCs w:val="24"/>
          <w:spacing w:val="-47"/>
          <w:position w:val="-3"/>
        </w:rPr>
        <w:t xml:space="preserve"> </w:t>
      </w:r>
      <w:r>
        <w:rPr>
          <w:rFonts w:ascii="SimSun" w:hAnsi="SimSun" w:eastAsia="SimSun" w:cs="SimSun"/>
          <w:sz w:val="24"/>
          <w:szCs w:val="24"/>
          <w:spacing w:val="1"/>
          <w:position w:val="-3"/>
        </w:rPr>
        <w:t>(n</w:t>
      </w:r>
      <w:r>
        <w:rPr>
          <w:rFonts w:ascii="SimSun" w:hAnsi="SimSun" w:eastAsia="SimSun" w:cs="SimSun"/>
          <w:sz w:val="24"/>
          <w:szCs w:val="24"/>
          <w:spacing w:val="-36"/>
          <w:position w:val="-3"/>
        </w:rPr>
        <w:t xml:space="preserve"> </w:t>
      </w:r>
      <w:r>
        <w:rPr>
          <w:rFonts w:ascii="SimSun" w:hAnsi="SimSun" w:eastAsia="SimSun" w:cs="SimSun"/>
          <w:sz w:val="24"/>
          <w:szCs w:val="24"/>
          <w:spacing w:val="1"/>
          <w:position w:val="-3"/>
        </w:rPr>
        <w:t>&gt;</w:t>
      </w:r>
      <w:r>
        <w:rPr>
          <w:rFonts w:ascii="SimSun" w:hAnsi="SimSun" w:eastAsia="SimSun" w:cs="SimSun"/>
          <w:sz w:val="24"/>
          <w:szCs w:val="24"/>
          <w:spacing w:val="-37"/>
          <w:position w:val="-3"/>
        </w:rPr>
        <w:t xml:space="preserve"> </w:t>
      </w:r>
      <w:r>
        <w:rPr>
          <w:rFonts w:ascii="SimSun" w:hAnsi="SimSun" w:eastAsia="SimSun" w:cs="SimSun"/>
          <w:sz w:val="24"/>
          <w:szCs w:val="24"/>
          <w:spacing w:val="1"/>
          <w:position w:val="-3"/>
        </w:rPr>
        <w:t>1)。K(h)为土壤的非饱和导水率，</w:t>
      </w:r>
      <w:r>
        <w:rPr>
          <w:rFonts w:ascii="SimSun" w:hAnsi="SimSun" w:eastAsia="SimSun" w:cs="SimSun"/>
          <w:sz w:val="24"/>
          <w:szCs w:val="24"/>
          <w:position w:val="-3"/>
        </w:rPr>
        <w:t>K</w:t>
      </w:r>
      <w:r>
        <w:rPr>
          <w:rFonts w:ascii="SimSun" w:hAnsi="SimSun" w:eastAsia="SimSun" w:cs="SimSun"/>
          <w:sz w:val="16"/>
          <w:szCs w:val="16"/>
          <w:position w:val="-7"/>
        </w:rPr>
        <w:t>s</w:t>
      </w:r>
      <w:r>
        <w:rPr>
          <w:rFonts w:ascii="SimSun" w:hAnsi="SimSun" w:eastAsia="SimSun" w:cs="SimSun"/>
          <w:sz w:val="24"/>
          <w:szCs w:val="24"/>
          <w:spacing w:val="1"/>
          <w:position w:val="-3"/>
        </w:rPr>
        <w:t>为土壤的饱和导水率，m/</w:t>
      </w:r>
      <w:r>
        <w:rPr>
          <w:rFonts w:ascii="SimSun" w:hAnsi="SimSun" w:eastAsia="SimSun" w:cs="SimSun"/>
          <w:sz w:val="24"/>
          <w:szCs w:val="24"/>
          <w:position w:val="-3"/>
        </w:rPr>
        <w:t>s；s</w:t>
      </w:r>
      <w:r>
        <w:ruby>
          <w:rubyPr>
            <w:rubyAlign w:val="left"/>
            <w:hpsRaise w:val="8"/>
            <w:hps w:val="16"/>
            <w:hpsBaseText w:val="16"/>
          </w:rubyPr>
          <w:rt>
            <w:r>
              <w:rPr>
                <w:rFonts w:ascii="SimSun" w:hAnsi="SimSun" w:eastAsia="SimSun" w:cs="SimSun"/>
                <w:sz w:val="16"/>
                <w:szCs w:val="16"/>
                <w:w w:val="67"/>
                <w:position w:val="-3"/>
              </w:rPr>
              <w:t>l</w:t>
            </w:r>
          </w:rt>
          <w:rubyBase>
            <w:r>
              <w:rPr>
                <w:rFonts w:ascii="SimSun" w:hAnsi="SimSun" w:eastAsia="SimSun" w:cs="SimSun"/>
                <w:sz w:val="16"/>
                <w:szCs w:val="16"/>
                <w:w w:val="105"/>
                <w:position w:val="-7"/>
              </w:rPr>
              <w:t>e</w:t>
            </w:r>
          </w:rubyBase>
        </w:ruby>
      </w:r>
      <w:r>
        <w:rPr>
          <w:rFonts w:ascii="SimSun" w:hAnsi="SimSun" w:eastAsia="SimSun" w:cs="SimSun"/>
          <w:sz w:val="24"/>
          <w:szCs w:val="24"/>
          <w:position w:val="-3"/>
        </w:rPr>
        <w:t>为土</w:t>
      </w:r>
    </w:p>
    <w:p>
      <w:pPr>
        <w:ind w:left="9" w:right="3"/>
        <w:spacing w:before="170" w:line="352" w:lineRule="auto"/>
        <w:jc w:val="both"/>
        <w:rPr>
          <w:rFonts w:ascii="SimSun" w:hAnsi="SimSun" w:eastAsia="SimSun" w:cs="SimSun"/>
          <w:sz w:val="24"/>
          <w:szCs w:val="24"/>
        </w:rPr>
      </w:pPr>
      <w:r>
        <w:rPr>
          <w:rFonts w:ascii="SimSun" w:hAnsi="SimSun" w:eastAsia="SimSun" w:cs="SimSun"/>
          <w:sz w:val="24"/>
          <w:szCs w:val="24"/>
          <w:spacing w:val="-3"/>
        </w:rPr>
        <w:t>壤水有效饱和度</w:t>
      </w:r>
      <w:r>
        <w:rPr>
          <w:rFonts w:ascii="SimSun" w:hAnsi="SimSun" w:eastAsia="SimSun" w:cs="SimSun"/>
          <w:sz w:val="24"/>
          <w:szCs w:val="24"/>
          <w:spacing w:val="-30"/>
        </w:rPr>
        <w:t>，</w:t>
      </w:r>
      <w:r>
        <w:rPr>
          <w:sz w:val="24"/>
          <w:szCs w:val="24"/>
          <w:position w:val="-4"/>
        </w:rPr>
        <w:drawing>
          <wp:inline distT="0" distB="0" distL="0" distR="0">
            <wp:extent cx="1543811" cy="172211"/>
            <wp:effectExtent l="0" t="0" r="0" b="0"/>
            <wp:docPr id="202" name="IM 202"/>
            <wp:cNvGraphicFramePr/>
            <a:graphic>
              <a:graphicData uri="http://schemas.openxmlformats.org/drawingml/2006/picture">
                <pic:pic>
                  <pic:nvPicPr>
                    <pic:cNvPr id="202" name="IM 202"/>
                    <pic:cNvPicPr/>
                  </pic:nvPicPr>
                  <pic:blipFill>
                    <a:blip r:embed="rId312"/>
                    <a:stretch>
                      <a:fillRect/>
                    </a:stretch>
                  </pic:blipFill>
                  <pic:spPr>
                    <a:xfrm rot="0">
                      <a:off x="0" y="0"/>
                      <a:ext cx="1543811" cy="172211"/>
                    </a:xfrm>
                    <a:prstGeom prst="rect">
                      <a:avLst/>
                    </a:prstGeom>
                  </pic:spPr>
                </pic:pic>
              </a:graphicData>
            </a:graphic>
          </wp:inline>
        </w:drawing>
      </w:r>
      <w:r>
        <w:rPr>
          <w:rFonts w:ascii="SimSun" w:hAnsi="SimSun" w:eastAsia="SimSun" w:cs="SimSun"/>
          <w:sz w:val="24"/>
          <w:szCs w:val="24"/>
          <w:spacing w:val="-30"/>
        </w:rPr>
        <w:t>，</w:t>
      </w:r>
      <w:r>
        <w:rPr>
          <w:rFonts w:ascii="SimSun" w:hAnsi="SimSun" w:eastAsia="SimSun" w:cs="SimSun"/>
          <w:sz w:val="24"/>
          <w:szCs w:val="24"/>
          <w:spacing w:val="-3"/>
        </w:rPr>
        <w:t>上标</w:t>
      </w:r>
      <w:r>
        <w:rPr>
          <w:rFonts w:ascii="SimSun" w:hAnsi="SimSun" w:eastAsia="SimSun" w:cs="SimSun"/>
          <w:sz w:val="24"/>
          <w:szCs w:val="24"/>
          <w:spacing w:val="-51"/>
        </w:rPr>
        <w:t xml:space="preserve"> </w:t>
      </w:r>
      <w:r>
        <w:rPr>
          <w:rFonts w:ascii="Times New Roman" w:hAnsi="Times New Roman" w:eastAsia="Times New Roman" w:cs="Times New Roman"/>
          <w:sz w:val="24"/>
          <w:szCs w:val="24"/>
          <w:i/>
          <w:iCs/>
          <w:spacing w:val="-3"/>
        </w:rPr>
        <w:t>l </w:t>
      </w:r>
      <w:r>
        <w:rPr>
          <w:rFonts w:ascii="SimSun" w:hAnsi="SimSun" w:eastAsia="SimSun" w:cs="SimSun"/>
          <w:sz w:val="24"/>
          <w:szCs w:val="24"/>
          <w:spacing w:val="-3"/>
        </w:rPr>
        <w:t>为孔隙联通参数，多数情况下取</w:t>
      </w:r>
      <w:r>
        <w:rPr>
          <w:rFonts w:ascii="SimSun" w:hAnsi="SimSun" w:eastAsia="SimSun" w:cs="SimSun"/>
          <w:sz w:val="24"/>
          <w:szCs w:val="24"/>
        </w:rPr>
        <w:t xml:space="preserve"> </w:t>
      </w:r>
      <w:r>
        <w:rPr>
          <w:rFonts w:ascii="Times New Roman" w:hAnsi="Times New Roman" w:eastAsia="Times New Roman" w:cs="Times New Roman"/>
          <w:sz w:val="24"/>
          <w:szCs w:val="24"/>
          <w:spacing w:val="-1"/>
        </w:rPr>
        <w:t>0.5</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1"/>
        </w:rPr>
        <w:t>。本项目针对土壤物理属性，主要参</w:t>
      </w:r>
      <w:r>
        <w:rPr>
          <w:rFonts w:ascii="SimSun" w:hAnsi="SimSun" w:eastAsia="SimSun" w:cs="SimSun"/>
          <w:sz w:val="24"/>
          <w:szCs w:val="24"/>
          <w:spacing w:val="-2"/>
        </w:rPr>
        <w:t>考厂区工程地质勘察资料。</w:t>
      </w:r>
    </w:p>
    <w:p>
      <w:pPr>
        <w:ind w:left="490"/>
        <w:spacing w:before="58" w:line="219" w:lineRule="auto"/>
        <w:rPr>
          <w:rFonts w:ascii="SimSun" w:hAnsi="SimSun" w:eastAsia="SimSun" w:cs="SimSun"/>
          <w:sz w:val="24"/>
          <w:szCs w:val="24"/>
        </w:rPr>
      </w:pP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3HYRDUS </w:t>
      </w:r>
      <w:r>
        <w:rPr>
          <w:rFonts w:ascii="SimSun" w:hAnsi="SimSun" w:eastAsia="SimSun" w:cs="SimSun"/>
          <w:sz w:val="24"/>
          <w:szCs w:val="24"/>
          <w:spacing w:val="-3"/>
        </w:rPr>
        <w:t>有限元软件介绍</w:t>
      </w:r>
    </w:p>
    <w:p>
      <w:pPr>
        <w:ind w:left="8" w:right="1" w:firstLine="481"/>
        <w:spacing w:before="183" w:line="359" w:lineRule="auto"/>
        <w:rPr>
          <w:rFonts w:ascii="SimSun" w:hAnsi="SimSun" w:eastAsia="SimSun" w:cs="SimSun"/>
          <w:sz w:val="24"/>
          <w:szCs w:val="24"/>
        </w:rPr>
      </w:pPr>
      <w:r>
        <w:rPr>
          <w:rFonts w:ascii="SimSun" w:hAnsi="SimSun" w:eastAsia="SimSun" w:cs="SimSun"/>
          <w:sz w:val="24"/>
          <w:szCs w:val="24"/>
          <w:spacing w:val="3"/>
        </w:rPr>
        <w:t>本项目采用</w:t>
      </w:r>
      <w:r>
        <w:rPr>
          <w:rFonts w:ascii="Times New Roman" w:hAnsi="Times New Roman" w:eastAsia="Times New Roman" w:cs="Times New Roman"/>
          <w:sz w:val="24"/>
          <w:szCs w:val="24"/>
        </w:rPr>
        <w:t>HYDRUS</w:t>
      </w:r>
      <w:r>
        <w:rPr>
          <w:rFonts w:ascii="Times New Roman" w:hAnsi="Times New Roman" w:eastAsia="Times New Roman" w:cs="Times New Roman"/>
          <w:sz w:val="24"/>
          <w:szCs w:val="24"/>
          <w:spacing w:val="3"/>
        </w:rPr>
        <w:t>-1D </w:t>
      </w:r>
      <w:r>
        <w:rPr>
          <w:rFonts w:ascii="SimSun" w:hAnsi="SimSun" w:eastAsia="SimSun" w:cs="SimSun"/>
          <w:sz w:val="24"/>
          <w:szCs w:val="24"/>
          <w:spacing w:val="3"/>
        </w:rPr>
        <w:t>进行计算和模拟。该软件是美国农业部盐土实验室</w:t>
      </w:r>
      <w:r>
        <w:rPr>
          <w:rFonts w:ascii="SimSun" w:hAnsi="SimSun" w:eastAsia="SimSun" w:cs="SimSun"/>
          <w:sz w:val="24"/>
          <w:szCs w:val="24"/>
          <w:spacing w:val="18"/>
        </w:rPr>
        <w:t xml:space="preserve"> </w:t>
      </w:r>
      <w:r>
        <w:rPr>
          <w:rFonts w:ascii="SimSun" w:hAnsi="SimSun" w:eastAsia="SimSun" w:cs="SimSun"/>
          <w:sz w:val="24"/>
          <w:szCs w:val="24"/>
          <w:spacing w:val="3"/>
        </w:rPr>
        <w:t>开发的模拟非饱和介质中的一维水分、热、溶质运移的有</w:t>
      </w:r>
      <w:r>
        <w:rPr>
          <w:rFonts w:ascii="SimSun" w:hAnsi="SimSun" w:eastAsia="SimSun" w:cs="SimSun"/>
          <w:sz w:val="24"/>
          <w:szCs w:val="24"/>
          <w:spacing w:val="2"/>
        </w:rPr>
        <w:t>限元计算机模型。该模</w:t>
      </w:r>
      <w:r>
        <w:rPr>
          <w:rFonts w:ascii="SimSun" w:hAnsi="SimSun" w:eastAsia="SimSun" w:cs="SimSun"/>
          <w:sz w:val="24"/>
          <w:szCs w:val="24"/>
        </w:rPr>
        <w:t xml:space="preserve"> </w:t>
      </w:r>
      <w:r>
        <w:rPr>
          <w:rFonts w:ascii="SimSun" w:hAnsi="SimSun" w:eastAsia="SimSun" w:cs="SimSun"/>
          <w:sz w:val="24"/>
          <w:szCs w:val="24"/>
          <w:spacing w:val="3"/>
        </w:rPr>
        <w:t>型软件程序可以灵活地处理各类水流边界，包括定水头和</w:t>
      </w:r>
      <w:r>
        <w:rPr>
          <w:rFonts w:ascii="SimSun" w:hAnsi="SimSun" w:eastAsia="SimSun" w:cs="SimSun"/>
          <w:sz w:val="24"/>
          <w:szCs w:val="24"/>
          <w:spacing w:val="2"/>
        </w:rPr>
        <w:t>变水头边界、给定流量</w:t>
      </w:r>
      <w:r>
        <w:rPr>
          <w:rFonts w:ascii="SimSun" w:hAnsi="SimSun" w:eastAsia="SimSun" w:cs="SimSun"/>
          <w:sz w:val="24"/>
          <w:szCs w:val="24"/>
        </w:rPr>
        <w:t xml:space="preserve"> </w:t>
      </w:r>
      <w:r>
        <w:rPr>
          <w:rFonts w:ascii="SimSun" w:hAnsi="SimSun" w:eastAsia="SimSun" w:cs="SimSun"/>
          <w:sz w:val="24"/>
          <w:szCs w:val="24"/>
          <w:spacing w:val="1"/>
        </w:rPr>
        <w:t>边界、渗水边界、</w:t>
      </w:r>
      <w:r>
        <w:rPr>
          <w:rFonts w:ascii="SimSun" w:hAnsi="SimSun" w:eastAsia="SimSun" w:cs="SimSun"/>
          <w:sz w:val="24"/>
          <w:szCs w:val="24"/>
          <w:spacing w:val="-60"/>
        </w:rPr>
        <w:t xml:space="preserve"> </w:t>
      </w:r>
      <w:r>
        <w:rPr>
          <w:rFonts w:ascii="SimSun" w:hAnsi="SimSun" w:eastAsia="SimSun" w:cs="SimSun"/>
          <w:sz w:val="24"/>
          <w:szCs w:val="24"/>
          <w:spacing w:val="1"/>
        </w:rPr>
        <w:t>自由排水边界、大气边界以及排水沟等。对水流区域进行不规</w:t>
      </w:r>
      <w:r>
        <w:rPr>
          <w:rFonts w:ascii="SimSun" w:hAnsi="SimSun" w:eastAsia="SimSun" w:cs="SimSun"/>
          <w:sz w:val="24"/>
          <w:szCs w:val="24"/>
        </w:rPr>
        <w:t xml:space="preserve"> </w:t>
      </w:r>
      <w:r>
        <w:rPr>
          <w:rFonts w:ascii="SimSun" w:hAnsi="SimSun" w:eastAsia="SimSun" w:cs="SimSun"/>
          <w:sz w:val="24"/>
          <w:szCs w:val="24"/>
          <w:spacing w:val="3"/>
        </w:rPr>
        <w:t>则三角形网格剖分，控制方程采用伽辽金线状有限元法进</w:t>
      </w:r>
      <w:r>
        <w:rPr>
          <w:rFonts w:ascii="SimSun" w:hAnsi="SimSun" w:eastAsia="SimSun" w:cs="SimSun"/>
          <w:sz w:val="24"/>
          <w:szCs w:val="24"/>
          <w:spacing w:val="2"/>
        </w:rPr>
        <w:t>行求解，对时间的离散</w:t>
      </w:r>
      <w:r>
        <w:rPr>
          <w:rFonts w:ascii="SimSun" w:hAnsi="SimSun" w:eastAsia="SimSun" w:cs="SimSun"/>
          <w:sz w:val="24"/>
          <w:szCs w:val="24"/>
        </w:rPr>
        <w:t xml:space="preserve"> </w:t>
      </w:r>
      <w:r>
        <w:rPr>
          <w:rFonts w:ascii="SimSun" w:hAnsi="SimSun" w:eastAsia="SimSun" w:cs="SimSun"/>
          <w:sz w:val="24"/>
          <w:szCs w:val="24"/>
          <w:spacing w:val="3"/>
        </w:rPr>
        <w:t>均采用隐式差分，并采用迭代法将离散化后的非线性控制</w:t>
      </w:r>
      <w:r>
        <w:rPr>
          <w:rFonts w:ascii="SimSun" w:hAnsi="SimSun" w:eastAsia="SimSun" w:cs="SimSun"/>
          <w:sz w:val="24"/>
          <w:szCs w:val="24"/>
          <w:spacing w:val="2"/>
        </w:rPr>
        <w:t>方程组线性化。该模型</w:t>
      </w:r>
      <w:r>
        <w:rPr>
          <w:rFonts w:ascii="SimSun" w:hAnsi="SimSun" w:eastAsia="SimSun" w:cs="SimSun"/>
          <w:sz w:val="24"/>
          <w:szCs w:val="24"/>
        </w:rPr>
        <w:t xml:space="preserve"> </w:t>
      </w:r>
      <w:r>
        <w:rPr>
          <w:rFonts w:ascii="SimSun" w:hAnsi="SimSun" w:eastAsia="SimSun" w:cs="SimSun"/>
          <w:sz w:val="24"/>
          <w:szCs w:val="24"/>
          <w:spacing w:val="3"/>
        </w:rPr>
        <w:t>综合考虑了水分运动、热运动、溶质运移和作物根系吸收</w:t>
      </w:r>
      <w:r>
        <w:rPr>
          <w:rFonts w:ascii="SimSun" w:hAnsi="SimSun" w:eastAsia="SimSun" w:cs="SimSun"/>
          <w:sz w:val="24"/>
          <w:szCs w:val="24"/>
          <w:spacing w:val="2"/>
        </w:rPr>
        <w:t>，适用于恒定或者非恒</w:t>
      </w:r>
      <w:r>
        <w:rPr>
          <w:rFonts w:ascii="SimSun" w:hAnsi="SimSun" w:eastAsia="SimSun" w:cs="SimSun"/>
          <w:sz w:val="24"/>
          <w:szCs w:val="24"/>
        </w:rPr>
        <w:t xml:space="preserve"> </w:t>
      </w:r>
      <w:r>
        <w:rPr>
          <w:rFonts w:ascii="SimSun" w:hAnsi="SimSun" w:eastAsia="SimSun" w:cs="SimSun"/>
          <w:sz w:val="24"/>
          <w:szCs w:val="24"/>
          <w:spacing w:val="1"/>
        </w:rPr>
        <w:t>定的边界条件，具有灵活的输入输出功能。</w:t>
      </w:r>
      <w:r>
        <w:rPr>
          <w:rFonts w:ascii="SimSun" w:hAnsi="SimSun" w:eastAsia="SimSun" w:cs="SimSun"/>
          <w:sz w:val="24"/>
          <w:szCs w:val="24"/>
          <w:spacing w:val="-60"/>
        </w:rPr>
        <w:t xml:space="preserve"> </w:t>
      </w:r>
      <w:r>
        <w:rPr>
          <w:rFonts w:ascii="SimSun" w:hAnsi="SimSun" w:eastAsia="SimSun" w:cs="SimSun"/>
          <w:sz w:val="24"/>
          <w:szCs w:val="24"/>
          <w:spacing w:val="1"/>
        </w:rPr>
        <w:t>目前已在模拟土壤的氮素、水分、盐</w:t>
      </w:r>
      <w:r>
        <w:rPr>
          <w:rFonts w:ascii="SimSun" w:hAnsi="SimSun" w:eastAsia="SimSun" w:cs="SimSun"/>
          <w:sz w:val="24"/>
          <w:szCs w:val="24"/>
        </w:rPr>
        <w:t xml:space="preserve"> </w:t>
      </w:r>
      <w:r>
        <w:rPr>
          <w:rFonts w:ascii="SimSun" w:hAnsi="SimSun" w:eastAsia="SimSun" w:cs="SimSun"/>
          <w:sz w:val="24"/>
          <w:szCs w:val="24"/>
          <w:spacing w:val="-1"/>
        </w:rPr>
        <w:t>分等的运移方面有广泛的应用。</w:t>
      </w:r>
    </w:p>
    <w:p>
      <w:pPr>
        <w:ind w:left="484"/>
        <w:spacing w:line="219" w:lineRule="auto"/>
        <w:rPr>
          <w:rFonts w:ascii="SimSun" w:hAnsi="SimSun" w:eastAsia="SimSun" w:cs="SimSun"/>
          <w:sz w:val="24"/>
          <w:szCs w:val="24"/>
        </w:rPr>
      </w:pP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3"/>
        </w:rPr>
        <w:t>、土壤水分与溶质运移数值模型</w:t>
      </w:r>
    </w:p>
    <w:p>
      <w:pPr>
        <w:ind w:left="488"/>
        <w:spacing w:before="184" w:line="217" w:lineRule="auto"/>
        <w:rPr>
          <w:rFonts w:ascii="SimSun" w:hAnsi="SimSun" w:eastAsia="SimSun" w:cs="SimSun"/>
          <w:sz w:val="24"/>
          <w:szCs w:val="24"/>
        </w:rPr>
      </w:pPr>
      <w:r>
        <w:rPr>
          <w:rFonts w:ascii="SimSun" w:hAnsi="SimSun" w:eastAsia="SimSun" w:cs="SimSun"/>
          <w:sz w:val="24"/>
          <w:szCs w:val="24"/>
          <w:spacing w:val="-2"/>
        </w:rPr>
        <w:t>①模型参数设置</w:t>
      </w:r>
    </w:p>
    <w:p>
      <w:pPr>
        <w:ind w:left="8" w:right="1" w:firstLine="521"/>
        <w:spacing w:before="183" w:line="357" w:lineRule="auto"/>
        <w:jc w:val="both"/>
        <w:rPr>
          <w:rFonts w:ascii="SimSun" w:hAnsi="SimSun" w:eastAsia="SimSun" w:cs="SimSun"/>
          <w:sz w:val="24"/>
          <w:szCs w:val="24"/>
        </w:rPr>
      </w:pPr>
      <w:r>
        <w:rPr>
          <w:rFonts w:ascii="SimSun" w:hAnsi="SimSun" w:eastAsia="SimSun" w:cs="SimSun"/>
          <w:sz w:val="24"/>
          <w:szCs w:val="24"/>
          <w:spacing w:val="8"/>
        </w:rPr>
        <w:t>依据本工程岩土工程勘探成果</w:t>
      </w:r>
      <w:r>
        <w:rPr>
          <w:rFonts w:ascii="SimSun" w:hAnsi="SimSun" w:eastAsia="SimSun" w:cs="SimSun"/>
          <w:sz w:val="24"/>
          <w:szCs w:val="24"/>
          <w:spacing w:val="-70"/>
        </w:rPr>
        <w:t xml:space="preserve"> </w:t>
      </w:r>
      <w:r>
        <w:rPr>
          <w:rFonts w:ascii="SimSun" w:hAnsi="SimSun" w:eastAsia="SimSun" w:cs="SimSun"/>
          <w:sz w:val="24"/>
          <w:szCs w:val="24"/>
          <w:spacing w:val="8"/>
        </w:rPr>
        <w:t>，在钻孔所达深</w:t>
      </w:r>
      <w:r>
        <w:rPr>
          <w:rFonts w:ascii="SimSun" w:hAnsi="SimSun" w:eastAsia="SimSun" w:cs="SimSun"/>
          <w:sz w:val="24"/>
          <w:szCs w:val="24"/>
          <w:spacing w:val="7"/>
        </w:rPr>
        <w:t>度范围内，场地土层主要由</w:t>
      </w:r>
      <w:r>
        <w:rPr>
          <w:rFonts w:ascii="SimSun" w:hAnsi="SimSun" w:eastAsia="SimSun" w:cs="SimSun"/>
          <w:sz w:val="24"/>
          <w:szCs w:val="24"/>
        </w:rPr>
        <w:t xml:space="preserve"> </w:t>
      </w:r>
      <w:r>
        <w:rPr>
          <w:rFonts w:ascii="SimSun" w:hAnsi="SimSun" w:eastAsia="SimSun" w:cs="SimSun"/>
          <w:sz w:val="24"/>
          <w:szCs w:val="24"/>
        </w:rPr>
        <w:t>第四系冲洪积层（</w:t>
      </w:r>
      <w:r>
        <w:rPr>
          <w:rFonts w:ascii="Times New Roman" w:hAnsi="Times New Roman" w:eastAsia="Times New Roman" w:cs="Times New Roman"/>
          <w:sz w:val="24"/>
          <w:szCs w:val="24"/>
        </w:rPr>
        <w:t>Q</w:t>
      </w:r>
      <w:r>
        <w:rPr>
          <w:rFonts w:ascii="Times New Roman" w:hAnsi="Times New Roman" w:eastAsia="Times New Roman" w:cs="Times New Roman"/>
          <w:sz w:val="15"/>
          <w:szCs w:val="15"/>
          <w:position w:val="-1"/>
        </w:rPr>
        <w:t>4</w:t>
      </w:r>
      <w:r>
        <w:rPr>
          <w:rFonts w:ascii="Times New Roman" w:hAnsi="Times New Roman" w:eastAsia="Times New Roman" w:cs="Times New Roman"/>
          <w:sz w:val="15"/>
          <w:szCs w:val="15"/>
          <w:position w:val="7"/>
        </w:rPr>
        <w:t>al+pl</w:t>
      </w:r>
      <w:r>
        <w:rPr>
          <w:rFonts w:ascii="SimSun" w:hAnsi="SimSun" w:eastAsia="SimSun" w:cs="SimSun"/>
          <w:sz w:val="24"/>
          <w:szCs w:val="24"/>
        </w:rPr>
        <w:t>）组成，土质成分主要为砂质颗粒，从整体上看，土层水</w:t>
      </w:r>
      <w:r>
        <w:rPr>
          <w:rFonts w:ascii="SimSun" w:hAnsi="SimSun" w:eastAsia="SimSun" w:cs="SimSun"/>
          <w:sz w:val="24"/>
          <w:szCs w:val="24"/>
          <w:spacing w:val="15"/>
        </w:rPr>
        <w:t xml:space="preserve"> </w:t>
      </w:r>
      <w:r>
        <w:rPr>
          <w:rFonts w:ascii="SimSun" w:hAnsi="SimSun" w:eastAsia="SimSun" w:cs="SimSun"/>
          <w:sz w:val="24"/>
          <w:szCs w:val="24"/>
          <w:spacing w:val="-1"/>
        </w:rPr>
        <w:t>平分布较为均匀，现分述如下：</w:t>
      </w:r>
    </w:p>
    <w:p>
      <w:pPr>
        <w:ind w:left="8" w:firstLine="480"/>
        <w:spacing w:before="9" w:line="360" w:lineRule="auto"/>
        <w:jc w:val="both"/>
        <w:rPr>
          <w:rFonts w:ascii="SimSun" w:hAnsi="SimSun" w:eastAsia="SimSun" w:cs="SimSun"/>
          <w:sz w:val="24"/>
          <w:szCs w:val="24"/>
        </w:rPr>
      </w:pPr>
      <w:r>
        <w:rPr>
          <w:rFonts w:ascii="Times New Roman" w:hAnsi="Times New Roman" w:eastAsia="Times New Roman" w:cs="Times New Roman"/>
          <w:sz w:val="24"/>
          <w:szCs w:val="24"/>
          <w:spacing w:val="-2"/>
        </w:rPr>
        <w:t>a.</w:t>
      </w:r>
      <w:r>
        <w:rPr>
          <w:rFonts w:ascii="SimSun" w:hAnsi="SimSun" w:eastAsia="SimSun" w:cs="SimSun"/>
          <w:sz w:val="24"/>
          <w:szCs w:val="24"/>
          <w:spacing w:val="-2"/>
        </w:rPr>
        <w:t>细砂：浅黄色，稍密～中密，稍湿，颗粒较均匀，砂质较纯，分选性较好，</w:t>
      </w:r>
      <w:r>
        <w:rPr>
          <w:rFonts w:ascii="SimSun" w:hAnsi="SimSun" w:eastAsia="SimSun" w:cs="SimSun"/>
          <w:sz w:val="24"/>
          <w:szCs w:val="24"/>
        </w:rPr>
        <w:t xml:space="preserve"> </w:t>
      </w:r>
      <w:r>
        <w:rPr>
          <w:rFonts w:ascii="SimSun" w:hAnsi="SimSun" w:eastAsia="SimSun" w:cs="SimSun"/>
          <w:sz w:val="24"/>
          <w:szCs w:val="24"/>
          <w:spacing w:val="3"/>
        </w:rPr>
        <w:t>偶含中、粗砂颗粒，局部地段夹中砂透镜体，以长石</w:t>
      </w:r>
      <w:r>
        <w:rPr>
          <w:rFonts w:ascii="SimSun" w:hAnsi="SimSun" w:eastAsia="SimSun" w:cs="SimSun"/>
          <w:sz w:val="24"/>
          <w:szCs w:val="24"/>
          <w:spacing w:val="2"/>
        </w:rPr>
        <w:t>、石英为主要矿物成分。顶</w:t>
      </w:r>
      <w:r>
        <w:rPr>
          <w:rFonts w:ascii="SimSun" w:hAnsi="SimSun" w:eastAsia="SimSun" w:cs="SimSun"/>
          <w:sz w:val="24"/>
          <w:szCs w:val="24"/>
        </w:rPr>
        <w:t xml:space="preserve"> </w:t>
      </w:r>
      <w:r>
        <w:rPr>
          <w:rFonts w:ascii="SimSun" w:hAnsi="SimSun" w:eastAsia="SimSun" w:cs="SimSun"/>
          <w:sz w:val="24"/>
          <w:szCs w:val="24"/>
          <w:spacing w:val="-3"/>
        </w:rPr>
        <w:t>板埋深约</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2.30m~2.50m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，底板埋深约</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4.80m~5.20m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，厚度约</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2.40m~2.80m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，平均厚</w:t>
      </w:r>
      <w:r>
        <w:rPr>
          <w:rFonts w:ascii="SimSun" w:hAnsi="SimSun" w:eastAsia="SimSun" w:cs="SimSun"/>
          <w:sz w:val="24"/>
          <w:szCs w:val="24"/>
        </w:rPr>
        <w:t xml:space="preserve"> </w:t>
      </w:r>
      <w:r>
        <w:rPr>
          <w:rFonts w:ascii="SimSun" w:hAnsi="SimSun" w:eastAsia="SimSun" w:cs="SimSun"/>
          <w:sz w:val="24"/>
          <w:szCs w:val="24"/>
          <w:spacing w:val="-3"/>
        </w:rPr>
        <w:t>度</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2.66m</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3"/>
        </w:rPr>
        <w:t>。标准贯入试验锤击数</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12</w:t>
      </w:r>
      <w:r>
        <w:rPr>
          <w:rFonts w:ascii="SimSun" w:hAnsi="SimSun" w:eastAsia="SimSun" w:cs="SimSun"/>
          <w:sz w:val="24"/>
          <w:szCs w:val="24"/>
          <w:spacing w:val="-3"/>
        </w:rPr>
        <w:t>～</w:t>
      </w:r>
      <w:r>
        <w:rPr>
          <w:rFonts w:ascii="Times New Roman" w:hAnsi="Times New Roman" w:eastAsia="Times New Roman" w:cs="Times New Roman"/>
          <w:sz w:val="24"/>
          <w:szCs w:val="24"/>
          <w:spacing w:val="-3"/>
        </w:rPr>
        <w:t>17 </w:t>
      </w:r>
      <w:r>
        <w:rPr>
          <w:rFonts w:ascii="SimSun" w:hAnsi="SimSun" w:eastAsia="SimSun" w:cs="SimSun"/>
          <w:sz w:val="24"/>
          <w:szCs w:val="24"/>
          <w:spacing w:val="-3"/>
        </w:rPr>
        <w:t>击，修正后平均锤击数为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14.1 </w:t>
      </w:r>
      <w:r>
        <w:rPr>
          <w:rFonts w:ascii="SimSun" w:hAnsi="SimSun" w:eastAsia="SimSun" w:cs="SimSun"/>
          <w:sz w:val="24"/>
          <w:szCs w:val="24"/>
          <w:spacing w:val="-3"/>
        </w:rPr>
        <w:t>击。</w:t>
      </w:r>
    </w:p>
    <w:p>
      <w:pPr>
        <w:spacing w:line="360" w:lineRule="auto"/>
        <w:sectPr>
          <w:headerReference w:type="default" r:id="rId305"/>
          <w:footerReference w:type="default" r:id="rId306"/>
          <w:pgSz w:w="11907" w:h="16840"/>
          <w:pgMar w:top="1567" w:right="1698" w:bottom="1921" w:left="1701" w:header="1221" w:footer="1247" w:gutter="0"/>
        </w:sectPr>
        <w:rPr>
          <w:rFonts w:ascii="SimSun" w:hAnsi="SimSun" w:eastAsia="SimSun" w:cs="SimSun"/>
          <w:sz w:val="24"/>
          <w:szCs w:val="24"/>
        </w:rPr>
      </w:pPr>
    </w:p>
    <w:p>
      <w:pPr>
        <w:ind w:left="8" w:firstLine="471"/>
        <w:spacing w:before="186" w:line="359" w:lineRule="auto"/>
        <w:jc w:val="both"/>
        <w:rPr>
          <w:rFonts w:ascii="SimSun" w:hAnsi="SimSun" w:eastAsia="SimSun" w:cs="SimSun"/>
          <w:sz w:val="24"/>
          <w:szCs w:val="24"/>
        </w:rPr>
      </w:pPr>
      <w:r>
        <w:pict>
          <v:shape id="_x0000_s1038" style="position:absolute;margin-left:85.05pt;margin-top:79.11pt;mso-position-vertical-relative:page;mso-position-horizontal-relative:page;width:425.25pt;height:0.75pt;z-index:252166144;" o:allowincell="f" fillcolor="#000000" filled="true" stroked="false" coordsize="8505,15" coordorigin="0,0" path="m,l8505,0l8505,14l0,14l0,0xe"/>
        </w:pict>
      </w:r>
      <w:r>
        <w:rPr>
          <w:rFonts w:ascii="Times New Roman" w:hAnsi="Times New Roman" w:eastAsia="Times New Roman" w:cs="Times New Roman"/>
          <w:sz w:val="24"/>
          <w:szCs w:val="24"/>
          <w:spacing w:val="-2"/>
        </w:rPr>
        <w:t>b.</w:t>
      </w:r>
      <w:r>
        <w:rPr>
          <w:rFonts w:ascii="SimSun" w:hAnsi="SimSun" w:eastAsia="SimSun" w:cs="SimSun"/>
          <w:sz w:val="24"/>
          <w:szCs w:val="24"/>
          <w:spacing w:val="-2"/>
        </w:rPr>
        <w:t>粗砂：浅黄、褐黄色，中密，稍湿～饱和，颗粒不均匀，</w:t>
      </w:r>
      <w:r>
        <w:rPr>
          <w:rFonts w:ascii="SimSun" w:hAnsi="SimSun" w:eastAsia="SimSun" w:cs="SimSun"/>
          <w:sz w:val="24"/>
          <w:szCs w:val="24"/>
          <w:spacing w:val="-3"/>
        </w:rPr>
        <w:t>级配心良好，含细</w:t>
      </w:r>
      <w:r>
        <w:rPr>
          <w:rFonts w:ascii="SimSun" w:hAnsi="SimSun" w:eastAsia="SimSun" w:cs="SimSun"/>
          <w:sz w:val="24"/>
          <w:szCs w:val="24"/>
        </w:rPr>
        <w:t xml:space="preserve"> </w:t>
      </w:r>
      <w:r>
        <w:rPr>
          <w:rFonts w:ascii="SimSun" w:hAnsi="SimSun" w:eastAsia="SimSun" w:cs="SimSun"/>
          <w:sz w:val="24"/>
          <w:szCs w:val="24"/>
          <w:spacing w:val="3"/>
        </w:rPr>
        <w:t>砂、中砂、砾砂，局部地段夹中砂透镜体，以长石、石英为</w:t>
      </w:r>
      <w:r>
        <w:rPr>
          <w:rFonts w:ascii="SimSun" w:hAnsi="SimSun" w:eastAsia="SimSun" w:cs="SimSun"/>
          <w:sz w:val="24"/>
          <w:szCs w:val="24"/>
          <w:spacing w:val="2"/>
        </w:rPr>
        <w:t>主要矿物成分。顶板</w:t>
      </w:r>
      <w:r>
        <w:rPr>
          <w:rFonts w:ascii="SimSun" w:hAnsi="SimSun" w:eastAsia="SimSun" w:cs="SimSun"/>
          <w:sz w:val="24"/>
          <w:szCs w:val="24"/>
        </w:rPr>
        <w:t xml:space="preserve"> </w:t>
      </w:r>
      <w:r>
        <w:rPr>
          <w:rFonts w:ascii="SimSun" w:hAnsi="SimSun" w:eastAsia="SimSun" w:cs="SimSun"/>
          <w:sz w:val="24"/>
          <w:szCs w:val="24"/>
          <w:spacing w:val="-1"/>
        </w:rPr>
        <w:t>埋深约</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4.80m~5.30m</w:t>
      </w:r>
      <w:r>
        <w:rPr>
          <w:rFonts w:ascii="SimSun" w:hAnsi="SimSun" w:eastAsia="SimSun" w:cs="SimSun"/>
          <w:sz w:val="24"/>
          <w:szCs w:val="24"/>
          <w:spacing w:val="-1"/>
        </w:rPr>
        <w:t>。</w:t>
      </w:r>
    </w:p>
    <w:p>
      <w:pPr>
        <w:ind w:left="8" w:right="2" w:firstLine="483"/>
        <w:spacing w:before="1" w:line="345" w:lineRule="auto"/>
        <w:rPr>
          <w:rFonts w:ascii="SimSun" w:hAnsi="SimSun" w:eastAsia="SimSun" w:cs="SimSun"/>
          <w:sz w:val="24"/>
          <w:szCs w:val="24"/>
        </w:rPr>
      </w:pPr>
      <w:r>
        <w:rPr>
          <w:rFonts w:ascii="SimSun" w:hAnsi="SimSun" w:eastAsia="SimSun" w:cs="SimSun"/>
          <w:sz w:val="24"/>
          <w:szCs w:val="24"/>
          <w:spacing w:val="-3"/>
        </w:rPr>
        <w:t>厂区包气带厚度约为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6.4-6.9m</w:t>
      </w:r>
      <w:r>
        <w:rPr>
          <w:rFonts w:ascii="SimSun" w:hAnsi="SimSun" w:eastAsia="SimSun" w:cs="SimSun"/>
          <w:sz w:val="24"/>
          <w:szCs w:val="24"/>
          <w:spacing w:val="-3"/>
        </w:rPr>
        <w:t>，岩性为细砂、粗</w:t>
      </w:r>
      <w:r>
        <w:rPr>
          <w:rFonts w:ascii="SimSun" w:hAnsi="SimSun" w:eastAsia="SimSun" w:cs="SimSun"/>
          <w:sz w:val="24"/>
          <w:szCs w:val="24"/>
          <w:spacing w:val="-4"/>
        </w:rPr>
        <w:t>砂层垂向渗透系数按岩性取经</w:t>
      </w:r>
      <w:r>
        <w:rPr>
          <w:rFonts w:ascii="SimSun" w:hAnsi="SimSun" w:eastAsia="SimSun" w:cs="SimSun"/>
          <w:sz w:val="24"/>
          <w:szCs w:val="24"/>
        </w:rPr>
        <w:t xml:space="preserve"> </w:t>
      </w:r>
      <w:r>
        <w:rPr>
          <w:rFonts w:ascii="SimSun" w:hAnsi="SimSun" w:eastAsia="SimSun" w:cs="SimSun"/>
          <w:sz w:val="24"/>
          <w:szCs w:val="24"/>
          <w:spacing w:val="-1"/>
        </w:rPr>
        <w:t>验值约为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1"/>
        </w:rPr>
        <w:t>5.79</w:t>
      </w:r>
      <w:r>
        <w:rPr>
          <w:rFonts w:ascii="SimSun" w:hAnsi="SimSun" w:eastAsia="SimSun" w:cs="SimSun"/>
          <w:sz w:val="24"/>
          <w:szCs w:val="24"/>
          <w:spacing w:val="-1"/>
        </w:rPr>
        <w:t>×</w:t>
      </w:r>
      <w:r>
        <w:rPr>
          <w:rFonts w:ascii="Times New Roman" w:hAnsi="Times New Roman" w:eastAsia="Times New Roman" w:cs="Times New Roman"/>
          <w:sz w:val="24"/>
          <w:szCs w:val="24"/>
          <w:spacing w:val="-1"/>
        </w:rPr>
        <w:t>10</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cm/s~5.78</w:t>
      </w:r>
      <w:r>
        <w:rPr>
          <w:rFonts w:ascii="SimSun" w:hAnsi="SimSun" w:eastAsia="SimSun" w:cs="SimSun"/>
          <w:sz w:val="24"/>
          <w:szCs w:val="24"/>
          <w:spacing w:val="-1"/>
        </w:rPr>
        <w:t>×</w:t>
      </w:r>
      <w:r>
        <w:rPr>
          <w:rFonts w:ascii="Times New Roman" w:hAnsi="Times New Roman" w:eastAsia="Times New Roman" w:cs="Times New Roman"/>
          <w:sz w:val="24"/>
          <w:szCs w:val="24"/>
          <w:spacing w:val="-1"/>
        </w:rPr>
        <w:t>10</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24"/>
          <w:szCs w:val="24"/>
          <w:spacing w:val="-1"/>
        </w:rPr>
        <w:t>cm/s</w:t>
      </w:r>
      <w:r>
        <w:rPr>
          <w:rFonts w:ascii="SimSun" w:hAnsi="SimSun" w:eastAsia="SimSun" w:cs="SimSun"/>
          <w:sz w:val="24"/>
          <w:szCs w:val="24"/>
          <w:spacing w:val="-1"/>
        </w:rPr>
        <w:t>。</w:t>
      </w:r>
    </w:p>
    <w:p>
      <w:pPr>
        <w:ind w:firstLine="3554"/>
        <w:spacing w:line="8407" w:lineRule="exact"/>
        <w:rPr/>
      </w:pPr>
      <w:r>
        <w:rPr>
          <w:position w:val="-168"/>
        </w:rPr>
        <w:drawing>
          <wp:inline distT="0" distB="0" distL="0" distR="0">
            <wp:extent cx="886967" cy="5338571"/>
            <wp:effectExtent l="0" t="0" r="0" b="0"/>
            <wp:docPr id="204" name="IM 204"/>
            <wp:cNvGraphicFramePr/>
            <a:graphic>
              <a:graphicData uri="http://schemas.openxmlformats.org/drawingml/2006/picture">
                <pic:pic>
                  <pic:nvPicPr>
                    <pic:cNvPr id="204" name="IM 204"/>
                    <pic:cNvPicPr/>
                  </pic:nvPicPr>
                  <pic:blipFill>
                    <a:blip r:embed="rId313"/>
                    <a:stretch>
                      <a:fillRect/>
                    </a:stretch>
                  </pic:blipFill>
                  <pic:spPr>
                    <a:xfrm rot="0">
                      <a:off x="0" y="0"/>
                      <a:ext cx="886967" cy="5338571"/>
                    </a:xfrm>
                    <a:prstGeom prst="rect">
                      <a:avLst/>
                    </a:prstGeom>
                  </pic:spPr>
                </pic:pic>
              </a:graphicData>
            </a:graphic>
          </wp:inline>
        </w:drawing>
      </w:r>
    </w:p>
    <w:p>
      <w:pPr>
        <w:ind w:left="1595"/>
        <w:spacing w:before="172" w:line="219" w:lineRule="auto"/>
        <w:rPr>
          <w:rFonts w:ascii="SimSun" w:hAnsi="SimSun" w:eastAsia="SimSun" w:cs="SimSun"/>
          <w:sz w:val="24"/>
          <w:szCs w:val="24"/>
        </w:rPr>
      </w:pPr>
      <w:r>
        <w:rPr>
          <w:rFonts w:ascii="SimSun" w:hAnsi="SimSun" w:eastAsia="SimSun" w:cs="SimSun"/>
          <w:sz w:val="24"/>
          <w:szCs w:val="24"/>
          <w:b/>
          <w:bCs/>
          <w:spacing w:val="-2"/>
        </w:rPr>
        <w:t>图</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2"/>
        </w:rPr>
        <w:t>5.6-1        </w:t>
      </w:r>
      <w:r>
        <w:rPr>
          <w:rFonts w:ascii="SimSun" w:hAnsi="SimSun" w:eastAsia="SimSun" w:cs="SimSun"/>
          <w:sz w:val="24"/>
          <w:szCs w:val="24"/>
          <w:b/>
          <w:bCs/>
          <w:spacing w:val="-2"/>
        </w:rPr>
        <w:t>厂区非饱和带分</w:t>
      </w:r>
      <w:r>
        <w:rPr>
          <w:rFonts w:ascii="SimSun" w:hAnsi="SimSun" w:eastAsia="SimSun" w:cs="SimSun"/>
          <w:sz w:val="24"/>
          <w:szCs w:val="24"/>
          <w:b/>
          <w:bCs/>
          <w:spacing w:val="-3"/>
        </w:rPr>
        <w:t>层、剖面和观测点位置</w:t>
      </w:r>
    </w:p>
    <w:p>
      <w:pPr>
        <w:ind w:left="488"/>
        <w:spacing w:before="183" w:line="217" w:lineRule="auto"/>
        <w:rPr>
          <w:rFonts w:ascii="SimSun" w:hAnsi="SimSun" w:eastAsia="SimSun" w:cs="SimSun"/>
          <w:sz w:val="24"/>
          <w:szCs w:val="24"/>
        </w:rPr>
      </w:pPr>
      <w:r>
        <w:rPr>
          <w:rFonts w:ascii="SimSun" w:hAnsi="SimSun" w:eastAsia="SimSun" w:cs="SimSun"/>
          <w:sz w:val="24"/>
          <w:szCs w:val="24"/>
          <w:spacing w:val="-2"/>
        </w:rPr>
        <w:t>②模型边界条件</w:t>
      </w:r>
    </w:p>
    <w:p>
      <w:pPr>
        <w:ind w:left="8" w:firstLine="480"/>
        <w:spacing w:before="139" w:line="365" w:lineRule="auto"/>
        <w:rPr>
          <w:rFonts w:ascii="SimSun" w:hAnsi="SimSun" w:eastAsia="SimSun" w:cs="SimSun"/>
          <w:sz w:val="24"/>
          <w:szCs w:val="24"/>
        </w:rPr>
      </w:pPr>
      <w:r>
        <w:rPr>
          <w:rFonts w:ascii="SimSun" w:hAnsi="SimSun" w:eastAsia="SimSun" w:cs="SimSun"/>
          <w:sz w:val="24"/>
          <w:szCs w:val="24"/>
          <w:spacing w:val="2"/>
        </w:rPr>
        <w:t>模型设置为垂向一维模型，以地表作为</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z=0 </w:t>
      </w:r>
      <w:r>
        <w:rPr>
          <w:rFonts w:ascii="SimSun" w:hAnsi="SimSun" w:eastAsia="SimSun" w:cs="SimSun"/>
          <w:sz w:val="24"/>
          <w:szCs w:val="24"/>
          <w:spacing w:val="2"/>
        </w:rPr>
        <w:t>参照面，坐标轴向上，模拟深度</w:t>
      </w:r>
      <w:r>
        <w:rPr>
          <w:rFonts w:ascii="SimSun" w:hAnsi="SimSun" w:eastAsia="SimSun" w:cs="SimSun"/>
          <w:sz w:val="24"/>
          <w:szCs w:val="24"/>
        </w:rPr>
        <w:t xml:space="preserve"> </w:t>
      </w:r>
      <w:r>
        <w:rPr>
          <w:rFonts w:ascii="SimSun" w:hAnsi="SimSun" w:eastAsia="SimSun" w:cs="SimSun"/>
          <w:sz w:val="24"/>
          <w:szCs w:val="24"/>
          <w:spacing w:val="2"/>
        </w:rPr>
        <w:t>为</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600</w:t>
      </w:r>
      <w:r>
        <w:rPr>
          <w:rFonts w:ascii="Times New Roman" w:hAnsi="Times New Roman" w:eastAsia="Times New Roman" w:cs="Times New Roman"/>
          <w:sz w:val="24"/>
          <w:szCs w:val="24"/>
        </w:rPr>
        <w:t>cm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2"/>
        </w:rPr>
        <w:t>，模型边界主要考虑上下边界条件，</w:t>
      </w:r>
      <w:r>
        <w:rPr>
          <w:rFonts w:ascii="SimSun" w:hAnsi="SimSun" w:eastAsia="SimSun" w:cs="SimSun"/>
          <w:sz w:val="24"/>
          <w:szCs w:val="24"/>
          <w:spacing w:val="1"/>
        </w:rPr>
        <w:t>左右两侧边界默认为零通量边界。</w:t>
      </w:r>
      <w:r>
        <w:rPr>
          <w:rFonts w:ascii="SimSun" w:hAnsi="SimSun" w:eastAsia="SimSun" w:cs="SimSun"/>
          <w:sz w:val="24"/>
          <w:szCs w:val="24"/>
        </w:rPr>
        <w:t xml:space="preserve"> </w:t>
      </w:r>
      <w:r>
        <w:rPr>
          <w:rFonts w:ascii="SimSun" w:hAnsi="SimSun" w:eastAsia="SimSun" w:cs="SimSun"/>
          <w:sz w:val="24"/>
          <w:szCs w:val="24"/>
          <w:spacing w:val="2"/>
        </w:rPr>
        <w:t>模型仅模拟</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600</w:t>
      </w:r>
      <w:r>
        <w:rPr>
          <w:rFonts w:ascii="Times New Roman" w:hAnsi="Times New Roman" w:eastAsia="Times New Roman" w:cs="Times New Roman"/>
          <w:sz w:val="24"/>
          <w:szCs w:val="24"/>
        </w:rPr>
        <w:t>cm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2"/>
        </w:rPr>
        <w:t>，未知下边界情况，因此模</w:t>
      </w:r>
      <w:r>
        <w:rPr>
          <w:rFonts w:ascii="SimSun" w:hAnsi="SimSun" w:eastAsia="SimSun" w:cs="SimSun"/>
          <w:sz w:val="24"/>
          <w:szCs w:val="24"/>
          <w:spacing w:val="1"/>
        </w:rPr>
        <w:t>型下边界假定为自由排水边界，允</w:t>
      </w:r>
    </w:p>
    <w:p>
      <w:pPr>
        <w:pStyle w:val="BodyText"/>
        <w:spacing w:line="348" w:lineRule="auto"/>
        <w:rPr/>
      </w:pPr>
      <w:r/>
    </w:p>
    <w:p>
      <w:pPr>
        <w:ind w:left="7"/>
        <w:spacing w:before="63" w:line="227" w:lineRule="auto"/>
        <w:rPr>
          <w:rFonts w:ascii="SimSun" w:hAnsi="SimSun" w:eastAsia="SimSun" w:cs="SimSun"/>
          <w:sz w:val="19"/>
          <w:szCs w:val="19"/>
        </w:rPr>
      </w:pPr>
      <w:r>
        <w:pict>
          <v:shape id="_x0000_s1040" style="position:absolute;margin-left:159.33pt;margin-top:2.11057pt;mso-position-vertical-relative:text;mso-position-horizontal-relative:text;width:61pt;height:13.75pt;z-index:25216512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223</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2"/>
          <w:footerReference w:type="default" r:id="rId3"/>
          <w:pgSz w:w="11907" w:h="16840"/>
          <w:pgMar w:top="1567" w:right="1699" w:bottom="400" w:left="1701" w:header="1221" w:footer="0" w:gutter="0"/>
        </w:sectPr>
        <w:rPr>
          <w:rFonts w:ascii="SimSun" w:hAnsi="SimSun" w:eastAsia="SimSun" w:cs="SimSun"/>
          <w:sz w:val="19"/>
          <w:szCs w:val="19"/>
        </w:rPr>
      </w:pPr>
    </w:p>
    <w:p>
      <w:pPr>
        <w:ind w:left="26"/>
        <w:spacing w:before="169" w:line="219" w:lineRule="auto"/>
        <w:rPr>
          <w:rFonts w:ascii="SimSun" w:hAnsi="SimSun" w:eastAsia="SimSun" w:cs="SimSun"/>
          <w:sz w:val="24"/>
          <w:szCs w:val="24"/>
        </w:rPr>
      </w:pPr>
      <w:r>
        <w:pict>
          <v:shape id="_x0000_s1044" style="position:absolute;margin-left:85.05pt;margin-top:78.87pt;mso-position-vertical-relative:page;mso-position-horizontal-relative:page;width:425.25pt;height:0.75pt;z-index:252168192;" o:allowincell="f" fillcolor="#000000" filled="true" stroked="false" coordsize="8505,15" coordorigin="0,0" path="m,l8505,0l8505,14l0,14l0,0xe"/>
        </w:pict>
      </w:r>
      <w:r>
        <w:rPr>
          <w:rFonts w:ascii="SimSun" w:hAnsi="SimSun" w:eastAsia="SimSun" w:cs="SimSun"/>
          <w:sz w:val="24"/>
          <w:szCs w:val="24"/>
          <w:spacing w:val="-1"/>
        </w:rPr>
        <w:t>许模型下边界水分自由输出。</w:t>
      </w:r>
    </w:p>
    <w:p>
      <w:pPr>
        <w:ind w:left="503"/>
        <w:spacing w:before="180" w:line="217" w:lineRule="auto"/>
        <w:rPr>
          <w:rFonts w:ascii="SimSun" w:hAnsi="SimSun" w:eastAsia="SimSun" w:cs="SimSun"/>
          <w:sz w:val="24"/>
          <w:szCs w:val="24"/>
        </w:rPr>
      </w:pPr>
      <w:r>
        <w:rPr>
          <w:rFonts w:ascii="SimSun" w:hAnsi="SimSun" w:eastAsia="SimSun" w:cs="SimSun"/>
          <w:sz w:val="24"/>
          <w:szCs w:val="24"/>
          <w:spacing w:val="-2"/>
        </w:rPr>
        <w:t>③模型初始条件</w:t>
      </w:r>
    </w:p>
    <w:p>
      <w:pPr>
        <w:ind w:left="26" w:firstLine="478"/>
        <w:spacing w:before="187" w:line="359" w:lineRule="auto"/>
        <w:rPr>
          <w:rFonts w:ascii="SimSun" w:hAnsi="SimSun" w:eastAsia="SimSun" w:cs="SimSun"/>
          <w:sz w:val="24"/>
          <w:szCs w:val="24"/>
        </w:rPr>
      </w:pPr>
      <w:r>
        <w:rPr>
          <w:rFonts w:ascii="SimSun" w:hAnsi="SimSun" w:eastAsia="SimSun" w:cs="SimSun"/>
          <w:sz w:val="24"/>
          <w:szCs w:val="24"/>
          <w:spacing w:val="-3"/>
        </w:rPr>
        <w:t>对于土壤中的初始污染物，可将该浓度背景值假定为</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3"/>
        </w:rPr>
        <w:t>0 </w:t>
      </w:r>
      <w:r>
        <w:rPr>
          <w:rFonts w:ascii="SimSun" w:hAnsi="SimSun" w:eastAsia="SimSun" w:cs="SimSun"/>
          <w:sz w:val="24"/>
          <w:szCs w:val="24"/>
          <w:spacing w:val="-3"/>
        </w:rPr>
        <w:t>或者参考现状监测值，</w:t>
      </w:r>
      <w:r>
        <w:rPr>
          <w:rFonts w:ascii="SimSun" w:hAnsi="SimSun" w:eastAsia="SimSun" w:cs="SimSun"/>
          <w:sz w:val="24"/>
          <w:szCs w:val="24"/>
        </w:rPr>
        <w:t xml:space="preserve"> </w:t>
      </w:r>
      <w:r>
        <w:rPr>
          <w:rFonts w:ascii="SimSun" w:hAnsi="SimSun" w:eastAsia="SimSun" w:cs="SimSun"/>
          <w:sz w:val="24"/>
          <w:szCs w:val="24"/>
          <w:spacing w:val="-3"/>
        </w:rPr>
        <w:t>作为模型的初始污染物浓度（如果背景浓度假定为</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3"/>
        </w:rPr>
        <w:t>0</w:t>
      </w:r>
      <w:r>
        <w:rPr>
          <w:rFonts w:ascii="SimSun" w:hAnsi="SimSun" w:eastAsia="SimSun" w:cs="SimSun"/>
          <w:sz w:val="24"/>
          <w:szCs w:val="24"/>
          <w:spacing w:val="-3"/>
        </w:rPr>
        <w:t>，则预测的土壤中污染物浓度</w:t>
      </w:r>
      <w:r>
        <w:rPr>
          <w:rFonts w:ascii="SimSun" w:hAnsi="SimSun" w:eastAsia="SimSun" w:cs="SimSun"/>
          <w:sz w:val="24"/>
          <w:szCs w:val="24"/>
        </w:rPr>
        <w:t xml:space="preserve"> </w:t>
      </w:r>
      <w:r>
        <w:rPr>
          <w:rFonts w:ascii="SimSun" w:hAnsi="SimSun" w:eastAsia="SimSun" w:cs="SimSun"/>
          <w:sz w:val="24"/>
          <w:szCs w:val="24"/>
          <w:spacing w:val="-1"/>
        </w:rPr>
        <w:t>均由污染源引起，对背景值和污染值叠加分析即可）。</w:t>
      </w:r>
    </w:p>
    <w:p>
      <w:pPr>
        <w:ind w:left="24" w:right="16" w:firstLine="480"/>
        <w:spacing w:before="3" w:line="358" w:lineRule="auto"/>
        <w:jc w:val="both"/>
        <w:rPr>
          <w:rFonts w:ascii="SimSun" w:hAnsi="SimSun" w:eastAsia="SimSun" w:cs="SimSun"/>
          <w:sz w:val="24"/>
          <w:szCs w:val="24"/>
        </w:rPr>
      </w:pPr>
      <w:r>
        <w:rPr>
          <w:rFonts w:ascii="SimSun" w:hAnsi="SimSun" w:eastAsia="SimSun" w:cs="SimSun"/>
          <w:sz w:val="24"/>
          <w:szCs w:val="24"/>
          <w:spacing w:val="3"/>
        </w:rPr>
        <w:t>根据勘察钻孔揭露，由于地下水埋藏较深，对浅层包气带土壤含水</w:t>
      </w:r>
      <w:r>
        <w:rPr>
          <w:rFonts w:ascii="SimSun" w:hAnsi="SimSun" w:eastAsia="SimSun" w:cs="SimSun"/>
          <w:sz w:val="24"/>
          <w:szCs w:val="24"/>
          <w:spacing w:val="2"/>
        </w:rPr>
        <w:t>量影响不</w:t>
      </w:r>
      <w:r>
        <w:rPr>
          <w:rFonts w:ascii="SimSun" w:hAnsi="SimSun" w:eastAsia="SimSun" w:cs="SimSun"/>
          <w:sz w:val="24"/>
          <w:szCs w:val="24"/>
        </w:rPr>
        <w:t xml:space="preserve"> </w:t>
      </w:r>
      <w:r>
        <w:rPr>
          <w:rFonts w:ascii="SimSun" w:hAnsi="SimSun" w:eastAsia="SimSun" w:cs="SimSun"/>
          <w:sz w:val="24"/>
          <w:szCs w:val="24"/>
          <w:spacing w:val="-2"/>
        </w:rPr>
        <w:t>大。由于模型仅考虑土壤包气带污染运移，本项目周边地下水埋深大于</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6.4-6.9m</w:t>
      </w:r>
      <w:r>
        <w:rPr>
          <w:rFonts w:ascii="SimSun" w:hAnsi="SimSun" w:eastAsia="SimSun" w:cs="SimSun"/>
          <w:sz w:val="24"/>
          <w:szCs w:val="24"/>
          <w:spacing w:val="-2"/>
        </w:rPr>
        <w:t>，</w:t>
      </w:r>
      <w:r>
        <w:rPr>
          <w:rFonts w:ascii="SimSun" w:hAnsi="SimSun" w:eastAsia="SimSun" w:cs="SimSun"/>
          <w:sz w:val="24"/>
          <w:szCs w:val="24"/>
        </w:rPr>
        <w:t xml:space="preserve"> </w:t>
      </w:r>
      <w:r>
        <w:rPr>
          <w:rFonts w:ascii="SimSun" w:hAnsi="SimSun" w:eastAsia="SimSun" w:cs="SimSun"/>
          <w:sz w:val="24"/>
          <w:szCs w:val="24"/>
          <w:spacing w:val="-3"/>
        </w:rPr>
        <w:t>因此剖面预测深度选择</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，均匀剖分为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60</w:t>
      </w:r>
      <w:r>
        <w:rPr>
          <w:rFonts w:ascii="Times New Roman" w:hAnsi="Times New Roman" w:eastAsia="Times New Roman" w:cs="Times New Roman"/>
          <w:sz w:val="24"/>
          <w:szCs w:val="24"/>
          <w:spacing w:val="-4"/>
        </w:rPr>
        <w:t xml:space="preserve"> </w:t>
      </w:r>
      <w:r>
        <w:rPr>
          <w:rFonts w:ascii="SimSun" w:hAnsi="SimSun" w:eastAsia="SimSun" w:cs="SimSun"/>
          <w:sz w:val="24"/>
          <w:szCs w:val="24"/>
          <w:spacing w:val="-4"/>
        </w:rPr>
        <w:t>个网格，每个网格厚度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10cm</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4"/>
        </w:rPr>
        <w:t>。其物理</w:t>
      </w:r>
      <w:r>
        <w:rPr>
          <w:rFonts w:ascii="SimSun" w:hAnsi="SimSun" w:eastAsia="SimSun" w:cs="SimSun"/>
          <w:sz w:val="24"/>
          <w:szCs w:val="24"/>
        </w:rPr>
        <w:t xml:space="preserve"> </w:t>
      </w:r>
      <w:r>
        <w:rPr>
          <w:rFonts w:ascii="SimSun" w:hAnsi="SimSun" w:eastAsia="SimSun" w:cs="SimSun"/>
          <w:sz w:val="24"/>
          <w:szCs w:val="24"/>
        </w:rPr>
        <w:t>参数参考相关土壤的经验值（表</w:t>
      </w:r>
      <w:r>
        <w:rPr>
          <w:rFonts w:ascii="SimSun" w:hAnsi="SimSun" w:eastAsia="SimSun" w:cs="SimSun"/>
          <w:sz w:val="24"/>
          <w:szCs w:val="24"/>
          <w:spacing w:val="-47"/>
        </w:rPr>
        <w:t xml:space="preserve"> </w:t>
      </w:r>
      <w:r>
        <w:rPr>
          <w:rFonts w:ascii="Times New Roman" w:hAnsi="Times New Roman" w:eastAsia="Times New Roman" w:cs="Times New Roman"/>
          <w:sz w:val="24"/>
          <w:szCs w:val="24"/>
        </w:rPr>
        <w:t>5.6-2</w:t>
      </w:r>
      <w:r>
        <w:rPr>
          <w:rFonts w:ascii="SimSun" w:hAnsi="SimSun" w:eastAsia="SimSun" w:cs="SimSun"/>
          <w:sz w:val="24"/>
          <w:szCs w:val="24"/>
          <w:spacing w:val="7"/>
        </w:rPr>
        <w:t>），</w:t>
      </w:r>
      <w:r>
        <w:rPr>
          <w:rFonts w:ascii="SimSun" w:hAnsi="SimSun" w:eastAsia="SimSun" w:cs="SimSun"/>
          <w:sz w:val="24"/>
          <w:szCs w:val="24"/>
        </w:rPr>
        <w:t>本项目主要考</w:t>
      </w:r>
      <w:r>
        <w:rPr>
          <w:rFonts w:ascii="SimSun" w:hAnsi="SimSun" w:eastAsia="SimSun" w:cs="SimSun"/>
          <w:sz w:val="24"/>
          <w:szCs w:val="24"/>
          <w:spacing w:val="-1"/>
        </w:rPr>
        <w:t>虑溶质运移和平衡吸附过</w:t>
      </w:r>
      <w:r>
        <w:rPr>
          <w:rFonts w:ascii="SimSun" w:hAnsi="SimSun" w:eastAsia="SimSun" w:cs="SimSun"/>
          <w:sz w:val="24"/>
          <w:szCs w:val="24"/>
        </w:rPr>
        <w:t xml:space="preserve"> </w:t>
      </w:r>
      <w:r>
        <w:rPr>
          <w:rFonts w:ascii="SimSun" w:hAnsi="SimSun" w:eastAsia="SimSun" w:cs="SimSun"/>
          <w:sz w:val="24"/>
          <w:szCs w:val="24"/>
          <w:spacing w:val="1"/>
        </w:rPr>
        <w:t>程，表中以</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25℃</w:t>
      </w:r>
      <w:r>
        <w:rPr>
          <w:rFonts w:ascii="SimSun" w:hAnsi="SimSun" w:eastAsia="SimSun" w:cs="SimSun"/>
          <w:sz w:val="24"/>
          <w:szCs w:val="24"/>
          <w:spacing w:val="1"/>
        </w:rPr>
        <w:t>条件下的参数作为参考，仅列出</w:t>
      </w:r>
      <w:r>
        <w:rPr>
          <w:rFonts w:ascii="SimSun" w:hAnsi="SimSun" w:eastAsia="SimSun" w:cs="SimSun"/>
          <w:sz w:val="24"/>
          <w:szCs w:val="24"/>
        </w:rPr>
        <w:t>关键参数，其余参数参考软件设 </w:t>
      </w:r>
      <w:r>
        <w:rPr>
          <w:rFonts w:ascii="SimSun" w:hAnsi="SimSun" w:eastAsia="SimSun" w:cs="SimSun"/>
          <w:sz w:val="24"/>
          <w:szCs w:val="24"/>
          <w:spacing w:val="-3"/>
        </w:rPr>
        <w:t>定值。</w:t>
      </w:r>
    </w:p>
    <w:p>
      <w:pPr>
        <w:ind w:left="2978"/>
        <w:spacing w:before="1" w:line="210" w:lineRule="auto"/>
        <w:rPr>
          <w:rFonts w:ascii="SimSun" w:hAnsi="SimSun" w:eastAsia="SimSun" w:cs="SimSun"/>
          <w:sz w:val="20"/>
          <w:szCs w:val="20"/>
        </w:rPr>
      </w:pPr>
      <w:r>
        <w:rPr>
          <w:rFonts w:ascii="SimSun" w:hAnsi="SimSun" w:eastAsia="SimSun" w:cs="SimSun"/>
          <w:sz w:val="20"/>
          <w:szCs w:val="20"/>
          <w:b/>
          <w:bCs/>
          <w:spacing w:val="4"/>
        </w:rPr>
        <w:t>表</w:t>
      </w:r>
      <w:r>
        <w:rPr>
          <w:rFonts w:ascii="SimSun" w:hAnsi="SimSun" w:eastAsia="SimSun" w:cs="SimSun"/>
          <w:sz w:val="20"/>
          <w:szCs w:val="20"/>
          <w:spacing w:val="-34"/>
        </w:rPr>
        <w:t xml:space="preserve"> </w:t>
      </w:r>
      <w:r>
        <w:rPr>
          <w:rFonts w:ascii="Times New Roman" w:hAnsi="Times New Roman" w:eastAsia="Times New Roman" w:cs="Times New Roman"/>
          <w:sz w:val="20"/>
          <w:szCs w:val="20"/>
          <w:b/>
          <w:bCs/>
          <w:spacing w:val="4"/>
        </w:rPr>
        <w:t>5.6-2        </w:t>
      </w:r>
      <w:r>
        <w:rPr>
          <w:rFonts w:ascii="SimSun" w:hAnsi="SimSun" w:eastAsia="SimSun" w:cs="SimSun"/>
          <w:sz w:val="20"/>
          <w:szCs w:val="20"/>
          <w:b/>
          <w:bCs/>
          <w:spacing w:val="4"/>
        </w:rPr>
        <w:t>厂区土壤参数表</w:t>
      </w:r>
    </w:p>
    <w:tbl>
      <w:tblPr>
        <w:tblStyle w:val="TableNormal"/>
        <w:tblW w:w="853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07"/>
        <w:gridCol w:w="1401"/>
        <w:gridCol w:w="1773"/>
        <w:gridCol w:w="1708"/>
        <w:gridCol w:w="862"/>
        <w:gridCol w:w="1380"/>
      </w:tblGrid>
      <w:tr>
        <w:trPr>
          <w:trHeight w:val="307" w:hRule="atLeast"/>
        </w:trPr>
        <w:tc>
          <w:tcPr>
            <w:tcW w:w="1407" w:type="dxa"/>
            <w:vAlign w:val="top"/>
          </w:tcPr>
          <w:p>
            <w:pPr>
              <w:pStyle w:val="TableText"/>
              <w:ind w:left="499"/>
              <w:spacing w:before="54" w:line="224" w:lineRule="auto"/>
              <w:rPr/>
            </w:pPr>
            <w:r>
              <w:rPr>
                <w:spacing w:val="4"/>
              </w:rPr>
              <w:t>岩性</w:t>
            </w:r>
          </w:p>
        </w:tc>
        <w:tc>
          <w:tcPr>
            <w:tcW w:w="1401" w:type="dxa"/>
            <w:vAlign w:val="top"/>
          </w:tcPr>
          <w:p>
            <w:pPr>
              <w:pStyle w:val="TableText"/>
              <w:ind w:left="203"/>
              <w:spacing w:before="54" w:line="224" w:lineRule="auto"/>
              <w:rPr/>
            </w:pPr>
            <w:r>
              <w:rPr>
                <w:spacing w:val="5"/>
              </w:rPr>
              <w:t>深度（</w:t>
            </w:r>
            <w:r>
              <w:rPr>
                <w:rFonts w:ascii="Times New Roman" w:hAnsi="Times New Roman" w:eastAsia="Times New Roman" w:cs="Times New Roman"/>
                <w:spacing w:val="5"/>
              </w:rPr>
              <w:t>m</w:t>
            </w:r>
            <w:r>
              <w:rPr>
                <w:spacing w:val="5"/>
              </w:rPr>
              <w:t>）</w:t>
            </w:r>
          </w:p>
        </w:tc>
        <w:tc>
          <w:tcPr>
            <w:tcW w:w="1773" w:type="dxa"/>
            <w:vAlign w:val="top"/>
          </w:tcPr>
          <w:p>
            <w:pPr>
              <w:pStyle w:val="TableText"/>
              <w:ind w:left="223"/>
              <w:spacing w:line="297" w:lineRule="exact"/>
              <w:rPr>
                <w:rFonts w:ascii="Times New Roman" w:hAnsi="Times New Roman" w:eastAsia="Times New Roman" w:cs="Times New Roman"/>
                <w:sz w:val="24"/>
                <w:szCs w:val="24"/>
              </w:rPr>
            </w:pPr>
            <w:r>
              <w:rPr>
                <w:spacing w:val="12"/>
                <w:position w:val="1"/>
              </w:rPr>
              <w:t>残留含水率</w:t>
            </w:r>
            <w:r>
              <w:rPr>
                <w:rFonts w:ascii="Arial" w:hAnsi="Arial" w:eastAsia="Arial" w:cs="Arial"/>
                <w:sz w:val="25"/>
                <w:szCs w:val="25"/>
                <w:i/>
                <w:iCs/>
                <w:spacing w:val="12"/>
                <w:position w:val="1"/>
              </w:rPr>
              <w:t>θ</w:t>
            </w:r>
            <w:r>
              <w:rPr>
                <w:rFonts w:ascii="Times New Roman" w:hAnsi="Times New Roman" w:eastAsia="Times New Roman" w:cs="Times New Roman"/>
                <w:sz w:val="24"/>
                <w:szCs w:val="24"/>
                <w:spacing w:val="12"/>
                <w:position w:val="1"/>
              </w:rPr>
              <w:t>r</w:t>
            </w:r>
          </w:p>
        </w:tc>
        <w:tc>
          <w:tcPr>
            <w:tcW w:w="1708" w:type="dxa"/>
            <w:vAlign w:val="top"/>
          </w:tcPr>
          <w:p>
            <w:pPr>
              <w:pStyle w:val="TableText"/>
              <w:ind w:left="237"/>
              <w:spacing w:before="54" w:line="212" w:lineRule="auto"/>
              <w:rPr>
                <w:rFonts w:ascii="Cambria Math" w:hAnsi="Cambria Math" w:eastAsia="Cambria Math" w:cs="Cambria Math"/>
                <w:sz w:val="14"/>
                <w:szCs w:val="14"/>
              </w:rPr>
            </w:pPr>
            <w:r>
              <w:rPr>
                <w:spacing w:val="8"/>
              </w:rPr>
              <w:t>饱和含水率</w:t>
            </w:r>
            <w:r>
              <w:rPr>
                <w:rFonts w:ascii="Cambria Math" w:hAnsi="Cambria Math" w:eastAsia="Cambria Math" w:cs="Cambria Math"/>
                <w:spacing w:val="8"/>
              </w:rPr>
              <w:t>θ</w:t>
            </w:r>
            <w:r>
              <w:rPr>
                <w:rFonts w:ascii="Cambria Math" w:hAnsi="Cambria Math" w:eastAsia="Cambria Math" w:cs="Cambria Math"/>
                <w:sz w:val="14"/>
                <w:szCs w:val="14"/>
                <w:spacing w:val="8"/>
                <w:position w:val="-4"/>
              </w:rPr>
              <w:t>s</w:t>
            </w:r>
          </w:p>
        </w:tc>
        <w:tc>
          <w:tcPr>
            <w:tcW w:w="862" w:type="dxa"/>
            <w:vAlign w:val="top"/>
          </w:tcPr>
          <w:p>
            <w:pPr>
              <w:ind w:left="381"/>
              <w:spacing w:before="140" w:line="13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rPr>
              <w:t>n</w:t>
            </w:r>
          </w:p>
        </w:tc>
        <w:tc>
          <w:tcPr>
            <w:tcW w:w="1380" w:type="dxa"/>
            <w:vAlign w:val="top"/>
          </w:tcPr>
          <w:p>
            <w:pPr>
              <w:ind w:left="232"/>
              <w:spacing w:before="20" w:line="277"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position w:val="4"/>
              </w:rPr>
              <w:t>Ks</w:t>
            </w:r>
            <w:r>
              <w:rPr>
                <w:rFonts w:ascii="Times New Roman" w:hAnsi="Times New Roman" w:eastAsia="Times New Roman" w:cs="Times New Roman"/>
                <w:sz w:val="20"/>
                <w:szCs w:val="20"/>
                <w:i/>
                <w:iCs/>
                <w:spacing w:val="6"/>
                <w:position w:val="4"/>
              </w:rPr>
              <w:t>–</w:t>
            </w:r>
            <w:r>
              <w:rPr>
                <w:rFonts w:ascii="Times New Roman" w:hAnsi="Times New Roman" w:eastAsia="Times New Roman" w:cs="Times New Roman"/>
                <w:sz w:val="20"/>
                <w:szCs w:val="20"/>
                <w:i/>
                <w:iCs/>
                <w:position w:val="4"/>
              </w:rPr>
              <w:t>cm</w:t>
            </w:r>
            <w:r>
              <w:rPr>
                <w:rFonts w:ascii="Times New Roman" w:hAnsi="Times New Roman" w:eastAsia="Times New Roman" w:cs="Times New Roman"/>
                <w:sz w:val="20"/>
                <w:szCs w:val="20"/>
                <w:i/>
                <w:iCs/>
                <w:spacing w:val="6"/>
                <w:position w:val="4"/>
              </w:rPr>
              <w:t>/</w:t>
            </w:r>
            <w:r>
              <w:rPr>
                <w:rFonts w:ascii="Times New Roman" w:hAnsi="Times New Roman" w:eastAsia="Times New Roman" w:cs="Times New Roman"/>
                <w:sz w:val="20"/>
                <w:szCs w:val="20"/>
                <w:i/>
                <w:iCs/>
                <w:position w:val="4"/>
              </w:rPr>
              <w:t>day</w:t>
            </w:r>
          </w:p>
        </w:tc>
      </w:tr>
      <w:tr>
        <w:trPr>
          <w:trHeight w:val="276" w:hRule="atLeast"/>
        </w:trPr>
        <w:tc>
          <w:tcPr>
            <w:tcW w:w="1407" w:type="dxa"/>
            <w:vAlign w:val="top"/>
          </w:tcPr>
          <w:p>
            <w:pPr>
              <w:pStyle w:val="TableText"/>
              <w:ind w:left="394"/>
              <w:spacing w:before="33" w:line="215" w:lineRule="auto"/>
              <w:rPr/>
            </w:pPr>
            <w:r>
              <w:rPr>
                <w:spacing w:val="6"/>
              </w:rPr>
              <w:t>细砂层</w:t>
            </w:r>
          </w:p>
        </w:tc>
        <w:tc>
          <w:tcPr>
            <w:tcW w:w="1401" w:type="dxa"/>
            <w:vAlign w:val="top"/>
          </w:tcPr>
          <w:p>
            <w:pPr>
              <w:ind w:left="383"/>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0.0~3.0</w:t>
            </w:r>
          </w:p>
        </w:tc>
        <w:tc>
          <w:tcPr>
            <w:tcW w:w="1773" w:type="dxa"/>
            <w:vAlign w:val="top"/>
          </w:tcPr>
          <w:p>
            <w:pPr>
              <w:ind w:left="65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0.078</w:t>
            </w:r>
          </w:p>
        </w:tc>
        <w:tc>
          <w:tcPr>
            <w:tcW w:w="1708" w:type="dxa"/>
            <w:vAlign w:val="top"/>
          </w:tcPr>
          <w:p>
            <w:pPr>
              <w:ind w:left="67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0.43</w:t>
            </w:r>
          </w:p>
        </w:tc>
        <w:tc>
          <w:tcPr>
            <w:tcW w:w="862" w:type="dxa"/>
            <w:vAlign w:val="top"/>
          </w:tcPr>
          <w:p>
            <w:pPr>
              <w:ind w:left="270"/>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1.56</w:t>
            </w:r>
          </w:p>
        </w:tc>
        <w:tc>
          <w:tcPr>
            <w:tcW w:w="1380" w:type="dxa"/>
            <w:vAlign w:val="top"/>
          </w:tcPr>
          <w:p>
            <w:pPr>
              <w:ind w:left="455"/>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24.96</w:t>
            </w:r>
          </w:p>
        </w:tc>
      </w:tr>
      <w:tr>
        <w:trPr>
          <w:trHeight w:val="276" w:hRule="atLeast"/>
        </w:trPr>
        <w:tc>
          <w:tcPr>
            <w:tcW w:w="1407" w:type="dxa"/>
            <w:vAlign w:val="top"/>
          </w:tcPr>
          <w:p>
            <w:pPr>
              <w:pStyle w:val="TableText"/>
              <w:ind w:left="393"/>
              <w:spacing w:before="35" w:line="213" w:lineRule="auto"/>
              <w:rPr/>
            </w:pPr>
            <w:r>
              <w:rPr>
                <w:spacing w:val="6"/>
              </w:rPr>
              <w:t>粗砂层</w:t>
            </w:r>
          </w:p>
        </w:tc>
        <w:tc>
          <w:tcPr>
            <w:tcW w:w="1401" w:type="dxa"/>
            <w:vAlign w:val="top"/>
          </w:tcPr>
          <w:p>
            <w:pPr>
              <w:ind w:left="38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3.0~6.0</w:t>
            </w:r>
          </w:p>
        </w:tc>
        <w:tc>
          <w:tcPr>
            <w:tcW w:w="1773" w:type="dxa"/>
            <w:vAlign w:val="top"/>
          </w:tcPr>
          <w:p>
            <w:pPr>
              <w:ind w:left="65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0.065</w:t>
            </w:r>
          </w:p>
        </w:tc>
        <w:tc>
          <w:tcPr>
            <w:tcW w:w="1708" w:type="dxa"/>
            <w:vAlign w:val="top"/>
          </w:tcPr>
          <w:p>
            <w:pPr>
              <w:ind w:left="67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0.41</w:t>
            </w:r>
          </w:p>
        </w:tc>
        <w:tc>
          <w:tcPr>
            <w:tcW w:w="862" w:type="dxa"/>
            <w:vAlign w:val="top"/>
          </w:tcPr>
          <w:p>
            <w:pPr>
              <w:ind w:left="27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1.89</w:t>
            </w:r>
          </w:p>
        </w:tc>
        <w:tc>
          <w:tcPr>
            <w:tcW w:w="1380" w:type="dxa"/>
            <w:vAlign w:val="top"/>
          </w:tcPr>
          <w:p>
            <w:pPr>
              <w:ind w:left="47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106.</w:t>
            </w:r>
            <w:r>
              <w:rPr>
                <w:rFonts w:ascii="Times New Roman" w:hAnsi="Times New Roman" w:eastAsia="Times New Roman" w:cs="Times New Roman"/>
                <w:sz w:val="20"/>
                <w:szCs w:val="20"/>
                <w:spacing w:val="-24"/>
              </w:rPr>
              <w:t xml:space="preserve"> </w:t>
            </w:r>
            <w:r>
              <w:rPr>
                <w:rFonts w:ascii="Times New Roman" w:hAnsi="Times New Roman" w:eastAsia="Times New Roman" w:cs="Times New Roman"/>
                <w:sz w:val="20"/>
                <w:szCs w:val="20"/>
                <w:spacing w:val="-2"/>
              </w:rPr>
              <w:t>1</w:t>
            </w:r>
          </w:p>
        </w:tc>
      </w:tr>
      <w:tr>
        <w:trPr>
          <w:trHeight w:val="281" w:hRule="atLeast"/>
        </w:trPr>
        <w:tc>
          <w:tcPr>
            <w:tcW w:w="8531" w:type="dxa"/>
            <w:vAlign w:val="top"/>
            <w:gridSpan w:val="6"/>
          </w:tcPr>
          <w:p>
            <w:pPr>
              <w:pStyle w:val="TableText"/>
              <w:ind w:left="12"/>
              <w:spacing w:before="34" w:line="218" w:lineRule="auto"/>
              <w:rPr/>
            </w:pPr>
            <w:r>
              <w:rPr>
                <w:spacing w:val="8"/>
              </w:rPr>
              <w:t>注：不同土壤类型的关键参数软件已给出。</w:t>
            </w:r>
          </w:p>
        </w:tc>
      </w:tr>
    </w:tbl>
    <w:p>
      <w:pPr>
        <w:ind w:left="507"/>
        <w:spacing w:before="33" w:line="219" w:lineRule="auto"/>
        <w:rPr>
          <w:rFonts w:ascii="SimSun" w:hAnsi="SimSun" w:eastAsia="SimSun" w:cs="SimSun"/>
          <w:sz w:val="24"/>
          <w:szCs w:val="24"/>
        </w:rPr>
      </w:pPr>
      <w:r>
        <w:rPr>
          <w:rFonts w:ascii="Times New Roman" w:hAnsi="Times New Roman" w:eastAsia="Times New Roman" w:cs="Times New Roman"/>
          <w:sz w:val="24"/>
          <w:szCs w:val="24"/>
          <w:spacing w:val="-3"/>
        </w:rPr>
        <w:t>5</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、土壤水分及溶质运移预测模拟</w:t>
      </w:r>
    </w:p>
    <w:p>
      <w:pPr>
        <w:ind w:left="517"/>
        <w:spacing w:before="184"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）污染源强计算</w:t>
      </w:r>
    </w:p>
    <w:p>
      <w:pPr>
        <w:ind w:left="25" w:firstLine="480"/>
        <w:spacing w:before="182" w:line="359" w:lineRule="auto"/>
        <w:rPr>
          <w:rFonts w:ascii="SimSun" w:hAnsi="SimSun" w:eastAsia="SimSun" w:cs="SimSun"/>
          <w:sz w:val="24"/>
          <w:szCs w:val="24"/>
        </w:rPr>
      </w:pPr>
      <w:r>
        <w:rPr>
          <w:rFonts w:ascii="SimSun" w:hAnsi="SimSun" w:eastAsia="SimSun" w:cs="SimSun"/>
          <w:sz w:val="24"/>
          <w:szCs w:val="24"/>
          <w:spacing w:val="-7"/>
        </w:rPr>
        <w:t>本项目假定危废暂存间、调节池池底破裂泄漏，石油烃、</w:t>
      </w:r>
      <w:r>
        <w:rPr>
          <w:rFonts w:ascii="Times New Roman" w:hAnsi="Times New Roman" w:eastAsia="Times New Roman" w:cs="Times New Roman"/>
          <w:sz w:val="24"/>
          <w:szCs w:val="24"/>
          <w:spacing w:val="-7"/>
        </w:rPr>
        <w:t>BOD</w:t>
      </w:r>
      <w:r>
        <w:rPr>
          <w:rFonts w:ascii="Times New Roman" w:hAnsi="Times New Roman" w:eastAsia="Times New Roman" w:cs="Times New Roman"/>
          <w:sz w:val="15"/>
          <w:szCs w:val="15"/>
          <w:spacing w:val="-7"/>
          <w:position w:val="-1"/>
        </w:rPr>
        <w:t>5</w:t>
      </w:r>
      <w:r>
        <w:rPr>
          <w:rFonts w:ascii="Times New Roman" w:hAnsi="Times New Roman" w:eastAsia="Times New Roman" w:cs="Times New Roman"/>
          <w:sz w:val="15"/>
          <w:szCs w:val="15"/>
          <w:spacing w:val="26"/>
          <w:position w:val="-1"/>
        </w:rPr>
        <w:t xml:space="preserve"> </w:t>
      </w:r>
      <w:r>
        <w:rPr>
          <w:rFonts w:ascii="SimSun" w:hAnsi="SimSun" w:eastAsia="SimSun" w:cs="SimSun"/>
          <w:sz w:val="24"/>
          <w:szCs w:val="24"/>
          <w:spacing w:val="-7"/>
        </w:rPr>
        <w:t>下渗进入土壤，</w:t>
      </w:r>
      <w:r>
        <w:rPr>
          <w:rFonts w:ascii="SimSun" w:hAnsi="SimSun" w:eastAsia="SimSun" w:cs="SimSun"/>
          <w:sz w:val="24"/>
          <w:szCs w:val="24"/>
        </w:rPr>
        <w:t xml:space="preserve"> </w:t>
      </w:r>
      <w:r>
        <w:rPr>
          <w:rFonts w:ascii="SimSun" w:hAnsi="SimSun" w:eastAsia="SimSun" w:cs="SimSun"/>
          <w:sz w:val="24"/>
          <w:szCs w:val="24"/>
          <w:spacing w:val="-1"/>
        </w:rPr>
        <w:t>土壤预测危废暂存间以石油烃作为土壤污染预测因子；因《土壤环境质量 建设用</w:t>
      </w:r>
      <w:r>
        <w:rPr>
          <w:rFonts w:ascii="SimSun" w:hAnsi="SimSun" w:eastAsia="SimSun" w:cs="SimSun"/>
          <w:sz w:val="24"/>
          <w:szCs w:val="24"/>
          <w:spacing w:val="8"/>
        </w:rPr>
        <w:t xml:space="preserve"> </w:t>
      </w:r>
      <w:r>
        <w:rPr>
          <w:rFonts w:ascii="SimSun" w:hAnsi="SimSun" w:eastAsia="SimSun" w:cs="SimSun"/>
          <w:sz w:val="24"/>
          <w:szCs w:val="24"/>
          <w:spacing w:val="-2"/>
        </w:rPr>
        <w:t>地土壤污染风险管控标准（试行）》（</w:t>
      </w:r>
      <w:r>
        <w:rPr>
          <w:rFonts w:ascii="Times New Roman" w:hAnsi="Times New Roman" w:eastAsia="Times New Roman" w:cs="Times New Roman"/>
          <w:sz w:val="24"/>
          <w:szCs w:val="24"/>
          <w:spacing w:val="-2"/>
        </w:rPr>
        <w:t>GB36600-2018</w:t>
      </w:r>
      <w:r>
        <w:rPr>
          <w:rFonts w:ascii="SimSun" w:hAnsi="SimSun" w:eastAsia="SimSun" w:cs="SimSun"/>
          <w:sz w:val="24"/>
          <w:szCs w:val="24"/>
          <w:spacing w:val="-2"/>
        </w:rPr>
        <w:t>）、《土壤环境质量 农用地</w:t>
      </w:r>
      <w:r>
        <w:rPr>
          <w:rFonts w:ascii="SimSun" w:hAnsi="SimSun" w:eastAsia="SimSun" w:cs="SimSun"/>
          <w:sz w:val="24"/>
          <w:szCs w:val="24"/>
          <w:spacing w:val="3"/>
        </w:rPr>
        <w:t xml:space="preserve"> </w:t>
      </w:r>
      <w:r>
        <w:rPr>
          <w:rFonts w:ascii="SimSun" w:hAnsi="SimSun" w:eastAsia="SimSun" w:cs="SimSun"/>
          <w:sz w:val="24"/>
          <w:szCs w:val="24"/>
          <w:spacing w:val="-3"/>
        </w:rPr>
        <w:t>土壤污染风险管控标准（试行）》（</w:t>
      </w:r>
      <w:r>
        <w:rPr>
          <w:rFonts w:ascii="Times New Roman" w:hAnsi="Times New Roman" w:eastAsia="Times New Roman" w:cs="Times New Roman"/>
          <w:sz w:val="24"/>
          <w:szCs w:val="24"/>
          <w:spacing w:val="-3"/>
        </w:rPr>
        <w:t>GB15618-2018</w:t>
      </w:r>
      <w:r>
        <w:rPr>
          <w:rFonts w:ascii="SimSun" w:hAnsi="SimSun" w:eastAsia="SimSun" w:cs="SimSun"/>
          <w:sz w:val="24"/>
          <w:szCs w:val="24"/>
          <w:spacing w:val="-3"/>
        </w:rPr>
        <w:t>）中未对</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BOD</w:t>
      </w:r>
      <w:r>
        <w:rPr>
          <w:rFonts w:ascii="Times New Roman" w:hAnsi="Times New Roman" w:eastAsia="Times New Roman" w:cs="Times New Roman"/>
          <w:sz w:val="15"/>
          <w:szCs w:val="15"/>
          <w:spacing w:val="-3"/>
          <w:position w:val="-1"/>
        </w:rPr>
        <w:t>5</w:t>
      </w:r>
      <w:r>
        <w:rPr>
          <w:rFonts w:ascii="Times New Roman" w:hAnsi="Times New Roman" w:eastAsia="Times New Roman" w:cs="Times New Roman"/>
          <w:sz w:val="15"/>
          <w:szCs w:val="15"/>
          <w:spacing w:val="9"/>
          <w:w w:val="102"/>
          <w:position w:val="-1"/>
        </w:rPr>
        <w:t xml:space="preserve"> </w:t>
      </w:r>
      <w:r>
        <w:rPr>
          <w:rFonts w:ascii="SimSun" w:hAnsi="SimSun" w:eastAsia="SimSun" w:cs="SimSun"/>
          <w:sz w:val="24"/>
          <w:szCs w:val="24"/>
          <w:spacing w:val="-3"/>
        </w:rPr>
        <w:t>做出管控要求，</w:t>
      </w:r>
      <w:r>
        <w:rPr>
          <w:rFonts w:ascii="SimSun" w:hAnsi="SimSun" w:eastAsia="SimSun" w:cs="SimSun"/>
          <w:sz w:val="24"/>
          <w:szCs w:val="24"/>
        </w:rPr>
        <w:t xml:space="preserve"> </w:t>
      </w:r>
      <w:r>
        <w:rPr>
          <w:rFonts w:ascii="SimSun" w:hAnsi="SimSun" w:eastAsia="SimSun" w:cs="SimSun"/>
          <w:sz w:val="24"/>
          <w:szCs w:val="24"/>
          <w:spacing w:val="-2"/>
        </w:rPr>
        <w:t>本次评价不进行</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BOD</w:t>
      </w:r>
      <w:r>
        <w:rPr>
          <w:rFonts w:ascii="Times New Roman" w:hAnsi="Times New Roman" w:eastAsia="Times New Roman" w:cs="Times New Roman"/>
          <w:sz w:val="15"/>
          <w:szCs w:val="15"/>
          <w:spacing w:val="-2"/>
          <w:position w:val="-1"/>
        </w:rPr>
        <w:t>5</w:t>
      </w:r>
      <w:r>
        <w:rPr>
          <w:rFonts w:ascii="Times New Roman" w:hAnsi="Times New Roman" w:eastAsia="Times New Roman" w:cs="Times New Roman"/>
          <w:sz w:val="15"/>
          <w:szCs w:val="15"/>
          <w:spacing w:val="11"/>
          <w:position w:val="-1"/>
        </w:rPr>
        <w:t xml:space="preserve"> </w:t>
      </w:r>
      <w:r>
        <w:rPr>
          <w:rFonts w:ascii="SimSun" w:hAnsi="SimSun" w:eastAsia="SimSun" w:cs="SimSun"/>
          <w:sz w:val="24"/>
          <w:szCs w:val="24"/>
          <w:spacing w:val="-2"/>
        </w:rPr>
        <w:t>预测。</w:t>
      </w:r>
    </w:p>
    <w:p>
      <w:pPr>
        <w:ind w:left="504"/>
        <w:spacing w:line="217" w:lineRule="auto"/>
        <w:rPr>
          <w:rFonts w:ascii="SimSun" w:hAnsi="SimSun" w:eastAsia="SimSun" w:cs="SimSun"/>
          <w:sz w:val="24"/>
          <w:szCs w:val="24"/>
        </w:rPr>
      </w:pPr>
      <w:r>
        <w:rPr>
          <w:rFonts w:ascii="SimSun" w:hAnsi="SimSun" w:eastAsia="SimSun" w:cs="SimSun"/>
          <w:sz w:val="24"/>
          <w:szCs w:val="24"/>
          <w:spacing w:val="-1"/>
        </w:rPr>
        <w:t>①危废暂存间防渗层破损、短时泄露</w:t>
      </w:r>
    </w:p>
    <w:p>
      <w:pPr>
        <w:ind w:left="25" w:right="61" w:firstLine="480"/>
        <w:spacing w:before="185" w:line="359" w:lineRule="auto"/>
        <w:rPr>
          <w:rFonts w:ascii="SimSun" w:hAnsi="SimSun" w:eastAsia="SimSun" w:cs="SimSun"/>
          <w:sz w:val="24"/>
          <w:szCs w:val="24"/>
        </w:rPr>
      </w:pPr>
      <w:r>
        <w:rPr>
          <w:rFonts w:ascii="SimSun" w:hAnsi="SimSun" w:eastAsia="SimSun" w:cs="SimSun"/>
          <w:sz w:val="24"/>
          <w:szCs w:val="24"/>
          <w:spacing w:val="3"/>
        </w:rPr>
        <w:t>假设最不利情况，非正常状况下，危废暂存间防渗层破损导</w:t>
      </w:r>
      <w:r>
        <w:rPr>
          <w:rFonts w:ascii="SimSun" w:hAnsi="SimSun" w:eastAsia="SimSun" w:cs="SimSun"/>
          <w:sz w:val="24"/>
          <w:szCs w:val="24"/>
          <w:spacing w:val="2"/>
        </w:rPr>
        <w:t>致废机油发生泄</w:t>
      </w:r>
      <w:r>
        <w:rPr>
          <w:rFonts w:ascii="SimSun" w:hAnsi="SimSun" w:eastAsia="SimSun" w:cs="SimSun"/>
          <w:sz w:val="24"/>
          <w:szCs w:val="24"/>
        </w:rPr>
        <w:t xml:space="preserve"> </w:t>
      </w:r>
      <w:r>
        <w:rPr>
          <w:rFonts w:ascii="SimSun" w:hAnsi="SimSun" w:eastAsia="SimSun" w:cs="SimSun"/>
          <w:sz w:val="24"/>
          <w:szCs w:val="24"/>
          <w:spacing w:val="2"/>
        </w:rPr>
        <w:t>漏，企业工作人员在</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2"/>
        </w:rPr>
        <w:t>天内发现了泄漏，继而启动应急措施，对破损地带进</w:t>
      </w:r>
      <w:r>
        <w:rPr>
          <w:rFonts w:ascii="SimSun" w:hAnsi="SimSun" w:eastAsia="SimSun" w:cs="SimSun"/>
          <w:sz w:val="24"/>
          <w:szCs w:val="24"/>
          <w:spacing w:val="1"/>
        </w:rPr>
        <w:t>行了</w:t>
      </w:r>
      <w:r>
        <w:rPr>
          <w:rFonts w:ascii="SimSun" w:hAnsi="SimSun" w:eastAsia="SimSun" w:cs="SimSun"/>
          <w:sz w:val="24"/>
          <w:szCs w:val="24"/>
        </w:rPr>
        <w:t xml:space="preserve"> </w:t>
      </w:r>
      <w:r>
        <w:rPr>
          <w:rFonts w:ascii="SimSun" w:hAnsi="SimSun" w:eastAsia="SimSun" w:cs="SimSun"/>
          <w:sz w:val="24"/>
          <w:szCs w:val="24"/>
          <w:spacing w:val="-4"/>
        </w:rPr>
        <w:t>修复。</w:t>
      </w:r>
    </w:p>
    <w:p>
      <w:pPr>
        <w:ind w:left="507"/>
        <w:spacing w:line="212" w:lineRule="auto"/>
        <w:rPr>
          <w:rFonts w:ascii="SimSun" w:hAnsi="SimSun" w:eastAsia="SimSun" w:cs="SimSun"/>
          <w:sz w:val="24"/>
          <w:szCs w:val="24"/>
        </w:rPr>
      </w:pPr>
      <w:r>
        <w:rPr>
          <w:rFonts w:ascii="SimSun" w:hAnsi="SimSun" w:eastAsia="SimSun" w:cs="SimSun"/>
          <w:sz w:val="24"/>
          <w:szCs w:val="24"/>
          <w:spacing w:val="-1"/>
        </w:rPr>
        <w:t>污染物渗漏量按达西公式计算，见式</w:t>
      </w:r>
      <w:r>
        <w:rPr>
          <w:rFonts w:ascii="Times New Roman" w:hAnsi="Times New Roman" w:eastAsia="Times New Roman" w:cs="Times New Roman"/>
          <w:sz w:val="24"/>
          <w:szCs w:val="24"/>
          <w:spacing w:val="-1"/>
        </w:rPr>
        <w:t>(1)</w:t>
      </w:r>
      <w:r>
        <w:rPr>
          <w:rFonts w:ascii="SimSun" w:hAnsi="SimSun" w:eastAsia="SimSun" w:cs="SimSun"/>
          <w:sz w:val="24"/>
          <w:szCs w:val="24"/>
          <w:spacing w:val="-1"/>
        </w:rPr>
        <w:t>。</w:t>
      </w:r>
    </w:p>
    <w:p>
      <w:pPr>
        <w:ind w:left="3761"/>
        <w:spacing w:before="133" w:line="322"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position w:val="4"/>
        </w:rPr>
        <w:t>Q=ka*A*Ⅰ</w:t>
      </w:r>
    </w:p>
    <w:p>
      <w:pPr>
        <w:ind w:left="510"/>
        <w:spacing w:before="153" w:line="210"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Q</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为渗入量，</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r>
        <w:rPr>
          <w:rFonts w:ascii="Times New Roman" w:hAnsi="Times New Roman" w:eastAsia="Times New Roman" w:cs="Times New Roman"/>
          <w:sz w:val="24"/>
          <w:szCs w:val="24"/>
        </w:rPr>
        <w:t>ka</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1"/>
        </w:rPr>
        <w:t>为包气带渗透系数，包气带岩性为粉土、粉质</w:t>
      </w:r>
    </w:p>
    <w:p>
      <w:pPr>
        <w:spacing w:line="210" w:lineRule="auto"/>
        <w:sectPr>
          <w:headerReference w:type="default" r:id="rId314"/>
          <w:footerReference w:type="default" r:id="rId315"/>
          <w:pgSz w:w="11907" w:h="16840"/>
          <w:pgMar w:top="1567" w:right="1640" w:bottom="1921" w:left="1685" w:header="1221" w:footer="1247" w:gutter="0"/>
        </w:sectPr>
        <w:rPr>
          <w:rFonts w:ascii="SimSun" w:hAnsi="SimSun" w:eastAsia="SimSun" w:cs="SimSun"/>
          <w:sz w:val="24"/>
          <w:szCs w:val="24"/>
        </w:rPr>
      </w:pPr>
    </w:p>
    <w:p>
      <w:pPr>
        <w:pStyle w:val="BodyText"/>
        <w:ind w:left="24" w:right="37"/>
        <w:spacing w:before="187" w:line="342" w:lineRule="auto"/>
        <w:jc w:val="both"/>
        <w:rPr>
          <w:rFonts w:ascii="SimSun" w:hAnsi="SimSun" w:eastAsia="SimSun" w:cs="SimSun"/>
          <w:sz w:val="24"/>
          <w:szCs w:val="24"/>
        </w:rPr>
      </w:pPr>
      <w:r>
        <w:pict>
          <v:shape id="_x0000_s1048" style="position:absolute;margin-left:85.05pt;margin-top:79.11pt;mso-position-vertical-relative:page;mso-position-horizontal-relative:page;width:425.25pt;height:0.75pt;z-index:252172288;" o:allowincell="f" fillcolor="#000000" filled="true" stroked="false" coordsize="8505,15" coordorigin="0,0" path="m,l8505,0l8505,14l0,14l0,0xe"/>
        </w:pict>
      </w:r>
      <w:r>
        <w:rPr>
          <w:rFonts w:ascii="SimSun" w:hAnsi="SimSun" w:eastAsia="SimSun" w:cs="SimSun"/>
          <w:sz w:val="24"/>
          <w:szCs w:val="24"/>
          <w:spacing w:val="-4"/>
        </w:rPr>
        <w:t>黏土，本次取粉土渗透系数</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4"/>
        </w:rPr>
        <w:t>0.5m/d</w:t>
      </w:r>
      <w:r>
        <w:rPr>
          <w:rFonts w:ascii="SimSun" w:hAnsi="SimSun" w:eastAsia="SimSun" w:cs="SimSun"/>
          <w:sz w:val="24"/>
          <w:szCs w:val="24"/>
          <w:spacing w:val="-4"/>
        </w:rPr>
        <w:t>；</w:t>
      </w:r>
      <w:r>
        <w:rPr>
          <w:rFonts w:ascii="Times New Roman" w:hAnsi="Times New Roman" w:eastAsia="Times New Roman" w:cs="Times New Roman"/>
          <w:sz w:val="24"/>
          <w:szCs w:val="24"/>
          <w:spacing w:val="-4"/>
        </w:rPr>
        <w:t>Ⅰ</w:t>
      </w:r>
      <w:r>
        <w:rPr>
          <w:rFonts w:ascii="SimSun" w:hAnsi="SimSun" w:eastAsia="SimSun" w:cs="SimSun"/>
          <w:sz w:val="24"/>
          <w:szCs w:val="24"/>
          <w:spacing w:val="-4"/>
        </w:rPr>
        <w:t>为水力坡度，本次取值为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w:t>
      </w:r>
      <w:r>
        <w:rPr>
          <w:rFonts w:ascii="SimSun" w:hAnsi="SimSun" w:eastAsia="SimSun" w:cs="SimSun"/>
          <w:sz w:val="24"/>
          <w:szCs w:val="24"/>
          <w:spacing w:val="-4"/>
        </w:rPr>
        <w:t>；</w:t>
      </w:r>
      <w:r>
        <w:rPr>
          <w:rFonts w:ascii="Times New Roman" w:hAnsi="Times New Roman" w:eastAsia="Times New Roman" w:cs="Times New Roman"/>
          <w:sz w:val="24"/>
          <w:szCs w:val="24"/>
          <w:spacing w:val="-4"/>
        </w:rPr>
        <w:t>A </w:t>
      </w:r>
      <w:r>
        <w:rPr>
          <w:rFonts w:ascii="SimSun" w:hAnsi="SimSun" w:eastAsia="SimSun" w:cs="SimSun"/>
          <w:sz w:val="24"/>
          <w:szCs w:val="24"/>
          <w:spacing w:val="-4"/>
        </w:rPr>
        <w:t>为渗漏面积，</w:t>
      </w:r>
      <w:r>
        <w:rPr>
          <w:rFonts w:ascii="SimSun" w:hAnsi="SimSun" w:eastAsia="SimSun" w:cs="SimSun"/>
          <w:sz w:val="24"/>
          <w:szCs w:val="24"/>
        </w:rPr>
        <w:t xml:space="preserve"> </w:t>
      </w:r>
      <w:r>
        <w:rPr>
          <w:rFonts w:ascii="SimSun" w:hAnsi="SimSun" w:eastAsia="SimSun" w:cs="SimSun"/>
          <w:sz w:val="24"/>
          <w:szCs w:val="24"/>
          <w:spacing w:val="-3"/>
        </w:rPr>
        <w:t>本次假设危废暂存间总面积</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0.4%</w:t>
      </w:r>
      <w:r>
        <w:rPr>
          <w:rFonts w:ascii="SimSun" w:hAnsi="SimSun" w:eastAsia="SimSun" w:cs="SimSun"/>
          <w:sz w:val="24"/>
          <w:szCs w:val="24"/>
          <w:spacing w:val="-3"/>
        </w:rPr>
        <w:t>防渗层破损，取</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15m</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15"/>
          <w:szCs w:val="15"/>
          <w:spacing w:val="-20"/>
          <w:position w:val="7"/>
        </w:rPr>
        <w:t xml:space="preserve"> </w:t>
      </w:r>
      <w:r>
        <w:rPr>
          <w:sz w:val="24"/>
          <w:szCs w:val="24"/>
          <w:spacing w:val="-3"/>
        </w:rPr>
        <w:t>×</w:t>
      </w:r>
      <w:r>
        <w:rPr>
          <w:rFonts w:ascii="Times New Roman" w:hAnsi="Times New Roman" w:eastAsia="Times New Roman" w:cs="Times New Roman"/>
          <w:sz w:val="24"/>
          <w:szCs w:val="24"/>
          <w:spacing w:val="-3"/>
        </w:rPr>
        <w:t>0.4%=0.06m</w:t>
      </w:r>
      <w:r>
        <w:rPr>
          <w:rFonts w:ascii="Times New Roman" w:hAnsi="Times New Roman" w:eastAsia="Times New Roman" w:cs="Times New Roman"/>
          <w:sz w:val="15"/>
          <w:szCs w:val="15"/>
          <w:spacing w:val="-4"/>
          <w:position w:val="7"/>
        </w:rPr>
        <w:t>2</w:t>
      </w:r>
      <w:r>
        <w:rPr>
          <w:rFonts w:ascii="SimSun" w:hAnsi="SimSun" w:eastAsia="SimSun" w:cs="SimSun"/>
          <w:sz w:val="24"/>
          <w:szCs w:val="24"/>
          <w:spacing w:val="-4"/>
        </w:rPr>
        <w:t>。危废暂存间</w:t>
      </w:r>
      <w:r>
        <w:rPr>
          <w:rFonts w:ascii="SimSun" w:hAnsi="SimSun" w:eastAsia="SimSun" w:cs="SimSun"/>
          <w:sz w:val="24"/>
          <w:szCs w:val="24"/>
        </w:rPr>
        <w:t xml:space="preserve"> </w:t>
      </w:r>
      <w:r>
        <w:rPr>
          <w:rFonts w:ascii="SimSun" w:hAnsi="SimSun" w:eastAsia="SimSun" w:cs="SimSun"/>
          <w:sz w:val="24"/>
          <w:szCs w:val="24"/>
          <w:spacing w:val="-2"/>
        </w:rPr>
        <w:t>渗入废机油总量为：</w:t>
      </w:r>
    </w:p>
    <w:p>
      <w:pPr>
        <w:pStyle w:val="BodyText"/>
        <w:ind w:left="3056"/>
        <w:spacing w:before="5" w:line="323"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position w:val="3"/>
        </w:rPr>
        <w:t>Q=0.5</w:t>
      </w:r>
      <w:r>
        <w:rPr>
          <w:sz w:val="24"/>
          <w:szCs w:val="24"/>
          <w:spacing w:val="-1"/>
          <w:position w:val="3"/>
        </w:rPr>
        <w:t>×</w:t>
      </w:r>
      <w:r>
        <w:rPr>
          <w:rFonts w:ascii="Times New Roman" w:hAnsi="Times New Roman" w:eastAsia="Times New Roman" w:cs="Times New Roman"/>
          <w:sz w:val="24"/>
          <w:szCs w:val="24"/>
          <w:spacing w:val="-1"/>
          <w:position w:val="3"/>
        </w:rPr>
        <w:t>1</w:t>
      </w:r>
      <w:r>
        <w:rPr>
          <w:sz w:val="24"/>
          <w:szCs w:val="24"/>
          <w:spacing w:val="-1"/>
          <w:position w:val="3"/>
        </w:rPr>
        <w:t>×</w:t>
      </w:r>
      <w:r>
        <w:rPr>
          <w:rFonts w:ascii="Times New Roman" w:hAnsi="Times New Roman" w:eastAsia="Times New Roman" w:cs="Times New Roman"/>
          <w:sz w:val="24"/>
          <w:szCs w:val="24"/>
          <w:spacing w:val="-1"/>
          <w:position w:val="3"/>
        </w:rPr>
        <w:t>0.06=0.03m</w:t>
      </w:r>
      <w:r>
        <w:rPr>
          <w:rFonts w:ascii="Times New Roman" w:hAnsi="Times New Roman" w:eastAsia="Times New Roman" w:cs="Times New Roman"/>
          <w:sz w:val="15"/>
          <w:szCs w:val="15"/>
          <w:spacing w:val="-1"/>
          <w:position w:val="10"/>
        </w:rPr>
        <w:t>3</w:t>
      </w:r>
      <w:r>
        <w:rPr>
          <w:rFonts w:ascii="Times New Roman" w:hAnsi="Times New Roman" w:eastAsia="Times New Roman" w:cs="Times New Roman"/>
          <w:sz w:val="24"/>
          <w:szCs w:val="24"/>
          <w:spacing w:val="-1"/>
          <w:position w:val="3"/>
        </w:rPr>
        <w:t>/d</w:t>
      </w:r>
    </w:p>
    <w:p>
      <w:pPr>
        <w:ind w:left="26" w:right="99" w:firstLine="476"/>
        <w:spacing w:before="152" w:line="350" w:lineRule="auto"/>
        <w:rPr>
          <w:rFonts w:ascii="SimSun" w:hAnsi="SimSun" w:eastAsia="SimSun" w:cs="SimSun"/>
          <w:sz w:val="24"/>
          <w:szCs w:val="24"/>
        </w:rPr>
      </w:pPr>
      <w:r>
        <w:rPr>
          <w:rFonts w:ascii="SimSun" w:hAnsi="SimSun" w:eastAsia="SimSun" w:cs="SimSun"/>
          <w:sz w:val="24"/>
          <w:szCs w:val="24"/>
          <w:spacing w:val="-3"/>
        </w:rPr>
        <w:t>废矿物油密度一般在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0.88g/cm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24"/>
          <w:szCs w:val="24"/>
          <w:spacing w:val="-3"/>
        </w:rPr>
        <w:t>-0.89g/cm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15"/>
          <w:szCs w:val="15"/>
          <w:spacing w:val="11"/>
          <w:w w:val="101"/>
          <w:position w:val="7"/>
        </w:rPr>
        <w:t xml:space="preserve"> </w:t>
      </w:r>
      <w:r>
        <w:rPr>
          <w:rFonts w:ascii="SimSun" w:hAnsi="SimSun" w:eastAsia="SimSun" w:cs="SimSun"/>
          <w:sz w:val="24"/>
          <w:szCs w:val="24"/>
          <w:spacing w:val="-3"/>
        </w:rPr>
        <w:t>之间，则污染物废矿物油最大泄</w:t>
      </w:r>
      <w:r>
        <w:rPr>
          <w:rFonts w:ascii="SimSun" w:hAnsi="SimSun" w:eastAsia="SimSun" w:cs="SimSun"/>
          <w:sz w:val="24"/>
          <w:szCs w:val="24"/>
          <w:spacing w:val="-4"/>
        </w:rPr>
        <w:t>漏量</w:t>
      </w:r>
      <w:r>
        <w:rPr>
          <w:rFonts w:ascii="SimSun" w:hAnsi="SimSun" w:eastAsia="SimSun" w:cs="SimSun"/>
          <w:sz w:val="24"/>
          <w:szCs w:val="24"/>
        </w:rPr>
        <w:t xml:space="preserve"> </w:t>
      </w:r>
      <w:r>
        <w:rPr>
          <w:rFonts w:ascii="SimSun" w:hAnsi="SimSun" w:eastAsia="SimSun" w:cs="SimSun"/>
          <w:sz w:val="24"/>
          <w:szCs w:val="24"/>
          <w:spacing w:val="-3"/>
        </w:rPr>
        <w:t>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26.7kg</w:t>
      </w:r>
      <w:r>
        <w:rPr>
          <w:rFonts w:ascii="SimSun" w:hAnsi="SimSun" w:eastAsia="SimSun" w:cs="SimSun"/>
          <w:sz w:val="24"/>
          <w:szCs w:val="24"/>
          <w:spacing w:val="-3"/>
        </w:rPr>
        <w:t>。</w:t>
      </w:r>
    </w:p>
    <w:p>
      <w:pPr>
        <w:ind w:left="507"/>
        <w:spacing w:before="23" w:line="219" w:lineRule="auto"/>
        <w:rPr>
          <w:rFonts w:ascii="SimSun" w:hAnsi="SimSun" w:eastAsia="SimSun" w:cs="SimSun"/>
          <w:sz w:val="24"/>
          <w:szCs w:val="24"/>
        </w:rPr>
      </w:pPr>
      <w:r>
        <w:rPr>
          <w:rFonts w:ascii="SimSun" w:hAnsi="SimSun" w:eastAsia="SimSun" w:cs="SimSun"/>
          <w:sz w:val="24"/>
          <w:szCs w:val="24"/>
          <w:spacing w:val="-1"/>
        </w:rPr>
        <w:t>非正常工况考虑石油烃有泄漏风险，最终土壤污染源强如表：</w:t>
      </w:r>
    </w:p>
    <w:p>
      <w:pPr>
        <w:ind w:left="2976"/>
        <w:spacing w:before="179" w:line="222" w:lineRule="auto"/>
        <w:rPr>
          <w:rFonts w:ascii="SimSun" w:hAnsi="SimSun" w:eastAsia="SimSun" w:cs="SimSun"/>
          <w:sz w:val="20"/>
          <w:szCs w:val="20"/>
        </w:rPr>
      </w:pPr>
      <w:r>
        <w:rPr>
          <w:rFonts w:ascii="SimSun" w:hAnsi="SimSun" w:eastAsia="SimSun" w:cs="SimSun"/>
          <w:sz w:val="20"/>
          <w:szCs w:val="20"/>
          <w:b/>
          <w:bCs/>
          <w:spacing w:val="4"/>
        </w:rPr>
        <w:t>表</w:t>
      </w:r>
      <w:r>
        <w:rPr>
          <w:rFonts w:ascii="SimSun" w:hAnsi="SimSun" w:eastAsia="SimSun" w:cs="SimSun"/>
          <w:sz w:val="20"/>
          <w:szCs w:val="20"/>
          <w:spacing w:val="-34"/>
        </w:rPr>
        <w:t xml:space="preserve"> </w:t>
      </w:r>
      <w:r>
        <w:rPr>
          <w:rFonts w:ascii="Times New Roman" w:hAnsi="Times New Roman" w:eastAsia="Times New Roman" w:cs="Times New Roman"/>
          <w:sz w:val="20"/>
          <w:szCs w:val="20"/>
          <w:b/>
          <w:bCs/>
          <w:spacing w:val="4"/>
        </w:rPr>
        <w:t>5.6-3        </w:t>
      </w:r>
      <w:r>
        <w:rPr>
          <w:rFonts w:ascii="SimSun" w:hAnsi="SimSun" w:eastAsia="SimSun" w:cs="SimSun"/>
          <w:sz w:val="20"/>
          <w:szCs w:val="20"/>
          <w:b/>
          <w:bCs/>
          <w:spacing w:val="4"/>
        </w:rPr>
        <w:t>土壤预测源强表</w:t>
      </w:r>
    </w:p>
    <w:tbl>
      <w:tblPr>
        <w:tblStyle w:val="TableNormal"/>
        <w:tblW w:w="8526"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85"/>
        <w:gridCol w:w="2400"/>
        <w:gridCol w:w="1286"/>
        <w:gridCol w:w="1327"/>
        <w:gridCol w:w="1327"/>
        <w:gridCol w:w="1101"/>
      </w:tblGrid>
      <w:tr>
        <w:trPr>
          <w:trHeight w:val="279" w:hRule="atLeast"/>
        </w:trPr>
        <w:tc>
          <w:tcPr>
            <w:tcW w:w="1085" w:type="dxa"/>
            <w:vAlign w:val="top"/>
          </w:tcPr>
          <w:p>
            <w:pPr>
              <w:pStyle w:val="TableText"/>
              <w:ind w:left="128"/>
              <w:spacing w:before="35" w:line="216" w:lineRule="auto"/>
              <w:rPr/>
            </w:pPr>
            <w:r>
              <w:rPr>
                <w:spacing w:val="7"/>
              </w:rPr>
              <w:t>情景设定</w:t>
            </w:r>
          </w:p>
        </w:tc>
        <w:tc>
          <w:tcPr>
            <w:tcW w:w="2400" w:type="dxa"/>
            <w:vAlign w:val="top"/>
          </w:tcPr>
          <w:p>
            <w:pPr>
              <w:pStyle w:val="TableText"/>
              <w:ind w:left="889"/>
              <w:spacing w:before="35" w:line="216" w:lineRule="auto"/>
              <w:rPr/>
            </w:pPr>
            <w:r>
              <w:rPr>
                <w:spacing w:val="6"/>
              </w:rPr>
              <w:t>渗漏点</w:t>
            </w:r>
          </w:p>
        </w:tc>
        <w:tc>
          <w:tcPr>
            <w:tcW w:w="1286" w:type="dxa"/>
            <w:vAlign w:val="top"/>
          </w:tcPr>
          <w:p>
            <w:pPr>
              <w:pStyle w:val="TableText"/>
              <w:ind w:left="122"/>
              <w:spacing w:before="35" w:line="216" w:lineRule="auto"/>
              <w:rPr/>
            </w:pPr>
            <w:r>
              <w:rPr>
                <w:spacing w:val="8"/>
              </w:rPr>
              <w:t>特征污染物</w:t>
            </w:r>
          </w:p>
        </w:tc>
        <w:tc>
          <w:tcPr>
            <w:tcW w:w="1327" w:type="dxa"/>
            <w:vAlign w:val="top"/>
          </w:tcPr>
          <w:p>
            <w:pPr>
              <w:pStyle w:val="TableText"/>
              <w:ind w:left="225"/>
              <w:spacing w:before="35" w:line="216" w:lineRule="auto"/>
              <w:rPr>
                <w:rFonts w:ascii="Times New Roman" w:hAnsi="Times New Roman" w:eastAsia="Times New Roman" w:cs="Times New Roman"/>
              </w:rPr>
            </w:pPr>
            <w:r>
              <w:rPr>
                <w:spacing w:val="7"/>
              </w:rPr>
              <w:t>泄露量</w:t>
            </w:r>
            <w:r>
              <w:rPr>
                <w:spacing w:val="-42"/>
              </w:rPr>
              <w:t xml:space="preserve"> </w:t>
            </w:r>
            <w:r>
              <w:rPr>
                <w:rFonts w:ascii="Times New Roman" w:hAnsi="Times New Roman" w:eastAsia="Times New Roman" w:cs="Times New Roman"/>
              </w:rPr>
              <w:t>kg</w:t>
            </w:r>
          </w:p>
        </w:tc>
        <w:tc>
          <w:tcPr>
            <w:tcW w:w="1327" w:type="dxa"/>
            <w:vAlign w:val="top"/>
          </w:tcPr>
          <w:p>
            <w:pPr>
              <w:pStyle w:val="TableText"/>
              <w:ind w:left="161"/>
              <w:spacing w:before="35" w:line="216" w:lineRule="auto"/>
              <w:rPr>
                <w:rFonts w:ascii="Times New Roman" w:hAnsi="Times New Roman" w:eastAsia="Times New Roman" w:cs="Times New Roman"/>
              </w:rPr>
            </w:pPr>
            <w:r>
              <w:rPr>
                <w:spacing w:val="6"/>
              </w:rPr>
              <w:t>浓度</w:t>
            </w:r>
            <w:r>
              <w:rPr>
                <w:rFonts w:ascii="Times New Roman" w:hAnsi="Times New Roman" w:eastAsia="Times New Roman" w:cs="Times New Roman"/>
                <w:spacing w:val="6"/>
              </w:rPr>
              <w:t>(</w:t>
            </w:r>
            <w:r>
              <w:rPr>
                <w:rFonts w:ascii="Times New Roman" w:hAnsi="Times New Roman" w:eastAsia="Times New Roman" w:cs="Times New Roman"/>
              </w:rPr>
              <w:t>mg</w:t>
            </w:r>
            <w:r>
              <w:rPr>
                <w:rFonts w:ascii="Times New Roman" w:hAnsi="Times New Roman" w:eastAsia="Times New Roman" w:cs="Times New Roman"/>
                <w:spacing w:val="6"/>
              </w:rPr>
              <w:t>/L)</w:t>
            </w:r>
          </w:p>
        </w:tc>
        <w:tc>
          <w:tcPr>
            <w:tcW w:w="1101" w:type="dxa"/>
            <w:vAlign w:val="top"/>
          </w:tcPr>
          <w:p>
            <w:pPr>
              <w:pStyle w:val="TableText"/>
              <w:ind w:left="136"/>
              <w:spacing w:before="35" w:line="216" w:lineRule="auto"/>
              <w:rPr/>
            </w:pPr>
            <w:r>
              <w:rPr>
                <w:spacing w:val="7"/>
              </w:rPr>
              <w:t>渗漏特征</w:t>
            </w:r>
          </w:p>
        </w:tc>
      </w:tr>
      <w:tr>
        <w:trPr>
          <w:trHeight w:val="279" w:hRule="atLeast"/>
        </w:trPr>
        <w:tc>
          <w:tcPr>
            <w:tcW w:w="1085" w:type="dxa"/>
            <w:vAlign w:val="top"/>
          </w:tcPr>
          <w:p>
            <w:pPr>
              <w:pStyle w:val="TableText"/>
              <w:ind w:left="236"/>
              <w:spacing w:before="33" w:line="217" w:lineRule="auto"/>
              <w:rPr/>
            </w:pPr>
            <w:r>
              <w:rPr>
                <w:spacing w:val="5"/>
              </w:rPr>
              <w:t>非正常</w:t>
            </w:r>
          </w:p>
        </w:tc>
        <w:tc>
          <w:tcPr>
            <w:tcW w:w="2400" w:type="dxa"/>
            <w:vAlign w:val="top"/>
          </w:tcPr>
          <w:p>
            <w:pPr>
              <w:pStyle w:val="TableText"/>
              <w:ind w:left="51"/>
              <w:spacing w:before="33" w:line="217" w:lineRule="auto"/>
              <w:rPr/>
            </w:pPr>
            <w:r>
              <w:rPr>
                <w:spacing w:val="8"/>
              </w:rPr>
              <w:t>危废暂存间废矿物油泄露</w:t>
            </w:r>
          </w:p>
        </w:tc>
        <w:tc>
          <w:tcPr>
            <w:tcW w:w="1286" w:type="dxa"/>
            <w:vAlign w:val="top"/>
          </w:tcPr>
          <w:p>
            <w:pPr>
              <w:pStyle w:val="TableText"/>
              <w:ind w:left="332"/>
              <w:spacing w:before="33" w:line="217" w:lineRule="auto"/>
              <w:rPr/>
            </w:pPr>
            <w:r>
              <w:rPr>
                <w:spacing w:val="6"/>
              </w:rPr>
              <w:t>石油烃</w:t>
            </w:r>
          </w:p>
        </w:tc>
        <w:tc>
          <w:tcPr>
            <w:tcW w:w="1327" w:type="dxa"/>
            <w:vAlign w:val="top"/>
          </w:tcPr>
          <w:p>
            <w:pPr>
              <w:ind w:left="48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26.7</w:t>
            </w:r>
          </w:p>
        </w:tc>
        <w:tc>
          <w:tcPr>
            <w:tcW w:w="1327" w:type="dxa"/>
            <w:vAlign w:val="top"/>
          </w:tcPr>
          <w:p>
            <w:pPr>
              <w:ind w:left="51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890</w:t>
            </w:r>
          </w:p>
        </w:tc>
        <w:tc>
          <w:tcPr>
            <w:tcW w:w="1101" w:type="dxa"/>
            <w:vAlign w:val="top"/>
          </w:tcPr>
          <w:p>
            <w:pPr>
              <w:pStyle w:val="TableText"/>
              <w:ind w:left="347"/>
              <w:spacing w:before="33" w:line="217" w:lineRule="auto"/>
              <w:rPr/>
            </w:pPr>
            <w:r>
              <w:rPr>
                <w:spacing w:val="4"/>
              </w:rPr>
              <w:t>连续</w:t>
            </w:r>
          </w:p>
        </w:tc>
      </w:tr>
    </w:tbl>
    <w:p>
      <w:pPr>
        <w:ind w:left="29" w:right="99" w:firstLine="473"/>
        <w:spacing w:before="37" w:line="359" w:lineRule="auto"/>
        <w:rPr>
          <w:rFonts w:ascii="SimSun" w:hAnsi="SimSun" w:eastAsia="SimSun" w:cs="SimSun"/>
          <w:sz w:val="24"/>
          <w:szCs w:val="24"/>
        </w:rPr>
      </w:pPr>
      <w:r>
        <w:rPr>
          <w:rFonts w:ascii="SimSun" w:hAnsi="SimSun" w:eastAsia="SimSun" w:cs="SimSun"/>
          <w:sz w:val="24"/>
          <w:szCs w:val="24"/>
          <w:spacing w:val="3"/>
        </w:rPr>
        <w:t>模型的背景值可考虑为零。项目制定了相关的地下水质量跟踪</w:t>
      </w:r>
      <w:r>
        <w:rPr>
          <w:rFonts w:ascii="SimSun" w:hAnsi="SimSun" w:eastAsia="SimSun" w:cs="SimSun"/>
          <w:sz w:val="24"/>
          <w:szCs w:val="24"/>
          <w:spacing w:val="2"/>
        </w:rPr>
        <w:t>监测计划及泄</w:t>
      </w:r>
      <w:r>
        <w:rPr>
          <w:rFonts w:ascii="SimSun" w:hAnsi="SimSun" w:eastAsia="SimSun" w:cs="SimSun"/>
          <w:sz w:val="24"/>
          <w:szCs w:val="24"/>
        </w:rPr>
        <w:t xml:space="preserve"> </w:t>
      </w:r>
      <w:r>
        <w:rPr>
          <w:rFonts w:ascii="SimSun" w:hAnsi="SimSun" w:eastAsia="SimSun" w:cs="SimSun"/>
          <w:sz w:val="24"/>
          <w:szCs w:val="24"/>
          <w:spacing w:val="-2"/>
        </w:rPr>
        <w:t>露检测，因此预测工况中假设污染物仅泄漏</w:t>
      </w:r>
      <w:r>
        <w:rPr>
          <w:rFonts w:ascii="SimSun" w:hAnsi="SimSun" w:eastAsia="SimSun" w:cs="SimSun"/>
          <w:sz w:val="24"/>
          <w:szCs w:val="24"/>
          <w:spacing w:val="-15"/>
        </w:rPr>
        <w:t xml:space="preserve"> </w:t>
      </w:r>
      <w:r>
        <w:rPr>
          <w:rFonts w:ascii="Times New Roman" w:hAnsi="Times New Roman" w:eastAsia="Times New Roman" w:cs="Times New Roman"/>
          <w:sz w:val="24"/>
          <w:szCs w:val="24"/>
          <w:spacing w:val="-2"/>
        </w:rPr>
        <w:t>180 </w:t>
      </w:r>
      <w:r>
        <w:rPr>
          <w:rFonts w:ascii="SimSun" w:hAnsi="SimSun" w:eastAsia="SimSun" w:cs="SimSun"/>
          <w:sz w:val="24"/>
          <w:szCs w:val="24"/>
          <w:spacing w:val="-2"/>
        </w:rPr>
        <w:t>天之后停止泄漏。</w:t>
      </w:r>
    </w:p>
    <w:p>
      <w:pPr>
        <w:ind w:left="515"/>
        <w:spacing w:before="1" w:line="218"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）模拟预测结果</w:t>
      </w:r>
    </w:p>
    <w:p>
      <w:pPr>
        <w:ind w:left="23" w:firstLine="479"/>
        <w:spacing w:before="136" w:line="366" w:lineRule="auto"/>
        <w:rPr>
          <w:rFonts w:ascii="SimSun" w:hAnsi="SimSun" w:eastAsia="SimSun" w:cs="SimSun"/>
          <w:sz w:val="24"/>
          <w:szCs w:val="24"/>
        </w:rPr>
      </w:pPr>
      <w:r>
        <w:rPr>
          <w:rFonts w:ascii="SimSun" w:hAnsi="SimSun" w:eastAsia="SimSun" w:cs="SimSun"/>
          <w:sz w:val="24"/>
          <w:szCs w:val="24"/>
          <w:spacing w:val="-3"/>
        </w:rPr>
        <w:t>在土壤剖面</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z=-100cm</w:t>
      </w:r>
      <w:r>
        <w:rPr>
          <w:rFonts w:ascii="SimSun" w:hAnsi="SimSun" w:eastAsia="SimSun" w:cs="SimSun"/>
          <w:sz w:val="24"/>
          <w:szCs w:val="24"/>
          <w:spacing w:val="-3"/>
        </w:rPr>
        <w:t>（</w:t>
      </w:r>
      <w:r>
        <w:rPr>
          <w:rFonts w:ascii="Times New Roman" w:hAnsi="Times New Roman" w:eastAsia="Times New Roman" w:cs="Times New Roman"/>
          <w:sz w:val="24"/>
          <w:szCs w:val="24"/>
          <w:spacing w:val="-3"/>
        </w:rPr>
        <w:t>N1</w:t>
      </w:r>
      <w:r>
        <w:rPr>
          <w:rFonts w:ascii="SimSun" w:hAnsi="SimSun" w:eastAsia="SimSun" w:cs="SimSun"/>
          <w:sz w:val="24"/>
          <w:szCs w:val="24"/>
          <w:spacing w:val="-3"/>
        </w:rPr>
        <w:t>）、</w:t>
      </w:r>
      <w:r>
        <w:rPr>
          <w:rFonts w:ascii="Times New Roman" w:hAnsi="Times New Roman" w:eastAsia="Times New Roman" w:cs="Times New Roman"/>
          <w:sz w:val="24"/>
          <w:szCs w:val="24"/>
          <w:spacing w:val="-3"/>
        </w:rPr>
        <w:t>-300cm</w:t>
      </w:r>
      <w:r>
        <w:rPr>
          <w:rFonts w:ascii="SimSun" w:hAnsi="SimSun" w:eastAsia="SimSun" w:cs="SimSun"/>
          <w:sz w:val="24"/>
          <w:szCs w:val="24"/>
          <w:spacing w:val="-3"/>
        </w:rPr>
        <w:t>（</w:t>
      </w:r>
      <w:r>
        <w:rPr>
          <w:rFonts w:ascii="Times New Roman" w:hAnsi="Times New Roman" w:eastAsia="Times New Roman" w:cs="Times New Roman"/>
          <w:sz w:val="24"/>
          <w:szCs w:val="24"/>
          <w:spacing w:val="-3"/>
        </w:rPr>
        <w:t>N2</w:t>
      </w:r>
      <w:r>
        <w:rPr>
          <w:rFonts w:ascii="SimSun" w:hAnsi="SimSun" w:eastAsia="SimSun" w:cs="SimSun"/>
          <w:sz w:val="24"/>
          <w:szCs w:val="24"/>
          <w:spacing w:val="-3"/>
        </w:rPr>
        <w:t>）、</w:t>
      </w:r>
      <w:r>
        <w:rPr>
          <w:rFonts w:ascii="Times New Roman" w:hAnsi="Times New Roman" w:eastAsia="Times New Roman" w:cs="Times New Roman"/>
          <w:sz w:val="24"/>
          <w:szCs w:val="24"/>
          <w:spacing w:val="-3"/>
        </w:rPr>
        <w:t>-500cm</w:t>
      </w:r>
      <w:r>
        <w:rPr>
          <w:rFonts w:ascii="SimSun" w:hAnsi="SimSun" w:eastAsia="SimSun" w:cs="SimSun"/>
          <w:sz w:val="24"/>
          <w:szCs w:val="24"/>
          <w:spacing w:val="-3"/>
        </w:rPr>
        <w:t>（</w:t>
      </w:r>
      <w:r>
        <w:rPr>
          <w:rFonts w:ascii="Times New Roman" w:hAnsi="Times New Roman" w:eastAsia="Times New Roman" w:cs="Times New Roman"/>
          <w:sz w:val="24"/>
          <w:szCs w:val="24"/>
          <w:spacing w:val="-3"/>
        </w:rPr>
        <w:t>N3</w:t>
      </w:r>
      <w:r>
        <w:rPr>
          <w:rFonts w:ascii="SimSun" w:hAnsi="SimSun" w:eastAsia="SimSun" w:cs="SimSun"/>
          <w:sz w:val="24"/>
          <w:szCs w:val="24"/>
          <w:spacing w:val="-3"/>
        </w:rPr>
        <w:t>）、</w:t>
      </w:r>
      <w:r>
        <w:rPr>
          <w:rFonts w:ascii="Times New Roman" w:hAnsi="Times New Roman" w:eastAsia="Times New Roman" w:cs="Times New Roman"/>
          <w:sz w:val="24"/>
          <w:szCs w:val="24"/>
          <w:spacing w:val="-3"/>
        </w:rPr>
        <w:t>-600cm</w:t>
      </w:r>
      <w:r>
        <w:rPr>
          <w:rFonts w:ascii="SimSun" w:hAnsi="SimSun" w:eastAsia="SimSun" w:cs="SimSun"/>
          <w:sz w:val="24"/>
          <w:szCs w:val="24"/>
          <w:spacing w:val="-3"/>
        </w:rPr>
        <w:t>（</w:t>
      </w:r>
      <w:r>
        <w:rPr>
          <w:rFonts w:ascii="Times New Roman" w:hAnsi="Times New Roman" w:eastAsia="Times New Roman" w:cs="Times New Roman"/>
          <w:sz w:val="24"/>
          <w:szCs w:val="24"/>
          <w:spacing w:val="-3"/>
        </w:rPr>
        <w:t>N4</w:t>
      </w:r>
      <w:r>
        <w:rPr>
          <w:rFonts w:ascii="SimSun" w:hAnsi="SimSun" w:eastAsia="SimSun" w:cs="SimSun"/>
          <w:sz w:val="24"/>
          <w:szCs w:val="24"/>
          <w:spacing w:val="-3"/>
        </w:rPr>
        <w:t>）</w:t>
      </w:r>
      <w:r>
        <w:rPr>
          <w:rFonts w:ascii="SimSun" w:hAnsi="SimSun" w:eastAsia="SimSun" w:cs="SimSun"/>
          <w:sz w:val="24"/>
          <w:szCs w:val="24"/>
        </w:rPr>
        <w:t xml:space="preserve"> </w:t>
      </w:r>
      <w:r>
        <w:rPr>
          <w:rFonts w:ascii="SimSun" w:hAnsi="SimSun" w:eastAsia="SimSun" w:cs="SimSun"/>
          <w:sz w:val="24"/>
          <w:szCs w:val="24"/>
          <w:spacing w:val="-14"/>
        </w:rPr>
        <w:t>处设置观测点。观测时间分别设为</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4"/>
        </w:rPr>
        <w:t>T1</w:t>
      </w:r>
      <w:r>
        <w:rPr>
          <w:rFonts w:ascii="SimSun" w:hAnsi="SimSun" w:eastAsia="SimSun" w:cs="SimSun"/>
          <w:sz w:val="24"/>
          <w:szCs w:val="24"/>
          <w:spacing w:val="-14"/>
        </w:rPr>
        <w:t>（</w:t>
      </w:r>
      <w:r>
        <w:rPr>
          <w:rFonts w:ascii="Times New Roman" w:hAnsi="Times New Roman" w:eastAsia="Times New Roman" w:cs="Times New Roman"/>
          <w:sz w:val="24"/>
          <w:szCs w:val="24"/>
          <w:spacing w:val="-14"/>
        </w:rPr>
        <w:t>20d</w:t>
      </w:r>
      <w:r>
        <w:rPr>
          <w:rFonts w:ascii="SimSun" w:hAnsi="SimSun" w:eastAsia="SimSun" w:cs="SimSun"/>
          <w:sz w:val="24"/>
          <w:szCs w:val="24"/>
          <w:spacing w:val="-14"/>
        </w:rPr>
        <w:t>）、</w:t>
      </w:r>
      <w:r>
        <w:rPr>
          <w:rFonts w:ascii="Times New Roman" w:hAnsi="Times New Roman" w:eastAsia="Times New Roman" w:cs="Times New Roman"/>
          <w:sz w:val="24"/>
          <w:szCs w:val="24"/>
          <w:spacing w:val="-14"/>
        </w:rPr>
        <w:t>T2</w:t>
      </w:r>
      <w:r>
        <w:rPr>
          <w:rFonts w:ascii="SimSun" w:hAnsi="SimSun" w:eastAsia="SimSun" w:cs="SimSun"/>
          <w:sz w:val="24"/>
          <w:szCs w:val="24"/>
          <w:spacing w:val="-14"/>
        </w:rPr>
        <w:t>（</w:t>
      </w:r>
      <w:r>
        <w:rPr>
          <w:rFonts w:ascii="Times New Roman" w:hAnsi="Times New Roman" w:eastAsia="Times New Roman" w:cs="Times New Roman"/>
          <w:sz w:val="24"/>
          <w:szCs w:val="24"/>
          <w:spacing w:val="-14"/>
        </w:rPr>
        <w:t>50d</w:t>
      </w:r>
      <w:r>
        <w:rPr>
          <w:rFonts w:ascii="SimSun" w:hAnsi="SimSun" w:eastAsia="SimSun" w:cs="SimSun"/>
          <w:sz w:val="24"/>
          <w:szCs w:val="24"/>
          <w:spacing w:val="-14"/>
        </w:rPr>
        <w:t>）、</w:t>
      </w:r>
      <w:r>
        <w:rPr>
          <w:rFonts w:ascii="Times New Roman" w:hAnsi="Times New Roman" w:eastAsia="Times New Roman" w:cs="Times New Roman"/>
          <w:sz w:val="24"/>
          <w:szCs w:val="24"/>
          <w:spacing w:val="-14"/>
        </w:rPr>
        <w:t>T3</w:t>
      </w:r>
      <w:r>
        <w:rPr>
          <w:rFonts w:ascii="SimSun" w:hAnsi="SimSun" w:eastAsia="SimSun" w:cs="SimSun"/>
          <w:sz w:val="24"/>
          <w:szCs w:val="24"/>
          <w:spacing w:val="-15"/>
        </w:rPr>
        <w:t>（</w:t>
      </w:r>
      <w:r>
        <w:rPr>
          <w:rFonts w:ascii="Times New Roman" w:hAnsi="Times New Roman" w:eastAsia="Times New Roman" w:cs="Times New Roman"/>
          <w:sz w:val="24"/>
          <w:szCs w:val="24"/>
          <w:spacing w:val="-15"/>
        </w:rPr>
        <w:t>100d</w:t>
      </w:r>
      <w:r>
        <w:rPr>
          <w:rFonts w:ascii="SimSun" w:hAnsi="SimSun" w:eastAsia="SimSun" w:cs="SimSun"/>
          <w:sz w:val="24"/>
          <w:szCs w:val="24"/>
          <w:spacing w:val="-15"/>
        </w:rPr>
        <w:t>）、</w:t>
      </w:r>
      <w:r>
        <w:rPr>
          <w:rFonts w:ascii="Times New Roman" w:hAnsi="Times New Roman" w:eastAsia="Times New Roman" w:cs="Times New Roman"/>
          <w:sz w:val="24"/>
          <w:szCs w:val="24"/>
          <w:spacing w:val="-15"/>
        </w:rPr>
        <w:t>T4</w:t>
      </w:r>
      <w:r>
        <w:rPr>
          <w:rFonts w:ascii="SimSun" w:hAnsi="SimSun" w:eastAsia="SimSun" w:cs="SimSun"/>
          <w:sz w:val="24"/>
          <w:szCs w:val="24"/>
          <w:spacing w:val="-15"/>
        </w:rPr>
        <w:t>（</w:t>
      </w:r>
      <w:r>
        <w:rPr>
          <w:rFonts w:ascii="Times New Roman" w:hAnsi="Times New Roman" w:eastAsia="Times New Roman" w:cs="Times New Roman"/>
          <w:sz w:val="24"/>
          <w:szCs w:val="24"/>
          <w:spacing w:val="-15"/>
        </w:rPr>
        <w:t>180d</w:t>
      </w:r>
      <w:r>
        <w:rPr>
          <w:rFonts w:ascii="SimSun" w:hAnsi="SimSun" w:eastAsia="SimSun" w:cs="SimSun"/>
          <w:sz w:val="24"/>
          <w:szCs w:val="24"/>
          <w:spacing w:val="-15"/>
        </w:rPr>
        <w:t>）。</w:t>
      </w:r>
      <w:r>
        <w:rPr>
          <w:rFonts w:ascii="SimSun" w:hAnsi="SimSun" w:eastAsia="SimSun" w:cs="SimSun"/>
          <w:sz w:val="24"/>
          <w:szCs w:val="24"/>
        </w:rPr>
        <w:t xml:space="preserve"> </w:t>
      </w:r>
      <w:r>
        <w:rPr>
          <w:rFonts w:ascii="SimSun" w:hAnsi="SimSun" w:eastAsia="SimSun" w:cs="SimSun"/>
          <w:sz w:val="24"/>
          <w:szCs w:val="24"/>
          <w:spacing w:val="-1"/>
        </w:rPr>
        <w:t>厂区非饱和带分层、剖面和观测点位置如图</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5.6-1</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1"/>
        </w:rPr>
        <w:t>。废水持续渗入土壤并逐渐向下</w:t>
      </w:r>
      <w:r>
        <w:rPr>
          <w:rFonts w:ascii="SimSun" w:hAnsi="SimSun" w:eastAsia="SimSun" w:cs="SimSun"/>
          <w:sz w:val="24"/>
          <w:szCs w:val="24"/>
        </w:rPr>
        <w:t xml:space="preserve"> </w:t>
      </w:r>
      <w:r>
        <w:rPr>
          <w:rFonts w:ascii="SimSun" w:hAnsi="SimSun" w:eastAsia="SimSun" w:cs="SimSun"/>
          <w:sz w:val="24"/>
          <w:szCs w:val="24"/>
          <w:spacing w:val="-2"/>
        </w:rPr>
        <w:t>运移，</w:t>
      </w:r>
      <w:r>
        <w:rPr>
          <w:rFonts w:ascii="Times New Roman" w:hAnsi="Times New Roman" w:eastAsia="Times New Roman" w:cs="Times New Roman"/>
          <w:sz w:val="24"/>
          <w:szCs w:val="24"/>
          <w:spacing w:val="-2"/>
        </w:rPr>
        <w:t>BOD </w:t>
      </w:r>
      <w:r>
        <w:rPr>
          <w:rFonts w:ascii="SimSun" w:hAnsi="SimSun" w:eastAsia="SimSun" w:cs="SimSun"/>
          <w:sz w:val="24"/>
          <w:szCs w:val="24"/>
          <w:spacing w:val="-2"/>
        </w:rPr>
        <w:t>初始浓度为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10000mg/L</w:t>
      </w: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3"/>
        </w:rPr>
        <w:t>0mg/cm</w:t>
      </w:r>
      <w:r>
        <w:rPr>
          <w:rFonts w:ascii="Times New Roman" w:hAnsi="Times New Roman" w:eastAsia="Times New Roman" w:cs="Times New Roman"/>
          <w:sz w:val="15"/>
          <w:szCs w:val="15"/>
          <w:spacing w:val="-3"/>
          <w:position w:val="7"/>
        </w:rPr>
        <w:t>3 </w:t>
      </w:r>
      <w:r>
        <w:rPr>
          <w:rFonts w:ascii="SimSun" w:hAnsi="SimSun" w:eastAsia="SimSun" w:cs="SimSun"/>
          <w:sz w:val="24"/>
          <w:szCs w:val="24"/>
          <w:spacing w:val="-3"/>
        </w:rPr>
        <w:t>）。</w:t>
      </w:r>
    </w:p>
    <w:p>
      <w:pPr>
        <w:ind w:left="23" w:right="99" w:firstLine="480"/>
        <w:spacing w:before="9" w:line="346" w:lineRule="auto"/>
        <w:rPr>
          <w:rFonts w:ascii="SimSun" w:hAnsi="SimSun" w:eastAsia="SimSun" w:cs="SimSun"/>
          <w:sz w:val="24"/>
          <w:szCs w:val="24"/>
        </w:rPr>
      </w:pPr>
      <w:r>
        <w:rPr>
          <w:rFonts w:ascii="SimSun" w:hAnsi="SimSun" w:eastAsia="SimSun" w:cs="SimSun"/>
          <w:sz w:val="24"/>
          <w:szCs w:val="24"/>
          <w:spacing w:val="-2"/>
        </w:rPr>
        <w:t>土壤中污染物浓度随时间变化模拟结果如图</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2"/>
        </w:rPr>
        <w:t>5.6-2 </w:t>
      </w:r>
      <w:r>
        <w:rPr>
          <w:rFonts w:ascii="SimSun" w:hAnsi="SimSun" w:eastAsia="SimSun" w:cs="SimSun"/>
          <w:sz w:val="24"/>
          <w:szCs w:val="24"/>
          <w:spacing w:val="-2"/>
        </w:rPr>
        <w:t>所示，土壤中污染物浓度随</w:t>
      </w:r>
      <w:r>
        <w:rPr>
          <w:rFonts w:ascii="SimSun" w:hAnsi="SimSun" w:eastAsia="SimSun" w:cs="SimSun"/>
          <w:sz w:val="24"/>
          <w:szCs w:val="24"/>
        </w:rPr>
        <w:t xml:space="preserve"> </w:t>
      </w:r>
      <w:r>
        <w:rPr>
          <w:rFonts w:ascii="SimSun" w:hAnsi="SimSun" w:eastAsia="SimSun" w:cs="SimSun"/>
          <w:sz w:val="24"/>
          <w:szCs w:val="24"/>
          <w:spacing w:val="-2"/>
        </w:rPr>
        <w:t>深度变化模拟结果如图</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2"/>
        </w:rPr>
        <w:t>5.6-3 </w:t>
      </w:r>
      <w:r>
        <w:rPr>
          <w:rFonts w:ascii="SimSun" w:hAnsi="SimSun" w:eastAsia="SimSun" w:cs="SimSun"/>
          <w:sz w:val="24"/>
          <w:szCs w:val="24"/>
          <w:spacing w:val="-2"/>
        </w:rPr>
        <w:t>所示。</w:t>
      </w:r>
    </w:p>
    <w:p>
      <w:pPr>
        <w:ind w:firstLine="1384"/>
        <w:spacing w:line="4051" w:lineRule="exact"/>
        <w:rPr/>
      </w:pPr>
      <w:r>
        <w:rPr>
          <w:position w:val="-81"/>
        </w:rPr>
        <w:drawing>
          <wp:inline distT="0" distB="0" distL="0" distR="0">
            <wp:extent cx="3657600" cy="2572511"/>
            <wp:effectExtent l="0" t="0" r="0" b="0"/>
            <wp:docPr id="206" name="IM 206"/>
            <wp:cNvGraphicFramePr/>
            <a:graphic>
              <a:graphicData uri="http://schemas.openxmlformats.org/drawingml/2006/picture">
                <pic:pic>
                  <pic:nvPicPr>
                    <pic:cNvPr id="206" name="IM 206"/>
                    <pic:cNvPicPr/>
                  </pic:nvPicPr>
                  <pic:blipFill>
                    <a:blip r:embed="rId317"/>
                    <a:stretch>
                      <a:fillRect/>
                    </a:stretch>
                  </pic:blipFill>
                  <pic:spPr>
                    <a:xfrm rot="0">
                      <a:off x="0" y="0"/>
                      <a:ext cx="3657600" cy="2572511"/>
                    </a:xfrm>
                    <a:prstGeom prst="rect">
                      <a:avLst/>
                    </a:prstGeom>
                  </pic:spPr>
                </pic:pic>
              </a:graphicData>
            </a:graphic>
          </wp:inline>
        </w:drawing>
      </w:r>
    </w:p>
    <w:p>
      <w:pPr>
        <w:ind w:left="1751"/>
        <w:spacing w:before="35" w:line="220"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35"/>
        </w:rPr>
        <w:t xml:space="preserve"> </w:t>
      </w:r>
      <w:r>
        <w:rPr>
          <w:rFonts w:ascii="Times New Roman" w:hAnsi="Times New Roman" w:eastAsia="Times New Roman" w:cs="Times New Roman"/>
          <w:sz w:val="24"/>
          <w:szCs w:val="24"/>
          <w:b/>
          <w:bCs/>
          <w:spacing w:val="-3"/>
        </w:rPr>
        <w:t>5.6-2      </w:t>
      </w:r>
      <w:r>
        <w:rPr>
          <w:rFonts w:ascii="SimSun" w:hAnsi="SimSun" w:eastAsia="SimSun" w:cs="SimSun"/>
          <w:sz w:val="24"/>
          <w:szCs w:val="24"/>
          <w:b/>
          <w:bCs/>
          <w:spacing w:val="-3"/>
        </w:rPr>
        <w:t>石油烃在不同深度浓度</w:t>
      </w:r>
      <w:r>
        <w:rPr>
          <w:rFonts w:ascii="Times New Roman" w:hAnsi="Times New Roman" w:eastAsia="Times New Roman" w:cs="Times New Roman"/>
          <w:sz w:val="24"/>
          <w:szCs w:val="24"/>
          <w:b/>
          <w:bCs/>
          <w:spacing w:val="-3"/>
        </w:rPr>
        <w:t>-</w:t>
      </w:r>
      <w:r>
        <w:rPr>
          <w:rFonts w:ascii="SimSun" w:hAnsi="SimSun" w:eastAsia="SimSun" w:cs="SimSun"/>
          <w:sz w:val="24"/>
          <w:szCs w:val="24"/>
          <w:b/>
          <w:bCs/>
          <w:spacing w:val="-3"/>
        </w:rPr>
        <w:t>时间变化曲线</w:t>
      </w:r>
    </w:p>
    <w:p>
      <w:pPr>
        <w:ind w:left="532"/>
        <w:spacing w:before="184" w:line="219" w:lineRule="auto"/>
        <w:rPr>
          <w:rFonts w:ascii="SimSun" w:hAnsi="SimSun" w:eastAsia="SimSun" w:cs="SimSun"/>
          <w:sz w:val="24"/>
          <w:szCs w:val="24"/>
        </w:rPr>
      </w:pPr>
      <w:r>
        <w:rPr>
          <w:rFonts w:ascii="SimSun" w:hAnsi="SimSun" w:eastAsia="SimSun" w:cs="SimSun"/>
          <w:sz w:val="24"/>
          <w:szCs w:val="24"/>
          <w:spacing w:val="-1"/>
        </w:rPr>
        <w:t>由图</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5.6-1 </w:t>
      </w:r>
      <w:r>
        <w:rPr>
          <w:rFonts w:ascii="SimSun" w:hAnsi="SimSun" w:eastAsia="SimSun" w:cs="SimSun"/>
          <w:sz w:val="24"/>
          <w:szCs w:val="24"/>
          <w:spacing w:val="-1"/>
        </w:rPr>
        <w:t>可知，废矿物油连续入渗第</w:t>
      </w:r>
      <w:r>
        <w:rPr>
          <w:rFonts w:ascii="Times New Roman" w:hAnsi="Times New Roman" w:eastAsia="Times New Roman" w:cs="Times New Roman"/>
          <w:sz w:val="24"/>
          <w:szCs w:val="24"/>
          <w:spacing w:val="-1"/>
        </w:rPr>
        <w:t>60 </w:t>
      </w:r>
      <w:r>
        <w:rPr>
          <w:rFonts w:ascii="SimSun" w:hAnsi="SimSun" w:eastAsia="SimSun" w:cs="SimSun"/>
          <w:sz w:val="24"/>
          <w:szCs w:val="24"/>
          <w:spacing w:val="-1"/>
        </w:rPr>
        <w:t>天，</w:t>
      </w:r>
      <w:r>
        <w:rPr>
          <w:rFonts w:ascii="Times New Roman" w:hAnsi="Times New Roman" w:eastAsia="Times New Roman" w:cs="Times New Roman"/>
          <w:sz w:val="24"/>
          <w:szCs w:val="24"/>
          <w:spacing w:val="-1"/>
        </w:rPr>
        <w:t>N4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号监测点所在位置（非饱和</w:t>
      </w:r>
    </w:p>
    <w:p>
      <w:pPr>
        <w:pStyle w:val="BodyText"/>
        <w:spacing w:line="468" w:lineRule="auto"/>
        <w:rPr/>
      </w:pPr>
      <w:r/>
    </w:p>
    <w:p>
      <w:pPr>
        <w:ind w:left="21"/>
        <w:spacing w:before="62" w:line="227" w:lineRule="auto"/>
        <w:rPr>
          <w:rFonts w:ascii="SimSun" w:hAnsi="SimSun" w:eastAsia="SimSun" w:cs="SimSun"/>
          <w:sz w:val="19"/>
          <w:szCs w:val="19"/>
        </w:rPr>
      </w:pPr>
      <w:r>
        <w:pict>
          <v:shape id="_x0000_s1050" style="position:absolute;margin-left:160.02pt;margin-top:2.09793pt;mso-position-vertical-relative:text;mso-position-horizontal-relative:text;width:61pt;height:13.75pt;z-index:25217126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225</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316"/>
          <w:footerReference w:type="default" r:id="rId3"/>
          <w:pgSz w:w="11907" w:h="16840"/>
          <w:pgMar w:top="1567" w:right="1603" w:bottom="400" w:left="1687" w:header="1221" w:footer="0" w:gutter="0"/>
        </w:sectPr>
        <w:rPr>
          <w:rFonts w:ascii="SimSun" w:hAnsi="SimSun" w:eastAsia="SimSun" w:cs="SimSun"/>
          <w:sz w:val="19"/>
          <w:szCs w:val="19"/>
        </w:rPr>
      </w:pPr>
    </w:p>
    <w:p>
      <w:pPr>
        <w:pStyle w:val="BodyText"/>
        <w:spacing w:line="246" w:lineRule="auto"/>
        <w:rPr/>
      </w:pPr>
      <w:r>
        <w:pict>
          <v:shape id="_x0000_s1054" style="position:absolute;margin-left:0.239998pt;margin-top:0.404968pt;mso-position-vertical-relative:text;mso-position-horizontal-relative:text;width:425.25pt;height:0.75pt;z-index:252174336;" fillcolor="#000000" filled="true" stroked="false" coordsize="8505,15" coordorigin="0,0" path="m,l8505,0l8505,14l0,14l0,0xe"/>
        </w:pict>
      </w:r>
      <w:r/>
    </w:p>
    <w:p>
      <w:pPr>
        <w:ind w:left="23" w:right="47" w:hanging="2"/>
        <w:spacing w:before="78" w:line="385" w:lineRule="auto"/>
        <w:jc w:val="both"/>
        <w:rPr>
          <w:rFonts w:ascii="SimSun" w:hAnsi="SimSun" w:eastAsia="SimSun" w:cs="SimSun"/>
          <w:sz w:val="24"/>
          <w:szCs w:val="24"/>
        </w:rPr>
      </w:pPr>
      <w:r>
        <w:rPr>
          <w:rFonts w:ascii="SimSun" w:hAnsi="SimSun" w:eastAsia="SimSun" w:cs="SimSun"/>
          <w:sz w:val="24"/>
          <w:szCs w:val="24"/>
          <w:spacing w:val="-2"/>
        </w:rPr>
        <w:t>带底层）</w:t>
      </w:r>
      <w:r>
        <w:rPr>
          <w:rFonts w:ascii="Times New Roman" w:hAnsi="Times New Roman" w:eastAsia="Times New Roman" w:cs="Times New Roman"/>
          <w:sz w:val="24"/>
          <w:szCs w:val="24"/>
          <w:spacing w:val="-2"/>
        </w:rPr>
        <w:t>BOD</w:t>
      </w:r>
      <w:r>
        <w:rPr>
          <w:rFonts w:ascii="Times New Roman" w:hAnsi="Times New Roman" w:eastAsia="Times New Roman" w:cs="Times New Roman"/>
          <w:sz w:val="15"/>
          <w:szCs w:val="15"/>
          <w:spacing w:val="-2"/>
          <w:position w:val="-1"/>
        </w:rPr>
        <w:t>5</w:t>
      </w:r>
      <w:r>
        <w:rPr>
          <w:rFonts w:ascii="Times New Roman" w:hAnsi="Times New Roman" w:eastAsia="Times New Roman" w:cs="Times New Roman"/>
          <w:sz w:val="15"/>
          <w:szCs w:val="15"/>
          <w:spacing w:val="21"/>
          <w:position w:val="-1"/>
        </w:rPr>
        <w:t xml:space="preserve"> </w:t>
      </w:r>
      <w:r>
        <w:rPr>
          <w:rFonts w:ascii="SimSun" w:hAnsi="SimSun" w:eastAsia="SimSun" w:cs="SimSun"/>
          <w:sz w:val="24"/>
          <w:szCs w:val="24"/>
          <w:spacing w:val="-2"/>
        </w:rPr>
        <w:t>污染物浓度开始升高，但实际危废暂存间矿物油暂存量较少，不可</w:t>
      </w:r>
      <w:r>
        <w:rPr>
          <w:rFonts w:ascii="SimSun" w:hAnsi="SimSun" w:eastAsia="SimSun" w:cs="SimSun"/>
          <w:sz w:val="24"/>
          <w:szCs w:val="24"/>
        </w:rPr>
        <w:t xml:space="preserve"> </w:t>
      </w:r>
      <w:r>
        <w:rPr>
          <w:rFonts w:ascii="SimSun" w:hAnsi="SimSun" w:eastAsia="SimSun" w:cs="SimSun"/>
          <w:sz w:val="24"/>
          <w:szCs w:val="24"/>
          <w:spacing w:val="-1"/>
        </w:rPr>
        <w:t>能连续泄露</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60 </w:t>
      </w:r>
      <w:r>
        <w:rPr>
          <w:rFonts w:ascii="SimSun" w:hAnsi="SimSun" w:eastAsia="SimSun" w:cs="SimSun"/>
          <w:sz w:val="24"/>
          <w:szCs w:val="24"/>
          <w:spacing w:val="-1"/>
        </w:rPr>
        <w:t>天，因此，企业在日常运行过程中，加强巡</w:t>
      </w:r>
      <w:r>
        <w:rPr>
          <w:rFonts w:ascii="SimSun" w:hAnsi="SimSun" w:eastAsia="SimSun" w:cs="SimSun"/>
          <w:sz w:val="24"/>
          <w:szCs w:val="24"/>
          <w:spacing w:val="-2"/>
        </w:rPr>
        <w:t>视和检查，发现破损及</w:t>
      </w:r>
      <w:r>
        <w:rPr>
          <w:rFonts w:ascii="SimSun" w:hAnsi="SimSun" w:eastAsia="SimSun" w:cs="SimSun"/>
          <w:sz w:val="24"/>
          <w:szCs w:val="24"/>
        </w:rPr>
        <w:t xml:space="preserve"> </w:t>
      </w:r>
      <w:r>
        <w:rPr>
          <w:rFonts w:ascii="SimSun" w:hAnsi="SimSun" w:eastAsia="SimSun" w:cs="SimSun"/>
          <w:sz w:val="24"/>
          <w:szCs w:val="24"/>
          <w:spacing w:val="-1"/>
        </w:rPr>
        <w:t>时进行修复，以免非正常泄漏状况对土壤和地下水造成污染。</w:t>
      </w:r>
    </w:p>
    <w:p>
      <w:pPr>
        <w:ind w:left="13"/>
        <w:spacing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5.6.2.4 </w:t>
      </w:r>
      <w:r>
        <w:rPr>
          <w:rFonts w:ascii="SimSun" w:hAnsi="SimSun" w:eastAsia="SimSun" w:cs="SimSun"/>
          <w:sz w:val="24"/>
          <w:szCs w:val="24"/>
          <w:b/>
          <w:bCs/>
          <w:spacing w:val="-2"/>
        </w:rPr>
        <w:t>土壤影响预测结论</w:t>
      </w:r>
    </w:p>
    <w:p>
      <w:pPr>
        <w:ind w:left="13" w:right="151" w:firstLine="481"/>
        <w:spacing w:before="209" w:line="385" w:lineRule="auto"/>
        <w:jc w:val="both"/>
        <w:rPr>
          <w:rFonts w:ascii="SimSun" w:hAnsi="SimSun" w:eastAsia="SimSun" w:cs="SimSun"/>
          <w:sz w:val="24"/>
          <w:szCs w:val="24"/>
        </w:rPr>
      </w:pPr>
      <w:r>
        <w:rPr>
          <w:rFonts w:ascii="SimSun" w:hAnsi="SimSun" w:eastAsia="SimSun" w:cs="SimSun"/>
          <w:sz w:val="24"/>
          <w:szCs w:val="24"/>
        </w:rPr>
        <w:t>本项目通过定量与定性相结合的办法，从大气沉</w:t>
      </w:r>
      <w:r>
        <w:rPr>
          <w:rFonts w:ascii="SimSun" w:hAnsi="SimSun" w:eastAsia="SimSun" w:cs="SimSun"/>
          <w:sz w:val="24"/>
          <w:szCs w:val="24"/>
          <w:spacing w:val="-1"/>
        </w:rPr>
        <w:t>降、地表漫流、垂直入渗等</w:t>
      </w:r>
      <w:r>
        <w:rPr>
          <w:rFonts w:ascii="SimSun" w:hAnsi="SimSun" w:eastAsia="SimSun" w:cs="SimSun"/>
          <w:sz w:val="24"/>
          <w:szCs w:val="24"/>
        </w:rPr>
        <w:t xml:space="preserve"> </w:t>
      </w:r>
      <w:r>
        <w:rPr>
          <w:rFonts w:ascii="SimSun" w:hAnsi="SimSun" w:eastAsia="SimSun" w:cs="SimSun"/>
          <w:sz w:val="24"/>
          <w:szCs w:val="24"/>
        </w:rPr>
        <w:t>主要影响途径，分析项目运营对土壤环境的影响。项目厂</w:t>
      </w:r>
      <w:r>
        <w:rPr>
          <w:rFonts w:ascii="SimSun" w:hAnsi="SimSun" w:eastAsia="SimSun" w:cs="SimSun"/>
          <w:sz w:val="24"/>
          <w:szCs w:val="24"/>
          <w:spacing w:val="-1"/>
        </w:rPr>
        <w:t>区建有完善的环保设施</w:t>
      </w:r>
      <w:r>
        <w:rPr>
          <w:rFonts w:ascii="SimSun" w:hAnsi="SimSun" w:eastAsia="SimSun" w:cs="SimSun"/>
          <w:sz w:val="24"/>
          <w:szCs w:val="24"/>
        </w:rPr>
        <w:t xml:space="preserve"> </w:t>
      </w:r>
      <w:r>
        <w:rPr>
          <w:rFonts w:ascii="SimSun" w:hAnsi="SimSun" w:eastAsia="SimSun" w:cs="SimSun"/>
          <w:sz w:val="24"/>
          <w:szCs w:val="24"/>
        </w:rPr>
        <w:t>及处置措施，能有效防控污染物进入土壤环境，项目在严</w:t>
      </w:r>
      <w:r>
        <w:rPr>
          <w:rFonts w:ascii="SimSun" w:hAnsi="SimSun" w:eastAsia="SimSun" w:cs="SimSun"/>
          <w:sz w:val="24"/>
          <w:szCs w:val="24"/>
          <w:spacing w:val="-1"/>
        </w:rPr>
        <w:t>格做好大气污染防治设</w:t>
      </w:r>
      <w:r>
        <w:rPr>
          <w:rFonts w:ascii="SimSun" w:hAnsi="SimSun" w:eastAsia="SimSun" w:cs="SimSun"/>
          <w:sz w:val="24"/>
          <w:szCs w:val="24"/>
        </w:rPr>
        <w:t xml:space="preserve"> </w:t>
      </w:r>
      <w:r>
        <w:rPr>
          <w:rFonts w:ascii="SimSun" w:hAnsi="SimSun" w:eastAsia="SimSun" w:cs="SimSun"/>
          <w:sz w:val="24"/>
          <w:szCs w:val="24"/>
        </w:rPr>
        <w:t>施及地面分区防渗措施的建设，采取必要的检修、监测、</w:t>
      </w:r>
      <w:r>
        <w:rPr>
          <w:rFonts w:ascii="SimSun" w:hAnsi="SimSun" w:eastAsia="SimSun" w:cs="SimSun"/>
          <w:sz w:val="24"/>
          <w:szCs w:val="24"/>
          <w:spacing w:val="-1"/>
        </w:rPr>
        <w:t>管理措施条件下，工程</w:t>
      </w:r>
      <w:r>
        <w:rPr>
          <w:rFonts w:ascii="SimSun" w:hAnsi="SimSun" w:eastAsia="SimSun" w:cs="SimSun"/>
          <w:sz w:val="24"/>
          <w:szCs w:val="24"/>
        </w:rPr>
        <w:t xml:space="preserve"> </w:t>
      </w:r>
      <w:r>
        <w:rPr>
          <w:rFonts w:ascii="SimSun" w:hAnsi="SimSun" w:eastAsia="SimSun" w:cs="SimSun"/>
          <w:sz w:val="24"/>
          <w:szCs w:val="24"/>
        </w:rPr>
        <w:t>建设对土壤的影响较小。需强调的是，项目厂区包气带土</w:t>
      </w:r>
      <w:r>
        <w:rPr>
          <w:rFonts w:ascii="SimSun" w:hAnsi="SimSun" w:eastAsia="SimSun" w:cs="SimSun"/>
          <w:sz w:val="24"/>
          <w:szCs w:val="24"/>
          <w:spacing w:val="-1"/>
        </w:rPr>
        <w:t>层渗透性强，防污性能</w:t>
      </w:r>
      <w:r>
        <w:rPr>
          <w:rFonts w:ascii="SimSun" w:hAnsi="SimSun" w:eastAsia="SimSun" w:cs="SimSun"/>
          <w:sz w:val="24"/>
          <w:szCs w:val="24"/>
        </w:rPr>
        <w:t xml:space="preserve"> </w:t>
      </w:r>
      <w:r>
        <w:rPr>
          <w:rFonts w:ascii="SimSun" w:hAnsi="SimSun" w:eastAsia="SimSun" w:cs="SimSun"/>
          <w:sz w:val="24"/>
          <w:szCs w:val="24"/>
        </w:rPr>
        <w:t>弱，泄漏的污染物很容易穿透包气带进入到下部的含水层</w:t>
      </w:r>
      <w:r>
        <w:rPr>
          <w:rFonts w:ascii="SimSun" w:hAnsi="SimSun" w:eastAsia="SimSun" w:cs="SimSun"/>
          <w:sz w:val="24"/>
          <w:szCs w:val="24"/>
          <w:spacing w:val="-1"/>
        </w:rPr>
        <w:t>中，在企业施工中，应</w:t>
      </w:r>
      <w:r>
        <w:rPr>
          <w:rFonts w:ascii="SimSun" w:hAnsi="SimSun" w:eastAsia="SimSun" w:cs="SimSun"/>
          <w:sz w:val="24"/>
          <w:szCs w:val="24"/>
        </w:rPr>
        <w:t xml:space="preserve"> </w:t>
      </w:r>
      <w:r>
        <w:rPr>
          <w:rFonts w:ascii="SimSun" w:hAnsi="SimSun" w:eastAsia="SimSun" w:cs="SimSun"/>
          <w:sz w:val="24"/>
          <w:szCs w:val="24"/>
        </w:rPr>
        <w:t>注意防渗层、防渗措施等隐蔽工程的施工，同时在尽可能</w:t>
      </w:r>
      <w:r>
        <w:rPr>
          <w:rFonts w:ascii="SimSun" w:hAnsi="SimSun" w:eastAsia="SimSun" w:cs="SimSun"/>
          <w:sz w:val="24"/>
          <w:szCs w:val="24"/>
          <w:spacing w:val="-1"/>
        </w:rPr>
        <w:t>加大防渗层的厚度和降</w:t>
      </w:r>
      <w:r>
        <w:rPr>
          <w:rFonts w:ascii="SimSun" w:hAnsi="SimSun" w:eastAsia="SimSun" w:cs="SimSun"/>
          <w:sz w:val="24"/>
          <w:szCs w:val="24"/>
        </w:rPr>
        <w:t xml:space="preserve"> </w:t>
      </w:r>
      <w:r>
        <w:rPr>
          <w:rFonts w:ascii="SimSun" w:hAnsi="SimSun" w:eastAsia="SimSun" w:cs="SimSun"/>
          <w:sz w:val="24"/>
          <w:szCs w:val="24"/>
        </w:rPr>
        <w:t>低其渗透系数的同时，增加防渗措施的可靠性，减小污染</w:t>
      </w:r>
      <w:r>
        <w:rPr>
          <w:rFonts w:ascii="SimSun" w:hAnsi="SimSun" w:eastAsia="SimSun" w:cs="SimSun"/>
          <w:sz w:val="24"/>
          <w:szCs w:val="24"/>
          <w:spacing w:val="-1"/>
        </w:rPr>
        <w:t>物迅速穿过防渗层从而</w:t>
      </w:r>
      <w:r>
        <w:rPr>
          <w:rFonts w:ascii="SimSun" w:hAnsi="SimSun" w:eastAsia="SimSun" w:cs="SimSun"/>
          <w:sz w:val="24"/>
          <w:szCs w:val="24"/>
        </w:rPr>
        <w:t xml:space="preserve"> </w:t>
      </w:r>
      <w:r>
        <w:rPr>
          <w:rFonts w:ascii="SimSun" w:hAnsi="SimSun" w:eastAsia="SimSun" w:cs="SimSun"/>
          <w:sz w:val="24"/>
          <w:szCs w:val="24"/>
        </w:rPr>
        <w:t>污染地下水的风险。防渗层虽有效的阻隔了污染物的迁移</w:t>
      </w:r>
      <w:r>
        <w:rPr>
          <w:rFonts w:ascii="SimSun" w:hAnsi="SimSun" w:eastAsia="SimSun" w:cs="SimSun"/>
          <w:sz w:val="24"/>
          <w:szCs w:val="24"/>
          <w:spacing w:val="-1"/>
        </w:rPr>
        <w:t>，但大量的污染物会残</w:t>
      </w:r>
      <w:r>
        <w:rPr>
          <w:rFonts w:ascii="SimSun" w:hAnsi="SimSun" w:eastAsia="SimSun" w:cs="SimSun"/>
          <w:sz w:val="24"/>
          <w:szCs w:val="24"/>
        </w:rPr>
        <w:t xml:space="preserve"> </w:t>
      </w:r>
      <w:r>
        <w:rPr>
          <w:rFonts w:ascii="SimSun" w:hAnsi="SimSun" w:eastAsia="SimSun" w:cs="SimSun"/>
          <w:sz w:val="24"/>
          <w:szCs w:val="24"/>
        </w:rPr>
        <w:t>留在防渗层中，在项目服役期满后，应妥善处理防渗</w:t>
      </w:r>
      <w:r>
        <w:rPr>
          <w:rFonts w:ascii="SimSun" w:hAnsi="SimSun" w:eastAsia="SimSun" w:cs="SimSun"/>
          <w:sz w:val="24"/>
          <w:szCs w:val="24"/>
          <w:spacing w:val="-1"/>
        </w:rPr>
        <w:t>设施，避免二次污染。</w:t>
      </w:r>
    </w:p>
    <w:p>
      <w:pPr>
        <w:ind w:left="2389"/>
        <w:spacing w:before="1" w:line="217" w:lineRule="auto"/>
        <w:rPr>
          <w:rFonts w:ascii="SimSun" w:hAnsi="SimSun" w:eastAsia="SimSun" w:cs="SimSun"/>
          <w:sz w:val="24"/>
          <w:szCs w:val="24"/>
        </w:rPr>
      </w:pPr>
      <w:r>
        <w:rPr>
          <w:rFonts w:ascii="SimSun" w:hAnsi="SimSun" w:eastAsia="SimSun" w:cs="SimSun"/>
          <w:sz w:val="24"/>
          <w:szCs w:val="24"/>
          <w:b/>
          <w:bCs/>
          <w:spacing w:val="-2"/>
        </w:rPr>
        <w:t>表</w:t>
      </w:r>
      <w:r>
        <w:rPr>
          <w:rFonts w:ascii="Times New Roman" w:hAnsi="Times New Roman" w:eastAsia="Times New Roman" w:cs="Times New Roman"/>
          <w:sz w:val="24"/>
          <w:szCs w:val="24"/>
          <w:b/>
          <w:bCs/>
          <w:spacing w:val="-2"/>
        </w:rPr>
        <w:t>5.6-4      </w:t>
      </w:r>
      <w:r>
        <w:rPr>
          <w:rFonts w:ascii="SimSun" w:hAnsi="SimSun" w:eastAsia="SimSun" w:cs="SimSun"/>
          <w:sz w:val="24"/>
          <w:szCs w:val="24"/>
          <w:b/>
          <w:bCs/>
          <w:spacing w:val="-2"/>
        </w:rPr>
        <w:t>土壤环境影响评价自查表</w:t>
      </w:r>
    </w:p>
    <w:p>
      <w:pPr>
        <w:spacing w:line="22" w:lineRule="exact"/>
        <w:rPr/>
      </w:pPr>
      <w:r/>
    </w:p>
    <w:tbl>
      <w:tblPr>
        <w:tblStyle w:val="TableNormal"/>
        <w:tblW w:w="855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30"/>
        <w:gridCol w:w="1678"/>
        <w:gridCol w:w="1269"/>
        <w:gridCol w:w="1387"/>
        <w:gridCol w:w="1100"/>
        <w:gridCol w:w="1498"/>
        <w:gridCol w:w="1089"/>
      </w:tblGrid>
      <w:tr>
        <w:trPr>
          <w:trHeight w:val="242" w:hRule="atLeast"/>
        </w:trPr>
        <w:tc>
          <w:tcPr>
            <w:tcW w:w="2208" w:type="dxa"/>
            <w:vAlign w:val="top"/>
            <w:gridSpan w:val="2"/>
          </w:tcPr>
          <w:p>
            <w:pPr>
              <w:pStyle w:val="TableText"/>
              <w:ind w:left="751"/>
              <w:spacing w:before="31" w:line="206" w:lineRule="auto"/>
              <w:rPr>
                <w:sz w:val="18"/>
                <w:szCs w:val="18"/>
              </w:rPr>
            </w:pPr>
            <w:r>
              <w:rPr>
                <w:sz w:val="18"/>
                <w:szCs w:val="18"/>
                <w:spacing w:val="-3"/>
              </w:rPr>
              <w:t>工作内容</w:t>
            </w:r>
          </w:p>
        </w:tc>
        <w:tc>
          <w:tcPr>
            <w:tcW w:w="5254" w:type="dxa"/>
            <w:vAlign w:val="top"/>
            <w:gridSpan w:val="4"/>
          </w:tcPr>
          <w:p>
            <w:pPr>
              <w:pStyle w:val="TableText"/>
              <w:ind w:left="2272"/>
              <w:spacing w:before="31" w:line="206" w:lineRule="auto"/>
              <w:rPr>
                <w:sz w:val="18"/>
                <w:szCs w:val="18"/>
              </w:rPr>
            </w:pPr>
            <w:r>
              <w:rPr>
                <w:sz w:val="18"/>
                <w:szCs w:val="18"/>
                <w:spacing w:val="-3"/>
              </w:rPr>
              <w:t>完成情况</w:t>
            </w:r>
          </w:p>
        </w:tc>
        <w:tc>
          <w:tcPr>
            <w:tcW w:w="1089" w:type="dxa"/>
            <w:vAlign w:val="top"/>
          </w:tcPr>
          <w:p>
            <w:pPr>
              <w:pStyle w:val="TableText"/>
              <w:ind w:left="371"/>
              <w:spacing w:before="31" w:line="206" w:lineRule="auto"/>
              <w:rPr>
                <w:sz w:val="18"/>
                <w:szCs w:val="18"/>
              </w:rPr>
            </w:pPr>
            <w:r>
              <w:rPr>
                <w:sz w:val="18"/>
                <w:szCs w:val="18"/>
                <w:spacing w:val="-5"/>
              </w:rPr>
              <w:t>备注</w:t>
            </w:r>
          </w:p>
        </w:tc>
      </w:tr>
      <w:tr>
        <w:trPr>
          <w:trHeight w:val="239" w:hRule="atLeast"/>
        </w:trPr>
        <w:tc>
          <w:tcPr>
            <w:tcW w:w="530" w:type="dxa"/>
            <w:vAlign w:val="top"/>
            <w:vMerge w:val="restart"/>
            <w:tcBorders>
              <w:bottom w:val="nil"/>
            </w:tcBorders>
          </w:tcPr>
          <w:p>
            <w:pPr>
              <w:spacing w:line="252"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pStyle w:val="TableText"/>
              <w:ind w:left="88"/>
              <w:spacing w:before="58" w:line="221" w:lineRule="auto"/>
              <w:rPr>
                <w:sz w:val="18"/>
                <w:szCs w:val="18"/>
              </w:rPr>
            </w:pPr>
            <w:r>
              <w:rPr>
                <w:sz w:val="18"/>
                <w:szCs w:val="18"/>
                <w:spacing w:val="-4"/>
              </w:rPr>
              <w:t>影响</w:t>
            </w:r>
          </w:p>
          <w:p>
            <w:pPr>
              <w:pStyle w:val="TableText"/>
              <w:ind w:left="90"/>
              <w:spacing w:before="16" w:line="220" w:lineRule="auto"/>
              <w:rPr>
                <w:sz w:val="18"/>
                <w:szCs w:val="18"/>
              </w:rPr>
            </w:pPr>
            <w:r>
              <w:rPr>
                <w:sz w:val="18"/>
                <w:szCs w:val="18"/>
                <w:spacing w:val="-5"/>
              </w:rPr>
              <w:t>识别</w:t>
            </w:r>
          </w:p>
        </w:tc>
        <w:tc>
          <w:tcPr>
            <w:tcW w:w="1678" w:type="dxa"/>
            <w:vAlign w:val="top"/>
          </w:tcPr>
          <w:p>
            <w:pPr>
              <w:pStyle w:val="TableText"/>
              <w:ind w:left="480"/>
              <w:spacing w:before="29" w:line="205" w:lineRule="auto"/>
              <w:rPr>
                <w:sz w:val="18"/>
                <w:szCs w:val="18"/>
              </w:rPr>
            </w:pPr>
            <w:r>
              <w:rPr>
                <w:sz w:val="18"/>
                <w:szCs w:val="18"/>
                <w:spacing w:val="-2"/>
              </w:rPr>
              <w:t>影响类型</w:t>
            </w:r>
          </w:p>
        </w:tc>
        <w:tc>
          <w:tcPr>
            <w:tcW w:w="5254" w:type="dxa"/>
            <w:vAlign w:val="top"/>
            <w:gridSpan w:val="4"/>
          </w:tcPr>
          <w:p>
            <w:pPr>
              <w:pStyle w:val="TableText"/>
              <w:ind w:left="923"/>
              <w:spacing w:before="29" w:line="205" w:lineRule="auto"/>
              <w:rPr>
                <w:sz w:val="18"/>
                <w:szCs w:val="18"/>
              </w:rPr>
            </w:pPr>
            <w:r>
              <w:rPr>
                <w:sz w:val="18"/>
                <w:szCs w:val="18"/>
                <w:spacing w:val="-1"/>
              </w:rPr>
              <w:t>污染影响型</w:t>
            </w:r>
            <w:r>
              <w:rPr>
                <w:rFonts w:ascii="MS Gothic" w:hAnsi="MS Gothic" w:eastAsia="MS Gothic" w:cs="MS Gothic"/>
                <w:sz w:val="18"/>
                <w:szCs w:val="18"/>
                <w:spacing w:val="-1"/>
              </w:rPr>
              <w:t>☑</w:t>
            </w:r>
            <w:r>
              <w:rPr>
                <w:sz w:val="18"/>
                <w:szCs w:val="18"/>
                <w:spacing w:val="-1"/>
              </w:rPr>
              <w:t>；生态影响型□；两种兼有□</w:t>
            </w:r>
          </w:p>
        </w:tc>
        <w:tc>
          <w:tcPr>
            <w:tcW w:w="1089" w:type="dxa"/>
            <w:vAlign w:val="top"/>
          </w:tcPr>
          <w:p>
            <w:pPr>
              <w:spacing w:line="229" w:lineRule="exact"/>
              <w:rPr>
                <w:rFonts w:ascii="Arial"/>
                <w:sz w:val="19"/>
              </w:rPr>
            </w:pPr>
            <w:r/>
          </w:p>
        </w:tc>
      </w:tr>
      <w:tr>
        <w:trPr>
          <w:trHeight w:val="471" w:hRule="atLeast"/>
        </w:trPr>
        <w:tc>
          <w:tcPr>
            <w:tcW w:w="530" w:type="dxa"/>
            <w:vAlign w:val="top"/>
            <w:vMerge w:val="continue"/>
            <w:tcBorders>
              <w:top w:val="nil"/>
              <w:bottom w:val="nil"/>
            </w:tcBorders>
          </w:tcPr>
          <w:p>
            <w:pPr>
              <w:rPr>
                <w:rFonts w:ascii="Arial"/>
                <w:sz w:val="21"/>
              </w:rPr>
            </w:pPr>
            <w:r/>
          </w:p>
        </w:tc>
        <w:tc>
          <w:tcPr>
            <w:tcW w:w="1678" w:type="dxa"/>
            <w:vAlign w:val="top"/>
          </w:tcPr>
          <w:p>
            <w:pPr>
              <w:pStyle w:val="TableText"/>
              <w:ind w:left="301"/>
              <w:spacing w:before="143" w:line="219" w:lineRule="auto"/>
              <w:rPr>
                <w:sz w:val="18"/>
                <w:szCs w:val="18"/>
              </w:rPr>
            </w:pPr>
            <w:r>
              <w:rPr>
                <w:sz w:val="18"/>
                <w:szCs w:val="18"/>
                <w:spacing w:val="-2"/>
              </w:rPr>
              <w:t>土地利用类型</w:t>
            </w:r>
          </w:p>
        </w:tc>
        <w:tc>
          <w:tcPr>
            <w:tcW w:w="5254" w:type="dxa"/>
            <w:vAlign w:val="top"/>
            <w:gridSpan w:val="4"/>
          </w:tcPr>
          <w:p>
            <w:pPr>
              <w:pStyle w:val="TableText"/>
              <w:ind w:left="1103"/>
              <w:spacing w:before="143" w:line="220" w:lineRule="auto"/>
              <w:rPr>
                <w:sz w:val="18"/>
                <w:szCs w:val="18"/>
              </w:rPr>
            </w:pPr>
            <w:r>
              <w:rPr>
                <w:sz w:val="18"/>
                <w:szCs w:val="18"/>
                <w:spacing w:val="-1"/>
              </w:rPr>
              <w:t>建设用地</w:t>
            </w:r>
            <w:r>
              <w:rPr>
                <w:rFonts w:ascii="MS Gothic" w:hAnsi="MS Gothic" w:eastAsia="MS Gothic" w:cs="MS Gothic"/>
                <w:sz w:val="18"/>
                <w:szCs w:val="18"/>
                <w:spacing w:val="-1"/>
              </w:rPr>
              <w:t>☑</w:t>
            </w:r>
            <w:r>
              <w:rPr>
                <w:sz w:val="18"/>
                <w:szCs w:val="18"/>
                <w:spacing w:val="-1"/>
              </w:rPr>
              <w:t>；农用地□；未利用地□</w:t>
            </w:r>
          </w:p>
        </w:tc>
        <w:tc>
          <w:tcPr>
            <w:tcW w:w="1089" w:type="dxa"/>
            <w:vAlign w:val="top"/>
          </w:tcPr>
          <w:p>
            <w:pPr>
              <w:pStyle w:val="TableText"/>
              <w:ind w:left="98"/>
              <w:spacing w:before="28" w:line="219" w:lineRule="auto"/>
              <w:rPr>
                <w:sz w:val="18"/>
                <w:szCs w:val="18"/>
              </w:rPr>
            </w:pPr>
            <w:r>
              <w:rPr>
                <w:sz w:val="18"/>
                <w:szCs w:val="18"/>
                <w:spacing w:val="-2"/>
              </w:rPr>
              <w:t>土地利用类</w:t>
            </w:r>
          </w:p>
          <w:p>
            <w:pPr>
              <w:pStyle w:val="TableText"/>
              <w:ind w:left="375"/>
              <w:spacing w:before="18" w:line="206" w:lineRule="auto"/>
              <w:rPr>
                <w:sz w:val="18"/>
                <w:szCs w:val="18"/>
              </w:rPr>
            </w:pPr>
            <w:r>
              <w:rPr>
                <w:sz w:val="18"/>
                <w:szCs w:val="18"/>
                <w:spacing w:val="-7"/>
              </w:rPr>
              <w:t>型图</w:t>
            </w:r>
          </w:p>
        </w:tc>
      </w:tr>
      <w:tr>
        <w:trPr>
          <w:trHeight w:val="238" w:hRule="atLeast"/>
        </w:trPr>
        <w:tc>
          <w:tcPr>
            <w:tcW w:w="530" w:type="dxa"/>
            <w:vAlign w:val="top"/>
            <w:vMerge w:val="continue"/>
            <w:tcBorders>
              <w:top w:val="nil"/>
              <w:bottom w:val="nil"/>
            </w:tcBorders>
          </w:tcPr>
          <w:p>
            <w:pPr>
              <w:rPr>
                <w:rFonts w:ascii="Arial"/>
                <w:sz w:val="21"/>
              </w:rPr>
            </w:pPr>
            <w:r/>
          </w:p>
        </w:tc>
        <w:tc>
          <w:tcPr>
            <w:tcW w:w="1678" w:type="dxa"/>
            <w:vAlign w:val="top"/>
          </w:tcPr>
          <w:p>
            <w:pPr>
              <w:pStyle w:val="TableText"/>
              <w:ind w:left="510"/>
              <w:spacing w:before="29" w:line="204" w:lineRule="auto"/>
              <w:rPr>
                <w:sz w:val="18"/>
                <w:szCs w:val="18"/>
              </w:rPr>
            </w:pPr>
            <w:r>
              <w:rPr>
                <w:sz w:val="18"/>
                <w:szCs w:val="18"/>
                <w:spacing w:val="-10"/>
              </w:rPr>
              <w:t>占地规模</w:t>
            </w:r>
          </w:p>
        </w:tc>
        <w:tc>
          <w:tcPr>
            <w:tcW w:w="5254" w:type="dxa"/>
            <w:vAlign w:val="top"/>
            <w:gridSpan w:val="4"/>
          </w:tcPr>
          <w:p>
            <w:pPr>
              <w:pStyle w:val="TableText"/>
              <w:ind w:left="2160"/>
              <w:spacing w:before="29" w:line="204" w:lineRule="auto"/>
              <w:rPr>
                <w:rFonts w:ascii="Times New Roman" w:hAnsi="Times New Roman" w:eastAsia="Times New Roman" w:cs="Times New Roman"/>
                <w:sz w:val="11"/>
                <w:szCs w:val="11"/>
              </w:rPr>
            </w:pPr>
            <w:r>
              <w:rPr>
                <w:sz w:val="18"/>
                <w:szCs w:val="18"/>
                <w:spacing w:val="-2"/>
              </w:rPr>
              <w:t>（</w:t>
            </w:r>
            <w:r>
              <w:rPr>
                <w:rFonts w:ascii="Times New Roman" w:hAnsi="Times New Roman" w:eastAsia="Times New Roman" w:cs="Times New Roman"/>
                <w:sz w:val="18"/>
                <w:szCs w:val="18"/>
                <w:spacing w:val="-2"/>
              </w:rPr>
              <w:t>3.24</w:t>
            </w:r>
            <w:r>
              <w:rPr>
                <w:sz w:val="18"/>
                <w:szCs w:val="18"/>
                <w:spacing w:val="-2"/>
              </w:rPr>
              <w:t>）</w:t>
            </w:r>
            <w:r>
              <w:rPr>
                <w:rFonts w:ascii="Times New Roman" w:hAnsi="Times New Roman" w:eastAsia="Times New Roman" w:cs="Times New Roman"/>
                <w:sz w:val="18"/>
                <w:szCs w:val="18"/>
                <w:spacing w:val="-2"/>
              </w:rPr>
              <w:t>hm</w:t>
            </w:r>
            <w:r>
              <w:rPr>
                <w:rFonts w:ascii="Times New Roman" w:hAnsi="Times New Roman" w:eastAsia="Times New Roman" w:cs="Times New Roman"/>
                <w:sz w:val="11"/>
                <w:szCs w:val="11"/>
                <w:spacing w:val="-2"/>
                <w:position w:val="5"/>
              </w:rPr>
              <w:t>2</w:t>
            </w:r>
          </w:p>
        </w:tc>
        <w:tc>
          <w:tcPr>
            <w:tcW w:w="1089" w:type="dxa"/>
            <w:vAlign w:val="top"/>
          </w:tcPr>
          <w:p>
            <w:pPr>
              <w:spacing w:line="227" w:lineRule="exact"/>
              <w:rPr>
                <w:rFonts w:ascii="Arial"/>
                <w:sz w:val="19"/>
              </w:rPr>
            </w:pPr>
            <w:r/>
          </w:p>
        </w:tc>
      </w:tr>
      <w:tr>
        <w:trPr>
          <w:trHeight w:val="471" w:hRule="atLeast"/>
        </w:trPr>
        <w:tc>
          <w:tcPr>
            <w:tcW w:w="530" w:type="dxa"/>
            <w:vAlign w:val="top"/>
            <w:vMerge w:val="continue"/>
            <w:tcBorders>
              <w:top w:val="nil"/>
              <w:bottom w:val="nil"/>
            </w:tcBorders>
          </w:tcPr>
          <w:p>
            <w:pPr>
              <w:rPr>
                <w:rFonts w:ascii="Arial"/>
                <w:sz w:val="21"/>
              </w:rPr>
            </w:pPr>
            <w:r/>
          </w:p>
        </w:tc>
        <w:tc>
          <w:tcPr>
            <w:tcW w:w="1678" w:type="dxa"/>
            <w:vAlign w:val="top"/>
          </w:tcPr>
          <w:p>
            <w:pPr>
              <w:pStyle w:val="TableText"/>
              <w:ind w:left="301"/>
              <w:spacing w:before="146" w:line="219" w:lineRule="auto"/>
              <w:rPr>
                <w:sz w:val="18"/>
                <w:szCs w:val="18"/>
              </w:rPr>
            </w:pPr>
            <w:r>
              <w:rPr>
                <w:sz w:val="18"/>
                <w:szCs w:val="18"/>
                <w:spacing w:val="-2"/>
              </w:rPr>
              <w:t>敏感目标信息</w:t>
            </w:r>
          </w:p>
        </w:tc>
        <w:tc>
          <w:tcPr>
            <w:tcW w:w="5254" w:type="dxa"/>
            <w:vAlign w:val="top"/>
            <w:gridSpan w:val="4"/>
          </w:tcPr>
          <w:p>
            <w:pPr>
              <w:pStyle w:val="TableText"/>
              <w:ind w:left="63"/>
              <w:spacing w:before="28" w:line="219" w:lineRule="auto"/>
              <w:rPr>
                <w:rFonts w:ascii="Times New Roman" w:hAnsi="Times New Roman" w:eastAsia="Times New Roman" w:cs="Times New Roman"/>
                <w:sz w:val="18"/>
                <w:szCs w:val="18"/>
              </w:rPr>
            </w:pPr>
            <w:r>
              <w:rPr>
                <w:sz w:val="18"/>
                <w:szCs w:val="18"/>
                <w:spacing w:val="-1"/>
              </w:rPr>
              <w:t>敏感目标（耕地、牧草地）、方位（周边）、距离（厂界外</w:t>
            </w:r>
            <w:r>
              <w:rPr>
                <w:sz w:val="18"/>
                <w:szCs w:val="18"/>
                <w:spacing w:val="-23"/>
              </w:rPr>
              <w:t xml:space="preserve"> </w:t>
            </w:r>
            <w:r>
              <w:rPr>
                <w:rFonts w:ascii="Times New Roman" w:hAnsi="Times New Roman" w:eastAsia="Times New Roman" w:cs="Times New Roman"/>
                <w:sz w:val="18"/>
                <w:szCs w:val="18"/>
                <w:spacing w:val="-1"/>
              </w:rPr>
              <w:t>200m</w:t>
            </w:r>
          </w:p>
          <w:p>
            <w:pPr>
              <w:pStyle w:val="TableText"/>
              <w:ind w:left="2274"/>
              <w:spacing w:before="19" w:line="205" w:lineRule="auto"/>
              <w:rPr>
                <w:sz w:val="18"/>
                <w:szCs w:val="18"/>
              </w:rPr>
            </w:pPr>
            <w:r>
              <w:rPr>
                <w:sz w:val="18"/>
                <w:szCs w:val="18"/>
                <w:spacing w:val="-3"/>
              </w:rPr>
              <w:t>范围内）</w:t>
            </w:r>
          </w:p>
        </w:tc>
        <w:tc>
          <w:tcPr>
            <w:tcW w:w="1089" w:type="dxa"/>
            <w:vAlign w:val="top"/>
          </w:tcPr>
          <w:p>
            <w:pPr>
              <w:rPr>
                <w:rFonts w:ascii="Arial"/>
                <w:sz w:val="21"/>
              </w:rPr>
            </w:pPr>
            <w:r/>
          </w:p>
        </w:tc>
      </w:tr>
      <w:tr>
        <w:trPr>
          <w:trHeight w:val="239" w:hRule="atLeast"/>
        </w:trPr>
        <w:tc>
          <w:tcPr>
            <w:tcW w:w="530" w:type="dxa"/>
            <w:vAlign w:val="top"/>
            <w:vMerge w:val="continue"/>
            <w:tcBorders>
              <w:top w:val="nil"/>
              <w:bottom w:val="nil"/>
            </w:tcBorders>
          </w:tcPr>
          <w:p>
            <w:pPr>
              <w:rPr>
                <w:rFonts w:ascii="Arial"/>
                <w:sz w:val="21"/>
              </w:rPr>
            </w:pPr>
            <w:r/>
          </w:p>
        </w:tc>
        <w:tc>
          <w:tcPr>
            <w:tcW w:w="1678" w:type="dxa"/>
            <w:vAlign w:val="top"/>
          </w:tcPr>
          <w:p>
            <w:pPr>
              <w:pStyle w:val="TableText"/>
              <w:ind w:left="480"/>
              <w:spacing w:before="30" w:line="204" w:lineRule="auto"/>
              <w:rPr>
                <w:sz w:val="18"/>
                <w:szCs w:val="18"/>
              </w:rPr>
            </w:pPr>
            <w:r>
              <w:rPr>
                <w:sz w:val="18"/>
                <w:szCs w:val="18"/>
                <w:spacing w:val="-2"/>
              </w:rPr>
              <w:t>影响途径</w:t>
            </w:r>
          </w:p>
        </w:tc>
        <w:tc>
          <w:tcPr>
            <w:tcW w:w="5254" w:type="dxa"/>
            <w:vAlign w:val="top"/>
            <w:gridSpan w:val="4"/>
          </w:tcPr>
          <w:p>
            <w:pPr>
              <w:pStyle w:val="TableText"/>
              <w:ind w:left="242"/>
              <w:spacing w:before="30" w:line="204" w:lineRule="auto"/>
              <w:rPr>
                <w:sz w:val="18"/>
                <w:szCs w:val="18"/>
              </w:rPr>
            </w:pPr>
            <w:r>
              <w:rPr>
                <w:sz w:val="18"/>
                <w:szCs w:val="18"/>
                <w:spacing w:val="-10"/>
              </w:rPr>
              <w:t>大气沉降</w:t>
            </w:r>
            <w:r>
              <w:rPr>
                <w:rFonts w:ascii="MS Gothic" w:hAnsi="MS Gothic" w:eastAsia="MS Gothic" w:cs="MS Gothic"/>
                <w:sz w:val="18"/>
                <w:szCs w:val="18"/>
                <w:spacing w:val="-10"/>
              </w:rPr>
              <w:t>☑</w:t>
            </w:r>
            <w:r>
              <w:rPr>
                <w:sz w:val="18"/>
                <w:szCs w:val="18"/>
                <w:spacing w:val="-10"/>
              </w:rPr>
              <w:t>；地面漫流</w:t>
            </w:r>
            <w:r>
              <w:rPr>
                <w:rFonts w:ascii="MS Gothic" w:hAnsi="MS Gothic" w:eastAsia="MS Gothic" w:cs="MS Gothic"/>
                <w:sz w:val="18"/>
                <w:szCs w:val="18"/>
                <w:spacing w:val="-10"/>
              </w:rPr>
              <w:t>☑</w:t>
            </w:r>
            <w:r>
              <w:rPr>
                <w:sz w:val="18"/>
                <w:szCs w:val="18"/>
                <w:spacing w:val="-10"/>
              </w:rPr>
              <w:t>；垂直入渗</w:t>
            </w:r>
            <w:r>
              <w:rPr>
                <w:rFonts w:ascii="MS Gothic" w:hAnsi="MS Gothic" w:eastAsia="MS Gothic" w:cs="MS Gothic"/>
                <w:sz w:val="18"/>
                <w:szCs w:val="18"/>
                <w:spacing w:val="-10"/>
              </w:rPr>
              <w:t>☑</w:t>
            </w:r>
            <w:r>
              <w:rPr>
                <w:sz w:val="18"/>
                <w:szCs w:val="18"/>
                <w:spacing w:val="-10"/>
              </w:rPr>
              <w:t>；地下水位□；其他 ()</w:t>
            </w:r>
          </w:p>
        </w:tc>
        <w:tc>
          <w:tcPr>
            <w:tcW w:w="1089" w:type="dxa"/>
            <w:vAlign w:val="top"/>
          </w:tcPr>
          <w:p>
            <w:pPr>
              <w:spacing w:line="229" w:lineRule="exact"/>
              <w:rPr>
                <w:rFonts w:ascii="Arial"/>
                <w:sz w:val="19"/>
              </w:rPr>
            </w:pPr>
            <w:r/>
          </w:p>
        </w:tc>
      </w:tr>
      <w:tr>
        <w:trPr>
          <w:trHeight w:val="937" w:hRule="atLeast"/>
        </w:trPr>
        <w:tc>
          <w:tcPr>
            <w:tcW w:w="530" w:type="dxa"/>
            <w:vAlign w:val="top"/>
            <w:vMerge w:val="continue"/>
            <w:tcBorders>
              <w:top w:val="nil"/>
              <w:bottom w:val="nil"/>
            </w:tcBorders>
          </w:tcPr>
          <w:p>
            <w:pPr>
              <w:rPr>
                <w:rFonts w:ascii="Arial"/>
                <w:sz w:val="21"/>
              </w:rPr>
            </w:pPr>
            <w:r/>
          </w:p>
        </w:tc>
        <w:tc>
          <w:tcPr>
            <w:tcW w:w="1678" w:type="dxa"/>
            <w:vAlign w:val="top"/>
          </w:tcPr>
          <w:p>
            <w:pPr>
              <w:spacing w:line="319" w:lineRule="auto"/>
              <w:rPr>
                <w:rFonts w:ascii="Arial"/>
                <w:sz w:val="21"/>
              </w:rPr>
            </w:pPr>
            <w:r/>
          </w:p>
          <w:p>
            <w:pPr>
              <w:pStyle w:val="TableText"/>
              <w:ind w:left="391"/>
              <w:spacing w:before="58" w:line="219" w:lineRule="auto"/>
              <w:rPr>
                <w:sz w:val="18"/>
                <w:szCs w:val="18"/>
              </w:rPr>
            </w:pPr>
            <w:r>
              <w:rPr>
                <w:sz w:val="18"/>
                <w:szCs w:val="18"/>
                <w:spacing w:val="-2"/>
              </w:rPr>
              <w:t>全部污染物</w:t>
            </w:r>
          </w:p>
        </w:tc>
        <w:tc>
          <w:tcPr>
            <w:tcW w:w="5254" w:type="dxa"/>
            <w:vAlign w:val="top"/>
            <w:gridSpan w:val="4"/>
          </w:tcPr>
          <w:p>
            <w:pPr>
              <w:pStyle w:val="TableText"/>
              <w:ind w:left="6"/>
              <w:spacing w:before="28" w:line="220" w:lineRule="auto"/>
              <w:rPr>
                <w:rFonts w:ascii="Times New Roman" w:hAnsi="Times New Roman" w:eastAsia="Times New Roman" w:cs="Times New Roman"/>
                <w:sz w:val="18"/>
                <w:szCs w:val="18"/>
              </w:rPr>
            </w:pPr>
            <w:r>
              <w:rPr>
                <w:sz w:val="18"/>
                <w:szCs w:val="18"/>
                <w:spacing w:val="-3"/>
              </w:rPr>
              <w:t>废气：颗粒物、</w:t>
            </w:r>
            <w:r>
              <w:rPr>
                <w:rFonts w:ascii="Times New Roman" w:hAnsi="Times New Roman" w:eastAsia="Times New Roman" w:cs="Times New Roman"/>
                <w:sz w:val="18"/>
                <w:szCs w:val="18"/>
                <w:spacing w:val="-3"/>
              </w:rPr>
              <w:t>SO</w:t>
            </w:r>
            <w:r>
              <w:rPr>
                <w:rFonts w:ascii="Times New Roman" w:hAnsi="Times New Roman" w:eastAsia="Times New Roman" w:cs="Times New Roman"/>
                <w:sz w:val="11"/>
                <w:szCs w:val="11"/>
                <w:spacing w:val="-3"/>
                <w:position w:val="-1"/>
              </w:rPr>
              <w:t>2</w:t>
            </w:r>
            <w:r>
              <w:rPr>
                <w:rFonts w:ascii="Times New Roman" w:hAnsi="Times New Roman" w:eastAsia="Times New Roman" w:cs="Times New Roman"/>
                <w:sz w:val="11"/>
                <w:szCs w:val="11"/>
                <w:position w:val="-1"/>
              </w:rPr>
              <w:t xml:space="preserve"> </w:t>
            </w:r>
            <w:r>
              <w:rPr>
                <w:sz w:val="18"/>
                <w:szCs w:val="18"/>
                <w:spacing w:val="-3"/>
              </w:rPr>
              <w:t>、</w:t>
            </w:r>
            <w:r>
              <w:rPr>
                <w:rFonts w:ascii="Times New Roman" w:hAnsi="Times New Roman" w:eastAsia="Times New Roman" w:cs="Times New Roman"/>
                <w:sz w:val="18"/>
                <w:szCs w:val="18"/>
                <w:spacing w:val="-3"/>
              </w:rPr>
              <w:t>NO</w:t>
            </w:r>
            <w:r>
              <w:rPr>
                <w:rFonts w:ascii="Times New Roman" w:hAnsi="Times New Roman" w:eastAsia="Times New Roman" w:cs="Times New Roman"/>
                <w:sz w:val="11"/>
                <w:szCs w:val="11"/>
                <w:spacing w:val="-3"/>
                <w:position w:val="-1"/>
              </w:rPr>
              <w:t>x</w:t>
            </w:r>
            <w:r>
              <w:rPr>
                <w:rFonts w:ascii="Times New Roman" w:hAnsi="Times New Roman" w:eastAsia="Times New Roman" w:cs="Times New Roman"/>
                <w:sz w:val="11"/>
                <w:szCs w:val="11"/>
                <w:spacing w:val="-5"/>
                <w:position w:val="-1"/>
              </w:rPr>
              <w:t xml:space="preserve"> </w:t>
            </w:r>
            <w:r>
              <w:rPr>
                <w:sz w:val="18"/>
                <w:szCs w:val="18"/>
                <w:spacing w:val="-3"/>
              </w:rPr>
              <w:t>、</w:t>
            </w:r>
            <w:r>
              <w:rPr>
                <w:rFonts w:ascii="Times New Roman" w:hAnsi="Times New Roman" w:eastAsia="Times New Roman" w:cs="Times New Roman"/>
                <w:sz w:val="18"/>
                <w:szCs w:val="18"/>
                <w:spacing w:val="-3"/>
              </w:rPr>
              <w:t>NH</w:t>
            </w:r>
            <w:r>
              <w:rPr>
                <w:rFonts w:ascii="Times New Roman" w:hAnsi="Times New Roman" w:eastAsia="Times New Roman" w:cs="Times New Roman"/>
                <w:sz w:val="11"/>
                <w:szCs w:val="11"/>
                <w:spacing w:val="-3"/>
                <w:position w:val="-1"/>
              </w:rPr>
              <w:t>3</w:t>
            </w:r>
            <w:r>
              <w:rPr>
                <w:rFonts w:ascii="Times New Roman" w:hAnsi="Times New Roman" w:eastAsia="Times New Roman" w:cs="Times New Roman"/>
                <w:sz w:val="11"/>
                <w:szCs w:val="11"/>
                <w:spacing w:val="-8"/>
                <w:position w:val="-1"/>
              </w:rPr>
              <w:t xml:space="preserve"> </w:t>
            </w:r>
            <w:r>
              <w:rPr>
                <w:sz w:val="18"/>
                <w:szCs w:val="18"/>
                <w:spacing w:val="-3"/>
              </w:rPr>
              <w:t>、</w:t>
            </w:r>
            <w:r>
              <w:rPr>
                <w:rFonts w:ascii="Times New Roman" w:hAnsi="Times New Roman" w:eastAsia="Times New Roman" w:cs="Times New Roman"/>
                <w:sz w:val="18"/>
                <w:szCs w:val="18"/>
                <w:spacing w:val="-3"/>
              </w:rPr>
              <w:t>H</w:t>
            </w:r>
            <w:r>
              <w:rPr>
                <w:rFonts w:ascii="Times New Roman" w:hAnsi="Times New Roman" w:eastAsia="Times New Roman" w:cs="Times New Roman"/>
                <w:sz w:val="11"/>
                <w:szCs w:val="11"/>
                <w:spacing w:val="-3"/>
                <w:position w:val="-1"/>
              </w:rPr>
              <w:t>2</w:t>
            </w:r>
            <w:r>
              <w:rPr>
                <w:rFonts w:ascii="Times New Roman" w:hAnsi="Times New Roman" w:eastAsia="Times New Roman" w:cs="Times New Roman"/>
                <w:sz w:val="18"/>
                <w:szCs w:val="18"/>
                <w:spacing w:val="-3"/>
              </w:rPr>
              <w:t>S</w:t>
            </w:r>
          </w:p>
          <w:p>
            <w:pPr>
              <w:pStyle w:val="TableText"/>
              <w:ind w:left="6"/>
              <w:spacing w:before="18" w:line="212" w:lineRule="auto"/>
              <w:rPr>
                <w:rFonts w:ascii="Times New Roman" w:hAnsi="Times New Roman" w:eastAsia="Times New Roman" w:cs="Times New Roman"/>
                <w:sz w:val="18"/>
                <w:szCs w:val="18"/>
              </w:rPr>
            </w:pPr>
            <w:r>
              <w:rPr>
                <w:sz w:val="18"/>
                <w:szCs w:val="18"/>
                <w:spacing w:val="-2"/>
              </w:rPr>
              <w:t>废水：</w:t>
            </w:r>
            <w:r>
              <w:rPr>
                <w:rFonts w:ascii="Times New Roman" w:hAnsi="Times New Roman" w:eastAsia="Times New Roman" w:cs="Times New Roman"/>
                <w:sz w:val="18"/>
                <w:szCs w:val="18"/>
                <w:spacing w:val="-2"/>
              </w:rPr>
              <w:t>pH</w:t>
            </w:r>
            <w:r>
              <w:rPr>
                <w:sz w:val="18"/>
                <w:szCs w:val="18"/>
                <w:spacing w:val="-2"/>
              </w:rPr>
              <w:t>、</w:t>
            </w:r>
            <w:r>
              <w:rPr>
                <w:rFonts w:ascii="Times New Roman" w:hAnsi="Times New Roman" w:eastAsia="Times New Roman" w:cs="Times New Roman"/>
                <w:sz w:val="18"/>
                <w:szCs w:val="18"/>
                <w:spacing w:val="-2"/>
              </w:rPr>
              <w:t>COD</w:t>
            </w:r>
            <w:r>
              <w:rPr>
                <w:rFonts w:ascii="Times New Roman" w:hAnsi="Times New Roman" w:eastAsia="Times New Roman" w:cs="Times New Roman"/>
                <w:sz w:val="11"/>
                <w:szCs w:val="11"/>
                <w:spacing w:val="-2"/>
                <w:position w:val="-1"/>
              </w:rPr>
              <w:t>cr</w:t>
            </w:r>
            <w:r>
              <w:rPr>
                <w:rFonts w:ascii="Times New Roman" w:hAnsi="Times New Roman" w:eastAsia="Times New Roman" w:cs="Times New Roman"/>
                <w:sz w:val="11"/>
                <w:szCs w:val="11"/>
                <w:spacing w:val="2"/>
                <w:position w:val="-1"/>
              </w:rPr>
              <w:t xml:space="preserve"> </w:t>
            </w:r>
            <w:r>
              <w:rPr>
                <w:sz w:val="18"/>
                <w:szCs w:val="18"/>
                <w:spacing w:val="-2"/>
              </w:rPr>
              <w:t>、</w:t>
            </w:r>
            <w:r>
              <w:rPr>
                <w:rFonts w:ascii="Times New Roman" w:hAnsi="Times New Roman" w:eastAsia="Times New Roman" w:cs="Times New Roman"/>
                <w:sz w:val="18"/>
                <w:szCs w:val="18"/>
                <w:spacing w:val="-2"/>
              </w:rPr>
              <w:t>BOD</w:t>
            </w:r>
            <w:r>
              <w:rPr>
                <w:rFonts w:ascii="Times New Roman" w:hAnsi="Times New Roman" w:eastAsia="Times New Roman" w:cs="Times New Roman"/>
                <w:sz w:val="11"/>
                <w:szCs w:val="11"/>
                <w:spacing w:val="-2"/>
                <w:position w:val="-1"/>
              </w:rPr>
              <w:t>5</w:t>
            </w:r>
            <w:r>
              <w:rPr>
                <w:rFonts w:ascii="Times New Roman" w:hAnsi="Times New Roman" w:eastAsia="Times New Roman" w:cs="Times New Roman"/>
                <w:sz w:val="11"/>
                <w:szCs w:val="11"/>
                <w:spacing w:val="-8"/>
                <w:position w:val="-1"/>
              </w:rPr>
              <w:t xml:space="preserve"> </w:t>
            </w:r>
            <w:r>
              <w:rPr>
                <w:sz w:val="18"/>
                <w:szCs w:val="18"/>
                <w:spacing w:val="-2"/>
              </w:rPr>
              <w:t>、</w:t>
            </w:r>
            <w:r>
              <w:rPr>
                <w:rFonts w:ascii="Times New Roman" w:hAnsi="Times New Roman" w:eastAsia="Times New Roman" w:cs="Times New Roman"/>
                <w:sz w:val="18"/>
                <w:szCs w:val="18"/>
                <w:spacing w:val="-2"/>
              </w:rPr>
              <w:t>NH</w:t>
            </w:r>
            <w:r>
              <w:rPr>
                <w:rFonts w:ascii="Times New Roman" w:hAnsi="Times New Roman" w:eastAsia="Times New Roman" w:cs="Times New Roman"/>
                <w:sz w:val="11"/>
                <w:szCs w:val="11"/>
                <w:spacing w:val="-2"/>
                <w:position w:val="-1"/>
              </w:rPr>
              <w:t>3</w:t>
            </w:r>
            <w:r>
              <w:rPr>
                <w:rFonts w:ascii="Times New Roman" w:hAnsi="Times New Roman" w:eastAsia="Times New Roman" w:cs="Times New Roman"/>
                <w:sz w:val="18"/>
                <w:szCs w:val="18"/>
                <w:spacing w:val="-2"/>
              </w:rPr>
              <w:t>-N</w:t>
            </w:r>
            <w:r>
              <w:rPr>
                <w:rFonts w:ascii="Times New Roman" w:hAnsi="Times New Roman" w:eastAsia="Times New Roman" w:cs="Times New Roman"/>
                <w:sz w:val="18"/>
                <w:szCs w:val="18"/>
                <w:spacing w:val="-25"/>
              </w:rPr>
              <w:t xml:space="preserve"> </w:t>
            </w:r>
            <w:r>
              <w:rPr>
                <w:sz w:val="18"/>
                <w:szCs w:val="18"/>
                <w:spacing w:val="-2"/>
              </w:rPr>
              <w:t>、</w:t>
            </w:r>
            <w:r>
              <w:rPr>
                <w:rFonts w:ascii="Times New Roman" w:hAnsi="Times New Roman" w:eastAsia="Times New Roman" w:cs="Times New Roman"/>
                <w:sz w:val="18"/>
                <w:szCs w:val="18"/>
                <w:spacing w:val="-2"/>
              </w:rPr>
              <w:t>SS</w:t>
            </w:r>
            <w:r>
              <w:rPr>
                <w:sz w:val="18"/>
                <w:szCs w:val="18"/>
                <w:spacing w:val="-2"/>
              </w:rPr>
              <w:t>、动植物油、</w:t>
            </w:r>
            <w:r>
              <w:rPr>
                <w:rFonts w:ascii="Times New Roman" w:hAnsi="Times New Roman" w:eastAsia="Times New Roman" w:cs="Times New Roman"/>
                <w:sz w:val="18"/>
                <w:szCs w:val="18"/>
                <w:spacing w:val="-2"/>
              </w:rPr>
              <w:t>TDS</w:t>
            </w:r>
          </w:p>
          <w:p>
            <w:pPr>
              <w:pStyle w:val="TableText"/>
              <w:ind w:left="9"/>
              <w:spacing w:before="26" w:line="219" w:lineRule="auto"/>
              <w:rPr>
                <w:sz w:val="18"/>
                <w:szCs w:val="18"/>
              </w:rPr>
            </w:pPr>
            <w:r>
              <w:rPr>
                <w:sz w:val="18"/>
                <w:szCs w:val="18"/>
                <w:spacing w:val="-2"/>
              </w:rPr>
              <w:t>危废贮存：废矿物油</w:t>
            </w:r>
          </w:p>
          <w:p>
            <w:pPr>
              <w:pStyle w:val="TableText"/>
              <w:ind w:left="8"/>
              <w:spacing w:before="20" w:line="203" w:lineRule="auto"/>
              <w:rPr>
                <w:sz w:val="18"/>
                <w:szCs w:val="18"/>
              </w:rPr>
            </w:pPr>
            <w:r>
              <w:rPr>
                <w:sz w:val="18"/>
                <w:szCs w:val="18"/>
                <w:spacing w:val="-2"/>
              </w:rPr>
              <w:t>生产设施：</w:t>
            </w:r>
            <w:r>
              <w:rPr>
                <w:rFonts w:ascii="Times New Roman" w:hAnsi="Times New Roman" w:eastAsia="Times New Roman" w:cs="Times New Roman"/>
                <w:sz w:val="18"/>
                <w:szCs w:val="18"/>
                <w:spacing w:val="-2"/>
              </w:rPr>
              <w:t>pH</w:t>
            </w:r>
            <w:r>
              <w:rPr>
                <w:sz w:val="18"/>
                <w:szCs w:val="18"/>
                <w:spacing w:val="-2"/>
              </w:rPr>
              <w:t>、</w:t>
            </w:r>
            <w:r>
              <w:rPr>
                <w:rFonts w:ascii="Times New Roman" w:hAnsi="Times New Roman" w:eastAsia="Times New Roman" w:cs="Times New Roman"/>
                <w:sz w:val="18"/>
                <w:szCs w:val="18"/>
                <w:spacing w:val="-2"/>
              </w:rPr>
              <w:t>COD</w:t>
            </w:r>
            <w:r>
              <w:rPr>
                <w:rFonts w:ascii="Times New Roman" w:hAnsi="Times New Roman" w:eastAsia="Times New Roman" w:cs="Times New Roman"/>
                <w:sz w:val="11"/>
                <w:szCs w:val="11"/>
                <w:spacing w:val="-2"/>
                <w:position w:val="-1"/>
              </w:rPr>
              <w:t>cr </w:t>
            </w:r>
            <w:r>
              <w:rPr>
                <w:sz w:val="18"/>
                <w:szCs w:val="18"/>
                <w:spacing w:val="-2"/>
              </w:rPr>
              <w:t>、</w:t>
            </w:r>
            <w:r>
              <w:rPr>
                <w:rFonts w:ascii="Times New Roman" w:hAnsi="Times New Roman" w:eastAsia="Times New Roman" w:cs="Times New Roman"/>
                <w:sz w:val="18"/>
                <w:szCs w:val="18"/>
                <w:spacing w:val="-2"/>
              </w:rPr>
              <w:t>BOD</w:t>
            </w:r>
            <w:r>
              <w:rPr>
                <w:rFonts w:ascii="Times New Roman" w:hAnsi="Times New Roman" w:eastAsia="Times New Roman" w:cs="Times New Roman"/>
                <w:sz w:val="11"/>
                <w:szCs w:val="11"/>
                <w:spacing w:val="-2"/>
                <w:position w:val="-1"/>
              </w:rPr>
              <w:t>5</w:t>
            </w:r>
            <w:r>
              <w:rPr>
                <w:rFonts w:ascii="Times New Roman" w:hAnsi="Times New Roman" w:eastAsia="Times New Roman" w:cs="Times New Roman"/>
                <w:sz w:val="11"/>
                <w:szCs w:val="11"/>
                <w:spacing w:val="-8"/>
                <w:position w:val="-1"/>
              </w:rPr>
              <w:t xml:space="preserve"> </w:t>
            </w:r>
            <w:r>
              <w:rPr>
                <w:sz w:val="18"/>
                <w:szCs w:val="18"/>
                <w:spacing w:val="-2"/>
              </w:rPr>
              <w:t>、</w:t>
            </w:r>
            <w:r>
              <w:rPr>
                <w:rFonts w:ascii="Times New Roman" w:hAnsi="Times New Roman" w:eastAsia="Times New Roman" w:cs="Times New Roman"/>
                <w:sz w:val="18"/>
                <w:szCs w:val="18"/>
                <w:spacing w:val="-2"/>
              </w:rPr>
              <w:t>NH</w:t>
            </w:r>
            <w:r>
              <w:rPr>
                <w:rFonts w:ascii="Times New Roman" w:hAnsi="Times New Roman" w:eastAsia="Times New Roman" w:cs="Times New Roman"/>
                <w:sz w:val="11"/>
                <w:szCs w:val="11"/>
                <w:spacing w:val="-2"/>
                <w:position w:val="-1"/>
              </w:rPr>
              <w:t>3</w:t>
            </w:r>
            <w:r>
              <w:rPr>
                <w:rFonts w:ascii="Times New Roman" w:hAnsi="Times New Roman" w:eastAsia="Times New Roman" w:cs="Times New Roman"/>
                <w:sz w:val="18"/>
                <w:szCs w:val="18"/>
                <w:spacing w:val="-2"/>
              </w:rPr>
              <w:t>-N</w:t>
            </w:r>
            <w:r>
              <w:rPr>
                <w:rFonts w:ascii="Times New Roman" w:hAnsi="Times New Roman" w:eastAsia="Times New Roman" w:cs="Times New Roman"/>
                <w:sz w:val="18"/>
                <w:szCs w:val="18"/>
                <w:spacing w:val="-26"/>
              </w:rPr>
              <w:t xml:space="preserve"> </w:t>
            </w:r>
            <w:r>
              <w:rPr>
                <w:sz w:val="18"/>
                <w:szCs w:val="18"/>
                <w:spacing w:val="-2"/>
              </w:rPr>
              <w:t>、</w:t>
            </w:r>
            <w:r>
              <w:rPr>
                <w:rFonts w:ascii="Times New Roman" w:hAnsi="Times New Roman" w:eastAsia="Times New Roman" w:cs="Times New Roman"/>
                <w:sz w:val="18"/>
                <w:szCs w:val="18"/>
                <w:spacing w:val="-2"/>
              </w:rPr>
              <w:t>SS</w:t>
            </w:r>
            <w:r>
              <w:rPr>
                <w:sz w:val="18"/>
                <w:szCs w:val="18"/>
                <w:spacing w:val="-2"/>
              </w:rPr>
              <w:t>、动植物油</w:t>
            </w:r>
          </w:p>
        </w:tc>
        <w:tc>
          <w:tcPr>
            <w:tcW w:w="1089" w:type="dxa"/>
            <w:vAlign w:val="top"/>
          </w:tcPr>
          <w:p>
            <w:pPr>
              <w:rPr>
                <w:rFonts w:ascii="Arial"/>
                <w:sz w:val="21"/>
              </w:rPr>
            </w:pPr>
            <w:r/>
          </w:p>
        </w:tc>
      </w:tr>
      <w:tr>
        <w:trPr>
          <w:trHeight w:val="239" w:hRule="atLeast"/>
        </w:trPr>
        <w:tc>
          <w:tcPr>
            <w:tcW w:w="530" w:type="dxa"/>
            <w:vAlign w:val="top"/>
            <w:vMerge w:val="continue"/>
            <w:tcBorders>
              <w:top w:val="nil"/>
              <w:bottom w:val="nil"/>
            </w:tcBorders>
          </w:tcPr>
          <w:p>
            <w:pPr>
              <w:rPr>
                <w:rFonts w:ascii="Arial"/>
                <w:sz w:val="21"/>
              </w:rPr>
            </w:pPr>
            <w:r/>
          </w:p>
        </w:tc>
        <w:tc>
          <w:tcPr>
            <w:tcW w:w="1678" w:type="dxa"/>
            <w:vAlign w:val="top"/>
          </w:tcPr>
          <w:p>
            <w:pPr>
              <w:pStyle w:val="TableText"/>
              <w:ind w:left="480"/>
              <w:spacing w:before="32" w:line="202" w:lineRule="auto"/>
              <w:rPr>
                <w:sz w:val="18"/>
                <w:szCs w:val="18"/>
              </w:rPr>
            </w:pPr>
            <w:r>
              <w:rPr>
                <w:sz w:val="18"/>
                <w:szCs w:val="18"/>
                <w:spacing w:val="-2"/>
              </w:rPr>
              <w:t>特征因子</w:t>
            </w:r>
          </w:p>
        </w:tc>
        <w:tc>
          <w:tcPr>
            <w:tcW w:w="5254" w:type="dxa"/>
            <w:vAlign w:val="top"/>
            <w:gridSpan w:val="4"/>
          </w:tcPr>
          <w:p>
            <w:pPr>
              <w:pStyle w:val="TableText"/>
              <w:ind w:left="2064"/>
              <w:spacing w:before="32" w:line="202" w:lineRule="auto"/>
              <w:rPr>
                <w:sz w:val="18"/>
                <w:szCs w:val="18"/>
              </w:rPr>
            </w:pPr>
            <w:r>
              <w:rPr>
                <w:rFonts w:ascii="Times New Roman" w:hAnsi="Times New Roman" w:eastAsia="Times New Roman" w:cs="Times New Roman"/>
                <w:sz w:val="18"/>
                <w:szCs w:val="18"/>
                <w:spacing w:val="-1"/>
              </w:rPr>
              <w:t>pH</w:t>
            </w:r>
            <w:r>
              <w:rPr>
                <w:sz w:val="18"/>
                <w:szCs w:val="18"/>
                <w:spacing w:val="-1"/>
              </w:rPr>
              <w:t>、废矿物油</w:t>
            </w:r>
          </w:p>
        </w:tc>
        <w:tc>
          <w:tcPr>
            <w:tcW w:w="1089" w:type="dxa"/>
            <w:vAlign w:val="top"/>
          </w:tcPr>
          <w:p>
            <w:pPr>
              <w:spacing w:line="228" w:lineRule="exact"/>
              <w:rPr>
                <w:rFonts w:ascii="Arial"/>
                <w:sz w:val="19"/>
              </w:rPr>
            </w:pPr>
            <w:r/>
          </w:p>
        </w:tc>
      </w:tr>
      <w:tr>
        <w:trPr>
          <w:trHeight w:val="471" w:hRule="atLeast"/>
        </w:trPr>
        <w:tc>
          <w:tcPr>
            <w:tcW w:w="530" w:type="dxa"/>
            <w:vAlign w:val="top"/>
            <w:vMerge w:val="continue"/>
            <w:tcBorders>
              <w:top w:val="nil"/>
              <w:bottom w:val="nil"/>
            </w:tcBorders>
          </w:tcPr>
          <w:p>
            <w:pPr>
              <w:rPr>
                <w:rFonts w:ascii="Arial"/>
                <w:sz w:val="21"/>
              </w:rPr>
            </w:pPr>
            <w:r/>
          </w:p>
        </w:tc>
        <w:tc>
          <w:tcPr>
            <w:tcW w:w="1678" w:type="dxa"/>
            <w:vAlign w:val="top"/>
          </w:tcPr>
          <w:p>
            <w:pPr>
              <w:pStyle w:val="TableText"/>
              <w:ind w:left="391"/>
              <w:spacing w:before="30" w:line="220" w:lineRule="auto"/>
              <w:rPr>
                <w:sz w:val="18"/>
                <w:szCs w:val="18"/>
              </w:rPr>
            </w:pPr>
            <w:r>
              <w:rPr>
                <w:sz w:val="18"/>
                <w:szCs w:val="18"/>
                <w:spacing w:val="-2"/>
              </w:rPr>
              <w:t>所属土壤环</w:t>
            </w:r>
          </w:p>
          <w:p>
            <w:pPr>
              <w:pStyle w:val="TableText"/>
              <w:ind w:left="32"/>
              <w:spacing w:before="17" w:line="203" w:lineRule="auto"/>
              <w:rPr>
                <w:sz w:val="18"/>
                <w:szCs w:val="18"/>
              </w:rPr>
            </w:pPr>
            <w:r>
              <w:rPr>
                <w:sz w:val="18"/>
                <w:szCs w:val="18"/>
                <w:spacing w:val="-1"/>
              </w:rPr>
              <w:t>境影响评价项目类别</w:t>
            </w:r>
          </w:p>
        </w:tc>
        <w:tc>
          <w:tcPr>
            <w:tcW w:w="5254" w:type="dxa"/>
            <w:vAlign w:val="top"/>
            <w:gridSpan w:val="4"/>
          </w:tcPr>
          <w:p>
            <w:pPr>
              <w:pStyle w:val="TableText"/>
              <w:ind w:left="1279"/>
              <w:spacing w:before="146" w:line="219" w:lineRule="auto"/>
              <w:rPr>
                <w:sz w:val="18"/>
                <w:szCs w:val="18"/>
              </w:rPr>
            </w:pPr>
            <w:r>
              <w:rPr>
                <w:rFonts w:ascii="Times New Roman" w:hAnsi="Times New Roman" w:eastAsia="Times New Roman" w:cs="Times New Roman"/>
                <w:sz w:val="18"/>
                <w:szCs w:val="18"/>
                <w:spacing w:val="-10"/>
              </w:rPr>
              <w:t>Ⅰ</w:t>
            </w:r>
            <w:r>
              <w:rPr>
                <w:sz w:val="18"/>
                <w:szCs w:val="18"/>
                <w:spacing w:val="-10"/>
              </w:rPr>
              <w:t>类□;</w:t>
            </w:r>
            <w:r>
              <w:rPr>
                <w:sz w:val="18"/>
                <w:szCs w:val="18"/>
                <w:spacing w:val="53"/>
              </w:rPr>
              <w:t xml:space="preserve"> </w:t>
            </w:r>
            <w:r>
              <w:rPr>
                <w:rFonts w:ascii="Times New Roman" w:hAnsi="Times New Roman" w:eastAsia="Times New Roman" w:cs="Times New Roman"/>
                <w:sz w:val="18"/>
                <w:szCs w:val="18"/>
                <w:spacing w:val="-10"/>
              </w:rPr>
              <w:t>Ⅱ</w:t>
            </w:r>
            <w:r>
              <w:rPr>
                <w:sz w:val="18"/>
                <w:szCs w:val="18"/>
                <w:spacing w:val="-10"/>
              </w:rPr>
              <w:t>类</w:t>
            </w:r>
            <w:r>
              <w:rPr>
                <w:rFonts w:ascii="MS Gothic" w:hAnsi="MS Gothic" w:eastAsia="MS Gothic" w:cs="MS Gothic"/>
                <w:sz w:val="18"/>
                <w:szCs w:val="18"/>
                <w:spacing w:val="-10"/>
              </w:rPr>
              <w:t>☑</w:t>
            </w:r>
            <w:r>
              <w:rPr>
                <w:sz w:val="18"/>
                <w:szCs w:val="18"/>
                <w:spacing w:val="-10"/>
              </w:rPr>
              <w:t>;</w:t>
            </w:r>
            <w:r>
              <w:rPr>
                <w:sz w:val="18"/>
                <w:szCs w:val="18"/>
                <w:spacing w:val="46"/>
              </w:rPr>
              <w:t xml:space="preserve"> </w:t>
            </w:r>
            <w:r>
              <w:rPr>
                <w:rFonts w:ascii="Times New Roman" w:hAnsi="Times New Roman" w:eastAsia="Times New Roman" w:cs="Times New Roman"/>
                <w:sz w:val="18"/>
                <w:szCs w:val="18"/>
                <w:spacing w:val="-10"/>
              </w:rPr>
              <w:t>Ⅲ</w:t>
            </w:r>
            <w:r>
              <w:rPr>
                <w:sz w:val="18"/>
                <w:szCs w:val="18"/>
                <w:spacing w:val="-10"/>
              </w:rPr>
              <w:t>类□;</w:t>
            </w:r>
            <w:r>
              <w:rPr>
                <w:sz w:val="18"/>
                <w:szCs w:val="18"/>
                <w:spacing w:val="47"/>
              </w:rPr>
              <w:t xml:space="preserve"> </w:t>
            </w:r>
            <w:r>
              <w:rPr>
                <w:rFonts w:ascii="Times New Roman" w:hAnsi="Times New Roman" w:eastAsia="Times New Roman" w:cs="Times New Roman"/>
                <w:sz w:val="18"/>
                <w:szCs w:val="18"/>
                <w:spacing w:val="-10"/>
              </w:rPr>
              <w:t>Ⅳ</w:t>
            </w:r>
            <w:r>
              <w:rPr>
                <w:sz w:val="18"/>
                <w:szCs w:val="18"/>
                <w:spacing w:val="-10"/>
              </w:rPr>
              <w:t>类□</w:t>
            </w:r>
          </w:p>
        </w:tc>
        <w:tc>
          <w:tcPr>
            <w:tcW w:w="1089" w:type="dxa"/>
            <w:vAlign w:val="top"/>
          </w:tcPr>
          <w:p>
            <w:pPr>
              <w:rPr>
                <w:rFonts w:ascii="Arial"/>
                <w:sz w:val="21"/>
              </w:rPr>
            </w:pPr>
            <w:r/>
          </w:p>
        </w:tc>
      </w:tr>
      <w:tr>
        <w:trPr>
          <w:trHeight w:val="238" w:hRule="atLeast"/>
        </w:trPr>
        <w:tc>
          <w:tcPr>
            <w:tcW w:w="530" w:type="dxa"/>
            <w:vAlign w:val="top"/>
            <w:vMerge w:val="continue"/>
            <w:tcBorders>
              <w:top w:val="nil"/>
            </w:tcBorders>
          </w:tcPr>
          <w:p>
            <w:pPr>
              <w:rPr>
                <w:rFonts w:ascii="Arial"/>
                <w:sz w:val="21"/>
              </w:rPr>
            </w:pPr>
            <w:r/>
          </w:p>
        </w:tc>
        <w:tc>
          <w:tcPr>
            <w:tcW w:w="1678" w:type="dxa"/>
            <w:vAlign w:val="top"/>
          </w:tcPr>
          <w:p>
            <w:pPr>
              <w:pStyle w:val="TableText"/>
              <w:ind w:left="481"/>
              <w:spacing w:before="32" w:line="201" w:lineRule="auto"/>
              <w:rPr>
                <w:sz w:val="18"/>
                <w:szCs w:val="18"/>
              </w:rPr>
            </w:pPr>
            <w:r>
              <w:rPr>
                <w:sz w:val="18"/>
                <w:szCs w:val="18"/>
                <w:spacing w:val="-2"/>
              </w:rPr>
              <w:t>敏感程度</w:t>
            </w:r>
          </w:p>
        </w:tc>
        <w:tc>
          <w:tcPr>
            <w:tcW w:w="5254" w:type="dxa"/>
            <w:vAlign w:val="top"/>
            <w:gridSpan w:val="4"/>
          </w:tcPr>
          <w:p>
            <w:pPr>
              <w:pStyle w:val="TableText"/>
              <w:ind w:left="1328"/>
              <w:spacing w:before="32" w:line="201" w:lineRule="auto"/>
              <w:rPr>
                <w:sz w:val="18"/>
                <w:szCs w:val="18"/>
              </w:rPr>
            </w:pPr>
            <w:r>
              <w:rPr>
                <w:sz w:val="18"/>
                <w:szCs w:val="18"/>
                <w:spacing w:val="-1"/>
              </w:rPr>
              <w:t>敏感</w:t>
            </w:r>
            <w:r>
              <w:rPr>
                <w:rFonts w:ascii="MS Gothic" w:hAnsi="MS Gothic" w:eastAsia="MS Gothic" w:cs="MS Gothic"/>
                <w:sz w:val="18"/>
                <w:szCs w:val="18"/>
                <w:spacing w:val="-1"/>
              </w:rPr>
              <w:t>☑</w:t>
            </w:r>
            <w:r>
              <w:rPr>
                <w:sz w:val="18"/>
                <w:szCs w:val="18"/>
                <w:spacing w:val="-1"/>
              </w:rPr>
              <w:t>；较敏感□；不敏感</w:t>
            </w:r>
            <w:r>
              <w:rPr>
                <w:sz w:val="18"/>
                <w:szCs w:val="18"/>
                <w:spacing w:val="28"/>
              </w:rPr>
              <w:t xml:space="preserve"> </w:t>
            </w:r>
            <w:r>
              <w:rPr>
                <w:sz w:val="18"/>
                <w:szCs w:val="18"/>
                <w:spacing w:val="-1"/>
              </w:rPr>
              <w:t>□</w:t>
            </w:r>
          </w:p>
        </w:tc>
        <w:tc>
          <w:tcPr>
            <w:tcW w:w="1089" w:type="dxa"/>
            <w:vAlign w:val="top"/>
          </w:tcPr>
          <w:p>
            <w:pPr>
              <w:spacing w:line="227" w:lineRule="exact"/>
              <w:rPr>
                <w:rFonts w:ascii="Arial"/>
                <w:sz w:val="19"/>
              </w:rPr>
            </w:pPr>
            <w:r/>
          </w:p>
        </w:tc>
      </w:tr>
      <w:tr>
        <w:trPr>
          <w:trHeight w:val="238" w:hRule="atLeast"/>
        </w:trPr>
        <w:tc>
          <w:tcPr>
            <w:tcW w:w="2208" w:type="dxa"/>
            <w:vAlign w:val="top"/>
            <w:gridSpan w:val="2"/>
          </w:tcPr>
          <w:p>
            <w:pPr>
              <w:pStyle w:val="TableText"/>
              <w:ind w:left="568"/>
              <w:spacing w:before="32" w:line="201" w:lineRule="auto"/>
              <w:rPr>
                <w:sz w:val="18"/>
                <w:szCs w:val="18"/>
              </w:rPr>
            </w:pPr>
            <w:r>
              <w:rPr>
                <w:sz w:val="18"/>
                <w:szCs w:val="18"/>
                <w:spacing w:val="-2"/>
              </w:rPr>
              <w:t>评价工作等级</w:t>
            </w:r>
          </w:p>
        </w:tc>
        <w:tc>
          <w:tcPr>
            <w:tcW w:w="5254" w:type="dxa"/>
            <w:vAlign w:val="top"/>
            <w:gridSpan w:val="4"/>
          </w:tcPr>
          <w:p>
            <w:pPr>
              <w:pStyle w:val="TableText"/>
              <w:ind w:left="1510"/>
              <w:spacing w:before="32" w:line="201" w:lineRule="auto"/>
              <w:rPr>
                <w:sz w:val="18"/>
                <w:szCs w:val="18"/>
              </w:rPr>
            </w:pPr>
            <w:r>
              <w:rPr>
                <w:sz w:val="18"/>
                <w:szCs w:val="18"/>
                <w:spacing w:val="-4"/>
              </w:rPr>
              <w:t>一级□；二级 </w:t>
            </w:r>
            <w:r>
              <w:rPr>
                <w:rFonts w:ascii="MS Gothic" w:hAnsi="MS Gothic" w:eastAsia="MS Gothic" w:cs="MS Gothic"/>
                <w:sz w:val="18"/>
                <w:szCs w:val="18"/>
                <w:spacing w:val="-4"/>
              </w:rPr>
              <w:t>☑</w:t>
            </w:r>
            <w:r>
              <w:rPr>
                <w:rFonts w:ascii="MS Gothic" w:hAnsi="MS Gothic" w:eastAsia="MS Gothic" w:cs="MS Gothic"/>
                <w:sz w:val="18"/>
                <w:szCs w:val="18"/>
                <w:spacing w:val="-55"/>
              </w:rPr>
              <w:t xml:space="preserve"> </w:t>
            </w:r>
            <w:r>
              <w:rPr>
                <w:sz w:val="18"/>
                <w:szCs w:val="18"/>
                <w:spacing w:val="-4"/>
              </w:rPr>
              <w:t>；三级□</w:t>
            </w:r>
          </w:p>
        </w:tc>
        <w:tc>
          <w:tcPr>
            <w:tcW w:w="1089" w:type="dxa"/>
            <w:vAlign w:val="top"/>
          </w:tcPr>
          <w:p>
            <w:pPr>
              <w:spacing w:line="227" w:lineRule="exact"/>
              <w:rPr>
                <w:rFonts w:ascii="Arial"/>
                <w:sz w:val="19"/>
              </w:rPr>
            </w:pPr>
            <w:r/>
          </w:p>
        </w:tc>
      </w:tr>
      <w:tr>
        <w:trPr>
          <w:trHeight w:val="239" w:hRule="atLeast"/>
        </w:trPr>
        <w:tc>
          <w:tcPr>
            <w:tcW w:w="530" w:type="dxa"/>
            <w:vAlign w:val="top"/>
            <w:vMerge w:val="restart"/>
            <w:tcBorders>
              <w:bottom w:val="nil"/>
            </w:tcBorders>
          </w:tcPr>
          <w:p>
            <w:pPr>
              <w:spacing w:line="350" w:lineRule="auto"/>
              <w:rPr>
                <w:rFonts w:ascii="Arial"/>
                <w:sz w:val="21"/>
              </w:rPr>
            </w:pPr>
            <w:r/>
          </w:p>
          <w:p>
            <w:pPr>
              <w:pStyle w:val="TableText"/>
              <w:ind w:left="90"/>
              <w:spacing w:before="58" w:line="219" w:lineRule="auto"/>
              <w:rPr>
                <w:sz w:val="18"/>
                <w:szCs w:val="18"/>
              </w:rPr>
            </w:pPr>
            <w:r>
              <w:rPr>
                <w:sz w:val="18"/>
                <w:szCs w:val="18"/>
                <w:spacing w:val="-5"/>
              </w:rPr>
              <w:t>现状</w:t>
            </w:r>
          </w:p>
          <w:p>
            <w:pPr>
              <w:pStyle w:val="TableText"/>
              <w:ind w:left="90"/>
              <w:spacing w:before="19" w:line="221" w:lineRule="auto"/>
              <w:rPr>
                <w:sz w:val="18"/>
                <w:szCs w:val="18"/>
              </w:rPr>
            </w:pPr>
            <w:r>
              <w:rPr>
                <w:sz w:val="18"/>
                <w:szCs w:val="18"/>
                <w:spacing w:val="-5"/>
              </w:rPr>
              <w:t>调查</w:t>
            </w:r>
          </w:p>
          <w:p>
            <w:pPr>
              <w:pStyle w:val="TableText"/>
              <w:ind w:left="110"/>
              <w:spacing w:before="17" w:line="219" w:lineRule="auto"/>
              <w:rPr>
                <w:sz w:val="18"/>
                <w:szCs w:val="18"/>
              </w:rPr>
            </w:pPr>
            <w:r>
              <w:rPr>
                <w:sz w:val="18"/>
                <w:szCs w:val="18"/>
                <w:spacing w:val="-15"/>
              </w:rPr>
              <w:t>内容</w:t>
            </w:r>
          </w:p>
        </w:tc>
        <w:tc>
          <w:tcPr>
            <w:tcW w:w="1678" w:type="dxa"/>
            <w:vAlign w:val="top"/>
          </w:tcPr>
          <w:p>
            <w:pPr>
              <w:pStyle w:val="TableText"/>
              <w:ind w:left="488"/>
              <w:spacing w:before="31" w:line="203" w:lineRule="auto"/>
              <w:rPr>
                <w:sz w:val="18"/>
                <w:szCs w:val="18"/>
              </w:rPr>
            </w:pPr>
            <w:r>
              <w:rPr>
                <w:sz w:val="18"/>
                <w:szCs w:val="18"/>
                <w:spacing w:val="-4"/>
              </w:rPr>
              <w:t>资料收集</w:t>
            </w:r>
          </w:p>
        </w:tc>
        <w:tc>
          <w:tcPr>
            <w:tcW w:w="5254" w:type="dxa"/>
            <w:vAlign w:val="top"/>
            <w:gridSpan w:val="4"/>
          </w:tcPr>
          <w:p>
            <w:pPr>
              <w:pStyle w:val="TableText"/>
              <w:ind w:left="1470"/>
              <w:spacing w:before="31" w:line="203" w:lineRule="auto"/>
              <w:rPr>
                <w:sz w:val="18"/>
                <w:szCs w:val="18"/>
              </w:rPr>
            </w:pPr>
            <w:r>
              <w:rPr>
                <w:rFonts w:ascii="Times New Roman" w:hAnsi="Times New Roman" w:eastAsia="Times New Roman" w:cs="Times New Roman"/>
                <w:sz w:val="18"/>
                <w:szCs w:val="18"/>
                <w:spacing w:val="-9"/>
              </w:rPr>
              <w:t>a</w:t>
            </w:r>
            <w:r>
              <w:rPr>
                <w:sz w:val="18"/>
                <w:szCs w:val="18"/>
                <w:spacing w:val="-9"/>
              </w:rPr>
              <w:t>）</w:t>
            </w:r>
            <w:r>
              <w:rPr>
                <w:rFonts w:ascii="MS Gothic" w:hAnsi="MS Gothic" w:eastAsia="MS Gothic" w:cs="MS Gothic"/>
                <w:sz w:val="18"/>
                <w:szCs w:val="18"/>
                <w:spacing w:val="-9"/>
              </w:rPr>
              <w:t>☑</w:t>
            </w:r>
            <w:r>
              <w:rPr>
                <w:rFonts w:ascii="MS Gothic" w:hAnsi="MS Gothic" w:eastAsia="MS Gothic" w:cs="MS Gothic"/>
                <w:sz w:val="18"/>
                <w:szCs w:val="18"/>
                <w:spacing w:val="-61"/>
              </w:rPr>
              <w:t xml:space="preserve"> </w:t>
            </w:r>
            <w:r>
              <w:rPr>
                <w:sz w:val="18"/>
                <w:szCs w:val="18"/>
                <w:spacing w:val="-9"/>
              </w:rPr>
              <w:t>；</w:t>
            </w:r>
            <w:r>
              <w:rPr>
                <w:rFonts w:ascii="Times New Roman" w:hAnsi="Times New Roman" w:eastAsia="Times New Roman" w:cs="Times New Roman"/>
                <w:sz w:val="18"/>
                <w:szCs w:val="18"/>
                <w:spacing w:val="-9"/>
              </w:rPr>
              <w:t>b</w:t>
            </w:r>
            <w:r>
              <w:rPr>
                <w:sz w:val="18"/>
                <w:szCs w:val="18"/>
                <w:spacing w:val="-9"/>
              </w:rPr>
              <w:t>）</w:t>
            </w:r>
            <w:r>
              <w:rPr>
                <w:sz w:val="18"/>
                <w:szCs w:val="18"/>
                <w:spacing w:val="-64"/>
              </w:rPr>
              <w:t xml:space="preserve"> </w:t>
            </w:r>
            <w:r>
              <w:rPr>
                <w:sz w:val="18"/>
                <w:szCs w:val="18"/>
                <w:spacing w:val="-9"/>
              </w:rPr>
              <w:t>□</w:t>
            </w:r>
            <w:r>
              <w:rPr>
                <w:sz w:val="18"/>
                <w:szCs w:val="18"/>
                <w:spacing w:val="-67"/>
              </w:rPr>
              <w:t xml:space="preserve"> </w:t>
            </w:r>
            <w:r>
              <w:rPr>
                <w:sz w:val="18"/>
                <w:szCs w:val="18"/>
                <w:spacing w:val="-9"/>
              </w:rPr>
              <w:t>；</w:t>
            </w:r>
            <w:r>
              <w:rPr>
                <w:rFonts w:ascii="Times New Roman" w:hAnsi="Times New Roman" w:eastAsia="Times New Roman" w:cs="Times New Roman"/>
                <w:sz w:val="18"/>
                <w:szCs w:val="18"/>
                <w:spacing w:val="-9"/>
              </w:rPr>
              <w:t>c</w:t>
            </w:r>
            <w:r>
              <w:rPr>
                <w:sz w:val="18"/>
                <w:szCs w:val="18"/>
                <w:spacing w:val="-9"/>
              </w:rPr>
              <w:t>）</w:t>
            </w:r>
            <w:r>
              <w:rPr>
                <w:sz w:val="18"/>
                <w:szCs w:val="18"/>
                <w:spacing w:val="-65"/>
              </w:rPr>
              <w:t xml:space="preserve"> </w:t>
            </w:r>
            <w:r>
              <w:rPr>
                <w:sz w:val="18"/>
                <w:szCs w:val="18"/>
                <w:spacing w:val="-9"/>
              </w:rPr>
              <w:t>□</w:t>
            </w:r>
            <w:r>
              <w:rPr>
                <w:sz w:val="18"/>
                <w:szCs w:val="18"/>
                <w:spacing w:val="-67"/>
              </w:rPr>
              <w:t xml:space="preserve"> </w:t>
            </w:r>
            <w:r>
              <w:rPr>
                <w:sz w:val="18"/>
                <w:szCs w:val="18"/>
                <w:spacing w:val="-9"/>
              </w:rPr>
              <w:t>；</w:t>
            </w:r>
            <w:r>
              <w:rPr>
                <w:rFonts w:ascii="Times New Roman" w:hAnsi="Times New Roman" w:eastAsia="Times New Roman" w:cs="Times New Roman"/>
                <w:sz w:val="18"/>
                <w:szCs w:val="18"/>
                <w:spacing w:val="-9"/>
              </w:rPr>
              <w:t>d</w:t>
            </w:r>
            <w:r>
              <w:rPr>
                <w:sz w:val="18"/>
                <w:szCs w:val="18"/>
                <w:spacing w:val="-9"/>
              </w:rPr>
              <w:t>）</w:t>
            </w:r>
            <w:r>
              <w:rPr>
                <w:sz w:val="18"/>
                <w:szCs w:val="18"/>
                <w:spacing w:val="-65"/>
              </w:rPr>
              <w:t xml:space="preserve"> </w:t>
            </w:r>
            <w:r>
              <w:rPr>
                <w:sz w:val="18"/>
                <w:szCs w:val="18"/>
                <w:spacing w:val="-9"/>
              </w:rPr>
              <w:t>□</w:t>
            </w:r>
          </w:p>
        </w:tc>
        <w:tc>
          <w:tcPr>
            <w:tcW w:w="1089" w:type="dxa"/>
            <w:vAlign w:val="top"/>
          </w:tcPr>
          <w:p>
            <w:pPr>
              <w:spacing w:line="228" w:lineRule="exact"/>
              <w:rPr>
                <w:rFonts w:ascii="Arial"/>
                <w:sz w:val="19"/>
              </w:rPr>
            </w:pPr>
            <w:r/>
          </w:p>
        </w:tc>
      </w:tr>
      <w:tr>
        <w:trPr>
          <w:trHeight w:val="238" w:hRule="atLeast"/>
        </w:trPr>
        <w:tc>
          <w:tcPr>
            <w:tcW w:w="530" w:type="dxa"/>
            <w:vAlign w:val="top"/>
            <w:vMerge w:val="continue"/>
            <w:tcBorders>
              <w:top w:val="nil"/>
              <w:bottom w:val="nil"/>
            </w:tcBorders>
          </w:tcPr>
          <w:p>
            <w:pPr>
              <w:rPr>
                <w:rFonts w:ascii="Arial"/>
                <w:sz w:val="21"/>
              </w:rPr>
            </w:pPr>
            <w:r/>
          </w:p>
        </w:tc>
        <w:tc>
          <w:tcPr>
            <w:tcW w:w="1678" w:type="dxa"/>
            <w:vAlign w:val="top"/>
          </w:tcPr>
          <w:p>
            <w:pPr>
              <w:pStyle w:val="TableText"/>
              <w:ind w:left="482"/>
              <w:spacing w:before="32" w:line="201" w:lineRule="auto"/>
              <w:rPr>
                <w:sz w:val="18"/>
                <w:szCs w:val="18"/>
              </w:rPr>
            </w:pPr>
            <w:r>
              <w:rPr>
                <w:sz w:val="18"/>
                <w:szCs w:val="18"/>
                <w:spacing w:val="-3"/>
              </w:rPr>
              <w:t>理化特性</w:t>
            </w:r>
          </w:p>
        </w:tc>
        <w:tc>
          <w:tcPr>
            <w:tcW w:w="5254" w:type="dxa"/>
            <w:vAlign w:val="top"/>
            <w:gridSpan w:val="4"/>
          </w:tcPr>
          <w:p>
            <w:pPr>
              <w:spacing w:line="227" w:lineRule="exact"/>
              <w:rPr>
                <w:rFonts w:ascii="Arial"/>
                <w:sz w:val="19"/>
              </w:rPr>
            </w:pPr>
            <w:r/>
          </w:p>
        </w:tc>
        <w:tc>
          <w:tcPr>
            <w:tcW w:w="1089" w:type="dxa"/>
            <w:vAlign w:val="top"/>
          </w:tcPr>
          <w:p>
            <w:pPr>
              <w:spacing w:line="227" w:lineRule="exact"/>
              <w:rPr>
                <w:rFonts w:ascii="Arial"/>
                <w:sz w:val="19"/>
              </w:rPr>
            </w:pPr>
            <w:r/>
          </w:p>
        </w:tc>
      </w:tr>
      <w:tr>
        <w:trPr>
          <w:trHeight w:val="239" w:hRule="atLeast"/>
        </w:trPr>
        <w:tc>
          <w:tcPr>
            <w:tcW w:w="530" w:type="dxa"/>
            <w:vAlign w:val="top"/>
            <w:vMerge w:val="continue"/>
            <w:tcBorders>
              <w:top w:val="nil"/>
              <w:bottom w:val="nil"/>
            </w:tcBorders>
          </w:tcPr>
          <w:p>
            <w:pPr>
              <w:rPr>
                <w:rFonts w:ascii="Arial"/>
                <w:sz w:val="21"/>
              </w:rPr>
            </w:pPr>
            <w:r/>
          </w:p>
        </w:tc>
        <w:tc>
          <w:tcPr>
            <w:tcW w:w="1678" w:type="dxa"/>
            <w:vAlign w:val="top"/>
            <w:vMerge w:val="restart"/>
            <w:tcBorders>
              <w:bottom w:val="nil"/>
            </w:tcBorders>
          </w:tcPr>
          <w:p>
            <w:pPr>
              <w:pStyle w:val="TableText"/>
              <w:ind w:left="302"/>
              <w:spacing w:before="276" w:line="219" w:lineRule="auto"/>
              <w:rPr>
                <w:sz w:val="18"/>
                <w:szCs w:val="18"/>
              </w:rPr>
            </w:pPr>
            <w:r>
              <w:rPr>
                <w:sz w:val="18"/>
                <w:szCs w:val="18"/>
                <w:spacing w:val="-2"/>
              </w:rPr>
              <w:t>现状监测点位</w:t>
            </w:r>
          </w:p>
        </w:tc>
        <w:tc>
          <w:tcPr>
            <w:tcW w:w="1269" w:type="dxa"/>
            <w:vAlign w:val="top"/>
          </w:tcPr>
          <w:p>
            <w:pPr>
              <w:pStyle w:val="TableText"/>
              <w:ind w:left="287"/>
              <w:spacing w:before="31" w:line="203" w:lineRule="auto"/>
              <w:rPr>
                <w:sz w:val="18"/>
                <w:szCs w:val="18"/>
              </w:rPr>
            </w:pPr>
            <w:r>
              <w:rPr>
                <w:sz w:val="18"/>
                <w:szCs w:val="18"/>
                <w:spacing w:val="-5"/>
              </w:rPr>
              <w:t>点位类型</w:t>
            </w:r>
          </w:p>
        </w:tc>
        <w:tc>
          <w:tcPr>
            <w:tcW w:w="1387" w:type="dxa"/>
            <w:vAlign w:val="top"/>
          </w:tcPr>
          <w:p>
            <w:pPr>
              <w:pStyle w:val="TableText"/>
              <w:ind w:left="277"/>
              <w:spacing w:before="31" w:line="203" w:lineRule="auto"/>
              <w:rPr>
                <w:sz w:val="18"/>
                <w:szCs w:val="18"/>
              </w:rPr>
            </w:pPr>
            <w:r>
              <w:rPr>
                <w:sz w:val="18"/>
                <w:szCs w:val="18"/>
                <w:spacing w:val="-8"/>
              </w:rPr>
              <w:t>占地范围内</w:t>
            </w:r>
          </w:p>
        </w:tc>
        <w:tc>
          <w:tcPr>
            <w:tcW w:w="1100" w:type="dxa"/>
            <w:vAlign w:val="top"/>
          </w:tcPr>
          <w:p>
            <w:pPr>
              <w:pStyle w:val="TableText"/>
              <w:ind w:left="133"/>
              <w:spacing w:before="31" w:line="203" w:lineRule="auto"/>
              <w:rPr>
                <w:sz w:val="18"/>
                <w:szCs w:val="18"/>
              </w:rPr>
            </w:pPr>
            <w:r>
              <w:rPr>
                <w:sz w:val="18"/>
                <w:szCs w:val="18"/>
                <w:spacing w:val="-8"/>
              </w:rPr>
              <w:t>占地范围外</w:t>
            </w:r>
          </w:p>
        </w:tc>
        <w:tc>
          <w:tcPr>
            <w:tcW w:w="1498" w:type="dxa"/>
            <w:vAlign w:val="top"/>
          </w:tcPr>
          <w:p>
            <w:pPr>
              <w:pStyle w:val="TableText"/>
              <w:ind w:left="573"/>
              <w:spacing w:before="31" w:line="203" w:lineRule="auto"/>
              <w:rPr>
                <w:sz w:val="18"/>
                <w:szCs w:val="18"/>
              </w:rPr>
            </w:pPr>
            <w:r>
              <w:rPr>
                <w:sz w:val="18"/>
                <w:szCs w:val="18"/>
                <w:spacing w:val="-4"/>
              </w:rPr>
              <w:t>深度</w:t>
            </w:r>
          </w:p>
        </w:tc>
        <w:tc>
          <w:tcPr>
            <w:tcW w:w="1089" w:type="dxa"/>
            <w:vAlign w:val="top"/>
            <w:vMerge w:val="restart"/>
            <w:tcBorders>
              <w:bottom w:val="nil"/>
            </w:tcBorders>
          </w:tcPr>
          <w:p>
            <w:pPr>
              <w:pStyle w:val="TableText"/>
              <w:ind w:left="124" w:right="92" w:hanging="17"/>
              <w:spacing w:before="157" w:line="241" w:lineRule="auto"/>
              <w:rPr>
                <w:sz w:val="18"/>
                <w:szCs w:val="18"/>
              </w:rPr>
            </w:pPr>
            <w:r>
              <w:rPr>
                <w:sz w:val="18"/>
                <w:szCs w:val="18"/>
                <w:spacing w:val="-4"/>
              </w:rPr>
              <w:t>点位布置图</w:t>
            </w:r>
            <w:r>
              <w:rPr>
                <w:sz w:val="18"/>
                <w:szCs w:val="18"/>
                <w:spacing w:val="2"/>
              </w:rPr>
              <w:t xml:space="preserve"> </w:t>
            </w:r>
            <w:r>
              <w:rPr>
                <w:sz w:val="18"/>
                <w:szCs w:val="18"/>
                <w:spacing w:val="-5"/>
              </w:rPr>
              <w:t>见</w:t>
            </w:r>
            <w:r>
              <w:rPr>
                <w:sz w:val="18"/>
                <w:szCs w:val="18"/>
                <w:spacing w:val="-40"/>
              </w:rPr>
              <w:t xml:space="preserve"> </w:t>
            </w:r>
            <w:r>
              <w:rPr>
                <w:rFonts w:ascii="Times New Roman" w:hAnsi="Times New Roman" w:eastAsia="Times New Roman" w:cs="Times New Roman"/>
                <w:sz w:val="18"/>
                <w:szCs w:val="18"/>
                <w:spacing w:val="-5"/>
              </w:rPr>
              <w:t>4.2</w:t>
            </w:r>
            <w:r>
              <w:rPr>
                <w:rFonts w:ascii="Times New Roman" w:hAnsi="Times New Roman" w:eastAsia="Times New Roman" w:cs="Times New Roman"/>
                <w:sz w:val="18"/>
                <w:szCs w:val="18"/>
                <w:spacing w:val="13"/>
                <w:w w:val="101"/>
              </w:rPr>
              <w:t xml:space="preserve"> </w:t>
            </w:r>
            <w:r>
              <w:rPr>
                <w:sz w:val="18"/>
                <w:szCs w:val="18"/>
                <w:spacing w:val="-5"/>
              </w:rPr>
              <w:t>章节</w:t>
            </w:r>
          </w:p>
        </w:tc>
      </w:tr>
      <w:tr>
        <w:trPr>
          <w:trHeight w:val="238" w:hRule="atLeast"/>
        </w:trPr>
        <w:tc>
          <w:tcPr>
            <w:tcW w:w="530" w:type="dxa"/>
            <w:vAlign w:val="top"/>
            <w:vMerge w:val="continue"/>
            <w:tcBorders>
              <w:top w:val="nil"/>
              <w:bottom w:val="nil"/>
            </w:tcBorders>
          </w:tcPr>
          <w:p>
            <w:pPr>
              <w:rPr>
                <w:rFonts w:ascii="Arial"/>
                <w:sz w:val="21"/>
              </w:rPr>
            </w:pPr>
            <w:r/>
          </w:p>
        </w:tc>
        <w:tc>
          <w:tcPr>
            <w:tcW w:w="1678" w:type="dxa"/>
            <w:vAlign w:val="top"/>
            <w:vMerge w:val="continue"/>
            <w:tcBorders>
              <w:top w:val="nil"/>
              <w:bottom w:val="nil"/>
            </w:tcBorders>
          </w:tcPr>
          <w:p>
            <w:pPr>
              <w:rPr>
                <w:rFonts w:ascii="Arial"/>
                <w:sz w:val="21"/>
              </w:rPr>
            </w:pPr>
            <w:r/>
          </w:p>
        </w:tc>
        <w:tc>
          <w:tcPr>
            <w:tcW w:w="1269" w:type="dxa"/>
            <w:vAlign w:val="top"/>
          </w:tcPr>
          <w:p>
            <w:pPr>
              <w:pStyle w:val="TableText"/>
              <w:ind w:left="186"/>
              <w:spacing w:before="32" w:line="201" w:lineRule="auto"/>
              <w:rPr>
                <w:sz w:val="18"/>
                <w:szCs w:val="18"/>
              </w:rPr>
            </w:pPr>
            <w:r>
              <w:rPr>
                <w:sz w:val="18"/>
                <w:szCs w:val="18"/>
                <w:spacing w:val="-2"/>
              </w:rPr>
              <w:t>表层样点数</w:t>
            </w:r>
          </w:p>
        </w:tc>
        <w:tc>
          <w:tcPr>
            <w:tcW w:w="1387" w:type="dxa"/>
            <w:vAlign w:val="top"/>
          </w:tcPr>
          <w:p>
            <w:pPr>
              <w:ind w:left="650"/>
              <w:spacing w:before="6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2</w:t>
            </w:r>
          </w:p>
        </w:tc>
        <w:tc>
          <w:tcPr>
            <w:tcW w:w="1100" w:type="dxa"/>
            <w:vAlign w:val="top"/>
          </w:tcPr>
          <w:p>
            <w:pPr>
              <w:ind w:left="510"/>
              <w:spacing w:before="6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3</w:t>
            </w:r>
          </w:p>
        </w:tc>
        <w:tc>
          <w:tcPr>
            <w:tcW w:w="1498" w:type="dxa"/>
            <w:vAlign w:val="top"/>
          </w:tcPr>
          <w:p>
            <w:pPr>
              <w:pStyle w:val="TableText"/>
              <w:ind w:left="436"/>
              <w:spacing w:before="32" w:line="201"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w:t>
            </w:r>
            <w:r>
              <w:rPr>
                <w:sz w:val="18"/>
                <w:szCs w:val="18"/>
                <w:spacing w:val="-1"/>
              </w:rPr>
              <w:t>～</w:t>
            </w:r>
            <w:r>
              <w:rPr>
                <w:rFonts w:ascii="Times New Roman" w:hAnsi="Times New Roman" w:eastAsia="Times New Roman" w:cs="Times New Roman"/>
                <w:sz w:val="18"/>
                <w:szCs w:val="18"/>
                <w:spacing w:val="-1"/>
              </w:rPr>
              <w:t>0.2m</w:t>
            </w:r>
          </w:p>
        </w:tc>
        <w:tc>
          <w:tcPr>
            <w:tcW w:w="1089" w:type="dxa"/>
            <w:vAlign w:val="top"/>
            <w:vMerge w:val="continue"/>
            <w:tcBorders>
              <w:top w:val="nil"/>
              <w:bottom w:val="nil"/>
            </w:tcBorders>
          </w:tcPr>
          <w:p>
            <w:pPr>
              <w:rPr>
                <w:rFonts w:ascii="Arial"/>
                <w:sz w:val="21"/>
              </w:rPr>
            </w:pPr>
            <w:r/>
          </w:p>
        </w:tc>
      </w:tr>
      <w:tr>
        <w:trPr>
          <w:trHeight w:val="239" w:hRule="atLeast"/>
        </w:trPr>
        <w:tc>
          <w:tcPr>
            <w:tcW w:w="530" w:type="dxa"/>
            <w:vAlign w:val="top"/>
            <w:vMerge w:val="continue"/>
            <w:tcBorders>
              <w:top w:val="nil"/>
              <w:bottom w:val="nil"/>
            </w:tcBorders>
          </w:tcPr>
          <w:p>
            <w:pPr>
              <w:rPr>
                <w:rFonts w:ascii="Arial"/>
                <w:sz w:val="21"/>
              </w:rPr>
            </w:pPr>
            <w:r/>
          </w:p>
        </w:tc>
        <w:tc>
          <w:tcPr>
            <w:tcW w:w="1678" w:type="dxa"/>
            <w:vAlign w:val="top"/>
            <w:vMerge w:val="continue"/>
            <w:tcBorders>
              <w:top w:val="nil"/>
            </w:tcBorders>
          </w:tcPr>
          <w:p>
            <w:pPr>
              <w:rPr>
                <w:rFonts w:ascii="Arial"/>
                <w:sz w:val="21"/>
              </w:rPr>
            </w:pPr>
            <w:r/>
          </w:p>
        </w:tc>
        <w:tc>
          <w:tcPr>
            <w:tcW w:w="1269" w:type="dxa"/>
            <w:vAlign w:val="top"/>
          </w:tcPr>
          <w:p>
            <w:pPr>
              <w:pStyle w:val="TableText"/>
              <w:ind w:left="187"/>
              <w:spacing w:before="31" w:line="203" w:lineRule="auto"/>
              <w:rPr>
                <w:sz w:val="18"/>
                <w:szCs w:val="18"/>
              </w:rPr>
            </w:pPr>
            <w:r>
              <w:rPr>
                <w:sz w:val="18"/>
                <w:szCs w:val="18"/>
                <w:spacing w:val="-2"/>
              </w:rPr>
              <w:t>柱状样点数</w:t>
            </w:r>
          </w:p>
        </w:tc>
        <w:tc>
          <w:tcPr>
            <w:tcW w:w="1387" w:type="dxa"/>
            <w:vAlign w:val="top"/>
          </w:tcPr>
          <w:p>
            <w:pPr>
              <w:ind w:left="654"/>
              <w:spacing w:before="6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6</w:t>
            </w:r>
          </w:p>
        </w:tc>
        <w:tc>
          <w:tcPr>
            <w:tcW w:w="1100" w:type="dxa"/>
            <w:vAlign w:val="top"/>
          </w:tcPr>
          <w:p>
            <w:pPr>
              <w:ind w:left="509"/>
              <w:spacing w:before="6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498" w:type="dxa"/>
            <w:vAlign w:val="top"/>
          </w:tcPr>
          <w:p>
            <w:pPr>
              <w:pStyle w:val="TableText"/>
              <w:ind w:left="503"/>
              <w:spacing w:before="31" w:line="20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w:t>
            </w:r>
            <w:r>
              <w:rPr>
                <w:sz w:val="18"/>
                <w:szCs w:val="18"/>
                <w:spacing w:val="-2"/>
              </w:rPr>
              <w:t>～</w:t>
            </w:r>
            <w:r>
              <w:rPr>
                <w:rFonts w:ascii="Times New Roman" w:hAnsi="Times New Roman" w:eastAsia="Times New Roman" w:cs="Times New Roman"/>
                <w:sz w:val="18"/>
                <w:szCs w:val="18"/>
                <w:spacing w:val="-2"/>
              </w:rPr>
              <w:t>3m</w:t>
            </w:r>
          </w:p>
        </w:tc>
        <w:tc>
          <w:tcPr>
            <w:tcW w:w="1089" w:type="dxa"/>
            <w:vAlign w:val="top"/>
            <w:vMerge w:val="continue"/>
            <w:tcBorders>
              <w:top w:val="nil"/>
            </w:tcBorders>
          </w:tcPr>
          <w:p>
            <w:pPr>
              <w:rPr>
                <w:rFonts w:ascii="Arial"/>
                <w:sz w:val="21"/>
              </w:rPr>
            </w:pPr>
            <w:r/>
          </w:p>
        </w:tc>
      </w:tr>
      <w:tr>
        <w:trPr>
          <w:trHeight w:val="248" w:hRule="atLeast"/>
        </w:trPr>
        <w:tc>
          <w:tcPr>
            <w:tcW w:w="530" w:type="dxa"/>
            <w:vAlign w:val="top"/>
            <w:vMerge w:val="continue"/>
            <w:tcBorders>
              <w:top w:val="nil"/>
            </w:tcBorders>
          </w:tcPr>
          <w:p>
            <w:pPr>
              <w:rPr>
                <w:rFonts w:ascii="Arial"/>
                <w:sz w:val="21"/>
              </w:rPr>
            </w:pPr>
            <w:r/>
          </w:p>
        </w:tc>
        <w:tc>
          <w:tcPr>
            <w:tcW w:w="1678" w:type="dxa"/>
            <w:vAlign w:val="top"/>
          </w:tcPr>
          <w:p>
            <w:pPr>
              <w:pStyle w:val="TableText"/>
              <w:ind w:left="302"/>
              <w:spacing w:before="35" w:line="208" w:lineRule="auto"/>
              <w:rPr>
                <w:sz w:val="18"/>
                <w:szCs w:val="18"/>
              </w:rPr>
            </w:pPr>
            <w:r>
              <w:rPr>
                <w:sz w:val="18"/>
                <w:szCs w:val="18"/>
                <w:spacing w:val="-2"/>
              </w:rPr>
              <w:t>现状监测因子</w:t>
            </w:r>
          </w:p>
        </w:tc>
        <w:tc>
          <w:tcPr>
            <w:tcW w:w="5254" w:type="dxa"/>
            <w:vAlign w:val="top"/>
            <w:gridSpan w:val="4"/>
          </w:tcPr>
          <w:p>
            <w:pPr>
              <w:pStyle w:val="TableText"/>
              <w:ind w:left="6"/>
              <w:spacing w:before="35" w:line="208" w:lineRule="auto"/>
              <w:rPr>
                <w:sz w:val="18"/>
                <w:szCs w:val="18"/>
              </w:rPr>
            </w:pPr>
            <w:r>
              <w:rPr>
                <w:rFonts w:ascii="Times New Roman" w:hAnsi="Times New Roman" w:eastAsia="Times New Roman" w:cs="Times New Roman"/>
                <w:sz w:val="18"/>
                <w:szCs w:val="18"/>
                <w:spacing w:val="-1"/>
              </w:rPr>
              <w:t>GB36600-2018</w:t>
            </w:r>
            <w:r>
              <w:rPr>
                <w:rFonts w:ascii="Times New Roman" w:hAnsi="Times New Roman" w:eastAsia="Times New Roman" w:cs="Times New Roman"/>
                <w:sz w:val="18"/>
                <w:szCs w:val="18"/>
                <w:spacing w:val="35"/>
                <w:w w:val="101"/>
              </w:rPr>
              <w:t xml:space="preserve"> </w:t>
            </w:r>
            <w:r>
              <w:rPr>
                <w:sz w:val="18"/>
                <w:szCs w:val="18"/>
                <w:spacing w:val="-1"/>
              </w:rPr>
              <w:t>中表</w:t>
            </w:r>
            <w:r>
              <w:rPr>
                <w:sz w:val="18"/>
                <w:szCs w:val="18"/>
                <w:spacing w:val="-23"/>
              </w:rPr>
              <w:t xml:space="preserve"> </w:t>
            </w:r>
            <w:r>
              <w:rPr>
                <w:rFonts w:ascii="Times New Roman" w:hAnsi="Times New Roman" w:eastAsia="Times New Roman" w:cs="Times New Roman"/>
                <w:sz w:val="18"/>
                <w:szCs w:val="18"/>
                <w:spacing w:val="-1"/>
              </w:rPr>
              <w:t>1 </w:t>
            </w:r>
            <w:r>
              <w:rPr>
                <w:sz w:val="18"/>
                <w:szCs w:val="18"/>
                <w:spacing w:val="-1"/>
              </w:rPr>
              <w:t>全</w:t>
            </w:r>
            <w:r>
              <w:rPr>
                <w:sz w:val="18"/>
                <w:szCs w:val="18"/>
                <w:spacing w:val="-42"/>
              </w:rPr>
              <w:t xml:space="preserve"> </w:t>
            </w:r>
            <w:r>
              <w:rPr>
                <w:rFonts w:ascii="Times New Roman" w:hAnsi="Times New Roman" w:eastAsia="Times New Roman" w:cs="Times New Roman"/>
                <w:sz w:val="18"/>
                <w:szCs w:val="18"/>
                <w:spacing w:val="-1"/>
              </w:rPr>
              <w:t>45 </w:t>
            </w:r>
            <w:r>
              <w:rPr>
                <w:sz w:val="18"/>
                <w:szCs w:val="18"/>
                <w:spacing w:val="-1"/>
              </w:rPr>
              <w:t>项（包含重金属和无机物、半挥发性有</w:t>
            </w:r>
          </w:p>
        </w:tc>
        <w:tc>
          <w:tcPr>
            <w:tcW w:w="1089" w:type="dxa"/>
            <w:vAlign w:val="top"/>
          </w:tcPr>
          <w:p>
            <w:pPr>
              <w:spacing w:line="238" w:lineRule="exact"/>
              <w:rPr>
                <w:rFonts w:ascii="Arial"/>
                <w:sz w:val="20"/>
              </w:rPr>
            </w:pPr>
            <w:r/>
          </w:p>
        </w:tc>
      </w:tr>
    </w:tbl>
    <w:p>
      <w:pPr>
        <w:pStyle w:val="BodyText"/>
        <w:spacing w:line="152" w:lineRule="exact"/>
        <w:rPr>
          <w:sz w:val="13"/>
        </w:rPr>
      </w:pPr>
      <w:r/>
    </w:p>
    <w:p>
      <w:pPr>
        <w:spacing w:line="152" w:lineRule="exact"/>
        <w:sectPr>
          <w:headerReference w:type="default" r:id="rId318"/>
          <w:footerReference w:type="default" r:id="rId319"/>
          <w:pgSz w:w="11907" w:h="16840"/>
          <w:pgMar w:top="1567" w:right="1654" w:bottom="1921" w:left="1696" w:header="1221" w:footer="1247" w:gutter="0"/>
        </w:sectPr>
        <w:rPr>
          <w:sz w:val="13"/>
          <w:szCs w:val="13"/>
        </w:rPr>
      </w:pPr>
    </w:p>
    <w:p>
      <w:pPr>
        <w:spacing w:line="151" w:lineRule="exact"/>
        <w:rPr/>
      </w:pPr>
      <w:r>
        <w:pict>
          <v:shape id="_x0000_s1056" style="position:absolute;margin-left:85.05pt;margin-top:79.11pt;mso-position-vertical-relative:page;mso-position-horizontal-relative:page;width:425.25pt;height:0.75pt;z-index:252178432;" o:allowincell="f" fillcolor="#000000" filled="true" stroked="false" coordsize="8505,15" coordorigin="0,0" path="m,l8505,0l8505,14l0,14l0,0xe"/>
        </w:pict>
      </w:r>
      <w:r/>
    </w:p>
    <w:tbl>
      <w:tblPr>
        <w:tblStyle w:val="TableNormal"/>
        <w:tblW w:w="855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29"/>
        <w:gridCol w:w="1678"/>
        <w:gridCol w:w="2656"/>
        <w:gridCol w:w="1821"/>
        <w:gridCol w:w="778"/>
        <w:gridCol w:w="1089"/>
      </w:tblGrid>
      <w:tr>
        <w:trPr>
          <w:trHeight w:val="943" w:hRule="atLeast"/>
        </w:trPr>
        <w:tc>
          <w:tcPr>
            <w:tcW w:w="529" w:type="dxa"/>
            <w:vAlign w:val="top"/>
          </w:tcPr>
          <w:p>
            <w:pPr>
              <w:rPr>
                <w:rFonts w:ascii="Arial"/>
                <w:sz w:val="21"/>
              </w:rPr>
            </w:pPr>
            <w:r/>
          </w:p>
        </w:tc>
        <w:tc>
          <w:tcPr>
            <w:tcW w:w="1678" w:type="dxa"/>
            <w:vAlign w:val="top"/>
          </w:tcPr>
          <w:p>
            <w:pPr>
              <w:rPr>
                <w:rFonts w:ascii="Arial"/>
                <w:sz w:val="21"/>
              </w:rPr>
            </w:pPr>
            <w:r/>
          </w:p>
        </w:tc>
        <w:tc>
          <w:tcPr>
            <w:tcW w:w="5255" w:type="dxa"/>
            <w:vAlign w:val="top"/>
            <w:gridSpan w:val="3"/>
          </w:tcPr>
          <w:p>
            <w:pPr>
              <w:pStyle w:val="TableText"/>
              <w:ind w:left="7"/>
              <w:spacing w:before="32" w:line="231" w:lineRule="auto"/>
              <w:jc w:val="both"/>
              <w:rPr>
                <w:sz w:val="18"/>
                <w:szCs w:val="18"/>
              </w:rPr>
            </w:pPr>
            <w:r>
              <w:rPr>
                <w:sz w:val="18"/>
                <w:szCs w:val="18"/>
                <w:spacing w:val="-2"/>
              </w:rPr>
              <w:t>机物、挥发性有机物）、表</w:t>
            </w:r>
            <w:r>
              <w:rPr>
                <w:sz w:val="18"/>
                <w:szCs w:val="18"/>
                <w:spacing w:val="-40"/>
              </w:rPr>
              <w:t xml:space="preserve"> </w:t>
            </w:r>
            <w:r>
              <w:rPr>
                <w:rFonts w:ascii="Times New Roman" w:hAnsi="Times New Roman" w:eastAsia="Times New Roman" w:cs="Times New Roman"/>
                <w:sz w:val="18"/>
                <w:szCs w:val="18"/>
                <w:spacing w:val="-2"/>
              </w:rPr>
              <w:t>2 </w:t>
            </w:r>
            <w:r>
              <w:rPr>
                <w:sz w:val="18"/>
                <w:szCs w:val="18"/>
                <w:spacing w:val="-2"/>
              </w:rPr>
              <w:t>石油烃（</w:t>
            </w:r>
            <w:r>
              <w:rPr>
                <w:rFonts w:ascii="Times New Roman" w:hAnsi="Times New Roman" w:eastAsia="Times New Roman" w:cs="Times New Roman"/>
                <w:sz w:val="18"/>
                <w:szCs w:val="18"/>
                <w:spacing w:val="-2"/>
              </w:rPr>
              <w:t>C</w:t>
            </w:r>
            <w:r>
              <w:rPr>
                <w:rFonts w:ascii="Times New Roman" w:hAnsi="Times New Roman" w:eastAsia="Times New Roman" w:cs="Times New Roman"/>
                <w:sz w:val="11"/>
                <w:szCs w:val="11"/>
                <w:spacing w:val="-2"/>
                <w:position w:val="-1"/>
              </w:rPr>
              <w:t>1</w:t>
            </w:r>
            <w:r>
              <w:rPr>
                <w:rFonts w:ascii="Times New Roman" w:hAnsi="Times New Roman" w:eastAsia="Times New Roman" w:cs="Times New Roman"/>
                <w:sz w:val="11"/>
                <w:szCs w:val="11"/>
                <w:spacing w:val="-3"/>
                <w:position w:val="-1"/>
              </w:rPr>
              <w:t>0</w:t>
            </w:r>
            <w:r>
              <w:rPr>
                <w:rFonts w:ascii="Times New Roman" w:hAnsi="Times New Roman" w:eastAsia="Times New Roman" w:cs="Times New Roman"/>
                <w:sz w:val="18"/>
                <w:szCs w:val="18"/>
                <w:spacing w:val="-3"/>
              </w:rPr>
              <w:t>-C</w:t>
            </w:r>
            <w:r>
              <w:rPr>
                <w:rFonts w:ascii="Times New Roman" w:hAnsi="Times New Roman" w:eastAsia="Times New Roman" w:cs="Times New Roman"/>
                <w:sz w:val="11"/>
                <w:szCs w:val="11"/>
                <w:spacing w:val="-3"/>
                <w:position w:val="-1"/>
              </w:rPr>
              <w:t>40 </w:t>
            </w:r>
            <w:r>
              <w:rPr>
                <w:sz w:val="18"/>
                <w:szCs w:val="18"/>
                <w:spacing w:val="-7"/>
              </w:rPr>
              <w:t>），</w:t>
            </w:r>
            <w:r>
              <w:rPr>
                <w:sz w:val="18"/>
                <w:szCs w:val="18"/>
                <w:spacing w:val="-3"/>
              </w:rPr>
              <w:t>以及</w:t>
            </w:r>
            <w:r>
              <w:rPr>
                <w:sz w:val="18"/>
                <w:szCs w:val="18"/>
                <w:spacing w:val="-45"/>
              </w:rPr>
              <w:t xml:space="preserve"> </w:t>
            </w:r>
            <w:r>
              <w:rPr>
                <w:rFonts w:ascii="Times New Roman" w:hAnsi="Times New Roman" w:eastAsia="Times New Roman" w:cs="Times New Roman"/>
                <w:sz w:val="18"/>
                <w:szCs w:val="18"/>
                <w:spacing w:val="-3"/>
              </w:rPr>
              <w:t>pH</w:t>
            </w:r>
            <w:r>
              <w:rPr>
                <w:rFonts w:ascii="Times New Roman" w:hAnsi="Times New Roman" w:eastAsia="Times New Roman" w:cs="Times New Roman"/>
                <w:sz w:val="18"/>
                <w:szCs w:val="18"/>
                <w:spacing w:val="-26"/>
              </w:rPr>
              <w:t xml:space="preserve"> </w:t>
            </w:r>
            <w:r>
              <w:rPr>
                <w:sz w:val="18"/>
                <w:szCs w:val="18"/>
                <w:spacing w:val="-3"/>
              </w:rPr>
              <w:t>、阳离子</w:t>
            </w:r>
            <w:r>
              <w:rPr>
                <w:sz w:val="18"/>
                <w:szCs w:val="18"/>
              </w:rPr>
              <w:t xml:space="preserve"> </w:t>
            </w:r>
            <w:r>
              <w:rPr>
                <w:sz w:val="18"/>
                <w:szCs w:val="18"/>
                <w:spacing w:val="-10"/>
              </w:rPr>
              <w:t>交换量、氧化还原电位、渗透率、土壤容重、总孔隙度，</w:t>
            </w:r>
            <w:r>
              <w:rPr>
                <w:rFonts w:ascii="Times New Roman" w:hAnsi="Times New Roman" w:eastAsia="Times New Roman" w:cs="Times New Roman"/>
                <w:sz w:val="18"/>
                <w:szCs w:val="18"/>
                <w:spacing w:val="-10"/>
              </w:rPr>
              <w:t>GB</w:t>
            </w:r>
            <w:r>
              <w:rPr>
                <w:rFonts w:ascii="Times New Roman" w:hAnsi="Times New Roman" w:eastAsia="Times New Roman" w:cs="Times New Roman"/>
                <w:sz w:val="18"/>
                <w:szCs w:val="18"/>
                <w:spacing w:val="-11"/>
              </w:rPr>
              <w:t>15618-2018</w:t>
            </w:r>
            <w:r>
              <w:rPr>
                <w:rFonts w:ascii="Times New Roman" w:hAnsi="Times New Roman" w:eastAsia="Times New Roman" w:cs="Times New Roman"/>
                <w:sz w:val="18"/>
                <w:szCs w:val="18"/>
              </w:rPr>
              <w:t xml:space="preserve"> </w:t>
            </w:r>
            <w:r>
              <w:rPr>
                <w:sz w:val="18"/>
                <w:szCs w:val="18"/>
                <w:spacing w:val="-2"/>
              </w:rPr>
              <w:t>表</w:t>
            </w:r>
            <w:r>
              <w:rPr>
                <w:sz w:val="18"/>
                <w:szCs w:val="18"/>
                <w:spacing w:val="-24"/>
              </w:rPr>
              <w:t xml:space="preserve"> </w:t>
            </w:r>
            <w:r>
              <w:rPr>
                <w:rFonts w:ascii="Times New Roman" w:hAnsi="Times New Roman" w:eastAsia="Times New Roman" w:cs="Times New Roman"/>
                <w:sz w:val="18"/>
                <w:szCs w:val="18"/>
                <w:spacing w:val="-2"/>
              </w:rPr>
              <w:t>1</w:t>
            </w:r>
            <w:r>
              <w:rPr>
                <w:rFonts w:ascii="Times New Roman" w:hAnsi="Times New Roman" w:eastAsia="Times New Roman" w:cs="Times New Roman"/>
                <w:sz w:val="18"/>
                <w:szCs w:val="18"/>
                <w:spacing w:val="24"/>
              </w:rPr>
              <w:t xml:space="preserve"> </w:t>
            </w:r>
            <w:r>
              <w:rPr>
                <w:sz w:val="18"/>
                <w:szCs w:val="18"/>
                <w:spacing w:val="-2"/>
              </w:rPr>
              <w:t>中</w:t>
            </w:r>
            <w:r>
              <w:rPr>
                <w:sz w:val="18"/>
                <w:szCs w:val="18"/>
                <w:spacing w:val="-34"/>
              </w:rPr>
              <w:t xml:space="preserve"> </w:t>
            </w:r>
            <w:r>
              <w:rPr>
                <w:rFonts w:ascii="Times New Roman" w:hAnsi="Times New Roman" w:eastAsia="Times New Roman" w:cs="Times New Roman"/>
                <w:sz w:val="18"/>
                <w:szCs w:val="18"/>
                <w:spacing w:val="-2"/>
              </w:rPr>
              <w:t>8 </w:t>
            </w:r>
            <w:r>
              <w:rPr>
                <w:sz w:val="18"/>
                <w:szCs w:val="18"/>
                <w:spacing w:val="-2"/>
              </w:rPr>
              <w:t>项，以及石油烃（</w:t>
            </w:r>
            <w:r>
              <w:rPr>
                <w:rFonts w:ascii="Times New Roman" w:hAnsi="Times New Roman" w:eastAsia="Times New Roman" w:cs="Times New Roman"/>
                <w:sz w:val="18"/>
                <w:szCs w:val="18"/>
                <w:spacing w:val="-2"/>
              </w:rPr>
              <w:t>C</w:t>
            </w:r>
            <w:r>
              <w:rPr>
                <w:rFonts w:ascii="Times New Roman" w:hAnsi="Times New Roman" w:eastAsia="Times New Roman" w:cs="Times New Roman"/>
                <w:sz w:val="11"/>
                <w:szCs w:val="11"/>
                <w:spacing w:val="-2"/>
              </w:rPr>
              <w:t>10</w:t>
            </w:r>
            <w:r>
              <w:rPr>
                <w:rFonts w:ascii="Times New Roman" w:hAnsi="Times New Roman" w:eastAsia="Times New Roman" w:cs="Times New Roman"/>
                <w:sz w:val="18"/>
                <w:szCs w:val="18"/>
                <w:spacing w:val="-2"/>
              </w:rPr>
              <w:t>-C</w:t>
            </w:r>
            <w:r>
              <w:rPr>
                <w:rFonts w:ascii="Times New Roman" w:hAnsi="Times New Roman" w:eastAsia="Times New Roman" w:cs="Times New Roman"/>
                <w:sz w:val="11"/>
                <w:szCs w:val="11"/>
                <w:spacing w:val="-2"/>
                <w:position w:val="-1"/>
              </w:rPr>
              <w:t>40 </w:t>
            </w:r>
            <w:r>
              <w:rPr>
                <w:sz w:val="18"/>
                <w:szCs w:val="18"/>
                <w:spacing w:val="-2"/>
              </w:rPr>
              <w:t>）、</w:t>
            </w:r>
            <w:r>
              <w:rPr>
                <w:rFonts w:ascii="Times New Roman" w:hAnsi="Times New Roman" w:eastAsia="Times New Roman" w:cs="Times New Roman"/>
                <w:sz w:val="18"/>
                <w:szCs w:val="18"/>
                <w:spacing w:val="-2"/>
              </w:rPr>
              <w:t>pH</w:t>
            </w:r>
            <w:r>
              <w:rPr>
                <w:sz w:val="18"/>
                <w:szCs w:val="18"/>
                <w:spacing w:val="-3"/>
              </w:rPr>
              <w:t>、阳离子交换量、氧化还</w:t>
            </w:r>
            <w:r>
              <w:rPr>
                <w:sz w:val="18"/>
                <w:szCs w:val="18"/>
              </w:rPr>
              <w:t xml:space="preserve"> </w:t>
            </w:r>
            <w:r>
              <w:rPr>
                <w:sz w:val="18"/>
                <w:szCs w:val="18"/>
                <w:spacing w:val="-1"/>
              </w:rPr>
              <w:t>原电位、饱和导水率、土壤容重、孔隙度。</w:t>
            </w:r>
          </w:p>
        </w:tc>
        <w:tc>
          <w:tcPr>
            <w:tcW w:w="1089" w:type="dxa"/>
            <w:vAlign w:val="top"/>
          </w:tcPr>
          <w:p>
            <w:pPr>
              <w:rPr>
                <w:rFonts w:ascii="Arial"/>
                <w:sz w:val="21"/>
              </w:rPr>
            </w:pPr>
            <w:r/>
          </w:p>
        </w:tc>
      </w:tr>
      <w:tr>
        <w:trPr>
          <w:trHeight w:val="1171" w:hRule="atLeast"/>
        </w:trPr>
        <w:tc>
          <w:tcPr>
            <w:tcW w:w="529" w:type="dxa"/>
            <w:vAlign w:val="top"/>
            <w:vMerge w:val="restart"/>
            <w:tcBorders>
              <w:bottom w:val="nil"/>
            </w:tcBorders>
          </w:tcPr>
          <w:p>
            <w:pPr>
              <w:spacing w:line="302" w:lineRule="auto"/>
              <w:rPr>
                <w:rFonts w:ascii="Arial"/>
                <w:sz w:val="21"/>
              </w:rPr>
            </w:pPr>
            <w:r/>
          </w:p>
          <w:p>
            <w:pPr>
              <w:spacing w:line="302" w:lineRule="auto"/>
              <w:rPr>
                <w:rFonts w:ascii="Arial"/>
                <w:sz w:val="21"/>
              </w:rPr>
            </w:pPr>
            <w:r/>
          </w:p>
          <w:p>
            <w:pPr>
              <w:spacing w:line="303" w:lineRule="auto"/>
              <w:rPr>
                <w:rFonts w:ascii="Arial"/>
                <w:sz w:val="21"/>
              </w:rPr>
            </w:pPr>
            <w:r/>
          </w:p>
          <w:p>
            <w:pPr>
              <w:pStyle w:val="TableText"/>
              <w:ind w:left="90"/>
              <w:spacing w:before="58" w:line="219" w:lineRule="auto"/>
              <w:rPr>
                <w:sz w:val="18"/>
                <w:szCs w:val="18"/>
              </w:rPr>
            </w:pPr>
            <w:r>
              <w:rPr>
                <w:sz w:val="18"/>
                <w:szCs w:val="18"/>
                <w:spacing w:val="-5"/>
              </w:rPr>
              <w:t>现状</w:t>
            </w:r>
          </w:p>
          <w:p>
            <w:pPr>
              <w:pStyle w:val="TableText"/>
              <w:ind w:left="88"/>
              <w:spacing w:before="18" w:line="218" w:lineRule="auto"/>
              <w:rPr>
                <w:sz w:val="18"/>
                <w:szCs w:val="18"/>
              </w:rPr>
            </w:pPr>
            <w:r>
              <w:rPr>
                <w:sz w:val="18"/>
                <w:szCs w:val="18"/>
                <w:spacing w:val="-4"/>
              </w:rPr>
              <w:t>评价</w:t>
            </w:r>
          </w:p>
        </w:tc>
        <w:tc>
          <w:tcPr>
            <w:tcW w:w="1678" w:type="dxa"/>
            <w:vAlign w:val="top"/>
          </w:tcPr>
          <w:p>
            <w:pPr>
              <w:spacing w:line="432" w:lineRule="auto"/>
              <w:rPr>
                <w:rFonts w:ascii="Arial"/>
                <w:sz w:val="21"/>
              </w:rPr>
            </w:pPr>
            <w:r/>
          </w:p>
          <w:p>
            <w:pPr>
              <w:pStyle w:val="TableText"/>
              <w:ind w:left="480"/>
              <w:spacing w:before="58" w:line="218" w:lineRule="auto"/>
              <w:rPr>
                <w:sz w:val="18"/>
                <w:szCs w:val="18"/>
              </w:rPr>
            </w:pPr>
            <w:r>
              <w:rPr>
                <w:sz w:val="18"/>
                <w:szCs w:val="18"/>
                <w:spacing w:val="-2"/>
              </w:rPr>
              <w:t>评价因子</w:t>
            </w:r>
          </w:p>
        </w:tc>
        <w:tc>
          <w:tcPr>
            <w:tcW w:w="5255" w:type="dxa"/>
            <w:vAlign w:val="top"/>
            <w:gridSpan w:val="3"/>
          </w:tcPr>
          <w:p>
            <w:pPr>
              <w:pStyle w:val="TableText"/>
              <w:ind w:left="7"/>
              <w:spacing w:before="29" w:line="232" w:lineRule="auto"/>
              <w:jc w:val="both"/>
              <w:rPr>
                <w:sz w:val="18"/>
                <w:szCs w:val="18"/>
              </w:rPr>
            </w:pPr>
            <w:r>
              <w:rPr>
                <w:rFonts w:ascii="Times New Roman" w:hAnsi="Times New Roman" w:eastAsia="Times New Roman" w:cs="Times New Roman"/>
                <w:sz w:val="18"/>
                <w:szCs w:val="18"/>
                <w:spacing w:val="-1"/>
              </w:rPr>
              <w:t>GB36600-2018</w:t>
            </w:r>
            <w:r>
              <w:rPr>
                <w:rFonts w:ascii="Times New Roman" w:hAnsi="Times New Roman" w:eastAsia="Times New Roman" w:cs="Times New Roman"/>
                <w:sz w:val="18"/>
                <w:szCs w:val="18"/>
                <w:spacing w:val="35"/>
                <w:w w:val="101"/>
              </w:rPr>
              <w:t xml:space="preserve"> </w:t>
            </w:r>
            <w:r>
              <w:rPr>
                <w:sz w:val="18"/>
                <w:szCs w:val="18"/>
                <w:spacing w:val="-1"/>
              </w:rPr>
              <w:t>中表</w:t>
            </w:r>
            <w:r>
              <w:rPr>
                <w:sz w:val="18"/>
                <w:szCs w:val="18"/>
                <w:spacing w:val="-24"/>
              </w:rPr>
              <w:t xml:space="preserve"> </w:t>
            </w:r>
            <w:r>
              <w:rPr>
                <w:rFonts w:ascii="Times New Roman" w:hAnsi="Times New Roman" w:eastAsia="Times New Roman" w:cs="Times New Roman"/>
                <w:sz w:val="18"/>
                <w:szCs w:val="18"/>
                <w:spacing w:val="-1"/>
              </w:rPr>
              <w:t>1 </w:t>
            </w:r>
            <w:r>
              <w:rPr>
                <w:sz w:val="18"/>
                <w:szCs w:val="18"/>
                <w:spacing w:val="-1"/>
              </w:rPr>
              <w:t>全</w:t>
            </w:r>
            <w:r>
              <w:rPr>
                <w:sz w:val="18"/>
                <w:szCs w:val="18"/>
                <w:spacing w:val="-41"/>
              </w:rPr>
              <w:t xml:space="preserve"> </w:t>
            </w:r>
            <w:r>
              <w:rPr>
                <w:rFonts w:ascii="Times New Roman" w:hAnsi="Times New Roman" w:eastAsia="Times New Roman" w:cs="Times New Roman"/>
                <w:sz w:val="18"/>
                <w:szCs w:val="18"/>
                <w:spacing w:val="-1"/>
              </w:rPr>
              <w:t>45 </w:t>
            </w:r>
            <w:r>
              <w:rPr>
                <w:sz w:val="18"/>
                <w:szCs w:val="18"/>
                <w:spacing w:val="-1"/>
              </w:rPr>
              <w:t>项（包含重金属和无机物、半挥发性有</w:t>
            </w:r>
            <w:r>
              <w:rPr>
                <w:sz w:val="18"/>
                <w:szCs w:val="18"/>
              </w:rPr>
              <w:t xml:space="preserve"> </w:t>
            </w:r>
            <w:r>
              <w:rPr>
                <w:sz w:val="18"/>
                <w:szCs w:val="18"/>
                <w:spacing w:val="-2"/>
              </w:rPr>
              <w:t>机物、挥发性有机物）、表</w:t>
            </w:r>
            <w:r>
              <w:rPr>
                <w:sz w:val="18"/>
                <w:szCs w:val="18"/>
                <w:spacing w:val="-40"/>
              </w:rPr>
              <w:t xml:space="preserve"> </w:t>
            </w:r>
            <w:r>
              <w:rPr>
                <w:rFonts w:ascii="Times New Roman" w:hAnsi="Times New Roman" w:eastAsia="Times New Roman" w:cs="Times New Roman"/>
                <w:sz w:val="18"/>
                <w:szCs w:val="18"/>
                <w:spacing w:val="-2"/>
              </w:rPr>
              <w:t>2 </w:t>
            </w:r>
            <w:r>
              <w:rPr>
                <w:sz w:val="18"/>
                <w:szCs w:val="18"/>
                <w:spacing w:val="-2"/>
              </w:rPr>
              <w:t>石油烃（</w:t>
            </w:r>
            <w:r>
              <w:rPr>
                <w:rFonts w:ascii="Times New Roman" w:hAnsi="Times New Roman" w:eastAsia="Times New Roman" w:cs="Times New Roman"/>
                <w:sz w:val="18"/>
                <w:szCs w:val="18"/>
                <w:spacing w:val="-2"/>
              </w:rPr>
              <w:t>C</w:t>
            </w:r>
            <w:r>
              <w:rPr>
                <w:rFonts w:ascii="Times New Roman" w:hAnsi="Times New Roman" w:eastAsia="Times New Roman" w:cs="Times New Roman"/>
                <w:sz w:val="11"/>
                <w:szCs w:val="11"/>
                <w:spacing w:val="-2"/>
                <w:position w:val="-1"/>
              </w:rPr>
              <w:t>1</w:t>
            </w:r>
            <w:r>
              <w:rPr>
                <w:rFonts w:ascii="Times New Roman" w:hAnsi="Times New Roman" w:eastAsia="Times New Roman" w:cs="Times New Roman"/>
                <w:sz w:val="11"/>
                <w:szCs w:val="11"/>
                <w:spacing w:val="-3"/>
                <w:position w:val="-1"/>
              </w:rPr>
              <w:t>0</w:t>
            </w:r>
            <w:r>
              <w:rPr>
                <w:rFonts w:ascii="Times New Roman" w:hAnsi="Times New Roman" w:eastAsia="Times New Roman" w:cs="Times New Roman"/>
                <w:sz w:val="18"/>
                <w:szCs w:val="18"/>
                <w:spacing w:val="-3"/>
              </w:rPr>
              <w:t>-C</w:t>
            </w:r>
            <w:r>
              <w:rPr>
                <w:rFonts w:ascii="Times New Roman" w:hAnsi="Times New Roman" w:eastAsia="Times New Roman" w:cs="Times New Roman"/>
                <w:sz w:val="11"/>
                <w:szCs w:val="11"/>
                <w:spacing w:val="-3"/>
                <w:position w:val="-1"/>
              </w:rPr>
              <w:t>40 </w:t>
            </w:r>
            <w:r>
              <w:rPr>
                <w:sz w:val="18"/>
                <w:szCs w:val="18"/>
                <w:spacing w:val="-7"/>
              </w:rPr>
              <w:t>），</w:t>
            </w:r>
            <w:r>
              <w:rPr>
                <w:sz w:val="18"/>
                <w:szCs w:val="18"/>
                <w:spacing w:val="-3"/>
              </w:rPr>
              <w:t>以及</w:t>
            </w:r>
            <w:r>
              <w:rPr>
                <w:sz w:val="18"/>
                <w:szCs w:val="18"/>
                <w:spacing w:val="-45"/>
              </w:rPr>
              <w:t xml:space="preserve"> </w:t>
            </w:r>
            <w:r>
              <w:rPr>
                <w:rFonts w:ascii="Times New Roman" w:hAnsi="Times New Roman" w:eastAsia="Times New Roman" w:cs="Times New Roman"/>
                <w:sz w:val="18"/>
                <w:szCs w:val="18"/>
                <w:spacing w:val="-3"/>
              </w:rPr>
              <w:t>pH</w:t>
            </w:r>
            <w:r>
              <w:rPr>
                <w:rFonts w:ascii="Times New Roman" w:hAnsi="Times New Roman" w:eastAsia="Times New Roman" w:cs="Times New Roman"/>
                <w:sz w:val="18"/>
                <w:szCs w:val="18"/>
                <w:spacing w:val="-26"/>
              </w:rPr>
              <w:t xml:space="preserve"> </w:t>
            </w:r>
            <w:r>
              <w:rPr>
                <w:sz w:val="18"/>
                <w:szCs w:val="18"/>
                <w:spacing w:val="-3"/>
              </w:rPr>
              <w:t>、阳离子</w:t>
            </w:r>
            <w:r>
              <w:rPr>
                <w:sz w:val="18"/>
                <w:szCs w:val="18"/>
              </w:rPr>
              <w:t xml:space="preserve"> </w:t>
            </w:r>
            <w:r>
              <w:rPr>
                <w:sz w:val="18"/>
                <w:szCs w:val="18"/>
                <w:spacing w:val="-10"/>
              </w:rPr>
              <w:t>交换量、氧化还原电位、渗透率、土壤容重、总孔隙度，</w:t>
            </w:r>
            <w:r>
              <w:rPr>
                <w:rFonts w:ascii="Times New Roman" w:hAnsi="Times New Roman" w:eastAsia="Times New Roman" w:cs="Times New Roman"/>
                <w:sz w:val="18"/>
                <w:szCs w:val="18"/>
                <w:spacing w:val="-10"/>
              </w:rPr>
              <w:t>GB</w:t>
            </w:r>
            <w:r>
              <w:rPr>
                <w:rFonts w:ascii="Times New Roman" w:hAnsi="Times New Roman" w:eastAsia="Times New Roman" w:cs="Times New Roman"/>
                <w:sz w:val="18"/>
                <w:szCs w:val="18"/>
                <w:spacing w:val="-11"/>
              </w:rPr>
              <w:t>15618-2018</w:t>
            </w:r>
            <w:r>
              <w:rPr>
                <w:rFonts w:ascii="Times New Roman" w:hAnsi="Times New Roman" w:eastAsia="Times New Roman" w:cs="Times New Roman"/>
                <w:sz w:val="18"/>
                <w:szCs w:val="18"/>
              </w:rPr>
              <w:t xml:space="preserve"> </w:t>
            </w:r>
            <w:r>
              <w:rPr>
                <w:sz w:val="18"/>
                <w:szCs w:val="18"/>
                <w:spacing w:val="-2"/>
              </w:rPr>
              <w:t>表</w:t>
            </w:r>
            <w:r>
              <w:rPr>
                <w:sz w:val="18"/>
                <w:szCs w:val="18"/>
                <w:spacing w:val="-24"/>
              </w:rPr>
              <w:t xml:space="preserve"> </w:t>
            </w:r>
            <w:r>
              <w:rPr>
                <w:rFonts w:ascii="Times New Roman" w:hAnsi="Times New Roman" w:eastAsia="Times New Roman" w:cs="Times New Roman"/>
                <w:sz w:val="18"/>
                <w:szCs w:val="18"/>
                <w:spacing w:val="-2"/>
              </w:rPr>
              <w:t>1</w:t>
            </w:r>
            <w:r>
              <w:rPr>
                <w:rFonts w:ascii="Times New Roman" w:hAnsi="Times New Roman" w:eastAsia="Times New Roman" w:cs="Times New Roman"/>
                <w:sz w:val="18"/>
                <w:szCs w:val="18"/>
                <w:spacing w:val="24"/>
              </w:rPr>
              <w:t xml:space="preserve"> </w:t>
            </w:r>
            <w:r>
              <w:rPr>
                <w:sz w:val="18"/>
                <w:szCs w:val="18"/>
                <w:spacing w:val="-2"/>
              </w:rPr>
              <w:t>中</w:t>
            </w:r>
            <w:r>
              <w:rPr>
                <w:sz w:val="18"/>
                <w:szCs w:val="18"/>
                <w:spacing w:val="-34"/>
              </w:rPr>
              <w:t xml:space="preserve"> </w:t>
            </w:r>
            <w:r>
              <w:rPr>
                <w:rFonts w:ascii="Times New Roman" w:hAnsi="Times New Roman" w:eastAsia="Times New Roman" w:cs="Times New Roman"/>
                <w:sz w:val="18"/>
                <w:szCs w:val="18"/>
                <w:spacing w:val="-2"/>
              </w:rPr>
              <w:t>8 </w:t>
            </w:r>
            <w:r>
              <w:rPr>
                <w:sz w:val="18"/>
                <w:szCs w:val="18"/>
                <w:spacing w:val="-2"/>
              </w:rPr>
              <w:t>项，以及石油烃（</w:t>
            </w:r>
            <w:r>
              <w:rPr>
                <w:rFonts w:ascii="Times New Roman" w:hAnsi="Times New Roman" w:eastAsia="Times New Roman" w:cs="Times New Roman"/>
                <w:sz w:val="18"/>
                <w:szCs w:val="18"/>
                <w:spacing w:val="-2"/>
              </w:rPr>
              <w:t>C</w:t>
            </w:r>
            <w:r>
              <w:rPr>
                <w:rFonts w:ascii="Times New Roman" w:hAnsi="Times New Roman" w:eastAsia="Times New Roman" w:cs="Times New Roman"/>
                <w:sz w:val="11"/>
                <w:szCs w:val="11"/>
                <w:spacing w:val="-2"/>
                <w:position w:val="-1"/>
              </w:rPr>
              <w:t>10</w:t>
            </w:r>
            <w:r>
              <w:rPr>
                <w:rFonts w:ascii="Times New Roman" w:hAnsi="Times New Roman" w:eastAsia="Times New Roman" w:cs="Times New Roman"/>
                <w:sz w:val="18"/>
                <w:szCs w:val="18"/>
                <w:spacing w:val="-2"/>
              </w:rPr>
              <w:t>-C</w:t>
            </w:r>
            <w:r>
              <w:rPr>
                <w:rFonts w:ascii="Times New Roman" w:hAnsi="Times New Roman" w:eastAsia="Times New Roman" w:cs="Times New Roman"/>
                <w:sz w:val="11"/>
                <w:szCs w:val="11"/>
                <w:spacing w:val="-2"/>
                <w:position w:val="-1"/>
              </w:rPr>
              <w:t>40 </w:t>
            </w:r>
            <w:r>
              <w:rPr>
                <w:sz w:val="18"/>
                <w:szCs w:val="18"/>
                <w:spacing w:val="-2"/>
              </w:rPr>
              <w:t>）、</w:t>
            </w:r>
            <w:r>
              <w:rPr>
                <w:rFonts w:ascii="Times New Roman" w:hAnsi="Times New Roman" w:eastAsia="Times New Roman" w:cs="Times New Roman"/>
                <w:sz w:val="18"/>
                <w:szCs w:val="18"/>
                <w:spacing w:val="-2"/>
              </w:rPr>
              <w:t>pH</w:t>
            </w:r>
            <w:r>
              <w:rPr>
                <w:sz w:val="18"/>
                <w:szCs w:val="18"/>
                <w:spacing w:val="-3"/>
              </w:rPr>
              <w:t>、阳离子交换量、氧化还</w:t>
            </w:r>
            <w:r>
              <w:rPr>
                <w:sz w:val="18"/>
                <w:szCs w:val="18"/>
              </w:rPr>
              <w:t xml:space="preserve"> </w:t>
            </w:r>
            <w:r>
              <w:rPr>
                <w:sz w:val="18"/>
                <w:szCs w:val="18"/>
                <w:spacing w:val="-1"/>
              </w:rPr>
              <w:t>原电位、饱和导水率、土壤容重、孔隙度。</w:t>
            </w:r>
          </w:p>
        </w:tc>
        <w:tc>
          <w:tcPr>
            <w:tcW w:w="1089" w:type="dxa"/>
            <w:vAlign w:val="top"/>
          </w:tcPr>
          <w:p>
            <w:pPr>
              <w:rPr>
                <w:rFonts w:ascii="Arial"/>
                <w:sz w:val="21"/>
              </w:rPr>
            </w:pPr>
            <w:r/>
          </w:p>
        </w:tc>
      </w:tr>
      <w:tr>
        <w:trPr>
          <w:trHeight w:val="238" w:hRule="atLeast"/>
        </w:trPr>
        <w:tc>
          <w:tcPr>
            <w:tcW w:w="529" w:type="dxa"/>
            <w:vAlign w:val="top"/>
            <w:vMerge w:val="continue"/>
            <w:tcBorders>
              <w:top w:val="nil"/>
              <w:bottom w:val="nil"/>
            </w:tcBorders>
          </w:tcPr>
          <w:p>
            <w:pPr>
              <w:rPr>
                <w:rFonts w:ascii="Arial"/>
                <w:sz w:val="21"/>
              </w:rPr>
            </w:pPr>
            <w:r/>
          </w:p>
        </w:tc>
        <w:tc>
          <w:tcPr>
            <w:tcW w:w="1678" w:type="dxa"/>
            <w:vAlign w:val="top"/>
          </w:tcPr>
          <w:p>
            <w:pPr>
              <w:pStyle w:val="TableText"/>
              <w:ind w:left="480"/>
              <w:spacing w:before="28" w:line="205" w:lineRule="auto"/>
              <w:rPr>
                <w:sz w:val="18"/>
                <w:szCs w:val="18"/>
              </w:rPr>
            </w:pPr>
            <w:r>
              <w:rPr>
                <w:sz w:val="18"/>
                <w:szCs w:val="18"/>
                <w:spacing w:val="-2"/>
              </w:rPr>
              <w:t>评价标准</w:t>
            </w:r>
          </w:p>
        </w:tc>
        <w:tc>
          <w:tcPr>
            <w:tcW w:w="5255" w:type="dxa"/>
            <w:vAlign w:val="top"/>
            <w:gridSpan w:val="3"/>
          </w:tcPr>
          <w:p>
            <w:pPr>
              <w:pStyle w:val="TableText"/>
              <w:ind w:left="362"/>
              <w:spacing w:before="28" w:line="205" w:lineRule="auto"/>
              <w:rPr>
                <w:sz w:val="18"/>
                <w:szCs w:val="18"/>
              </w:rPr>
            </w:pPr>
            <w:r>
              <w:rPr>
                <w:rFonts w:ascii="Times New Roman" w:hAnsi="Times New Roman" w:eastAsia="Times New Roman" w:cs="Times New Roman"/>
                <w:sz w:val="18"/>
                <w:szCs w:val="18"/>
                <w:spacing w:val="-1"/>
              </w:rPr>
              <w:t>GB15618</w:t>
            </w:r>
            <w:r>
              <w:rPr>
                <w:rFonts w:ascii="MS Gothic" w:hAnsi="MS Gothic" w:eastAsia="MS Gothic" w:cs="MS Gothic"/>
                <w:sz w:val="18"/>
                <w:szCs w:val="18"/>
                <w:spacing w:val="-1"/>
              </w:rPr>
              <w:t>☑</w:t>
            </w:r>
            <w:r>
              <w:rPr>
                <w:sz w:val="18"/>
                <w:szCs w:val="18"/>
                <w:spacing w:val="-1"/>
              </w:rPr>
              <w:t>；</w:t>
            </w:r>
            <w:r>
              <w:rPr>
                <w:rFonts w:ascii="Times New Roman" w:hAnsi="Times New Roman" w:eastAsia="Times New Roman" w:cs="Times New Roman"/>
                <w:sz w:val="18"/>
                <w:szCs w:val="18"/>
                <w:spacing w:val="-1"/>
              </w:rPr>
              <w:t>GB36600</w:t>
            </w:r>
            <w:r>
              <w:rPr>
                <w:rFonts w:ascii="MS Gothic" w:hAnsi="MS Gothic" w:eastAsia="MS Gothic" w:cs="MS Gothic"/>
                <w:sz w:val="18"/>
                <w:szCs w:val="18"/>
                <w:spacing w:val="-1"/>
              </w:rPr>
              <w:t>☑</w:t>
            </w:r>
            <w:r>
              <w:rPr>
                <w:sz w:val="18"/>
                <w:szCs w:val="18"/>
                <w:spacing w:val="-1"/>
              </w:rPr>
              <w:t>；表</w:t>
            </w:r>
            <w:r>
              <w:rPr>
                <w:sz w:val="18"/>
                <w:szCs w:val="18"/>
                <w:spacing w:val="-42"/>
              </w:rPr>
              <w:t xml:space="preserve"> </w:t>
            </w:r>
            <w:r>
              <w:rPr>
                <w:rFonts w:ascii="Times New Roman" w:hAnsi="Times New Roman" w:eastAsia="Times New Roman" w:cs="Times New Roman"/>
                <w:sz w:val="18"/>
                <w:szCs w:val="18"/>
                <w:spacing w:val="-1"/>
              </w:rPr>
              <w:t>D</w:t>
            </w:r>
            <w:r>
              <w:rPr>
                <w:rFonts w:ascii="Times New Roman" w:hAnsi="Times New Roman" w:eastAsia="Times New Roman" w:cs="Times New Roman"/>
                <w:sz w:val="18"/>
                <w:szCs w:val="18"/>
                <w:spacing w:val="-2"/>
              </w:rPr>
              <w:t>.</w:t>
            </w:r>
            <w:r>
              <w:rPr>
                <w:rFonts w:ascii="Times New Roman" w:hAnsi="Times New Roman" w:eastAsia="Times New Roman" w:cs="Times New Roman"/>
                <w:sz w:val="18"/>
                <w:szCs w:val="18"/>
                <w:spacing w:val="-23"/>
              </w:rPr>
              <w:t xml:space="preserve"> </w:t>
            </w:r>
            <w:r>
              <w:rPr>
                <w:rFonts w:ascii="Times New Roman" w:hAnsi="Times New Roman" w:eastAsia="Times New Roman" w:cs="Times New Roman"/>
                <w:sz w:val="18"/>
                <w:szCs w:val="18"/>
                <w:spacing w:val="-2"/>
              </w:rPr>
              <w:t>1</w:t>
            </w:r>
            <w:r>
              <w:rPr>
                <w:sz w:val="18"/>
                <w:szCs w:val="18"/>
                <w:spacing w:val="-2"/>
              </w:rPr>
              <w:t>□；表</w:t>
            </w:r>
            <w:r>
              <w:rPr>
                <w:sz w:val="18"/>
                <w:szCs w:val="18"/>
                <w:spacing w:val="-41"/>
              </w:rPr>
              <w:t xml:space="preserve"> </w:t>
            </w:r>
            <w:r>
              <w:rPr>
                <w:rFonts w:ascii="Times New Roman" w:hAnsi="Times New Roman" w:eastAsia="Times New Roman" w:cs="Times New Roman"/>
                <w:sz w:val="18"/>
                <w:szCs w:val="18"/>
                <w:spacing w:val="-2"/>
              </w:rPr>
              <w:t>D.2</w:t>
            </w:r>
            <w:r>
              <w:rPr>
                <w:sz w:val="18"/>
                <w:szCs w:val="18"/>
                <w:spacing w:val="-2"/>
              </w:rPr>
              <w:t>□；其他 ()</w:t>
            </w:r>
          </w:p>
        </w:tc>
        <w:tc>
          <w:tcPr>
            <w:tcW w:w="1089" w:type="dxa"/>
            <w:vAlign w:val="top"/>
          </w:tcPr>
          <w:p>
            <w:pPr>
              <w:spacing w:line="228" w:lineRule="exact"/>
              <w:rPr>
                <w:rFonts w:ascii="Arial"/>
                <w:sz w:val="19"/>
              </w:rPr>
            </w:pPr>
            <w:r/>
          </w:p>
        </w:tc>
      </w:tr>
      <w:tr>
        <w:trPr>
          <w:trHeight w:val="938" w:hRule="atLeast"/>
        </w:trPr>
        <w:tc>
          <w:tcPr>
            <w:tcW w:w="529" w:type="dxa"/>
            <w:vAlign w:val="top"/>
            <w:vMerge w:val="continue"/>
            <w:tcBorders>
              <w:top w:val="nil"/>
            </w:tcBorders>
          </w:tcPr>
          <w:p>
            <w:pPr>
              <w:rPr>
                <w:rFonts w:ascii="Arial"/>
                <w:sz w:val="21"/>
              </w:rPr>
            </w:pPr>
            <w:r/>
          </w:p>
        </w:tc>
        <w:tc>
          <w:tcPr>
            <w:tcW w:w="1678" w:type="dxa"/>
            <w:vAlign w:val="top"/>
          </w:tcPr>
          <w:p>
            <w:pPr>
              <w:spacing w:line="317" w:lineRule="auto"/>
              <w:rPr>
                <w:rFonts w:ascii="Arial"/>
                <w:sz w:val="21"/>
              </w:rPr>
            </w:pPr>
            <w:r/>
          </w:p>
          <w:p>
            <w:pPr>
              <w:pStyle w:val="TableText"/>
              <w:ind w:left="303"/>
              <w:spacing w:before="58" w:line="218" w:lineRule="auto"/>
              <w:rPr>
                <w:sz w:val="18"/>
                <w:szCs w:val="18"/>
              </w:rPr>
            </w:pPr>
            <w:r>
              <w:rPr>
                <w:sz w:val="18"/>
                <w:szCs w:val="18"/>
                <w:spacing w:val="-2"/>
              </w:rPr>
              <w:t>现状评价结论</w:t>
            </w:r>
          </w:p>
        </w:tc>
        <w:tc>
          <w:tcPr>
            <w:tcW w:w="5255" w:type="dxa"/>
            <w:vAlign w:val="top"/>
            <w:gridSpan w:val="3"/>
          </w:tcPr>
          <w:p>
            <w:pPr>
              <w:pStyle w:val="TableText"/>
              <w:ind w:left="471"/>
              <w:spacing w:before="30" w:line="219" w:lineRule="auto"/>
              <w:rPr>
                <w:sz w:val="18"/>
                <w:szCs w:val="18"/>
              </w:rPr>
            </w:pPr>
            <w:r>
              <w:rPr>
                <w:sz w:val="18"/>
                <w:szCs w:val="18"/>
                <w:spacing w:val="-1"/>
              </w:rPr>
              <w:t>满足《土壤环境质量建设用地土壤污染风险管控标准》</w:t>
            </w:r>
          </w:p>
          <w:p>
            <w:pPr>
              <w:pStyle w:val="TableText"/>
              <w:spacing w:before="19" w:line="219" w:lineRule="auto"/>
              <w:jc w:val="right"/>
              <w:rPr>
                <w:sz w:val="18"/>
                <w:szCs w:val="18"/>
              </w:rPr>
            </w:pPr>
            <w:r>
              <w:rPr>
                <w:sz w:val="18"/>
                <w:szCs w:val="18"/>
                <w:spacing w:val="-2"/>
              </w:rPr>
              <w:t>（</w:t>
            </w:r>
            <w:r>
              <w:rPr>
                <w:rFonts w:ascii="Times New Roman" w:hAnsi="Times New Roman" w:eastAsia="Times New Roman" w:cs="Times New Roman"/>
                <w:sz w:val="18"/>
                <w:szCs w:val="18"/>
                <w:spacing w:val="-2"/>
              </w:rPr>
              <w:t>GB36600-2018</w:t>
            </w:r>
            <w:r>
              <w:rPr>
                <w:sz w:val="18"/>
                <w:szCs w:val="18"/>
                <w:spacing w:val="-2"/>
              </w:rPr>
              <w:t>）表</w:t>
            </w:r>
            <w:r>
              <w:rPr>
                <w:sz w:val="18"/>
                <w:szCs w:val="18"/>
                <w:spacing w:val="-5"/>
              </w:rPr>
              <w:t xml:space="preserve"> </w:t>
            </w:r>
            <w:r>
              <w:rPr>
                <w:rFonts w:ascii="Times New Roman" w:hAnsi="Times New Roman" w:eastAsia="Times New Roman" w:cs="Times New Roman"/>
                <w:sz w:val="18"/>
                <w:szCs w:val="18"/>
                <w:spacing w:val="-2"/>
              </w:rPr>
              <w:t>1 </w:t>
            </w:r>
            <w:r>
              <w:rPr>
                <w:sz w:val="18"/>
                <w:szCs w:val="18"/>
                <w:spacing w:val="-2"/>
              </w:rPr>
              <w:t>和表</w:t>
            </w:r>
            <w:r>
              <w:rPr>
                <w:sz w:val="18"/>
                <w:szCs w:val="18"/>
                <w:spacing w:val="-41"/>
              </w:rPr>
              <w:t xml:space="preserve"> </w:t>
            </w:r>
            <w:r>
              <w:rPr>
                <w:rFonts w:ascii="Times New Roman" w:hAnsi="Times New Roman" w:eastAsia="Times New Roman" w:cs="Times New Roman"/>
                <w:sz w:val="18"/>
                <w:szCs w:val="18"/>
                <w:spacing w:val="-2"/>
              </w:rPr>
              <w:t>2 </w:t>
            </w:r>
            <w:r>
              <w:rPr>
                <w:sz w:val="18"/>
                <w:szCs w:val="18"/>
                <w:spacing w:val="-2"/>
              </w:rPr>
              <w:t>第二类用地筛选值及《土壤环境质量</w:t>
            </w:r>
          </w:p>
          <w:p>
            <w:pPr>
              <w:pStyle w:val="TableText"/>
              <w:ind w:left="8"/>
              <w:spacing w:before="19" w:line="219" w:lineRule="auto"/>
              <w:rPr>
                <w:rFonts w:ascii="Times New Roman" w:hAnsi="Times New Roman" w:eastAsia="Times New Roman" w:cs="Times New Roman"/>
                <w:sz w:val="18"/>
                <w:szCs w:val="18"/>
              </w:rPr>
            </w:pPr>
            <w:r>
              <w:rPr>
                <w:sz w:val="18"/>
                <w:szCs w:val="18"/>
              </w:rPr>
              <w:t>农用地土壤污染风险管控标准（试行）》（</w:t>
            </w:r>
            <w:r>
              <w:rPr>
                <w:rFonts w:ascii="Times New Roman" w:hAnsi="Times New Roman" w:eastAsia="Times New Roman" w:cs="Times New Roman"/>
                <w:sz w:val="18"/>
                <w:szCs w:val="18"/>
              </w:rPr>
              <w:t>GB1561</w:t>
            </w:r>
            <w:r>
              <w:rPr>
                <w:rFonts w:ascii="Times New Roman" w:hAnsi="Times New Roman" w:eastAsia="Times New Roman" w:cs="Times New Roman"/>
                <w:sz w:val="18"/>
                <w:szCs w:val="18"/>
                <w:spacing w:val="-1"/>
              </w:rPr>
              <w:t>8-2018</w:t>
            </w:r>
            <w:r>
              <w:rPr>
                <w:sz w:val="18"/>
                <w:szCs w:val="18"/>
                <w:spacing w:val="-1"/>
              </w:rPr>
              <w:t>）中表</w:t>
            </w:r>
            <w:r>
              <w:rPr>
                <w:sz w:val="18"/>
                <w:szCs w:val="18"/>
                <w:spacing w:val="-23"/>
              </w:rPr>
              <w:t xml:space="preserve"> </w:t>
            </w:r>
            <w:r>
              <w:rPr>
                <w:rFonts w:ascii="Times New Roman" w:hAnsi="Times New Roman" w:eastAsia="Times New Roman" w:cs="Times New Roman"/>
                <w:sz w:val="18"/>
                <w:szCs w:val="18"/>
                <w:spacing w:val="-1"/>
              </w:rPr>
              <w:t>1</w:t>
            </w:r>
          </w:p>
          <w:p>
            <w:pPr>
              <w:pStyle w:val="TableText"/>
              <w:ind w:left="2003"/>
              <w:spacing w:before="18" w:line="205" w:lineRule="auto"/>
              <w:rPr>
                <w:sz w:val="18"/>
                <w:szCs w:val="18"/>
              </w:rPr>
            </w:pPr>
            <w:r>
              <w:rPr>
                <w:sz w:val="18"/>
                <w:szCs w:val="18"/>
                <w:spacing w:val="-2"/>
              </w:rPr>
              <w:t>风险筛选值标准</w:t>
            </w:r>
          </w:p>
        </w:tc>
        <w:tc>
          <w:tcPr>
            <w:tcW w:w="1089" w:type="dxa"/>
            <w:vAlign w:val="top"/>
          </w:tcPr>
          <w:p>
            <w:pPr>
              <w:rPr>
                <w:rFonts w:ascii="Arial"/>
                <w:sz w:val="21"/>
              </w:rPr>
            </w:pPr>
            <w:r/>
          </w:p>
        </w:tc>
      </w:tr>
      <w:tr>
        <w:trPr>
          <w:trHeight w:val="239" w:hRule="atLeast"/>
        </w:trPr>
        <w:tc>
          <w:tcPr>
            <w:tcW w:w="529" w:type="dxa"/>
            <w:vAlign w:val="top"/>
            <w:vMerge w:val="restart"/>
            <w:tcBorders>
              <w:bottom w:val="nil"/>
            </w:tcBorders>
          </w:tcPr>
          <w:p>
            <w:pPr>
              <w:spacing w:line="283" w:lineRule="auto"/>
              <w:rPr>
                <w:rFonts w:ascii="Arial"/>
                <w:sz w:val="21"/>
              </w:rPr>
            </w:pPr>
            <w:r/>
          </w:p>
          <w:p>
            <w:pPr>
              <w:spacing w:line="283" w:lineRule="auto"/>
              <w:rPr>
                <w:rFonts w:ascii="Arial"/>
                <w:sz w:val="21"/>
              </w:rPr>
            </w:pPr>
            <w:r/>
          </w:p>
          <w:p>
            <w:pPr>
              <w:pStyle w:val="TableText"/>
              <w:ind w:left="88"/>
              <w:spacing w:before="58" w:line="221" w:lineRule="auto"/>
              <w:rPr>
                <w:sz w:val="18"/>
                <w:szCs w:val="18"/>
              </w:rPr>
            </w:pPr>
            <w:r>
              <w:rPr>
                <w:sz w:val="18"/>
                <w:szCs w:val="18"/>
                <w:spacing w:val="-4"/>
              </w:rPr>
              <w:t>影响</w:t>
            </w:r>
          </w:p>
          <w:p>
            <w:pPr>
              <w:pStyle w:val="TableText"/>
              <w:ind w:left="90"/>
              <w:spacing w:before="16" w:line="220" w:lineRule="auto"/>
              <w:rPr>
                <w:sz w:val="18"/>
                <w:szCs w:val="18"/>
              </w:rPr>
            </w:pPr>
            <w:r>
              <w:rPr>
                <w:sz w:val="18"/>
                <w:szCs w:val="18"/>
                <w:spacing w:val="-5"/>
              </w:rPr>
              <w:t>预测</w:t>
            </w:r>
          </w:p>
        </w:tc>
        <w:tc>
          <w:tcPr>
            <w:tcW w:w="1678" w:type="dxa"/>
            <w:vAlign w:val="top"/>
          </w:tcPr>
          <w:p>
            <w:pPr>
              <w:pStyle w:val="TableText"/>
              <w:ind w:left="483"/>
              <w:spacing w:before="30" w:line="204" w:lineRule="auto"/>
              <w:rPr>
                <w:sz w:val="18"/>
                <w:szCs w:val="18"/>
              </w:rPr>
            </w:pPr>
            <w:r>
              <w:rPr>
                <w:sz w:val="18"/>
                <w:szCs w:val="18"/>
                <w:spacing w:val="-3"/>
              </w:rPr>
              <w:t>预测因子</w:t>
            </w:r>
          </w:p>
        </w:tc>
        <w:tc>
          <w:tcPr>
            <w:tcW w:w="5255" w:type="dxa"/>
            <w:vAlign w:val="top"/>
            <w:gridSpan w:val="3"/>
          </w:tcPr>
          <w:p>
            <w:pPr>
              <w:pStyle w:val="TableText"/>
              <w:ind w:left="2065"/>
              <w:spacing w:before="30" w:line="204" w:lineRule="auto"/>
              <w:rPr>
                <w:sz w:val="18"/>
                <w:szCs w:val="18"/>
              </w:rPr>
            </w:pPr>
            <w:r>
              <w:rPr>
                <w:rFonts w:ascii="Times New Roman" w:hAnsi="Times New Roman" w:eastAsia="Times New Roman" w:cs="Times New Roman"/>
                <w:sz w:val="18"/>
                <w:szCs w:val="18"/>
                <w:spacing w:val="-1"/>
              </w:rPr>
              <w:t>pH</w:t>
            </w:r>
            <w:r>
              <w:rPr>
                <w:sz w:val="18"/>
                <w:szCs w:val="18"/>
                <w:spacing w:val="-1"/>
              </w:rPr>
              <w:t>、废矿物油</w:t>
            </w:r>
          </w:p>
        </w:tc>
        <w:tc>
          <w:tcPr>
            <w:tcW w:w="1089" w:type="dxa"/>
            <w:vAlign w:val="top"/>
          </w:tcPr>
          <w:p>
            <w:pPr>
              <w:spacing w:line="229" w:lineRule="exact"/>
              <w:rPr>
                <w:rFonts w:ascii="Arial"/>
                <w:sz w:val="19"/>
              </w:rPr>
            </w:pPr>
            <w:r/>
          </w:p>
        </w:tc>
      </w:tr>
      <w:tr>
        <w:trPr>
          <w:trHeight w:val="238" w:hRule="atLeast"/>
        </w:trPr>
        <w:tc>
          <w:tcPr>
            <w:tcW w:w="529" w:type="dxa"/>
            <w:vAlign w:val="top"/>
            <w:vMerge w:val="continue"/>
            <w:tcBorders>
              <w:top w:val="nil"/>
              <w:bottom w:val="nil"/>
            </w:tcBorders>
          </w:tcPr>
          <w:p>
            <w:pPr>
              <w:rPr>
                <w:rFonts w:ascii="Arial"/>
                <w:sz w:val="21"/>
              </w:rPr>
            </w:pPr>
            <w:r/>
          </w:p>
        </w:tc>
        <w:tc>
          <w:tcPr>
            <w:tcW w:w="1678" w:type="dxa"/>
            <w:vAlign w:val="top"/>
          </w:tcPr>
          <w:p>
            <w:pPr>
              <w:pStyle w:val="TableText"/>
              <w:ind w:left="483"/>
              <w:spacing w:before="28" w:line="205" w:lineRule="auto"/>
              <w:rPr>
                <w:sz w:val="18"/>
                <w:szCs w:val="18"/>
              </w:rPr>
            </w:pPr>
            <w:r>
              <w:rPr>
                <w:sz w:val="18"/>
                <w:szCs w:val="18"/>
                <w:spacing w:val="-3"/>
              </w:rPr>
              <w:t>预测方法</w:t>
            </w:r>
          </w:p>
        </w:tc>
        <w:tc>
          <w:tcPr>
            <w:tcW w:w="5255" w:type="dxa"/>
            <w:vAlign w:val="top"/>
            <w:gridSpan w:val="3"/>
          </w:tcPr>
          <w:p>
            <w:pPr>
              <w:pStyle w:val="TableText"/>
              <w:ind w:left="1493"/>
              <w:spacing w:before="28" w:line="205" w:lineRule="auto"/>
              <w:rPr>
                <w:sz w:val="18"/>
                <w:szCs w:val="18"/>
              </w:rPr>
            </w:pPr>
            <w:r>
              <w:rPr>
                <w:sz w:val="18"/>
                <w:szCs w:val="18"/>
                <w:spacing w:val="-4"/>
              </w:rPr>
              <w:t>附录</w:t>
            </w:r>
            <w:r>
              <w:rPr>
                <w:sz w:val="18"/>
                <w:szCs w:val="18"/>
                <w:spacing w:val="-33"/>
              </w:rPr>
              <w:t xml:space="preserve"> </w:t>
            </w:r>
            <w:r>
              <w:rPr>
                <w:rFonts w:ascii="Times New Roman" w:hAnsi="Times New Roman" w:eastAsia="Times New Roman" w:cs="Times New Roman"/>
                <w:sz w:val="18"/>
                <w:szCs w:val="18"/>
                <w:spacing w:val="-4"/>
              </w:rPr>
              <w:t>E</w:t>
            </w:r>
            <w:r>
              <w:rPr>
                <w:rFonts w:ascii="MS UI Gothic" w:hAnsi="MS UI Gothic" w:eastAsia="MS UI Gothic" w:cs="MS UI Gothic"/>
                <w:sz w:val="18"/>
                <w:szCs w:val="18"/>
                <w:spacing w:val="-4"/>
              </w:rPr>
              <w:t>☐</w:t>
            </w:r>
            <w:r>
              <w:rPr>
                <w:sz w:val="18"/>
                <w:szCs w:val="18"/>
                <w:spacing w:val="-4"/>
              </w:rPr>
              <w:t>；附录 </w:t>
            </w:r>
            <w:r>
              <w:rPr>
                <w:rFonts w:ascii="Times New Roman" w:hAnsi="Times New Roman" w:eastAsia="Times New Roman" w:cs="Times New Roman"/>
                <w:sz w:val="18"/>
                <w:szCs w:val="18"/>
                <w:spacing w:val="-4"/>
              </w:rPr>
              <w:t>F</w:t>
            </w:r>
            <w:r>
              <w:rPr>
                <w:sz w:val="18"/>
                <w:szCs w:val="18"/>
                <w:spacing w:val="-4"/>
              </w:rPr>
              <w:t>□；其他□</w:t>
            </w:r>
          </w:p>
        </w:tc>
        <w:tc>
          <w:tcPr>
            <w:tcW w:w="1089" w:type="dxa"/>
            <w:vAlign w:val="top"/>
          </w:tcPr>
          <w:p>
            <w:pPr>
              <w:spacing w:line="228" w:lineRule="exact"/>
              <w:rPr>
                <w:rFonts w:ascii="Arial"/>
                <w:sz w:val="19"/>
              </w:rPr>
            </w:pPr>
            <w:r/>
          </w:p>
        </w:tc>
      </w:tr>
      <w:tr>
        <w:trPr>
          <w:trHeight w:val="704" w:hRule="atLeast"/>
        </w:trPr>
        <w:tc>
          <w:tcPr>
            <w:tcW w:w="529" w:type="dxa"/>
            <w:vAlign w:val="top"/>
            <w:vMerge w:val="continue"/>
            <w:tcBorders>
              <w:top w:val="nil"/>
              <w:bottom w:val="nil"/>
            </w:tcBorders>
          </w:tcPr>
          <w:p>
            <w:pPr>
              <w:rPr>
                <w:rFonts w:ascii="Arial"/>
                <w:sz w:val="21"/>
              </w:rPr>
            </w:pPr>
            <w:r/>
          </w:p>
        </w:tc>
        <w:tc>
          <w:tcPr>
            <w:tcW w:w="1678" w:type="dxa"/>
            <w:vAlign w:val="top"/>
          </w:tcPr>
          <w:p>
            <w:pPr>
              <w:pStyle w:val="TableText"/>
              <w:ind w:left="303"/>
              <w:spacing w:before="263" w:line="219" w:lineRule="auto"/>
              <w:rPr>
                <w:sz w:val="18"/>
                <w:szCs w:val="18"/>
              </w:rPr>
            </w:pPr>
            <w:r>
              <w:rPr>
                <w:sz w:val="18"/>
                <w:szCs w:val="18"/>
                <w:spacing w:val="-2"/>
              </w:rPr>
              <w:t>预测分析内容</w:t>
            </w:r>
          </w:p>
        </w:tc>
        <w:tc>
          <w:tcPr>
            <w:tcW w:w="5255" w:type="dxa"/>
            <w:vAlign w:val="top"/>
            <w:gridSpan w:val="3"/>
          </w:tcPr>
          <w:p>
            <w:pPr>
              <w:pStyle w:val="TableText"/>
              <w:spacing w:before="29" w:line="219" w:lineRule="auto"/>
              <w:jc w:val="right"/>
              <w:rPr>
                <w:sz w:val="18"/>
                <w:szCs w:val="18"/>
              </w:rPr>
            </w:pPr>
            <w:r>
              <w:rPr>
                <w:sz w:val="18"/>
                <w:szCs w:val="18"/>
                <w:spacing w:val="-9"/>
              </w:rPr>
              <w:t>影响范围（若发生泄漏，污染物</w:t>
            </w:r>
            <w:r>
              <w:rPr>
                <w:sz w:val="18"/>
                <w:szCs w:val="18"/>
                <w:spacing w:val="-24"/>
              </w:rPr>
              <w:t xml:space="preserve"> </w:t>
            </w:r>
            <w:r>
              <w:rPr>
                <w:rFonts w:ascii="Times New Roman" w:hAnsi="Times New Roman" w:eastAsia="Times New Roman" w:cs="Times New Roman"/>
                <w:sz w:val="18"/>
                <w:szCs w:val="18"/>
                <w:spacing w:val="-9"/>
              </w:rPr>
              <w:t>125d</w:t>
            </w:r>
            <w:r>
              <w:rPr>
                <w:rFonts w:ascii="Times New Roman" w:hAnsi="Times New Roman" w:eastAsia="Times New Roman" w:cs="Times New Roman"/>
                <w:sz w:val="18"/>
                <w:szCs w:val="18"/>
                <w:spacing w:val="25"/>
                <w:w w:val="101"/>
              </w:rPr>
              <w:t xml:space="preserve"> </w:t>
            </w:r>
            <w:r>
              <w:rPr>
                <w:sz w:val="18"/>
                <w:szCs w:val="18"/>
                <w:spacing w:val="-9"/>
              </w:rPr>
              <w:t>内不会穿过土</w:t>
            </w:r>
            <w:r>
              <w:rPr>
                <w:sz w:val="18"/>
                <w:szCs w:val="18"/>
                <w:spacing w:val="-10"/>
              </w:rPr>
              <w:t>壤层进入地下水，</w:t>
            </w:r>
          </w:p>
          <w:p>
            <w:pPr>
              <w:pStyle w:val="TableText"/>
              <w:ind w:left="22"/>
              <w:spacing w:before="19" w:line="219" w:lineRule="auto"/>
              <w:rPr>
                <w:sz w:val="18"/>
                <w:szCs w:val="18"/>
              </w:rPr>
            </w:pPr>
            <w:r>
              <w:rPr>
                <w:sz w:val="18"/>
                <w:szCs w:val="18"/>
              </w:rPr>
              <w:t>应在调节池增加防渗层并设置检漏装置，定期</w:t>
            </w:r>
            <w:r>
              <w:rPr>
                <w:sz w:val="18"/>
                <w:szCs w:val="18"/>
                <w:spacing w:val="-1"/>
              </w:rPr>
              <w:t>开展地下水及土壤监</w:t>
            </w:r>
          </w:p>
          <w:p>
            <w:pPr>
              <w:pStyle w:val="TableText"/>
              <w:ind w:left="1103"/>
              <w:spacing w:before="19" w:line="203" w:lineRule="auto"/>
              <w:rPr>
                <w:sz w:val="18"/>
                <w:szCs w:val="18"/>
              </w:rPr>
            </w:pPr>
            <w:r>
              <w:rPr>
                <w:sz w:val="18"/>
                <w:szCs w:val="18"/>
                <w:spacing w:val="-1"/>
              </w:rPr>
              <w:t>测，防患于未然</w:t>
            </w:r>
            <w:r>
              <w:rPr>
                <w:sz w:val="18"/>
                <w:szCs w:val="18"/>
                <w:spacing w:val="3"/>
              </w:rPr>
              <w:t>），</w:t>
            </w:r>
            <w:r>
              <w:rPr>
                <w:sz w:val="18"/>
                <w:szCs w:val="18"/>
                <w:spacing w:val="-1"/>
              </w:rPr>
              <w:t>影响程度（较小）</w:t>
            </w:r>
          </w:p>
        </w:tc>
        <w:tc>
          <w:tcPr>
            <w:tcW w:w="1089" w:type="dxa"/>
            <w:vAlign w:val="top"/>
          </w:tcPr>
          <w:p>
            <w:pPr>
              <w:rPr>
                <w:rFonts w:ascii="Arial"/>
                <w:sz w:val="21"/>
              </w:rPr>
            </w:pPr>
            <w:r/>
          </w:p>
        </w:tc>
      </w:tr>
      <w:tr>
        <w:trPr>
          <w:trHeight w:val="472" w:hRule="atLeast"/>
        </w:trPr>
        <w:tc>
          <w:tcPr>
            <w:tcW w:w="529" w:type="dxa"/>
            <w:vAlign w:val="top"/>
            <w:vMerge w:val="continue"/>
            <w:tcBorders>
              <w:top w:val="nil"/>
            </w:tcBorders>
          </w:tcPr>
          <w:p>
            <w:pPr>
              <w:rPr>
                <w:rFonts w:ascii="Arial"/>
                <w:sz w:val="21"/>
              </w:rPr>
            </w:pPr>
            <w:r/>
          </w:p>
        </w:tc>
        <w:tc>
          <w:tcPr>
            <w:tcW w:w="1678" w:type="dxa"/>
            <w:vAlign w:val="top"/>
          </w:tcPr>
          <w:p>
            <w:pPr>
              <w:pStyle w:val="TableText"/>
              <w:ind w:left="483"/>
              <w:spacing w:before="146" w:line="220" w:lineRule="auto"/>
              <w:rPr>
                <w:sz w:val="18"/>
                <w:szCs w:val="18"/>
              </w:rPr>
            </w:pPr>
            <w:r>
              <w:rPr>
                <w:sz w:val="18"/>
                <w:szCs w:val="18"/>
                <w:spacing w:val="-3"/>
              </w:rPr>
              <w:t>预测结论</w:t>
            </w:r>
          </w:p>
        </w:tc>
        <w:tc>
          <w:tcPr>
            <w:tcW w:w="5255" w:type="dxa"/>
            <w:vAlign w:val="top"/>
            <w:gridSpan w:val="3"/>
          </w:tcPr>
          <w:p>
            <w:pPr>
              <w:pStyle w:val="TableText"/>
              <w:ind w:left="1561" w:right="1329" w:hanging="224"/>
              <w:spacing w:before="31" w:line="221" w:lineRule="auto"/>
              <w:rPr>
                <w:sz w:val="18"/>
                <w:szCs w:val="18"/>
              </w:rPr>
            </w:pPr>
            <w:r>
              <w:rPr>
                <w:sz w:val="18"/>
                <w:szCs w:val="18"/>
                <w:spacing w:val="-7"/>
              </w:rPr>
              <w:t>达标结论：</w:t>
            </w:r>
            <w:r>
              <w:rPr>
                <w:rFonts w:ascii="Times New Roman" w:hAnsi="Times New Roman" w:eastAsia="Times New Roman" w:cs="Times New Roman"/>
                <w:sz w:val="18"/>
                <w:szCs w:val="18"/>
                <w:spacing w:val="-7"/>
              </w:rPr>
              <w:t>a</w:t>
            </w:r>
            <w:r>
              <w:rPr>
                <w:sz w:val="18"/>
                <w:szCs w:val="18"/>
                <w:spacing w:val="-7"/>
              </w:rPr>
              <w:t>）</w:t>
            </w:r>
            <w:r>
              <w:rPr>
                <w:rFonts w:ascii="MS Gothic" w:hAnsi="MS Gothic" w:eastAsia="MS Gothic" w:cs="MS Gothic"/>
                <w:sz w:val="18"/>
                <w:szCs w:val="18"/>
                <w:spacing w:val="-7"/>
              </w:rPr>
              <w:t>☑</w:t>
            </w:r>
            <w:r>
              <w:rPr>
                <w:rFonts w:ascii="MS Gothic" w:hAnsi="MS Gothic" w:eastAsia="MS Gothic" w:cs="MS Gothic"/>
                <w:sz w:val="18"/>
                <w:szCs w:val="18"/>
                <w:spacing w:val="-61"/>
              </w:rPr>
              <w:t xml:space="preserve"> </w:t>
            </w:r>
            <w:r>
              <w:rPr>
                <w:sz w:val="18"/>
                <w:szCs w:val="18"/>
                <w:spacing w:val="-7"/>
              </w:rPr>
              <w:t>；</w:t>
            </w:r>
            <w:r>
              <w:rPr>
                <w:rFonts w:ascii="Times New Roman" w:hAnsi="Times New Roman" w:eastAsia="Times New Roman" w:cs="Times New Roman"/>
                <w:sz w:val="18"/>
                <w:szCs w:val="18"/>
                <w:spacing w:val="-7"/>
              </w:rPr>
              <w:t>b</w:t>
            </w:r>
            <w:r>
              <w:rPr>
                <w:sz w:val="18"/>
                <w:szCs w:val="18"/>
                <w:spacing w:val="-7"/>
              </w:rPr>
              <w:t>）</w:t>
            </w:r>
            <w:r>
              <w:rPr>
                <w:sz w:val="18"/>
                <w:szCs w:val="18"/>
                <w:spacing w:val="-65"/>
              </w:rPr>
              <w:t xml:space="preserve"> </w:t>
            </w:r>
            <w:r>
              <w:rPr>
                <w:sz w:val="18"/>
                <w:szCs w:val="18"/>
                <w:spacing w:val="-7"/>
              </w:rPr>
              <w:t>□</w:t>
            </w:r>
            <w:r>
              <w:rPr>
                <w:sz w:val="18"/>
                <w:szCs w:val="18"/>
                <w:spacing w:val="-67"/>
              </w:rPr>
              <w:t xml:space="preserve"> </w:t>
            </w:r>
            <w:r>
              <w:rPr>
                <w:sz w:val="18"/>
                <w:szCs w:val="18"/>
                <w:spacing w:val="-7"/>
              </w:rPr>
              <w:t>；</w:t>
            </w:r>
            <w:r>
              <w:rPr>
                <w:rFonts w:ascii="Times New Roman" w:hAnsi="Times New Roman" w:eastAsia="Times New Roman" w:cs="Times New Roman"/>
                <w:sz w:val="18"/>
                <w:szCs w:val="18"/>
                <w:spacing w:val="-7"/>
              </w:rPr>
              <w:t>c</w:t>
            </w:r>
            <w:r>
              <w:rPr>
                <w:sz w:val="18"/>
                <w:szCs w:val="18"/>
                <w:spacing w:val="-7"/>
              </w:rPr>
              <w:t>）</w:t>
            </w:r>
            <w:r>
              <w:rPr>
                <w:sz w:val="18"/>
                <w:szCs w:val="18"/>
                <w:spacing w:val="-63"/>
              </w:rPr>
              <w:t xml:space="preserve"> </w:t>
            </w:r>
            <w:r>
              <w:rPr>
                <w:sz w:val="18"/>
                <w:szCs w:val="18"/>
                <w:spacing w:val="-7"/>
              </w:rPr>
              <w:t>□</w:t>
            </w:r>
            <w:r>
              <w:rPr>
                <w:sz w:val="18"/>
                <w:szCs w:val="18"/>
              </w:rPr>
              <w:t xml:space="preserve"> </w:t>
            </w:r>
            <w:r>
              <w:rPr>
                <w:sz w:val="18"/>
                <w:szCs w:val="18"/>
                <w:spacing w:val="-5"/>
              </w:rPr>
              <w:t>不达标结论：</w:t>
            </w:r>
            <w:r>
              <w:rPr>
                <w:rFonts w:ascii="Times New Roman" w:hAnsi="Times New Roman" w:eastAsia="Times New Roman" w:cs="Times New Roman"/>
                <w:sz w:val="18"/>
                <w:szCs w:val="18"/>
                <w:spacing w:val="-5"/>
              </w:rPr>
              <w:t>a</w:t>
            </w:r>
            <w:r>
              <w:rPr>
                <w:sz w:val="18"/>
                <w:szCs w:val="18"/>
                <w:spacing w:val="-5"/>
              </w:rPr>
              <w:t>）</w:t>
            </w:r>
            <w:r>
              <w:rPr>
                <w:sz w:val="18"/>
                <w:szCs w:val="18"/>
                <w:spacing w:val="-62"/>
              </w:rPr>
              <w:t xml:space="preserve"> </w:t>
            </w:r>
            <w:r>
              <w:rPr>
                <w:sz w:val="18"/>
                <w:szCs w:val="18"/>
                <w:spacing w:val="-5"/>
              </w:rPr>
              <w:t>□</w:t>
            </w:r>
            <w:r>
              <w:rPr>
                <w:sz w:val="18"/>
                <w:szCs w:val="18"/>
                <w:spacing w:val="-67"/>
              </w:rPr>
              <w:t xml:space="preserve"> </w:t>
            </w:r>
            <w:r>
              <w:rPr>
                <w:sz w:val="18"/>
                <w:szCs w:val="18"/>
                <w:spacing w:val="-5"/>
              </w:rPr>
              <w:t>；</w:t>
            </w:r>
            <w:r>
              <w:rPr>
                <w:rFonts w:ascii="Times New Roman" w:hAnsi="Times New Roman" w:eastAsia="Times New Roman" w:cs="Times New Roman"/>
                <w:sz w:val="18"/>
                <w:szCs w:val="18"/>
                <w:spacing w:val="-5"/>
              </w:rPr>
              <w:t>b</w:t>
            </w:r>
            <w:r>
              <w:rPr>
                <w:sz w:val="18"/>
                <w:szCs w:val="18"/>
                <w:spacing w:val="-5"/>
              </w:rPr>
              <w:t>）</w:t>
            </w:r>
            <w:r>
              <w:rPr>
                <w:sz w:val="18"/>
                <w:szCs w:val="18"/>
                <w:spacing w:val="-64"/>
              </w:rPr>
              <w:t xml:space="preserve"> </w:t>
            </w:r>
            <w:r>
              <w:rPr>
                <w:sz w:val="18"/>
                <w:szCs w:val="18"/>
                <w:spacing w:val="-5"/>
              </w:rPr>
              <w:t>□</w:t>
            </w:r>
          </w:p>
        </w:tc>
        <w:tc>
          <w:tcPr>
            <w:tcW w:w="1089" w:type="dxa"/>
            <w:vAlign w:val="top"/>
          </w:tcPr>
          <w:p>
            <w:pPr>
              <w:rPr>
                <w:rFonts w:ascii="Arial"/>
                <w:sz w:val="21"/>
              </w:rPr>
            </w:pPr>
            <w:r/>
          </w:p>
        </w:tc>
      </w:tr>
      <w:tr>
        <w:trPr>
          <w:trHeight w:val="239" w:hRule="atLeast"/>
        </w:trPr>
        <w:tc>
          <w:tcPr>
            <w:tcW w:w="529" w:type="dxa"/>
            <w:vAlign w:val="top"/>
            <w:vMerge w:val="restart"/>
            <w:tcBorders>
              <w:bottom w:val="nil"/>
            </w:tcBorders>
          </w:tcPr>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3" w:lineRule="auto"/>
              <w:rPr>
                <w:rFonts w:ascii="Arial"/>
                <w:sz w:val="21"/>
              </w:rPr>
            </w:pPr>
            <w:r/>
          </w:p>
          <w:p>
            <w:pPr>
              <w:pStyle w:val="TableText"/>
              <w:ind w:left="100"/>
              <w:spacing w:before="59" w:line="220" w:lineRule="auto"/>
              <w:rPr>
                <w:sz w:val="18"/>
                <w:szCs w:val="18"/>
              </w:rPr>
            </w:pPr>
            <w:r>
              <w:rPr>
                <w:sz w:val="18"/>
                <w:szCs w:val="18"/>
                <w:spacing w:val="-10"/>
              </w:rPr>
              <w:t>防治</w:t>
            </w:r>
          </w:p>
          <w:p>
            <w:pPr>
              <w:pStyle w:val="TableText"/>
              <w:ind w:left="88"/>
              <w:spacing w:before="20" w:line="220" w:lineRule="auto"/>
              <w:rPr>
                <w:sz w:val="18"/>
                <w:szCs w:val="18"/>
              </w:rPr>
            </w:pPr>
            <w:r>
              <w:rPr>
                <w:sz w:val="18"/>
                <w:szCs w:val="18"/>
                <w:spacing w:val="-4"/>
              </w:rPr>
              <w:t>措施</w:t>
            </w:r>
          </w:p>
        </w:tc>
        <w:tc>
          <w:tcPr>
            <w:tcW w:w="1678" w:type="dxa"/>
            <w:vAlign w:val="top"/>
          </w:tcPr>
          <w:p>
            <w:pPr>
              <w:pStyle w:val="TableText"/>
              <w:ind w:left="492"/>
              <w:spacing w:before="32" w:line="202" w:lineRule="auto"/>
              <w:rPr>
                <w:sz w:val="18"/>
                <w:szCs w:val="18"/>
              </w:rPr>
            </w:pPr>
            <w:r>
              <w:rPr>
                <w:sz w:val="18"/>
                <w:szCs w:val="18"/>
                <w:spacing w:val="-5"/>
              </w:rPr>
              <w:t>防控措施</w:t>
            </w:r>
          </w:p>
        </w:tc>
        <w:tc>
          <w:tcPr>
            <w:tcW w:w="5255" w:type="dxa"/>
            <w:vAlign w:val="top"/>
            <w:gridSpan w:val="3"/>
          </w:tcPr>
          <w:p>
            <w:pPr>
              <w:pStyle w:val="TableText"/>
              <w:ind w:left="256"/>
              <w:spacing w:before="32" w:line="202" w:lineRule="auto"/>
              <w:rPr>
                <w:sz w:val="18"/>
                <w:szCs w:val="18"/>
              </w:rPr>
            </w:pPr>
            <w:r>
              <w:rPr>
                <w:sz w:val="18"/>
                <w:szCs w:val="18"/>
                <w:spacing w:val="-9"/>
              </w:rPr>
              <w:t>土壤环境质量现状保障</w:t>
            </w:r>
            <w:r>
              <w:rPr>
                <w:rFonts w:ascii="MS Gothic" w:hAnsi="MS Gothic" w:eastAsia="MS Gothic" w:cs="MS Gothic"/>
                <w:sz w:val="18"/>
                <w:szCs w:val="18"/>
                <w:spacing w:val="-9"/>
              </w:rPr>
              <w:t>☑</w:t>
            </w:r>
            <w:r>
              <w:rPr>
                <w:sz w:val="18"/>
                <w:szCs w:val="18"/>
                <w:spacing w:val="-9"/>
              </w:rPr>
              <w:t>；源头控制</w:t>
            </w:r>
            <w:r>
              <w:rPr>
                <w:rFonts w:ascii="MS Gothic" w:hAnsi="MS Gothic" w:eastAsia="MS Gothic" w:cs="MS Gothic"/>
                <w:sz w:val="18"/>
                <w:szCs w:val="18"/>
                <w:spacing w:val="-9"/>
              </w:rPr>
              <w:t>☑</w:t>
            </w:r>
            <w:r>
              <w:rPr>
                <w:sz w:val="18"/>
                <w:szCs w:val="18"/>
                <w:spacing w:val="-9"/>
              </w:rPr>
              <w:t>；过程防控</w:t>
            </w:r>
            <w:r>
              <w:rPr>
                <w:rFonts w:ascii="MS Gothic" w:hAnsi="MS Gothic" w:eastAsia="MS Gothic" w:cs="MS Gothic"/>
                <w:sz w:val="18"/>
                <w:szCs w:val="18"/>
                <w:spacing w:val="-9"/>
              </w:rPr>
              <w:t>☑</w:t>
            </w:r>
            <w:r>
              <w:rPr>
                <w:sz w:val="18"/>
                <w:szCs w:val="18"/>
                <w:spacing w:val="-31"/>
              </w:rPr>
              <w:t>；（</w:t>
            </w:r>
            <w:r>
              <w:rPr>
                <w:sz w:val="18"/>
                <w:szCs w:val="18"/>
                <w:spacing w:val="-9"/>
              </w:rPr>
              <w:t>其他）</w:t>
            </w:r>
          </w:p>
        </w:tc>
        <w:tc>
          <w:tcPr>
            <w:tcW w:w="1089" w:type="dxa"/>
            <w:vAlign w:val="top"/>
          </w:tcPr>
          <w:p>
            <w:pPr>
              <w:spacing w:line="229" w:lineRule="exact"/>
              <w:rPr>
                <w:rFonts w:ascii="Arial"/>
                <w:sz w:val="19"/>
              </w:rPr>
            </w:pPr>
            <w:r/>
          </w:p>
        </w:tc>
      </w:tr>
      <w:tr>
        <w:trPr>
          <w:trHeight w:val="238" w:hRule="atLeast"/>
        </w:trPr>
        <w:tc>
          <w:tcPr>
            <w:tcW w:w="529" w:type="dxa"/>
            <w:vAlign w:val="top"/>
            <w:vMerge w:val="continue"/>
            <w:tcBorders>
              <w:top w:val="nil"/>
              <w:bottom w:val="nil"/>
            </w:tcBorders>
          </w:tcPr>
          <w:p>
            <w:pPr>
              <w:rPr>
                <w:rFonts w:ascii="Arial"/>
                <w:sz w:val="21"/>
              </w:rPr>
            </w:pPr>
            <w:r/>
          </w:p>
        </w:tc>
        <w:tc>
          <w:tcPr>
            <w:tcW w:w="1678" w:type="dxa"/>
            <w:vAlign w:val="top"/>
            <w:vMerge w:val="restart"/>
            <w:tcBorders>
              <w:bottom w:val="nil"/>
            </w:tcBorders>
          </w:tcPr>
          <w:p>
            <w:pPr>
              <w:spacing w:line="284" w:lineRule="auto"/>
              <w:rPr>
                <w:rFonts w:ascii="Arial"/>
                <w:sz w:val="21"/>
              </w:rPr>
            </w:pPr>
            <w:r/>
          </w:p>
          <w:p>
            <w:pPr>
              <w:spacing w:line="284" w:lineRule="auto"/>
              <w:rPr>
                <w:rFonts w:ascii="Arial"/>
                <w:sz w:val="21"/>
              </w:rPr>
            </w:pPr>
            <w:r/>
          </w:p>
          <w:p>
            <w:pPr>
              <w:spacing w:line="284" w:lineRule="auto"/>
              <w:rPr>
                <w:rFonts w:ascii="Arial"/>
                <w:sz w:val="21"/>
              </w:rPr>
            </w:pPr>
            <w:r/>
          </w:p>
          <w:p>
            <w:pPr>
              <w:spacing w:line="284" w:lineRule="auto"/>
              <w:rPr>
                <w:rFonts w:ascii="Arial"/>
                <w:sz w:val="21"/>
              </w:rPr>
            </w:pPr>
            <w:r/>
          </w:p>
          <w:p>
            <w:pPr>
              <w:pStyle w:val="TableText"/>
              <w:ind w:left="480"/>
              <w:spacing w:before="58" w:line="220" w:lineRule="auto"/>
              <w:rPr>
                <w:sz w:val="18"/>
                <w:szCs w:val="18"/>
              </w:rPr>
            </w:pPr>
            <w:r>
              <w:rPr>
                <w:sz w:val="18"/>
                <w:szCs w:val="18"/>
                <w:spacing w:val="-2"/>
              </w:rPr>
              <w:t>跟踪监测</w:t>
            </w:r>
          </w:p>
        </w:tc>
        <w:tc>
          <w:tcPr>
            <w:tcW w:w="2656" w:type="dxa"/>
            <w:vAlign w:val="top"/>
          </w:tcPr>
          <w:p>
            <w:pPr>
              <w:pStyle w:val="TableText"/>
              <w:ind w:left="973"/>
              <w:spacing w:before="30" w:line="203" w:lineRule="auto"/>
              <w:rPr>
                <w:sz w:val="18"/>
                <w:szCs w:val="18"/>
              </w:rPr>
            </w:pPr>
            <w:r>
              <w:rPr>
                <w:sz w:val="18"/>
                <w:szCs w:val="18"/>
                <w:spacing w:val="-2"/>
              </w:rPr>
              <w:t>监测点数</w:t>
            </w:r>
          </w:p>
        </w:tc>
        <w:tc>
          <w:tcPr>
            <w:tcW w:w="1821" w:type="dxa"/>
            <w:vAlign w:val="top"/>
          </w:tcPr>
          <w:p>
            <w:pPr>
              <w:pStyle w:val="TableText"/>
              <w:ind w:left="557"/>
              <w:spacing w:before="30" w:line="203" w:lineRule="auto"/>
              <w:rPr>
                <w:sz w:val="18"/>
                <w:szCs w:val="18"/>
              </w:rPr>
            </w:pPr>
            <w:r>
              <w:rPr>
                <w:sz w:val="18"/>
                <w:szCs w:val="18"/>
                <w:spacing w:val="-2"/>
              </w:rPr>
              <w:t>监测指标</w:t>
            </w:r>
          </w:p>
        </w:tc>
        <w:tc>
          <w:tcPr>
            <w:tcW w:w="778" w:type="dxa"/>
            <w:vAlign w:val="top"/>
          </w:tcPr>
          <w:p>
            <w:pPr>
              <w:pStyle w:val="TableText"/>
              <w:ind w:left="36"/>
              <w:spacing w:before="30" w:line="203" w:lineRule="auto"/>
              <w:rPr>
                <w:sz w:val="18"/>
                <w:szCs w:val="18"/>
              </w:rPr>
            </w:pPr>
            <w:r>
              <w:rPr>
                <w:sz w:val="18"/>
                <w:szCs w:val="18"/>
                <w:spacing w:val="-2"/>
              </w:rPr>
              <w:t>监测频次</w:t>
            </w:r>
          </w:p>
        </w:tc>
        <w:tc>
          <w:tcPr>
            <w:tcW w:w="1089" w:type="dxa"/>
            <w:vAlign w:val="top"/>
          </w:tcPr>
          <w:p>
            <w:pPr>
              <w:spacing w:line="227" w:lineRule="exact"/>
              <w:rPr>
                <w:rFonts w:ascii="Arial"/>
                <w:sz w:val="19"/>
              </w:rPr>
            </w:pPr>
            <w:r/>
          </w:p>
        </w:tc>
      </w:tr>
      <w:tr>
        <w:trPr>
          <w:trHeight w:val="2338" w:hRule="atLeast"/>
        </w:trPr>
        <w:tc>
          <w:tcPr>
            <w:tcW w:w="529" w:type="dxa"/>
            <w:vAlign w:val="top"/>
            <w:vMerge w:val="continue"/>
            <w:tcBorders>
              <w:top w:val="nil"/>
              <w:bottom w:val="nil"/>
            </w:tcBorders>
          </w:tcPr>
          <w:p>
            <w:pPr>
              <w:rPr>
                <w:rFonts w:ascii="Arial"/>
                <w:sz w:val="21"/>
              </w:rPr>
            </w:pPr>
            <w:r/>
          </w:p>
        </w:tc>
        <w:tc>
          <w:tcPr>
            <w:tcW w:w="1678" w:type="dxa"/>
            <w:vAlign w:val="top"/>
            <w:vMerge w:val="continue"/>
            <w:tcBorders>
              <w:top w:val="nil"/>
            </w:tcBorders>
          </w:tcPr>
          <w:p>
            <w:pPr>
              <w:rPr>
                <w:rFonts w:ascii="Arial"/>
                <w:sz w:val="21"/>
              </w:rPr>
            </w:pPr>
            <w:r/>
          </w:p>
        </w:tc>
        <w:tc>
          <w:tcPr>
            <w:tcW w:w="2656" w:type="dxa"/>
            <w:vAlign w:val="top"/>
          </w:tcPr>
          <w:p>
            <w:pPr>
              <w:spacing w:line="318" w:lineRule="auto"/>
              <w:rPr>
                <w:rFonts w:ascii="Arial"/>
                <w:sz w:val="21"/>
              </w:rPr>
            </w:pPr>
            <w:r/>
          </w:p>
          <w:p>
            <w:pPr>
              <w:pStyle w:val="TableText"/>
              <w:ind w:left="6" w:right="1" w:firstLine="5"/>
              <w:spacing w:before="58"/>
              <w:jc w:val="both"/>
              <w:rPr>
                <w:sz w:val="18"/>
                <w:szCs w:val="18"/>
              </w:rPr>
            </w:pPr>
            <w:r>
              <w:rPr>
                <w:sz w:val="18"/>
                <w:szCs w:val="18"/>
                <w:spacing w:val="-5"/>
              </w:rPr>
              <w:t>西厂区内设</w:t>
            </w:r>
            <w:r>
              <w:rPr>
                <w:sz w:val="18"/>
                <w:szCs w:val="18"/>
                <w:spacing w:val="-31"/>
              </w:rPr>
              <w:t xml:space="preserve"> </w:t>
            </w:r>
            <w:r>
              <w:rPr>
                <w:rFonts w:ascii="Times New Roman" w:hAnsi="Times New Roman" w:eastAsia="Times New Roman" w:cs="Times New Roman"/>
                <w:sz w:val="18"/>
                <w:szCs w:val="18"/>
                <w:spacing w:val="-5"/>
              </w:rPr>
              <w:t>2 </w:t>
            </w:r>
            <w:r>
              <w:rPr>
                <w:sz w:val="18"/>
                <w:szCs w:val="18"/>
                <w:spacing w:val="-5"/>
              </w:rPr>
              <w:t>个监测点位（分别位</w:t>
            </w:r>
            <w:r>
              <w:rPr>
                <w:sz w:val="18"/>
                <w:szCs w:val="18"/>
              </w:rPr>
              <w:t xml:space="preserve"> </w:t>
            </w:r>
            <w:r>
              <w:rPr>
                <w:sz w:val="18"/>
                <w:szCs w:val="18"/>
                <w:spacing w:val="-4"/>
              </w:rPr>
              <w:t>于洗毛车间附近、厌氧发酵装置附</w:t>
            </w:r>
            <w:r>
              <w:rPr>
                <w:sz w:val="18"/>
                <w:szCs w:val="18"/>
              </w:rPr>
              <w:t xml:space="preserve"> </w:t>
            </w:r>
            <w:r>
              <w:rPr>
                <w:sz w:val="18"/>
                <w:szCs w:val="18"/>
                <w:spacing w:val="-18"/>
              </w:rPr>
              <w:t>近）、东厂区内</w:t>
            </w:r>
            <w:r>
              <w:rPr>
                <w:sz w:val="18"/>
                <w:szCs w:val="18"/>
                <w:spacing w:val="-17"/>
              </w:rPr>
              <w:t>设</w:t>
            </w:r>
            <w:r>
              <w:rPr>
                <w:sz w:val="18"/>
                <w:szCs w:val="18"/>
                <w:spacing w:val="-19"/>
              </w:rPr>
              <w:t xml:space="preserve"> </w:t>
            </w:r>
            <w:r>
              <w:rPr>
                <w:rFonts w:ascii="Times New Roman" w:hAnsi="Times New Roman" w:eastAsia="Times New Roman" w:cs="Times New Roman"/>
                <w:sz w:val="18"/>
                <w:szCs w:val="18"/>
                <w:spacing w:val="-17"/>
              </w:rPr>
              <w:t>1</w:t>
            </w:r>
            <w:r>
              <w:rPr>
                <w:rFonts w:ascii="Times New Roman" w:hAnsi="Times New Roman" w:eastAsia="Times New Roman" w:cs="Times New Roman"/>
                <w:sz w:val="18"/>
                <w:szCs w:val="18"/>
                <w:spacing w:val="6"/>
              </w:rPr>
              <w:t xml:space="preserve"> </w:t>
            </w:r>
            <w:r>
              <w:rPr>
                <w:sz w:val="18"/>
                <w:szCs w:val="18"/>
                <w:spacing w:val="-17"/>
              </w:rPr>
              <w:t>个监测点位（</w:t>
            </w:r>
            <w:r>
              <w:rPr>
                <w:sz w:val="18"/>
                <w:szCs w:val="18"/>
                <w:spacing w:val="-10"/>
              </w:rPr>
              <w:t>位</w:t>
            </w:r>
            <w:r>
              <w:rPr>
                <w:sz w:val="18"/>
                <w:szCs w:val="18"/>
              </w:rPr>
              <w:t xml:space="preserve"> </w:t>
            </w:r>
            <w:r>
              <w:rPr>
                <w:sz w:val="18"/>
                <w:szCs w:val="18"/>
                <w:spacing w:val="-2"/>
              </w:rPr>
              <w:t>于洗毛车间附近</w:t>
            </w:r>
            <w:r>
              <w:rPr>
                <w:sz w:val="18"/>
                <w:szCs w:val="18"/>
                <w:spacing w:val="-17"/>
              </w:rPr>
              <w:t>），</w:t>
            </w:r>
            <w:r>
              <w:rPr>
                <w:sz w:val="18"/>
                <w:szCs w:val="18"/>
                <w:spacing w:val="-2"/>
              </w:rPr>
              <w:t>西厂区南部东</w:t>
            </w:r>
            <w:r>
              <w:rPr>
                <w:sz w:val="18"/>
                <w:szCs w:val="18"/>
              </w:rPr>
              <w:t xml:space="preserve"> </w:t>
            </w:r>
            <w:r>
              <w:rPr>
                <w:sz w:val="18"/>
                <w:szCs w:val="18"/>
                <w:spacing w:val="-6"/>
              </w:rPr>
              <w:t>侧牧草地设</w:t>
            </w:r>
            <w:r>
              <w:rPr>
                <w:sz w:val="18"/>
                <w:szCs w:val="18"/>
                <w:spacing w:val="-9"/>
              </w:rPr>
              <w:t xml:space="preserve"> </w:t>
            </w:r>
            <w:r>
              <w:rPr>
                <w:rFonts w:ascii="Times New Roman" w:hAnsi="Times New Roman" w:eastAsia="Times New Roman" w:cs="Times New Roman"/>
                <w:sz w:val="18"/>
                <w:szCs w:val="18"/>
                <w:spacing w:val="-6"/>
              </w:rPr>
              <w:t>1 </w:t>
            </w:r>
            <w:r>
              <w:rPr>
                <w:sz w:val="18"/>
                <w:szCs w:val="18"/>
                <w:spacing w:val="-6"/>
              </w:rPr>
              <w:t>个监测点位、东厂区</w:t>
            </w:r>
            <w:r>
              <w:rPr>
                <w:sz w:val="18"/>
                <w:szCs w:val="18"/>
              </w:rPr>
              <w:t xml:space="preserve"> </w:t>
            </w:r>
            <w:r>
              <w:rPr>
                <w:sz w:val="18"/>
                <w:szCs w:val="18"/>
                <w:spacing w:val="-3"/>
              </w:rPr>
              <w:t>东侧耕地设</w:t>
            </w:r>
            <w:r>
              <w:rPr>
                <w:sz w:val="18"/>
                <w:szCs w:val="18"/>
                <w:spacing w:val="-20"/>
              </w:rPr>
              <w:t xml:space="preserve"> </w:t>
            </w:r>
            <w:r>
              <w:rPr>
                <w:rFonts w:ascii="Times New Roman" w:hAnsi="Times New Roman" w:eastAsia="Times New Roman" w:cs="Times New Roman"/>
                <w:sz w:val="18"/>
                <w:szCs w:val="18"/>
                <w:spacing w:val="-3"/>
              </w:rPr>
              <w:t>1 </w:t>
            </w:r>
            <w:r>
              <w:rPr>
                <w:sz w:val="18"/>
                <w:szCs w:val="18"/>
                <w:spacing w:val="-3"/>
              </w:rPr>
              <w:t>个监测点位，共计</w:t>
            </w:r>
            <w:r>
              <w:rPr>
                <w:sz w:val="18"/>
                <w:szCs w:val="18"/>
                <w:spacing w:val="-36"/>
              </w:rPr>
              <w:t xml:space="preserve"> </w:t>
            </w:r>
            <w:r>
              <w:rPr>
                <w:rFonts w:ascii="Times New Roman" w:hAnsi="Times New Roman" w:eastAsia="Times New Roman" w:cs="Times New Roman"/>
                <w:sz w:val="18"/>
                <w:szCs w:val="18"/>
                <w:spacing w:val="-3"/>
              </w:rPr>
              <w:t>5</w:t>
            </w:r>
            <w:r>
              <w:rPr>
                <w:rFonts w:ascii="Times New Roman" w:hAnsi="Times New Roman" w:eastAsia="Times New Roman" w:cs="Times New Roman"/>
                <w:sz w:val="18"/>
                <w:szCs w:val="18"/>
              </w:rPr>
              <w:t xml:space="preserve"> </w:t>
            </w:r>
            <w:r>
              <w:rPr>
                <w:sz w:val="18"/>
                <w:szCs w:val="18"/>
                <w:spacing w:val="-1"/>
              </w:rPr>
              <w:t>个监测点位。</w:t>
            </w:r>
          </w:p>
        </w:tc>
        <w:tc>
          <w:tcPr>
            <w:tcW w:w="1821" w:type="dxa"/>
            <w:vAlign w:val="top"/>
          </w:tcPr>
          <w:p>
            <w:pPr>
              <w:pStyle w:val="TableText"/>
              <w:ind w:left="7" w:firstLine="5"/>
              <w:spacing w:before="33" w:line="239" w:lineRule="auto"/>
              <w:rPr>
                <w:sz w:val="18"/>
                <w:szCs w:val="18"/>
              </w:rPr>
            </w:pPr>
            <w:r>
              <w:rPr>
                <w:sz w:val="18"/>
                <w:szCs w:val="18"/>
                <w:spacing w:val="-17"/>
              </w:rPr>
              <w:t>厂</w:t>
            </w:r>
            <w:r>
              <w:rPr>
                <w:sz w:val="18"/>
                <w:szCs w:val="18"/>
                <w:spacing w:val="26"/>
              </w:rPr>
              <w:t xml:space="preserve"> </w:t>
            </w:r>
            <w:r>
              <w:rPr>
                <w:sz w:val="18"/>
                <w:szCs w:val="18"/>
                <w:spacing w:val="-17"/>
              </w:rPr>
              <w:t>区</w:t>
            </w:r>
            <w:r>
              <w:rPr>
                <w:sz w:val="18"/>
                <w:szCs w:val="18"/>
                <w:spacing w:val="33"/>
              </w:rPr>
              <w:t xml:space="preserve"> </w:t>
            </w:r>
            <w:r>
              <w:rPr>
                <w:sz w:val="18"/>
                <w:szCs w:val="18"/>
                <w:spacing w:val="-17"/>
              </w:rPr>
              <w:t>内</w:t>
            </w:r>
            <w:r>
              <w:rPr>
                <w:sz w:val="18"/>
                <w:szCs w:val="18"/>
                <w:spacing w:val="8"/>
              </w:rPr>
              <w:t xml:space="preserve"> </w:t>
            </w:r>
            <w:r>
              <w:rPr>
                <w:sz w:val="18"/>
                <w:szCs w:val="18"/>
                <w:spacing w:val="-17"/>
              </w:rPr>
              <w:t>监</w:t>
            </w:r>
            <w:r>
              <w:rPr>
                <w:sz w:val="18"/>
                <w:szCs w:val="18"/>
                <w:spacing w:val="9"/>
              </w:rPr>
              <w:t xml:space="preserve"> </w:t>
            </w:r>
            <w:r>
              <w:rPr>
                <w:sz w:val="18"/>
                <w:szCs w:val="18"/>
                <w:spacing w:val="-17"/>
              </w:rPr>
              <w:t>测</w:t>
            </w:r>
            <w:r>
              <w:rPr>
                <w:sz w:val="18"/>
                <w:szCs w:val="18"/>
                <w:spacing w:val="20"/>
              </w:rPr>
              <w:t xml:space="preserve"> </w:t>
            </w:r>
            <w:r>
              <w:rPr>
                <w:sz w:val="18"/>
                <w:szCs w:val="18"/>
                <w:spacing w:val="-17"/>
              </w:rPr>
              <w:t>点</w:t>
            </w:r>
            <w:r>
              <w:rPr>
                <w:sz w:val="18"/>
                <w:szCs w:val="18"/>
                <w:spacing w:val="24"/>
              </w:rPr>
              <w:t xml:space="preserve"> </w:t>
            </w:r>
            <w:r>
              <w:rPr>
                <w:sz w:val="18"/>
                <w:szCs w:val="18"/>
                <w:spacing w:val="-17"/>
              </w:rPr>
              <w:t>：</w:t>
            </w:r>
            <w:r>
              <w:rPr>
                <w:sz w:val="18"/>
                <w:szCs w:val="18"/>
              </w:rPr>
              <w:t xml:space="preserve"> </w:t>
            </w:r>
            <w:r>
              <w:rPr>
                <w:rFonts w:ascii="Times New Roman" w:hAnsi="Times New Roman" w:eastAsia="Times New Roman" w:cs="Times New Roman"/>
                <w:sz w:val="18"/>
                <w:szCs w:val="18"/>
                <w:spacing w:val="-3"/>
              </w:rPr>
              <w:t>GB36600   </w:t>
            </w:r>
            <w:r>
              <w:rPr>
                <w:sz w:val="18"/>
                <w:szCs w:val="18"/>
                <w:spacing w:val="-3"/>
              </w:rPr>
              <w:t>基 本</w:t>
            </w:r>
            <w:r>
              <w:rPr>
                <w:sz w:val="18"/>
                <w:szCs w:val="18"/>
                <w:spacing w:val="20"/>
              </w:rPr>
              <w:t xml:space="preserve"> </w:t>
            </w:r>
            <w:r>
              <w:rPr>
                <w:sz w:val="18"/>
                <w:szCs w:val="18"/>
                <w:spacing w:val="-3"/>
              </w:rPr>
              <w:t>因</w:t>
            </w:r>
            <w:r>
              <w:rPr>
                <w:sz w:val="18"/>
                <w:szCs w:val="18"/>
                <w:spacing w:val="4"/>
              </w:rPr>
              <w:t xml:space="preserve"> </w:t>
            </w:r>
            <w:r>
              <w:rPr>
                <w:sz w:val="18"/>
                <w:szCs w:val="18"/>
                <w:spacing w:val="-3"/>
              </w:rPr>
              <w:t>子</w:t>
            </w:r>
            <w:r>
              <w:rPr>
                <w:sz w:val="18"/>
                <w:szCs w:val="18"/>
              </w:rPr>
              <w:t xml:space="preserve"> </w:t>
            </w:r>
            <w:r>
              <w:rPr>
                <w:rFonts w:ascii="Times New Roman" w:hAnsi="Times New Roman" w:eastAsia="Times New Roman" w:cs="Times New Roman"/>
                <w:sz w:val="18"/>
                <w:szCs w:val="18"/>
                <w:spacing w:val="-4"/>
              </w:rPr>
              <w:t>+pH</w:t>
            </w:r>
            <w:r>
              <w:rPr>
                <w:sz w:val="18"/>
                <w:szCs w:val="18"/>
                <w:spacing w:val="-4"/>
              </w:rPr>
              <w:t>、</w:t>
            </w:r>
            <w:r>
              <w:rPr>
                <w:rFonts w:ascii="Times New Roman" w:hAnsi="Times New Roman" w:eastAsia="Times New Roman" w:cs="Times New Roman"/>
                <w:sz w:val="18"/>
                <w:szCs w:val="18"/>
                <w:spacing w:val="-4"/>
              </w:rPr>
              <w:t>CODcr</w:t>
            </w:r>
            <w:r>
              <w:rPr>
                <w:rFonts w:ascii="Times New Roman" w:hAnsi="Times New Roman" w:eastAsia="Times New Roman" w:cs="Times New Roman"/>
                <w:sz w:val="18"/>
                <w:szCs w:val="18"/>
                <w:spacing w:val="-17"/>
              </w:rPr>
              <w:t xml:space="preserve"> </w:t>
            </w:r>
            <w:r>
              <w:rPr>
                <w:sz w:val="18"/>
                <w:szCs w:val="18"/>
                <w:spacing w:val="-4"/>
              </w:rPr>
              <w:t>、</w:t>
            </w:r>
            <w:r>
              <w:rPr>
                <w:rFonts w:ascii="Times New Roman" w:hAnsi="Times New Roman" w:eastAsia="Times New Roman" w:cs="Times New Roman"/>
                <w:sz w:val="18"/>
                <w:szCs w:val="18"/>
                <w:spacing w:val="-4"/>
              </w:rPr>
              <w:t>BOD</w:t>
            </w:r>
            <w:r>
              <w:rPr>
                <w:rFonts w:ascii="Times New Roman" w:hAnsi="Times New Roman" w:eastAsia="Times New Roman" w:cs="Times New Roman"/>
                <w:sz w:val="11"/>
                <w:szCs w:val="11"/>
                <w:spacing w:val="-4"/>
                <w:position w:val="-1"/>
              </w:rPr>
              <w:t>5</w:t>
            </w:r>
            <w:r>
              <w:rPr>
                <w:rFonts w:ascii="Times New Roman" w:hAnsi="Times New Roman" w:eastAsia="Times New Roman" w:cs="Times New Roman"/>
                <w:sz w:val="11"/>
                <w:szCs w:val="11"/>
                <w:spacing w:val="-5"/>
                <w:position w:val="-1"/>
              </w:rPr>
              <w:t xml:space="preserve"> </w:t>
            </w:r>
            <w:r>
              <w:rPr>
                <w:sz w:val="18"/>
                <w:szCs w:val="18"/>
                <w:spacing w:val="-4"/>
              </w:rPr>
              <w:t>、</w:t>
            </w:r>
            <w:r>
              <w:rPr>
                <w:sz w:val="18"/>
                <w:szCs w:val="18"/>
              </w:rPr>
              <w:t xml:space="preserve"> </w:t>
            </w:r>
            <w:r>
              <w:rPr>
                <w:sz w:val="18"/>
                <w:szCs w:val="18"/>
              </w:rPr>
              <w:t>氨氮、动植物油、石油</w:t>
            </w:r>
            <w:r>
              <w:rPr>
                <w:sz w:val="18"/>
                <w:szCs w:val="18"/>
                <w:spacing w:val="7"/>
              </w:rPr>
              <w:t xml:space="preserve"> </w:t>
            </w:r>
            <w:r>
              <w:rPr>
                <w:sz w:val="18"/>
                <w:szCs w:val="18"/>
              </w:rPr>
              <w:t>烃（</w:t>
            </w:r>
            <w:r>
              <w:rPr>
                <w:rFonts w:ascii="Times New Roman" w:hAnsi="Times New Roman" w:eastAsia="Times New Roman" w:cs="Times New Roman"/>
                <w:sz w:val="18"/>
                <w:szCs w:val="18"/>
              </w:rPr>
              <w:t>C</w:t>
            </w:r>
            <w:r>
              <w:rPr>
                <w:rFonts w:ascii="Times New Roman" w:hAnsi="Times New Roman" w:eastAsia="Times New Roman" w:cs="Times New Roman"/>
                <w:sz w:val="11"/>
                <w:szCs w:val="11"/>
                <w:position w:val="-1"/>
              </w:rPr>
              <w:t>10</w:t>
            </w:r>
            <w:r>
              <w:rPr>
                <w:rFonts w:ascii="Times New Roman" w:hAnsi="Times New Roman" w:eastAsia="Times New Roman" w:cs="Times New Roman"/>
                <w:sz w:val="18"/>
                <w:szCs w:val="18"/>
              </w:rPr>
              <w:t>-C</w:t>
            </w:r>
            <w:r>
              <w:rPr>
                <w:rFonts w:ascii="Times New Roman" w:hAnsi="Times New Roman" w:eastAsia="Times New Roman" w:cs="Times New Roman"/>
                <w:sz w:val="11"/>
                <w:szCs w:val="11"/>
                <w:position w:val="-1"/>
              </w:rPr>
              <w:t>40</w:t>
            </w:r>
            <w:r>
              <w:rPr>
                <w:sz w:val="18"/>
                <w:szCs w:val="18"/>
              </w:rPr>
              <w:t>）</w:t>
            </w:r>
          </w:p>
          <w:p>
            <w:pPr>
              <w:pStyle w:val="TableText"/>
              <w:ind w:left="10" w:firstLine="2"/>
              <w:spacing w:before="3" w:line="231" w:lineRule="auto"/>
              <w:rPr>
                <w:sz w:val="18"/>
                <w:szCs w:val="18"/>
              </w:rPr>
            </w:pPr>
            <w:r>
              <w:rPr>
                <w:sz w:val="18"/>
                <w:szCs w:val="18"/>
                <w:spacing w:val="-15"/>
              </w:rPr>
              <w:t>厂</w:t>
            </w:r>
            <w:r>
              <w:rPr>
                <w:sz w:val="18"/>
                <w:szCs w:val="18"/>
                <w:spacing w:val="18"/>
              </w:rPr>
              <w:t xml:space="preserve"> </w:t>
            </w:r>
            <w:r>
              <w:rPr>
                <w:sz w:val="18"/>
                <w:szCs w:val="18"/>
                <w:spacing w:val="-15"/>
              </w:rPr>
              <w:t>区</w:t>
            </w:r>
            <w:r>
              <w:rPr>
                <w:sz w:val="18"/>
                <w:szCs w:val="18"/>
                <w:spacing w:val="11"/>
              </w:rPr>
              <w:t xml:space="preserve"> </w:t>
            </w:r>
            <w:r>
              <w:rPr>
                <w:sz w:val="18"/>
                <w:szCs w:val="18"/>
                <w:spacing w:val="-15"/>
              </w:rPr>
              <w:t>外</w:t>
            </w:r>
            <w:r>
              <w:rPr>
                <w:sz w:val="18"/>
                <w:szCs w:val="18"/>
                <w:spacing w:val="6"/>
              </w:rPr>
              <w:t xml:space="preserve"> </w:t>
            </w:r>
            <w:r>
              <w:rPr>
                <w:sz w:val="18"/>
                <w:szCs w:val="18"/>
                <w:spacing w:val="-15"/>
              </w:rPr>
              <w:t>监</w:t>
            </w:r>
            <w:r>
              <w:rPr>
                <w:sz w:val="18"/>
                <w:szCs w:val="18"/>
                <w:spacing w:val="6"/>
              </w:rPr>
              <w:t xml:space="preserve"> </w:t>
            </w:r>
            <w:r>
              <w:rPr>
                <w:sz w:val="18"/>
                <w:szCs w:val="18"/>
                <w:spacing w:val="-15"/>
              </w:rPr>
              <w:t>测</w:t>
            </w:r>
            <w:r>
              <w:rPr>
                <w:sz w:val="18"/>
                <w:szCs w:val="18"/>
                <w:spacing w:val="16"/>
              </w:rPr>
              <w:t xml:space="preserve"> </w:t>
            </w:r>
            <w:r>
              <w:rPr>
                <w:sz w:val="18"/>
                <w:szCs w:val="18"/>
                <w:spacing w:val="-15"/>
              </w:rPr>
              <w:t>点</w:t>
            </w:r>
            <w:r>
              <w:rPr>
                <w:sz w:val="18"/>
                <w:szCs w:val="18"/>
                <w:spacing w:val="20"/>
              </w:rPr>
              <w:t xml:space="preserve"> </w:t>
            </w:r>
            <w:r>
              <w:rPr>
                <w:sz w:val="18"/>
                <w:szCs w:val="18"/>
                <w:spacing w:val="-15"/>
              </w:rPr>
              <w:t>：</w:t>
            </w:r>
            <w:r>
              <w:rPr>
                <w:sz w:val="18"/>
                <w:szCs w:val="18"/>
              </w:rPr>
              <w:t xml:space="preserve"> </w:t>
            </w:r>
            <w:r>
              <w:rPr>
                <w:rFonts w:ascii="Times New Roman" w:hAnsi="Times New Roman" w:eastAsia="Times New Roman" w:cs="Times New Roman"/>
                <w:sz w:val="18"/>
                <w:szCs w:val="18"/>
                <w:spacing w:val="-7"/>
              </w:rPr>
              <w:t>GB15618-2018</w:t>
            </w:r>
            <w:r>
              <w:rPr>
                <w:rFonts w:ascii="Times New Roman" w:hAnsi="Times New Roman" w:eastAsia="Times New Roman" w:cs="Times New Roman"/>
                <w:sz w:val="18"/>
                <w:szCs w:val="18"/>
                <w:spacing w:val="50"/>
                <w:w w:val="101"/>
              </w:rPr>
              <w:t xml:space="preserve"> </w:t>
            </w:r>
            <w:r>
              <w:rPr>
                <w:sz w:val="18"/>
                <w:szCs w:val="18"/>
                <w:spacing w:val="-7"/>
              </w:rPr>
              <w:t>基</w:t>
            </w:r>
            <w:r>
              <w:rPr>
                <w:sz w:val="18"/>
                <w:szCs w:val="18"/>
                <w:spacing w:val="-48"/>
              </w:rPr>
              <w:t xml:space="preserve"> </w:t>
            </w:r>
            <w:r>
              <w:rPr>
                <w:sz w:val="18"/>
                <w:szCs w:val="18"/>
                <w:spacing w:val="-7"/>
              </w:rPr>
              <w:t>本</w:t>
            </w:r>
            <w:r>
              <w:rPr>
                <w:sz w:val="18"/>
                <w:szCs w:val="18"/>
                <w:spacing w:val="-35"/>
              </w:rPr>
              <w:t xml:space="preserve"> </w:t>
            </w:r>
            <w:r>
              <w:rPr>
                <w:sz w:val="18"/>
                <w:szCs w:val="18"/>
                <w:spacing w:val="-7"/>
              </w:rPr>
              <w:t>因</w:t>
            </w:r>
            <w:r>
              <w:rPr>
                <w:sz w:val="18"/>
                <w:szCs w:val="18"/>
              </w:rPr>
              <w:t xml:space="preserve"> </w:t>
            </w:r>
            <w:r>
              <w:rPr>
                <w:sz w:val="18"/>
                <w:szCs w:val="18"/>
                <w:spacing w:val="-15"/>
              </w:rPr>
              <w:t>子</w:t>
            </w:r>
            <w:r>
              <w:rPr>
                <w:rFonts w:ascii="Times New Roman" w:hAnsi="Times New Roman" w:eastAsia="Times New Roman" w:cs="Times New Roman"/>
                <w:sz w:val="18"/>
                <w:szCs w:val="18"/>
                <w:spacing w:val="-15"/>
              </w:rPr>
              <w:t>+pH</w:t>
            </w:r>
            <w:r>
              <w:rPr>
                <w:sz w:val="18"/>
                <w:szCs w:val="18"/>
                <w:spacing w:val="-15"/>
              </w:rPr>
              <w:t>、</w:t>
            </w:r>
            <w:r>
              <w:rPr>
                <w:rFonts w:ascii="Times New Roman" w:hAnsi="Times New Roman" w:eastAsia="Times New Roman" w:cs="Times New Roman"/>
                <w:sz w:val="18"/>
                <w:szCs w:val="18"/>
                <w:spacing w:val="-15"/>
              </w:rPr>
              <w:t>CODcr</w:t>
            </w:r>
            <w:r>
              <w:rPr>
                <w:sz w:val="18"/>
                <w:szCs w:val="18"/>
                <w:spacing w:val="-15"/>
              </w:rPr>
              <w:t>、</w:t>
            </w:r>
            <w:r>
              <w:rPr>
                <w:rFonts w:ascii="Times New Roman" w:hAnsi="Times New Roman" w:eastAsia="Times New Roman" w:cs="Times New Roman"/>
                <w:sz w:val="18"/>
                <w:szCs w:val="18"/>
                <w:spacing w:val="-15"/>
              </w:rPr>
              <w:t>BOD5</w:t>
            </w:r>
            <w:r>
              <w:rPr>
                <w:sz w:val="18"/>
                <w:szCs w:val="18"/>
                <w:spacing w:val="-15"/>
              </w:rPr>
              <w:t>、</w:t>
            </w:r>
            <w:r>
              <w:rPr>
                <w:sz w:val="18"/>
                <w:szCs w:val="18"/>
                <w:spacing w:val="12"/>
              </w:rPr>
              <w:t xml:space="preserve"> </w:t>
            </w:r>
            <w:r>
              <w:rPr>
                <w:sz w:val="18"/>
                <w:szCs w:val="18"/>
                <w:spacing w:val="-6"/>
              </w:rPr>
              <w:t>氨氮、动植物油、石油</w:t>
            </w:r>
            <w:r>
              <w:rPr>
                <w:sz w:val="18"/>
                <w:szCs w:val="18"/>
                <w:spacing w:val="8"/>
              </w:rPr>
              <w:t xml:space="preserve"> </w:t>
            </w:r>
            <w:r>
              <w:rPr>
                <w:sz w:val="18"/>
                <w:szCs w:val="18"/>
                <w:spacing w:val="-3"/>
              </w:rPr>
              <w:t>烃（</w:t>
            </w:r>
            <w:r>
              <w:rPr>
                <w:rFonts w:ascii="Times New Roman" w:hAnsi="Times New Roman" w:eastAsia="Times New Roman" w:cs="Times New Roman"/>
                <w:sz w:val="18"/>
                <w:szCs w:val="18"/>
                <w:spacing w:val="-3"/>
              </w:rPr>
              <w:t>C</w:t>
            </w:r>
            <w:r>
              <w:rPr>
                <w:rFonts w:ascii="Times New Roman" w:hAnsi="Times New Roman" w:eastAsia="Times New Roman" w:cs="Times New Roman"/>
                <w:sz w:val="11"/>
                <w:szCs w:val="11"/>
                <w:spacing w:val="-3"/>
                <w:position w:val="-1"/>
              </w:rPr>
              <w:t>10</w:t>
            </w:r>
            <w:r>
              <w:rPr>
                <w:rFonts w:ascii="Times New Roman" w:hAnsi="Times New Roman" w:eastAsia="Times New Roman" w:cs="Times New Roman"/>
                <w:sz w:val="18"/>
                <w:szCs w:val="18"/>
                <w:spacing w:val="-3"/>
              </w:rPr>
              <w:t>-C</w:t>
            </w:r>
            <w:r>
              <w:rPr>
                <w:rFonts w:ascii="Times New Roman" w:hAnsi="Times New Roman" w:eastAsia="Times New Roman" w:cs="Times New Roman"/>
                <w:sz w:val="11"/>
                <w:szCs w:val="11"/>
                <w:spacing w:val="-3"/>
                <w:position w:val="-1"/>
              </w:rPr>
              <w:t>40</w:t>
            </w:r>
            <w:r>
              <w:rPr>
                <w:sz w:val="18"/>
                <w:szCs w:val="18"/>
                <w:spacing w:val="-3"/>
              </w:rPr>
              <w:t>）</w:t>
            </w:r>
          </w:p>
        </w:tc>
        <w:tc>
          <w:tcPr>
            <w:tcW w:w="778" w:type="dxa"/>
            <w:vAlign w:val="top"/>
          </w:tcPr>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pStyle w:val="TableText"/>
              <w:ind w:left="69"/>
              <w:spacing w:before="59" w:line="219" w:lineRule="auto"/>
              <w:rPr>
                <w:sz w:val="18"/>
                <w:szCs w:val="18"/>
              </w:rPr>
            </w:pPr>
            <w:r>
              <w:rPr>
                <w:rFonts w:ascii="Times New Roman" w:hAnsi="Times New Roman" w:eastAsia="Times New Roman" w:cs="Times New Roman"/>
                <w:sz w:val="18"/>
                <w:szCs w:val="18"/>
                <w:spacing w:val="-7"/>
              </w:rPr>
              <w:t>1</w:t>
            </w:r>
            <w:r>
              <w:rPr>
                <w:rFonts w:ascii="Times New Roman" w:hAnsi="Times New Roman" w:eastAsia="Times New Roman" w:cs="Times New Roman"/>
                <w:sz w:val="18"/>
                <w:szCs w:val="18"/>
                <w:spacing w:val="12"/>
                <w:w w:val="101"/>
              </w:rPr>
              <w:t xml:space="preserve"> </w:t>
            </w:r>
            <w:r>
              <w:rPr>
                <w:sz w:val="18"/>
                <w:szCs w:val="18"/>
                <w:spacing w:val="-7"/>
              </w:rPr>
              <w:t>次</w:t>
            </w:r>
            <w:r>
              <w:rPr>
                <w:rFonts w:ascii="Times New Roman" w:hAnsi="Times New Roman" w:eastAsia="Times New Roman" w:cs="Times New Roman"/>
                <w:sz w:val="18"/>
                <w:szCs w:val="18"/>
                <w:spacing w:val="-7"/>
              </w:rPr>
              <w:t>/5</w:t>
            </w:r>
            <w:r>
              <w:rPr>
                <w:rFonts w:ascii="Times New Roman" w:hAnsi="Times New Roman" w:eastAsia="Times New Roman" w:cs="Times New Roman"/>
                <w:sz w:val="18"/>
                <w:szCs w:val="18"/>
                <w:spacing w:val="7"/>
              </w:rPr>
              <w:t xml:space="preserve"> </w:t>
            </w:r>
            <w:r>
              <w:rPr>
                <w:sz w:val="18"/>
                <w:szCs w:val="18"/>
                <w:spacing w:val="-7"/>
              </w:rPr>
              <w:t>年</w:t>
            </w:r>
          </w:p>
        </w:tc>
        <w:tc>
          <w:tcPr>
            <w:tcW w:w="1089" w:type="dxa"/>
            <w:vAlign w:val="top"/>
          </w:tcPr>
          <w:p>
            <w:pPr>
              <w:rPr>
                <w:rFonts w:ascii="Arial"/>
                <w:sz w:val="21"/>
              </w:rPr>
            </w:pPr>
            <w:r/>
          </w:p>
        </w:tc>
      </w:tr>
      <w:tr>
        <w:trPr>
          <w:trHeight w:val="239" w:hRule="atLeast"/>
        </w:trPr>
        <w:tc>
          <w:tcPr>
            <w:tcW w:w="529" w:type="dxa"/>
            <w:vAlign w:val="top"/>
            <w:vMerge w:val="continue"/>
            <w:tcBorders>
              <w:top w:val="nil"/>
            </w:tcBorders>
          </w:tcPr>
          <w:p>
            <w:pPr>
              <w:rPr>
                <w:rFonts w:ascii="Arial"/>
                <w:sz w:val="21"/>
              </w:rPr>
            </w:pPr>
            <w:r/>
          </w:p>
        </w:tc>
        <w:tc>
          <w:tcPr>
            <w:tcW w:w="1678" w:type="dxa"/>
            <w:vAlign w:val="top"/>
          </w:tcPr>
          <w:p>
            <w:pPr>
              <w:pStyle w:val="TableText"/>
              <w:ind w:left="301"/>
              <w:spacing w:before="32" w:line="202" w:lineRule="auto"/>
              <w:rPr>
                <w:sz w:val="18"/>
                <w:szCs w:val="18"/>
              </w:rPr>
            </w:pPr>
            <w:r>
              <w:rPr>
                <w:sz w:val="18"/>
                <w:szCs w:val="18"/>
                <w:spacing w:val="-2"/>
              </w:rPr>
              <w:t>信息公开指标</w:t>
            </w:r>
          </w:p>
        </w:tc>
        <w:tc>
          <w:tcPr>
            <w:tcW w:w="5255" w:type="dxa"/>
            <w:vAlign w:val="top"/>
            <w:gridSpan w:val="3"/>
          </w:tcPr>
          <w:p>
            <w:pPr>
              <w:spacing w:line="229" w:lineRule="exact"/>
              <w:rPr>
                <w:rFonts w:ascii="Arial"/>
                <w:sz w:val="19"/>
              </w:rPr>
            </w:pPr>
            <w:r/>
          </w:p>
        </w:tc>
        <w:tc>
          <w:tcPr>
            <w:tcW w:w="1089" w:type="dxa"/>
            <w:vAlign w:val="top"/>
          </w:tcPr>
          <w:p>
            <w:pPr>
              <w:spacing w:line="229" w:lineRule="exact"/>
              <w:rPr>
                <w:rFonts w:ascii="Arial"/>
                <w:sz w:val="19"/>
              </w:rPr>
            </w:pPr>
            <w:r/>
          </w:p>
        </w:tc>
      </w:tr>
      <w:tr>
        <w:trPr>
          <w:trHeight w:val="238" w:hRule="atLeast"/>
        </w:trPr>
        <w:tc>
          <w:tcPr>
            <w:tcW w:w="2207" w:type="dxa"/>
            <w:vAlign w:val="top"/>
            <w:gridSpan w:val="2"/>
          </w:tcPr>
          <w:p>
            <w:pPr>
              <w:pStyle w:val="TableText"/>
              <w:ind w:left="748"/>
              <w:spacing w:before="30" w:line="203" w:lineRule="auto"/>
              <w:rPr>
                <w:sz w:val="18"/>
                <w:szCs w:val="18"/>
              </w:rPr>
            </w:pPr>
            <w:r>
              <w:rPr>
                <w:sz w:val="18"/>
                <w:szCs w:val="18"/>
                <w:spacing w:val="-2"/>
              </w:rPr>
              <w:t>评价结论</w:t>
            </w:r>
          </w:p>
        </w:tc>
        <w:tc>
          <w:tcPr>
            <w:tcW w:w="5255" w:type="dxa"/>
            <w:vAlign w:val="top"/>
            <w:gridSpan w:val="3"/>
          </w:tcPr>
          <w:p>
            <w:pPr>
              <w:pStyle w:val="TableText"/>
              <w:ind w:left="22"/>
              <w:spacing w:before="30" w:line="203" w:lineRule="auto"/>
              <w:rPr>
                <w:sz w:val="18"/>
                <w:szCs w:val="18"/>
              </w:rPr>
            </w:pPr>
            <w:r>
              <w:rPr>
                <w:sz w:val="18"/>
                <w:szCs w:val="18"/>
              </w:rPr>
              <w:t>通过源头控制，并做好防渗等措施后，本项目</w:t>
            </w:r>
            <w:r>
              <w:rPr>
                <w:sz w:val="18"/>
                <w:szCs w:val="18"/>
                <w:spacing w:val="-1"/>
              </w:rPr>
              <w:t>对土壤环境影响较小</w:t>
            </w:r>
          </w:p>
        </w:tc>
        <w:tc>
          <w:tcPr>
            <w:tcW w:w="1089" w:type="dxa"/>
            <w:vAlign w:val="top"/>
          </w:tcPr>
          <w:p>
            <w:pPr>
              <w:spacing w:line="227" w:lineRule="exact"/>
              <w:rPr>
                <w:rFonts w:ascii="Arial"/>
                <w:sz w:val="19"/>
              </w:rPr>
            </w:pPr>
            <w:r/>
          </w:p>
        </w:tc>
      </w:tr>
      <w:tr>
        <w:trPr>
          <w:trHeight w:val="476" w:hRule="atLeast"/>
        </w:trPr>
        <w:tc>
          <w:tcPr>
            <w:tcW w:w="8551" w:type="dxa"/>
            <w:vAlign w:val="top"/>
            <w:gridSpan w:val="6"/>
          </w:tcPr>
          <w:p>
            <w:pPr>
              <w:pStyle w:val="TableText"/>
              <w:ind w:left="12"/>
              <w:spacing w:line="241" w:lineRule="exact"/>
              <w:rPr>
                <w:sz w:val="18"/>
                <w:szCs w:val="18"/>
              </w:rPr>
            </w:pPr>
            <w:r>
              <w:rPr>
                <w:sz w:val="18"/>
                <w:szCs w:val="18"/>
                <w:spacing w:val="-3"/>
              </w:rPr>
              <w:t>注</w:t>
            </w:r>
            <w:r>
              <w:rPr>
                <w:sz w:val="18"/>
                <w:szCs w:val="18"/>
                <w:spacing w:val="-20"/>
              </w:rPr>
              <w:t xml:space="preserve"> </w:t>
            </w:r>
            <w:r>
              <w:rPr>
                <w:rFonts w:ascii="Times New Roman" w:hAnsi="Times New Roman" w:eastAsia="Times New Roman" w:cs="Times New Roman"/>
                <w:sz w:val="18"/>
                <w:szCs w:val="18"/>
                <w:spacing w:val="-3"/>
              </w:rPr>
              <w:t>1</w:t>
            </w:r>
            <w:r>
              <w:rPr>
                <w:rFonts w:ascii="Times New Roman" w:hAnsi="Times New Roman" w:eastAsia="Times New Roman" w:cs="Times New Roman"/>
                <w:sz w:val="18"/>
                <w:szCs w:val="18"/>
                <w:spacing w:val="-24"/>
              </w:rPr>
              <w:t xml:space="preserve"> </w:t>
            </w:r>
            <w:r>
              <w:rPr>
                <w:sz w:val="18"/>
                <w:szCs w:val="18"/>
                <w:spacing w:val="-3"/>
              </w:rPr>
              <w:t>：</w:t>
            </w:r>
            <w:r>
              <w:rPr>
                <w:rFonts w:ascii="Times New Roman" w:hAnsi="Times New Roman" w:eastAsia="Times New Roman" w:cs="Times New Roman"/>
                <w:sz w:val="18"/>
                <w:szCs w:val="18"/>
                <w:spacing w:val="-3"/>
              </w:rPr>
              <w:t>“□”</w:t>
            </w:r>
            <w:r>
              <w:rPr>
                <w:sz w:val="18"/>
                <w:szCs w:val="18"/>
                <w:spacing w:val="-3"/>
              </w:rPr>
              <w:t>为勾选项，可</w:t>
            </w:r>
            <w:r>
              <w:rPr>
                <w:rFonts w:ascii="Times New Roman" w:hAnsi="Times New Roman" w:eastAsia="Times New Roman" w:cs="Times New Roman"/>
                <w:sz w:val="18"/>
                <w:szCs w:val="18"/>
                <w:spacing w:val="-3"/>
              </w:rPr>
              <w:t>√</w:t>
            </w:r>
            <w:r>
              <w:rPr>
                <w:rFonts w:ascii="Times New Roman" w:hAnsi="Times New Roman" w:eastAsia="Times New Roman" w:cs="Times New Roman"/>
                <w:sz w:val="18"/>
                <w:szCs w:val="18"/>
                <w:spacing w:val="-23"/>
              </w:rPr>
              <w:t xml:space="preserve"> </w:t>
            </w:r>
            <w:r>
              <w:rPr>
                <w:sz w:val="18"/>
                <w:szCs w:val="18"/>
                <w:spacing w:val="-3"/>
              </w:rPr>
              <w:t>;</w:t>
            </w:r>
            <w:r>
              <w:rPr>
                <w:sz w:val="18"/>
                <w:szCs w:val="18"/>
                <w:spacing w:val="42"/>
              </w:rPr>
              <w:t xml:space="preserve"> </w:t>
            </w:r>
            <w:r>
              <w:rPr>
                <w:rFonts w:ascii="Times New Roman" w:hAnsi="Times New Roman" w:eastAsia="Times New Roman" w:cs="Times New Roman"/>
                <w:sz w:val="18"/>
                <w:szCs w:val="18"/>
                <w:spacing w:val="-3"/>
              </w:rPr>
              <w:t>“  </w:t>
            </w:r>
            <w:r>
              <w:rPr>
                <w:sz w:val="18"/>
                <w:szCs w:val="18"/>
                <w:spacing w:val="-3"/>
              </w:rPr>
              <w:t>() </w:t>
            </w:r>
            <w:r>
              <w:rPr>
                <w:rFonts w:ascii="Times New Roman" w:hAnsi="Times New Roman" w:eastAsia="Times New Roman" w:cs="Times New Roman"/>
                <w:sz w:val="18"/>
                <w:szCs w:val="18"/>
                <w:spacing w:val="-3"/>
              </w:rPr>
              <w:t>”</w:t>
            </w:r>
            <w:r>
              <w:rPr>
                <w:sz w:val="18"/>
                <w:szCs w:val="18"/>
                <w:spacing w:val="-3"/>
              </w:rPr>
              <w:t>为内容填写项；</w:t>
            </w:r>
            <w:r>
              <w:rPr>
                <w:rFonts w:ascii="Times New Roman" w:hAnsi="Times New Roman" w:eastAsia="Times New Roman" w:cs="Times New Roman"/>
                <w:sz w:val="18"/>
                <w:szCs w:val="18"/>
                <w:spacing w:val="-3"/>
              </w:rPr>
              <w:t>“</w:t>
            </w:r>
            <w:r>
              <w:rPr>
                <w:sz w:val="18"/>
                <w:szCs w:val="18"/>
                <w:spacing w:val="-3"/>
              </w:rPr>
              <w:t>备注</w:t>
            </w:r>
            <w:r>
              <w:rPr>
                <w:rFonts w:ascii="Times New Roman" w:hAnsi="Times New Roman" w:eastAsia="Times New Roman" w:cs="Times New Roman"/>
                <w:sz w:val="18"/>
                <w:szCs w:val="18"/>
                <w:spacing w:val="-3"/>
              </w:rPr>
              <w:t>”</w:t>
            </w:r>
            <w:r>
              <w:rPr>
                <w:sz w:val="18"/>
                <w:szCs w:val="18"/>
                <w:spacing w:val="-3"/>
              </w:rPr>
              <w:t>为其他补充内容。</w:t>
            </w:r>
          </w:p>
          <w:p>
            <w:pPr>
              <w:pStyle w:val="TableText"/>
              <w:ind w:left="12"/>
              <w:spacing w:before="23" w:line="206" w:lineRule="auto"/>
              <w:rPr>
                <w:sz w:val="18"/>
                <w:szCs w:val="18"/>
              </w:rPr>
            </w:pPr>
            <w:r>
              <w:rPr>
                <w:sz w:val="18"/>
                <w:szCs w:val="18"/>
                <w:spacing w:val="-1"/>
              </w:rPr>
              <w:t>注</w:t>
            </w:r>
            <w:r>
              <w:rPr>
                <w:sz w:val="18"/>
                <w:szCs w:val="18"/>
                <w:spacing w:val="-40"/>
              </w:rPr>
              <w:t xml:space="preserve"> </w:t>
            </w:r>
            <w:r>
              <w:rPr>
                <w:rFonts w:ascii="Times New Roman" w:hAnsi="Times New Roman" w:eastAsia="Times New Roman" w:cs="Times New Roman"/>
                <w:sz w:val="18"/>
                <w:szCs w:val="18"/>
                <w:spacing w:val="-1"/>
              </w:rPr>
              <w:t>2</w:t>
            </w:r>
            <w:r>
              <w:rPr>
                <w:rFonts w:ascii="Times New Roman" w:hAnsi="Times New Roman" w:eastAsia="Times New Roman" w:cs="Times New Roman"/>
                <w:sz w:val="18"/>
                <w:szCs w:val="18"/>
                <w:spacing w:val="-24"/>
              </w:rPr>
              <w:t xml:space="preserve"> </w:t>
            </w:r>
            <w:r>
              <w:rPr>
                <w:sz w:val="18"/>
                <w:szCs w:val="18"/>
                <w:spacing w:val="-1"/>
              </w:rPr>
              <w:t>：需要分别开展土壤环境影响评级工作的，分别</w:t>
            </w:r>
            <w:r>
              <w:rPr>
                <w:sz w:val="18"/>
                <w:szCs w:val="18"/>
                <w:spacing w:val="-2"/>
              </w:rPr>
              <w:t>填写自查表。</w:t>
            </w:r>
          </w:p>
        </w:tc>
      </w:tr>
    </w:tbl>
    <w:p>
      <w:pPr>
        <w:ind w:left="19"/>
        <w:spacing w:before="200" w:line="222" w:lineRule="auto"/>
        <w:outlineLvl w:val="1"/>
        <w:rPr>
          <w:rFonts w:ascii="SimHei" w:hAnsi="SimHei" w:eastAsia="SimHei" w:cs="SimHei"/>
          <w:sz w:val="30"/>
          <w:szCs w:val="30"/>
        </w:rPr>
      </w:pPr>
      <w:bookmarkStart w:name="bookmark114" w:id="142"/>
      <w:bookmarkEnd w:id="142"/>
      <w:r>
        <w:rPr>
          <w:rFonts w:ascii="Times New Roman" w:hAnsi="Times New Roman" w:eastAsia="Times New Roman" w:cs="Times New Roman"/>
          <w:sz w:val="30"/>
          <w:szCs w:val="30"/>
          <w:spacing w:val="-2"/>
        </w:rPr>
        <w:t>5.7 </w:t>
      </w:r>
      <w:r>
        <w:rPr>
          <w:rFonts w:ascii="SimHei" w:hAnsi="SimHei" w:eastAsia="SimHei" w:cs="SimHei"/>
          <w:sz w:val="30"/>
          <w:szCs w:val="30"/>
          <w:spacing w:val="-2"/>
        </w:rPr>
        <w:t>生态环境影响评价</w:t>
      </w:r>
    </w:p>
    <w:p>
      <w:pPr>
        <w:pStyle w:val="BodyText"/>
        <w:spacing w:line="290" w:lineRule="auto"/>
        <w:rPr/>
      </w:pPr>
      <w:r/>
    </w:p>
    <w:p>
      <w:pPr>
        <w:ind w:left="506"/>
        <w:spacing w:before="78" w:line="221"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）对土地利用的影响</w:t>
      </w:r>
    </w:p>
    <w:p>
      <w:pPr>
        <w:ind w:left="34" w:right="48" w:firstLine="461"/>
        <w:spacing w:before="178" w:line="360" w:lineRule="auto"/>
        <w:rPr>
          <w:rFonts w:ascii="SimSun" w:hAnsi="SimSun" w:eastAsia="SimSun" w:cs="SimSun"/>
          <w:sz w:val="24"/>
          <w:szCs w:val="24"/>
        </w:rPr>
      </w:pPr>
      <w:r>
        <w:rPr>
          <w:rFonts w:ascii="SimSun" w:hAnsi="SimSun" w:eastAsia="SimSun" w:cs="SimSun"/>
          <w:sz w:val="24"/>
          <w:szCs w:val="24"/>
          <w:spacing w:val="3"/>
        </w:rPr>
        <w:t>本项目选址位于锡林郭勒盟正镶白旗明安图镇乌宁巴图西</w:t>
      </w:r>
      <w:r>
        <w:rPr>
          <w:rFonts w:ascii="SimSun" w:hAnsi="SimSun" w:eastAsia="SimSun" w:cs="SimSun"/>
          <w:sz w:val="24"/>
          <w:szCs w:val="24"/>
          <w:spacing w:val="2"/>
        </w:rPr>
        <w:t>街，主要利用现有</w:t>
      </w:r>
      <w:r>
        <w:rPr>
          <w:rFonts w:ascii="SimSun" w:hAnsi="SimSun" w:eastAsia="SimSun" w:cs="SimSun"/>
          <w:sz w:val="24"/>
          <w:szCs w:val="24"/>
        </w:rPr>
        <w:t xml:space="preserve"> </w:t>
      </w:r>
      <w:r>
        <w:rPr>
          <w:rFonts w:ascii="SimSun" w:hAnsi="SimSun" w:eastAsia="SimSun" w:cs="SimSun"/>
          <w:sz w:val="24"/>
          <w:szCs w:val="24"/>
          <w:spacing w:val="-4"/>
        </w:rPr>
        <w:t>的闲置厂区进行建设，</w:t>
      </w:r>
      <w:r>
        <w:rPr>
          <w:rFonts w:ascii="SimSun" w:hAnsi="SimSun" w:eastAsia="SimSun" w:cs="SimSun"/>
          <w:sz w:val="24"/>
          <w:szCs w:val="24"/>
          <w:spacing w:val="-67"/>
        </w:rPr>
        <w:t xml:space="preserve"> </w:t>
      </w:r>
      <w:r>
        <w:rPr>
          <w:rFonts w:ascii="SimSun" w:hAnsi="SimSun" w:eastAsia="SimSun" w:cs="SimSun"/>
          <w:sz w:val="24"/>
          <w:szCs w:val="24"/>
          <w:spacing w:val="-4"/>
        </w:rPr>
        <w:t>占地性质属于工业用地。</w:t>
      </w:r>
    </w:p>
    <w:p>
      <w:pPr>
        <w:ind w:left="506"/>
        <w:spacing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）污染物排放对生态的影响</w:t>
      </w:r>
    </w:p>
    <w:p>
      <w:pPr>
        <w:ind w:left="2" w:right="47" w:firstLine="493"/>
        <w:spacing w:before="177" w:line="360" w:lineRule="auto"/>
        <w:rPr>
          <w:rFonts w:ascii="SimSun" w:hAnsi="SimSun" w:eastAsia="SimSun" w:cs="SimSun"/>
          <w:sz w:val="24"/>
          <w:szCs w:val="24"/>
        </w:rPr>
      </w:pPr>
      <w:r>
        <w:rPr>
          <w:rFonts w:ascii="SimSun" w:hAnsi="SimSun" w:eastAsia="SimSun" w:cs="SimSun"/>
          <w:sz w:val="24"/>
          <w:szCs w:val="24"/>
          <w:spacing w:val="-2"/>
        </w:rPr>
        <w:t>本项目污染物排放主要来自各环节产生颗粒物、</w:t>
      </w:r>
      <w:r>
        <w:rPr>
          <w:rFonts w:ascii="Times New Roman" w:hAnsi="Times New Roman" w:eastAsia="Times New Roman" w:cs="Times New Roman"/>
          <w:sz w:val="24"/>
          <w:szCs w:val="24"/>
          <w:spacing w:val="-2"/>
        </w:rPr>
        <w:t>SO</w:t>
      </w:r>
      <w:r>
        <w:rPr>
          <w:rFonts w:ascii="Times New Roman" w:hAnsi="Times New Roman" w:eastAsia="Times New Roman" w:cs="Times New Roman"/>
          <w:sz w:val="15"/>
          <w:szCs w:val="15"/>
          <w:spacing w:val="-2"/>
          <w:position w:val="-1"/>
        </w:rPr>
        <w:t>2</w:t>
      </w:r>
      <w:r>
        <w:rPr>
          <w:rFonts w:ascii="SimSun" w:hAnsi="SimSun" w:eastAsia="SimSun" w:cs="SimSun"/>
          <w:sz w:val="24"/>
          <w:szCs w:val="24"/>
          <w:spacing w:val="-2"/>
        </w:rPr>
        <w:t>、</w:t>
      </w:r>
      <w:r>
        <w:rPr>
          <w:rFonts w:ascii="Times New Roman" w:hAnsi="Times New Roman" w:eastAsia="Times New Roman" w:cs="Times New Roman"/>
          <w:sz w:val="24"/>
          <w:szCs w:val="24"/>
          <w:spacing w:val="-2"/>
        </w:rPr>
        <w:t>NO</w:t>
      </w:r>
      <w:r>
        <w:rPr>
          <w:rFonts w:ascii="Times New Roman" w:hAnsi="Times New Roman" w:eastAsia="Times New Roman" w:cs="Times New Roman"/>
          <w:sz w:val="15"/>
          <w:szCs w:val="15"/>
          <w:spacing w:val="-2"/>
          <w:position w:val="-1"/>
        </w:rPr>
        <w:t>2</w:t>
      </w:r>
      <w:r>
        <w:rPr>
          <w:rFonts w:ascii="SimSun" w:hAnsi="SimSun" w:eastAsia="SimSun" w:cs="SimSun"/>
          <w:sz w:val="24"/>
          <w:szCs w:val="24"/>
          <w:spacing w:val="-2"/>
        </w:rPr>
        <w:t>、</w:t>
      </w:r>
      <w:r>
        <w:rPr>
          <w:rFonts w:ascii="Times New Roman" w:hAnsi="Times New Roman" w:eastAsia="Times New Roman" w:cs="Times New Roman"/>
          <w:sz w:val="24"/>
          <w:szCs w:val="24"/>
          <w:spacing w:val="-2"/>
        </w:rPr>
        <w:t>NH</w:t>
      </w:r>
      <w:r>
        <w:rPr>
          <w:rFonts w:ascii="Times New Roman" w:hAnsi="Times New Roman" w:eastAsia="Times New Roman" w:cs="Times New Roman"/>
          <w:sz w:val="15"/>
          <w:szCs w:val="15"/>
          <w:spacing w:val="-2"/>
          <w:position w:val="-1"/>
        </w:rPr>
        <w:t>3</w:t>
      </w:r>
      <w:r>
        <w:rPr>
          <w:rFonts w:ascii="SimSun" w:hAnsi="SimSun" w:eastAsia="SimSun" w:cs="SimSun"/>
          <w:sz w:val="24"/>
          <w:szCs w:val="24"/>
          <w:spacing w:val="-2"/>
        </w:rPr>
        <w:t>、</w:t>
      </w:r>
      <w:r>
        <w:rPr>
          <w:rFonts w:ascii="Times New Roman" w:hAnsi="Times New Roman" w:eastAsia="Times New Roman" w:cs="Times New Roman"/>
          <w:sz w:val="24"/>
          <w:szCs w:val="24"/>
          <w:spacing w:val="-2"/>
        </w:rPr>
        <w:t>H</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24"/>
          <w:szCs w:val="24"/>
          <w:spacing w:val="-2"/>
        </w:rPr>
        <w:t>S</w:t>
      </w:r>
      <w:r>
        <w:rPr>
          <w:rFonts w:ascii="SimSun" w:hAnsi="SimSun" w:eastAsia="SimSun" w:cs="SimSun"/>
          <w:sz w:val="24"/>
          <w:szCs w:val="24"/>
          <w:spacing w:val="-2"/>
        </w:rPr>
        <w:t>等，粉</w:t>
      </w:r>
      <w:r>
        <w:rPr>
          <w:rFonts w:ascii="SimSun" w:hAnsi="SimSun" w:eastAsia="SimSun" w:cs="SimSun"/>
          <w:sz w:val="24"/>
          <w:szCs w:val="24"/>
          <w:spacing w:val="3"/>
        </w:rPr>
        <w:t xml:space="preserve"> </w:t>
      </w:r>
      <w:r>
        <w:rPr>
          <w:rFonts w:ascii="SimSun" w:hAnsi="SimSun" w:eastAsia="SimSun" w:cs="SimSun"/>
          <w:sz w:val="24"/>
          <w:szCs w:val="24"/>
          <w:spacing w:val="-1"/>
        </w:rPr>
        <w:t>尘对植物的影响主要表现于对作物光合作用的影响上，粒径大于</w:t>
      </w:r>
      <w:r>
        <w:rPr>
          <w:rFonts w:ascii="Times New Roman" w:hAnsi="Times New Roman" w:eastAsia="Times New Roman" w:cs="Times New Roman"/>
          <w:sz w:val="24"/>
          <w:szCs w:val="24"/>
          <w:spacing w:val="-1"/>
        </w:rPr>
        <w:t>1 </w:t>
      </w:r>
      <w:r>
        <w:rPr>
          <w:rFonts w:ascii="SimSun" w:hAnsi="SimSun" w:eastAsia="SimSun" w:cs="SimSun"/>
          <w:sz w:val="24"/>
          <w:szCs w:val="24"/>
          <w:spacing w:val="-1"/>
        </w:rPr>
        <w:t>μ</w:t>
      </w:r>
      <w:r>
        <w:rPr>
          <w:rFonts w:ascii="Times New Roman" w:hAnsi="Times New Roman" w:eastAsia="Times New Roman" w:cs="Times New Roman"/>
          <w:sz w:val="24"/>
          <w:szCs w:val="24"/>
          <w:spacing w:val="-1"/>
        </w:rPr>
        <w:t>m</w:t>
      </w:r>
      <w:r>
        <w:rPr>
          <w:rFonts w:ascii="SimSun" w:hAnsi="SimSun" w:eastAsia="SimSun" w:cs="SimSun"/>
          <w:sz w:val="24"/>
          <w:szCs w:val="24"/>
          <w:spacing w:val="-1"/>
        </w:rPr>
        <w:t>的颗粒物的</w:t>
      </w:r>
      <w:r>
        <w:rPr>
          <w:rFonts w:ascii="SimSun" w:hAnsi="SimSun" w:eastAsia="SimSun" w:cs="SimSun"/>
          <w:sz w:val="24"/>
          <w:szCs w:val="24"/>
          <w:spacing w:val="15"/>
        </w:rPr>
        <w:t xml:space="preserve"> </w:t>
      </w:r>
      <w:r>
        <w:rPr>
          <w:rFonts w:ascii="SimSun" w:hAnsi="SimSun" w:eastAsia="SimSun" w:cs="SimSun"/>
          <w:sz w:val="24"/>
          <w:szCs w:val="24"/>
          <w:spacing w:val="-1"/>
        </w:rPr>
        <w:t>扩散过程中可自然沉降，附着于植物叶片上，阻塞呼吸孔，有碍作物生长；</w:t>
      </w:r>
      <w:r>
        <w:rPr>
          <w:rFonts w:ascii="Times New Roman" w:hAnsi="Times New Roman" w:eastAsia="Times New Roman" w:cs="Times New Roman"/>
          <w:sz w:val="24"/>
          <w:szCs w:val="24"/>
          <w:spacing w:val="-1"/>
        </w:rPr>
        <w:t>SO</w:t>
      </w:r>
      <w:r>
        <w:rPr>
          <w:rFonts w:ascii="Times New Roman" w:hAnsi="Times New Roman" w:eastAsia="Times New Roman" w:cs="Times New Roman"/>
          <w:sz w:val="15"/>
          <w:szCs w:val="15"/>
          <w:spacing w:val="-1"/>
          <w:position w:val="-1"/>
        </w:rPr>
        <w:t>2</w:t>
      </w:r>
      <w:r>
        <w:rPr>
          <w:rFonts w:ascii="SimSun" w:hAnsi="SimSun" w:eastAsia="SimSun" w:cs="SimSun"/>
          <w:sz w:val="24"/>
          <w:szCs w:val="24"/>
          <w:spacing w:val="-1"/>
        </w:rPr>
        <w:t>、</w:t>
      </w:r>
      <w:r>
        <w:rPr>
          <w:rFonts w:ascii="SimSun" w:hAnsi="SimSun" w:eastAsia="SimSun" w:cs="SimSun"/>
          <w:sz w:val="24"/>
          <w:szCs w:val="24"/>
          <w:spacing w:val="1"/>
        </w:rPr>
        <w:t xml:space="preserve"> </w:t>
      </w:r>
      <w:r>
        <w:rPr>
          <w:rFonts w:ascii="Times New Roman" w:hAnsi="Times New Roman" w:eastAsia="Times New Roman" w:cs="Times New Roman"/>
          <w:sz w:val="24"/>
          <w:szCs w:val="24"/>
          <w:spacing w:val="-2"/>
        </w:rPr>
        <w:t>NO</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NH</w:t>
      </w:r>
      <w:r>
        <w:rPr>
          <w:rFonts w:ascii="Times New Roman" w:hAnsi="Times New Roman" w:eastAsia="Times New Roman" w:cs="Times New Roman"/>
          <w:sz w:val="15"/>
          <w:szCs w:val="15"/>
          <w:spacing w:val="-2"/>
          <w:position w:val="-1"/>
        </w:rPr>
        <w:t>3</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H</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15"/>
          <w:szCs w:val="15"/>
          <w:spacing w:val="-21"/>
          <w:position w:val="-1"/>
        </w:rPr>
        <w:t xml:space="preserve"> </w:t>
      </w:r>
      <w:r>
        <w:rPr>
          <w:rFonts w:ascii="Times New Roman" w:hAnsi="Times New Roman" w:eastAsia="Times New Roman" w:cs="Times New Roman"/>
          <w:sz w:val="24"/>
          <w:szCs w:val="24"/>
          <w:spacing w:val="-2"/>
        </w:rPr>
        <w:t>S</w:t>
      </w:r>
      <w:r>
        <w:rPr>
          <w:rFonts w:ascii="SimSun" w:hAnsi="SimSun" w:eastAsia="SimSun" w:cs="SimSun"/>
          <w:sz w:val="24"/>
          <w:szCs w:val="24"/>
          <w:spacing w:val="-2"/>
        </w:rPr>
        <w:t>等污染物也会对制备的生长造成</w:t>
      </w:r>
      <w:r>
        <w:rPr>
          <w:rFonts w:ascii="SimSun" w:hAnsi="SimSun" w:eastAsia="SimSun" w:cs="SimSun"/>
          <w:sz w:val="24"/>
          <w:szCs w:val="24"/>
          <w:spacing w:val="-3"/>
        </w:rPr>
        <w:t>影响。</w:t>
      </w:r>
    </w:p>
    <w:p>
      <w:pPr>
        <w:ind w:left="12"/>
        <w:spacing w:before="184" w:line="227" w:lineRule="auto"/>
        <w:rPr>
          <w:rFonts w:ascii="SimSun" w:hAnsi="SimSun" w:eastAsia="SimSun" w:cs="SimSun"/>
          <w:sz w:val="19"/>
          <w:szCs w:val="19"/>
        </w:rPr>
      </w:pPr>
      <w:r>
        <w:pict>
          <v:shape id="_x0000_s1058" style="position:absolute;margin-left:159.57pt;margin-top:8.19501pt;mso-position-vertical-relative:text;mso-position-horizontal-relative:text;width:61pt;height:13.75pt;z-index:252177408;"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227</w:t>
                  </w:r>
                </w:p>
              </w:txbxContent>
            </v:textbox>
          </v:shape>
        </w:pict>
      </w:r>
      <w:r>
        <w:rPr>
          <w:rFonts w:ascii="SimSun" w:hAnsi="SimSun" w:eastAsia="SimSun" w:cs="SimSun"/>
          <w:sz w:val="19"/>
          <w:szCs w:val="19"/>
          <w:spacing w:val="9"/>
        </w:rPr>
        <w:t>锡林郭勒盟中安环境技术咨询有限责</w:t>
      </w:r>
    </w:p>
    <w:p>
      <w:pPr>
        <w:spacing w:line="227" w:lineRule="auto"/>
        <w:sectPr>
          <w:footerReference w:type="default" r:id="rId3"/>
          <w:pgSz w:w="11907" w:h="16840"/>
          <w:pgMar w:top="1567" w:right="1654" w:bottom="400" w:left="1696" w:header="1221" w:footer="0" w:gutter="0"/>
        </w:sectPr>
        <w:rPr>
          <w:rFonts w:ascii="SimSun" w:hAnsi="SimSun" w:eastAsia="SimSun" w:cs="SimSun"/>
          <w:sz w:val="19"/>
          <w:szCs w:val="19"/>
        </w:rPr>
      </w:pPr>
    </w:p>
    <w:p>
      <w:pPr>
        <w:ind w:left="13" w:right="138" w:firstLine="510"/>
        <w:spacing w:before="168" w:line="359" w:lineRule="auto"/>
        <w:rPr>
          <w:rFonts w:ascii="SimSun" w:hAnsi="SimSun" w:eastAsia="SimSun" w:cs="SimSun"/>
          <w:sz w:val="24"/>
          <w:szCs w:val="24"/>
        </w:rPr>
      </w:pPr>
      <w:r>
        <w:pict>
          <v:shape id="_x0000_s1062" style="position:absolute;margin-left:85.05pt;margin-top:78.87pt;mso-position-vertical-relative:page;mso-position-horizontal-relative:page;width:425.25pt;height:0.75pt;z-index:252180480;" o:allowincell="f" fillcolor="#000000" filled="true" stroked="false" coordsize="8505,15" coordorigin="0,0" path="m,l8505,0l8505,14l0,14l0,0xe"/>
        </w:pict>
      </w:r>
      <w:r>
        <w:rPr>
          <w:rFonts w:ascii="SimSun" w:hAnsi="SimSun" w:eastAsia="SimSun" w:cs="SimSun"/>
          <w:sz w:val="24"/>
          <w:szCs w:val="24"/>
        </w:rPr>
        <w:t>由工程分析可知，本项目在采取报告中提出的措施后，污染物排放量很小，</w:t>
      </w:r>
      <w:r>
        <w:rPr>
          <w:rFonts w:ascii="SimSun" w:hAnsi="SimSun" w:eastAsia="SimSun" w:cs="SimSun"/>
          <w:sz w:val="24"/>
          <w:szCs w:val="24"/>
          <w:spacing w:val="5"/>
        </w:rPr>
        <w:t xml:space="preserve"> </w:t>
      </w:r>
      <w:r>
        <w:rPr>
          <w:rFonts w:ascii="SimSun" w:hAnsi="SimSun" w:eastAsia="SimSun" w:cs="SimSun"/>
          <w:sz w:val="24"/>
          <w:szCs w:val="24"/>
          <w:spacing w:val="-1"/>
        </w:rPr>
        <w:t>对周边植被环境影响较小。</w:t>
      </w:r>
    </w:p>
    <w:p>
      <w:pPr>
        <w:ind w:left="506"/>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）对植被覆盖率的影响</w:t>
      </w:r>
    </w:p>
    <w:p>
      <w:pPr>
        <w:ind w:left="18" w:firstLine="475"/>
        <w:spacing w:before="182" w:line="359" w:lineRule="auto"/>
        <w:rPr>
          <w:rFonts w:ascii="SimSun" w:hAnsi="SimSun" w:eastAsia="SimSun" w:cs="SimSun"/>
          <w:sz w:val="24"/>
          <w:szCs w:val="24"/>
        </w:rPr>
      </w:pPr>
      <w:r>
        <w:rPr>
          <w:rFonts w:ascii="SimSun" w:hAnsi="SimSun" w:eastAsia="SimSun" w:cs="SimSun"/>
          <w:sz w:val="24"/>
          <w:szCs w:val="24"/>
          <w:spacing w:val="-2"/>
        </w:rPr>
        <w:t>在项目建设过程中，使部分植被受到破坏，但总的植被分布格局不会被打破。</w:t>
      </w:r>
      <w:r>
        <w:rPr>
          <w:rFonts w:ascii="SimSun" w:hAnsi="SimSun" w:eastAsia="SimSun" w:cs="SimSun"/>
          <w:sz w:val="24"/>
          <w:szCs w:val="24"/>
          <w:spacing w:val="1"/>
        </w:rPr>
        <w:t xml:space="preserve"> </w:t>
      </w:r>
      <w:r>
        <w:rPr>
          <w:rFonts w:ascii="SimSun" w:hAnsi="SimSun" w:eastAsia="SimSun" w:cs="SimSun"/>
          <w:sz w:val="24"/>
          <w:szCs w:val="24"/>
          <w:spacing w:val="3"/>
        </w:rPr>
        <w:t>项目运营中，周边生态环境受到人为活动的影响</w:t>
      </w:r>
      <w:r>
        <w:rPr>
          <w:rFonts w:ascii="SimSun" w:hAnsi="SimSun" w:eastAsia="SimSun" w:cs="SimSun"/>
          <w:sz w:val="24"/>
          <w:szCs w:val="24"/>
          <w:spacing w:val="2"/>
        </w:rPr>
        <w:t>将逐渐增加，导致原有生态环境</w:t>
      </w:r>
      <w:r>
        <w:rPr>
          <w:rFonts w:ascii="SimSun" w:hAnsi="SimSun" w:eastAsia="SimSun" w:cs="SimSun"/>
          <w:sz w:val="24"/>
          <w:szCs w:val="24"/>
        </w:rPr>
        <w:t xml:space="preserve"> </w:t>
      </w:r>
      <w:r>
        <w:rPr>
          <w:rFonts w:ascii="SimSun" w:hAnsi="SimSun" w:eastAsia="SimSun" w:cs="SimSun"/>
          <w:sz w:val="24"/>
          <w:szCs w:val="24"/>
          <w:spacing w:val="3"/>
        </w:rPr>
        <w:t>结构发生一定调整，但在积极实施生态恢复与防</w:t>
      </w:r>
      <w:r>
        <w:rPr>
          <w:rFonts w:ascii="SimSun" w:hAnsi="SimSun" w:eastAsia="SimSun" w:cs="SimSun"/>
          <w:sz w:val="24"/>
          <w:szCs w:val="24"/>
          <w:spacing w:val="2"/>
        </w:rPr>
        <w:t>治的情况下，其影响将被控制在</w:t>
      </w:r>
      <w:r>
        <w:rPr>
          <w:rFonts w:ascii="SimSun" w:hAnsi="SimSun" w:eastAsia="SimSun" w:cs="SimSun"/>
          <w:sz w:val="24"/>
          <w:szCs w:val="24"/>
        </w:rPr>
        <w:t xml:space="preserve"> </w:t>
      </w:r>
      <w:r>
        <w:rPr>
          <w:rFonts w:ascii="SimSun" w:hAnsi="SimSun" w:eastAsia="SimSun" w:cs="SimSun"/>
          <w:sz w:val="24"/>
          <w:szCs w:val="24"/>
          <w:spacing w:val="3"/>
        </w:rPr>
        <w:t>一定范围内，并具有改善的可能性。项目建设及</w:t>
      </w:r>
      <w:r>
        <w:rPr>
          <w:rFonts w:ascii="SimSun" w:hAnsi="SimSun" w:eastAsia="SimSun" w:cs="SimSun"/>
          <w:sz w:val="24"/>
          <w:szCs w:val="24"/>
          <w:spacing w:val="2"/>
        </w:rPr>
        <w:t>运营期带来的影响是区域自然体</w:t>
      </w:r>
      <w:r>
        <w:rPr>
          <w:rFonts w:ascii="SimSun" w:hAnsi="SimSun" w:eastAsia="SimSun" w:cs="SimSun"/>
          <w:sz w:val="24"/>
          <w:szCs w:val="24"/>
        </w:rPr>
        <w:t xml:space="preserve"> </w:t>
      </w:r>
      <w:r>
        <w:rPr>
          <w:rFonts w:ascii="SimSun" w:hAnsi="SimSun" w:eastAsia="SimSun" w:cs="SimSun"/>
          <w:sz w:val="24"/>
          <w:szCs w:val="24"/>
          <w:spacing w:val="-2"/>
        </w:rPr>
        <w:t>系可以承受的。</w:t>
      </w:r>
    </w:p>
    <w:p>
      <w:pPr>
        <w:ind w:left="506"/>
        <w:spacing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）对动物的影响</w:t>
      </w:r>
    </w:p>
    <w:p>
      <w:pPr>
        <w:ind w:left="13" w:right="78" w:firstLine="481"/>
        <w:spacing w:before="182" w:line="359" w:lineRule="auto"/>
        <w:rPr>
          <w:rFonts w:ascii="SimSun" w:hAnsi="SimSun" w:eastAsia="SimSun" w:cs="SimSun"/>
          <w:sz w:val="24"/>
          <w:szCs w:val="24"/>
        </w:rPr>
      </w:pPr>
      <w:r>
        <w:rPr>
          <w:rFonts w:ascii="SimSun" w:hAnsi="SimSun" w:eastAsia="SimSun" w:cs="SimSun"/>
          <w:sz w:val="24"/>
          <w:szCs w:val="24"/>
          <w:spacing w:val="1"/>
        </w:rPr>
        <w:t>本项目占地位于锡林郭勒盟正镶白旗明安图镇乌宁巴图西街，</w:t>
      </w:r>
      <w:r>
        <w:rPr>
          <w:rFonts w:ascii="SimSun" w:hAnsi="SimSun" w:eastAsia="SimSun" w:cs="SimSun"/>
          <w:sz w:val="24"/>
          <w:szCs w:val="24"/>
          <w:spacing w:val="-62"/>
        </w:rPr>
        <w:t xml:space="preserve"> </w:t>
      </w:r>
      <w:r>
        <w:rPr>
          <w:rFonts w:ascii="SimSun" w:hAnsi="SimSun" w:eastAsia="SimSun" w:cs="SimSun"/>
          <w:sz w:val="24"/>
          <w:szCs w:val="24"/>
          <w:spacing w:val="1"/>
        </w:rPr>
        <w:t>占地范围及周</w:t>
      </w:r>
      <w:r>
        <w:rPr>
          <w:rFonts w:ascii="SimSun" w:hAnsi="SimSun" w:eastAsia="SimSun" w:cs="SimSun"/>
          <w:sz w:val="24"/>
          <w:szCs w:val="24"/>
        </w:rPr>
        <w:t xml:space="preserve"> </w:t>
      </w:r>
      <w:r>
        <w:rPr>
          <w:rFonts w:ascii="SimSun" w:hAnsi="SimSun" w:eastAsia="SimSun" w:cs="SimSun"/>
          <w:sz w:val="24"/>
          <w:szCs w:val="24"/>
          <w:spacing w:val="3"/>
        </w:rPr>
        <w:t>边人为活动频繁，基本无动物活动，同时项目运营期</w:t>
      </w:r>
      <w:r>
        <w:rPr>
          <w:rFonts w:ascii="SimSun" w:hAnsi="SimSun" w:eastAsia="SimSun" w:cs="SimSun"/>
          <w:sz w:val="24"/>
          <w:szCs w:val="24"/>
          <w:spacing w:val="2"/>
        </w:rPr>
        <w:t>采用降噪措施后对环境影响</w:t>
      </w:r>
      <w:r>
        <w:rPr>
          <w:rFonts w:ascii="SimSun" w:hAnsi="SimSun" w:eastAsia="SimSun" w:cs="SimSun"/>
          <w:sz w:val="24"/>
          <w:szCs w:val="24"/>
        </w:rPr>
        <w:t xml:space="preserve"> </w:t>
      </w:r>
      <w:r>
        <w:rPr>
          <w:rFonts w:ascii="SimSun" w:hAnsi="SimSun" w:eastAsia="SimSun" w:cs="SimSun"/>
          <w:sz w:val="24"/>
          <w:szCs w:val="24"/>
          <w:spacing w:val="3"/>
        </w:rPr>
        <w:t>不大，因此，本项目实施后不会对区域动物的栖息繁殖等</w:t>
      </w:r>
      <w:r>
        <w:rPr>
          <w:rFonts w:ascii="SimSun" w:hAnsi="SimSun" w:eastAsia="SimSun" w:cs="SimSun"/>
          <w:sz w:val="24"/>
          <w:szCs w:val="24"/>
          <w:spacing w:val="2"/>
        </w:rPr>
        <w:t>产生明显影响，也不会</w:t>
      </w:r>
      <w:r>
        <w:rPr>
          <w:rFonts w:ascii="SimSun" w:hAnsi="SimSun" w:eastAsia="SimSun" w:cs="SimSun"/>
          <w:sz w:val="24"/>
          <w:szCs w:val="24"/>
        </w:rPr>
        <w:t xml:space="preserve"> </w:t>
      </w:r>
      <w:r>
        <w:rPr>
          <w:rFonts w:ascii="SimSun" w:hAnsi="SimSun" w:eastAsia="SimSun" w:cs="SimSun"/>
          <w:sz w:val="24"/>
          <w:szCs w:val="24"/>
          <w:spacing w:val="-1"/>
        </w:rPr>
        <w:t>造成区域动物物种的减少。</w:t>
      </w:r>
    </w:p>
    <w:p>
      <w:pPr>
        <w:ind w:left="506"/>
        <w:spacing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5</w:t>
      </w:r>
      <w:r>
        <w:rPr>
          <w:rFonts w:ascii="SimSun" w:hAnsi="SimSun" w:eastAsia="SimSun" w:cs="SimSun"/>
          <w:sz w:val="24"/>
          <w:szCs w:val="24"/>
          <w:spacing w:val="-3"/>
        </w:rPr>
        <w:t>）对景观的影响</w:t>
      </w:r>
    </w:p>
    <w:p>
      <w:pPr>
        <w:ind w:left="14" w:right="78" w:firstLine="480"/>
        <w:spacing w:before="181" w:line="359" w:lineRule="auto"/>
        <w:rPr>
          <w:rFonts w:ascii="SimSun" w:hAnsi="SimSun" w:eastAsia="SimSun" w:cs="SimSun"/>
          <w:sz w:val="24"/>
          <w:szCs w:val="24"/>
        </w:rPr>
      </w:pPr>
      <w:r>
        <w:rPr>
          <w:rFonts w:ascii="SimSun" w:hAnsi="SimSun" w:eastAsia="SimSun" w:cs="SimSun"/>
          <w:sz w:val="24"/>
          <w:szCs w:val="24"/>
          <w:spacing w:val="3"/>
        </w:rPr>
        <w:t>本项目占地位于锡林郭勒盟正镶白旗明安图镇乌宁巴图西</w:t>
      </w:r>
      <w:r>
        <w:rPr>
          <w:rFonts w:ascii="SimSun" w:hAnsi="SimSun" w:eastAsia="SimSun" w:cs="SimSun"/>
          <w:sz w:val="24"/>
          <w:szCs w:val="24"/>
          <w:spacing w:val="2"/>
        </w:rPr>
        <w:t>街，项目占地面积</w:t>
      </w:r>
      <w:r>
        <w:rPr>
          <w:rFonts w:ascii="SimSun" w:hAnsi="SimSun" w:eastAsia="SimSun" w:cs="SimSun"/>
          <w:sz w:val="24"/>
          <w:szCs w:val="24"/>
        </w:rPr>
        <w:t xml:space="preserve"> </w:t>
      </w:r>
      <w:r>
        <w:rPr>
          <w:rFonts w:ascii="SimSun" w:hAnsi="SimSun" w:eastAsia="SimSun" w:cs="SimSun"/>
          <w:sz w:val="24"/>
          <w:szCs w:val="24"/>
          <w:spacing w:val="3"/>
        </w:rPr>
        <w:t>相对较小，同时项目在设计时考虑了周边景观的要</w:t>
      </w:r>
      <w:r>
        <w:rPr>
          <w:rFonts w:ascii="SimSun" w:hAnsi="SimSun" w:eastAsia="SimSun" w:cs="SimSun"/>
          <w:sz w:val="24"/>
          <w:szCs w:val="24"/>
          <w:spacing w:val="2"/>
        </w:rPr>
        <w:t>求，加强了对建构筑物及道路</w:t>
      </w:r>
      <w:r>
        <w:rPr>
          <w:rFonts w:ascii="SimSun" w:hAnsi="SimSun" w:eastAsia="SimSun" w:cs="SimSun"/>
          <w:sz w:val="24"/>
          <w:szCs w:val="24"/>
        </w:rPr>
        <w:t xml:space="preserve"> </w:t>
      </w:r>
      <w:r>
        <w:rPr>
          <w:rFonts w:ascii="SimSun" w:hAnsi="SimSun" w:eastAsia="SimSun" w:cs="SimSun"/>
          <w:sz w:val="24"/>
          <w:szCs w:val="24"/>
          <w:spacing w:val="3"/>
        </w:rPr>
        <w:t>以外的空地进行绿化，植物配置以乡土物种为主，疏密</w:t>
      </w:r>
      <w:r>
        <w:rPr>
          <w:rFonts w:ascii="SimSun" w:hAnsi="SimSun" w:eastAsia="SimSun" w:cs="SimSun"/>
          <w:sz w:val="24"/>
          <w:szCs w:val="24"/>
          <w:spacing w:val="2"/>
        </w:rPr>
        <w:t>适当，高低错落，形成一</w:t>
      </w:r>
      <w:r>
        <w:rPr>
          <w:rFonts w:ascii="SimSun" w:hAnsi="SimSun" w:eastAsia="SimSun" w:cs="SimSun"/>
          <w:sz w:val="24"/>
          <w:szCs w:val="24"/>
        </w:rPr>
        <w:t xml:space="preserve"> </w:t>
      </w:r>
      <w:r>
        <w:rPr>
          <w:rFonts w:ascii="SimSun" w:hAnsi="SimSun" w:eastAsia="SimSun" w:cs="SimSun"/>
          <w:sz w:val="24"/>
          <w:szCs w:val="24"/>
          <w:spacing w:val="-2"/>
        </w:rPr>
        <w:t>定的层次感。</w:t>
      </w:r>
    </w:p>
    <w:p>
      <w:pPr>
        <w:ind w:left="2389"/>
        <w:spacing w:line="213" w:lineRule="auto"/>
        <w:rPr>
          <w:rFonts w:ascii="SimSun" w:hAnsi="SimSun" w:eastAsia="SimSun" w:cs="SimSun"/>
          <w:sz w:val="24"/>
          <w:szCs w:val="24"/>
        </w:rPr>
      </w:pPr>
      <w:r>
        <w:rPr>
          <w:rFonts w:ascii="SimSun" w:hAnsi="SimSun" w:eastAsia="SimSun" w:cs="SimSun"/>
          <w:sz w:val="24"/>
          <w:szCs w:val="24"/>
          <w:b/>
          <w:bCs/>
          <w:spacing w:val="-2"/>
        </w:rPr>
        <w:t>表</w:t>
      </w:r>
      <w:r>
        <w:rPr>
          <w:rFonts w:ascii="Times New Roman" w:hAnsi="Times New Roman" w:eastAsia="Times New Roman" w:cs="Times New Roman"/>
          <w:sz w:val="24"/>
          <w:szCs w:val="24"/>
          <w:b/>
          <w:bCs/>
          <w:spacing w:val="-2"/>
        </w:rPr>
        <w:t>5.7-1      </w:t>
      </w:r>
      <w:r>
        <w:rPr>
          <w:rFonts w:ascii="SimSun" w:hAnsi="SimSun" w:eastAsia="SimSun" w:cs="SimSun"/>
          <w:sz w:val="24"/>
          <w:szCs w:val="24"/>
          <w:b/>
          <w:bCs/>
          <w:spacing w:val="-2"/>
        </w:rPr>
        <w:t>生态环境影响评价自查表</w:t>
      </w:r>
    </w:p>
    <w:tbl>
      <w:tblPr>
        <w:tblStyle w:val="TableNormal"/>
        <w:tblW w:w="851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48"/>
        <w:gridCol w:w="1484"/>
        <w:gridCol w:w="6185"/>
      </w:tblGrid>
      <w:tr>
        <w:trPr>
          <w:trHeight w:val="242" w:hRule="atLeast"/>
        </w:trPr>
        <w:tc>
          <w:tcPr>
            <w:tcW w:w="2332" w:type="dxa"/>
            <w:vAlign w:val="top"/>
            <w:gridSpan w:val="2"/>
          </w:tcPr>
          <w:p>
            <w:pPr>
              <w:pStyle w:val="TableText"/>
              <w:ind w:left="813"/>
              <w:spacing w:before="33" w:line="204" w:lineRule="auto"/>
              <w:rPr>
                <w:sz w:val="18"/>
                <w:szCs w:val="18"/>
              </w:rPr>
            </w:pPr>
            <w:r>
              <w:rPr>
                <w:sz w:val="18"/>
                <w:szCs w:val="18"/>
                <w:spacing w:val="-3"/>
              </w:rPr>
              <w:t>工作内容</w:t>
            </w:r>
          </w:p>
        </w:tc>
        <w:tc>
          <w:tcPr>
            <w:tcW w:w="6185" w:type="dxa"/>
            <w:vAlign w:val="top"/>
          </w:tcPr>
          <w:p>
            <w:pPr>
              <w:pStyle w:val="TableText"/>
              <w:ind w:left="2764"/>
              <w:spacing w:before="33" w:line="204" w:lineRule="auto"/>
              <w:rPr>
                <w:sz w:val="18"/>
                <w:szCs w:val="18"/>
              </w:rPr>
            </w:pPr>
            <w:r>
              <w:rPr>
                <w:sz w:val="18"/>
                <w:szCs w:val="18"/>
                <w:spacing w:val="-10"/>
              </w:rPr>
              <w:t>自查项目</w:t>
            </w:r>
          </w:p>
        </w:tc>
      </w:tr>
      <w:tr>
        <w:trPr>
          <w:trHeight w:val="705" w:hRule="atLeast"/>
        </w:trPr>
        <w:tc>
          <w:tcPr>
            <w:tcW w:w="848" w:type="dxa"/>
            <w:vAlign w:val="top"/>
            <w:vMerge w:val="restart"/>
            <w:tcBorders>
              <w:bottom w:val="nil"/>
            </w:tcBorders>
          </w:tcPr>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2" w:lineRule="auto"/>
              <w:rPr>
                <w:rFonts w:ascii="Arial"/>
                <w:sz w:val="21"/>
              </w:rPr>
            </w:pPr>
            <w:r/>
          </w:p>
          <w:p>
            <w:pPr>
              <w:pStyle w:val="TableText"/>
              <w:ind w:left="71"/>
              <w:spacing w:before="59" w:line="221" w:lineRule="auto"/>
              <w:rPr>
                <w:sz w:val="18"/>
                <w:szCs w:val="18"/>
              </w:rPr>
            </w:pPr>
            <w:r>
              <w:rPr>
                <w:sz w:val="18"/>
                <w:szCs w:val="18"/>
                <w:spacing w:val="-3"/>
              </w:rPr>
              <w:t>生态影响</w:t>
            </w:r>
          </w:p>
          <w:p>
            <w:pPr>
              <w:pStyle w:val="TableText"/>
              <w:ind w:left="251"/>
              <w:spacing w:before="16" w:line="220" w:lineRule="auto"/>
              <w:rPr>
                <w:sz w:val="18"/>
                <w:szCs w:val="18"/>
              </w:rPr>
            </w:pPr>
            <w:r>
              <w:rPr>
                <w:sz w:val="18"/>
                <w:szCs w:val="18"/>
                <w:spacing w:val="-5"/>
              </w:rPr>
              <w:t>识别</w:t>
            </w:r>
          </w:p>
        </w:tc>
        <w:tc>
          <w:tcPr>
            <w:tcW w:w="1484" w:type="dxa"/>
            <w:vAlign w:val="top"/>
          </w:tcPr>
          <w:p>
            <w:pPr>
              <w:pStyle w:val="TableText"/>
              <w:ind w:left="207"/>
              <w:spacing w:before="261" w:line="220" w:lineRule="auto"/>
              <w:rPr>
                <w:sz w:val="18"/>
                <w:szCs w:val="18"/>
              </w:rPr>
            </w:pPr>
            <w:r>
              <w:rPr>
                <w:sz w:val="18"/>
                <w:szCs w:val="18"/>
                <w:spacing w:val="-2"/>
              </w:rPr>
              <w:t>生态保护目标</w:t>
            </w:r>
          </w:p>
        </w:tc>
        <w:tc>
          <w:tcPr>
            <w:tcW w:w="6185" w:type="dxa"/>
            <w:vAlign w:val="top"/>
          </w:tcPr>
          <w:p>
            <w:pPr>
              <w:pStyle w:val="TableText"/>
              <w:ind w:left="8" w:right="3"/>
              <w:spacing w:before="28" w:line="228" w:lineRule="auto"/>
              <w:jc w:val="both"/>
              <w:rPr>
                <w:rFonts w:ascii="MS Gothic" w:hAnsi="MS Gothic" w:eastAsia="MS Gothic" w:cs="MS Gothic"/>
                <w:sz w:val="18"/>
                <w:szCs w:val="18"/>
              </w:rPr>
            </w:pPr>
            <w:r>
              <w:rPr>
                <w:sz w:val="18"/>
                <w:szCs w:val="18"/>
                <w:spacing w:val="-1"/>
              </w:rPr>
              <w:t>重要物种□；国家公园□；</w:t>
            </w:r>
            <w:r>
              <w:rPr>
                <w:sz w:val="18"/>
                <w:szCs w:val="18"/>
                <w:spacing w:val="-51"/>
              </w:rPr>
              <w:t xml:space="preserve"> </w:t>
            </w:r>
            <w:r>
              <w:rPr>
                <w:sz w:val="18"/>
                <w:szCs w:val="18"/>
                <w:spacing w:val="-1"/>
              </w:rPr>
              <w:t>自然保护区□；</w:t>
            </w:r>
            <w:r>
              <w:rPr>
                <w:sz w:val="18"/>
                <w:szCs w:val="18"/>
                <w:spacing w:val="-49"/>
              </w:rPr>
              <w:t xml:space="preserve"> </w:t>
            </w:r>
            <w:r>
              <w:rPr>
                <w:sz w:val="18"/>
                <w:szCs w:val="18"/>
                <w:spacing w:val="-1"/>
              </w:rPr>
              <w:t>自然公园□；世界自然遗产□；生</w:t>
            </w:r>
            <w:r>
              <w:rPr>
                <w:sz w:val="18"/>
                <w:szCs w:val="18"/>
              </w:rPr>
              <w:t xml:space="preserve"> </w:t>
            </w:r>
            <w:r>
              <w:rPr>
                <w:sz w:val="18"/>
                <w:szCs w:val="18"/>
                <w:spacing w:val="1"/>
              </w:rPr>
              <w:t>态保护红线□；重要生境□；其他具有重要生态功能、对保护生物多样性具有</w:t>
            </w:r>
            <w:r>
              <w:rPr>
                <w:sz w:val="18"/>
                <w:szCs w:val="18"/>
                <w:spacing w:val="10"/>
              </w:rPr>
              <w:t xml:space="preserve"> </w:t>
            </w:r>
            <w:r>
              <w:rPr>
                <w:sz w:val="18"/>
                <w:szCs w:val="18"/>
                <w:spacing w:val="-1"/>
              </w:rPr>
              <w:t>重要意义的区域□；其他</w:t>
            </w:r>
            <w:r>
              <w:rPr>
                <w:rFonts w:ascii="MS Gothic" w:hAnsi="MS Gothic" w:eastAsia="MS Gothic" w:cs="MS Gothic"/>
                <w:sz w:val="18"/>
                <w:szCs w:val="18"/>
                <w:spacing w:val="-1"/>
              </w:rPr>
              <w:t>☑</w:t>
            </w:r>
          </w:p>
        </w:tc>
      </w:tr>
      <w:tr>
        <w:trPr>
          <w:trHeight w:val="238" w:hRule="atLeast"/>
        </w:trPr>
        <w:tc>
          <w:tcPr>
            <w:tcW w:w="848" w:type="dxa"/>
            <w:vAlign w:val="top"/>
            <w:vMerge w:val="continue"/>
            <w:tcBorders>
              <w:top w:val="nil"/>
              <w:bottom w:val="nil"/>
            </w:tcBorders>
          </w:tcPr>
          <w:p>
            <w:pPr>
              <w:rPr>
                <w:rFonts w:ascii="Arial"/>
                <w:sz w:val="21"/>
              </w:rPr>
            </w:pPr>
            <w:r/>
          </w:p>
        </w:tc>
        <w:tc>
          <w:tcPr>
            <w:tcW w:w="1484" w:type="dxa"/>
            <w:vAlign w:val="top"/>
          </w:tcPr>
          <w:p>
            <w:pPr>
              <w:pStyle w:val="TableText"/>
              <w:ind w:left="385"/>
              <w:spacing w:before="29" w:line="204" w:lineRule="auto"/>
              <w:rPr>
                <w:sz w:val="18"/>
                <w:szCs w:val="18"/>
              </w:rPr>
            </w:pPr>
            <w:r>
              <w:rPr>
                <w:sz w:val="18"/>
                <w:szCs w:val="18"/>
                <w:spacing w:val="-2"/>
              </w:rPr>
              <w:t>影响方式</w:t>
            </w:r>
          </w:p>
        </w:tc>
        <w:tc>
          <w:tcPr>
            <w:tcW w:w="6185" w:type="dxa"/>
            <w:vAlign w:val="top"/>
          </w:tcPr>
          <w:p>
            <w:pPr>
              <w:pStyle w:val="TableText"/>
              <w:ind w:left="10"/>
              <w:spacing w:before="29" w:line="204" w:lineRule="auto"/>
              <w:rPr>
                <w:sz w:val="18"/>
                <w:szCs w:val="18"/>
              </w:rPr>
            </w:pPr>
            <w:r>
              <w:rPr>
                <w:sz w:val="18"/>
                <w:szCs w:val="18"/>
                <w:spacing w:val="-1"/>
              </w:rPr>
              <w:t>工程占地</w:t>
            </w:r>
            <w:r>
              <w:rPr>
                <w:rFonts w:ascii="MS Gothic" w:hAnsi="MS Gothic" w:eastAsia="MS Gothic" w:cs="MS Gothic"/>
                <w:sz w:val="18"/>
                <w:szCs w:val="18"/>
                <w:spacing w:val="-1"/>
              </w:rPr>
              <w:t>☑</w:t>
            </w:r>
            <w:r>
              <w:rPr>
                <w:sz w:val="18"/>
                <w:szCs w:val="18"/>
                <w:spacing w:val="-1"/>
              </w:rPr>
              <w:t>；施工活动干扰</w:t>
            </w:r>
            <w:r>
              <w:rPr>
                <w:rFonts w:ascii="MS Gothic" w:hAnsi="MS Gothic" w:eastAsia="MS Gothic" w:cs="MS Gothic"/>
                <w:sz w:val="18"/>
                <w:szCs w:val="18"/>
                <w:spacing w:val="-1"/>
              </w:rPr>
              <w:t>☑</w:t>
            </w:r>
            <w:r>
              <w:rPr>
                <w:sz w:val="18"/>
                <w:szCs w:val="18"/>
                <w:spacing w:val="-1"/>
              </w:rPr>
              <w:t>；改变环境条件□；其他□</w:t>
            </w:r>
          </w:p>
        </w:tc>
      </w:tr>
      <w:tr>
        <w:trPr>
          <w:trHeight w:val="2103" w:hRule="atLeast"/>
        </w:trPr>
        <w:tc>
          <w:tcPr>
            <w:tcW w:w="848" w:type="dxa"/>
            <w:vAlign w:val="top"/>
            <w:vMerge w:val="continue"/>
            <w:tcBorders>
              <w:top w:val="nil"/>
            </w:tcBorders>
          </w:tcPr>
          <w:p>
            <w:pPr>
              <w:rPr>
                <w:rFonts w:ascii="Arial"/>
                <w:sz w:val="21"/>
              </w:rPr>
            </w:pPr>
            <w:r/>
          </w:p>
        </w:tc>
        <w:tc>
          <w:tcPr>
            <w:tcW w:w="1484" w:type="dxa"/>
            <w:vAlign w:val="top"/>
          </w:tcPr>
          <w:p>
            <w:pPr>
              <w:spacing w:line="299" w:lineRule="auto"/>
              <w:rPr>
                <w:rFonts w:ascii="Arial"/>
                <w:sz w:val="21"/>
              </w:rPr>
            </w:pPr>
            <w:r/>
          </w:p>
          <w:p>
            <w:pPr>
              <w:spacing w:line="299" w:lineRule="auto"/>
              <w:rPr>
                <w:rFonts w:ascii="Arial"/>
                <w:sz w:val="21"/>
              </w:rPr>
            </w:pPr>
            <w:r/>
          </w:p>
          <w:p>
            <w:pPr>
              <w:spacing w:line="300" w:lineRule="auto"/>
              <w:rPr>
                <w:rFonts w:ascii="Arial"/>
                <w:sz w:val="21"/>
              </w:rPr>
            </w:pPr>
            <w:r/>
          </w:p>
          <w:p>
            <w:pPr>
              <w:pStyle w:val="TableText"/>
              <w:ind w:left="385"/>
              <w:spacing w:before="58" w:line="220" w:lineRule="auto"/>
              <w:rPr>
                <w:sz w:val="18"/>
                <w:szCs w:val="18"/>
              </w:rPr>
            </w:pPr>
            <w:r>
              <w:rPr>
                <w:sz w:val="18"/>
                <w:szCs w:val="18"/>
                <w:spacing w:val="-2"/>
              </w:rPr>
              <w:t>评级因子</w:t>
            </w:r>
          </w:p>
        </w:tc>
        <w:tc>
          <w:tcPr>
            <w:tcW w:w="6185" w:type="dxa"/>
            <w:vAlign w:val="top"/>
          </w:tcPr>
          <w:p>
            <w:pPr>
              <w:pStyle w:val="TableText"/>
              <w:ind w:left="8"/>
              <w:spacing w:before="28" w:line="220" w:lineRule="auto"/>
              <w:rPr>
                <w:sz w:val="18"/>
                <w:szCs w:val="18"/>
              </w:rPr>
            </w:pPr>
            <w:r>
              <w:rPr>
                <w:sz w:val="18"/>
                <w:szCs w:val="18"/>
                <w:spacing w:val="-6"/>
              </w:rPr>
              <w:t>物种□</w:t>
            </w:r>
            <w:r>
              <w:rPr>
                <w:sz w:val="18"/>
                <w:szCs w:val="18"/>
                <w:spacing w:val="19"/>
              </w:rPr>
              <w:t xml:space="preserve"> </w:t>
            </w:r>
            <w:r>
              <w:rPr>
                <w:sz w:val="18"/>
                <w:szCs w:val="18"/>
                <w:spacing w:val="-6"/>
              </w:rPr>
              <w:t>(                         )</w:t>
            </w:r>
          </w:p>
          <w:p>
            <w:pPr>
              <w:pStyle w:val="TableText"/>
              <w:ind w:left="9"/>
              <w:spacing w:before="18" w:line="220" w:lineRule="auto"/>
              <w:rPr>
                <w:sz w:val="18"/>
                <w:szCs w:val="18"/>
              </w:rPr>
            </w:pPr>
            <w:r>
              <w:rPr>
                <w:sz w:val="18"/>
                <w:szCs w:val="18"/>
                <w:spacing w:val="-6"/>
              </w:rPr>
              <w:t>生境□</w:t>
            </w:r>
            <w:r>
              <w:rPr>
                <w:sz w:val="18"/>
                <w:szCs w:val="18"/>
                <w:spacing w:val="17"/>
              </w:rPr>
              <w:t xml:space="preserve"> </w:t>
            </w:r>
            <w:r>
              <w:rPr>
                <w:sz w:val="18"/>
                <w:szCs w:val="18"/>
                <w:spacing w:val="-6"/>
              </w:rPr>
              <w:t>(                         )</w:t>
            </w:r>
          </w:p>
          <w:p>
            <w:pPr>
              <w:pStyle w:val="TableText"/>
              <w:ind w:left="9"/>
              <w:spacing w:before="18" w:line="219" w:lineRule="auto"/>
              <w:rPr>
                <w:sz w:val="18"/>
                <w:szCs w:val="18"/>
              </w:rPr>
            </w:pPr>
            <w:r>
              <w:rPr>
                <w:sz w:val="18"/>
                <w:szCs w:val="18"/>
                <w:spacing w:val="-7"/>
              </w:rPr>
              <w:t>生物群落□</w:t>
            </w:r>
            <w:r>
              <w:rPr>
                <w:sz w:val="18"/>
                <w:szCs w:val="18"/>
                <w:spacing w:val="13"/>
              </w:rPr>
              <w:t xml:space="preserve"> </w:t>
            </w:r>
            <w:r>
              <w:rPr>
                <w:sz w:val="18"/>
                <w:szCs w:val="18"/>
                <w:spacing w:val="-7"/>
              </w:rPr>
              <w:t>(</w:t>
            </w:r>
            <w:r>
              <w:rPr>
                <w:sz w:val="18"/>
                <w:szCs w:val="18"/>
                <w:spacing w:val="2"/>
              </w:rPr>
              <w:t xml:space="preserve">                   </w:t>
            </w:r>
            <w:r>
              <w:rPr>
                <w:sz w:val="18"/>
                <w:szCs w:val="18"/>
                <w:spacing w:val="-7"/>
              </w:rPr>
              <w:t>)</w:t>
            </w:r>
          </w:p>
          <w:p>
            <w:pPr>
              <w:pStyle w:val="TableText"/>
              <w:ind w:left="9"/>
              <w:spacing w:before="21" w:line="221" w:lineRule="auto"/>
              <w:rPr>
                <w:sz w:val="18"/>
                <w:szCs w:val="18"/>
              </w:rPr>
            </w:pPr>
            <w:r>
              <w:rPr>
                <w:sz w:val="18"/>
                <w:szCs w:val="18"/>
                <w:spacing w:val="-7"/>
              </w:rPr>
              <w:t>生态系统</w:t>
            </w:r>
            <w:r>
              <w:rPr>
                <w:rFonts w:ascii="MS Gothic" w:hAnsi="MS Gothic" w:eastAsia="MS Gothic" w:cs="MS Gothic"/>
                <w:sz w:val="18"/>
                <w:szCs w:val="18"/>
                <w:spacing w:val="-7"/>
              </w:rPr>
              <w:t>☑</w:t>
            </w:r>
            <w:r>
              <w:rPr>
                <w:rFonts w:ascii="MS Gothic" w:hAnsi="MS Gothic" w:eastAsia="MS Gothic" w:cs="MS Gothic"/>
                <w:sz w:val="18"/>
                <w:szCs w:val="18"/>
                <w:spacing w:val="14"/>
              </w:rPr>
              <w:t xml:space="preserve"> </w:t>
            </w:r>
            <w:r>
              <w:rPr>
                <w:sz w:val="18"/>
                <w:szCs w:val="18"/>
                <w:spacing w:val="-7"/>
              </w:rPr>
              <w:t>(</w:t>
            </w:r>
            <w:r>
              <w:rPr>
                <w:sz w:val="18"/>
                <w:szCs w:val="18"/>
                <w:spacing w:val="2"/>
              </w:rPr>
              <w:t xml:space="preserve">                   </w:t>
            </w:r>
            <w:r>
              <w:rPr>
                <w:sz w:val="18"/>
                <w:szCs w:val="18"/>
                <w:spacing w:val="-7"/>
              </w:rPr>
              <w:t>)</w:t>
            </w:r>
          </w:p>
          <w:p>
            <w:pPr>
              <w:pStyle w:val="TableText"/>
              <w:ind w:left="9"/>
              <w:spacing w:before="17" w:line="219" w:lineRule="auto"/>
              <w:rPr>
                <w:sz w:val="18"/>
                <w:szCs w:val="18"/>
              </w:rPr>
            </w:pPr>
            <w:r>
              <w:rPr>
                <w:sz w:val="18"/>
                <w:szCs w:val="18"/>
                <w:spacing w:val="-3"/>
              </w:rPr>
              <w:t>生物多样性□</w:t>
            </w:r>
            <w:r>
              <w:rPr>
                <w:sz w:val="18"/>
                <w:szCs w:val="18"/>
                <w:spacing w:val="12"/>
              </w:rPr>
              <w:t xml:space="preserve"> </w:t>
            </w:r>
            <w:r>
              <w:rPr>
                <w:sz w:val="18"/>
                <w:szCs w:val="18"/>
                <w:spacing w:val="-3"/>
              </w:rPr>
              <w:t>(            </w:t>
            </w:r>
            <w:r>
              <w:rPr>
                <w:sz w:val="18"/>
                <w:szCs w:val="18"/>
                <w:spacing w:val="-4"/>
              </w:rPr>
              <w:t xml:space="preserve">      )</w:t>
            </w:r>
          </w:p>
          <w:p>
            <w:pPr>
              <w:pStyle w:val="TableText"/>
              <w:ind w:left="9"/>
              <w:spacing w:before="22" w:line="219" w:lineRule="auto"/>
              <w:rPr>
                <w:sz w:val="18"/>
                <w:szCs w:val="18"/>
              </w:rPr>
            </w:pPr>
            <w:r>
              <w:rPr>
                <w:sz w:val="18"/>
                <w:szCs w:val="18"/>
                <w:spacing w:val="-3"/>
              </w:rPr>
              <w:t>生态敏感区□</w:t>
            </w:r>
            <w:r>
              <w:rPr>
                <w:sz w:val="18"/>
                <w:szCs w:val="18"/>
                <w:spacing w:val="12"/>
              </w:rPr>
              <w:t xml:space="preserve"> </w:t>
            </w:r>
            <w:r>
              <w:rPr>
                <w:sz w:val="18"/>
                <w:szCs w:val="18"/>
                <w:spacing w:val="-3"/>
              </w:rPr>
              <w:t>(            </w:t>
            </w:r>
            <w:r>
              <w:rPr>
                <w:sz w:val="18"/>
                <w:szCs w:val="18"/>
                <w:spacing w:val="-4"/>
              </w:rPr>
              <w:t xml:space="preserve">      )</w:t>
            </w:r>
          </w:p>
          <w:p>
            <w:pPr>
              <w:pStyle w:val="TableText"/>
              <w:ind w:left="37"/>
              <w:spacing w:before="19" w:line="219" w:lineRule="auto"/>
              <w:rPr>
                <w:sz w:val="18"/>
                <w:szCs w:val="18"/>
              </w:rPr>
            </w:pPr>
            <w:r>
              <w:rPr>
                <w:sz w:val="18"/>
                <w:szCs w:val="18"/>
                <w:spacing w:val="-7"/>
              </w:rPr>
              <w:t>自然景观□</w:t>
            </w:r>
            <w:r>
              <w:rPr>
                <w:sz w:val="18"/>
                <w:szCs w:val="18"/>
                <w:spacing w:val="12"/>
              </w:rPr>
              <w:t xml:space="preserve"> </w:t>
            </w:r>
            <w:r>
              <w:rPr>
                <w:sz w:val="18"/>
                <w:szCs w:val="18"/>
                <w:spacing w:val="-7"/>
              </w:rPr>
              <w:t>(               </w:t>
            </w:r>
            <w:r>
              <w:rPr>
                <w:sz w:val="18"/>
                <w:szCs w:val="18"/>
                <w:spacing w:val="-8"/>
              </w:rPr>
              <w:t xml:space="preserve">      )</w:t>
            </w:r>
          </w:p>
          <w:p>
            <w:pPr>
              <w:pStyle w:val="TableText"/>
              <w:ind w:left="37"/>
              <w:spacing w:before="19" w:line="220" w:lineRule="auto"/>
              <w:rPr>
                <w:sz w:val="18"/>
                <w:szCs w:val="18"/>
              </w:rPr>
            </w:pPr>
            <w:r>
              <w:rPr>
                <w:sz w:val="18"/>
                <w:szCs w:val="18"/>
                <w:spacing w:val="-7"/>
              </w:rPr>
              <w:t>自然遗迹□</w:t>
            </w:r>
            <w:r>
              <w:rPr>
                <w:sz w:val="18"/>
                <w:szCs w:val="18"/>
                <w:spacing w:val="12"/>
              </w:rPr>
              <w:t xml:space="preserve"> </w:t>
            </w:r>
            <w:r>
              <w:rPr>
                <w:sz w:val="18"/>
                <w:szCs w:val="18"/>
                <w:spacing w:val="-7"/>
              </w:rPr>
              <w:t>(               </w:t>
            </w:r>
            <w:r>
              <w:rPr>
                <w:sz w:val="18"/>
                <w:szCs w:val="18"/>
                <w:spacing w:val="-8"/>
              </w:rPr>
              <w:t xml:space="preserve">      )</w:t>
            </w:r>
          </w:p>
          <w:p>
            <w:pPr>
              <w:pStyle w:val="TableText"/>
              <w:ind w:left="8"/>
              <w:spacing w:before="18" w:line="202" w:lineRule="auto"/>
              <w:rPr>
                <w:sz w:val="18"/>
                <w:szCs w:val="18"/>
              </w:rPr>
            </w:pPr>
            <w:r>
              <w:rPr>
                <w:sz w:val="18"/>
                <w:szCs w:val="18"/>
                <w:spacing w:val="-6"/>
              </w:rPr>
              <w:t>其他</w:t>
            </w:r>
            <w:r>
              <w:rPr>
                <w:rFonts w:ascii="MS Gothic" w:hAnsi="MS Gothic" w:eastAsia="MS Gothic" w:cs="MS Gothic"/>
                <w:sz w:val="18"/>
                <w:szCs w:val="18"/>
                <w:spacing w:val="-6"/>
              </w:rPr>
              <w:t>☑</w:t>
            </w:r>
            <w:r>
              <w:rPr>
                <w:rFonts w:ascii="MS Gothic" w:hAnsi="MS Gothic" w:eastAsia="MS Gothic" w:cs="MS Gothic"/>
                <w:sz w:val="18"/>
                <w:szCs w:val="18"/>
                <w:spacing w:val="18"/>
              </w:rPr>
              <w:t xml:space="preserve"> </w:t>
            </w:r>
            <w:r>
              <w:rPr>
                <w:sz w:val="18"/>
                <w:szCs w:val="18"/>
                <w:spacing w:val="-6"/>
              </w:rPr>
              <w:t>(                         )</w:t>
            </w:r>
          </w:p>
        </w:tc>
      </w:tr>
      <w:tr>
        <w:trPr>
          <w:trHeight w:val="239" w:hRule="atLeast"/>
        </w:trPr>
        <w:tc>
          <w:tcPr>
            <w:tcW w:w="2332" w:type="dxa"/>
            <w:vAlign w:val="top"/>
            <w:gridSpan w:val="2"/>
          </w:tcPr>
          <w:p>
            <w:pPr>
              <w:pStyle w:val="TableText"/>
              <w:ind w:left="630"/>
              <w:spacing w:before="33" w:line="201" w:lineRule="auto"/>
              <w:rPr>
                <w:sz w:val="18"/>
                <w:szCs w:val="18"/>
              </w:rPr>
            </w:pPr>
            <w:r>
              <w:rPr>
                <w:sz w:val="18"/>
                <w:szCs w:val="18"/>
                <w:spacing w:val="-2"/>
              </w:rPr>
              <w:t>评价工作等级</w:t>
            </w:r>
          </w:p>
        </w:tc>
        <w:tc>
          <w:tcPr>
            <w:tcW w:w="6185" w:type="dxa"/>
            <w:vAlign w:val="top"/>
          </w:tcPr>
          <w:p>
            <w:pPr>
              <w:pStyle w:val="TableText"/>
              <w:ind w:left="1163"/>
              <w:spacing w:before="33" w:line="201" w:lineRule="auto"/>
              <w:rPr>
                <w:sz w:val="18"/>
                <w:szCs w:val="18"/>
              </w:rPr>
            </w:pPr>
            <w:r>
              <w:rPr>
                <w:sz w:val="18"/>
                <w:szCs w:val="18"/>
                <w:spacing w:val="-3"/>
              </w:rPr>
              <w:t>一级□；二级</w:t>
            </w:r>
            <w:r>
              <w:rPr>
                <w:sz w:val="18"/>
                <w:szCs w:val="18"/>
                <w:spacing w:val="30"/>
              </w:rPr>
              <w:t xml:space="preserve"> </w:t>
            </w:r>
            <w:r>
              <w:rPr>
                <w:sz w:val="18"/>
                <w:szCs w:val="18"/>
                <w:spacing w:val="-3"/>
              </w:rPr>
              <w:t>□</w:t>
            </w:r>
            <w:r>
              <w:rPr>
                <w:sz w:val="18"/>
                <w:szCs w:val="18"/>
                <w:spacing w:val="-67"/>
              </w:rPr>
              <w:t xml:space="preserve"> </w:t>
            </w:r>
            <w:r>
              <w:rPr>
                <w:sz w:val="18"/>
                <w:szCs w:val="18"/>
                <w:spacing w:val="-3"/>
              </w:rPr>
              <w:t>；三级</w:t>
            </w:r>
            <w:r>
              <w:rPr>
                <w:rFonts w:ascii="MS Gothic" w:hAnsi="MS Gothic" w:eastAsia="MS Gothic" w:cs="MS Gothic"/>
                <w:sz w:val="18"/>
                <w:szCs w:val="18"/>
                <w:spacing w:val="-3"/>
              </w:rPr>
              <w:t>☑</w:t>
            </w:r>
            <w:r>
              <w:rPr>
                <w:sz w:val="18"/>
                <w:szCs w:val="18"/>
                <w:spacing w:val="-3"/>
              </w:rPr>
              <w:t>；生态影响简单分析□</w:t>
            </w:r>
          </w:p>
        </w:tc>
      </w:tr>
      <w:tr>
        <w:trPr>
          <w:trHeight w:val="238" w:hRule="atLeast"/>
        </w:trPr>
        <w:tc>
          <w:tcPr>
            <w:tcW w:w="2332" w:type="dxa"/>
            <w:vAlign w:val="top"/>
            <w:gridSpan w:val="2"/>
          </w:tcPr>
          <w:p>
            <w:pPr>
              <w:pStyle w:val="TableText"/>
              <w:ind w:left="810"/>
              <w:spacing w:before="31" w:line="202" w:lineRule="auto"/>
              <w:rPr>
                <w:sz w:val="18"/>
                <w:szCs w:val="18"/>
              </w:rPr>
            </w:pPr>
            <w:r>
              <w:rPr>
                <w:sz w:val="18"/>
                <w:szCs w:val="18"/>
                <w:spacing w:val="-2"/>
              </w:rPr>
              <w:t>评价范围</w:t>
            </w:r>
          </w:p>
        </w:tc>
        <w:tc>
          <w:tcPr>
            <w:tcW w:w="6185" w:type="dxa"/>
            <w:vAlign w:val="top"/>
          </w:tcPr>
          <w:p>
            <w:pPr>
              <w:pStyle w:val="TableText"/>
              <w:ind w:left="1354"/>
              <w:spacing w:before="31" w:line="202" w:lineRule="auto"/>
              <w:rPr>
                <w:rFonts w:ascii="Times New Roman" w:hAnsi="Times New Roman" w:eastAsia="Times New Roman" w:cs="Times New Roman"/>
                <w:sz w:val="11"/>
                <w:szCs w:val="11"/>
              </w:rPr>
            </w:pPr>
            <w:r>
              <w:rPr>
                <w:sz w:val="18"/>
                <w:szCs w:val="18"/>
                <w:spacing w:val="-1"/>
              </w:rPr>
              <w:t>陆域面积</w:t>
            </w:r>
            <w:r>
              <w:rPr>
                <w:sz w:val="18"/>
                <w:szCs w:val="18"/>
                <w:spacing w:val="-5"/>
              </w:rPr>
              <w:t>：（</w:t>
            </w:r>
            <w:r>
              <w:rPr>
                <w:rFonts w:ascii="Times New Roman" w:hAnsi="Times New Roman" w:eastAsia="Times New Roman" w:cs="Times New Roman"/>
                <w:sz w:val="18"/>
                <w:szCs w:val="18"/>
                <w:spacing w:val="-1"/>
              </w:rPr>
              <w:t>1.4</w:t>
            </w:r>
            <w:r>
              <w:rPr>
                <w:sz w:val="18"/>
                <w:szCs w:val="18"/>
                <w:spacing w:val="-1"/>
              </w:rPr>
              <w:t>）</w:t>
            </w:r>
            <w:r>
              <w:rPr>
                <w:rFonts w:ascii="Times New Roman" w:hAnsi="Times New Roman" w:eastAsia="Times New Roman" w:cs="Times New Roman"/>
                <w:sz w:val="18"/>
                <w:szCs w:val="18"/>
                <w:spacing w:val="-1"/>
              </w:rPr>
              <w:t>km</w:t>
            </w:r>
            <w:r>
              <w:rPr>
                <w:rFonts w:ascii="Times New Roman" w:hAnsi="Times New Roman" w:eastAsia="Times New Roman" w:cs="Times New Roman"/>
                <w:sz w:val="11"/>
                <w:szCs w:val="11"/>
                <w:spacing w:val="-1"/>
                <w:position w:val="5"/>
              </w:rPr>
              <w:t>2 </w:t>
            </w:r>
            <w:r>
              <w:rPr>
                <w:sz w:val="18"/>
                <w:szCs w:val="18"/>
                <w:spacing w:val="-1"/>
              </w:rPr>
              <w:t>；水域面积</w:t>
            </w:r>
            <w:r>
              <w:rPr>
                <w:sz w:val="18"/>
                <w:szCs w:val="18"/>
                <w:spacing w:val="-5"/>
              </w:rPr>
              <w:t>：（）</w:t>
            </w:r>
            <w:r>
              <w:rPr>
                <w:rFonts w:ascii="Times New Roman" w:hAnsi="Times New Roman" w:eastAsia="Times New Roman" w:cs="Times New Roman"/>
                <w:sz w:val="18"/>
                <w:szCs w:val="18"/>
                <w:spacing w:val="-1"/>
              </w:rPr>
              <w:t>km</w:t>
            </w:r>
            <w:r>
              <w:rPr>
                <w:rFonts w:ascii="Times New Roman" w:hAnsi="Times New Roman" w:eastAsia="Times New Roman" w:cs="Times New Roman"/>
                <w:sz w:val="11"/>
                <w:szCs w:val="11"/>
                <w:spacing w:val="-1"/>
                <w:position w:val="5"/>
              </w:rPr>
              <w:t>2</w:t>
            </w:r>
          </w:p>
        </w:tc>
      </w:tr>
      <w:tr>
        <w:trPr>
          <w:trHeight w:val="474" w:hRule="atLeast"/>
        </w:trPr>
        <w:tc>
          <w:tcPr>
            <w:tcW w:w="848" w:type="dxa"/>
            <w:vAlign w:val="top"/>
          </w:tcPr>
          <w:p>
            <w:pPr>
              <w:pStyle w:val="TableText"/>
              <w:ind w:left="71"/>
              <w:spacing w:before="33" w:line="219" w:lineRule="auto"/>
              <w:rPr>
                <w:sz w:val="18"/>
                <w:szCs w:val="18"/>
              </w:rPr>
            </w:pPr>
            <w:r>
              <w:rPr>
                <w:sz w:val="18"/>
                <w:szCs w:val="18"/>
                <w:spacing w:val="-3"/>
              </w:rPr>
              <w:t>生态现状</w:t>
            </w:r>
          </w:p>
          <w:p>
            <w:pPr>
              <w:pStyle w:val="TableText"/>
              <w:ind w:left="71"/>
              <w:spacing w:before="18" w:line="204" w:lineRule="auto"/>
              <w:rPr>
                <w:sz w:val="18"/>
                <w:szCs w:val="18"/>
              </w:rPr>
            </w:pPr>
            <w:r>
              <w:rPr>
                <w:sz w:val="18"/>
                <w:szCs w:val="18"/>
                <w:spacing w:val="-3"/>
              </w:rPr>
              <w:t>调查与评</w:t>
            </w:r>
          </w:p>
        </w:tc>
        <w:tc>
          <w:tcPr>
            <w:tcW w:w="1484" w:type="dxa"/>
            <w:vAlign w:val="top"/>
          </w:tcPr>
          <w:p>
            <w:pPr>
              <w:pStyle w:val="TableText"/>
              <w:ind w:left="387"/>
              <w:spacing w:before="147" w:line="221" w:lineRule="auto"/>
              <w:rPr>
                <w:sz w:val="18"/>
                <w:szCs w:val="18"/>
              </w:rPr>
            </w:pPr>
            <w:r>
              <w:rPr>
                <w:sz w:val="18"/>
                <w:szCs w:val="18"/>
                <w:spacing w:val="-3"/>
              </w:rPr>
              <w:t>调查方法</w:t>
            </w:r>
          </w:p>
        </w:tc>
        <w:tc>
          <w:tcPr>
            <w:tcW w:w="6185" w:type="dxa"/>
            <w:vAlign w:val="top"/>
          </w:tcPr>
          <w:p>
            <w:pPr>
              <w:pStyle w:val="TableText"/>
              <w:ind w:left="8" w:right="3" w:firstLine="7"/>
              <w:spacing w:before="33" w:line="221" w:lineRule="auto"/>
              <w:rPr>
                <w:sz w:val="18"/>
                <w:szCs w:val="18"/>
              </w:rPr>
            </w:pPr>
            <w:r>
              <w:rPr>
                <w:sz w:val="18"/>
                <w:szCs w:val="18"/>
                <w:spacing w:val="1"/>
              </w:rPr>
              <w:t>资料收集</w:t>
            </w:r>
            <w:r>
              <w:rPr>
                <w:rFonts w:ascii="MS Gothic" w:hAnsi="MS Gothic" w:eastAsia="MS Gothic" w:cs="MS Gothic"/>
                <w:sz w:val="18"/>
                <w:szCs w:val="18"/>
                <w:spacing w:val="1"/>
              </w:rPr>
              <w:t>☑</w:t>
            </w:r>
            <w:r>
              <w:rPr>
                <w:sz w:val="18"/>
                <w:szCs w:val="18"/>
                <w:spacing w:val="1"/>
              </w:rPr>
              <w:t>；遥感调查□；调查样方、样线□；调查点位、断面□；专家和公</w:t>
            </w:r>
            <w:r>
              <w:rPr>
                <w:sz w:val="18"/>
                <w:szCs w:val="18"/>
                <w:spacing w:val="5"/>
              </w:rPr>
              <w:t xml:space="preserve"> </w:t>
            </w:r>
            <w:r>
              <w:rPr>
                <w:sz w:val="18"/>
                <w:szCs w:val="18"/>
                <w:spacing w:val="-1"/>
              </w:rPr>
              <w:t>众咨询法□；其他□</w:t>
            </w:r>
          </w:p>
        </w:tc>
      </w:tr>
    </w:tbl>
    <w:p>
      <w:pPr>
        <w:pStyle w:val="BodyText"/>
        <w:spacing w:line="213" w:lineRule="exact"/>
        <w:rPr>
          <w:sz w:val="18"/>
        </w:rPr>
      </w:pPr>
      <w:r/>
    </w:p>
    <w:p>
      <w:pPr>
        <w:spacing w:line="213" w:lineRule="exact"/>
        <w:sectPr>
          <w:headerReference w:type="default" r:id="rId320"/>
          <w:footerReference w:type="default" r:id="rId321"/>
          <w:pgSz w:w="11907" w:h="16840"/>
          <w:pgMar w:top="1567" w:right="1621" w:bottom="1921" w:left="1696" w:header="1221" w:footer="1247" w:gutter="0"/>
        </w:sectPr>
        <w:rPr>
          <w:sz w:val="18"/>
          <w:szCs w:val="18"/>
        </w:rPr>
      </w:pPr>
    </w:p>
    <w:p>
      <w:pPr>
        <w:spacing w:line="151" w:lineRule="exact"/>
        <w:rPr/>
      </w:pPr>
      <w:r>
        <w:pict>
          <v:shape id="_x0000_s1066" style="position:absolute;margin-left:85.05pt;margin-top:79.11pt;mso-position-vertical-relative:page;mso-position-horizontal-relative:page;width:425.25pt;height:0.75pt;z-index:252184576;" o:allowincell="f" fillcolor="#000000" filled="true" stroked="false" coordsize="8505,15" coordorigin="0,0" path="m,l8505,0l8505,14l0,14l0,0xe"/>
        </w:pict>
      </w:r>
      <w:r/>
    </w:p>
    <w:tbl>
      <w:tblPr>
        <w:tblStyle w:val="TableNormal"/>
        <w:tblW w:w="8517" w:type="dxa"/>
        <w:tblInd w:w="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48"/>
        <w:gridCol w:w="1484"/>
        <w:gridCol w:w="6185"/>
      </w:tblGrid>
      <w:tr>
        <w:trPr>
          <w:trHeight w:val="242" w:hRule="atLeast"/>
        </w:trPr>
        <w:tc>
          <w:tcPr>
            <w:tcW w:w="848" w:type="dxa"/>
            <w:vAlign w:val="top"/>
            <w:vMerge w:val="restart"/>
            <w:tcBorders>
              <w:bottom w:val="nil"/>
            </w:tcBorders>
          </w:tcPr>
          <w:p>
            <w:pPr>
              <w:pStyle w:val="TableText"/>
              <w:ind w:left="339"/>
              <w:spacing w:before="32" w:line="218" w:lineRule="auto"/>
              <w:rPr>
                <w:sz w:val="18"/>
                <w:szCs w:val="18"/>
              </w:rPr>
            </w:pPr>
            <w:r>
              <w:rPr>
                <w:sz w:val="18"/>
                <w:szCs w:val="18"/>
              </w:rPr>
              <w:t>价</w:t>
            </w:r>
          </w:p>
        </w:tc>
        <w:tc>
          <w:tcPr>
            <w:tcW w:w="1484" w:type="dxa"/>
            <w:vAlign w:val="top"/>
          </w:tcPr>
          <w:p>
            <w:pPr>
              <w:pStyle w:val="TableText"/>
              <w:ind w:left="387"/>
              <w:spacing w:before="33" w:line="204" w:lineRule="auto"/>
              <w:rPr>
                <w:sz w:val="18"/>
                <w:szCs w:val="18"/>
              </w:rPr>
            </w:pPr>
            <w:r>
              <w:rPr>
                <w:sz w:val="18"/>
                <w:szCs w:val="18"/>
                <w:spacing w:val="-3"/>
              </w:rPr>
              <w:t>调查时间</w:t>
            </w:r>
          </w:p>
        </w:tc>
        <w:tc>
          <w:tcPr>
            <w:tcW w:w="6185" w:type="dxa"/>
            <w:vAlign w:val="top"/>
          </w:tcPr>
          <w:p>
            <w:pPr>
              <w:pStyle w:val="TableText"/>
              <w:ind w:left="7"/>
              <w:spacing w:before="33" w:line="204" w:lineRule="auto"/>
              <w:rPr>
                <w:sz w:val="18"/>
                <w:szCs w:val="18"/>
              </w:rPr>
            </w:pPr>
            <w:r>
              <w:rPr>
                <w:sz w:val="18"/>
                <w:szCs w:val="18"/>
              </w:rPr>
              <w:t>春季</w:t>
            </w:r>
            <w:r>
              <w:rPr>
                <w:rFonts w:ascii="MS Gothic" w:hAnsi="MS Gothic" w:eastAsia="MS Gothic" w:cs="MS Gothic"/>
                <w:sz w:val="18"/>
                <w:szCs w:val="18"/>
              </w:rPr>
              <w:t>☑</w:t>
            </w:r>
            <w:r>
              <w:rPr>
                <w:sz w:val="18"/>
                <w:szCs w:val="18"/>
              </w:rPr>
              <w:t>；夏季□；秋季□；冬季□；丰水期□；枯</w:t>
            </w:r>
            <w:r>
              <w:rPr>
                <w:sz w:val="18"/>
                <w:szCs w:val="18"/>
                <w:spacing w:val="-1"/>
              </w:rPr>
              <w:t>水期□；平水期□</w:t>
            </w:r>
          </w:p>
        </w:tc>
      </w:tr>
      <w:tr>
        <w:trPr>
          <w:trHeight w:val="471" w:hRule="atLeast"/>
        </w:trPr>
        <w:tc>
          <w:tcPr>
            <w:tcW w:w="848" w:type="dxa"/>
            <w:vAlign w:val="top"/>
            <w:vMerge w:val="continue"/>
            <w:tcBorders>
              <w:top w:val="nil"/>
              <w:bottom w:val="nil"/>
            </w:tcBorders>
          </w:tcPr>
          <w:p>
            <w:pPr>
              <w:rPr>
                <w:rFonts w:ascii="Arial"/>
                <w:sz w:val="21"/>
              </w:rPr>
            </w:pPr>
            <w:r/>
          </w:p>
        </w:tc>
        <w:tc>
          <w:tcPr>
            <w:tcW w:w="1484" w:type="dxa"/>
            <w:vAlign w:val="top"/>
          </w:tcPr>
          <w:p>
            <w:pPr>
              <w:pStyle w:val="TableText"/>
              <w:ind w:left="653" w:right="20" w:hanging="628"/>
              <w:spacing w:before="28" w:line="222" w:lineRule="auto"/>
              <w:rPr>
                <w:sz w:val="18"/>
                <w:szCs w:val="18"/>
              </w:rPr>
            </w:pPr>
            <w:r>
              <w:rPr>
                <w:sz w:val="18"/>
                <w:szCs w:val="18"/>
                <w:spacing w:val="-1"/>
              </w:rPr>
              <w:t>所在区域的生态问</w:t>
            </w:r>
            <w:r>
              <w:rPr>
                <w:sz w:val="18"/>
                <w:szCs w:val="18"/>
              </w:rPr>
              <w:t xml:space="preserve"> </w:t>
            </w:r>
            <w:r>
              <w:rPr>
                <w:sz w:val="18"/>
                <w:szCs w:val="18"/>
              </w:rPr>
              <w:t>题</w:t>
            </w:r>
          </w:p>
        </w:tc>
        <w:tc>
          <w:tcPr>
            <w:tcW w:w="6185" w:type="dxa"/>
            <w:vAlign w:val="top"/>
          </w:tcPr>
          <w:p>
            <w:pPr>
              <w:pStyle w:val="TableText"/>
              <w:ind w:left="8" w:right="3" w:firstLine="2"/>
              <w:spacing w:before="28" w:line="222" w:lineRule="auto"/>
              <w:rPr>
                <w:sz w:val="18"/>
                <w:szCs w:val="18"/>
              </w:rPr>
            </w:pPr>
            <w:r>
              <w:rPr>
                <w:sz w:val="18"/>
                <w:szCs w:val="18"/>
                <w:spacing w:val="1"/>
              </w:rPr>
              <w:t>水土流失</w:t>
            </w:r>
            <w:r>
              <w:rPr>
                <w:rFonts w:ascii="MS Gothic" w:hAnsi="MS Gothic" w:eastAsia="MS Gothic" w:cs="MS Gothic"/>
                <w:sz w:val="18"/>
                <w:szCs w:val="18"/>
                <w:spacing w:val="1"/>
              </w:rPr>
              <w:t>☑</w:t>
            </w:r>
            <w:r>
              <w:rPr>
                <w:sz w:val="18"/>
                <w:szCs w:val="18"/>
                <w:spacing w:val="1"/>
              </w:rPr>
              <w:t>；沙漠化</w:t>
            </w:r>
            <w:r>
              <w:rPr>
                <w:rFonts w:ascii="MS Gothic" w:hAnsi="MS Gothic" w:eastAsia="MS Gothic" w:cs="MS Gothic"/>
                <w:sz w:val="18"/>
                <w:szCs w:val="18"/>
                <w:spacing w:val="1"/>
              </w:rPr>
              <w:t>☑</w:t>
            </w:r>
            <w:r>
              <w:rPr>
                <w:sz w:val="18"/>
                <w:szCs w:val="18"/>
                <w:spacing w:val="1"/>
              </w:rPr>
              <w:t>；石漠化□；盐渍化□；生物入侵□；污染危害□；其</w:t>
            </w:r>
            <w:r>
              <w:rPr>
                <w:sz w:val="18"/>
                <w:szCs w:val="18"/>
                <w:spacing w:val="11"/>
              </w:rPr>
              <w:t xml:space="preserve"> </w:t>
            </w:r>
            <w:r>
              <w:rPr>
                <w:sz w:val="18"/>
                <w:szCs w:val="18"/>
                <w:spacing w:val="-4"/>
              </w:rPr>
              <w:t>他□</w:t>
            </w:r>
          </w:p>
        </w:tc>
      </w:tr>
      <w:tr>
        <w:trPr>
          <w:trHeight w:val="471" w:hRule="atLeast"/>
        </w:trPr>
        <w:tc>
          <w:tcPr>
            <w:tcW w:w="848" w:type="dxa"/>
            <w:vAlign w:val="top"/>
            <w:vMerge w:val="continue"/>
            <w:tcBorders>
              <w:top w:val="nil"/>
            </w:tcBorders>
          </w:tcPr>
          <w:p>
            <w:pPr>
              <w:rPr>
                <w:rFonts w:ascii="Arial"/>
                <w:sz w:val="21"/>
              </w:rPr>
            </w:pPr>
            <w:r/>
          </w:p>
        </w:tc>
        <w:tc>
          <w:tcPr>
            <w:tcW w:w="1484" w:type="dxa"/>
            <w:vAlign w:val="top"/>
          </w:tcPr>
          <w:p>
            <w:pPr>
              <w:pStyle w:val="TableText"/>
              <w:ind w:left="385"/>
              <w:spacing w:before="144" w:line="218" w:lineRule="auto"/>
              <w:rPr>
                <w:sz w:val="18"/>
                <w:szCs w:val="18"/>
              </w:rPr>
            </w:pPr>
            <w:r>
              <w:rPr>
                <w:sz w:val="18"/>
                <w:szCs w:val="18"/>
                <w:spacing w:val="-2"/>
              </w:rPr>
              <w:t>评价内容</w:t>
            </w:r>
          </w:p>
        </w:tc>
        <w:tc>
          <w:tcPr>
            <w:tcW w:w="6185" w:type="dxa"/>
            <w:vAlign w:val="top"/>
          </w:tcPr>
          <w:p>
            <w:pPr>
              <w:pStyle w:val="TableText"/>
              <w:ind w:left="8" w:right="3"/>
              <w:spacing w:before="30" w:line="221" w:lineRule="auto"/>
              <w:rPr>
                <w:sz w:val="18"/>
                <w:szCs w:val="18"/>
              </w:rPr>
            </w:pPr>
            <w:r>
              <w:rPr>
                <w:sz w:val="18"/>
                <w:szCs w:val="18"/>
              </w:rPr>
              <w:t>植被</w:t>
            </w:r>
            <w:r>
              <w:rPr>
                <w:rFonts w:ascii="Times New Roman" w:hAnsi="Times New Roman" w:eastAsia="Times New Roman" w:cs="Times New Roman"/>
                <w:sz w:val="18"/>
                <w:szCs w:val="18"/>
              </w:rPr>
              <w:t>/</w:t>
            </w:r>
            <w:r>
              <w:rPr>
                <w:sz w:val="18"/>
                <w:szCs w:val="18"/>
              </w:rPr>
              <w:t>植物群落</w:t>
            </w:r>
            <w:r>
              <w:rPr>
                <w:rFonts w:ascii="MS Gothic" w:hAnsi="MS Gothic" w:eastAsia="MS Gothic" w:cs="MS Gothic"/>
                <w:sz w:val="18"/>
                <w:szCs w:val="18"/>
              </w:rPr>
              <w:t>☑</w:t>
            </w:r>
            <w:r>
              <w:rPr>
                <w:sz w:val="18"/>
                <w:szCs w:val="18"/>
              </w:rPr>
              <w:t>；土地利用</w:t>
            </w:r>
            <w:r>
              <w:rPr>
                <w:rFonts w:ascii="MS Gothic" w:hAnsi="MS Gothic" w:eastAsia="MS Gothic" w:cs="MS Gothic"/>
                <w:sz w:val="18"/>
                <w:szCs w:val="18"/>
              </w:rPr>
              <w:t>☑</w:t>
            </w:r>
            <w:r>
              <w:rPr>
                <w:sz w:val="18"/>
                <w:szCs w:val="18"/>
              </w:rPr>
              <w:t>；生态系统</w:t>
            </w:r>
            <w:r>
              <w:rPr>
                <w:rFonts w:ascii="MS Gothic" w:hAnsi="MS Gothic" w:eastAsia="MS Gothic" w:cs="MS Gothic"/>
                <w:sz w:val="18"/>
                <w:szCs w:val="18"/>
              </w:rPr>
              <w:t>☑</w:t>
            </w:r>
            <w:r>
              <w:rPr>
                <w:sz w:val="18"/>
                <w:szCs w:val="18"/>
              </w:rPr>
              <w:t>；生物多样性□；重要物</w:t>
            </w:r>
            <w:r>
              <w:rPr>
                <w:sz w:val="18"/>
                <w:szCs w:val="18"/>
                <w:spacing w:val="-1"/>
              </w:rPr>
              <w:t>种□；生</w:t>
            </w:r>
            <w:r>
              <w:rPr>
                <w:sz w:val="18"/>
                <w:szCs w:val="18"/>
              </w:rPr>
              <w:t xml:space="preserve"> </w:t>
            </w:r>
            <w:r>
              <w:rPr>
                <w:sz w:val="18"/>
                <w:szCs w:val="18"/>
                <w:spacing w:val="-1"/>
              </w:rPr>
              <w:t>态敏感区□；其他□</w:t>
            </w:r>
          </w:p>
        </w:tc>
      </w:tr>
      <w:tr>
        <w:trPr>
          <w:trHeight w:val="238" w:hRule="atLeast"/>
        </w:trPr>
        <w:tc>
          <w:tcPr>
            <w:tcW w:w="848" w:type="dxa"/>
            <w:vAlign w:val="top"/>
            <w:vMerge w:val="restart"/>
            <w:tcBorders>
              <w:bottom w:val="nil"/>
            </w:tcBorders>
          </w:tcPr>
          <w:p>
            <w:pPr>
              <w:pStyle w:val="TableText"/>
              <w:ind w:left="71"/>
              <w:spacing w:before="34" w:line="221" w:lineRule="auto"/>
              <w:rPr>
                <w:sz w:val="18"/>
                <w:szCs w:val="18"/>
              </w:rPr>
            </w:pPr>
            <w:r>
              <w:rPr>
                <w:sz w:val="18"/>
                <w:szCs w:val="18"/>
                <w:spacing w:val="-3"/>
              </w:rPr>
              <w:t>生态影响</w:t>
            </w:r>
          </w:p>
          <w:p>
            <w:pPr>
              <w:pStyle w:val="TableText"/>
              <w:ind w:left="71"/>
              <w:spacing w:before="16" w:line="220" w:lineRule="auto"/>
              <w:rPr>
                <w:sz w:val="18"/>
                <w:szCs w:val="18"/>
              </w:rPr>
            </w:pPr>
            <w:r>
              <w:rPr>
                <w:sz w:val="18"/>
                <w:szCs w:val="18"/>
                <w:spacing w:val="-3"/>
              </w:rPr>
              <w:t>预测与评</w:t>
            </w:r>
          </w:p>
          <w:p>
            <w:pPr>
              <w:pStyle w:val="TableText"/>
              <w:ind w:left="339"/>
              <w:spacing w:before="18" w:line="210" w:lineRule="auto"/>
              <w:rPr>
                <w:sz w:val="18"/>
                <w:szCs w:val="18"/>
              </w:rPr>
            </w:pPr>
            <w:r>
              <w:rPr>
                <w:sz w:val="18"/>
                <w:szCs w:val="18"/>
              </w:rPr>
              <w:t>价</w:t>
            </w:r>
          </w:p>
        </w:tc>
        <w:tc>
          <w:tcPr>
            <w:tcW w:w="1484" w:type="dxa"/>
            <w:vAlign w:val="top"/>
          </w:tcPr>
          <w:p>
            <w:pPr>
              <w:pStyle w:val="TableText"/>
              <w:ind w:left="385"/>
              <w:spacing w:before="31" w:line="202" w:lineRule="auto"/>
              <w:rPr>
                <w:sz w:val="18"/>
                <w:szCs w:val="18"/>
              </w:rPr>
            </w:pPr>
            <w:r>
              <w:rPr>
                <w:sz w:val="18"/>
                <w:szCs w:val="18"/>
                <w:spacing w:val="-2"/>
              </w:rPr>
              <w:t>评价方法</w:t>
            </w:r>
          </w:p>
        </w:tc>
        <w:tc>
          <w:tcPr>
            <w:tcW w:w="6185" w:type="dxa"/>
            <w:vAlign w:val="top"/>
          </w:tcPr>
          <w:p>
            <w:pPr>
              <w:pStyle w:val="TableText"/>
              <w:ind w:left="12"/>
              <w:spacing w:before="31" w:line="202" w:lineRule="auto"/>
              <w:rPr>
                <w:sz w:val="18"/>
                <w:szCs w:val="18"/>
              </w:rPr>
            </w:pPr>
            <w:r>
              <w:rPr>
                <w:sz w:val="18"/>
                <w:szCs w:val="18"/>
                <w:spacing w:val="-2"/>
              </w:rPr>
              <w:t>定性</w:t>
            </w:r>
            <w:r>
              <w:rPr>
                <w:rFonts w:ascii="MS Gothic" w:hAnsi="MS Gothic" w:eastAsia="MS Gothic" w:cs="MS Gothic"/>
                <w:sz w:val="18"/>
                <w:szCs w:val="18"/>
                <w:spacing w:val="-2"/>
              </w:rPr>
              <w:t>☑</w:t>
            </w:r>
            <w:r>
              <w:rPr>
                <w:sz w:val="18"/>
                <w:szCs w:val="18"/>
                <w:spacing w:val="-2"/>
              </w:rPr>
              <w:t>；定性和定量□</w:t>
            </w:r>
          </w:p>
        </w:tc>
      </w:tr>
      <w:tr>
        <w:trPr>
          <w:trHeight w:val="471" w:hRule="atLeast"/>
        </w:trPr>
        <w:tc>
          <w:tcPr>
            <w:tcW w:w="848" w:type="dxa"/>
            <w:vAlign w:val="top"/>
            <w:vMerge w:val="continue"/>
            <w:tcBorders>
              <w:top w:val="nil"/>
            </w:tcBorders>
          </w:tcPr>
          <w:p>
            <w:pPr>
              <w:rPr>
                <w:rFonts w:ascii="Arial"/>
                <w:sz w:val="21"/>
              </w:rPr>
            </w:pPr>
            <w:r/>
          </w:p>
        </w:tc>
        <w:tc>
          <w:tcPr>
            <w:tcW w:w="1484" w:type="dxa"/>
            <w:vAlign w:val="top"/>
          </w:tcPr>
          <w:p>
            <w:pPr>
              <w:pStyle w:val="TableText"/>
              <w:ind w:left="385"/>
              <w:spacing w:before="145" w:line="218" w:lineRule="auto"/>
              <w:rPr>
                <w:sz w:val="18"/>
                <w:szCs w:val="18"/>
              </w:rPr>
            </w:pPr>
            <w:r>
              <w:rPr>
                <w:sz w:val="18"/>
                <w:szCs w:val="18"/>
                <w:spacing w:val="-2"/>
              </w:rPr>
              <w:t>评价内容</w:t>
            </w:r>
          </w:p>
        </w:tc>
        <w:tc>
          <w:tcPr>
            <w:tcW w:w="6185" w:type="dxa"/>
            <w:vAlign w:val="top"/>
          </w:tcPr>
          <w:p>
            <w:pPr>
              <w:pStyle w:val="TableText"/>
              <w:ind w:left="8" w:right="3"/>
              <w:spacing w:before="30" w:line="221" w:lineRule="auto"/>
              <w:rPr>
                <w:sz w:val="18"/>
                <w:szCs w:val="18"/>
              </w:rPr>
            </w:pPr>
            <w:r>
              <w:rPr>
                <w:sz w:val="18"/>
                <w:szCs w:val="18"/>
              </w:rPr>
              <w:t>植被</w:t>
            </w:r>
            <w:r>
              <w:rPr>
                <w:rFonts w:ascii="Times New Roman" w:hAnsi="Times New Roman" w:eastAsia="Times New Roman" w:cs="Times New Roman"/>
                <w:sz w:val="18"/>
                <w:szCs w:val="18"/>
              </w:rPr>
              <w:t>/</w:t>
            </w:r>
            <w:r>
              <w:rPr>
                <w:sz w:val="18"/>
                <w:szCs w:val="18"/>
              </w:rPr>
              <w:t>植物群落</w:t>
            </w:r>
            <w:r>
              <w:rPr>
                <w:rFonts w:ascii="MS Gothic" w:hAnsi="MS Gothic" w:eastAsia="MS Gothic" w:cs="MS Gothic"/>
                <w:sz w:val="18"/>
                <w:szCs w:val="18"/>
              </w:rPr>
              <w:t>☑</w:t>
            </w:r>
            <w:r>
              <w:rPr>
                <w:sz w:val="18"/>
                <w:szCs w:val="18"/>
              </w:rPr>
              <w:t>；土地利用</w:t>
            </w:r>
            <w:r>
              <w:rPr>
                <w:rFonts w:ascii="MS Gothic" w:hAnsi="MS Gothic" w:eastAsia="MS Gothic" w:cs="MS Gothic"/>
                <w:sz w:val="18"/>
                <w:szCs w:val="18"/>
              </w:rPr>
              <w:t>☑</w:t>
            </w:r>
            <w:r>
              <w:rPr>
                <w:sz w:val="18"/>
                <w:szCs w:val="18"/>
              </w:rPr>
              <w:t>；生态系统□；生物多样性□；重要物</w:t>
            </w:r>
            <w:r>
              <w:rPr>
                <w:sz w:val="18"/>
                <w:szCs w:val="18"/>
                <w:spacing w:val="-1"/>
              </w:rPr>
              <w:t>种□；生</w:t>
            </w:r>
            <w:r>
              <w:rPr>
                <w:sz w:val="18"/>
                <w:szCs w:val="18"/>
              </w:rPr>
              <w:t xml:space="preserve"> </w:t>
            </w:r>
            <w:r>
              <w:rPr>
                <w:sz w:val="18"/>
                <w:szCs w:val="18"/>
                <w:spacing w:val="-1"/>
              </w:rPr>
              <w:t>态敏感区□；生物入侵风险□；其他□;</w:t>
            </w:r>
          </w:p>
        </w:tc>
      </w:tr>
      <w:tr>
        <w:trPr>
          <w:trHeight w:val="238" w:hRule="atLeast"/>
        </w:trPr>
        <w:tc>
          <w:tcPr>
            <w:tcW w:w="848" w:type="dxa"/>
            <w:vAlign w:val="top"/>
            <w:vMerge w:val="restart"/>
            <w:tcBorders>
              <w:bottom w:val="nil"/>
            </w:tcBorders>
          </w:tcPr>
          <w:p>
            <w:pPr>
              <w:pStyle w:val="TableText"/>
              <w:ind w:left="249" w:right="60" w:hanging="178"/>
              <w:spacing w:before="157" w:line="241" w:lineRule="auto"/>
              <w:rPr>
                <w:sz w:val="18"/>
                <w:szCs w:val="18"/>
              </w:rPr>
            </w:pPr>
            <w:r>
              <w:rPr>
                <w:sz w:val="18"/>
                <w:szCs w:val="18"/>
                <w:spacing w:val="-3"/>
              </w:rPr>
              <w:t>生态保护</w:t>
            </w:r>
            <w:r>
              <w:rPr>
                <w:sz w:val="18"/>
                <w:szCs w:val="18"/>
                <w:spacing w:val="2"/>
              </w:rPr>
              <w:t xml:space="preserve"> </w:t>
            </w:r>
            <w:r>
              <w:rPr>
                <w:sz w:val="18"/>
                <w:szCs w:val="18"/>
                <w:spacing w:val="-4"/>
              </w:rPr>
              <w:t>措施</w:t>
            </w:r>
          </w:p>
        </w:tc>
        <w:tc>
          <w:tcPr>
            <w:tcW w:w="1484" w:type="dxa"/>
            <w:vAlign w:val="top"/>
          </w:tcPr>
          <w:p>
            <w:pPr>
              <w:pStyle w:val="TableText"/>
              <w:ind w:left="385"/>
              <w:spacing w:before="32" w:line="201" w:lineRule="auto"/>
              <w:rPr>
                <w:sz w:val="18"/>
                <w:szCs w:val="18"/>
              </w:rPr>
            </w:pPr>
            <w:r>
              <w:rPr>
                <w:sz w:val="18"/>
                <w:szCs w:val="18"/>
                <w:spacing w:val="-2"/>
              </w:rPr>
              <w:t>对策措施</w:t>
            </w:r>
          </w:p>
        </w:tc>
        <w:tc>
          <w:tcPr>
            <w:tcW w:w="6185" w:type="dxa"/>
            <w:vAlign w:val="top"/>
          </w:tcPr>
          <w:p>
            <w:pPr>
              <w:pStyle w:val="TableText"/>
              <w:ind w:left="6"/>
              <w:spacing w:before="32" w:line="201" w:lineRule="auto"/>
              <w:rPr>
                <w:sz w:val="18"/>
                <w:szCs w:val="18"/>
              </w:rPr>
            </w:pPr>
            <w:r>
              <w:rPr>
                <w:sz w:val="18"/>
                <w:szCs w:val="18"/>
                <w:spacing w:val="-4"/>
              </w:rPr>
              <w:t>避让□；减缓</w:t>
            </w:r>
            <w:r>
              <w:rPr>
                <w:rFonts w:ascii="MS Gothic" w:hAnsi="MS Gothic" w:eastAsia="MS Gothic" w:cs="MS Gothic"/>
                <w:sz w:val="18"/>
                <w:szCs w:val="18"/>
                <w:spacing w:val="-4"/>
              </w:rPr>
              <w:t>☑</w:t>
            </w:r>
            <w:r>
              <w:rPr>
                <w:sz w:val="18"/>
                <w:szCs w:val="18"/>
                <w:spacing w:val="-4"/>
              </w:rPr>
              <w:t>；生态修复□；生态补偿</w:t>
            </w:r>
            <w:r>
              <w:rPr>
                <w:rFonts w:ascii="MS Gothic" w:hAnsi="MS Gothic" w:eastAsia="MS Gothic" w:cs="MS Gothic"/>
                <w:sz w:val="18"/>
                <w:szCs w:val="18"/>
                <w:spacing w:val="-4"/>
              </w:rPr>
              <w:t>☑</w:t>
            </w:r>
            <w:r>
              <w:rPr>
                <w:sz w:val="18"/>
                <w:szCs w:val="18"/>
                <w:spacing w:val="-4"/>
              </w:rPr>
              <w:t>；科研□；其他□</w:t>
            </w:r>
          </w:p>
        </w:tc>
      </w:tr>
      <w:tr>
        <w:trPr>
          <w:trHeight w:val="238" w:hRule="atLeast"/>
        </w:trPr>
        <w:tc>
          <w:tcPr>
            <w:tcW w:w="848" w:type="dxa"/>
            <w:vAlign w:val="top"/>
            <w:vMerge w:val="continue"/>
            <w:tcBorders>
              <w:top w:val="nil"/>
              <w:bottom w:val="nil"/>
            </w:tcBorders>
          </w:tcPr>
          <w:p>
            <w:pPr>
              <w:rPr>
                <w:rFonts w:ascii="Arial"/>
                <w:sz w:val="21"/>
              </w:rPr>
            </w:pPr>
            <w:r/>
          </w:p>
        </w:tc>
        <w:tc>
          <w:tcPr>
            <w:tcW w:w="1484" w:type="dxa"/>
            <w:vAlign w:val="top"/>
          </w:tcPr>
          <w:p>
            <w:pPr>
              <w:pStyle w:val="TableText"/>
              <w:ind w:left="207"/>
              <w:spacing w:before="32" w:line="201" w:lineRule="auto"/>
              <w:rPr>
                <w:sz w:val="18"/>
                <w:szCs w:val="18"/>
              </w:rPr>
            </w:pPr>
            <w:r>
              <w:rPr>
                <w:sz w:val="18"/>
                <w:szCs w:val="18"/>
                <w:spacing w:val="-2"/>
              </w:rPr>
              <w:t>生态监测计划</w:t>
            </w:r>
          </w:p>
        </w:tc>
        <w:tc>
          <w:tcPr>
            <w:tcW w:w="6185" w:type="dxa"/>
            <w:vAlign w:val="top"/>
          </w:tcPr>
          <w:p>
            <w:pPr>
              <w:pStyle w:val="TableText"/>
              <w:ind w:left="8"/>
              <w:spacing w:before="32" w:line="201" w:lineRule="auto"/>
              <w:rPr>
                <w:rFonts w:ascii="MS Gothic" w:hAnsi="MS Gothic" w:eastAsia="MS Gothic" w:cs="MS Gothic"/>
                <w:sz w:val="18"/>
                <w:szCs w:val="18"/>
              </w:rPr>
            </w:pPr>
            <w:r>
              <w:rPr>
                <w:sz w:val="18"/>
                <w:szCs w:val="18"/>
                <w:spacing w:val="-4"/>
              </w:rPr>
              <w:t>全生命周期□；长期跟踪□；常规□；无</w:t>
            </w:r>
            <w:r>
              <w:rPr>
                <w:rFonts w:ascii="MS Gothic" w:hAnsi="MS Gothic" w:eastAsia="MS Gothic" w:cs="MS Gothic"/>
                <w:sz w:val="18"/>
                <w:szCs w:val="18"/>
                <w:spacing w:val="-4"/>
              </w:rPr>
              <w:t>☑</w:t>
            </w:r>
          </w:p>
        </w:tc>
      </w:tr>
      <w:tr>
        <w:trPr>
          <w:trHeight w:val="239" w:hRule="atLeast"/>
        </w:trPr>
        <w:tc>
          <w:tcPr>
            <w:tcW w:w="848" w:type="dxa"/>
            <w:vAlign w:val="top"/>
            <w:vMerge w:val="continue"/>
            <w:tcBorders>
              <w:top w:val="nil"/>
            </w:tcBorders>
          </w:tcPr>
          <w:p>
            <w:pPr>
              <w:rPr>
                <w:rFonts w:ascii="Arial"/>
                <w:sz w:val="21"/>
              </w:rPr>
            </w:pPr>
            <w:r/>
          </w:p>
        </w:tc>
        <w:tc>
          <w:tcPr>
            <w:tcW w:w="1484" w:type="dxa"/>
            <w:vAlign w:val="top"/>
          </w:tcPr>
          <w:p>
            <w:pPr>
              <w:pStyle w:val="TableText"/>
              <w:ind w:left="385"/>
              <w:spacing w:before="31" w:line="203" w:lineRule="auto"/>
              <w:rPr>
                <w:sz w:val="18"/>
                <w:szCs w:val="18"/>
              </w:rPr>
            </w:pPr>
            <w:r>
              <w:rPr>
                <w:sz w:val="18"/>
                <w:szCs w:val="18"/>
                <w:spacing w:val="-2"/>
              </w:rPr>
              <w:t>环境管理</w:t>
            </w:r>
          </w:p>
        </w:tc>
        <w:tc>
          <w:tcPr>
            <w:tcW w:w="6185" w:type="dxa"/>
            <w:vAlign w:val="top"/>
          </w:tcPr>
          <w:p>
            <w:pPr>
              <w:pStyle w:val="TableText"/>
              <w:ind w:left="8"/>
              <w:spacing w:before="31" w:line="203" w:lineRule="auto"/>
              <w:rPr>
                <w:rFonts w:ascii="MS Gothic" w:hAnsi="MS Gothic" w:eastAsia="MS Gothic" w:cs="MS Gothic"/>
                <w:sz w:val="18"/>
                <w:szCs w:val="18"/>
              </w:rPr>
            </w:pPr>
            <w:r>
              <w:rPr>
                <w:sz w:val="18"/>
                <w:szCs w:val="18"/>
                <w:spacing w:val="-5"/>
              </w:rPr>
              <w:t>环境监理□；环境影响后评价□；其他</w:t>
            </w:r>
            <w:r>
              <w:rPr>
                <w:rFonts w:ascii="MS Gothic" w:hAnsi="MS Gothic" w:eastAsia="MS Gothic" w:cs="MS Gothic"/>
                <w:sz w:val="18"/>
                <w:szCs w:val="18"/>
                <w:spacing w:val="-5"/>
              </w:rPr>
              <w:t>☑</w:t>
            </w:r>
          </w:p>
        </w:tc>
      </w:tr>
      <w:tr>
        <w:trPr>
          <w:trHeight w:val="242" w:hRule="atLeast"/>
        </w:trPr>
        <w:tc>
          <w:tcPr>
            <w:tcW w:w="848" w:type="dxa"/>
            <w:vAlign w:val="top"/>
          </w:tcPr>
          <w:p>
            <w:pPr>
              <w:pStyle w:val="TableText"/>
              <w:ind w:left="69"/>
              <w:spacing w:before="32" w:line="205" w:lineRule="auto"/>
              <w:rPr>
                <w:sz w:val="18"/>
                <w:szCs w:val="18"/>
              </w:rPr>
            </w:pPr>
            <w:r>
              <w:rPr>
                <w:sz w:val="18"/>
                <w:szCs w:val="18"/>
                <w:spacing w:val="-2"/>
              </w:rPr>
              <w:t>评价结论</w:t>
            </w:r>
          </w:p>
        </w:tc>
        <w:tc>
          <w:tcPr>
            <w:tcW w:w="1484" w:type="dxa"/>
            <w:vAlign w:val="top"/>
          </w:tcPr>
          <w:p>
            <w:pPr>
              <w:pStyle w:val="TableText"/>
              <w:ind w:left="387"/>
              <w:spacing w:before="32" w:line="205" w:lineRule="auto"/>
              <w:rPr>
                <w:sz w:val="18"/>
                <w:szCs w:val="18"/>
              </w:rPr>
            </w:pPr>
            <w:r>
              <w:rPr>
                <w:sz w:val="18"/>
                <w:szCs w:val="18"/>
                <w:spacing w:val="-3"/>
              </w:rPr>
              <w:t>生态影响</w:t>
            </w:r>
          </w:p>
        </w:tc>
        <w:tc>
          <w:tcPr>
            <w:tcW w:w="6185" w:type="dxa"/>
            <w:vAlign w:val="top"/>
          </w:tcPr>
          <w:p>
            <w:pPr>
              <w:pStyle w:val="TableText"/>
              <w:ind w:left="9"/>
              <w:spacing w:before="32" w:line="205" w:lineRule="auto"/>
              <w:rPr>
                <w:sz w:val="18"/>
                <w:szCs w:val="18"/>
              </w:rPr>
            </w:pPr>
            <w:r>
              <w:rPr>
                <w:sz w:val="18"/>
                <w:szCs w:val="18"/>
                <w:spacing w:val="-5"/>
              </w:rPr>
              <w:t>可行</w:t>
            </w:r>
            <w:r>
              <w:rPr>
                <w:rFonts w:ascii="MS Gothic" w:hAnsi="MS Gothic" w:eastAsia="MS Gothic" w:cs="MS Gothic"/>
                <w:sz w:val="18"/>
                <w:szCs w:val="18"/>
                <w:spacing w:val="-5"/>
              </w:rPr>
              <w:t>☑</w:t>
            </w:r>
            <w:r>
              <w:rPr>
                <w:sz w:val="18"/>
                <w:szCs w:val="18"/>
                <w:spacing w:val="-5"/>
              </w:rPr>
              <w:t>；不可行□</w:t>
            </w:r>
          </w:p>
        </w:tc>
      </w:tr>
    </w:tbl>
    <w:p>
      <w:pPr>
        <w:ind w:left="20"/>
        <w:spacing w:before="201" w:line="222" w:lineRule="auto"/>
        <w:outlineLvl w:val="1"/>
        <w:rPr>
          <w:rFonts w:ascii="SimHei" w:hAnsi="SimHei" w:eastAsia="SimHei" w:cs="SimHei"/>
          <w:sz w:val="30"/>
          <w:szCs w:val="30"/>
        </w:rPr>
      </w:pPr>
      <w:bookmarkStart w:name="bookmark115" w:id="143"/>
      <w:bookmarkEnd w:id="143"/>
      <w:bookmarkStart w:name="bookmark116" w:id="144"/>
      <w:bookmarkEnd w:id="144"/>
      <w:r>
        <w:rPr>
          <w:rFonts w:ascii="Times New Roman" w:hAnsi="Times New Roman" w:eastAsia="Times New Roman" w:cs="Times New Roman"/>
          <w:sz w:val="30"/>
          <w:szCs w:val="30"/>
          <w:spacing w:val="-2"/>
        </w:rPr>
        <w:t>5.8 </w:t>
      </w:r>
      <w:r>
        <w:rPr>
          <w:rFonts w:ascii="SimHei" w:hAnsi="SimHei" w:eastAsia="SimHei" w:cs="SimHei"/>
          <w:sz w:val="30"/>
          <w:szCs w:val="30"/>
          <w:spacing w:val="-2"/>
        </w:rPr>
        <w:t>施工期环境影响分析</w:t>
      </w:r>
    </w:p>
    <w:p>
      <w:pPr>
        <w:pStyle w:val="BodyText"/>
        <w:spacing w:line="281" w:lineRule="auto"/>
        <w:rPr/>
      </w:pPr>
      <w:r/>
    </w:p>
    <w:p>
      <w:pPr>
        <w:ind w:left="19"/>
        <w:spacing w:before="91" w:line="222" w:lineRule="auto"/>
        <w:outlineLvl w:val="2"/>
        <w:rPr>
          <w:rFonts w:ascii="SimHei" w:hAnsi="SimHei" w:eastAsia="SimHei" w:cs="SimHei"/>
          <w:sz w:val="28"/>
          <w:szCs w:val="28"/>
        </w:rPr>
      </w:pPr>
      <w:bookmarkStart w:name="bookmark242" w:id="145"/>
      <w:bookmarkEnd w:id="145"/>
      <w:r>
        <w:rPr>
          <w:rFonts w:ascii="Times New Roman" w:hAnsi="Times New Roman" w:eastAsia="Times New Roman" w:cs="Times New Roman"/>
          <w:sz w:val="28"/>
          <w:szCs w:val="28"/>
          <w:spacing w:val="-1"/>
        </w:rPr>
        <w:t>5.8.1 </w:t>
      </w:r>
      <w:r>
        <w:rPr>
          <w:rFonts w:ascii="SimHei" w:hAnsi="SimHei" w:eastAsia="SimHei" w:cs="SimHei"/>
          <w:sz w:val="28"/>
          <w:szCs w:val="28"/>
          <w:spacing w:val="-1"/>
        </w:rPr>
        <w:t>施工期环境空气影响分析</w:t>
      </w:r>
    </w:p>
    <w:p>
      <w:pPr>
        <w:pStyle w:val="BodyText"/>
        <w:spacing w:line="242" w:lineRule="auto"/>
        <w:rPr/>
      </w:pPr>
      <w:r/>
    </w:p>
    <w:p>
      <w:pPr>
        <w:ind w:left="498"/>
        <w:spacing w:before="78" w:line="219" w:lineRule="auto"/>
        <w:rPr>
          <w:rFonts w:ascii="SimSun" w:hAnsi="SimSun" w:eastAsia="SimSun" w:cs="SimSun"/>
          <w:sz w:val="24"/>
          <w:szCs w:val="24"/>
        </w:rPr>
      </w:pPr>
      <w:r>
        <w:rPr>
          <w:rFonts w:ascii="SimSun" w:hAnsi="SimSun" w:eastAsia="SimSun" w:cs="SimSun"/>
          <w:sz w:val="24"/>
          <w:szCs w:val="24"/>
        </w:rPr>
        <w:t>大气污染主要为施工扬尘、施工机械运转和</w:t>
      </w:r>
      <w:r>
        <w:rPr>
          <w:rFonts w:ascii="SimSun" w:hAnsi="SimSun" w:eastAsia="SimSun" w:cs="SimSun"/>
          <w:sz w:val="24"/>
          <w:szCs w:val="24"/>
          <w:spacing w:val="-1"/>
        </w:rPr>
        <w:t>施工车辆运输产生的有害气体。</w:t>
      </w:r>
    </w:p>
    <w:p>
      <w:pPr>
        <w:ind w:left="507"/>
        <w:spacing w:before="184" w:line="221"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）施工扬尘</w:t>
      </w:r>
    </w:p>
    <w:p>
      <w:pPr>
        <w:ind w:left="14" w:right="11" w:firstLine="480"/>
        <w:spacing w:before="179" w:line="359" w:lineRule="auto"/>
        <w:rPr>
          <w:rFonts w:ascii="SimSun" w:hAnsi="SimSun" w:eastAsia="SimSun" w:cs="SimSun"/>
          <w:sz w:val="24"/>
          <w:szCs w:val="24"/>
        </w:rPr>
      </w:pPr>
      <w:r>
        <w:rPr>
          <w:rFonts w:ascii="SimSun" w:hAnsi="SimSun" w:eastAsia="SimSun" w:cs="SimSun"/>
          <w:sz w:val="24"/>
          <w:szCs w:val="24"/>
          <w:spacing w:val="3"/>
        </w:rPr>
        <w:t>施工场区扬尘的主要来源是施工场地开挖填方、露天堆场和裸露场</w:t>
      </w:r>
      <w:r>
        <w:rPr>
          <w:rFonts w:ascii="SimSun" w:hAnsi="SimSun" w:eastAsia="SimSun" w:cs="SimSun"/>
          <w:sz w:val="24"/>
          <w:szCs w:val="24"/>
          <w:spacing w:val="2"/>
        </w:rPr>
        <w:t>地的风力</w:t>
      </w:r>
      <w:r>
        <w:rPr>
          <w:rFonts w:ascii="SimSun" w:hAnsi="SimSun" w:eastAsia="SimSun" w:cs="SimSun"/>
          <w:sz w:val="24"/>
          <w:szCs w:val="24"/>
        </w:rPr>
        <w:t xml:space="preserve"> </w:t>
      </w:r>
      <w:r>
        <w:rPr>
          <w:rFonts w:ascii="SimSun" w:hAnsi="SimSun" w:eastAsia="SimSun" w:cs="SimSun"/>
          <w:sz w:val="24"/>
          <w:szCs w:val="24"/>
          <w:spacing w:val="3"/>
        </w:rPr>
        <w:t>扬尘。由于施工需要，一些建筑材料和开挖的土方需临时</w:t>
      </w:r>
      <w:r>
        <w:rPr>
          <w:rFonts w:ascii="SimSun" w:hAnsi="SimSun" w:eastAsia="SimSun" w:cs="SimSun"/>
          <w:sz w:val="24"/>
          <w:szCs w:val="24"/>
          <w:spacing w:val="2"/>
        </w:rPr>
        <w:t>堆放，在气候干燥及有</w:t>
      </w:r>
      <w:r>
        <w:rPr>
          <w:rFonts w:ascii="SimSun" w:hAnsi="SimSun" w:eastAsia="SimSun" w:cs="SimSun"/>
          <w:sz w:val="24"/>
          <w:szCs w:val="24"/>
        </w:rPr>
        <w:t xml:space="preserve"> </w:t>
      </w:r>
      <w:r>
        <w:rPr>
          <w:rFonts w:ascii="SimSun" w:hAnsi="SimSun" w:eastAsia="SimSun" w:cs="SimSun"/>
          <w:sz w:val="24"/>
          <w:szCs w:val="24"/>
          <w:spacing w:val="3"/>
        </w:rPr>
        <w:t>风的情况下，会产生扬尘，起尘风速与粒径和含水率有关</w:t>
      </w:r>
      <w:r>
        <w:rPr>
          <w:rFonts w:ascii="SimSun" w:hAnsi="SimSun" w:eastAsia="SimSun" w:cs="SimSun"/>
          <w:sz w:val="24"/>
          <w:szCs w:val="24"/>
          <w:spacing w:val="2"/>
        </w:rPr>
        <w:t>，因此减小露天堆场和</w:t>
      </w:r>
      <w:r>
        <w:rPr>
          <w:rFonts w:ascii="SimSun" w:hAnsi="SimSun" w:eastAsia="SimSun" w:cs="SimSun"/>
          <w:sz w:val="24"/>
          <w:szCs w:val="24"/>
        </w:rPr>
        <w:t xml:space="preserve"> </w:t>
      </w:r>
      <w:r>
        <w:rPr>
          <w:rFonts w:ascii="SimSun" w:hAnsi="SimSun" w:eastAsia="SimSun" w:cs="SimSun"/>
          <w:sz w:val="24"/>
          <w:szCs w:val="24"/>
          <w:spacing w:val="3"/>
        </w:rPr>
        <w:t>保证一定的含水率及减少裸露地面是减少风力起尘的有效</w:t>
      </w:r>
      <w:r>
        <w:rPr>
          <w:rFonts w:ascii="SimSun" w:hAnsi="SimSun" w:eastAsia="SimSun" w:cs="SimSun"/>
          <w:sz w:val="24"/>
          <w:szCs w:val="24"/>
          <w:spacing w:val="2"/>
        </w:rPr>
        <w:t>手段。粉尘在空气中的</w:t>
      </w:r>
      <w:r>
        <w:rPr>
          <w:rFonts w:ascii="SimSun" w:hAnsi="SimSun" w:eastAsia="SimSun" w:cs="SimSun"/>
          <w:sz w:val="24"/>
          <w:szCs w:val="24"/>
        </w:rPr>
        <w:t xml:space="preserve"> </w:t>
      </w:r>
      <w:r>
        <w:rPr>
          <w:rFonts w:ascii="SimSun" w:hAnsi="SimSun" w:eastAsia="SimSun" w:cs="SimSun"/>
          <w:sz w:val="24"/>
          <w:szCs w:val="24"/>
          <w:spacing w:val="-1"/>
        </w:rPr>
        <w:t>扩散稀散与风速等气象条件有关，也与粉尘的沉降速度有关。</w:t>
      </w:r>
    </w:p>
    <w:p>
      <w:pPr>
        <w:ind w:left="2150"/>
        <w:spacing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0"/>
        </w:rPr>
        <w:t xml:space="preserve"> </w:t>
      </w:r>
      <w:r>
        <w:rPr>
          <w:rFonts w:ascii="Times New Roman" w:hAnsi="Times New Roman" w:eastAsia="Times New Roman" w:cs="Times New Roman"/>
          <w:sz w:val="24"/>
          <w:szCs w:val="24"/>
          <w:b/>
          <w:bCs/>
          <w:spacing w:val="-2"/>
        </w:rPr>
        <w:t>5.8-1        </w:t>
      </w:r>
      <w:r>
        <w:rPr>
          <w:rFonts w:ascii="SimSun" w:hAnsi="SimSun" w:eastAsia="SimSun" w:cs="SimSun"/>
          <w:sz w:val="24"/>
          <w:szCs w:val="24"/>
          <w:b/>
          <w:bCs/>
          <w:spacing w:val="-2"/>
        </w:rPr>
        <w:t>不同粒径尘粒的沉降速度一览表</w:t>
      </w:r>
    </w:p>
    <w:tbl>
      <w:tblPr>
        <w:tblStyle w:val="TableNormal"/>
        <w:tblW w:w="851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175"/>
        <w:gridCol w:w="881"/>
        <w:gridCol w:w="879"/>
        <w:gridCol w:w="879"/>
        <w:gridCol w:w="880"/>
        <w:gridCol w:w="884"/>
        <w:gridCol w:w="879"/>
        <w:gridCol w:w="1053"/>
      </w:tblGrid>
      <w:tr>
        <w:trPr>
          <w:trHeight w:val="281" w:hRule="atLeast"/>
        </w:trPr>
        <w:tc>
          <w:tcPr>
            <w:tcW w:w="2175" w:type="dxa"/>
            <w:vAlign w:val="top"/>
          </w:tcPr>
          <w:p>
            <w:pPr>
              <w:pStyle w:val="TableText"/>
              <w:ind w:left="323"/>
              <w:spacing w:before="35" w:line="217" w:lineRule="auto"/>
              <w:rPr/>
            </w:pPr>
            <w:r>
              <w:rPr>
                <w:spacing w:val="4"/>
              </w:rPr>
              <w:t>粉尘粒径</w:t>
            </w:r>
            <w:r>
              <w:rPr>
                <w:spacing w:val="23"/>
              </w:rPr>
              <w:t xml:space="preserve"> </w:t>
            </w:r>
            <w:r>
              <w:rPr>
                <w:spacing w:val="4"/>
              </w:rPr>
              <w:t>(</w:t>
            </w:r>
            <w:r>
              <w:rPr>
                <w:rFonts w:ascii="Times New Roman" w:hAnsi="Times New Roman" w:eastAsia="Times New Roman" w:cs="Times New Roman"/>
                <w:spacing w:val="4"/>
              </w:rPr>
              <w:t>μm</w:t>
            </w:r>
            <w:r>
              <w:rPr>
                <w:spacing w:val="4"/>
              </w:rPr>
              <w:t>）</w:t>
            </w:r>
          </w:p>
        </w:tc>
        <w:tc>
          <w:tcPr>
            <w:tcW w:w="881" w:type="dxa"/>
            <w:vAlign w:val="top"/>
          </w:tcPr>
          <w:p>
            <w:pPr>
              <w:ind w:left="35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879" w:type="dxa"/>
            <w:vAlign w:val="top"/>
          </w:tcPr>
          <w:p>
            <w:pPr>
              <w:ind w:left="33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879" w:type="dxa"/>
            <w:vAlign w:val="top"/>
          </w:tcPr>
          <w:p>
            <w:pPr>
              <w:ind w:left="34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880" w:type="dxa"/>
            <w:vAlign w:val="top"/>
          </w:tcPr>
          <w:p>
            <w:pPr>
              <w:ind w:left="33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40</w:t>
            </w:r>
          </w:p>
        </w:tc>
        <w:tc>
          <w:tcPr>
            <w:tcW w:w="884" w:type="dxa"/>
            <w:vAlign w:val="top"/>
          </w:tcPr>
          <w:p>
            <w:pPr>
              <w:ind w:left="34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879" w:type="dxa"/>
            <w:vAlign w:val="top"/>
          </w:tcPr>
          <w:p>
            <w:pPr>
              <w:ind w:left="34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1053" w:type="dxa"/>
            <w:vAlign w:val="top"/>
          </w:tcPr>
          <w:p>
            <w:pPr>
              <w:ind w:left="42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70</w:t>
            </w:r>
          </w:p>
        </w:tc>
      </w:tr>
      <w:tr>
        <w:trPr>
          <w:trHeight w:val="277" w:hRule="atLeast"/>
        </w:trPr>
        <w:tc>
          <w:tcPr>
            <w:tcW w:w="2175" w:type="dxa"/>
            <w:vAlign w:val="top"/>
          </w:tcPr>
          <w:p>
            <w:pPr>
              <w:pStyle w:val="TableText"/>
              <w:ind w:left="311"/>
              <w:spacing w:before="33" w:line="216" w:lineRule="auto"/>
              <w:rPr/>
            </w:pPr>
            <w:r>
              <w:rPr>
                <w:spacing w:val="5"/>
              </w:rPr>
              <w:t>沉降速度（</w:t>
            </w:r>
            <w:r>
              <w:rPr>
                <w:rFonts w:ascii="Times New Roman" w:hAnsi="Times New Roman" w:eastAsia="Times New Roman" w:cs="Times New Roman"/>
                <w:spacing w:val="5"/>
              </w:rPr>
              <w:t>m/s</w:t>
            </w:r>
            <w:r>
              <w:rPr>
                <w:spacing w:val="5"/>
              </w:rPr>
              <w:t>）</w:t>
            </w:r>
          </w:p>
        </w:tc>
        <w:tc>
          <w:tcPr>
            <w:tcW w:w="881" w:type="dxa"/>
            <w:vAlign w:val="top"/>
          </w:tcPr>
          <w:p>
            <w:pPr>
              <w:ind w:left="20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0.003</w:t>
            </w:r>
          </w:p>
        </w:tc>
        <w:tc>
          <w:tcPr>
            <w:tcW w:w="879" w:type="dxa"/>
            <w:vAlign w:val="top"/>
          </w:tcPr>
          <w:p>
            <w:pPr>
              <w:ind w:left="20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0.012</w:t>
            </w:r>
          </w:p>
        </w:tc>
        <w:tc>
          <w:tcPr>
            <w:tcW w:w="879" w:type="dxa"/>
            <w:vAlign w:val="top"/>
          </w:tcPr>
          <w:p>
            <w:pPr>
              <w:ind w:left="209"/>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0.027</w:t>
            </w:r>
          </w:p>
        </w:tc>
        <w:tc>
          <w:tcPr>
            <w:tcW w:w="880" w:type="dxa"/>
            <w:vAlign w:val="top"/>
          </w:tcPr>
          <w:p>
            <w:pPr>
              <w:ind w:left="208"/>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0.048</w:t>
            </w:r>
          </w:p>
        </w:tc>
        <w:tc>
          <w:tcPr>
            <w:tcW w:w="884" w:type="dxa"/>
            <w:vAlign w:val="top"/>
          </w:tcPr>
          <w:p>
            <w:pPr>
              <w:ind w:left="211"/>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0.075</w:t>
            </w:r>
          </w:p>
        </w:tc>
        <w:tc>
          <w:tcPr>
            <w:tcW w:w="879" w:type="dxa"/>
            <w:vAlign w:val="top"/>
          </w:tcPr>
          <w:p>
            <w:pPr>
              <w:ind w:left="23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0108</w:t>
            </w:r>
          </w:p>
        </w:tc>
        <w:tc>
          <w:tcPr>
            <w:tcW w:w="1053" w:type="dxa"/>
            <w:vAlign w:val="top"/>
          </w:tcPr>
          <w:p>
            <w:pPr>
              <w:ind w:left="29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0.147</w:t>
            </w:r>
          </w:p>
        </w:tc>
      </w:tr>
      <w:tr>
        <w:trPr>
          <w:trHeight w:val="276" w:hRule="atLeast"/>
        </w:trPr>
        <w:tc>
          <w:tcPr>
            <w:tcW w:w="2175" w:type="dxa"/>
            <w:vAlign w:val="top"/>
          </w:tcPr>
          <w:p>
            <w:pPr>
              <w:pStyle w:val="TableText"/>
              <w:ind w:left="323"/>
              <w:spacing w:before="31" w:line="216" w:lineRule="auto"/>
              <w:rPr/>
            </w:pPr>
            <w:r>
              <w:rPr>
                <w:spacing w:val="4"/>
              </w:rPr>
              <w:t>粉尘粒径</w:t>
            </w:r>
            <w:r>
              <w:rPr>
                <w:spacing w:val="23"/>
              </w:rPr>
              <w:t xml:space="preserve"> </w:t>
            </w:r>
            <w:r>
              <w:rPr>
                <w:spacing w:val="4"/>
              </w:rPr>
              <w:t>(</w:t>
            </w:r>
            <w:r>
              <w:rPr>
                <w:rFonts w:ascii="Times New Roman" w:hAnsi="Times New Roman" w:eastAsia="Times New Roman" w:cs="Times New Roman"/>
                <w:spacing w:val="4"/>
              </w:rPr>
              <w:t>μm</w:t>
            </w:r>
            <w:r>
              <w:rPr>
                <w:spacing w:val="4"/>
              </w:rPr>
              <w:t>）</w:t>
            </w:r>
          </w:p>
        </w:tc>
        <w:tc>
          <w:tcPr>
            <w:tcW w:w="881" w:type="dxa"/>
            <w:vAlign w:val="top"/>
          </w:tcPr>
          <w:p>
            <w:pPr>
              <w:ind w:left="344"/>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80</w:t>
            </w:r>
          </w:p>
        </w:tc>
        <w:tc>
          <w:tcPr>
            <w:tcW w:w="879" w:type="dxa"/>
            <w:vAlign w:val="top"/>
          </w:tcPr>
          <w:p>
            <w:pPr>
              <w:ind w:left="340"/>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879" w:type="dxa"/>
            <w:vAlign w:val="top"/>
          </w:tcPr>
          <w:p>
            <w:pPr>
              <w:ind w:left="305"/>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100</w:t>
            </w:r>
          </w:p>
        </w:tc>
        <w:tc>
          <w:tcPr>
            <w:tcW w:w="880" w:type="dxa"/>
            <w:vAlign w:val="top"/>
          </w:tcPr>
          <w:p>
            <w:pPr>
              <w:ind w:left="304"/>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150</w:t>
            </w:r>
          </w:p>
        </w:tc>
        <w:tc>
          <w:tcPr>
            <w:tcW w:w="884" w:type="dxa"/>
            <w:vAlign w:val="top"/>
          </w:tcPr>
          <w:p>
            <w:pPr>
              <w:ind w:left="287"/>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w:t>
            </w:r>
          </w:p>
        </w:tc>
        <w:tc>
          <w:tcPr>
            <w:tcW w:w="879" w:type="dxa"/>
            <w:vAlign w:val="top"/>
          </w:tcPr>
          <w:p>
            <w:pPr>
              <w:ind w:left="286"/>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250</w:t>
            </w:r>
          </w:p>
        </w:tc>
        <w:tc>
          <w:tcPr>
            <w:tcW w:w="1053" w:type="dxa"/>
            <w:vAlign w:val="top"/>
          </w:tcPr>
          <w:p>
            <w:pPr>
              <w:ind w:left="374"/>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350</w:t>
            </w:r>
          </w:p>
        </w:tc>
      </w:tr>
      <w:tr>
        <w:trPr>
          <w:trHeight w:val="276" w:hRule="atLeast"/>
        </w:trPr>
        <w:tc>
          <w:tcPr>
            <w:tcW w:w="2175" w:type="dxa"/>
            <w:vAlign w:val="top"/>
          </w:tcPr>
          <w:p>
            <w:pPr>
              <w:pStyle w:val="TableText"/>
              <w:ind w:left="311"/>
              <w:spacing w:before="34" w:line="214" w:lineRule="auto"/>
              <w:rPr/>
            </w:pPr>
            <w:r>
              <w:rPr>
                <w:spacing w:val="5"/>
              </w:rPr>
              <w:t>沉降速度（</w:t>
            </w:r>
            <w:r>
              <w:rPr>
                <w:rFonts w:ascii="Times New Roman" w:hAnsi="Times New Roman" w:eastAsia="Times New Roman" w:cs="Times New Roman"/>
                <w:spacing w:val="5"/>
              </w:rPr>
              <w:t>m/s</w:t>
            </w:r>
            <w:r>
              <w:rPr>
                <w:spacing w:val="5"/>
              </w:rPr>
              <w:t>）</w:t>
            </w:r>
          </w:p>
        </w:tc>
        <w:tc>
          <w:tcPr>
            <w:tcW w:w="881" w:type="dxa"/>
            <w:vAlign w:val="top"/>
          </w:tcPr>
          <w:p>
            <w:pPr>
              <w:ind w:left="20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0.158</w:t>
            </w:r>
          </w:p>
        </w:tc>
        <w:tc>
          <w:tcPr>
            <w:tcW w:w="879" w:type="dxa"/>
            <w:vAlign w:val="top"/>
          </w:tcPr>
          <w:p>
            <w:pPr>
              <w:ind w:left="20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0.170</w:t>
            </w:r>
          </w:p>
        </w:tc>
        <w:tc>
          <w:tcPr>
            <w:tcW w:w="879" w:type="dxa"/>
            <w:vAlign w:val="top"/>
          </w:tcPr>
          <w:p>
            <w:pPr>
              <w:ind w:left="20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0.182</w:t>
            </w:r>
          </w:p>
        </w:tc>
        <w:tc>
          <w:tcPr>
            <w:tcW w:w="880" w:type="dxa"/>
            <w:vAlign w:val="top"/>
          </w:tcPr>
          <w:p>
            <w:pPr>
              <w:ind w:left="20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0.239</w:t>
            </w:r>
          </w:p>
        </w:tc>
        <w:tc>
          <w:tcPr>
            <w:tcW w:w="884" w:type="dxa"/>
            <w:vAlign w:val="top"/>
          </w:tcPr>
          <w:p>
            <w:pPr>
              <w:ind w:left="21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0.804</w:t>
            </w:r>
          </w:p>
        </w:tc>
        <w:tc>
          <w:tcPr>
            <w:tcW w:w="879" w:type="dxa"/>
            <w:vAlign w:val="top"/>
          </w:tcPr>
          <w:p>
            <w:pPr>
              <w:ind w:left="22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1.005</w:t>
            </w:r>
          </w:p>
        </w:tc>
        <w:tc>
          <w:tcPr>
            <w:tcW w:w="1053" w:type="dxa"/>
            <w:vAlign w:val="top"/>
          </w:tcPr>
          <w:p>
            <w:pPr>
              <w:ind w:left="31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1.829</w:t>
            </w:r>
          </w:p>
        </w:tc>
      </w:tr>
      <w:tr>
        <w:trPr>
          <w:trHeight w:val="277" w:hRule="atLeast"/>
        </w:trPr>
        <w:tc>
          <w:tcPr>
            <w:tcW w:w="2175" w:type="dxa"/>
            <w:vAlign w:val="top"/>
          </w:tcPr>
          <w:p>
            <w:pPr>
              <w:pStyle w:val="TableText"/>
              <w:ind w:left="323"/>
              <w:spacing w:before="36" w:line="213" w:lineRule="auto"/>
              <w:rPr/>
            </w:pPr>
            <w:r>
              <w:rPr>
                <w:spacing w:val="4"/>
              </w:rPr>
              <w:t>粉尘粒径</w:t>
            </w:r>
            <w:r>
              <w:rPr>
                <w:spacing w:val="23"/>
              </w:rPr>
              <w:t xml:space="preserve"> </w:t>
            </w:r>
            <w:r>
              <w:rPr>
                <w:spacing w:val="4"/>
              </w:rPr>
              <w:t>(</w:t>
            </w:r>
            <w:r>
              <w:rPr>
                <w:rFonts w:ascii="Times New Roman" w:hAnsi="Times New Roman" w:eastAsia="Times New Roman" w:cs="Times New Roman"/>
                <w:spacing w:val="4"/>
              </w:rPr>
              <w:t>μm</w:t>
            </w:r>
            <w:r>
              <w:rPr>
                <w:spacing w:val="4"/>
              </w:rPr>
              <w:t>）</w:t>
            </w:r>
          </w:p>
        </w:tc>
        <w:tc>
          <w:tcPr>
            <w:tcW w:w="881" w:type="dxa"/>
            <w:vAlign w:val="top"/>
          </w:tcPr>
          <w:p>
            <w:pPr>
              <w:ind w:left="28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450</w:t>
            </w:r>
          </w:p>
        </w:tc>
        <w:tc>
          <w:tcPr>
            <w:tcW w:w="879" w:type="dxa"/>
            <w:vAlign w:val="top"/>
          </w:tcPr>
          <w:p>
            <w:pPr>
              <w:ind w:left="28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550</w:t>
            </w:r>
          </w:p>
        </w:tc>
        <w:tc>
          <w:tcPr>
            <w:tcW w:w="879" w:type="dxa"/>
            <w:vAlign w:val="top"/>
          </w:tcPr>
          <w:p>
            <w:pPr>
              <w:ind w:left="28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650</w:t>
            </w:r>
          </w:p>
        </w:tc>
        <w:tc>
          <w:tcPr>
            <w:tcW w:w="880" w:type="dxa"/>
            <w:vAlign w:val="top"/>
          </w:tcPr>
          <w:p>
            <w:pPr>
              <w:ind w:left="28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750</w:t>
            </w:r>
          </w:p>
        </w:tc>
        <w:tc>
          <w:tcPr>
            <w:tcW w:w="884" w:type="dxa"/>
            <w:vAlign w:val="top"/>
          </w:tcPr>
          <w:p>
            <w:pPr>
              <w:ind w:left="29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850</w:t>
            </w:r>
          </w:p>
        </w:tc>
        <w:tc>
          <w:tcPr>
            <w:tcW w:w="879" w:type="dxa"/>
            <w:vAlign w:val="top"/>
          </w:tcPr>
          <w:p>
            <w:pPr>
              <w:ind w:left="29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950</w:t>
            </w:r>
          </w:p>
        </w:tc>
        <w:tc>
          <w:tcPr>
            <w:tcW w:w="1053" w:type="dxa"/>
            <w:vAlign w:val="top"/>
          </w:tcPr>
          <w:p>
            <w:pPr>
              <w:ind w:left="33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1050</w:t>
            </w:r>
          </w:p>
        </w:tc>
      </w:tr>
      <w:tr>
        <w:trPr>
          <w:trHeight w:val="281" w:hRule="atLeast"/>
        </w:trPr>
        <w:tc>
          <w:tcPr>
            <w:tcW w:w="2175" w:type="dxa"/>
            <w:vAlign w:val="top"/>
          </w:tcPr>
          <w:p>
            <w:pPr>
              <w:pStyle w:val="TableText"/>
              <w:ind w:left="311"/>
              <w:spacing w:before="34" w:line="218" w:lineRule="auto"/>
              <w:rPr/>
            </w:pPr>
            <w:r>
              <w:rPr>
                <w:spacing w:val="5"/>
              </w:rPr>
              <w:t>沉降速度（</w:t>
            </w:r>
            <w:r>
              <w:rPr>
                <w:rFonts w:ascii="Times New Roman" w:hAnsi="Times New Roman" w:eastAsia="Times New Roman" w:cs="Times New Roman"/>
                <w:spacing w:val="5"/>
              </w:rPr>
              <w:t>m/s</w:t>
            </w:r>
            <w:r>
              <w:rPr>
                <w:spacing w:val="5"/>
              </w:rPr>
              <w:t>）</w:t>
            </w:r>
          </w:p>
        </w:tc>
        <w:tc>
          <w:tcPr>
            <w:tcW w:w="881" w:type="dxa"/>
            <w:vAlign w:val="top"/>
          </w:tcPr>
          <w:p>
            <w:pPr>
              <w:ind w:left="20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2.211</w:t>
            </w:r>
          </w:p>
        </w:tc>
        <w:tc>
          <w:tcPr>
            <w:tcW w:w="879" w:type="dxa"/>
            <w:vAlign w:val="top"/>
          </w:tcPr>
          <w:p>
            <w:pPr>
              <w:ind w:left="20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2.614</w:t>
            </w:r>
          </w:p>
        </w:tc>
        <w:tc>
          <w:tcPr>
            <w:tcW w:w="879" w:type="dxa"/>
            <w:vAlign w:val="top"/>
          </w:tcPr>
          <w:p>
            <w:pPr>
              <w:ind w:left="21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3.016</w:t>
            </w:r>
          </w:p>
        </w:tc>
        <w:tc>
          <w:tcPr>
            <w:tcW w:w="880" w:type="dxa"/>
            <w:vAlign w:val="top"/>
          </w:tcPr>
          <w:p>
            <w:pPr>
              <w:ind w:left="20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3.418</w:t>
            </w:r>
          </w:p>
        </w:tc>
        <w:tc>
          <w:tcPr>
            <w:tcW w:w="884" w:type="dxa"/>
            <w:vAlign w:val="top"/>
          </w:tcPr>
          <w:p>
            <w:pPr>
              <w:ind w:left="21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3.820</w:t>
            </w:r>
          </w:p>
        </w:tc>
        <w:tc>
          <w:tcPr>
            <w:tcW w:w="879" w:type="dxa"/>
            <w:vAlign w:val="top"/>
          </w:tcPr>
          <w:p>
            <w:pPr>
              <w:ind w:left="20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4.222</w:t>
            </w:r>
          </w:p>
        </w:tc>
        <w:tc>
          <w:tcPr>
            <w:tcW w:w="1053" w:type="dxa"/>
            <w:vAlign w:val="top"/>
          </w:tcPr>
          <w:p>
            <w:pPr>
              <w:ind w:left="29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4.624</w:t>
            </w:r>
          </w:p>
        </w:tc>
      </w:tr>
    </w:tbl>
    <w:p>
      <w:pPr>
        <w:ind w:left="11" w:right="13" w:firstLine="487"/>
        <w:spacing w:before="37" w:line="356" w:lineRule="auto"/>
        <w:jc w:val="both"/>
        <w:rPr>
          <w:rFonts w:ascii="SimSun" w:hAnsi="SimSun" w:eastAsia="SimSun" w:cs="SimSun"/>
          <w:sz w:val="24"/>
          <w:szCs w:val="24"/>
        </w:rPr>
      </w:pPr>
      <w:r>
        <w:rPr>
          <w:rFonts w:ascii="SimSun" w:hAnsi="SimSun" w:eastAsia="SimSun" w:cs="SimSun"/>
          <w:sz w:val="24"/>
          <w:szCs w:val="24"/>
          <w:spacing w:val="10"/>
        </w:rPr>
        <w:t>从上表中可知，粉尘的沉降速度随着粒径的增大而迅速增大，当粒径大于</w:t>
      </w:r>
      <w:r>
        <w:rPr>
          <w:rFonts w:ascii="SimSun" w:hAnsi="SimSun" w:eastAsia="SimSun" w:cs="SimSun"/>
          <w:sz w:val="24"/>
          <w:szCs w:val="24"/>
          <w:spacing w:val="9"/>
        </w:rPr>
        <w:t xml:space="preserve"> </w:t>
      </w:r>
      <w:r>
        <w:rPr>
          <w:rFonts w:ascii="Times New Roman" w:hAnsi="Times New Roman" w:eastAsia="Times New Roman" w:cs="Times New Roman"/>
          <w:sz w:val="24"/>
          <w:szCs w:val="24"/>
          <w:spacing w:val="2"/>
        </w:rPr>
        <w:t>250μm</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2"/>
        </w:rPr>
        <w:t>时，主要影响范围在扬尘产生点下</w:t>
      </w:r>
      <w:r>
        <w:rPr>
          <w:rFonts w:ascii="SimSun" w:hAnsi="SimSun" w:eastAsia="SimSun" w:cs="SimSun"/>
          <w:sz w:val="24"/>
          <w:szCs w:val="24"/>
          <w:spacing w:val="1"/>
        </w:rPr>
        <w:t>风向近距离范围内，而对外环境影响较</w:t>
      </w:r>
      <w:r>
        <w:rPr>
          <w:rFonts w:ascii="SimSun" w:hAnsi="SimSun" w:eastAsia="SimSun" w:cs="SimSun"/>
          <w:sz w:val="24"/>
          <w:szCs w:val="24"/>
        </w:rPr>
        <w:t xml:space="preserve"> </w:t>
      </w:r>
      <w:r>
        <w:rPr>
          <w:rFonts w:ascii="SimSun" w:hAnsi="SimSun" w:eastAsia="SimSun" w:cs="SimSun"/>
          <w:sz w:val="24"/>
          <w:szCs w:val="24"/>
          <w:spacing w:val="-1"/>
        </w:rPr>
        <w:t>大的是一些粒径微小的粉尘。</w:t>
      </w:r>
    </w:p>
    <w:p>
      <w:pPr>
        <w:ind w:left="17" w:right="13" w:firstLine="477"/>
        <w:spacing w:before="12" w:line="359" w:lineRule="auto"/>
        <w:rPr>
          <w:rFonts w:ascii="SimSun" w:hAnsi="SimSun" w:eastAsia="SimSun" w:cs="SimSun"/>
          <w:sz w:val="24"/>
          <w:szCs w:val="24"/>
        </w:rPr>
      </w:pPr>
      <w:r>
        <w:rPr>
          <w:rFonts w:ascii="SimSun" w:hAnsi="SimSun" w:eastAsia="SimSun" w:cs="SimSun"/>
          <w:sz w:val="24"/>
          <w:szCs w:val="24"/>
        </w:rPr>
        <w:t>根据有关资料，施工扬尘的影响范围一般在下风向</w:t>
      </w:r>
      <w:r>
        <w:rPr>
          <w:rFonts w:ascii="SimSun" w:hAnsi="SimSun" w:eastAsia="SimSun" w:cs="SimSun"/>
          <w:sz w:val="24"/>
          <w:szCs w:val="24"/>
          <w:spacing w:val="-48"/>
        </w:rPr>
        <w:t xml:space="preserve"> </w:t>
      </w:r>
      <w:r>
        <w:rPr>
          <w:rFonts w:ascii="Times New Roman" w:hAnsi="Times New Roman" w:eastAsia="Times New Roman" w:cs="Times New Roman"/>
          <w:sz w:val="24"/>
          <w:szCs w:val="24"/>
        </w:rPr>
        <w:t>50m</w:t>
      </w:r>
      <w:r>
        <w:rPr>
          <w:rFonts w:ascii="Times New Roman" w:hAnsi="Times New Roman" w:eastAsia="Times New Roman" w:cs="Times New Roman"/>
          <w:sz w:val="24"/>
          <w:szCs w:val="24"/>
          <w:spacing w:val="16"/>
        </w:rPr>
        <w:t xml:space="preserve"> </w:t>
      </w:r>
      <w:r>
        <w:rPr>
          <w:rFonts w:ascii="SimSun" w:hAnsi="SimSun" w:eastAsia="SimSun" w:cs="SimSun"/>
          <w:sz w:val="24"/>
          <w:szCs w:val="24"/>
        </w:rPr>
        <w:t>范围内为重污染</w:t>
      </w:r>
      <w:r>
        <w:rPr>
          <w:rFonts w:ascii="SimSun" w:hAnsi="SimSun" w:eastAsia="SimSun" w:cs="SimSun"/>
          <w:sz w:val="24"/>
          <w:szCs w:val="24"/>
          <w:spacing w:val="-1"/>
        </w:rPr>
        <w:t>带、</w:t>
      </w:r>
      <w:r>
        <w:rPr>
          <w:rFonts w:ascii="SimSun" w:hAnsi="SimSun" w:eastAsia="SimSun" w:cs="SimSun"/>
          <w:sz w:val="24"/>
          <w:szCs w:val="24"/>
        </w:rPr>
        <w:t xml:space="preserve"> </w:t>
      </w:r>
      <w:r>
        <w:rPr>
          <w:rFonts w:ascii="Times New Roman" w:hAnsi="Times New Roman" w:eastAsia="Times New Roman" w:cs="Times New Roman"/>
          <w:sz w:val="24"/>
          <w:szCs w:val="24"/>
          <w:spacing w:val="-2"/>
        </w:rPr>
        <w:t>50m</w:t>
      </w:r>
      <w:r>
        <w:rPr>
          <w:rFonts w:ascii="SimSun" w:hAnsi="SimSun" w:eastAsia="SimSun" w:cs="SimSun"/>
          <w:sz w:val="24"/>
          <w:szCs w:val="24"/>
          <w:spacing w:val="-2"/>
        </w:rPr>
        <w:t>～</w:t>
      </w:r>
      <w:r>
        <w:rPr>
          <w:rFonts w:ascii="Times New Roman" w:hAnsi="Times New Roman" w:eastAsia="Times New Roman" w:cs="Times New Roman"/>
          <w:sz w:val="24"/>
          <w:szCs w:val="24"/>
          <w:spacing w:val="-2"/>
        </w:rPr>
        <w:t>100m </w:t>
      </w:r>
      <w:r>
        <w:rPr>
          <w:rFonts w:ascii="SimSun" w:hAnsi="SimSun" w:eastAsia="SimSun" w:cs="SimSun"/>
          <w:sz w:val="24"/>
          <w:szCs w:val="24"/>
          <w:spacing w:val="-2"/>
        </w:rPr>
        <w:t>为中污染带、</w:t>
      </w:r>
      <w:r>
        <w:rPr>
          <w:rFonts w:ascii="Times New Roman" w:hAnsi="Times New Roman" w:eastAsia="Times New Roman" w:cs="Times New Roman"/>
          <w:sz w:val="24"/>
          <w:szCs w:val="24"/>
          <w:spacing w:val="-2"/>
        </w:rPr>
        <w:t>100m</w:t>
      </w:r>
      <w:r>
        <w:rPr>
          <w:rFonts w:ascii="SimSun" w:hAnsi="SimSun" w:eastAsia="SimSun" w:cs="SimSun"/>
          <w:sz w:val="24"/>
          <w:szCs w:val="24"/>
          <w:spacing w:val="-2"/>
        </w:rPr>
        <w:t>～</w:t>
      </w:r>
      <w:r>
        <w:rPr>
          <w:rFonts w:ascii="Times New Roman" w:hAnsi="Times New Roman" w:eastAsia="Times New Roman" w:cs="Times New Roman"/>
          <w:sz w:val="24"/>
          <w:szCs w:val="24"/>
          <w:spacing w:val="-2"/>
        </w:rPr>
        <w:t>150m </w:t>
      </w:r>
      <w:r>
        <w:rPr>
          <w:rFonts w:ascii="SimSun" w:hAnsi="SimSun" w:eastAsia="SimSun" w:cs="SimSun"/>
          <w:sz w:val="24"/>
          <w:szCs w:val="24"/>
          <w:spacing w:val="-2"/>
        </w:rPr>
        <w:t>为轻污染带、</w:t>
      </w:r>
      <w:r>
        <w:rPr>
          <w:rFonts w:ascii="Times New Roman" w:hAnsi="Times New Roman" w:eastAsia="Times New Roman" w:cs="Times New Roman"/>
          <w:sz w:val="24"/>
          <w:szCs w:val="24"/>
          <w:spacing w:val="-2"/>
        </w:rPr>
        <w:t>150m</w:t>
      </w:r>
      <w:r>
        <w:rPr>
          <w:rFonts w:ascii="Times New Roman" w:hAnsi="Times New Roman" w:eastAsia="Times New Roman" w:cs="Times New Roman"/>
          <w:sz w:val="24"/>
          <w:szCs w:val="24"/>
          <w:spacing w:val="37"/>
        </w:rPr>
        <w:t xml:space="preserve"> </w:t>
      </w:r>
      <w:r>
        <w:rPr>
          <w:rFonts w:ascii="SimSun" w:hAnsi="SimSun" w:eastAsia="SimSun" w:cs="SimSun"/>
          <w:sz w:val="24"/>
          <w:szCs w:val="24"/>
          <w:spacing w:val="-3"/>
        </w:rPr>
        <w:t>以外基本不受影响。施</w:t>
      </w:r>
      <w:r>
        <w:rPr>
          <w:rFonts w:ascii="SimSun" w:hAnsi="SimSun" w:eastAsia="SimSun" w:cs="SimSun"/>
          <w:sz w:val="24"/>
          <w:szCs w:val="24"/>
        </w:rPr>
        <w:t xml:space="preserve"> </w:t>
      </w:r>
      <w:r>
        <w:rPr>
          <w:rFonts w:ascii="SimSun" w:hAnsi="SimSun" w:eastAsia="SimSun" w:cs="SimSun"/>
          <w:sz w:val="24"/>
          <w:szCs w:val="24"/>
          <w:spacing w:val="-1"/>
        </w:rPr>
        <w:t>工扬尘对周边人群聚集点的影响很小。</w:t>
      </w:r>
    </w:p>
    <w:p>
      <w:pPr>
        <w:ind w:left="15" w:right="11" w:firstLine="480"/>
        <w:spacing w:before="2" w:line="351" w:lineRule="auto"/>
        <w:rPr>
          <w:rFonts w:ascii="SimSun" w:hAnsi="SimSun" w:eastAsia="SimSun" w:cs="SimSun"/>
          <w:sz w:val="24"/>
          <w:szCs w:val="24"/>
        </w:rPr>
      </w:pPr>
      <w:r>
        <w:rPr>
          <w:rFonts w:ascii="SimSun" w:hAnsi="SimSun" w:eastAsia="SimSun" w:cs="SimSun"/>
          <w:sz w:val="24"/>
          <w:szCs w:val="24"/>
          <w:spacing w:val="-5"/>
        </w:rPr>
        <w:t>通常施工扬尘中粒径大于</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5"/>
        </w:rPr>
        <w:t>10μm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5"/>
        </w:rPr>
        <w:t>的颗粒物（降尘）会降落在植物叶片上，使植</w:t>
      </w:r>
      <w:r>
        <w:rPr>
          <w:rFonts w:ascii="SimSun" w:hAnsi="SimSun" w:eastAsia="SimSun" w:cs="SimSun"/>
          <w:sz w:val="24"/>
          <w:szCs w:val="24"/>
        </w:rPr>
        <w:t xml:space="preserve"> </w:t>
      </w:r>
      <w:r>
        <w:rPr>
          <w:rFonts w:ascii="SimSun" w:hAnsi="SimSun" w:eastAsia="SimSun" w:cs="SimSun"/>
          <w:sz w:val="24"/>
          <w:szCs w:val="24"/>
          <w:spacing w:val="3"/>
        </w:rPr>
        <w:t>物叶片表面积尘成层而抑制植物的光合作用、呼吸作用</w:t>
      </w:r>
      <w:r>
        <w:rPr>
          <w:rFonts w:ascii="SimSun" w:hAnsi="SimSun" w:eastAsia="SimSun" w:cs="SimSun"/>
          <w:sz w:val="24"/>
          <w:szCs w:val="24"/>
          <w:spacing w:val="2"/>
        </w:rPr>
        <w:t>和蒸腾作用，不利于植物</w:t>
      </w:r>
    </w:p>
    <w:p>
      <w:pPr>
        <w:ind w:left="13"/>
        <w:spacing w:before="143" w:line="227" w:lineRule="auto"/>
        <w:rPr>
          <w:rFonts w:ascii="SimSun" w:hAnsi="SimSun" w:eastAsia="SimSun" w:cs="SimSun"/>
          <w:sz w:val="19"/>
          <w:szCs w:val="19"/>
        </w:rPr>
      </w:pPr>
      <w:r>
        <w:pict>
          <v:shape id="_x0000_s1068" style="position:absolute;margin-left:159.62pt;margin-top:6.17269pt;mso-position-vertical-relative:text;mso-position-horizontal-relative:text;width:61pt;height:13.75pt;z-index:252183552;"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229</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322"/>
          <w:footerReference w:type="default" r:id="rId3"/>
          <w:pgSz w:w="11907" w:h="16840"/>
          <w:pgMar w:top="1567" w:right="1688" w:bottom="400" w:left="1695" w:header="1221" w:footer="0" w:gutter="0"/>
        </w:sectPr>
        <w:rPr>
          <w:rFonts w:ascii="SimSun" w:hAnsi="SimSun" w:eastAsia="SimSun" w:cs="SimSun"/>
          <w:sz w:val="19"/>
          <w:szCs w:val="19"/>
        </w:rPr>
      </w:pPr>
    </w:p>
    <w:p>
      <w:pPr>
        <w:ind w:left="12" w:firstLine="21"/>
        <w:spacing w:before="169" w:line="359" w:lineRule="auto"/>
        <w:jc w:val="both"/>
        <w:rPr>
          <w:rFonts w:ascii="SimSun" w:hAnsi="SimSun" w:eastAsia="SimSun" w:cs="SimSun"/>
          <w:sz w:val="24"/>
          <w:szCs w:val="24"/>
        </w:rPr>
      </w:pPr>
      <w:r>
        <w:pict>
          <v:shape id="_x0000_s1070" style="position:absolute;margin-left:85.05pt;margin-top:78.87pt;mso-position-vertical-relative:page;mso-position-horizontal-relative:page;width:425.25pt;height:0.75pt;z-index:252186624;" o:allowincell="f" fillcolor="#000000" filled="true" stroked="false" coordsize="8505,15" coordorigin="0,0" path="m,l8505,0l8505,14l0,14l0,0xe"/>
        </w:pict>
      </w:r>
      <w:r>
        <w:rPr>
          <w:rFonts w:ascii="SimSun" w:hAnsi="SimSun" w:eastAsia="SimSun" w:cs="SimSun"/>
          <w:sz w:val="24"/>
          <w:szCs w:val="24"/>
          <w:spacing w:val="-9"/>
        </w:rPr>
        <w:t>的生长。根据类比，施工扬尘对周围植物的影响范围为扬尘点下风向</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9"/>
        </w:rPr>
        <w:t>100m</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9"/>
        </w:rPr>
        <w:t>范围内，</w:t>
      </w:r>
      <w:r>
        <w:rPr>
          <w:rFonts w:ascii="SimSun" w:hAnsi="SimSun" w:eastAsia="SimSun" w:cs="SimSun"/>
          <w:sz w:val="24"/>
          <w:szCs w:val="24"/>
        </w:rPr>
        <w:t xml:space="preserve"> </w:t>
      </w:r>
      <w:r>
        <w:rPr>
          <w:rFonts w:ascii="SimSun" w:hAnsi="SimSun" w:eastAsia="SimSun" w:cs="SimSun"/>
          <w:sz w:val="24"/>
          <w:szCs w:val="24"/>
          <w:spacing w:val="3"/>
        </w:rPr>
        <w:t>但在施工场地采取勤洒水等防尘抑尘措施后，施工扬尘对周</w:t>
      </w:r>
      <w:r>
        <w:rPr>
          <w:rFonts w:ascii="SimSun" w:hAnsi="SimSun" w:eastAsia="SimSun" w:cs="SimSun"/>
          <w:sz w:val="24"/>
          <w:szCs w:val="24"/>
          <w:spacing w:val="2"/>
        </w:rPr>
        <w:t>围植物的影响范围可</w:t>
      </w:r>
      <w:r>
        <w:rPr>
          <w:rFonts w:ascii="SimSun" w:hAnsi="SimSun" w:eastAsia="SimSun" w:cs="SimSun"/>
          <w:sz w:val="24"/>
          <w:szCs w:val="24"/>
        </w:rPr>
        <w:t xml:space="preserve"> </w:t>
      </w:r>
      <w:r>
        <w:rPr>
          <w:rFonts w:ascii="SimSun" w:hAnsi="SimSun" w:eastAsia="SimSun" w:cs="SimSun"/>
          <w:sz w:val="24"/>
          <w:szCs w:val="24"/>
        </w:rPr>
        <w:t>以被控制在</w:t>
      </w:r>
      <w:r>
        <w:rPr>
          <w:rFonts w:ascii="SimSun" w:hAnsi="SimSun" w:eastAsia="SimSun" w:cs="SimSun"/>
          <w:sz w:val="24"/>
          <w:szCs w:val="24"/>
          <w:spacing w:val="-48"/>
        </w:rPr>
        <w:t xml:space="preserve"> </w:t>
      </w:r>
      <w:r>
        <w:rPr>
          <w:rFonts w:ascii="Times New Roman" w:hAnsi="Times New Roman" w:eastAsia="Times New Roman" w:cs="Times New Roman"/>
          <w:sz w:val="24"/>
          <w:szCs w:val="24"/>
        </w:rPr>
        <w:t>20</w:t>
      </w:r>
      <w:r>
        <w:rPr>
          <w:rFonts w:ascii="SimSun" w:hAnsi="SimSun" w:eastAsia="SimSun" w:cs="SimSun"/>
          <w:sz w:val="24"/>
          <w:szCs w:val="24"/>
        </w:rPr>
        <w:t>～</w:t>
      </w:r>
      <w:r>
        <w:rPr>
          <w:rFonts w:ascii="Times New Roman" w:hAnsi="Times New Roman" w:eastAsia="Times New Roman" w:cs="Times New Roman"/>
          <w:sz w:val="24"/>
          <w:szCs w:val="24"/>
        </w:rPr>
        <w:t>50m</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rPr>
        <w:t>范围内，且施工对植物造成的这种影响是局部和暂时的，施 </w:t>
      </w:r>
      <w:r>
        <w:rPr>
          <w:rFonts w:ascii="SimSun" w:hAnsi="SimSun" w:eastAsia="SimSun" w:cs="SimSun"/>
          <w:sz w:val="24"/>
          <w:szCs w:val="24"/>
          <w:spacing w:val="-1"/>
        </w:rPr>
        <w:t>工结束，这些影响也随即消失。</w:t>
      </w:r>
    </w:p>
    <w:p>
      <w:pPr>
        <w:ind w:left="10" w:right="61" w:firstLine="488"/>
        <w:spacing w:before="1" w:line="359" w:lineRule="auto"/>
        <w:jc w:val="both"/>
        <w:rPr>
          <w:rFonts w:ascii="SimSun" w:hAnsi="SimSun" w:eastAsia="SimSun" w:cs="SimSun"/>
          <w:sz w:val="24"/>
          <w:szCs w:val="24"/>
        </w:rPr>
      </w:pPr>
      <w:r>
        <w:rPr>
          <w:rFonts w:ascii="SimSun" w:hAnsi="SimSun" w:eastAsia="SimSun" w:cs="SimSun"/>
          <w:sz w:val="24"/>
          <w:szCs w:val="24"/>
          <w:spacing w:val="-2"/>
        </w:rPr>
        <w:t>如果施工阶段对汽车行驶路面勤洒水（</w:t>
      </w:r>
      <w:r>
        <w:rPr>
          <w:rFonts w:ascii="Times New Roman" w:hAnsi="Times New Roman" w:eastAsia="Times New Roman" w:cs="Times New Roman"/>
          <w:sz w:val="24"/>
          <w:szCs w:val="24"/>
          <w:spacing w:val="-2"/>
        </w:rPr>
        <w:t>4</w:t>
      </w:r>
      <w:r>
        <w:rPr>
          <w:rFonts w:ascii="SimSun" w:hAnsi="SimSun" w:eastAsia="SimSun" w:cs="SimSun"/>
          <w:sz w:val="24"/>
          <w:szCs w:val="24"/>
          <w:spacing w:val="-2"/>
        </w:rPr>
        <w:t>～</w:t>
      </w:r>
      <w:r>
        <w:rPr>
          <w:rFonts w:ascii="Times New Roman" w:hAnsi="Times New Roman" w:eastAsia="Times New Roman" w:cs="Times New Roman"/>
          <w:sz w:val="24"/>
          <w:szCs w:val="24"/>
          <w:spacing w:val="-2"/>
        </w:rPr>
        <w:t>5</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次</w:t>
      </w:r>
      <w:r>
        <w:rPr>
          <w:rFonts w:ascii="Times New Roman" w:hAnsi="Times New Roman" w:eastAsia="Times New Roman" w:cs="Times New Roman"/>
          <w:sz w:val="24"/>
          <w:szCs w:val="24"/>
          <w:spacing w:val="-2"/>
        </w:rPr>
        <w:t>/</w:t>
      </w:r>
      <w:r>
        <w:rPr>
          <w:rFonts w:ascii="SimSun" w:hAnsi="SimSun" w:eastAsia="SimSun" w:cs="SimSun"/>
          <w:sz w:val="24"/>
          <w:szCs w:val="24"/>
          <w:spacing w:val="-2"/>
        </w:rPr>
        <w:t>天</w:t>
      </w:r>
      <w:r>
        <w:rPr>
          <w:rFonts w:ascii="SimSun" w:hAnsi="SimSun" w:eastAsia="SimSun" w:cs="SimSun"/>
          <w:sz w:val="24"/>
          <w:szCs w:val="24"/>
          <w:spacing w:val="6"/>
        </w:rPr>
        <w:t>），</w:t>
      </w:r>
      <w:r>
        <w:rPr>
          <w:rFonts w:ascii="SimSun" w:hAnsi="SimSun" w:eastAsia="SimSun" w:cs="SimSun"/>
          <w:sz w:val="24"/>
          <w:szCs w:val="24"/>
          <w:spacing w:val="-2"/>
        </w:rPr>
        <w:t>可以使空气中扬尘产生</w:t>
      </w:r>
      <w:r>
        <w:rPr>
          <w:rFonts w:ascii="SimSun" w:hAnsi="SimSun" w:eastAsia="SimSun" w:cs="SimSun"/>
          <w:sz w:val="24"/>
          <w:szCs w:val="24"/>
        </w:rPr>
        <w:t xml:space="preserve"> </w:t>
      </w:r>
      <w:r>
        <w:rPr>
          <w:rFonts w:ascii="SimSun" w:hAnsi="SimSun" w:eastAsia="SimSun" w:cs="SimSun"/>
          <w:sz w:val="24"/>
          <w:szCs w:val="24"/>
          <w:spacing w:val="1"/>
        </w:rPr>
        <w:t>量减少</w:t>
      </w:r>
      <w:r>
        <w:rPr>
          <w:rFonts w:ascii="Times New Roman" w:hAnsi="Times New Roman" w:eastAsia="Times New Roman" w:cs="Times New Roman"/>
          <w:sz w:val="24"/>
          <w:szCs w:val="24"/>
          <w:spacing w:val="1"/>
        </w:rPr>
        <w:t>70%</w:t>
      </w:r>
      <w:r>
        <w:rPr>
          <w:rFonts w:ascii="SimSun" w:hAnsi="SimSun" w:eastAsia="SimSun" w:cs="SimSun"/>
          <w:sz w:val="24"/>
          <w:szCs w:val="24"/>
          <w:spacing w:val="1"/>
        </w:rPr>
        <w:t>左右，收到很好的降尘效果，施工扬尘造成的</w:t>
      </w:r>
      <w:r>
        <w:rPr>
          <w:rFonts w:ascii="SimSun" w:hAnsi="SimSun" w:eastAsia="SimSun" w:cs="SimSun"/>
          <w:sz w:val="24"/>
          <w:szCs w:val="24"/>
          <w:spacing w:val="-43"/>
        </w:rPr>
        <w:t xml:space="preserve"> </w:t>
      </w:r>
      <w:r>
        <w:rPr>
          <w:rFonts w:ascii="Times New Roman" w:hAnsi="Times New Roman" w:eastAsia="Times New Roman" w:cs="Times New Roman"/>
          <w:sz w:val="24"/>
          <w:szCs w:val="24"/>
        </w:rPr>
        <w:t>TSP</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污染距离可缩小到</w:t>
      </w:r>
      <w:r>
        <w:rPr>
          <w:rFonts w:ascii="SimSun" w:hAnsi="SimSun" w:eastAsia="SimSun" w:cs="SimSun"/>
          <w:sz w:val="24"/>
          <w:szCs w:val="24"/>
        </w:rPr>
        <w:t xml:space="preserve"> </w:t>
      </w:r>
      <w:r>
        <w:rPr>
          <w:rFonts w:ascii="Times New Roman" w:hAnsi="Times New Roman" w:eastAsia="Times New Roman" w:cs="Times New Roman"/>
          <w:sz w:val="24"/>
          <w:szCs w:val="24"/>
          <w:spacing w:val="-1"/>
        </w:rPr>
        <w:t>20</w:t>
      </w:r>
      <w:r>
        <w:rPr>
          <w:rFonts w:ascii="SimSun" w:hAnsi="SimSun" w:eastAsia="SimSun" w:cs="SimSun"/>
          <w:sz w:val="24"/>
          <w:szCs w:val="24"/>
          <w:spacing w:val="-1"/>
        </w:rPr>
        <w:t>～</w:t>
      </w:r>
      <w:r>
        <w:rPr>
          <w:rFonts w:ascii="Times New Roman" w:hAnsi="Times New Roman" w:eastAsia="Times New Roman" w:cs="Times New Roman"/>
          <w:sz w:val="24"/>
          <w:szCs w:val="24"/>
          <w:spacing w:val="-1"/>
        </w:rPr>
        <w:t>50m </w:t>
      </w:r>
      <w:r>
        <w:rPr>
          <w:rFonts w:ascii="SimSun" w:hAnsi="SimSun" w:eastAsia="SimSun" w:cs="SimSun"/>
          <w:sz w:val="24"/>
          <w:szCs w:val="24"/>
          <w:spacing w:val="-1"/>
        </w:rPr>
        <w:t>范围内。施工阶段洒水的试验资料见表</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1"/>
        </w:rPr>
        <w:t>5.8-2</w:t>
      </w:r>
      <w:r>
        <w:rPr>
          <w:rFonts w:ascii="SimSun" w:hAnsi="SimSun" w:eastAsia="SimSun" w:cs="SimSun"/>
          <w:sz w:val="24"/>
          <w:szCs w:val="24"/>
          <w:spacing w:val="-1"/>
        </w:rPr>
        <w:t>。</w:t>
      </w:r>
    </w:p>
    <w:p>
      <w:pPr>
        <w:ind w:left="1636"/>
        <w:spacing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5.8-2      </w:t>
      </w:r>
      <w:r>
        <w:rPr>
          <w:rFonts w:ascii="SimSun" w:hAnsi="SimSun" w:eastAsia="SimSun" w:cs="SimSun"/>
          <w:sz w:val="24"/>
          <w:szCs w:val="24"/>
          <w:b/>
          <w:bCs/>
          <w:spacing w:val="-2"/>
        </w:rPr>
        <w:t>施工阶段使用洒水降尘试验结果一览表</w:t>
      </w:r>
    </w:p>
    <w:tbl>
      <w:tblPr>
        <w:tblStyle w:val="TableNormal"/>
        <w:tblW w:w="850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124"/>
        <w:gridCol w:w="1722"/>
        <w:gridCol w:w="1130"/>
        <w:gridCol w:w="885"/>
        <w:gridCol w:w="885"/>
        <w:gridCol w:w="886"/>
        <w:gridCol w:w="877"/>
      </w:tblGrid>
      <w:tr>
        <w:trPr>
          <w:trHeight w:val="281" w:hRule="atLeast"/>
        </w:trPr>
        <w:tc>
          <w:tcPr>
            <w:tcW w:w="3846" w:type="dxa"/>
            <w:vAlign w:val="top"/>
            <w:gridSpan w:val="2"/>
          </w:tcPr>
          <w:p>
            <w:pPr>
              <w:pStyle w:val="TableText"/>
              <w:ind w:left="1111"/>
              <w:spacing w:before="36" w:line="216" w:lineRule="auto"/>
              <w:rPr/>
            </w:pPr>
            <w:r>
              <w:rPr>
                <w:spacing w:val="7"/>
              </w:rPr>
              <w:t>距路边距离（</w:t>
            </w:r>
            <w:r>
              <w:rPr>
                <w:rFonts w:ascii="Times New Roman" w:hAnsi="Times New Roman" w:eastAsia="Times New Roman" w:cs="Times New Roman"/>
                <w:spacing w:val="7"/>
              </w:rPr>
              <w:t>m</w:t>
            </w:r>
            <w:r>
              <w:rPr>
                <w:spacing w:val="7"/>
              </w:rPr>
              <w:t>）</w:t>
            </w:r>
          </w:p>
        </w:tc>
        <w:tc>
          <w:tcPr>
            <w:tcW w:w="1130" w:type="dxa"/>
            <w:vAlign w:val="top"/>
          </w:tcPr>
          <w:p>
            <w:pPr>
              <w:ind w:left="517"/>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885" w:type="dxa"/>
            <w:vAlign w:val="top"/>
          </w:tcPr>
          <w:p>
            <w:pPr>
              <w:ind w:left="339"/>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885" w:type="dxa"/>
            <w:vAlign w:val="top"/>
          </w:tcPr>
          <w:p>
            <w:pPr>
              <w:ind w:left="346"/>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886" w:type="dxa"/>
            <w:vAlign w:val="top"/>
          </w:tcPr>
          <w:p>
            <w:pPr>
              <w:ind w:left="308"/>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100</w:t>
            </w:r>
          </w:p>
        </w:tc>
        <w:tc>
          <w:tcPr>
            <w:tcW w:w="877" w:type="dxa"/>
            <w:vAlign w:val="top"/>
          </w:tcPr>
          <w:p>
            <w:pPr>
              <w:ind w:left="283"/>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w:t>
            </w:r>
          </w:p>
        </w:tc>
      </w:tr>
      <w:tr>
        <w:trPr>
          <w:trHeight w:val="276" w:hRule="atLeast"/>
        </w:trPr>
        <w:tc>
          <w:tcPr>
            <w:tcW w:w="2124" w:type="dxa"/>
            <w:vAlign w:val="top"/>
            <w:vMerge w:val="restart"/>
            <w:tcBorders>
              <w:bottom w:val="nil"/>
            </w:tcBorders>
          </w:tcPr>
          <w:p>
            <w:pPr>
              <w:pStyle w:val="TableText"/>
              <w:ind w:left="649"/>
              <w:spacing w:before="171" w:line="228" w:lineRule="auto"/>
              <w:rPr/>
            </w:pPr>
            <w:r>
              <w:rPr>
                <w:rFonts w:ascii="Times New Roman" w:hAnsi="Times New Roman" w:eastAsia="Times New Roman" w:cs="Times New Roman"/>
              </w:rPr>
              <w:t>TSP</w:t>
            </w:r>
            <w:r>
              <w:rPr>
                <w:rFonts w:ascii="Times New Roman" w:hAnsi="Times New Roman" w:eastAsia="Times New Roman" w:cs="Times New Roman"/>
                <w:spacing w:val="12"/>
                <w:w w:val="101"/>
              </w:rPr>
              <w:t xml:space="preserve"> </w:t>
            </w:r>
            <w:r>
              <w:rPr>
                <w:spacing w:val="8"/>
              </w:rPr>
              <w:t>浓度</w:t>
            </w:r>
          </w:p>
        </w:tc>
        <w:tc>
          <w:tcPr>
            <w:tcW w:w="1722" w:type="dxa"/>
            <w:vAlign w:val="top"/>
          </w:tcPr>
          <w:p>
            <w:pPr>
              <w:pStyle w:val="TableText"/>
              <w:ind w:left="554"/>
              <w:spacing w:before="31" w:line="216" w:lineRule="auto"/>
              <w:rPr/>
            </w:pPr>
            <w:r>
              <w:rPr>
                <w:spacing w:val="5"/>
              </w:rPr>
              <w:t>不洒水</w:t>
            </w:r>
          </w:p>
        </w:tc>
        <w:tc>
          <w:tcPr>
            <w:tcW w:w="1130" w:type="dxa"/>
            <w:vAlign w:val="top"/>
          </w:tcPr>
          <w:p>
            <w:pPr>
              <w:ind w:left="350"/>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11.03</w:t>
            </w:r>
          </w:p>
        </w:tc>
        <w:tc>
          <w:tcPr>
            <w:tcW w:w="885" w:type="dxa"/>
            <w:vAlign w:val="top"/>
          </w:tcPr>
          <w:p>
            <w:pPr>
              <w:ind w:left="260"/>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2.89</w:t>
            </w:r>
          </w:p>
        </w:tc>
        <w:tc>
          <w:tcPr>
            <w:tcW w:w="885" w:type="dxa"/>
            <w:vAlign w:val="top"/>
          </w:tcPr>
          <w:p>
            <w:pPr>
              <w:ind w:left="281"/>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1.15</w:t>
            </w:r>
          </w:p>
        </w:tc>
        <w:tc>
          <w:tcPr>
            <w:tcW w:w="886" w:type="dxa"/>
            <w:vAlign w:val="top"/>
          </w:tcPr>
          <w:p>
            <w:pPr>
              <w:ind w:left="265"/>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0.86</w:t>
            </w:r>
          </w:p>
        </w:tc>
        <w:tc>
          <w:tcPr>
            <w:tcW w:w="877" w:type="dxa"/>
            <w:vAlign w:val="top"/>
          </w:tcPr>
          <w:p>
            <w:pPr>
              <w:ind w:left="259"/>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0.56</w:t>
            </w:r>
          </w:p>
        </w:tc>
      </w:tr>
      <w:tr>
        <w:trPr>
          <w:trHeight w:val="276" w:hRule="atLeast"/>
        </w:trPr>
        <w:tc>
          <w:tcPr>
            <w:tcW w:w="2124" w:type="dxa"/>
            <w:vAlign w:val="top"/>
            <w:vMerge w:val="continue"/>
            <w:tcBorders>
              <w:top w:val="nil"/>
            </w:tcBorders>
          </w:tcPr>
          <w:p>
            <w:pPr>
              <w:rPr>
                <w:rFonts w:ascii="Arial"/>
                <w:sz w:val="21"/>
              </w:rPr>
            </w:pPr>
            <w:r/>
          </w:p>
        </w:tc>
        <w:tc>
          <w:tcPr>
            <w:tcW w:w="1722" w:type="dxa"/>
            <w:vAlign w:val="top"/>
          </w:tcPr>
          <w:p>
            <w:pPr>
              <w:pStyle w:val="TableText"/>
              <w:ind w:left="553"/>
              <w:spacing w:before="34" w:line="214" w:lineRule="auto"/>
              <w:rPr/>
            </w:pPr>
            <w:r>
              <w:rPr>
                <w:spacing w:val="-1"/>
              </w:rPr>
              <w:t>洒</w:t>
            </w:r>
            <w:r>
              <w:rPr>
                <w:spacing w:val="10"/>
              </w:rPr>
              <w:t xml:space="preserve">  </w:t>
            </w:r>
            <w:r>
              <w:rPr>
                <w:spacing w:val="-1"/>
              </w:rPr>
              <w:t>水</w:t>
            </w:r>
          </w:p>
        </w:tc>
        <w:tc>
          <w:tcPr>
            <w:tcW w:w="1130" w:type="dxa"/>
            <w:vAlign w:val="top"/>
          </w:tcPr>
          <w:p>
            <w:pPr>
              <w:ind w:left="38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3"/>
              </w:rPr>
              <w:t>11</w:t>
            </w:r>
          </w:p>
        </w:tc>
        <w:tc>
          <w:tcPr>
            <w:tcW w:w="885" w:type="dxa"/>
            <w:vAlign w:val="top"/>
          </w:tcPr>
          <w:p>
            <w:pPr>
              <w:ind w:left="28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1.40</w:t>
            </w:r>
          </w:p>
        </w:tc>
        <w:tc>
          <w:tcPr>
            <w:tcW w:w="885" w:type="dxa"/>
            <w:vAlign w:val="top"/>
          </w:tcPr>
          <w:p>
            <w:pPr>
              <w:ind w:left="264"/>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0.68</w:t>
            </w:r>
          </w:p>
        </w:tc>
        <w:tc>
          <w:tcPr>
            <w:tcW w:w="886" w:type="dxa"/>
            <w:vAlign w:val="top"/>
          </w:tcPr>
          <w:p>
            <w:pPr>
              <w:ind w:left="26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0.60</w:t>
            </w:r>
          </w:p>
        </w:tc>
        <w:tc>
          <w:tcPr>
            <w:tcW w:w="877" w:type="dxa"/>
            <w:vAlign w:val="top"/>
          </w:tcPr>
          <w:p>
            <w:pPr>
              <w:ind w:left="25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0.29</w:t>
            </w:r>
          </w:p>
        </w:tc>
      </w:tr>
      <w:tr>
        <w:trPr>
          <w:trHeight w:val="281" w:hRule="atLeast"/>
        </w:trPr>
        <w:tc>
          <w:tcPr>
            <w:tcW w:w="3846" w:type="dxa"/>
            <w:vAlign w:val="top"/>
            <w:gridSpan w:val="2"/>
          </w:tcPr>
          <w:p>
            <w:pPr>
              <w:pStyle w:val="TableText"/>
              <w:ind w:left="1227"/>
              <w:spacing w:before="36" w:line="216" w:lineRule="auto"/>
              <w:rPr/>
            </w:pPr>
            <w:r>
              <w:rPr>
                <w:spacing w:val="4"/>
              </w:rPr>
              <w:t>降尘效果（</w:t>
            </w:r>
            <w:r>
              <w:rPr>
                <w:rFonts w:ascii="Times New Roman" w:hAnsi="Times New Roman" w:eastAsia="Times New Roman" w:cs="Times New Roman"/>
                <w:spacing w:val="4"/>
              </w:rPr>
              <w:t>%</w:t>
            </w:r>
            <w:r>
              <w:rPr>
                <w:spacing w:val="4"/>
              </w:rPr>
              <w:t>）</w:t>
            </w:r>
          </w:p>
        </w:tc>
        <w:tc>
          <w:tcPr>
            <w:tcW w:w="1130" w:type="dxa"/>
            <w:vAlign w:val="top"/>
          </w:tcPr>
          <w:p>
            <w:pPr>
              <w:ind w:left="391"/>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80.2</w:t>
            </w:r>
          </w:p>
        </w:tc>
        <w:tc>
          <w:tcPr>
            <w:tcW w:w="885" w:type="dxa"/>
            <w:vAlign w:val="top"/>
          </w:tcPr>
          <w:p>
            <w:pPr>
              <w:ind w:left="266"/>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51.6</w:t>
            </w:r>
          </w:p>
        </w:tc>
        <w:tc>
          <w:tcPr>
            <w:tcW w:w="885" w:type="dxa"/>
            <w:vAlign w:val="top"/>
          </w:tcPr>
          <w:p>
            <w:pPr>
              <w:ind w:left="260"/>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41.7</w:t>
            </w:r>
          </w:p>
        </w:tc>
        <w:tc>
          <w:tcPr>
            <w:tcW w:w="886" w:type="dxa"/>
            <w:vAlign w:val="top"/>
          </w:tcPr>
          <w:p>
            <w:pPr>
              <w:ind w:left="266"/>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30.2</w:t>
            </w:r>
          </w:p>
        </w:tc>
        <w:tc>
          <w:tcPr>
            <w:tcW w:w="877" w:type="dxa"/>
            <w:vAlign w:val="top"/>
          </w:tcPr>
          <w:p>
            <w:pPr>
              <w:ind w:left="255"/>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48.2</w:t>
            </w:r>
          </w:p>
        </w:tc>
      </w:tr>
    </w:tbl>
    <w:p>
      <w:pPr>
        <w:ind w:left="16" w:right="61" w:firstLine="480"/>
        <w:spacing w:before="156" w:line="359" w:lineRule="auto"/>
        <w:jc w:val="both"/>
        <w:rPr>
          <w:rFonts w:ascii="SimSun" w:hAnsi="SimSun" w:eastAsia="SimSun" w:cs="SimSun"/>
          <w:sz w:val="24"/>
          <w:szCs w:val="24"/>
        </w:rPr>
      </w:pPr>
      <w:r>
        <w:rPr>
          <w:rFonts w:ascii="SimSun" w:hAnsi="SimSun" w:eastAsia="SimSun" w:cs="SimSun"/>
          <w:sz w:val="24"/>
          <w:szCs w:val="24"/>
          <w:spacing w:val="-2"/>
        </w:rPr>
        <w:t>从表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5.8-2 </w:t>
      </w:r>
      <w:r>
        <w:rPr>
          <w:rFonts w:ascii="SimSun" w:hAnsi="SimSun" w:eastAsia="SimSun" w:cs="SimSun"/>
          <w:sz w:val="24"/>
          <w:szCs w:val="24"/>
          <w:spacing w:val="-2"/>
        </w:rPr>
        <w:t>可知，洒水抑尘可以使扬尘在</w:t>
      </w:r>
      <w:r>
        <w:rPr>
          <w:rFonts w:ascii="Times New Roman" w:hAnsi="Times New Roman" w:eastAsia="Times New Roman" w:cs="Times New Roman"/>
          <w:sz w:val="24"/>
          <w:szCs w:val="24"/>
          <w:spacing w:val="-3"/>
        </w:rPr>
        <w:t>20</w:t>
      </w:r>
      <w:r>
        <w:rPr>
          <w:rFonts w:ascii="SimSun" w:hAnsi="SimSun" w:eastAsia="SimSun" w:cs="SimSun"/>
          <w:sz w:val="24"/>
          <w:szCs w:val="24"/>
          <w:spacing w:val="-3"/>
        </w:rPr>
        <w:t>～</w:t>
      </w:r>
      <w:r>
        <w:rPr>
          <w:rFonts w:ascii="Times New Roman" w:hAnsi="Times New Roman" w:eastAsia="Times New Roman" w:cs="Times New Roman"/>
          <w:sz w:val="24"/>
          <w:szCs w:val="24"/>
          <w:spacing w:val="-3"/>
        </w:rPr>
        <w:t>50m</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3"/>
        </w:rPr>
        <w:t>的距离内接近和达到《大气</w:t>
      </w:r>
      <w:r>
        <w:rPr>
          <w:rFonts w:ascii="SimSun" w:hAnsi="SimSun" w:eastAsia="SimSun" w:cs="SimSun"/>
          <w:sz w:val="24"/>
          <w:szCs w:val="24"/>
        </w:rPr>
        <w:t xml:space="preserve"> </w:t>
      </w:r>
      <w:r>
        <w:rPr>
          <w:rFonts w:ascii="SimSun" w:hAnsi="SimSun" w:eastAsia="SimSun" w:cs="SimSun"/>
          <w:sz w:val="24"/>
          <w:szCs w:val="24"/>
          <w:spacing w:val="10"/>
        </w:rPr>
        <w:t>污染物综合排放标准》</w:t>
      </w:r>
      <w:r>
        <w:rPr>
          <w:rFonts w:ascii="SimSun" w:hAnsi="SimSun" w:eastAsia="SimSun" w:cs="SimSun"/>
          <w:sz w:val="24"/>
          <w:szCs w:val="24"/>
          <w:spacing w:val="-82"/>
        </w:rPr>
        <w:t xml:space="preserve"> </w:t>
      </w:r>
      <w:r>
        <w:rPr>
          <w:rFonts w:ascii="SimSun" w:hAnsi="SimSun" w:eastAsia="SimSun" w:cs="SimSun"/>
          <w:sz w:val="24"/>
          <w:szCs w:val="24"/>
          <w:spacing w:val="10"/>
        </w:rPr>
        <w:t>（</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0"/>
        </w:rPr>
        <w:t>16297-1996 </w:t>
      </w:r>
      <w:r>
        <w:rPr>
          <w:rFonts w:ascii="SimSun" w:hAnsi="SimSun" w:eastAsia="SimSun" w:cs="SimSun"/>
          <w:sz w:val="24"/>
          <w:szCs w:val="24"/>
          <w:spacing w:val="10"/>
        </w:rPr>
        <w:t>）</w:t>
      </w:r>
      <w:r>
        <w:rPr>
          <w:rFonts w:ascii="SimSun" w:hAnsi="SimSun" w:eastAsia="SimSun" w:cs="SimSun"/>
          <w:sz w:val="24"/>
          <w:szCs w:val="24"/>
          <w:spacing w:val="-69"/>
        </w:rPr>
        <w:t xml:space="preserve"> </w:t>
      </w:r>
      <w:r>
        <w:rPr>
          <w:rFonts w:ascii="SimSun" w:hAnsi="SimSun" w:eastAsia="SimSun" w:cs="SimSun"/>
          <w:sz w:val="24"/>
          <w:szCs w:val="24"/>
          <w:spacing w:val="10"/>
        </w:rPr>
        <w:t>中无组</w:t>
      </w:r>
      <w:r>
        <w:rPr>
          <w:rFonts w:ascii="SimSun" w:hAnsi="SimSun" w:eastAsia="SimSun" w:cs="SimSun"/>
          <w:sz w:val="24"/>
          <w:szCs w:val="24"/>
          <w:spacing w:val="9"/>
        </w:rPr>
        <w:t>织排放监控浓度限值要求的</w:t>
      </w:r>
      <w:r>
        <w:rPr>
          <w:rFonts w:ascii="SimSun" w:hAnsi="SimSun" w:eastAsia="SimSun" w:cs="SimSun"/>
          <w:sz w:val="24"/>
          <w:szCs w:val="24"/>
        </w:rPr>
        <w:t xml:space="preserve"> </w:t>
      </w:r>
      <w:r>
        <w:rPr>
          <w:rFonts w:ascii="Times New Roman" w:hAnsi="Times New Roman" w:eastAsia="Times New Roman" w:cs="Times New Roman"/>
          <w:sz w:val="24"/>
          <w:szCs w:val="24"/>
          <w:spacing w:val="-1"/>
        </w:rPr>
        <w:t>1.0mg/m</w:t>
      </w:r>
      <w:r>
        <w:rPr>
          <w:rFonts w:ascii="Times New Roman" w:hAnsi="Times New Roman" w:eastAsia="Times New Roman" w:cs="Times New Roman"/>
          <w:sz w:val="15"/>
          <w:szCs w:val="15"/>
          <w:spacing w:val="-1"/>
          <w:position w:val="8"/>
        </w:rPr>
        <w:t>3</w:t>
      </w:r>
      <w:r>
        <w:rPr>
          <w:rFonts w:ascii="SimSun" w:hAnsi="SimSun" w:eastAsia="SimSun" w:cs="SimSun"/>
          <w:sz w:val="24"/>
          <w:szCs w:val="24"/>
          <w:spacing w:val="-1"/>
        </w:rPr>
        <w:t>（周界外浓度最高点）。</w:t>
      </w:r>
    </w:p>
    <w:p>
      <w:pPr>
        <w:ind w:left="506"/>
        <w:spacing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）车辆行驶扬尘</w:t>
      </w:r>
    </w:p>
    <w:p>
      <w:pPr>
        <w:ind w:left="41" w:right="60" w:firstLine="452"/>
        <w:spacing w:before="179" w:line="362" w:lineRule="auto"/>
        <w:rPr>
          <w:rFonts w:ascii="SimSun" w:hAnsi="SimSun" w:eastAsia="SimSun" w:cs="SimSun"/>
          <w:sz w:val="24"/>
          <w:szCs w:val="24"/>
        </w:rPr>
      </w:pPr>
      <w:r>
        <w:rPr>
          <w:rFonts w:ascii="SimSun" w:hAnsi="SimSun" w:eastAsia="SimSun" w:cs="SimSun"/>
          <w:sz w:val="24"/>
          <w:szCs w:val="24"/>
          <w:spacing w:val="2"/>
        </w:rPr>
        <w:t>根据有关文献资料介绍，施工过程中，车辆行驶产生的扬尘</w:t>
      </w:r>
      <w:r>
        <w:rPr>
          <w:rFonts w:ascii="SimSun" w:hAnsi="SimSun" w:eastAsia="SimSun" w:cs="SimSun"/>
          <w:sz w:val="24"/>
          <w:szCs w:val="24"/>
          <w:spacing w:val="1"/>
        </w:rPr>
        <w:t>占总扬尘的</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60%</w:t>
      </w:r>
      <w:r>
        <w:rPr>
          <w:rFonts w:ascii="Times New Roman" w:hAnsi="Times New Roman" w:eastAsia="Times New Roman" w:cs="Times New Roman"/>
          <w:sz w:val="24"/>
          <w:szCs w:val="24"/>
        </w:rPr>
        <w:t xml:space="preserve"> </w:t>
      </w:r>
      <w:r>
        <w:rPr>
          <w:rFonts w:ascii="SimSun" w:hAnsi="SimSun" w:eastAsia="SimSun" w:cs="SimSun"/>
          <w:sz w:val="24"/>
          <w:szCs w:val="24"/>
          <w:spacing w:val="-1"/>
        </w:rPr>
        <w:t>以上。车辆行驶产生的扬尘，在完全干燥的情况下，可按以下经验公</w:t>
      </w:r>
      <w:r>
        <w:rPr>
          <w:rFonts w:ascii="SimSun" w:hAnsi="SimSun" w:eastAsia="SimSun" w:cs="SimSun"/>
          <w:sz w:val="24"/>
          <w:szCs w:val="24"/>
          <w:spacing w:val="-2"/>
        </w:rPr>
        <w:t>式计算：</w:t>
      </w:r>
    </w:p>
    <w:p>
      <w:pPr>
        <w:ind w:left="2999"/>
        <w:spacing w:before="27" w:line="655" w:lineRule="exact"/>
        <w:rPr/>
      </w:pPr>
      <w:r>
        <w:rPr>
          <w:position w:val="-13"/>
        </w:rPr>
        <w:drawing>
          <wp:inline distT="0" distB="0" distL="0" distR="0">
            <wp:extent cx="1903024" cy="416401"/>
            <wp:effectExtent l="0" t="0" r="0" b="0"/>
            <wp:docPr id="208" name="IM 208"/>
            <wp:cNvGraphicFramePr/>
            <a:graphic>
              <a:graphicData uri="http://schemas.openxmlformats.org/drawingml/2006/picture">
                <pic:pic>
                  <pic:nvPicPr>
                    <pic:cNvPr id="208" name="IM 208"/>
                    <pic:cNvPicPr/>
                  </pic:nvPicPr>
                  <pic:blipFill>
                    <a:blip r:embed="rId324"/>
                    <a:stretch>
                      <a:fillRect/>
                    </a:stretch>
                  </pic:blipFill>
                  <pic:spPr>
                    <a:xfrm rot="0">
                      <a:off x="0" y="0"/>
                      <a:ext cx="1903024" cy="416401"/>
                    </a:xfrm>
                    <a:prstGeom prst="rect">
                      <a:avLst/>
                    </a:prstGeom>
                  </pic:spPr>
                </pic:pic>
              </a:graphicData>
            </a:graphic>
          </wp:inline>
        </w:drawing>
      </w:r>
    </w:p>
    <w:p>
      <w:pPr>
        <w:ind w:left="499"/>
        <w:spacing w:before="49" w:line="210"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Q—</w:t>
      </w:r>
      <w:r>
        <w:rPr>
          <w:rFonts w:ascii="SimSun" w:hAnsi="SimSun" w:eastAsia="SimSun" w:cs="SimSun"/>
          <w:sz w:val="24"/>
          <w:szCs w:val="24"/>
          <w:spacing w:val="-1"/>
        </w:rPr>
        <w:t>汽车行驶的扬尘量，</w:t>
      </w:r>
      <w:r>
        <w:rPr>
          <w:rFonts w:ascii="Times New Roman" w:hAnsi="Times New Roman" w:eastAsia="Times New Roman" w:cs="Times New Roman"/>
          <w:sz w:val="24"/>
          <w:szCs w:val="24"/>
          <w:spacing w:val="-1"/>
        </w:rPr>
        <w:t>kg/km·</w:t>
      </w:r>
      <w:r>
        <w:rPr>
          <w:rFonts w:ascii="SimSun" w:hAnsi="SimSun" w:eastAsia="SimSun" w:cs="SimSun"/>
          <w:sz w:val="24"/>
          <w:szCs w:val="24"/>
          <w:spacing w:val="-1"/>
        </w:rPr>
        <w:t>辆；</w:t>
      </w:r>
    </w:p>
    <w:p>
      <w:pPr>
        <w:ind w:left="1207"/>
        <w:spacing w:before="192" w:line="219" w:lineRule="auto"/>
        <w:rPr>
          <w:rFonts w:ascii="SimSun" w:hAnsi="SimSun" w:eastAsia="SimSun" w:cs="SimSun"/>
          <w:sz w:val="24"/>
          <w:szCs w:val="24"/>
        </w:rPr>
      </w:pPr>
      <w:r>
        <w:rPr>
          <w:rFonts w:ascii="Times New Roman" w:hAnsi="Times New Roman" w:eastAsia="Times New Roman" w:cs="Times New Roman"/>
          <w:sz w:val="24"/>
          <w:szCs w:val="24"/>
          <w:spacing w:val="-1"/>
        </w:rPr>
        <w:t>V—</w:t>
      </w:r>
      <w:r>
        <w:rPr>
          <w:rFonts w:ascii="SimSun" w:hAnsi="SimSun" w:eastAsia="SimSun" w:cs="SimSun"/>
          <w:sz w:val="24"/>
          <w:szCs w:val="24"/>
          <w:spacing w:val="-1"/>
        </w:rPr>
        <w:t>汽车速度，</w:t>
      </w:r>
      <w:r>
        <w:rPr>
          <w:rFonts w:ascii="Times New Roman" w:hAnsi="Times New Roman" w:eastAsia="Times New Roman" w:cs="Times New Roman"/>
          <w:sz w:val="24"/>
          <w:szCs w:val="24"/>
          <w:spacing w:val="-1"/>
        </w:rPr>
        <w:t>km/h</w:t>
      </w:r>
      <w:r>
        <w:rPr>
          <w:rFonts w:ascii="SimSun" w:hAnsi="SimSun" w:eastAsia="SimSun" w:cs="SimSun"/>
          <w:sz w:val="24"/>
          <w:szCs w:val="24"/>
          <w:spacing w:val="-1"/>
        </w:rPr>
        <w:t>；</w:t>
      </w:r>
    </w:p>
    <w:p>
      <w:pPr>
        <w:ind w:left="1208"/>
        <w:spacing w:before="181" w:line="219" w:lineRule="auto"/>
        <w:rPr>
          <w:rFonts w:ascii="SimSun" w:hAnsi="SimSun" w:eastAsia="SimSun" w:cs="SimSun"/>
          <w:sz w:val="24"/>
          <w:szCs w:val="24"/>
        </w:rPr>
      </w:pPr>
      <w:r>
        <w:rPr>
          <w:rFonts w:ascii="Times New Roman" w:hAnsi="Times New Roman" w:eastAsia="Times New Roman" w:cs="Times New Roman"/>
          <w:sz w:val="24"/>
          <w:szCs w:val="24"/>
          <w:spacing w:val="-1"/>
        </w:rPr>
        <w:t>W—</w:t>
      </w:r>
      <w:r>
        <w:rPr>
          <w:rFonts w:ascii="SimSun" w:hAnsi="SimSun" w:eastAsia="SimSun" w:cs="SimSun"/>
          <w:sz w:val="24"/>
          <w:szCs w:val="24"/>
          <w:spacing w:val="-1"/>
        </w:rPr>
        <w:t>汽车载重量，</w:t>
      </w:r>
      <w:r>
        <w:rPr>
          <w:rFonts w:ascii="Times New Roman" w:hAnsi="Times New Roman" w:eastAsia="Times New Roman" w:cs="Times New Roman"/>
          <w:sz w:val="24"/>
          <w:szCs w:val="24"/>
          <w:spacing w:val="-1"/>
        </w:rPr>
        <w:t>T</w:t>
      </w:r>
      <w:r>
        <w:rPr>
          <w:rFonts w:ascii="SimSun" w:hAnsi="SimSun" w:eastAsia="SimSun" w:cs="SimSun"/>
          <w:sz w:val="24"/>
          <w:szCs w:val="24"/>
          <w:spacing w:val="-1"/>
        </w:rPr>
        <w:t>；</w:t>
      </w:r>
    </w:p>
    <w:p>
      <w:pPr>
        <w:ind w:left="1209"/>
        <w:spacing w:before="183" w:line="212" w:lineRule="auto"/>
        <w:rPr>
          <w:rFonts w:ascii="SimSun" w:hAnsi="SimSun" w:eastAsia="SimSun" w:cs="SimSun"/>
          <w:sz w:val="24"/>
          <w:szCs w:val="24"/>
        </w:rPr>
      </w:pPr>
      <w:r>
        <w:rPr>
          <w:rFonts w:ascii="Times New Roman" w:hAnsi="Times New Roman" w:eastAsia="Times New Roman" w:cs="Times New Roman"/>
          <w:sz w:val="24"/>
          <w:szCs w:val="24"/>
          <w:spacing w:val="-1"/>
        </w:rPr>
        <w:t>P—</w:t>
      </w:r>
      <w:r>
        <w:rPr>
          <w:rFonts w:ascii="SimSun" w:hAnsi="SimSun" w:eastAsia="SimSun" w:cs="SimSun"/>
          <w:sz w:val="24"/>
          <w:szCs w:val="24"/>
          <w:spacing w:val="-1"/>
        </w:rPr>
        <w:t>道路表面粉尘量，</w:t>
      </w:r>
      <w:r>
        <w:rPr>
          <w:rFonts w:ascii="Times New Roman" w:hAnsi="Times New Roman" w:eastAsia="Times New Roman" w:cs="Times New Roman"/>
          <w:sz w:val="24"/>
          <w:szCs w:val="24"/>
          <w:spacing w:val="-1"/>
        </w:rPr>
        <w:t>kg/m</w:t>
      </w:r>
      <w:r>
        <w:rPr>
          <w:rFonts w:ascii="Times New Roman" w:hAnsi="Times New Roman" w:eastAsia="Times New Roman" w:cs="Times New Roman"/>
          <w:sz w:val="15"/>
          <w:szCs w:val="15"/>
          <w:spacing w:val="-1"/>
          <w:position w:val="7"/>
        </w:rPr>
        <w:t>2</w:t>
      </w:r>
      <w:r>
        <w:rPr>
          <w:rFonts w:ascii="SimSun" w:hAnsi="SimSun" w:eastAsia="SimSun" w:cs="SimSun"/>
          <w:sz w:val="24"/>
          <w:szCs w:val="24"/>
          <w:spacing w:val="-1"/>
        </w:rPr>
        <w:t>。</w:t>
      </w:r>
    </w:p>
    <w:p>
      <w:pPr>
        <w:ind w:right="13"/>
        <w:spacing w:before="193" w:line="219" w:lineRule="auto"/>
        <w:jc w:val="right"/>
        <w:rPr>
          <w:rFonts w:ascii="SimSun" w:hAnsi="SimSun" w:eastAsia="SimSun" w:cs="SimSun"/>
          <w:sz w:val="24"/>
          <w:szCs w:val="24"/>
        </w:rPr>
      </w:pPr>
      <w:r>
        <w:rPr>
          <w:rFonts w:ascii="SimSun" w:hAnsi="SimSun" w:eastAsia="SimSun" w:cs="SimSun"/>
          <w:sz w:val="24"/>
          <w:szCs w:val="24"/>
          <w:spacing w:val="-3"/>
        </w:rPr>
        <w:t>表</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3"/>
        </w:rPr>
        <w:t>5.8-3 </w:t>
      </w:r>
      <w:r>
        <w:rPr>
          <w:rFonts w:ascii="SimSun" w:hAnsi="SimSun" w:eastAsia="SimSun" w:cs="SimSun"/>
          <w:sz w:val="24"/>
          <w:szCs w:val="24"/>
          <w:spacing w:val="-3"/>
        </w:rPr>
        <w:t>为一辆</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10t </w:t>
      </w:r>
      <w:r>
        <w:rPr>
          <w:rFonts w:ascii="SimSun" w:hAnsi="SimSun" w:eastAsia="SimSun" w:cs="SimSun"/>
          <w:sz w:val="24"/>
          <w:szCs w:val="24"/>
          <w:spacing w:val="-3"/>
        </w:rPr>
        <w:t>卡车，通过一段长为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1km</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3"/>
        </w:rPr>
        <w:t>的路面时，不同路面清洁程度，</w:t>
      </w:r>
    </w:p>
    <w:p>
      <w:pPr>
        <w:ind w:left="18"/>
        <w:spacing w:before="181" w:line="219" w:lineRule="auto"/>
        <w:rPr>
          <w:rFonts w:ascii="SimSun" w:hAnsi="SimSun" w:eastAsia="SimSun" w:cs="SimSun"/>
          <w:sz w:val="24"/>
          <w:szCs w:val="24"/>
        </w:rPr>
      </w:pPr>
      <w:r>
        <w:rPr>
          <w:rFonts w:ascii="SimSun" w:hAnsi="SimSun" w:eastAsia="SimSun" w:cs="SimSun"/>
          <w:sz w:val="24"/>
          <w:szCs w:val="24"/>
          <w:spacing w:val="-1"/>
        </w:rPr>
        <w:t>不同行驶速度情况下的扬尘量。</w:t>
      </w:r>
    </w:p>
    <w:p>
      <w:pPr>
        <w:ind w:left="368"/>
        <w:spacing w:before="183" w:line="210" w:lineRule="auto"/>
        <w:rPr>
          <w:rFonts w:ascii="SimSun" w:hAnsi="SimSun" w:eastAsia="SimSun" w:cs="SimSun"/>
          <w:sz w:val="24"/>
          <w:szCs w:val="24"/>
        </w:rPr>
      </w:pPr>
      <w:r>
        <w:rPr>
          <w:rFonts w:ascii="SimSun" w:hAnsi="SimSun" w:eastAsia="SimSun" w:cs="SimSun"/>
          <w:sz w:val="24"/>
          <w:szCs w:val="24"/>
          <w:b/>
          <w:bCs/>
          <w:spacing w:val="-1"/>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1"/>
        </w:rPr>
        <w:t>5.8-3        </w:t>
      </w:r>
      <w:r>
        <w:rPr>
          <w:rFonts w:ascii="SimSun" w:hAnsi="SimSun" w:eastAsia="SimSun" w:cs="SimSun"/>
          <w:sz w:val="24"/>
          <w:szCs w:val="24"/>
          <w:b/>
          <w:bCs/>
          <w:spacing w:val="-1"/>
        </w:rPr>
        <w:t>在不同车速和地面清洁程度的汽车扬尘量</w:t>
      </w:r>
      <w:r>
        <w:rPr>
          <w:rFonts w:ascii="SimSun" w:hAnsi="SimSun" w:eastAsia="SimSun" w:cs="SimSun"/>
          <w:sz w:val="24"/>
          <w:szCs w:val="24"/>
          <w:spacing w:val="-1"/>
        </w:rPr>
        <w:t xml:space="preserve">    </w:t>
      </w:r>
      <w:r>
        <w:rPr>
          <w:rFonts w:ascii="SimSun" w:hAnsi="SimSun" w:eastAsia="SimSun" w:cs="SimSun"/>
          <w:sz w:val="24"/>
          <w:szCs w:val="24"/>
          <w:b/>
          <w:bCs/>
          <w:spacing w:val="-2"/>
        </w:rPr>
        <w:t>单位：</w:t>
      </w:r>
      <w:r>
        <w:rPr>
          <w:rFonts w:ascii="Times New Roman" w:hAnsi="Times New Roman" w:eastAsia="Times New Roman" w:cs="Times New Roman"/>
          <w:sz w:val="24"/>
          <w:szCs w:val="24"/>
          <w:b/>
          <w:bCs/>
          <w:spacing w:val="-2"/>
        </w:rPr>
        <w:t>kg/km·</w:t>
      </w:r>
      <w:r>
        <w:rPr>
          <w:rFonts w:ascii="SimSun" w:hAnsi="SimSun" w:eastAsia="SimSun" w:cs="SimSun"/>
          <w:sz w:val="24"/>
          <w:szCs w:val="24"/>
          <w:b/>
          <w:bCs/>
          <w:spacing w:val="-2"/>
        </w:rPr>
        <w:t>辆</w:t>
      </w:r>
    </w:p>
    <w:p>
      <w:pPr>
        <w:spacing w:line="31" w:lineRule="auto"/>
        <w:rPr>
          <w:rFonts w:ascii="Arial"/>
          <w:sz w:val="2"/>
        </w:rPr>
      </w:pPr>
      <w:r>
        <w:rPr>
          <w:rFonts w:ascii="Arial"/>
          <w:sz w:val="2"/>
        </w:rPr>
      </w:r>
    </w:p>
    <w:tbl>
      <w:tblPr>
        <w:tblStyle w:val="TableNormal"/>
        <w:tblW w:w="850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80"/>
        <w:gridCol w:w="1119"/>
        <w:gridCol w:w="1050"/>
        <w:gridCol w:w="1076"/>
        <w:gridCol w:w="924"/>
        <w:gridCol w:w="1060"/>
        <w:gridCol w:w="1050"/>
        <w:gridCol w:w="950"/>
      </w:tblGrid>
      <w:tr>
        <w:trPr>
          <w:trHeight w:val="281" w:hRule="atLeast"/>
        </w:trPr>
        <w:tc>
          <w:tcPr>
            <w:tcW w:w="2399" w:type="dxa"/>
            <w:vAlign w:val="top"/>
            <w:gridSpan w:val="2"/>
          </w:tcPr>
          <w:p>
            <w:pPr>
              <w:pStyle w:val="TableText"/>
              <w:ind w:left="683"/>
              <w:spacing w:before="35" w:line="217" w:lineRule="auto"/>
              <w:rPr/>
            </w:pPr>
            <w:r>
              <w:rPr>
                <w:rFonts w:ascii="Times New Roman" w:hAnsi="Times New Roman" w:eastAsia="Times New Roman" w:cs="Times New Roman"/>
                <w:spacing w:val="5"/>
              </w:rPr>
              <w:t>P</w:t>
            </w:r>
            <w:r>
              <w:rPr>
                <w:spacing w:val="5"/>
              </w:rPr>
              <w:t>（</w:t>
            </w:r>
            <w:r>
              <w:rPr>
                <w:rFonts w:ascii="Times New Roman" w:hAnsi="Times New Roman" w:eastAsia="Times New Roman" w:cs="Times New Roman"/>
              </w:rPr>
              <w:t>kg</w:t>
            </w:r>
            <w:r>
              <w:rPr>
                <w:rFonts w:ascii="Times New Roman" w:hAnsi="Times New Roman" w:eastAsia="Times New Roman" w:cs="Times New Roman"/>
                <w:spacing w:val="5"/>
              </w:rPr>
              <w:t>/m</w:t>
            </w:r>
            <w:r>
              <w:rPr>
                <w:rFonts w:ascii="Times New Roman" w:hAnsi="Times New Roman" w:eastAsia="Times New Roman" w:cs="Times New Roman"/>
                <w:sz w:val="13"/>
                <w:szCs w:val="13"/>
                <w:spacing w:val="5"/>
                <w:position w:val="6"/>
              </w:rPr>
              <w:t>2</w:t>
            </w:r>
            <w:r>
              <w:rPr>
                <w:spacing w:val="5"/>
              </w:rPr>
              <w:t>）</w:t>
            </w:r>
          </w:p>
        </w:tc>
        <w:tc>
          <w:tcPr>
            <w:tcW w:w="1050" w:type="dxa"/>
            <w:vAlign w:val="top"/>
          </w:tcPr>
          <w:p>
            <w:pPr>
              <w:ind w:left="397"/>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rPr>
              <w:t>1</w:t>
            </w:r>
          </w:p>
        </w:tc>
        <w:tc>
          <w:tcPr>
            <w:tcW w:w="1076" w:type="dxa"/>
            <w:vAlign w:val="top"/>
          </w:tcPr>
          <w:p>
            <w:pPr>
              <w:ind w:left="413"/>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924" w:type="dxa"/>
            <w:vAlign w:val="top"/>
          </w:tcPr>
          <w:p>
            <w:pPr>
              <w:ind w:left="335"/>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0.3</w:t>
            </w:r>
          </w:p>
        </w:tc>
        <w:tc>
          <w:tcPr>
            <w:tcW w:w="1060" w:type="dxa"/>
            <w:vAlign w:val="top"/>
          </w:tcPr>
          <w:p>
            <w:pPr>
              <w:ind w:left="405"/>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0.4</w:t>
            </w:r>
          </w:p>
        </w:tc>
        <w:tc>
          <w:tcPr>
            <w:tcW w:w="1050" w:type="dxa"/>
            <w:vAlign w:val="top"/>
          </w:tcPr>
          <w:p>
            <w:pPr>
              <w:ind w:left="401"/>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0.5</w:t>
            </w:r>
          </w:p>
        </w:tc>
        <w:tc>
          <w:tcPr>
            <w:tcW w:w="950" w:type="dxa"/>
            <w:vAlign w:val="top"/>
          </w:tcPr>
          <w:p>
            <w:pPr>
              <w:ind w:left="364"/>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1.0</w:t>
            </w:r>
          </w:p>
        </w:tc>
      </w:tr>
      <w:tr>
        <w:trPr>
          <w:trHeight w:val="301" w:hRule="atLeast"/>
        </w:trPr>
        <w:tc>
          <w:tcPr>
            <w:tcW w:w="1280" w:type="dxa"/>
            <w:vAlign w:val="top"/>
            <w:vMerge w:val="restart"/>
            <w:tcBorders>
              <w:bottom w:val="nil"/>
            </w:tcBorders>
          </w:tcPr>
          <w:p>
            <w:pPr>
              <w:spacing w:line="435" w:lineRule="auto"/>
              <w:rPr>
                <w:rFonts w:ascii="Arial"/>
                <w:sz w:val="21"/>
              </w:rPr>
            </w:pPr>
            <w:r/>
          </w:p>
          <w:p>
            <w:pPr>
              <w:pStyle w:val="TableText"/>
              <w:ind w:left="15"/>
              <w:spacing w:before="65" w:line="228" w:lineRule="auto"/>
              <w:rPr/>
            </w:pPr>
            <w:r>
              <w:rPr>
                <w:spacing w:val="6"/>
              </w:rPr>
              <w:t>车速（</w:t>
            </w:r>
            <w:r>
              <w:rPr>
                <w:rFonts w:ascii="Times New Roman" w:hAnsi="Times New Roman" w:eastAsia="Times New Roman" w:cs="Times New Roman"/>
              </w:rPr>
              <w:t>km</w:t>
            </w:r>
            <w:r>
              <w:rPr>
                <w:rFonts w:ascii="Times New Roman" w:hAnsi="Times New Roman" w:eastAsia="Times New Roman" w:cs="Times New Roman"/>
                <w:spacing w:val="6"/>
              </w:rPr>
              <w:t>/h</w:t>
            </w:r>
            <w:r>
              <w:rPr>
                <w:spacing w:val="6"/>
              </w:rPr>
              <w:t>）</w:t>
            </w:r>
          </w:p>
        </w:tc>
        <w:tc>
          <w:tcPr>
            <w:tcW w:w="1119" w:type="dxa"/>
            <w:vAlign w:val="top"/>
          </w:tcPr>
          <w:p>
            <w:pPr>
              <w:ind w:left="513"/>
              <w:spacing w:before="8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050" w:type="dxa"/>
            <w:vAlign w:val="top"/>
          </w:tcPr>
          <w:p>
            <w:pPr>
              <w:ind w:left="292"/>
              <w:spacing w:before="8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0.051</w:t>
            </w:r>
          </w:p>
        </w:tc>
        <w:tc>
          <w:tcPr>
            <w:tcW w:w="1076" w:type="dxa"/>
            <w:vAlign w:val="top"/>
          </w:tcPr>
          <w:p>
            <w:pPr>
              <w:ind w:left="307"/>
              <w:spacing w:before="8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0.086</w:t>
            </w:r>
          </w:p>
        </w:tc>
        <w:tc>
          <w:tcPr>
            <w:tcW w:w="924" w:type="dxa"/>
            <w:vAlign w:val="top"/>
          </w:tcPr>
          <w:p>
            <w:pPr>
              <w:ind w:left="230"/>
              <w:spacing w:before="8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0.116</w:t>
            </w:r>
          </w:p>
        </w:tc>
        <w:tc>
          <w:tcPr>
            <w:tcW w:w="1060" w:type="dxa"/>
            <w:vAlign w:val="top"/>
          </w:tcPr>
          <w:p>
            <w:pPr>
              <w:ind w:left="299"/>
              <w:spacing w:before="8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2"/>
              </w:rPr>
              <w:t>144</w:t>
            </w:r>
          </w:p>
        </w:tc>
        <w:tc>
          <w:tcPr>
            <w:tcW w:w="1050" w:type="dxa"/>
            <w:vAlign w:val="top"/>
          </w:tcPr>
          <w:p>
            <w:pPr>
              <w:ind w:left="295"/>
              <w:spacing w:before="8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0.171</w:t>
            </w:r>
          </w:p>
        </w:tc>
        <w:tc>
          <w:tcPr>
            <w:tcW w:w="950" w:type="dxa"/>
            <w:vAlign w:val="top"/>
          </w:tcPr>
          <w:p>
            <w:pPr>
              <w:ind w:left="244"/>
              <w:spacing w:before="8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0.287</w:t>
            </w:r>
          </w:p>
        </w:tc>
      </w:tr>
      <w:tr>
        <w:trPr>
          <w:trHeight w:val="302" w:hRule="atLeast"/>
        </w:trPr>
        <w:tc>
          <w:tcPr>
            <w:tcW w:w="1280" w:type="dxa"/>
            <w:vAlign w:val="top"/>
            <w:vMerge w:val="continue"/>
            <w:tcBorders>
              <w:top w:val="nil"/>
              <w:bottom w:val="nil"/>
            </w:tcBorders>
          </w:tcPr>
          <w:p>
            <w:pPr>
              <w:rPr>
                <w:rFonts w:ascii="Arial"/>
                <w:sz w:val="21"/>
              </w:rPr>
            </w:pPr>
            <w:r/>
          </w:p>
        </w:tc>
        <w:tc>
          <w:tcPr>
            <w:tcW w:w="1119" w:type="dxa"/>
            <w:vAlign w:val="top"/>
          </w:tcPr>
          <w:p>
            <w:pPr>
              <w:ind w:left="475"/>
              <w:spacing w:before="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050" w:type="dxa"/>
            <w:vAlign w:val="top"/>
          </w:tcPr>
          <w:p>
            <w:pPr>
              <w:ind w:left="292"/>
              <w:spacing w:before="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0.102</w:t>
            </w:r>
          </w:p>
        </w:tc>
        <w:tc>
          <w:tcPr>
            <w:tcW w:w="1076" w:type="dxa"/>
            <w:vAlign w:val="top"/>
          </w:tcPr>
          <w:p>
            <w:pPr>
              <w:ind w:left="307"/>
              <w:spacing w:before="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0.171</w:t>
            </w:r>
          </w:p>
        </w:tc>
        <w:tc>
          <w:tcPr>
            <w:tcW w:w="924" w:type="dxa"/>
            <w:vAlign w:val="top"/>
          </w:tcPr>
          <w:p>
            <w:pPr>
              <w:ind w:left="230"/>
              <w:spacing w:before="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0.232</w:t>
            </w:r>
          </w:p>
        </w:tc>
        <w:tc>
          <w:tcPr>
            <w:tcW w:w="1060" w:type="dxa"/>
            <w:vAlign w:val="top"/>
          </w:tcPr>
          <w:p>
            <w:pPr>
              <w:ind w:left="299"/>
              <w:spacing w:before="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0.289</w:t>
            </w:r>
          </w:p>
        </w:tc>
        <w:tc>
          <w:tcPr>
            <w:tcW w:w="1050" w:type="dxa"/>
            <w:vAlign w:val="top"/>
          </w:tcPr>
          <w:p>
            <w:pPr>
              <w:ind w:left="295"/>
              <w:spacing w:before="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0.341</w:t>
            </w:r>
          </w:p>
        </w:tc>
        <w:tc>
          <w:tcPr>
            <w:tcW w:w="950" w:type="dxa"/>
            <w:vAlign w:val="top"/>
          </w:tcPr>
          <w:p>
            <w:pPr>
              <w:ind w:left="244"/>
              <w:spacing w:before="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0.574</w:t>
            </w:r>
          </w:p>
        </w:tc>
      </w:tr>
      <w:tr>
        <w:trPr>
          <w:trHeight w:val="301" w:hRule="atLeast"/>
        </w:trPr>
        <w:tc>
          <w:tcPr>
            <w:tcW w:w="1280" w:type="dxa"/>
            <w:vAlign w:val="top"/>
            <w:vMerge w:val="continue"/>
            <w:tcBorders>
              <w:top w:val="nil"/>
              <w:bottom w:val="nil"/>
            </w:tcBorders>
          </w:tcPr>
          <w:p>
            <w:pPr>
              <w:rPr>
                <w:rFonts w:ascii="Arial"/>
                <w:sz w:val="21"/>
              </w:rPr>
            </w:pPr>
            <w:r/>
          </w:p>
        </w:tc>
        <w:tc>
          <w:tcPr>
            <w:tcW w:w="1119" w:type="dxa"/>
            <w:vAlign w:val="top"/>
          </w:tcPr>
          <w:p>
            <w:pPr>
              <w:ind w:left="475"/>
              <w:spacing w:before="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1050" w:type="dxa"/>
            <w:vAlign w:val="top"/>
          </w:tcPr>
          <w:p>
            <w:pPr>
              <w:ind w:left="292"/>
              <w:spacing w:before="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0.153</w:t>
            </w:r>
          </w:p>
        </w:tc>
        <w:tc>
          <w:tcPr>
            <w:tcW w:w="1076" w:type="dxa"/>
            <w:vAlign w:val="top"/>
          </w:tcPr>
          <w:p>
            <w:pPr>
              <w:ind w:left="307"/>
              <w:spacing w:before="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0.257</w:t>
            </w:r>
          </w:p>
        </w:tc>
        <w:tc>
          <w:tcPr>
            <w:tcW w:w="924" w:type="dxa"/>
            <w:vAlign w:val="top"/>
          </w:tcPr>
          <w:p>
            <w:pPr>
              <w:ind w:left="230"/>
              <w:spacing w:before="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0.349</w:t>
            </w:r>
          </w:p>
        </w:tc>
        <w:tc>
          <w:tcPr>
            <w:tcW w:w="1060" w:type="dxa"/>
            <w:vAlign w:val="top"/>
          </w:tcPr>
          <w:p>
            <w:pPr>
              <w:ind w:left="299"/>
              <w:spacing w:before="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0.433</w:t>
            </w:r>
          </w:p>
        </w:tc>
        <w:tc>
          <w:tcPr>
            <w:tcW w:w="1050" w:type="dxa"/>
            <w:vAlign w:val="top"/>
          </w:tcPr>
          <w:p>
            <w:pPr>
              <w:ind w:left="295"/>
              <w:spacing w:before="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0.512</w:t>
            </w:r>
          </w:p>
        </w:tc>
        <w:tc>
          <w:tcPr>
            <w:tcW w:w="950" w:type="dxa"/>
            <w:vAlign w:val="top"/>
          </w:tcPr>
          <w:p>
            <w:pPr>
              <w:ind w:left="244"/>
              <w:spacing w:before="8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0.861</w:t>
            </w:r>
          </w:p>
        </w:tc>
      </w:tr>
      <w:tr>
        <w:trPr>
          <w:trHeight w:val="306" w:hRule="atLeast"/>
        </w:trPr>
        <w:tc>
          <w:tcPr>
            <w:tcW w:w="1280" w:type="dxa"/>
            <w:vAlign w:val="top"/>
            <w:vMerge w:val="continue"/>
            <w:tcBorders>
              <w:top w:val="nil"/>
            </w:tcBorders>
          </w:tcPr>
          <w:p>
            <w:pPr>
              <w:rPr>
                <w:rFonts w:ascii="Arial"/>
                <w:sz w:val="21"/>
              </w:rPr>
            </w:pPr>
            <w:r/>
          </w:p>
        </w:tc>
        <w:tc>
          <w:tcPr>
            <w:tcW w:w="1119" w:type="dxa"/>
            <w:vAlign w:val="top"/>
          </w:tcPr>
          <w:p>
            <w:pPr>
              <w:ind w:left="455"/>
              <w:spacing w:before="8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1050" w:type="dxa"/>
            <w:vAlign w:val="top"/>
          </w:tcPr>
          <w:p>
            <w:pPr>
              <w:ind w:left="292"/>
              <w:spacing w:before="8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0.255</w:t>
            </w:r>
          </w:p>
        </w:tc>
        <w:tc>
          <w:tcPr>
            <w:tcW w:w="1076" w:type="dxa"/>
            <w:vAlign w:val="top"/>
          </w:tcPr>
          <w:p>
            <w:pPr>
              <w:ind w:left="307"/>
              <w:spacing w:before="8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0.429</w:t>
            </w:r>
          </w:p>
        </w:tc>
        <w:tc>
          <w:tcPr>
            <w:tcW w:w="924" w:type="dxa"/>
            <w:vAlign w:val="top"/>
          </w:tcPr>
          <w:p>
            <w:pPr>
              <w:ind w:left="230"/>
              <w:spacing w:before="8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0.582</w:t>
            </w:r>
          </w:p>
        </w:tc>
        <w:tc>
          <w:tcPr>
            <w:tcW w:w="1060" w:type="dxa"/>
            <w:vAlign w:val="top"/>
          </w:tcPr>
          <w:p>
            <w:pPr>
              <w:ind w:left="299"/>
              <w:spacing w:before="8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0.722</w:t>
            </w:r>
          </w:p>
        </w:tc>
        <w:tc>
          <w:tcPr>
            <w:tcW w:w="1050" w:type="dxa"/>
            <w:vAlign w:val="top"/>
          </w:tcPr>
          <w:p>
            <w:pPr>
              <w:ind w:left="295"/>
              <w:spacing w:before="8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0.853</w:t>
            </w:r>
          </w:p>
        </w:tc>
        <w:tc>
          <w:tcPr>
            <w:tcW w:w="950" w:type="dxa"/>
            <w:vAlign w:val="top"/>
          </w:tcPr>
          <w:p>
            <w:pPr>
              <w:ind w:left="261"/>
              <w:spacing w:before="8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1.435</w:t>
            </w:r>
          </w:p>
        </w:tc>
      </w:tr>
    </w:tbl>
    <w:p>
      <w:pPr>
        <w:pStyle w:val="BodyText"/>
        <w:spacing w:line="197" w:lineRule="exact"/>
        <w:rPr>
          <w:sz w:val="17"/>
        </w:rPr>
      </w:pPr>
      <w:r/>
    </w:p>
    <w:p>
      <w:pPr>
        <w:spacing w:line="197" w:lineRule="exact"/>
        <w:sectPr>
          <w:headerReference w:type="default" r:id="rId41"/>
          <w:footerReference w:type="default" r:id="rId323"/>
          <w:pgSz w:w="11907" w:h="16840"/>
          <w:pgMar w:top="1567" w:right="1640" w:bottom="1921" w:left="1696" w:header="1221" w:footer="1247" w:gutter="0"/>
        </w:sectPr>
        <w:rPr>
          <w:sz w:val="17"/>
          <w:szCs w:val="17"/>
        </w:rPr>
      </w:pPr>
    </w:p>
    <w:p>
      <w:pPr>
        <w:ind w:left="8" w:right="103" w:firstLine="483"/>
        <w:spacing w:before="186" w:line="359" w:lineRule="auto"/>
        <w:jc w:val="both"/>
        <w:rPr>
          <w:rFonts w:ascii="SimSun" w:hAnsi="SimSun" w:eastAsia="SimSun" w:cs="SimSun"/>
          <w:sz w:val="24"/>
          <w:szCs w:val="24"/>
        </w:rPr>
      </w:pPr>
      <w:r>
        <w:pict>
          <v:shape id="_x0000_s1072" style="position:absolute;margin-left:85.05pt;margin-top:79.11pt;mso-position-vertical-relative:page;mso-position-horizontal-relative:page;width:425.25pt;height:0.75pt;z-index:252190720;" o:allowincell="f" fillcolor="#000000" filled="true" stroked="false" coordsize="8505,15" coordorigin="0,0" path="m,l8505,0l8505,14l0,14l0,0xe"/>
        </w:pict>
      </w:r>
      <w:r>
        <w:rPr>
          <w:rFonts w:ascii="SimSun" w:hAnsi="SimSun" w:eastAsia="SimSun" w:cs="SimSun"/>
          <w:sz w:val="24"/>
          <w:szCs w:val="24"/>
          <w:spacing w:val="-2"/>
        </w:rPr>
        <w:t>从表</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2"/>
        </w:rPr>
        <w:t>5.8-3 </w:t>
      </w:r>
      <w:r>
        <w:rPr>
          <w:rFonts w:ascii="SimSun" w:hAnsi="SimSun" w:eastAsia="SimSun" w:cs="SimSun"/>
          <w:sz w:val="24"/>
          <w:szCs w:val="24"/>
          <w:spacing w:val="-2"/>
        </w:rPr>
        <w:t>可见，在同样的路面条件下，车速越快，扬尘量越大，在同样的车</w:t>
      </w:r>
      <w:r>
        <w:rPr>
          <w:rFonts w:ascii="SimSun" w:hAnsi="SimSun" w:eastAsia="SimSun" w:cs="SimSun"/>
          <w:sz w:val="24"/>
          <w:szCs w:val="24"/>
        </w:rPr>
        <w:t xml:space="preserve"> </w:t>
      </w:r>
      <w:r>
        <w:rPr>
          <w:rFonts w:ascii="SimSun" w:hAnsi="SimSun" w:eastAsia="SimSun" w:cs="SimSun"/>
          <w:sz w:val="24"/>
          <w:szCs w:val="24"/>
          <w:spacing w:val="3"/>
        </w:rPr>
        <w:t>速情况下，路面粉尘越大，扬尘量越大。因此，限制施工</w:t>
      </w:r>
      <w:r>
        <w:rPr>
          <w:rFonts w:ascii="SimSun" w:hAnsi="SimSun" w:eastAsia="SimSun" w:cs="SimSun"/>
          <w:sz w:val="24"/>
          <w:szCs w:val="24"/>
          <w:spacing w:val="2"/>
        </w:rPr>
        <w:t>车辆速度和保持路面清</w:t>
      </w:r>
      <w:r>
        <w:rPr>
          <w:rFonts w:ascii="SimSun" w:hAnsi="SimSun" w:eastAsia="SimSun" w:cs="SimSun"/>
          <w:sz w:val="24"/>
          <w:szCs w:val="24"/>
        </w:rPr>
        <w:t xml:space="preserve"> </w:t>
      </w:r>
      <w:r>
        <w:rPr>
          <w:rFonts w:ascii="SimSun" w:hAnsi="SimSun" w:eastAsia="SimSun" w:cs="SimSun"/>
          <w:sz w:val="24"/>
          <w:szCs w:val="24"/>
          <w:spacing w:val="-1"/>
        </w:rPr>
        <w:t>洁是减少扬尘的有效手段。</w:t>
      </w:r>
    </w:p>
    <w:p>
      <w:pPr>
        <w:ind w:left="501"/>
        <w:spacing w:line="218"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）机械废气</w:t>
      </w:r>
    </w:p>
    <w:p>
      <w:pPr>
        <w:ind w:left="9" w:right="103" w:firstLine="479"/>
        <w:spacing w:before="183" w:line="359" w:lineRule="auto"/>
        <w:rPr>
          <w:rFonts w:ascii="SimSun" w:hAnsi="SimSun" w:eastAsia="SimSun" w:cs="SimSun"/>
          <w:sz w:val="24"/>
          <w:szCs w:val="24"/>
        </w:rPr>
      </w:pPr>
      <w:r>
        <w:rPr>
          <w:rFonts w:ascii="SimSun" w:hAnsi="SimSun" w:eastAsia="SimSun" w:cs="SimSun"/>
          <w:sz w:val="24"/>
          <w:szCs w:val="24"/>
          <w:spacing w:val="3"/>
        </w:rPr>
        <w:t>施工时使用的施工机械和大型建筑材料运输车辆一般都以柴油为燃</w:t>
      </w:r>
      <w:r>
        <w:rPr>
          <w:rFonts w:ascii="SimSun" w:hAnsi="SimSun" w:eastAsia="SimSun" w:cs="SimSun"/>
          <w:sz w:val="24"/>
          <w:szCs w:val="24"/>
          <w:spacing w:val="2"/>
        </w:rPr>
        <w:t>料，柴油</w:t>
      </w:r>
      <w:r>
        <w:rPr>
          <w:rFonts w:ascii="SimSun" w:hAnsi="SimSun" w:eastAsia="SimSun" w:cs="SimSun"/>
          <w:sz w:val="24"/>
          <w:szCs w:val="24"/>
        </w:rPr>
        <w:t xml:space="preserve"> </w:t>
      </w:r>
      <w:r>
        <w:rPr>
          <w:rFonts w:ascii="SimSun" w:hAnsi="SimSun" w:eastAsia="SimSun" w:cs="SimSun"/>
          <w:sz w:val="24"/>
          <w:szCs w:val="24"/>
          <w:spacing w:val="3"/>
        </w:rPr>
        <w:t>燃烧产生的尾气中主要含有颗粒物和碳氢化合物等废气</w:t>
      </w:r>
      <w:r>
        <w:rPr>
          <w:rFonts w:ascii="SimSun" w:hAnsi="SimSun" w:eastAsia="SimSun" w:cs="SimSun"/>
          <w:sz w:val="24"/>
          <w:szCs w:val="24"/>
          <w:spacing w:val="2"/>
        </w:rPr>
        <w:t>，在常规气象条件下废气</w:t>
      </w:r>
      <w:r>
        <w:rPr>
          <w:rFonts w:ascii="SimSun" w:hAnsi="SimSun" w:eastAsia="SimSun" w:cs="SimSun"/>
          <w:sz w:val="24"/>
          <w:szCs w:val="24"/>
        </w:rPr>
        <w:t xml:space="preserve"> </w:t>
      </w:r>
      <w:r>
        <w:rPr>
          <w:rFonts w:ascii="SimSun" w:hAnsi="SimSun" w:eastAsia="SimSun" w:cs="SimSun"/>
          <w:sz w:val="24"/>
          <w:szCs w:val="24"/>
          <w:spacing w:val="3"/>
        </w:rPr>
        <w:t>污染影响范围最大不超过排气孔下风向轴线几十米远的</w:t>
      </w:r>
      <w:r>
        <w:rPr>
          <w:rFonts w:ascii="SimSun" w:hAnsi="SimSun" w:eastAsia="SimSun" w:cs="SimSun"/>
          <w:sz w:val="24"/>
          <w:szCs w:val="24"/>
          <w:spacing w:val="2"/>
        </w:rPr>
        <w:t>距离。一般情况下，在工</w:t>
      </w:r>
      <w:r>
        <w:rPr>
          <w:rFonts w:ascii="SimSun" w:hAnsi="SimSun" w:eastAsia="SimSun" w:cs="SimSun"/>
          <w:sz w:val="24"/>
          <w:szCs w:val="24"/>
        </w:rPr>
        <w:t xml:space="preserve"> </w:t>
      </w:r>
      <w:r>
        <w:rPr>
          <w:rFonts w:ascii="SimSun" w:hAnsi="SimSun" w:eastAsia="SimSun" w:cs="SimSun"/>
          <w:sz w:val="24"/>
          <w:szCs w:val="24"/>
          <w:spacing w:val="3"/>
        </w:rPr>
        <w:t>地内运行的机械及载重卡车的废气污染影响范围仅局限</w:t>
      </w:r>
      <w:r>
        <w:rPr>
          <w:rFonts w:ascii="SimSun" w:hAnsi="SimSun" w:eastAsia="SimSun" w:cs="SimSun"/>
          <w:sz w:val="24"/>
          <w:szCs w:val="24"/>
          <w:spacing w:val="2"/>
        </w:rPr>
        <w:t>于施工工地内，不影响界</w:t>
      </w:r>
      <w:r>
        <w:rPr>
          <w:rFonts w:ascii="SimSun" w:hAnsi="SimSun" w:eastAsia="SimSun" w:cs="SimSun"/>
          <w:sz w:val="24"/>
          <w:szCs w:val="24"/>
        </w:rPr>
        <w:t xml:space="preserve"> </w:t>
      </w:r>
      <w:r>
        <w:rPr>
          <w:rFonts w:ascii="SimSun" w:hAnsi="SimSun" w:eastAsia="SimSun" w:cs="SimSun"/>
          <w:sz w:val="24"/>
          <w:szCs w:val="24"/>
          <w:spacing w:val="-3"/>
        </w:rPr>
        <w:t>外区域。</w:t>
      </w:r>
    </w:p>
    <w:p>
      <w:pPr>
        <w:ind w:left="501"/>
        <w:spacing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）汽车尾气</w:t>
      </w:r>
    </w:p>
    <w:p>
      <w:pPr>
        <w:ind w:left="11" w:right="105" w:firstLine="477"/>
        <w:spacing w:before="182" w:line="361" w:lineRule="auto"/>
        <w:rPr>
          <w:rFonts w:ascii="SimSun" w:hAnsi="SimSun" w:eastAsia="SimSun" w:cs="SimSun"/>
          <w:sz w:val="24"/>
          <w:szCs w:val="24"/>
        </w:rPr>
      </w:pPr>
      <w:r>
        <w:rPr>
          <w:rFonts w:ascii="SimSun" w:hAnsi="SimSun" w:eastAsia="SimSun" w:cs="SimSun"/>
          <w:sz w:val="24"/>
          <w:szCs w:val="24"/>
          <w:spacing w:val="-2"/>
        </w:rPr>
        <w:t>施工车辆主要以柴油为燃料，燃油产生的废气中含有</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CO</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THC</w:t>
      </w:r>
      <w:r>
        <w:rPr>
          <w:rFonts w:ascii="SimSun" w:hAnsi="SimSun" w:eastAsia="SimSun" w:cs="SimSun"/>
          <w:sz w:val="24"/>
          <w:szCs w:val="24"/>
          <w:spacing w:val="-3"/>
        </w:rPr>
        <w:t>、</w:t>
      </w:r>
      <w:r>
        <w:rPr>
          <w:rFonts w:ascii="Times New Roman" w:hAnsi="Times New Roman" w:eastAsia="Times New Roman" w:cs="Times New Roman"/>
          <w:sz w:val="24"/>
          <w:szCs w:val="24"/>
          <w:spacing w:val="-3"/>
        </w:rPr>
        <w:t>NO</w:t>
      </w:r>
      <w:r>
        <w:rPr>
          <w:rFonts w:ascii="Times New Roman" w:hAnsi="Times New Roman" w:eastAsia="Times New Roman" w:cs="Times New Roman"/>
          <w:sz w:val="15"/>
          <w:szCs w:val="15"/>
          <w:spacing w:val="-3"/>
          <w:position w:val="-1"/>
        </w:rPr>
        <w:t>x</w:t>
      </w:r>
      <w:r>
        <w:rPr>
          <w:rFonts w:ascii="Times New Roman" w:hAnsi="Times New Roman" w:eastAsia="Times New Roman" w:cs="Times New Roman"/>
          <w:sz w:val="15"/>
          <w:szCs w:val="15"/>
          <w:spacing w:val="11"/>
          <w:position w:val="-1"/>
        </w:rPr>
        <w:t xml:space="preserve"> </w:t>
      </w:r>
      <w:r>
        <w:rPr>
          <w:rFonts w:ascii="SimSun" w:hAnsi="SimSun" w:eastAsia="SimSun" w:cs="SimSun"/>
          <w:sz w:val="24"/>
          <w:szCs w:val="24"/>
          <w:spacing w:val="-3"/>
        </w:rPr>
        <w:t>等，其</w:t>
      </w:r>
      <w:r>
        <w:rPr>
          <w:rFonts w:ascii="SimSun" w:hAnsi="SimSun" w:eastAsia="SimSun" w:cs="SimSun"/>
          <w:sz w:val="24"/>
          <w:szCs w:val="24"/>
        </w:rPr>
        <w:t xml:space="preserve"> </w:t>
      </w:r>
      <w:r>
        <w:rPr>
          <w:rFonts w:ascii="SimSun" w:hAnsi="SimSun" w:eastAsia="SimSun" w:cs="SimSun"/>
          <w:sz w:val="24"/>
          <w:szCs w:val="24"/>
          <w:spacing w:val="-1"/>
        </w:rPr>
        <w:t>污染物排放量不大，影响范围有限。</w:t>
      </w:r>
    </w:p>
    <w:p>
      <w:pPr>
        <w:ind w:left="14"/>
        <w:spacing w:before="122" w:line="222" w:lineRule="auto"/>
        <w:outlineLvl w:val="2"/>
        <w:rPr>
          <w:rFonts w:ascii="SimHei" w:hAnsi="SimHei" w:eastAsia="SimHei" w:cs="SimHei"/>
          <w:sz w:val="28"/>
          <w:szCs w:val="28"/>
        </w:rPr>
      </w:pPr>
      <w:bookmarkStart w:name="bookmark117" w:id="146"/>
      <w:bookmarkEnd w:id="146"/>
      <w:r>
        <w:rPr>
          <w:rFonts w:ascii="Times New Roman" w:hAnsi="Times New Roman" w:eastAsia="Times New Roman" w:cs="Times New Roman"/>
          <w:sz w:val="28"/>
          <w:szCs w:val="28"/>
          <w:spacing w:val="-1"/>
        </w:rPr>
        <w:t>5.8.2 </w:t>
      </w:r>
      <w:r>
        <w:rPr>
          <w:rFonts w:ascii="SimHei" w:hAnsi="SimHei" w:eastAsia="SimHei" w:cs="SimHei"/>
          <w:sz w:val="28"/>
          <w:szCs w:val="28"/>
          <w:spacing w:val="-1"/>
        </w:rPr>
        <w:t>施工期水环境影响分析</w:t>
      </w:r>
    </w:p>
    <w:p>
      <w:pPr>
        <w:pStyle w:val="BodyText"/>
        <w:spacing w:line="243" w:lineRule="auto"/>
        <w:rPr/>
      </w:pPr>
      <w:r/>
    </w:p>
    <w:p>
      <w:pPr>
        <w:ind w:left="501"/>
        <w:spacing w:before="78"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）生活污水</w:t>
      </w:r>
    </w:p>
    <w:p>
      <w:pPr>
        <w:ind w:left="4" w:right="105" w:firstLine="488"/>
        <w:spacing w:before="181" w:line="359" w:lineRule="auto"/>
        <w:rPr>
          <w:rFonts w:ascii="SimSun" w:hAnsi="SimSun" w:eastAsia="SimSun" w:cs="SimSun"/>
          <w:sz w:val="24"/>
          <w:szCs w:val="24"/>
        </w:rPr>
      </w:pPr>
      <w:r>
        <w:rPr>
          <w:rFonts w:ascii="SimSun" w:hAnsi="SimSun" w:eastAsia="SimSun" w:cs="SimSun"/>
          <w:sz w:val="24"/>
          <w:szCs w:val="24"/>
          <w:spacing w:val="9"/>
        </w:rPr>
        <w:t>工程施工人员在施工过程中会产生少量生活污水，主要污染物为</w:t>
      </w:r>
      <w:r>
        <w:rPr>
          <w:rFonts w:ascii="SimSun" w:hAnsi="SimSun" w:eastAsia="SimSun" w:cs="SimSun"/>
          <w:sz w:val="24"/>
          <w:szCs w:val="24"/>
          <w:spacing w:val="-35"/>
        </w:rPr>
        <w:t xml:space="preserve"> </w:t>
      </w:r>
      <w:r>
        <w:rPr>
          <w:rFonts w:ascii="Times New Roman" w:hAnsi="Times New Roman" w:eastAsia="Times New Roman" w:cs="Times New Roman"/>
          <w:sz w:val="24"/>
          <w:szCs w:val="24"/>
        </w:rPr>
        <w:t>COD</w:t>
      </w:r>
      <w:r>
        <w:rPr>
          <w:rFonts w:ascii="Times New Roman" w:hAnsi="Times New Roman" w:eastAsia="Times New Roman" w:cs="Times New Roman"/>
          <w:sz w:val="15"/>
          <w:szCs w:val="15"/>
          <w:position w:val="-1"/>
        </w:rPr>
        <w:t>Cr</w:t>
      </w:r>
      <w:r>
        <w:rPr>
          <w:rFonts w:ascii="Times New Roman" w:hAnsi="Times New Roman" w:eastAsia="Times New Roman" w:cs="Times New Roman"/>
          <w:sz w:val="15"/>
          <w:szCs w:val="15"/>
          <w:spacing w:val="9"/>
          <w:position w:val="-1"/>
        </w:rPr>
        <w:t xml:space="preserve"> </w:t>
      </w:r>
      <w:r>
        <w:rPr>
          <w:rFonts w:ascii="SimSun" w:hAnsi="SimSun" w:eastAsia="SimSun" w:cs="SimSun"/>
          <w:sz w:val="24"/>
          <w:szCs w:val="24"/>
          <w:spacing w:val="9"/>
        </w:rPr>
        <w:t>、</w:t>
      </w:r>
      <w:r>
        <w:rPr>
          <w:rFonts w:ascii="SimSun" w:hAnsi="SimSun" w:eastAsia="SimSun" w:cs="SimSun"/>
          <w:sz w:val="24"/>
          <w:szCs w:val="24"/>
        </w:rPr>
        <w:t xml:space="preserve"> </w:t>
      </w:r>
      <w:r>
        <w:rPr>
          <w:rFonts w:ascii="Times New Roman" w:hAnsi="Times New Roman" w:eastAsia="Times New Roman" w:cs="Times New Roman"/>
          <w:sz w:val="24"/>
          <w:szCs w:val="24"/>
          <w:spacing w:val="-2"/>
        </w:rPr>
        <w:t>BOD</w:t>
      </w:r>
      <w:r>
        <w:rPr>
          <w:rFonts w:ascii="Times New Roman" w:hAnsi="Times New Roman" w:eastAsia="Times New Roman" w:cs="Times New Roman"/>
          <w:sz w:val="15"/>
          <w:szCs w:val="15"/>
          <w:spacing w:val="-2"/>
          <w:position w:val="-1"/>
        </w:rPr>
        <w:t>5</w:t>
      </w:r>
      <w:r>
        <w:rPr>
          <w:rFonts w:ascii="Times New Roman" w:hAnsi="Times New Roman" w:eastAsia="Times New Roman" w:cs="Times New Roman"/>
          <w:sz w:val="15"/>
          <w:szCs w:val="15"/>
          <w:spacing w:val="1"/>
          <w:position w:val="-1"/>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NH</w:t>
      </w:r>
      <w:r>
        <w:rPr>
          <w:rFonts w:ascii="Times New Roman" w:hAnsi="Times New Roman" w:eastAsia="Times New Roman" w:cs="Times New Roman"/>
          <w:sz w:val="15"/>
          <w:szCs w:val="15"/>
          <w:spacing w:val="-2"/>
        </w:rPr>
        <w:t>3</w:t>
      </w:r>
      <w:r>
        <w:rPr>
          <w:rFonts w:ascii="Times New Roman" w:hAnsi="Times New Roman" w:eastAsia="Times New Roman" w:cs="Times New Roman"/>
          <w:sz w:val="24"/>
          <w:szCs w:val="24"/>
          <w:spacing w:val="-2"/>
        </w:rPr>
        <w:t>-N</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SS</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、动植物油、总磷、总氮等。如果施工期生活污水直接排放，</w:t>
      </w:r>
      <w:r>
        <w:rPr>
          <w:rFonts w:ascii="SimSun" w:hAnsi="SimSun" w:eastAsia="SimSun" w:cs="SimSun"/>
          <w:sz w:val="24"/>
          <w:szCs w:val="24"/>
        </w:rPr>
        <w:t xml:space="preserve"> </w:t>
      </w:r>
      <w:r>
        <w:rPr>
          <w:rFonts w:ascii="SimSun" w:hAnsi="SimSun" w:eastAsia="SimSun" w:cs="SimSun"/>
          <w:sz w:val="24"/>
          <w:szCs w:val="24"/>
          <w:spacing w:val="3"/>
        </w:rPr>
        <w:t>废水下渗到项目区周边土壤，影响植被生长，造成环境污染。生</w:t>
      </w:r>
      <w:r>
        <w:rPr>
          <w:rFonts w:ascii="SimSun" w:hAnsi="SimSun" w:eastAsia="SimSun" w:cs="SimSun"/>
          <w:sz w:val="24"/>
          <w:szCs w:val="24"/>
          <w:spacing w:val="2"/>
        </w:rPr>
        <w:t>活污水排入临时</w:t>
      </w:r>
      <w:r>
        <w:rPr>
          <w:rFonts w:ascii="SimSun" w:hAnsi="SimSun" w:eastAsia="SimSun" w:cs="SimSun"/>
          <w:sz w:val="24"/>
          <w:szCs w:val="24"/>
        </w:rPr>
        <w:t xml:space="preserve"> </w:t>
      </w:r>
      <w:r>
        <w:rPr>
          <w:rFonts w:ascii="SimSun" w:hAnsi="SimSun" w:eastAsia="SimSun" w:cs="SimSun"/>
          <w:sz w:val="24"/>
          <w:szCs w:val="24"/>
        </w:rPr>
        <w:t>化粪池处理后，定期清掏处理，不会对周边环</w:t>
      </w:r>
      <w:r>
        <w:rPr>
          <w:rFonts w:ascii="SimSun" w:hAnsi="SimSun" w:eastAsia="SimSun" w:cs="SimSun"/>
          <w:sz w:val="24"/>
          <w:szCs w:val="24"/>
          <w:spacing w:val="-1"/>
        </w:rPr>
        <w:t>境产生影响。</w:t>
      </w:r>
    </w:p>
    <w:p>
      <w:pPr>
        <w:ind w:left="501"/>
        <w:spacing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）施工废水</w:t>
      </w:r>
    </w:p>
    <w:p>
      <w:pPr>
        <w:ind w:left="8" w:right="103" w:firstLine="484"/>
        <w:spacing w:before="184" w:line="359" w:lineRule="auto"/>
        <w:rPr>
          <w:rFonts w:ascii="SimSun" w:hAnsi="SimSun" w:eastAsia="SimSun" w:cs="SimSun"/>
          <w:sz w:val="24"/>
          <w:szCs w:val="24"/>
        </w:rPr>
      </w:pPr>
      <w:r>
        <w:rPr>
          <w:rFonts w:ascii="SimSun" w:hAnsi="SimSun" w:eastAsia="SimSun" w:cs="SimSun"/>
          <w:sz w:val="24"/>
          <w:szCs w:val="24"/>
          <w:spacing w:val="3"/>
        </w:rPr>
        <w:t>工程施工工地产生的施工废水中含有大量的淤泥，尤其在雨</w:t>
      </w:r>
      <w:r>
        <w:rPr>
          <w:rFonts w:ascii="SimSun" w:hAnsi="SimSun" w:eastAsia="SimSun" w:cs="SimSun"/>
          <w:sz w:val="24"/>
          <w:szCs w:val="24"/>
          <w:spacing w:val="2"/>
        </w:rPr>
        <w:t>季，建筑施工的</w:t>
      </w:r>
      <w:r>
        <w:rPr>
          <w:rFonts w:ascii="SimSun" w:hAnsi="SimSun" w:eastAsia="SimSun" w:cs="SimSun"/>
          <w:sz w:val="24"/>
          <w:szCs w:val="24"/>
        </w:rPr>
        <w:t xml:space="preserve"> </w:t>
      </w:r>
      <w:r>
        <w:rPr>
          <w:rFonts w:ascii="SimSun" w:hAnsi="SimSun" w:eastAsia="SimSun" w:cs="SimSun"/>
          <w:sz w:val="24"/>
          <w:szCs w:val="24"/>
          <w:spacing w:val="3"/>
        </w:rPr>
        <w:t>工地将有较大量的工地污水产生，建议施工工地设置临时集</w:t>
      </w:r>
      <w:r>
        <w:rPr>
          <w:rFonts w:ascii="SimSun" w:hAnsi="SimSun" w:eastAsia="SimSun" w:cs="SimSun"/>
          <w:sz w:val="24"/>
          <w:szCs w:val="24"/>
          <w:spacing w:val="2"/>
        </w:rPr>
        <w:t>水池、沉淀池对污水</w:t>
      </w:r>
      <w:r>
        <w:rPr>
          <w:rFonts w:ascii="SimSun" w:hAnsi="SimSun" w:eastAsia="SimSun" w:cs="SimSun"/>
          <w:sz w:val="24"/>
          <w:szCs w:val="24"/>
        </w:rPr>
        <w:t xml:space="preserve"> </w:t>
      </w:r>
      <w:r>
        <w:rPr>
          <w:rFonts w:ascii="SimSun" w:hAnsi="SimSun" w:eastAsia="SimSun" w:cs="SimSun"/>
          <w:sz w:val="24"/>
          <w:szCs w:val="24"/>
          <w:spacing w:val="-1"/>
        </w:rPr>
        <w:t>进行简易处理，处理后用于冲洗车辆和喷洒路面。</w:t>
      </w:r>
    </w:p>
    <w:p>
      <w:pPr>
        <w:ind w:left="9" w:right="25" w:firstLine="480"/>
        <w:spacing w:before="1" w:line="360" w:lineRule="auto"/>
        <w:rPr>
          <w:rFonts w:ascii="SimSun" w:hAnsi="SimSun" w:eastAsia="SimSun" w:cs="SimSun"/>
          <w:sz w:val="24"/>
          <w:szCs w:val="24"/>
        </w:rPr>
      </w:pPr>
      <w:r>
        <w:rPr>
          <w:rFonts w:ascii="SimSun" w:hAnsi="SimSun" w:eastAsia="SimSun" w:cs="SimSun"/>
          <w:sz w:val="24"/>
          <w:szCs w:val="24"/>
          <w:spacing w:val="-2"/>
        </w:rPr>
        <w:t>通过上述措施能有效地控制对水体的污染，预计施工期对水环境的影响较小，</w:t>
      </w:r>
      <w:r>
        <w:rPr>
          <w:rFonts w:ascii="SimSun" w:hAnsi="SimSun" w:eastAsia="SimSun" w:cs="SimSun"/>
          <w:sz w:val="24"/>
          <w:szCs w:val="24"/>
          <w:spacing w:val="1"/>
        </w:rPr>
        <w:t xml:space="preserve"> </w:t>
      </w:r>
      <w:r>
        <w:rPr>
          <w:rFonts w:ascii="SimSun" w:hAnsi="SimSun" w:eastAsia="SimSun" w:cs="SimSun"/>
          <w:sz w:val="24"/>
          <w:szCs w:val="24"/>
          <w:spacing w:val="-2"/>
        </w:rPr>
        <w:t>且将随着施工期的结束而消失。施工期产生的生活污水及施工废水不得随意排放。</w:t>
      </w:r>
    </w:p>
    <w:p>
      <w:pPr>
        <w:ind w:left="14"/>
        <w:spacing w:before="123" w:line="222" w:lineRule="auto"/>
        <w:outlineLvl w:val="2"/>
        <w:rPr>
          <w:rFonts w:ascii="SimHei" w:hAnsi="SimHei" w:eastAsia="SimHei" w:cs="SimHei"/>
          <w:sz w:val="28"/>
          <w:szCs w:val="28"/>
        </w:rPr>
      </w:pPr>
      <w:bookmarkStart w:name="bookmark118" w:id="147"/>
      <w:bookmarkEnd w:id="147"/>
      <w:r>
        <w:rPr>
          <w:rFonts w:ascii="Times New Roman" w:hAnsi="Times New Roman" w:eastAsia="Times New Roman" w:cs="Times New Roman"/>
          <w:sz w:val="28"/>
          <w:szCs w:val="28"/>
          <w:spacing w:val="-1"/>
        </w:rPr>
        <w:t>5.8.3 </w:t>
      </w:r>
      <w:r>
        <w:rPr>
          <w:rFonts w:ascii="SimHei" w:hAnsi="SimHei" w:eastAsia="SimHei" w:cs="SimHei"/>
          <w:sz w:val="28"/>
          <w:szCs w:val="28"/>
          <w:spacing w:val="-1"/>
        </w:rPr>
        <w:t>施工期声环境影响分析</w:t>
      </w:r>
    </w:p>
    <w:p>
      <w:pPr>
        <w:pStyle w:val="BodyText"/>
        <w:spacing w:line="243" w:lineRule="auto"/>
        <w:rPr/>
      </w:pPr>
      <w:r/>
    </w:p>
    <w:p>
      <w:pPr>
        <w:ind w:left="21" w:firstLine="471"/>
        <w:spacing w:before="78" w:line="360" w:lineRule="auto"/>
        <w:rPr>
          <w:rFonts w:ascii="SimSun" w:hAnsi="SimSun" w:eastAsia="SimSun" w:cs="SimSun"/>
          <w:sz w:val="24"/>
          <w:szCs w:val="24"/>
        </w:rPr>
      </w:pPr>
      <w:r>
        <w:rPr>
          <w:rFonts w:ascii="SimSun" w:hAnsi="SimSun" w:eastAsia="SimSun" w:cs="SimSun"/>
          <w:sz w:val="24"/>
          <w:szCs w:val="24"/>
          <w:spacing w:val="3"/>
        </w:rPr>
        <w:t>根据《中华人民共和国环境噪声污染防治条例》等有关</w:t>
      </w:r>
      <w:r>
        <w:rPr>
          <w:rFonts w:ascii="SimSun" w:hAnsi="SimSun" w:eastAsia="SimSun" w:cs="SimSun"/>
          <w:sz w:val="24"/>
          <w:szCs w:val="24"/>
          <w:spacing w:val="2"/>
        </w:rPr>
        <w:t>规定，控制城市环境</w:t>
      </w:r>
      <w:r>
        <w:rPr>
          <w:rFonts w:ascii="SimSun" w:hAnsi="SimSun" w:eastAsia="SimSun" w:cs="SimSun"/>
          <w:sz w:val="24"/>
          <w:szCs w:val="24"/>
        </w:rPr>
        <w:t xml:space="preserve">  </w:t>
      </w:r>
      <w:r>
        <w:rPr>
          <w:rFonts w:ascii="SimSun" w:hAnsi="SimSun" w:eastAsia="SimSun" w:cs="SimSun"/>
          <w:sz w:val="24"/>
          <w:szCs w:val="24"/>
          <w:spacing w:val="-1"/>
        </w:rPr>
        <w:t>噪声污染，对施工期间场界噪声限值要求执</w:t>
      </w:r>
      <w:r>
        <w:rPr>
          <w:rFonts w:ascii="SimSun" w:hAnsi="SimSun" w:eastAsia="SimSun" w:cs="SimSun"/>
          <w:sz w:val="24"/>
          <w:szCs w:val="24"/>
          <w:spacing w:val="-2"/>
        </w:rPr>
        <w:t>行《建筑施工场界环境噪声排放标准》</w:t>
      </w:r>
    </w:p>
    <w:p>
      <w:pPr>
        <w:pStyle w:val="BodyText"/>
        <w:spacing w:line="295" w:lineRule="auto"/>
        <w:rPr/>
      </w:pPr>
      <w:r/>
    </w:p>
    <w:p>
      <w:pPr>
        <w:ind w:left="7"/>
        <w:spacing w:before="62" w:line="227" w:lineRule="auto"/>
        <w:rPr>
          <w:rFonts w:ascii="SimSun" w:hAnsi="SimSun" w:eastAsia="SimSun" w:cs="SimSun"/>
          <w:sz w:val="19"/>
          <w:szCs w:val="19"/>
        </w:rPr>
      </w:pPr>
      <w:r>
        <w:pict>
          <v:shape id="_x0000_s1074" style="position:absolute;margin-left:159.33pt;margin-top:2.1072pt;mso-position-vertical-relative:text;mso-position-horizontal-relative:text;width:61pt;height:13.75pt;z-index:25218969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231</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40"/>
          <w:footerReference w:type="default" r:id="rId3"/>
          <w:pgSz w:w="11907" w:h="16840"/>
          <w:pgMar w:top="1567" w:right="1596" w:bottom="400" w:left="1701" w:header="1221" w:footer="0" w:gutter="0"/>
        </w:sectPr>
        <w:rPr>
          <w:rFonts w:ascii="SimSun" w:hAnsi="SimSun" w:eastAsia="SimSun" w:cs="SimSun"/>
          <w:sz w:val="19"/>
          <w:szCs w:val="19"/>
        </w:rPr>
      </w:pPr>
    </w:p>
    <w:p>
      <w:pPr>
        <w:ind w:left="26"/>
        <w:spacing w:before="168" w:line="220" w:lineRule="auto"/>
        <w:rPr>
          <w:rFonts w:ascii="SimSun" w:hAnsi="SimSun" w:eastAsia="SimSun" w:cs="SimSun"/>
          <w:sz w:val="24"/>
          <w:szCs w:val="24"/>
        </w:rPr>
      </w:pPr>
      <w:r>
        <w:pict>
          <v:shape id="_x0000_s1078" style="position:absolute;margin-left:85.05pt;margin-top:78.87pt;mso-position-vertical-relative:page;mso-position-horizontal-relative:page;width:425.25pt;height:0.75pt;z-index:252192768;" o:allowincell="f" fillcolor="#000000" filled="true" stroked="false" coordsize="8505,15" coordorigin="0,0" path="m,l8505,0l8505,14l0,14l0,0xe"/>
        </w:pict>
      </w:r>
      <w:r>
        <w:rPr>
          <w:rFonts w:ascii="SimSun" w:hAnsi="SimSun" w:eastAsia="SimSun" w:cs="SimSun"/>
          <w:sz w:val="24"/>
          <w:szCs w:val="24"/>
          <w:spacing w:val="-2"/>
        </w:rPr>
        <w:t>（</w:t>
      </w:r>
      <w:r>
        <w:rPr>
          <w:rFonts w:ascii="Times New Roman" w:hAnsi="Times New Roman" w:eastAsia="Times New Roman" w:cs="Times New Roman"/>
          <w:sz w:val="24"/>
          <w:szCs w:val="24"/>
          <w:spacing w:val="-2"/>
        </w:rPr>
        <w:t>GB12523-2012</w:t>
      </w:r>
      <w:r>
        <w:rPr>
          <w:rFonts w:ascii="SimSun" w:hAnsi="SimSun" w:eastAsia="SimSun" w:cs="SimSun"/>
          <w:sz w:val="24"/>
          <w:szCs w:val="24"/>
          <w:spacing w:val="-2"/>
        </w:rPr>
        <w:t>）相关规定。</w:t>
      </w:r>
    </w:p>
    <w:p>
      <w:pPr>
        <w:ind w:left="508"/>
        <w:spacing w:before="179"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）施工期噪声源</w:t>
      </w:r>
    </w:p>
    <w:p>
      <w:pPr>
        <w:ind w:left="19" w:right="3" w:firstLine="476"/>
        <w:spacing w:before="182" w:line="359" w:lineRule="auto"/>
        <w:rPr>
          <w:rFonts w:ascii="SimSun" w:hAnsi="SimSun" w:eastAsia="SimSun" w:cs="SimSun"/>
          <w:sz w:val="24"/>
          <w:szCs w:val="24"/>
        </w:rPr>
      </w:pPr>
      <w:r>
        <w:rPr>
          <w:rFonts w:ascii="SimSun" w:hAnsi="SimSun" w:eastAsia="SimSun" w:cs="SimSun"/>
          <w:sz w:val="24"/>
          <w:szCs w:val="24"/>
          <w:spacing w:val="3"/>
        </w:rPr>
        <w:t>施工期噪声主要是施工现场的各类机械设备噪声、物料运输过</w:t>
      </w:r>
      <w:r>
        <w:rPr>
          <w:rFonts w:ascii="SimSun" w:hAnsi="SimSun" w:eastAsia="SimSun" w:cs="SimSun"/>
          <w:sz w:val="24"/>
          <w:szCs w:val="24"/>
          <w:spacing w:val="2"/>
        </w:rPr>
        <w:t>程中的交通噪</w:t>
      </w:r>
      <w:r>
        <w:rPr>
          <w:rFonts w:ascii="SimSun" w:hAnsi="SimSun" w:eastAsia="SimSun" w:cs="SimSun"/>
          <w:sz w:val="24"/>
          <w:szCs w:val="24"/>
        </w:rPr>
        <w:t xml:space="preserve"> </w:t>
      </w:r>
      <w:r>
        <w:rPr>
          <w:rFonts w:ascii="SimSun" w:hAnsi="SimSun" w:eastAsia="SimSun" w:cs="SimSun"/>
          <w:sz w:val="24"/>
          <w:szCs w:val="24"/>
          <w:spacing w:val="-2"/>
        </w:rPr>
        <w:t>声及施工人员的人为噪声。</w:t>
      </w:r>
    </w:p>
    <w:p>
      <w:pPr>
        <w:ind w:left="14" w:right="62" w:firstLine="481"/>
        <w:spacing w:line="359" w:lineRule="auto"/>
        <w:rPr>
          <w:rFonts w:ascii="SimSun" w:hAnsi="SimSun" w:eastAsia="SimSun" w:cs="SimSun"/>
          <w:sz w:val="24"/>
          <w:szCs w:val="24"/>
        </w:rPr>
      </w:pPr>
      <w:r>
        <w:rPr>
          <w:rFonts w:ascii="SimSun" w:hAnsi="SimSun" w:eastAsia="SimSun" w:cs="SimSun"/>
          <w:sz w:val="24"/>
          <w:szCs w:val="24"/>
          <w:spacing w:val="1"/>
        </w:rPr>
        <w:t>施工过程中，需动用大量的车辆及施工机械，其噪声强度较大，声源较多，</w:t>
      </w:r>
      <w:r>
        <w:rPr>
          <w:rFonts w:ascii="SimSun" w:hAnsi="SimSun" w:eastAsia="SimSun" w:cs="SimSun"/>
          <w:sz w:val="24"/>
          <w:szCs w:val="24"/>
          <w:spacing w:val="2"/>
        </w:rPr>
        <w:t xml:space="preserve"> </w:t>
      </w:r>
      <w:r>
        <w:rPr>
          <w:rFonts w:ascii="SimSun" w:hAnsi="SimSun" w:eastAsia="SimSun" w:cs="SimSun"/>
          <w:sz w:val="24"/>
          <w:szCs w:val="24"/>
          <w:spacing w:val="-2"/>
        </w:rPr>
        <w:t>且又多位于室外。根据类比分析，施工期间的主要设备及其声源强度见表</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5.8-4</w:t>
      </w:r>
      <w:r>
        <w:rPr>
          <w:rFonts w:ascii="SimSun" w:hAnsi="SimSun" w:eastAsia="SimSun" w:cs="SimSun"/>
          <w:sz w:val="24"/>
          <w:szCs w:val="24"/>
          <w:spacing w:val="-2"/>
        </w:rPr>
        <w:t>。</w:t>
      </w:r>
    </w:p>
    <w:p>
      <w:pPr>
        <w:ind w:left="2840"/>
        <w:spacing w:before="1"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6"/>
        </w:rPr>
        <w:t xml:space="preserve"> </w:t>
      </w:r>
      <w:r>
        <w:rPr>
          <w:rFonts w:ascii="Times New Roman" w:hAnsi="Times New Roman" w:eastAsia="Times New Roman" w:cs="Times New Roman"/>
          <w:sz w:val="24"/>
          <w:szCs w:val="24"/>
          <w:b/>
          <w:bCs/>
          <w:spacing w:val="-2"/>
        </w:rPr>
        <w:t>5.8-4      </w:t>
      </w:r>
      <w:r>
        <w:rPr>
          <w:rFonts w:ascii="SimSun" w:hAnsi="SimSun" w:eastAsia="SimSun" w:cs="SimSun"/>
          <w:sz w:val="24"/>
          <w:szCs w:val="24"/>
          <w:b/>
          <w:bCs/>
          <w:spacing w:val="-2"/>
        </w:rPr>
        <w:t>施工设备源强值</w:t>
      </w:r>
    </w:p>
    <w:tbl>
      <w:tblPr>
        <w:tblStyle w:val="TableNormal"/>
        <w:tblW w:w="850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962"/>
        <w:gridCol w:w="2247"/>
        <w:gridCol w:w="2249"/>
        <w:gridCol w:w="2051"/>
      </w:tblGrid>
      <w:tr>
        <w:trPr>
          <w:trHeight w:val="281" w:hRule="atLeast"/>
        </w:trPr>
        <w:tc>
          <w:tcPr>
            <w:tcW w:w="1962" w:type="dxa"/>
            <w:vAlign w:val="top"/>
          </w:tcPr>
          <w:p>
            <w:pPr>
              <w:pStyle w:val="TableText"/>
              <w:ind w:left="571"/>
              <w:spacing w:before="34" w:line="218" w:lineRule="auto"/>
              <w:rPr/>
            </w:pPr>
            <w:r>
              <w:rPr>
                <w:spacing w:val="6"/>
              </w:rPr>
              <w:t>设备名称</w:t>
            </w:r>
          </w:p>
        </w:tc>
        <w:tc>
          <w:tcPr>
            <w:tcW w:w="2247" w:type="dxa"/>
            <w:vAlign w:val="top"/>
          </w:tcPr>
          <w:p>
            <w:pPr>
              <w:pStyle w:val="TableText"/>
              <w:ind w:left="422"/>
              <w:spacing w:before="34" w:line="218" w:lineRule="auto"/>
              <w:rPr>
                <w:rFonts w:ascii="Times New Roman" w:hAnsi="Times New Roman" w:eastAsia="Times New Roman" w:cs="Times New Roman"/>
              </w:rPr>
            </w:pPr>
            <w:r>
              <w:rPr>
                <w:spacing w:val="5"/>
              </w:rPr>
              <w:t>噪声强度</w:t>
            </w:r>
            <w:r>
              <w:rPr>
                <w:spacing w:val="-38"/>
              </w:rPr>
              <w:t xml:space="preserve"> </w:t>
            </w:r>
            <w:r>
              <w:rPr>
                <w:rFonts w:ascii="Times New Roman" w:hAnsi="Times New Roman" w:eastAsia="Times New Roman" w:cs="Times New Roman"/>
              </w:rPr>
              <w:t>dB</w:t>
            </w:r>
            <w:r>
              <w:rPr>
                <w:rFonts w:ascii="Times New Roman" w:hAnsi="Times New Roman" w:eastAsia="Times New Roman" w:cs="Times New Roman"/>
                <w:spacing w:val="5"/>
              </w:rPr>
              <w:t>(A)</w:t>
            </w:r>
          </w:p>
        </w:tc>
        <w:tc>
          <w:tcPr>
            <w:tcW w:w="2249" w:type="dxa"/>
            <w:vAlign w:val="top"/>
          </w:tcPr>
          <w:p>
            <w:pPr>
              <w:pStyle w:val="TableText"/>
              <w:ind w:left="713"/>
              <w:spacing w:before="34" w:line="218" w:lineRule="auto"/>
              <w:rPr/>
            </w:pPr>
            <w:r>
              <w:rPr>
                <w:spacing w:val="6"/>
              </w:rPr>
              <w:t>设备名称</w:t>
            </w:r>
          </w:p>
        </w:tc>
        <w:tc>
          <w:tcPr>
            <w:tcW w:w="2051" w:type="dxa"/>
            <w:vAlign w:val="top"/>
          </w:tcPr>
          <w:p>
            <w:pPr>
              <w:pStyle w:val="TableText"/>
              <w:ind w:left="325"/>
              <w:spacing w:before="34" w:line="218" w:lineRule="auto"/>
              <w:rPr>
                <w:rFonts w:ascii="Times New Roman" w:hAnsi="Times New Roman" w:eastAsia="Times New Roman" w:cs="Times New Roman"/>
              </w:rPr>
            </w:pPr>
            <w:r>
              <w:rPr>
                <w:spacing w:val="5"/>
              </w:rPr>
              <w:t>噪声强度</w:t>
            </w:r>
            <w:r>
              <w:rPr>
                <w:spacing w:val="-38"/>
              </w:rPr>
              <w:t xml:space="preserve"> </w:t>
            </w:r>
            <w:r>
              <w:rPr>
                <w:rFonts w:ascii="Times New Roman" w:hAnsi="Times New Roman" w:eastAsia="Times New Roman" w:cs="Times New Roman"/>
              </w:rPr>
              <w:t>dB</w:t>
            </w:r>
            <w:r>
              <w:rPr>
                <w:rFonts w:ascii="Times New Roman" w:hAnsi="Times New Roman" w:eastAsia="Times New Roman" w:cs="Times New Roman"/>
                <w:spacing w:val="5"/>
              </w:rPr>
              <w:t>(A)</w:t>
            </w:r>
          </w:p>
        </w:tc>
      </w:tr>
      <w:tr>
        <w:trPr>
          <w:trHeight w:val="276" w:hRule="atLeast"/>
        </w:trPr>
        <w:tc>
          <w:tcPr>
            <w:tcW w:w="1962" w:type="dxa"/>
            <w:vAlign w:val="top"/>
          </w:tcPr>
          <w:p>
            <w:pPr>
              <w:pStyle w:val="TableText"/>
              <w:ind w:left="357"/>
              <w:spacing w:before="31" w:line="216" w:lineRule="auto"/>
              <w:rPr/>
            </w:pPr>
            <w:r>
              <w:rPr>
                <w:spacing w:val="8"/>
              </w:rPr>
              <w:t>冲击式打桩机</w:t>
            </w:r>
          </w:p>
        </w:tc>
        <w:tc>
          <w:tcPr>
            <w:tcW w:w="2247" w:type="dxa"/>
            <w:vAlign w:val="top"/>
          </w:tcPr>
          <w:p>
            <w:pPr>
              <w:ind w:left="986"/>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110</w:t>
            </w:r>
          </w:p>
        </w:tc>
        <w:tc>
          <w:tcPr>
            <w:tcW w:w="2249" w:type="dxa"/>
            <w:vAlign w:val="top"/>
          </w:tcPr>
          <w:p>
            <w:pPr>
              <w:pStyle w:val="TableText"/>
              <w:ind w:left="709"/>
              <w:spacing w:before="31" w:line="216" w:lineRule="auto"/>
              <w:rPr/>
            </w:pPr>
            <w:r>
              <w:rPr>
                <w:spacing w:val="7"/>
              </w:rPr>
              <w:t>轮式载机</w:t>
            </w:r>
          </w:p>
        </w:tc>
        <w:tc>
          <w:tcPr>
            <w:tcW w:w="2051" w:type="dxa"/>
            <w:vAlign w:val="top"/>
          </w:tcPr>
          <w:p>
            <w:pPr>
              <w:ind w:left="925"/>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98</w:t>
            </w:r>
          </w:p>
        </w:tc>
      </w:tr>
      <w:tr>
        <w:trPr>
          <w:trHeight w:val="277" w:hRule="atLeast"/>
        </w:trPr>
        <w:tc>
          <w:tcPr>
            <w:tcW w:w="1962" w:type="dxa"/>
            <w:vAlign w:val="top"/>
          </w:tcPr>
          <w:p>
            <w:pPr>
              <w:pStyle w:val="TableText"/>
              <w:ind w:left="359"/>
              <w:spacing w:before="31" w:line="217" w:lineRule="auto"/>
              <w:rPr/>
            </w:pPr>
            <w:r>
              <w:rPr>
                <w:spacing w:val="7"/>
              </w:rPr>
              <w:t>混凝土搅拌机</w:t>
            </w:r>
          </w:p>
        </w:tc>
        <w:tc>
          <w:tcPr>
            <w:tcW w:w="2247" w:type="dxa"/>
            <w:vAlign w:val="top"/>
          </w:tcPr>
          <w:p>
            <w:pPr>
              <w:ind w:left="986"/>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101</w:t>
            </w:r>
          </w:p>
        </w:tc>
        <w:tc>
          <w:tcPr>
            <w:tcW w:w="2249" w:type="dxa"/>
            <w:vAlign w:val="top"/>
          </w:tcPr>
          <w:p>
            <w:pPr>
              <w:pStyle w:val="TableText"/>
              <w:ind w:left="289"/>
              <w:spacing w:before="31" w:line="217" w:lineRule="auto"/>
              <w:rPr/>
            </w:pPr>
            <w:r>
              <w:rPr>
                <w:spacing w:val="8"/>
              </w:rPr>
              <w:t>轮胎式液压挖掘机</w:t>
            </w:r>
          </w:p>
        </w:tc>
        <w:tc>
          <w:tcPr>
            <w:tcW w:w="2051" w:type="dxa"/>
            <w:vAlign w:val="top"/>
          </w:tcPr>
          <w:p>
            <w:pPr>
              <w:ind w:left="925"/>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96</w:t>
            </w:r>
          </w:p>
        </w:tc>
      </w:tr>
      <w:tr>
        <w:trPr>
          <w:trHeight w:val="276" w:hRule="atLeast"/>
        </w:trPr>
        <w:tc>
          <w:tcPr>
            <w:tcW w:w="1962" w:type="dxa"/>
            <w:vAlign w:val="top"/>
          </w:tcPr>
          <w:p>
            <w:pPr>
              <w:pStyle w:val="TableText"/>
              <w:ind w:left="570"/>
              <w:spacing w:before="33" w:line="215" w:lineRule="auto"/>
              <w:rPr/>
            </w:pPr>
            <w:r>
              <w:rPr>
                <w:spacing w:val="6"/>
              </w:rPr>
              <w:t>混凝土泵</w:t>
            </w:r>
          </w:p>
        </w:tc>
        <w:tc>
          <w:tcPr>
            <w:tcW w:w="2247" w:type="dxa"/>
            <w:vAlign w:val="top"/>
          </w:tcPr>
          <w:p>
            <w:pPr>
              <w:ind w:left="102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96</w:t>
            </w:r>
          </w:p>
        </w:tc>
        <w:tc>
          <w:tcPr>
            <w:tcW w:w="2249" w:type="dxa"/>
            <w:vAlign w:val="top"/>
          </w:tcPr>
          <w:p>
            <w:pPr>
              <w:pStyle w:val="TableText"/>
              <w:ind w:left="814"/>
              <w:spacing w:before="33" w:line="215" w:lineRule="auto"/>
              <w:rPr/>
            </w:pPr>
            <w:r>
              <w:rPr>
                <w:spacing w:val="7"/>
              </w:rPr>
              <w:t>平地机</w:t>
            </w:r>
          </w:p>
        </w:tc>
        <w:tc>
          <w:tcPr>
            <w:tcW w:w="2051" w:type="dxa"/>
            <w:vAlign w:val="top"/>
          </w:tcPr>
          <w:p>
            <w:pPr>
              <w:ind w:left="92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93</w:t>
            </w:r>
          </w:p>
        </w:tc>
      </w:tr>
      <w:tr>
        <w:trPr>
          <w:trHeight w:val="276" w:hRule="atLeast"/>
        </w:trPr>
        <w:tc>
          <w:tcPr>
            <w:tcW w:w="1962" w:type="dxa"/>
            <w:vAlign w:val="top"/>
          </w:tcPr>
          <w:p>
            <w:pPr>
              <w:pStyle w:val="TableText"/>
              <w:ind w:left="359"/>
              <w:spacing w:before="33" w:line="215" w:lineRule="auto"/>
              <w:rPr/>
            </w:pPr>
            <w:r>
              <w:rPr>
                <w:spacing w:val="7"/>
              </w:rPr>
              <w:t>混凝土振捣机</w:t>
            </w:r>
          </w:p>
        </w:tc>
        <w:tc>
          <w:tcPr>
            <w:tcW w:w="2247" w:type="dxa"/>
            <w:vAlign w:val="top"/>
          </w:tcPr>
          <w:p>
            <w:pPr>
              <w:ind w:left="102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95</w:t>
            </w:r>
          </w:p>
        </w:tc>
        <w:tc>
          <w:tcPr>
            <w:tcW w:w="2249" w:type="dxa"/>
            <w:vAlign w:val="top"/>
          </w:tcPr>
          <w:p>
            <w:pPr>
              <w:pStyle w:val="TableText"/>
              <w:ind w:left="815"/>
              <w:spacing w:before="33" w:line="215" w:lineRule="auto"/>
              <w:rPr/>
            </w:pPr>
            <w:r>
              <w:rPr>
                <w:spacing w:val="6"/>
              </w:rPr>
              <w:t>推土机</w:t>
            </w:r>
          </w:p>
        </w:tc>
        <w:tc>
          <w:tcPr>
            <w:tcW w:w="2051" w:type="dxa"/>
            <w:vAlign w:val="top"/>
          </w:tcPr>
          <w:p>
            <w:pPr>
              <w:ind w:left="92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98</w:t>
            </w:r>
          </w:p>
        </w:tc>
      </w:tr>
      <w:tr>
        <w:trPr>
          <w:trHeight w:val="282" w:hRule="atLeast"/>
        </w:trPr>
        <w:tc>
          <w:tcPr>
            <w:tcW w:w="1962" w:type="dxa"/>
            <w:vAlign w:val="top"/>
          </w:tcPr>
          <w:p>
            <w:pPr>
              <w:pStyle w:val="TableText"/>
              <w:ind w:left="461"/>
              <w:spacing w:before="35" w:line="218" w:lineRule="auto"/>
              <w:rPr/>
            </w:pPr>
            <w:r>
              <w:rPr>
                <w:spacing w:val="8"/>
              </w:rPr>
              <w:t>振动压路机</w:t>
            </w:r>
          </w:p>
        </w:tc>
        <w:tc>
          <w:tcPr>
            <w:tcW w:w="2247" w:type="dxa"/>
            <w:vAlign w:val="top"/>
          </w:tcPr>
          <w:p>
            <w:pPr>
              <w:ind w:left="102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95</w:t>
            </w:r>
          </w:p>
        </w:tc>
        <w:tc>
          <w:tcPr>
            <w:tcW w:w="2249" w:type="dxa"/>
            <w:vAlign w:val="top"/>
          </w:tcPr>
          <w:p>
            <w:pPr>
              <w:rPr>
                <w:rFonts w:ascii="Arial"/>
                <w:sz w:val="21"/>
              </w:rPr>
            </w:pPr>
            <w:r/>
          </w:p>
        </w:tc>
        <w:tc>
          <w:tcPr>
            <w:tcW w:w="2051" w:type="dxa"/>
            <w:vAlign w:val="top"/>
          </w:tcPr>
          <w:p>
            <w:pPr>
              <w:rPr>
                <w:rFonts w:ascii="Arial"/>
                <w:sz w:val="21"/>
              </w:rPr>
            </w:pPr>
            <w:r/>
          </w:p>
        </w:tc>
      </w:tr>
    </w:tbl>
    <w:p>
      <w:pPr>
        <w:ind w:left="14" w:right="3" w:firstLine="481"/>
        <w:spacing w:before="35" w:line="359" w:lineRule="auto"/>
        <w:rPr>
          <w:rFonts w:ascii="SimSun" w:hAnsi="SimSun" w:eastAsia="SimSun" w:cs="SimSun"/>
          <w:sz w:val="24"/>
          <w:szCs w:val="24"/>
        </w:rPr>
      </w:pPr>
      <w:r>
        <w:rPr>
          <w:rFonts w:ascii="SimSun" w:hAnsi="SimSun" w:eastAsia="SimSun" w:cs="SimSun"/>
          <w:sz w:val="24"/>
          <w:szCs w:val="24"/>
          <w:spacing w:val="3"/>
        </w:rPr>
        <w:t>施工期各种噪声源多为点源，按点声源衰减模式计算施工机械</w:t>
      </w:r>
      <w:r>
        <w:rPr>
          <w:rFonts w:ascii="SimSun" w:hAnsi="SimSun" w:eastAsia="SimSun" w:cs="SimSun"/>
          <w:sz w:val="24"/>
          <w:szCs w:val="24"/>
          <w:spacing w:val="2"/>
        </w:rPr>
        <w:t>噪声的距离衰</w:t>
      </w:r>
      <w:r>
        <w:rPr>
          <w:rFonts w:ascii="SimSun" w:hAnsi="SimSun" w:eastAsia="SimSun" w:cs="SimSun"/>
          <w:sz w:val="24"/>
          <w:szCs w:val="24"/>
        </w:rPr>
        <w:t xml:space="preserve"> </w:t>
      </w:r>
      <w:r>
        <w:rPr>
          <w:rFonts w:ascii="SimSun" w:hAnsi="SimSun" w:eastAsia="SimSun" w:cs="SimSun"/>
          <w:sz w:val="24"/>
          <w:szCs w:val="24"/>
          <w:spacing w:val="-2"/>
        </w:rPr>
        <w:t>减，预测结果见表</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5.8-5</w:t>
      </w:r>
      <w:r>
        <w:rPr>
          <w:rFonts w:ascii="SimSun" w:hAnsi="SimSun" w:eastAsia="SimSun" w:cs="SimSun"/>
          <w:sz w:val="24"/>
          <w:szCs w:val="24"/>
          <w:spacing w:val="-2"/>
        </w:rPr>
        <w:t>。</w:t>
      </w:r>
    </w:p>
    <w:p>
      <w:pPr>
        <w:ind w:left="1806"/>
        <w:spacing w:line="212" w:lineRule="auto"/>
        <w:rPr>
          <w:rFonts w:ascii="Times New Roman" w:hAnsi="Times New Roman" w:eastAsia="Times New Roman" w:cs="Times New Roman"/>
          <w:sz w:val="24"/>
          <w:szCs w:val="24"/>
        </w:rPr>
      </w:pPr>
      <w:r>
        <w:rPr>
          <w:rFonts w:ascii="SimSun" w:hAnsi="SimSun" w:eastAsia="SimSun" w:cs="SimSun"/>
          <w:sz w:val="24"/>
          <w:szCs w:val="24"/>
          <w:b/>
          <w:bCs/>
          <w:spacing w:val="-1"/>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1"/>
        </w:rPr>
        <w:t>5.8-5      </w:t>
      </w:r>
      <w:r>
        <w:rPr>
          <w:rFonts w:ascii="SimSun" w:hAnsi="SimSun" w:eastAsia="SimSun" w:cs="SimSun"/>
          <w:sz w:val="24"/>
          <w:szCs w:val="24"/>
          <w:b/>
          <w:bCs/>
          <w:spacing w:val="-1"/>
        </w:rPr>
        <w:t>施工噪声预测结果</w:t>
      </w:r>
      <w:r>
        <w:rPr>
          <w:rFonts w:ascii="SimSun" w:hAnsi="SimSun" w:eastAsia="SimSun" w:cs="SimSun"/>
          <w:sz w:val="24"/>
          <w:szCs w:val="24"/>
          <w:spacing w:val="-1"/>
        </w:rPr>
        <w:t xml:space="preserve">    </w:t>
      </w:r>
      <w:r>
        <w:rPr>
          <w:rFonts w:ascii="SimSun" w:hAnsi="SimSun" w:eastAsia="SimSun" w:cs="SimSun"/>
          <w:sz w:val="24"/>
          <w:szCs w:val="24"/>
          <w:b/>
          <w:bCs/>
          <w:spacing w:val="-1"/>
        </w:rPr>
        <w:t>单位：</w:t>
      </w:r>
      <w:r>
        <w:rPr>
          <w:rFonts w:ascii="Times New Roman" w:hAnsi="Times New Roman" w:eastAsia="Times New Roman" w:cs="Times New Roman"/>
          <w:sz w:val="24"/>
          <w:szCs w:val="24"/>
          <w:b/>
          <w:bCs/>
          <w:spacing w:val="-1"/>
        </w:rPr>
        <w:t>d</w:t>
      </w:r>
      <w:r>
        <w:rPr>
          <w:rFonts w:ascii="Times New Roman" w:hAnsi="Times New Roman" w:eastAsia="Times New Roman" w:cs="Times New Roman"/>
          <w:sz w:val="24"/>
          <w:szCs w:val="24"/>
          <w:b/>
          <w:bCs/>
          <w:spacing w:val="-2"/>
        </w:rPr>
        <w:t>B(A)</w:t>
      </w:r>
    </w:p>
    <w:tbl>
      <w:tblPr>
        <w:tblStyle w:val="TableNormal"/>
        <w:tblW w:w="850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46"/>
        <w:gridCol w:w="826"/>
        <w:gridCol w:w="1817"/>
        <w:gridCol w:w="651"/>
        <w:gridCol w:w="754"/>
        <w:gridCol w:w="750"/>
        <w:gridCol w:w="752"/>
        <w:gridCol w:w="756"/>
        <w:gridCol w:w="752"/>
        <w:gridCol w:w="805"/>
      </w:tblGrid>
      <w:tr>
        <w:trPr>
          <w:trHeight w:val="281" w:hRule="atLeast"/>
        </w:trPr>
        <w:tc>
          <w:tcPr>
            <w:tcW w:w="646" w:type="dxa"/>
            <w:vAlign w:val="top"/>
            <w:vMerge w:val="restart"/>
            <w:tcBorders>
              <w:bottom w:val="nil"/>
            </w:tcBorders>
          </w:tcPr>
          <w:p>
            <w:pPr>
              <w:pStyle w:val="TableText"/>
              <w:ind w:left="118"/>
              <w:spacing w:before="175" w:line="229" w:lineRule="auto"/>
              <w:rPr/>
            </w:pPr>
            <w:r>
              <w:rPr>
                <w:spacing w:val="5"/>
              </w:rPr>
              <w:t>序号</w:t>
            </w:r>
          </w:p>
        </w:tc>
        <w:tc>
          <w:tcPr>
            <w:tcW w:w="826" w:type="dxa"/>
            <w:vAlign w:val="top"/>
            <w:vMerge w:val="restart"/>
            <w:tcBorders>
              <w:bottom w:val="nil"/>
            </w:tcBorders>
          </w:tcPr>
          <w:p>
            <w:pPr>
              <w:pStyle w:val="TableText"/>
              <w:ind w:left="206"/>
              <w:spacing w:before="37" w:line="231" w:lineRule="auto"/>
              <w:rPr/>
            </w:pPr>
            <w:r>
              <w:rPr>
                <w:spacing w:val="5"/>
              </w:rPr>
              <w:t>施工</w:t>
            </w:r>
          </w:p>
          <w:p>
            <w:pPr>
              <w:pStyle w:val="TableText"/>
              <w:ind w:left="216"/>
              <w:spacing w:before="23" w:line="223" w:lineRule="auto"/>
              <w:rPr/>
            </w:pPr>
            <w:r>
              <w:rPr/>
              <w:t>阶段</w:t>
            </w:r>
          </w:p>
        </w:tc>
        <w:tc>
          <w:tcPr>
            <w:tcW w:w="1817" w:type="dxa"/>
            <w:vAlign w:val="top"/>
            <w:vMerge w:val="restart"/>
            <w:tcBorders>
              <w:bottom w:val="nil"/>
            </w:tcBorders>
          </w:tcPr>
          <w:p>
            <w:pPr>
              <w:pStyle w:val="TableText"/>
              <w:ind w:left="498"/>
              <w:spacing w:before="175" w:line="229" w:lineRule="auto"/>
              <w:rPr/>
            </w:pPr>
            <w:r>
              <w:rPr>
                <w:spacing w:val="6"/>
              </w:rPr>
              <w:t>设备名称</w:t>
            </w:r>
          </w:p>
        </w:tc>
        <w:tc>
          <w:tcPr>
            <w:tcW w:w="3663" w:type="dxa"/>
            <w:vAlign w:val="top"/>
            <w:gridSpan w:val="5"/>
          </w:tcPr>
          <w:p>
            <w:pPr>
              <w:pStyle w:val="TableText"/>
              <w:ind w:left="1024"/>
              <w:spacing w:before="35" w:line="217" w:lineRule="auto"/>
              <w:rPr/>
            </w:pPr>
            <w:r>
              <w:rPr>
                <w:spacing w:val="7"/>
              </w:rPr>
              <w:t>预测点距离（</w:t>
            </w:r>
            <w:r>
              <w:rPr>
                <w:rFonts w:ascii="Times New Roman" w:hAnsi="Times New Roman" w:eastAsia="Times New Roman" w:cs="Times New Roman"/>
                <w:spacing w:val="7"/>
              </w:rPr>
              <w:t>m</w:t>
            </w:r>
            <w:r>
              <w:rPr>
                <w:spacing w:val="7"/>
              </w:rPr>
              <w:t>）</w:t>
            </w:r>
          </w:p>
        </w:tc>
        <w:tc>
          <w:tcPr>
            <w:tcW w:w="1557" w:type="dxa"/>
            <w:vAlign w:val="top"/>
            <w:gridSpan w:val="2"/>
          </w:tcPr>
          <w:p>
            <w:pPr>
              <w:pStyle w:val="TableText"/>
              <w:ind w:left="70"/>
              <w:spacing w:before="35" w:line="217" w:lineRule="auto"/>
              <w:rPr/>
            </w:pPr>
            <w:r>
              <w:rPr>
                <w:spacing w:val="7"/>
              </w:rPr>
              <w:t>达标距离（</w:t>
            </w:r>
            <w:r>
              <w:rPr>
                <w:rFonts w:ascii="Times New Roman" w:hAnsi="Times New Roman" w:eastAsia="Times New Roman" w:cs="Times New Roman"/>
                <w:spacing w:val="7"/>
              </w:rPr>
              <w:t>m</w:t>
            </w:r>
            <w:r>
              <w:rPr>
                <w:spacing w:val="7"/>
              </w:rPr>
              <w:t>）</w:t>
            </w:r>
          </w:p>
        </w:tc>
      </w:tr>
      <w:tr>
        <w:trPr>
          <w:trHeight w:val="277" w:hRule="atLeast"/>
        </w:trPr>
        <w:tc>
          <w:tcPr>
            <w:tcW w:w="646" w:type="dxa"/>
            <w:vAlign w:val="top"/>
            <w:vMerge w:val="continue"/>
            <w:tcBorders>
              <w:top w:val="nil"/>
            </w:tcBorders>
          </w:tcPr>
          <w:p>
            <w:pPr>
              <w:rPr>
                <w:rFonts w:ascii="Arial"/>
                <w:sz w:val="21"/>
              </w:rPr>
            </w:pPr>
            <w:r/>
          </w:p>
        </w:tc>
        <w:tc>
          <w:tcPr>
            <w:tcW w:w="826" w:type="dxa"/>
            <w:vAlign w:val="top"/>
            <w:vMerge w:val="continue"/>
            <w:tcBorders>
              <w:top w:val="nil"/>
            </w:tcBorders>
          </w:tcPr>
          <w:p>
            <w:pPr>
              <w:rPr>
                <w:rFonts w:ascii="Arial"/>
                <w:sz w:val="21"/>
              </w:rPr>
            </w:pPr>
            <w:r/>
          </w:p>
        </w:tc>
        <w:tc>
          <w:tcPr>
            <w:tcW w:w="1817" w:type="dxa"/>
            <w:vAlign w:val="top"/>
            <w:vMerge w:val="continue"/>
            <w:tcBorders>
              <w:top w:val="nil"/>
            </w:tcBorders>
          </w:tcPr>
          <w:p>
            <w:pPr>
              <w:rPr>
                <w:rFonts w:ascii="Arial"/>
                <w:sz w:val="21"/>
              </w:rPr>
            </w:pPr>
            <w:r/>
          </w:p>
        </w:tc>
        <w:tc>
          <w:tcPr>
            <w:tcW w:w="651" w:type="dxa"/>
            <w:vAlign w:val="top"/>
          </w:tcPr>
          <w:p>
            <w:pPr>
              <w:ind w:left="280"/>
              <w:spacing w:before="6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754" w:type="dxa"/>
            <w:vAlign w:val="top"/>
          </w:tcPr>
          <w:p>
            <w:pPr>
              <w:ind w:left="294"/>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750" w:type="dxa"/>
            <w:vAlign w:val="top"/>
          </w:tcPr>
          <w:p>
            <w:pPr>
              <w:ind w:left="273"/>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752" w:type="dxa"/>
            <w:vAlign w:val="top"/>
          </w:tcPr>
          <w:p>
            <w:pPr>
              <w:ind w:left="280"/>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756" w:type="dxa"/>
            <w:vAlign w:val="top"/>
          </w:tcPr>
          <w:p>
            <w:pPr>
              <w:ind w:left="244"/>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100</w:t>
            </w:r>
          </w:p>
        </w:tc>
        <w:tc>
          <w:tcPr>
            <w:tcW w:w="752" w:type="dxa"/>
            <w:vAlign w:val="top"/>
          </w:tcPr>
          <w:p>
            <w:pPr>
              <w:pStyle w:val="TableText"/>
              <w:ind w:left="174"/>
              <w:spacing w:before="30" w:line="218" w:lineRule="auto"/>
              <w:rPr/>
            </w:pPr>
            <w:r>
              <w:rPr>
                <w:spacing w:val="5"/>
              </w:rPr>
              <w:t>昼间</w:t>
            </w:r>
          </w:p>
        </w:tc>
        <w:tc>
          <w:tcPr>
            <w:tcW w:w="805" w:type="dxa"/>
            <w:vAlign w:val="top"/>
          </w:tcPr>
          <w:p>
            <w:pPr>
              <w:pStyle w:val="TableText"/>
              <w:ind w:left="201"/>
              <w:spacing w:before="30" w:line="218" w:lineRule="auto"/>
              <w:rPr/>
            </w:pPr>
            <w:r>
              <w:rPr>
                <w:spacing w:val="3"/>
              </w:rPr>
              <w:t>夜间</w:t>
            </w:r>
          </w:p>
        </w:tc>
      </w:tr>
      <w:tr>
        <w:trPr>
          <w:trHeight w:val="277" w:hRule="atLeast"/>
        </w:trPr>
        <w:tc>
          <w:tcPr>
            <w:tcW w:w="646" w:type="dxa"/>
            <w:vAlign w:val="top"/>
          </w:tcPr>
          <w:p>
            <w:pPr>
              <w:ind w:left="291"/>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26" w:type="dxa"/>
            <w:vAlign w:val="top"/>
          </w:tcPr>
          <w:p>
            <w:pPr>
              <w:pStyle w:val="TableText"/>
              <w:ind w:left="210"/>
              <w:spacing w:before="31" w:line="217" w:lineRule="auto"/>
              <w:rPr/>
            </w:pPr>
            <w:r>
              <w:rPr>
                <w:spacing w:val="3"/>
              </w:rPr>
              <w:t>打桩</w:t>
            </w:r>
          </w:p>
        </w:tc>
        <w:tc>
          <w:tcPr>
            <w:tcW w:w="1817" w:type="dxa"/>
            <w:vAlign w:val="top"/>
          </w:tcPr>
          <w:p>
            <w:pPr>
              <w:pStyle w:val="TableText"/>
              <w:ind w:left="284"/>
              <w:spacing w:before="31" w:line="217" w:lineRule="auto"/>
              <w:rPr/>
            </w:pPr>
            <w:r>
              <w:rPr>
                <w:spacing w:val="8"/>
              </w:rPr>
              <w:t>冲击式打桩机</w:t>
            </w:r>
          </w:p>
        </w:tc>
        <w:tc>
          <w:tcPr>
            <w:tcW w:w="651" w:type="dxa"/>
            <w:vAlign w:val="top"/>
          </w:tcPr>
          <w:p>
            <w:pPr>
              <w:ind w:left="226"/>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96</w:t>
            </w:r>
          </w:p>
        </w:tc>
        <w:tc>
          <w:tcPr>
            <w:tcW w:w="754" w:type="dxa"/>
            <w:vAlign w:val="top"/>
          </w:tcPr>
          <w:p>
            <w:pPr>
              <w:ind w:left="278"/>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90</w:t>
            </w:r>
          </w:p>
        </w:tc>
        <w:tc>
          <w:tcPr>
            <w:tcW w:w="750" w:type="dxa"/>
            <w:vAlign w:val="top"/>
          </w:tcPr>
          <w:p>
            <w:pPr>
              <w:ind w:left="282"/>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84</w:t>
            </w:r>
          </w:p>
        </w:tc>
        <w:tc>
          <w:tcPr>
            <w:tcW w:w="752" w:type="dxa"/>
            <w:vAlign w:val="top"/>
          </w:tcPr>
          <w:p>
            <w:pPr>
              <w:ind w:left="278"/>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76</w:t>
            </w:r>
          </w:p>
        </w:tc>
        <w:tc>
          <w:tcPr>
            <w:tcW w:w="756" w:type="dxa"/>
            <w:vAlign w:val="top"/>
          </w:tcPr>
          <w:p>
            <w:pPr>
              <w:ind w:left="280"/>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70</w:t>
            </w:r>
          </w:p>
        </w:tc>
        <w:tc>
          <w:tcPr>
            <w:tcW w:w="752" w:type="dxa"/>
            <w:vAlign w:val="top"/>
          </w:tcPr>
          <w:p>
            <w:pPr>
              <w:ind w:left="241"/>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100</w:t>
            </w:r>
          </w:p>
        </w:tc>
        <w:tc>
          <w:tcPr>
            <w:tcW w:w="805" w:type="dxa"/>
            <w:vAlign w:val="top"/>
          </w:tcPr>
          <w:p>
            <w:pPr>
              <w:ind w:left="252"/>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560</w:t>
            </w:r>
          </w:p>
        </w:tc>
      </w:tr>
      <w:tr>
        <w:trPr>
          <w:trHeight w:val="276" w:hRule="atLeast"/>
        </w:trPr>
        <w:tc>
          <w:tcPr>
            <w:tcW w:w="646" w:type="dxa"/>
            <w:vAlign w:val="top"/>
          </w:tcPr>
          <w:p>
            <w:pPr>
              <w:ind w:left="27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826" w:type="dxa"/>
            <w:vAlign w:val="top"/>
            <w:vMerge w:val="restart"/>
            <w:tcBorders>
              <w:bottom w:val="nil"/>
            </w:tcBorders>
          </w:tcPr>
          <w:p>
            <w:pPr>
              <w:spacing w:line="247" w:lineRule="auto"/>
              <w:rPr>
                <w:rFonts w:ascii="Arial"/>
                <w:sz w:val="21"/>
              </w:rPr>
            </w:pPr>
            <w:r/>
          </w:p>
          <w:p>
            <w:pPr>
              <w:pStyle w:val="TableText"/>
              <w:ind w:left="212"/>
              <w:spacing w:before="65" w:line="228" w:lineRule="auto"/>
              <w:rPr/>
            </w:pPr>
            <w:r>
              <w:rPr>
                <w:spacing w:val="2"/>
              </w:rPr>
              <w:t>结构</w:t>
            </w:r>
          </w:p>
        </w:tc>
        <w:tc>
          <w:tcPr>
            <w:tcW w:w="1817" w:type="dxa"/>
            <w:vAlign w:val="top"/>
          </w:tcPr>
          <w:p>
            <w:pPr>
              <w:pStyle w:val="TableText"/>
              <w:ind w:left="286"/>
              <w:spacing w:before="33" w:line="215" w:lineRule="auto"/>
              <w:rPr/>
            </w:pPr>
            <w:r>
              <w:rPr>
                <w:spacing w:val="7"/>
              </w:rPr>
              <w:t>混凝土搅拌机</w:t>
            </w:r>
          </w:p>
        </w:tc>
        <w:tc>
          <w:tcPr>
            <w:tcW w:w="651" w:type="dxa"/>
            <w:vAlign w:val="top"/>
          </w:tcPr>
          <w:p>
            <w:pPr>
              <w:ind w:left="230"/>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87</w:t>
            </w:r>
          </w:p>
        </w:tc>
        <w:tc>
          <w:tcPr>
            <w:tcW w:w="754" w:type="dxa"/>
            <w:vAlign w:val="top"/>
          </w:tcPr>
          <w:p>
            <w:pPr>
              <w:ind w:left="28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81</w:t>
            </w:r>
          </w:p>
        </w:tc>
        <w:tc>
          <w:tcPr>
            <w:tcW w:w="750" w:type="dxa"/>
            <w:vAlign w:val="top"/>
          </w:tcPr>
          <w:p>
            <w:pPr>
              <w:ind w:left="277"/>
              <w:spacing w:before="7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75</w:t>
            </w:r>
          </w:p>
        </w:tc>
        <w:tc>
          <w:tcPr>
            <w:tcW w:w="752" w:type="dxa"/>
            <w:vAlign w:val="top"/>
          </w:tcPr>
          <w:p>
            <w:pPr>
              <w:ind w:left="279"/>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67</w:t>
            </w:r>
          </w:p>
        </w:tc>
        <w:tc>
          <w:tcPr>
            <w:tcW w:w="756" w:type="dxa"/>
            <w:vAlign w:val="top"/>
          </w:tcPr>
          <w:p>
            <w:pPr>
              <w:ind w:left="281"/>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61</w:t>
            </w:r>
          </w:p>
        </w:tc>
        <w:tc>
          <w:tcPr>
            <w:tcW w:w="752" w:type="dxa"/>
            <w:vAlign w:val="top"/>
          </w:tcPr>
          <w:p>
            <w:pPr>
              <w:ind w:left="278"/>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35</w:t>
            </w:r>
          </w:p>
        </w:tc>
        <w:tc>
          <w:tcPr>
            <w:tcW w:w="805" w:type="dxa"/>
            <w:vAlign w:val="top"/>
          </w:tcPr>
          <w:p>
            <w:pPr>
              <w:ind w:left="24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200</w:t>
            </w:r>
          </w:p>
        </w:tc>
      </w:tr>
      <w:tr>
        <w:trPr>
          <w:trHeight w:val="277" w:hRule="atLeast"/>
        </w:trPr>
        <w:tc>
          <w:tcPr>
            <w:tcW w:w="646" w:type="dxa"/>
            <w:vAlign w:val="top"/>
          </w:tcPr>
          <w:p>
            <w:pPr>
              <w:ind w:left="275"/>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826" w:type="dxa"/>
            <w:vAlign w:val="top"/>
            <w:vMerge w:val="continue"/>
            <w:tcBorders>
              <w:top w:val="nil"/>
              <w:bottom w:val="nil"/>
            </w:tcBorders>
          </w:tcPr>
          <w:p>
            <w:pPr>
              <w:rPr>
                <w:rFonts w:ascii="Arial"/>
                <w:sz w:val="21"/>
              </w:rPr>
            </w:pPr>
            <w:r/>
          </w:p>
        </w:tc>
        <w:tc>
          <w:tcPr>
            <w:tcW w:w="1817" w:type="dxa"/>
            <w:vAlign w:val="top"/>
          </w:tcPr>
          <w:p>
            <w:pPr>
              <w:pStyle w:val="TableText"/>
              <w:ind w:left="497"/>
              <w:spacing w:before="33" w:line="216" w:lineRule="auto"/>
              <w:rPr/>
            </w:pPr>
            <w:r>
              <w:rPr>
                <w:spacing w:val="6"/>
              </w:rPr>
              <w:t>混凝土泵</w:t>
            </w:r>
          </w:p>
        </w:tc>
        <w:tc>
          <w:tcPr>
            <w:tcW w:w="651" w:type="dxa"/>
            <w:vAlign w:val="top"/>
          </w:tcPr>
          <w:p>
            <w:pPr>
              <w:ind w:left="230"/>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82</w:t>
            </w:r>
          </w:p>
        </w:tc>
        <w:tc>
          <w:tcPr>
            <w:tcW w:w="754" w:type="dxa"/>
            <w:vAlign w:val="top"/>
          </w:tcPr>
          <w:p>
            <w:pPr>
              <w:ind w:left="27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76</w:t>
            </w:r>
          </w:p>
        </w:tc>
        <w:tc>
          <w:tcPr>
            <w:tcW w:w="750" w:type="dxa"/>
            <w:vAlign w:val="top"/>
          </w:tcPr>
          <w:p>
            <w:pPr>
              <w:ind w:left="27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70</w:t>
            </w:r>
          </w:p>
        </w:tc>
        <w:tc>
          <w:tcPr>
            <w:tcW w:w="752" w:type="dxa"/>
            <w:vAlign w:val="top"/>
          </w:tcPr>
          <w:p>
            <w:pPr>
              <w:ind w:left="279"/>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62</w:t>
            </w:r>
          </w:p>
        </w:tc>
        <w:tc>
          <w:tcPr>
            <w:tcW w:w="756" w:type="dxa"/>
            <w:vAlign w:val="top"/>
          </w:tcPr>
          <w:p>
            <w:pPr>
              <w:ind w:left="28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56</w:t>
            </w:r>
          </w:p>
        </w:tc>
        <w:tc>
          <w:tcPr>
            <w:tcW w:w="752" w:type="dxa"/>
            <w:vAlign w:val="top"/>
          </w:tcPr>
          <w:p>
            <w:pPr>
              <w:ind w:left="215"/>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19.5</w:t>
            </w:r>
          </w:p>
        </w:tc>
        <w:tc>
          <w:tcPr>
            <w:tcW w:w="805" w:type="dxa"/>
            <w:vAlign w:val="top"/>
          </w:tcPr>
          <w:p>
            <w:pPr>
              <w:ind w:left="26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110</w:t>
            </w:r>
          </w:p>
        </w:tc>
      </w:tr>
      <w:tr>
        <w:trPr>
          <w:trHeight w:val="277" w:hRule="atLeast"/>
        </w:trPr>
        <w:tc>
          <w:tcPr>
            <w:tcW w:w="646" w:type="dxa"/>
            <w:vAlign w:val="top"/>
          </w:tcPr>
          <w:p>
            <w:pPr>
              <w:ind w:left="27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826" w:type="dxa"/>
            <w:vAlign w:val="top"/>
            <w:vMerge w:val="continue"/>
            <w:tcBorders>
              <w:top w:val="nil"/>
            </w:tcBorders>
          </w:tcPr>
          <w:p>
            <w:pPr>
              <w:rPr>
                <w:rFonts w:ascii="Arial"/>
                <w:sz w:val="21"/>
              </w:rPr>
            </w:pPr>
            <w:r/>
          </w:p>
        </w:tc>
        <w:tc>
          <w:tcPr>
            <w:tcW w:w="1817" w:type="dxa"/>
            <w:vAlign w:val="top"/>
          </w:tcPr>
          <w:p>
            <w:pPr>
              <w:pStyle w:val="TableText"/>
              <w:ind w:left="286"/>
              <w:spacing w:before="34" w:line="215" w:lineRule="auto"/>
              <w:rPr/>
            </w:pPr>
            <w:r>
              <w:rPr>
                <w:spacing w:val="7"/>
              </w:rPr>
              <w:t>混凝土振捣机</w:t>
            </w:r>
          </w:p>
        </w:tc>
        <w:tc>
          <w:tcPr>
            <w:tcW w:w="651" w:type="dxa"/>
            <w:vAlign w:val="top"/>
          </w:tcPr>
          <w:p>
            <w:pPr>
              <w:ind w:left="23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81</w:t>
            </w:r>
          </w:p>
        </w:tc>
        <w:tc>
          <w:tcPr>
            <w:tcW w:w="754" w:type="dxa"/>
            <w:vAlign w:val="top"/>
          </w:tcPr>
          <w:p>
            <w:pPr>
              <w:ind w:left="277"/>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77</w:t>
            </w:r>
          </w:p>
        </w:tc>
        <w:tc>
          <w:tcPr>
            <w:tcW w:w="750" w:type="dxa"/>
            <w:vAlign w:val="top"/>
          </w:tcPr>
          <w:p>
            <w:pPr>
              <w:ind w:left="27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71</w:t>
            </w:r>
          </w:p>
        </w:tc>
        <w:tc>
          <w:tcPr>
            <w:tcW w:w="752" w:type="dxa"/>
            <w:vAlign w:val="top"/>
          </w:tcPr>
          <w:p>
            <w:pPr>
              <w:ind w:left="27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61</w:t>
            </w:r>
          </w:p>
        </w:tc>
        <w:tc>
          <w:tcPr>
            <w:tcW w:w="756" w:type="dxa"/>
            <w:vAlign w:val="top"/>
          </w:tcPr>
          <w:p>
            <w:pPr>
              <w:ind w:left="282"/>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55</w:t>
            </w:r>
          </w:p>
        </w:tc>
        <w:tc>
          <w:tcPr>
            <w:tcW w:w="752" w:type="dxa"/>
            <w:vAlign w:val="top"/>
          </w:tcPr>
          <w:p>
            <w:pPr>
              <w:ind w:left="21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17.5</w:t>
            </w:r>
          </w:p>
        </w:tc>
        <w:tc>
          <w:tcPr>
            <w:tcW w:w="805" w:type="dxa"/>
            <w:vAlign w:val="top"/>
          </w:tcPr>
          <w:p>
            <w:pPr>
              <w:ind w:left="26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100</w:t>
            </w:r>
          </w:p>
        </w:tc>
      </w:tr>
      <w:tr>
        <w:trPr>
          <w:trHeight w:val="277" w:hRule="atLeast"/>
        </w:trPr>
        <w:tc>
          <w:tcPr>
            <w:tcW w:w="646" w:type="dxa"/>
            <w:vAlign w:val="top"/>
          </w:tcPr>
          <w:p>
            <w:pPr>
              <w:ind w:left="276"/>
              <w:spacing w:before="7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826" w:type="dxa"/>
            <w:vAlign w:val="top"/>
            <w:vMerge w:val="restart"/>
            <w:tcBorders>
              <w:bottom w:val="nil"/>
            </w:tcBorders>
          </w:tcPr>
          <w:p>
            <w:pPr>
              <w:spacing w:line="265" w:lineRule="auto"/>
              <w:rPr>
                <w:rFonts w:ascii="Arial"/>
                <w:sz w:val="21"/>
              </w:rPr>
            </w:pPr>
            <w:r/>
          </w:p>
          <w:p>
            <w:pPr>
              <w:spacing w:line="266" w:lineRule="auto"/>
              <w:rPr>
                <w:rFonts w:ascii="Arial"/>
                <w:sz w:val="21"/>
              </w:rPr>
            </w:pPr>
            <w:r/>
          </w:p>
          <w:p>
            <w:pPr>
              <w:pStyle w:val="TableText"/>
              <w:ind w:left="102"/>
              <w:spacing w:before="65" w:line="229" w:lineRule="auto"/>
              <w:rPr/>
            </w:pPr>
            <w:r>
              <w:rPr>
                <w:spacing w:val="6"/>
              </w:rPr>
              <w:t>土石方</w:t>
            </w:r>
          </w:p>
        </w:tc>
        <w:tc>
          <w:tcPr>
            <w:tcW w:w="1817" w:type="dxa"/>
            <w:vAlign w:val="top"/>
          </w:tcPr>
          <w:p>
            <w:pPr>
              <w:pStyle w:val="TableText"/>
              <w:ind w:left="494"/>
              <w:spacing w:before="35" w:line="214" w:lineRule="auto"/>
              <w:rPr/>
            </w:pPr>
            <w:r>
              <w:rPr>
                <w:spacing w:val="7"/>
              </w:rPr>
              <w:t>轮式载机</w:t>
            </w:r>
          </w:p>
        </w:tc>
        <w:tc>
          <w:tcPr>
            <w:tcW w:w="651" w:type="dxa"/>
            <w:vAlign w:val="top"/>
          </w:tcPr>
          <w:p>
            <w:pPr>
              <w:ind w:left="23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84</w:t>
            </w:r>
          </w:p>
        </w:tc>
        <w:tc>
          <w:tcPr>
            <w:tcW w:w="754" w:type="dxa"/>
            <w:vAlign w:val="top"/>
          </w:tcPr>
          <w:p>
            <w:pPr>
              <w:ind w:left="27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78</w:t>
            </w:r>
          </w:p>
        </w:tc>
        <w:tc>
          <w:tcPr>
            <w:tcW w:w="750" w:type="dxa"/>
            <w:vAlign w:val="top"/>
          </w:tcPr>
          <w:p>
            <w:pPr>
              <w:ind w:left="27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72</w:t>
            </w:r>
          </w:p>
        </w:tc>
        <w:tc>
          <w:tcPr>
            <w:tcW w:w="752" w:type="dxa"/>
            <w:vAlign w:val="top"/>
          </w:tcPr>
          <w:p>
            <w:pPr>
              <w:ind w:left="27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64</w:t>
            </w:r>
          </w:p>
        </w:tc>
        <w:tc>
          <w:tcPr>
            <w:tcW w:w="756" w:type="dxa"/>
            <w:vAlign w:val="top"/>
          </w:tcPr>
          <w:p>
            <w:pPr>
              <w:ind w:left="28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58</w:t>
            </w:r>
          </w:p>
        </w:tc>
        <w:tc>
          <w:tcPr>
            <w:tcW w:w="752" w:type="dxa"/>
            <w:vAlign w:val="top"/>
          </w:tcPr>
          <w:p>
            <w:pPr>
              <w:ind w:left="27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805" w:type="dxa"/>
            <w:vAlign w:val="top"/>
          </w:tcPr>
          <w:p>
            <w:pPr>
              <w:ind w:left="26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141</w:t>
            </w:r>
          </w:p>
        </w:tc>
      </w:tr>
      <w:tr>
        <w:trPr>
          <w:trHeight w:val="277" w:hRule="atLeast"/>
        </w:trPr>
        <w:tc>
          <w:tcPr>
            <w:tcW w:w="646" w:type="dxa"/>
            <w:vAlign w:val="top"/>
          </w:tcPr>
          <w:p>
            <w:pPr>
              <w:ind w:left="27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826" w:type="dxa"/>
            <w:vAlign w:val="top"/>
            <w:vMerge w:val="continue"/>
            <w:tcBorders>
              <w:top w:val="nil"/>
              <w:bottom w:val="nil"/>
            </w:tcBorders>
          </w:tcPr>
          <w:p>
            <w:pPr>
              <w:rPr>
                <w:rFonts w:ascii="Arial"/>
                <w:sz w:val="21"/>
              </w:rPr>
            </w:pPr>
            <w:r/>
          </w:p>
        </w:tc>
        <w:tc>
          <w:tcPr>
            <w:tcW w:w="1817" w:type="dxa"/>
            <w:vAlign w:val="top"/>
          </w:tcPr>
          <w:p>
            <w:pPr>
              <w:pStyle w:val="TableText"/>
              <w:ind w:left="74"/>
              <w:spacing w:before="34" w:line="215" w:lineRule="auto"/>
              <w:rPr/>
            </w:pPr>
            <w:r>
              <w:rPr>
                <w:spacing w:val="8"/>
              </w:rPr>
              <w:t>轮胎式液压挖掘机</w:t>
            </w:r>
          </w:p>
        </w:tc>
        <w:tc>
          <w:tcPr>
            <w:tcW w:w="651" w:type="dxa"/>
            <w:vAlign w:val="top"/>
          </w:tcPr>
          <w:p>
            <w:pPr>
              <w:ind w:left="23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82</w:t>
            </w:r>
          </w:p>
        </w:tc>
        <w:tc>
          <w:tcPr>
            <w:tcW w:w="754" w:type="dxa"/>
            <w:vAlign w:val="top"/>
          </w:tcPr>
          <w:p>
            <w:pPr>
              <w:ind w:left="27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76</w:t>
            </w:r>
          </w:p>
        </w:tc>
        <w:tc>
          <w:tcPr>
            <w:tcW w:w="750" w:type="dxa"/>
            <w:vAlign w:val="top"/>
          </w:tcPr>
          <w:p>
            <w:pPr>
              <w:ind w:left="27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70</w:t>
            </w:r>
          </w:p>
        </w:tc>
        <w:tc>
          <w:tcPr>
            <w:tcW w:w="752" w:type="dxa"/>
            <w:vAlign w:val="top"/>
          </w:tcPr>
          <w:p>
            <w:pPr>
              <w:ind w:left="27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62</w:t>
            </w:r>
          </w:p>
        </w:tc>
        <w:tc>
          <w:tcPr>
            <w:tcW w:w="756" w:type="dxa"/>
            <w:vAlign w:val="top"/>
          </w:tcPr>
          <w:p>
            <w:pPr>
              <w:ind w:left="28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56</w:t>
            </w:r>
          </w:p>
        </w:tc>
        <w:tc>
          <w:tcPr>
            <w:tcW w:w="752" w:type="dxa"/>
            <w:vAlign w:val="top"/>
          </w:tcPr>
          <w:p>
            <w:pPr>
              <w:ind w:left="21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19.5</w:t>
            </w:r>
          </w:p>
        </w:tc>
        <w:tc>
          <w:tcPr>
            <w:tcW w:w="805" w:type="dxa"/>
            <w:vAlign w:val="top"/>
          </w:tcPr>
          <w:p>
            <w:pPr>
              <w:ind w:left="26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110</w:t>
            </w:r>
          </w:p>
        </w:tc>
      </w:tr>
      <w:tr>
        <w:trPr>
          <w:trHeight w:val="277" w:hRule="atLeast"/>
        </w:trPr>
        <w:tc>
          <w:tcPr>
            <w:tcW w:w="646" w:type="dxa"/>
            <w:vAlign w:val="top"/>
          </w:tcPr>
          <w:p>
            <w:pPr>
              <w:ind w:left="274"/>
              <w:spacing w:before="7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826" w:type="dxa"/>
            <w:vAlign w:val="top"/>
            <w:vMerge w:val="continue"/>
            <w:tcBorders>
              <w:top w:val="nil"/>
              <w:bottom w:val="nil"/>
            </w:tcBorders>
          </w:tcPr>
          <w:p>
            <w:pPr>
              <w:rPr>
                <w:rFonts w:ascii="Arial"/>
                <w:sz w:val="21"/>
              </w:rPr>
            </w:pPr>
            <w:r/>
          </w:p>
        </w:tc>
        <w:tc>
          <w:tcPr>
            <w:tcW w:w="1817" w:type="dxa"/>
            <w:vAlign w:val="top"/>
          </w:tcPr>
          <w:p>
            <w:pPr>
              <w:pStyle w:val="TableText"/>
              <w:ind w:left="597"/>
              <w:spacing w:before="35" w:line="214" w:lineRule="auto"/>
              <w:rPr/>
            </w:pPr>
            <w:r>
              <w:rPr>
                <w:spacing w:val="7"/>
              </w:rPr>
              <w:t>平地机</w:t>
            </w:r>
          </w:p>
        </w:tc>
        <w:tc>
          <w:tcPr>
            <w:tcW w:w="651" w:type="dxa"/>
            <w:vAlign w:val="top"/>
          </w:tcPr>
          <w:p>
            <w:pPr>
              <w:ind w:left="22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79</w:t>
            </w:r>
          </w:p>
        </w:tc>
        <w:tc>
          <w:tcPr>
            <w:tcW w:w="754" w:type="dxa"/>
            <w:vAlign w:val="top"/>
          </w:tcPr>
          <w:p>
            <w:pPr>
              <w:ind w:left="27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73</w:t>
            </w:r>
          </w:p>
        </w:tc>
        <w:tc>
          <w:tcPr>
            <w:tcW w:w="750" w:type="dxa"/>
            <w:vAlign w:val="top"/>
          </w:tcPr>
          <w:p>
            <w:pPr>
              <w:ind w:left="27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67</w:t>
            </w:r>
          </w:p>
        </w:tc>
        <w:tc>
          <w:tcPr>
            <w:tcW w:w="752" w:type="dxa"/>
            <w:vAlign w:val="top"/>
          </w:tcPr>
          <w:p>
            <w:pPr>
              <w:ind w:left="28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59</w:t>
            </w:r>
          </w:p>
        </w:tc>
        <w:tc>
          <w:tcPr>
            <w:tcW w:w="756" w:type="dxa"/>
            <w:vAlign w:val="top"/>
          </w:tcPr>
          <w:p>
            <w:pPr>
              <w:ind w:left="28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53</w:t>
            </w:r>
          </w:p>
        </w:tc>
        <w:tc>
          <w:tcPr>
            <w:tcW w:w="752" w:type="dxa"/>
            <w:vAlign w:val="top"/>
          </w:tcPr>
          <w:p>
            <w:pPr>
              <w:ind w:left="29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14</w:t>
            </w:r>
          </w:p>
        </w:tc>
        <w:tc>
          <w:tcPr>
            <w:tcW w:w="805" w:type="dxa"/>
            <w:vAlign w:val="top"/>
          </w:tcPr>
          <w:p>
            <w:pPr>
              <w:ind w:left="30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80</w:t>
            </w:r>
          </w:p>
        </w:tc>
      </w:tr>
      <w:tr>
        <w:trPr>
          <w:trHeight w:val="277" w:hRule="atLeast"/>
        </w:trPr>
        <w:tc>
          <w:tcPr>
            <w:tcW w:w="646" w:type="dxa"/>
            <w:vAlign w:val="top"/>
          </w:tcPr>
          <w:p>
            <w:pPr>
              <w:ind w:left="279"/>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826" w:type="dxa"/>
            <w:vAlign w:val="top"/>
            <w:vMerge w:val="continue"/>
            <w:tcBorders>
              <w:top w:val="nil"/>
              <w:bottom w:val="nil"/>
            </w:tcBorders>
          </w:tcPr>
          <w:p>
            <w:pPr>
              <w:rPr>
                <w:rFonts w:ascii="Arial"/>
                <w:sz w:val="21"/>
              </w:rPr>
            </w:pPr>
            <w:r/>
          </w:p>
        </w:tc>
        <w:tc>
          <w:tcPr>
            <w:tcW w:w="1817" w:type="dxa"/>
            <w:vAlign w:val="top"/>
          </w:tcPr>
          <w:p>
            <w:pPr>
              <w:pStyle w:val="TableText"/>
              <w:ind w:left="598"/>
              <w:spacing w:before="36" w:line="213" w:lineRule="auto"/>
              <w:rPr/>
            </w:pPr>
            <w:r>
              <w:rPr>
                <w:spacing w:val="6"/>
              </w:rPr>
              <w:t>推土机</w:t>
            </w:r>
          </w:p>
        </w:tc>
        <w:tc>
          <w:tcPr>
            <w:tcW w:w="651" w:type="dxa"/>
            <w:vAlign w:val="top"/>
          </w:tcPr>
          <w:p>
            <w:pPr>
              <w:ind w:left="230"/>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84</w:t>
            </w:r>
          </w:p>
        </w:tc>
        <w:tc>
          <w:tcPr>
            <w:tcW w:w="754" w:type="dxa"/>
            <w:vAlign w:val="top"/>
          </w:tcPr>
          <w:p>
            <w:pPr>
              <w:ind w:left="277"/>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78</w:t>
            </w:r>
          </w:p>
        </w:tc>
        <w:tc>
          <w:tcPr>
            <w:tcW w:w="750" w:type="dxa"/>
            <w:vAlign w:val="top"/>
          </w:tcPr>
          <w:p>
            <w:pPr>
              <w:ind w:left="277"/>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72</w:t>
            </w:r>
          </w:p>
        </w:tc>
        <w:tc>
          <w:tcPr>
            <w:tcW w:w="752" w:type="dxa"/>
            <w:vAlign w:val="top"/>
          </w:tcPr>
          <w:p>
            <w:pPr>
              <w:ind w:left="279"/>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64</w:t>
            </w:r>
          </w:p>
        </w:tc>
        <w:tc>
          <w:tcPr>
            <w:tcW w:w="756" w:type="dxa"/>
            <w:vAlign w:val="top"/>
          </w:tcPr>
          <w:p>
            <w:pPr>
              <w:ind w:left="282"/>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58</w:t>
            </w:r>
          </w:p>
        </w:tc>
        <w:tc>
          <w:tcPr>
            <w:tcW w:w="752" w:type="dxa"/>
            <w:vAlign w:val="top"/>
          </w:tcPr>
          <w:p>
            <w:pPr>
              <w:ind w:left="274"/>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805" w:type="dxa"/>
            <w:vAlign w:val="top"/>
          </w:tcPr>
          <w:p>
            <w:pPr>
              <w:ind w:left="267"/>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141</w:t>
            </w:r>
          </w:p>
        </w:tc>
      </w:tr>
      <w:tr>
        <w:trPr>
          <w:trHeight w:val="281" w:hRule="atLeast"/>
        </w:trPr>
        <w:tc>
          <w:tcPr>
            <w:tcW w:w="646" w:type="dxa"/>
            <w:vAlign w:val="top"/>
          </w:tcPr>
          <w:p>
            <w:pPr>
              <w:ind w:left="27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826" w:type="dxa"/>
            <w:vAlign w:val="top"/>
            <w:vMerge w:val="continue"/>
            <w:tcBorders>
              <w:top w:val="nil"/>
            </w:tcBorders>
          </w:tcPr>
          <w:p>
            <w:pPr>
              <w:rPr>
                <w:rFonts w:ascii="Arial"/>
                <w:sz w:val="21"/>
              </w:rPr>
            </w:pPr>
            <w:r/>
          </w:p>
        </w:tc>
        <w:tc>
          <w:tcPr>
            <w:tcW w:w="1817" w:type="dxa"/>
            <w:vAlign w:val="top"/>
          </w:tcPr>
          <w:p>
            <w:pPr>
              <w:pStyle w:val="TableText"/>
              <w:ind w:left="388"/>
              <w:spacing w:before="34" w:line="218" w:lineRule="auto"/>
              <w:rPr/>
            </w:pPr>
            <w:r>
              <w:rPr>
                <w:spacing w:val="8"/>
              </w:rPr>
              <w:t>振动压路机</w:t>
            </w:r>
          </w:p>
        </w:tc>
        <w:tc>
          <w:tcPr>
            <w:tcW w:w="651" w:type="dxa"/>
            <w:vAlign w:val="top"/>
          </w:tcPr>
          <w:p>
            <w:pPr>
              <w:ind w:left="23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84</w:t>
            </w:r>
          </w:p>
        </w:tc>
        <w:tc>
          <w:tcPr>
            <w:tcW w:w="754" w:type="dxa"/>
            <w:vAlign w:val="top"/>
          </w:tcPr>
          <w:p>
            <w:pPr>
              <w:ind w:left="27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78</w:t>
            </w:r>
          </w:p>
        </w:tc>
        <w:tc>
          <w:tcPr>
            <w:tcW w:w="750" w:type="dxa"/>
            <w:vAlign w:val="top"/>
          </w:tcPr>
          <w:p>
            <w:pPr>
              <w:ind w:left="27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72</w:t>
            </w:r>
          </w:p>
        </w:tc>
        <w:tc>
          <w:tcPr>
            <w:tcW w:w="752" w:type="dxa"/>
            <w:vAlign w:val="top"/>
          </w:tcPr>
          <w:p>
            <w:pPr>
              <w:ind w:left="27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64</w:t>
            </w:r>
          </w:p>
        </w:tc>
        <w:tc>
          <w:tcPr>
            <w:tcW w:w="756" w:type="dxa"/>
            <w:vAlign w:val="top"/>
          </w:tcPr>
          <w:p>
            <w:pPr>
              <w:ind w:left="28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58</w:t>
            </w:r>
          </w:p>
        </w:tc>
        <w:tc>
          <w:tcPr>
            <w:tcW w:w="752" w:type="dxa"/>
            <w:vAlign w:val="top"/>
          </w:tcPr>
          <w:p>
            <w:pPr>
              <w:ind w:left="27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805" w:type="dxa"/>
            <w:vAlign w:val="top"/>
          </w:tcPr>
          <w:p>
            <w:pPr>
              <w:ind w:left="26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141</w:t>
            </w:r>
          </w:p>
        </w:tc>
      </w:tr>
    </w:tbl>
    <w:p>
      <w:pPr>
        <w:ind w:left="14" w:right="4" w:firstLine="481"/>
        <w:spacing w:before="38" w:line="359" w:lineRule="auto"/>
        <w:jc w:val="both"/>
        <w:rPr>
          <w:rFonts w:ascii="SimSun" w:hAnsi="SimSun" w:eastAsia="SimSun" w:cs="SimSun"/>
          <w:sz w:val="24"/>
          <w:szCs w:val="24"/>
        </w:rPr>
      </w:pPr>
      <w:r>
        <w:rPr>
          <w:rFonts w:ascii="SimSun" w:hAnsi="SimSun" w:eastAsia="SimSun" w:cs="SimSun"/>
          <w:sz w:val="24"/>
          <w:szCs w:val="24"/>
          <w:spacing w:val="3"/>
        </w:rPr>
        <w:t>表中数据表明，打桩阶段距离打桩机</w:t>
      </w:r>
      <w:r>
        <w:rPr>
          <w:rFonts w:ascii="SimSun" w:hAnsi="SimSun" w:eastAsia="SimSun" w:cs="SimSun"/>
          <w:sz w:val="24"/>
          <w:szCs w:val="24"/>
          <w:spacing w:val="-21"/>
        </w:rPr>
        <w:t xml:space="preserve"> </w:t>
      </w:r>
      <w:r>
        <w:rPr>
          <w:rFonts w:ascii="Times New Roman" w:hAnsi="Times New Roman" w:eastAsia="Times New Roman" w:cs="Times New Roman"/>
          <w:sz w:val="24"/>
          <w:szCs w:val="24"/>
          <w:spacing w:val="3"/>
        </w:rPr>
        <w:t>100m </w:t>
      </w:r>
      <w:r>
        <w:rPr>
          <w:rFonts w:ascii="SimSun" w:hAnsi="SimSun" w:eastAsia="SimSun" w:cs="SimSun"/>
          <w:sz w:val="24"/>
          <w:szCs w:val="24"/>
          <w:spacing w:val="3"/>
        </w:rPr>
        <w:t>远处，昼间可达达标，夜间距离</w:t>
      </w:r>
      <w:r>
        <w:rPr>
          <w:rFonts w:ascii="SimSun" w:hAnsi="SimSun" w:eastAsia="SimSun" w:cs="SimSun"/>
          <w:sz w:val="24"/>
          <w:szCs w:val="24"/>
        </w:rPr>
        <w:t xml:space="preserve"> </w:t>
      </w:r>
      <w:r>
        <w:rPr>
          <w:rFonts w:ascii="Times New Roman" w:hAnsi="Times New Roman" w:eastAsia="Times New Roman" w:cs="Times New Roman"/>
          <w:sz w:val="24"/>
          <w:szCs w:val="24"/>
          <w:spacing w:val="-8"/>
        </w:rPr>
        <w:t>5</w:t>
      </w:r>
      <w:r>
        <w:rPr>
          <w:rFonts w:ascii="Times New Roman" w:hAnsi="Times New Roman" w:eastAsia="Times New Roman" w:cs="Times New Roman"/>
          <w:sz w:val="24"/>
          <w:szCs w:val="24"/>
          <w:spacing w:val="-7"/>
        </w:rPr>
        <w:t>60m </w:t>
      </w:r>
      <w:r>
        <w:rPr>
          <w:rFonts w:ascii="SimSun" w:hAnsi="SimSun" w:eastAsia="SimSun" w:cs="SimSun"/>
          <w:sz w:val="24"/>
          <w:szCs w:val="24"/>
          <w:spacing w:val="-7"/>
        </w:rPr>
        <w:t>处才会达标，因此要求夜间打桩机禁止施工；土方阶段距离施工机械昼间</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7"/>
        </w:rPr>
        <w:t>25</w:t>
      </w:r>
      <w:r>
        <w:rPr>
          <w:rFonts w:ascii="Times New Roman" w:hAnsi="Times New Roman" w:eastAsia="Times New Roman" w:cs="Times New Roman"/>
          <w:sz w:val="24"/>
          <w:szCs w:val="24"/>
          <w:spacing w:val="-6"/>
        </w:rPr>
        <w:t>m</w:t>
      </w:r>
      <w:r>
        <w:rPr>
          <w:rFonts w:ascii="Times New Roman" w:hAnsi="Times New Roman" w:eastAsia="Times New Roman" w:cs="Times New Roman"/>
          <w:sz w:val="24"/>
          <w:szCs w:val="24"/>
        </w:rPr>
        <w:t xml:space="preserve"> </w:t>
      </w:r>
      <w:r>
        <w:rPr>
          <w:rFonts w:ascii="SimSun" w:hAnsi="SimSun" w:eastAsia="SimSun" w:cs="SimSun"/>
          <w:sz w:val="24"/>
          <w:szCs w:val="24"/>
          <w:spacing w:val="-4"/>
        </w:rPr>
        <w:t>远处，夜间</w:t>
      </w:r>
      <w:r>
        <w:rPr>
          <w:rFonts w:ascii="SimSun" w:hAnsi="SimSun" w:eastAsia="SimSun" w:cs="SimSun"/>
          <w:sz w:val="24"/>
          <w:szCs w:val="24"/>
          <w:spacing w:val="-15"/>
        </w:rPr>
        <w:t xml:space="preserve"> </w:t>
      </w:r>
      <w:r>
        <w:rPr>
          <w:rFonts w:ascii="Times New Roman" w:hAnsi="Times New Roman" w:eastAsia="Times New Roman" w:cs="Times New Roman"/>
          <w:sz w:val="24"/>
          <w:szCs w:val="24"/>
          <w:spacing w:val="-4"/>
        </w:rPr>
        <w:t>141m </w:t>
      </w:r>
      <w:r>
        <w:rPr>
          <w:rFonts w:ascii="SimSun" w:hAnsi="SimSun" w:eastAsia="SimSun" w:cs="SimSun"/>
          <w:sz w:val="24"/>
          <w:szCs w:val="24"/>
          <w:spacing w:val="-4"/>
        </w:rPr>
        <w:t>远可标；结构阶段距离施工机械昼间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35m </w:t>
      </w:r>
      <w:r>
        <w:rPr>
          <w:rFonts w:ascii="SimSun" w:hAnsi="SimSun" w:eastAsia="SimSun" w:cs="SimSun"/>
          <w:sz w:val="24"/>
          <w:szCs w:val="24"/>
          <w:spacing w:val="-4"/>
        </w:rPr>
        <w:t>远处，夜间</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200m </w:t>
      </w:r>
      <w:r>
        <w:rPr>
          <w:rFonts w:ascii="SimSun" w:hAnsi="SimSun" w:eastAsia="SimSun" w:cs="SimSun"/>
          <w:sz w:val="24"/>
          <w:szCs w:val="24"/>
          <w:spacing w:val="-4"/>
        </w:rPr>
        <w:t>远处</w:t>
      </w:r>
      <w:r>
        <w:rPr>
          <w:rFonts w:ascii="SimSun" w:hAnsi="SimSun" w:eastAsia="SimSun" w:cs="SimSun"/>
          <w:sz w:val="24"/>
          <w:szCs w:val="24"/>
        </w:rPr>
        <w:t xml:space="preserve"> </w:t>
      </w:r>
      <w:r>
        <w:rPr>
          <w:rFonts w:ascii="SimSun" w:hAnsi="SimSun" w:eastAsia="SimSun" w:cs="SimSun"/>
          <w:sz w:val="24"/>
          <w:szCs w:val="24"/>
          <w:spacing w:val="-1"/>
        </w:rPr>
        <w:t>可达对应标准限值要求。</w:t>
      </w:r>
    </w:p>
    <w:p>
      <w:pPr>
        <w:ind w:left="508"/>
        <w:spacing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）施工噪声影响分析</w:t>
      </w:r>
    </w:p>
    <w:p>
      <w:pPr>
        <w:ind w:left="13" w:right="3" w:firstLine="484"/>
        <w:spacing w:before="181" w:line="361" w:lineRule="auto"/>
        <w:rPr>
          <w:rFonts w:ascii="SimSun" w:hAnsi="SimSun" w:eastAsia="SimSun" w:cs="SimSun"/>
          <w:sz w:val="24"/>
          <w:szCs w:val="24"/>
        </w:rPr>
      </w:pPr>
      <w:r>
        <w:rPr>
          <w:rFonts w:ascii="SimSun" w:hAnsi="SimSun" w:eastAsia="SimSun" w:cs="SimSun"/>
          <w:sz w:val="24"/>
          <w:szCs w:val="24"/>
          <w:spacing w:val="3"/>
        </w:rPr>
        <w:t>本项目施工活动主要包括场地开挖、场地平整、地基处理</w:t>
      </w:r>
      <w:r>
        <w:rPr>
          <w:rFonts w:ascii="SimSun" w:hAnsi="SimSun" w:eastAsia="SimSun" w:cs="SimSun"/>
          <w:sz w:val="24"/>
          <w:szCs w:val="24"/>
          <w:spacing w:val="2"/>
        </w:rPr>
        <w:t>工程、土建结构工</w:t>
      </w:r>
      <w:r>
        <w:rPr>
          <w:rFonts w:ascii="SimSun" w:hAnsi="SimSun" w:eastAsia="SimSun" w:cs="SimSun"/>
          <w:sz w:val="24"/>
          <w:szCs w:val="24"/>
        </w:rPr>
        <w:t xml:space="preserve"> </w:t>
      </w:r>
      <w:r>
        <w:rPr>
          <w:rFonts w:ascii="SimSun" w:hAnsi="SimSun" w:eastAsia="SimSun" w:cs="SimSun"/>
          <w:sz w:val="24"/>
          <w:szCs w:val="24"/>
          <w:spacing w:val="3"/>
        </w:rPr>
        <w:t>程、装修工程、设备安装工程、给排水与消防工程、配电</w:t>
      </w:r>
      <w:r>
        <w:rPr>
          <w:rFonts w:ascii="SimSun" w:hAnsi="SimSun" w:eastAsia="SimSun" w:cs="SimSun"/>
          <w:sz w:val="24"/>
          <w:szCs w:val="24"/>
          <w:spacing w:val="2"/>
        </w:rPr>
        <w:t>工程等，上述工程施工</w:t>
      </w:r>
      <w:r>
        <w:rPr>
          <w:rFonts w:ascii="SimSun" w:hAnsi="SimSun" w:eastAsia="SimSun" w:cs="SimSun"/>
          <w:sz w:val="24"/>
          <w:szCs w:val="24"/>
        </w:rPr>
        <w:t xml:space="preserve"> </w:t>
      </w:r>
      <w:r>
        <w:rPr>
          <w:rFonts w:ascii="SimSun" w:hAnsi="SimSun" w:eastAsia="SimSun" w:cs="SimSun"/>
          <w:sz w:val="24"/>
          <w:szCs w:val="24"/>
          <w:spacing w:val="-1"/>
        </w:rPr>
        <w:t>场地主要位于厂址内。根据表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5.8-5 </w:t>
      </w:r>
      <w:r>
        <w:rPr>
          <w:rFonts w:ascii="SimSun" w:hAnsi="SimSun" w:eastAsia="SimSun" w:cs="SimSun"/>
          <w:sz w:val="24"/>
          <w:szCs w:val="24"/>
          <w:spacing w:val="-1"/>
        </w:rPr>
        <w:t>预</w:t>
      </w:r>
      <w:r>
        <w:rPr>
          <w:rFonts w:ascii="SimSun" w:hAnsi="SimSun" w:eastAsia="SimSun" w:cs="SimSun"/>
          <w:sz w:val="24"/>
          <w:szCs w:val="24"/>
          <w:spacing w:val="-2"/>
        </w:rPr>
        <w:t>测结果，施工期间噪声影响最大的属打桩阶</w:t>
      </w:r>
    </w:p>
    <w:p>
      <w:pPr>
        <w:spacing w:line="361" w:lineRule="auto"/>
        <w:sectPr>
          <w:headerReference w:type="default" r:id="rId325"/>
          <w:footerReference w:type="default" r:id="rId326"/>
          <w:pgSz w:w="11907" w:h="16840"/>
          <w:pgMar w:top="1567" w:right="1696" w:bottom="1921" w:left="1696" w:header="1221" w:footer="1247" w:gutter="0"/>
        </w:sectPr>
        <w:rPr>
          <w:rFonts w:ascii="SimSun" w:hAnsi="SimSun" w:eastAsia="SimSun" w:cs="SimSun"/>
          <w:sz w:val="24"/>
          <w:szCs w:val="24"/>
        </w:rPr>
      </w:pPr>
    </w:p>
    <w:p>
      <w:pPr>
        <w:ind w:left="10" w:right="61"/>
        <w:spacing w:before="188" w:line="359" w:lineRule="auto"/>
        <w:jc w:val="both"/>
        <w:rPr>
          <w:rFonts w:ascii="SimSun" w:hAnsi="SimSun" w:eastAsia="SimSun" w:cs="SimSun"/>
          <w:sz w:val="24"/>
          <w:szCs w:val="24"/>
        </w:rPr>
      </w:pPr>
      <w:r>
        <w:pict>
          <v:shape id="_x0000_s1080" style="position:absolute;margin-left:85.05pt;margin-top:79.11pt;mso-position-vertical-relative:page;mso-position-horizontal-relative:page;width:425.25pt;height:0.75pt;z-index:252196864;" o:allowincell="f" fillcolor="#000000" filled="true" stroked="false" coordsize="8505,15" coordorigin="0,0" path="m,l8505,0l8505,14l0,14l0,0xe"/>
        </w:pict>
      </w:r>
      <w:r>
        <w:rPr>
          <w:rFonts w:ascii="SimSun" w:hAnsi="SimSun" w:eastAsia="SimSun" w:cs="SimSun"/>
          <w:sz w:val="24"/>
          <w:szCs w:val="24"/>
          <w:spacing w:val="-4"/>
        </w:rPr>
        <w:t>段，昼间距离打桩点</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4"/>
        </w:rPr>
        <w:t>100m</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处方可满足标准限值要求，夜间应禁止施工；而结构阶</w:t>
      </w:r>
      <w:r>
        <w:rPr>
          <w:rFonts w:ascii="SimSun" w:hAnsi="SimSun" w:eastAsia="SimSun" w:cs="SimSun"/>
          <w:sz w:val="24"/>
          <w:szCs w:val="24"/>
        </w:rPr>
        <w:t xml:space="preserve"> </w:t>
      </w:r>
      <w:r>
        <w:rPr>
          <w:rFonts w:ascii="SimSun" w:hAnsi="SimSun" w:eastAsia="SimSun" w:cs="SimSun"/>
          <w:sz w:val="24"/>
          <w:szCs w:val="24"/>
          <w:spacing w:val="1"/>
        </w:rPr>
        <w:t>段昼间达标距离为</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17.5</w:t>
      </w:r>
      <w:r>
        <w:rPr>
          <w:rFonts w:ascii="SimSun" w:hAnsi="SimSun" w:eastAsia="SimSun" w:cs="SimSun"/>
          <w:sz w:val="24"/>
          <w:szCs w:val="24"/>
          <w:spacing w:val="1"/>
        </w:rPr>
        <w:t>～</w:t>
      </w:r>
      <w:r>
        <w:rPr>
          <w:rFonts w:ascii="Times New Roman" w:hAnsi="Times New Roman" w:eastAsia="Times New Roman" w:cs="Times New Roman"/>
          <w:sz w:val="24"/>
          <w:szCs w:val="24"/>
          <w:spacing w:val="1"/>
        </w:rPr>
        <w:t>35m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，夜间为</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100</w:t>
      </w:r>
      <w:r>
        <w:rPr>
          <w:rFonts w:ascii="SimSun" w:hAnsi="SimSun" w:eastAsia="SimSun" w:cs="SimSun"/>
          <w:sz w:val="24"/>
          <w:szCs w:val="24"/>
          <w:spacing w:val="1"/>
        </w:rPr>
        <w:t>～</w:t>
      </w:r>
      <w:r>
        <w:rPr>
          <w:rFonts w:ascii="Times New Roman" w:hAnsi="Times New Roman" w:eastAsia="Times New Roman" w:cs="Times New Roman"/>
          <w:sz w:val="24"/>
          <w:szCs w:val="24"/>
          <w:spacing w:val="1"/>
        </w:rPr>
        <w:t>200m</w:t>
      </w:r>
      <w:r>
        <w:rPr>
          <w:rFonts w:ascii="SimSun" w:hAnsi="SimSun" w:eastAsia="SimSun" w:cs="SimSun"/>
          <w:sz w:val="24"/>
          <w:szCs w:val="24"/>
          <w:spacing w:val="1"/>
        </w:rPr>
        <w:t>；土石方阶段昼间达标距离为</w:t>
      </w:r>
      <w:r>
        <w:rPr>
          <w:rFonts w:ascii="SimSun" w:hAnsi="SimSun" w:eastAsia="SimSun" w:cs="SimSun"/>
          <w:sz w:val="24"/>
          <w:szCs w:val="24"/>
        </w:rPr>
        <w:t xml:space="preserve"> </w:t>
      </w:r>
      <w:r>
        <w:rPr>
          <w:rFonts w:ascii="Times New Roman" w:hAnsi="Times New Roman" w:eastAsia="Times New Roman" w:cs="Times New Roman"/>
          <w:sz w:val="24"/>
          <w:szCs w:val="24"/>
          <w:spacing w:val="-1"/>
        </w:rPr>
        <w:t>14</w:t>
      </w:r>
      <w:r>
        <w:rPr>
          <w:rFonts w:ascii="SimSun" w:hAnsi="SimSun" w:eastAsia="SimSun" w:cs="SimSun"/>
          <w:sz w:val="24"/>
          <w:szCs w:val="24"/>
          <w:spacing w:val="-1"/>
        </w:rPr>
        <w:t>～</w:t>
      </w:r>
      <w:r>
        <w:rPr>
          <w:rFonts w:ascii="Times New Roman" w:hAnsi="Times New Roman" w:eastAsia="Times New Roman" w:cs="Times New Roman"/>
          <w:sz w:val="24"/>
          <w:szCs w:val="24"/>
          <w:spacing w:val="-1"/>
        </w:rPr>
        <w:t>25m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1"/>
        </w:rPr>
        <w:t>，夜间为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80</w:t>
      </w:r>
      <w:r>
        <w:rPr>
          <w:rFonts w:ascii="SimSun" w:hAnsi="SimSun" w:eastAsia="SimSun" w:cs="SimSun"/>
          <w:sz w:val="24"/>
          <w:szCs w:val="24"/>
          <w:spacing w:val="-1"/>
        </w:rPr>
        <w:t>～</w:t>
      </w:r>
      <w:r>
        <w:rPr>
          <w:rFonts w:ascii="Times New Roman" w:hAnsi="Times New Roman" w:eastAsia="Times New Roman" w:cs="Times New Roman"/>
          <w:sz w:val="24"/>
          <w:szCs w:val="24"/>
          <w:spacing w:val="-1"/>
        </w:rPr>
        <w:t>141m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。为了</w:t>
      </w:r>
      <w:r>
        <w:rPr>
          <w:rFonts w:ascii="SimSun" w:hAnsi="SimSun" w:eastAsia="SimSun" w:cs="SimSun"/>
          <w:sz w:val="24"/>
          <w:szCs w:val="24"/>
          <w:spacing w:val="-2"/>
        </w:rPr>
        <w:t>减小施工噪声影响范围较大，要严格控制施工</w:t>
      </w:r>
      <w:r>
        <w:rPr>
          <w:rFonts w:ascii="SimSun" w:hAnsi="SimSun" w:eastAsia="SimSun" w:cs="SimSun"/>
          <w:sz w:val="24"/>
          <w:szCs w:val="24"/>
        </w:rPr>
        <w:t xml:space="preserve"> </w:t>
      </w:r>
      <w:r>
        <w:rPr>
          <w:rFonts w:ascii="SimSun" w:hAnsi="SimSun" w:eastAsia="SimSun" w:cs="SimSun"/>
          <w:sz w:val="24"/>
          <w:szCs w:val="24"/>
          <w:spacing w:val="-3"/>
        </w:rPr>
        <w:t>区的范围。</w:t>
      </w:r>
    </w:p>
    <w:p>
      <w:pPr>
        <w:ind w:left="9" w:firstLine="481"/>
        <w:spacing w:before="3" w:line="359" w:lineRule="auto"/>
        <w:jc w:val="both"/>
        <w:rPr>
          <w:rFonts w:ascii="SimSun" w:hAnsi="SimSun" w:eastAsia="SimSun" w:cs="SimSun"/>
          <w:sz w:val="24"/>
          <w:szCs w:val="24"/>
        </w:rPr>
      </w:pPr>
      <w:r>
        <w:rPr>
          <w:rFonts w:ascii="SimSun" w:hAnsi="SimSun" w:eastAsia="SimSun" w:cs="SimSun"/>
          <w:sz w:val="24"/>
          <w:szCs w:val="24"/>
        </w:rPr>
        <w:t>据现场调查可知，项目厂界周边最近村镇为明安图镇，直线距离为</w:t>
      </w:r>
      <w:r>
        <w:rPr>
          <w:rFonts w:ascii="SimSun" w:hAnsi="SimSun" w:eastAsia="SimSun" w:cs="SimSun"/>
          <w:sz w:val="24"/>
          <w:szCs w:val="24"/>
          <w:spacing w:val="-36"/>
        </w:rPr>
        <w:t xml:space="preserve"> </w:t>
      </w:r>
      <w:r>
        <w:rPr>
          <w:rFonts w:ascii="Times New Roman" w:hAnsi="Times New Roman" w:eastAsia="Times New Roman" w:cs="Times New Roman"/>
          <w:sz w:val="24"/>
          <w:szCs w:val="24"/>
        </w:rPr>
        <w:t>0.91km</w:t>
      </w:r>
      <w:r>
        <w:rPr>
          <w:rFonts w:ascii="Times New Roman" w:hAnsi="Times New Roman" w:eastAsia="Times New Roman" w:cs="Times New Roman"/>
          <w:sz w:val="24"/>
          <w:szCs w:val="24"/>
          <w:spacing w:val="-31"/>
        </w:rPr>
        <w:t xml:space="preserve"> </w:t>
      </w:r>
      <w:r>
        <w:rPr>
          <w:rFonts w:ascii="SimSun" w:hAnsi="SimSun" w:eastAsia="SimSun" w:cs="SimSun"/>
          <w:sz w:val="24"/>
          <w:szCs w:val="24"/>
        </w:rPr>
        <w:t>， </w:t>
      </w:r>
      <w:r>
        <w:rPr>
          <w:rFonts w:ascii="SimSun" w:hAnsi="SimSun" w:eastAsia="SimSun" w:cs="SimSun"/>
          <w:sz w:val="24"/>
          <w:szCs w:val="24"/>
          <w:spacing w:val="3"/>
        </w:rPr>
        <w:t>位于评价范围之外，施工活动应减少夜间施工，同时</w:t>
      </w:r>
      <w:r>
        <w:rPr>
          <w:rFonts w:ascii="SimSun" w:hAnsi="SimSun" w:eastAsia="SimSun" w:cs="SimSun"/>
          <w:sz w:val="24"/>
          <w:szCs w:val="24"/>
          <w:spacing w:val="2"/>
        </w:rPr>
        <w:t>避开午间休息时间。施工期</w:t>
      </w:r>
      <w:r>
        <w:rPr>
          <w:rFonts w:ascii="SimSun" w:hAnsi="SimSun" w:eastAsia="SimSun" w:cs="SimSun"/>
          <w:sz w:val="24"/>
          <w:szCs w:val="24"/>
        </w:rPr>
        <w:t xml:space="preserve"> </w:t>
      </w:r>
      <w:r>
        <w:rPr>
          <w:rFonts w:ascii="SimSun" w:hAnsi="SimSun" w:eastAsia="SimSun" w:cs="SimSun"/>
          <w:sz w:val="24"/>
          <w:szCs w:val="24"/>
          <w:spacing w:val="10"/>
        </w:rPr>
        <w:t>运输建筑材料在一定程度上将加重沿线交通噪声污染。运输车</w:t>
      </w:r>
      <w:r>
        <w:rPr>
          <w:rFonts w:ascii="SimSun" w:hAnsi="SimSun" w:eastAsia="SimSun" w:cs="SimSun"/>
          <w:sz w:val="24"/>
          <w:szCs w:val="24"/>
          <w:spacing w:val="9"/>
        </w:rPr>
        <w:t>辆噪声级一般在</w:t>
      </w:r>
      <w:r>
        <w:rPr>
          <w:rFonts w:ascii="SimSun" w:hAnsi="SimSun" w:eastAsia="SimSun" w:cs="SimSun"/>
          <w:sz w:val="24"/>
          <w:szCs w:val="24"/>
        </w:rPr>
        <w:t xml:space="preserve"> </w:t>
      </w:r>
      <w:r>
        <w:rPr>
          <w:rFonts w:ascii="Times New Roman" w:hAnsi="Times New Roman" w:eastAsia="Times New Roman" w:cs="Times New Roman"/>
          <w:sz w:val="24"/>
          <w:szCs w:val="24"/>
          <w:spacing w:val="-2"/>
        </w:rPr>
        <w:t>75</w:t>
      </w:r>
      <w:r>
        <w:rPr>
          <w:rFonts w:ascii="SimSun" w:hAnsi="SimSun" w:eastAsia="SimSun" w:cs="SimSun"/>
          <w:sz w:val="24"/>
          <w:szCs w:val="24"/>
          <w:spacing w:val="-2"/>
        </w:rPr>
        <w:t>～</w:t>
      </w:r>
      <w:r>
        <w:rPr>
          <w:rFonts w:ascii="Times New Roman" w:hAnsi="Times New Roman" w:eastAsia="Times New Roman" w:cs="Times New Roman"/>
          <w:sz w:val="24"/>
          <w:szCs w:val="24"/>
          <w:spacing w:val="-2"/>
        </w:rPr>
        <w:t>85dB</w:t>
      </w:r>
      <w:r>
        <w:rPr>
          <w:rFonts w:ascii="SimSun" w:hAnsi="SimSun" w:eastAsia="SimSun" w:cs="SimSun"/>
          <w:sz w:val="24"/>
          <w:szCs w:val="24"/>
          <w:spacing w:val="-2"/>
        </w:rPr>
        <w:t>（</w:t>
      </w:r>
      <w:r>
        <w:rPr>
          <w:rFonts w:ascii="Times New Roman" w:hAnsi="Times New Roman" w:eastAsia="Times New Roman" w:cs="Times New Roman"/>
          <w:sz w:val="24"/>
          <w:szCs w:val="24"/>
          <w:spacing w:val="-2"/>
        </w:rPr>
        <w:t>A</w:t>
      </w:r>
      <w:r>
        <w:rPr>
          <w:rFonts w:ascii="SimSun" w:hAnsi="SimSun" w:eastAsia="SimSun" w:cs="SimSun"/>
          <w:sz w:val="24"/>
          <w:szCs w:val="24"/>
          <w:spacing w:val="7"/>
        </w:rPr>
        <w:t>），</w:t>
      </w:r>
      <w:r>
        <w:rPr>
          <w:rFonts w:ascii="SimSun" w:hAnsi="SimSun" w:eastAsia="SimSun" w:cs="SimSun"/>
          <w:sz w:val="24"/>
          <w:szCs w:val="24"/>
          <w:spacing w:val="-2"/>
        </w:rPr>
        <w:t>属间歇运行，且本项目运输量较小，对周边声环境的影响有限，</w:t>
      </w:r>
      <w:r>
        <w:rPr>
          <w:rFonts w:ascii="SimSun" w:hAnsi="SimSun" w:eastAsia="SimSun" w:cs="SimSun"/>
          <w:sz w:val="24"/>
          <w:szCs w:val="24"/>
          <w:spacing w:val="1"/>
        </w:rPr>
        <w:t xml:space="preserve"> </w:t>
      </w:r>
      <w:r>
        <w:rPr>
          <w:rFonts w:ascii="SimSun" w:hAnsi="SimSun" w:eastAsia="SimSun" w:cs="SimSun"/>
          <w:sz w:val="24"/>
          <w:szCs w:val="24"/>
          <w:spacing w:val="-2"/>
        </w:rPr>
        <w:t>加上车辆禁止夜间和午休间鸣笛，因此施工期间运</w:t>
      </w:r>
      <w:r>
        <w:rPr>
          <w:rFonts w:ascii="SimSun" w:hAnsi="SimSun" w:eastAsia="SimSun" w:cs="SimSun"/>
          <w:sz w:val="24"/>
          <w:szCs w:val="24"/>
          <w:spacing w:val="-3"/>
        </w:rPr>
        <w:t>输车辆产生噪声污染是短暂的，</w:t>
      </w:r>
      <w:r>
        <w:rPr>
          <w:rFonts w:ascii="SimSun" w:hAnsi="SimSun" w:eastAsia="SimSun" w:cs="SimSun"/>
          <w:sz w:val="24"/>
          <w:szCs w:val="24"/>
        </w:rPr>
        <w:t xml:space="preserve"> </w:t>
      </w:r>
      <w:r>
        <w:rPr>
          <w:rFonts w:ascii="SimSun" w:hAnsi="SimSun" w:eastAsia="SimSun" w:cs="SimSun"/>
          <w:sz w:val="24"/>
          <w:szCs w:val="24"/>
          <w:spacing w:val="-1"/>
        </w:rPr>
        <w:t>因而施工噪声不会对沿线居民生活造成大的影响。</w:t>
      </w:r>
    </w:p>
    <w:p>
      <w:pPr>
        <w:ind w:left="14"/>
        <w:spacing w:before="122" w:line="222" w:lineRule="auto"/>
        <w:outlineLvl w:val="2"/>
        <w:rPr>
          <w:rFonts w:ascii="SimHei" w:hAnsi="SimHei" w:eastAsia="SimHei" w:cs="SimHei"/>
          <w:sz w:val="28"/>
          <w:szCs w:val="28"/>
        </w:rPr>
      </w:pPr>
      <w:bookmarkStart w:name="bookmark119" w:id="148"/>
      <w:bookmarkEnd w:id="148"/>
      <w:r>
        <w:rPr>
          <w:rFonts w:ascii="Times New Roman" w:hAnsi="Times New Roman" w:eastAsia="Times New Roman" w:cs="Times New Roman"/>
          <w:sz w:val="28"/>
          <w:szCs w:val="28"/>
          <w:spacing w:val="-1"/>
        </w:rPr>
        <w:t>5.8.4 </w:t>
      </w:r>
      <w:r>
        <w:rPr>
          <w:rFonts w:ascii="SimHei" w:hAnsi="SimHei" w:eastAsia="SimHei" w:cs="SimHei"/>
          <w:sz w:val="28"/>
          <w:szCs w:val="28"/>
          <w:spacing w:val="-1"/>
        </w:rPr>
        <w:t>施工期固体废物影响分析</w:t>
      </w:r>
    </w:p>
    <w:p>
      <w:pPr>
        <w:pStyle w:val="BodyText"/>
        <w:spacing w:line="243" w:lineRule="auto"/>
        <w:rPr/>
      </w:pPr>
      <w:r/>
    </w:p>
    <w:p>
      <w:pPr>
        <w:ind w:left="9" w:right="59" w:firstLine="479"/>
        <w:spacing w:before="78" w:line="359" w:lineRule="auto"/>
        <w:rPr>
          <w:rFonts w:ascii="SimSun" w:hAnsi="SimSun" w:eastAsia="SimSun" w:cs="SimSun"/>
          <w:sz w:val="24"/>
          <w:szCs w:val="24"/>
        </w:rPr>
      </w:pPr>
      <w:r>
        <w:rPr>
          <w:rFonts w:ascii="SimSun" w:hAnsi="SimSun" w:eastAsia="SimSun" w:cs="SimSun"/>
          <w:sz w:val="24"/>
          <w:szCs w:val="24"/>
          <w:spacing w:val="3"/>
        </w:rPr>
        <w:t>施工垃圾主要来自施工场地产生的建筑垃圾（主要指场地开挖、管</w:t>
      </w:r>
      <w:r>
        <w:rPr>
          <w:rFonts w:ascii="SimSun" w:hAnsi="SimSun" w:eastAsia="SimSun" w:cs="SimSun"/>
          <w:sz w:val="24"/>
          <w:szCs w:val="24"/>
          <w:spacing w:val="2"/>
        </w:rPr>
        <w:t>道敷设、</w:t>
      </w:r>
      <w:r>
        <w:rPr>
          <w:rFonts w:ascii="SimSun" w:hAnsi="SimSun" w:eastAsia="SimSun" w:cs="SimSun"/>
          <w:sz w:val="24"/>
          <w:szCs w:val="24"/>
        </w:rPr>
        <w:t xml:space="preserve"> </w:t>
      </w:r>
      <w:r>
        <w:rPr>
          <w:rFonts w:ascii="SimSun" w:hAnsi="SimSun" w:eastAsia="SimSun" w:cs="SimSun"/>
          <w:sz w:val="24"/>
          <w:szCs w:val="24"/>
          <w:spacing w:val="3"/>
        </w:rPr>
        <w:t>材料运输、基础工程和车间等建构筑物等工程施工期间</w:t>
      </w:r>
      <w:r>
        <w:rPr>
          <w:rFonts w:ascii="SimSun" w:hAnsi="SimSun" w:eastAsia="SimSun" w:cs="SimSun"/>
          <w:sz w:val="24"/>
          <w:szCs w:val="24"/>
          <w:spacing w:val="2"/>
        </w:rPr>
        <w:t>产生的大量废弃的建筑材</w:t>
      </w:r>
      <w:r>
        <w:rPr>
          <w:rFonts w:ascii="SimSun" w:hAnsi="SimSun" w:eastAsia="SimSun" w:cs="SimSun"/>
          <w:sz w:val="24"/>
          <w:szCs w:val="24"/>
        </w:rPr>
        <w:t xml:space="preserve"> </w:t>
      </w:r>
      <w:r>
        <w:rPr>
          <w:rFonts w:ascii="SimSun" w:hAnsi="SimSun" w:eastAsia="SimSun" w:cs="SimSun"/>
          <w:sz w:val="24"/>
          <w:szCs w:val="24"/>
          <w:spacing w:val="3"/>
        </w:rPr>
        <w:t>料，如砂石、石灰、混凝土、木材和土石方等）以及由</w:t>
      </w:r>
      <w:r>
        <w:rPr>
          <w:rFonts w:ascii="SimSun" w:hAnsi="SimSun" w:eastAsia="SimSun" w:cs="SimSun"/>
          <w:sz w:val="24"/>
          <w:szCs w:val="24"/>
          <w:spacing w:val="2"/>
        </w:rPr>
        <w:t>于施工人员活动带来的生</w:t>
      </w:r>
      <w:r>
        <w:rPr>
          <w:rFonts w:ascii="SimSun" w:hAnsi="SimSun" w:eastAsia="SimSun" w:cs="SimSun"/>
          <w:sz w:val="24"/>
          <w:szCs w:val="24"/>
        </w:rPr>
        <w:t xml:space="preserve"> </w:t>
      </w:r>
      <w:r>
        <w:rPr>
          <w:rFonts w:ascii="SimSun" w:hAnsi="SimSun" w:eastAsia="SimSun" w:cs="SimSun"/>
          <w:sz w:val="24"/>
          <w:szCs w:val="24"/>
          <w:spacing w:val="-2"/>
        </w:rPr>
        <w:t>活垃圾等。</w:t>
      </w:r>
    </w:p>
    <w:p>
      <w:pPr>
        <w:ind w:left="12" w:right="59" w:firstLine="480"/>
        <w:spacing w:line="359" w:lineRule="auto"/>
        <w:jc w:val="both"/>
        <w:rPr>
          <w:rFonts w:ascii="SimSun" w:hAnsi="SimSun" w:eastAsia="SimSun" w:cs="SimSun"/>
          <w:sz w:val="24"/>
          <w:szCs w:val="24"/>
        </w:rPr>
      </w:pPr>
      <w:r>
        <w:rPr>
          <w:rFonts w:ascii="SimSun" w:hAnsi="SimSun" w:eastAsia="SimSun" w:cs="SimSun"/>
          <w:sz w:val="24"/>
          <w:szCs w:val="24"/>
          <w:spacing w:val="3"/>
        </w:rPr>
        <w:t>项目施工期间产生的固废主要是建筑垃圾及生活垃圾，这</w:t>
      </w:r>
      <w:r>
        <w:rPr>
          <w:rFonts w:ascii="SimSun" w:hAnsi="SimSun" w:eastAsia="SimSun" w:cs="SimSun"/>
          <w:sz w:val="24"/>
          <w:szCs w:val="24"/>
          <w:spacing w:val="2"/>
        </w:rPr>
        <w:t>些固废如不及时处</w:t>
      </w:r>
      <w:r>
        <w:rPr>
          <w:rFonts w:ascii="SimSun" w:hAnsi="SimSun" w:eastAsia="SimSun" w:cs="SimSun"/>
          <w:sz w:val="24"/>
          <w:szCs w:val="24"/>
        </w:rPr>
        <w:t xml:space="preserve"> </w:t>
      </w:r>
      <w:r>
        <w:rPr>
          <w:rFonts w:ascii="SimSun" w:hAnsi="SimSun" w:eastAsia="SimSun" w:cs="SimSun"/>
          <w:sz w:val="24"/>
          <w:szCs w:val="24"/>
          <w:spacing w:val="3"/>
        </w:rPr>
        <w:t>理不仅有碍观瞻，影响景观，而且在遇大风干燥天</w:t>
      </w:r>
      <w:r>
        <w:rPr>
          <w:rFonts w:ascii="SimSun" w:hAnsi="SimSun" w:eastAsia="SimSun" w:cs="SimSun"/>
          <w:sz w:val="24"/>
          <w:szCs w:val="24"/>
          <w:spacing w:val="2"/>
        </w:rPr>
        <w:t>气时，将产生扬尘；生活垃圾</w:t>
      </w:r>
      <w:r>
        <w:rPr>
          <w:rFonts w:ascii="SimSun" w:hAnsi="SimSun" w:eastAsia="SimSun" w:cs="SimSun"/>
          <w:sz w:val="24"/>
          <w:szCs w:val="24"/>
        </w:rPr>
        <w:t xml:space="preserve"> </w:t>
      </w:r>
      <w:r>
        <w:rPr>
          <w:rFonts w:ascii="SimSun" w:hAnsi="SimSun" w:eastAsia="SimSun" w:cs="SimSun"/>
          <w:sz w:val="24"/>
          <w:szCs w:val="24"/>
          <w:spacing w:val="3"/>
        </w:rPr>
        <w:t>如不及时处理，在气温适宜的条件下则会滋生蚊虫</w:t>
      </w:r>
      <w:r>
        <w:rPr>
          <w:rFonts w:ascii="SimSun" w:hAnsi="SimSun" w:eastAsia="SimSun" w:cs="SimSun"/>
          <w:sz w:val="24"/>
          <w:szCs w:val="24"/>
          <w:spacing w:val="2"/>
        </w:rPr>
        <w:t>、产生恶臭并传播疾病，对周</w:t>
      </w:r>
      <w:r>
        <w:rPr>
          <w:rFonts w:ascii="SimSun" w:hAnsi="SimSun" w:eastAsia="SimSun" w:cs="SimSun"/>
          <w:sz w:val="24"/>
          <w:szCs w:val="24"/>
        </w:rPr>
        <w:t xml:space="preserve"> </w:t>
      </w:r>
      <w:r>
        <w:rPr>
          <w:rFonts w:ascii="SimSun" w:hAnsi="SimSun" w:eastAsia="SimSun" w:cs="SimSun"/>
          <w:sz w:val="24"/>
          <w:szCs w:val="24"/>
          <w:spacing w:val="-2"/>
        </w:rPr>
        <w:t>围环境产生不利影响。</w:t>
      </w:r>
    </w:p>
    <w:p>
      <w:pPr>
        <w:ind w:left="8" w:right="59" w:firstLine="499"/>
        <w:spacing w:line="362" w:lineRule="auto"/>
        <w:rPr>
          <w:rFonts w:ascii="SimSun" w:hAnsi="SimSun" w:eastAsia="SimSun" w:cs="SimSun"/>
          <w:sz w:val="24"/>
          <w:szCs w:val="24"/>
        </w:rPr>
      </w:pPr>
      <w:r>
        <w:rPr>
          <w:rFonts w:ascii="SimSun" w:hAnsi="SimSun" w:eastAsia="SimSun" w:cs="SimSun"/>
          <w:sz w:val="24"/>
          <w:szCs w:val="24"/>
          <w:spacing w:val="2"/>
        </w:rPr>
        <w:t>因此，工程在施工期间要做好对施工垃圾的及时清理、清运至指定的垃圾堆</w:t>
      </w:r>
      <w:r>
        <w:rPr>
          <w:rFonts w:ascii="SimSun" w:hAnsi="SimSun" w:eastAsia="SimSun" w:cs="SimSun"/>
          <w:sz w:val="24"/>
          <w:szCs w:val="24"/>
          <w:spacing w:val="10"/>
        </w:rPr>
        <w:t xml:space="preserve"> </w:t>
      </w:r>
      <w:r>
        <w:rPr>
          <w:rFonts w:ascii="SimSun" w:hAnsi="SimSun" w:eastAsia="SimSun" w:cs="SimSun"/>
          <w:sz w:val="24"/>
          <w:szCs w:val="24"/>
          <w:spacing w:val="-1"/>
        </w:rPr>
        <w:t>场堆放，使施工垃圾对环境的影响降至最低。</w:t>
      </w:r>
    </w:p>
    <w:p>
      <w:pPr>
        <w:ind w:left="14"/>
        <w:spacing w:before="118" w:line="222" w:lineRule="auto"/>
        <w:outlineLvl w:val="2"/>
        <w:rPr>
          <w:rFonts w:ascii="SimHei" w:hAnsi="SimHei" w:eastAsia="SimHei" w:cs="SimHei"/>
          <w:sz w:val="28"/>
          <w:szCs w:val="28"/>
        </w:rPr>
      </w:pPr>
      <w:bookmarkStart w:name="bookmark120" w:id="149"/>
      <w:bookmarkEnd w:id="149"/>
      <w:r>
        <w:rPr>
          <w:rFonts w:ascii="Times New Roman" w:hAnsi="Times New Roman" w:eastAsia="Times New Roman" w:cs="Times New Roman"/>
          <w:sz w:val="28"/>
          <w:szCs w:val="28"/>
          <w:spacing w:val="-1"/>
        </w:rPr>
        <w:t>5.8.5 </w:t>
      </w:r>
      <w:r>
        <w:rPr>
          <w:rFonts w:ascii="SimHei" w:hAnsi="SimHei" w:eastAsia="SimHei" w:cs="SimHei"/>
          <w:sz w:val="28"/>
          <w:szCs w:val="28"/>
          <w:spacing w:val="-1"/>
        </w:rPr>
        <w:t>施工期土壤环境影响分析</w:t>
      </w:r>
    </w:p>
    <w:p>
      <w:pPr>
        <w:pStyle w:val="BodyText"/>
        <w:spacing w:line="242" w:lineRule="auto"/>
        <w:rPr/>
      </w:pPr>
      <w:r/>
    </w:p>
    <w:p>
      <w:pPr>
        <w:ind w:left="9" w:right="59" w:firstLine="480"/>
        <w:spacing w:before="78" w:line="360" w:lineRule="auto"/>
        <w:jc w:val="both"/>
        <w:rPr>
          <w:rFonts w:ascii="SimSun" w:hAnsi="SimSun" w:eastAsia="SimSun" w:cs="SimSun"/>
          <w:sz w:val="24"/>
          <w:szCs w:val="24"/>
        </w:rPr>
      </w:pPr>
      <w:r>
        <w:rPr>
          <w:rFonts w:ascii="SimSun" w:hAnsi="SimSun" w:eastAsia="SimSun" w:cs="SimSun"/>
          <w:sz w:val="24"/>
          <w:szCs w:val="24"/>
          <w:spacing w:val="3"/>
        </w:rPr>
        <w:t>本项目施工期施工活动控制在厂区范围内，施工期生活污水和施</w:t>
      </w:r>
      <w:r>
        <w:rPr>
          <w:rFonts w:ascii="SimSun" w:hAnsi="SimSun" w:eastAsia="SimSun" w:cs="SimSun"/>
          <w:sz w:val="24"/>
          <w:szCs w:val="24"/>
          <w:spacing w:val="2"/>
        </w:rPr>
        <w:t>工废水均进</w:t>
      </w:r>
      <w:r>
        <w:rPr>
          <w:rFonts w:ascii="SimSun" w:hAnsi="SimSun" w:eastAsia="SimSun" w:cs="SimSun"/>
          <w:sz w:val="24"/>
          <w:szCs w:val="24"/>
        </w:rPr>
        <w:t xml:space="preserve"> </w:t>
      </w:r>
      <w:r>
        <w:rPr>
          <w:rFonts w:ascii="SimSun" w:hAnsi="SimSun" w:eastAsia="SimSun" w:cs="SimSun"/>
          <w:sz w:val="24"/>
          <w:szCs w:val="24"/>
          <w:spacing w:val="3"/>
        </w:rPr>
        <w:t>行了处理，不直接排放，不会对土壤环境产生大的影响</w:t>
      </w:r>
      <w:r>
        <w:rPr>
          <w:rFonts w:ascii="SimSun" w:hAnsi="SimSun" w:eastAsia="SimSun" w:cs="SimSun"/>
          <w:sz w:val="24"/>
          <w:szCs w:val="24"/>
          <w:spacing w:val="2"/>
        </w:rPr>
        <w:t>；施工土方尽可能就地回</w:t>
      </w:r>
      <w:r>
        <w:rPr>
          <w:rFonts w:ascii="SimSun" w:hAnsi="SimSun" w:eastAsia="SimSun" w:cs="SimSun"/>
          <w:sz w:val="24"/>
          <w:szCs w:val="24"/>
        </w:rPr>
        <w:t xml:space="preserve"> </w:t>
      </w:r>
      <w:r>
        <w:rPr>
          <w:rFonts w:ascii="SimSun" w:hAnsi="SimSun" w:eastAsia="SimSun" w:cs="SimSun"/>
          <w:sz w:val="24"/>
          <w:szCs w:val="24"/>
          <w:spacing w:val="3"/>
        </w:rPr>
        <w:t>填，弃方按照当地环保部门和城市管理部门的要求</w:t>
      </w:r>
      <w:r>
        <w:rPr>
          <w:rFonts w:ascii="SimSun" w:hAnsi="SimSun" w:eastAsia="SimSun" w:cs="SimSun"/>
          <w:sz w:val="24"/>
          <w:szCs w:val="24"/>
          <w:spacing w:val="2"/>
        </w:rPr>
        <w:t>处理，施工过程中产生的扬尘</w:t>
      </w:r>
      <w:r>
        <w:rPr>
          <w:rFonts w:ascii="SimSun" w:hAnsi="SimSun" w:eastAsia="SimSun" w:cs="SimSun"/>
          <w:sz w:val="24"/>
          <w:szCs w:val="24"/>
        </w:rPr>
        <w:t xml:space="preserve"> </w:t>
      </w:r>
      <w:r>
        <w:rPr>
          <w:rFonts w:ascii="SimSun" w:hAnsi="SimSun" w:eastAsia="SimSun" w:cs="SimSun"/>
          <w:sz w:val="24"/>
          <w:szCs w:val="24"/>
          <w:spacing w:val="3"/>
        </w:rPr>
        <w:t>沉降对土壤环境影响不大；施工用水来自市政供水</w:t>
      </w:r>
      <w:r>
        <w:rPr>
          <w:rFonts w:ascii="SimSun" w:hAnsi="SimSun" w:eastAsia="SimSun" w:cs="SimSun"/>
          <w:sz w:val="24"/>
          <w:szCs w:val="24"/>
          <w:spacing w:val="2"/>
        </w:rPr>
        <w:t>管网，不开采地下水，不会对</w:t>
      </w:r>
      <w:r>
        <w:rPr>
          <w:rFonts w:ascii="SimSun" w:hAnsi="SimSun" w:eastAsia="SimSun" w:cs="SimSun"/>
          <w:sz w:val="24"/>
          <w:szCs w:val="24"/>
        </w:rPr>
        <w:t xml:space="preserve"> </w:t>
      </w:r>
      <w:r>
        <w:rPr>
          <w:rFonts w:ascii="SimSun" w:hAnsi="SimSun" w:eastAsia="SimSun" w:cs="SimSun"/>
          <w:sz w:val="24"/>
          <w:szCs w:val="24"/>
          <w:spacing w:val="-1"/>
        </w:rPr>
        <w:t>土壤的盐分产生影响。</w:t>
      </w:r>
    </w:p>
    <w:p>
      <w:pPr>
        <w:pStyle w:val="BodyText"/>
        <w:spacing w:line="294" w:lineRule="auto"/>
        <w:rPr/>
      </w:pPr>
      <w:r/>
    </w:p>
    <w:p>
      <w:pPr>
        <w:ind w:left="7"/>
        <w:spacing w:before="62" w:line="227" w:lineRule="auto"/>
        <w:rPr>
          <w:rFonts w:ascii="SimSun" w:hAnsi="SimSun" w:eastAsia="SimSun" w:cs="SimSun"/>
          <w:sz w:val="19"/>
          <w:szCs w:val="19"/>
        </w:rPr>
      </w:pPr>
      <w:r>
        <w:pict>
          <v:shape id="_x0000_s1082" style="position:absolute;margin-left:159.33pt;margin-top:2.09751pt;mso-position-vertical-relative:text;mso-position-horizontal-relative:text;width:61pt;height:13.75pt;z-index:25219584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233</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6"/>
          <w:footerReference w:type="default" r:id="rId3"/>
          <w:pgSz w:w="11907" w:h="16840"/>
          <w:pgMar w:top="1567" w:right="1640" w:bottom="400" w:left="1701" w:header="1221" w:footer="0" w:gutter="0"/>
        </w:sectPr>
        <w:rPr>
          <w:rFonts w:ascii="SimSun" w:hAnsi="SimSun" w:eastAsia="SimSun" w:cs="SimSun"/>
          <w:sz w:val="19"/>
          <w:szCs w:val="19"/>
        </w:rPr>
      </w:pPr>
    </w:p>
    <w:p>
      <w:pPr>
        <w:ind w:left="14"/>
        <w:spacing w:before="174" w:line="223" w:lineRule="auto"/>
        <w:outlineLvl w:val="2"/>
        <w:rPr>
          <w:rFonts w:ascii="SimHei" w:hAnsi="SimHei" w:eastAsia="SimHei" w:cs="SimHei"/>
          <w:sz w:val="28"/>
          <w:szCs w:val="28"/>
        </w:rPr>
      </w:pPr>
      <w:r>
        <w:pict>
          <v:shape id="_x0000_s1084" style="position:absolute;margin-left:85.05pt;margin-top:78.87pt;mso-position-vertical-relative:page;mso-position-horizontal-relative:page;width:425.25pt;height:0.75pt;z-index:252198912;" o:allowincell="f" fillcolor="#000000" filled="true" stroked="false" coordsize="8505,15" coordorigin="0,0" path="m,l8505,0l8505,14l0,14l0,0xe"/>
        </w:pict>
      </w:r>
      <w:bookmarkStart w:name="bookmark121" w:id="150"/>
      <w:bookmarkEnd w:id="150"/>
      <w:r>
        <w:rPr>
          <w:rFonts w:ascii="Times New Roman" w:hAnsi="Times New Roman" w:eastAsia="Times New Roman" w:cs="Times New Roman"/>
          <w:sz w:val="28"/>
          <w:szCs w:val="28"/>
          <w:spacing w:val="-1"/>
        </w:rPr>
        <w:t>5.8.6 </w:t>
      </w:r>
      <w:r>
        <w:rPr>
          <w:rFonts w:ascii="SimHei" w:hAnsi="SimHei" w:eastAsia="SimHei" w:cs="SimHei"/>
          <w:sz w:val="28"/>
          <w:szCs w:val="28"/>
          <w:spacing w:val="-1"/>
        </w:rPr>
        <w:t>施工期生态影响分析</w:t>
      </w:r>
    </w:p>
    <w:p>
      <w:pPr>
        <w:pStyle w:val="BodyText"/>
        <w:spacing w:line="241" w:lineRule="auto"/>
        <w:rPr/>
      </w:pPr>
      <w:r/>
    </w:p>
    <w:p>
      <w:pPr>
        <w:ind w:left="10" w:right="78" w:firstLine="482"/>
        <w:spacing w:before="78" w:line="359" w:lineRule="auto"/>
        <w:rPr>
          <w:rFonts w:ascii="SimSun" w:hAnsi="SimSun" w:eastAsia="SimSun" w:cs="SimSun"/>
          <w:sz w:val="24"/>
          <w:szCs w:val="24"/>
        </w:rPr>
      </w:pPr>
      <w:r>
        <w:rPr>
          <w:rFonts w:ascii="SimSun" w:hAnsi="SimSun" w:eastAsia="SimSun" w:cs="SimSun"/>
          <w:sz w:val="24"/>
          <w:szCs w:val="24"/>
          <w:spacing w:val="3"/>
        </w:rPr>
        <w:t>项目施工期对生态环境的影响主要体现在工程占地对土地</w:t>
      </w:r>
      <w:r>
        <w:rPr>
          <w:rFonts w:ascii="SimSun" w:hAnsi="SimSun" w:eastAsia="SimSun" w:cs="SimSun"/>
          <w:sz w:val="24"/>
          <w:szCs w:val="24"/>
          <w:spacing w:val="2"/>
        </w:rPr>
        <w:t>性质的改变，工程</w:t>
      </w:r>
      <w:r>
        <w:rPr>
          <w:rFonts w:ascii="SimSun" w:hAnsi="SimSun" w:eastAsia="SimSun" w:cs="SimSun"/>
          <w:sz w:val="24"/>
          <w:szCs w:val="24"/>
        </w:rPr>
        <w:t xml:space="preserve"> </w:t>
      </w:r>
      <w:r>
        <w:rPr>
          <w:rFonts w:ascii="SimSun" w:hAnsi="SimSun" w:eastAsia="SimSun" w:cs="SimSun"/>
          <w:sz w:val="24"/>
          <w:szCs w:val="24"/>
        </w:rPr>
        <w:t>开挖对植被的破坏以及可能导致的水土流失，施</w:t>
      </w:r>
      <w:r>
        <w:rPr>
          <w:rFonts w:ascii="SimSun" w:hAnsi="SimSun" w:eastAsia="SimSun" w:cs="SimSun"/>
          <w:sz w:val="24"/>
          <w:szCs w:val="24"/>
          <w:spacing w:val="-1"/>
        </w:rPr>
        <w:t>工行为对动物生境的影响。</w:t>
      </w:r>
    </w:p>
    <w:p>
      <w:pPr>
        <w:ind w:left="501"/>
        <w:spacing w:line="219"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1</w:t>
      </w:r>
      <w:r>
        <w:rPr>
          <w:rFonts w:ascii="SimSun" w:hAnsi="SimSun" w:eastAsia="SimSun" w:cs="SimSun"/>
          <w:sz w:val="24"/>
          <w:szCs w:val="24"/>
          <w:spacing w:val="-5"/>
        </w:rPr>
        <w:t>）</w:t>
      </w:r>
      <w:r>
        <w:rPr>
          <w:rFonts w:ascii="SimSun" w:hAnsi="SimSun" w:eastAsia="SimSun" w:cs="SimSun"/>
          <w:sz w:val="24"/>
          <w:szCs w:val="24"/>
          <w:spacing w:val="-72"/>
        </w:rPr>
        <w:t xml:space="preserve"> </w:t>
      </w:r>
      <w:r>
        <w:rPr>
          <w:rFonts w:ascii="SimSun" w:hAnsi="SimSun" w:eastAsia="SimSun" w:cs="SimSun"/>
          <w:sz w:val="24"/>
          <w:szCs w:val="24"/>
          <w:spacing w:val="-5"/>
        </w:rPr>
        <w:t>占地及水土流失影响分析</w:t>
      </w:r>
    </w:p>
    <w:p>
      <w:pPr>
        <w:ind w:left="490"/>
        <w:spacing w:before="182" w:line="219" w:lineRule="auto"/>
        <w:rPr>
          <w:rFonts w:ascii="SimSun" w:hAnsi="SimSun" w:eastAsia="SimSun" w:cs="SimSun"/>
          <w:sz w:val="24"/>
          <w:szCs w:val="24"/>
        </w:rPr>
      </w:pPr>
      <w:r>
        <w:rPr>
          <w:rFonts w:ascii="SimSun" w:hAnsi="SimSun" w:eastAsia="SimSun" w:cs="SimSun"/>
          <w:sz w:val="24"/>
          <w:szCs w:val="24"/>
          <w:spacing w:val="-1"/>
        </w:rPr>
        <w:t>本项目不新增占地，厂区均为工业用地，土地利用方式未发生改变。</w:t>
      </w:r>
    </w:p>
    <w:p>
      <w:pPr>
        <w:ind w:left="16" w:right="18" w:firstLine="486"/>
        <w:spacing w:before="180" w:line="359" w:lineRule="auto"/>
        <w:rPr>
          <w:rFonts w:ascii="SimSun" w:hAnsi="SimSun" w:eastAsia="SimSun" w:cs="SimSun"/>
          <w:sz w:val="24"/>
          <w:szCs w:val="24"/>
        </w:rPr>
      </w:pPr>
      <w:r>
        <w:rPr>
          <w:rFonts w:ascii="SimSun" w:hAnsi="SimSun" w:eastAsia="SimSun" w:cs="SimSun"/>
          <w:sz w:val="24"/>
          <w:szCs w:val="24"/>
          <w:spacing w:val="-3"/>
        </w:rPr>
        <w:t>临时占地将扰动当地原地貌，破坏土壤结构，损毁地表植被，加剧水土流失，</w:t>
      </w:r>
      <w:r>
        <w:rPr>
          <w:rFonts w:ascii="SimSun" w:hAnsi="SimSun" w:eastAsia="SimSun" w:cs="SimSun"/>
          <w:sz w:val="24"/>
          <w:szCs w:val="24"/>
          <w:spacing w:val="3"/>
        </w:rPr>
        <w:t xml:space="preserve"> </w:t>
      </w:r>
      <w:r>
        <w:rPr>
          <w:rFonts w:ascii="SimSun" w:hAnsi="SimSun" w:eastAsia="SimSun" w:cs="SimSun"/>
          <w:sz w:val="24"/>
          <w:szCs w:val="24"/>
          <w:spacing w:val="2"/>
        </w:rPr>
        <w:t>导致该区域生物量和生产力的降低。但由于临时占地只是暂时性的，可采取一定</w:t>
      </w:r>
      <w:r>
        <w:rPr>
          <w:rFonts w:ascii="SimSun" w:hAnsi="SimSun" w:eastAsia="SimSun" w:cs="SimSun"/>
          <w:sz w:val="24"/>
          <w:szCs w:val="24"/>
          <w:spacing w:val="18"/>
        </w:rPr>
        <w:t xml:space="preserve"> </w:t>
      </w:r>
      <w:r>
        <w:rPr>
          <w:rFonts w:ascii="SimSun" w:hAnsi="SimSun" w:eastAsia="SimSun" w:cs="SimSun"/>
          <w:sz w:val="24"/>
          <w:szCs w:val="24"/>
          <w:spacing w:val="-1"/>
        </w:rPr>
        <w:t>的经济补偿，并在施工结束后进行植被恢复，将施工占地影响降至最低。</w:t>
      </w:r>
    </w:p>
    <w:p>
      <w:pPr>
        <w:ind w:left="11" w:right="78" w:firstLine="477"/>
        <w:spacing w:before="1" w:line="359" w:lineRule="auto"/>
        <w:jc w:val="both"/>
        <w:rPr>
          <w:rFonts w:ascii="SimSun" w:hAnsi="SimSun" w:eastAsia="SimSun" w:cs="SimSun"/>
          <w:sz w:val="24"/>
          <w:szCs w:val="24"/>
        </w:rPr>
      </w:pPr>
      <w:r>
        <w:rPr>
          <w:rFonts w:ascii="SimSun" w:hAnsi="SimSun" w:eastAsia="SimSun" w:cs="SimSun"/>
          <w:sz w:val="24"/>
          <w:szCs w:val="24"/>
          <w:spacing w:val="3"/>
        </w:rPr>
        <w:t>施工占地和施工作业将使地表植被破坏，地面裸露。对雨水的蓄水</w:t>
      </w:r>
      <w:r>
        <w:rPr>
          <w:rFonts w:ascii="SimSun" w:hAnsi="SimSun" w:eastAsia="SimSun" w:cs="SimSun"/>
          <w:sz w:val="24"/>
          <w:szCs w:val="24"/>
          <w:spacing w:val="2"/>
        </w:rPr>
        <w:t>、拦截作</w:t>
      </w:r>
      <w:r>
        <w:rPr>
          <w:rFonts w:ascii="SimSun" w:hAnsi="SimSun" w:eastAsia="SimSun" w:cs="SimSun"/>
          <w:sz w:val="24"/>
          <w:szCs w:val="24"/>
        </w:rPr>
        <w:t xml:space="preserve"> </w:t>
      </w:r>
      <w:r>
        <w:rPr>
          <w:rFonts w:ascii="SimSun" w:hAnsi="SimSun" w:eastAsia="SimSun" w:cs="SimSun"/>
          <w:sz w:val="24"/>
          <w:szCs w:val="24"/>
          <w:spacing w:val="3"/>
        </w:rPr>
        <w:t>用减弱，将导致土体抗蚀能力降低，如在雨季防护措</w:t>
      </w:r>
      <w:r>
        <w:rPr>
          <w:rFonts w:ascii="SimSun" w:hAnsi="SimSun" w:eastAsia="SimSun" w:cs="SimSun"/>
          <w:sz w:val="24"/>
          <w:szCs w:val="24"/>
          <w:spacing w:val="2"/>
        </w:rPr>
        <w:t>施不当，会造成水土流失危</w:t>
      </w:r>
      <w:r>
        <w:rPr>
          <w:rFonts w:ascii="SimSun" w:hAnsi="SimSun" w:eastAsia="SimSun" w:cs="SimSun"/>
          <w:sz w:val="24"/>
          <w:szCs w:val="24"/>
        </w:rPr>
        <w:t xml:space="preserve"> </w:t>
      </w:r>
      <w:r>
        <w:rPr>
          <w:rFonts w:ascii="SimSun" w:hAnsi="SimSun" w:eastAsia="SimSun" w:cs="SimSun"/>
          <w:sz w:val="24"/>
          <w:szCs w:val="24"/>
          <w:spacing w:val="-1"/>
        </w:rPr>
        <w:t>害。可能产生的水土流失危害主要表现在以下几点：</w:t>
      </w:r>
    </w:p>
    <w:p>
      <w:pPr>
        <w:ind w:left="16" w:right="18" w:firstLine="472"/>
        <w:spacing w:before="2" w:line="312" w:lineRule="auto"/>
        <w:rPr>
          <w:rFonts w:ascii="SimSun" w:hAnsi="SimSun" w:eastAsia="SimSun" w:cs="SimSun"/>
          <w:sz w:val="24"/>
          <w:szCs w:val="24"/>
        </w:rPr>
      </w:pPr>
      <w:r>
        <w:rPr>
          <w:rFonts w:ascii="SimSun" w:hAnsi="SimSun" w:eastAsia="SimSun" w:cs="SimSun"/>
          <w:sz w:val="24"/>
          <w:szCs w:val="24"/>
          <w:spacing w:val="3"/>
        </w:rPr>
        <w:t>①施工过程中土方开挖使原有土壤结构受到破坏，加剧水土流</w:t>
      </w:r>
      <w:r>
        <w:rPr>
          <w:rFonts w:ascii="SimSun" w:hAnsi="SimSun" w:eastAsia="SimSun" w:cs="SimSun"/>
          <w:sz w:val="24"/>
          <w:szCs w:val="24"/>
          <w:spacing w:val="2"/>
        </w:rPr>
        <w:t>失，损坏原有</w:t>
      </w:r>
      <w:r>
        <w:rPr>
          <w:rFonts w:ascii="SimSun" w:hAnsi="SimSun" w:eastAsia="SimSun" w:cs="SimSun"/>
          <w:sz w:val="24"/>
          <w:szCs w:val="24"/>
        </w:rPr>
        <w:t xml:space="preserve"> </w:t>
      </w:r>
      <w:r>
        <w:rPr>
          <w:rFonts w:ascii="SimSun" w:hAnsi="SimSun" w:eastAsia="SimSun" w:cs="SimSun"/>
          <w:sz w:val="24"/>
          <w:szCs w:val="24"/>
          <w:spacing w:val="-3"/>
        </w:rPr>
        <w:t>的水土保持能力，对当地生态造成一定程度的破坏，如不采取措施会使环境恶化，</w:t>
      </w:r>
      <w:r>
        <w:rPr>
          <w:rFonts w:ascii="SimSun" w:hAnsi="SimSun" w:eastAsia="SimSun" w:cs="SimSun"/>
          <w:sz w:val="24"/>
          <w:szCs w:val="24"/>
          <w:spacing w:val="15"/>
        </w:rPr>
        <w:t xml:space="preserve"> </w:t>
      </w:r>
      <w:r>
        <w:rPr>
          <w:rFonts w:ascii="SimSun" w:hAnsi="SimSun" w:eastAsia="SimSun" w:cs="SimSun"/>
          <w:sz w:val="24"/>
          <w:szCs w:val="24"/>
          <w:spacing w:val="-1"/>
        </w:rPr>
        <w:t>导致生态经济系统的恶性循环，从而加剧原有的水土流失。</w:t>
      </w:r>
    </w:p>
    <w:p>
      <w:pPr>
        <w:ind w:left="8" w:right="80" w:firstLine="479"/>
        <w:spacing w:before="182" w:line="289" w:lineRule="auto"/>
        <w:rPr>
          <w:rFonts w:ascii="SimSun" w:hAnsi="SimSun" w:eastAsia="SimSun" w:cs="SimSun"/>
          <w:sz w:val="24"/>
          <w:szCs w:val="24"/>
        </w:rPr>
      </w:pPr>
      <w:r>
        <w:rPr>
          <w:rFonts w:ascii="SimSun" w:hAnsi="SimSun" w:eastAsia="SimSun" w:cs="SimSun"/>
          <w:sz w:val="24"/>
          <w:szCs w:val="24"/>
          <w:spacing w:val="3"/>
        </w:rPr>
        <w:t>②在地面坡度较大地段，开挖后常造成开挖面及填方外边坡裸露</w:t>
      </w:r>
      <w:r>
        <w:rPr>
          <w:rFonts w:ascii="SimSun" w:hAnsi="SimSun" w:eastAsia="SimSun" w:cs="SimSun"/>
          <w:sz w:val="24"/>
          <w:szCs w:val="24"/>
          <w:spacing w:val="2"/>
        </w:rPr>
        <w:t>，被雨水冲</w:t>
      </w:r>
      <w:r>
        <w:rPr>
          <w:rFonts w:ascii="SimSun" w:hAnsi="SimSun" w:eastAsia="SimSun" w:cs="SimSun"/>
          <w:sz w:val="24"/>
          <w:szCs w:val="24"/>
        </w:rPr>
        <w:t xml:space="preserve"> </w:t>
      </w:r>
      <w:r>
        <w:rPr>
          <w:rFonts w:ascii="SimSun" w:hAnsi="SimSun" w:eastAsia="SimSun" w:cs="SimSun"/>
          <w:sz w:val="24"/>
          <w:szCs w:val="24"/>
          <w:spacing w:val="-2"/>
        </w:rPr>
        <w:t>蚀易产生冲沟。</w:t>
      </w:r>
    </w:p>
    <w:p>
      <w:pPr>
        <w:ind w:left="10" w:firstLine="477"/>
        <w:spacing w:before="184" w:line="288" w:lineRule="auto"/>
        <w:rPr>
          <w:rFonts w:ascii="SimSun" w:hAnsi="SimSun" w:eastAsia="SimSun" w:cs="SimSun"/>
          <w:sz w:val="24"/>
          <w:szCs w:val="24"/>
        </w:rPr>
      </w:pPr>
      <w:r>
        <w:rPr>
          <w:rFonts w:ascii="SimSun" w:hAnsi="SimSun" w:eastAsia="SimSun" w:cs="SimSun"/>
          <w:sz w:val="24"/>
          <w:szCs w:val="24"/>
          <w:spacing w:val="3"/>
        </w:rPr>
        <w:t>③施工过程中因填方需求，会有部分土方在施工场地存放，由于</w:t>
      </w:r>
      <w:r>
        <w:rPr>
          <w:rFonts w:ascii="SimSun" w:hAnsi="SimSun" w:eastAsia="SimSun" w:cs="SimSun"/>
          <w:sz w:val="24"/>
          <w:szCs w:val="24"/>
          <w:spacing w:val="2"/>
        </w:rPr>
        <w:t>土方结构疏</w:t>
      </w:r>
      <w:r>
        <w:rPr>
          <w:rFonts w:ascii="SimSun" w:hAnsi="SimSun" w:eastAsia="SimSun" w:cs="SimSun"/>
          <w:sz w:val="24"/>
          <w:szCs w:val="24"/>
        </w:rPr>
        <w:t xml:space="preserve"> </w:t>
      </w:r>
      <w:r>
        <w:rPr>
          <w:rFonts w:ascii="SimSun" w:hAnsi="SimSun" w:eastAsia="SimSun" w:cs="SimSun"/>
          <w:sz w:val="24"/>
          <w:szCs w:val="24"/>
          <w:spacing w:val="-2"/>
        </w:rPr>
        <w:t>松，孔隙度增大，易产生水土流失，一遇暴雨被冲刷流走，对周边环境产生影响。</w:t>
      </w:r>
    </w:p>
    <w:p>
      <w:pPr>
        <w:ind w:left="12" w:right="78" w:firstLine="478"/>
        <w:spacing w:before="184" w:line="359" w:lineRule="auto"/>
        <w:rPr>
          <w:rFonts w:ascii="SimSun" w:hAnsi="SimSun" w:eastAsia="SimSun" w:cs="SimSun"/>
          <w:sz w:val="24"/>
          <w:szCs w:val="24"/>
        </w:rPr>
      </w:pPr>
      <w:r>
        <w:rPr>
          <w:rFonts w:ascii="SimSun" w:hAnsi="SimSun" w:eastAsia="SimSun" w:cs="SimSun"/>
          <w:sz w:val="24"/>
          <w:szCs w:val="24"/>
          <w:spacing w:val="3"/>
        </w:rPr>
        <w:t>本项目施工期间水土流失总量较少，对生态环境影响相对较小，</w:t>
      </w:r>
      <w:r>
        <w:rPr>
          <w:rFonts w:ascii="SimSun" w:hAnsi="SimSun" w:eastAsia="SimSun" w:cs="SimSun"/>
          <w:sz w:val="24"/>
          <w:szCs w:val="24"/>
          <w:spacing w:val="2"/>
        </w:rPr>
        <w:t>且属于间歇</w:t>
      </w:r>
      <w:r>
        <w:rPr>
          <w:rFonts w:ascii="SimSun" w:hAnsi="SimSun" w:eastAsia="SimSun" w:cs="SimSun"/>
          <w:sz w:val="24"/>
          <w:szCs w:val="24"/>
        </w:rPr>
        <w:t xml:space="preserve"> </w:t>
      </w:r>
      <w:r>
        <w:rPr>
          <w:rFonts w:ascii="SimSun" w:hAnsi="SimSun" w:eastAsia="SimSun" w:cs="SimSun"/>
          <w:sz w:val="24"/>
          <w:szCs w:val="24"/>
          <w:spacing w:val="-1"/>
        </w:rPr>
        <w:t>性，通过采取水土保持措施，水土流失影响将随施工结束而消失。</w:t>
      </w:r>
    </w:p>
    <w:p>
      <w:pPr>
        <w:ind w:left="501"/>
        <w:spacing w:before="1"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）对植被的影响分析</w:t>
      </w:r>
    </w:p>
    <w:p>
      <w:pPr>
        <w:ind w:left="9" w:right="78" w:firstLine="480"/>
        <w:spacing w:before="183" w:line="359" w:lineRule="auto"/>
        <w:rPr>
          <w:rFonts w:ascii="SimSun" w:hAnsi="SimSun" w:eastAsia="SimSun" w:cs="SimSun"/>
          <w:sz w:val="24"/>
          <w:szCs w:val="24"/>
        </w:rPr>
      </w:pPr>
      <w:r>
        <w:rPr>
          <w:rFonts w:ascii="SimSun" w:hAnsi="SimSun" w:eastAsia="SimSun" w:cs="SimSun"/>
          <w:sz w:val="24"/>
          <w:szCs w:val="24"/>
          <w:spacing w:val="3"/>
        </w:rPr>
        <w:t>本项目施工对植被的影响主要表现在工程建设活动的实施，造成</w:t>
      </w:r>
      <w:r>
        <w:rPr>
          <w:rFonts w:ascii="SimSun" w:hAnsi="SimSun" w:eastAsia="SimSun" w:cs="SimSun"/>
          <w:sz w:val="24"/>
          <w:szCs w:val="24"/>
          <w:spacing w:val="2"/>
        </w:rPr>
        <w:t>地表裸露，</w:t>
      </w:r>
      <w:r>
        <w:rPr>
          <w:rFonts w:ascii="SimSun" w:hAnsi="SimSun" w:eastAsia="SimSun" w:cs="SimSun"/>
          <w:sz w:val="24"/>
          <w:szCs w:val="24"/>
        </w:rPr>
        <w:t xml:space="preserve"> </w:t>
      </w:r>
      <w:r>
        <w:rPr>
          <w:rFonts w:ascii="SimSun" w:hAnsi="SimSun" w:eastAsia="SimSun" w:cs="SimSun"/>
          <w:sz w:val="24"/>
          <w:szCs w:val="24"/>
          <w:spacing w:val="3"/>
        </w:rPr>
        <w:t>使地表植被遭到破坏。项目评价范围内无重要的、珍稀</w:t>
      </w:r>
      <w:r>
        <w:rPr>
          <w:rFonts w:ascii="SimSun" w:hAnsi="SimSun" w:eastAsia="SimSun" w:cs="SimSun"/>
          <w:sz w:val="24"/>
          <w:szCs w:val="24"/>
          <w:spacing w:val="2"/>
        </w:rPr>
        <w:t>的植物存在，且项目区域</w:t>
      </w:r>
      <w:r>
        <w:rPr>
          <w:rFonts w:ascii="SimSun" w:hAnsi="SimSun" w:eastAsia="SimSun" w:cs="SimSun"/>
          <w:sz w:val="24"/>
          <w:szCs w:val="24"/>
        </w:rPr>
        <w:t xml:space="preserve"> </w:t>
      </w:r>
      <w:r>
        <w:rPr>
          <w:rFonts w:ascii="SimSun" w:hAnsi="SimSun" w:eastAsia="SimSun" w:cs="SimSun"/>
          <w:sz w:val="24"/>
          <w:szCs w:val="24"/>
          <w:spacing w:val="3"/>
        </w:rPr>
        <w:t>地表植被稀疏，因此工程施工对植被的影响不大，</w:t>
      </w:r>
      <w:r>
        <w:rPr>
          <w:rFonts w:ascii="SimSun" w:hAnsi="SimSun" w:eastAsia="SimSun" w:cs="SimSun"/>
          <w:sz w:val="24"/>
          <w:szCs w:val="24"/>
          <w:spacing w:val="2"/>
        </w:rPr>
        <w:t>施工结束通过厂区绿化、对现</w:t>
      </w:r>
      <w:r>
        <w:rPr>
          <w:rFonts w:ascii="SimSun" w:hAnsi="SimSun" w:eastAsia="SimSun" w:cs="SimSun"/>
          <w:sz w:val="24"/>
          <w:szCs w:val="24"/>
        </w:rPr>
        <w:t xml:space="preserve"> </w:t>
      </w:r>
      <w:r>
        <w:rPr>
          <w:rFonts w:ascii="SimSun" w:hAnsi="SimSun" w:eastAsia="SimSun" w:cs="SimSun"/>
          <w:sz w:val="24"/>
          <w:szCs w:val="24"/>
          <w:spacing w:val="-1"/>
        </w:rPr>
        <w:t>有生态环境的整改等措施可以减少施工导致的植被损失。</w:t>
      </w:r>
    </w:p>
    <w:p>
      <w:pPr>
        <w:ind w:left="501"/>
        <w:spacing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）对动物的影响分析</w:t>
      </w:r>
    </w:p>
    <w:p>
      <w:pPr>
        <w:ind w:left="10" w:right="77" w:firstLine="478"/>
        <w:spacing w:before="178" w:line="322" w:lineRule="auto"/>
        <w:rPr>
          <w:rFonts w:ascii="SimSun" w:hAnsi="SimSun" w:eastAsia="SimSun" w:cs="SimSun"/>
          <w:sz w:val="24"/>
          <w:szCs w:val="24"/>
        </w:rPr>
      </w:pPr>
      <w:r>
        <w:rPr>
          <w:rFonts w:ascii="SimSun" w:hAnsi="SimSun" w:eastAsia="SimSun" w:cs="SimSun"/>
          <w:sz w:val="24"/>
          <w:szCs w:val="24"/>
          <w:spacing w:val="3"/>
        </w:rPr>
        <w:t>施工期间的机械噪声对动物带来惊扰，部分动物将暂时离开以躲避</w:t>
      </w:r>
      <w:r>
        <w:rPr>
          <w:rFonts w:ascii="SimSun" w:hAnsi="SimSun" w:eastAsia="SimSun" w:cs="SimSun"/>
          <w:sz w:val="24"/>
          <w:szCs w:val="24"/>
          <w:spacing w:val="2"/>
        </w:rPr>
        <w:t>人类的活</w:t>
      </w:r>
      <w:r>
        <w:rPr>
          <w:rFonts w:ascii="SimSun" w:hAnsi="SimSun" w:eastAsia="SimSun" w:cs="SimSun"/>
          <w:sz w:val="24"/>
          <w:szCs w:val="24"/>
        </w:rPr>
        <w:t xml:space="preserve"> </w:t>
      </w:r>
      <w:r>
        <w:rPr>
          <w:rFonts w:ascii="SimSun" w:hAnsi="SimSun" w:eastAsia="SimSun" w:cs="SimSun"/>
          <w:sz w:val="24"/>
          <w:szCs w:val="24"/>
          <w:spacing w:val="3"/>
        </w:rPr>
        <w:t>动；项目施工期短，项目评价区域为正镶黄旗明安图镇</w:t>
      </w:r>
      <w:r>
        <w:rPr>
          <w:rFonts w:ascii="SimSun" w:hAnsi="SimSun" w:eastAsia="SimSun" w:cs="SimSun"/>
          <w:sz w:val="24"/>
          <w:szCs w:val="24"/>
          <w:spacing w:val="2"/>
        </w:rPr>
        <w:t>，动物物种数量少，为常</w:t>
      </w:r>
    </w:p>
    <w:p>
      <w:pPr>
        <w:spacing w:line="322" w:lineRule="auto"/>
        <w:sectPr>
          <w:headerReference w:type="default" r:id="rId11"/>
          <w:footerReference w:type="default" r:id="rId327"/>
          <w:pgSz w:w="11907" w:h="16840"/>
          <w:pgMar w:top="1567" w:right="1621" w:bottom="1921" w:left="1701" w:header="1221" w:footer="1247" w:gutter="0"/>
        </w:sectPr>
        <w:rPr>
          <w:rFonts w:ascii="SimSun" w:hAnsi="SimSun" w:eastAsia="SimSun" w:cs="SimSun"/>
          <w:sz w:val="24"/>
          <w:szCs w:val="24"/>
        </w:rPr>
      </w:pPr>
    </w:p>
    <w:p>
      <w:pPr>
        <w:ind w:left="13"/>
        <w:spacing w:before="188" w:line="219" w:lineRule="auto"/>
        <w:rPr>
          <w:rFonts w:ascii="SimSun" w:hAnsi="SimSun" w:eastAsia="SimSun" w:cs="SimSun"/>
          <w:sz w:val="24"/>
          <w:szCs w:val="24"/>
        </w:rPr>
      </w:pPr>
      <w:r>
        <w:pict>
          <v:shape id="_x0000_s1086" style="position:absolute;margin-left:85.05pt;margin-top:79.11pt;mso-position-vertical-relative:page;mso-position-horizontal-relative:page;width:425.25pt;height:0.75pt;z-index:252203008;" o:allowincell="f" fillcolor="#000000" filled="true" stroked="false" coordsize="8505,15" coordorigin="0,0" path="m,l8505,0l8505,14l0,14l0,0xe"/>
        </w:pict>
      </w:r>
      <w:r>
        <w:rPr>
          <w:rFonts w:ascii="SimSun" w:hAnsi="SimSun" w:eastAsia="SimSun" w:cs="SimSun"/>
          <w:sz w:val="24"/>
          <w:szCs w:val="24"/>
          <w:spacing w:val="-2"/>
        </w:rPr>
        <w:t>见动物，野生动物影响不大。</w:t>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7"/>
        <w:spacing w:before="62" w:line="227" w:lineRule="auto"/>
        <w:rPr>
          <w:rFonts w:ascii="SimSun" w:hAnsi="SimSun" w:eastAsia="SimSun" w:cs="SimSun"/>
          <w:sz w:val="19"/>
          <w:szCs w:val="19"/>
        </w:rPr>
      </w:pPr>
      <w:r>
        <w:pict>
          <v:shape id="_x0000_s1088" style="position:absolute;margin-left:159.33pt;margin-top:2.12164pt;mso-position-vertical-relative:text;mso-position-horizontal-relative:text;width:61pt;height:13.75pt;z-index:25220198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235</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2"/>
          <w:footerReference w:type="default" r:id="rId3"/>
          <w:pgSz w:w="11907" w:h="16840"/>
          <w:pgMar w:top="1567" w:right="1700" w:bottom="400" w:left="1701" w:header="1221" w:footer="0" w:gutter="0"/>
        </w:sectPr>
        <w:rPr>
          <w:rFonts w:ascii="SimSun" w:hAnsi="SimSun" w:eastAsia="SimSun" w:cs="SimSun"/>
          <w:sz w:val="19"/>
          <w:szCs w:val="19"/>
        </w:rPr>
      </w:pPr>
    </w:p>
    <w:p>
      <w:pPr>
        <w:ind w:left="37"/>
        <w:spacing w:before="185" w:line="227" w:lineRule="auto"/>
        <w:outlineLvl w:val="0"/>
        <w:rPr>
          <w:rFonts w:ascii="SimHei" w:hAnsi="SimHei" w:eastAsia="SimHei" w:cs="SimHei"/>
          <w:sz w:val="35"/>
          <w:szCs w:val="35"/>
        </w:rPr>
      </w:pPr>
      <w:r>
        <w:pict>
          <v:shape id="_x0000_s1092" style="position:absolute;margin-left:85.05pt;margin-top:78.87pt;mso-position-vertical-relative:page;mso-position-horizontal-relative:page;width:425.25pt;height:0.75pt;z-index:252205056;" o:allowincell="f" fillcolor="#000000" filled="true" stroked="false" coordsize="8505,15" coordorigin="0,0" path="m,l8505,0l8505,14l0,14l0,0xe"/>
        </w:pict>
      </w:r>
      <w:bookmarkStart w:name="bookmark122" w:id="151"/>
      <w:bookmarkEnd w:id="151"/>
      <w:bookmarkStart w:name="bookmark123" w:id="152"/>
      <w:bookmarkEnd w:id="152"/>
      <w:bookmarkStart w:name="bookmark124" w:id="153"/>
      <w:bookmarkEnd w:id="153"/>
      <w:r>
        <w:rPr>
          <w:rFonts w:ascii="Times New Roman" w:hAnsi="Times New Roman" w:eastAsia="Times New Roman" w:cs="Times New Roman"/>
          <w:sz w:val="35"/>
          <w:szCs w:val="35"/>
          <w:spacing w:val="6"/>
        </w:rPr>
        <w:t>6 </w:t>
      </w:r>
      <w:r>
        <w:rPr>
          <w:rFonts w:ascii="SimHei" w:hAnsi="SimHei" w:eastAsia="SimHei" w:cs="SimHei"/>
          <w:sz w:val="35"/>
          <w:szCs w:val="35"/>
          <w:spacing w:val="6"/>
        </w:rPr>
        <w:t>环境风险评价</w:t>
      </w:r>
    </w:p>
    <w:p>
      <w:pPr>
        <w:ind w:left="35"/>
        <w:spacing w:before="261" w:line="222" w:lineRule="auto"/>
        <w:outlineLvl w:val="1"/>
        <w:rPr>
          <w:rFonts w:ascii="SimHei" w:hAnsi="SimHei" w:eastAsia="SimHei" w:cs="SimHei"/>
          <w:sz w:val="30"/>
          <w:szCs w:val="30"/>
        </w:rPr>
      </w:pPr>
      <w:bookmarkStart w:name="bookmark243" w:id="154"/>
      <w:bookmarkEnd w:id="154"/>
      <w:r>
        <w:rPr>
          <w:rFonts w:ascii="Times New Roman" w:hAnsi="Times New Roman" w:eastAsia="Times New Roman" w:cs="Times New Roman"/>
          <w:sz w:val="30"/>
          <w:szCs w:val="30"/>
          <w:spacing w:val="-2"/>
        </w:rPr>
        <w:t>6.1 </w:t>
      </w:r>
      <w:r>
        <w:rPr>
          <w:rFonts w:ascii="SimHei" w:hAnsi="SimHei" w:eastAsia="SimHei" w:cs="SimHei"/>
          <w:sz w:val="30"/>
          <w:szCs w:val="30"/>
          <w:spacing w:val="-2"/>
        </w:rPr>
        <w:t>风险调查</w:t>
      </w:r>
    </w:p>
    <w:p>
      <w:pPr>
        <w:pStyle w:val="BodyText"/>
        <w:spacing w:line="247" w:lineRule="auto"/>
        <w:rPr/>
      </w:pPr>
      <w:r/>
    </w:p>
    <w:p>
      <w:pPr>
        <w:ind w:left="34"/>
        <w:spacing w:before="91" w:line="222" w:lineRule="auto"/>
        <w:outlineLvl w:val="2"/>
        <w:rPr>
          <w:rFonts w:ascii="SimHei" w:hAnsi="SimHei" w:eastAsia="SimHei" w:cs="SimHei"/>
          <w:sz w:val="28"/>
          <w:szCs w:val="28"/>
        </w:rPr>
      </w:pPr>
      <w:bookmarkStart w:name="bookmark244" w:id="155"/>
      <w:bookmarkEnd w:id="155"/>
      <w:r>
        <w:rPr>
          <w:rFonts w:ascii="Times New Roman" w:hAnsi="Times New Roman" w:eastAsia="Times New Roman" w:cs="Times New Roman"/>
          <w:sz w:val="28"/>
          <w:szCs w:val="28"/>
          <w:spacing w:val="-1"/>
        </w:rPr>
        <w:t>6.1.1 </w:t>
      </w:r>
      <w:r>
        <w:rPr>
          <w:rFonts w:ascii="SimHei" w:hAnsi="SimHei" w:eastAsia="SimHei" w:cs="SimHei"/>
          <w:sz w:val="28"/>
          <w:szCs w:val="28"/>
          <w:spacing w:val="-1"/>
        </w:rPr>
        <w:t>建设项目风险源调查</w:t>
      </w:r>
    </w:p>
    <w:p>
      <w:pPr>
        <w:pStyle w:val="BodyText"/>
        <w:spacing w:line="245" w:lineRule="auto"/>
        <w:rPr/>
      </w:pPr>
      <w:r/>
    </w:p>
    <w:p>
      <w:pPr>
        <w:ind w:left="36" w:firstLine="475"/>
        <w:spacing w:before="78" w:line="359" w:lineRule="auto"/>
        <w:jc w:val="both"/>
        <w:rPr>
          <w:rFonts w:ascii="SimSun" w:hAnsi="SimSun" w:eastAsia="SimSun" w:cs="SimSun"/>
          <w:sz w:val="24"/>
          <w:szCs w:val="24"/>
        </w:rPr>
      </w:pPr>
      <w:r>
        <w:rPr>
          <w:rFonts w:ascii="SimSun" w:hAnsi="SimSun" w:eastAsia="SimSun" w:cs="SimSun"/>
          <w:sz w:val="24"/>
          <w:szCs w:val="24"/>
          <w:spacing w:val="-1"/>
        </w:rPr>
        <w:t>根据项目工程分析，结合《建设项目环境风险评价技术导则》（</w:t>
      </w:r>
      <w:r>
        <w:rPr>
          <w:rFonts w:ascii="Times New Roman" w:hAnsi="Times New Roman" w:eastAsia="Times New Roman" w:cs="Times New Roman"/>
          <w:sz w:val="24"/>
          <w:szCs w:val="24"/>
          <w:spacing w:val="-1"/>
        </w:rPr>
        <w:t>HJ169-2018</w:t>
      </w:r>
      <w:r>
        <w:rPr>
          <w:rFonts w:ascii="SimSun" w:hAnsi="SimSun" w:eastAsia="SimSun" w:cs="SimSun"/>
          <w:sz w:val="24"/>
          <w:szCs w:val="24"/>
          <w:spacing w:val="-1"/>
        </w:rPr>
        <w:t>）</w:t>
      </w:r>
      <w:r>
        <w:rPr>
          <w:rFonts w:ascii="SimSun" w:hAnsi="SimSun" w:eastAsia="SimSun" w:cs="SimSun"/>
          <w:sz w:val="24"/>
          <w:szCs w:val="24"/>
          <w:spacing w:val="4"/>
        </w:rPr>
        <w:t xml:space="preserve"> </w:t>
      </w:r>
      <w:r>
        <w:rPr>
          <w:rFonts w:ascii="SimSun" w:hAnsi="SimSun" w:eastAsia="SimSun" w:cs="SimSun"/>
          <w:sz w:val="24"/>
          <w:szCs w:val="24"/>
          <w:spacing w:val="-2"/>
        </w:rPr>
        <w:t>附录</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B</w:t>
      </w:r>
      <w:r>
        <w:rPr>
          <w:rFonts w:ascii="SimSun" w:hAnsi="SimSun" w:eastAsia="SimSun" w:cs="SimSun"/>
          <w:sz w:val="24"/>
          <w:szCs w:val="24"/>
          <w:spacing w:val="-2"/>
        </w:rPr>
        <w:t>、</w:t>
      </w:r>
      <w:r>
        <w:rPr>
          <w:rFonts w:ascii="Times New Roman" w:hAnsi="Times New Roman" w:eastAsia="Times New Roman" w:cs="Times New Roman"/>
          <w:sz w:val="24"/>
          <w:szCs w:val="24"/>
          <w:spacing w:val="-2"/>
        </w:rPr>
        <w:t>GB3000.18</w:t>
      </w:r>
      <w:r>
        <w:rPr>
          <w:rFonts w:ascii="SimSun" w:hAnsi="SimSun" w:eastAsia="SimSun" w:cs="SimSun"/>
          <w:sz w:val="24"/>
          <w:szCs w:val="24"/>
          <w:spacing w:val="-2"/>
        </w:rPr>
        <w:t>、</w:t>
      </w:r>
      <w:r>
        <w:rPr>
          <w:rFonts w:ascii="Times New Roman" w:hAnsi="Times New Roman" w:eastAsia="Times New Roman" w:cs="Times New Roman"/>
          <w:sz w:val="24"/>
          <w:szCs w:val="24"/>
          <w:spacing w:val="-2"/>
        </w:rPr>
        <w:t>GB30000.28</w:t>
      </w:r>
      <w:r>
        <w:rPr>
          <w:rFonts w:ascii="SimSun" w:hAnsi="SimSun" w:eastAsia="SimSun" w:cs="SimSun"/>
          <w:sz w:val="24"/>
          <w:szCs w:val="24"/>
          <w:spacing w:val="-2"/>
        </w:rPr>
        <w:t>，本项目生产过程中涉及的环境风险物质主要为</w:t>
      </w:r>
      <w:r>
        <w:rPr>
          <w:rFonts w:ascii="SimSun" w:hAnsi="SimSun" w:eastAsia="SimSun" w:cs="SimSun"/>
          <w:sz w:val="24"/>
          <w:szCs w:val="24"/>
        </w:rPr>
        <w:t xml:space="preserve"> </w:t>
      </w:r>
      <w:r>
        <w:rPr>
          <w:rFonts w:ascii="SimSun" w:hAnsi="SimSun" w:eastAsia="SimSun" w:cs="SimSun"/>
          <w:sz w:val="24"/>
          <w:szCs w:val="24"/>
          <w:spacing w:val="-20"/>
        </w:rPr>
        <w:t>沼气（甲烷）、</w:t>
      </w:r>
      <w:r>
        <w:rPr>
          <w:rFonts w:ascii="Times New Roman" w:hAnsi="Times New Roman" w:eastAsia="Times New Roman" w:cs="Times New Roman"/>
          <w:sz w:val="24"/>
          <w:szCs w:val="24"/>
          <w:spacing w:val="-20"/>
        </w:rPr>
        <w:t>COD</w:t>
      </w:r>
      <w:r>
        <w:rPr>
          <w:rFonts w:ascii="Times New Roman" w:hAnsi="Times New Roman" w:eastAsia="Times New Roman" w:cs="Times New Roman"/>
          <w:sz w:val="15"/>
          <w:szCs w:val="15"/>
          <w:spacing w:val="-4"/>
          <w:position w:val="-1"/>
        </w:rPr>
        <w:t>Cr</w:t>
      </w:r>
      <w:r>
        <w:rPr>
          <w:rFonts w:ascii="Times New Roman" w:hAnsi="Times New Roman" w:eastAsia="Times New Roman" w:cs="Times New Roman"/>
          <w:sz w:val="15"/>
          <w:szCs w:val="15"/>
          <w:spacing w:val="11"/>
          <w:w w:val="102"/>
          <w:position w:val="-1"/>
        </w:rPr>
        <w:t xml:space="preserve"> </w:t>
      </w:r>
      <w:r>
        <w:rPr>
          <w:rFonts w:ascii="SimSun" w:hAnsi="SimSun" w:eastAsia="SimSun" w:cs="SimSun"/>
          <w:sz w:val="24"/>
          <w:szCs w:val="24"/>
          <w:spacing w:val="-4"/>
        </w:rPr>
        <w:t>浓度≥</w:t>
      </w:r>
      <w:r>
        <w:rPr>
          <w:rFonts w:ascii="Times New Roman" w:hAnsi="Times New Roman" w:eastAsia="Times New Roman" w:cs="Times New Roman"/>
          <w:sz w:val="24"/>
          <w:szCs w:val="24"/>
          <w:spacing w:val="-4"/>
        </w:rPr>
        <w:t>10000mg/L </w:t>
      </w:r>
      <w:r>
        <w:rPr>
          <w:rFonts w:ascii="SimSun" w:hAnsi="SimSun" w:eastAsia="SimSun" w:cs="SimSun"/>
          <w:sz w:val="24"/>
          <w:szCs w:val="24"/>
          <w:spacing w:val="-4"/>
        </w:rPr>
        <w:t>有机废液、废矿</w:t>
      </w:r>
      <w:r>
        <w:rPr>
          <w:rFonts w:ascii="SimSun" w:hAnsi="SimSun" w:eastAsia="SimSun" w:cs="SimSun"/>
          <w:sz w:val="24"/>
          <w:szCs w:val="24"/>
          <w:spacing w:val="-5"/>
        </w:rPr>
        <w:t>物油，分布情况见表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6.1-1</w:t>
      </w:r>
      <w:r>
        <w:rPr>
          <w:rFonts w:ascii="SimSun" w:hAnsi="SimSun" w:eastAsia="SimSun" w:cs="SimSun"/>
          <w:sz w:val="24"/>
          <w:szCs w:val="24"/>
          <w:spacing w:val="-5"/>
        </w:rPr>
        <w:t>。</w:t>
      </w:r>
    </w:p>
    <w:p>
      <w:pPr>
        <w:ind w:left="2075"/>
        <w:spacing w:before="1" w:line="210"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8"/>
        </w:rPr>
        <w:t xml:space="preserve"> </w:t>
      </w:r>
      <w:r>
        <w:rPr>
          <w:rFonts w:ascii="Times New Roman" w:hAnsi="Times New Roman" w:eastAsia="Times New Roman" w:cs="Times New Roman"/>
          <w:sz w:val="24"/>
          <w:szCs w:val="24"/>
          <w:b/>
          <w:bCs/>
          <w:spacing w:val="-2"/>
        </w:rPr>
        <w:t>6.1-1        </w:t>
      </w:r>
      <w:r>
        <w:rPr>
          <w:rFonts w:ascii="SimSun" w:hAnsi="SimSun" w:eastAsia="SimSun" w:cs="SimSun"/>
          <w:sz w:val="24"/>
          <w:szCs w:val="24"/>
          <w:b/>
          <w:bCs/>
          <w:spacing w:val="-2"/>
        </w:rPr>
        <w:t>涉及危险物质分布情况一览表</w:t>
      </w:r>
    </w:p>
    <w:tbl>
      <w:tblPr>
        <w:tblStyle w:val="TableNormal"/>
        <w:tblW w:w="854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01"/>
        <w:gridCol w:w="2052"/>
        <w:gridCol w:w="913"/>
        <w:gridCol w:w="1665"/>
        <w:gridCol w:w="3412"/>
      </w:tblGrid>
      <w:tr>
        <w:trPr>
          <w:trHeight w:val="281" w:hRule="atLeast"/>
        </w:trPr>
        <w:tc>
          <w:tcPr>
            <w:tcW w:w="501" w:type="dxa"/>
            <w:vAlign w:val="top"/>
          </w:tcPr>
          <w:p>
            <w:pPr>
              <w:pStyle w:val="TableText"/>
              <w:ind w:left="43"/>
              <w:spacing w:before="35" w:line="217" w:lineRule="auto"/>
              <w:rPr/>
            </w:pPr>
            <w:r>
              <w:rPr>
                <w:spacing w:val="5"/>
              </w:rPr>
              <w:t>序号</w:t>
            </w:r>
          </w:p>
        </w:tc>
        <w:tc>
          <w:tcPr>
            <w:tcW w:w="2052" w:type="dxa"/>
            <w:vAlign w:val="top"/>
          </w:tcPr>
          <w:p>
            <w:pPr>
              <w:pStyle w:val="TableText"/>
              <w:ind w:left="400"/>
              <w:spacing w:before="35" w:line="217" w:lineRule="auto"/>
              <w:rPr/>
            </w:pPr>
            <w:r>
              <w:rPr>
                <w:spacing w:val="8"/>
              </w:rPr>
              <w:t>环境风险物质</w:t>
            </w:r>
          </w:p>
        </w:tc>
        <w:tc>
          <w:tcPr>
            <w:tcW w:w="913" w:type="dxa"/>
            <w:vAlign w:val="top"/>
          </w:tcPr>
          <w:p>
            <w:pPr>
              <w:pStyle w:val="TableText"/>
              <w:ind w:left="42"/>
              <w:spacing w:before="35" w:line="217" w:lineRule="auto"/>
              <w:rPr/>
            </w:pPr>
            <w:r>
              <w:rPr>
                <w:spacing w:val="7"/>
              </w:rPr>
              <w:t>物质特性</w:t>
            </w:r>
          </w:p>
        </w:tc>
        <w:tc>
          <w:tcPr>
            <w:tcW w:w="1665" w:type="dxa"/>
            <w:vAlign w:val="top"/>
          </w:tcPr>
          <w:p>
            <w:pPr>
              <w:pStyle w:val="TableText"/>
              <w:ind w:left="418"/>
              <w:spacing w:before="35" w:line="217" w:lineRule="auto"/>
              <w:rPr/>
            </w:pPr>
            <w:r>
              <w:rPr>
                <w:spacing w:val="7"/>
              </w:rPr>
              <w:t>物质状态</w:t>
            </w:r>
          </w:p>
        </w:tc>
        <w:tc>
          <w:tcPr>
            <w:tcW w:w="3412" w:type="dxa"/>
            <w:vAlign w:val="top"/>
          </w:tcPr>
          <w:p>
            <w:pPr>
              <w:pStyle w:val="TableText"/>
              <w:ind w:left="1289"/>
              <w:spacing w:before="35" w:line="217" w:lineRule="auto"/>
              <w:rPr/>
            </w:pPr>
            <w:r>
              <w:rPr>
                <w:spacing w:val="7"/>
              </w:rPr>
              <w:t>存在位置</w:t>
            </w:r>
          </w:p>
        </w:tc>
      </w:tr>
      <w:tr>
        <w:trPr>
          <w:trHeight w:val="276" w:hRule="atLeast"/>
        </w:trPr>
        <w:tc>
          <w:tcPr>
            <w:tcW w:w="501" w:type="dxa"/>
            <w:vAlign w:val="top"/>
          </w:tcPr>
          <w:p>
            <w:pPr>
              <w:ind w:left="219"/>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52" w:type="dxa"/>
            <w:vAlign w:val="top"/>
          </w:tcPr>
          <w:p>
            <w:pPr>
              <w:pStyle w:val="TableText"/>
              <w:ind w:left="404"/>
              <w:spacing w:before="33" w:line="215" w:lineRule="auto"/>
              <w:rPr/>
            </w:pPr>
            <w:r>
              <w:rPr>
                <w:spacing w:val="6"/>
              </w:rPr>
              <w:t>沼气（甲烷）</w:t>
            </w:r>
          </w:p>
        </w:tc>
        <w:tc>
          <w:tcPr>
            <w:tcW w:w="913" w:type="dxa"/>
            <w:vAlign w:val="top"/>
          </w:tcPr>
          <w:p>
            <w:pPr>
              <w:pStyle w:val="TableText"/>
              <w:ind w:left="265"/>
              <w:spacing w:before="33" w:line="215" w:lineRule="auto"/>
              <w:rPr/>
            </w:pPr>
            <w:r>
              <w:rPr>
                <w:spacing w:val="-3"/>
              </w:rPr>
              <w:t>易燃</w:t>
            </w:r>
          </w:p>
        </w:tc>
        <w:tc>
          <w:tcPr>
            <w:tcW w:w="1665" w:type="dxa"/>
            <w:vAlign w:val="top"/>
          </w:tcPr>
          <w:p>
            <w:pPr>
              <w:pStyle w:val="TableText"/>
              <w:ind w:left="630"/>
              <w:spacing w:before="33" w:line="215" w:lineRule="auto"/>
              <w:rPr/>
            </w:pPr>
            <w:r>
              <w:rPr>
                <w:spacing w:val="4"/>
              </w:rPr>
              <w:t>气态</w:t>
            </w:r>
          </w:p>
        </w:tc>
        <w:tc>
          <w:tcPr>
            <w:tcW w:w="3412" w:type="dxa"/>
            <w:vAlign w:val="top"/>
          </w:tcPr>
          <w:p>
            <w:pPr>
              <w:pStyle w:val="TableText"/>
              <w:ind w:left="50"/>
              <w:spacing w:before="33" w:line="215" w:lineRule="auto"/>
              <w:rPr/>
            </w:pPr>
            <w:r>
              <w:rPr>
                <w:spacing w:val="8"/>
              </w:rPr>
              <w:t>厌氧发酵罐</w:t>
            </w:r>
            <w:r>
              <w:rPr>
                <w:rFonts w:ascii="Times New Roman" w:hAnsi="Times New Roman" w:eastAsia="Times New Roman" w:cs="Times New Roman"/>
                <w:spacing w:val="8"/>
              </w:rPr>
              <w:t>/</w:t>
            </w:r>
            <w:r>
              <w:rPr>
                <w:spacing w:val="8"/>
              </w:rPr>
              <w:t>气柜</w:t>
            </w:r>
            <w:r>
              <w:rPr>
                <w:rFonts w:ascii="Times New Roman" w:hAnsi="Times New Roman" w:eastAsia="Times New Roman" w:cs="Times New Roman"/>
                <w:spacing w:val="8"/>
              </w:rPr>
              <w:t>/</w:t>
            </w:r>
            <w:r>
              <w:rPr>
                <w:spacing w:val="8"/>
              </w:rPr>
              <w:t>沼气锅炉</w:t>
            </w:r>
            <w:r>
              <w:rPr>
                <w:rFonts w:ascii="Times New Roman" w:hAnsi="Times New Roman" w:eastAsia="Times New Roman" w:cs="Times New Roman"/>
                <w:spacing w:val="8"/>
              </w:rPr>
              <w:t>/</w:t>
            </w:r>
            <w:r>
              <w:rPr>
                <w:spacing w:val="8"/>
              </w:rPr>
              <w:t>沼气管道</w:t>
            </w:r>
          </w:p>
        </w:tc>
      </w:tr>
      <w:tr>
        <w:trPr>
          <w:trHeight w:val="548" w:hRule="atLeast"/>
        </w:trPr>
        <w:tc>
          <w:tcPr>
            <w:tcW w:w="501" w:type="dxa"/>
            <w:vAlign w:val="top"/>
          </w:tcPr>
          <w:p>
            <w:pPr>
              <w:ind w:left="199"/>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052" w:type="dxa"/>
            <w:vAlign w:val="top"/>
          </w:tcPr>
          <w:p>
            <w:pPr>
              <w:pStyle w:val="TableText"/>
              <w:ind w:left="512"/>
              <w:spacing w:before="35" w:line="228" w:lineRule="auto"/>
              <w:rPr/>
            </w:pPr>
            <w:r>
              <w:rPr>
                <w:rFonts w:ascii="Times New Roman" w:hAnsi="Times New Roman" w:eastAsia="Times New Roman" w:cs="Times New Roman"/>
              </w:rPr>
              <w:t>COD</w:t>
            </w:r>
            <w:r>
              <w:rPr>
                <w:rFonts w:ascii="Times New Roman" w:hAnsi="Times New Roman" w:eastAsia="Times New Roman" w:cs="Times New Roman"/>
                <w:sz w:val="13"/>
                <w:szCs w:val="13"/>
                <w:position w:val="-1"/>
              </w:rPr>
              <w:t>Cr</w:t>
            </w:r>
            <w:r>
              <w:rPr>
                <w:rFonts w:ascii="Times New Roman" w:hAnsi="Times New Roman" w:eastAsia="Times New Roman" w:cs="Times New Roman"/>
                <w:sz w:val="13"/>
                <w:szCs w:val="13"/>
                <w:spacing w:val="13"/>
                <w:position w:val="-1"/>
              </w:rPr>
              <w:t xml:space="preserve"> </w:t>
            </w:r>
            <w:r>
              <w:rPr>
                <w:spacing w:val="13"/>
              </w:rPr>
              <w:t>浓度</w:t>
            </w:r>
          </w:p>
          <w:p>
            <w:pPr>
              <w:pStyle w:val="TableText"/>
              <w:ind w:left="30"/>
              <w:spacing w:before="23" w:line="214" w:lineRule="auto"/>
              <w:rPr/>
            </w:pPr>
            <w:r>
              <w:rPr>
                <w:rFonts w:ascii="Times New Roman" w:hAnsi="Times New Roman" w:eastAsia="Times New Roman" w:cs="Times New Roman"/>
                <w:spacing w:val="6"/>
              </w:rPr>
              <w:t>≥10000</w:t>
            </w:r>
            <w:r>
              <w:rPr>
                <w:rFonts w:ascii="Times New Roman" w:hAnsi="Times New Roman" w:eastAsia="Times New Roman" w:cs="Times New Roman"/>
              </w:rPr>
              <w:t>mg</w:t>
            </w:r>
            <w:r>
              <w:rPr>
                <w:rFonts w:ascii="Times New Roman" w:hAnsi="Times New Roman" w:eastAsia="Times New Roman" w:cs="Times New Roman"/>
                <w:spacing w:val="6"/>
              </w:rPr>
              <w:t>/L </w:t>
            </w:r>
            <w:r>
              <w:rPr>
                <w:spacing w:val="6"/>
              </w:rPr>
              <w:t>有机废液</w:t>
            </w:r>
          </w:p>
        </w:tc>
        <w:tc>
          <w:tcPr>
            <w:tcW w:w="913" w:type="dxa"/>
            <w:vAlign w:val="top"/>
          </w:tcPr>
          <w:p>
            <w:pPr>
              <w:pStyle w:val="TableText"/>
              <w:ind w:left="42"/>
              <w:spacing w:before="169" w:line="228" w:lineRule="auto"/>
              <w:rPr/>
            </w:pPr>
            <w:r>
              <w:rPr>
                <w:spacing w:val="7"/>
              </w:rPr>
              <w:t>环境污染</w:t>
            </w:r>
          </w:p>
        </w:tc>
        <w:tc>
          <w:tcPr>
            <w:tcW w:w="1665" w:type="dxa"/>
            <w:vAlign w:val="top"/>
          </w:tcPr>
          <w:p>
            <w:pPr>
              <w:pStyle w:val="TableText"/>
              <w:ind w:left="631"/>
              <w:spacing w:before="169" w:line="228" w:lineRule="auto"/>
              <w:rPr/>
            </w:pPr>
            <w:r>
              <w:rPr>
                <w:spacing w:val="3"/>
              </w:rPr>
              <w:t>液态</w:t>
            </w:r>
          </w:p>
        </w:tc>
        <w:tc>
          <w:tcPr>
            <w:tcW w:w="3412" w:type="dxa"/>
            <w:vAlign w:val="top"/>
          </w:tcPr>
          <w:p>
            <w:pPr>
              <w:pStyle w:val="TableText"/>
              <w:ind w:left="614"/>
              <w:spacing w:before="169" w:line="227" w:lineRule="auto"/>
              <w:rPr/>
            </w:pPr>
            <w:r>
              <w:rPr>
                <w:rFonts w:ascii="Times New Roman" w:hAnsi="Times New Roman" w:eastAsia="Times New Roman" w:cs="Times New Roman"/>
              </w:rPr>
              <w:t>TS</w:t>
            </w:r>
            <w:r>
              <w:rPr>
                <w:rFonts w:ascii="Times New Roman" w:hAnsi="Times New Roman" w:eastAsia="Times New Roman" w:cs="Times New Roman"/>
                <w:spacing w:val="9"/>
              </w:rPr>
              <w:t xml:space="preserve"> </w:t>
            </w:r>
            <w:r>
              <w:rPr>
                <w:spacing w:val="9"/>
              </w:rPr>
              <w:t>调节池、厌氧发酵罐</w:t>
            </w:r>
          </w:p>
        </w:tc>
      </w:tr>
      <w:tr>
        <w:trPr>
          <w:trHeight w:val="281" w:hRule="atLeast"/>
        </w:trPr>
        <w:tc>
          <w:tcPr>
            <w:tcW w:w="501" w:type="dxa"/>
            <w:vAlign w:val="top"/>
          </w:tcPr>
          <w:p>
            <w:pPr>
              <w:ind w:left="203"/>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2052" w:type="dxa"/>
            <w:vAlign w:val="top"/>
          </w:tcPr>
          <w:p>
            <w:pPr>
              <w:pStyle w:val="TableText"/>
              <w:ind w:left="608"/>
              <w:spacing w:before="35" w:line="217" w:lineRule="auto"/>
              <w:rPr/>
            </w:pPr>
            <w:r>
              <w:rPr>
                <w:spacing w:val="7"/>
              </w:rPr>
              <w:t>废矿物油</w:t>
            </w:r>
          </w:p>
        </w:tc>
        <w:tc>
          <w:tcPr>
            <w:tcW w:w="913" w:type="dxa"/>
            <w:vAlign w:val="top"/>
          </w:tcPr>
          <w:p>
            <w:pPr>
              <w:pStyle w:val="TableText"/>
              <w:ind w:left="265"/>
              <w:spacing w:before="35" w:line="217" w:lineRule="auto"/>
              <w:rPr/>
            </w:pPr>
            <w:r>
              <w:rPr>
                <w:spacing w:val="-3"/>
              </w:rPr>
              <w:t>易燃</w:t>
            </w:r>
          </w:p>
        </w:tc>
        <w:tc>
          <w:tcPr>
            <w:tcW w:w="1665" w:type="dxa"/>
            <w:vAlign w:val="top"/>
          </w:tcPr>
          <w:p>
            <w:pPr>
              <w:pStyle w:val="TableText"/>
              <w:ind w:left="631"/>
              <w:spacing w:before="35" w:line="217" w:lineRule="auto"/>
              <w:rPr/>
            </w:pPr>
            <w:r>
              <w:rPr>
                <w:spacing w:val="3"/>
              </w:rPr>
              <w:t>液态</w:t>
            </w:r>
          </w:p>
        </w:tc>
        <w:tc>
          <w:tcPr>
            <w:tcW w:w="3412" w:type="dxa"/>
            <w:vAlign w:val="top"/>
          </w:tcPr>
          <w:p>
            <w:pPr>
              <w:pStyle w:val="TableText"/>
              <w:ind w:left="1187"/>
              <w:spacing w:before="35" w:line="217" w:lineRule="auto"/>
              <w:rPr/>
            </w:pPr>
            <w:r>
              <w:rPr>
                <w:spacing w:val="7"/>
              </w:rPr>
              <w:t>危废暂存间</w:t>
            </w:r>
          </w:p>
        </w:tc>
      </w:tr>
    </w:tbl>
    <w:p>
      <w:pPr>
        <w:ind w:left="34" w:right="99" w:firstLine="481"/>
        <w:spacing w:before="34" w:line="352" w:lineRule="auto"/>
        <w:rPr>
          <w:rFonts w:ascii="SimSun" w:hAnsi="SimSun" w:eastAsia="SimSun" w:cs="SimSun"/>
          <w:sz w:val="24"/>
          <w:szCs w:val="24"/>
        </w:rPr>
      </w:pPr>
      <w:r>
        <w:rPr>
          <w:rFonts w:ascii="SimSun" w:hAnsi="SimSun" w:eastAsia="SimSun" w:cs="SimSun"/>
          <w:sz w:val="24"/>
          <w:szCs w:val="24"/>
        </w:rPr>
        <w:t>沼气（甲烷）、</w:t>
      </w:r>
      <w:r>
        <w:rPr>
          <w:rFonts w:ascii="Times New Roman" w:hAnsi="Times New Roman" w:eastAsia="Times New Roman" w:cs="Times New Roman"/>
          <w:sz w:val="24"/>
          <w:szCs w:val="24"/>
        </w:rPr>
        <w:t>COD</w:t>
      </w:r>
      <w:r>
        <w:rPr>
          <w:rFonts w:ascii="Times New Roman" w:hAnsi="Times New Roman" w:eastAsia="Times New Roman" w:cs="Times New Roman"/>
          <w:sz w:val="15"/>
          <w:szCs w:val="15"/>
          <w:position w:val="-1"/>
        </w:rPr>
        <w:t>Cr</w:t>
      </w:r>
      <w:r>
        <w:rPr>
          <w:rFonts w:ascii="Times New Roman" w:hAnsi="Times New Roman" w:eastAsia="Times New Roman" w:cs="Times New Roman"/>
          <w:sz w:val="15"/>
          <w:szCs w:val="15"/>
          <w:spacing w:val="11"/>
          <w:position w:val="-1"/>
        </w:rPr>
        <w:t xml:space="preserve"> </w:t>
      </w:r>
      <w:r>
        <w:rPr>
          <w:rFonts w:ascii="SimSun" w:hAnsi="SimSun" w:eastAsia="SimSun" w:cs="SimSun"/>
          <w:sz w:val="24"/>
          <w:szCs w:val="24"/>
        </w:rPr>
        <w:t>浓度</w:t>
      </w:r>
      <w:r>
        <w:rPr>
          <w:rFonts w:ascii="Times New Roman" w:hAnsi="Times New Roman" w:eastAsia="Times New Roman" w:cs="Times New Roman"/>
          <w:sz w:val="24"/>
          <w:szCs w:val="24"/>
        </w:rPr>
        <w:t>≥10000mg/L </w:t>
      </w:r>
      <w:r>
        <w:rPr>
          <w:rFonts w:ascii="SimSun" w:hAnsi="SimSun" w:eastAsia="SimSun" w:cs="SimSun"/>
          <w:sz w:val="24"/>
          <w:szCs w:val="24"/>
        </w:rPr>
        <w:t>有机废液、废矿</w:t>
      </w:r>
      <w:r>
        <w:rPr>
          <w:rFonts w:ascii="SimSun" w:hAnsi="SimSun" w:eastAsia="SimSun" w:cs="SimSun"/>
          <w:sz w:val="24"/>
          <w:szCs w:val="24"/>
          <w:spacing w:val="-1"/>
        </w:rPr>
        <w:t>物油安全技术说明书</w:t>
      </w:r>
      <w:r>
        <w:rPr>
          <w:rFonts w:ascii="SimSun" w:hAnsi="SimSun" w:eastAsia="SimSun" w:cs="SimSun"/>
          <w:sz w:val="24"/>
          <w:szCs w:val="24"/>
        </w:rPr>
        <w:t xml:space="preserve"> </w:t>
      </w:r>
      <w:r>
        <w:rPr>
          <w:rFonts w:ascii="SimSun" w:hAnsi="SimSun" w:eastAsia="SimSun" w:cs="SimSun"/>
          <w:sz w:val="24"/>
          <w:szCs w:val="24"/>
          <w:spacing w:val="-3"/>
        </w:rPr>
        <w:t>详见表</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3"/>
        </w:rPr>
        <w:t>6.1-2~8</w:t>
      </w:r>
      <w:r>
        <w:rPr>
          <w:rFonts w:ascii="SimSun" w:hAnsi="SimSun" w:eastAsia="SimSun" w:cs="SimSun"/>
          <w:sz w:val="24"/>
          <w:szCs w:val="24"/>
          <w:spacing w:val="-3"/>
        </w:rPr>
        <w:t>。</w:t>
      </w:r>
    </w:p>
    <w:p>
      <w:pPr>
        <w:ind w:left="2075"/>
        <w:spacing w:before="18"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0"/>
        </w:rPr>
        <w:t xml:space="preserve"> </w:t>
      </w:r>
      <w:r>
        <w:rPr>
          <w:rFonts w:ascii="Times New Roman" w:hAnsi="Times New Roman" w:eastAsia="Times New Roman" w:cs="Times New Roman"/>
          <w:sz w:val="24"/>
          <w:szCs w:val="24"/>
          <w:b/>
          <w:bCs/>
          <w:spacing w:val="-2"/>
        </w:rPr>
        <w:t>6.1-2        </w:t>
      </w:r>
      <w:r>
        <w:rPr>
          <w:rFonts w:ascii="SimSun" w:hAnsi="SimSun" w:eastAsia="SimSun" w:cs="SimSun"/>
          <w:sz w:val="24"/>
          <w:szCs w:val="24"/>
          <w:b/>
          <w:bCs/>
          <w:spacing w:val="-2"/>
        </w:rPr>
        <w:t>沼气（甲烷）安全技术说明书</w:t>
      </w:r>
    </w:p>
    <w:tbl>
      <w:tblPr>
        <w:tblStyle w:val="TableNormal"/>
        <w:tblW w:w="8517" w:type="dxa"/>
        <w:tblInd w:w="1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61"/>
        <w:gridCol w:w="2988"/>
        <w:gridCol w:w="2519"/>
        <w:gridCol w:w="2449"/>
      </w:tblGrid>
      <w:tr>
        <w:trPr>
          <w:trHeight w:val="282" w:hRule="atLeast"/>
        </w:trPr>
        <w:tc>
          <w:tcPr>
            <w:tcW w:w="561" w:type="dxa"/>
            <w:vAlign w:val="top"/>
            <w:vMerge w:val="restart"/>
            <w:tcBorders>
              <w:bottom w:val="nil"/>
            </w:tcBorders>
          </w:tcPr>
          <w:p>
            <w:pPr>
              <w:pStyle w:val="TableText"/>
              <w:ind w:left="75"/>
              <w:spacing w:before="177" w:line="228" w:lineRule="auto"/>
              <w:rPr/>
            </w:pPr>
            <w:r>
              <w:rPr>
                <w:spacing w:val="4"/>
              </w:rPr>
              <w:t>标识</w:t>
            </w:r>
          </w:p>
        </w:tc>
        <w:tc>
          <w:tcPr>
            <w:tcW w:w="2988" w:type="dxa"/>
            <w:vAlign w:val="top"/>
          </w:tcPr>
          <w:p>
            <w:pPr>
              <w:pStyle w:val="TableText"/>
              <w:ind w:left="27"/>
              <w:spacing w:before="34" w:line="219" w:lineRule="auto"/>
              <w:rPr/>
            </w:pPr>
            <w:r>
              <w:rPr>
                <w:spacing w:val="-3"/>
              </w:rPr>
              <w:t>中文名：</w:t>
            </w:r>
            <w:r>
              <w:rPr>
                <w:spacing w:val="-53"/>
              </w:rPr>
              <w:t xml:space="preserve"> </w:t>
            </w:r>
            <w:r>
              <w:rPr>
                <w:spacing w:val="-3"/>
              </w:rPr>
              <w:t>甲烷</w:t>
            </w:r>
          </w:p>
        </w:tc>
        <w:tc>
          <w:tcPr>
            <w:tcW w:w="4968" w:type="dxa"/>
            <w:vAlign w:val="top"/>
            <w:gridSpan w:val="2"/>
          </w:tcPr>
          <w:p>
            <w:pPr>
              <w:pStyle w:val="TableText"/>
              <w:ind w:left="11"/>
              <w:spacing w:before="34" w:line="219" w:lineRule="auto"/>
              <w:rPr>
                <w:rFonts w:ascii="Times New Roman" w:hAnsi="Times New Roman" w:eastAsia="Times New Roman" w:cs="Times New Roman"/>
              </w:rPr>
            </w:pPr>
            <w:r>
              <w:rPr>
                <w:spacing w:val="15"/>
              </w:rPr>
              <w:t>英文名：</w:t>
            </w:r>
            <w:r>
              <w:rPr>
                <w:rFonts w:ascii="Times New Roman" w:hAnsi="Times New Roman" w:eastAsia="Times New Roman" w:cs="Times New Roman"/>
              </w:rPr>
              <w:t>nethane</w:t>
            </w:r>
          </w:p>
        </w:tc>
      </w:tr>
      <w:tr>
        <w:trPr>
          <w:trHeight w:val="277" w:hRule="atLeast"/>
        </w:trPr>
        <w:tc>
          <w:tcPr>
            <w:tcW w:w="561" w:type="dxa"/>
            <w:vAlign w:val="top"/>
            <w:vMerge w:val="continue"/>
            <w:tcBorders>
              <w:top w:val="nil"/>
            </w:tcBorders>
          </w:tcPr>
          <w:p>
            <w:pPr>
              <w:rPr>
                <w:rFonts w:ascii="Arial"/>
                <w:sz w:val="21"/>
              </w:rPr>
            </w:pPr>
            <w:r/>
          </w:p>
        </w:tc>
        <w:tc>
          <w:tcPr>
            <w:tcW w:w="2988" w:type="dxa"/>
            <w:vAlign w:val="top"/>
          </w:tcPr>
          <w:p>
            <w:pPr>
              <w:pStyle w:val="TableText"/>
              <w:ind w:left="10"/>
              <w:spacing w:before="31" w:line="217" w:lineRule="auto"/>
              <w:rPr>
                <w:rFonts w:ascii="Times New Roman" w:hAnsi="Times New Roman" w:eastAsia="Times New Roman" w:cs="Times New Roman"/>
                <w:sz w:val="13"/>
                <w:szCs w:val="13"/>
              </w:rPr>
            </w:pPr>
            <w:r>
              <w:rPr>
                <w:spacing w:val="9"/>
              </w:rPr>
              <w:t>分子式：</w:t>
            </w:r>
            <w:r>
              <w:rPr>
                <w:rFonts w:ascii="Times New Roman" w:hAnsi="Times New Roman" w:eastAsia="Times New Roman" w:cs="Times New Roman"/>
              </w:rPr>
              <w:t>CH</w:t>
            </w:r>
            <w:r>
              <w:rPr>
                <w:rFonts w:ascii="Times New Roman" w:hAnsi="Times New Roman" w:eastAsia="Times New Roman" w:cs="Times New Roman"/>
                <w:sz w:val="13"/>
                <w:szCs w:val="13"/>
                <w:spacing w:val="9"/>
                <w:position w:val="-1"/>
              </w:rPr>
              <w:t>4</w:t>
            </w:r>
          </w:p>
        </w:tc>
        <w:tc>
          <w:tcPr>
            <w:tcW w:w="2519" w:type="dxa"/>
            <w:vAlign w:val="top"/>
          </w:tcPr>
          <w:p>
            <w:pPr>
              <w:pStyle w:val="TableText"/>
              <w:ind w:left="13"/>
              <w:spacing w:before="31" w:line="217" w:lineRule="auto"/>
              <w:rPr>
                <w:rFonts w:ascii="Times New Roman" w:hAnsi="Times New Roman" w:eastAsia="Times New Roman" w:cs="Times New Roman"/>
              </w:rPr>
            </w:pPr>
            <w:r>
              <w:rPr>
                <w:spacing w:val="5"/>
              </w:rPr>
              <w:t>分子量：</w:t>
            </w:r>
            <w:r>
              <w:rPr>
                <w:rFonts w:ascii="Times New Roman" w:hAnsi="Times New Roman" w:eastAsia="Times New Roman" w:cs="Times New Roman"/>
                <w:spacing w:val="5"/>
              </w:rPr>
              <w:t>16.04</w:t>
            </w:r>
          </w:p>
        </w:tc>
        <w:tc>
          <w:tcPr>
            <w:tcW w:w="2449" w:type="dxa"/>
            <w:vAlign w:val="top"/>
          </w:tcPr>
          <w:p>
            <w:pPr>
              <w:pStyle w:val="TableText"/>
              <w:ind w:left="11"/>
              <w:spacing w:before="31" w:line="217" w:lineRule="auto"/>
              <w:rPr>
                <w:rFonts w:ascii="Times New Roman" w:hAnsi="Times New Roman" w:eastAsia="Times New Roman" w:cs="Times New Roman"/>
              </w:rPr>
            </w:pPr>
            <w:r>
              <w:rPr>
                <w:rFonts w:ascii="Times New Roman" w:hAnsi="Times New Roman" w:eastAsia="Times New Roman" w:cs="Times New Roman"/>
              </w:rPr>
              <w:t>CAS</w:t>
            </w:r>
            <w:r>
              <w:rPr>
                <w:rFonts w:ascii="Times New Roman" w:hAnsi="Times New Roman" w:eastAsia="Times New Roman" w:cs="Times New Roman"/>
                <w:spacing w:val="18"/>
                <w:w w:val="101"/>
              </w:rPr>
              <w:t xml:space="preserve"> </w:t>
            </w:r>
            <w:r>
              <w:rPr>
                <w:spacing w:val="5"/>
              </w:rPr>
              <w:t>号：</w:t>
            </w:r>
            <w:r>
              <w:rPr>
                <w:rFonts w:ascii="Times New Roman" w:hAnsi="Times New Roman" w:eastAsia="Times New Roman" w:cs="Times New Roman"/>
                <w:spacing w:val="5"/>
              </w:rPr>
              <w:t>74-82-8</w:t>
            </w:r>
          </w:p>
        </w:tc>
      </w:tr>
      <w:tr>
        <w:trPr>
          <w:trHeight w:val="277" w:hRule="atLeast"/>
        </w:trPr>
        <w:tc>
          <w:tcPr>
            <w:tcW w:w="561" w:type="dxa"/>
            <w:vAlign w:val="top"/>
            <w:vMerge w:val="restart"/>
            <w:tcBorders>
              <w:bottom w:val="nil"/>
            </w:tcBorders>
          </w:tcPr>
          <w:p>
            <w:pPr>
              <w:spacing w:line="392" w:lineRule="auto"/>
              <w:rPr>
                <w:rFonts w:ascii="Arial"/>
                <w:sz w:val="21"/>
              </w:rPr>
            </w:pPr>
            <w:r/>
          </w:p>
          <w:p>
            <w:pPr>
              <w:pStyle w:val="TableText"/>
              <w:ind w:left="77"/>
              <w:spacing w:before="65" w:line="229" w:lineRule="auto"/>
              <w:rPr/>
            </w:pPr>
            <w:r>
              <w:rPr>
                <w:spacing w:val="3"/>
              </w:rPr>
              <w:t>理化</w:t>
            </w:r>
          </w:p>
          <w:p>
            <w:pPr>
              <w:pStyle w:val="TableText"/>
              <w:ind w:left="77"/>
              <w:spacing w:before="23" w:line="228" w:lineRule="auto"/>
              <w:rPr/>
            </w:pPr>
            <w:r>
              <w:rPr>
                <w:spacing w:val="3"/>
              </w:rPr>
              <w:t>性质</w:t>
            </w:r>
          </w:p>
        </w:tc>
        <w:tc>
          <w:tcPr>
            <w:tcW w:w="7956" w:type="dxa"/>
            <w:vAlign w:val="top"/>
            <w:gridSpan w:val="3"/>
          </w:tcPr>
          <w:p>
            <w:pPr>
              <w:pStyle w:val="TableText"/>
              <w:ind w:left="10"/>
              <w:spacing w:before="29" w:line="219" w:lineRule="auto"/>
              <w:rPr/>
            </w:pPr>
            <w:r>
              <w:rPr>
                <w:spacing w:val="8"/>
              </w:rPr>
              <w:t>性状：无色无臭气体</w:t>
            </w:r>
          </w:p>
        </w:tc>
      </w:tr>
      <w:tr>
        <w:trPr>
          <w:trHeight w:val="278" w:hRule="atLeast"/>
        </w:trPr>
        <w:tc>
          <w:tcPr>
            <w:tcW w:w="561" w:type="dxa"/>
            <w:vAlign w:val="top"/>
            <w:vMerge w:val="continue"/>
            <w:tcBorders>
              <w:top w:val="nil"/>
              <w:bottom w:val="nil"/>
            </w:tcBorders>
          </w:tcPr>
          <w:p>
            <w:pPr>
              <w:rPr>
                <w:rFonts w:ascii="Arial"/>
                <w:sz w:val="21"/>
              </w:rPr>
            </w:pPr>
            <w:r/>
          </w:p>
        </w:tc>
        <w:tc>
          <w:tcPr>
            <w:tcW w:w="2988" w:type="dxa"/>
            <w:vAlign w:val="top"/>
          </w:tcPr>
          <w:p>
            <w:pPr>
              <w:pStyle w:val="TableText"/>
              <w:ind w:left="9"/>
              <w:spacing w:before="31" w:line="218" w:lineRule="auto"/>
              <w:rPr>
                <w:rFonts w:ascii="Times New Roman" w:hAnsi="Times New Roman" w:eastAsia="Times New Roman" w:cs="Times New Roman"/>
              </w:rPr>
            </w:pPr>
            <w:r>
              <w:rPr>
                <w:spacing w:val="5"/>
              </w:rPr>
              <w:t>熔点</w:t>
            </w:r>
            <w:r>
              <w:rPr>
                <w:rFonts w:ascii="Times New Roman" w:hAnsi="Times New Roman" w:eastAsia="Times New Roman" w:cs="Times New Roman"/>
                <w:spacing w:val="5"/>
              </w:rPr>
              <w:t>(℃)</w:t>
            </w:r>
            <w:r>
              <w:rPr>
                <w:spacing w:val="5"/>
              </w:rPr>
              <w:t>：</w:t>
            </w:r>
            <w:r>
              <w:rPr>
                <w:rFonts w:ascii="Times New Roman" w:hAnsi="Times New Roman" w:eastAsia="Times New Roman" w:cs="Times New Roman"/>
                <w:spacing w:val="5"/>
              </w:rPr>
              <w:t>-182.5</w:t>
            </w:r>
          </w:p>
        </w:tc>
        <w:tc>
          <w:tcPr>
            <w:tcW w:w="4968" w:type="dxa"/>
            <w:vAlign w:val="top"/>
            <w:gridSpan w:val="2"/>
          </w:tcPr>
          <w:p>
            <w:pPr>
              <w:pStyle w:val="TableText"/>
              <w:ind w:left="13"/>
              <w:spacing w:before="31" w:line="218" w:lineRule="auto"/>
              <w:rPr/>
            </w:pPr>
            <w:r>
              <w:rPr>
                <w:spacing w:val="8"/>
              </w:rPr>
              <w:t>溶解性：微溶于水，溶于醇、乙醚。</w:t>
            </w:r>
          </w:p>
        </w:tc>
      </w:tr>
      <w:tr>
        <w:trPr>
          <w:trHeight w:val="277" w:hRule="atLeast"/>
        </w:trPr>
        <w:tc>
          <w:tcPr>
            <w:tcW w:w="561" w:type="dxa"/>
            <w:vAlign w:val="top"/>
            <w:vMerge w:val="continue"/>
            <w:tcBorders>
              <w:top w:val="nil"/>
              <w:bottom w:val="nil"/>
            </w:tcBorders>
          </w:tcPr>
          <w:p>
            <w:pPr>
              <w:rPr>
                <w:rFonts w:ascii="Arial"/>
                <w:sz w:val="21"/>
              </w:rPr>
            </w:pPr>
            <w:r/>
          </w:p>
        </w:tc>
        <w:tc>
          <w:tcPr>
            <w:tcW w:w="2988" w:type="dxa"/>
            <w:vAlign w:val="top"/>
          </w:tcPr>
          <w:p>
            <w:pPr>
              <w:pStyle w:val="TableText"/>
              <w:ind w:left="9"/>
              <w:spacing w:before="31" w:line="217" w:lineRule="auto"/>
              <w:rPr>
                <w:rFonts w:ascii="Times New Roman" w:hAnsi="Times New Roman" w:eastAsia="Times New Roman" w:cs="Times New Roman"/>
              </w:rPr>
            </w:pPr>
            <w:r>
              <w:rPr>
                <w:spacing w:val="5"/>
              </w:rPr>
              <w:t>沸点</w:t>
            </w:r>
            <w:r>
              <w:rPr>
                <w:rFonts w:ascii="Times New Roman" w:hAnsi="Times New Roman" w:eastAsia="Times New Roman" w:cs="Times New Roman"/>
                <w:spacing w:val="5"/>
              </w:rPr>
              <w:t>(℃)</w:t>
            </w:r>
            <w:r>
              <w:rPr>
                <w:spacing w:val="5"/>
              </w:rPr>
              <w:t>：</w:t>
            </w:r>
            <w:r>
              <w:rPr>
                <w:rFonts w:ascii="Times New Roman" w:hAnsi="Times New Roman" w:eastAsia="Times New Roman" w:cs="Times New Roman"/>
                <w:spacing w:val="5"/>
              </w:rPr>
              <w:t>-161.5</w:t>
            </w:r>
          </w:p>
        </w:tc>
        <w:tc>
          <w:tcPr>
            <w:tcW w:w="4968" w:type="dxa"/>
            <w:vAlign w:val="top"/>
            <w:gridSpan w:val="2"/>
          </w:tcPr>
          <w:p>
            <w:pPr>
              <w:pStyle w:val="TableText"/>
              <w:ind w:left="10"/>
              <w:spacing w:line="267" w:lineRule="exact"/>
              <w:rPr>
                <w:rFonts w:ascii="Times New Roman" w:hAnsi="Times New Roman" w:eastAsia="Times New Roman" w:cs="Times New Roman"/>
              </w:rPr>
            </w:pPr>
            <w:r>
              <w:rPr>
                <w:spacing w:val="5"/>
                <w:position w:val="2"/>
              </w:rPr>
              <w:t>相对密度</w:t>
            </w:r>
            <w:r>
              <w:rPr>
                <w:rFonts w:ascii="Times New Roman" w:hAnsi="Times New Roman" w:eastAsia="Times New Roman" w:cs="Times New Roman"/>
                <w:spacing w:val="5"/>
                <w:position w:val="2"/>
              </w:rPr>
              <w:t>(</w:t>
            </w:r>
            <w:r>
              <w:rPr>
                <w:spacing w:val="5"/>
                <w:position w:val="2"/>
              </w:rPr>
              <w:t>水</w:t>
            </w:r>
            <w:r>
              <w:rPr>
                <w:rFonts w:ascii="Times New Roman" w:hAnsi="Times New Roman" w:eastAsia="Times New Roman" w:cs="Times New Roman"/>
                <w:spacing w:val="5"/>
                <w:position w:val="2"/>
              </w:rPr>
              <w:t>=1) 0.42(</w:t>
            </w:r>
            <w:r>
              <w:rPr>
                <w:spacing w:val="5"/>
                <w:position w:val="2"/>
              </w:rPr>
              <w:t>空</w:t>
            </w:r>
            <w:r>
              <w:rPr>
                <w:rFonts w:ascii="Times New Roman" w:hAnsi="Times New Roman" w:eastAsia="Times New Roman" w:cs="Times New Roman"/>
                <w:spacing w:val="5"/>
                <w:position w:val="2"/>
              </w:rPr>
              <w:t>-164℃)</w:t>
            </w:r>
          </w:p>
        </w:tc>
      </w:tr>
      <w:tr>
        <w:trPr>
          <w:trHeight w:val="277" w:hRule="atLeast"/>
        </w:trPr>
        <w:tc>
          <w:tcPr>
            <w:tcW w:w="561" w:type="dxa"/>
            <w:vAlign w:val="top"/>
            <w:vMerge w:val="continue"/>
            <w:tcBorders>
              <w:top w:val="nil"/>
              <w:bottom w:val="nil"/>
            </w:tcBorders>
          </w:tcPr>
          <w:p>
            <w:pPr>
              <w:rPr>
                <w:rFonts w:ascii="Arial"/>
                <w:sz w:val="21"/>
              </w:rPr>
            </w:pPr>
            <w:r/>
          </w:p>
        </w:tc>
        <w:tc>
          <w:tcPr>
            <w:tcW w:w="2988" w:type="dxa"/>
            <w:vAlign w:val="top"/>
          </w:tcPr>
          <w:p>
            <w:pPr>
              <w:pStyle w:val="TableText"/>
              <w:ind w:left="7"/>
              <w:spacing w:before="30" w:line="218" w:lineRule="auto"/>
              <w:rPr>
                <w:rFonts w:ascii="Times New Roman" w:hAnsi="Times New Roman" w:eastAsia="Times New Roman" w:cs="Times New Roman"/>
              </w:rPr>
            </w:pPr>
            <w:r>
              <w:rPr>
                <w:spacing w:val="1"/>
              </w:rPr>
              <w:t>饱和蒸气压</w:t>
            </w:r>
            <w:r>
              <w:rPr>
                <w:rFonts w:ascii="Times New Roman" w:hAnsi="Times New Roman" w:eastAsia="Times New Roman" w:cs="Times New Roman"/>
                <w:spacing w:val="1"/>
              </w:rPr>
              <w:t>(</w:t>
            </w:r>
            <w:r>
              <w:rPr>
                <w:rFonts w:ascii="Times New Roman" w:hAnsi="Times New Roman" w:eastAsia="Times New Roman" w:cs="Times New Roman"/>
              </w:rPr>
              <w:t>kPa</w:t>
            </w:r>
            <w:r>
              <w:rPr>
                <w:rFonts w:ascii="Times New Roman" w:hAnsi="Times New Roman" w:eastAsia="Times New Roman" w:cs="Times New Roman"/>
                <w:spacing w:val="1"/>
              </w:rPr>
              <w:t>)</w:t>
            </w:r>
            <w:r>
              <w:rPr>
                <w:spacing w:val="1"/>
              </w:rPr>
              <w:t>：</w:t>
            </w:r>
            <w:r>
              <w:rPr>
                <w:rFonts w:ascii="Times New Roman" w:hAnsi="Times New Roman" w:eastAsia="Times New Roman" w:cs="Times New Roman"/>
                <w:spacing w:val="1"/>
              </w:rPr>
              <w:t>53.32(-168.8℃)</w:t>
            </w:r>
          </w:p>
        </w:tc>
        <w:tc>
          <w:tcPr>
            <w:tcW w:w="4968" w:type="dxa"/>
            <w:vAlign w:val="top"/>
            <w:gridSpan w:val="2"/>
          </w:tcPr>
          <w:p>
            <w:pPr>
              <w:pStyle w:val="TableText"/>
              <w:ind w:left="11"/>
              <w:spacing w:before="30" w:line="218" w:lineRule="auto"/>
              <w:rPr>
                <w:rFonts w:ascii="Times New Roman" w:hAnsi="Times New Roman" w:eastAsia="Times New Roman" w:cs="Times New Roman"/>
              </w:rPr>
            </w:pPr>
            <w:r>
              <w:rPr>
                <w:spacing w:val="7"/>
              </w:rPr>
              <w:t>燃烧热</w:t>
            </w:r>
            <w:r>
              <w:rPr>
                <w:rFonts w:ascii="Times New Roman" w:hAnsi="Times New Roman" w:eastAsia="Times New Roman" w:cs="Times New Roman"/>
                <w:spacing w:val="7"/>
              </w:rPr>
              <w:t>(</w:t>
            </w:r>
            <w:r>
              <w:rPr>
                <w:rFonts w:ascii="Times New Roman" w:hAnsi="Times New Roman" w:eastAsia="Times New Roman" w:cs="Times New Roman"/>
              </w:rPr>
              <w:t>kJ</w:t>
            </w:r>
            <w:r>
              <w:rPr>
                <w:rFonts w:ascii="Times New Roman" w:hAnsi="Times New Roman" w:eastAsia="Times New Roman" w:cs="Times New Roman"/>
                <w:spacing w:val="7"/>
              </w:rPr>
              <w:t>/</w:t>
            </w:r>
            <w:r>
              <w:rPr>
                <w:rFonts w:ascii="Times New Roman" w:hAnsi="Times New Roman" w:eastAsia="Times New Roman" w:cs="Times New Roman"/>
              </w:rPr>
              <w:t>mol</w:t>
            </w:r>
            <w:r>
              <w:rPr>
                <w:rFonts w:ascii="Times New Roman" w:hAnsi="Times New Roman" w:eastAsia="Times New Roman" w:cs="Times New Roman"/>
                <w:spacing w:val="7"/>
              </w:rPr>
              <w:t>)</w:t>
            </w:r>
            <w:r>
              <w:rPr>
                <w:spacing w:val="7"/>
              </w:rPr>
              <w:t>：</w:t>
            </w:r>
            <w:r>
              <w:rPr>
                <w:rFonts w:ascii="Times New Roman" w:hAnsi="Times New Roman" w:eastAsia="Times New Roman" w:cs="Times New Roman"/>
                <w:spacing w:val="7"/>
              </w:rPr>
              <w:t>889.5</w:t>
            </w:r>
          </w:p>
        </w:tc>
      </w:tr>
      <w:tr>
        <w:trPr>
          <w:trHeight w:val="278" w:hRule="atLeast"/>
        </w:trPr>
        <w:tc>
          <w:tcPr>
            <w:tcW w:w="561" w:type="dxa"/>
            <w:vAlign w:val="top"/>
            <w:vMerge w:val="continue"/>
            <w:tcBorders>
              <w:top w:val="nil"/>
            </w:tcBorders>
          </w:tcPr>
          <w:p>
            <w:pPr>
              <w:rPr>
                <w:rFonts w:ascii="Arial"/>
                <w:sz w:val="21"/>
              </w:rPr>
            </w:pPr>
            <w:r/>
          </w:p>
        </w:tc>
        <w:tc>
          <w:tcPr>
            <w:tcW w:w="2988" w:type="dxa"/>
            <w:vAlign w:val="top"/>
          </w:tcPr>
          <w:p>
            <w:pPr>
              <w:pStyle w:val="TableText"/>
              <w:ind w:left="19"/>
              <w:spacing w:before="31" w:line="218" w:lineRule="auto"/>
              <w:rPr>
                <w:rFonts w:ascii="Times New Roman" w:hAnsi="Times New Roman" w:eastAsia="Times New Roman" w:cs="Times New Roman"/>
              </w:rPr>
            </w:pPr>
            <w:r>
              <w:rPr>
                <w:spacing w:val="5"/>
              </w:rPr>
              <w:t>临界温度</w:t>
            </w:r>
            <w:r>
              <w:rPr>
                <w:rFonts w:ascii="Times New Roman" w:hAnsi="Times New Roman" w:eastAsia="Times New Roman" w:cs="Times New Roman"/>
                <w:spacing w:val="5"/>
              </w:rPr>
              <w:t>(℃)</w:t>
            </w:r>
            <w:r>
              <w:rPr>
                <w:spacing w:val="5"/>
              </w:rPr>
              <w:t>：</w:t>
            </w:r>
            <w:r>
              <w:rPr>
                <w:rFonts w:ascii="Times New Roman" w:hAnsi="Times New Roman" w:eastAsia="Times New Roman" w:cs="Times New Roman"/>
                <w:spacing w:val="5"/>
              </w:rPr>
              <w:t>-82.6</w:t>
            </w:r>
          </w:p>
        </w:tc>
        <w:tc>
          <w:tcPr>
            <w:tcW w:w="4968" w:type="dxa"/>
            <w:vAlign w:val="top"/>
            <w:gridSpan w:val="2"/>
          </w:tcPr>
          <w:p>
            <w:pPr>
              <w:pStyle w:val="TableText"/>
              <w:ind w:left="22"/>
              <w:spacing w:before="31" w:line="218" w:lineRule="auto"/>
              <w:rPr>
                <w:rFonts w:ascii="Times New Roman" w:hAnsi="Times New Roman" w:eastAsia="Times New Roman" w:cs="Times New Roman"/>
              </w:rPr>
            </w:pPr>
            <w:r>
              <w:rPr>
                <w:spacing w:val="6"/>
              </w:rPr>
              <w:t>临界压力</w:t>
            </w:r>
            <w:r>
              <w:rPr>
                <w:rFonts w:ascii="Times New Roman" w:hAnsi="Times New Roman" w:eastAsia="Times New Roman" w:cs="Times New Roman"/>
                <w:spacing w:val="6"/>
              </w:rPr>
              <w:t>(</w:t>
            </w:r>
            <w:r>
              <w:rPr>
                <w:rFonts w:ascii="Times New Roman" w:hAnsi="Times New Roman" w:eastAsia="Times New Roman" w:cs="Times New Roman"/>
              </w:rPr>
              <w:t>MPa</w:t>
            </w:r>
            <w:r>
              <w:rPr>
                <w:rFonts w:ascii="Times New Roman" w:hAnsi="Times New Roman" w:eastAsia="Times New Roman" w:cs="Times New Roman"/>
                <w:spacing w:val="6"/>
              </w:rPr>
              <w:t>)</w:t>
            </w:r>
            <w:r>
              <w:rPr>
                <w:spacing w:val="6"/>
              </w:rPr>
              <w:t>：</w:t>
            </w:r>
            <w:r>
              <w:rPr>
                <w:rFonts w:ascii="Times New Roman" w:hAnsi="Times New Roman" w:eastAsia="Times New Roman" w:cs="Times New Roman"/>
                <w:spacing w:val="6"/>
              </w:rPr>
              <w:t>4.59</w:t>
            </w:r>
          </w:p>
        </w:tc>
      </w:tr>
      <w:tr>
        <w:trPr>
          <w:trHeight w:val="277" w:hRule="atLeast"/>
        </w:trPr>
        <w:tc>
          <w:tcPr>
            <w:tcW w:w="561" w:type="dxa"/>
            <w:vAlign w:val="top"/>
            <w:vMerge w:val="restart"/>
            <w:tcBorders>
              <w:bottom w:val="nil"/>
            </w:tcBorders>
          </w:tcPr>
          <w:p>
            <w:pPr>
              <w:spacing w:line="263" w:lineRule="auto"/>
              <w:rPr>
                <w:rFonts w:ascii="Arial"/>
                <w:sz w:val="21"/>
              </w:rPr>
            </w:pPr>
            <w:r/>
          </w:p>
          <w:p>
            <w:pPr>
              <w:spacing w:line="264" w:lineRule="auto"/>
              <w:rPr>
                <w:rFonts w:ascii="Arial"/>
                <w:sz w:val="21"/>
              </w:rPr>
            </w:pPr>
            <w:r/>
          </w:p>
          <w:p>
            <w:pPr>
              <w:pStyle w:val="TableText"/>
              <w:ind w:left="75"/>
              <w:spacing w:before="65" w:line="227" w:lineRule="auto"/>
              <w:rPr/>
            </w:pPr>
            <w:r>
              <w:rPr>
                <w:spacing w:val="4"/>
              </w:rPr>
              <w:t>燃烧</w:t>
            </w:r>
          </w:p>
          <w:p>
            <w:pPr>
              <w:pStyle w:val="TableText"/>
              <w:ind w:left="74"/>
              <w:spacing w:before="25" w:line="226" w:lineRule="auto"/>
              <w:rPr/>
            </w:pPr>
            <w:r>
              <w:rPr>
                <w:spacing w:val="4"/>
              </w:rPr>
              <w:t>爆炸</w:t>
            </w:r>
          </w:p>
          <w:p>
            <w:pPr>
              <w:pStyle w:val="TableText"/>
              <w:ind w:left="182" w:right="71" w:hanging="105"/>
              <w:spacing w:before="25" w:line="255" w:lineRule="auto"/>
              <w:rPr/>
            </w:pPr>
            <w:r>
              <w:rPr>
                <w:spacing w:val="3"/>
              </w:rPr>
              <w:t>危险</w:t>
            </w:r>
            <w:r>
              <w:rPr/>
              <w:t xml:space="preserve"> </w:t>
            </w:r>
            <w:r>
              <w:rPr/>
              <w:t>性</w:t>
            </w:r>
          </w:p>
        </w:tc>
        <w:tc>
          <w:tcPr>
            <w:tcW w:w="2988" w:type="dxa"/>
            <w:vAlign w:val="top"/>
          </w:tcPr>
          <w:p>
            <w:pPr>
              <w:pStyle w:val="TableText"/>
              <w:ind w:left="9"/>
              <w:spacing w:before="31" w:line="217" w:lineRule="auto"/>
              <w:rPr/>
            </w:pPr>
            <w:r>
              <w:rPr>
                <w:spacing w:val="8"/>
              </w:rPr>
              <w:t>燃烧性：易燃</w:t>
            </w:r>
          </w:p>
        </w:tc>
        <w:tc>
          <w:tcPr>
            <w:tcW w:w="4968" w:type="dxa"/>
            <w:vAlign w:val="top"/>
            <w:gridSpan w:val="2"/>
          </w:tcPr>
          <w:p>
            <w:pPr>
              <w:pStyle w:val="TableText"/>
              <w:ind w:left="11"/>
              <w:spacing w:before="31" w:line="217" w:lineRule="auto"/>
              <w:rPr/>
            </w:pPr>
            <w:r>
              <w:rPr>
                <w:spacing w:val="9"/>
              </w:rPr>
              <w:t>燃烧（分解）产物：一氧化碳、二氧化碳</w:t>
            </w:r>
          </w:p>
        </w:tc>
      </w:tr>
      <w:tr>
        <w:trPr>
          <w:trHeight w:val="277" w:hRule="atLeast"/>
        </w:trPr>
        <w:tc>
          <w:tcPr>
            <w:tcW w:w="561" w:type="dxa"/>
            <w:vAlign w:val="top"/>
            <w:vMerge w:val="continue"/>
            <w:tcBorders>
              <w:top w:val="nil"/>
              <w:bottom w:val="nil"/>
            </w:tcBorders>
          </w:tcPr>
          <w:p>
            <w:pPr>
              <w:rPr>
                <w:rFonts w:ascii="Arial"/>
                <w:sz w:val="21"/>
              </w:rPr>
            </w:pPr>
            <w:r/>
          </w:p>
        </w:tc>
        <w:tc>
          <w:tcPr>
            <w:tcW w:w="2988" w:type="dxa"/>
            <w:vAlign w:val="top"/>
          </w:tcPr>
          <w:p>
            <w:pPr>
              <w:pStyle w:val="TableText"/>
              <w:ind w:left="27"/>
              <w:spacing w:before="30" w:line="218" w:lineRule="auto"/>
              <w:rPr>
                <w:rFonts w:ascii="Times New Roman" w:hAnsi="Times New Roman" w:eastAsia="Times New Roman" w:cs="Times New Roman"/>
              </w:rPr>
            </w:pPr>
            <w:r>
              <w:rPr>
                <w:spacing w:val="3"/>
              </w:rPr>
              <w:t>闪点</w:t>
            </w:r>
            <w:r>
              <w:rPr>
                <w:rFonts w:ascii="Times New Roman" w:hAnsi="Times New Roman" w:eastAsia="Times New Roman" w:cs="Times New Roman"/>
                <w:spacing w:val="3"/>
              </w:rPr>
              <w:t>(℃)</w:t>
            </w:r>
            <w:r>
              <w:rPr>
                <w:spacing w:val="3"/>
              </w:rPr>
              <w:t>：</w:t>
            </w:r>
            <w:r>
              <w:rPr>
                <w:rFonts w:ascii="Times New Roman" w:hAnsi="Times New Roman" w:eastAsia="Times New Roman" w:cs="Times New Roman"/>
                <w:spacing w:val="3"/>
              </w:rPr>
              <w:t>-188</w:t>
            </w:r>
          </w:p>
        </w:tc>
        <w:tc>
          <w:tcPr>
            <w:tcW w:w="4968" w:type="dxa"/>
            <w:vAlign w:val="top"/>
            <w:gridSpan w:val="2"/>
          </w:tcPr>
          <w:p>
            <w:pPr>
              <w:pStyle w:val="TableText"/>
              <w:ind w:left="11"/>
              <w:spacing w:before="30" w:line="218" w:lineRule="auto"/>
              <w:rPr/>
            </w:pPr>
            <w:r>
              <w:rPr>
                <w:spacing w:val="4"/>
              </w:rPr>
              <w:t>稳定性：</w:t>
            </w:r>
          </w:p>
        </w:tc>
      </w:tr>
      <w:tr>
        <w:trPr>
          <w:trHeight w:val="278" w:hRule="atLeast"/>
        </w:trPr>
        <w:tc>
          <w:tcPr>
            <w:tcW w:w="561" w:type="dxa"/>
            <w:vAlign w:val="top"/>
            <w:vMerge w:val="continue"/>
            <w:tcBorders>
              <w:top w:val="nil"/>
              <w:bottom w:val="nil"/>
            </w:tcBorders>
          </w:tcPr>
          <w:p>
            <w:pPr>
              <w:rPr>
                <w:rFonts w:ascii="Arial"/>
                <w:sz w:val="21"/>
              </w:rPr>
            </w:pPr>
            <w:r/>
          </w:p>
        </w:tc>
        <w:tc>
          <w:tcPr>
            <w:tcW w:w="2988" w:type="dxa"/>
            <w:vAlign w:val="top"/>
          </w:tcPr>
          <w:p>
            <w:pPr>
              <w:pStyle w:val="TableText"/>
              <w:ind w:left="8"/>
              <w:spacing w:before="31" w:line="218" w:lineRule="auto"/>
              <w:rPr>
                <w:rFonts w:ascii="Times New Roman" w:hAnsi="Times New Roman" w:eastAsia="Times New Roman" w:cs="Times New Roman"/>
              </w:rPr>
            </w:pPr>
            <w:r>
              <w:rPr>
                <w:spacing w:val="4"/>
              </w:rPr>
              <w:t>爆炸极限</w:t>
            </w:r>
            <w:r>
              <w:rPr>
                <w:rFonts w:ascii="Times New Roman" w:hAnsi="Times New Roman" w:eastAsia="Times New Roman" w:cs="Times New Roman"/>
                <w:spacing w:val="4"/>
              </w:rPr>
              <w:t>(V%)</w:t>
            </w:r>
            <w:r>
              <w:rPr>
                <w:spacing w:val="4"/>
              </w:rPr>
              <w:t>：</w:t>
            </w:r>
            <w:r>
              <w:rPr>
                <w:rFonts w:ascii="Times New Roman" w:hAnsi="Times New Roman" w:eastAsia="Times New Roman" w:cs="Times New Roman"/>
                <w:spacing w:val="4"/>
              </w:rPr>
              <w:t>5.3,</w:t>
            </w:r>
            <w:r>
              <w:rPr>
                <w:rFonts w:ascii="Times New Roman" w:hAnsi="Times New Roman" w:eastAsia="Times New Roman" w:cs="Times New Roman"/>
                <w:spacing w:val="-23"/>
              </w:rPr>
              <w:t xml:space="preserve"> </w:t>
            </w:r>
            <w:r>
              <w:rPr>
                <w:rFonts w:ascii="Times New Roman" w:hAnsi="Times New Roman" w:eastAsia="Times New Roman" w:cs="Times New Roman"/>
                <w:spacing w:val="4"/>
              </w:rPr>
              <w:t>15</w:t>
            </w:r>
          </w:p>
        </w:tc>
        <w:tc>
          <w:tcPr>
            <w:tcW w:w="4968" w:type="dxa"/>
            <w:vAlign w:val="top"/>
            <w:gridSpan w:val="2"/>
          </w:tcPr>
          <w:p>
            <w:pPr>
              <w:pStyle w:val="TableText"/>
              <w:ind w:left="10"/>
              <w:spacing w:before="31" w:line="218" w:lineRule="auto"/>
              <w:rPr/>
            </w:pPr>
            <w:r>
              <w:rPr>
                <w:spacing w:val="9"/>
              </w:rPr>
              <w:t>禁忌物：强氧化剂、氟、氯</w:t>
            </w:r>
          </w:p>
        </w:tc>
      </w:tr>
      <w:tr>
        <w:trPr>
          <w:trHeight w:val="821" w:hRule="atLeast"/>
        </w:trPr>
        <w:tc>
          <w:tcPr>
            <w:tcW w:w="561" w:type="dxa"/>
            <w:vAlign w:val="top"/>
            <w:vMerge w:val="continue"/>
            <w:tcBorders>
              <w:top w:val="nil"/>
              <w:bottom w:val="nil"/>
            </w:tcBorders>
          </w:tcPr>
          <w:p>
            <w:pPr>
              <w:rPr>
                <w:rFonts w:ascii="Arial"/>
                <w:sz w:val="21"/>
              </w:rPr>
            </w:pPr>
            <w:r/>
          </w:p>
        </w:tc>
        <w:tc>
          <w:tcPr>
            <w:tcW w:w="2988" w:type="dxa"/>
            <w:vAlign w:val="top"/>
          </w:tcPr>
          <w:p>
            <w:pPr>
              <w:pStyle w:val="TableText"/>
              <w:ind w:left="23"/>
              <w:spacing w:before="303" w:line="221" w:lineRule="auto"/>
              <w:rPr>
                <w:rFonts w:ascii="Times New Roman" w:hAnsi="Times New Roman" w:eastAsia="Times New Roman" w:cs="Times New Roman"/>
              </w:rPr>
            </w:pPr>
            <w:r>
              <w:rPr>
                <w:spacing w:val="5"/>
              </w:rPr>
              <w:t>引燃温度</w:t>
            </w:r>
            <w:r>
              <w:rPr>
                <w:rFonts w:ascii="Times New Roman" w:hAnsi="Times New Roman" w:eastAsia="Times New Roman" w:cs="Times New Roman"/>
                <w:spacing w:val="5"/>
              </w:rPr>
              <w:t>(℃)</w:t>
            </w:r>
            <w:r>
              <w:rPr>
                <w:spacing w:val="5"/>
              </w:rPr>
              <w:t>：</w:t>
            </w:r>
            <w:r>
              <w:rPr>
                <w:rFonts w:ascii="Times New Roman" w:hAnsi="Times New Roman" w:eastAsia="Times New Roman" w:cs="Times New Roman"/>
                <w:spacing w:val="5"/>
              </w:rPr>
              <w:t>538</w:t>
            </w:r>
          </w:p>
        </w:tc>
        <w:tc>
          <w:tcPr>
            <w:tcW w:w="4968" w:type="dxa"/>
            <w:vAlign w:val="top"/>
            <w:gridSpan w:val="2"/>
          </w:tcPr>
          <w:p>
            <w:pPr>
              <w:pStyle w:val="TableText"/>
              <w:ind w:left="11" w:firstLine="2"/>
              <w:spacing w:before="31"/>
              <w:jc w:val="both"/>
              <w:rPr/>
            </w:pPr>
            <w:r>
              <w:rPr>
                <w:spacing w:val="3"/>
              </w:rPr>
              <w:t>灭火方法：切断气源。若不能切断气源，则不允许熄灭</w:t>
            </w:r>
            <w:r>
              <w:rPr>
                <w:spacing w:val="6"/>
              </w:rPr>
              <w:t xml:space="preserve"> </w:t>
            </w:r>
            <w:r>
              <w:rPr>
                <w:spacing w:val="3"/>
              </w:rPr>
              <w:t>泄漏处的火焰。喷水冷却容器，可能的话将容器从火场</w:t>
            </w:r>
            <w:r>
              <w:rPr>
                <w:spacing w:val="8"/>
              </w:rPr>
              <w:t xml:space="preserve"> </w:t>
            </w:r>
            <w:r>
              <w:rPr>
                <w:spacing w:val="4"/>
              </w:rPr>
              <w:t>移至空旷处。灭火剂</w:t>
            </w:r>
            <w:r>
              <w:rPr>
                <w:rFonts w:ascii="Times New Roman" w:hAnsi="Times New Roman" w:eastAsia="Times New Roman" w:cs="Times New Roman"/>
                <w:spacing w:val="4"/>
              </w:rPr>
              <w:t>:</w:t>
            </w:r>
            <w:r>
              <w:rPr>
                <w:spacing w:val="4"/>
              </w:rPr>
              <w:t>雾状水、泡沫、二氧</w:t>
            </w:r>
            <w:r>
              <w:rPr>
                <w:spacing w:val="3"/>
              </w:rPr>
              <w:t>化碳、干粉。</w:t>
            </w:r>
          </w:p>
        </w:tc>
      </w:tr>
      <w:tr>
        <w:trPr>
          <w:trHeight w:val="548" w:hRule="atLeast"/>
        </w:trPr>
        <w:tc>
          <w:tcPr>
            <w:tcW w:w="561" w:type="dxa"/>
            <w:vAlign w:val="top"/>
            <w:vMerge w:val="continue"/>
            <w:tcBorders>
              <w:top w:val="nil"/>
            </w:tcBorders>
          </w:tcPr>
          <w:p>
            <w:pPr>
              <w:rPr>
                <w:rFonts w:ascii="Arial"/>
                <w:sz w:val="21"/>
              </w:rPr>
            </w:pPr>
            <w:r/>
          </w:p>
        </w:tc>
        <w:tc>
          <w:tcPr>
            <w:tcW w:w="7956" w:type="dxa"/>
            <w:vAlign w:val="top"/>
            <w:gridSpan w:val="3"/>
          </w:tcPr>
          <w:p>
            <w:pPr>
              <w:pStyle w:val="TableText"/>
              <w:ind w:left="9" w:right="4" w:firstLine="12"/>
              <w:spacing w:before="30" w:line="234" w:lineRule="auto"/>
              <w:rPr/>
            </w:pPr>
            <w:r>
              <w:rPr>
                <w:spacing w:val="9"/>
              </w:rPr>
              <w:t>易燃，与空气混合能形成爆炸性混合物，遇</w:t>
            </w:r>
            <w:r>
              <w:rPr>
                <w:spacing w:val="8"/>
              </w:rPr>
              <w:t>热源和明火有燃烧炸的危险。与五氧化、氨</w:t>
            </w:r>
            <w:r>
              <w:rPr/>
              <w:t xml:space="preserve"> </w:t>
            </w:r>
            <w:r>
              <w:rPr>
                <w:spacing w:val="9"/>
              </w:rPr>
              <w:t>气、次氨酸、三氟化氮、液氧、二氟化氧及其它强氧化剂接触剧烈反应。</w:t>
            </w:r>
          </w:p>
        </w:tc>
      </w:tr>
      <w:tr>
        <w:trPr>
          <w:trHeight w:val="278" w:hRule="atLeast"/>
        </w:trPr>
        <w:tc>
          <w:tcPr>
            <w:tcW w:w="561" w:type="dxa"/>
            <w:vAlign w:val="top"/>
          </w:tcPr>
          <w:p>
            <w:pPr>
              <w:pStyle w:val="TableText"/>
              <w:ind w:left="76"/>
              <w:spacing w:before="35" w:line="215" w:lineRule="auto"/>
              <w:rPr/>
            </w:pPr>
            <w:r>
              <w:rPr>
                <w:spacing w:val="3"/>
              </w:rPr>
              <w:t>毒性</w:t>
            </w:r>
          </w:p>
        </w:tc>
        <w:tc>
          <w:tcPr>
            <w:tcW w:w="7956" w:type="dxa"/>
            <w:vAlign w:val="top"/>
            <w:gridSpan w:val="3"/>
          </w:tcPr>
          <w:p>
            <w:pPr>
              <w:pStyle w:val="TableText"/>
              <w:ind w:left="4"/>
              <w:spacing w:before="35" w:line="215" w:lineRule="auto"/>
              <w:rPr/>
            </w:pPr>
            <w:r>
              <w:rPr>
                <w:rFonts w:ascii="Times New Roman" w:hAnsi="Times New Roman" w:eastAsia="Times New Roman" w:cs="Times New Roman"/>
              </w:rPr>
              <w:t>LD</w:t>
            </w:r>
            <w:r>
              <w:rPr>
                <w:rFonts w:ascii="Times New Roman" w:hAnsi="Times New Roman" w:eastAsia="Times New Roman" w:cs="Times New Roman"/>
                <w:sz w:val="13"/>
                <w:szCs w:val="13"/>
                <w:spacing w:val="9"/>
                <w:position w:val="-1"/>
              </w:rPr>
              <w:t>50</w:t>
            </w:r>
            <w:r>
              <w:rPr>
                <w:spacing w:val="9"/>
              </w:rPr>
              <w:t>：无资料；</w:t>
            </w:r>
            <w:r>
              <w:rPr>
                <w:rFonts w:ascii="Times New Roman" w:hAnsi="Times New Roman" w:eastAsia="Times New Roman" w:cs="Times New Roman"/>
              </w:rPr>
              <w:t>LC</w:t>
            </w:r>
            <w:r>
              <w:rPr>
                <w:rFonts w:ascii="Times New Roman" w:hAnsi="Times New Roman" w:eastAsia="Times New Roman" w:cs="Times New Roman"/>
                <w:sz w:val="13"/>
                <w:szCs w:val="13"/>
                <w:spacing w:val="9"/>
                <w:position w:val="-1"/>
              </w:rPr>
              <w:t>50</w:t>
            </w:r>
            <w:r>
              <w:rPr>
                <w:spacing w:val="9"/>
              </w:rPr>
              <w:t>：无资料</w:t>
            </w:r>
          </w:p>
        </w:tc>
      </w:tr>
      <w:tr>
        <w:trPr>
          <w:trHeight w:val="821" w:hRule="atLeast"/>
        </w:trPr>
        <w:tc>
          <w:tcPr>
            <w:tcW w:w="561" w:type="dxa"/>
            <w:vAlign w:val="top"/>
          </w:tcPr>
          <w:p>
            <w:pPr>
              <w:pStyle w:val="TableText"/>
              <w:ind w:left="76"/>
              <w:spacing w:before="170" w:line="229" w:lineRule="auto"/>
              <w:rPr/>
            </w:pPr>
            <w:r>
              <w:rPr>
                <w:spacing w:val="3"/>
              </w:rPr>
              <w:t>人体</w:t>
            </w:r>
          </w:p>
          <w:p>
            <w:pPr>
              <w:pStyle w:val="TableText"/>
              <w:ind w:left="77"/>
              <w:spacing w:before="23" w:line="228" w:lineRule="auto"/>
              <w:rPr/>
            </w:pPr>
            <w:r>
              <w:rPr>
                <w:spacing w:val="3"/>
              </w:rPr>
              <w:t>危害</w:t>
            </w:r>
          </w:p>
        </w:tc>
        <w:tc>
          <w:tcPr>
            <w:tcW w:w="7956" w:type="dxa"/>
            <w:vAlign w:val="top"/>
            <w:gridSpan w:val="3"/>
          </w:tcPr>
          <w:p>
            <w:pPr>
              <w:pStyle w:val="TableText"/>
              <w:ind w:left="7" w:firstLine="27"/>
              <w:spacing w:before="34" w:line="239" w:lineRule="auto"/>
              <w:jc w:val="both"/>
              <w:rPr/>
            </w:pPr>
            <w:r>
              <w:rPr>
                <w:spacing w:val="6"/>
              </w:rPr>
              <w:t>甲烷对人基本无毒，但浓度过高时，使空气中氧含量明显降低，使人息。当空气中甲烷</w:t>
            </w:r>
            <w:r>
              <w:rPr>
                <w:spacing w:val="16"/>
              </w:rPr>
              <w:t xml:space="preserve"> </w:t>
            </w:r>
            <w:r>
              <w:rPr>
                <w:spacing w:val="6"/>
              </w:rPr>
              <w:t>达</w:t>
            </w:r>
            <w:r>
              <w:rPr>
                <w:spacing w:val="-43"/>
              </w:rPr>
              <w:t xml:space="preserve"> </w:t>
            </w:r>
            <w:r>
              <w:rPr>
                <w:rFonts w:ascii="Times New Roman" w:hAnsi="Times New Roman" w:eastAsia="Times New Roman" w:cs="Times New Roman"/>
                <w:spacing w:val="6"/>
              </w:rPr>
              <w:t>25%~30%</w:t>
            </w:r>
            <w:r>
              <w:rPr>
                <w:spacing w:val="6"/>
              </w:rPr>
              <w:t>时可引起头痛、头晕、乏力、注意力不集中、呼吸和心跳加速、共济失</w:t>
            </w:r>
            <w:r>
              <w:rPr>
                <w:spacing w:val="5"/>
              </w:rPr>
              <w:t>调。</w:t>
            </w:r>
            <w:r>
              <w:rPr/>
              <w:t xml:space="preserve"> </w:t>
            </w:r>
            <w:r>
              <w:rPr>
                <w:spacing w:val="8"/>
              </w:rPr>
              <w:t>若不及时脱离，可致窒息死亡。皮肤接触液</w:t>
            </w:r>
            <w:r>
              <w:rPr>
                <w:spacing w:val="7"/>
              </w:rPr>
              <w:t>化本品，可致冻伤。</w:t>
            </w:r>
          </w:p>
        </w:tc>
      </w:tr>
      <w:tr>
        <w:trPr>
          <w:trHeight w:val="1367" w:hRule="atLeast"/>
        </w:trPr>
        <w:tc>
          <w:tcPr>
            <w:tcW w:w="561" w:type="dxa"/>
            <w:vAlign w:val="top"/>
          </w:tcPr>
          <w:p>
            <w:pPr>
              <w:spacing w:line="375" w:lineRule="auto"/>
              <w:rPr>
                <w:rFonts w:ascii="Arial"/>
                <w:sz w:val="21"/>
              </w:rPr>
            </w:pPr>
            <w:r/>
          </w:p>
          <w:p>
            <w:pPr>
              <w:pStyle w:val="TableText"/>
              <w:ind w:left="81"/>
              <w:spacing w:before="65" w:line="228" w:lineRule="auto"/>
              <w:rPr/>
            </w:pPr>
            <w:r>
              <w:rPr>
                <w:spacing w:val="1"/>
              </w:rPr>
              <w:t>急救</w:t>
            </w:r>
          </w:p>
          <w:p>
            <w:pPr>
              <w:pStyle w:val="TableText"/>
              <w:ind w:left="74"/>
              <w:spacing w:before="24" w:line="228" w:lineRule="auto"/>
              <w:rPr/>
            </w:pPr>
            <w:r>
              <w:rPr>
                <w:spacing w:val="4"/>
              </w:rPr>
              <w:t>措施</w:t>
            </w:r>
          </w:p>
        </w:tc>
        <w:tc>
          <w:tcPr>
            <w:tcW w:w="7956" w:type="dxa"/>
            <w:vAlign w:val="top"/>
            <w:gridSpan w:val="3"/>
          </w:tcPr>
          <w:p>
            <w:pPr>
              <w:pStyle w:val="TableText"/>
              <w:ind w:left="11"/>
              <w:spacing w:before="34" w:line="228" w:lineRule="auto"/>
              <w:rPr/>
            </w:pPr>
            <w:r>
              <w:rPr>
                <w:spacing w:val="8"/>
              </w:rPr>
              <w:t>皮肤接触：若有冻伤，就医治疗。</w:t>
            </w:r>
          </w:p>
          <w:p>
            <w:pPr>
              <w:pStyle w:val="TableText"/>
              <w:ind w:left="21"/>
              <w:spacing w:before="24" w:line="227" w:lineRule="auto"/>
              <w:rPr/>
            </w:pPr>
            <w:r>
              <w:rPr>
                <w:spacing w:val="7"/>
              </w:rPr>
              <w:t>眼睛接触：无资料</w:t>
            </w:r>
          </w:p>
          <w:p>
            <w:pPr>
              <w:pStyle w:val="TableText"/>
              <w:ind w:left="8" w:firstLine="8"/>
              <w:spacing w:before="26" w:line="251" w:lineRule="auto"/>
              <w:rPr/>
            </w:pPr>
            <w:r>
              <w:rPr>
                <w:spacing w:val="3"/>
              </w:rPr>
              <w:t>吸入：迅速脱离现场至空气新鲜处。保持呼吸道通畅。如呼吸困难，给输。如呼吸停止，</w:t>
            </w:r>
            <w:r>
              <w:rPr>
                <w:spacing w:val="16"/>
              </w:rPr>
              <w:t xml:space="preserve"> </w:t>
            </w:r>
            <w:r>
              <w:rPr>
                <w:spacing w:val="7"/>
              </w:rPr>
              <w:t>立即进行人工呼吸。就医。</w:t>
            </w:r>
          </w:p>
          <w:p>
            <w:pPr>
              <w:pStyle w:val="TableText"/>
              <w:ind w:left="8"/>
              <w:spacing w:line="216" w:lineRule="auto"/>
              <w:rPr/>
            </w:pPr>
            <w:r>
              <w:rPr>
                <w:spacing w:val="8"/>
              </w:rPr>
              <w:t>食入：无资料</w:t>
            </w:r>
          </w:p>
        </w:tc>
      </w:tr>
    </w:tbl>
    <w:p>
      <w:pPr>
        <w:pStyle w:val="BodyText"/>
        <w:spacing w:line="77" w:lineRule="exact"/>
        <w:rPr>
          <w:sz w:val="6"/>
        </w:rPr>
      </w:pPr>
      <w:r/>
    </w:p>
    <w:p>
      <w:pPr>
        <w:spacing w:line="77" w:lineRule="exact"/>
        <w:sectPr>
          <w:headerReference w:type="default" r:id="rId328"/>
          <w:footerReference w:type="default" r:id="rId329"/>
          <w:pgSz w:w="11907" w:h="16840"/>
          <w:pgMar w:top="1567" w:right="1603" w:bottom="1921" w:left="1679" w:header="1221" w:footer="1247" w:gutter="0"/>
        </w:sectPr>
        <w:rPr>
          <w:sz w:val="6"/>
          <w:szCs w:val="6"/>
        </w:rPr>
      </w:pPr>
    </w:p>
    <w:p>
      <w:pPr>
        <w:spacing w:line="151" w:lineRule="exact"/>
        <w:rPr/>
      </w:pPr>
      <w:r>
        <w:pict>
          <v:shape id="_x0000_s1094" style="position:absolute;margin-left:85.05pt;margin-top:79.11pt;mso-position-vertical-relative:page;mso-position-horizontal-relative:page;width:425.25pt;height:0.75pt;z-index:252209152;" o:allowincell="f" fillcolor="#000000" filled="true" stroked="false" coordsize="8505,15" coordorigin="0,0" path="m,l8505,0l8505,14l0,14l0,0xe"/>
        </w:pict>
      </w:r>
      <w:r/>
    </w:p>
    <w:tbl>
      <w:tblPr>
        <w:tblStyle w:val="TableNormal"/>
        <w:tblW w:w="851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61"/>
        <w:gridCol w:w="7956"/>
      </w:tblGrid>
      <w:tr>
        <w:trPr>
          <w:trHeight w:val="1914" w:hRule="atLeast"/>
        </w:trPr>
        <w:tc>
          <w:tcPr>
            <w:tcW w:w="561" w:type="dxa"/>
            <w:vAlign w:val="top"/>
          </w:tcPr>
          <w:p>
            <w:pPr>
              <w:spacing w:line="323" w:lineRule="auto"/>
              <w:rPr>
                <w:rFonts w:ascii="Arial"/>
                <w:sz w:val="21"/>
              </w:rPr>
            </w:pPr>
            <w:r/>
          </w:p>
          <w:p>
            <w:pPr>
              <w:spacing w:line="323" w:lineRule="auto"/>
              <w:rPr>
                <w:rFonts w:ascii="Arial"/>
                <w:sz w:val="21"/>
              </w:rPr>
            </w:pPr>
            <w:r/>
          </w:p>
          <w:p>
            <w:pPr>
              <w:pStyle w:val="TableText"/>
              <w:ind w:left="74"/>
              <w:spacing w:before="65" w:line="228" w:lineRule="auto"/>
              <w:rPr/>
            </w:pPr>
            <w:r>
              <w:rPr>
                <w:spacing w:val="4"/>
              </w:rPr>
              <w:t>个体</w:t>
            </w:r>
          </w:p>
          <w:p>
            <w:pPr>
              <w:pStyle w:val="TableText"/>
              <w:ind w:left="88"/>
              <w:spacing w:before="27" w:line="228" w:lineRule="auto"/>
              <w:rPr/>
            </w:pPr>
            <w:r>
              <w:rPr>
                <w:spacing w:val="-2"/>
              </w:rPr>
              <w:t>防护</w:t>
            </w:r>
          </w:p>
        </w:tc>
        <w:tc>
          <w:tcPr>
            <w:tcW w:w="7956" w:type="dxa"/>
            <w:vAlign w:val="top"/>
          </w:tcPr>
          <w:p>
            <w:pPr>
              <w:pStyle w:val="TableText"/>
              <w:ind w:left="9" w:right="4" w:firstLine="10"/>
              <w:spacing w:before="37" w:line="251" w:lineRule="auto"/>
              <w:rPr/>
            </w:pPr>
            <w:r>
              <w:rPr>
                <w:spacing w:val="3"/>
              </w:rPr>
              <w:t>呼吸系统防护：一般不需要特殊防护，但建议特殊情况下，佩戴自吸过滤式防毒面具（半</w:t>
            </w:r>
            <w:r>
              <w:rPr>
                <w:spacing w:val="8"/>
              </w:rPr>
              <w:t xml:space="preserve"> </w:t>
            </w:r>
            <w:r>
              <w:rPr>
                <w:spacing w:val="2"/>
              </w:rPr>
              <w:t>面罩）。</w:t>
            </w:r>
          </w:p>
          <w:p>
            <w:pPr>
              <w:pStyle w:val="TableText"/>
              <w:ind w:left="21"/>
              <w:spacing w:line="226" w:lineRule="auto"/>
              <w:rPr/>
            </w:pPr>
            <w:r>
              <w:rPr>
                <w:spacing w:val="9"/>
              </w:rPr>
              <w:t>眼睛防护：一般不需要特殊防护，高浓度接触时可戴安全防</w:t>
            </w:r>
            <w:r>
              <w:rPr>
                <w:spacing w:val="8"/>
              </w:rPr>
              <w:t>护眼镜。</w:t>
            </w:r>
          </w:p>
          <w:p>
            <w:pPr>
              <w:pStyle w:val="TableText"/>
              <w:ind w:left="13"/>
              <w:spacing w:before="25" w:line="227" w:lineRule="auto"/>
              <w:rPr/>
            </w:pPr>
            <w:r>
              <w:rPr>
                <w:spacing w:val="7"/>
              </w:rPr>
              <w:t>身体防护：穿防静电工作服。</w:t>
            </w:r>
          </w:p>
          <w:p>
            <w:pPr>
              <w:pStyle w:val="TableText"/>
              <w:ind w:left="8"/>
              <w:spacing w:before="28" w:line="228" w:lineRule="auto"/>
              <w:rPr/>
            </w:pPr>
            <w:r>
              <w:rPr>
                <w:spacing w:val="8"/>
              </w:rPr>
              <w:t>手防护：戴一般作业防护手套。</w:t>
            </w:r>
          </w:p>
          <w:p>
            <w:pPr>
              <w:pStyle w:val="TableText"/>
              <w:ind w:left="23" w:right="4" w:hanging="14"/>
              <w:spacing w:before="23" w:line="234" w:lineRule="auto"/>
              <w:rPr/>
            </w:pPr>
            <w:r>
              <w:rPr>
                <w:spacing w:val="9"/>
              </w:rPr>
              <w:t>其他防护：工作现场严禁吸烟。避免长期反复接触。进入罐、限制性空间</w:t>
            </w:r>
            <w:r>
              <w:rPr>
                <w:spacing w:val="8"/>
              </w:rPr>
              <w:t>或其它高浓度</w:t>
            </w:r>
            <w:r>
              <w:rPr/>
              <w:t xml:space="preserve"> </w:t>
            </w:r>
            <w:r>
              <w:rPr>
                <w:spacing w:val="6"/>
              </w:rPr>
              <w:t>区作业，须有人监护。</w:t>
            </w:r>
          </w:p>
        </w:tc>
      </w:tr>
      <w:tr>
        <w:trPr>
          <w:trHeight w:val="1365" w:hRule="atLeast"/>
        </w:trPr>
        <w:tc>
          <w:tcPr>
            <w:tcW w:w="561" w:type="dxa"/>
            <w:vAlign w:val="top"/>
          </w:tcPr>
          <w:p>
            <w:pPr>
              <w:spacing w:line="373" w:lineRule="auto"/>
              <w:rPr>
                <w:rFonts w:ascii="Arial"/>
                <w:sz w:val="21"/>
              </w:rPr>
            </w:pPr>
            <w:r/>
          </w:p>
          <w:p>
            <w:pPr>
              <w:pStyle w:val="TableText"/>
              <w:ind w:left="78"/>
              <w:spacing w:before="65" w:line="229" w:lineRule="auto"/>
              <w:rPr/>
            </w:pPr>
            <w:r>
              <w:rPr>
                <w:spacing w:val="3"/>
              </w:rPr>
              <w:t>泄漏</w:t>
            </w:r>
          </w:p>
          <w:p>
            <w:pPr>
              <w:pStyle w:val="TableText"/>
              <w:ind w:left="79"/>
              <w:spacing w:before="25" w:line="232" w:lineRule="auto"/>
              <w:rPr/>
            </w:pPr>
            <w:r>
              <w:rPr>
                <w:spacing w:val="2"/>
              </w:rPr>
              <w:t>处理</w:t>
            </w:r>
          </w:p>
        </w:tc>
        <w:tc>
          <w:tcPr>
            <w:tcW w:w="7956" w:type="dxa"/>
            <w:vAlign w:val="top"/>
          </w:tcPr>
          <w:p>
            <w:pPr>
              <w:pStyle w:val="TableText"/>
              <w:ind w:left="8" w:right="4"/>
              <w:spacing w:before="33" w:line="244" w:lineRule="auto"/>
              <w:jc w:val="both"/>
              <w:rPr/>
            </w:pPr>
            <w:r>
              <w:rPr>
                <w:spacing w:val="9"/>
              </w:rPr>
              <w:t>迅速撤离泄漏污染区人员至上风处，并进行隔离，严格限制出入。切断</w:t>
            </w:r>
            <w:r>
              <w:rPr>
                <w:spacing w:val="8"/>
              </w:rPr>
              <w:t>火源。建议应急</w:t>
            </w:r>
            <w:r>
              <w:rPr/>
              <w:t xml:space="preserve"> </w:t>
            </w:r>
            <w:r>
              <w:rPr>
                <w:spacing w:val="9"/>
              </w:rPr>
              <w:t>处理人员戴自给正压式呼吸器，穿防静电工作服。尽可能切断泄漏源。</w:t>
            </w:r>
            <w:r>
              <w:rPr>
                <w:spacing w:val="8"/>
              </w:rPr>
              <w:t>合理通风，加速</w:t>
            </w:r>
            <w:r>
              <w:rPr/>
              <w:t xml:space="preserve"> </w:t>
            </w:r>
            <w:r>
              <w:rPr>
                <w:spacing w:val="9"/>
              </w:rPr>
              <w:t>扩散。喷雾状水稀释、溶解。构筑围堤或挖坑收容产生的大量废水。如有可</w:t>
            </w:r>
            <w:r>
              <w:rPr>
                <w:spacing w:val="8"/>
              </w:rPr>
              <w:t>能，将漏出</w:t>
            </w:r>
            <w:r>
              <w:rPr/>
              <w:t xml:space="preserve"> </w:t>
            </w:r>
            <w:r>
              <w:rPr>
                <w:spacing w:val="9"/>
              </w:rPr>
              <w:t>气用排风机送至空旷地方或装设适当喷头烧掉。也可以将漏气的容器移</w:t>
            </w:r>
            <w:r>
              <w:rPr>
                <w:spacing w:val="8"/>
              </w:rPr>
              <w:t>至空旷处，注意</w:t>
            </w:r>
            <w:r>
              <w:rPr/>
              <w:t xml:space="preserve"> </w:t>
            </w:r>
            <w:r>
              <w:rPr>
                <w:spacing w:val="9"/>
              </w:rPr>
              <w:t>通风。漏气容器要妥善处理，修复、检验后再用。</w:t>
            </w:r>
          </w:p>
        </w:tc>
      </w:tr>
      <w:tr>
        <w:trPr>
          <w:trHeight w:val="1915" w:hRule="atLeast"/>
        </w:trPr>
        <w:tc>
          <w:tcPr>
            <w:tcW w:w="561" w:type="dxa"/>
            <w:vAlign w:val="top"/>
          </w:tcPr>
          <w:p>
            <w:pPr>
              <w:spacing w:line="375" w:lineRule="auto"/>
              <w:rPr>
                <w:rFonts w:ascii="Arial"/>
                <w:sz w:val="21"/>
              </w:rPr>
            </w:pPr>
            <w:r/>
          </w:p>
          <w:p>
            <w:pPr>
              <w:pStyle w:val="TableText"/>
              <w:ind w:left="74"/>
              <w:spacing w:before="65" w:line="228" w:lineRule="auto"/>
              <w:rPr/>
            </w:pPr>
            <w:r>
              <w:rPr>
                <w:spacing w:val="5"/>
              </w:rPr>
              <w:t>操作</w:t>
            </w:r>
          </w:p>
          <w:p>
            <w:pPr>
              <w:pStyle w:val="TableText"/>
              <w:ind w:left="79"/>
              <w:spacing w:before="24" w:line="232" w:lineRule="auto"/>
              <w:rPr/>
            </w:pPr>
            <w:r>
              <w:rPr>
                <w:spacing w:val="2"/>
              </w:rPr>
              <w:t>处置</w:t>
            </w:r>
          </w:p>
          <w:p>
            <w:pPr>
              <w:pStyle w:val="TableText"/>
              <w:ind w:left="179" w:right="71" w:hanging="100"/>
              <w:spacing w:before="21" w:line="252" w:lineRule="auto"/>
              <w:rPr/>
            </w:pPr>
            <w:r>
              <w:rPr>
                <w:spacing w:val="2"/>
              </w:rPr>
              <w:t>与储</w:t>
            </w:r>
            <w:r>
              <w:rPr/>
              <w:t xml:space="preserve"> </w:t>
            </w:r>
            <w:r>
              <w:rPr>
                <w:spacing w:val="1"/>
              </w:rPr>
              <w:t>存</w:t>
            </w:r>
          </w:p>
        </w:tc>
        <w:tc>
          <w:tcPr>
            <w:tcW w:w="7956" w:type="dxa"/>
            <w:vAlign w:val="top"/>
          </w:tcPr>
          <w:p>
            <w:pPr>
              <w:pStyle w:val="TableText"/>
              <w:ind w:left="7" w:right="4" w:firstLine="1"/>
              <w:spacing w:before="31" w:line="247" w:lineRule="auto"/>
              <w:jc w:val="both"/>
              <w:rPr/>
            </w:pPr>
            <w:r>
              <w:rPr>
                <w:spacing w:val="9"/>
              </w:rPr>
              <w:t>密闭操作，全面通风。操作人员必须经过专门培训，严格遵守操作规程。</w:t>
            </w:r>
            <w:r>
              <w:rPr>
                <w:spacing w:val="8"/>
              </w:rPr>
              <w:t>远离火种、热</w:t>
            </w:r>
            <w:r>
              <w:rPr/>
              <w:t xml:space="preserve"> </w:t>
            </w:r>
            <w:r>
              <w:rPr>
                <w:spacing w:val="9"/>
              </w:rPr>
              <w:t>源，工作场所严禁吸烟。使用防爆型的通风系统和设备。防止气体泄漏到工作</w:t>
            </w:r>
            <w:r>
              <w:rPr>
                <w:spacing w:val="8"/>
              </w:rPr>
              <w:t>场所空气</w:t>
            </w:r>
            <w:r>
              <w:rPr/>
              <w:t xml:space="preserve"> </w:t>
            </w:r>
            <w:r>
              <w:rPr>
                <w:spacing w:val="9"/>
              </w:rPr>
              <w:t>中。避免与氧化剂接触。在传送过程中，钢瓶和容器必须接地和跨接，防止产</w:t>
            </w:r>
            <w:r>
              <w:rPr>
                <w:spacing w:val="8"/>
              </w:rPr>
              <w:t>生静电。</w:t>
            </w:r>
            <w:r>
              <w:rPr/>
              <w:t xml:space="preserve"> </w:t>
            </w:r>
            <w:r>
              <w:rPr>
                <w:spacing w:val="9"/>
              </w:rPr>
              <w:t>搬运时轻装轻卸，防止钢瓶及附件破损。配备相应品种和数量的消防器</w:t>
            </w:r>
            <w:r>
              <w:rPr>
                <w:spacing w:val="8"/>
              </w:rPr>
              <w:t>材及泄漏应急处</w:t>
            </w:r>
            <w:r>
              <w:rPr/>
              <w:t xml:space="preserve"> </w:t>
            </w:r>
            <w:r>
              <w:rPr>
                <w:spacing w:val="9"/>
              </w:rPr>
              <w:t>理设备。 储存于阴凉、通风的库房。远离火种、热源。库</w:t>
            </w:r>
            <w:r>
              <w:rPr>
                <w:spacing w:val="8"/>
              </w:rPr>
              <w:t>温不宜超过</w:t>
            </w:r>
            <w:r>
              <w:rPr>
                <w:spacing w:val="-36"/>
              </w:rPr>
              <w:t xml:space="preserve"> </w:t>
            </w:r>
            <w:r>
              <w:rPr>
                <w:rFonts w:ascii="Times New Roman" w:hAnsi="Times New Roman" w:eastAsia="Times New Roman" w:cs="Times New Roman"/>
                <w:spacing w:val="8"/>
              </w:rPr>
              <w:t>30℃</w:t>
            </w:r>
            <w:r>
              <w:rPr>
                <w:rFonts w:ascii="Times New Roman" w:hAnsi="Times New Roman" w:eastAsia="Times New Roman" w:cs="Times New Roman"/>
                <w:spacing w:val="-19"/>
              </w:rPr>
              <w:t xml:space="preserve"> </w:t>
            </w:r>
            <w:r>
              <w:rPr>
                <w:spacing w:val="8"/>
              </w:rPr>
              <w:t>。应与氧化</w:t>
            </w:r>
            <w:r>
              <w:rPr/>
              <w:t xml:space="preserve"> </w:t>
            </w:r>
            <w:r>
              <w:rPr>
                <w:spacing w:val="9"/>
              </w:rPr>
              <w:t>剂等分开存放，切忌混储。采用防爆型照明、通风设施。禁止使用易产生火花</w:t>
            </w:r>
            <w:r>
              <w:rPr>
                <w:spacing w:val="8"/>
              </w:rPr>
              <w:t>的机械设</w:t>
            </w:r>
            <w:r>
              <w:rPr/>
              <w:t xml:space="preserve"> </w:t>
            </w:r>
            <w:r>
              <w:rPr>
                <w:spacing w:val="8"/>
              </w:rPr>
              <w:t>备和工具。储区应备有泄漏应急处理设备。</w:t>
            </w:r>
          </w:p>
        </w:tc>
      </w:tr>
    </w:tbl>
    <w:p>
      <w:pPr>
        <w:ind w:left="1042"/>
        <w:spacing w:before="193" w:line="212" w:lineRule="auto"/>
        <w:rPr>
          <w:rFonts w:ascii="SimSun" w:hAnsi="SimSun" w:eastAsia="SimSun" w:cs="SimSun"/>
          <w:sz w:val="24"/>
          <w:szCs w:val="24"/>
        </w:rPr>
      </w:pPr>
      <w:r>
        <w:rPr>
          <w:rFonts w:ascii="SimSun" w:hAnsi="SimSun" w:eastAsia="SimSun" w:cs="SimSun"/>
          <w:sz w:val="24"/>
          <w:szCs w:val="24"/>
          <w:b/>
          <w:bCs/>
          <w:spacing w:val="-1"/>
        </w:rPr>
        <w:t>表</w:t>
      </w:r>
      <w:r>
        <w:rPr>
          <w:rFonts w:ascii="Times New Roman" w:hAnsi="Times New Roman" w:eastAsia="Times New Roman" w:cs="Times New Roman"/>
          <w:sz w:val="24"/>
          <w:szCs w:val="24"/>
          <w:b/>
          <w:bCs/>
          <w:spacing w:val="-1"/>
        </w:rPr>
        <w:t>6.1-3        COD</w:t>
      </w:r>
      <w:r>
        <w:rPr>
          <w:rFonts w:ascii="Times New Roman" w:hAnsi="Times New Roman" w:eastAsia="Times New Roman" w:cs="Times New Roman"/>
          <w:sz w:val="15"/>
          <w:szCs w:val="15"/>
          <w:b/>
          <w:bCs/>
          <w:spacing w:val="-1"/>
          <w:position w:val="-1"/>
        </w:rPr>
        <w:t>Cr</w:t>
      </w:r>
      <w:r>
        <w:rPr>
          <w:rFonts w:ascii="SimSun" w:hAnsi="SimSun" w:eastAsia="SimSun" w:cs="SimSun"/>
          <w:sz w:val="24"/>
          <w:szCs w:val="24"/>
          <w:b/>
          <w:bCs/>
          <w:spacing w:val="-1"/>
        </w:rPr>
        <w:t>浓度≥</w:t>
      </w:r>
      <w:r>
        <w:rPr>
          <w:rFonts w:ascii="Times New Roman" w:hAnsi="Times New Roman" w:eastAsia="Times New Roman" w:cs="Times New Roman"/>
          <w:sz w:val="24"/>
          <w:szCs w:val="24"/>
          <w:b/>
          <w:bCs/>
          <w:spacing w:val="-1"/>
        </w:rPr>
        <w:t>10000mg/L</w:t>
      </w:r>
      <w:r>
        <w:rPr>
          <w:rFonts w:ascii="SimSun" w:hAnsi="SimSun" w:eastAsia="SimSun" w:cs="SimSun"/>
          <w:sz w:val="24"/>
          <w:szCs w:val="24"/>
          <w:b/>
          <w:bCs/>
          <w:spacing w:val="-1"/>
        </w:rPr>
        <w:t>有机废液安全技术说明书</w:t>
      </w:r>
    </w:p>
    <w:p>
      <w:pPr>
        <w:spacing w:line="31" w:lineRule="exact"/>
        <w:rPr/>
      </w:pPr>
      <w:r/>
    </w:p>
    <w:tbl>
      <w:tblPr>
        <w:tblStyle w:val="TableNormal"/>
        <w:tblW w:w="851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61"/>
        <w:gridCol w:w="2988"/>
        <w:gridCol w:w="2519"/>
        <w:gridCol w:w="2449"/>
      </w:tblGrid>
      <w:tr>
        <w:trPr>
          <w:trHeight w:val="553" w:hRule="atLeast"/>
        </w:trPr>
        <w:tc>
          <w:tcPr>
            <w:tcW w:w="561" w:type="dxa"/>
            <w:vAlign w:val="top"/>
            <w:vMerge w:val="restart"/>
            <w:tcBorders>
              <w:bottom w:val="nil"/>
            </w:tcBorders>
          </w:tcPr>
          <w:p>
            <w:pPr>
              <w:spacing w:line="245" w:lineRule="auto"/>
              <w:rPr>
                <w:rFonts w:ascii="Arial"/>
                <w:sz w:val="21"/>
              </w:rPr>
            </w:pPr>
            <w:r/>
          </w:p>
          <w:p>
            <w:pPr>
              <w:pStyle w:val="TableText"/>
              <w:ind w:left="75"/>
              <w:spacing w:before="65" w:line="228" w:lineRule="auto"/>
              <w:rPr/>
            </w:pPr>
            <w:r>
              <w:rPr>
                <w:spacing w:val="4"/>
              </w:rPr>
              <w:t>标识</w:t>
            </w:r>
          </w:p>
        </w:tc>
        <w:tc>
          <w:tcPr>
            <w:tcW w:w="2988" w:type="dxa"/>
            <w:vAlign w:val="top"/>
          </w:tcPr>
          <w:p>
            <w:pPr>
              <w:pStyle w:val="TableText"/>
              <w:ind w:right="4"/>
              <w:spacing w:before="36" w:line="221" w:lineRule="auto"/>
              <w:jc w:val="right"/>
              <w:rPr>
                <w:rFonts w:ascii="Times New Roman" w:hAnsi="Times New Roman" w:eastAsia="Times New Roman" w:cs="Times New Roman"/>
              </w:rPr>
            </w:pPr>
            <w:r>
              <w:rPr>
                <w:spacing w:val="2"/>
              </w:rPr>
              <w:t>中文名：</w:t>
            </w:r>
            <w:r>
              <w:rPr>
                <w:rFonts w:ascii="Times New Roman" w:hAnsi="Times New Roman" w:eastAsia="Times New Roman" w:cs="Times New Roman"/>
              </w:rPr>
              <w:t>COD</w:t>
            </w:r>
            <w:r>
              <w:rPr>
                <w:rFonts w:ascii="Times New Roman" w:hAnsi="Times New Roman" w:eastAsia="Times New Roman" w:cs="Times New Roman"/>
                <w:sz w:val="13"/>
                <w:szCs w:val="13"/>
                <w:position w:val="-1"/>
              </w:rPr>
              <w:t>Cr</w:t>
            </w:r>
            <w:r>
              <w:rPr>
                <w:rFonts w:ascii="Times New Roman" w:hAnsi="Times New Roman" w:eastAsia="Times New Roman" w:cs="Times New Roman"/>
                <w:sz w:val="13"/>
                <w:szCs w:val="13"/>
                <w:spacing w:val="2"/>
                <w:position w:val="-1"/>
              </w:rPr>
              <w:t xml:space="preserve"> </w:t>
            </w:r>
            <w:r>
              <w:rPr>
                <w:spacing w:val="2"/>
              </w:rPr>
              <w:t>浓度≥</w:t>
            </w:r>
            <w:r>
              <w:rPr>
                <w:rFonts w:ascii="Times New Roman" w:hAnsi="Times New Roman" w:eastAsia="Times New Roman" w:cs="Times New Roman"/>
                <w:spacing w:val="2"/>
              </w:rPr>
              <w:t>10000</w:t>
            </w:r>
            <w:r>
              <w:rPr>
                <w:rFonts w:ascii="Times New Roman" w:hAnsi="Times New Roman" w:eastAsia="Times New Roman" w:cs="Times New Roman"/>
              </w:rPr>
              <w:t>mg</w:t>
            </w:r>
            <w:r>
              <w:rPr>
                <w:rFonts w:ascii="Times New Roman" w:hAnsi="Times New Roman" w:eastAsia="Times New Roman" w:cs="Times New Roman"/>
                <w:spacing w:val="2"/>
              </w:rPr>
              <w:t>/L</w:t>
            </w:r>
          </w:p>
          <w:p>
            <w:pPr>
              <w:pStyle w:val="TableText"/>
              <w:ind w:left="9"/>
              <w:spacing w:before="31" w:line="218" w:lineRule="auto"/>
              <w:rPr/>
            </w:pPr>
            <w:r>
              <w:rPr>
                <w:spacing w:val="7"/>
              </w:rPr>
              <w:t>有机废液</w:t>
            </w:r>
          </w:p>
        </w:tc>
        <w:tc>
          <w:tcPr>
            <w:tcW w:w="4968" w:type="dxa"/>
            <w:vAlign w:val="top"/>
            <w:gridSpan w:val="2"/>
          </w:tcPr>
          <w:p>
            <w:pPr>
              <w:pStyle w:val="TableText"/>
              <w:ind w:left="11"/>
              <w:spacing w:before="170" w:line="228" w:lineRule="auto"/>
              <w:rPr/>
            </w:pPr>
            <w:r>
              <w:rPr>
                <w:spacing w:val="8"/>
              </w:rPr>
              <w:t>英文名：无资料</w:t>
            </w:r>
          </w:p>
        </w:tc>
      </w:tr>
      <w:tr>
        <w:trPr>
          <w:trHeight w:val="278" w:hRule="atLeast"/>
        </w:trPr>
        <w:tc>
          <w:tcPr>
            <w:tcW w:w="561" w:type="dxa"/>
            <w:vAlign w:val="top"/>
            <w:vMerge w:val="continue"/>
            <w:tcBorders>
              <w:top w:val="nil"/>
            </w:tcBorders>
          </w:tcPr>
          <w:p>
            <w:pPr>
              <w:rPr>
                <w:rFonts w:ascii="Arial"/>
                <w:sz w:val="21"/>
              </w:rPr>
            </w:pPr>
            <w:r/>
          </w:p>
        </w:tc>
        <w:tc>
          <w:tcPr>
            <w:tcW w:w="2988" w:type="dxa"/>
            <w:vAlign w:val="top"/>
          </w:tcPr>
          <w:p>
            <w:pPr>
              <w:pStyle w:val="TableText"/>
              <w:ind w:left="10"/>
              <w:spacing w:before="32" w:line="217" w:lineRule="auto"/>
              <w:rPr/>
            </w:pPr>
            <w:r>
              <w:rPr>
                <w:spacing w:val="8"/>
              </w:rPr>
              <w:t>分子式：无资料</w:t>
            </w:r>
          </w:p>
        </w:tc>
        <w:tc>
          <w:tcPr>
            <w:tcW w:w="2519" w:type="dxa"/>
            <w:vAlign w:val="top"/>
          </w:tcPr>
          <w:p>
            <w:pPr>
              <w:pStyle w:val="TableText"/>
              <w:ind w:left="13"/>
              <w:spacing w:before="32" w:line="217" w:lineRule="auto"/>
              <w:rPr/>
            </w:pPr>
            <w:r>
              <w:rPr>
                <w:spacing w:val="8"/>
              </w:rPr>
              <w:t>分子量：无资料</w:t>
            </w:r>
          </w:p>
        </w:tc>
        <w:tc>
          <w:tcPr>
            <w:tcW w:w="2449" w:type="dxa"/>
            <w:vAlign w:val="top"/>
          </w:tcPr>
          <w:p>
            <w:pPr>
              <w:pStyle w:val="TableText"/>
              <w:ind w:left="11"/>
              <w:spacing w:before="32" w:line="217" w:lineRule="auto"/>
              <w:rPr/>
            </w:pPr>
            <w:r>
              <w:rPr>
                <w:rFonts w:ascii="Times New Roman" w:hAnsi="Times New Roman" w:eastAsia="Times New Roman" w:cs="Times New Roman"/>
              </w:rPr>
              <w:t>CAS</w:t>
            </w:r>
            <w:r>
              <w:rPr>
                <w:rFonts w:ascii="Times New Roman" w:hAnsi="Times New Roman" w:eastAsia="Times New Roman" w:cs="Times New Roman"/>
                <w:spacing w:val="17"/>
              </w:rPr>
              <w:t xml:space="preserve"> </w:t>
            </w:r>
            <w:r>
              <w:rPr>
                <w:spacing w:val="9"/>
              </w:rPr>
              <w:t>号：无资料</w:t>
            </w:r>
          </w:p>
        </w:tc>
      </w:tr>
      <w:tr>
        <w:trPr>
          <w:trHeight w:val="277" w:hRule="atLeast"/>
        </w:trPr>
        <w:tc>
          <w:tcPr>
            <w:tcW w:w="561" w:type="dxa"/>
            <w:vAlign w:val="top"/>
            <w:vMerge w:val="restart"/>
            <w:tcBorders>
              <w:bottom w:val="nil"/>
            </w:tcBorders>
          </w:tcPr>
          <w:p>
            <w:pPr>
              <w:spacing w:line="392" w:lineRule="auto"/>
              <w:rPr>
                <w:rFonts w:ascii="Arial"/>
                <w:sz w:val="21"/>
              </w:rPr>
            </w:pPr>
            <w:r/>
          </w:p>
          <w:p>
            <w:pPr>
              <w:pStyle w:val="TableText"/>
              <w:ind w:left="77"/>
              <w:spacing w:before="65" w:line="229" w:lineRule="auto"/>
              <w:rPr/>
            </w:pPr>
            <w:r>
              <w:rPr>
                <w:spacing w:val="3"/>
              </w:rPr>
              <w:t>理化</w:t>
            </w:r>
          </w:p>
          <w:p>
            <w:pPr>
              <w:pStyle w:val="TableText"/>
              <w:ind w:left="77"/>
              <w:spacing w:before="23" w:line="228" w:lineRule="auto"/>
              <w:rPr/>
            </w:pPr>
            <w:r>
              <w:rPr>
                <w:spacing w:val="3"/>
              </w:rPr>
              <w:t>性质</w:t>
            </w:r>
          </w:p>
        </w:tc>
        <w:tc>
          <w:tcPr>
            <w:tcW w:w="7956" w:type="dxa"/>
            <w:vAlign w:val="top"/>
            <w:gridSpan w:val="3"/>
          </w:tcPr>
          <w:p>
            <w:pPr>
              <w:pStyle w:val="TableText"/>
              <w:ind w:left="10"/>
              <w:spacing w:before="29" w:line="219" w:lineRule="auto"/>
              <w:rPr/>
            </w:pPr>
            <w:r>
              <w:rPr>
                <w:spacing w:val="8"/>
              </w:rPr>
              <w:t>性状：通常为深色液体，可能有刺激性气味。</w:t>
            </w:r>
          </w:p>
        </w:tc>
      </w:tr>
      <w:tr>
        <w:trPr>
          <w:trHeight w:val="277" w:hRule="atLeast"/>
        </w:trPr>
        <w:tc>
          <w:tcPr>
            <w:tcW w:w="561" w:type="dxa"/>
            <w:vAlign w:val="top"/>
            <w:vMerge w:val="continue"/>
            <w:tcBorders>
              <w:top w:val="nil"/>
              <w:bottom w:val="nil"/>
            </w:tcBorders>
          </w:tcPr>
          <w:p>
            <w:pPr>
              <w:rPr>
                <w:rFonts w:ascii="Arial"/>
                <w:sz w:val="21"/>
              </w:rPr>
            </w:pPr>
            <w:r/>
          </w:p>
        </w:tc>
        <w:tc>
          <w:tcPr>
            <w:tcW w:w="2988" w:type="dxa"/>
            <w:vAlign w:val="top"/>
          </w:tcPr>
          <w:p>
            <w:pPr>
              <w:pStyle w:val="TableText"/>
              <w:ind w:left="9"/>
              <w:spacing w:before="31" w:line="217" w:lineRule="auto"/>
              <w:rPr/>
            </w:pPr>
            <w:r>
              <w:rPr>
                <w:spacing w:val="7"/>
              </w:rPr>
              <w:t>熔点</w:t>
            </w:r>
            <w:r>
              <w:rPr>
                <w:rFonts w:ascii="Times New Roman" w:hAnsi="Times New Roman" w:eastAsia="Times New Roman" w:cs="Times New Roman"/>
                <w:spacing w:val="7"/>
              </w:rPr>
              <w:t>(℃)</w:t>
            </w:r>
            <w:r>
              <w:rPr>
                <w:spacing w:val="7"/>
              </w:rPr>
              <w:t>：无资料</w:t>
            </w:r>
          </w:p>
        </w:tc>
        <w:tc>
          <w:tcPr>
            <w:tcW w:w="4968" w:type="dxa"/>
            <w:vAlign w:val="top"/>
            <w:gridSpan w:val="2"/>
          </w:tcPr>
          <w:p>
            <w:pPr>
              <w:pStyle w:val="TableText"/>
              <w:ind w:left="13"/>
              <w:spacing w:before="31" w:line="217" w:lineRule="auto"/>
              <w:rPr/>
            </w:pPr>
            <w:r>
              <w:rPr>
                <w:spacing w:val="8"/>
              </w:rPr>
              <w:t>溶解性：与水互溶</w:t>
            </w:r>
          </w:p>
        </w:tc>
      </w:tr>
      <w:tr>
        <w:trPr>
          <w:trHeight w:val="278" w:hRule="atLeast"/>
        </w:trPr>
        <w:tc>
          <w:tcPr>
            <w:tcW w:w="561" w:type="dxa"/>
            <w:vAlign w:val="top"/>
            <w:vMerge w:val="continue"/>
            <w:tcBorders>
              <w:top w:val="nil"/>
              <w:bottom w:val="nil"/>
            </w:tcBorders>
          </w:tcPr>
          <w:p>
            <w:pPr>
              <w:rPr>
                <w:rFonts w:ascii="Arial"/>
                <w:sz w:val="21"/>
              </w:rPr>
            </w:pPr>
            <w:r/>
          </w:p>
        </w:tc>
        <w:tc>
          <w:tcPr>
            <w:tcW w:w="2988" w:type="dxa"/>
            <w:vAlign w:val="top"/>
          </w:tcPr>
          <w:p>
            <w:pPr>
              <w:pStyle w:val="TableText"/>
              <w:ind w:left="9"/>
              <w:spacing w:before="32" w:line="217" w:lineRule="auto"/>
              <w:rPr/>
            </w:pPr>
            <w:r>
              <w:rPr>
                <w:spacing w:val="7"/>
              </w:rPr>
              <w:t>沸点</w:t>
            </w:r>
            <w:r>
              <w:rPr>
                <w:rFonts w:ascii="Times New Roman" w:hAnsi="Times New Roman" w:eastAsia="Times New Roman" w:cs="Times New Roman"/>
                <w:spacing w:val="7"/>
              </w:rPr>
              <w:t>(℃)</w:t>
            </w:r>
            <w:r>
              <w:rPr>
                <w:spacing w:val="7"/>
              </w:rPr>
              <w:t>：无资料</w:t>
            </w:r>
          </w:p>
        </w:tc>
        <w:tc>
          <w:tcPr>
            <w:tcW w:w="4968" w:type="dxa"/>
            <w:vAlign w:val="top"/>
            <w:gridSpan w:val="2"/>
          </w:tcPr>
          <w:p>
            <w:pPr>
              <w:pStyle w:val="TableText"/>
              <w:ind w:left="10"/>
              <w:spacing w:line="267" w:lineRule="exact"/>
              <w:rPr>
                <w:rFonts w:ascii="Times New Roman" w:hAnsi="Times New Roman" w:eastAsia="Times New Roman" w:cs="Times New Roman"/>
              </w:rPr>
            </w:pPr>
            <w:r>
              <w:rPr>
                <w:spacing w:val="4"/>
                <w:position w:val="2"/>
              </w:rPr>
              <w:t>相对密度</w:t>
            </w:r>
            <w:r>
              <w:rPr>
                <w:rFonts w:ascii="Times New Roman" w:hAnsi="Times New Roman" w:eastAsia="Times New Roman" w:cs="Times New Roman"/>
                <w:spacing w:val="4"/>
                <w:position w:val="2"/>
              </w:rPr>
              <w:t>(</w:t>
            </w:r>
            <w:r>
              <w:rPr>
                <w:spacing w:val="4"/>
                <w:position w:val="2"/>
              </w:rPr>
              <w:t>水</w:t>
            </w:r>
            <w:r>
              <w:rPr>
                <w:rFonts w:ascii="Times New Roman" w:hAnsi="Times New Roman" w:eastAsia="Times New Roman" w:cs="Times New Roman"/>
                <w:spacing w:val="4"/>
                <w:position w:val="2"/>
              </w:rPr>
              <w:t>=1)</w:t>
            </w:r>
            <w:r>
              <w:rPr>
                <w:rFonts w:ascii="Times New Roman" w:hAnsi="Times New Roman" w:eastAsia="Times New Roman" w:cs="Times New Roman"/>
                <w:spacing w:val="20"/>
                <w:w w:val="101"/>
                <w:position w:val="2"/>
              </w:rPr>
              <w:t xml:space="preserve">  </w:t>
            </w:r>
            <w:r>
              <w:rPr>
                <w:spacing w:val="4"/>
                <w:position w:val="2"/>
              </w:rPr>
              <w:t>：大于</w:t>
            </w:r>
            <w:r>
              <w:rPr>
                <w:spacing w:val="-23"/>
                <w:position w:val="2"/>
              </w:rPr>
              <w:t xml:space="preserve"> </w:t>
            </w:r>
            <w:r>
              <w:rPr>
                <w:rFonts w:ascii="Times New Roman" w:hAnsi="Times New Roman" w:eastAsia="Times New Roman" w:cs="Times New Roman"/>
                <w:spacing w:val="4"/>
                <w:position w:val="2"/>
              </w:rPr>
              <w:t>1</w:t>
            </w:r>
          </w:p>
        </w:tc>
      </w:tr>
      <w:tr>
        <w:trPr>
          <w:trHeight w:val="277" w:hRule="atLeast"/>
        </w:trPr>
        <w:tc>
          <w:tcPr>
            <w:tcW w:w="561" w:type="dxa"/>
            <w:vAlign w:val="top"/>
            <w:vMerge w:val="continue"/>
            <w:tcBorders>
              <w:top w:val="nil"/>
              <w:bottom w:val="nil"/>
            </w:tcBorders>
          </w:tcPr>
          <w:p>
            <w:pPr>
              <w:rPr>
                <w:rFonts w:ascii="Arial"/>
                <w:sz w:val="21"/>
              </w:rPr>
            </w:pPr>
            <w:r/>
          </w:p>
        </w:tc>
        <w:tc>
          <w:tcPr>
            <w:tcW w:w="2988" w:type="dxa"/>
            <w:vAlign w:val="top"/>
          </w:tcPr>
          <w:p>
            <w:pPr>
              <w:pStyle w:val="TableText"/>
              <w:ind w:left="7"/>
              <w:spacing w:before="30" w:line="218" w:lineRule="auto"/>
              <w:rPr/>
            </w:pPr>
            <w:r>
              <w:rPr>
                <w:spacing w:val="9"/>
              </w:rPr>
              <w:t>饱和蒸气压</w:t>
            </w:r>
            <w:r>
              <w:rPr>
                <w:rFonts w:ascii="Times New Roman" w:hAnsi="Times New Roman" w:eastAsia="Times New Roman" w:cs="Times New Roman"/>
                <w:spacing w:val="9"/>
              </w:rPr>
              <w:t>(</w:t>
            </w:r>
            <w:r>
              <w:rPr>
                <w:rFonts w:ascii="Times New Roman" w:hAnsi="Times New Roman" w:eastAsia="Times New Roman" w:cs="Times New Roman"/>
              </w:rPr>
              <w:t>kPa</w:t>
            </w:r>
            <w:r>
              <w:rPr>
                <w:rFonts w:ascii="Times New Roman" w:hAnsi="Times New Roman" w:eastAsia="Times New Roman" w:cs="Times New Roman"/>
                <w:spacing w:val="9"/>
              </w:rPr>
              <w:t>)</w:t>
            </w:r>
            <w:r>
              <w:rPr>
                <w:spacing w:val="9"/>
              </w:rPr>
              <w:t>：无资料</w:t>
            </w:r>
          </w:p>
        </w:tc>
        <w:tc>
          <w:tcPr>
            <w:tcW w:w="4968" w:type="dxa"/>
            <w:vAlign w:val="top"/>
            <w:gridSpan w:val="2"/>
          </w:tcPr>
          <w:p>
            <w:pPr>
              <w:pStyle w:val="TableText"/>
              <w:ind w:left="11"/>
              <w:spacing w:before="30" w:line="218" w:lineRule="auto"/>
              <w:rPr/>
            </w:pPr>
            <w:r>
              <w:rPr>
                <w:spacing w:val="9"/>
              </w:rPr>
              <w:t>燃烧热</w:t>
            </w:r>
            <w:r>
              <w:rPr>
                <w:rFonts w:ascii="Times New Roman" w:hAnsi="Times New Roman" w:eastAsia="Times New Roman" w:cs="Times New Roman"/>
                <w:spacing w:val="9"/>
              </w:rPr>
              <w:t>(</w:t>
            </w:r>
            <w:r>
              <w:rPr>
                <w:rFonts w:ascii="Times New Roman" w:hAnsi="Times New Roman" w:eastAsia="Times New Roman" w:cs="Times New Roman"/>
              </w:rPr>
              <w:t>kJ</w:t>
            </w:r>
            <w:r>
              <w:rPr>
                <w:rFonts w:ascii="Times New Roman" w:hAnsi="Times New Roman" w:eastAsia="Times New Roman" w:cs="Times New Roman"/>
                <w:spacing w:val="9"/>
              </w:rPr>
              <w:t>/</w:t>
            </w:r>
            <w:r>
              <w:rPr>
                <w:rFonts w:ascii="Times New Roman" w:hAnsi="Times New Roman" w:eastAsia="Times New Roman" w:cs="Times New Roman"/>
              </w:rPr>
              <w:t>mol</w:t>
            </w:r>
            <w:r>
              <w:rPr>
                <w:rFonts w:ascii="Times New Roman" w:hAnsi="Times New Roman" w:eastAsia="Times New Roman" w:cs="Times New Roman"/>
                <w:spacing w:val="9"/>
              </w:rPr>
              <w:t>)</w:t>
            </w:r>
            <w:r>
              <w:rPr>
                <w:spacing w:val="9"/>
              </w:rPr>
              <w:t>：无资料</w:t>
            </w:r>
          </w:p>
        </w:tc>
      </w:tr>
      <w:tr>
        <w:trPr>
          <w:trHeight w:val="277" w:hRule="atLeast"/>
        </w:trPr>
        <w:tc>
          <w:tcPr>
            <w:tcW w:w="561" w:type="dxa"/>
            <w:vAlign w:val="top"/>
            <w:vMerge w:val="continue"/>
            <w:tcBorders>
              <w:top w:val="nil"/>
            </w:tcBorders>
          </w:tcPr>
          <w:p>
            <w:pPr>
              <w:rPr>
                <w:rFonts w:ascii="Arial"/>
                <w:sz w:val="21"/>
              </w:rPr>
            </w:pPr>
            <w:r/>
          </w:p>
        </w:tc>
        <w:tc>
          <w:tcPr>
            <w:tcW w:w="2988" w:type="dxa"/>
            <w:vAlign w:val="top"/>
          </w:tcPr>
          <w:p>
            <w:pPr>
              <w:pStyle w:val="TableText"/>
              <w:ind w:left="19"/>
              <w:spacing w:before="31" w:line="217" w:lineRule="auto"/>
              <w:rPr/>
            </w:pPr>
            <w:r>
              <w:rPr>
                <w:spacing w:val="6"/>
              </w:rPr>
              <w:t>临界温度</w:t>
            </w:r>
            <w:r>
              <w:rPr>
                <w:rFonts w:ascii="Times New Roman" w:hAnsi="Times New Roman" w:eastAsia="Times New Roman" w:cs="Times New Roman"/>
                <w:spacing w:val="6"/>
              </w:rPr>
              <w:t>(℃)</w:t>
            </w:r>
            <w:r>
              <w:rPr>
                <w:spacing w:val="6"/>
              </w:rPr>
              <w:t>：无资料</w:t>
            </w:r>
          </w:p>
        </w:tc>
        <w:tc>
          <w:tcPr>
            <w:tcW w:w="4968" w:type="dxa"/>
            <w:vAlign w:val="top"/>
            <w:gridSpan w:val="2"/>
          </w:tcPr>
          <w:p>
            <w:pPr>
              <w:pStyle w:val="TableText"/>
              <w:ind w:left="22"/>
              <w:spacing w:before="31" w:line="217" w:lineRule="auto"/>
              <w:rPr/>
            </w:pPr>
            <w:r>
              <w:rPr>
                <w:spacing w:val="8"/>
              </w:rPr>
              <w:t>临界压力</w:t>
            </w:r>
            <w:r>
              <w:rPr>
                <w:rFonts w:ascii="Times New Roman" w:hAnsi="Times New Roman" w:eastAsia="Times New Roman" w:cs="Times New Roman"/>
                <w:spacing w:val="8"/>
              </w:rPr>
              <w:t>(</w:t>
            </w:r>
            <w:r>
              <w:rPr>
                <w:rFonts w:ascii="Times New Roman" w:hAnsi="Times New Roman" w:eastAsia="Times New Roman" w:cs="Times New Roman"/>
              </w:rPr>
              <w:t>MPa</w:t>
            </w:r>
            <w:r>
              <w:rPr>
                <w:rFonts w:ascii="Times New Roman" w:hAnsi="Times New Roman" w:eastAsia="Times New Roman" w:cs="Times New Roman"/>
                <w:spacing w:val="8"/>
              </w:rPr>
              <w:t>)</w:t>
            </w:r>
            <w:r>
              <w:rPr>
                <w:spacing w:val="8"/>
              </w:rPr>
              <w:t>：无资料</w:t>
            </w:r>
          </w:p>
        </w:tc>
      </w:tr>
      <w:tr>
        <w:trPr>
          <w:trHeight w:val="549" w:hRule="atLeast"/>
        </w:trPr>
        <w:tc>
          <w:tcPr>
            <w:tcW w:w="561" w:type="dxa"/>
            <w:vAlign w:val="top"/>
            <w:vMerge w:val="restart"/>
            <w:tcBorders>
              <w:bottom w:val="nil"/>
            </w:tcBorders>
          </w:tcPr>
          <w:p>
            <w:pPr>
              <w:spacing w:line="256" w:lineRule="auto"/>
              <w:rPr>
                <w:rFonts w:ascii="Arial"/>
                <w:sz w:val="21"/>
              </w:rPr>
            </w:pPr>
            <w:r/>
          </w:p>
          <w:p>
            <w:pPr>
              <w:pStyle w:val="TableText"/>
              <w:ind w:left="75"/>
              <w:spacing w:before="65" w:line="227" w:lineRule="auto"/>
              <w:rPr/>
            </w:pPr>
            <w:r>
              <w:rPr>
                <w:spacing w:val="4"/>
              </w:rPr>
              <w:t>燃烧</w:t>
            </w:r>
          </w:p>
          <w:p>
            <w:pPr>
              <w:pStyle w:val="TableText"/>
              <w:ind w:left="74"/>
              <w:spacing w:before="27" w:line="226" w:lineRule="auto"/>
              <w:rPr/>
            </w:pPr>
            <w:r>
              <w:rPr>
                <w:spacing w:val="4"/>
              </w:rPr>
              <w:t>爆炸</w:t>
            </w:r>
          </w:p>
          <w:p>
            <w:pPr>
              <w:pStyle w:val="TableText"/>
              <w:ind w:left="182" w:right="71" w:hanging="105"/>
              <w:spacing w:before="25" w:line="255" w:lineRule="auto"/>
              <w:rPr/>
            </w:pPr>
            <w:r>
              <w:rPr>
                <w:spacing w:val="3"/>
              </w:rPr>
              <w:t>危险</w:t>
            </w:r>
            <w:r>
              <w:rPr/>
              <w:t xml:space="preserve"> </w:t>
            </w:r>
            <w:r>
              <w:rPr/>
              <w:t>性</w:t>
            </w:r>
          </w:p>
        </w:tc>
        <w:tc>
          <w:tcPr>
            <w:tcW w:w="2988" w:type="dxa"/>
            <w:vAlign w:val="top"/>
          </w:tcPr>
          <w:p>
            <w:pPr>
              <w:pStyle w:val="TableText"/>
              <w:ind w:left="9"/>
              <w:spacing w:before="167" w:line="227" w:lineRule="auto"/>
              <w:rPr/>
            </w:pPr>
            <w:r>
              <w:rPr>
                <w:spacing w:val="8"/>
              </w:rPr>
              <w:t>燃烧性：可燃</w:t>
            </w:r>
          </w:p>
        </w:tc>
        <w:tc>
          <w:tcPr>
            <w:tcW w:w="4968" w:type="dxa"/>
            <w:vAlign w:val="top"/>
            <w:gridSpan w:val="2"/>
          </w:tcPr>
          <w:p>
            <w:pPr>
              <w:pStyle w:val="TableText"/>
              <w:ind w:left="10" w:right="4"/>
              <w:spacing w:before="32" w:line="234" w:lineRule="auto"/>
              <w:rPr/>
            </w:pPr>
            <w:r>
              <w:rPr>
                <w:spacing w:val="6"/>
              </w:rPr>
              <w:t>燃烧（分解）产物：水、二氧化硫、氮氧化物、二氧化</w:t>
            </w:r>
            <w:r>
              <w:rPr>
                <w:spacing w:val="2"/>
              </w:rPr>
              <w:t xml:space="preserve"> </w:t>
            </w:r>
            <w:r>
              <w:rPr>
                <w:spacing w:val="4"/>
              </w:rPr>
              <w:t>碳等</w:t>
            </w:r>
          </w:p>
        </w:tc>
      </w:tr>
      <w:tr>
        <w:trPr>
          <w:trHeight w:val="277" w:hRule="atLeast"/>
        </w:trPr>
        <w:tc>
          <w:tcPr>
            <w:tcW w:w="561" w:type="dxa"/>
            <w:vAlign w:val="top"/>
            <w:vMerge w:val="continue"/>
            <w:tcBorders>
              <w:top w:val="nil"/>
              <w:bottom w:val="nil"/>
            </w:tcBorders>
          </w:tcPr>
          <w:p>
            <w:pPr>
              <w:rPr>
                <w:rFonts w:ascii="Arial"/>
                <w:sz w:val="21"/>
              </w:rPr>
            </w:pPr>
            <w:r/>
          </w:p>
        </w:tc>
        <w:tc>
          <w:tcPr>
            <w:tcW w:w="2988" w:type="dxa"/>
            <w:vAlign w:val="top"/>
          </w:tcPr>
          <w:p>
            <w:pPr>
              <w:pStyle w:val="TableText"/>
              <w:ind w:left="27"/>
              <w:spacing w:before="33" w:line="216" w:lineRule="auto"/>
              <w:rPr/>
            </w:pPr>
            <w:r>
              <w:rPr>
                <w:spacing w:val="5"/>
              </w:rPr>
              <w:t>闪点</w:t>
            </w:r>
            <w:r>
              <w:rPr>
                <w:rFonts w:ascii="Times New Roman" w:hAnsi="Times New Roman" w:eastAsia="Times New Roman" w:cs="Times New Roman"/>
                <w:spacing w:val="5"/>
              </w:rPr>
              <w:t>(℃)</w:t>
            </w:r>
            <w:r>
              <w:rPr>
                <w:spacing w:val="5"/>
              </w:rPr>
              <w:t>：无资料</w:t>
            </w:r>
          </w:p>
        </w:tc>
        <w:tc>
          <w:tcPr>
            <w:tcW w:w="4968" w:type="dxa"/>
            <w:vAlign w:val="top"/>
            <w:gridSpan w:val="2"/>
          </w:tcPr>
          <w:p>
            <w:pPr>
              <w:pStyle w:val="TableText"/>
              <w:ind w:left="11"/>
              <w:spacing w:before="33" w:line="216" w:lineRule="auto"/>
              <w:rPr/>
            </w:pPr>
            <w:r>
              <w:rPr>
                <w:spacing w:val="4"/>
              </w:rPr>
              <w:t>稳定性：</w:t>
            </w:r>
          </w:p>
        </w:tc>
      </w:tr>
      <w:tr>
        <w:trPr>
          <w:trHeight w:val="278" w:hRule="atLeast"/>
        </w:trPr>
        <w:tc>
          <w:tcPr>
            <w:tcW w:w="561" w:type="dxa"/>
            <w:vAlign w:val="top"/>
            <w:vMerge w:val="continue"/>
            <w:tcBorders>
              <w:top w:val="nil"/>
              <w:bottom w:val="nil"/>
            </w:tcBorders>
          </w:tcPr>
          <w:p>
            <w:pPr>
              <w:rPr>
                <w:rFonts w:ascii="Arial"/>
                <w:sz w:val="21"/>
              </w:rPr>
            </w:pPr>
            <w:r/>
          </w:p>
        </w:tc>
        <w:tc>
          <w:tcPr>
            <w:tcW w:w="2988" w:type="dxa"/>
            <w:vAlign w:val="top"/>
          </w:tcPr>
          <w:p>
            <w:pPr>
              <w:pStyle w:val="TableText"/>
              <w:ind w:left="8"/>
              <w:spacing w:before="33" w:line="216" w:lineRule="auto"/>
              <w:rPr/>
            </w:pPr>
            <w:r>
              <w:rPr>
                <w:spacing w:val="7"/>
              </w:rPr>
              <w:t>爆炸极限</w:t>
            </w:r>
            <w:r>
              <w:rPr>
                <w:rFonts w:ascii="Times New Roman" w:hAnsi="Times New Roman" w:eastAsia="Times New Roman" w:cs="Times New Roman"/>
                <w:spacing w:val="7"/>
              </w:rPr>
              <w:t>(V%)</w:t>
            </w:r>
            <w:r>
              <w:rPr>
                <w:spacing w:val="7"/>
              </w:rPr>
              <w:t>：无资料</w:t>
            </w:r>
          </w:p>
        </w:tc>
        <w:tc>
          <w:tcPr>
            <w:tcW w:w="4968" w:type="dxa"/>
            <w:vAlign w:val="top"/>
            <w:gridSpan w:val="2"/>
          </w:tcPr>
          <w:p>
            <w:pPr>
              <w:pStyle w:val="TableText"/>
              <w:ind w:left="10"/>
              <w:spacing w:before="33" w:line="216" w:lineRule="auto"/>
              <w:rPr/>
            </w:pPr>
            <w:r>
              <w:rPr>
                <w:spacing w:val="8"/>
              </w:rPr>
              <w:t>禁忌物：无资料</w:t>
            </w:r>
          </w:p>
        </w:tc>
      </w:tr>
      <w:tr>
        <w:trPr>
          <w:trHeight w:val="277" w:hRule="atLeast"/>
        </w:trPr>
        <w:tc>
          <w:tcPr>
            <w:tcW w:w="561" w:type="dxa"/>
            <w:vAlign w:val="top"/>
            <w:vMerge w:val="continue"/>
            <w:tcBorders>
              <w:top w:val="nil"/>
              <w:bottom w:val="nil"/>
            </w:tcBorders>
          </w:tcPr>
          <w:p>
            <w:pPr>
              <w:rPr>
                <w:rFonts w:ascii="Arial"/>
                <w:sz w:val="21"/>
              </w:rPr>
            </w:pPr>
            <w:r/>
          </w:p>
        </w:tc>
        <w:tc>
          <w:tcPr>
            <w:tcW w:w="2988" w:type="dxa"/>
            <w:vAlign w:val="top"/>
          </w:tcPr>
          <w:p>
            <w:pPr>
              <w:pStyle w:val="TableText"/>
              <w:ind w:left="23"/>
              <w:spacing w:before="31" w:line="217" w:lineRule="auto"/>
              <w:rPr/>
            </w:pPr>
            <w:r>
              <w:rPr>
                <w:spacing w:val="6"/>
              </w:rPr>
              <w:t>引燃温度</w:t>
            </w:r>
            <w:r>
              <w:rPr>
                <w:rFonts w:ascii="Times New Roman" w:hAnsi="Times New Roman" w:eastAsia="Times New Roman" w:cs="Times New Roman"/>
                <w:spacing w:val="6"/>
              </w:rPr>
              <w:t>(℃)</w:t>
            </w:r>
            <w:r>
              <w:rPr>
                <w:spacing w:val="6"/>
              </w:rPr>
              <w:t>：无资料</w:t>
            </w:r>
          </w:p>
        </w:tc>
        <w:tc>
          <w:tcPr>
            <w:tcW w:w="4968" w:type="dxa"/>
            <w:vAlign w:val="top"/>
            <w:gridSpan w:val="2"/>
          </w:tcPr>
          <w:p>
            <w:pPr>
              <w:pStyle w:val="TableText"/>
              <w:ind w:left="14"/>
              <w:spacing w:before="31" w:line="217" w:lineRule="auto"/>
              <w:rPr/>
            </w:pPr>
            <w:r>
              <w:rPr>
                <w:spacing w:val="8"/>
              </w:rPr>
              <w:t>灭火方法：使用干粉、二氧化碳或泡沫灭火器。</w:t>
            </w:r>
          </w:p>
        </w:tc>
      </w:tr>
      <w:tr>
        <w:trPr>
          <w:trHeight w:val="277" w:hRule="atLeast"/>
        </w:trPr>
        <w:tc>
          <w:tcPr>
            <w:tcW w:w="561" w:type="dxa"/>
            <w:vAlign w:val="top"/>
            <w:vMerge w:val="continue"/>
            <w:tcBorders>
              <w:top w:val="nil"/>
            </w:tcBorders>
          </w:tcPr>
          <w:p>
            <w:pPr>
              <w:rPr>
                <w:rFonts w:ascii="Arial"/>
                <w:sz w:val="21"/>
              </w:rPr>
            </w:pPr>
            <w:r/>
          </w:p>
        </w:tc>
        <w:tc>
          <w:tcPr>
            <w:tcW w:w="7956" w:type="dxa"/>
            <w:vAlign w:val="top"/>
            <w:gridSpan w:val="3"/>
          </w:tcPr>
          <w:p>
            <w:pPr>
              <w:pStyle w:val="TableText"/>
              <w:ind w:left="10"/>
              <w:spacing w:before="33" w:line="216" w:lineRule="auto"/>
              <w:rPr/>
            </w:pPr>
            <w:r>
              <w:rPr>
                <w:spacing w:val="4"/>
              </w:rPr>
              <w:t>无资料。</w:t>
            </w:r>
          </w:p>
        </w:tc>
      </w:tr>
      <w:tr>
        <w:trPr>
          <w:trHeight w:val="278" w:hRule="atLeast"/>
        </w:trPr>
        <w:tc>
          <w:tcPr>
            <w:tcW w:w="561" w:type="dxa"/>
            <w:vAlign w:val="top"/>
          </w:tcPr>
          <w:p>
            <w:pPr>
              <w:pStyle w:val="TableText"/>
              <w:ind w:left="76"/>
              <w:spacing w:before="31" w:line="218" w:lineRule="auto"/>
              <w:rPr/>
            </w:pPr>
            <w:r>
              <w:rPr>
                <w:spacing w:val="3"/>
              </w:rPr>
              <w:t>毒性</w:t>
            </w:r>
          </w:p>
        </w:tc>
        <w:tc>
          <w:tcPr>
            <w:tcW w:w="7956" w:type="dxa"/>
            <w:vAlign w:val="top"/>
            <w:gridSpan w:val="3"/>
          </w:tcPr>
          <w:p>
            <w:pPr>
              <w:pStyle w:val="TableText"/>
              <w:ind w:left="4"/>
              <w:spacing w:before="31" w:line="218" w:lineRule="auto"/>
              <w:rPr/>
            </w:pPr>
            <w:r>
              <w:rPr>
                <w:rFonts w:ascii="Times New Roman" w:hAnsi="Times New Roman" w:eastAsia="Times New Roman" w:cs="Times New Roman"/>
              </w:rPr>
              <w:t>LD</w:t>
            </w:r>
            <w:r>
              <w:rPr>
                <w:rFonts w:ascii="Times New Roman" w:hAnsi="Times New Roman" w:eastAsia="Times New Roman" w:cs="Times New Roman"/>
                <w:sz w:val="13"/>
                <w:szCs w:val="13"/>
                <w:spacing w:val="9"/>
                <w:position w:val="-1"/>
              </w:rPr>
              <w:t>50</w:t>
            </w:r>
            <w:r>
              <w:rPr>
                <w:spacing w:val="9"/>
              </w:rPr>
              <w:t>：无资料，</w:t>
            </w:r>
            <w:r>
              <w:rPr>
                <w:rFonts w:ascii="Times New Roman" w:hAnsi="Times New Roman" w:eastAsia="Times New Roman" w:cs="Times New Roman"/>
              </w:rPr>
              <w:t>LC</w:t>
            </w:r>
            <w:r>
              <w:rPr>
                <w:rFonts w:ascii="Times New Roman" w:hAnsi="Times New Roman" w:eastAsia="Times New Roman" w:cs="Times New Roman"/>
                <w:sz w:val="13"/>
                <w:szCs w:val="13"/>
                <w:spacing w:val="9"/>
                <w:position w:val="-1"/>
              </w:rPr>
              <w:t>50</w:t>
            </w:r>
            <w:r>
              <w:rPr>
                <w:spacing w:val="9"/>
              </w:rPr>
              <w:t>：无资料</w:t>
            </w:r>
          </w:p>
        </w:tc>
      </w:tr>
      <w:tr>
        <w:trPr>
          <w:trHeight w:val="548" w:hRule="atLeast"/>
        </w:trPr>
        <w:tc>
          <w:tcPr>
            <w:tcW w:w="561" w:type="dxa"/>
            <w:vAlign w:val="top"/>
          </w:tcPr>
          <w:p>
            <w:pPr>
              <w:pStyle w:val="TableText"/>
              <w:ind w:left="76"/>
              <w:spacing w:before="32" w:line="229" w:lineRule="auto"/>
              <w:rPr/>
            </w:pPr>
            <w:r>
              <w:rPr>
                <w:spacing w:val="3"/>
              </w:rPr>
              <w:t>人体</w:t>
            </w:r>
          </w:p>
          <w:p>
            <w:pPr>
              <w:pStyle w:val="TableText"/>
              <w:ind w:left="77"/>
              <w:spacing w:before="23" w:line="216" w:lineRule="auto"/>
              <w:rPr/>
            </w:pPr>
            <w:r>
              <w:rPr>
                <w:spacing w:val="3"/>
              </w:rPr>
              <w:t>危害</w:t>
            </w:r>
          </w:p>
        </w:tc>
        <w:tc>
          <w:tcPr>
            <w:tcW w:w="7956" w:type="dxa"/>
            <w:vAlign w:val="top"/>
            <w:gridSpan w:val="3"/>
          </w:tcPr>
          <w:p>
            <w:pPr>
              <w:pStyle w:val="TableText"/>
              <w:ind w:left="10" w:firstLine="5"/>
              <w:spacing w:before="33" w:line="233" w:lineRule="auto"/>
              <w:rPr/>
            </w:pPr>
            <w:r>
              <w:rPr>
                <w:spacing w:val="3"/>
              </w:rPr>
              <w:t>吸入蒸气或雾可能引起呼吸道刺激、头晕、恶心等症状。皮肤接触可能导致刺激或腐蚀。</w:t>
            </w:r>
            <w:r>
              <w:rPr>
                <w:spacing w:val="16"/>
              </w:rPr>
              <w:t xml:space="preserve"> </w:t>
            </w:r>
            <w:r>
              <w:rPr>
                <w:spacing w:val="7"/>
              </w:rPr>
              <w:t>误食可能引起中毒，严重时危及生命。</w:t>
            </w:r>
          </w:p>
        </w:tc>
      </w:tr>
      <w:tr>
        <w:trPr>
          <w:trHeight w:val="1366" w:hRule="atLeast"/>
        </w:trPr>
        <w:tc>
          <w:tcPr>
            <w:tcW w:w="561" w:type="dxa"/>
            <w:vAlign w:val="top"/>
          </w:tcPr>
          <w:p>
            <w:pPr>
              <w:spacing w:line="374" w:lineRule="auto"/>
              <w:rPr>
                <w:rFonts w:ascii="Arial"/>
                <w:sz w:val="21"/>
              </w:rPr>
            </w:pPr>
            <w:r/>
          </w:p>
          <w:p>
            <w:pPr>
              <w:pStyle w:val="TableText"/>
              <w:ind w:left="81"/>
              <w:spacing w:before="65" w:line="228" w:lineRule="auto"/>
              <w:rPr/>
            </w:pPr>
            <w:r>
              <w:rPr>
                <w:spacing w:val="1"/>
              </w:rPr>
              <w:t>急救</w:t>
            </w:r>
          </w:p>
          <w:p>
            <w:pPr>
              <w:pStyle w:val="TableText"/>
              <w:ind w:left="74"/>
              <w:spacing w:before="27" w:line="228" w:lineRule="auto"/>
              <w:rPr/>
            </w:pPr>
            <w:r>
              <w:rPr>
                <w:spacing w:val="4"/>
              </w:rPr>
              <w:t>措施</w:t>
            </w:r>
          </w:p>
        </w:tc>
        <w:tc>
          <w:tcPr>
            <w:tcW w:w="7956" w:type="dxa"/>
            <w:vAlign w:val="top"/>
            <w:gridSpan w:val="3"/>
          </w:tcPr>
          <w:p>
            <w:pPr>
              <w:pStyle w:val="TableText"/>
              <w:ind w:left="9" w:right="4" w:firstLine="7"/>
              <w:spacing w:before="34" w:line="251" w:lineRule="auto"/>
              <w:rPr/>
            </w:pPr>
            <w:r>
              <w:rPr>
                <w:spacing w:val="9"/>
              </w:rPr>
              <w:t>吸入：迅速脱离现场至空气新鲜处，保持呼吸道通畅。如</w:t>
            </w:r>
            <w:r>
              <w:rPr>
                <w:spacing w:val="8"/>
              </w:rPr>
              <w:t>呼吸困难，给予吸氧；如呼吸</w:t>
            </w:r>
            <w:r>
              <w:rPr/>
              <w:t xml:space="preserve"> </w:t>
            </w:r>
            <w:r>
              <w:rPr>
                <w:spacing w:val="8"/>
              </w:rPr>
              <w:t>停止，立即进行人工呼吸并就医。</w:t>
            </w:r>
          </w:p>
          <w:p>
            <w:pPr>
              <w:pStyle w:val="TableText"/>
              <w:ind w:left="11"/>
              <w:spacing w:line="227" w:lineRule="auto"/>
              <w:rPr/>
            </w:pPr>
            <w:r>
              <w:rPr>
                <w:spacing w:val="8"/>
              </w:rPr>
              <w:t>皮肤接触：立即脱去污染的衣物，用大量清水冲洗至少</w:t>
            </w:r>
            <w:r>
              <w:rPr>
                <w:spacing w:val="-15"/>
              </w:rPr>
              <w:t xml:space="preserve"> </w:t>
            </w:r>
            <w:r>
              <w:rPr>
                <w:rFonts w:ascii="Times New Roman" w:hAnsi="Times New Roman" w:eastAsia="Times New Roman" w:cs="Times New Roman"/>
                <w:spacing w:val="8"/>
              </w:rPr>
              <w:t>15 </w:t>
            </w:r>
            <w:r>
              <w:rPr>
                <w:spacing w:val="8"/>
              </w:rPr>
              <w:t>分钟。如有不适，就医。</w:t>
            </w:r>
          </w:p>
          <w:p>
            <w:pPr>
              <w:pStyle w:val="TableText"/>
              <w:ind w:left="21"/>
              <w:spacing w:before="26" w:line="227" w:lineRule="auto"/>
              <w:rPr/>
            </w:pPr>
            <w:r>
              <w:rPr>
                <w:spacing w:val="7"/>
              </w:rPr>
              <w:t>眼睛接触：立即用大量清水冲洗至少</w:t>
            </w:r>
            <w:r>
              <w:rPr>
                <w:spacing w:val="-21"/>
              </w:rPr>
              <w:t xml:space="preserve"> </w:t>
            </w:r>
            <w:r>
              <w:rPr>
                <w:rFonts w:ascii="Times New Roman" w:hAnsi="Times New Roman" w:eastAsia="Times New Roman" w:cs="Times New Roman"/>
                <w:spacing w:val="7"/>
              </w:rPr>
              <w:t>15 </w:t>
            </w:r>
            <w:r>
              <w:rPr>
                <w:spacing w:val="7"/>
              </w:rPr>
              <w:t>分钟，并就</w:t>
            </w:r>
            <w:r>
              <w:rPr>
                <w:spacing w:val="6"/>
              </w:rPr>
              <w:t>医。</w:t>
            </w:r>
          </w:p>
          <w:p>
            <w:pPr>
              <w:pStyle w:val="TableText"/>
              <w:ind w:left="10"/>
              <w:spacing w:before="25" w:line="215" w:lineRule="auto"/>
              <w:rPr/>
            </w:pPr>
            <w:r>
              <w:rPr>
                <w:spacing w:val="9"/>
              </w:rPr>
              <w:t>误食：不要催吐，立即饮用大量水或牛奶稀释，并立即就医。</w:t>
            </w:r>
          </w:p>
        </w:tc>
      </w:tr>
      <w:tr>
        <w:trPr>
          <w:trHeight w:val="821" w:hRule="atLeast"/>
        </w:trPr>
        <w:tc>
          <w:tcPr>
            <w:tcW w:w="561" w:type="dxa"/>
            <w:vAlign w:val="top"/>
          </w:tcPr>
          <w:p>
            <w:pPr>
              <w:pStyle w:val="TableText"/>
              <w:ind w:left="74"/>
              <w:spacing w:before="172" w:line="228" w:lineRule="auto"/>
              <w:rPr/>
            </w:pPr>
            <w:r>
              <w:rPr>
                <w:spacing w:val="4"/>
              </w:rPr>
              <w:t>个体</w:t>
            </w:r>
          </w:p>
          <w:p>
            <w:pPr>
              <w:pStyle w:val="TableText"/>
              <w:ind w:left="88"/>
              <w:spacing w:before="24" w:line="228" w:lineRule="auto"/>
              <w:rPr/>
            </w:pPr>
            <w:r>
              <w:rPr>
                <w:spacing w:val="-2"/>
              </w:rPr>
              <w:t>防护</w:t>
            </w:r>
          </w:p>
        </w:tc>
        <w:tc>
          <w:tcPr>
            <w:tcW w:w="7956" w:type="dxa"/>
            <w:vAlign w:val="top"/>
            <w:gridSpan w:val="3"/>
          </w:tcPr>
          <w:p>
            <w:pPr>
              <w:pStyle w:val="TableText"/>
              <w:ind w:left="19"/>
              <w:spacing w:before="35" w:line="228" w:lineRule="auto"/>
              <w:rPr/>
            </w:pPr>
            <w:r>
              <w:rPr>
                <w:spacing w:val="8"/>
              </w:rPr>
              <w:t>穿戴防护服、手套、护目镜和口罩。</w:t>
            </w:r>
          </w:p>
          <w:p>
            <w:pPr>
              <w:pStyle w:val="TableText"/>
              <w:ind w:left="7" w:right="3576"/>
              <w:spacing w:before="23" w:line="233" w:lineRule="auto"/>
              <w:rPr/>
            </w:pPr>
            <w:r>
              <w:rPr>
                <w:spacing w:val="7"/>
              </w:rPr>
              <w:t>佩戴化学安全防护眼镜、防腐蚀手套和防护服。</w:t>
            </w:r>
            <w:r>
              <w:rPr>
                <w:spacing w:val="18"/>
              </w:rPr>
              <w:t xml:space="preserve"> </w:t>
            </w:r>
            <w:r>
              <w:rPr>
                <w:spacing w:val="9"/>
              </w:rPr>
              <w:t>接触蒸气时佩戴防毒面具</w:t>
            </w:r>
          </w:p>
        </w:tc>
      </w:tr>
      <w:tr>
        <w:trPr>
          <w:trHeight w:val="552" w:hRule="atLeast"/>
        </w:trPr>
        <w:tc>
          <w:tcPr>
            <w:tcW w:w="561" w:type="dxa"/>
            <w:vAlign w:val="top"/>
          </w:tcPr>
          <w:p>
            <w:pPr>
              <w:pStyle w:val="TableText"/>
              <w:ind w:left="78"/>
              <w:spacing w:before="35" w:line="229" w:lineRule="auto"/>
              <w:rPr/>
            </w:pPr>
            <w:r>
              <w:rPr>
                <w:spacing w:val="3"/>
              </w:rPr>
              <w:t>泄漏</w:t>
            </w:r>
          </w:p>
          <w:p>
            <w:pPr>
              <w:pStyle w:val="TableText"/>
              <w:ind w:left="79"/>
              <w:spacing w:before="25" w:line="215" w:lineRule="auto"/>
              <w:rPr/>
            </w:pPr>
            <w:r>
              <w:rPr>
                <w:spacing w:val="2"/>
              </w:rPr>
              <w:t>处理</w:t>
            </w:r>
          </w:p>
        </w:tc>
        <w:tc>
          <w:tcPr>
            <w:tcW w:w="7956" w:type="dxa"/>
            <w:vAlign w:val="top"/>
            <w:gridSpan w:val="3"/>
          </w:tcPr>
          <w:p>
            <w:pPr>
              <w:pStyle w:val="TableText"/>
              <w:ind w:left="10" w:right="2736"/>
              <w:spacing w:before="34" w:line="234" w:lineRule="auto"/>
              <w:rPr/>
            </w:pPr>
            <w:r>
              <w:rPr>
                <w:spacing w:val="8"/>
              </w:rPr>
              <w:t>用砂土或其他惰性材料吸收泄漏物，收集于密闭容器中。</w:t>
            </w:r>
            <w:r>
              <w:rPr>
                <w:spacing w:val="3"/>
              </w:rPr>
              <w:t xml:space="preserve"> </w:t>
            </w:r>
            <w:r>
              <w:rPr>
                <w:spacing w:val="8"/>
              </w:rPr>
              <w:t>用大量水冲洗泄漏区域，避免污染水源。</w:t>
            </w:r>
          </w:p>
        </w:tc>
      </w:tr>
    </w:tbl>
    <w:p>
      <w:pPr>
        <w:pStyle w:val="BodyText"/>
        <w:spacing w:line="330" w:lineRule="auto"/>
        <w:rPr/>
      </w:pPr>
      <w:r/>
    </w:p>
    <w:p>
      <w:pPr>
        <w:ind w:left="16"/>
        <w:spacing w:before="61" w:line="227" w:lineRule="auto"/>
        <w:rPr>
          <w:rFonts w:ascii="SimSun" w:hAnsi="SimSun" w:eastAsia="SimSun" w:cs="SimSun"/>
          <w:sz w:val="19"/>
          <w:szCs w:val="19"/>
        </w:rPr>
      </w:pPr>
      <w:r>
        <w:pict>
          <v:shape id="_x0000_s1096" style="position:absolute;margin-left:159.77pt;margin-top:2.0892pt;mso-position-vertical-relative:text;mso-position-horizontal-relative:text;width:61pt;height:13.75pt;z-index:252208128;"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237</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289"/>
          <w:footerReference w:type="default" r:id="rId3"/>
          <w:pgSz w:w="11907" w:h="16840"/>
          <w:pgMar w:top="1567" w:right="1692" w:bottom="400" w:left="1692" w:header="1221" w:footer="0" w:gutter="0"/>
        </w:sectPr>
        <w:rPr>
          <w:rFonts w:ascii="SimSun" w:hAnsi="SimSun" w:eastAsia="SimSun" w:cs="SimSun"/>
          <w:sz w:val="19"/>
          <w:szCs w:val="19"/>
        </w:rPr>
      </w:pPr>
    </w:p>
    <w:p>
      <w:pPr>
        <w:spacing w:line="133" w:lineRule="exact"/>
        <w:rPr/>
      </w:pPr>
      <w:r>
        <w:pict>
          <v:shape id="_x0000_s1098" style="position:absolute;margin-left:85.05pt;margin-top:78.87pt;mso-position-vertical-relative:page;mso-position-horizontal-relative:page;width:425.25pt;height:0.75pt;z-index:252211200;" o:allowincell="f" fillcolor="#000000" filled="true" stroked="false" coordsize="8505,15" coordorigin="0,0" path="m,l8505,0l8505,14l0,14l0,0xe"/>
        </w:pict>
      </w:r>
      <w:r/>
    </w:p>
    <w:tbl>
      <w:tblPr>
        <w:tblStyle w:val="TableNormal"/>
        <w:tblW w:w="851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61"/>
        <w:gridCol w:w="7956"/>
      </w:tblGrid>
      <w:tr>
        <w:trPr>
          <w:trHeight w:val="1098" w:hRule="atLeast"/>
        </w:trPr>
        <w:tc>
          <w:tcPr>
            <w:tcW w:w="561" w:type="dxa"/>
            <w:vAlign w:val="top"/>
          </w:tcPr>
          <w:p>
            <w:pPr>
              <w:pStyle w:val="TableText"/>
              <w:ind w:left="74"/>
              <w:spacing w:before="35" w:line="228" w:lineRule="auto"/>
              <w:rPr/>
            </w:pPr>
            <w:r>
              <w:rPr>
                <w:spacing w:val="5"/>
              </w:rPr>
              <w:t>操作</w:t>
            </w:r>
          </w:p>
          <w:p>
            <w:pPr>
              <w:pStyle w:val="TableText"/>
              <w:ind w:left="79"/>
              <w:spacing w:before="26" w:line="232" w:lineRule="auto"/>
              <w:rPr/>
            </w:pPr>
            <w:r>
              <w:rPr>
                <w:spacing w:val="2"/>
              </w:rPr>
              <w:t>处置</w:t>
            </w:r>
          </w:p>
          <w:p>
            <w:pPr>
              <w:pStyle w:val="TableText"/>
              <w:ind w:left="179" w:right="71" w:hanging="100"/>
              <w:spacing w:before="20" w:line="234" w:lineRule="auto"/>
              <w:rPr/>
            </w:pPr>
            <w:r>
              <w:rPr>
                <w:spacing w:val="2"/>
              </w:rPr>
              <w:t>与储</w:t>
            </w:r>
            <w:r>
              <w:rPr/>
              <w:t xml:space="preserve"> </w:t>
            </w:r>
            <w:r>
              <w:rPr>
                <w:spacing w:val="1"/>
              </w:rPr>
              <w:t>存</w:t>
            </w:r>
          </w:p>
        </w:tc>
        <w:tc>
          <w:tcPr>
            <w:tcW w:w="7956" w:type="dxa"/>
            <w:vAlign w:val="top"/>
          </w:tcPr>
          <w:p>
            <w:pPr>
              <w:pStyle w:val="TableText"/>
              <w:ind w:left="8" w:right="4" w:hanging="1"/>
              <w:spacing w:before="172" w:line="251" w:lineRule="auto"/>
              <w:jc w:val="both"/>
              <w:rPr/>
            </w:pPr>
            <w:r>
              <w:rPr>
                <w:spacing w:val="8"/>
              </w:rPr>
              <w:t>操作时佩戴防护装备（手套、护目镜、</w:t>
            </w:r>
            <w:r>
              <w:rPr>
                <w:spacing w:val="-57"/>
              </w:rPr>
              <w:t xml:space="preserve"> </w:t>
            </w:r>
            <w:r>
              <w:rPr>
                <w:spacing w:val="8"/>
              </w:rPr>
              <w:t>口罩）。避免直接接触皮肤</w:t>
            </w:r>
            <w:r>
              <w:rPr>
                <w:spacing w:val="7"/>
              </w:rPr>
              <w:t>和眼睛。在通风良好</w:t>
            </w:r>
            <w:r>
              <w:rPr/>
              <w:t xml:space="preserve"> </w:t>
            </w:r>
            <w:r>
              <w:rPr>
                <w:spacing w:val="9"/>
              </w:rPr>
              <w:t>的地方操作，避免吸入蒸气。储存于阴凉、干燥、通风良好的地方。远离</w:t>
            </w:r>
            <w:r>
              <w:rPr>
                <w:spacing w:val="8"/>
              </w:rPr>
              <w:t>火源、热源和</w:t>
            </w:r>
            <w:r>
              <w:rPr/>
              <w:t xml:space="preserve"> </w:t>
            </w:r>
            <w:r>
              <w:rPr>
                <w:spacing w:val="8"/>
              </w:rPr>
              <w:t>氧化剂。与酸类、碱类分开存放。</w:t>
            </w:r>
          </w:p>
        </w:tc>
      </w:tr>
    </w:tbl>
    <w:p>
      <w:pPr>
        <w:ind w:left="2724"/>
        <w:spacing w:before="314"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6"/>
        </w:rPr>
        <w:t xml:space="preserve"> </w:t>
      </w:r>
      <w:r>
        <w:rPr>
          <w:rFonts w:ascii="Times New Roman" w:hAnsi="Times New Roman" w:eastAsia="Times New Roman" w:cs="Times New Roman"/>
          <w:sz w:val="24"/>
          <w:szCs w:val="24"/>
          <w:b/>
          <w:bCs/>
          <w:spacing w:val="-2"/>
        </w:rPr>
        <w:t>6.1-4      </w:t>
      </w:r>
      <w:r>
        <w:rPr>
          <w:rFonts w:ascii="SimSun" w:hAnsi="SimSun" w:eastAsia="SimSun" w:cs="SimSun"/>
          <w:sz w:val="24"/>
          <w:szCs w:val="24"/>
          <w:b/>
          <w:bCs/>
          <w:spacing w:val="-2"/>
        </w:rPr>
        <w:t>矿物油的理化性质</w:t>
      </w:r>
    </w:p>
    <w:p>
      <w:pPr>
        <w:spacing w:line="21" w:lineRule="exact"/>
        <w:rPr/>
      </w:pPr>
      <w:r/>
    </w:p>
    <w:tbl>
      <w:tblPr>
        <w:tblStyle w:val="TableNormal"/>
        <w:tblW w:w="8516"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04"/>
        <w:gridCol w:w="1109"/>
        <w:gridCol w:w="2601"/>
        <w:gridCol w:w="1451"/>
        <w:gridCol w:w="2551"/>
      </w:tblGrid>
      <w:tr>
        <w:trPr>
          <w:trHeight w:val="285" w:hRule="atLeast"/>
        </w:trPr>
        <w:tc>
          <w:tcPr>
            <w:tcW w:w="804" w:type="dxa"/>
            <w:vAlign w:val="top"/>
          </w:tcPr>
          <w:p>
            <w:pPr>
              <w:pStyle w:val="TableText"/>
              <w:ind w:left="198"/>
              <w:spacing w:before="36" w:line="220" w:lineRule="auto"/>
              <w:rPr/>
            </w:pPr>
            <w:r>
              <w:rPr>
                <w:spacing w:val="4"/>
              </w:rPr>
              <w:t>标识</w:t>
            </w:r>
          </w:p>
        </w:tc>
        <w:tc>
          <w:tcPr>
            <w:tcW w:w="1109" w:type="dxa"/>
            <w:vAlign w:val="top"/>
          </w:tcPr>
          <w:p>
            <w:pPr>
              <w:pStyle w:val="TableText"/>
              <w:ind w:left="27"/>
              <w:spacing w:before="36" w:line="220" w:lineRule="auto"/>
              <w:rPr/>
            </w:pPr>
            <w:r>
              <w:rPr/>
              <w:t>中文名</w:t>
            </w:r>
          </w:p>
        </w:tc>
        <w:tc>
          <w:tcPr>
            <w:tcW w:w="2601" w:type="dxa"/>
            <w:vAlign w:val="top"/>
          </w:tcPr>
          <w:p>
            <w:pPr>
              <w:pStyle w:val="TableText"/>
              <w:ind w:left="9"/>
              <w:spacing w:before="36" w:line="220" w:lineRule="auto"/>
              <w:rPr/>
            </w:pPr>
            <w:r>
              <w:rPr>
                <w:spacing w:val="8"/>
              </w:rPr>
              <w:t>机油，润滑油</w:t>
            </w:r>
          </w:p>
        </w:tc>
        <w:tc>
          <w:tcPr>
            <w:tcW w:w="1451" w:type="dxa"/>
            <w:vAlign w:val="top"/>
          </w:tcPr>
          <w:p>
            <w:pPr>
              <w:pStyle w:val="TableText"/>
              <w:ind w:left="11"/>
              <w:spacing w:before="36" w:line="220" w:lineRule="auto"/>
              <w:rPr/>
            </w:pPr>
            <w:r>
              <w:rPr>
                <w:spacing w:val="6"/>
              </w:rPr>
              <w:t>英文名</w:t>
            </w:r>
          </w:p>
        </w:tc>
        <w:tc>
          <w:tcPr>
            <w:tcW w:w="2551" w:type="dxa"/>
            <w:vAlign w:val="top"/>
          </w:tcPr>
          <w:p>
            <w:pPr>
              <w:ind w:left="9"/>
              <w:spacing w:before="68" w:line="20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lubricating</w:t>
            </w:r>
          </w:p>
        </w:tc>
      </w:tr>
      <w:tr>
        <w:trPr>
          <w:trHeight w:val="294" w:hRule="atLeast"/>
        </w:trPr>
        <w:tc>
          <w:tcPr>
            <w:tcW w:w="804" w:type="dxa"/>
            <w:vAlign w:val="top"/>
            <w:vMerge w:val="restart"/>
            <w:tcBorders>
              <w:bottom w:val="nil"/>
            </w:tcBorders>
          </w:tcPr>
          <w:p>
            <w:pPr>
              <w:spacing w:line="268" w:lineRule="auto"/>
              <w:rPr>
                <w:rFonts w:ascii="Arial"/>
                <w:sz w:val="21"/>
              </w:rPr>
            </w:pPr>
            <w:r/>
          </w:p>
          <w:p>
            <w:pPr>
              <w:spacing w:line="269" w:lineRule="auto"/>
              <w:rPr>
                <w:rFonts w:ascii="Arial"/>
                <w:sz w:val="21"/>
              </w:rPr>
            </w:pPr>
            <w:r/>
          </w:p>
          <w:p>
            <w:pPr>
              <w:pStyle w:val="TableText"/>
              <w:ind w:left="199"/>
              <w:spacing w:before="65" w:line="229" w:lineRule="auto"/>
              <w:rPr/>
            </w:pPr>
            <w:r>
              <w:rPr>
                <w:spacing w:val="3"/>
              </w:rPr>
              <w:t>理化</w:t>
            </w:r>
          </w:p>
          <w:p>
            <w:pPr>
              <w:pStyle w:val="TableText"/>
              <w:ind w:left="197"/>
              <w:spacing w:before="22" w:line="228" w:lineRule="auto"/>
              <w:rPr/>
            </w:pPr>
            <w:r>
              <w:rPr>
                <w:spacing w:val="4"/>
              </w:rPr>
              <w:t>特性</w:t>
            </w:r>
          </w:p>
        </w:tc>
        <w:tc>
          <w:tcPr>
            <w:tcW w:w="1109" w:type="dxa"/>
            <w:vAlign w:val="top"/>
          </w:tcPr>
          <w:p>
            <w:pPr>
              <w:pStyle w:val="TableText"/>
              <w:ind w:left="11"/>
              <w:spacing w:before="39" w:line="226" w:lineRule="auto"/>
              <w:rPr/>
            </w:pPr>
            <w:r>
              <w:rPr>
                <w:spacing w:val="6"/>
              </w:rPr>
              <w:t>外观性状</w:t>
            </w:r>
          </w:p>
        </w:tc>
        <w:tc>
          <w:tcPr>
            <w:tcW w:w="2601" w:type="dxa"/>
            <w:vAlign w:val="top"/>
          </w:tcPr>
          <w:p>
            <w:pPr>
              <w:pStyle w:val="TableText"/>
              <w:ind w:left="14"/>
              <w:spacing w:before="39" w:line="226" w:lineRule="auto"/>
              <w:rPr/>
            </w:pPr>
            <w:r>
              <w:rPr>
                <w:spacing w:val="8"/>
              </w:rPr>
              <w:t>淡黄色粘稠液体</w:t>
            </w:r>
          </w:p>
        </w:tc>
        <w:tc>
          <w:tcPr>
            <w:tcW w:w="1451" w:type="dxa"/>
            <w:vAlign w:val="top"/>
          </w:tcPr>
          <w:p>
            <w:pPr>
              <w:pStyle w:val="TableText"/>
              <w:ind w:left="29"/>
              <w:spacing w:before="39" w:line="221" w:lineRule="auto"/>
              <w:rPr>
                <w:rFonts w:ascii="Times New Roman" w:hAnsi="Times New Roman" w:eastAsia="Times New Roman" w:cs="Times New Roman"/>
              </w:rPr>
            </w:pPr>
            <w:r>
              <w:rPr>
                <w:spacing w:val="1"/>
              </w:rPr>
              <w:t>闪点</w:t>
            </w:r>
            <w:r>
              <w:rPr>
                <w:rFonts w:ascii="Times New Roman" w:hAnsi="Times New Roman" w:eastAsia="Times New Roman" w:cs="Times New Roman"/>
                <w:spacing w:val="1"/>
              </w:rPr>
              <w:t>(℃)</w:t>
            </w:r>
          </w:p>
        </w:tc>
        <w:tc>
          <w:tcPr>
            <w:tcW w:w="2551" w:type="dxa"/>
            <w:vAlign w:val="top"/>
          </w:tcPr>
          <w:p>
            <w:pPr>
              <w:ind w:left="27"/>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120~340</w:t>
            </w:r>
          </w:p>
        </w:tc>
      </w:tr>
      <w:tr>
        <w:trPr>
          <w:trHeight w:val="278" w:hRule="atLeast"/>
        </w:trPr>
        <w:tc>
          <w:tcPr>
            <w:tcW w:w="804" w:type="dxa"/>
            <w:vAlign w:val="top"/>
            <w:vMerge w:val="continue"/>
            <w:tcBorders>
              <w:top w:val="nil"/>
              <w:bottom w:val="nil"/>
            </w:tcBorders>
          </w:tcPr>
          <w:p>
            <w:pPr>
              <w:rPr>
                <w:rFonts w:ascii="Arial"/>
                <w:sz w:val="21"/>
              </w:rPr>
            </w:pPr>
            <w:r/>
          </w:p>
        </w:tc>
        <w:tc>
          <w:tcPr>
            <w:tcW w:w="1109" w:type="dxa"/>
            <w:vAlign w:val="top"/>
          </w:tcPr>
          <w:p>
            <w:pPr>
              <w:pStyle w:val="TableText"/>
              <w:ind w:left="42"/>
              <w:spacing w:before="30" w:line="219" w:lineRule="auto"/>
              <w:rPr>
                <w:rFonts w:ascii="Times New Roman" w:hAnsi="Times New Roman" w:eastAsia="Times New Roman" w:cs="Times New Roman"/>
              </w:rPr>
            </w:pPr>
            <w:r>
              <w:rPr/>
              <w:t>自燃点</w:t>
            </w:r>
            <w:r>
              <w:rPr>
                <w:rFonts w:ascii="Times New Roman" w:hAnsi="Times New Roman" w:eastAsia="Times New Roman" w:cs="Times New Roman"/>
              </w:rPr>
              <w:t>(℃)</w:t>
            </w:r>
          </w:p>
        </w:tc>
        <w:tc>
          <w:tcPr>
            <w:tcW w:w="2601" w:type="dxa"/>
            <w:vAlign w:val="top"/>
          </w:tcPr>
          <w:p>
            <w:pPr>
              <w:ind w:left="10"/>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300~350</w:t>
            </w:r>
          </w:p>
        </w:tc>
        <w:tc>
          <w:tcPr>
            <w:tcW w:w="1451" w:type="dxa"/>
            <w:vAlign w:val="top"/>
          </w:tcPr>
          <w:p>
            <w:pPr>
              <w:pStyle w:val="TableText"/>
              <w:ind w:left="11"/>
              <w:spacing w:before="30" w:line="219" w:lineRule="auto"/>
              <w:rPr>
                <w:rFonts w:ascii="Times New Roman" w:hAnsi="Times New Roman" w:eastAsia="Times New Roman" w:cs="Times New Roman"/>
              </w:rPr>
            </w:pPr>
            <w:r>
              <w:rPr>
                <w:spacing w:val="5"/>
              </w:rPr>
              <w:t>沸点</w:t>
            </w:r>
            <w:r>
              <w:rPr>
                <w:rFonts w:ascii="Times New Roman" w:hAnsi="Times New Roman" w:eastAsia="Times New Roman" w:cs="Times New Roman"/>
                <w:spacing w:val="5"/>
              </w:rPr>
              <w:t>(℃)</w:t>
            </w:r>
          </w:p>
        </w:tc>
        <w:tc>
          <w:tcPr>
            <w:tcW w:w="2551" w:type="dxa"/>
            <w:vAlign w:val="top"/>
          </w:tcPr>
          <w:p>
            <w:pPr>
              <w:ind w:left="11"/>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-252.8</w:t>
            </w:r>
          </w:p>
        </w:tc>
      </w:tr>
      <w:tr>
        <w:trPr>
          <w:trHeight w:val="549" w:hRule="atLeast"/>
        </w:trPr>
        <w:tc>
          <w:tcPr>
            <w:tcW w:w="804" w:type="dxa"/>
            <w:vAlign w:val="top"/>
            <w:vMerge w:val="continue"/>
            <w:tcBorders>
              <w:top w:val="nil"/>
              <w:bottom w:val="nil"/>
            </w:tcBorders>
          </w:tcPr>
          <w:p>
            <w:pPr>
              <w:rPr>
                <w:rFonts w:ascii="Arial"/>
                <w:sz w:val="21"/>
              </w:rPr>
            </w:pPr>
            <w:r/>
          </w:p>
        </w:tc>
        <w:tc>
          <w:tcPr>
            <w:tcW w:w="1109" w:type="dxa"/>
            <w:vAlign w:val="top"/>
          </w:tcPr>
          <w:p>
            <w:pPr>
              <w:pStyle w:val="TableText"/>
              <w:ind w:left="7"/>
              <w:spacing w:before="30" w:line="216" w:lineRule="auto"/>
              <w:rPr/>
            </w:pPr>
            <w:r>
              <w:rPr/>
              <w:t>相 对</w:t>
            </w:r>
            <w:r>
              <w:rPr>
                <w:spacing w:val="-5"/>
              </w:rPr>
              <w:t xml:space="preserve"> </w:t>
            </w:r>
            <w:r>
              <w:rPr/>
              <w:t>密</w:t>
            </w:r>
            <w:r>
              <w:rPr>
                <w:spacing w:val="-5"/>
              </w:rPr>
              <w:t xml:space="preserve"> </w:t>
            </w:r>
            <w:r>
              <w:rPr/>
              <w:t>度</w:t>
            </w:r>
          </w:p>
          <w:p>
            <w:pPr>
              <w:pStyle w:val="TableText"/>
              <w:ind w:left="8"/>
              <w:spacing w:line="274" w:lineRule="exact"/>
              <w:rPr>
                <w:rFonts w:ascii="Times New Roman" w:hAnsi="Times New Roman" w:eastAsia="Times New Roman" w:cs="Times New Roman"/>
              </w:rPr>
            </w:pPr>
            <w:r>
              <w:rPr>
                <w:rFonts w:ascii="Times New Roman" w:hAnsi="Times New Roman" w:eastAsia="Times New Roman" w:cs="Times New Roman"/>
                <w:spacing w:val="3"/>
                <w:position w:val="2"/>
              </w:rPr>
              <w:t>(</w:t>
            </w:r>
            <w:r>
              <w:rPr>
                <w:spacing w:val="3"/>
                <w:position w:val="2"/>
              </w:rPr>
              <w:t>水</w:t>
            </w:r>
            <w:r>
              <w:rPr>
                <w:rFonts w:ascii="Times New Roman" w:hAnsi="Times New Roman" w:eastAsia="Times New Roman" w:cs="Times New Roman"/>
                <w:spacing w:val="3"/>
                <w:position w:val="2"/>
              </w:rPr>
              <w:t>=1)</w:t>
            </w:r>
          </w:p>
        </w:tc>
        <w:tc>
          <w:tcPr>
            <w:tcW w:w="2601" w:type="dxa"/>
            <w:vAlign w:val="top"/>
          </w:tcPr>
          <w:p>
            <w:pPr>
              <w:ind w:left="9"/>
              <w:spacing w:before="20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0.9348</w:t>
            </w:r>
          </w:p>
        </w:tc>
        <w:tc>
          <w:tcPr>
            <w:tcW w:w="1451" w:type="dxa"/>
            <w:vAlign w:val="top"/>
          </w:tcPr>
          <w:p>
            <w:pPr>
              <w:pStyle w:val="TableText"/>
              <w:ind w:left="6" w:right="3" w:firstLine="4"/>
              <w:spacing w:before="44" w:line="242" w:lineRule="auto"/>
              <w:rPr>
                <w:rFonts w:ascii="Times New Roman" w:hAnsi="Times New Roman" w:eastAsia="Times New Roman" w:cs="Times New Roman"/>
              </w:rPr>
            </w:pPr>
            <w:r>
              <w:rPr>
                <w:spacing w:val="23"/>
              </w:rPr>
              <w:t>相对密度</w:t>
            </w:r>
            <w:r>
              <w:rPr>
                <w:rFonts w:ascii="Times New Roman" w:hAnsi="Times New Roman" w:eastAsia="Times New Roman" w:cs="Times New Roman"/>
                <w:spacing w:val="23"/>
              </w:rPr>
              <w:t>(</w:t>
            </w:r>
            <w:r>
              <w:rPr>
                <w:spacing w:val="23"/>
              </w:rPr>
              <w:t>空气</w:t>
            </w:r>
            <w:r>
              <w:rPr>
                <w:spacing w:val="3"/>
              </w:rPr>
              <w:t xml:space="preserve"> </w:t>
            </w:r>
            <w:r>
              <w:rPr>
                <w:rFonts w:ascii="Times New Roman" w:hAnsi="Times New Roman" w:eastAsia="Times New Roman" w:cs="Times New Roman"/>
                <w:spacing w:val="-5"/>
              </w:rPr>
              <w:t>=</w:t>
            </w:r>
            <w:r>
              <w:rPr>
                <w:rFonts w:ascii="Times New Roman" w:hAnsi="Times New Roman" w:eastAsia="Times New Roman" w:cs="Times New Roman"/>
                <w:spacing w:val="-26"/>
              </w:rPr>
              <w:t xml:space="preserve"> </w:t>
            </w:r>
            <w:r>
              <w:rPr>
                <w:rFonts w:ascii="Times New Roman" w:hAnsi="Times New Roman" w:eastAsia="Times New Roman" w:cs="Times New Roman"/>
                <w:spacing w:val="-5"/>
              </w:rPr>
              <w:t>1)</w:t>
            </w:r>
          </w:p>
        </w:tc>
        <w:tc>
          <w:tcPr>
            <w:tcW w:w="2551" w:type="dxa"/>
            <w:vAlign w:val="top"/>
          </w:tcPr>
          <w:p>
            <w:pPr>
              <w:ind w:left="10"/>
              <w:spacing w:before="20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0.85</w:t>
            </w:r>
          </w:p>
        </w:tc>
      </w:tr>
      <w:tr>
        <w:trPr>
          <w:trHeight w:val="564" w:hRule="atLeast"/>
        </w:trPr>
        <w:tc>
          <w:tcPr>
            <w:tcW w:w="804" w:type="dxa"/>
            <w:vAlign w:val="top"/>
            <w:vMerge w:val="continue"/>
            <w:tcBorders>
              <w:top w:val="nil"/>
            </w:tcBorders>
          </w:tcPr>
          <w:p>
            <w:pPr>
              <w:rPr>
                <w:rFonts w:ascii="Arial"/>
                <w:sz w:val="21"/>
              </w:rPr>
            </w:pPr>
            <w:r/>
          </w:p>
        </w:tc>
        <w:tc>
          <w:tcPr>
            <w:tcW w:w="1109" w:type="dxa"/>
            <w:vAlign w:val="top"/>
          </w:tcPr>
          <w:p>
            <w:pPr>
              <w:pStyle w:val="TableText"/>
              <w:ind w:left="7" w:right="5" w:hanging="1"/>
              <w:spacing w:before="53" w:line="245" w:lineRule="auto"/>
              <w:rPr>
                <w:rFonts w:ascii="Times New Roman" w:hAnsi="Times New Roman" w:eastAsia="Times New Roman" w:cs="Times New Roman"/>
              </w:rPr>
            </w:pPr>
            <w:r>
              <w:rPr>
                <w:spacing w:val="18"/>
              </w:rPr>
              <w:t>饱和蒸气压</w:t>
            </w:r>
            <w:r>
              <w:rPr>
                <w:spacing w:val="1"/>
              </w:rPr>
              <w:t xml:space="preserve"> </w:t>
            </w:r>
            <w:r>
              <w:rPr>
                <w:rFonts w:ascii="Times New Roman" w:hAnsi="Times New Roman" w:eastAsia="Times New Roman" w:cs="Times New Roman"/>
                <w:spacing w:val="5"/>
              </w:rPr>
              <w:t>(</w:t>
            </w:r>
            <w:r>
              <w:rPr>
                <w:rFonts w:ascii="Times New Roman" w:hAnsi="Times New Roman" w:eastAsia="Times New Roman" w:cs="Times New Roman"/>
              </w:rPr>
              <w:t>kPa</w:t>
            </w:r>
            <w:r>
              <w:rPr>
                <w:rFonts w:ascii="Times New Roman" w:hAnsi="Times New Roman" w:eastAsia="Times New Roman" w:cs="Times New Roman"/>
                <w:spacing w:val="5"/>
              </w:rPr>
              <w:t>)</w:t>
            </w:r>
          </w:p>
        </w:tc>
        <w:tc>
          <w:tcPr>
            <w:tcW w:w="2601" w:type="dxa"/>
            <w:vAlign w:val="top"/>
          </w:tcPr>
          <w:p>
            <w:pPr>
              <w:ind w:left="9"/>
              <w:spacing w:before="20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w:t>
            </w:r>
            <w:r>
              <w:rPr>
                <w:rFonts w:ascii="Times New Roman" w:hAnsi="Times New Roman" w:eastAsia="Times New Roman" w:cs="Times New Roman"/>
                <w:sz w:val="20"/>
                <w:szCs w:val="20"/>
                <w:spacing w:val="-19"/>
              </w:rPr>
              <w:t xml:space="preserve"> </w:t>
            </w:r>
            <w:r>
              <w:rPr>
                <w:rFonts w:ascii="Times New Roman" w:hAnsi="Times New Roman" w:eastAsia="Times New Roman" w:cs="Times New Roman"/>
                <w:sz w:val="20"/>
                <w:szCs w:val="20"/>
                <w:spacing w:val="1"/>
              </w:rPr>
              <w:t>13/145.8℃</w:t>
            </w:r>
          </w:p>
        </w:tc>
        <w:tc>
          <w:tcPr>
            <w:tcW w:w="1451" w:type="dxa"/>
            <w:vAlign w:val="top"/>
          </w:tcPr>
          <w:p>
            <w:pPr>
              <w:pStyle w:val="TableText"/>
              <w:ind w:left="13"/>
              <w:spacing w:before="173" w:line="228" w:lineRule="auto"/>
              <w:rPr/>
            </w:pPr>
            <w:r>
              <w:rPr>
                <w:spacing w:val="6"/>
              </w:rPr>
              <w:t>溶解性</w:t>
            </w:r>
          </w:p>
        </w:tc>
        <w:tc>
          <w:tcPr>
            <w:tcW w:w="2551" w:type="dxa"/>
            <w:vAlign w:val="top"/>
          </w:tcPr>
          <w:p>
            <w:pPr>
              <w:pStyle w:val="TableText"/>
              <w:ind w:left="15" w:hanging="1"/>
              <w:spacing w:before="38" w:line="238" w:lineRule="auto"/>
              <w:rPr/>
            </w:pPr>
            <w:r>
              <w:rPr>
                <w:spacing w:val="-6"/>
              </w:rPr>
              <w:t>溶于苯、乙醇、乙醚、氯仿、</w:t>
            </w:r>
            <w:r>
              <w:rPr>
                <w:spacing w:val="8"/>
              </w:rPr>
              <w:t xml:space="preserve"> </w:t>
            </w:r>
            <w:r>
              <w:rPr>
                <w:spacing w:val="2"/>
              </w:rPr>
              <w:t>丙酮等多数有机溶剂。</w:t>
            </w:r>
          </w:p>
        </w:tc>
      </w:tr>
      <w:tr>
        <w:trPr>
          <w:trHeight w:val="833" w:hRule="atLeast"/>
        </w:trPr>
        <w:tc>
          <w:tcPr>
            <w:tcW w:w="804" w:type="dxa"/>
            <w:vAlign w:val="top"/>
            <w:vMerge w:val="restart"/>
            <w:tcBorders>
              <w:bottom w:val="nil"/>
            </w:tcBorders>
          </w:tcPr>
          <w:p>
            <w:pPr>
              <w:spacing w:line="272" w:lineRule="auto"/>
              <w:rPr>
                <w:rFonts w:ascii="Arial"/>
                <w:sz w:val="21"/>
              </w:rPr>
            </w:pPr>
            <w:r/>
          </w:p>
          <w:p>
            <w:pPr>
              <w:spacing w:line="273" w:lineRule="auto"/>
              <w:rPr>
                <w:rFonts w:ascii="Arial"/>
                <w:sz w:val="21"/>
              </w:rPr>
            </w:pPr>
            <w:r/>
          </w:p>
          <w:p>
            <w:pPr>
              <w:spacing w:line="273" w:lineRule="auto"/>
              <w:rPr>
                <w:rFonts w:ascii="Arial"/>
                <w:sz w:val="21"/>
              </w:rPr>
            </w:pPr>
            <w:r/>
          </w:p>
          <w:p>
            <w:pPr>
              <w:pStyle w:val="TableText"/>
              <w:ind w:left="92"/>
              <w:spacing w:before="65" w:line="226" w:lineRule="auto"/>
              <w:rPr/>
            </w:pPr>
            <w:r>
              <w:rPr>
                <w:spacing w:val="6"/>
              </w:rPr>
              <w:t>燃烧爆</w:t>
            </w:r>
          </w:p>
          <w:p>
            <w:pPr>
              <w:pStyle w:val="TableText"/>
              <w:ind w:left="94"/>
              <w:spacing w:before="25" w:line="228" w:lineRule="auto"/>
              <w:rPr/>
            </w:pPr>
            <w:r>
              <w:rPr>
                <w:spacing w:val="6"/>
              </w:rPr>
              <w:t>炸危险</w:t>
            </w:r>
          </w:p>
        </w:tc>
        <w:tc>
          <w:tcPr>
            <w:tcW w:w="1109" w:type="dxa"/>
            <w:vAlign w:val="top"/>
          </w:tcPr>
          <w:p>
            <w:pPr>
              <w:spacing w:line="242" w:lineRule="auto"/>
              <w:rPr>
                <w:rFonts w:ascii="Arial"/>
                <w:sz w:val="21"/>
              </w:rPr>
            </w:pPr>
            <w:r/>
          </w:p>
          <w:p>
            <w:pPr>
              <w:pStyle w:val="TableText"/>
              <w:ind w:left="10"/>
              <w:spacing w:before="65" w:line="228" w:lineRule="auto"/>
              <w:rPr/>
            </w:pPr>
            <w:r>
              <w:rPr>
                <w:spacing w:val="6"/>
              </w:rPr>
              <w:t>危险特性</w:t>
            </w:r>
          </w:p>
        </w:tc>
        <w:tc>
          <w:tcPr>
            <w:tcW w:w="2601" w:type="dxa"/>
            <w:vAlign w:val="top"/>
          </w:tcPr>
          <w:p>
            <w:pPr>
              <w:pStyle w:val="TableText"/>
              <w:ind w:left="9" w:right="4" w:firstLine="1"/>
              <w:spacing w:before="172" w:line="252" w:lineRule="auto"/>
              <w:rPr/>
            </w:pPr>
            <w:r>
              <w:rPr>
                <w:spacing w:val="3"/>
              </w:rPr>
              <w:t>可燃液体，火灾危险性为丙</w:t>
            </w:r>
            <w:r>
              <w:rPr>
                <w:rFonts w:ascii="Times New Roman" w:hAnsi="Times New Roman" w:eastAsia="Times New Roman" w:cs="Times New Roman"/>
                <w:spacing w:val="3"/>
              </w:rPr>
              <w:t>B</w:t>
            </w:r>
            <w:r>
              <w:rPr>
                <w:rFonts w:ascii="Times New Roman" w:hAnsi="Times New Roman" w:eastAsia="Times New Roman" w:cs="Times New Roman"/>
                <w:spacing w:val="6"/>
              </w:rPr>
              <w:t xml:space="preserve"> </w:t>
            </w:r>
            <w:r>
              <w:rPr>
                <w:spacing w:val="8"/>
              </w:rPr>
              <w:t>类；遇明火、高热可燃</w:t>
            </w:r>
          </w:p>
        </w:tc>
        <w:tc>
          <w:tcPr>
            <w:tcW w:w="1451" w:type="dxa"/>
            <w:vAlign w:val="top"/>
          </w:tcPr>
          <w:p>
            <w:pPr>
              <w:spacing w:line="243" w:lineRule="auto"/>
              <w:rPr>
                <w:rFonts w:ascii="Arial"/>
                <w:sz w:val="21"/>
              </w:rPr>
            </w:pPr>
            <w:r/>
          </w:p>
          <w:p>
            <w:pPr>
              <w:pStyle w:val="TableText"/>
              <w:ind w:left="11"/>
              <w:spacing w:before="65" w:line="227" w:lineRule="auto"/>
              <w:rPr/>
            </w:pPr>
            <w:r>
              <w:rPr>
                <w:spacing w:val="8"/>
              </w:rPr>
              <w:t>燃烧分解产物</w:t>
            </w:r>
          </w:p>
        </w:tc>
        <w:tc>
          <w:tcPr>
            <w:tcW w:w="2551" w:type="dxa"/>
            <w:vAlign w:val="top"/>
          </w:tcPr>
          <w:p>
            <w:pPr>
              <w:spacing w:line="242" w:lineRule="auto"/>
              <w:rPr>
                <w:rFonts w:ascii="Arial"/>
                <w:sz w:val="21"/>
              </w:rPr>
            </w:pPr>
            <w:r/>
          </w:p>
          <w:p>
            <w:pPr>
              <w:pStyle w:val="TableText"/>
              <w:ind w:left="10"/>
              <w:spacing w:before="65" w:line="228" w:lineRule="auto"/>
              <w:rPr/>
            </w:pPr>
            <w:r>
              <w:rPr>
                <w:rFonts w:ascii="Times New Roman" w:hAnsi="Times New Roman" w:eastAsia="Times New Roman" w:cs="Times New Roman"/>
              </w:rPr>
              <w:t>CO</w:t>
            </w:r>
            <w:r>
              <w:rPr>
                <w:rFonts w:ascii="Times New Roman" w:hAnsi="Times New Roman" w:eastAsia="Times New Roman" w:cs="Times New Roman"/>
                <w:spacing w:val="-21"/>
              </w:rPr>
              <w:t xml:space="preserve"> </w:t>
            </w:r>
            <w:r>
              <w:rPr>
                <w:spacing w:val="8"/>
              </w:rPr>
              <w:t>、</w:t>
            </w:r>
            <w:r>
              <w:rPr>
                <w:rFonts w:ascii="Times New Roman" w:hAnsi="Times New Roman" w:eastAsia="Times New Roman" w:cs="Times New Roman"/>
              </w:rPr>
              <w:t>CO</w:t>
            </w:r>
            <w:r>
              <w:rPr>
                <w:rFonts w:ascii="Times New Roman" w:hAnsi="Times New Roman" w:eastAsia="Times New Roman" w:cs="Times New Roman"/>
                <w:spacing w:val="8"/>
              </w:rPr>
              <w:t>₂</w:t>
            </w:r>
            <w:r>
              <w:rPr>
                <w:spacing w:val="8"/>
              </w:rPr>
              <w:t>等有毒有害气体</w:t>
            </w:r>
          </w:p>
        </w:tc>
      </w:tr>
      <w:tr>
        <w:trPr>
          <w:trHeight w:val="295" w:hRule="atLeast"/>
        </w:trPr>
        <w:tc>
          <w:tcPr>
            <w:tcW w:w="804" w:type="dxa"/>
            <w:vAlign w:val="top"/>
            <w:vMerge w:val="continue"/>
            <w:tcBorders>
              <w:top w:val="nil"/>
              <w:bottom w:val="nil"/>
            </w:tcBorders>
          </w:tcPr>
          <w:p>
            <w:pPr>
              <w:rPr>
                <w:rFonts w:ascii="Arial"/>
                <w:sz w:val="21"/>
              </w:rPr>
            </w:pPr>
            <w:r/>
          </w:p>
        </w:tc>
        <w:tc>
          <w:tcPr>
            <w:tcW w:w="1109" w:type="dxa"/>
            <w:vAlign w:val="top"/>
          </w:tcPr>
          <w:p>
            <w:pPr>
              <w:pStyle w:val="TableText"/>
              <w:ind w:left="8"/>
              <w:spacing w:before="40" w:line="226" w:lineRule="auto"/>
              <w:rPr/>
            </w:pPr>
            <w:r>
              <w:rPr>
                <w:spacing w:val="6"/>
              </w:rPr>
              <w:t>稳定性</w:t>
            </w:r>
          </w:p>
        </w:tc>
        <w:tc>
          <w:tcPr>
            <w:tcW w:w="2601" w:type="dxa"/>
            <w:vAlign w:val="top"/>
          </w:tcPr>
          <w:p>
            <w:pPr>
              <w:pStyle w:val="TableText"/>
              <w:ind w:left="10"/>
              <w:spacing w:before="40" w:line="226" w:lineRule="auto"/>
              <w:rPr/>
            </w:pPr>
            <w:r>
              <w:rPr>
                <w:spacing w:val="4"/>
              </w:rPr>
              <w:t>稳定</w:t>
            </w:r>
          </w:p>
        </w:tc>
        <w:tc>
          <w:tcPr>
            <w:tcW w:w="1451" w:type="dxa"/>
            <w:vAlign w:val="top"/>
          </w:tcPr>
          <w:p>
            <w:pPr>
              <w:pStyle w:val="TableText"/>
              <w:ind w:left="10"/>
              <w:spacing w:before="40" w:line="226" w:lineRule="auto"/>
              <w:rPr/>
            </w:pPr>
            <w:r>
              <w:rPr>
                <w:spacing w:val="6"/>
              </w:rPr>
              <w:t>禁忌物</w:t>
            </w:r>
          </w:p>
        </w:tc>
        <w:tc>
          <w:tcPr>
            <w:tcW w:w="2551" w:type="dxa"/>
            <w:vAlign w:val="top"/>
          </w:tcPr>
          <w:p>
            <w:pPr>
              <w:pStyle w:val="TableText"/>
              <w:ind w:left="13"/>
              <w:spacing w:before="40" w:line="226" w:lineRule="auto"/>
              <w:rPr/>
            </w:pPr>
            <w:r>
              <w:rPr>
                <w:spacing w:val="8"/>
              </w:rPr>
              <w:t>硝酸等强氧化剂</w:t>
            </w:r>
          </w:p>
        </w:tc>
      </w:tr>
      <w:tr>
        <w:trPr>
          <w:trHeight w:val="1123" w:hRule="atLeast"/>
        </w:trPr>
        <w:tc>
          <w:tcPr>
            <w:tcW w:w="804" w:type="dxa"/>
            <w:vAlign w:val="top"/>
            <w:vMerge w:val="continue"/>
            <w:tcBorders>
              <w:top w:val="nil"/>
            </w:tcBorders>
          </w:tcPr>
          <w:p>
            <w:pPr>
              <w:rPr>
                <w:rFonts w:ascii="Arial"/>
                <w:sz w:val="21"/>
              </w:rPr>
            </w:pPr>
            <w:r/>
          </w:p>
        </w:tc>
        <w:tc>
          <w:tcPr>
            <w:tcW w:w="1109" w:type="dxa"/>
            <w:vAlign w:val="top"/>
          </w:tcPr>
          <w:p>
            <w:pPr>
              <w:spacing w:line="388" w:lineRule="auto"/>
              <w:rPr>
                <w:rFonts w:ascii="Arial"/>
                <w:sz w:val="21"/>
              </w:rPr>
            </w:pPr>
            <w:r/>
          </w:p>
          <w:p>
            <w:pPr>
              <w:pStyle w:val="TableText"/>
              <w:ind w:left="11"/>
              <w:spacing w:before="65" w:line="228" w:lineRule="auto"/>
              <w:rPr/>
            </w:pPr>
            <w:r>
              <w:rPr>
                <w:spacing w:val="6"/>
              </w:rPr>
              <w:t>灭火方法</w:t>
            </w:r>
          </w:p>
        </w:tc>
        <w:tc>
          <w:tcPr>
            <w:tcW w:w="6603" w:type="dxa"/>
            <w:vAlign w:val="top"/>
            <w:gridSpan w:val="3"/>
          </w:tcPr>
          <w:p>
            <w:pPr>
              <w:pStyle w:val="TableText"/>
              <w:ind w:left="9" w:right="5" w:firstLine="5"/>
              <w:spacing w:before="46" w:line="246" w:lineRule="auto"/>
              <w:jc w:val="both"/>
              <w:rPr/>
            </w:pPr>
            <w:r>
              <w:rPr>
                <w:spacing w:val="12"/>
              </w:rPr>
              <w:t>消防人员须佩戴防毒面具、穿全身消防服，在上风向灭火。尽可能将容</w:t>
            </w:r>
            <w:r>
              <w:rPr>
                <w:spacing w:val="5"/>
              </w:rPr>
              <w:t xml:space="preserve"> </w:t>
            </w:r>
            <w:r>
              <w:rPr>
                <w:spacing w:val="9"/>
              </w:rPr>
              <w:t>器从火场移 至空旷处。喷水保持火场容器冷却，直至灭火</w:t>
            </w:r>
            <w:r>
              <w:rPr>
                <w:spacing w:val="8"/>
              </w:rPr>
              <w:t>结束。处在火</w:t>
            </w:r>
            <w:r>
              <w:rPr/>
              <w:t xml:space="preserve"> </w:t>
            </w:r>
            <w:r>
              <w:rPr>
                <w:spacing w:val="12"/>
              </w:rPr>
              <w:t>场中的容器若已变色或从安全泄压装置中产生声音，必须立即撤离。灭</w:t>
            </w:r>
            <w:r>
              <w:rPr>
                <w:spacing w:val="10"/>
              </w:rPr>
              <w:t xml:space="preserve"> </w:t>
            </w:r>
            <w:r>
              <w:rPr>
                <w:spacing w:val="9"/>
              </w:rPr>
              <w:t>火剂：雾状水、泡沫、干粉、二氧化碳、砂土。</w:t>
            </w:r>
          </w:p>
        </w:tc>
      </w:tr>
      <w:tr>
        <w:trPr>
          <w:trHeight w:val="822" w:hRule="atLeast"/>
        </w:trPr>
        <w:tc>
          <w:tcPr>
            <w:tcW w:w="804" w:type="dxa"/>
            <w:vAlign w:val="top"/>
          </w:tcPr>
          <w:p>
            <w:pPr>
              <w:pStyle w:val="TableText"/>
              <w:ind w:left="197"/>
              <w:spacing w:before="169" w:line="228" w:lineRule="auto"/>
              <w:rPr/>
            </w:pPr>
            <w:r>
              <w:rPr>
                <w:spacing w:val="4"/>
              </w:rPr>
              <w:t>健康</w:t>
            </w:r>
          </w:p>
          <w:p>
            <w:pPr>
              <w:pStyle w:val="TableText"/>
              <w:ind w:left="199"/>
              <w:spacing w:before="24" w:line="228" w:lineRule="auto"/>
              <w:rPr/>
            </w:pPr>
            <w:r>
              <w:rPr>
                <w:spacing w:val="3"/>
              </w:rPr>
              <w:t>危害</w:t>
            </w:r>
          </w:p>
        </w:tc>
        <w:tc>
          <w:tcPr>
            <w:tcW w:w="7712" w:type="dxa"/>
            <w:vAlign w:val="top"/>
            <w:gridSpan w:val="4"/>
          </w:tcPr>
          <w:p>
            <w:pPr>
              <w:pStyle w:val="TableText"/>
              <w:ind w:left="7" w:firstLine="6"/>
              <w:spacing w:before="32"/>
              <w:jc w:val="both"/>
              <w:rPr/>
            </w:pPr>
            <w:r>
              <w:rPr>
                <w:spacing w:val="8"/>
              </w:rPr>
              <w:t>急性吸入，可出现乏力、头晕、头痛、恶心，严重者可引起油脂性肺炎。</w:t>
            </w:r>
            <w:r>
              <w:rPr>
                <w:spacing w:val="7"/>
              </w:rPr>
              <w:t>慢接触者，</w:t>
            </w:r>
            <w:r>
              <w:rPr/>
              <w:t xml:space="preserve"> </w:t>
            </w:r>
            <w:r>
              <w:rPr>
                <w:spacing w:val="8"/>
              </w:rPr>
              <w:t>暴露部位可发生油性痤疮和接触型皮炎。可引发神经</w:t>
            </w:r>
            <w:r>
              <w:rPr>
                <w:spacing w:val="7"/>
              </w:rPr>
              <w:t>衰弱综合症，呼吸道和眼刺激症</w:t>
            </w:r>
            <w:r>
              <w:rPr/>
              <w:t xml:space="preserve"> </w:t>
            </w:r>
            <w:r>
              <w:rPr>
                <w:spacing w:val="7"/>
              </w:rPr>
              <w:t>状及慢性油脂性肺炎。</w:t>
            </w:r>
          </w:p>
        </w:tc>
      </w:tr>
      <w:tr>
        <w:trPr>
          <w:trHeight w:val="1094" w:hRule="atLeast"/>
        </w:trPr>
        <w:tc>
          <w:tcPr>
            <w:tcW w:w="804" w:type="dxa"/>
            <w:vAlign w:val="top"/>
          </w:tcPr>
          <w:p>
            <w:pPr>
              <w:pStyle w:val="TableText"/>
              <w:ind w:left="203"/>
              <w:spacing w:before="305" w:line="228" w:lineRule="auto"/>
              <w:rPr/>
            </w:pPr>
            <w:r>
              <w:rPr>
                <w:spacing w:val="1"/>
              </w:rPr>
              <w:t>急救</w:t>
            </w:r>
          </w:p>
          <w:p>
            <w:pPr>
              <w:pStyle w:val="TableText"/>
              <w:ind w:left="197"/>
              <w:spacing w:before="24" w:line="228" w:lineRule="auto"/>
              <w:rPr/>
            </w:pPr>
            <w:r>
              <w:rPr>
                <w:spacing w:val="4"/>
              </w:rPr>
              <w:t>措施</w:t>
            </w:r>
          </w:p>
        </w:tc>
        <w:tc>
          <w:tcPr>
            <w:tcW w:w="7712" w:type="dxa"/>
            <w:vAlign w:val="top"/>
            <w:gridSpan w:val="4"/>
          </w:tcPr>
          <w:p>
            <w:pPr>
              <w:pStyle w:val="TableText"/>
              <w:ind w:left="7" w:firstLine="3"/>
              <w:spacing w:before="35" w:line="242" w:lineRule="auto"/>
              <w:jc w:val="both"/>
              <w:rPr/>
            </w:pPr>
            <w:r>
              <w:rPr>
                <w:spacing w:val="7"/>
              </w:rPr>
              <w:t>皮肤接触：脱去污染的衣着，用大量流动清水清洗，就医。眼接触：提起眼睑，用流</w:t>
            </w:r>
            <w:r>
              <w:rPr>
                <w:spacing w:val="3"/>
              </w:rPr>
              <w:t xml:space="preserve"> </w:t>
            </w:r>
            <w:r>
              <w:rPr>
                <w:spacing w:val="8"/>
              </w:rPr>
              <w:t>动清水或生理盐水冲洗，就医。吸入：迅速脱离现场至空气新鲜处，保持呼吸畅通。</w:t>
            </w:r>
            <w:r>
              <w:rPr>
                <w:spacing w:val="2"/>
              </w:rPr>
              <w:t xml:space="preserve"> </w:t>
            </w:r>
            <w:r>
              <w:rPr>
                <w:spacing w:val="8"/>
              </w:rPr>
              <w:t>如呼吸困难，给输氧。如呼吸停止，立即进行人工呼吸。就医。食用：饮适量温水，</w:t>
            </w:r>
            <w:r>
              <w:rPr>
                <w:spacing w:val="2"/>
              </w:rPr>
              <w:t xml:space="preserve"> </w:t>
            </w:r>
            <w:r>
              <w:rPr>
                <w:spacing w:val="6"/>
              </w:rPr>
              <w:t>催吐，就医。</w:t>
            </w:r>
          </w:p>
        </w:tc>
      </w:tr>
      <w:tr>
        <w:trPr>
          <w:trHeight w:val="1093" w:hRule="atLeast"/>
        </w:trPr>
        <w:tc>
          <w:tcPr>
            <w:tcW w:w="804" w:type="dxa"/>
            <w:vAlign w:val="top"/>
          </w:tcPr>
          <w:p>
            <w:pPr>
              <w:pStyle w:val="TableText"/>
              <w:ind w:left="210"/>
              <w:spacing w:before="306" w:line="228" w:lineRule="auto"/>
              <w:rPr/>
            </w:pPr>
            <w:r>
              <w:rPr>
                <w:spacing w:val="-2"/>
              </w:rPr>
              <w:t>防护</w:t>
            </w:r>
          </w:p>
          <w:p>
            <w:pPr>
              <w:pStyle w:val="TableText"/>
              <w:ind w:left="197"/>
              <w:spacing w:before="24" w:line="228" w:lineRule="auto"/>
              <w:rPr/>
            </w:pPr>
            <w:r>
              <w:rPr>
                <w:spacing w:val="4"/>
              </w:rPr>
              <w:t>措施</w:t>
            </w:r>
          </w:p>
        </w:tc>
        <w:tc>
          <w:tcPr>
            <w:tcW w:w="7712" w:type="dxa"/>
            <w:vAlign w:val="top"/>
            <w:gridSpan w:val="4"/>
          </w:tcPr>
          <w:p>
            <w:pPr>
              <w:pStyle w:val="TableText"/>
              <w:ind w:left="7" w:firstLine="11"/>
              <w:spacing w:before="34" w:line="242" w:lineRule="auto"/>
              <w:jc w:val="both"/>
              <w:rPr/>
            </w:pPr>
            <w:r>
              <w:rPr>
                <w:spacing w:val="9"/>
              </w:rPr>
              <w:t>呼吸系统防护：空气中浓度超标时，必须佩戴自吸过滤式防毒面具</w:t>
            </w:r>
            <w:r>
              <w:rPr>
                <w:rFonts w:ascii="Times New Roman" w:hAnsi="Times New Roman" w:eastAsia="Times New Roman" w:cs="Times New Roman"/>
                <w:spacing w:val="9"/>
              </w:rPr>
              <w:t>(</w:t>
            </w:r>
            <w:r>
              <w:rPr>
                <w:spacing w:val="9"/>
              </w:rPr>
              <w:t>半面罩</w:t>
            </w:r>
            <w:r>
              <w:rPr>
                <w:rFonts w:ascii="Times New Roman" w:hAnsi="Times New Roman" w:eastAsia="Times New Roman" w:cs="Times New Roman"/>
                <w:spacing w:val="9"/>
              </w:rPr>
              <w:t>)</w:t>
            </w:r>
            <w:r>
              <w:rPr>
                <w:spacing w:val="8"/>
              </w:rPr>
              <w:t>；紧急事</w:t>
            </w:r>
            <w:r>
              <w:rPr/>
              <w:t xml:space="preserve"> </w:t>
            </w:r>
            <w:r>
              <w:rPr>
                <w:spacing w:val="8"/>
              </w:rPr>
              <w:t>态抢救或撤离时，应佩戴空气呼吸器。眼睛防护：戴化学安全防护眼镜。身体防护：</w:t>
            </w:r>
            <w:r>
              <w:rPr>
                <w:spacing w:val="2"/>
              </w:rPr>
              <w:t xml:space="preserve"> </w:t>
            </w:r>
            <w:r>
              <w:rPr>
                <w:spacing w:val="8"/>
              </w:rPr>
              <w:t>穿防毒渗透工作服。手防护：戴橡胶耐油手套。其他：</w:t>
            </w:r>
            <w:r>
              <w:rPr>
                <w:spacing w:val="7"/>
              </w:rPr>
              <w:t>工作现场严禁吸烟，避免长期</w:t>
            </w:r>
            <w:r>
              <w:rPr/>
              <w:t xml:space="preserve"> </w:t>
            </w:r>
            <w:r>
              <w:rPr>
                <w:spacing w:val="5"/>
              </w:rPr>
              <w:t>反复接触。</w:t>
            </w:r>
          </w:p>
        </w:tc>
      </w:tr>
      <w:tr>
        <w:trPr>
          <w:trHeight w:val="1366" w:hRule="atLeast"/>
        </w:trPr>
        <w:tc>
          <w:tcPr>
            <w:tcW w:w="804" w:type="dxa"/>
            <w:vAlign w:val="top"/>
          </w:tcPr>
          <w:p>
            <w:pPr>
              <w:spacing w:line="376" w:lineRule="auto"/>
              <w:rPr>
                <w:rFonts w:ascii="Arial"/>
                <w:sz w:val="21"/>
              </w:rPr>
            </w:pPr>
            <w:r/>
          </w:p>
          <w:p>
            <w:pPr>
              <w:pStyle w:val="TableText"/>
              <w:ind w:left="200"/>
              <w:spacing w:before="65" w:line="228" w:lineRule="auto"/>
              <w:rPr/>
            </w:pPr>
            <w:r>
              <w:rPr>
                <w:spacing w:val="3"/>
              </w:rPr>
              <w:t>泄露</w:t>
            </w:r>
          </w:p>
          <w:p>
            <w:pPr>
              <w:pStyle w:val="TableText"/>
              <w:ind w:left="201"/>
              <w:spacing w:before="23" w:line="232" w:lineRule="auto"/>
              <w:rPr/>
            </w:pPr>
            <w:r>
              <w:rPr>
                <w:spacing w:val="2"/>
              </w:rPr>
              <w:t>处理</w:t>
            </w:r>
          </w:p>
        </w:tc>
        <w:tc>
          <w:tcPr>
            <w:tcW w:w="7712" w:type="dxa"/>
            <w:vAlign w:val="top"/>
            <w:gridSpan w:val="4"/>
          </w:tcPr>
          <w:p>
            <w:pPr>
              <w:pStyle w:val="TableText"/>
              <w:ind w:left="6" w:right="5"/>
              <w:spacing w:before="34" w:line="244" w:lineRule="auto"/>
              <w:jc w:val="both"/>
              <w:rPr/>
            </w:pPr>
            <w:r>
              <w:rPr>
                <w:spacing w:val="8"/>
              </w:rPr>
              <w:t>迅速撤离泄漏污染区人员至安全区，并进行隔离，严格限制出入。切断火源</w:t>
            </w:r>
            <w:r>
              <w:rPr>
                <w:spacing w:val="7"/>
              </w:rPr>
              <w:t>。建议应</w:t>
            </w:r>
            <w:r>
              <w:rPr/>
              <w:t xml:space="preserve"> </w:t>
            </w:r>
            <w:r>
              <w:rPr>
                <w:spacing w:val="8"/>
              </w:rPr>
              <w:t>急处理人员戴自给正式呼吸器，穿防毒服。尽可能切断泄漏源。防止流入下水</w:t>
            </w:r>
            <w:r>
              <w:rPr>
                <w:spacing w:val="7"/>
              </w:rPr>
              <w:t>道、排</w:t>
            </w:r>
            <w:r>
              <w:rPr/>
              <w:t xml:space="preserve"> </w:t>
            </w:r>
            <w:r>
              <w:rPr>
                <w:spacing w:val="8"/>
              </w:rPr>
              <w:t>洪沟等限制性空间。小量泄漏：用砂土或其他不燃材料吸附或吸收，减少挥发</w:t>
            </w:r>
            <w:r>
              <w:rPr>
                <w:spacing w:val="7"/>
              </w:rPr>
              <w:t>。大量</w:t>
            </w:r>
            <w:r>
              <w:rPr/>
              <w:t xml:space="preserve"> </w:t>
            </w:r>
            <w:r>
              <w:rPr>
                <w:spacing w:val="8"/>
              </w:rPr>
              <w:t>泄漏：构筑围堤或挖坑收容。用泵转移至槽车或专用收集器内，回收或运至废</w:t>
            </w:r>
            <w:r>
              <w:rPr>
                <w:spacing w:val="7"/>
              </w:rPr>
              <w:t>物处理</w:t>
            </w:r>
            <w:r>
              <w:rPr/>
              <w:t xml:space="preserve"> </w:t>
            </w:r>
            <w:r>
              <w:rPr>
                <w:spacing w:val="6"/>
              </w:rPr>
              <w:t>场所处置。</w:t>
            </w:r>
          </w:p>
        </w:tc>
      </w:tr>
      <w:tr>
        <w:trPr>
          <w:trHeight w:val="574" w:hRule="atLeast"/>
        </w:trPr>
        <w:tc>
          <w:tcPr>
            <w:tcW w:w="804" w:type="dxa"/>
            <w:vAlign w:val="top"/>
          </w:tcPr>
          <w:p>
            <w:pPr>
              <w:pStyle w:val="TableText"/>
              <w:ind w:left="196"/>
              <w:spacing w:before="46" w:line="228" w:lineRule="auto"/>
              <w:rPr/>
            </w:pPr>
            <w:r>
              <w:rPr>
                <w:spacing w:val="5"/>
              </w:rPr>
              <w:t>储存</w:t>
            </w:r>
          </w:p>
          <w:p>
            <w:pPr>
              <w:pStyle w:val="TableText"/>
              <w:ind w:left="198"/>
              <w:spacing w:before="24" w:line="227" w:lineRule="auto"/>
              <w:rPr/>
            </w:pPr>
            <w:r>
              <w:rPr>
                <w:spacing w:val="4"/>
              </w:rPr>
              <w:t>要求</w:t>
            </w:r>
          </w:p>
        </w:tc>
        <w:tc>
          <w:tcPr>
            <w:tcW w:w="7712" w:type="dxa"/>
            <w:vAlign w:val="top"/>
            <w:gridSpan w:val="4"/>
          </w:tcPr>
          <w:p>
            <w:pPr>
              <w:pStyle w:val="TableText"/>
              <w:ind w:left="6" w:right="5"/>
              <w:spacing w:before="48" w:line="238" w:lineRule="auto"/>
              <w:rPr/>
            </w:pPr>
            <w:r>
              <w:rPr>
                <w:spacing w:val="8"/>
              </w:rPr>
              <w:t>储存于阴凉、通风的库房。远离火种、热源。应与氧化剂分开存放，切忌混储</w:t>
            </w:r>
            <w:r>
              <w:rPr>
                <w:spacing w:val="7"/>
              </w:rPr>
              <w:t>。配备</w:t>
            </w:r>
            <w:r>
              <w:rPr/>
              <w:t xml:space="preserve"> </w:t>
            </w:r>
            <w:r>
              <w:rPr>
                <w:spacing w:val="9"/>
              </w:rPr>
              <w:t>相应品种和数量的消防器材。储区应备有泄漏应急处理设备和合适的收容材料。</w:t>
            </w:r>
          </w:p>
        </w:tc>
      </w:tr>
      <w:tr>
        <w:trPr>
          <w:trHeight w:val="1371" w:hRule="atLeast"/>
        </w:trPr>
        <w:tc>
          <w:tcPr>
            <w:tcW w:w="804" w:type="dxa"/>
            <w:vAlign w:val="top"/>
          </w:tcPr>
          <w:p>
            <w:pPr>
              <w:spacing w:line="374" w:lineRule="auto"/>
              <w:rPr>
                <w:rFonts w:ascii="Arial"/>
                <w:sz w:val="21"/>
              </w:rPr>
            </w:pPr>
            <w:r/>
          </w:p>
          <w:p>
            <w:pPr>
              <w:pStyle w:val="TableText"/>
              <w:ind w:left="197"/>
              <w:spacing w:before="65" w:line="228" w:lineRule="auto"/>
              <w:rPr/>
            </w:pPr>
            <w:r>
              <w:rPr>
                <w:spacing w:val="4"/>
              </w:rPr>
              <w:t>运输</w:t>
            </w:r>
          </w:p>
          <w:p>
            <w:pPr>
              <w:pStyle w:val="TableText"/>
              <w:ind w:left="198"/>
              <w:spacing w:before="27" w:line="229" w:lineRule="auto"/>
              <w:rPr/>
            </w:pPr>
            <w:r>
              <w:rPr>
                <w:spacing w:val="4"/>
              </w:rPr>
              <w:t>要求</w:t>
            </w:r>
          </w:p>
        </w:tc>
        <w:tc>
          <w:tcPr>
            <w:tcW w:w="7712" w:type="dxa"/>
            <w:vAlign w:val="top"/>
            <w:gridSpan w:val="4"/>
          </w:tcPr>
          <w:p>
            <w:pPr>
              <w:pStyle w:val="TableText"/>
              <w:ind w:left="6" w:firstLine="2"/>
              <w:spacing w:before="33" w:line="245" w:lineRule="auto"/>
              <w:jc w:val="both"/>
              <w:rPr/>
            </w:pPr>
            <w:r>
              <w:rPr>
                <w:spacing w:val="7"/>
              </w:rPr>
              <w:t>用油罐、油罐车、油船、铁桶、塑料桶等盛装，盛装时切不可装满，要留出必要的安</w:t>
            </w:r>
            <w:r>
              <w:rPr>
                <w:spacing w:val="5"/>
              </w:rPr>
              <w:t xml:space="preserve"> </w:t>
            </w:r>
            <w:r>
              <w:rPr>
                <w:spacing w:val="8"/>
              </w:rPr>
              <w:t>全空间。运输前应先检查包装容器是否完整、密封，运输过程中要确保容器不泄露、</w:t>
            </w:r>
            <w:r>
              <w:rPr>
                <w:spacing w:val="3"/>
              </w:rPr>
              <w:t xml:space="preserve"> </w:t>
            </w:r>
            <w:r>
              <w:rPr>
                <w:spacing w:val="7"/>
              </w:rPr>
              <w:t>不倒塌、不坠落、不损坏。严禁与氧化剂、食用化学品等混装混运。运输车船必须彻 </w:t>
            </w:r>
            <w:r>
              <w:rPr>
                <w:spacing w:val="7"/>
              </w:rPr>
              <w:t>底清洗、消毒，否则不得装运其它物品。船运时，配装位置应远离卧室、厨房，并与 </w:t>
            </w:r>
            <w:r>
              <w:rPr>
                <w:spacing w:val="8"/>
              </w:rPr>
              <w:t>机舱、电源、火源等部位隔离。公路运输时要按规定路线行驶。</w:t>
            </w:r>
          </w:p>
        </w:tc>
      </w:tr>
    </w:tbl>
    <w:p>
      <w:pPr>
        <w:pStyle w:val="BodyText"/>
        <w:rPr/>
      </w:pPr>
      <w:r/>
    </w:p>
    <w:p>
      <w:pPr>
        <w:sectPr>
          <w:footerReference w:type="default" r:id="rId330"/>
          <w:pgSz w:w="11907" w:h="16840"/>
          <w:pgMar w:top="1567" w:right="1692" w:bottom="1921" w:left="1692" w:header="1221" w:footer="1247" w:gutter="0"/>
        </w:sectPr>
        <w:rPr/>
      </w:pPr>
    </w:p>
    <w:p>
      <w:pPr>
        <w:ind w:left="60"/>
        <w:spacing w:before="193" w:line="222" w:lineRule="auto"/>
        <w:outlineLvl w:val="2"/>
        <w:rPr>
          <w:rFonts w:ascii="SimHei" w:hAnsi="SimHei" w:eastAsia="SimHei" w:cs="SimHei"/>
          <w:sz w:val="28"/>
          <w:szCs w:val="28"/>
        </w:rPr>
      </w:pPr>
      <w:r>
        <w:pict>
          <v:shape id="_x0000_s1102" style="position:absolute;margin-left:85.05pt;margin-top:79.11pt;mso-position-vertical-relative:page;mso-position-horizontal-relative:page;width:425.25pt;height:0.75pt;z-index:252215296;" o:allowincell="f" fillcolor="#000000" filled="true" stroked="false" coordsize="8505,15" coordorigin="0,0" path="m,l8505,0l8505,14l0,14l0,0xe"/>
        </w:pict>
      </w:r>
      <w:bookmarkStart w:name="bookmark125" w:id="156"/>
      <w:bookmarkEnd w:id="156"/>
      <w:r>
        <w:rPr>
          <w:rFonts w:ascii="Times New Roman" w:hAnsi="Times New Roman" w:eastAsia="Times New Roman" w:cs="Times New Roman"/>
          <w:sz w:val="28"/>
          <w:szCs w:val="28"/>
          <w:spacing w:val="-1"/>
        </w:rPr>
        <w:t>6.1.2 </w:t>
      </w:r>
      <w:r>
        <w:rPr>
          <w:rFonts w:ascii="SimHei" w:hAnsi="SimHei" w:eastAsia="SimHei" w:cs="SimHei"/>
          <w:sz w:val="28"/>
          <w:szCs w:val="28"/>
          <w:spacing w:val="-1"/>
        </w:rPr>
        <w:t>环境敏感目标</w:t>
      </w:r>
    </w:p>
    <w:p>
      <w:pPr>
        <w:ind w:left="57" w:right="47" w:firstLine="480"/>
        <w:spacing w:before="317" w:line="359" w:lineRule="auto"/>
        <w:jc w:val="both"/>
        <w:rPr>
          <w:rFonts w:ascii="SimSun" w:hAnsi="SimSun" w:eastAsia="SimSun" w:cs="SimSun"/>
          <w:sz w:val="24"/>
          <w:szCs w:val="24"/>
        </w:rPr>
      </w:pPr>
      <w:r>
        <w:rPr>
          <w:rFonts w:ascii="SimSun" w:hAnsi="SimSun" w:eastAsia="SimSun" w:cs="SimSun"/>
          <w:sz w:val="24"/>
          <w:szCs w:val="24"/>
          <w:spacing w:val="3"/>
        </w:rPr>
        <w:t>本项目生产过程中涉及的环境风险物质主要为沼气（甲烷）、</w:t>
      </w:r>
      <w:r>
        <w:rPr>
          <w:rFonts w:ascii="Times New Roman" w:hAnsi="Times New Roman" w:eastAsia="Times New Roman" w:cs="Times New Roman"/>
          <w:sz w:val="24"/>
          <w:szCs w:val="24"/>
        </w:rPr>
        <w:t>COD</w:t>
      </w:r>
      <w:r>
        <w:rPr>
          <w:rFonts w:ascii="Times New Roman" w:hAnsi="Times New Roman" w:eastAsia="Times New Roman" w:cs="Times New Roman"/>
          <w:sz w:val="15"/>
          <w:szCs w:val="15"/>
          <w:position w:val="-1"/>
        </w:rPr>
        <w:t>Cr</w:t>
      </w:r>
      <w:r>
        <w:rPr>
          <w:rFonts w:ascii="Times New Roman" w:hAnsi="Times New Roman" w:eastAsia="Times New Roman" w:cs="Times New Roman"/>
          <w:sz w:val="15"/>
          <w:szCs w:val="15"/>
          <w:spacing w:val="27"/>
          <w:w w:val="101"/>
          <w:position w:val="-1"/>
        </w:rPr>
        <w:t xml:space="preserve"> </w:t>
      </w:r>
      <w:r>
        <w:rPr>
          <w:rFonts w:ascii="SimSun" w:hAnsi="SimSun" w:eastAsia="SimSun" w:cs="SimSun"/>
          <w:sz w:val="24"/>
          <w:szCs w:val="24"/>
          <w:spacing w:val="3"/>
        </w:rPr>
        <w:t>浓度≥</w:t>
      </w:r>
      <w:r>
        <w:rPr>
          <w:rFonts w:ascii="SimSun" w:hAnsi="SimSun" w:eastAsia="SimSun" w:cs="SimSun"/>
          <w:sz w:val="24"/>
          <w:szCs w:val="24"/>
        </w:rPr>
        <w:t xml:space="preserve"> </w:t>
      </w:r>
      <w:r>
        <w:rPr>
          <w:rFonts w:ascii="Times New Roman" w:hAnsi="Times New Roman" w:eastAsia="Times New Roman" w:cs="Times New Roman"/>
          <w:sz w:val="24"/>
          <w:szCs w:val="24"/>
          <w:spacing w:val="-3"/>
        </w:rPr>
        <w:t>10000mg/L </w:t>
      </w:r>
      <w:r>
        <w:rPr>
          <w:rFonts w:ascii="SimSun" w:hAnsi="SimSun" w:eastAsia="SimSun" w:cs="SimSun"/>
          <w:sz w:val="24"/>
          <w:szCs w:val="24"/>
          <w:spacing w:val="-3"/>
        </w:rPr>
        <w:t>有机废液、废矿物油等，可能发生的风险污染源主要通过地</w:t>
      </w:r>
      <w:r>
        <w:rPr>
          <w:rFonts w:ascii="SimSun" w:hAnsi="SimSun" w:eastAsia="SimSun" w:cs="SimSun"/>
          <w:sz w:val="24"/>
          <w:szCs w:val="24"/>
          <w:spacing w:val="-4"/>
        </w:rPr>
        <w:t>下水、土壤</w:t>
      </w:r>
      <w:r>
        <w:rPr>
          <w:rFonts w:ascii="SimSun" w:hAnsi="SimSun" w:eastAsia="SimSun" w:cs="SimSun"/>
          <w:sz w:val="24"/>
          <w:szCs w:val="24"/>
        </w:rPr>
        <w:t xml:space="preserve"> </w:t>
      </w:r>
      <w:r>
        <w:rPr>
          <w:rFonts w:ascii="SimSun" w:hAnsi="SimSun" w:eastAsia="SimSun" w:cs="SimSun"/>
          <w:sz w:val="24"/>
          <w:szCs w:val="24"/>
          <w:spacing w:val="3"/>
        </w:rPr>
        <w:t>环境、大气环境扩散，环境敏感目标主要为周边的</w:t>
      </w:r>
      <w:r>
        <w:rPr>
          <w:rFonts w:ascii="SimSun" w:hAnsi="SimSun" w:eastAsia="SimSun" w:cs="SimSun"/>
          <w:sz w:val="24"/>
          <w:szCs w:val="24"/>
          <w:spacing w:val="2"/>
        </w:rPr>
        <w:t>居住区，区域地下水、土壤及</w:t>
      </w:r>
      <w:r>
        <w:rPr>
          <w:rFonts w:ascii="SimSun" w:hAnsi="SimSun" w:eastAsia="SimSun" w:cs="SimSun"/>
          <w:sz w:val="24"/>
          <w:szCs w:val="24"/>
        </w:rPr>
        <w:t xml:space="preserve"> </w:t>
      </w:r>
      <w:r>
        <w:rPr>
          <w:rFonts w:ascii="SimSun" w:hAnsi="SimSun" w:eastAsia="SimSun" w:cs="SimSun"/>
          <w:sz w:val="24"/>
          <w:szCs w:val="24"/>
          <w:spacing w:val="-1"/>
        </w:rPr>
        <w:t>大气环境。具体见表环境保护目标</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2.7-3</w:t>
      </w:r>
      <w:r>
        <w:rPr>
          <w:rFonts w:ascii="SimSun" w:hAnsi="SimSun" w:eastAsia="SimSun" w:cs="SimSun"/>
          <w:sz w:val="24"/>
          <w:szCs w:val="24"/>
          <w:spacing w:val="-1"/>
        </w:rPr>
        <w:t>。</w:t>
      </w:r>
    </w:p>
    <w:p>
      <w:pPr>
        <w:ind w:left="61"/>
        <w:spacing w:before="168" w:line="222" w:lineRule="auto"/>
        <w:outlineLvl w:val="1"/>
        <w:rPr>
          <w:rFonts w:ascii="SimHei" w:hAnsi="SimHei" w:eastAsia="SimHei" w:cs="SimHei"/>
          <w:sz w:val="30"/>
          <w:szCs w:val="30"/>
        </w:rPr>
      </w:pPr>
      <w:bookmarkStart w:name="bookmark126" w:id="157"/>
      <w:bookmarkEnd w:id="157"/>
      <w:r>
        <w:rPr>
          <w:rFonts w:ascii="Times New Roman" w:hAnsi="Times New Roman" w:eastAsia="Times New Roman" w:cs="Times New Roman"/>
          <w:sz w:val="30"/>
          <w:szCs w:val="30"/>
          <w:spacing w:val="-2"/>
        </w:rPr>
        <w:t>6.2 </w:t>
      </w:r>
      <w:r>
        <w:rPr>
          <w:rFonts w:ascii="SimHei" w:hAnsi="SimHei" w:eastAsia="SimHei" w:cs="SimHei"/>
          <w:sz w:val="30"/>
          <w:szCs w:val="30"/>
          <w:spacing w:val="-2"/>
        </w:rPr>
        <w:t>环境风险潜势初判</w:t>
      </w:r>
    </w:p>
    <w:p>
      <w:pPr>
        <w:pStyle w:val="BodyText"/>
        <w:spacing w:line="289" w:lineRule="auto"/>
        <w:rPr/>
      </w:pPr>
      <w:r/>
    </w:p>
    <w:p>
      <w:pPr>
        <w:ind w:left="63" w:right="45" w:firstLine="474"/>
        <w:spacing w:before="79" w:line="359" w:lineRule="auto"/>
        <w:jc w:val="both"/>
        <w:rPr>
          <w:rFonts w:ascii="SimSun" w:hAnsi="SimSun" w:eastAsia="SimSun" w:cs="SimSun"/>
          <w:sz w:val="24"/>
          <w:szCs w:val="24"/>
        </w:rPr>
      </w:pPr>
      <w:r>
        <w:rPr>
          <w:rFonts w:ascii="SimSun" w:hAnsi="SimSun" w:eastAsia="SimSun" w:cs="SimSun"/>
          <w:sz w:val="24"/>
          <w:szCs w:val="24"/>
          <w:spacing w:val="3"/>
        </w:rPr>
        <w:t>根据建设项目涉及的物质和工艺系统的危险性及其所在地的环境</w:t>
      </w:r>
      <w:r>
        <w:rPr>
          <w:rFonts w:ascii="SimSun" w:hAnsi="SimSun" w:eastAsia="SimSun" w:cs="SimSun"/>
          <w:sz w:val="24"/>
          <w:szCs w:val="24"/>
          <w:spacing w:val="2"/>
        </w:rPr>
        <w:t>敏感程度，</w:t>
      </w:r>
      <w:r>
        <w:rPr>
          <w:rFonts w:ascii="SimSun" w:hAnsi="SimSun" w:eastAsia="SimSun" w:cs="SimSun"/>
          <w:sz w:val="24"/>
          <w:szCs w:val="24"/>
        </w:rPr>
        <w:t xml:space="preserve"> </w:t>
      </w:r>
      <w:r>
        <w:rPr>
          <w:rFonts w:ascii="SimSun" w:hAnsi="SimSun" w:eastAsia="SimSun" w:cs="SimSun"/>
          <w:sz w:val="24"/>
          <w:szCs w:val="24"/>
          <w:spacing w:val="3"/>
        </w:rPr>
        <w:t>结合事故情形下环境影响途径，对建设项目</w:t>
      </w:r>
      <w:r>
        <w:rPr>
          <w:rFonts w:ascii="SimSun" w:hAnsi="SimSun" w:eastAsia="SimSun" w:cs="SimSun"/>
          <w:sz w:val="24"/>
          <w:szCs w:val="24"/>
          <w:spacing w:val="2"/>
        </w:rPr>
        <w:t>潜在环境危害程度进行概化分析，按</w:t>
      </w:r>
      <w:r>
        <w:rPr>
          <w:rFonts w:ascii="SimSun" w:hAnsi="SimSun" w:eastAsia="SimSun" w:cs="SimSun"/>
          <w:sz w:val="24"/>
          <w:szCs w:val="24"/>
        </w:rPr>
        <w:t xml:space="preserve"> </w:t>
      </w:r>
      <w:r>
        <w:rPr>
          <w:rFonts w:ascii="SimSun" w:hAnsi="SimSun" w:eastAsia="SimSun" w:cs="SimSun"/>
          <w:sz w:val="24"/>
          <w:szCs w:val="24"/>
          <w:spacing w:val="-2"/>
        </w:rPr>
        <w:t>照表</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6.2-1 </w:t>
      </w:r>
      <w:r>
        <w:rPr>
          <w:rFonts w:ascii="SimSun" w:hAnsi="SimSun" w:eastAsia="SimSun" w:cs="SimSun"/>
          <w:sz w:val="24"/>
          <w:szCs w:val="24"/>
          <w:spacing w:val="-2"/>
        </w:rPr>
        <w:t>确定环境风险潜势。</w:t>
      </w:r>
    </w:p>
    <w:p>
      <w:pPr>
        <w:ind w:left="2221"/>
        <w:spacing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9"/>
        </w:rPr>
        <w:t xml:space="preserve"> </w:t>
      </w:r>
      <w:r>
        <w:rPr>
          <w:rFonts w:ascii="Times New Roman" w:hAnsi="Times New Roman" w:eastAsia="Times New Roman" w:cs="Times New Roman"/>
          <w:sz w:val="24"/>
          <w:szCs w:val="24"/>
          <w:b/>
          <w:bCs/>
          <w:spacing w:val="-2"/>
        </w:rPr>
        <w:t>6.2-1        </w:t>
      </w:r>
      <w:r>
        <w:rPr>
          <w:rFonts w:ascii="SimSun" w:hAnsi="SimSun" w:eastAsia="SimSun" w:cs="SimSun"/>
          <w:sz w:val="24"/>
          <w:szCs w:val="24"/>
          <w:b/>
          <w:bCs/>
          <w:spacing w:val="-2"/>
        </w:rPr>
        <w:t>建设项目环境风险潜势划分</w:t>
      </w:r>
    </w:p>
    <w:tbl>
      <w:tblPr>
        <w:tblStyle w:val="TableNormal"/>
        <w:tblW w:w="8517" w:type="dxa"/>
        <w:tblInd w:w="4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051"/>
        <w:gridCol w:w="1354"/>
        <w:gridCol w:w="1700"/>
        <w:gridCol w:w="1700"/>
        <w:gridCol w:w="1712"/>
      </w:tblGrid>
      <w:tr>
        <w:trPr>
          <w:trHeight w:val="281" w:hRule="atLeast"/>
        </w:trPr>
        <w:tc>
          <w:tcPr>
            <w:tcW w:w="2051" w:type="dxa"/>
            <w:vAlign w:val="top"/>
            <w:vMerge w:val="restart"/>
            <w:tcBorders>
              <w:bottom w:val="nil"/>
            </w:tcBorders>
          </w:tcPr>
          <w:p>
            <w:pPr>
              <w:pStyle w:val="TableText"/>
              <w:ind w:left="310"/>
              <w:spacing w:before="173" w:line="228" w:lineRule="auto"/>
              <w:rPr>
                <w:rFonts w:ascii="Times New Roman" w:hAnsi="Times New Roman" w:eastAsia="Times New Roman" w:cs="Times New Roman"/>
              </w:rPr>
            </w:pPr>
            <w:r>
              <w:rPr>
                <w:spacing w:val="7"/>
              </w:rPr>
              <w:t>环境敏感程度</w:t>
            </w:r>
            <w:r>
              <w:rPr>
                <w:spacing w:val="-41"/>
              </w:rPr>
              <w:t xml:space="preserve"> </w:t>
            </w:r>
            <w:r>
              <w:rPr>
                <w:rFonts w:ascii="Times New Roman" w:hAnsi="Times New Roman" w:eastAsia="Times New Roman" w:cs="Times New Roman"/>
                <w:spacing w:val="7"/>
              </w:rPr>
              <w:t>E</w:t>
            </w:r>
          </w:p>
        </w:tc>
        <w:tc>
          <w:tcPr>
            <w:tcW w:w="6466" w:type="dxa"/>
            <w:vAlign w:val="top"/>
            <w:gridSpan w:val="4"/>
          </w:tcPr>
          <w:p>
            <w:pPr>
              <w:pStyle w:val="TableText"/>
              <w:ind w:left="1896"/>
              <w:spacing w:before="34" w:line="218" w:lineRule="auto"/>
              <w:rPr>
                <w:rFonts w:ascii="Times New Roman" w:hAnsi="Times New Roman" w:eastAsia="Times New Roman" w:cs="Times New Roman"/>
              </w:rPr>
            </w:pPr>
            <w:r>
              <w:rPr>
                <w:spacing w:val="8"/>
              </w:rPr>
              <w:t>危险物质及工艺系统危险性</w:t>
            </w:r>
            <w:r>
              <w:rPr>
                <w:spacing w:val="-41"/>
              </w:rPr>
              <w:t xml:space="preserve"> </w:t>
            </w:r>
            <w:r>
              <w:rPr>
                <w:rFonts w:ascii="Times New Roman" w:hAnsi="Times New Roman" w:eastAsia="Times New Roman" w:cs="Times New Roman"/>
                <w:spacing w:val="8"/>
              </w:rPr>
              <w:t>P</w:t>
            </w:r>
          </w:p>
        </w:tc>
      </w:tr>
      <w:tr>
        <w:trPr>
          <w:trHeight w:val="276" w:hRule="atLeast"/>
        </w:trPr>
        <w:tc>
          <w:tcPr>
            <w:tcW w:w="2051" w:type="dxa"/>
            <w:vAlign w:val="top"/>
            <w:vMerge w:val="continue"/>
            <w:tcBorders>
              <w:top w:val="nil"/>
            </w:tcBorders>
          </w:tcPr>
          <w:p>
            <w:pPr>
              <w:rPr>
                <w:rFonts w:ascii="Arial"/>
                <w:sz w:val="21"/>
              </w:rPr>
            </w:pPr>
            <w:r/>
          </w:p>
        </w:tc>
        <w:tc>
          <w:tcPr>
            <w:tcW w:w="1354" w:type="dxa"/>
            <w:vAlign w:val="top"/>
          </w:tcPr>
          <w:p>
            <w:pPr>
              <w:pStyle w:val="TableText"/>
              <w:ind w:left="127"/>
              <w:spacing w:before="31" w:line="216" w:lineRule="auto"/>
              <w:rPr>
                <w:rFonts w:ascii="Times New Roman" w:hAnsi="Times New Roman" w:eastAsia="Times New Roman" w:cs="Times New Roman"/>
              </w:rPr>
            </w:pPr>
            <w:r>
              <w:rPr>
                <w:spacing w:val="5"/>
              </w:rPr>
              <w:t>极度危害</w:t>
            </w:r>
            <w:r>
              <w:rPr>
                <w:spacing w:val="-41"/>
              </w:rPr>
              <w:t xml:space="preserve"> </w:t>
            </w:r>
            <w:r>
              <w:rPr>
                <w:rFonts w:ascii="Times New Roman" w:hAnsi="Times New Roman" w:eastAsia="Times New Roman" w:cs="Times New Roman"/>
                <w:spacing w:val="5"/>
              </w:rPr>
              <w:t>P1</w:t>
            </w:r>
          </w:p>
        </w:tc>
        <w:tc>
          <w:tcPr>
            <w:tcW w:w="1700" w:type="dxa"/>
            <w:vAlign w:val="top"/>
          </w:tcPr>
          <w:p>
            <w:pPr>
              <w:pStyle w:val="TableText"/>
              <w:ind w:left="305"/>
              <w:spacing w:before="31" w:line="216" w:lineRule="auto"/>
              <w:rPr>
                <w:rFonts w:ascii="Times New Roman" w:hAnsi="Times New Roman" w:eastAsia="Times New Roman" w:cs="Times New Roman"/>
              </w:rPr>
            </w:pPr>
            <w:r>
              <w:rPr>
                <w:spacing w:val="4"/>
              </w:rPr>
              <w:t>高度危害</w:t>
            </w:r>
            <w:r>
              <w:rPr>
                <w:spacing w:val="-40"/>
              </w:rPr>
              <w:t xml:space="preserve"> </w:t>
            </w:r>
            <w:r>
              <w:rPr>
                <w:rFonts w:ascii="Times New Roman" w:hAnsi="Times New Roman" w:eastAsia="Times New Roman" w:cs="Times New Roman"/>
                <w:spacing w:val="4"/>
              </w:rPr>
              <w:t>P2</w:t>
            </w:r>
          </w:p>
        </w:tc>
        <w:tc>
          <w:tcPr>
            <w:tcW w:w="1700" w:type="dxa"/>
            <w:vAlign w:val="top"/>
          </w:tcPr>
          <w:p>
            <w:pPr>
              <w:pStyle w:val="TableText"/>
              <w:ind w:left="318"/>
              <w:spacing w:before="31" w:line="216" w:lineRule="auto"/>
              <w:rPr>
                <w:rFonts w:ascii="Times New Roman" w:hAnsi="Times New Roman" w:eastAsia="Times New Roman" w:cs="Times New Roman"/>
              </w:rPr>
            </w:pPr>
            <w:r>
              <w:rPr>
                <w:spacing w:val="2"/>
              </w:rPr>
              <w:t>中度危害</w:t>
            </w:r>
            <w:r>
              <w:rPr>
                <w:spacing w:val="-40"/>
              </w:rPr>
              <w:t xml:space="preserve"> </w:t>
            </w:r>
            <w:r>
              <w:rPr>
                <w:rFonts w:ascii="Times New Roman" w:hAnsi="Times New Roman" w:eastAsia="Times New Roman" w:cs="Times New Roman"/>
                <w:spacing w:val="2"/>
              </w:rPr>
              <w:t>P3</w:t>
            </w:r>
          </w:p>
        </w:tc>
        <w:tc>
          <w:tcPr>
            <w:tcW w:w="1712" w:type="dxa"/>
            <w:vAlign w:val="top"/>
          </w:tcPr>
          <w:p>
            <w:pPr>
              <w:pStyle w:val="TableText"/>
              <w:ind w:left="304"/>
              <w:spacing w:before="31" w:line="216" w:lineRule="auto"/>
              <w:rPr>
                <w:rFonts w:ascii="Times New Roman" w:hAnsi="Times New Roman" w:eastAsia="Times New Roman" w:cs="Times New Roman"/>
              </w:rPr>
            </w:pPr>
            <w:r>
              <w:rPr>
                <w:spacing w:val="5"/>
              </w:rPr>
              <w:t>低度危害</w:t>
            </w:r>
            <w:r>
              <w:rPr>
                <w:spacing w:val="-38"/>
              </w:rPr>
              <w:t xml:space="preserve"> </w:t>
            </w:r>
            <w:r>
              <w:rPr>
                <w:rFonts w:ascii="Times New Roman" w:hAnsi="Times New Roman" w:eastAsia="Times New Roman" w:cs="Times New Roman"/>
                <w:spacing w:val="5"/>
              </w:rPr>
              <w:t>P4</w:t>
            </w:r>
          </w:p>
        </w:tc>
      </w:tr>
      <w:tr>
        <w:trPr>
          <w:trHeight w:val="277" w:hRule="atLeast"/>
        </w:trPr>
        <w:tc>
          <w:tcPr>
            <w:tcW w:w="2051" w:type="dxa"/>
            <w:vAlign w:val="top"/>
          </w:tcPr>
          <w:p>
            <w:pPr>
              <w:pStyle w:val="TableText"/>
              <w:ind w:left="154"/>
              <w:spacing w:before="34" w:line="215" w:lineRule="auto"/>
              <w:rPr>
                <w:rFonts w:ascii="Times New Roman" w:hAnsi="Times New Roman" w:eastAsia="Times New Roman" w:cs="Times New Roman"/>
              </w:rPr>
            </w:pPr>
            <w:r>
              <w:rPr>
                <w:spacing w:val="7"/>
              </w:rPr>
              <w:t>环境高度敏感区</w:t>
            </w:r>
            <w:r>
              <w:rPr>
                <w:spacing w:val="-42"/>
              </w:rPr>
              <w:t xml:space="preserve"> </w:t>
            </w:r>
            <w:r>
              <w:rPr>
                <w:rFonts w:ascii="Times New Roman" w:hAnsi="Times New Roman" w:eastAsia="Times New Roman" w:cs="Times New Roman"/>
                <w:spacing w:val="7"/>
              </w:rPr>
              <w:t>E1</w:t>
            </w:r>
          </w:p>
        </w:tc>
        <w:tc>
          <w:tcPr>
            <w:tcW w:w="1354" w:type="dxa"/>
            <w:vAlign w:val="top"/>
          </w:tcPr>
          <w:p>
            <w:pPr>
              <w:ind w:left="529"/>
              <w:spacing w:before="61" w:line="204"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IV</w:t>
            </w:r>
            <w:r>
              <w:rPr>
                <w:rFonts w:ascii="Times New Roman" w:hAnsi="Times New Roman" w:eastAsia="Times New Roman" w:cs="Times New Roman"/>
                <w:sz w:val="13"/>
                <w:szCs w:val="13"/>
                <w:spacing w:val="8"/>
                <w:position w:val="6"/>
              </w:rPr>
              <w:t>+</w:t>
            </w:r>
          </w:p>
        </w:tc>
        <w:tc>
          <w:tcPr>
            <w:tcW w:w="1700" w:type="dxa"/>
            <w:vAlign w:val="top"/>
          </w:tcPr>
          <w:p>
            <w:pPr>
              <w:ind w:left="743"/>
              <w:spacing w:before="7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IV</w:t>
            </w:r>
          </w:p>
        </w:tc>
        <w:tc>
          <w:tcPr>
            <w:tcW w:w="1700" w:type="dxa"/>
            <w:vAlign w:val="top"/>
          </w:tcPr>
          <w:p>
            <w:pPr>
              <w:ind w:left="749"/>
              <w:spacing w:before="7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III</w:t>
            </w:r>
          </w:p>
        </w:tc>
        <w:tc>
          <w:tcPr>
            <w:tcW w:w="1712" w:type="dxa"/>
            <w:vAlign w:val="top"/>
          </w:tcPr>
          <w:p>
            <w:pPr>
              <w:ind w:left="753"/>
              <w:spacing w:before="73"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III</w:t>
            </w:r>
          </w:p>
        </w:tc>
      </w:tr>
      <w:tr>
        <w:trPr>
          <w:trHeight w:val="276" w:hRule="atLeast"/>
        </w:trPr>
        <w:tc>
          <w:tcPr>
            <w:tcW w:w="2051" w:type="dxa"/>
            <w:vAlign w:val="top"/>
          </w:tcPr>
          <w:p>
            <w:pPr>
              <w:pStyle w:val="TableText"/>
              <w:ind w:left="154"/>
              <w:spacing w:before="33" w:line="215" w:lineRule="auto"/>
              <w:rPr>
                <w:rFonts w:ascii="Times New Roman" w:hAnsi="Times New Roman" w:eastAsia="Times New Roman" w:cs="Times New Roman"/>
              </w:rPr>
            </w:pPr>
            <w:r>
              <w:rPr>
                <w:spacing w:val="7"/>
              </w:rPr>
              <w:t>环境中度敏感区</w:t>
            </w:r>
            <w:r>
              <w:rPr>
                <w:spacing w:val="-42"/>
              </w:rPr>
              <w:t xml:space="preserve"> </w:t>
            </w:r>
            <w:r>
              <w:rPr>
                <w:rFonts w:ascii="Times New Roman" w:hAnsi="Times New Roman" w:eastAsia="Times New Roman" w:cs="Times New Roman"/>
                <w:spacing w:val="7"/>
              </w:rPr>
              <w:t>E2</w:t>
            </w:r>
          </w:p>
        </w:tc>
        <w:tc>
          <w:tcPr>
            <w:tcW w:w="1354" w:type="dxa"/>
            <w:vAlign w:val="top"/>
          </w:tcPr>
          <w:p>
            <w:pPr>
              <w:ind w:left="568"/>
              <w:spacing w:before="7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IV</w:t>
            </w:r>
          </w:p>
        </w:tc>
        <w:tc>
          <w:tcPr>
            <w:tcW w:w="1700" w:type="dxa"/>
            <w:vAlign w:val="top"/>
          </w:tcPr>
          <w:p>
            <w:pPr>
              <w:ind w:left="747"/>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III</w:t>
            </w:r>
          </w:p>
        </w:tc>
        <w:tc>
          <w:tcPr>
            <w:tcW w:w="1700" w:type="dxa"/>
            <w:vAlign w:val="top"/>
          </w:tcPr>
          <w:p>
            <w:pPr>
              <w:ind w:left="749"/>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III</w:t>
            </w:r>
          </w:p>
        </w:tc>
        <w:tc>
          <w:tcPr>
            <w:tcW w:w="1712" w:type="dxa"/>
            <w:vAlign w:val="top"/>
          </w:tcPr>
          <w:p>
            <w:pPr>
              <w:ind w:left="789"/>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II</w:t>
            </w:r>
          </w:p>
        </w:tc>
      </w:tr>
      <w:tr>
        <w:trPr>
          <w:trHeight w:val="276" w:hRule="atLeast"/>
        </w:trPr>
        <w:tc>
          <w:tcPr>
            <w:tcW w:w="2051" w:type="dxa"/>
            <w:vAlign w:val="top"/>
          </w:tcPr>
          <w:p>
            <w:pPr>
              <w:pStyle w:val="TableText"/>
              <w:ind w:left="154"/>
              <w:spacing w:before="35" w:line="213" w:lineRule="auto"/>
              <w:rPr>
                <w:rFonts w:ascii="Times New Roman" w:hAnsi="Times New Roman" w:eastAsia="Times New Roman" w:cs="Times New Roman"/>
              </w:rPr>
            </w:pPr>
            <w:r>
              <w:rPr>
                <w:spacing w:val="7"/>
              </w:rPr>
              <w:t>环境低度敏感区</w:t>
            </w:r>
            <w:r>
              <w:rPr>
                <w:spacing w:val="-42"/>
              </w:rPr>
              <w:t xml:space="preserve"> </w:t>
            </w:r>
            <w:r>
              <w:rPr>
                <w:rFonts w:ascii="Times New Roman" w:hAnsi="Times New Roman" w:eastAsia="Times New Roman" w:cs="Times New Roman"/>
                <w:spacing w:val="7"/>
              </w:rPr>
              <w:t>E3</w:t>
            </w:r>
          </w:p>
        </w:tc>
        <w:tc>
          <w:tcPr>
            <w:tcW w:w="1354" w:type="dxa"/>
            <w:vAlign w:val="top"/>
          </w:tcPr>
          <w:p>
            <w:pPr>
              <w:ind w:left="573"/>
              <w:spacing w:before="7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III</w:t>
            </w:r>
          </w:p>
        </w:tc>
        <w:tc>
          <w:tcPr>
            <w:tcW w:w="1700" w:type="dxa"/>
            <w:vAlign w:val="top"/>
          </w:tcPr>
          <w:p>
            <w:pPr>
              <w:ind w:left="747"/>
              <w:spacing w:before="7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III</w:t>
            </w:r>
          </w:p>
        </w:tc>
        <w:tc>
          <w:tcPr>
            <w:tcW w:w="1700" w:type="dxa"/>
            <w:vAlign w:val="top"/>
          </w:tcPr>
          <w:p>
            <w:pPr>
              <w:ind w:left="783"/>
              <w:spacing w:before="7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II</w:t>
            </w:r>
          </w:p>
        </w:tc>
        <w:tc>
          <w:tcPr>
            <w:tcW w:w="1712" w:type="dxa"/>
            <w:vAlign w:val="top"/>
          </w:tcPr>
          <w:p>
            <w:pPr>
              <w:ind w:left="823"/>
              <w:spacing w:before="7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I</w:t>
            </w:r>
          </w:p>
        </w:tc>
      </w:tr>
      <w:tr>
        <w:trPr>
          <w:trHeight w:val="282" w:hRule="atLeast"/>
        </w:trPr>
        <w:tc>
          <w:tcPr>
            <w:tcW w:w="8517" w:type="dxa"/>
            <w:vAlign w:val="top"/>
            <w:gridSpan w:val="5"/>
          </w:tcPr>
          <w:p>
            <w:pPr>
              <w:pStyle w:val="TableText"/>
              <w:ind w:left="13"/>
              <w:spacing w:before="34" w:line="219" w:lineRule="auto"/>
              <w:rPr/>
            </w:pPr>
            <w:r>
              <w:rPr>
                <w:spacing w:val="9"/>
              </w:rPr>
              <w:t>注：</w:t>
            </w:r>
            <w:r>
              <w:rPr>
                <w:rFonts w:ascii="Times New Roman" w:hAnsi="Times New Roman" w:eastAsia="Times New Roman" w:cs="Times New Roman"/>
              </w:rPr>
              <w:t>IV</w:t>
            </w:r>
            <w:r>
              <w:rPr>
                <w:rFonts w:ascii="Times New Roman" w:hAnsi="Times New Roman" w:eastAsia="Times New Roman" w:cs="Times New Roman"/>
                <w:sz w:val="13"/>
                <w:szCs w:val="13"/>
                <w:spacing w:val="9"/>
                <w:position w:val="6"/>
              </w:rPr>
              <w:t>+</w:t>
            </w:r>
            <w:r>
              <w:rPr>
                <w:spacing w:val="9"/>
              </w:rPr>
              <w:t>为极高环境风险</w:t>
            </w:r>
          </w:p>
        </w:tc>
      </w:tr>
    </w:tbl>
    <w:p>
      <w:pPr>
        <w:ind w:left="549"/>
        <w:spacing w:before="35" w:line="220" w:lineRule="auto"/>
        <w:rPr>
          <w:rFonts w:ascii="SimSun" w:hAnsi="SimSun" w:eastAsia="SimSun" w:cs="SimSun"/>
          <w:sz w:val="24"/>
          <w:szCs w:val="24"/>
        </w:rPr>
      </w:pPr>
      <w:r>
        <w:rPr>
          <w:rFonts w:ascii="SimSun" w:hAnsi="SimSun" w:eastAsia="SimSun" w:cs="SimSun"/>
          <w:sz w:val="24"/>
          <w:szCs w:val="24"/>
          <w:spacing w:val="-6"/>
        </w:rPr>
        <w:t>（</w:t>
      </w:r>
      <w:r>
        <w:rPr>
          <w:rFonts w:ascii="Times New Roman" w:hAnsi="Times New Roman" w:eastAsia="Times New Roman" w:cs="Times New Roman"/>
          <w:sz w:val="24"/>
          <w:szCs w:val="24"/>
          <w:spacing w:val="-6"/>
        </w:rPr>
        <w:t>1</w:t>
      </w:r>
      <w:r>
        <w:rPr>
          <w:rFonts w:ascii="SimSun" w:hAnsi="SimSun" w:eastAsia="SimSun" w:cs="SimSun"/>
          <w:sz w:val="24"/>
          <w:szCs w:val="24"/>
          <w:spacing w:val="-6"/>
        </w:rPr>
        <w:t>）</w:t>
      </w:r>
      <w:r>
        <w:rPr>
          <w:rFonts w:ascii="Times New Roman" w:hAnsi="Times New Roman" w:eastAsia="Times New Roman" w:cs="Times New Roman"/>
          <w:sz w:val="24"/>
          <w:szCs w:val="24"/>
          <w:spacing w:val="-6"/>
        </w:rPr>
        <w:t>P</w:t>
      </w:r>
      <w:r>
        <w:rPr>
          <w:rFonts w:ascii="Times New Roman" w:hAnsi="Times New Roman" w:eastAsia="Times New Roman" w:cs="Times New Roman"/>
          <w:sz w:val="24"/>
          <w:szCs w:val="24"/>
          <w:spacing w:val="30"/>
          <w:w w:val="101"/>
        </w:rPr>
        <w:t xml:space="preserve"> </w:t>
      </w:r>
      <w:r>
        <w:rPr>
          <w:rFonts w:ascii="SimSun" w:hAnsi="SimSun" w:eastAsia="SimSun" w:cs="SimSun"/>
          <w:sz w:val="24"/>
          <w:szCs w:val="24"/>
          <w:spacing w:val="-6"/>
        </w:rPr>
        <w:t>的分级确定</w:t>
      </w:r>
    </w:p>
    <w:p>
      <w:pPr>
        <w:ind w:left="536"/>
        <w:spacing w:before="180" w:line="212" w:lineRule="auto"/>
        <w:rPr>
          <w:rFonts w:ascii="SimSun" w:hAnsi="SimSun" w:eastAsia="SimSun" w:cs="SimSun"/>
          <w:sz w:val="24"/>
          <w:szCs w:val="24"/>
        </w:rPr>
      </w:pPr>
      <w:r>
        <w:rPr>
          <w:rFonts w:ascii="SimSun" w:hAnsi="SimSun" w:eastAsia="SimSun" w:cs="SimSun"/>
          <w:sz w:val="24"/>
          <w:szCs w:val="24"/>
          <w:spacing w:val="-1"/>
        </w:rPr>
        <w:t>①危险物质数量与临界量比值（</w:t>
      </w:r>
      <w:r>
        <w:rPr>
          <w:rFonts w:ascii="Times New Roman" w:hAnsi="Times New Roman" w:eastAsia="Times New Roman" w:cs="Times New Roman"/>
          <w:sz w:val="24"/>
          <w:szCs w:val="24"/>
          <w:spacing w:val="-1"/>
        </w:rPr>
        <w:t>Q</w:t>
      </w:r>
      <w:r>
        <w:rPr>
          <w:rFonts w:ascii="SimSun" w:hAnsi="SimSun" w:eastAsia="SimSun" w:cs="SimSun"/>
          <w:sz w:val="24"/>
          <w:szCs w:val="24"/>
          <w:spacing w:val="-1"/>
        </w:rPr>
        <w:t>）计算</w:t>
      </w:r>
    </w:p>
    <w:p>
      <w:pPr>
        <w:ind w:left="63" w:right="47" w:firstLine="474"/>
        <w:spacing w:before="191" w:line="350" w:lineRule="auto"/>
        <w:jc w:val="both"/>
        <w:rPr>
          <w:rFonts w:ascii="SimSun" w:hAnsi="SimSun" w:eastAsia="SimSun" w:cs="SimSun"/>
          <w:sz w:val="24"/>
          <w:szCs w:val="24"/>
        </w:rPr>
      </w:pPr>
      <w:r>
        <w:rPr>
          <w:rFonts w:ascii="SimSun" w:hAnsi="SimSun" w:eastAsia="SimSun" w:cs="SimSun"/>
          <w:sz w:val="24"/>
          <w:szCs w:val="24"/>
          <w:spacing w:val="-7"/>
        </w:rPr>
        <w:t>根据《建设项目环境风险评价技术导则》（</w:t>
      </w:r>
      <w:r>
        <w:rPr>
          <w:rFonts w:ascii="Times New Roman" w:hAnsi="Times New Roman" w:eastAsia="Times New Roman" w:cs="Times New Roman"/>
          <w:sz w:val="24"/>
          <w:szCs w:val="24"/>
          <w:spacing w:val="-7"/>
        </w:rPr>
        <w:t>HJ169-2018</w:t>
      </w:r>
      <w:r>
        <w:rPr>
          <w:rFonts w:ascii="SimSun" w:hAnsi="SimSun" w:eastAsia="SimSun" w:cs="SimSun"/>
          <w:sz w:val="24"/>
          <w:szCs w:val="24"/>
          <w:spacing w:val="-7"/>
        </w:rPr>
        <w:t>）表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7"/>
        </w:rPr>
        <w:t>B.1</w:t>
      </w:r>
      <w:r>
        <w:rPr>
          <w:rFonts w:ascii="SimSun" w:hAnsi="SimSun" w:eastAsia="SimSun" w:cs="SimSun"/>
          <w:sz w:val="24"/>
          <w:szCs w:val="24"/>
          <w:spacing w:val="-7"/>
        </w:rPr>
        <w:t>、表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7"/>
        </w:rPr>
        <w:t>B.2</w:t>
      </w:r>
      <w:r>
        <w:rPr>
          <w:rFonts w:ascii="Times New Roman" w:hAnsi="Times New Roman" w:eastAsia="Times New Roman" w:cs="Times New Roman"/>
          <w:sz w:val="24"/>
          <w:szCs w:val="24"/>
          <w:spacing w:val="12"/>
        </w:rPr>
        <w:t xml:space="preserve"> </w:t>
      </w:r>
      <w:r>
        <w:rPr>
          <w:rFonts w:ascii="SimSun" w:hAnsi="SimSun" w:eastAsia="SimSun" w:cs="SimSun"/>
          <w:sz w:val="24"/>
          <w:szCs w:val="24"/>
          <w:spacing w:val="-7"/>
        </w:rPr>
        <w:t>和《危</w:t>
      </w:r>
      <w:r>
        <w:rPr>
          <w:rFonts w:ascii="SimSun" w:hAnsi="SimSun" w:eastAsia="SimSun" w:cs="SimSun"/>
          <w:sz w:val="24"/>
          <w:szCs w:val="24"/>
        </w:rPr>
        <w:t xml:space="preserve"> </w:t>
      </w:r>
      <w:r>
        <w:rPr>
          <w:rFonts w:ascii="SimSun" w:hAnsi="SimSun" w:eastAsia="SimSun" w:cs="SimSun"/>
          <w:sz w:val="24"/>
          <w:szCs w:val="24"/>
          <w:spacing w:val="-2"/>
        </w:rPr>
        <w:t>险化学品重大危险源辨识》（</w:t>
      </w:r>
      <w:r>
        <w:rPr>
          <w:rFonts w:ascii="Times New Roman" w:hAnsi="Times New Roman" w:eastAsia="Times New Roman" w:cs="Times New Roman"/>
          <w:sz w:val="24"/>
          <w:szCs w:val="24"/>
          <w:spacing w:val="-2"/>
        </w:rPr>
        <w:t>GB18218-2018</w:t>
      </w:r>
      <w:r>
        <w:rPr>
          <w:rFonts w:ascii="SimSun" w:hAnsi="SimSun" w:eastAsia="SimSun" w:cs="SimSun"/>
          <w:sz w:val="24"/>
          <w:szCs w:val="24"/>
          <w:spacing w:val="-2"/>
        </w:rPr>
        <w:t>）表</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中规定的临界量来</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P</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的分级确</w:t>
      </w:r>
      <w:r>
        <w:rPr>
          <w:rFonts w:ascii="SimSun" w:hAnsi="SimSun" w:eastAsia="SimSun" w:cs="SimSun"/>
          <w:sz w:val="24"/>
          <w:szCs w:val="24"/>
        </w:rPr>
        <w:t xml:space="preserve"> </w:t>
      </w:r>
      <w:r>
        <w:rPr>
          <w:rFonts w:ascii="SimSun" w:hAnsi="SimSun" w:eastAsia="SimSun" w:cs="SimSun"/>
          <w:sz w:val="24"/>
          <w:szCs w:val="24"/>
          <w:spacing w:val="-1"/>
        </w:rPr>
        <w:t>定。按下式计算物质总量与其临界量比值（</w:t>
      </w:r>
      <w:r>
        <w:rPr>
          <w:rFonts w:ascii="Times New Roman" w:hAnsi="Times New Roman" w:eastAsia="Times New Roman" w:cs="Times New Roman"/>
          <w:sz w:val="24"/>
          <w:szCs w:val="24"/>
          <w:spacing w:val="-1"/>
        </w:rPr>
        <w:t>Q</w:t>
      </w:r>
      <w:r>
        <w:rPr>
          <w:rFonts w:ascii="SimSun" w:hAnsi="SimSun" w:eastAsia="SimSun" w:cs="SimSun"/>
          <w:sz w:val="24"/>
          <w:szCs w:val="24"/>
          <w:spacing w:val="-1"/>
        </w:rPr>
        <w:t>）。</w:t>
      </w:r>
    </w:p>
    <w:p>
      <w:pPr>
        <w:ind w:firstLine="2858"/>
        <w:spacing w:line="828" w:lineRule="exact"/>
        <w:rPr/>
      </w:pPr>
      <w:r>
        <w:rPr>
          <w:position w:val="-16"/>
        </w:rPr>
        <w:drawing>
          <wp:inline distT="0" distB="0" distL="0" distR="0">
            <wp:extent cx="1827276" cy="525779"/>
            <wp:effectExtent l="0" t="0" r="0" b="0"/>
            <wp:docPr id="210" name="IM 210"/>
            <wp:cNvGraphicFramePr/>
            <a:graphic>
              <a:graphicData uri="http://schemas.openxmlformats.org/drawingml/2006/picture">
                <pic:pic>
                  <pic:nvPicPr>
                    <pic:cNvPr id="210" name="IM 210"/>
                    <pic:cNvPicPr/>
                  </pic:nvPicPr>
                  <pic:blipFill>
                    <a:blip r:embed="rId332"/>
                    <a:stretch>
                      <a:fillRect/>
                    </a:stretch>
                  </pic:blipFill>
                  <pic:spPr>
                    <a:xfrm rot="0">
                      <a:off x="0" y="0"/>
                      <a:ext cx="1827276" cy="525779"/>
                    </a:xfrm>
                    <a:prstGeom prst="rect">
                      <a:avLst/>
                    </a:prstGeom>
                  </pic:spPr>
                </pic:pic>
              </a:graphicData>
            </a:graphic>
          </wp:inline>
        </w:drawing>
      </w:r>
    </w:p>
    <w:p>
      <w:pPr>
        <w:ind w:left="542"/>
        <w:spacing w:before="187" w:line="212" w:lineRule="auto"/>
        <w:rPr>
          <w:rFonts w:ascii="SimSun" w:hAnsi="SimSun" w:eastAsia="SimSun" w:cs="SimSun"/>
          <w:sz w:val="24"/>
          <w:szCs w:val="24"/>
        </w:rPr>
      </w:pPr>
      <w:r>
        <w:rPr>
          <w:rFonts w:ascii="SimSun" w:hAnsi="SimSun" w:eastAsia="SimSun" w:cs="SimSun"/>
          <w:sz w:val="24"/>
          <w:szCs w:val="24"/>
          <w:spacing w:val="-2"/>
        </w:rPr>
        <w:t>式中：</w:t>
      </w:r>
      <w:r>
        <w:rPr>
          <w:rFonts w:ascii="Times New Roman" w:hAnsi="Times New Roman" w:eastAsia="Times New Roman" w:cs="Times New Roman"/>
          <w:sz w:val="24"/>
          <w:szCs w:val="24"/>
          <w:spacing w:val="-2"/>
        </w:rPr>
        <w:t>q</w:t>
      </w:r>
      <w:r>
        <w:rPr>
          <w:rFonts w:ascii="Times New Roman" w:hAnsi="Times New Roman" w:eastAsia="Times New Roman" w:cs="Times New Roman"/>
          <w:sz w:val="15"/>
          <w:szCs w:val="15"/>
          <w:spacing w:val="-2"/>
          <w:position w:val="-1"/>
        </w:rPr>
        <w:t>1</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q</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q</w:t>
      </w:r>
      <w:r>
        <w:rPr>
          <w:rFonts w:ascii="Times New Roman" w:hAnsi="Times New Roman" w:eastAsia="Times New Roman" w:cs="Times New Roman"/>
          <w:sz w:val="15"/>
          <w:szCs w:val="15"/>
          <w:spacing w:val="-2"/>
        </w:rPr>
        <w:t>n</w:t>
      </w:r>
      <w:r>
        <w:rPr>
          <w:rFonts w:ascii="Times New Roman" w:hAnsi="Times New Roman" w:eastAsia="Times New Roman" w:cs="Times New Roman"/>
          <w:sz w:val="24"/>
          <w:szCs w:val="24"/>
          <w:spacing w:val="-2"/>
        </w:rPr>
        <w:t>——</w:t>
      </w:r>
      <w:r>
        <w:rPr>
          <w:rFonts w:ascii="SimSun" w:hAnsi="SimSun" w:eastAsia="SimSun" w:cs="SimSun"/>
          <w:sz w:val="24"/>
          <w:szCs w:val="24"/>
          <w:spacing w:val="-2"/>
        </w:rPr>
        <w:t>每种危险物质的最大存在总量，</w:t>
      </w:r>
      <w:r>
        <w:rPr>
          <w:rFonts w:ascii="Times New Roman" w:hAnsi="Times New Roman" w:eastAsia="Times New Roman" w:cs="Times New Roman"/>
          <w:sz w:val="24"/>
          <w:szCs w:val="24"/>
          <w:spacing w:val="-3"/>
        </w:rPr>
        <w:t>t</w:t>
      </w:r>
      <w:r>
        <w:rPr>
          <w:rFonts w:ascii="SimSun" w:hAnsi="SimSun" w:eastAsia="SimSun" w:cs="SimSun"/>
          <w:sz w:val="24"/>
          <w:szCs w:val="24"/>
          <w:spacing w:val="-3"/>
        </w:rPr>
        <w:t>；</w:t>
      </w:r>
    </w:p>
    <w:p>
      <w:pPr>
        <w:ind w:left="1256"/>
        <w:spacing w:before="190" w:line="212" w:lineRule="auto"/>
        <w:rPr>
          <w:rFonts w:ascii="SimSun" w:hAnsi="SimSun" w:eastAsia="SimSun" w:cs="SimSun"/>
          <w:sz w:val="24"/>
          <w:szCs w:val="24"/>
        </w:rPr>
      </w:pPr>
      <w:r>
        <w:rPr>
          <w:rFonts w:ascii="Times New Roman" w:hAnsi="Times New Roman" w:eastAsia="Times New Roman" w:cs="Times New Roman"/>
          <w:sz w:val="24"/>
          <w:szCs w:val="24"/>
          <w:spacing w:val="-3"/>
        </w:rPr>
        <w:t>Q</w:t>
      </w:r>
      <w:r>
        <w:rPr>
          <w:rFonts w:ascii="Times New Roman" w:hAnsi="Times New Roman" w:eastAsia="Times New Roman" w:cs="Times New Roman"/>
          <w:sz w:val="15"/>
          <w:szCs w:val="15"/>
          <w:spacing w:val="-3"/>
          <w:position w:val="-1"/>
        </w:rPr>
        <w:t>1</w:t>
      </w:r>
      <w:r>
        <w:rPr>
          <w:rFonts w:ascii="Times New Roman" w:hAnsi="Times New Roman" w:eastAsia="Times New Roman" w:cs="Times New Roman"/>
          <w:sz w:val="15"/>
          <w:szCs w:val="15"/>
          <w:spacing w:val="3"/>
          <w:position w:val="-1"/>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Q</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Q</w:t>
      </w:r>
      <w:r>
        <w:rPr>
          <w:rFonts w:ascii="Times New Roman" w:hAnsi="Times New Roman" w:eastAsia="Times New Roman" w:cs="Times New Roman"/>
          <w:sz w:val="15"/>
          <w:szCs w:val="15"/>
          <w:spacing w:val="-3"/>
        </w:rPr>
        <w:t>n</w:t>
      </w:r>
      <w:r>
        <w:rPr>
          <w:rFonts w:ascii="Times New Roman" w:hAnsi="Times New Roman" w:eastAsia="Times New Roman" w:cs="Times New Roman"/>
          <w:sz w:val="24"/>
          <w:szCs w:val="24"/>
          <w:spacing w:val="-3"/>
        </w:rPr>
        <w:t>——</w:t>
      </w:r>
      <w:r>
        <w:rPr>
          <w:rFonts w:ascii="SimSun" w:hAnsi="SimSun" w:eastAsia="SimSun" w:cs="SimSun"/>
          <w:sz w:val="24"/>
          <w:szCs w:val="24"/>
          <w:spacing w:val="-3"/>
        </w:rPr>
        <w:t>每种危险物质的临界量，</w:t>
      </w:r>
      <w:r>
        <w:rPr>
          <w:rFonts w:ascii="Times New Roman" w:hAnsi="Times New Roman" w:eastAsia="Times New Roman" w:cs="Times New Roman"/>
          <w:sz w:val="24"/>
          <w:szCs w:val="24"/>
          <w:spacing w:val="-3"/>
        </w:rPr>
        <w:t>t</w:t>
      </w:r>
      <w:r>
        <w:rPr>
          <w:rFonts w:ascii="SimSun" w:hAnsi="SimSun" w:eastAsia="SimSun" w:cs="SimSun"/>
          <w:sz w:val="24"/>
          <w:szCs w:val="24"/>
          <w:spacing w:val="-3"/>
        </w:rPr>
        <w:t>。</w:t>
      </w:r>
    </w:p>
    <w:p>
      <w:pPr>
        <w:ind w:left="1272"/>
        <w:spacing w:before="192" w:line="212" w:lineRule="auto"/>
        <w:rPr>
          <w:rFonts w:ascii="SimSun" w:hAnsi="SimSun" w:eastAsia="SimSun" w:cs="SimSun"/>
          <w:sz w:val="24"/>
          <w:szCs w:val="24"/>
        </w:rPr>
      </w:pPr>
      <w:r>
        <w:rPr>
          <w:rFonts w:ascii="SimSun" w:hAnsi="SimSun" w:eastAsia="SimSun" w:cs="SimSun"/>
          <w:sz w:val="24"/>
          <w:szCs w:val="24"/>
          <w:spacing w:val="-4"/>
        </w:rPr>
        <w:t>当</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4"/>
        </w:rPr>
        <w:t>Q</w:t>
      </w:r>
      <w:r>
        <w:rPr>
          <w:rFonts w:ascii="SimSun" w:hAnsi="SimSun" w:eastAsia="SimSun" w:cs="SimSun"/>
          <w:sz w:val="24"/>
          <w:szCs w:val="24"/>
          <w:spacing w:val="-4"/>
        </w:rPr>
        <w:t>＜</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4"/>
        </w:rPr>
        <w:t>时，该项目环境风险潜势为</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4"/>
        </w:rPr>
        <w:t>I</w:t>
      </w:r>
      <w:r>
        <w:rPr>
          <w:rFonts w:ascii="SimSun" w:hAnsi="SimSun" w:eastAsia="SimSun" w:cs="SimSun"/>
          <w:sz w:val="24"/>
          <w:szCs w:val="24"/>
          <w:spacing w:val="-4"/>
        </w:rPr>
        <w:t>。</w:t>
      </w:r>
    </w:p>
    <w:p>
      <w:pPr>
        <w:ind w:left="1272"/>
        <w:spacing w:before="193" w:line="210" w:lineRule="auto"/>
        <w:rPr>
          <w:rFonts w:ascii="SimSun" w:hAnsi="SimSun" w:eastAsia="SimSun" w:cs="SimSun"/>
          <w:sz w:val="24"/>
          <w:szCs w:val="24"/>
        </w:rPr>
      </w:pPr>
      <w:r>
        <w:rPr>
          <w:rFonts w:ascii="SimSun" w:hAnsi="SimSun" w:eastAsia="SimSun" w:cs="SimSun"/>
          <w:sz w:val="24"/>
          <w:szCs w:val="24"/>
          <w:spacing w:val="-3"/>
        </w:rPr>
        <w:t>当</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Q≥1</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3"/>
        </w:rPr>
        <w:t>时，将</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Q </w:t>
      </w:r>
      <w:r>
        <w:rPr>
          <w:rFonts w:ascii="SimSun" w:hAnsi="SimSun" w:eastAsia="SimSun" w:cs="SimSun"/>
          <w:sz w:val="24"/>
          <w:szCs w:val="24"/>
          <w:spacing w:val="-3"/>
        </w:rPr>
        <w:t>值划分为：</w:t>
      </w:r>
      <w:r>
        <w:rPr>
          <w:rFonts w:ascii="Times New Roman" w:hAnsi="Times New Roman" w:eastAsia="Times New Roman" w:cs="Times New Roman"/>
          <w:sz w:val="24"/>
          <w:szCs w:val="24"/>
          <w:spacing w:val="-3"/>
        </w:rPr>
        <w:t>a.</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1≤Q</w:t>
      </w:r>
      <w:r>
        <w:rPr>
          <w:rFonts w:ascii="SimSun" w:hAnsi="SimSun" w:eastAsia="SimSun" w:cs="SimSun"/>
          <w:sz w:val="24"/>
          <w:szCs w:val="24"/>
          <w:spacing w:val="-3"/>
        </w:rPr>
        <w:t>＜</w:t>
      </w:r>
      <w:r>
        <w:rPr>
          <w:rFonts w:ascii="Times New Roman" w:hAnsi="Times New Roman" w:eastAsia="Times New Roman" w:cs="Times New Roman"/>
          <w:sz w:val="24"/>
          <w:szCs w:val="24"/>
          <w:spacing w:val="-3"/>
        </w:rPr>
        <w:t>10</w:t>
      </w:r>
      <w:r>
        <w:rPr>
          <w:rFonts w:ascii="SimSun" w:hAnsi="SimSun" w:eastAsia="SimSun" w:cs="SimSun"/>
          <w:sz w:val="24"/>
          <w:szCs w:val="24"/>
          <w:spacing w:val="-3"/>
        </w:rPr>
        <w:t>；</w:t>
      </w:r>
      <w:r>
        <w:rPr>
          <w:rFonts w:ascii="Times New Roman" w:hAnsi="Times New Roman" w:eastAsia="Times New Roman" w:cs="Times New Roman"/>
          <w:sz w:val="24"/>
          <w:szCs w:val="24"/>
          <w:spacing w:val="-3"/>
        </w:rPr>
        <w:t>b.</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10≤Q</w:t>
      </w:r>
      <w:r>
        <w:rPr>
          <w:rFonts w:ascii="SimSun" w:hAnsi="SimSun" w:eastAsia="SimSun" w:cs="SimSun"/>
          <w:sz w:val="24"/>
          <w:szCs w:val="24"/>
          <w:spacing w:val="-3"/>
        </w:rPr>
        <w:t>＜</w:t>
      </w:r>
      <w:r>
        <w:rPr>
          <w:rFonts w:ascii="Times New Roman" w:hAnsi="Times New Roman" w:eastAsia="Times New Roman" w:cs="Times New Roman"/>
          <w:sz w:val="24"/>
          <w:szCs w:val="24"/>
          <w:spacing w:val="-3"/>
        </w:rPr>
        <w:t>100</w:t>
      </w:r>
      <w:r>
        <w:rPr>
          <w:rFonts w:ascii="SimSun" w:hAnsi="SimSun" w:eastAsia="SimSun" w:cs="SimSun"/>
          <w:sz w:val="24"/>
          <w:szCs w:val="24"/>
          <w:spacing w:val="-3"/>
        </w:rPr>
        <w:t>；</w:t>
      </w:r>
      <w:r>
        <w:rPr>
          <w:rFonts w:ascii="Times New Roman" w:hAnsi="Times New Roman" w:eastAsia="Times New Roman" w:cs="Times New Roman"/>
          <w:sz w:val="24"/>
          <w:szCs w:val="24"/>
          <w:spacing w:val="-3"/>
        </w:rPr>
        <w:t>c.Q≥100</w:t>
      </w:r>
      <w:r>
        <w:rPr>
          <w:rFonts w:ascii="SimSun" w:hAnsi="SimSun" w:eastAsia="SimSun" w:cs="SimSun"/>
          <w:sz w:val="24"/>
          <w:szCs w:val="24"/>
          <w:spacing w:val="-3"/>
        </w:rPr>
        <w:t>。</w:t>
      </w:r>
    </w:p>
    <w:p>
      <w:pPr>
        <w:ind w:left="2670"/>
        <w:spacing w:before="192" w:line="212" w:lineRule="auto"/>
        <w:rPr>
          <w:rFonts w:ascii="SimSun" w:hAnsi="SimSun" w:eastAsia="SimSun" w:cs="SimSun"/>
          <w:sz w:val="24"/>
          <w:szCs w:val="24"/>
        </w:rPr>
      </w:pPr>
      <w:r>
        <w:rPr>
          <w:rFonts w:ascii="SimSun" w:hAnsi="SimSun" w:eastAsia="SimSun" w:cs="SimSun"/>
          <w:sz w:val="24"/>
          <w:szCs w:val="24"/>
          <w:b/>
          <w:bCs/>
          <w:spacing w:val="1"/>
        </w:rPr>
        <w:t>表</w:t>
      </w:r>
      <w:r>
        <w:rPr>
          <w:rFonts w:ascii="SimSun" w:hAnsi="SimSun" w:eastAsia="SimSun" w:cs="SimSun"/>
          <w:sz w:val="24"/>
          <w:szCs w:val="24"/>
          <w:spacing w:val="-46"/>
        </w:rPr>
        <w:t xml:space="preserve"> </w:t>
      </w:r>
      <w:r>
        <w:rPr>
          <w:rFonts w:ascii="Times New Roman" w:hAnsi="Times New Roman" w:eastAsia="Times New Roman" w:cs="Times New Roman"/>
          <w:sz w:val="24"/>
          <w:szCs w:val="24"/>
          <w:b/>
          <w:bCs/>
          <w:spacing w:val="1"/>
        </w:rPr>
        <w:t>6.2-2        </w:t>
      </w:r>
      <w:r>
        <w:rPr>
          <w:rFonts w:ascii="SimSun" w:hAnsi="SimSun" w:eastAsia="SimSun" w:cs="SimSun"/>
          <w:sz w:val="24"/>
          <w:szCs w:val="24"/>
          <w:b/>
          <w:bCs/>
          <w:spacing w:val="1"/>
        </w:rPr>
        <w:t>本项目</w:t>
      </w:r>
      <w:r>
        <w:rPr>
          <w:rFonts w:ascii="Times New Roman" w:hAnsi="Times New Roman" w:eastAsia="Times New Roman" w:cs="Times New Roman"/>
          <w:sz w:val="24"/>
          <w:szCs w:val="24"/>
          <w:b/>
          <w:bCs/>
          <w:spacing w:val="1"/>
        </w:rPr>
        <w:t>Q </w:t>
      </w:r>
      <w:r>
        <w:rPr>
          <w:rFonts w:ascii="SimSun" w:hAnsi="SimSun" w:eastAsia="SimSun" w:cs="SimSun"/>
          <w:sz w:val="24"/>
          <w:szCs w:val="24"/>
          <w:b/>
          <w:bCs/>
          <w:spacing w:val="1"/>
        </w:rPr>
        <w:t>值确定表</w:t>
      </w:r>
    </w:p>
    <w:p>
      <w:pPr>
        <w:spacing w:line="16" w:lineRule="auto"/>
        <w:rPr>
          <w:rFonts w:ascii="Arial"/>
          <w:sz w:val="2"/>
        </w:rPr>
      </w:pPr>
      <w:r>
        <w:rPr>
          <w:rFonts w:ascii="Arial"/>
          <w:sz w:val="2"/>
        </w:rPr>
      </w:r>
    </w:p>
    <w:tbl>
      <w:tblPr>
        <w:tblStyle w:val="TableNormal"/>
        <w:tblW w:w="859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66"/>
        <w:gridCol w:w="2064"/>
        <w:gridCol w:w="615"/>
        <w:gridCol w:w="1866"/>
        <w:gridCol w:w="1380"/>
        <w:gridCol w:w="1071"/>
        <w:gridCol w:w="1032"/>
      </w:tblGrid>
      <w:tr>
        <w:trPr>
          <w:trHeight w:val="280" w:hRule="atLeast"/>
        </w:trPr>
        <w:tc>
          <w:tcPr>
            <w:tcW w:w="566" w:type="dxa"/>
            <w:vAlign w:val="top"/>
          </w:tcPr>
          <w:p>
            <w:pPr>
              <w:pStyle w:val="TableText"/>
              <w:ind w:left="77"/>
              <w:spacing w:before="34" w:line="217" w:lineRule="auto"/>
              <w:rPr/>
            </w:pPr>
            <w:r>
              <w:rPr>
                <w:spacing w:val="5"/>
              </w:rPr>
              <w:t>序号</w:t>
            </w:r>
          </w:p>
        </w:tc>
        <w:tc>
          <w:tcPr>
            <w:tcW w:w="2064" w:type="dxa"/>
            <w:vAlign w:val="top"/>
          </w:tcPr>
          <w:p>
            <w:pPr>
              <w:pStyle w:val="TableText"/>
              <w:ind w:left="615"/>
              <w:spacing w:before="34" w:line="217" w:lineRule="auto"/>
              <w:rPr/>
            </w:pPr>
            <w:r>
              <w:rPr>
                <w:spacing w:val="7"/>
              </w:rPr>
              <w:t>物料名称</w:t>
            </w:r>
          </w:p>
        </w:tc>
        <w:tc>
          <w:tcPr>
            <w:tcW w:w="615" w:type="dxa"/>
            <w:vAlign w:val="top"/>
          </w:tcPr>
          <w:p>
            <w:pPr>
              <w:pStyle w:val="TableText"/>
              <w:ind w:left="104"/>
              <w:spacing w:before="34" w:line="217" w:lineRule="auto"/>
              <w:rPr/>
            </w:pPr>
            <w:r>
              <w:rPr>
                <w:spacing w:val="3"/>
              </w:rPr>
              <w:t>单位</w:t>
            </w:r>
          </w:p>
        </w:tc>
        <w:tc>
          <w:tcPr>
            <w:tcW w:w="1866" w:type="dxa"/>
            <w:vAlign w:val="top"/>
          </w:tcPr>
          <w:p>
            <w:pPr>
              <w:pStyle w:val="TableText"/>
              <w:ind w:left="416"/>
              <w:spacing w:before="34" w:line="217" w:lineRule="auto"/>
              <w:rPr/>
            </w:pPr>
            <w:r>
              <w:rPr>
                <w:spacing w:val="7"/>
              </w:rPr>
              <w:t>最大贮存量</w:t>
            </w:r>
          </w:p>
        </w:tc>
        <w:tc>
          <w:tcPr>
            <w:tcW w:w="1380" w:type="dxa"/>
            <w:vAlign w:val="top"/>
          </w:tcPr>
          <w:p>
            <w:pPr>
              <w:pStyle w:val="TableText"/>
              <w:ind w:left="380"/>
              <w:spacing w:before="34" w:line="217" w:lineRule="auto"/>
              <w:rPr/>
            </w:pPr>
            <w:r>
              <w:rPr>
                <w:spacing w:val="7"/>
              </w:rPr>
              <w:t>在线量</w:t>
            </w:r>
          </w:p>
        </w:tc>
        <w:tc>
          <w:tcPr>
            <w:tcW w:w="1071" w:type="dxa"/>
            <w:vAlign w:val="top"/>
          </w:tcPr>
          <w:p>
            <w:pPr>
              <w:pStyle w:val="TableText"/>
              <w:ind w:left="239"/>
              <w:spacing w:before="34" w:line="217" w:lineRule="auto"/>
              <w:rPr/>
            </w:pPr>
            <w:r>
              <w:rPr>
                <w:spacing w:val="3"/>
              </w:rPr>
              <w:t>临界量</w:t>
            </w:r>
          </w:p>
        </w:tc>
        <w:tc>
          <w:tcPr>
            <w:tcW w:w="1032" w:type="dxa"/>
            <w:vAlign w:val="top"/>
          </w:tcPr>
          <w:p>
            <w:pPr>
              <w:pStyle w:val="TableText"/>
              <w:ind w:left="315"/>
              <w:spacing w:before="34" w:line="217" w:lineRule="auto"/>
              <w:rPr/>
            </w:pPr>
            <w:r>
              <w:rPr>
                <w:rFonts w:ascii="Times New Roman" w:hAnsi="Times New Roman" w:eastAsia="Times New Roman" w:cs="Times New Roman"/>
                <w:spacing w:val="-1"/>
              </w:rPr>
              <w:t>Q</w:t>
            </w:r>
            <w:r>
              <w:rPr>
                <w:rFonts w:ascii="Times New Roman" w:hAnsi="Times New Roman" w:eastAsia="Times New Roman" w:cs="Times New Roman"/>
                <w:spacing w:val="12"/>
              </w:rPr>
              <w:t xml:space="preserve"> </w:t>
            </w:r>
            <w:r>
              <w:rPr>
                <w:spacing w:val="-1"/>
              </w:rPr>
              <w:t>值</w:t>
            </w:r>
          </w:p>
        </w:tc>
      </w:tr>
      <w:tr>
        <w:trPr>
          <w:trHeight w:val="276" w:hRule="atLeast"/>
        </w:trPr>
        <w:tc>
          <w:tcPr>
            <w:tcW w:w="566" w:type="dxa"/>
            <w:vAlign w:val="top"/>
          </w:tcPr>
          <w:p>
            <w:pPr>
              <w:ind w:left="25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064" w:type="dxa"/>
            <w:vAlign w:val="top"/>
          </w:tcPr>
          <w:p>
            <w:pPr>
              <w:pStyle w:val="TableText"/>
              <w:ind w:left="408"/>
              <w:spacing w:before="33" w:line="215" w:lineRule="auto"/>
              <w:rPr/>
            </w:pPr>
            <w:r>
              <w:rPr>
                <w:spacing w:val="6"/>
              </w:rPr>
              <w:t>沼气（甲烷）</w:t>
            </w:r>
          </w:p>
        </w:tc>
        <w:tc>
          <w:tcPr>
            <w:tcW w:w="615" w:type="dxa"/>
            <w:vAlign w:val="top"/>
          </w:tcPr>
          <w:p>
            <w:pPr>
              <w:ind w:left="276"/>
              <w:spacing w:before="87" w:line="17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t</w:t>
            </w:r>
          </w:p>
        </w:tc>
        <w:tc>
          <w:tcPr>
            <w:tcW w:w="1866" w:type="dxa"/>
            <w:vAlign w:val="top"/>
          </w:tcPr>
          <w:p>
            <w:pPr>
              <w:ind w:left="70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0.129</w:t>
            </w:r>
          </w:p>
        </w:tc>
        <w:tc>
          <w:tcPr>
            <w:tcW w:w="1380" w:type="dxa"/>
            <w:vAlign w:val="top"/>
          </w:tcPr>
          <w:p>
            <w:pPr>
              <w:ind w:left="51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0.01</w:t>
            </w:r>
          </w:p>
        </w:tc>
        <w:tc>
          <w:tcPr>
            <w:tcW w:w="1071" w:type="dxa"/>
            <w:vAlign w:val="top"/>
          </w:tcPr>
          <w:p>
            <w:pPr>
              <w:ind w:left="45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032" w:type="dxa"/>
            <w:vAlign w:val="top"/>
          </w:tcPr>
          <w:p>
            <w:pPr>
              <w:ind w:left="284"/>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0.014</w:t>
            </w:r>
          </w:p>
        </w:tc>
      </w:tr>
      <w:tr>
        <w:trPr>
          <w:trHeight w:val="278" w:hRule="atLeast"/>
        </w:trPr>
        <w:tc>
          <w:tcPr>
            <w:tcW w:w="566" w:type="dxa"/>
            <w:vAlign w:val="top"/>
          </w:tcPr>
          <w:p>
            <w:pPr>
              <w:ind w:left="23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064" w:type="dxa"/>
            <w:vAlign w:val="top"/>
          </w:tcPr>
          <w:p>
            <w:pPr>
              <w:pStyle w:val="TableText"/>
              <w:ind w:left="519"/>
              <w:spacing w:before="32" w:line="217" w:lineRule="auto"/>
              <w:rPr/>
            </w:pPr>
            <w:r>
              <w:rPr>
                <w:rFonts w:ascii="Times New Roman" w:hAnsi="Times New Roman" w:eastAsia="Times New Roman" w:cs="Times New Roman"/>
              </w:rPr>
              <w:t>COD</w:t>
            </w:r>
            <w:r>
              <w:rPr>
                <w:rFonts w:ascii="Times New Roman" w:hAnsi="Times New Roman" w:eastAsia="Times New Roman" w:cs="Times New Roman"/>
                <w:sz w:val="13"/>
                <w:szCs w:val="13"/>
                <w:position w:val="-1"/>
              </w:rPr>
              <w:t>Cr</w:t>
            </w:r>
            <w:r>
              <w:rPr>
                <w:rFonts w:ascii="Times New Roman" w:hAnsi="Times New Roman" w:eastAsia="Times New Roman" w:cs="Times New Roman"/>
                <w:sz w:val="13"/>
                <w:szCs w:val="13"/>
                <w:spacing w:val="12"/>
                <w:position w:val="-1"/>
              </w:rPr>
              <w:t xml:space="preserve"> </w:t>
            </w:r>
            <w:r>
              <w:rPr>
                <w:spacing w:val="12"/>
              </w:rPr>
              <w:t>浓度</w:t>
            </w:r>
          </w:p>
        </w:tc>
        <w:tc>
          <w:tcPr>
            <w:tcW w:w="615" w:type="dxa"/>
            <w:vAlign w:val="top"/>
          </w:tcPr>
          <w:p>
            <w:pPr>
              <w:ind w:left="276"/>
              <w:spacing w:before="87" w:line="17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t</w:t>
            </w:r>
          </w:p>
        </w:tc>
        <w:tc>
          <w:tcPr>
            <w:tcW w:w="1866" w:type="dxa"/>
            <w:vAlign w:val="top"/>
          </w:tcPr>
          <w:p>
            <w:pPr>
              <w:ind w:left="69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46.92</w:t>
            </w:r>
          </w:p>
        </w:tc>
        <w:tc>
          <w:tcPr>
            <w:tcW w:w="1380" w:type="dxa"/>
            <w:vAlign w:val="top"/>
          </w:tcPr>
          <w:p>
            <w:pPr>
              <w:ind w:left="659"/>
              <w:spacing w:before="6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71" w:type="dxa"/>
            <w:vAlign w:val="top"/>
          </w:tcPr>
          <w:p>
            <w:pPr>
              <w:ind w:left="45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1032" w:type="dxa"/>
            <w:vAlign w:val="top"/>
          </w:tcPr>
          <w:p>
            <w:pPr>
              <w:ind w:left="27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4.692</w:t>
            </w:r>
          </w:p>
        </w:tc>
      </w:tr>
    </w:tbl>
    <w:p>
      <w:pPr>
        <w:pStyle w:val="BodyText"/>
        <w:spacing w:line="385" w:lineRule="auto"/>
        <w:rPr/>
      </w:pPr>
      <w:r/>
    </w:p>
    <w:p>
      <w:pPr>
        <w:ind w:left="55"/>
        <w:spacing w:before="62" w:line="227" w:lineRule="auto"/>
        <w:rPr>
          <w:rFonts w:ascii="SimSun" w:hAnsi="SimSun" w:eastAsia="SimSun" w:cs="SimSun"/>
          <w:sz w:val="19"/>
          <w:szCs w:val="19"/>
        </w:rPr>
      </w:pPr>
      <w:r>
        <w:pict>
          <v:shape id="_x0000_s1104" style="position:absolute;margin-left:161.72pt;margin-top:2.12229pt;mso-position-vertical-relative:text;mso-position-horizontal-relative:text;width:61pt;height:13.75pt;z-index:252214272;"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239</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331"/>
          <w:footerReference w:type="default" r:id="rId3"/>
          <w:pgSz w:w="11907" w:h="16840"/>
          <w:pgMar w:top="1567" w:right="1654" w:bottom="400" w:left="1653" w:header="1221" w:footer="0" w:gutter="0"/>
        </w:sectPr>
        <w:rPr>
          <w:rFonts w:ascii="SimSun" w:hAnsi="SimSun" w:eastAsia="SimSun" w:cs="SimSun"/>
          <w:sz w:val="19"/>
          <w:szCs w:val="19"/>
        </w:rPr>
      </w:pPr>
    </w:p>
    <w:p>
      <w:pPr>
        <w:spacing w:line="133" w:lineRule="exact"/>
        <w:rPr/>
      </w:pPr>
      <w:r>
        <w:pict>
          <v:shape id="_x0000_s1106" style="position:absolute;margin-left:85.05pt;margin-top:78.87pt;mso-position-vertical-relative:page;mso-position-horizontal-relative:page;width:425.25pt;height:0.75pt;z-index:252217344;" o:allowincell="f" fillcolor="#000000" filled="true" stroked="false" coordsize="8505,15" coordorigin="0,0" path="m,l8505,0l8505,14l0,14l0,0xe"/>
        </w:pict>
      </w:r>
      <w:r/>
    </w:p>
    <w:tbl>
      <w:tblPr>
        <w:tblStyle w:val="TableNormal"/>
        <w:tblW w:w="859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66"/>
        <w:gridCol w:w="2064"/>
        <w:gridCol w:w="615"/>
        <w:gridCol w:w="1866"/>
        <w:gridCol w:w="1380"/>
        <w:gridCol w:w="1071"/>
        <w:gridCol w:w="1032"/>
      </w:tblGrid>
      <w:tr>
        <w:trPr>
          <w:trHeight w:val="280" w:hRule="atLeast"/>
        </w:trPr>
        <w:tc>
          <w:tcPr>
            <w:tcW w:w="566" w:type="dxa"/>
            <w:vAlign w:val="top"/>
          </w:tcPr>
          <w:p>
            <w:pPr>
              <w:rPr>
                <w:rFonts w:ascii="Arial"/>
                <w:sz w:val="21"/>
              </w:rPr>
            </w:pPr>
            <w:r/>
          </w:p>
        </w:tc>
        <w:tc>
          <w:tcPr>
            <w:tcW w:w="2064" w:type="dxa"/>
            <w:vAlign w:val="top"/>
          </w:tcPr>
          <w:p>
            <w:pPr>
              <w:pStyle w:val="TableText"/>
              <w:ind w:left="36"/>
              <w:spacing w:before="36" w:line="216" w:lineRule="auto"/>
              <w:rPr/>
            </w:pPr>
            <w:r>
              <w:rPr>
                <w:rFonts w:ascii="Times New Roman" w:hAnsi="Times New Roman" w:eastAsia="Times New Roman" w:cs="Times New Roman"/>
                <w:spacing w:val="6"/>
              </w:rPr>
              <w:t>≥10000</w:t>
            </w:r>
            <w:r>
              <w:rPr>
                <w:rFonts w:ascii="Times New Roman" w:hAnsi="Times New Roman" w:eastAsia="Times New Roman" w:cs="Times New Roman"/>
              </w:rPr>
              <w:t>mg</w:t>
            </w:r>
            <w:r>
              <w:rPr>
                <w:rFonts w:ascii="Times New Roman" w:hAnsi="Times New Roman" w:eastAsia="Times New Roman" w:cs="Times New Roman"/>
                <w:spacing w:val="6"/>
              </w:rPr>
              <w:t>/L </w:t>
            </w:r>
            <w:r>
              <w:rPr>
                <w:spacing w:val="6"/>
              </w:rPr>
              <w:t>有机废液</w:t>
            </w:r>
          </w:p>
        </w:tc>
        <w:tc>
          <w:tcPr>
            <w:tcW w:w="615" w:type="dxa"/>
            <w:vAlign w:val="top"/>
          </w:tcPr>
          <w:p>
            <w:pPr>
              <w:rPr>
                <w:rFonts w:ascii="Arial"/>
                <w:sz w:val="21"/>
              </w:rPr>
            </w:pPr>
            <w:r/>
          </w:p>
        </w:tc>
        <w:tc>
          <w:tcPr>
            <w:tcW w:w="1866" w:type="dxa"/>
            <w:vAlign w:val="top"/>
          </w:tcPr>
          <w:p>
            <w:pPr>
              <w:rPr>
                <w:rFonts w:ascii="Arial"/>
                <w:sz w:val="21"/>
              </w:rPr>
            </w:pPr>
            <w:r/>
          </w:p>
        </w:tc>
        <w:tc>
          <w:tcPr>
            <w:tcW w:w="1380" w:type="dxa"/>
            <w:vAlign w:val="top"/>
          </w:tcPr>
          <w:p>
            <w:pPr>
              <w:rPr>
                <w:rFonts w:ascii="Arial"/>
                <w:sz w:val="21"/>
              </w:rPr>
            </w:pPr>
            <w:r/>
          </w:p>
        </w:tc>
        <w:tc>
          <w:tcPr>
            <w:tcW w:w="1071" w:type="dxa"/>
            <w:vAlign w:val="top"/>
          </w:tcPr>
          <w:p>
            <w:pPr>
              <w:rPr>
                <w:rFonts w:ascii="Arial"/>
                <w:sz w:val="21"/>
              </w:rPr>
            </w:pPr>
            <w:r/>
          </w:p>
        </w:tc>
        <w:tc>
          <w:tcPr>
            <w:tcW w:w="1032" w:type="dxa"/>
            <w:vAlign w:val="top"/>
          </w:tcPr>
          <w:p>
            <w:pPr>
              <w:rPr>
                <w:rFonts w:ascii="Arial"/>
                <w:sz w:val="21"/>
              </w:rPr>
            </w:pPr>
            <w:r/>
          </w:p>
        </w:tc>
      </w:tr>
      <w:tr>
        <w:trPr>
          <w:trHeight w:val="277" w:hRule="atLeast"/>
        </w:trPr>
        <w:tc>
          <w:tcPr>
            <w:tcW w:w="566" w:type="dxa"/>
            <w:vAlign w:val="top"/>
          </w:tcPr>
          <w:p>
            <w:pPr>
              <w:ind w:left="23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2064" w:type="dxa"/>
            <w:vAlign w:val="top"/>
          </w:tcPr>
          <w:p>
            <w:pPr>
              <w:pStyle w:val="TableText"/>
              <w:ind w:left="615"/>
              <w:spacing w:before="34" w:line="215" w:lineRule="auto"/>
              <w:rPr/>
            </w:pPr>
            <w:r>
              <w:rPr>
                <w:spacing w:val="7"/>
              </w:rPr>
              <w:t>废矿物油</w:t>
            </w:r>
          </w:p>
        </w:tc>
        <w:tc>
          <w:tcPr>
            <w:tcW w:w="615" w:type="dxa"/>
            <w:vAlign w:val="top"/>
          </w:tcPr>
          <w:p>
            <w:pPr>
              <w:ind w:left="276"/>
              <w:spacing w:before="87" w:line="17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t</w:t>
            </w:r>
          </w:p>
        </w:tc>
        <w:tc>
          <w:tcPr>
            <w:tcW w:w="1866" w:type="dxa"/>
            <w:vAlign w:val="top"/>
          </w:tcPr>
          <w:p>
            <w:pPr>
              <w:ind w:left="75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0.27</w:t>
            </w:r>
          </w:p>
        </w:tc>
        <w:tc>
          <w:tcPr>
            <w:tcW w:w="1380" w:type="dxa"/>
            <w:vAlign w:val="top"/>
          </w:tcPr>
          <w:p>
            <w:pPr>
              <w:ind w:left="659"/>
              <w:spacing w:before="6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071" w:type="dxa"/>
            <w:vAlign w:val="top"/>
          </w:tcPr>
          <w:p>
            <w:pPr>
              <w:ind w:left="32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2500</w:t>
            </w:r>
          </w:p>
        </w:tc>
        <w:tc>
          <w:tcPr>
            <w:tcW w:w="1032" w:type="dxa"/>
            <w:vAlign w:val="top"/>
          </w:tcPr>
          <w:p>
            <w:pPr>
              <w:ind w:left="231"/>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0.0001</w:t>
            </w:r>
          </w:p>
        </w:tc>
      </w:tr>
      <w:tr>
        <w:trPr>
          <w:trHeight w:val="276" w:hRule="atLeast"/>
        </w:trPr>
        <w:tc>
          <w:tcPr>
            <w:tcW w:w="7562" w:type="dxa"/>
            <w:vAlign w:val="top"/>
            <w:gridSpan w:val="6"/>
          </w:tcPr>
          <w:p>
            <w:pPr>
              <w:pStyle w:val="TableText"/>
              <w:ind w:left="3580"/>
              <w:spacing w:before="31" w:line="216" w:lineRule="auto"/>
              <w:rPr/>
            </w:pPr>
            <w:r>
              <w:rPr>
                <w:spacing w:val="4"/>
              </w:rPr>
              <w:t>合计</w:t>
            </w:r>
          </w:p>
        </w:tc>
        <w:tc>
          <w:tcPr>
            <w:tcW w:w="1032" w:type="dxa"/>
            <w:vAlign w:val="top"/>
          </w:tcPr>
          <w:p>
            <w:pPr>
              <w:ind w:left="22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4.7061</w:t>
            </w:r>
          </w:p>
        </w:tc>
      </w:tr>
      <w:tr>
        <w:trPr>
          <w:trHeight w:val="553" w:hRule="atLeast"/>
        </w:trPr>
        <w:tc>
          <w:tcPr>
            <w:tcW w:w="8594" w:type="dxa"/>
            <w:vAlign w:val="top"/>
            <w:gridSpan w:val="7"/>
          </w:tcPr>
          <w:p>
            <w:pPr>
              <w:pStyle w:val="TableText"/>
              <w:ind w:left="13"/>
              <w:spacing w:before="34" w:line="223" w:lineRule="auto"/>
              <w:rPr/>
            </w:pPr>
            <w:r>
              <w:rPr/>
              <w:t>注</w:t>
            </w:r>
            <w:r>
              <w:rPr>
                <w:spacing w:val="-17"/>
              </w:rPr>
              <w:t xml:space="preserve"> </w:t>
            </w:r>
            <w:r>
              <w:rPr>
                <w:rFonts w:ascii="Times New Roman" w:hAnsi="Times New Roman" w:eastAsia="Times New Roman" w:cs="Times New Roman"/>
              </w:rPr>
              <w:t>1</w:t>
            </w:r>
            <w:r>
              <w:rPr>
                <w:rFonts w:ascii="Times New Roman" w:hAnsi="Times New Roman" w:eastAsia="Times New Roman" w:cs="Times New Roman"/>
                <w:spacing w:val="-23"/>
              </w:rPr>
              <w:t xml:space="preserve"> </w:t>
            </w:r>
            <w:r>
              <w:rPr/>
              <w:t>：沼气柜</w:t>
            </w:r>
            <w:r>
              <w:rPr>
                <w:spacing w:val="-37"/>
              </w:rPr>
              <w:t xml:space="preserve"> </w:t>
            </w:r>
            <w:r>
              <w:rPr>
                <w:rFonts w:ascii="Times New Roman" w:hAnsi="Times New Roman" w:eastAsia="Times New Roman" w:cs="Times New Roman"/>
              </w:rPr>
              <w:t>300m</w:t>
            </w:r>
            <w:r>
              <w:rPr>
                <w:rFonts w:ascii="Times New Roman" w:hAnsi="Times New Roman" w:eastAsia="Times New Roman" w:cs="Times New Roman"/>
                <w:sz w:val="13"/>
                <w:szCs w:val="13"/>
                <w:position w:val="6"/>
              </w:rPr>
              <w:t>3</w:t>
            </w:r>
            <w:r>
              <w:rPr>
                <w:rFonts w:ascii="Times New Roman" w:hAnsi="Times New Roman" w:eastAsia="Times New Roman" w:cs="Times New Roman"/>
                <w:sz w:val="13"/>
                <w:szCs w:val="13"/>
                <w:spacing w:val="-8"/>
                <w:position w:val="6"/>
              </w:rPr>
              <w:t xml:space="preserve"> </w:t>
            </w:r>
            <w:r>
              <w:rPr/>
              <w:t>，</w:t>
            </w:r>
            <w:r>
              <w:rPr>
                <w:spacing w:val="-59"/>
              </w:rPr>
              <w:t xml:space="preserve"> </w:t>
            </w:r>
            <w:r>
              <w:rPr/>
              <w:t>甲烷占</w:t>
            </w:r>
            <w:r>
              <w:rPr>
                <w:spacing w:val="-36"/>
              </w:rPr>
              <w:t xml:space="preserve"> </w:t>
            </w:r>
            <w:r>
              <w:rPr>
                <w:rFonts w:ascii="Times New Roman" w:hAnsi="Times New Roman" w:eastAsia="Times New Roman" w:cs="Times New Roman"/>
              </w:rPr>
              <w:t>60%</w:t>
            </w:r>
            <w:r>
              <w:rPr>
                <w:rFonts w:ascii="Times New Roman" w:hAnsi="Times New Roman" w:eastAsia="Times New Roman" w:cs="Times New Roman"/>
                <w:spacing w:val="-26"/>
              </w:rPr>
              <w:t xml:space="preserve"> </w:t>
            </w:r>
            <w:r>
              <w:rPr/>
              <w:t>，</w:t>
            </w:r>
            <w:r>
              <w:rPr>
                <w:spacing w:val="-58"/>
              </w:rPr>
              <w:t xml:space="preserve"> </w:t>
            </w:r>
            <w:r>
              <w:rPr/>
              <w:t>甲烷密度按</w:t>
            </w:r>
            <w:r>
              <w:rPr>
                <w:spacing w:val="-35"/>
              </w:rPr>
              <w:t xml:space="preserve"> </w:t>
            </w:r>
            <w:r>
              <w:rPr>
                <w:rFonts w:ascii="Times New Roman" w:hAnsi="Times New Roman" w:eastAsia="Times New Roman" w:cs="Times New Roman"/>
              </w:rPr>
              <w:t>0.716g/L</w:t>
            </w:r>
            <w:r>
              <w:rPr/>
              <w:t>。</w:t>
            </w:r>
          </w:p>
          <w:p>
            <w:pPr>
              <w:pStyle w:val="TableText"/>
              <w:ind w:left="13"/>
              <w:spacing w:before="31" w:line="217" w:lineRule="auto"/>
              <w:rPr/>
            </w:pPr>
            <w:r>
              <w:rPr>
                <w:spacing w:val="6"/>
              </w:rPr>
              <w:t>注</w:t>
            </w:r>
            <w:r>
              <w:rPr>
                <w:spacing w:val="-43"/>
              </w:rPr>
              <w:t xml:space="preserve"> </w:t>
            </w:r>
            <w:r>
              <w:rPr>
                <w:rFonts w:ascii="Times New Roman" w:hAnsi="Times New Roman" w:eastAsia="Times New Roman" w:cs="Times New Roman"/>
                <w:spacing w:val="6"/>
              </w:rPr>
              <w:t>2</w:t>
            </w:r>
            <w:r>
              <w:rPr>
                <w:rFonts w:ascii="Times New Roman" w:hAnsi="Times New Roman" w:eastAsia="Times New Roman" w:cs="Times New Roman"/>
                <w:spacing w:val="-23"/>
              </w:rPr>
              <w:t xml:space="preserve"> </w:t>
            </w:r>
            <w:r>
              <w:rPr>
                <w:spacing w:val="6"/>
              </w:rPr>
              <w:t>：</w:t>
            </w:r>
            <w:r>
              <w:rPr>
                <w:rFonts w:ascii="Times New Roman" w:hAnsi="Times New Roman" w:eastAsia="Times New Roman" w:cs="Times New Roman"/>
              </w:rPr>
              <w:t>COD</w:t>
            </w:r>
            <w:r>
              <w:rPr>
                <w:rFonts w:ascii="Times New Roman" w:hAnsi="Times New Roman" w:eastAsia="Times New Roman" w:cs="Times New Roman"/>
                <w:sz w:val="13"/>
                <w:szCs w:val="13"/>
                <w:position w:val="-1"/>
              </w:rPr>
              <w:t>Cr</w:t>
            </w:r>
            <w:r>
              <w:rPr>
                <w:rFonts w:ascii="Times New Roman" w:hAnsi="Times New Roman" w:eastAsia="Times New Roman" w:cs="Times New Roman"/>
                <w:sz w:val="13"/>
                <w:szCs w:val="13"/>
                <w:spacing w:val="6"/>
                <w:position w:val="-1"/>
              </w:rPr>
              <w:t xml:space="preserve"> </w:t>
            </w:r>
            <w:r>
              <w:rPr>
                <w:spacing w:val="6"/>
              </w:rPr>
              <w:t>浓度</w:t>
            </w:r>
            <w:r>
              <w:rPr>
                <w:rFonts w:ascii="Times New Roman" w:hAnsi="Times New Roman" w:eastAsia="Times New Roman" w:cs="Times New Roman"/>
                <w:spacing w:val="6"/>
              </w:rPr>
              <w:t>≥10000</w:t>
            </w:r>
            <w:r>
              <w:rPr>
                <w:rFonts w:ascii="Times New Roman" w:hAnsi="Times New Roman" w:eastAsia="Times New Roman" w:cs="Times New Roman"/>
              </w:rPr>
              <w:t>mg</w:t>
            </w:r>
            <w:r>
              <w:rPr>
                <w:rFonts w:ascii="Times New Roman" w:hAnsi="Times New Roman" w:eastAsia="Times New Roman" w:cs="Times New Roman"/>
                <w:spacing w:val="6"/>
              </w:rPr>
              <w:t>/L </w:t>
            </w:r>
            <w:r>
              <w:rPr>
                <w:spacing w:val="6"/>
              </w:rPr>
              <w:t>废水最大存在总量约</w:t>
            </w:r>
            <w:r>
              <w:rPr>
                <w:spacing w:val="-36"/>
              </w:rPr>
              <w:t xml:space="preserve"> </w:t>
            </w:r>
            <w:r>
              <w:rPr>
                <w:rFonts w:ascii="Times New Roman" w:hAnsi="Times New Roman" w:eastAsia="Times New Roman" w:cs="Times New Roman"/>
                <w:spacing w:val="6"/>
              </w:rPr>
              <w:t>3128m</w:t>
            </w:r>
            <w:r>
              <w:rPr>
                <w:rFonts w:ascii="Times New Roman" w:hAnsi="Times New Roman" w:eastAsia="Times New Roman" w:cs="Times New Roman"/>
                <w:sz w:val="13"/>
                <w:szCs w:val="13"/>
                <w:spacing w:val="6"/>
                <w:position w:val="6"/>
              </w:rPr>
              <w:t>3</w:t>
            </w:r>
            <w:r>
              <w:rPr>
                <w:rFonts w:ascii="Times New Roman" w:hAnsi="Times New Roman" w:eastAsia="Times New Roman" w:cs="Times New Roman"/>
                <w:sz w:val="13"/>
                <w:szCs w:val="13"/>
                <w:spacing w:val="-9"/>
                <w:position w:val="6"/>
              </w:rPr>
              <w:t xml:space="preserve"> </w:t>
            </w:r>
            <w:r>
              <w:rPr>
                <w:spacing w:val="6"/>
              </w:rPr>
              <w:t>，</w:t>
            </w:r>
            <w:r>
              <w:rPr>
                <w:rFonts w:ascii="Times New Roman" w:hAnsi="Times New Roman" w:eastAsia="Times New Roman" w:cs="Times New Roman"/>
              </w:rPr>
              <w:t>COD</w:t>
            </w:r>
            <w:r>
              <w:rPr>
                <w:rFonts w:ascii="Times New Roman" w:hAnsi="Times New Roman" w:eastAsia="Times New Roman" w:cs="Times New Roman"/>
                <w:sz w:val="13"/>
                <w:szCs w:val="13"/>
                <w:position w:val="-1"/>
              </w:rPr>
              <w:t>Cr</w:t>
            </w:r>
            <w:r>
              <w:rPr>
                <w:rFonts w:ascii="Times New Roman" w:hAnsi="Times New Roman" w:eastAsia="Times New Roman" w:cs="Times New Roman"/>
                <w:sz w:val="13"/>
                <w:szCs w:val="13"/>
                <w:spacing w:val="10"/>
                <w:w w:val="101"/>
                <w:position w:val="-1"/>
              </w:rPr>
              <w:t xml:space="preserve"> </w:t>
            </w:r>
            <w:r>
              <w:rPr>
                <w:spacing w:val="6"/>
              </w:rPr>
              <w:t>按</w:t>
            </w:r>
            <w:r>
              <w:rPr>
                <w:spacing w:val="-23"/>
              </w:rPr>
              <w:t xml:space="preserve"> </w:t>
            </w:r>
            <w:r>
              <w:rPr>
                <w:rFonts w:ascii="Times New Roman" w:hAnsi="Times New Roman" w:eastAsia="Times New Roman" w:cs="Times New Roman"/>
                <w:spacing w:val="6"/>
              </w:rPr>
              <w:t>1</w:t>
            </w:r>
            <w:r>
              <w:rPr>
                <w:rFonts w:ascii="Times New Roman" w:hAnsi="Times New Roman" w:eastAsia="Times New Roman" w:cs="Times New Roman"/>
                <w:spacing w:val="5"/>
              </w:rPr>
              <w:t>5000</w:t>
            </w:r>
            <w:r>
              <w:rPr>
                <w:rFonts w:ascii="Times New Roman" w:hAnsi="Times New Roman" w:eastAsia="Times New Roman" w:cs="Times New Roman"/>
              </w:rPr>
              <w:t>mg</w:t>
            </w:r>
            <w:r>
              <w:rPr>
                <w:rFonts w:ascii="Times New Roman" w:hAnsi="Times New Roman" w:eastAsia="Times New Roman" w:cs="Times New Roman"/>
                <w:spacing w:val="5"/>
              </w:rPr>
              <w:t>/L </w:t>
            </w:r>
            <w:r>
              <w:rPr>
                <w:spacing w:val="5"/>
              </w:rPr>
              <w:t>计。</w:t>
            </w:r>
          </w:p>
        </w:tc>
      </w:tr>
    </w:tbl>
    <w:p>
      <w:pPr>
        <w:ind w:left="539"/>
        <w:spacing w:before="150" w:line="323" w:lineRule="exact"/>
        <w:rPr>
          <w:rFonts w:ascii="SimSun" w:hAnsi="SimSun" w:eastAsia="SimSun" w:cs="SimSun"/>
          <w:sz w:val="24"/>
          <w:szCs w:val="24"/>
        </w:rPr>
      </w:pPr>
      <w:r>
        <w:rPr>
          <w:rFonts w:ascii="SimSun" w:hAnsi="SimSun" w:eastAsia="SimSun" w:cs="SimSun"/>
          <w:sz w:val="24"/>
          <w:szCs w:val="24"/>
          <w:spacing w:val="-2"/>
          <w:position w:val="2"/>
        </w:rPr>
        <w:t>经计算，本项目</w:t>
      </w:r>
      <w:r>
        <w:rPr>
          <w:rFonts w:ascii="Times New Roman" w:hAnsi="Times New Roman" w:eastAsia="Times New Roman" w:cs="Times New Roman"/>
          <w:sz w:val="24"/>
          <w:szCs w:val="24"/>
          <w:spacing w:val="-2"/>
          <w:position w:val="2"/>
        </w:rPr>
        <w:t>∑Q=4.7061</w:t>
      </w:r>
      <w:r>
        <w:rPr>
          <w:rFonts w:ascii="Times New Roman" w:hAnsi="Times New Roman" w:eastAsia="Times New Roman" w:cs="Times New Roman"/>
          <w:sz w:val="24"/>
          <w:szCs w:val="24"/>
          <w:spacing w:val="-27"/>
          <w:position w:val="2"/>
        </w:rPr>
        <w:t xml:space="preserve"> </w:t>
      </w: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1≤Q</w:t>
      </w:r>
      <w:r>
        <w:rPr>
          <w:rFonts w:ascii="SimSun" w:hAnsi="SimSun" w:eastAsia="SimSun" w:cs="SimSun"/>
          <w:sz w:val="24"/>
          <w:szCs w:val="24"/>
          <w:spacing w:val="-2"/>
          <w:position w:val="2"/>
        </w:rPr>
        <w:t>＜</w:t>
      </w:r>
      <w:r>
        <w:rPr>
          <w:rFonts w:ascii="Times New Roman" w:hAnsi="Times New Roman" w:eastAsia="Times New Roman" w:cs="Times New Roman"/>
          <w:sz w:val="24"/>
          <w:szCs w:val="24"/>
          <w:spacing w:val="-2"/>
          <w:position w:val="2"/>
        </w:rPr>
        <w:t>10</w:t>
      </w:r>
      <w:r>
        <w:rPr>
          <w:rFonts w:ascii="SimSun" w:hAnsi="SimSun" w:eastAsia="SimSun" w:cs="SimSun"/>
          <w:sz w:val="24"/>
          <w:szCs w:val="24"/>
          <w:spacing w:val="-2"/>
          <w:position w:val="2"/>
        </w:rPr>
        <w:t>。</w:t>
      </w:r>
    </w:p>
    <w:p>
      <w:pPr>
        <w:ind w:left="535"/>
        <w:spacing w:before="222" w:line="217" w:lineRule="auto"/>
        <w:rPr>
          <w:rFonts w:ascii="SimSun" w:hAnsi="SimSun" w:eastAsia="SimSun" w:cs="SimSun"/>
          <w:sz w:val="24"/>
          <w:szCs w:val="24"/>
        </w:rPr>
      </w:pPr>
      <w:r>
        <w:rPr>
          <w:rFonts w:ascii="SimSun" w:hAnsi="SimSun" w:eastAsia="SimSun" w:cs="SimSun"/>
          <w:sz w:val="24"/>
          <w:szCs w:val="24"/>
          <w:spacing w:val="-1"/>
        </w:rPr>
        <w:t>②行业及生产工艺评估（</w:t>
      </w:r>
      <w:r>
        <w:rPr>
          <w:rFonts w:ascii="Times New Roman" w:hAnsi="Times New Roman" w:eastAsia="Times New Roman" w:cs="Times New Roman"/>
          <w:sz w:val="24"/>
          <w:szCs w:val="24"/>
          <w:spacing w:val="-1"/>
        </w:rPr>
        <w:t>M</w:t>
      </w:r>
      <w:r>
        <w:rPr>
          <w:rFonts w:ascii="SimSun" w:hAnsi="SimSun" w:eastAsia="SimSun" w:cs="SimSun"/>
          <w:sz w:val="24"/>
          <w:szCs w:val="24"/>
          <w:spacing w:val="-1"/>
        </w:rPr>
        <w:t>）</w:t>
      </w:r>
    </w:p>
    <w:p>
      <w:pPr>
        <w:ind w:left="48" w:right="25" w:firstLine="492"/>
        <w:spacing w:before="215" w:line="385" w:lineRule="auto"/>
        <w:rPr>
          <w:rFonts w:ascii="SimSun" w:hAnsi="SimSun" w:eastAsia="SimSun" w:cs="SimSun"/>
          <w:sz w:val="24"/>
          <w:szCs w:val="24"/>
        </w:rPr>
      </w:pPr>
      <w:r>
        <w:rPr>
          <w:rFonts w:ascii="SimSun" w:hAnsi="SimSun" w:eastAsia="SimSun" w:cs="SimSun"/>
          <w:sz w:val="24"/>
          <w:szCs w:val="24"/>
          <w:spacing w:val="-2"/>
        </w:rPr>
        <w:t>分析项目所属行业及生产工艺特点，按照表</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2"/>
        </w:rPr>
        <w:t>6.2-3 </w:t>
      </w:r>
      <w:r>
        <w:rPr>
          <w:rFonts w:ascii="SimSun" w:hAnsi="SimSun" w:eastAsia="SimSun" w:cs="SimSun"/>
          <w:sz w:val="24"/>
          <w:szCs w:val="24"/>
          <w:spacing w:val="-2"/>
        </w:rPr>
        <w:t>评估生产工艺情况。其中具</w:t>
      </w:r>
      <w:r>
        <w:rPr>
          <w:rFonts w:ascii="SimSun" w:hAnsi="SimSun" w:eastAsia="SimSun" w:cs="SimSun"/>
          <w:sz w:val="24"/>
          <w:szCs w:val="24"/>
        </w:rPr>
        <w:t xml:space="preserve"> </w:t>
      </w:r>
      <w:r>
        <w:rPr>
          <w:rFonts w:ascii="SimSun" w:hAnsi="SimSun" w:eastAsia="SimSun" w:cs="SimSun"/>
          <w:sz w:val="24"/>
          <w:szCs w:val="24"/>
          <w:spacing w:val="-2"/>
        </w:rPr>
        <w:t>有多套工艺单元的项目，对每套生产工艺分别评分并求和。将</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M </w:t>
      </w:r>
      <w:r>
        <w:rPr>
          <w:rFonts w:ascii="SimSun" w:hAnsi="SimSun" w:eastAsia="SimSun" w:cs="SimSun"/>
          <w:sz w:val="24"/>
          <w:szCs w:val="24"/>
          <w:spacing w:val="-2"/>
        </w:rPr>
        <w:t>划分为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a.M&gt;20</w:t>
      </w:r>
      <w:r>
        <w:rPr>
          <w:rFonts w:ascii="SimSun" w:hAnsi="SimSun" w:eastAsia="SimSun" w:cs="SimSun"/>
          <w:sz w:val="24"/>
          <w:szCs w:val="24"/>
          <w:spacing w:val="-2"/>
        </w:rPr>
        <w:t>；</w:t>
      </w:r>
      <w:r>
        <w:rPr>
          <w:rFonts w:ascii="SimSun" w:hAnsi="SimSun" w:eastAsia="SimSun" w:cs="SimSun"/>
          <w:sz w:val="24"/>
          <w:szCs w:val="24"/>
        </w:rPr>
        <w:t xml:space="preserve"> </w:t>
      </w:r>
      <w:r>
        <w:rPr>
          <w:rFonts w:ascii="Times New Roman" w:hAnsi="Times New Roman" w:eastAsia="Times New Roman" w:cs="Times New Roman"/>
          <w:sz w:val="24"/>
          <w:szCs w:val="24"/>
          <w:spacing w:val="-2"/>
        </w:rPr>
        <w:t>b.</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10&lt;M≤20</w:t>
      </w:r>
      <w:r>
        <w:rPr>
          <w:rFonts w:ascii="SimSun" w:hAnsi="SimSun" w:eastAsia="SimSun" w:cs="SimSun"/>
          <w:sz w:val="24"/>
          <w:szCs w:val="24"/>
          <w:spacing w:val="-2"/>
        </w:rPr>
        <w:t>；</w:t>
      </w:r>
      <w:r>
        <w:rPr>
          <w:rFonts w:ascii="Times New Roman" w:hAnsi="Times New Roman" w:eastAsia="Times New Roman" w:cs="Times New Roman"/>
          <w:sz w:val="24"/>
          <w:szCs w:val="24"/>
          <w:spacing w:val="-2"/>
        </w:rPr>
        <w:t>c.5&lt;M≤10</w:t>
      </w:r>
      <w:r>
        <w:rPr>
          <w:rFonts w:ascii="SimSun" w:hAnsi="SimSun" w:eastAsia="SimSun" w:cs="SimSun"/>
          <w:sz w:val="24"/>
          <w:szCs w:val="24"/>
          <w:spacing w:val="-2"/>
        </w:rPr>
        <w:t>；</w:t>
      </w:r>
      <w:r>
        <w:rPr>
          <w:rFonts w:ascii="Times New Roman" w:hAnsi="Times New Roman" w:eastAsia="Times New Roman" w:cs="Times New Roman"/>
          <w:sz w:val="24"/>
          <w:szCs w:val="24"/>
          <w:spacing w:val="-2"/>
        </w:rPr>
        <w:t>d.M=5</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，分别以</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M1</w:t>
      </w:r>
      <w:r>
        <w:rPr>
          <w:rFonts w:ascii="SimSun" w:hAnsi="SimSun" w:eastAsia="SimSun" w:cs="SimSun"/>
          <w:sz w:val="24"/>
          <w:szCs w:val="24"/>
          <w:spacing w:val="-2"/>
        </w:rPr>
        <w:t>、</w:t>
      </w:r>
      <w:r>
        <w:rPr>
          <w:rFonts w:ascii="Times New Roman" w:hAnsi="Times New Roman" w:eastAsia="Times New Roman" w:cs="Times New Roman"/>
          <w:sz w:val="24"/>
          <w:szCs w:val="24"/>
          <w:spacing w:val="-2"/>
        </w:rPr>
        <w:t>M2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M3 </w:t>
      </w:r>
      <w:r>
        <w:rPr>
          <w:rFonts w:ascii="SimSun" w:hAnsi="SimSun" w:eastAsia="SimSun" w:cs="SimSun"/>
          <w:sz w:val="24"/>
          <w:szCs w:val="24"/>
          <w:spacing w:val="-3"/>
        </w:rPr>
        <w:t>和</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M4 </w:t>
      </w:r>
      <w:r>
        <w:rPr>
          <w:rFonts w:ascii="SimSun" w:hAnsi="SimSun" w:eastAsia="SimSun" w:cs="SimSun"/>
          <w:sz w:val="24"/>
          <w:szCs w:val="24"/>
          <w:spacing w:val="-3"/>
        </w:rPr>
        <w:t>表示。</w:t>
      </w:r>
    </w:p>
    <w:p>
      <w:pPr>
        <w:ind w:left="2221"/>
        <w:spacing w:before="1" w:line="217"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9"/>
        </w:rPr>
        <w:t xml:space="preserve"> </w:t>
      </w:r>
      <w:r>
        <w:rPr>
          <w:rFonts w:ascii="Times New Roman" w:hAnsi="Times New Roman" w:eastAsia="Times New Roman" w:cs="Times New Roman"/>
          <w:sz w:val="24"/>
          <w:szCs w:val="24"/>
          <w:b/>
          <w:bCs/>
          <w:spacing w:val="-2"/>
        </w:rPr>
        <w:t>6.2-3        </w:t>
      </w:r>
      <w:r>
        <w:rPr>
          <w:rFonts w:ascii="SimSun" w:hAnsi="SimSun" w:eastAsia="SimSun" w:cs="SimSun"/>
          <w:sz w:val="24"/>
          <w:szCs w:val="24"/>
          <w:b/>
          <w:bCs/>
          <w:spacing w:val="-2"/>
        </w:rPr>
        <w:t>行业和生产工艺评估一览表</w:t>
      </w:r>
    </w:p>
    <w:p>
      <w:pPr>
        <w:spacing w:line="22" w:lineRule="exact"/>
        <w:rPr/>
      </w:pPr>
      <w:r/>
    </w:p>
    <w:tbl>
      <w:tblPr>
        <w:tblStyle w:val="TableNormal"/>
        <w:tblW w:w="8528" w:type="dxa"/>
        <w:tblInd w:w="3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50"/>
        <w:gridCol w:w="5374"/>
        <w:gridCol w:w="1404"/>
      </w:tblGrid>
      <w:tr>
        <w:trPr>
          <w:trHeight w:val="281" w:hRule="atLeast"/>
        </w:trPr>
        <w:tc>
          <w:tcPr>
            <w:tcW w:w="1750" w:type="dxa"/>
            <w:vAlign w:val="top"/>
          </w:tcPr>
          <w:p>
            <w:pPr>
              <w:pStyle w:val="TableText"/>
              <w:ind w:left="674"/>
              <w:spacing w:before="34" w:line="218" w:lineRule="auto"/>
              <w:rPr/>
            </w:pPr>
            <w:r>
              <w:rPr>
                <w:spacing w:val="3"/>
              </w:rPr>
              <w:t>行业</w:t>
            </w:r>
          </w:p>
        </w:tc>
        <w:tc>
          <w:tcPr>
            <w:tcW w:w="5374" w:type="dxa"/>
            <w:vAlign w:val="top"/>
          </w:tcPr>
          <w:p>
            <w:pPr>
              <w:pStyle w:val="TableText"/>
              <w:ind w:left="2270"/>
              <w:spacing w:before="34" w:line="218" w:lineRule="auto"/>
              <w:rPr/>
            </w:pPr>
            <w:r>
              <w:rPr>
                <w:spacing w:val="7"/>
              </w:rPr>
              <w:t>评估依据</w:t>
            </w:r>
          </w:p>
        </w:tc>
        <w:tc>
          <w:tcPr>
            <w:tcW w:w="1404" w:type="dxa"/>
            <w:vAlign w:val="top"/>
          </w:tcPr>
          <w:p>
            <w:pPr>
              <w:pStyle w:val="TableText"/>
              <w:ind w:left="500"/>
              <w:spacing w:before="34" w:line="218" w:lineRule="auto"/>
              <w:rPr/>
            </w:pPr>
            <w:r>
              <w:rPr>
                <w:spacing w:val="3"/>
              </w:rPr>
              <w:t>分值</w:t>
            </w:r>
          </w:p>
        </w:tc>
      </w:tr>
      <w:tr>
        <w:trPr>
          <w:trHeight w:val="1365" w:hRule="atLeast"/>
        </w:trPr>
        <w:tc>
          <w:tcPr>
            <w:tcW w:w="1750" w:type="dxa"/>
            <w:vAlign w:val="top"/>
            <w:vMerge w:val="restart"/>
            <w:tcBorders>
              <w:bottom w:val="nil"/>
            </w:tcBorders>
          </w:tcPr>
          <w:p>
            <w:pPr>
              <w:spacing w:line="327" w:lineRule="auto"/>
              <w:rPr>
                <w:rFonts w:ascii="Arial"/>
                <w:sz w:val="21"/>
              </w:rPr>
            </w:pPr>
            <w:r/>
          </w:p>
          <w:p>
            <w:pPr>
              <w:spacing w:line="327" w:lineRule="auto"/>
              <w:rPr>
                <w:rFonts w:ascii="Arial"/>
                <w:sz w:val="21"/>
              </w:rPr>
            </w:pPr>
            <w:r/>
          </w:p>
          <w:p>
            <w:pPr>
              <w:pStyle w:val="TableText"/>
              <w:spacing w:before="65" w:line="228" w:lineRule="auto"/>
              <w:jc w:val="right"/>
              <w:rPr/>
            </w:pPr>
            <w:r>
              <w:rPr>
                <w:spacing w:val="-8"/>
              </w:rPr>
              <w:t>石化、化工、医药、</w:t>
            </w:r>
          </w:p>
          <w:p>
            <w:pPr>
              <w:pStyle w:val="TableText"/>
              <w:ind w:left="40"/>
              <w:spacing w:before="23" w:line="228" w:lineRule="auto"/>
              <w:rPr/>
            </w:pPr>
            <w:r>
              <w:rPr>
                <w:spacing w:val="8"/>
              </w:rPr>
              <w:t>轻工、化纤、有色</w:t>
            </w:r>
          </w:p>
          <w:p>
            <w:pPr>
              <w:pStyle w:val="TableText"/>
              <w:ind w:left="568"/>
              <w:spacing w:before="24" w:line="228" w:lineRule="auto"/>
              <w:rPr/>
            </w:pPr>
            <w:r>
              <w:rPr>
                <w:spacing w:val="6"/>
              </w:rPr>
              <w:t>冶炼等</w:t>
            </w:r>
          </w:p>
        </w:tc>
        <w:tc>
          <w:tcPr>
            <w:tcW w:w="5374" w:type="dxa"/>
            <w:vAlign w:val="top"/>
          </w:tcPr>
          <w:p>
            <w:pPr>
              <w:pStyle w:val="TableText"/>
              <w:ind w:left="9" w:firstLine="3"/>
              <w:spacing w:before="33" w:line="244" w:lineRule="auto"/>
              <w:jc w:val="both"/>
              <w:rPr/>
            </w:pPr>
            <w:r>
              <w:rPr>
                <w:spacing w:val="4"/>
              </w:rPr>
              <w:t>涉及光气及光气化工艺、电解工艺（氯碱）</w:t>
            </w:r>
            <w:r>
              <w:rPr>
                <w:spacing w:val="3"/>
              </w:rPr>
              <w:t>、氯化工艺、硝</w:t>
            </w:r>
            <w:r>
              <w:rPr/>
              <w:t xml:space="preserve"> </w:t>
            </w:r>
            <w:r>
              <w:rPr>
                <w:spacing w:val="4"/>
              </w:rPr>
              <w:t>化工艺、合成氨工艺、裂解（裂化）工艺、氟化工</w:t>
            </w:r>
            <w:r>
              <w:rPr>
                <w:spacing w:val="3"/>
              </w:rPr>
              <w:t>艺、加氢</w:t>
            </w:r>
            <w:r>
              <w:rPr/>
              <w:t xml:space="preserve"> </w:t>
            </w:r>
            <w:r>
              <w:rPr>
                <w:spacing w:val="6"/>
              </w:rPr>
              <w:t>工艺、重氮化工艺、氧化工艺、过氧化工艺、胺基化工艺、</w:t>
            </w:r>
            <w:r>
              <w:rPr>
                <w:spacing w:val="2"/>
              </w:rPr>
              <w:t xml:space="preserve"> </w:t>
            </w:r>
            <w:r>
              <w:rPr>
                <w:spacing w:val="4"/>
              </w:rPr>
              <w:t>磺化工艺、聚合工艺、烷基化工艺、新型煤化工工</w:t>
            </w:r>
            <w:r>
              <w:rPr>
                <w:spacing w:val="3"/>
              </w:rPr>
              <w:t>艺、电石</w:t>
            </w:r>
            <w:r>
              <w:rPr/>
              <w:t xml:space="preserve"> </w:t>
            </w:r>
            <w:r>
              <w:rPr>
                <w:spacing w:val="6"/>
              </w:rPr>
              <w:t>生产工艺、偶氮化工艺</w:t>
            </w:r>
          </w:p>
        </w:tc>
        <w:tc>
          <w:tcPr>
            <w:tcW w:w="1404" w:type="dxa"/>
            <w:vAlign w:val="top"/>
          </w:tcPr>
          <w:p>
            <w:pPr>
              <w:spacing w:line="254" w:lineRule="auto"/>
              <w:rPr>
                <w:rFonts w:ascii="Arial"/>
                <w:sz w:val="21"/>
              </w:rPr>
            </w:pPr>
            <w:r/>
          </w:p>
          <w:p>
            <w:pPr>
              <w:spacing w:line="254" w:lineRule="auto"/>
              <w:rPr>
                <w:rFonts w:ascii="Arial"/>
                <w:sz w:val="21"/>
              </w:rPr>
            </w:pPr>
            <w:r/>
          </w:p>
          <w:p>
            <w:pPr>
              <w:pStyle w:val="TableText"/>
              <w:ind w:left="485"/>
              <w:spacing w:before="65" w:line="228" w:lineRule="auto"/>
              <w:rPr/>
            </w:pPr>
            <w:r>
              <w:rPr>
                <w:rFonts w:ascii="Times New Roman" w:hAnsi="Times New Roman" w:eastAsia="Times New Roman" w:cs="Times New Roman"/>
                <w:spacing w:val="-1"/>
              </w:rPr>
              <w:t>10/</w:t>
            </w:r>
            <w:r>
              <w:rPr>
                <w:spacing w:val="-1"/>
              </w:rPr>
              <w:t>套</w:t>
            </w:r>
          </w:p>
        </w:tc>
      </w:tr>
      <w:tr>
        <w:trPr>
          <w:trHeight w:val="277" w:hRule="atLeast"/>
        </w:trPr>
        <w:tc>
          <w:tcPr>
            <w:tcW w:w="1750" w:type="dxa"/>
            <w:vAlign w:val="top"/>
            <w:vMerge w:val="continue"/>
            <w:tcBorders>
              <w:top w:val="nil"/>
              <w:bottom w:val="nil"/>
            </w:tcBorders>
          </w:tcPr>
          <w:p>
            <w:pPr>
              <w:rPr>
                <w:rFonts w:ascii="Arial"/>
                <w:sz w:val="21"/>
              </w:rPr>
            </w:pPr>
            <w:r/>
          </w:p>
        </w:tc>
        <w:tc>
          <w:tcPr>
            <w:tcW w:w="5374" w:type="dxa"/>
            <w:vAlign w:val="top"/>
          </w:tcPr>
          <w:p>
            <w:pPr>
              <w:pStyle w:val="TableText"/>
              <w:ind w:left="12"/>
              <w:spacing w:before="31" w:line="217" w:lineRule="auto"/>
              <w:rPr/>
            </w:pPr>
            <w:r>
              <w:rPr>
                <w:spacing w:val="8"/>
              </w:rPr>
              <w:t>无机酸制酸工艺、焦化工艺</w:t>
            </w:r>
          </w:p>
        </w:tc>
        <w:tc>
          <w:tcPr>
            <w:tcW w:w="1404" w:type="dxa"/>
            <w:vAlign w:val="top"/>
          </w:tcPr>
          <w:p>
            <w:pPr>
              <w:pStyle w:val="TableText"/>
              <w:ind w:left="523"/>
              <w:spacing w:before="31" w:line="217" w:lineRule="auto"/>
              <w:rPr/>
            </w:pPr>
            <w:r>
              <w:rPr>
                <w:rFonts w:ascii="Times New Roman" w:hAnsi="Times New Roman" w:eastAsia="Times New Roman" w:cs="Times New Roman"/>
                <w:spacing w:val="2"/>
              </w:rPr>
              <w:t>5/</w:t>
            </w:r>
            <w:r>
              <w:rPr>
                <w:spacing w:val="2"/>
              </w:rPr>
              <w:t>套</w:t>
            </w:r>
          </w:p>
        </w:tc>
      </w:tr>
      <w:tr>
        <w:trPr>
          <w:trHeight w:val="549" w:hRule="atLeast"/>
        </w:trPr>
        <w:tc>
          <w:tcPr>
            <w:tcW w:w="1750" w:type="dxa"/>
            <w:vAlign w:val="top"/>
            <w:vMerge w:val="continue"/>
            <w:tcBorders>
              <w:top w:val="nil"/>
            </w:tcBorders>
          </w:tcPr>
          <w:p>
            <w:pPr>
              <w:rPr>
                <w:rFonts w:ascii="Arial"/>
                <w:sz w:val="21"/>
              </w:rPr>
            </w:pPr>
            <w:r/>
          </w:p>
        </w:tc>
        <w:tc>
          <w:tcPr>
            <w:tcW w:w="5374" w:type="dxa"/>
            <w:vAlign w:val="top"/>
          </w:tcPr>
          <w:p>
            <w:pPr>
              <w:pStyle w:val="TableText"/>
              <w:ind w:left="11" w:right="2"/>
              <w:spacing w:before="34" w:line="233" w:lineRule="auto"/>
              <w:rPr/>
            </w:pPr>
            <w:r>
              <w:rPr>
                <w:spacing w:val="7"/>
              </w:rPr>
              <w:t>其他高温或高压，且涉及危险物质的工艺过程</w:t>
            </w:r>
            <w:r>
              <w:rPr>
                <w:spacing w:val="-38"/>
              </w:rPr>
              <w:t xml:space="preserve"> </w:t>
            </w:r>
            <w:r>
              <w:rPr>
                <w:rFonts w:ascii="Times New Roman" w:hAnsi="Times New Roman" w:eastAsia="Times New Roman" w:cs="Times New Roman"/>
                <w:spacing w:val="7"/>
              </w:rPr>
              <w:t>a</w:t>
            </w:r>
            <w:r>
              <w:rPr>
                <w:rFonts w:ascii="Times New Roman" w:hAnsi="Times New Roman" w:eastAsia="Times New Roman" w:cs="Times New Roman"/>
                <w:spacing w:val="-26"/>
              </w:rPr>
              <w:t xml:space="preserve"> </w:t>
            </w:r>
            <w:r>
              <w:rPr>
                <w:spacing w:val="7"/>
              </w:rPr>
              <w:t>、危</w:t>
            </w:r>
            <w:r>
              <w:rPr>
                <w:spacing w:val="6"/>
              </w:rPr>
              <w:t>险物质</w:t>
            </w:r>
            <w:r>
              <w:rPr/>
              <w:t xml:space="preserve"> </w:t>
            </w:r>
            <w:r>
              <w:rPr>
                <w:spacing w:val="7"/>
              </w:rPr>
              <w:t>贮存罐区</w:t>
            </w:r>
          </w:p>
        </w:tc>
        <w:tc>
          <w:tcPr>
            <w:tcW w:w="1404" w:type="dxa"/>
            <w:vAlign w:val="top"/>
          </w:tcPr>
          <w:p>
            <w:pPr>
              <w:pStyle w:val="TableText"/>
              <w:ind w:left="103"/>
              <w:spacing w:before="169" w:line="228" w:lineRule="auto"/>
              <w:rPr/>
            </w:pPr>
            <w:r>
              <w:rPr>
                <w:rFonts w:ascii="Times New Roman" w:hAnsi="Times New Roman" w:eastAsia="Times New Roman" w:cs="Times New Roman"/>
                <w:spacing w:val="5"/>
              </w:rPr>
              <w:t>5/</w:t>
            </w:r>
            <w:r>
              <w:rPr>
                <w:spacing w:val="5"/>
              </w:rPr>
              <w:t>套（罐区）</w:t>
            </w:r>
          </w:p>
        </w:tc>
      </w:tr>
      <w:tr>
        <w:trPr>
          <w:trHeight w:val="277" w:hRule="atLeast"/>
        </w:trPr>
        <w:tc>
          <w:tcPr>
            <w:tcW w:w="1750" w:type="dxa"/>
            <w:vAlign w:val="top"/>
          </w:tcPr>
          <w:p>
            <w:pPr>
              <w:pStyle w:val="TableText"/>
              <w:ind w:left="18"/>
              <w:spacing w:before="34" w:line="215" w:lineRule="auto"/>
              <w:rPr/>
            </w:pPr>
            <w:r>
              <w:rPr>
                <w:spacing w:val="7"/>
              </w:rPr>
              <w:t>管道、港口</w:t>
            </w:r>
            <w:r>
              <w:rPr>
                <w:rFonts w:ascii="Times New Roman" w:hAnsi="Times New Roman" w:eastAsia="Times New Roman" w:cs="Times New Roman"/>
                <w:spacing w:val="7"/>
              </w:rPr>
              <w:t>/</w:t>
            </w:r>
            <w:r>
              <w:rPr>
                <w:spacing w:val="7"/>
              </w:rPr>
              <w:t>码头等</w:t>
            </w:r>
          </w:p>
        </w:tc>
        <w:tc>
          <w:tcPr>
            <w:tcW w:w="5374" w:type="dxa"/>
            <w:vAlign w:val="top"/>
          </w:tcPr>
          <w:p>
            <w:pPr>
              <w:pStyle w:val="TableText"/>
              <w:ind w:left="12"/>
              <w:spacing w:before="34" w:line="215" w:lineRule="auto"/>
              <w:rPr/>
            </w:pPr>
            <w:r>
              <w:rPr>
                <w:spacing w:val="8"/>
              </w:rPr>
              <w:t>涉及危险物质管道运输项目、港口</w:t>
            </w:r>
            <w:r>
              <w:rPr>
                <w:rFonts w:ascii="Times New Roman" w:hAnsi="Times New Roman" w:eastAsia="Times New Roman" w:cs="Times New Roman"/>
                <w:spacing w:val="8"/>
              </w:rPr>
              <w:t>/</w:t>
            </w:r>
            <w:r>
              <w:rPr>
                <w:spacing w:val="8"/>
              </w:rPr>
              <w:t>码头等</w:t>
            </w:r>
          </w:p>
        </w:tc>
        <w:tc>
          <w:tcPr>
            <w:tcW w:w="1404" w:type="dxa"/>
            <w:vAlign w:val="top"/>
          </w:tcPr>
          <w:p>
            <w:pPr>
              <w:ind w:left="619"/>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r>
      <w:tr>
        <w:trPr>
          <w:trHeight w:val="821" w:hRule="atLeast"/>
        </w:trPr>
        <w:tc>
          <w:tcPr>
            <w:tcW w:w="1750" w:type="dxa"/>
            <w:vAlign w:val="top"/>
          </w:tcPr>
          <w:p>
            <w:pPr>
              <w:rPr>
                <w:rFonts w:ascii="Arial"/>
                <w:sz w:val="21"/>
              </w:rPr>
            </w:pPr>
            <w:r/>
          </w:p>
          <w:p>
            <w:pPr>
              <w:pStyle w:val="TableText"/>
              <w:ind w:left="357"/>
              <w:spacing w:before="65" w:line="228" w:lineRule="auto"/>
              <w:rPr/>
            </w:pPr>
            <w:r>
              <w:rPr>
                <w:spacing w:val="7"/>
              </w:rPr>
              <w:t>石油天然气</w:t>
            </w:r>
          </w:p>
        </w:tc>
        <w:tc>
          <w:tcPr>
            <w:tcW w:w="5374" w:type="dxa"/>
            <w:vAlign w:val="top"/>
          </w:tcPr>
          <w:p>
            <w:pPr>
              <w:pStyle w:val="TableText"/>
              <w:ind w:left="10" w:right="2"/>
              <w:spacing w:before="34" w:line="239" w:lineRule="auto"/>
              <w:jc w:val="both"/>
              <w:rPr/>
            </w:pPr>
            <w:r>
              <w:rPr>
                <w:spacing w:val="6"/>
              </w:rPr>
              <w:t>石油、天然气、页岩气开采（含净化</w:t>
            </w:r>
            <w:r>
              <w:rPr>
                <w:spacing w:val="5"/>
              </w:rPr>
              <w:t>），</w:t>
            </w:r>
            <w:r>
              <w:rPr>
                <w:spacing w:val="6"/>
              </w:rPr>
              <w:t>气库（不含加气站</w:t>
            </w:r>
            <w:r>
              <w:rPr/>
              <w:t xml:space="preserve"> </w:t>
            </w:r>
            <w:r>
              <w:rPr>
                <w:spacing w:val="7"/>
              </w:rPr>
              <w:t>的气库</w:t>
            </w:r>
            <w:r>
              <w:rPr>
                <w:spacing w:val="16"/>
              </w:rPr>
              <w:t>），</w:t>
            </w:r>
            <w:r>
              <w:rPr>
                <w:spacing w:val="7"/>
              </w:rPr>
              <w:t>油库（不含加气站的油库）、油气管线</w:t>
            </w:r>
            <w:r>
              <w:rPr>
                <w:spacing w:val="-45"/>
              </w:rPr>
              <w:t xml:space="preserve"> </w:t>
            </w:r>
            <w:r>
              <w:rPr>
                <w:rFonts w:ascii="Times New Roman" w:hAnsi="Times New Roman" w:eastAsia="Times New Roman" w:cs="Times New Roman"/>
                <w:spacing w:val="7"/>
              </w:rPr>
              <w:t>b</w:t>
            </w:r>
            <w:r>
              <w:rPr>
                <w:spacing w:val="7"/>
              </w:rPr>
              <w:t>（不含</w:t>
            </w:r>
            <w:r>
              <w:rPr/>
              <w:t xml:space="preserve"> </w:t>
            </w:r>
            <w:r>
              <w:rPr>
                <w:spacing w:val="7"/>
              </w:rPr>
              <w:t>城镇燃气管线）</w:t>
            </w:r>
          </w:p>
        </w:tc>
        <w:tc>
          <w:tcPr>
            <w:tcW w:w="1404" w:type="dxa"/>
            <w:vAlign w:val="top"/>
          </w:tcPr>
          <w:p>
            <w:pPr>
              <w:spacing w:line="282" w:lineRule="auto"/>
              <w:rPr>
                <w:rFonts w:ascii="Arial"/>
                <w:sz w:val="21"/>
              </w:rPr>
            </w:pPr>
            <w:r/>
          </w:p>
          <w:p>
            <w:pPr>
              <w:ind w:left="619"/>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r>
      <w:tr>
        <w:trPr>
          <w:trHeight w:val="278" w:hRule="atLeast"/>
        </w:trPr>
        <w:tc>
          <w:tcPr>
            <w:tcW w:w="1750" w:type="dxa"/>
            <w:vAlign w:val="top"/>
          </w:tcPr>
          <w:p>
            <w:pPr>
              <w:pStyle w:val="TableText"/>
              <w:ind w:left="672"/>
              <w:spacing w:before="37" w:line="213" w:lineRule="auto"/>
              <w:rPr/>
            </w:pPr>
            <w:r>
              <w:rPr>
                <w:spacing w:val="4"/>
              </w:rPr>
              <w:t>其他</w:t>
            </w:r>
          </w:p>
        </w:tc>
        <w:tc>
          <w:tcPr>
            <w:tcW w:w="5374" w:type="dxa"/>
            <w:vAlign w:val="top"/>
          </w:tcPr>
          <w:p>
            <w:pPr>
              <w:pStyle w:val="TableText"/>
              <w:ind w:left="12"/>
              <w:spacing w:before="37" w:line="213" w:lineRule="auto"/>
              <w:rPr/>
            </w:pPr>
            <w:r>
              <w:rPr>
                <w:spacing w:val="9"/>
              </w:rPr>
              <w:t>涉及危险物质使用、贮存的项目</w:t>
            </w:r>
          </w:p>
        </w:tc>
        <w:tc>
          <w:tcPr>
            <w:tcW w:w="1404" w:type="dxa"/>
            <w:vAlign w:val="top"/>
          </w:tcPr>
          <w:p>
            <w:pPr>
              <w:ind w:left="655"/>
              <w:spacing w:before="7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r>
      <w:tr>
        <w:trPr>
          <w:trHeight w:val="553" w:hRule="atLeast"/>
        </w:trPr>
        <w:tc>
          <w:tcPr>
            <w:tcW w:w="8528" w:type="dxa"/>
            <w:vAlign w:val="top"/>
            <w:gridSpan w:val="3"/>
          </w:tcPr>
          <w:p>
            <w:pPr>
              <w:pStyle w:val="TableText"/>
              <w:ind w:left="5" w:right="1968" w:firstLine="7"/>
              <w:spacing w:before="33" w:line="235" w:lineRule="auto"/>
              <w:rPr/>
            </w:pPr>
            <w:r>
              <w:rPr>
                <w:rFonts w:ascii="Times New Roman" w:hAnsi="Times New Roman" w:eastAsia="Times New Roman" w:cs="Times New Roman"/>
                <w:spacing w:val="4"/>
              </w:rPr>
              <w:t>a</w:t>
            </w:r>
            <w:r>
              <w:rPr>
                <w:rFonts w:ascii="Times New Roman" w:hAnsi="Times New Roman" w:eastAsia="Times New Roman" w:cs="Times New Roman"/>
                <w:spacing w:val="19"/>
                <w:w w:val="101"/>
              </w:rPr>
              <w:t xml:space="preserve"> </w:t>
            </w:r>
            <w:r>
              <w:rPr>
                <w:spacing w:val="4"/>
              </w:rPr>
              <w:t>高温指工艺温度</w:t>
            </w:r>
            <w:r>
              <w:rPr>
                <w:rFonts w:ascii="Times New Roman" w:hAnsi="Times New Roman" w:eastAsia="Times New Roman" w:cs="Times New Roman"/>
                <w:spacing w:val="4"/>
              </w:rPr>
              <w:t>≥300℃</w:t>
            </w:r>
            <w:r>
              <w:rPr>
                <w:rFonts w:ascii="Times New Roman" w:hAnsi="Times New Roman" w:eastAsia="Times New Roman" w:cs="Times New Roman"/>
                <w:spacing w:val="-25"/>
              </w:rPr>
              <w:t xml:space="preserve"> </w:t>
            </w:r>
            <w:r>
              <w:rPr>
                <w:spacing w:val="4"/>
              </w:rPr>
              <w:t>,</w:t>
            </w:r>
            <w:r>
              <w:rPr>
                <w:spacing w:val="65"/>
              </w:rPr>
              <w:t xml:space="preserve"> </w:t>
            </w:r>
            <w:r>
              <w:rPr>
                <w:spacing w:val="4"/>
              </w:rPr>
              <w:t>高压指压力容器的设计压力（</w:t>
            </w:r>
            <w:r>
              <w:rPr>
                <w:rFonts w:ascii="Times New Roman" w:hAnsi="Times New Roman" w:eastAsia="Times New Roman" w:cs="Times New Roman"/>
                <w:spacing w:val="4"/>
              </w:rPr>
              <w:t>p</w:t>
            </w:r>
            <w:r>
              <w:rPr>
                <w:spacing w:val="4"/>
              </w:rPr>
              <w:t>）</w:t>
            </w:r>
            <w:r>
              <w:rPr>
                <w:rFonts w:ascii="Times New Roman" w:hAnsi="Times New Roman" w:eastAsia="Times New Roman" w:cs="Times New Roman"/>
                <w:spacing w:val="4"/>
              </w:rPr>
              <w:t>≥10.0</w:t>
            </w:r>
            <w:r>
              <w:rPr>
                <w:rFonts w:ascii="Times New Roman" w:hAnsi="Times New Roman" w:eastAsia="Times New Roman" w:cs="Times New Roman"/>
              </w:rPr>
              <w:t>MPa</w:t>
            </w:r>
            <w:r>
              <w:rPr>
                <w:spacing w:val="4"/>
              </w:rPr>
              <w:t>；</w:t>
            </w:r>
            <w:r>
              <w:rPr/>
              <w:t xml:space="preserve"> </w:t>
            </w:r>
            <w:r>
              <w:rPr>
                <w:rFonts w:ascii="Times New Roman" w:hAnsi="Times New Roman" w:eastAsia="Times New Roman" w:cs="Times New Roman"/>
                <w:spacing w:val="9"/>
              </w:rPr>
              <w:t>b </w:t>
            </w:r>
            <w:r>
              <w:rPr>
                <w:spacing w:val="9"/>
              </w:rPr>
              <w:t>长输管道运输项目应按站场、管线分段进行评</w:t>
            </w:r>
            <w:r>
              <w:rPr>
                <w:spacing w:val="8"/>
              </w:rPr>
              <w:t>价。</w:t>
            </w:r>
          </w:p>
        </w:tc>
      </w:tr>
    </w:tbl>
    <w:p>
      <w:pPr>
        <w:ind w:left="538"/>
        <w:spacing w:before="195" w:line="219" w:lineRule="auto"/>
        <w:rPr>
          <w:rFonts w:ascii="SimSun" w:hAnsi="SimSun" w:eastAsia="SimSun" w:cs="SimSun"/>
          <w:sz w:val="24"/>
          <w:szCs w:val="24"/>
        </w:rPr>
      </w:pPr>
      <w:r>
        <w:rPr>
          <w:rFonts w:ascii="SimSun" w:hAnsi="SimSun" w:eastAsia="SimSun" w:cs="SimSun"/>
          <w:sz w:val="24"/>
          <w:szCs w:val="24"/>
          <w:spacing w:val="-1"/>
        </w:rPr>
        <w:t>本项目行业类别为其他，项目涉及危险物质使用、贮存，</w:t>
      </w:r>
      <w:r>
        <w:rPr>
          <w:rFonts w:ascii="Times New Roman" w:hAnsi="Times New Roman" w:eastAsia="Times New Roman" w:cs="Times New Roman"/>
          <w:sz w:val="24"/>
          <w:szCs w:val="24"/>
          <w:spacing w:val="-1"/>
        </w:rPr>
        <w:t>M </w:t>
      </w:r>
      <w:r>
        <w:rPr>
          <w:rFonts w:ascii="SimSun" w:hAnsi="SimSun" w:eastAsia="SimSun" w:cs="SimSun"/>
          <w:sz w:val="24"/>
          <w:szCs w:val="24"/>
          <w:spacing w:val="-1"/>
        </w:rPr>
        <w:t>值为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5</w:t>
      </w:r>
      <w:r>
        <w:rPr>
          <w:rFonts w:ascii="SimSun" w:hAnsi="SimSun" w:eastAsia="SimSun" w:cs="SimSun"/>
          <w:sz w:val="24"/>
          <w:szCs w:val="24"/>
          <w:spacing w:val="-1"/>
        </w:rPr>
        <w:t>。</w:t>
      </w:r>
    </w:p>
    <w:p>
      <w:pPr>
        <w:ind w:left="2651"/>
        <w:spacing w:before="214" w:line="219" w:lineRule="auto"/>
        <w:rPr>
          <w:rFonts w:ascii="SimSun" w:hAnsi="SimSun" w:eastAsia="SimSun" w:cs="SimSun"/>
          <w:sz w:val="24"/>
          <w:szCs w:val="24"/>
        </w:rPr>
      </w:pPr>
      <w:r>
        <w:rPr>
          <w:rFonts w:ascii="SimSun" w:hAnsi="SimSun" w:eastAsia="SimSun" w:cs="SimSun"/>
          <w:sz w:val="24"/>
          <w:szCs w:val="24"/>
          <w:b/>
          <w:bCs/>
          <w:spacing w:val="1"/>
        </w:rPr>
        <w:t>表</w:t>
      </w:r>
      <w:r>
        <w:rPr>
          <w:rFonts w:ascii="SimSun" w:hAnsi="SimSun" w:eastAsia="SimSun" w:cs="SimSun"/>
          <w:sz w:val="24"/>
          <w:szCs w:val="24"/>
          <w:spacing w:val="-48"/>
        </w:rPr>
        <w:t xml:space="preserve"> </w:t>
      </w:r>
      <w:r>
        <w:rPr>
          <w:rFonts w:ascii="Times New Roman" w:hAnsi="Times New Roman" w:eastAsia="Times New Roman" w:cs="Times New Roman"/>
          <w:sz w:val="24"/>
          <w:szCs w:val="24"/>
          <w:b/>
          <w:bCs/>
          <w:spacing w:val="1"/>
        </w:rPr>
        <w:t>6.2-4        </w:t>
      </w:r>
      <w:r>
        <w:rPr>
          <w:rFonts w:ascii="SimSun" w:hAnsi="SimSun" w:eastAsia="SimSun" w:cs="SimSun"/>
          <w:sz w:val="24"/>
          <w:szCs w:val="24"/>
          <w:b/>
          <w:bCs/>
          <w:spacing w:val="1"/>
        </w:rPr>
        <w:t>本项目</w:t>
      </w:r>
      <w:r>
        <w:rPr>
          <w:rFonts w:ascii="Times New Roman" w:hAnsi="Times New Roman" w:eastAsia="Times New Roman" w:cs="Times New Roman"/>
          <w:sz w:val="24"/>
          <w:szCs w:val="24"/>
          <w:b/>
          <w:bCs/>
          <w:spacing w:val="1"/>
        </w:rPr>
        <w:t>M </w:t>
      </w:r>
      <w:r>
        <w:rPr>
          <w:rFonts w:ascii="SimSun" w:hAnsi="SimSun" w:eastAsia="SimSun" w:cs="SimSun"/>
          <w:sz w:val="24"/>
          <w:szCs w:val="24"/>
          <w:b/>
          <w:bCs/>
          <w:spacing w:val="1"/>
        </w:rPr>
        <w:t>值确定表</w:t>
      </w:r>
    </w:p>
    <w:p>
      <w:pPr>
        <w:spacing w:line="21" w:lineRule="exact"/>
        <w:rPr/>
      </w:pPr>
      <w:r/>
    </w:p>
    <w:tbl>
      <w:tblPr>
        <w:tblStyle w:val="TableNormal"/>
        <w:tblW w:w="8548" w:type="dxa"/>
        <w:tblInd w:w="4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77"/>
        <w:gridCol w:w="2948"/>
        <w:gridCol w:w="2706"/>
        <w:gridCol w:w="1200"/>
        <w:gridCol w:w="1017"/>
      </w:tblGrid>
      <w:tr>
        <w:trPr>
          <w:trHeight w:val="281" w:hRule="atLeast"/>
        </w:trPr>
        <w:tc>
          <w:tcPr>
            <w:tcW w:w="677" w:type="dxa"/>
            <w:vAlign w:val="top"/>
          </w:tcPr>
          <w:p>
            <w:pPr>
              <w:pStyle w:val="TableText"/>
              <w:ind w:left="132"/>
              <w:spacing w:before="35" w:line="217" w:lineRule="auto"/>
              <w:rPr/>
            </w:pPr>
            <w:r>
              <w:rPr>
                <w:spacing w:val="5"/>
              </w:rPr>
              <w:t>序号</w:t>
            </w:r>
          </w:p>
        </w:tc>
        <w:tc>
          <w:tcPr>
            <w:tcW w:w="2948" w:type="dxa"/>
            <w:vAlign w:val="top"/>
          </w:tcPr>
          <w:p>
            <w:pPr>
              <w:pStyle w:val="TableText"/>
              <w:ind w:left="850"/>
              <w:spacing w:before="35" w:line="217" w:lineRule="auto"/>
              <w:rPr/>
            </w:pPr>
            <w:r>
              <w:rPr>
                <w:spacing w:val="7"/>
              </w:rPr>
              <w:t>工艺单元名称</w:t>
            </w:r>
          </w:p>
        </w:tc>
        <w:tc>
          <w:tcPr>
            <w:tcW w:w="2706" w:type="dxa"/>
            <w:vAlign w:val="top"/>
          </w:tcPr>
          <w:p>
            <w:pPr>
              <w:pStyle w:val="TableText"/>
              <w:ind w:left="940"/>
              <w:spacing w:before="35" w:line="217" w:lineRule="auto"/>
              <w:rPr/>
            </w:pPr>
            <w:r>
              <w:rPr>
                <w:spacing w:val="6"/>
              </w:rPr>
              <w:t>生产工艺</w:t>
            </w:r>
          </w:p>
        </w:tc>
        <w:tc>
          <w:tcPr>
            <w:tcW w:w="1200" w:type="dxa"/>
            <w:vAlign w:val="top"/>
          </w:tcPr>
          <w:p>
            <w:pPr>
              <w:pStyle w:val="TableText"/>
              <w:ind w:left="264"/>
              <w:spacing w:before="35" w:line="217" w:lineRule="auto"/>
              <w:rPr/>
            </w:pPr>
            <w:r>
              <w:rPr>
                <w:spacing w:val="5"/>
              </w:rPr>
              <w:t>数量</w:t>
            </w:r>
            <w:r>
              <w:rPr>
                <w:rFonts w:ascii="Times New Roman" w:hAnsi="Times New Roman" w:eastAsia="Times New Roman" w:cs="Times New Roman"/>
                <w:spacing w:val="5"/>
              </w:rPr>
              <w:t>/</w:t>
            </w:r>
            <w:r>
              <w:rPr>
                <w:spacing w:val="5"/>
              </w:rPr>
              <w:t>套</w:t>
            </w:r>
          </w:p>
        </w:tc>
        <w:tc>
          <w:tcPr>
            <w:tcW w:w="1017" w:type="dxa"/>
            <w:vAlign w:val="top"/>
          </w:tcPr>
          <w:p>
            <w:pPr>
              <w:pStyle w:val="TableText"/>
              <w:ind w:left="179"/>
              <w:spacing w:before="35" w:line="217" w:lineRule="auto"/>
              <w:rPr/>
            </w:pPr>
            <w:r>
              <w:rPr>
                <w:rFonts w:ascii="Times New Roman" w:hAnsi="Times New Roman" w:eastAsia="Times New Roman" w:cs="Times New Roman"/>
                <w:spacing w:val="3"/>
              </w:rPr>
              <w:t>M</w:t>
            </w:r>
            <w:r>
              <w:rPr>
                <w:rFonts w:ascii="Times New Roman" w:hAnsi="Times New Roman" w:eastAsia="Times New Roman" w:cs="Times New Roman"/>
                <w:spacing w:val="16"/>
              </w:rPr>
              <w:t xml:space="preserve"> </w:t>
            </w:r>
            <w:r>
              <w:rPr>
                <w:spacing w:val="3"/>
              </w:rPr>
              <w:t>分值</w:t>
            </w:r>
          </w:p>
        </w:tc>
      </w:tr>
      <w:tr>
        <w:trPr>
          <w:trHeight w:val="275" w:hRule="atLeast"/>
        </w:trPr>
        <w:tc>
          <w:tcPr>
            <w:tcW w:w="677" w:type="dxa"/>
            <w:vAlign w:val="top"/>
          </w:tcPr>
          <w:p>
            <w:pPr>
              <w:ind w:left="308"/>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948" w:type="dxa"/>
            <w:vAlign w:val="top"/>
          </w:tcPr>
          <w:p>
            <w:pPr>
              <w:pStyle w:val="TableText"/>
              <w:ind w:left="9"/>
              <w:spacing w:before="33" w:line="214" w:lineRule="auto"/>
              <w:rPr/>
            </w:pPr>
            <w:r>
              <w:rPr>
                <w:spacing w:val="9"/>
              </w:rPr>
              <w:t>气柜、危废暂存间、沼气锅炉等</w:t>
            </w:r>
          </w:p>
        </w:tc>
        <w:tc>
          <w:tcPr>
            <w:tcW w:w="2706" w:type="dxa"/>
            <w:vAlign w:val="top"/>
          </w:tcPr>
          <w:p>
            <w:pPr>
              <w:pStyle w:val="TableText"/>
              <w:ind w:left="312"/>
              <w:spacing w:before="33" w:line="214" w:lineRule="auto"/>
              <w:rPr/>
            </w:pPr>
            <w:r>
              <w:rPr>
                <w:spacing w:val="8"/>
              </w:rPr>
              <w:t>危险物质的贮存、使用</w:t>
            </w:r>
          </w:p>
        </w:tc>
        <w:tc>
          <w:tcPr>
            <w:tcW w:w="1200" w:type="dxa"/>
            <w:vAlign w:val="top"/>
          </w:tcPr>
          <w:p>
            <w:pPr>
              <w:ind w:left="57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017" w:type="dxa"/>
            <w:vAlign w:val="top"/>
          </w:tcPr>
          <w:p>
            <w:pPr>
              <w:ind w:left="464"/>
              <w:spacing w:before="7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r>
      <w:tr>
        <w:trPr>
          <w:trHeight w:val="280" w:hRule="atLeast"/>
        </w:trPr>
        <w:tc>
          <w:tcPr>
            <w:tcW w:w="8548" w:type="dxa"/>
            <w:vAlign w:val="top"/>
            <w:gridSpan w:val="5"/>
          </w:tcPr>
          <w:p>
            <w:pPr>
              <w:pStyle w:val="TableText"/>
              <w:ind w:left="3597"/>
              <w:spacing w:line="270" w:lineRule="exact"/>
              <w:rPr>
                <w:rFonts w:ascii="Times New Roman" w:hAnsi="Times New Roman" w:eastAsia="Times New Roman" w:cs="Times New Roman"/>
              </w:rPr>
            </w:pPr>
            <w:r>
              <w:rPr>
                <w:spacing w:val="1"/>
                <w:position w:val="1"/>
              </w:rPr>
              <w:t>项目</w:t>
            </w:r>
            <w:r>
              <w:rPr>
                <w:spacing w:val="-34"/>
                <w:position w:val="1"/>
              </w:rPr>
              <w:t xml:space="preserve"> </w:t>
            </w:r>
            <w:r>
              <w:rPr>
                <w:rFonts w:ascii="Times New Roman" w:hAnsi="Times New Roman" w:eastAsia="Times New Roman" w:cs="Times New Roman"/>
                <w:spacing w:val="1"/>
                <w:position w:val="1"/>
              </w:rPr>
              <w:t>M </w:t>
            </w:r>
            <w:r>
              <w:rPr>
                <w:spacing w:val="1"/>
                <w:position w:val="1"/>
              </w:rPr>
              <w:t>值</w:t>
            </w:r>
            <w:r>
              <w:rPr>
                <w:rFonts w:ascii="Times New Roman" w:hAnsi="Times New Roman" w:eastAsia="Times New Roman" w:cs="Times New Roman"/>
                <w:spacing w:val="1"/>
                <w:position w:val="1"/>
              </w:rPr>
              <w:t>Σ=</w:t>
            </w:r>
            <w:r>
              <w:rPr>
                <w:rFonts w:ascii="Times New Roman" w:hAnsi="Times New Roman" w:eastAsia="Times New Roman" w:cs="Times New Roman"/>
                <w:spacing w:val="-23"/>
                <w:position w:val="1"/>
              </w:rPr>
              <w:t xml:space="preserve"> </w:t>
            </w:r>
            <w:r>
              <w:rPr>
                <w:rFonts w:ascii="Times New Roman" w:hAnsi="Times New Roman" w:eastAsia="Times New Roman" w:cs="Times New Roman"/>
                <w:spacing w:val="1"/>
                <w:position w:val="1"/>
              </w:rPr>
              <w:t>10</w:t>
            </w:r>
          </w:p>
        </w:tc>
      </w:tr>
    </w:tbl>
    <w:p>
      <w:pPr>
        <w:ind w:left="566"/>
        <w:spacing w:before="36" w:line="218" w:lineRule="auto"/>
        <w:rPr>
          <w:rFonts w:ascii="SimSun" w:hAnsi="SimSun" w:eastAsia="SimSun" w:cs="SimSun"/>
          <w:sz w:val="24"/>
          <w:szCs w:val="24"/>
        </w:rPr>
      </w:pPr>
      <w:r>
        <w:rPr>
          <w:rFonts w:ascii="SimSun" w:hAnsi="SimSun" w:eastAsia="SimSun" w:cs="SimSun"/>
          <w:sz w:val="24"/>
          <w:szCs w:val="24"/>
          <w:spacing w:val="-2"/>
        </w:rPr>
        <w:t>由表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6.2-4 </w:t>
      </w:r>
      <w:r>
        <w:rPr>
          <w:rFonts w:ascii="SimSun" w:hAnsi="SimSun" w:eastAsia="SimSun" w:cs="SimSun"/>
          <w:sz w:val="24"/>
          <w:szCs w:val="24"/>
          <w:spacing w:val="-2"/>
        </w:rPr>
        <w:t>可知，本项目行业及生产工艺评估为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M4</w:t>
      </w:r>
      <w:r>
        <w:rPr>
          <w:rFonts w:ascii="SimSun" w:hAnsi="SimSun" w:eastAsia="SimSun" w:cs="SimSun"/>
          <w:sz w:val="24"/>
          <w:szCs w:val="24"/>
          <w:spacing w:val="-2"/>
        </w:rPr>
        <w:t>。</w:t>
      </w:r>
    </w:p>
    <w:p>
      <w:pPr>
        <w:ind w:left="535"/>
        <w:spacing w:before="185" w:line="217" w:lineRule="auto"/>
        <w:rPr>
          <w:rFonts w:ascii="SimSun" w:hAnsi="SimSun" w:eastAsia="SimSun" w:cs="SimSun"/>
          <w:sz w:val="24"/>
          <w:szCs w:val="24"/>
        </w:rPr>
      </w:pPr>
      <w:r>
        <w:rPr>
          <w:rFonts w:ascii="SimSun" w:hAnsi="SimSun" w:eastAsia="SimSun" w:cs="SimSun"/>
          <w:sz w:val="24"/>
          <w:szCs w:val="24"/>
          <w:spacing w:val="-1"/>
        </w:rPr>
        <w:t>③危险物质及工艺系统危险性（</w:t>
      </w:r>
      <w:r>
        <w:rPr>
          <w:rFonts w:ascii="Times New Roman" w:hAnsi="Times New Roman" w:eastAsia="Times New Roman" w:cs="Times New Roman"/>
          <w:sz w:val="24"/>
          <w:szCs w:val="24"/>
          <w:spacing w:val="-1"/>
        </w:rPr>
        <w:t>P</w:t>
      </w:r>
      <w:r>
        <w:rPr>
          <w:rFonts w:ascii="SimSun" w:hAnsi="SimSun" w:eastAsia="SimSun" w:cs="SimSun"/>
          <w:sz w:val="24"/>
          <w:szCs w:val="24"/>
          <w:spacing w:val="-1"/>
        </w:rPr>
        <w:t>）分级</w:t>
      </w:r>
    </w:p>
    <w:p>
      <w:pPr>
        <w:ind w:left="57" w:right="47" w:firstLine="480"/>
        <w:spacing w:before="182" w:line="353" w:lineRule="auto"/>
        <w:rPr>
          <w:rFonts w:ascii="SimSun" w:hAnsi="SimSun" w:eastAsia="SimSun" w:cs="SimSun"/>
          <w:sz w:val="24"/>
          <w:szCs w:val="24"/>
        </w:rPr>
      </w:pPr>
      <w:r>
        <w:rPr>
          <w:rFonts w:ascii="SimSun" w:hAnsi="SimSun" w:eastAsia="SimSun" w:cs="SimSun"/>
          <w:sz w:val="24"/>
          <w:szCs w:val="24"/>
          <w:spacing w:val="-7"/>
        </w:rPr>
        <w:t>根据危险物质数量与临界量比值（</w:t>
      </w:r>
      <w:r>
        <w:rPr>
          <w:rFonts w:ascii="Times New Roman" w:hAnsi="Times New Roman" w:eastAsia="Times New Roman" w:cs="Times New Roman"/>
          <w:sz w:val="24"/>
          <w:szCs w:val="24"/>
          <w:spacing w:val="-7"/>
        </w:rPr>
        <w:t>Q</w:t>
      </w:r>
      <w:r>
        <w:rPr>
          <w:rFonts w:ascii="SimSun" w:hAnsi="SimSun" w:eastAsia="SimSun" w:cs="SimSun"/>
          <w:sz w:val="24"/>
          <w:szCs w:val="24"/>
          <w:spacing w:val="-7"/>
        </w:rPr>
        <w:t>）和行业及生产工艺（</w:t>
      </w:r>
      <w:r>
        <w:rPr>
          <w:rFonts w:ascii="Times New Roman" w:hAnsi="Times New Roman" w:eastAsia="Times New Roman" w:cs="Times New Roman"/>
          <w:sz w:val="24"/>
          <w:szCs w:val="24"/>
          <w:spacing w:val="-7"/>
        </w:rPr>
        <w:t>M</w:t>
      </w:r>
      <w:r>
        <w:rPr>
          <w:rFonts w:ascii="SimSun" w:hAnsi="SimSun" w:eastAsia="SimSun" w:cs="SimSun"/>
          <w:sz w:val="24"/>
          <w:szCs w:val="24"/>
          <w:spacing w:val="-61"/>
          <w:w w:val="97"/>
        </w:rPr>
        <w:t>），</w:t>
      </w:r>
      <w:r>
        <w:rPr>
          <w:rFonts w:ascii="SimSun" w:hAnsi="SimSun" w:eastAsia="SimSun" w:cs="SimSun"/>
          <w:sz w:val="24"/>
          <w:szCs w:val="24"/>
          <w:spacing w:val="-7"/>
        </w:rPr>
        <w:t>按照下表</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7"/>
        </w:rPr>
        <w:t>6.2-5</w:t>
      </w:r>
      <w:r>
        <w:rPr>
          <w:rFonts w:ascii="Times New Roman" w:hAnsi="Times New Roman" w:eastAsia="Times New Roman" w:cs="Times New Roman"/>
          <w:sz w:val="24"/>
          <w:szCs w:val="24"/>
        </w:rPr>
        <w:t xml:space="preserve"> </w:t>
      </w:r>
      <w:r>
        <w:rPr>
          <w:rFonts w:ascii="SimSun" w:hAnsi="SimSun" w:eastAsia="SimSun" w:cs="SimSun"/>
          <w:sz w:val="24"/>
          <w:szCs w:val="24"/>
          <w:spacing w:val="-2"/>
        </w:rPr>
        <w:t>确定危险物质及工艺系统危险性等级（</w:t>
      </w:r>
      <w:r>
        <w:rPr>
          <w:rFonts w:ascii="Times New Roman" w:hAnsi="Times New Roman" w:eastAsia="Times New Roman" w:cs="Times New Roman"/>
          <w:sz w:val="24"/>
          <w:szCs w:val="24"/>
          <w:spacing w:val="-2"/>
        </w:rPr>
        <w:t>P</w:t>
      </w:r>
      <w:r>
        <w:rPr>
          <w:rFonts w:ascii="SimSun" w:hAnsi="SimSun" w:eastAsia="SimSun" w:cs="SimSun"/>
          <w:sz w:val="24"/>
          <w:szCs w:val="24"/>
          <w:spacing w:val="5"/>
        </w:rPr>
        <w:t>），</w:t>
      </w:r>
      <w:r>
        <w:rPr>
          <w:rFonts w:ascii="SimSun" w:hAnsi="SimSun" w:eastAsia="SimSun" w:cs="SimSun"/>
          <w:sz w:val="24"/>
          <w:szCs w:val="24"/>
          <w:spacing w:val="-2"/>
        </w:rPr>
        <w:t>分别以</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P1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P2</w:t>
      </w:r>
      <w:r>
        <w:rPr>
          <w:rFonts w:ascii="SimSun" w:hAnsi="SimSun" w:eastAsia="SimSun" w:cs="SimSun"/>
          <w:sz w:val="24"/>
          <w:szCs w:val="24"/>
          <w:spacing w:val="-2"/>
        </w:rPr>
        <w:t>、</w:t>
      </w:r>
      <w:r>
        <w:rPr>
          <w:rFonts w:ascii="Times New Roman" w:hAnsi="Times New Roman" w:eastAsia="Times New Roman" w:cs="Times New Roman"/>
          <w:sz w:val="24"/>
          <w:szCs w:val="24"/>
          <w:spacing w:val="-2"/>
        </w:rPr>
        <w:t>P3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3"/>
        </w:rPr>
        <w:t>P4 </w:t>
      </w:r>
      <w:r>
        <w:rPr>
          <w:rFonts w:ascii="SimSun" w:hAnsi="SimSun" w:eastAsia="SimSun" w:cs="SimSun"/>
          <w:sz w:val="24"/>
          <w:szCs w:val="24"/>
          <w:spacing w:val="-3"/>
        </w:rPr>
        <w:t>所示。</w:t>
      </w:r>
    </w:p>
    <w:p>
      <w:pPr>
        <w:ind w:left="1307"/>
        <w:spacing w:before="17" w:line="220"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6"/>
        </w:rPr>
        <w:t xml:space="preserve"> </w:t>
      </w:r>
      <w:r>
        <w:rPr>
          <w:rFonts w:ascii="Times New Roman" w:hAnsi="Times New Roman" w:eastAsia="Times New Roman" w:cs="Times New Roman"/>
          <w:sz w:val="24"/>
          <w:szCs w:val="24"/>
          <w:b/>
          <w:bCs/>
          <w:spacing w:val="-2"/>
        </w:rPr>
        <w:t>6.2-5        </w:t>
      </w:r>
      <w:r>
        <w:rPr>
          <w:rFonts w:ascii="SimSun" w:hAnsi="SimSun" w:eastAsia="SimSun" w:cs="SimSun"/>
          <w:sz w:val="24"/>
          <w:szCs w:val="24"/>
          <w:b/>
          <w:bCs/>
          <w:spacing w:val="-2"/>
        </w:rPr>
        <w:t>危险物质及工艺系统危险性（</w:t>
      </w:r>
      <w:r>
        <w:rPr>
          <w:rFonts w:ascii="Times New Roman" w:hAnsi="Times New Roman" w:eastAsia="Times New Roman" w:cs="Times New Roman"/>
          <w:sz w:val="24"/>
          <w:szCs w:val="24"/>
          <w:b/>
          <w:bCs/>
          <w:spacing w:val="-2"/>
        </w:rPr>
        <w:t>P</w:t>
      </w:r>
      <w:r>
        <w:rPr>
          <w:rFonts w:ascii="SimSun" w:hAnsi="SimSun" w:eastAsia="SimSun" w:cs="SimSun"/>
          <w:sz w:val="24"/>
          <w:szCs w:val="24"/>
          <w:b/>
          <w:bCs/>
          <w:spacing w:val="-2"/>
        </w:rPr>
        <w:t>）分级一览表</w:t>
      </w:r>
    </w:p>
    <w:p>
      <w:pPr>
        <w:spacing w:line="220" w:lineRule="auto"/>
        <w:sectPr>
          <w:footerReference w:type="default" r:id="rId333"/>
          <w:pgSz w:w="11907" w:h="16840"/>
          <w:pgMar w:top="1567" w:right="1654" w:bottom="1921" w:left="1653" w:header="1221" w:footer="1247" w:gutter="0"/>
        </w:sectPr>
        <w:rPr>
          <w:rFonts w:ascii="SimSun" w:hAnsi="SimSun" w:eastAsia="SimSun" w:cs="SimSun"/>
          <w:sz w:val="24"/>
          <w:szCs w:val="24"/>
        </w:rPr>
      </w:pPr>
    </w:p>
    <w:p>
      <w:pPr>
        <w:spacing w:line="151" w:lineRule="exact"/>
        <w:rPr/>
      </w:pPr>
      <w:r>
        <w:pict>
          <v:shape id="_x0000_s1110" style="position:absolute;margin-left:85.05pt;margin-top:79.11pt;mso-position-vertical-relative:page;mso-position-horizontal-relative:page;width:425.25pt;height:0.75pt;z-index:252221440;" o:allowincell="f" fillcolor="#000000" filled="true" stroked="false" coordsize="8505,15" coordorigin="0,0" path="m,l8505,0l8505,14l0,14l0,0xe"/>
        </w:pict>
      </w:r>
      <w:r/>
    </w:p>
    <w:tbl>
      <w:tblPr>
        <w:tblStyle w:val="TableNormal"/>
        <w:tblW w:w="8519" w:type="dxa"/>
        <w:tblInd w:w="5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981"/>
        <w:gridCol w:w="1421"/>
        <w:gridCol w:w="1421"/>
        <w:gridCol w:w="1425"/>
        <w:gridCol w:w="1271"/>
      </w:tblGrid>
      <w:tr>
        <w:trPr>
          <w:trHeight w:val="280" w:hRule="atLeast"/>
        </w:trPr>
        <w:tc>
          <w:tcPr>
            <w:tcW w:w="2981" w:type="dxa"/>
            <w:vAlign w:val="top"/>
            <w:vMerge w:val="restart"/>
            <w:tcBorders>
              <w:bottom w:val="nil"/>
            </w:tcBorders>
          </w:tcPr>
          <w:p>
            <w:pPr>
              <w:pStyle w:val="TableText"/>
              <w:spacing w:before="161" w:line="221" w:lineRule="auto"/>
              <w:jc w:val="right"/>
              <w:rPr/>
            </w:pPr>
            <w:r>
              <w:rPr>
                <w:spacing w:val="1"/>
              </w:rPr>
              <w:t>危险物质数量与临界量比值（</w:t>
            </w:r>
            <w:r>
              <w:rPr>
                <w:rFonts w:ascii="Times New Roman" w:hAnsi="Times New Roman" w:eastAsia="Times New Roman" w:cs="Times New Roman"/>
                <w:spacing w:val="1"/>
              </w:rPr>
              <w:t>Q</w:t>
            </w:r>
            <w:r>
              <w:rPr>
                <w:spacing w:val="1"/>
              </w:rPr>
              <w:t>）</w:t>
            </w:r>
          </w:p>
        </w:tc>
        <w:tc>
          <w:tcPr>
            <w:tcW w:w="5538" w:type="dxa"/>
            <w:vAlign w:val="top"/>
            <w:gridSpan w:val="4"/>
          </w:tcPr>
          <w:p>
            <w:pPr>
              <w:pStyle w:val="TableText"/>
              <w:ind w:left="1737"/>
              <w:spacing w:before="37" w:line="215" w:lineRule="auto"/>
              <w:rPr/>
            </w:pPr>
            <w:r>
              <w:rPr>
                <w:spacing w:val="7"/>
              </w:rPr>
              <w:t>行业及生产工艺（</w:t>
            </w:r>
            <w:r>
              <w:rPr>
                <w:rFonts w:ascii="Times New Roman" w:hAnsi="Times New Roman" w:eastAsia="Times New Roman" w:cs="Times New Roman"/>
                <w:spacing w:val="7"/>
              </w:rPr>
              <w:t>M</w:t>
            </w:r>
            <w:r>
              <w:rPr>
                <w:spacing w:val="7"/>
              </w:rPr>
              <w:t>）</w:t>
            </w:r>
          </w:p>
        </w:tc>
      </w:tr>
      <w:tr>
        <w:trPr>
          <w:trHeight w:val="246" w:hRule="atLeast"/>
        </w:trPr>
        <w:tc>
          <w:tcPr>
            <w:tcW w:w="2981" w:type="dxa"/>
            <w:vAlign w:val="top"/>
            <w:vMerge w:val="continue"/>
            <w:tcBorders>
              <w:top w:val="nil"/>
            </w:tcBorders>
          </w:tcPr>
          <w:p>
            <w:pPr>
              <w:rPr>
                <w:rFonts w:ascii="Arial"/>
                <w:sz w:val="21"/>
              </w:rPr>
            </w:pPr>
            <w:r/>
          </w:p>
        </w:tc>
        <w:tc>
          <w:tcPr>
            <w:tcW w:w="1421" w:type="dxa"/>
            <w:vAlign w:val="top"/>
          </w:tcPr>
          <w:p>
            <w:pPr>
              <w:ind w:left="565"/>
              <w:spacing w:before="53"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M1</w:t>
            </w:r>
          </w:p>
        </w:tc>
        <w:tc>
          <w:tcPr>
            <w:tcW w:w="1421" w:type="dxa"/>
            <w:vAlign w:val="top"/>
          </w:tcPr>
          <w:p>
            <w:pPr>
              <w:ind w:left="565"/>
              <w:spacing w:before="53"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M2</w:t>
            </w:r>
          </w:p>
        </w:tc>
        <w:tc>
          <w:tcPr>
            <w:tcW w:w="1425" w:type="dxa"/>
            <w:vAlign w:val="top"/>
          </w:tcPr>
          <w:p>
            <w:pPr>
              <w:ind w:left="569"/>
              <w:spacing w:before="53"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M3</w:t>
            </w:r>
          </w:p>
        </w:tc>
        <w:tc>
          <w:tcPr>
            <w:tcW w:w="1271" w:type="dxa"/>
            <w:vAlign w:val="top"/>
          </w:tcPr>
          <w:p>
            <w:pPr>
              <w:ind w:left="491"/>
              <w:spacing w:before="53"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M4</w:t>
            </w:r>
          </w:p>
        </w:tc>
      </w:tr>
      <w:tr>
        <w:trPr>
          <w:trHeight w:val="245" w:hRule="atLeast"/>
        </w:trPr>
        <w:tc>
          <w:tcPr>
            <w:tcW w:w="2981" w:type="dxa"/>
            <w:vAlign w:val="top"/>
          </w:tcPr>
          <w:p>
            <w:pPr>
              <w:ind w:left="1205"/>
              <w:spacing w:before="54"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Q≥100</w:t>
            </w:r>
          </w:p>
        </w:tc>
        <w:tc>
          <w:tcPr>
            <w:tcW w:w="1421" w:type="dxa"/>
            <w:vAlign w:val="top"/>
          </w:tcPr>
          <w:p>
            <w:pPr>
              <w:ind w:left="599"/>
              <w:spacing w:before="54"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P1</w:t>
            </w:r>
          </w:p>
        </w:tc>
        <w:tc>
          <w:tcPr>
            <w:tcW w:w="1421" w:type="dxa"/>
            <w:vAlign w:val="top"/>
          </w:tcPr>
          <w:p>
            <w:pPr>
              <w:ind w:left="601"/>
              <w:spacing w:before="54"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P1</w:t>
            </w:r>
          </w:p>
        </w:tc>
        <w:tc>
          <w:tcPr>
            <w:tcW w:w="1425" w:type="dxa"/>
            <w:vAlign w:val="top"/>
          </w:tcPr>
          <w:p>
            <w:pPr>
              <w:ind w:left="603"/>
              <w:spacing w:before="54"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P2</w:t>
            </w:r>
          </w:p>
        </w:tc>
        <w:tc>
          <w:tcPr>
            <w:tcW w:w="1271" w:type="dxa"/>
            <w:vAlign w:val="top"/>
          </w:tcPr>
          <w:p>
            <w:pPr>
              <w:ind w:left="524"/>
              <w:spacing w:before="54"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P3</w:t>
            </w:r>
          </w:p>
        </w:tc>
      </w:tr>
      <w:tr>
        <w:trPr>
          <w:trHeight w:val="246" w:hRule="atLeast"/>
        </w:trPr>
        <w:tc>
          <w:tcPr>
            <w:tcW w:w="2981" w:type="dxa"/>
            <w:vAlign w:val="top"/>
          </w:tcPr>
          <w:p>
            <w:pPr>
              <w:ind w:left="1057"/>
              <w:spacing w:before="56" w:line="18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10≤Q&lt;100</w:t>
            </w:r>
          </w:p>
        </w:tc>
        <w:tc>
          <w:tcPr>
            <w:tcW w:w="1421" w:type="dxa"/>
            <w:vAlign w:val="top"/>
          </w:tcPr>
          <w:p>
            <w:pPr>
              <w:ind w:left="599"/>
              <w:spacing w:before="56" w:line="18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P1</w:t>
            </w:r>
          </w:p>
        </w:tc>
        <w:tc>
          <w:tcPr>
            <w:tcW w:w="1421" w:type="dxa"/>
            <w:vAlign w:val="top"/>
          </w:tcPr>
          <w:p>
            <w:pPr>
              <w:ind w:left="601"/>
              <w:spacing w:before="56" w:line="18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P2</w:t>
            </w:r>
          </w:p>
        </w:tc>
        <w:tc>
          <w:tcPr>
            <w:tcW w:w="1425" w:type="dxa"/>
            <w:vAlign w:val="top"/>
          </w:tcPr>
          <w:p>
            <w:pPr>
              <w:ind w:left="603"/>
              <w:spacing w:before="56" w:line="18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P3</w:t>
            </w:r>
          </w:p>
        </w:tc>
        <w:tc>
          <w:tcPr>
            <w:tcW w:w="1271" w:type="dxa"/>
            <w:vAlign w:val="top"/>
          </w:tcPr>
          <w:p>
            <w:pPr>
              <w:ind w:left="524"/>
              <w:spacing w:before="56" w:line="18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P4</w:t>
            </w:r>
          </w:p>
        </w:tc>
      </w:tr>
      <w:tr>
        <w:trPr>
          <w:trHeight w:val="250" w:hRule="atLeast"/>
        </w:trPr>
        <w:tc>
          <w:tcPr>
            <w:tcW w:w="2981" w:type="dxa"/>
            <w:vAlign w:val="top"/>
          </w:tcPr>
          <w:p>
            <w:pPr>
              <w:ind w:left="1162"/>
              <w:spacing w:before="56"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1≤Q&lt;10</w:t>
            </w:r>
          </w:p>
        </w:tc>
        <w:tc>
          <w:tcPr>
            <w:tcW w:w="1421" w:type="dxa"/>
            <w:vAlign w:val="top"/>
          </w:tcPr>
          <w:p>
            <w:pPr>
              <w:ind w:left="599"/>
              <w:spacing w:before="56"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P2</w:t>
            </w:r>
          </w:p>
        </w:tc>
        <w:tc>
          <w:tcPr>
            <w:tcW w:w="1421" w:type="dxa"/>
            <w:vAlign w:val="top"/>
          </w:tcPr>
          <w:p>
            <w:pPr>
              <w:ind w:left="601"/>
              <w:spacing w:before="56"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P3</w:t>
            </w:r>
          </w:p>
        </w:tc>
        <w:tc>
          <w:tcPr>
            <w:tcW w:w="1425" w:type="dxa"/>
            <w:vAlign w:val="top"/>
          </w:tcPr>
          <w:p>
            <w:pPr>
              <w:ind w:left="603"/>
              <w:spacing w:before="56"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P4</w:t>
            </w:r>
          </w:p>
        </w:tc>
        <w:tc>
          <w:tcPr>
            <w:tcW w:w="1271" w:type="dxa"/>
            <w:vAlign w:val="top"/>
          </w:tcPr>
          <w:p>
            <w:pPr>
              <w:ind w:firstLine="521"/>
              <w:spacing w:before="4" w:line="236" w:lineRule="exact"/>
              <w:rPr/>
            </w:pPr>
            <w:r>
              <w:rPr>
                <w:position w:val="-5"/>
              </w:rPr>
              <w:pict>
                <v:shape id="_x0000_s1112" style="mso-position-vertical-relative:line;mso-position-horizontal-relative:char;width:11.05pt;height:12.05pt;" fillcolor="#D9D9D9" filled="true" stroked="false" type="#_x0000_t202">
                  <v:fill on="true"/>
                  <v:stroke on="false"/>
                  <v:path/>
                  <v:imagedata o:title=""/>
                  <o:lock v:ext="edit" aspectratio="false"/>
                  <v:textbox inset="0mm,0mm,0mm,0mm">
                    <w:txbxContent>
                      <w:p>
                        <w:pPr>
                          <w:ind w:left="3"/>
                          <w:spacing w:before="5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P4</w:t>
                        </w:r>
                      </w:p>
                    </w:txbxContent>
                  </v:textbox>
                </v:shape>
              </w:pict>
            </w:r>
          </w:p>
        </w:tc>
      </w:tr>
    </w:tbl>
    <w:p>
      <w:pPr>
        <w:ind w:left="69" w:right="61" w:firstLine="481"/>
        <w:spacing w:before="34" w:line="354" w:lineRule="auto"/>
        <w:rPr>
          <w:rFonts w:ascii="SimSun" w:hAnsi="SimSun" w:eastAsia="SimSun" w:cs="SimSun"/>
          <w:sz w:val="24"/>
          <w:szCs w:val="24"/>
        </w:rPr>
      </w:pPr>
      <w:r>
        <w:rPr>
          <w:rFonts w:ascii="SimSun" w:hAnsi="SimSun" w:eastAsia="SimSun" w:cs="SimSun"/>
          <w:sz w:val="24"/>
          <w:szCs w:val="24"/>
          <w:spacing w:val="-3"/>
        </w:rPr>
        <w:t>本项目危险物质数量与临界量比值</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3"/>
        </w:rPr>
        <w:t>1≤Q</w:t>
      </w:r>
      <w:r>
        <w:rPr>
          <w:rFonts w:ascii="SimSun" w:hAnsi="SimSun" w:eastAsia="SimSun" w:cs="SimSun"/>
          <w:sz w:val="24"/>
          <w:szCs w:val="24"/>
          <w:spacing w:val="-3"/>
        </w:rPr>
        <w:t>＜</w:t>
      </w:r>
      <w:r>
        <w:rPr>
          <w:rFonts w:ascii="Times New Roman" w:hAnsi="Times New Roman" w:eastAsia="Times New Roman" w:cs="Times New Roman"/>
          <w:sz w:val="24"/>
          <w:szCs w:val="24"/>
          <w:spacing w:val="-3"/>
        </w:rPr>
        <w:t>10</w:t>
      </w:r>
      <w:r>
        <w:rPr>
          <w:rFonts w:ascii="SimSun" w:hAnsi="SimSun" w:eastAsia="SimSun" w:cs="SimSun"/>
          <w:sz w:val="24"/>
          <w:szCs w:val="24"/>
          <w:spacing w:val="-3"/>
        </w:rPr>
        <w:t>，行业及生产工艺评估为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M4</w:t>
      </w:r>
      <w:r>
        <w:rPr>
          <w:rFonts w:ascii="SimSun" w:hAnsi="SimSun" w:eastAsia="SimSun" w:cs="SimSun"/>
          <w:sz w:val="24"/>
          <w:szCs w:val="24"/>
          <w:spacing w:val="-3"/>
        </w:rPr>
        <w:t>，根</w:t>
      </w:r>
      <w:r>
        <w:rPr>
          <w:rFonts w:ascii="SimSun" w:hAnsi="SimSun" w:eastAsia="SimSun" w:cs="SimSun"/>
          <w:sz w:val="24"/>
          <w:szCs w:val="24"/>
        </w:rPr>
        <w:t xml:space="preserve"> </w:t>
      </w:r>
      <w:r>
        <w:rPr>
          <w:rFonts w:ascii="SimSun" w:hAnsi="SimSun" w:eastAsia="SimSun" w:cs="SimSun"/>
          <w:sz w:val="24"/>
          <w:szCs w:val="24"/>
          <w:spacing w:val="-2"/>
        </w:rPr>
        <w:t>据表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6.2-5</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，本项目危险物质及工艺系统危险性为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P</w:t>
      </w:r>
      <w:r>
        <w:rPr>
          <w:rFonts w:ascii="Times New Roman" w:hAnsi="Times New Roman" w:eastAsia="Times New Roman" w:cs="Times New Roman"/>
          <w:sz w:val="24"/>
          <w:szCs w:val="24"/>
          <w:spacing w:val="-3"/>
        </w:rPr>
        <w:t>4</w:t>
      </w:r>
      <w:r>
        <w:rPr>
          <w:rFonts w:ascii="SimSun" w:hAnsi="SimSun" w:eastAsia="SimSun" w:cs="SimSun"/>
          <w:sz w:val="24"/>
          <w:szCs w:val="24"/>
          <w:spacing w:val="-3"/>
        </w:rPr>
        <w:t>。</w:t>
      </w:r>
    </w:p>
    <w:p>
      <w:pPr>
        <w:ind w:left="562"/>
        <w:spacing w:before="15" w:line="220" w:lineRule="auto"/>
        <w:rPr>
          <w:rFonts w:ascii="SimSun" w:hAnsi="SimSun" w:eastAsia="SimSun" w:cs="SimSun"/>
          <w:sz w:val="24"/>
          <w:szCs w:val="24"/>
        </w:rPr>
      </w:pPr>
      <w:r>
        <w:rPr>
          <w:rFonts w:ascii="SimSun" w:hAnsi="SimSun" w:eastAsia="SimSun" w:cs="SimSun"/>
          <w:sz w:val="24"/>
          <w:szCs w:val="24"/>
          <w:spacing w:val="-6"/>
        </w:rPr>
        <w:t>（</w:t>
      </w:r>
      <w:r>
        <w:rPr>
          <w:rFonts w:ascii="Times New Roman" w:hAnsi="Times New Roman" w:eastAsia="Times New Roman" w:cs="Times New Roman"/>
          <w:sz w:val="24"/>
          <w:szCs w:val="24"/>
          <w:spacing w:val="-6"/>
        </w:rPr>
        <w:t>2</w:t>
      </w:r>
      <w:r>
        <w:rPr>
          <w:rFonts w:ascii="SimSun" w:hAnsi="SimSun" w:eastAsia="SimSun" w:cs="SimSun"/>
          <w:sz w:val="24"/>
          <w:szCs w:val="24"/>
          <w:spacing w:val="-6"/>
        </w:rPr>
        <w:t>）</w:t>
      </w:r>
      <w:r>
        <w:rPr>
          <w:rFonts w:ascii="Times New Roman" w:hAnsi="Times New Roman" w:eastAsia="Times New Roman" w:cs="Times New Roman"/>
          <w:sz w:val="24"/>
          <w:szCs w:val="24"/>
          <w:spacing w:val="-6"/>
        </w:rPr>
        <w:t>E</w:t>
      </w:r>
      <w:r>
        <w:rPr>
          <w:rFonts w:ascii="Times New Roman" w:hAnsi="Times New Roman" w:eastAsia="Times New Roman" w:cs="Times New Roman"/>
          <w:sz w:val="24"/>
          <w:szCs w:val="24"/>
          <w:spacing w:val="31"/>
          <w:w w:val="101"/>
        </w:rPr>
        <w:t xml:space="preserve"> </w:t>
      </w:r>
      <w:r>
        <w:rPr>
          <w:rFonts w:ascii="SimSun" w:hAnsi="SimSun" w:eastAsia="SimSun" w:cs="SimSun"/>
          <w:sz w:val="24"/>
          <w:szCs w:val="24"/>
          <w:spacing w:val="-6"/>
        </w:rPr>
        <w:t>的分级确定</w:t>
      </w:r>
    </w:p>
    <w:p>
      <w:pPr>
        <w:ind w:left="569"/>
        <w:spacing w:before="179" w:line="220" w:lineRule="auto"/>
        <w:rPr>
          <w:rFonts w:ascii="SimSun" w:hAnsi="SimSun" w:eastAsia="SimSun" w:cs="SimSun"/>
          <w:sz w:val="24"/>
          <w:szCs w:val="24"/>
        </w:rPr>
      </w:pPr>
      <w:r>
        <w:rPr>
          <w:rFonts w:ascii="Times New Roman" w:hAnsi="Times New Roman" w:eastAsia="Times New Roman" w:cs="Times New Roman"/>
          <w:sz w:val="24"/>
          <w:szCs w:val="24"/>
          <w:spacing w:val="-5"/>
        </w:rPr>
        <w:t>1</w:t>
      </w:r>
      <w:r>
        <w:rPr>
          <w:rFonts w:ascii="SimSun" w:hAnsi="SimSun" w:eastAsia="SimSun" w:cs="SimSun"/>
          <w:sz w:val="24"/>
          <w:szCs w:val="24"/>
          <w:spacing w:val="-5"/>
        </w:rPr>
        <w:t>）大气环境</w:t>
      </w:r>
    </w:p>
    <w:p>
      <w:pPr>
        <w:ind w:left="553"/>
        <w:spacing w:before="180" w:line="219" w:lineRule="auto"/>
        <w:rPr>
          <w:rFonts w:ascii="SimSun" w:hAnsi="SimSun" w:eastAsia="SimSun" w:cs="SimSun"/>
          <w:sz w:val="24"/>
          <w:szCs w:val="24"/>
        </w:rPr>
      </w:pPr>
      <w:r>
        <w:rPr>
          <w:rFonts w:ascii="SimSun" w:hAnsi="SimSun" w:eastAsia="SimSun" w:cs="SimSun"/>
          <w:sz w:val="24"/>
          <w:szCs w:val="24"/>
          <w:spacing w:val="-1"/>
        </w:rPr>
        <w:t>大气环境敏感程度（</w:t>
      </w:r>
      <w:r>
        <w:rPr>
          <w:rFonts w:ascii="Times New Roman" w:hAnsi="Times New Roman" w:eastAsia="Times New Roman" w:cs="Times New Roman"/>
          <w:sz w:val="24"/>
          <w:szCs w:val="24"/>
          <w:spacing w:val="-1"/>
        </w:rPr>
        <w:t>E</w:t>
      </w:r>
      <w:r>
        <w:rPr>
          <w:rFonts w:ascii="SimSun" w:hAnsi="SimSun" w:eastAsia="SimSun" w:cs="SimSun"/>
          <w:sz w:val="24"/>
          <w:szCs w:val="24"/>
          <w:spacing w:val="-1"/>
        </w:rPr>
        <w:t>）分级详见表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6.2</w:t>
      </w:r>
      <w:r>
        <w:rPr>
          <w:rFonts w:ascii="Times New Roman" w:hAnsi="Times New Roman" w:eastAsia="Times New Roman" w:cs="Times New Roman"/>
          <w:sz w:val="24"/>
          <w:szCs w:val="24"/>
          <w:spacing w:val="-2"/>
        </w:rPr>
        <w:t>-6</w:t>
      </w:r>
      <w:r>
        <w:rPr>
          <w:rFonts w:ascii="SimSun" w:hAnsi="SimSun" w:eastAsia="SimSun" w:cs="SimSun"/>
          <w:sz w:val="24"/>
          <w:szCs w:val="24"/>
          <w:spacing w:val="-2"/>
        </w:rPr>
        <w:t>。</w:t>
      </w:r>
    </w:p>
    <w:p>
      <w:pPr>
        <w:ind w:left="2476"/>
        <w:spacing w:before="183"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6.2-6        </w:t>
      </w:r>
      <w:r>
        <w:rPr>
          <w:rFonts w:ascii="SimSun" w:hAnsi="SimSun" w:eastAsia="SimSun" w:cs="SimSun"/>
          <w:sz w:val="24"/>
          <w:szCs w:val="24"/>
          <w:b/>
          <w:bCs/>
          <w:spacing w:val="-2"/>
        </w:rPr>
        <w:t>大气环境敏感程度分级</w:t>
      </w:r>
    </w:p>
    <w:tbl>
      <w:tblPr>
        <w:tblStyle w:val="TableNormal"/>
        <w:tblW w:w="8519" w:type="dxa"/>
        <w:tblInd w:w="5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55"/>
        <w:gridCol w:w="7364"/>
      </w:tblGrid>
      <w:tr>
        <w:trPr>
          <w:trHeight w:val="281" w:hRule="atLeast"/>
        </w:trPr>
        <w:tc>
          <w:tcPr>
            <w:tcW w:w="1155" w:type="dxa"/>
            <w:vAlign w:val="top"/>
          </w:tcPr>
          <w:p>
            <w:pPr>
              <w:pStyle w:val="TableText"/>
              <w:ind w:left="376"/>
              <w:spacing w:before="35" w:line="217" w:lineRule="auto"/>
              <w:rPr/>
            </w:pPr>
            <w:r>
              <w:rPr>
                <w:spacing w:val="3"/>
              </w:rPr>
              <w:t>分级</w:t>
            </w:r>
          </w:p>
        </w:tc>
        <w:tc>
          <w:tcPr>
            <w:tcW w:w="7364" w:type="dxa"/>
            <w:vAlign w:val="top"/>
          </w:tcPr>
          <w:p>
            <w:pPr>
              <w:pStyle w:val="TableText"/>
              <w:ind w:left="2953"/>
              <w:spacing w:before="35" w:line="217" w:lineRule="auto"/>
              <w:rPr/>
            </w:pPr>
            <w:r>
              <w:rPr>
                <w:spacing w:val="8"/>
              </w:rPr>
              <w:t>大气环境敏感性</w:t>
            </w:r>
          </w:p>
        </w:tc>
      </w:tr>
      <w:tr>
        <w:trPr>
          <w:trHeight w:val="821" w:hRule="atLeast"/>
        </w:trPr>
        <w:tc>
          <w:tcPr>
            <w:tcW w:w="1155" w:type="dxa"/>
            <w:vAlign w:val="top"/>
          </w:tcPr>
          <w:p>
            <w:pPr>
              <w:spacing w:line="277" w:lineRule="auto"/>
              <w:rPr>
                <w:rFonts w:ascii="Arial"/>
                <w:sz w:val="21"/>
              </w:rPr>
            </w:pPr>
            <w:r/>
          </w:p>
          <w:p>
            <w:pPr>
              <w:ind w:left="484"/>
              <w:spacing w:before="5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El</w:t>
            </w:r>
          </w:p>
        </w:tc>
        <w:tc>
          <w:tcPr>
            <w:tcW w:w="7364" w:type="dxa"/>
            <w:vAlign w:val="top"/>
          </w:tcPr>
          <w:p>
            <w:pPr>
              <w:pStyle w:val="TableText"/>
              <w:ind w:left="9" w:hanging="1"/>
              <w:spacing w:before="34" w:line="239" w:lineRule="auto"/>
              <w:jc w:val="both"/>
              <w:rPr/>
            </w:pPr>
            <w:r>
              <w:rPr>
                <w:spacing w:val="6"/>
              </w:rPr>
              <w:t>周边</w:t>
            </w:r>
            <w:r>
              <w:rPr>
                <w:spacing w:val="-29"/>
              </w:rPr>
              <w:t xml:space="preserve"> </w:t>
            </w:r>
            <w:r>
              <w:rPr>
                <w:rFonts w:ascii="Times New Roman" w:hAnsi="Times New Roman" w:eastAsia="Times New Roman" w:cs="Times New Roman"/>
                <w:spacing w:val="6"/>
              </w:rPr>
              <w:t>5</w:t>
            </w:r>
            <w:r>
              <w:rPr>
                <w:rFonts w:ascii="Times New Roman" w:hAnsi="Times New Roman" w:eastAsia="Times New Roman" w:cs="Times New Roman"/>
              </w:rPr>
              <w:t>km</w:t>
            </w:r>
            <w:r>
              <w:rPr>
                <w:rFonts w:ascii="Times New Roman" w:hAnsi="Times New Roman" w:eastAsia="Times New Roman" w:cs="Times New Roman"/>
                <w:spacing w:val="16"/>
                <w:w w:val="101"/>
              </w:rPr>
              <w:t xml:space="preserve"> </w:t>
            </w:r>
            <w:r>
              <w:rPr>
                <w:spacing w:val="6"/>
              </w:rPr>
              <w:t>范围内居住区、医疗卫生、文化教育、科研、行政办公等机构人口总数</w:t>
            </w:r>
            <w:r>
              <w:rPr/>
              <w:t xml:space="preserve"> </w:t>
            </w:r>
            <w:r>
              <w:rPr/>
              <w:t>大于</w:t>
            </w:r>
            <w:r>
              <w:rPr>
                <w:spacing w:val="-35"/>
              </w:rPr>
              <w:t xml:space="preserve"> </w:t>
            </w:r>
            <w:r>
              <w:rPr>
                <w:rFonts w:ascii="Times New Roman" w:hAnsi="Times New Roman" w:eastAsia="Times New Roman" w:cs="Times New Roman"/>
              </w:rPr>
              <w:t>5</w:t>
            </w:r>
            <w:r>
              <w:rPr>
                <w:rFonts w:ascii="Times New Roman" w:hAnsi="Times New Roman" w:eastAsia="Times New Roman" w:cs="Times New Roman"/>
                <w:spacing w:val="16"/>
                <w:w w:val="101"/>
              </w:rPr>
              <w:t xml:space="preserve"> </w:t>
            </w:r>
            <w:r>
              <w:rPr/>
              <w:t>万人，或其他需要特殊保护区域；或周边</w:t>
            </w:r>
            <w:r>
              <w:rPr>
                <w:spacing w:val="-38"/>
              </w:rPr>
              <w:t xml:space="preserve"> </w:t>
            </w:r>
            <w:r>
              <w:rPr>
                <w:rFonts w:ascii="Times New Roman" w:hAnsi="Times New Roman" w:eastAsia="Times New Roman" w:cs="Times New Roman"/>
              </w:rPr>
              <w:t>500m</w:t>
            </w:r>
            <w:r>
              <w:rPr>
                <w:rFonts w:ascii="Times New Roman" w:hAnsi="Times New Roman" w:eastAsia="Times New Roman" w:cs="Times New Roman"/>
                <w:spacing w:val="28"/>
              </w:rPr>
              <w:t xml:space="preserve"> </w:t>
            </w:r>
            <w:r>
              <w:rPr/>
              <w:t>围内人口总数</w:t>
            </w:r>
            <w:r>
              <w:rPr>
                <w:spacing w:val="-1"/>
              </w:rPr>
              <w:t>大于</w:t>
            </w:r>
            <w:r>
              <w:rPr>
                <w:spacing w:val="-21"/>
              </w:rPr>
              <w:t xml:space="preserve"> </w:t>
            </w:r>
            <w:r>
              <w:rPr>
                <w:rFonts w:ascii="Times New Roman" w:hAnsi="Times New Roman" w:eastAsia="Times New Roman" w:cs="Times New Roman"/>
                <w:spacing w:val="-1"/>
              </w:rPr>
              <w:t>1000 </w:t>
            </w:r>
            <w:r>
              <w:rPr>
                <w:spacing w:val="-1"/>
              </w:rPr>
              <w:t>人；</w:t>
            </w:r>
            <w:r>
              <w:rPr/>
              <w:t xml:space="preserve"> </w:t>
            </w:r>
            <w:r>
              <w:rPr>
                <w:spacing w:val="7"/>
              </w:rPr>
              <w:t>油气、化学品输送管线管段周边</w:t>
            </w:r>
            <w:r>
              <w:rPr>
                <w:spacing w:val="-40"/>
              </w:rPr>
              <w:t xml:space="preserve"> </w:t>
            </w:r>
            <w:r>
              <w:rPr>
                <w:rFonts w:ascii="Times New Roman" w:hAnsi="Times New Roman" w:eastAsia="Times New Roman" w:cs="Times New Roman"/>
                <w:spacing w:val="7"/>
              </w:rPr>
              <w:t>200m </w:t>
            </w:r>
            <w:r>
              <w:rPr>
                <w:spacing w:val="7"/>
              </w:rPr>
              <w:t>范围内，每千米管段人口数大于</w:t>
            </w:r>
            <w:r>
              <w:rPr>
                <w:spacing w:val="-41"/>
              </w:rPr>
              <w:t xml:space="preserve"> </w:t>
            </w:r>
            <w:r>
              <w:rPr>
                <w:rFonts w:ascii="Times New Roman" w:hAnsi="Times New Roman" w:eastAsia="Times New Roman" w:cs="Times New Roman"/>
                <w:spacing w:val="7"/>
              </w:rPr>
              <w:t>20</w:t>
            </w:r>
            <w:r>
              <w:rPr>
                <w:rFonts w:ascii="Times New Roman" w:hAnsi="Times New Roman" w:eastAsia="Times New Roman" w:cs="Times New Roman"/>
                <w:spacing w:val="6"/>
              </w:rPr>
              <w:t>0 </w:t>
            </w:r>
            <w:r>
              <w:rPr>
                <w:spacing w:val="6"/>
              </w:rPr>
              <w:t>人</w:t>
            </w:r>
          </w:p>
        </w:tc>
      </w:tr>
      <w:tr>
        <w:trPr>
          <w:trHeight w:val="1093" w:hRule="atLeast"/>
        </w:trPr>
        <w:tc>
          <w:tcPr>
            <w:tcW w:w="1155" w:type="dxa"/>
            <w:vAlign w:val="top"/>
          </w:tcPr>
          <w:p>
            <w:pPr>
              <w:spacing w:line="416" w:lineRule="auto"/>
              <w:rPr>
                <w:rFonts w:ascii="Arial"/>
                <w:sz w:val="21"/>
              </w:rPr>
            </w:pPr>
            <w:r/>
          </w:p>
          <w:p>
            <w:pPr>
              <w:ind w:left="46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E2</w:t>
            </w:r>
          </w:p>
        </w:tc>
        <w:tc>
          <w:tcPr>
            <w:tcW w:w="7364" w:type="dxa"/>
            <w:vAlign w:val="top"/>
          </w:tcPr>
          <w:p>
            <w:pPr>
              <w:pStyle w:val="TableText"/>
              <w:ind w:left="8" w:right="4"/>
              <w:spacing w:before="34" w:line="242" w:lineRule="auto"/>
              <w:rPr/>
            </w:pPr>
            <w:r>
              <w:rPr>
                <w:spacing w:val="7"/>
              </w:rPr>
              <w:t>周边</w:t>
            </w:r>
            <w:r>
              <w:rPr>
                <w:spacing w:val="-17"/>
              </w:rPr>
              <w:t xml:space="preserve"> </w:t>
            </w:r>
            <w:r>
              <w:rPr>
                <w:rFonts w:ascii="Times New Roman" w:hAnsi="Times New Roman" w:eastAsia="Times New Roman" w:cs="Times New Roman"/>
                <w:spacing w:val="7"/>
              </w:rPr>
              <w:t>5</w:t>
            </w:r>
            <w:r>
              <w:rPr>
                <w:rFonts w:ascii="Times New Roman" w:hAnsi="Times New Roman" w:eastAsia="Times New Roman" w:cs="Times New Roman"/>
              </w:rPr>
              <w:t>km</w:t>
            </w:r>
            <w:r>
              <w:rPr>
                <w:rFonts w:ascii="Times New Roman" w:hAnsi="Times New Roman" w:eastAsia="Times New Roman" w:cs="Times New Roman"/>
                <w:spacing w:val="17"/>
              </w:rPr>
              <w:t xml:space="preserve"> </w:t>
            </w:r>
            <w:r>
              <w:rPr>
                <w:spacing w:val="7"/>
              </w:rPr>
              <w:t>范围内居住区、医疗卫生、文化教育、科研、行政办公等机构人口总数</w:t>
            </w:r>
            <w:r>
              <w:rPr/>
              <w:t xml:space="preserve"> </w:t>
            </w:r>
            <w:r>
              <w:rPr>
                <w:spacing w:val="5"/>
              </w:rPr>
              <w:t>大于</w:t>
            </w:r>
            <w:r>
              <w:rPr>
                <w:spacing w:val="-20"/>
              </w:rPr>
              <w:t xml:space="preserve"> </w:t>
            </w:r>
            <w:r>
              <w:rPr>
                <w:rFonts w:ascii="Times New Roman" w:hAnsi="Times New Roman" w:eastAsia="Times New Roman" w:cs="Times New Roman"/>
                <w:spacing w:val="5"/>
              </w:rPr>
              <w:t>1</w:t>
            </w:r>
            <w:r>
              <w:rPr>
                <w:rFonts w:ascii="Times New Roman" w:hAnsi="Times New Roman" w:eastAsia="Times New Roman" w:cs="Times New Roman"/>
                <w:spacing w:val="17"/>
              </w:rPr>
              <w:t xml:space="preserve"> </w:t>
            </w:r>
            <w:r>
              <w:rPr>
                <w:spacing w:val="5"/>
              </w:rPr>
              <w:t>万人，小于</w:t>
            </w:r>
            <w:r>
              <w:rPr>
                <w:spacing w:val="-35"/>
              </w:rPr>
              <w:t xml:space="preserve"> </w:t>
            </w:r>
            <w:r>
              <w:rPr>
                <w:rFonts w:ascii="Times New Roman" w:hAnsi="Times New Roman" w:eastAsia="Times New Roman" w:cs="Times New Roman"/>
                <w:spacing w:val="5"/>
              </w:rPr>
              <w:t>5</w:t>
            </w:r>
            <w:r>
              <w:rPr>
                <w:rFonts w:ascii="Times New Roman" w:hAnsi="Times New Roman" w:eastAsia="Times New Roman" w:cs="Times New Roman"/>
                <w:spacing w:val="14"/>
                <w:w w:val="101"/>
              </w:rPr>
              <w:t xml:space="preserve"> </w:t>
            </w:r>
            <w:r>
              <w:rPr>
                <w:spacing w:val="5"/>
              </w:rPr>
              <w:t>万人，或周边</w:t>
            </w:r>
            <w:r>
              <w:rPr>
                <w:spacing w:val="-35"/>
              </w:rPr>
              <w:t xml:space="preserve"> </w:t>
            </w:r>
            <w:r>
              <w:rPr>
                <w:rFonts w:ascii="Times New Roman" w:hAnsi="Times New Roman" w:eastAsia="Times New Roman" w:cs="Times New Roman"/>
                <w:spacing w:val="5"/>
              </w:rPr>
              <w:t>500m</w:t>
            </w:r>
            <w:r>
              <w:rPr>
                <w:rFonts w:ascii="Times New Roman" w:hAnsi="Times New Roman" w:eastAsia="Times New Roman" w:cs="Times New Roman"/>
                <w:spacing w:val="14"/>
                <w:w w:val="101"/>
              </w:rPr>
              <w:t xml:space="preserve"> </w:t>
            </w:r>
            <w:r>
              <w:rPr>
                <w:spacing w:val="5"/>
              </w:rPr>
              <w:t>范围内人口总数大于</w:t>
            </w:r>
            <w:r>
              <w:rPr>
                <w:spacing w:val="-37"/>
              </w:rPr>
              <w:t xml:space="preserve"> </w:t>
            </w:r>
            <w:r>
              <w:rPr>
                <w:rFonts w:ascii="Times New Roman" w:hAnsi="Times New Roman" w:eastAsia="Times New Roman" w:cs="Times New Roman"/>
                <w:spacing w:val="5"/>
              </w:rPr>
              <w:t>50</w:t>
            </w:r>
            <w:r>
              <w:rPr>
                <w:rFonts w:ascii="Times New Roman" w:hAnsi="Times New Roman" w:eastAsia="Times New Roman" w:cs="Times New Roman"/>
                <w:spacing w:val="4"/>
              </w:rPr>
              <w:t>0 </w:t>
            </w:r>
            <w:r>
              <w:rPr>
                <w:spacing w:val="4"/>
              </w:rPr>
              <w:t>人，小于</w:t>
            </w:r>
            <w:r>
              <w:rPr>
                <w:spacing w:val="-21"/>
              </w:rPr>
              <w:t xml:space="preserve"> </w:t>
            </w:r>
            <w:r>
              <w:rPr>
                <w:rFonts w:ascii="Times New Roman" w:hAnsi="Times New Roman" w:eastAsia="Times New Roman" w:cs="Times New Roman"/>
                <w:spacing w:val="4"/>
              </w:rPr>
              <w:t>1000</w:t>
            </w:r>
            <w:r>
              <w:rPr>
                <w:rFonts w:ascii="Times New Roman" w:hAnsi="Times New Roman" w:eastAsia="Times New Roman" w:cs="Times New Roman"/>
              </w:rPr>
              <w:t xml:space="preserve"> </w:t>
            </w:r>
            <w:r>
              <w:rPr>
                <w:spacing w:val="8"/>
              </w:rPr>
              <w:t>人；油气、化学品输送管线管段周边</w:t>
            </w:r>
            <w:r>
              <w:rPr>
                <w:spacing w:val="-40"/>
              </w:rPr>
              <w:t xml:space="preserve"> </w:t>
            </w:r>
            <w:r>
              <w:rPr>
                <w:rFonts w:ascii="Times New Roman" w:hAnsi="Times New Roman" w:eastAsia="Times New Roman" w:cs="Times New Roman"/>
                <w:spacing w:val="8"/>
              </w:rPr>
              <w:t>200m </w:t>
            </w:r>
            <w:r>
              <w:rPr>
                <w:spacing w:val="8"/>
              </w:rPr>
              <w:t>范围内，每千</w:t>
            </w:r>
            <w:r>
              <w:rPr>
                <w:spacing w:val="7"/>
              </w:rPr>
              <w:t>米管段人口数大于</w:t>
            </w:r>
            <w:r>
              <w:rPr>
                <w:spacing w:val="-21"/>
              </w:rPr>
              <w:t xml:space="preserve"> </w:t>
            </w:r>
            <w:r>
              <w:rPr>
                <w:rFonts w:ascii="Times New Roman" w:hAnsi="Times New Roman" w:eastAsia="Times New Roman" w:cs="Times New Roman"/>
                <w:spacing w:val="7"/>
              </w:rPr>
              <w:t>100</w:t>
            </w:r>
            <w:r>
              <w:rPr>
                <w:rFonts w:ascii="Times New Roman" w:hAnsi="Times New Roman" w:eastAsia="Times New Roman" w:cs="Times New Roman"/>
              </w:rPr>
              <w:t xml:space="preserve">   </w:t>
            </w:r>
            <w:r>
              <w:rPr>
                <w:spacing w:val="5"/>
              </w:rPr>
              <w:t>人，小于</w:t>
            </w:r>
            <w:r>
              <w:rPr>
                <w:spacing w:val="-36"/>
              </w:rPr>
              <w:t xml:space="preserve"> </w:t>
            </w:r>
            <w:r>
              <w:rPr>
                <w:rFonts w:ascii="Times New Roman" w:hAnsi="Times New Roman" w:eastAsia="Times New Roman" w:cs="Times New Roman"/>
                <w:spacing w:val="5"/>
              </w:rPr>
              <w:t>200 </w:t>
            </w:r>
            <w:r>
              <w:rPr>
                <w:spacing w:val="5"/>
              </w:rPr>
              <w:t>人</w:t>
            </w:r>
          </w:p>
        </w:tc>
      </w:tr>
      <w:tr>
        <w:trPr>
          <w:trHeight w:val="825" w:hRule="atLeast"/>
        </w:trPr>
        <w:tc>
          <w:tcPr>
            <w:tcW w:w="1155" w:type="dxa"/>
            <w:vAlign w:val="top"/>
          </w:tcPr>
          <w:p>
            <w:pPr>
              <w:spacing w:line="284" w:lineRule="auto"/>
              <w:rPr>
                <w:rFonts w:ascii="Arial"/>
                <w:sz w:val="21"/>
              </w:rPr>
            </w:pPr>
            <w:r/>
          </w:p>
          <w:p>
            <w:pPr>
              <w:ind w:left="463"/>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E3</w:t>
            </w:r>
          </w:p>
        </w:tc>
        <w:tc>
          <w:tcPr>
            <w:tcW w:w="7364" w:type="dxa"/>
            <w:vAlign w:val="top"/>
          </w:tcPr>
          <w:p>
            <w:pPr>
              <w:pStyle w:val="TableText"/>
              <w:ind w:left="8" w:right="7" w:hanging="1"/>
              <w:spacing w:before="35"/>
              <w:jc w:val="both"/>
              <w:rPr/>
            </w:pPr>
            <w:r>
              <w:rPr>
                <w:spacing w:val="7"/>
              </w:rPr>
              <w:t>边</w:t>
            </w:r>
            <w:r>
              <w:rPr>
                <w:spacing w:val="-20"/>
              </w:rPr>
              <w:t xml:space="preserve"> </w:t>
            </w:r>
            <w:r>
              <w:rPr>
                <w:rFonts w:ascii="Times New Roman" w:hAnsi="Times New Roman" w:eastAsia="Times New Roman" w:cs="Times New Roman"/>
                <w:spacing w:val="7"/>
              </w:rPr>
              <w:t>5</w:t>
            </w:r>
            <w:r>
              <w:rPr>
                <w:rFonts w:ascii="Times New Roman" w:hAnsi="Times New Roman" w:eastAsia="Times New Roman" w:cs="Times New Roman"/>
              </w:rPr>
              <w:t>km</w:t>
            </w:r>
            <w:r>
              <w:rPr>
                <w:rFonts w:ascii="Times New Roman" w:hAnsi="Times New Roman" w:eastAsia="Times New Roman" w:cs="Times New Roman"/>
                <w:spacing w:val="19"/>
              </w:rPr>
              <w:t xml:space="preserve"> </w:t>
            </w:r>
            <w:r>
              <w:rPr>
                <w:spacing w:val="7"/>
              </w:rPr>
              <w:t>范围内居住区、医疗卫生、文化教育、科研、行政办公等机构人口总数小</w:t>
            </w:r>
            <w:r>
              <w:rPr/>
              <w:t xml:space="preserve"> </w:t>
            </w:r>
            <w:r>
              <w:rPr>
                <w:spacing w:val="7"/>
              </w:rPr>
              <w:t>于</w:t>
            </w:r>
            <w:r>
              <w:rPr>
                <w:spacing w:val="-23"/>
              </w:rPr>
              <w:t xml:space="preserve"> </w:t>
            </w:r>
            <w:r>
              <w:rPr>
                <w:rFonts w:ascii="Times New Roman" w:hAnsi="Times New Roman" w:eastAsia="Times New Roman" w:cs="Times New Roman"/>
                <w:spacing w:val="7"/>
              </w:rPr>
              <w:t>1</w:t>
            </w:r>
            <w:r>
              <w:rPr>
                <w:rFonts w:ascii="Times New Roman" w:hAnsi="Times New Roman" w:eastAsia="Times New Roman" w:cs="Times New Roman"/>
                <w:spacing w:val="17"/>
                <w:w w:val="101"/>
              </w:rPr>
              <w:t xml:space="preserve"> </w:t>
            </w:r>
            <w:r>
              <w:rPr>
                <w:spacing w:val="7"/>
              </w:rPr>
              <w:t>万人：或周边</w:t>
            </w:r>
            <w:r>
              <w:rPr>
                <w:spacing w:val="-35"/>
              </w:rPr>
              <w:t xml:space="preserve"> </w:t>
            </w:r>
            <w:r>
              <w:rPr>
                <w:rFonts w:ascii="Times New Roman" w:hAnsi="Times New Roman" w:eastAsia="Times New Roman" w:cs="Times New Roman"/>
                <w:spacing w:val="7"/>
              </w:rPr>
              <w:t>500m </w:t>
            </w:r>
            <w:r>
              <w:rPr>
                <w:spacing w:val="7"/>
              </w:rPr>
              <w:t>范围内人口总数小于</w:t>
            </w:r>
            <w:r>
              <w:rPr>
                <w:spacing w:val="-37"/>
              </w:rPr>
              <w:t xml:space="preserve"> </w:t>
            </w:r>
            <w:r>
              <w:rPr>
                <w:rFonts w:ascii="Times New Roman" w:hAnsi="Times New Roman" w:eastAsia="Times New Roman" w:cs="Times New Roman"/>
                <w:spacing w:val="7"/>
              </w:rPr>
              <w:t>500 </w:t>
            </w:r>
            <w:r>
              <w:rPr>
                <w:spacing w:val="7"/>
              </w:rPr>
              <w:t>人，油气、</w:t>
            </w:r>
            <w:r>
              <w:rPr>
                <w:spacing w:val="6"/>
              </w:rPr>
              <w:t>化学品输送管线管</w:t>
            </w:r>
            <w:r>
              <w:rPr/>
              <w:t xml:space="preserve"> </w:t>
            </w:r>
            <w:r>
              <w:rPr>
                <w:spacing w:val="6"/>
              </w:rPr>
              <w:t>段周边</w:t>
            </w:r>
            <w:r>
              <w:rPr>
                <w:spacing w:val="-32"/>
              </w:rPr>
              <w:t xml:space="preserve"> </w:t>
            </w:r>
            <w:r>
              <w:rPr>
                <w:rFonts w:ascii="Times New Roman" w:hAnsi="Times New Roman" w:eastAsia="Times New Roman" w:cs="Times New Roman"/>
                <w:spacing w:val="6"/>
              </w:rPr>
              <w:t>200m</w:t>
            </w:r>
            <w:r>
              <w:rPr>
                <w:rFonts w:ascii="Times New Roman" w:hAnsi="Times New Roman" w:eastAsia="Times New Roman" w:cs="Times New Roman"/>
                <w:spacing w:val="17"/>
                <w:w w:val="101"/>
              </w:rPr>
              <w:t xml:space="preserve"> </w:t>
            </w:r>
            <w:r>
              <w:rPr>
                <w:spacing w:val="6"/>
              </w:rPr>
              <w:t>范围内，每千米管段人口数小于</w:t>
            </w:r>
            <w:r>
              <w:rPr>
                <w:spacing w:val="-23"/>
              </w:rPr>
              <w:t xml:space="preserve"> </w:t>
            </w:r>
            <w:r>
              <w:rPr>
                <w:rFonts w:ascii="Times New Roman" w:hAnsi="Times New Roman" w:eastAsia="Times New Roman" w:cs="Times New Roman"/>
                <w:spacing w:val="6"/>
              </w:rPr>
              <w:t>100 </w:t>
            </w:r>
            <w:r>
              <w:rPr>
                <w:spacing w:val="6"/>
              </w:rPr>
              <w:t>人</w:t>
            </w:r>
          </w:p>
        </w:tc>
      </w:tr>
    </w:tbl>
    <w:p>
      <w:pPr>
        <w:ind w:left="77" w:right="61" w:firstLine="477"/>
        <w:spacing w:before="35" w:line="359" w:lineRule="auto"/>
        <w:jc w:val="both"/>
        <w:rPr>
          <w:rFonts w:ascii="SimSun" w:hAnsi="SimSun" w:eastAsia="SimSun" w:cs="SimSun"/>
          <w:sz w:val="24"/>
          <w:szCs w:val="24"/>
        </w:rPr>
      </w:pPr>
      <w:r>
        <w:rPr>
          <w:rFonts w:ascii="SimSun" w:hAnsi="SimSun" w:eastAsia="SimSun" w:cs="SimSun"/>
          <w:sz w:val="24"/>
          <w:szCs w:val="24"/>
        </w:rPr>
        <w:t>项目边</w:t>
      </w:r>
      <w:r>
        <w:rPr>
          <w:rFonts w:ascii="SimSun" w:hAnsi="SimSun" w:eastAsia="SimSun" w:cs="SimSun"/>
          <w:sz w:val="24"/>
          <w:szCs w:val="24"/>
          <w:spacing w:val="-48"/>
        </w:rPr>
        <w:t xml:space="preserve"> </w:t>
      </w:r>
      <w:r>
        <w:rPr>
          <w:rFonts w:ascii="Times New Roman" w:hAnsi="Times New Roman" w:eastAsia="Times New Roman" w:cs="Times New Roman"/>
          <w:sz w:val="24"/>
          <w:szCs w:val="24"/>
        </w:rPr>
        <w:t>5km</w:t>
      </w:r>
      <w:r>
        <w:rPr>
          <w:rFonts w:ascii="Times New Roman" w:hAnsi="Times New Roman" w:eastAsia="Times New Roman" w:cs="Times New Roman"/>
          <w:sz w:val="24"/>
          <w:szCs w:val="24"/>
          <w:spacing w:val="16"/>
        </w:rPr>
        <w:t xml:space="preserve"> </w:t>
      </w:r>
      <w:r>
        <w:rPr>
          <w:rFonts w:ascii="SimSun" w:hAnsi="SimSun" w:eastAsia="SimSun" w:cs="SimSun"/>
          <w:sz w:val="24"/>
          <w:szCs w:val="24"/>
        </w:rPr>
        <w:t>范围内居住区、区疗卫生、文化教自、科研、行政</w:t>
      </w:r>
      <w:r>
        <w:rPr>
          <w:rFonts w:ascii="SimSun" w:hAnsi="SimSun" w:eastAsia="SimSun" w:cs="SimSun"/>
          <w:sz w:val="24"/>
          <w:szCs w:val="24"/>
          <w:spacing w:val="-1"/>
        </w:rPr>
        <w:t>小等机构人口</w:t>
      </w:r>
      <w:r>
        <w:rPr>
          <w:rFonts w:ascii="SimSun" w:hAnsi="SimSun" w:eastAsia="SimSun" w:cs="SimSun"/>
          <w:sz w:val="24"/>
          <w:szCs w:val="24"/>
        </w:rPr>
        <w:t xml:space="preserve"> </w:t>
      </w:r>
      <w:r>
        <w:rPr>
          <w:rFonts w:ascii="SimSun" w:hAnsi="SimSun" w:eastAsia="SimSun" w:cs="SimSun"/>
          <w:sz w:val="24"/>
          <w:szCs w:val="24"/>
          <w:spacing w:val="-4"/>
        </w:rPr>
        <w:t>总数（含周边企业员工）为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21414</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，大于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万人、小于</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4"/>
        </w:rPr>
        <w:t>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万人，厂区周边</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500m </w:t>
      </w:r>
      <w:r>
        <w:rPr>
          <w:rFonts w:ascii="SimSun" w:hAnsi="SimSun" w:eastAsia="SimSun" w:cs="SimSun"/>
          <w:sz w:val="24"/>
          <w:szCs w:val="24"/>
          <w:spacing w:val="-4"/>
        </w:rPr>
        <w:t>范</w:t>
      </w:r>
      <w:r>
        <w:rPr>
          <w:rFonts w:ascii="SimSun" w:hAnsi="SimSun" w:eastAsia="SimSun" w:cs="SimSun"/>
          <w:sz w:val="24"/>
          <w:szCs w:val="24"/>
        </w:rPr>
        <w:t xml:space="preserve"> </w:t>
      </w:r>
      <w:r>
        <w:rPr>
          <w:rFonts w:ascii="SimSun" w:hAnsi="SimSun" w:eastAsia="SimSun" w:cs="SimSun"/>
          <w:sz w:val="24"/>
          <w:szCs w:val="24"/>
          <w:spacing w:val="1"/>
        </w:rPr>
        <w:t>围（含周边企业员工）人口小于</w:t>
      </w:r>
      <w:r>
        <w:rPr>
          <w:rFonts w:ascii="Times New Roman" w:hAnsi="Times New Roman" w:eastAsia="Times New Roman" w:cs="Times New Roman"/>
          <w:sz w:val="24"/>
          <w:szCs w:val="24"/>
          <w:spacing w:val="1"/>
        </w:rPr>
        <w:t>500 </w:t>
      </w:r>
      <w:r>
        <w:rPr>
          <w:rFonts w:ascii="SimSun" w:hAnsi="SimSun" w:eastAsia="SimSun" w:cs="SimSun"/>
          <w:sz w:val="24"/>
          <w:szCs w:val="24"/>
          <w:spacing w:val="1"/>
        </w:rPr>
        <w:t>人，敏感程度为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E2</w:t>
      </w:r>
      <w:r>
        <w:rPr>
          <w:rFonts w:ascii="SimSun" w:hAnsi="SimSun" w:eastAsia="SimSun" w:cs="SimSun"/>
          <w:sz w:val="24"/>
          <w:szCs w:val="24"/>
          <w:spacing w:val="1"/>
        </w:rPr>
        <w:t>。</w:t>
      </w:r>
    </w:p>
    <w:p>
      <w:pPr>
        <w:ind w:left="546"/>
        <w:spacing w:before="1" w:line="219" w:lineRule="auto"/>
        <w:rPr>
          <w:rFonts w:ascii="SimSun" w:hAnsi="SimSun" w:eastAsia="SimSun" w:cs="SimSun"/>
          <w:sz w:val="24"/>
          <w:szCs w:val="24"/>
        </w:rPr>
      </w:pPr>
      <w:r>
        <w:rPr>
          <w:rFonts w:ascii="Times New Roman" w:hAnsi="Times New Roman" w:eastAsia="Times New Roman" w:cs="Times New Roman"/>
          <w:sz w:val="24"/>
          <w:szCs w:val="24"/>
          <w:spacing w:val="-1"/>
        </w:rPr>
        <w:t>2</w:t>
      </w:r>
      <w:r>
        <w:rPr>
          <w:rFonts w:ascii="SimSun" w:hAnsi="SimSun" w:eastAsia="SimSun" w:cs="SimSun"/>
          <w:sz w:val="24"/>
          <w:szCs w:val="24"/>
          <w:spacing w:val="-1"/>
        </w:rPr>
        <w:t>）地表水环境</w:t>
      </w:r>
    </w:p>
    <w:p>
      <w:pPr>
        <w:ind w:left="69" w:right="58" w:firstLine="481"/>
        <w:spacing w:before="183" w:line="359" w:lineRule="auto"/>
        <w:rPr>
          <w:rFonts w:ascii="SimSun" w:hAnsi="SimSun" w:eastAsia="SimSun" w:cs="SimSun"/>
          <w:sz w:val="24"/>
          <w:szCs w:val="24"/>
        </w:rPr>
      </w:pPr>
      <w:r>
        <w:rPr>
          <w:rFonts w:ascii="SimSun" w:hAnsi="SimSun" w:eastAsia="SimSun" w:cs="SimSun"/>
          <w:sz w:val="24"/>
          <w:szCs w:val="24"/>
          <w:spacing w:val="-1"/>
        </w:rPr>
        <w:t>本项目拟建厂址南侧</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135m</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1"/>
        </w:rPr>
        <w:t>处为河流，地表水环境敏感程度（</w:t>
      </w:r>
      <w:r>
        <w:rPr>
          <w:rFonts w:ascii="Times New Roman" w:hAnsi="Times New Roman" w:eastAsia="Times New Roman" w:cs="Times New Roman"/>
          <w:sz w:val="24"/>
          <w:szCs w:val="24"/>
          <w:spacing w:val="-2"/>
        </w:rPr>
        <w:t>E</w:t>
      </w:r>
      <w:r>
        <w:rPr>
          <w:rFonts w:ascii="SimSun" w:hAnsi="SimSun" w:eastAsia="SimSun" w:cs="SimSun"/>
          <w:sz w:val="24"/>
          <w:szCs w:val="24"/>
          <w:spacing w:val="-2"/>
        </w:rPr>
        <w:t>）分级依据地</w:t>
      </w:r>
      <w:r>
        <w:rPr>
          <w:rFonts w:ascii="SimSun" w:hAnsi="SimSun" w:eastAsia="SimSun" w:cs="SimSun"/>
          <w:sz w:val="24"/>
          <w:szCs w:val="24"/>
        </w:rPr>
        <w:t xml:space="preserve"> </w:t>
      </w:r>
      <w:r>
        <w:rPr>
          <w:rFonts w:ascii="SimSun" w:hAnsi="SimSun" w:eastAsia="SimSun" w:cs="SimSun"/>
          <w:sz w:val="24"/>
          <w:szCs w:val="24"/>
          <w:spacing w:val="-1"/>
        </w:rPr>
        <w:t>表水功能敏感性和敏感目标分级判定，敏感程度分级依据详见表</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1"/>
        </w:rPr>
        <w:t>6.2-7</w:t>
      </w:r>
      <w:r>
        <w:rPr>
          <w:rFonts w:ascii="SimSun" w:hAnsi="SimSun" w:eastAsia="SimSun" w:cs="SimSun"/>
          <w:sz w:val="24"/>
          <w:szCs w:val="24"/>
          <w:spacing w:val="-1"/>
        </w:rPr>
        <w:t>。</w:t>
      </w:r>
    </w:p>
    <w:p>
      <w:pPr>
        <w:ind w:left="2035"/>
        <w:spacing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0"/>
        </w:rPr>
        <w:t xml:space="preserve"> </w:t>
      </w:r>
      <w:r>
        <w:rPr>
          <w:rFonts w:ascii="Times New Roman" w:hAnsi="Times New Roman" w:eastAsia="Times New Roman" w:cs="Times New Roman"/>
          <w:sz w:val="24"/>
          <w:szCs w:val="24"/>
          <w:b/>
          <w:bCs/>
          <w:spacing w:val="-2"/>
        </w:rPr>
        <w:t>6.2-7        </w:t>
      </w:r>
      <w:r>
        <w:rPr>
          <w:rFonts w:ascii="SimSun" w:hAnsi="SimSun" w:eastAsia="SimSun" w:cs="SimSun"/>
          <w:sz w:val="24"/>
          <w:szCs w:val="24"/>
          <w:b/>
          <w:bCs/>
          <w:spacing w:val="-2"/>
        </w:rPr>
        <w:t>地表水环境敏感程度（</w:t>
      </w:r>
      <w:r>
        <w:rPr>
          <w:rFonts w:ascii="Times New Roman" w:hAnsi="Times New Roman" w:eastAsia="Times New Roman" w:cs="Times New Roman"/>
          <w:sz w:val="24"/>
          <w:szCs w:val="24"/>
          <w:b/>
          <w:bCs/>
          <w:spacing w:val="-2"/>
        </w:rPr>
        <w:t>E</w:t>
      </w:r>
      <w:r>
        <w:rPr>
          <w:rFonts w:ascii="SimSun" w:hAnsi="SimSun" w:eastAsia="SimSun" w:cs="SimSun"/>
          <w:sz w:val="24"/>
          <w:szCs w:val="24"/>
          <w:b/>
          <w:bCs/>
          <w:spacing w:val="-2"/>
        </w:rPr>
        <w:t>）分级</w:t>
      </w:r>
    </w:p>
    <w:tbl>
      <w:tblPr>
        <w:tblStyle w:val="TableNormal"/>
        <w:tblW w:w="862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875"/>
        <w:gridCol w:w="2477"/>
        <w:gridCol w:w="1733"/>
        <w:gridCol w:w="1535"/>
      </w:tblGrid>
      <w:tr>
        <w:trPr>
          <w:trHeight w:val="281" w:hRule="atLeast"/>
        </w:trPr>
        <w:tc>
          <w:tcPr>
            <w:tcW w:w="2875" w:type="dxa"/>
            <w:vAlign w:val="top"/>
            <w:vMerge w:val="restart"/>
            <w:tcBorders>
              <w:bottom w:val="nil"/>
            </w:tcBorders>
          </w:tcPr>
          <w:p>
            <w:pPr>
              <w:pStyle w:val="TableText"/>
              <w:ind w:left="813"/>
              <w:spacing w:before="160" w:line="228" w:lineRule="auto"/>
              <w:rPr/>
            </w:pPr>
            <w:r>
              <w:rPr>
                <w:spacing w:val="8"/>
              </w:rPr>
              <w:t>环境敏感目标</w:t>
            </w:r>
          </w:p>
        </w:tc>
        <w:tc>
          <w:tcPr>
            <w:tcW w:w="5745" w:type="dxa"/>
            <w:vAlign w:val="top"/>
            <w:gridSpan w:val="3"/>
          </w:tcPr>
          <w:p>
            <w:pPr>
              <w:pStyle w:val="TableText"/>
              <w:ind w:left="2037"/>
              <w:spacing w:before="35" w:line="217" w:lineRule="auto"/>
              <w:rPr/>
            </w:pPr>
            <w:r>
              <w:rPr>
                <w:spacing w:val="8"/>
              </w:rPr>
              <w:t>地下水功能敏感性</w:t>
            </w:r>
          </w:p>
        </w:tc>
      </w:tr>
      <w:tr>
        <w:trPr>
          <w:trHeight w:val="245" w:hRule="atLeast"/>
        </w:trPr>
        <w:tc>
          <w:tcPr>
            <w:tcW w:w="2875" w:type="dxa"/>
            <w:vAlign w:val="top"/>
            <w:vMerge w:val="continue"/>
            <w:tcBorders>
              <w:top w:val="nil"/>
            </w:tcBorders>
          </w:tcPr>
          <w:p>
            <w:pPr>
              <w:rPr>
                <w:rFonts w:ascii="Arial"/>
                <w:sz w:val="21"/>
              </w:rPr>
            </w:pPr>
            <w:r/>
          </w:p>
        </w:tc>
        <w:tc>
          <w:tcPr>
            <w:tcW w:w="2477" w:type="dxa"/>
            <w:vAlign w:val="top"/>
          </w:tcPr>
          <w:p>
            <w:pPr>
              <w:ind w:left="1127"/>
              <w:spacing w:before="52"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F1</w:t>
            </w:r>
          </w:p>
        </w:tc>
        <w:tc>
          <w:tcPr>
            <w:tcW w:w="1733" w:type="dxa"/>
            <w:vAlign w:val="top"/>
          </w:tcPr>
          <w:p>
            <w:pPr>
              <w:ind w:left="758"/>
              <w:spacing w:before="52"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F2</w:t>
            </w:r>
          </w:p>
        </w:tc>
        <w:tc>
          <w:tcPr>
            <w:tcW w:w="1535" w:type="dxa"/>
            <w:vAlign w:val="top"/>
          </w:tcPr>
          <w:p>
            <w:pPr>
              <w:ind w:left="657"/>
              <w:spacing w:before="52"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F3</w:t>
            </w:r>
          </w:p>
        </w:tc>
      </w:tr>
      <w:tr>
        <w:trPr>
          <w:trHeight w:val="245" w:hRule="atLeast"/>
        </w:trPr>
        <w:tc>
          <w:tcPr>
            <w:tcW w:w="2875" w:type="dxa"/>
            <w:vAlign w:val="top"/>
          </w:tcPr>
          <w:p>
            <w:pPr>
              <w:ind w:left="1336"/>
              <w:spacing w:before="54"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S1</w:t>
            </w:r>
          </w:p>
        </w:tc>
        <w:tc>
          <w:tcPr>
            <w:tcW w:w="2477" w:type="dxa"/>
            <w:vAlign w:val="top"/>
          </w:tcPr>
          <w:p>
            <w:pPr>
              <w:ind w:left="1124"/>
              <w:spacing w:before="54"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E1</w:t>
            </w:r>
          </w:p>
        </w:tc>
        <w:tc>
          <w:tcPr>
            <w:tcW w:w="1733" w:type="dxa"/>
            <w:vAlign w:val="top"/>
          </w:tcPr>
          <w:p>
            <w:pPr>
              <w:ind w:left="751"/>
              <w:spacing w:before="54"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E1</w:t>
            </w:r>
          </w:p>
        </w:tc>
        <w:tc>
          <w:tcPr>
            <w:tcW w:w="1535" w:type="dxa"/>
            <w:vAlign w:val="top"/>
          </w:tcPr>
          <w:p>
            <w:pPr>
              <w:ind w:left="653"/>
              <w:spacing w:before="54"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E2</w:t>
            </w:r>
          </w:p>
        </w:tc>
      </w:tr>
      <w:tr>
        <w:trPr>
          <w:trHeight w:val="246" w:hRule="atLeast"/>
        </w:trPr>
        <w:tc>
          <w:tcPr>
            <w:tcW w:w="2875" w:type="dxa"/>
            <w:vAlign w:val="top"/>
          </w:tcPr>
          <w:p>
            <w:pPr>
              <w:ind w:left="1336"/>
              <w:spacing w:before="56" w:line="18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S2</w:t>
            </w:r>
          </w:p>
        </w:tc>
        <w:tc>
          <w:tcPr>
            <w:tcW w:w="2477" w:type="dxa"/>
            <w:vAlign w:val="top"/>
          </w:tcPr>
          <w:p>
            <w:pPr>
              <w:ind w:left="1124"/>
              <w:spacing w:before="56" w:line="18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E1</w:t>
            </w:r>
          </w:p>
        </w:tc>
        <w:tc>
          <w:tcPr>
            <w:tcW w:w="1733" w:type="dxa"/>
            <w:vAlign w:val="top"/>
          </w:tcPr>
          <w:p>
            <w:pPr>
              <w:ind w:left="751"/>
              <w:spacing w:before="56" w:line="18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E2</w:t>
            </w:r>
          </w:p>
        </w:tc>
        <w:tc>
          <w:tcPr>
            <w:tcW w:w="1535" w:type="dxa"/>
            <w:vAlign w:val="top"/>
          </w:tcPr>
          <w:p>
            <w:pPr>
              <w:ind w:left="653"/>
              <w:spacing w:before="56" w:line="18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E3</w:t>
            </w:r>
          </w:p>
        </w:tc>
      </w:tr>
      <w:tr>
        <w:trPr>
          <w:trHeight w:val="250" w:hRule="atLeast"/>
        </w:trPr>
        <w:tc>
          <w:tcPr>
            <w:tcW w:w="2875" w:type="dxa"/>
            <w:vAlign w:val="top"/>
          </w:tcPr>
          <w:p>
            <w:pPr>
              <w:ind w:left="1336"/>
              <w:spacing w:before="55" w:line="193"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S3</w:t>
            </w:r>
          </w:p>
        </w:tc>
        <w:tc>
          <w:tcPr>
            <w:tcW w:w="2477" w:type="dxa"/>
            <w:vAlign w:val="top"/>
          </w:tcPr>
          <w:p>
            <w:pPr>
              <w:ind w:left="1124"/>
              <w:spacing w:before="55" w:line="193"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E1</w:t>
            </w:r>
          </w:p>
        </w:tc>
        <w:tc>
          <w:tcPr>
            <w:tcW w:w="1733" w:type="dxa"/>
            <w:vAlign w:val="top"/>
          </w:tcPr>
          <w:p>
            <w:pPr>
              <w:ind w:left="751"/>
              <w:spacing w:before="55" w:line="193"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E2</w:t>
            </w:r>
          </w:p>
        </w:tc>
        <w:tc>
          <w:tcPr>
            <w:tcW w:w="1535" w:type="dxa"/>
            <w:vAlign w:val="top"/>
          </w:tcPr>
          <w:p>
            <w:pPr>
              <w:ind w:firstLine="648"/>
              <w:spacing w:before="3" w:line="237" w:lineRule="exact"/>
              <w:rPr/>
            </w:pPr>
            <w:r>
              <w:rPr>
                <w:position w:val="-5"/>
              </w:rPr>
              <w:pict>
                <v:shape id="_x0000_s1114" style="mso-position-vertical-relative:line;mso-position-horizontal-relative:char;width:11.65pt;height:12.05pt;" fillcolor="#D9D9D9" filled="true" stroked="false" type="#_x0000_t202">
                  <v:fill on="true"/>
                  <v:stroke on="false"/>
                  <v:path/>
                  <v:imagedata o:title=""/>
                  <o:lock v:ext="edit" aspectratio="false"/>
                  <v:textbox inset="0mm,0mm,0mm,0mm">
                    <w:txbxContent>
                      <w:p>
                        <w:pPr>
                          <w:ind w:left="4"/>
                          <w:spacing w:before="5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E3</w:t>
                        </w:r>
                      </w:p>
                    </w:txbxContent>
                  </v:textbox>
                </v:shape>
              </w:pict>
            </w:r>
          </w:p>
        </w:tc>
      </w:tr>
    </w:tbl>
    <w:p>
      <w:pPr>
        <w:ind w:left="550"/>
        <w:spacing w:before="37" w:line="219" w:lineRule="auto"/>
        <w:rPr>
          <w:rFonts w:ascii="SimSun" w:hAnsi="SimSun" w:eastAsia="SimSun" w:cs="SimSun"/>
          <w:sz w:val="24"/>
          <w:szCs w:val="24"/>
        </w:rPr>
      </w:pPr>
      <w:r>
        <w:rPr>
          <w:rFonts w:ascii="SimSun" w:hAnsi="SimSun" w:eastAsia="SimSun" w:cs="SimSun"/>
          <w:sz w:val="24"/>
          <w:szCs w:val="24"/>
          <w:spacing w:val="-1"/>
        </w:rPr>
        <w:t>地表水功能敏感性分区和敏感目标分级详见表</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6.2-8~9</w:t>
      </w:r>
      <w:r>
        <w:rPr>
          <w:rFonts w:ascii="SimSun" w:hAnsi="SimSun" w:eastAsia="SimSun" w:cs="SimSun"/>
          <w:sz w:val="24"/>
          <w:szCs w:val="24"/>
          <w:spacing w:val="-1"/>
        </w:rPr>
        <w:t>。</w:t>
      </w:r>
    </w:p>
    <w:p>
      <w:pPr>
        <w:ind w:left="2476"/>
        <w:spacing w:before="181"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6.2-8        </w:t>
      </w:r>
      <w:r>
        <w:rPr>
          <w:rFonts w:ascii="SimSun" w:hAnsi="SimSun" w:eastAsia="SimSun" w:cs="SimSun"/>
          <w:sz w:val="24"/>
          <w:szCs w:val="24"/>
          <w:b/>
          <w:bCs/>
          <w:spacing w:val="-2"/>
        </w:rPr>
        <w:t>地表水功能敏感性分区</w:t>
      </w:r>
    </w:p>
    <w:tbl>
      <w:tblPr>
        <w:tblStyle w:val="TableNormal"/>
        <w:tblW w:w="8517" w:type="dxa"/>
        <w:tblInd w:w="5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42"/>
        <w:gridCol w:w="7275"/>
      </w:tblGrid>
      <w:tr>
        <w:trPr>
          <w:trHeight w:val="275" w:hRule="atLeast"/>
        </w:trPr>
        <w:tc>
          <w:tcPr>
            <w:tcW w:w="1242" w:type="dxa"/>
            <w:vAlign w:val="top"/>
          </w:tcPr>
          <w:p>
            <w:pPr>
              <w:pStyle w:val="TableText"/>
              <w:ind w:left="313"/>
              <w:spacing w:before="35" w:line="212" w:lineRule="auto"/>
              <w:rPr/>
            </w:pPr>
            <w:r>
              <w:rPr>
                <w:spacing w:val="6"/>
              </w:rPr>
              <w:t>敏感性</w:t>
            </w:r>
          </w:p>
        </w:tc>
        <w:tc>
          <w:tcPr>
            <w:tcW w:w="7275" w:type="dxa"/>
            <w:vAlign w:val="top"/>
          </w:tcPr>
          <w:p>
            <w:pPr>
              <w:pStyle w:val="TableText"/>
              <w:ind w:left="2696"/>
              <w:spacing w:before="35" w:line="212" w:lineRule="auto"/>
              <w:rPr/>
            </w:pPr>
            <w:r>
              <w:rPr>
                <w:spacing w:val="8"/>
              </w:rPr>
              <w:t>地下水环境敏感特征</w:t>
            </w:r>
          </w:p>
        </w:tc>
      </w:tr>
      <w:tr>
        <w:trPr>
          <w:trHeight w:val="825" w:hRule="atLeast"/>
        </w:trPr>
        <w:tc>
          <w:tcPr>
            <w:tcW w:w="1242" w:type="dxa"/>
            <w:vAlign w:val="top"/>
            <w:tcBorders>
              <w:bottom w:val="single" w:color="000000" w:sz="10" w:space="0"/>
            </w:tcBorders>
          </w:tcPr>
          <w:p>
            <w:pPr>
              <w:spacing w:line="242" w:lineRule="auto"/>
              <w:rPr>
                <w:rFonts w:ascii="Arial"/>
                <w:sz w:val="21"/>
              </w:rPr>
            </w:pPr>
            <w:r/>
          </w:p>
          <w:p>
            <w:pPr>
              <w:pStyle w:val="TableText"/>
              <w:ind w:left="279"/>
              <w:spacing w:before="65" w:line="228" w:lineRule="auto"/>
              <w:rPr>
                <w:rFonts w:ascii="Times New Roman" w:hAnsi="Times New Roman" w:eastAsia="Times New Roman" w:cs="Times New Roman"/>
              </w:rPr>
            </w:pPr>
            <w:r>
              <w:rPr>
                <w:spacing w:val="4"/>
              </w:rPr>
              <w:t>敏感</w:t>
            </w:r>
            <w:r>
              <w:rPr>
                <w:spacing w:val="-42"/>
              </w:rPr>
              <w:t xml:space="preserve"> </w:t>
            </w:r>
            <w:r>
              <w:rPr>
                <w:rFonts w:ascii="Times New Roman" w:hAnsi="Times New Roman" w:eastAsia="Times New Roman" w:cs="Times New Roman"/>
                <w:spacing w:val="4"/>
              </w:rPr>
              <w:t>F1</w:t>
            </w:r>
          </w:p>
        </w:tc>
        <w:tc>
          <w:tcPr>
            <w:tcW w:w="7275" w:type="dxa"/>
            <w:vAlign w:val="top"/>
            <w:tcBorders>
              <w:bottom w:val="single" w:color="000000" w:sz="10" w:space="0"/>
            </w:tcBorders>
          </w:tcPr>
          <w:p>
            <w:pPr>
              <w:pStyle w:val="TableText"/>
              <w:ind w:left="8"/>
              <w:spacing w:before="38" w:line="228" w:lineRule="auto"/>
              <w:rPr/>
            </w:pPr>
            <w:r>
              <w:rPr>
                <w:spacing w:val="9"/>
              </w:rPr>
              <w:t>排放点进入地表水水域环境为Ⅱ类及以上，或海水水质分类第一类；</w:t>
            </w:r>
          </w:p>
          <w:p>
            <w:pPr>
              <w:pStyle w:val="TableText"/>
              <w:ind w:left="18" w:right="6" w:hanging="7"/>
              <w:spacing w:before="25" w:line="233" w:lineRule="auto"/>
              <w:rPr/>
            </w:pPr>
            <w:r>
              <w:rPr>
                <w:spacing w:val="7"/>
              </w:rPr>
              <w:t>或发生事故时，危险物质泄漏到水体的排放点算起，排放进入受纳河流最大流速</w:t>
            </w:r>
            <w:r>
              <w:rPr>
                <w:spacing w:val="5"/>
              </w:rPr>
              <w:t xml:space="preserve"> </w:t>
            </w:r>
            <w:r>
              <w:rPr>
                <w:spacing w:val="6"/>
              </w:rPr>
              <w:t>时，</w:t>
            </w:r>
            <w:r>
              <w:rPr>
                <w:rFonts w:ascii="Times New Roman" w:hAnsi="Times New Roman" w:eastAsia="Times New Roman" w:cs="Times New Roman"/>
                <w:spacing w:val="6"/>
              </w:rPr>
              <w:t>24h </w:t>
            </w:r>
            <w:r>
              <w:rPr>
                <w:spacing w:val="6"/>
              </w:rPr>
              <w:t>流经范围内涉跨国界的。</w:t>
            </w:r>
          </w:p>
        </w:tc>
      </w:tr>
    </w:tbl>
    <w:p>
      <w:pPr>
        <w:pStyle w:val="BodyText"/>
        <w:spacing w:line="261" w:lineRule="auto"/>
        <w:rPr/>
      </w:pPr>
      <w:r/>
    </w:p>
    <w:p>
      <w:pPr>
        <w:ind w:left="68"/>
        <w:spacing w:before="62" w:line="227" w:lineRule="auto"/>
        <w:rPr>
          <w:rFonts w:ascii="SimSun" w:hAnsi="SimSun" w:eastAsia="SimSun" w:cs="SimSun"/>
          <w:sz w:val="19"/>
          <w:szCs w:val="19"/>
        </w:rPr>
      </w:pPr>
      <w:r>
        <w:pict>
          <v:shape id="_x0000_s1116" style="position:absolute;margin-left:162.37pt;margin-top:2.1005pt;mso-position-vertical-relative:text;mso-position-horizontal-relative:text;width:61pt;height:13.75pt;z-index:25222041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241</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334"/>
          <w:footerReference w:type="default" r:id="rId3"/>
          <w:pgSz w:w="11907" w:h="16840"/>
          <w:pgMar w:top="1567" w:right="1641" w:bottom="400" w:left="1640" w:header="1221" w:footer="0" w:gutter="0"/>
        </w:sectPr>
        <w:rPr>
          <w:rFonts w:ascii="SimSun" w:hAnsi="SimSun" w:eastAsia="SimSun" w:cs="SimSun"/>
          <w:sz w:val="19"/>
          <w:szCs w:val="19"/>
        </w:rPr>
      </w:pPr>
    </w:p>
    <w:p>
      <w:pPr>
        <w:spacing w:line="133" w:lineRule="exact"/>
        <w:rPr/>
      </w:pPr>
      <w:r>
        <w:pict>
          <v:shape id="_x0000_s1120" style="position:absolute;margin-left:85.05pt;margin-top:78.87pt;mso-position-vertical-relative:page;mso-position-horizontal-relative:page;width:425.25pt;height:0.75pt;z-index:252223488;" o:allowincell="f" fillcolor="#000000" filled="true" stroked="false" coordsize="8505,15" coordorigin="0,0" path="m,l8505,0l8505,14l0,14l0,0xe"/>
        </w:pict>
      </w:r>
      <w:r/>
    </w:p>
    <w:tbl>
      <w:tblPr>
        <w:tblStyle w:val="TableNormal"/>
        <w:tblW w:w="8517" w:type="dxa"/>
        <w:tblInd w:w="5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42"/>
        <w:gridCol w:w="7275"/>
      </w:tblGrid>
      <w:tr>
        <w:trPr>
          <w:trHeight w:val="823" w:hRule="atLeast"/>
        </w:trPr>
        <w:tc>
          <w:tcPr>
            <w:tcW w:w="1242" w:type="dxa"/>
            <w:vAlign w:val="top"/>
            <w:tcBorders>
              <w:top w:val="single" w:color="000000" w:sz="10" w:space="0"/>
            </w:tcBorders>
          </w:tcPr>
          <w:p>
            <w:pPr>
              <w:spacing w:line="241" w:lineRule="auto"/>
              <w:rPr>
                <w:rFonts w:ascii="Arial"/>
                <w:sz w:val="21"/>
              </w:rPr>
            </w:pPr>
            <w:r/>
          </w:p>
          <w:p>
            <w:pPr>
              <w:pStyle w:val="TableText"/>
              <w:ind w:left="279"/>
              <w:spacing w:before="65" w:line="228" w:lineRule="auto"/>
              <w:rPr>
                <w:rFonts w:ascii="Times New Roman" w:hAnsi="Times New Roman" w:eastAsia="Times New Roman" w:cs="Times New Roman"/>
              </w:rPr>
            </w:pPr>
            <w:r>
              <w:rPr>
                <w:spacing w:val="4"/>
              </w:rPr>
              <w:t>敏感</w:t>
            </w:r>
            <w:r>
              <w:rPr>
                <w:spacing w:val="-42"/>
              </w:rPr>
              <w:t xml:space="preserve"> </w:t>
            </w:r>
            <w:r>
              <w:rPr>
                <w:rFonts w:ascii="Times New Roman" w:hAnsi="Times New Roman" w:eastAsia="Times New Roman" w:cs="Times New Roman"/>
                <w:spacing w:val="4"/>
              </w:rPr>
              <w:t>F2</w:t>
            </w:r>
          </w:p>
        </w:tc>
        <w:tc>
          <w:tcPr>
            <w:tcW w:w="7275" w:type="dxa"/>
            <w:vAlign w:val="top"/>
            <w:tcBorders>
              <w:top w:val="single" w:color="000000" w:sz="10" w:space="0"/>
            </w:tcBorders>
          </w:tcPr>
          <w:p>
            <w:pPr>
              <w:pStyle w:val="TableText"/>
              <w:ind w:left="8"/>
              <w:spacing w:before="36" w:line="228" w:lineRule="auto"/>
              <w:rPr/>
            </w:pPr>
            <w:r>
              <w:rPr>
                <w:spacing w:val="9"/>
              </w:rPr>
              <w:t>排放点进入地表水水域环境为Ⅲ类，或海水水质分类第二类；</w:t>
            </w:r>
          </w:p>
          <w:p>
            <w:pPr>
              <w:pStyle w:val="TableText"/>
              <w:ind w:left="18" w:right="6" w:hanging="7"/>
              <w:spacing w:before="24" w:line="233" w:lineRule="auto"/>
              <w:rPr/>
            </w:pPr>
            <w:r>
              <w:rPr>
                <w:spacing w:val="7"/>
              </w:rPr>
              <w:t>或发生事故时，危险物质泄漏到水体的排放点算起，排放进入受纳河流最大流速</w:t>
            </w:r>
            <w:r>
              <w:rPr>
                <w:spacing w:val="5"/>
              </w:rPr>
              <w:t xml:space="preserve"> </w:t>
            </w:r>
            <w:r>
              <w:rPr>
                <w:spacing w:val="6"/>
              </w:rPr>
              <w:t>时，</w:t>
            </w:r>
            <w:r>
              <w:rPr>
                <w:rFonts w:ascii="Times New Roman" w:hAnsi="Times New Roman" w:eastAsia="Times New Roman" w:cs="Times New Roman"/>
                <w:spacing w:val="6"/>
              </w:rPr>
              <w:t>24h </w:t>
            </w:r>
            <w:r>
              <w:rPr>
                <w:spacing w:val="6"/>
              </w:rPr>
              <w:t>流经范围内涉跨国界的。</w:t>
            </w:r>
          </w:p>
        </w:tc>
      </w:tr>
      <w:tr>
        <w:trPr>
          <w:trHeight w:val="280" w:hRule="atLeast"/>
        </w:trPr>
        <w:tc>
          <w:tcPr>
            <w:tcW w:w="1242" w:type="dxa"/>
            <w:vAlign w:val="top"/>
          </w:tcPr>
          <w:p>
            <w:pPr>
              <w:pStyle w:val="TableText"/>
              <w:ind w:left="279"/>
              <w:spacing w:before="34" w:line="217" w:lineRule="auto"/>
              <w:rPr>
                <w:rFonts w:ascii="Times New Roman" w:hAnsi="Times New Roman" w:eastAsia="Times New Roman" w:cs="Times New Roman"/>
              </w:rPr>
            </w:pPr>
            <w:r>
              <w:rPr>
                <w:spacing w:val="4"/>
              </w:rPr>
              <w:t>敏感</w:t>
            </w:r>
            <w:r>
              <w:rPr>
                <w:spacing w:val="-42"/>
              </w:rPr>
              <w:t xml:space="preserve"> </w:t>
            </w:r>
            <w:r>
              <w:rPr>
                <w:rFonts w:ascii="Times New Roman" w:hAnsi="Times New Roman" w:eastAsia="Times New Roman" w:cs="Times New Roman"/>
                <w:spacing w:val="4"/>
              </w:rPr>
              <w:t>F3</w:t>
            </w:r>
          </w:p>
        </w:tc>
        <w:tc>
          <w:tcPr>
            <w:tcW w:w="7275" w:type="dxa"/>
            <w:vAlign w:val="top"/>
          </w:tcPr>
          <w:p>
            <w:pPr>
              <w:pStyle w:val="TableText"/>
              <w:ind w:left="10"/>
              <w:spacing w:before="34" w:line="217" w:lineRule="auto"/>
              <w:rPr/>
            </w:pPr>
            <w:r>
              <w:rPr>
                <w:spacing w:val="9"/>
              </w:rPr>
              <w:t>上述地区以外的其他地区</w:t>
            </w:r>
          </w:p>
        </w:tc>
      </w:tr>
    </w:tbl>
    <w:p>
      <w:pPr>
        <w:ind w:left="2596"/>
        <w:spacing w:before="36"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0"/>
        </w:rPr>
        <w:t xml:space="preserve"> </w:t>
      </w:r>
      <w:r>
        <w:rPr>
          <w:rFonts w:ascii="Times New Roman" w:hAnsi="Times New Roman" w:eastAsia="Times New Roman" w:cs="Times New Roman"/>
          <w:sz w:val="24"/>
          <w:szCs w:val="24"/>
          <w:b/>
          <w:bCs/>
          <w:spacing w:val="-2"/>
        </w:rPr>
        <w:t>6.2-9        </w:t>
      </w:r>
      <w:r>
        <w:rPr>
          <w:rFonts w:ascii="SimSun" w:hAnsi="SimSun" w:eastAsia="SimSun" w:cs="SimSun"/>
          <w:sz w:val="24"/>
          <w:szCs w:val="24"/>
          <w:b/>
          <w:bCs/>
          <w:spacing w:val="-2"/>
        </w:rPr>
        <w:t>地表水敏感目标分级</w:t>
      </w:r>
    </w:p>
    <w:tbl>
      <w:tblPr>
        <w:tblStyle w:val="TableNormal"/>
        <w:tblW w:w="8517" w:type="dxa"/>
        <w:tblInd w:w="5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32"/>
        <w:gridCol w:w="7585"/>
      </w:tblGrid>
      <w:tr>
        <w:trPr>
          <w:trHeight w:val="281" w:hRule="atLeast"/>
        </w:trPr>
        <w:tc>
          <w:tcPr>
            <w:tcW w:w="932" w:type="dxa"/>
            <w:vAlign w:val="top"/>
          </w:tcPr>
          <w:p>
            <w:pPr>
              <w:pStyle w:val="TableText"/>
              <w:ind w:left="264"/>
              <w:spacing w:before="36" w:line="216" w:lineRule="auto"/>
              <w:rPr/>
            </w:pPr>
            <w:r>
              <w:rPr>
                <w:spacing w:val="3"/>
              </w:rPr>
              <w:t>分级</w:t>
            </w:r>
          </w:p>
        </w:tc>
        <w:tc>
          <w:tcPr>
            <w:tcW w:w="7585" w:type="dxa"/>
            <w:vAlign w:val="top"/>
          </w:tcPr>
          <w:p>
            <w:pPr>
              <w:pStyle w:val="TableText"/>
              <w:ind w:left="3165"/>
              <w:spacing w:before="36" w:line="216" w:lineRule="auto"/>
              <w:rPr/>
            </w:pPr>
            <w:r>
              <w:rPr>
                <w:spacing w:val="8"/>
              </w:rPr>
              <w:t>环境敏感目标</w:t>
            </w:r>
          </w:p>
        </w:tc>
      </w:tr>
      <w:tr>
        <w:trPr>
          <w:trHeight w:val="2181" w:hRule="atLeast"/>
        </w:trPr>
        <w:tc>
          <w:tcPr>
            <w:tcW w:w="932" w:type="dxa"/>
            <w:vAlign w:val="top"/>
          </w:tcPr>
          <w:p>
            <w:pPr>
              <w:spacing w:line="318" w:lineRule="auto"/>
              <w:rPr>
                <w:rFonts w:ascii="Arial"/>
                <w:sz w:val="21"/>
              </w:rPr>
            </w:pPr>
            <w:r/>
          </w:p>
          <w:p>
            <w:pPr>
              <w:spacing w:line="319" w:lineRule="auto"/>
              <w:rPr>
                <w:rFonts w:ascii="Arial"/>
                <w:sz w:val="21"/>
              </w:rPr>
            </w:pPr>
            <w:r/>
          </w:p>
          <w:p>
            <w:pPr>
              <w:spacing w:line="319" w:lineRule="auto"/>
              <w:rPr>
                <w:rFonts w:ascii="Arial"/>
                <w:sz w:val="21"/>
              </w:rPr>
            </w:pPr>
            <w:r/>
          </w:p>
          <w:p>
            <w:pPr>
              <w:ind w:left="365"/>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S1</w:t>
            </w:r>
          </w:p>
        </w:tc>
        <w:tc>
          <w:tcPr>
            <w:tcW w:w="7585" w:type="dxa"/>
            <w:vAlign w:val="top"/>
          </w:tcPr>
          <w:p>
            <w:pPr>
              <w:pStyle w:val="TableText"/>
              <w:ind w:left="8" w:right="4" w:firstLine="4"/>
              <w:spacing w:before="30" w:line="247" w:lineRule="auto"/>
              <w:rPr/>
            </w:pPr>
            <w:r>
              <w:rPr>
                <w:spacing w:val="7"/>
              </w:rPr>
              <w:t>发生事故时，危险物质泄漏到内陆水体的排放点下游</w:t>
            </w:r>
            <w:r>
              <w:rPr>
                <w:spacing w:val="6"/>
              </w:rPr>
              <w:t>（顺水流向）</w:t>
            </w:r>
            <w:r>
              <w:rPr>
                <w:rFonts w:ascii="Times New Roman" w:hAnsi="Times New Roman" w:eastAsia="Times New Roman" w:cs="Times New Roman"/>
                <w:spacing w:val="6"/>
              </w:rPr>
              <w:t>10</w:t>
            </w:r>
            <w:r>
              <w:rPr>
                <w:rFonts w:ascii="Times New Roman" w:hAnsi="Times New Roman" w:eastAsia="Times New Roman" w:cs="Times New Roman"/>
              </w:rPr>
              <w:t>km</w:t>
            </w:r>
            <w:r>
              <w:rPr>
                <w:rFonts w:ascii="Times New Roman" w:hAnsi="Times New Roman" w:eastAsia="Times New Roman" w:cs="Times New Roman"/>
                <w:spacing w:val="17"/>
                <w:w w:val="101"/>
              </w:rPr>
              <w:t xml:space="preserve"> </w:t>
            </w:r>
            <w:r>
              <w:rPr>
                <w:spacing w:val="6"/>
              </w:rPr>
              <w:t>范围内、近</w:t>
            </w:r>
            <w:r>
              <w:rPr/>
              <w:t xml:space="preserve"> </w:t>
            </w:r>
            <w:r>
              <w:rPr>
                <w:spacing w:val="10"/>
              </w:rPr>
              <w:t>岸海域一个潮周期水质点可能达到的最大水平距离的两倍范围内，有如下一类或多</w:t>
            </w:r>
            <w:r>
              <w:rPr>
                <w:spacing w:val="5"/>
              </w:rPr>
              <w:t xml:space="preserve"> </w:t>
            </w:r>
            <w:r>
              <w:rPr>
                <w:spacing w:val="10"/>
              </w:rPr>
              <w:t>类环境风险受体：集中式地表水饮用水水源保护区（包括一级保护区、二级保护区</w:t>
            </w:r>
            <w:r>
              <w:rPr>
                <w:spacing w:val="5"/>
              </w:rPr>
              <w:t xml:space="preserve"> </w:t>
            </w:r>
            <w:r>
              <w:rPr>
                <w:spacing w:val="8"/>
              </w:rPr>
              <w:t>及准保护区</w:t>
            </w:r>
            <w:r>
              <w:rPr>
                <w:spacing w:val="20"/>
              </w:rPr>
              <w:t>）；</w:t>
            </w:r>
            <w:r>
              <w:rPr>
                <w:spacing w:val="8"/>
              </w:rPr>
              <w:t>农村及分散式饮用水水源保护区；</w:t>
            </w:r>
            <w:r>
              <w:rPr>
                <w:spacing w:val="-47"/>
              </w:rPr>
              <w:t xml:space="preserve"> </w:t>
            </w:r>
            <w:r>
              <w:rPr>
                <w:spacing w:val="8"/>
              </w:rPr>
              <w:t>自然保护区；重要湿地；珍稀濒</w:t>
            </w:r>
            <w:r>
              <w:rPr/>
              <w:t xml:space="preserve"> </w:t>
            </w:r>
            <w:r>
              <w:rPr>
                <w:spacing w:val="10"/>
              </w:rPr>
              <w:t>危野生动植物天然集中分布区；重要水生生物的自然产卵场及索饵场、越冬场和洄</w:t>
            </w:r>
            <w:r>
              <w:rPr>
                <w:spacing w:val="5"/>
              </w:rPr>
              <w:t xml:space="preserve"> </w:t>
            </w:r>
            <w:r>
              <w:rPr>
                <w:spacing w:val="10"/>
              </w:rPr>
              <w:t>游通道；世界文化和自然遗产地；红树林、珊瑚礁等滨海湿地生态系统；珍稀、濒</w:t>
            </w:r>
            <w:r>
              <w:rPr>
                <w:spacing w:val="5"/>
              </w:rPr>
              <w:t xml:space="preserve"> </w:t>
            </w:r>
            <w:r>
              <w:rPr>
                <w:spacing w:val="10"/>
              </w:rPr>
              <w:t>危海洋生物的天然集中分布区；海洋特别保护区；海上自然保护区；</w:t>
            </w:r>
            <w:r>
              <w:rPr>
                <w:spacing w:val="9"/>
              </w:rPr>
              <w:t>盐场保护区；</w:t>
            </w:r>
            <w:r>
              <w:rPr/>
              <w:t xml:space="preserve"> </w:t>
            </w:r>
            <w:r>
              <w:rPr>
                <w:spacing w:val="9"/>
              </w:rPr>
              <w:t>海水浴场；海洋自然历史遗迹；风景名胜区；或其他特殊重要保护区域。</w:t>
            </w:r>
          </w:p>
        </w:tc>
      </w:tr>
      <w:tr>
        <w:trPr>
          <w:trHeight w:val="1093" w:hRule="atLeast"/>
        </w:trPr>
        <w:tc>
          <w:tcPr>
            <w:tcW w:w="932" w:type="dxa"/>
            <w:vAlign w:val="top"/>
          </w:tcPr>
          <w:p>
            <w:pPr>
              <w:spacing w:line="417" w:lineRule="auto"/>
              <w:rPr>
                <w:rFonts w:ascii="Arial"/>
                <w:sz w:val="21"/>
              </w:rPr>
            </w:pPr>
            <w:r/>
          </w:p>
          <w:p>
            <w:pPr>
              <w:ind w:left="365"/>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S2</w:t>
            </w:r>
          </w:p>
        </w:tc>
        <w:tc>
          <w:tcPr>
            <w:tcW w:w="7585" w:type="dxa"/>
            <w:vAlign w:val="top"/>
          </w:tcPr>
          <w:p>
            <w:pPr>
              <w:pStyle w:val="TableText"/>
              <w:ind w:left="9" w:firstLine="3"/>
              <w:spacing w:before="34" w:line="242" w:lineRule="auto"/>
              <w:jc w:val="both"/>
              <w:rPr/>
            </w:pPr>
            <w:r>
              <w:rPr>
                <w:spacing w:val="5"/>
              </w:rPr>
              <w:t>发生事故时，危险物质泄漏到内陆水体的排放点下游（顺水流向）</w:t>
            </w:r>
            <w:r>
              <w:rPr>
                <w:rFonts w:ascii="Times New Roman" w:hAnsi="Times New Roman" w:eastAsia="Times New Roman" w:cs="Times New Roman"/>
                <w:spacing w:val="5"/>
              </w:rPr>
              <w:t>10</w:t>
            </w:r>
            <w:r>
              <w:rPr>
                <w:rFonts w:ascii="Times New Roman" w:hAnsi="Times New Roman" w:eastAsia="Times New Roman" w:cs="Times New Roman"/>
              </w:rPr>
              <w:t>km</w:t>
            </w:r>
            <w:r>
              <w:rPr>
                <w:rFonts w:ascii="Times New Roman" w:hAnsi="Times New Roman" w:eastAsia="Times New Roman" w:cs="Times New Roman"/>
                <w:spacing w:val="31"/>
              </w:rPr>
              <w:t xml:space="preserve"> </w:t>
            </w:r>
            <w:r>
              <w:rPr>
                <w:spacing w:val="5"/>
              </w:rPr>
              <w:t>范围内、近</w:t>
            </w:r>
            <w:r>
              <w:rPr/>
              <w:t xml:space="preserve"> </w:t>
            </w:r>
            <w:r>
              <w:rPr>
                <w:spacing w:val="9"/>
              </w:rPr>
              <w:t>岸海域一个潮周期水质点可能达到的最大水平距离的两倍范围内，有如</w:t>
            </w:r>
            <w:r>
              <w:rPr>
                <w:spacing w:val="8"/>
              </w:rPr>
              <w:t>下一类或多</w:t>
            </w:r>
            <w:r>
              <w:rPr/>
              <w:t xml:space="preserve"> </w:t>
            </w:r>
            <w:r>
              <w:rPr>
                <w:spacing w:val="5"/>
              </w:rPr>
              <w:t>类环境风险受体：水产养殖区；天然渔场；森林</w:t>
            </w:r>
            <w:r>
              <w:rPr>
                <w:spacing w:val="4"/>
              </w:rPr>
              <w:t>公园；地质公园；海滨风景游览区；</w:t>
            </w:r>
            <w:r>
              <w:rPr/>
              <w:t xml:space="preserve"> </w:t>
            </w:r>
            <w:r>
              <w:rPr>
                <w:spacing w:val="7"/>
              </w:rPr>
              <w:t>具有重要经济价值的海洋生物生存区域。</w:t>
            </w:r>
          </w:p>
        </w:tc>
      </w:tr>
      <w:tr>
        <w:trPr>
          <w:trHeight w:val="554" w:hRule="atLeast"/>
        </w:trPr>
        <w:tc>
          <w:tcPr>
            <w:tcW w:w="932" w:type="dxa"/>
            <w:vAlign w:val="top"/>
          </w:tcPr>
          <w:p>
            <w:pPr>
              <w:ind w:left="365"/>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S3</w:t>
            </w:r>
          </w:p>
        </w:tc>
        <w:tc>
          <w:tcPr>
            <w:tcW w:w="7585" w:type="dxa"/>
            <w:vAlign w:val="top"/>
          </w:tcPr>
          <w:p>
            <w:pPr>
              <w:pStyle w:val="TableText"/>
              <w:ind w:left="11" w:right="4" w:hanging="2"/>
              <w:spacing w:before="34" w:line="235" w:lineRule="auto"/>
              <w:rPr/>
            </w:pPr>
            <w:r>
              <w:rPr>
                <w:spacing w:val="7"/>
              </w:rPr>
              <w:t>排放点下游（顺水流向）</w:t>
            </w:r>
            <w:r>
              <w:rPr>
                <w:rFonts w:ascii="Times New Roman" w:hAnsi="Times New Roman" w:eastAsia="Times New Roman" w:cs="Times New Roman"/>
                <w:spacing w:val="7"/>
              </w:rPr>
              <w:t>10</w:t>
            </w:r>
            <w:r>
              <w:rPr>
                <w:rFonts w:ascii="Times New Roman" w:hAnsi="Times New Roman" w:eastAsia="Times New Roman" w:cs="Times New Roman"/>
              </w:rPr>
              <w:t>km</w:t>
            </w:r>
            <w:r>
              <w:rPr>
                <w:rFonts w:ascii="Times New Roman" w:hAnsi="Times New Roman" w:eastAsia="Times New Roman" w:cs="Times New Roman"/>
                <w:spacing w:val="7"/>
              </w:rPr>
              <w:t xml:space="preserve"> </w:t>
            </w:r>
            <w:r>
              <w:rPr>
                <w:spacing w:val="7"/>
              </w:rPr>
              <w:t>范围内、近岸海域一个潮周期水质点可能达到的最大</w:t>
            </w:r>
            <w:r>
              <w:rPr/>
              <w:t xml:space="preserve"> </w:t>
            </w:r>
            <w:r>
              <w:rPr>
                <w:spacing w:val="7"/>
              </w:rPr>
              <w:t>水平距离的两倍范围内无上述类型</w:t>
            </w:r>
            <w:r>
              <w:rPr>
                <w:spacing w:val="-10"/>
              </w:rPr>
              <w:t xml:space="preserve"> </w:t>
            </w:r>
            <w:r>
              <w:rPr>
                <w:rFonts w:ascii="Times New Roman" w:hAnsi="Times New Roman" w:eastAsia="Times New Roman" w:cs="Times New Roman"/>
                <w:spacing w:val="7"/>
              </w:rPr>
              <w:t>1 </w:t>
            </w:r>
            <w:r>
              <w:rPr>
                <w:spacing w:val="7"/>
              </w:rPr>
              <w:t>和类型</w:t>
            </w:r>
            <w:r>
              <w:rPr>
                <w:spacing w:val="-43"/>
              </w:rPr>
              <w:t xml:space="preserve"> </w:t>
            </w:r>
            <w:r>
              <w:rPr>
                <w:rFonts w:ascii="Times New Roman" w:hAnsi="Times New Roman" w:eastAsia="Times New Roman" w:cs="Times New Roman"/>
                <w:spacing w:val="7"/>
              </w:rPr>
              <w:t>2 </w:t>
            </w:r>
            <w:r>
              <w:rPr>
                <w:spacing w:val="7"/>
              </w:rPr>
              <w:t>包括的敏感目标；</w:t>
            </w:r>
          </w:p>
        </w:tc>
      </w:tr>
    </w:tbl>
    <w:p>
      <w:pPr>
        <w:ind w:left="73" w:right="61" w:firstLine="504"/>
        <w:spacing w:before="34" w:line="359" w:lineRule="auto"/>
        <w:rPr>
          <w:rFonts w:ascii="SimSun" w:hAnsi="SimSun" w:eastAsia="SimSun" w:cs="SimSun"/>
          <w:sz w:val="24"/>
          <w:szCs w:val="24"/>
        </w:rPr>
      </w:pPr>
      <w:r>
        <w:rPr>
          <w:rFonts w:ascii="SimSun" w:hAnsi="SimSun" w:eastAsia="SimSun" w:cs="SimSun"/>
          <w:sz w:val="24"/>
          <w:szCs w:val="24"/>
          <w:spacing w:val="2"/>
        </w:rPr>
        <w:t>以本项目厂址为起点，后河属于内陆河，下游不涉及跨越国界、省界，地表</w:t>
      </w:r>
      <w:r>
        <w:rPr>
          <w:rFonts w:ascii="SimSun" w:hAnsi="SimSun" w:eastAsia="SimSun" w:cs="SimSun"/>
          <w:sz w:val="24"/>
          <w:szCs w:val="24"/>
        </w:rPr>
        <w:t xml:space="preserve"> </w:t>
      </w:r>
      <w:r>
        <w:rPr>
          <w:rFonts w:ascii="SimSun" w:hAnsi="SimSun" w:eastAsia="SimSun" w:cs="SimSun"/>
          <w:sz w:val="24"/>
          <w:szCs w:val="24"/>
          <w:spacing w:val="-2"/>
        </w:rPr>
        <w:t>水功能敏感性分区为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F3</w:t>
      </w:r>
      <w:r>
        <w:rPr>
          <w:rFonts w:ascii="SimSun" w:hAnsi="SimSun" w:eastAsia="SimSun" w:cs="SimSun"/>
          <w:sz w:val="24"/>
          <w:szCs w:val="24"/>
          <w:spacing w:val="-2"/>
        </w:rPr>
        <w:t>。</w:t>
      </w:r>
    </w:p>
    <w:p>
      <w:pPr>
        <w:ind w:left="70" w:right="59" w:firstLine="480"/>
        <w:spacing w:before="1" w:line="359" w:lineRule="auto"/>
        <w:jc w:val="both"/>
        <w:rPr>
          <w:rFonts w:ascii="SimSun" w:hAnsi="SimSun" w:eastAsia="SimSun" w:cs="SimSun"/>
          <w:sz w:val="24"/>
          <w:szCs w:val="24"/>
        </w:rPr>
      </w:pPr>
      <w:r>
        <w:rPr>
          <w:rFonts w:ascii="SimSun" w:hAnsi="SimSun" w:eastAsia="SimSun" w:cs="SimSun"/>
          <w:sz w:val="24"/>
          <w:szCs w:val="24"/>
          <w:spacing w:val="-3"/>
        </w:rPr>
        <w:t>本项目不涉及废水的直接外排，河流下游</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10k</w:t>
      </w:r>
      <w:r>
        <w:rPr>
          <w:rFonts w:ascii="Times New Roman" w:hAnsi="Times New Roman" w:eastAsia="Times New Roman" w:cs="Times New Roman"/>
          <w:sz w:val="24"/>
          <w:szCs w:val="24"/>
          <w:spacing w:val="-4"/>
        </w:rPr>
        <w:t>m </w:t>
      </w:r>
      <w:r>
        <w:rPr>
          <w:rFonts w:ascii="SimSun" w:hAnsi="SimSun" w:eastAsia="SimSun" w:cs="SimSun"/>
          <w:sz w:val="24"/>
          <w:szCs w:val="24"/>
          <w:spacing w:val="-4"/>
        </w:rPr>
        <w:t>范围内无集中式地表水饮用水</w:t>
      </w:r>
      <w:r>
        <w:rPr>
          <w:rFonts w:ascii="SimSun" w:hAnsi="SimSun" w:eastAsia="SimSun" w:cs="SimSun"/>
          <w:sz w:val="24"/>
          <w:szCs w:val="24"/>
        </w:rPr>
        <w:t xml:space="preserve"> </w:t>
      </w:r>
      <w:r>
        <w:rPr>
          <w:rFonts w:ascii="SimSun" w:hAnsi="SimSun" w:eastAsia="SimSun" w:cs="SimSun"/>
          <w:sz w:val="24"/>
          <w:szCs w:val="24"/>
          <w:spacing w:val="3"/>
        </w:rPr>
        <w:t>水源保护区；农村及分散式饮用水水源保护区自然保护</w:t>
      </w:r>
      <w:r>
        <w:rPr>
          <w:rFonts w:ascii="SimSun" w:hAnsi="SimSun" w:eastAsia="SimSun" w:cs="SimSun"/>
          <w:sz w:val="24"/>
          <w:szCs w:val="24"/>
          <w:spacing w:val="2"/>
        </w:rPr>
        <w:t>区；重要湿地；珍稀濒危</w:t>
      </w:r>
      <w:r>
        <w:rPr>
          <w:rFonts w:ascii="SimSun" w:hAnsi="SimSun" w:eastAsia="SimSun" w:cs="SimSun"/>
          <w:sz w:val="24"/>
          <w:szCs w:val="24"/>
        </w:rPr>
        <w:t xml:space="preserve"> </w:t>
      </w:r>
      <w:r>
        <w:rPr>
          <w:rFonts w:ascii="SimSun" w:hAnsi="SimSun" w:eastAsia="SimSun" w:cs="SimSun"/>
          <w:sz w:val="24"/>
          <w:szCs w:val="24"/>
          <w:spacing w:val="3"/>
        </w:rPr>
        <w:t>野生动植物天然集中分布区；重要水生生物的自然产卵</w:t>
      </w:r>
      <w:r>
        <w:rPr>
          <w:rFonts w:ascii="SimSun" w:hAnsi="SimSun" w:eastAsia="SimSun" w:cs="SimSun"/>
          <w:sz w:val="24"/>
          <w:szCs w:val="24"/>
          <w:spacing w:val="2"/>
        </w:rPr>
        <w:t>场及索饵场、越冬场和洄</w:t>
      </w:r>
      <w:r>
        <w:rPr>
          <w:rFonts w:ascii="SimSun" w:hAnsi="SimSun" w:eastAsia="SimSun" w:cs="SimSun"/>
          <w:sz w:val="24"/>
          <w:szCs w:val="24"/>
        </w:rPr>
        <w:t xml:space="preserve"> </w:t>
      </w:r>
      <w:r>
        <w:rPr>
          <w:rFonts w:ascii="SimSun" w:hAnsi="SimSun" w:eastAsia="SimSun" w:cs="SimSun"/>
          <w:sz w:val="24"/>
          <w:szCs w:val="24"/>
          <w:spacing w:val="3"/>
        </w:rPr>
        <w:t>游通道；世界文化和自然遗产地，以及水产养殖区、天</w:t>
      </w:r>
      <w:r>
        <w:rPr>
          <w:rFonts w:ascii="SimSun" w:hAnsi="SimSun" w:eastAsia="SimSun" w:cs="SimSun"/>
          <w:sz w:val="24"/>
          <w:szCs w:val="24"/>
          <w:spacing w:val="2"/>
        </w:rPr>
        <w:t>然渔场、森林公园、地质</w:t>
      </w:r>
      <w:r>
        <w:rPr>
          <w:rFonts w:ascii="SimSun" w:hAnsi="SimSun" w:eastAsia="SimSun" w:cs="SimSun"/>
          <w:sz w:val="24"/>
          <w:szCs w:val="24"/>
        </w:rPr>
        <w:t xml:space="preserve"> </w:t>
      </w:r>
      <w:r>
        <w:rPr>
          <w:rFonts w:ascii="SimSun" w:hAnsi="SimSun" w:eastAsia="SimSun" w:cs="SimSun"/>
          <w:sz w:val="24"/>
          <w:szCs w:val="24"/>
          <w:spacing w:val="-2"/>
        </w:rPr>
        <w:t>公园，地表水敏感目标分级为</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2"/>
        </w:rPr>
        <w:t>S3</w:t>
      </w:r>
      <w:r>
        <w:rPr>
          <w:rFonts w:ascii="SimSun" w:hAnsi="SimSun" w:eastAsia="SimSun" w:cs="SimSun"/>
          <w:sz w:val="24"/>
          <w:szCs w:val="24"/>
          <w:spacing w:val="-2"/>
        </w:rPr>
        <w:t>。</w:t>
      </w:r>
    </w:p>
    <w:p>
      <w:pPr>
        <w:ind w:left="71" w:right="61" w:firstLine="480"/>
        <w:spacing w:line="359" w:lineRule="auto"/>
        <w:rPr>
          <w:rFonts w:ascii="SimSun" w:hAnsi="SimSun" w:eastAsia="SimSun" w:cs="SimSun"/>
          <w:sz w:val="24"/>
          <w:szCs w:val="24"/>
        </w:rPr>
      </w:pPr>
      <w:r>
        <w:rPr>
          <w:rFonts w:ascii="SimSun" w:hAnsi="SimSun" w:eastAsia="SimSun" w:cs="SimSun"/>
          <w:sz w:val="24"/>
          <w:szCs w:val="24"/>
          <w:spacing w:val="2"/>
        </w:rPr>
        <w:t>上述，项目区域地表水功能敏感性分区为</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F3</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2"/>
        </w:rPr>
        <w:t>，环境敏感目标为</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2"/>
        </w:rPr>
        <w:t>S3</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2"/>
        </w:rPr>
        <w:t>，根据表</w:t>
      </w:r>
      <w:r>
        <w:rPr>
          <w:rFonts w:ascii="SimSun" w:hAnsi="SimSun" w:eastAsia="SimSun" w:cs="SimSun"/>
          <w:sz w:val="24"/>
          <w:szCs w:val="24"/>
        </w:rPr>
        <w:t xml:space="preserve"> </w:t>
      </w:r>
      <w:r>
        <w:rPr>
          <w:rFonts w:ascii="Times New Roman" w:hAnsi="Times New Roman" w:eastAsia="Times New Roman" w:cs="Times New Roman"/>
          <w:sz w:val="24"/>
          <w:szCs w:val="24"/>
          <w:spacing w:val="-2"/>
        </w:rPr>
        <w:t>6.2-67</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，地表水环境敏感程度分级为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E3</w:t>
      </w:r>
      <w:r>
        <w:rPr>
          <w:rFonts w:ascii="SimSun" w:hAnsi="SimSun" w:eastAsia="SimSun" w:cs="SimSun"/>
          <w:sz w:val="24"/>
          <w:szCs w:val="24"/>
          <w:spacing w:val="-3"/>
        </w:rPr>
        <w:t>。</w:t>
      </w:r>
    </w:p>
    <w:p>
      <w:pPr>
        <w:ind w:left="551"/>
        <w:spacing w:before="1" w:line="219" w:lineRule="auto"/>
        <w:rPr>
          <w:rFonts w:ascii="SimSun" w:hAnsi="SimSun" w:eastAsia="SimSun" w:cs="SimSun"/>
          <w:sz w:val="24"/>
          <w:szCs w:val="24"/>
        </w:rPr>
      </w:pPr>
      <w:r>
        <w:rPr>
          <w:rFonts w:ascii="Times New Roman" w:hAnsi="Times New Roman" w:eastAsia="Times New Roman" w:cs="Times New Roman"/>
          <w:sz w:val="24"/>
          <w:szCs w:val="24"/>
          <w:spacing w:val="-2"/>
        </w:rPr>
        <w:t>3</w:t>
      </w:r>
      <w:r>
        <w:rPr>
          <w:rFonts w:ascii="SimSun" w:hAnsi="SimSun" w:eastAsia="SimSun" w:cs="SimSun"/>
          <w:sz w:val="24"/>
          <w:szCs w:val="24"/>
          <w:spacing w:val="-2"/>
        </w:rPr>
        <w:t>）地下水环境</w:t>
      </w:r>
    </w:p>
    <w:p>
      <w:pPr>
        <w:ind w:left="71" w:firstLine="479"/>
        <w:spacing w:before="183" w:line="359" w:lineRule="auto"/>
        <w:rPr>
          <w:rFonts w:ascii="SimSun" w:hAnsi="SimSun" w:eastAsia="SimSun" w:cs="SimSun"/>
          <w:sz w:val="24"/>
          <w:szCs w:val="24"/>
        </w:rPr>
      </w:pPr>
      <w:r>
        <w:rPr>
          <w:rFonts w:ascii="SimSun" w:hAnsi="SimSun" w:eastAsia="SimSun" w:cs="SimSun"/>
          <w:sz w:val="24"/>
          <w:szCs w:val="24"/>
          <w:spacing w:val="-7"/>
        </w:rPr>
        <w:t>地下水环境敏感程度（</w:t>
      </w:r>
      <w:r>
        <w:rPr>
          <w:rFonts w:ascii="Times New Roman" w:hAnsi="Times New Roman" w:eastAsia="Times New Roman" w:cs="Times New Roman"/>
          <w:sz w:val="24"/>
          <w:szCs w:val="24"/>
          <w:spacing w:val="-7"/>
        </w:rPr>
        <w:t>E</w:t>
      </w:r>
      <w:r>
        <w:rPr>
          <w:rFonts w:ascii="SimSun" w:hAnsi="SimSun" w:eastAsia="SimSun" w:cs="SimSun"/>
          <w:sz w:val="24"/>
          <w:szCs w:val="24"/>
          <w:spacing w:val="-7"/>
        </w:rPr>
        <w:t>）分级依据地下水功能敏感性和包气带防污性能判定，</w:t>
      </w:r>
      <w:r>
        <w:rPr>
          <w:rFonts w:ascii="SimSun" w:hAnsi="SimSun" w:eastAsia="SimSun" w:cs="SimSun"/>
          <w:sz w:val="24"/>
          <w:szCs w:val="24"/>
          <w:spacing w:val="12"/>
        </w:rPr>
        <w:t xml:space="preserve"> </w:t>
      </w:r>
      <w:r>
        <w:rPr>
          <w:rFonts w:ascii="SimSun" w:hAnsi="SimSun" w:eastAsia="SimSun" w:cs="SimSun"/>
          <w:sz w:val="24"/>
          <w:szCs w:val="24"/>
          <w:spacing w:val="-2"/>
        </w:rPr>
        <w:t>敏感程度分级依据详见表</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2"/>
        </w:rPr>
        <w:t>6.2-10</w:t>
      </w:r>
      <w:r>
        <w:rPr>
          <w:rFonts w:ascii="SimSun" w:hAnsi="SimSun" w:eastAsia="SimSun" w:cs="SimSun"/>
          <w:sz w:val="24"/>
          <w:szCs w:val="24"/>
          <w:spacing w:val="-2"/>
        </w:rPr>
        <w:t>。</w:t>
      </w:r>
    </w:p>
    <w:p>
      <w:pPr>
        <w:ind w:left="1975"/>
        <w:spacing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5"/>
        </w:rPr>
        <w:t xml:space="preserve"> </w:t>
      </w:r>
      <w:r>
        <w:rPr>
          <w:rFonts w:ascii="Times New Roman" w:hAnsi="Times New Roman" w:eastAsia="Times New Roman" w:cs="Times New Roman"/>
          <w:sz w:val="24"/>
          <w:szCs w:val="24"/>
          <w:b/>
          <w:bCs/>
          <w:spacing w:val="-2"/>
        </w:rPr>
        <w:t>6.2-10        </w:t>
      </w:r>
      <w:r>
        <w:rPr>
          <w:rFonts w:ascii="SimSun" w:hAnsi="SimSun" w:eastAsia="SimSun" w:cs="SimSun"/>
          <w:sz w:val="24"/>
          <w:szCs w:val="24"/>
          <w:b/>
          <w:bCs/>
          <w:spacing w:val="-2"/>
        </w:rPr>
        <w:t>地下水环境敏感程度（</w:t>
      </w:r>
      <w:r>
        <w:rPr>
          <w:rFonts w:ascii="Times New Roman" w:hAnsi="Times New Roman" w:eastAsia="Times New Roman" w:cs="Times New Roman"/>
          <w:sz w:val="24"/>
          <w:szCs w:val="24"/>
          <w:b/>
          <w:bCs/>
          <w:spacing w:val="-2"/>
        </w:rPr>
        <w:t>E</w:t>
      </w:r>
      <w:r>
        <w:rPr>
          <w:rFonts w:ascii="SimSun" w:hAnsi="SimSun" w:eastAsia="SimSun" w:cs="SimSun"/>
          <w:sz w:val="24"/>
          <w:szCs w:val="24"/>
          <w:b/>
          <w:bCs/>
          <w:spacing w:val="-2"/>
        </w:rPr>
        <w:t>）分级</w:t>
      </w:r>
    </w:p>
    <w:tbl>
      <w:tblPr>
        <w:tblStyle w:val="TableNormal"/>
        <w:tblW w:w="862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874"/>
        <w:gridCol w:w="2477"/>
        <w:gridCol w:w="1733"/>
        <w:gridCol w:w="1536"/>
      </w:tblGrid>
      <w:tr>
        <w:trPr>
          <w:trHeight w:val="280" w:hRule="atLeast"/>
        </w:trPr>
        <w:tc>
          <w:tcPr>
            <w:tcW w:w="2874" w:type="dxa"/>
            <w:vAlign w:val="top"/>
            <w:vMerge w:val="restart"/>
            <w:tcBorders>
              <w:bottom w:val="nil"/>
            </w:tcBorders>
          </w:tcPr>
          <w:p>
            <w:pPr>
              <w:pStyle w:val="TableText"/>
              <w:ind w:left="707"/>
              <w:spacing w:before="160" w:line="228" w:lineRule="auto"/>
              <w:rPr/>
            </w:pPr>
            <w:r>
              <w:rPr>
                <w:spacing w:val="8"/>
              </w:rPr>
              <w:t>包气带防污性能</w:t>
            </w:r>
          </w:p>
        </w:tc>
        <w:tc>
          <w:tcPr>
            <w:tcW w:w="5746" w:type="dxa"/>
            <w:vAlign w:val="top"/>
            <w:gridSpan w:val="3"/>
          </w:tcPr>
          <w:p>
            <w:pPr>
              <w:pStyle w:val="TableText"/>
              <w:ind w:left="2036"/>
              <w:spacing w:before="36" w:line="216" w:lineRule="auto"/>
              <w:rPr/>
            </w:pPr>
            <w:r>
              <w:rPr>
                <w:spacing w:val="8"/>
              </w:rPr>
              <w:t>地下水功能敏感性</w:t>
            </w:r>
          </w:p>
        </w:tc>
      </w:tr>
      <w:tr>
        <w:trPr>
          <w:trHeight w:val="245" w:hRule="atLeast"/>
        </w:trPr>
        <w:tc>
          <w:tcPr>
            <w:tcW w:w="2874" w:type="dxa"/>
            <w:vAlign w:val="top"/>
            <w:vMerge w:val="continue"/>
            <w:tcBorders>
              <w:top w:val="nil"/>
            </w:tcBorders>
          </w:tcPr>
          <w:p>
            <w:pPr>
              <w:rPr>
                <w:rFonts w:ascii="Arial"/>
                <w:sz w:val="21"/>
              </w:rPr>
            </w:pPr>
            <w:r/>
          </w:p>
        </w:tc>
        <w:tc>
          <w:tcPr>
            <w:tcW w:w="2477" w:type="dxa"/>
            <w:vAlign w:val="top"/>
          </w:tcPr>
          <w:p>
            <w:pPr>
              <w:ind w:left="1116"/>
              <w:spacing w:before="53"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G1</w:t>
            </w:r>
          </w:p>
        </w:tc>
        <w:tc>
          <w:tcPr>
            <w:tcW w:w="1733" w:type="dxa"/>
            <w:vAlign w:val="top"/>
          </w:tcPr>
          <w:p>
            <w:pPr>
              <w:ind w:left="743"/>
              <w:spacing w:before="53"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G2</w:t>
            </w:r>
          </w:p>
        </w:tc>
        <w:tc>
          <w:tcPr>
            <w:tcW w:w="1536" w:type="dxa"/>
            <w:vAlign w:val="top"/>
          </w:tcPr>
          <w:p>
            <w:pPr>
              <w:ind w:left="642"/>
              <w:spacing w:before="53" w:line="18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G3</w:t>
            </w:r>
          </w:p>
        </w:tc>
      </w:tr>
      <w:tr>
        <w:trPr>
          <w:trHeight w:val="246" w:hRule="atLeast"/>
        </w:trPr>
        <w:tc>
          <w:tcPr>
            <w:tcW w:w="2874" w:type="dxa"/>
            <w:vAlign w:val="top"/>
          </w:tcPr>
          <w:p>
            <w:pPr>
              <w:ind w:left="1310"/>
              <w:spacing w:before="55"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D1</w:t>
            </w:r>
          </w:p>
        </w:tc>
        <w:tc>
          <w:tcPr>
            <w:tcW w:w="2477" w:type="dxa"/>
            <w:vAlign w:val="top"/>
          </w:tcPr>
          <w:p>
            <w:pPr>
              <w:ind w:left="1125"/>
              <w:spacing w:before="55"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E1</w:t>
            </w:r>
          </w:p>
        </w:tc>
        <w:tc>
          <w:tcPr>
            <w:tcW w:w="1733" w:type="dxa"/>
            <w:vAlign w:val="top"/>
          </w:tcPr>
          <w:p>
            <w:pPr>
              <w:ind w:left="752"/>
              <w:spacing w:before="55" w:line="188" w:lineRule="auto"/>
              <w:rPr>
                <w:rFonts w:ascii="Times New Roman" w:hAnsi="Times New Roman" w:eastAsia="Times New Roman" w:cs="Times New Roman"/>
                <w:sz w:val="20"/>
                <w:szCs w:val="20"/>
              </w:rPr>
            </w:pPr>
            <w:r>
              <w:rPr>
                <w:shd w:val="clear" w:fill="D9D9D9"/>
                <w:rFonts w:ascii="Times New Roman" w:hAnsi="Times New Roman" w:eastAsia="Times New Roman" w:cs="Times New Roman"/>
                <w:sz w:val="20"/>
                <w:szCs w:val="20"/>
                <w:spacing w:val="2"/>
              </w:rPr>
              <w:t>E1</w:t>
            </w:r>
          </w:p>
        </w:tc>
        <w:tc>
          <w:tcPr>
            <w:tcW w:w="1536" w:type="dxa"/>
            <w:vAlign w:val="top"/>
          </w:tcPr>
          <w:p>
            <w:pPr>
              <w:ind w:left="651"/>
              <w:spacing w:before="55"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E2</w:t>
            </w:r>
          </w:p>
        </w:tc>
      </w:tr>
      <w:tr>
        <w:trPr>
          <w:trHeight w:val="245" w:hRule="atLeast"/>
        </w:trPr>
        <w:tc>
          <w:tcPr>
            <w:tcW w:w="2874" w:type="dxa"/>
            <w:vAlign w:val="top"/>
          </w:tcPr>
          <w:p>
            <w:pPr>
              <w:ind w:left="1310"/>
              <w:spacing w:before="54"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D2</w:t>
            </w:r>
          </w:p>
        </w:tc>
        <w:tc>
          <w:tcPr>
            <w:tcW w:w="2477" w:type="dxa"/>
            <w:vAlign w:val="top"/>
          </w:tcPr>
          <w:p>
            <w:pPr>
              <w:ind w:left="1125"/>
              <w:spacing w:before="54"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E1</w:t>
            </w:r>
          </w:p>
        </w:tc>
        <w:tc>
          <w:tcPr>
            <w:tcW w:w="1733" w:type="dxa"/>
            <w:vAlign w:val="top"/>
          </w:tcPr>
          <w:p>
            <w:pPr>
              <w:ind w:left="752"/>
              <w:spacing w:before="54"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E2</w:t>
            </w:r>
          </w:p>
        </w:tc>
        <w:tc>
          <w:tcPr>
            <w:tcW w:w="1536" w:type="dxa"/>
            <w:vAlign w:val="top"/>
          </w:tcPr>
          <w:p>
            <w:pPr>
              <w:ind w:left="651"/>
              <w:spacing w:before="54"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E3</w:t>
            </w:r>
          </w:p>
        </w:tc>
      </w:tr>
      <w:tr>
        <w:trPr>
          <w:trHeight w:val="251" w:hRule="atLeast"/>
        </w:trPr>
        <w:tc>
          <w:tcPr>
            <w:tcW w:w="2874" w:type="dxa"/>
            <w:vAlign w:val="top"/>
          </w:tcPr>
          <w:p>
            <w:pPr>
              <w:ind w:left="1310"/>
              <w:spacing w:before="56" w:line="193"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D3</w:t>
            </w:r>
          </w:p>
        </w:tc>
        <w:tc>
          <w:tcPr>
            <w:tcW w:w="2477" w:type="dxa"/>
            <w:vAlign w:val="top"/>
          </w:tcPr>
          <w:p>
            <w:pPr>
              <w:ind w:left="1125"/>
              <w:spacing w:before="56" w:line="193"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E2</w:t>
            </w:r>
          </w:p>
        </w:tc>
        <w:tc>
          <w:tcPr>
            <w:tcW w:w="1733" w:type="dxa"/>
            <w:vAlign w:val="top"/>
          </w:tcPr>
          <w:p>
            <w:pPr>
              <w:ind w:left="752"/>
              <w:spacing w:before="56" w:line="193"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E3</w:t>
            </w:r>
          </w:p>
        </w:tc>
        <w:tc>
          <w:tcPr>
            <w:tcW w:w="1536" w:type="dxa"/>
            <w:vAlign w:val="top"/>
          </w:tcPr>
          <w:p>
            <w:pPr>
              <w:ind w:left="651"/>
              <w:spacing w:before="56" w:line="193"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E3</w:t>
            </w:r>
          </w:p>
        </w:tc>
      </w:tr>
    </w:tbl>
    <w:p>
      <w:pPr>
        <w:ind w:left="550"/>
        <w:spacing w:before="35" w:line="219" w:lineRule="auto"/>
        <w:rPr>
          <w:rFonts w:ascii="SimSun" w:hAnsi="SimSun" w:eastAsia="SimSun" w:cs="SimSun"/>
          <w:sz w:val="24"/>
          <w:szCs w:val="24"/>
        </w:rPr>
      </w:pPr>
      <w:r>
        <w:rPr>
          <w:rFonts w:ascii="SimSun" w:hAnsi="SimSun" w:eastAsia="SimSun" w:cs="SimSun"/>
          <w:sz w:val="24"/>
          <w:szCs w:val="24"/>
          <w:spacing w:val="-2"/>
        </w:rPr>
        <w:t>地下水功能敏感性分区和包气带防污性能分级详见表</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2"/>
        </w:rPr>
        <w:t>6.2-11~</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12</w:t>
      </w:r>
      <w:r>
        <w:rPr>
          <w:rFonts w:ascii="SimSun" w:hAnsi="SimSun" w:eastAsia="SimSun" w:cs="SimSun"/>
          <w:sz w:val="24"/>
          <w:szCs w:val="24"/>
          <w:spacing w:val="-2"/>
        </w:rPr>
        <w:t>。</w:t>
      </w:r>
    </w:p>
    <w:p>
      <w:pPr>
        <w:spacing w:line="219" w:lineRule="auto"/>
        <w:sectPr>
          <w:headerReference w:type="default" r:id="rId335"/>
          <w:footerReference w:type="default" r:id="rId336"/>
          <w:pgSz w:w="11907" w:h="16840"/>
          <w:pgMar w:top="1567" w:right="1640" w:bottom="1921" w:left="1640" w:header="1221" w:footer="1247" w:gutter="0"/>
        </w:sectPr>
        <w:rPr>
          <w:rFonts w:ascii="SimSun" w:hAnsi="SimSun" w:eastAsia="SimSun" w:cs="SimSun"/>
          <w:sz w:val="24"/>
          <w:szCs w:val="24"/>
        </w:rPr>
      </w:pPr>
    </w:p>
    <w:p>
      <w:pPr>
        <w:ind w:left="2467"/>
        <w:spacing w:before="187" w:line="211" w:lineRule="auto"/>
        <w:rPr>
          <w:rFonts w:ascii="SimSun" w:hAnsi="SimSun" w:eastAsia="SimSun" w:cs="SimSun"/>
          <w:sz w:val="24"/>
          <w:szCs w:val="24"/>
        </w:rPr>
      </w:pPr>
      <w:r>
        <w:pict>
          <v:shape id="_x0000_s1124" style="position:absolute;margin-left:85.05pt;margin-top:79.11pt;mso-position-vertical-relative:page;mso-position-horizontal-relative:page;width:425.25pt;height:0.75pt;z-index:252227584;" o:allowincell="f" fillcolor="#000000" filled="true" stroked="false" coordsize="8505,15" coordorigin="0,0" path="m,l8505,0l8505,14l0,14l0,0xe"/>
        </w:pict>
      </w:r>
      <w:r>
        <w:rPr>
          <w:rFonts w:ascii="SimSun" w:hAnsi="SimSun" w:eastAsia="SimSun" w:cs="SimSun"/>
          <w:sz w:val="24"/>
          <w:szCs w:val="24"/>
          <w:b/>
          <w:bCs/>
          <w:spacing w:val="-2"/>
        </w:rPr>
        <w:t>表</w:t>
      </w:r>
      <w:r>
        <w:rPr>
          <w:rFonts w:ascii="SimSun" w:hAnsi="SimSun" w:eastAsia="SimSun" w:cs="SimSun"/>
          <w:sz w:val="24"/>
          <w:szCs w:val="24"/>
          <w:spacing w:val="-39"/>
        </w:rPr>
        <w:t xml:space="preserve"> </w:t>
      </w:r>
      <w:r>
        <w:rPr>
          <w:rFonts w:ascii="Times New Roman" w:hAnsi="Times New Roman" w:eastAsia="Times New Roman" w:cs="Times New Roman"/>
          <w:sz w:val="24"/>
          <w:szCs w:val="24"/>
          <w:b/>
          <w:bCs/>
          <w:spacing w:val="-2"/>
        </w:rPr>
        <w:t>6.2-11        </w:t>
      </w:r>
      <w:r>
        <w:rPr>
          <w:rFonts w:ascii="SimSun" w:hAnsi="SimSun" w:eastAsia="SimSun" w:cs="SimSun"/>
          <w:sz w:val="24"/>
          <w:szCs w:val="24"/>
          <w:b/>
          <w:bCs/>
          <w:spacing w:val="-2"/>
        </w:rPr>
        <w:t>地下水功能敏感性分区</w:t>
      </w:r>
    </w:p>
    <w:tbl>
      <w:tblPr>
        <w:tblStyle w:val="TableNormal"/>
        <w:tblW w:w="8517" w:type="dxa"/>
        <w:tblInd w:w="10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42"/>
        <w:gridCol w:w="7275"/>
      </w:tblGrid>
      <w:tr>
        <w:trPr>
          <w:trHeight w:val="282" w:hRule="atLeast"/>
        </w:trPr>
        <w:tc>
          <w:tcPr>
            <w:tcW w:w="1242" w:type="dxa"/>
            <w:vAlign w:val="top"/>
          </w:tcPr>
          <w:p>
            <w:pPr>
              <w:pStyle w:val="TableText"/>
              <w:ind w:left="313"/>
              <w:spacing w:before="34" w:line="219" w:lineRule="auto"/>
              <w:rPr/>
            </w:pPr>
            <w:r>
              <w:rPr>
                <w:spacing w:val="6"/>
              </w:rPr>
              <w:t>敏感性</w:t>
            </w:r>
          </w:p>
        </w:tc>
        <w:tc>
          <w:tcPr>
            <w:tcW w:w="7275" w:type="dxa"/>
            <w:vAlign w:val="top"/>
          </w:tcPr>
          <w:p>
            <w:pPr>
              <w:pStyle w:val="TableText"/>
              <w:ind w:left="2696"/>
              <w:spacing w:before="34" w:line="219" w:lineRule="auto"/>
              <w:rPr/>
            </w:pPr>
            <w:r>
              <w:rPr>
                <w:spacing w:val="8"/>
              </w:rPr>
              <w:t>地下水环境敏感特征</w:t>
            </w:r>
          </w:p>
        </w:tc>
      </w:tr>
      <w:tr>
        <w:trPr>
          <w:trHeight w:val="821" w:hRule="atLeast"/>
        </w:trPr>
        <w:tc>
          <w:tcPr>
            <w:tcW w:w="1242" w:type="dxa"/>
            <w:vAlign w:val="top"/>
          </w:tcPr>
          <w:p>
            <w:pPr>
              <w:pStyle w:val="TableText"/>
              <w:ind w:left="262"/>
              <w:spacing w:before="302" w:line="228" w:lineRule="auto"/>
              <w:rPr>
                <w:rFonts w:ascii="Times New Roman" w:hAnsi="Times New Roman" w:eastAsia="Times New Roman" w:cs="Times New Roman"/>
              </w:rPr>
            </w:pPr>
            <w:r>
              <w:rPr>
                <w:spacing w:val="3"/>
              </w:rPr>
              <w:t>敏感</w:t>
            </w:r>
            <w:r>
              <w:rPr>
                <w:spacing w:val="-38"/>
              </w:rPr>
              <w:t xml:space="preserve"> </w:t>
            </w:r>
            <w:r>
              <w:rPr>
                <w:rFonts w:ascii="Times New Roman" w:hAnsi="Times New Roman" w:eastAsia="Times New Roman" w:cs="Times New Roman"/>
                <w:spacing w:val="3"/>
              </w:rPr>
              <w:t>G1</w:t>
            </w:r>
          </w:p>
        </w:tc>
        <w:tc>
          <w:tcPr>
            <w:tcW w:w="7275" w:type="dxa"/>
            <w:vAlign w:val="top"/>
          </w:tcPr>
          <w:p>
            <w:pPr>
              <w:pStyle w:val="TableText"/>
              <w:ind w:left="9" w:right="4" w:hanging="1"/>
              <w:spacing w:before="30"/>
              <w:jc w:val="both"/>
              <w:rPr/>
            </w:pPr>
            <w:r>
              <w:rPr>
                <w:spacing w:val="7"/>
              </w:rPr>
              <w:t>集中式饮用水源地（包括已建、备用、应急水源，在建和规划的饮用水水源）标</w:t>
            </w:r>
            <w:r>
              <w:rPr>
                <w:spacing w:val="10"/>
              </w:rPr>
              <w:t xml:space="preserve"> </w:t>
            </w:r>
            <w:r>
              <w:rPr>
                <w:spacing w:val="7"/>
              </w:rPr>
              <w:t>准保护区；除集中式饮用水水源以外的国家或地方政府设定的与地下水环境相关</w:t>
            </w:r>
            <w:r>
              <w:rPr>
                <w:spacing w:val="6"/>
              </w:rPr>
              <w:t xml:space="preserve"> </w:t>
            </w:r>
            <w:r>
              <w:rPr>
                <w:spacing w:val="9"/>
              </w:rPr>
              <w:t>的其他保护区。如热水、矿泉水、温泉等特殊地下水资源保护区。</w:t>
            </w:r>
          </w:p>
        </w:tc>
      </w:tr>
      <w:tr>
        <w:trPr>
          <w:trHeight w:val="1092" w:hRule="atLeast"/>
        </w:trPr>
        <w:tc>
          <w:tcPr>
            <w:tcW w:w="1242" w:type="dxa"/>
            <w:vAlign w:val="top"/>
          </w:tcPr>
          <w:p>
            <w:pPr>
              <w:spacing w:line="373" w:lineRule="auto"/>
              <w:rPr>
                <w:rFonts w:ascii="Arial"/>
                <w:sz w:val="21"/>
              </w:rPr>
            </w:pPr>
            <w:r/>
          </w:p>
          <w:p>
            <w:pPr>
              <w:pStyle w:val="TableText"/>
              <w:ind w:left="262"/>
              <w:spacing w:before="65" w:line="228" w:lineRule="auto"/>
              <w:rPr>
                <w:rFonts w:ascii="Times New Roman" w:hAnsi="Times New Roman" w:eastAsia="Times New Roman" w:cs="Times New Roman"/>
              </w:rPr>
            </w:pPr>
            <w:r>
              <w:rPr>
                <w:spacing w:val="3"/>
              </w:rPr>
              <w:t>敏感</w:t>
            </w:r>
            <w:r>
              <w:rPr>
                <w:spacing w:val="-38"/>
              </w:rPr>
              <w:t xml:space="preserve"> </w:t>
            </w:r>
            <w:r>
              <w:rPr>
                <w:rFonts w:ascii="Times New Roman" w:hAnsi="Times New Roman" w:eastAsia="Times New Roman" w:cs="Times New Roman"/>
                <w:spacing w:val="3"/>
              </w:rPr>
              <w:t>G2</w:t>
            </w:r>
          </w:p>
        </w:tc>
        <w:tc>
          <w:tcPr>
            <w:tcW w:w="7275" w:type="dxa"/>
            <w:vAlign w:val="top"/>
          </w:tcPr>
          <w:p>
            <w:pPr>
              <w:pStyle w:val="TableText"/>
              <w:ind w:left="8" w:right="4"/>
              <w:spacing w:before="33" w:line="242" w:lineRule="auto"/>
              <w:jc w:val="both"/>
              <w:rPr/>
            </w:pPr>
            <w:r>
              <w:rPr>
                <w:spacing w:val="7"/>
              </w:rPr>
              <w:t>集中式饮用水源地（包括已建、备用、应急水源，在建和规划的饮用水水源）准</w:t>
            </w:r>
            <w:r>
              <w:rPr>
                <w:spacing w:val="10"/>
              </w:rPr>
              <w:t xml:space="preserve"> </w:t>
            </w:r>
            <w:r>
              <w:rPr>
                <w:spacing w:val="7"/>
              </w:rPr>
              <w:t>保护区以外的补给径流区；未划定准保护区的集中式饮用水水源，其保护区以外 </w:t>
            </w:r>
            <w:r>
              <w:rPr>
                <w:spacing w:val="7"/>
              </w:rPr>
              <w:t>的补给径流区；分散式饮用水水源地；特殊地下水资源（如热水、矿泉水、温泉 </w:t>
            </w:r>
            <w:r>
              <w:rPr>
                <w:spacing w:val="9"/>
              </w:rPr>
              <w:t>等）保护区以外的分布区等其他未列入上述敏感分级的环境敏感</w:t>
            </w:r>
            <w:r>
              <w:rPr>
                <w:spacing w:val="8"/>
              </w:rPr>
              <w:t>区</w:t>
            </w:r>
            <w:r>
              <w:rPr>
                <w:spacing w:val="-42"/>
              </w:rPr>
              <w:t xml:space="preserve"> </w:t>
            </w:r>
            <w:r>
              <w:rPr>
                <w:rFonts w:ascii="Times New Roman" w:hAnsi="Times New Roman" w:eastAsia="Times New Roman" w:cs="Times New Roman"/>
                <w:sz w:val="13"/>
                <w:szCs w:val="13"/>
                <w:spacing w:val="8"/>
                <w:position w:val="6"/>
              </w:rPr>
              <w:t>a</w:t>
            </w:r>
            <w:r>
              <w:rPr>
                <w:spacing w:val="8"/>
              </w:rPr>
              <w:t>。</w:t>
            </w:r>
          </w:p>
        </w:tc>
      </w:tr>
      <w:tr>
        <w:trPr>
          <w:trHeight w:val="276" w:hRule="atLeast"/>
        </w:trPr>
        <w:tc>
          <w:tcPr>
            <w:tcW w:w="1242" w:type="dxa"/>
            <w:vAlign w:val="top"/>
          </w:tcPr>
          <w:p>
            <w:pPr>
              <w:pStyle w:val="TableText"/>
              <w:ind w:left="262"/>
              <w:spacing w:before="35" w:line="213" w:lineRule="auto"/>
              <w:rPr>
                <w:rFonts w:ascii="Times New Roman" w:hAnsi="Times New Roman" w:eastAsia="Times New Roman" w:cs="Times New Roman"/>
              </w:rPr>
            </w:pPr>
            <w:r>
              <w:rPr>
                <w:spacing w:val="3"/>
              </w:rPr>
              <w:t>敏感</w:t>
            </w:r>
            <w:r>
              <w:rPr>
                <w:spacing w:val="-38"/>
              </w:rPr>
              <w:t xml:space="preserve"> </w:t>
            </w:r>
            <w:r>
              <w:rPr>
                <w:rFonts w:ascii="Times New Roman" w:hAnsi="Times New Roman" w:eastAsia="Times New Roman" w:cs="Times New Roman"/>
                <w:spacing w:val="3"/>
              </w:rPr>
              <w:t>G3</w:t>
            </w:r>
          </w:p>
        </w:tc>
        <w:tc>
          <w:tcPr>
            <w:tcW w:w="7275" w:type="dxa"/>
            <w:vAlign w:val="top"/>
          </w:tcPr>
          <w:p>
            <w:pPr>
              <w:pStyle w:val="TableText"/>
              <w:ind w:left="10"/>
              <w:spacing w:before="35" w:line="213" w:lineRule="auto"/>
              <w:rPr/>
            </w:pPr>
            <w:r>
              <w:rPr>
                <w:spacing w:val="9"/>
              </w:rPr>
              <w:t>上述地区以外的其他地区</w:t>
            </w:r>
          </w:p>
        </w:tc>
      </w:tr>
      <w:tr>
        <w:trPr>
          <w:trHeight w:val="282" w:hRule="atLeast"/>
        </w:trPr>
        <w:tc>
          <w:tcPr>
            <w:tcW w:w="8517" w:type="dxa"/>
            <w:vAlign w:val="top"/>
            <w:gridSpan w:val="2"/>
          </w:tcPr>
          <w:p>
            <w:pPr>
              <w:pStyle w:val="TableText"/>
              <w:ind w:left="9"/>
              <w:spacing w:before="35" w:line="218" w:lineRule="auto"/>
              <w:rPr/>
            </w:pPr>
            <w:r>
              <w:rPr>
                <w:rFonts w:ascii="Times New Roman" w:hAnsi="Times New Roman" w:eastAsia="Times New Roman" w:cs="Times New Roman"/>
                <w:sz w:val="13"/>
                <w:szCs w:val="13"/>
                <w:spacing w:val="9"/>
              </w:rPr>
              <w:t>a</w:t>
            </w:r>
            <w:r>
              <w:rPr>
                <w:rFonts w:ascii="Times New Roman" w:hAnsi="Times New Roman" w:eastAsia="Times New Roman" w:cs="Times New Roman"/>
                <w:spacing w:val="9"/>
              </w:rPr>
              <w:t>“</w:t>
            </w:r>
            <w:r>
              <w:rPr>
                <w:spacing w:val="9"/>
              </w:rPr>
              <w:t>环境敏感区</w:t>
            </w:r>
            <w:r>
              <w:rPr>
                <w:rFonts w:ascii="Times New Roman" w:hAnsi="Times New Roman" w:eastAsia="Times New Roman" w:cs="Times New Roman"/>
                <w:spacing w:val="9"/>
              </w:rPr>
              <w:t>”</w:t>
            </w:r>
            <w:r>
              <w:rPr>
                <w:spacing w:val="9"/>
              </w:rPr>
              <w:t>是指《建设项目环境影响评价分类管理名录》中所界定涉及地下水环境敏感区</w:t>
            </w:r>
          </w:p>
        </w:tc>
      </w:tr>
    </w:tbl>
    <w:p>
      <w:pPr>
        <w:ind w:left="2587"/>
        <w:spacing w:before="35"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6.2-12        </w:t>
      </w:r>
      <w:r>
        <w:rPr>
          <w:rFonts w:ascii="SimSun" w:hAnsi="SimSun" w:eastAsia="SimSun" w:cs="SimSun"/>
          <w:sz w:val="24"/>
          <w:szCs w:val="24"/>
          <w:b/>
          <w:bCs/>
          <w:spacing w:val="-2"/>
        </w:rPr>
        <w:t>包气带防污性能分级</w:t>
      </w:r>
    </w:p>
    <w:tbl>
      <w:tblPr>
        <w:tblStyle w:val="TableNormal"/>
        <w:tblW w:w="8517" w:type="dxa"/>
        <w:tblInd w:w="10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42"/>
        <w:gridCol w:w="7275"/>
      </w:tblGrid>
      <w:tr>
        <w:trPr>
          <w:trHeight w:val="281" w:hRule="atLeast"/>
        </w:trPr>
        <w:tc>
          <w:tcPr>
            <w:tcW w:w="1242" w:type="dxa"/>
            <w:vAlign w:val="top"/>
          </w:tcPr>
          <w:p>
            <w:pPr>
              <w:pStyle w:val="TableText"/>
              <w:ind w:left="418"/>
              <w:spacing w:before="35" w:line="217" w:lineRule="auto"/>
              <w:rPr/>
            </w:pPr>
            <w:r>
              <w:rPr>
                <w:spacing w:val="3"/>
              </w:rPr>
              <w:t>分级</w:t>
            </w:r>
          </w:p>
        </w:tc>
        <w:tc>
          <w:tcPr>
            <w:tcW w:w="7275" w:type="dxa"/>
            <w:vAlign w:val="top"/>
          </w:tcPr>
          <w:p>
            <w:pPr>
              <w:pStyle w:val="TableText"/>
              <w:ind w:left="2591"/>
              <w:spacing w:before="35" w:line="217" w:lineRule="auto"/>
              <w:rPr/>
            </w:pPr>
            <w:r>
              <w:rPr>
                <w:spacing w:val="8"/>
              </w:rPr>
              <w:t>包气带岩土的渗透性能</w:t>
            </w:r>
          </w:p>
        </w:tc>
      </w:tr>
      <w:tr>
        <w:trPr>
          <w:trHeight w:val="277" w:hRule="atLeast"/>
        </w:trPr>
        <w:tc>
          <w:tcPr>
            <w:tcW w:w="1242" w:type="dxa"/>
            <w:vAlign w:val="top"/>
          </w:tcPr>
          <w:p>
            <w:pPr>
              <w:ind w:left="492"/>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D3</w:t>
            </w:r>
          </w:p>
        </w:tc>
        <w:tc>
          <w:tcPr>
            <w:tcW w:w="7275" w:type="dxa"/>
            <w:vAlign w:val="top"/>
          </w:tcPr>
          <w:p>
            <w:pPr>
              <w:pStyle w:val="TableText"/>
              <w:ind w:left="1485"/>
              <w:spacing w:before="32" w:line="216" w:lineRule="auto"/>
              <w:rPr/>
            </w:pPr>
            <w:r>
              <w:rPr>
                <w:rFonts w:ascii="Times New Roman" w:hAnsi="Times New Roman" w:eastAsia="Times New Roman" w:cs="Times New Roman"/>
              </w:rPr>
              <w:t>Mb</w:t>
            </w:r>
            <w:r>
              <w:rPr>
                <w:rFonts w:ascii="Times New Roman" w:hAnsi="Times New Roman" w:eastAsia="Times New Roman" w:cs="Times New Roman"/>
                <w:spacing w:val="5"/>
              </w:rPr>
              <w:t>≥1.0m</w:t>
            </w:r>
            <w:r>
              <w:rPr>
                <w:rFonts w:ascii="Times New Roman" w:hAnsi="Times New Roman" w:eastAsia="Times New Roman" w:cs="Times New Roman"/>
                <w:spacing w:val="-13"/>
              </w:rPr>
              <w:t xml:space="preserve"> </w:t>
            </w:r>
            <w:r>
              <w:rPr>
                <w:spacing w:val="5"/>
              </w:rPr>
              <w:t>，</w:t>
            </w:r>
            <w:r>
              <w:rPr>
                <w:rFonts w:ascii="Times New Roman" w:hAnsi="Times New Roman" w:eastAsia="Times New Roman" w:cs="Times New Roman"/>
                <w:spacing w:val="5"/>
              </w:rPr>
              <w:t>K≤1.0×10</w:t>
            </w:r>
            <w:r>
              <w:rPr>
                <w:rFonts w:ascii="Times New Roman" w:hAnsi="Times New Roman" w:eastAsia="Times New Roman" w:cs="Times New Roman"/>
                <w:sz w:val="13"/>
                <w:szCs w:val="13"/>
                <w:spacing w:val="5"/>
                <w:position w:val="6"/>
              </w:rPr>
              <w:t>-6</w:t>
            </w:r>
            <w:r>
              <w:rPr>
                <w:rFonts w:ascii="Times New Roman" w:hAnsi="Times New Roman" w:eastAsia="Times New Roman" w:cs="Times New Roman"/>
              </w:rPr>
              <w:t>cm</w:t>
            </w:r>
            <w:r>
              <w:rPr>
                <w:rFonts w:ascii="Times New Roman" w:hAnsi="Times New Roman" w:eastAsia="Times New Roman" w:cs="Times New Roman"/>
                <w:spacing w:val="5"/>
              </w:rPr>
              <w:t>/s</w:t>
            </w:r>
            <w:r>
              <w:rPr>
                <w:rFonts w:ascii="Times New Roman" w:hAnsi="Times New Roman" w:eastAsia="Times New Roman" w:cs="Times New Roman"/>
                <w:spacing w:val="-22"/>
              </w:rPr>
              <w:t xml:space="preserve"> </w:t>
            </w:r>
            <w:r>
              <w:rPr>
                <w:spacing w:val="5"/>
              </w:rPr>
              <w:t>，且分布连续、稳定</w:t>
            </w:r>
          </w:p>
        </w:tc>
      </w:tr>
      <w:tr>
        <w:trPr>
          <w:trHeight w:val="547" w:hRule="atLeast"/>
        </w:trPr>
        <w:tc>
          <w:tcPr>
            <w:tcW w:w="1242" w:type="dxa"/>
            <w:vAlign w:val="top"/>
          </w:tcPr>
          <w:p>
            <w:pPr>
              <w:ind w:left="492"/>
              <w:spacing w:before="20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D2</w:t>
            </w:r>
          </w:p>
        </w:tc>
        <w:tc>
          <w:tcPr>
            <w:tcW w:w="7275" w:type="dxa"/>
            <w:vAlign w:val="top"/>
          </w:tcPr>
          <w:p>
            <w:pPr>
              <w:pStyle w:val="TableText"/>
              <w:ind w:left="1172"/>
              <w:spacing w:before="32" w:line="227" w:lineRule="auto"/>
              <w:rPr/>
            </w:pPr>
            <w:r>
              <w:rPr>
                <w:rFonts w:ascii="Times New Roman" w:hAnsi="Times New Roman" w:eastAsia="Times New Roman" w:cs="Times New Roman"/>
                <w:spacing w:val="5"/>
              </w:rPr>
              <w:t>0.5m≤</w:t>
            </w:r>
            <w:r>
              <w:rPr>
                <w:rFonts w:ascii="Times New Roman" w:hAnsi="Times New Roman" w:eastAsia="Times New Roman" w:cs="Times New Roman"/>
              </w:rPr>
              <w:t>Mb</w:t>
            </w:r>
            <w:r>
              <w:rPr>
                <w:spacing w:val="5"/>
              </w:rPr>
              <w:t>＜</w:t>
            </w:r>
            <w:r>
              <w:rPr>
                <w:rFonts w:ascii="Times New Roman" w:hAnsi="Times New Roman" w:eastAsia="Times New Roman" w:cs="Times New Roman"/>
                <w:spacing w:val="5"/>
              </w:rPr>
              <w:t>1.0m</w:t>
            </w:r>
            <w:r>
              <w:rPr>
                <w:rFonts w:ascii="Times New Roman" w:hAnsi="Times New Roman" w:eastAsia="Times New Roman" w:cs="Times New Roman"/>
                <w:spacing w:val="-14"/>
              </w:rPr>
              <w:t xml:space="preserve"> </w:t>
            </w:r>
            <w:r>
              <w:rPr>
                <w:spacing w:val="5"/>
              </w:rPr>
              <w:t>，</w:t>
            </w:r>
            <w:r>
              <w:rPr>
                <w:rFonts w:ascii="Times New Roman" w:hAnsi="Times New Roman" w:eastAsia="Times New Roman" w:cs="Times New Roman"/>
                <w:spacing w:val="5"/>
              </w:rPr>
              <w:t>K≤1.0×10</w:t>
            </w:r>
            <w:r>
              <w:rPr>
                <w:rFonts w:ascii="Times New Roman" w:hAnsi="Times New Roman" w:eastAsia="Times New Roman" w:cs="Times New Roman"/>
                <w:sz w:val="13"/>
                <w:szCs w:val="13"/>
                <w:spacing w:val="5"/>
                <w:position w:val="6"/>
              </w:rPr>
              <w:t>-6</w:t>
            </w:r>
            <w:r>
              <w:rPr>
                <w:rFonts w:ascii="Times New Roman" w:hAnsi="Times New Roman" w:eastAsia="Times New Roman" w:cs="Times New Roman"/>
              </w:rPr>
              <w:t>cm</w:t>
            </w:r>
            <w:r>
              <w:rPr>
                <w:rFonts w:ascii="Times New Roman" w:hAnsi="Times New Roman" w:eastAsia="Times New Roman" w:cs="Times New Roman"/>
                <w:spacing w:val="5"/>
              </w:rPr>
              <w:t>/s</w:t>
            </w:r>
            <w:r>
              <w:rPr>
                <w:rFonts w:ascii="Times New Roman" w:hAnsi="Times New Roman" w:eastAsia="Times New Roman" w:cs="Times New Roman"/>
                <w:spacing w:val="-22"/>
              </w:rPr>
              <w:t xml:space="preserve"> </w:t>
            </w:r>
            <w:r>
              <w:rPr>
                <w:spacing w:val="5"/>
              </w:rPr>
              <w:t>，且分布连续、稳定</w:t>
            </w:r>
          </w:p>
          <w:p>
            <w:pPr>
              <w:pStyle w:val="TableText"/>
              <w:ind w:left="832"/>
              <w:spacing w:before="24" w:line="216" w:lineRule="auto"/>
              <w:rPr/>
            </w:pPr>
            <w:r>
              <w:rPr>
                <w:rFonts w:ascii="Times New Roman" w:hAnsi="Times New Roman" w:eastAsia="Times New Roman" w:cs="Times New Roman"/>
              </w:rPr>
              <w:t>Mb</w:t>
            </w:r>
            <w:r>
              <w:rPr>
                <w:rFonts w:ascii="Times New Roman" w:hAnsi="Times New Roman" w:eastAsia="Times New Roman" w:cs="Times New Roman"/>
                <w:spacing w:val="5"/>
              </w:rPr>
              <w:t>≥1.0m</w:t>
            </w:r>
            <w:r>
              <w:rPr>
                <w:rFonts w:ascii="Times New Roman" w:hAnsi="Times New Roman" w:eastAsia="Times New Roman" w:cs="Times New Roman"/>
                <w:spacing w:val="-9"/>
              </w:rPr>
              <w:t xml:space="preserve"> </w:t>
            </w:r>
            <w:r>
              <w:rPr>
                <w:spacing w:val="5"/>
              </w:rPr>
              <w:t>，</w:t>
            </w:r>
            <w:r>
              <w:rPr>
                <w:rFonts w:ascii="Times New Roman" w:hAnsi="Times New Roman" w:eastAsia="Times New Roman" w:cs="Times New Roman"/>
                <w:spacing w:val="5"/>
              </w:rPr>
              <w:t>1.0×10</w:t>
            </w:r>
            <w:r>
              <w:rPr>
                <w:rFonts w:ascii="Times New Roman" w:hAnsi="Times New Roman" w:eastAsia="Times New Roman" w:cs="Times New Roman"/>
                <w:sz w:val="13"/>
                <w:szCs w:val="13"/>
                <w:spacing w:val="5"/>
                <w:position w:val="6"/>
              </w:rPr>
              <w:t>-6</w:t>
            </w:r>
            <w:r>
              <w:rPr>
                <w:rFonts w:ascii="Times New Roman" w:hAnsi="Times New Roman" w:eastAsia="Times New Roman" w:cs="Times New Roman"/>
              </w:rPr>
              <w:t>cm</w:t>
            </w:r>
            <w:r>
              <w:rPr>
                <w:rFonts w:ascii="Times New Roman" w:hAnsi="Times New Roman" w:eastAsia="Times New Roman" w:cs="Times New Roman"/>
                <w:spacing w:val="5"/>
              </w:rPr>
              <w:t>/s</w:t>
            </w:r>
            <w:r>
              <w:rPr>
                <w:spacing w:val="5"/>
              </w:rPr>
              <w:t>＜</w:t>
            </w:r>
            <w:r>
              <w:rPr>
                <w:rFonts w:ascii="Times New Roman" w:hAnsi="Times New Roman" w:eastAsia="Times New Roman" w:cs="Times New Roman"/>
                <w:spacing w:val="5"/>
              </w:rPr>
              <w:t>K≤1.0×10</w:t>
            </w:r>
            <w:r>
              <w:rPr>
                <w:rFonts w:ascii="Times New Roman" w:hAnsi="Times New Roman" w:eastAsia="Times New Roman" w:cs="Times New Roman"/>
                <w:sz w:val="13"/>
                <w:szCs w:val="13"/>
                <w:spacing w:val="5"/>
                <w:position w:val="6"/>
              </w:rPr>
              <w:t>-4</w:t>
            </w:r>
            <w:r>
              <w:rPr>
                <w:rFonts w:ascii="Times New Roman" w:hAnsi="Times New Roman" w:eastAsia="Times New Roman" w:cs="Times New Roman"/>
              </w:rPr>
              <w:t>cm</w:t>
            </w:r>
            <w:r>
              <w:rPr>
                <w:rFonts w:ascii="Times New Roman" w:hAnsi="Times New Roman" w:eastAsia="Times New Roman" w:cs="Times New Roman"/>
                <w:spacing w:val="5"/>
              </w:rPr>
              <w:t>/s</w:t>
            </w:r>
            <w:r>
              <w:rPr>
                <w:rFonts w:ascii="Times New Roman" w:hAnsi="Times New Roman" w:eastAsia="Times New Roman" w:cs="Times New Roman"/>
                <w:spacing w:val="-22"/>
              </w:rPr>
              <w:t xml:space="preserve"> </w:t>
            </w:r>
            <w:r>
              <w:rPr>
                <w:spacing w:val="5"/>
              </w:rPr>
              <w:t>，且分布连续、稳定</w:t>
            </w:r>
          </w:p>
        </w:tc>
      </w:tr>
      <w:tr>
        <w:trPr>
          <w:trHeight w:val="277" w:hRule="atLeast"/>
        </w:trPr>
        <w:tc>
          <w:tcPr>
            <w:tcW w:w="1242" w:type="dxa"/>
            <w:vAlign w:val="top"/>
          </w:tcPr>
          <w:p>
            <w:pPr>
              <w:ind w:left="49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D1</w:t>
            </w:r>
          </w:p>
        </w:tc>
        <w:tc>
          <w:tcPr>
            <w:tcW w:w="7275" w:type="dxa"/>
            <w:vAlign w:val="top"/>
          </w:tcPr>
          <w:p>
            <w:pPr>
              <w:pStyle w:val="TableText"/>
              <w:ind w:left="1832"/>
              <w:spacing w:before="35" w:line="214" w:lineRule="auto"/>
              <w:rPr/>
            </w:pPr>
            <w:r>
              <w:rPr>
                <w:spacing w:val="7"/>
              </w:rPr>
              <w:t>岩（土）层不满足上述</w:t>
            </w:r>
            <w:r>
              <w:rPr>
                <w:rFonts w:ascii="Times New Roman" w:hAnsi="Times New Roman" w:eastAsia="Times New Roman" w:cs="Times New Roman"/>
                <w:spacing w:val="7"/>
              </w:rPr>
              <w:t>“D2”</w:t>
            </w:r>
            <w:r>
              <w:rPr>
                <w:spacing w:val="7"/>
              </w:rPr>
              <w:t>和</w:t>
            </w:r>
            <w:r>
              <w:rPr>
                <w:rFonts w:ascii="Times New Roman" w:hAnsi="Times New Roman" w:eastAsia="Times New Roman" w:cs="Times New Roman"/>
                <w:spacing w:val="7"/>
              </w:rPr>
              <w:t>“D3”</w:t>
            </w:r>
            <w:r>
              <w:rPr>
                <w:spacing w:val="7"/>
              </w:rPr>
              <w:t>条件</w:t>
            </w:r>
          </w:p>
        </w:tc>
      </w:tr>
      <w:tr>
        <w:trPr>
          <w:trHeight w:val="281" w:hRule="atLeast"/>
        </w:trPr>
        <w:tc>
          <w:tcPr>
            <w:tcW w:w="8517" w:type="dxa"/>
            <w:vAlign w:val="top"/>
            <w:gridSpan w:val="2"/>
          </w:tcPr>
          <w:p>
            <w:pPr>
              <w:pStyle w:val="TableText"/>
              <w:ind w:left="7"/>
              <w:spacing w:before="35" w:line="217" w:lineRule="auto"/>
              <w:rPr/>
            </w:pPr>
            <w:r>
              <w:rPr>
                <w:rFonts w:ascii="Times New Roman" w:hAnsi="Times New Roman" w:eastAsia="Times New Roman" w:cs="Times New Roman"/>
              </w:rPr>
              <w:t>Mb</w:t>
            </w:r>
            <w:r>
              <w:rPr>
                <w:spacing w:val="9"/>
              </w:rPr>
              <w:t>：岩土层单层厚度。</w:t>
            </w:r>
            <w:r>
              <w:rPr>
                <w:rFonts w:ascii="Times New Roman" w:hAnsi="Times New Roman" w:eastAsia="Times New Roman" w:cs="Times New Roman"/>
                <w:spacing w:val="9"/>
              </w:rPr>
              <w:t>K</w:t>
            </w:r>
            <w:r>
              <w:rPr>
                <w:spacing w:val="9"/>
              </w:rPr>
              <w:t>：渗透系数。</w:t>
            </w:r>
          </w:p>
        </w:tc>
      </w:tr>
    </w:tbl>
    <w:p>
      <w:pPr>
        <w:ind w:left="120" w:right="111" w:firstLine="468"/>
        <w:spacing w:before="37" w:line="358" w:lineRule="auto"/>
        <w:rPr>
          <w:rFonts w:ascii="SimSun" w:hAnsi="SimSun" w:eastAsia="SimSun" w:cs="SimSun"/>
          <w:sz w:val="24"/>
          <w:szCs w:val="24"/>
        </w:rPr>
      </w:pPr>
      <w:r>
        <w:rPr>
          <w:rFonts w:ascii="SimSun" w:hAnsi="SimSun" w:eastAsia="SimSun" w:cs="SimSun"/>
          <w:sz w:val="24"/>
          <w:szCs w:val="24"/>
          <w:spacing w:val="-4"/>
        </w:rPr>
        <w:t>项目周边分布有分散式饮用水源井，属联村连片分散式饮用水水源地及单井分</w:t>
      </w:r>
      <w:r>
        <w:rPr>
          <w:rFonts w:ascii="SimSun" w:hAnsi="SimSun" w:eastAsia="SimSun" w:cs="SimSun"/>
          <w:sz w:val="24"/>
          <w:szCs w:val="24"/>
          <w:spacing w:val="1"/>
        </w:rPr>
        <w:t xml:space="preserve"> </w:t>
      </w:r>
      <w:r>
        <w:rPr>
          <w:rFonts w:ascii="SimSun" w:hAnsi="SimSun" w:eastAsia="SimSun" w:cs="SimSun"/>
          <w:sz w:val="24"/>
          <w:szCs w:val="24"/>
          <w:spacing w:val="-2"/>
        </w:rPr>
        <w:t>散式饮用水井，敏感性分区为</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2"/>
        </w:rPr>
        <w:t>G2</w:t>
      </w:r>
      <w:r>
        <w:rPr>
          <w:rFonts w:ascii="SimSun" w:hAnsi="SimSun" w:eastAsia="SimSun" w:cs="SimSun"/>
          <w:sz w:val="24"/>
          <w:szCs w:val="24"/>
          <w:spacing w:val="-2"/>
        </w:rPr>
        <w:t>。</w:t>
      </w:r>
    </w:p>
    <w:p>
      <w:pPr>
        <w:ind w:left="121" w:right="141" w:firstLine="483"/>
        <w:spacing w:before="2" w:line="359" w:lineRule="auto"/>
        <w:rPr>
          <w:rFonts w:ascii="SimSun" w:hAnsi="SimSun" w:eastAsia="SimSun" w:cs="SimSun"/>
          <w:sz w:val="24"/>
          <w:szCs w:val="24"/>
        </w:rPr>
      </w:pPr>
      <w:r>
        <w:rPr>
          <w:rFonts w:ascii="SimSun" w:hAnsi="SimSun" w:eastAsia="SimSun" w:cs="SimSun"/>
          <w:sz w:val="24"/>
          <w:szCs w:val="24"/>
          <w:spacing w:val="-3"/>
        </w:rPr>
        <w:t>项目厂址岩土层单层厚度大于</w:t>
      </w:r>
      <w:r>
        <w:rPr>
          <w:rFonts w:ascii="SimSun" w:hAnsi="SimSun" w:eastAsia="SimSun" w:cs="SimSun"/>
          <w:sz w:val="24"/>
          <w:szCs w:val="24"/>
          <w:spacing w:val="-14"/>
        </w:rPr>
        <w:t xml:space="preserve"> </w:t>
      </w:r>
      <w:r>
        <w:rPr>
          <w:rFonts w:ascii="Times New Roman" w:hAnsi="Times New Roman" w:eastAsia="Times New Roman" w:cs="Times New Roman"/>
          <w:sz w:val="24"/>
          <w:szCs w:val="24"/>
          <w:spacing w:val="-3"/>
        </w:rPr>
        <w:t>1.0m</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，渗透系数</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5.79×10</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24"/>
          <w:szCs w:val="24"/>
          <w:spacing w:val="-3"/>
        </w:rPr>
        <w:t>cm/s~5.78×10</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24"/>
          <w:szCs w:val="24"/>
          <w:spacing w:val="-3"/>
        </w:rPr>
        <w:t>cm/s</w:t>
      </w:r>
      <w:r>
        <w:rPr>
          <w:rFonts w:ascii="SimSun" w:hAnsi="SimSun" w:eastAsia="SimSun" w:cs="SimSun"/>
          <w:sz w:val="24"/>
          <w:szCs w:val="24"/>
          <w:spacing w:val="-3"/>
        </w:rPr>
        <w:t>，</w:t>
      </w:r>
      <w:r>
        <w:rPr>
          <w:rFonts w:ascii="SimSun" w:hAnsi="SimSun" w:eastAsia="SimSun" w:cs="SimSun"/>
          <w:sz w:val="24"/>
          <w:szCs w:val="24"/>
        </w:rPr>
        <w:t xml:space="preserve"> </w:t>
      </w:r>
      <w:r>
        <w:rPr>
          <w:rFonts w:ascii="SimSun" w:hAnsi="SimSun" w:eastAsia="SimSun" w:cs="SimSun"/>
          <w:sz w:val="24"/>
          <w:szCs w:val="24"/>
          <w:spacing w:val="-1"/>
        </w:rPr>
        <w:t>且分布连续、稳定，防污性能分级为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D1</w:t>
      </w:r>
      <w:r>
        <w:rPr>
          <w:rFonts w:ascii="SimSun" w:hAnsi="SimSun" w:eastAsia="SimSun" w:cs="SimSun"/>
          <w:sz w:val="24"/>
          <w:szCs w:val="24"/>
          <w:spacing w:val="-1"/>
        </w:rPr>
        <w:t>。</w:t>
      </w:r>
    </w:p>
    <w:p>
      <w:pPr>
        <w:ind w:left="120" w:right="112" w:firstLine="482"/>
        <w:spacing w:line="359" w:lineRule="auto"/>
        <w:rPr>
          <w:rFonts w:ascii="SimSun" w:hAnsi="SimSun" w:eastAsia="SimSun" w:cs="SimSun"/>
          <w:sz w:val="24"/>
          <w:szCs w:val="24"/>
        </w:rPr>
      </w:pPr>
      <w:r>
        <w:rPr>
          <w:rFonts w:ascii="SimSun" w:hAnsi="SimSun" w:eastAsia="SimSun" w:cs="SimSun"/>
          <w:sz w:val="24"/>
          <w:szCs w:val="24"/>
          <w:spacing w:val="1"/>
        </w:rPr>
        <w:t>上述，项目区域地下水功能敏感性分区为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G</w:t>
      </w:r>
      <w:r>
        <w:rPr>
          <w:rFonts w:ascii="Times New Roman" w:hAnsi="Times New Roman" w:eastAsia="Times New Roman" w:cs="Times New Roman"/>
          <w:sz w:val="24"/>
          <w:szCs w:val="24"/>
        </w:rPr>
        <w:t>2</w:t>
      </w:r>
      <w:r>
        <w:rPr>
          <w:rFonts w:ascii="Times New Roman" w:hAnsi="Times New Roman" w:eastAsia="Times New Roman" w:cs="Times New Roman"/>
          <w:sz w:val="24"/>
          <w:szCs w:val="24"/>
          <w:spacing w:val="-27"/>
        </w:rPr>
        <w:t xml:space="preserve"> </w:t>
      </w:r>
      <w:r>
        <w:rPr>
          <w:rFonts w:ascii="SimSun" w:hAnsi="SimSun" w:eastAsia="SimSun" w:cs="SimSun"/>
          <w:sz w:val="24"/>
          <w:szCs w:val="24"/>
        </w:rPr>
        <w:t>，包气带防污性能分级</w:t>
      </w:r>
      <w:r>
        <w:rPr>
          <w:rFonts w:ascii="SimSun" w:hAnsi="SimSun" w:eastAsia="SimSun" w:cs="SimSun"/>
          <w:sz w:val="24"/>
          <w:szCs w:val="24"/>
          <w:spacing w:val="-51"/>
        </w:rPr>
        <w:t xml:space="preserve"> </w:t>
      </w:r>
      <w:r>
        <w:rPr>
          <w:rFonts w:ascii="Times New Roman" w:hAnsi="Times New Roman" w:eastAsia="Times New Roman" w:cs="Times New Roman"/>
          <w:sz w:val="24"/>
          <w:szCs w:val="24"/>
        </w:rPr>
        <w:t>D1</w:t>
      </w:r>
      <w:r>
        <w:rPr>
          <w:rFonts w:ascii="Times New Roman" w:hAnsi="Times New Roman" w:eastAsia="Times New Roman" w:cs="Times New Roman"/>
          <w:sz w:val="24"/>
          <w:szCs w:val="24"/>
          <w:spacing w:val="-28"/>
        </w:rPr>
        <w:t xml:space="preserve"> </w:t>
      </w:r>
      <w:r>
        <w:rPr>
          <w:rFonts w:ascii="SimSun" w:hAnsi="SimSun" w:eastAsia="SimSun" w:cs="SimSun"/>
          <w:sz w:val="24"/>
          <w:szCs w:val="24"/>
        </w:rPr>
        <w:t>，根 </w:t>
      </w:r>
      <w:r>
        <w:rPr>
          <w:rFonts w:ascii="SimSun" w:hAnsi="SimSun" w:eastAsia="SimSun" w:cs="SimSun"/>
          <w:sz w:val="24"/>
          <w:szCs w:val="24"/>
          <w:spacing w:val="-3"/>
        </w:rPr>
        <w:t>据表</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3"/>
        </w:rPr>
        <w:t>6.2-10</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，地下水环境敏感程度分级为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E1</w:t>
      </w:r>
      <w:r>
        <w:rPr>
          <w:rFonts w:ascii="SimSun" w:hAnsi="SimSun" w:eastAsia="SimSun" w:cs="SimSun"/>
          <w:sz w:val="24"/>
          <w:szCs w:val="24"/>
          <w:spacing w:val="-3"/>
        </w:rPr>
        <w:t>。</w:t>
      </w:r>
    </w:p>
    <w:p>
      <w:pPr>
        <w:ind w:left="613"/>
        <w:spacing w:before="1"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）环境风险潜势</w:t>
      </w:r>
    </w:p>
    <w:p>
      <w:pPr>
        <w:ind w:left="2347"/>
        <w:spacing w:before="181"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9"/>
        </w:rPr>
        <w:t xml:space="preserve"> </w:t>
      </w:r>
      <w:r>
        <w:rPr>
          <w:rFonts w:ascii="Times New Roman" w:hAnsi="Times New Roman" w:eastAsia="Times New Roman" w:cs="Times New Roman"/>
          <w:sz w:val="24"/>
          <w:szCs w:val="24"/>
          <w:b/>
          <w:bCs/>
          <w:spacing w:val="-2"/>
        </w:rPr>
        <w:t>6.2-13        </w:t>
      </w:r>
      <w:r>
        <w:rPr>
          <w:rFonts w:ascii="SimSun" w:hAnsi="SimSun" w:eastAsia="SimSun" w:cs="SimSun"/>
          <w:sz w:val="24"/>
          <w:szCs w:val="24"/>
          <w:b/>
          <w:bCs/>
          <w:spacing w:val="-2"/>
        </w:rPr>
        <w:t>项目各要素风险潜势判断</w:t>
      </w:r>
    </w:p>
    <w:tbl>
      <w:tblPr>
        <w:tblStyle w:val="TableNormal"/>
        <w:tblW w:w="872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181"/>
        <w:gridCol w:w="2179"/>
        <w:gridCol w:w="2179"/>
        <w:gridCol w:w="2183"/>
      </w:tblGrid>
      <w:tr>
        <w:trPr>
          <w:trHeight w:val="281" w:hRule="atLeast"/>
        </w:trPr>
        <w:tc>
          <w:tcPr>
            <w:tcW w:w="2181" w:type="dxa"/>
            <w:vAlign w:val="top"/>
          </w:tcPr>
          <w:p>
            <w:pPr>
              <w:pStyle w:val="TableText"/>
              <w:ind w:left="677"/>
              <w:spacing w:before="35" w:line="217" w:lineRule="auto"/>
              <w:rPr/>
            </w:pPr>
            <w:r>
              <w:rPr>
                <w:spacing w:val="7"/>
              </w:rPr>
              <w:t>环境要素</w:t>
            </w:r>
          </w:p>
        </w:tc>
        <w:tc>
          <w:tcPr>
            <w:tcW w:w="2179" w:type="dxa"/>
            <w:vAlign w:val="top"/>
          </w:tcPr>
          <w:p>
            <w:pPr>
              <w:pStyle w:val="TableText"/>
              <w:ind w:left="676"/>
              <w:spacing w:before="35" w:line="217" w:lineRule="auto"/>
              <w:rPr/>
            </w:pPr>
            <w:r>
              <w:rPr>
                <w:spacing w:val="7"/>
              </w:rPr>
              <w:t>敏感程度</w:t>
            </w:r>
          </w:p>
        </w:tc>
        <w:tc>
          <w:tcPr>
            <w:tcW w:w="2179" w:type="dxa"/>
            <w:vAlign w:val="top"/>
          </w:tcPr>
          <w:p>
            <w:pPr>
              <w:pStyle w:val="TableText"/>
              <w:ind w:left="678"/>
              <w:spacing w:before="35" w:line="217" w:lineRule="auto"/>
              <w:rPr/>
            </w:pPr>
            <w:r>
              <w:rPr>
                <w:spacing w:val="6"/>
              </w:rPr>
              <w:t>危害等级</w:t>
            </w:r>
          </w:p>
        </w:tc>
        <w:tc>
          <w:tcPr>
            <w:tcW w:w="2183" w:type="dxa"/>
            <w:vAlign w:val="top"/>
          </w:tcPr>
          <w:p>
            <w:pPr>
              <w:pStyle w:val="TableText"/>
              <w:ind w:left="676"/>
              <w:spacing w:before="35" w:line="217" w:lineRule="auto"/>
              <w:rPr/>
            </w:pPr>
            <w:r>
              <w:rPr>
                <w:spacing w:val="7"/>
              </w:rPr>
              <w:t>风险潜势</w:t>
            </w:r>
          </w:p>
        </w:tc>
      </w:tr>
      <w:tr>
        <w:trPr>
          <w:trHeight w:val="276" w:hRule="atLeast"/>
        </w:trPr>
        <w:tc>
          <w:tcPr>
            <w:tcW w:w="2181" w:type="dxa"/>
            <w:vAlign w:val="top"/>
          </w:tcPr>
          <w:p>
            <w:pPr>
              <w:pStyle w:val="TableText"/>
              <w:ind w:left="677"/>
              <w:spacing w:before="33" w:line="215" w:lineRule="auto"/>
              <w:rPr/>
            </w:pPr>
            <w:r>
              <w:rPr>
                <w:spacing w:val="7"/>
              </w:rPr>
              <w:t>环境空气</w:t>
            </w:r>
          </w:p>
        </w:tc>
        <w:tc>
          <w:tcPr>
            <w:tcW w:w="2179" w:type="dxa"/>
            <w:vAlign w:val="top"/>
          </w:tcPr>
          <w:p>
            <w:pPr>
              <w:ind w:left="973"/>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E2</w:t>
            </w:r>
          </w:p>
        </w:tc>
        <w:tc>
          <w:tcPr>
            <w:tcW w:w="2179" w:type="dxa"/>
            <w:vAlign w:val="top"/>
          </w:tcPr>
          <w:p>
            <w:pPr>
              <w:ind w:left="98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P4</w:t>
            </w:r>
          </w:p>
        </w:tc>
        <w:tc>
          <w:tcPr>
            <w:tcW w:w="2183" w:type="dxa"/>
            <w:vAlign w:val="top"/>
          </w:tcPr>
          <w:p>
            <w:pPr>
              <w:ind w:left="1025"/>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Ⅱ</w:t>
            </w:r>
          </w:p>
        </w:tc>
      </w:tr>
      <w:tr>
        <w:trPr>
          <w:trHeight w:val="276" w:hRule="atLeast"/>
        </w:trPr>
        <w:tc>
          <w:tcPr>
            <w:tcW w:w="2181" w:type="dxa"/>
            <w:vAlign w:val="top"/>
          </w:tcPr>
          <w:p>
            <w:pPr>
              <w:pStyle w:val="TableText"/>
              <w:ind w:left="571"/>
              <w:spacing w:before="35" w:line="213" w:lineRule="auto"/>
              <w:rPr/>
            </w:pPr>
            <w:r>
              <w:rPr>
                <w:spacing w:val="8"/>
              </w:rPr>
              <w:t>地下水环境</w:t>
            </w:r>
          </w:p>
        </w:tc>
        <w:tc>
          <w:tcPr>
            <w:tcW w:w="2179" w:type="dxa"/>
            <w:vAlign w:val="top"/>
          </w:tcPr>
          <w:p>
            <w:pPr>
              <w:ind w:left="97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E1</w:t>
            </w:r>
          </w:p>
        </w:tc>
        <w:tc>
          <w:tcPr>
            <w:tcW w:w="2179" w:type="dxa"/>
            <w:vAlign w:val="top"/>
          </w:tcPr>
          <w:p>
            <w:pPr>
              <w:ind w:left="98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P4</w:t>
            </w:r>
          </w:p>
        </w:tc>
        <w:tc>
          <w:tcPr>
            <w:tcW w:w="2183" w:type="dxa"/>
            <w:vAlign w:val="top"/>
          </w:tcPr>
          <w:p>
            <w:pPr>
              <w:ind w:left="992"/>
              <w:spacing w:before="7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Ⅲ</w:t>
            </w:r>
          </w:p>
        </w:tc>
      </w:tr>
      <w:tr>
        <w:trPr>
          <w:trHeight w:val="281" w:hRule="atLeast"/>
        </w:trPr>
        <w:tc>
          <w:tcPr>
            <w:tcW w:w="2181" w:type="dxa"/>
            <w:vAlign w:val="top"/>
          </w:tcPr>
          <w:p>
            <w:pPr>
              <w:pStyle w:val="TableText"/>
              <w:ind w:left="571"/>
              <w:spacing w:before="34" w:line="218" w:lineRule="auto"/>
              <w:rPr/>
            </w:pPr>
            <w:r>
              <w:rPr>
                <w:spacing w:val="8"/>
              </w:rPr>
              <w:t>地表水环境</w:t>
            </w:r>
          </w:p>
        </w:tc>
        <w:tc>
          <w:tcPr>
            <w:tcW w:w="2179" w:type="dxa"/>
            <w:vAlign w:val="top"/>
          </w:tcPr>
          <w:p>
            <w:pPr>
              <w:ind w:left="973"/>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E3</w:t>
            </w:r>
          </w:p>
        </w:tc>
        <w:tc>
          <w:tcPr>
            <w:tcW w:w="2179" w:type="dxa"/>
            <w:vAlign w:val="top"/>
          </w:tcPr>
          <w:p>
            <w:pPr>
              <w:ind w:left="980"/>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P4</w:t>
            </w:r>
          </w:p>
        </w:tc>
        <w:tc>
          <w:tcPr>
            <w:tcW w:w="2183" w:type="dxa"/>
            <w:vAlign w:val="top"/>
          </w:tcPr>
          <w:p>
            <w:pPr>
              <w:ind w:left="1059"/>
              <w:spacing w:before="7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Ⅰ</w:t>
            </w:r>
          </w:p>
        </w:tc>
      </w:tr>
    </w:tbl>
    <w:p>
      <w:pPr>
        <w:ind w:left="122" w:right="109" w:firstLine="480"/>
        <w:spacing w:before="35" w:line="361" w:lineRule="auto"/>
        <w:jc w:val="both"/>
        <w:rPr>
          <w:rFonts w:ascii="SimSun" w:hAnsi="SimSun" w:eastAsia="SimSun" w:cs="SimSun"/>
          <w:sz w:val="24"/>
          <w:szCs w:val="24"/>
        </w:rPr>
      </w:pPr>
      <w:r>
        <w:rPr>
          <w:rFonts w:ascii="SimSun" w:hAnsi="SimSun" w:eastAsia="SimSun" w:cs="SimSun"/>
          <w:sz w:val="24"/>
          <w:szCs w:val="24"/>
          <w:spacing w:val="-2"/>
        </w:rPr>
        <w:t>本项目危险物质及工艺系统危险性为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P4</w:t>
      </w:r>
      <w:r>
        <w:rPr>
          <w:rFonts w:ascii="SimSun" w:hAnsi="SimSun" w:eastAsia="SimSun" w:cs="SimSun"/>
          <w:sz w:val="24"/>
          <w:szCs w:val="24"/>
          <w:spacing w:val="-2"/>
        </w:rPr>
        <w:t>，大气环境敏感程度</w:t>
      </w:r>
      <w:r>
        <w:rPr>
          <w:rFonts w:ascii="SimSun" w:hAnsi="SimSun" w:eastAsia="SimSun" w:cs="SimSun"/>
          <w:sz w:val="24"/>
          <w:szCs w:val="24"/>
          <w:spacing w:val="-3"/>
        </w:rPr>
        <w:t>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E2</w:t>
      </w:r>
      <w:r>
        <w:rPr>
          <w:rFonts w:ascii="SimSun" w:hAnsi="SimSun" w:eastAsia="SimSun" w:cs="SimSun"/>
          <w:sz w:val="24"/>
          <w:szCs w:val="24"/>
          <w:spacing w:val="-3"/>
        </w:rPr>
        <w:t>、地表水环</w:t>
      </w:r>
      <w:r>
        <w:rPr>
          <w:rFonts w:ascii="SimSun" w:hAnsi="SimSun" w:eastAsia="SimSun" w:cs="SimSun"/>
          <w:sz w:val="24"/>
          <w:szCs w:val="24"/>
        </w:rPr>
        <w:t xml:space="preserve"> </w:t>
      </w:r>
      <w:r>
        <w:rPr>
          <w:rFonts w:ascii="SimSun" w:hAnsi="SimSun" w:eastAsia="SimSun" w:cs="SimSun"/>
          <w:sz w:val="24"/>
          <w:szCs w:val="24"/>
          <w:spacing w:val="-1"/>
        </w:rPr>
        <w:t>境敏感程度为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E3</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
        </w:rPr>
        <w:t>、地下水环境敏感程度为</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E1</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，根据表</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6.2-1</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1"/>
        </w:rPr>
        <w:t>，大气环境风险潜势</w:t>
      </w:r>
      <w:r>
        <w:rPr>
          <w:rFonts w:ascii="SimSun" w:hAnsi="SimSun" w:eastAsia="SimSun" w:cs="SimSun"/>
          <w:sz w:val="24"/>
          <w:szCs w:val="24"/>
        </w:rPr>
        <w:t xml:space="preserve"> </w:t>
      </w:r>
      <w:r>
        <w:rPr>
          <w:rFonts w:ascii="SimSun" w:hAnsi="SimSun" w:eastAsia="SimSun" w:cs="SimSun"/>
          <w:sz w:val="24"/>
          <w:szCs w:val="24"/>
          <w:spacing w:val="-3"/>
        </w:rPr>
        <w:t>为</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3"/>
        </w:rPr>
        <w:t>II</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、地表水环境风险潜势为</w:t>
      </w:r>
      <w:r>
        <w:rPr>
          <w:rFonts w:ascii="Times New Roman" w:hAnsi="Times New Roman" w:eastAsia="Times New Roman" w:cs="Times New Roman"/>
          <w:sz w:val="20"/>
          <w:szCs w:val="20"/>
          <w:spacing w:val="-3"/>
        </w:rPr>
        <w:t>Ⅰ</w:t>
      </w:r>
      <w:r>
        <w:rPr>
          <w:rFonts w:ascii="Times New Roman" w:hAnsi="Times New Roman" w:eastAsia="Times New Roman" w:cs="Times New Roman"/>
          <w:sz w:val="20"/>
          <w:szCs w:val="20"/>
          <w:spacing w:val="-23"/>
        </w:rPr>
        <w:t xml:space="preserve"> </w:t>
      </w:r>
      <w:r>
        <w:rPr>
          <w:rFonts w:ascii="SimSun" w:hAnsi="SimSun" w:eastAsia="SimSun" w:cs="SimSun"/>
          <w:sz w:val="24"/>
          <w:szCs w:val="24"/>
          <w:spacing w:val="-3"/>
        </w:rPr>
        <w:t>、地下水环境风险潜势为</w:t>
      </w:r>
      <w:r>
        <w:rPr>
          <w:rFonts w:ascii="Times New Roman" w:hAnsi="Times New Roman" w:eastAsia="Times New Roman" w:cs="Times New Roman"/>
          <w:sz w:val="24"/>
          <w:szCs w:val="24"/>
          <w:spacing w:val="-3"/>
        </w:rPr>
        <w:t>Ⅲ</w:t>
      </w:r>
      <w:r>
        <w:rPr>
          <w:rFonts w:ascii="SimSun" w:hAnsi="SimSun" w:eastAsia="SimSun" w:cs="SimSun"/>
          <w:sz w:val="24"/>
          <w:szCs w:val="24"/>
          <w:spacing w:val="-3"/>
        </w:rPr>
        <w:t>。</w:t>
      </w:r>
    </w:p>
    <w:p>
      <w:pPr>
        <w:ind w:left="125"/>
        <w:spacing w:before="159" w:line="221" w:lineRule="auto"/>
        <w:outlineLvl w:val="1"/>
        <w:rPr>
          <w:rFonts w:ascii="SimHei" w:hAnsi="SimHei" w:eastAsia="SimHei" w:cs="SimHei"/>
          <w:sz w:val="30"/>
          <w:szCs w:val="30"/>
        </w:rPr>
      </w:pPr>
      <w:bookmarkStart w:name="bookmark127" w:id="158"/>
      <w:bookmarkEnd w:id="158"/>
      <w:r>
        <w:rPr>
          <w:rFonts w:ascii="Times New Roman" w:hAnsi="Times New Roman" w:eastAsia="Times New Roman" w:cs="Times New Roman"/>
          <w:sz w:val="30"/>
          <w:szCs w:val="30"/>
          <w:spacing w:val="-2"/>
        </w:rPr>
        <w:t>6.3 </w:t>
      </w:r>
      <w:r>
        <w:rPr>
          <w:rFonts w:ascii="SimHei" w:hAnsi="SimHei" w:eastAsia="SimHei" w:cs="SimHei"/>
          <w:sz w:val="30"/>
          <w:szCs w:val="30"/>
          <w:spacing w:val="-2"/>
        </w:rPr>
        <w:t>环境风险评价等级</w:t>
      </w:r>
    </w:p>
    <w:p>
      <w:pPr>
        <w:pStyle w:val="BodyText"/>
        <w:spacing w:line="289" w:lineRule="auto"/>
        <w:rPr/>
      </w:pPr>
      <w:r/>
    </w:p>
    <w:p>
      <w:pPr>
        <w:ind w:left="124" w:right="112" w:firstLine="483"/>
        <w:spacing w:before="79" w:line="359" w:lineRule="auto"/>
        <w:rPr>
          <w:rFonts w:ascii="SimSun" w:hAnsi="SimSun" w:eastAsia="SimSun" w:cs="SimSun"/>
          <w:sz w:val="24"/>
          <w:szCs w:val="24"/>
        </w:rPr>
      </w:pPr>
      <w:r>
        <w:rPr>
          <w:rFonts w:ascii="SimSun" w:hAnsi="SimSun" w:eastAsia="SimSun" w:cs="SimSun"/>
          <w:sz w:val="24"/>
          <w:szCs w:val="24"/>
          <w:spacing w:val="3"/>
        </w:rPr>
        <w:t>《建设项目环境风险评价技术导则》（</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3"/>
        </w:rPr>
        <w:t>169-2018</w:t>
      </w:r>
      <w:r>
        <w:rPr>
          <w:rFonts w:ascii="SimSun" w:hAnsi="SimSun" w:eastAsia="SimSun" w:cs="SimSun"/>
          <w:sz w:val="24"/>
          <w:szCs w:val="24"/>
          <w:spacing w:val="3"/>
        </w:rPr>
        <w:t>）中规</w:t>
      </w:r>
      <w:r>
        <w:rPr>
          <w:rFonts w:ascii="SimSun" w:hAnsi="SimSun" w:eastAsia="SimSun" w:cs="SimSun"/>
          <w:sz w:val="24"/>
          <w:szCs w:val="24"/>
          <w:spacing w:val="2"/>
        </w:rPr>
        <w:t>定的环境风险评价</w:t>
      </w:r>
      <w:r>
        <w:rPr>
          <w:rFonts w:ascii="SimSun" w:hAnsi="SimSun" w:eastAsia="SimSun" w:cs="SimSun"/>
          <w:sz w:val="24"/>
          <w:szCs w:val="24"/>
        </w:rPr>
        <w:t xml:space="preserve"> </w:t>
      </w:r>
      <w:r>
        <w:rPr>
          <w:rFonts w:ascii="SimSun" w:hAnsi="SimSun" w:eastAsia="SimSun" w:cs="SimSun"/>
          <w:sz w:val="24"/>
          <w:szCs w:val="24"/>
          <w:spacing w:val="-2"/>
        </w:rPr>
        <w:t>工作级别的划分见表</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6.3-1</w:t>
      </w:r>
      <w:r>
        <w:rPr>
          <w:rFonts w:ascii="SimSun" w:hAnsi="SimSun" w:eastAsia="SimSun" w:cs="SimSun"/>
          <w:sz w:val="24"/>
          <w:szCs w:val="24"/>
          <w:spacing w:val="-2"/>
        </w:rPr>
        <w:t>。</w:t>
      </w:r>
    </w:p>
    <w:p>
      <w:pPr>
        <w:ind w:left="2165"/>
        <w:spacing w:before="1" w:line="217"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8"/>
        </w:rPr>
        <w:t xml:space="preserve"> </w:t>
      </w:r>
      <w:r>
        <w:rPr>
          <w:rFonts w:ascii="Times New Roman" w:hAnsi="Times New Roman" w:eastAsia="Times New Roman" w:cs="Times New Roman"/>
          <w:sz w:val="24"/>
          <w:szCs w:val="24"/>
          <w:b/>
          <w:bCs/>
          <w:spacing w:val="-2"/>
        </w:rPr>
        <w:t>6.3-1        </w:t>
      </w:r>
      <w:r>
        <w:rPr>
          <w:rFonts w:ascii="SimSun" w:hAnsi="SimSun" w:eastAsia="SimSun" w:cs="SimSun"/>
          <w:sz w:val="24"/>
          <w:szCs w:val="24"/>
          <w:b/>
          <w:bCs/>
          <w:spacing w:val="-2"/>
        </w:rPr>
        <w:t>环境风险评价工作等级划分表</w:t>
      </w:r>
    </w:p>
    <w:p>
      <w:pPr>
        <w:ind w:left="119"/>
        <w:spacing w:before="273" w:line="227" w:lineRule="auto"/>
        <w:rPr>
          <w:rFonts w:ascii="SimSun" w:hAnsi="SimSun" w:eastAsia="SimSun" w:cs="SimSun"/>
          <w:sz w:val="19"/>
          <w:szCs w:val="19"/>
        </w:rPr>
      </w:pPr>
      <w:r>
        <w:pict>
          <v:shape id="_x0000_s1126" style="position:absolute;margin-left:164.92pt;margin-top:12.657pt;mso-position-vertical-relative:text;mso-position-horizontal-relative:text;width:61pt;height:13.75pt;z-index:25222656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243</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337"/>
          <w:footerReference w:type="default" r:id="rId3"/>
          <w:pgSz w:w="11907" w:h="16840"/>
          <w:pgMar w:top="1567" w:right="1590" w:bottom="400" w:left="1589" w:header="1221" w:footer="0" w:gutter="0"/>
        </w:sectPr>
        <w:rPr>
          <w:rFonts w:ascii="SimSun" w:hAnsi="SimSun" w:eastAsia="SimSun" w:cs="SimSun"/>
          <w:sz w:val="19"/>
          <w:szCs w:val="19"/>
        </w:rPr>
      </w:pPr>
    </w:p>
    <w:p>
      <w:pPr>
        <w:spacing w:line="133" w:lineRule="exact"/>
        <w:rPr/>
      </w:pPr>
      <w:r>
        <w:pict>
          <v:shape id="_x0000_s1130" style="position:absolute;margin-left:85.05pt;margin-top:78.87pt;mso-position-vertical-relative:page;mso-position-horizontal-relative:page;width:425.25pt;height:0.75pt;z-index:252229632;" o:allowincell="f" fillcolor="#000000" filled="true" stroked="false" coordsize="8505,15" coordorigin="0,0" path="m,l8505,0l8505,14l0,14l0,0xe"/>
        </w:pict>
      </w:r>
      <w:r/>
    </w:p>
    <w:tbl>
      <w:tblPr>
        <w:tblStyle w:val="TableNormal"/>
        <w:tblW w:w="8514" w:type="dxa"/>
        <w:tblInd w:w="1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22"/>
        <w:gridCol w:w="1558"/>
        <w:gridCol w:w="1842"/>
        <w:gridCol w:w="2126"/>
        <w:gridCol w:w="1566"/>
      </w:tblGrid>
      <w:tr>
        <w:trPr>
          <w:trHeight w:val="280" w:hRule="atLeast"/>
        </w:trPr>
        <w:tc>
          <w:tcPr>
            <w:tcW w:w="1422" w:type="dxa"/>
            <w:vAlign w:val="top"/>
          </w:tcPr>
          <w:p>
            <w:pPr>
              <w:pStyle w:val="TableText"/>
              <w:ind w:left="87"/>
              <w:spacing w:before="36" w:line="216" w:lineRule="auto"/>
              <w:rPr/>
            </w:pPr>
            <w:r>
              <w:rPr>
                <w:spacing w:val="8"/>
              </w:rPr>
              <w:t>环境风险潜势</w:t>
            </w:r>
          </w:p>
        </w:tc>
        <w:tc>
          <w:tcPr>
            <w:tcW w:w="1558" w:type="dxa"/>
            <w:vAlign w:val="top"/>
          </w:tcPr>
          <w:p>
            <w:pPr>
              <w:pStyle w:val="TableText"/>
              <w:ind w:left="414"/>
              <w:spacing w:before="65" w:line="189" w:lineRule="auto"/>
              <w:rPr>
                <w:rFonts w:ascii="Times New Roman" w:hAnsi="Times New Roman" w:eastAsia="Times New Roman" w:cs="Times New Roman"/>
                <w:sz w:val="13"/>
                <w:szCs w:val="13"/>
              </w:rPr>
            </w:pPr>
            <w:r>
              <w:rPr>
                <w:rFonts w:ascii="Times New Roman" w:hAnsi="Times New Roman" w:eastAsia="Times New Roman" w:cs="Times New Roman"/>
                <w:spacing w:val="1"/>
              </w:rPr>
              <w:t>Ⅳ</w:t>
            </w:r>
            <w:r>
              <w:rPr>
                <w:rFonts w:ascii="Times New Roman" w:hAnsi="Times New Roman" w:eastAsia="Times New Roman" w:cs="Times New Roman"/>
                <w:spacing w:val="-25"/>
              </w:rPr>
              <w:t xml:space="preserve"> </w:t>
            </w:r>
            <w:r>
              <w:rPr>
                <w:spacing w:val="1"/>
              </w:rPr>
              <w:t>、</w:t>
            </w:r>
            <w:r>
              <w:rPr>
                <w:rFonts w:ascii="Times New Roman" w:hAnsi="Times New Roman" w:eastAsia="Times New Roman" w:cs="Times New Roman"/>
                <w:spacing w:val="1"/>
              </w:rPr>
              <w:t>Ⅳ</w:t>
            </w:r>
            <w:r>
              <w:rPr>
                <w:rFonts w:ascii="Times New Roman" w:hAnsi="Times New Roman" w:eastAsia="Times New Roman" w:cs="Times New Roman"/>
                <w:sz w:val="13"/>
                <w:szCs w:val="13"/>
                <w:spacing w:val="1"/>
                <w:position w:val="5"/>
              </w:rPr>
              <w:t>+</w:t>
            </w:r>
          </w:p>
        </w:tc>
        <w:tc>
          <w:tcPr>
            <w:tcW w:w="1842" w:type="dxa"/>
            <w:vAlign w:val="top"/>
          </w:tcPr>
          <w:p>
            <w:pPr>
              <w:ind w:left="822"/>
              <w:spacing w:before="7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Ⅲ</w:t>
            </w:r>
          </w:p>
        </w:tc>
        <w:tc>
          <w:tcPr>
            <w:tcW w:w="2126" w:type="dxa"/>
            <w:vAlign w:val="top"/>
          </w:tcPr>
          <w:p>
            <w:pPr>
              <w:ind w:left="998"/>
              <w:spacing w:before="7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Ⅱ</w:t>
            </w:r>
          </w:p>
        </w:tc>
        <w:tc>
          <w:tcPr>
            <w:tcW w:w="1566" w:type="dxa"/>
            <w:vAlign w:val="top"/>
          </w:tcPr>
          <w:p>
            <w:pPr>
              <w:ind w:left="752"/>
              <w:spacing w:before="74"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Ⅰ</w:t>
            </w:r>
          </w:p>
        </w:tc>
      </w:tr>
      <w:tr>
        <w:trPr>
          <w:trHeight w:val="277" w:hRule="atLeast"/>
        </w:trPr>
        <w:tc>
          <w:tcPr>
            <w:tcW w:w="1422" w:type="dxa"/>
            <w:vAlign w:val="top"/>
          </w:tcPr>
          <w:p>
            <w:pPr>
              <w:pStyle w:val="TableText"/>
              <w:ind w:left="86"/>
              <w:spacing w:before="34" w:line="215" w:lineRule="auto"/>
              <w:rPr/>
            </w:pPr>
            <w:r>
              <w:rPr>
                <w:spacing w:val="8"/>
              </w:rPr>
              <w:t>评价工作等级</w:t>
            </w:r>
          </w:p>
        </w:tc>
        <w:tc>
          <w:tcPr>
            <w:tcW w:w="1558" w:type="dxa"/>
            <w:vAlign w:val="top"/>
          </w:tcPr>
          <w:p>
            <w:pPr>
              <w:pStyle w:val="TableText"/>
              <w:ind w:left="680"/>
              <w:spacing w:before="112" w:line="154" w:lineRule="exact"/>
              <w:rPr/>
            </w:pPr>
            <w:r>
              <w:rPr>
                <w:position w:val="-4"/>
              </w:rPr>
              <w:t>一</w:t>
            </w:r>
          </w:p>
        </w:tc>
        <w:tc>
          <w:tcPr>
            <w:tcW w:w="1842" w:type="dxa"/>
            <w:vAlign w:val="top"/>
          </w:tcPr>
          <w:p>
            <w:pPr>
              <w:pStyle w:val="TableText"/>
              <w:ind w:left="823"/>
              <w:spacing w:before="71" w:line="180" w:lineRule="auto"/>
              <w:rPr/>
            </w:pPr>
            <w:r>
              <w:rPr/>
              <w:t>二</w:t>
            </w:r>
          </w:p>
        </w:tc>
        <w:tc>
          <w:tcPr>
            <w:tcW w:w="2126" w:type="dxa"/>
            <w:vAlign w:val="top"/>
          </w:tcPr>
          <w:p>
            <w:pPr>
              <w:pStyle w:val="TableText"/>
              <w:ind w:left="965"/>
              <w:spacing w:before="34" w:line="215" w:lineRule="auto"/>
              <w:rPr/>
            </w:pPr>
            <w:r>
              <w:rPr/>
              <w:t>三</w:t>
            </w:r>
          </w:p>
        </w:tc>
        <w:tc>
          <w:tcPr>
            <w:tcW w:w="1566" w:type="dxa"/>
            <w:vAlign w:val="top"/>
          </w:tcPr>
          <w:p>
            <w:pPr>
              <w:pStyle w:val="TableText"/>
              <w:ind w:left="315"/>
              <w:spacing w:before="34" w:line="215" w:lineRule="auto"/>
              <w:rPr>
                <w:rFonts w:ascii="Times New Roman" w:hAnsi="Times New Roman" w:eastAsia="Times New Roman" w:cs="Times New Roman"/>
                <w:sz w:val="13"/>
                <w:szCs w:val="13"/>
              </w:rPr>
            </w:pPr>
            <w:r>
              <w:rPr>
                <w:spacing w:val="5"/>
              </w:rPr>
              <w:t>简单分析</w:t>
            </w:r>
            <w:r>
              <w:rPr>
                <w:spacing w:val="-41"/>
              </w:rPr>
              <w:t xml:space="preserve"> </w:t>
            </w:r>
            <w:r>
              <w:rPr>
                <w:rFonts w:ascii="Times New Roman" w:hAnsi="Times New Roman" w:eastAsia="Times New Roman" w:cs="Times New Roman"/>
                <w:sz w:val="13"/>
                <w:szCs w:val="13"/>
                <w:spacing w:val="5"/>
                <w:position w:val="6"/>
              </w:rPr>
              <w:t>a</w:t>
            </w:r>
          </w:p>
        </w:tc>
      </w:tr>
      <w:tr>
        <w:trPr>
          <w:trHeight w:val="551" w:hRule="atLeast"/>
        </w:trPr>
        <w:tc>
          <w:tcPr>
            <w:tcW w:w="8514" w:type="dxa"/>
            <w:vAlign w:val="top"/>
            <w:gridSpan w:val="5"/>
          </w:tcPr>
          <w:p>
            <w:pPr>
              <w:pStyle w:val="TableText"/>
              <w:ind w:left="17" w:right="5" w:hanging="5"/>
              <w:spacing w:before="31" w:line="235" w:lineRule="auto"/>
              <w:rPr/>
            </w:pPr>
            <w:r>
              <w:rPr>
                <w:rFonts w:ascii="Times New Roman" w:hAnsi="Times New Roman" w:eastAsia="Times New Roman" w:cs="Times New Roman"/>
                <w:spacing w:val="8"/>
              </w:rPr>
              <w:t>a </w:t>
            </w:r>
            <w:r>
              <w:rPr>
                <w:spacing w:val="8"/>
              </w:rPr>
              <w:t>是相对于详细评价工作内容而言，在描述危险物质、环境影响途径、环境危害后果、风险防</w:t>
            </w:r>
            <w:r>
              <w:rPr>
                <w:spacing w:val="15"/>
              </w:rPr>
              <w:t xml:space="preserve"> </w:t>
            </w:r>
            <w:r>
              <w:rPr>
                <w:spacing w:val="8"/>
              </w:rPr>
              <w:t>范措施等方面给出定性说明。</w:t>
            </w:r>
          </w:p>
        </w:tc>
      </w:tr>
    </w:tbl>
    <w:p>
      <w:pPr>
        <w:ind w:left="26" w:firstLine="480"/>
        <w:spacing w:before="35" w:line="359" w:lineRule="auto"/>
        <w:jc w:val="both"/>
        <w:rPr>
          <w:rFonts w:ascii="SimSun" w:hAnsi="SimSun" w:eastAsia="SimSun" w:cs="SimSun"/>
          <w:sz w:val="24"/>
          <w:szCs w:val="24"/>
        </w:rPr>
      </w:pPr>
      <w:r>
        <w:rPr>
          <w:rFonts w:ascii="SimSun" w:hAnsi="SimSun" w:eastAsia="SimSun" w:cs="SimSun"/>
          <w:sz w:val="24"/>
          <w:szCs w:val="24"/>
          <w:spacing w:val="-1"/>
        </w:rPr>
        <w:t>根据表</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1"/>
        </w:rPr>
        <w:t>6.3-1</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
        </w:rPr>
        <w:t>，本项目大气环境风险评价等级为三级，大气环境风险评价范围</w:t>
      </w:r>
      <w:r>
        <w:rPr>
          <w:rFonts w:ascii="SimSun" w:hAnsi="SimSun" w:eastAsia="SimSun" w:cs="SimSun"/>
          <w:sz w:val="24"/>
          <w:szCs w:val="24"/>
        </w:rPr>
        <w:t xml:space="preserve"> </w:t>
      </w:r>
      <w:r>
        <w:rPr>
          <w:rFonts w:ascii="SimSun" w:hAnsi="SimSun" w:eastAsia="SimSun" w:cs="SimSun"/>
          <w:sz w:val="24"/>
          <w:szCs w:val="24"/>
        </w:rPr>
        <w:t>为项目厂界向外延伸</w:t>
      </w:r>
      <w:r>
        <w:rPr>
          <w:rFonts w:ascii="SimSun" w:hAnsi="SimSun" w:eastAsia="SimSun" w:cs="SimSun"/>
          <w:sz w:val="24"/>
          <w:szCs w:val="24"/>
          <w:spacing w:val="-33"/>
        </w:rPr>
        <w:t xml:space="preserve"> </w:t>
      </w:r>
      <w:r>
        <w:rPr>
          <w:rFonts w:ascii="Times New Roman" w:hAnsi="Times New Roman" w:eastAsia="Times New Roman" w:cs="Times New Roman"/>
          <w:sz w:val="24"/>
          <w:szCs w:val="24"/>
        </w:rPr>
        <w:t>3km </w:t>
      </w:r>
      <w:r>
        <w:rPr>
          <w:rFonts w:ascii="SimSun" w:hAnsi="SimSun" w:eastAsia="SimSun" w:cs="SimSun"/>
          <w:sz w:val="24"/>
          <w:szCs w:val="24"/>
        </w:rPr>
        <w:t>形成的包络线区域；地表水环境风险评价等级为简单分 </w:t>
      </w:r>
      <w:r>
        <w:rPr>
          <w:rFonts w:ascii="SimSun" w:hAnsi="SimSun" w:eastAsia="SimSun" w:cs="SimSun"/>
          <w:sz w:val="24"/>
          <w:szCs w:val="24"/>
          <w:spacing w:val="-2"/>
        </w:rPr>
        <w:t>析，本项目不涉及废水的排放，不设评价范围；地下</w:t>
      </w:r>
      <w:r>
        <w:rPr>
          <w:rFonts w:ascii="SimSun" w:hAnsi="SimSun" w:eastAsia="SimSun" w:cs="SimSun"/>
          <w:sz w:val="24"/>
          <w:szCs w:val="24"/>
          <w:spacing w:val="-3"/>
        </w:rPr>
        <w:t>水环境风险评价等级为二级，</w:t>
      </w:r>
      <w:r>
        <w:rPr>
          <w:rFonts w:ascii="SimSun" w:hAnsi="SimSun" w:eastAsia="SimSun" w:cs="SimSun"/>
          <w:sz w:val="24"/>
          <w:szCs w:val="24"/>
        </w:rPr>
        <w:t xml:space="preserve"> </w:t>
      </w:r>
      <w:r>
        <w:rPr>
          <w:rFonts w:ascii="SimSun" w:hAnsi="SimSun" w:eastAsia="SimSun" w:cs="SimSun"/>
          <w:sz w:val="24"/>
          <w:szCs w:val="24"/>
        </w:rPr>
        <w:t>评价范围以厂区为起点，地下水环境风险评价范围与地下</w:t>
      </w:r>
      <w:r>
        <w:rPr>
          <w:rFonts w:ascii="SimSun" w:hAnsi="SimSun" w:eastAsia="SimSun" w:cs="SimSun"/>
          <w:sz w:val="24"/>
          <w:szCs w:val="24"/>
          <w:spacing w:val="-1"/>
        </w:rPr>
        <w:t>水环境评价范围等同。</w:t>
      </w:r>
    </w:p>
    <w:p>
      <w:pPr>
        <w:ind w:left="26" w:right="59" w:firstLine="480"/>
        <w:spacing w:before="3" w:line="360" w:lineRule="auto"/>
        <w:jc w:val="both"/>
        <w:rPr>
          <w:rFonts w:ascii="SimSun" w:hAnsi="SimSun" w:eastAsia="SimSun" w:cs="SimSun"/>
          <w:sz w:val="24"/>
          <w:szCs w:val="24"/>
        </w:rPr>
      </w:pPr>
      <w:r>
        <w:rPr>
          <w:rFonts w:ascii="SimSun" w:hAnsi="SimSun" w:eastAsia="SimSun" w:cs="SimSun"/>
          <w:sz w:val="24"/>
          <w:szCs w:val="24"/>
          <w:spacing w:val="2"/>
        </w:rPr>
        <w:t>根据《建设项目环境风险评价技术导则》（</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2"/>
        </w:rPr>
        <w:t>169-2018</w:t>
      </w:r>
      <w:r>
        <w:rPr>
          <w:rFonts w:ascii="SimSun" w:hAnsi="SimSun" w:eastAsia="SimSun" w:cs="SimSun"/>
          <w:sz w:val="24"/>
          <w:szCs w:val="24"/>
          <w:spacing w:val="20"/>
        </w:rPr>
        <w:t>），</w:t>
      </w:r>
      <w:r>
        <w:rPr>
          <w:rFonts w:ascii="SimSun" w:hAnsi="SimSun" w:eastAsia="SimSun" w:cs="SimSun"/>
          <w:sz w:val="24"/>
          <w:szCs w:val="24"/>
          <w:spacing w:val="2"/>
        </w:rPr>
        <w:t>大气环境三级评</w:t>
      </w:r>
      <w:r>
        <w:rPr>
          <w:rFonts w:ascii="SimSun" w:hAnsi="SimSun" w:eastAsia="SimSun" w:cs="SimSun"/>
          <w:sz w:val="24"/>
          <w:szCs w:val="24"/>
        </w:rPr>
        <w:t xml:space="preserve"> </w:t>
      </w:r>
      <w:r>
        <w:rPr>
          <w:rFonts w:ascii="SimSun" w:hAnsi="SimSun" w:eastAsia="SimSun" w:cs="SimSun"/>
          <w:sz w:val="24"/>
          <w:szCs w:val="24"/>
          <w:spacing w:val="3"/>
        </w:rPr>
        <w:t>价应定性分析说明大气环境影响后果；地下水低于一级评</w:t>
      </w:r>
      <w:r>
        <w:rPr>
          <w:rFonts w:ascii="SimSun" w:hAnsi="SimSun" w:eastAsia="SimSun" w:cs="SimSun"/>
          <w:sz w:val="24"/>
          <w:szCs w:val="24"/>
          <w:spacing w:val="2"/>
        </w:rPr>
        <w:t>价的，风险预测分析与</w:t>
      </w:r>
      <w:r>
        <w:rPr>
          <w:rFonts w:ascii="SimSun" w:hAnsi="SimSun" w:eastAsia="SimSun" w:cs="SimSun"/>
          <w:sz w:val="24"/>
          <w:szCs w:val="24"/>
        </w:rPr>
        <w:t xml:space="preserve"> </w:t>
      </w:r>
      <w:r>
        <w:rPr>
          <w:rFonts w:ascii="SimSun" w:hAnsi="SimSun" w:eastAsia="SimSun" w:cs="SimSun"/>
          <w:sz w:val="24"/>
          <w:szCs w:val="24"/>
          <w:spacing w:val="-1"/>
        </w:rPr>
        <w:t>评价要求参照</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HJ610 </w:t>
      </w:r>
      <w:r>
        <w:rPr>
          <w:rFonts w:ascii="SimSun" w:hAnsi="SimSun" w:eastAsia="SimSun" w:cs="SimSun"/>
          <w:sz w:val="24"/>
          <w:szCs w:val="24"/>
          <w:spacing w:val="-1"/>
        </w:rPr>
        <w:t>执行。</w:t>
      </w:r>
    </w:p>
    <w:p>
      <w:pPr>
        <w:ind w:left="31"/>
        <w:spacing w:before="160" w:line="222" w:lineRule="auto"/>
        <w:outlineLvl w:val="1"/>
        <w:rPr>
          <w:rFonts w:ascii="SimHei" w:hAnsi="SimHei" w:eastAsia="SimHei" w:cs="SimHei"/>
          <w:sz w:val="30"/>
          <w:szCs w:val="30"/>
        </w:rPr>
      </w:pPr>
      <w:bookmarkStart w:name="bookmark128" w:id="159"/>
      <w:bookmarkEnd w:id="159"/>
      <w:r>
        <w:rPr>
          <w:rFonts w:ascii="Times New Roman" w:hAnsi="Times New Roman" w:eastAsia="Times New Roman" w:cs="Times New Roman"/>
          <w:sz w:val="30"/>
          <w:szCs w:val="30"/>
          <w:spacing w:val="-2"/>
        </w:rPr>
        <w:t>6.4 </w:t>
      </w:r>
      <w:r>
        <w:rPr>
          <w:rFonts w:ascii="SimHei" w:hAnsi="SimHei" w:eastAsia="SimHei" w:cs="SimHei"/>
          <w:sz w:val="30"/>
          <w:szCs w:val="30"/>
          <w:spacing w:val="-2"/>
        </w:rPr>
        <w:t>环境风险识别</w:t>
      </w:r>
    </w:p>
    <w:p>
      <w:pPr>
        <w:pStyle w:val="BodyText"/>
        <w:spacing w:line="283" w:lineRule="auto"/>
        <w:rPr/>
      </w:pPr>
      <w:r/>
    </w:p>
    <w:p>
      <w:pPr>
        <w:ind w:left="30"/>
        <w:spacing w:before="91" w:line="222" w:lineRule="auto"/>
        <w:outlineLvl w:val="2"/>
        <w:rPr>
          <w:rFonts w:ascii="SimHei" w:hAnsi="SimHei" w:eastAsia="SimHei" w:cs="SimHei"/>
          <w:sz w:val="28"/>
          <w:szCs w:val="28"/>
        </w:rPr>
      </w:pPr>
      <w:bookmarkStart w:name="bookmark129" w:id="160"/>
      <w:bookmarkEnd w:id="160"/>
      <w:r>
        <w:rPr>
          <w:rFonts w:ascii="Times New Roman" w:hAnsi="Times New Roman" w:eastAsia="Times New Roman" w:cs="Times New Roman"/>
          <w:sz w:val="28"/>
          <w:szCs w:val="28"/>
          <w:spacing w:val="-1"/>
        </w:rPr>
        <w:t>6.4.1 </w:t>
      </w:r>
      <w:r>
        <w:rPr>
          <w:rFonts w:ascii="SimHei" w:hAnsi="SimHei" w:eastAsia="SimHei" w:cs="SimHei"/>
          <w:sz w:val="28"/>
          <w:szCs w:val="28"/>
          <w:spacing w:val="-1"/>
        </w:rPr>
        <w:t>物质危险性识别</w:t>
      </w:r>
    </w:p>
    <w:p>
      <w:pPr>
        <w:pStyle w:val="BodyText"/>
        <w:rPr/>
      </w:pPr>
      <w:r/>
    </w:p>
    <w:p>
      <w:pPr>
        <w:ind w:left="29" w:right="61" w:firstLine="479"/>
        <w:spacing w:before="78" w:line="351" w:lineRule="auto"/>
        <w:rPr>
          <w:rFonts w:ascii="SimSun" w:hAnsi="SimSun" w:eastAsia="SimSun" w:cs="SimSun"/>
          <w:sz w:val="24"/>
          <w:szCs w:val="24"/>
        </w:rPr>
      </w:pPr>
      <w:r>
        <w:rPr>
          <w:rFonts w:ascii="SimSun" w:hAnsi="SimSun" w:eastAsia="SimSun" w:cs="SimSun"/>
          <w:sz w:val="24"/>
          <w:szCs w:val="24"/>
          <w:spacing w:val="-3"/>
        </w:rPr>
        <w:t>本项目涉及的危险物质主要为沼气（甲烷）、</w:t>
      </w:r>
      <w:r>
        <w:rPr>
          <w:rFonts w:ascii="Times New Roman" w:hAnsi="Times New Roman" w:eastAsia="Times New Roman" w:cs="Times New Roman"/>
          <w:sz w:val="24"/>
          <w:szCs w:val="24"/>
          <w:spacing w:val="-3"/>
        </w:rPr>
        <w:t>COD</w:t>
      </w:r>
      <w:r>
        <w:rPr>
          <w:rFonts w:ascii="Times New Roman" w:hAnsi="Times New Roman" w:eastAsia="Times New Roman" w:cs="Times New Roman"/>
          <w:sz w:val="15"/>
          <w:szCs w:val="15"/>
          <w:spacing w:val="-3"/>
          <w:position w:val="-1"/>
        </w:rPr>
        <w:t>Cr</w:t>
      </w:r>
      <w:r>
        <w:rPr>
          <w:rFonts w:ascii="Times New Roman" w:hAnsi="Times New Roman" w:eastAsia="Times New Roman" w:cs="Times New Roman"/>
          <w:sz w:val="15"/>
          <w:szCs w:val="15"/>
          <w:spacing w:val="20"/>
          <w:w w:val="101"/>
          <w:position w:val="-1"/>
        </w:rPr>
        <w:t xml:space="preserve"> </w:t>
      </w:r>
      <w:r>
        <w:rPr>
          <w:rFonts w:ascii="SimSun" w:hAnsi="SimSun" w:eastAsia="SimSun" w:cs="SimSun"/>
          <w:sz w:val="24"/>
          <w:szCs w:val="24"/>
          <w:spacing w:val="-3"/>
        </w:rPr>
        <w:t>浓度≥</w:t>
      </w:r>
      <w:r>
        <w:rPr>
          <w:rFonts w:ascii="Times New Roman" w:hAnsi="Times New Roman" w:eastAsia="Times New Roman" w:cs="Times New Roman"/>
          <w:sz w:val="24"/>
          <w:szCs w:val="24"/>
          <w:spacing w:val="-3"/>
        </w:rPr>
        <w:t>10000mg/L </w:t>
      </w:r>
      <w:r>
        <w:rPr>
          <w:rFonts w:ascii="SimSun" w:hAnsi="SimSun" w:eastAsia="SimSun" w:cs="SimSun"/>
          <w:sz w:val="24"/>
          <w:szCs w:val="24"/>
          <w:spacing w:val="-3"/>
        </w:rPr>
        <w:t>有机废</w:t>
      </w:r>
      <w:r>
        <w:rPr>
          <w:rFonts w:ascii="SimSun" w:hAnsi="SimSun" w:eastAsia="SimSun" w:cs="SimSun"/>
          <w:sz w:val="24"/>
          <w:szCs w:val="24"/>
        </w:rPr>
        <w:t xml:space="preserve"> </w:t>
      </w:r>
      <w:r>
        <w:rPr>
          <w:rFonts w:ascii="SimSun" w:hAnsi="SimSun" w:eastAsia="SimSun" w:cs="SimSun"/>
          <w:sz w:val="24"/>
          <w:szCs w:val="24"/>
          <w:spacing w:val="-1"/>
        </w:rPr>
        <w:t>液、废矿物油、火灾</w:t>
      </w:r>
      <w:r>
        <w:rPr>
          <w:rFonts w:ascii="Times New Roman" w:hAnsi="Times New Roman" w:eastAsia="Times New Roman" w:cs="Times New Roman"/>
          <w:sz w:val="24"/>
          <w:szCs w:val="24"/>
          <w:spacing w:val="-1"/>
        </w:rPr>
        <w:t>/</w:t>
      </w:r>
      <w:r>
        <w:rPr>
          <w:rFonts w:ascii="SimSun" w:hAnsi="SimSun" w:eastAsia="SimSun" w:cs="SimSun"/>
          <w:sz w:val="24"/>
          <w:szCs w:val="24"/>
          <w:spacing w:val="-1"/>
        </w:rPr>
        <w:t>爆炸伴生</w:t>
      </w:r>
      <w:r>
        <w:rPr>
          <w:rFonts w:ascii="Times New Roman" w:hAnsi="Times New Roman" w:eastAsia="Times New Roman" w:cs="Times New Roman"/>
          <w:sz w:val="24"/>
          <w:szCs w:val="24"/>
          <w:spacing w:val="-1"/>
        </w:rPr>
        <w:t>/</w:t>
      </w:r>
      <w:r>
        <w:rPr>
          <w:rFonts w:ascii="SimSun" w:hAnsi="SimSun" w:eastAsia="SimSun" w:cs="SimSun"/>
          <w:sz w:val="24"/>
          <w:szCs w:val="24"/>
          <w:spacing w:val="-1"/>
        </w:rPr>
        <w:t>次生物（</w:t>
      </w:r>
      <w:r>
        <w:rPr>
          <w:rFonts w:ascii="Times New Roman" w:hAnsi="Times New Roman" w:eastAsia="Times New Roman" w:cs="Times New Roman"/>
          <w:sz w:val="24"/>
          <w:szCs w:val="24"/>
          <w:spacing w:val="-1"/>
        </w:rPr>
        <w:t>CO</w:t>
      </w:r>
      <w:r>
        <w:rPr>
          <w:rFonts w:ascii="SimSun" w:hAnsi="SimSun" w:eastAsia="SimSun" w:cs="SimSun"/>
          <w:sz w:val="24"/>
          <w:szCs w:val="24"/>
          <w:spacing w:val="6"/>
        </w:rPr>
        <w:t>），</w:t>
      </w:r>
      <w:r>
        <w:rPr>
          <w:rFonts w:ascii="SimSun" w:hAnsi="SimSun" w:eastAsia="SimSun" w:cs="SimSun"/>
          <w:sz w:val="24"/>
          <w:szCs w:val="24"/>
          <w:spacing w:val="-1"/>
        </w:rPr>
        <w:t>危险性详见表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6.</w:t>
      </w:r>
      <w:r>
        <w:rPr>
          <w:rFonts w:ascii="Times New Roman" w:hAnsi="Times New Roman" w:eastAsia="Times New Roman" w:cs="Times New Roman"/>
          <w:sz w:val="24"/>
          <w:szCs w:val="24"/>
          <w:spacing w:val="-2"/>
        </w:rPr>
        <w:t>4-1</w:t>
      </w:r>
      <w:r>
        <w:rPr>
          <w:rFonts w:ascii="SimSun" w:hAnsi="SimSun" w:eastAsia="SimSun" w:cs="SimSun"/>
          <w:sz w:val="24"/>
          <w:szCs w:val="24"/>
          <w:spacing w:val="-2"/>
        </w:rPr>
        <w:t>。</w:t>
      </w:r>
    </w:p>
    <w:p>
      <w:pPr>
        <w:ind w:left="2071"/>
        <w:spacing w:before="21"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8"/>
        </w:rPr>
        <w:t xml:space="preserve"> </w:t>
      </w:r>
      <w:r>
        <w:rPr>
          <w:rFonts w:ascii="Times New Roman" w:hAnsi="Times New Roman" w:eastAsia="Times New Roman" w:cs="Times New Roman"/>
          <w:sz w:val="24"/>
          <w:szCs w:val="24"/>
          <w:b/>
          <w:bCs/>
          <w:spacing w:val="-2"/>
        </w:rPr>
        <w:t>6.4-1        </w:t>
      </w:r>
      <w:r>
        <w:rPr>
          <w:rFonts w:ascii="SimSun" w:hAnsi="SimSun" w:eastAsia="SimSun" w:cs="SimSun"/>
          <w:sz w:val="24"/>
          <w:szCs w:val="24"/>
          <w:b/>
          <w:bCs/>
          <w:spacing w:val="-2"/>
        </w:rPr>
        <w:t>危险化学品危险性识别结果表</w:t>
      </w:r>
    </w:p>
    <w:tbl>
      <w:tblPr>
        <w:tblStyle w:val="TableNormal"/>
        <w:tblW w:w="853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37"/>
        <w:gridCol w:w="6258"/>
        <w:gridCol w:w="1139"/>
      </w:tblGrid>
      <w:tr>
        <w:trPr>
          <w:trHeight w:val="281" w:hRule="atLeast"/>
        </w:trPr>
        <w:tc>
          <w:tcPr>
            <w:tcW w:w="1137" w:type="dxa"/>
            <w:vAlign w:val="top"/>
          </w:tcPr>
          <w:p>
            <w:pPr>
              <w:pStyle w:val="TableText"/>
              <w:ind w:left="12"/>
              <w:spacing w:before="34" w:line="218" w:lineRule="auto"/>
              <w:rPr/>
            </w:pPr>
            <w:r>
              <w:rPr>
                <w:spacing w:val="7"/>
              </w:rPr>
              <w:t>化学品名称</w:t>
            </w:r>
          </w:p>
        </w:tc>
        <w:tc>
          <w:tcPr>
            <w:tcW w:w="6258" w:type="dxa"/>
            <w:vAlign w:val="top"/>
          </w:tcPr>
          <w:p>
            <w:pPr>
              <w:pStyle w:val="TableText"/>
              <w:ind w:left="2611"/>
              <w:spacing w:before="34" w:line="218" w:lineRule="auto"/>
              <w:rPr/>
            </w:pPr>
            <w:r>
              <w:rPr>
                <w:spacing w:val="7"/>
              </w:rPr>
              <w:t>危险性介绍</w:t>
            </w:r>
          </w:p>
        </w:tc>
        <w:tc>
          <w:tcPr>
            <w:tcW w:w="1139" w:type="dxa"/>
            <w:vAlign w:val="top"/>
          </w:tcPr>
          <w:p>
            <w:pPr>
              <w:pStyle w:val="TableText"/>
              <w:ind w:left="16"/>
              <w:spacing w:before="34" w:line="218" w:lineRule="auto"/>
              <w:rPr/>
            </w:pPr>
            <w:r>
              <w:rPr>
                <w:spacing w:val="7"/>
              </w:rPr>
              <w:t>危险性类别</w:t>
            </w:r>
          </w:p>
        </w:tc>
      </w:tr>
      <w:tr>
        <w:trPr>
          <w:trHeight w:val="1094" w:hRule="atLeast"/>
        </w:trPr>
        <w:tc>
          <w:tcPr>
            <w:tcW w:w="1137" w:type="dxa"/>
            <w:vAlign w:val="top"/>
            <w:vMerge w:val="restart"/>
            <w:tcBorders>
              <w:bottom w:val="nil"/>
            </w:tcBorders>
          </w:tcPr>
          <w:p>
            <w:pPr>
              <w:spacing w:line="261" w:lineRule="auto"/>
              <w:rPr>
                <w:rFonts w:ascii="Arial"/>
                <w:sz w:val="21"/>
              </w:rPr>
            </w:pPr>
            <w:r/>
          </w:p>
          <w:p>
            <w:pPr>
              <w:spacing w:line="262" w:lineRule="auto"/>
              <w:rPr>
                <w:rFonts w:ascii="Arial"/>
                <w:sz w:val="21"/>
              </w:rPr>
            </w:pPr>
            <w:r/>
          </w:p>
          <w:p>
            <w:pPr>
              <w:spacing w:line="262" w:lineRule="auto"/>
              <w:rPr>
                <w:rFonts w:ascii="Arial"/>
                <w:sz w:val="21"/>
              </w:rPr>
            </w:pPr>
            <w:r/>
          </w:p>
          <w:p>
            <w:pPr>
              <w:pStyle w:val="TableText"/>
              <w:spacing w:before="65" w:line="228" w:lineRule="auto"/>
              <w:jc w:val="right"/>
              <w:rPr/>
            </w:pPr>
            <w:r>
              <w:rPr>
                <w:spacing w:val="-15"/>
              </w:rPr>
              <w:t>沼气（甲烷）</w:t>
            </w:r>
          </w:p>
        </w:tc>
        <w:tc>
          <w:tcPr>
            <w:tcW w:w="6258" w:type="dxa"/>
            <w:vAlign w:val="top"/>
          </w:tcPr>
          <w:p>
            <w:pPr>
              <w:pStyle w:val="TableText"/>
              <w:ind w:left="7" w:hanging="4"/>
              <w:spacing w:before="31" w:line="243" w:lineRule="auto"/>
              <w:jc w:val="both"/>
              <w:rPr/>
            </w:pPr>
            <w:r>
              <w:rPr>
                <w:rFonts w:ascii="Times New Roman" w:hAnsi="Times New Roman" w:eastAsia="Times New Roman" w:cs="Times New Roman"/>
              </w:rPr>
              <w:t>LD</w:t>
            </w:r>
            <w:r>
              <w:rPr>
                <w:rFonts w:ascii="Times New Roman" w:hAnsi="Times New Roman" w:eastAsia="Times New Roman" w:cs="Times New Roman"/>
                <w:sz w:val="13"/>
                <w:szCs w:val="13"/>
                <w:spacing w:val="8"/>
                <w:position w:val="-1"/>
              </w:rPr>
              <w:t>50</w:t>
            </w:r>
            <w:r>
              <w:rPr>
                <w:spacing w:val="8"/>
              </w:rPr>
              <w:t>：无资料，</w:t>
            </w:r>
            <w:r>
              <w:rPr>
                <w:rFonts w:ascii="Times New Roman" w:hAnsi="Times New Roman" w:eastAsia="Times New Roman" w:cs="Times New Roman"/>
              </w:rPr>
              <w:t>LC</w:t>
            </w:r>
            <w:r>
              <w:rPr>
                <w:rFonts w:ascii="Times New Roman" w:hAnsi="Times New Roman" w:eastAsia="Times New Roman" w:cs="Times New Roman"/>
                <w:sz w:val="13"/>
                <w:szCs w:val="13"/>
                <w:spacing w:val="8"/>
                <w:position w:val="-1"/>
              </w:rPr>
              <w:t>50</w:t>
            </w:r>
            <w:r>
              <w:rPr>
                <w:spacing w:val="8"/>
              </w:rPr>
              <w:t>：无资料。甲烷对人基本无毒，但浓度过高时，</w:t>
            </w:r>
            <w:r>
              <w:rPr>
                <w:spacing w:val="2"/>
              </w:rPr>
              <w:t xml:space="preserve"> </w:t>
            </w:r>
            <w:r>
              <w:rPr>
                <w:spacing w:val="6"/>
              </w:rPr>
              <w:t>使空气中氧含量明显降低，使窒息。当空气中甲烷达</w:t>
            </w:r>
            <w:r>
              <w:rPr>
                <w:spacing w:val="-27"/>
              </w:rPr>
              <w:t xml:space="preserve"> </w:t>
            </w:r>
            <w:r>
              <w:rPr>
                <w:rFonts w:ascii="Times New Roman" w:hAnsi="Times New Roman" w:eastAsia="Times New Roman" w:cs="Times New Roman"/>
                <w:spacing w:val="6"/>
              </w:rPr>
              <w:t>25%~30%</w:t>
            </w:r>
            <w:r>
              <w:rPr>
                <w:spacing w:val="6"/>
              </w:rPr>
              <w:t>时可</w:t>
            </w:r>
            <w:r>
              <w:rPr/>
              <w:t xml:space="preserve">  </w:t>
            </w:r>
            <w:r>
              <w:rPr>
                <w:spacing w:val="1"/>
              </w:rPr>
              <w:t>引起头痛、头晕、乏力、注意力不集中、呼吸和心跳加速、共济失调。</w:t>
            </w:r>
            <w:r>
              <w:rPr>
                <w:spacing w:val="12"/>
              </w:rPr>
              <w:t xml:space="preserve"> </w:t>
            </w:r>
            <w:r>
              <w:rPr>
                <w:spacing w:val="7"/>
              </w:rPr>
              <w:t>若不及时脱离，可致窒息死亡。皮肤接触液化本品，可致冻伤。</w:t>
            </w:r>
          </w:p>
        </w:tc>
        <w:tc>
          <w:tcPr>
            <w:tcW w:w="1139" w:type="dxa"/>
            <w:vAlign w:val="top"/>
            <w:vMerge w:val="restart"/>
            <w:tcBorders>
              <w:bottom w:val="nil"/>
            </w:tcBorders>
          </w:tcPr>
          <w:p>
            <w:pPr>
              <w:spacing w:line="257" w:lineRule="auto"/>
              <w:rPr>
                <w:rFonts w:ascii="Arial"/>
                <w:sz w:val="21"/>
              </w:rPr>
            </w:pPr>
            <w:r/>
          </w:p>
          <w:p>
            <w:pPr>
              <w:spacing w:line="258" w:lineRule="auto"/>
              <w:rPr>
                <w:rFonts w:ascii="Arial"/>
                <w:sz w:val="21"/>
              </w:rPr>
            </w:pPr>
            <w:r/>
          </w:p>
          <w:p>
            <w:pPr>
              <w:pStyle w:val="TableText"/>
              <w:ind w:left="169"/>
              <w:spacing w:before="65" w:line="229" w:lineRule="auto"/>
              <w:rPr/>
            </w:pPr>
            <w:r>
              <w:rPr>
                <w:spacing w:val="3"/>
              </w:rPr>
              <w:t>易燃气体</w:t>
            </w:r>
          </w:p>
          <w:p>
            <w:pPr>
              <w:pStyle w:val="TableText"/>
              <w:ind w:left="86"/>
              <w:spacing w:before="22" w:line="228" w:lineRule="auto"/>
              <w:rPr/>
            </w:pPr>
            <w:r>
              <w:rPr>
                <w:spacing w:val="-3"/>
              </w:rPr>
              <w:t>（第</w:t>
            </w:r>
            <w:r>
              <w:rPr>
                <w:spacing w:val="-40"/>
              </w:rPr>
              <w:t xml:space="preserve"> </w:t>
            </w:r>
            <w:r>
              <w:rPr>
                <w:rFonts w:ascii="Times New Roman" w:hAnsi="Times New Roman" w:eastAsia="Times New Roman" w:cs="Times New Roman"/>
                <w:spacing w:val="-3"/>
              </w:rPr>
              <w:t>2.</w:t>
            </w:r>
            <w:r>
              <w:rPr>
                <w:rFonts w:ascii="Times New Roman" w:hAnsi="Times New Roman" w:eastAsia="Times New Roman" w:cs="Times New Roman"/>
                <w:spacing w:val="-25"/>
              </w:rPr>
              <w:t xml:space="preserve"> </w:t>
            </w:r>
            <w:r>
              <w:rPr>
                <w:rFonts w:ascii="Times New Roman" w:hAnsi="Times New Roman" w:eastAsia="Times New Roman" w:cs="Times New Roman"/>
                <w:spacing w:val="-3"/>
              </w:rPr>
              <w:t>1</w:t>
            </w:r>
            <w:r>
              <w:rPr>
                <w:rFonts w:ascii="Times New Roman" w:hAnsi="Times New Roman" w:eastAsia="Times New Roman" w:cs="Times New Roman"/>
                <w:spacing w:val="9"/>
              </w:rPr>
              <w:t xml:space="preserve"> </w:t>
            </w:r>
            <w:r>
              <w:rPr>
                <w:spacing w:val="-3"/>
              </w:rPr>
              <w:t>类</w:t>
            </w:r>
          </w:p>
          <w:p>
            <w:pPr>
              <w:pStyle w:val="TableText"/>
              <w:ind w:left="157"/>
              <w:spacing w:before="24" w:line="228" w:lineRule="auto"/>
              <w:rPr/>
            </w:pPr>
            <w:r>
              <w:rPr>
                <w:spacing w:val="4"/>
              </w:rPr>
              <w:t>危险品）</w:t>
            </w:r>
          </w:p>
        </w:tc>
      </w:tr>
      <w:tr>
        <w:trPr>
          <w:trHeight w:val="826" w:hRule="atLeast"/>
        </w:trPr>
        <w:tc>
          <w:tcPr>
            <w:tcW w:w="1137" w:type="dxa"/>
            <w:vAlign w:val="top"/>
            <w:vMerge w:val="continue"/>
            <w:tcBorders>
              <w:top w:val="nil"/>
            </w:tcBorders>
          </w:tcPr>
          <w:p>
            <w:pPr>
              <w:rPr>
                <w:rFonts w:ascii="Arial"/>
                <w:sz w:val="21"/>
              </w:rPr>
            </w:pPr>
            <w:r/>
          </w:p>
        </w:tc>
        <w:tc>
          <w:tcPr>
            <w:tcW w:w="6258" w:type="dxa"/>
            <w:vAlign w:val="top"/>
          </w:tcPr>
          <w:p>
            <w:pPr>
              <w:pStyle w:val="TableText"/>
              <w:ind w:left="7" w:firstLine="18"/>
              <w:spacing w:before="35"/>
              <w:jc w:val="both"/>
              <w:rPr/>
            </w:pPr>
            <w:r>
              <w:rPr>
                <w:spacing w:val="4"/>
              </w:rPr>
              <w:t>闪点：</w:t>
            </w:r>
            <w:r>
              <w:rPr>
                <w:rFonts w:ascii="Times New Roman" w:hAnsi="Times New Roman" w:eastAsia="Times New Roman" w:cs="Times New Roman"/>
                <w:spacing w:val="4"/>
              </w:rPr>
              <w:t>-188℃</w:t>
            </w:r>
            <w:r>
              <w:rPr>
                <w:rFonts w:ascii="Times New Roman" w:hAnsi="Times New Roman" w:eastAsia="Times New Roman" w:cs="Times New Roman"/>
                <w:spacing w:val="-23"/>
              </w:rPr>
              <w:t xml:space="preserve"> </w:t>
            </w:r>
            <w:r>
              <w:rPr>
                <w:spacing w:val="4"/>
              </w:rPr>
              <w:t>,</w:t>
            </w:r>
            <w:r>
              <w:rPr>
                <w:spacing w:val="59"/>
              </w:rPr>
              <w:t xml:space="preserve"> </w:t>
            </w:r>
            <w:r>
              <w:rPr>
                <w:spacing w:val="4"/>
              </w:rPr>
              <w:t>沸点：</w:t>
            </w:r>
            <w:r>
              <w:rPr>
                <w:rFonts w:ascii="Times New Roman" w:hAnsi="Times New Roman" w:eastAsia="Times New Roman" w:cs="Times New Roman"/>
                <w:spacing w:val="4"/>
              </w:rPr>
              <w:t>-161.5℃</w:t>
            </w:r>
            <w:r>
              <w:rPr>
                <w:rFonts w:ascii="Times New Roman" w:hAnsi="Times New Roman" w:eastAsia="Times New Roman" w:cs="Times New Roman"/>
                <w:spacing w:val="-22"/>
              </w:rPr>
              <w:t xml:space="preserve"> </w:t>
            </w:r>
            <w:r>
              <w:rPr>
                <w:spacing w:val="4"/>
              </w:rPr>
              <w:t>。易燃，与空气混合能形成爆炸性混</w:t>
            </w:r>
            <w:r>
              <w:rPr/>
              <w:t xml:space="preserve"> </w:t>
            </w:r>
            <w:r>
              <w:rPr>
                <w:spacing w:val="8"/>
              </w:rPr>
              <w:t>合物，遇热源和明火有燃烧爆炸的危险。与五氧化、氨气、次氨酸、</w:t>
            </w:r>
            <w:r>
              <w:rPr>
                <w:spacing w:val="4"/>
              </w:rPr>
              <w:t xml:space="preserve"> </w:t>
            </w:r>
            <w:r>
              <w:rPr>
                <w:spacing w:val="9"/>
              </w:rPr>
              <w:t>三氟化氮、液氧、二氟化氧及其它强氧化剂接触</w:t>
            </w:r>
            <w:r>
              <w:rPr>
                <w:spacing w:val="8"/>
              </w:rPr>
              <w:t>剧烈反应。</w:t>
            </w:r>
          </w:p>
        </w:tc>
        <w:tc>
          <w:tcPr>
            <w:tcW w:w="1139" w:type="dxa"/>
            <w:vAlign w:val="top"/>
            <w:vMerge w:val="continue"/>
            <w:tcBorders>
              <w:top w:val="nil"/>
            </w:tcBorders>
          </w:tcPr>
          <w:p>
            <w:pPr>
              <w:rPr>
                <w:rFonts w:ascii="Arial"/>
                <w:sz w:val="21"/>
              </w:rPr>
            </w:pPr>
            <w:r/>
          </w:p>
        </w:tc>
      </w:tr>
      <w:tr>
        <w:trPr>
          <w:trHeight w:val="821" w:hRule="atLeast"/>
        </w:trPr>
        <w:tc>
          <w:tcPr>
            <w:tcW w:w="1137" w:type="dxa"/>
            <w:vAlign w:val="top"/>
            <w:vMerge w:val="restart"/>
            <w:tcBorders>
              <w:bottom w:val="nil"/>
            </w:tcBorders>
          </w:tcPr>
          <w:p>
            <w:pPr>
              <w:pStyle w:val="TableText"/>
              <w:ind w:left="6" w:right="33" w:firstLine="50"/>
              <w:spacing w:before="193" w:line="250" w:lineRule="auto"/>
              <w:rPr>
                <w:rFonts w:ascii="Times New Roman" w:hAnsi="Times New Roman" w:eastAsia="Times New Roman" w:cs="Times New Roman"/>
              </w:rPr>
            </w:pPr>
            <w:r>
              <w:rPr>
                <w:rFonts w:ascii="Times New Roman" w:hAnsi="Times New Roman" w:eastAsia="Times New Roman" w:cs="Times New Roman"/>
              </w:rPr>
              <w:t>COD</w:t>
            </w:r>
            <w:r>
              <w:rPr>
                <w:rFonts w:ascii="Times New Roman" w:hAnsi="Times New Roman" w:eastAsia="Times New Roman" w:cs="Times New Roman"/>
                <w:sz w:val="13"/>
                <w:szCs w:val="13"/>
                <w:position w:val="-1"/>
              </w:rPr>
              <w:t>Cr</w:t>
            </w:r>
            <w:r>
              <w:rPr>
                <w:rFonts w:ascii="Times New Roman" w:hAnsi="Times New Roman" w:eastAsia="Times New Roman" w:cs="Times New Roman"/>
                <w:sz w:val="13"/>
                <w:szCs w:val="13"/>
                <w:spacing w:val="13"/>
                <w:position w:val="-1"/>
              </w:rPr>
              <w:t xml:space="preserve"> </w:t>
            </w:r>
            <w:r>
              <w:rPr>
                <w:spacing w:val="13"/>
              </w:rPr>
              <w:t>浓度</w:t>
            </w:r>
            <w:r>
              <w:rPr/>
              <w:t xml:space="preserve"> </w:t>
            </w:r>
            <w:r>
              <w:rPr>
                <w:rFonts w:ascii="Times New Roman" w:hAnsi="Times New Roman" w:eastAsia="Times New Roman" w:cs="Times New Roman"/>
                <w:spacing w:val="6"/>
              </w:rPr>
              <w:t>≥10000</w:t>
            </w:r>
            <w:r>
              <w:rPr>
                <w:rFonts w:ascii="Times New Roman" w:hAnsi="Times New Roman" w:eastAsia="Times New Roman" w:cs="Times New Roman"/>
              </w:rPr>
              <w:t>mg</w:t>
            </w:r>
            <w:r>
              <w:rPr>
                <w:rFonts w:ascii="Times New Roman" w:hAnsi="Times New Roman" w:eastAsia="Times New Roman" w:cs="Times New Roman"/>
                <w:spacing w:val="6"/>
              </w:rPr>
              <w:t>/L</w:t>
            </w:r>
          </w:p>
          <w:p>
            <w:pPr>
              <w:pStyle w:val="TableText"/>
              <w:ind w:left="154"/>
              <w:spacing w:line="226" w:lineRule="auto"/>
              <w:rPr/>
            </w:pPr>
            <w:r>
              <w:rPr>
                <w:spacing w:val="7"/>
              </w:rPr>
              <w:t>有机废液</w:t>
            </w:r>
          </w:p>
        </w:tc>
        <w:tc>
          <w:tcPr>
            <w:tcW w:w="6258" w:type="dxa"/>
            <w:vAlign w:val="top"/>
          </w:tcPr>
          <w:p>
            <w:pPr>
              <w:pStyle w:val="TableText"/>
              <w:ind w:left="8" w:right="1" w:hanging="5"/>
              <w:spacing w:before="34" w:line="239" w:lineRule="auto"/>
              <w:rPr/>
            </w:pPr>
            <w:r>
              <w:rPr>
                <w:rFonts w:ascii="Times New Roman" w:hAnsi="Times New Roman" w:eastAsia="Times New Roman" w:cs="Times New Roman"/>
              </w:rPr>
              <w:t>LD</w:t>
            </w:r>
            <w:r>
              <w:rPr>
                <w:rFonts w:ascii="Times New Roman" w:hAnsi="Times New Roman" w:eastAsia="Times New Roman" w:cs="Times New Roman"/>
                <w:sz w:val="13"/>
                <w:szCs w:val="13"/>
                <w:spacing w:val="9"/>
                <w:position w:val="-1"/>
              </w:rPr>
              <w:t>50</w:t>
            </w:r>
            <w:r>
              <w:rPr>
                <w:spacing w:val="9"/>
              </w:rPr>
              <w:t>：无资料，</w:t>
            </w:r>
            <w:r>
              <w:rPr>
                <w:rFonts w:ascii="Times New Roman" w:hAnsi="Times New Roman" w:eastAsia="Times New Roman" w:cs="Times New Roman"/>
              </w:rPr>
              <w:t>LC</w:t>
            </w:r>
            <w:r>
              <w:rPr>
                <w:rFonts w:ascii="Times New Roman" w:hAnsi="Times New Roman" w:eastAsia="Times New Roman" w:cs="Times New Roman"/>
                <w:sz w:val="13"/>
                <w:szCs w:val="13"/>
                <w:spacing w:val="9"/>
                <w:position w:val="-1"/>
              </w:rPr>
              <w:t>50</w:t>
            </w:r>
            <w:r>
              <w:rPr>
                <w:spacing w:val="9"/>
              </w:rPr>
              <w:t>：无资料。吸入蒸气或雾可能引起</w:t>
            </w:r>
            <w:r>
              <w:rPr>
                <w:spacing w:val="8"/>
              </w:rPr>
              <w:t>呼吸道刺激、</w:t>
            </w:r>
            <w:r>
              <w:rPr/>
              <w:t xml:space="preserve"> </w:t>
            </w:r>
            <w:r>
              <w:rPr>
                <w:spacing w:val="8"/>
              </w:rPr>
              <w:t>头晕、恶心等症状。皮肤接触可能导致刺激或腐蚀。误食可能引起中</w:t>
            </w:r>
            <w:r>
              <w:rPr>
                <w:spacing w:val="1"/>
              </w:rPr>
              <w:t xml:space="preserve"> </w:t>
            </w:r>
            <w:r>
              <w:rPr>
                <w:spacing w:val="7"/>
              </w:rPr>
              <w:t>毒，严重时危及生命。</w:t>
            </w:r>
          </w:p>
        </w:tc>
        <w:tc>
          <w:tcPr>
            <w:tcW w:w="1139" w:type="dxa"/>
            <w:vAlign w:val="top"/>
            <w:vMerge w:val="restart"/>
            <w:tcBorders>
              <w:bottom w:val="nil"/>
            </w:tcBorders>
          </w:tcPr>
          <w:p>
            <w:pPr>
              <w:pStyle w:val="TableText"/>
              <w:ind w:left="49"/>
              <w:spacing w:before="176" w:line="228" w:lineRule="auto"/>
              <w:rPr/>
            </w:pPr>
            <w:r>
              <w:rPr>
                <w:spacing w:val="5"/>
              </w:rPr>
              <w:t>环境危害、</w:t>
            </w:r>
          </w:p>
          <w:p>
            <w:pPr>
              <w:pStyle w:val="TableText"/>
              <w:ind w:left="49"/>
              <w:spacing w:before="25" w:line="228" w:lineRule="auto"/>
              <w:rPr/>
            </w:pPr>
            <w:r>
              <w:rPr>
                <w:spacing w:val="8"/>
              </w:rPr>
              <w:t>腐蚀、健康</w:t>
            </w:r>
          </w:p>
          <w:p>
            <w:pPr>
              <w:pStyle w:val="TableText"/>
              <w:ind w:left="366"/>
              <w:spacing w:before="24" w:line="228" w:lineRule="auto"/>
              <w:rPr/>
            </w:pPr>
            <w:r>
              <w:rPr>
                <w:spacing w:val="3"/>
              </w:rPr>
              <w:t>危害</w:t>
            </w:r>
          </w:p>
        </w:tc>
      </w:tr>
      <w:tr>
        <w:trPr>
          <w:trHeight w:val="282" w:hRule="atLeast"/>
        </w:trPr>
        <w:tc>
          <w:tcPr>
            <w:tcW w:w="1137" w:type="dxa"/>
            <w:vAlign w:val="top"/>
            <w:vMerge w:val="continue"/>
            <w:tcBorders>
              <w:bottom w:val="single" w:color="000000" w:sz="4" w:space="0"/>
              <w:top w:val="nil"/>
            </w:tcBorders>
          </w:tcPr>
          <w:p>
            <w:pPr>
              <w:rPr>
                <w:rFonts w:ascii="Arial"/>
                <w:sz w:val="21"/>
              </w:rPr>
            </w:pPr>
            <w:r/>
          </w:p>
        </w:tc>
        <w:tc>
          <w:tcPr>
            <w:tcW w:w="6258" w:type="dxa"/>
            <w:vAlign w:val="top"/>
          </w:tcPr>
          <w:p>
            <w:pPr>
              <w:pStyle w:val="TableText"/>
              <w:ind w:left="26"/>
              <w:spacing w:before="38" w:line="216" w:lineRule="auto"/>
              <w:rPr/>
            </w:pPr>
            <w:r>
              <w:rPr>
                <w:spacing w:val="7"/>
              </w:rPr>
              <w:t>闪点：无资料，沸点：无资料。可燃。</w:t>
            </w:r>
          </w:p>
        </w:tc>
        <w:tc>
          <w:tcPr>
            <w:tcW w:w="1139" w:type="dxa"/>
            <w:vAlign w:val="top"/>
            <w:vMerge w:val="continue"/>
            <w:tcBorders>
              <w:bottom w:val="single" w:color="000000" w:sz="4" w:space="0"/>
              <w:top w:val="nil"/>
            </w:tcBorders>
          </w:tcPr>
          <w:p>
            <w:pPr>
              <w:rPr>
                <w:rFonts w:ascii="Arial"/>
                <w:sz w:val="21"/>
              </w:rPr>
            </w:pPr>
            <w:r/>
          </w:p>
        </w:tc>
      </w:tr>
      <w:tr>
        <w:trPr>
          <w:trHeight w:val="277" w:hRule="atLeast"/>
        </w:trPr>
        <w:tc>
          <w:tcPr>
            <w:tcW w:w="1137" w:type="dxa"/>
            <w:vAlign w:val="top"/>
            <w:tcBorders>
              <w:top w:val="single" w:color="000000" w:sz="4" w:space="0"/>
            </w:tcBorders>
          </w:tcPr>
          <w:p>
            <w:pPr>
              <w:pStyle w:val="TableText"/>
              <w:ind w:left="152"/>
              <w:spacing w:before="34" w:line="215" w:lineRule="auto"/>
              <w:rPr/>
            </w:pPr>
            <w:r>
              <w:rPr>
                <w:spacing w:val="7"/>
              </w:rPr>
              <w:t>废矿物油</w:t>
            </w:r>
          </w:p>
        </w:tc>
        <w:tc>
          <w:tcPr>
            <w:tcW w:w="6258" w:type="dxa"/>
            <w:vAlign w:val="top"/>
          </w:tcPr>
          <w:p>
            <w:pPr>
              <w:pStyle w:val="TableText"/>
              <w:ind w:left="9"/>
              <w:spacing w:before="34" w:line="215" w:lineRule="auto"/>
              <w:rPr/>
            </w:pPr>
            <w:r>
              <w:rPr>
                <w:spacing w:val="8"/>
              </w:rPr>
              <w:t>可燃液体，火灾危险性为丙</w:t>
            </w:r>
            <w:r>
              <w:rPr>
                <w:spacing w:val="-30"/>
              </w:rPr>
              <w:t xml:space="preserve"> </w:t>
            </w:r>
            <w:r>
              <w:rPr>
                <w:rFonts w:ascii="Times New Roman" w:hAnsi="Times New Roman" w:eastAsia="Times New Roman" w:cs="Times New Roman"/>
                <w:spacing w:val="8"/>
              </w:rPr>
              <w:t>B </w:t>
            </w:r>
            <w:r>
              <w:rPr>
                <w:spacing w:val="8"/>
              </w:rPr>
              <w:t>类；遇明火、高热可燃。</w:t>
            </w:r>
          </w:p>
        </w:tc>
        <w:tc>
          <w:tcPr>
            <w:tcW w:w="1139" w:type="dxa"/>
            <w:vAlign w:val="top"/>
            <w:tcBorders>
              <w:top w:val="single" w:color="000000" w:sz="4" w:space="0"/>
            </w:tcBorders>
          </w:tcPr>
          <w:p>
            <w:pPr>
              <w:pStyle w:val="TableText"/>
              <w:ind w:left="169"/>
              <w:spacing w:before="34" w:line="215" w:lineRule="auto"/>
              <w:rPr/>
            </w:pPr>
            <w:r>
              <w:rPr>
                <w:spacing w:val="3"/>
              </w:rPr>
              <w:t>易燃液体</w:t>
            </w:r>
          </w:p>
        </w:tc>
      </w:tr>
      <w:tr>
        <w:trPr>
          <w:trHeight w:val="2185" w:hRule="atLeast"/>
        </w:trPr>
        <w:tc>
          <w:tcPr>
            <w:tcW w:w="1137" w:type="dxa"/>
            <w:vAlign w:val="top"/>
          </w:tcPr>
          <w:p>
            <w:pPr>
              <w:rPr>
                <w:rFonts w:ascii="Arial"/>
                <w:sz w:val="21"/>
              </w:rPr>
            </w:pPr>
            <w:r/>
          </w:p>
          <w:p>
            <w:pPr>
              <w:rPr>
                <w:rFonts w:ascii="Arial"/>
                <w:sz w:val="21"/>
              </w:rPr>
            </w:pPr>
            <w:r/>
          </w:p>
          <w:p>
            <w:pPr>
              <w:rPr>
                <w:rFonts w:ascii="Arial"/>
                <w:sz w:val="21"/>
              </w:rPr>
            </w:pPr>
            <w:r/>
          </w:p>
          <w:p>
            <w:pPr>
              <w:rPr>
                <w:rFonts w:ascii="Arial"/>
                <w:sz w:val="21"/>
              </w:rPr>
            </w:pPr>
            <w:r/>
          </w:p>
          <w:p>
            <w:pPr>
              <w:ind w:left="426"/>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CO</w:t>
            </w:r>
          </w:p>
        </w:tc>
        <w:tc>
          <w:tcPr>
            <w:tcW w:w="6258" w:type="dxa"/>
            <w:vAlign w:val="top"/>
          </w:tcPr>
          <w:p>
            <w:pPr>
              <w:pStyle w:val="TableText"/>
              <w:ind w:left="8" w:hanging="5"/>
              <w:spacing w:before="34" w:line="247" w:lineRule="auto"/>
              <w:jc w:val="both"/>
              <w:rPr/>
            </w:pPr>
            <w:r>
              <w:rPr>
                <w:rFonts w:ascii="Times New Roman" w:hAnsi="Times New Roman" w:eastAsia="Times New Roman" w:cs="Times New Roman"/>
              </w:rPr>
              <w:t>LD</w:t>
            </w:r>
            <w:r>
              <w:rPr>
                <w:rFonts w:ascii="Times New Roman" w:hAnsi="Times New Roman" w:eastAsia="Times New Roman" w:cs="Times New Roman"/>
                <w:sz w:val="13"/>
                <w:szCs w:val="13"/>
                <w:spacing w:val="4"/>
                <w:position w:val="-1"/>
              </w:rPr>
              <w:t>50</w:t>
            </w:r>
            <w:r>
              <w:rPr>
                <w:spacing w:val="4"/>
              </w:rPr>
              <w:t>：剧毒，</w:t>
            </w:r>
            <w:r>
              <w:rPr>
                <w:rFonts w:ascii="Times New Roman" w:hAnsi="Times New Roman" w:eastAsia="Times New Roman" w:cs="Times New Roman"/>
              </w:rPr>
              <w:t>LC</w:t>
            </w:r>
            <w:r>
              <w:rPr>
                <w:rFonts w:ascii="Times New Roman" w:hAnsi="Times New Roman" w:eastAsia="Times New Roman" w:cs="Times New Roman"/>
                <w:sz w:val="13"/>
                <w:szCs w:val="13"/>
                <w:spacing w:val="4"/>
                <w:position w:val="-1"/>
              </w:rPr>
              <w:t>50</w:t>
            </w:r>
            <w:r>
              <w:rPr>
                <w:spacing w:val="4"/>
              </w:rPr>
              <w:t>：大鼠吸入</w:t>
            </w:r>
            <w:r>
              <w:rPr>
                <w:spacing w:val="-43"/>
              </w:rPr>
              <w:t xml:space="preserve"> </w:t>
            </w:r>
            <w:r>
              <w:rPr>
                <w:rFonts w:ascii="Times New Roman" w:hAnsi="Times New Roman" w:eastAsia="Times New Roman" w:cs="Times New Roman"/>
              </w:rPr>
              <w:t>LC</w:t>
            </w:r>
            <w:r>
              <w:rPr>
                <w:rFonts w:ascii="Times New Roman" w:hAnsi="Times New Roman" w:eastAsia="Times New Roman" w:cs="Times New Roman"/>
                <w:sz w:val="13"/>
                <w:szCs w:val="13"/>
                <w:spacing w:val="4"/>
                <w:position w:val="-1"/>
              </w:rPr>
              <w:t>50</w:t>
            </w:r>
            <w:r>
              <w:rPr>
                <w:spacing w:val="4"/>
              </w:rPr>
              <w:t>（</w:t>
            </w:r>
            <w:r>
              <w:rPr>
                <w:rFonts w:ascii="Times New Roman" w:hAnsi="Times New Roman" w:eastAsia="Times New Roman" w:cs="Times New Roman"/>
              </w:rPr>
              <w:t>mg</w:t>
            </w:r>
            <w:r>
              <w:rPr>
                <w:rFonts w:ascii="Times New Roman" w:hAnsi="Times New Roman" w:eastAsia="Times New Roman" w:cs="Times New Roman"/>
                <w:spacing w:val="4"/>
              </w:rPr>
              <w:t>/m</w:t>
            </w:r>
            <w:r>
              <w:rPr>
                <w:rFonts w:ascii="Times New Roman" w:hAnsi="Times New Roman" w:eastAsia="Times New Roman" w:cs="Times New Roman"/>
                <w:sz w:val="13"/>
                <w:szCs w:val="13"/>
                <w:spacing w:val="4"/>
                <w:position w:val="6"/>
              </w:rPr>
              <w:t>3 </w:t>
            </w:r>
            <w:r>
              <w:rPr>
                <w:spacing w:val="8"/>
              </w:rPr>
              <w:t>）：</w:t>
            </w:r>
            <w:r>
              <w:rPr>
                <w:rFonts w:ascii="Times New Roman" w:hAnsi="Times New Roman" w:eastAsia="Times New Roman" w:cs="Times New Roman"/>
                <w:spacing w:val="4"/>
              </w:rPr>
              <w:t>1807</w:t>
            </w:r>
            <w:r>
              <w:rPr>
                <w:rFonts w:ascii="Times New Roman" w:hAnsi="Times New Roman" w:eastAsia="Times New Roman" w:cs="Times New Roman"/>
              </w:rPr>
              <w:t>ppm</w:t>
            </w:r>
            <w:r>
              <w:rPr>
                <w:spacing w:val="4"/>
              </w:rPr>
              <w:t>（</w:t>
            </w:r>
            <w:r>
              <w:rPr>
                <w:rFonts w:ascii="Times New Roman" w:hAnsi="Times New Roman" w:eastAsia="Times New Roman" w:cs="Times New Roman"/>
                <w:spacing w:val="4"/>
              </w:rPr>
              <w:t>4</w:t>
            </w:r>
            <w:r>
              <w:rPr>
                <w:rFonts w:ascii="Times New Roman" w:hAnsi="Times New Roman" w:eastAsia="Times New Roman" w:cs="Times New Roman"/>
                <w:spacing w:val="17"/>
                <w:w w:val="101"/>
              </w:rPr>
              <w:t xml:space="preserve"> </w:t>
            </w:r>
            <w:r>
              <w:rPr>
                <w:spacing w:val="4"/>
              </w:rPr>
              <w:t>小时）。</w:t>
            </w:r>
            <w:r>
              <w:rPr/>
              <w:t xml:space="preserve"> </w:t>
            </w:r>
            <w:r>
              <w:rPr>
                <w:spacing w:val="7"/>
              </w:rPr>
              <w:t>一氧化碳在血中与血红蛋白结合而造成组织缺氧。 急性中毒：轻度</w:t>
            </w:r>
            <w:r>
              <w:rPr>
                <w:spacing w:val="3"/>
              </w:rPr>
              <w:t xml:space="preserve">  </w:t>
            </w:r>
            <w:r>
              <w:rPr>
                <w:spacing w:val="6"/>
              </w:rPr>
              <w:t>中毒者出现头痛、头晕、耳鸣、心悸、恶心、呕吐</w:t>
            </w:r>
            <w:r>
              <w:rPr>
                <w:spacing w:val="5"/>
              </w:rPr>
              <w:t>、无力，血液碳氧</w:t>
            </w:r>
            <w:r>
              <w:rPr/>
              <w:t xml:space="preserve"> </w:t>
            </w:r>
            <w:r>
              <w:rPr>
                <w:spacing w:val="4"/>
              </w:rPr>
              <w:t>血红蛋白浓度可高于</w:t>
            </w:r>
            <w:r>
              <w:rPr>
                <w:spacing w:val="-19"/>
              </w:rPr>
              <w:t xml:space="preserve"> </w:t>
            </w:r>
            <w:r>
              <w:rPr>
                <w:rFonts w:ascii="Times New Roman" w:hAnsi="Times New Roman" w:eastAsia="Times New Roman" w:cs="Times New Roman"/>
                <w:spacing w:val="4"/>
              </w:rPr>
              <w:t>10%</w:t>
            </w:r>
            <w:r>
              <w:rPr>
                <w:spacing w:val="4"/>
              </w:rPr>
              <w:t>；中度中毒者除上述症状外，还有皮肤黏膜</w:t>
            </w:r>
            <w:r>
              <w:rPr/>
              <w:t xml:space="preserve"> </w:t>
            </w:r>
            <w:r>
              <w:rPr>
                <w:spacing w:val="6"/>
              </w:rPr>
              <w:t>呈樱红色、脉快、烦躁、步态不稳、浅至中度昏迷，血</w:t>
            </w:r>
            <w:r>
              <w:rPr>
                <w:spacing w:val="5"/>
              </w:rPr>
              <w:t>液碳氧血红蛋</w:t>
            </w:r>
            <w:r>
              <w:rPr/>
              <w:t xml:space="preserve"> </w:t>
            </w:r>
            <w:r>
              <w:rPr>
                <w:spacing w:val="5"/>
              </w:rPr>
              <w:t>白浓度可高于</w:t>
            </w:r>
            <w:r>
              <w:rPr>
                <w:spacing w:val="-37"/>
              </w:rPr>
              <w:t xml:space="preserve"> </w:t>
            </w:r>
            <w:r>
              <w:rPr>
                <w:rFonts w:ascii="Times New Roman" w:hAnsi="Times New Roman" w:eastAsia="Times New Roman" w:cs="Times New Roman"/>
                <w:spacing w:val="5"/>
              </w:rPr>
              <w:t>30%</w:t>
            </w:r>
            <w:r>
              <w:rPr>
                <w:spacing w:val="5"/>
              </w:rPr>
              <w:t>；重度患者深度昏迷、瞳孔</w:t>
            </w:r>
            <w:r>
              <w:rPr>
                <w:spacing w:val="4"/>
              </w:rPr>
              <w:t>缩小、肌张力增强、频</w:t>
            </w:r>
            <w:r>
              <w:rPr/>
              <w:t xml:space="preserve"> </w:t>
            </w:r>
            <w:r>
              <w:rPr>
                <w:spacing w:val="6"/>
              </w:rPr>
              <w:t>繁抽搐、大小便失禁、休克、肺水肿、严重心肌损害等</w:t>
            </w:r>
            <w:r>
              <w:rPr>
                <w:spacing w:val="5"/>
              </w:rPr>
              <w:t>，血液碳氧血</w:t>
            </w:r>
            <w:r>
              <w:rPr/>
              <w:t xml:space="preserve"> </w:t>
            </w:r>
            <w:r>
              <w:rPr>
                <w:spacing w:val="5"/>
              </w:rPr>
              <w:t>红蛋白可高于</w:t>
            </w:r>
            <w:r>
              <w:rPr>
                <w:spacing w:val="-29"/>
              </w:rPr>
              <w:t xml:space="preserve"> </w:t>
            </w:r>
            <w:r>
              <w:rPr>
                <w:rFonts w:ascii="Times New Roman" w:hAnsi="Times New Roman" w:eastAsia="Times New Roman" w:cs="Times New Roman"/>
                <w:spacing w:val="5"/>
              </w:rPr>
              <w:t>50%</w:t>
            </w:r>
            <w:r>
              <w:rPr>
                <w:rFonts w:ascii="Times New Roman" w:hAnsi="Times New Roman" w:eastAsia="Times New Roman" w:cs="Times New Roman"/>
                <w:spacing w:val="-21"/>
              </w:rPr>
              <w:t xml:space="preserve"> </w:t>
            </w:r>
            <w:r>
              <w:rPr>
                <w:spacing w:val="5"/>
              </w:rPr>
              <w:t>。部分患者昏迷苏醒后，约经 </w:t>
            </w:r>
            <w:r>
              <w:rPr>
                <w:rFonts w:ascii="Times New Roman" w:hAnsi="Times New Roman" w:eastAsia="Times New Roman" w:cs="Times New Roman"/>
                <w:spacing w:val="5"/>
              </w:rPr>
              <w:t>2</w:t>
            </w:r>
            <w:r>
              <w:rPr>
                <w:spacing w:val="5"/>
              </w:rPr>
              <w:t>～</w:t>
            </w:r>
            <w:r>
              <w:rPr>
                <w:rFonts w:ascii="Times New Roman" w:hAnsi="Times New Roman" w:eastAsia="Times New Roman" w:cs="Times New Roman"/>
                <w:spacing w:val="5"/>
              </w:rPr>
              <w:t>60 </w:t>
            </w:r>
            <w:r>
              <w:rPr>
                <w:spacing w:val="5"/>
              </w:rPr>
              <w:t>天的症状缓</w:t>
            </w:r>
          </w:p>
        </w:tc>
        <w:tc>
          <w:tcPr>
            <w:tcW w:w="1139" w:type="dxa"/>
            <w:vAlign w:val="top"/>
          </w:tcPr>
          <w:p>
            <w:pPr>
              <w:spacing w:line="260" w:lineRule="auto"/>
              <w:rPr>
                <w:rFonts w:ascii="Arial"/>
                <w:sz w:val="21"/>
              </w:rPr>
            </w:pPr>
            <w:r/>
          </w:p>
          <w:p>
            <w:pPr>
              <w:spacing w:line="260" w:lineRule="auto"/>
              <w:rPr>
                <w:rFonts w:ascii="Arial"/>
                <w:sz w:val="21"/>
              </w:rPr>
            </w:pPr>
            <w:r/>
          </w:p>
          <w:p>
            <w:pPr>
              <w:spacing w:line="261" w:lineRule="auto"/>
              <w:rPr>
                <w:rFonts w:ascii="Arial"/>
                <w:sz w:val="21"/>
              </w:rPr>
            </w:pPr>
            <w:r/>
          </w:p>
          <w:p>
            <w:pPr>
              <w:pStyle w:val="TableText"/>
              <w:ind w:left="15" w:hanging="2"/>
              <w:spacing w:before="65" w:line="252" w:lineRule="auto"/>
              <w:rPr/>
            </w:pPr>
            <w:r>
              <w:rPr>
                <w:spacing w:val="-18"/>
              </w:rPr>
              <w:t>第</w:t>
            </w:r>
            <w:r>
              <w:rPr>
                <w:spacing w:val="-42"/>
              </w:rPr>
              <w:t xml:space="preserve"> </w:t>
            </w:r>
            <w:r>
              <w:rPr>
                <w:rFonts w:ascii="Times New Roman" w:hAnsi="Times New Roman" w:eastAsia="Times New Roman" w:cs="Times New Roman"/>
                <w:spacing w:val="-18"/>
              </w:rPr>
              <w:t>2.3</w:t>
            </w:r>
            <w:r>
              <w:rPr>
                <w:rFonts w:ascii="Times New Roman" w:hAnsi="Times New Roman" w:eastAsia="Times New Roman" w:cs="Times New Roman"/>
                <w:spacing w:val="5"/>
              </w:rPr>
              <w:t xml:space="preserve"> </w:t>
            </w:r>
            <w:r>
              <w:rPr>
                <w:spacing w:val="-18"/>
              </w:rPr>
              <w:t>类，毒</w:t>
            </w:r>
            <w:r>
              <w:rPr/>
              <w:t xml:space="preserve">  </w:t>
            </w:r>
            <w:r>
              <w:rPr>
                <w:spacing w:val="-14"/>
              </w:rPr>
              <w:t>性气体（次）</w:t>
            </w:r>
          </w:p>
        </w:tc>
      </w:tr>
    </w:tbl>
    <w:p>
      <w:pPr>
        <w:pStyle w:val="BodyText"/>
        <w:spacing w:line="193" w:lineRule="exact"/>
        <w:rPr>
          <w:sz w:val="16"/>
        </w:rPr>
      </w:pPr>
      <w:r/>
    </w:p>
    <w:p>
      <w:pPr>
        <w:spacing w:line="193" w:lineRule="exact"/>
        <w:sectPr>
          <w:headerReference w:type="default" r:id="rId338"/>
          <w:footerReference w:type="default" r:id="rId339"/>
          <w:pgSz w:w="11907" w:h="16840"/>
          <w:pgMar w:top="1567" w:right="1640" w:bottom="1921" w:left="1683" w:header="1221" w:footer="1247" w:gutter="0"/>
        </w:sectPr>
        <w:rPr>
          <w:sz w:val="16"/>
          <w:szCs w:val="16"/>
        </w:rPr>
      </w:pPr>
    </w:p>
    <w:p>
      <w:pPr>
        <w:spacing w:line="151" w:lineRule="exact"/>
        <w:rPr/>
      </w:pPr>
      <w:r>
        <w:pict>
          <v:shape id="_x0000_s1134" style="position:absolute;margin-left:85.05pt;margin-top:79.11pt;mso-position-vertical-relative:page;mso-position-horizontal-relative:page;width:425.25pt;height:0.75pt;z-index:252233728;" o:allowincell="f" fillcolor="#000000" filled="true" stroked="false" coordsize="8505,15" coordorigin="0,0" path="m,l8505,0l8505,14l0,14l0,0xe"/>
        </w:pict>
      </w:r>
      <w:r/>
    </w:p>
    <w:tbl>
      <w:tblPr>
        <w:tblStyle w:val="TableNormal"/>
        <w:tblW w:w="8534" w:type="dxa"/>
        <w:tblInd w:w="3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37"/>
        <w:gridCol w:w="6258"/>
        <w:gridCol w:w="1139"/>
      </w:tblGrid>
      <w:tr>
        <w:trPr>
          <w:trHeight w:val="280" w:hRule="atLeast"/>
        </w:trPr>
        <w:tc>
          <w:tcPr>
            <w:tcW w:w="1137" w:type="dxa"/>
            <w:vAlign w:val="top"/>
          </w:tcPr>
          <w:p>
            <w:pPr>
              <w:pStyle w:val="TableText"/>
              <w:ind w:left="12"/>
              <w:spacing w:before="37" w:line="215" w:lineRule="auto"/>
              <w:rPr/>
            </w:pPr>
            <w:r>
              <w:rPr>
                <w:spacing w:val="7"/>
              </w:rPr>
              <w:t>化学品名称</w:t>
            </w:r>
          </w:p>
        </w:tc>
        <w:tc>
          <w:tcPr>
            <w:tcW w:w="6258" w:type="dxa"/>
            <w:vAlign w:val="top"/>
          </w:tcPr>
          <w:p>
            <w:pPr>
              <w:pStyle w:val="TableText"/>
              <w:ind w:left="2611"/>
              <w:spacing w:before="37" w:line="215" w:lineRule="auto"/>
              <w:rPr/>
            </w:pPr>
            <w:r>
              <w:rPr>
                <w:spacing w:val="7"/>
              </w:rPr>
              <w:t>危险性介绍</w:t>
            </w:r>
          </w:p>
        </w:tc>
        <w:tc>
          <w:tcPr>
            <w:tcW w:w="1139" w:type="dxa"/>
            <w:vAlign w:val="top"/>
          </w:tcPr>
          <w:p>
            <w:pPr>
              <w:pStyle w:val="TableText"/>
              <w:ind w:left="16"/>
              <w:spacing w:before="37" w:line="215" w:lineRule="auto"/>
              <w:rPr/>
            </w:pPr>
            <w:r>
              <w:rPr>
                <w:spacing w:val="7"/>
              </w:rPr>
              <w:t>危险性类别</w:t>
            </w:r>
          </w:p>
        </w:tc>
      </w:tr>
      <w:tr>
        <w:trPr>
          <w:trHeight w:val="548" w:hRule="atLeast"/>
        </w:trPr>
        <w:tc>
          <w:tcPr>
            <w:tcW w:w="1137" w:type="dxa"/>
            <w:vAlign w:val="top"/>
            <w:vMerge w:val="restart"/>
            <w:tcBorders>
              <w:bottom w:val="nil"/>
            </w:tcBorders>
          </w:tcPr>
          <w:p>
            <w:pPr>
              <w:rPr>
                <w:rFonts w:ascii="Arial"/>
                <w:sz w:val="21"/>
              </w:rPr>
            </w:pPr>
            <w:r/>
          </w:p>
        </w:tc>
        <w:tc>
          <w:tcPr>
            <w:tcW w:w="6258" w:type="dxa"/>
            <w:vAlign w:val="top"/>
          </w:tcPr>
          <w:p>
            <w:pPr>
              <w:pStyle w:val="TableText"/>
              <w:ind w:left="10" w:hanging="4"/>
              <w:spacing w:before="33" w:line="233" w:lineRule="auto"/>
              <w:rPr/>
            </w:pPr>
            <w:r>
              <w:rPr>
                <w:spacing w:val="6"/>
              </w:rPr>
              <w:t>解期后，又可能出现迟发性脑病，以意识精神障碍、锥体</w:t>
            </w:r>
            <w:r>
              <w:rPr>
                <w:spacing w:val="5"/>
              </w:rPr>
              <w:t>系或锥体外</w:t>
            </w:r>
            <w:r>
              <w:rPr/>
              <w:t xml:space="preserve"> </w:t>
            </w:r>
            <w:r>
              <w:rPr>
                <w:spacing w:val="4"/>
              </w:rPr>
              <w:t>系损害为主。 慢性影响：能否造成慢性中毒及对心血管影响无定论。</w:t>
            </w:r>
          </w:p>
        </w:tc>
        <w:tc>
          <w:tcPr>
            <w:tcW w:w="1139" w:type="dxa"/>
            <w:vAlign w:val="top"/>
          </w:tcPr>
          <w:p>
            <w:pPr>
              <w:rPr>
                <w:rFonts w:ascii="Arial"/>
                <w:sz w:val="21"/>
              </w:rPr>
            </w:pPr>
            <w:r/>
          </w:p>
        </w:tc>
      </w:tr>
      <w:tr>
        <w:trPr>
          <w:trHeight w:val="553" w:hRule="atLeast"/>
        </w:trPr>
        <w:tc>
          <w:tcPr>
            <w:tcW w:w="1137" w:type="dxa"/>
            <w:vAlign w:val="top"/>
            <w:vMerge w:val="continue"/>
            <w:tcBorders>
              <w:top w:val="nil"/>
            </w:tcBorders>
          </w:tcPr>
          <w:p>
            <w:pPr>
              <w:rPr>
                <w:rFonts w:ascii="Arial"/>
                <w:sz w:val="21"/>
              </w:rPr>
            </w:pPr>
            <w:r/>
          </w:p>
        </w:tc>
        <w:tc>
          <w:tcPr>
            <w:tcW w:w="6258" w:type="dxa"/>
            <w:vAlign w:val="top"/>
          </w:tcPr>
          <w:p>
            <w:pPr>
              <w:pStyle w:val="TableText"/>
              <w:ind w:left="8" w:right="3" w:firstLine="17"/>
              <w:spacing w:before="36" w:line="234" w:lineRule="auto"/>
              <w:rPr/>
            </w:pPr>
            <w:r>
              <w:rPr>
                <w:spacing w:val="3"/>
              </w:rPr>
              <w:t>闪点：小于</w:t>
            </w:r>
            <w:r>
              <w:rPr>
                <w:rFonts w:ascii="Times New Roman" w:hAnsi="Times New Roman" w:eastAsia="Times New Roman" w:cs="Times New Roman"/>
                <w:spacing w:val="3"/>
              </w:rPr>
              <w:t>-50℃</w:t>
            </w:r>
            <w:r>
              <w:rPr>
                <w:rFonts w:ascii="Times New Roman" w:hAnsi="Times New Roman" w:eastAsia="Times New Roman" w:cs="Times New Roman"/>
                <w:spacing w:val="-12"/>
              </w:rPr>
              <w:t xml:space="preserve"> </w:t>
            </w:r>
            <w:r>
              <w:rPr>
                <w:spacing w:val="3"/>
              </w:rPr>
              <w:t>,</w:t>
            </w:r>
            <w:r>
              <w:rPr>
                <w:spacing w:val="55"/>
              </w:rPr>
              <w:t xml:space="preserve"> </w:t>
            </w:r>
            <w:r>
              <w:rPr>
                <w:spacing w:val="3"/>
              </w:rPr>
              <w:t>沸点：</w:t>
            </w:r>
            <w:r>
              <w:rPr>
                <w:rFonts w:ascii="Times New Roman" w:hAnsi="Times New Roman" w:eastAsia="Times New Roman" w:cs="Times New Roman"/>
                <w:spacing w:val="3"/>
              </w:rPr>
              <w:t>-191.4℃</w:t>
            </w:r>
            <w:r>
              <w:rPr>
                <w:rFonts w:ascii="Times New Roman" w:hAnsi="Times New Roman" w:eastAsia="Times New Roman" w:cs="Times New Roman"/>
                <w:spacing w:val="-19"/>
              </w:rPr>
              <w:t xml:space="preserve"> </w:t>
            </w:r>
            <w:r>
              <w:rPr>
                <w:spacing w:val="3"/>
              </w:rPr>
              <w:t>。是一种易燃易爆气体。与空气混</w:t>
            </w:r>
            <w:r>
              <w:rPr/>
              <w:t xml:space="preserve"> </w:t>
            </w:r>
            <w:r>
              <w:rPr>
                <w:spacing w:val="9"/>
              </w:rPr>
              <w:t>合能形成爆炸性混合物，遇明火、高热能引起燃烧爆炸。</w:t>
            </w:r>
          </w:p>
        </w:tc>
        <w:tc>
          <w:tcPr>
            <w:tcW w:w="1139" w:type="dxa"/>
            <w:vAlign w:val="top"/>
          </w:tcPr>
          <w:p>
            <w:pPr>
              <w:pStyle w:val="TableText"/>
              <w:ind w:left="13"/>
              <w:spacing w:before="36" w:line="234" w:lineRule="auto"/>
              <w:rPr/>
            </w:pPr>
            <w:r>
              <w:rPr>
                <w:spacing w:val="-21"/>
              </w:rPr>
              <w:t>第</w:t>
            </w:r>
            <w:r>
              <w:rPr>
                <w:spacing w:val="-44"/>
              </w:rPr>
              <w:t xml:space="preserve"> </w:t>
            </w:r>
            <w:r>
              <w:rPr>
                <w:rFonts w:ascii="Times New Roman" w:hAnsi="Times New Roman" w:eastAsia="Times New Roman" w:cs="Times New Roman"/>
                <w:spacing w:val="-21"/>
              </w:rPr>
              <w:t>2.</w:t>
            </w:r>
            <w:r>
              <w:rPr>
                <w:rFonts w:ascii="Times New Roman" w:hAnsi="Times New Roman" w:eastAsia="Times New Roman" w:cs="Times New Roman"/>
                <w:spacing w:val="-27"/>
              </w:rPr>
              <w:t xml:space="preserve"> </w:t>
            </w:r>
            <w:r>
              <w:rPr>
                <w:rFonts w:ascii="Times New Roman" w:hAnsi="Times New Roman" w:eastAsia="Times New Roman" w:cs="Times New Roman"/>
                <w:spacing w:val="-21"/>
              </w:rPr>
              <w:t>1</w:t>
            </w:r>
            <w:r>
              <w:rPr>
                <w:rFonts w:ascii="Times New Roman" w:hAnsi="Times New Roman" w:eastAsia="Times New Roman" w:cs="Times New Roman"/>
                <w:spacing w:val="5"/>
              </w:rPr>
              <w:t xml:space="preserve"> </w:t>
            </w:r>
            <w:r>
              <w:rPr>
                <w:spacing w:val="-21"/>
              </w:rPr>
              <w:t>类，易</w:t>
            </w:r>
            <w:r>
              <w:rPr/>
              <w:t xml:space="preserve">  </w:t>
            </w:r>
            <w:r>
              <w:rPr>
                <w:spacing w:val="-14"/>
              </w:rPr>
              <w:t>燃气体（主）</w:t>
            </w:r>
          </w:p>
        </w:tc>
      </w:tr>
    </w:tbl>
    <w:p>
      <w:pPr>
        <w:ind w:left="60"/>
        <w:spacing w:before="160" w:line="222" w:lineRule="auto"/>
        <w:outlineLvl w:val="2"/>
        <w:rPr>
          <w:rFonts w:ascii="SimHei" w:hAnsi="SimHei" w:eastAsia="SimHei" w:cs="SimHei"/>
          <w:sz w:val="28"/>
          <w:szCs w:val="28"/>
        </w:rPr>
      </w:pPr>
      <w:bookmarkStart w:name="bookmark130" w:id="161"/>
      <w:bookmarkEnd w:id="161"/>
      <w:r>
        <w:rPr>
          <w:rFonts w:ascii="Times New Roman" w:hAnsi="Times New Roman" w:eastAsia="Times New Roman" w:cs="Times New Roman"/>
          <w:sz w:val="28"/>
          <w:szCs w:val="28"/>
          <w:spacing w:val="-1"/>
        </w:rPr>
        <w:t>6.4.2 </w:t>
      </w:r>
      <w:r>
        <w:rPr>
          <w:rFonts w:ascii="SimHei" w:hAnsi="SimHei" w:eastAsia="SimHei" w:cs="SimHei"/>
          <w:sz w:val="28"/>
          <w:szCs w:val="28"/>
          <w:spacing w:val="-1"/>
        </w:rPr>
        <w:t>生产过程潜在风险识别</w:t>
      </w:r>
    </w:p>
    <w:p>
      <w:pPr>
        <w:pStyle w:val="BodyText"/>
        <w:spacing w:line="242" w:lineRule="auto"/>
        <w:rPr/>
      </w:pPr>
      <w:r/>
    </w:p>
    <w:p>
      <w:pPr>
        <w:ind w:left="537"/>
        <w:spacing w:before="78" w:line="219" w:lineRule="auto"/>
        <w:rPr>
          <w:rFonts w:ascii="SimSun" w:hAnsi="SimSun" w:eastAsia="SimSun" w:cs="SimSun"/>
          <w:sz w:val="24"/>
          <w:szCs w:val="24"/>
        </w:rPr>
      </w:pPr>
      <w:r>
        <w:rPr>
          <w:rFonts w:ascii="SimSun" w:hAnsi="SimSun" w:eastAsia="SimSun" w:cs="SimSun"/>
          <w:sz w:val="24"/>
          <w:szCs w:val="24"/>
          <w:spacing w:val="-1"/>
        </w:rPr>
        <w:t>根据本项目工程特点，对生产过程可能发生的危险因素分析见表</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1"/>
        </w:rPr>
        <w:t>6.4-2</w:t>
      </w:r>
      <w:r>
        <w:rPr>
          <w:rFonts w:ascii="SimSun" w:hAnsi="SimSun" w:eastAsia="SimSun" w:cs="SimSun"/>
          <w:sz w:val="24"/>
          <w:szCs w:val="24"/>
          <w:spacing w:val="-1"/>
        </w:rPr>
        <w:t>。</w:t>
      </w:r>
    </w:p>
    <w:p>
      <w:pPr>
        <w:ind w:left="2221"/>
        <w:spacing w:before="183"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9"/>
        </w:rPr>
        <w:t xml:space="preserve"> </w:t>
      </w:r>
      <w:r>
        <w:rPr>
          <w:rFonts w:ascii="Times New Roman" w:hAnsi="Times New Roman" w:eastAsia="Times New Roman" w:cs="Times New Roman"/>
          <w:sz w:val="24"/>
          <w:szCs w:val="24"/>
          <w:b/>
          <w:bCs/>
          <w:spacing w:val="-2"/>
        </w:rPr>
        <w:t>6.4-2        </w:t>
      </w:r>
      <w:r>
        <w:rPr>
          <w:rFonts w:ascii="SimSun" w:hAnsi="SimSun" w:eastAsia="SimSun" w:cs="SimSun"/>
          <w:sz w:val="24"/>
          <w:szCs w:val="24"/>
          <w:b/>
          <w:bCs/>
          <w:spacing w:val="-2"/>
        </w:rPr>
        <w:t>生产过程主要风险因素分析</w:t>
      </w:r>
    </w:p>
    <w:tbl>
      <w:tblPr>
        <w:tblStyle w:val="TableNormal"/>
        <w:tblW w:w="8509" w:type="dxa"/>
        <w:tblInd w:w="4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38"/>
        <w:gridCol w:w="1401"/>
        <w:gridCol w:w="6070"/>
      </w:tblGrid>
      <w:tr>
        <w:trPr>
          <w:trHeight w:val="281" w:hRule="atLeast"/>
        </w:trPr>
        <w:tc>
          <w:tcPr>
            <w:tcW w:w="1038" w:type="dxa"/>
            <w:vAlign w:val="top"/>
          </w:tcPr>
          <w:p>
            <w:pPr>
              <w:pStyle w:val="TableText"/>
              <w:ind w:left="104"/>
              <w:spacing w:before="35" w:line="217" w:lineRule="auto"/>
              <w:rPr/>
            </w:pPr>
            <w:r>
              <w:rPr>
                <w:spacing w:val="7"/>
              </w:rPr>
              <w:t>事故环节</w:t>
            </w:r>
          </w:p>
        </w:tc>
        <w:tc>
          <w:tcPr>
            <w:tcW w:w="1401" w:type="dxa"/>
            <w:vAlign w:val="top"/>
          </w:tcPr>
          <w:p>
            <w:pPr>
              <w:pStyle w:val="TableText"/>
              <w:ind w:left="494"/>
              <w:spacing w:before="35" w:line="217" w:lineRule="auto"/>
              <w:rPr/>
            </w:pPr>
            <w:r>
              <w:rPr>
                <w:spacing w:val="4"/>
              </w:rPr>
              <w:t>类型</w:t>
            </w:r>
          </w:p>
        </w:tc>
        <w:tc>
          <w:tcPr>
            <w:tcW w:w="6070" w:type="dxa"/>
            <w:vAlign w:val="top"/>
          </w:tcPr>
          <w:p>
            <w:pPr>
              <w:pStyle w:val="TableText"/>
              <w:ind w:left="2619"/>
              <w:spacing w:before="35" w:line="217" w:lineRule="auto"/>
              <w:rPr/>
            </w:pPr>
            <w:r>
              <w:rPr>
                <w:spacing w:val="7"/>
              </w:rPr>
              <w:t>事故原因</w:t>
            </w:r>
          </w:p>
        </w:tc>
      </w:tr>
      <w:tr>
        <w:trPr>
          <w:trHeight w:val="277" w:hRule="atLeast"/>
        </w:trPr>
        <w:tc>
          <w:tcPr>
            <w:tcW w:w="1038" w:type="dxa"/>
            <w:vAlign w:val="top"/>
            <w:vMerge w:val="restart"/>
            <w:tcBorders>
              <w:bottom w:val="nil"/>
            </w:tcBorders>
          </w:tcPr>
          <w:p>
            <w:pPr>
              <w:spacing w:line="382" w:lineRule="auto"/>
              <w:rPr>
                <w:rFonts w:ascii="Arial"/>
                <w:sz w:val="21"/>
              </w:rPr>
            </w:pPr>
            <w:r/>
          </w:p>
          <w:p>
            <w:pPr>
              <w:pStyle w:val="TableText"/>
              <w:ind w:left="314"/>
              <w:spacing w:before="65" w:line="228" w:lineRule="auto"/>
              <w:rPr/>
            </w:pPr>
            <w:r>
              <w:rPr>
                <w:spacing w:val="5"/>
              </w:rPr>
              <w:t>储存</w:t>
            </w:r>
          </w:p>
        </w:tc>
        <w:tc>
          <w:tcPr>
            <w:tcW w:w="1401" w:type="dxa"/>
            <w:vAlign w:val="top"/>
          </w:tcPr>
          <w:p>
            <w:pPr>
              <w:pStyle w:val="TableText"/>
              <w:ind w:left="497"/>
              <w:spacing w:before="30" w:line="218" w:lineRule="auto"/>
              <w:rPr/>
            </w:pPr>
            <w:r>
              <w:rPr>
                <w:spacing w:val="3"/>
              </w:rPr>
              <w:t>泄漏</w:t>
            </w:r>
          </w:p>
        </w:tc>
        <w:tc>
          <w:tcPr>
            <w:tcW w:w="6070" w:type="dxa"/>
            <w:vAlign w:val="top"/>
          </w:tcPr>
          <w:p>
            <w:pPr>
              <w:pStyle w:val="TableText"/>
              <w:ind w:left="433"/>
              <w:spacing w:before="30" w:line="218" w:lineRule="auto"/>
              <w:rPr/>
            </w:pPr>
            <w:r>
              <w:rPr>
                <w:spacing w:val="9"/>
              </w:rPr>
              <w:t>阀门破损、设备损坏，违章操作，安全阀及控</w:t>
            </w:r>
            <w:r>
              <w:rPr>
                <w:spacing w:val="8"/>
              </w:rPr>
              <w:t>制系统失灵</w:t>
            </w:r>
          </w:p>
        </w:tc>
      </w:tr>
      <w:tr>
        <w:trPr>
          <w:trHeight w:val="277" w:hRule="atLeast"/>
        </w:trPr>
        <w:tc>
          <w:tcPr>
            <w:tcW w:w="1038" w:type="dxa"/>
            <w:vAlign w:val="top"/>
            <w:vMerge w:val="continue"/>
            <w:tcBorders>
              <w:top w:val="nil"/>
              <w:bottom w:val="nil"/>
            </w:tcBorders>
          </w:tcPr>
          <w:p>
            <w:pPr>
              <w:rPr>
                <w:rFonts w:ascii="Arial"/>
                <w:sz w:val="21"/>
              </w:rPr>
            </w:pPr>
            <w:r/>
          </w:p>
        </w:tc>
        <w:tc>
          <w:tcPr>
            <w:tcW w:w="1401" w:type="dxa"/>
            <w:vAlign w:val="top"/>
          </w:tcPr>
          <w:p>
            <w:pPr>
              <w:pStyle w:val="TableText"/>
              <w:ind w:left="514"/>
              <w:spacing w:before="31" w:line="217" w:lineRule="auto"/>
              <w:rPr/>
            </w:pPr>
            <w:r>
              <w:rPr>
                <w:spacing w:val="-5"/>
              </w:rPr>
              <w:t>中毒</w:t>
            </w:r>
          </w:p>
        </w:tc>
        <w:tc>
          <w:tcPr>
            <w:tcW w:w="6070" w:type="dxa"/>
            <w:vAlign w:val="top"/>
          </w:tcPr>
          <w:p>
            <w:pPr>
              <w:pStyle w:val="TableText"/>
              <w:ind w:left="1468"/>
              <w:spacing w:before="31" w:line="217" w:lineRule="auto"/>
              <w:rPr/>
            </w:pPr>
            <w:r>
              <w:rPr>
                <w:spacing w:val="9"/>
              </w:rPr>
              <w:t>泄漏导致储存场所有害物浓度超标</w:t>
            </w:r>
          </w:p>
        </w:tc>
      </w:tr>
      <w:tr>
        <w:trPr>
          <w:trHeight w:val="548" w:hRule="atLeast"/>
        </w:trPr>
        <w:tc>
          <w:tcPr>
            <w:tcW w:w="1038" w:type="dxa"/>
            <w:vAlign w:val="top"/>
            <w:vMerge w:val="continue"/>
            <w:tcBorders>
              <w:top w:val="nil"/>
            </w:tcBorders>
          </w:tcPr>
          <w:p>
            <w:pPr>
              <w:rPr>
                <w:rFonts w:ascii="Arial"/>
                <w:sz w:val="21"/>
              </w:rPr>
            </w:pPr>
            <w:r/>
          </w:p>
        </w:tc>
        <w:tc>
          <w:tcPr>
            <w:tcW w:w="1401" w:type="dxa"/>
            <w:vAlign w:val="top"/>
          </w:tcPr>
          <w:p>
            <w:pPr>
              <w:pStyle w:val="TableText"/>
              <w:ind w:left="11"/>
              <w:spacing w:before="33" w:line="226" w:lineRule="auto"/>
              <w:rPr/>
            </w:pPr>
            <w:r>
              <w:rPr>
                <w:spacing w:val="-3"/>
              </w:rPr>
              <w:t>火灾、爆炸伴生</w:t>
            </w:r>
          </w:p>
          <w:p>
            <w:pPr>
              <w:pStyle w:val="TableText"/>
              <w:ind w:left="352"/>
              <w:spacing w:before="26" w:line="216" w:lineRule="auto"/>
              <w:rPr/>
            </w:pPr>
            <w:r>
              <w:rPr>
                <w:rFonts w:ascii="Times New Roman" w:hAnsi="Times New Roman" w:eastAsia="Times New Roman" w:cs="Times New Roman"/>
                <w:spacing w:val="7"/>
              </w:rPr>
              <w:t>/</w:t>
            </w:r>
            <w:r>
              <w:rPr>
                <w:spacing w:val="7"/>
              </w:rPr>
              <w:t>次生物</w:t>
            </w:r>
          </w:p>
        </w:tc>
        <w:tc>
          <w:tcPr>
            <w:tcW w:w="6070" w:type="dxa"/>
            <w:vAlign w:val="top"/>
          </w:tcPr>
          <w:p>
            <w:pPr>
              <w:pStyle w:val="TableText"/>
              <w:ind w:left="1465"/>
              <w:spacing w:before="166" w:line="228" w:lineRule="auto"/>
              <w:rPr/>
            </w:pPr>
            <w:r>
              <w:rPr>
                <w:spacing w:val="9"/>
              </w:rPr>
              <w:t>气柜、储罐遇泄漏、雷击、明火等</w:t>
            </w:r>
          </w:p>
        </w:tc>
      </w:tr>
      <w:tr>
        <w:trPr>
          <w:trHeight w:val="277" w:hRule="atLeast"/>
        </w:trPr>
        <w:tc>
          <w:tcPr>
            <w:tcW w:w="1038" w:type="dxa"/>
            <w:vAlign w:val="top"/>
            <w:vMerge w:val="restart"/>
            <w:tcBorders>
              <w:bottom w:val="nil"/>
            </w:tcBorders>
          </w:tcPr>
          <w:p>
            <w:pPr>
              <w:spacing w:line="388" w:lineRule="auto"/>
              <w:rPr>
                <w:rFonts w:ascii="Arial"/>
                <w:sz w:val="21"/>
              </w:rPr>
            </w:pPr>
            <w:r/>
          </w:p>
          <w:p>
            <w:pPr>
              <w:pStyle w:val="TableText"/>
              <w:ind w:left="317"/>
              <w:spacing w:before="65" w:line="228" w:lineRule="auto"/>
              <w:rPr/>
            </w:pPr>
            <w:r>
              <w:rPr>
                <w:spacing w:val="3"/>
              </w:rPr>
              <w:t>生产</w:t>
            </w:r>
          </w:p>
        </w:tc>
        <w:tc>
          <w:tcPr>
            <w:tcW w:w="1401" w:type="dxa"/>
            <w:vAlign w:val="top"/>
          </w:tcPr>
          <w:p>
            <w:pPr>
              <w:pStyle w:val="TableText"/>
              <w:ind w:left="497"/>
              <w:spacing w:before="34" w:line="215" w:lineRule="auto"/>
              <w:rPr/>
            </w:pPr>
            <w:r>
              <w:rPr>
                <w:spacing w:val="3"/>
              </w:rPr>
              <w:t>泄漏</w:t>
            </w:r>
          </w:p>
        </w:tc>
        <w:tc>
          <w:tcPr>
            <w:tcW w:w="6070" w:type="dxa"/>
            <w:vAlign w:val="top"/>
          </w:tcPr>
          <w:p>
            <w:pPr>
              <w:pStyle w:val="TableText"/>
              <w:ind w:left="2204"/>
              <w:spacing w:before="34" w:line="215" w:lineRule="auto"/>
              <w:rPr/>
            </w:pPr>
            <w:r>
              <w:rPr>
                <w:spacing w:val="8"/>
              </w:rPr>
              <w:t>管线、阀门损坏等</w:t>
            </w:r>
          </w:p>
        </w:tc>
      </w:tr>
      <w:tr>
        <w:trPr>
          <w:trHeight w:val="277" w:hRule="atLeast"/>
        </w:trPr>
        <w:tc>
          <w:tcPr>
            <w:tcW w:w="1038" w:type="dxa"/>
            <w:vAlign w:val="top"/>
            <w:vMerge w:val="continue"/>
            <w:tcBorders>
              <w:top w:val="nil"/>
              <w:bottom w:val="nil"/>
            </w:tcBorders>
          </w:tcPr>
          <w:p>
            <w:pPr>
              <w:rPr>
                <w:rFonts w:ascii="Arial"/>
                <w:sz w:val="21"/>
              </w:rPr>
            </w:pPr>
            <w:r/>
          </w:p>
        </w:tc>
        <w:tc>
          <w:tcPr>
            <w:tcW w:w="1401" w:type="dxa"/>
            <w:vAlign w:val="top"/>
          </w:tcPr>
          <w:p>
            <w:pPr>
              <w:pStyle w:val="TableText"/>
              <w:ind w:left="514"/>
              <w:spacing w:before="35" w:line="214" w:lineRule="auto"/>
              <w:rPr/>
            </w:pPr>
            <w:r>
              <w:rPr>
                <w:spacing w:val="-5"/>
              </w:rPr>
              <w:t>中毒</w:t>
            </w:r>
          </w:p>
        </w:tc>
        <w:tc>
          <w:tcPr>
            <w:tcW w:w="6070" w:type="dxa"/>
            <w:vAlign w:val="top"/>
          </w:tcPr>
          <w:p>
            <w:pPr>
              <w:pStyle w:val="TableText"/>
              <w:ind w:left="307"/>
              <w:spacing w:before="35" w:line="214" w:lineRule="auto"/>
              <w:rPr/>
            </w:pPr>
            <w:r>
              <w:rPr>
                <w:spacing w:val="9"/>
              </w:rPr>
              <w:t>物料泄漏导致车间或局部地区有机物浓度超标造成人员中毒</w:t>
            </w:r>
          </w:p>
        </w:tc>
      </w:tr>
      <w:tr>
        <w:trPr>
          <w:trHeight w:val="277" w:hRule="atLeast"/>
        </w:trPr>
        <w:tc>
          <w:tcPr>
            <w:tcW w:w="1038" w:type="dxa"/>
            <w:vAlign w:val="top"/>
            <w:vMerge w:val="continue"/>
            <w:tcBorders>
              <w:top w:val="nil"/>
              <w:bottom w:val="nil"/>
            </w:tcBorders>
          </w:tcPr>
          <w:p>
            <w:pPr>
              <w:rPr>
                <w:rFonts w:ascii="Arial"/>
                <w:sz w:val="21"/>
              </w:rPr>
            </w:pPr>
            <w:r/>
          </w:p>
        </w:tc>
        <w:tc>
          <w:tcPr>
            <w:tcW w:w="1401" w:type="dxa"/>
            <w:vAlign w:val="top"/>
          </w:tcPr>
          <w:p>
            <w:pPr>
              <w:pStyle w:val="TableText"/>
              <w:ind w:left="498"/>
              <w:spacing w:before="34" w:line="215" w:lineRule="auto"/>
              <w:rPr/>
            </w:pPr>
            <w:r>
              <w:rPr>
                <w:spacing w:val="2"/>
              </w:rPr>
              <w:t>烫伤</w:t>
            </w:r>
          </w:p>
        </w:tc>
        <w:tc>
          <w:tcPr>
            <w:tcW w:w="6070" w:type="dxa"/>
            <w:vAlign w:val="top"/>
          </w:tcPr>
          <w:p>
            <w:pPr>
              <w:pStyle w:val="TableText"/>
              <w:ind w:left="1568"/>
              <w:spacing w:before="34" w:line="215" w:lineRule="auto"/>
              <w:rPr/>
            </w:pPr>
            <w:r>
              <w:rPr>
                <w:spacing w:val="9"/>
              </w:rPr>
              <w:t>保温失效、冷却系统工作异常等</w:t>
            </w:r>
          </w:p>
        </w:tc>
      </w:tr>
      <w:tr>
        <w:trPr>
          <w:trHeight w:val="277" w:hRule="atLeast"/>
        </w:trPr>
        <w:tc>
          <w:tcPr>
            <w:tcW w:w="1038" w:type="dxa"/>
            <w:vAlign w:val="top"/>
            <w:vMerge w:val="continue"/>
            <w:tcBorders>
              <w:top w:val="nil"/>
            </w:tcBorders>
          </w:tcPr>
          <w:p>
            <w:pPr>
              <w:rPr>
                <w:rFonts w:ascii="Arial"/>
                <w:sz w:val="21"/>
              </w:rPr>
            </w:pPr>
            <w:r/>
          </w:p>
        </w:tc>
        <w:tc>
          <w:tcPr>
            <w:tcW w:w="1401" w:type="dxa"/>
            <w:vAlign w:val="top"/>
          </w:tcPr>
          <w:p>
            <w:pPr>
              <w:pStyle w:val="TableText"/>
              <w:ind w:left="181"/>
              <w:spacing w:before="35" w:line="214" w:lineRule="auto"/>
              <w:rPr/>
            </w:pPr>
            <w:r>
              <w:rPr>
                <w:spacing w:val="7"/>
              </w:rPr>
              <w:t>火灾、爆炸</w:t>
            </w:r>
          </w:p>
        </w:tc>
        <w:tc>
          <w:tcPr>
            <w:tcW w:w="6070" w:type="dxa"/>
            <w:vAlign w:val="top"/>
          </w:tcPr>
          <w:p>
            <w:pPr>
              <w:pStyle w:val="TableText"/>
              <w:ind w:left="1362"/>
              <w:spacing w:before="35" w:line="214" w:lineRule="auto"/>
              <w:rPr/>
            </w:pPr>
            <w:r>
              <w:rPr>
                <w:spacing w:val="9"/>
              </w:rPr>
              <w:t>设备损坏泄漏、遇明火，物料高温等</w:t>
            </w:r>
          </w:p>
        </w:tc>
      </w:tr>
      <w:tr>
        <w:trPr>
          <w:trHeight w:val="281" w:hRule="atLeast"/>
        </w:trPr>
        <w:tc>
          <w:tcPr>
            <w:tcW w:w="1038" w:type="dxa"/>
            <w:vAlign w:val="top"/>
          </w:tcPr>
          <w:p>
            <w:pPr>
              <w:pStyle w:val="TableText"/>
              <w:ind w:left="315"/>
              <w:spacing w:before="33" w:line="219" w:lineRule="auto"/>
              <w:rPr/>
            </w:pPr>
            <w:r>
              <w:rPr>
                <w:spacing w:val="4"/>
              </w:rPr>
              <w:t>运输</w:t>
            </w:r>
          </w:p>
        </w:tc>
        <w:tc>
          <w:tcPr>
            <w:tcW w:w="1401" w:type="dxa"/>
            <w:vAlign w:val="top"/>
          </w:tcPr>
          <w:p>
            <w:pPr>
              <w:pStyle w:val="TableText"/>
              <w:ind w:left="497"/>
              <w:spacing w:before="33" w:line="219" w:lineRule="auto"/>
              <w:rPr/>
            </w:pPr>
            <w:r>
              <w:rPr>
                <w:spacing w:val="3"/>
              </w:rPr>
              <w:t>泄漏</w:t>
            </w:r>
          </w:p>
        </w:tc>
        <w:tc>
          <w:tcPr>
            <w:tcW w:w="6070" w:type="dxa"/>
            <w:vAlign w:val="top"/>
          </w:tcPr>
          <w:p>
            <w:pPr>
              <w:pStyle w:val="TableText"/>
              <w:ind w:left="1992"/>
              <w:spacing w:before="33" w:line="219" w:lineRule="auto"/>
              <w:rPr/>
            </w:pPr>
            <w:r>
              <w:rPr>
                <w:spacing w:val="8"/>
              </w:rPr>
              <w:t>管线破损、操作不当等</w:t>
            </w:r>
          </w:p>
        </w:tc>
      </w:tr>
    </w:tbl>
    <w:p>
      <w:pPr>
        <w:ind w:left="57"/>
        <w:spacing w:before="35"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6.4.2.1 </w:t>
      </w:r>
      <w:r>
        <w:rPr>
          <w:rFonts w:ascii="SimSun" w:hAnsi="SimSun" w:eastAsia="SimSun" w:cs="SimSun"/>
          <w:sz w:val="24"/>
          <w:szCs w:val="24"/>
          <w:b/>
          <w:bCs/>
          <w:spacing w:val="-2"/>
        </w:rPr>
        <w:t>物料储存过程风险识别</w:t>
      </w:r>
    </w:p>
    <w:p>
      <w:pPr>
        <w:ind w:left="541"/>
        <w:spacing w:before="180" w:line="219" w:lineRule="auto"/>
        <w:rPr>
          <w:rFonts w:ascii="SimSun" w:hAnsi="SimSun" w:eastAsia="SimSun" w:cs="SimSun"/>
          <w:sz w:val="24"/>
          <w:szCs w:val="24"/>
        </w:rPr>
      </w:pPr>
      <w:r>
        <w:rPr>
          <w:rFonts w:ascii="SimSun" w:hAnsi="SimSun" w:eastAsia="SimSun" w:cs="SimSun"/>
          <w:sz w:val="24"/>
          <w:szCs w:val="24"/>
          <w:spacing w:val="-1"/>
        </w:rPr>
        <w:t>项目涉及的危险物质最大储存量、储存过程潜在风险见表</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6.4-3</w:t>
      </w:r>
      <w:r>
        <w:rPr>
          <w:rFonts w:ascii="SimSun" w:hAnsi="SimSun" w:eastAsia="SimSun" w:cs="SimSun"/>
          <w:sz w:val="24"/>
          <w:szCs w:val="24"/>
          <w:spacing w:val="-1"/>
        </w:rPr>
        <w:t>。</w:t>
      </w:r>
    </w:p>
    <w:p>
      <w:pPr>
        <w:ind w:left="2463"/>
        <w:spacing w:before="182"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6.4-3        </w:t>
      </w:r>
      <w:r>
        <w:rPr>
          <w:rFonts w:ascii="SimSun" w:hAnsi="SimSun" w:eastAsia="SimSun" w:cs="SimSun"/>
          <w:sz w:val="24"/>
          <w:szCs w:val="24"/>
          <w:b/>
          <w:bCs/>
          <w:spacing w:val="-2"/>
        </w:rPr>
        <w:t>物料储存过程风险识别</w:t>
      </w:r>
    </w:p>
    <w:tbl>
      <w:tblPr>
        <w:tblStyle w:val="TableNormal"/>
        <w:tblW w:w="859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26"/>
        <w:gridCol w:w="2343"/>
        <w:gridCol w:w="1480"/>
        <w:gridCol w:w="2609"/>
        <w:gridCol w:w="1636"/>
      </w:tblGrid>
      <w:tr>
        <w:trPr>
          <w:trHeight w:val="281" w:hRule="atLeast"/>
        </w:trPr>
        <w:tc>
          <w:tcPr>
            <w:tcW w:w="526" w:type="dxa"/>
            <w:vAlign w:val="top"/>
          </w:tcPr>
          <w:p>
            <w:pPr>
              <w:pStyle w:val="TableText"/>
              <w:ind w:left="57"/>
              <w:spacing w:before="35" w:line="217" w:lineRule="auto"/>
              <w:rPr/>
            </w:pPr>
            <w:r>
              <w:rPr>
                <w:spacing w:val="5"/>
              </w:rPr>
              <w:t>序号</w:t>
            </w:r>
          </w:p>
        </w:tc>
        <w:tc>
          <w:tcPr>
            <w:tcW w:w="2343" w:type="dxa"/>
            <w:vAlign w:val="top"/>
          </w:tcPr>
          <w:p>
            <w:pPr>
              <w:pStyle w:val="TableText"/>
              <w:ind w:left="545"/>
              <w:spacing w:before="35" w:line="217" w:lineRule="auto"/>
              <w:rPr/>
            </w:pPr>
            <w:r>
              <w:rPr>
                <w:spacing w:val="8"/>
              </w:rPr>
              <w:t>环境风险物质</w:t>
            </w:r>
          </w:p>
        </w:tc>
        <w:tc>
          <w:tcPr>
            <w:tcW w:w="1480" w:type="dxa"/>
            <w:vAlign w:val="top"/>
          </w:tcPr>
          <w:p>
            <w:pPr>
              <w:pStyle w:val="TableText"/>
              <w:ind w:left="163"/>
              <w:spacing w:before="35" w:line="217" w:lineRule="auto"/>
              <w:rPr>
                <w:rFonts w:ascii="Times New Roman" w:hAnsi="Times New Roman" w:eastAsia="Times New Roman" w:cs="Times New Roman"/>
              </w:rPr>
            </w:pPr>
            <w:r>
              <w:rPr>
                <w:spacing w:val="6"/>
              </w:rPr>
              <w:t>最大储存量</w:t>
            </w:r>
            <w:r>
              <w:rPr>
                <w:rFonts w:ascii="Times New Roman" w:hAnsi="Times New Roman" w:eastAsia="Times New Roman" w:cs="Times New Roman"/>
                <w:spacing w:val="6"/>
              </w:rPr>
              <w:t>/t</w:t>
            </w:r>
          </w:p>
        </w:tc>
        <w:tc>
          <w:tcPr>
            <w:tcW w:w="2609" w:type="dxa"/>
            <w:vAlign w:val="top"/>
          </w:tcPr>
          <w:p>
            <w:pPr>
              <w:pStyle w:val="TableText"/>
              <w:ind w:left="893"/>
              <w:spacing w:before="35" w:line="217" w:lineRule="auto"/>
              <w:rPr/>
            </w:pPr>
            <w:r>
              <w:rPr>
                <w:spacing w:val="6"/>
              </w:rPr>
              <w:t>分布位置</w:t>
            </w:r>
          </w:p>
        </w:tc>
        <w:tc>
          <w:tcPr>
            <w:tcW w:w="1636" w:type="dxa"/>
            <w:vAlign w:val="top"/>
          </w:tcPr>
          <w:p>
            <w:pPr>
              <w:pStyle w:val="TableText"/>
              <w:ind w:left="405"/>
              <w:spacing w:before="35" w:line="217" w:lineRule="auto"/>
              <w:rPr/>
            </w:pPr>
            <w:r>
              <w:rPr>
                <w:spacing w:val="6"/>
              </w:rPr>
              <w:t>主要风险</w:t>
            </w:r>
          </w:p>
        </w:tc>
      </w:tr>
      <w:tr>
        <w:trPr>
          <w:trHeight w:val="548" w:hRule="atLeast"/>
        </w:trPr>
        <w:tc>
          <w:tcPr>
            <w:tcW w:w="526" w:type="dxa"/>
            <w:vAlign w:val="top"/>
          </w:tcPr>
          <w:p>
            <w:pPr>
              <w:ind w:left="231"/>
              <w:spacing w:before="2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343" w:type="dxa"/>
            <w:vAlign w:val="top"/>
          </w:tcPr>
          <w:p>
            <w:pPr>
              <w:pStyle w:val="TableText"/>
              <w:ind w:left="549"/>
              <w:spacing w:before="167" w:line="228" w:lineRule="auto"/>
              <w:rPr/>
            </w:pPr>
            <w:r>
              <w:rPr>
                <w:spacing w:val="6"/>
              </w:rPr>
              <w:t>沼气（甲烷）</w:t>
            </w:r>
          </w:p>
        </w:tc>
        <w:tc>
          <w:tcPr>
            <w:tcW w:w="1480" w:type="dxa"/>
            <w:vAlign w:val="top"/>
          </w:tcPr>
          <w:p>
            <w:pPr>
              <w:ind w:left="508"/>
              <w:spacing w:before="2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0.129</w:t>
            </w:r>
          </w:p>
        </w:tc>
        <w:tc>
          <w:tcPr>
            <w:tcW w:w="2609" w:type="dxa"/>
            <w:vAlign w:val="top"/>
          </w:tcPr>
          <w:p>
            <w:pPr>
              <w:pStyle w:val="TableText"/>
              <w:ind w:left="97"/>
              <w:spacing w:before="167" w:line="227" w:lineRule="auto"/>
              <w:rPr/>
            </w:pPr>
            <w:r>
              <w:rPr>
                <w:spacing w:val="8"/>
              </w:rPr>
              <w:t>厌氧发酵罐</w:t>
            </w:r>
            <w:r>
              <w:rPr>
                <w:rFonts w:ascii="Times New Roman" w:hAnsi="Times New Roman" w:eastAsia="Times New Roman" w:cs="Times New Roman"/>
                <w:spacing w:val="8"/>
              </w:rPr>
              <w:t>/</w:t>
            </w:r>
            <w:r>
              <w:rPr>
                <w:spacing w:val="8"/>
              </w:rPr>
              <w:t>气柜</w:t>
            </w:r>
            <w:r>
              <w:rPr>
                <w:rFonts w:ascii="Times New Roman" w:hAnsi="Times New Roman" w:eastAsia="Times New Roman" w:cs="Times New Roman"/>
                <w:spacing w:val="8"/>
              </w:rPr>
              <w:t>/</w:t>
            </w:r>
            <w:r>
              <w:rPr>
                <w:spacing w:val="8"/>
              </w:rPr>
              <w:t>沼气管道</w:t>
            </w:r>
          </w:p>
        </w:tc>
        <w:tc>
          <w:tcPr>
            <w:tcW w:w="1636" w:type="dxa"/>
            <w:vAlign w:val="top"/>
          </w:tcPr>
          <w:p>
            <w:pPr>
              <w:pStyle w:val="TableText"/>
              <w:ind w:left="514" w:right="51" w:hanging="452"/>
              <w:spacing w:before="33" w:line="233" w:lineRule="auto"/>
              <w:rPr/>
            </w:pPr>
            <w:r>
              <w:rPr>
                <w:spacing w:val="7"/>
              </w:rPr>
              <w:t>火灾、爆炸伴生</w:t>
            </w:r>
            <w:r>
              <w:rPr>
                <w:rFonts w:ascii="Times New Roman" w:hAnsi="Times New Roman" w:eastAsia="Times New Roman" w:cs="Times New Roman"/>
                <w:spacing w:val="7"/>
              </w:rPr>
              <w:t>/</w:t>
            </w:r>
            <w:r>
              <w:rPr>
                <w:rFonts w:ascii="Times New Roman" w:hAnsi="Times New Roman" w:eastAsia="Times New Roman" w:cs="Times New Roman"/>
                <w:spacing w:val="4"/>
              </w:rPr>
              <w:t xml:space="preserve"> </w:t>
            </w:r>
            <w:r>
              <w:rPr>
                <w:spacing w:val="5"/>
              </w:rPr>
              <w:t>次生物</w:t>
            </w:r>
          </w:p>
        </w:tc>
      </w:tr>
      <w:tr>
        <w:trPr>
          <w:trHeight w:val="549" w:hRule="atLeast"/>
        </w:trPr>
        <w:tc>
          <w:tcPr>
            <w:tcW w:w="526" w:type="dxa"/>
            <w:vAlign w:val="top"/>
          </w:tcPr>
          <w:p>
            <w:pPr>
              <w:ind w:left="210"/>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343" w:type="dxa"/>
            <w:vAlign w:val="top"/>
          </w:tcPr>
          <w:p>
            <w:pPr>
              <w:pStyle w:val="TableText"/>
              <w:ind w:left="110"/>
              <w:spacing w:before="34" w:line="221" w:lineRule="auto"/>
              <w:rPr>
                <w:rFonts w:ascii="Times New Roman" w:hAnsi="Times New Roman" w:eastAsia="Times New Roman" w:cs="Times New Roman"/>
              </w:rPr>
            </w:pPr>
            <w:r>
              <w:rPr>
                <w:rFonts w:ascii="Times New Roman" w:hAnsi="Times New Roman" w:eastAsia="Times New Roman" w:cs="Times New Roman"/>
              </w:rPr>
              <w:t>COD</w:t>
            </w:r>
            <w:r>
              <w:rPr>
                <w:rFonts w:ascii="Times New Roman" w:hAnsi="Times New Roman" w:eastAsia="Times New Roman" w:cs="Times New Roman"/>
                <w:sz w:val="13"/>
                <w:szCs w:val="13"/>
                <w:position w:val="-1"/>
              </w:rPr>
              <w:t>Cr</w:t>
            </w:r>
            <w:r>
              <w:rPr>
                <w:rFonts w:ascii="Times New Roman" w:hAnsi="Times New Roman" w:eastAsia="Times New Roman" w:cs="Times New Roman"/>
                <w:sz w:val="13"/>
                <w:szCs w:val="13"/>
                <w:spacing w:val="8"/>
                <w:position w:val="-1"/>
              </w:rPr>
              <w:t xml:space="preserve"> </w:t>
            </w:r>
            <w:r>
              <w:rPr>
                <w:spacing w:val="8"/>
              </w:rPr>
              <w:t>浓度</w:t>
            </w:r>
            <w:r>
              <w:rPr>
                <w:rFonts w:ascii="Times New Roman" w:hAnsi="Times New Roman" w:eastAsia="Times New Roman" w:cs="Times New Roman"/>
                <w:spacing w:val="8"/>
              </w:rPr>
              <w:t>≥10000</w:t>
            </w:r>
            <w:r>
              <w:rPr>
                <w:rFonts w:ascii="Times New Roman" w:hAnsi="Times New Roman" w:eastAsia="Times New Roman" w:cs="Times New Roman"/>
              </w:rPr>
              <w:t>mg</w:t>
            </w:r>
            <w:r>
              <w:rPr>
                <w:rFonts w:ascii="Times New Roman" w:hAnsi="Times New Roman" w:eastAsia="Times New Roman" w:cs="Times New Roman"/>
                <w:spacing w:val="8"/>
              </w:rPr>
              <w:t>/L</w:t>
            </w:r>
          </w:p>
          <w:p>
            <w:pPr>
              <w:pStyle w:val="TableText"/>
              <w:ind w:left="757"/>
              <w:spacing w:before="31" w:line="216" w:lineRule="auto"/>
              <w:rPr/>
            </w:pPr>
            <w:r>
              <w:rPr>
                <w:spacing w:val="7"/>
              </w:rPr>
              <w:t>有机废液</w:t>
            </w:r>
          </w:p>
        </w:tc>
        <w:tc>
          <w:tcPr>
            <w:tcW w:w="1480" w:type="dxa"/>
            <w:vAlign w:val="top"/>
          </w:tcPr>
          <w:p>
            <w:pPr>
              <w:ind w:left="504"/>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46.92</w:t>
            </w:r>
          </w:p>
        </w:tc>
        <w:tc>
          <w:tcPr>
            <w:tcW w:w="2609" w:type="dxa"/>
            <w:vAlign w:val="top"/>
          </w:tcPr>
          <w:p>
            <w:pPr>
              <w:pStyle w:val="TableText"/>
              <w:ind w:left="215"/>
              <w:spacing w:before="168" w:line="227" w:lineRule="auto"/>
              <w:rPr/>
            </w:pPr>
            <w:r>
              <w:rPr>
                <w:rFonts w:ascii="Times New Roman" w:hAnsi="Times New Roman" w:eastAsia="Times New Roman" w:cs="Times New Roman"/>
              </w:rPr>
              <w:t>TS</w:t>
            </w:r>
            <w:r>
              <w:rPr>
                <w:rFonts w:ascii="Times New Roman" w:hAnsi="Times New Roman" w:eastAsia="Times New Roman" w:cs="Times New Roman"/>
                <w:spacing w:val="9"/>
              </w:rPr>
              <w:t xml:space="preserve"> </w:t>
            </w:r>
            <w:r>
              <w:rPr>
                <w:spacing w:val="9"/>
              </w:rPr>
              <w:t>调节池、厌氧发酵罐</w:t>
            </w:r>
          </w:p>
        </w:tc>
        <w:tc>
          <w:tcPr>
            <w:tcW w:w="1636" w:type="dxa"/>
            <w:vAlign w:val="top"/>
          </w:tcPr>
          <w:p>
            <w:pPr>
              <w:pStyle w:val="TableText"/>
              <w:ind w:left="616"/>
              <w:spacing w:before="168" w:line="229" w:lineRule="auto"/>
              <w:rPr/>
            </w:pPr>
            <w:r>
              <w:rPr>
                <w:spacing w:val="3"/>
              </w:rPr>
              <w:t>泄漏</w:t>
            </w:r>
          </w:p>
        </w:tc>
      </w:tr>
      <w:tr>
        <w:trPr>
          <w:trHeight w:val="552" w:hRule="atLeast"/>
        </w:trPr>
        <w:tc>
          <w:tcPr>
            <w:tcW w:w="526" w:type="dxa"/>
            <w:vAlign w:val="top"/>
          </w:tcPr>
          <w:p>
            <w:pPr>
              <w:ind w:left="215"/>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2343" w:type="dxa"/>
            <w:vAlign w:val="top"/>
          </w:tcPr>
          <w:p>
            <w:pPr>
              <w:pStyle w:val="TableText"/>
              <w:ind w:left="755"/>
              <w:spacing w:before="168" w:line="228" w:lineRule="auto"/>
              <w:rPr/>
            </w:pPr>
            <w:r>
              <w:rPr>
                <w:spacing w:val="7"/>
              </w:rPr>
              <w:t>废矿物油</w:t>
            </w:r>
          </w:p>
        </w:tc>
        <w:tc>
          <w:tcPr>
            <w:tcW w:w="1480" w:type="dxa"/>
            <w:vAlign w:val="top"/>
          </w:tcPr>
          <w:p>
            <w:pPr>
              <w:ind w:left="561"/>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0.27</w:t>
            </w:r>
          </w:p>
        </w:tc>
        <w:tc>
          <w:tcPr>
            <w:tcW w:w="2609" w:type="dxa"/>
            <w:vAlign w:val="top"/>
          </w:tcPr>
          <w:p>
            <w:pPr>
              <w:pStyle w:val="TableText"/>
              <w:ind w:left="233"/>
              <w:spacing w:before="168" w:line="228" w:lineRule="auto"/>
              <w:rPr/>
            </w:pPr>
            <w:r>
              <w:rPr>
                <w:spacing w:val="8"/>
              </w:rPr>
              <w:t>火灾事故次生</w:t>
            </w:r>
            <w:r>
              <w:rPr>
                <w:rFonts w:ascii="Times New Roman" w:hAnsi="Times New Roman" w:eastAsia="Times New Roman" w:cs="Times New Roman"/>
                <w:spacing w:val="8"/>
              </w:rPr>
              <w:t>/</w:t>
            </w:r>
            <w:r>
              <w:rPr>
                <w:spacing w:val="8"/>
              </w:rPr>
              <w:t>伴生产生</w:t>
            </w:r>
          </w:p>
        </w:tc>
        <w:tc>
          <w:tcPr>
            <w:tcW w:w="1636" w:type="dxa"/>
            <w:vAlign w:val="top"/>
          </w:tcPr>
          <w:p>
            <w:pPr>
              <w:pStyle w:val="TableText"/>
              <w:ind w:left="514" w:right="51" w:hanging="452"/>
              <w:spacing w:before="35" w:line="234" w:lineRule="auto"/>
              <w:rPr/>
            </w:pPr>
            <w:r>
              <w:rPr>
                <w:spacing w:val="7"/>
              </w:rPr>
              <w:t>火灾、爆炸伴生</w:t>
            </w:r>
            <w:r>
              <w:rPr>
                <w:rFonts w:ascii="Times New Roman" w:hAnsi="Times New Roman" w:eastAsia="Times New Roman" w:cs="Times New Roman"/>
                <w:spacing w:val="7"/>
              </w:rPr>
              <w:t>/</w:t>
            </w:r>
            <w:r>
              <w:rPr>
                <w:rFonts w:ascii="Times New Roman" w:hAnsi="Times New Roman" w:eastAsia="Times New Roman" w:cs="Times New Roman"/>
                <w:spacing w:val="4"/>
              </w:rPr>
              <w:t xml:space="preserve"> </w:t>
            </w:r>
            <w:r>
              <w:rPr>
                <w:spacing w:val="5"/>
              </w:rPr>
              <w:t>次生物</w:t>
            </w:r>
          </w:p>
        </w:tc>
      </w:tr>
    </w:tbl>
    <w:p>
      <w:pPr>
        <w:ind w:left="57"/>
        <w:spacing w:before="37"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6.4.2.2 </w:t>
      </w:r>
      <w:r>
        <w:rPr>
          <w:rFonts w:ascii="SimSun" w:hAnsi="SimSun" w:eastAsia="SimSun" w:cs="SimSun"/>
          <w:sz w:val="24"/>
          <w:szCs w:val="24"/>
          <w:b/>
          <w:bCs/>
          <w:spacing w:val="-2"/>
        </w:rPr>
        <w:t>生产过程风险识别</w:t>
      </w:r>
    </w:p>
    <w:p>
      <w:pPr>
        <w:ind w:left="59" w:firstLine="479"/>
        <w:spacing w:before="183" w:line="359" w:lineRule="auto"/>
        <w:jc w:val="both"/>
        <w:rPr>
          <w:rFonts w:ascii="SimSun" w:hAnsi="SimSun" w:eastAsia="SimSun" w:cs="SimSun"/>
          <w:sz w:val="24"/>
          <w:szCs w:val="24"/>
        </w:rPr>
      </w:pPr>
      <w:r>
        <w:rPr>
          <w:rFonts w:ascii="SimSun" w:hAnsi="SimSun" w:eastAsia="SimSun" w:cs="SimSun"/>
          <w:sz w:val="24"/>
          <w:szCs w:val="24"/>
          <w:spacing w:val="3"/>
        </w:rPr>
        <w:t>本工程生产过程中涉及有毒、易燃、易爆等危险因素。各个工段</w:t>
      </w:r>
      <w:r>
        <w:rPr>
          <w:rFonts w:ascii="SimSun" w:hAnsi="SimSun" w:eastAsia="SimSun" w:cs="SimSun"/>
          <w:sz w:val="24"/>
          <w:szCs w:val="24"/>
          <w:spacing w:val="2"/>
        </w:rPr>
        <w:t>发生事故的</w:t>
      </w:r>
      <w:r>
        <w:rPr>
          <w:rFonts w:ascii="SimSun" w:hAnsi="SimSun" w:eastAsia="SimSun" w:cs="SimSun"/>
          <w:sz w:val="24"/>
          <w:szCs w:val="24"/>
        </w:rPr>
        <w:t xml:space="preserve"> </w:t>
      </w:r>
      <w:r>
        <w:rPr>
          <w:rFonts w:ascii="SimSun" w:hAnsi="SimSun" w:eastAsia="SimSun" w:cs="SimSun"/>
          <w:sz w:val="24"/>
          <w:szCs w:val="24"/>
          <w:spacing w:val="3"/>
        </w:rPr>
        <w:t>主要原因可能为：①生产装置温度超过物质闪</w:t>
      </w:r>
      <w:r>
        <w:rPr>
          <w:rFonts w:ascii="SimSun" w:hAnsi="SimSun" w:eastAsia="SimSun" w:cs="SimSun"/>
          <w:sz w:val="24"/>
          <w:szCs w:val="24"/>
          <w:spacing w:val="2"/>
        </w:rPr>
        <w:t>点或与生产装置挥发出的物质蒸汽</w:t>
      </w:r>
      <w:r>
        <w:rPr>
          <w:rFonts w:ascii="SimSun" w:hAnsi="SimSun" w:eastAsia="SimSun" w:cs="SimSun"/>
          <w:sz w:val="24"/>
          <w:szCs w:val="24"/>
        </w:rPr>
        <w:t xml:space="preserve"> </w:t>
      </w:r>
      <w:r>
        <w:rPr>
          <w:rFonts w:ascii="SimSun" w:hAnsi="SimSun" w:eastAsia="SimSun" w:cs="SimSun"/>
          <w:sz w:val="24"/>
          <w:szCs w:val="24"/>
          <w:spacing w:val="3"/>
        </w:rPr>
        <w:t>与空气混合达到爆炸极限。②生产设备密封点</w:t>
      </w:r>
      <w:r>
        <w:rPr>
          <w:rFonts w:ascii="SimSun" w:hAnsi="SimSun" w:eastAsia="SimSun" w:cs="SimSun"/>
          <w:sz w:val="24"/>
          <w:szCs w:val="24"/>
          <w:spacing w:val="2"/>
        </w:rPr>
        <w:t>、阀门等损坏、管道破裂、操作失</w:t>
      </w:r>
      <w:r>
        <w:rPr>
          <w:rFonts w:ascii="SimSun" w:hAnsi="SimSun" w:eastAsia="SimSun" w:cs="SimSun"/>
          <w:sz w:val="24"/>
          <w:szCs w:val="24"/>
        </w:rPr>
        <w:t xml:space="preserve"> </w:t>
      </w:r>
      <w:r>
        <w:rPr>
          <w:rFonts w:ascii="SimSun" w:hAnsi="SimSun" w:eastAsia="SimSun" w:cs="SimSun"/>
          <w:sz w:val="24"/>
          <w:szCs w:val="24"/>
          <w:spacing w:val="-2"/>
        </w:rPr>
        <w:t>误、自然灾害等造成物质泄漏，遇明火引发火灾。③有毒物质泄漏引发人员中毒。</w:t>
      </w:r>
    </w:p>
    <w:p>
      <w:pPr>
        <w:ind w:left="57"/>
        <w:spacing w:before="1"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6.4.2.3 </w:t>
      </w:r>
      <w:r>
        <w:rPr>
          <w:rFonts w:ascii="SimSun" w:hAnsi="SimSun" w:eastAsia="SimSun" w:cs="SimSun"/>
          <w:sz w:val="24"/>
          <w:szCs w:val="24"/>
          <w:b/>
          <w:bCs/>
          <w:spacing w:val="-2"/>
        </w:rPr>
        <w:t>运输过程风险识别</w:t>
      </w:r>
    </w:p>
    <w:p>
      <w:pPr>
        <w:ind w:left="57" w:right="77" w:firstLine="480"/>
        <w:spacing w:before="180" w:line="360" w:lineRule="auto"/>
        <w:jc w:val="both"/>
        <w:rPr>
          <w:rFonts w:ascii="SimSun" w:hAnsi="SimSun" w:eastAsia="SimSun" w:cs="SimSun"/>
          <w:sz w:val="24"/>
          <w:szCs w:val="24"/>
        </w:rPr>
      </w:pPr>
      <w:r>
        <w:rPr>
          <w:rFonts w:ascii="SimSun" w:hAnsi="SimSun" w:eastAsia="SimSun" w:cs="SimSun"/>
          <w:sz w:val="24"/>
          <w:szCs w:val="24"/>
          <w:spacing w:val="3"/>
        </w:rPr>
        <w:t>本项目沼气自用不外售，生产废水经调质后作为有机肥（</w:t>
      </w:r>
      <w:r>
        <w:rPr>
          <w:rFonts w:ascii="SimSun" w:hAnsi="SimSun" w:eastAsia="SimSun" w:cs="SimSun"/>
          <w:sz w:val="24"/>
          <w:szCs w:val="24"/>
          <w:spacing w:val="2"/>
        </w:rPr>
        <w:t>固废、液肥）还田</w:t>
      </w:r>
      <w:r>
        <w:rPr>
          <w:rFonts w:ascii="SimSun" w:hAnsi="SimSun" w:eastAsia="SimSun" w:cs="SimSun"/>
          <w:sz w:val="24"/>
          <w:szCs w:val="24"/>
        </w:rPr>
        <w:t xml:space="preserve"> </w:t>
      </w:r>
      <w:r>
        <w:rPr>
          <w:rFonts w:ascii="SimSun" w:hAnsi="SimSun" w:eastAsia="SimSun" w:cs="SimSun"/>
          <w:sz w:val="24"/>
          <w:szCs w:val="24"/>
          <w:spacing w:val="2"/>
        </w:rPr>
        <w:t>利用（自用</w:t>
      </w:r>
      <w:r>
        <w:rPr>
          <w:rFonts w:ascii="SimSun" w:hAnsi="SimSun" w:eastAsia="SimSun" w:cs="SimSun"/>
          <w:sz w:val="24"/>
          <w:szCs w:val="24"/>
          <w:spacing w:val="14"/>
        </w:rPr>
        <w:t>），</w:t>
      </w:r>
      <w:r>
        <w:rPr>
          <w:rFonts w:ascii="SimSun" w:hAnsi="SimSun" w:eastAsia="SimSun" w:cs="SimSun"/>
          <w:sz w:val="24"/>
          <w:szCs w:val="24"/>
          <w:spacing w:val="2"/>
        </w:rPr>
        <w:t>不涉及危化品运输。沼气在厂区内通过管道运输，若发生阀门损</w:t>
      </w:r>
      <w:r>
        <w:rPr>
          <w:rFonts w:ascii="SimSun" w:hAnsi="SimSun" w:eastAsia="SimSun" w:cs="SimSun"/>
          <w:sz w:val="24"/>
          <w:szCs w:val="24"/>
          <w:spacing w:val="1"/>
        </w:rPr>
        <w:t xml:space="preserve"> </w:t>
      </w:r>
      <w:r>
        <w:rPr>
          <w:rFonts w:ascii="SimSun" w:hAnsi="SimSun" w:eastAsia="SimSun" w:cs="SimSun"/>
          <w:sz w:val="24"/>
          <w:szCs w:val="24"/>
        </w:rPr>
        <w:t>坏等，可引起沼气泄漏，若发生火灾、爆炸对环境和</w:t>
      </w:r>
      <w:r>
        <w:rPr>
          <w:rFonts w:ascii="SimSun" w:hAnsi="SimSun" w:eastAsia="SimSun" w:cs="SimSun"/>
          <w:sz w:val="24"/>
          <w:szCs w:val="24"/>
          <w:spacing w:val="-1"/>
        </w:rPr>
        <w:t>周边人群造成较大影响。</w:t>
      </w:r>
    </w:p>
    <w:p>
      <w:pPr>
        <w:pStyle w:val="BodyText"/>
        <w:spacing w:line="346" w:lineRule="auto"/>
        <w:rPr/>
      </w:pPr>
      <w:r/>
    </w:p>
    <w:p>
      <w:pPr>
        <w:ind w:left="55"/>
        <w:spacing w:before="62" w:line="227" w:lineRule="auto"/>
        <w:rPr>
          <w:rFonts w:ascii="SimSun" w:hAnsi="SimSun" w:eastAsia="SimSun" w:cs="SimSun"/>
          <w:sz w:val="19"/>
          <w:szCs w:val="19"/>
        </w:rPr>
      </w:pPr>
      <w:r>
        <w:pict>
          <v:shape id="_x0000_s1136" style="position:absolute;margin-left:161.72pt;margin-top:2.09683pt;mso-position-vertical-relative:text;mso-position-horizontal-relative:text;width:61pt;height:13.75pt;z-index:25223270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245</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340"/>
          <w:footerReference w:type="default" r:id="rId3"/>
          <w:pgSz w:w="11907" w:h="16840"/>
          <w:pgMar w:top="1567" w:right="1621" w:bottom="400" w:left="1653" w:header="1221" w:footer="0" w:gutter="0"/>
        </w:sectPr>
        <w:rPr>
          <w:rFonts w:ascii="SimSun" w:hAnsi="SimSun" w:eastAsia="SimSun" w:cs="SimSun"/>
          <w:sz w:val="19"/>
          <w:szCs w:val="19"/>
        </w:rPr>
      </w:pPr>
    </w:p>
    <w:p>
      <w:pPr>
        <w:ind w:left="45"/>
        <w:spacing w:before="174" w:line="222" w:lineRule="auto"/>
        <w:outlineLvl w:val="2"/>
        <w:rPr>
          <w:rFonts w:ascii="SimHei" w:hAnsi="SimHei" w:eastAsia="SimHei" w:cs="SimHei"/>
          <w:sz w:val="28"/>
          <w:szCs w:val="28"/>
        </w:rPr>
      </w:pPr>
      <w:r>
        <w:pict>
          <v:shape id="_x0000_s1140" style="position:absolute;margin-left:85.05pt;margin-top:78.87pt;mso-position-vertical-relative:page;mso-position-horizontal-relative:page;width:425.25pt;height:0.75pt;z-index:252235776;" o:allowincell="f" fillcolor="#000000" filled="true" stroked="false" coordsize="8505,15" coordorigin="0,0" path="m,l8505,0l8505,14l0,14l0,0xe"/>
        </w:pict>
      </w:r>
      <w:bookmarkStart w:name="bookmark131" w:id="162"/>
      <w:bookmarkEnd w:id="162"/>
      <w:r>
        <w:rPr>
          <w:rFonts w:ascii="Times New Roman" w:hAnsi="Times New Roman" w:eastAsia="Times New Roman" w:cs="Times New Roman"/>
          <w:sz w:val="28"/>
          <w:szCs w:val="28"/>
          <w:spacing w:val="-4"/>
        </w:rPr>
        <w:t>6.4.3</w:t>
      </w:r>
      <w:r>
        <w:rPr>
          <w:rFonts w:ascii="Times New Roman" w:hAnsi="Times New Roman" w:eastAsia="Times New Roman" w:cs="Times New Roman"/>
          <w:sz w:val="28"/>
          <w:szCs w:val="28"/>
          <w:spacing w:val="34"/>
        </w:rPr>
        <w:t xml:space="preserve"> </w:t>
      </w:r>
      <w:r>
        <w:rPr>
          <w:rFonts w:ascii="SimHei" w:hAnsi="SimHei" w:eastAsia="SimHei" w:cs="SimHei"/>
          <w:sz w:val="28"/>
          <w:szCs w:val="28"/>
          <w:spacing w:val="-4"/>
        </w:rPr>
        <w:t>向环境转移途径</w:t>
      </w:r>
    </w:p>
    <w:p>
      <w:pPr>
        <w:pStyle w:val="BodyText"/>
        <w:spacing w:line="244" w:lineRule="auto"/>
        <w:rPr/>
      </w:pPr>
      <w:r/>
    </w:p>
    <w:p>
      <w:pPr>
        <w:ind w:left="43" w:right="31" w:firstLine="486"/>
        <w:spacing w:before="78" w:line="360" w:lineRule="auto"/>
        <w:jc w:val="both"/>
        <w:rPr>
          <w:rFonts w:ascii="SimSun" w:hAnsi="SimSun" w:eastAsia="SimSun" w:cs="SimSun"/>
          <w:sz w:val="24"/>
          <w:szCs w:val="24"/>
        </w:rPr>
      </w:pPr>
      <w:r>
        <w:rPr>
          <w:rFonts w:ascii="SimSun" w:hAnsi="SimSun" w:eastAsia="SimSun" w:cs="SimSun"/>
          <w:sz w:val="24"/>
          <w:szCs w:val="24"/>
          <w:spacing w:val="3"/>
        </w:rPr>
        <w:t>空气、水体和土壤等环境要素是危险性物质向环</w:t>
      </w:r>
      <w:r>
        <w:rPr>
          <w:rFonts w:ascii="SimSun" w:hAnsi="SimSun" w:eastAsia="SimSun" w:cs="SimSun"/>
          <w:sz w:val="24"/>
          <w:szCs w:val="24"/>
          <w:spacing w:val="2"/>
        </w:rPr>
        <w:t>境转移最基本的途径，同时</w:t>
      </w:r>
      <w:r>
        <w:rPr>
          <w:rFonts w:ascii="SimSun" w:hAnsi="SimSun" w:eastAsia="SimSun" w:cs="SimSun"/>
          <w:sz w:val="24"/>
          <w:szCs w:val="24"/>
        </w:rPr>
        <w:t xml:space="preserve"> </w:t>
      </w:r>
      <w:r>
        <w:rPr>
          <w:rFonts w:ascii="SimSun" w:hAnsi="SimSun" w:eastAsia="SimSun" w:cs="SimSun"/>
          <w:sz w:val="24"/>
          <w:szCs w:val="24"/>
          <w:spacing w:val="3"/>
        </w:rPr>
        <w:t>这三种要素之间又随时发生着物质和能量的传递，污染</w:t>
      </w:r>
      <w:r>
        <w:rPr>
          <w:rFonts w:ascii="SimSun" w:hAnsi="SimSun" w:eastAsia="SimSun" w:cs="SimSun"/>
          <w:sz w:val="24"/>
          <w:szCs w:val="24"/>
          <w:spacing w:val="2"/>
        </w:rPr>
        <w:t>物进入环境后，随着空气</w:t>
      </w:r>
      <w:r>
        <w:rPr>
          <w:rFonts w:ascii="SimSun" w:hAnsi="SimSun" w:eastAsia="SimSun" w:cs="SimSun"/>
          <w:sz w:val="24"/>
          <w:szCs w:val="24"/>
        </w:rPr>
        <w:t xml:space="preserve"> </w:t>
      </w:r>
      <w:r>
        <w:rPr>
          <w:rFonts w:ascii="SimSun" w:hAnsi="SimSun" w:eastAsia="SimSun" w:cs="SimSun"/>
          <w:sz w:val="24"/>
          <w:szCs w:val="24"/>
          <w:spacing w:val="3"/>
        </w:rPr>
        <w:t>和水体环境发生推流迁移、分散稀释和降解转化运动。</w:t>
      </w:r>
      <w:r>
        <w:rPr>
          <w:rFonts w:ascii="SimSun" w:hAnsi="SimSun" w:eastAsia="SimSun" w:cs="SimSun"/>
          <w:sz w:val="24"/>
          <w:szCs w:val="24"/>
          <w:spacing w:val="2"/>
        </w:rPr>
        <w:t>从建设项目主要危险物质</w:t>
      </w:r>
      <w:r>
        <w:rPr>
          <w:rFonts w:ascii="SimSun" w:hAnsi="SimSun" w:eastAsia="SimSun" w:cs="SimSun"/>
          <w:sz w:val="24"/>
          <w:szCs w:val="24"/>
        </w:rPr>
        <w:t xml:space="preserve"> </w:t>
      </w:r>
      <w:r>
        <w:rPr>
          <w:rFonts w:ascii="SimSun" w:hAnsi="SimSun" w:eastAsia="SimSun" w:cs="SimSun"/>
          <w:sz w:val="24"/>
          <w:szCs w:val="24"/>
        </w:rPr>
        <w:t>的理化性质来看，若发生泄漏等，通过土壤、空</w:t>
      </w:r>
      <w:r>
        <w:rPr>
          <w:rFonts w:ascii="SimSun" w:hAnsi="SimSun" w:eastAsia="SimSun" w:cs="SimSun"/>
          <w:sz w:val="24"/>
          <w:szCs w:val="24"/>
          <w:spacing w:val="-1"/>
        </w:rPr>
        <w:t>气及地下水环境进行扩散。</w:t>
      </w:r>
    </w:p>
    <w:p>
      <w:pPr>
        <w:ind w:left="45"/>
        <w:spacing w:before="118" w:line="222" w:lineRule="auto"/>
        <w:outlineLvl w:val="2"/>
        <w:rPr>
          <w:rFonts w:ascii="SimHei" w:hAnsi="SimHei" w:eastAsia="SimHei" w:cs="SimHei"/>
          <w:sz w:val="28"/>
          <w:szCs w:val="28"/>
        </w:rPr>
      </w:pPr>
      <w:bookmarkStart w:name="bookmark132" w:id="163"/>
      <w:bookmarkEnd w:id="163"/>
      <w:r>
        <w:rPr>
          <w:rFonts w:ascii="Times New Roman" w:hAnsi="Times New Roman" w:eastAsia="Times New Roman" w:cs="Times New Roman"/>
          <w:sz w:val="28"/>
          <w:szCs w:val="28"/>
          <w:spacing w:val="-1"/>
        </w:rPr>
        <w:t>6.4.4 </w:t>
      </w:r>
      <w:r>
        <w:rPr>
          <w:rFonts w:ascii="SimHei" w:hAnsi="SimHei" w:eastAsia="SimHei" w:cs="SimHei"/>
          <w:sz w:val="28"/>
          <w:szCs w:val="28"/>
          <w:spacing w:val="-1"/>
        </w:rPr>
        <w:t>环境风险识别结果</w:t>
      </w:r>
    </w:p>
    <w:p>
      <w:pPr>
        <w:pStyle w:val="BodyText"/>
        <w:spacing w:line="242" w:lineRule="auto"/>
        <w:rPr/>
      </w:pPr>
      <w:r/>
    </w:p>
    <w:p>
      <w:pPr>
        <w:ind w:left="526"/>
        <w:spacing w:before="78" w:line="219" w:lineRule="auto"/>
        <w:rPr>
          <w:rFonts w:ascii="SimSun" w:hAnsi="SimSun" w:eastAsia="SimSun" w:cs="SimSun"/>
          <w:sz w:val="24"/>
          <w:szCs w:val="24"/>
        </w:rPr>
      </w:pPr>
      <w:r>
        <w:rPr>
          <w:rFonts w:ascii="SimSun" w:hAnsi="SimSun" w:eastAsia="SimSun" w:cs="SimSun"/>
          <w:sz w:val="24"/>
          <w:szCs w:val="24"/>
          <w:spacing w:val="-2"/>
        </w:rPr>
        <w:t>项目风险识别结果见表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6.4-4</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，危险单元分布见图</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6.4-1</w:t>
      </w:r>
      <w:r>
        <w:rPr>
          <w:rFonts w:ascii="SimSun" w:hAnsi="SimSun" w:eastAsia="SimSun" w:cs="SimSun"/>
          <w:sz w:val="24"/>
          <w:szCs w:val="24"/>
          <w:spacing w:val="-3"/>
        </w:rPr>
        <w:t>。</w:t>
      </w:r>
    </w:p>
    <w:p>
      <w:pPr>
        <w:ind w:left="2328"/>
        <w:spacing w:before="182"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6.4-4        </w:t>
      </w:r>
      <w:r>
        <w:rPr>
          <w:rFonts w:ascii="SimSun" w:hAnsi="SimSun" w:eastAsia="SimSun" w:cs="SimSun"/>
          <w:sz w:val="24"/>
          <w:szCs w:val="24"/>
          <w:b/>
          <w:bCs/>
          <w:spacing w:val="-2"/>
        </w:rPr>
        <w:t>建设项目环境风险识别表</w:t>
      </w:r>
    </w:p>
    <w:tbl>
      <w:tblPr>
        <w:tblStyle w:val="TableNormal"/>
        <w:tblW w:w="856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51"/>
        <w:gridCol w:w="1121"/>
        <w:gridCol w:w="960"/>
        <w:gridCol w:w="1205"/>
        <w:gridCol w:w="1292"/>
        <w:gridCol w:w="1364"/>
        <w:gridCol w:w="2072"/>
      </w:tblGrid>
      <w:tr>
        <w:trPr>
          <w:trHeight w:val="554" w:hRule="atLeast"/>
        </w:trPr>
        <w:tc>
          <w:tcPr>
            <w:tcW w:w="551" w:type="dxa"/>
            <w:vAlign w:val="top"/>
          </w:tcPr>
          <w:p>
            <w:pPr>
              <w:pStyle w:val="TableText"/>
              <w:ind w:left="69"/>
              <w:spacing w:before="171" w:line="229" w:lineRule="auto"/>
              <w:rPr/>
            </w:pPr>
            <w:r>
              <w:rPr>
                <w:spacing w:val="5"/>
              </w:rPr>
              <w:t>序号</w:t>
            </w:r>
          </w:p>
        </w:tc>
        <w:tc>
          <w:tcPr>
            <w:tcW w:w="1121" w:type="dxa"/>
            <w:vAlign w:val="top"/>
          </w:tcPr>
          <w:p>
            <w:pPr>
              <w:pStyle w:val="TableText"/>
              <w:ind w:left="145"/>
              <w:spacing w:before="172" w:line="228" w:lineRule="auto"/>
              <w:rPr/>
            </w:pPr>
            <w:r>
              <w:rPr>
                <w:spacing w:val="6"/>
              </w:rPr>
              <w:t>危险单元</w:t>
            </w:r>
          </w:p>
        </w:tc>
        <w:tc>
          <w:tcPr>
            <w:tcW w:w="960" w:type="dxa"/>
            <w:vAlign w:val="top"/>
          </w:tcPr>
          <w:p>
            <w:pPr>
              <w:pStyle w:val="TableText"/>
              <w:ind w:left="170"/>
              <w:spacing w:before="172" w:line="228" w:lineRule="auto"/>
              <w:rPr/>
            </w:pPr>
            <w:r>
              <w:rPr>
                <w:spacing w:val="6"/>
              </w:rPr>
              <w:t>风险源</w:t>
            </w:r>
          </w:p>
        </w:tc>
        <w:tc>
          <w:tcPr>
            <w:tcW w:w="1205" w:type="dxa"/>
            <w:vAlign w:val="top"/>
          </w:tcPr>
          <w:p>
            <w:pPr>
              <w:pStyle w:val="TableText"/>
              <w:ind w:left="191"/>
              <w:spacing w:before="172" w:line="228" w:lineRule="auto"/>
              <w:rPr/>
            </w:pPr>
            <w:r>
              <w:rPr>
                <w:spacing w:val="6"/>
              </w:rPr>
              <w:t>危险物质</w:t>
            </w:r>
          </w:p>
        </w:tc>
        <w:tc>
          <w:tcPr>
            <w:tcW w:w="1292" w:type="dxa"/>
            <w:vAlign w:val="top"/>
          </w:tcPr>
          <w:p>
            <w:pPr>
              <w:pStyle w:val="TableText"/>
              <w:ind w:left="22"/>
              <w:spacing w:before="171" w:line="228" w:lineRule="auto"/>
              <w:rPr/>
            </w:pPr>
            <w:r>
              <w:rPr>
                <w:spacing w:val="8"/>
              </w:rPr>
              <w:t>环境风险类型</w:t>
            </w:r>
          </w:p>
        </w:tc>
        <w:tc>
          <w:tcPr>
            <w:tcW w:w="1364" w:type="dxa"/>
            <w:vAlign w:val="top"/>
          </w:tcPr>
          <w:p>
            <w:pPr>
              <w:pStyle w:val="TableText"/>
              <w:ind w:left="57"/>
              <w:spacing w:before="171" w:line="228" w:lineRule="auto"/>
              <w:rPr/>
            </w:pPr>
            <w:r>
              <w:rPr>
                <w:spacing w:val="8"/>
              </w:rPr>
              <w:t>环境影响途径</w:t>
            </w:r>
          </w:p>
        </w:tc>
        <w:tc>
          <w:tcPr>
            <w:tcW w:w="2072" w:type="dxa"/>
            <w:vAlign w:val="top"/>
          </w:tcPr>
          <w:p>
            <w:pPr>
              <w:pStyle w:val="TableText"/>
              <w:ind w:left="414"/>
              <w:spacing w:before="37" w:line="229" w:lineRule="auto"/>
              <w:rPr/>
            </w:pPr>
            <w:r>
              <w:rPr>
                <w:spacing w:val="7"/>
              </w:rPr>
              <w:t>可能受影响的</w:t>
            </w:r>
          </w:p>
          <w:p>
            <w:pPr>
              <w:pStyle w:val="TableText"/>
              <w:ind w:left="412"/>
              <w:spacing w:before="23" w:line="217" w:lineRule="auto"/>
              <w:rPr/>
            </w:pPr>
            <w:r>
              <w:rPr>
                <w:spacing w:val="8"/>
              </w:rPr>
              <w:t>环境敏感目标</w:t>
            </w:r>
          </w:p>
        </w:tc>
      </w:tr>
      <w:tr>
        <w:trPr>
          <w:trHeight w:val="548" w:hRule="atLeast"/>
        </w:trPr>
        <w:tc>
          <w:tcPr>
            <w:tcW w:w="551" w:type="dxa"/>
            <w:vAlign w:val="top"/>
          </w:tcPr>
          <w:p>
            <w:pPr>
              <w:ind w:left="244"/>
              <w:spacing w:before="2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121" w:type="dxa"/>
            <w:vAlign w:val="top"/>
            <w:vMerge w:val="restart"/>
            <w:tcBorders>
              <w:bottom w:val="nil"/>
            </w:tcBorders>
          </w:tcPr>
          <w:p>
            <w:pPr>
              <w:spacing w:line="378" w:lineRule="auto"/>
              <w:rPr>
                <w:rFonts w:ascii="Arial"/>
                <w:sz w:val="21"/>
              </w:rPr>
            </w:pPr>
            <w:r/>
          </w:p>
          <w:p>
            <w:pPr>
              <w:pStyle w:val="TableText"/>
              <w:ind w:left="40"/>
              <w:spacing w:before="65" w:line="227" w:lineRule="auto"/>
              <w:rPr/>
            </w:pPr>
            <w:r>
              <w:rPr>
                <w:spacing w:val="7"/>
              </w:rPr>
              <w:t>厌氧发酵装</w:t>
            </w:r>
          </w:p>
          <w:p>
            <w:pPr>
              <w:pStyle w:val="TableText"/>
              <w:ind w:left="458"/>
              <w:spacing w:before="25" w:line="233" w:lineRule="auto"/>
              <w:rPr/>
            </w:pPr>
            <w:r>
              <w:rPr>
                <w:spacing w:val="2"/>
              </w:rPr>
              <w:t>置</w:t>
            </w:r>
          </w:p>
        </w:tc>
        <w:tc>
          <w:tcPr>
            <w:tcW w:w="960" w:type="dxa"/>
            <w:vAlign w:val="top"/>
          </w:tcPr>
          <w:p>
            <w:pPr>
              <w:pStyle w:val="TableText"/>
              <w:ind w:left="172" w:right="6" w:hanging="163"/>
              <w:spacing w:before="30" w:line="234" w:lineRule="auto"/>
              <w:rPr/>
            </w:pPr>
            <w:r>
              <w:rPr>
                <w:spacing w:val="-13"/>
              </w:rPr>
              <w:t>气柜、厌氧</w:t>
            </w:r>
            <w:r>
              <w:rPr>
                <w:spacing w:val="3"/>
              </w:rPr>
              <w:t xml:space="preserve"> </w:t>
            </w:r>
            <w:r>
              <w:rPr>
                <w:spacing w:val="5"/>
              </w:rPr>
              <w:t>发酵罐</w:t>
            </w:r>
          </w:p>
        </w:tc>
        <w:tc>
          <w:tcPr>
            <w:tcW w:w="1205" w:type="dxa"/>
            <w:vAlign w:val="top"/>
          </w:tcPr>
          <w:p>
            <w:pPr>
              <w:pStyle w:val="TableText"/>
              <w:ind w:left="401"/>
              <w:spacing w:before="167" w:line="229" w:lineRule="auto"/>
              <w:rPr/>
            </w:pPr>
            <w:r>
              <w:rPr>
                <w:spacing w:val="2"/>
              </w:rPr>
              <w:t>沼气</w:t>
            </w:r>
          </w:p>
        </w:tc>
        <w:tc>
          <w:tcPr>
            <w:tcW w:w="1292" w:type="dxa"/>
            <w:vAlign w:val="top"/>
          </w:tcPr>
          <w:p>
            <w:pPr>
              <w:pStyle w:val="TableText"/>
              <w:ind w:left="127"/>
              <w:spacing w:before="167" w:line="226" w:lineRule="auto"/>
              <w:rPr/>
            </w:pPr>
            <w:r>
              <w:rPr>
                <w:spacing w:val="7"/>
              </w:rPr>
              <w:t>火灾、爆炸</w:t>
            </w:r>
          </w:p>
        </w:tc>
        <w:tc>
          <w:tcPr>
            <w:tcW w:w="1364" w:type="dxa"/>
            <w:vAlign w:val="top"/>
          </w:tcPr>
          <w:p>
            <w:pPr>
              <w:pStyle w:val="TableText"/>
              <w:ind w:left="271"/>
              <w:spacing w:before="166" w:line="228" w:lineRule="auto"/>
              <w:rPr/>
            </w:pPr>
            <w:r>
              <w:rPr>
                <w:spacing w:val="6"/>
              </w:rPr>
              <w:t>大气扩散</w:t>
            </w:r>
          </w:p>
        </w:tc>
        <w:tc>
          <w:tcPr>
            <w:tcW w:w="2072" w:type="dxa"/>
            <w:vAlign w:val="top"/>
          </w:tcPr>
          <w:p>
            <w:pPr>
              <w:pStyle w:val="TableText"/>
              <w:ind w:left="98"/>
              <w:spacing w:before="166" w:line="228" w:lineRule="auto"/>
              <w:rPr/>
            </w:pPr>
            <w:r>
              <w:rPr>
                <w:spacing w:val="8"/>
              </w:rPr>
              <w:t>周围企业办公生活区</w:t>
            </w:r>
          </w:p>
        </w:tc>
      </w:tr>
      <w:tr>
        <w:trPr>
          <w:trHeight w:val="821" w:hRule="atLeast"/>
        </w:trPr>
        <w:tc>
          <w:tcPr>
            <w:tcW w:w="551" w:type="dxa"/>
            <w:vAlign w:val="top"/>
          </w:tcPr>
          <w:p>
            <w:pPr>
              <w:spacing w:line="281" w:lineRule="auto"/>
              <w:rPr>
                <w:rFonts w:ascii="Arial"/>
                <w:sz w:val="21"/>
              </w:rPr>
            </w:pPr>
            <w:r/>
          </w:p>
          <w:p>
            <w:pPr>
              <w:ind w:left="224"/>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121" w:type="dxa"/>
            <w:vAlign w:val="top"/>
            <w:vMerge w:val="continue"/>
            <w:tcBorders>
              <w:top w:val="nil"/>
            </w:tcBorders>
          </w:tcPr>
          <w:p>
            <w:pPr>
              <w:rPr>
                <w:rFonts w:ascii="Arial"/>
                <w:sz w:val="21"/>
              </w:rPr>
            </w:pPr>
            <w:r/>
          </w:p>
        </w:tc>
        <w:tc>
          <w:tcPr>
            <w:tcW w:w="960" w:type="dxa"/>
            <w:vAlign w:val="top"/>
          </w:tcPr>
          <w:p>
            <w:pPr>
              <w:pStyle w:val="TableText"/>
              <w:ind w:left="8" w:right="4" w:firstLine="113"/>
              <w:spacing w:before="34" w:line="250" w:lineRule="auto"/>
              <w:rPr/>
            </w:pPr>
            <w:r>
              <w:rPr>
                <w:rFonts w:ascii="Times New Roman" w:hAnsi="Times New Roman" w:eastAsia="Times New Roman" w:cs="Times New Roman"/>
              </w:rPr>
              <w:t>TS</w:t>
            </w:r>
            <w:r>
              <w:rPr>
                <w:rFonts w:ascii="Times New Roman" w:hAnsi="Times New Roman" w:eastAsia="Times New Roman" w:cs="Times New Roman"/>
                <w:spacing w:val="14"/>
                <w:w w:val="101"/>
              </w:rPr>
              <w:t xml:space="preserve"> </w:t>
            </w:r>
            <w:r>
              <w:rPr>
                <w:spacing w:val="5"/>
              </w:rPr>
              <w:t>调节</w:t>
            </w:r>
            <w:r>
              <w:rPr/>
              <w:t xml:space="preserve">  </w:t>
            </w:r>
            <w:r>
              <w:rPr>
                <w:spacing w:val="-12"/>
              </w:rPr>
              <w:t>池、厌氧发</w:t>
            </w:r>
          </w:p>
          <w:p>
            <w:pPr>
              <w:pStyle w:val="TableText"/>
              <w:ind w:left="275"/>
              <w:spacing w:line="216" w:lineRule="auto"/>
              <w:rPr/>
            </w:pPr>
            <w:r>
              <w:rPr>
                <w:spacing w:val="4"/>
              </w:rPr>
              <w:t>酵罐</w:t>
            </w:r>
          </w:p>
        </w:tc>
        <w:tc>
          <w:tcPr>
            <w:tcW w:w="1205" w:type="dxa"/>
            <w:vAlign w:val="top"/>
          </w:tcPr>
          <w:p>
            <w:pPr>
              <w:pStyle w:val="TableText"/>
              <w:ind w:left="53" w:right="54" w:firstLine="36"/>
              <w:spacing w:before="47" w:line="252" w:lineRule="auto"/>
              <w:rPr>
                <w:rFonts w:ascii="Times New Roman" w:hAnsi="Times New Roman" w:eastAsia="Times New Roman" w:cs="Times New Roman"/>
              </w:rPr>
            </w:pPr>
            <w:r>
              <w:rPr>
                <w:rFonts w:ascii="Times New Roman" w:hAnsi="Times New Roman" w:eastAsia="Times New Roman" w:cs="Times New Roman"/>
              </w:rPr>
              <w:t>COD</w:t>
            </w:r>
            <w:r>
              <w:rPr>
                <w:rFonts w:ascii="Times New Roman" w:hAnsi="Times New Roman" w:eastAsia="Times New Roman" w:cs="Times New Roman"/>
                <w:sz w:val="13"/>
                <w:szCs w:val="13"/>
                <w:position w:val="-1"/>
              </w:rPr>
              <w:t>Cr</w:t>
            </w:r>
            <w:r>
              <w:rPr>
                <w:rFonts w:ascii="Times New Roman" w:hAnsi="Times New Roman" w:eastAsia="Times New Roman" w:cs="Times New Roman"/>
                <w:sz w:val="13"/>
                <w:szCs w:val="13"/>
                <w:spacing w:val="13"/>
                <w:position w:val="-1"/>
              </w:rPr>
              <w:t xml:space="preserve"> </w:t>
            </w:r>
            <w:r>
              <w:rPr>
                <w:spacing w:val="13"/>
              </w:rPr>
              <w:t>浓度</w:t>
            </w:r>
            <w:r>
              <w:rPr/>
              <w:t xml:space="preserve"> </w:t>
            </w:r>
            <w:r>
              <w:rPr>
                <w:rFonts w:ascii="Times New Roman" w:hAnsi="Times New Roman" w:eastAsia="Times New Roman" w:cs="Times New Roman"/>
                <w:spacing w:val="6"/>
              </w:rPr>
              <w:t>≥10000</w:t>
            </w:r>
            <w:r>
              <w:rPr>
                <w:rFonts w:ascii="Times New Roman" w:hAnsi="Times New Roman" w:eastAsia="Times New Roman" w:cs="Times New Roman"/>
              </w:rPr>
              <w:t>mg</w:t>
            </w:r>
            <w:r>
              <w:rPr>
                <w:rFonts w:ascii="Times New Roman" w:hAnsi="Times New Roman" w:eastAsia="Times New Roman" w:cs="Times New Roman"/>
                <w:spacing w:val="6"/>
              </w:rPr>
              <w:t>/L</w:t>
            </w:r>
          </w:p>
          <w:p>
            <w:pPr>
              <w:pStyle w:val="TableText"/>
              <w:ind w:left="189"/>
              <w:spacing w:line="226" w:lineRule="auto"/>
              <w:rPr/>
            </w:pPr>
            <w:r>
              <w:rPr>
                <w:spacing w:val="7"/>
              </w:rPr>
              <w:t>有机废液</w:t>
            </w:r>
          </w:p>
        </w:tc>
        <w:tc>
          <w:tcPr>
            <w:tcW w:w="1292" w:type="dxa"/>
            <w:vAlign w:val="top"/>
          </w:tcPr>
          <w:p>
            <w:pPr>
              <w:pStyle w:val="TableText"/>
              <w:ind w:left="446"/>
              <w:spacing w:before="305" w:line="228" w:lineRule="auto"/>
              <w:rPr/>
            </w:pPr>
            <w:r>
              <w:rPr>
                <w:spacing w:val="3"/>
              </w:rPr>
              <w:t>泄露</w:t>
            </w:r>
          </w:p>
        </w:tc>
        <w:tc>
          <w:tcPr>
            <w:tcW w:w="1364" w:type="dxa"/>
            <w:vAlign w:val="top"/>
          </w:tcPr>
          <w:p>
            <w:pPr>
              <w:pStyle w:val="TableText"/>
              <w:ind w:left="57"/>
              <w:spacing w:before="168" w:line="228" w:lineRule="auto"/>
              <w:rPr/>
            </w:pPr>
            <w:r>
              <w:rPr>
                <w:spacing w:val="8"/>
              </w:rPr>
              <w:t>地下水和土壤</w:t>
            </w:r>
          </w:p>
          <w:p>
            <w:pPr>
              <w:pStyle w:val="TableText"/>
              <w:ind w:left="477"/>
              <w:spacing w:before="27" w:line="228" w:lineRule="auto"/>
              <w:rPr/>
            </w:pPr>
            <w:r>
              <w:rPr>
                <w:spacing w:val="4"/>
              </w:rPr>
              <w:t>环境</w:t>
            </w:r>
          </w:p>
        </w:tc>
        <w:tc>
          <w:tcPr>
            <w:tcW w:w="2072" w:type="dxa"/>
            <w:vAlign w:val="top"/>
          </w:tcPr>
          <w:p>
            <w:pPr>
              <w:pStyle w:val="TableText"/>
              <w:ind w:left="98"/>
              <w:spacing w:before="33" w:line="228" w:lineRule="auto"/>
              <w:rPr/>
            </w:pPr>
            <w:r>
              <w:rPr>
                <w:spacing w:val="8"/>
              </w:rPr>
              <w:t>周围企业办公生活区</w:t>
            </w:r>
          </w:p>
          <w:p>
            <w:pPr>
              <w:pStyle w:val="TableText"/>
              <w:ind w:left="121"/>
              <w:spacing w:before="24" w:line="228" w:lineRule="auto"/>
              <w:rPr/>
            </w:pPr>
            <w:r>
              <w:rPr>
                <w:spacing w:val="6"/>
              </w:rPr>
              <w:t>以及厂区及周边地下</w:t>
            </w:r>
          </w:p>
          <w:p>
            <w:pPr>
              <w:pStyle w:val="TableText"/>
              <w:ind w:left="203"/>
              <w:spacing w:before="24" w:line="216" w:lineRule="auto"/>
              <w:rPr/>
            </w:pPr>
            <w:r>
              <w:rPr>
                <w:spacing w:val="8"/>
              </w:rPr>
              <w:t>水环境和土壤环境</w:t>
            </w:r>
          </w:p>
        </w:tc>
      </w:tr>
      <w:tr>
        <w:trPr>
          <w:trHeight w:val="344" w:hRule="atLeast"/>
        </w:trPr>
        <w:tc>
          <w:tcPr>
            <w:tcW w:w="551" w:type="dxa"/>
            <w:vAlign w:val="top"/>
          </w:tcPr>
          <w:p>
            <w:pPr>
              <w:ind w:left="228"/>
              <w:spacing w:before="1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121" w:type="dxa"/>
            <w:vAlign w:val="top"/>
            <w:vMerge w:val="restart"/>
            <w:tcBorders>
              <w:bottom w:val="nil"/>
            </w:tcBorders>
          </w:tcPr>
          <w:p>
            <w:pPr>
              <w:spacing w:line="415" w:lineRule="auto"/>
              <w:rPr>
                <w:rFonts w:ascii="Arial"/>
                <w:sz w:val="21"/>
              </w:rPr>
            </w:pPr>
            <w:r/>
          </w:p>
          <w:p>
            <w:pPr>
              <w:pStyle w:val="TableText"/>
              <w:ind w:left="149"/>
              <w:spacing w:before="65" w:line="228" w:lineRule="auto"/>
              <w:rPr/>
            </w:pPr>
            <w:r>
              <w:rPr>
                <w:spacing w:val="5"/>
              </w:rPr>
              <w:t>公辅工程</w:t>
            </w:r>
          </w:p>
        </w:tc>
        <w:tc>
          <w:tcPr>
            <w:tcW w:w="960" w:type="dxa"/>
            <w:vAlign w:val="top"/>
          </w:tcPr>
          <w:p>
            <w:pPr>
              <w:pStyle w:val="TableText"/>
              <w:ind w:left="67"/>
              <w:spacing w:before="67" w:line="228" w:lineRule="auto"/>
              <w:rPr/>
            </w:pPr>
            <w:r>
              <w:rPr>
                <w:spacing w:val="6"/>
              </w:rPr>
              <w:t>沼气锅炉</w:t>
            </w:r>
          </w:p>
        </w:tc>
        <w:tc>
          <w:tcPr>
            <w:tcW w:w="1205" w:type="dxa"/>
            <w:vAlign w:val="top"/>
          </w:tcPr>
          <w:p>
            <w:pPr>
              <w:pStyle w:val="TableText"/>
              <w:ind w:left="401"/>
              <w:spacing w:before="67" w:line="229" w:lineRule="auto"/>
              <w:rPr/>
            </w:pPr>
            <w:r>
              <w:rPr>
                <w:spacing w:val="2"/>
              </w:rPr>
              <w:t>沼气</w:t>
            </w:r>
          </w:p>
        </w:tc>
        <w:tc>
          <w:tcPr>
            <w:tcW w:w="1292" w:type="dxa"/>
            <w:vAlign w:val="top"/>
          </w:tcPr>
          <w:p>
            <w:pPr>
              <w:pStyle w:val="TableText"/>
              <w:ind w:left="127"/>
              <w:spacing w:before="67" w:line="226" w:lineRule="auto"/>
              <w:rPr/>
            </w:pPr>
            <w:r>
              <w:rPr>
                <w:spacing w:val="7"/>
              </w:rPr>
              <w:t>火灾、爆炸</w:t>
            </w:r>
          </w:p>
        </w:tc>
        <w:tc>
          <w:tcPr>
            <w:tcW w:w="1364" w:type="dxa"/>
            <w:vAlign w:val="top"/>
          </w:tcPr>
          <w:p>
            <w:pPr>
              <w:pStyle w:val="TableText"/>
              <w:ind w:left="271"/>
              <w:spacing w:before="66" w:line="228" w:lineRule="auto"/>
              <w:rPr/>
            </w:pPr>
            <w:r>
              <w:rPr>
                <w:spacing w:val="6"/>
              </w:rPr>
              <w:t>大气扩散</w:t>
            </w:r>
          </w:p>
        </w:tc>
        <w:tc>
          <w:tcPr>
            <w:tcW w:w="2072" w:type="dxa"/>
            <w:vAlign w:val="top"/>
          </w:tcPr>
          <w:p>
            <w:pPr>
              <w:pStyle w:val="TableText"/>
              <w:ind w:left="98"/>
              <w:spacing w:before="66" w:line="228" w:lineRule="auto"/>
              <w:rPr/>
            </w:pPr>
            <w:r>
              <w:rPr>
                <w:spacing w:val="8"/>
              </w:rPr>
              <w:t>周围企业办公生活区</w:t>
            </w:r>
          </w:p>
        </w:tc>
      </w:tr>
      <w:tr>
        <w:trPr>
          <w:trHeight w:val="825" w:hRule="atLeast"/>
        </w:trPr>
        <w:tc>
          <w:tcPr>
            <w:tcW w:w="551" w:type="dxa"/>
            <w:vAlign w:val="top"/>
          </w:tcPr>
          <w:p>
            <w:pPr>
              <w:spacing w:line="282" w:lineRule="auto"/>
              <w:rPr>
                <w:rFonts w:ascii="Arial"/>
                <w:sz w:val="21"/>
              </w:rPr>
            </w:pPr>
            <w:r/>
          </w:p>
          <w:p>
            <w:pPr>
              <w:ind w:left="22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121" w:type="dxa"/>
            <w:vAlign w:val="top"/>
            <w:vMerge w:val="continue"/>
            <w:tcBorders>
              <w:top w:val="nil"/>
            </w:tcBorders>
          </w:tcPr>
          <w:p>
            <w:pPr>
              <w:rPr>
                <w:rFonts w:ascii="Arial"/>
                <w:sz w:val="21"/>
              </w:rPr>
            </w:pPr>
            <w:r/>
          </w:p>
        </w:tc>
        <w:tc>
          <w:tcPr>
            <w:tcW w:w="960" w:type="dxa"/>
            <w:vAlign w:val="top"/>
          </w:tcPr>
          <w:p>
            <w:pPr>
              <w:pStyle w:val="TableText"/>
              <w:ind w:left="66"/>
              <w:spacing w:before="171" w:line="228" w:lineRule="auto"/>
              <w:rPr/>
            </w:pPr>
            <w:r>
              <w:rPr>
                <w:spacing w:val="6"/>
              </w:rPr>
              <w:t>危废暂存</w:t>
            </w:r>
          </w:p>
          <w:p>
            <w:pPr>
              <w:pStyle w:val="TableText"/>
              <w:ind w:left="394"/>
              <w:spacing w:before="24" w:line="231" w:lineRule="auto"/>
              <w:rPr/>
            </w:pPr>
            <w:r>
              <w:rPr/>
              <w:t>间</w:t>
            </w:r>
          </w:p>
        </w:tc>
        <w:tc>
          <w:tcPr>
            <w:tcW w:w="1205" w:type="dxa"/>
            <w:vAlign w:val="top"/>
          </w:tcPr>
          <w:p>
            <w:pPr>
              <w:pStyle w:val="TableText"/>
              <w:ind w:left="187"/>
              <w:spacing w:before="305" w:line="228" w:lineRule="auto"/>
              <w:rPr/>
            </w:pPr>
            <w:r>
              <w:rPr>
                <w:spacing w:val="7"/>
              </w:rPr>
              <w:t>废矿物油</w:t>
            </w:r>
          </w:p>
        </w:tc>
        <w:tc>
          <w:tcPr>
            <w:tcW w:w="1292" w:type="dxa"/>
            <w:vAlign w:val="top"/>
          </w:tcPr>
          <w:p>
            <w:pPr>
              <w:pStyle w:val="TableText"/>
              <w:ind w:left="129"/>
              <w:spacing w:before="305" w:line="228" w:lineRule="auto"/>
              <w:rPr/>
            </w:pPr>
            <w:r>
              <w:rPr>
                <w:spacing w:val="7"/>
              </w:rPr>
              <w:t>泄露、火灾</w:t>
            </w:r>
          </w:p>
        </w:tc>
        <w:tc>
          <w:tcPr>
            <w:tcW w:w="1364" w:type="dxa"/>
            <w:vAlign w:val="top"/>
          </w:tcPr>
          <w:p>
            <w:pPr>
              <w:pStyle w:val="TableText"/>
              <w:ind w:left="57"/>
              <w:spacing w:before="34" w:line="228" w:lineRule="auto"/>
              <w:rPr/>
            </w:pPr>
            <w:r>
              <w:rPr>
                <w:spacing w:val="8"/>
              </w:rPr>
              <w:t>地下水、土壤</w:t>
            </w:r>
          </w:p>
          <w:p>
            <w:pPr>
              <w:pStyle w:val="TableText"/>
              <w:ind w:left="57"/>
              <w:spacing w:before="24" w:line="228" w:lineRule="auto"/>
              <w:rPr/>
            </w:pPr>
            <w:r>
              <w:rPr>
                <w:spacing w:val="8"/>
              </w:rPr>
              <w:t>环境、大气扩</w:t>
            </w:r>
          </w:p>
          <w:p>
            <w:pPr>
              <w:pStyle w:val="TableText"/>
              <w:ind w:left="582"/>
              <w:spacing w:before="26" w:line="217" w:lineRule="auto"/>
              <w:rPr/>
            </w:pPr>
            <w:r>
              <w:rPr>
                <w:spacing w:val="1"/>
              </w:rPr>
              <w:t>散</w:t>
            </w:r>
          </w:p>
        </w:tc>
        <w:tc>
          <w:tcPr>
            <w:tcW w:w="2072" w:type="dxa"/>
            <w:vAlign w:val="top"/>
          </w:tcPr>
          <w:p>
            <w:pPr>
              <w:pStyle w:val="TableText"/>
              <w:ind w:left="98"/>
              <w:spacing w:before="34" w:line="228" w:lineRule="auto"/>
              <w:rPr/>
            </w:pPr>
            <w:r>
              <w:rPr>
                <w:spacing w:val="8"/>
              </w:rPr>
              <w:t>周围企业办公生活区</w:t>
            </w:r>
          </w:p>
          <w:p>
            <w:pPr>
              <w:pStyle w:val="TableText"/>
              <w:ind w:left="121"/>
              <w:spacing w:before="24" w:line="228" w:lineRule="auto"/>
              <w:rPr/>
            </w:pPr>
            <w:r>
              <w:rPr>
                <w:spacing w:val="6"/>
              </w:rPr>
              <w:t>以及厂区及周边地下</w:t>
            </w:r>
          </w:p>
          <w:p>
            <w:pPr>
              <w:pStyle w:val="TableText"/>
              <w:ind w:left="203"/>
              <w:spacing w:before="26" w:line="217" w:lineRule="auto"/>
              <w:rPr/>
            </w:pPr>
            <w:r>
              <w:rPr>
                <w:spacing w:val="8"/>
              </w:rPr>
              <w:t>水环境和土壤环境</w:t>
            </w:r>
          </w:p>
        </w:tc>
      </w:tr>
    </w:tbl>
    <w:p>
      <w:pPr>
        <w:pStyle w:val="BodyText"/>
        <w:rPr/>
      </w:pPr>
      <w:r/>
    </w:p>
    <w:p>
      <w:pPr>
        <w:sectPr>
          <w:headerReference w:type="default" r:id="rId341"/>
          <w:footerReference w:type="default" r:id="rId342"/>
          <w:pgSz w:w="11907" w:h="16840"/>
          <w:pgMar w:top="1567" w:right="1668" w:bottom="1921" w:left="1668" w:header="1221" w:footer="1247" w:gutter="0"/>
        </w:sectPr>
        <w:rPr/>
      </w:pPr>
    </w:p>
    <w:p>
      <w:pPr>
        <w:spacing w:before="150" w:line="6706" w:lineRule="exact"/>
        <w:rPr/>
      </w:pPr>
      <w:r>
        <w:pict>
          <v:shape id="_x0000_s1142" style="position:absolute;margin-left:85.05pt;margin-top:79.11pt;mso-position-vertical-relative:page;mso-position-horizontal-relative:page;width:425.25pt;height:0.75pt;z-index:252239872;" o:allowincell="f" fillcolor="#000000" filled="true" stroked="false" coordsize="8505,15" coordorigin="0,0" path="m,l8505,0l8505,14l0,14l0,0xe"/>
        </w:pict>
      </w:r>
      <w:r>
        <w:rPr>
          <w:position w:val="-134"/>
        </w:rPr>
        <w:drawing>
          <wp:inline distT="0" distB="0" distL="0" distR="0">
            <wp:extent cx="5393435" cy="4258055"/>
            <wp:effectExtent l="0" t="0" r="0" b="0"/>
            <wp:docPr id="212" name="IM 212"/>
            <wp:cNvGraphicFramePr/>
            <a:graphic>
              <a:graphicData uri="http://schemas.openxmlformats.org/drawingml/2006/picture">
                <pic:pic>
                  <pic:nvPicPr>
                    <pic:cNvPr id="212" name="IM 212"/>
                    <pic:cNvPicPr/>
                  </pic:nvPicPr>
                  <pic:blipFill>
                    <a:blip r:embed="rId343"/>
                    <a:stretch>
                      <a:fillRect/>
                    </a:stretch>
                  </pic:blipFill>
                  <pic:spPr>
                    <a:xfrm rot="0">
                      <a:off x="0" y="0"/>
                      <a:ext cx="5393435" cy="4258055"/>
                    </a:xfrm>
                    <a:prstGeom prst="rect">
                      <a:avLst/>
                    </a:prstGeom>
                  </pic:spPr>
                </pic:pic>
              </a:graphicData>
            </a:graphic>
          </wp:inline>
        </w:drawing>
      </w:r>
    </w:p>
    <w:p>
      <w:pPr>
        <w:ind w:left="1384"/>
        <w:spacing w:before="34" w:line="219" w:lineRule="auto"/>
        <w:rPr>
          <w:rFonts w:ascii="SimSun" w:hAnsi="SimSun" w:eastAsia="SimSun" w:cs="SimSun"/>
          <w:sz w:val="24"/>
          <w:szCs w:val="24"/>
        </w:rPr>
      </w:pPr>
      <w:r>
        <w:rPr>
          <w:rFonts w:ascii="SimSun" w:hAnsi="SimSun" w:eastAsia="SimSun" w:cs="SimSun"/>
          <w:sz w:val="24"/>
          <w:szCs w:val="24"/>
          <w:b/>
          <w:bCs/>
          <w:spacing w:val="-2"/>
        </w:rPr>
        <w:t>图</w:t>
      </w:r>
      <w:r>
        <w:rPr>
          <w:rFonts w:ascii="Times New Roman" w:hAnsi="Times New Roman" w:eastAsia="Times New Roman" w:cs="Times New Roman"/>
          <w:sz w:val="24"/>
          <w:szCs w:val="24"/>
          <w:b/>
          <w:bCs/>
          <w:spacing w:val="-2"/>
        </w:rPr>
        <w:t>6.4-1        </w:t>
      </w:r>
      <w:r>
        <w:rPr>
          <w:rFonts w:ascii="SimSun" w:hAnsi="SimSun" w:eastAsia="SimSun" w:cs="SimSun"/>
          <w:sz w:val="24"/>
          <w:szCs w:val="24"/>
          <w:b/>
          <w:bCs/>
          <w:spacing w:val="-2"/>
        </w:rPr>
        <w:t>本项目厂区内环境风险单元分布情况示意图</w:t>
      </w:r>
    </w:p>
    <w:p>
      <w:pPr>
        <w:pStyle w:val="BodyText"/>
        <w:spacing w:line="248" w:lineRule="auto"/>
        <w:rPr/>
      </w:pPr>
      <w:r/>
    </w:p>
    <w:p>
      <w:pPr>
        <w:ind w:left="13"/>
        <w:spacing w:before="98" w:line="222" w:lineRule="auto"/>
        <w:outlineLvl w:val="1"/>
        <w:rPr>
          <w:rFonts w:ascii="SimHei" w:hAnsi="SimHei" w:eastAsia="SimHei" w:cs="SimHei"/>
          <w:sz w:val="30"/>
          <w:szCs w:val="30"/>
        </w:rPr>
      </w:pPr>
      <w:bookmarkStart w:name="bookmark133" w:id="164"/>
      <w:bookmarkEnd w:id="164"/>
      <w:r>
        <w:rPr>
          <w:rFonts w:ascii="Times New Roman" w:hAnsi="Times New Roman" w:eastAsia="Times New Roman" w:cs="Times New Roman"/>
          <w:sz w:val="30"/>
          <w:szCs w:val="30"/>
          <w:spacing w:val="-1"/>
        </w:rPr>
        <w:t>6.5 </w:t>
      </w:r>
      <w:r>
        <w:rPr>
          <w:rFonts w:ascii="SimHei" w:hAnsi="SimHei" w:eastAsia="SimHei" w:cs="SimHei"/>
          <w:sz w:val="30"/>
          <w:szCs w:val="30"/>
          <w:spacing w:val="-1"/>
        </w:rPr>
        <w:t>大气环境风险事故影响分析</w:t>
      </w:r>
    </w:p>
    <w:p>
      <w:pPr>
        <w:pStyle w:val="BodyText"/>
        <w:spacing w:line="282" w:lineRule="auto"/>
        <w:rPr/>
      </w:pPr>
      <w:r/>
    </w:p>
    <w:p>
      <w:pPr>
        <w:ind w:left="12"/>
        <w:spacing w:before="91" w:line="222" w:lineRule="auto"/>
        <w:outlineLvl w:val="2"/>
        <w:rPr>
          <w:rFonts w:ascii="SimHei" w:hAnsi="SimHei" w:eastAsia="SimHei" w:cs="SimHei"/>
          <w:sz w:val="28"/>
          <w:szCs w:val="28"/>
        </w:rPr>
      </w:pPr>
      <w:bookmarkStart w:name="bookmark134" w:id="165"/>
      <w:bookmarkEnd w:id="165"/>
      <w:r>
        <w:rPr>
          <w:rFonts w:ascii="Times New Roman" w:hAnsi="Times New Roman" w:eastAsia="Times New Roman" w:cs="Times New Roman"/>
          <w:sz w:val="28"/>
          <w:szCs w:val="28"/>
          <w:spacing w:val="-1"/>
        </w:rPr>
        <w:t>6.5.1 </w:t>
      </w:r>
      <w:r>
        <w:rPr>
          <w:rFonts w:ascii="SimHei" w:hAnsi="SimHei" w:eastAsia="SimHei" w:cs="SimHei"/>
          <w:sz w:val="28"/>
          <w:szCs w:val="28"/>
          <w:spacing w:val="-1"/>
        </w:rPr>
        <w:t>事故类比调查</w:t>
      </w:r>
    </w:p>
    <w:p>
      <w:pPr>
        <w:pStyle w:val="BodyText"/>
        <w:spacing w:line="243" w:lineRule="auto"/>
        <w:rPr/>
      </w:pPr>
      <w:r/>
    </w:p>
    <w:p>
      <w:pPr>
        <w:ind w:left="501"/>
        <w:spacing w:before="78"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）沼气事故</w:t>
      </w:r>
    </w:p>
    <w:p>
      <w:pPr>
        <w:ind w:left="37" w:right="61" w:firstLine="448"/>
        <w:spacing w:before="182" w:line="358" w:lineRule="auto"/>
        <w:rPr>
          <w:rFonts w:ascii="SimSun" w:hAnsi="SimSun" w:eastAsia="SimSun" w:cs="SimSun"/>
          <w:sz w:val="24"/>
          <w:szCs w:val="24"/>
        </w:rPr>
      </w:pPr>
      <w:r>
        <w:rPr>
          <w:rFonts w:ascii="Times New Roman" w:hAnsi="Times New Roman" w:eastAsia="Times New Roman" w:cs="Times New Roman"/>
          <w:sz w:val="24"/>
          <w:szCs w:val="24"/>
          <w:spacing w:val="-5"/>
        </w:rPr>
        <w:t>2017 </w:t>
      </w:r>
      <w:r>
        <w:rPr>
          <w:rFonts w:ascii="SimSun" w:hAnsi="SimSun" w:eastAsia="SimSun" w:cs="SimSun"/>
          <w:sz w:val="24"/>
          <w:szCs w:val="24"/>
          <w:spacing w:val="-5"/>
        </w:rPr>
        <w:t>年</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5"/>
        </w:rPr>
        <w:t>5</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13  </w:t>
      </w:r>
      <w:r>
        <w:rPr>
          <w:rFonts w:ascii="SimSun" w:hAnsi="SimSun" w:eastAsia="SimSun" w:cs="SimSun"/>
          <w:sz w:val="24"/>
          <w:szCs w:val="24"/>
          <w:spacing w:val="-5"/>
        </w:rPr>
        <w:t>日，广东潮州市饶平县，一村民王某因疏通堵塞管道，</w:t>
      </w:r>
      <w:r>
        <w:rPr>
          <w:rFonts w:ascii="SimSun" w:hAnsi="SimSun" w:eastAsia="SimSun" w:cs="SimSun"/>
          <w:sz w:val="24"/>
          <w:szCs w:val="24"/>
          <w:spacing w:val="-6"/>
        </w:rPr>
        <w:t>在场的</w:t>
      </w:r>
      <w:r>
        <w:rPr>
          <w:rFonts w:ascii="SimSun" w:hAnsi="SimSun" w:eastAsia="SimSun" w:cs="SimSun"/>
          <w:sz w:val="24"/>
          <w:szCs w:val="24"/>
        </w:rPr>
        <w:t xml:space="preserve"> </w:t>
      </w:r>
      <w:r>
        <w:rPr>
          <w:rFonts w:ascii="SimSun" w:hAnsi="SimSun" w:eastAsia="SimSun" w:cs="SimSun"/>
          <w:sz w:val="24"/>
          <w:szCs w:val="24"/>
          <w:spacing w:val="1"/>
        </w:rPr>
        <w:t>以及随后赶来的</w:t>
      </w:r>
      <w:r>
        <w:rPr>
          <w:rFonts w:ascii="Times New Roman" w:hAnsi="Times New Roman" w:eastAsia="Times New Roman" w:cs="Times New Roman"/>
          <w:sz w:val="24"/>
          <w:szCs w:val="24"/>
          <w:spacing w:val="1"/>
        </w:rPr>
        <w:t>5 </w:t>
      </w:r>
      <w:r>
        <w:rPr>
          <w:rFonts w:ascii="SimSun" w:hAnsi="SimSun" w:eastAsia="SimSun" w:cs="SimSun"/>
          <w:sz w:val="24"/>
          <w:szCs w:val="24"/>
          <w:spacing w:val="1"/>
        </w:rPr>
        <w:t>人先后下池施救，该事件导致</w:t>
      </w:r>
      <w:r>
        <w:rPr>
          <w:rFonts w:ascii="SimSun" w:hAnsi="SimSun" w:eastAsia="SimSun" w:cs="SimSun"/>
          <w:sz w:val="24"/>
          <w:szCs w:val="24"/>
        </w:rPr>
        <w:t>六人死亡。</w:t>
      </w:r>
    </w:p>
    <w:p>
      <w:pPr>
        <w:ind w:left="14" w:right="61" w:firstLine="470"/>
        <w:spacing w:line="359" w:lineRule="auto"/>
        <w:rPr>
          <w:rFonts w:ascii="SimSun" w:hAnsi="SimSun" w:eastAsia="SimSun" w:cs="SimSun"/>
          <w:sz w:val="24"/>
          <w:szCs w:val="24"/>
        </w:rPr>
      </w:pPr>
      <w:r>
        <w:rPr>
          <w:rFonts w:ascii="Times New Roman" w:hAnsi="Times New Roman" w:eastAsia="Times New Roman" w:cs="Times New Roman"/>
          <w:sz w:val="24"/>
          <w:szCs w:val="24"/>
          <w:spacing w:val="-5"/>
        </w:rPr>
        <w:t>2017 </w:t>
      </w:r>
      <w:r>
        <w:rPr>
          <w:rFonts w:ascii="SimSun" w:hAnsi="SimSun" w:eastAsia="SimSun" w:cs="SimSun"/>
          <w:sz w:val="24"/>
          <w:szCs w:val="24"/>
          <w:spacing w:val="-5"/>
        </w:rPr>
        <w:t>年</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5"/>
        </w:rPr>
        <w:t>5</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17  </w:t>
      </w:r>
      <w:r>
        <w:rPr>
          <w:rFonts w:ascii="SimSun" w:hAnsi="SimSun" w:eastAsia="SimSun" w:cs="SimSun"/>
          <w:sz w:val="24"/>
          <w:szCs w:val="24"/>
          <w:spacing w:val="-5"/>
        </w:rPr>
        <w:t>日，大连旅顺有村民下沼气池去疏通，结果晕倒，后多</w:t>
      </w:r>
      <w:r>
        <w:rPr>
          <w:rFonts w:ascii="SimSun" w:hAnsi="SimSun" w:eastAsia="SimSun" w:cs="SimSun"/>
          <w:sz w:val="24"/>
          <w:szCs w:val="24"/>
          <w:spacing w:val="-6"/>
        </w:rPr>
        <w:t>人在参</w:t>
      </w:r>
      <w:r>
        <w:rPr>
          <w:rFonts w:ascii="SimSun" w:hAnsi="SimSun" w:eastAsia="SimSun" w:cs="SimSun"/>
          <w:sz w:val="24"/>
          <w:szCs w:val="24"/>
        </w:rPr>
        <w:t xml:space="preserve"> </w:t>
      </w:r>
      <w:r>
        <w:rPr>
          <w:rFonts w:ascii="SimSun" w:hAnsi="SimSun" w:eastAsia="SimSun" w:cs="SimSun"/>
          <w:sz w:val="24"/>
          <w:szCs w:val="24"/>
          <w:spacing w:val="-1"/>
        </w:rPr>
        <w:t>与施救过程中掉入池中，造成</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8 </w:t>
      </w:r>
      <w:r>
        <w:rPr>
          <w:rFonts w:ascii="SimSun" w:hAnsi="SimSun" w:eastAsia="SimSun" w:cs="SimSun"/>
          <w:sz w:val="24"/>
          <w:szCs w:val="24"/>
          <w:spacing w:val="-1"/>
        </w:rPr>
        <w:t>名村民死亡，</w:t>
      </w:r>
      <w:r>
        <w:rPr>
          <w:rFonts w:ascii="Times New Roman" w:hAnsi="Times New Roman" w:eastAsia="Times New Roman" w:cs="Times New Roman"/>
          <w:sz w:val="24"/>
          <w:szCs w:val="24"/>
          <w:spacing w:val="-1"/>
        </w:rPr>
        <w:t>2 </w:t>
      </w:r>
      <w:r>
        <w:rPr>
          <w:rFonts w:ascii="SimSun" w:hAnsi="SimSun" w:eastAsia="SimSun" w:cs="SimSun"/>
          <w:sz w:val="24"/>
          <w:szCs w:val="24"/>
          <w:spacing w:val="-1"/>
        </w:rPr>
        <w:t>人</w:t>
      </w:r>
      <w:r>
        <w:rPr>
          <w:rFonts w:ascii="SimSun" w:hAnsi="SimSun" w:eastAsia="SimSun" w:cs="SimSun"/>
          <w:sz w:val="24"/>
          <w:szCs w:val="24"/>
          <w:spacing w:val="-2"/>
        </w:rPr>
        <w:t>受伤。</w:t>
      </w:r>
    </w:p>
    <w:p>
      <w:pPr>
        <w:ind w:left="9" w:firstLine="475"/>
        <w:spacing w:before="3" w:line="359" w:lineRule="auto"/>
        <w:jc w:val="both"/>
        <w:rPr>
          <w:rFonts w:ascii="SimSun" w:hAnsi="SimSun" w:eastAsia="SimSun" w:cs="SimSun"/>
          <w:sz w:val="24"/>
          <w:szCs w:val="24"/>
        </w:rPr>
      </w:pPr>
      <w:r>
        <w:rPr>
          <w:rFonts w:ascii="Times New Roman" w:hAnsi="Times New Roman" w:eastAsia="Times New Roman" w:cs="Times New Roman"/>
          <w:sz w:val="24"/>
          <w:szCs w:val="24"/>
          <w:spacing w:val="-3"/>
        </w:rPr>
        <w:t>2017 </w:t>
      </w:r>
      <w:r>
        <w:rPr>
          <w:rFonts w:ascii="SimSun" w:hAnsi="SimSun" w:eastAsia="SimSun" w:cs="SimSun"/>
          <w:sz w:val="24"/>
          <w:szCs w:val="24"/>
          <w:spacing w:val="-3"/>
        </w:rPr>
        <w:t>年</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3"/>
        </w:rPr>
        <w:t>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月</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3"/>
        </w:rPr>
        <w:t>29  </w:t>
      </w:r>
      <w:r>
        <w:rPr>
          <w:rFonts w:ascii="SimSun" w:hAnsi="SimSun" w:eastAsia="SimSun" w:cs="SimSun"/>
          <w:sz w:val="24"/>
          <w:szCs w:val="24"/>
          <w:spacing w:val="-3"/>
        </w:rPr>
        <w:t>日晚间</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3"/>
        </w:rPr>
        <w:t>19</w:t>
      </w:r>
      <w:r>
        <w:rPr>
          <w:rFonts w:ascii="Times New Roman" w:hAnsi="Times New Roman" w:eastAsia="Times New Roman" w:cs="Times New Roman"/>
          <w:sz w:val="24"/>
          <w:szCs w:val="24"/>
          <w:spacing w:val="21"/>
          <w:w w:val="101"/>
        </w:rPr>
        <w:t xml:space="preserve"> </w:t>
      </w:r>
      <w:r>
        <w:rPr>
          <w:rFonts w:ascii="SimSun" w:hAnsi="SimSun" w:eastAsia="SimSun" w:cs="SimSun"/>
          <w:sz w:val="24"/>
          <w:szCs w:val="24"/>
          <w:spacing w:val="-3"/>
        </w:rPr>
        <w:t>时许，重庆奉节县白帝镇</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3 </w:t>
      </w:r>
      <w:r>
        <w:rPr>
          <w:rFonts w:ascii="SimSun" w:hAnsi="SimSun" w:eastAsia="SimSun" w:cs="SimSun"/>
          <w:sz w:val="24"/>
          <w:szCs w:val="24"/>
          <w:spacing w:val="-3"/>
        </w:rPr>
        <w:t>人在清理沼气池内杂物</w:t>
      </w:r>
      <w:r>
        <w:rPr>
          <w:rFonts w:ascii="SimSun" w:hAnsi="SimSun" w:eastAsia="SimSun" w:cs="SimSun"/>
          <w:sz w:val="24"/>
          <w:szCs w:val="24"/>
        </w:rPr>
        <w:t xml:space="preserve"> </w:t>
      </w:r>
      <w:r>
        <w:rPr>
          <w:rFonts w:ascii="SimSun" w:hAnsi="SimSun" w:eastAsia="SimSun" w:cs="SimSun"/>
          <w:sz w:val="24"/>
          <w:szCs w:val="24"/>
          <w:spacing w:val="3"/>
        </w:rPr>
        <w:t>时晕倒在池内。据现场群众介绍，事发时，先是一人未</w:t>
      </w:r>
      <w:r>
        <w:rPr>
          <w:rFonts w:ascii="SimSun" w:hAnsi="SimSun" w:eastAsia="SimSun" w:cs="SimSun"/>
          <w:sz w:val="24"/>
          <w:szCs w:val="24"/>
          <w:spacing w:val="2"/>
        </w:rPr>
        <w:t>做防护措施便下到沼气池</w:t>
      </w:r>
      <w:r>
        <w:rPr>
          <w:rFonts w:ascii="SimSun" w:hAnsi="SimSun" w:eastAsia="SimSun" w:cs="SimSun"/>
          <w:sz w:val="24"/>
          <w:szCs w:val="24"/>
        </w:rPr>
        <w:t xml:space="preserve"> </w:t>
      </w:r>
      <w:r>
        <w:rPr>
          <w:rFonts w:ascii="SimSun" w:hAnsi="SimSun" w:eastAsia="SimSun" w:cs="SimSun"/>
          <w:sz w:val="24"/>
          <w:szCs w:val="24"/>
          <w:spacing w:val="-2"/>
        </w:rPr>
        <w:t>清理杂物，因没有关闭电源造成触电，另外两人在</w:t>
      </w:r>
      <w:r>
        <w:rPr>
          <w:rFonts w:ascii="SimSun" w:hAnsi="SimSun" w:eastAsia="SimSun" w:cs="SimSun"/>
          <w:sz w:val="24"/>
          <w:szCs w:val="24"/>
          <w:spacing w:val="-3"/>
        </w:rPr>
        <w:t>营救过程中，也因接触到漏电，</w:t>
      </w:r>
      <w:r>
        <w:rPr>
          <w:rFonts w:ascii="SimSun" w:hAnsi="SimSun" w:eastAsia="SimSun" w:cs="SimSun"/>
          <w:sz w:val="24"/>
          <w:szCs w:val="24"/>
        </w:rPr>
        <w:t xml:space="preserve"> </w:t>
      </w:r>
      <w:r>
        <w:rPr>
          <w:rFonts w:ascii="SimSun" w:hAnsi="SimSun" w:eastAsia="SimSun" w:cs="SimSun"/>
          <w:sz w:val="24"/>
          <w:szCs w:val="24"/>
        </w:rPr>
        <w:t>跌入沼气池。虽经全力抢救，但因长时间吸入过多毒</w:t>
      </w:r>
      <w:r>
        <w:rPr>
          <w:rFonts w:ascii="SimSun" w:hAnsi="SimSun" w:eastAsia="SimSun" w:cs="SimSun"/>
          <w:sz w:val="24"/>
          <w:szCs w:val="24"/>
          <w:spacing w:val="-1"/>
        </w:rPr>
        <w:t>气，</w:t>
      </w:r>
      <w:r>
        <w:rPr>
          <w:rFonts w:ascii="Times New Roman" w:hAnsi="Times New Roman" w:eastAsia="Times New Roman" w:cs="Times New Roman"/>
          <w:sz w:val="24"/>
          <w:szCs w:val="24"/>
          <w:spacing w:val="-1"/>
        </w:rPr>
        <w:t>3 </w:t>
      </w:r>
      <w:r>
        <w:rPr>
          <w:rFonts w:ascii="SimSun" w:hAnsi="SimSun" w:eastAsia="SimSun" w:cs="SimSun"/>
          <w:sz w:val="24"/>
          <w:szCs w:val="24"/>
          <w:spacing w:val="-1"/>
        </w:rPr>
        <w:t>人仍不幸身亡。</w:t>
      </w:r>
    </w:p>
    <w:p>
      <w:pPr>
        <w:ind w:left="485"/>
        <w:spacing w:line="219" w:lineRule="auto"/>
        <w:rPr>
          <w:rFonts w:ascii="SimSun" w:hAnsi="SimSun" w:eastAsia="SimSun" w:cs="SimSun"/>
          <w:sz w:val="24"/>
          <w:szCs w:val="24"/>
        </w:rPr>
      </w:pPr>
      <w:r>
        <w:rPr>
          <w:rFonts w:ascii="Times New Roman" w:hAnsi="Times New Roman" w:eastAsia="Times New Roman" w:cs="Times New Roman"/>
          <w:sz w:val="24"/>
          <w:szCs w:val="24"/>
          <w:spacing w:val="-2"/>
        </w:rPr>
        <w:t>2017 </w:t>
      </w:r>
      <w:r>
        <w:rPr>
          <w:rFonts w:ascii="SimSun" w:hAnsi="SimSun" w:eastAsia="SimSun" w:cs="SimSun"/>
          <w:sz w:val="24"/>
          <w:szCs w:val="24"/>
          <w:spacing w:val="-2"/>
        </w:rPr>
        <w:t>年</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月</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8  </w:t>
      </w:r>
      <w:r>
        <w:rPr>
          <w:rFonts w:ascii="SimSun" w:hAnsi="SimSun" w:eastAsia="SimSun" w:cs="SimSun"/>
          <w:sz w:val="24"/>
          <w:szCs w:val="24"/>
          <w:spacing w:val="-2"/>
        </w:rPr>
        <w:t>日晚</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7</w:t>
      </w:r>
      <w:r>
        <w:rPr>
          <w:rFonts w:ascii="Times New Roman" w:hAnsi="Times New Roman" w:eastAsia="Times New Roman" w:cs="Times New Roman"/>
          <w:sz w:val="24"/>
          <w:szCs w:val="24"/>
          <w:spacing w:val="21"/>
          <w:w w:val="101"/>
        </w:rPr>
        <w:t xml:space="preserve"> </w:t>
      </w:r>
      <w:r>
        <w:rPr>
          <w:rFonts w:ascii="SimSun" w:hAnsi="SimSun" w:eastAsia="SimSun" w:cs="SimSun"/>
          <w:sz w:val="24"/>
          <w:szCs w:val="24"/>
          <w:spacing w:val="-2"/>
        </w:rPr>
        <w:t>点左右，重庆涪陵焦石镇</w:t>
      </w:r>
      <w:r>
        <w:rPr>
          <w:rFonts w:ascii="SimSun" w:hAnsi="SimSun" w:eastAsia="SimSun" w:cs="SimSun"/>
          <w:sz w:val="24"/>
          <w:szCs w:val="24"/>
          <w:spacing w:val="-3"/>
        </w:rPr>
        <w:t>发生了一起沼气中毒事件，有</w:t>
      </w:r>
    </w:p>
    <w:p>
      <w:pPr>
        <w:pStyle w:val="BodyText"/>
        <w:spacing w:line="320" w:lineRule="auto"/>
        <w:rPr/>
      </w:pPr>
      <w:r/>
    </w:p>
    <w:p>
      <w:pPr>
        <w:ind w:left="7"/>
        <w:spacing w:before="63" w:line="227" w:lineRule="auto"/>
        <w:rPr>
          <w:rFonts w:ascii="SimSun" w:hAnsi="SimSun" w:eastAsia="SimSun" w:cs="SimSun"/>
          <w:sz w:val="19"/>
          <w:szCs w:val="19"/>
        </w:rPr>
      </w:pPr>
      <w:r>
        <w:pict>
          <v:shape id="_x0000_s1144" style="position:absolute;margin-left:159.33pt;margin-top:2.10459pt;mso-position-vertical-relative:text;mso-position-horizontal-relative:text;width:61pt;height:13.75pt;z-index:252238848;"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247</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6"/>
          <w:footerReference w:type="default" r:id="rId3"/>
          <w:pgSz w:w="11907" w:h="16840"/>
          <w:pgMar w:top="1567" w:right="1640" w:bottom="400" w:left="1701" w:header="1221" w:footer="0" w:gutter="0"/>
        </w:sectPr>
        <w:rPr>
          <w:rFonts w:ascii="SimSun" w:hAnsi="SimSun" w:eastAsia="SimSun" w:cs="SimSun"/>
          <w:sz w:val="19"/>
          <w:szCs w:val="19"/>
        </w:rPr>
      </w:pPr>
    </w:p>
    <w:p>
      <w:pPr>
        <w:ind w:left="32"/>
        <w:spacing w:before="169" w:line="219" w:lineRule="auto"/>
        <w:rPr>
          <w:rFonts w:ascii="SimSun" w:hAnsi="SimSun" w:eastAsia="SimSun" w:cs="SimSun"/>
          <w:sz w:val="24"/>
          <w:szCs w:val="24"/>
        </w:rPr>
      </w:pPr>
      <w:r>
        <w:pict>
          <v:shape id="_x0000_s1146" style="position:absolute;margin-left:85.05pt;margin-top:78.87pt;mso-position-vertical-relative:page;mso-position-horizontal-relative:page;width:425.25pt;height:0.75pt;z-index:252241920;" o:allowincell="f" fillcolor="#000000" filled="true" stroked="false" coordsize="8505,15" coordorigin="0,0" path="m,l8505,0l8505,14l0,14l0,0xe"/>
        </w:pict>
      </w:r>
      <w:r>
        <w:rPr>
          <w:rFonts w:ascii="SimSun" w:hAnsi="SimSun" w:eastAsia="SimSun" w:cs="SimSun"/>
          <w:sz w:val="24"/>
          <w:szCs w:val="24"/>
          <w:spacing w:val="-3"/>
        </w:rPr>
        <w:t>四人因中毒过深而死亡。</w:t>
      </w:r>
    </w:p>
    <w:p>
      <w:pPr>
        <w:ind w:left="10" w:right="80" w:firstLine="474"/>
        <w:spacing w:before="180" w:line="359" w:lineRule="auto"/>
        <w:rPr>
          <w:rFonts w:ascii="SimSun" w:hAnsi="SimSun" w:eastAsia="SimSun" w:cs="SimSun"/>
          <w:sz w:val="24"/>
          <w:szCs w:val="24"/>
        </w:rPr>
      </w:pPr>
      <w:r>
        <w:rPr>
          <w:rFonts w:ascii="Times New Roman" w:hAnsi="Times New Roman" w:eastAsia="Times New Roman" w:cs="Times New Roman"/>
          <w:sz w:val="24"/>
          <w:szCs w:val="24"/>
          <w:spacing w:val="-3"/>
        </w:rPr>
        <w:t>2017 </w:t>
      </w:r>
      <w:r>
        <w:rPr>
          <w:rFonts w:ascii="SimSun" w:hAnsi="SimSun" w:eastAsia="SimSun" w:cs="SimSun"/>
          <w:sz w:val="24"/>
          <w:szCs w:val="24"/>
          <w:spacing w:val="-3"/>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12  </w:t>
      </w:r>
      <w:r>
        <w:rPr>
          <w:rFonts w:ascii="SimSun" w:hAnsi="SimSun" w:eastAsia="SimSun" w:cs="SimSun"/>
          <w:sz w:val="24"/>
          <w:szCs w:val="24"/>
          <w:spacing w:val="-3"/>
        </w:rPr>
        <w:t>日，广西平果县新安镇汤</w:t>
      </w:r>
      <w:r>
        <w:rPr>
          <w:rFonts w:ascii="SimSun" w:hAnsi="SimSun" w:eastAsia="SimSun" w:cs="SimSun"/>
          <w:sz w:val="24"/>
          <w:szCs w:val="24"/>
          <w:spacing w:val="-4"/>
        </w:rPr>
        <w:t>那村黄胎屯发生一起突发事件，</w:t>
      </w:r>
      <w:r>
        <w:rPr>
          <w:rFonts w:ascii="Times New Roman" w:hAnsi="Times New Roman" w:eastAsia="Times New Roman" w:cs="Times New Roman"/>
          <w:sz w:val="24"/>
          <w:szCs w:val="24"/>
          <w:spacing w:val="-4"/>
        </w:rPr>
        <w:t>9 </w:t>
      </w:r>
      <w:r>
        <w:rPr>
          <w:rFonts w:ascii="SimSun" w:hAnsi="SimSun" w:eastAsia="SimSun" w:cs="SimSun"/>
          <w:sz w:val="24"/>
          <w:szCs w:val="24"/>
          <w:spacing w:val="-4"/>
        </w:rPr>
        <w:t>名</w:t>
      </w:r>
      <w:r>
        <w:rPr>
          <w:rFonts w:ascii="SimSun" w:hAnsi="SimSun" w:eastAsia="SimSun" w:cs="SimSun"/>
          <w:sz w:val="24"/>
          <w:szCs w:val="24"/>
        </w:rPr>
        <w:t xml:space="preserve"> </w:t>
      </w:r>
      <w:r>
        <w:rPr>
          <w:rFonts w:ascii="SimSun" w:hAnsi="SimSun" w:eastAsia="SimSun" w:cs="SimSun"/>
          <w:sz w:val="24"/>
          <w:szCs w:val="24"/>
          <w:spacing w:val="-1"/>
        </w:rPr>
        <w:t>村民被困晕倒水池内，后经抢救无效死亡。</w:t>
      </w:r>
    </w:p>
    <w:p>
      <w:pPr>
        <w:ind w:left="501"/>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）羊毛仓库火灾事故</w:t>
      </w:r>
    </w:p>
    <w:p>
      <w:pPr>
        <w:ind w:left="488"/>
        <w:spacing w:before="183" w:line="217" w:lineRule="auto"/>
        <w:rPr>
          <w:rFonts w:ascii="SimSun" w:hAnsi="SimSun" w:eastAsia="SimSun" w:cs="SimSun"/>
          <w:sz w:val="24"/>
          <w:szCs w:val="24"/>
        </w:rPr>
      </w:pPr>
      <w:r>
        <w:rPr>
          <w:rFonts w:ascii="SimSun" w:hAnsi="SimSun" w:eastAsia="SimSun" w:cs="SimSun"/>
          <w:sz w:val="24"/>
          <w:szCs w:val="24"/>
          <w:spacing w:val="-2"/>
        </w:rPr>
        <w:t>①事故及处置过程</w:t>
      </w:r>
    </w:p>
    <w:p>
      <w:pPr>
        <w:ind w:left="8" w:right="78" w:firstLine="477"/>
        <w:spacing w:before="184" w:line="359" w:lineRule="auto"/>
        <w:jc w:val="both"/>
        <w:rPr>
          <w:rFonts w:ascii="SimSun" w:hAnsi="SimSun" w:eastAsia="SimSun" w:cs="SimSun"/>
          <w:sz w:val="24"/>
          <w:szCs w:val="24"/>
        </w:rPr>
      </w:pPr>
      <w:r>
        <w:rPr>
          <w:rFonts w:ascii="Times New Roman" w:hAnsi="Times New Roman" w:eastAsia="Times New Roman" w:cs="Times New Roman"/>
          <w:sz w:val="24"/>
          <w:szCs w:val="24"/>
          <w:spacing w:val="-3"/>
        </w:rPr>
        <w:t>2022 </w:t>
      </w:r>
      <w:r>
        <w:rPr>
          <w:rFonts w:ascii="SimSun" w:hAnsi="SimSun" w:eastAsia="SimSun" w:cs="SimSun"/>
          <w:sz w:val="24"/>
          <w:szCs w:val="24"/>
          <w:spacing w:val="-3"/>
        </w:rPr>
        <w:t>年</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月</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3"/>
        </w:rPr>
        <w:t>25  </w:t>
      </w:r>
      <w:r>
        <w:rPr>
          <w:rFonts w:ascii="SimSun" w:hAnsi="SimSun" w:eastAsia="SimSun" w:cs="SimSun"/>
          <w:sz w:val="24"/>
          <w:szCs w:val="24"/>
          <w:spacing w:val="-3"/>
        </w:rPr>
        <w:t>日</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w:t>
      </w:r>
      <w:r>
        <w:rPr>
          <w:rFonts w:ascii="Times New Roman" w:hAnsi="Times New Roman" w:eastAsia="Times New Roman" w:cs="Times New Roman"/>
          <w:sz w:val="24"/>
          <w:szCs w:val="24"/>
          <w:spacing w:val="23"/>
          <w:w w:val="101"/>
        </w:rPr>
        <w:t xml:space="preserve"> </w:t>
      </w:r>
      <w:r>
        <w:rPr>
          <w:rFonts w:ascii="SimSun" w:hAnsi="SimSun" w:eastAsia="SimSun" w:cs="SimSun"/>
          <w:sz w:val="24"/>
          <w:szCs w:val="24"/>
          <w:spacing w:val="-3"/>
        </w:rPr>
        <w:t>时左右，桐乡经济开发区凤翔东路</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71</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3"/>
        </w:rPr>
        <w:t>号浙江高和羊毛科</w:t>
      </w:r>
      <w:r>
        <w:rPr>
          <w:rFonts w:ascii="SimSun" w:hAnsi="SimSun" w:eastAsia="SimSun" w:cs="SimSun"/>
          <w:sz w:val="24"/>
          <w:szCs w:val="24"/>
        </w:rPr>
        <w:t xml:space="preserve"> </w:t>
      </w:r>
      <w:r>
        <w:rPr>
          <w:rFonts w:ascii="SimSun" w:hAnsi="SimSun" w:eastAsia="SimSun" w:cs="SimSun"/>
          <w:sz w:val="24"/>
          <w:szCs w:val="24"/>
          <w:spacing w:val="3"/>
        </w:rPr>
        <w:t>技有限公司羊毛仓库起火，接警后，当地应急、消防等相关</w:t>
      </w:r>
      <w:r>
        <w:rPr>
          <w:rFonts w:ascii="SimSun" w:hAnsi="SimSun" w:eastAsia="SimSun" w:cs="SimSun"/>
          <w:sz w:val="24"/>
          <w:szCs w:val="24"/>
          <w:spacing w:val="2"/>
        </w:rPr>
        <w:t>部门立即赶赴现场处</w:t>
      </w:r>
      <w:r>
        <w:rPr>
          <w:rFonts w:ascii="SimSun" w:hAnsi="SimSun" w:eastAsia="SimSun" w:cs="SimSun"/>
          <w:sz w:val="24"/>
          <w:szCs w:val="24"/>
        </w:rPr>
        <w:t xml:space="preserve"> </w:t>
      </w:r>
      <w:r>
        <w:rPr>
          <w:rFonts w:ascii="SimSun" w:hAnsi="SimSun" w:eastAsia="SimSun" w:cs="SimSun"/>
          <w:sz w:val="24"/>
          <w:szCs w:val="24"/>
          <w:spacing w:val="-1"/>
        </w:rPr>
        <w:t>置，火势迅速得到控制，无人员伤亡。</w:t>
      </w:r>
    </w:p>
    <w:p>
      <w:pPr>
        <w:ind w:left="10" w:firstLine="494"/>
        <w:spacing w:before="1" w:line="359" w:lineRule="auto"/>
        <w:jc w:val="both"/>
        <w:rPr>
          <w:rFonts w:ascii="SimSun" w:hAnsi="SimSun" w:eastAsia="SimSun" w:cs="SimSun"/>
          <w:sz w:val="24"/>
          <w:szCs w:val="24"/>
        </w:rPr>
      </w:pPr>
      <w:r>
        <w:rPr>
          <w:rFonts w:ascii="SimSun" w:hAnsi="SimSun" w:eastAsia="SimSun" w:cs="SimSun"/>
          <w:sz w:val="24"/>
          <w:szCs w:val="24"/>
          <w:spacing w:val="-2"/>
        </w:rPr>
        <w:t>当天凌晨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2"/>
        </w:rPr>
        <w:t>时</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30 </w:t>
      </w:r>
      <w:r>
        <w:rPr>
          <w:rFonts w:ascii="SimSun" w:hAnsi="SimSun" w:eastAsia="SimSun" w:cs="SimSun"/>
          <w:sz w:val="24"/>
          <w:szCs w:val="24"/>
          <w:spacing w:val="-2"/>
        </w:rPr>
        <w:t>分左右，建晖纸厂起火，东莞消防队员迅速</w:t>
      </w:r>
      <w:r>
        <w:rPr>
          <w:rFonts w:ascii="SimSun" w:hAnsi="SimSun" w:eastAsia="SimSun" w:cs="SimSun"/>
          <w:sz w:val="24"/>
          <w:szCs w:val="24"/>
          <w:spacing w:val="-3"/>
        </w:rPr>
        <w:t>赶往扑救，火势</w:t>
      </w:r>
      <w:r>
        <w:rPr>
          <w:rFonts w:ascii="SimSun" w:hAnsi="SimSun" w:eastAsia="SimSun" w:cs="SimSun"/>
          <w:sz w:val="24"/>
          <w:szCs w:val="24"/>
        </w:rPr>
        <w:t xml:space="preserve"> </w:t>
      </w:r>
      <w:r>
        <w:rPr>
          <w:rFonts w:ascii="SimSun" w:hAnsi="SimSun" w:eastAsia="SimSun" w:cs="SimSun"/>
          <w:sz w:val="24"/>
          <w:szCs w:val="24"/>
          <w:spacing w:val="-2"/>
        </w:rPr>
        <w:t>逐步蔓延，早上</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2"/>
        </w:rPr>
        <w:t>6</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2"/>
        </w:rPr>
        <w:t>时左右， 广东省消防总队接报后紧急启动应急预案，先后调集</w:t>
      </w:r>
      <w:r>
        <w:rPr>
          <w:rFonts w:ascii="SimSun" w:hAnsi="SimSun" w:eastAsia="SimSun" w:cs="SimSun"/>
          <w:sz w:val="24"/>
          <w:szCs w:val="24"/>
        </w:rPr>
        <w:t xml:space="preserve"> </w:t>
      </w:r>
      <w:r>
        <w:rPr>
          <w:rFonts w:ascii="SimSun" w:hAnsi="SimSun" w:eastAsia="SimSun" w:cs="SimSun"/>
          <w:sz w:val="24"/>
          <w:szCs w:val="24"/>
          <w:spacing w:val="-2"/>
        </w:rPr>
        <w:t>大量消防力量赶往驰援。当天上午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11</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2"/>
        </w:rPr>
        <w:t>时，火势得到基本控制，但火苗依旧</w:t>
      </w:r>
      <w:r>
        <w:rPr>
          <w:rFonts w:ascii="SimSun" w:hAnsi="SimSun" w:eastAsia="SimSun" w:cs="SimSun"/>
          <w:sz w:val="24"/>
          <w:szCs w:val="24"/>
          <w:spacing w:val="-3"/>
        </w:rPr>
        <w:t>在嗤嗤</w:t>
      </w:r>
      <w:r>
        <w:rPr>
          <w:rFonts w:ascii="SimSun" w:hAnsi="SimSun" w:eastAsia="SimSun" w:cs="SimSun"/>
          <w:sz w:val="24"/>
          <w:szCs w:val="24"/>
        </w:rPr>
        <w:t xml:space="preserve"> </w:t>
      </w:r>
      <w:r>
        <w:rPr>
          <w:rFonts w:ascii="SimSun" w:hAnsi="SimSun" w:eastAsia="SimSun" w:cs="SimSun"/>
          <w:sz w:val="24"/>
          <w:szCs w:val="24"/>
          <w:spacing w:val="1"/>
        </w:rPr>
        <w:t>燃烧。中午</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23"/>
          <w:w w:val="101"/>
        </w:rPr>
        <w:t xml:space="preserve"> </w:t>
      </w:r>
      <w:r>
        <w:rPr>
          <w:rFonts w:ascii="SimSun" w:hAnsi="SimSun" w:eastAsia="SimSun" w:cs="SimSun"/>
          <w:sz w:val="24"/>
          <w:szCs w:val="24"/>
          <w:spacing w:val="1"/>
        </w:rPr>
        <w:t>时，天上突起一阵大风，原本逐渐减小的烟雾再次变浓，火苗重新</w:t>
      </w:r>
      <w:r>
        <w:rPr>
          <w:rFonts w:ascii="SimSun" w:hAnsi="SimSun" w:eastAsia="SimSun" w:cs="SimSun"/>
          <w:sz w:val="24"/>
          <w:szCs w:val="24"/>
        </w:rPr>
        <w:t xml:space="preserve"> </w:t>
      </w:r>
      <w:r>
        <w:rPr>
          <w:rFonts w:ascii="SimSun" w:hAnsi="SimSun" w:eastAsia="SimSun" w:cs="SimSun"/>
          <w:sz w:val="24"/>
          <w:szCs w:val="24"/>
          <w:spacing w:val="-2"/>
        </w:rPr>
        <w:t>又蹿了出来。随后，在现场消防力量坚持压制下，火势又逐步变小，但时有反复。</w:t>
      </w:r>
    </w:p>
    <w:p>
      <w:pPr>
        <w:ind w:left="488"/>
        <w:spacing w:line="217" w:lineRule="auto"/>
        <w:rPr>
          <w:rFonts w:ascii="SimSun" w:hAnsi="SimSun" w:eastAsia="SimSun" w:cs="SimSun"/>
          <w:sz w:val="24"/>
          <w:szCs w:val="24"/>
        </w:rPr>
      </w:pPr>
      <w:r>
        <w:rPr>
          <w:rFonts w:ascii="SimSun" w:hAnsi="SimSun" w:eastAsia="SimSun" w:cs="SimSun"/>
          <w:sz w:val="24"/>
          <w:szCs w:val="24"/>
          <w:spacing w:val="-2"/>
        </w:rPr>
        <w:t>②环境后果分析</w:t>
      </w:r>
    </w:p>
    <w:p>
      <w:pPr>
        <w:ind w:left="9" w:right="78" w:firstLine="481"/>
        <w:spacing w:before="185" w:line="359" w:lineRule="auto"/>
        <w:rPr>
          <w:rFonts w:ascii="SimSun" w:hAnsi="SimSun" w:eastAsia="SimSun" w:cs="SimSun"/>
          <w:sz w:val="24"/>
          <w:szCs w:val="24"/>
        </w:rPr>
      </w:pPr>
      <w:r>
        <w:rPr>
          <w:rFonts w:ascii="SimSun" w:hAnsi="SimSun" w:eastAsia="SimSun" w:cs="SimSun"/>
          <w:sz w:val="24"/>
          <w:szCs w:val="24"/>
          <w:spacing w:val="3"/>
        </w:rPr>
        <w:t>火灾发生时，现场黑色烟羽向高空飘向远方，主要污染物为未</w:t>
      </w:r>
      <w:r>
        <w:rPr>
          <w:rFonts w:ascii="SimSun" w:hAnsi="SimSun" w:eastAsia="SimSun" w:cs="SimSun"/>
          <w:sz w:val="24"/>
          <w:szCs w:val="24"/>
          <w:spacing w:val="2"/>
        </w:rPr>
        <w:t>燃尽的灰尘及</w:t>
      </w:r>
      <w:r>
        <w:rPr>
          <w:rFonts w:ascii="SimSun" w:hAnsi="SimSun" w:eastAsia="SimSun" w:cs="SimSun"/>
          <w:sz w:val="24"/>
          <w:szCs w:val="24"/>
        </w:rPr>
        <w:t xml:space="preserve"> </w:t>
      </w:r>
      <w:r>
        <w:rPr>
          <w:rFonts w:ascii="SimSun" w:hAnsi="SimSun" w:eastAsia="SimSun" w:cs="SimSun"/>
          <w:sz w:val="24"/>
          <w:szCs w:val="24"/>
          <w:spacing w:val="3"/>
        </w:rPr>
        <w:t>比空气轻的一氧化碳、氮氧化物，污染的空气未对周边</w:t>
      </w:r>
      <w:r>
        <w:rPr>
          <w:rFonts w:ascii="SimSun" w:hAnsi="SimSun" w:eastAsia="SimSun" w:cs="SimSun"/>
          <w:sz w:val="24"/>
          <w:szCs w:val="24"/>
          <w:spacing w:val="2"/>
        </w:rPr>
        <w:t>人员造成危害。消防过程</w:t>
      </w:r>
      <w:r>
        <w:rPr>
          <w:rFonts w:ascii="SimSun" w:hAnsi="SimSun" w:eastAsia="SimSun" w:cs="SimSun"/>
          <w:sz w:val="24"/>
          <w:szCs w:val="24"/>
        </w:rPr>
        <w:t xml:space="preserve"> </w:t>
      </w:r>
      <w:r>
        <w:rPr>
          <w:rFonts w:ascii="SimSun" w:hAnsi="SimSun" w:eastAsia="SimSun" w:cs="SimSun"/>
          <w:sz w:val="24"/>
          <w:szCs w:val="24"/>
          <w:spacing w:val="-1"/>
        </w:rPr>
        <w:t>产生的尾水收集于厂内事故池，未造成周边水体污染。</w:t>
      </w:r>
    </w:p>
    <w:p>
      <w:pPr>
        <w:ind w:left="488"/>
        <w:spacing w:line="217" w:lineRule="auto"/>
        <w:rPr>
          <w:rFonts w:ascii="SimSun" w:hAnsi="SimSun" w:eastAsia="SimSun" w:cs="SimSun"/>
          <w:sz w:val="24"/>
          <w:szCs w:val="24"/>
        </w:rPr>
      </w:pPr>
      <w:r>
        <w:rPr>
          <w:rFonts w:ascii="SimSun" w:hAnsi="SimSun" w:eastAsia="SimSun" w:cs="SimSun"/>
          <w:sz w:val="24"/>
          <w:szCs w:val="24"/>
          <w:spacing w:val="-2"/>
        </w:rPr>
        <w:t>③事件预防措施</w:t>
      </w:r>
    </w:p>
    <w:p>
      <w:pPr>
        <w:ind w:left="9" w:right="78" w:firstLine="480"/>
        <w:spacing w:before="186" w:line="359" w:lineRule="auto"/>
        <w:rPr>
          <w:rFonts w:ascii="SimSun" w:hAnsi="SimSun" w:eastAsia="SimSun" w:cs="SimSun"/>
          <w:sz w:val="24"/>
          <w:szCs w:val="24"/>
        </w:rPr>
      </w:pPr>
      <w:r>
        <w:rPr>
          <w:rFonts w:ascii="SimSun" w:hAnsi="SimSun" w:eastAsia="SimSun" w:cs="SimSun"/>
          <w:sz w:val="24"/>
          <w:szCs w:val="24"/>
          <w:spacing w:val="3"/>
        </w:rPr>
        <w:t>事故暴露出企业管理不到位，隐患排查整治不彻底等问题。为深刻</w:t>
      </w:r>
      <w:r>
        <w:rPr>
          <w:rFonts w:ascii="SimSun" w:hAnsi="SimSun" w:eastAsia="SimSun" w:cs="SimSun"/>
          <w:sz w:val="24"/>
          <w:szCs w:val="24"/>
          <w:spacing w:val="2"/>
        </w:rPr>
        <w:t>吸取事故</w:t>
      </w:r>
      <w:r>
        <w:rPr>
          <w:rFonts w:ascii="SimSun" w:hAnsi="SimSun" w:eastAsia="SimSun" w:cs="SimSun"/>
          <w:sz w:val="24"/>
          <w:szCs w:val="24"/>
        </w:rPr>
        <w:t xml:space="preserve"> </w:t>
      </w:r>
      <w:r>
        <w:rPr>
          <w:rFonts w:ascii="SimSun" w:hAnsi="SimSun" w:eastAsia="SimSun" w:cs="SimSun"/>
          <w:sz w:val="24"/>
          <w:szCs w:val="24"/>
          <w:spacing w:val="3"/>
        </w:rPr>
        <w:t>教训，有效防范事故发生，现提出如下要求：切实加强</w:t>
      </w:r>
      <w:r>
        <w:rPr>
          <w:rFonts w:ascii="SimSun" w:hAnsi="SimSun" w:eastAsia="SimSun" w:cs="SimSun"/>
          <w:sz w:val="24"/>
          <w:szCs w:val="24"/>
          <w:spacing w:val="2"/>
        </w:rPr>
        <w:t>安全管理。对仓库内电线</w:t>
      </w:r>
      <w:r>
        <w:rPr>
          <w:rFonts w:ascii="SimSun" w:hAnsi="SimSun" w:eastAsia="SimSun" w:cs="SimSun"/>
          <w:sz w:val="24"/>
          <w:szCs w:val="24"/>
        </w:rPr>
        <w:t xml:space="preserve"> </w:t>
      </w:r>
      <w:r>
        <w:rPr>
          <w:rFonts w:ascii="SimSun" w:hAnsi="SimSun" w:eastAsia="SimSun" w:cs="SimSun"/>
          <w:sz w:val="24"/>
          <w:szCs w:val="24"/>
          <w:spacing w:val="3"/>
        </w:rPr>
        <w:t>线路问题要定期排查及更换，避免线路老化造成火灾事</w:t>
      </w:r>
      <w:r>
        <w:rPr>
          <w:rFonts w:ascii="SimSun" w:hAnsi="SimSun" w:eastAsia="SimSun" w:cs="SimSun"/>
          <w:sz w:val="24"/>
          <w:szCs w:val="24"/>
          <w:spacing w:val="2"/>
        </w:rPr>
        <w:t>故，同时还要加强明火与</w:t>
      </w:r>
      <w:r>
        <w:rPr>
          <w:rFonts w:ascii="SimSun" w:hAnsi="SimSun" w:eastAsia="SimSun" w:cs="SimSun"/>
          <w:sz w:val="24"/>
          <w:szCs w:val="24"/>
        </w:rPr>
        <w:t xml:space="preserve"> </w:t>
      </w:r>
      <w:r>
        <w:rPr>
          <w:rFonts w:ascii="SimSun" w:hAnsi="SimSun" w:eastAsia="SimSun" w:cs="SimSun"/>
          <w:sz w:val="24"/>
          <w:szCs w:val="24"/>
          <w:spacing w:val="3"/>
        </w:rPr>
        <w:t>防静电管理，杜绝火灾事故的发生。建立健全各种规章</w:t>
      </w:r>
      <w:r>
        <w:rPr>
          <w:rFonts w:ascii="SimSun" w:hAnsi="SimSun" w:eastAsia="SimSun" w:cs="SimSun"/>
          <w:sz w:val="24"/>
          <w:szCs w:val="24"/>
          <w:spacing w:val="2"/>
        </w:rPr>
        <w:t>制度。贯彻落实安全生产</w:t>
      </w:r>
      <w:r>
        <w:rPr>
          <w:rFonts w:ascii="SimSun" w:hAnsi="SimSun" w:eastAsia="SimSun" w:cs="SimSun"/>
          <w:sz w:val="24"/>
          <w:szCs w:val="24"/>
        </w:rPr>
        <w:t xml:space="preserve"> </w:t>
      </w:r>
      <w:r>
        <w:rPr>
          <w:rFonts w:ascii="SimSun" w:hAnsi="SimSun" w:eastAsia="SimSun" w:cs="SimSun"/>
          <w:sz w:val="24"/>
          <w:szCs w:val="24"/>
          <w:spacing w:val="3"/>
        </w:rPr>
        <w:t>方针，必须严格落实生产责任制、工种岗位责任制、事</w:t>
      </w:r>
      <w:r>
        <w:rPr>
          <w:rFonts w:ascii="SimSun" w:hAnsi="SimSun" w:eastAsia="SimSun" w:cs="SimSun"/>
          <w:sz w:val="24"/>
          <w:szCs w:val="24"/>
          <w:spacing w:val="2"/>
        </w:rPr>
        <w:t>故责任追究制等，实行安</w:t>
      </w:r>
      <w:r>
        <w:rPr>
          <w:rFonts w:ascii="SimSun" w:hAnsi="SimSun" w:eastAsia="SimSun" w:cs="SimSun"/>
          <w:sz w:val="24"/>
          <w:szCs w:val="24"/>
        </w:rPr>
        <w:t xml:space="preserve"> </w:t>
      </w:r>
      <w:r>
        <w:rPr>
          <w:rFonts w:ascii="SimSun" w:hAnsi="SimSun" w:eastAsia="SimSun" w:cs="SimSun"/>
          <w:sz w:val="24"/>
          <w:szCs w:val="24"/>
          <w:spacing w:val="3"/>
        </w:rPr>
        <w:t>全工作人人管理，让每个人、每个部门都要负起职责范</w:t>
      </w:r>
      <w:r>
        <w:rPr>
          <w:rFonts w:ascii="SimSun" w:hAnsi="SimSun" w:eastAsia="SimSun" w:cs="SimSun"/>
          <w:sz w:val="24"/>
          <w:szCs w:val="24"/>
          <w:spacing w:val="2"/>
        </w:rPr>
        <w:t>围内的安全工作，使安全</w:t>
      </w:r>
      <w:r>
        <w:rPr>
          <w:rFonts w:ascii="SimSun" w:hAnsi="SimSun" w:eastAsia="SimSun" w:cs="SimSun"/>
          <w:sz w:val="24"/>
          <w:szCs w:val="24"/>
        </w:rPr>
        <w:t xml:space="preserve"> </w:t>
      </w:r>
      <w:r>
        <w:rPr>
          <w:rFonts w:ascii="SimSun" w:hAnsi="SimSun" w:eastAsia="SimSun" w:cs="SimSun"/>
          <w:sz w:val="24"/>
          <w:szCs w:val="24"/>
          <w:spacing w:val="-1"/>
        </w:rPr>
        <w:t>工作做到层层有人抓，事事有人管，人人有专责。</w:t>
      </w:r>
    </w:p>
    <w:p>
      <w:pPr>
        <w:ind w:left="9" w:right="77" w:firstLine="480"/>
        <w:spacing w:line="360" w:lineRule="auto"/>
        <w:rPr>
          <w:rFonts w:ascii="SimSun" w:hAnsi="SimSun" w:eastAsia="SimSun" w:cs="SimSun"/>
          <w:sz w:val="24"/>
          <w:szCs w:val="24"/>
        </w:rPr>
      </w:pPr>
      <w:r>
        <w:rPr>
          <w:rFonts w:ascii="SimSun" w:hAnsi="SimSun" w:eastAsia="SimSun" w:cs="SimSun"/>
          <w:sz w:val="24"/>
          <w:szCs w:val="24"/>
          <w:spacing w:val="3"/>
        </w:rPr>
        <w:t>根据我国化工企业发生的较大及其以上级别事故，将已搜集事故进</w:t>
      </w:r>
      <w:r>
        <w:rPr>
          <w:rFonts w:ascii="SimSun" w:hAnsi="SimSun" w:eastAsia="SimSun" w:cs="SimSun"/>
          <w:sz w:val="24"/>
          <w:szCs w:val="24"/>
          <w:spacing w:val="2"/>
        </w:rPr>
        <w:t>行分类。</w:t>
      </w:r>
      <w:r>
        <w:rPr>
          <w:rFonts w:ascii="SimSun" w:hAnsi="SimSun" w:eastAsia="SimSun" w:cs="SimSun"/>
          <w:sz w:val="24"/>
          <w:szCs w:val="24"/>
        </w:rPr>
        <w:t xml:space="preserve"> </w:t>
      </w:r>
      <w:r>
        <w:rPr>
          <w:rFonts w:ascii="SimSun" w:hAnsi="SimSun" w:eastAsia="SimSun" w:cs="SimSun"/>
          <w:sz w:val="24"/>
          <w:szCs w:val="24"/>
          <w:spacing w:val="2"/>
        </w:rPr>
        <w:t>《企业工伤亡事故分类》（</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2"/>
        </w:rPr>
        <w:t>6441-86</w:t>
      </w:r>
      <w:r>
        <w:rPr>
          <w:rFonts w:ascii="SimSun" w:hAnsi="SimSun" w:eastAsia="SimSun" w:cs="SimSun"/>
          <w:sz w:val="24"/>
          <w:szCs w:val="24"/>
          <w:spacing w:val="2"/>
        </w:rPr>
        <w:t>）将工况商贸中可能发生的事故划分成</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2"/>
        </w:rPr>
        <w:t>20</w:t>
      </w:r>
      <w:r>
        <w:rPr>
          <w:rFonts w:ascii="Times New Roman" w:hAnsi="Times New Roman" w:eastAsia="Times New Roman" w:cs="Times New Roman"/>
          <w:sz w:val="24"/>
          <w:szCs w:val="24"/>
        </w:rPr>
        <w:t xml:space="preserve"> </w:t>
      </w:r>
      <w:r>
        <w:rPr>
          <w:rFonts w:ascii="SimSun" w:hAnsi="SimSun" w:eastAsia="SimSun" w:cs="SimSun"/>
          <w:sz w:val="24"/>
          <w:szCs w:val="24"/>
          <w:spacing w:val="2"/>
        </w:rPr>
        <w:t>类，但就化工行业，共有</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2"/>
        </w:rPr>
        <w:t>9 </w:t>
      </w:r>
      <w:r>
        <w:rPr>
          <w:rFonts w:ascii="SimSun" w:hAnsi="SimSun" w:eastAsia="SimSun" w:cs="SimSun"/>
          <w:sz w:val="24"/>
          <w:szCs w:val="24"/>
          <w:spacing w:val="2"/>
        </w:rPr>
        <w:t>种常见类型，其他类型基本没有发生的条条或极少发</w:t>
      </w:r>
    </w:p>
    <w:p>
      <w:pPr>
        <w:spacing w:line="360" w:lineRule="auto"/>
        <w:sectPr>
          <w:headerReference w:type="default" r:id="rId11"/>
          <w:footerReference w:type="default" r:id="rId344"/>
          <w:pgSz w:w="11907" w:h="16840"/>
          <w:pgMar w:top="1567" w:right="1621" w:bottom="1921" w:left="1701" w:header="1221" w:footer="1247" w:gutter="0"/>
        </w:sectPr>
        <w:rPr>
          <w:rFonts w:ascii="SimSun" w:hAnsi="SimSun" w:eastAsia="SimSun" w:cs="SimSun"/>
          <w:sz w:val="24"/>
          <w:szCs w:val="24"/>
        </w:rPr>
      </w:pPr>
    </w:p>
    <w:p>
      <w:pPr>
        <w:ind w:left="21"/>
        <w:spacing w:before="187" w:line="219" w:lineRule="auto"/>
        <w:rPr>
          <w:rFonts w:ascii="SimSun" w:hAnsi="SimSun" w:eastAsia="SimSun" w:cs="SimSun"/>
          <w:sz w:val="24"/>
          <w:szCs w:val="24"/>
        </w:rPr>
      </w:pPr>
      <w:r>
        <w:pict>
          <v:shape id="_x0000_s1148" style="position:absolute;margin-left:85.05pt;margin-top:79.11pt;mso-position-vertical-relative:page;mso-position-horizontal-relative:page;width:425.25pt;height:0.75pt;z-index:252246016;" o:allowincell="f" fillcolor="#000000" filled="true" stroked="false" coordsize="8505,15" coordorigin="0,0" path="m,l8505,0l8505,14l0,14l0,0xe"/>
        </w:pict>
      </w:r>
      <w:r>
        <w:rPr>
          <w:rFonts w:ascii="SimSun" w:hAnsi="SimSun" w:eastAsia="SimSun" w:cs="SimSun"/>
          <w:sz w:val="24"/>
          <w:szCs w:val="24"/>
          <w:spacing w:val="2"/>
        </w:rPr>
        <w:t>生，所以在统计中着重依照这</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2"/>
        </w:rPr>
        <w:t>9 </w:t>
      </w:r>
      <w:r>
        <w:rPr>
          <w:rFonts w:ascii="SimSun" w:hAnsi="SimSun" w:eastAsia="SimSun" w:cs="SimSun"/>
          <w:sz w:val="24"/>
          <w:szCs w:val="24"/>
          <w:spacing w:val="2"/>
        </w:rPr>
        <w:t>个类别将已收集到的事故案例进行分类，详见表</w:t>
      </w:r>
    </w:p>
    <w:p>
      <w:pPr>
        <w:ind w:left="20"/>
        <w:spacing w:before="220" w:line="180" w:lineRule="auto"/>
        <w:rPr>
          <w:rFonts w:ascii="SimSun" w:hAnsi="SimSun" w:eastAsia="SimSun" w:cs="SimSun"/>
          <w:sz w:val="24"/>
          <w:szCs w:val="24"/>
        </w:rPr>
      </w:pPr>
      <w:r>
        <w:rPr>
          <w:rFonts w:ascii="Times New Roman" w:hAnsi="Times New Roman" w:eastAsia="Times New Roman" w:cs="Times New Roman"/>
          <w:sz w:val="24"/>
          <w:szCs w:val="24"/>
          <w:spacing w:val="-2"/>
        </w:rPr>
        <w:t>6.5-1</w:t>
      </w:r>
      <w:r>
        <w:rPr>
          <w:rFonts w:ascii="SimSun" w:hAnsi="SimSun" w:eastAsia="SimSun" w:cs="SimSun"/>
          <w:sz w:val="24"/>
          <w:szCs w:val="24"/>
          <w:spacing w:val="-2"/>
        </w:rPr>
        <w:t>。</w:t>
      </w:r>
    </w:p>
    <w:p>
      <w:pPr>
        <w:ind w:left="2965"/>
        <w:spacing w:before="192"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2"/>
        </w:rPr>
        <w:t>6.5-1      </w:t>
      </w:r>
      <w:r>
        <w:rPr>
          <w:rFonts w:ascii="SimSun" w:hAnsi="SimSun" w:eastAsia="SimSun" w:cs="SimSun"/>
          <w:sz w:val="24"/>
          <w:szCs w:val="24"/>
          <w:b/>
          <w:bCs/>
          <w:spacing w:val="-2"/>
        </w:rPr>
        <w:t>事故分类情况</w:t>
      </w:r>
    </w:p>
    <w:tbl>
      <w:tblPr>
        <w:tblStyle w:val="TableNormal"/>
        <w:tblW w:w="8517" w:type="dxa"/>
        <w:tblInd w:w="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355"/>
        <w:gridCol w:w="4162"/>
      </w:tblGrid>
      <w:tr>
        <w:trPr>
          <w:trHeight w:val="281" w:hRule="atLeast"/>
        </w:trPr>
        <w:tc>
          <w:tcPr>
            <w:tcW w:w="4355" w:type="dxa"/>
            <w:vAlign w:val="top"/>
          </w:tcPr>
          <w:p>
            <w:pPr>
              <w:pStyle w:val="TableText"/>
              <w:ind w:left="1764"/>
              <w:spacing w:before="36" w:line="216" w:lineRule="auto"/>
              <w:rPr/>
            </w:pPr>
            <w:r>
              <w:rPr>
                <w:spacing w:val="7"/>
              </w:rPr>
              <w:t>事故类型</w:t>
            </w:r>
          </w:p>
        </w:tc>
        <w:tc>
          <w:tcPr>
            <w:tcW w:w="4162" w:type="dxa"/>
            <w:vAlign w:val="top"/>
          </w:tcPr>
          <w:p>
            <w:pPr>
              <w:pStyle w:val="TableText"/>
              <w:ind w:left="1480"/>
              <w:spacing w:before="36" w:line="216" w:lineRule="auto"/>
              <w:rPr/>
            </w:pPr>
            <w:r>
              <w:rPr>
                <w:spacing w:val="5"/>
              </w:rPr>
              <w:t>百分数（</w:t>
            </w:r>
            <w:r>
              <w:rPr>
                <w:rFonts w:ascii="Times New Roman" w:hAnsi="Times New Roman" w:eastAsia="Times New Roman" w:cs="Times New Roman"/>
                <w:spacing w:val="5"/>
              </w:rPr>
              <w:t>%</w:t>
            </w:r>
            <w:r>
              <w:rPr>
                <w:spacing w:val="5"/>
              </w:rPr>
              <w:t>）</w:t>
            </w:r>
          </w:p>
        </w:tc>
      </w:tr>
      <w:tr>
        <w:trPr>
          <w:trHeight w:val="277" w:hRule="atLeast"/>
        </w:trPr>
        <w:tc>
          <w:tcPr>
            <w:tcW w:w="4355" w:type="dxa"/>
            <w:vAlign w:val="top"/>
          </w:tcPr>
          <w:p>
            <w:pPr>
              <w:pStyle w:val="TableText"/>
              <w:ind w:left="1765"/>
              <w:spacing w:before="31" w:line="217" w:lineRule="auto"/>
              <w:rPr/>
            </w:pPr>
            <w:r>
              <w:rPr>
                <w:spacing w:val="7"/>
              </w:rPr>
              <w:t>其他爆炸</w:t>
            </w:r>
          </w:p>
        </w:tc>
        <w:tc>
          <w:tcPr>
            <w:tcW w:w="4162" w:type="dxa"/>
            <w:vAlign w:val="top"/>
          </w:tcPr>
          <w:p>
            <w:pPr>
              <w:ind w:left="1849"/>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34.42</w:t>
            </w:r>
          </w:p>
        </w:tc>
      </w:tr>
      <w:tr>
        <w:trPr>
          <w:trHeight w:val="277" w:hRule="atLeast"/>
        </w:trPr>
        <w:tc>
          <w:tcPr>
            <w:tcW w:w="4355" w:type="dxa"/>
            <w:vAlign w:val="top"/>
          </w:tcPr>
          <w:p>
            <w:pPr>
              <w:pStyle w:val="TableText"/>
              <w:ind w:left="1678"/>
              <w:spacing w:before="32" w:line="216" w:lineRule="auto"/>
              <w:rPr/>
            </w:pPr>
            <w:r>
              <w:rPr>
                <w:spacing w:val="4"/>
              </w:rPr>
              <w:t>中毒与窒息</w:t>
            </w:r>
          </w:p>
        </w:tc>
        <w:tc>
          <w:tcPr>
            <w:tcW w:w="4162" w:type="dxa"/>
            <w:vAlign w:val="top"/>
          </w:tcPr>
          <w:p>
            <w:pPr>
              <w:ind w:left="1845"/>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22.69</w:t>
            </w:r>
          </w:p>
        </w:tc>
      </w:tr>
      <w:tr>
        <w:trPr>
          <w:trHeight w:val="276" w:hRule="atLeast"/>
        </w:trPr>
        <w:tc>
          <w:tcPr>
            <w:tcW w:w="4355" w:type="dxa"/>
            <w:vAlign w:val="top"/>
          </w:tcPr>
          <w:p>
            <w:pPr>
              <w:pStyle w:val="TableText"/>
              <w:ind w:left="1765"/>
              <w:spacing w:before="34" w:line="214" w:lineRule="auto"/>
              <w:rPr/>
            </w:pPr>
            <w:r>
              <w:rPr>
                <w:spacing w:val="7"/>
              </w:rPr>
              <w:t>燃气爆炸</w:t>
            </w:r>
          </w:p>
        </w:tc>
        <w:tc>
          <w:tcPr>
            <w:tcW w:w="4162" w:type="dxa"/>
            <w:vAlign w:val="top"/>
          </w:tcPr>
          <w:p>
            <w:pPr>
              <w:ind w:left="184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21.01</w:t>
            </w:r>
          </w:p>
        </w:tc>
      </w:tr>
      <w:tr>
        <w:trPr>
          <w:trHeight w:val="277" w:hRule="atLeast"/>
        </w:trPr>
        <w:tc>
          <w:tcPr>
            <w:tcW w:w="4355" w:type="dxa"/>
            <w:vAlign w:val="top"/>
          </w:tcPr>
          <w:p>
            <w:pPr>
              <w:pStyle w:val="TableText"/>
              <w:ind w:left="1975"/>
              <w:spacing w:before="34" w:line="215" w:lineRule="auto"/>
              <w:rPr/>
            </w:pPr>
            <w:r>
              <w:rPr>
                <w:spacing w:val="3"/>
              </w:rPr>
              <w:t>火灾</w:t>
            </w:r>
          </w:p>
        </w:tc>
        <w:tc>
          <w:tcPr>
            <w:tcW w:w="4162" w:type="dxa"/>
            <w:vAlign w:val="top"/>
          </w:tcPr>
          <w:p>
            <w:pPr>
              <w:ind w:left="195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8.4</w:t>
            </w:r>
          </w:p>
        </w:tc>
      </w:tr>
      <w:tr>
        <w:trPr>
          <w:trHeight w:val="277" w:hRule="atLeast"/>
        </w:trPr>
        <w:tc>
          <w:tcPr>
            <w:tcW w:w="4355" w:type="dxa"/>
            <w:vAlign w:val="top"/>
          </w:tcPr>
          <w:p>
            <w:pPr>
              <w:pStyle w:val="TableText"/>
              <w:ind w:left="1770"/>
              <w:spacing w:before="35" w:line="214" w:lineRule="auto"/>
              <w:rPr/>
            </w:pPr>
            <w:r>
              <w:rPr>
                <w:spacing w:val="5"/>
              </w:rPr>
              <w:t>高处坠落</w:t>
            </w:r>
          </w:p>
        </w:tc>
        <w:tc>
          <w:tcPr>
            <w:tcW w:w="4162" w:type="dxa"/>
            <w:vAlign w:val="top"/>
          </w:tcPr>
          <w:p>
            <w:pPr>
              <w:ind w:left="190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5.04</w:t>
            </w:r>
          </w:p>
        </w:tc>
      </w:tr>
      <w:tr>
        <w:trPr>
          <w:trHeight w:val="277" w:hRule="atLeast"/>
        </w:trPr>
        <w:tc>
          <w:tcPr>
            <w:tcW w:w="4355" w:type="dxa"/>
            <w:vAlign w:val="top"/>
          </w:tcPr>
          <w:p>
            <w:pPr>
              <w:pStyle w:val="TableText"/>
              <w:ind w:left="1974"/>
              <w:spacing w:before="34" w:line="215" w:lineRule="auto"/>
              <w:rPr/>
            </w:pPr>
            <w:r>
              <w:rPr>
                <w:spacing w:val="4"/>
              </w:rPr>
              <w:t>塌陷</w:t>
            </w:r>
          </w:p>
        </w:tc>
        <w:tc>
          <w:tcPr>
            <w:tcW w:w="4162" w:type="dxa"/>
            <w:vAlign w:val="top"/>
          </w:tcPr>
          <w:p>
            <w:pPr>
              <w:ind w:left="1897"/>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4.20</w:t>
            </w:r>
          </w:p>
        </w:tc>
      </w:tr>
      <w:tr>
        <w:trPr>
          <w:trHeight w:val="277" w:hRule="atLeast"/>
        </w:trPr>
        <w:tc>
          <w:tcPr>
            <w:tcW w:w="4355" w:type="dxa"/>
            <w:vAlign w:val="top"/>
          </w:tcPr>
          <w:p>
            <w:pPr>
              <w:pStyle w:val="TableText"/>
              <w:ind w:left="1977"/>
              <w:spacing w:before="35" w:line="214" w:lineRule="auto"/>
              <w:rPr/>
            </w:pPr>
            <w:r>
              <w:rPr>
                <w:spacing w:val="2"/>
              </w:rPr>
              <w:t>灼伤</w:t>
            </w:r>
          </w:p>
        </w:tc>
        <w:tc>
          <w:tcPr>
            <w:tcW w:w="4162" w:type="dxa"/>
            <w:vAlign w:val="top"/>
          </w:tcPr>
          <w:p>
            <w:pPr>
              <w:ind w:left="189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2.52</w:t>
            </w:r>
          </w:p>
        </w:tc>
      </w:tr>
      <w:tr>
        <w:trPr>
          <w:trHeight w:val="277" w:hRule="atLeast"/>
        </w:trPr>
        <w:tc>
          <w:tcPr>
            <w:tcW w:w="4355" w:type="dxa"/>
            <w:vAlign w:val="top"/>
          </w:tcPr>
          <w:p>
            <w:pPr>
              <w:pStyle w:val="TableText"/>
              <w:ind w:left="1766"/>
              <w:spacing w:before="34" w:line="215" w:lineRule="auto"/>
              <w:rPr/>
            </w:pPr>
            <w:r>
              <w:rPr>
                <w:spacing w:val="6"/>
              </w:rPr>
              <w:t>火药爆炸</w:t>
            </w:r>
          </w:p>
        </w:tc>
        <w:tc>
          <w:tcPr>
            <w:tcW w:w="4162" w:type="dxa"/>
            <w:vAlign w:val="top"/>
          </w:tcPr>
          <w:p>
            <w:pPr>
              <w:ind w:left="1901"/>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0.84</w:t>
            </w:r>
          </w:p>
        </w:tc>
      </w:tr>
      <w:tr>
        <w:trPr>
          <w:trHeight w:val="281" w:hRule="atLeast"/>
        </w:trPr>
        <w:tc>
          <w:tcPr>
            <w:tcW w:w="4355" w:type="dxa"/>
            <w:vAlign w:val="top"/>
          </w:tcPr>
          <w:p>
            <w:pPr>
              <w:pStyle w:val="TableText"/>
              <w:ind w:left="1973"/>
              <w:spacing w:before="35" w:line="217" w:lineRule="auto"/>
              <w:rPr/>
            </w:pPr>
            <w:r>
              <w:rPr>
                <w:spacing w:val="4"/>
              </w:rPr>
              <w:t>触电</w:t>
            </w:r>
          </w:p>
        </w:tc>
        <w:tc>
          <w:tcPr>
            <w:tcW w:w="4162" w:type="dxa"/>
            <w:vAlign w:val="top"/>
          </w:tcPr>
          <w:p>
            <w:pPr>
              <w:ind w:left="190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0.84</w:t>
            </w:r>
          </w:p>
        </w:tc>
      </w:tr>
    </w:tbl>
    <w:p>
      <w:pPr>
        <w:ind w:left="19" w:right="11" w:firstLine="482"/>
        <w:spacing w:before="36" w:line="359" w:lineRule="auto"/>
        <w:rPr>
          <w:rFonts w:ascii="SimSun" w:hAnsi="SimSun" w:eastAsia="SimSun" w:cs="SimSun"/>
          <w:sz w:val="24"/>
          <w:szCs w:val="24"/>
        </w:rPr>
      </w:pPr>
      <w:r>
        <w:rPr>
          <w:rFonts w:ascii="SimSun" w:hAnsi="SimSun" w:eastAsia="SimSun" w:cs="SimSun"/>
          <w:sz w:val="24"/>
          <w:szCs w:val="24"/>
          <w:spacing w:val="-3"/>
        </w:rPr>
        <w:t>从统计可以看出，</w:t>
      </w:r>
      <w:r>
        <w:rPr>
          <w:rFonts w:ascii="Times New Roman" w:hAnsi="Times New Roman" w:eastAsia="Times New Roman" w:cs="Times New Roman"/>
          <w:sz w:val="24"/>
          <w:szCs w:val="24"/>
          <w:spacing w:val="-3"/>
        </w:rPr>
        <w:t>8 </w:t>
      </w:r>
      <w:r>
        <w:rPr>
          <w:rFonts w:ascii="SimSun" w:hAnsi="SimSun" w:eastAsia="SimSun" w:cs="SimSun"/>
          <w:sz w:val="24"/>
          <w:szCs w:val="24"/>
          <w:spacing w:val="-3"/>
        </w:rPr>
        <w:t>年间我国化工企业发生较大及其以上级别事故次数较多的</w:t>
      </w:r>
      <w:r>
        <w:rPr>
          <w:rFonts w:ascii="SimSun" w:hAnsi="SimSun" w:eastAsia="SimSun" w:cs="SimSun"/>
          <w:sz w:val="24"/>
          <w:szCs w:val="24"/>
          <w:spacing w:val="14"/>
        </w:rPr>
        <w:t xml:space="preserve"> </w:t>
      </w:r>
      <w:r>
        <w:rPr>
          <w:rFonts w:ascii="SimSun" w:hAnsi="SimSun" w:eastAsia="SimSun" w:cs="SimSun"/>
          <w:sz w:val="24"/>
          <w:szCs w:val="24"/>
        </w:rPr>
        <w:t>类型依次是：其他爆炸、中毒与窒息、燃气</w:t>
      </w:r>
      <w:r>
        <w:rPr>
          <w:rFonts w:ascii="SimSun" w:hAnsi="SimSun" w:eastAsia="SimSun" w:cs="SimSun"/>
          <w:sz w:val="24"/>
          <w:szCs w:val="24"/>
          <w:spacing w:val="-1"/>
        </w:rPr>
        <w:t>爆炸、火灾和高处坠落。</w:t>
      </w:r>
    </w:p>
    <w:p>
      <w:pPr>
        <w:ind w:left="23" w:right="11" w:firstLine="476"/>
        <w:spacing w:line="359" w:lineRule="auto"/>
        <w:rPr>
          <w:rFonts w:ascii="SimSun" w:hAnsi="SimSun" w:eastAsia="SimSun" w:cs="SimSun"/>
          <w:sz w:val="24"/>
          <w:szCs w:val="24"/>
        </w:rPr>
      </w:pPr>
      <w:r>
        <w:rPr>
          <w:rFonts w:ascii="SimSun" w:hAnsi="SimSun" w:eastAsia="SimSun" w:cs="SimSun"/>
          <w:sz w:val="24"/>
          <w:szCs w:val="24"/>
          <w:spacing w:val="3"/>
        </w:rPr>
        <w:t>针对化工行业企业生产特点，将化工企业生产划分为若干个</w:t>
      </w:r>
      <w:r>
        <w:rPr>
          <w:rFonts w:ascii="SimSun" w:hAnsi="SimSun" w:eastAsia="SimSun" w:cs="SimSun"/>
          <w:sz w:val="24"/>
          <w:szCs w:val="24"/>
          <w:spacing w:val="2"/>
        </w:rPr>
        <w:t>环节，对事故进</w:t>
      </w:r>
      <w:r>
        <w:rPr>
          <w:rFonts w:ascii="SimSun" w:hAnsi="SimSun" w:eastAsia="SimSun" w:cs="SimSun"/>
          <w:sz w:val="24"/>
          <w:szCs w:val="24"/>
        </w:rPr>
        <w:t xml:space="preserve"> </w:t>
      </w:r>
      <w:r>
        <w:rPr>
          <w:rFonts w:ascii="SimSun" w:hAnsi="SimSun" w:eastAsia="SimSun" w:cs="SimSun"/>
          <w:sz w:val="24"/>
          <w:szCs w:val="24"/>
          <w:spacing w:val="-2"/>
        </w:rPr>
        <w:t>行分类，见下表</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6.5-2 </w:t>
      </w:r>
      <w:r>
        <w:rPr>
          <w:rFonts w:ascii="SimSun" w:hAnsi="SimSun" w:eastAsia="SimSun" w:cs="SimSun"/>
          <w:sz w:val="24"/>
          <w:szCs w:val="24"/>
          <w:spacing w:val="-2"/>
        </w:rPr>
        <w:t>所示。</w:t>
      </w:r>
    </w:p>
    <w:p>
      <w:pPr>
        <w:ind w:left="2243"/>
        <w:spacing w:before="1"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6.5-2      </w:t>
      </w:r>
      <w:r>
        <w:rPr>
          <w:rFonts w:ascii="SimSun" w:hAnsi="SimSun" w:eastAsia="SimSun" w:cs="SimSun"/>
          <w:sz w:val="24"/>
          <w:szCs w:val="24"/>
          <w:b/>
          <w:bCs/>
          <w:spacing w:val="-2"/>
        </w:rPr>
        <w:t>易发生事故环节统计一览表</w:t>
      </w:r>
    </w:p>
    <w:tbl>
      <w:tblPr>
        <w:tblStyle w:val="TableNormal"/>
        <w:tblW w:w="8516" w:type="dxa"/>
        <w:tblInd w:w="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991"/>
        <w:gridCol w:w="3523"/>
        <w:gridCol w:w="3002"/>
      </w:tblGrid>
      <w:tr>
        <w:trPr>
          <w:trHeight w:val="282" w:hRule="atLeast"/>
        </w:trPr>
        <w:tc>
          <w:tcPr>
            <w:tcW w:w="1991" w:type="dxa"/>
            <w:vAlign w:val="top"/>
          </w:tcPr>
          <w:p>
            <w:pPr>
              <w:pStyle w:val="TableText"/>
              <w:ind w:left="583"/>
              <w:spacing w:before="36" w:line="217" w:lineRule="auto"/>
              <w:rPr/>
            </w:pPr>
            <w:r>
              <w:rPr>
                <w:spacing w:val="6"/>
              </w:rPr>
              <w:t>生产环节</w:t>
            </w:r>
          </w:p>
        </w:tc>
        <w:tc>
          <w:tcPr>
            <w:tcW w:w="3523" w:type="dxa"/>
            <w:vAlign w:val="top"/>
          </w:tcPr>
          <w:p>
            <w:pPr>
              <w:pStyle w:val="TableText"/>
              <w:ind w:left="946"/>
              <w:spacing w:before="36" w:line="217" w:lineRule="auto"/>
              <w:rPr/>
            </w:pPr>
            <w:r>
              <w:rPr>
                <w:spacing w:val="7"/>
              </w:rPr>
              <w:t>按事故数量（</w:t>
            </w:r>
            <w:r>
              <w:rPr>
                <w:rFonts w:ascii="Times New Roman" w:hAnsi="Times New Roman" w:eastAsia="Times New Roman" w:cs="Times New Roman"/>
                <w:spacing w:val="7"/>
              </w:rPr>
              <w:t>%</w:t>
            </w:r>
            <w:r>
              <w:rPr>
                <w:spacing w:val="7"/>
              </w:rPr>
              <w:t>）</w:t>
            </w:r>
          </w:p>
        </w:tc>
        <w:tc>
          <w:tcPr>
            <w:tcW w:w="3002" w:type="dxa"/>
            <w:vAlign w:val="top"/>
          </w:tcPr>
          <w:p>
            <w:pPr>
              <w:pStyle w:val="TableText"/>
              <w:ind w:left="685"/>
              <w:spacing w:before="36" w:line="217" w:lineRule="auto"/>
              <w:rPr/>
            </w:pPr>
            <w:r>
              <w:rPr>
                <w:spacing w:val="7"/>
              </w:rPr>
              <w:t>按死亡人数（</w:t>
            </w:r>
            <w:r>
              <w:rPr>
                <w:rFonts w:ascii="Times New Roman" w:hAnsi="Times New Roman" w:eastAsia="Times New Roman" w:cs="Times New Roman"/>
                <w:spacing w:val="7"/>
              </w:rPr>
              <w:t>%</w:t>
            </w:r>
            <w:r>
              <w:rPr>
                <w:spacing w:val="7"/>
              </w:rPr>
              <w:t>）</w:t>
            </w:r>
          </w:p>
        </w:tc>
      </w:tr>
      <w:tr>
        <w:trPr>
          <w:trHeight w:val="276" w:hRule="atLeast"/>
        </w:trPr>
        <w:tc>
          <w:tcPr>
            <w:tcW w:w="1991" w:type="dxa"/>
            <w:vAlign w:val="top"/>
          </w:tcPr>
          <w:p>
            <w:pPr>
              <w:pStyle w:val="TableText"/>
              <w:ind w:left="795"/>
              <w:spacing w:before="29" w:line="218" w:lineRule="auto"/>
              <w:rPr/>
            </w:pPr>
            <w:r>
              <w:rPr>
                <w:spacing w:val="3"/>
              </w:rPr>
              <w:t>工艺</w:t>
            </w:r>
          </w:p>
        </w:tc>
        <w:tc>
          <w:tcPr>
            <w:tcW w:w="3523" w:type="dxa"/>
            <w:vAlign w:val="top"/>
          </w:tcPr>
          <w:p>
            <w:pPr>
              <w:ind w:left="1530"/>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34.45</w:t>
            </w:r>
          </w:p>
        </w:tc>
        <w:tc>
          <w:tcPr>
            <w:tcW w:w="3002" w:type="dxa"/>
            <w:vAlign w:val="top"/>
          </w:tcPr>
          <w:p>
            <w:pPr>
              <w:ind w:left="1269"/>
              <w:spacing w:before="6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35.69</w:t>
            </w:r>
          </w:p>
        </w:tc>
      </w:tr>
      <w:tr>
        <w:trPr>
          <w:trHeight w:val="276" w:hRule="atLeast"/>
        </w:trPr>
        <w:tc>
          <w:tcPr>
            <w:tcW w:w="1991" w:type="dxa"/>
            <w:vAlign w:val="top"/>
          </w:tcPr>
          <w:p>
            <w:pPr>
              <w:pStyle w:val="TableText"/>
              <w:ind w:left="580"/>
              <w:spacing w:before="31" w:line="216" w:lineRule="auto"/>
              <w:rPr/>
            </w:pPr>
            <w:r>
              <w:rPr>
                <w:spacing w:val="7"/>
              </w:rPr>
              <w:t>施工作业</w:t>
            </w:r>
          </w:p>
        </w:tc>
        <w:tc>
          <w:tcPr>
            <w:tcW w:w="3523" w:type="dxa"/>
            <w:vAlign w:val="top"/>
          </w:tcPr>
          <w:p>
            <w:pPr>
              <w:ind w:left="1546"/>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18.49</w:t>
            </w:r>
          </w:p>
        </w:tc>
        <w:tc>
          <w:tcPr>
            <w:tcW w:w="3002" w:type="dxa"/>
            <w:vAlign w:val="top"/>
          </w:tcPr>
          <w:p>
            <w:pPr>
              <w:ind w:left="1285"/>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17.25</w:t>
            </w:r>
          </w:p>
        </w:tc>
      </w:tr>
      <w:tr>
        <w:trPr>
          <w:trHeight w:val="277" w:hRule="atLeast"/>
        </w:trPr>
        <w:tc>
          <w:tcPr>
            <w:tcW w:w="1991" w:type="dxa"/>
            <w:vAlign w:val="top"/>
          </w:tcPr>
          <w:p>
            <w:pPr>
              <w:pStyle w:val="TableText"/>
              <w:ind w:left="792"/>
              <w:spacing w:before="35" w:line="214" w:lineRule="auto"/>
              <w:rPr/>
            </w:pPr>
            <w:r>
              <w:rPr>
                <w:spacing w:val="4"/>
              </w:rPr>
              <w:t>检修</w:t>
            </w:r>
          </w:p>
        </w:tc>
        <w:tc>
          <w:tcPr>
            <w:tcW w:w="3523" w:type="dxa"/>
            <w:vAlign w:val="top"/>
          </w:tcPr>
          <w:p>
            <w:pPr>
              <w:ind w:left="1546"/>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12.61</w:t>
            </w:r>
          </w:p>
        </w:tc>
        <w:tc>
          <w:tcPr>
            <w:tcW w:w="3002" w:type="dxa"/>
            <w:vAlign w:val="top"/>
          </w:tcPr>
          <w:p>
            <w:pPr>
              <w:ind w:left="128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10.59</w:t>
            </w:r>
          </w:p>
        </w:tc>
      </w:tr>
      <w:tr>
        <w:trPr>
          <w:trHeight w:val="277" w:hRule="atLeast"/>
        </w:trPr>
        <w:tc>
          <w:tcPr>
            <w:tcW w:w="1991" w:type="dxa"/>
            <w:vAlign w:val="top"/>
          </w:tcPr>
          <w:p>
            <w:pPr>
              <w:pStyle w:val="TableText"/>
              <w:ind w:left="791"/>
              <w:spacing w:before="33" w:line="216" w:lineRule="auto"/>
              <w:rPr/>
            </w:pPr>
            <w:r>
              <w:rPr>
                <w:spacing w:val="5"/>
              </w:rPr>
              <w:t>储存</w:t>
            </w:r>
          </w:p>
        </w:tc>
        <w:tc>
          <w:tcPr>
            <w:tcW w:w="3523" w:type="dxa"/>
            <w:vAlign w:val="top"/>
          </w:tcPr>
          <w:p>
            <w:pPr>
              <w:ind w:left="1640"/>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8.4</w:t>
            </w:r>
          </w:p>
        </w:tc>
        <w:tc>
          <w:tcPr>
            <w:tcW w:w="3002" w:type="dxa"/>
            <w:vAlign w:val="top"/>
          </w:tcPr>
          <w:p>
            <w:pPr>
              <w:ind w:left="132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8.63</w:t>
            </w:r>
          </w:p>
        </w:tc>
      </w:tr>
      <w:tr>
        <w:trPr>
          <w:trHeight w:val="277" w:hRule="atLeast"/>
        </w:trPr>
        <w:tc>
          <w:tcPr>
            <w:tcW w:w="1991" w:type="dxa"/>
            <w:vAlign w:val="top"/>
          </w:tcPr>
          <w:p>
            <w:pPr>
              <w:pStyle w:val="TableText"/>
              <w:ind w:left="792"/>
              <w:spacing w:before="35" w:line="214" w:lineRule="auto"/>
              <w:rPr/>
            </w:pPr>
            <w:r>
              <w:rPr>
                <w:spacing w:val="4"/>
              </w:rPr>
              <w:t>清理</w:t>
            </w:r>
          </w:p>
        </w:tc>
        <w:tc>
          <w:tcPr>
            <w:tcW w:w="3523" w:type="dxa"/>
            <w:vAlign w:val="top"/>
          </w:tcPr>
          <w:p>
            <w:pPr>
              <w:ind w:left="1582"/>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7.56</w:t>
            </w:r>
          </w:p>
        </w:tc>
        <w:tc>
          <w:tcPr>
            <w:tcW w:w="3002" w:type="dxa"/>
            <w:vAlign w:val="top"/>
          </w:tcPr>
          <w:p>
            <w:pPr>
              <w:ind w:left="1323"/>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5.49</w:t>
            </w:r>
          </w:p>
        </w:tc>
      </w:tr>
      <w:tr>
        <w:trPr>
          <w:trHeight w:val="277" w:hRule="atLeast"/>
        </w:trPr>
        <w:tc>
          <w:tcPr>
            <w:tcW w:w="1991" w:type="dxa"/>
            <w:vAlign w:val="top"/>
          </w:tcPr>
          <w:p>
            <w:pPr>
              <w:pStyle w:val="TableText"/>
              <w:ind w:left="794"/>
              <w:spacing w:before="36" w:line="213" w:lineRule="auto"/>
              <w:rPr/>
            </w:pPr>
            <w:r>
              <w:rPr>
                <w:spacing w:val="3"/>
              </w:rPr>
              <w:t>调试</w:t>
            </w:r>
          </w:p>
        </w:tc>
        <w:tc>
          <w:tcPr>
            <w:tcW w:w="3523" w:type="dxa"/>
            <w:vAlign w:val="top"/>
          </w:tcPr>
          <w:p>
            <w:pPr>
              <w:ind w:left="163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4.2</w:t>
            </w:r>
          </w:p>
        </w:tc>
        <w:tc>
          <w:tcPr>
            <w:tcW w:w="3002" w:type="dxa"/>
            <w:vAlign w:val="top"/>
          </w:tcPr>
          <w:p>
            <w:pPr>
              <w:ind w:left="1376"/>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1"/>
              </w:rPr>
              <w:t>1</w:t>
            </w:r>
          </w:p>
        </w:tc>
      </w:tr>
      <w:tr>
        <w:trPr>
          <w:trHeight w:val="277" w:hRule="atLeast"/>
        </w:trPr>
        <w:tc>
          <w:tcPr>
            <w:tcW w:w="1991" w:type="dxa"/>
            <w:vAlign w:val="top"/>
          </w:tcPr>
          <w:p>
            <w:pPr>
              <w:pStyle w:val="TableText"/>
              <w:ind w:left="581"/>
              <w:spacing w:before="35" w:line="214" w:lineRule="auto"/>
              <w:rPr/>
            </w:pPr>
            <w:r>
              <w:rPr>
                <w:spacing w:val="7"/>
              </w:rPr>
              <w:t>运输装卸</w:t>
            </w:r>
          </w:p>
        </w:tc>
        <w:tc>
          <w:tcPr>
            <w:tcW w:w="3523" w:type="dxa"/>
            <w:vAlign w:val="top"/>
          </w:tcPr>
          <w:p>
            <w:pPr>
              <w:ind w:left="1599"/>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1.68</w:t>
            </w:r>
          </w:p>
        </w:tc>
        <w:tc>
          <w:tcPr>
            <w:tcW w:w="3002" w:type="dxa"/>
            <w:vAlign w:val="top"/>
          </w:tcPr>
          <w:p>
            <w:pPr>
              <w:ind w:left="1338"/>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1.57</w:t>
            </w:r>
          </w:p>
        </w:tc>
      </w:tr>
      <w:tr>
        <w:trPr>
          <w:trHeight w:val="277" w:hRule="atLeast"/>
        </w:trPr>
        <w:tc>
          <w:tcPr>
            <w:tcW w:w="1991" w:type="dxa"/>
            <w:vAlign w:val="top"/>
          </w:tcPr>
          <w:p>
            <w:pPr>
              <w:pStyle w:val="TableText"/>
              <w:ind w:left="582"/>
              <w:spacing w:before="36" w:line="213" w:lineRule="auto"/>
              <w:rPr/>
            </w:pPr>
            <w:r>
              <w:rPr>
                <w:spacing w:val="7"/>
              </w:rPr>
              <w:t>气体充装</w:t>
            </w:r>
          </w:p>
        </w:tc>
        <w:tc>
          <w:tcPr>
            <w:tcW w:w="3523" w:type="dxa"/>
            <w:vAlign w:val="top"/>
          </w:tcPr>
          <w:p>
            <w:pPr>
              <w:ind w:left="159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1.68</w:t>
            </w:r>
          </w:p>
        </w:tc>
        <w:tc>
          <w:tcPr>
            <w:tcW w:w="3002" w:type="dxa"/>
            <w:vAlign w:val="top"/>
          </w:tcPr>
          <w:p>
            <w:pPr>
              <w:ind w:left="132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3.</w:t>
            </w:r>
            <w:r>
              <w:rPr>
                <w:rFonts w:ascii="Times New Roman" w:hAnsi="Times New Roman" w:eastAsia="Times New Roman" w:cs="Times New Roman"/>
                <w:sz w:val="20"/>
                <w:szCs w:val="20"/>
                <w:spacing w:val="-25"/>
              </w:rPr>
              <w:t xml:space="preserve"> </w:t>
            </w:r>
            <w:r>
              <w:rPr>
                <w:rFonts w:ascii="Times New Roman" w:hAnsi="Times New Roman" w:eastAsia="Times New Roman" w:cs="Times New Roman"/>
                <w:sz w:val="20"/>
                <w:szCs w:val="20"/>
                <w:spacing w:val="-4"/>
              </w:rPr>
              <w:t>14</w:t>
            </w:r>
          </w:p>
        </w:tc>
      </w:tr>
      <w:tr>
        <w:trPr>
          <w:trHeight w:val="282" w:hRule="atLeast"/>
        </w:trPr>
        <w:tc>
          <w:tcPr>
            <w:tcW w:w="1991" w:type="dxa"/>
            <w:vAlign w:val="top"/>
          </w:tcPr>
          <w:p>
            <w:pPr>
              <w:pStyle w:val="TableText"/>
              <w:ind w:left="795"/>
              <w:spacing w:before="36" w:line="217" w:lineRule="auto"/>
              <w:rPr/>
            </w:pPr>
            <w:r>
              <w:rPr>
                <w:spacing w:val="3"/>
              </w:rPr>
              <w:t>未知</w:t>
            </w:r>
          </w:p>
        </w:tc>
        <w:tc>
          <w:tcPr>
            <w:tcW w:w="3523" w:type="dxa"/>
            <w:vAlign w:val="top"/>
          </w:tcPr>
          <w:p>
            <w:pPr>
              <w:ind w:left="1546"/>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10.92</w:t>
            </w:r>
          </w:p>
        </w:tc>
        <w:tc>
          <w:tcPr>
            <w:tcW w:w="3002" w:type="dxa"/>
            <w:vAlign w:val="top"/>
          </w:tcPr>
          <w:p>
            <w:pPr>
              <w:ind w:left="1285"/>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12.55</w:t>
            </w:r>
          </w:p>
        </w:tc>
      </w:tr>
    </w:tbl>
    <w:p>
      <w:pPr>
        <w:ind w:left="21" w:right="11" w:firstLine="483"/>
        <w:spacing w:before="35" w:line="359" w:lineRule="auto"/>
        <w:rPr>
          <w:rFonts w:ascii="SimSun" w:hAnsi="SimSun" w:eastAsia="SimSun" w:cs="SimSun"/>
          <w:sz w:val="24"/>
          <w:szCs w:val="24"/>
        </w:rPr>
      </w:pPr>
      <w:r>
        <w:rPr>
          <w:rFonts w:ascii="SimSun" w:hAnsi="SimSun" w:eastAsia="SimSun" w:cs="SimSun"/>
          <w:sz w:val="24"/>
          <w:szCs w:val="24"/>
          <w:spacing w:val="3"/>
        </w:rPr>
        <w:t>统计分析显示，在生产环节中，生产工艺中发</w:t>
      </w:r>
      <w:r>
        <w:rPr>
          <w:rFonts w:ascii="SimSun" w:hAnsi="SimSun" w:eastAsia="SimSun" w:cs="SimSun"/>
          <w:sz w:val="24"/>
          <w:szCs w:val="24"/>
          <w:spacing w:val="2"/>
        </w:rPr>
        <w:t>生事故的概率较高，并且死亡</w:t>
      </w:r>
      <w:r>
        <w:rPr>
          <w:rFonts w:ascii="SimSun" w:hAnsi="SimSun" w:eastAsia="SimSun" w:cs="SimSun"/>
          <w:sz w:val="24"/>
          <w:szCs w:val="24"/>
        </w:rPr>
        <w:t xml:space="preserve"> </w:t>
      </w:r>
      <w:r>
        <w:rPr>
          <w:rFonts w:ascii="SimSun" w:hAnsi="SimSun" w:eastAsia="SimSun" w:cs="SimSun"/>
          <w:sz w:val="24"/>
          <w:szCs w:val="24"/>
          <w:spacing w:val="-2"/>
        </w:rPr>
        <w:t>人数约占生产环节死亡总人数的</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2"/>
        </w:rPr>
        <w:t>36%</w:t>
      </w:r>
      <w:r>
        <w:rPr>
          <w:rFonts w:ascii="SimSun" w:hAnsi="SimSun" w:eastAsia="SimSun" w:cs="SimSun"/>
          <w:sz w:val="24"/>
          <w:szCs w:val="24"/>
          <w:spacing w:val="-2"/>
        </w:rPr>
        <w:t>。</w:t>
      </w:r>
    </w:p>
    <w:p>
      <w:pPr>
        <w:ind w:left="498"/>
        <w:spacing w:before="1" w:line="218" w:lineRule="auto"/>
        <w:rPr>
          <w:rFonts w:ascii="SimSun" w:hAnsi="SimSun" w:eastAsia="SimSun" w:cs="SimSun"/>
          <w:sz w:val="24"/>
          <w:szCs w:val="24"/>
        </w:rPr>
      </w:pPr>
      <w:r>
        <w:rPr>
          <w:rFonts w:ascii="SimSun" w:hAnsi="SimSun" w:eastAsia="SimSun" w:cs="SimSun"/>
          <w:sz w:val="24"/>
          <w:szCs w:val="24"/>
          <w:spacing w:val="-2"/>
        </w:rPr>
        <w:t>近几年国内化工行业</w:t>
      </w:r>
      <w:r>
        <w:rPr>
          <w:rFonts w:ascii="SimSun" w:hAnsi="SimSun" w:eastAsia="SimSun" w:cs="SimSun"/>
          <w:sz w:val="24"/>
          <w:szCs w:val="24"/>
          <w:spacing w:val="-15"/>
        </w:rPr>
        <w:t xml:space="preserve"> </w:t>
      </w:r>
      <w:r>
        <w:rPr>
          <w:rFonts w:ascii="Times New Roman" w:hAnsi="Times New Roman" w:eastAsia="Times New Roman" w:cs="Times New Roman"/>
          <w:sz w:val="24"/>
          <w:szCs w:val="24"/>
          <w:spacing w:val="-2"/>
        </w:rPr>
        <w:t>116 </w:t>
      </w:r>
      <w:r>
        <w:rPr>
          <w:rFonts w:ascii="SimSun" w:hAnsi="SimSun" w:eastAsia="SimSun" w:cs="SimSun"/>
          <w:sz w:val="24"/>
          <w:szCs w:val="24"/>
          <w:spacing w:val="-2"/>
        </w:rPr>
        <w:t>次主要事故原因统计分析结果见下表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6.5-3 </w:t>
      </w:r>
      <w:r>
        <w:rPr>
          <w:rFonts w:ascii="SimSun" w:hAnsi="SimSun" w:eastAsia="SimSun" w:cs="SimSun"/>
          <w:sz w:val="24"/>
          <w:szCs w:val="24"/>
          <w:spacing w:val="-2"/>
        </w:rPr>
        <w:t>所示。</w:t>
      </w:r>
    </w:p>
    <w:p>
      <w:pPr>
        <w:ind w:left="196"/>
        <w:spacing w:before="184"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0"/>
        </w:rPr>
        <w:t xml:space="preserve"> </w:t>
      </w:r>
      <w:r>
        <w:rPr>
          <w:rFonts w:ascii="Times New Roman" w:hAnsi="Times New Roman" w:eastAsia="Times New Roman" w:cs="Times New Roman"/>
          <w:sz w:val="24"/>
          <w:szCs w:val="24"/>
          <w:b/>
          <w:bCs/>
          <w:spacing w:val="-2"/>
        </w:rPr>
        <w:t>6.5-3      </w:t>
      </w:r>
      <w:r>
        <w:rPr>
          <w:rFonts w:ascii="SimSun" w:hAnsi="SimSun" w:eastAsia="SimSun" w:cs="SimSun"/>
          <w:sz w:val="24"/>
          <w:szCs w:val="24"/>
          <w:b/>
          <w:bCs/>
          <w:spacing w:val="-2"/>
        </w:rPr>
        <w:t>国内主要化工事故原因统计结果（引自《全国化工事故案例集》）</w:t>
      </w:r>
    </w:p>
    <w:tbl>
      <w:tblPr>
        <w:tblStyle w:val="TableNormal"/>
        <w:tblW w:w="851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37"/>
        <w:gridCol w:w="3254"/>
        <w:gridCol w:w="1299"/>
        <w:gridCol w:w="2829"/>
      </w:tblGrid>
      <w:tr>
        <w:trPr>
          <w:trHeight w:val="279" w:hRule="atLeast"/>
        </w:trPr>
        <w:tc>
          <w:tcPr>
            <w:tcW w:w="1137" w:type="dxa"/>
            <w:vAlign w:val="top"/>
          </w:tcPr>
          <w:p>
            <w:pPr>
              <w:pStyle w:val="TableText"/>
              <w:ind w:left="363"/>
              <w:spacing w:before="36" w:line="215" w:lineRule="auto"/>
              <w:rPr/>
            </w:pPr>
            <w:r>
              <w:rPr>
                <w:spacing w:val="5"/>
              </w:rPr>
              <w:t>序号</w:t>
            </w:r>
          </w:p>
        </w:tc>
        <w:tc>
          <w:tcPr>
            <w:tcW w:w="3254" w:type="dxa"/>
            <w:vAlign w:val="top"/>
          </w:tcPr>
          <w:p>
            <w:pPr>
              <w:pStyle w:val="TableText"/>
              <w:ind w:left="1004"/>
              <w:spacing w:before="36" w:line="215" w:lineRule="auto"/>
              <w:rPr/>
            </w:pPr>
            <w:r>
              <w:rPr>
                <w:spacing w:val="7"/>
              </w:rPr>
              <w:t>主要事故原因</w:t>
            </w:r>
          </w:p>
        </w:tc>
        <w:tc>
          <w:tcPr>
            <w:tcW w:w="1299" w:type="dxa"/>
            <w:vAlign w:val="top"/>
          </w:tcPr>
          <w:p>
            <w:pPr>
              <w:pStyle w:val="TableText"/>
              <w:ind w:left="253"/>
              <w:spacing w:before="36" w:line="215" w:lineRule="auto"/>
              <w:rPr/>
            </w:pPr>
            <w:r>
              <w:rPr>
                <w:spacing w:val="2"/>
              </w:rPr>
              <w:t>出现次数</w:t>
            </w:r>
          </w:p>
        </w:tc>
        <w:tc>
          <w:tcPr>
            <w:tcW w:w="2829" w:type="dxa"/>
            <w:vAlign w:val="top"/>
          </w:tcPr>
          <w:p>
            <w:pPr>
              <w:pStyle w:val="TableText"/>
              <w:ind w:left="597"/>
              <w:spacing w:before="36" w:line="215" w:lineRule="auto"/>
              <w:rPr/>
            </w:pPr>
            <w:r>
              <w:rPr>
                <w:spacing w:val="7"/>
              </w:rPr>
              <w:t>所占百分比（</w:t>
            </w:r>
            <w:r>
              <w:rPr>
                <w:rFonts w:ascii="Times New Roman" w:hAnsi="Times New Roman" w:eastAsia="Times New Roman" w:cs="Times New Roman"/>
                <w:spacing w:val="7"/>
              </w:rPr>
              <w:t>%</w:t>
            </w:r>
            <w:r>
              <w:rPr>
                <w:spacing w:val="7"/>
              </w:rPr>
              <w:t>）</w:t>
            </w:r>
          </w:p>
        </w:tc>
      </w:tr>
      <w:tr>
        <w:trPr>
          <w:trHeight w:val="274" w:hRule="atLeast"/>
        </w:trPr>
        <w:tc>
          <w:tcPr>
            <w:tcW w:w="1137" w:type="dxa"/>
            <w:vAlign w:val="top"/>
          </w:tcPr>
          <w:p>
            <w:pPr>
              <w:ind w:left="538"/>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3254" w:type="dxa"/>
            <w:vAlign w:val="top"/>
          </w:tcPr>
          <w:p>
            <w:pPr>
              <w:pStyle w:val="TableText"/>
              <w:ind w:left="1002"/>
              <w:spacing w:before="33" w:line="213" w:lineRule="auto"/>
              <w:rPr/>
            </w:pPr>
            <w:r>
              <w:rPr>
                <w:spacing w:val="8"/>
              </w:rPr>
              <w:t>违反操作规程</w:t>
            </w:r>
          </w:p>
        </w:tc>
        <w:tc>
          <w:tcPr>
            <w:tcW w:w="1299" w:type="dxa"/>
            <w:vAlign w:val="top"/>
          </w:tcPr>
          <w:p>
            <w:pPr>
              <w:ind w:left="550"/>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c>
          <w:tcPr>
            <w:tcW w:w="2829" w:type="dxa"/>
            <w:vAlign w:val="top"/>
          </w:tcPr>
          <w:p>
            <w:pPr>
              <w:ind w:left="123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51.7</w:t>
            </w:r>
          </w:p>
        </w:tc>
      </w:tr>
      <w:tr>
        <w:trPr>
          <w:trHeight w:val="275" w:hRule="atLeast"/>
        </w:trPr>
        <w:tc>
          <w:tcPr>
            <w:tcW w:w="1137" w:type="dxa"/>
            <w:vAlign w:val="top"/>
          </w:tcPr>
          <w:p>
            <w:pPr>
              <w:ind w:left="518"/>
              <w:spacing w:before="7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3254" w:type="dxa"/>
            <w:vAlign w:val="top"/>
          </w:tcPr>
          <w:p>
            <w:pPr>
              <w:pStyle w:val="TableText"/>
              <w:ind w:left="1006"/>
              <w:spacing w:before="37" w:line="210" w:lineRule="auto"/>
              <w:rPr/>
            </w:pPr>
            <w:r>
              <w:rPr>
                <w:spacing w:val="7"/>
              </w:rPr>
              <w:t>不懂技术操作</w:t>
            </w:r>
          </w:p>
        </w:tc>
        <w:tc>
          <w:tcPr>
            <w:tcW w:w="1299" w:type="dxa"/>
            <w:vAlign w:val="top"/>
          </w:tcPr>
          <w:p>
            <w:pPr>
              <w:ind w:left="602"/>
              <w:spacing w:before="7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2829" w:type="dxa"/>
            <w:vAlign w:val="top"/>
          </w:tcPr>
          <w:p>
            <w:pPr>
              <w:ind w:left="1289"/>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6.0</w:t>
            </w:r>
          </w:p>
        </w:tc>
      </w:tr>
      <w:tr>
        <w:trPr>
          <w:trHeight w:val="274" w:hRule="atLeast"/>
        </w:trPr>
        <w:tc>
          <w:tcPr>
            <w:tcW w:w="1137" w:type="dxa"/>
            <w:vAlign w:val="top"/>
          </w:tcPr>
          <w:p>
            <w:pPr>
              <w:ind w:left="522"/>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3254" w:type="dxa"/>
            <w:vAlign w:val="top"/>
          </w:tcPr>
          <w:p>
            <w:pPr>
              <w:pStyle w:val="TableText"/>
              <w:ind w:left="1002"/>
              <w:spacing w:before="39" w:line="207" w:lineRule="auto"/>
              <w:rPr/>
            </w:pPr>
            <w:r>
              <w:rPr>
                <w:spacing w:val="8"/>
              </w:rPr>
              <w:t>违反劳动纪律</w:t>
            </w:r>
          </w:p>
        </w:tc>
        <w:tc>
          <w:tcPr>
            <w:tcW w:w="1299" w:type="dxa"/>
            <w:vAlign w:val="top"/>
          </w:tcPr>
          <w:p>
            <w:pPr>
              <w:ind w:left="604"/>
              <w:spacing w:before="7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2829" w:type="dxa"/>
            <w:vAlign w:val="top"/>
          </w:tcPr>
          <w:p>
            <w:pPr>
              <w:ind w:left="1283"/>
              <w:spacing w:before="7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4.3</w:t>
            </w:r>
          </w:p>
        </w:tc>
      </w:tr>
      <w:tr>
        <w:trPr>
          <w:trHeight w:val="274" w:hRule="atLeast"/>
        </w:trPr>
        <w:tc>
          <w:tcPr>
            <w:tcW w:w="1137" w:type="dxa"/>
            <w:vAlign w:val="top"/>
          </w:tcPr>
          <w:p>
            <w:pPr>
              <w:ind w:left="517"/>
              <w:spacing w:before="7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3254" w:type="dxa"/>
            <w:vAlign w:val="top"/>
          </w:tcPr>
          <w:p>
            <w:pPr>
              <w:pStyle w:val="TableText"/>
              <w:ind w:left="1214"/>
              <w:spacing w:before="41" w:line="205" w:lineRule="auto"/>
              <w:rPr/>
            </w:pPr>
            <w:r>
              <w:rPr>
                <w:spacing w:val="6"/>
              </w:rPr>
              <w:t>指挥失误</w:t>
            </w:r>
          </w:p>
        </w:tc>
        <w:tc>
          <w:tcPr>
            <w:tcW w:w="1299" w:type="dxa"/>
            <w:vAlign w:val="top"/>
          </w:tcPr>
          <w:p>
            <w:pPr>
              <w:ind w:left="598"/>
              <w:spacing w:before="7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829" w:type="dxa"/>
            <w:vAlign w:val="top"/>
          </w:tcPr>
          <w:p>
            <w:pPr>
              <w:ind w:left="1304"/>
              <w:spacing w:before="7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1.7</w:t>
            </w:r>
          </w:p>
        </w:tc>
      </w:tr>
      <w:tr>
        <w:trPr>
          <w:trHeight w:val="275" w:hRule="atLeast"/>
        </w:trPr>
        <w:tc>
          <w:tcPr>
            <w:tcW w:w="1137" w:type="dxa"/>
            <w:vAlign w:val="top"/>
          </w:tcPr>
          <w:p>
            <w:pPr>
              <w:ind w:left="524"/>
              <w:spacing w:before="85" w:line="18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3254" w:type="dxa"/>
            <w:vAlign w:val="top"/>
          </w:tcPr>
          <w:p>
            <w:pPr>
              <w:pStyle w:val="TableText"/>
              <w:ind w:left="1002"/>
              <w:spacing w:before="46" w:line="202" w:lineRule="auto"/>
              <w:rPr/>
            </w:pPr>
            <w:r>
              <w:rPr>
                <w:spacing w:val="8"/>
              </w:rPr>
              <w:t>缺乏现场检查</w:t>
            </w:r>
          </w:p>
        </w:tc>
        <w:tc>
          <w:tcPr>
            <w:tcW w:w="1299" w:type="dxa"/>
            <w:vAlign w:val="top"/>
          </w:tcPr>
          <w:p>
            <w:pPr>
              <w:ind w:left="598"/>
              <w:spacing w:before="81"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829" w:type="dxa"/>
            <w:vAlign w:val="top"/>
          </w:tcPr>
          <w:p>
            <w:pPr>
              <w:ind w:left="1304"/>
              <w:spacing w:before="81" w:line="191"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1.7</w:t>
            </w:r>
          </w:p>
        </w:tc>
      </w:tr>
      <w:tr>
        <w:trPr>
          <w:trHeight w:val="274" w:hRule="atLeast"/>
        </w:trPr>
        <w:tc>
          <w:tcPr>
            <w:tcW w:w="1137" w:type="dxa"/>
            <w:vAlign w:val="top"/>
          </w:tcPr>
          <w:p>
            <w:pPr>
              <w:ind w:left="523"/>
              <w:spacing w:before="85" w:line="18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3254" w:type="dxa"/>
            <w:vAlign w:val="top"/>
          </w:tcPr>
          <w:p>
            <w:pPr>
              <w:pStyle w:val="TableText"/>
              <w:ind w:left="791"/>
              <w:spacing w:before="49" w:line="198" w:lineRule="auto"/>
              <w:rPr/>
            </w:pPr>
            <w:r>
              <w:rPr>
                <w:spacing w:val="8"/>
              </w:rPr>
              <w:t>个人防护用具缺陷</w:t>
            </w:r>
          </w:p>
        </w:tc>
        <w:tc>
          <w:tcPr>
            <w:tcW w:w="1299" w:type="dxa"/>
            <w:vAlign w:val="top"/>
          </w:tcPr>
          <w:p>
            <w:pPr>
              <w:ind w:left="618"/>
              <w:spacing w:before="85" w:line="18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829" w:type="dxa"/>
            <w:vAlign w:val="top"/>
          </w:tcPr>
          <w:p>
            <w:pPr>
              <w:ind w:left="1287"/>
              <w:spacing w:before="85" w:line="186"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0.9</w:t>
            </w:r>
          </w:p>
        </w:tc>
      </w:tr>
      <w:tr>
        <w:trPr>
          <w:trHeight w:val="275" w:hRule="atLeast"/>
        </w:trPr>
        <w:tc>
          <w:tcPr>
            <w:tcW w:w="1137" w:type="dxa"/>
            <w:vAlign w:val="top"/>
          </w:tcPr>
          <w:p>
            <w:pPr>
              <w:ind w:left="521"/>
              <w:spacing w:before="90" w:line="18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3254" w:type="dxa"/>
            <w:vAlign w:val="top"/>
          </w:tcPr>
          <w:p>
            <w:pPr>
              <w:pStyle w:val="TableText"/>
              <w:ind w:left="1215"/>
              <w:spacing w:before="51" w:line="197" w:lineRule="auto"/>
              <w:rPr/>
            </w:pPr>
            <w:r>
              <w:rPr>
                <w:spacing w:val="6"/>
              </w:rPr>
              <w:t>设备缺陷</w:t>
            </w:r>
          </w:p>
        </w:tc>
        <w:tc>
          <w:tcPr>
            <w:tcW w:w="1299" w:type="dxa"/>
            <w:vAlign w:val="top"/>
          </w:tcPr>
          <w:p>
            <w:pPr>
              <w:ind w:left="545"/>
              <w:spacing w:before="87" w:line="18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2829" w:type="dxa"/>
            <w:vAlign w:val="top"/>
          </w:tcPr>
          <w:p>
            <w:pPr>
              <w:ind w:left="1231"/>
              <w:spacing w:before="87" w:line="18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21.6</w:t>
            </w:r>
          </w:p>
        </w:tc>
      </w:tr>
      <w:tr>
        <w:trPr>
          <w:trHeight w:val="297" w:hRule="atLeast"/>
        </w:trPr>
        <w:tc>
          <w:tcPr>
            <w:tcW w:w="1137" w:type="dxa"/>
            <w:vAlign w:val="top"/>
            <w:tcBorders>
              <w:bottom w:val="single" w:color="000000" w:sz="10" w:space="0"/>
            </w:tcBorders>
          </w:tcPr>
          <w:p>
            <w:pPr>
              <w:ind w:left="526"/>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3254" w:type="dxa"/>
            <w:vAlign w:val="top"/>
            <w:tcBorders>
              <w:bottom w:val="single" w:color="000000" w:sz="10" w:space="0"/>
            </w:tcBorders>
          </w:tcPr>
          <w:p>
            <w:pPr>
              <w:pStyle w:val="TableText"/>
              <w:ind w:left="791"/>
              <w:spacing w:before="54" w:line="215" w:lineRule="auto"/>
              <w:rPr/>
            </w:pPr>
            <w:r>
              <w:rPr>
                <w:spacing w:val="8"/>
              </w:rPr>
              <w:t>个人防护用具缺乏</w:t>
            </w:r>
          </w:p>
        </w:tc>
        <w:tc>
          <w:tcPr>
            <w:tcW w:w="1299" w:type="dxa"/>
            <w:vAlign w:val="top"/>
            <w:tcBorders>
              <w:bottom w:val="single" w:color="000000" w:sz="10" w:space="0"/>
            </w:tcBorders>
          </w:tcPr>
          <w:p>
            <w:pPr>
              <w:ind w:left="602"/>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2829" w:type="dxa"/>
            <w:vAlign w:val="top"/>
            <w:tcBorders>
              <w:bottom w:val="single" w:color="000000" w:sz="10" w:space="0"/>
            </w:tcBorders>
          </w:tcPr>
          <w:p>
            <w:pPr>
              <w:ind w:left="1287"/>
              <w:spacing w:before="9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7.8</w:t>
            </w:r>
          </w:p>
        </w:tc>
      </w:tr>
    </w:tbl>
    <w:p>
      <w:pPr>
        <w:ind w:left="17"/>
        <w:spacing w:before="269" w:line="227" w:lineRule="auto"/>
        <w:rPr>
          <w:rFonts w:ascii="SimSun" w:hAnsi="SimSun" w:eastAsia="SimSun" w:cs="SimSun"/>
          <w:sz w:val="19"/>
          <w:szCs w:val="19"/>
        </w:rPr>
      </w:pPr>
      <w:r>
        <w:pict>
          <v:shape id="_x0000_s1150" style="position:absolute;margin-left:159.82pt;margin-top:12.431pt;mso-position-vertical-relative:text;mso-position-horizontal-relative:text;width:61pt;height:13.75pt;z-index:252244992;"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249</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44"/>
          <w:footerReference w:type="default" r:id="rId3"/>
          <w:pgSz w:w="11907" w:h="16840"/>
          <w:pgMar w:top="1567" w:right="1691" w:bottom="400" w:left="1691" w:header="1221" w:footer="0" w:gutter="0"/>
        </w:sectPr>
        <w:rPr>
          <w:rFonts w:ascii="SimSun" w:hAnsi="SimSun" w:eastAsia="SimSun" w:cs="SimSun"/>
          <w:sz w:val="19"/>
          <w:szCs w:val="19"/>
        </w:rPr>
      </w:pPr>
    </w:p>
    <w:p>
      <w:pPr>
        <w:spacing w:line="133" w:lineRule="exact"/>
        <w:rPr/>
      </w:pPr>
      <w:r>
        <w:pict>
          <v:shape id="_x0000_s1152" style="position:absolute;margin-left:85.05pt;margin-top:78.87pt;mso-position-vertical-relative:page;mso-position-horizontal-relative:page;width:425.25pt;height:0.75pt;z-index:252248064;" o:allowincell="f" fillcolor="#000000" filled="true" stroked="false" coordsize="8505,15" coordorigin="0,0" path="m,l8505,0l8505,14l0,14l0,0xe"/>
        </w:pict>
      </w:r>
      <w:r/>
    </w:p>
    <w:tbl>
      <w:tblPr>
        <w:tblStyle w:val="TableNormal"/>
        <w:tblW w:w="851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37"/>
        <w:gridCol w:w="3254"/>
        <w:gridCol w:w="1299"/>
        <w:gridCol w:w="2829"/>
      </w:tblGrid>
      <w:tr>
        <w:trPr>
          <w:trHeight w:val="281" w:hRule="atLeast"/>
        </w:trPr>
        <w:tc>
          <w:tcPr>
            <w:tcW w:w="1137" w:type="dxa"/>
            <w:vAlign w:val="top"/>
          </w:tcPr>
          <w:p>
            <w:pPr>
              <w:pStyle w:val="TableText"/>
              <w:ind w:left="363"/>
              <w:spacing w:before="35" w:line="217" w:lineRule="auto"/>
              <w:rPr/>
            </w:pPr>
            <w:r>
              <w:rPr>
                <w:spacing w:val="5"/>
              </w:rPr>
              <w:t>序号</w:t>
            </w:r>
          </w:p>
        </w:tc>
        <w:tc>
          <w:tcPr>
            <w:tcW w:w="3254" w:type="dxa"/>
            <w:vAlign w:val="top"/>
          </w:tcPr>
          <w:p>
            <w:pPr>
              <w:pStyle w:val="TableText"/>
              <w:ind w:left="1004"/>
              <w:spacing w:before="35" w:line="217" w:lineRule="auto"/>
              <w:rPr/>
            </w:pPr>
            <w:r>
              <w:rPr>
                <w:spacing w:val="7"/>
              </w:rPr>
              <w:t>主要事故原因</w:t>
            </w:r>
          </w:p>
        </w:tc>
        <w:tc>
          <w:tcPr>
            <w:tcW w:w="1299" w:type="dxa"/>
            <w:vAlign w:val="top"/>
          </w:tcPr>
          <w:p>
            <w:pPr>
              <w:pStyle w:val="TableText"/>
              <w:ind w:left="253"/>
              <w:spacing w:before="35" w:line="217" w:lineRule="auto"/>
              <w:rPr/>
            </w:pPr>
            <w:r>
              <w:rPr>
                <w:spacing w:val="2"/>
              </w:rPr>
              <w:t>出现次数</w:t>
            </w:r>
          </w:p>
        </w:tc>
        <w:tc>
          <w:tcPr>
            <w:tcW w:w="2829" w:type="dxa"/>
            <w:vAlign w:val="top"/>
          </w:tcPr>
          <w:p>
            <w:pPr>
              <w:pStyle w:val="TableText"/>
              <w:ind w:left="597"/>
              <w:spacing w:before="35" w:line="217" w:lineRule="auto"/>
              <w:rPr/>
            </w:pPr>
            <w:r>
              <w:rPr>
                <w:spacing w:val="7"/>
              </w:rPr>
              <w:t>所占百分比（</w:t>
            </w:r>
            <w:r>
              <w:rPr>
                <w:rFonts w:ascii="Times New Roman" w:hAnsi="Times New Roman" w:eastAsia="Times New Roman" w:cs="Times New Roman"/>
                <w:spacing w:val="7"/>
              </w:rPr>
              <w:t>%</w:t>
            </w:r>
            <w:r>
              <w:rPr>
                <w:spacing w:val="7"/>
              </w:rPr>
              <w:t>）</w:t>
            </w:r>
          </w:p>
        </w:tc>
      </w:tr>
      <w:tr>
        <w:trPr>
          <w:trHeight w:val="277" w:hRule="atLeast"/>
        </w:trPr>
        <w:tc>
          <w:tcPr>
            <w:tcW w:w="1137" w:type="dxa"/>
            <w:vAlign w:val="top"/>
          </w:tcPr>
          <w:p>
            <w:pPr>
              <w:ind w:left="522"/>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3254" w:type="dxa"/>
            <w:vAlign w:val="top"/>
          </w:tcPr>
          <w:p>
            <w:pPr>
              <w:pStyle w:val="TableText"/>
              <w:ind w:left="1215"/>
              <w:spacing w:before="32" w:line="216" w:lineRule="auto"/>
              <w:rPr/>
            </w:pPr>
            <w:r>
              <w:rPr>
                <w:spacing w:val="6"/>
              </w:rPr>
              <w:t>设计缺陷</w:t>
            </w:r>
          </w:p>
        </w:tc>
        <w:tc>
          <w:tcPr>
            <w:tcW w:w="1299" w:type="dxa"/>
            <w:vAlign w:val="top"/>
          </w:tcPr>
          <w:p>
            <w:pPr>
              <w:ind w:left="598"/>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829" w:type="dxa"/>
            <w:vAlign w:val="top"/>
          </w:tcPr>
          <w:p>
            <w:pPr>
              <w:ind w:left="1304"/>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1.7</w:t>
            </w:r>
          </w:p>
        </w:tc>
      </w:tr>
      <w:tr>
        <w:trPr>
          <w:trHeight w:val="276" w:hRule="atLeast"/>
        </w:trPr>
        <w:tc>
          <w:tcPr>
            <w:tcW w:w="1137" w:type="dxa"/>
            <w:vAlign w:val="top"/>
          </w:tcPr>
          <w:p>
            <w:pPr>
              <w:ind w:left="485"/>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3254" w:type="dxa"/>
            <w:vAlign w:val="top"/>
          </w:tcPr>
          <w:p>
            <w:pPr>
              <w:pStyle w:val="TableText"/>
              <w:ind w:left="796"/>
              <w:spacing w:before="31" w:line="216" w:lineRule="auto"/>
              <w:rPr/>
            </w:pPr>
            <w:r>
              <w:rPr>
                <w:spacing w:val="8"/>
              </w:rPr>
              <w:t>原料质量控制不严</w:t>
            </w:r>
          </w:p>
        </w:tc>
        <w:tc>
          <w:tcPr>
            <w:tcW w:w="1299" w:type="dxa"/>
            <w:vAlign w:val="top"/>
          </w:tcPr>
          <w:p>
            <w:pPr>
              <w:ind w:left="618"/>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829" w:type="dxa"/>
            <w:vAlign w:val="top"/>
          </w:tcPr>
          <w:p>
            <w:pPr>
              <w:ind w:left="1287"/>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0.9</w:t>
            </w:r>
          </w:p>
        </w:tc>
      </w:tr>
      <w:tr>
        <w:trPr>
          <w:trHeight w:val="276" w:hRule="atLeast"/>
        </w:trPr>
        <w:tc>
          <w:tcPr>
            <w:tcW w:w="1137" w:type="dxa"/>
            <w:vAlign w:val="top"/>
          </w:tcPr>
          <w:p>
            <w:pPr>
              <w:ind w:left="48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0"/>
              </w:rPr>
              <w:t>11</w:t>
            </w:r>
          </w:p>
        </w:tc>
        <w:tc>
          <w:tcPr>
            <w:tcW w:w="3254" w:type="dxa"/>
            <w:vAlign w:val="top"/>
          </w:tcPr>
          <w:p>
            <w:pPr>
              <w:pStyle w:val="TableText"/>
              <w:ind w:left="1210"/>
              <w:spacing w:before="34" w:line="214" w:lineRule="auto"/>
              <w:rPr/>
            </w:pPr>
            <w:r>
              <w:rPr>
                <w:spacing w:val="7"/>
              </w:rPr>
              <w:t>操作失灵</w:t>
            </w:r>
          </w:p>
        </w:tc>
        <w:tc>
          <w:tcPr>
            <w:tcW w:w="1299" w:type="dxa"/>
            <w:vAlign w:val="top"/>
          </w:tcPr>
          <w:p>
            <w:pPr>
              <w:ind w:left="618"/>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829" w:type="dxa"/>
            <w:vAlign w:val="top"/>
          </w:tcPr>
          <w:p>
            <w:pPr>
              <w:ind w:left="1287"/>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0.9</w:t>
            </w:r>
          </w:p>
        </w:tc>
      </w:tr>
      <w:tr>
        <w:trPr>
          <w:trHeight w:val="277" w:hRule="atLeast"/>
        </w:trPr>
        <w:tc>
          <w:tcPr>
            <w:tcW w:w="1137" w:type="dxa"/>
            <w:vAlign w:val="top"/>
          </w:tcPr>
          <w:p>
            <w:pPr>
              <w:ind w:left="485"/>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12</w:t>
            </w:r>
          </w:p>
        </w:tc>
        <w:tc>
          <w:tcPr>
            <w:tcW w:w="3254" w:type="dxa"/>
            <w:vAlign w:val="top"/>
          </w:tcPr>
          <w:p>
            <w:pPr>
              <w:pStyle w:val="TableText"/>
              <w:ind w:left="1006"/>
              <w:spacing w:before="36" w:line="213" w:lineRule="auto"/>
              <w:rPr/>
            </w:pPr>
            <w:r>
              <w:rPr>
                <w:spacing w:val="7"/>
              </w:rPr>
              <w:t>没有安全规程</w:t>
            </w:r>
          </w:p>
        </w:tc>
        <w:tc>
          <w:tcPr>
            <w:tcW w:w="1299" w:type="dxa"/>
            <w:vAlign w:val="top"/>
          </w:tcPr>
          <w:p>
            <w:pPr>
              <w:ind w:left="61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829" w:type="dxa"/>
            <w:vAlign w:val="top"/>
          </w:tcPr>
          <w:p>
            <w:pPr>
              <w:ind w:left="128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0.9</w:t>
            </w:r>
          </w:p>
        </w:tc>
      </w:tr>
      <w:tr>
        <w:trPr>
          <w:trHeight w:val="281" w:hRule="atLeast"/>
        </w:trPr>
        <w:tc>
          <w:tcPr>
            <w:tcW w:w="1137" w:type="dxa"/>
            <w:vAlign w:val="top"/>
          </w:tcPr>
          <w:p>
            <w:pPr>
              <w:ind w:left="485"/>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13</w:t>
            </w:r>
          </w:p>
        </w:tc>
        <w:tc>
          <w:tcPr>
            <w:tcW w:w="3254" w:type="dxa"/>
            <w:vAlign w:val="top"/>
          </w:tcPr>
          <w:p>
            <w:pPr>
              <w:pStyle w:val="TableText"/>
              <w:ind w:left="1423"/>
              <w:spacing w:before="34" w:line="218" w:lineRule="auto"/>
              <w:rPr/>
            </w:pPr>
            <w:r>
              <w:rPr>
                <w:spacing w:val="4"/>
              </w:rPr>
              <w:t>合计</w:t>
            </w:r>
          </w:p>
        </w:tc>
        <w:tc>
          <w:tcPr>
            <w:tcW w:w="1299" w:type="dxa"/>
            <w:vAlign w:val="top"/>
          </w:tcPr>
          <w:p>
            <w:pPr>
              <w:ind w:left="518"/>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116</w:t>
            </w:r>
          </w:p>
        </w:tc>
        <w:tc>
          <w:tcPr>
            <w:tcW w:w="2829" w:type="dxa"/>
            <w:vAlign w:val="top"/>
          </w:tcPr>
          <w:p>
            <w:pPr>
              <w:ind w:left="1278"/>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100</w:t>
            </w:r>
          </w:p>
        </w:tc>
      </w:tr>
    </w:tbl>
    <w:p>
      <w:pPr>
        <w:ind w:left="23" w:firstLine="505"/>
        <w:spacing w:before="36" w:line="360" w:lineRule="auto"/>
        <w:rPr>
          <w:rFonts w:ascii="SimSun" w:hAnsi="SimSun" w:eastAsia="SimSun" w:cs="SimSun"/>
          <w:sz w:val="24"/>
          <w:szCs w:val="24"/>
        </w:rPr>
      </w:pPr>
      <w:r>
        <w:rPr>
          <w:rFonts w:ascii="SimSun" w:hAnsi="SimSun" w:eastAsia="SimSun" w:cs="SimSun"/>
          <w:sz w:val="24"/>
          <w:szCs w:val="24"/>
          <w:spacing w:val="2"/>
        </w:rPr>
        <w:t>由上表可知，由于违反操作规程、违反劳动纪律、不懂技术操作等人为因素</w:t>
      </w:r>
      <w:r>
        <w:rPr>
          <w:rFonts w:ascii="SimSun" w:hAnsi="SimSun" w:eastAsia="SimSun" w:cs="SimSun"/>
          <w:sz w:val="24"/>
          <w:szCs w:val="24"/>
        </w:rPr>
        <w:t xml:space="preserve"> </w:t>
      </w:r>
      <w:r>
        <w:rPr>
          <w:rFonts w:ascii="SimSun" w:hAnsi="SimSun" w:eastAsia="SimSun" w:cs="SimSun"/>
          <w:sz w:val="24"/>
          <w:szCs w:val="24"/>
          <w:spacing w:val="-8"/>
        </w:rPr>
        <w:t>发生的事故最多，占</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8"/>
        </w:rPr>
        <w:t>65%</w:t>
      </w:r>
      <w:r>
        <w:rPr>
          <w:rFonts w:ascii="SimSun" w:hAnsi="SimSun" w:eastAsia="SimSun" w:cs="SimSun"/>
          <w:sz w:val="24"/>
          <w:szCs w:val="24"/>
          <w:spacing w:val="-8"/>
        </w:rPr>
        <w:t>以上，因设备缺陷、设计缺陷等引起事故次数约占</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8"/>
        </w:rPr>
        <w:t>23.3%</w:t>
      </w:r>
      <w:r>
        <w:rPr>
          <w:rFonts w:ascii="SimSun" w:hAnsi="SimSun" w:eastAsia="SimSun" w:cs="SimSun"/>
          <w:sz w:val="24"/>
          <w:szCs w:val="24"/>
          <w:spacing w:val="-8"/>
        </w:rPr>
        <w:t>。</w:t>
      </w:r>
    </w:p>
    <w:p>
      <w:pPr>
        <w:ind w:left="22"/>
        <w:spacing w:before="122" w:line="222" w:lineRule="auto"/>
        <w:outlineLvl w:val="2"/>
        <w:rPr>
          <w:rFonts w:ascii="SimHei" w:hAnsi="SimHei" w:eastAsia="SimHei" w:cs="SimHei"/>
          <w:sz w:val="28"/>
          <w:szCs w:val="28"/>
        </w:rPr>
      </w:pPr>
      <w:bookmarkStart w:name="bookmark135" w:id="166"/>
      <w:bookmarkEnd w:id="166"/>
      <w:r>
        <w:rPr>
          <w:rFonts w:ascii="Times New Roman" w:hAnsi="Times New Roman" w:eastAsia="Times New Roman" w:cs="Times New Roman"/>
          <w:sz w:val="28"/>
          <w:szCs w:val="28"/>
          <w:spacing w:val="-1"/>
        </w:rPr>
        <w:t>6.5.2 </w:t>
      </w:r>
      <w:r>
        <w:rPr>
          <w:rFonts w:ascii="SimHei" w:hAnsi="SimHei" w:eastAsia="SimHei" w:cs="SimHei"/>
          <w:sz w:val="28"/>
          <w:szCs w:val="28"/>
          <w:spacing w:val="-1"/>
        </w:rPr>
        <w:t>大气环境风险影响分析</w:t>
      </w:r>
    </w:p>
    <w:p>
      <w:pPr>
        <w:pStyle w:val="BodyText"/>
        <w:spacing w:line="241" w:lineRule="auto"/>
        <w:rPr/>
      </w:pPr>
      <w:r/>
    </w:p>
    <w:p>
      <w:pPr>
        <w:ind w:left="17" w:right="18" w:firstLine="482"/>
        <w:spacing w:before="78" w:line="359" w:lineRule="auto"/>
        <w:jc w:val="both"/>
        <w:rPr>
          <w:rFonts w:ascii="SimSun" w:hAnsi="SimSun" w:eastAsia="SimSun" w:cs="SimSun"/>
          <w:sz w:val="24"/>
          <w:szCs w:val="24"/>
        </w:rPr>
      </w:pPr>
      <w:r>
        <w:rPr>
          <w:rFonts w:ascii="SimSun" w:hAnsi="SimSun" w:eastAsia="SimSun" w:cs="SimSun"/>
          <w:sz w:val="24"/>
          <w:szCs w:val="24"/>
          <w:spacing w:val="3"/>
        </w:rPr>
        <w:t>本项目涉及的环境风险物质沼气、废矿物油属于易燃易爆</w:t>
      </w:r>
      <w:r>
        <w:rPr>
          <w:rFonts w:ascii="SimSun" w:hAnsi="SimSun" w:eastAsia="SimSun" w:cs="SimSun"/>
          <w:sz w:val="24"/>
          <w:szCs w:val="24"/>
          <w:spacing w:val="2"/>
        </w:rPr>
        <w:t>物质如果储存及输</w:t>
      </w:r>
      <w:r>
        <w:rPr>
          <w:rFonts w:ascii="SimSun" w:hAnsi="SimSun" w:eastAsia="SimSun" w:cs="SimSun"/>
          <w:sz w:val="24"/>
          <w:szCs w:val="24"/>
        </w:rPr>
        <w:t xml:space="preserve"> </w:t>
      </w:r>
      <w:r>
        <w:rPr>
          <w:rFonts w:ascii="SimSun" w:hAnsi="SimSun" w:eastAsia="SimSun" w:cs="SimSun"/>
          <w:sz w:val="24"/>
          <w:szCs w:val="24"/>
          <w:spacing w:val="3"/>
        </w:rPr>
        <w:t>送的环境、管理等其中的某一环节出现问题，可能会发生火灾</w:t>
      </w:r>
      <w:r>
        <w:rPr>
          <w:rFonts w:ascii="SimSun" w:hAnsi="SimSun" w:eastAsia="SimSun" w:cs="SimSun"/>
          <w:sz w:val="24"/>
          <w:szCs w:val="24"/>
          <w:spacing w:val="2"/>
        </w:rPr>
        <w:t>爆炸事故，造成无</w:t>
      </w:r>
      <w:r>
        <w:rPr>
          <w:rFonts w:ascii="SimSun" w:hAnsi="SimSun" w:eastAsia="SimSun" w:cs="SimSun"/>
          <w:sz w:val="24"/>
          <w:szCs w:val="24"/>
        </w:rPr>
        <w:t xml:space="preserve"> </w:t>
      </w:r>
      <w:r>
        <w:rPr>
          <w:rFonts w:ascii="SimSun" w:hAnsi="SimSun" w:eastAsia="SimSun" w:cs="SimSun"/>
          <w:sz w:val="24"/>
          <w:szCs w:val="24"/>
          <w:spacing w:val="-2"/>
        </w:rPr>
        <w:t>法估量的损失。夏季高温、雷雨等季候条件对环境风险</w:t>
      </w:r>
      <w:r>
        <w:rPr>
          <w:rFonts w:ascii="SimSun" w:hAnsi="SimSun" w:eastAsia="SimSun" w:cs="SimSun"/>
          <w:sz w:val="24"/>
          <w:szCs w:val="24"/>
          <w:spacing w:val="-3"/>
        </w:rPr>
        <w:t>物质的安全储存威胁很大，</w:t>
      </w:r>
      <w:r>
        <w:rPr>
          <w:rFonts w:ascii="SimSun" w:hAnsi="SimSun" w:eastAsia="SimSun" w:cs="SimSun"/>
          <w:sz w:val="24"/>
          <w:szCs w:val="24"/>
        </w:rPr>
        <w:t xml:space="preserve"> </w:t>
      </w:r>
      <w:r>
        <w:rPr>
          <w:rFonts w:ascii="SimSun" w:hAnsi="SimSun" w:eastAsia="SimSun" w:cs="SimSun"/>
          <w:sz w:val="24"/>
          <w:szCs w:val="24"/>
          <w:spacing w:val="3"/>
        </w:rPr>
        <w:t>很多环境风险物质火灾也多发生在炎热的夏季。环境风险物</w:t>
      </w:r>
      <w:r>
        <w:rPr>
          <w:rFonts w:ascii="SimSun" w:hAnsi="SimSun" w:eastAsia="SimSun" w:cs="SimSun"/>
          <w:sz w:val="24"/>
          <w:szCs w:val="24"/>
          <w:spacing w:val="2"/>
        </w:rPr>
        <w:t>质产生的火灾爆炸事</w:t>
      </w:r>
      <w:r>
        <w:rPr>
          <w:rFonts w:ascii="SimSun" w:hAnsi="SimSun" w:eastAsia="SimSun" w:cs="SimSun"/>
          <w:sz w:val="24"/>
          <w:szCs w:val="24"/>
        </w:rPr>
        <w:t xml:space="preserve"> </w:t>
      </w:r>
      <w:r>
        <w:rPr>
          <w:rFonts w:ascii="SimSun" w:hAnsi="SimSun" w:eastAsia="SimSun" w:cs="SimSun"/>
          <w:sz w:val="24"/>
          <w:szCs w:val="24"/>
          <w:spacing w:val="-1"/>
        </w:rPr>
        <w:t>故主要有以下几方面原因：</w:t>
      </w:r>
    </w:p>
    <w:p>
      <w:pPr>
        <w:ind w:left="18" w:firstLine="492"/>
        <w:spacing w:before="7" w:line="335" w:lineRule="auto"/>
        <w:rPr>
          <w:rFonts w:ascii="SimSun" w:hAnsi="SimSun" w:eastAsia="SimSun" w:cs="SimSun"/>
          <w:sz w:val="24"/>
          <w:szCs w:val="24"/>
        </w:rPr>
      </w:pPr>
      <w:r>
        <w:rPr>
          <w:rFonts w:ascii="SimSun" w:hAnsi="SimSun" w:eastAsia="SimSun" w:cs="SimSun"/>
          <w:sz w:val="24"/>
          <w:szCs w:val="24"/>
          <w:spacing w:val="-6"/>
        </w:rPr>
        <w:t>（</w:t>
      </w:r>
      <w:r>
        <w:rPr>
          <w:rFonts w:ascii="Times New Roman" w:hAnsi="Times New Roman" w:eastAsia="Times New Roman" w:cs="Times New Roman"/>
          <w:sz w:val="24"/>
          <w:szCs w:val="24"/>
          <w:spacing w:val="-6"/>
        </w:rPr>
        <w:t>1</w:t>
      </w:r>
      <w:r>
        <w:rPr>
          <w:rFonts w:ascii="SimSun" w:hAnsi="SimSun" w:eastAsia="SimSun" w:cs="SimSun"/>
          <w:sz w:val="24"/>
          <w:szCs w:val="24"/>
          <w:spacing w:val="-6"/>
        </w:rPr>
        <w:t>）温度升高使环境风险物质体积压力增大。易燃液体的膨胀系数普遍较大，</w:t>
      </w:r>
      <w:r>
        <w:rPr>
          <w:rFonts w:ascii="SimSun" w:hAnsi="SimSun" w:eastAsia="SimSun" w:cs="SimSun"/>
          <w:sz w:val="24"/>
          <w:szCs w:val="24"/>
          <w:spacing w:val="11"/>
        </w:rPr>
        <w:t xml:space="preserve"> </w:t>
      </w:r>
      <w:r>
        <w:rPr>
          <w:rFonts w:ascii="SimSun" w:hAnsi="SimSun" w:eastAsia="SimSun" w:cs="SimSun"/>
          <w:sz w:val="24"/>
          <w:szCs w:val="24"/>
          <w:spacing w:val="-2"/>
        </w:rPr>
        <w:t>储存在密闭容器中，受热后体积容易膨胀，同时蒸气压增大，使容器内压力增大。</w:t>
      </w:r>
      <w:r>
        <w:rPr>
          <w:rFonts w:ascii="SimSun" w:hAnsi="SimSun" w:eastAsia="SimSun" w:cs="SimSun"/>
          <w:sz w:val="24"/>
          <w:szCs w:val="24"/>
          <w:spacing w:val="6"/>
        </w:rPr>
        <w:t xml:space="preserve"> </w:t>
      </w:r>
      <w:r>
        <w:rPr>
          <w:rFonts w:ascii="SimSun" w:hAnsi="SimSun" w:eastAsia="SimSun" w:cs="SimSun"/>
          <w:sz w:val="24"/>
          <w:szCs w:val="24"/>
          <w:spacing w:val="3"/>
        </w:rPr>
        <w:t>容器内压力若超过了容器所能承受的压力，就会造成容器</w:t>
      </w:r>
      <w:r>
        <w:rPr>
          <w:rFonts w:ascii="SimSun" w:hAnsi="SimSun" w:eastAsia="SimSun" w:cs="SimSun"/>
          <w:sz w:val="24"/>
          <w:szCs w:val="24"/>
          <w:spacing w:val="2"/>
        </w:rPr>
        <w:t>故障，甚至炸裂。高温</w:t>
      </w:r>
      <w:r>
        <w:rPr>
          <w:rFonts w:ascii="SimSun" w:hAnsi="SimSun" w:eastAsia="SimSun" w:cs="SimSun"/>
          <w:sz w:val="24"/>
          <w:szCs w:val="24"/>
        </w:rPr>
        <w:t xml:space="preserve"> </w:t>
      </w:r>
      <w:r>
        <w:rPr>
          <w:rFonts w:ascii="SimSun" w:hAnsi="SimSun" w:eastAsia="SimSun" w:cs="SimSun"/>
          <w:sz w:val="24"/>
          <w:szCs w:val="24"/>
          <w:spacing w:val="2"/>
        </w:rPr>
        <w:t>季节，盛装易燃液体的铁桶出现的“鼓桶</w:t>
      </w:r>
      <w:r>
        <w:rPr>
          <w:rFonts w:ascii="SimSun" w:hAnsi="SimSun" w:eastAsia="SimSun" w:cs="SimSun"/>
          <w:sz w:val="24"/>
          <w:szCs w:val="24"/>
          <w:spacing w:val="-83"/>
        </w:rPr>
        <w:t xml:space="preserve"> </w:t>
      </w:r>
      <w:r>
        <w:rPr>
          <w:rFonts w:ascii="SimSun" w:hAnsi="SimSun" w:eastAsia="SimSun" w:cs="SimSun"/>
          <w:sz w:val="24"/>
          <w:szCs w:val="24"/>
          <w:spacing w:val="2"/>
        </w:rPr>
        <w:t>”现象</w:t>
      </w:r>
      <w:r>
        <w:rPr>
          <w:rFonts w:ascii="SimSun" w:hAnsi="SimSun" w:eastAsia="SimSun" w:cs="SimSun"/>
          <w:sz w:val="24"/>
          <w:szCs w:val="24"/>
          <w:spacing w:val="1"/>
        </w:rPr>
        <w:t>及玻璃容器出现的炸裂现象都是</w:t>
      </w:r>
      <w:r>
        <w:rPr>
          <w:rFonts w:ascii="SimSun" w:hAnsi="SimSun" w:eastAsia="SimSun" w:cs="SimSun"/>
          <w:sz w:val="24"/>
          <w:szCs w:val="24"/>
        </w:rPr>
        <w:t xml:space="preserve"> </w:t>
      </w:r>
      <w:r>
        <w:rPr>
          <w:rFonts w:ascii="SimSun" w:hAnsi="SimSun" w:eastAsia="SimSun" w:cs="SimSun"/>
          <w:sz w:val="24"/>
          <w:szCs w:val="24"/>
          <w:spacing w:val="3"/>
        </w:rPr>
        <w:t>易燃液体受热膨胀所致。如果容器是敞口，液体膨胀超过</w:t>
      </w:r>
      <w:r>
        <w:rPr>
          <w:rFonts w:ascii="SimSun" w:hAnsi="SimSun" w:eastAsia="SimSun" w:cs="SimSun"/>
          <w:sz w:val="24"/>
          <w:szCs w:val="24"/>
          <w:spacing w:val="2"/>
        </w:rPr>
        <w:t>其容量就会外溢，出现</w:t>
      </w:r>
      <w:r>
        <w:rPr>
          <w:rFonts w:ascii="SimSun" w:hAnsi="SimSun" w:eastAsia="SimSun" w:cs="SimSun"/>
          <w:sz w:val="24"/>
          <w:szCs w:val="24"/>
        </w:rPr>
        <w:t xml:space="preserve"> </w:t>
      </w:r>
      <w:r>
        <w:rPr>
          <w:rFonts w:ascii="SimSun" w:hAnsi="SimSun" w:eastAsia="SimSun" w:cs="SimSun"/>
          <w:sz w:val="24"/>
          <w:szCs w:val="24"/>
          <w:spacing w:val="-1"/>
        </w:rPr>
        <w:t>跑、冒、滴、漏现象。</w:t>
      </w:r>
    </w:p>
    <w:p>
      <w:pPr>
        <w:ind w:left="17" w:right="121" w:firstLine="493"/>
        <w:spacing w:before="183" w:line="28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）气体的膨胀系数更大。气体一般都是装在</w:t>
      </w:r>
      <w:r>
        <w:rPr>
          <w:rFonts w:ascii="SimSun" w:hAnsi="SimSun" w:eastAsia="SimSun" w:cs="SimSun"/>
          <w:sz w:val="24"/>
          <w:szCs w:val="24"/>
          <w:spacing w:val="-3"/>
        </w:rPr>
        <w:t>钢瓶里的，随着温度的升高，</w:t>
      </w:r>
      <w:r>
        <w:rPr>
          <w:rFonts w:ascii="SimSun" w:hAnsi="SimSun" w:eastAsia="SimSun" w:cs="SimSun"/>
          <w:sz w:val="24"/>
          <w:szCs w:val="24"/>
        </w:rPr>
        <w:t xml:space="preserve"> </w:t>
      </w:r>
      <w:r>
        <w:rPr>
          <w:rFonts w:ascii="SimSun" w:hAnsi="SimSun" w:eastAsia="SimSun" w:cs="SimSun"/>
          <w:sz w:val="24"/>
          <w:szCs w:val="24"/>
          <w:spacing w:val="-1"/>
        </w:rPr>
        <w:t>钢瓶内的压力就会增大。压力过高，钢瓶就有爆炸的危险。</w:t>
      </w:r>
    </w:p>
    <w:p>
      <w:pPr>
        <w:ind w:left="21" w:right="78" w:firstLine="489"/>
        <w:spacing w:before="180" w:line="32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）温度升高使液体的蒸发速度加快。易燃液体的蒸发性不但与</w:t>
      </w:r>
      <w:r>
        <w:rPr>
          <w:rFonts w:ascii="SimSun" w:hAnsi="SimSun" w:eastAsia="SimSun" w:cs="SimSun"/>
          <w:sz w:val="24"/>
          <w:szCs w:val="24"/>
          <w:spacing w:val="-2"/>
        </w:rPr>
        <w:t>液体本身的</w:t>
      </w:r>
      <w:r>
        <w:rPr>
          <w:rFonts w:ascii="SimSun" w:hAnsi="SimSun" w:eastAsia="SimSun" w:cs="SimSun"/>
          <w:sz w:val="24"/>
          <w:szCs w:val="24"/>
        </w:rPr>
        <w:t xml:space="preserve"> </w:t>
      </w:r>
      <w:r>
        <w:rPr>
          <w:rFonts w:ascii="SimSun" w:hAnsi="SimSun" w:eastAsia="SimSun" w:cs="SimSun"/>
          <w:sz w:val="24"/>
          <w:szCs w:val="24"/>
          <w:spacing w:val="3"/>
        </w:rPr>
        <w:t>性质有关，而且受周围环境的影响，其中温度对它的</w:t>
      </w:r>
      <w:r>
        <w:rPr>
          <w:rFonts w:ascii="SimSun" w:hAnsi="SimSun" w:eastAsia="SimSun" w:cs="SimSun"/>
          <w:sz w:val="24"/>
          <w:szCs w:val="24"/>
          <w:spacing w:val="2"/>
        </w:rPr>
        <w:t>影响更大。温度越高，易燃</w:t>
      </w:r>
      <w:r>
        <w:rPr>
          <w:rFonts w:ascii="SimSun" w:hAnsi="SimSun" w:eastAsia="SimSun" w:cs="SimSun"/>
          <w:sz w:val="24"/>
          <w:szCs w:val="24"/>
        </w:rPr>
        <w:t xml:space="preserve"> </w:t>
      </w:r>
      <w:r>
        <w:rPr>
          <w:rFonts w:ascii="SimSun" w:hAnsi="SimSun" w:eastAsia="SimSun" w:cs="SimSun"/>
          <w:sz w:val="24"/>
          <w:szCs w:val="24"/>
          <w:spacing w:val="3"/>
        </w:rPr>
        <w:t>液体蒸发的就越快，液面上蒸气浓度越高，蒸汽与空</w:t>
      </w:r>
      <w:r>
        <w:rPr>
          <w:rFonts w:ascii="SimSun" w:hAnsi="SimSun" w:eastAsia="SimSun" w:cs="SimSun"/>
          <w:sz w:val="24"/>
          <w:szCs w:val="24"/>
          <w:spacing w:val="2"/>
        </w:rPr>
        <w:t>气形成爆炸性混合气体的可</w:t>
      </w:r>
      <w:r>
        <w:rPr>
          <w:rFonts w:ascii="SimSun" w:hAnsi="SimSun" w:eastAsia="SimSun" w:cs="SimSun"/>
          <w:sz w:val="24"/>
          <w:szCs w:val="24"/>
        </w:rPr>
        <w:t xml:space="preserve"> </w:t>
      </w:r>
      <w:r>
        <w:rPr>
          <w:rFonts w:ascii="SimSun" w:hAnsi="SimSun" w:eastAsia="SimSun" w:cs="SimSun"/>
          <w:sz w:val="24"/>
          <w:szCs w:val="24"/>
          <w:spacing w:val="-1"/>
        </w:rPr>
        <w:t>能性就越大，火灾爆炸的危险性就越大。</w:t>
      </w:r>
    </w:p>
    <w:p>
      <w:pPr>
        <w:ind w:left="19" w:right="18" w:firstLine="491"/>
        <w:spacing w:before="186" w:line="32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）温度升高加速氧化分解和自燃。受温度、湿度等的影响，许</w:t>
      </w:r>
      <w:r>
        <w:rPr>
          <w:rFonts w:ascii="SimSun" w:hAnsi="SimSun" w:eastAsia="SimSun" w:cs="SimSun"/>
          <w:sz w:val="24"/>
          <w:szCs w:val="24"/>
          <w:spacing w:val="-2"/>
        </w:rPr>
        <w:t>多危险化学</w:t>
      </w:r>
      <w:r>
        <w:rPr>
          <w:rFonts w:ascii="SimSun" w:hAnsi="SimSun" w:eastAsia="SimSun" w:cs="SimSun"/>
          <w:sz w:val="24"/>
          <w:szCs w:val="24"/>
        </w:rPr>
        <w:t xml:space="preserve"> </w:t>
      </w:r>
      <w:r>
        <w:rPr>
          <w:rFonts w:ascii="SimSun" w:hAnsi="SimSun" w:eastAsia="SimSun" w:cs="SimSun"/>
          <w:sz w:val="24"/>
          <w:szCs w:val="24"/>
          <w:spacing w:val="3"/>
        </w:rPr>
        <w:t>品受热后容易分解，释放出氧气甚至氧原子，使其他物</w:t>
      </w:r>
      <w:r>
        <w:rPr>
          <w:rFonts w:ascii="SimSun" w:hAnsi="SimSun" w:eastAsia="SimSun" w:cs="SimSun"/>
          <w:sz w:val="24"/>
          <w:szCs w:val="24"/>
          <w:spacing w:val="2"/>
        </w:rPr>
        <w:t>质氧化，同时放出大量的</w:t>
      </w:r>
      <w:r>
        <w:rPr>
          <w:rFonts w:ascii="SimSun" w:hAnsi="SimSun" w:eastAsia="SimSun" w:cs="SimSun"/>
          <w:sz w:val="24"/>
          <w:szCs w:val="24"/>
        </w:rPr>
        <w:t xml:space="preserve"> </w:t>
      </w:r>
      <w:r>
        <w:rPr>
          <w:rFonts w:ascii="SimSun" w:hAnsi="SimSun" w:eastAsia="SimSun" w:cs="SimSun"/>
          <w:sz w:val="24"/>
          <w:szCs w:val="24"/>
          <w:spacing w:val="-2"/>
        </w:rPr>
        <w:t>热。如果通风不良，热量积聚不散，致使温度升高</w:t>
      </w:r>
      <w:r>
        <w:rPr>
          <w:rFonts w:ascii="SimSun" w:hAnsi="SimSun" w:eastAsia="SimSun" w:cs="SimSun"/>
          <w:sz w:val="24"/>
          <w:szCs w:val="24"/>
          <w:spacing w:val="-3"/>
        </w:rPr>
        <w:t>，又会加快化学品的氧化速度，</w:t>
      </w:r>
      <w:r>
        <w:rPr>
          <w:rFonts w:ascii="SimSun" w:hAnsi="SimSun" w:eastAsia="SimSun" w:cs="SimSun"/>
          <w:sz w:val="24"/>
          <w:szCs w:val="24"/>
        </w:rPr>
        <w:t xml:space="preserve"> </w:t>
      </w:r>
      <w:r>
        <w:rPr>
          <w:rFonts w:ascii="SimSun" w:hAnsi="SimSun" w:eastAsia="SimSun" w:cs="SimSun"/>
          <w:sz w:val="24"/>
          <w:szCs w:val="24"/>
        </w:rPr>
        <w:t>产生更多的热，促使温度继续升高，当温度达到</w:t>
      </w:r>
      <w:r>
        <w:rPr>
          <w:rFonts w:ascii="SimSun" w:hAnsi="SimSun" w:eastAsia="SimSun" w:cs="SimSun"/>
          <w:sz w:val="24"/>
          <w:szCs w:val="24"/>
          <w:spacing w:val="-1"/>
        </w:rPr>
        <w:t>其自燃点时，就会自燃。</w:t>
      </w:r>
    </w:p>
    <w:p>
      <w:pPr>
        <w:spacing w:line="324" w:lineRule="auto"/>
        <w:sectPr>
          <w:headerReference w:type="default" r:id="rId51"/>
          <w:footerReference w:type="default" r:id="rId345"/>
          <w:pgSz w:w="11907" w:h="16840"/>
          <w:pgMar w:top="1567" w:right="1621" w:bottom="1921" w:left="1691" w:header="1221" w:footer="1247" w:gutter="0"/>
        </w:sectPr>
        <w:rPr>
          <w:rFonts w:ascii="SimSun" w:hAnsi="SimSun" w:eastAsia="SimSun" w:cs="SimSun"/>
          <w:sz w:val="24"/>
          <w:szCs w:val="24"/>
        </w:rPr>
      </w:pPr>
    </w:p>
    <w:p>
      <w:pPr>
        <w:ind w:left="9" w:right="97" w:firstLine="481"/>
        <w:spacing w:before="188" w:line="359" w:lineRule="auto"/>
        <w:jc w:val="both"/>
        <w:rPr>
          <w:rFonts w:ascii="SimSun" w:hAnsi="SimSun" w:eastAsia="SimSun" w:cs="SimSun"/>
          <w:sz w:val="24"/>
          <w:szCs w:val="24"/>
        </w:rPr>
      </w:pPr>
      <w:r>
        <w:pict>
          <v:shape id="_x0000_s1154" style="position:absolute;margin-left:85.05pt;margin-top:79.11pt;mso-position-vertical-relative:page;mso-position-horizontal-relative:page;width:425.25pt;height:0.75pt;z-index:252252160;" o:allowincell="f" fillcolor="#000000" filled="true" stroked="false" coordsize="8505,15" coordorigin="0,0" path="m,l8505,0l8505,14l0,14l0,0xe"/>
        </w:pict>
      </w:r>
      <w:r>
        <w:rPr>
          <w:rFonts w:ascii="SimSun" w:hAnsi="SimSun" w:eastAsia="SimSun" w:cs="SimSun"/>
          <w:sz w:val="24"/>
          <w:szCs w:val="24"/>
          <w:spacing w:val="3"/>
        </w:rPr>
        <w:t>火灾爆炸事故产生的环境风险包括物料在火灾爆炸过程</w:t>
      </w:r>
      <w:r>
        <w:rPr>
          <w:rFonts w:ascii="SimSun" w:hAnsi="SimSun" w:eastAsia="SimSun" w:cs="SimSun"/>
          <w:sz w:val="24"/>
          <w:szCs w:val="24"/>
          <w:spacing w:val="2"/>
        </w:rPr>
        <w:t>中产生的次生污染物</w:t>
      </w:r>
      <w:r>
        <w:rPr>
          <w:rFonts w:ascii="SimSun" w:hAnsi="SimSun" w:eastAsia="SimSun" w:cs="SimSun"/>
          <w:sz w:val="24"/>
          <w:szCs w:val="24"/>
        </w:rPr>
        <w:t xml:space="preserve"> </w:t>
      </w:r>
      <w:r>
        <w:rPr>
          <w:rFonts w:ascii="SimSun" w:hAnsi="SimSun" w:eastAsia="SimSun" w:cs="SimSun"/>
          <w:sz w:val="24"/>
          <w:szCs w:val="24"/>
          <w:spacing w:val="3"/>
        </w:rPr>
        <w:t>一氧化碳（有毒气体）、氮氧化物及物料本身的挥发气</w:t>
      </w:r>
      <w:r>
        <w:rPr>
          <w:rFonts w:ascii="SimSun" w:hAnsi="SimSun" w:eastAsia="SimSun" w:cs="SimSun"/>
          <w:sz w:val="24"/>
          <w:szCs w:val="24"/>
          <w:spacing w:val="2"/>
        </w:rPr>
        <w:t>对大气环境的污染影响和</w:t>
      </w:r>
      <w:r>
        <w:rPr>
          <w:rFonts w:ascii="SimSun" w:hAnsi="SimSun" w:eastAsia="SimSun" w:cs="SimSun"/>
          <w:sz w:val="24"/>
          <w:szCs w:val="24"/>
        </w:rPr>
        <w:t xml:space="preserve"> </w:t>
      </w:r>
      <w:r>
        <w:rPr>
          <w:rFonts w:ascii="SimSun" w:hAnsi="SimSun" w:eastAsia="SimSun" w:cs="SimSun"/>
          <w:sz w:val="24"/>
          <w:szCs w:val="24"/>
          <w:spacing w:val="3"/>
        </w:rPr>
        <w:t>周边环境保护目标（主要为评价范围内的村庄）中人员</w:t>
      </w:r>
      <w:r>
        <w:rPr>
          <w:rFonts w:ascii="SimSun" w:hAnsi="SimSun" w:eastAsia="SimSun" w:cs="SimSun"/>
          <w:sz w:val="24"/>
          <w:szCs w:val="24"/>
          <w:spacing w:val="2"/>
        </w:rPr>
        <w:t>健康的影响；火灾爆炸导</w:t>
      </w:r>
      <w:r>
        <w:rPr>
          <w:rFonts w:ascii="SimSun" w:hAnsi="SimSun" w:eastAsia="SimSun" w:cs="SimSun"/>
          <w:sz w:val="24"/>
          <w:szCs w:val="24"/>
        </w:rPr>
        <w:t xml:space="preserve"> </w:t>
      </w:r>
      <w:r>
        <w:rPr>
          <w:rFonts w:ascii="SimSun" w:hAnsi="SimSun" w:eastAsia="SimSun" w:cs="SimSun"/>
          <w:sz w:val="24"/>
          <w:szCs w:val="24"/>
        </w:rPr>
        <w:t>致环境风险物质的飞溅、地表漫流、下渗等对土</w:t>
      </w:r>
      <w:r>
        <w:rPr>
          <w:rFonts w:ascii="SimSun" w:hAnsi="SimSun" w:eastAsia="SimSun" w:cs="SimSun"/>
          <w:sz w:val="24"/>
          <w:szCs w:val="24"/>
          <w:spacing w:val="-1"/>
        </w:rPr>
        <w:t>壤和地下水环境的污染。</w:t>
      </w:r>
    </w:p>
    <w:p>
      <w:pPr>
        <w:ind w:left="8" w:right="96" w:firstLine="481"/>
        <w:spacing w:line="359" w:lineRule="auto"/>
        <w:jc w:val="both"/>
        <w:rPr>
          <w:rFonts w:ascii="SimSun" w:hAnsi="SimSun" w:eastAsia="SimSun" w:cs="SimSun"/>
          <w:sz w:val="24"/>
          <w:szCs w:val="24"/>
        </w:rPr>
      </w:pPr>
      <w:r>
        <w:rPr>
          <w:rFonts w:ascii="SimSun" w:hAnsi="SimSun" w:eastAsia="SimSun" w:cs="SimSun"/>
          <w:sz w:val="24"/>
          <w:szCs w:val="24"/>
          <w:spacing w:val="3"/>
        </w:rPr>
        <w:t>本项目针对可能发生的火灾爆炸事故，建设了消防灭火系统，针</w:t>
      </w:r>
      <w:r>
        <w:rPr>
          <w:rFonts w:ascii="SimSun" w:hAnsi="SimSun" w:eastAsia="SimSun" w:cs="SimSun"/>
          <w:sz w:val="24"/>
          <w:szCs w:val="24"/>
          <w:spacing w:val="2"/>
        </w:rPr>
        <w:t>对环境风险</w:t>
      </w:r>
      <w:r>
        <w:rPr>
          <w:rFonts w:ascii="SimSun" w:hAnsi="SimSun" w:eastAsia="SimSun" w:cs="SimSun"/>
          <w:sz w:val="24"/>
          <w:szCs w:val="24"/>
        </w:rPr>
        <w:t xml:space="preserve"> </w:t>
      </w:r>
      <w:r>
        <w:rPr>
          <w:rFonts w:ascii="SimSun" w:hAnsi="SimSun" w:eastAsia="SimSun" w:cs="SimSun"/>
          <w:sz w:val="24"/>
          <w:szCs w:val="24"/>
          <w:spacing w:val="3"/>
        </w:rPr>
        <w:t>物质的理化性质有针对性的采取不同的灭火方式；建设了</w:t>
      </w:r>
      <w:r>
        <w:rPr>
          <w:rFonts w:ascii="SimSun" w:hAnsi="SimSun" w:eastAsia="SimSun" w:cs="SimSun"/>
          <w:sz w:val="24"/>
          <w:szCs w:val="24"/>
          <w:spacing w:val="2"/>
        </w:rPr>
        <w:t>火灾预防报警系统；针</w:t>
      </w:r>
      <w:r>
        <w:rPr>
          <w:rFonts w:ascii="SimSun" w:hAnsi="SimSun" w:eastAsia="SimSun" w:cs="SimSun"/>
          <w:sz w:val="24"/>
          <w:szCs w:val="24"/>
        </w:rPr>
        <w:t xml:space="preserve"> </w:t>
      </w:r>
      <w:r>
        <w:rPr>
          <w:rFonts w:ascii="SimSun" w:hAnsi="SimSun" w:eastAsia="SimSun" w:cs="SimSun"/>
          <w:sz w:val="24"/>
          <w:szCs w:val="24"/>
          <w:spacing w:val="3"/>
        </w:rPr>
        <w:t>对火灾爆炸事故可能产生的大气、水、土壤等环境的污染</w:t>
      </w:r>
      <w:r>
        <w:rPr>
          <w:rFonts w:ascii="SimSun" w:hAnsi="SimSun" w:eastAsia="SimSun" w:cs="SimSun"/>
          <w:sz w:val="24"/>
          <w:szCs w:val="24"/>
          <w:spacing w:val="2"/>
        </w:rPr>
        <w:t>影响的防治措施详见对</w:t>
      </w:r>
      <w:r>
        <w:rPr>
          <w:rFonts w:ascii="SimSun" w:hAnsi="SimSun" w:eastAsia="SimSun" w:cs="SimSun"/>
          <w:sz w:val="24"/>
          <w:szCs w:val="24"/>
        </w:rPr>
        <w:t xml:space="preserve"> </w:t>
      </w:r>
      <w:r>
        <w:rPr>
          <w:rFonts w:ascii="SimSun" w:hAnsi="SimSun" w:eastAsia="SimSun" w:cs="SimSun"/>
          <w:sz w:val="24"/>
          <w:szCs w:val="24"/>
          <w:spacing w:val="-1"/>
        </w:rPr>
        <w:t>应环境要素的控制措施分析内容。</w:t>
      </w:r>
    </w:p>
    <w:p>
      <w:pPr>
        <w:ind w:left="492"/>
        <w:spacing w:before="1" w:line="217" w:lineRule="auto"/>
        <w:rPr>
          <w:rFonts w:ascii="SimSun" w:hAnsi="SimSun" w:eastAsia="SimSun" w:cs="SimSun"/>
          <w:sz w:val="24"/>
          <w:szCs w:val="24"/>
        </w:rPr>
      </w:pPr>
      <w:r>
        <w:rPr>
          <w:rFonts w:ascii="SimSun" w:hAnsi="SimSun" w:eastAsia="SimSun" w:cs="SimSun"/>
          <w:sz w:val="24"/>
          <w:szCs w:val="24"/>
          <w:spacing w:val="-1"/>
        </w:rPr>
        <w:t>综上所述，本项目的火灾爆炸事故伴生</w:t>
      </w:r>
      <w:r>
        <w:rPr>
          <w:rFonts w:ascii="Times New Roman" w:hAnsi="Times New Roman" w:eastAsia="Times New Roman" w:cs="Times New Roman"/>
          <w:sz w:val="24"/>
          <w:szCs w:val="24"/>
          <w:spacing w:val="-1"/>
        </w:rPr>
        <w:t>/</w:t>
      </w:r>
      <w:r>
        <w:rPr>
          <w:rFonts w:ascii="SimSun" w:hAnsi="SimSun" w:eastAsia="SimSun" w:cs="SimSun"/>
          <w:sz w:val="24"/>
          <w:szCs w:val="24"/>
          <w:spacing w:val="-1"/>
        </w:rPr>
        <w:t>次生物对大气环境影响可以接受。</w:t>
      </w:r>
    </w:p>
    <w:p>
      <w:pPr>
        <w:ind w:left="12"/>
        <w:spacing w:before="308" w:line="222" w:lineRule="auto"/>
        <w:outlineLvl w:val="2"/>
        <w:rPr>
          <w:rFonts w:ascii="SimHei" w:hAnsi="SimHei" w:eastAsia="SimHei" w:cs="SimHei"/>
          <w:sz w:val="28"/>
          <w:szCs w:val="28"/>
        </w:rPr>
      </w:pPr>
      <w:bookmarkStart w:name="bookmark136" w:id="167"/>
      <w:bookmarkEnd w:id="167"/>
      <w:r>
        <w:rPr>
          <w:rFonts w:ascii="Times New Roman" w:hAnsi="Times New Roman" w:eastAsia="Times New Roman" w:cs="Times New Roman"/>
          <w:sz w:val="28"/>
          <w:szCs w:val="28"/>
          <w:spacing w:val="-1"/>
        </w:rPr>
        <w:t>6.5.3 </w:t>
      </w:r>
      <w:r>
        <w:rPr>
          <w:rFonts w:ascii="SimHei" w:hAnsi="SimHei" w:eastAsia="SimHei" w:cs="SimHei"/>
          <w:sz w:val="28"/>
          <w:szCs w:val="28"/>
          <w:spacing w:val="-1"/>
        </w:rPr>
        <w:t>地表水环境风险影响分析</w:t>
      </w:r>
    </w:p>
    <w:p>
      <w:pPr>
        <w:pStyle w:val="BodyText"/>
        <w:spacing w:line="242" w:lineRule="auto"/>
        <w:rPr/>
      </w:pPr>
      <w:r/>
    </w:p>
    <w:p>
      <w:pPr>
        <w:ind w:left="12" w:right="99" w:firstLine="478"/>
        <w:spacing w:before="78" w:line="360" w:lineRule="auto"/>
        <w:jc w:val="both"/>
        <w:rPr>
          <w:rFonts w:ascii="SimSun" w:hAnsi="SimSun" w:eastAsia="SimSun" w:cs="SimSun"/>
          <w:sz w:val="24"/>
          <w:szCs w:val="24"/>
        </w:rPr>
      </w:pPr>
      <w:r>
        <w:rPr>
          <w:rFonts w:ascii="SimSun" w:hAnsi="SimSun" w:eastAsia="SimSun" w:cs="SimSun"/>
          <w:sz w:val="24"/>
          <w:szCs w:val="24"/>
          <w:spacing w:val="3"/>
        </w:rPr>
        <w:t>本项目事故状态下产生的废水经应急事故水池收集后，分</w:t>
      </w:r>
      <w:r>
        <w:rPr>
          <w:rFonts w:ascii="SimSun" w:hAnsi="SimSun" w:eastAsia="SimSun" w:cs="SimSun"/>
          <w:sz w:val="24"/>
          <w:szCs w:val="24"/>
          <w:spacing w:val="2"/>
        </w:rPr>
        <w:t>批送往明安图镇污</w:t>
      </w:r>
      <w:r>
        <w:rPr>
          <w:rFonts w:ascii="SimSun" w:hAnsi="SimSun" w:eastAsia="SimSun" w:cs="SimSun"/>
          <w:sz w:val="24"/>
          <w:szCs w:val="24"/>
        </w:rPr>
        <w:t xml:space="preserve"> </w:t>
      </w:r>
      <w:r>
        <w:rPr>
          <w:rFonts w:ascii="SimSun" w:hAnsi="SimSun" w:eastAsia="SimSun" w:cs="SimSun"/>
          <w:sz w:val="24"/>
          <w:szCs w:val="24"/>
          <w:spacing w:val="3"/>
        </w:rPr>
        <w:t>水处理厂进行处理，不直接向外环境排放废</w:t>
      </w:r>
      <w:r>
        <w:rPr>
          <w:rFonts w:ascii="SimSun" w:hAnsi="SimSun" w:eastAsia="SimSun" w:cs="SimSun"/>
          <w:sz w:val="24"/>
          <w:szCs w:val="24"/>
          <w:spacing w:val="2"/>
        </w:rPr>
        <w:t>水，因此不再对地表水环境进行预测</w:t>
      </w:r>
      <w:r>
        <w:rPr>
          <w:rFonts w:ascii="SimSun" w:hAnsi="SimSun" w:eastAsia="SimSun" w:cs="SimSun"/>
          <w:sz w:val="24"/>
          <w:szCs w:val="24"/>
        </w:rPr>
        <w:t xml:space="preserve"> </w:t>
      </w:r>
      <w:r>
        <w:rPr>
          <w:rFonts w:ascii="SimSun" w:hAnsi="SimSun" w:eastAsia="SimSun" w:cs="SimSun"/>
          <w:sz w:val="24"/>
          <w:szCs w:val="24"/>
          <w:spacing w:val="-4"/>
        </w:rPr>
        <w:t>与评价。</w:t>
      </w:r>
    </w:p>
    <w:p>
      <w:pPr>
        <w:ind w:left="12"/>
        <w:spacing w:before="123" w:line="222" w:lineRule="auto"/>
        <w:outlineLvl w:val="2"/>
        <w:rPr>
          <w:rFonts w:ascii="SimHei" w:hAnsi="SimHei" w:eastAsia="SimHei" w:cs="SimHei"/>
          <w:sz w:val="28"/>
          <w:szCs w:val="28"/>
        </w:rPr>
      </w:pPr>
      <w:bookmarkStart w:name="bookmark137" w:id="168"/>
      <w:bookmarkEnd w:id="168"/>
      <w:r>
        <w:rPr>
          <w:rFonts w:ascii="Times New Roman" w:hAnsi="Times New Roman" w:eastAsia="Times New Roman" w:cs="Times New Roman"/>
          <w:sz w:val="28"/>
          <w:szCs w:val="28"/>
          <w:spacing w:val="-1"/>
        </w:rPr>
        <w:t>6.5.4 </w:t>
      </w:r>
      <w:r>
        <w:rPr>
          <w:rFonts w:ascii="SimHei" w:hAnsi="SimHei" w:eastAsia="SimHei" w:cs="SimHei"/>
          <w:sz w:val="28"/>
          <w:szCs w:val="28"/>
          <w:spacing w:val="-1"/>
        </w:rPr>
        <w:t>地下水环境风险影响预测与评价</w:t>
      </w:r>
    </w:p>
    <w:p>
      <w:pPr>
        <w:pStyle w:val="BodyText"/>
        <w:spacing w:line="241" w:lineRule="auto"/>
        <w:rPr/>
      </w:pPr>
      <w:r/>
    </w:p>
    <w:p>
      <w:pPr>
        <w:ind w:left="4" w:right="96" w:firstLine="485"/>
        <w:spacing w:before="79" w:line="359" w:lineRule="auto"/>
        <w:jc w:val="both"/>
        <w:rPr>
          <w:rFonts w:ascii="SimSun" w:hAnsi="SimSun" w:eastAsia="SimSun" w:cs="SimSun"/>
          <w:sz w:val="24"/>
          <w:szCs w:val="24"/>
        </w:rPr>
      </w:pPr>
      <w:r>
        <w:rPr>
          <w:rFonts w:ascii="SimSun" w:hAnsi="SimSun" w:eastAsia="SimSun" w:cs="SimSun"/>
          <w:sz w:val="24"/>
          <w:szCs w:val="24"/>
          <w:spacing w:val="3"/>
        </w:rPr>
        <w:t>地下水环境影响预测见地下水环境风险预测，风险预测分析与评价</w:t>
      </w:r>
      <w:r>
        <w:rPr>
          <w:rFonts w:ascii="SimSun" w:hAnsi="SimSun" w:eastAsia="SimSun" w:cs="SimSun"/>
          <w:sz w:val="24"/>
          <w:szCs w:val="24"/>
          <w:spacing w:val="2"/>
        </w:rPr>
        <w:t>要求参照</w:t>
      </w:r>
      <w:r>
        <w:rPr>
          <w:rFonts w:ascii="SimSun" w:hAnsi="SimSun" w:eastAsia="SimSun" w:cs="SimSun"/>
          <w:sz w:val="24"/>
          <w:szCs w:val="24"/>
        </w:rPr>
        <w:t xml:space="preserve"> </w:t>
      </w:r>
      <w:r>
        <w:rPr>
          <w:rFonts w:ascii="Times New Roman" w:hAnsi="Times New Roman" w:eastAsia="Times New Roman" w:cs="Times New Roman"/>
          <w:sz w:val="24"/>
          <w:szCs w:val="24"/>
          <w:spacing w:val="-2"/>
        </w:rPr>
        <w:t>HJ610</w:t>
      </w:r>
      <w:r>
        <w:rPr>
          <w:rFonts w:ascii="SimSun" w:hAnsi="SimSun" w:eastAsia="SimSun" w:cs="SimSun"/>
          <w:sz w:val="24"/>
          <w:szCs w:val="24"/>
          <w:spacing w:val="-2"/>
        </w:rPr>
        <w:t>执行，项目选择了事故状态下的</w:t>
      </w:r>
      <w:r>
        <w:rPr>
          <w:rFonts w:ascii="Times New Roman" w:hAnsi="Times New Roman" w:eastAsia="Times New Roman" w:cs="Times New Roman"/>
          <w:sz w:val="24"/>
          <w:szCs w:val="24"/>
          <w:spacing w:val="-2"/>
        </w:rPr>
        <w:t>TS</w:t>
      </w:r>
      <w:r>
        <w:rPr>
          <w:rFonts w:ascii="SimSun" w:hAnsi="SimSun" w:eastAsia="SimSun" w:cs="SimSun"/>
          <w:sz w:val="24"/>
          <w:szCs w:val="24"/>
          <w:spacing w:val="-2"/>
        </w:rPr>
        <w:t>调节池泄漏进行</w:t>
      </w:r>
      <w:r>
        <w:rPr>
          <w:rFonts w:ascii="SimSun" w:hAnsi="SimSun" w:eastAsia="SimSun" w:cs="SimSun"/>
          <w:sz w:val="24"/>
          <w:szCs w:val="24"/>
          <w:spacing w:val="-3"/>
        </w:rPr>
        <w:t>预测，根据本报告地下水</w:t>
      </w:r>
      <w:r>
        <w:rPr>
          <w:rFonts w:ascii="SimSun" w:hAnsi="SimSun" w:eastAsia="SimSun" w:cs="SimSun"/>
          <w:sz w:val="24"/>
          <w:szCs w:val="24"/>
        </w:rPr>
        <w:t xml:space="preserve"> </w:t>
      </w:r>
      <w:r>
        <w:rPr>
          <w:rFonts w:ascii="SimSun" w:hAnsi="SimSun" w:eastAsia="SimSun" w:cs="SimSun"/>
          <w:sz w:val="24"/>
          <w:szCs w:val="24"/>
          <w:spacing w:val="-1"/>
        </w:rPr>
        <w:t>预测章节，预测结果如下：</w:t>
      </w:r>
    </w:p>
    <w:p>
      <w:pPr>
        <w:ind w:left="8" w:right="37" w:firstLine="481"/>
        <w:spacing w:before="1" w:line="359" w:lineRule="auto"/>
        <w:jc w:val="both"/>
        <w:rPr>
          <w:rFonts w:ascii="SimSun" w:hAnsi="SimSun" w:eastAsia="SimSun" w:cs="SimSun"/>
          <w:sz w:val="24"/>
          <w:szCs w:val="24"/>
        </w:rPr>
      </w:pPr>
      <w:r>
        <w:rPr>
          <w:rFonts w:ascii="SimSun" w:hAnsi="SimSun" w:eastAsia="SimSun" w:cs="SimSun"/>
          <w:sz w:val="24"/>
          <w:szCs w:val="24"/>
          <w:spacing w:val="-4"/>
        </w:rPr>
        <w:t>厌氧发酵装置</w:t>
      </w:r>
      <w:r>
        <w:rPr>
          <w:rFonts w:ascii="Times New Roman" w:hAnsi="Times New Roman" w:eastAsia="Times New Roman" w:cs="Times New Roman"/>
          <w:sz w:val="24"/>
          <w:szCs w:val="24"/>
          <w:spacing w:val="-4"/>
        </w:rPr>
        <w:t>TS</w:t>
      </w:r>
      <w:r>
        <w:rPr>
          <w:rFonts w:ascii="SimSun" w:hAnsi="SimSun" w:eastAsia="SimSun" w:cs="SimSun"/>
          <w:sz w:val="24"/>
          <w:szCs w:val="24"/>
          <w:spacing w:val="-4"/>
        </w:rPr>
        <w:t>调节池发生非正常状况泄漏后，若能及时采取应急处置措施，</w:t>
      </w:r>
      <w:r>
        <w:rPr>
          <w:rFonts w:ascii="SimSun" w:hAnsi="SimSun" w:eastAsia="SimSun" w:cs="SimSun"/>
          <w:sz w:val="24"/>
          <w:szCs w:val="24"/>
          <w:spacing w:val="13"/>
        </w:rPr>
        <w:t xml:space="preserve"> </w:t>
      </w:r>
      <w:r>
        <w:rPr>
          <w:rFonts w:ascii="SimSun" w:hAnsi="SimSun" w:eastAsia="SimSun" w:cs="SimSun"/>
          <w:sz w:val="24"/>
          <w:szCs w:val="24"/>
          <w:spacing w:val="3"/>
        </w:rPr>
        <w:t>在较短的时间内切断污染物下渗通道，下渗引起的污染晕</w:t>
      </w:r>
      <w:r>
        <w:rPr>
          <w:rFonts w:ascii="SimSun" w:hAnsi="SimSun" w:eastAsia="SimSun" w:cs="SimSun"/>
          <w:sz w:val="24"/>
          <w:szCs w:val="24"/>
          <w:spacing w:val="2"/>
        </w:rPr>
        <w:t>不会对含水层造成持续</w:t>
      </w:r>
      <w:r>
        <w:rPr>
          <w:rFonts w:ascii="SimSun" w:hAnsi="SimSun" w:eastAsia="SimSun" w:cs="SimSun"/>
          <w:sz w:val="24"/>
          <w:szCs w:val="24"/>
        </w:rPr>
        <w:t xml:space="preserve"> </w:t>
      </w:r>
      <w:r>
        <w:rPr>
          <w:rFonts w:ascii="SimSun" w:hAnsi="SimSun" w:eastAsia="SimSun" w:cs="SimSun"/>
          <w:sz w:val="24"/>
          <w:szCs w:val="24"/>
          <w:spacing w:val="-1"/>
        </w:rPr>
        <w:t>的污染，不会对周边的分散式饮用水源地造成污染。</w:t>
      </w:r>
    </w:p>
    <w:p>
      <w:pPr>
        <w:ind w:left="494" w:firstLine="56"/>
        <w:spacing w:line="359" w:lineRule="auto"/>
        <w:rPr>
          <w:rFonts w:ascii="SimSun" w:hAnsi="SimSun" w:eastAsia="SimSun" w:cs="SimSun"/>
          <w:sz w:val="24"/>
          <w:szCs w:val="24"/>
        </w:rPr>
      </w:pPr>
      <w:r>
        <w:rPr>
          <w:rFonts w:ascii="SimSun" w:hAnsi="SimSun" w:eastAsia="SimSun" w:cs="SimSun"/>
          <w:sz w:val="24"/>
          <w:szCs w:val="24"/>
          <w:spacing w:val="-1"/>
        </w:rPr>
        <w:t>厌氧发酵</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TS </w:t>
      </w:r>
      <w:r>
        <w:rPr>
          <w:rFonts w:ascii="SimSun" w:hAnsi="SimSun" w:eastAsia="SimSun" w:cs="SimSun"/>
          <w:sz w:val="24"/>
          <w:szCs w:val="24"/>
          <w:spacing w:val="-1"/>
        </w:rPr>
        <w:t>调节池中的洗毛车间废水全部作为厌氧发酵装置原料，不外</w:t>
      </w:r>
      <w:r>
        <w:rPr>
          <w:rFonts w:ascii="SimSun" w:hAnsi="SimSun" w:eastAsia="SimSun" w:cs="SimSun"/>
          <w:sz w:val="24"/>
          <w:szCs w:val="24"/>
          <w:spacing w:val="-2"/>
        </w:rPr>
        <w:t>排。</w:t>
      </w:r>
      <w:r>
        <w:rPr>
          <w:rFonts w:ascii="SimSun" w:hAnsi="SimSun" w:eastAsia="SimSun" w:cs="SimSun"/>
          <w:sz w:val="24"/>
          <w:szCs w:val="24"/>
        </w:rPr>
        <w:t xml:space="preserve"> </w:t>
      </w:r>
      <w:r>
        <w:rPr>
          <w:rFonts w:ascii="SimSun" w:hAnsi="SimSun" w:eastAsia="SimSun" w:cs="SimSun"/>
          <w:sz w:val="24"/>
          <w:szCs w:val="24"/>
          <w:spacing w:val="-4"/>
        </w:rPr>
        <w:t>正常工况下，企业按照《环境影响评价技术导则 地下水环境》（</w:t>
      </w:r>
      <w:r>
        <w:rPr>
          <w:rFonts w:ascii="Times New Roman" w:hAnsi="Times New Roman" w:eastAsia="Times New Roman" w:cs="Times New Roman"/>
          <w:sz w:val="24"/>
          <w:szCs w:val="24"/>
          <w:spacing w:val="-4"/>
        </w:rPr>
        <w:t>HJ610-2016</w:t>
      </w:r>
      <w:r>
        <w:rPr>
          <w:rFonts w:ascii="SimSun" w:hAnsi="SimSun" w:eastAsia="SimSun" w:cs="SimSun"/>
          <w:sz w:val="24"/>
          <w:szCs w:val="24"/>
          <w:spacing w:val="-4"/>
        </w:rPr>
        <w:t>）</w:t>
      </w:r>
    </w:p>
    <w:p>
      <w:pPr>
        <w:ind w:left="34" w:right="97" w:hanging="2"/>
        <w:spacing w:line="359" w:lineRule="auto"/>
        <w:rPr>
          <w:rFonts w:ascii="SimSun" w:hAnsi="SimSun" w:eastAsia="SimSun" w:cs="SimSun"/>
          <w:sz w:val="24"/>
          <w:szCs w:val="24"/>
        </w:rPr>
      </w:pPr>
      <w:r>
        <w:rPr>
          <w:rFonts w:ascii="SimSun" w:hAnsi="SimSun" w:eastAsia="SimSun" w:cs="SimSun"/>
          <w:sz w:val="24"/>
          <w:szCs w:val="24"/>
          <w:spacing w:val="2"/>
        </w:rPr>
        <w:t>中的相关要求做好厂区防渗，并且定期检查，防渗层发生破损及时修补，发现跑 </w:t>
      </w:r>
      <w:r>
        <w:rPr>
          <w:rFonts w:ascii="SimSun" w:hAnsi="SimSun" w:eastAsia="SimSun" w:cs="SimSun"/>
          <w:sz w:val="24"/>
          <w:szCs w:val="24"/>
          <w:spacing w:val="-1"/>
        </w:rPr>
        <w:t>冒滴漏及时清理，定期监测，可有效避免项目对地下水环境</w:t>
      </w:r>
      <w:r>
        <w:rPr>
          <w:rFonts w:ascii="SimSun" w:hAnsi="SimSun" w:eastAsia="SimSun" w:cs="SimSun"/>
          <w:sz w:val="24"/>
          <w:szCs w:val="24"/>
          <w:spacing w:val="-2"/>
        </w:rPr>
        <w:t>产生污染。</w:t>
      </w:r>
    </w:p>
    <w:p>
      <w:pPr>
        <w:ind w:left="12" w:right="37" w:firstLine="480"/>
        <w:spacing w:before="2" w:line="360" w:lineRule="auto"/>
        <w:jc w:val="both"/>
        <w:rPr>
          <w:rFonts w:ascii="SimSun" w:hAnsi="SimSun" w:eastAsia="SimSun" w:cs="SimSun"/>
          <w:sz w:val="24"/>
          <w:szCs w:val="24"/>
        </w:rPr>
      </w:pPr>
      <w:r>
        <w:rPr>
          <w:rFonts w:ascii="SimSun" w:hAnsi="SimSun" w:eastAsia="SimSun" w:cs="SimSun"/>
          <w:sz w:val="24"/>
          <w:szCs w:val="24"/>
          <w:spacing w:val="3"/>
        </w:rPr>
        <w:t>非正常工况下，污水各池体防渗层发生破损而造成</w:t>
      </w:r>
      <w:r>
        <w:rPr>
          <w:rFonts w:ascii="SimSun" w:hAnsi="SimSun" w:eastAsia="SimSun" w:cs="SimSun"/>
          <w:sz w:val="24"/>
          <w:szCs w:val="24"/>
          <w:spacing w:val="2"/>
        </w:rPr>
        <w:t>泄漏，工作人员发现泄漏</w:t>
      </w:r>
      <w:r>
        <w:rPr>
          <w:rFonts w:ascii="SimSun" w:hAnsi="SimSun" w:eastAsia="SimSun" w:cs="SimSun"/>
          <w:sz w:val="24"/>
          <w:szCs w:val="24"/>
        </w:rPr>
        <w:t xml:space="preserve"> </w:t>
      </w:r>
      <w:r>
        <w:rPr>
          <w:rFonts w:ascii="SimSun" w:hAnsi="SimSun" w:eastAsia="SimSun" w:cs="SimSun"/>
          <w:sz w:val="24"/>
          <w:szCs w:val="24"/>
          <w:spacing w:val="3"/>
        </w:rPr>
        <w:t>需要一定时间，根据模型分析，非正常工况下污染</w:t>
      </w:r>
      <w:r>
        <w:rPr>
          <w:rFonts w:ascii="SimSun" w:hAnsi="SimSun" w:eastAsia="SimSun" w:cs="SimSun"/>
          <w:sz w:val="24"/>
          <w:szCs w:val="24"/>
          <w:spacing w:val="2"/>
        </w:rPr>
        <w:t>物的持续泄漏将会对下游地下</w:t>
      </w:r>
      <w:r>
        <w:rPr>
          <w:rFonts w:ascii="SimSun" w:hAnsi="SimSun" w:eastAsia="SimSun" w:cs="SimSun"/>
          <w:sz w:val="24"/>
          <w:szCs w:val="24"/>
        </w:rPr>
        <w:t xml:space="preserve"> </w:t>
      </w:r>
      <w:r>
        <w:rPr>
          <w:rFonts w:ascii="SimSun" w:hAnsi="SimSun" w:eastAsia="SimSun" w:cs="SimSun"/>
          <w:sz w:val="24"/>
          <w:szCs w:val="24"/>
          <w:spacing w:val="-2"/>
        </w:rPr>
        <w:t>水局部产生较大的影响，因此项目管理方应</w:t>
      </w:r>
      <w:r>
        <w:rPr>
          <w:rFonts w:ascii="SimSun" w:hAnsi="SimSun" w:eastAsia="SimSun" w:cs="SimSun"/>
          <w:sz w:val="24"/>
          <w:szCs w:val="24"/>
          <w:spacing w:val="-3"/>
        </w:rPr>
        <w:t>加强废水构筑物防渗层的检查与维护，</w:t>
      </w:r>
    </w:p>
    <w:p>
      <w:pPr>
        <w:pStyle w:val="BodyText"/>
        <w:spacing w:line="294" w:lineRule="auto"/>
        <w:rPr/>
      </w:pPr>
      <w:r/>
    </w:p>
    <w:p>
      <w:pPr>
        <w:ind w:left="7"/>
        <w:spacing w:before="62" w:line="227" w:lineRule="auto"/>
        <w:rPr>
          <w:rFonts w:ascii="SimSun" w:hAnsi="SimSun" w:eastAsia="SimSun" w:cs="SimSun"/>
          <w:sz w:val="19"/>
          <w:szCs w:val="19"/>
        </w:rPr>
      </w:pPr>
      <w:r>
        <w:pict>
          <v:shape id="_x0000_s1156" style="position:absolute;margin-left:159.33pt;margin-top:2.09751pt;mso-position-vertical-relative:text;mso-position-horizontal-relative:text;width:61pt;height:13.75pt;z-index:25225113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251</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29"/>
          <w:footerReference w:type="default" r:id="rId3"/>
          <w:pgSz w:w="11907" w:h="16840"/>
          <w:pgMar w:top="1567" w:right="1603" w:bottom="400" w:left="1701" w:header="1221" w:footer="0" w:gutter="0"/>
        </w:sectPr>
        <w:rPr>
          <w:rFonts w:ascii="SimSun" w:hAnsi="SimSun" w:eastAsia="SimSun" w:cs="SimSun"/>
          <w:sz w:val="19"/>
          <w:szCs w:val="19"/>
        </w:rPr>
      </w:pPr>
    </w:p>
    <w:p>
      <w:pPr>
        <w:ind w:left="10"/>
        <w:spacing w:before="168" w:line="219" w:lineRule="auto"/>
        <w:rPr>
          <w:rFonts w:ascii="SimSun" w:hAnsi="SimSun" w:eastAsia="SimSun" w:cs="SimSun"/>
          <w:sz w:val="24"/>
          <w:szCs w:val="24"/>
        </w:rPr>
      </w:pPr>
      <w:r>
        <w:pict>
          <v:shape id="_x0000_s1158" style="position:absolute;margin-left:85.05pt;margin-top:78.87pt;mso-position-vertical-relative:page;mso-position-horizontal-relative:page;width:425.25pt;height:0.75pt;z-index:252254208;" o:allowincell="f" fillcolor="#000000" filled="true" stroked="false" coordsize="8505,15" coordorigin="0,0" path="m,l8505,0l8505,14l0,14l0,0xe"/>
        </w:pict>
      </w:r>
      <w:r>
        <w:rPr>
          <w:rFonts w:ascii="SimSun" w:hAnsi="SimSun" w:eastAsia="SimSun" w:cs="SimSun"/>
          <w:sz w:val="24"/>
          <w:szCs w:val="24"/>
          <w:spacing w:val="-1"/>
        </w:rPr>
        <w:t>尽量缩短非正常工况污染周期，以减小对下游水质的影响。</w:t>
      </w:r>
    </w:p>
    <w:p>
      <w:pPr>
        <w:ind w:left="12"/>
        <w:spacing w:before="307" w:line="222" w:lineRule="auto"/>
        <w:outlineLvl w:val="2"/>
        <w:rPr>
          <w:rFonts w:ascii="SimHei" w:hAnsi="SimHei" w:eastAsia="SimHei" w:cs="SimHei"/>
          <w:sz w:val="28"/>
          <w:szCs w:val="28"/>
        </w:rPr>
      </w:pPr>
      <w:bookmarkStart w:name="bookmark138" w:id="169"/>
      <w:bookmarkEnd w:id="169"/>
      <w:r>
        <w:rPr>
          <w:rFonts w:ascii="Times New Roman" w:hAnsi="Times New Roman" w:eastAsia="Times New Roman" w:cs="Times New Roman"/>
          <w:sz w:val="28"/>
          <w:szCs w:val="28"/>
          <w:spacing w:val="-1"/>
        </w:rPr>
        <w:t>6.5.5 </w:t>
      </w:r>
      <w:r>
        <w:rPr>
          <w:rFonts w:ascii="SimHei" w:hAnsi="SimHei" w:eastAsia="SimHei" w:cs="SimHei"/>
          <w:sz w:val="28"/>
          <w:szCs w:val="28"/>
          <w:spacing w:val="-1"/>
        </w:rPr>
        <w:t>土壤环境风险影响分析</w:t>
      </w:r>
    </w:p>
    <w:p>
      <w:pPr>
        <w:pStyle w:val="BodyText"/>
        <w:rPr/>
      </w:pPr>
      <w:r/>
    </w:p>
    <w:p>
      <w:pPr>
        <w:ind w:left="10" w:firstLine="480"/>
        <w:spacing w:before="78" w:line="360" w:lineRule="auto"/>
        <w:rPr>
          <w:rFonts w:ascii="SimSun" w:hAnsi="SimSun" w:eastAsia="SimSun" w:cs="SimSun"/>
          <w:sz w:val="24"/>
          <w:szCs w:val="24"/>
        </w:rPr>
      </w:pPr>
      <w:r>
        <w:rPr>
          <w:rFonts w:ascii="SimSun" w:hAnsi="SimSun" w:eastAsia="SimSun" w:cs="SimSun"/>
          <w:sz w:val="24"/>
          <w:szCs w:val="24"/>
          <w:spacing w:val="3"/>
        </w:rPr>
        <w:t>本项目可能发生的土壤环境风险主要来自环境风险物质的贮存设</w:t>
      </w:r>
      <w:r>
        <w:rPr>
          <w:rFonts w:ascii="SimSun" w:hAnsi="SimSun" w:eastAsia="SimSun" w:cs="SimSun"/>
          <w:sz w:val="24"/>
          <w:szCs w:val="24"/>
          <w:spacing w:val="2"/>
        </w:rPr>
        <w:t>施、储罐、</w:t>
      </w:r>
      <w:r>
        <w:rPr>
          <w:rFonts w:ascii="SimSun" w:hAnsi="SimSun" w:eastAsia="SimSun" w:cs="SimSun"/>
          <w:sz w:val="24"/>
          <w:szCs w:val="24"/>
        </w:rPr>
        <w:t xml:space="preserve"> </w:t>
      </w:r>
      <w:r>
        <w:rPr>
          <w:rFonts w:ascii="SimSun" w:hAnsi="SimSun" w:eastAsia="SimSun" w:cs="SimSun"/>
          <w:sz w:val="24"/>
          <w:szCs w:val="24"/>
          <w:spacing w:val="3"/>
        </w:rPr>
        <w:t>生产装置及物料输送管道发生破损，导致环境风</w:t>
      </w:r>
      <w:r>
        <w:rPr>
          <w:rFonts w:ascii="SimSun" w:hAnsi="SimSun" w:eastAsia="SimSun" w:cs="SimSun"/>
          <w:sz w:val="24"/>
          <w:szCs w:val="24"/>
          <w:spacing w:val="2"/>
        </w:rPr>
        <w:t>险物料泄漏，未被及时收集进入</w:t>
      </w:r>
      <w:r>
        <w:rPr>
          <w:rFonts w:ascii="SimSun" w:hAnsi="SimSun" w:eastAsia="SimSun" w:cs="SimSun"/>
          <w:sz w:val="24"/>
          <w:szCs w:val="24"/>
        </w:rPr>
        <w:t xml:space="preserve"> </w:t>
      </w:r>
      <w:r>
        <w:rPr>
          <w:rFonts w:ascii="SimSun" w:hAnsi="SimSun" w:eastAsia="SimSun" w:cs="SimSun"/>
          <w:sz w:val="24"/>
          <w:szCs w:val="24"/>
          <w:spacing w:val="3"/>
        </w:rPr>
        <w:t>土壤环境，对其造成污染，影响土壤中的微生物生存，</w:t>
      </w:r>
      <w:r>
        <w:rPr>
          <w:rFonts w:ascii="SimSun" w:hAnsi="SimSun" w:eastAsia="SimSun" w:cs="SimSun"/>
          <w:sz w:val="24"/>
          <w:szCs w:val="24"/>
          <w:spacing w:val="2"/>
        </w:rPr>
        <w:t>造成土隙的盐碱化，破坏</w:t>
      </w:r>
      <w:r>
        <w:rPr>
          <w:rFonts w:ascii="SimSun" w:hAnsi="SimSun" w:eastAsia="SimSun" w:cs="SimSun"/>
          <w:sz w:val="24"/>
          <w:szCs w:val="24"/>
        </w:rPr>
        <w:t xml:space="preserve"> </w:t>
      </w:r>
      <w:r>
        <w:rPr>
          <w:rFonts w:ascii="SimSun" w:hAnsi="SimSun" w:eastAsia="SimSun" w:cs="SimSun"/>
          <w:sz w:val="24"/>
          <w:szCs w:val="24"/>
          <w:spacing w:val="-1"/>
        </w:rPr>
        <w:t>土壤的结构，对土壤环境造成局部斑块状的影响。</w:t>
      </w:r>
    </w:p>
    <w:p>
      <w:pPr>
        <w:ind w:left="9" w:firstLine="480"/>
        <w:spacing w:before="5" w:line="358" w:lineRule="auto"/>
        <w:jc w:val="both"/>
        <w:rPr>
          <w:rFonts w:ascii="SimSun" w:hAnsi="SimSun" w:eastAsia="SimSun" w:cs="SimSun"/>
          <w:sz w:val="24"/>
          <w:szCs w:val="24"/>
        </w:rPr>
      </w:pPr>
      <w:r>
        <w:rPr>
          <w:rFonts w:ascii="SimSun" w:hAnsi="SimSun" w:eastAsia="SimSun" w:cs="SimSun"/>
          <w:sz w:val="24"/>
          <w:szCs w:val="24"/>
          <w:spacing w:val="3"/>
        </w:rPr>
        <w:t>本项目通过对环境风险物质的贮存设施、储罐、生产装置地面进</w:t>
      </w:r>
      <w:r>
        <w:rPr>
          <w:rFonts w:ascii="SimSun" w:hAnsi="SimSun" w:eastAsia="SimSun" w:cs="SimSun"/>
          <w:sz w:val="24"/>
          <w:szCs w:val="24"/>
          <w:spacing w:val="2"/>
        </w:rPr>
        <w:t>行硬化、防</w:t>
      </w:r>
      <w:r>
        <w:rPr>
          <w:rFonts w:ascii="SimSun" w:hAnsi="SimSun" w:eastAsia="SimSun" w:cs="SimSun"/>
          <w:sz w:val="24"/>
          <w:szCs w:val="24"/>
        </w:rPr>
        <w:t xml:space="preserve"> </w:t>
      </w:r>
      <w:r>
        <w:rPr>
          <w:rFonts w:ascii="SimSun" w:hAnsi="SimSun" w:eastAsia="SimSun" w:cs="SimSun"/>
          <w:sz w:val="24"/>
          <w:szCs w:val="24"/>
          <w:spacing w:val="3"/>
        </w:rPr>
        <w:t>渗、防腐等处理，环境风险物质的贮存设施、生产</w:t>
      </w:r>
      <w:r>
        <w:rPr>
          <w:rFonts w:ascii="SimSun" w:hAnsi="SimSun" w:eastAsia="SimSun" w:cs="SimSun"/>
          <w:sz w:val="24"/>
          <w:szCs w:val="24"/>
          <w:spacing w:val="2"/>
        </w:rPr>
        <w:t>装置设处设置防泄漏裙脚，防</w:t>
      </w:r>
      <w:r>
        <w:rPr>
          <w:rFonts w:ascii="SimSun" w:hAnsi="SimSun" w:eastAsia="SimSun" w:cs="SimSun"/>
          <w:sz w:val="24"/>
          <w:szCs w:val="24"/>
        </w:rPr>
        <w:t xml:space="preserve"> </w:t>
      </w:r>
      <w:r>
        <w:rPr>
          <w:rFonts w:ascii="SimSun" w:hAnsi="SimSun" w:eastAsia="SimSun" w:cs="SimSun"/>
          <w:sz w:val="24"/>
          <w:szCs w:val="24"/>
          <w:spacing w:val="1"/>
        </w:rPr>
        <w:t>止物料泄漏及雨水等进入库</w:t>
      </w:r>
      <w:r>
        <w:rPr>
          <w:rFonts w:ascii="Times New Roman" w:hAnsi="Times New Roman" w:eastAsia="Times New Roman" w:cs="Times New Roman"/>
          <w:sz w:val="24"/>
          <w:szCs w:val="24"/>
          <w:spacing w:val="1"/>
        </w:rPr>
        <w:t>/</w:t>
      </w:r>
      <w:r>
        <w:rPr>
          <w:rFonts w:ascii="SimSun" w:hAnsi="SimSun" w:eastAsia="SimSun" w:cs="SimSun"/>
          <w:sz w:val="24"/>
          <w:szCs w:val="24"/>
          <w:spacing w:val="1"/>
        </w:rPr>
        <w:t>车间内，同时设置泄漏液收集</w:t>
      </w:r>
      <w:r>
        <w:rPr>
          <w:rFonts w:ascii="SimSun" w:hAnsi="SimSun" w:eastAsia="SimSun" w:cs="SimSun"/>
          <w:sz w:val="24"/>
          <w:szCs w:val="24"/>
        </w:rPr>
        <w:t>系统；储罐设置围堰和 </w:t>
      </w:r>
      <w:r>
        <w:rPr>
          <w:rFonts w:ascii="SimSun" w:hAnsi="SimSun" w:eastAsia="SimSun" w:cs="SimSun"/>
          <w:sz w:val="24"/>
          <w:szCs w:val="24"/>
          <w:spacing w:val="3"/>
        </w:rPr>
        <w:t>泄漏液收集罐，确保泄漏物料控制在围堰区内；输</w:t>
      </w:r>
      <w:r>
        <w:rPr>
          <w:rFonts w:ascii="SimSun" w:hAnsi="SimSun" w:eastAsia="SimSun" w:cs="SimSun"/>
          <w:sz w:val="24"/>
          <w:szCs w:val="24"/>
          <w:spacing w:val="2"/>
        </w:rPr>
        <w:t>送管道均为明管布置，便于物</w:t>
      </w:r>
      <w:r>
        <w:rPr>
          <w:rFonts w:ascii="SimSun" w:hAnsi="SimSun" w:eastAsia="SimSun" w:cs="SimSun"/>
          <w:sz w:val="24"/>
          <w:szCs w:val="24"/>
        </w:rPr>
        <w:t xml:space="preserve"> </w:t>
      </w:r>
      <w:r>
        <w:rPr>
          <w:rFonts w:ascii="SimSun" w:hAnsi="SimSun" w:eastAsia="SimSun" w:cs="SimSun"/>
          <w:sz w:val="24"/>
          <w:szCs w:val="24"/>
          <w:spacing w:val="-1"/>
        </w:rPr>
        <w:t>料泄漏的及时发现，同时以便于泄漏物料的清理。</w:t>
      </w:r>
    </w:p>
    <w:p>
      <w:pPr>
        <w:ind w:left="8" w:firstLine="480"/>
        <w:spacing w:line="362" w:lineRule="auto"/>
        <w:rPr>
          <w:rFonts w:ascii="SimSun" w:hAnsi="SimSun" w:eastAsia="SimSun" w:cs="SimSun"/>
          <w:sz w:val="24"/>
          <w:szCs w:val="24"/>
        </w:rPr>
      </w:pPr>
      <w:r>
        <w:rPr>
          <w:rFonts w:ascii="SimSun" w:hAnsi="SimSun" w:eastAsia="SimSun" w:cs="SimSun"/>
          <w:sz w:val="24"/>
          <w:szCs w:val="24"/>
          <w:spacing w:val="3"/>
        </w:rPr>
        <w:t>通过以上措施，本项目从源头、污染途径控制土壤环境风险影响，</w:t>
      </w:r>
      <w:r>
        <w:rPr>
          <w:rFonts w:ascii="SimSun" w:hAnsi="SimSun" w:eastAsia="SimSun" w:cs="SimSun"/>
          <w:sz w:val="24"/>
          <w:szCs w:val="24"/>
          <w:spacing w:val="2"/>
        </w:rPr>
        <w:t>并配置监</w:t>
      </w:r>
      <w:r>
        <w:rPr>
          <w:rFonts w:ascii="SimSun" w:hAnsi="SimSun" w:eastAsia="SimSun" w:cs="SimSun"/>
          <w:sz w:val="24"/>
          <w:szCs w:val="24"/>
        </w:rPr>
        <w:t xml:space="preserve"> </w:t>
      </w:r>
      <w:r>
        <w:rPr>
          <w:rFonts w:ascii="SimSun" w:hAnsi="SimSun" w:eastAsia="SimSun" w:cs="SimSun"/>
          <w:sz w:val="24"/>
          <w:szCs w:val="24"/>
        </w:rPr>
        <w:t>控系统，便于及时发现和清理影响，将风险控制在厂</w:t>
      </w:r>
      <w:r>
        <w:rPr>
          <w:rFonts w:ascii="SimSun" w:hAnsi="SimSun" w:eastAsia="SimSun" w:cs="SimSun"/>
          <w:sz w:val="24"/>
          <w:szCs w:val="24"/>
          <w:spacing w:val="-1"/>
        </w:rPr>
        <w:t>区范围内，风险可控。</w:t>
      </w:r>
    </w:p>
    <w:p>
      <w:pPr>
        <w:ind w:left="13"/>
        <w:spacing w:before="158" w:line="221" w:lineRule="auto"/>
        <w:outlineLvl w:val="1"/>
        <w:rPr>
          <w:rFonts w:ascii="SimHei" w:hAnsi="SimHei" w:eastAsia="SimHei" w:cs="SimHei"/>
          <w:sz w:val="30"/>
          <w:szCs w:val="30"/>
        </w:rPr>
      </w:pPr>
      <w:bookmarkStart w:name="bookmark139" w:id="170"/>
      <w:bookmarkEnd w:id="170"/>
      <w:r>
        <w:rPr>
          <w:rFonts w:ascii="Times New Roman" w:hAnsi="Times New Roman" w:eastAsia="Times New Roman" w:cs="Times New Roman"/>
          <w:sz w:val="30"/>
          <w:szCs w:val="30"/>
          <w:spacing w:val="-1"/>
        </w:rPr>
        <w:t>6.6 </w:t>
      </w:r>
      <w:r>
        <w:rPr>
          <w:rFonts w:ascii="SimHei" w:hAnsi="SimHei" w:eastAsia="SimHei" w:cs="SimHei"/>
          <w:sz w:val="30"/>
          <w:szCs w:val="30"/>
          <w:spacing w:val="-1"/>
        </w:rPr>
        <w:t>环境风险防范措施及应急要求</w:t>
      </w:r>
    </w:p>
    <w:p>
      <w:pPr>
        <w:pStyle w:val="BodyText"/>
        <w:spacing w:line="291" w:lineRule="auto"/>
        <w:rPr/>
      </w:pPr>
      <w:r/>
    </w:p>
    <w:p>
      <w:pPr>
        <w:ind w:left="8" w:firstLine="493"/>
        <w:spacing w:before="79" w:line="360" w:lineRule="auto"/>
        <w:jc w:val="both"/>
        <w:rPr>
          <w:rFonts w:ascii="SimSun" w:hAnsi="SimSun" w:eastAsia="SimSun" w:cs="SimSun"/>
          <w:sz w:val="24"/>
          <w:szCs w:val="24"/>
        </w:rPr>
      </w:pPr>
      <w:r>
        <w:rPr>
          <w:rFonts w:ascii="SimSun" w:hAnsi="SimSun" w:eastAsia="SimSun" w:cs="SimSun"/>
          <w:sz w:val="24"/>
          <w:szCs w:val="24"/>
          <w:spacing w:val="2"/>
        </w:rPr>
        <w:t>要求企业组建安全环保管理机构，配备管理人员，通过技能培训，承担企业</w:t>
      </w:r>
      <w:r>
        <w:rPr>
          <w:rFonts w:ascii="SimSun" w:hAnsi="SimSun" w:eastAsia="SimSun" w:cs="SimSun"/>
          <w:sz w:val="24"/>
          <w:szCs w:val="24"/>
          <w:spacing w:val="13"/>
        </w:rPr>
        <w:t xml:space="preserve"> </w:t>
      </w:r>
      <w:r>
        <w:rPr>
          <w:rFonts w:ascii="SimSun" w:hAnsi="SimSun" w:eastAsia="SimSun" w:cs="SimSun"/>
          <w:sz w:val="24"/>
          <w:szCs w:val="24"/>
          <w:spacing w:val="3"/>
        </w:rPr>
        <w:t>的环保安全工作。结合公司运行情况，制定严格的生产操</w:t>
      </w:r>
      <w:r>
        <w:rPr>
          <w:rFonts w:ascii="SimSun" w:hAnsi="SimSun" w:eastAsia="SimSun" w:cs="SimSun"/>
          <w:sz w:val="24"/>
          <w:szCs w:val="24"/>
          <w:spacing w:val="2"/>
        </w:rPr>
        <w:t>作规则、部分安全生产</w:t>
      </w:r>
      <w:r>
        <w:rPr>
          <w:rFonts w:ascii="SimSun" w:hAnsi="SimSun" w:eastAsia="SimSun" w:cs="SimSun"/>
          <w:sz w:val="24"/>
          <w:szCs w:val="24"/>
        </w:rPr>
        <w:t xml:space="preserve"> </w:t>
      </w:r>
      <w:r>
        <w:rPr>
          <w:rFonts w:ascii="SimSun" w:hAnsi="SimSun" w:eastAsia="SimSun" w:cs="SimSun"/>
          <w:sz w:val="24"/>
          <w:szCs w:val="24"/>
          <w:spacing w:val="3"/>
        </w:rPr>
        <w:t>管理制度和事故应急计划，开展厂区安全评价工作，</w:t>
      </w:r>
      <w:r>
        <w:rPr>
          <w:rFonts w:ascii="SimSun" w:hAnsi="SimSun" w:eastAsia="SimSun" w:cs="SimSun"/>
          <w:sz w:val="24"/>
          <w:szCs w:val="24"/>
          <w:spacing w:val="2"/>
        </w:rPr>
        <w:t>完善事故应急处理手段和设</w:t>
      </w:r>
      <w:r>
        <w:rPr>
          <w:rFonts w:ascii="SimSun" w:hAnsi="SimSun" w:eastAsia="SimSun" w:cs="SimSun"/>
          <w:sz w:val="24"/>
          <w:szCs w:val="24"/>
        </w:rPr>
        <w:t xml:space="preserve"> </w:t>
      </w:r>
      <w:r>
        <w:rPr>
          <w:rFonts w:ascii="SimSun" w:hAnsi="SimSun" w:eastAsia="SimSun" w:cs="SimSun"/>
          <w:sz w:val="24"/>
          <w:szCs w:val="24"/>
        </w:rPr>
        <w:t>施，同时加强安全教育，以增强职工的安全</w:t>
      </w:r>
      <w:r>
        <w:rPr>
          <w:rFonts w:ascii="SimSun" w:hAnsi="SimSun" w:eastAsia="SimSun" w:cs="SimSun"/>
          <w:sz w:val="24"/>
          <w:szCs w:val="24"/>
          <w:spacing w:val="-1"/>
        </w:rPr>
        <w:t>意识和安全防范能力。</w:t>
      </w:r>
    </w:p>
    <w:p>
      <w:pPr>
        <w:ind w:left="12"/>
        <w:spacing w:before="121" w:line="222" w:lineRule="auto"/>
        <w:outlineLvl w:val="2"/>
        <w:rPr>
          <w:rFonts w:ascii="SimHei" w:hAnsi="SimHei" w:eastAsia="SimHei" w:cs="SimHei"/>
          <w:sz w:val="28"/>
          <w:szCs w:val="28"/>
        </w:rPr>
      </w:pPr>
      <w:bookmarkStart w:name="bookmark140" w:id="171"/>
      <w:bookmarkEnd w:id="171"/>
      <w:r>
        <w:rPr>
          <w:rFonts w:ascii="Times New Roman" w:hAnsi="Times New Roman" w:eastAsia="Times New Roman" w:cs="Times New Roman"/>
          <w:sz w:val="28"/>
          <w:szCs w:val="28"/>
          <w:spacing w:val="-2"/>
        </w:rPr>
        <w:t>6.6.1 </w:t>
      </w:r>
      <w:r>
        <w:rPr>
          <w:rFonts w:ascii="SimHei" w:hAnsi="SimHei" w:eastAsia="SimHei" w:cs="SimHei"/>
          <w:sz w:val="28"/>
          <w:szCs w:val="28"/>
          <w:spacing w:val="-2"/>
        </w:rPr>
        <w:t>风险管理</w:t>
      </w:r>
    </w:p>
    <w:p>
      <w:pPr>
        <w:pStyle w:val="BodyText"/>
        <w:rPr/>
      </w:pPr>
      <w:r/>
    </w:p>
    <w:p>
      <w:pPr>
        <w:ind w:left="15" w:right="2" w:firstLine="474"/>
        <w:spacing w:before="79" w:line="358" w:lineRule="auto"/>
        <w:jc w:val="both"/>
        <w:rPr>
          <w:rFonts w:ascii="SimSun" w:hAnsi="SimSun" w:eastAsia="SimSun" w:cs="SimSun"/>
          <w:sz w:val="24"/>
          <w:szCs w:val="24"/>
        </w:rPr>
      </w:pPr>
      <w:r>
        <w:rPr>
          <w:rFonts w:ascii="SimSun" w:hAnsi="SimSun" w:eastAsia="SimSun" w:cs="SimSun"/>
          <w:sz w:val="24"/>
          <w:szCs w:val="24"/>
          <w:spacing w:val="-8"/>
        </w:rPr>
        <w:t>根据《关于进一步加强环境影响评价管理防范环境风险的通知》（环发</w:t>
      </w:r>
      <w:r>
        <w:rPr>
          <w:rFonts w:ascii="Times New Roman" w:hAnsi="Times New Roman" w:eastAsia="Times New Roman" w:cs="Times New Roman"/>
          <w:sz w:val="24"/>
          <w:szCs w:val="24"/>
          <w:spacing w:val="-8"/>
        </w:rPr>
        <w:t>[2012]77</w:t>
      </w:r>
      <w:r>
        <w:rPr>
          <w:rFonts w:ascii="Times New Roman" w:hAnsi="Times New Roman" w:eastAsia="Times New Roman" w:cs="Times New Roman"/>
          <w:sz w:val="24"/>
          <w:szCs w:val="24"/>
          <w:spacing w:val="4"/>
        </w:rPr>
        <w:t xml:space="preserve"> </w:t>
      </w:r>
      <w:r>
        <w:rPr>
          <w:rFonts w:ascii="SimSun" w:hAnsi="SimSun" w:eastAsia="SimSun" w:cs="SimSun"/>
          <w:sz w:val="24"/>
          <w:szCs w:val="24"/>
          <w:spacing w:val="-2"/>
        </w:rPr>
        <w:t>号</w:t>
      </w:r>
      <w:r>
        <w:rPr>
          <w:rFonts w:ascii="SimSun" w:hAnsi="SimSun" w:eastAsia="SimSun" w:cs="SimSun"/>
          <w:sz w:val="24"/>
          <w:szCs w:val="24"/>
          <w:spacing w:val="-28"/>
        </w:rPr>
        <w:t>），</w:t>
      </w:r>
      <w:r>
        <w:rPr>
          <w:rFonts w:ascii="Times New Roman" w:hAnsi="Times New Roman" w:eastAsia="Times New Roman" w:cs="Times New Roman"/>
          <w:sz w:val="24"/>
          <w:szCs w:val="24"/>
          <w:spacing w:val="-2"/>
        </w:rPr>
        <w:t>“</w:t>
      </w:r>
      <w:r>
        <w:rPr>
          <w:rFonts w:ascii="SimSun" w:hAnsi="SimSun" w:eastAsia="SimSun" w:cs="SimSun"/>
          <w:sz w:val="24"/>
          <w:szCs w:val="24"/>
          <w:spacing w:val="-2"/>
        </w:rPr>
        <w:t>建设单位及其所属企业是环境风险防范的责任主体</w:t>
      </w:r>
      <w:r>
        <w:rPr>
          <w:rFonts w:ascii="Times New Roman" w:hAnsi="Times New Roman" w:eastAsia="Times New Roman" w:cs="Times New Roman"/>
          <w:sz w:val="24"/>
          <w:szCs w:val="24"/>
          <w:spacing w:val="-2"/>
        </w:rPr>
        <w:t>”</w:t>
      </w:r>
      <w:r>
        <w:rPr>
          <w:rFonts w:ascii="SimSun" w:hAnsi="SimSun" w:eastAsia="SimSun" w:cs="SimSun"/>
          <w:sz w:val="24"/>
          <w:szCs w:val="24"/>
          <w:spacing w:val="-2"/>
        </w:rPr>
        <w:t>，企业应严格按照该文</w:t>
      </w:r>
      <w:r>
        <w:rPr>
          <w:rFonts w:ascii="SimSun" w:hAnsi="SimSun" w:eastAsia="SimSun" w:cs="SimSun"/>
          <w:sz w:val="24"/>
          <w:szCs w:val="24"/>
        </w:rPr>
        <w:t xml:space="preserve"> </w:t>
      </w:r>
      <w:r>
        <w:rPr>
          <w:rFonts w:ascii="SimSun" w:hAnsi="SimSun" w:eastAsia="SimSun" w:cs="SimSun"/>
          <w:sz w:val="24"/>
          <w:szCs w:val="24"/>
          <w:spacing w:val="-1"/>
        </w:rPr>
        <w:t>中的规定执行，同时</w:t>
      </w:r>
      <w:r>
        <w:rPr>
          <w:rFonts w:ascii="Times New Roman" w:hAnsi="Times New Roman" w:eastAsia="Times New Roman" w:cs="Times New Roman"/>
          <w:sz w:val="24"/>
          <w:szCs w:val="24"/>
          <w:spacing w:val="-1"/>
        </w:rPr>
        <w:t>“</w:t>
      </w:r>
      <w:r>
        <w:rPr>
          <w:rFonts w:ascii="SimSun" w:hAnsi="SimSun" w:eastAsia="SimSun" w:cs="SimSun"/>
          <w:sz w:val="24"/>
          <w:szCs w:val="24"/>
          <w:spacing w:val="-1"/>
        </w:rPr>
        <w:t>应建立有效的环境风险防范与应急管理体系并不断完善</w:t>
      </w:r>
      <w:r>
        <w:rPr>
          <w:rFonts w:ascii="Times New Roman" w:hAnsi="Times New Roman" w:eastAsia="Times New Roman" w:cs="Times New Roman"/>
          <w:sz w:val="24"/>
          <w:szCs w:val="24"/>
          <w:spacing w:val="-1"/>
        </w:rPr>
        <w:t>”</w:t>
      </w:r>
      <w:r>
        <w:rPr>
          <w:rFonts w:ascii="SimSun" w:hAnsi="SimSun" w:eastAsia="SimSun" w:cs="SimSun"/>
          <w:sz w:val="24"/>
          <w:szCs w:val="24"/>
          <w:spacing w:val="-1"/>
        </w:rPr>
        <w:t>。</w:t>
      </w:r>
    </w:p>
    <w:p>
      <w:pPr>
        <w:ind w:left="9" w:firstLine="481"/>
        <w:spacing w:before="5" w:line="359" w:lineRule="auto"/>
        <w:rPr>
          <w:rFonts w:ascii="SimSun" w:hAnsi="SimSun" w:eastAsia="SimSun" w:cs="SimSun"/>
          <w:sz w:val="24"/>
          <w:szCs w:val="24"/>
        </w:rPr>
      </w:pPr>
      <w:r>
        <w:rPr>
          <w:rFonts w:ascii="SimSun" w:hAnsi="SimSun" w:eastAsia="SimSun" w:cs="SimSun"/>
          <w:sz w:val="24"/>
          <w:szCs w:val="24"/>
          <w:spacing w:val="3"/>
        </w:rPr>
        <w:t>经过对类似事故原因的统计，人为因素往往是事故发生的主要</w:t>
      </w:r>
      <w:r>
        <w:rPr>
          <w:rFonts w:ascii="SimSun" w:hAnsi="SimSun" w:eastAsia="SimSun" w:cs="SimSun"/>
          <w:sz w:val="24"/>
          <w:szCs w:val="24"/>
          <w:spacing w:val="2"/>
        </w:rPr>
        <w:t>原因，因此严</w:t>
      </w:r>
      <w:r>
        <w:rPr>
          <w:rFonts w:ascii="SimSun" w:hAnsi="SimSun" w:eastAsia="SimSun" w:cs="SimSun"/>
          <w:sz w:val="24"/>
          <w:szCs w:val="24"/>
        </w:rPr>
        <w:t xml:space="preserve"> </w:t>
      </w:r>
      <w:r>
        <w:rPr>
          <w:rFonts w:ascii="SimSun" w:hAnsi="SimSun" w:eastAsia="SimSun" w:cs="SimSun"/>
          <w:sz w:val="24"/>
          <w:szCs w:val="24"/>
          <w:spacing w:val="-1"/>
        </w:rPr>
        <w:t>格管理，做好职工的环保意识培养是预防事故发生的重要环节。</w:t>
      </w:r>
    </w:p>
    <w:p>
      <w:pPr>
        <w:ind w:left="501"/>
        <w:spacing w:before="1"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）加强环保意识教育以提高工作职工的责任心和工作主动性。</w:t>
      </w:r>
    </w:p>
    <w:p>
      <w:pPr>
        <w:ind w:right="2"/>
        <w:spacing w:before="183" w:line="219" w:lineRule="auto"/>
        <w:jc w:val="right"/>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）操作人员需定期进行岗位系统培训，熟悉工作岗位责任、规</w:t>
      </w:r>
      <w:r>
        <w:rPr>
          <w:rFonts w:ascii="SimSun" w:hAnsi="SimSun" w:eastAsia="SimSun" w:cs="SimSun"/>
          <w:sz w:val="24"/>
          <w:szCs w:val="24"/>
          <w:spacing w:val="-2"/>
        </w:rPr>
        <w:t>程，加强岗</w:t>
      </w:r>
    </w:p>
    <w:p>
      <w:pPr>
        <w:spacing w:line="219" w:lineRule="auto"/>
        <w:sectPr>
          <w:headerReference w:type="default" r:id="rId120"/>
          <w:footerReference w:type="default" r:id="rId346"/>
          <w:pgSz w:w="11907" w:h="16840"/>
          <w:pgMar w:top="1567" w:right="1700" w:bottom="1921" w:left="1701" w:header="1221" w:footer="1247" w:gutter="0"/>
        </w:sectPr>
        <w:rPr>
          <w:rFonts w:ascii="SimSun" w:hAnsi="SimSun" w:eastAsia="SimSun" w:cs="SimSun"/>
          <w:sz w:val="24"/>
          <w:szCs w:val="24"/>
        </w:rPr>
      </w:pPr>
    </w:p>
    <w:p>
      <w:pPr>
        <w:ind w:left="9"/>
        <w:spacing w:before="188" w:line="219" w:lineRule="auto"/>
        <w:rPr>
          <w:rFonts w:ascii="SimSun" w:hAnsi="SimSun" w:eastAsia="SimSun" w:cs="SimSun"/>
          <w:sz w:val="24"/>
          <w:szCs w:val="24"/>
        </w:rPr>
      </w:pPr>
      <w:r>
        <w:pict>
          <v:shape id="_x0000_s1160" style="position:absolute;margin-left:85.05pt;margin-top:79.11pt;mso-position-vertical-relative:page;mso-position-horizontal-relative:page;width:425.25pt;height:0.75pt;z-index:252258304;" o:allowincell="f" fillcolor="#000000" filled="true" stroked="false" coordsize="8505,15" coordorigin="0,0" path="m,l8505,0l8505,14l0,14l0,0xe"/>
        </w:pict>
      </w:r>
      <w:r>
        <w:rPr>
          <w:rFonts w:ascii="SimSun" w:hAnsi="SimSun" w:eastAsia="SimSun" w:cs="SimSun"/>
          <w:sz w:val="24"/>
          <w:szCs w:val="24"/>
          <w:spacing w:val="-2"/>
        </w:rPr>
        <w:t>位责任制。</w:t>
      </w:r>
    </w:p>
    <w:p>
      <w:pPr>
        <w:ind w:left="501"/>
        <w:spacing w:before="179"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）厂区采用双回路电源供电，以保证供电的连续性。</w:t>
      </w:r>
    </w:p>
    <w:p>
      <w:pPr>
        <w:ind w:left="501"/>
        <w:spacing w:before="181"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）严格遵守开、停车及操作规程，适当对职工进行技术培训。</w:t>
      </w:r>
    </w:p>
    <w:p>
      <w:pPr>
        <w:spacing w:before="182" w:line="219" w:lineRule="auto"/>
        <w:jc w:val="right"/>
        <w:rPr>
          <w:rFonts w:ascii="SimSun" w:hAnsi="SimSun" w:eastAsia="SimSun" w:cs="SimSun"/>
          <w:sz w:val="24"/>
          <w:szCs w:val="24"/>
        </w:rPr>
      </w:pPr>
      <w:r>
        <w:rPr>
          <w:rFonts w:ascii="SimSun" w:hAnsi="SimSun" w:eastAsia="SimSun" w:cs="SimSun"/>
          <w:sz w:val="24"/>
          <w:szCs w:val="24"/>
          <w:spacing w:val="-6"/>
        </w:rPr>
        <w:t>（</w:t>
      </w:r>
      <w:r>
        <w:rPr>
          <w:rFonts w:ascii="Times New Roman" w:hAnsi="Times New Roman" w:eastAsia="Times New Roman" w:cs="Times New Roman"/>
          <w:sz w:val="24"/>
          <w:szCs w:val="24"/>
          <w:spacing w:val="-6"/>
        </w:rPr>
        <w:t>5</w:t>
      </w:r>
      <w:r>
        <w:rPr>
          <w:rFonts w:ascii="SimSun" w:hAnsi="SimSun" w:eastAsia="SimSun" w:cs="SimSun"/>
          <w:sz w:val="24"/>
          <w:szCs w:val="24"/>
          <w:spacing w:val="-6"/>
        </w:rPr>
        <w:t>）对事故易发部位、易泄漏地点，除本岗工人及时检查外，设安全员巡检。</w:t>
      </w:r>
    </w:p>
    <w:p>
      <w:pPr>
        <w:ind w:left="9" w:right="80" w:firstLine="491"/>
        <w:spacing w:before="183" w:line="28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6</w:t>
      </w:r>
      <w:r>
        <w:rPr>
          <w:rFonts w:ascii="SimSun" w:hAnsi="SimSun" w:eastAsia="SimSun" w:cs="SimSun"/>
          <w:sz w:val="24"/>
          <w:szCs w:val="24"/>
          <w:spacing w:val="-1"/>
        </w:rPr>
        <w:t>）严禁明火，必要时应按规章申办点火许可证，并应有严格安</w:t>
      </w:r>
      <w:r>
        <w:rPr>
          <w:rFonts w:ascii="SimSun" w:hAnsi="SimSun" w:eastAsia="SimSun" w:cs="SimSun"/>
          <w:sz w:val="24"/>
          <w:szCs w:val="24"/>
          <w:spacing w:val="-2"/>
        </w:rPr>
        <w:t>全措施，经</w:t>
      </w:r>
      <w:r>
        <w:rPr>
          <w:rFonts w:ascii="SimSun" w:hAnsi="SimSun" w:eastAsia="SimSun" w:cs="SimSun"/>
          <w:sz w:val="24"/>
          <w:szCs w:val="24"/>
        </w:rPr>
        <w:t xml:space="preserve"> </w:t>
      </w:r>
      <w:r>
        <w:rPr>
          <w:rFonts w:ascii="SimSun" w:hAnsi="SimSun" w:eastAsia="SimSun" w:cs="SimSun"/>
          <w:sz w:val="24"/>
          <w:szCs w:val="24"/>
          <w:spacing w:val="-1"/>
        </w:rPr>
        <w:t>检查可行后方可点火。</w:t>
      </w:r>
    </w:p>
    <w:p>
      <w:pPr>
        <w:ind w:left="9" w:right="80" w:firstLine="491"/>
        <w:spacing w:before="184" w:line="28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7</w:t>
      </w:r>
      <w:r>
        <w:rPr>
          <w:rFonts w:ascii="SimSun" w:hAnsi="SimSun" w:eastAsia="SimSun" w:cs="SimSun"/>
          <w:sz w:val="24"/>
          <w:szCs w:val="24"/>
          <w:spacing w:val="-1"/>
        </w:rPr>
        <w:t>）施工、设备、材料应按规章进行认真地检查、验收。设计、</w:t>
      </w:r>
      <w:r>
        <w:rPr>
          <w:rFonts w:ascii="SimSun" w:hAnsi="SimSun" w:eastAsia="SimSun" w:cs="SimSun"/>
          <w:sz w:val="24"/>
          <w:szCs w:val="24"/>
          <w:spacing w:val="-2"/>
        </w:rPr>
        <w:t>工艺、管理</w:t>
      </w:r>
      <w:r>
        <w:rPr>
          <w:rFonts w:ascii="SimSun" w:hAnsi="SimSun" w:eastAsia="SimSun" w:cs="SimSun"/>
          <w:sz w:val="24"/>
          <w:szCs w:val="24"/>
        </w:rPr>
        <w:t xml:space="preserve"> </w:t>
      </w:r>
      <w:r>
        <w:rPr>
          <w:rFonts w:ascii="SimSun" w:hAnsi="SimSun" w:eastAsia="SimSun" w:cs="SimSun"/>
          <w:sz w:val="24"/>
          <w:szCs w:val="24"/>
        </w:rPr>
        <w:t>三部门通力合作，严防不合格设备、材料蒙混过</w:t>
      </w:r>
      <w:r>
        <w:rPr>
          <w:rFonts w:ascii="SimSun" w:hAnsi="SimSun" w:eastAsia="SimSun" w:cs="SimSun"/>
          <w:sz w:val="24"/>
          <w:szCs w:val="24"/>
          <w:spacing w:val="-1"/>
        </w:rPr>
        <w:t>关，杜绝偷工减料现象。</w:t>
      </w:r>
    </w:p>
    <w:p>
      <w:pPr>
        <w:ind w:left="12"/>
        <w:spacing w:before="309" w:line="222" w:lineRule="auto"/>
        <w:outlineLvl w:val="2"/>
        <w:rPr>
          <w:rFonts w:ascii="SimHei" w:hAnsi="SimHei" w:eastAsia="SimHei" w:cs="SimHei"/>
          <w:sz w:val="28"/>
          <w:szCs w:val="28"/>
        </w:rPr>
      </w:pPr>
      <w:bookmarkStart w:name="bookmark141" w:id="172"/>
      <w:bookmarkEnd w:id="172"/>
      <w:r>
        <w:rPr>
          <w:rFonts w:ascii="Times New Roman" w:hAnsi="Times New Roman" w:eastAsia="Times New Roman" w:cs="Times New Roman"/>
          <w:sz w:val="28"/>
          <w:szCs w:val="28"/>
          <w:spacing w:val="-1"/>
        </w:rPr>
        <w:t>6.6.2 </w:t>
      </w:r>
      <w:r>
        <w:rPr>
          <w:rFonts w:ascii="SimHei" w:hAnsi="SimHei" w:eastAsia="SimHei" w:cs="SimHei"/>
          <w:sz w:val="28"/>
          <w:szCs w:val="28"/>
          <w:spacing w:val="-1"/>
        </w:rPr>
        <w:t>总图布置防范措施</w:t>
      </w:r>
    </w:p>
    <w:p>
      <w:pPr>
        <w:pStyle w:val="BodyText"/>
        <w:spacing w:line="243" w:lineRule="auto"/>
        <w:rPr/>
      </w:pPr>
      <w:r/>
    </w:p>
    <w:p>
      <w:pPr>
        <w:ind w:left="501"/>
        <w:spacing w:before="78"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）总图布置安全防范措施</w:t>
      </w:r>
    </w:p>
    <w:p>
      <w:pPr>
        <w:ind w:left="8" w:firstLine="481"/>
        <w:spacing w:before="183" w:line="359" w:lineRule="auto"/>
        <w:rPr>
          <w:rFonts w:ascii="SimSun" w:hAnsi="SimSun" w:eastAsia="SimSun" w:cs="SimSun"/>
          <w:sz w:val="24"/>
          <w:szCs w:val="24"/>
        </w:rPr>
      </w:pPr>
      <w:r>
        <w:rPr>
          <w:rFonts w:ascii="SimSun" w:hAnsi="SimSun" w:eastAsia="SimSun" w:cs="SimSun"/>
          <w:sz w:val="24"/>
          <w:szCs w:val="24"/>
          <w:spacing w:val="3"/>
        </w:rPr>
        <w:t>本项目厂区内建构筑物主要包括生活办公区、生产区和辅助工程</w:t>
      </w:r>
      <w:r>
        <w:rPr>
          <w:rFonts w:ascii="SimSun" w:hAnsi="SimSun" w:eastAsia="SimSun" w:cs="SimSun"/>
          <w:sz w:val="24"/>
          <w:szCs w:val="24"/>
          <w:spacing w:val="2"/>
        </w:rPr>
        <w:t>区，各装置</w:t>
      </w:r>
      <w:r>
        <w:rPr>
          <w:rFonts w:ascii="SimSun" w:hAnsi="SimSun" w:eastAsia="SimSun" w:cs="SimSun"/>
          <w:sz w:val="24"/>
          <w:szCs w:val="24"/>
        </w:rPr>
        <w:t xml:space="preserve"> </w:t>
      </w:r>
      <w:r>
        <w:rPr>
          <w:rFonts w:ascii="SimSun" w:hAnsi="SimSun" w:eastAsia="SimSun" w:cs="SimSun"/>
          <w:sz w:val="24"/>
          <w:szCs w:val="24"/>
          <w:spacing w:val="3"/>
        </w:rPr>
        <w:t>平面布置在满足有关防火、防爆及安全卫生标准和规范要</w:t>
      </w:r>
      <w:r>
        <w:rPr>
          <w:rFonts w:ascii="SimSun" w:hAnsi="SimSun" w:eastAsia="SimSun" w:cs="SimSun"/>
          <w:sz w:val="24"/>
          <w:szCs w:val="24"/>
          <w:spacing w:val="2"/>
        </w:rPr>
        <w:t>求的前提下，尽可能集</w:t>
      </w:r>
      <w:r>
        <w:rPr>
          <w:rFonts w:ascii="SimSun" w:hAnsi="SimSun" w:eastAsia="SimSun" w:cs="SimSun"/>
          <w:sz w:val="24"/>
          <w:szCs w:val="24"/>
        </w:rPr>
        <w:t xml:space="preserve"> </w:t>
      </w:r>
      <w:r>
        <w:rPr>
          <w:rFonts w:ascii="SimSun" w:hAnsi="SimSun" w:eastAsia="SimSun" w:cs="SimSun"/>
          <w:sz w:val="24"/>
          <w:szCs w:val="24"/>
          <w:spacing w:val="3"/>
        </w:rPr>
        <w:t>中化布置，并考虑同类设施相对集中。其中，生产和存储</w:t>
      </w:r>
      <w:r>
        <w:rPr>
          <w:rFonts w:ascii="SimSun" w:hAnsi="SimSun" w:eastAsia="SimSun" w:cs="SimSun"/>
          <w:sz w:val="24"/>
          <w:szCs w:val="24"/>
          <w:spacing w:val="2"/>
        </w:rPr>
        <w:t>设施设置远离办公楼等</w:t>
      </w:r>
      <w:r>
        <w:rPr>
          <w:rFonts w:ascii="SimSun" w:hAnsi="SimSun" w:eastAsia="SimSun" w:cs="SimSun"/>
          <w:sz w:val="24"/>
          <w:szCs w:val="24"/>
        </w:rPr>
        <w:t xml:space="preserve"> </w:t>
      </w:r>
      <w:r>
        <w:rPr>
          <w:rFonts w:ascii="SimSun" w:hAnsi="SimSun" w:eastAsia="SimSun" w:cs="SimSun"/>
          <w:sz w:val="24"/>
          <w:szCs w:val="24"/>
          <w:spacing w:val="3"/>
        </w:rPr>
        <w:t>人员集中场所；气柜和各生产设施等间距符合有关防火和</w:t>
      </w:r>
      <w:r>
        <w:rPr>
          <w:rFonts w:ascii="SimSun" w:hAnsi="SimSun" w:eastAsia="SimSun" w:cs="SimSun"/>
          <w:sz w:val="24"/>
          <w:szCs w:val="24"/>
          <w:spacing w:val="2"/>
        </w:rPr>
        <w:t>消防要求；合理划分管</w:t>
      </w:r>
      <w:r>
        <w:rPr>
          <w:rFonts w:ascii="SimSun" w:hAnsi="SimSun" w:eastAsia="SimSun" w:cs="SimSun"/>
          <w:sz w:val="24"/>
          <w:szCs w:val="24"/>
        </w:rPr>
        <w:t xml:space="preserve"> </w:t>
      </w:r>
      <w:r>
        <w:rPr>
          <w:rFonts w:ascii="SimSun" w:hAnsi="SimSun" w:eastAsia="SimSun" w:cs="SimSun"/>
          <w:sz w:val="24"/>
          <w:szCs w:val="24"/>
          <w:spacing w:val="3"/>
        </w:rPr>
        <w:t>理区、工艺生产区、储运设施区，各区按其危害程度采取</w:t>
      </w:r>
      <w:r>
        <w:rPr>
          <w:rFonts w:ascii="SimSun" w:hAnsi="SimSun" w:eastAsia="SimSun" w:cs="SimSun"/>
          <w:sz w:val="24"/>
          <w:szCs w:val="24"/>
          <w:spacing w:val="2"/>
        </w:rPr>
        <w:t>相应的安全防范措施进</w:t>
      </w:r>
      <w:r>
        <w:rPr>
          <w:rFonts w:ascii="SimSun" w:hAnsi="SimSun" w:eastAsia="SimSun" w:cs="SimSun"/>
          <w:sz w:val="24"/>
          <w:szCs w:val="24"/>
        </w:rPr>
        <w:t xml:space="preserve"> </w:t>
      </w:r>
      <w:r>
        <w:rPr>
          <w:rFonts w:ascii="SimSun" w:hAnsi="SimSun" w:eastAsia="SimSun" w:cs="SimSun"/>
          <w:sz w:val="24"/>
          <w:szCs w:val="24"/>
          <w:spacing w:val="-2"/>
        </w:rPr>
        <w:t>行管理；根据车间生产过程中火灾、爆炸危险等级及毒物危害程度分级进行分类、</w:t>
      </w:r>
      <w:r>
        <w:rPr>
          <w:rFonts w:ascii="SimSun" w:hAnsi="SimSun" w:eastAsia="SimSun" w:cs="SimSun"/>
          <w:sz w:val="24"/>
          <w:szCs w:val="24"/>
          <w:spacing w:val="6"/>
        </w:rPr>
        <w:t xml:space="preserve"> </w:t>
      </w:r>
      <w:r>
        <w:rPr>
          <w:rFonts w:ascii="SimSun" w:hAnsi="SimSun" w:eastAsia="SimSun" w:cs="SimSun"/>
          <w:sz w:val="24"/>
          <w:szCs w:val="24"/>
          <w:spacing w:val="4"/>
        </w:rPr>
        <w:t>分区布置。除此之外，厂区结合交通、消防</w:t>
      </w:r>
      <w:r>
        <w:rPr>
          <w:rFonts w:ascii="SimSun" w:hAnsi="SimSun" w:eastAsia="SimSun" w:cs="SimSun"/>
          <w:sz w:val="24"/>
          <w:szCs w:val="24"/>
          <w:spacing w:val="3"/>
        </w:rPr>
        <w:t>的需要，装置区周围设置消防通道，</w:t>
      </w:r>
      <w:r>
        <w:rPr>
          <w:rFonts w:ascii="SimSun" w:hAnsi="SimSun" w:eastAsia="SimSun" w:cs="SimSun"/>
          <w:sz w:val="24"/>
          <w:szCs w:val="24"/>
        </w:rPr>
        <w:t xml:space="preserve"> </w:t>
      </w:r>
      <w:r>
        <w:rPr>
          <w:rFonts w:ascii="SimSun" w:hAnsi="SimSun" w:eastAsia="SimSun" w:cs="SimSun"/>
          <w:sz w:val="24"/>
          <w:szCs w:val="24"/>
          <w:spacing w:val="3"/>
        </w:rPr>
        <w:t>以满足工艺流程、厂内外运输、检修及生产管理的要求。</w:t>
      </w:r>
      <w:r>
        <w:rPr>
          <w:rFonts w:ascii="SimSun" w:hAnsi="SimSun" w:eastAsia="SimSun" w:cs="SimSun"/>
          <w:sz w:val="24"/>
          <w:szCs w:val="24"/>
          <w:spacing w:val="2"/>
        </w:rPr>
        <w:t>厂区内地势平坦、道路</w:t>
      </w:r>
      <w:r>
        <w:rPr>
          <w:rFonts w:ascii="SimSun" w:hAnsi="SimSun" w:eastAsia="SimSun" w:cs="SimSun"/>
          <w:sz w:val="24"/>
          <w:szCs w:val="24"/>
        </w:rPr>
        <w:t xml:space="preserve"> </w:t>
      </w:r>
      <w:r>
        <w:rPr>
          <w:rFonts w:ascii="SimSun" w:hAnsi="SimSun" w:eastAsia="SimSun" w:cs="SimSun"/>
          <w:sz w:val="24"/>
          <w:szCs w:val="24"/>
          <w:spacing w:val="-2"/>
        </w:rPr>
        <w:t>畅通、布局合理。</w:t>
      </w:r>
    </w:p>
    <w:p>
      <w:pPr>
        <w:ind w:left="501"/>
        <w:spacing w:before="1"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）地面硬化及事故废水收集措施</w:t>
      </w:r>
    </w:p>
    <w:p>
      <w:pPr>
        <w:ind w:left="10" w:right="78" w:firstLine="478"/>
        <w:spacing w:before="182" w:line="360" w:lineRule="auto"/>
        <w:rPr>
          <w:rFonts w:ascii="SimSun" w:hAnsi="SimSun" w:eastAsia="SimSun" w:cs="SimSun"/>
          <w:sz w:val="24"/>
          <w:szCs w:val="24"/>
        </w:rPr>
      </w:pPr>
      <w:r>
        <w:rPr>
          <w:rFonts w:ascii="SimSun" w:hAnsi="SimSun" w:eastAsia="SimSun" w:cs="SimSun"/>
          <w:sz w:val="24"/>
          <w:szCs w:val="24"/>
          <w:spacing w:val="3"/>
        </w:rPr>
        <w:t>洗毛车间、无害处理车间、厌氧发酵装置区等处均应硬化地面</w:t>
      </w:r>
      <w:r>
        <w:rPr>
          <w:rFonts w:ascii="SimSun" w:hAnsi="SimSun" w:eastAsia="SimSun" w:cs="SimSun"/>
          <w:sz w:val="24"/>
          <w:szCs w:val="24"/>
          <w:spacing w:val="2"/>
        </w:rPr>
        <w:t>，并采取相应</w:t>
      </w:r>
      <w:r>
        <w:rPr>
          <w:rFonts w:ascii="SimSun" w:hAnsi="SimSun" w:eastAsia="SimSun" w:cs="SimSun"/>
          <w:sz w:val="24"/>
          <w:szCs w:val="24"/>
        </w:rPr>
        <w:t xml:space="preserve"> </w:t>
      </w:r>
      <w:r>
        <w:rPr>
          <w:rFonts w:ascii="SimSun" w:hAnsi="SimSun" w:eastAsia="SimSun" w:cs="SimSun"/>
          <w:sz w:val="24"/>
          <w:szCs w:val="24"/>
          <w:spacing w:val="3"/>
        </w:rPr>
        <w:t>的防渗措施。在四周设废水收集沟，收集沟与项目事故</w:t>
      </w:r>
      <w:r>
        <w:rPr>
          <w:rFonts w:ascii="SimSun" w:hAnsi="SimSun" w:eastAsia="SimSun" w:cs="SimSun"/>
          <w:sz w:val="24"/>
          <w:szCs w:val="24"/>
          <w:spacing w:val="2"/>
        </w:rPr>
        <w:t>水池相连。确保发生事故</w:t>
      </w:r>
      <w:r>
        <w:rPr>
          <w:rFonts w:ascii="SimSun" w:hAnsi="SimSun" w:eastAsia="SimSun" w:cs="SimSun"/>
          <w:sz w:val="24"/>
          <w:szCs w:val="24"/>
        </w:rPr>
        <w:t xml:space="preserve"> </w:t>
      </w:r>
      <w:r>
        <w:rPr>
          <w:rFonts w:ascii="SimSun" w:hAnsi="SimSun" w:eastAsia="SimSun" w:cs="SimSun"/>
          <w:sz w:val="24"/>
          <w:szCs w:val="24"/>
          <w:spacing w:val="3"/>
        </w:rPr>
        <w:t>时，灭火时产生的废水可完全被收集处理，不会通过渗</w:t>
      </w:r>
      <w:r>
        <w:rPr>
          <w:rFonts w:ascii="SimSun" w:hAnsi="SimSun" w:eastAsia="SimSun" w:cs="SimSun"/>
          <w:sz w:val="24"/>
          <w:szCs w:val="24"/>
          <w:spacing w:val="2"/>
        </w:rPr>
        <w:t>透和地表径流污染地下水</w:t>
      </w:r>
      <w:r>
        <w:rPr>
          <w:rFonts w:ascii="SimSun" w:hAnsi="SimSun" w:eastAsia="SimSun" w:cs="SimSun"/>
          <w:sz w:val="24"/>
          <w:szCs w:val="24"/>
        </w:rPr>
        <w:t xml:space="preserve"> </w:t>
      </w:r>
      <w:r>
        <w:rPr>
          <w:rFonts w:ascii="SimSun" w:hAnsi="SimSun" w:eastAsia="SimSun" w:cs="SimSun"/>
          <w:sz w:val="24"/>
          <w:szCs w:val="24"/>
          <w:spacing w:val="-3"/>
        </w:rPr>
        <w:t>和地表水。</w:t>
      </w:r>
    </w:p>
    <w:p>
      <w:pPr>
        <w:ind w:left="12"/>
        <w:spacing w:before="122" w:line="222" w:lineRule="auto"/>
        <w:outlineLvl w:val="2"/>
        <w:rPr>
          <w:rFonts w:ascii="SimHei" w:hAnsi="SimHei" w:eastAsia="SimHei" w:cs="SimHei"/>
          <w:sz w:val="28"/>
          <w:szCs w:val="28"/>
        </w:rPr>
      </w:pPr>
      <w:bookmarkStart w:name="bookmark142" w:id="173"/>
      <w:bookmarkEnd w:id="173"/>
      <w:r>
        <w:rPr>
          <w:rFonts w:ascii="Times New Roman" w:hAnsi="Times New Roman" w:eastAsia="Times New Roman" w:cs="Times New Roman"/>
          <w:sz w:val="28"/>
          <w:szCs w:val="28"/>
          <w:spacing w:val="-3"/>
        </w:rPr>
        <w:t>6.6.3</w:t>
      </w:r>
      <w:r>
        <w:rPr>
          <w:rFonts w:ascii="Times New Roman" w:hAnsi="Times New Roman" w:eastAsia="Times New Roman" w:cs="Times New Roman"/>
          <w:sz w:val="28"/>
          <w:szCs w:val="28"/>
          <w:spacing w:val="29"/>
        </w:rPr>
        <w:t xml:space="preserve"> </w:t>
      </w:r>
      <w:r>
        <w:rPr>
          <w:rFonts w:ascii="SimHei" w:hAnsi="SimHei" w:eastAsia="SimHei" w:cs="SimHei"/>
          <w:sz w:val="28"/>
          <w:szCs w:val="28"/>
          <w:spacing w:val="-3"/>
        </w:rPr>
        <w:t>装置设备和工艺安全</w:t>
      </w:r>
    </w:p>
    <w:p>
      <w:pPr>
        <w:pStyle w:val="BodyText"/>
        <w:spacing w:line="242" w:lineRule="auto"/>
        <w:rPr/>
      </w:pPr>
      <w:r/>
    </w:p>
    <w:p>
      <w:pPr>
        <w:ind w:left="9" w:right="78" w:firstLine="491"/>
        <w:spacing w:before="78" w:line="36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）工艺流程设计，应尽量减少工艺流程中危险废物和危险物料</w:t>
      </w:r>
      <w:r>
        <w:rPr>
          <w:rFonts w:ascii="SimSun" w:hAnsi="SimSun" w:eastAsia="SimSun" w:cs="SimSun"/>
          <w:sz w:val="24"/>
          <w:szCs w:val="24"/>
          <w:spacing w:val="-2"/>
        </w:rPr>
        <w:t>的存量；建</w:t>
      </w:r>
      <w:r>
        <w:rPr>
          <w:rFonts w:ascii="SimSun" w:hAnsi="SimSun" w:eastAsia="SimSun" w:cs="SimSun"/>
          <w:sz w:val="24"/>
          <w:szCs w:val="24"/>
        </w:rPr>
        <w:t xml:space="preserve"> </w:t>
      </w:r>
      <w:r>
        <w:rPr>
          <w:rFonts w:ascii="SimSun" w:hAnsi="SimSun" w:eastAsia="SimSun" w:cs="SimSun"/>
          <w:sz w:val="24"/>
          <w:szCs w:val="24"/>
          <w:spacing w:val="3"/>
        </w:rPr>
        <w:t>立完整的工艺规程和操作法，工艺规程中除了考虑正常</w:t>
      </w:r>
      <w:r>
        <w:rPr>
          <w:rFonts w:ascii="SimSun" w:hAnsi="SimSun" w:eastAsia="SimSun" w:cs="SimSun"/>
          <w:sz w:val="24"/>
          <w:szCs w:val="24"/>
          <w:spacing w:val="2"/>
        </w:rPr>
        <w:t>开停车、正常操作外，还</w:t>
      </w:r>
    </w:p>
    <w:p>
      <w:pPr>
        <w:pStyle w:val="BodyText"/>
        <w:spacing w:line="296" w:lineRule="auto"/>
        <w:rPr/>
      </w:pPr>
      <w:r/>
    </w:p>
    <w:p>
      <w:pPr>
        <w:ind w:left="7"/>
        <w:spacing w:before="62" w:line="227" w:lineRule="auto"/>
        <w:rPr>
          <w:rFonts w:ascii="SimSun" w:hAnsi="SimSun" w:eastAsia="SimSun" w:cs="SimSun"/>
          <w:sz w:val="19"/>
          <w:szCs w:val="19"/>
        </w:rPr>
      </w:pPr>
      <w:r>
        <w:pict>
          <v:shape id="_x0000_s1162" style="position:absolute;margin-left:159.33pt;margin-top:2.10377pt;mso-position-vertical-relative:text;mso-position-horizontal-relative:text;width:61pt;height:13.75pt;z-index:25225728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253</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1"/>
          <w:footerReference w:type="default" r:id="rId3"/>
          <w:pgSz w:w="11907" w:h="16840"/>
          <w:pgMar w:top="1567" w:right="1621" w:bottom="400" w:left="1701" w:header="1221" w:footer="0" w:gutter="0"/>
        </w:sectPr>
        <w:rPr>
          <w:rFonts w:ascii="SimSun" w:hAnsi="SimSun" w:eastAsia="SimSun" w:cs="SimSun"/>
          <w:sz w:val="19"/>
          <w:szCs w:val="19"/>
        </w:rPr>
      </w:pPr>
    </w:p>
    <w:p>
      <w:pPr>
        <w:ind w:left="8" w:right="78"/>
        <w:spacing w:before="170" w:line="359" w:lineRule="auto"/>
        <w:jc w:val="both"/>
        <w:rPr>
          <w:rFonts w:ascii="SimSun" w:hAnsi="SimSun" w:eastAsia="SimSun" w:cs="SimSun"/>
          <w:sz w:val="24"/>
          <w:szCs w:val="24"/>
        </w:rPr>
      </w:pPr>
      <w:r>
        <w:pict>
          <v:shape id="_x0000_s1164" style="position:absolute;margin-left:85.05pt;margin-top:78.87pt;mso-position-vertical-relative:page;mso-position-horizontal-relative:page;width:425.25pt;height:0.75pt;z-index:252260352;" o:allowincell="f" fillcolor="#000000" filled="true" stroked="false" coordsize="8505,15" coordorigin="0,0" path="m,l8505,0l8505,14l0,14l0,0xe"/>
        </w:pict>
      </w:r>
      <w:r>
        <w:rPr>
          <w:rFonts w:ascii="SimSun" w:hAnsi="SimSun" w:eastAsia="SimSun" w:cs="SimSun"/>
          <w:sz w:val="24"/>
          <w:szCs w:val="24"/>
          <w:spacing w:val="3"/>
        </w:rPr>
        <w:t>应考虑异常操作处理及紧急事故处理的安全措施和设施</w:t>
      </w:r>
      <w:r>
        <w:rPr>
          <w:rFonts w:ascii="SimSun" w:hAnsi="SimSun" w:eastAsia="SimSun" w:cs="SimSun"/>
          <w:sz w:val="24"/>
          <w:szCs w:val="24"/>
          <w:spacing w:val="2"/>
        </w:rPr>
        <w:t>；严格控制各单元反应的</w:t>
      </w:r>
      <w:r>
        <w:rPr>
          <w:rFonts w:ascii="SimSun" w:hAnsi="SimSun" w:eastAsia="SimSun" w:cs="SimSun"/>
          <w:sz w:val="24"/>
          <w:szCs w:val="24"/>
        </w:rPr>
        <w:t xml:space="preserve"> </w:t>
      </w:r>
      <w:r>
        <w:rPr>
          <w:rFonts w:ascii="SimSun" w:hAnsi="SimSun" w:eastAsia="SimSun" w:cs="SimSun"/>
          <w:sz w:val="24"/>
          <w:szCs w:val="24"/>
          <w:spacing w:val="3"/>
        </w:rPr>
        <w:t>操作温度，操作压力和加料速度等工艺指标，要尽可能采</w:t>
      </w:r>
      <w:r>
        <w:rPr>
          <w:rFonts w:ascii="SimSun" w:hAnsi="SimSun" w:eastAsia="SimSun" w:cs="SimSun"/>
          <w:sz w:val="24"/>
          <w:szCs w:val="24"/>
          <w:spacing w:val="2"/>
        </w:rPr>
        <w:t>取具体的防范措施，防</w:t>
      </w:r>
      <w:r>
        <w:rPr>
          <w:rFonts w:ascii="SimSun" w:hAnsi="SimSun" w:eastAsia="SimSun" w:cs="SimSun"/>
          <w:sz w:val="24"/>
          <w:szCs w:val="24"/>
        </w:rPr>
        <w:t xml:space="preserve"> </w:t>
      </w:r>
      <w:r>
        <w:rPr>
          <w:rFonts w:ascii="SimSun" w:hAnsi="SimSun" w:eastAsia="SimSun" w:cs="SimSun"/>
          <w:sz w:val="24"/>
          <w:szCs w:val="24"/>
          <w:spacing w:val="3"/>
        </w:rPr>
        <w:t>止工艺指标的失控；对主要危险操作过程采取温度、压力</w:t>
      </w:r>
      <w:r>
        <w:rPr>
          <w:rFonts w:ascii="SimSun" w:hAnsi="SimSun" w:eastAsia="SimSun" w:cs="SimSun"/>
          <w:sz w:val="24"/>
          <w:szCs w:val="24"/>
          <w:spacing w:val="2"/>
        </w:rPr>
        <w:t>等在线检测，确保整个</w:t>
      </w:r>
      <w:r>
        <w:rPr>
          <w:rFonts w:ascii="SimSun" w:hAnsi="SimSun" w:eastAsia="SimSun" w:cs="SimSun"/>
          <w:sz w:val="24"/>
          <w:szCs w:val="24"/>
        </w:rPr>
        <w:t xml:space="preserve"> </w:t>
      </w:r>
      <w:r>
        <w:rPr>
          <w:rFonts w:ascii="SimSun" w:hAnsi="SimSun" w:eastAsia="SimSun" w:cs="SimSun"/>
          <w:sz w:val="24"/>
          <w:szCs w:val="24"/>
          <w:spacing w:val="3"/>
        </w:rPr>
        <w:t>过程符合工艺安全要求；所有设备、管道的法兰必须有消</w:t>
      </w:r>
      <w:r>
        <w:rPr>
          <w:rFonts w:ascii="SimSun" w:hAnsi="SimSun" w:eastAsia="SimSun" w:cs="SimSun"/>
          <w:sz w:val="24"/>
          <w:szCs w:val="24"/>
          <w:spacing w:val="2"/>
        </w:rPr>
        <w:t>除静电的跨接措施。设</w:t>
      </w:r>
      <w:r>
        <w:rPr>
          <w:rFonts w:ascii="SimSun" w:hAnsi="SimSun" w:eastAsia="SimSun" w:cs="SimSun"/>
          <w:sz w:val="24"/>
          <w:szCs w:val="24"/>
        </w:rPr>
        <w:t xml:space="preserve"> </w:t>
      </w:r>
      <w:r>
        <w:rPr>
          <w:rFonts w:ascii="SimSun" w:hAnsi="SimSun" w:eastAsia="SimSun" w:cs="SimSun"/>
          <w:sz w:val="24"/>
          <w:szCs w:val="24"/>
          <w:spacing w:val="-1"/>
        </w:rPr>
        <w:t>备和管线必须防静电接地，电阻值应符合规定的要求。</w:t>
      </w:r>
    </w:p>
    <w:p>
      <w:pPr>
        <w:ind w:left="8" w:right="80" w:firstLine="493"/>
        <w:spacing w:before="2" w:line="32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）在沼气供气母管及炉前各组燃烧器入口处设置快速切断阀，</w:t>
      </w:r>
      <w:r>
        <w:rPr>
          <w:rFonts w:ascii="SimSun" w:hAnsi="SimSun" w:eastAsia="SimSun" w:cs="SimSun"/>
          <w:sz w:val="24"/>
          <w:szCs w:val="24"/>
          <w:spacing w:val="-2"/>
        </w:rPr>
        <w:t>并与炉膛熄</w:t>
      </w:r>
      <w:r>
        <w:rPr>
          <w:rFonts w:ascii="SimSun" w:hAnsi="SimSun" w:eastAsia="SimSun" w:cs="SimSun"/>
          <w:sz w:val="24"/>
          <w:szCs w:val="24"/>
        </w:rPr>
        <w:t xml:space="preserve"> </w:t>
      </w:r>
      <w:r>
        <w:rPr>
          <w:rFonts w:ascii="SimSun" w:hAnsi="SimSun" w:eastAsia="SimSun" w:cs="SimSun"/>
          <w:sz w:val="24"/>
          <w:szCs w:val="24"/>
          <w:spacing w:val="3"/>
        </w:rPr>
        <w:t>火保护系统相连接。为防止回火，严格控制炉内负压及</w:t>
      </w:r>
      <w:r>
        <w:rPr>
          <w:rFonts w:ascii="SimSun" w:hAnsi="SimSun" w:eastAsia="SimSun" w:cs="SimSun"/>
          <w:sz w:val="24"/>
          <w:szCs w:val="24"/>
          <w:spacing w:val="2"/>
        </w:rPr>
        <w:t>沼气压力。设置沼气低压</w:t>
      </w:r>
      <w:r>
        <w:rPr>
          <w:rFonts w:ascii="SimSun" w:hAnsi="SimSun" w:eastAsia="SimSun" w:cs="SimSun"/>
          <w:sz w:val="24"/>
          <w:szCs w:val="24"/>
        </w:rPr>
        <w:t xml:space="preserve"> </w:t>
      </w:r>
      <w:r>
        <w:rPr>
          <w:rFonts w:ascii="SimSun" w:hAnsi="SimSun" w:eastAsia="SimSun" w:cs="SimSun"/>
          <w:sz w:val="24"/>
          <w:szCs w:val="24"/>
          <w:spacing w:val="3"/>
        </w:rPr>
        <w:t>报警及保护装置。当沼气压力过低或炉膛突然熄火时能</w:t>
      </w:r>
      <w:r>
        <w:rPr>
          <w:rFonts w:ascii="SimSun" w:hAnsi="SimSun" w:eastAsia="SimSun" w:cs="SimSun"/>
          <w:sz w:val="24"/>
          <w:szCs w:val="24"/>
          <w:spacing w:val="2"/>
        </w:rPr>
        <w:t>迅速切断供气，以免引起</w:t>
      </w:r>
      <w:r>
        <w:rPr>
          <w:rFonts w:ascii="SimSun" w:hAnsi="SimSun" w:eastAsia="SimSun" w:cs="SimSun"/>
          <w:sz w:val="24"/>
          <w:szCs w:val="24"/>
        </w:rPr>
        <w:t xml:space="preserve"> </w:t>
      </w:r>
      <w:r>
        <w:rPr>
          <w:rFonts w:ascii="SimSun" w:hAnsi="SimSun" w:eastAsia="SimSun" w:cs="SimSun"/>
          <w:sz w:val="24"/>
          <w:szCs w:val="24"/>
          <w:spacing w:val="-1"/>
        </w:rPr>
        <w:t>爆炸。沼气管道设有静电保护装置。</w:t>
      </w:r>
    </w:p>
    <w:p>
      <w:pPr>
        <w:ind w:left="9" w:firstLine="491"/>
        <w:spacing w:before="184" w:line="28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）所有管道系统均必须按有关标准进行良好设计、制作及安装</w:t>
      </w:r>
      <w:r>
        <w:rPr>
          <w:rFonts w:ascii="SimSun" w:hAnsi="SimSun" w:eastAsia="SimSun" w:cs="SimSun"/>
          <w:sz w:val="24"/>
          <w:szCs w:val="24"/>
          <w:spacing w:val="-2"/>
        </w:rPr>
        <w:t>，必须由当</w:t>
      </w:r>
      <w:r>
        <w:rPr>
          <w:rFonts w:ascii="SimSun" w:hAnsi="SimSun" w:eastAsia="SimSun" w:cs="SimSun"/>
          <w:sz w:val="24"/>
          <w:szCs w:val="24"/>
        </w:rPr>
        <w:t xml:space="preserve"> </w:t>
      </w:r>
      <w:r>
        <w:rPr>
          <w:rFonts w:ascii="SimSun" w:hAnsi="SimSun" w:eastAsia="SimSun" w:cs="SimSun"/>
          <w:sz w:val="24"/>
          <w:szCs w:val="24"/>
          <w:spacing w:val="-2"/>
        </w:rPr>
        <w:t>地有关质检部门进行验收并通过后方能投入使用。物料输送管线要定期试压检漏。</w:t>
      </w:r>
    </w:p>
    <w:p>
      <w:pPr>
        <w:ind w:left="8" w:right="18" w:firstLine="492"/>
        <w:spacing w:before="183" w:line="331"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4</w:t>
      </w:r>
      <w:r>
        <w:rPr>
          <w:rFonts w:ascii="SimSun" w:hAnsi="SimSun" w:eastAsia="SimSun" w:cs="SimSun"/>
          <w:sz w:val="24"/>
          <w:szCs w:val="24"/>
        </w:rPr>
        <w:t>）压力容器、压力管道等特种设备，应按《压力容器设计规范》的规定，</w:t>
      </w:r>
      <w:r>
        <w:rPr>
          <w:rFonts w:ascii="SimSun" w:hAnsi="SimSun" w:eastAsia="SimSun" w:cs="SimSun"/>
          <w:sz w:val="24"/>
          <w:szCs w:val="24"/>
          <w:spacing w:val="7"/>
        </w:rPr>
        <w:t xml:space="preserve"> </w:t>
      </w:r>
      <w:r>
        <w:rPr>
          <w:rFonts w:ascii="SimSun" w:hAnsi="SimSun" w:eastAsia="SimSun" w:cs="SimSun"/>
          <w:sz w:val="24"/>
          <w:szCs w:val="24"/>
          <w:spacing w:val="3"/>
        </w:rPr>
        <w:t>由有相应资质的单位设计、制造、安装；高温和低温设备及</w:t>
      </w:r>
      <w:r>
        <w:rPr>
          <w:rFonts w:ascii="SimSun" w:hAnsi="SimSun" w:eastAsia="SimSun" w:cs="SimSun"/>
          <w:sz w:val="24"/>
          <w:szCs w:val="24"/>
          <w:spacing w:val="2"/>
        </w:rPr>
        <w:t>管道外部均需包绝缘</w:t>
      </w:r>
      <w:r>
        <w:rPr>
          <w:rFonts w:ascii="SimSun" w:hAnsi="SimSun" w:eastAsia="SimSun" w:cs="SimSun"/>
          <w:sz w:val="24"/>
          <w:szCs w:val="24"/>
        </w:rPr>
        <w:t xml:space="preserve"> </w:t>
      </w:r>
      <w:r>
        <w:rPr>
          <w:rFonts w:ascii="SimSun" w:hAnsi="SimSun" w:eastAsia="SimSun" w:cs="SimSun"/>
          <w:sz w:val="24"/>
          <w:szCs w:val="24"/>
          <w:spacing w:val="-2"/>
        </w:rPr>
        <w:t>材料；输送的设备和管道应设计用非燃材料保温；高</w:t>
      </w:r>
      <w:r>
        <w:rPr>
          <w:rFonts w:ascii="SimSun" w:hAnsi="SimSun" w:eastAsia="SimSun" w:cs="SimSun"/>
          <w:sz w:val="24"/>
          <w:szCs w:val="24"/>
          <w:spacing w:val="-3"/>
        </w:rPr>
        <w:t>温设备和管道应设立隔离栏，</w:t>
      </w:r>
      <w:r>
        <w:rPr>
          <w:rFonts w:ascii="SimSun" w:hAnsi="SimSun" w:eastAsia="SimSun" w:cs="SimSun"/>
          <w:sz w:val="24"/>
          <w:szCs w:val="24"/>
        </w:rPr>
        <w:t xml:space="preserve"> </w:t>
      </w:r>
      <w:r>
        <w:rPr>
          <w:rFonts w:ascii="SimSun" w:hAnsi="SimSun" w:eastAsia="SimSun" w:cs="SimSun"/>
          <w:sz w:val="24"/>
          <w:szCs w:val="24"/>
          <w:spacing w:val="3"/>
        </w:rPr>
        <w:t>并有警示标志。建设项目的压力容器必须建立其技术</w:t>
      </w:r>
      <w:r>
        <w:rPr>
          <w:rFonts w:ascii="SimSun" w:hAnsi="SimSun" w:eastAsia="SimSun" w:cs="SimSun"/>
          <w:sz w:val="24"/>
          <w:szCs w:val="24"/>
          <w:spacing w:val="2"/>
        </w:rPr>
        <w:t>档案及其相关的安全操作规</w:t>
      </w:r>
      <w:r>
        <w:rPr>
          <w:rFonts w:ascii="SimSun" w:hAnsi="SimSun" w:eastAsia="SimSun" w:cs="SimSun"/>
          <w:sz w:val="24"/>
          <w:szCs w:val="24"/>
        </w:rPr>
        <w:t xml:space="preserve"> </w:t>
      </w:r>
      <w:r>
        <w:rPr>
          <w:rFonts w:ascii="SimSun" w:hAnsi="SimSun" w:eastAsia="SimSun" w:cs="SimSun"/>
          <w:sz w:val="24"/>
          <w:szCs w:val="24"/>
          <w:spacing w:val="-1"/>
        </w:rPr>
        <w:t>程和安全管理制度。</w:t>
      </w:r>
    </w:p>
    <w:p>
      <w:pPr>
        <w:ind w:left="8" w:right="80" w:firstLine="492"/>
        <w:spacing w:before="182" w:line="28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）排气筒专设避雷针，高出厂房的金属设备及管道均考虑防雷</w:t>
      </w:r>
      <w:r>
        <w:rPr>
          <w:rFonts w:ascii="SimSun" w:hAnsi="SimSun" w:eastAsia="SimSun" w:cs="SimSun"/>
          <w:sz w:val="24"/>
          <w:szCs w:val="24"/>
          <w:spacing w:val="-2"/>
        </w:rPr>
        <w:t>接地以防雷</w:t>
      </w:r>
      <w:r>
        <w:rPr>
          <w:rFonts w:ascii="SimSun" w:hAnsi="SimSun" w:eastAsia="SimSun" w:cs="SimSun"/>
          <w:sz w:val="24"/>
          <w:szCs w:val="24"/>
        </w:rPr>
        <w:t xml:space="preserve"> </w:t>
      </w:r>
      <w:r>
        <w:rPr>
          <w:rFonts w:ascii="SimSun" w:hAnsi="SimSun" w:eastAsia="SimSun" w:cs="SimSun"/>
          <w:sz w:val="24"/>
          <w:szCs w:val="24"/>
        </w:rPr>
        <w:t>击，防雷击措施应符合《建筑物防雷设计规范》（</w:t>
      </w:r>
      <w:r>
        <w:rPr>
          <w:rFonts w:ascii="Times New Roman" w:hAnsi="Times New Roman" w:eastAsia="Times New Roman" w:cs="Times New Roman"/>
          <w:sz w:val="24"/>
          <w:szCs w:val="24"/>
        </w:rPr>
        <w:t>GB50057</w:t>
      </w:r>
      <w:r>
        <w:rPr>
          <w:rFonts w:ascii="Times New Roman" w:hAnsi="Times New Roman" w:eastAsia="Times New Roman" w:cs="Times New Roman"/>
          <w:sz w:val="24"/>
          <w:szCs w:val="24"/>
          <w:spacing w:val="-1"/>
        </w:rPr>
        <w:t>-2010</w:t>
      </w:r>
      <w:r>
        <w:rPr>
          <w:rFonts w:ascii="SimSun" w:hAnsi="SimSun" w:eastAsia="SimSun" w:cs="SimSun"/>
          <w:sz w:val="24"/>
          <w:szCs w:val="24"/>
          <w:spacing w:val="-1"/>
        </w:rPr>
        <w:t>）的规定。</w:t>
      </w:r>
    </w:p>
    <w:p>
      <w:pPr>
        <w:ind w:left="17" w:right="78" w:firstLine="484"/>
        <w:spacing w:before="183" w:line="331"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6</w:t>
      </w:r>
      <w:r>
        <w:rPr>
          <w:rFonts w:ascii="SimSun" w:hAnsi="SimSun" w:eastAsia="SimSun" w:cs="SimSun"/>
          <w:sz w:val="24"/>
          <w:szCs w:val="24"/>
          <w:spacing w:val="-1"/>
        </w:rPr>
        <w:t>）生产装置的供电、供水、供风等公用设施必须满足正常生产</w:t>
      </w:r>
      <w:r>
        <w:rPr>
          <w:rFonts w:ascii="SimSun" w:hAnsi="SimSun" w:eastAsia="SimSun" w:cs="SimSun"/>
          <w:sz w:val="24"/>
          <w:szCs w:val="24"/>
          <w:spacing w:val="-2"/>
        </w:rPr>
        <w:t>和事故状态</w:t>
      </w:r>
      <w:r>
        <w:rPr>
          <w:rFonts w:ascii="SimSun" w:hAnsi="SimSun" w:eastAsia="SimSun" w:cs="SimSun"/>
          <w:sz w:val="24"/>
          <w:szCs w:val="24"/>
        </w:rPr>
        <w:t xml:space="preserve"> </w:t>
      </w:r>
      <w:r>
        <w:rPr>
          <w:rFonts w:ascii="SimSun" w:hAnsi="SimSun" w:eastAsia="SimSun" w:cs="SimSun"/>
          <w:sz w:val="24"/>
          <w:szCs w:val="24"/>
        </w:rPr>
        <w:t>下的要求，并符合有关防爆法规、标准的规定；保温夹套管及表面温度超过</w:t>
      </w:r>
      <w:r>
        <w:rPr>
          <w:rFonts w:ascii="SimSun" w:hAnsi="SimSun" w:eastAsia="SimSun" w:cs="SimSun"/>
          <w:sz w:val="24"/>
          <w:szCs w:val="24"/>
          <w:spacing w:val="-40"/>
        </w:rPr>
        <w:t xml:space="preserve"> </w:t>
      </w:r>
      <w:r>
        <w:rPr>
          <w:rFonts w:ascii="Times New Roman" w:hAnsi="Times New Roman" w:eastAsia="Times New Roman" w:cs="Times New Roman"/>
          <w:sz w:val="24"/>
          <w:szCs w:val="24"/>
        </w:rPr>
        <w:t>50℃ </w:t>
      </w:r>
      <w:r>
        <w:rPr>
          <w:rFonts w:ascii="SimSun" w:hAnsi="SimSun" w:eastAsia="SimSun" w:cs="SimSun"/>
          <w:sz w:val="24"/>
          <w:szCs w:val="24"/>
          <w:spacing w:val="2"/>
        </w:rPr>
        <w:t>的设备。均需采用保温绝热措施，并加强管理，因为检修等原因损坏的，必须及</w:t>
      </w:r>
      <w:r>
        <w:rPr>
          <w:rFonts w:ascii="SimSun" w:hAnsi="SimSun" w:eastAsia="SimSun" w:cs="SimSun"/>
          <w:sz w:val="24"/>
          <w:szCs w:val="24"/>
          <w:spacing w:val="17"/>
        </w:rPr>
        <w:t xml:space="preserve"> </w:t>
      </w:r>
      <w:r>
        <w:rPr>
          <w:rFonts w:ascii="SimSun" w:hAnsi="SimSun" w:eastAsia="SimSun" w:cs="SimSun"/>
          <w:sz w:val="24"/>
          <w:szCs w:val="24"/>
          <w:spacing w:val="2"/>
        </w:rPr>
        <w:t>时恢复。施工时严格执行《工业管道工程施工及验收规范》，防止因施工导致车</w:t>
      </w:r>
      <w:r>
        <w:rPr>
          <w:rFonts w:ascii="SimSun" w:hAnsi="SimSun" w:eastAsia="SimSun" w:cs="SimSun"/>
          <w:sz w:val="24"/>
          <w:szCs w:val="24"/>
          <w:spacing w:val="17"/>
        </w:rPr>
        <w:t xml:space="preserve"> </w:t>
      </w:r>
      <w:r>
        <w:rPr>
          <w:rFonts w:ascii="SimSun" w:hAnsi="SimSun" w:eastAsia="SimSun" w:cs="SimSun"/>
          <w:sz w:val="24"/>
          <w:szCs w:val="24"/>
          <w:spacing w:val="-2"/>
        </w:rPr>
        <w:t>间管道、阀门破裂而产生泄漏事件。</w:t>
      </w:r>
    </w:p>
    <w:p>
      <w:pPr>
        <w:ind w:left="8" w:right="77" w:firstLine="492"/>
        <w:spacing w:before="182" w:line="331"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7</w:t>
      </w:r>
      <w:r>
        <w:rPr>
          <w:rFonts w:ascii="SimSun" w:hAnsi="SimSun" w:eastAsia="SimSun" w:cs="SimSun"/>
          <w:sz w:val="24"/>
          <w:szCs w:val="24"/>
          <w:spacing w:val="-1"/>
        </w:rPr>
        <w:t>）进入厂区人员应穿戴好个人安全防护用品。同时工作服要达到</w:t>
      </w:r>
      <w:r>
        <w:rPr>
          <w:rFonts w:ascii="Times New Roman" w:hAnsi="Times New Roman" w:eastAsia="Times New Roman" w:cs="Times New Roman"/>
          <w:sz w:val="24"/>
          <w:szCs w:val="24"/>
          <w:spacing w:val="-1"/>
        </w:rPr>
        <w:t>“</w:t>
      </w:r>
      <w:r>
        <w:rPr>
          <w:rFonts w:ascii="SimSun" w:hAnsi="SimSun" w:eastAsia="SimSun" w:cs="SimSun"/>
          <w:sz w:val="24"/>
          <w:szCs w:val="24"/>
          <w:spacing w:val="-1"/>
        </w:rPr>
        <w:t>三</w:t>
      </w:r>
      <w:r>
        <w:rPr>
          <w:rFonts w:ascii="SimSun" w:hAnsi="SimSun" w:eastAsia="SimSun" w:cs="SimSun"/>
          <w:sz w:val="24"/>
          <w:szCs w:val="24"/>
          <w:spacing w:val="-2"/>
        </w:rPr>
        <w:t>紧</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w:t>
      </w:r>
      <w:r>
        <w:rPr>
          <w:rFonts w:ascii="SimSun" w:hAnsi="SimSun" w:eastAsia="SimSun" w:cs="SimSun"/>
          <w:sz w:val="24"/>
          <w:szCs w:val="24"/>
        </w:rPr>
        <w:t xml:space="preserve"> </w:t>
      </w:r>
      <w:r>
        <w:rPr>
          <w:rFonts w:ascii="SimSun" w:hAnsi="SimSun" w:eastAsia="SimSun" w:cs="SimSun"/>
          <w:sz w:val="24"/>
          <w:szCs w:val="24"/>
          <w:spacing w:val="3"/>
        </w:rPr>
        <w:t>女职工的长发要束在安全帽内，以防意外事故的发生。生</w:t>
      </w:r>
      <w:r>
        <w:rPr>
          <w:rFonts w:ascii="SimSun" w:hAnsi="SimSun" w:eastAsia="SimSun" w:cs="SimSun"/>
          <w:sz w:val="24"/>
          <w:szCs w:val="24"/>
          <w:spacing w:val="2"/>
        </w:rPr>
        <w:t>产时，必须为高温岗位</w:t>
      </w:r>
      <w:r>
        <w:rPr>
          <w:rFonts w:ascii="SimSun" w:hAnsi="SimSun" w:eastAsia="SimSun" w:cs="SimSun"/>
          <w:sz w:val="24"/>
          <w:szCs w:val="24"/>
        </w:rPr>
        <w:t xml:space="preserve"> </w:t>
      </w:r>
      <w:r>
        <w:rPr>
          <w:rFonts w:ascii="SimSun" w:hAnsi="SimSun" w:eastAsia="SimSun" w:cs="SimSun"/>
          <w:sz w:val="24"/>
          <w:szCs w:val="24"/>
          <w:spacing w:val="3"/>
        </w:rPr>
        <w:t>提供相应的劳动防护用品，并建立职工健康档案，定期对职</w:t>
      </w:r>
      <w:r>
        <w:rPr>
          <w:rFonts w:ascii="SimSun" w:hAnsi="SimSun" w:eastAsia="SimSun" w:cs="SimSun"/>
          <w:sz w:val="24"/>
          <w:szCs w:val="24"/>
          <w:spacing w:val="2"/>
        </w:rPr>
        <w:t>工进行体检。操作电</w:t>
      </w:r>
      <w:r>
        <w:rPr>
          <w:rFonts w:ascii="SimSun" w:hAnsi="SimSun" w:eastAsia="SimSun" w:cs="SimSun"/>
          <w:sz w:val="24"/>
          <w:szCs w:val="24"/>
        </w:rPr>
        <w:t xml:space="preserve"> </w:t>
      </w:r>
      <w:r>
        <w:rPr>
          <w:rFonts w:ascii="SimSun" w:hAnsi="SimSun" w:eastAsia="SimSun" w:cs="SimSun"/>
          <w:sz w:val="24"/>
          <w:szCs w:val="24"/>
          <w:spacing w:val="3"/>
        </w:rPr>
        <w:t>气设备的电工必须穿绝缘鞋、戴绝缘手套，并有监护人。</w:t>
      </w:r>
      <w:r>
        <w:rPr>
          <w:rFonts w:ascii="SimSun" w:hAnsi="SimSun" w:eastAsia="SimSun" w:cs="SimSun"/>
          <w:sz w:val="24"/>
          <w:szCs w:val="24"/>
          <w:spacing w:val="2"/>
        </w:rPr>
        <w:t>对于高温高热岗位，应</w:t>
      </w:r>
      <w:r>
        <w:rPr>
          <w:rFonts w:ascii="SimSun" w:hAnsi="SimSun" w:eastAsia="SimSun" w:cs="SimSun"/>
          <w:sz w:val="24"/>
          <w:szCs w:val="24"/>
        </w:rPr>
        <w:t xml:space="preserve"> </w:t>
      </w:r>
      <w:r>
        <w:rPr>
          <w:rFonts w:ascii="SimSun" w:hAnsi="SimSun" w:eastAsia="SimSun" w:cs="SimSun"/>
          <w:sz w:val="24"/>
          <w:szCs w:val="24"/>
        </w:rPr>
        <w:t>划出警示区域或设置防屏蔽设施，防止人员</w:t>
      </w:r>
      <w:r>
        <w:rPr>
          <w:rFonts w:ascii="SimSun" w:hAnsi="SimSun" w:eastAsia="SimSun" w:cs="SimSun"/>
          <w:sz w:val="24"/>
          <w:szCs w:val="24"/>
          <w:spacing w:val="-1"/>
        </w:rPr>
        <w:t>受到热物料高温烫伤。</w:t>
      </w:r>
    </w:p>
    <w:p>
      <w:pPr>
        <w:spacing w:line="331" w:lineRule="auto"/>
        <w:sectPr>
          <w:footerReference w:type="default" r:id="rId347"/>
          <w:pgSz w:w="11907" w:h="16840"/>
          <w:pgMar w:top="1567" w:right="1621" w:bottom="1921" w:left="1701" w:header="1221" w:footer="1247" w:gutter="0"/>
        </w:sectPr>
        <w:rPr>
          <w:rFonts w:ascii="SimSun" w:hAnsi="SimSun" w:eastAsia="SimSun" w:cs="SimSun"/>
          <w:sz w:val="24"/>
          <w:szCs w:val="24"/>
        </w:rPr>
      </w:pPr>
    </w:p>
    <w:p>
      <w:pPr>
        <w:ind w:left="12"/>
        <w:spacing w:before="192" w:line="222" w:lineRule="auto"/>
        <w:outlineLvl w:val="2"/>
        <w:rPr>
          <w:rFonts w:ascii="SimHei" w:hAnsi="SimHei" w:eastAsia="SimHei" w:cs="SimHei"/>
          <w:sz w:val="28"/>
          <w:szCs w:val="28"/>
        </w:rPr>
      </w:pPr>
      <w:r>
        <w:pict>
          <v:shape id="_x0000_s1166" style="position:absolute;margin-left:85.05pt;margin-top:79.11pt;mso-position-vertical-relative:page;mso-position-horizontal-relative:page;width:425.25pt;height:0.75pt;z-index:252264448;" o:allowincell="f" fillcolor="#000000" filled="true" stroked="false" coordsize="8505,15" coordorigin="0,0" path="m,l8505,0l8505,14l0,14l0,0xe"/>
        </w:pict>
      </w:r>
      <w:bookmarkStart w:name="bookmark143" w:id="174"/>
      <w:bookmarkEnd w:id="174"/>
      <w:r>
        <w:rPr>
          <w:rFonts w:ascii="Times New Roman" w:hAnsi="Times New Roman" w:eastAsia="Times New Roman" w:cs="Times New Roman"/>
          <w:sz w:val="28"/>
          <w:szCs w:val="28"/>
          <w:spacing w:val="-1"/>
        </w:rPr>
        <w:t>6.6.4 </w:t>
      </w:r>
      <w:r>
        <w:rPr>
          <w:rFonts w:ascii="SimHei" w:hAnsi="SimHei" w:eastAsia="SimHei" w:cs="SimHei"/>
          <w:sz w:val="28"/>
          <w:szCs w:val="28"/>
          <w:spacing w:val="-1"/>
        </w:rPr>
        <w:t>危险物质储运操作风险防范措施</w:t>
      </w:r>
    </w:p>
    <w:p>
      <w:pPr>
        <w:pStyle w:val="BodyText"/>
        <w:spacing w:line="241" w:lineRule="auto"/>
        <w:rPr/>
      </w:pPr>
      <w:r/>
    </w:p>
    <w:p>
      <w:pPr>
        <w:ind w:left="10" w:right="37" w:firstLine="481"/>
        <w:spacing w:before="78" w:line="359" w:lineRule="auto"/>
        <w:jc w:val="both"/>
        <w:rPr>
          <w:rFonts w:ascii="SimSun" w:hAnsi="SimSun" w:eastAsia="SimSun" w:cs="SimSun"/>
          <w:sz w:val="24"/>
          <w:szCs w:val="24"/>
        </w:rPr>
      </w:pPr>
      <w:r>
        <w:rPr>
          <w:rFonts w:ascii="SimSun" w:hAnsi="SimSun" w:eastAsia="SimSun" w:cs="SimSun"/>
          <w:sz w:val="24"/>
          <w:szCs w:val="24"/>
          <w:spacing w:val="3"/>
        </w:rPr>
        <w:t>危险化学品必须根据各自的性质制定合理的操作规范、工作</w:t>
      </w:r>
      <w:r>
        <w:rPr>
          <w:rFonts w:ascii="SimSun" w:hAnsi="SimSun" w:eastAsia="SimSun" w:cs="SimSun"/>
          <w:sz w:val="24"/>
          <w:szCs w:val="24"/>
          <w:spacing w:val="2"/>
        </w:rPr>
        <w:t>程序，并将操作</w:t>
      </w:r>
      <w:r>
        <w:rPr>
          <w:rFonts w:ascii="SimSun" w:hAnsi="SimSun" w:eastAsia="SimSun" w:cs="SimSun"/>
          <w:sz w:val="24"/>
          <w:szCs w:val="24"/>
        </w:rPr>
        <w:t xml:space="preserve"> </w:t>
      </w:r>
      <w:r>
        <w:rPr>
          <w:rFonts w:ascii="SimSun" w:hAnsi="SimSun" w:eastAsia="SimSun" w:cs="SimSun"/>
          <w:sz w:val="24"/>
          <w:szCs w:val="24"/>
          <w:spacing w:val="3"/>
        </w:rPr>
        <w:t>规程张贴在对应工段的显眼位置，以便随时查看</w:t>
      </w:r>
      <w:r>
        <w:rPr>
          <w:rFonts w:ascii="SimSun" w:hAnsi="SimSun" w:eastAsia="SimSun" w:cs="SimSun"/>
          <w:sz w:val="24"/>
          <w:szCs w:val="24"/>
          <w:spacing w:val="2"/>
        </w:rPr>
        <w:t>。根据各自的性质必须配备合理</w:t>
      </w:r>
      <w:r>
        <w:rPr>
          <w:rFonts w:ascii="SimSun" w:hAnsi="SimSun" w:eastAsia="SimSun" w:cs="SimSun"/>
          <w:sz w:val="24"/>
          <w:szCs w:val="24"/>
        </w:rPr>
        <w:t xml:space="preserve"> </w:t>
      </w:r>
      <w:r>
        <w:rPr>
          <w:rFonts w:ascii="SimSun" w:hAnsi="SimSun" w:eastAsia="SimSun" w:cs="SimSun"/>
          <w:sz w:val="24"/>
          <w:szCs w:val="24"/>
          <w:spacing w:val="-2"/>
        </w:rPr>
        <w:t>的防护措施，并对操作工人进行严格的培训，严</w:t>
      </w:r>
      <w:r>
        <w:rPr>
          <w:rFonts w:ascii="SimSun" w:hAnsi="SimSun" w:eastAsia="SimSun" w:cs="SimSun"/>
          <w:sz w:val="24"/>
          <w:szCs w:val="24"/>
          <w:spacing w:val="-3"/>
        </w:rPr>
        <w:t>格要求各操作工人佩戴防护措施，</w:t>
      </w:r>
      <w:r>
        <w:rPr>
          <w:rFonts w:ascii="SimSun" w:hAnsi="SimSun" w:eastAsia="SimSun" w:cs="SimSun"/>
          <w:sz w:val="24"/>
          <w:szCs w:val="24"/>
        </w:rPr>
        <w:t xml:space="preserve"> </w:t>
      </w:r>
      <w:r>
        <w:rPr>
          <w:rFonts w:ascii="SimSun" w:hAnsi="SimSun" w:eastAsia="SimSun" w:cs="SimSun"/>
          <w:sz w:val="24"/>
          <w:szCs w:val="24"/>
          <w:spacing w:val="3"/>
        </w:rPr>
        <w:t>熟练掌握操作技巧和工艺，减少因人为失误造成</w:t>
      </w:r>
      <w:r>
        <w:rPr>
          <w:rFonts w:ascii="SimSun" w:hAnsi="SimSun" w:eastAsia="SimSun" w:cs="SimSun"/>
          <w:sz w:val="24"/>
          <w:szCs w:val="24"/>
          <w:spacing w:val="2"/>
        </w:rPr>
        <w:t>的风险事故。根据各工段、各物</w:t>
      </w:r>
      <w:r>
        <w:rPr>
          <w:rFonts w:ascii="SimSun" w:hAnsi="SimSun" w:eastAsia="SimSun" w:cs="SimSun"/>
          <w:sz w:val="24"/>
          <w:szCs w:val="24"/>
        </w:rPr>
        <w:t xml:space="preserve"> </w:t>
      </w:r>
      <w:r>
        <w:rPr>
          <w:rFonts w:ascii="SimSun" w:hAnsi="SimSun" w:eastAsia="SimSun" w:cs="SimSun"/>
          <w:sz w:val="24"/>
          <w:szCs w:val="24"/>
          <w:spacing w:val="3"/>
        </w:rPr>
        <w:t>资性质的不同，确定在各工段配备、放置合理的</w:t>
      </w:r>
      <w:r>
        <w:rPr>
          <w:rFonts w:ascii="SimSun" w:hAnsi="SimSun" w:eastAsia="SimSun" w:cs="SimSun"/>
          <w:sz w:val="24"/>
          <w:szCs w:val="24"/>
          <w:spacing w:val="2"/>
        </w:rPr>
        <w:t>风险处理物资，风险处理物资必</w:t>
      </w:r>
      <w:r>
        <w:rPr>
          <w:rFonts w:ascii="SimSun" w:hAnsi="SimSun" w:eastAsia="SimSun" w:cs="SimSun"/>
          <w:sz w:val="24"/>
          <w:szCs w:val="24"/>
        </w:rPr>
        <w:t xml:space="preserve"> </w:t>
      </w:r>
      <w:r>
        <w:rPr>
          <w:rFonts w:ascii="SimSun" w:hAnsi="SimSun" w:eastAsia="SimSun" w:cs="SimSun"/>
          <w:sz w:val="24"/>
          <w:szCs w:val="24"/>
          <w:spacing w:val="-1"/>
        </w:rPr>
        <w:t>须在车间显眼处，并标示，以便随时可以启用。</w:t>
      </w:r>
    </w:p>
    <w:p>
      <w:pPr>
        <w:ind w:left="14" w:right="99" w:firstLine="478"/>
        <w:spacing w:before="2" w:line="362" w:lineRule="auto"/>
        <w:rPr>
          <w:rFonts w:ascii="SimSun" w:hAnsi="SimSun" w:eastAsia="SimSun" w:cs="SimSun"/>
          <w:sz w:val="24"/>
          <w:szCs w:val="24"/>
        </w:rPr>
      </w:pPr>
      <w:r>
        <w:rPr>
          <w:rFonts w:ascii="SimSun" w:hAnsi="SimSun" w:eastAsia="SimSun" w:cs="SimSun"/>
          <w:sz w:val="24"/>
          <w:szCs w:val="24"/>
          <w:spacing w:val="-1"/>
        </w:rPr>
        <w:t>建设</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座封闭式沼气火炬，处理量</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250m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2"/>
        </w:rPr>
        <w:t>/h</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，筒体不锈钢，高度为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，作为</w:t>
      </w:r>
      <w:r>
        <w:rPr>
          <w:rFonts w:ascii="SimSun" w:hAnsi="SimSun" w:eastAsia="SimSun" w:cs="SimSun"/>
          <w:sz w:val="24"/>
          <w:szCs w:val="24"/>
        </w:rPr>
        <w:t xml:space="preserve"> </w:t>
      </w:r>
      <w:r>
        <w:rPr>
          <w:rFonts w:ascii="SimSun" w:hAnsi="SimSun" w:eastAsia="SimSun" w:cs="SimSun"/>
          <w:sz w:val="24"/>
          <w:szCs w:val="24"/>
          <w:spacing w:val="-2"/>
        </w:rPr>
        <w:t>沼气应急排放系统。</w:t>
      </w:r>
    </w:p>
    <w:p>
      <w:pPr>
        <w:ind w:left="12"/>
        <w:spacing w:before="117" w:line="222" w:lineRule="auto"/>
        <w:outlineLvl w:val="2"/>
        <w:rPr>
          <w:rFonts w:ascii="SimHei" w:hAnsi="SimHei" w:eastAsia="SimHei" w:cs="SimHei"/>
          <w:sz w:val="28"/>
          <w:szCs w:val="28"/>
        </w:rPr>
      </w:pPr>
      <w:bookmarkStart w:name="bookmark144" w:id="175"/>
      <w:bookmarkEnd w:id="175"/>
      <w:r>
        <w:rPr>
          <w:rFonts w:ascii="Times New Roman" w:hAnsi="Times New Roman" w:eastAsia="Times New Roman" w:cs="Times New Roman"/>
          <w:sz w:val="28"/>
          <w:szCs w:val="28"/>
          <w:spacing w:val="-1"/>
        </w:rPr>
        <w:t>6.6.5 </w:t>
      </w:r>
      <w:r>
        <w:rPr>
          <w:rFonts w:ascii="SimHei" w:hAnsi="SimHei" w:eastAsia="SimHei" w:cs="SimHei"/>
          <w:sz w:val="28"/>
          <w:szCs w:val="28"/>
          <w:spacing w:val="-1"/>
        </w:rPr>
        <w:t>消防及火灾报警系统</w:t>
      </w:r>
    </w:p>
    <w:p>
      <w:pPr>
        <w:pStyle w:val="BodyText"/>
        <w:spacing w:line="242" w:lineRule="auto"/>
        <w:rPr/>
      </w:pPr>
      <w:r/>
    </w:p>
    <w:p>
      <w:pPr>
        <w:ind w:left="8" w:right="96" w:firstLine="490"/>
        <w:spacing w:before="79" w:line="336" w:lineRule="auto"/>
        <w:rPr>
          <w:rFonts w:ascii="SimSun" w:hAnsi="SimSun" w:eastAsia="SimSun" w:cs="SimSun"/>
          <w:sz w:val="24"/>
          <w:szCs w:val="24"/>
        </w:rPr>
      </w:pPr>
      <w:r>
        <w:rPr>
          <w:rFonts w:ascii="SimSun" w:hAnsi="SimSun" w:eastAsia="SimSun" w:cs="SimSun"/>
          <w:sz w:val="24"/>
          <w:szCs w:val="24"/>
          <w:spacing w:val="-5"/>
        </w:rPr>
        <w:t>（</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5"/>
        </w:rPr>
        <w:t>1 </w:t>
      </w:r>
      <w:r>
        <w:rPr>
          <w:rFonts w:ascii="SimSun" w:hAnsi="SimSun" w:eastAsia="SimSun" w:cs="SimSun"/>
          <w:sz w:val="24"/>
          <w:szCs w:val="24"/>
          <w:spacing w:val="-5"/>
        </w:rPr>
        <w:t>）根据火灾危险性等级和防火、防爆要求，建筑物的防火等级均应采用国</w:t>
      </w:r>
      <w:r>
        <w:rPr>
          <w:rFonts w:ascii="SimSun" w:hAnsi="SimSun" w:eastAsia="SimSun" w:cs="SimSun"/>
          <w:sz w:val="24"/>
          <w:szCs w:val="24"/>
        </w:rPr>
        <w:t xml:space="preserve"> </w:t>
      </w:r>
      <w:r>
        <w:rPr>
          <w:rFonts w:ascii="SimSun" w:hAnsi="SimSun" w:eastAsia="SimSun" w:cs="SimSun"/>
          <w:sz w:val="24"/>
          <w:szCs w:val="24"/>
          <w:spacing w:val="3"/>
        </w:rPr>
        <w:t>家现行规范要求按一、二级耐火等级设计，满足建筑防火要</w:t>
      </w:r>
      <w:r>
        <w:rPr>
          <w:rFonts w:ascii="SimSun" w:hAnsi="SimSun" w:eastAsia="SimSun" w:cs="SimSun"/>
          <w:sz w:val="24"/>
          <w:szCs w:val="24"/>
          <w:spacing w:val="2"/>
        </w:rPr>
        <w:t>求。凡禁火区均设置</w:t>
      </w:r>
      <w:r>
        <w:rPr>
          <w:rFonts w:ascii="SimSun" w:hAnsi="SimSun" w:eastAsia="SimSun" w:cs="SimSun"/>
          <w:sz w:val="24"/>
          <w:szCs w:val="24"/>
        </w:rPr>
        <w:t xml:space="preserve"> </w:t>
      </w:r>
      <w:r>
        <w:rPr>
          <w:rFonts w:ascii="SimSun" w:hAnsi="SimSun" w:eastAsia="SimSun" w:cs="SimSun"/>
          <w:sz w:val="24"/>
          <w:szCs w:val="24"/>
          <w:spacing w:val="3"/>
        </w:rPr>
        <w:t>明显标志牌。各种易燃易爆物料均储存在阴凉、通风</w:t>
      </w:r>
      <w:r>
        <w:rPr>
          <w:rFonts w:ascii="SimSun" w:hAnsi="SimSun" w:eastAsia="SimSun" w:cs="SimSun"/>
          <w:sz w:val="24"/>
          <w:szCs w:val="24"/>
          <w:spacing w:val="2"/>
        </w:rPr>
        <w:t>处，远离火源；安放易发生</w:t>
      </w:r>
      <w:r>
        <w:rPr>
          <w:rFonts w:ascii="SimSun" w:hAnsi="SimSun" w:eastAsia="SimSun" w:cs="SimSun"/>
          <w:sz w:val="24"/>
          <w:szCs w:val="24"/>
        </w:rPr>
        <w:t xml:space="preserve"> </w:t>
      </w:r>
      <w:r>
        <w:rPr>
          <w:rFonts w:ascii="SimSun" w:hAnsi="SimSun" w:eastAsia="SimSun" w:cs="SimSun"/>
          <w:sz w:val="24"/>
          <w:szCs w:val="24"/>
          <w:spacing w:val="3"/>
        </w:rPr>
        <w:t>爆炸设备的房间，不允许任何人员随便入内，操作全</w:t>
      </w:r>
      <w:r>
        <w:rPr>
          <w:rFonts w:ascii="SimSun" w:hAnsi="SimSun" w:eastAsia="SimSun" w:cs="SimSun"/>
          <w:sz w:val="24"/>
          <w:szCs w:val="24"/>
          <w:spacing w:val="2"/>
        </w:rPr>
        <w:t>部在控制室进行。安全出口</w:t>
      </w:r>
      <w:r>
        <w:rPr>
          <w:rFonts w:ascii="SimSun" w:hAnsi="SimSun" w:eastAsia="SimSun" w:cs="SimSun"/>
          <w:sz w:val="24"/>
          <w:szCs w:val="24"/>
        </w:rPr>
        <w:t xml:space="preserve"> </w:t>
      </w:r>
      <w:r>
        <w:rPr>
          <w:rFonts w:ascii="SimSun" w:hAnsi="SimSun" w:eastAsia="SimSun" w:cs="SimSun"/>
          <w:sz w:val="24"/>
          <w:szCs w:val="24"/>
        </w:rPr>
        <w:t>及安全疏散距离应符合《建筑设计防火规范（</w:t>
      </w:r>
      <w:r>
        <w:rPr>
          <w:rFonts w:ascii="Times New Roman" w:hAnsi="Times New Roman" w:eastAsia="Times New Roman" w:cs="Times New Roman"/>
          <w:sz w:val="24"/>
          <w:szCs w:val="24"/>
        </w:rPr>
        <w:t>2018 </w:t>
      </w:r>
      <w:r>
        <w:rPr>
          <w:rFonts w:ascii="SimSun" w:hAnsi="SimSun" w:eastAsia="SimSun" w:cs="SimSun"/>
          <w:sz w:val="24"/>
          <w:szCs w:val="24"/>
        </w:rPr>
        <w:t>年</w:t>
      </w:r>
      <w:r>
        <w:rPr>
          <w:rFonts w:ascii="SimSun" w:hAnsi="SimSun" w:eastAsia="SimSun" w:cs="SimSun"/>
          <w:sz w:val="24"/>
          <w:szCs w:val="24"/>
          <w:spacing w:val="-1"/>
        </w:rPr>
        <w:t>修订）》（</w:t>
      </w:r>
      <w:r>
        <w:rPr>
          <w:rFonts w:ascii="Times New Roman" w:hAnsi="Times New Roman" w:eastAsia="Times New Roman" w:cs="Times New Roman"/>
          <w:sz w:val="24"/>
          <w:szCs w:val="24"/>
          <w:spacing w:val="-1"/>
        </w:rPr>
        <w:t>GB50016-2014</w:t>
      </w:r>
      <w:r>
        <w:rPr>
          <w:rFonts w:ascii="SimSun" w:hAnsi="SimSun" w:eastAsia="SimSun" w:cs="SimSun"/>
          <w:sz w:val="24"/>
          <w:szCs w:val="24"/>
          <w:spacing w:val="-1"/>
        </w:rPr>
        <w:t>）</w:t>
      </w:r>
      <w:r>
        <w:rPr>
          <w:rFonts w:ascii="SimSun" w:hAnsi="SimSun" w:eastAsia="SimSun" w:cs="SimSun"/>
          <w:sz w:val="24"/>
          <w:szCs w:val="24"/>
        </w:rPr>
        <w:t xml:space="preserve"> </w:t>
      </w:r>
      <w:r>
        <w:rPr>
          <w:rFonts w:ascii="SimSun" w:hAnsi="SimSun" w:eastAsia="SimSun" w:cs="SimSun"/>
          <w:sz w:val="24"/>
          <w:szCs w:val="24"/>
          <w:spacing w:val="-3"/>
        </w:rPr>
        <w:t>的要求。</w:t>
      </w:r>
    </w:p>
    <w:p>
      <w:pPr>
        <w:ind w:left="11" w:firstLine="489"/>
        <w:spacing w:before="179" w:line="32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）本项目应根据《建筑设计防火规范（</w:t>
      </w:r>
      <w:r>
        <w:rPr>
          <w:rFonts w:ascii="Times New Roman" w:hAnsi="Times New Roman" w:eastAsia="Times New Roman" w:cs="Times New Roman"/>
          <w:sz w:val="24"/>
          <w:szCs w:val="24"/>
          <w:spacing w:val="-1"/>
        </w:rPr>
        <w:t>2018 </w:t>
      </w:r>
      <w:r>
        <w:rPr>
          <w:rFonts w:ascii="SimSun" w:hAnsi="SimSun" w:eastAsia="SimSun" w:cs="SimSun"/>
          <w:sz w:val="24"/>
          <w:szCs w:val="24"/>
          <w:spacing w:val="-1"/>
        </w:rPr>
        <w:t>年修订）》（</w:t>
      </w:r>
      <w:r>
        <w:rPr>
          <w:rFonts w:ascii="Times New Roman" w:hAnsi="Times New Roman" w:eastAsia="Times New Roman" w:cs="Times New Roman"/>
          <w:sz w:val="24"/>
          <w:szCs w:val="24"/>
          <w:spacing w:val="-1"/>
        </w:rPr>
        <w:t>GB5</w:t>
      </w:r>
      <w:r>
        <w:rPr>
          <w:rFonts w:ascii="Times New Roman" w:hAnsi="Times New Roman" w:eastAsia="Times New Roman" w:cs="Times New Roman"/>
          <w:sz w:val="24"/>
          <w:szCs w:val="24"/>
          <w:spacing w:val="-2"/>
        </w:rPr>
        <w:t>0016-2014</w:t>
      </w:r>
      <w:r>
        <w:rPr>
          <w:rFonts w:ascii="SimSun" w:hAnsi="SimSun" w:eastAsia="SimSun" w:cs="SimSun"/>
          <w:sz w:val="24"/>
          <w:szCs w:val="24"/>
          <w:spacing w:val="-2"/>
        </w:rPr>
        <w:t>）</w:t>
      </w:r>
      <w:r>
        <w:rPr>
          <w:rFonts w:ascii="SimSun" w:hAnsi="SimSun" w:eastAsia="SimSun" w:cs="SimSun"/>
          <w:sz w:val="24"/>
          <w:szCs w:val="24"/>
        </w:rPr>
        <w:t xml:space="preserve"> </w:t>
      </w:r>
      <w:r>
        <w:rPr>
          <w:rFonts w:ascii="SimSun" w:hAnsi="SimSun" w:eastAsia="SimSun" w:cs="SimSun"/>
          <w:sz w:val="24"/>
          <w:szCs w:val="24"/>
          <w:spacing w:val="3"/>
        </w:rPr>
        <w:t>的要求设置消防栓、消防水池、灭火器等设施</w:t>
      </w:r>
      <w:r>
        <w:rPr>
          <w:rFonts w:ascii="SimSun" w:hAnsi="SimSun" w:eastAsia="SimSun" w:cs="SimSun"/>
          <w:sz w:val="24"/>
          <w:szCs w:val="24"/>
          <w:spacing w:val="2"/>
        </w:rPr>
        <w:t>；消防水是独立的稳高压消防水管</w:t>
      </w:r>
      <w:r>
        <w:rPr>
          <w:rFonts w:ascii="SimSun" w:hAnsi="SimSun" w:eastAsia="SimSun" w:cs="SimSun"/>
          <w:sz w:val="24"/>
          <w:szCs w:val="24"/>
        </w:rPr>
        <w:t xml:space="preserve"> </w:t>
      </w:r>
      <w:r>
        <w:rPr>
          <w:rFonts w:ascii="SimSun" w:hAnsi="SimSun" w:eastAsia="SimSun" w:cs="SimSun"/>
          <w:sz w:val="24"/>
          <w:szCs w:val="24"/>
          <w:spacing w:val="3"/>
        </w:rPr>
        <w:t>网，消防水管道沿装置及辅助生产设施周围布置，在</w:t>
      </w:r>
      <w:r>
        <w:rPr>
          <w:rFonts w:ascii="SimSun" w:hAnsi="SimSun" w:eastAsia="SimSun" w:cs="SimSun"/>
          <w:sz w:val="24"/>
          <w:szCs w:val="24"/>
          <w:spacing w:val="2"/>
        </w:rPr>
        <w:t>管道上按照规范要求配置消</w:t>
      </w:r>
      <w:r>
        <w:rPr>
          <w:rFonts w:ascii="SimSun" w:hAnsi="SimSun" w:eastAsia="SimSun" w:cs="SimSun"/>
          <w:sz w:val="24"/>
          <w:szCs w:val="24"/>
        </w:rPr>
        <w:t xml:space="preserve"> </w:t>
      </w:r>
      <w:r>
        <w:rPr>
          <w:rFonts w:ascii="SimSun" w:hAnsi="SimSun" w:eastAsia="SimSun" w:cs="SimSun"/>
          <w:sz w:val="24"/>
          <w:szCs w:val="24"/>
          <w:spacing w:val="-1"/>
        </w:rPr>
        <w:t>火栓。灭火器应尽量采用泡沫灭火系统或干粉灭火系统。</w:t>
      </w:r>
    </w:p>
    <w:p>
      <w:pPr>
        <w:ind w:left="9" w:right="99" w:firstLine="491"/>
        <w:spacing w:before="183" w:line="29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）火灾报警系统：全厂采用电话报警，报警至消防局。根据需</w:t>
      </w:r>
      <w:r>
        <w:rPr>
          <w:rFonts w:ascii="SimSun" w:hAnsi="SimSun" w:eastAsia="SimSun" w:cs="SimSun"/>
          <w:sz w:val="24"/>
          <w:szCs w:val="24"/>
          <w:spacing w:val="-2"/>
        </w:rPr>
        <w:t>要设置报警</w:t>
      </w:r>
      <w:r>
        <w:rPr>
          <w:rFonts w:ascii="SimSun" w:hAnsi="SimSun" w:eastAsia="SimSun" w:cs="SimSun"/>
          <w:sz w:val="24"/>
          <w:szCs w:val="24"/>
        </w:rPr>
        <w:t xml:space="preserve"> </w:t>
      </w:r>
      <w:r>
        <w:rPr>
          <w:rFonts w:ascii="SimSun" w:hAnsi="SimSun" w:eastAsia="SimSun" w:cs="SimSun"/>
          <w:sz w:val="24"/>
          <w:szCs w:val="24"/>
        </w:rPr>
        <w:t>装置。火灾报警信号报至中心控制室，再由</w:t>
      </w:r>
      <w:r>
        <w:rPr>
          <w:rFonts w:ascii="SimSun" w:hAnsi="SimSun" w:eastAsia="SimSun" w:cs="SimSun"/>
          <w:sz w:val="24"/>
          <w:szCs w:val="24"/>
          <w:spacing w:val="-1"/>
        </w:rPr>
        <w:t>中心控制室报至消防局。</w:t>
      </w:r>
    </w:p>
    <w:p>
      <w:pPr>
        <w:ind w:left="12"/>
        <w:spacing w:before="305" w:line="222" w:lineRule="auto"/>
        <w:outlineLvl w:val="2"/>
        <w:rPr>
          <w:rFonts w:ascii="SimHei" w:hAnsi="SimHei" w:eastAsia="SimHei" w:cs="SimHei"/>
          <w:sz w:val="28"/>
          <w:szCs w:val="28"/>
        </w:rPr>
      </w:pPr>
      <w:bookmarkStart w:name="bookmark145" w:id="176"/>
      <w:bookmarkEnd w:id="176"/>
      <w:r>
        <w:rPr>
          <w:rFonts w:ascii="Times New Roman" w:hAnsi="Times New Roman" w:eastAsia="Times New Roman" w:cs="Times New Roman"/>
          <w:sz w:val="28"/>
          <w:szCs w:val="28"/>
          <w:spacing w:val="-1"/>
        </w:rPr>
        <w:t>6.6.6 </w:t>
      </w:r>
      <w:r>
        <w:rPr>
          <w:rFonts w:ascii="SimHei" w:hAnsi="SimHei" w:eastAsia="SimHei" w:cs="SimHei"/>
          <w:sz w:val="28"/>
          <w:szCs w:val="28"/>
          <w:spacing w:val="-1"/>
        </w:rPr>
        <w:t>事故废水风险防范措施</w:t>
      </w:r>
    </w:p>
    <w:p>
      <w:pPr>
        <w:pStyle w:val="BodyText"/>
        <w:spacing w:line="244" w:lineRule="auto"/>
        <w:rPr/>
      </w:pPr>
      <w:r/>
    </w:p>
    <w:p>
      <w:pPr>
        <w:ind w:left="501"/>
        <w:spacing w:before="79"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）事故废水收集</w:t>
      </w:r>
    </w:p>
    <w:p>
      <w:pPr>
        <w:ind w:left="10" w:right="37" w:firstLine="483"/>
        <w:spacing w:before="182" w:line="361" w:lineRule="auto"/>
        <w:rPr>
          <w:rFonts w:ascii="SimSun" w:hAnsi="SimSun" w:eastAsia="SimSun" w:cs="SimSun"/>
          <w:sz w:val="24"/>
          <w:szCs w:val="24"/>
        </w:rPr>
      </w:pPr>
      <w:r>
        <w:rPr>
          <w:rFonts w:ascii="SimSun" w:hAnsi="SimSun" w:eastAsia="SimSun" w:cs="SimSun"/>
          <w:sz w:val="24"/>
          <w:szCs w:val="24"/>
          <w:spacing w:val="3"/>
        </w:rPr>
        <w:t>正常情况下，各装置内污染区和非污染区雨水分别收集</w:t>
      </w:r>
      <w:r>
        <w:rPr>
          <w:rFonts w:ascii="SimSun" w:hAnsi="SimSun" w:eastAsia="SimSun" w:cs="SimSun"/>
          <w:sz w:val="24"/>
          <w:szCs w:val="24"/>
          <w:spacing w:val="2"/>
        </w:rPr>
        <w:t>。污染区的初期雨污</w:t>
      </w:r>
      <w:r>
        <w:rPr>
          <w:rFonts w:ascii="SimSun" w:hAnsi="SimSun" w:eastAsia="SimSun" w:cs="SimSun"/>
          <w:sz w:val="24"/>
          <w:szCs w:val="24"/>
        </w:rPr>
        <w:t xml:space="preserve"> </w:t>
      </w:r>
      <w:r>
        <w:rPr>
          <w:rFonts w:ascii="SimSun" w:hAnsi="SimSun" w:eastAsia="SimSun" w:cs="SimSun"/>
          <w:sz w:val="24"/>
          <w:szCs w:val="24"/>
          <w:spacing w:val="-2"/>
        </w:rPr>
        <w:t>水通过设置在设备区四周的围堰排水沟汇集进入</w:t>
      </w:r>
      <w:r>
        <w:rPr>
          <w:rFonts w:ascii="SimSun" w:hAnsi="SimSun" w:eastAsia="SimSun" w:cs="SimSun"/>
          <w:sz w:val="24"/>
          <w:szCs w:val="24"/>
          <w:spacing w:val="-3"/>
        </w:rPr>
        <w:t>雨水系统，雨水干管上闸门关闭，</w:t>
      </w:r>
      <w:r>
        <w:rPr>
          <w:rFonts w:ascii="SimSun" w:hAnsi="SimSun" w:eastAsia="SimSun" w:cs="SimSun"/>
          <w:sz w:val="24"/>
          <w:szCs w:val="24"/>
        </w:rPr>
        <w:t xml:space="preserve"> </w:t>
      </w:r>
      <w:r>
        <w:rPr>
          <w:rFonts w:ascii="SimSun" w:hAnsi="SimSun" w:eastAsia="SimSun" w:cs="SimSun"/>
          <w:sz w:val="24"/>
          <w:szCs w:val="24"/>
          <w:spacing w:val="3"/>
        </w:rPr>
        <w:t>联络管上闸门打开，初期雨污水经雨水排水管网收集后</w:t>
      </w:r>
      <w:r>
        <w:rPr>
          <w:rFonts w:ascii="SimSun" w:hAnsi="SimSun" w:eastAsia="SimSun" w:cs="SimSun"/>
          <w:sz w:val="24"/>
          <w:szCs w:val="24"/>
          <w:spacing w:val="2"/>
        </w:rPr>
        <w:t>排入事故水池暂存。非污</w:t>
      </w:r>
    </w:p>
    <w:p>
      <w:pPr>
        <w:ind w:left="7"/>
        <w:spacing w:before="157" w:line="227" w:lineRule="auto"/>
        <w:rPr>
          <w:rFonts w:ascii="SimSun" w:hAnsi="SimSun" w:eastAsia="SimSun" w:cs="SimSun"/>
          <w:sz w:val="19"/>
          <w:szCs w:val="19"/>
        </w:rPr>
      </w:pPr>
      <w:r>
        <w:pict>
          <v:shape id="_x0000_s1168" style="position:absolute;margin-left:159.33pt;margin-top:6.8682pt;mso-position-vertical-relative:text;mso-position-horizontal-relative:text;width:61pt;height:13.75pt;z-index:25226342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255</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29"/>
          <w:footerReference w:type="default" r:id="rId3"/>
          <w:pgSz w:w="11907" w:h="16840"/>
          <w:pgMar w:top="1567" w:right="1603" w:bottom="400" w:left="1701" w:header="1221" w:footer="0" w:gutter="0"/>
        </w:sectPr>
        <w:rPr>
          <w:rFonts w:ascii="SimSun" w:hAnsi="SimSun" w:eastAsia="SimSun" w:cs="SimSun"/>
          <w:sz w:val="19"/>
          <w:szCs w:val="19"/>
        </w:rPr>
      </w:pPr>
    </w:p>
    <w:p>
      <w:pPr>
        <w:ind w:left="13"/>
        <w:spacing w:before="168" w:line="359" w:lineRule="auto"/>
        <w:rPr>
          <w:rFonts w:ascii="SimSun" w:hAnsi="SimSun" w:eastAsia="SimSun" w:cs="SimSun"/>
          <w:sz w:val="24"/>
          <w:szCs w:val="24"/>
        </w:rPr>
      </w:pPr>
      <w:r>
        <w:pict>
          <v:shape id="_x0000_s1170" style="position:absolute;margin-left:85.05pt;margin-top:78.87pt;mso-position-vertical-relative:page;mso-position-horizontal-relative:page;width:425.25pt;height:0.75pt;z-index:252266496;" o:allowincell="f" fillcolor="#000000" filled="true" stroked="false" coordsize="8505,15" coordorigin="0,0" path="m,l8505,0l8505,14l0,14l0,0xe"/>
        </w:pict>
      </w:r>
      <w:r>
        <w:rPr>
          <w:rFonts w:ascii="SimSun" w:hAnsi="SimSun" w:eastAsia="SimSun" w:cs="SimSun"/>
          <w:sz w:val="24"/>
          <w:szCs w:val="24"/>
          <w:spacing w:val="3"/>
        </w:rPr>
        <w:t>染区及其他辅助设施的清净雨水经排水沟汇集后</w:t>
      </w:r>
      <w:r>
        <w:rPr>
          <w:rFonts w:ascii="SimSun" w:hAnsi="SimSun" w:eastAsia="SimSun" w:cs="SimSun"/>
          <w:sz w:val="24"/>
          <w:szCs w:val="24"/>
          <w:spacing w:val="2"/>
        </w:rPr>
        <w:t>进入雨水系统，雨水干管上闸门</w:t>
      </w:r>
      <w:r>
        <w:rPr>
          <w:rFonts w:ascii="SimSun" w:hAnsi="SimSun" w:eastAsia="SimSun" w:cs="SimSun"/>
          <w:sz w:val="24"/>
          <w:szCs w:val="24"/>
        </w:rPr>
        <w:t xml:space="preserve"> </w:t>
      </w:r>
      <w:r>
        <w:rPr>
          <w:rFonts w:ascii="SimSun" w:hAnsi="SimSun" w:eastAsia="SimSun" w:cs="SimSun"/>
          <w:sz w:val="24"/>
          <w:szCs w:val="24"/>
          <w:spacing w:val="-2"/>
        </w:rPr>
        <w:t>打开，联络管上闸门关闭，全厂清净雨水经雨水排水管线收集后排出项目厂界区。</w:t>
      </w:r>
    </w:p>
    <w:p>
      <w:pPr>
        <w:ind w:left="12" w:right="78" w:firstLine="477"/>
        <w:spacing w:before="1" w:line="359" w:lineRule="auto"/>
        <w:jc w:val="both"/>
        <w:rPr>
          <w:rFonts w:ascii="SimSun" w:hAnsi="SimSun" w:eastAsia="SimSun" w:cs="SimSun"/>
          <w:sz w:val="24"/>
          <w:szCs w:val="24"/>
        </w:rPr>
      </w:pPr>
      <w:r>
        <w:rPr>
          <w:rFonts w:ascii="SimSun" w:hAnsi="SimSun" w:eastAsia="SimSun" w:cs="SimSun"/>
          <w:sz w:val="24"/>
          <w:szCs w:val="24"/>
          <w:spacing w:val="3"/>
        </w:rPr>
        <w:t>事故状态下，雨水干管上闸门关闭，联络管上闸门打开，事故废水</w:t>
      </w:r>
      <w:r>
        <w:rPr>
          <w:rFonts w:ascii="SimSun" w:hAnsi="SimSun" w:eastAsia="SimSun" w:cs="SimSun"/>
          <w:sz w:val="24"/>
          <w:szCs w:val="24"/>
          <w:spacing w:val="2"/>
        </w:rPr>
        <w:t>经雨水排</w:t>
      </w:r>
      <w:r>
        <w:rPr>
          <w:rFonts w:ascii="SimSun" w:hAnsi="SimSun" w:eastAsia="SimSun" w:cs="SimSun"/>
          <w:sz w:val="24"/>
          <w:szCs w:val="24"/>
        </w:rPr>
        <w:t xml:space="preserve"> </w:t>
      </w:r>
      <w:r>
        <w:rPr>
          <w:rFonts w:ascii="SimSun" w:hAnsi="SimSun" w:eastAsia="SimSun" w:cs="SimSun"/>
          <w:sz w:val="24"/>
          <w:szCs w:val="24"/>
          <w:spacing w:val="3"/>
        </w:rPr>
        <w:t>水管网收集后排入事故水池暂存。通过开启和关闭</w:t>
      </w:r>
      <w:r>
        <w:rPr>
          <w:rFonts w:ascii="SimSun" w:hAnsi="SimSun" w:eastAsia="SimSun" w:cs="SimSun"/>
          <w:sz w:val="24"/>
          <w:szCs w:val="24"/>
          <w:spacing w:val="2"/>
        </w:rPr>
        <w:t>不同雨水排水干管上切换井中</w:t>
      </w:r>
      <w:r>
        <w:rPr>
          <w:rFonts w:ascii="SimSun" w:hAnsi="SimSun" w:eastAsia="SimSun" w:cs="SimSun"/>
          <w:sz w:val="24"/>
          <w:szCs w:val="24"/>
        </w:rPr>
        <w:t xml:space="preserve"> </w:t>
      </w:r>
      <w:r>
        <w:rPr>
          <w:rFonts w:ascii="SimSun" w:hAnsi="SimSun" w:eastAsia="SimSun" w:cs="SimSun"/>
          <w:sz w:val="24"/>
          <w:szCs w:val="24"/>
          <w:spacing w:val="-1"/>
        </w:rPr>
        <w:t>的闸门，可实现不同区域事故废水的单独切换。</w:t>
      </w:r>
    </w:p>
    <w:p>
      <w:pPr>
        <w:ind w:left="8" w:right="80" w:firstLine="481"/>
        <w:spacing w:before="2" w:line="358" w:lineRule="auto"/>
        <w:jc w:val="both"/>
        <w:rPr>
          <w:rFonts w:ascii="SimSun" w:hAnsi="SimSun" w:eastAsia="SimSun" w:cs="SimSun"/>
          <w:sz w:val="24"/>
          <w:szCs w:val="24"/>
        </w:rPr>
      </w:pPr>
      <w:r>
        <w:rPr>
          <w:rFonts w:ascii="SimSun" w:hAnsi="SimSun" w:eastAsia="SimSun" w:cs="SimSun"/>
          <w:sz w:val="24"/>
          <w:szCs w:val="24"/>
          <w:spacing w:val="1"/>
        </w:rPr>
        <w:t>本项目在东西两个厂区内分别设置</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座</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400m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15"/>
          <w:szCs w:val="15"/>
          <w:spacing w:val="14"/>
          <w:w w:val="101"/>
          <w:position w:val="8"/>
        </w:rPr>
        <w:t xml:space="preserve"> </w:t>
      </w:r>
      <w:r>
        <w:rPr>
          <w:rFonts w:ascii="SimSun" w:hAnsi="SimSun" w:eastAsia="SimSun" w:cs="SimSun"/>
          <w:sz w:val="24"/>
          <w:szCs w:val="24"/>
          <w:spacing w:val="1"/>
        </w:rPr>
        <w:t>应急事故水池，用于接收事故</w:t>
      </w:r>
      <w:r>
        <w:rPr>
          <w:rFonts w:ascii="SimSun" w:hAnsi="SimSun" w:eastAsia="SimSun" w:cs="SimSun"/>
          <w:sz w:val="24"/>
          <w:szCs w:val="24"/>
        </w:rPr>
        <w:t xml:space="preserve"> </w:t>
      </w:r>
      <w:r>
        <w:rPr>
          <w:rFonts w:ascii="SimSun" w:hAnsi="SimSun" w:eastAsia="SimSun" w:cs="SimSun"/>
          <w:sz w:val="24"/>
          <w:szCs w:val="24"/>
          <w:spacing w:val="3"/>
        </w:rPr>
        <w:t>废水和初期雨污水，待事故结束后，采用罐车分批送</w:t>
      </w:r>
      <w:r>
        <w:rPr>
          <w:rFonts w:ascii="SimSun" w:hAnsi="SimSun" w:eastAsia="SimSun" w:cs="SimSun"/>
          <w:sz w:val="24"/>
          <w:szCs w:val="24"/>
          <w:spacing w:val="2"/>
        </w:rPr>
        <w:t>往明安图镇污水处理厂委托</w:t>
      </w:r>
      <w:r>
        <w:rPr>
          <w:rFonts w:ascii="SimSun" w:hAnsi="SimSun" w:eastAsia="SimSun" w:cs="SimSun"/>
          <w:sz w:val="24"/>
          <w:szCs w:val="24"/>
        </w:rPr>
        <w:t xml:space="preserve"> </w:t>
      </w:r>
      <w:r>
        <w:rPr>
          <w:rFonts w:ascii="SimSun" w:hAnsi="SimSun" w:eastAsia="SimSun" w:cs="SimSun"/>
          <w:sz w:val="24"/>
          <w:szCs w:val="24"/>
          <w:spacing w:val="-3"/>
        </w:rPr>
        <w:t>处理。</w:t>
      </w:r>
    </w:p>
    <w:p>
      <w:pPr>
        <w:ind w:left="501"/>
        <w:spacing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）消防事故水池</w:t>
      </w:r>
    </w:p>
    <w:p>
      <w:pPr>
        <w:ind w:left="9" w:right="80" w:firstLine="482"/>
        <w:spacing w:before="183" w:line="359" w:lineRule="auto"/>
        <w:rPr>
          <w:rFonts w:ascii="SimSun" w:hAnsi="SimSun" w:eastAsia="SimSun" w:cs="SimSun"/>
          <w:sz w:val="24"/>
          <w:szCs w:val="24"/>
        </w:rPr>
      </w:pPr>
      <w:r>
        <w:rPr>
          <w:rFonts w:ascii="SimSun" w:hAnsi="SimSun" w:eastAsia="SimSun" w:cs="SimSun"/>
          <w:sz w:val="24"/>
          <w:szCs w:val="24"/>
          <w:spacing w:val="3"/>
        </w:rPr>
        <w:t>建设单位对项目厂区的事故水、消防废水、初期雨水</w:t>
      </w:r>
      <w:r>
        <w:rPr>
          <w:rFonts w:ascii="SimSun" w:hAnsi="SimSun" w:eastAsia="SimSun" w:cs="SimSun"/>
          <w:sz w:val="24"/>
          <w:szCs w:val="24"/>
          <w:spacing w:val="2"/>
        </w:rPr>
        <w:t>等进行收集，收集进入</w:t>
      </w:r>
      <w:r>
        <w:rPr>
          <w:rFonts w:ascii="SimSun" w:hAnsi="SimSun" w:eastAsia="SimSun" w:cs="SimSun"/>
          <w:sz w:val="24"/>
          <w:szCs w:val="24"/>
        </w:rPr>
        <w:t xml:space="preserve"> </w:t>
      </w:r>
      <w:r>
        <w:rPr>
          <w:rFonts w:ascii="SimSun" w:hAnsi="SimSun" w:eastAsia="SimSun" w:cs="SimSun"/>
          <w:sz w:val="24"/>
          <w:szCs w:val="24"/>
          <w:spacing w:val="-2"/>
        </w:rPr>
        <w:t>事故水池。</w:t>
      </w:r>
    </w:p>
    <w:p>
      <w:pPr>
        <w:ind w:left="8" w:right="77" w:firstLine="481"/>
        <w:spacing w:before="2" w:line="341" w:lineRule="auto"/>
        <w:rPr>
          <w:rFonts w:ascii="SimSun" w:hAnsi="SimSun" w:eastAsia="SimSun" w:cs="SimSun"/>
          <w:sz w:val="24"/>
          <w:szCs w:val="24"/>
        </w:rPr>
      </w:pPr>
      <w:r>
        <w:rPr>
          <w:rFonts w:ascii="SimSun" w:hAnsi="SimSun" w:eastAsia="SimSun" w:cs="SimSun"/>
          <w:sz w:val="24"/>
          <w:szCs w:val="24"/>
          <w:spacing w:val="3"/>
        </w:rPr>
        <w:t>本次评价，全厂事故应急水池容积根据中石化安环局《水体污染</w:t>
      </w:r>
      <w:r>
        <w:rPr>
          <w:rFonts w:ascii="SimSun" w:hAnsi="SimSun" w:eastAsia="SimSun" w:cs="SimSun"/>
          <w:sz w:val="24"/>
          <w:szCs w:val="24"/>
          <w:spacing w:val="2"/>
        </w:rPr>
        <w:t>防控紧急措</w:t>
      </w:r>
      <w:r>
        <w:rPr>
          <w:rFonts w:ascii="SimSun" w:hAnsi="SimSun" w:eastAsia="SimSun" w:cs="SimSun"/>
          <w:sz w:val="24"/>
          <w:szCs w:val="24"/>
        </w:rPr>
        <w:t xml:space="preserve"> </w:t>
      </w:r>
      <w:r>
        <w:rPr>
          <w:rFonts w:ascii="SimSun" w:hAnsi="SimSun" w:eastAsia="SimSun" w:cs="SimSun"/>
          <w:sz w:val="24"/>
          <w:szCs w:val="24"/>
          <w:spacing w:val="-1"/>
        </w:rPr>
        <w:t>施设计导则》进行计算：</w:t>
      </w:r>
    </w:p>
    <w:p>
      <w:pPr>
        <w:ind w:left="2856"/>
        <w:spacing w:line="323" w:lineRule="exact"/>
        <w:rPr>
          <w:rFonts w:ascii="Times New Roman" w:hAnsi="Times New Roman" w:eastAsia="Times New Roman" w:cs="Times New Roman"/>
          <w:sz w:val="15"/>
          <w:szCs w:val="15"/>
        </w:rPr>
      </w:pPr>
      <w:r>
        <w:rPr>
          <w:rFonts w:ascii="Times New Roman" w:hAnsi="Times New Roman" w:eastAsia="Times New Roman" w:cs="Times New Roman"/>
          <w:sz w:val="24"/>
          <w:szCs w:val="24"/>
          <w:spacing w:val="-1"/>
          <w:position w:val="1"/>
        </w:rPr>
        <w:t>V=</w:t>
      </w:r>
      <w:r>
        <w:rPr>
          <w:rFonts w:ascii="SimSun" w:hAnsi="SimSun" w:eastAsia="SimSun" w:cs="SimSun"/>
          <w:sz w:val="24"/>
          <w:szCs w:val="24"/>
          <w:spacing w:val="-1"/>
          <w:position w:val="1"/>
        </w:rPr>
        <w:t>（</w:t>
      </w:r>
      <w:r>
        <w:rPr>
          <w:rFonts w:ascii="Times New Roman" w:hAnsi="Times New Roman" w:eastAsia="Times New Roman" w:cs="Times New Roman"/>
          <w:sz w:val="24"/>
          <w:szCs w:val="24"/>
          <w:spacing w:val="-1"/>
          <w:position w:val="1"/>
        </w:rPr>
        <w:t>V</w:t>
      </w:r>
      <w:r>
        <w:rPr>
          <w:rFonts w:ascii="Times New Roman" w:hAnsi="Times New Roman" w:eastAsia="Times New Roman" w:cs="Times New Roman"/>
          <w:sz w:val="15"/>
          <w:szCs w:val="15"/>
          <w:spacing w:val="-1"/>
        </w:rPr>
        <w:t>1</w:t>
      </w:r>
      <w:r>
        <w:rPr>
          <w:rFonts w:ascii="Times New Roman" w:hAnsi="Times New Roman" w:eastAsia="Times New Roman" w:cs="Times New Roman"/>
          <w:sz w:val="24"/>
          <w:szCs w:val="24"/>
          <w:spacing w:val="-1"/>
          <w:position w:val="1"/>
        </w:rPr>
        <w:t>+V</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24"/>
          <w:szCs w:val="24"/>
          <w:spacing w:val="-1"/>
          <w:position w:val="1"/>
        </w:rPr>
        <w:t>-V</w:t>
      </w:r>
      <w:r>
        <w:rPr>
          <w:rFonts w:ascii="Times New Roman" w:hAnsi="Times New Roman" w:eastAsia="Times New Roman" w:cs="Times New Roman"/>
          <w:sz w:val="15"/>
          <w:szCs w:val="15"/>
          <w:spacing w:val="-1"/>
        </w:rPr>
        <w:t>3 </w:t>
      </w:r>
      <w:r>
        <w:rPr>
          <w:rFonts w:ascii="SimSun" w:hAnsi="SimSun" w:eastAsia="SimSun" w:cs="SimSun"/>
          <w:sz w:val="24"/>
          <w:szCs w:val="24"/>
          <w:spacing w:val="-1"/>
          <w:position w:val="1"/>
        </w:rPr>
        <w:t>）</w:t>
      </w:r>
      <w:r>
        <w:rPr>
          <w:rFonts w:ascii="Times New Roman" w:hAnsi="Times New Roman" w:eastAsia="Times New Roman" w:cs="Times New Roman"/>
          <w:sz w:val="15"/>
          <w:szCs w:val="15"/>
          <w:spacing w:val="-1"/>
        </w:rPr>
        <w:t>max</w:t>
      </w:r>
      <w:r>
        <w:rPr>
          <w:rFonts w:ascii="Times New Roman" w:hAnsi="Times New Roman" w:eastAsia="Times New Roman" w:cs="Times New Roman"/>
          <w:sz w:val="24"/>
          <w:szCs w:val="24"/>
          <w:spacing w:val="-1"/>
          <w:position w:val="1"/>
        </w:rPr>
        <w:t>+V</w:t>
      </w:r>
      <w:r>
        <w:rPr>
          <w:rFonts w:ascii="Times New Roman" w:hAnsi="Times New Roman" w:eastAsia="Times New Roman" w:cs="Times New Roman"/>
          <w:sz w:val="15"/>
          <w:szCs w:val="15"/>
          <w:spacing w:val="-1"/>
        </w:rPr>
        <w:t>4</w:t>
      </w:r>
      <w:r>
        <w:rPr>
          <w:rFonts w:ascii="Times New Roman" w:hAnsi="Times New Roman" w:eastAsia="Times New Roman" w:cs="Times New Roman"/>
          <w:sz w:val="24"/>
          <w:szCs w:val="24"/>
          <w:spacing w:val="-1"/>
          <w:position w:val="1"/>
        </w:rPr>
        <w:t>+V</w:t>
      </w:r>
      <w:r>
        <w:rPr>
          <w:rFonts w:ascii="Times New Roman" w:hAnsi="Times New Roman" w:eastAsia="Times New Roman" w:cs="Times New Roman"/>
          <w:sz w:val="15"/>
          <w:szCs w:val="15"/>
          <w:spacing w:val="-1"/>
        </w:rPr>
        <w:t>5</w:t>
      </w:r>
    </w:p>
    <w:p>
      <w:pPr>
        <w:ind w:left="494"/>
        <w:spacing w:before="188" w:line="219"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V</w:t>
      </w:r>
      <w:r>
        <w:rPr>
          <w:rFonts w:ascii="Times New Roman" w:hAnsi="Times New Roman" w:eastAsia="Times New Roman" w:cs="Times New Roman"/>
          <w:sz w:val="15"/>
          <w:szCs w:val="15"/>
          <w:spacing w:val="-1"/>
          <w:position w:val="-1"/>
        </w:rPr>
        <w:t>1</w:t>
      </w:r>
      <w:r>
        <w:rPr>
          <w:rFonts w:ascii="Times New Roman" w:hAnsi="Times New Roman" w:eastAsia="Times New Roman" w:cs="Times New Roman"/>
          <w:sz w:val="24"/>
          <w:szCs w:val="24"/>
          <w:spacing w:val="-1"/>
        </w:rPr>
        <w:t>—</w:t>
      </w:r>
      <w:r>
        <w:rPr>
          <w:rFonts w:ascii="SimSun" w:hAnsi="SimSun" w:eastAsia="SimSun" w:cs="SimSun"/>
          <w:sz w:val="24"/>
          <w:szCs w:val="24"/>
          <w:spacing w:val="-1"/>
        </w:rPr>
        <w:t>收集系统范围内发生事故的一个罐组或一套装置的物料量。</w:t>
      </w:r>
    </w:p>
    <w:p>
      <w:pPr>
        <w:ind w:left="1202"/>
        <w:spacing w:before="184" w:line="219" w:lineRule="auto"/>
        <w:rPr>
          <w:rFonts w:ascii="SimSun" w:hAnsi="SimSun" w:eastAsia="SimSun" w:cs="SimSun"/>
          <w:sz w:val="24"/>
          <w:szCs w:val="24"/>
        </w:rPr>
      </w:pPr>
      <w:r>
        <w:rPr>
          <w:rFonts w:ascii="Times New Roman" w:hAnsi="Times New Roman" w:eastAsia="Times New Roman" w:cs="Times New Roman"/>
          <w:sz w:val="24"/>
          <w:szCs w:val="24"/>
        </w:rPr>
        <w:t>V</w:t>
      </w:r>
      <w:r>
        <w:rPr>
          <w:rFonts w:ascii="Times New Roman" w:hAnsi="Times New Roman" w:eastAsia="Times New Roman" w:cs="Times New Roman"/>
          <w:sz w:val="15"/>
          <w:szCs w:val="15"/>
          <w:position w:val="-1"/>
        </w:rPr>
        <w:t>2</w:t>
      </w:r>
      <w:r>
        <w:rPr>
          <w:rFonts w:ascii="Times New Roman" w:hAnsi="Times New Roman" w:eastAsia="Times New Roman" w:cs="Times New Roman"/>
          <w:sz w:val="24"/>
          <w:szCs w:val="24"/>
        </w:rPr>
        <w:t>—</w:t>
      </w:r>
      <w:r>
        <w:rPr>
          <w:rFonts w:ascii="SimSun" w:hAnsi="SimSun" w:eastAsia="SimSun" w:cs="SimSun"/>
          <w:sz w:val="24"/>
          <w:szCs w:val="24"/>
        </w:rPr>
        <w:t>发生事故的储罐或装置的消防水量，</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8"/>
        </w:rPr>
        <w:t>3</w:t>
      </w:r>
      <w:r>
        <w:rPr>
          <w:rFonts w:ascii="SimSun" w:hAnsi="SimSun" w:eastAsia="SimSun" w:cs="SimSun"/>
          <w:sz w:val="24"/>
          <w:szCs w:val="24"/>
        </w:rPr>
        <w:t>；</w:t>
      </w:r>
    </w:p>
    <w:p>
      <w:pPr>
        <w:ind w:left="1202"/>
        <w:spacing w:before="182" w:line="219" w:lineRule="auto"/>
        <w:rPr>
          <w:rFonts w:ascii="SimSun" w:hAnsi="SimSun" w:eastAsia="SimSun" w:cs="SimSun"/>
          <w:sz w:val="24"/>
          <w:szCs w:val="24"/>
        </w:rPr>
      </w:pPr>
      <w:r>
        <w:rPr>
          <w:rFonts w:ascii="Times New Roman" w:hAnsi="Times New Roman" w:eastAsia="Times New Roman" w:cs="Times New Roman"/>
          <w:sz w:val="24"/>
          <w:szCs w:val="24"/>
        </w:rPr>
        <w:t>V</w:t>
      </w:r>
      <w:r>
        <w:rPr>
          <w:rFonts w:ascii="Times New Roman" w:hAnsi="Times New Roman" w:eastAsia="Times New Roman" w:cs="Times New Roman"/>
          <w:sz w:val="15"/>
          <w:szCs w:val="15"/>
          <w:position w:val="-1"/>
        </w:rPr>
        <w:t>3</w:t>
      </w:r>
      <w:r>
        <w:rPr>
          <w:rFonts w:ascii="Times New Roman" w:hAnsi="Times New Roman" w:eastAsia="Times New Roman" w:cs="Times New Roman"/>
          <w:sz w:val="24"/>
          <w:szCs w:val="24"/>
        </w:rPr>
        <w:t>—</w:t>
      </w:r>
      <w:r>
        <w:rPr>
          <w:rFonts w:ascii="SimSun" w:hAnsi="SimSun" w:eastAsia="SimSun" w:cs="SimSun"/>
          <w:sz w:val="24"/>
          <w:szCs w:val="24"/>
        </w:rPr>
        <w:t>发生事故时可以传输到其他储存或处理设施物料量，</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8"/>
        </w:rPr>
        <w:t>3</w:t>
      </w:r>
      <w:r>
        <w:rPr>
          <w:rFonts w:ascii="SimSun" w:hAnsi="SimSun" w:eastAsia="SimSun" w:cs="SimSun"/>
          <w:sz w:val="24"/>
          <w:szCs w:val="24"/>
        </w:rPr>
        <w:t>；</w:t>
      </w:r>
    </w:p>
    <w:p>
      <w:pPr>
        <w:ind w:left="1202"/>
        <w:spacing w:before="182" w:line="219" w:lineRule="auto"/>
        <w:rPr>
          <w:rFonts w:ascii="SimSun" w:hAnsi="SimSun" w:eastAsia="SimSun" w:cs="SimSun"/>
          <w:sz w:val="24"/>
          <w:szCs w:val="24"/>
        </w:rPr>
      </w:pPr>
      <w:r>
        <w:rPr>
          <w:rFonts w:ascii="Times New Roman" w:hAnsi="Times New Roman" w:eastAsia="Times New Roman" w:cs="Times New Roman"/>
          <w:sz w:val="24"/>
          <w:szCs w:val="24"/>
        </w:rPr>
        <w:t>V</w:t>
      </w:r>
      <w:r>
        <w:rPr>
          <w:rFonts w:ascii="Times New Roman" w:hAnsi="Times New Roman" w:eastAsia="Times New Roman" w:cs="Times New Roman"/>
          <w:sz w:val="15"/>
          <w:szCs w:val="15"/>
          <w:position w:val="-1"/>
        </w:rPr>
        <w:t>4</w:t>
      </w:r>
      <w:r>
        <w:rPr>
          <w:rFonts w:ascii="Times New Roman" w:hAnsi="Times New Roman" w:eastAsia="Times New Roman" w:cs="Times New Roman"/>
          <w:sz w:val="24"/>
          <w:szCs w:val="24"/>
        </w:rPr>
        <w:t>—</w:t>
      </w:r>
      <w:r>
        <w:rPr>
          <w:rFonts w:ascii="SimSun" w:hAnsi="SimSun" w:eastAsia="SimSun" w:cs="SimSun"/>
          <w:sz w:val="24"/>
          <w:szCs w:val="24"/>
        </w:rPr>
        <w:t>发生事故时仍必须进入该收集系统的生产废水量，</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8"/>
        </w:rPr>
        <w:t>3</w:t>
      </w:r>
      <w:r>
        <w:rPr>
          <w:rFonts w:ascii="SimSun" w:hAnsi="SimSun" w:eastAsia="SimSun" w:cs="SimSun"/>
          <w:sz w:val="24"/>
          <w:szCs w:val="24"/>
        </w:rPr>
        <w:t>；</w:t>
      </w:r>
    </w:p>
    <w:p>
      <w:pPr>
        <w:ind w:left="1202"/>
        <w:spacing w:before="181" w:line="219" w:lineRule="auto"/>
        <w:rPr>
          <w:rFonts w:ascii="SimSun" w:hAnsi="SimSun" w:eastAsia="SimSun" w:cs="SimSun"/>
          <w:sz w:val="24"/>
          <w:szCs w:val="24"/>
        </w:rPr>
      </w:pPr>
      <w:r>
        <w:rPr>
          <w:rFonts w:ascii="Times New Roman" w:hAnsi="Times New Roman" w:eastAsia="Times New Roman" w:cs="Times New Roman"/>
          <w:sz w:val="24"/>
          <w:szCs w:val="24"/>
        </w:rPr>
        <w:t>V</w:t>
      </w:r>
      <w:r>
        <w:rPr>
          <w:rFonts w:ascii="Times New Roman" w:hAnsi="Times New Roman" w:eastAsia="Times New Roman" w:cs="Times New Roman"/>
          <w:sz w:val="15"/>
          <w:szCs w:val="15"/>
          <w:position w:val="-1"/>
        </w:rPr>
        <w:t>5</w:t>
      </w:r>
      <w:r>
        <w:rPr>
          <w:rFonts w:ascii="Times New Roman" w:hAnsi="Times New Roman" w:eastAsia="Times New Roman" w:cs="Times New Roman"/>
          <w:sz w:val="24"/>
          <w:szCs w:val="24"/>
        </w:rPr>
        <w:t>—</w:t>
      </w:r>
      <w:r>
        <w:rPr>
          <w:rFonts w:ascii="SimSun" w:hAnsi="SimSun" w:eastAsia="SimSun" w:cs="SimSun"/>
          <w:sz w:val="24"/>
          <w:szCs w:val="24"/>
        </w:rPr>
        <w:t>发生事故时可能进入该收集系统的降雨量，</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7"/>
        </w:rPr>
        <w:t>3</w:t>
      </w:r>
      <w:r>
        <w:rPr>
          <w:rFonts w:ascii="SimSun" w:hAnsi="SimSun" w:eastAsia="SimSun" w:cs="SimSun"/>
          <w:sz w:val="24"/>
          <w:szCs w:val="24"/>
        </w:rPr>
        <w:t>；</w:t>
      </w:r>
    </w:p>
    <w:p>
      <w:pPr>
        <w:ind w:left="3813"/>
        <w:spacing w:before="120" w:line="323"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4"/>
        </w:rPr>
        <w:t>V</w:t>
      </w:r>
      <w:r>
        <w:rPr>
          <w:rFonts w:ascii="Times New Roman" w:hAnsi="Times New Roman" w:eastAsia="Times New Roman" w:cs="Times New Roman"/>
          <w:sz w:val="15"/>
          <w:szCs w:val="15"/>
          <w:spacing w:val="-5"/>
          <w:position w:val="3"/>
        </w:rPr>
        <w:t>5</w:t>
      </w:r>
      <w:r>
        <w:rPr>
          <w:rFonts w:ascii="Times New Roman" w:hAnsi="Times New Roman" w:eastAsia="Times New Roman" w:cs="Times New Roman"/>
          <w:sz w:val="24"/>
          <w:szCs w:val="24"/>
          <w:spacing w:val="-5"/>
          <w:position w:val="4"/>
        </w:rPr>
        <w:t>=</w:t>
      </w:r>
      <w:r>
        <w:rPr>
          <w:rFonts w:ascii="Times New Roman" w:hAnsi="Times New Roman" w:eastAsia="Times New Roman" w:cs="Times New Roman"/>
          <w:sz w:val="24"/>
          <w:szCs w:val="24"/>
          <w:spacing w:val="-28"/>
          <w:position w:val="4"/>
        </w:rPr>
        <w:t xml:space="preserve"> </w:t>
      </w:r>
      <w:r>
        <w:rPr>
          <w:rFonts w:ascii="Times New Roman" w:hAnsi="Times New Roman" w:eastAsia="Times New Roman" w:cs="Times New Roman"/>
          <w:sz w:val="24"/>
          <w:szCs w:val="24"/>
          <w:spacing w:val="-5"/>
          <w:position w:val="4"/>
        </w:rPr>
        <w:t>10qF</w:t>
      </w:r>
    </w:p>
    <w:p>
      <w:pPr>
        <w:ind w:left="1208"/>
        <w:spacing w:before="109" w:line="323" w:lineRule="exact"/>
        <w:rPr>
          <w:rFonts w:ascii="SimSun" w:hAnsi="SimSun" w:eastAsia="SimSun" w:cs="SimSun"/>
          <w:sz w:val="24"/>
          <w:szCs w:val="24"/>
        </w:rPr>
      </w:pPr>
      <w:r>
        <w:rPr>
          <w:rFonts w:ascii="Times New Roman" w:hAnsi="Times New Roman" w:eastAsia="Times New Roman" w:cs="Times New Roman"/>
          <w:sz w:val="24"/>
          <w:szCs w:val="24"/>
          <w:spacing w:val="-2"/>
          <w:position w:val="2"/>
        </w:rPr>
        <w:t>q—</w:t>
      </w:r>
      <w:r>
        <w:rPr>
          <w:rFonts w:ascii="SimSun" w:hAnsi="SimSun" w:eastAsia="SimSun" w:cs="SimSun"/>
          <w:sz w:val="24"/>
          <w:szCs w:val="24"/>
          <w:spacing w:val="-2"/>
          <w:position w:val="2"/>
        </w:rPr>
        <w:t>降雨强度，</w:t>
      </w:r>
      <w:r>
        <w:rPr>
          <w:rFonts w:ascii="Times New Roman" w:hAnsi="Times New Roman" w:eastAsia="Times New Roman" w:cs="Times New Roman"/>
          <w:sz w:val="24"/>
          <w:szCs w:val="24"/>
          <w:spacing w:val="-2"/>
          <w:position w:val="2"/>
        </w:rPr>
        <w:t>mm</w:t>
      </w:r>
      <w:r>
        <w:rPr>
          <w:rFonts w:ascii="Times New Roman" w:hAnsi="Times New Roman" w:eastAsia="Times New Roman" w:cs="Times New Roman"/>
          <w:sz w:val="24"/>
          <w:szCs w:val="24"/>
          <w:spacing w:val="-18"/>
          <w:position w:val="2"/>
        </w:rPr>
        <w:t xml:space="preserve"> </w:t>
      </w:r>
      <w:r>
        <w:rPr>
          <w:rFonts w:ascii="SimSun" w:hAnsi="SimSun" w:eastAsia="SimSun" w:cs="SimSun"/>
          <w:sz w:val="24"/>
          <w:szCs w:val="24"/>
          <w:spacing w:val="-2"/>
          <w:position w:val="2"/>
        </w:rPr>
        <w:t>，按平均日降雨量，</w:t>
      </w:r>
      <w:r>
        <w:rPr>
          <w:rFonts w:ascii="Times New Roman" w:hAnsi="Times New Roman" w:eastAsia="Times New Roman" w:cs="Times New Roman"/>
          <w:sz w:val="24"/>
          <w:szCs w:val="24"/>
          <w:spacing w:val="-2"/>
          <w:position w:val="2"/>
        </w:rPr>
        <w:t>q=q</w:t>
      </w:r>
      <w:r>
        <w:rPr>
          <w:rFonts w:ascii="Times New Roman" w:hAnsi="Times New Roman" w:eastAsia="Times New Roman" w:cs="Times New Roman"/>
          <w:sz w:val="15"/>
          <w:szCs w:val="15"/>
          <w:spacing w:val="-2"/>
          <w:position w:val="2"/>
        </w:rPr>
        <w:t>a</w:t>
      </w:r>
      <w:r>
        <w:rPr>
          <w:rFonts w:ascii="Times New Roman" w:hAnsi="Times New Roman" w:eastAsia="Times New Roman" w:cs="Times New Roman"/>
          <w:sz w:val="24"/>
          <w:szCs w:val="24"/>
          <w:spacing w:val="-2"/>
          <w:position w:val="2"/>
        </w:rPr>
        <w:t>/n</w:t>
      </w:r>
      <w:r>
        <w:rPr>
          <w:rFonts w:ascii="SimSun" w:hAnsi="SimSun" w:eastAsia="SimSun" w:cs="SimSun"/>
          <w:sz w:val="24"/>
          <w:szCs w:val="24"/>
          <w:spacing w:val="-2"/>
          <w:position w:val="2"/>
        </w:rPr>
        <w:t>；</w:t>
      </w:r>
    </w:p>
    <w:p>
      <w:pPr>
        <w:ind w:left="13" w:right="119" w:firstLine="1194"/>
        <w:spacing w:before="187" w:line="352" w:lineRule="auto"/>
        <w:rPr>
          <w:rFonts w:ascii="SimSun" w:hAnsi="SimSun" w:eastAsia="SimSun" w:cs="SimSun"/>
          <w:sz w:val="24"/>
          <w:szCs w:val="24"/>
        </w:rPr>
      </w:pPr>
      <w:r>
        <w:rPr>
          <w:rFonts w:ascii="Times New Roman" w:hAnsi="Times New Roman" w:eastAsia="Times New Roman" w:cs="Times New Roman"/>
          <w:sz w:val="24"/>
          <w:szCs w:val="24"/>
        </w:rPr>
        <w:t>q</w:t>
      </w:r>
      <w:r>
        <w:rPr>
          <w:rFonts w:ascii="Times New Roman" w:hAnsi="Times New Roman" w:eastAsia="Times New Roman" w:cs="Times New Roman"/>
          <w:sz w:val="15"/>
          <w:szCs w:val="15"/>
        </w:rPr>
        <w:t>a</w:t>
      </w:r>
      <w:r>
        <w:rPr>
          <w:rFonts w:ascii="Times New Roman" w:hAnsi="Times New Roman" w:eastAsia="Times New Roman" w:cs="Times New Roman"/>
          <w:sz w:val="24"/>
          <w:szCs w:val="24"/>
          <w:spacing w:val="1"/>
        </w:rPr>
        <w:t>—</w:t>
      </w:r>
      <w:r>
        <w:rPr>
          <w:rFonts w:ascii="SimSun" w:hAnsi="SimSun" w:eastAsia="SimSun" w:cs="SimSun"/>
          <w:sz w:val="24"/>
          <w:szCs w:val="24"/>
          <w:spacing w:val="1"/>
        </w:rPr>
        <w:t>年平均降雨量，正镶白旗南部丘陵草原平均年降</w:t>
      </w:r>
      <w:r>
        <w:rPr>
          <w:rFonts w:ascii="SimSun" w:hAnsi="SimSun" w:eastAsia="SimSun" w:cs="SimSun"/>
          <w:sz w:val="24"/>
          <w:szCs w:val="24"/>
        </w:rPr>
        <w:t>雨量为</w:t>
      </w:r>
      <w:r>
        <w:rPr>
          <w:rFonts w:ascii="SimSun" w:hAnsi="SimSun" w:eastAsia="SimSun" w:cs="SimSun"/>
          <w:sz w:val="24"/>
          <w:szCs w:val="24"/>
          <w:spacing w:val="-48"/>
        </w:rPr>
        <w:t xml:space="preserve"> </w:t>
      </w:r>
      <w:r>
        <w:rPr>
          <w:rFonts w:ascii="Times New Roman" w:hAnsi="Times New Roman" w:eastAsia="Times New Roman" w:cs="Times New Roman"/>
          <w:sz w:val="24"/>
          <w:szCs w:val="24"/>
        </w:rPr>
        <w:t>360mm</w:t>
      </w:r>
      <w:r>
        <w:rPr>
          <w:rFonts w:ascii="SimSun" w:hAnsi="SimSun" w:eastAsia="SimSun" w:cs="SimSun"/>
          <w:sz w:val="24"/>
          <w:szCs w:val="24"/>
        </w:rPr>
        <w:t>、 </w:t>
      </w:r>
      <w:r>
        <w:rPr>
          <w:rFonts w:ascii="SimSun" w:hAnsi="SimSun" w:eastAsia="SimSun" w:cs="SimSun"/>
          <w:sz w:val="24"/>
          <w:szCs w:val="24"/>
          <w:spacing w:val="-2"/>
        </w:rPr>
        <w:t>北部沙区平均年降雨量为</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2"/>
        </w:rPr>
        <w:t>268mm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，本项目位于南部草原丘陵区，取值</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360mm</w:t>
      </w:r>
      <w:r>
        <w:rPr>
          <w:rFonts w:ascii="SimSun" w:hAnsi="SimSun" w:eastAsia="SimSun" w:cs="SimSun"/>
          <w:sz w:val="24"/>
          <w:szCs w:val="24"/>
          <w:spacing w:val="-2"/>
        </w:rPr>
        <w:t>；</w:t>
      </w:r>
    </w:p>
    <w:p>
      <w:pPr>
        <w:ind w:left="10" w:right="80" w:firstLine="1191"/>
        <w:spacing w:before="20" w:line="359" w:lineRule="auto"/>
        <w:rPr>
          <w:rFonts w:ascii="SimSun" w:hAnsi="SimSun" w:eastAsia="SimSun" w:cs="SimSun"/>
          <w:sz w:val="24"/>
          <w:szCs w:val="24"/>
        </w:rPr>
      </w:pPr>
      <w:r>
        <w:rPr>
          <w:rFonts w:ascii="Times New Roman" w:hAnsi="Times New Roman" w:eastAsia="Times New Roman" w:cs="Times New Roman"/>
          <w:sz w:val="24"/>
          <w:szCs w:val="24"/>
          <w:spacing w:val="-1"/>
        </w:rPr>
        <w:t>n—</w:t>
      </w:r>
      <w:r>
        <w:rPr>
          <w:rFonts w:ascii="SimSun" w:hAnsi="SimSun" w:eastAsia="SimSun" w:cs="SimSun"/>
          <w:sz w:val="24"/>
          <w:szCs w:val="24"/>
          <w:spacing w:val="-1"/>
        </w:rPr>
        <w:t>年平均降雨天数，正镶白旗年降雨天数为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60~80 </w:t>
      </w:r>
      <w:r>
        <w:rPr>
          <w:rFonts w:ascii="SimSun" w:hAnsi="SimSun" w:eastAsia="SimSun" w:cs="SimSun"/>
          <w:sz w:val="24"/>
          <w:szCs w:val="24"/>
          <w:spacing w:val="-1"/>
        </w:rPr>
        <w:t>天，</w:t>
      </w:r>
      <w:r>
        <w:rPr>
          <w:rFonts w:ascii="SimSun" w:hAnsi="SimSun" w:eastAsia="SimSun" w:cs="SimSun"/>
          <w:sz w:val="24"/>
          <w:szCs w:val="24"/>
          <w:spacing w:val="-2"/>
        </w:rPr>
        <w:t>本次评价取值</w:t>
      </w:r>
      <w:r>
        <w:rPr>
          <w:rFonts w:ascii="SimSun" w:hAnsi="SimSun" w:eastAsia="SimSun" w:cs="SimSun"/>
          <w:sz w:val="24"/>
          <w:szCs w:val="24"/>
        </w:rPr>
        <w:t xml:space="preserve"> </w:t>
      </w:r>
      <w:r>
        <w:rPr>
          <w:rFonts w:ascii="Times New Roman" w:hAnsi="Times New Roman" w:eastAsia="Times New Roman" w:cs="Times New Roman"/>
          <w:sz w:val="24"/>
          <w:szCs w:val="24"/>
          <w:spacing w:val="-7"/>
        </w:rPr>
        <w:t>60</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7"/>
        </w:rPr>
        <w:t>天；</w:t>
      </w:r>
    </w:p>
    <w:p>
      <w:pPr>
        <w:ind w:left="1204"/>
        <w:spacing w:line="219" w:lineRule="auto"/>
        <w:rPr>
          <w:rFonts w:ascii="SimSun" w:hAnsi="SimSun" w:eastAsia="SimSun" w:cs="SimSun"/>
          <w:sz w:val="24"/>
          <w:szCs w:val="24"/>
        </w:rPr>
      </w:pPr>
      <w:r>
        <w:rPr>
          <w:rFonts w:ascii="Times New Roman" w:hAnsi="Times New Roman" w:eastAsia="Times New Roman" w:cs="Times New Roman"/>
          <w:sz w:val="24"/>
          <w:szCs w:val="24"/>
          <w:spacing w:val="-1"/>
        </w:rPr>
        <w:t>F—</w:t>
      </w:r>
      <w:r>
        <w:rPr>
          <w:rFonts w:ascii="SimSun" w:hAnsi="SimSun" w:eastAsia="SimSun" w:cs="SimSun"/>
          <w:sz w:val="24"/>
          <w:szCs w:val="24"/>
          <w:spacing w:val="-1"/>
        </w:rPr>
        <w:t>必须进入事故废水收集系统的雨水汇水面积，</w:t>
      </w:r>
      <w:r>
        <w:rPr>
          <w:rFonts w:ascii="Times New Roman" w:hAnsi="Times New Roman" w:eastAsia="Times New Roman" w:cs="Times New Roman"/>
          <w:sz w:val="24"/>
          <w:szCs w:val="24"/>
          <w:spacing w:val="-1"/>
        </w:rPr>
        <w:t>ha</w:t>
      </w:r>
      <w:r>
        <w:rPr>
          <w:rFonts w:ascii="SimSun" w:hAnsi="SimSun" w:eastAsia="SimSun" w:cs="SimSun"/>
          <w:sz w:val="24"/>
          <w:szCs w:val="24"/>
          <w:spacing w:val="-1"/>
        </w:rPr>
        <w:t>；</w:t>
      </w:r>
    </w:p>
    <w:p>
      <w:pPr>
        <w:ind w:left="482"/>
        <w:spacing w:before="138" w:line="323" w:lineRule="exact"/>
        <w:rPr>
          <w:rFonts w:ascii="SimSun" w:hAnsi="SimSun" w:eastAsia="SimSun" w:cs="SimSun"/>
          <w:sz w:val="24"/>
          <w:szCs w:val="24"/>
        </w:rPr>
      </w:pPr>
      <w:r>
        <w:rPr>
          <w:rFonts w:ascii="Times New Roman" w:hAnsi="Times New Roman" w:eastAsia="Times New Roman" w:cs="Times New Roman"/>
          <w:sz w:val="24"/>
          <w:szCs w:val="24"/>
          <w:spacing w:val="-3"/>
          <w:position w:val="1"/>
        </w:rPr>
        <w:t>V</w:t>
      </w:r>
      <w:r>
        <w:rPr>
          <w:rFonts w:ascii="Times New Roman" w:hAnsi="Times New Roman" w:eastAsia="Times New Roman" w:cs="Times New Roman"/>
          <w:sz w:val="15"/>
          <w:szCs w:val="15"/>
          <w:spacing w:val="-3"/>
        </w:rPr>
        <w:t>1</w:t>
      </w:r>
      <w:r>
        <w:rPr>
          <w:rFonts w:ascii="Times New Roman" w:hAnsi="Times New Roman" w:eastAsia="Times New Roman" w:cs="Times New Roman"/>
          <w:sz w:val="15"/>
          <w:szCs w:val="15"/>
          <w:spacing w:val="-9"/>
        </w:rPr>
        <w:t xml:space="preserve"> </w:t>
      </w:r>
      <w:r>
        <w:rPr>
          <w:rFonts w:ascii="SimSun" w:hAnsi="SimSun" w:eastAsia="SimSun" w:cs="SimSun"/>
          <w:sz w:val="24"/>
          <w:szCs w:val="24"/>
          <w:spacing w:val="-3"/>
          <w:position w:val="1"/>
        </w:rPr>
        <w:t>，西厂区</w:t>
      </w:r>
      <w:r>
        <w:rPr>
          <w:rFonts w:ascii="SimSun" w:hAnsi="SimSun" w:eastAsia="SimSun" w:cs="SimSun"/>
          <w:sz w:val="24"/>
          <w:szCs w:val="24"/>
          <w:spacing w:val="-58"/>
          <w:position w:val="1"/>
        </w:rPr>
        <w:t xml:space="preserve"> </w:t>
      </w:r>
      <w:r>
        <w:rPr>
          <w:rFonts w:ascii="Times New Roman" w:hAnsi="Times New Roman" w:eastAsia="Times New Roman" w:cs="Times New Roman"/>
          <w:sz w:val="24"/>
          <w:szCs w:val="24"/>
          <w:spacing w:val="-3"/>
          <w:position w:val="1"/>
        </w:rPr>
        <w:t>V</w:t>
      </w:r>
      <w:r>
        <w:rPr>
          <w:rFonts w:ascii="Times New Roman" w:hAnsi="Times New Roman" w:eastAsia="Times New Roman" w:cs="Times New Roman"/>
          <w:sz w:val="15"/>
          <w:szCs w:val="15"/>
          <w:spacing w:val="-3"/>
        </w:rPr>
        <w:t>1</w:t>
      </w:r>
      <w:r>
        <w:rPr>
          <w:rFonts w:ascii="Times New Roman" w:hAnsi="Times New Roman" w:eastAsia="Times New Roman" w:cs="Times New Roman"/>
          <w:sz w:val="24"/>
          <w:szCs w:val="24"/>
          <w:spacing w:val="-3"/>
          <w:position w:val="1"/>
        </w:rPr>
        <w:t>=64</w:t>
      </w:r>
      <w:r>
        <w:rPr>
          <w:rFonts w:ascii="SimSun" w:hAnsi="SimSun" w:eastAsia="SimSun" w:cs="SimSun"/>
          <w:sz w:val="24"/>
          <w:szCs w:val="24"/>
          <w:spacing w:val="-3"/>
          <w:position w:val="1"/>
        </w:rPr>
        <w:t>（沼肥</w:t>
      </w:r>
      <w:r>
        <w:rPr>
          <w:rFonts w:ascii="SimSun" w:hAnsi="SimSun" w:eastAsia="SimSun" w:cs="SimSun"/>
          <w:sz w:val="24"/>
          <w:szCs w:val="24"/>
          <w:spacing w:val="17"/>
          <w:position w:val="1"/>
        </w:rPr>
        <w:t>），</w:t>
      </w:r>
      <w:r>
        <w:rPr>
          <w:rFonts w:ascii="SimSun" w:hAnsi="SimSun" w:eastAsia="SimSun" w:cs="SimSun"/>
          <w:sz w:val="24"/>
          <w:szCs w:val="24"/>
          <w:spacing w:val="-3"/>
          <w:position w:val="1"/>
        </w:rPr>
        <w:t>东厂区</w:t>
      </w:r>
      <w:r>
        <w:rPr>
          <w:rFonts w:ascii="SimSun" w:hAnsi="SimSun" w:eastAsia="SimSun" w:cs="SimSun"/>
          <w:sz w:val="24"/>
          <w:szCs w:val="24"/>
          <w:spacing w:val="-58"/>
          <w:position w:val="1"/>
        </w:rPr>
        <w:t xml:space="preserve"> </w:t>
      </w:r>
      <w:r>
        <w:rPr>
          <w:rFonts w:ascii="Times New Roman" w:hAnsi="Times New Roman" w:eastAsia="Times New Roman" w:cs="Times New Roman"/>
          <w:sz w:val="24"/>
          <w:szCs w:val="24"/>
          <w:spacing w:val="-3"/>
          <w:position w:val="1"/>
        </w:rPr>
        <w:t>V</w:t>
      </w:r>
      <w:r>
        <w:rPr>
          <w:rFonts w:ascii="Times New Roman" w:hAnsi="Times New Roman" w:eastAsia="Times New Roman" w:cs="Times New Roman"/>
          <w:sz w:val="15"/>
          <w:szCs w:val="15"/>
          <w:spacing w:val="-3"/>
        </w:rPr>
        <w:t>1</w:t>
      </w:r>
      <w:r>
        <w:rPr>
          <w:rFonts w:ascii="Times New Roman" w:hAnsi="Times New Roman" w:eastAsia="Times New Roman" w:cs="Times New Roman"/>
          <w:sz w:val="24"/>
          <w:szCs w:val="24"/>
          <w:spacing w:val="-3"/>
          <w:position w:val="1"/>
        </w:rPr>
        <w:t>=0</w:t>
      </w:r>
      <w:r>
        <w:rPr>
          <w:rFonts w:ascii="SimSun" w:hAnsi="SimSun" w:eastAsia="SimSun" w:cs="SimSun"/>
          <w:sz w:val="24"/>
          <w:szCs w:val="24"/>
          <w:spacing w:val="-3"/>
          <w:position w:val="1"/>
        </w:rPr>
        <w:t>；</w:t>
      </w:r>
    </w:p>
    <w:p>
      <w:pPr>
        <w:ind w:left="482"/>
        <w:spacing w:before="188" w:line="219" w:lineRule="auto"/>
        <w:rPr>
          <w:rFonts w:ascii="SimSun" w:hAnsi="SimSun" w:eastAsia="SimSun" w:cs="SimSun"/>
          <w:sz w:val="24"/>
          <w:szCs w:val="24"/>
        </w:rPr>
      </w:pPr>
      <w:r>
        <w:rPr>
          <w:rFonts w:ascii="Times New Roman" w:hAnsi="Times New Roman" w:eastAsia="Times New Roman" w:cs="Times New Roman"/>
          <w:sz w:val="24"/>
          <w:szCs w:val="24"/>
          <w:spacing w:val="-1"/>
        </w:rPr>
        <w:t>V</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15"/>
          <w:szCs w:val="15"/>
          <w:spacing w:val="-7"/>
          <w:position w:val="-1"/>
        </w:rPr>
        <w:t xml:space="preserve"> </w:t>
      </w:r>
      <w:r>
        <w:rPr>
          <w:rFonts w:ascii="SimSun" w:hAnsi="SimSun" w:eastAsia="SimSun" w:cs="SimSun"/>
          <w:sz w:val="24"/>
          <w:szCs w:val="24"/>
          <w:spacing w:val="-1"/>
        </w:rPr>
        <w:t>，按全厂最大一次消防用水量计算得到，最大消防用水量为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288m</w:t>
      </w:r>
      <w:r>
        <w:rPr>
          <w:rFonts w:ascii="Times New Roman" w:hAnsi="Times New Roman" w:eastAsia="Times New Roman" w:cs="Times New Roman"/>
          <w:sz w:val="15"/>
          <w:szCs w:val="15"/>
          <w:spacing w:val="-1"/>
          <w:position w:val="8"/>
        </w:rPr>
        <w:t>3</w:t>
      </w:r>
      <w:r>
        <w:rPr>
          <w:rFonts w:ascii="SimSun" w:hAnsi="SimSun" w:eastAsia="SimSun" w:cs="SimSun"/>
          <w:sz w:val="24"/>
          <w:szCs w:val="24"/>
          <w:spacing w:val="-1"/>
        </w:rPr>
        <w:t>。</w:t>
      </w:r>
    </w:p>
    <w:p>
      <w:pPr>
        <w:spacing w:line="219" w:lineRule="auto"/>
        <w:sectPr>
          <w:headerReference w:type="default" r:id="rId11"/>
          <w:footerReference w:type="default" r:id="rId348"/>
          <w:pgSz w:w="11907" w:h="16840"/>
          <w:pgMar w:top="1567" w:right="1621" w:bottom="1921" w:left="1701" w:header="1221" w:footer="1247" w:gutter="0"/>
        </w:sectPr>
        <w:rPr>
          <w:rFonts w:ascii="SimSun" w:hAnsi="SimSun" w:eastAsia="SimSun" w:cs="SimSun"/>
          <w:sz w:val="24"/>
          <w:szCs w:val="24"/>
        </w:rPr>
      </w:pPr>
    </w:p>
    <w:p>
      <w:pPr>
        <w:ind w:left="482"/>
        <w:spacing w:before="188" w:line="219" w:lineRule="auto"/>
        <w:rPr>
          <w:rFonts w:ascii="SimSun" w:hAnsi="SimSun" w:eastAsia="SimSun" w:cs="SimSun"/>
          <w:sz w:val="24"/>
          <w:szCs w:val="24"/>
        </w:rPr>
      </w:pPr>
      <w:r>
        <w:pict>
          <v:shape id="_x0000_s1174" style="position:absolute;margin-left:85.05pt;margin-top:79.11pt;mso-position-vertical-relative:page;mso-position-horizontal-relative:page;width:425.25pt;height:0.75pt;z-index:252270592;" o:allowincell="f" fillcolor="#000000" filled="true" stroked="false" coordsize="8505,15" coordorigin="0,0" path="m,l8505,0l8505,14l0,14l0,0xe"/>
        </w:pict>
      </w:r>
      <w:r>
        <w:rPr>
          <w:rFonts w:ascii="Times New Roman" w:hAnsi="Times New Roman" w:eastAsia="Times New Roman" w:cs="Times New Roman"/>
          <w:sz w:val="24"/>
          <w:szCs w:val="24"/>
        </w:rPr>
        <w:t>V</w:t>
      </w:r>
      <w:r>
        <w:rPr>
          <w:rFonts w:ascii="Times New Roman" w:hAnsi="Times New Roman" w:eastAsia="Times New Roman" w:cs="Times New Roman"/>
          <w:sz w:val="15"/>
          <w:szCs w:val="15"/>
          <w:position w:val="-1"/>
        </w:rPr>
        <w:t>3</w:t>
      </w:r>
      <w:r>
        <w:rPr>
          <w:rFonts w:ascii="Times New Roman" w:hAnsi="Times New Roman" w:eastAsia="Times New Roman" w:cs="Times New Roman"/>
          <w:sz w:val="15"/>
          <w:szCs w:val="15"/>
          <w:spacing w:val="-4"/>
          <w:position w:val="-1"/>
        </w:rPr>
        <w:t xml:space="preserve"> </w:t>
      </w:r>
      <w:r>
        <w:rPr>
          <w:rFonts w:ascii="SimSun" w:hAnsi="SimSun" w:eastAsia="SimSun" w:cs="SimSun"/>
          <w:sz w:val="24"/>
          <w:szCs w:val="24"/>
          <w:spacing w:val="-15"/>
        </w:rPr>
        <w:t>，</w:t>
      </w:r>
      <w:r>
        <w:rPr>
          <w:rFonts w:ascii="Times New Roman" w:hAnsi="Times New Roman" w:eastAsia="Times New Roman" w:cs="Times New Roman"/>
          <w:sz w:val="24"/>
          <w:szCs w:val="24"/>
          <w:spacing w:val="-15"/>
        </w:rPr>
        <w:t>V</w:t>
      </w:r>
      <w:r>
        <w:rPr>
          <w:rFonts w:ascii="Times New Roman" w:hAnsi="Times New Roman" w:eastAsia="Times New Roman" w:cs="Times New Roman"/>
          <w:sz w:val="15"/>
          <w:szCs w:val="15"/>
          <w:spacing w:val="-4"/>
          <w:position w:val="-1"/>
        </w:rPr>
        <w:t>3</w:t>
      </w:r>
      <w:r>
        <w:rPr>
          <w:rFonts w:ascii="Times New Roman" w:hAnsi="Times New Roman" w:eastAsia="Times New Roman" w:cs="Times New Roman"/>
          <w:sz w:val="15"/>
          <w:szCs w:val="15"/>
          <w:spacing w:val="14"/>
          <w:w w:val="101"/>
          <w:position w:val="-1"/>
        </w:rPr>
        <w:t xml:space="preserve"> </w:t>
      </w:r>
      <w:r>
        <w:rPr>
          <w:rFonts w:ascii="SimSun" w:hAnsi="SimSun" w:eastAsia="SimSun" w:cs="SimSun"/>
          <w:sz w:val="24"/>
          <w:szCs w:val="24"/>
          <w:spacing w:val="-4"/>
        </w:rPr>
        <w:t>取值为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4"/>
        </w:rPr>
        <w:t>0</w:t>
      </w:r>
      <w:r>
        <w:rPr>
          <w:rFonts w:ascii="SimSun" w:hAnsi="SimSun" w:eastAsia="SimSun" w:cs="SimSun"/>
          <w:sz w:val="24"/>
          <w:szCs w:val="24"/>
          <w:spacing w:val="-4"/>
        </w:rPr>
        <w:t>；</w:t>
      </w:r>
    </w:p>
    <w:p>
      <w:pPr>
        <w:ind w:left="482"/>
        <w:spacing w:before="180" w:line="215" w:lineRule="auto"/>
        <w:rPr>
          <w:rFonts w:ascii="SimSun" w:hAnsi="SimSun" w:eastAsia="SimSun" w:cs="SimSun"/>
          <w:sz w:val="24"/>
          <w:szCs w:val="24"/>
        </w:rPr>
      </w:pPr>
      <w:r>
        <w:rPr>
          <w:rFonts w:ascii="Times New Roman" w:hAnsi="Times New Roman" w:eastAsia="Times New Roman" w:cs="Times New Roman"/>
          <w:sz w:val="24"/>
          <w:szCs w:val="24"/>
          <w:spacing w:val="-1"/>
        </w:rPr>
        <w:t>V</w:t>
      </w:r>
      <w:r>
        <w:rPr>
          <w:rFonts w:ascii="Times New Roman" w:hAnsi="Times New Roman" w:eastAsia="Times New Roman" w:cs="Times New Roman"/>
          <w:sz w:val="15"/>
          <w:szCs w:val="15"/>
          <w:spacing w:val="-1"/>
          <w:position w:val="-1"/>
        </w:rPr>
        <w:t>4</w:t>
      </w:r>
      <w:r>
        <w:rPr>
          <w:rFonts w:ascii="SimSun" w:hAnsi="SimSun" w:eastAsia="SimSun" w:cs="SimSun"/>
          <w:sz w:val="12"/>
          <w:szCs w:val="12"/>
          <w:spacing w:val="-1"/>
          <w:position w:val="-3"/>
        </w:rPr>
        <w:t>，</w:t>
      </w:r>
      <w:r>
        <w:rPr>
          <w:rFonts w:ascii="SimSun" w:hAnsi="SimSun" w:eastAsia="SimSun" w:cs="SimSun"/>
          <w:sz w:val="24"/>
          <w:szCs w:val="24"/>
          <w:spacing w:val="-1"/>
        </w:rPr>
        <w:t>对于本项目不考虑，</w:t>
      </w:r>
      <w:r>
        <w:rPr>
          <w:rFonts w:ascii="Times New Roman" w:hAnsi="Times New Roman" w:eastAsia="Times New Roman" w:cs="Times New Roman"/>
          <w:sz w:val="24"/>
          <w:szCs w:val="24"/>
          <w:spacing w:val="-1"/>
        </w:rPr>
        <w:t>0</w:t>
      </w:r>
      <w:r>
        <w:rPr>
          <w:rFonts w:ascii="SimSun" w:hAnsi="SimSun" w:eastAsia="SimSun" w:cs="SimSun"/>
          <w:sz w:val="24"/>
          <w:szCs w:val="24"/>
          <w:spacing w:val="-1"/>
        </w:rPr>
        <w:t>；</w:t>
      </w:r>
    </w:p>
    <w:p>
      <w:pPr>
        <w:ind w:left="2" w:firstLine="480"/>
        <w:spacing w:before="184" w:line="351" w:lineRule="auto"/>
        <w:jc w:val="both"/>
        <w:rPr>
          <w:rFonts w:ascii="SimSun" w:hAnsi="SimSun" w:eastAsia="SimSun" w:cs="SimSun"/>
          <w:sz w:val="24"/>
          <w:szCs w:val="24"/>
        </w:rPr>
      </w:pPr>
      <w:r>
        <w:rPr>
          <w:rFonts w:ascii="Times New Roman" w:hAnsi="Times New Roman" w:eastAsia="Times New Roman" w:cs="Times New Roman"/>
          <w:sz w:val="24"/>
          <w:szCs w:val="24"/>
          <w:spacing w:val="-1"/>
        </w:rPr>
        <w:t>V</w:t>
      </w:r>
      <w:r>
        <w:rPr>
          <w:rFonts w:ascii="Times New Roman" w:hAnsi="Times New Roman" w:eastAsia="Times New Roman" w:cs="Times New Roman"/>
          <w:sz w:val="15"/>
          <w:szCs w:val="15"/>
          <w:spacing w:val="-1"/>
          <w:position w:val="-1"/>
        </w:rPr>
        <w:t>5</w:t>
      </w:r>
      <w:r>
        <w:rPr>
          <w:rFonts w:ascii="Times New Roman" w:hAnsi="Times New Roman" w:eastAsia="Times New Roman" w:cs="Times New Roman"/>
          <w:sz w:val="15"/>
          <w:szCs w:val="15"/>
          <w:spacing w:val="6"/>
          <w:position w:val="-1"/>
        </w:rPr>
        <w:t xml:space="preserve"> </w:t>
      </w:r>
      <w:r>
        <w:rPr>
          <w:rFonts w:ascii="SimSun" w:hAnsi="SimSun" w:eastAsia="SimSun" w:cs="SimSun"/>
          <w:sz w:val="24"/>
          <w:szCs w:val="24"/>
          <w:spacing w:val="-1"/>
        </w:rPr>
        <w:t>，东厂区占地面积</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
        </w:rPr>
        <w:t>11703.99m</w:t>
      </w:r>
      <w:r>
        <w:rPr>
          <w:rFonts w:ascii="Times New Roman" w:hAnsi="Times New Roman" w:eastAsia="Times New Roman" w:cs="Times New Roman"/>
          <w:sz w:val="15"/>
          <w:szCs w:val="15"/>
          <w:spacing w:val="-1"/>
          <w:position w:val="7"/>
        </w:rPr>
        <w:t>2 </w:t>
      </w:r>
      <w:r>
        <w:rPr>
          <w:rFonts w:ascii="SimSun" w:hAnsi="SimSun" w:eastAsia="SimSun" w:cs="SimSun"/>
          <w:sz w:val="24"/>
          <w:szCs w:val="24"/>
          <w:spacing w:val="-1"/>
        </w:rPr>
        <w:t>，必须进入事故废水收集系统的雨水汇水面</w:t>
      </w:r>
      <w:r>
        <w:rPr>
          <w:rFonts w:ascii="SimSun" w:hAnsi="SimSun" w:eastAsia="SimSun" w:cs="SimSun"/>
          <w:sz w:val="24"/>
          <w:szCs w:val="24"/>
        </w:rPr>
        <w:t xml:space="preserve"> </w:t>
      </w:r>
      <w:r>
        <w:rPr>
          <w:rFonts w:ascii="SimSun" w:hAnsi="SimSun" w:eastAsia="SimSun" w:cs="SimSun"/>
          <w:sz w:val="24"/>
          <w:szCs w:val="24"/>
          <w:spacing w:val="-2"/>
        </w:rPr>
        <w:t>积为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3000m</w:t>
      </w:r>
      <w:r>
        <w:rPr>
          <w:rFonts w:ascii="Times New Roman" w:hAnsi="Times New Roman" w:eastAsia="Times New Roman" w:cs="Times New Roman"/>
          <w:sz w:val="15"/>
          <w:szCs w:val="15"/>
          <w:spacing w:val="-2"/>
          <w:position w:val="8"/>
        </w:rPr>
        <w:t>2</w:t>
      </w:r>
      <w:r>
        <w:rPr>
          <w:rFonts w:ascii="SimSun" w:hAnsi="SimSun" w:eastAsia="SimSun" w:cs="SimSun"/>
          <w:sz w:val="24"/>
          <w:szCs w:val="24"/>
          <w:spacing w:val="-2"/>
        </w:rPr>
        <w:t>（</w:t>
      </w:r>
      <w:r>
        <w:rPr>
          <w:rFonts w:ascii="Times New Roman" w:hAnsi="Times New Roman" w:eastAsia="Times New Roman" w:cs="Times New Roman"/>
          <w:sz w:val="24"/>
          <w:szCs w:val="24"/>
          <w:spacing w:val="-2"/>
        </w:rPr>
        <w:t>0.3ha</w:t>
      </w:r>
      <w:r>
        <w:rPr>
          <w:rFonts w:ascii="SimSun" w:hAnsi="SimSun" w:eastAsia="SimSun" w:cs="SimSun"/>
          <w:sz w:val="24"/>
          <w:szCs w:val="24"/>
          <w:spacing w:val="-3"/>
        </w:rPr>
        <w:t>）；</w:t>
      </w:r>
      <w:r>
        <w:rPr>
          <w:rFonts w:ascii="SimSun" w:hAnsi="SimSun" w:eastAsia="SimSun" w:cs="SimSun"/>
          <w:sz w:val="24"/>
          <w:szCs w:val="24"/>
          <w:spacing w:val="-2"/>
        </w:rPr>
        <w:t>西厂区占地面积</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20729.85m</w:t>
      </w:r>
      <w:r>
        <w:rPr>
          <w:rFonts w:ascii="Times New Roman" w:hAnsi="Times New Roman" w:eastAsia="Times New Roman" w:cs="Times New Roman"/>
          <w:sz w:val="15"/>
          <w:szCs w:val="15"/>
          <w:spacing w:val="-2"/>
          <w:position w:val="8"/>
        </w:rPr>
        <w:t>2</w:t>
      </w:r>
      <w:r>
        <w:rPr>
          <w:rFonts w:ascii="Times New Roman" w:hAnsi="Times New Roman" w:eastAsia="Times New Roman" w:cs="Times New Roman"/>
          <w:sz w:val="15"/>
          <w:szCs w:val="15"/>
          <w:spacing w:val="-10"/>
          <w:position w:val="8"/>
        </w:rPr>
        <w:t xml:space="preserve"> </w:t>
      </w:r>
      <w:r>
        <w:rPr>
          <w:rFonts w:ascii="SimSun" w:hAnsi="SimSun" w:eastAsia="SimSun" w:cs="SimSun"/>
          <w:sz w:val="24"/>
          <w:szCs w:val="24"/>
          <w:spacing w:val="-2"/>
        </w:rPr>
        <w:t>，必须进入事故废水收集系统</w:t>
      </w:r>
      <w:r>
        <w:rPr>
          <w:rFonts w:ascii="SimSun" w:hAnsi="SimSun" w:eastAsia="SimSun" w:cs="SimSun"/>
          <w:sz w:val="24"/>
          <w:szCs w:val="24"/>
        </w:rPr>
        <w:t xml:space="preserve"> </w:t>
      </w:r>
      <w:r>
        <w:rPr>
          <w:rFonts w:ascii="SimSun" w:hAnsi="SimSun" w:eastAsia="SimSun" w:cs="SimSun"/>
          <w:sz w:val="24"/>
          <w:szCs w:val="24"/>
          <w:spacing w:val="-3"/>
        </w:rPr>
        <w:t>的雨水汇水面积为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3"/>
        </w:rPr>
        <w:t>8300m</w:t>
      </w:r>
      <w:r>
        <w:rPr>
          <w:rFonts w:ascii="Times New Roman" w:hAnsi="Times New Roman" w:eastAsia="Times New Roman" w:cs="Times New Roman"/>
          <w:sz w:val="15"/>
          <w:szCs w:val="15"/>
          <w:spacing w:val="-3"/>
          <w:position w:val="7"/>
        </w:rPr>
        <w:t>2</w:t>
      </w:r>
      <w:r>
        <w:rPr>
          <w:rFonts w:ascii="SimSun" w:hAnsi="SimSun" w:eastAsia="SimSun" w:cs="SimSun"/>
          <w:sz w:val="24"/>
          <w:szCs w:val="24"/>
          <w:spacing w:val="-3"/>
        </w:rPr>
        <w:t>（</w:t>
      </w:r>
      <w:r>
        <w:rPr>
          <w:rFonts w:ascii="Times New Roman" w:hAnsi="Times New Roman" w:eastAsia="Times New Roman" w:cs="Times New Roman"/>
          <w:sz w:val="24"/>
          <w:szCs w:val="24"/>
          <w:spacing w:val="-3"/>
        </w:rPr>
        <w:t>0.83ha</w:t>
      </w:r>
      <w:r>
        <w:rPr>
          <w:rFonts w:ascii="SimSun" w:hAnsi="SimSun" w:eastAsia="SimSun" w:cs="SimSun"/>
          <w:sz w:val="24"/>
          <w:szCs w:val="24"/>
          <w:spacing w:val="-10"/>
        </w:rPr>
        <w:t>），</w:t>
      </w:r>
      <w:r>
        <w:rPr>
          <w:rFonts w:ascii="SimSun" w:hAnsi="SimSun" w:eastAsia="SimSun" w:cs="SimSun"/>
          <w:sz w:val="24"/>
          <w:szCs w:val="24"/>
          <w:spacing w:val="-3"/>
        </w:rPr>
        <w:t>故东厂区</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V</w:t>
      </w:r>
      <w:r>
        <w:rPr>
          <w:rFonts w:ascii="Times New Roman" w:hAnsi="Times New Roman" w:eastAsia="Times New Roman" w:cs="Times New Roman"/>
          <w:sz w:val="15"/>
          <w:szCs w:val="15"/>
          <w:spacing w:val="-3"/>
          <w:position w:val="-1"/>
        </w:rPr>
        <w:t>5</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33"/>
        </w:rPr>
        <w:t xml:space="preserve"> </w:t>
      </w:r>
      <w:r>
        <w:rPr>
          <w:rFonts w:ascii="Times New Roman" w:hAnsi="Times New Roman" w:eastAsia="Times New Roman" w:cs="Times New Roman"/>
          <w:sz w:val="24"/>
          <w:szCs w:val="24"/>
          <w:spacing w:val="-3"/>
        </w:rPr>
        <w:t>10×360/60×0.3=</w:t>
      </w:r>
      <w:r>
        <w:rPr>
          <w:rFonts w:ascii="Times New Roman" w:hAnsi="Times New Roman" w:eastAsia="Times New Roman" w:cs="Times New Roman"/>
          <w:sz w:val="24"/>
          <w:szCs w:val="24"/>
          <w:spacing w:val="-30"/>
        </w:rPr>
        <w:t xml:space="preserve"> </w:t>
      </w:r>
      <w:r>
        <w:rPr>
          <w:rFonts w:ascii="Times New Roman" w:hAnsi="Times New Roman" w:eastAsia="Times New Roman" w:cs="Times New Roman"/>
          <w:sz w:val="24"/>
          <w:szCs w:val="24"/>
          <w:spacing w:val="-3"/>
        </w:rPr>
        <w:t>18m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15"/>
          <w:szCs w:val="15"/>
          <w:spacing w:val="-7"/>
          <w:position w:val="7"/>
        </w:rPr>
        <w:t xml:space="preserve"> </w:t>
      </w:r>
      <w:r>
        <w:rPr>
          <w:rFonts w:ascii="SimSun" w:hAnsi="SimSun" w:eastAsia="SimSun" w:cs="SimSun"/>
          <w:sz w:val="24"/>
          <w:szCs w:val="24"/>
          <w:spacing w:val="-3"/>
        </w:rPr>
        <w:t>，西</w:t>
      </w:r>
      <w:r>
        <w:rPr>
          <w:rFonts w:ascii="SimSun" w:hAnsi="SimSun" w:eastAsia="SimSun" w:cs="SimSun"/>
          <w:sz w:val="24"/>
          <w:szCs w:val="24"/>
          <w:spacing w:val="-4"/>
        </w:rPr>
        <w:t>厂区</w:t>
      </w:r>
      <w:r>
        <w:rPr>
          <w:rFonts w:ascii="SimSun" w:hAnsi="SimSun" w:eastAsia="SimSun" w:cs="SimSun"/>
          <w:sz w:val="24"/>
          <w:szCs w:val="24"/>
        </w:rPr>
        <w:t xml:space="preserve"> </w:t>
      </w:r>
      <w:r>
        <w:rPr>
          <w:rFonts w:ascii="Times New Roman" w:hAnsi="Times New Roman" w:eastAsia="Times New Roman" w:cs="Times New Roman"/>
          <w:sz w:val="24"/>
          <w:szCs w:val="24"/>
          <w:spacing w:val="-1"/>
        </w:rPr>
        <w:t>V</w:t>
      </w:r>
      <w:r>
        <w:rPr>
          <w:rFonts w:ascii="Times New Roman" w:hAnsi="Times New Roman" w:eastAsia="Times New Roman" w:cs="Times New Roman"/>
          <w:sz w:val="15"/>
          <w:szCs w:val="15"/>
          <w:spacing w:val="-1"/>
          <w:position w:val="-1"/>
        </w:rPr>
        <w:t>5</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30"/>
        </w:rPr>
        <w:t xml:space="preserve"> </w:t>
      </w:r>
      <w:r>
        <w:rPr>
          <w:rFonts w:ascii="Times New Roman" w:hAnsi="Times New Roman" w:eastAsia="Times New Roman" w:cs="Times New Roman"/>
          <w:sz w:val="24"/>
          <w:szCs w:val="24"/>
          <w:spacing w:val="-1"/>
        </w:rPr>
        <w:t>10×360/60×0.83=49</w:t>
      </w:r>
      <w:r>
        <w:rPr>
          <w:rFonts w:ascii="Times New Roman" w:hAnsi="Times New Roman" w:eastAsia="Times New Roman" w:cs="Times New Roman"/>
          <w:sz w:val="24"/>
          <w:szCs w:val="24"/>
          <w:spacing w:val="-2"/>
        </w:rPr>
        <w:t>.8m</w:t>
      </w:r>
      <w:r>
        <w:rPr>
          <w:rFonts w:ascii="Times New Roman" w:hAnsi="Times New Roman" w:eastAsia="Times New Roman" w:cs="Times New Roman"/>
          <w:sz w:val="15"/>
          <w:szCs w:val="15"/>
          <w:spacing w:val="-2"/>
          <w:position w:val="8"/>
        </w:rPr>
        <w:t>3</w:t>
      </w:r>
      <w:r>
        <w:rPr>
          <w:rFonts w:ascii="SimSun" w:hAnsi="SimSun" w:eastAsia="SimSun" w:cs="SimSun"/>
          <w:sz w:val="24"/>
          <w:szCs w:val="24"/>
          <w:spacing w:val="-2"/>
        </w:rPr>
        <w:t>。</w:t>
      </w:r>
    </w:p>
    <w:p>
      <w:pPr>
        <w:ind w:left="8" w:right="1" w:firstLine="485"/>
        <w:spacing w:before="2" w:line="350" w:lineRule="auto"/>
        <w:jc w:val="both"/>
        <w:rPr>
          <w:rFonts w:ascii="SimSun" w:hAnsi="SimSun" w:eastAsia="SimSun" w:cs="SimSun"/>
          <w:sz w:val="24"/>
          <w:szCs w:val="24"/>
        </w:rPr>
      </w:pPr>
      <w:r>
        <w:rPr>
          <w:rFonts w:ascii="SimSun" w:hAnsi="SimSun" w:eastAsia="SimSun" w:cs="SimSun"/>
          <w:sz w:val="24"/>
          <w:szCs w:val="24"/>
          <w:spacing w:val="1"/>
        </w:rPr>
        <w:t>故西厂</w:t>
      </w:r>
      <w:r>
        <w:rPr>
          <w:rFonts w:ascii="SimSun" w:hAnsi="SimSun" w:eastAsia="SimSun" w:cs="SimSun"/>
          <w:sz w:val="24"/>
          <w:szCs w:val="24"/>
          <w:spacing w:val="-59"/>
        </w:rPr>
        <w:t xml:space="preserve"> </w:t>
      </w:r>
      <w:r>
        <w:rPr>
          <w:rFonts w:ascii="SimSun" w:hAnsi="SimSun" w:eastAsia="SimSun" w:cs="SimSun"/>
          <w:sz w:val="24"/>
          <w:szCs w:val="24"/>
          <w:spacing w:val="1"/>
        </w:rPr>
        <w:t>区</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V=</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V</w:t>
      </w:r>
      <w:r>
        <w:rPr>
          <w:rFonts w:ascii="Times New Roman" w:hAnsi="Times New Roman" w:eastAsia="Times New Roman" w:cs="Times New Roman"/>
          <w:sz w:val="15"/>
          <w:szCs w:val="15"/>
          <w:spacing w:val="1"/>
          <w:position w:val="-1"/>
        </w:rPr>
        <w:t>1</w:t>
      </w:r>
      <w:r>
        <w:rPr>
          <w:rFonts w:ascii="Times New Roman" w:hAnsi="Times New Roman" w:eastAsia="Times New Roman" w:cs="Times New Roman"/>
          <w:sz w:val="24"/>
          <w:szCs w:val="24"/>
          <w:spacing w:val="1"/>
        </w:rPr>
        <w:t>+V</w:t>
      </w:r>
      <w:r>
        <w:rPr>
          <w:rFonts w:ascii="Times New Roman" w:hAnsi="Times New Roman" w:eastAsia="Times New Roman" w:cs="Times New Roman"/>
          <w:sz w:val="15"/>
          <w:szCs w:val="15"/>
          <w:spacing w:val="1"/>
        </w:rPr>
        <w:t>2</w:t>
      </w:r>
      <w:r>
        <w:rPr>
          <w:rFonts w:ascii="Times New Roman" w:hAnsi="Times New Roman" w:eastAsia="Times New Roman" w:cs="Times New Roman"/>
          <w:sz w:val="24"/>
          <w:szCs w:val="24"/>
          <w:spacing w:val="1"/>
        </w:rPr>
        <w:t>-V</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spacing w:val="29"/>
          <w:w w:val="101"/>
          <w:position w:val="-1"/>
        </w:rPr>
        <w:t xml:space="preserve"> </w:t>
      </w:r>
      <w:r>
        <w:rPr>
          <w:rFonts w:ascii="SimSun" w:hAnsi="SimSun" w:eastAsia="SimSun" w:cs="SimSun"/>
          <w:sz w:val="24"/>
          <w:szCs w:val="24"/>
          <w:spacing w:val="1"/>
        </w:rPr>
        <w:t>）</w:t>
      </w:r>
      <w:r>
        <w:rPr>
          <w:rFonts w:ascii="Times New Roman" w:hAnsi="Times New Roman" w:eastAsia="Times New Roman" w:cs="Times New Roman"/>
          <w:sz w:val="15"/>
          <w:szCs w:val="15"/>
          <w:position w:val="-1"/>
        </w:rPr>
        <w:t>max</w:t>
      </w:r>
      <w:r>
        <w:rPr>
          <w:rFonts w:ascii="Times New Roman" w:hAnsi="Times New Roman" w:eastAsia="Times New Roman" w:cs="Times New Roman"/>
          <w:sz w:val="24"/>
          <w:szCs w:val="24"/>
          <w:spacing w:val="1"/>
        </w:rPr>
        <w:t>+V</w:t>
      </w:r>
      <w:r>
        <w:rPr>
          <w:rFonts w:ascii="Times New Roman" w:hAnsi="Times New Roman" w:eastAsia="Times New Roman" w:cs="Times New Roman"/>
          <w:sz w:val="15"/>
          <w:szCs w:val="15"/>
          <w:spacing w:val="1"/>
          <w:position w:val="-1"/>
        </w:rPr>
        <w:t>4</w:t>
      </w:r>
      <w:r>
        <w:rPr>
          <w:rFonts w:ascii="Times New Roman" w:hAnsi="Times New Roman" w:eastAsia="Times New Roman" w:cs="Times New Roman"/>
          <w:sz w:val="24"/>
          <w:szCs w:val="24"/>
          <w:spacing w:val="1"/>
        </w:rPr>
        <w:t>+V</w:t>
      </w:r>
      <w:r>
        <w:rPr>
          <w:rFonts w:ascii="Times New Roman" w:hAnsi="Times New Roman" w:eastAsia="Times New Roman" w:cs="Times New Roman"/>
          <w:sz w:val="15"/>
          <w:szCs w:val="15"/>
          <w:spacing w:val="1"/>
          <w:position w:val="-1"/>
        </w:rPr>
        <w:t>5</w:t>
      </w:r>
      <w:r>
        <w:rPr>
          <w:rFonts w:ascii="Times New Roman" w:hAnsi="Times New Roman" w:eastAsia="Times New Roman" w:cs="Times New Roman"/>
          <w:sz w:val="24"/>
          <w:szCs w:val="24"/>
          <w:spacing w:val="1"/>
        </w:rPr>
        <w:t>=6</w:t>
      </w:r>
      <w:r>
        <w:rPr>
          <w:rFonts w:ascii="Times New Roman" w:hAnsi="Times New Roman" w:eastAsia="Times New Roman" w:cs="Times New Roman"/>
          <w:sz w:val="24"/>
          <w:szCs w:val="24"/>
        </w:rPr>
        <w:t>4+288-0+0+18=370m</w:t>
      </w:r>
      <w:r>
        <w:rPr>
          <w:rFonts w:ascii="Times New Roman" w:hAnsi="Times New Roman" w:eastAsia="Times New Roman" w:cs="Times New Roman"/>
          <w:sz w:val="15"/>
          <w:szCs w:val="15"/>
          <w:position w:val="8"/>
        </w:rPr>
        <w:t>3</w:t>
      </w:r>
      <w:r>
        <w:rPr>
          <w:rFonts w:ascii="Times New Roman" w:hAnsi="Times New Roman" w:eastAsia="Times New Roman" w:cs="Times New Roman"/>
          <w:sz w:val="15"/>
          <w:szCs w:val="15"/>
          <w:spacing w:val="24"/>
          <w:position w:val="8"/>
        </w:rPr>
        <w:t xml:space="preserve"> </w:t>
      </w:r>
      <w:r>
        <w:rPr>
          <w:rFonts w:ascii="SimSun" w:hAnsi="SimSun" w:eastAsia="SimSun" w:cs="SimSun"/>
          <w:sz w:val="24"/>
          <w:szCs w:val="24"/>
        </w:rPr>
        <w:t>，</w:t>
      </w:r>
      <w:r>
        <w:rPr>
          <w:rFonts w:ascii="SimSun" w:hAnsi="SimSun" w:eastAsia="SimSun" w:cs="SimSun"/>
          <w:sz w:val="24"/>
          <w:szCs w:val="24"/>
          <w:spacing w:val="-71"/>
        </w:rPr>
        <w:t xml:space="preserve"> </w:t>
      </w:r>
      <w:r>
        <w:rPr>
          <w:rFonts w:ascii="SimSun" w:hAnsi="SimSun" w:eastAsia="SimSun" w:cs="SimSun"/>
          <w:sz w:val="24"/>
          <w:szCs w:val="24"/>
        </w:rPr>
        <w:t>东厂</w:t>
      </w:r>
      <w:r>
        <w:rPr>
          <w:rFonts w:ascii="SimSun" w:hAnsi="SimSun" w:eastAsia="SimSun" w:cs="SimSun"/>
          <w:sz w:val="24"/>
          <w:szCs w:val="24"/>
          <w:spacing w:val="-59"/>
        </w:rPr>
        <w:t xml:space="preserve"> </w:t>
      </w:r>
      <w:r>
        <w:rPr>
          <w:rFonts w:ascii="SimSun" w:hAnsi="SimSun" w:eastAsia="SimSun" w:cs="SimSun"/>
          <w:sz w:val="24"/>
          <w:szCs w:val="24"/>
        </w:rPr>
        <w:t>区</w:t>
      </w:r>
      <w:r>
        <w:rPr>
          <w:rFonts w:ascii="SimSun" w:hAnsi="SimSun" w:eastAsia="SimSun" w:cs="SimSun"/>
          <w:sz w:val="24"/>
          <w:szCs w:val="24"/>
          <w:spacing w:val="-25"/>
        </w:rPr>
        <w:t xml:space="preserve"> </w:t>
      </w:r>
      <w:r>
        <w:rPr>
          <w:rFonts w:ascii="Times New Roman" w:hAnsi="Times New Roman" w:eastAsia="Times New Roman" w:cs="Times New Roman"/>
          <w:sz w:val="24"/>
          <w:szCs w:val="24"/>
        </w:rPr>
        <w:t>V= </w:t>
      </w:r>
      <w:r>
        <w:rPr>
          <w:rFonts w:ascii="SimSun" w:hAnsi="SimSun" w:eastAsia="SimSun" w:cs="SimSun"/>
          <w:sz w:val="24"/>
          <w:szCs w:val="24"/>
        </w:rPr>
        <w:t>（</w:t>
      </w:r>
      <w:r>
        <w:rPr>
          <w:rFonts w:ascii="Times New Roman" w:hAnsi="Times New Roman" w:eastAsia="Times New Roman" w:cs="Times New Roman"/>
          <w:sz w:val="24"/>
          <w:szCs w:val="24"/>
        </w:rPr>
        <w:t>V</w:t>
      </w:r>
      <w:r>
        <w:rPr>
          <w:rFonts w:ascii="Times New Roman" w:hAnsi="Times New Roman" w:eastAsia="Times New Roman" w:cs="Times New Roman"/>
          <w:sz w:val="15"/>
          <w:szCs w:val="15"/>
          <w:position w:val="-1"/>
        </w:rPr>
        <w:t>1</w:t>
      </w:r>
      <w:r>
        <w:rPr>
          <w:rFonts w:ascii="Times New Roman" w:hAnsi="Times New Roman" w:eastAsia="Times New Roman" w:cs="Times New Roman"/>
          <w:sz w:val="24"/>
          <w:szCs w:val="24"/>
        </w:rPr>
        <w:t>+V</w:t>
      </w:r>
      <w:r>
        <w:rPr>
          <w:rFonts w:ascii="Times New Roman" w:hAnsi="Times New Roman" w:eastAsia="Times New Roman" w:cs="Times New Roman"/>
          <w:sz w:val="15"/>
          <w:szCs w:val="15"/>
        </w:rPr>
        <w:t>2</w:t>
      </w:r>
      <w:r>
        <w:rPr>
          <w:rFonts w:ascii="Times New Roman" w:hAnsi="Times New Roman" w:eastAsia="Times New Roman" w:cs="Times New Roman"/>
          <w:sz w:val="24"/>
          <w:szCs w:val="24"/>
        </w:rPr>
        <w:t>-V</w:t>
      </w:r>
      <w:r>
        <w:rPr>
          <w:rFonts w:ascii="Times New Roman" w:hAnsi="Times New Roman" w:eastAsia="Times New Roman" w:cs="Times New Roman"/>
          <w:sz w:val="15"/>
          <w:szCs w:val="15"/>
          <w:position w:val="-1"/>
        </w:rPr>
        <w:t>3</w:t>
      </w:r>
      <w:r>
        <w:rPr>
          <w:rFonts w:ascii="SimSun" w:hAnsi="SimSun" w:eastAsia="SimSun" w:cs="SimSun"/>
          <w:sz w:val="24"/>
          <w:szCs w:val="24"/>
        </w:rPr>
        <w:t>）</w:t>
      </w:r>
      <w:r>
        <w:rPr>
          <w:rFonts w:ascii="Times New Roman" w:hAnsi="Times New Roman" w:eastAsia="Times New Roman" w:cs="Times New Roman"/>
          <w:sz w:val="15"/>
          <w:szCs w:val="15"/>
          <w:position w:val="-1"/>
        </w:rPr>
        <w:t>max</w:t>
      </w:r>
      <w:r>
        <w:rPr>
          <w:rFonts w:ascii="Times New Roman" w:hAnsi="Times New Roman" w:eastAsia="Times New Roman" w:cs="Times New Roman"/>
          <w:sz w:val="24"/>
          <w:szCs w:val="24"/>
        </w:rPr>
        <w:t>+V</w:t>
      </w:r>
      <w:r>
        <w:rPr>
          <w:rFonts w:ascii="Times New Roman" w:hAnsi="Times New Roman" w:eastAsia="Times New Roman" w:cs="Times New Roman"/>
          <w:sz w:val="15"/>
          <w:szCs w:val="15"/>
          <w:position w:val="-1"/>
        </w:rPr>
        <w:t>4</w:t>
      </w:r>
      <w:r>
        <w:rPr>
          <w:rFonts w:ascii="Times New Roman" w:hAnsi="Times New Roman" w:eastAsia="Times New Roman" w:cs="Times New Roman"/>
          <w:sz w:val="24"/>
          <w:szCs w:val="24"/>
        </w:rPr>
        <w:t>+V</w:t>
      </w:r>
      <w:r>
        <w:rPr>
          <w:rFonts w:ascii="Times New Roman" w:hAnsi="Times New Roman" w:eastAsia="Times New Roman" w:cs="Times New Roman"/>
          <w:sz w:val="15"/>
          <w:szCs w:val="15"/>
          <w:position w:val="-1"/>
        </w:rPr>
        <w:t>5</w:t>
      </w:r>
      <w:r>
        <w:rPr>
          <w:rFonts w:ascii="Times New Roman" w:hAnsi="Times New Roman" w:eastAsia="Times New Roman" w:cs="Times New Roman"/>
          <w:sz w:val="24"/>
          <w:szCs w:val="24"/>
        </w:rPr>
        <w:t>=0+288-</w:t>
      </w:r>
      <w:r>
        <w:rPr>
          <w:rFonts w:ascii="Times New Roman" w:hAnsi="Times New Roman" w:eastAsia="Times New Roman" w:cs="Times New Roman"/>
          <w:sz w:val="24"/>
          <w:szCs w:val="24"/>
          <w:spacing w:val="-1"/>
        </w:rPr>
        <w:t>0+0+49.8=337.8m</w:t>
      </w:r>
      <w:r>
        <w:rPr>
          <w:rFonts w:ascii="Times New Roman" w:hAnsi="Times New Roman" w:eastAsia="Times New Roman" w:cs="Times New Roman"/>
          <w:sz w:val="15"/>
          <w:szCs w:val="15"/>
          <w:spacing w:val="-1"/>
          <w:position w:val="7"/>
        </w:rPr>
        <w:t>3</w:t>
      </w:r>
      <w:r>
        <w:rPr>
          <w:rFonts w:ascii="SimSun" w:hAnsi="SimSun" w:eastAsia="SimSun" w:cs="SimSun"/>
          <w:sz w:val="24"/>
          <w:szCs w:val="24"/>
          <w:spacing w:val="-1"/>
        </w:rPr>
        <w:t>，本项目东西两个厂区内分别配</w:t>
      </w:r>
      <w:r>
        <w:rPr>
          <w:rFonts w:ascii="SimSun" w:hAnsi="SimSun" w:eastAsia="SimSun" w:cs="SimSun"/>
          <w:sz w:val="24"/>
          <w:szCs w:val="24"/>
        </w:rPr>
        <w:t xml:space="preserve"> </w:t>
      </w:r>
      <w:r>
        <w:rPr>
          <w:rFonts w:ascii="SimSun" w:hAnsi="SimSun" w:eastAsia="SimSun" w:cs="SimSun"/>
          <w:sz w:val="24"/>
          <w:szCs w:val="24"/>
          <w:spacing w:val="-2"/>
        </w:rPr>
        <w:t>置</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座应急事故水池，容积均为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400m</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15"/>
          <w:szCs w:val="15"/>
          <w:spacing w:val="-7"/>
          <w:position w:val="8"/>
        </w:rPr>
        <w:t xml:space="preserve"> </w:t>
      </w:r>
      <w:r>
        <w:rPr>
          <w:rFonts w:ascii="SimSun" w:hAnsi="SimSun" w:eastAsia="SimSun" w:cs="SimSun"/>
          <w:sz w:val="24"/>
          <w:szCs w:val="24"/>
          <w:spacing w:val="-2"/>
        </w:rPr>
        <w:t>，可以满足厂区事故废水的存放。</w:t>
      </w:r>
    </w:p>
    <w:p>
      <w:pPr>
        <w:ind w:left="501"/>
        <w:spacing w:before="78"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）雨水管控</w:t>
      </w:r>
    </w:p>
    <w:p>
      <w:pPr>
        <w:ind w:left="10" w:firstLine="481"/>
        <w:spacing w:before="182" w:line="358" w:lineRule="auto"/>
        <w:rPr>
          <w:rFonts w:ascii="SimSun" w:hAnsi="SimSun" w:eastAsia="SimSun" w:cs="SimSun"/>
          <w:sz w:val="24"/>
          <w:szCs w:val="24"/>
        </w:rPr>
      </w:pPr>
      <w:r>
        <w:rPr>
          <w:rFonts w:ascii="SimSun" w:hAnsi="SimSun" w:eastAsia="SimSun" w:cs="SimSun"/>
          <w:sz w:val="24"/>
          <w:szCs w:val="24"/>
          <w:spacing w:val="3"/>
        </w:rPr>
        <w:t>厂区内雨污分流，要求厂区雨水总排口设置截止阀，一旦发</w:t>
      </w:r>
      <w:r>
        <w:rPr>
          <w:rFonts w:ascii="SimSun" w:hAnsi="SimSun" w:eastAsia="SimSun" w:cs="SimSun"/>
          <w:sz w:val="24"/>
          <w:szCs w:val="24"/>
          <w:spacing w:val="2"/>
        </w:rPr>
        <w:t>生事故，关闭阀</w:t>
      </w:r>
      <w:r>
        <w:rPr>
          <w:rFonts w:ascii="SimSun" w:hAnsi="SimSun" w:eastAsia="SimSun" w:cs="SimSun"/>
          <w:sz w:val="24"/>
          <w:szCs w:val="24"/>
        </w:rPr>
        <w:t xml:space="preserve"> </w:t>
      </w:r>
      <w:r>
        <w:rPr>
          <w:rFonts w:ascii="SimSun" w:hAnsi="SimSun" w:eastAsia="SimSun" w:cs="SimSun"/>
          <w:sz w:val="24"/>
          <w:szCs w:val="24"/>
          <w:spacing w:val="3"/>
        </w:rPr>
        <w:t>门，废水打回事故水池。雨水排放口设监测点位</w:t>
      </w:r>
      <w:r>
        <w:rPr>
          <w:rFonts w:ascii="SimSun" w:hAnsi="SimSun" w:eastAsia="SimSun" w:cs="SimSun"/>
          <w:sz w:val="24"/>
          <w:szCs w:val="24"/>
          <w:spacing w:val="2"/>
        </w:rPr>
        <w:t>，有流动水时按日监测，监测因</w:t>
      </w:r>
      <w:r>
        <w:rPr>
          <w:rFonts w:ascii="SimSun" w:hAnsi="SimSun" w:eastAsia="SimSun" w:cs="SimSun"/>
          <w:sz w:val="24"/>
          <w:szCs w:val="24"/>
        </w:rPr>
        <w:t xml:space="preserve"> </w:t>
      </w:r>
      <w:r>
        <w:rPr>
          <w:rFonts w:ascii="SimSun" w:hAnsi="SimSun" w:eastAsia="SimSun" w:cs="SimSun"/>
          <w:sz w:val="24"/>
          <w:szCs w:val="24"/>
          <w:spacing w:val="-1"/>
        </w:rPr>
        <w:t>子：</w:t>
      </w:r>
      <w:r>
        <w:rPr>
          <w:rFonts w:ascii="Times New Roman" w:hAnsi="Times New Roman" w:eastAsia="Times New Roman" w:cs="Times New Roman"/>
          <w:sz w:val="24"/>
          <w:szCs w:val="24"/>
          <w:spacing w:val="-1"/>
        </w:rPr>
        <w:t>pH </w:t>
      </w:r>
      <w:r>
        <w:rPr>
          <w:rFonts w:ascii="SimSun" w:hAnsi="SimSun" w:eastAsia="SimSun" w:cs="SimSun"/>
          <w:sz w:val="24"/>
          <w:szCs w:val="24"/>
          <w:spacing w:val="-1"/>
        </w:rPr>
        <w:t>值、化学需氧量、氨氮、悬浮物等。初期雨污水全部收集进入事故水池，</w:t>
      </w:r>
      <w:r>
        <w:rPr>
          <w:rFonts w:ascii="SimSun" w:hAnsi="SimSun" w:eastAsia="SimSun" w:cs="SimSun"/>
          <w:sz w:val="24"/>
          <w:szCs w:val="24"/>
          <w:spacing w:val="17"/>
        </w:rPr>
        <w:t xml:space="preserve"> </w:t>
      </w:r>
      <w:r>
        <w:rPr>
          <w:rFonts w:ascii="SimSun" w:hAnsi="SimSun" w:eastAsia="SimSun" w:cs="SimSun"/>
          <w:sz w:val="24"/>
          <w:szCs w:val="24"/>
          <w:spacing w:val="-1"/>
        </w:rPr>
        <w:t>待事故结束后，采用罐车分批送往明安图镇污水处理厂委托处理。</w:t>
      </w:r>
    </w:p>
    <w:p>
      <w:pPr>
        <w:ind w:left="12"/>
        <w:spacing w:before="131" w:line="223" w:lineRule="auto"/>
        <w:outlineLvl w:val="2"/>
        <w:rPr>
          <w:rFonts w:ascii="SimHei" w:hAnsi="SimHei" w:eastAsia="SimHei" w:cs="SimHei"/>
          <w:sz w:val="28"/>
          <w:szCs w:val="28"/>
        </w:rPr>
      </w:pPr>
      <w:bookmarkStart w:name="bookmark146" w:id="177"/>
      <w:bookmarkEnd w:id="177"/>
      <w:r>
        <w:rPr>
          <w:rFonts w:ascii="Times New Roman" w:hAnsi="Times New Roman" w:eastAsia="Times New Roman" w:cs="Times New Roman"/>
          <w:sz w:val="28"/>
          <w:szCs w:val="28"/>
          <w:spacing w:val="-2"/>
        </w:rPr>
        <w:t>6.6.7 </w:t>
      </w:r>
      <w:r>
        <w:rPr>
          <w:rFonts w:ascii="SimHei" w:hAnsi="SimHei" w:eastAsia="SimHei" w:cs="SimHei"/>
          <w:sz w:val="28"/>
          <w:szCs w:val="28"/>
          <w:spacing w:val="-2"/>
        </w:rPr>
        <w:t>其他措施</w:t>
      </w:r>
    </w:p>
    <w:p>
      <w:pPr>
        <w:pStyle w:val="BodyText"/>
        <w:spacing w:line="241" w:lineRule="auto"/>
        <w:rPr/>
      </w:pPr>
      <w:r/>
    </w:p>
    <w:p>
      <w:pPr>
        <w:ind w:left="9" w:firstLine="491"/>
        <w:spacing w:before="78" w:line="32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）对生产中可能泄漏沼气的设备和工作区域设有安全警示标志</w:t>
      </w:r>
      <w:r>
        <w:rPr>
          <w:rFonts w:ascii="SimSun" w:hAnsi="SimSun" w:eastAsia="SimSun" w:cs="SimSun"/>
          <w:sz w:val="24"/>
          <w:szCs w:val="24"/>
          <w:spacing w:val="-2"/>
        </w:rPr>
        <w:t>，配备便携</w:t>
      </w:r>
      <w:r>
        <w:rPr>
          <w:rFonts w:ascii="SimSun" w:hAnsi="SimSun" w:eastAsia="SimSun" w:cs="SimSun"/>
          <w:sz w:val="24"/>
          <w:szCs w:val="24"/>
        </w:rPr>
        <w:t xml:space="preserve"> </w:t>
      </w:r>
      <w:r>
        <w:rPr>
          <w:rFonts w:ascii="SimSun" w:hAnsi="SimSun" w:eastAsia="SimSun" w:cs="SimSun"/>
          <w:sz w:val="24"/>
          <w:szCs w:val="24"/>
          <w:spacing w:val="3"/>
        </w:rPr>
        <w:t>式甲烷检测仪，安装可燃气体报警装置，制定和实施严</w:t>
      </w:r>
      <w:r>
        <w:rPr>
          <w:rFonts w:ascii="SimSun" w:hAnsi="SimSun" w:eastAsia="SimSun" w:cs="SimSun"/>
          <w:sz w:val="24"/>
          <w:szCs w:val="24"/>
          <w:spacing w:val="2"/>
        </w:rPr>
        <w:t>格规范的设备维修制度，</w:t>
      </w:r>
      <w:r>
        <w:rPr>
          <w:rFonts w:ascii="SimSun" w:hAnsi="SimSun" w:eastAsia="SimSun" w:cs="SimSun"/>
          <w:sz w:val="24"/>
          <w:szCs w:val="24"/>
        </w:rPr>
        <w:t xml:space="preserve"> </w:t>
      </w:r>
      <w:r>
        <w:rPr>
          <w:rFonts w:ascii="SimSun" w:hAnsi="SimSun" w:eastAsia="SimSun" w:cs="SimSun"/>
          <w:sz w:val="24"/>
          <w:szCs w:val="24"/>
          <w:spacing w:val="3"/>
        </w:rPr>
        <w:t>提高设备、各种泵类、风机及其阀门、法兰等的密封性</w:t>
      </w:r>
      <w:r>
        <w:rPr>
          <w:rFonts w:ascii="SimSun" w:hAnsi="SimSun" w:eastAsia="SimSun" w:cs="SimSun"/>
          <w:sz w:val="24"/>
          <w:szCs w:val="24"/>
          <w:spacing w:val="2"/>
        </w:rPr>
        <w:t>能，降低设备、管线的泄</w:t>
      </w:r>
      <w:r>
        <w:rPr>
          <w:rFonts w:ascii="SimSun" w:hAnsi="SimSun" w:eastAsia="SimSun" w:cs="SimSun"/>
          <w:sz w:val="24"/>
          <w:szCs w:val="24"/>
        </w:rPr>
        <w:t xml:space="preserve"> </w:t>
      </w:r>
      <w:r>
        <w:rPr>
          <w:rFonts w:ascii="SimSun" w:hAnsi="SimSun" w:eastAsia="SimSun" w:cs="SimSun"/>
          <w:sz w:val="24"/>
          <w:szCs w:val="24"/>
          <w:spacing w:val="-1"/>
        </w:rPr>
        <w:t>漏，一经发现泄漏应立即检修，不得延误。</w:t>
      </w:r>
    </w:p>
    <w:p>
      <w:pPr>
        <w:ind w:left="9" w:right="2" w:firstLine="491"/>
        <w:spacing w:before="182" w:line="31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）沼气设施停气检修时必须切断沼气来源并将内部沼气吹净。</w:t>
      </w:r>
      <w:r>
        <w:rPr>
          <w:rFonts w:ascii="SimSun" w:hAnsi="SimSun" w:eastAsia="SimSun" w:cs="SimSun"/>
          <w:sz w:val="24"/>
          <w:szCs w:val="24"/>
          <w:spacing w:val="-2"/>
        </w:rPr>
        <w:t>进入沼气设</w:t>
      </w:r>
      <w:r>
        <w:rPr>
          <w:rFonts w:ascii="SimSun" w:hAnsi="SimSun" w:eastAsia="SimSun" w:cs="SimSun"/>
          <w:sz w:val="24"/>
          <w:szCs w:val="24"/>
        </w:rPr>
        <w:t xml:space="preserve"> </w:t>
      </w:r>
      <w:r>
        <w:rPr>
          <w:rFonts w:ascii="SimSun" w:hAnsi="SimSun" w:eastAsia="SimSun" w:cs="SimSun"/>
          <w:sz w:val="24"/>
          <w:szCs w:val="24"/>
          <w:spacing w:val="3"/>
        </w:rPr>
        <w:t>备内部或可能存在沼气的部位，应进行甲烷含量分</w:t>
      </w:r>
      <w:r>
        <w:rPr>
          <w:rFonts w:ascii="SimSun" w:hAnsi="SimSun" w:eastAsia="SimSun" w:cs="SimSun"/>
          <w:sz w:val="24"/>
          <w:szCs w:val="24"/>
          <w:spacing w:val="2"/>
        </w:rPr>
        <w:t>析，并经安全管理人员开具安</w:t>
      </w:r>
      <w:r>
        <w:rPr>
          <w:rFonts w:ascii="SimSun" w:hAnsi="SimSun" w:eastAsia="SimSun" w:cs="SimSun"/>
          <w:sz w:val="24"/>
          <w:szCs w:val="24"/>
        </w:rPr>
        <w:t xml:space="preserve"> </w:t>
      </w:r>
      <w:r>
        <w:rPr>
          <w:rFonts w:ascii="SimSun" w:hAnsi="SimSun" w:eastAsia="SimSun" w:cs="SimSun"/>
          <w:sz w:val="24"/>
          <w:szCs w:val="24"/>
          <w:spacing w:val="-1"/>
        </w:rPr>
        <w:t>全作业证后方可进入。</w:t>
      </w:r>
    </w:p>
    <w:p>
      <w:pPr>
        <w:ind w:left="11" w:firstLine="489"/>
        <w:spacing w:before="184" w:line="311"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）加强火源管理，生产区和仓库区严禁烟火，对设备需进行维</w:t>
      </w:r>
      <w:r>
        <w:rPr>
          <w:rFonts w:ascii="SimSun" w:hAnsi="SimSun" w:eastAsia="SimSun" w:cs="SimSun"/>
          <w:sz w:val="24"/>
          <w:szCs w:val="24"/>
          <w:spacing w:val="-2"/>
        </w:rPr>
        <w:t>修焊接，应</w:t>
      </w:r>
      <w:r>
        <w:rPr>
          <w:rFonts w:ascii="SimSun" w:hAnsi="SimSun" w:eastAsia="SimSun" w:cs="SimSun"/>
          <w:sz w:val="24"/>
          <w:szCs w:val="24"/>
        </w:rPr>
        <w:t xml:space="preserve"> </w:t>
      </w:r>
      <w:r>
        <w:rPr>
          <w:rFonts w:ascii="SimSun" w:hAnsi="SimSun" w:eastAsia="SimSun" w:cs="SimSun"/>
          <w:sz w:val="24"/>
          <w:szCs w:val="24"/>
          <w:spacing w:val="3"/>
        </w:rPr>
        <w:t>经安全部门确认、准许，并有记录。机动车在厂内行</w:t>
      </w:r>
      <w:r>
        <w:rPr>
          <w:rFonts w:ascii="SimSun" w:hAnsi="SimSun" w:eastAsia="SimSun" w:cs="SimSun"/>
          <w:sz w:val="24"/>
          <w:szCs w:val="24"/>
          <w:spacing w:val="2"/>
        </w:rPr>
        <w:t>驶，须安装阻火器，必要设</w:t>
      </w:r>
      <w:r>
        <w:rPr>
          <w:rFonts w:ascii="SimSun" w:hAnsi="SimSun" w:eastAsia="SimSun" w:cs="SimSun"/>
          <w:sz w:val="24"/>
          <w:szCs w:val="24"/>
        </w:rPr>
        <w:t xml:space="preserve"> </w:t>
      </w:r>
      <w:r>
        <w:rPr>
          <w:rFonts w:ascii="SimSun" w:hAnsi="SimSun" w:eastAsia="SimSun" w:cs="SimSun"/>
          <w:sz w:val="24"/>
          <w:szCs w:val="24"/>
          <w:spacing w:val="-2"/>
        </w:rPr>
        <w:t>备安装防火、防爆装置。</w:t>
      </w:r>
    </w:p>
    <w:p>
      <w:pPr>
        <w:ind w:left="37" w:right="2" w:firstLine="464"/>
        <w:spacing w:before="184" w:line="28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）加强管理，制定严格操作规程和环境管理的规章制度。建立</w:t>
      </w:r>
      <w:r>
        <w:rPr>
          <w:rFonts w:ascii="SimSun" w:hAnsi="SimSun" w:eastAsia="SimSun" w:cs="SimSun"/>
          <w:sz w:val="24"/>
          <w:szCs w:val="24"/>
          <w:spacing w:val="-2"/>
        </w:rPr>
        <w:t>公司环境部</w:t>
      </w:r>
      <w:r>
        <w:rPr>
          <w:rFonts w:ascii="SimSun" w:hAnsi="SimSun" w:eastAsia="SimSun" w:cs="SimSun"/>
          <w:sz w:val="24"/>
          <w:szCs w:val="24"/>
        </w:rPr>
        <w:t xml:space="preserve"> </w:t>
      </w:r>
      <w:r>
        <w:rPr>
          <w:rFonts w:ascii="SimSun" w:hAnsi="SimSun" w:eastAsia="SimSun" w:cs="SimSun"/>
          <w:sz w:val="24"/>
          <w:szCs w:val="24"/>
          <w:spacing w:val="-1"/>
        </w:rPr>
        <w:t>门，分管负责风险防范，配合地方政府制定完整的火灾爆炸事故</w:t>
      </w:r>
      <w:r>
        <w:rPr>
          <w:rFonts w:ascii="SimSun" w:hAnsi="SimSun" w:eastAsia="SimSun" w:cs="SimSun"/>
          <w:sz w:val="24"/>
          <w:szCs w:val="24"/>
          <w:spacing w:val="-2"/>
        </w:rPr>
        <w:t>应急措施。</w:t>
      </w:r>
    </w:p>
    <w:p>
      <w:pPr>
        <w:ind w:right="2"/>
        <w:spacing w:before="183" w:line="219" w:lineRule="auto"/>
        <w:jc w:val="right"/>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）在沼气净化设施等周边带电操作时，要注意用电安全，电插</w:t>
      </w:r>
      <w:r>
        <w:rPr>
          <w:rFonts w:ascii="SimSun" w:hAnsi="SimSun" w:eastAsia="SimSun" w:cs="SimSun"/>
          <w:sz w:val="24"/>
          <w:szCs w:val="24"/>
          <w:spacing w:val="-2"/>
        </w:rPr>
        <w:t>座、电源线</w:t>
      </w:r>
    </w:p>
    <w:p>
      <w:pPr>
        <w:pStyle w:val="BodyText"/>
        <w:spacing w:line="332" w:lineRule="auto"/>
        <w:rPr/>
      </w:pPr>
      <w:r/>
    </w:p>
    <w:p>
      <w:pPr>
        <w:ind w:left="7"/>
        <w:spacing w:before="62" w:line="227" w:lineRule="auto"/>
        <w:rPr>
          <w:rFonts w:ascii="SimSun" w:hAnsi="SimSun" w:eastAsia="SimSun" w:cs="SimSun"/>
          <w:sz w:val="19"/>
          <w:szCs w:val="19"/>
        </w:rPr>
      </w:pPr>
      <w:r>
        <w:pict>
          <v:shape id="_x0000_s1176" style="position:absolute;margin-left:159.33pt;margin-top:2.10092pt;mso-position-vertical-relative:text;mso-position-horizontal-relative:text;width:61pt;height:13.75pt;z-index:252269568;"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257</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349"/>
          <w:footerReference w:type="default" r:id="rId3"/>
          <w:pgSz w:w="11907" w:h="16840"/>
          <w:pgMar w:top="1567" w:right="1699" w:bottom="400" w:left="1701" w:header="1221" w:footer="0" w:gutter="0"/>
        </w:sectPr>
        <w:rPr>
          <w:rFonts w:ascii="SimSun" w:hAnsi="SimSun" w:eastAsia="SimSun" w:cs="SimSun"/>
          <w:sz w:val="19"/>
          <w:szCs w:val="19"/>
        </w:rPr>
      </w:pPr>
    </w:p>
    <w:p>
      <w:pPr>
        <w:ind w:left="16" w:right="18" w:firstLine="17"/>
        <w:spacing w:before="168" w:line="359" w:lineRule="auto"/>
        <w:rPr>
          <w:rFonts w:ascii="SimSun" w:hAnsi="SimSun" w:eastAsia="SimSun" w:cs="SimSun"/>
          <w:sz w:val="24"/>
          <w:szCs w:val="24"/>
        </w:rPr>
      </w:pPr>
      <w:r>
        <w:pict>
          <v:shape id="_x0000_s1178" style="position:absolute;margin-left:85.05pt;margin-top:78.87pt;mso-position-vertical-relative:page;mso-position-horizontal-relative:page;width:425.25pt;height:0.75pt;z-index:252272640;" o:allowincell="f" fillcolor="#000000" filled="true" stroked="false" coordsize="8505,15" coordorigin="0,0" path="m,l8505,0l8505,14l0,14l0,0xe"/>
        </w:pict>
      </w:r>
      <w:r>
        <w:rPr>
          <w:rFonts w:ascii="SimSun" w:hAnsi="SimSun" w:eastAsia="SimSun" w:cs="SimSun"/>
          <w:sz w:val="24"/>
          <w:szCs w:val="24"/>
          <w:spacing w:val="-3"/>
        </w:rPr>
        <w:t>的长度、走向、操作地点的设置等情况必须按照厂区内安全技术人员的要求设置，</w:t>
      </w:r>
      <w:r>
        <w:rPr>
          <w:rFonts w:ascii="SimSun" w:hAnsi="SimSun" w:eastAsia="SimSun" w:cs="SimSun"/>
          <w:sz w:val="24"/>
          <w:szCs w:val="24"/>
          <w:spacing w:val="2"/>
        </w:rPr>
        <w:t xml:space="preserve"> </w:t>
      </w:r>
      <w:r>
        <w:rPr>
          <w:rFonts w:ascii="SimSun" w:hAnsi="SimSun" w:eastAsia="SimSun" w:cs="SimSun"/>
          <w:sz w:val="24"/>
          <w:szCs w:val="24"/>
          <w:spacing w:val="-1"/>
        </w:rPr>
        <w:t>符合相关的规范要求，不得随意设置。</w:t>
      </w:r>
    </w:p>
    <w:p>
      <w:pPr>
        <w:ind w:left="14" w:right="18" w:firstLine="491"/>
        <w:spacing w:before="2" w:line="359" w:lineRule="auto"/>
        <w:rPr>
          <w:rFonts w:ascii="SimSun" w:hAnsi="SimSun" w:eastAsia="SimSun" w:cs="SimSun"/>
          <w:sz w:val="24"/>
          <w:szCs w:val="24"/>
        </w:rPr>
      </w:pPr>
      <w:r>
        <w:rPr>
          <w:rFonts w:ascii="SimSun" w:hAnsi="SimSun" w:eastAsia="SimSun" w:cs="SimSun"/>
          <w:sz w:val="24"/>
          <w:szCs w:val="24"/>
          <w:spacing w:val="-6"/>
        </w:rPr>
        <w:t>（</w:t>
      </w:r>
      <w:r>
        <w:rPr>
          <w:rFonts w:ascii="Times New Roman" w:hAnsi="Times New Roman" w:eastAsia="Times New Roman" w:cs="Times New Roman"/>
          <w:sz w:val="24"/>
          <w:szCs w:val="24"/>
          <w:spacing w:val="-6"/>
        </w:rPr>
        <w:t>6</w:t>
      </w:r>
      <w:r>
        <w:rPr>
          <w:rFonts w:ascii="SimSun" w:hAnsi="SimSun" w:eastAsia="SimSun" w:cs="SimSun"/>
          <w:sz w:val="24"/>
          <w:szCs w:val="24"/>
          <w:spacing w:val="-6"/>
        </w:rPr>
        <w:t>）配合各级消防部门的检查，加强消防设施的维护，并做</w:t>
      </w:r>
      <w:r>
        <w:rPr>
          <w:rFonts w:ascii="SimSun" w:hAnsi="SimSun" w:eastAsia="SimSun" w:cs="SimSun"/>
          <w:sz w:val="24"/>
          <w:szCs w:val="24"/>
          <w:spacing w:val="-7"/>
        </w:rPr>
        <w:t>好消防演练工作，</w:t>
      </w:r>
      <w:r>
        <w:rPr>
          <w:rFonts w:ascii="SimSun" w:hAnsi="SimSun" w:eastAsia="SimSun" w:cs="SimSun"/>
          <w:sz w:val="24"/>
          <w:szCs w:val="24"/>
        </w:rPr>
        <w:t xml:space="preserve"> </w:t>
      </w:r>
      <w:r>
        <w:rPr>
          <w:rFonts w:ascii="SimSun" w:hAnsi="SimSun" w:eastAsia="SimSun" w:cs="SimSun"/>
          <w:sz w:val="24"/>
          <w:szCs w:val="24"/>
          <w:spacing w:val="-1"/>
        </w:rPr>
        <w:t>加强宣传，公司员工上岗前必须进行严格的消防知识学习。</w:t>
      </w:r>
    </w:p>
    <w:p>
      <w:pPr>
        <w:ind w:left="18"/>
        <w:spacing w:before="162" w:line="221" w:lineRule="auto"/>
        <w:outlineLvl w:val="1"/>
        <w:rPr>
          <w:rFonts w:ascii="SimHei" w:hAnsi="SimHei" w:eastAsia="SimHei" w:cs="SimHei"/>
          <w:sz w:val="30"/>
          <w:szCs w:val="30"/>
        </w:rPr>
      </w:pPr>
      <w:bookmarkStart w:name="bookmark147" w:id="178"/>
      <w:bookmarkEnd w:id="178"/>
      <w:r>
        <w:rPr>
          <w:rFonts w:ascii="Times New Roman" w:hAnsi="Times New Roman" w:eastAsia="Times New Roman" w:cs="Times New Roman"/>
          <w:sz w:val="30"/>
          <w:szCs w:val="30"/>
          <w:spacing w:val="-2"/>
        </w:rPr>
        <w:t>6.7 </w:t>
      </w:r>
      <w:r>
        <w:rPr>
          <w:rFonts w:ascii="SimHei" w:hAnsi="SimHei" w:eastAsia="SimHei" w:cs="SimHei"/>
          <w:sz w:val="30"/>
          <w:szCs w:val="30"/>
          <w:spacing w:val="-2"/>
        </w:rPr>
        <w:t>突发环境事件应急预案</w:t>
      </w:r>
    </w:p>
    <w:p>
      <w:pPr>
        <w:pStyle w:val="BodyText"/>
        <w:spacing w:line="290" w:lineRule="auto"/>
        <w:rPr/>
      </w:pPr>
      <w:r/>
    </w:p>
    <w:p>
      <w:pPr>
        <w:ind w:left="14" w:right="77" w:firstLine="482"/>
        <w:spacing w:before="78" w:line="359" w:lineRule="auto"/>
        <w:jc w:val="both"/>
        <w:rPr>
          <w:rFonts w:ascii="SimSun" w:hAnsi="SimSun" w:eastAsia="SimSun" w:cs="SimSun"/>
          <w:sz w:val="24"/>
          <w:szCs w:val="24"/>
        </w:rPr>
      </w:pPr>
      <w:r>
        <w:rPr>
          <w:rFonts w:ascii="SimSun" w:hAnsi="SimSun" w:eastAsia="SimSun" w:cs="SimSun"/>
          <w:sz w:val="24"/>
          <w:szCs w:val="24"/>
          <w:spacing w:val="3"/>
        </w:rPr>
        <w:t>建设单位应编制突发环境事件应急预案，同时按照《企业事</w:t>
      </w:r>
      <w:r>
        <w:rPr>
          <w:rFonts w:ascii="SimSun" w:hAnsi="SimSun" w:eastAsia="SimSun" w:cs="SimSun"/>
          <w:sz w:val="24"/>
          <w:szCs w:val="24"/>
          <w:spacing w:val="2"/>
        </w:rPr>
        <w:t>业单位突发环境</w:t>
      </w:r>
      <w:r>
        <w:rPr>
          <w:rFonts w:ascii="SimSun" w:hAnsi="SimSun" w:eastAsia="SimSun" w:cs="SimSun"/>
          <w:sz w:val="24"/>
          <w:szCs w:val="24"/>
        </w:rPr>
        <w:t xml:space="preserve"> </w:t>
      </w:r>
      <w:r>
        <w:rPr>
          <w:rFonts w:ascii="SimSun" w:hAnsi="SimSun" w:eastAsia="SimSun" w:cs="SimSun"/>
          <w:sz w:val="24"/>
          <w:szCs w:val="24"/>
          <w:spacing w:val="3"/>
        </w:rPr>
        <w:t>事件应急预案评审工作指南（试行）》要求自行组织评审</w:t>
      </w:r>
      <w:r>
        <w:rPr>
          <w:rFonts w:ascii="SimSun" w:hAnsi="SimSun" w:eastAsia="SimSun" w:cs="SimSun"/>
          <w:sz w:val="24"/>
          <w:szCs w:val="24"/>
          <w:spacing w:val="2"/>
        </w:rPr>
        <w:t>，根据《企业事业单位</w:t>
      </w:r>
      <w:r>
        <w:rPr>
          <w:rFonts w:ascii="SimSun" w:hAnsi="SimSun" w:eastAsia="SimSun" w:cs="SimSun"/>
          <w:sz w:val="24"/>
          <w:szCs w:val="24"/>
        </w:rPr>
        <w:t xml:space="preserve"> </w:t>
      </w:r>
      <w:r>
        <w:rPr>
          <w:rFonts w:ascii="SimSun" w:hAnsi="SimSun" w:eastAsia="SimSun" w:cs="SimSun"/>
          <w:sz w:val="24"/>
          <w:szCs w:val="24"/>
          <w:spacing w:val="-1"/>
        </w:rPr>
        <w:t>突发环境事件应急预案备案管理办法（试行）》（环发</w:t>
      </w:r>
      <w:r>
        <w:rPr>
          <w:rFonts w:ascii="Times New Roman" w:hAnsi="Times New Roman" w:eastAsia="Times New Roman" w:cs="Times New Roman"/>
          <w:sz w:val="24"/>
          <w:szCs w:val="24"/>
          <w:spacing w:val="-1"/>
        </w:rPr>
        <w:t>[2015]4</w:t>
      </w:r>
      <w:r>
        <w:rPr>
          <w:rFonts w:ascii="Times New Roman" w:hAnsi="Times New Roman" w:eastAsia="Times New Roman" w:cs="Times New Roman"/>
          <w:sz w:val="24"/>
          <w:szCs w:val="24"/>
          <w:spacing w:val="31"/>
          <w:w w:val="101"/>
        </w:rPr>
        <w:t xml:space="preserve"> </w:t>
      </w:r>
      <w:r>
        <w:rPr>
          <w:rFonts w:ascii="SimSun" w:hAnsi="SimSun" w:eastAsia="SimSun" w:cs="SimSun"/>
          <w:sz w:val="24"/>
          <w:szCs w:val="24"/>
          <w:spacing w:val="-1"/>
        </w:rPr>
        <w:t>号）向主管生态环</w:t>
      </w:r>
      <w:r>
        <w:rPr>
          <w:rFonts w:ascii="SimSun" w:hAnsi="SimSun" w:eastAsia="SimSun" w:cs="SimSun"/>
          <w:sz w:val="24"/>
          <w:szCs w:val="24"/>
        </w:rPr>
        <w:t xml:space="preserve"> </w:t>
      </w:r>
      <w:r>
        <w:rPr>
          <w:rFonts w:ascii="SimSun" w:hAnsi="SimSun" w:eastAsia="SimSun" w:cs="SimSun"/>
          <w:sz w:val="24"/>
          <w:szCs w:val="24"/>
          <w:spacing w:val="-2"/>
        </w:rPr>
        <w:t>境部门备案。</w:t>
      </w:r>
    </w:p>
    <w:p>
      <w:pPr>
        <w:ind w:left="2660"/>
        <w:spacing w:before="1" w:line="213"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6.7-1        </w:t>
      </w:r>
      <w:r>
        <w:rPr>
          <w:rFonts w:ascii="SimSun" w:hAnsi="SimSun" w:eastAsia="SimSun" w:cs="SimSun"/>
          <w:sz w:val="24"/>
          <w:szCs w:val="24"/>
          <w:b/>
          <w:bCs/>
          <w:spacing w:val="-2"/>
        </w:rPr>
        <w:t>应急预案主要内容</w:t>
      </w:r>
    </w:p>
    <w:tbl>
      <w:tblPr>
        <w:tblStyle w:val="TableNormal"/>
        <w:tblW w:w="851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14"/>
        <w:gridCol w:w="2553"/>
        <w:gridCol w:w="5252"/>
      </w:tblGrid>
      <w:tr>
        <w:trPr>
          <w:trHeight w:val="281" w:hRule="atLeast"/>
        </w:trPr>
        <w:tc>
          <w:tcPr>
            <w:tcW w:w="714" w:type="dxa"/>
            <w:vAlign w:val="top"/>
          </w:tcPr>
          <w:p>
            <w:pPr>
              <w:pStyle w:val="TableText"/>
              <w:ind w:left="151"/>
              <w:spacing w:before="34" w:line="218" w:lineRule="auto"/>
              <w:rPr/>
            </w:pPr>
            <w:r>
              <w:rPr>
                <w:spacing w:val="5"/>
              </w:rPr>
              <w:t>序号</w:t>
            </w:r>
          </w:p>
        </w:tc>
        <w:tc>
          <w:tcPr>
            <w:tcW w:w="2553" w:type="dxa"/>
            <w:vAlign w:val="top"/>
          </w:tcPr>
          <w:p>
            <w:pPr>
              <w:pStyle w:val="TableText"/>
              <w:ind w:left="1073"/>
              <w:spacing w:before="34" w:line="218" w:lineRule="auto"/>
              <w:rPr/>
            </w:pPr>
            <w:r>
              <w:rPr>
                <w:spacing w:val="3"/>
              </w:rPr>
              <w:t>项目</w:t>
            </w:r>
          </w:p>
        </w:tc>
        <w:tc>
          <w:tcPr>
            <w:tcW w:w="5252" w:type="dxa"/>
            <w:vAlign w:val="top"/>
          </w:tcPr>
          <w:p>
            <w:pPr>
              <w:pStyle w:val="TableText"/>
              <w:ind w:left="2130"/>
              <w:spacing w:before="34" w:line="218" w:lineRule="auto"/>
              <w:rPr/>
            </w:pPr>
            <w:r>
              <w:rPr>
                <w:spacing w:val="3"/>
              </w:rPr>
              <w:t>内容及要求</w:t>
            </w:r>
          </w:p>
        </w:tc>
      </w:tr>
      <w:tr>
        <w:trPr>
          <w:trHeight w:val="278" w:hRule="atLeast"/>
        </w:trPr>
        <w:tc>
          <w:tcPr>
            <w:tcW w:w="714" w:type="dxa"/>
            <w:vAlign w:val="top"/>
          </w:tcPr>
          <w:p>
            <w:pPr>
              <w:ind w:left="32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553" w:type="dxa"/>
            <w:vAlign w:val="top"/>
          </w:tcPr>
          <w:p>
            <w:pPr>
              <w:pStyle w:val="TableText"/>
              <w:ind w:left="756"/>
              <w:spacing w:before="31" w:line="218" w:lineRule="auto"/>
              <w:rPr/>
            </w:pPr>
            <w:r>
              <w:rPr>
                <w:spacing w:val="8"/>
              </w:rPr>
              <w:t>应急计划区</w:t>
            </w:r>
          </w:p>
        </w:tc>
        <w:tc>
          <w:tcPr>
            <w:tcW w:w="5252" w:type="dxa"/>
            <w:vAlign w:val="top"/>
          </w:tcPr>
          <w:p>
            <w:pPr>
              <w:pStyle w:val="TableText"/>
              <w:ind w:left="428"/>
              <w:spacing w:before="31" w:line="218" w:lineRule="auto"/>
              <w:rPr/>
            </w:pPr>
            <w:r>
              <w:rPr>
                <w:spacing w:val="9"/>
              </w:rPr>
              <w:t>危险目标：装置区、气柜、储罐、环境保护目标</w:t>
            </w:r>
          </w:p>
        </w:tc>
      </w:tr>
      <w:tr>
        <w:trPr>
          <w:trHeight w:val="277" w:hRule="atLeast"/>
        </w:trPr>
        <w:tc>
          <w:tcPr>
            <w:tcW w:w="714" w:type="dxa"/>
            <w:vAlign w:val="top"/>
          </w:tcPr>
          <w:p>
            <w:pPr>
              <w:ind w:left="30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553" w:type="dxa"/>
            <w:vAlign w:val="top"/>
          </w:tcPr>
          <w:p>
            <w:pPr>
              <w:pStyle w:val="TableText"/>
              <w:ind w:left="336"/>
              <w:spacing w:before="33" w:line="216" w:lineRule="auto"/>
              <w:rPr/>
            </w:pPr>
            <w:r>
              <w:rPr>
                <w:spacing w:val="8"/>
              </w:rPr>
              <w:t>应急组织机构、人员</w:t>
            </w:r>
          </w:p>
        </w:tc>
        <w:tc>
          <w:tcPr>
            <w:tcW w:w="5252" w:type="dxa"/>
            <w:vAlign w:val="top"/>
          </w:tcPr>
          <w:p>
            <w:pPr>
              <w:pStyle w:val="TableText"/>
              <w:ind w:left="1162"/>
              <w:spacing w:before="33" w:line="216" w:lineRule="auto"/>
              <w:rPr/>
            </w:pPr>
            <w:r>
              <w:rPr>
                <w:spacing w:val="9"/>
              </w:rPr>
              <w:t>工厂、地区应急组织机构、人员</w:t>
            </w:r>
          </w:p>
        </w:tc>
      </w:tr>
      <w:tr>
        <w:trPr>
          <w:trHeight w:val="277" w:hRule="atLeast"/>
        </w:trPr>
        <w:tc>
          <w:tcPr>
            <w:tcW w:w="714" w:type="dxa"/>
            <w:vAlign w:val="top"/>
          </w:tcPr>
          <w:p>
            <w:pPr>
              <w:ind w:left="311"/>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2553" w:type="dxa"/>
            <w:vAlign w:val="top"/>
          </w:tcPr>
          <w:p>
            <w:pPr>
              <w:pStyle w:val="TableText"/>
              <w:ind w:left="443"/>
              <w:spacing w:before="30" w:line="218" w:lineRule="auto"/>
              <w:rPr/>
            </w:pPr>
            <w:r>
              <w:rPr>
                <w:spacing w:val="8"/>
              </w:rPr>
              <w:t>预案分级响应条件</w:t>
            </w:r>
          </w:p>
        </w:tc>
        <w:tc>
          <w:tcPr>
            <w:tcW w:w="5252" w:type="dxa"/>
            <w:vAlign w:val="top"/>
          </w:tcPr>
          <w:p>
            <w:pPr>
              <w:pStyle w:val="TableText"/>
              <w:ind w:left="1160"/>
              <w:spacing w:before="30" w:line="218" w:lineRule="auto"/>
              <w:rPr/>
            </w:pPr>
            <w:r>
              <w:rPr>
                <w:spacing w:val="9"/>
              </w:rPr>
              <w:t>规定预案的级别及分级响应程序</w:t>
            </w:r>
          </w:p>
        </w:tc>
      </w:tr>
      <w:tr>
        <w:trPr>
          <w:trHeight w:val="278" w:hRule="atLeast"/>
        </w:trPr>
        <w:tc>
          <w:tcPr>
            <w:tcW w:w="714" w:type="dxa"/>
            <w:vAlign w:val="top"/>
          </w:tcPr>
          <w:p>
            <w:pPr>
              <w:ind w:left="306"/>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2553" w:type="dxa"/>
            <w:vAlign w:val="top"/>
          </w:tcPr>
          <w:p>
            <w:pPr>
              <w:pStyle w:val="TableText"/>
              <w:ind w:left="650"/>
              <w:spacing w:before="32" w:line="217" w:lineRule="auto"/>
              <w:rPr/>
            </w:pPr>
            <w:r>
              <w:rPr>
                <w:spacing w:val="8"/>
              </w:rPr>
              <w:t>应急救援保障</w:t>
            </w:r>
          </w:p>
        </w:tc>
        <w:tc>
          <w:tcPr>
            <w:tcW w:w="5252" w:type="dxa"/>
            <w:vAlign w:val="top"/>
          </w:tcPr>
          <w:p>
            <w:pPr>
              <w:pStyle w:val="TableText"/>
              <w:ind w:left="1476"/>
              <w:spacing w:before="32" w:line="217" w:lineRule="auto"/>
              <w:rPr/>
            </w:pPr>
            <w:r>
              <w:rPr>
                <w:spacing w:val="9"/>
              </w:rPr>
              <w:t>应急设施、设备与器材等</w:t>
            </w:r>
          </w:p>
        </w:tc>
      </w:tr>
      <w:tr>
        <w:trPr>
          <w:trHeight w:val="548" w:hRule="atLeast"/>
        </w:trPr>
        <w:tc>
          <w:tcPr>
            <w:tcW w:w="714" w:type="dxa"/>
            <w:vAlign w:val="top"/>
          </w:tcPr>
          <w:p>
            <w:pPr>
              <w:ind w:left="312"/>
              <w:spacing w:before="205"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2553" w:type="dxa"/>
            <w:vAlign w:val="top"/>
          </w:tcPr>
          <w:p>
            <w:pPr>
              <w:pStyle w:val="TableText"/>
              <w:ind w:left="334"/>
              <w:spacing w:before="166" w:line="228" w:lineRule="auto"/>
              <w:rPr/>
            </w:pPr>
            <w:r>
              <w:rPr>
                <w:spacing w:val="9"/>
              </w:rPr>
              <w:t>报警、通讯联络方式</w:t>
            </w:r>
          </w:p>
        </w:tc>
        <w:tc>
          <w:tcPr>
            <w:tcW w:w="5252" w:type="dxa"/>
            <w:vAlign w:val="top"/>
          </w:tcPr>
          <w:p>
            <w:pPr>
              <w:pStyle w:val="TableText"/>
              <w:ind w:left="11"/>
              <w:spacing w:before="29" w:line="228" w:lineRule="auto"/>
              <w:rPr/>
            </w:pPr>
            <w:r>
              <w:rPr>
                <w:spacing w:val="9"/>
              </w:rPr>
              <w:t>规定应急状态下的报警通信方式、通知方式和交通保障、</w:t>
            </w:r>
          </w:p>
          <w:p>
            <w:pPr>
              <w:pStyle w:val="TableText"/>
              <w:ind w:left="2424"/>
              <w:spacing w:before="27" w:line="216" w:lineRule="auto"/>
              <w:rPr/>
            </w:pPr>
            <w:r>
              <w:rPr>
                <w:spacing w:val="2"/>
              </w:rPr>
              <w:t>管制</w:t>
            </w:r>
          </w:p>
        </w:tc>
      </w:tr>
      <w:tr>
        <w:trPr>
          <w:trHeight w:val="549" w:hRule="atLeast"/>
        </w:trPr>
        <w:tc>
          <w:tcPr>
            <w:tcW w:w="714" w:type="dxa"/>
            <w:vAlign w:val="top"/>
          </w:tcPr>
          <w:p>
            <w:pPr>
              <w:ind w:left="311"/>
              <w:spacing w:before="2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2553" w:type="dxa"/>
            <w:vAlign w:val="top"/>
          </w:tcPr>
          <w:p>
            <w:pPr>
              <w:pStyle w:val="TableText"/>
              <w:ind w:left="21"/>
              <w:spacing w:before="33" w:line="228" w:lineRule="auto"/>
              <w:rPr/>
            </w:pPr>
            <w:r>
              <w:rPr>
                <w:spacing w:val="9"/>
              </w:rPr>
              <w:t>应急环境监测、抢险、救援</w:t>
            </w:r>
          </w:p>
          <w:p>
            <w:pPr>
              <w:pStyle w:val="TableText"/>
              <w:ind w:left="755"/>
              <w:spacing w:before="24" w:line="216" w:lineRule="auto"/>
              <w:rPr/>
            </w:pPr>
            <w:r>
              <w:rPr>
                <w:spacing w:val="8"/>
              </w:rPr>
              <w:t>及控制措施</w:t>
            </w:r>
          </w:p>
        </w:tc>
        <w:tc>
          <w:tcPr>
            <w:tcW w:w="5252" w:type="dxa"/>
            <w:vAlign w:val="top"/>
          </w:tcPr>
          <w:p>
            <w:pPr>
              <w:pStyle w:val="TableText"/>
              <w:ind w:left="426" w:right="30" w:hanging="391"/>
              <w:spacing w:before="34" w:line="233" w:lineRule="auto"/>
              <w:rPr/>
            </w:pPr>
            <w:r>
              <w:rPr>
                <w:spacing w:val="7"/>
              </w:rPr>
              <w:t>由专业队伍负责对事故现场进行侦察监测，对事故性质、</w:t>
            </w:r>
            <w:r>
              <w:rPr>
                <w:spacing w:val="4"/>
              </w:rPr>
              <w:t xml:space="preserve"> </w:t>
            </w:r>
            <w:r>
              <w:rPr>
                <w:spacing w:val="9"/>
              </w:rPr>
              <w:t>参数与后果进行评估，为指挥部门提供决策依据</w:t>
            </w:r>
          </w:p>
        </w:tc>
      </w:tr>
      <w:tr>
        <w:trPr>
          <w:trHeight w:val="549" w:hRule="atLeast"/>
        </w:trPr>
        <w:tc>
          <w:tcPr>
            <w:tcW w:w="714" w:type="dxa"/>
            <w:vAlign w:val="top"/>
          </w:tcPr>
          <w:p>
            <w:pPr>
              <w:ind w:left="310"/>
              <w:spacing w:before="20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2553" w:type="dxa"/>
            <w:vAlign w:val="top"/>
          </w:tcPr>
          <w:p>
            <w:pPr>
              <w:pStyle w:val="TableText"/>
              <w:ind w:left="547" w:right="16" w:hanging="526"/>
              <w:spacing w:before="34" w:line="233" w:lineRule="auto"/>
              <w:rPr/>
            </w:pPr>
            <w:r>
              <w:rPr>
                <w:spacing w:val="9"/>
              </w:rPr>
              <w:t>应急检测、防护措施、清除</w:t>
            </w:r>
            <w:r>
              <w:rPr/>
              <w:t xml:space="preserve"> </w:t>
            </w:r>
            <w:r>
              <w:rPr>
                <w:spacing w:val="8"/>
              </w:rPr>
              <w:t>泄漏措施和器材</w:t>
            </w:r>
          </w:p>
        </w:tc>
        <w:tc>
          <w:tcPr>
            <w:tcW w:w="5252" w:type="dxa"/>
            <w:vAlign w:val="top"/>
          </w:tcPr>
          <w:p>
            <w:pPr>
              <w:pStyle w:val="TableText"/>
              <w:ind w:left="10"/>
              <w:spacing w:before="34" w:line="228" w:lineRule="auto"/>
              <w:rPr/>
            </w:pPr>
            <w:r>
              <w:rPr>
                <w:spacing w:val="9"/>
              </w:rPr>
              <w:t>事故现场、邻近区域、控制防火区域，控制和清除污染措</w:t>
            </w:r>
          </w:p>
          <w:p>
            <w:pPr>
              <w:pStyle w:val="TableText"/>
              <w:ind w:left="1999"/>
              <w:spacing w:before="25" w:line="215" w:lineRule="auto"/>
              <w:rPr/>
            </w:pPr>
            <w:r>
              <w:rPr>
                <w:spacing w:val="8"/>
              </w:rPr>
              <w:t>施及相应设备</w:t>
            </w:r>
          </w:p>
        </w:tc>
      </w:tr>
      <w:tr>
        <w:trPr>
          <w:trHeight w:val="821" w:hRule="atLeast"/>
        </w:trPr>
        <w:tc>
          <w:tcPr>
            <w:tcW w:w="714" w:type="dxa"/>
            <w:vAlign w:val="top"/>
          </w:tcPr>
          <w:p>
            <w:pPr>
              <w:spacing w:line="282" w:lineRule="auto"/>
              <w:rPr>
                <w:rFonts w:ascii="Arial"/>
                <w:sz w:val="21"/>
              </w:rPr>
            </w:pPr>
            <w:r/>
          </w:p>
          <w:p>
            <w:pPr>
              <w:ind w:left="315"/>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2553" w:type="dxa"/>
            <w:vAlign w:val="top"/>
          </w:tcPr>
          <w:p>
            <w:pPr>
              <w:pStyle w:val="TableText"/>
              <w:ind w:left="124" w:right="16" w:hanging="101"/>
              <w:spacing w:before="169" w:line="254" w:lineRule="auto"/>
              <w:rPr/>
            </w:pPr>
            <w:r>
              <w:rPr>
                <w:spacing w:val="8"/>
              </w:rPr>
              <w:t>人员紧急撤离、疏散，应急</w:t>
            </w:r>
            <w:r>
              <w:rPr>
                <w:spacing w:val="10"/>
              </w:rPr>
              <w:t xml:space="preserve"> </w:t>
            </w:r>
            <w:r>
              <w:rPr>
                <w:spacing w:val="9"/>
              </w:rPr>
              <w:t>计量控制、撤离组织计划</w:t>
            </w:r>
          </w:p>
        </w:tc>
        <w:tc>
          <w:tcPr>
            <w:tcW w:w="5252" w:type="dxa"/>
            <w:vAlign w:val="top"/>
          </w:tcPr>
          <w:p>
            <w:pPr>
              <w:pStyle w:val="TableText"/>
              <w:ind w:left="10"/>
              <w:spacing w:before="34" w:line="228" w:lineRule="auto"/>
              <w:rPr/>
            </w:pPr>
            <w:r>
              <w:rPr>
                <w:spacing w:val="9"/>
              </w:rPr>
              <w:t>事故现场、工厂邻近区、受事故影响的区域人员及公共对</w:t>
            </w:r>
          </w:p>
          <w:p>
            <w:pPr>
              <w:pStyle w:val="TableText"/>
              <w:ind w:left="12"/>
              <w:spacing w:before="24" w:line="227" w:lineRule="auto"/>
              <w:rPr/>
            </w:pPr>
            <w:r>
              <w:rPr>
                <w:spacing w:val="9"/>
              </w:rPr>
              <w:t>毒物应急剂量控制规定，撤离组织计划及救护，医疗救护</w:t>
            </w:r>
          </w:p>
          <w:p>
            <w:pPr>
              <w:pStyle w:val="TableText"/>
              <w:ind w:left="2109"/>
              <w:spacing w:before="25" w:line="216" w:lineRule="auto"/>
              <w:rPr/>
            </w:pPr>
            <w:r>
              <w:rPr>
                <w:spacing w:val="7"/>
              </w:rPr>
              <w:t>与公众健康</w:t>
            </w:r>
          </w:p>
        </w:tc>
      </w:tr>
      <w:tr>
        <w:trPr>
          <w:trHeight w:val="548" w:hRule="atLeast"/>
        </w:trPr>
        <w:tc>
          <w:tcPr>
            <w:tcW w:w="714" w:type="dxa"/>
            <w:vAlign w:val="top"/>
          </w:tcPr>
          <w:p>
            <w:pPr>
              <w:ind w:left="311"/>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2553" w:type="dxa"/>
            <w:vAlign w:val="top"/>
          </w:tcPr>
          <w:p>
            <w:pPr>
              <w:pStyle w:val="TableText"/>
              <w:ind w:left="21"/>
              <w:spacing w:before="34" w:line="228" w:lineRule="auto"/>
              <w:rPr/>
            </w:pPr>
            <w:r>
              <w:rPr>
                <w:spacing w:val="9"/>
              </w:rPr>
              <w:t>事故应急救援关闭程序与恢</w:t>
            </w:r>
          </w:p>
          <w:p>
            <w:pPr>
              <w:pStyle w:val="TableText"/>
              <w:ind w:left="970"/>
              <w:spacing w:before="27" w:line="212" w:lineRule="auto"/>
              <w:rPr/>
            </w:pPr>
            <w:r>
              <w:rPr>
                <w:spacing w:val="5"/>
              </w:rPr>
              <w:t>复措施</w:t>
            </w:r>
          </w:p>
        </w:tc>
        <w:tc>
          <w:tcPr>
            <w:tcW w:w="5252" w:type="dxa"/>
            <w:vAlign w:val="top"/>
          </w:tcPr>
          <w:p>
            <w:pPr>
              <w:pStyle w:val="TableText"/>
              <w:ind w:left="11"/>
              <w:spacing w:before="34" w:line="228" w:lineRule="auto"/>
              <w:rPr/>
            </w:pPr>
            <w:r>
              <w:rPr>
                <w:spacing w:val="9"/>
              </w:rPr>
              <w:t>规定应急状态终止程序；事故现场善后处理，恢复措施；</w:t>
            </w:r>
          </w:p>
          <w:p>
            <w:pPr>
              <w:pStyle w:val="TableText"/>
              <w:ind w:left="844"/>
              <w:spacing w:before="27" w:line="212" w:lineRule="auto"/>
              <w:rPr/>
            </w:pPr>
            <w:r>
              <w:rPr>
                <w:spacing w:val="9"/>
              </w:rPr>
              <w:t>邻近区域解除事故警戒及善后恢复措施</w:t>
            </w:r>
          </w:p>
        </w:tc>
      </w:tr>
      <w:tr>
        <w:trPr>
          <w:trHeight w:val="278" w:hRule="atLeast"/>
        </w:trPr>
        <w:tc>
          <w:tcPr>
            <w:tcW w:w="714" w:type="dxa"/>
            <w:vAlign w:val="top"/>
          </w:tcPr>
          <w:p>
            <w:pPr>
              <w:ind w:left="274"/>
              <w:spacing w:before="7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2553" w:type="dxa"/>
            <w:vAlign w:val="top"/>
          </w:tcPr>
          <w:p>
            <w:pPr>
              <w:pStyle w:val="TableText"/>
              <w:ind w:left="650"/>
              <w:spacing w:before="38" w:line="212" w:lineRule="auto"/>
              <w:rPr/>
            </w:pPr>
            <w:r>
              <w:rPr>
                <w:spacing w:val="8"/>
              </w:rPr>
              <w:t>应急培训计划</w:t>
            </w:r>
          </w:p>
        </w:tc>
        <w:tc>
          <w:tcPr>
            <w:tcW w:w="5252" w:type="dxa"/>
            <w:vAlign w:val="top"/>
          </w:tcPr>
          <w:p>
            <w:pPr>
              <w:pStyle w:val="TableText"/>
              <w:ind w:left="636"/>
              <w:spacing w:before="38" w:line="212" w:lineRule="auto"/>
              <w:rPr/>
            </w:pPr>
            <w:r>
              <w:rPr>
                <w:spacing w:val="9"/>
              </w:rPr>
              <w:t>应急计划制定后，平时安排人员培训与演练</w:t>
            </w:r>
          </w:p>
        </w:tc>
      </w:tr>
      <w:tr>
        <w:trPr>
          <w:trHeight w:val="282" w:hRule="atLeast"/>
        </w:trPr>
        <w:tc>
          <w:tcPr>
            <w:tcW w:w="714" w:type="dxa"/>
            <w:vAlign w:val="top"/>
          </w:tcPr>
          <w:p>
            <w:pPr>
              <w:ind w:left="274"/>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11</w:t>
            </w:r>
          </w:p>
        </w:tc>
        <w:tc>
          <w:tcPr>
            <w:tcW w:w="2553" w:type="dxa"/>
            <w:vAlign w:val="top"/>
          </w:tcPr>
          <w:p>
            <w:pPr>
              <w:pStyle w:val="TableText"/>
              <w:ind w:left="551"/>
              <w:spacing w:before="35" w:line="218" w:lineRule="auto"/>
              <w:rPr/>
            </w:pPr>
            <w:r>
              <w:rPr>
                <w:spacing w:val="7"/>
              </w:rPr>
              <w:t>公众教育和信息</w:t>
            </w:r>
          </w:p>
        </w:tc>
        <w:tc>
          <w:tcPr>
            <w:tcW w:w="5252" w:type="dxa"/>
            <w:vAlign w:val="top"/>
          </w:tcPr>
          <w:p>
            <w:pPr>
              <w:pStyle w:val="TableText"/>
              <w:ind w:left="215"/>
              <w:spacing w:before="35" w:line="218" w:lineRule="auto"/>
              <w:rPr/>
            </w:pPr>
            <w:r>
              <w:rPr>
                <w:spacing w:val="9"/>
              </w:rPr>
              <w:t>对工厂邻近地区开展公众教育、培训和发布有关信息</w:t>
            </w:r>
          </w:p>
        </w:tc>
      </w:tr>
    </w:tbl>
    <w:p>
      <w:pPr>
        <w:ind w:left="18"/>
        <w:spacing w:before="200" w:line="222" w:lineRule="auto"/>
        <w:outlineLvl w:val="1"/>
        <w:rPr>
          <w:rFonts w:ascii="SimHei" w:hAnsi="SimHei" w:eastAsia="SimHei" w:cs="SimHei"/>
          <w:sz w:val="30"/>
          <w:szCs w:val="30"/>
        </w:rPr>
      </w:pPr>
      <w:bookmarkStart w:name="bookmark148" w:id="179"/>
      <w:bookmarkEnd w:id="179"/>
      <w:r>
        <w:rPr>
          <w:rFonts w:ascii="Times New Roman" w:hAnsi="Times New Roman" w:eastAsia="Times New Roman" w:cs="Times New Roman"/>
          <w:sz w:val="30"/>
          <w:szCs w:val="30"/>
          <w:spacing w:val="-2"/>
        </w:rPr>
        <w:t>6.8 </w:t>
      </w:r>
      <w:r>
        <w:rPr>
          <w:rFonts w:ascii="SimHei" w:hAnsi="SimHei" w:eastAsia="SimHei" w:cs="SimHei"/>
          <w:sz w:val="30"/>
          <w:szCs w:val="30"/>
          <w:spacing w:val="-2"/>
        </w:rPr>
        <w:t>环境风险分析结论</w:t>
      </w:r>
    </w:p>
    <w:p>
      <w:pPr>
        <w:pStyle w:val="BodyText"/>
        <w:spacing w:line="288" w:lineRule="auto"/>
        <w:rPr/>
      </w:pPr>
      <w:r/>
    </w:p>
    <w:p>
      <w:pPr>
        <w:ind w:left="15" w:firstLine="482"/>
        <w:spacing w:before="79" w:line="359" w:lineRule="auto"/>
        <w:jc w:val="both"/>
        <w:rPr>
          <w:rFonts w:ascii="SimSun" w:hAnsi="SimSun" w:eastAsia="SimSun" w:cs="SimSun"/>
          <w:sz w:val="24"/>
          <w:szCs w:val="24"/>
        </w:rPr>
      </w:pPr>
      <w:r>
        <w:rPr>
          <w:rFonts w:ascii="SimSun" w:hAnsi="SimSun" w:eastAsia="SimSun" w:cs="SimSun"/>
          <w:sz w:val="24"/>
          <w:szCs w:val="24"/>
          <w:spacing w:val="-7"/>
        </w:rPr>
        <w:t>项目生产过程中涉及的危险物质主要为沼气（甲烷）、</w:t>
      </w:r>
      <w:r>
        <w:rPr>
          <w:rFonts w:ascii="Times New Roman" w:hAnsi="Times New Roman" w:eastAsia="Times New Roman" w:cs="Times New Roman"/>
          <w:sz w:val="24"/>
          <w:szCs w:val="24"/>
          <w:spacing w:val="-7"/>
        </w:rPr>
        <w:t>COD</w:t>
      </w:r>
      <w:r>
        <w:rPr>
          <w:rFonts w:ascii="Times New Roman" w:hAnsi="Times New Roman" w:eastAsia="Times New Roman" w:cs="Times New Roman"/>
          <w:sz w:val="15"/>
          <w:szCs w:val="15"/>
          <w:spacing w:val="-7"/>
          <w:position w:val="-1"/>
        </w:rPr>
        <w:t>Cr</w:t>
      </w:r>
      <w:r>
        <w:rPr>
          <w:rFonts w:ascii="Times New Roman" w:hAnsi="Times New Roman" w:eastAsia="Times New Roman" w:cs="Times New Roman"/>
          <w:sz w:val="15"/>
          <w:szCs w:val="15"/>
          <w:spacing w:val="10"/>
          <w:w w:val="102"/>
          <w:position w:val="-1"/>
        </w:rPr>
        <w:t xml:space="preserve"> </w:t>
      </w:r>
      <w:r>
        <w:rPr>
          <w:rFonts w:ascii="SimSun" w:hAnsi="SimSun" w:eastAsia="SimSun" w:cs="SimSun"/>
          <w:sz w:val="24"/>
          <w:szCs w:val="24"/>
          <w:spacing w:val="-7"/>
        </w:rPr>
        <w:t>浓度≥</w:t>
      </w:r>
      <w:r>
        <w:rPr>
          <w:rFonts w:ascii="Times New Roman" w:hAnsi="Times New Roman" w:eastAsia="Times New Roman" w:cs="Times New Roman"/>
          <w:sz w:val="24"/>
          <w:szCs w:val="24"/>
          <w:spacing w:val="-8"/>
        </w:rPr>
        <w:t>10000mg/L</w:t>
      </w:r>
      <w:r>
        <w:rPr>
          <w:rFonts w:ascii="Times New Roman" w:hAnsi="Times New Roman" w:eastAsia="Times New Roman" w:cs="Times New Roman"/>
          <w:sz w:val="24"/>
          <w:szCs w:val="24"/>
        </w:rPr>
        <w:t xml:space="preserve">  </w:t>
      </w:r>
      <w:r>
        <w:rPr>
          <w:rFonts w:ascii="SimSun" w:hAnsi="SimSun" w:eastAsia="SimSun" w:cs="SimSun"/>
          <w:sz w:val="24"/>
          <w:szCs w:val="24"/>
          <w:spacing w:val="-7"/>
        </w:rPr>
        <w:t>有机废液、废矿物油及火灾事故次生</w:t>
      </w:r>
      <w:r>
        <w:rPr>
          <w:rFonts w:ascii="Times New Roman" w:hAnsi="Times New Roman" w:eastAsia="Times New Roman" w:cs="Times New Roman"/>
          <w:sz w:val="24"/>
          <w:szCs w:val="24"/>
          <w:spacing w:val="-7"/>
        </w:rPr>
        <w:t>/</w:t>
      </w:r>
      <w:r>
        <w:rPr>
          <w:rFonts w:ascii="SimSun" w:hAnsi="SimSun" w:eastAsia="SimSun" w:cs="SimSun"/>
          <w:sz w:val="24"/>
          <w:szCs w:val="24"/>
          <w:spacing w:val="-7"/>
        </w:rPr>
        <w:t>伴生环境风险物</w:t>
      </w:r>
      <w:r>
        <w:rPr>
          <w:rFonts w:ascii="SimSun" w:hAnsi="SimSun" w:eastAsia="SimSun" w:cs="SimSun"/>
          <w:sz w:val="24"/>
          <w:szCs w:val="24"/>
          <w:spacing w:val="-8"/>
        </w:rPr>
        <w:t>质</w:t>
      </w:r>
      <w:r>
        <w:rPr>
          <w:rFonts w:ascii="Times New Roman" w:hAnsi="Times New Roman" w:eastAsia="Times New Roman" w:cs="Times New Roman"/>
          <w:sz w:val="24"/>
          <w:szCs w:val="24"/>
          <w:spacing w:val="-8"/>
        </w:rPr>
        <w:t>CO </w:t>
      </w:r>
      <w:r>
        <w:rPr>
          <w:rFonts w:ascii="SimSun" w:hAnsi="SimSun" w:eastAsia="SimSun" w:cs="SimSun"/>
          <w:sz w:val="24"/>
          <w:szCs w:val="24"/>
          <w:spacing w:val="-8"/>
        </w:rPr>
        <w:t>等，其中沼气（甲烷）、</w:t>
      </w:r>
      <w:r>
        <w:rPr>
          <w:rFonts w:ascii="SimSun" w:hAnsi="SimSun" w:eastAsia="SimSun" w:cs="SimSun"/>
          <w:sz w:val="24"/>
          <w:szCs w:val="24"/>
        </w:rPr>
        <w:t xml:space="preserve"> </w:t>
      </w:r>
      <w:r>
        <w:rPr>
          <w:rFonts w:ascii="SimSun" w:hAnsi="SimSun" w:eastAsia="SimSun" w:cs="SimSun"/>
          <w:sz w:val="24"/>
          <w:szCs w:val="24"/>
          <w:spacing w:val="4"/>
        </w:rPr>
        <w:t>火灾事故次生</w:t>
      </w:r>
      <w:r>
        <w:rPr>
          <w:rFonts w:ascii="Times New Roman" w:hAnsi="Times New Roman" w:eastAsia="Times New Roman" w:cs="Times New Roman"/>
          <w:sz w:val="24"/>
          <w:szCs w:val="24"/>
          <w:spacing w:val="4"/>
        </w:rPr>
        <w:t>/</w:t>
      </w:r>
      <w:r>
        <w:rPr>
          <w:rFonts w:ascii="SimSun" w:hAnsi="SimSun" w:eastAsia="SimSun" w:cs="SimSun"/>
          <w:sz w:val="24"/>
          <w:szCs w:val="24"/>
          <w:spacing w:val="4"/>
        </w:rPr>
        <w:t>伴生环境风险物质</w:t>
      </w:r>
      <w:r>
        <w:rPr>
          <w:rFonts w:ascii="Times New Roman" w:hAnsi="Times New Roman" w:eastAsia="Times New Roman" w:cs="Times New Roman"/>
          <w:sz w:val="24"/>
          <w:szCs w:val="24"/>
        </w:rPr>
        <w:t>CO</w:t>
      </w:r>
      <w:r>
        <w:rPr>
          <w:rFonts w:ascii="Times New Roman" w:hAnsi="Times New Roman" w:eastAsia="Times New Roman" w:cs="Times New Roman"/>
          <w:sz w:val="24"/>
          <w:szCs w:val="24"/>
          <w:spacing w:val="4"/>
        </w:rPr>
        <w:t xml:space="preserve"> </w:t>
      </w:r>
      <w:r>
        <w:rPr>
          <w:rFonts w:ascii="SimSun" w:hAnsi="SimSun" w:eastAsia="SimSun" w:cs="SimSun"/>
          <w:sz w:val="24"/>
          <w:szCs w:val="24"/>
          <w:spacing w:val="4"/>
        </w:rPr>
        <w:t>发生泄漏后通过大气环境扩</w:t>
      </w:r>
      <w:r>
        <w:rPr>
          <w:rFonts w:ascii="SimSun" w:hAnsi="SimSun" w:eastAsia="SimSun" w:cs="SimSun"/>
          <w:sz w:val="24"/>
          <w:szCs w:val="24"/>
          <w:spacing w:val="3"/>
        </w:rPr>
        <w:t>散；</w:t>
      </w:r>
      <w:r>
        <w:rPr>
          <w:rFonts w:ascii="Times New Roman" w:hAnsi="Times New Roman" w:eastAsia="Times New Roman" w:cs="Times New Roman"/>
          <w:sz w:val="24"/>
          <w:szCs w:val="24"/>
        </w:rPr>
        <w:t>COD</w:t>
      </w:r>
      <w:r>
        <w:rPr>
          <w:rFonts w:ascii="Times New Roman" w:hAnsi="Times New Roman" w:eastAsia="Times New Roman" w:cs="Times New Roman"/>
          <w:sz w:val="15"/>
          <w:szCs w:val="15"/>
          <w:position w:val="-1"/>
        </w:rPr>
        <w:t>Cr</w:t>
      </w:r>
      <w:r>
        <w:rPr>
          <w:rFonts w:ascii="Times New Roman" w:hAnsi="Times New Roman" w:eastAsia="Times New Roman" w:cs="Times New Roman"/>
          <w:sz w:val="15"/>
          <w:szCs w:val="15"/>
          <w:spacing w:val="13"/>
          <w:w w:val="101"/>
          <w:position w:val="-1"/>
        </w:rPr>
        <w:t xml:space="preserve"> </w:t>
      </w:r>
      <w:r>
        <w:rPr>
          <w:rFonts w:ascii="SimSun" w:hAnsi="SimSun" w:eastAsia="SimSun" w:cs="SimSun"/>
          <w:sz w:val="24"/>
          <w:szCs w:val="24"/>
          <w:spacing w:val="3"/>
        </w:rPr>
        <w:t>浓度</w:t>
      </w:r>
      <w:r>
        <w:rPr>
          <w:rFonts w:ascii="SimSun" w:hAnsi="SimSun" w:eastAsia="SimSun" w:cs="SimSun"/>
          <w:sz w:val="24"/>
          <w:szCs w:val="24"/>
        </w:rPr>
        <w:t xml:space="preserve"> </w:t>
      </w:r>
      <w:r>
        <w:rPr>
          <w:rFonts w:ascii="SimSun" w:hAnsi="SimSun" w:eastAsia="SimSun" w:cs="SimSun"/>
          <w:sz w:val="24"/>
          <w:szCs w:val="24"/>
        </w:rPr>
        <w:t>≥</w:t>
      </w:r>
      <w:r>
        <w:rPr>
          <w:rFonts w:ascii="Times New Roman" w:hAnsi="Times New Roman" w:eastAsia="Times New Roman" w:cs="Times New Roman"/>
          <w:sz w:val="24"/>
          <w:szCs w:val="24"/>
        </w:rPr>
        <w:t>10000mg/L </w:t>
      </w:r>
      <w:r>
        <w:rPr>
          <w:rFonts w:ascii="SimSun" w:hAnsi="SimSun" w:eastAsia="SimSun" w:cs="SimSun"/>
          <w:sz w:val="24"/>
          <w:szCs w:val="24"/>
        </w:rPr>
        <w:t>有机废液、工废矿物油等主要</w:t>
      </w:r>
      <w:r>
        <w:rPr>
          <w:rFonts w:ascii="SimSun" w:hAnsi="SimSun" w:eastAsia="SimSun" w:cs="SimSun"/>
          <w:sz w:val="24"/>
          <w:szCs w:val="24"/>
          <w:spacing w:val="-1"/>
        </w:rPr>
        <w:t>通过水环境及土壤环境扩散。</w:t>
      </w:r>
    </w:p>
    <w:p>
      <w:pPr>
        <w:ind w:left="495"/>
        <w:spacing w:before="2" w:line="218" w:lineRule="auto"/>
        <w:rPr>
          <w:rFonts w:ascii="SimSun" w:hAnsi="SimSun" w:eastAsia="SimSun" w:cs="SimSun"/>
          <w:sz w:val="24"/>
          <w:szCs w:val="24"/>
        </w:rPr>
      </w:pPr>
      <w:r>
        <w:rPr>
          <w:rFonts w:ascii="SimSun" w:hAnsi="SimSun" w:eastAsia="SimSun" w:cs="SimSun"/>
          <w:sz w:val="24"/>
          <w:szCs w:val="24"/>
          <w:spacing w:val="3"/>
        </w:rPr>
        <w:t>本次评价大气环境风险为沼气气柜发生泄漏，环境风险物质沼气（甲烷）发</w:t>
      </w:r>
    </w:p>
    <w:p>
      <w:pPr>
        <w:spacing w:line="218" w:lineRule="auto"/>
        <w:sectPr>
          <w:headerReference w:type="default" r:id="rId320"/>
          <w:footerReference w:type="default" r:id="rId350"/>
          <w:pgSz w:w="11907" w:h="16840"/>
          <w:pgMar w:top="1567" w:right="1621" w:bottom="1921" w:left="1696" w:header="1221" w:footer="1247" w:gutter="0"/>
        </w:sectPr>
        <w:rPr>
          <w:rFonts w:ascii="SimSun" w:hAnsi="SimSun" w:eastAsia="SimSun" w:cs="SimSun"/>
          <w:sz w:val="24"/>
          <w:szCs w:val="24"/>
        </w:rPr>
      </w:pPr>
    </w:p>
    <w:p>
      <w:pPr>
        <w:ind w:left="29" w:right="80" w:firstLine="3"/>
        <w:spacing w:before="189" w:line="358" w:lineRule="auto"/>
        <w:jc w:val="both"/>
        <w:rPr>
          <w:rFonts w:ascii="SimSun" w:hAnsi="SimSun" w:eastAsia="SimSun" w:cs="SimSun"/>
          <w:sz w:val="24"/>
          <w:szCs w:val="24"/>
        </w:rPr>
      </w:pPr>
      <w:r>
        <w:pict>
          <v:shape id="_x0000_s1182" style="position:absolute;margin-left:85.05pt;margin-top:79.11pt;mso-position-vertical-relative:page;mso-position-horizontal-relative:page;width:425.25pt;height:0.75pt;z-index:252276736;" o:allowincell="f" fillcolor="#000000" filled="true" stroked="false" coordsize="8505,15" coordorigin="0,0" path="m,l8505,0l8505,14l0,14l0,0xe"/>
        </w:pict>
      </w:r>
      <w:r>
        <w:rPr>
          <w:rFonts w:ascii="SimSun" w:hAnsi="SimSun" w:eastAsia="SimSun" w:cs="SimSun"/>
          <w:sz w:val="24"/>
          <w:szCs w:val="24"/>
          <w:spacing w:val="-2"/>
        </w:rPr>
        <w:t>生火灾事故，次生（不完全燃烧）环境风险物质</w:t>
      </w:r>
      <w:r>
        <w:rPr>
          <w:rFonts w:ascii="Times New Roman" w:hAnsi="Times New Roman" w:eastAsia="Times New Roman" w:cs="Times New Roman"/>
          <w:sz w:val="24"/>
          <w:szCs w:val="24"/>
          <w:spacing w:val="-2"/>
        </w:rPr>
        <w:t>CO </w:t>
      </w:r>
      <w:r>
        <w:rPr>
          <w:rFonts w:ascii="SimSun" w:hAnsi="SimSun" w:eastAsia="SimSun" w:cs="SimSun"/>
          <w:sz w:val="24"/>
          <w:szCs w:val="24"/>
          <w:spacing w:val="-2"/>
        </w:rPr>
        <w:t>在大气中扩散情影响。地下水</w:t>
      </w:r>
      <w:r>
        <w:rPr>
          <w:rFonts w:ascii="SimSun" w:hAnsi="SimSun" w:eastAsia="SimSun" w:cs="SimSun"/>
          <w:sz w:val="24"/>
          <w:szCs w:val="24"/>
          <w:spacing w:val="11"/>
        </w:rPr>
        <w:t xml:space="preserve"> </w:t>
      </w:r>
      <w:r>
        <w:rPr>
          <w:rFonts w:ascii="SimSun" w:hAnsi="SimSun" w:eastAsia="SimSun" w:cs="SimSun"/>
          <w:sz w:val="24"/>
          <w:szCs w:val="24"/>
          <w:spacing w:val="-1"/>
        </w:rPr>
        <w:t>环境风险事故情形设定为</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1"/>
        </w:rPr>
        <w:t>TS </w:t>
      </w:r>
      <w:r>
        <w:rPr>
          <w:rFonts w:ascii="SimSun" w:hAnsi="SimSun" w:eastAsia="SimSun" w:cs="SimSun"/>
          <w:sz w:val="24"/>
          <w:szCs w:val="24"/>
          <w:spacing w:val="-1"/>
        </w:rPr>
        <w:t>调节池底部防渗层破损发生泄漏，废水中</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BOD</w:t>
      </w:r>
      <w:r>
        <w:rPr>
          <w:rFonts w:ascii="Times New Roman" w:hAnsi="Times New Roman" w:eastAsia="Times New Roman" w:cs="Times New Roman"/>
          <w:sz w:val="15"/>
          <w:szCs w:val="15"/>
          <w:spacing w:val="-1"/>
          <w:position w:val="-1"/>
        </w:rPr>
        <w:t>5</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1"/>
        </w:rPr>
        <w:t>、氨</w:t>
      </w:r>
      <w:r>
        <w:rPr>
          <w:rFonts w:ascii="SimSun" w:hAnsi="SimSun" w:eastAsia="SimSun" w:cs="SimSun"/>
          <w:sz w:val="24"/>
          <w:szCs w:val="24"/>
        </w:rPr>
        <w:t xml:space="preserve"> </w:t>
      </w:r>
      <w:r>
        <w:rPr>
          <w:rFonts w:ascii="SimSun" w:hAnsi="SimSun" w:eastAsia="SimSun" w:cs="SimSun"/>
          <w:sz w:val="24"/>
          <w:szCs w:val="24"/>
          <w:spacing w:val="-1"/>
        </w:rPr>
        <w:t>氮下渗对下游厂区边界和环境敏感日标处地下水环境的影响。</w:t>
      </w:r>
    </w:p>
    <w:p>
      <w:pPr>
        <w:ind w:left="32" w:firstLine="479"/>
        <w:spacing w:before="2" w:line="359" w:lineRule="auto"/>
        <w:jc w:val="both"/>
        <w:rPr>
          <w:rFonts w:ascii="SimSun" w:hAnsi="SimSun" w:eastAsia="SimSun" w:cs="SimSun"/>
          <w:sz w:val="24"/>
          <w:szCs w:val="24"/>
        </w:rPr>
      </w:pPr>
      <w:r>
        <w:rPr>
          <w:rFonts w:ascii="SimSun" w:hAnsi="SimSun" w:eastAsia="SimSun" w:cs="SimSun"/>
          <w:sz w:val="24"/>
          <w:szCs w:val="24"/>
        </w:rPr>
        <w:t>根据地下水环境风险预测可知，厌氧发酵</w:t>
      </w:r>
      <w:r>
        <w:rPr>
          <w:rFonts w:ascii="SimSun" w:hAnsi="SimSun" w:eastAsia="SimSun" w:cs="SimSun"/>
          <w:sz w:val="24"/>
          <w:szCs w:val="24"/>
          <w:spacing w:val="-48"/>
        </w:rPr>
        <w:t xml:space="preserve"> </w:t>
      </w:r>
      <w:r>
        <w:rPr>
          <w:rFonts w:ascii="Times New Roman" w:hAnsi="Times New Roman" w:eastAsia="Times New Roman" w:cs="Times New Roman"/>
          <w:sz w:val="24"/>
          <w:szCs w:val="24"/>
        </w:rPr>
        <w:t>TS </w:t>
      </w:r>
      <w:r>
        <w:rPr>
          <w:rFonts w:ascii="SimSun" w:hAnsi="SimSun" w:eastAsia="SimSun" w:cs="SimSun"/>
          <w:sz w:val="24"/>
          <w:szCs w:val="24"/>
        </w:rPr>
        <w:t>调节池发生非正常状况泄漏后， </w:t>
      </w:r>
      <w:r>
        <w:rPr>
          <w:rFonts w:ascii="SimSun" w:hAnsi="SimSun" w:eastAsia="SimSun" w:cs="SimSun"/>
          <w:sz w:val="24"/>
          <w:szCs w:val="24"/>
        </w:rPr>
        <w:t>若能及时采取应急处置措施，在较短的时间内切断污</w:t>
      </w:r>
      <w:r>
        <w:rPr>
          <w:rFonts w:ascii="SimSun" w:hAnsi="SimSun" w:eastAsia="SimSun" w:cs="SimSun"/>
          <w:sz w:val="24"/>
          <w:szCs w:val="24"/>
          <w:spacing w:val="-1"/>
        </w:rPr>
        <w:t>染物下渗通道，下渗引起的</w:t>
      </w:r>
      <w:r>
        <w:rPr>
          <w:rFonts w:ascii="SimSun" w:hAnsi="SimSun" w:eastAsia="SimSun" w:cs="SimSun"/>
          <w:sz w:val="24"/>
          <w:szCs w:val="24"/>
        </w:rPr>
        <w:t xml:space="preserve">  </w:t>
      </w:r>
      <w:r>
        <w:rPr>
          <w:rFonts w:ascii="SimSun" w:hAnsi="SimSun" w:eastAsia="SimSun" w:cs="SimSun"/>
          <w:sz w:val="24"/>
          <w:szCs w:val="24"/>
          <w:spacing w:val="-2"/>
        </w:rPr>
        <w:t>污染晕不会对含水层造成持续的污染，不会对周边的分散式饮用水源地造成污染。</w:t>
      </w:r>
    </w:p>
    <w:p>
      <w:pPr>
        <w:ind w:left="31" w:right="78" w:firstLine="479"/>
        <w:spacing w:before="1" w:line="359" w:lineRule="auto"/>
        <w:jc w:val="both"/>
        <w:rPr>
          <w:rFonts w:ascii="SimSun" w:hAnsi="SimSun" w:eastAsia="SimSun" w:cs="SimSun"/>
          <w:sz w:val="24"/>
          <w:szCs w:val="24"/>
        </w:rPr>
      </w:pPr>
      <w:r>
        <w:rPr>
          <w:rFonts w:ascii="SimSun" w:hAnsi="SimSun" w:eastAsia="SimSun" w:cs="SimSun"/>
          <w:sz w:val="24"/>
          <w:szCs w:val="24"/>
          <w:spacing w:val="3"/>
        </w:rPr>
        <w:t>在项目运营过程中，建设单位必须严格执行国家和地方的相应法律</w:t>
      </w:r>
      <w:r>
        <w:rPr>
          <w:rFonts w:ascii="SimSun" w:hAnsi="SimSun" w:eastAsia="SimSun" w:cs="SimSun"/>
          <w:sz w:val="24"/>
          <w:szCs w:val="24"/>
          <w:spacing w:val="2"/>
        </w:rPr>
        <w:t>法规和采</w:t>
      </w:r>
      <w:r>
        <w:rPr>
          <w:rFonts w:ascii="SimSun" w:hAnsi="SimSun" w:eastAsia="SimSun" w:cs="SimSun"/>
          <w:sz w:val="24"/>
          <w:szCs w:val="24"/>
        </w:rPr>
        <w:t xml:space="preserve"> </w:t>
      </w:r>
      <w:r>
        <w:rPr>
          <w:rFonts w:ascii="SimSun" w:hAnsi="SimSun" w:eastAsia="SimSun" w:cs="SimSun"/>
          <w:sz w:val="24"/>
          <w:szCs w:val="24"/>
          <w:spacing w:val="3"/>
        </w:rPr>
        <w:t>取的风险防范措施，减小事故发生的概率；一旦发生事</w:t>
      </w:r>
      <w:r>
        <w:rPr>
          <w:rFonts w:ascii="SimSun" w:hAnsi="SimSun" w:eastAsia="SimSun" w:cs="SimSun"/>
          <w:sz w:val="24"/>
          <w:szCs w:val="24"/>
          <w:spacing w:val="2"/>
        </w:rPr>
        <w:t>故，必须严格按照风险防</w:t>
      </w:r>
      <w:r>
        <w:rPr>
          <w:rFonts w:ascii="SimSun" w:hAnsi="SimSun" w:eastAsia="SimSun" w:cs="SimSun"/>
          <w:sz w:val="24"/>
          <w:szCs w:val="24"/>
        </w:rPr>
        <w:t xml:space="preserve"> </w:t>
      </w:r>
      <w:r>
        <w:rPr>
          <w:rFonts w:ascii="SimSun" w:hAnsi="SimSun" w:eastAsia="SimSun" w:cs="SimSun"/>
          <w:sz w:val="24"/>
          <w:szCs w:val="24"/>
          <w:spacing w:val="3"/>
        </w:rPr>
        <w:t>范措施和应急预案的要求及时作出应对措施，将事</w:t>
      </w:r>
      <w:r>
        <w:rPr>
          <w:rFonts w:ascii="SimSun" w:hAnsi="SimSun" w:eastAsia="SimSun" w:cs="SimSun"/>
          <w:sz w:val="24"/>
          <w:szCs w:val="24"/>
          <w:spacing w:val="2"/>
        </w:rPr>
        <w:t>故对周围环境和人群的影响降</w:t>
      </w:r>
      <w:r>
        <w:rPr>
          <w:rFonts w:ascii="SimSun" w:hAnsi="SimSun" w:eastAsia="SimSun" w:cs="SimSun"/>
          <w:sz w:val="24"/>
          <w:szCs w:val="24"/>
        </w:rPr>
        <w:t xml:space="preserve"> </w:t>
      </w:r>
      <w:r>
        <w:rPr>
          <w:rFonts w:ascii="SimSun" w:hAnsi="SimSun" w:eastAsia="SimSun" w:cs="SimSun"/>
          <w:sz w:val="24"/>
          <w:szCs w:val="24"/>
          <w:spacing w:val="3"/>
        </w:rPr>
        <w:t>到最低。建设单位应充分利用区域安全、环境保护等资</w:t>
      </w:r>
      <w:r>
        <w:rPr>
          <w:rFonts w:ascii="SimSun" w:hAnsi="SimSun" w:eastAsia="SimSun" w:cs="SimSun"/>
          <w:sz w:val="24"/>
          <w:szCs w:val="24"/>
          <w:spacing w:val="2"/>
        </w:rPr>
        <w:t>源，根据项目建设和运行</w:t>
      </w:r>
      <w:r>
        <w:rPr>
          <w:rFonts w:ascii="SimSun" w:hAnsi="SimSun" w:eastAsia="SimSun" w:cs="SimSun"/>
          <w:sz w:val="24"/>
          <w:szCs w:val="24"/>
        </w:rPr>
        <w:t xml:space="preserve"> </w:t>
      </w:r>
      <w:r>
        <w:rPr>
          <w:rFonts w:ascii="SimSun" w:hAnsi="SimSun" w:eastAsia="SimSun" w:cs="SimSun"/>
          <w:sz w:val="24"/>
          <w:szCs w:val="24"/>
          <w:spacing w:val="3"/>
        </w:rPr>
        <w:t>过程中的变化，不断完善风险防范措施、应急预案和应</w:t>
      </w:r>
      <w:r>
        <w:rPr>
          <w:rFonts w:ascii="SimSun" w:hAnsi="SimSun" w:eastAsia="SimSun" w:cs="SimSun"/>
          <w:sz w:val="24"/>
          <w:szCs w:val="24"/>
          <w:spacing w:val="2"/>
        </w:rPr>
        <w:t>急救援体系，确保其具有</w:t>
      </w:r>
      <w:r>
        <w:rPr>
          <w:rFonts w:ascii="SimSun" w:hAnsi="SimSun" w:eastAsia="SimSun" w:cs="SimSun"/>
          <w:sz w:val="24"/>
          <w:szCs w:val="24"/>
        </w:rPr>
        <w:t xml:space="preserve"> </w:t>
      </w:r>
      <w:r>
        <w:rPr>
          <w:rFonts w:ascii="SimSun" w:hAnsi="SimSun" w:eastAsia="SimSun" w:cs="SimSun"/>
          <w:sz w:val="24"/>
          <w:szCs w:val="24"/>
          <w:spacing w:val="-1"/>
        </w:rPr>
        <w:t>针对性和可操作性，以应对可能出现的环境风险。</w:t>
      </w:r>
    </w:p>
    <w:p>
      <w:pPr>
        <w:ind w:left="30" w:right="78" w:firstLine="481"/>
        <w:spacing w:before="1" w:line="359" w:lineRule="auto"/>
        <w:jc w:val="both"/>
        <w:rPr>
          <w:rFonts w:ascii="SimSun" w:hAnsi="SimSun" w:eastAsia="SimSun" w:cs="SimSun"/>
          <w:sz w:val="24"/>
          <w:szCs w:val="24"/>
        </w:rPr>
      </w:pPr>
      <w:r>
        <w:rPr>
          <w:rFonts w:ascii="SimSun" w:hAnsi="SimSun" w:eastAsia="SimSun" w:cs="SimSun"/>
          <w:sz w:val="24"/>
          <w:szCs w:val="24"/>
          <w:spacing w:val="3"/>
        </w:rPr>
        <w:t>本项目在实施以上的风险减缓措施和应急预案后，企业的应急处</w:t>
      </w:r>
      <w:r>
        <w:rPr>
          <w:rFonts w:ascii="SimSun" w:hAnsi="SimSun" w:eastAsia="SimSun" w:cs="SimSun"/>
          <w:sz w:val="24"/>
          <w:szCs w:val="24"/>
          <w:spacing w:val="2"/>
        </w:rPr>
        <w:t>理事故能力</w:t>
      </w:r>
      <w:r>
        <w:rPr>
          <w:rFonts w:ascii="SimSun" w:hAnsi="SimSun" w:eastAsia="SimSun" w:cs="SimSun"/>
          <w:sz w:val="24"/>
          <w:szCs w:val="24"/>
        </w:rPr>
        <w:t xml:space="preserve"> </w:t>
      </w:r>
      <w:r>
        <w:rPr>
          <w:rFonts w:ascii="SimSun" w:hAnsi="SimSun" w:eastAsia="SimSun" w:cs="SimSun"/>
          <w:sz w:val="24"/>
          <w:szCs w:val="24"/>
          <w:spacing w:val="3"/>
        </w:rPr>
        <w:t>对突发性事故是可以控制的，在严格执行本报告提出的防</w:t>
      </w:r>
      <w:r>
        <w:rPr>
          <w:rFonts w:ascii="SimSun" w:hAnsi="SimSun" w:eastAsia="SimSun" w:cs="SimSun"/>
          <w:sz w:val="24"/>
          <w:szCs w:val="24"/>
          <w:spacing w:val="2"/>
        </w:rPr>
        <w:t>治措施的前提下，本项</w:t>
      </w:r>
      <w:r>
        <w:rPr>
          <w:rFonts w:ascii="SimSun" w:hAnsi="SimSun" w:eastAsia="SimSun" w:cs="SimSun"/>
          <w:sz w:val="24"/>
          <w:szCs w:val="24"/>
        </w:rPr>
        <w:t xml:space="preserve"> </w:t>
      </w:r>
      <w:r>
        <w:rPr>
          <w:rFonts w:ascii="SimSun" w:hAnsi="SimSun" w:eastAsia="SimSun" w:cs="SimSun"/>
          <w:sz w:val="24"/>
          <w:szCs w:val="24"/>
        </w:rPr>
        <w:t>目的事故所造成的风险是可接受的，本项目的环</w:t>
      </w:r>
      <w:r>
        <w:rPr>
          <w:rFonts w:ascii="SimSun" w:hAnsi="SimSun" w:eastAsia="SimSun" w:cs="SimSun"/>
          <w:sz w:val="24"/>
          <w:szCs w:val="24"/>
          <w:spacing w:val="-1"/>
        </w:rPr>
        <w:t>境风险是可以接受的。</w:t>
      </w:r>
    </w:p>
    <w:p>
      <w:pPr>
        <w:ind w:left="512"/>
        <w:spacing w:line="218" w:lineRule="auto"/>
        <w:rPr>
          <w:rFonts w:ascii="SimSun" w:hAnsi="SimSun" w:eastAsia="SimSun" w:cs="SimSun"/>
          <w:sz w:val="24"/>
          <w:szCs w:val="24"/>
        </w:rPr>
      </w:pPr>
      <w:r>
        <w:rPr>
          <w:rFonts w:ascii="SimSun" w:hAnsi="SimSun" w:eastAsia="SimSun" w:cs="SimSun"/>
          <w:sz w:val="24"/>
          <w:szCs w:val="24"/>
          <w:spacing w:val="-1"/>
        </w:rPr>
        <w:t>本项目环境风险影响自查表详见表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6.8-</w:t>
      </w:r>
      <w:r>
        <w:rPr>
          <w:rFonts w:ascii="Times New Roman" w:hAnsi="Times New Roman" w:eastAsia="Times New Roman" w:cs="Times New Roman"/>
          <w:sz w:val="24"/>
          <w:szCs w:val="24"/>
          <w:spacing w:val="-2"/>
        </w:rPr>
        <w:t>1</w:t>
      </w:r>
      <w:r>
        <w:rPr>
          <w:rFonts w:ascii="SimSun" w:hAnsi="SimSun" w:eastAsia="SimSun" w:cs="SimSun"/>
          <w:sz w:val="24"/>
          <w:szCs w:val="24"/>
          <w:spacing w:val="-2"/>
        </w:rPr>
        <w:t>。</w:t>
      </w:r>
    </w:p>
    <w:p>
      <w:pPr>
        <w:ind w:left="2557"/>
        <w:spacing w:before="181"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6.8-1        </w:t>
      </w:r>
      <w:r>
        <w:rPr>
          <w:rFonts w:ascii="SimSun" w:hAnsi="SimSun" w:eastAsia="SimSun" w:cs="SimSun"/>
          <w:sz w:val="24"/>
          <w:szCs w:val="24"/>
          <w:b/>
          <w:bCs/>
          <w:spacing w:val="-2"/>
        </w:rPr>
        <w:t>环境风险影响自查表</w:t>
      </w:r>
    </w:p>
    <w:tbl>
      <w:tblPr>
        <w:tblStyle w:val="TableNormal"/>
        <w:tblW w:w="854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91"/>
        <w:gridCol w:w="1082"/>
        <w:gridCol w:w="1041"/>
        <w:gridCol w:w="504"/>
        <w:gridCol w:w="516"/>
        <w:gridCol w:w="837"/>
        <w:gridCol w:w="104"/>
        <w:gridCol w:w="374"/>
        <w:gridCol w:w="227"/>
        <w:gridCol w:w="495"/>
        <w:gridCol w:w="154"/>
        <w:gridCol w:w="747"/>
        <w:gridCol w:w="301"/>
        <w:gridCol w:w="296"/>
        <w:gridCol w:w="218"/>
        <w:gridCol w:w="1256"/>
      </w:tblGrid>
      <w:tr>
        <w:trPr>
          <w:trHeight w:val="282" w:hRule="atLeast"/>
        </w:trPr>
        <w:tc>
          <w:tcPr>
            <w:tcW w:w="1473" w:type="dxa"/>
            <w:vAlign w:val="top"/>
            <w:gridSpan w:val="2"/>
          </w:tcPr>
          <w:p>
            <w:pPr>
              <w:pStyle w:val="TableText"/>
              <w:ind w:left="323"/>
              <w:spacing w:before="36" w:line="217" w:lineRule="auto"/>
              <w:rPr/>
            </w:pPr>
            <w:r>
              <w:rPr>
                <w:spacing w:val="6"/>
              </w:rPr>
              <w:t>工作内容</w:t>
            </w:r>
          </w:p>
        </w:tc>
        <w:tc>
          <w:tcPr>
            <w:tcW w:w="7070" w:type="dxa"/>
            <w:vAlign w:val="top"/>
            <w:gridSpan w:val="14"/>
          </w:tcPr>
          <w:p>
            <w:pPr>
              <w:pStyle w:val="TableText"/>
              <w:ind w:left="3121"/>
              <w:spacing w:before="36" w:line="217" w:lineRule="auto"/>
              <w:rPr/>
            </w:pPr>
            <w:r>
              <w:rPr>
                <w:spacing w:val="6"/>
              </w:rPr>
              <w:t>完成情况</w:t>
            </w:r>
          </w:p>
        </w:tc>
      </w:tr>
      <w:tr>
        <w:trPr>
          <w:trHeight w:val="277" w:hRule="atLeast"/>
        </w:trPr>
        <w:tc>
          <w:tcPr>
            <w:tcW w:w="391" w:type="dxa"/>
            <w:vAlign w:val="top"/>
            <w:vMerge w:val="restart"/>
            <w:textDirection w:val="tbRlV"/>
            <w:tcBorders>
              <w:bottom w:val="nil"/>
            </w:tcBorders>
          </w:tcPr>
          <w:p>
            <w:pPr>
              <w:pStyle w:val="TableText"/>
              <w:ind w:left="745"/>
              <w:spacing w:before="89" w:line="216" w:lineRule="auto"/>
              <w:rPr/>
            </w:pPr>
            <w:r>
              <w:rPr>
                <w:spacing w:val="8"/>
              </w:rPr>
              <w:t>风</w:t>
            </w:r>
            <w:r>
              <w:rPr>
                <w:spacing w:val="-34"/>
              </w:rPr>
              <w:t xml:space="preserve"> </w:t>
            </w:r>
            <w:r>
              <w:rPr>
                <w:spacing w:val="8"/>
              </w:rPr>
              <w:t>险</w:t>
            </w:r>
            <w:r>
              <w:rPr>
                <w:spacing w:val="-37"/>
              </w:rPr>
              <w:t xml:space="preserve"> </w:t>
            </w:r>
            <w:r>
              <w:rPr>
                <w:spacing w:val="8"/>
              </w:rPr>
              <w:t>调</w:t>
            </w:r>
            <w:r>
              <w:rPr>
                <w:spacing w:val="-35"/>
              </w:rPr>
              <w:t xml:space="preserve"> </w:t>
            </w:r>
            <w:r>
              <w:rPr>
                <w:spacing w:val="8"/>
              </w:rPr>
              <w:t>查</w:t>
            </w:r>
          </w:p>
        </w:tc>
        <w:tc>
          <w:tcPr>
            <w:tcW w:w="1082" w:type="dxa"/>
            <w:vAlign w:val="top"/>
            <w:vMerge w:val="restart"/>
            <w:tcBorders>
              <w:bottom w:val="nil"/>
            </w:tcBorders>
          </w:tcPr>
          <w:p>
            <w:pPr>
              <w:pStyle w:val="TableText"/>
              <w:ind w:left="126"/>
              <w:spacing w:before="172" w:line="228" w:lineRule="auto"/>
              <w:rPr/>
            </w:pPr>
            <w:r>
              <w:rPr>
                <w:spacing w:val="6"/>
              </w:rPr>
              <w:t>危险物质</w:t>
            </w:r>
          </w:p>
        </w:tc>
        <w:tc>
          <w:tcPr>
            <w:tcW w:w="1041" w:type="dxa"/>
            <w:vAlign w:val="top"/>
          </w:tcPr>
          <w:p>
            <w:pPr>
              <w:pStyle w:val="TableText"/>
              <w:ind w:left="316"/>
              <w:spacing w:before="29" w:line="219" w:lineRule="auto"/>
              <w:rPr/>
            </w:pPr>
            <w:r>
              <w:rPr>
                <w:spacing w:val="3"/>
              </w:rPr>
              <w:t>名称</w:t>
            </w:r>
          </w:p>
        </w:tc>
        <w:tc>
          <w:tcPr>
            <w:tcW w:w="1020" w:type="dxa"/>
            <w:vAlign w:val="top"/>
            <w:gridSpan w:val="2"/>
          </w:tcPr>
          <w:p>
            <w:pPr>
              <w:pStyle w:val="TableText"/>
              <w:ind w:left="309"/>
              <w:spacing w:before="29" w:line="219" w:lineRule="auto"/>
              <w:rPr/>
            </w:pPr>
            <w:r>
              <w:rPr>
                <w:spacing w:val="2"/>
              </w:rPr>
              <w:t>沼气</w:t>
            </w:r>
          </w:p>
        </w:tc>
        <w:tc>
          <w:tcPr>
            <w:tcW w:w="1315" w:type="dxa"/>
            <w:vAlign w:val="top"/>
            <w:gridSpan w:val="3"/>
          </w:tcPr>
          <w:p>
            <w:pPr>
              <w:pStyle w:val="TableText"/>
              <w:ind w:left="241"/>
              <w:spacing w:before="29" w:line="219" w:lineRule="auto"/>
              <w:rPr/>
            </w:pPr>
            <w:r>
              <w:rPr>
                <w:spacing w:val="7"/>
              </w:rPr>
              <w:t>废矿物油</w:t>
            </w:r>
          </w:p>
        </w:tc>
        <w:tc>
          <w:tcPr>
            <w:tcW w:w="3694" w:type="dxa"/>
            <w:vAlign w:val="top"/>
            <w:gridSpan w:val="8"/>
          </w:tcPr>
          <w:p>
            <w:pPr>
              <w:pStyle w:val="TableText"/>
              <w:ind w:left="340"/>
              <w:spacing w:before="29" w:line="219" w:lineRule="auto"/>
              <w:rPr/>
            </w:pPr>
            <w:r>
              <w:rPr>
                <w:rFonts w:ascii="Times New Roman" w:hAnsi="Times New Roman" w:eastAsia="Times New Roman" w:cs="Times New Roman"/>
              </w:rPr>
              <w:t>COD</w:t>
            </w:r>
            <w:r>
              <w:rPr>
                <w:rFonts w:ascii="Times New Roman" w:hAnsi="Times New Roman" w:eastAsia="Times New Roman" w:cs="Times New Roman"/>
                <w:sz w:val="13"/>
                <w:szCs w:val="13"/>
                <w:position w:val="-1"/>
              </w:rPr>
              <w:t>Cr</w:t>
            </w:r>
            <w:r>
              <w:rPr>
                <w:rFonts w:ascii="Times New Roman" w:hAnsi="Times New Roman" w:eastAsia="Times New Roman" w:cs="Times New Roman"/>
                <w:sz w:val="13"/>
                <w:szCs w:val="13"/>
                <w:spacing w:val="7"/>
                <w:position w:val="-1"/>
              </w:rPr>
              <w:t xml:space="preserve"> </w:t>
            </w:r>
            <w:r>
              <w:rPr>
                <w:spacing w:val="7"/>
              </w:rPr>
              <w:t>浓度</w:t>
            </w:r>
            <w:r>
              <w:rPr>
                <w:rFonts w:ascii="Times New Roman" w:hAnsi="Times New Roman" w:eastAsia="Times New Roman" w:cs="Times New Roman"/>
                <w:spacing w:val="7"/>
              </w:rPr>
              <w:t>≥10000</w:t>
            </w:r>
            <w:r>
              <w:rPr>
                <w:rFonts w:ascii="Times New Roman" w:hAnsi="Times New Roman" w:eastAsia="Times New Roman" w:cs="Times New Roman"/>
              </w:rPr>
              <w:t>mg</w:t>
            </w:r>
            <w:r>
              <w:rPr>
                <w:rFonts w:ascii="Times New Roman" w:hAnsi="Times New Roman" w:eastAsia="Times New Roman" w:cs="Times New Roman"/>
                <w:spacing w:val="7"/>
              </w:rPr>
              <w:t>/L</w:t>
            </w:r>
            <w:r>
              <w:rPr>
                <w:rFonts w:ascii="Times New Roman" w:hAnsi="Times New Roman" w:eastAsia="Times New Roman" w:cs="Times New Roman"/>
                <w:spacing w:val="28"/>
              </w:rPr>
              <w:t xml:space="preserve"> </w:t>
            </w:r>
            <w:r>
              <w:rPr>
                <w:spacing w:val="7"/>
              </w:rPr>
              <w:t>有机废液</w:t>
            </w:r>
          </w:p>
        </w:tc>
      </w:tr>
      <w:tr>
        <w:trPr>
          <w:trHeight w:val="277" w:hRule="atLeast"/>
        </w:trPr>
        <w:tc>
          <w:tcPr>
            <w:tcW w:w="391" w:type="dxa"/>
            <w:vAlign w:val="top"/>
            <w:vMerge w:val="continue"/>
            <w:textDirection w:val="tbRlV"/>
            <w:tcBorders>
              <w:top w:val="nil"/>
              <w:bottom w:val="nil"/>
            </w:tcBorders>
          </w:tcPr>
          <w:p>
            <w:pPr>
              <w:rPr>
                <w:rFonts w:ascii="Arial"/>
                <w:sz w:val="21"/>
              </w:rPr>
            </w:pPr>
            <w:r/>
          </w:p>
        </w:tc>
        <w:tc>
          <w:tcPr>
            <w:tcW w:w="1082" w:type="dxa"/>
            <w:vAlign w:val="top"/>
            <w:vMerge w:val="continue"/>
            <w:tcBorders>
              <w:top w:val="nil"/>
            </w:tcBorders>
          </w:tcPr>
          <w:p>
            <w:pPr>
              <w:rPr>
                <w:rFonts w:ascii="Arial"/>
                <w:sz w:val="21"/>
              </w:rPr>
            </w:pPr>
            <w:r/>
          </w:p>
        </w:tc>
        <w:tc>
          <w:tcPr>
            <w:tcW w:w="1041" w:type="dxa"/>
            <w:vAlign w:val="top"/>
          </w:tcPr>
          <w:p>
            <w:pPr>
              <w:pStyle w:val="TableText"/>
              <w:ind w:left="44"/>
              <w:spacing w:before="31" w:line="217" w:lineRule="auto"/>
              <w:rPr>
                <w:rFonts w:ascii="Times New Roman" w:hAnsi="Times New Roman" w:eastAsia="Times New Roman" w:cs="Times New Roman"/>
              </w:rPr>
            </w:pPr>
            <w:r>
              <w:rPr>
                <w:spacing w:val="6"/>
              </w:rPr>
              <w:t>存在总量</w:t>
            </w:r>
            <w:r>
              <w:rPr>
                <w:rFonts w:ascii="Times New Roman" w:hAnsi="Times New Roman" w:eastAsia="Times New Roman" w:cs="Times New Roman"/>
                <w:spacing w:val="6"/>
              </w:rPr>
              <w:t>/t</w:t>
            </w:r>
          </w:p>
        </w:tc>
        <w:tc>
          <w:tcPr>
            <w:tcW w:w="1020" w:type="dxa"/>
            <w:vAlign w:val="top"/>
            <w:gridSpan w:val="2"/>
          </w:tcPr>
          <w:p>
            <w:pPr>
              <w:ind w:left="278"/>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0.129</w:t>
            </w:r>
          </w:p>
        </w:tc>
        <w:tc>
          <w:tcPr>
            <w:tcW w:w="1315" w:type="dxa"/>
            <w:vAlign w:val="top"/>
            <w:gridSpan w:val="3"/>
          </w:tcPr>
          <w:p>
            <w:pPr>
              <w:ind w:left="477"/>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0.27</w:t>
            </w:r>
          </w:p>
        </w:tc>
        <w:tc>
          <w:tcPr>
            <w:tcW w:w="3694" w:type="dxa"/>
            <w:vAlign w:val="top"/>
            <w:gridSpan w:val="8"/>
          </w:tcPr>
          <w:p>
            <w:pPr>
              <w:ind w:left="1610"/>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46.92</w:t>
            </w:r>
          </w:p>
        </w:tc>
      </w:tr>
      <w:tr>
        <w:trPr>
          <w:trHeight w:val="549" w:hRule="atLeast"/>
        </w:trPr>
        <w:tc>
          <w:tcPr>
            <w:tcW w:w="391" w:type="dxa"/>
            <w:vAlign w:val="top"/>
            <w:vMerge w:val="continue"/>
            <w:textDirection w:val="tbRlV"/>
            <w:tcBorders>
              <w:top w:val="nil"/>
              <w:bottom w:val="nil"/>
            </w:tcBorders>
          </w:tcPr>
          <w:p>
            <w:pPr>
              <w:rPr>
                <w:rFonts w:ascii="Arial"/>
                <w:sz w:val="21"/>
              </w:rPr>
            </w:pPr>
            <w:r/>
          </w:p>
        </w:tc>
        <w:tc>
          <w:tcPr>
            <w:tcW w:w="1082" w:type="dxa"/>
            <w:vAlign w:val="top"/>
            <w:vMerge w:val="restart"/>
            <w:tcBorders>
              <w:bottom w:val="nil"/>
            </w:tcBorders>
          </w:tcPr>
          <w:p>
            <w:pPr>
              <w:spacing w:line="267" w:lineRule="auto"/>
              <w:rPr>
                <w:rFonts w:ascii="Arial"/>
                <w:sz w:val="21"/>
              </w:rPr>
            </w:pPr>
            <w:r/>
          </w:p>
          <w:p>
            <w:pPr>
              <w:spacing w:line="267" w:lineRule="auto"/>
              <w:rPr>
                <w:rFonts w:ascii="Arial"/>
                <w:sz w:val="21"/>
              </w:rPr>
            </w:pPr>
            <w:r/>
          </w:p>
          <w:p>
            <w:pPr>
              <w:spacing w:line="268" w:lineRule="auto"/>
              <w:rPr>
                <w:rFonts w:ascii="Arial"/>
                <w:sz w:val="21"/>
              </w:rPr>
            </w:pPr>
            <w:r/>
          </w:p>
          <w:p>
            <w:pPr>
              <w:pStyle w:val="TableText"/>
              <w:ind w:left="18"/>
              <w:spacing w:before="65" w:line="228" w:lineRule="auto"/>
              <w:rPr/>
            </w:pPr>
            <w:r>
              <w:rPr>
                <w:spacing w:val="8"/>
              </w:rPr>
              <w:t>环境敏感性</w:t>
            </w:r>
          </w:p>
        </w:tc>
        <w:tc>
          <w:tcPr>
            <w:tcW w:w="1041" w:type="dxa"/>
            <w:vAlign w:val="top"/>
            <w:vMerge w:val="restart"/>
            <w:tcBorders>
              <w:bottom w:val="nil"/>
            </w:tcBorders>
          </w:tcPr>
          <w:p>
            <w:pPr>
              <w:spacing w:line="242" w:lineRule="auto"/>
              <w:rPr>
                <w:rFonts w:ascii="Arial"/>
                <w:sz w:val="21"/>
              </w:rPr>
            </w:pPr>
            <w:r/>
          </w:p>
          <w:p>
            <w:pPr>
              <w:pStyle w:val="TableText"/>
              <w:ind w:left="316"/>
              <w:spacing w:before="65" w:line="227" w:lineRule="auto"/>
              <w:rPr/>
            </w:pPr>
            <w:r>
              <w:rPr>
                <w:spacing w:val="3"/>
              </w:rPr>
              <w:t>大气</w:t>
            </w:r>
          </w:p>
        </w:tc>
        <w:tc>
          <w:tcPr>
            <w:tcW w:w="3057" w:type="dxa"/>
            <w:vAlign w:val="top"/>
            <w:gridSpan w:val="7"/>
          </w:tcPr>
          <w:p>
            <w:pPr>
              <w:pStyle w:val="TableText"/>
              <w:ind w:left="11"/>
              <w:spacing w:before="166" w:line="228" w:lineRule="auto"/>
              <w:rPr/>
            </w:pPr>
            <w:r>
              <w:rPr>
                <w:rFonts w:ascii="Times New Roman" w:hAnsi="Times New Roman" w:eastAsia="Times New Roman" w:cs="Times New Roman"/>
                <w:spacing w:val="5"/>
              </w:rPr>
              <w:t>500m </w:t>
            </w:r>
            <w:r>
              <w:rPr>
                <w:spacing w:val="5"/>
              </w:rPr>
              <w:t>范围内人口数</w:t>
            </w:r>
            <w:r>
              <w:rPr>
                <w:spacing w:val="24"/>
              </w:rPr>
              <w:t xml:space="preserve"> </w:t>
            </w:r>
            <w:r>
              <w:rPr>
                <w:u w:val="single" w:color="auto"/>
                <w:spacing w:val="5"/>
              </w:rPr>
              <w:t>小于</w:t>
            </w:r>
            <w:r>
              <w:rPr>
                <w:u w:val="single" w:color="auto"/>
                <w:spacing w:val="-35"/>
              </w:rPr>
              <w:t xml:space="preserve"> </w:t>
            </w:r>
            <w:r>
              <w:rPr>
                <w:rFonts w:ascii="Times New Roman" w:hAnsi="Times New Roman" w:eastAsia="Times New Roman" w:cs="Times New Roman"/>
                <w:u w:val="single" w:color="auto"/>
                <w:spacing w:val="5"/>
              </w:rPr>
              <w:t>500 </w:t>
            </w:r>
            <w:r>
              <w:rPr>
                <w:u w:val="single" w:color="auto"/>
                <w:spacing w:val="5"/>
              </w:rPr>
              <w:t>人</w:t>
            </w:r>
          </w:p>
        </w:tc>
        <w:tc>
          <w:tcPr>
            <w:tcW w:w="2972" w:type="dxa"/>
            <w:vAlign w:val="top"/>
            <w:gridSpan w:val="6"/>
          </w:tcPr>
          <w:p>
            <w:pPr>
              <w:pStyle w:val="TableText"/>
              <w:ind w:left="1695" w:right="20" w:hanging="1683"/>
              <w:spacing w:before="32" w:line="234" w:lineRule="auto"/>
              <w:rPr/>
            </w:pPr>
            <w:r>
              <w:rPr>
                <w:rFonts w:ascii="Times New Roman" w:hAnsi="Times New Roman" w:eastAsia="Times New Roman" w:cs="Times New Roman"/>
                <w:spacing w:val="5"/>
              </w:rPr>
              <w:t>5</w:t>
            </w:r>
            <w:r>
              <w:rPr>
                <w:rFonts w:ascii="Times New Roman" w:hAnsi="Times New Roman" w:eastAsia="Times New Roman" w:cs="Times New Roman"/>
              </w:rPr>
              <w:t>km</w:t>
            </w:r>
            <w:r>
              <w:rPr>
                <w:rFonts w:ascii="Times New Roman" w:hAnsi="Times New Roman" w:eastAsia="Times New Roman" w:cs="Times New Roman"/>
                <w:spacing w:val="18"/>
                <w:w w:val="101"/>
              </w:rPr>
              <w:t xml:space="preserve"> </w:t>
            </w:r>
            <w:r>
              <w:rPr>
                <w:spacing w:val="5"/>
              </w:rPr>
              <w:t>范围内人口数</w:t>
            </w:r>
            <w:r>
              <w:rPr>
                <w:u w:val="single" w:color="auto"/>
                <w:spacing w:val="5"/>
              </w:rPr>
              <w:t>大于</w:t>
            </w:r>
            <w:r>
              <w:rPr>
                <w:u w:val="single" w:color="auto"/>
                <w:spacing w:val="-21"/>
              </w:rPr>
              <w:t xml:space="preserve"> </w:t>
            </w:r>
            <w:r>
              <w:rPr>
                <w:rFonts w:ascii="Times New Roman" w:hAnsi="Times New Roman" w:eastAsia="Times New Roman" w:cs="Times New Roman"/>
                <w:u w:val="single" w:color="auto"/>
                <w:spacing w:val="5"/>
              </w:rPr>
              <w:t>1</w:t>
            </w:r>
            <w:r>
              <w:rPr>
                <w:rFonts w:ascii="Times New Roman" w:hAnsi="Times New Roman" w:eastAsia="Times New Roman" w:cs="Times New Roman"/>
                <w:u w:val="single" w:color="auto"/>
                <w:spacing w:val="15"/>
              </w:rPr>
              <w:t xml:space="preserve"> </w:t>
            </w:r>
            <w:r>
              <w:rPr>
                <w:u w:val="single" w:color="auto"/>
                <w:spacing w:val="5"/>
              </w:rPr>
              <w:t>万人，</w:t>
            </w:r>
            <w:r>
              <w:rPr/>
              <w:t xml:space="preserve"> </w:t>
            </w:r>
            <w:r>
              <w:rPr>
                <w:u w:val="single" w:color="auto"/>
              </w:rPr>
              <w:t>小于</w:t>
            </w:r>
            <w:r>
              <w:rPr>
                <w:u w:val="single" w:color="auto"/>
                <w:spacing w:val="-36"/>
              </w:rPr>
              <w:t xml:space="preserve"> </w:t>
            </w:r>
            <w:r>
              <w:rPr>
                <w:rFonts w:ascii="Times New Roman" w:hAnsi="Times New Roman" w:eastAsia="Times New Roman" w:cs="Times New Roman"/>
                <w:u w:val="single" w:color="auto"/>
              </w:rPr>
              <w:t>5</w:t>
            </w:r>
            <w:r>
              <w:rPr>
                <w:rFonts w:ascii="Times New Roman" w:hAnsi="Times New Roman" w:eastAsia="Times New Roman" w:cs="Times New Roman"/>
                <w:u w:val="single" w:color="auto"/>
                <w:spacing w:val="17"/>
                <w:w w:val="101"/>
              </w:rPr>
              <w:t xml:space="preserve"> </w:t>
            </w:r>
            <w:r>
              <w:rPr>
                <w:u w:val="single" w:color="auto"/>
              </w:rPr>
              <w:t>万人</w:t>
            </w:r>
          </w:p>
        </w:tc>
      </w:tr>
      <w:tr>
        <w:trPr>
          <w:trHeight w:val="277" w:hRule="atLeast"/>
        </w:trPr>
        <w:tc>
          <w:tcPr>
            <w:tcW w:w="391" w:type="dxa"/>
            <w:vAlign w:val="top"/>
            <w:vMerge w:val="continue"/>
            <w:textDirection w:val="tbRlV"/>
            <w:tcBorders>
              <w:top w:val="nil"/>
              <w:bottom w:val="nil"/>
            </w:tcBorders>
          </w:tcPr>
          <w:p>
            <w:pPr>
              <w:rPr>
                <w:rFonts w:ascii="Arial"/>
                <w:sz w:val="21"/>
              </w:rPr>
            </w:pPr>
            <w:r/>
          </w:p>
        </w:tc>
        <w:tc>
          <w:tcPr>
            <w:tcW w:w="1082" w:type="dxa"/>
            <w:vAlign w:val="top"/>
            <w:vMerge w:val="continue"/>
            <w:tcBorders>
              <w:top w:val="nil"/>
              <w:bottom w:val="nil"/>
            </w:tcBorders>
          </w:tcPr>
          <w:p>
            <w:pPr>
              <w:rPr>
                <w:rFonts w:ascii="Arial"/>
                <w:sz w:val="21"/>
              </w:rPr>
            </w:pPr>
            <w:r/>
          </w:p>
        </w:tc>
        <w:tc>
          <w:tcPr>
            <w:tcW w:w="1041" w:type="dxa"/>
            <w:vAlign w:val="top"/>
            <w:vMerge w:val="continue"/>
            <w:tcBorders>
              <w:top w:val="nil"/>
            </w:tcBorders>
          </w:tcPr>
          <w:p>
            <w:pPr>
              <w:rPr>
                <w:rFonts w:ascii="Arial"/>
                <w:sz w:val="21"/>
              </w:rPr>
            </w:pPr>
            <w:r/>
          </w:p>
        </w:tc>
        <w:tc>
          <w:tcPr>
            <w:tcW w:w="4773" w:type="dxa"/>
            <w:vAlign w:val="top"/>
            <w:gridSpan w:val="12"/>
          </w:tcPr>
          <w:p>
            <w:pPr>
              <w:pStyle w:val="TableText"/>
              <w:ind w:left="9"/>
              <w:spacing w:before="33" w:line="216" w:lineRule="auto"/>
              <w:rPr/>
            </w:pPr>
            <w:r>
              <w:rPr>
                <w:spacing w:val="7"/>
              </w:rPr>
              <w:t>每公里管段周边</w:t>
            </w:r>
            <w:r>
              <w:rPr>
                <w:spacing w:val="-28"/>
              </w:rPr>
              <w:t xml:space="preserve"> </w:t>
            </w:r>
            <w:r>
              <w:rPr>
                <w:rFonts w:ascii="Times New Roman" w:hAnsi="Times New Roman" w:eastAsia="Times New Roman" w:cs="Times New Roman"/>
                <w:spacing w:val="7"/>
              </w:rPr>
              <w:t>200m </w:t>
            </w:r>
            <w:r>
              <w:rPr>
                <w:spacing w:val="7"/>
              </w:rPr>
              <w:t>范围内人口数（最大）</w:t>
            </w:r>
          </w:p>
        </w:tc>
        <w:tc>
          <w:tcPr>
            <w:tcW w:w="1256" w:type="dxa"/>
            <w:vAlign w:val="top"/>
          </w:tcPr>
          <w:p>
            <w:pPr>
              <w:pStyle w:val="TableText"/>
              <w:ind w:left="530"/>
              <w:spacing w:before="33" w:line="216" w:lineRule="auto"/>
              <w:rPr/>
            </w:pPr>
            <w:r>
              <w:rPr/>
              <w:t>人</w:t>
            </w:r>
          </w:p>
        </w:tc>
      </w:tr>
      <w:tr>
        <w:trPr>
          <w:trHeight w:val="278" w:hRule="atLeast"/>
        </w:trPr>
        <w:tc>
          <w:tcPr>
            <w:tcW w:w="391" w:type="dxa"/>
            <w:vAlign w:val="top"/>
            <w:vMerge w:val="continue"/>
            <w:textDirection w:val="tbRlV"/>
            <w:tcBorders>
              <w:top w:val="nil"/>
              <w:bottom w:val="nil"/>
            </w:tcBorders>
          </w:tcPr>
          <w:p>
            <w:pPr>
              <w:rPr>
                <w:rFonts w:ascii="Arial"/>
                <w:sz w:val="21"/>
              </w:rPr>
            </w:pPr>
            <w:r/>
          </w:p>
        </w:tc>
        <w:tc>
          <w:tcPr>
            <w:tcW w:w="1082" w:type="dxa"/>
            <w:vAlign w:val="top"/>
            <w:vMerge w:val="continue"/>
            <w:tcBorders>
              <w:top w:val="nil"/>
              <w:bottom w:val="nil"/>
            </w:tcBorders>
          </w:tcPr>
          <w:p>
            <w:pPr>
              <w:rPr>
                <w:rFonts w:ascii="Arial"/>
                <w:sz w:val="21"/>
              </w:rPr>
            </w:pPr>
            <w:r/>
          </w:p>
        </w:tc>
        <w:tc>
          <w:tcPr>
            <w:tcW w:w="1041" w:type="dxa"/>
            <w:vAlign w:val="top"/>
            <w:vMerge w:val="restart"/>
            <w:tcBorders>
              <w:bottom w:val="nil"/>
            </w:tcBorders>
          </w:tcPr>
          <w:p>
            <w:pPr>
              <w:pStyle w:val="TableText"/>
              <w:ind w:left="210"/>
              <w:spacing w:before="173" w:line="228" w:lineRule="auto"/>
              <w:rPr/>
            </w:pPr>
            <w:r>
              <w:rPr>
                <w:spacing w:val="6"/>
              </w:rPr>
              <w:t>地表水</w:t>
            </w:r>
          </w:p>
        </w:tc>
        <w:tc>
          <w:tcPr>
            <w:tcW w:w="1961" w:type="dxa"/>
            <w:vAlign w:val="top"/>
            <w:gridSpan w:val="4"/>
          </w:tcPr>
          <w:p>
            <w:pPr>
              <w:pStyle w:val="TableText"/>
              <w:ind w:left="149"/>
              <w:spacing w:before="33" w:line="216" w:lineRule="auto"/>
              <w:rPr/>
            </w:pPr>
            <w:r>
              <w:rPr>
                <w:spacing w:val="8"/>
              </w:rPr>
              <w:t>地表水功能敏感性</w:t>
            </w:r>
          </w:p>
        </w:tc>
        <w:tc>
          <w:tcPr>
            <w:tcW w:w="1250" w:type="dxa"/>
            <w:vAlign w:val="top"/>
            <w:gridSpan w:val="4"/>
          </w:tcPr>
          <w:p>
            <w:pPr>
              <w:ind w:left="398"/>
              <w:spacing w:before="34" w:line="163"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4"/>
              </w:rPr>
              <w:t>F1</w:t>
            </w:r>
            <w:r>
              <w:rPr>
                <w:rFonts w:ascii="Times New Roman" w:hAnsi="Times New Roman" w:eastAsia="Times New Roman" w:cs="Times New Roman"/>
                <w:sz w:val="20"/>
                <w:szCs w:val="20"/>
                <w:spacing w:val="21"/>
                <w:w w:val="101"/>
              </w:rPr>
              <w:t xml:space="preserve"> </w:t>
            </w:r>
            <w:r>
              <w:rPr>
                <w:rFonts w:ascii="Microsoft YaHei" w:hAnsi="Microsoft YaHei" w:eastAsia="Microsoft YaHei" w:cs="Microsoft YaHei"/>
                <w:sz w:val="20"/>
                <w:szCs w:val="20"/>
                <w:spacing w:val="14"/>
              </w:rPr>
              <w:t>□</w:t>
            </w:r>
          </w:p>
        </w:tc>
        <w:tc>
          <w:tcPr>
            <w:tcW w:w="1562" w:type="dxa"/>
            <w:vAlign w:val="top"/>
            <w:gridSpan w:val="4"/>
          </w:tcPr>
          <w:p>
            <w:pPr>
              <w:ind w:left="554"/>
              <w:spacing w:before="34" w:line="163"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4"/>
              </w:rPr>
              <w:t>F2</w:t>
            </w:r>
            <w:r>
              <w:rPr>
                <w:rFonts w:ascii="Times New Roman" w:hAnsi="Times New Roman" w:eastAsia="Times New Roman" w:cs="Times New Roman"/>
                <w:sz w:val="20"/>
                <w:szCs w:val="20"/>
                <w:spacing w:val="21"/>
                <w:w w:val="101"/>
              </w:rPr>
              <w:t xml:space="preserve"> </w:t>
            </w:r>
            <w:r>
              <w:rPr>
                <w:rFonts w:ascii="Microsoft YaHei" w:hAnsi="Microsoft YaHei" w:eastAsia="Microsoft YaHei" w:cs="Microsoft YaHei"/>
                <w:sz w:val="20"/>
                <w:szCs w:val="20"/>
                <w:spacing w:val="14"/>
              </w:rPr>
              <w:t>□</w:t>
            </w:r>
          </w:p>
        </w:tc>
        <w:tc>
          <w:tcPr>
            <w:tcW w:w="1256" w:type="dxa"/>
            <w:vAlign w:val="top"/>
          </w:tcPr>
          <w:p>
            <w:pPr>
              <w:ind w:left="399"/>
              <w:spacing w:before="48" w:line="219" w:lineRule="exact"/>
              <w:rPr>
                <w:rFonts w:ascii="Microsoft YaHei" w:hAnsi="Microsoft YaHei" w:eastAsia="Microsoft YaHei" w:cs="Microsoft YaHei"/>
                <w:sz w:val="20"/>
                <w:szCs w:val="20"/>
              </w:rPr>
            </w:pPr>
            <w:r>
              <w:rPr>
                <w:rFonts w:ascii="Times New Roman" w:hAnsi="Times New Roman" w:eastAsia="Times New Roman" w:cs="Times New Roman"/>
                <w:sz w:val="20"/>
                <w:szCs w:val="20"/>
                <w:spacing w:val="1"/>
                <w:position w:val="-2"/>
              </w:rPr>
              <w:t>F3</w:t>
            </w:r>
            <w:r>
              <w:rPr>
                <w:rFonts w:ascii="Times New Roman" w:hAnsi="Times New Roman" w:eastAsia="Times New Roman" w:cs="Times New Roman"/>
                <w:sz w:val="20"/>
                <w:szCs w:val="20"/>
                <w:spacing w:val="22"/>
                <w:w w:val="101"/>
                <w:position w:val="-2"/>
              </w:rPr>
              <w:t xml:space="preserve"> </w:t>
            </w:r>
            <w:r>
              <w:rPr>
                <w:rFonts w:ascii="Microsoft YaHei" w:hAnsi="Microsoft YaHei" w:eastAsia="Microsoft YaHei" w:cs="Microsoft YaHei"/>
                <w:sz w:val="20"/>
                <w:szCs w:val="20"/>
                <w:spacing w:val="1"/>
                <w:position w:val="-2"/>
              </w:rPr>
              <w:t>四</w:t>
            </w:r>
          </w:p>
        </w:tc>
      </w:tr>
      <w:tr>
        <w:trPr>
          <w:trHeight w:val="276" w:hRule="atLeast"/>
        </w:trPr>
        <w:tc>
          <w:tcPr>
            <w:tcW w:w="391" w:type="dxa"/>
            <w:vAlign w:val="top"/>
            <w:vMerge w:val="continue"/>
            <w:textDirection w:val="tbRlV"/>
            <w:tcBorders>
              <w:top w:val="nil"/>
              <w:bottom w:val="nil"/>
            </w:tcBorders>
          </w:tcPr>
          <w:p>
            <w:pPr>
              <w:rPr>
                <w:rFonts w:ascii="Arial"/>
                <w:sz w:val="21"/>
              </w:rPr>
            </w:pPr>
            <w:r/>
          </w:p>
        </w:tc>
        <w:tc>
          <w:tcPr>
            <w:tcW w:w="1082" w:type="dxa"/>
            <w:vAlign w:val="top"/>
            <w:vMerge w:val="continue"/>
            <w:tcBorders>
              <w:top w:val="nil"/>
              <w:bottom w:val="nil"/>
            </w:tcBorders>
          </w:tcPr>
          <w:p>
            <w:pPr>
              <w:rPr>
                <w:rFonts w:ascii="Arial"/>
                <w:sz w:val="21"/>
              </w:rPr>
            </w:pPr>
            <w:r/>
          </w:p>
        </w:tc>
        <w:tc>
          <w:tcPr>
            <w:tcW w:w="1041" w:type="dxa"/>
            <w:vAlign w:val="top"/>
            <w:vMerge w:val="continue"/>
            <w:tcBorders>
              <w:top w:val="nil"/>
            </w:tcBorders>
          </w:tcPr>
          <w:p>
            <w:pPr>
              <w:rPr>
                <w:rFonts w:ascii="Arial"/>
                <w:sz w:val="21"/>
              </w:rPr>
            </w:pPr>
            <w:r/>
          </w:p>
        </w:tc>
        <w:tc>
          <w:tcPr>
            <w:tcW w:w="1961" w:type="dxa"/>
            <w:vAlign w:val="top"/>
            <w:gridSpan w:val="4"/>
          </w:tcPr>
          <w:p>
            <w:pPr>
              <w:pStyle w:val="TableText"/>
              <w:ind w:left="149"/>
              <w:spacing w:before="32" w:line="216" w:lineRule="auto"/>
              <w:rPr/>
            </w:pPr>
            <w:r>
              <w:rPr>
                <w:spacing w:val="8"/>
              </w:rPr>
              <w:t>环境敏感目标分级</w:t>
            </w:r>
          </w:p>
        </w:tc>
        <w:tc>
          <w:tcPr>
            <w:tcW w:w="1250" w:type="dxa"/>
            <w:vAlign w:val="top"/>
            <w:gridSpan w:val="4"/>
          </w:tcPr>
          <w:p>
            <w:pPr>
              <w:ind w:left="408"/>
              <w:spacing w:before="35" w:line="161"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1"/>
              </w:rPr>
              <w:t>S1</w:t>
            </w:r>
            <w:r>
              <w:rPr>
                <w:rFonts w:ascii="Times New Roman" w:hAnsi="Times New Roman" w:eastAsia="Times New Roman" w:cs="Times New Roman"/>
                <w:sz w:val="20"/>
                <w:szCs w:val="20"/>
                <w:spacing w:val="21"/>
              </w:rPr>
              <w:t xml:space="preserve"> </w:t>
            </w:r>
            <w:r>
              <w:rPr>
                <w:rFonts w:ascii="Microsoft YaHei" w:hAnsi="Microsoft YaHei" w:eastAsia="Microsoft YaHei" w:cs="Microsoft YaHei"/>
                <w:sz w:val="20"/>
                <w:szCs w:val="20"/>
                <w:spacing w:val="11"/>
              </w:rPr>
              <w:t>□</w:t>
            </w:r>
          </w:p>
        </w:tc>
        <w:tc>
          <w:tcPr>
            <w:tcW w:w="1562" w:type="dxa"/>
            <w:vAlign w:val="top"/>
            <w:gridSpan w:val="4"/>
          </w:tcPr>
          <w:p>
            <w:pPr>
              <w:ind w:left="564"/>
              <w:spacing w:before="35" w:line="161"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1"/>
              </w:rPr>
              <w:t>S2</w:t>
            </w:r>
            <w:r>
              <w:rPr>
                <w:rFonts w:ascii="Times New Roman" w:hAnsi="Times New Roman" w:eastAsia="Times New Roman" w:cs="Times New Roman"/>
                <w:sz w:val="20"/>
                <w:szCs w:val="20"/>
                <w:spacing w:val="21"/>
              </w:rPr>
              <w:t xml:space="preserve"> </w:t>
            </w:r>
            <w:r>
              <w:rPr>
                <w:rFonts w:ascii="Microsoft YaHei" w:hAnsi="Microsoft YaHei" w:eastAsia="Microsoft YaHei" w:cs="Microsoft YaHei"/>
                <w:sz w:val="20"/>
                <w:szCs w:val="20"/>
                <w:spacing w:val="11"/>
              </w:rPr>
              <w:t>□</w:t>
            </w:r>
          </w:p>
        </w:tc>
        <w:tc>
          <w:tcPr>
            <w:tcW w:w="1256" w:type="dxa"/>
            <w:vAlign w:val="top"/>
          </w:tcPr>
          <w:p>
            <w:pPr>
              <w:ind w:left="409"/>
              <w:spacing w:before="49" w:line="217" w:lineRule="exact"/>
              <w:rPr>
                <w:rFonts w:ascii="Microsoft YaHei" w:hAnsi="Microsoft YaHei" w:eastAsia="Microsoft YaHei" w:cs="Microsoft YaHei"/>
                <w:sz w:val="20"/>
                <w:szCs w:val="20"/>
              </w:rPr>
            </w:pPr>
            <w:r>
              <w:rPr>
                <w:rFonts w:ascii="Times New Roman" w:hAnsi="Times New Roman" w:eastAsia="Times New Roman" w:cs="Times New Roman"/>
                <w:sz w:val="20"/>
                <w:szCs w:val="20"/>
                <w:spacing w:val="-2"/>
                <w:position w:val="-2"/>
              </w:rPr>
              <w:t>S3</w:t>
            </w:r>
            <w:r>
              <w:rPr>
                <w:rFonts w:ascii="Times New Roman" w:hAnsi="Times New Roman" w:eastAsia="Times New Roman" w:cs="Times New Roman"/>
                <w:sz w:val="20"/>
                <w:szCs w:val="20"/>
                <w:spacing w:val="21"/>
                <w:w w:val="101"/>
                <w:position w:val="-2"/>
              </w:rPr>
              <w:t xml:space="preserve"> </w:t>
            </w:r>
            <w:r>
              <w:rPr>
                <w:rFonts w:ascii="Microsoft YaHei" w:hAnsi="Microsoft YaHei" w:eastAsia="Microsoft YaHei" w:cs="Microsoft YaHei"/>
                <w:sz w:val="20"/>
                <w:szCs w:val="20"/>
                <w:spacing w:val="-2"/>
                <w:position w:val="-2"/>
              </w:rPr>
              <w:t>四</w:t>
            </w:r>
          </w:p>
        </w:tc>
      </w:tr>
      <w:tr>
        <w:trPr>
          <w:trHeight w:val="277" w:hRule="atLeast"/>
        </w:trPr>
        <w:tc>
          <w:tcPr>
            <w:tcW w:w="391" w:type="dxa"/>
            <w:vAlign w:val="top"/>
            <w:vMerge w:val="continue"/>
            <w:textDirection w:val="tbRlV"/>
            <w:tcBorders>
              <w:top w:val="nil"/>
              <w:bottom w:val="nil"/>
            </w:tcBorders>
          </w:tcPr>
          <w:p>
            <w:pPr>
              <w:rPr>
                <w:rFonts w:ascii="Arial"/>
                <w:sz w:val="21"/>
              </w:rPr>
            </w:pPr>
            <w:r/>
          </w:p>
        </w:tc>
        <w:tc>
          <w:tcPr>
            <w:tcW w:w="1082" w:type="dxa"/>
            <w:vAlign w:val="top"/>
            <w:vMerge w:val="continue"/>
            <w:tcBorders>
              <w:top w:val="nil"/>
              <w:bottom w:val="nil"/>
            </w:tcBorders>
          </w:tcPr>
          <w:p>
            <w:pPr>
              <w:rPr>
                <w:rFonts w:ascii="Arial"/>
                <w:sz w:val="21"/>
              </w:rPr>
            </w:pPr>
            <w:r/>
          </w:p>
        </w:tc>
        <w:tc>
          <w:tcPr>
            <w:tcW w:w="1041" w:type="dxa"/>
            <w:vAlign w:val="top"/>
            <w:vMerge w:val="restart"/>
            <w:tcBorders>
              <w:bottom w:val="nil"/>
            </w:tcBorders>
          </w:tcPr>
          <w:p>
            <w:pPr>
              <w:pStyle w:val="TableText"/>
              <w:ind w:left="210"/>
              <w:spacing w:before="173" w:line="228" w:lineRule="auto"/>
              <w:rPr/>
            </w:pPr>
            <w:r>
              <w:rPr>
                <w:spacing w:val="6"/>
              </w:rPr>
              <w:t>地下水</w:t>
            </w:r>
          </w:p>
        </w:tc>
        <w:tc>
          <w:tcPr>
            <w:tcW w:w="1961" w:type="dxa"/>
            <w:vAlign w:val="top"/>
            <w:gridSpan w:val="4"/>
          </w:tcPr>
          <w:p>
            <w:pPr>
              <w:pStyle w:val="TableText"/>
              <w:ind w:left="149"/>
              <w:spacing w:before="34" w:line="215" w:lineRule="auto"/>
              <w:rPr/>
            </w:pPr>
            <w:r>
              <w:rPr>
                <w:spacing w:val="8"/>
              </w:rPr>
              <w:t>地下水功能敏感性</w:t>
            </w:r>
          </w:p>
        </w:tc>
        <w:tc>
          <w:tcPr>
            <w:tcW w:w="1250" w:type="dxa"/>
            <w:vAlign w:val="top"/>
            <w:gridSpan w:val="4"/>
          </w:tcPr>
          <w:p>
            <w:pPr>
              <w:ind w:left="385"/>
              <w:spacing w:before="38" w:line="160"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4"/>
              </w:rPr>
              <w:t>G1</w:t>
            </w:r>
            <w:r>
              <w:rPr>
                <w:rFonts w:ascii="Times New Roman" w:hAnsi="Times New Roman" w:eastAsia="Times New Roman" w:cs="Times New Roman"/>
                <w:sz w:val="20"/>
                <w:szCs w:val="20"/>
                <w:spacing w:val="21"/>
              </w:rPr>
              <w:t xml:space="preserve"> </w:t>
            </w:r>
            <w:r>
              <w:rPr>
                <w:rFonts w:ascii="Microsoft YaHei" w:hAnsi="Microsoft YaHei" w:eastAsia="Microsoft YaHei" w:cs="Microsoft YaHei"/>
                <w:sz w:val="20"/>
                <w:szCs w:val="20"/>
                <w:spacing w:val="14"/>
              </w:rPr>
              <w:t>□</w:t>
            </w:r>
          </w:p>
        </w:tc>
        <w:tc>
          <w:tcPr>
            <w:tcW w:w="1562" w:type="dxa"/>
            <w:vAlign w:val="top"/>
            <w:gridSpan w:val="4"/>
          </w:tcPr>
          <w:p>
            <w:pPr>
              <w:ind w:left="539"/>
              <w:spacing w:before="51" w:line="216" w:lineRule="exact"/>
              <w:rPr>
                <w:rFonts w:ascii="Microsoft YaHei" w:hAnsi="Microsoft YaHei" w:eastAsia="Microsoft YaHei" w:cs="Microsoft YaHei"/>
                <w:sz w:val="20"/>
                <w:szCs w:val="20"/>
              </w:rPr>
            </w:pPr>
            <w:r>
              <w:rPr>
                <w:rFonts w:ascii="Times New Roman" w:hAnsi="Times New Roman" w:eastAsia="Times New Roman" w:cs="Times New Roman"/>
                <w:sz w:val="20"/>
                <w:szCs w:val="20"/>
                <w:spacing w:val="1"/>
                <w:position w:val="-2"/>
              </w:rPr>
              <w:t>G2</w:t>
            </w:r>
            <w:r>
              <w:rPr>
                <w:rFonts w:ascii="Times New Roman" w:hAnsi="Times New Roman" w:eastAsia="Times New Roman" w:cs="Times New Roman"/>
                <w:sz w:val="20"/>
                <w:szCs w:val="20"/>
                <w:spacing w:val="21"/>
                <w:position w:val="-2"/>
              </w:rPr>
              <w:t xml:space="preserve"> </w:t>
            </w:r>
            <w:r>
              <w:rPr>
                <w:rFonts w:ascii="Microsoft YaHei" w:hAnsi="Microsoft YaHei" w:eastAsia="Microsoft YaHei" w:cs="Microsoft YaHei"/>
                <w:sz w:val="20"/>
                <w:szCs w:val="20"/>
                <w:spacing w:val="1"/>
                <w:position w:val="-2"/>
              </w:rPr>
              <w:t>四</w:t>
            </w:r>
          </w:p>
        </w:tc>
        <w:tc>
          <w:tcPr>
            <w:tcW w:w="1256" w:type="dxa"/>
            <w:vAlign w:val="top"/>
          </w:tcPr>
          <w:p>
            <w:pPr>
              <w:ind w:left="384"/>
              <w:spacing w:before="38" w:line="160"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4"/>
              </w:rPr>
              <w:t>G3</w:t>
            </w:r>
            <w:r>
              <w:rPr>
                <w:rFonts w:ascii="Times New Roman" w:hAnsi="Times New Roman" w:eastAsia="Times New Roman" w:cs="Times New Roman"/>
                <w:sz w:val="20"/>
                <w:szCs w:val="20"/>
                <w:spacing w:val="21"/>
              </w:rPr>
              <w:t xml:space="preserve"> </w:t>
            </w:r>
            <w:r>
              <w:rPr>
                <w:rFonts w:ascii="Microsoft YaHei" w:hAnsi="Microsoft YaHei" w:eastAsia="Microsoft YaHei" w:cs="Microsoft YaHei"/>
                <w:sz w:val="20"/>
                <w:szCs w:val="20"/>
                <w:spacing w:val="14"/>
              </w:rPr>
              <w:t>□</w:t>
            </w:r>
          </w:p>
        </w:tc>
      </w:tr>
      <w:tr>
        <w:trPr>
          <w:trHeight w:val="277" w:hRule="atLeast"/>
        </w:trPr>
        <w:tc>
          <w:tcPr>
            <w:tcW w:w="391" w:type="dxa"/>
            <w:vAlign w:val="top"/>
            <w:vMerge w:val="continue"/>
            <w:textDirection w:val="tbRlV"/>
            <w:tcBorders>
              <w:top w:val="nil"/>
            </w:tcBorders>
          </w:tcPr>
          <w:p>
            <w:pPr>
              <w:rPr>
                <w:rFonts w:ascii="Arial"/>
                <w:sz w:val="21"/>
              </w:rPr>
            </w:pPr>
            <w:r/>
          </w:p>
        </w:tc>
        <w:tc>
          <w:tcPr>
            <w:tcW w:w="1082" w:type="dxa"/>
            <w:vAlign w:val="top"/>
            <w:vMerge w:val="continue"/>
            <w:tcBorders>
              <w:top w:val="nil"/>
            </w:tcBorders>
          </w:tcPr>
          <w:p>
            <w:pPr>
              <w:rPr>
                <w:rFonts w:ascii="Arial"/>
                <w:sz w:val="21"/>
              </w:rPr>
            </w:pPr>
            <w:r/>
          </w:p>
        </w:tc>
        <w:tc>
          <w:tcPr>
            <w:tcW w:w="1041" w:type="dxa"/>
            <w:vAlign w:val="top"/>
            <w:vMerge w:val="continue"/>
            <w:tcBorders>
              <w:top w:val="nil"/>
            </w:tcBorders>
          </w:tcPr>
          <w:p>
            <w:pPr>
              <w:rPr>
                <w:rFonts w:ascii="Arial"/>
                <w:sz w:val="21"/>
              </w:rPr>
            </w:pPr>
            <w:r/>
          </w:p>
        </w:tc>
        <w:tc>
          <w:tcPr>
            <w:tcW w:w="1961" w:type="dxa"/>
            <w:vAlign w:val="top"/>
            <w:gridSpan w:val="4"/>
          </w:tcPr>
          <w:p>
            <w:pPr>
              <w:pStyle w:val="TableText"/>
              <w:ind w:left="254"/>
              <w:spacing w:before="35" w:line="214" w:lineRule="auto"/>
              <w:rPr/>
            </w:pPr>
            <w:r>
              <w:rPr>
                <w:spacing w:val="8"/>
              </w:rPr>
              <w:t>包气带防污性能</w:t>
            </w:r>
          </w:p>
        </w:tc>
        <w:tc>
          <w:tcPr>
            <w:tcW w:w="1250" w:type="dxa"/>
            <w:vAlign w:val="top"/>
            <w:gridSpan w:val="4"/>
          </w:tcPr>
          <w:p>
            <w:pPr>
              <w:ind w:left="381"/>
              <w:spacing w:before="50" w:line="217" w:lineRule="exact"/>
              <w:rPr>
                <w:rFonts w:ascii="Microsoft YaHei" w:hAnsi="Microsoft YaHei" w:eastAsia="Microsoft YaHei" w:cs="Microsoft YaHei"/>
                <w:sz w:val="20"/>
                <w:szCs w:val="20"/>
              </w:rPr>
            </w:pPr>
            <w:r>
              <w:rPr>
                <w:rFonts w:ascii="Times New Roman" w:hAnsi="Times New Roman" w:eastAsia="Times New Roman" w:cs="Times New Roman"/>
                <w:sz w:val="20"/>
                <w:szCs w:val="20"/>
                <w:spacing w:val="2"/>
                <w:position w:val="-2"/>
              </w:rPr>
              <w:t>D1</w:t>
            </w:r>
            <w:r>
              <w:rPr>
                <w:rFonts w:ascii="Times New Roman" w:hAnsi="Times New Roman" w:eastAsia="Times New Roman" w:cs="Times New Roman"/>
                <w:sz w:val="20"/>
                <w:szCs w:val="20"/>
                <w:spacing w:val="22"/>
                <w:position w:val="-2"/>
              </w:rPr>
              <w:t xml:space="preserve"> </w:t>
            </w:r>
            <w:r>
              <w:rPr>
                <w:rFonts w:ascii="Microsoft YaHei" w:hAnsi="Microsoft YaHei" w:eastAsia="Microsoft YaHei" w:cs="Microsoft YaHei"/>
                <w:sz w:val="20"/>
                <w:szCs w:val="20"/>
                <w:spacing w:val="2"/>
                <w:position w:val="-2"/>
              </w:rPr>
              <w:t>四</w:t>
            </w:r>
          </w:p>
        </w:tc>
        <w:tc>
          <w:tcPr>
            <w:tcW w:w="1562" w:type="dxa"/>
            <w:vAlign w:val="top"/>
            <w:gridSpan w:val="4"/>
          </w:tcPr>
          <w:p>
            <w:pPr>
              <w:ind w:left="535"/>
              <w:spacing w:before="36" w:line="161"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5"/>
              </w:rPr>
              <w:t>D2</w:t>
            </w:r>
            <w:r>
              <w:rPr>
                <w:rFonts w:ascii="Times New Roman" w:hAnsi="Times New Roman" w:eastAsia="Times New Roman" w:cs="Times New Roman"/>
                <w:sz w:val="20"/>
                <w:szCs w:val="20"/>
                <w:spacing w:val="21"/>
              </w:rPr>
              <w:t xml:space="preserve"> </w:t>
            </w:r>
            <w:r>
              <w:rPr>
                <w:rFonts w:ascii="Microsoft YaHei" w:hAnsi="Microsoft YaHei" w:eastAsia="Microsoft YaHei" w:cs="Microsoft YaHei"/>
                <w:sz w:val="20"/>
                <w:szCs w:val="20"/>
                <w:spacing w:val="15"/>
              </w:rPr>
              <w:t>□</w:t>
            </w:r>
          </w:p>
        </w:tc>
        <w:tc>
          <w:tcPr>
            <w:tcW w:w="1256" w:type="dxa"/>
            <w:vAlign w:val="top"/>
          </w:tcPr>
          <w:p>
            <w:pPr>
              <w:ind w:left="380"/>
              <w:spacing w:before="36" w:line="161"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5"/>
              </w:rPr>
              <w:t>D3</w:t>
            </w:r>
            <w:r>
              <w:rPr>
                <w:rFonts w:ascii="Times New Roman" w:hAnsi="Times New Roman" w:eastAsia="Times New Roman" w:cs="Times New Roman"/>
                <w:sz w:val="20"/>
                <w:szCs w:val="20"/>
                <w:spacing w:val="21"/>
              </w:rPr>
              <w:t xml:space="preserve"> </w:t>
            </w:r>
            <w:r>
              <w:rPr>
                <w:rFonts w:ascii="Microsoft YaHei" w:hAnsi="Microsoft YaHei" w:eastAsia="Microsoft YaHei" w:cs="Microsoft YaHei"/>
                <w:sz w:val="20"/>
                <w:szCs w:val="20"/>
                <w:spacing w:val="15"/>
              </w:rPr>
              <w:t>□</w:t>
            </w:r>
          </w:p>
        </w:tc>
      </w:tr>
      <w:tr>
        <w:trPr>
          <w:trHeight w:val="277" w:hRule="atLeast"/>
        </w:trPr>
        <w:tc>
          <w:tcPr>
            <w:tcW w:w="1473" w:type="dxa"/>
            <w:vAlign w:val="top"/>
            <w:gridSpan w:val="2"/>
            <w:vMerge w:val="restart"/>
            <w:tcBorders>
              <w:bottom w:val="nil"/>
            </w:tcBorders>
          </w:tcPr>
          <w:p>
            <w:pPr>
              <w:pStyle w:val="TableText"/>
              <w:ind w:left="111"/>
              <w:spacing w:before="181" w:line="228" w:lineRule="auto"/>
              <w:rPr/>
            </w:pPr>
            <w:r>
              <w:rPr>
                <w:spacing w:val="8"/>
              </w:rPr>
              <w:t>物质及工艺系</w:t>
            </w:r>
          </w:p>
          <w:p>
            <w:pPr>
              <w:pStyle w:val="TableText"/>
              <w:ind w:left="325"/>
              <w:spacing w:before="24" w:line="228" w:lineRule="auto"/>
              <w:rPr/>
            </w:pPr>
            <w:r>
              <w:rPr>
                <w:spacing w:val="6"/>
              </w:rPr>
              <w:t>统危险性</w:t>
            </w:r>
          </w:p>
        </w:tc>
        <w:tc>
          <w:tcPr>
            <w:tcW w:w="1041" w:type="dxa"/>
            <w:vAlign w:val="top"/>
          </w:tcPr>
          <w:p>
            <w:pPr>
              <w:pStyle w:val="TableText"/>
              <w:ind w:left="318"/>
              <w:spacing w:before="34" w:line="215" w:lineRule="auto"/>
              <w:rPr/>
            </w:pPr>
            <w:r>
              <w:rPr>
                <w:rFonts w:ascii="Times New Roman" w:hAnsi="Times New Roman" w:eastAsia="Times New Roman" w:cs="Times New Roman"/>
                <w:spacing w:val="-1"/>
              </w:rPr>
              <w:t>Q</w:t>
            </w:r>
            <w:r>
              <w:rPr>
                <w:rFonts w:ascii="Times New Roman" w:hAnsi="Times New Roman" w:eastAsia="Times New Roman" w:cs="Times New Roman"/>
                <w:spacing w:val="12"/>
              </w:rPr>
              <w:t xml:space="preserve"> </w:t>
            </w:r>
            <w:r>
              <w:rPr>
                <w:spacing w:val="-1"/>
              </w:rPr>
              <w:t>值</w:t>
            </w:r>
          </w:p>
        </w:tc>
        <w:tc>
          <w:tcPr>
            <w:tcW w:w="1961" w:type="dxa"/>
            <w:vAlign w:val="top"/>
            <w:gridSpan w:val="4"/>
          </w:tcPr>
          <w:p>
            <w:pPr>
              <w:pStyle w:val="TableText"/>
              <w:ind w:left="630"/>
              <w:spacing w:before="33" w:line="163" w:lineRule="auto"/>
              <w:rPr>
                <w:rFonts w:ascii="Microsoft YaHei" w:hAnsi="Microsoft YaHei" w:eastAsia="Microsoft YaHei" w:cs="Microsoft YaHei"/>
              </w:rPr>
            </w:pPr>
            <w:r>
              <w:rPr>
                <w:rFonts w:ascii="Times New Roman" w:hAnsi="Times New Roman" w:eastAsia="Times New Roman" w:cs="Times New Roman"/>
                <w:spacing w:val="12"/>
              </w:rPr>
              <w:t>Q</w:t>
            </w:r>
            <w:r>
              <w:rPr>
                <w:spacing w:val="12"/>
              </w:rPr>
              <w:t>＜</w:t>
            </w:r>
            <w:r>
              <w:rPr>
                <w:rFonts w:ascii="Times New Roman" w:hAnsi="Times New Roman" w:eastAsia="Times New Roman" w:cs="Times New Roman"/>
                <w:spacing w:val="12"/>
              </w:rPr>
              <w:t>1</w:t>
            </w:r>
            <w:r>
              <w:rPr>
                <w:rFonts w:ascii="Times New Roman" w:hAnsi="Times New Roman" w:eastAsia="Times New Roman" w:cs="Times New Roman"/>
                <w:spacing w:val="23"/>
              </w:rPr>
              <w:t xml:space="preserve"> </w:t>
            </w:r>
            <w:r>
              <w:rPr>
                <w:rFonts w:ascii="Microsoft YaHei" w:hAnsi="Microsoft YaHei" w:eastAsia="Microsoft YaHei" w:cs="Microsoft YaHei"/>
                <w:spacing w:val="12"/>
              </w:rPr>
              <w:t>□</w:t>
            </w:r>
          </w:p>
        </w:tc>
        <w:tc>
          <w:tcPr>
            <w:tcW w:w="1250" w:type="dxa"/>
            <w:vAlign w:val="top"/>
            <w:gridSpan w:val="4"/>
          </w:tcPr>
          <w:p>
            <w:pPr>
              <w:pStyle w:val="TableText"/>
              <w:ind w:left="129"/>
              <w:spacing w:before="33" w:line="163" w:lineRule="auto"/>
              <w:rPr>
                <w:rFonts w:ascii="Microsoft YaHei" w:hAnsi="Microsoft YaHei" w:eastAsia="Microsoft YaHei" w:cs="Microsoft YaHei"/>
              </w:rPr>
            </w:pPr>
            <w:r>
              <w:rPr>
                <w:rFonts w:ascii="Times New Roman" w:hAnsi="Times New Roman" w:eastAsia="Times New Roman" w:cs="Times New Roman"/>
                <w:spacing w:val="1"/>
              </w:rPr>
              <w:t>1≤Q</w:t>
            </w:r>
            <w:r>
              <w:rPr>
                <w:spacing w:val="1"/>
              </w:rPr>
              <w:t>＜</w:t>
            </w:r>
            <w:r>
              <w:rPr>
                <w:rFonts w:ascii="Times New Roman" w:hAnsi="Times New Roman" w:eastAsia="Times New Roman" w:cs="Times New Roman"/>
                <w:spacing w:val="1"/>
              </w:rPr>
              <w:t>10</w:t>
            </w:r>
            <w:r>
              <w:rPr>
                <w:rFonts w:ascii="Times New Roman" w:hAnsi="Times New Roman" w:eastAsia="Times New Roman" w:cs="Times New Roman"/>
                <w:spacing w:val="25"/>
                <w:w w:val="101"/>
              </w:rPr>
              <w:t xml:space="preserve"> </w:t>
            </w:r>
            <w:r>
              <w:rPr>
                <w:rFonts w:ascii="Microsoft YaHei" w:hAnsi="Microsoft YaHei" w:eastAsia="Microsoft YaHei" w:cs="Microsoft YaHei"/>
                <w:spacing w:val="1"/>
              </w:rPr>
              <w:t>四</w:t>
            </w:r>
          </w:p>
        </w:tc>
        <w:tc>
          <w:tcPr>
            <w:tcW w:w="1562" w:type="dxa"/>
            <w:vAlign w:val="top"/>
            <w:gridSpan w:val="4"/>
          </w:tcPr>
          <w:p>
            <w:pPr>
              <w:pStyle w:val="TableText"/>
              <w:ind w:left="184"/>
              <w:spacing w:before="33" w:line="163" w:lineRule="auto"/>
              <w:rPr>
                <w:rFonts w:ascii="Microsoft YaHei" w:hAnsi="Microsoft YaHei" w:eastAsia="Microsoft YaHei" w:cs="Microsoft YaHei"/>
              </w:rPr>
            </w:pPr>
            <w:r>
              <w:rPr>
                <w:rFonts w:ascii="Times New Roman" w:hAnsi="Times New Roman" w:eastAsia="Times New Roman" w:cs="Times New Roman"/>
                <w:spacing w:val="6"/>
              </w:rPr>
              <w:t>10≤Q</w:t>
            </w:r>
            <w:r>
              <w:rPr>
                <w:spacing w:val="6"/>
              </w:rPr>
              <w:t>＜</w:t>
            </w:r>
            <w:r>
              <w:rPr>
                <w:rFonts w:ascii="Times New Roman" w:hAnsi="Times New Roman" w:eastAsia="Times New Roman" w:cs="Times New Roman"/>
                <w:spacing w:val="6"/>
              </w:rPr>
              <w:t>100</w:t>
            </w:r>
            <w:r>
              <w:rPr>
                <w:rFonts w:ascii="Times New Roman" w:hAnsi="Times New Roman" w:eastAsia="Times New Roman" w:cs="Times New Roman"/>
                <w:spacing w:val="25"/>
                <w:w w:val="101"/>
              </w:rPr>
              <w:t xml:space="preserve"> </w:t>
            </w:r>
            <w:r>
              <w:rPr>
                <w:rFonts w:ascii="Microsoft YaHei" w:hAnsi="Microsoft YaHei" w:eastAsia="Microsoft YaHei" w:cs="Microsoft YaHei"/>
                <w:spacing w:val="6"/>
              </w:rPr>
              <w:t>□</w:t>
            </w:r>
          </w:p>
        </w:tc>
        <w:tc>
          <w:tcPr>
            <w:tcW w:w="1256" w:type="dxa"/>
            <w:vAlign w:val="top"/>
          </w:tcPr>
          <w:p>
            <w:pPr>
              <w:ind w:left="223"/>
              <w:spacing w:before="38" w:line="160"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9"/>
              </w:rPr>
              <w:t>Q≥100</w:t>
            </w:r>
            <w:r>
              <w:rPr>
                <w:rFonts w:ascii="Times New Roman" w:hAnsi="Times New Roman" w:eastAsia="Times New Roman" w:cs="Times New Roman"/>
                <w:sz w:val="20"/>
                <w:szCs w:val="20"/>
                <w:spacing w:val="22"/>
                <w:w w:val="101"/>
              </w:rPr>
              <w:t xml:space="preserve"> </w:t>
            </w:r>
            <w:r>
              <w:rPr>
                <w:rFonts w:ascii="Microsoft YaHei" w:hAnsi="Microsoft YaHei" w:eastAsia="Microsoft YaHei" w:cs="Microsoft YaHei"/>
                <w:sz w:val="20"/>
                <w:szCs w:val="20"/>
                <w:spacing w:val="9"/>
              </w:rPr>
              <w:t>□</w:t>
            </w:r>
          </w:p>
        </w:tc>
      </w:tr>
      <w:tr>
        <w:trPr>
          <w:trHeight w:val="277" w:hRule="atLeast"/>
        </w:trPr>
        <w:tc>
          <w:tcPr>
            <w:tcW w:w="1473" w:type="dxa"/>
            <w:vAlign w:val="top"/>
            <w:gridSpan w:val="2"/>
            <w:vMerge w:val="continue"/>
            <w:tcBorders>
              <w:top w:val="nil"/>
              <w:bottom w:val="nil"/>
            </w:tcBorders>
          </w:tcPr>
          <w:p>
            <w:pPr>
              <w:rPr>
                <w:rFonts w:ascii="Arial"/>
                <w:sz w:val="21"/>
              </w:rPr>
            </w:pPr>
            <w:r/>
          </w:p>
        </w:tc>
        <w:tc>
          <w:tcPr>
            <w:tcW w:w="1041" w:type="dxa"/>
            <w:vAlign w:val="top"/>
          </w:tcPr>
          <w:p>
            <w:pPr>
              <w:pStyle w:val="TableText"/>
              <w:ind w:left="295"/>
              <w:spacing w:before="35" w:line="214" w:lineRule="auto"/>
              <w:rPr/>
            </w:pPr>
            <w:r>
              <w:rPr>
                <w:rFonts w:ascii="Times New Roman" w:hAnsi="Times New Roman" w:eastAsia="Times New Roman" w:cs="Times New Roman"/>
                <w:spacing w:val="2"/>
              </w:rPr>
              <w:t>M</w:t>
            </w:r>
            <w:r>
              <w:rPr>
                <w:rFonts w:ascii="Times New Roman" w:hAnsi="Times New Roman" w:eastAsia="Times New Roman" w:cs="Times New Roman"/>
                <w:spacing w:val="12"/>
                <w:w w:val="101"/>
              </w:rPr>
              <w:t xml:space="preserve"> </w:t>
            </w:r>
            <w:r>
              <w:rPr>
                <w:spacing w:val="2"/>
              </w:rPr>
              <w:t>值</w:t>
            </w:r>
          </w:p>
        </w:tc>
        <w:tc>
          <w:tcPr>
            <w:tcW w:w="1961" w:type="dxa"/>
            <w:vAlign w:val="top"/>
            <w:gridSpan w:val="4"/>
          </w:tcPr>
          <w:p>
            <w:pPr>
              <w:ind w:left="713"/>
              <w:spacing w:before="38" w:line="160"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5"/>
              </w:rPr>
              <w:t>M1</w:t>
            </w:r>
            <w:r>
              <w:rPr>
                <w:rFonts w:ascii="Times New Roman" w:hAnsi="Times New Roman" w:eastAsia="Times New Roman" w:cs="Times New Roman"/>
                <w:sz w:val="20"/>
                <w:szCs w:val="20"/>
                <w:spacing w:val="21"/>
                <w:w w:val="101"/>
              </w:rPr>
              <w:t xml:space="preserve"> </w:t>
            </w:r>
            <w:r>
              <w:rPr>
                <w:rFonts w:ascii="Microsoft YaHei" w:hAnsi="Microsoft YaHei" w:eastAsia="Microsoft YaHei" w:cs="Microsoft YaHei"/>
                <w:sz w:val="20"/>
                <w:szCs w:val="20"/>
                <w:spacing w:val="15"/>
              </w:rPr>
              <w:t>□</w:t>
            </w:r>
          </w:p>
        </w:tc>
        <w:tc>
          <w:tcPr>
            <w:tcW w:w="1250" w:type="dxa"/>
            <w:vAlign w:val="top"/>
            <w:gridSpan w:val="4"/>
          </w:tcPr>
          <w:p>
            <w:pPr>
              <w:ind w:left="360"/>
              <w:spacing w:before="38" w:line="160"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5"/>
              </w:rPr>
              <w:t>M2</w:t>
            </w:r>
            <w:r>
              <w:rPr>
                <w:rFonts w:ascii="Times New Roman" w:hAnsi="Times New Roman" w:eastAsia="Times New Roman" w:cs="Times New Roman"/>
                <w:sz w:val="20"/>
                <w:szCs w:val="20"/>
                <w:spacing w:val="21"/>
                <w:w w:val="101"/>
              </w:rPr>
              <w:t xml:space="preserve"> </w:t>
            </w:r>
            <w:r>
              <w:rPr>
                <w:rFonts w:ascii="Microsoft YaHei" w:hAnsi="Microsoft YaHei" w:eastAsia="Microsoft YaHei" w:cs="Microsoft YaHei"/>
                <w:sz w:val="20"/>
                <w:szCs w:val="20"/>
                <w:spacing w:val="15"/>
              </w:rPr>
              <w:t>□</w:t>
            </w:r>
          </w:p>
        </w:tc>
        <w:tc>
          <w:tcPr>
            <w:tcW w:w="1562" w:type="dxa"/>
            <w:vAlign w:val="top"/>
            <w:gridSpan w:val="4"/>
          </w:tcPr>
          <w:p>
            <w:pPr>
              <w:ind w:left="519"/>
              <w:spacing w:before="38" w:line="160"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5"/>
              </w:rPr>
              <w:t>M3</w:t>
            </w:r>
            <w:r>
              <w:rPr>
                <w:rFonts w:ascii="Times New Roman" w:hAnsi="Times New Roman" w:eastAsia="Times New Roman" w:cs="Times New Roman"/>
                <w:sz w:val="20"/>
                <w:szCs w:val="20"/>
                <w:spacing w:val="21"/>
                <w:w w:val="101"/>
              </w:rPr>
              <w:t xml:space="preserve"> </w:t>
            </w:r>
            <w:r>
              <w:rPr>
                <w:rFonts w:ascii="Microsoft YaHei" w:hAnsi="Microsoft YaHei" w:eastAsia="Microsoft YaHei" w:cs="Microsoft YaHei"/>
                <w:sz w:val="20"/>
                <w:szCs w:val="20"/>
                <w:spacing w:val="15"/>
              </w:rPr>
              <w:t>□</w:t>
            </w:r>
          </w:p>
        </w:tc>
        <w:tc>
          <w:tcPr>
            <w:tcW w:w="1256" w:type="dxa"/>
            <w:vAlign w:val="top"/>
          </w:tcPr>
          <w:p>
            <w:pPr>
              <w:ind w:left="363"/>
              <w:spacing w:before="52" w:line="215" w:lineRule="exact"/>
              <w:rPr>
                <w:rFonts w:ascii="Microsoft YaHei" w:hAnsi="Microsoft YaHei" w:eastAsia="Microsoft YaHei" w:cs="Microsoft YaHei"/>
                <w:sz w:val="20"/>
                <w:szCs w:val="20"/>
              </w:rPr>
            </w:pPr>
            <w:r>
              <w:rPr>
                <w:rFonts w:ascii="Times New Roman" w:hAnsi="Times New Roman" w:eastAsia="Times New Roman" w:cs="Times New Roman"/>
                <w:sz w:val="20"/>
                <w:szCs w:val="20"/>
                <w:spacing w:val="2"/>
                <w:position w:val="2"/>
              </w:rPr>
              <w:t>M4</w:t>
            </w:r>
            <w:r>
              <w:rPr>
                <w:rFonts w:ascii="Times New Roman" w:hAnsi="Times New Roman" w:eastAsia="Times New Roman" w:cs="Times New Roman"/>
                <w:sz w:val="20"/>
                <w:szCs w:val="20"/>
                <w:spacing w:val="24"/>
                <w:w w:val="101"/>
                <w:position w:val="2"/>
              </w:rPr>
              <w:t xml:space="preserve"> </w:t>
            </w:r>
            <w:r>
              <w:rPr>
                <w:rFonts w:ascii="Microsoft YaHei" w:hAnsi="Microsoft YaHei" w:eastAsia="Microsoft YaHei" w:cs="Microsoft YaHei"/>
                <w:sz w:val="20"/>
                <w:szCs w:val="20"/>
                <w:spacing w:val="2"/>
                <w:position w:val="2"/>
              </w:rPr>
              <w:t>四</w:t>
            </w:r>
          </w:p>
        </w:tc>
      </w:tr>
      <w:tr>
        <w:trPr>
          <w:trHeight w:val="278" w:hRule="atLeast"/>
        </w:trPr>
        <w:tc>
          <w:tcPr>
            <w:tcW w:w="1473" w:type="dxa"/>
            <w:vAlign w:val="top"/>
            <w:gridSpan w:val="2"/>
            <w:vMerge w:val="continue"/>
            <w:tcBorders>
              <w:top w:val="nil"/>
            </w:tcBorders>
          </w:tcPr>
          <w:p>
            <w:pPr>
              <w:rPr>
                <w:rFonts w:ascii="Arial"/>
                <w:sz w:val="21"/>
              </w:rPr>
            </w:pPr>
            <w:r/>
          </w:p>
        </w:tc>
        <w:tc>
          <w:tcPr>
            <w:tcW w:w="1041" w:type="dxa"/>
            <w:vAlign w:val="top"/>
          </w:tcPr>
          <w:p>
            <w:pPr>
              <w:pStyle w:val="TableText"/>
              <w:ind w:left="331"/>
              <w:spacing w:before="33" w:line="216" w:lineRule="auto"/>
              <w:rPr/>
            </w:pPr>
            <w:r>
              <w:rPr>
                <w:rFonts w:ascii="Times New Roman" w:hAnsi="Times New Roman" w:eastAsia="Times New Roman" w:cs="Times New Roman"/>
                <w:spacing w:val="1"/>
              </w:rPr>
              <w:t>P</w:t>
            </w:r>
            <w:r>
              <w:rPr>
                <w:rFonts w:ascii="Times New Roman" w:hAnsi="Times New Roman" w:eastAsia="Times New Roman" w:cs="Times New Roman"/>
                <w:spacing w:val="9"/>
              </w:rPr>
              <w:t xml:space="preserve"> </w:t>
            </w:r>
            <w:r>
              <w:rPr>
                <w:spacing w:val="1"/>
              </w:rPr>
              <w:t>值</w:t>
            </w:r>
          </w:p>
        </w:tc>
        <w:tc>
          <w:tcPr>
            <w:tcW w:w="1961" w:type="dxa"/>
            <w:vAlign w:val="top"/>
            <w:gridSpan w:val="4"/>
          </w:tcPr>
          <w:p>
            <w:pPr>
              <w:ind w:left="749"/>
              <w:spacing w:before="37" w:line="161"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4"/>
              </w:rPr>
              <w:t>P1</w:t>
            </w:r>
            <w:r>
              <w:rPr>
                <w:rFonts w:ascii="Times New Roman" w:hAnsi="Times New Roman" w:eastAsia="Times New Roman" w:cs="Times New Roman"/>
                <w:sz w:val="20"/>
                <w:szCs w:val="20"/>
                <w:spacing w:val="21"/>
                <w:w w:val="101"/>
              </w:rPr>
              <w:t xml:space="preserve"> </w:t>
            </w:r>
            <w:r>
              <w:rPr>
                <w:rFonts w:ascii="Microsoft YaHei" w:hAnsi="Microsoft YaHei" w:eastAsia="Microsoft YaHei" w:cs="Microsoft YaHei"/>
                <w:sz w:val="20"/>
                <w:szCs w:val="20"/>
                <w:spacing w:val="14"/>
              </w:rPr>
              <w:t>□</w:t>
            </w:r>
          </w:p>
        </w:tc>
        <w:tc>
          <w:tcPr>
            <w:tcW w:w="1250" w:type="dxa"/>
            <w:vAlign w:val="top"/>
            <w:gridSpan w:val="4"/>
          </w:tcPr>
          <w:p>
            <w:pPr>
              <w:ind w:left="393"/>
              <w:spacing w:before="37" w:line="161"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4"/>
              </w:rPr>
              <w:t>P2</w:t>
            </w:r>
            <w:r>
              <w:rPr>
                <w:rFonts w:ascii="Times New Roman" w:hAnsi="Times New Roman" w:eastAsia="Times New Roman" w:cs="Times New Roman"/>
                <w:sz w:val="20"/>
                <w:szCs w:val="20"/>
                <w:spacing w:val="21"/>
                <w:w w:val="101"/>
              </w:rPr>
              <w:t xml:space="preserve"> </w:t>
            </w:r>
            <w:r>
              <w:rPr>
                <w:rFonts w:ascii="Microsoft YaHei" w:hAnsi="Microsoft YaHei" w:eastAsia="Microsoft YaHei" w:cs="Microsoft YaHei"/>
                <w:sz w:val="20"/>
                <w:szCs w:val="20"/>
                <w:spacing w:val="14"/>
              </w:rPr>
              <w:t>□</w:t>
            </w:r>
          </w:p>
        </w:tc>
        <w:tc>
          <w:tcPr>
            <w:tcW w:w="1562" w:type="dxa"/>
            <w:vAlign w:val="top"/>
            <w:gridSpan w:val="4"/>
          </w:tcPr>
          <w:p>
            <w:pPr>
              <w:ind w:left="555"/>
              <w:spacing w:before="37" w:line="161"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4"/>
              </w:rPr>
              <w:t>P3</w:t>
            </w:r>
            <w:r>
              <w:rPr>
                <w:rFonts w:ascii="Times New Roman" w:hAnsi="Times New Roman" w:eastAsia="Times New Roman" w:cs="Times New Roman"/>
                <w:sz w:val="20"/>
                <w:szCs w:val="20"/>
                <w:spacing w:val="21"/>
                <w:w w:val="101"/>
              </w:rPr>
              <w:t xml:space="preserve"> </w:t>
            </w:r>
            <w:r>
              <w:rPr>
                <w:rFonts w:ascii="Microsoft YaHei" w:hAnsi="Microsoft YaHei" w:eastAsia="Microsoft YaHei" w:cs="Microsoft YaHei"/>
                <w:sz w:val="20"/>
                <w:szCs w:val="20"/>
                <w:spacing w:val="14"/>
              </w:rPr>
              <w:t>□</w:t>
            </w:r>
          </w:p>
        </w:tc>
        <w:tc>
          <w:tcPr>
            <w:tcW w:w="1256" w:type="dxa"/>
            <w:vAlign w:val="top"/>
          </w:tcPr>
          <w:p>
            <w:pPr>
              <w:ind w:left="399"/>
              <w:spacing w:before="51" w:line="216" w:lineRule="exact"/>
              <w:rPr>
                <w:rFonts w:ascii="Microsoft YaHei" w:hAnsi="Microsoft YaHei" w:eastAsia="Microsoft YaHei" w:cs="Microsoft YaHei"/>
                <w:sz w:val="20"/>
                <w:szCs w:val="20"/>
              </w:rPr>
            </w:pPr>
            <w:r>
              <w:rPr>
                <w:rFonts w:ascii="Times New Roman" w:hAnsi="Times New Roman" w:eastAsia="Times New Roman" w:cs="Times New Roman"/>
                <w:sz w:val="20"/>
                <w:szCs w:val="20"/>
                <w:spacing w:val="1"/>
                <w:position w:val="-2"/>
              </w:rPr>
              <w:t>P4</w:t>
            </w:r>
            <w:r>
              <w:rPr>
                <w:rFonts w:ascii="Times New Roman" w:hAnsi="Times New Roman" w:eastAsia="Times New Roman" w:cs="Times New Roman"/>
                <w:sz w:val="20"/>
                <w:szCs w:val="20"/>
                <w:spacing w:val="22"/>
                <w:position w:val="-2"/>
              </w:rPr>
              <w:t xml:space="preserve"> </w:t>
            </w:r>
            <w:r>
              <w:rPr>
                <w:rFonts w:ascii="Microsoft YaHei" w:hAnsi="Microsoft YaHei" w:eastAsia="Microsoft YaHei" w:cs="Microsoft YaHei"/>
                <w:sz w:val="20"/>
                <w:szCs w:val="20"/>
                <w:spacing w:val="1"/>
                <w:position w:val="-2"/>
              </w:rPr>
              <w:t>四</w:t>
            </w:r>
          </w:p>
        </w:tc>
      </w:tr>
      <w:tr>
        <w:trPr>
          <w:trHeight w:val="277" w:hRule="atLeast"/>
        </w:trPr>
        <w:tc>
          <w:tcPr>
            <w:tcW w:w="1473" w:type="dxa"/>
            <w:vAlign w:val="top"/>
            <w:gridSpan w:val="2"/>
            <w:vMerge w:val="restart"/>
            <w:tcBorders>
              <w:bottom w:val="nil"/>
            </w:tcBorders>
          </w:tcPr>
          <w:p>
            <w:pPr>
              <w:spacing w:line="248" w:lineRule="auto"/>
              <w:rPr>
                <w:rFonts w:ascii="Arial"/>
                <w:sz w:val="21"/>
              </w:rPr>
            </w:pPr>
            <w:r/>
          </w:p>
          <w:p>
            <w:pPr>
              <w:pStyle w:val="TableText"/>
              <w:ind w:left="111"/>
              <w:spacing w:before="65" w:line="228" w:lineRule="auto"/>
              <w:rPr/>
            </w:pPr>
            <w:r>
              <w:rPr>
                <w:spacing w:val="8"/>
              </w:rPr>
              <w:t>环境敏感程度</w:t>
            </w:r>
          </w:p>
        </w:tc>
        <w:tc>
          <w:tcPr>
            <w:tcW w:w="1041" w:type="dxa"/>
            <w:vAlign w:val="top"/>
          </w:tcPr>
          <w:p>
            <w:pPr>
              <w:pStyle w:val="TableText"/>
              <w:ind w:left="316"/>
              <w:spacing w:before="34" w:line="215" w:lineRule="auto"/>
              <w:rPr/>
            </w:pPr>
            <w:r>
              <w:rPr>
                <w:spacing w:val="3"/>
              </w:rPr>
              <w:t>大气</w:t>
            </w:r>
          </w:p>
        </w:tc>
        <w:tc>
          <w:tcPr>
            <w:tcW w:w="1961" w:type="dxa"/>
            <w:vAlign w:val="top"/>
            <w:gridSpan w:val="4"/>
          </w:tcPr>
          <w:p>
            <w:pPr>
              <w:ind w:left="742"/>
              <w:spacing w:before="38" w:line="160"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4"/>
              </w:rPr>
              <w:t>E1</w:t>
            </w:r>
            <w:r>
              <w:rPr>
                <w:rFonts w:ascii="Times New Roman" w:hAnsi="Times New Roman" w:eastAsia="Times New Roman" w:cs="Times New Roman"/>
                <w:sz w:val="20"/>
                <w:szCs w:val="20"/>
                <w:spacing w:val="21"/>
                <w:w w:val="101"/>
              </w:rPr>
              <w:t xml:space="preserve"> </w:t>
            </w:r>
            <w:r>
              <w:rPr>
                <w:rFonts w:ascii="Microsoft YaHei" w:hAnsi="Microsoft YaHei" w:eastAsia="Microsoft YaHei" w:cs="Microsoft YaHei"/>
                <w:sz w:val="20"/>
                <w:szCs w:val="20"/>
                <w:spacing w:val="14"/>
              </w:rPr>
              <w:t>□</w:t>
            </w:r>
          </w:p>
        </w:tc>
        <w:tc>
          <w:tcPr>
            <w:tcW w:w="1997" w:type="dxa"/>
            <w:vAlign w:val="top"/>
            <w:gridSpan w:val="5"/>
          </w:tcPr>
          <w:p>
            <w:pPr>
              <w:ind w:left="759"/>
              <w:spacing w:before="51" w:line="216" w:lineRule="exact"/>
              <w:rPr>
                <w:rFonts w:ascii="Microsoft YaHei" w:hAnsi="Microsoft YaHei" w:eastAsia="Microsoft YaHei" w:cs="Microsoft YaHei"/>
                <w:sz w:val="20"/>
                <w:szCs w:val="20"/>
              </w:rPr>
            </w:pPr>
            <w:r>
              <w:rPr>
                <w:rFonts w:ascii="Times New Roman" w:hAnsi="Times New Roman" w:eastAsia="Times New Roman" w:cs="Times New Roman"/>
                <w:sz w:val="20"/>
                <w:szCs w:val="20"/>
                <w:spacing w:val="1"/>
                <w:position w:val="-2"/>
              </w:rPr>
              <w:t>E2</w:t>
            </w:r>
            <w:r>
              <w:rPr>
                <w:rFonts w:ascii="Times New Roman" w:hAnsi="Times New Roman" w:eastAsia="Times New Roman" w:cs="Times New Roman"/>
                <w:sz w:val="20"/>
                <w:szCs w:val="20"/>
                <w:spacing w:val="22"/>
                <w:w w:val="101"/>
                <w:position w:val="-2"/>
              </w:rPr>
              <w:t xml:space="preserve"> </w:t>
            </w:r>
            <w:r>
              <w:rPr>
                <w:rFonts w:ascii="Microsoft YaHei" w:hAnsi="Microsoft YaHei" w:eastAsia="Microsoft YaHei" w:cs="Microsoft YaHei"/>
                <w:sz w:val="20"/>
                <w:szCs w:val="20"/>
                <w:spacing w:val="1"/>
                <w:position w:val="-2"/>
              </w:rPr>
              <w:t>四</w:t>
            </w:r>
          </w:p>
        </w:tc>
        <w:tc>
          <w:tcPr>
            <w:tcW w:w="2071" w:type="dxa"/>
            <w:vAlign w:val="top"/>
            <w:gridSpan w:val="4"/>
          </w:tcPr>
          <w:p>
            <w:pPr>
              <w:ind w:left="797"/>
              <w:spacing w:before="38" w:line="160"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4"/>
              </w:rPr>
              <w:t>E3</w:t>
            </w:r>
            <w:r>
              <w:rPr>
                <w:rFonts w:ascii="Times New Roman" w:hAnsi="Times New Roman" w:eastAsia="Times New Roman" w:cs="Times New Roman"/>
                <w:sz w:val="20"/>
                <w:szCs w:val="20"/>
                <w:spacing w:val="21"/>
                <w:w w:val="101"/>
              </w:rPr>
              <w:t xml:space="preserve"> </w:t>
            </w:r>
            <w:r>
              <w:rPr>
                <w:rFonts w:ascii="Microsoft YaHei" w:hAnsi="Microsoft YaHei" w:eastAsia="Microsoft YaHei" w:cs="Microsoft YaHei"/>
                <w:sz w:val="20"/>
                <w:szCs w:val="20"/>
                <w:spacing w:val="14"/>
              </w:rPr>
              <w:t>□</w:t>
            </w:r>
          </w:p>
        </w:tc>
      </w:tr>
      <w:tr>
        <w:trPr>
          <w:trHeight w:val="277" w:hRule="atLeast"/>
        </w:trPr>
        <w:tc>
          <w:tcPr>
            <w:tcW w:w="1473" w:type="dxa"/>
            <w:vAlign w:val="top"/>
            <w:gridSpan w:val="2"/>
            <w:vMerge w:val="continue"/>
            <w:tcBorders>
              <w:top w:val="nil"/>
              <w:bottom w:val="nil"/>
            </w:tcBorders>
          </w:tcPr>
          <w:p>
            <w:pPr>
              <w:rPr>
                <w:rFonts w:ascii="Arial"/>
                <w:sz w:val="21"/>
              </w:rPr>
            </w:pPr>
            <w:r/>
          </w:p>
        </w:tc>
        <w:tc>
          <w:tcPr>
            <w:tcW w:w="1041" w:type="dxa"/>
            <w:vAlign w:val="top"/>
          </w:tcPr>
          <w:p>
            <w:pPr>
              <w:pStyle w:val="TableText"/>
              <w:ind w:left="210"/>
              <w:spacing w:before="35" w:line="214" w:lineRule="auto"/>
              <w:rPr/>
            </w:pPr>
            <w:r>
              <w:rPr>
                <w:spacing w:val="6"/>
              </w:rPr>
              <w:t>地表水</w:t>
            </w:r>
          </w:p>
        </w:tc>
        <w:tc>
          <w:tcPr>
            <w:tcW w:w="1961" w:type="dxa"/>
            <w:vAlign w:val="top"/>
            <w:gridSpan w:val="4"/>
          </w:tcPr>
          <w:p>
            <w:pPr>
              <w:ind w:left="742"/>
              <w:spacing w:before="36" w:line="161"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4"/>
              </w:rPr>
              <w:t>E1</w:t>
            </w:r>
            <w:r>
              <w:rPr>
                <w:rFonts w:ascii="Times New Roman" w:hAnsi="Times New Roman" w:eastAsia="Times New Roman" w:cs="Times New Roman"/>
                <w:sz w:val="20"/>
                <w:szCs w:val="20"/>
                <w:spacing w:val="21"/>
                <w:w w:val="101"/>
              </w:rPr>
              <w:t xml:space="preserve"> </w:t>
            </w:r>
            <w:r>
              <w:rPr>
                <w:rFonts w:ascii="Microsoft YaHei" w:hAnsi="Microsoft YaHei" w:eastAsia="Microsoft YaHei" w:cs="Microsoft YaHei"/>
                <w:sz w:val="20"/>
                <w:szCs w:val="20"/>
                <w:spacing w:val="14"/>
              </w:rPr>
              <w:t>□</w:t>
            </w:r>
          </w:p>
        </w:tc>
        <w:tc>
          <w:tcPr>
            <w:tcW w:w="1997" w:type="dxa"/>
            <w:vAlign w:val="top"/>
            <w:gridSpan w:val="5"/>
          </w:tcPr>
          <w:p>
            <w:pPr>
              <w:ind w:left="759"/>
              <w:spacing w:before="36" w:line="161"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4"/>
              </w:rPr>
              <w:t>E2</w:t>
            </w:r>
            <w:r>
              <w:rPr>
                <w:rFonts w:ascii="Times New Roman" w:hAnsi="Times New Roman" w:eastAsia="Times New Roman" w:cs="Times New Roman"/>
                <w:sz w:val="20"/>
                <w:szCs w:val="20"/>
                <w:spacing w:val="21"/>
                <w:w w:val="101"/>
              </w:rPr>
              <w:t xml:space="preserve"> </w:t>
            </w:r>
            <w:r>
              <w:rPr>
                <w:rFonts w:ascii="Microsoft YaHei" w:hAnsi="Microsoft YaHei" w:eastAsia="Microsoft YaHei" w:cs="Microsoft YaHei"/>
                <w:sz w:val="20"/>
                <w:szCs w:val="20"/>
                <w:spacing w:val="14"/>
              </w:rPr>
              <w:t>□</w:t>
            </w:r>
          </w:p>
        </w:tc>
        <w:tc>
          <w:tcPr>
            <w:tcW w:w="2071" w:type="dxa"/>
            <w:vAlign w:val="top"/>
            <w:gridSpan w:val="4"/>
          </w:tcPr>
          <w:p>
            <w:pPr>
              <w:ind w:left="797"/>
              <w:spacing w:before="50" w:line="217" w:lineRule="exact"/>
              <w:rPr>
                <w:rFonts w:ascii="Microsoft YaHei" w:hAnsi="Microsoft YaHei" w:eastAsia="Microsoft YaHei" w:cs="Microsoft YaHei"/>
                <w:sz w:val="20"/>
                <w:szCs w:val="20"/>
              </w:rPr>
            </w:pPr>
            <w:r>
              <w:rPr>
                <w:rFonts w:ascii="Times New Roman" w:hAnsi="Times New Roman" w:eastAsia="Times New Roman" w:cs="Times New Roman"/>
                <w:sz w:val="20"/>
                <w:szCs w:val="20"/>
                <w:spacing w:val="1"/>
                <w:position w:val="-2"/>
              </w:rPr>
              <w:t>E3</w:t>
            </w:r>
            <w:r>
              <w:rPr>
                <w:rFonts w:ascii="Times New Roman" w:hAnsi="Times New Roman" w:eastAsia="Times New Roman" w:cs="Times New Roman"/>
                <w:sz w:val="20"/>
                <w:szCs w:val="20"/>
                <w:spacing w:val="22"/>
                <w:w w:val="101"/>
                <w:position w:val="-2"/>
              </w:rPr>
              <w:t xml:space="preserve"> </w:t>
            </w:r>
            <w:r>
              <w:rPr>
                <w:rFonts w:ascii="Microsoft YaHei" w:hAnsi="Microsoft YaHei" w:eastAsia="Microsoft YaHei" w:cs="Microsoft YaHei"/>
                <w:sz w:val="20"/>
                <w:szCs w:val="20"/>
                <w:spacing w:val="1"/>
                <w:position w:val="-2"/>
              </w:rPr>
              <w:t>四</w:t>
            </w:r>
          </w:p>
        </w:tc>
      </w:tr>
      <w:tr>
        <w:trPr>
          <w:trHeight w:val="277" w:hRule="atLeast"/>
        </w:trPr>
        <w:tc>
          <w:tcPr>
            <w:tcW w:w="1473" w:type="dxa"/>
            <w:vAlign w:val="top"/>
            <w:gridSpan w:val="2"/>
            <w:vMerge w:val="continue"/>
            <w:tcBorders>
              <w:top w:val="nil"/>
            </w:tcBorders>
          </w:tcPr>
          <w:p>
            <w:pPr>
              <w:rPr>
                <w:rFonts w:ascii="Arial"/>
                <w:sz w:val="21"/>
              </w:rPr>
            </w:pPr>
            <w:r/>
          </w:p>
        </w:tc>
        <w:tc>
          <w:tcPr>
            <w:tcW w:w="1041" w:type="dxa"/>
            <w:vAlign w:val="top"/>
          </w:tcPr>
          <w:p>
            <w:pPr>
              <w:pStyle w:val="TableText"/>
              <w:ind w:left="210"/>
              <w:spacing w:before="34" w:line="215" w:lineRule="auto"/>
              <w:rPr/>
            </w:pPr>
            <w:r>
              <w:rPr>
                <w:spacing w:val="6"/>
              </w:rPr>
              <w:t>地下水</w:t>
            </w:r>
          </w:p>
        </w:tc>
        <w:tc>
          <w:tcPr>
            <w:tcW w:w="1961" w:type="dxa"/>
            <w:vAlign w:val="top"/>
            <w:gridSpan w:val="4"/>
          </w:tcPr>
          <w:p>
            <w:pPr>
              <w:ind w:left="742"/>
              <w:spacing w:before="51" w:line="216" w:lineRule="exact"/>
              <w:rPr>
                <w:rFonts w:ascii="Microsoft YaHei" w:hAnsi="Microsoft YaHei" w:eastAsia="Microsoft YaHei" w:cs="Microsoft YaHei"/>
                <w:sz w:val="20"/>
                <w:szCs w:val="20"/>
              </w:rPr>
            </w:pPr>
            <w:r>
              <w:rPr>
                <w:rFonts w:ascii="Times New Roman" w:hAnsi="Times New Roman" w:eastAsia="Times New Roman" w:cs="Times New Roman"/>
                <w:sz w:val="20"/>
                <w:szCs w:val="20"/>
                <w:spacing w:val="1"/>
                <w:position w:val="-2"/>
              </w:rPr>
              <w:t>E1</w:t>
            </w:r>
            <w:r>
              <w:rPr>
                <w:rFonts w:ascii="Times New Roman" w:hAnsi="Times New Roman" w:eastAsia="Times New Roman" w:cs="Times New Roman"/>
                <w:sz w:val="20"/>
                <w:szCs w:val="20"/>
                <w:spacing w:val="22"/>
                <w:w w:val="101"/>
                <w:position w:val="-2"/>
              </w:rPr>
              <w:t xml:space="preserve"> </w:t>
            </w:r>
            <w:r>
              <w:rPr>
                <w:rFonts w:ascii="Microsoft YaHei" w:hAnsi="Microsoft YaHei" w:eastAsia="Microsoft YaHei" w:cs="Microsoft YaHei"/>
                <w:sz w:val="20"/>
                <w:szCs w:val="20"/>
                <w:spacing w:val="1"/>
                <w:position w:val="-2"/>
              </w:rPr>
              <w:t>四</w:t>
            </w:r>
          </w:p>
        </w:tc>
        <w:tc>
          <w:tcPr>
            <w:tcW w:w="1997" w:type="dxa"/>
            <w:vAlign w:val="top"/>
            <w:gridSpan w:val="5"/>
          </w:tcPr>
          <w:p>
            <w:pPr>
              <w:ind w:left="759"/>
              <w:spacing w:before="38" w:line="160"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4"/>
              </w:rPr>
              <w:t>E2</w:t>
            </w:r>
            <w:r>
              <w:rPr>
                <w:rFonts w:ascii="Times New Roman" w:hAnsi="Times New Roman" w:eastAsia="Times New Roman" w:cs="Times New Roman"/>
                <w:sz w:val="20"/>
                <w:szCs w:val="20"/>
                <w:spacing w:val="21"/>
                <w:w w:val="101"/>
              </w:rPr>
              <w:t xml:space="preserve"> </w:t>
            </w:r>
            <w:r>
              <w:rPr>
                <w:rFonts w:ascii="Microsoft YaHei" w:hAnsi="Microsoft YaHei" w:eastAsia="Microsoft YaHei" w:cs="Microsoft YaHei"/>
                <w:sz w:val="20"/>
                <w:szCs w:val="20"/>
                <w:spacing w:val="14"/>
              </w:rPr>
              <w:t>□</w:t>
            </w:r>
          </w:p>
        </w:tc>
        <w:tc>
          <w:tcPr>
            <w:tcW w:w="2071" w:type="dxa"/>
            <w:vAlign w:val="top"/>
            <w:gridSpan w:val="4"/>
          </w:tcPr>
          <w:p>
            <w:pPr>
              <w:ind w:left="797"/>
              <w:spacing w:before="38" w:line="160"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4"/>
              </w:rPr>
              <w:t>E3</w:t>
            </w:r>
            <w:r>
              <w:rPr>
                <w:rFonts w:ascii="Times New Roman" w:hAnsi="Times New Roman" w:eastAsia="Times New Roman" w:cs="Times New Roman"/>
                <w:sz w:val="20"/>
                <w:szCs w:val="20"/>
                <w:spacing w:val="21"/>
                <w:w w:val="101"/>
              </w:rPr>
              <w:t xml:space="preserve"> </w:t>
            </w:r>
            <w:r>
              <w:rPr>
                <w:rFonts w:ascii="Microsoft YaHei" w:hAnsi="Microsoft YaHei" w:eastAsia="Microsoft YaHei" w:cs="Microsoft YaHei"/>
                <w:sz w:val="20"/>
                <w:szCs w:val="20"/>
                <w:spacing w:val="14"/>
              </w:rPr>
              <w:t>□</w:t>
            </w:r>
          </w:p>
        </w:tc>
      </w:tr>
      <w:tr>
        <w:trPr>
          <w:trHeight w:val="277" w:hRule="atLeast"/>
        </w:trPr>
        <w:tc>
          <w:tcPr>
            <w:tcW w:w="1473" w:type="dxa"/>
            <w:vAlign w:val="top"/>
            <w:gridSpan w:val="2"/>
          </w:tcPr>
          <w:p>
            <w:pPr>
              <w:pStyle w:val="TableText"/>
              <w:ind w:left="111"/>
              <w:spacing w:before="35" w:line="214" w:lineRule="auto"/>
              <w:rPr/>
            </w:pPr>
            <w:r>
              <w:rPr>
                <w:spacing w:val="8"/>
              </w:rPr>
              <w:t>环境风险潜势</w:t>
            </w:r>
          </w:p>
        </w:tc>
        <w:tc>
          <w:tcPr>
            <w:tcW w:w="1545" w:type="dxa"/>
            <w:vAlign w:val="top"/>
            <w:gridSpan w:val="2"/>
          </w:tcPr>
          <w:p>
            <w:pPr>
              <w:ind w:left="484"/>
              <w:spacing w:before="36" w:line="161"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6"/>
              </w:rPr>
              <w:t>Ⅳ+</w:t>
            </w:r>
            <w:r>
              <w:rPr>
                <w:rFonts w:ascii="Times New Roman" w:hAnsi="Times New Roman" w:eastAsia="Times New Roman" w:cs="Times New Roman"/>
                <w:sz w:val="20"/>
                <w:szCs w:val="20"/>
                <w:spacing w:val="20"/>
              </w:rPr>
              <w:t xml:space="preserve"> </w:t>
            </w:r>
            <w:r>
              <w:rPr>
                <w:rFonts w:ascii="Microsoft YaHei" w:hAnsi="Microsoft YaHei" w:eastAsia="Microsoft YaHei" w:cs="Microsoft YaHei"/>
                <w:sz w:val="20"/>
                <w:szCs w:val="20"/>
                <w:spacing w:val="16"/>
              </w:rPr>
              <w:t>□</w:t>
            </w:r>
          </w:p>
        </w:tc>
        <w:tc>
          <w:tcPr>
            <w:tcW w:w="1353" w:type="dxa"/>
            <w:vAlign w:val="top"/>
            <w:gridSpan w:val="2"/>
          </w:tcPr>
          <w:p>
            <w:pPr>
              <w:ind w:left="448"/>
              <w:spacing w:before="36" w:line="161"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21"/>
              </w:rPr>
              <w:t>Ⅳ</w:t>
            </w:r>
            <w:r>
              <w:rPr>
                <w:rFonts w:ascii="Times New Roman" w:hAnsi="Times New Roman" w:eastAsia="Times New Roman" w:cs="Times New Roman"/>
                <w:sz w:val="20"/>
                <w:szCs w:val="20"/>
                <w:spacing w:val="19"/>
              </w:rPr>
              <w:t xml:space="preserve"> </w:t>
            </w:r>
            <w:r>
              <w:rPr>
                <w:rFonts w:ascii="Microsoft YaHei" w:hAnsi="Microsoft YaHei" w:eastAsia="Microsoft YaHei" w:cs="Microsoft YaHei"/>
                <w:sz w:val="20"/>
                <w:szCs w:val="20"/>
                <w:spacing w:val="21"/>
              </w:rPr>
              <w:t>□</w:t>
            </w:r>
          </w:p>
        </w:tc>
        <w:tc>
          <w:tcPr>
            <w:tcW w:w="1354" w:type="dxa"/>
            <w:vAlign w:val="top"/>
            <w:gridSpan w:val="5"/>
          </w:tcPr>
          <w:p>
            <w:pPr>
              <w:ind w:left="490"/>
              <w:spacing w:before="36" w:line="161"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30"/>
              </w:rPr>
              <w:t>Ⅲ</w:t>
            </w:r>
            <w:r>
              <w:rPr>
                <w:rFonts w:ascii="Microsoft YaHei" w:hAnsi="Microsoft YaHei" w:eastAsia="Microsoft YaHei" w:cs="Microsoft YaHei"/>
                <w:sz w:val="20"/>
                <w:szCs w:val="20"/>
                <w:spacing w:val="30"/>
              </w:rPr>
              <w:t>□</w:t>
            </w:r>
          </w:p>
        </w:tc>
        <w:tc>
          <w:tcPr>
            <w:tcW w:w="1344" w:type="dxa"/>
            <w:vAlign w:val="top"/>
            <w:gridSpan w:val="3"/>
          </w:tcPr>
          <w:p>
            <w:pPr>
              <w:ind w:left="499"/>
              <w:spacing w:before="50" w:line="216" w:lineRule="exact"/>
              <w:rPr>
                <w:rFonts w:ascii="Microsoft YaHei" w:hAnsi="Microsoft YaHei" w:eastAsia="Microsoft YaHei" w:cs="Microsoft YaHei"/>
                <w:sz w:val="20"/>
                <w:szCs w:val="20"/>
              </w:rPr>
            </w:pPr>
            <w:r>
              <w:rPr>
                <w:rFonts w:ascii="Times New Roman" w:hAnsi="Times New Roman" w:eastAsia="Times New Roman" w:cs="Times New Roman"/>
                <w:sz w:val="20"/>
                <w:szCs w:val="20"/>
                <w:position w:val="-2"/>
              </w:rPr>
              <w:t>Ⅱ</w:t>
            </w:r>
            <w:r>
              <w:rPr>
                <w:rFonts w:ascii="Times New Roman" w:hAnsi="Times New Roman" w:eastAsia="Times New Roman" w:cs="Times New Roman"/>
                <w:sz w:val="20"/>
                <w:szCs w:val="20"/>
                <w:spacing w:val="22"/>
                <w:position w:val="-2"/>
              </w:rPr>
              <w:t xml:space="preserve"> </w:t>
            </w:r>
            <w:r>
              <w:rPr>
                <w:rFonts w:ascii="Microsoft YaHei" w:hAnsi="Microsoft YaHei" w:eastAsia="Microsoft YaHei" w:cs="Microsoft YaHei"/>
                <w:sz w:val="20"/>
                <w:szCs w:val="20"/>
                <w:position w:val="-2"/>
              </w:rPr>
              <w:t>四</w:t>
            </w:r>
          </w:p>
        </w:tc>
        <w:tc>
          <w:tcPr>
            <w:tcW w:w="1474" w:type="dxa"/>
            <w:vAlign w:val="top"/>
            <w:gridSpan w:val="2"/>
          </w:tcPr>
          <w:p>
            <w:pPr>
              <w:ind w:left="590"/>
              <w:spacing w:before="36" w:line="161" w:lineRule="auto"/>
              <w:rPr>
                <w:rFonts w:ascii="Microsoft YaHei" w:hAnsi="Microsoft YaHei" w:eastAsia="Microsoft YaHei" w:cs="Microsoft YaHei"/>
                <w:sz w:val="20"/>
                <w:szCs w:val="20"/>
              </w:rPr>
            </w:pPr>
            <w:r>
              <w:rPr>
                <w:rFonts w:ascii="Times New Roman" w:hAnsi="Times New Roman" w:eastAsia="Times New Roman" w:cs="Times New Roman"/>
                <w:sz w:val="20"/>
                <w:szCs w:val="20"/>
                <w:spacing w:val="17"/>
              </w:rPr>
              <w:t>Ⅰ</w:t>
            </w:r>
            <w:r>
              <w:rPr>
                <w:rFonts w:ascii="Times New Roman" w:hAnsi="Times New Roman" w:eastAsia="Times New Roman" w:cs="Times New Roman"/>
                <w:sz w:val="20"/>
                <w:szCs w:val="20"/>
                <w:spacing w:val="21"/>
              </w:rPr>
              <w:t xml:space="preserve"> </w:t>
            </w:r>
            <w:r>
              <w:rPr>
                <w:rFonts w:ascii="Microsoft YaHei" w:hAnsi="Microsoft YaHei" w:eastAsia="Microsoft YaHei" w:cs="Microsoft YaHei"/>
                <w:sz w:val="20"/>
                <w:szCs w:val="20"/>
                <w:spacing w:val="17"/>
              </w:rPr>
              <w:t>□</w:t>
            </w:r>
          </w:p>
        </w:tc>
      </w:tr>
      <w:tr>
        <w:trPr>
          <w:trHeight w:val="277" w:hRule="atLeast"/>
        </w:trPr>
        <w:tc>
          <w:tcPr>
            <w:tcW w:w="1473" w:type="dxa"/>
            <w:vAlign w:val="top"/>
            <w:gridSpan w:val="2"/>
          </w:tcPr>
          <w:p>
            <w:pPr>
              <w:pStyle w:val="TableText"/>
              <w:ind w:left="319"/>
              <w:spacing w:before="37" w:line="212" w:lineRule="auto"/>
              <w:rPr/>
            </w:pPr>
            <w:r>
              <w:rPr>
                <w:spacing w:val="7"/>
              </w:rPr>
              <w:t>评价等级</w:t>
            </w:r>
          </w:p>
        </w:tc>
        <w:tc>
          <w:tcPr>
            <w:tcW w:w="2061" w:type="dxa"/>
            <w:vAlign w:val="top"/>
            <w:gridSpan w:val="3"/>
          </w:tcPr>
          <w:p>
            <w:pPr>
              <w:pStyle w:val="TableText"/>
              <w:ind w:left="682"/>
              <w:spacing w:before="36" w:line="161" w:lineRule="auto"/>
              <w:rPr>
                <w:rFonts w:ascii="Microsoft YaHei" w:hAnsi="Microsoft YaHei" w:eastAsia="Microsoft YaHei" w:cs="Microsoft YaHei"/>
              </w:rPr>
            </w:pPr>
            <w:r>
              <w:rPr>
                <w:spacing w:val="14"/>
              </w:rPr>
              <w:t>一级</w:t>
            </w:r>
            <w:r>
              <w:rPr>
                <w:spacing w:val="26"/>
              </w:rPr>
              <w:t xml:space="preserve"> </w:t>
            </w:r>
            <w:r>
              <w:rPr>
                <w:rFonts w:ascii="Microsoft YaHei" w:hAnsi="Microsoft YaHei" w:eastAsia="Microsoft YaHei" w:cs="Microsoft YaHei"/>
                <w:spacing w:val="14"/>
              </w:rPr>
              <w:t>□</w:t>
            </w:r>
          </w:p>
        </w:tc>
        <w:tc>
          <w:tcPr>
            <w:tcW w:w="1542" w:type="dxa"/>
            <w:vAlign w:val="top"/>
            <w:gridSpan w:val="4"/>
          </w:tcPr>
          <w:p>
            <w:pPr>
              <w:pStyle w:val="TableText"/>
              <w:ind w:left="423"/>
              <w:spacing w:before="36" w:line="161" w:lineRule="auto"/>
              <w:rPr>
                <w:rFonts w:ascii="Microsoft YaHei" w:hAnsi="Microsoft YaHei" w:eastAsia="Microsoft YaHei" w:cs="Microsoft YaHei"/>
              </w:rPr>
            </w:pPr>
            <w:r>
              <w:rPr>
                <w:spacing w:val="2"/>
              </w:rPr>
              <w:t>二级</w:t>
            </w:r>
            <w:r>
              <w:rPr>
                <w:spacing w:val="25"/>
              </w:rPr>
              <w:t xml:space="preserve"> </w:t>
            </w:r>
            <w:r>
              <w:rPr>
                <w:rFonts w:ascii="Microsoft YaHei" w:hAnsi="Microsoft YaHei" w:eastAsia="Microsoft YaHei" w:cs="Microsoft YaHei"/>
                <w:spacing w:val="2"/>
              </w:rPr>
              <w:t>四</w:t>
            </w:r>
          </w:p>
        </w:tc>
        <w:tc>
          <w:tcPr>
            <w:tcW w:w="1697" w:type="dxa"/>
            <w:vAlign w:val="top"/>
            <w:gridSpan w:val="4"/>
          </w:tcPr>
          <w:p>
            <w:pPr>
              <w:pStyle w:val="TableText"/>
              <w:ind w:left="498"/>
              <w:spacing w:before="36" w:line="161" w:lineRule="auto"/>
              <w:rPr>
                <w:rFonts w:ascii="Microsoft YaHei" w:hAnsi="Microsoft YaHei" w:eastAsia="Microsoft YaHei" w:cs="Microsoft YaHei"/>
              </w:rPr>
            </w:pPr>
            <w:r>
              <w:rPr>
                <w:spacing w:val="3"/>
              </w:rPr>
              <w:t>三级</w:t>
            </w:r>
            <w:r>
              <w:rPr>
                <w:spacing w:val="25"/>
              </w:rPr>
              <w:t xml:space="preserve"> </w:t>
            </w:r>
            <w:r>
              <w:rPr>
                <w:rFonts w:ascii="Microsoft YaHei" w:hAnsi="Microsoft YaHei" w:eastAsia="Microsoft YaHei" w:cs="Microsoft YaHei"/>
                <w:spacing w:val="3"/>
              </w:rPr>
              <w:t>四</w:t>
            </w:r>
          </w:p>
        </w:tc>
        <w:tc>
          <w:tcPr>
            <w:tcW w:w="1770" w:type="dxa"/>
            <w:vAlign w:val="top"/>
            <w:gridSpan w:val="3"/>
          </w:tcPr>
          <w:p>
            <w:pPr>
              <w:pStyle w:val="TableText"/>
              <w:ind w:left="327"/>
              <w:spacing w:before="36" w:line="161" w:lineRule="auto"/>
              <w:rPr>
                <w:rFonts w:ascii="Microsoft YaHei" w:hAnsi="Microsoft YaHei" w:eastAsia="Microsoft YaHei" w:cs="Microsoft YaHei"/>
              </w:rPr>
            </w:pPr>
            <w:r>
              <w:rPr>
                <w:spacing w:val="5"/>
              </w:rPr>
              <w:t>简单分析</w:t>
            </w:r>
            <w:r>
              <w:rPr>
                <w:spacing w:val="25"/>
              </w:rPr>
              <w:t xml:space="preserve"> </w:t>
            </w:r>
            <w:r>
              <w:rPr>
                <w:rFonts w:ascii="Microsoft YaHei" w:hAnsi="Microsoft YaHei" w:eastAsia="Microsoft YaHei" w:cs="Microsoft YaHei"/>
                <w:spacing w:val="5"/>
              </w:rPr>
              <w:t>四</w:t>
            </w:r>
          </w:p>
        </w:tc>
      </w:tr>
      <w:tr>
        <w:trPr>
          <w:trHeight w:val="280" w:hRule="atLeast"/>
        </w:trPr>
        <w:tc>
          <w:tcPr>
            <w:tcW w:w="391" w:type="dxa"/>
            <w:vAlign w:val="top"/>
          </w:tcPr>
          <w:p>
            <w:pPr>
              <w:pStyle w:val="TableText"/>
              <w:ind w:left="95"/>
              <w:spacing w:before="36" w:line="216" w:lineRule="auto"/>
              <w:rPr/>
            </w:pPr>
            <w:r>
              <w:rPr/>
              <w:t>风</w:t>
            </w:r>
          </w:p>
        </w:tc>
        <w:tc>
          <w:tcPr>
            <w:tcW w:w="1082" w:type="dxa"/>
            <w:vAlign w:val="top"/>
          </w:tcPr>
          <w:p>
            <w:pPr>
              <w:pStyle w:val="TableText"/>
              <w:ind w:left="18"/>
              <w:spacing w:before="36" w:line="216" w:lineRule="auto"/>
              <w:rPr/>
            </w:pPr>
            <w:r>
              <w:rPr>
                <w:spacing w:val="8"/>
              </w:rPr>
              <w:t>物质危险性</w:t>
            </w:r>
          </w:p>
        </w:tc>
        <w:tc>
          <w:tcPr>
            <w:tcW w:w="3376" w:type="dxa"/>
            <w:vAlign w:val="top"/>
            <w:gridSpan w:val="6"/>
          </w:tcPr>
          <w:p>
            <w:pPr>
              <w:pStyle w:val="TableText"/>
              <w:ind w:left="1126"/>
              <w:spacing w:before="35" w:line="164" w:lineRule="auto"/>
              <w:rPr>
                <w:rFonts w:ascii="Microsoft YaHei" w:hAnsi="Microsoft YaHei" w:eastAsia="Microsoft YaHei" w:cs="Microsoft YaHei"/>
              </w:rPr>
            </w:pPr>
            <w:r>
              <w:rPr>
                <w:spacing w:val="5"/>
              </w:rPr>
              <w:t>有毒有害</w:t>
            </w:r>
            <w:r>
              <w:rPr>
                <w:spacing w:val="28"/>
              </w:rPr>
              <w:t xml:space="preserve"> </w:t>
            </w:r>
            <w:r>
              <w:rPr>
                <w:rFonts w:ascii="Microsoft YaHei" w:hAnsi="Microsoft YaHei" w:eastAsia="Microsoft YaHei" w:cs="Microsoft YaHei"/>
                <w:spacing w:val="5"/>
              </w:rPr>
              <w:t>四</w:t>
            </w:r>
          </w:p>
        </w:tc>
        <w:tc>
          <w:tcPr>
            <w:tcW w:w="3694" w:type="dxa"/>
            <w:vAlign w:val="top"/>
            <w:gridSpan w:val="8"/>
          </w:tcPr>
          <w:p>
            <w:pPr>
              <w:pStyle w:val="TableText"/>
              <w:ind w:left="1298"/>
              <w:spacing w:before="35" w:line="164" w:lineRule="auto"/>
              <w:rPr>
                <w:rFonts w:ascii="Microsoft YaHei" w:hAnsi="Microsoft YaHei" w:eastAsia="Microsoft YaHei" w:cs="Microsoft YaHei"/>
              </w:rPr>
            </w:pPr>
            <w:r>
              <w:rPr>
                <w:spacing w:val="3"/>
              </w:rPr>
              <w:t>易燃易爆</w:t>
            </w:r>
            <w:r>
              <w:rPr>
                <w:spacing w:val="25"/>
              </w:rPr>
              <w:t xml:space="preserve"> </w:t>
            </w:r>
            <w:r>
              <w:rPr>
                <w:rFonts w:ascii="Microsoft YaHei" w:hAnsi="Microsoft YaHei" w:eastAsia="Microsoft YaHei" w:cs="Microsoft YaHei"/>
                <w:spacing w:val="3"/>
              </w:rPr>
              <w:t>四</w:t>
            </w:r>
          </w:p>
        </w:tc>
      </w:tr>
    </w:tbl>
    <w:p>
      <w:pPr>
        <w:pStyle w:val="BodyText"/>
        <w:spacing w:line="431" w:lineRule="auto"/>
        <w:rPr/>
      </w:pPr>
      <w:r/>
    </w:p>
    <w:p>
      <w:pPr>
        <w:ind w:left="29"/>
        <w:spacing w:before="62" w:line="225" w:lineRule="auto"/>
        <w:rPr>
          <w:rFonts w:ascii="SimSun" w:hAnsi="SimSun" w:eastAsia="SimSun" w:cs="SimSun"/>
          <w:sz w:val="19"/>
          <w:szCs w:val="19"/>
        </w:rPr>
      </w:pPr>
      <w:r>
        <w:pict>
          <v:shape id="_x0000_s1184" style="position:absolute;margin-left:160.42pt;margin-top:2.09969pt;mso-position-vertical-relative:text;mso-position-horizontal-relative:text;width:61pt;height:13.75pt;z-index:252275712;"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259</w:t>
                  </w:r>
                </w:p>
              </w:txbxContent>
            </v:textbox>
          </v:shape>
        </w:pict>
      </w:r>
      <w:r>
        <w:rPr>
          <w:rFonts w:ascii="SimSun" w:hAnsi="SimSun" w:eastAsia="SimSun" w:cs="SimSun"/>
          <w:sz w:val="19"/>
          <w:szCs w:val="19"/>
          <w:spacing w:val="9"/>
        </w:rPr>
        <w:t>锡林郭勒盟中安环境技术咨询有限责</w:t>
      </w:r>
    </w:p>
    <w:p>
      <w:pPr>
        <w:spacing w:line="225" w:lineRule="auto"/>
        <w:sectPr>
          <w:headerReference w:type="default" r:id="rId351"/>
          <w:footerReference w:type="default" r:id="rId3"/>
          <w:pgSz w:w="11907" w:h="16840"/>
          <w:pgMar w:top="1567" w:right="1621" w:bottom="400" w:left="1679" w:header="1221" w:footer="0" w:gutter="0"/>
        </w:sectPr>
        <w:rPr>
          <w:rFonts w:ascii="SimSun" w:hAnsi="SimSun" w:eastAsia="SimSun" w:cs="SimSun"/>
          <w:sz w:val="19"/>
          <w:szCs w:val="19"/>
        </w:rPr>
      </w:pPr>
    </w:p>
    <w:p>
      <w:pPr>
        <w:spacing w:line="133" w:lineRule="exact"/>
        <w:rPr/>
      </w:pPr>
      <w:r>
        <w:pict>
          <v:shape id="_x0000_s1188" style="position:absolute;margin-left:85.05pt;margin-top:78.87pt;mso-position-vertical-relative:page;mso-position-horizontal-relative:page;width:425.25pt;height:0.75pt;z-index:252278784;" o:allowincell="f" fillcolor="#000000" filled="true" stroked="false" coordsize="8505,15" coordorigin="0,0" path="m,l8505,0l8505,14l0,14l0,0xe"/>
        </w:pict>
      </w:r>
      <w:r/>
    </w:p>
    <w:tbl>
      <w:tblPr>
        <w:tblStyle w:val="TableNormal"/>
        <w:tblW w:w="854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90"/>
        <w:gridCol w:w="1082"/>
        <w:gridCol w:w="1953"/>
        <w:gridCol w:w="561"/>
        <w:gridCol w:w="861"/>
        <w:gridCol w:w="259"/>
        <w:gridCol w:w="1124"/>
        <w:gridCol w:w="544"/>
        <w:gridCol w:w="1769"/>
      </w:tblGrid>
      <w:tr>
        <w:trPr>
          <w:trHeight w:val="554" w:hRule="atLeast"/>
        </w:trPr>
        <w:tc>
          <w:tcPr>
            <w:tcW w:w="390" w:type="dxa"/>
            <w:vAlign w:val="top"/>
            <w:vMerge w:val="restart"/>
            <w:textDirection w:val="tbRlV"/>
            <w:tcBorders>
              <w:bottom w:val="nil"/>
            </w:tcBorders>
          </w:tcPr>
          <w:p>
            <w:pPr>
              <w:pStyle w:val="TableText"/>
              <w:ind w:left="35"/>
              <w:spacing w:before="88" w:line="215" w:lineRule="auto"/>
              <w:rPr/>
            </w:pPr>
            <w:r>
              <w:rPr>
                <w:spacing w:val="8"/>
              </w:rPr>
              <w:t>险</w:t>
            </w:r>
            <w:r>
              <w:rPr>
                <w:spacing w:val="-34"/>
              </w:rPr>
              <w:t xml:space="preserve"> </w:t>
            </w:r>
            <w:r>
              <w:rPr>
                <w:spacing w:val="8"/>
              </w:rPr>
              <w:t>识</w:t>
            </w:r>
            <w:r>
              <w:rPr>
                <w:spacing w:val="-38"/>
              </w:rPr>
              <w:t xml:space="preserve"> </w:t>
            </w:r>
            <w:r>
              <w:rPr>
                <w:spacing w:val="8"/>
              </w:rPr>
              <w:t>别</w:t>
            </w:r>
          </w:p>
        </w:tc>
        <w:tc>
          <w:tcPr>
            <w:tcW w:w="1082" w:type="dxa"/>
            <w:vAlign w:val="top"/>
          </w:tcPr>
          <w:p>
            <w:pPr>
              <w:pStyle w:val="TableText"/>
              <w:ind w:left="125"/>
              <w:spacing w:before="35" w:line="228" w:lineRule="auto"/>
              <w:rPr/>
            </w:pPr>
            <w:r>
              <w:rPr>
                <w:spacing w:val="7"/>
              </w:rPr>
              <w:t>环境风险</w:t>
            </w:r>
          </w:p>
          <w:p>
            <w:pPr>
              <w:pStyle w:val="TableText"/>
              <w:ind w:left="333"/>
              <w:spacing w:before="26" w:line="217" w:lineRule="auto"/>
              <w:rPr/>
            </w:pPr>
            <w:r>
              <w:rPr>
                <w:spacing w:val="4"/>
              </w:rPr>
              <w:t>类型</w:t>
            </w:r>
          </w:p>
        </w:tc>
        <w:tc>
          <w:tcPr>
            <w:tcW w:w="3375" w:type="dxa"/>
            <w:vAlign w:val="top"/>
            <w:gridSpan w:val="3"/>
          </w:tcPr>
          <w:p>
            <w:pPr>
              <w:pStyle w:val="TableText"/>
              <w:ind w:left="1340"/>
              <w:spacing w:before="172"/>
              <w:rPr>
                <w:rFonts w:ascii="MS UI Gothic" w:hAnsi="MS UI Gothic" w:eastAsia="MS UI Gothic" w:cs="MS UI Gothic"/>
              </w:rPr>
            </w:pPr>
            <w:r>
              <w:rPr>
                <w:spacing w:val="2"/>
              </w:rPr>
              <w:t>泄漏</w:t>
            </w:r>
            <w:r>
              <w:rPr>
                <w:spacing w:val="22"/>
              </w:rPr>
              <w:t xml:space="preserve"> </w:t>
            </w:r>
            <w:r>
              <w:rPr>
                <w:rFonts w:ascii="MS UI Gothic" w:hAnsi="MS UI Gothic" w:eastAsia="MS UI Gothic" w:cs="MS UI Gothic"/>
                <w:spacing w:val="2"/>
              </w:rPr>
              <w:t>☐</w:t>
            </w:r>
          </w:p>
        </w:tc>
        <w:tc>
          <w:tcPr>
            <w:tcW w:w="3696" w:type="dxa"/>
            <w:vAlign w:val="top"/>
            <w:gridSpan w:val="4"/>
          </w:tcPr>
          <w:p>
            <w:pPr>
              <w:pStyle w:val="TableText"/>
              <w:spacing w:before="172" w:line="237" w:lineRule="auto"/>
              <w:jc w:val="right"/>
              <w:rPr>
                <w:rFonts w:ascii="MS UI Gothic" w:hAnsi="MS UI Gothic" w:eastAsia="MS UI Gothic" w:cs="MS UI Gothic"/>
              </w:rPr>
            </w:pPr>
            <w:r>
              <w:rPr>
                <w:spacing w:val="6"/>
              </w:rPr>
              <w:t>火灾、爆炸引发伴生</w:t>
            </w:r>
            <w:r>
              <w:rPr>
                <w:rFonts w:ascii="Times New Roman" w:hAnsi="Times New Roman" w:eastAsia="Times New Roman" w:cs="Times New Roman"/>
                <w:spacing w:val="6"/>
              </w:rPr>
              <w:t>/</w:t>
            </w:r>
            <w:r>
              <w:rPr>
                <w:spacing w:val="6"/>
              </w:rPr>
              <w:t>次生污染物排放 </w:t>
            </w:r>
            <w:r>
              <w:rPr>
                <w:rFonts w:ascii="MS UI Gothic" w:hAnsi="MS UI Gothic" w:eastAsia="MS UI Gothic" w:cs="MS UI Gothic"/>
                <w:spacing w:val="6"/>
              </w:rPr>
              <w:t>☐</w:t>
            </w:r>
          </w:p>
        </w:tc>
      </w:tr>
      <w:tr>
        <w:trPr>
          <w:trHeight w:val="277" w:hRule="atLeast"/>
        </w:trPr>
        <w:tc>
          <w:tcPr>
            <w:tcW w:w="390" w:type="dxa"/>
            <w:vAlign w:val="top"/>
            <w:vMerge w:val="continue"/>
            <w:textDirection w:val="tbRlV"/>
            <w:tcBorders>
              <w:top w:val="nil"/>
            </w:tcBorders>
          </w:tcPr>
          <w:p>
            <w:pPr>
              <w:rPr>
                <w:rFonts w:ascii="Arial"/>
                <w:sz w:val="21"/>
              </w:rPr>
            </w:pPr>
            <w:r/>
          </w:p>
        </w:tc>
        <w:tc>
          <w:tcPr>
            <w:tcW w:w="1082" w:type="dxa"/>
            <w:vAlign w:val="top"/>
          </w:tcPr>
          <w:p>
            <w:pPr>
              <w:pStyle w:val="TableText"/>
              <w:ind w:left="125"/>
              <w:spacing w:before="30" w:line="218" w:lineRule="auto"/>
              <w:rPr/>
            </w:pPr>
            <w:r>
              <w:rPr>
                <w:spacing w:val="7"/>
              </w:rPr>
              <w:t>影响途径</w:t>
            </w:r>
          </w:p>
        </w:tc>
        <w:tc>
          <w:tcPr>
            <w:tcW w:w="2514" w:type="dxa"/>
            <w:vAlign w:val="top"/>
            <w:gridSpan w:val="2"/>
          </w:tcPr>
          <w:p>
            <w:pPr>
              <w:pStyle w:val="TableText"/>
              <w:ind w:left="908"/>
              <w:spacing w:before="30" w:line="218" w:lineRule="auto"/>
              <w:rPr>
                <w:rFonts w:ascii="MS UI Gothic" w:hAnsi="MS UI Gothic" w:eastAsia="MS UI Gothic" w:cs="MS UI Gothic"/>
              </w:rPr>
            </w:pPr>
            <w:r>
              <w:rPr>
                <w:spacing w:val="2"/>
              </w:rPr>
              <w:t>大气</w:t>
            </w:r>
            <w:r>
              <w:rPr>
                <w:spacing w:val="25"/>
              </w:rPr>
              <w:t xml:space="preserve"> </w:t>
            </w:r>
            <w:r>
              <w:rPr>
                <w:rFonts w:ascii="MS UI Gothic" w:hAnsi="MS UI Gothic" w:eastAsia="MS UI Gothic" w:cs="MS UI Gothic"/>
                <w:spacing w:val="2"/>
              </w:rPr>
              <w:t>☐</w:t>
            </w:r>
          </w:p>
        </w:tc>
        <w:tc>
          <w:tcPr>
            <w:tcW w:w="2244" w:type="dxa"/>
            <w:vAlign w:val="top"/>
            <w:gridSpan w:val="3"/>
          </w:tcPr>
          <w:p>
            <w:pPr>
              <w:pStyle w:val="TableText"/>
              <w:ind w:left="666"/>
              <w:spacing w:before="30" w:line="218" w:lineRule="auto"/>
              <w:rPr>
                <w:rFonts w:ascii="MS UI Gothic" w:hAnsi="MS UI Gothic" w:eastAsia="MS UI Gothic" w:cs="MS UI Gothic"/>
              </w:rPr>
            </w:pPr>
            <w:r>
              <w:rPr>
                <w:spacing w:val="5"/>
              </w:rPr>
              <w:t>地表水</w:t>
            </w:r>
            <w:r>
              <w:rPr>
                <w:spacing w:val="25"/>
              </w:rPr>
              <w:t xml:space="preserve"> </w:t>
            </w:r>
            <w:r>
              <w:rPr>
                <w:rFonts w:ascii="MS UI Gothic" w:hAnsi="MS UI Gothic" w:eastAsia="MS UI Gothic" w:cs="MS UI Gothic"/>
                <w:spacing w:val="5"/>
              </w:rPr>
              <w:t>□</w:t>
            </w:r>
          </w:p>
        </w:tc>
        <w:tc>
          <w:tcPr>
            <w:tcW w:w="2313" w:type="dxa"/>
            <w:vAlign w:val="top"/>
            <w:gridSpan w:val="2"/>
          </w:tcPr>
          <w:p>
            <w:pPr>
              <w:pStyle w:val="TableText"/>
              <w:ind w:left="700"/>
              <w:spacing w:before="30" w:line="218" w:lineRule="auto"/>
              <w:rPr>
                <w:rFonts w:ascii="MS UI Gothic" w:hAnsi="MS UI Gothic" w:eastAsia="MS UI Gothic" w:cs="MS UI Gothic"/>
              </w:rPr>
            </w:pPr>
            <w:r>
              <w:rPr>
                <w:spacing w:val="5"/>
              </w:rPr>
              <w:t>地下水</w:t>
            </w:r>
            <w:r>
              <w:rPr>
                <w:spacing w:val="22"/>
              </w:rPr>
              <w:t xml:space="preserve"> </w:t>
            </w:r>
            <w:r>
              <w:rPr>
                <w:rFonts w:ascii="MS UI Gothic" w:hAnsi="MS UI Gothic" w:eastAsia="MS UI Gothic" w:cs="MS UI Gothic"/>
                <w:spacing w:val="5"/>
              </w:rPr>
              <w:t>☐</w:t>
            </w:r>
          </w:p>
        </w:tc>
      </w:tr>
      <w:tr>
        <w:trPr>
          <w:trHeight w:val="277" w:hRule="atLeast"/>
        </w:trPr>
        <w:tc>
          <w:tcPr>
            <w:tcW w:w="1472" w:type="dxa"/>
            <w:vAlign w:val="top"/>
            <w:gridSpan w:val="2"/>
          </w:tcPr>
          <w:p>
            <w:pPr>
              <w:pStyle w:val="TableText"/>
              <w:ind w:left="111"/>
              <w:spacing w:before="31" w:line="217" w:lineRule="auto"/>
              <w:rPr/>
            </w:pPr>
            <w:r>
              <w:rPr>
                <w:spacing w:val="8"/>
              </w:rPr>
              <w:t>事故情形分析</w:t>
            </w:r>
          </w:p>
        </w:tc>
        <w:tc>
          <w:tcPr>
            <w:tcW w:w="1953" w:type="dxa"/>
            <w:vAlign w:val="top"/>
          </w:tcPr>
          <w:p>
            <w:pPr>
              <w:pStyle w:val="TableText"/>
              <w:ind w:left="350"/>
              <w:spacing w:before="31" w:line="217" w:lineRule="auto"/>
              <w:rPr/>
            </w:pPr>
            <w:r>
              <w:rPr>
                <w:spacing w:val="8"/>
              </w:rPr>
              <w:t>源强设定方法</w:t>
            </w:r>
          </w:p>
        </w:tc>
        <w:tc>
          <w:tcPr>
            <w:tcW w:w="1681" w:type="dxa"/>
            <w:vAlign w:val="top"/>
            <w:gridSpan w:val="3"/>
          </w:tcPr>
          <w:p>
            <w:pPr>
              <w:pStyle w:val="TableText"/>
              <w:ind w:left="385"/>
              <w:spacing w:before="31" w:line="217" w:lineRule="auto"/>
              <w:rPr>
                <w:rFonts w:ascii="MS UI Gothic" w:hAnsi="MS UI Gothic" w:eastAsia="MS UI Gothic" w:cs="MS UI Gothic"/>
              </w:rPr>
            </w:pPr>
            <w:r>
              <w:rPr>
                <w:spacing w:val="5"/>
              </w:rPr>
              <w:t>计算法</w:t>
            </w:r>
            <w:r>
              <w:rPr>
                <w:spacing w:val="22"/>
              </w:rPr>
              <w:t xml:space="preserve"> </w:t>
            </w:r>
            <w:r>
              <w:rPr>
                <w:rFonts w:ascii="MS UI Gothic" w:hAnsi="MS UI Gothic" w:eastAsia="MS UI Gothic" w:cs="MS UI Gothic"/>
                <w:spacing w:val="5"/>
              </w:rPr>
              <w:t>□</w:t>
            </w:r>
          </w:p>
        </w:tc>
        <w:tc>
          <w:tcPr>
            <w:tcW w:w="1668" w:type="dxa"/>
            <w:vAlign w:val="top"/>
            <w:gridSpan w:val="2"/>
          </w:tcPr>
          <w:p>
            <w:pPr>
              <w:pStyle w:val="TableText"/>
              <w:ind w:left="172"/>
              <w:spacing w:before="31" w:line="217" w:lineRule="auto"/>
              <w:rPr>
                <w:rFonts w:ascii="MS UI Gothic" w:hAnsi="MS UI Gothic" w:eastAsia="MS UI Gothic" w:cs="MS UI Gothic"/>
              </w:rPr>
            </w:pPr>
            <w:r>
              <w:rPr>
                <w:spacing w:val="6"/>
              </w:rPr>
              <w:t>经验估算法</w:t>
            </w:r>
            <w:r>
              <w:rPr>
                <w:spacing w:val="25"/>
              </w:rPr>
              <w:t xml:space="preserve"> </w:t>
            </w:r>
            <w:r>
              <w:rPr>
                <w:rFonts w:ascii="MS UI Gothic" w:hAnsi="MS UI Gothic" w:eastAsia="MS UI Gothic" w:cs="MS UI Gothic"/>
                <w:spacing w:val="6"/>
              </w:rPr>
              <w:t>□</w:t>
            </w:r>
          </w:p>
        </w:tc>
        <w:tc>
          <w:tcPr>
            <w:tcW w:w="1769" w:type="dxa"/>
            <w:vAlign w:val="top"/>
          </w:tcPr>
          <w:p>
            <w:pPr>
              <w:pStyle w:val="TableText"/>
              <w:ind w:left="219"/>
              <w:spacing w:before="31" w:line="217" w:lineRule="auto"/>
              <w:rPr>
                <w:rFonts w:ascii="MS UI Gothic" w:hAnsi="MS UI Gothic" w:eastAsia="MS UI Gothic" w:cs="MS UI Gothic"/>
              </w:rPr>
            </w:pPr>
            <w:r>
              <w:rPr>
                <w:spacing w:val="6"/>
              </w:rPr>
              <w:t>其他估算法</w:t>
            </w:r>
            <w:r>
              <w:rPr>
                <w:spacing w:val="25"/>
              </w:rPr>
              <w:t xml:space="preserve"> </w:t>
            </w:r>
            <w:r>
              <w:rPr>
                <w:rFonts w:ascii="MS UI Gothic" w:hAnsi="MS UI Gothic" w:eastAsia="MS UI Gothic" w:cs="MS UI Gothic"/>
                <w:spacing w:val="6"/>
              </w:rPr>
              <w:t>□</w:t>
            </w:r>
          </w:p>
        </w:tc>
      </w:tr>
      <w:tr>
        <w:trPr>
          <w:trHeight w:val="278" w:hRule="atLeast"/>
        </w:trPr>
        <w:tc>
          <w:tcPr>
            <w:tcW w:w="390" w:type="dxa"/>
            <w:vAlign w:val="top"/>
            <w:vMerge w:val="restart"/>
            <w:textDirection w:val="tbRlV"/>
            <w:tcBorders>
              <w:bottom w:val="nil"/>
            </w:tcBorders>
          </w:tcPr>
          <w:p>
            <w:pPr>
              <w:pStyle w:val="TableText"/>
              <w:ind w:left="110"/>
              <w:spacing w:before="88" w:line="215" w:lineRule="auto"/>
              <w:rPr/>
            </w:pPr>
            <w:r>
              <w:rPr>
                <w:spacing w:val="8"/>
              </w:rPr>
              <w:t>风</w:t>
            </w:r>
            <w:r>
              <w:rPr>
                <w:spacing w:val="-34"/>
              </w:rPr>
              <w:t xml:space="preserve"> </w:t>
            </w:r>
            <w:r>
              <w:rPr>
                <w:spacing w:val="8"/>
              </w:rPr>
              <w:t>险</w:t>
            </w:r>
            <w:r>
              <w:rPr>
                <w:spacing w:val="-35"/>
              </w:rPr>
              <w:t xml:space="preserve"> </w:t>
            </w:r>
            <w:r>
              <w:rPr>
                <w:spacing w:val="8"/>
              </w:rPr>
              <w:t>预</w:t>
            </w:r>
            <w:r>
              <w:rPr>
                <w:spacing w:val="-35"/>
              </w:rPr>
              <w:t xml:space="preserve"> </w:t>
            </w:r>
            <w:r>
              <w:rPr>
                <w:spacing w:val="8"/>
              </w:rPr>
              <w:t>测</w:t>
            </w:r>
            <w:r>
              <w:rPr>
                <w:spacing w:val="-38"/>
              </w:rPr>
              <w:t xml:space="preserve"> </w:t>
            </w:r>
            <w:r>
              <w:rPr>
                <w:spacing w:val="8"/>
              </w:rPr>
              <w:t>与</w:t>
            </w:r>
            <w:r>
              <w:rPr>
                <w:spacing w:val="-37"/>
              </w:rPr>
              <w:t xml:space="preserve"> </w:t>
            </w:r>
            <w:r>
              <w:rPr>
                <w:spacing w:val="8"/>
              </w:rPr>
              <w:t>评</w:t>
            </w:r>
            <w:r>
              <w:rPr>
                <w:spacing w:val="-35"/>
              </w:rPr>
              <w:t xml:space="preserve"> </w:t>
            </w:r>
            <w:r>
              <w:rPr>
                <w:spacing w:val="8"/>
              </w:rPr>
              <w:t>价</w:t>
            </w:r>
          </w:p>
        </w:tc>
        <w:tc>
          <w:tcPr>
            <w:tcW w:w="1082" w:type="dxa"/>
            <w:vAlign w:val="top"/>
            <w:vMerge w:val="restart"/>
            <w:tcBorders>
              <w:bottom w:val="nil"/>
            </w:tcBorders>
          </w:tcPr>
          <w:p>
            <w:pPr>
              <w:spacing w:line="466" w:lineRule="auto"/>
              <w:rPr>
                <w:rFonts w:ascii="Arial"/>
                <w:sz w:val="21"/>
              </w:rPr>
            </w:pPr>
            <w:r/>
          </w:p>
          <w:p>
            <w:pPr>
              <w:pStyle w:val="TableText"/>
              <w:ind w:left="336"/>
              <w:spacing w:before="65" w:line="227" w:lineRule="auto"/>
              <w:rPr/>
            </w:pPr>
            <w:r>
              <w:rPr>
                <w:spacing w:val="3"/>
              </w:rPr>
              <w:t>大气</w:t>
            </w:r>
          </w:p>
        </w:tc>
        <w:tc>
          <w:tcPr>
            <w:tcW w:w="1953" w:type="dxa"/>
            <w:vAlign w:val="top"/>
          </w:tcPr>
          <w:p>
            <w:pPr>
              <w:pStyle w:val="TableText"/>
              <w:ind w:left="564"/>
              <w:spacing w:before="32" w:line="217" w:lineRule="auto"/>
              <w:rPr/>
            </w:pPr>
            <w:r>
              <w:rPr>
                <w:spacing w:val="6"/>
              </w:rPr>
              <w:t>预测模型</w:t>
            </w:r>
          </w:p>
        </w:tc>
        <w:tc>
          <w:tcPr>
            <w:tcW w:w="1681" w:type="dxa"/>
            <w:vAlign w:val="top"/>
            <w:gridSpan w:val="3"/>
          </w:tcPr>
          <w:p>
            <w:pPr>
              <w:ind w:left="464"/>
              <w:spacing w:before="34" w:line="216" w:lineRule="auto"/>
              <w:rPr>
                <w:rFonts w:ascii="MS UI Gothic" w:hAnsi="MS UI Gothic" w:eastAsia="MS UI Gothic" w:cs="MS UI Gothic"/>
                <w:sz w:val="20"/>
                <w:szCs w:val="20"/>
              </w:rPr>
            </w:pPr>
            <w:r>
              <w:rPr>
                <w:rFonts w:ascii="Times New Roman" w:hAnsi="Times New Roman" w:eastAsia="Times New Roman" w:cs="Times New Roman"/>
                <w:sz w:val="20"/>
                <w:szCs w:val="20"/>
              </w:rPr>
              <w:t>SLAB</w:t>
            </w:r>
            <w:r>
              <w:rPr>
                <w:rFonts w:ascii="Times New Roman" w:hAnsi="Times New Roman" w:eastAsia="Times New Roman" w:cs="Times New Roman"/>
                <w:sz w:val="20"/>
                <w:szCs w:val="20"/>
                <w:spacing w:val="22"/>
                <w:w w:val="101"/>
              </w:rPr>
              <w:t xml:space="preserve"> </w:t>
            </w:r>
            <w:r>
              <w:rPr>
                <w:rFonts w:ascii="MS UI Gothic" w:hAnsi="MS UI Gothic" w:eastAsia="MS UI Gothic" w:cs="MS UI Gothic"/>
                <w:sz w:val="20"/>
                <w:szCs w:val="20"/>
                <w:spacing w:val="8"/>
              </w:rPr>
              <w:t>□</w:t>
            </w:r>
          </w:p>
        </w:tc>
        <w:tc>
          <w:tcPr>
            <w:tcW w:w="1668" w:type="dxa"/>
            <w:vAlign w:val="top"/>
            <w:gridSpan w:val="2"/>
          </w:tcPr>
          <w:p>
            <w:pPr>
              <w:ind w:left="363"/>
              <w:spacing w:before="34" w:line="216" w:lineRule="auto"/>
              <w:rPr>
                <w:rFonts w:ascii="MS UI Gothic" w:hAnsi="MS UI Gothic" w:eastAsia="MS UI Gothic" w:cs="MS UI Gothic"/>
                <w:sz w:val="20"/>
                <w:szCs w:val="20"/>
              </w:rPr>
            </w:pPr>
            <w:r>
              <w:rPr>
                <w:rFonts w:ascii="Times New Roman" w:hAnsi="Times New Roman" w:eastAsia="Times New Roman" w:cs="Times New Roman"/>
                <w:sz w:val="20"/>
                <w:szCs w:val="20"/>
              </w:rPr>
              <w:t>AFTOX</w:t>
            </w:r>
            <w:r>
              <w:rPr>
                <w:rFonts w:ascii="Times New Roman" w:hAnsi="Times New Roman" w:eastAsia="Times New Roman" w:cs="Times New Roman"/>
                <w:sz w:val="20"/>
                <w:szCs w:val="20"/>
                <w:spacing w:val="23"/>
              </w:rPr>
              <w:t xml:space="preserve"> </w:t>
            </w:r>
            <w:r>
              <w:rPr>
                <w:rFonts w:ascii="MS UI Gothic" w:hAnsi="MS UI Gothic" w:eastAsia="MS UI Gothic" w:cs="MS UI Gothic"/>
                <w:sz w:val="20"/>
                <w:szCs w:val="20"/>
                <w:spacing w:val="29"/>
              </w:rPr>
              <w:t>□</w:t>
            </w:r>
          </w:p>
        </w:tc>
        <w:tc>
          <w:tcPr>
            <w:tcW w:w="1769" w:type="dxa"/>
            <w:vAlign w:val="top"/>
          </w:tcPr>
          <w:p>
            <w:pPr>
              <w:pStyle w:val="TableText"/>
              <w:ind w:left="533"/>
              <w:spacing w:before="32" w:line="217" w:lineRule="auto"/>
              <w:rPr>
                <w:rFonts w:ascii="MS UI Gothic" w:hAnsi="MS UI Gothic" w:eastAsia="MS UI Gothic" w:cs="MS UI Gothic"/>
              </w:rPr>
            </w:pPr>
            <w:r>
              <w:rPr>
                <w:spacing w:val="2"/>
              </w:rPr>
              <w:t>其他</w:t>
            </w:r>
            <w:r>
              <w:rPr>
                <w:spacing w:val="27"/>
              </w:rPr>
              <w:t xml:space="preserve"> </w:t>
            </w:r>
            <w:r>
              <w:rPr>
                <w:rFonts w:ascii="MS UI Gothic" w:hAnsi="MS UI Gothic" w:eastAsia="MS UI Gothic" w:cs="MS UI Gothic"/>
                <w:spacing w:val="2"/>
              </w:rPr>
              <w:t>□</w:t>
            </w:r>
          </w:p>
        </w:tc>
      </w:tr>
      <w:tr>
        <w:trPr>
          <w:trHeight w:val="246" w:hRule="atLeast"/>
        </w:trPr>
        <w:tc>
          <w:tcPr>
            <w:tcW w:w="390" w:type="dxa"/>
            <w:vAlign w:val="top"/>
            <w:vMerge w:val="continue"/>
            <w:textDirection w:val="tbRlV"/>
            <w:tcBorders>
              <w:top w:val="nil"/>
              <w:bottom w:val="nil"/>
            </w:tcBorders>
          </w:tcPr>
          <w:p>
            <w:pPr>
              <w:rPr>
                <w:rFonts w:ascii="Arial"/>
                <w:sz w:val="21"/>
              </w:rPr>
            </w:pPr>
            <w:r/>
          </w:p>
        </w:tc>
        <w:tc>
          <w:tcPr>
            <w:tcW w:w="1082" w:type="dxa"/>
            <w:vAlign w:val="top"/>
            <w:vMerge w:val="continue"/>
            <w:tcBorders>
              <w:top w:val="nil"/>
              <w:bottom w:val="nil"/>
            </w:tcBorders>
          </w:tcPr>
          <w:p>
            <w:pPr>
              <w:rPr>
                <w:rFonts w:ascii="Arial"/>
                <w:sz w:val="21"/>
              </w:rPr>
            </w:pPr>
            <w:r/>
          </w:p>
        </w:tc>
        <w:tc>
          <w:tcPr>
            <w:tcW w:w="1953" w:type="dxa"/>
            <w:vAlign w:val="top"/>
            <w:vMerge w:val="restart"/>
            <w:tcBorders>
              <w:bottom w:val="nil"/>
            </w:tcBorders>
          </w:tcPr>
          <w:p>
            <w:pPr>
              <w:pStyle w:val="TableText"/>
              <w:ind w:left="144"/>
              <w:spacing w:before="141" w:line="227" w:lineRule="auto"/>
              <w:rPr/>
            </w:pPr>
            <w:r>
              <w:rPr>
                <w:spacing w:val="7"/>
              </w:rPr>
              <w:t>预测结果（沼气）</w:t>
            </w:r>
          </w:p>
        </w:tc>
        <w:tc>
          <w:tcPr>
            <w:tcW w:w="5118" w:type="dxa"/>
            <w:vAlign w:val="top"/>
            <w:gridSpan w:val="6"/>
          </w:tcPr>
          <w:p>
            <w:pPr>
              <w:ind w:left="2527"/>
              <w:spacing w:before="4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247" w:hRule="atLeast"/>
        </w:trPr>
        <w:tc>
          <w:tcPr>
            <w:tcW w:w="390" w:type="dxa"/>
            <w:vAlign w:val="top"/>
            <w:vMerge w:val="continue"/>
            <w:textDirection w:val="tbRlV"/>
            <w:tcBorders>
              <w:top w:val="nil"/>
              <w:bottom w:val="nil"/>
            </w:tcBorders>
          </w:tcPr>
          <w:p>
            <w:pPr>
              <w:rPr>
                <w:rFonts w:ascii="Arial"/>
                <w:sz w:val="21"/>
              </w:rPr>
            </w:pPr>
            <w:r/>
          </w:p>
        </w:tc>
        <w:tc>
          <w:tcPr>
            <w:tcW w:w="1082" w:type="dxa"/>
            <w:vAlign w:val="top"/>
            <w:vMerge w:val="continue"/>
            <w:tcBorders>
              <w:top w:val="nil"/>
              <w:bottom w:val="nil"/>
            </w:tcBorders>
          </w:tcPr>
          <w:p>
            <w:pPr>
              <w:rPr>
                <w:rFonts w:ascii="Arial"/>
                <w:sz w:val="21"/>
              </w:rPr>
            </w:pPr>
            <w:r/>
          </w:p>
        </w:tc>
        <w:tc>
          <w:tcPr>
            <w:tcW w:w="1953" w:type="dxa"/>
            <w:vAlign w:val="top"/>
            <w:vMerge w:val="continue"/>
            <w:tcBorders>
              <w:top w:val="nil"/>
            </w:tcBorders>
          </w:tcPr>
          <w:p>
            <w:pPr>
              <w:rPr>
                <w:rFonts w:ascii="Arial"/>
                <w:sz w:val="21"/>
              </w:rPr>
            </w:pPr>
            <w:r/>
          </w:p>
        </w:tc>
        <w:tc>
          <w:tcPr>
            <w:tcW w:w="5118" w:type="dxa"/>
            <w:vAlign w:val="top"/>
            <w:gridSpan w:val="6"/>
          </w:tcPr>
          <w:p>
            <w:pPr>
              <w:ind w:left="2527"/>
              <w:spacing w:before="5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246" w:hRule="atLeast"/>
        </w:trPr>
        <w:tc>
          <w:tcPr>
            <w:tcW w:w="390" w:type="dxa"/>
            <w:vAlign w:val="top"/>
            <w:vMerge w:val="continue"/>
            <w:textDirection w:val="tbRlV"/>
            <w:tcBorders>
              <w:top w:val="nil"/>
              <w:bottom w:val="nil"/>
            </w:tcBorders>
          </w:tcPr>
          <w:p>
            <w:pPr>
              <w:rPr>
                <w:rFonts w:ascii="Arial"/>
                <w:sz w:val="21"/>
              </w:rPr>
            </w:pPr>
            <w:r/>
          </w:p>
        </w:tc>
        <w:tc>
          <w:tcPr>
            <w:tcW w:w="1082" w:type="dxa"/>
            <w:vAlign w:val="top"/>
            <w:vMerge w:val="continue"/>
            <w:tcBorders>
              <w:top w:val="nil"/>
              <w:bottom w:val="nil"/>
            </w:tcBorders>
          </w:tcPr>
          <w:p>
            <w:pPr>
              <w:rPr>
                <w:rFonts w:ascii="Arial"/>
                <w:sz w:val="21"/>
              </w:rPr>
            </w:pPr>
            <w:r/>
          </w:p>
        </w:tc>
        <w:tc>
          <w:tcPr>
            <w:tcW w:w="1953" w:type="dxa"/>
            <w:vAlign w:val="top"/>
            <w:vMerge w:val="restart"/>
            <w:tcBorders>
              <w:bottom w:val="nil"/>
            </w:tcBorders>
          </w:tcPr>
          <w:p>
            <w:pPr>
              <w:pStyle w:val="TableText"/>
              <w:ind w:left="206"/>
              <w:spacing w:before="139" w:line="228" w:lineRule="auto"/>
              <w:rPr/>
            </w:pPr>
            <w:r>
              <w:rPr>
                <w:spacing w:val="8"/>
              </w:rPr>
              <w:t>预测结果（</w:t>
            </w:r>
            <w:r>
              <w:rPr>
                <w:rFonts w:ascii="Times New Roman" w:hAnsi="Times New Roman" w:eastAsia="Times New Roman" w:cs="Times New Roman"/>
              </w:rPr>
              <w:t>CO</w:t>
            </w:r>
            <w:r>
              <w:rPr>
                <w:spacing w:val="8"/>
              </w:rPr>
              <w:t>）</w:t>
            </w:r>
          </w:p>
        </w:tc>
        <w:tc>
          <w:tcPr>
            <w:tcW w:w="5118" w:type="dxa"/>
            <w:vAlign w:val="top"/>
            <w:gridSpan w:val="6"/>
          </w:tcPr>
          <w:p>
            <w:pPr>
              <w:ind w:left="2527"/>
              <w:spacing w:before="47" w:line="19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247" w:hRule="atLeast"/>
        </w:trPr>
        <w:tc>
          <w:tcPr>
            <w:tcW w:w="390" w:type="dxa"/>
            <w:vAlign w:val="top"/>
            <w:vMerge w:val="continue"/>
            <w:textDirection w:val="tbRlV"/>
            <w:tcBorders>
              <w:top w:val="nil"/>
              <w:bottom w:val="nil"/>
            </w:tcBorders>
          </w:tcPr>
          <w:p>
            <w:pPr>
              <w:rPr>
                <w:rFonts w:ascii="Arial"/>
                <w:sz w:val="21"/>
              </w:rPr>
            </w:pPr>
            <w:r/>
          </w:p>
        </w:tc>
        <w:tc>
          <w:tcPr>
            <w:tcW w:w="1082" w:type="dxa"/>
            <w:vAlign w:val="top"/>
            <w:vMerge w:val="continue"/>
            <w:tcBorders>
              <w:top w:val="nil"/>
            </w:tcBorders>
          </w:tcPr>
          <w:p>
            <w:pPr>
              <w:rPr>
                <w:rFonts w:ascii="Arial"/>
                <w:sz w:val="21"/>
              </w:rPr>
            </w:pPr>
            <w:r/>
          </w:p>
        </w:tc>
        <w:tc>
          <w:tcPr>
            <w:tcW w:w="1953" w:type="dxa"/>
            <w:vAlign w:val="top"/>
            <w:vMerge w:val="continue"/>
            <w:tcBorders>
              <w:top w:val="nil"/>
            </w:tcBorders>
          </w:tcPr>
          <w:p>
            <w:pPr>
              <w:rPr>
                <w:rFonts w:ascii="Arial"/>
                <w:sz w:val="21"/>
              </w:rPr>
            </w:pPr>
            <w:r/>
          </w:p>
        </w:tc>
        <w:tc>
          <w:tcPr>
            <w:tcW w:w="5118" w:type="dxa"/>
            <w:vAlign w:val="top"/>
            <w:gridSpan w:val="6"/>
          </w:tcPr>
          <w:p>
            <w:pPr>
              <w:ind w:left="2527"/>
              <w:spacing w:before="48" w:line="19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277" w:hRule="atLeast"/>
        </w:trPr>
        <w:tc>
          <w:tcPr>
            <w:tcW w:w="390" w:type="dxa"/>
            <w:vAlign w:val="top"/>
            <w:vMerge w:val="continue"/>
            <w:textDirection w:val="tbRlV"/>
            <w:tcBorders>
              <w:top w:val="nil"/>
              <w:bottom w:val="nil"/>
            </w:tcBorders>
          </w:tcPr>
          <w:p>
            <w:pPr>
              <w:rPr>
                <w:rFonts w:ascii="Arial"/>
                <w:sz w:val="21"/>
              </w:rPr>
            </w:pPr>
            <w:r/>
          </w:p>
        </w:tc>
        <w:tc>
          <w:tcPr>
            <w:tcW w:w="1082" w:type="dxa"/>
            <w:vAlign w:val="top"/>
          </w:tcPr>
          <w:p>
            <w:pPr>
              <w:pStyle w:val="TableText"/>
              <w:ind w:left="230"/>
              <w:spacing w:before="30" w:line="218" w:lineRule="auto"/>
              <w:rPr/>
            </w:pPr>
            <w:r>
              <w:rPr>
                <w:spacing w:val="6"/>
              </w:rPr>
              <w:t>地表水</w:t>
            </w:r>
          </w:p>
        </w:tc>
        <w:tc>
          <w:tcPr>
            <w:tcW w:w="7071" w:type="dxa"/>
            <w:vAlign w:val="top"/>
            <w:gridSpan w:val="7"/>
          </w:tcPr>
          <w:p>
            <w:pPr>
              <w:pStyle w:val="TableText"/>
              <w:ind w:left="1443"/>
              <w:spacing w:before="30" w:line="218" w:lineRule="auto"/>
              <w:rPr>
                <w:rFonts w:ascii="Times New Roman" w:hAnsi="Times New Roman" w:eastAsia="Times New Roman" w:cs="Times New Roman"/>
              </w:rPr>
            </w:pPr>
            <w:r>
              <w:rPr>
                <w:spacing w:val="6"/>
              </w:rPr>
              <w:t>最近环境敏感目标</w:t>
            </w:r>
            <w:r>
              <w:rPr>
                <w:spacing w:val="10"/>
              </w:rPr>
              <w:t xml:space="preserve">      </w:t>
            </w:r>
            <w:r>
              <w:rPr>
                <w:spacing w:val="6"/>
              </w:rPr>
              <w:t>，到达时间       </w:t>
            </w:r>
            <w:r>
              <w:rPr>
                <w:rFonts w:ascii="Times New Roman" w:hAnsi="Times New Roman" w:eastAsia="Times New Roman" w:cs="Times New Roman"/>
                <w:spacing w:val="6"/>
              </w:rPr>
              <w:t>h</w:t>
            </w:r>
          </w:p>
        </w:tc>
      </w:tr>
      <w:tr>
        <w:trPr>
          <w:trHeight w:val="246" w:hRule="atLeast"/>
        </w:trPr>
        <w:tc>
          <w:tcPr>
            <w:tcW w:w="390" w:type="dxa"/>
            <w:vAlign w:val="top"/>
            <w:vMerge w:val="continue"/>
            <w:textDirection w:val="tbRlV"/>
            <w:tcBorders>
              <w:top w:val="nil"/>
              <w:bottom w:val="nil"/>
            </w:tcBorders>
          </w:tcPr>
          <w:p>
            <w:pPr>
              <w:rPr>
                <w:rFonts w:ascii="Arial"/>
                <w:sz w:val="21"/>
              </w:rPr>
            </w:pPr>
            <w:r/>
          </w:p>
        </w:tc>
        <w:tc>
          <w:tcPr>
            <w:tcW w:w="1082" w:type="dxa"/>
            <w:vAlign w:val="top"/>
            <w:vMerge w:val="restart"/>
            <w:tcBorders>
              <w:bottom w:val="nil"/>
            </w:tcBorders>
          </w:tcPr>
          <w:p>
            <w:pPr>
              <w:pStyle w:val="TableText"/>
              <w:ind w:left="230"/>
              <w:spacing w:before="139" w:line="228" w:lineRule="auto"/>
              <w:rPr/>
            </w:pPr>
            <w:r>
              <w:rPr>
                <w:spacing w:val="6"/>
              </w:rPr>
              <w:t>地下水</w:t>
            </w:r>
          </w:p>
        </w:tc>
        <w:tc>
          <w:tcPr>
            <w:tcW w:w="7071" w:type="dxa"/>
            <w:vAlign w:val="top"/>
            <w:gridSpan w:val="7"/>
          </w:tcPr>
          <w:p>
            <w:pPr>
              <w:ind w:left="3504"/>
              <w:spacing w:before="50"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247" w:hRule="atLeast"/>
        </w:trPr>
        <w:tc>
          <w:tcPr>
            <w:tcW w:w="390" w:type="dxa"/>
            <w:vAlign w:val="top"/>
            <w:vMerge w:val="continue"/>
            <w:textDirection w:val="tbRlV"/>
            <w:tcBorders>
              <w:top w:val="nil"/>
            </w:tcBorders>
          </w:tcPr>
          <w:p>
            <w:pPr>
              <w:rPr>
                <w:rFonts w:ascii="Arial"/>
                <w:sz w:val="21"/>
              </w:rPr>
            </w:pPr>
            <w:r/>
          </w:p>
        </w:tc>
        <w:tc>
          <w:tcPr>
            <w:tcW w:w="1082" w:type="dxa"/>
            <w:vAlign w:val="top"/>
            <w:vMerge w:val="continue"/>
            <w:tcBorders>
              <w:top w:val="nil"/>
            </w:tcBorders>
          </w:tcPr>
          <w:p>
            <w:pPr>
              <w:rPr>
                <w:rFonts w:ascii="Arial"/>
                <w:sz w:val="21"/>
              </w:rPr>
            </w:pPr>
            <w:r/>
          </w:p>
        </w:tc>
        <w:tc>
          <w:tcPr>
            <w:tcW w:w="7071" w:type="dxa"/>
            <w:vAlign w:val="top"/>
            <w:gridSpan w:val="7"/>
          </w:tcPr>
          <w:p>
            <w:pPr>
              <w:ind w:left="3504"/>
              <w:spacing w:before="51"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r>
        <w:trPr>
          <w:trHeight w:val="1093" w:hRule="atLeast"/>
        </w:trPr>
        <w:tc>
          <w:tcPr>
            <w:tcW w:w="1472" w:type="dxa"/>
            <w:vAlign w:val="top"/>
            <w:gridSpan w:val="2"/>
          </w:tcPr>
          <w:p>
            <w:pPr>
              <w:pStyle w:val="TableText"/>
              <w:ind w:left="112"/>
              <w:spacing w:before="304" w:line="228" w:lineRule="auto"/>
              <w:rPr/>
            </w:pPr>
            <w:r>
              <w:rPr>
                <w:spacing w:val="8"/>
              </w:rPr>
              <w:t>重点风险防范</w:t>
            </w:r>
          </w:p>
          <w:p>
            <w:pPr>
              <w:pStyle w:val="TableText"/>
              <w:ind w:left="531"/>
              <w:spacing w:before="24" w:line="228" w:lineRule="auto"/>
              <w:rPr/>
            </w:pPr>
            <w:r>
              <w:rPr>
                <w:spacing w:val="4"/>
              </w:rPr>
              <w:t>措施</w:t>
            </w:r>
          </w:p>
        </w:tc>
        <w:tc>
          <w:tcPr>
            <w:tcW w:w="7071" w:type="dxa"/>
            <w:vAlign w:val="top"/>
            <w:gridSpan w:val="7"/>
          </w:tcPr>
          <w:p>
            <w:pPr>
              <w:pStyle w:val="TableText"/>
              <w:ind w:left="9" w:right="5"/>
              <w:spacing w:before="30" w:line="243" w:lineRule="auto"/>
              <w:jc w:val="both"/>
              <w:rPr/>
            </w:pPr>
            <w:r>
              <w:rPr>
                <w:spacing w:val="7"/>
              </w:rPr>
              <w:t>在设计阶段从总图布置、建筑安全防范、设备和工艺、消防及火灾报警配置上</w:t>
            </w:r>
            <w:r>
              <w:rPr>
                <w:spacing w:val="9"/>
              </w:rPr>
              <w:t xml:space="preserve"> </w:t>
            </w:r>
            <w:r>
              <w:rPr>
                <w:spacing w:val="5"/>
              </w:rPr>
              <w:t>考虑环境风险防范，东西两个厂区内各配置</w:t>
            </w:r>
            <w:r>
              <w:rPr>
                <w:spacing w:val="-8"/>
              </w:rPr>
              <w:t xml:space="preserve"> </w:t>
            </w:r>
            <w:r>
              <w:rPr>
                <w:rFonts w:ascii="Times New Roman" w:hAnsi="Times New Roman" w:eastAsia="Times New Roman" w:cs="Times New Roman"/>
                <w:spacing w:val="5"/>
              </w:rPr>
              <w:t>1 </w:t>
            </w:r>
            <w:r>
              <w:rPr>
                <w:spacing w:val="5"/>
              </w:rPr>
              <w:t>座</w:t>
            </w:r>
            <w:r>
              <w:rPr>
                <w:spacing w:val="-41"/>
              </w:rPr>
              <w:t xml:space="preserve"> </w:t>
            </w:r>
            <w:r>
              <w:rPr>
                <w:rFonts w:ascii="Times New Roman" w:hAnsi="Times New Roman" w:eastAsia="Times New Roman" w:cs="Times New Roman"/>
                <w:spacing w:val="5"/>
              </w:rPr>
              <w:t>400m</w:t>
            </w:r>
            <w:r>
              <w:rPr>
                <w:rFonts w:ascii="Times New Roman" w:hAnsi="Times New Roman" w:eastAsia="Times New Roman" w:cs="Times New Roman"/>
                <w:sz w:val="13"/>
                <w:szCs w:val="13"/>
                <w:spacing w:val="5"/>
                <w:position w:val="6"/>
              </w:rPr>
              <w:t>3</w:t>
            </w:r>
            <w:r>
              <w:rPr>
                <w:rFonts w:ascii="Times New Roman" w:hAnsi="Times New Roman" w:eastAsia="Times New Roman" w:cs="Times New Roman"/>
                <w:sz w:val="13"/>
                <w:szCs w:val="13"/>
                <w:spacing w:val="10"/>
                <w:w w:val="101"/>
                <w:position w:val="6"/>
              </w:rPr>
              <w:t xml:space="preserve"> </w:t>
            </w:r>
            <w:r>
              <w:rPr>
                <w:spacing w:val="5"/>
              </w:rPr>
              <w:t>应急事故水池，配置了</w:t>
            </w:r>
            <w:r>
              <w:rPr/>
              <w:t xml:space="preserve"> </w:t>
            </w:r>
            <w:r>
              <w:rPr>
                <w:spacing w:val="7"/>
              </w:rPr>
              <w:t>可燃气体的泄漏检测和报警装置，设计中考虑到了应急物资的储备，同时建设</w:t>
            </w:r>
            <w:r>
              <w:rPr>
                <w:spacing w:val="9"/>
              </w:rPr>
              <w:t xml:space="preserve"> </w:t>
            </w:r>
            <w:r>
              <w:rPr>
                <w:spacing w:val="9"/>
              </w:rPr>
              <w:t>单位在下一步的工作中制定环境风险应急预案。</w:t>
            </w:r>
          </w:p>
        </w:tc>
      </w:tr>
      <w:tr>
        <w:trPr>
          <w:trHeight w:val="4087" w:hRule="atLeast"/>
        </w:trPr>
        <w:tc>
          <w:tcPr>
            <w:tcW w:w="1472" w:type="dxa"/>
            <w:vAlign w:val="top"/>
            <w:gridSpan w:val="2"/>
          </w:tcPr>
          <w:p>
            <w:pPr>
              <w:spacing w:line="246" w:lineRule="auto"/>
              <w:rPr>
                <w:rFonts w:ascii="Arial"/>
                <w:sz w:val="21"/>
              </w:rPr>
            </w:pPr>
            <w:r/>
          </w:p>
          <w:p>
            <w:pPr>
              <w:spacing w:line="246"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pStyle w:val="TableText"/>
              <w:ind w:left="111"/>
              <w:spacing w:before="65" w:line="226" w:lineRule="auto"/>
              <w:rPr/>
            </w:pPr>
            <w:r>
              <w:rPr>
                <w:spacing w:val="8"/>
              </w:rPr>
              <w:t>评价结论与建</w:t>
            </w:r>
          </w:p>
          <w:p>
            <w:pPr>
              <w:pStyle w:val="TableText"/>
              <w:ind w:left="639"/>
              <w:spacing w:before="28" w:line="228" w:lineRule="auto"/>
              <w:rPr/>
            </w:pPr>
            <w:r>
              <w:rPr/>
              <w:t>议</w:t>
            </w:r>
          </w:p>
        </w:tc>
        <w:tc>
          <w:tcPr>
            <w:tcW w:w="7071" w:type="dxa"/>
            <w:vAlign w:val="top"/>
            <w:gridSpan w:val="7"/>
          </w:tcPr>
          <w:p>
            <w:pPr>
              <w:pStyle w:val="TableText"/>
              <w:ind w:left="9" w:right="5" w:firstLine="4"/>
              <w:spacing w:before="34" w:line="251" w:lineRule="auto"/>
              <w:rPr/>
            </w:pPr>
            <w:r>
              <w:rPr>
                <w:spacing w:val="4"/>
              </w:rPr>
              <w:t>项目生产过程中涉及的危险物质主要为沼气（甲烷）</w:t>
            </w:r>
            <w:r>
              <w:rPr>
                <w:spacing w:val="3"/>
              </w:rPr>
              <w:t>、</w:t>
            </w:r>
            <w:r>
              <w:rPr>
                <w:rFonts w:ascii="Times New Roman" w:hAnsi="Times New Roman" w:eastAsia="Times New Roman" w:cs="Times New Roman"/>
              </w:rPr>
              <w:t>COD</w:t>
            </w:r>
            <w:r>
              <w:rPr>
                <w:rFonts w:ascii="Times New Roman" w:hAnsi="Times New Roman" w:eastAsia="Times New Roman" w:cs="Times New Roman"/>
                <w:sz w:val="13"/>
                <w:szCs w:val="13"/>
                <w:position w:val="-1"/>
              </w:rPr>
              <w:t>Cr</w:t>
            </w:r>
            <w:r>
              <w:rPr>
                <w:rFonts w:ascii="Times New Roman" w:hAnsi="Times New Roman" w:eastAsia="Times New Roman" w:cs="Times New Roman"/>
                <w:sz w:val="13"/>
                <w:szCs w:val="13"/>
                <w:spacing w:val="3"/>
                <w:position w:val="-1"/>
              </w:rPr>
              <w:t xml:space="preserve"> </w:t>
            </w:r>
            <w:r>
              <w:rPr>
                <w:spacing w:val="3"/>
              </w:rPr>
              <w:t>浓度≥</w:t>
            </w:r>
            <w:r>
              <w:rPr>
                <w:rFonts w:ascii="Times New Roman" w:hAnsi="Times New Roman" w:eastAsia="Times New Roman" w:cs="Times New Roman"/>
                <w:spacing w:val="3"/>
              </w:rPr>
              <w:t>10000</w:t>
            </w:r>
            <w:r>
              <w:rPr>
                <w:rFonts w:ascii="Times New Roman" w:hAnsi="Times New Roman" w:eastAsia="Times New Roman" w:cs="Times New Roman"/>
              </w:rPr>
              <w:t>mg</w:t>
            </w:r>
            <w:r>
              <w:rPr>
                <w:rFonts w:ascii="Times New Roman" w:hAnsi="Times New Roman" w:eastAsia="Times New Roman" w:cs="Times New Roman"/>
                <w:spacing w:val="3"/>
              </w:rPr>
              <w:t>/L</w:t>
            </w:r>
            <w:r>
              <w:rPr>
                <w:rFonts w:ascii="Times New Roman" w:hAnsi="Times New Roman" w:eastAsia="Times New Roman" w:cs="Times New Roman"/>
              </w:rPr>
              <w:t xml:space="preserve"> </w:t>
            </w:r>
            <w:r>
              <w:rPr>
                <w:spacing w:val="8"/>
              </w:rPr>
              <w:t>有机废液、废矿物油及火灾事故次生</w:t>
            </w:r>
            <w:r>
              <w:rPr>
                <w:rFonts w:ascii="Times New Roman" w:hAnsi="Times New Roman" w:eastAsia="Times New Roman" w:cs="Times New Roman"/>
                <w:spacing w:val="8"/>
              </w:rPr>
              <w:t>/</w:t>
            </w:r>
            <w:r>
              <w:rPr>
                <w:spacing w:val="8"/>
              </w:rPr>
              <w:t>伴生环境风险物质</w:t>
            </w:r>
            <w:r>
              <w:rPr>
                <w:rFonts w:ascii="Times New Roman" w:hAnsi="Times New Roman" w:eastAsia="Times New Roman" w:cs="Times New Roman"/>
              </w:rPr>
              <w:t>CO</w:t>
            </w:r>
            <w:r>
              <w:rPr>
                <w:rFonts w:ascii="Times New Roman" w:hAnsi="Times New Roman" w:eastAsia="Times New Roman" w:cs="Times New Roman"/>
                <w:spacing w:val="8"/>
              </w:rPr>
              <w:t xml:space="preserve"> </w:t>
            </w:r>
            <w:r>
              <w:rPr>
                <w:spacing w:val="8"/>
              </w:rPr>
              <w:t>等，</w:t>
            </w:r>
            <w:r>
              <w:rPr>
                <w:spacing w:val="7"/>
              </w:rPr>
              <w:t>其中沼气（甲</w:t>
            </w:r>
            <w:r>
              <w:rPr/>
              <w:t xml:space="preserve"> </w:t>
            </w:r>
            <w:r>
              <w:rPr>
                <w:spacing w:val="12"/>
              </w:rPr>
              <w:t>烷）、火灾事故次生</w:t>
            </w:r>
            <w:r>
              <w:rPr>
                <w:rFonts w:ascii="Times New Roman" w:hAnsi="Times New Roman" w:eastAsia="Times New Roman" w:cs="Times New Roman"/>
                <w:spacing w:val="12"/>
              </w:rPr>
              <w:t>/</w:t>
            </w:r>
            <w:r>
              <w:rPr>
                <w:spacing w:val="12"/>
              </w:rPr>
              <w:t>伴生环境风险物质</w:t>
            </w:r>
            <w:r>
              <w:rPr>
                <w:spacing w:val="-35"/>
              </w:rPr>
              <w:t xml:space="preserve"> </w:t>
            </w:r>
            <w:r>
              <w:rPr>
                <w:rFonts w:ascii="Times New Roman" w:hAnsi="Times New Roman" w:eastAsia="Times New Roman" w:cs="Times New Roman"/>
              </w:rPr>
              <w:t>CO</w:t>
            </w:r>
            <w:r>
              <w:rPr>
                <w:rFonts w:ascii="Times New Roman" w:hAnsi="Times New Roman" w:eastAsia="Times New Roman" w:cs="Times New Roman"/>
                <w:spacing w:val="17"/>
              </w:rPr>
              <w:t xml:space="preserve"> </w:t>
            </w:r>
            <w:r>
              <w:rPr>
                <w:spacing w:val="12"/>
              </w:rPr>
              <w:t>发</w:t>
            </w:r>
            <w:r>
              <w:rPr>
                <w:spacing w:val="11"/>
              </w:rPr>
              <w:t>生泄漏后通过大气环境扩散；</w:t>
            </w:r>
            <w:r>
              <w:rPr/>
              <w:t xml:space="preserve"> </w:t>
            </w:r>
            <w:r>
              <w:rPr>
                <w:rFonts w:ascii="Times New Roman" w:hAnsi="Times New Roman" w:eastAsia="Times New Roman" w:cs="Times New Roman"/>
              </w:rPr>
              <w:t>COD</w:t>
            </w:r>
            <w:r>
              <w:rPr>
                <w:rFonts w:ascii="Times New Roman" w:hAnsi="Times New Roman" w:eastAsia="Times New Roman" w:cs="Times New Roman"/>
                <w:sz w:val="13"/>
                <w:szCs w:val="13"/>
                <w:position w:val="-1"/>
              </w:rPr>
              <w:t>Cr</w:t>
            </w:r>
            <w:r>
              <w:rPr>
                <w:rFonts w:ascii="Times New Roman" w:hAnsi="Times New Roman" w:eastAsia="Times New Roman" w:cs="Times New Roman"/>
                <w:sz w:val="13"/>
                <w:szCs w:val="13"/>
                <w:spacing w:val="8"/>
                <w:position w:val="-1"/>
              </w:rPr>
              <w:t xml:space="preserve"> </w:t>
            </w:r>
            <w:r>
              <w:rPr>
                <w:spacing w:val="8"/>
              </w:rPr>
              <w:t>浓度≥</w:t>
            </w:r>
            <w:r>
              <w:rPr>
                <w:rFonts w:ascii="Times New Roman" w:hAnsi="Times New Roman" w:eastAsia="Times New Roman" w:cs="Times New Roman"/>
                <w:spacing w:val="8"/>
              </w:rPr>
              <w:t>10000</w:t>
            </w:r>
            <w:r>
              <w:rPr>
                <w:rFonts w:ascii="Times New Roman" w:hAnsi="Times New Roman" w:eastAsia="Times New Roman" w:cs="Times New Roman"/>
              </w:rPr>
              <w:t>mg</w:t>
            </w:r>
            <w:r>
              <w:rPr>
                <w:rFonts w:ascii="Times New Roman" w:hAnsi="Times New Roman" w:eastAsia="Times New Roman" w:cs="Times New Roman"/>
                <w:spacing w:val="8"/>
              </w:rPr>
              <w:t>/L </w:t>
            </w:r>
            <w:r>
              <w:rPr>
                <w:spacing w:val="8"/>
              </w:rPr>
              <w:t>有机废液、废矿物油等主要通过水环境及土壤环境扩</w:t>
            </w:r>
            <w:r>
              <w:rPr>
                <w:spacing w:val="2"/>
              </w:rPr>
              <w:t xml:space="preserve"> </w:t>
            </w:r>
            <w:r>
              <w:rPr>
                <w:spacing w:val="7"/>
              </w:rPr>
              <w:t>散，在采取相应措施后，其影响控制在厂区范围内，不会对周边大气环境、水</w:t>
            </w:r>
            <w:r>
              <w:rPr>
                <w:spacing w:val="12"/>
              </w:rPr>
              <w:t xml:space="preserve"> </w:t>
            </w:r>
            <w:r>
              <w:rPr>
                <w:spacing w:val="8"/>
              </w:rPr>
              <w:t>环境及土壤环境产生大的影响。</w:t>
            </w:r>
          </w:p>
          <w:p>
            <w:pPr>
              <w:pStyle w:val="TableText"/>
              <w:ind w:left="9" w:right="5"/>
              <w:spacing w:before="3" w:line="251" w:lineRule="auto"/>
              <w:rPr/>
            </w:pPr>
            <w:r>
              <w:rPr>
                <w:spacing w:val="7"/>
              </w:rPr>
              <w:t>在项目运营过程中，建设单位必须严格执行国家和地方的相应法律法规和采取</w:t>
            </w:r>
            <w:r>
              <w:rPr>
                <w:spacing w:val="12"/>
              </w:rPr>
              <w:t xml:space="preserve"> </w:t>
            </w:r>
            <w:r>
              <w:rPr>
                <w:spacing w:val="7"/>
              </w:rPr>
              <w:t>的风险防范措施，减小事故发生的概率；一旦发生事故，必须严格按照风险防</w:t>
            </w:r>
            <w:r>
              <w:rPr>
                <w:spacing w:val="11"/>
              </w:rPr>
              <w:t xml:space="preserve"> </w:t>
            </w:r>
            <w:r>
              <w:rPr>
                <w:spacing w:val="7"/>
              </w:rPr>
              <w:t>范措施和应急预案的要求及时作出应对措施，将事故对周围环境和人群的影响</w:t>
            </w:r>
            <w:r>
              <w:rPr>
                <w:spacing w:val="8"/>
              </w:rPr>
              <w:t xml:space="preserve"> </w:t>
            </w:r>
            <w:r>
              <w:rPr>
                <w:spacing w:val="7"/>
              </w:rPr>
              <w:t>降到最低。建设单位应充分利用区域安全、环境保护等资源，根据项目建设和</w:t>
            </w:r>
            <w:r>
              <w:rPr>
                <w:spacing w:val="11"/>
              </w:rPr>
              <w:t xml:space="preserve"> </w:t>
            </w:r>
            <w:r>
              <w:rPr>
                <w:spacing w:val="7"/>
              </w:rPr>
              <w:t>运行过程中的变化，不断完善风险防范措施、应急预案和应急救援体系，确保</w:t>
            </w:r>
            <w:r>
              <w:rPr>
                <w:spacing w:val="9"/>
              </w:rPr>
              <w:t xml:space="preserve"> </w:t>
            </w:r>
            <w:r>
              <w:rPr>
                <w:spacing w:val="7"/>
              </w:rPr>
              <w:t>其具有针对性和可操作性，</w:t>
            </w:r>
            <w:r>
              <w:rPr>
                <w:spacing w:val="-47"/>
              </w:rPr>
              <w:t xml:space="preserve"> </w:t>
            </w:r>
            <w:r>
              <w:rPr>
                <w:spacing w:val="7"/>
              </w:rPr>
              <w:t>以应对可能出现的环境风险。</w:t>
            </w:r>
          </w:p>
          <w:p>
            <w:pPr>
              <w:pStyle w:val="TableText"/>
              <w:ind w:left="17" w:right="7" w:hanging="6"/>
              <w:spacing w:before="3" w:line="238" w:lineRule="auto"/>
              <w:rPr/>
            </w:pPr>
            <w:r>
              <w:rPr>
                <w:spacing w:val="7"/>
              </w:rPr>
              <w:t>本项目在实施以上的风险减缓措施和应急预案后，企业的应急处理事故能力对</w:t>
            </w:r>
            <w:r>
              <w:rPr>
                <w:spacing w:val="8"/>
              </w:rPr>
              <w:t xml:space="preserve"> </w:t>
            </w:r>
            <w:r>
              <w:rPr>
                <w:spacing w:val="7"/>
              </w:rPr>
              <w:t>突发性事故是可以控制的，在严格执行本报告提出的防治措施的前提下，本项</w:t>
            </w:r>
            <w:r>
              <w:rPr>
                <w:spacing w:val="1"/>
              </w:rPr>
              <w:t xml:space="preserve"> </w:t>
            </w:r>
            <w:r>
              <w:rPr>
                <w:spacing w:val="9"/>
              </w:rPr>
              <w:t>目的事故所造成的风险是可接受的，本项目的环境风险是可以接受的。</w:t>
            </w:r>
          </w:p>
        </w:tc>
      </w:tr>
      <w:tr>
        <w:trPr>
          <w:trHeight w:val="282" w:hRule="atLeast"/>
        </w:trPr>
        <w:tc>
          <w:tcPr>
            <w:tcW w:w="8543" w:type="dxa"/>
            <w:vAlign w:val="top"/>
            <w:gridSpan w:val="9"/>
          </w:tcPr>
          <w:p>
            <w:pPr>
              <w:pStyle w:val="TableText"/>
              <w:ind w:left="13"/>
              <w:spacing w:before="36" w:line="217" w:lineRule="auto"/>
              <w:rPr/>
            </w:pPr>
            <w:r>
              <w:rPr>
                <w:spacing w:val="5"/>
              </w:rPr>
              <w:t>注：</w:t>
            </w:r>
            <w:r>
              <w:rPr>
                <w:rFonts w:ascii="Times New Roman" w:hAnsi="Times New Roman" w:eastAsia="Times New Roman" w:cs="Times New Roman"/>
                <w:spacing w:val="5"/>
              </w:rPr>
              <w:t>“</w:t>
            </w:r>
            <w:r>
              <w:rPr>
                <w:rFonts w:ascii="Times New Roman" w:hAnsi="Times New Roman" w:eastAsia="Times New Roman" w:cs="Times New Roman"/>
                <w:spacing w:val="-34"/>
              </w:rPr>
              <w:t xml:space="preserve"> </w:t>
            </w:r>
            <w:r>
              <w:rPr>
                <w:rFonts w:ascii="Times New Roman" w:hAnsi="Times New Roman" w:eastAsia="Times New Roman" w:cs="Times New Roman"/>
                <w:spacing w:val="5"/>
              </w:rPr>
              <w:t>□”</w:t>
            </w:r>
            <w:r>
              <w:rPr>
                <w:spacing w:val="5"/>
              </w:rPr>
              <w:t>为勾选项；</w:t>
            </w:r>
            <w:r>
              <w:rPr>
                <w:rFonts w:ascii="Times New Roman" w:hAnsi="Times New Roman" w:eastAsia="Times New Roman" w:cs="Times New Roman"/>
                <w:spacing w:val="5"/>
              </w:rPr>
              <w:t>“</w:t>
            </w:r>
            <w:r>
              <w:rPr>
                <w:rFonts w:ascii="Times New Roman" w:hAnsi="Times New Roman" w:eastAsia="Times New Roman" w:cs="Times New Roman"/>
                <w:u w:val="single" w:color="auto"/>
                <w:spacing w:val="5"/>
              </w:rPr>
              <w:t xml:space="preserve">      </w:t>
            </w:r>
            <w:r>
              <w:rPr>
                <w:rFonts w:ascii="Times New Roman" w:hAnsi="Times New Roman" w:eastAsia="Times New Roman" w:cs="Times New Roman"/>
                <w:spacing w:val="-42"/>
              </w:rPr>
              <w:t xml:space="preserve"> </w:t>
            </w:r>
            <w:r>
              <w:rPr>
                <w:rFonts w:ascii="Times New Roman" w:hAnsi="Times New Roman" w:eastAsia="Times New Roman" w:cs="Times New Roman"/>
                <w:spacing w:val="5"/>
              </w:rPr>
              <w:t>”</w:t>
            </w:r>
            <w:r>
              <w:rPr>
                <w:spacing w:val="5"/>
              </w:rPr>
              <w:t>为</w:t>
            </w:r>
            <w:r>
              <w:rPr>
                <w:spacing w:val="4"/>
              </w:rPr>
              <w:t>填写项。</w:t>
            </w:r>
          </w:p>
        </w:tc>
      </w:tr>
    </w:tbl>
    <w:p>
      <w:pPr>
        <w:pStyle w:val="BodyText"/>
        <w:rPr/>
      </w:pPr>
      <w:r/>
    </w:p>
    <w:p>
      <w:pPr>
        <w:sectPr>
          <w:headerReference w:type="default" r:id="rId352"/>
          <w:footerReference w:type="default" r:id="rId353"/>
          <w:pgSz w:w="11907" w:h="16840"/>
          <w:pgMar w:top="1567" w:right="1679" w:bottom="1921" w:left="1679" w:header="1221" w:footer="1250" w:gutter="0"/>
        </w:sectPr>
        <w:rPr/>
      </w:pPr>
    </w:p>
    <w:p>
      <w:pPr>
        <w:ind w:left="13"/>
        <w:spacing w:before="204" w:line="227" w:lineRule="auto"/>
        <w:outlineLvl w:val="0"/>
        <w:rPr>
          <w:rFonts w:ascii="SimHei" w:hAnsi="SimHei" w:eastAsia="SimHei" w:cs="SimHei"/>
          <w:sz w:val="35"/>
          <w:szCs w:val="35"/>
        </w:rPr>
      </w:pPr>
      <w:r>
        <w:pict>
          <v:shape id="_x0000_s1190" style="position:absolute;margin-left:85.05pt;margin-top:79.11pt;mso-position-vertical-relative:page;mso-position-horizontal-relative:page;width:425.25pt;height:0.75pt;z-index:252282880;" o:allowincell="f" fillcolor="#000000" filled="true" stroked="false" coordsize="8505,15" coordorigin="0,0" path="m,l8505,0l8505,14l0,14l0,0xe"/>
        </w:pict>
      </w:r>
      <w:bookmarkStart w:name="bookmark149" w:id="180"/>
      <w:bookmarkEnd w:id="180"/>
      <w:bookmarkStart w:name="bookmark150" w:id="181"/>
      <w:bookmarkEnd w:id="181"/>
      <w:bookmarkStart w:name="bookmark151" w:id="182"/>
      <w:bookmarkEnd w:id="182"/>
      <w:r>
        <w:rPr>
          <w:rFonts w:ascii="Times New Roman" w:hAnsi="Times New Roman" w:eastAsia="Times New Roman" w:cs="Times New Roman"/>
          <w:sz w:val="35"/>
          <w:szCs w:val="35"/>
          <w:spacing w:val="8"/>
        </w:rPr>
        <w:t>7 </w:t>
      </w:r>
      <w:r>
        <w:rPr>
          <w:rFonts w:ascii="SimHei" w:hAnsi="SimHei" w:eastAsia="SimHei" w:cs="SimHei"/>
          <w:sz w:val="35"/>
          <w:szCs w:val="35"/>
          <w:spacing w:val="8"/>
        </w:rPr>
        <w:t>环境保护措施及其可行性论证</w:t>
      </w:r>
    </w:p>
    <w:p>
      <w:pPr>
        <w:pStyle w:val="BodyText"/>
        <w:spacing w:line="317" w:lineRule="auto"/>
        <w:rPr/>
      </w:pPr>
      <w:r/>
    </w:p>
    <w:p>
      <w:pPr>
        <w:ind w:left="11"/>
        <w:spacing w:before="98" w:line="222" w:lineRule="auto"/>
        <w:outlineLvl w:val="1"/>
        <w:rPr>
          <w:rFonts w:ascii="SimHei" w:hAnsi="SimHei" w:eastAsia="SimHei" w:cs="SimHei"/>
          <w:sz w:val="30"/>
          <w:szCs w:val="30"/>
        </w:rPr>
      </w:pPr>
      <w:bookmarkStart w:name="bookmark245" w:id="183"/>
      <w:bookmarkEnd w:id="183"/>
      <w:r>
        <w:rPr>
          <w:rFonts w:ascii="Times New Roman" w:hAnsi="Times New Roman" w:eastAsia="Times New Roman" w:cs="Times New Roman"/>
          <w:sz w:val="30"/>
          <w:szCs w:val="30"/>
          <w:spacing w:val="-1"/>
        </w:rPr>
        <w:t>7.1 </w:t>
      </w:r>
      <w:r>
        <w:rPr>
          <w:rFonts w:ascii="SimHei" w:hAnsi="SimHei" w:eastAsia="SimHei" w:cs="SimHei"/>
          <w:sz w:val="30"/>
          <w:szCs w:val="30"/>
          <w:spacing w:val="-1"/>
        </w:rPr>
        <w:t>废气治理措施的经济技术的可行性分析</w:t>
      </w:r>
    </w:p>
    <w:p>
      <w:pPr>
        <w:pStyle w:val="BodyText"/>
        <w:spacing w:line="281" w:lineRule="auto"/>
        <w:rPr/>
      </w:pPr>
      <w:r/>
    </w:p>
    <w:p>
      <w:pPr>
        <w:ind w:left="10"/>
        <w:spacing w:before="91" w:line="222" w:lineRule="auto"/>
        <w:outlineLvl w:val="2"/>
        <w:rPr>
          <w:rFonts w:ascii="SimHei" w:hAnsi="SimHei" w:eastAsia="SimHei" w:cs="SimHei"/>
          <w:sz w:val="28"/>
          <w:szCs w:val="28"/>
        </w:rPr>
      </w:pPr>
      <w:bookmarkStart w:name="bookmark246" w:id="184"/>
      <w:bookmarkEnd w:id="184"/>
      <w:r>
        <w:rPr>
          <w:rFonts w:ascii="Times New Roman" w:hAnsi="Times New Roman" w:eastAsia="Times New Roman" w:cs="Times New Roman"/>
          <w:sz w:val="28"/>
          <w:szCs w:val="28"/>
          <w:spacing w:val="-1"/>
        </w:rPr>
        <w:t>7.1.1 </w:t>
      </w:r>
      <w:r>
        <w:rPr>
          <w:rFonts w:ascii="SimHei" w:hAnsi="SimHei" w:eastAsia="SimHei" w:cs="SimHei"/>
          <w:sz w:val="28"/>
          <w:szCs w:val="28"/>
          <w:spacing w:val="-1"/>
        </w:rPr>
        <w:t>含尘废气治理措施</w:t>
      </w:r>
    </w:p>
    <w:p>
      <w:pPr>
        <w:pStyle w:val="BodyText"/>
        <w:spacing w:line="279" w:lineRule="auto"/>
        <w:rPr/>
      </w:pPr>
      <w:r/>
    </w:p>
    <w:p>
      <w:pPr>
        <w:ind w:left="8" w:right="80" w:firstLine="481"/>
        <w:spacing w:before="78" w:line="359" w:lineRule="auto"/>
        <w:jc w:val="both"/>
        <w:rPr>
          <w:rFonts w:ascii="SimSun" w:hAnsi="SimSun" w:eastAsia="SimSun" w:cs="SimSun"/>
          <w:sz w:val="24"/>
          <w:szCs w:val="24"/>
        </w:rPr>
      </w:pPr>
      <w:r>
        <w:rPr>
          <w:rFonts w:ascii="SimSun" w:hAnsi="SimSun" w:eastAsia="SimSun" w:cs="SimSun"/>
          <w:sz w:val="24"/>
          <w:szCs w:val="24"/>
          <w:spacing w:val="2"/>
        </w:rPr>
        <w:t>开松除杂粉尘采用布袋除尘器进行处理，除尘效率均</w:t>
      </w:r>
      <w:r>
        <w:rPr>
          <w:rFonts w:ascii="SimSun" w:hAnsi="SimSun" w:eastAsia="SimSun" w:cs="SimSun"/>
          <w:sz w:val="24"/>
          <w:szCs w:val="24"/>
          <w:spacing w:val="1"/>
        </w:rPr>
        <w:t>在</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99%</w:t>
      </w:r>
      <w:r>
        <w:rPr>
          <w:rFonts w:ascii="SimSun" w:hAnsi="SimSun" w:eastAsia="SimSun" w:cs="SimSun"/>
          <w:sz w:val="24"/>
          <w:szCs w:val="24"/>
          <w:spacing w:val="1"/>
        </w:rPr>
        <w:t>以上，经处理后</w:t>
      </w:r>
      <w:r>
        <w:rPr>
          <w:rFonts w:ascii="SimSun" w:hAnsi="SimSun" w:eastAsia="SimSun" w:cs="SimSun"/>
          <w:sz w:val="24"/>
          <w:szCs w:val="24"/>
        </w:rPr>
        <w:t xml:space="preserve"> </w:t>
      </w:r>
      <w:r>
        <w:rPr>
          <w:rFonts w:ascii="SimSun" w:hAnsi="SimSun" w:eastAsia="SimSun" w:cs="SimSun"/>
          <w:sz w:val="24"/>
          <w:szCs w:val="24"/>
          <w:spacing w:val="2"/>
        </w:rPr>
        <w:t>颗粒物排放浓度满足《大气污染物综合排放标准限值》（</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2"/>
        </w:rPr>
        <w:t>16297-1996</w:t>
      </w:r>
      <w:r>
        <w:rPr>
          <w:rFonts w:ascii="SimSun" w:hAnsi="SimSun" w:eastAsia="SimSun" w:cs="SimSun"/>
          <w:sz w:val="24"/>
          <w:szCs w:val="24"/>
          <w:spacing w:val="2"/>
        </w:rPr>
        <w:t>）中表</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rPr>
        <w:t xml:space="preserve"> </w:t>
      </w:r>
      <w:r>
        <w:rPr>
          <w:rFonts w:ascii="SimSun" w:hAnsi="SimSun" w:eastAsia="SimSun" w:cs="SimSun"/>
          <w:sz w:val="24"/>
          <w:szCs w:val="24"/>
          <w:spacing w:val="-1"/>
        </w:rPr>
        <w:t>新污染源二级排放限值。</w:t>
      </w:r>
    </w:p>
    <w:p>
      <w:pPr>
        <w:ind w:left="8" w:firstLine="481"/>
        <w:spacing w:before="3" w:line="359" w:lineRule="auto"/>
        <w:rPr>
          <w:rFonts w:ascii="SimSun" w:hAnsi="SimSun" w:eastAsia="SimSun" w:cs="SimSun"/>
          <w:sz w:val="24"/>
          <w:szCs w:val="24"/>
        </w:rPr>
      </w:pPr>
      <w:r>
        <w:rPr>
          <w:rFonts w:ascii="SimSun" w:hAnsi="SimSun" w:eastAsia="SimSun" w:cs="SimSun"/>
          <w:sz w:val="24"/>
          <w:szCs w:val="24"/>
          <w:spacing w:val="3"/>
        </w:rPr>
        <w:t>袋式除尘器主要由底部钢结构、灰斗、上箱体、箱体、进出风口、</w:t>
      </w:r>
      <w:r>
        <w:rPr>
          <w:rFonts w:ascii="SimSun" w:hAnsi="SimSun" w:eastAsia="SimSun" w:cs="SimSun"/>
          <w:sz w:val="24"/>
          <w:szCs w:val="24"/>
          <w:spacing w:val="2"/>
        </w:rPr>
        <w:t>滤袋、清</w:t>
      </w:r>
      <w:r>
        <w:rPr>
          <w:rFonts w:ascii="SimSun" w:hAnsi="SimSun" w:eastAsia="SimSun" w:cs="SimSun"/>
          <w:sz w:val="24"/>
          <w:szCs w:val="24"/>
        </w:rPr>
        <w:t xml:space="preserve"> </w:t>
      </w:r>
      <w:r>
        <w:rPr>
          <w:rFonts w:ascii="SimSun" w:hAnsi="SimSun" w:eastAsia="SimSun" w:cs="SimSun"/>
          <w:sz w:val="24"/>
          <w:szCs w:val="24"/>
          <w:spacing w:val="3"/>
        </w:rPr>
        <w:t>灰装置、电气控制等几部分组成。含尘气体由进风口进入，</w:t>
      </w:r>
      <w:r>
        <w:rPr>
          <w:rFonts w:ascii="SimSun" w:hAnsi="SimSun" w:eastAsia="SimSun" w:cs="SimSun"/>
          <w:sz w:val="24"/>
          <w:szCs w:val="24"/>
          <w:spacing w:val="2"/>
        </w:rPr>
        <w:t>经过灰斗时，气体中</w:t>
      </w:r>
      <w:r>
        <w:rPr>
          <w:rFonts w:ascii="SimSun" w:hAnsi="SimSun" w:eastAsia="SimSun" w:cs="SimSun"/>
          <w:sz w:val="24"/>
          <w:szCs w:val="24"/>
        </w:rPr>
        <w:t xml:space="preserve"> </w:t>
      </w:r>
      <w:r>
        <w:rPr>
          <w:rFonts w:ascii="SimSun" w:hAnsi="SimSun" w:eastAsia="SimSun" w:cs="SimSun"/>
          <w:sz w:val="24"/>
          <w:szCs w:val="24"/>
          <w:spacing w:val="3"/>
        </w:rPr>
        <w:t>部分大颗粒粉尘受惯性力和重力作用被分离出来，直接落入</w:t>
      </w:r>
      <w:r>
        <w:rPr>
          <w:rFonts w:ascii="SimSun" w:hAnsi="SimSun" w:eastAsia="SimSun" w:cs="SimSun"/>
          <w:sz w:val="24"/>
          <w:szCs w:val="24"/>
          <w:spacing w:val="2"/>
        </w:rPr>
        <w:t>灰斗底部。含尘气体</w:t>
      </w:r>
      <w:r>
        <w:rPr>
          <w:rFonts w:ascii="SimSun" w:hAnsi="SimSun" w:eastAsia="SimSun" w:cs="SimSun"/>
          <w:sz w:val="24"/>
          <w:szCs w:val="24"/>
        </w:rPr>
        <w:t xml:space="preserve"> </w:t>
      </w:r>
      <w:r>
        <w:rPr>
          <w:rFonts w:ascii="SimSun" w:hAnsi="SimSun" w:eastAsia="SimSun" w:cs="SimSun"/>
          <w:sz w:val="24"/>
          <w:szCs w:val="24"/>
          <w:spacing w:val="-2"/>
        </w:rPr>
        <w:t>通过灰斗后进入中箱体的滤袋过滤区，气体穿过滤袋，粉尘被阻留在滤袋外表面，</w:t>
      </w:r>
      <w:r>
        <w:rPr>
          <w:rFonts w:ascii="SimSun" w:hAnsi="SimSun" w:eastAsia="SimSun" w:cs="SimSun"/>
          <w:sz w:val="24"/>
          <w:szCs w:val="24"/>
          <w:spacing w:val="6"/>
        </w:rPr>
        <w:t xml:space="preserve"> </w:t>
      </w:r>
      <w:r>
        <w:rPr>
          <w:rFonts w:ascii="SimSun" w:hAnsi="SimSun" w:eastAsia="SimSun" w:cs="SimSun"/>
          <w:sz w:val="24"/>
          <w:szCs w:val="24"/>
          <w:spacing w:val="4"/>
        </w:rPr>
        <w:t>净化后的气体经滤袋口进入上箱体后，再由出</w:t>
      </w:r>
      <w:r>
        <w:rPr>
          <w:rFonts w:ascii="SimSun" w:hAnsi="SimSun" w:eastAsia="SimSun" w:cs="SimSun"/>
          <w:sz w:val="24"/>
          <w:szCs w:val="24"/>
          <w:spacing w:val="3"/>
        </w:rPr>
        <w:t>风口排出。随着过滤时间的延长，</w:t>
      </w:r>
      <w:r>
        <w:rPr>
          <w:rFonts w:ascii="SimSun" w:hAnsi="SimSun" w:eastAsia="SimSun" w:cs="SimSun"/>
          <w:sz w:val="24"/>
          <w:szCs w:val="24"/>
        </w:rPr>
        <w:t xml:space="preserve"> </w:t>
      </w:r>
      <w:r>
        <w:rPr>
          <w:rFonts w:ascii="SimSun" w:hAnsi="SimSun" w:eastAsia="SimSun" w:cs="SimSun"/>
          <w:sz w:val="24"/>
          <w:szCs w:val="24"/>
          <w:spacing w:val="3"/>
        </w:rPr>
        <w:t>滤袋上的粉尘层不断积厚，除尘设备的阻力不断上升，当设</w:t>
      </w:r>
      <w:r>
        <w:rPr>
          <w:rFonts w:ascii="SimSun" w:hAnsi="SimSun" w:eastAsia="SimSun" w:cs="SimSun"/>
          <w:sz w:val="24"/>
          <w:szCs w:val="24"/>
          <w:spacing w:val="2"/>
        </w:rPr>
        <w:t>备阻力上升到设定值</w:t>
      </w:r>
      <w:r>
        <w:rPr>
          <w:rFonts w:ascii="SimSun" w:hAnsi="SimSun" w:eastAsia="SimSun" w:cs="SimSun"/>
          <w:sz w:val="24"/>
          <w:szCs w:val="24"/>
        </w:rPr>
        <w:t xml:space="preserve"> </w:t>
      </w:r>
      <w:r>
        <w:rPr>
          <w:rFonts w:ascii="SimSun" w:hAnsi="SimSun" w:eastAsia="SimSun" w:cs="SimSun"/>
          <w:sz w:val="24"/>
          <w:szCs w:val="24"/>
          <w:spacing w:val="3"/>
        </w:rPr>
        <w:t>时，清灰装置开始进行清灰。首先，一个分室提升阀关闭，</w:t>
      </w:r>
      <w:r>
        <w:rPr>
          <w:rFonts w:ascii="SimSun" w:hAnsi="SimSun" w:eastAsia="SimSun" w:cs="SimSun"/>
          <w:sz w:val="24"/>
          <w:szCs w:val="24"/>
          <w:spacing w:val="2"/>
        </w:rPr>
        <w:t>将过滤气流截断，然</w:t>
      </w:r>
      <w:r>
        <w:rPr>
          <w:rFonts w:ascii="SimSun" w:hAnsi="SimSun" w:eastAsia="SimSun" w:cs="SimSun"/>
          <w:sz w:val="24"/>
          <w:szCs w:val="24"/>
        </w:rPr>
        <w:t xml:space="preserve"> </w:t>
      </w:r>
      <w:r>
        <w:rPr>
          <w:rFonts w:ascii="SimSun" w:hAnsi="SimSun" w:eastAsia="SimSun" w:cs="SimSun"/>
          <w:sz w:val="24"/>
          <w:szCs w:val="24"/>
          <w:spacing w:val="4"/>
        </w:rPr>
        <w:t>后电磁脉冲阀开启，压缩空气以极短促的时间</w:t>
      </w:r>
      <w:r>
        <w:rPr>
          <w:rFonts w:ascii="SimSun" w:hAnsi="SimSun" w:eastAsia="SimSun" w:cs="SimSun"/>
          <w:sz w:val="24"/>
          <w:szCs w:val="24"/>
          <w:spacing w:val="3"/>
        </w:rPr>
        <w:t>在上箱体内迅速膨胀，涌入滤袋，</w:t>
      </w:r>
      <w:r>
        <w:rPr>
          <w:rFonts w:ascii="SimSun" w:hAnsi="SimSun" w:eastAsia="SimSun" w:cs="SimSun"/>
          <w:sz w:val="24"/>
          <w:szCs w:val="24"/>
        </w:rPr>
        <w:t xml:space="preserve"> </w:t>
      </w:r>
      <w:r>
        <w:rPr>
          <w:rFonts w:ascii="SimSun" w:hAnsi="SimSun" w:eastAsia="SimSun" w:cs="SimSun"/>
          <w:sz w:val="24"/>
          <w:szCs w:val="24"/>
          <w:spacing w:val="3"/>
        </w:rPr>
        <w:t>使滤袋膨胀变形产生振动，并在逆向气流冲刷的作用下，附</w:t>
      </w:r>
      <w:r>
        <w:rPr>
          <w:rFonts w:ascii="SimSun" w:hAnsi="SimSun" w:eastAsia="SimSun" w:cs="SimSun"/>
          <w:sz w:val="24"/>
          <w:szCs w:val="24"/>
          <w:spacing w:val="2"/>
        </w:rPr>
        <w:t>着在滤袋外表面上的</w:t>
      </w:r>
      <w:r>
        <w:rPr>
          <w:rFonts w:ascii="SimSun" w:hAnsi="SimSun" w:eastAsia="SimSun" w:cs="SimSun"/>
          <w:sz w:val="24"/>
          <w:szCs w:val="24"/>
        </w:rPr>
        <w:t xml:space="preserve"> </w:t>
      </w:r>
      <w:r>
        <w:rPr>
          <w:rFonts w:ascii="SimSun" w:hAnsi="SimSun" w:eastAsia="SimSun" w:cs="SimSun"/>
          <w:sz w:val="24"/>
          <w:szCs w:val="24"/>
          <w:spacing w:val="3"/>
        </w:rPr>
        <w:t>粉尘被剥离落入灰斗中。清灰完毕后，电磁脉冲阀关闭，提</w:t>
      </w:r>
      <w:r>
        <w:rPr>
          <w:rFonts w:ascii="SimSun" w:hAnsi="SimSun" w:eastAsia="SimSun" w:cs="SimSun"/>
          <w:sz w:val="24"/>
          <w:szCs w:val="24"/>
          <w:spacing w:val="2"/>
        </w:rPr>
        <w:t>升阀打开，该室又恢</w:t>
      </w:r>
      <w:r>
        <w:rPr>
          <w:rFonts w:ascii="SimSun" w:hAnsi="SimSun" w:eastAsia="SimSun" w:cs="SimSun"/>
          <w:sz w:val="24"/>
          <w:szCs w:val="24"/>
        </w:rPr>
        <w:t xml:space="preserve"> </w:t>
      </w:r>
      <w:r>
        <w:rPr>
          <w:rFonts w:ascii="SimSun" w:hAnsi="SimSun" w:eastAsia="SimSun" w:cs="SimSun"/>
          <w:sz w:val="24"/>
          <w:szCs w:val="24"/>
          <w:spacing w:val="3"/>
        </w:rPr>
        <w:t>复过滤状态。清灰各室依次进行，从第一室清灰开始至下一</w:t>
      </w:r>
      <w:r>
        <w:rPr>
          <w:rFonts w:ascii="SimSun" w:hAnsi="SimSun" w:eastAsia="SimSun" w:cs="SimSun"/>
          <w:sz w:val="24"/>
          <w:szCs w:val="24"/>
          <w:spacing w:val="2"/>
        </w:rPr>
        <w:t>次清灰开始为一个清</w:t>
      </w:r>
      <w:r>
        <w:rPr>
          <w:rFonts w:ascii="SimSun" w:hAnsi="SimSun" w:eastAsia="SimSun" w:cs="SimSun"/>
          <w:sz w:val="24"/>
          <w:szCs w:val="24"/>
        </w:rPr>
        <w:t xml:space="preserve"> </w:t>
      </w:r>
      <w:r>
        <w:rPr>
          <w:rFonts w:ascii="SimSun" w:hAnsi="SimSun" w:eastAsia="SimSun" w:cs="SimSun"/>
          <w:sz w:val="24"/>
          <w:szCs w:val="24"/>
          <w:spacing w:val="3"/>
        </w:rPr>
        <w:t>灰周期。经过过滤和清灰工作被截留下来的粉尘落入灰斗，</w:t>
      </w:r>
      <w:r>
        <w:rPr>
          <w:rFonts w:ascii="SimSun" w:hAnsi="SimSun" w:eastAsia="SimSun" w:cs="SimSun"/>
          <w:sz w:val="24"/>
          <w:szCs w:val="24"/>
          <w:spacing w:val="2"/>
        </w:rPr>
        <w:t>再由灰斗口的卸灰装</w:t>
      </w:r>
      <w:r>
        <w:rPr>
          <w:rFonts w:ascii="SimSun" w:hAnsi="SimSun" w:eastAsia="SimSun" w:cs="SimSun"/>
          <w:sz w:val="24"/>
          <w:szCs w:val="24"/>
        </w:rPr>
        <w:t xml:space="preserve"> </w:t>
      </w:r>
      <w:r>
        <w:rPr>
          <w:rFonts w:ascii="SimSun" w:hAnsi="SimSun" w:eastAsia="SimSun" w:cs="SimSun"/>
          <w:sz w:val="24"/>
          <w:szCs w:val="24"/>
          <w:spacing w:val="3"/>
        </w:rPr>
        <w:t>置集中排出。袋式除尘器具有以下特点：适应高浓度除尘；</w:t>
      </w:r>
      <w:r>
        <w:rPr>
          <w:rFonts w:ascii="SimSun" w:hAnsi="SimSun" w:eastAsia="SimSun" w:cs="SimSun"/>
          <w:sz w:val="24"/>
          <w:szCs w:val="24"/>
          <w:spacing w:val="2"/>
        </w:rPr>
        <w:t>采用离线清灰技术进</w:t>
      </w:r>
      <w:r>
        <w:rPr>
          <w:rFonts w:ascii="SimSun" w:hAnsi="SimSun" w:eastAsia="SimSun" w:cs="SimSun"/>
          <w:sz w:val="24"/>
          <w:szCs w:val="24"/>
        </w:rPr>
        <w:t xml:space="preserve"> </w:t>
      </w:r>
      <w:r>
        <w:rPr>
          <w:rFonts w:ascii="SimSun" w:hAnsi="SimSun" w:eastAsia="SimSun" w:cs="SimSun"/>
          <w:sz w:val="24"/>
          <w:szCs w:val="24"/>
          <w:spacing w:val="-3"/>
        </w:rPr>
        <w:t>行分室反吹脉冲清灰，既避免了在线式清灰产生的粉尘二次飞扬</w:t>
      </w:r>
      <w:r>
        <w:rPr>
          <w:rFonts w:ascii="Times New Roman" w:hAnsi="Times New Roman" w:eastAsia="Times New Roman" w:cs="Times New Roman"/>
          <w:sz w:val="24"/>
          <w:szCs w:val="24"/>
          <w:spacing w:val="-3"/>
        </w:rPr>
        <w:t>“</w:t>
      </w:r>
      <w:r>
        <w:rPr>
          <w:rFonts w:ascii="SimSun" w:hAnsi="SimSun" w:eastAsia="SimSun" w:cs="SimSun"/>
          <w:sz w:val="24"/>
          <w:szCs w:val="24"/>
          <w:spacing w:val="-4"/>
        </w:rPr>
        <w:t>再吸附</w:t>
      </w:r>
      <w:r>
        <w:rPr>
          <w:rFonts w:ascii="Times New Roman" w:hAnsi="Times New Roman" w:eastAsia="Times New Roman" w:cs="Times New Roman"/>
          <w:sz w:val="24"/>
          <w:szCs w:val="24"/>
          <w:spacing w:val="-4"/>
        </w:rPr>
        <w:t>”</w:t>
      </w:r>
      <w:r>
        <w:rPr>
          <w:rFonts w:ascii="SimSun" w:hAnsi="SimSun" w:eastAsia="SimSun" w:cs="SimSun"/>
          <w:sz w:val="24"/>
          <w:szCs w:val="24"/>
          <w:spacing w:val="-4"/>
        </w:rPr>
        <w:t>现象，又</w:t>
      </w:r>
      <w:r>
        <w:rPr>
          <w:rFonts w:ascii="SimSun" w:hAnsi="SimSun" w:eastAsia="SimSun" w:cs="SimSun"/>
          <w:sz w:val="24"/>
          <w:szCs w:val="24"/>
        </w:rPr>
        <w:t xml:space="preserve"> </w:t>
      </w:r>
      <w:r>
        <w:rPr>
          <w:rFonts w:ascii="SimSun" w:hAnsi="SimSun" w:eastAsia="SimSun" w:cs="SimSun"/>
          <w:sz w:val="24"/>
          <w:szCs w:val="24"/>
          <w:spacing w:val="3"/>
        </w:rPr>
        <w:t>不影响设备运行工况的正常连续运行，提高了清灰</w:t>
      </w:r>
      <w:r>
        <w:rPr>
          <w:rFonts w:ascii="SimSun" w:hAnsi="SimSun" w:eastAsia="SimSun" w:cs="SimSun"/>
          <w:sz w:val="24"/>
          <w:szCs w:val="24"/>
          <w:spacing w:val="2"/>
        </w:rPr>
        <w:t>效果，延长了滤袋使用寿命；</w:t>
      </w:r>
      <w:r>
        <w:rPr>
          <w:rFonts w:ascii="SimSun" w:hAnsi="SimSun" w:eastAsia="SimSun" w:cs="SimSun"/>
          <w:sz w:val="24"/>
          <w:szCs w:val="24"/>
        </w:rPr>
        <w:t xml:space="preserve"> </w:t>
      </w:r>
      <w:r>
        <w:rPr>
          <w:rFonts w:ascii="SimSun" w:hAnsi="SimSun" w:eastAsia="SimSun" w:cs="SimSun"/>
          <w:sz w:val="24"/>
          <w:szCs w:val="24"/>
          <w:spacing w:val="-2"/>
        </w:rPr>
        <w:t>采用气箱式结构，从而降低了设备的局部阻损，并免除了安装滤袋不方便等问题。</w:t>
      </w:r>
      <w:r>
        <w:rPr>
          <w:rFonts w:ascii="SimSun" w:hAnsi="SimSun" w:eastAsia="SimSun" w:cs="SimSun"/>
          <w:sz w:val="24"/>
          <w:szCs w:val="24"/>
          <w:spacing w:val="6"/>
        </w:rPr>
        <w:t xml:space="preserve"> </w:t>
      </w:r>
      <w:r>
        <w:rPr>
          <w:rFonts w:ascii="SimSun" w:hAnsi="SimSun" w:eastAsia="SimSun" w:cs="SimSun"/>
          <w:sz w:val="24"/>
          <w:szCs w:val="24"/>
          <w:spacing w:val="2"/>
        </w:rPr>
        <w:t>袋式除尘器对于工业中的所有粉尘其除尘效率</w:t>
      </w:r>
      <w:r>
        <w:rPr>
          <w:rFonts w:ascii="SimSun" w:hAnsi="SimSun" w:eastAsia="SimSun" w:cs="SimSun"/>
          <w:sz w:val="24"/>
          <w:szCs w:val="24"/>
          <w:spacing w:val="1"/>
        </w:rPr>
        <w:t>均可达到</w:t>
      </w:r>
      <w:r>
        <w:rPr>
          <w:rFonts w:ascii="Times New Roman" w:hAnsi="Times New Roman" w:eastAsia="Times New Roman" w:cs="Times New Roman"/>
          <w:sz w:val="24"/>
          <w:szCs w:val="24"/>
          <w:spacing w:val="1"/>
        </w:rPr>
        <w:t>99%</w:t>
      </w:r>
      <w:r>
        <w:rPr>
          <w:rFonts w:ascii="SimSun" w:hAnsi="SimSun" w:eastAsia="SimSun" w:cs="SimSun"/>
          <w:sz w:val="24"/>
          <w:szCs w:val="24"/>
          <w:spacing w:val="1"/>
        </w:rPr>
        <w:t>以上。</w:t>
      </w:r>
    </w:p>
    <w:p>
      <w:pPr>
        <w:ind w:left="10" w:right="78" w:firstLine="479"/>
        <w:spacing w:before="3" w:line="358" w:lineRule="auto"/>
        <w:jc w:val="both"/>
        <w:rPr>
          <w:rFonts w:ascii="SimSun" w:hAnsi="SimSun" w:eastAsia="SimSun" w:cs="SimSun"/>
          <w:sz w:val="24"/>
          <w:szCs w:val="24"/>
        </w:rPr>
      </w:pPr>
      <w:r>
        <w:rPr>
          <w:rFonts w:ascii="SimSun" w:hAnsi="SimSun" w:eastAsia="SimSun" w:cs="SimSun"/>
          <w:sz w:val="24"/>
          <w:szCs w:val="24"/>
          <w:spacing w:val="3"/>
        </w:rPr>
        <w:t>布袋除尘可以根据颗粒物性质、浓度的不同，采用不同的滤料，例</w:t>
      </w:r>
      <w:r>
        <w:rPr>
          <w:rFonts w:ascii="SimSun" w:hAnsi="SimSun" w:eastAsia="SimSun" w:cs="SimSun"/>
          <w:sz w:val="24"/>
          <w:szCs w:val="24"/>
          <w:spacing w:val="2"/>
        </w:rPr>
        <w:t>如对于超</w:t>
      </w:r>
      <w:r>
        <w:rPr>
          <w:rFonts w:ascii="SimSun" w:hAnsi="SimSun" w:eastAsia="SimSun" w:cs="SimSun"/>
          <w:sz w:val="24"/>
          <w:szCs w:val="24"/>
        </w:rPr>
        <w:t xml:space="preserve"> </w:t>
      </w:r>
      <w:r>
        <w:rPr>
          <w:rFonts w:ascii="SimSun" w:hAnsi="SimSun" w:eastAsia="SimSun" w:cs="SimSun"/>
          <w:sz w:val="24"/>
          <w:szCs w:val="24"/>
          <w:spacing w:val="3"/>
        </w:rPr>
        <w:t>细粒径粉尘和粘度比较大的粉尘的含尘废气，采用覆膜</w:t>
      </w:r>
      <w:r>
        <w:rPr>
          <w:rFonts w:ascii="SimSun" w:hAnsi="SimSun" w:eastAsia="SimSun" w:cs="SimSun"/>
          <w:sz w:val="24"/>
          <w:szCs w:val="24"/>
          <w:spacing w:val="2"/>
        </w:rPr>
        <w:t>滤料或在滤袋的表面预覆</w:t>
      </w:r>
      <w:r>
        <w:rPr>
          <w:rFonts w:ascii="SimSun" w:hAnsi="SimSun" w:eastAsia="SimSun" w:cs="SimSun"/>
          <w:sz w:val="24"/>
          <w:szCs w:val="24"/>
        </w:rPr>
        <w:t xml:space="preserve"> </w:t>
      </w:r>
      <w:r>
        <w:rPr>
          <w:rFonts w:ascii="SimSun" w:hAnsi="SimSun" w:eastAsia="SimSun" w:cs="SimSun"/>
          <w:sz w:val="24"/>
          <w:szCs w:val="24"/>
          <w:spacing w:val="-1"/>
        </w:rPr>
        <w:t>保护性粉层的滤袋，提高粉尘处理效率和避免糊袋。</w:t>
      </w:r>
    </w:p>
    <w:p>
      <w:pPr>
        <w:ind w:left="7" w:right="18" w:firstLine="483"/>
        <w:spacing w:line="454" w:lineRule="auto"/>
        <w:rPr>
          <w:rFonts w:ascii="SimSun" w:hAnsi="SimSun" w:eastAsia="SimSun" w:cs="SimSun"/>
          <w:sz w:val="19"/>
          <w:szCs w:val="19"/>
        </w:rPr>
      </w:pPr>
      <w:r>
        <w:pict>
          <v:shape id="_x0000_s1192" style="position:absolute;margin-left:159.33pt;margin-top:27.5451pt;mso-position-vertical-relative:text;mso-position-horizontal-relative:text;width:61pt;height:13.75pt;z-index:25228185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261</w:t>
                  </w:r>
                </w:p>
              </w:txbxContent>
            </v:textbox>
          </v:shape>
        </w:pict>
      </w:r>
      <w:r>
        <w:rPr>
          <w:rFonts w:ascii="SimSun" w:hAnsi="SimSun" w:eastAsia="SimSun" w:cs="SimSun"/>
          <w:sz w:val="24"/>
          <w:szCs w:val="24"/>
          <w:spacing w:val="-3"/>
        </w:rPr>
        <w:t>本项目含尘废气采用布袋除尘器是可行的。为了更好地控制粉尘的排放情况，</w:t>
      </w:r>
      <w:r>
        <w:rPr>
          <w:rFonts w:ascii="SimSun" w:hAnsi="SimSun" w:eastAsia="SimSun" w:cs="SimSun"/>
          <w:sz w:val="24"/>
          <w:szCs w:val="24"/>
          <w:spacing w:val="15"/>
        </w:rPr>
        <w:t xml:space="preserve"> </w:t>
      </w:r>
      <w:r>
        <w:rPr>
          <w:rFonts w:ascii="SimSun" w:hAnsi="SimSun" w:eastAsia="SimSun" w:cs="SimSun"/>
          <w:sz w:val="19"/>
          <w:szCs w:val="19"/>
          <w:spacing w:val="9"/>
        </w:rPr>
        <w:t>锡林郭勒盟中安环境技术咨询有限责</w:t>
      </w:r>
    </w:p>
    <w:p>
      <w:pPr>
        <w:spacing w:line="454" w:lineRule="auto"/>
        <w:sectPr>
          <w:headerReference w:type="default" r:id="rId11"/>
          <w:footerReference w:type="default" r:id="rId3"/>
          <w:pgSz w:w="11907" w:h="16840"/>
          <w:pgMar w:top="1567" w:right="1621" w:bottom="400" w:left="1701" w:header="1221" w:footer="0" w:gutter="0"/>
        </w:sectPr>
        <w:rPr>
          <w:rFonts w:ascii="SimSun" w:hAnsi="SimSun" w:eastAsia="SimSun" w:cs="SimSun"/>
          <w:sz w:val="19"/>
          <w:szCs w:val="19"/>
        </w:rPr>
      </w:pPr>
    </w:p>
    <w:p>
      <w:pPr>
        <w:ind w:left="51" w:right="78" w:firstLine="2"/>
        <w:spacing w:before="168" w:line="359" w:lineRule="auto"/>
        <w:rPr>
          <w:rFonts w:ascii="SimSun" w:hAnsi="SimSun" w:eastAsia="SimSun" w:cs="SimSun"/>
          <w:sz w:val="24"/>
          <w:szCs w:val="24"/>
        </w:rPr>
      </w:pPr>
      <w:r>
        <w:pict>
          <v:shape id="_x0000_s1196" style="position:absolute;margin-left:85.05pt;margin-top:78.87pt;mso-position-vertical-relative:page;mso-position-horizontal-relative:page;width:425.25pt;height:0.75pt;z-index:252284928;" o:allowincell="f" fillcolor="#000000" filled="true" stroked="false" coordsize="8505,15" coordorigin="0,0" path="m,l8505,0l8505,14l0,14l0,0xe"/>
        </w:pict>
      </w:r>
      <w:r>
        <w:rPr>
          <w:rFonts w:ascii="SimSun" w:hAnsi="SimSun" w:eastAsia="SimSun" w:cs="SimSun"/>
          <w:sz w:val="24"/>
          <w:szCs w:val="24"/>
          <w:spacing w:val="3"/>
        </w:rPr>
        <w:t>建议建设单位在除尘器上安装自动控制监测系统，</w:t>
      </w:r>
      <w:r>
        <w:rPr>
          <w:rFonts w:ascii="SimSun" w:hAnsi="SimSun" w:eastAsia="SimSun" w:cs="SimSun"/>
          <w:sz w:val="24"/>
          <w:szCs w:val="24"/>
          <w:spacing w:val="2"/>
        </w:rPr>
        <w:t>以便及时观察到除尘器的工作</w:t>
      </w:r>
      <w:r>
        <w:rPr>
          <w:rFonts w:ascii="SimSun" w:hAnsi="SimSun" w:eastAsia="SimSun" w:cs="SimSun"/>
          <w:sz w:val="24"/>
          <w:szCs w:val="24"/>
        </w:rPr>
        <w:t xml:space="preserve"> </w:t>
      </w:r>
      <w:r>
        <w:rPr>
          <w:rFonts w:ascii="SimSun" w:hAnsi="SimSun" w:eastAsia="SimSun" w:cs="SimSun"/>
          <w:sz w:val="24"/>
          <w:szCs w:val="24"/>
          <w:spacing w:val="-1"/>
        </w:rPr>
        <w:t>状况，防止破袋、停电等非正常工况粉尘超标排放。</w:t>
      </w:r>
    </w:p>
    <w:p>
      <w:pPr>
        <w:ind w:left="51" w:right="77" w:firstLine="480"/>
        <w:spacing w:before="2" w:line="360" w:lineRule="auto"/>
        <w:jc w:val="both"/>
        <w:rPr>
          <w:rFonts w:ascii="SimSun" w:hAnsi="SimSun" w:eastAsia="SimSun" w:cs="SimSun"/>
          <w:sz w:val="24"/>
          <w:szCs w:val="24"/>
        </w:rPr>
      </w:pPr>
      <w:r>
        <w:rPr>
          <w:rFonts w:ascii="SimSun" w:hAnsi="SimSun" w:eastAsia="SimSun" w:cs="SimSun"/>
          <w:sz w:val="24"/>
          <w:szCs w:val="24"/>
          <w:spacing w:val="1"/>
        </w:rPr>
        <w:t>根据《大气污染物综合排放标准限值》（</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16297-1996</w:t>
      </w:r>
      <w:r>
        <w:rPr>
          <w:rFonts w:ascii="SimSun" w:hAnsi="SimSun" w:eastAsia="SimSun" w:cs="SimSun"/>
          <w:sz w:val="24"/>
          <w:szCs w:val="24"/>
          <w:spacing w:val="1"/>
        </w:rPr>
        <w:t>）规定新污染源排气</w:t>
      </w:r>
      <w:r>
        <w:rPr>
          <w:rFonts w:ascii="SimSun" w:hAnsi="SimSun" w:eastAsia="SimSun" w:cs="SimSun"/>
          <w:sz w:val="24"/>
          <w:szCs w:val="24"/>
          <w:spacing w:val="4"/>
        </w:rPr>
        <w:t xml:space="preserve"> </w:t>
      </w:r>
      <w:r>
        <w:rPr>
          <w:rFonts w:ascii="SimSun" w:hAnsi="SimSun" w:eastAsia="SimSun" w:cs="SimSun"/>
          <w:sz w:val="24"/>
          <w:szCs w:val="24"/>
          <w:spacing w:val="-2"/>
        </w:rPr>
        <w:t>筒高度应不低于</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15m</w:t>
      </w:r>
      <w:r>
        <w:rPr>
          <w:rFonts w:ascii="SimSun" w:hAnsi="SimSun" w:eastAsia="SimSun" w:cs="SimSun"/>
          <w:sz w:val="24"/>
          <w:szCs w:val="24"/>
          <w:spacing w:val="-2"/>
        </w:rPr>
        <w:t>，周围半径</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200m</w:t>
      </w:r>
      <w:r>
        <w:rPr>
          <w:rFonts w:ascii="SimSun" w:hAnsi="SimSun" w:eastAsia="SimSun" w:cs="SimSun"/>
          <w:sz w:val="24"/>
          <w:szCs w:val="24"/>
          <w:spacing w:val="-2"/>
        </w:rPr>
        <w:t>距离内有建筑物时，其烟囱应高出最高建筑</w:t>
      </w:r>
      <w:r>
        <w:rPr>
          <w:rFonts w:ascii="SimSun" w:hAnsi="SimSun" w:eastAsia="SimSun" w:cs="SimSun"/>
          <w:sz w:val="24"/>
          <w:szCs w:val="24"/>
        </w:rPr>
        <w:t xml:space="preserve"> </w:t>
      </w:r>
      <w:r>
        <w:rPr>
          <w:rFonts w:ascii="SimSun" w:hAnsi="SimSun" w:eastAsia="SimSun" w:cs="SimSun"/>
          <w:sz w:val="24"/>
          <w:szCs w:val="24"/>
          <w:spacing w:val="-4"/>
        </w:rPr>
        <w:t>物</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5m</w:t>
      </w:r>
      <w:r>
        <w:rPr>
          <w:rFonts w:ascii="Times New Roman" w:hAnsi="Times New Roman" w:eastAsia="Times New Roman" w:cs="Times New Roman"/>
          <w:sz w:val="24"/>
          <w:szCs w:val="24"/>
          <w:spacing w:val="34"/>
          <w:w w:val="101"/>
        </w:rPr>
        <w:t xml:space="preserve"> </w:t>
      </w:r>
      <w:r>
        <w:rPr>
          <w:rFonts w:ascii="SimSun" w:hAnsi="SimSun" w:eastAsia="SimSun" w:cs="SimSun"/>
          <w:sz w:val="24"/>
          <w:szCs w:val="24"/>
          <w:spacing w:val="-4"/>
        </w:rPr>
        <w:t>以上，本项目各含尘废气排气筒高度均为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15m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4"/>
        </w:rPr>
        <w:t>，周围半径</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200m </w:t>
      </w:r>
      <w:r>
        <w:rPr>
          <w:rFonts w:ascii="SimSun" w:hAnsi="SimSun" w:eastAsia="SimSun" w:cs="SimSun"/>
          <w:sz w:val="24"/>
          <w:szCs w:val="24"/>
          <w:spacing w:val="-4"/>
        </w:rPr>
        <w:t>范围内最高</w:t>
      </w:r>
      <w:r>
        <w:rPr>
          <w:rFonts w:ascii="SimSun" w:hAnsi="SimSun" w:eastAsia="SimSun" w:cs="SimSun"/>
          <w:sz w:val="24"/>
          <w:szCs w:val="24"/>
        </w:rPr>
        <w:t xml:space="preserve"> </w:t>
      </w:r>
      <w:r>
        <w:rPr>
          <w:rFonts w:ascii="SimSun" w:hAnsi="SimSun" w:eastAsia="SimSun" w:cs="SimSun"/>
          <w:sz w:val="24"/>
          <w:szCs w:val="24"/>
          <w:spacing w:val="-2"/>
        </w:rPr>
        <w:t>建筑物约</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2"/>
        </w:rPr>
        <w:t>12m </w:t>
      </w:r>
      <w:r>
        <w:rPr>
          <w:rFonts w:ascii="SimSun" w:hAnsi="SimSun" w:eastAsia="SimSun" w:cs="SimSun"/>
          <w:sz w:val="24"/>
          <w:szCs w:val="24"/>
          <w:spacing w:val="-2"/>
        </w:rPr>
        <w:t>高，以上排气筒高度符合该规定要求。</w:t>
      </w:r>
    </w:p>
    <w:p>
      <w:pPr>
        <w:ind w:left="52"/>
        <w:spacing w:before="154" w:line="222" w:lineRule="auto"/>
        <w:outlineLvl w:val="2"/>
        <w:rPr>
          <w:rFonts w:ascii="SimHei" w:hAnsi="SimHei" w:eastAsia="SimHei" w:cs="SimHei"/>
          <w:sz w:val="28"/>
          <w:szCs w:val="28"/>
        </w:rPr>
      </w:pPr>
      <w:bookmarkStart w:name="bookmark152" w:id="185"/>
      <w:bookmarkEnd w:id="185"/>
      <w:r>
        <w:rPr>
          <w:rFonts w:ascii="Times New Roman" w:hAnsi="Times New Roman" w:eastAsia="Times New Roman" w:cs="Times New Roman"/>
          <w:sz w:val="28"/>
          <w:szCs w:val="28"/>
          <w:spacing w:val="-1"/>
        </w:rPr>
        <w:t>7.1.2 </w:t>
      </w:r>
      <w:r>
        <w:rPr>
          <w:rFonts w:ascii="SimHei" w:hAnsi="SimHei" w:eastAsia="SimHei" w:cs="SimHei"/>
          <w:sz w:val="28"/>
          <w:szCs w:val="28"/>
          <w:spacing w:val="-1"/>
        </w:rPr>
        <w:t>恶臭气体治理措施</w:t>
      </w:r>
    </w:p>
    <w:p>
      <w:pPr>
        <w:pStyle w:val="BodyText"/>
        <w:spacing w:line="264" w:lineRule="auto"/>
        <w:rPr/>
      </w:pPr>
      <w:r/>
    </w:p>
    <w:p>
      <w:pPr>
        <w:ind w:left="550"/>
        <w:spacing w:before="78" w:line="219" w:lineRule="auto"/>
        <w:rPr>
          <w:rFonts w:ascii="SimSun" w:hAnsi="SimSun" w:eastAsia="SimSun" w:cs="SimSun"/>
          <w:sz w:val="24"/>
          <w:szCs w:val="24"/>
        </w:rPr>
      </w:pP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4"/>
        </w:rPr>
        <w:t>、洗毛、梳毛废气处理措施可行性</w:t>
      </w:r>
    </w:p>
    <w:p>
      <w:pPr>
        <w:ind w:left="46" w:firstLine="487"/>
        <w:spacing w:before="196" w:line="369" w:lineRule="auto"/>
        <w:rPr>
          <w:rFonts w:ascii="SimSun" w:hAnsi="SimSun" w:eastAsia="SimSun" w:cs="SimSun"/>
          <w:sz w:val="24"/>
          <w:szCs w:val="24"/>
        </w:rPr>
      </w:pPr>
      <w:r>
        <w:rPr>
          <w:rFonts w:ascii="SimSun" w:hAnsi="SimSun" w:eastAsia="SimSun" w:cs="SimSun"/>
          <w:sz w:val="24"/>
          <w:szCs w:val="24"/>
          <w:spacing w:val="3"/>
        </w:rPr>
        <w:t>车间内恶臭来源于羊毛清洗工序，羊毛本身带有特有的臭味，</w:t>
      </w:r>
      <w:r>
        <w:rPr>
          <w:rFonts w:ascii="SimSun" w:hAnsi="SimSun" w:eastAsia="SimSun" w:cs="SimSun"/>
          <w:sz w:val="24"/>
          <w:szCs w:val="24"/>
          <w:spacing w:val="2"/>
        </w:rPr>
        <w:t>在温水中进行</w:t>
      </w:r>
      <w:r>
        <w:rPr>
          <w:rFonts w:ascii="SimSun" w:hAnsi="SimSun" w:eastAsia="SimSun" w:cs="SimSun"/>
          <w:sz w:val="24"/>
          <w:szCs w:val="24"/>
        </w:rPr>
        <w:t xml:space="preserve"> </w:t>
      </w:r>
      <w:r>
        <w:rPr>
          <w:rFonts w:ascii="SimSun" w:hAnsi="SimSun" w:eastAsia="SimSun" w:cs="SimSun"/>
          <w:sz w:val="24"/>
          <w:szCs w:val="24"/>
          <w:spacing w:val="10"/>
        </w:rPr>
        <w:t>清洗时，臭味会随水蒸气一并挥发到车间空气中。另外洗毛废水含有高浓</w:t>
      </w:r>
      <w:r>
        <w:rPr>
          <w:rFonts w:ascii="SimSun" w:hAnsi="SimSun" w:eastAsia="SimSun" w:cs="SimSun"/>
          <w:sz w:val="24"/>
          <w:szCs w:val="24"/>
          <w:spacing w:val="9"/>
        </w:rPr>
        <w:t>度的</w:t>
      </w:r>
      <w:r>
        <w:rPr>
          <w:rFonts w:ascii="SimSun" w:hAnsi="SimSun" w:eastAsia="SimSun" w:cs="SimSun"/>
          <w:sz w:val="24"/>
          <w:szCs w:val="24"/>
        </w:rPr>
        <w:t xml:space="preserve"> </w:t>
      </w:r>
      <w:r>
        <w:rPr>
          <w:rFonts w:ascii="Times New Roman" w:hAnsi="Times New Roman" w:eastAsia="Times New Roman" w:cs="Times New Roman"/>
          <w:sz w:val="24"/>
          <w:szCs w:val="24"/>
          <w:spacing w:val="-9"/>
        </w:rPr>
        <w:t>COD</w:t>
      </w:r>
      <w:r>
        <w:rPr>
          <w:rFonts w:ascii="SimSun" w:hAnsi="SimSun" w:eastAsia="SimSun" w:cs="SimSun"/>
          <w:sz w:val="24"/>
          <w:szCs w:val="24"/>
          <w:spacing w:val="-9"/>
        </w:rPr>
        <w:t>、</w:t>
      </w:r>
      <w:r>
        <w:rPr>
          <w:rFonts w:ascii="Times New Roman" w:hAnsi="Times New Roman" w:eastAsia="Times New Roman" w:cs="Times New Roman"/>
          <w:sz w:val="24"/>
          <w:szCs w:val="24"/>
          <w:spacing w:val="-9"/>
        </w:rPr>
        <w:t>BOD</w:t>
      </w:r>
      <w:r>
        <w:rPr>
          <w:rFonts w:ascii="SimSun" w:hAnsi="SimSun" w:eastAsia="SimSun" w:cs="SimSun"/>
          <w:sz w:val="24"/>
          <w:szCs w:val="24"/>
          <w:spacing w:val="-9"/>
        </w:rPr>
        <w:t>，其主要是羊毛脂，在温水中会迅速腐败，产生恶臭气体，挥发出</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9"/>
        </w:rPr>
        <w:t>NH</w:t>
      </w:r>
      <w:r>
        <w:rPr>
          <w:rFonts w:ascii="Times New Roman" w:hAnsi="Times New Roman" w:eastAsia="Times New Roman" w:cs="Times New Roman"/>
          <w:sz w:val="15"/>
          <w:szCs w:val="15"/>
          <w:spacing w:val="-9"/>
          <w:position w:val="-1"/>
        </w:rPr>
        <w:t>3</w:t>
      </w:r>
      <w:r>
        <w:rPr>
          <w:rFonts w:ascii="SimSun" w:hAnsi="SimSun" w:eastAsia="SimSun" w:cs="SimSun"/>
          <w:sz w:val="24"/>
          <w:szCs w:val="24"/>
          <w:spacing w:val="-9"/>
        </w:rPr>
        <w:t>、</w:t>
      </w:r>
      <w:r>
        <w:rPr>
          <w:rFonts w:ascii="SimSun" w:hAnsi="SimSun" w:eastAsia="SimSun" w:cs="SimSun"/>
          <w:sz w:val="24"/>
          <w:szCs w:val="24"/>
        </w:rPr>
        <w:t xml:space="preserve"> </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24"/>
          <w:szCs w:val="24"/>
          <w:spacing w:val="-1"/>
        </w:rPr>
        <w:t>S</w:t>
      </w:r>
      <w:r>
        <w:rPr>
          <w:rFonts w:ascii="SimSun" w:hAnsi="SimSun" w:eastAsia="SimSun" w:cs="SimSun"/>
          <w:sz w:val="24"/>
          <w:szCs w:val="24"/>
          <w:spacing w:val="-1"/>
        </w:rPr>
        <w:t>。车间采取强制通风设施，通过风扇不断通风换气，避免车间</w:t>
      </w:r>
      <w:r>
        <w:rPr>
          <w:rFonts w:ascii="SimSun" w:hAnsi="SimSun" w:eastAsia="SimSun" w:cs="SimSun"/>
          <w:sz w:val="24"/>
          <w:szCs w:val="24"/>
          <w:spacing w:val="-2"/>
        </w:rPr>
        <w:t>内水蒸气和臭气</w:t>
      </w:r>
      <w:r>
        <w:rPr>
          <w:rFonts w:ascii="SimSun" w:hAnsi="SimSun" w:eastAsia="SimSun" w:cs="SimSun"/>
          <w:sz w:val="24"/>
          <w:szCs w:val="24"/>
        </w:rPr>
        <w:t xml:space="preserve"> </w:t>
      </w:r>
      <w:r>
        <w:rPr>
          <w:rFonts w:ascii="SimSun" w:hAnsi="SimSun" w:eastAsia="SimSun" w:cs="SimSun"/>
          <w:sz w:val="24"/>
          <w:szCs w:val="24"/>
          <w:spacing w:val="-1"/>
        </w:rPr>
        <w:t>的集聚，促进扩散。</w:t>
      </w:r>
    </w:p>
    <w:p>
      <w:pPr>
        <w:ind w:left="53" w:right="77" w:firstLine="479"/>
        <w:spacing w:before="4" w:line="370" w:lineRule="auto"/>
        <w:jc w:val="both"/>
        <w:rPr>
          <w:rFonts w:ascii="SimSun" w:hAnsi="SimSun" w:eastAsia="SimSun" w:cs="SimSun"/>
          <w:sz w:val="24"/>
          <w:szCs w:val="24"/>
        </w:rPr>
      </w:pPr>
      <w:r>
        <w:rPr>
          <w:rFonts w:ascii="SimSun" w:hAnsi="SimSun" w:eastAsia="SimSun" w:cs="SimSun"/>
          <w:sz w:val="24"/>
          <w:szCs w:val="24"/>
          <w:spacing w:val="3"/>
        </w:rPr>
        <w:t>本项目东厂区洗毛车间洗槽周边喷洒生物除臭剂，同时加</w:t>
      </w:r>
      <w:r>
        <w:rPr>
          <w:rFonts w:ascii="SimSun" w:hAnsi="SimSun" w:eastAsia="SimSun" w:cs="SimSun"/>
          <w:sz w:val="24"/>
          <w:szCs w:val="24"/>
          <w:spacing w:val="2"/>
        </w:rPr>
        <w:t>强车间通风，经采</w:t>
      </w:r>
      <w:r>
        <w:rPr>
          <w:rFonts w:ascii="SimSun" w:hAnsi="SimSun" w:eastAsia="SimSun" w:cs="SimSun"/>
          <w:sz w:val="24"/>
          <w:szCs w:val="24"/>
        </w:rPr>
        <w:t xml:space="preserve"> </w:t>
      </w:r>
      <w:r>
        <w:rPr>
          <w:rFonts w:ascii="SimSun" w:hAnsi="SimSun" w:eastAsia="SimSun" w:cs="SimSun"/>
          <w:sz w:val="24"/>
          <w:szCs w:val="24"/>
          <w:spacing w:val="1"/>
        </w:rPr>
        <w:t>取措施后，车间恶臭气体排放可满足《恶臭污染物排放标准》（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14554-93</w:t>
      </w:r>
      <w:r>
        <w:rPr>
          <w:rFonts w:ascii="SimSun" w:hAnsi="SimSun" w:eastAsia="SimSun" w:cs="SimSun"/>
          <w:sz w:val="24"/>
          <w:szCs w:val="24"/>
          <w:spacing w:val="1"/>
        </w:rPr>
        <w:t>）标 </w:t>
      </w:r>
      <w:r>
        <w:rPr>
          <w:rFonts w:ascii="SimSun" w:hAnsi="SimSun" w:eastAsia="SimSun" w:cs="SimSun"/>
          <w:sz w:val="24"/>
          <w:szCs w:val="24"/>
          <w:spacing w:val="-2"/>
        </w:rPr>
        <w:t>准，污染防治措施可行。</w:t>
      </w:r>
    </w:p>
    <w:p>
      <w:pPr>
        <w:ind w:left="50" w:right="80" w:firstLine="480"/>
        <w:spacing w:before="10" w:line="385" w:lineRule="auto"/>
        <w:rPr>
          <w:rFonts w:ascii="SimSun" w:hAnsi="SimSun" w:eastAsia="SimSun" w:cs="SimSun"/>
          <w:sz w:val="24"/>
          <w:szCs w:val="24"/>
        </w:rPr>
      </w:pPr>
      <w:r>
        <w:rPr>
          <w:rFonts w:ascii="SimSun" w:hAnsi="SimSun" w:eastAsia="SimSun" w:cs="SimSun"/>
          <w:sz w:val="24"/>
          <w:szCs w:val="24"/>
          <w:spacing w:val="-1"/>
        </w:rPr>
        <w:t>根据《排污许可证申请与核发技术规范 纺织印染工业》（</w:t>
      </w:r>
      <w:r>
        <w:rPr>
          <w:rFonts w:ascii="Times New Roman" w:hAnsi="Times New Roman" w:eastAsia="Times New Roman" w:cs="Times New Roman"/>
          <w:sz w:val="24"/>
          <w:szCs w:val="24"/>
          <w:spacing w:val="-1"/>
        </w:rPr>
        <w:t>HJ861-2017</w:t>
      </w:r>
      <w:r>
        <w:rPr>
          <w:rFonts w:ascii="SimSun" w:hAnsi="SimSun" w:eastAsia="SimSun" w:cs="SimSun"/>
          <w:sz w:val="24"/>
          <w:szCs w:val="24"/>
          <w:spacing w:val="11"/>
        </w:rPr>
        <w:t>），</w:t>
      </w:r>
      <w:r>
        <w:rPr>
          <w:rFonts w:ascii="SimSun" w:hAnsi="SimSun" w:eastAsia="SimSun" w:cs="SimSun"/>
          <w:sz w:val="24"/>
          <w:szCs w:val="24"/>
          <w:spacing w:val="-1"/>
        </w:rPr>
        <w:t>针</w:t>
      </w:r>
      <w:r>
        <w:rPr>
          <w:rFonts w:ascii="SimSun" w:hAnsi="SimSun" w:eastAsia="SimSun" w:cs="SimSun"/>
          <w:sz w:val="24"/>
          <w:szCs w:val="24"/>
          <w:spacing w:val="1"/>
        </w:rPr>
        <w:t xml:space="preserve"> </w:t>
      </w:r>
      <w:r>
        <w:rPr>
          <w:rFonts w:ascii="SimSun" w:hAnsi="SimSun" w:eastAsia="SimSun" w:cs="SimSun"/>
          <w:sz w:val="24"/>
          <w:szCs w:val="24"/>
          <w:spacing w:val="-1"/>
        </w:rPr>
        <w:t>对洗毛、选毛废气治理措施可行技术如下：</w:t>
      </w:r>
    </w:p>
    <w:p>
      <w:pPr>
        <w:ind w:left="2095"/>
        <w:spacing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8"/>
        </w:rPr>
        <w:t xml:space="preserve"> </w:t>
      </w:r>
      <w:r>
        <w:rPr>
          <w:rFonts w:ascii="Times New Roman" w:hAnsi="Times New Roman" w:eastAsia="Times New Roman" w:cs="Times New Roman"/>
          <w:sz w:val="24"/>
          <w:szCs w:val="24"/>
          <w:b/>
          <w:bCs/>
          <w:spacing w:val="-2"/>
        </w:rPr>
        <w:t>7.1-1        </w:t>
      </w:r>
      <w:r>
        <w:rPr>
          <w:rFonts w:ascii="SimSun" w:hAnsi="SimSun" w:eastAsia="SimSun" w:cs="SimSun"/>
          <w:sz w:val="24"/>
          <w:szCs w:val="24"/>
          <w:b/>
          <w:bCs/>
          <w:spacing w:val="-2"/>
        </w:rPr>
        <w:t>洗毛、选毛废气治理可行技术</w:t>
      </w:r>
    </w:p>
    <w:p>
      <w:pPr>
        <w:spacing w:line="21" w:lineRule="exact"/>
        <w:rPr/>
      </w:pPr>
      <w:r/>
    </w:p>
    <w:tbl>
      <w:tblPr>
        <w:tblStyle w:val="TableNormal"/>
        <w:tblW w:w="858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02"/>
        <w:gridCol w:w="943"/>
        <w:gridCol w:w="1288"/>
        <w:gridCol w:w="973"/>
        <w:gridCol w:w="1833"/>
        <w:gridCol w:w="1752"/>
        <w:gridCol w:w="991"/>
      </w:tblGrid>
      <w:tr>
        <w:trPr>
          <w:trHeight w:val="554" w:hRule="atLeast"/>
        </w:trPr>
        <w:tc>
          <w:tcPr>
            <w:tcW w:w="802" w:type="dxa"/>
            <w:vAlign w:val="top"/>
          </w:tcPr>
          <w:p>
            <w:pPr>
              <w:pStyle w:val="TableText"/>
              <w:ind w:left="195"/>
              <w:spacing w:before="169" w:line="229" w:lineRule="auto"/>
              <w:rPr/>
            </w:pPr>
            <w:r>
              <w:rPr>
                <w:spacing w:val="5"/>
              </w:rPr>
              <w:t>序号</w:t>
            </w:r>
          </w:p>
        </w:tc>
        <w:tc>
          <w:tcPr>
            <w:tcW w:w="943" w:type="dxa"/>
            <w:vAlign w:val="top"/>
          </w:tcPr>
          <w:p>
            <w:pPr>
              <w:pStyle w:val="TableText"/>
              <w:ind w:left="56"/>
              <w:spacing w:before="169" w:line="228" w:lineRule="auto"/>
              <w:rPr/>
            </w:pPr>
            <w:r>
              <w:rPr>
                <w:spacing w:val="6"/>
              </w:rPr>
              <w:t>生产单元</w:t>
            </w:r>
          </w:p>
        </w:tc>
        <w:tc>
          <w:tcPr>
            <w:tcW w:w="1288" w:type="dxa"/>
            <w:vAlign w:val="top"/>
          </w:tcPr>
          <w:p>
            <w:pPr>
              <w:pStyle w:val="TableText"/>
              <w:ind w:left="18"/>
              <w:spacing w:before="169" w:line="228" w:lineRule="auto"/>
              <w:rPr/>
            </w:pPr>
            <w:r>
              <w:rPr>
                <w:spacing w:val="8"/>
              </w:rPr>
              <w:t>废气产污环节</w:t>
            </w:r>
          </w:p>
        </w:tc>
        <w:tc>
          <w:tcPr>
            <w:tcW w:w="973" w:type="dxa"/>
            <w:vAlign w:val="top"/>
          </w:tcPr>
          <w:p>
            <w:pPr>
              <w:pStyle w:val="TableText"/>
              <w:ind w:left="177"/>
              <w:spacing w:before="169" w:line="228" w:lineRule="auto"/>
              <w:rPr/>
            </w:pPr>
            <w:r>
              <w:rPr>
                <w:spacing w:val="6"/>
              </w:rPr>
              <w:t>污染物</w:t>
            </w:r>
          </w:p>
        </w:tc>
        <w:tc>
          <w:tcPr>
            <w:tcW w:w="1833" w:type="dxa"/>
            <w:vAlign w:val="top"/>
          </w:tcPr>
          <w:p>
            <w:pPr>
              <w:pStyle w:val="TableText"/>
              <w:ind w:left="505"/>
              <w:spacing w:before="169" w:line="228" w:lineRule="auto"/>
              <w:rPr/>
            </w:pPr>
            <w:r>
              <w:rPr>
                <w:spacing w:val="6"/>
              </w:rPr>
              <w:t>可行技术</w:t>
            </w:r>
          </w:p>
        </w:tc>
        <w:tc>
          <w:tcPr>
            <w:tcW w:w="1752" w:type="dxa"/>
            <w:vAlign w:val="top"/>
          </w:tcPr>
          <w:p>
            <w:pPr>
              <w:pStyle w:val="TableText"/>
              <w:ind w:left="569"/>
              <w:spacing w:before="169" w:line="227" w:lineRule="auto"/>
              <w:rPr/>
            </w:pPr>
            <w:r>
              <w:rPr>
                <w:spacing w:val="6"/>
              </w:rPr>
              <w:t>本项目</w:t>
            </w:r>
          </w:p>
        </w:tc>
        <w:tc>
          <w:tcPr>
            <w:tcW w:w="991" w:type="dxa"/>
            <w:vAlign w:val="top"/>
          </w:tcPr>
          <w:p>
            <w:pPr>
              <w:pStyle w:val="TableText"/>
              <w:ind w:left="188" w:right="74" w:hanging="103"/>
              <w:spacing w:before="34" w:line="235" w:lineRule="auto"/>
              <w:rPr/>
            </w:pPr>
            <w:r>
              <w:rPr>
                <w:spacing w:val="6"/>
              </w:rPr>
              <w:t>是否为可</w:t>
            </w:r>
            <w:r>
              <w:rPr>
                <w:spacing w:val="1"/>
              </w:rPr>
              <w:t xml:space="preserve"> </w:t>
            </w:r>
            <w:r>
              <w:rPr>
                <w:spacing w:val="5"/>
              </w:rPr>
              <w:t>行技术</w:t>
            </w:r>
          </w:p>
        </w:tc>
      </w:tr>
      <w:tr>
        <w:trPr>
          <w:trHeight w:val="1908" w:hRule="atLeast"/>
        </w:trPr>
        <w:tc>
          <w:tcPr>
            <w:tcW w:w="802" w:type="dxa"/>
            <w:vAlign w:val="top"/>
          </w:tcPr>
          <w:p>
            <w:pPr>
              <w:spacing w:line="274" w:lineRule="auto"/>
              <w:rPr>
                <w:rFonts w:ascii="Arial"/>
                <w:sz w:val="21"/>
              </w:rPr>
            </w:pPr>
            <w:r/>
          </w:p>
          <w:p>
            <w:pPr>
              <w:spacing w:line="274" w:lineRule="auto"/>
              <w:rPr>
                <w:rFonts w:ascii="Arial"/>
                <w:sz w:val="21"/>
              </w:rPr>
            </w:pPr>
            <w:r/>
          </w:p>
          <w:p>
            <w:pPr>
              <w:spacing w:line="274" w:lineRule="auto"/>
              <w:rPr>
                <w:rFonts w:ascii="Arial"/>
                <w:sz w:val="21"/>
              </w:rPr>
            </w:pPr>
            <w:r/>
          </w:p>
          <w:p>
            <w:pPr>
              <w:ind w:left="369"/>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43" w:type="dxa"/>
            <w:vAlign w:val="top"/>
            <w:vMerge w:val="restart"/>
            <w:tcBorders>
              <w:bottom w:val="nil"/>
            </w:tcBorders>
          </w:tcPr>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4" w:lineRule="auto"/>
              <w:rPr>
                <w:rFonts w:ascii="Arial"/>
                <w:sz w:val="21"/>
              </w:rPr>
            </w:pPr>
            <w:r/>
          </w:p>
          <w:p>
            <w:pPr>
              <w:pStyle w:val="TableText"/>
              <w:ind w:left="53"/>
              <w:spacing w:before="65" w:line="228" w:lineRule="auto"/>
              <w:rPr/>
            </w:pPr>
            <w:r>
              <w:rPr>
                <w:spacing w:val="7"/>
              </w:rPr>
              <w:t>洗毛单元</w:t>
            </w:r>
          </w:p>
        </w:tc>
        <w:tc>
          <w:tcPr>
            <w:tcW w:w="1288" w:type="dxa"/>
            <w:vAlign w:val="top"/>
          </w:tcPr>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pStyle w:val="TableText"/>
              <w:ind w:left="121"/>
              <w:spacing w:before="65" w:line="228" w:lineRule="auto"/>
              <w:rPr/>
            </w:pPr>
            <w:r>
              <w:rPr>
                <w:spacing w:val="8"/>
              </w:rPr>
              <w:t>选毛、梳毛</w:t>
            </w:r>
          </w:p>
        </w:tc>
        <w:tc>
          <w:tcPr>
            <w:tcW w:w="973" w:type="dxa"/>
            <w:vAlign w:val="top"/>
          </w:tcPr>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pStyle w:val="TableText"/>
              <w:ind w:left="174"/>
              <w:spacing w:before="65" w:line="228" w:lineRule="auto"/>
              <w:rPr/>
            </w:pPr>
            <w:r>
              <w:rPr>
                <w:spacing w:val="7"/>
              </w:rPr>
              <w:t>颗粒物</w:t>
            </w:r>
          </w:p>
        </w:tc>
        <w:tc>
          <w:tcPr>
            <w:tcW w:w="1833" w:type="dxa"/>
            <w:vAlign w:val="top"/>
          </w:tcPr>
          <w:p>
            <w:pPr>
              <w:pStyle w:val="TableText"/>
              <w:ind w:left="82"/>
              <w:spacing w:before="30" w:line="228" w:lineRule="auto"/>
              <w:rPr/>
            </w:pPr>
            <w:r>
              <w:rPr>
                <w:spacing w:val="8"/>
              </w:rPr>
              <w:t>废气产生点配备有</w:t>
            </w:r>
          </w:p>
          <w:p>
            <w:pPr>
              <w:pStyle w:val="TableText"/>
              <w:ind w:left="88"/>
              <w:spacing w:before="26" w:line="228" w:lineRule="auto"/>
              <w:rPr/>
            </w:pPr>
            <w:r>
              <w:rPr>
                <w:spacing w:val="8"/>
              </w:rPr>
              <w:t>效的废气捕集装置</w:t>
            </w:r>
          </w:p>
          <w:p>
            <w:pPr>
              <w:pStyle w:val="TableText"/>
              <w:ind w:left="47"/>
              <w:spacing w:before="24" w:line="221" w:lineRule="auto"/>
              <w:rPr/>
            </w:pPr>
            <w:r>
              <w:rPr>
                <w:rFonts w:ascii="Times New Roman" w:hAnsi="Times New Roman" w:eastAsia="Times New Roman" w:cs="Times New Roman"/>
                <w:spacing w:val="8"/>
              </w:rPr>
              <w:t>(</w:t>
            </w:r>
            <w:r>
              <w:rPr>
                <w:spacing w:val="8"/>
              </w:rPr>
              <w:t>如局部密闭罩、整</w:t>
            </w:r>
          </w:p>
          <w:p>
            <w:pPr>
              <w:pStyle w:val="TableText"/>
              <w:ind w:left="11"/>
              <w:spacing w:before="33" w:line="228" w:lineRule="auto"/>
              <w:rPr/>
            </w:pPr>
            <w:r>
              <w:rPr>
                <w:spacing w:val="1"/>
              </w:rPr>
              <w:t>体密闭罩、大容积密</w:t>
            </w:r>
          </w:p>
          <w:p>
            <w:pPr>
              <w:pStyle w:val="TableText"/>
              <w:ind w:left="68"/>
              <w:spacing w:before="24" w:line="221" w:lineRule="auto"/>
              <w:rPr>
                <w:rFonts w:ascii="Times New Roman" w:hAnsi="Times New Roman" w:eastAsia="Times New Roman" w:cs="Times New Roman"/>
              </w:rPr>
            </w:pPr>
            <w:r>
              <w:rPr>
                <w:spacing w:val="6"/>
              </w:rPr>
              <w:t>闭罩、车间密闭等</w:t>
            </w:r>
            <w:r>
              <w:rPr>
                <w:rFonts w:ascii="Times New Roman" w:hAnsi="Times New Roman" w:eastAsia="Times New Roman" w:cs="Times New Roman"/>
                <w:spacing w:val="6"/>
              </w:rPr>
              <w:t>)</w:t>
            </w:r>
          </w:p>
          <w:p>
            <w:pPr>
              <w:pStyle w:val="TableText"/>
              <w:ind w:left="16"/>
              <w:spacing w:before="32" w:line="228" w:lineRule="auto"/>
              <w:rPr/>
            </w:pPr>
            <w:r>
              <w:rPr/>
              <w:t>并配备滤尘系统、其</w:t>
            </w:r>
          </w:p>
          <w:p>
            <w:pPr>
              <w:pStyle w:val="TableText"/>
              <w:ind w:left="817"/>
              <w:spacing w:before="27" w:line="215" w:lineRule="auto"/>
              <w:rPr/>
            </w:pPr>
            <w:r>
              <w:rPr/>
              <w:t>他</w:t>
            </w:r>
          </w:p>
        </w:tc>
        <w:tc>
          <w:tcPr>
            <w:tcW w:w="1752" w:type="dxa"/>
            <w:vAlign w:val="top"/>
          </w:tcPr>
          <w:p>
            <w:pPr>
              <w:spacing w:line="253" w:lineRule="auto"/>
              <w:rPr>
                <w:rFonts w:ascii="Arial"/>
                <w:sz w:val="21"/>
              </w:rPr>
            </w:pPr>
            <w:r/>
          </w:p>
          <w:p>
            <w:pPr>
              <w:spacing w:line="253" w:lineRule="auto"/>
              <w:rPr>
                <w:rFonts w:ascii="Arial"/>
                <w:sz w:val="21"/>
              </w:rPr>
            </w:pPr>
            <w:r/>
          </w:p>
          <w:p>
            <w:pPr>
              <w:pStyle w:val="TableText"/>
              <w:ind w:left="42"/>
              <w:spacing w:before="65" w:line="228" w:lineRule="auto"/>
              <w:rPr/>
            </w:pPr>
            <w:r>
              <w:rPr>
                <w:spacing w:val="7"/>
              </w:rPr>
              <w:t>梳绒车间全封闭，</w:t>
            </w:r>
          </w:p>
          <w:p>
            <w:pPr>
              <w:pStyle w:val="TableText"/>
              <w:ind w:left="46"/>
              <w:spacing w:before="24" w:line="228" w:lineRule="auto"/>
              <w:rPr/>
            </w:pPr>
            <w:r>
              <w:rPr>
                <w:spacing w:val="8"/>
              </w:rPr>
              <w:t>设备自带滤袋；选</w:t>
            </w:r>
          </w:p>
          <w:p>
            <w:pPr>
              <w:pStyle w:val="TableText"/>
              <w:ind w:left="252"/>
              <w:spacing w:before="26" w:line="228" w:lineRule="auto"/>
              <w:rPr/>
            </w:pPr>
            <w:r>
              <w:rPr>
                <w:spacing w:val="6"/>
              </w:rPr>
              <w:t>毛库房密闭。</w:t>
            </w:r>
          </w:p>
        </w:tc>
        <w:tc>
          <w:tcPr>
            <w:tcW w:w="991" w:type="dxa"/>
            <w:vAlign w:val="top"/>
          </w:tcPr>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pStyle w:val="TableText"/>
              <w:ind w:left="399"/>
              <w:spacing w:before="65" w:line="231" w:lineRule="auto"/>
              <w:rPr/>
            </w:pPr>
            <w:r>
              <w:rPr/>
              <w:t>是</w:t>
            </w:r>
          </w:p>
        </w:tc>
      </w:tr>
      <w:tr>
        <w:trPr>
          <w:trHeight w:val="1370" w:hRule="atLeast"/>
        </w:trPr>
        <w:tc>
          <w:tcPr>
            <w:tcW w:w="802" w:type="dxa"/>
            <w:vAlign w:val="top"/>
          </w:tcPr>
          <w:p>
            <w:pPr>
              <w:spacing w:line="277" w:lineRule="auto"/>
              <w:rPr>
                <w:rFonts w:ascii="Arial"/>
                <w:sz w:val="21"/>
              </w:rPr>
            </w:pPr>
            <w:r/>
          </w:p>
          <w:p>
            <w:pPr>
              <w:spacing w:line="277" w:lineRule="auto"/>
              <w:rPr>
                <w:rFonts w:ascii="Arial"/>
                <w:sz w:val="21"/>
              </w:rPr>
            </w:pPr>
            <w:r/>
          </w:p>
          <w:p>
            <w:pPr>
              <w:ind w:left="348"/>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943" w:type="dxa"/>
            <w:vAlign w:val="top"/>
            <w:vMerge w:val="continue"/>
            <w:tcBorders>
              <w:top w:val="nil"/>
            </w:tcBorders>
          </w:tcPr>
          <w:p>
            <w:pPr>
              <w:rPr>
                <w:rFonts w:ascii="Arial"/>
                <w:sz w:val="21"/>
              </w:rPr>
            </w:pPr>
            <w:r/>
          </w:p>
        </w:tc>
        <w:tc>
          <w:tcPr>
            <w:tcW w:w="1288" w:type="dxa"/>
            <w:vAlign w:val="top"/>
          </w:tcPr>
          <w:p>
            <w:pPr>
              <w:spacing w:line="255" w:lineRule="auto"/>
              <w:rPr>
                <w:rFonts w:ascii="Arial"/>
                <w:sz w:val="21"/>
              </w:rPr>
            </w:pPr>
            <w:r/>
          </w:p>
          <w:p>
            <w:pPr>
              <w:spacing w:line="256" w:lineRule="auto"/>
              <w:rPr>
                <w:rFonts w:ascii="Arial"/>
                <w:sz w:val="21"/>
              </w:rPr>
            </w:pPr>
            <w:r/>
          </w:p>
          <w:p>
            <w:pPr>
              <w:pStyle w:val="TableText"/>
              <w:ind w:left="438"/>
              <w:spacing w:before="65" w:line="229" w:lineRule="auto"/>
              <w:rPr/>
            </w:pPr>
            <w:r>
              <w:rPr>
                <w:spacing w:val="5"/>
              </w:rPr>
              <w:t>洗毛</w:t>
            </w:r>
          </w:p>
        </w:tc>
        <w:tc>
          <w:tcPr>
            <w:tcW w:w="973" w:type="dxa"/>
            <w:vAlign w:val="top"/>
          </w:tcPr>
          <w:p>
            <w:pPr>
              <w:spacing w:line="275" w:lineRule="auto"/>
              <w:rPr>
                <w:rFonts w:ascii="Arial"/>
                <w:sz w:val="21"/>
              </w:rPr>
            </w:pPr>
            <w:r/>
          </w:p>
          <w:p>
            <w:pPr>
              <w:spacing w:line="276" w:lineRule="auto"/>
              <w:rPr>
                <w:rFonts w:ascii="Arial"/>
                <w:sz w:val="21"/>
              </w:rPr>
            </w:pPr>
            <w:r/>
          </w:p>
          <w:p>
            <w:pPr>
              <w:ind w:left="455"/>
              <w:spacing w:before="5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833" w:type="dxa"/>
            <w:vAlign w:val="top"/>
          </w:tcPr>
          <w:p>
            <w:pPr>
              <w:spacing w:line="275" w:lineRule="auto"/>
              <w:rPr>
                <w:rFonts w:ascii="Arial"/>
                <w:sz w:val="21"/>
              </w:rPr>
            </w:pPr>
            <w:r/>
          </w:p>
          <w:p>
            <w:pPr>
              <w:spacing w:line="276" w:lineRule="auto"/>
              <w:rPr>
                <w:rFonts w:ascii="Arial"/>
                <w:sz w:val="21"/>
              </w:rPr>
            </w:pPr>
            <w:r/>
          </w:p>
          <w:p>
            <w:pPr>
              <w:ind w:left="886"/>
              <w:spacing w:before="5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752" w:type="dxa"/>
            <w:vAlign w:val="top"/>
          </w:tcPr>
          <w:p>
            <w:pPr>
              <w:pStyle w:val="TableText"/>
              <w:ind w:left="17" w:right="5" w:firstLine="27"/>
              <w:spacing w:before="32" w:line="245" w:lineRule="auto"/>
              <w:jc w:val="both"/>
              <w:rPr/>
            </w:pPr>
            <w:r>
              <w:rPr>
                <w:spacing w:val="8"/>
              </w:rPr>
              <w:t>开松除杂粉尘经布</w:t>
            </w:r>
            <w:r>
              <w:rPr>
                <w:spacing w:val="3"/>
              </w:rPr>
              <w:t xml:space="preserve"> </w:t>
            </w:r>
            <w:r>
              <w:rPr>
                <w:spacing w:val="11"/>
              </w:rPr>
              <w:t>袋除尘器处理，处</w:t>
            </w:r>
            <w:r>
              <w:rPr>
                <w:spacing w:val="6"/>
              </w:rPr>
              <w:t xml:space="preserve"> </w:t>
            </w:r>
            <w:r>
              <w:rPr>
                <w:spacing w:val="2"/>
              </w:rPr>
              <w:t>理后通过</w:t>
            </w:r>
            <w:r>
              <w:rPr>
                <w:spacing w:val="-18"/>
              </w:rPr>
              <w:t xml:space="preserve"> </w:t>
            </w:r>
            <w:r>
              <w:rPr>
                <w:rFonts w:ascii="Times New Roman" w:hAnsi="Times New Roman" w:eastAsia="Times New Roman" w:cs="Times New Roman"/>
                <w:spacing w:val="2"/>
              </w:rPr>
              <w:t>15m</w:t>
            </w:r>
            <w:r>
              <w:rPr>
                <w:rFonts w:ascii="Times New Roman" w:hAnsi="Times New Roman" w:eastAsia="Times New Roman" w:cs="Times New Roman"/>
                <w:spacing w:val="18"/>
              </w:rPr>
              <w:t xml:space="preserve"> </w:t>
            </w:r>
            <w:r>
              <w:rPr>
                <w:spacing w:val="2"/>
              </w:rPr>
              <w:t>高排</w:t>
            </w:r>
            <w:r>
              <w:rPr/>
              <w:t xml:space="preserve"> </w:t>
            </w:r>
            <w:r>
              <w:rPr>
                <w:spacing w:val="11"/>
              </w:rPr>
              <w:t>气筒排放；洗槽周</w:t>
            </w:r>
            <w:r>
              <w:rPr>
                <w:spacing w:val="6"/>
              </w:rPr>
              <w:t xml:space="preserve"> </w:t>
            </w:r>
            <w:r>
              <w:rPr>
                <w:spacing w:val="11"/>
              </w:rPr>
              <w:t>边喷洒生物除臭剂</w:t>
            </w:r>
          </w:p>
        </w:tc>
        <w:tc>
          <w:tcPr>
            <w:tcW w:w="991" w:type="dxa"/>
            <w:vAlign w:val="top"/>
          </w:tcPr>
          <w:p>
            <w:pPr>
              <w:spacing w:line="255" w:lineRule="auto"/>
              <w:rPr>
                <w:rFonts w:ascii="Arial"/>
                <w:sz w:val="21"/>
              </w:rPr>
            </w:pPr>
            <w:r/>
          </w:p>
          <w:p>
            <w:pPr>
              <w:spacing w:line="256" w:lineRule="auto"/>
              <w:rPr>
                <w:rFonts w:ascii="Arial"/>
                <w:sz w:val="21"/>
              </w:rPr>
            </w:pPr>
            <w:r/>
          </w:p>
          <w:p>
            <w:pPr>
              <w:pStyle w:val="TableText"/>
              <w:ind w:left="399"/>
              <w:spacing w:before="65" w:line="231" w:lineRule="auto"/>
              <w:rPr/>
            </w:pPr>
            <w:r>
              <w:rPr/>
              <w:t>是</w:t>
            </w:r>
          </w:p>
        </w:tc>
      </w:tr>
    </w:tbl>
    <w:p>
      <w:pPr>
        <w:pStyle w:val="BodyText"/>
        <w:spacing w:line="33" w:lineRule="exact"/>
        <w:rPr>
          <w:sz w:val="2"/>
        </w:rPr>
      </w:pPr>
      <w:r/>
    </w:p>
    <w:p>
      <w:pPr>
        <w:spacing w:line="33" w:lineRule="exact"/>
        <w:sectPr>
          <w:headerReference w:type="default" r:id="rId354"/>
          <w:footerReference w:type="default" r:id="rId355"/>
          <w:pgSz w:w="11907" w:h="16840"/>
          <w:pgMar w:top="1567" w:right="1621" w:bottom="1921" w:left="1659" w:header="1221" w:footer="1247" w:gutter="0"/>
        </w:sectPr>
        <w:rPr>
          <w:sz w:val="2"/>
          <w:szCs w:val="2"/>
        </w:rPr>
      </w:pPr>
    </w:p>
    <w:p>
      <w:pPr>
        <w:ind w:left="489"/>
        <w:spacing w:before="187" w:line="219" w:lineRule="auto"/>
        <w:rPr>
          <w:rFonts w:ascii="SimSun" w:hAnsi="SimSun" w:eastAsia="SimSun" w:cs="SimSun"/>
          <w:sz w:val="24"/>
          <w:szCs w:val="24"/>
        </w:rPr>
      </w:pPr>
      <w:r>
        <w:pict>
          <v:shape id="_x0000_s1198" style="position:absolute;margin-left:85.05pt;margin-top:79.11pt;mso-position-vertical-relative:page;mso-position-horizontal-relative:page;width:425.25pt;height:0.75pt;z-index:252289024;" o:allowincell="f" fillcolor="#000000" filled="true" stroked="false" coordsize="8505,15" coordorigin="0,0" path="m,l8505,0l8505,14l0,14l0,0xe"/>
        </w:pict>
      </w:r>
      <w:r>
        <w:rPr>
          <w:rFonts w:ascii="SimSun" w:hAnsi="SimSun" w:eastAsia="SimSun" w:cs="SimSun"/>
          <w:sz w:val="24"/>
          <w:szCs w:val="24"/>
          <w:spacing w:val="-1"/>
        </w:rPr>
        <w:t>根据上表可知，本项目洗毛、梳毛废气治理措施可行。</w:t>
      </w:r>
    </w:p>
    <w:p>
      <w:pPr>
        <w:ind w:left="485"/>
        <w:spacing w:before="180" w:line="219" w:lineRule="auto"/>
        <w:rPr>
          <w:rFonts w:ascii="SimSun" w:hAnsi="SimSun" w:eastAsia="SimSun" w:cs="SimSun"/>
          <w:sz w:val="24"/>
          <w:szCs w:val="24"/>
        </w:rPr>
      </w:pP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2"/>
        </w:rPr>
        <w:t>、厌氧发酵、沼渣晾晒等恶臭气体治理措施可行性分析</w:t>
      </w:r>
    </w:p>
    <w:p>
      <w:pPr>
        <w:ind w:left="9" w:right="105" w:firstLine="481"/>
        <w:spacing w:before="183" w:line="359" w:lineRule="auto"/>
        <w:rPr>
          <w:rFonts w:ascii="SimSun" w:hAnsi="SimSun" w:eastAsia="SimSun" w:cs="SimSun"/>
          <w:sz w:val="24"/>
          <w:szCs w:val="24"/>
        </w:rPr>
      </w:pPr>
      <w:r>
        <w:rPr>
          <w:rFonts w:ascii="SimSun" w:hAnsi="SimSun" w:eastAsia="SimSun" w:cs="SimSun"/>
          <w:sz w:val="24"/>
          <w:szCs w:val="24"/>
        </w:rPr>
        <w:t>参照《排污许可证申请与核发技术规范磷肥、</w:t>
      </w:r>
      <w:r>
        <w:rPr>
          <w:rFonts w:ascii="SimSun" w:hAnsi="SimSun" w:eastAsia="SimSun" w:cs="SimSun"/>
          <w:sz w:val="24"/>
          <w:szCs w:val="24"/>
          <w:spacing w:val="-1"/>
        </w:rPr>
        <w:t>钾肥、复混肥料、有机肥料及</w:t>
      </w:r>
      <w:r>
        <w:rPr>
          <w:rFonts w:ascii="SimSun" w:hAnsi="SimSun" w:eastAsia="SimSun" w:cs="SimSun"/>
          <w:sz w:val="24"/>
          <w:szCs w:val="24"/>
        </w:rPr>
        <w:t xml:space="preserve">  </w:t>
      </w:r>
      <w:r>
        <w:rPr>
          <w:rFonts w:ascii="SimSun" w:hAnsi="SimSun" w:eastAsia="SimSun" w:cs="SimSun"/>
          <w:sz w:val="24"/>
          <w:szCs w:val="24"/>
          <w:spacing w:val="-2"/>
        </w:rPr>
        <w:t>微生物肥料工业》（</w:t>
      </w:r>
      <w:r>
        <w:rPr>
          <w:rFonts w:ascii="Times New Roman" w:hAnsi="Times New Roman" w:eastAsia="Times New Roman" w:cs="Times New Roman"/>
          <w:sz w:val="24"/>
          <w:szCs w:val="24"/>
          <w:spacing w:val="-2"/>
        </w:rPr>
        <w:t>HJ964.2-2018</w:t>
      </w:r>
      <w:r>
        <w:rPr>
          <w:rFonts w:ascii="SimSun" w:hAnsi="SimSun" w:eastAsia="SimSun" w:cs="SimSun"/>
          <w:sz w:val="24"/>
          <w:szCs w:val="24"/>
          <w:spacing w:val="-2"/>
        </w:rPr>
        <w:t>）针对厌氧发酵、沼渣晾晒等恶臭气体治理措施</w:t>
      </w:r>
      <w:r>
        <w:rPr>
          <w:rFonts w:ascii="SimSun" w:hAnsi="SimSun" w:eastAsia="SimSun" w:cs="SimSun"/>
          <w:sz w:val="24"/>
          <w:szCs w:val="24"/>
          <w:spacing w:val="10"/>
        </w:rPr>
        <w:t xml:space="preserve"> </w:t>
      </w:r>
      <w:r>
        <w:rPr>
          <w:rFonts w:ascii="SimSun" w:hAnsi="SimSun" w:eastAsia="SimSun" w:cs="SimSun"/>
          <w:sz w:val="24"/>
          <w:szCs w:val="24"/>
        </w:rPr>
        <w:t>未给出可行技术；本项目废水收集池、</w:t>
      </w:r>
      <w:r>
        <w:rPr>
          <w:rFonts w:ascii="Times New Roman" w:hAnsi="Times New Roman" w:eastAsia="Times New Roman" w:cs="Times New Roman"/>
          <w:sz w:val="24"/>
          <w:szCs w:val="24"/>
        </w:rPr>
        <w:t>TS </w:t>
      </w:r>
      <w:r>
        <w:rPr>
          <w:rFonts w:ascii="SimSun" w:hAnsi="SimSun" w:eastAsia="SimSun" w:cs="SimSun"/>
          <w:sz w:val="24"/>
          <w:szCs w:val="24"/>
        </w:rPr>
        <w:t>调节池、</w:t>
      </w:r>
      <w:r>
        <w:rPr>
          <w:rFonts w:ascii="SimSun" w:hAnsi="SimSun" w:eastAsia="SimSun" w:cs="SimSun"/>
          <w:sz w:val="24"/>
          <w:szCs w:val="24"/>
          <w:spacing w:val="-1"/>
        </w:rPr>
        <w:t>沼液池等产生的恶臭气体通过</w:t>
      </w:r>
      <w:r>
        <w:rPr>
          <w:rFonts w:ascii="SimSun" w:hAnsi="SimSun" w:eastAsia="SimSun" w:cs="SimSun"/>
          <w:sz w:val="24"/>
          <w:szCs w:val="24"/>
        </w:rPr>
        <w:t xml:space="preserve"> </w:t>
      </w:r>
      <w:r>
        <w:rPr>
          <w:rFonts w:ascii="SimSun" w:hAnsi="SimSun" w:eastAsia="SimSun" w:cs="SimSun"/>
          <w:sz w:val="24"/>
          <w:szCs w:val="24"/>
          <w:spacing w:val="-1"/>
        </w:rPr>
        <w:t>一套活性炭吸附装置处理，处理后通过</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15m </w:t>
      </w:r>
      <w:r>
        <w:rPr>
          <w:rFonts w:ascii="SimSun" w:hAnsi="SimSun" w:eastAsia="SimSun" w:cs="SimSun"/>
          <w:sz w:val="24"/>
          <w:szCs w:val="24"/>
          <w:spacing w:val="-1"/>
        </w:rPr>
        <w:t>高排气筒排放（</w:t>
      </w:r>
      <w:r>
        <w:rPr>
          <w:rFonts w:ascii="Times New Roman" w:hAnsi="Times New Roman" w:eastAsia="Times New Roman" w:cs="Times New Roman"/>
          <w:sz w:val="24"/>
          <w:szCs w:val="24"/>
          <w:spacing w:val="-1"/>
        </w:rPr>
        <w:t>DA003</w:t>
      </w:r>
      <w:r>
        <w:rPr>
          <w:rFonts w:ascii="SimSun" w:hAnsi="SimSun" w:eastAsia="SimSun" w:cs="SimSun"/>
          <w:sz w:val="24"/>
          <w:szCs w:val="24"/>
          <w:spacing w:val="-1"/>
        </w:rPr>
        <w:t>）。厌氧发酵</w:t>
      </w:r>
      <w:r>
        <w:rPr>
          <w:rFonts w:ascii="SimSun" w:hAnsi="SimSun" w:eastAsia="SimSun" w:cs="SimSun"/>
          <w:sz w:val="24"/>
          <w:szCs w:val="24"/>
        </w:rPr>
        <w:t xml:space="preserve"> </w:t>
      </w:r>
      <w:r>
        <w:rPr>
          <w:rFonts w:ascii="SimSun" w:hAnsi="SimSun" w:eastAsia="SimSun" w:cs="SimSun"/>
          <w:sz w:val="24"/>
          <w:szCs w:val="24"/>
          <w:spacing w:val="-1"/>
        </w:rPr>
        <w:t>罐区、沼渣晾晒区喷洒生物除臭剂，除臭效率</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60%</w:t>
      </w:r>
      <w:r>
        <w:rPr>
          <w:rFonts w:ascii="SimSun" w:hAnsi="SimSun" w:eastAsia="SimSun" w:cs="SimSun"/>
          <w:sz w:val="24"/>
          <w:szCs w:val="24"/>
          <w:spacing w:val="-1"/>
        </w:rPr>
        <w:t>。</w:t>
      </w:r>
    </w:p>
    <w:p>
      <w:pPr>
        <w:ind w:left="10" w:right="150" w:firstLine="480"/>
        <w:spacing w:before="1" w:line="359" w:lineRule="auto"/>
        <w:rPr>
          <w:rFonts w:ascii="SimSun" w:hAnsi="SimSun" w:eastAsia="SimSun" w:cs="SimSun"/>
          <w:sz w:val="24"/>
          <w:szCs w:val="24"/>
        </w:rPr>
      </w:pPr>
      <w:r>
        <w:rPr>
          <w:rFonts w:ascii="SimSun" w:hAnsi="SimSun" w:eastAsia="SimSun" w:cs="SimSun"/>
          <w:sz w:val="24"/>
          <w:szCs w:val="24"/>
        </w:rPr>
        <w:t>生物除臭采用了液体吸收和生物处理的组合作</w:t>
      </w:r>
      <w:r>
        <w:rPr>
          <w:rFonts w:ascii="SimSun" w:hAnsi="SimSun" w:eastAsia="SimSun" w:cs="SimSun"/>
          <w:sz w:val="24"/>
          <w:szCs w:val="24"/>
          <w:spacing w:val="-1"/>
        </w:rPr>
        <w:t>用，利用微生物分解臭气物质</w:t>
      </w:r>
      <w:r>
        <w:rPr>
          <w:rFonts w:ascii="SimSun" w:hAnsi="SimSun" w:eastAsia="SimSun" w:cs="SimSun"/>
          <w:sz w:val="24"/>
          <w:szCs w:val="24"/>
        </w:rPr>
        <w:t xml:space="preserve"> </w:t>
      </w:r>
      <w:r>
        <w:rPr>
          <w:rFonts w:ascii="SimSun" w:hAnsi="SimSun" w:eastAsia="SimSun" w:cs="SimSun"/>
          <w:sz w:val="24"/>
          <w:szCs w:val="24"/>
        </w:rPr>
        <w:t>使之无害化无臭化的一种处理技术，具有工艺简单、</w:t>
      </w:r>
      <w:r>
        <w:rPr>
          <w:rFonts w:ascii="SimSun" w:hAnsi="SimSun" w:eastAsia="SimSun" w:cs="SimSun"/>
          <w:sz w:val="24"/>
          <w:szCs w:val="24"/>
          <w:spacing w:val="-1"/>
        </w:rPr>
        <w:t>操作方便、运行稳定、处理</w:t>
      </w:r>
      <w:r>
        <w:rPr>
          <w:rFonts w:ascii="SimSun" w:hAnsi="SimSun" w:eastAsia="SimSun" w:cs="SimSun"/>
          <w:sz w:val="24"/>
          <w:szCs w:val="24"/>
        </w:rPr>
        <w:t xml:space="preserve"> </w:t>
      </w:r>
      <w:r>
        <w:rPr>
          <w:rFonts w:ascii="SimSun" w:hAnsi="SimSun" w:eastAsia="SimSun" w:cs="SimSun"/>
          <w:sz w:val="24"/>
          <w:szCs w:val="24"/>
        </w:rPr>
        <w:t>效果好、无二次污染，费用低、能耗少等优点。恶臭</w:t>
      </w:r>
      <w:r>
        <w:rPr>
          <w:rFonts w:ascii="SimSun" w:hAnsi="SimSun" w:eastAsia="SimSun" w:cs="SimSun"/>
          <w:sz w:val="24"/>
          <w:szCs w:val="24"/>
          <w:spacing w:val="-1"/>
        </w:rPr>
        <w:t>气体通过微生物的作用将其</w:t>
      </w:r>
      <w:r>
        <w:rPr>
          <w:rFonts w:ascii="SimSun" w:hAnsi="SimSun" w:eastAsia="SimSun" w:cs="SimSun"/>
          <w:sz w:val="24"/>
          <w:szCs w:val="24"/>
        </w:rPr>
        <w:t xml:space="preserve"> </w:t>
      </w:r>
      <w:r>
        <w:rPr>
          <w:rFonts w:ascii="SimSun" w:hAnsi="SimSun" w:eastAsia="SimSun" w:cs="SimSun"/>
          <w:sz w:val="24"/>
          <w:szCs w:val="24"/>
          <w:spacing w:val="-1"/>
        </w:rPr>
        <w:t>中的污染物降解，利用微生物代谢对恶臭物质的吸收、降解作用，将</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24"/>
          <w:szCs w:val="24"/>
          <w:spacing w:val="-1"/>
        </w:rPr>
        <w:t>S</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N</w:t>
      </w:r>
      <w:r>
        <w:rPr>
          <w:rFonts w:ascii="Times New Roman" w:hAnsi="Times New Roman" w:eastAsia="Times New Roman" w:cs="Times New Roman"/>
          <w:sz w:val="24"/>
          <w:szCs w:val="24"/>
          <w:spacing w:val="-2"/>
        </w:rPr>
        <w:t>H</w:t>
      </w:r>
      <w:r>
        <w:rPr>
          <w:rFonts w:ascii="Times New Roman" w:hAnsi="Times New Roman" w:eastAsia="Times New Roman" w:cs="Times New Roman"/>
          <w:sz w:val="15"/>
          <w:szCs w:val="15"/>
          <w:spacing w:val="-2"/>
          <w:position w:val="-1"/>
        </w:rPr>
        <w:t>3</w:t>
      </w:r>
      <w:r>
        <w:rPr>
          <w:rFonts w:ascii="Times New Roman" w:hAnsi="Times New Roman" w:eastAsia="Times New Roman" w:cs="Times New Roman"/>
          <w:sz w:val="15"/>
          <w:szCs w:val="15"/>
          <w:position w:val="-1"/>
        </w:rPr>
        <w:t xml:space="preserve">     </w:t>
      </w:r>
      <w:r>
        <w:rPr>
          <w:rFonts w:ascii="SimSun" w:hAnsi="SimSun" w:eastAsia="SimSun" w:cs="SimSun"/>
          <w:sz w:val="24"/>
          <w:szCs w:val="24"/>
          <w:spacing w:val="-2"/>
        </w:rPr>
        <w:t>等恶臭物质分解，将臭气成分去除，生物菌对恶臭物质的去除率在</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2"/>
        </w:rPr>
        <w:t>60-80%</w:t>
      </w:r>
      <w:r>
        <w:rPr>
          <w:rFonts w:ascii="SimSun" w:hAnsi="SimSun" w:eastAsia="SimSun" w:cs="SimSun"/>
          <w:sz w:val="24"/>
          <w:szCs w:val="24"/>
          <w:spacing w:val="-2"/>
        </w:rPr>
        <w:t>以上。</w:t>
      </w:r>
    </w:p>
    <w:p>
      <w:pPr>
        <w:ind w:left="21" w:firstLine="467"/>
        <w:spacing w:line="360" w:lineRule="auto"/>
        <w:rPr>
          <w:rFonts w:ascii="SimSun" w:hAnsi="SimSun" w:eastAsia="SimSun" w:cs="SimSun"/>
          <w:sz w:val="24"/>
          <w:szCs w:val="24"/>
        </w:rPr>
      </w:pPr>
      <w:r>
        <w:rPr>
          <w:rFonts w:ascii="SimSun" w:hAnsi="SimSun" w:eastAsia="SimSun" w:cs="SimSun"/>
          <w:sz w:val="24"/>
          <w:szCs w:val="24"/>
          <w:spacing w:val="-4"/>
        </w:rPr>
        <w:t>在采取以上措施后，</w:t>
      </w:r>
      <w:r>
        <w:rPr>
          <w:rFonts w:ascii="Times New Roman" w:hAnsi="Times New Roman" w:eastAsia="Times New Roman" w:cs="Times New Roman"/>
          <w:sz w:val="24"/>
          <w:szCs w:val="24"/>
          <w:spacing w:val="-4"/>
        </w:rPr>
        <w:t>H</w:t>
      </w:r>
      <w:r>
        <w:rPr>
          <w:rFonts w:ascii="Times New Roman" w:hAnsi="Times New Roman" w:eastAsia="Times New Roman" w:cs="Times New Roman"/>
          <w:sz w:val="15"/>
          <w:szCs w:val="15"/>
          <w:spacing w:val="-4"/>
          <w:position w:val="-1"/>
        </w:rPr>
        <w:t>2</w:t>
      </w:r>
      <w:r>
        <w:rPr>
          <w:rFonts w:ascii="Times New Roman" w:hAnsi="Times New Roman" w:eastAsia="Times New Roman" w:cs="Times New Roman"/>
          <w:sz w:val="24"/>
          <w:szCs w:val="24"/>
          <w:spacing w:val="-4"/>
        </w:rPr>
        <w:t>S</w:t>
      </w:r>
      <w:r>
        <w:rPr>
          <w:rFonts w:ascii="SimSun" w:hAnsi="SimSun" w:eastAsia="SimSun" w:cs="SimSun"/>
          <w:sz w:val="24"/>
          <w:szCs w:val="24"/>
          <w:spacing w:val="-4"/>
        </w:rPr>
        <w:t>、</w:t>
      </w:r>
      <w:r>
        <w:rPr>
          <w:rFonts w:ascii="Times New Roman" w:hAnsi="Times New Roman" w:eastAsia="Times New Roman" w:cs="Times New Roman"/>
          <w:sz w:val="24"/>
          <w:szCs w:val="24"/>
          <w:spacing w:val="-4"/>
        </w:rPr>
        <w:t>NH</w:t>
      </w:r>
      <w:r>
        <w:rPr>
          <w:rFonts w:ascii="Times New Roman" w:hAnsi="Times New Roman" w:eastAsia="Times New Roman" w:cs="Times New Roman"/>
          <w:sz w:val="15"/>
          <w:szCs w:val="15"/>
          <w:spacing w:val="-4"/>
          <w:position w:val="-1"/>
        </w:rPr>
        <w:t>3 </w:t>
      </w:r>
      <w:r>
        <w:rPr>
          <w:rFonts w:ascii="SimSun" w:hAnsi="SimSun" w:eastAsia="SimSun" w:cs="SimSun"/>
          <w:sz w:val="24"/>
          <w:szCs w:val="24"/>
          <w:spacing w:val="-4"/>
        </w:rPr>
        <w:t>及臭气浓度排放可满足《</w:t>
      </w:r>
      <w:r>
        <w:rPr>
          <w:rFonts w:ascii="SimSun" w:hAnsi="SimSun" w:eastAsia="SimSun" w:cs="SimSun"/>
          <w:sz w:val="24"/>
          <w:szCs w:val="24"/>
          <w:spacing w:val="-5"/>
        </w:rPr>
        <w:t>恶臭污染物排放标准》</w:t>
      </w:r>
      <w:r>
        <w:rPr>
          <w:rFonts w:ascii="SimSun" w:hAnsi="SimSun" w:eastAsia="SimSun" w:cs="SimSun"/>
          <w:sz w:val="24"/>
          <w:szCs w:val="2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GB14554-93</w:t>
      </w:r>
      <w:r>
        <w:rPr>
          <w:rFonts w:ascii="SimSun" w:hAnsi="SimSun" w:eastAsia="SimSun" w:cs="SimSun"/>
          <w:sz w:val="24"/>
          <w:szCs w:val="24"/>
          <w:spacing w:val="-2"/>
        </w:rPr>
        <w:t>）中表</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新改扩建二级标准限值、表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 </w:t>
      </w:r>
      <w:r>
        <w:rPr>
          <w:rFonts w:ascii="SimSun" w:hAnsi="SimSun" w:eastAsia="SimSun" w:cs="SimSun"/>
          <w:sz w:val="24"/>
          <w:szCs w:val="24"/>
          <w:spacing w:val="-2"/>
        </w:rPr>
        <w:t>排放标准。</w:t>
      </w:r>
    </w:p>
    <w:p>
      <w:pPr>
        <w:ind w:left="10"/>
        <w:spacing w:before="159" w:line="222" w:lineRule="auto"/>
        <w:outlineLvl w:val="2"/>
        <w:rPr>
          <w:rFonts w:ascii="SimHei" w:hAnsi="SimHei" w:eastAsia="SimHei" w:cs="SimHei"/>
          <w:sz w:val="28"/>
          <w:szCs w:val="28"/>
        </w:rPr>
      </w:pPr>
      <w:bookmarkStart w:name="bookmark153" w:id="186"/>
      <w:bookmarkEnd w:id="186"/>
      <w:r>
        <w:rPr>
          <w:rFonts w:ascii="Times New Roman" w:hAnsi="Times New Roman" w:eastAsia="Times New Roman" w:cs="Times New Roman"/>
          <w:sz w:val="28"/>
          <w:szCs w:val="28"/>
          <w:spacing w:val="-1"/>
        </w:rPr>
        <w:t>7.1.3 </w:t>
      </w:r>
      <w:r>
        <w:rPr>
          <w:rFonts w:ascii="SimHei" w:hAnsi="SimHei" w:eastAsia="SimHei" w:cs="SimHei"/>
          <w:sz w:val="28"/>
          <w:szCs w:val="28"/>
          <w:spacing w:val="-1"/>
        </w:rPr>
        <w:t>锅炉烟气治理措施</w:t>
      </w:r>
    </w:p>
    <w:p>
      <w:pPr>
        <w:pStyle w:val="BodyText"/>
        <w:spacing w:line="278" w:lineRule="auto"/>
        <w:rPr/>
      </w:pPr>
      <w:r/>
    </w:p>
    <w:p>
      <w:pPr>
        <w:ind w:left="501"/>
        <w:spacing w:before="79"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）沼气锅炉</w:t>
      </w:r>
    </w:p>
    <w:p>
      <w:pPr>
        <w:ind w:left="10" w:right="103" w:firstLine="480"/>
        <w:spacing w:before="181" w:line="359" w:lineRule="auto"/>
        <w:rPr>
          <w:rFonts w:ascii="SimSun" w:hAnsi="SimSun" w:eastAsia="SimSun" w:cs="SimSun"/>
          <w:sz w:val="24"/>
          <w:szCs w:val="24"/>
        </w:rPr>
      </w:pPr>
      <w:r>
        <w:rPr>
          <w:rFonts w:ascii="SimSun" w:hAnsi="SimSun" w:eastAsia="SimSun" w:cs="SimSun"/>
          <w:sz w:val="24"/>
          <w:szCs w:val="24"/>
          <w:spacing w:val="3"/>
        </w:rPr>
        <w:t>本项目沼气锅炉使用清洁能源沼气为燃料，同时采用低氮燃烧技</w:t>
      </w:r>
      <w:r>
        <w:rPr>
          <w:rFonts w:ascii="SimSun" w:hAnsi="SimSun" w:eastAsia="SimSun" w:cs="SimSun"/>
          <w:sz w:val="24"/>
          <w:szCs w:val="24"/>
          <w:spacing w:val="2"/>
        </w:rPr>
        <w:t>术，锅炉烟</w:t>
      </w:r>
      <w:r>
        <w:rPr>
          <w:rFonts w:ascii="SimSun" w:hAnsi="SimSun" w:eastAsia="SimSun" w:cs="SimSun"/>
          <w:sz w:val="24"/>
          <w:szCs w:val="24"/>
        </w:rPr>
        <w:t xml:space="preserve"> </w:t>
      </w:r>
      <w:r>
        <w:rPr>
          <w:rFonts w:ascii="SimSun" w:hAnsi="SimSun" w:eastAsia="SimSun" w:cs="SimSun"/>
          <w:sz w:val="24"/>
          <w:szCs w:val="24"/>
          <w:spacing w:val="-7"/>
        </w:rPr>
        <w:t>气中颗粒物、二氧化硫和氮氧化物排放浓度满足《锅炉大气污染物排放标准》（</w:t>
      </w:r>
      <w:r>
        <w:rPr>
          <w:rFonts w:ascii="Times New Roman" w:hAnsi="Times New Roman" w:eastAsia="Times New Roman" w:cs="Times New Roman"/>
          <w:sz w:val="24"/>
          <w:szCs w:val="24"/>
          <w:spacing w:val="-7"/>
        </w:rPr>
        <w:t>GB</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spacing w:val="-1"/>
        </w:rPr>
        <w:t>13271-2014</w:t>
      </w:r>
      <w:r>
        <w:rPr>
          <w:rFonts w:ascii="SimSun" w:hAnsi="SimSun" w:eastAsia="SimSun" w:cs="SimSun"/>
          <w:sz w:val="24"/>
          <w:szCs w:val="24"/>
          <w:spacing w:val="-1"/>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燃气锅炉排放标准限值，达标排放。</w:t>
      </w:r>
    </w:p>
    <w:p>
      <w:pPr>
        <w:ind w:left="490"/>
        <w:spacing w:line="218" w:lineRule="auto"/>
        <w:rPr>
          <w:rFonts w:ascii="SimSun" w:hAnsi="SimSun" w:eastAsia="SimSun" w:cs="SimSun"/>
          <w:sz w:val="24"/>
          <w:szCs w:val="24"/>
        </w:rPr>
      </w:pPr>
      <w:r>
        <w:rPr>
          <w:rFonts w:ascii="SimSun" w:hAnsi="SimSun" w:eastAsia="SimSun" w:cs="SimSun"/>
          <w:sz w:val="24"/>
          <w:szCs w:val="24"/>
          <w:spacing w:val="-1"/>
        </w:rPr>
        <w:t>燃气锅炉低氮燃烧机工作原理主要分为以下几个步骤：</w:t>
      </w:r>
    </w:p>
    <w:p>
      <w:pPr>
        <w:ind w:left="10" w:right="105" w:firstLine="478"/>
        <w:spacing w:before="185" w:line="288" w:lineRule="auto"/>
        <w:rPr>
          <w:rFonts w:ascii="SimSun" w:hAnsi="SimSun" w:eastAsia="SimSun" w:cs="SimSun"/>
          <w:sz w:val="24"/>
          <w:szCs w:val="24"/>
        </w:rPr>
      </w:pPr>
      <w:r>
        <w:rPr>
          <w:rFonts w:ascii="SimSun" w:hAnsi="SimSun" w:eastAsia="SimSun" w:cs="SimSun"/>
          <w:sz w:val="24"/>
          <w:szCs w:val="24"/>
          <w:spacing w:val="3"/>
        </w:rPr>
        <w:t>①燃气进入燃烧室之前，会经过一个调节阀进行控制，以确保</w:t>
      </w:r>
      <w:r>
        <w:rPr>
          <w:rFonts w:ascii="SimSun" w:hAnsi="SimSun" w:eastAsia="SimSun" w:cs="SimSun"/>
          <w:sz w:val="24"/>
          <w:szCs w:val="24"/>
          <w:spacing w:val="2"/>
        </w:rPr>
        <w:t>燃气的流量和</w:t>
      </w:r>
      <w:r>
        <w:rPr>
          <w:rFonts w:ascii="SimSun" w:hAnsi="SimSun" w:eastAsia="SimSun" w:cs="SimSun"/>
          <w:sz w:val="24"/>
          <w:szCs w:val="24"/>
        </w:rPr>
        <w:t xml:space="preserve"> </w:t>
      </w:r>
      <w:r>
        <w:rPr>
          <w:rFonts w:ascii="SimSun" w:hAnsi="SimSun" w:eastAsia="SimSun" w:cs="SimSun"/>
          <w:sz w:val="24"/>
          <w:szCs w:val="24"/>
          <w:spacing w:val="-1"/>
        </w:rPr>
        <w:t>压力符合燃烧需求。同时，空气通过风机被引入燃烧室。</w:t>
      </w:r>
    </w:p>
    <w:p>
      <w:pPr>
        <w:ind w:left="10" w:right="103" w:firstLine="477"/>
        <w:spacing w:before="184" w:line="312" w:lineRule="auto"/>
        <w:rPr>
          <w:rFonts w:ascii="SimSun" w:hAnsi="SimSun" w:eastAsia="SimSun" w:cs="SimSun"/>
          <w:sz w:val="24"/>
          <w:szCs w:val="24"/>
        </w:rPr>
      </w:pPr>
      <w:r>
        <w:rPr>
          <w:rFonts w:ascii="SimSun" w:hAnsi="SimSun" w:eastAsia="SimSun" w:cs="SimSun"/>
          <w:sz w:val="24"/>
          <w:szCs w:val="24"/>
          <w:spacing w:val="3"/>
        </w:rPr>
        <w:t>②燃气和空气在燃烧室内充分混合，形成可燃气体。这种预混燃</w:t>
      </w:r>
      <w:r>
        <w:rPr>
          <w:rFonts w:ascii="SimSun" w:hAnsi="SimSun" w:eastAsia="SimSun" w:cs="SimSun"/>
          <w:sz w:val="24"/>
          <w:szCs w:val="24"/>
          <w:spacing w:val="2"/>
        </w:rPr>
        <w:t>烧的方式使</w:t>
      </w:r>
      <w:r>
        <w:rPr>
          <w:rFonts w:ascii="SimSun" w:hAnsi="SimSun" w:eastAsia="SimSun" w:cs="SimSun"/>
          <w:sz w:val="24"/>
          <w:szCs w:val="24"/>
        </w:rPr>
        <w:t xml:space="preserve"> </w:t>
      </w:r>
      <w:r>
        <w:rPr>
          <w:rFonts w:ascii="SimSun" w:hAnsi="SimSun" w:eastAsia="SimSun" w:cs="SimSun"/>
          <w:sz w:val="24"/>
          <w:szCs w:val="24"/>
          <w:spacing w:val="3"/>
        </w:rPr>
        <w:t>得燃料和空气能够充分混合，从而在燃烧过程中实现完</w:t>
      </w:r>
      <w:r>
        <w:rPr>
          <w:rFonts w:ascii="SimSun" w:hAnsi="SimSun" w:eastAsia="SimSun" w:cs="SimSun"/>
          <w:sz w:val="24"/>
          <w:szCs w:val="24"/>
          <w:spacing w:val="2"/>
        </w:rPr>
        <w:t>全燃烧，减少未燃烧物质</w:t>
      </w:r>
      <w:r>
        <w:rPr>
          <w:rFonts w:ascii="SimSun" w:hAnsi="SimSun" w:eastAsia="SimSun" w:cs="SimSun"/>
          <w:sz w:val="24"/>
          <w:szCs w:val="24"/>
        </w:rPr>
        <w:t xml:space="preserve"> </w:t>
      </w:r>
      <w:r>
        <w:rPr>
          <w:rFonts w:ascii="SimSun" w:hAnsi="SimSun" w:eastAsia="SimSun" w:cs="SimSun"/>
          <w:sz w:val="24"/>
          <w:szCs w:val="24"/>
          <w:spacing w:val="-3"/>
        </w:rPr>
        <w:t>的产生。</w:t>
      </w:r>
    </w:p>
    <w:p>
      <w:pPr>
        <w:ind w:left="10" w:right="164" w:firstLine="477"/>
        <w:spacing w:before="183" w:line="289" w:lineRule="auto"/>
        <w:rPr>
          <w:rFonts w:ascii="SimSun" w:hAnsi="SimSun" w:eastAsia="SimSun" w:cs="SimSun"/>
          <w:sz w:val="24"/>
          <w:szCs w:val="24"/>
        </w:rPr>
      </w:pPr>
      <w:r>
        <w:rPr>
          <w:rFonts w:ascii="SimSun" w:hAnsi="SimSun" w:eastAsia="SimSun" w:cs="SimSun"/>
          <w:sz w:val="24"/>
          <w:szCs w:val="24"/>
          <w:spacing w:val="1"/>
        </w:rPr>
        <w:t>③一部分燃气从燃烧室中排出，其中的氮氧化物被分离出来。这个过程中，</w:t>
      </w:r>
      <w:r>
        <w:rPr>
          <w:rFonts w:ascii="SimSun" w:hAnsi="SimSun" w:eastAsia="SimSun" w:cs="SimSun"/>
          <w:sz w:val="24"/>
          <w:szCs w:val="24"/>
          <w:spacing w:val="3"/>
        </w:rPr>
        <w:t xml:space="preserve"> </w:t>
      </w:r>
      <w:r>
        <w:rPr>
          <w:rFonts w:ascii="SimSun" w:hAnsi="SimSun" w:eastAsia="SimSun" w:cs="SimSun"/>
          <w:sz w:val="24"/>
          <w:szCs w:val="24"/>
        </w:rPr>
        <w:t>氧化物被还原成氮气和氧气，氧气则被分离出</w:t>
      </w:r>
      <w:r>
        <w:rPr>
          <w:rFonts w:ascii="SimSun" w:hAnsi="SimSun" w:eastAsia="SimSun" w:cs="SimSun"/>
          <w:sz w:val="24"/>
          <w:szCs w:val="24"/>
          <w:spacing w:val="-1"/>
        </w:rPr>
        <w:t>来用于下一步的燃烧过程。</w:t>
      </w:r>
    </w:p>
    <w:p>
      <w:pPr>
        <w:ind w:left="488"/>
        <w:spacing w:before="182" w:line="217" w:lineRule="auto"/>
        <w:rPr>
          <w:rFonts w:ascii="SimSun" w:hAnsi="SimSun" w:eastAsia="SimSun" w:cs="SimSun"/>
          <w:sz w:val="24"/>
          <w:szCs w:val="24"/>
        </w:rPr>
      </w:pPr>
      <w:r>
        <w:rPr>
          <w:rFonts w:ascii="SimSun" w:hAnsi="SimSun" w:eastAsia="SimSun" w:cs="SimSun"/>
          <w:sz w:val="24"/>
          <w:szCs w:val="24"/>
          <w:spacing w:val="3"/>
        </w:rPr>
        <w:t>④剩余的燃气经过处理后与新鲜的燃气混合再次进入燃烧室。这</w:t>
      </w:r>
      <w:r>
        <w:rPr>
          <w:rFonts w:ascii="SimSun" w:hAnsi="SimSun" w:eastAsia="SimSun" w:cs="SimSun"/>
          <w:sz w:val="24"/>
          <w:szCs w:val="24"/>
          <w:spacing w:val="2"/>
        </w:rPr>
        <w:t>样，燃气在</w:t>
      </w:r>
    </w:p>
    <w:p>
      <w:pPr>
        <w:pStyle w:val="BodyText"/>
        <w:spacing w:line="263" w:lineRule="auto"/>
        <w:rPr/>
      </w:pPr>
      <w:r/>
    </w:p>
    <w:p>
      <w:pPr>
        <w:ind w:left="7"/>
        <w:spacing w:before="62" w:line="227" w:lineRule="auto"/>
        <w:rPr>
          <w:rFonts w:ascii="SimSun" w:hAnsi="SimSun" w:eastAsia="SimSun" w:cs="SimSun"/>
          <w:sz w:val="19"/>
          <w:szCs w:val="19"/>
        </w:rPr>
      </w:pPr>
      <w:r>
        <w:pict>
          <v:shape id="_x0000_s1200" style="position:absolute;margin-left:159.33pt;margin-top:2.11278pt;mso-position-vertical-relative:text;mso-position-horizontal-relative:text;width:61pt;height:13.75pt;z-index:25228800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263</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40"/>
          <w:footerReference w:type="default" r:id="rId3"/>
          <w:pgSz w:w="11907" w:h="16840"/>
          <w:pgMar w:top="1567" w:right="1596" w:bottom="400" w:left="1701" w:header="1221" w:footer="0" w:gutter="0"/>
        </w:sectPr>
        <w:rPr>
          <w:rFonts w:ascii="SimSun" w:hAnsi="SimSun" w:eastAsia="SimSun" w:cs="SimSun"/>
          <w:sz w:val="19"/>
          <w:szCs w:val="19"/>
        </w:rPr>
      </w:pPr>
    </w:p>
    <w:p>
      <w:pPr>
        <w:ind w:left="10"/>
        <w:spacing w:before="168" w:line="219" w:lineRule="auto"/>
        <w:rPr>
          <w:rFonts w:ascii="SimSun" w:hAnsi="SimSun" w:eastAsia="SimSun" w:cs="SimSun"/>
          <w:sz w:val="24"/>
          <w:szCs w:val="24"/>
        </w:rPr>
      </w:pPr>
      <w:r>
        <w:pict>
          <v:shape id="_x0000_s1202" style="position:absolute;margin-left:85.05pt;margin-top:78.87pt;mso-position-vertical-relative:page;mso-position-horizontal-relative:page;width:425.25pt;height:0.75pt;z-index:252291072;" o:allowincell="f" fillcolor="#000000" filled="true" stroked="false" coordsize="8505,15" coordorigin="0,0" path="m,l8505,0l8505,14l0,14l0,0xe"/>
        </w:pict>
      </w:r>
      <w:r>
        <w:rPr>
          <w:rFonts w:ascii="SimSun" w:hAnsi="SimSun" w:eastAsia="SimSun" w:cs="SimSun"/>
          <w:sz w:val="24"/>
          <w:szCs w:val="24"/>
        </w:rPr>
        <w:t>燃烧室内部形成循环，降低了燃烧温度，进一</w:t>
      </w:r>
      <w:r>
        <w:rPr>
          <w:rFonts w:ascii="SimSun" w:hAnsi="SimSun" w:eastAsia="SimSun" w:cs="SimSun"/>
          <w:sz w:val="24"/>
          <w:szCs w:val="24"/>
          <w:spacing w:val="-1"/>
        </w:rPr>
        <w:t>步减少了氮氧化物的生成。</w:t>
      </w:r>
    </w:p>
    <w:p>
      <w:pPr>
        <w:ind w:left="8" w:firstLine="479"/>
        <w:spacing w:before="182" w:line="312" w:lineRule="auto"/>
        <w:rPr>
          <w:rFonts w:ascii="SimSun" w:hAnsi="SimSun" w:eastAsia="SimSun" w:cs="SimSun"/>
          <w:sz w:val="24"/>
          <w:szCs w:val="24"/>
        </w:rPr>
      </w:pPr>
      <w:r>
        <w:rPr>
          <w:rFonts w:ascii="SimSun" w:hAnsi="SimSun" w:eastAsia="SimSun" w:cs="SimSun"/>
          <w:sz w:val="24"/>
          <w:szCs w:val="24"/>
          <w:spacing w:val="-2"/>
        </w:rPr>
        <w:t>⑤通过调节燃烧空气中的氧浓度，可以防止氧浓度过高导致氮氧化物的产生。</w:t>
      </w:r>
      <w:r>
        <w:rPr>
          <w:rFonts w:ascii="SimSun" w:hAnsi="SimSun" w:eastAsia="SimSun" w:cs="SimSun"/>
          <w:sz w:val="24"/>
          <w:szCs w:val="24"/>
          <w:spacing w:val="2"/>
        </w:rPr>
        <w:t xml:space="preserve"> </w:t>
      </w:r>
      <w:r>
        <w:rPr>
          <w:rFonts w:ascii="SimSun" w:hAnsi="SimSun" w:eastAsia="SimSun" w:cs="SimSun"/>
          <w:sz w:val="24"/>
          <w:szCs w:val="24"/>
          <w:spacing w:val="3"/>
        </w:rPr>
        <w:t>在低氮燃烧器中，一般会采用特殊的设计或者操作方式来</w:t>
      </w:r>
      <w:r>
        <w:rPr>
          <w:rFonts w:ascii="SimSun" w:hAnsi="SimSun" w:eastAsia="SimSun" w:cs="SimSun"/>
          <w:sz w:val="24"/>
          <w:szCs w:val="24"/>
          <w:spacing w:val="2"/>
        </w:rPr>
        <w:t>降低氧浓度，例如全预</w:t>
      </w:r>
      <w:r>
        <w:rPr>
          <w:rFonts w:ascii="SimSun" w:hAnsi="SimSun" w:eastAsia="SimSun" w:cs="SimSun"/>
          <w:sz w:val="24"/>
          <w:szCs w:val="24"/>
        </w:rPr>
        <w:t xml:space="preserve"> </w:t>
      </w:r>
      <w:r>
        <w:rPr>
          <w:rFonts w:ascii="SimSun" w:hAnsi="SimSun" w:eastAsia="SimSun" w:cs="SimSun"/>
          <w:sz w:val="24"/>
          <w:szCs w:val="24"/>
          <w:spacing w:val="-1"/>
        </w:rPr>
        <w:t>混的表面燃烧技术、</w:t>
      </w:r>
      <w:r>
        <w:rPr>
          <w:rFonts w:ascii="Times New Roman" w:hAnsi="Times New Roman" w:eastAsia="Times New Roman" w:cs="Times New Roman"/>
          <w:sz w:val="24"/>
          <w:szCs w:val="24"/>
          <w:spacing w:val="-1"/>
        </w:rPr>
        <w:t>FGR </w:t>
      </w:r>
      <w:r>
        <w:rPr>
          <w:rFonts w:ascii="SimSun" w:hAnsi="SimSun" w:eastAsia="SimSun" w:cs="SimSun"/>
          <w:sz w:val="24"/>
          <w:szCs w:val="24"/>
          <w:spacing w:val="-1"/>
        </w:rPr>
        <w:t>烟气再循环技术等。</w:t>
      </w:r>
    </w:p>
    <w:p>
      <w:pPr>
        <w:ind w:left="8" w:right="77" w:firstLine="479"/>
        <w:spacing w:before="184" w:line="312" w:lineRule="auto"/>
        <w:rPr>
          <w:rFonts w:ascii="SimSun" w:hAnsi="SimSun" w:eastAsia="SimSun" w:cs="SimSun"/>
          <w:sz w:val="24"/>
          <w:szCs w:val="24"/>
        </w:rPr>
      </w:pPr>
      <w:r>
        <w:rPr>
          <w:rFonts w:ascii="SimSun" w:hAnsi="SimSun" w:eastAsia="SimSun" w:cs="SimSun"/>
          <w:sz w:val="24"/>
          <w:szCs w:val="24"/>
          <w:spacing w:val="3"/>
        </w:rPr>
        <w:t>⑥低氮燃烧器通过将燃气进行再循环、控制燃烧空气中的氧浓度等手</w:t>
      </w:r>
      <w:r>
        <w:rPr>
          <w:rFonts w:ascii="SimSun" w:hAnsi="SimSun" w:eastAsia="SimSun" w:cs="SimSun"/>
          <w:sz w:val="24"/>
          <w:szCs w:val="24"/>
          <w:spacing w:val="2"/>
        </w:rPr>
        <w:t>段，有</w:t>
      </w:r>
      <w:r>
        <w:rPr>
          <w:rFonts w:ascii="SimSun" w:hAnsi="SimSun" w:eastAsia="SimSun" w:cs="SimSun"/>
          <w:sz w:val="24"/>
          <w:szCs w:val="24"/>
        </w:rPr>
        <w:t xml:space="preserve"> </w:t>
      </w:r>
      <w:r>
        <w:rPr>
          <w:rFonts w:ascii="SimSun" w:hAnsi="SimSun" w:eastAsia="SimSun" w:cs="SimSun"/>
          <w:sz w:val="24"/>
          <w:szCs w:val="24"/>
          <w:spacing w:val="3"/>
        </w:rPr>
        <w:t>效地减少了氮氧化物的排放。这种设备不仅可以降低环境</w:t>
      </w:r>
      <w:r>
        <w:rPr>
          <w:rFonts w:ascii="SimSun" w:hAnsi="SimSun" w:eastAsia="SimSun" w:cs="SimSun"/>
          <w:sz w:val="24"/>
          <w:szCs w:val="24"/>
          <w:spacing w:val="2"/>
        </w:rPr>
        <w:t>污染，而且还能节约能</w:t>
      </w:r>
      <w:r>
        <w:rPr>
          <w:rFonts w:ascii="SimSun" w:hAnsi="SimSun" w:eastAsia="SimSun" w:cs="SimSun"/>
          <w:sz w:val="24"/>
          <w:szCs w:val="24"/>
        </w:rPr>
        <w:t xml:space="preserve"> </w:t>
      </w:r>
      <w:r>
        <w:rPr>
          <w:rFonts w:ascii="SimSun" w:hAnsi="SimSun" w:eastAsia="SimSun" w:cs="SimSun"/>
          <w:sz w:val="24"/>
          <w:szCs w:val="24"/>
        </w:rPr>
        <w:t>源，因为它不需要额外的空气来降低燃烧室的氧浓度</w:t>
      </w:r>
      <w:r>
        <w:rPr>
          <w:rFonts w:ascii="SimSun" w:hAnsi="SimSun" w:eastAsia="SimSun" w:cs="SimSun"/>
          <w:sz w:val="24"/>
          <w:szCs w:val="24"/>
          <w:spacing w:val="-1"/>
        </w:rPr>
        <w:t>，从而节省燃料消耗。</w:t>
      </w:r>
    </w:p>
    <w:p>
      <w:pPr>
        <w:ind w:left="8" w:firstLine="486"/>
        <w:spacing w:before="182" w:line="359" w:lineRule="auto"/>
        <w:jc w:val="both"/>
        <w:rPr>
          <w:rFonts w:ascii="SimSun" w:hAnsi="SimSun" w:eastAsia="SimSun" w:cs="SimSun"/>
          <w:sz w:val="24"/>
          <w:szCs w:val="24"/>
        </w:rPr>
      </w:pPr>
      <w:r>
        <w:rPr>
          <w:rFonts w:ascii="SimSun" w:hAnsi="SimSun" w:eastAsia="SimSun" w:cs="SimSun"/>
          <w:sz w:val="24"/>
          <w:szCs w:val="24"/>
          <w:spacing w:val="-1"/>
        </w:rPr>
        <w:t>《排污许可证申请与核发技术规范 锅炉》（</w:t>
      </w:r>
      <w:r>
        <w:rPr>
          <w:rFonts w:ascii="Times New Roman" w:hAnsi="Times New Roman" w:eastAsia="Times New Roman" w:cs="Times New Roman"/>
          <w:sz w:val="24"/>
          <w:szCs w:val="24"/>
          <w:spacing w:val="-1"/>
        </w:rPr>
        <w:t>HJ953-2018</w:t>
      </w:r>
      <w:r>
        <w:rPr>
          <w:rFonts w:ascii="SimSun" w:hAnsi="SimSun" w:eastAsia="SimSun" w:cs="SimSun"/>
          <w:sz w:val="24"/>
          <w:szCs w:val="24"/>
          <w:spacing w:val="-1"/>
        </w:rPr>
        <w:t>）中表</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7 </w:t>
      </w:r>
      <w:r>
        <w:rPr>
          <w:rFonts w:ascii="SimSun" w:hAnsi="SimSun" w:eastAsia="SimSun" w:cs="SimSun"/>
          <w:sz w:val="24"/>
          <w:szCs w:val="24"/>
          <w:spacing w:val="-1"/>
        </w:rPr>
        <w:t>锅炉烟气污</w:t>
      </w:r>
      <w:r>
        <w:rPr>
          <w:rFonts w:ascii="SimSun" w:hAnsi="SimSun" w:eastAsia="SimSun" w:cs="SimSun"/>
          <w:sz w:val="24"/>
          <w:szCs w:val="24"/>
        </w:rPr>
        <w:t xml:space="preserve"> </w:t>
      </w:r>
      <w:r>
        <w:rPr>
          <w:rFonts w:ascii="SimSun" w:hAnsi="SimSun" w:eastAsia="SimSun" w:cs="SimSun"/>
          <w:sz w:val="24"/>
          <w:szCs w:val="24"/>
          <w:spacing w:val="-2"/>
        </w:rPr>
        <w:t>染防治可行技术，针对燃气锅炉提出的氮氧化物防治可行技术包括低氨燃烧技术、</w:t>
      </w:r>
      <w:r>
        <w:rPr>
          <w:rFonts w:ascii="SimSun" w:hAnsi="SimSun" w:eastAsia="SimSun" w:cs="SimSun"/>
          <w:sz w:val="24"/>
          <w:szCs w:val="24"/>
          <w:spacing w:val="6"/>
        </w:rPr>
        <w:t xml:space="preserve"> </w:t>
      </w:r>
      <w:r>
        <w:rPr>
          <w:rFonts w:ascii="SimSun" w:hAnsi="SimSun" w:eastAsia="SimSun" w:cs="SimSun"/>
          <w:sz w:val="24"/>
          <w:szCs w:val="24"/>
        </w:rPr>
        <w:t>低氨燃烧</w:t>
      </w:r>
      <w:r>
        <w:rPr>
          <w:rFonts w:ascii="Times New Roman" w:hAnsi="Times New Roman" w:eastAsia="Times New Roman" w:cs="Times New Roman"/>
          <w:sz w:val="24"/>
          <w:szCs w:val="24"/>
        </w:rPr>
        <w:t>+SCR </w:t>
      </w:r>
      <w:r>
        <w:rPr>
          <w:rFonts w:ascii="SimSun" w:hAnsi="SimSun" w:eastAsia="SimSun" w:cs="SimSun"/>
          <w:sz w:val="24"/>
          <w:szCs w:val="24"/>
        </w:rPr>
        <w:t>脱硝技术，本项目采用低氮燃烧技术，</w:t>
      </w:r>
      <w:r>
        <w:rPr>
          <w:rFonts w:ascii="SimSun" w:hAnsi="SimSun" w:eastAsia="SimSun" w:cs="SimSun"/>
          <w:sz w:val="24"/>
          <w:szCs w:val="24"/>
          <w:spacing w:val="-1"/>
        </w:rPr>
        <w:t>属于其推荐的可行技术。</w:t>
      </w:r>
    </w:p>
    <w:p>
      <w:pPr>
        <w:ind w:left="501"/>
        <w:spacing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）生物质锅炉</w:t>
      </w:r>
    </w:p>
    <w:p>
      <w:pPr>
        <w:ind w:left="12" w:right="78" w:firstLine="478"/>
        <w:spacing w:before="181" w:line="359" w:lineRule="auto"/>
        <w:rPr>
          <w:rFonts w:ascii="SimSun" w:hAnsi="SimSun" w:eastAsia="SimSun" w:cs="SimSun"/>
          <w:sz w:val="24"/>
          <w:szCs w:val="24"/>
        </w:rPr>
      </w:pPr>
      <w:r>
        <w:rPr>
          <w:rFonts w:ascii="SimSun" w:hAnsi="SimSun" w:eastAsia="SimSun" w:cs="SimSun"/>
          <w:sz w:val="24"/>
          <w:szCs w:val="24"/>
          <w:spacing w:val="9"/>
        </w:rPr>
        <w:t>本项目生物质锅炉烟气采用陶瓷多管除尘器</w:t>
      </w:r>
      <w:r>
        <w:rPr>
          <w:rFonts w:ascii="Times New Roman" w:hAnsi="Times New Roman" w:eastAsia="Times New Roman" w:cs="Times New Roman"/>
          <w:sz w:val="24"/>
          <w:szCs w:val="24"/>
          <w:spacing w:val="9"/>
        </w:rPr>
        <w:t>+</w:t>
      </w:r>
      <w:r>
        <w:rPr>
          <w:rFonts w:ascii="SimSun" w:hAnsi="SimSun" w:eastAsia="SimSun" w:cs="SimSun"/>
          <w:sz w:val="24"/>
          <w:szCs w:val="24"/>
          <w:spacing w:val="9"/>
        </w:rPr>
        <w:t>布袋除尘器</w:t>
      </w:r>
      <w:r>
        <w:rPr>
          <w:rFonts w:ascii="Times New Roman" w:hAnsi="Times New Roman" w:eastAsia="Times New Roman" w:cs="Times New Roman"/>
          <w:sz w:val="24"/>
          <w:szCs w:val="24"/>
          <w:spacing w:val="9"/>
        </w:rPr>
        <w:t>+</w:t>
      </w:r>
      <w:r>
        <w:rPr>
          <w:rFonts w:ascii="SimSun" w:hAnsi="SimSun" w:eastAsia="SimSun" w:cs="SimSun"/>
          <w:sz w:val="24"/>
          <w:szCs w:val="24"/>
          <w:spacing w:val="9"/>
        </w:rPr>
        <w:t>水浴除尘进行处</w:t>
      </w:r>
      <w:r>
        <w:rPr>
          <w:rFonts w:ascii="SimSun" w:hAnsi="SimSun" w:eastAsia="SimSun" w:cs="SimSun"/>
          <w:sz w:val="24"/>
          <w:szCs w:val="24"/>
          <w:spacing w:val="4"/>
        </w:rPr>
        <w:t xml:space="preserve"> </w:t>
      </w:r>
      <w:r>
        <w:rPr>
          <w:rFonts w:ascii="SimSun" w:hAnsi="SimSun" w:eastAsia="SimSun" w:cs="SimSun"/>
          <w:sz w:val="24"/>
          <w:szCs w:val="24"/>
          <w:spacing w:val="18"/>
        </w:rPr>
        <w:t>理</w:t>
      </w:r>
      <w:r>
        <w:rPr>
          <w:rFonts w:ascii="SimSun" w:hAnsi="SimSun" w:eastAsia="SimSun" w:cs="SimSun"/>
          <w:sz w:val="24"/>
          <w:szCs w:val="24"/>
          <w:spacing w:val="-67"/>
        </w:rPr>
        <w:t xml:space="preserve"> </w:t>
      </w:r>
      <w:r>
        <w:rPr>
          <w:rFonts w:ascii="SimSun" w:hAnsi="SimSun" w:eastAsia="SimSun" w:cs="SimSun"/>
          <w:sz w:val="24"/>
          <w:szCs w:val="24"/>
          <w:spacing w:val="18"/>
        </w:rPr>
        <w:t>，处理后锅炉烟气中污染物排放满足《锅炉大气</w:t>
      </w:r>
      <w:r>
        <w:rPr>
          <w:rFonts w:ascii="SimSun" w:hAnsi="SimSun" w:eastAsia="SimSun" w:cs="SimSun"/>
          <w:sz w:val="24"/>
          <w:szCs w:val="24"/>
          <w:spacing w:val="17"/>
        </w:rPr>
        <w:t>污染物排放标准》</w:t>
      </w:r>
      <w:r>
        <w:rPr>
          <w:rFonts w:ascii="SimSun" w:hAnsi="SimSun" w:eastAsia="SimSun" w:cs="SimSun"/>
          <w:sz w:val="24"/>
          <w:szCs w:val="24"/>
          <w:spacing w:val="-72"/>
        </w:rPr>
        <w:t xml:space="preserve"> </w:t>
      </w:r>
      <w:r>
        <w:rPr>
          <w:rFonts w:ascii="SimSun" w:hAnsi="SimSun" w:eastAsia="SimSun" w:cs="SimSun"/>
          <w:sz w:val="24"/>
          <w:szCs w:val="24"/>
          <w:spacing w:val="17"/>
        </w:rPr>
        <w:t>（</w:t>
      </w:r>
      <w:r>
        <w:rPr>
          <w:rFonts w:ascii="SimSun" w:hAnsi="SimSun" w:eastAsia="SimSun" w:cs="SimSun"/>
          <w:sz w:val="24"/>
          <w:szCs w:val="24"/>
          <w:spacing w:val="-53"/>
        </w:rPr>
        <w:t xml:space="preserve"> </w:t>
      </w:r>
      <w:r>
        <w:rPr>
          <w:rFonts w:ascii="Times New Roman" w:hAnsi="Times New Roman" w:eastAsia="Times New Roman" w:cs="Times New Roman"/>
          <w:sz w:val="24"/>
          <w:szCs w:val="24"/>
        </w:rPr>
        <w:t>GB </w:t>
      </w:r>
      <w:r>
        <w:rPr>
          <w:rFonts w:ascii="Times New Roman" w:hAnsi="Times New Roman" w:eastAsia="Times New Roman" w:cs="Times New Roman"/>
          <w:sz w:val="24"/>
          <w:szCs w:val="24"/>
          <w:spacing w:val="-1"/>
        </w:rPr>
        <w:t>13271-2014</w:t>
      </w:r>
      <w:r>
        <w:rPr>
          <w:rFonts w:ascii="SimSun" w:hAnsi="SimSun" w:eastAsia="SimSun" w:cs="SimSun"/>
          <w:sz w:val="24"/>
          <w:szCs w:val="24"/>
          <w:spacing w:val="-1"/>
        </w:rPr>
        <w:t>）表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燃煤锅炉标准限值。</w:t>
      </w:r>
    </w:p>
    <w:p>
      <w:pPr>
        <w:ind w:left="8" w:right="78" w:firstLine="494"/>
        <w:spacing w:before="3" w:line="359" w:lineRule="auto"/>
        <w:rPr>
          <w:rFonts w:ascii="SimSun" w:hAnsi="SimSun" w:eastAsia="SimSun" w:cs="SimSun"/>
          <w:sz w:val="24"/>
          <w:szCs w:val="24"/>
        </w:rPr>
      </w:pPr>
      <w:r>
        <w:rPr>
          <w:rFonts w:ascii="SimSun" w:hAnsi="SimSun" w:eastAsia="SimSun" w:cs="SimSun"/>
          <w:sz w:val="24"/>
          <w:szCs w:val="24"/>
          <w:spacing w:val="2"/>
        </w:rPr>
        <w:t>陶瓷多管除尘器属于旋风除尘器，除尘机理是使含尘气流作旋转运动，借助</w:t>
      </w:r>
      <w:r>
        <w:rPr>
          <w:rFonts w:ascii="SimSun" w:hAnsi="SimSun" w:eastAsia="SimSun" w:cs="SimSun"/>
          <w:sz w:val="24"/>
          <w:szCs w:val="24"/>
          <w:spacing w:val="15"/>
        </w:rPr>
        <w:t xml:space="preserve"> </w:t>
      </w:r>
      <w:r>
        <w:rPr>
          <w:rFonts w:ascii="SimSun" w:hAnsi="SimSun" w:eastAsia="SimSun" w:cs="SimSun"/>
          <w:sz w:val="24"/>
          <w:szCs w:val="24"/>
          <w:spacing w:val="3"/>
        </w:rPr>
        <w:t>于离心力将尘粒从气流中分离并捕集于器壁，再借助重力</w:t>
      </w:r>
      <w:r>
        <w:rPr>
          <w:rFonts w:ascii="SimSun" w:hAnsi="SimSun" w:eastAsia="SimSun" w:cs="SimSun"/>
          <w:sz w:val="24"/>
          <w:szCs w:val="24"/>
          <w:spacing w:val="2"/>
        </w:rPr>
        <w:t>作用使尘粒落入灰斗。</w:t>
      </w:r>
      <w:r>
        <w:rPr>
          <w:rFonts w:ascii="SimSun" w:hAnsi="SimSun" w:eastAsia="SimSun" w:cs="SimSun"/>
          <w:sz w:val="24"/>
          <w:szCs w:val="24"/>
        </w:rPr>
        <w:t xml:space="preserve"> </w:t>
      </w:r>
      <w:r>
        <w:rPr>
          <w:rFonts w:ascii="SimSun" w:hAnsi="SimSun" w:eastAsia="SimSun" w:cs="SimSun"/>
          <w:sz w:val="24"/>
          <w:szCs w:val="24"/>
          <w:spacing w:val="3"/>
        </w:rPr>
        <w:t>广泛用于从气流中分离固体和液体粒子，或从液体中分离</w:t>
      </w:r>
      <w:r>
        <w:rPr>
          <w:rFonts w:ascii="SimSun" w:hAnsi="SimSun" w:eastAsia="SimSun" w:cs="SimSun"/>
          <w:sz w:val="24"/>
          <w:szCs w:val="24"/>
          <w:spacing w:val="2"/>
        </w:rPr>
        <w:t>固体粒子。在普通操作</w:t>
      </w:r>
      <w:r>
        <w:rPr>
          <w:rFonts w:ascii="SimSun" w:hAnsi="SimSun" w:eastAsia="SimSun" w:cs="SimSun"/>
          <w:sz w:val="24"/>
          <w:szCs w:val="24"/>
        </w:rPr>
        <w:t xml:space="preserve"> </w:t>
      </w:r>
      <w:r>
        <w:rPr>
          <w:rFonts w:ascii="SimSun" w:hAnsi="SimSun" w:eastAsia="SimSun" w:cs="SimSun"/>
          <w:sz w:val="24"/>
          <w:szCs w:val="24"/>
          <w:spacing w:val="-1"/>
        </w:rPr>
        <w:t>条件下，作用于粒子上的离心力是重力的</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5~2500 </w:t>
      </w:r>
      <w:r>
        <w:rPr>
          <w:rFonts w:ascii="SimSun" w:hAnsi="SimSun" w:eastAsia="SimSun" w:cs="SimSun"/>
          <w:sz w:val="24"/>
          <w:szCs w:val="24"/>
          <w:spacing w:val="-1"/>
        </w:rPr>
        <w:t>倍，所以旋</w:t>
      </w:r>
      <w:r>
        <w:rPr>
          <w:rFonts w:ascii="SimSun" w:hAnsi="SimSun" w:eastAsia="SimSun" w:cs="SimSun"/>
          <w:sz w:val="24"/>
          <w:szCs w:val="24"/>
          <w:spacing w:val="-2"/>
        </w:rPr>
        <w:t>风除尘器的效率显著</w:t>
      </w:r>
      <w:r>
        <w:rPr>
          <w:rFonts w:ascii="SimSun" w:hAnsi="SimSun" w:eastAsia="SimSun" w:cs="SimSun"/>
          <w:sz w:val="24"/>
          <w:szCs w:val="24"/>
        </w:rPr>
        <w:t xml:space="preserve"> </w:t>
      </w:r>
      <w:r>
        <w:rPr>
          <w:rFonts w:ascii="SimSun" w:hAnsi="SimSun" w:eastAsia="SimSun" w:cs="SimSun"/>
          <w:sz w:val="24"/>
          <w:szCs w:val="24"/>
          <w:spacing w:val="2"/>
        </w:rPr>
        <w:t>高于重力沉降室。除尘效率为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90%</w:t>
      </w:r>
      <w:r>
        <w:rPr>
          <w:rFonts w:ascii="SimSun" w:hAnsi="SimSun" w:eastAsia="SimSun" w:cs="SimSun"/>
          <w:sz w:val="24"/>
          <w:szCs w:val="24"/>
          <w:spacing w:val="2"/>
        </w:rPr>
        <w:t>以上。在机械式除尘器中，</w:t>
      </w:r>
      <w:r>
        <w:rPr>
          <w:rFonts w:ascii="SimSun" w:hAnsi="SimSun" w:eastAsia="SimSun" w:cs="SimSun"/>
          <w:sz w:val="24"/>
          <w:szCs w:val="24"/>
          <w:spacing w:val="1"/>
        </w:rPr>
        <w:t>旋风式除尘器是效</w:t>
      </w:r>
      <w:r>
        <w:rPr>
          <w:rFonts w:ascii="SimSun" w:hAnsi="SimSun" w:eastAsia="SimSun" w:cs="SimSun"/>
          <w:sz w:val="24"/>
          <w:szCs w:val="24"/>
        </w:rPr>
        <w:t xml:space="preserve"> </w:t>
      </w:r>
      <w:r>
        <w:rPr>
          <w:rFonts w:ascii="SimSun" w:hAnsi="SimSun" w:eastAsia="SimSun" w:cs="SimSun"/>
          <w:sz w:val="24"/>
          <w:szCs w:val="24"/>
          <w:spacing w:val="3"/>
        </w:rPr>
        <w:t>率最高的一种。旋风除尘器是由进气管、排气管、圆筒体</w:t>
      </w:r>
      <w:r>
        <w:rPr>
          <w:rFonts w:ascii="SimSun" w:hAnsi="SimSun" w:eastAsia="SimSun" w:cs="SimSun"/>
          <w:sz w:val="24"/>
          <w:szCs w:val="24"/>
          <w:spacing w:val="2"/>
        </w:rPr>
        <w:t>、圆锥体和灰斗组成，</w:t>
      </w:r>
      <w:r>
        <w:rPr>
          <w:rFonts w:ascii="SimSun" w:hAnsi="SimSun" w:eastAsia="SimSun" w:cs="SimSun"/>
          <w:sz w:val="24"/>
          <w:szCs w:val="24"/>
        </w:rPr>
        <w:t xml:space="preserve"> </w:t>
      </w:r>
      <w:r>
        <w:rPr>
          <w:rFonts w:ascii="SimSun" w:hAnsi="SimSun" w:eastAsia="SimSun" w:cs="SimSun"/>
          <w:sz w:val="24"/>
          <w:szCs w:val="24"/>
          <w:spacing w:val="-1"/>
        </w:rPr>
        <w:t>除尘效率在</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1"/>
        </w:rPr>
        <w:t>70%~85%</w:t>
      </w:r>
      <w:r>
        <w:rPr>
          <w:rFonts w:ascii="SimSun" w:hAnsi="SimSun" w:eastAsia="SimSun" w:cs="SimSun"/>
          <w:sz w:val="24"/>
          <w:szCs w:val="24"/>
          <w:spacing w:val="-1"/>
        </w:rPr>
        <w:t>之间。旋风除尘器适合去除粒径较大的颗粒物，同时可以给</w:t>
      </w:r>
      <w:r>
        <w:rPr>
          <w:rFonts w:ascii="SimSun" w:hAnsi="SimSun" w:eastAsia="SimSun" w:cs="SimSun"/>
          <w:sz w:val="24"/>
          <w:szCs w:val="24"/>
        </w:rPr>
        <w:t xml:space="preserve"> </w:t>
      </w:r>
      <w:r>
        <w:rPr>
          <w:rFonts w:ascii="SimSun" w:hAnsi="SimSun" w:eastAsia="SimSun" w:cs="SimSun"/>
          <w:sz w:val="24"/>
          <w:szCs w:val="24"/>
          <w:spacing w:val="-1"/>
        </w:rPr>
        <w:t>废气进行降温，适宜作为预除尘设施。</w:t>
      </w:r>
    </w:p>
    <w:p>
      <w:pPr>
        <w:ind w:left="9" w:right="18" w:firstLine="494"/>
        <w:spacing w:before="3" w:line="358" w:lineRule="auto"/>
        <w:jc w:val="both"/>
        <w:rPr>
          <w:rFonts w:ascii="SimSun" w:hAnsi="SimSun" w:eastAsia="SimSun" w:cs="SimSun"/>
          <w:sz w:val="24"/>
          <w:szCs w:val="24"/>
        </w:rPr>
      </w:pPr>
      <w:r>
        <w:rPr>
          <w:rFonts w:ascii="SimSun" w:hAnsi="SimSun" w:eastAsia="SimSun" w:cs="SimSun"/>
          <w:sz w:val="24"/>
          <w:szCs w:val="24"/>
          <w:spacing w:val="1"/>
        </w:rPr>
        <w:t>除尘采用布袋除尘器进行处理，处理效率可以达到</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1"/>
        </w:rPr>
        <w:t>99%</w:t>
      </w:r>
      <w:r>
        <w:rPr>
          <w:rFonts w:ascii="SimSun" w:hAnsi="SimSun" w:eastAsia="SimSun" w:cs="SimSun"/>
          <w:sz w:val="24"/>
          <w:szCs w:val="24"/>
          <w:spacing w:val="1"/>
        </w:rPr>
        <w:t>以上；生物质锅炉烟</w:t>
      </w:r>
      <w:r>
        <w:rPr>
          <w:rFonts w:ascii="SimSun" w:hAnsi="SimSun" w:eastAsia="SimSun" w:cs="SimSun"/>
          <w:sz w:val="24"/>
          <w:szCs w:val="24"/>
        </w:rPr>
        <w:t xml:space="preserve"> </w:t>
      </w:r>
      <w:r>
        <w:rPr>
          <w:rFonts w:ascii="SimSun" w:hAnsi="SimSun" w:eastAsia="SimSun" w:cs="SimSun"/>
          <w:sz w:val="24"/>
          <w:szCs w:val="24"/>
          <w:spacing w:val="-2"/>
        </w:rPr>
        <w:t>气采陶瓷多管除尘器</w:t>
      </w:r>
      <w:r>
        <w:rPr>
          <w:rFonts w:ascii="Times New Roman" w:hAnsi="Times New Roman" w:eastAsia="Times New Roman" w:cs="Times New Roman"/>
          <w:sz w:val="24"/>
          <w:szCs w:val="24"/>
          <w:spacing w:val="-2"/>
        </w:rPr>
        <w:t>+</w:t>
      </w:r>
      <w:r>
        <w:rPr>
          <w:rFonts w:ascii="SimSun" w:hAnsi="SimSun" w:eastAsia="SimSun" w:cs="SimSun"/>
          <w:sz w:val="24"/>
          <w:szCs w:val="24"/>
          <w:spacing w:val="-2"/>
        </w:rPr>
        <w:t>布袋除尘器</w:t>
      </w:r>
      <w:r>
        <w:rPr>
          <w:rFonts w:ascii="Times New Roman" w:hAnsi="Times New Roman" w:eastAsia="Times New Roman" w:cs="Times New Roman"/>
          <w:sz w:val="24"/>
          <w:szCs w:val="24"/>
          <w:spacing w:val="-2"/>
        </w:rPr>
        <w:t>+</w:t>
      </w:r>
      <w:r>
        <w:rPr>
          <w:rFonts w:ascii="SimSun" w:hAnsi="SimSun" w:eastAsia="SimSun" w:cs="SimSun"/>
          <w:sz w:val="24"/>
          <w:szCs w:val="24"/>
          <w:spacing w:val="-2"/>
        </w:rPr>
        <w:t>水浴除尘处理，可确保除尘效率达到</w:t>
      </w:r>
      <w:r>
        <w:rPr>
          <w:rFonts w:ascii="Times New Roman" w:hAnsi="Times New Roman" w:eastAsia="Times New Roman" w:cs="Times New Roman"/>
          <w:sz w:val="24"/>
          <w:szCs w:val="24"/>
          <w:spacing w:val="-2"/>
        </w:rPr>
        <w:t>99%</w:t>
      </w:r>
      <w:r>
        <w:rPr>
          <w:rFonts w:ascii="SimSun" w:hAnsi="SimSun" w:eastAsia="SimSun" w:cs="SimSun"/>
          <w:sz w:val="24"/>
          <w:szCs w:val="24"/>
          <w:spacing w:val="-2"/>
        </w:rPr>
        <w:t>以上，</w:t>
      </w:r>
      <w:r>
        <w:rPr>
          <w:rFonts w:ascii="SimSun" w:hAnsi="SimSun" w:eastAsia="SimSun" w:cs="SimSun"/>
          <w:sz w:val="24"/>
          <w:szCs w:val="24"/>
        </w:rPr>
        <w:t xml:space="preserve"> </w:t>
      </w:r>
      <w:r>
        <w:rPr>
          <w:rFonts w:ascii="SimSun" w:hAnsi="SimSun" w:eastAsia="SimSun" w:cs="SimSun"/>
          <w:sz w:val="24"/>
          <w:szCs w:val="24"/>
          <w:spacing w:val="-2"/>
        </w:rPr>
        <w:t>措施可行。</w:t>
      </w:r>
    </w:p>
    <w:p>
      <w:pPr>
        <w:ind w:left="11" w:right="80" w:firstLine="478"/>
        <w:spacing w:before="2" w:line="360" w:lineRule="auto"/>
        <w:jc w:val="both"/>
        <w:rPr>
          <w:rFonts w:ascii="SimSun" w:hAnsi="SimSun" w:eastAsia="SimSun" w:cs="SimSun"/>
          <w:sz w:val="24"/>
          <w:szCs w:val="24"/>
        </w:rPr>
      </w:pPr>
      <w:r>
        <w:rPr>
          <w:rFonts w:ascii="SimSun" w:hAnsi="SimSun" w:eastAsia="SimSun" w:cs="SimSun"/>
          <w:sz w:val="24"/>
          <w:szCs w:val="24"/>
        </w:rPr>
        <w:t>根据《排污许可证申请与核发技术规范 锅炉》（</w:t>
      </w:r>
      <w:r>
        <w:rPr>
          <w:rFonts w:ascii="Times New Roman" w:hAnsi="Times New Roman" w:eastAsia="Times New Roman" w:cs="Times New Roman"/>
          <w:sz w:val="24"/>
          <w:szCs w:val="24"/>
        </w:rPr>
        <w:t>HJ9</w:t>
      </w:r>
      <w:r>
        <w:rPr>
          <w:rFonts w:ascii="Times New Roman" w:hAnsi="Times New Roman" w:eastAsia="Times New Roman" w:cs="Times New Roman"/>
          <w:sz w:val="24"/>
          <w:szCs w:val="24"/>
          <w:spacing w:val="-1"/>
        </w:rPr>
        <w:t>53-2018</w:t>
      </w:r>
      <w:r>
        <w:rPr>
          <w:rFonts w:ascii="SimSun" w:hAnsi="SimSun" w:eastAsia="SimSun" w:cs="SimSun"/>
          <w:sz w:val="24"/>
          <w:szCs w:val="24"/>
          <w:spacing w:val="-1"/>
        </w:rPr>
        <w:t>）、《工业锅炉</w:t>
      </w:r>
      <w:r>
        <w:rPr>
          <w:rFonts w:ascii="SimSun" w:hAnsi="SimSun" w:eastAsia="SimSun" w:cs="SimSun"/>
          <w:sz w:val="24"/>
          <w:szCs w:val="24"/>
        </w:rPr>
        <w:t xml:space="preserve"> </w:t>
      </w:r>
      <w:r>
        <w:rPr>
          <w:rFonts w:ascii="SimSun" w:hAnsi="SimSun" w:eastAsia="SimSun" w:cs="SimSun"/>
          <w:sz w:val="24"/>
          <w:szCs w:val="24"/>
          <w:spacing w:val="-1"/>
        </w:rPr>
        <w:t>污染防治可行技术指南》（</w:t>
      </w:r>
      <w:r>
        <w:rPr>
          <w:rFonts w:ascii="Times New Roman" w:hAnsi="Times New Roman" w:eastAsia="Times New Roman" w:cs="Times New Roman"/>
          <w:sz w:val="24"/>
          <w:szCs w:val="24"/>
          <w:spacing w:val="-1"/>
        </w:rPr>
        <w:t>HJ1178-2021</w:t>
      </w:r>
      <w:r>
        <w:rPr>
          <w:rFonts w:ascii="SimSun" w:hAnsi="SimSun" w:eastAsia="SimSun" w:cs="SimSun"/>
          <w:sz w:val="24"/>
          <w:szCs w:val="24"/>
          <w:spacing w:val="11"/>
        </w:rPr>
        <w:t>），</w:t>
      </w:r>
      <w:r>
        <w:rPr>
          <w:rFonts w:ascii="SimSun" w:hAnsi="SimSun" w:eastAsia="SimSun" w:cs="SimSun"/>
          <w:sz w:val="24"/>
          <w:szCs w:val="24"/>
          <w:spacing w:val="-1"/>
        </w:rPr>
        <w:t>本项目生物质锅炉废气污染防治措施</w:t>
      </w:r>
      <w:r>
        <w:rPr>
          <w:rFonts w:ascii="SimSun" w:hAnsi="SimSun" w:eastAsia="SimSun" w:cs="SimSun"/>
          <w:sz w:val="24"/>
          <w:szCs w:val="24"/>
          <w:spacing w:val="1"/>
        </w:rPr>
        <w:t xml:space="preserve"> </w:t>
      </w:r>
      <w:r>
        <w:rPr>
          <w:rFonts w:ascii="SimSun" w:hAnsi="SimSun" w:eastAsia="SimSun" w:cs="SimSun"/>
          <w:sz w:val="24"/>
          <w:szCs w:val="24"/>
          <w:spacing w:val="-2"/>
        </w:rPr>
        <w:t>可行性分析见下表：</w:t>
      </w:r>
    </w:p>
    <w:p>
      <w:pPr>
        <w:spacing w:line="360" w:lineRule="auto"/>
        <w:sectPr>
          <w:headerReference w:type="default" r:id="rId11"/>
          <w:footerReference w:type="default" r:id="rId356"/>
          <w:pgSz w:w="11907" w:h="16840"/>
          <w:pgMar w:top="1567" w:right="1621" w:bottom="1921" w:left="1701" w:header="1221" w:footer="1247" w:gutter="0"/>
        </w:sectPr>
        <w:rPr>
          <w:rFonts w:ascii="SimSun" w:hAnsi="SimSun" w:eastAsia="SimSun" w:cs="SimSun"/>
          <w:sz w:val="24"/>
          <w:szCs w:val="24"/>
        </w:rPr>
      </w:pPr>
    </w:p>
    <w:p>
      <w:pPr>
        <w:pStyle w:val="BodyText"/>
        <w:spacing w:line="266" w:lineRule="auto"/>
        <w:rPr/>
      </w:pPr>
      <w:r>
        <w:pict>
          <v:shape id="_x0000_s1204" style="position:absolute;margin-left:5.59pt;margin-top:0.723572pt;mso-position-vertical-relative:text;mso-position-horizontal-relative:text;width:425.25pt;height:0.75pt;z-index:252295168;" fillcolor="#000000" filled="true" stroked="false" coordsize="8505,15" coordorigin="0,0" path="m,l8505,0l8505,14l0,14l0,0xe"/>
        </w:pict>
      </w:r>
      <w:r/>
    </w:p>
    <w:p>
      <w:pPr>
        <w:ind w:left="1863"/>
        <w:spacing w:before="78" w:line="220"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7.1-2      </w:t>
      </w:r>
      <w:r>
        <w:rPr>
          <w:rFonts w:ascii="SimSun" w:hAnsi="SimSun" w:eastAsia="SimSun" w:cs="SimSun"/>
          <w:sz w:val="24"/>
          <w:szCs w:val="24"/>
          <w:b/>
          <w:bCs/>
          <w:spacing w:val="-2"/>
        </w:rPr>
        <w:t>生物质锅炉废气治理措施可行性分析</w:t>
      </w:r>
    </w:p>
    <w:p>
      <w:pPr>
        <w:spacing w:line="18" w:lineRule="exact"/>
        <w:rPr/>
      </w:pPr>
      <w:r/>
    </w:p>
    <w:tbl>
      <w:tblPr>
        <w:tblStyle w:val="TableNormal"/>
        <w:tblW w:w="872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6"/>
        <w:gridCol w:w="896"/>
        <w:gridCol w:w="3043"/>
        <w:gridCol w:w="1974"/>
        <w:gridCol w:w="1261"/>
        <w:gridCol w:w="602"/>
      </w:tblGrid>
      <w:tr>
        <w:trPr>
          <w:trHeight w:val="1371" w:hRule="atLeast"/>
        </w:trPr>
        <w:tc>
          <w:tcPr>
            <w:tcW w:w="1842" w:type="dxa"/>
            <w:vAlign w:val="top"/>
            <w:gridSpan w:val="2"/>
          </w:tcPr>
          <w:p>
            <w:pPr>
              <w:spacing w:line="256" w:lineRule="auto"/>
              <w:rPr>
                <w:rFonts w:ascii="Arial"/>
                <w:sz w:val="21"/>
              </w:rPr>
            </w:pPr>
            <w:r/>
          </w:p>
          <w:p>
            <w:pPr>
              <w:spacing w:line="256" w:lineRule="auto"/>
              <w:rPr>
                <w:rFonts w:ascii="Arial"/>
                <w:sz w:val="21"/>
              </w:rPr>
            </w:pPr>
            <w:r/>
          </w:p>
          <w:p>
            <w:pPr>
              <w:pStyle w:val="TableText"/>
              <w:ind w:left="374"/>
              <w:spacing w:before="65" w:line="228" w:lineRule="auto"/>
              <w:rPr/>
            </w:pPr>
            <w:r>
              <w:rPr>
                <w:spacing w:val="6"/>
              </w:rPr>
              <w:t>污染物</w:t>
            </w:r>
            <w:r>
              <w:rPr>
                <w:rFonts w:ascii="Times New Roman" w:hAnsi="Times New Roman" w:eastAsia="Times New Roman" w:cs="Times New Roman"/>
                <w:spacing w:val="6"/>
              </w:rPr>
              <w:t>/</w:t>
            </w:r>
            <w:r>
              <w:rPr>
                <w:spacing w:val="6"/>
              </w:rPr>
              <w:t>类型</w:t>
            </w:r>
          </w:p>
        </w:tc>
        <w:tc>
          <w:tcPr>
            <w:tcW w:w="3043" w:type="dxa"/>
            <w:vAlign w:val="top"/>
          </w:tcPr>
          <w:p>
            <w:pPr>
              <w:rPr>
                <w:rFonts w:ascii="Arial"/>
                <w:sz w:val="21"/>
              </w:rPr>
            </w:pPr>
            <w:r/>
          </w:p>
          <w:p>
            <w:pPr>
              <w:pStyle w:val="TableText"/>
              <w:ind w:left="165"/>
              <w:spacing w:before="65" w:line="227" w:lineRule="auto"/>
              <w:rPr/>
            </w:pPr>
            <w:r>
              <w:rPr>
                <w:spacing w:val="8"/>
              </w:rPr>
              <w:t>《排污许可证申请与核发技术</w:t>
            </w:r>
          </w:p>
          <w:p>
            <w:pPr>
              <w:pStyle w:val="TableText"/>
              <w:ind w:left="151"/>
              <w:spacing w:before="25" w:line="221" w:lineRule="auto"/>
              <w:rPr/>
            </w:pPr>
            <w:r>
              <w:rPr>
                <w:spacing w:val="6"/>
              </w:rPr>
              <w:t>规范 锅炉》</w:t>
            </w:r>
            <w:r>
              <w:rPr>
                <w:rFonts w:ascii="Times New Roman" w:hAnsi="Times New Roman" w:eastAsia="Times New Roman" w:cs="Times New Roman"/>
                <w:spacing w:val="6"/>
              </w:rPr>
              <w:t>(</w:t>
            </w:r>
            <w:r>
              <w:rPr>
                <w:rFonts w:ascii="Times New Roman" w:hAnsi="Times New Roman" w:eastAsia="Times New Roman" w:cs="Times New Roman"/>
              </w:rPr>
              <w:t>HJ</w:t>
            </w:r>
            <w:r>
              <w:rPr>
                <w:rFonts w:ascii="Times New Roman" w:hAnsi="Times New Roman" w:eastAsia="Times New Roman" w:cs="Times New Roman"/>
                <w:spacing w:val="6"/>
              </w:rPr>
              <w:t>953-2018)</w:t>
            </w:r>
            <w:r>
              <w:rPr>
                <w:spacing w:val="6"/>
              </w:rPr>
              <w:t>中生</w:t>
            </w:r>
          </w:p>
          <w:p>
            <w:pPr>
              <w:pStyle w:val="TableText"/>
              <w:ind w:left="685"/>
              <w:spacing w:before="33" w:line="228" w:lineRule="auto"/>
              <w:rPr/>
            </w:pPr>
            <w:r>
              <w:rPr>
                <w:spacing w:val="8"/>
              </w:rPr>
              <w:t>物质锅炉可行技术</w:t>
            </w:r>
          </w:p>
        </w:tc>
        <w:tc>
          <w:tcPr>
            <w:tcW w:w="1974" w:type="dxa"/>
            <w:vAlign w:val="top"/>
          </w:tcPr>
          <w:p>
            <w:pPr>
              <w:pStyle w:val="TableText"/>
              <w:ind w:left="158"/>
              <w:spacing w:before="36" w:line="228" w:lineRule="auto"/>
              <w:rPr/>
            </w:pPr>
            <w:r>
              <w:rPr>
                <w:spacing w:val="8"/>
              </w:rPr>
              <w:t>《工业锅炉污染防</w:t>
            </w:r>
          </w:p>
          <w:p>
            <w:pPr>
              <w:pStyle w:val="TableText"/>
              <w:ind w:left="157"/>
              <w:spacing w:before="25" w:line="228" w:lineRule="auto"/>
              <w:rPr/>
            </w:pPr>
            <w:r>
              <w:rPr>
                <w:spacing w:val="6"/>
              </w:rPr>
              <w:t>治可行技术指南》</w:t>
            </w:r>
          </w:p>
          <w:p>
            <w:pPr>
              <w:pStyle w:val="TableText"/>
              <w:ind w:left="124"/>
              <w:spacing w:before="24" w:line="228" w:lineRule="auto"/>
              <w:rPr/>
            </w:pPr>
            <w:r>
              <w:rPr>
                <w:spacing w:val="5"/>
              </w:rPr>
              <w:t>（</w:t>
            </w:r>
            <w:r>
              <w:rPr>
                <w:rFonts w:ascii="Times New Roman" w:hAnsi="Times New Roman" w:eastAsia="Times New Roman" w:cs="Times New Roman"/>
              </w:rPr>
              <w:t>HJ</w:t>
            </w:r>
            <w:r>
              <w:rPr>
                <w:rFonts w:ascii="Times New Roman" w:hAnsi="Times New Roman" w:eastAsia="Times New Roman" w:cs="Times New Roman"/>
                <w:spacing w:val="5"/>
              </w:rPr>
              <w:t>1178-2021</w:t>
            </w:r>
            <w:r>
              <w:rPr>
                <w:spacing w:val="5"/>
              </w:rPr>
              <w:t>）中</w:t>
            </w:r>
          </w:p>
          <w:p>
            <w:pPr>
              <w:pStyle w:val="TableText"/>
              <w:ind w:left="154"/>
              <w:spacing w:before="26" w:line="228" w:lineRule="auto"/>
              <w:rPr/>
            </w:pPr>
            <w:r>
              <w:rPr>
                <w:spacing w:val="8"/>
              </w:rPr>
              <w:t>生物质锅炉可行技</w:t>
            </w:r>
          </w:p>
          <w:p>
            <w:pPr>
              <w:pStyle w:val="TableText"/>
              <w:ind w:left="889"/>
              <w:spacing w:before="24" w:line="217" w:lineRule="auto"/>
              <w:rPr/>
            </w:pPr>
            <w:r>
              <w:rPr/>
              <w:t>术</w:t>
            </w:r>
          </w:p>
        </w:tc>
        <w:tc>
          <w:tcPr>
            <w:tcW w:w="1261" w:type="dxa"/>
            <w:vAlign w:val="top"/>
          </w:tcPr>
          <w:p>
            <w:pPr>
              <w:spacing w:line="377" w:lineRule="auto"/>
              <w:rPr>
                <w:rFonts w:ascii="Arial"/>
                <w:sz w:val="21"/>
              </w:rPr>
            </w:pPr>
            <w:r/>
          </w:p>
          <w:p>
            <w:pPr>
              <w:pStyle w:val="TableText"/>
              <w:ind w:left="323" w:right="207" w:hanging="104"/>
              <w:spacing w:before="65" w:line="254" w:lineRule="auto"/>
              <w:rPr/>
            </w:pPr>
            <w:r>
              <w:rPr>
                <w:spacing w:val="7"/>
              </w:rPr>
              <w:t>本项目治</w:t>
            </w:r>
            <w:r>
              <w:rPr/>
              <w:t xml:space="preserve"> </w:t>
            </w:r>
            <w:r>
              <w:rPr>
                <w:spacing w:val="6"/>
              </w:rPr>
              <w:t>理措施</w:t>
            </w:r>
          </w:p>
        </w:tc>
        <w:tc>
          <w:tcPr>
            <w:tcW w:w="602" w:type="dxa"/>
            <w:vAlign w:val="top"/>
            <w:textDirection w:val="tbRlV"/>
          </w:tcPr>
          <w:p>
            <w:pPr>
              <w:pStyle w:val="TableText"/>
              <w:ind w:left="307"/>
              <w:spacing w:before="194" w:line="215" w:lineRule="auto"/>
              <w:rPr/>
            </w:pPr>
            <w:r>
              <w:rPr>
                <w:spacing w:val="8"/>
              </w:rPr>
              <w:t>符</w:t>
            </w:r>
            <w:r>
              <w:rPr>
                <w:spacing w:val="-37"/>
              </w:rPr>
              <w:t xml:space="preserve"> </w:t>
            </w:r>
            <w:r>
              <w:rPr>
                <w:spacing w:val="8"/>
              </w:rPr>
              <w:t>合</w:t>
            </w:r>
            <w:r>
              <w:rPr>
                <w:spacing w:val="-35"/>
              </w:rPr>
              <w:t xml:space="preserve"> </w:t>
            </w:r>
            <w:r>
              <w:rPr>
                <w:spacing w:val="8"/>
              </w:rPr>
              <w:t>性</w:t>
            </w:r>
          </w:p>
        </w:tc>
      </w:tr>
      <w:tr>
        <w:trPr>
          <w:trHeight w:val="548" w:hRule="atLeast"/>
        </w:trPr>
        <w:tc>
          <w:tcPr>
            <w:tcW w:w="946" w:type="dxa"/>
            <w:vAlign w:val="top"/>
          </w:tcPr>
          <w:p>
            <w:pPr>
              <w:pStyle w:val="TableText"/>
              <w:ind w:left="373" w:right="156" w:hanging="207"/>
              <w:spacing w:before="31" w:line="234" w:lineRule="auto"/>
              <w:rPr/>
            </w:pPr>
            <w:r>
              <w:rPr>
                <w:spacing w:val="5"/>
              </w:rPr>
              <w:t>二氧化</w:t>
            </w:r>
            <w:r>
              <w:rPr>
                <w:spacing w:val="1"/>
              </w:rPr>
              <w:t xml:space="preserve"> </w:t>
            </w:r>
            <w:r>
              <w:rPr>
                <w:spacing w:val="1"/>
              </w:rPr>
              <w:t>硫</w:t>
            </w:r>
          </w:p>
        </w:tc>
        <w:tc>
          <w:tcPr>
            <w:tcW w:w="896" w:type="dxa"/>
            <w:vAlign w:val="top"/>
          </w:tcPr>
          <w:p>
            <w:pPr>
              <w:pStyle w:val="TableText"/>
              <w:ind w:left="140"/>
              <w:spacing w:before="30" w:line="229" w:lineRule="auto"/>
              <w:rPr/>
            </w:pPr>
            <w:r>
              <w:rPr>
                <w:spacing w:val="5"/>
              </w:rPr>
              <w:t>一般地</w:t>
            </w:r>
          </w:p>
          <w:p>
            <w:pPr>
              <w:pStyle w:val="TableText"/>
              <w:ind w:left="363"/>
              <w:spacing w:before="25" w:line="216" w:lineRule="auto"/>
              <w:rPr/>
            </w:pPr>
            <w:r>
              <w:rPr/>
              <w:t>区</w:t>
            </w:r>
          </w:p>
        </w:tc>
        <w:tc>
          <w:tcPr>
            <w:tcW w:w="3043" w:type="dxa"/>
            <w:vAlign w:val="top"/>
          </w:tcPr>
          <w:p>
            <w:pPr>
              <w:ind w:left="1488"/>
              <w:spacing w:before="199"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974" w:type="dxa"/>
            <w:vAlign w:val="top"/>
          </w:tcPr>
          <w:p>
            <w:pPr>
              <w:ind w:left="956"/>
              <w:spacing w:before="199"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261" w:type="dxa"/>
            <w:vAlign w:val="top"/>
          </w:tcPr>
          <w:p>
            <w:pPr>
              <w:ind w:left="599"/>
              <w:spacing w:before="199"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602" w:type="dxa"/>
            <w:vAlign w:val="top"/>
            <w:textDirection w:val="tbRlV"/>
          </w:tcPr>
          <w:p>
            <w:pPr>
              <w:pStyle w:val="TableText"/>
              <w:ind w:left="30"/>
              <w:spacing w:before="194" w:line="215" w:lineRule="auto"/>
              <w:rPr/>
            </w:pPr>
            <w:r>
              <w:rPr>
                <w:spacing w:val="8"/>
              </w:rPr>
              <w:t>符</w:t>
            </w:r>
            <w:r>
              <w:rPr>
                <w:spacing w:val="-35"/>
              </w:rPr>
              <w:t xml:space="preserve"> </w:t>
            </w:r>
            <w:r>
              <w:rPr>
                <w:spacing w:val="8"/>
              </w:rPr>
              <w:t>合</w:t>
            </w:r>
          </w:p>
        </w:tc>
      </w:tr>
      <w:tr>
        <w:trPr>
          <w:trHeight w:val="1637" w:hRule="atLeast"/>
        </w:trPr>
        <w:tc>
          <w:tcPr>
            <w:tcW w:w="946" w:type="dxa"/>
            <w:vAlign w:val="top"/>
          </w:tcPr>
          <w:p>
            <w:pPr>
              <w:spacing w:line="254" w:lineRule="auto"/>
              <w:rPr>
                <w:rFonts w:ascii="Arial"/>
                <w:sz w:val="21"/>
              </w:rPr>
            </w:pPr>
            <w:r/>
          </w:p>
          <w:p>
            <w:pPr>
              <w:spacing w:line="254" w:lineRule="auto"/>
              <w:rPr>
                <w:rFonts w:ascii="Arial"/>
                <w:sz w:val="21"/>
              </w:rPr>
            </w:pPr>
            <w:r/>
          </w:p>
          <w:p>
            <w:pPr>
              <w:pStyle w:val="TableText"/>
              <w:ind w:left="161"/>
              <w:spacing w:before="65" w:line="224" w:lineRule="auto"/>
              <w:rPr/>
            </w:pPr>
            <w:r>
              <w:rPr>
                <w:spacing w:val="7"/>
              </w:rPr>
              <w:t>氮氧化</w:t>
            </w:r>
          </w:p>
          <w:p>
            <w:pPr>
              <w:pStyle w:val="TableText"/>
              <w:ind w:left="374"/>
              <w:spacing w:before="30" w:line="229" w:lineRule="auto"/>
              <w:rPr/>
            </w:pPr>
            <w:r>
              <w:rPr/>
              <w:t>物</w:t>
            </w:r>
          </w:p>
        </w:tc>
        <w:tc>
          <w:tcPr>
            <w:tcW w:w="896" w:type="dxa"/>
            <w:vAlign w:val="top"/>
          </w:tcPr>
          <w:p>
            <w:pPr>
              <w:spacing w:line="254" w:lineRule="auto"/>
              <w:rPr>
                <w:rFonts w:ascii="Arial"/>
                <w:sz w:val="21"/>
              </w:rPr>
            </w:pPr>
            <w:r/>
          </w:p>
          <w:p>
            <w:pPr>
              <w:spacing w:line="254" w:lineRule="auto"/>
              <w:rPr>
                <w:rFonts w:ascii="Arial"/>
                <w:sz w:val="21"/>
              </w:rPr>
            </w:pPr>
            <w:r/>
          </w:p>
          <w:p>
            <w:pPr>
              <w:pStyle w:val="TableText"/>
              <w:ind w:left="140"/>
              <w:spacing w:before="65" w:line="229" w:lineRule="auto"/>
              <w:rPr/>
            </w:pPr>
            <w:r>
              <w:rPr>
                <w:spacing w:val="5"/>
              </w:rPr>
              <w:t>一般地</w:t>
            </w:r>
          </w:p>
          <w:p>
            <w:pPr>
              <w:pStyle w:val="TableText"/>
              <w:ind w:left="363"/>
              <w:spacing w:before="25" w:line="233" w:lineRule="auto"/>
              <w:rPr/>
            </w:pPr>
            <w:r>
              <w:rPr/>
              <w:t>区</w:t>
            </w:r>
          </w:p>
        </w:tc>
        <w:tc>
          <w:tcPr>
            <w:tcW w:w="3043" w:type="dxa"/>
            <w:vAlign w:val="top"/>
          </w:tcPr>
          <w:p>
            <w:pPr>
              <w:pStyle w:val="TableText"/>
              <w:ind w:left="215" w:right="217" w:firstLine="154"/>
              <w:spacing w:before="33" w:line="250" w:lineRule="auto"/>
              <w:rPr/>
            </w:pPr>
            <w:r>
              <w:rPr>
                <w:spacing w:val="9"/>
              </w:rPr>
              <w:t>低氮燃烧技术、低氮燃烧</w:t>
            </w:r>
            <w:r>
              <w:rPr/>
              <w:t xml:space="preserve">  </w:t>
            </w:r>
            <w:r>
              <w:rPr>
                <w:rFonts w:ascii="Times New Roman" w:hAnsi="Times New Roman" w:eastAsia="Times New Roman" w:cs="Times New Roman"/>
                <w:spacing w:val="10"/>
              </w:rPr>
              <w:t>+</w:t>
            </w:r>
            <w:r>
              <w:rPr>
                <w:rFonts w:ascii="Times New Roman" w:hAnsi="Times New Roman" w:eastAsia="Times New Roman" w:cs="Times New Roman"/>
              </w:rPr>
              <w:t>SNCR</w:t>
            </w:r>
            <w:r>
              <w:rPr>
                <w:rFonts w:ascii="Times New Roman" w:hAnsi="Times New Roman" w:eastAsia="Times New Roman" w:cs="Times New Roman"/>
                <w:spacing w:val="10"/>
              </w:rPr>
              <w:t xml:space="preserve"> </w:t>
            </w:r>
            <w:r>
              <w:rPr>
                <w:spacing w:val="10"/>
              </w:rPr>
              <w:t>脱硝技术、低氮燃烧</w:t>
            </w:r>
          </w:p>
          <w:p>
            <w:pPr>
              <w:pStyle w:val="TableText"/>
              <w:ind w:left="124" w:right="150" w:firstLine="167"/>
              <w:spacing w:before="2" w:line="242" w:lineRule="auto"/>
              <w:rPr/>
            </w:pPr>
            <w:r>
              <w:rPr>
                <w:rFonts w:ascii="Times New Roman" w:hAnsi="Times New Roman" w:eastAsia="Times New Roman" w:cs="Times New Roman"/>
                <w:spacing w:val="10"/>
              </w:rPr>
              <w:t>+</w:t>
            </w:r>
            <w:r>
              <w:rPr>
                <w:rFonts w:ascii="Times New Roman" w:hAnsi="Times New Roman" w:eastAsia="Times New Roman" w:cs="Times New Roman"/>
              </w:rPr>
              <w:t>SCR</w:t>
            </w:r>
            <w:r>
              <w:rPr>
                <w:rFonts w:ascii="Times New Roman" w:hAnsi="Times New Roman" w:eastAsia="Times New Roman" w:cs="Times New Roman"/>
                <w:spacing w:val="10"/>
              </w:rPr>
              <w:t xml:space="preserve"> </w:t>
            </w:r>
            <w:r>
              <w:rPr>
                <w:spacing w:val="10"/>
              </w:rPr>
              <w:t>脱硝技术、低氮燃烧</w:t>
            </w:r>
            <w:r>
              <w:rPr/>
              <w:t xml:space="preserve">  </w:t>
            </w:r>
            <w:r>
              <w:rPr>
                <w:rFonts w:ascii="Times New Roman" w:hAnsi="Times New Roman" w:eastAsia="Times New Roman" w:cs="Times New Roman"/>
                <w:spacing w:val="8"/>
              </w:rPr>
              <w:t>+(</w:t>
            </w:r>
            <w:r>
              <w:rPr>
                <w:rFonts w:ascii="Times New Roman" w:hAnsi="Times New Roman" w:eastAsia="Times New Roman" w:cs="Times New Roman"/>
              </w:rPr>
              <w:t>SNCR</w:t>
            </w:r>
            <w:r>
              <w:rPr>
                <w:rFonts w:ascii="Times New Roman" w:hAnsi="Times New Roman" w:eastAsia="Times New Roman" w:cs="Times New Roman"/>
                <w:spacing w:val="8"/>
              </w:rPr>
              <w:t>-</w:t>
            </w:r>
            <w:r>
              <w:rPr>
                <w:rFonts w:ascii="Times New Roman" w:hAnsi="Times New Roman" w:eastAsia="Times New Roman" w:cs="Times New Roman"/>
              </w:rPr>
              <w:t>SCR</w:t>
            </w:r>
            <w:r>
              <w:rPr>
                <w:rFonts w:ascii="Times New Roman" w:hAnsi="Times New Roman" w:eastAsia="Times New Roman" w:cs="Times New Roman"/>
                <w:spacing w:val="8"/>
              </w:rPr>
              <w:t xml:space="preserve"> </w:t>
            </w:r>
            <w:r>
              <w:rPr>
                <w:spacing w:val="8"/>
              </w:rPr>
              <w:t>联合</w:t>
            </w:r>
            <w:r>
              <w:rPr>
                <w:rFonts w:ascii="Times New Roman" w:hAnsi="Times New Roman" w:eastAsia="Times New Roman" w:cs="Times New Roman"/>
                <w:spacing w:val="8"/>
              </w:rPr>
              <w:t>)</w:t>
            </w:r>
            <w:r>
              <w:rPr>
                <w:spacing w:val="8"/>
              </w:rPr>
              <w:t>脱硝技术、</w:t>
            </w:r>
            <w:r>
              <w:rPr>
                <w:spacing w:val="3"/>
              </w:rPr>
              <w:t xml:space="preserve"> </w:t>
            </w:r>
            <w:r>
              <w:rPr>
                <w:rFonts w:ascii="Times New Roman" w:hAnsi="Times New Roman" w:eastAsia="Times New Roman" w:cs="Times New Roman"/>
              </w:rPr>
              <w:t>SNCR</w:t>
            </w:r>
            <w:r>
              <w:rPr>
                <w:rFonts w:ascii="Times New Roman" w:hAnsi="Times New Roman" w:eastAsia="Times New Roman" w:cs="Times New Roman"/>
                <w:spacing w:val="15"/>
              </w:rPr>
              <w:t xml:space="preserve"> </w:t>
            </w:r>
            <w:r>
              <w:rPr>
                <w:spacing w:val="15"/>
              </w:rPr>
              <w:t>脱硝技术、</w:t>
            </w:r>
            <w:r>
              <w:rPr>
                <w:rFonts w:ascii="Times New Roman" w:hAnsi="Times New Roman" w:eastAsia="Times New Roman" w:cs="Times New Roman"/>
              </w:rPr>
              <w:t>SCR</w:t>
            </w:r>
            <w:r>
              <w:rPr>
                <w:rFonts w:ascii="Times New Roman" w:hAnsi="Times New Roman" w:eastAsia="Times New Roman" w:cs="Times New Roman"/>
                <w:spacing w:val="15"/>
              </w:rPr>
              <w:t xml:space="preserve"> </w:t>
            </w:r>
            <w:r>
              <w:rPr>
                <w:spacing w:val="15"/>
              </w:rPr>
              <w:t>脱硝技</w:t>
            </w:r>
            <w:r>
              <w:rPr>
                <w:spacing w:val="4"/>
              </w:rPr>
              <w:t xml:space="preserve"> </w:t>
            </w:r>
            <w:r>
              <w:rPr>
                <w:spacing w:val="14"/>
              </w:rPr>
              <w:t>术、</w:t>
            </w:r>
            <w:r>
              <w:rPr>
                <w:rFonts w:ascii="Times New Roman" w:hAnsi="Times New Roman" w:eastAsia="Times New Roman" w:cs="Times New Roman"/>
              </w:rPr>
              <w:t>SNCR</w:t>
            </w:r>
            <w:r>
              <w:rPr>
                <w:rFonts w:ascii="Times New Roman" w:hAnsi="Times New Roman" w:eastAsia="Times New Roman" w:cs="Times New Roman"/>
                <w:spacing w:val="14"/>
              </w:rPr>
              <w:t>-</w:t>
            </w:r>
            <w:r>
              <w:rPr>
                <w:rFonts w:ascii="Times New Roman" w:hAnsi="Times New Roman" w:eastAsia="Times New Roman" w:cs="Times New Roman"/>
              </w:rPr>
              <w:t>SCR</w:t>
            </w:r>
            <w:r>
              <w:rPr>
                <w:rFonts w:ascii="Times New Roman" w:hAnsi="Times New Roman" w:eastAsia="Times New Roman" w:cs="Times New Roman"/>
                <w:spacing w:val="14"/>
              </w:rPr>
              <w:t xml:space="preserve"> </w:t>
            </w:r>
            <w:r>
              <w:rPr>
                <w:spacing w:val="14"/>
              </w:rPr>
              <w:t>联合脱硝技术</w:t>
            </w:r>
          </w:p>
        </w:tc>
        <w:tc>
          <w:tcPr>
            <w:tcW w:w="1974" w:type="dxa"/>
            <w:vAlign w:val="top"/>
          </w:tcPr>
          <w:p>
            <w:pPr>
              <w:spacing w:line="322" w:lineRule="auto"/>
              <w:rPr>
                <w:rFonts w:ascii="Arial"/>
                <w:sz w:val="21"/>
              </w:rPr>
            </w:pPr>
            <w:r/>
          </w:p>
          <w:p>
            <w:pPr>
              <w:spacing w:line="322" w:lineRule="auto"/>
              <w:rPr>
                <w:rFonts w:ascii="Arial"/>
                <w:sz w:val="21"/>
              </w:rPr>
            </w:pPr>
            <w:r/>
          </w:p>
          <w:p>
            <w:pPr>
              <w:pStyle w:val="TableText"/>
              <w:ind w:left="360"/>
              <w:spacing w:before="65" w:line="224" w:lineRule="auto"/>
              <w:rPr/>
            </w:pPr>
            <w:r>
              <w:rPr>
                <w:spacing w:val="8"/>
              </w:rPr>
              <w:t>低氮燃烧技术</w:t>
            </w:r>
          </w:p>
        </w:tc>
        <w:tc>
          <w:tcPr>
            <w:tcW w:w="1261" w:type="dxa"/>
            <w:vAlign w:val="top"/>
          </w:tcPr>
          <w:p>
            <w:pPr>
              <w:spacing w:line="254" w:lineRule="auto"/>
              <w:rPr>
                <w:rFonts w:ascii="Arial"/>
                <w:sz w:val="21"/>
              </w:rPr>
            </w:pPr>
            <w:r/>
          </w:p>
          <w:p>
            <w:pPr>
              <w:spacing w:line="254" w:lineRule="auto"/>
              <w:rPr>
                <w:rFonts w:ascii="Arial"/>
                <w:sz w:val="21"/>
              </w:rPr>
            </w:pPr>
            <w:r/>
          </w:p>
          <w:p>
            <w:pPr>
              <w:pStyle w:val="TableText"/>
              <w:ind w:left="218"/>
              <w:spacing w:before="65" w:line="224" w:lineRule="auto"/>
              <w:rPr/>
            </w:pPr>
            <w:r>
              <w:rPr>
                <w:spacing w:val="7"/>
              </w:rPr>
              <w:t>低氮燃烧</w:t>
            </w:r>
          </w:p>
          <w:p>
            <w:pPr>
              <w:pStyle w:val="TableText"/>
              <w:ind w:left="428"/>
              <w:spacing w:before="30" w:line="228" w:lineRule="auto"/>
              <w:rPr/>
            </w:pPr>
            <w:r>
              <w:rPr>
                <w:spacing w:val="4"/>
              </w:rPr>
              <w:t>技术</w:t>
            </w:r>
          </w:p>
        </w:tc>
        <w:tc>
          <w:tcPr>
            <w:tcW w:w="602" w:type="dxa"/>
            <w:vAlign w:val="top"/>
            <w:textDirection w:val="tbRlV"/>
          </w:tcPr>
          <w:p>
            <w:pPr>
              <w:pStyle w:val="TableText"/>
              <w:ind w:left="576"/>
              <w:spacing w:before="194" w:line="215" w:lineRule="auto"/>
              <w:rPr/>
            </w:pPr>
            <w:r>
              <w:rPr>
                <w:spacing w:val="8"/>
              </w:rPr>
              <w:t>符</w:t>
            </w:r>
            <w:r>
              <w:rPr>
                <w:spacing w:val="-35"/>
              </w:rPr>
              <w:t xml:space="preserve"> </w:t>
            </w:r>
            <w:r>
              <w:rPr>
                <w:spacing w:val="8"/>
              </w:rPr>
              <w:t>合</w:t>
            </w:r>
          </w:p>
        </w:tc>
      </w:tr>
      <w:tr>
        <w:trPr>
          <w:trHeight w:val="1094" w:hRule="atLeast"/>
        </w:trPr>
        <w:tc>
          <w:tcPr>
            <w:tcW w:w="946" w:type="dxa"/>
            <w:vAlign w:val="top"/>
          </w:tcPr>
          <w:p>
            <w:pPr>
              <w:spacing w:line="376" w:lineRule="auto"/>
              <w:rPr>
                <w:rFonts w:ascii="Arial"/>
                <w:sz w:val="21"/>
              </w:rPr>
            </w:pPr>
            <w:r/>
          </w:p>
          <w:p>
            <w:pPr>
              <w:pStyle w:val="TableText"/>
              <w:ind w:left="162"/>
              <w:spacing w:before="65" w:line="228" w:lineRule="auto"/>
              <w:rPr/>
            </w:pPr>
            <w:r>
              <w:rPr>
                <w:spacing w:val="7"/>
              </w:rPr>
              <w:t>颗粒物</w:t>
            </w:r>
          </w:p>
        </w:tc>
        <w:tc>
          <w:tcPr>
            <w:tcW w:w="896" w:type="dxa"/>
            <w:vAlign w:val="top"/>
          </w:tcPr>
          <w:p>
            <w:pPr>
              <w:rPr>
                <w:rFonts w:ascii="Arial"/>
                <w:sz w:val="21"/>
              </w:rPr>
            </w:pPr>
            <w:r/>
          </w:p>
          <w:p>
            <w:pPr>
              <w:pStyle w:val="TableText"/>
              <w:ind w:left="140"/>
              <w:spacing w:before="65" w:line="229" w:lineRule="auto"/>
              <w:rPr/>
            </w:pPr>
            <w:r>
              <w:rPr>
                <w:spacing w:val="5"/>
              </w:rPr>
              <w:t>一般地</w:t>
            </w:r>
          </w:p>
          <w:p>
            <w:pPr>
              <w:pStyle w:val="TableText"/>
              <w:ind w:left="363"/>
              <w:spacing w:before="22" w:line="233" w:lineRule="auto"/>
              <w:rPr/>
            </w:pPr>
            <w:r>
              <w:rPr/>
              <w:t>区</w:t>
            </w:r>
          </w:p>
        </w:tc>
        <w:tc>
          <w:tcPr>
            <w:tcW w:w="3043" w:type="dxa"/>
            <w:vAlign w:val="top"/>
          </w:tcPr>
          <w:p>
            <w:pPr>
              <w:spacing w:line="376" w:lineRule="auto"/>
              <w:rPr>
                <w:rFonts w:ascii="Arial"/>
                <w:sz w:val="21"/>
              </w:rPr>
            </w:pPr>
            <w:r/>
          </w:p>
          <w:p>
            <w:pPr>
              <w:pStyle w:val="TableText"/>
              <w:ind w:left="161"/>
              <w:spacing w:before="65" w:line="227" w:lineRule="auto"/>
              <w:rPr/>
            </w:pPr>
            <w:r>
              <w:rPr>
                <w:spacing w:val="9"/>
              </w:rPr>
              <w:t>旋风除尘和袋式除尘组合技术</w:t>
            </w:r>
          </w:p>
        </w:tc>
        <w:tc>
          <w:tcPr>
            <w:tcW w:w="1974" w:type="dxa"/>
            <w:vAlign w:val="top"/>
          </w:tcPr>
          <w:p>
            <w:pPr>
              <w:rPr>
                <w:rFonts w:ascii="Arial"/>
                <w:sz w:val="21"/>
              </w:rPr>
            </w:pPr>
            <w:r/>
          </w:p>
          <w:p>
            <w:pPr>
              <w:pStyle w:val="TableText"/>
              <w:ind w:left="888" w:right="192" w:hanging="691"/>
              <w:spacing w:before="65" w:line="255" w:lineRule="auto"/>
              <w:rPr/>
            </w:pPr>
            <w:r>
              <w:rPr>
                <w:spacing w:val="8"/>
              </w:rPr>
              <w:t>机械除尘</w:t>
            </w:r>
            <w:r>
              <w:rPr>
                <w:rFonts w:ascii="Times New Roman" w:hAnsi="Times New Roman" w:eastAsia="Times New Roman" w:cs="Times New Roman"/>
                <w:spacing w:val="8"/>
              </w:rPr>
              <w:t>+</w:t>
            </w:r>
            <w:r>
              <w:rPr>
                <w:spacing w:val="8"/>
              </w:rPr>
              <w:t>袋式除</w:t>
            </w:r>
            <w:r>
              <w:rPr>
                <w:spacing w:val="1"/>
              </w:rPr>
              <w:t xml:space="preserve"> </w:t>
            </w:r>
            <w:r>
              <w:rPr/>
              <w:t>尘</w:t>
            </w:r>
          </w:p>
        </w:tc>
        <w:tc>
          <w:tcPr>
            <w:tcW w:w="1261" w:type="dxa"/>
            <w:vAlign w:val="top"/>
          </w:tcPr>
          <w:p>
            <w:pPr>
              <w:pStyle w:val="TableText"/>
              <w:ind w:left="230"/>
              <w:spacing w:before="35" w:line="228" w:lineRule="auto"/>
              <w:rPr/>
            </w:pPr>
            <w:r>
              <w:rPr>
                <w:spacing w:val="4"/>
              </w:rPr>
              <w:t>陶瓷多管</w:t>
            </w:r>
          </w:p>
          <w:p>
            <w:pPr>
              <w:pStyle w:val="TableText"/>
              <w:ind w:left="171"/>
              <w:spacing w:before="24" w:line="227" w:lineRule="auto"/>
              <w:rPr/>
            </w:pPr>
            <w:r>
              <w:rPr>
                <w:spacing w:val="4"/>
              </w:rPr>
              <w:t>除尘器</w:t>
            </w:r>
            <w:r>
              <w:rPr>
                <w:rFonts w:ascii="Times New Roman" w:hAnsi="Times New Roman" w:eastAsia="Times New Roman" w:cs="Times New Roman"/>
                <w:spacing w:val="4"/>
              </w:rPr>
              <w:t>+</w:t>
            </w:r>
            <w:r>
              <w:rPr>
                <w:spacing w:val="4"/>
              </w:rPr>
              <w:t>布</w:t>
            </w:r>
          </w:p>
          <w:p>
            <w:pPr>
              <w:pStyle w:val="TableText"/>
              <w:ind w:left="158"/>
              <w:spacing w:before="24" w:line="228" w:lineRule="auto"/>
              <w:rPr>
                <w:rFonts w:ascii="Times New Roman" w:hAnsi="Times New Roman" w:eastAsia="Times New Roman" w:cs="Times New Roman"/>
              </w:rPr>
            </w:pPr>
            <w:r>
              <w:rPr>
                <w:spacing w:val="7"/>
              </w:rPr>
              <w:t>袋除尘器</w:t>
            </w:r>
            <w:r>
              <w:rPr>
                <w:rFonts w:ascii="Times New Roman" w:hAnsi="Times New Roman" w:eastAsia="Times New Roman" w:cs="Times New Roman"/>
                <w:spacing w:val="7"/>
              </w:rPr>
              <w:t>+</w:t>
            </w:r>
          </w:p>
          <w:p>
            <w:pPr>
              <w:pStyle w:val="TableText"/>
              <w:ind w:left="221"/>
              <w:spacing w:before="27" w:line="214" w:lineRule="auto"/>
              <w:rPr/>
            </w:pPr>
            <w:r>
              <w:rPr>
                <w:spacing w:val="6"/>
              </w:rPr>
              <w:t>水浴除尘</w:t>
            </w:r>
          </w:p>
        </w:tc>
        <w:tc>
          <w:tcPr>
            <w:tcW w:w="602" w:type="dxa"/>
            <w:vAlign w:val="top"/>
            <w:textDirection w:val="tbRlV"/>
          </w:tcPr>
          <w:p>
            <w:pPr>
              <w:pStyle w:val="TableText"/>
              <w:ind w:left="307"/>
              <w:spacing w:before="194" w:line="215" w:lineRule="auto"/>
              <w:rPr/>
            </w:pPr>
            <w:r>
              <w:rPr>
                <w:spacing w:val="8"/>
              </w:rPr>
              <w:t>符</w:t>
            </w:r>
            <w:r>
              <w:rPr>
                <w:spacing w:val="-38"/>
              </w:rPr>
              <w:t xml:space="preserve"> </w:t>
            </w:r>
            <w:r>
              <w:rPr>
                <w:spacing w:val="8"/>
              </w:rPr>
              <w:t>合</w:t>
            </w:r>
          </w:p>
        </w:tc>
      </w:tr>
      <w:tr>
        <w:trPr>
          <w:trHeight w:val="1098" w:hRule="atLeast"/>
        </w:trPr>
        <w:tc>
          <w:tcPr>
            <w:tcW w:w="1842" w:type="dxa"/>
            <w:vAlign w:val="top"/>
            <w:gridSpan w:val="2"/>
          </w:tcPr>
          <w:p>
            <w:pPr>
              <w:spacing w:line="377" w:lineRule="auto"/>
              <w:rPr>
                <w:rFonts w:ascii="Arial"/>
                <w:sz w:val="21"/>
              </w:rPr>
            </w:pPr>
            <w:r/>
          </w:p>
          <w:p>
            <w:pPr>
              <w:pStyle w:val="TableText"/>
              <w:ind w:left="298"/>
              <w:spacing w:before="65" w:line="225" w:lineRule="auto"/>
              <w:rPr/>
            </w:pPr>
            <w:r>
              <w:rPr>
                <w:spacing w:val="8"/>
              </w:rPr>
              <w:t>汞及其化合物</w:t>
            </w:r>
          </w:p>
        </w:tc>
        <w:tc>
          <w:tcPr>
            <w:tcW w:w="3043" w:type="dxa"/>
            <w:vAlign w:val="top"/>
          </w:tcPr>
          <w:p>
            <w:pPr>
              <w:pStyle w:val="TableText"/>
              <w:ind w:left="160"/>
              <w:spacing w:before="36" w:line="227" w:lineRule="auto"/>
              <w:rPr/>
            </w:pPr>
            <w:r>
              <w:rPr>
                <w:spacing w:val="9"/>
              </w:rPr>
              <w:t>协同控制，若采用协同控制技</w:t>
            </w:r>
          </w:p>
          <w:p>
            <w:pPr>
              <w:pStyle w:val="TableText"/>
              <w:ind w:left="161"/>
              <w:spacing w:before="25" w:line="224" w:lineRule="auto"/>
              <w:rPr/>
            </w:pPr>
            <w:r>
              <w:rPr>
                <w:spacing w:val="9"/>
              </w:rPr>
              <w:t>术仍未实现达标排放，可采用</w:t>
            </w:r>
          </w:p>
          <w:p>
            <w:pPr>
              <w:pStyle w:val="TableText"/>
              <w:ind w:left="162"/>
              <w:spacing w:before="28" w:line="225" w:lineRule="auto"/>
              <w:rPr/>
            </w:pPr>
            <w:r>
              <w:rPr>
                <w:spacing w:val="9"/>
              </w:rPr>
              <w:t>炉内添加卤化物或烟道喷入活</w:t>
            </w:r>
          </w:p>
          <w:p>
            <w:pPr>
              <w:pStyle w:val="TableText"/>
              <w:ind w:left="688"/>
              <w:spacing w:before="28" w:line="218" w:lineRule="auto"/>
              <w:rPr/>
            </w:pPr>
            <w:r>
              <w:rPr>
                <w:spacing w:val="8"/>
              </w:rPr>
              <w:t>性炭吸附剂等技术</w:t>
            </w:r>
          </w:p>
        </w:tc>
        <w:tc>
          <w:tcPr>
            <w:tcW w:w="1974" w:type="dxa"/>
            <w:vAlign w:val="top"/>
          </w:tcPr>
          <w:p>
            <w:pPr>
              <w:spacing w:line="416" w:lineRule="auto"/>
              <w:rPr>
                <w:rFonts w:ascii="Arial"/>
                <w:sz w:val="21"/>
              </w:rPr>
            </w:pPr>
            <w:r/>
          </w:p>
          <w:p>
            <w:pPr>
              <w:ind w:left="956"/>
              <w:spacing w:before="5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261" w:type="dxa"/>
            <w:vAlign w:val="top"/>
          </w:tcPr>
          <w:p>
            <w:pPr>
              <w:spacing w:line="377" w:lineRule="auto"/>
              <w:rPr>
                <w:rFonts w:ascii="Arial"/>
                <w:sz w:val="21"/>
              </w:rPr>
            </w:pPr>
            <w:r/>
          </w:p>
          <w:p>
            <w:pPr>
              <w:pStyle w:val="TableText"/>
              <w:ind w:left="219"/>
              <w:spacing w:before="65" w:line="228" w:lineRule="auto"/>
              <w:rPr/>
            </w:pPr>
            <w:r>
              <w:rPr>
                <w:spacing w:val="7"/>
              </w:rPr>
              <w:t>协同控制</w:t>
            </w:r>
          </w:p>
        </w:tc>
        <w:tc>
          <w:tcPr>
            <w:tcW w:w="602" w:type="dxa"/>
            <w:vAlign w:val="top"/>
            <w:textDirection w:val="tbRlV"/>
          </w:tcPr>
          <w:p>
            <w:pPr>
              <w:pStyle w:val="TableText"/>
              <w:ind w:left="307"/>
              <w:spacing w:before="194" w:line="215" w:lineRule="auto"/>
              <w:rPr/>
            </w:pPr>
            <w:r>
              <w:rPr>
                <w:spacing w:val="8"/>
              </w:rPr>
              <w:t>符</w:t>
            </w:r>
            <w:r>
              <w:rPr>
                <w:spacing w:val="-38"/>
              </w:rPr>
              <w:t xml:space="preserve"> </w:t>
            </w:r>
            <w:r>
              <w:rPr>
                <w:spacing w:val="8"/>
              </w:rPr>
              <w:t>合</w:t>
            </w:r>
          </w:p>
        </w:tc>
      </w:tr>
    </w:tbl>
    <w:p>
      <w:pPr>
        <w:ind w:left="601"/>
        <w:spacing w:before="35" w:line="219" w:lineRule="auto"/>
        <w:rPr>
          <w:rFonts w:ascii="SimSun" w:hAnsi="SimSun" w:eastAsia="SimSun" w:cs="SimSun"/>
          <w:sz w:val="24"/>
          <w:szCs w:val="24"/>
        </w:rPr>
      </w:pPr>
      <w:r>
        <w:rPr>
          <w:rFonts w:ascii="SimSun" w:hAnsi="SimSun" w:eastAsia="SimSun" w:cs="SimSun"/>
          <w:sz w:val="24"/>
          <w:szCs w:val="24"/>
          <w:spacing w:val="-1"/>
        </w:rPr>
        <w:t>根据上表可知，本项目生物质锅炉废气治理措施可行。</w:t>
      </w:r>
    </w:p>
    <w:p>
      <w:pPr>
        <w:pStyle w:val="BodyText"/>
        <w:spacing w:line="252" w:lineRule="auto"/>
        <w:rPr/>
      </w:pPr>
      <w:r/>
    </w:p>
    <w:p>
      <w:pPr>
        <w:ind w:left="122"/>
        <w:spacing w:before="91" w:line="222" w:lineRule="auto"/>
        <w:outlineLvl w:val="2"/>
        <w:rPr>
          <w:rFonts w:ascii="SimHei" w:hAnsi="SimHei" w:eastAsia="SimHei" w:cs="SimHei"/>
          <w:sz w:val="28"/>
          <w:szCs w:val="28"/>
        </w:rPr>
      </w:pPr>
      <w:bookmarkStart w:name="bookmark154" w:id="187"/>
      <w:bookmarkEnd w:id="187"/>
      <w:r>
        <w:rPr>
          <w:rFonts w:ascii="Times New Roman" w:hAnsi="Times New Roman" w:eastAsia="Times New Roman" w:cs="Times New Roman"/>
          <w:sz w:val="28"/>
          <w:szCs w:val="28"/>
          <w:spacing w:val="-1"/>
        </w:rPr>
        <w:t>7.1.4 </w:t>
      </w:r>
      <w:r>
        <w:rPr>
          <w:rFonts w:ascii="SimHei" w:hAnsi="SimHei" w:eastAsia="SimHei" w:cs="SimHei"/>
          <w:sz w:val="28"/>
          <w:szCs w:val="28"/>
          <w:spacing w:val="-1"/>
        </w:rPr>
        <w:t>无组织排放污染防治措施</w:t>
      </w:r>
    </w:p>
    <w:p>
      <w:pPr>
        <w:pStyle w:val="BodyText"/>
        <w:spacing w:line="276" w:lineRule="auto"/>
        <w:rPr/>
      </w:pPr>
      <w:r/>
    </w:p>
    <w:p>
      <w:pPr>
        <w:ind w:left="125" w:right="111" w:firstLine="487"/>
        <w:spacing w:before="78" w:line="31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）梳绒车间开松、梳绒过程中会有绒尘产生，梳绒车间全封闭</w:t>
      </w:r>
      <w:r>
        <w:rPr>
          <w:rFonts w:ascii="SimSun" w:hAnsi="SimSun" w:eastAsia="SimSun" w:cs="SimSun"/>
          <w:sz w:val="24"/>
          <w:szCs w:val="24"/>
          <w:spacing w:val="-2"/>
        </w:rPr>
        <w:t>建设，设备</w:t>
      </w:r>
      <w:r>
        <w:rPr>
          <w:rFonts w:ascii="SimSun" w:hAnsi="SimSun" w:eastAsia="SimSun" w:cs="SimSun"/>
          <w:sz w:val="24"/>
          <w:szCs w:val="24"/>
        </w:rPr>
        <w:t xml:space="preserve"> </w:t>
      </w:r>
      <w:r>
        <w:rPr>
          <w:rFonts w:ascii="SimSun" w:hAnsi="SimSun" w:eastAsia="SimSun" w:cs="SimSun"/>
          <w:sz w:val="24"/>
          <w:szCs w:val="24"/>
          <w:spacing w:val="2"/>
        </w:rPr>
        <w:t>自带滤袋，可有效抑制梳绒粉尘的产生，该工艺在纺织企业中广泛应用，措施可</w:t>
      </w:r>
      <w:r>
        <w:rPr>
          <w:rFonts w:ascii="SimSun" w:hAnsi="SimSun" w:eastAsia="SimSun" w:cs="SimSun"/>
          <w:sz w:val="24"/>
          <w:szCs w:val="24"/>
          <w:spacing w:val="18"/>
        </w:rPr>
        <w:t xml:space="preserve"> </w:t>
      </w:r>
      <w:r>
        <w:rPr>
          <w:rFonts w:ascii="SimSun" w:hAnsi="SimSun" w:eastAsia="SimSun" w:cs="SimSun"/>
          <w:sz w:val="24"/>
          <w:szCs w:val="24"/>
          <w:spacing w:val="-7"/>
        </w:rPr>
        <w:t>行。</w:t>
      </w:r>
    </w:p>
    <w:p>
      <w:pPr>
        <w:ind w:left="119" w:right="50" w:firstLine="493"/>
        <w:spacing w:before="188" w:line="34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）本项目厌氧发酵罐区臭气采用喷洒生物除臭剂的方式进行处</w:t>
      </w:r>
      <w:r>
        <w:rPr>
          <w:rFonts w:ascii="SimSun" w:hAnsi="SimSun" w:eastAsia="SimSun" w:cs="SimSun"/>
          <w:sz w:val="24"/>
          <w:szCs w:val="24"/>
          <w:spacing w:val="-2"/>
        </w:rPr>
        <w:t>理。生物除</w:t>
      </w:r>
      <w:r>
        <w:rPr>
          <w:rFonts w:ascii="SimSun" w:hAnsi="SimSun" w:eastAsia="SimSun" w:cs="SimSun"/>
          <w:sz w:val="24"/>
          <w:szCs w:val="24"/>
        </w:rPr>
        <w:t xml:space="preserve"> </w:t>
      </w:r>
      <w:r>
        <w:rPr>
          <w:rFonts w:ascii="SimSun" w:hAnsi="SimSun" w:eastAsia="SimSun" w:cs="SimSun"/>
          <w:sz w:val="24"/>
          <w:szCs w:val="24"/>
          <w:spacing w:val="-2"/>
        </w:rPr>
        <w:t>臭剂的作用原理基于生物酶的作用。生物除臭剂中的生</w:t>
      </w:r>
      <w:r>
        <w:rPr>
          <w:rFonts w:ascii="SimSun" w:hAnsi="SimSun" w:eastAsia="SimSun" w:cs="SimSun"/>
          <w:sz w:val="24"/>
          <w:szCs w:val="24"/>
          <w:spacing w:val="-3"/>
        </w:rPr>
        <w:t>物酶可以分解有机污染物，</w:t>
      </w:r>
      <w:r>
        <w:rPr>
          <w:rFonts w:ascii="SimSun" w:hAnsi="SimSun" w:eastAsia="SimSun" w:cs="SimSun"/>
          <w:sz w:val="24"/>
          <w:szCs w:val="24"/>
        </w:rPr>
        <w:t xml:space="preserve"> </w:t>
      </w:r>
      <w:r>
        <w:rPr>
          <w:rFonts w:ascii="SimSun" w:hAnsi="SimSun" w:eastAsia="SimSun" w:cs="SimSun"/>
          <w:sz w:val="24"/>
          <w:szCs w:val="24"/>
          <w:spacing w:val="3"/>
        </w:rPr>
        <w:t>将其分解为无害的物质有机污染物是产生异味的主要原因之</w:t>
      </w:r>
      <w:r>
        <w:rPr>
          <w:rFonts w:ascii="SimSun" w:hAnsi="SimSun" w:eastAsia="SimSun" w:cs="SimSun"/>
          <w:sz w:val="24"/>
          <w:szCs w:val="24"/>
          <w:spacing w:val="2"/>
        </w:rPr>
        <w:t>一，包括蛋白质、脂</w:t>
      </w:r>
      <w:r>
        <w:rPr>
          <w:rFonts w:ascii="SimSun" w:hAnsi="SimSun" w:eastAsia="SimSun" w:cs="SimSun"/>
          <w:sz w:val="24"/>
          <w:szCs w:val="24"/>
        </w:rPr>
        <w:t xml:space="preserve"> </w:t>
      </w:r>
      <w:r>
        <w:rPr>
          <w:rFonts w:ascii="SimSun" w:hAnsi="SimSun" w:eastAsia="SimSun" w:cs="SimSun"/>
          <w:sz w:val="24"/>
          <w:szCs w:val="24"/>
          <w:spacing w:val="3"/>
        </w:rPr>
        <w:t>肪、淀粉等。生物酶可以针对不同种类的有机污染物进行特</w:t>
      </w:r>
      <w:r>
        <w:rPr>
          <w:rFonts w:ascii="SimSun" w:hAnsi="SimSun" w:eastAsia="SimSun" w:cs="SimSun"/>
          <w:sz w:val="24"/>
          <w:szCs w:val="24"/>
          <w:spacing w:val="2"/>
        </w:rPr>
        <w:t>异性分解，有效消除</w:t>
      </w:r>
      <w:r>
        <w:rPr>
          <w:rFonts w:ascii="SimSun" w:hAnsi="SimSun" w:eastAsia="SimSun" w:cs="SimSun"/>
          <w:sz w:val="24"/>
          <w:szCs w:val="24"/>
        </w:rPr>
        <w:t xml:space="preserve"> </w:t>
      </w:r>
      <w:r>
        <w:rPr>
          <w:rFonts w:ascii="SimSun" w:hAnsi="SimSun" w:eastAsia="SimSun" w:cs="SimSun"/>
          <w:sz w:val="24"/>
          <w:szCs w:val="24"/>
          <w:spacing w:val="4"/>
        </w:rPr>
        <w:t>异味。其次，生物除臭剂中的细菌也起着重要</w:t>
      </w:r>
      <w:r>
        <w:rPr>
          <w:rFonts w:ascii="SimSun" w:hAnsi="SimSun" w:eastAsia="SimSun" w:cs="SimSun"/>
          <w:sz w:val="24"/>
          <w:szCs w:val="24"/>
          <w:spacing w:val="3"/>
        </w:rPr>
        <w:t>作用。细菌能够分解有机污染物，</w:t>
      </w:r>
      <w:r>
        <w:rPr>
          <w:rFonts w:ascii="SimSun" w:hAnsi="SimSun" w:eastAsia="SimSun" w:cs="SimSun"/>
          <w:sz w:val="24"/>
          <w:szCs w:val="24"/>
        </w:rPr>
        <w:t xml:space="preserve"> </w:t>
      </w:r>
      <w:r>
        <w:rPr>
          <w:rFonts w:ascii="SimSun" w:hAnsi="SimSun" w:eastAsia="SimSun" w:cs="SimSun"/>
          <w:sz w:val="24"/>
          <w:szCs w:val="24"/>
          <w:spacing w:val="4"/>
        </w:rPr>
        <w:t>将其转化为水和二氧化碳等无害的物质。细菌</w:t>
      </w:r>
      <w:r>
        <w:rPr>
          <w:rFonts w:ascii="SimSun" w:hAnsi="SimSun" w:eastAsia="SimSun" w:cs="SimSun"/>
          <w:sz w:val="24"/>
          <w:szCs w:val="24"/>
          <w:spacing w:val="3"/>
        </w:rPr>
        <w:t>通过分泌酶类来降解有机污染物，</w:t>
      </w:r>
      <w:r>
        <w:rPr>
          <w:rFonts w:ascii="SimSun" w:hAnsi="SimSun" w:eastAsia="SimSun" w:cs="SimSun"/>
          <w:sz w:val="24"/>
          <w:szCs w:val="24"/>
        </w:rPr>
        <w:t xml:space="preserve"> </w:t>
      </w:r>
      <w:r>
        <w:rPr>
          <w:rFonts w:ascii="SimSun" w:hAnsi="SimSun" w:eastAsia="SimSun" w:cs="SimSun"/>
          <w:sz w:val="24"/>
          <w:szCs w:val="24"/>
          <w:spacing w:val="3"/>
        </w:rPr>
        <w:t>并利用这些分解产物进行能量代谢。细菌繁殖的过程中，会</w:t>
      </w:r>
      <w:r>
        <w:rPr>
          <w:rFonts w:ascii="SimSun" w:hAnsi="SimSun" w:eastAsia="SimSun" w:cs="SimSun"/>
          <w:sz w:val="24"/>
          <w:szCs w:val="24"/>
          <w:spacing w:val="2"/>
        </w:rPr>
        <w:t>吸收大量的氧气，进</w:t>
      </w:r>
      <w:r>
        <w:rPr>
          <w:rFonts w:ascii="SimSun" w:hAnsi="SimSun" w:eastAsia="SimSun" w:cs="SimSun"/>
          <w:sz w:val="24"/>
          <w:szCs w:val="24"/>
        </w:rPr>
        <w:t xml:space="preserve"> </w:t>
      </w:r>
      <w:r>
        <w:rPr>
          <w:rFonts w:ascii="SimSun" w:hAnsi="SimSun" w:eastAsia="SimSun" w:cs="SimSun"/>
          <w:sz w:val="24"/>
          <w:szCs w:val="24"/>
          <w:spacing w:val="3"/>
        </w:rPr>
        <w:t>一步降低周围环境中异味物质的浓度，达到除臭的效果生物</w:t>
      </w:r>
      <w:r>
        <w:rPr>
          <w:rFonts w:ascii="SimSun" w:hAnsi="SimSun" w:eastAsia="SimSun" w:cs="SimSun"/>
          <w:sz w:val="24"/>
          <w:szCs w:val="24"/>
          <w:spacing w:val="2"/>
        </w:rPr>
        <w:t>除臭剂的作用过程是</w:t>
      </w:r>
      <w:r>
        <w:rPr>
          <w:rFonts w:ascii="SimSun" w:hAnsi="SimSun" w:eastAsia="SimSun" w:cs="SimSun"/>
          <w:sz w:val="24"/>
          <w:szCs w:val="24"/>
        </w:rPr>
        <w:t xml:space="preserve"> </w:t>
      </w:r>
      <w:r>
        <w:rPr>
          <w:rFonts w:ascii="SimSun" w:hAnsi="SimSun" w:eastAsia="SimSun" w:cs="SimSun"/>
          <w:sz w:val="24"/>
          <w:szCs w:val="24"/>
          <w:spacing w:val="3"/>
        </w:rPr>
        <w:t>一个复杂的生化反应过程。首先，生物除臭剂中的酶或细菌</w:t>
      </w:r>
      <w:r>
        <w:rPr>
          <w:rFonts w:ascii="SimSun" w:hAnsi="SimSun" w:eastAsia="SimSun" w:cs="SimSun"/>
          <w:sz w:val="24"/>
          <w:szCs w:val="24"/>
          <w:spacing w:val="2"/>
        </w:rPr>
        <w:t>通过吸附在异味物质</w:t>
      </w:r>
    </w:p>
    <w:p>
      <w:pPr>
        <w:pStyle w:val="BodyText"/>
        <w:spacing w:line="258" w:lineRule="auto"/>
        <w:rPr/>
      </w:pPr>
      <w:r/>
    </w:p>
    <w:p>
      <w:pPr>
        <w:pStyle w:val="BodyText"/>
        <w:spacing w:line="258" w:lineRule="auto"/>
        <w:rPr/>
      </w:pPr>
      <w:r/>
    </w:p>
    <w:p>
      <w:pPr>
        <w:ind w:left="119"/>
        <w:spacing w:before="62" w:line="225" w:lineRule="auto"/>
        <w:rPr>
          <w:rFonts w:ascii="SimSun" w:hAnsi="SimSun" w:eastAsia="SimSun" w:cs="SimSun"/>
          <w:sz w:val="19"/>
          <w:szCs w:val="19"/>
        </w:rPr>
      </w:pPr>
      <w:r>
        <w:pict>
          <v:shape id="_x0000_s1206" style="position:absolute;margin-left:164.92pt;margin-top:2.12156pt;mso-position-vertical-relative:text;mso-position-horizontal-relative:text;width:61pt;height:13.75pt;z-index:25229414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265</w:t>
                  </w:r>
                </w:p>
              </w:txbxContent>
            </v:textbox>
          </v:shape>
        </w:pict>
      </w:r>
      <w:r>
        <w:rPr>
          <w:rFonts w:ascii="SimSun" w:hAnsi="SimSun" w:eastAsia="SimSun" w:cs="SimSun"/>
          <w:sz w:val="19"/>
          <w:szCs w:val="19"/>
          <w:spacing w:val="9"/>
        </w:rPr>
        <w:t>锡林郭勒盟中安环境技术咨询有限责</w:t>
      </w:r>
    </w:p>
    <w:p>
      <w:pPr>
        <w:spacing w:line="225" w:lineRule="auto"/>
        <w:sectPr>
          <w:headerReference w:type="default" r:id="rId337"/>
          <w:footerReference w:type="default" r:id="rId3"/>
          <w:pgSz w:w="11907" w:h="16840"/>
          <w:pgMar w:top="1567" w:right="1590" w:bottom="400" w:left="1589" w:header="1221" w:footer="0" w:gutter="0"/>
        </w:sectPr>
        <w:rPr>
          <w:rFonts w:ascii="SimSun" w:hAnsi="SimSun" w:eastAsia="SimSun" w:cs="SimSun"/>
          <w:sz w:val="19"/>
          <w:szCs w:val="19"/>
        </w:rPr>
      </w:pPr>
    </w:p>
    <w:p>
      <w:pPr>
        <w:ind w:left="27" w:right="56" w:hanging="3"/>
        <w:spacing w:before="167" w:line="359" w:lineRule="auto"/>
        <w:jc w:val="both"/>
        <w:rPr>
          <w:rFonts w:ascii="SimSun" w:hAnsi="SimSun" w:eastAsia="SimSun" w:cs="SimSun"/>
          <w:sz w:val="24"/>
          <w:szCs w:val="24"/>
        </w:rPr>
      </w:pPr>
      <w:r>
        <w:pict>
          <v:shape id="_x0000_s1210" style="position:absolute;margin-left:85.05pt;margin-top:78.87pt;mso-position-vertical-relative:page;mso-position-horizontal-relative:page;width:425.25pt;height:0.75pt;z-index:252297216;" o:allowincell="f" fillcolor="#000000" filled="true" stroked="false" coordsize="8505,15" coordorigin="0,0" path="m,l8505,0l8505,14l0,14l0,0xe"/>
        </w:pict>
      </w:r>
      <w:r>
        <w:rPr>
          <w:rFonts w:ascii="SimSun" w:hAnsi="SimSun" w:eastAsia="SimSun" w:cs="SimSun"/>
          <w:sz w:val="24"/>
          <w:szCs w:val="24"/>
          <w:spacing w:val="3"/>
        </w:rPr>
        <w:t>表面，使有机污染物分子更容易被酶或细菌识别。然后生</w:t>
      </w:r>
      <w:r>
        <w:rPr>
          <w:rFonts w:ascii="SimSun" w:hAnsi="SimSun" w:eastAsia="SimSun" w:cs="SimSun"/>
          <w:sz w:val="24"/>
          <w:szCs w:val="24"/>
          <w:spacing w:val="2"/>
        </w:rPr>
        <w:t>物酶或细菌释放出特异</w:t>
      </w:r>
      <w:r>
        <w:rPr>
          <w:rFonts w:ascii="SimSun" w:hAnsi="SimSun" w:eastAsia="SimSun" w:cs="SimSun"/>
          <w:sz w:val="24"/>
          <w:szCs w:val="24"/>
        </w:rPr>
        <w:t xml:space="preserve"> </w:t>
      </w:r>
      <w:r>
        <w:rPr>
          <w:rFonts w:ascii="SimSun" w:hAnsi="SimSun" w:eastAsia="SimSun" w:cs="SimSun"/>
          <w:sz w:val="24"/>
          <w:szCs w:val="24"/>
          <w:spacing w:val="3"/>
        </w:rPr>
        <w:t>性酶类，与有机污染物发生反应。酶的作用使有机</w:t>
      </w:r>
      <w:r>
        <w:rPr>
          <w:rFonts w:ascii="SimSun" w:hAnsi="SimSun" w:eastAsia="SimSun" w:cs="SimSun"/>
          <w:sz w:val="24"/>
          <w:szCs w:val="24"/>
          <w:spacing w:val="2"/>
        </w:rPr>
        <w:t>污染物分子逐渐断裂分解为较</w:t>
      </w:r>
      <w:r>
        <w:rPr>
          <w:rFonts w:ascii="SimSun" w:hAnsi="SimSun" w:eastAsia="SimSun" w:cs="SimSun"/>
          <w:sz w:val="24"/>
          <w:szCs w:val="24"/>
        </w:rPr>
        <w:t xml:space="preserve"> </w:t>
      </w:r>
      <w:r>
        <w:rPr>
          <w:rFonts w:ascii="SimSun" w:hAnsi="SimSun" w:eastAsia="SimSun" w:cs="SimSun"/>
          <w:sz w:val="24"/>
          <w:szCs w:val="24"/>
          <w:spacing w:val="-1"/>
        </w:rPr>
        <w:t>小的分子。最后分解产物进一步被细菌吸收和代谢最终转化为无害的物质</w:t>
      </w:r>
    </w:p>
    <w:p>
      <w:pPr>
        <w:ind w:left="25" w:right="56" w:firstLine="482"/>
        <w:spacing w:before="2" w:line="360" w:lineRule="auto"/>
        <w:jc w:val="both"/>
        <w:rPr>
          <w:rFonts w:ascii="SimSun" w:hAnsi="SimSun" w:eastAsia="SimSun" w:cs="SimSun"/>
          <w:sz w:val="24"/>
          <w:szCs w:val="24"/>
        </w:rPr>
      </w:pPr>
      <w:r>
        <w:rPr>
          <w:rFonts w:ascii="SimSun" w:hAnsi="SimSun" w:eastAsia="SimSun" w:cs="SimSun"/>
          <w:sz w:val="24"/>
          <w:szCs w:val="24"/>
          <w:spacing w:val="3"/>
        </w:rPr>
        <w:t>综上所述，在采取措施后无组织排放的颗粒物、硫化氢、氨</w:t>
      </w:r>
      <w:r>
        <w:rPr>
          <w:rFonts w:ascii="SimSun" w:hAnsi="SimSun" w:eastAsia="SimSun" w:cs="SimSun"/>
          <w:sz w:val="24"/>
          <w:szCs w:val="24"/>
          <w:spacing w:val="2"/>
        </w:rPr>
        <w:t>、臭气浓度在厂</w:t>
      </w:r>
      <w:r>
        <w:rPr>
          <w:rFonts w:ascii="SimSun" w:hAnsi="SimSun" w:eastAsia="SimSun" w:cs="SimSun"/>
          <w:sz w:val="24"/>
          <w:szCs w:val="24"/>
        </w:rPr>
        <w:t xml:space="preserve"> </w:t>
      </w:r>
      <w:r>
        <w:rPr>
          <w:rFonts w:ascii="SimSun" w:hAnsi="SimSun" w:eastAsia="SimSun" w:cs="SimSun"/>
          <w:sz w:val="24"/>
          <w:szCs w:val="24"/>
          <w:spacing w:val="1"/>
        </w:rPr>
        <w:t>界的排放满足《大气污染物综合排放标准限值》（</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16297-1996</w:t>
      </w:r>
      <w:r>
        <w:rPr>
          <w:rFonts w:ascii="SimSun" w:hAnsi="SimSun" w:eastAsia="SimSun" w:cs="SimSun"/>
          <w:sz w:val="24"/>
          <w:szCs w:val="24"/>
        </w:rPr>
        <w:t>）中表</w:t>
      </w:r>
      <w:r>
        <w:rPr>
          <w:rFonts w:ascii="SimSun" w:hAnsi="SimSun" w:eastAsia="SimSun" w:cs="SimSun"/>
          <w:sz w:val="24"/>
          <w:szCs w:val="24"/>
          <w:spacing w:val="-53"/>
        </w:rPr>
        <w:t xml:space="preserve"> </w:t>
      </w:r>
      <w:r>
        <w:rPr>
          <w:rFonts w:ascii="Times New Roman" w:hAnsi="Times New Roman" w:eastAsia="Times New Roman" w:cs="Times New Roman"/>
          <w:sz w:val="24"/>
          <w:szCs w:val="24"/>
        </w:rPr>
        <w:t>2 </w:t>
      </w:r>
      <w:r>
        <w:rPr>
          <w:rFonts w:ascii="SimSun" w:hAnsi="SimSun" w:eastAsia="SimSun" w:cs="SimSun"/>
          <w:sz w:val="24"/>
          <w:szCs w:val="24"/>
        </w:rPr>
        <w:t>无组织 </w:t>
      </w:r>
      <w:r>
        <w:rPr>
          <w:rFonts w:ascii="SimSun" w:hAnsi="SimSun" w:eastAsia="SimSun" w:cs="SimSun"/>
          <w:sz w:val="24"/>
          <w:szCs w:val="24"/>
        </w:rPr>
        <w:t>排放控制限值、《恶臭污染物排放标准》（</w:t>
      </w:r>
      <w:r>
        <w:rPr>
          <w:rFonts w:ascii="Times New Roman" w:hAnsi="Times New Roman" w:eastAsia="Times New Roman" w:cs="Times New Roman"/>
          <w:sz w:val="24"/>
          <w:szCs w:val="24"/>
        </w:rPr>
        <w:t>GB14554-93</w:t>
      </w:r>
      <w:r>
        <w:rPr>
          <w:rFonts w:ascii="SimSun" w:hAnsi="SimSun" w:eastAsia="SimSun" w:cs="SimSun"/>
          <w:sz w:val="24"/>
          <w:szCs w:val="24"/>
        </w:rPr>
        <w:t>）表</w:t>
      </w:r>
      <w:r>
        <w:rPr>
          <w:rFonts w:ascii="SimSun" w:hAnsi="SimSun" w:eastAsia="SimSun" w:cs="SimSun"/>
          <w:sz w:val="24"/>
          <w:szCs w:val="24"/>
          <w:spacing w:val="-21"/>
        </w:rPr>
        <w:t xml:space="preserve"> </w:t>
      </w:r>
      <w:r>
        <w:rPr>
          <w:rFonts w:ascii="Times New Roman" w:hAnsi="Times New Roman" w:eastAsia="Times New Roman" w:cs="Times New Roman"/>
          <w:sz w:val="24"/>
          <w:szCs w:val="24"/>
        </w:rPr>
        <w:t>1 </w:t>
      </w:r>
      <w:r>
        <w:rPr>
          <w:rFonts w:ascii="SimSun" w:hAnsi="SimSun" w:eastAsia="SimSun" w:cs="SimSun"/>
          <w:sz w:val="24"/>
          <w:szCs w:val="24"/>
        </w:rPr>
        <w:t>新改扩建二级标准 </w:t>
      </w:r>
      <w:r>
        <w:rPr>
          <w:rFonts w:ascii="SimSun" w:hAnsi="SimSun" w:eastAsia="SimSun" w:cs="SimSun"/>
          <w:sz w:val="24"/>
          <w:szCs w:val="24"/>
          <w:spacing w:val="-2"/>
        </w:rPr>
        <w:t>限值，措施可行。</w:t>
      </w:r>
    </w:p>
    <w:p>
      <w:pPr>
        <w:ind w:left="27"/>
        <w:spacing w:before="159" w:line="222" w:lineRule="auto"/>
        <w:outlineLvl w:val="1"/>
        <w:rPr>
          <w:rFonts w:ascii="SimHei" w:hAnsi="SimHei" w:eastAsia="SimHei" w:cs="SimHei"/>
          <w:sz w:val="30"/>
          <w:szCs w:val="30"/>
        </w:rPr>
      </w:pPr>
      <w:bookmarkStart w:name="bookmark155" w:id="188"/>
      <w:bookmarkEnd w:id="188"/>
      <w:r>
        <w:rPr>
          <w:rFonts w:ascii="Times New Roman" w:hAnsi="Times New Roman" w:eastAsia="Times New Roman" w:cs="Times New Roman"/>
          <w:sz w:val="30"/>
          <w:szCs w:val="30"/>
          <w:spacing w:val="-1"/>
        </w:rPr>
        <w:t>7.2 </w:t>
      </w:r>
      <w:r>
        <w:rPr>
          <w:rFonts w:ascii="SimHei" w:hAnsi="SimHei" w:eastAsia="SimHei" w:cs="SimHei"/>
          <w:sz w:val="30"/>
          <w:szCs w:val="30"/>
          <w:spacing w:val="-1"/>
        </w:rPr>
        <w:t>废水治理措施的可行性分析</w:t>
      </w:r>
    </w:p>
    <w:p>
      <w:pPr>
        <w:pStyle w:val="BodyText"/>
        <w:spacing w:line="283" w:lineRule="auto"/>
        <w:rPr/>
      </w:pPr>
      <w:r/>
    </w:p>
    <w:p>
      <w:pPr>
        <w:ind w:left="26"/>
        <w:spacing w:before="91" w:line="222" w:lineRule="auto"/>
        <w:outlineLvl w:val="2"/>
        <w:rPr>
          <w:rFonts w:ascii="SimHei" w:hAnsi="SimHei" w:eastAsia="SimHei" w:cs="SimHei"/>
          <w:sz w:val="28"/>
          <w:szCs w:val="28"/>
        </w:rPr>
      </w:pPr>
      <w:bookmarkStart w:name="bookmark156" w:id="189"/>
      <w:bookmarkEnd w:id="189"/>
      <w:r>
        <w:rPr>
          <w:rFonts w:ascii="Times New Roman" w:hAnsi="Times New Roman" w:eastAsia="Times New Roman" w:cs="Times New Roman"/>
          <w:sz w:val="28"/>
          <w:szCs w:val="28"/>
          <w:spacing w:val="-1"/>
        </w:rPr>
        <w:t>7.2.1 </w:t>
      </w:r>
      <w:r>
        <w:rPr>
          <w:rFonts w:ascii="SimHei" w:hAnsi="SimHei" w:eastAsia="SimHei" w:cs="SimHei"/>
          <w:sz w:val="28"/>
          <w:szCs w:val="28"/>
          <w:spacing w:val="-1"/>
        </w:rPr>
        <w:t>废水处理措施</w:t>
      </w:r>
    </w:p>
    <w:p>
      <w:pPr>
        <w:pStyle w:val="BodyText"/>
        <w:spacing w:line="278" w:lineRule="auto"/>
        <w:rPr/>
      </w:pPr>
      <w:r/>
    </w:p>
    <w:p>
      <w:pPr>
        <w:ind w:left="24"/>
        <w:spacing w:before="78"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7.2.1.1 </w:t>
      </w:r>
      <w:r>
        <w:rPr>
          <w:rFonts w:ascii="SimSun" w:hAnsi="SimSun" w:eastAsia="SimSun" w:cs="SimSun"/>
          <w:sz w:val="24"/>
          <w:szCs w:val="24"/>
          <w:b/>
          <w:bCs/>
          <w:spacing w:val="-2"/>
        </w:rPr>
        <w:t>废水处理工艺及其可行性分析</w:t>
      </w:r>
    </w:p>
    <w:p>
      <w:pPr>
        <w:ind w:left="517"/>
        <w:spacing w:before="181"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）生产废水</w:t>
      </w:r>
    </w:p>
    <w:p>
      <w:pPr>
        <w:ind w:left="24" w:firstLine="481"/>
        <w:spacing w:before="184" w:line="359" w:lineRule="auto"/>
        <w:rPr>
          <w:rFonts w:ascii="SimSun" w:hAnsi="SimSun" w:eastAsia="SimSun" w:cs="SimSun"/>
          <w:sz w:val="24"/>
          <w:szCs w:val="24"/>
        </w:rPr>
      </w:pPr>
      <w:r>
        <w:rPr>
          <w:rFonts w:ascii="SimSun" w:hAnsi="SimSun" w:eastAsia="SimSun" w:cs="SimSun"/>
          <w:sz w:val="24"/>
          <w:szCs w:val="24"/>
          <w:spacing w:val="-3"/>
        </w:rPr>
        <w:t>本项目生活冲厕废水送往厌氧发酵装置，厌氧发酵达到沼肥标准后还田利用；</w:t>
      </w:r>
      <w:r>
        <w:rPr>
          <w:rFonts w:ascii="SimSun" w:hAnsi="SimSun" w:eastAsia="SimSun" w:cs="SimSun"/>
          <w:sz w:val="24"/>
          <w:szCs w:val="24"/>
          <w:spacing w:val="12"/>
        </w:rPr>
        <w:t xml:space="preserve"> </w:t>
      </w:r>
      <w:r>
        <w:rPr>
          <w:rFonts w:ascii="SimSun" w:hAnsi="SimSun" w:eastAsia="SimSun" w:cs="SimSun"/>
          <w:sz w:val="24"/>
          <w:szCs w:val="24"/>
          <w:spacing w:val="3"/>
        </w:rPr>
        <w:t>洗浴和食堂废水通过单独管道排入市政污水管网，进</w:t>
      </w:r>
      <w:r>
        <w:rPr>
          <w:rFonts w:ascii="SimSun" w:hAnsi="SimSun" w:eastAsia="SimSun" w:cs="SimSun"/>
          <w:sz w:val="24"/>
          <w:szCs w:val="24"/>
          <w:spacing w:val="2"/>
        </w:rPr>
        <w:t>入明安图镇污水处理厂。洗</w:t>
      </w:r>
      <w:r>
        <w:rPr>
          <w:rFonts w:ascii="SimSun" w:hAnsi="SimSun" w:eastAsia="SimSun" w:cs="SimSun"/>
          <w:sz w:val="24"/>
          <w:szCs w:val="24"/>
        </w:rPr>
        <w:t xml:space="preserve"> </w:t>
      </w:r>
      <w:r>
        <w:rPr>
          <w:rFonts w:ascii="SimSun" w:hAnsi="SimSun" w:eastAsia="SimSun" w:cs="SimSun"/>
          <w:sz w:val="24"/>
          <w:szCs w:val="24"/>
          <w:spacing w:val="1"/>
        </w:rPr>
        <w:t>毛废水、地面冲洗废水经废水收集池收集、</w:t>
      </w:r>
      <w:r>
        <w:rPr>
          <w:rFonts w:ascii="Times New Roman" w:hAnsi="Times New Roman" w:eastAsia="Times New Roman" w:cs="Times New Roman"/>
          <w:sz w:val="24"/>
          <w:szCs w:val="24"/>
        </w:rPr>
        <w:t>TS</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调节池调质</w:t>
      </w:r>
      <w:r>
        <w:rPr>
          <w:rFonts w:ascii="SimSun" w:hAnsi="SimSun" w:eastAsia="SimSun" w:cs="SimSun"/>
          <w:sz w:val="24"/>
          <w:szCs w:val="24"/>
        </w:rPr>
        <w:t>后进入厌氧发酵装置， </w:t>
      </w:r>
      <w:r>
        <w:rPr>
          <w:rFonts w:ascii="SimSun" w:hAnsi="SimSun" w:eastAsia="SimSun" w:cs="SimSun"/>
          <w:sz w:val="24"/>
          <w:szCs w:val="24"/>
          <w:spacing w:val="-1"/>
        </w:rPr>
        <w:t>厌氧发酵达到沼肥标准后还田利用（</w:t>
      </w:r>
      <w:r>
        <w:rPr>
          <w:rFonts w:ascii="SimSun" w:hAnsi="SimSun" w:eastAsia="SimSun" w:cs="SimSun"/>
          <w:sz w:val="24"/>
          <w:szCs w:val="24"/>
          <w:spacing w:val="-32"/>
        </w:rPr>
        <w:t xml:space="preserve"> </w:t>
      </w:r>
      <w:r>
        <w:rPr>
          <w:rFonts w:ascii="SimSun" w:hAnsi="SimSun" w:eastAsia="SimSun" w:cs="SimSun"/>
          <w:sz w:val="24"/>
          <w:szCs w:val="24"/>
          <w:spacing w:val="-1"/>
        </w:rPr>
        <w:t>自用</w:t>
      </w:r>
      <w:r>
        <w:rPr>
          <w:rFonts w:ascii="SimSun" w:hAnsi="SimSun" w:eastAsia="SimSun" w:cs="SimSun"/>
          <w:sz w:val="24"/>
          <w:szCs w:val="24"/>
          <w:spacing w:val="19"/>
        </w:rPr>
        <w:t>），</w:t>
      </w:r>
      <w:r>
        <w:rPr>
          <w:rFonts w:ascii="SimSun" w:hAnsi="SimSun" w:eastAsia="SimSun" w:cs="SimSun"/>
          <w:sz w:val="24"/>
          <w:szCs w:val="24"/>
          <w:spacing w:val="-1"/>
        </w:rPr>
        <w:t>不外排；冷却循环水系统排污、纯</w:t>
      </w:r>
      <w:r>
        <w:rPr>
          <w:rFonts w:ascii="SimSun" w:hAnsi="SimSun" w:eastAsia="SimSun" w:cs="SimSun"/>
          <w:sz w:val="24"/>
          <w:szCs w:val="24"/>
        </w:rPr>
        <w:t xml:space="preserve"> </w:t>
      </w:r>
      <w:r>
        <w:rPr>
          <w:rFonts w:ascii="SimSun" w:hAnsi="SimSun" w:eastAsia="SimSun" w:cs="SimSun"/>
          <w:sz w:val="24"/>
          <w:szCs w:val="24"/>
          <w:spacing w:val="3"/>
        </w:rPr>
        <w:t>水制备排污及锅炉排污全部用作锅炉草木灰抑尘及厂</w:t>
      </w:r>
      <w:r>
        <w:rPr>
          <w:rFonts w:ascii="SimSun" w:hAnsi="SimSun" w:eastAsia="SimSun" w:cs="SimSun"/>
          <w:sz w:val="24"/>
          <w:szCs w:val="24"/>
          <w:spacing w:val="2"/>
        </w:rPr>
        <w:t>区内道路抑尘用水，多余部</w:t>
      </w:r>
      <w:r>
        <w:rPr>
          <w:rFonts w:ascii="SimSun" w:hAnsi="SimSun" w:eastAsia="SimSun" w:cs="SimSun"/>
          <w:sz w:val="24"/>
          <w:szCs w:val="24"/>
        </w:rPr>
        <w:t xml:space="preserve"> </w:t>
      </w:r>
      <w:r>
        <w:rPr>
          <w:rFonts w:ascii="SimSun" w:hAnsi="SimSun" w:eastAsia="SimSun" w:cs="SimSun"/>
          <w:sz w:val="24"/>
          <w:szCs w:val="24"/>
          <w:spacing w:val="-1"/>
        </w:rPr>
        <w:t>分排入市政污水管网，进入明安图镇污水处理厂。</w:t>
      </w:r>
    </w:p>
    <w:p>
      <w:pPr>
        <w:ind w:left="27" w:right="56" w:firstLine="479"/>
        <w:spacing w:before="1" w:line="359" w:lineRule="auto"/>
        <w:jc w:val="both"/>
        <w:rPr>
          <w:rFonts w:ascii="SimSun" w:hAnsi="SimSun" w:eastAsia="SimSun" w:cs="SimSun"/>
          <w:sz w:val="24"/>
          <w:szCs w:val="24"/>
        </w:rPr>
      </w:pPr>
      <w:r>
        <w:rPr>
          <w:rFonts w:ascii="SimSun" w:hAnsi="SimSun" w:eastAsia="SimSun" w:cs="SimSun"/>
          <w:sz w:val="24"/>
          <w:szCs w:val="24"/>
          <w:spacing w:val="-2"/>
        </w:rPr>
        <w:t>本项目厌氧发酵装置采取“废水收集</w:t>
      </w:r>
      <w:r>
        <w:rPr>
          <w:rFonts w:ascii="Times New Roman" w:hAnsi="Times New Roman" w:eastAsia="Times New Roman" w:cs="Times New Roman"/>
          <w:sz w:val="24"/>
          <w:szCs w:val="24"/>
          <w:spacing w:val="-2"/>
        </w:rPr>
        <w:t>+</w:t>
      </w:r>
      <w:r>
        <w:rPr>
          <w:rFonts w:ascii="SimSun" w:hAnsi="SimSun" w:eastAsia="SimSun" w:cs="SimSun"/>
          <w:sz w:val="24"/>
          <w:szCs w:val="24"/>
          <w:spacing w:val="-2"/>
        </w:rPr>
        <w:t>废水调质</w:t>
      </w:r>
      <w:r>
        <w:rPr>
          <w:rFonts w:ascii="Times New Roman" w:hAnsi="Times New Roman" w:eastAsia="Times New Roman" w:cs="Times New Roman"/>
          <w:sz w:val="24"/>
          <w:szCs w:val="24"/>
          <w:spacing w:val="-2"/>
        </w:rPr>
        <w:t>+</w:t>
      </w:r>
      <w:r>
        <w:rPr>
          <w:rFonts w:ascii="SimSun" w:hAnsi="SimSun" w:eastAsia="SimSun" w:cs="SimSun"/>
          <w:sz w:val="24"/>
          <w:szCs w:val="24"/>
          <w:spacing w:val="-2"/>
        </w:rPr>
        <w:t>全混式中温厌氧发</w:t>
      </w:r>
      <w:r>
        <w:rPr>
          <w:rFonts w:ascii="SimSun" w:hAnsi="SimSun" w:eastAsia="SimSun" w:cs="SimSun"/>
          <w:sz w:val="24"/>
          <w:szCs w:val="24"/>
          <w:spacing w:val="-3"/>
        </w:rPr>
        <w:t>酵</w:t>
      </w:r>
      <w:r>
        <w:rPr>
          <w:rFonts w:ascii="Times New Roman" w:hAnsi="Times New Roman" w:eastAsia="Times New Roman" w:cs="Times New Roman"/>
          <w:sz w:val="24"/>
          <w:szCs w:val="24"/>
          <w:spacing w:val="-3"/>
        </w:rPr>
        <w:t>+</w:t>
      </w:r>
      <w:r>
        <w:rPr>
          <w:rFonts w:ascii="SimSun" w:hAnsi="SimSun" w:eastAsia="SimSun" w:cs="SimSun"/>
          <w:sz w:val="24"/>
          <w:szCs w:val="24"/>
          <w:spacing w:val="-3"/>
        </w:rPr>
        <w:t>沼气脱</w:t>
      </w:r>
      <w:r>
        <w:rPr>
          <w:rFonts w:ascii="SimSun" w:hAnsi="SimSun" w:eastAsia="SimSun" w:cs="SimSun"/>
          <w:sz w:val="24"/>
          <w:szCs w:val="24"/>
        </w:rPr>
        <w:t xml:space="preserve"> </w:t>
      </w:r>
      <w:r>
        <w:rPr>
          <w:rFonts w:ascii="SimSun" w:hAnsi="SimSun" w:eastAsia="SimSun" w:cs="SimSun"/>
          <w:sz w:val="24"/>
          <w:szCs w:val="24"/>
          <w:spacing w:val="1"/>
        </w:rPr>
        <w:t>水</w:t>
      </w:r>
      <w:r>
        <w:rPr>
          <w:rFonts w:ascii="Times New Roman" w:hAnsi="Times New Roman" w:eastAsia="Times New Roman" w:cs="Times New Roman"/>
          <w:sz w:val="24"/>
          <w:szCs w:val="24"/>
          <w:spacing w:val="1"/>
        </w:rPr>
        <w:t>+</w:t>
      </w:r>
      <w:r>
        <w:rPr>
          <w:rFonts w:ascii="SimSun" w:hAnsi="SimSun" w:eastAsia="SimSun" w:cs="SimSun"/>
          <w:sz w:val="24"/>
          <w:szCs w:val="24"/>
          <w:spacing w:val="1"/>
        </w:rPr>
        <w:t>干法脱硫</w:t>
      </w:r>
      <w:r>
        <w:rPr>
          <w:rFonts w:ascii="Times New Roman" w:hAnsi="Times New Roman" w:eastAsia="Times New Roman" w:cs="Times New Roman"/>
          <w:sz w:val="24"/>
          <w:szCs w:val="24"/>
          <w:spacing w:val="1"/>
        </w:rPr>
        <w:t>+</w:t>
      </w:r>
      <w:r>
        <w:rPr>
          <w:rFonts w:ascii="SimSun" w:hAnsi="SimSun" w:eastAsia="SimSun" w:cs="SimSun"/>
          <w:sz w:val="24"/>
          <w:szCs w:val="24"/>
          <w:spacing w:val="1"/>
        </w:rPr>
        <w:t>沼气储存利用</w:t>
      </w:r>
      <w:r>
        <w:rPr>
          <w:rFonts w:ascii="SimSun" w:hAnsi="SimSun" w:eastAsia="SimSun" w:cs="SimSun"/>
          <w:sz w:val="24"/>
          <w:szCs w:val="24"/>
          <w:spacing w:val="-83"/>
        </w:rPr>
        <w:t xml:space="preserve"> </w:t>
      </w:r>
      <w:r>
        <w:rPr>
          <w:rFonts w:ascii="SimSun" w:hAnsi="SimSun" w:eastAsia="SimSun" w:cs="SimSun"/>
          <w:sz w:val="24"/>
          <w:szCs w:val="24"/>
          <w:spacing w:val="1"/>
        </w:rPr>
        <w:t>”为核心的主体工艺技</w:t>
      </w:r>
      <w:r>
        <w:rPr>
          <w:rFonts w:ascii="SimSun" w:hAnsi="SimSun" w:eastAsia="SimSun" w:cs="SimSun"/>
          <w:sz w:val="24"/>
          <w:szCs w:val="24"/>
        </w:rPr>
        <w:t>术。厌氧消化工艺的确定主要 </w:t>
      </w:r>
      <w:r>
        <w:rPr>
          <w:rFonts w:ascii="SimSun" w:hAnsi="SimSun" w:eastAsia="SimSun" w:cs="SimSun"/>
          <w:sz w:val="24"/>
          <w:szCs w:val="24"/>
          <w:spacing w:val="3"/>
        </w:rPr>
        <w:t>依据以下参数：原料性质、含固率、运行温度、进料</w:t>
      </w:r>
      <w:r>
        <w:rPr>
          <w:rFonts w:ascii="SimSun" w:hAnsi="SimSun" w:eastAsia="SimSun" w:cs="SimSun"/>
          <w:sz w:val="24"/>
          <w:szCs w:val="24"/>
          <w:spacing w:val="2"/>
        </w:rPr>
        <w:t>方式、产气量、停留期等，</w:t>
      </w:r>
      <w:r>
        <w:rPr>
          <w:rFonts w:ascii="SimSun" w:hAnsi="SimSun" w:eastAsia="SimSun" w:cs="SimSun"/>
          <w:sz w:val="24"/>
          <w:szCs w:val="24"/>
        </w:rPr>
        <w:t xml:space="preserve"> </w:t>
      </w:r>
      <w:r>
        <w:rPr>
          <w:rFonts w:ascii="SimSun" w:hAnsi="SimSun" w:eastAsia="SimSun" w:cs="SimSun"/>
          <w:sz w:val="24"/>
          <w:szCs w:val="24"/>
          <w:spacing w:val="1"/>
        </w:rPr>
        <w:t>从稳定性、安全性和先进性方面综合考虑。</w:t>
      </w:r>
      <w:r>
        <w:rPr>
          <w:rFonts w:ascii="SimSun" w:hAnsi="SimSun" w:eastAsia="SimSun" w:cs="SimSun"/>
          <w:sz w:val="24"/>
          <w:szCs w:val="24"/>
          <w:spacing w:val="-62"/>
        </w:rPr>
        <w:t xml:space="preserve"> </w:t>
      </w:r>
      <w:r>
        <w:rPr>
          <w:rFonts w:ascii="SimSun" w:hAnsi="SimSun" w:eastAsia="SimSun" w:cs="SimSun"/>
          <w:sz w:val="24"/>
          <w:szCs w:val="24"/>
          <w:spacing w:val="1"/>
        </w:rPr>
        <w:t>目前国内外常用的厌氧发酵工艺主要</w:t>
      </w:r>
      <w:r>
        <w:rPr>
          <w:rFonts w:ascii="SimSun" w:hAnsi="SimSun" w:eastAsia="SimSun" w:cs="SimSun"/>
          <w:sz w:val="24"/>
          <w:szCs w:val="24"/>
        </w:rPr>
        <w:t xml:space="preserve"> </w:t>
      </w:r>
      <w:r>
        <w:rPr>
          <w:rFonts w:ascii="SimSun" w:hAnsi="SimSun" w:eastAsia="SimSun" w:cs="SimSun"/>
          <w:sz w:val="24"/>
          <w:szCs w:val="24"/>
          <w:spacing w:val="-2"/>
        </w:rPr>
        <w:t>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CSTR</w:t>
      </w:r>
      <w:r>
        <w:rPr>
          <w:rFonts w:ascii="SimSun" w:hAnsi="SimSun" w:eastAsia="SimSun" w:cs="SimSun"/>
          <w:sz w:val="24"/>
          <w:szCs w:val="24"/>
          <w:spacing w:val="-2"/>
        </w:rPr>
        <w:t>、</w:t>
      </w:r>
      <w:r>
        <w:rPr>
          <w:rFonts w:ascii="Times New Roman" w:hAnsi="Times New Roman" w:eastAsia="Times New Roman" w:cs="Times New Roman"/>
          <w:sz w:val="24"/>
          <w:szCs w:val="24"/>
          <w:spacing w:val="-2"/>
        </w:rPr>
        <w:t>UASB</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HCF</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USR </w:t>
      </w:r>
      <w:r>
        <w:rPr>
          <w:rFonts w:ascii="SimSun" w:hAnsi="SimSun" w:eastAsia="SimSun" w:cs="SimSun"/>
          <w:sz w:val="24"/>
          <w:szCs w:val="24"/>
          <w:spacing w:val="-2"/>
        </w:rPr>
        <w:t>及干发酵。对</w:t>
      </w:r>
      <w:r>
        <w:rPr>
          <w:rFonts w:ascii="SimSun" w:hAnsi="SimSun" w:eastAsia="SimSun" w:cs="SimSun"/>
          <w:sz w:val="24"/>
          <w:szCs w:val="24"/>
          <w:spacing w:val="-3"/>
        </w:rPr>
        <w:t>比分析见表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7.2-1</w:t>
      </w:r>
      <w:r>
        <w:rPr>
          <w:rFonts w:ascii="SimSun" w:hAnsi="SimSun" w:eastAsia="SimSun" w:cs="SimSun"/>
          <w:sz w:val="24"/>
          <w:szCs w:val="24"/>
          <w:spacing w:val="-3"/>
        </w:rPr>
        <w:t>。</w:t>
      </w:r>
    </w:p>
    <w:p>
      <w:pPr>
        <w:ind w:left="2791"/>
        <w:spacing w:before="1"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7.2-1        </w:t>
      </w:r>
      <w:r>
        <w:rPr>
          <w:rFonts w:ascii="SimSun" w:hAnsi="SimSun" w:eastAsia="SimSun" w:cs="SimSun"/>
          <w:sz w:val="24"/>
          <w:szCs w:val="24"/>
          <w:b/>
          <w:bCs/>
          <w:spacing w:val="-2"/>
        </w:rPr>
        <w:t>厌氧工艺比较表</w:t>
      </w:r>
    </w:p>
    <w:tbl>
      <w:tblPr>
        <w:tblStyle w:val="TableNormal"/>
        <w:tblW w:w="853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45"/>
        <w:gridCol w:w="1293"/>
        <w:gridCol w:w="1460"/>
        <w:gridCol w:w="1332"/>
        <w:gridCol w:w="1274"/>
        <w:gridCol w:w="1281"/>
        <w:gridCol w:w="1446"/>
      </w:tblGrid>
      <w:tr>
        <w:trPr>
          <w:trHeight w:val="281" w:hRule="atLeast"/>
        </w:trPr>
        <w:tc>
          <w:tcPr>
            <w:tcW w:w="445" w:type="dxa"/>
            <w:vAlign w:val="top"/>
          </w:tcPr>
          <w:p>
            <w:pPr>
              <w:pStyle w:val="TableText"/>
              <w:ind w:left="16"/>
              <w:spacing w:before="37" w:line="216" w:lineRule="auto"/>
              <w:rPr/>
            </w:pPr>
            <w:r>
              <w:rPr>
                <w:spacing w:val="5"/>
              </w:rPr>
              <w:t>序号</w:t>
            </w:r>
          </w:p>
        </w:tc>
        <w:tc>
          <w:tcPr>
            <w:tcW w:w="1293" w:type="dxa"/>
            <w:vAlign w:val="top"/>
          </w:tcPr>
          <w:p>
            <w:pPr>
              <w:pStyle w:val="TableText"/>
              <w:ind w:left="233"/>
              <w:spacing w:before="37" w:line="216" w:lineRule="auto"/>
              <w:rPr/>
            </w:pPr>
            <w:r>
              <w:rPr>
                <w:spacing w:val="6"/>
              </w:rPr>
              <w:t>项目类别</w:t>
            </w:r>
          </w:p>
        </w:tc>
        <w:tc>
          <w:tcPr>
            <w:tcW w:w="1460" w:type="dxa"/>
            <w:vAlign w:val="top"/>
          </w:tcPr>
          <w:p>
            <w:pPr>
              <w:ind w:left="472"/>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CSTR</w:t>
            </w:r>
          </w:p>
        </w:tc>
        <w:tc>
          <w:tcPr>
            <w:tcW w:w="1332" w:type="dxa"/>
            <w:vAlign w:val="top"/>
          </w:tcPr>
          <w:p>
            <w:pPr>
              <w:ind w:left="383"/>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UASB</w:t>
            </w:r>
          </w:p>
        </w:tc>
        <w:tc>
          <w:tcPr>
            <w:tcW w:w="1274" w:type="dxa"/>
            <w:vAlign w:val="top"/>
          </w:tcPr>
          <w:p>
            <w:pPr>
              <w:ind w:left="433"/>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HCF</w:t>
            </w:r>
          </w:p>
        </w:tc>
        <w:tc>
          <w:tcPr>
            <w:tcW w:w="1281" w:type="dxa"/>
            <w:vAlign w:val="top"/>
          </w:tcPr>
          <w:p>
            <w:pPr>
              <w:ind w:left="436"/>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USR</w:t>
            </w:r>
          </w:p>
        </w:tc>
        <w:tc>
          <w:tcPr>
            <w:tcW w:w="1446" w:type="dxa"/>
            <w:vAlign w:val="top"/>
          </w:tcPr>
          <w:p>
            <w:pPr>
              <w:pStyle w:val="TableText"/>
              <w:ind w:left="412"/>
              <w:spacing w:before="37" w:line="216" w:lineRule="auto"/>
              <w:rPr/>
            </w:pPr>
            <w:r>
              <w:rPr>
                <w:spacing w:val="7"/>
              </w:rPr>
              <w:t>干发酵</w:t>
            </w:r>
          </w:p>
        </w:tc>
      </w:tr>
      <w:tr>
        <w:trPr>
          <w:trHeight w:val="548" w:hRule="atLeast"/>
        </w:trPr>
        <w:tc>
          <w:tcPr>
            <w:tcW w:w="445" w:type="dxa"/>
            <w:vAlign w:val="top"/>
          </w:tcPr>
          <w:p>
            <w:pPr>
              <w:ind w:left="191"/>
              <w:spacing w:before="204"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293" w:type="dxa"/>
            <w:vAlign w:val="top"/>
          </w:tcPr>
          <w:p>
            <w:pPr>
              <w:pStyle w:val="TableText"/>
              <w:ind w:left="234"/>
              <w:spacing w:before="168" w:line="228" w:lineRule="auto"/>
              <w:rPr/>
            </w:pPr>
            <w:r>
              <w:rPr>
                <w:spacing w:val="6"/>
              </w:rPr>
              <w:t>原料范围</w:t>
            </w:r>
          </w:p>
        </w:tc>
        <w:tc>
          <w:tcPr>
            <w:tcW w:w="1460" w:type="dxa"/>
            <w:vAlign w:val="top"/>
          </w:tcPr>
          <w:p>
            <w:pPr>
              <w:pStyle w:val="TableText"/>
              <w:ind w:left="209" w:right="19" w:hanging="200"/>
              <w:spacing w:before="30" w:line="234" w:lineRule="auto"/>
              <w:rPr/>
            </w:pPr>
            <w:r>
              <w:rPr>
                <w:spacing w:val="3"/>
              </w:rPr>
              <w:t>所有畜禽原料、</w:t>
            </w:r>
            <w:r>
              <w:rPr>
                <w:spacing w:val="4"/>
              </w:rPr>
              <w:t xml:space="preserve"> </w:t>
            </w:r>
            <w:r>
              <w:rPr>
                <w:spacing w:val="7"/>
              </w:rPr>
              <w:t>有机废弃物</w:t>
            </w:r>
          </w:p>
        </w:tc>
        <w:tc>
          <w:tcPr>
            <w:tcW w:w="1332" w:type="dxa"/>
            <w:vAlign w:val="top"/>
          </w:tcPr>
          <w:p>
            <w:pPr>
              <w:pStyle w:val="TableText"/>
              <w:spacing w:before="31" w:line="228" w:lineRule="auto"/>
              <w:jc w:val="right"/>
              <w:rPr/>
            </w:pPr>
            <w:r>
              <w:rPr>
                <w:spacing w:val="-5"/>
              </w:rPr>
              <w:t>高</w:t>
            </w:r>
            <w:r>
              <w:rPr>
                <w:spacing w:val="-38"/>
              </w:rPr>
              <w:t xml:space="preserve"> </w:t>
            </w:r>
            <w:r>
              <w:rPr>
                <w:rFonts w:ascii="Times New Roman" w:hAnsi="Times New Roman" w:eastAsia="Times New Roman" w:cs="Times New Roman"/>
                <w:spacing w:val="-5"/>
              </w:rPr>
              <w:t>COD</w:t>
            </w:r>
            <w:r>
              <w:rPr>
                <w:rFonts w:ascii="Times New Roman" w:hAnsi="Times New Roman" w:eastAsia="Times New Roman" w:cs="Times New Roman"/>
                <w:spacing w:val="12"/>
              </w:rPr>
              <w:t xml:space="preserve"> </w:t>
            </w:r>
            <w:r>
              <w:rPr>
                <w:spacing w:val="-5"/>
              </w:rPr>
              <w:t>污水、</w:t>
            </w:r>
          </w:p>
          <w:p>
            <w:pPr>
              <w:pStyle w:val="TableText"/>
              <w:ind w:left="264"/>
              <w:spacing w:before="26" w:line="215" w:lineRule="auto"/>
              <w:rPr/>
            </w:pPr>
            <w:r>
              <w:rPr>
                <w:spacing w:val="4"/>
              </w:rPr>
              <w:t>畜禽污水</w:t>
            </w:r>
          </w:p>
        </w:tc>
        <w:tc>
          <w:tcPr>
            <w:tcW w:w="1274" w:type="dxa"/>
            <w:vAlign w:val="top"/>
          </w:tcPr>
          <w:p>
            <w:pPr>
              <w:pStyle w:val="TableText"/>
              <w:ind w:left="13"/>
              <w:spacing w:before="168" w:line="228" w:lineRule="auto"/>
              <w:rPr/>
            </w:pPr>
            <w:r>
              <w:rPr>
                <w:spacing w:val="8"/>
              </w:rPr>
              <w:t>所有畜禽原料</w:t>
            </w:r>
          </w:p>
        </w:tc>
        <w:tc>
          <w:tcPr>
            <w:tcW w:w="1281" w:type="dxa"/>
            <w:vAlign w:val="top"/>
          </w:tcPr>
          <w:p>
            <w:pPr>
              <w:pStyle w:val="TableText"/>
              <w:ind w:left="18"/>
              <w:spacing w:before="31" w:line="228" w:lineRule="auto"/>
              <w:rPr/>
            </w:pPr>
            <w:r>
              <w:rPr>
                <w:spacing w:val="6"/>
              </w:rPr>
              <w:t>猪粪、鸡粪、</w:t>
            </w:r>
          </w:p>
          <w:p>
            <w:pPr>
              <w:pStyle w:val="TableText"/>
              <w:ind w:left="228"/>
              <w:spacing w:before="26" w:line="215" w:lineRule="auto"/>
              <w:rPr/>
            </w:pPr>
            <w:r>
              <w:rPr>
                <w:spacing w:val="7"/>
              </w:rPr>
              <w:t>屠宰废水</w:t>
            </w:r>
          </w:p>
        </w:tc>
        <w:tc>
          <w:tcPr>
            <w:tcW w:w="1446" w:type="dxa"/>
            <w:vAlign w:val="top"/>
          </w:tcPr>
          <w:p>
            <w:pPr>
              <w:pStyle w:val="TableText"/>
              <w:ind w:left="204" w:right="2" w:hanging="192"/>
              <w:spacing w:before="30" w:line="234" w:lineRule="auto"/>
              <w:rPr/>
            </w:pPr>
            <w:r>
              <w:rPr>
                <w:spacing w:val="3"/>
              </w:rPr>
              <w:t>所有畜禽原料、</w:t>
            </w:r>
            <w:r>
              <w:rPr>
                <w:spacing w:val="4"/>
              </w:rPr>
              <w:t xml:space="preserve"> </w:t>
            </w:r>
            <w:r>
              <w:rPr>
                <w:spacing w:val="7"/>
              </w:rPr>
              <w:t>有机废弃物</w:t>
            </w:r>
          </w:p>
        </w:tc>
      </w:tr>
      <w:tr>
        <w:trPr>
          <w:trHeight w:val="276" w:hRule="atLeast"/>
        </w:trPr>
        <w:tc>
          <w:tcPr>
            <w:tcW w:w="445" w:type="dxa"/>
            <w:vAlign w:val="top"/>
          </w:tcPr>
          <w:p>
            <w:pPr>
              <w:ind w:left="171"/>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293" w:type="dxa"/>
            <w:vAlign w:val="top"/>
          </w:tcPr>
          <w:p>
            <w:pPr>
              <w:pStyle w:val="TableText"/>
              <w:ind w:left="59"/>
              <w:spacing w:before="35" w:line="213" w:lineRule="auto"/>
              <w:rPr/>
            </w:pPr>
            <w:r>
              <w:rPr>
                <w:spacing w:val="4"/>
              </w:rPr>
              <w:t>原料</w:t>
            </w:r>
            <w:r>
              <w:rPr>
                <w:spacing w:val="-38"/>
              </w:rPr>
              <w:t xml:space="preserve"> </w:t>
            </w:r>
            <w:r>
              <w:rPr>
                <w:rFonts w:ascii="Times New Roman" w:hAnsi="Times New Roman" w:eastAsia="Times New Roman" w:cs="Times New Roman"/>
              </w:rPr>
              <w:t>TS</w:t>
            </w:r>
            <w:r>
              <w:rPr>
                <w:rFonts w:ascii="Times New Roman" w:hAnsi="Times New Roman" w:eastAsia="Times New Roman" w:cs="Times New Roman"/>
                <w:spacing w:val="12"/>
                <w:w w:val="101"/>
              </w:rPr>
              <w:t xml:space="preserve"> </w:t>
            </w:r>
            <w:r>
              <w:rPr>
                <w:spacing w:val="4"/>
              </w:rPr>
              <w:t>浓度</w:t>
            </w:r>
          </w:p>
        </w:tc>
        <w:tc>
          <w:tcPr>
            <w:tcW w:w="1460" w:type="dxa"/>
            <w:vAlign w:val="top"/>
          </w:tcPr>
          <w:p>
            <w:pPr>
              <w:ind w:left="454"/>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6-12%</w:t>
            </w:r>
          </w:p>
        </w:tc>
        <w:tc>
          <w:tcPr>
            <w:tcW w:w="1332" w:type="dxa"/>
            <w:vAlign w:val="top"/>
          </w:tcPr>
          <w:p>
            <w:pPr>
              <w:ind w:left="467"/>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&lt;1%</w:t>
            </w:r>
          </w:p>
        </w:tc>
        <w:tc>
          <w:tcPr>
            <w:tcW w:w="1274" w:type="dxa"/>
            <w:vAlign w:val="top"/>
          </w:tcPr>
          <w:p>
            <w:pPr>
              <w:ind w:left="36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8-12%</w:t>
            </w:r>
          </w:p>
        </w:tc>
        <w:tc>
          <w:tcPr>
            <w:tcW w:w="1281" w:type="dxa"/>
            <w:vAlign w:val="top"/>
          </w:tcPr>
          <w:p>
            <w:pPr>
              <w:ind w:left="419"/>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3-8%</w:t>
            </w:r>
          </w:p>
        </w:tc>
        <w:tc>
          <w:tcPr>
            <w:tcW w:w="1446" w:type="dxa"/>
            <w:vAlign w:val="top"/>
          </w:tcPr>
          <w:p>
            <w:pPr>
              <w:ind w:left="412"/>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15-20%</w:t>
            </w:r>
          </w:p>
        </w:tc>
      </w:tr>
      <w:tr>
        <w:trPr>
          <w:trHeight w:val="551" w:hRule="atLeast"/>
        </w:trPr>
        <w:tc>
          <w:tcPr>
            <w:tcW w:w="445" w:type="dxa"/>
            <w:vAlign w:val="top"/>
          </w:tcPr>
          <w:p>
            <w:pPr>
              <w:ind w:left="175"/>
              <w:spacing w:before="20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293" w:type="dxa"/>
            <w:vAlign w:val="top"/>
          </w:tcPr>
          <w:p>
            <w:pPr>
              <w:pStyle w:val="TableText"/>
              <w:ind w:left="230"/>
              <w:spacing w:before="170" w:line="228" w:lineRule="auto"/>
              <w:rPr/>
            </w:pPr>
            <w:r>
              <w:rPr>
                <w:spacing w:val="7"/>
              </w:rPr>
              <w:t>反应温度</w:t>
            </w:r>
          </w:p>
        </w:tc>
        <w:tc>
          <w:tcPr>
            <w:tcW w:w="1460" w:type="dxa"/>
            <w:vAlign w:val="top"/>
          </w:tcPr>
          <w:p>
            <w:pPr>
              <w:pStyle w:val="TableText"/>
              <w:ind w:left="228"/>
              <w:spacing w:before="169" w:line="228" w:lineRule="auto"/>
              <w:rPr/>
            </w:pPr>
            <w:r>
              <w:rPr>
                <w:spacing w:val="4"/>
              </w:rPr>
              <w:t>中温、高温</w:t>
            </w:r>
          </w:p>
        </w:tc>
        <w:tc>
          <w:tcPr>
            <w:tcW w:w="1332" w:type="dxa"/>
            <w:vAlign w:val="top"/>
          </w:tcPr>
          <w:p>
            <w:pPr>
              <w:pStyle w:val="TableText"/>
              <w:ind w:left="150"/>
              <w:spacing w:before="170" w:line="228" w:lineRule="auto"/>
              <w:rPr/>
            </w:pPr>
            <w:r>
              <w:rPr>
                <w:spacing w:val="7"/>
              </w:rPr>
              <w:t>常温、中温</w:t>
            </w:r>
          </w:p>
        </w:tc>
        <w:tc>
          <w:tcPr>
            <w:tcW w:w="1274" w:type="dxa"/>
            <w:vAlign w:val="top"/>
          </w:tcPr>
          <w:p>
            <w:pPr>
              <w:pStyle w:val="TableText"/>
              <w:ind w:left="121"/>
              <w:spacing w:before="170" w:line="228" w:lineRule="auto"/>
              <w:rPr/>
            </w:pPr>
            <w:r>
              <w:rPr>
                <w:spacing w:val="7"/>
              </w:rPr>
              <w:t>常温、中温</w:t>
            </w:r>
          </w:p>
        </w:tc>
        <w:tc>
          <w:tcPr>
            <w:tcW w:w="1281" w:type="dxa"/>
            <w:vAlign w:val="top"/>
          </w:tcPr>
          <w:p>
            <w:pPr>
              <w:pStyle w:val="TableText"/>
              <w:ind w:left="126"/>
              <w:spacing w:before="170" w:line="228" w:lineRule="auto"/>
              <w:rPr/>
            </w:pPr>
            <w:r>
              <w:rPr>
                <w:spacing w:val="7"/>
              </w:rPr>
              <w:t>常温、中温</w:t>
            </w:r>
          </w:p>
        </w:tc>
        <w:tc>
          <w:tcPr>
            <w:tcW w:w="1446" w:type="dxa"/>
            <w:vAlign w:val="top"/>
          </w:tcPr>
          <w:p>
            <w:pPr>
              <w:pStyle w:val="TableText"/>
              <w:ind w:left="625" w:right="6" w:hanging="608"/>
              <w:spacing w:before="36" w:line="233" w:lineRule="auto"/>
              <w:rPr/>
            </w:pPr>
            <w:r>
              <w:rPr>
                <w:spacing w:val="2"/>
              </w:rPr>
              <w:t>常温、中温、高 </w:t>
            </w:r>
            <w:r>
              <w:rPr/>
              <w:t>温</w:t>
            </w:r>
          </w:p>
        </w:tc>
      </w:tr>
    </w:tbl>
    <w:p>
      <w:pPr>
        <w:pStyle w:val="BodyText"/>
        <w:rPr/>
      </w:pPr>
      <w:r/>
    </w:p>
    <w:p>
      <w:pPr>
        <w:sectPr>
          <w:headerReference w:type="default" r:id="rId357"/>
          <w:footerReference w:type="default" r:id="rId358"/>
          <w:pgSz w:w="11907" w:h="16840"/>
          <w:pgMar w:top="1567" w:right="1643" w:bottom="1921" w:left="1685" w:header="1221" w:footer="1247" w:gutter="0"/>
        </w:sectPr>
        <w:rPr/>
      </w:pPr>
    </w:p>
    <w:p>
      <w:pPr>
        <w:spacing w:line="151" w:lineRule="exact"/>
        <w:rPr/>
      </w:pPr>
      <w:r>
        <w:pict>
          <v:shape id="_x0000_s1212" style="position:absolute;margin-left:85.05pt;margin-top:79.11pt;mso-position-vertical-relative:page;mso-position-horizontal-relative:page;width:425.25pt;height:0.75pt;z-index:252301312;" o:allowincell="f" fillcolor="#000000" filled="true" stroked="false" coordsize="8505,15" coordorigin="0,0" path="m,l8505,0l8505,14l0,14l0,0xe"/>
        </w:pict>
      </w:r>
      <w:r/>
    </w:p>
    <w:tbl>
      <w:tblPr>
        <w:tblStyle w:val="TableNormal"/>
        <w:tblW w:w="853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45"/>
        <w:gridCol w:w="1293"/>
        <w:gridCol w:w="1460"/>
        <w:gridCol w:w="1332"/>
        <w:gridCol w:w="1274"/>
        <w:gridCol w:w="1281"/>
        <w:gridCol w:w="1446"/>
      </w:tblGrid>
      <w:tr>
        <w:trPr>
          <w:trHeight w:val="281" w:hRule="atLeast"/>
        </w:trPr>
        <w:tc>
          <w:tcPr>
            <w:tcW w:w="445" w:type="dxa"/>
            <w:vAlign w:val="top"/>
          </w:tcPr>
          <w:p>
            <w:pPr>
              <w:pStyle w:val="TableText"/>
              <w:ind w:left="16"/>
              <w:spacing w:before="36" w:line="216" w:lineRule="auto"/>
              <w:rPr/>
            </w:pPr>
            <w:r>
              <w:rPr>
                <w:spacing w:val="5"/>
              </w:rPr>
              <w:t>序号</w:t>
            </w:r>
          </w:p>
        </w:tc>
        <w:tc>
          <w:tcPr>
            <w:tcW w:w="1293" w:type="dxa"/>
            <w:vAlign w:val="top"/>
          </w:tcPr>
          <w:p>
            <w:pPr>
              <w:pStyle w:val="TableText"/>
              <w:ind w:left="233"/>
              <w:spacing w:before="36" w:line="216" w:lineRule="auto"/>
              <w:rPr/>
            </w:pPr>
            <w:r>
              <w:rPr>
                <w:spacing w:val="6"/>
              </w:rPr>
              <w:t>项目类别</w:t>
            </w:r>
          </w:p>
        </w:tc>
        <w:tc>
          <w:tcPr>
            <w:tcW w:w="1460" w:type="dxa"/>
            <w:vAlign w:val="top"/>
          </w:tcPr>
          <w:p>
            <w:pPr>
              <w:ind w:left="472"/>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CSTR</w:t>
            </w:r>
          </w:p>
        </w:tc>
        <w:tc>
          <w:tcPr>
            <w:tcW w:w="1332" w:type="dxa"/>
            <w:vAlign w:val="top"/>
          </w:tcPr>
          <w:p>
            <w:pPr>
              <w:ind w:left="383"/>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6"/>
              </w:rPr>
              <w:t>UASB</w:t>
            </w:r>
          </w:p>
        </w:tc>
        <w:tc>
          <w:tcPr>
            <w:tcW w:w="1274" w:type="dxa"/>
            <w:vAlign w:val="top"/>
          </w:tcPr>
          <w:p>
            <w:pPr>
              <w:ind w:left="433"/>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HCF</w:t>
            </w:r>
          </w:p>
        </w:tc>
        <w:tc>
          <w:tcPr>
            <w:tcW w:w="1281" w:type="dxa"/>
            <w:vAlign w:val="top"/>
          </w:tcPr>
          <w:p>
            <w:pPr>
              <w:ind w:left="436"/>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5"/>
              </w:rPr>
              <w:t>USR</w:t>
            </w:r>
          </w:p>
        </w:tc>
        <w:tc>
          <w:tcPr>
            <w:tcW w:w="1446" w:type="dxa"/>
            <w:vAlign w:val="top"/>
          </w:tcPr>
          <w:p>
            <w:pPr>
              <w:pStyle w:val="TableText"/>
              <w:ind w:left="412"/>
              <w:spacing w:before="36" w:line="216" w:lineRule="auto"/>
              <w:rPr/>
            </w:pPr>
            <w:r>
              <w:rPr>
                <w:spacing w:val="7"/>
              </w:rPr>
              <w:t>干发酵</w:t>
            </w:r>
          </w:p>
        </w:tc>
      </w:tr>
      <w:tr>
        <w:trPr>
          <w:trHeight w:val="277" w:hRule="atLeast"/>
        </w:trPr>
        <w:tc>
          <w:tcPr>
            <w:tcW w:w="445" w:type="dxa"/>
            <w:vAlign w:val="top"/>
          </w:tcPr>
          <w:p>
            <w:pPr>
              <w:ind w:left="170"/>
              <w:spacing w:before="6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1293" w:type="dxa"/>
            <w:vAlign w:val="top"/>
          </w:tcPr>
          <w:p>
            <w:pPr>
              <w:pStyle w:val="TableText"/>
              <w:ind w:left="23"/>
              <w:spacing w:before="31" w:line="217" w:lineRule="auto"/>
              <w:rPr/>
            </w:pPr>
            <w:r>
              <w:rPr>
                <w:spacing w:val="7"/>
              </w:rPr>
              <w:t>水力停留时间</w:t>
            </w:r>
          </w:p>
        </w:tc>
        <w:tc>
          <w:tcPr>
            <w:tcW w:w="1460" w:type="dxa"/>
            <w:vAlign w:val="top"/>
          </w:tcPr>
          <w:p>
            <w:pPr>
              <w:pStyle w:val="TableText"/>
              <w:ind w:left="373"/>
              <w:spacing w:before="31" w:line="217" w:lineRule="auto"/>
              <w:rPr/>
            </w:pPr>
            <w:r>
              <w:rPr>
                <w:rFonts w:ascii="Times New Roman" w:hAnsi="Times New Roman" w:eastAsia="Times New Roman" w:cs="Times New Roman"/>
                <w:spacing w:val="-1"/>
              </w:rPr>
              <w:t>15-30</w:t>
            </w:r>
            <w:r>
              <w:rPr>
                <w:rFonts w:ascii="Times New Roman" w:hAnsi="Times New Roman" w:eastAsia="Times New Roman" w:cs="Times New Roman"/>
                <w:spacing w:val="18"/>
                <w:w w:val="101"/>
              </w:rPr>
              <w:t xml:space="preserve"> </w:t>
            </w:r>
            <w:r>
              <w:rPr>
                <w:spacing w:val="-1"/>
              </w:rPr>
              <w:t>天</w:t>
            </w:r>
          </w:p>
        </w:tc>
        <w:tc>
          <w:tcPr>
            <w:tcW w:w="1332" w:type="dxa"/>
            <w:vAlign w:val="top"/>
          </w:tcPr>
          <w:p>
            <w:pPr>
              <w:pStyle w:val="TableText"/>
              <w:ind w:left="416"/>
              <w:spacing w:before="31" w:line="217" w:lineRule="auto"/>
              <w:rPr/>
            </w:pPr>
            <w:r>
              <w:rPr>
                <w:rFonts w:ascii="Times New Roman" w:hAnsi="Times New Roman" w:eastAsia="Times New Roman" w:cs="Times New Roman"/>
                <w:spacing w:val="-4"/>
              </w:rPr>
              <w:t>1-5</w:t>
            </w:r>
            <w:r>
              <w:rPr>
                <w:rFonts w:ascii="Times New Roman" w:hAnsi="Times New Roman" w:eastAsia="Times New Roman" w:cs="Times New Roman"/>
                <w:spacing w:val="17"/>
              </w:rPr>
              <w:t xml:space="preserve"> </w:t>
            </w:r>
            <w:r>
              <w:rPr>
                <w:spacing w:val="-4"/>
              </w:rPr>
              <w:t>天</w:t>
            </w:r>
          </w:p>
        </w:tc>
        <w:tc>
          <w:tcPr>
            <w:tcW w:w="1274" w:type="dxa"/>
            <w:vAlign w:val="top"/>
          </w:tcPr>
          <w:p>
            <w:pPr>
              <w:pStyle w:val="TableText"/>
              <w:ind w:left="284"/>
              <w:spacing w:before="31" w:line="217" w:lineRule="auto"/>
              <w:rPr/>
            </w:pPr>
            <w:r>
              <w:rPr>
                <w:rFonts w:ascii="Times New Roman" w:hAnsi="Times New Roman" w:eastAsia="Times New Roman" w:cs="Times New Roman"/>
                <w:spacing w:val="-1"/>
              </w:rPr>
              <w:t>10-30</w:t>
            </w:r>
            <w:r>
              <w:rPr>
                <w:rFonts w:ascii="Times New Roman" w:hAnsi="Times New Roman" w:eastAsia="Times New Roman" w:cs="Times New Roman"/>
                <w:spacing w:val="16"/>
              </w:rPr>
              <w:t xml:space="preserve"> </w:t>
            </w:r>
            <w:r>
              <w:rPr>
                <w:spacing w:val="-1"/>
              </w:rPr>
              <w:t>天</w:t>
            </w:r>
          </w:p>
        </w:tc>
        <w:tc>
          <w:tcPr>
            <w:tcW w:w="1281" w:type="dxa"/>
            <w:vAlign w:val="top"/>
          </w:tcPr>
          <w:p>
            <w:pPr>
              <w:pStyle w:val="TableText"/>
              <w:ind w:left="287"/>
              <w:spacing w:before="31" w:line="217" w:lineRule="auto"/>
              <w:rPr/>
            </w:pPr>
            <w:r>
              <w:rPr>
                <w:rFonts w:ascii="Times New Roman" w:hAnsi="Times New Roman" w:eastAsia="Times New Roman" w:cs="Times New Roman"/>
                <w:spacing w:val="-1"/>
              </w:rPr>
              <w:t>15-30</w:t>
            </w:r>
            <w:r>
              <w:rPr>
                <w:rFonts w:ascii="Times New Roman" w:hAnsi="Times New Roman" w:eastAsia="Times New Roman" w:cs="Times New Roman"/>
                <w:spacing w:val="18"/>
                <w:w w:val="101"/>
              </w:rPr>
              <w:t xml:space="preserve"> </w:t>
            </w:r>
            <w:r>
              <w:rPr>
                <w:spacing w:val="-1"/>
              </w:rPr>
              <w:t>天</w:t>
            </w:r>
          </w:p>
        </w:tc>
        <w:tc>
          <w:tcPr>
            <w:tcW w:w="1446" w:type="dxa"/>
            <w:vAlign w:val="top"/>
          </w:tcPr>
          <w:p>
            <w:pPr>
              <w:pStyle w:val="TableText"/>
              <w:ind w:left="369"/>
              <w:spacing w:before="31" w:line="217" w:lineRule="auto"/>
              <w:rPr/>
            </w:pPr>
            <w:r>
              <w:rPr>
                <w:rFonts w:ascii="Times New Roman" w:hAnsi="Times New Roman" w:eastAsia="Times New Roman" w:cs="Times New Roman"/>
                <w:spacing w:val="-1"/>
              </w:rPr>
              <w:t>15-30</w:t>
            </w:r>
            <w:r>
              <w:rPr>
                <w:rFonts w:ascii="Times New Roman" w:hAnsi="Times New Roman" w:eastAsia="Times New Roman" w:cs="Times New Roman"/>
                <w:spacing w:val="18"/>
                <w:w w:val="101"/>
              </w:rPr>
              <w:t xml:space="preserve"> </w:t>
            </w:r>
            <w:r>
              <w:rPr>
                <w:spacing w:val="-1"/>
              </w:rPr>
              <w:t>天</w:t>
            </w:r>
          </w:p>
        </w:tc>
      </w:tr>
      <w:tr>
        <w:trPr>
          <w:trHeight w:val="277" w:hRule="atLeast"/>
        </w:trPr>
        <w:tc>
          <w:tcPr>
            <w:tcW w:w="445" w:type="dxa"/>
            <w:vAlign w:val="top"/>
          </w:tcPr>
          <w:p>
            <w:pPr>
              <w:ind w:left="177"/>
              <w:spacing w:before="71"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293" w:type="dxa"/>
            <w:vAlign w:val="top"/>
          </w:tcPr>
          <w:p>
            <w:pPr>
              <w:pStyle w:val="TableText"/>
              <w:ind w:left="231"/>
              <w:spacing w:before="32" w:line="216" w:lineRule="auto"/>
              <w:rPr/>
            </w:pPr>
            <w:r>
              <w:rPr>
                <w:spacing w:val="6"/>
              </w:rPr>
              <w:t>单位能耗</w:t>
            </w:r>
          </w:p>
        </w:tc>
        <w:tc>
          <w:tcPr>
            <w:tcW w:w="1460" w:type="dxa"/>
            <w:vAlign w:val="top"/>
          </w:tcPr>
          <w:p>
            <w:pPr>
              <w:pStyle w:val="TableText"/>
              <w:ind w:left="634"/>
              <w:spacing w:before="32" w:line="216" w:lineRule="auto"/>
              <w:rPr/>
            </w:pPr>
            <w:r>
              <w:rPr/>
              <w:t>高</w:t>
            </w:r>
          </w:p>
        </w:tc>
        <w:tc>
          <w:tcPr>
            <w:tcW w:w="1332" w:type="dxa"/>
            <w:vAlign w:val="top"/>
          </w:tcPr>
          <w:p>
            <w:pPr>
              <w:pStyle w:val="TableText"/>
              <w:ind w:left="571"/>
              <w:spacing w:before="32" w:line="216" w:lineRule="auto"/>
              <w:rPr/>
            </w:pPr>
            <w:r>
              <w:rPr/>
              <w:t>高</w:t>
            </w:r>
          </w:p>
        </w:tc>
        <w:tc>
          <w:tcPr>
            <w:tcW w:w="1274" w:type="dxa"/>
            <w:vAlign w:val="top"/>
          </w:tcPr>
          <w:p>
            <w:pPr>
              <w:pStyle w:val="TableText"/>
              <w:ind w:left="535"/>
              <w:spacing w:before="32" w:line="216" w:lineRule="auto"/>
              <w:rPr/>
            </w:pPr>
            <w:r>
              <w:rPr>
                <w:spacing w:val="1"/>
              </w:rPr>
              <w:t>低</w:t>
            </w:r>
          </w:p>
        </w:tc>
        <w:tc>
          <w:tcPr>
            <w:tcW w:w="1281" w:type="dxa"/>
            <w:vAlign w:val="top"/>
          </w:tcPr>
          <w:p>
            <w:pPr>
              <w:pStyle w:val="TableText"/>
              <w:ind w:left="438"/>
              <w:spacing w:before="32" w:line="216" w:lineRule="auto"/>
              <w:rPr/>
            </w:pPr>
            <w:r>
              <w:rPr>
                <w:spacing w:val="4"/>
              </w:rPr>
              <w:t>较低</w:t>
            </w:r>
          </w:p>
        </w:tc>
        <w:tc>
          <w:tcPr>
            <w:tcW w:w="1446" w:type="dxa"/>
            <w:vAlign w:val="top"/>
          </w:tcPr>
          <w:p>
            <w:pPr>
              <w:pStyle w:val="TableText"/>
              <w:ind w:left="629"/>
              <w:spacing w:before="32" w:line="216" w:lineRule="auto"/>
              <w:rPr/>
            </w:pPr>
            <w:r>
              <w:rPr/>
              <w:t>高</w:t>
            </w:r>
          </w:p>
        </w:tc>
      </w:tr>
      <w:tr>
        <w:trPr>
          <w:trHeight w:val="276" w:hRule="atLeast"/>
        </w:trPr>
        <w:tc>
          <w:tcPr>
            <w:tcW w:w="445" w:type="dxa"/>
            <w:vAlign w:val="top"/>
          </w:tcPr>
          <w:p>
            <w:pPr>
              <w:ind w:left="176"/>
              <w:spacing w:before="69"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293" w:type="dxa"/>
            <w:vAlign w:val="top"/>
          </w:tcPr>
          <w:p>
            <w:pPr>
              <w:pStyle w:val="TableText"/>
              <w:ind w:left="231"/>
              <w:spacing w:before="34" w:line="214" w:lineRule="auto"/>
              <w:rPr/>
            </w:pPr>
            <w:r>
              <w:rPr>
                <w:spacing w:val="6"/>
              </w:rPr>
              <w:t>单池容积</w:t>
            </w:r>
          </w:p>
        </w:tc>
        <w:tc>
          <w:tcPr>
            <w:tcW w:w="1460" w:type="dxa"/>
            <w:vAlign w:val="top"/>
          </w:tcPr>
          <w:p>
            <w:pPr>
              <w:ind w:left="165"/>
              <w:spacing w:before="49" w:line="21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rPr>
              <w:t>500-10000m</w:t>
            </w:r>
            <w:r>
              <w:rPr>
                <w:rFonts w:ascii="Times New Roman" w:hAnsi="Times New Roman" w:eastAsia="Times New Roman" w:cs="Times New Roman"/>
                <w:sz w:val="13"/>
                <w:szCs w:val="13"/>
                <w:spacing w:val="4"/>
                <w:position w:val="6"/>
              </w:rPr>
              <w:t>3</w:t>
            </w:r>
          </w:p>
        </w:tc>
        <w:tc>
          <w:tcPr>
            <w:tcW w:w="1332" w:type="dxa"/>
            <w:vAlign w:val="top"/>
          </w:tcPr>
          <w:p>
            <w:pPr>
              <w:ind w:left="148"/>
              <w:spacing w:before="49" w:line="21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rPr>
              <w:t>200-5000m</w:t>
            </w:r>
            <w:r>
              <w:rPr>
                <w:rFonts w:ascii="Times New Roman" w:hAnsi="Times New Roman" w:eastAsia="Times New Roman" w:cs="Times New Roman"/>
                <w:sz w:val="13"/>
                <w:szCs w:val="13"/>
                <w:spacing w:val="4"/>
                <w:position w:val="6"/>
              </w:rPr>
              <w:t>3</w:t>
            </w:r>
          </w:p>
        </w:tc>
        <w:tc>
          <w:tcPr>
            <w:tcW w:w="1274" w:type="dxa"/>
            <w:vAlign w:val="top"/>
          </w:tcPr>
          <w:p>
            <w:pPr>
              <w:ind w:left="193"/>
              <w:spacing w:before="49" w:line="21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2"/>
              </w:rPr>
              <w:t>100-300m</w:t>
            </w:r>
            <w:r>
              <w:rPr>
                <w:rFonts w:ascii="Times New Roman" w:hAnsi="Times New Roman" w:eastAsia="Times New Roman" w:cs="Times New Roman"/>
                <w:sz w:val="13"/>
                <w:szCs w:val="13"/>
                <w:spacing w:val="2"/>
                <w:position w:val="6"/>
              </w:rPr>
              <w:t>3</w:t>
            </w:r>
          </w:p>
        </w:tc>
        <w:tc>
          <w:tcPr>
            <w:tcW w:w="1281" w:type="dxa"/>
            <w:vAlign w:val="top"/>
          </w:tcPr>
          <w:p>
            <w:pPr>
              <w:ind w:left="131"/>
              <w:spacing w:before="49" w:line="21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4"/>
              </w:rPr>
              <w:t>500-5000m</w:t>
            </w:r>
            <w:r>
              <w:rPr>
                <w:rFonts w:ascii="Times New Roman" w:hAnsi="Times New Roman" w:eastAsia="Times New Roman" w:cs="Times New Roman"/>
                <w:sz w:val="13"/>
                <w:szCs w:val="13"/>
                <w:spacing w:val="4"/>
                <w:position w:val="6"/>
              </w:rPr>
              <w:t>3</w:t>
            </w:r>
          </w:p>
        </w:tc>
        <w:tc>
          <w:tcPr>
            <w:tcW w:w="1446" w:type="dxa"/>
            <w:vAlign w:val="top"/>
          </w:tcPr>
          <w:p>
            <w:pPr>
              <w:ind w:left="213"/>
              <w:spacing w:before="49" w:line="21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500-4000m</w:t>
            </w:r>
            <w:r>
              <w:rPr>
                <w:rFonts w:ascii="Times New Roman" w:hAnsi="Times New Roman" w:eastAsia="Times New Roman" w:cs="Times New Roman"/>
                <w:sz w:val="13"/>
                <w:szCs w:val="13"/>
                <w:spacing w:val="3"/>
                <w:position w:val="6"/>
              </w:rPr>
              <w:t>3</w:t>
            </w:r>
          </w:p>
        </w:tc>
      </w:tr>
      <w:tr>
        <w:trPr>
          <w:trHeight w:val="277" w:hRule="atLeast"/>
        </w:trPr>
        <w:tc>
          <w:tcPr>
            <w:tcW w:w="445" w:type="dxa"/>
            <w:vAlign w:val="top"/>
          </w:tcPr>
          <w:p>
            <w:pPr>
              <w:ind w:left="175"/>
              <w:spacing w:before="72"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293" w:type="dxa"/>
            <w:vAlign w:val="top"/>
          </w:tcPr>
          <w:p>
            <w:pPr>
              <w:pStyle w:val="TableText"/>
              <w:ind w:left="228"/>
              <w:spacing w:before="34" w:line="215" w:lineRule="auto"/>
              <w:rPr/>
            </w:pPr>
            <w:r>
              <w:rPr>
                <w:spacing w:val="7"/>
              </w:rPr>
              <w:t>操作难度</w:t>
            </w:r>
          </w:p>
        </w:tc>
        <w:tc>
          <w:tcPr>
            <w:tcW w:w="1460" w:type="dxa"/>
            <w:vAlign w:val="top"/>
          </w:tcPr>
          <w:p>
            <w:pPr>
              <w:pStyle w:val="TableText"/>
              <w:ind w:left="634"/>
              <w:spacing w:before="34" w:line="215" w:lineRule="auto"/>
              <w:rPr/>
            </w:pPr>
            <w:r>
              <w:rPr/>
              <w:t>高</w:t>
            </w:r>
          </w:p>
        </w:tc>
        <w:tc>
          <w:tcPr>
            <w:tcW w:w="1332" w:type="dxa"/>
            <w:vAlign w:val="top"/>
          </w:tcPr>
          <w:p>
            <w:pPr>
              <w:pStyle w:val="TableText"/>
              <w:ind w:left="571"/>
              <w:spacing w:before="34" w:line="215" w:lineRule="auto"/>
              <w:rPr/>
            </w:pPr>
            <w:r>
              <w:rPr/>
              <w:t>高</w:t>
            </w:r>
          </w:p>
        </w:tc>
        <w:tc>
          <w:tcPr>
            <w:tcW w:w="1274" w:type="dxa"/>
            <w:vAlign w:val="top"/>
          </w:tcPr>
          <w:p>
            <w:pPr>
              <w:pStyle w:val="TableText"/>
              <w:ind w:left="535"/>
              <w:spacing w:before="34" w:line="215" w:lineRule="auto"/>
              <w:rPr/>
            </w:pPr>
            <w:r>
              <w:rPr>
                <w:spacing w:val="1"/>
              </w:rPr>
              <w:t>低</w:t>
            </w:r>
          </w:p>
        </w:tc>
        <w:tc>
          <w:tcPr>
            <w:tcW w:w="1281" w:type="dxa"/>
            <w:vAlign w:val="top"/>
          </w:tcPr>
          <w:p>
            <w:pPr>
              <w:pStyle w:val="TableText"/>
              <w:ind w:left="541"/>
              <w:spacing w:before="34" w:line="215" w:lineRule="auto"/>
              <w:rPr/>
            </w:pPr>
            <w:r>
              <w:rPr>
                <w:spacing w:val="1"/>
              </w:rPr>
              <w:t>低</w:t>
            </w:r>
          </w:p>
        </w:tc>
        <w:tc>
          <w:tcPr>
            <w:tcW w:w="1446" w:type="dxa"/>
            <w:vAlign w:val="top"/>
          </w:tcPr>
          <w:p>
            <w:pPr>
              <w:pStyle w:val="TableText"/>
              <w:ind w:left="629"/>
              <w:spacing w:before="34" w:line="215" w:lineRule="auto"/>
              <w:rPr/>
            </w:pPr>
            <w:r>
              <w:rPr/>
              <w:t>高</w:t>
            </w:r>
          </w:p>
        </w:tc>
      </w:tr>
      <w:tr>
        <w:trPr>
          <w:trHeight w:val="276" w:hRule="atLeast"/>
        </w:trPr>
        <w:tc>
          <w:tcPr>
            <w:tcW w:w="445" w:type="dxa"/>
            <w:vAlign w:val="top"/>
          </w:tcPr>
          <w:p>
            <w:pPr>
              <w:ind w:left="180"/>
              <w:spacing w:before="70"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293" w:type="dxa"/>
            <w:vAlign w:val="top"/>
          </w:tcPr>
          <w:p>
            <w:pPr>
              <w:pStyle w:val="TableText"/>
              <w:ind w:left="335"/>
              <w:spacing w:before="35" w:line="213" w:lineRule="auto"/>
              <w:rPr/>
            </w:pPr>
            <w:r>
              <w:rPr>
                <w:spacing w:val="6"/>
              </w:rPr>
              <w:t>产气率</w:t>
            </w:r>
          </w:p>
        </w:tc>
        <w:tc>
          <w:tcPr>
            <w:tcW w:w="1460" w:type="dxa"/>
            <w:vAlign w:val="top"/>
          </w:tcPr>
          <w:p>
            <w:pPr>
              <w:ind w:left="191"/>
              <w:spacing w:before="50" w:line="21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2"/>
              </w:rPr>
              <w:t>1.0-5.0m</w:t>
            </w:r>
            <w:r>
              <w:rPr>
                <w:rFonts w:ascii="Times New Roman" w:hAnsi="Times New Roman" w:eastAsia="Times New Roman" w:cs="Times New Roman"/>
                <w:sz w:val="13"/>
                <w:szCs w:val="13"/>
                <w:spacing w:val="2"/>
                <w:position w:val="6"/>
              </w:rPr>
              <w:t>3</w:t>
            </w:r>
            <w:r>
              <w:rPr>
                <w:rFonts w:ascii="Times New Roman" w:hAnsi="Times New Roman" w:eastAsia="Times New Roman" w:cs="Times New Roman"/>
                <w:sz w:val="20"/>
                <w:szCs w:val="20"/>
                <w:spacing w:val="2"/>
              </w:rPr>
              <w:t>/m</w:t>
            </w:r>
            <w:r>
              <w:rPr>
                <w:rFonts w:ascii="Times New Roman" w:hAnsi="Times New Roman" w:eastAsia="Times New Roman" w:cs="Times New Roman"/>
                <w:sz w:val="13"/>
                <w:szCs w:val="13"/>
                <w:spacing w:val="2"/>
                <w:position w:val="6"/>
              </w:rPr>
              <w:t>3</w:t>
            </w:r>
          </w:p>
        </w:tc>
        <w:tc>
          <w:tcPr>
            <w:tcW w:w="1332" w:type="dxa"/>
            <w:vAlign w:val="top"/>
          </w:tcPr>
          <w:p>
            <w:pPr>
              <w:pStyle w:val="TableText"/>
              <w:ind w:left="463"/>
              <w:spacing w:before="35" w:line="213" w:lineRule="auto"/>
              <w:rPr/>
            </w:pPr>
            <w:r>
              <w:rPr>
                <w:spacing w:val="3"/>
              </w:rPr>
              <w:t>不定</w:t>
            </w:r>
          </w:p>
        </w:tc>
        <w:tc>
          <w:tcPr>
            <w:tcW w:w="1274" w:type="dxa"/>
            <w:vAlign w:val="top"/>
          </w:tcPr>
          <w:p>
            <w:pPr>
              <w:ind w:left="32"/>
              <w:spacing w:before="50" w:line="21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0.8-2.00m</w:t>
            </w:r>
            <w:r>
              <w:rPr>
                <w:rFonts w:ascii="Times New Roman" w:hAnsi="Times New Roman" w:eastAsia="Times New Roman" w:cs="Times New Roman"/>
                <w:sz w:val="13"/>
                <w:szCs w:val="13"/>
                <w:spacing w:val="3"/>
                <w:position w:val="6"/>
              </w:rPr>
              <w:t>3</w:t>
            </w:r>
            <w:r>
              <w:rPr>
                <w:rFonts w:ascii="Times New Roman" w:hAnsi="Times New Roman" w:eastAsia="Times New Roman" w:cs="Times New Roman"/>
                <w:sz w:val="20"/>
                <w:szCs w:val="20"/>
                <w:spacing w:val="3"/>
              </w:rPr>
              <w:t>/m</w:t>
            </w:r>
            <w:r>
              <w:rPr>
                <w:rFonts w:ascii="Times New Roman" w:hAnsi="Times New Roman" w:eastAsia="Times New Roman" w:cs="Times New Roman"/>
                <w:sz w:val="13"/>
                <w:szCs w:val="13"/>
                <w:spacing w:val="3"/>
                <w:position w:val="6"/>
              </w:rPr>
              <w:t>3</w:t>
            </w:r>
          </w:p>
        </w:tc>
        <w:tc>
          <w:tcPr>
            <w:tcW w:w="1281" w:type="dxa"/>
            <w:vAlign w:val="top"/>
          </w:tcPr>
          <w:p>
            <w:pPr>
              <w:ind w:left="37"/>
              <w:spacing w:before="50" w:line="21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0.8-3.00m</w:t>
            </w:r>
            <w:r>
              <w:rPr>
                <w:rFonts w:ascii="Times New Roman" w:hAnsi="Times New Roman" w:eastAsia="Times New Roman" w:cs="Times New Roman"/>
                <w:sz w:val="13"/>
                <w:szCs w:val="13"/>
                <w:spacing w:val="3"/>
                <w:position w:val="6"/>
              </w:rPr>
              <w:t>3</w:t>
            </w:r>
            <w:r>
              <w:rPr>
                <w:rFonts w:ascii="Times New Roman" w:hAnsi="Times New Roman" w:eastAsia="Times New Roman" w:cs="Times New Roman"/>
                <w:sz w:val="20"/>
                <w:szCs w:val="20"/>
                <w:spacing w:val="3"/>
              </w:rPr>
              <w:t>/m</w:t>
            </w:r>
            <w:r>
              <w:rPr>
                <w:rFonts w:ascii="Times New Roman" w:hAnsi="Times New Roman" w:eastAsia="Times New Roman" w:cs="Times New Roman"/>
                <w:sz w:val="13"/>
                <w:szCs w:val="13"/>
                <w:spacing w:val="3"/>
                <w:position w:val="6"/>
              </w:rPr>
              <w:t>3</w:t>
            </w:r>
          </w:p>
        </w:tc>
        <w:tc>
          <w:tcPr>
            <w:tcW w:w="1446" w:type="dxa"/>
            <w:vAlign w:val="top"/>
          </w:tcPr>
          <w:p>
            <w:pPr>
              <w:ind w:left="117"/>
              <w:spacing w:before="50" w:line="216"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3"/>
              </w:rPr>
              <w:t>0.8-1.50m</w:t>
            </w:r>
            <w:r>
              <w:rPr>
                <w:rFonts w:ascii="Times New Roman" w:hAnsi="Times New Roman" w:eastAsia="Times New Roman" w:cs="Times New Roman"/>
                <w:sz w:val="13"/>
                <w:szCs w:val="13"/>
                <w:spacing w:val="3"/>
                <w:position w:val="6"/>
              </w:rPr>
              <w:t>3</w:t>
            </w:r>
            <w:r>
              <w:rPr>
                <w:rFonts w:ascii="Times New Roman" w:hAnsi="Times New Roman" w:eastAsia="Times New Roman" w:cs="Times New Roman"/>
                <w:sz w:val="20"/>
                <w:szCs w:val="20"/>
                <w:spacing w:val="3"/>
              </w:rPr>
              <w:t>/m</w:t>
            </w:r>
            <w:r>
              <w:rPr>
                <w:rFonts w:ascii="Times New Roman" w:hAnsi="Times New Roman" w:eastAsia="Times New Roman" w:cs="Times New Roman"/>
                <w:sz w:val="13"/>
                <w:szCs w:val="13"/>
                <w:spacing w:val="3"/>
                <w:position w:val="6"/>
              </w:rPr>
              <w:t>3</w:t>
            </w:r>
          </w:p>
        </w:tc>
      </w:tr>
      <w:tr>
        <w:trPr>
          <w:trHeight w:val="281" w:hRule="atLeast"/>
        </w:trPr>
        <w:tc>
          <w:tcPr>
            <w:tcW w:w="445" w:type="dxa"/>
            <w:vAlign w:val="top"/>
          </w:tcPr>
          <w:p>
            <w:pPr>
              <w:ind w:left="175"/>
              <w:spacing w:before="7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293" w:type="dxa"/>
            <w:vAlign w:val="top"/>
          </w:tcPr>
          <w:p>
            <w:pPr>
              <w:pStyle w:val="TableText"/>
              <w:ind w:left="231"/>
              <w:spacing w:before="36" w:line="216" w:lineRule="auto"/>
              <w:rPr/>
            </w:pPr>
            <w:r>
              <w:rPr>
                <w:spacing w:val="6"/>
              </w:rPr>
              <w:t>经济效益</w:t>
            </w:r>
          </w:p>
        </w:tc>
        <w:tc>
          <w:tcPr>
            <w:tcW w:w="1460" w:type="dxa"/>
            <w:vAlign w:val="top"/>
          </w:tcPr>
          <w:p>
            <w:pPr>
              <w:pStyle w:val="TableText"/>
              <w:ind w:left="523"/>
              <w:spacing w:before="36" w:line="216" w:lineRule="auto"/>
              <w:rPr/>
            </w:pPr>
            <w:r>
              <w:rPr>
                <w:spacing w:val="4"/>
              </w:rPr>
              <w:t>较佳</w:t>
            </w:r>
          </w:p>
        </w:tc>
        <w:tc>
          <w:tcPr>
            <w:tcW w:w="1332" w:type="dxa"/>
            <w:vAlign w:val="top"/>
          </w:tcPr>
          <w:p>
            <w:pPr>
              <w:pStyle w:val="TableText"/>
              <w:ind w:left="39"/>
              <w:spacing w:before="36" w:line="216" w:lineRule="auto"/>
              <w:rPr/>
            </w:pPr>
            <w:r>
              <w:rPr>
                <w:spacing w:val="8"/>
              </w:rPr>
              <w:t>较低或负效益</w:t>
            </w:r>
          </w:p>
        </w:tc>
        <w:tc>
          <w:tcPr>
            <w:tcW w:w="1274" w:type="dxa"/>
            <w:vAlign w:val="top"/>
          </w:tcPr>
          <w:p>
            <w:pPr>
              <w:pStyle w:val="TableText"/>
              <w:ind w:left="453"/>
              <w:spacing w:before="36" w:line="216" w:lineRule="auto"/>
              <w:rPr/>
            </w:pPr>
            <w:r>
              <w:rPr>
                <w:spacing w:val="-5"/>
              </w:rPr>
              <w:t>中等</w:t>
            </w:r>
          </w:p>
        </w:tc>
        <w:tc>
          <w:tcPr>
            <w:tcW w:w="1281" w:type="dxa"/>
            <w:vAlign w:val="top"/>
          </w:tcPr>
          <w:p>
            <w:pPr>
              <w:pStyle w:val="TableText"/>
              <w:ind w:left="438"/>
              <w:spacing w:before="36" w:line="216" w:lineRule="auto"/>
              <w:rPr/>
            </w:pPr>
            <w:r>
              <w:rPr>
                <w:spacing w:val="4"/>
              </w:rPr>
              <w:t>较佳</w:t>
            </w:r>
          </w:p>
        </w:tc>
        <w:tc>
          <w:tcPr>
            <w:tcW w:w="1446" w:type="dxa"/>
            <w:vAlign w:val="top"/>
          </w:tcPr>
          <w:p>
            <w:pPr>
              <w:pStyle w:val="TableText"/>
              <w:ind w:left="624"/>
              <w:spacing w:before="36" w:line="216" w:lineRule="auto"/>
              <w:rPr/>
            </w:pPr>
            <w:r>
              <w:rPr/>
              <w:t>佳</w:t>
            </w:r>
          </w:p>
        </w:tc>
      </w:tr>
    </w:tbl>
    <w:p>
      <w:pPr>
        <w:ind w:left="26" w:firstLine="480"/>
        <w:spacing w:before="36" w:line="359" w:lineRule="auto"/>
        <w:jc w:val="both"/>
        <w:rPr>
          <w:rFonts w:ascii="SimSun" w:hAnsi="SimSun" w:eastAsia="SimSun" w:cs="SimSun"/>
          <w:sz w:val="24"/>
          <w:szCs w:val="24"/>
        </w:rPr>
      </w:pPr>
      <w:r>
        <w:rPr>
          <w:rFonts w:ascii="SimSun" w:hAnsi="SimSun" w:eastAsia="SimSun" w:cs="SimSun"/>
          <w:sz w:val="24"/>
          <w:szCs w:val="24"/>
          <w:spacing w:val="1"/>
        </w:rPr>
        <w:t>经过以上对比分析可以看出几种工艺各有所长：</w:t>
      </w:r>
      <w:r>
        <w:rPr>
          <w:rFonts w:ascii="Times New Roman" w:hAnsi="Times New Roman" w:eastAsia="Times New Roman" w:cs="Times New Roman"/>
          <w:sz w:val="24"/>
          <w:szCs w:val="24"/>
        </w:rPr>
        <w:t>HCF</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工艺适合各类小型粪污</w:t>
      </w:r>
      <w:r>
        <w:rPr>
          <w:rFonts w:ascii="SimSun" w:hAnsi="SimSun" w:eastAsia="SimSun" w:cs="SimSun"/>
          <w:sz w:val="24"/>
          <w:szCs w:val="24"/>
          <w:spacing w:val="11"/>
        </w:rPr>
        <w:t xml:space="preserve"> </w:t>
      </w:r>
      <w:r>
        <w:rPr>
          <w:rFonts w:ascii="SimSun" w:hAnsi="SimSun" w:eastAsia="SimSun" w:cs="SimSun"/>
          <w:sz w:val="24"/>
          <w:szCs w:val="24"/>
          <w:spacing w:val="-3"/>
        </w:rPr>
        <w:t>处理沼气工程，有较广阔的应用空间；</w:t>
      </w:r>
      <w:r>
        <w:rPr>
          <w:rFonts w:ascii="Times New Roman" w:hAnsi="Times New Roman" w:eastAsia="Times New Roman" w:cs="Times New Roman"/>
          <w:sz w:val="24"/>
          <w:szCs w:val="24"/>
          <w:spacing w:val="-3"/>
        </w:rPr>
        <w:t>UASB </w:t>
      </w:r>
      <w:r>
        <w:rPr>
          <w:rFonts w:ascii="SimSun" w:hAnsi="SimSun" w:eastAsia="SimSun" w:cs="SimSun"/>
          <w:sz w:val="24"/>
          <w:szCs w:val="24"/>
          <w:spacing w:val="-3"/>
        </w:rPr>
        <w:t>工</w:t>
      </w:r>
      <w:r>
        <w:rPr>
          <w:rFonts w:ascii="SimSun" w:hAnsi="SimSun" w:eastAsia="SimSun" w:cs="SimSun"/>
          <w:sz w:val="24"/>
          <w:szCs w:val="24"/>
          <w:spacing w:val="-4"/>
        </w:rPr>
        <w:t>艺适用于养猪场的污水处理能源环</w:t>
      </w:r>
      <w:r>
        <w:rPr>
          <w:rFonts w:ascii="SimSun" w:hAnsi="SimSun" w:eastAsia="SimSun" w:cs="SimSun"/>
          <w:sz w:val="24"/>
          <w:szCs w:val="24"/>
        </w:rPr>
        <w:t xml:space="preserve"> </w:t>
      </w:r>
      <w:r>
        <w:rPr>
          <w:rFonts w:ascii="SimSun" w:hAnsi="SimSun" w:eastAsia="SimSun" w:cs="SimSun"/>
          <w:sz w:val="24"/>
          <w:szCs w:val="24"/>
          <w:spacing w:val="3"/>
        </w:rPr>
        <w:t>保型沼气工程，产气较低，应用范围较窄；应用范围广</w:t>
      </w:r>
      <w:r>
        <w:rPr>
          <w:rFonts w:ascii="SimSun" w:hAnsi="SimSun" w:eastAsia="SimSun" w:cs="SimSun"/>
          <w:sz w:val="24"/>
          <w:szCs w:val="24"/>
          <w:spacing w:val="2"/>
        </w:rPr>
        <w:t>、适应性强，效益高的工</w:t>
      </w:r>
      <w:r>
        <w:rPr>
          <w:rFonts w:ascii="SimSun" w:hAnsi="SimSun" w:eastAsia="SimSun" w:cs="SimSun"/>
          <w:sz w:val="24"/>
          <w:szCs w:val="24"/>
        </w:rPr>
        <w:t xml:space="preserve"> </w:t>
      </w:r>
      <w:r>
        <w:rPr>
          <w:rFonts w:ascii="SimSun" w:hAnsi="SimSun" w:eastAsia="SimSun" w:cs="SimSun"/>
          <w:sz w:val="24"/>
          <w:szCs w:val="24"/>
          <w:spacing w:val="-4"/>
        </w:rPr>
        <w:t>艺是</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4"/>
        </w:rPr>
        <w:t>USR</w:t>
      </w:r>
      <w:r>
        <w:rPr>
          <w:rFonts w:ascii="SimSun" w:hAnsi="SimSun" w:eastAsia="SimSun" w:cs="SimSun"/>
          <w:sz w:val="24"/>
          <w:szCs w:val="24"/>
          <w:spacing w:val="-4"/>
        </w:rPr>
        <w:t>、</w:t>
      </w:r>
      <w:r>
        <w:rPr>
          <w:rFonts w:ascii="Times New Roman" w:hAnsi="Times New Roman" w:eastAsia="Times New Roman" w:cs="Times New Roman"/>
          <w:sz w:val="24"/>
          <w:szCs w:val="24"/>
          <w:spacing w:val="-4"/>
        </w:rPr>
        <w:t>CSTR </w:t>
      </w:r>
      <w:r>
        <w:rPr>
          <w:rFonts w:ascii="SimSun" w:hAnsi="SimSun" w:eastAsia="SimSun" w:cs="SimSun"/>
          <w:sz w:val="24"/>
          <w:szCs w:val="24"/>
          <w:spacing w:val="-4"/>
        </w:rPr>
        <w:t>工艺和干发酵工艺，</w:t>
      </w:r>
      <w:r>
        <w:rPr>
          <w:rFonts w:ascii="SimSun" w:hAnsi="SimSun" w:eastAsia="SimSun" w:cs="SimSun"/>
          <w:sz w:val="24"/>
          <w:szCs w:val="24"/>
          <w:spacing w:val="-5"/>
        </w:rPr>
        <w:t>有很大的发展潜力，但是</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CSTR </w:t>
      </w:r>
      <w:r>
        <w:rPr>
          <w:rFonts w:ascii="SimSun" w:hAnsi="SimSun" w:eastAsia="SimSun" w:cs="SimSun"/>
          <w:sz w:val="24"/>
          <w:szCs w:val="24"/>
          <w:spacing w:val="-5"/>
        </w:rPr>
        <w:t>相较于</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5"/>
        </w:rPr>
        <w:t>USR</w:t>
      </w:r>
      <w:r>
        <w:rPr>
          <w:rFonts w:ascii="Times New Roman" w:hAnsi="Times New Roman" w:eastAsia="Times New Roman" w:cs="Times New Roman"/>
          <w:sz w:val="24"/>
          <w:szCs w:val="24"/>
        </w:rPr>
        <w:t xml:space="preserve">  </w:t>
      </w:r>
      <w:r>
        <w:rPr>
          <w:rFonts w:ascii="SimSun" w:hAnsi="SimSun" w:eastAsia="SimSun" w:cs="SimSun"/>
          <w:sz w:val="24"/>
          <w:szCs w:val="24"/>
          <w:spacing w:val="-4"/>
        </w:rPr>
        <w:t>投资较大，搅拌运行功率较大，导致运行成本偏高。</w:t>
      </w:r>
      <w:r>
        <w:rPr>
          <w:rFonts w:ascii="Times New Roman" w:hAnsi="Times New Roman" w:eastAsia="Times New Roman" w:cs="Times New Roman"/>
          <w:sz w:val="24"/>
          <w:szCs w:val="24"/>
          <w:spacing w:val="-4"/>
        </w:rPr>
        <w:t>USR </w:t>
      </w:r>
      <w:r>
        <w:rPr>
          <w:rFonts w:ascii="SimSun" w:hAnsi="SimSun" w:eastAsia="SimSun" w:cs="SimSun"/>
          <w:sz w:val="24"/>
          <w:szCs w:val="24"/>
          <w:spacing w:val="-4"/>
        </w:rPr>
        <w:t>工艺作为较成熟的工艺，</w:t>
      </w:r>
      <w:r>
        <w:rPr>
          <w:rFonts w:ascii="SimSun" w:hAnsi="SimSun" w:eastAsia="SimSun" w:cs="SimSun"/>
          <w:sz w:val="24"/>
          <w:szCs w:val="24"/>
          <w:spacing w:val="18"/>
        </w:rPr>
        <w:t xml:space="preserve"> </w:t>
      </w:r>
      <w:r>
        <w:rPr>
          <w:rFonts w:ascii="SimSun" w:hAnsi="SimSun" w:eastAsia="SimSun" w:cs="SimSun"/>
          <w:sz w:val="24"/>
          <w:szCs w:val="24"/>
          <w:spacing w:val="3"/>
        </w:rPr>
        <w:t>尤其适用于气温适中地区原料处理和集中供气沼气工程</w:t>
      </w:r>
      <w:r>
        <w:rPr>
          <w:rFonts w:ascii="SimSun" w:hAnsi="SimSun" w:eastAsia="SimSun" w:cs="SimSun"/>
          <w:sz w:val="24"/>
          <w:szCs w:val="24"/>
          <w:spacing w:val="2"/>
        </w:rPr>
        <w:t>，此水更不适合干发酵工</w:t>
      </w:r>
      <w:r>
        <w:rPr>
          <w:rFonts w:ascii="SimSun" w:hAnsi="SimSun" w:eastAsia="SimSun" w:cs="SimSun"/>
          <w:sz w:val="24"/>
          <w:szCs w:val="24"/>
        </w:rPr>
        <w:t xml:space="preserve"> </w:t>
      </w:r>
      <w:r>
        <w:rPr>
          <w:rFonts w:ascii="SimSun" w:hAnsi="SimSun" w:eastAsia="SimSun" w:cs="SimSun"/>
          <w:sz w:val="24"/>
          <w:szCs w:val="24"/>
          <w:spacing w:val="1"/>
        </w:rPr>
        <w:t>艺，所以，本着低投资、低运行成本及较好发酵效果为基础，本项目选用</w:t>
      </w:r>
      <w:r>
        <w:rPr>
          <w:rFonts w:ascii="Times New Roman" w:hAnsi="Times New Roman" w:eastAsia="Times New Roman" w:cs="Times New Roman"/>
          <w:sz w:val="24"/>
          <w:szCs w:val="24"/>
        </w:rPr>
        <w:t>USR</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湿</w:t>
      </w:r>
      <w:r>
        <w:rPr>
          <w:rFonts w:ascii="SimSun" w:hAnsi="SimSun" w:eastAsia="SimSun" w:cs="SimSun"/>
          <w:sz w:val="24"/>
          <w:szCs w:val="24"/>
          <w:spacing w:val="11"/>
        </w:rPr>
        <w:t xml:space="preserve"> </w:t>
      </w:r>
      <w:r>
        <w:rPr>
          <w:rFonts w:ascii="SimSun" w:hAnsi="SimSun" w:eastAsia="SimSun" w:cs="SimSun"/>
          <w:sz w:val="24"/>
          <w:szCs w:val="24"/>
          <w:spacing w:val="-2"/>
        </w:rPr>
        <w:t>式厌氧消化技术。</w:t>
      </w:r>
    </w:p>
    <w:p>
      <w:pPr>
        <w:ind w:left="505"/>
        <w:spacing w:line="218" w:lineRule="auto"/>
        <w:rPr>
          <w:rFonts w:ascii="SimSun" w:hAnsi="SimSun" w:eastAsia="SimSun" w:cs="SimSun"/>
          <w:sz w:val="24"/>
          <w:szCs w:val="24"/>
        </w:rPr>
      </w:pPr>
      <w:r>
        <w:rPr>
          <w:rFonts w:ascii="SimSun" w:hAnsi="SimSun" w:eastAsia="SimSun" w:cs="SimSun"/>
          <w:sz w:val="24"/>
          <w:szCs w:val="24"/>
          <w:spacing w:val="-2"/>
        </w:rPr>
        <w:t>根据厌氧菌的生活形态和温度适应性，</w:t>
      </w:r>
      <w:r>
        <w:rPr>
          <w:rFonts w:ascii="SimSun" w:hAnsi="SimSun" w:eastAsia="SimSun" w:cs="SimSun"/>
          <w:sz w:val="24"/>
          <w:szCs w:val="24"/>
          <w:spacing w:val="-65"/>
        </w:rPr>
        <w:t xml:space="preserve"> </w:t>
      </w:r>
      <w:r>
        <w:rPr>
          <w:rFonts w:ascii="SimSun" w:hAnsi="SimSun" w:eastAsia="SimSun" w:cs="SimSun"/>
          <w:sz w:val="24"/>
          <w:szCs w:val="24"/>
          <w:spacing w:val="-2"/>
        </w:rPr>
        <w:t>目前厌氧消化主要有两种适宜温度：</w:t>
      </w:r>
    </w:p>
    <w:p>
      <w:pPr>
        <w:ind w:left="28" w:right="133" w:firstLine="19"/>
        <w:spacing w:before="184" w:line="359" w:lineRule="auto"/>
        <w:rPr>
          <w:rFonts w:ascii="SimSun" w:hAnsi="SimSun" w:eastAsia="SimSun" w:cs="SimSun"/>
          <w:sz w:val="24"/>
          <w:szCs w:val="24"/>
        </w:rPr>
      </w:pPr>
      <w:r>
        <w:rPr>
          <w:rFonts w:ascii="SimSun" w:hAnsi="SimSun" w:eastAsia="SimSun" w:cs="SimSun"/>
          <w:sz w:val="24"/>
          <w:szCs w:val="24"/>
          <w:spacing w:val="-2"/>
        </w:rPr>
        <w:t>中温（</w:t>
      </w:r>
      <w:r>
        <w:rPr>
          <w:rFonts w:ascii="Times New Roman" w:hAnsi="Times New Roman" w:eastAsia="Times New Roman" w:cs="Times New Roman"/>
          <w:sz w:val="24"/>
          <w:szCs w:val="24"/>
          <w:spacing w:val="-2"/>
        </w:rPr>
        <w:t>33~37℃</w:t>
      </w:r>
      <w:r>
        <w:rPr>
          <w:rFonts w:ascii="SimSun" w:hAnsi="SimSun" w:eastAsia="SimSun" w:cs="SimSun"/>
          <w:sz w:val="24"/>
          <w:szCs w:val="24"/>
          <w:spacing w:val="-2"/>
        </w:rPr>
        <w:t>) 和高温（</w:t>
      </w:r>
      <w:r>
        <w:rPr>
          <w:rFonts w:ascii="Times New Roman" w:hAnsi="Times New Roman" w:eastAsia="Times New Roman" w:cs="Times New Roman"/>
          <w:sz w:val="24"/>
          <w:szCs w:val="24"/>
          <w:spacing w:val="-2"/>
        </w:rPr>
        <w:t>55~57℃</w:t>
      </w:r>
      <w:r>
        <w:rPr>
          <w:rFonts w:ascii="SimSun" w:hAnsi="SimSun" w:eastAsia="SimSun" w:cs="SimSun"/>
          <w:sz w:val="24"/>
          <w:szCs w:val="24"/>
          <w:spacing w:val="-2"/>
        </w:rPr>
        <w:t>)</w:t>
      </w:r>
      <w:r>
        <w:rPr>
          <w:rFonts w:ascii="SimSun" w:hAnsi="SimSun" w:eastAsia="SimSun" w:cs="SimSun"/>
          <w:sz w:val="24"/>
          <w:szCs w:val="24"/>
          <w:spacing w:val="49"/>
        </w:rPr>
        <w:t xml:space="preserve"> </w:t>
      </w:r>
      <w:r>
        <w:rPr>
          <w:rFonts w:ascii="SimSun" w:hAnsi="SimSun" w:eastAsia="SimSun" w:cs="SimSun"/>
          <w:sz w:val="24"/>
          <w:szCs w:val="24"/>
          <w:spacing w:val="-2"/>
        </w:rPr>
        <w:t>。中温厌氧消化和高温厌氧消化的比较分析</w:t>
      </w:r>
      <w:r>
        <w:rPr>
          <w:rFonts w:ascii="SimSun" w:hAnsi="SimSun" w:eastAsia="SimSun" w:cs="SimSun"/>
          <w:sz w:val="24"/>
          <w:szCs w:val="24"/>
        </w:rPr>
        <w:t xml:space="preserve"> </w:t>
      </w:r>
      <w:r>
        <w:rPr>
          <w:rFonts w:ascii="SimSun" w:hAnsi="SimSun" w:eastAsia="SimSun" w:cs="SimSun"/>
          <w:sz w:val="24"/>
          <w:szCs w:val="24"/>
          <w:spacing w:val="-3"/>
        </w:rPr>
        <w:t>详见下表</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3"/>
        </w:rPr>
        <w:t>7.2-2</w:t>
      </w:r>
      <w:r>
        <w:rPr>
          <w:rFonts w:ascii="SimSun" w:hAnsi="SimSun" w:eastAsia="SimSun" w:cs="SimSun"/>
          <w:sz w:val="24"/>
          <w:szCs w:val="24"/>
          <w:spacing w:val="-3"/>
        </w:rPr>
        <w:t>。</w:t>
      </w:r>
    </w:p>
    <w:p>
      <w:pPr>
        <w:ind w:left="1707"/>
        <w:spacing w:before="1"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7"/>
        </w:rPr>
        <w:t xml:space="preserve"> </w:t>
      </w:r>
      <w:r>
        <w:rPr>
          <w:rFonts w:ascii="Times New Roman" w:hAnsi="Times New Roman" w:eastAsia="Times New Roman" w:cs="Times New Roman"/>
          <w:sz w:val="24"/>
          <w:szCs w:val="24"/>
          <w:b/>
          <w:bCs/>
          <w:spacing w:val="-2"/>
        </w:rPr>
        <w:t>7.2-2        </w:t>
      </w:r>
      <w:r>
        <w:rPr>
          <w:rFonts w:ascii="SimSun" w:hAnsi="SimSun" w:eastAsia="SimSun" w:cs="SimSun"/>
          <w:sz w:val="24"/>
          <w:szCs w:val="24"/>
          <w:b/>
          <w:bCs/>
          <w:spacing w:val="-2"/>
        </w:rPr>
        <w:t>高温发酵和中温发酵工艺分析比较表</w:t>
      </w:r>
    </w:p>
    <w:tbl>
      <w:tblPr>
        <w:tblStyle w:val="TableNormal"/>
        <w:tblW w:w="8516" w:type="dxa"/>
        <w:tblInd w:w="9"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80"/>
        <w:gridCol w:w="3639"/>
        <w:gridCol w:w="3897"/>
      </w:tblGrid>
      <w:tr>
        <w:trPr>
          <w:trHeight w:val="282" w:hRule="atLeast"/>
        </w:trPr>
        <w:tc>
          <w:tcPr>
            <w:tcW w:w="980" w:type="dxa"/>
            <w:vAlign w:val="top"/>
          </w:tcPr>
          <w:p>
            <w:pPr>
              <w:pStyle w:val="TableText"/>
              <w:ind w:left="76"/>
              <w:spacing w:before="36" w:line="217" w:lineRule="auto"/>
              <w:rPr/>
            </w:pPr>
            <w:r>
              <w:rPr>
                <w:spacing w:val="6"/>
              </w:rPr>
              <w:t>温度范围</w:t>
            </w:r>
          </w:p>
        </w:tc>
        <w:tc>
          <w:tcPr>
            <w:tcW w:w="3639" w:type="dxa"/>
            <w:vAlign w:val="top"/>
          </w:tcPr>
          <w:p>
            <w:pPr>
              <w:pStyle w:val="TableText"/>
              <w:ind w:left="1409"/>
              <w:spacing w:before="36" w:line="217" w:lineRule="auto"/>
              <w:rPr/>
            </w:pPr>
            <w:r>
              <w:rPr>
                <w:spacing w:val="5"/>
              </w:rPr>
              <w:t>高温厌氧</w:t>
            </w:r>
          </w:p>
        </w:tc>
        <w:tc>
          <w:tcPr>
            <w:tcW w:w="3897" w:type="dxa"/>
            <w:vAlign w:val="top"/>
          </w:tcPr>
          <w:p>
            <w:pPr>
              <w:pStyle w:val="TableText"/>
              <w:ind w:left="1552"/>
              <w:spacing w:before="36" w:line="217" w:lineRule="auto"/>
              <w:rPr/>
            </w:pPr>
            <w:r>
              <w:rPr>
                <w:spacing w:val="2"/>
              </w:rPr>
              <w:t>中温厌氧</w:t>
            </w:r>
          </w:p>
        </w:tc>
      </w:tr>
      <w:tr>
        <w:trPr>
          <w:trHeight w:val="820" w:hRule="atLeast"/>
        </w:trPr>
        <w:tc>
          <w:tcPr>
            <w:tcW w:w="980" w:type="dxa"/>
            <w:vAlign w:val="top"/>
          </w:tcPr>
          <w:p>
            <w:pPr>
              <w:pStyle w:val="TableText"/>
              <w:ind w:left="76"/>
              <w:spacing w:before="303" w:line="228" w:lineRule="auto"/>
              <w:rPr/>
            </w:pPr>
            <w:r>
              <w:rPr>
                <w:spacing w:val="6"/>
              </w:rPr>
              <w:t>主要优点</w:t>
            </w:r>
          </w:p>
        </w:tc>
        <w:tc>
          <w:tcPr>
            <w:tcW w:w="3639" w:type="dxa"/>
            <w:vAlign w:val="top"/>
          </w:tcPr>
          <w:p>
            <w:pPr>
              <w:pStyle w:val="TableText"/>
              <w:ind w:left="10" w:firstLine="15"/>
              <w:spacing w:before="30"/>
              <w:jc w:val="both"/>
              <w:rPr/>
            </w:pPr>
            <w:r>
              <w:rPr>
                <w:rFonts w:ascii="Times New Roman" w:hAnsi="Times New Roman" w:eastAsia="Times New Roman" w:cs="Times New Roman"/>
              </w:rPr>
              <w:t>1.</w:t>
            </w:r>
            <w:r>
              <w:rPr/>
              <w:t>消化时间短、罐体体积小，一次性投资</w:t>
            </w:r>
            <w:r>
              <w:rPr>
                <w:spacing w:val="13"/>
              </w:rPr>
              <w:t xml:space="preserve"> </w:t>
            </w:r>
            <w:r>
              <w:rPr>
                <w:spacing w:val="3"/>
              </w:rPr>
              <w:t>少；</w:t>
            </w:r>
            <w:r>
              <w:rPr>
                <w:rFonts w:ascii="Times New Roman" w:hAnsi="Times New Roman" w:eastAsia="Times New Roman" w:cs="Times New Roman"/>
                <w:spacing w:val="3"/>
              </w:rPr>
              <w:t>2.</w:t>
            </w:r>
            <w:r>
              <w:rPr>
                <w:spacing w:val="3"/>
              </w:rPr>
              <w:t>对寄生虫卵和病菌的杀灭率更高，</w:t>
            </w:r>
            <w:r>
              <w:rPr>
                <w:spacing w:val="15"/>
              </w:rPr>
              <w:t xml:space="preserve"> </w:t>
            </w:r>
            <w:r>
              <w:rPr>
                <w:spacing w:val="4"/>
              </w:rPr>
              <w:t>消毒效果要好。</w:t>
            </w:r>
          </w:p>
        </w:tc>
        <w:tc>
          <w:tcPr>
            <w:tcW w:w="3897" w:type="dxa"/>
            <w:vAlign w:val="top"/>
          </w:tcPr>
          <w:p>
            <w:pPr>
              <w:pStyle w:val="TableText"/>
              <w:ind w:left="12" w:right="5" w:firstLine="14"/>
              <w:spacing w:before="30"/>
              <w:rPr/>
            </w:pPr>
            <w:r>
              <w:rPr>
                <w:rFonts w:ascii="Times New Roman" w:hAnsi="Times New Roman" w:eastAsia="Times New Roman" w:cs="Times New Roman"/>
                <w:spacing w:val="7"/>
              </w:rPr>
              <w:t>1.</w:t>
            </w:r>
            <w:r>
              <w:rPr>
                <w:spacing w:val="7"/>
              </w:rPr>
              <w:t>热量消耗低，运行费用低；</w:t>
            </w:r>
            <w:r>
              <w:rPr>
                <w:rFonts w:ascii="Times New Roman" w:hAnsi="Times New Roman" w:eastAsia="Times New Roman" w:cs="Times New Roman"/>
                <w:spacing w:val="7"/>
              </w:rPr>
              <w:t>2.</w:t>
            </w:r>
            <w:r>
              <w:rPr>
                <w:spacing w:val="7"/>
              </w:rPr>
              <w:t>适应中温微</w:t>
            </w:r>
            <w:r>
              <w:rPr>
                <w:spacing w:val="10"/>
              </w:rPr>
              <w:t xml:space="preserve"> </w:t>
            </w:r>
            <w:r>
              <w:rPr>
                <w:spacing w:val="8"/>
              </w:rPr>
              <w:t>生物谱带更宽，调试启动容易；</w:t>
            </w:r>
          </w:p>
          <w:p>
            <w:pPr>
              <w:pStyle w:val="TableText"/>
              <w:ind w:left="11"/>
              <w:spacing w:before="24" w:line="217" w:lineRule="auto"/>
              <w:rPr/>
            </w:pPr>
            <w:r>
              <w:rPr>
                <w:rFonts w:ascii="Times New Roman" w:hAnsi="Times New Roman" w:eastAsia="Times New Roman" w:cs="Times New Roman"/>
                <w:spacing w:val="8"/>
              </w:rPr>
              <w:t>3.</w:t>
            </w:r>
            <w:r>
              <w:rPr>
                <w:spacing w:val="8"/>
              </w:rPr>
              <w:t>温度波动精度要求低，运行更稳定。</w:t>
            </w:r>
          </w:p>
        </w:tc>
      </w:tr>
      <w:tr>
        <w:trPr>
          <w:trHeight w:val="1096" w:hRule="atLeast"/>
        </w:trPr>
        <w:tc>
          <w:tcPr>
            <w:tcW w:w="980" w:type="dxa"/>
            <w:vAlign w:val="top"/>
          </w:tcPr>
          <w:p>
            <w:pPr>
              <w:spacing w:line="374" w:lineRule="auto"/>
              <w:rPr>
                <w:rFonts w:ascii="Arial"/>
                <w:sz w:val="21"/>
              </w:rPr>
            </w:pPr>
            <w:r/>
          </w:p>
          <w:p>
            <w:pPr>
              <w:pStyle w:val="TableText"/>
              <w:ind w:left="76"/>
              <w:spacing w:before="65" w:line="228" w:lineRule="auto"/>
              <w:rPr/>
            </w:pPr>
            <w:r>
              <w:rPr>
                <w:spacing w:val="6"/>
              </w:rPr>
              <w:t>主要缺点</w:t>
            </w:r>
          </w:p>
        </w:tc>
        <w:tc>
          <w:tcPr>
            <w:tcW w:w="3639" w:type="dxa"/>
            <w:vAlign w:val="top"/>
          </w:tcPr>
          <w:p>
            <w:pPr>
              <w:pStyle w:val="TableText"/>
              <w:ind w:left="8" w:right="3" w:firstLine="17"/>
              <w:spacing w:before="32" w:line="243" w:lineRule="auto"/>
              <w:jc w:val="both"/>
              <w:rPr/>
            </w:pPr>
            <w:r>
              <w:rPr>
                <w:rFonts w:ascii="Times New Roman" w:hAnsi="Times New Roman" w:eastAsia="Times New Roman" w:cs="Times New Roman"/>
                <w:spacing w:val="3"/>
              </w:rPr>
              <w:t>1.</w:t>
            </w:r>
            <w:r>
              <w:rPr>
                <w:spacing w:val="3"/>
              </w:rPr>
              <w:t>需要的热量多，运行费用略高；</w:t>
            </w:r>
            <w:r>
              <w:rPr>
                <w:rFonts w:ascii="Times New Roman" w:hAnsi="Times New Roman" w:eastAsia="Times New Roman" w:cs="Times New Roman"/>
                <w:spacing w:val="3"/>
              </w:rPr>
              <w:t>2.</w:t>
            </w:r>
            <w:r>
              <w:rPr>
                <w:rFonts w:ascii="Times New Roman" w:hAnsi="Times New Roman" w:eastAsia="Times New Roman" w:cs="Times New Roman"/>
                <w:spacing w:val="-7"/>
              </w:rPr>
              <w:t xml:space="preserve"> </w:t>
            </w:r>
            <w:r>
              <w:rPr>
                <w:spacing w:val="3"/>
              </w:rPr>
              <w:t>由于</w:t>
            </w:r>
            <w:r>
              <w:rPr/>
              <w:t xml:space="preserve"> </w:t>
            </w:r>
            <w:r>
              <w:rPr>
                <w:spacing w:val="13"/>
              </w:rPr>
              <w:t>在高温条件下游离氨浓度比中温略高，</w:t>
            </w:r>
            <w:r>
              <w:rPr/>
              <w:t xml:space="preserve"> </w:t>
            </w:r>
            <w:r>
              <w:rPr>
                <w:spacing w:val="3"/>
              </w:rPr>
              <w:t>氨对厌氧菌的抑制作用更加明显；</w:t>
            </w:r>
            <w:r>
              <w:rPr>
                <w:rFonts w:ascii="Times New Roman" w:hAnsi="Times New Roman" w:eastAsia="Times New Roman" w:cs="Times New Roman"/>
                <w:spacing w:val="3"/>
              </w:rPr>
              <w:t>3.</w:t>
            </w:r>
            <w:r>
              <w:rPr>
                <w:spacing w:val="3"/>
              </w:rPr>
              <w:t>调试</w:t>
            </w:r>
            <w:r>
              <w:rPr>
                <w:spacing w:val="13"/>
              </w:rPr>
              <w:t xml:space="preserve"> </w:t>
            </w:r>
            <w:r>
              <w:rPr>
                <w:spacing w:val="8"/>
              </w:rPr>
              <w:t>启动困难，温度波动要求严格。</w:t>
            </w:r>
          </w:p>
        </w:tc>
        <w:tc>
          <w:tcPr>
            <w:tcW w:w="3897" w:type="dxa"/>
            <w:vAlign w:val="top"/>
          </w:tcPr>
          <w:p>
            <w:pPr>
              <w:pStyle w:val="TableText"/>
              <w:ind w:left="14" w:right="5" w:firstLine="12"/>
              <w:spacing w:before="166" w:line="253" w:lineRule="auto"/>
              <w:jc w:val="both"/>
              <w:rPr/>
            </w:pPr>
            <w:r>
              <w:rPr>
                <w:rFonts w:ascii="Times New Roman" w:hAnsi="Times New Roman" w:eastAsia="Times New Roman" w:cs="Times New Roman"/>
                <w:spacing w:val="7"/>
              </w:rPr>
              <w:t>1.</w:t>
            </w:r>
            <w:r>
              <w:rPr>
                <w:spacing w:val="7"/>
              </w:rPr>
              <w:t>消化时间较长，工程投资高；</w:t>
            </w:r>
            <w:r>
              <w:rPr>
                <w:rFonts w:ascii="Times New Roman" w:hAnsi="Times New Roman" w:eastAsia="Times New Roman" w:cs="Times New Roman"/>
                <w:spacing w:val="7"/>
              </w:rPr>
              <w:t>2.</w:t>
            </w:r>
            <w:r>
              <w:rPr>
                <w:spacing w:val="7"/>
              </w:rPr>
              <w:t>消毒效果</w:t>
            </w:r>
            <w:r>
              <w:rPr>
                <w:spacing w:val="10"/>
              </w:rPr>
              <w:t xml:space="preserve"> </w:t>
            </w:r>
            <w:r>
              <w:rPr>
                <w:spacing w:val="6"/>
              </w:rPr>
              <w:t>不如高温状态；</w:t>
            </w:r>
            <w:r>
              <w:rPr>
                <w:rFonts w:ascii="Times New Roman" w:hAnsi="Times New Roman" w:eastAsia="Times New Roman" w:cs="Times New Roman"/>
                <w:spacing w:val="6"/>
              </w:rPr>
              <w:t>3.</w:t>
            </w:r>
            <w:r>
              <w:rPr>
                <w:spacing w:val="6"/>
              </w:rPr>
              <w:t>单位容积产气率低，工程</w:t>
            </w:r>
            <w:r>
              <w:rPr/>
              <w:t xml:space="preserve"> </w:t>
            </w:r>
            <w:r>
              <w:rPr>
                <w:spacing w:val="6"/>
              </w:rPr>
              <w:t>占地面积大。</w:t>
            </w:r>
          </w:p>
        </w:tc>
      </w:tr>
    </w:tbl>
    <w:p>
      <w:pPr>
        <w:ind w:left="31" w:right="164" w:firstLine="473"/>
        <w:spacing w:before="35" w:line="359" w:lineRule="auto"/>
        <w:rPr>
          <w:rFonts w:ascii="SimSun" w:hAnsi="SimSun" w:eastAsia="SimSun" w:cs="SimSun"/>
          <w:sz w:val="24"/>
          <w:szCs w:val="24"/>
        </w:rPr>
      </w:pPr>
      <w:r>
        <w:rPr>
          <w:rFonts w:ascii="SimSun" w:hAnsi="SimSun" w:eastAsia="SimSun" w:cs="SimSun"/>
          <w:sz w:val="24"/>
          <w:szCs w:val="24"/>
        </w:rPr>
        <w:t>采用中温消化既可以减少能耗损失，降低运行成本，</w:t>
      </w:r>
      <w:r>
        <w:rPr>
          <w:rFonts w:ascii="SimSun" w:hAnsi="SimSun" w:eastAsia="SimSun" w:cs="SimSun"/>
          <w:sz w:val="24"/>
          <w:szCs w:val="24"/>
          <w:spacing w:val="-1"/>
        </w:rPr>
        <w:t>又可使项目运行更加稳</w:t>
      </w:r>
      <w:r>
        <w:rPr>
          <w:rFonts w:ascii="SimSun" w:hAnsi="SimSun" w:eastAsia="SimSun" w:cs="SimSun"/>
          <w:sz w:val="24"/>
          <w:szCs w:val="24"/>
        </w:rPr>
        <w:t xml:space="preserve"> </w:t>
      </w:r>
      <w:r>
        <w:rPr>
          <w:rFonts w:ascii="SimSun" w:hAnsi="SimSun" w:eastAsia="SimSun" w:cs="SimSun"/>
          <w:sz w:val="24"/>
          <w:szCs w:val="24"/>
          <w:spacing w:val="-2"/>
        </w:rPr>
        <w:t>定，因此本项目采用中温发酵。</w:t>
      </w:r>
    </w:p>
    <w:p>
      <w:pPr>
        <w:ind w:left="508"/>
        <w:spacing w:before="1" w:line="218" w:lineRule="auto"/>
        <w:rPr>
          <w:rFonts w:ascii="SimSun" w:hAnsi="SimSun" w:eastAsia="SimSun" w:cs="SimSun"/>
          <w:sz w:val="24"/>
          <w:szCs w:val="24"/>
        </w:rPr>
      </w:pPr>
      <w:r>
        <w:rPr>
          <w:rFonts w:ascii="SimSun" w:hAnsi="SimSun" w:eastAsia="SimSun" w:cs="SimSun"/>
          <w:sz w:val="24"/>
          <w:szCs w:val="24"/>
          <w:spacing w:val="-2"/>
        </w:rPr>
        <w:t>综上，本项目运用</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2"/>
        </w:rPr>
        <w:t>USR</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中温湿式厌氧发酵技术。</w:t>
      </w:r>
    </w:p>
    <w:p>
      <w:pPr>
        <w:ind w:left="24" w:firstLine="481"/>
        <w:spacing w:before="182" w:line="360" w:lineRule="auto"/>
        <w:rPr>
          <w:rFonts w:ascii="SimSun" w:hAnsi="SimSun" w:eastAsia="SimSun" w:cs="SimSun"/>
          <w:sz w:val="24"/>
          <w:szCs w:val="24"/>
        </w:rPr>
      </w:pPr>
      <w:r>
        <w:rPr>
          <w:rFonts w:ascii="SimSun" w:hAnsi="SimSun" w:eastAsia="SimSun" w:cs="SimSun"/>
          <w:sz w:val="24"/>
          <w:szCs w:val="24"/>
          <w:spacing w:val="3"/>
        </w:rPr>
        <w:t>厌氧反应器是本项目厌氧发酵装置的核心设备，物料中的</w:t>
      </w:r>
      <w:r>
        <w:rPr>
          <w:rFonts w:ascii="SimSun" w:hAnsi="SimSun" w:eastAsia="SimSun" w:cs="SimSun"/>
          <w:sz w:val="24"/>
          <w:szCs w:val="24"/>
          <w:spacing w:val="2"/>
        </w:rPr>
        <w:t>有机污染物在厌氧</w:t>
      </w:r>
      <w:r>
        <w:rPr>
          <w:rFonts w:ascii="SimSun" w:hAnsi="SimSun" w:eastAsia="SimSun" w:cs="SimSun"/>
          <w:sz w:val="24"/>
          <w:szCs w:val="24"/>
        </w:rPr>
        <w:t xml:space="preserve"> </w:t>
      </w:r>
      <w:r>
        <w:rPr>
          <w:rFonts w:ascii="SimSun" w:hAnsi="SimSun" w:eastAsia="SimSun" w:cs="SimSun"/>
          <w:sz w:val="24"/>
          <w:szCs w:val="24"/>
          <w:spacing w:val="-5"/>
        </w:rPr>
        <w:t>条件下经微生物降解，转化成甲烷、二氧化碳等，所产气体（沼气）含甲烷</w:t>
      </w:r>
      <w:r>
        <w:rPr>
          <w:rFonts w:ascii="Times New Roman" w:hAnsi="Times New Roman" w:eastAsia="Times New Roman" w:cs="Times New Roman"/>
          <w:sz w:val="24"/>
          <w:szCs w:val="24"/>
          <w:spacing w:val="-5"/>
        </w:rPr>
        <w:t>≥60%</w:t>
      </w:r>
      <w:r>
        <w:rPr>
          <w:rFonts w:ascii="SimSun" w:hAnsi="SimSun" w:eastAsia="SimSun" w:cs="SimSun"/>
          <w:sz w:val="24"/>
          <w:szCs w:val="24"/>
          <w:spacing w:val="-5"/>
        </w:rPr>
        <w:t>，</w:t>
      </w:r>
      <w:r>
        <w:rPr>
          <w:rFonts w:ascii="SimSun" w:hAnsi="SimSun" w:eastAsia="SimSun" w:cs="SimSun"/>
          <w:sz w:val="24"/>
          <w:szCs w:val="24"/>
          <w:spacing w:val="13"/>
        </w:rPr>
        <w:t xml:space="preserve"> </w:t>
      </w:r>
      <w:r>
        <w:rPr>
          <w:rFonts w:ascii="SimSun" w:hAnsi="SimSun" w:eastAsia="SimSun" w:cs="SimSun"/>
          <w:sz w:val="24"/>
          <w:szCs w:val="24"/>
          <w:spacing w:val="-2"/>
        </w:rPr>
        <w:t>可作为能源再次利用，既去除了有机污染物又回收了</w:t>
      </w:r>
      <w:r>
        <w:rPr>
          <w:rFonts w:ascii="SimSun" w:hAnsi="SimSun" w:eastAsia="SimSun" w:cs="SimSun"/>
          <w:sz w:val="24"/>
          <w:szCs w:val="24"/>
          <w:spacing w:val="-3"/>
        </w:rPr>
        <w:t>能源。在厌氧反应器运行中，</w:t>
      </w:r>
      <w:r>
        <w:rPr>
          <w:rFonts w:ascii="SimSun" w:hAnsi="SimSun" w:eastAsia="SimSun" w:cs="SimSun"/>
          <w:sz w:val="24"/>
          <w:szCs w:val="24"/>
        </w:rPr>
        <w:t xml:space="preserve"> </w:t>
      </w:r>
      <w:r>
        <w:rPr>
          <w:rFonts w:ascii="SimSun" w:hAnsi="SimSun" w:eastAsia="SimSun" w:cs="SimSun"/>
          <w:sz w:val="24"/>
          <w:szCs w:val="24"/>
          <w:spacing w:val="3"/>
        </w:rPr>
        <w:t>为补偿热损失对厌氧罐中物料加热，在厌氧罐内设置加热</w:t>
      </w:r>
      <w:r>
        <w:rPr>
          <w:rFonts w:ascii="SimSun" w:hAnsi="SimSun" w:eastAsia="SimSun" w:cs="SimSun"/>
          <w:sz w:val="24"/>
          <w:szCs w:val="24"/>
          <w:spacing w:val="2"/>
        </w:rPr>
        <w:t>盘管，以保持处理温度</w:t>
      </w:r>
      <w:r>
        <w:rPr>
          <w:rFonts w:ascii="SimSun" w:hAnsi="SimSun" w:eastAsia="SimSun" w:cs="SimSun"/>
          <w:sz w:val="24"/>
          <w:szCs w:val="24"/>
        </w:rPr>
        <w:t xml:space="preserve"> </w:t>
      </w:r>
      <w:r>
        <w:rPr>
          <w:rFonts w:ascii="SimSun" w:hAnsi="SimSun" w:eastAsia="SimSun" w:cs="SimSun"/>
          <w:sz w:val="24"/>
          <w:szCs w:val="24"/>
        </w:rPr>
        <w:t>在</w:t>
      </w:r>
      <w:r>
        <w:rPr>
          <w:rFonts w:ascii="SimSun" w:hAnsi="SimSun" w:eastAsia="SimSun" w:cs="SimSun"/>
          <w:sz w:val="24"/>
          <w:szCs w:val="24"/>
          <w:spacing w:val="-33"/>
        </w:rPr>
        <w:t xml:space="preserve"> </w:t>
      </w:r>
      <w:r>
        <w:rPr>
          <w:rFonts w:ascii="Times New Roman" w:hAnsi="Times New Roman" w:eastAsia="Times New Roman" w:cs="Times New Roman"/>
          <w:sz w:val="24"/>
          <w:szCs w:val="24"/>
        </w:rPr>
        <w:t>35℃</w:t>
      </w:r>
      <w:r>
        <w:rPr>
          <w:rFonts w:ascii="SimSun" w:hAnsi="SimSun" w:eastAsia="SimSun" w:cs="SimSun"/>
          <w:sz w:val="24"/>
          <w:szCs w:val="24"/>
        </w:rPr>
        <w:t>左右，保证整个厌氧消化过程的正常运转。消化罐采用循环泵循环布水搅</w:t>
      </w:r>
    </w:p>
    <w:p>
      <w:pPr>
        <w:ind w:left="23"/>
        <w:spacing w:before="212" w:line="227" w:lineRule="auto"/>
        <w:rPr>
          <w:rFonts w:ascii="SimSun" w:hAnsi="SimSun" w:eastAsia="SimSun" w:cs="SimSun"/>
          <w:sz w:val="19"/>
          <w:szCs w:val="19"/>
        </w:rPr>
      </w:pPr>
      <w:r>
        <w:pict>
          <v:shape id="_x0000_s1214" style="position:absolute;margin-left:160.12pt;margin-top:9.61508pt;mso-position-vertical-relative:text;mso-position-horizontal-relative:text;width:61pt;height:13.75pt;z-index:252300288;"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267</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314"/>
          <w:footerReference w:type="default" r:id="rId3"/>
          <w:pgSz w:w="11907" w:h="16840"/>
          <w:pgMar w:top="1567" w:right="1640" w:bottom="400" w:left="1685" w:header="1221" w:footer="0" w:gutter="0"/>
        </w:sectPr>
        <w:rPr>
          <w:rFonts w:ascii="SimSun" w:hAnsi="SimSun" w:eastAsia="SimSun" w:cs="SimSun"/>
          <w:sz w:val="19"/>
          <w:szCs w:val="19"/>
        </w:rPr>
      </w:pPr>
    </w:p>
    <w:p>
      <w:pPr>
        <w:ind w:left="10"/>
        <w:spacing w:before="168" w:line="220" w:lineRule="auto"/>
        <w:rPr>
          <w:rFonts w:ascii="SimSun" w:hAnsi="SimSun" w:eastAsia="SimSun" w:cs="SimSun"/>
          <w:sz w:val="24"/>
          <w:szCs w:val="24"/>
        </w:rPr>
      </w:pPr>
      <w:r>
        <w:pict>
          <v:shape id="_x0000_s1216" style="position:absolute;margin-left:85.05pt;margin-top:78.87pt;mso-position-vertical-relative:page;mso-position-horizontal-relative:page;width:425.25pt;height:0.75pt;z-index:252303360;" o:allowincell="f" fillcolor="#000000" filled="true" stroked="false" coordsize="8505,15" coordorigin="0,0" path="m,l8505,0l8505,14l0,14l0,0xe"/>
        </w:pict>
      </w:r>
      <w:r>
        <w:rPr>
          <w:rFonts w:ascii="SimSun" w:hAnsi="SimSun" w:eastAsia="SimSun" w:cs="SimSun"/>
          <w:sz w:val="24"/>
          <w:szCs w:val="24"/>
          <w:spacing w:val="-6"/>
        </w:rPr>
        <w:t>动。</w:t>
      </w:r>
    </w:p>
    <w:p>
      <w:pPr>
        <w:ind w:left="15" w:right="78" w:firstLine="476"/>
        <w:spacing w:before="179" w:line="359" w:lineRule="auto"/>
        <w:rPr>
          <w:rFonts w:ascii="SimSun" w:hAnsi="SimSun" w:eastAsia="SimSun" w:cs="SimSun"/>
          <w:sz w:val="24"/>
          <w:szCs w:val="24"/>
        </w:rPr>
      </w:pPr>
      <w:r>
        <w:rPr>
          <w:rFonts w:ascii="SimSun" w:hAnsi="SimSun" w:eastAsia="SimSun" w:cs="SimSun"/>
          <w:sz w:val="24"/>
          <w:szCs w:val="24"/>
          <w:spacing w:val="3"/>
        </w:rPr>
        <w:t>主要有以下几部分组成：罐体、循环系统、正负压保护装置、</w:t>
      </w:r>
      <w:r>
        <w:rPr>
          <w:rFonts w:ascii="SimSun" w:hAnsi="SimSun" w:eastAsia="SimSun" w:cs="SimSun"/>
          <w:sz w:val="24"/>
          <w:szCs w:val="24"/>
          <w:spacing w:val="2"/>
        </w:rPr>
        <w:t>进料和出料系</w:t>
      </w:r>
      <w:r>
        <w:rPr>
          <w:rFonts w:ascii="SimSun" w:hAnsi="SimSun" w:eastAsia="SimSun" w:cs="SimSun"/>
          <w:sz w:val="24"/>
          <w:szCs w:val="24"/>
        </w:rPr>
        <w:t xml:space="preserve"> </w:t>
      </w:r>
      <w:r>
        <w:rPr>
          <w:rFonts w:ascii="SimSun" w:hAnsi="SimSun" w:eastAsia="SimSun" w:cs="SimSun"/>
          <w:sz w:val="24"/>
          <w:szCs w:val="24"/>
          <w:spacing w:val="-1"/>
        </w:rPr>
        <w:t>统，配套温度传感器、压力传感器、流量计等相关仪器仪表。</w:t>
      </w:r>
    </w:p>
    <w:p>
      <w:pPr>
        <w:ind w:left="8" w:firstLine="482"/>
        <w:spacing w:before="1" w:line="359" w:lineRule="auto"/>
        <w:jc w:val="both"/>
        <w:rPr>
          <w:rFonts w:ascii="SimSun" w:hAnsi="SimSun" w:eastAsia="SimSun" w:cs="SimSun"/>
          <w:sz w:val="24"/>
          <w:szCs w:val="24"/>
        </w:rPr>
      </w:pPr>
      <w:r>
        <w:rPr>
          <w:rFonts w:ascii="SimSun" w:hAnsi="SimSun" w:eastAsia="SimSun" w:cs="SimSun"/>
          <w:sz w:val="24"/>
          <w:szCs w:val="24"/>
          <w:spacing w:val="-2"/>
        </w:rPr>
        <w:t>厌氧罐中物料体积需保持恒定，因此厌氧罐的排料时间、排料量与进料时间、</w:t>
      </w:r>
      <w:r>
        <w:rPr>
          <w:rFonts w:ascii="SimSun" w:hAnsi="SimSun" w:eastAsia="SimSun" w:cs="SimSun"/>
          <w:sz w:val="24"/>
          <w:szCs w:val="24"/>
        </w:rPr>
        <w:t xml:space="preserve"> </w:t>
      </w:r>
      <w:r>
        <w:rPr>
          <w:rFonts w:ascii="SimSun" w:hAnsi="SimSun" w:eastAsia="SimSun" w:cs="SimSun"/>
          <w:sz w:val="24"/>
          <w:szCs w:val="24"/>
          <w:spacing w:val="3"/>
        </w:rPr>
        <w:t>进料量相同，即厌氧罐中进料与发酵残渣排料同时进行，由</w:t>
      </w:r>
      <w:r>
        <w:rPr>
          <w:rFonts w:ascii="SimSun" w:hAnsi="SimSun" w:eastAsia="SimSun" w:cs="SimSun"/>
          <w:sz w:val="24"/>
          <w:szCs w:val="24"/>
          <w:spacing w:val="2"/>
        </w:rPr>
        <w:t>于厌氧罐体为圆柱形</w:t>
      </w:r>
      <w:r>
        <w:rPr>
          <w:rFonts w:ascii="SimSun" w:hAnsi="SimSun" w:eastAsia="SimSun" w:cs="SimSun"/>
          <w:sz w:val="24"/>
          <w:szCs w:val="24"/>
        </w:rPr>
        <w:t xml:space="preserve"> </w:t>
      </w:r>
      <w:r>
        <w:rPr>
          <w:rFonts w:ascii="SimSun" w:hAnsi="SimSun" w:eastAsia="SimSun" w:cs="SimSun"/>
          <w:sz w:val="24"/>
          <w:szCs w:val="24"/>
          <w:spacing w:val="-1"/>
        </w:rPr>
        <w:t>结构，出料选为设有控制阀门的重力自然排料方式。</w:t>
      </w:r>
    </w:p>
    <w:p>
      <w:pPr>
        <w:ind w:left="8" w:right="78" w:firstLine="484"/>
        <w:spacing w:before="1" w:line="359" w:lineRule="auto"/>
        <w:rPr>
          <w:rFonts w:ascii="SimSun" w:hAnsi="SimSun" w:eastAsia="SimSun" w:cs="SimSun"/>
          <w:sz w:val="24"/>
          <w:szCs w:val="24"/>
        </w:rPr>
      </w:pPr>
      <w:r>
        <w:rPr>
          <w:rFonts w:ascii="SimSun" w:hAnsi="SimSun" w:eastAsia="SimSun" w:cs="SimSun"/>
          <w:sz w:val="24"/>
          <w:szCs w:val="24"/>
          <w:spacing w:val="3"/>
        </w:rPr>
        <w:t>发酵罐内部设置检测装置对发酵罐内部压力值、温度值、</w:t>
      </w:r>
      <w:r>
        <w:rPr>
          <w:rFonts w:ascii="SimSun" w:hAnsi="SimSun" w:eastAsia="SimSun" w:cs="SimSun"/>
          <w:sz w:val="24"/>
          <w:szCs w:val="24"/>
          <w:spacing w:val="2"/>
        </w:rPr>
        <w:t>液位、等指标进行</w:t>
      </w:r>
      <w:r>
        <w:rPr>
          <w:rFonts w:ascii="SimSun" w:hAnsi="SimSun" w:eastAsia="SimSun" w:cs="SimSun"/>
          <w:sz w:val="24"/>
          <w:szCs w:val="24"/>
        </w:rPr>
        <w:t xml:space="preserve"> </w:t>
      </w:r>
      <w:r>
        <w:rPr>
          <w:rFonts w:ascii="SimSun" w:hAnsi="SimSun" w:eastAsia="SimSun" w:cs="SimSun"/>
          <w:sz w:val="24"/>
          <w:szCs w:val="24"/>
          <w:spacing w:val="3"/>
        </w:rPr>
        <w:t>测定和监控。整个发酵过程通过自动控制系统对发酵罐的</w:t>
      </w:r>
      <w:r>
        <w:rPr>
          <w:rFonts w:ascii="SimSun" w:hAnsi="SimSun" w:eastAsia="SimSun" w:cs="SimSun"/>
          <w:sz w:val="24"/>
          <w:szCs w:val="24"/>
          <w:spacing w:val="2"/>
        </w:rPr>
        <w:t>进料、出料、压力、温</w:t>
      </w:r>
      <w:r>
        <w:rPr>
          <w:rFonts w:ascii="SimSun" w:hAnsi="SimSun" w:eastAsia="SimSun" w:cs="SimSun"/>
          <w:sz w:val="24"/>
          <w:szCs w:val="24"/>
        </w:rPr>
        <w:t xml:space="preserve"> </w:t>
      </w:r>
      <w:r>
        <w:rPr>
          <w:rFonts w:ascii="SimSun" w:hAnsi="SimSun" w:eastAsia="SimSun" w:cs="SimSun"/>
          <w:sz w:val="24"/>
          <w:szCs w:val="24"/>
          <w:spacing w:val="3"/>
        </w:rPr>
        <w:t>度等参数进行在线检测和监控，此外定期取样发酵液，对</w:t>
      </w:r>
      <w:r>
        <w:rPr>
          <w:rFonts w:ascii="SimSun" w:hAnsi="SimSun" w:eastAsia="SimSun" w:cs="SimSun"/>
          <w:sz w:val="24"/>
          <w:szCs w:val="24"/>
          <w:spacing w:val="2"/>
        </w:rPr>
        <w:t>更多的指标（挥发酸、</w:t>
      </w:r>
      <w:r>
        <w:rPr>
          <w:rFonts w:ascii="SimSun" w:hAnsi="SimSun" w:eastAsia="SimSun" w:cs="SimSun"/>
          <w:sz w:val="24"/>
          <w:szCs w:val="24"/>
        </w:rPr>
        <w:t xml:space="preserve"> </w:t>
      </w:r>
      <w:r>
        <w:rPr>
          <w:rFonts w:ascii="SimSun" w:hAnsi="SimSun" w:eastAsia="SimSun" w:cs="SimSun"/>
          <w:sz w:val="24"/>
          <w:szCs w:val="24"/>
          <w:spacing w:val="-3"/>
        </w:rPr>
        <w:t>氨氮、</w:t>
      </w:r>
      <w:r>
        <w:rPr>
          <w:rFonts w:ascii="Times New Roman" w:hAnsi="Times New Roman" w:eastAsia="Times New Roman" w:cs="Times New Roman"/>
          <w:sz w:val="24"/>
          <w:szCs w:val="24"/>
          <w:spacing w:val="-3"/>
        </w:rPr>
        <w:t>C/N </w:t>
      </w:r>
      <w:r>
        <w:rPr>
          <w:rFonts w:ascii="SimSun" w:hAnsi="SimSun" w:eastAsia="SimSun" w:cs="SimSun"/>
          <w:sz w:val="24"/>
          <w:szCs w:val="24"/>
          <w:spacing w:val="-3"/>
        </w:rPr>
        <w:t>等）进行实验室测试，测试结果及时分析</w:t>
      </w:r>
      <w:r>
        <w:rPr>
          <w:rFonts w:ascii="SimSun" w:hAnsi="SimSun" w:eastAsia="SimSun" w:cs="SimSun"/>
          <w:sz w:val="24"/>
          <w:szCs w:val="24"/>
          <w:spacing w:val="-4"/>
        </w:rPr>
        <w:t>反馈，以便操作人员利用这些</w:t>
      </w:r>
      <w:r>
        <w:rPr>
          <w:rFonts w:ascii="SimSun" w:hAnsi="SimSun" w:eastAsia="SimSun" w:cs="SimSun"/>
          <w:sz w:val="24"/>
          <w:szCs w:val="24"/>
        </w:rPr>
        <w:t xml:space="preserve"> </w:t>
      </w:r>
      <w:r>
        <w:rPr>
          <w:rFonts w:ascii="SimSun" w:hAnsi="SimSun" w:eastAsia="SimSun" w:cs="SimSun"/>
          <w:sz w:val="24"/>
          <w:szCs w:val="24"/>
        </w:rPr>
        <w:t>测量、分析结果及时调整发酵罐运行参数，保证厌氧消</w:t>
      </w:r>
      <w:r>
        <w:rPr>
          <w:rFonts w:ascii="SimSun" w:hAnsi="SimSun" w:eastAsia="SimSun" w:cs="SimSun"/>
          <w:sz w:val="24"/>
          <w:szCs w:val="24"/>
          <w:spacing w:val="-1"/>
        </w:rPr>
        <w:t>化过程的持续和稳定。</w:t>
      </w:r>
    </w:p>
    <w:p>
      <w:pPr>
        <w:ind w:left="9" w:right="77" w:firstLine="480"/>
        <w:spacing w:before="9" w:line="358" w:lineRule="auto"/>
        <w:jc w:val="both"/>
        <w:rPr>
          <w:rFonts w:ascii="SimSun" w:hAnsi="SimSun" w:eastAsia="SimSun" w:cs="SimSun"/>
          <w:sz w:val="24"/>
          <w:szCs w:val="24"/>
        </w:rPr>
      </w:pPr>
      <w:r>
        <w:rPr>
          <w:rFonts w:ascii="SimSun" w:hAnsi="SimSun" w:eastAsia="SimSun" w:cs="SimSun"/>
          <w:sz w:val="24"/>
          <w:szCs w:val="24"/>
          <w:spacing w:val="-2"/>
        </w:rPr>
        <w:t>根据《纺织工业污染防治可行技术指南》（</w:t>
      </w:r>
      <w:r>
        <w:rPr>
          <w:rFonts w:ascii="Times New Roman" w:hAnsi="Times New Roman" w:eastAsia="Times New Roman" w:cs="Times New Roman"/>
          <w:sz w:val="24"/>
          <w:szCs w:val="24"/>
          <w:spacing w:val="-2"/>
        </w:rPr>
        <w:t>HJ</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2"/>
        </w:rPr>
        <w:t>1177-202</w:t>
      </w:r>
      <w:r>
        <w:rPr>
          <w:rFonts w:ascii="Times New Roman" w:hAnsi="Times New Roman" w:eastAsia="Times New Roman" w:cs="Times New Roman"/>
          <w:sz w:val="24"/>
          <w:szCs w:val="24"/>
          <w:spacing w:val="-3"/>
        </w:rPr>
        <w:t>1</w:t>
      </w:r>
      <w:r>
        <w:rPr>
          <w:rFonts w:ascii="SimSun" w:hAnsi="SimSun" w:eastAsia="SimSun" w:cs="SimSun"/>
          <w:sz w:val="24"/>
          <w:szCs w:val="24"/>
          <w:spacing w:val="-3"/>
        </w:rPr>
        <w:t>）中“</w:t>
      </w:r>
      <w:r>
        <w:rPr>
          <w:rFonts w:ascii="Times New Roman" w:hAnsi="Times New Roman" w:eastAsia="Times New Roman" w:cs="Times New Roman"/>
          <w:sz w:val="24"/>
          <w:szCs w:val="24"/>
          <w:spacing w:val="-3"/>
        </w:rPr>
        <w:t>6.1.2.1 </w:t>
      </w:r>
      <w:r>
        <w:rPr>
          <w:rFonts w:ascii="SimSun" w:hAnsi="SimSun" w:eastAsia="SimSun" w:cs="SimSun"/>
          <w:sz w:val="24"/>
          <w:szCs w:val="24"/>
          <w:spacing w:val="-3"/>
        </w:rPr>
        <w:t>厌氧生</w:t>
      </w:r>
      <w:r>
        <w:rPr>
          <w:rFonts w:ascii="SimSun" w:hAnsi="SimSun" w:eastAsia="SimSun" w:cs="SimSun"/>
          <w:sz w:val="24"/>
          <w:szCs w:val="24"/>
        </w:rPr>
        <w:t xml:space="preserve"> </w:t>
      </w:r>
      <w:r>
        <w:rPr>
          <w:rFonts w:ascii="SimSun" w:hAnsi="SimSun" w:eastAsia="SimSun" w:cs="SimSun"/>
          <w:sz w:val="24"/>
          <w:szCs w:val="24"/>
          <w:spacing w:val="3"/>
        </w:rPr>
        <w:t>物技术。厌氧生物反应器。该技术适用于绢纺废水</w:t>
      </w:r>
      <w:r>
        <w:rPr>
          <w:rFonts w:ascii="SimSun" w:hAnsi="SimSun" w:eastAsia="SimSun" w:cs="SimSun"/>
          <w:sz w:val="24"/>
          <w:szCs w:val="24"/>
          <w:spacing w:val="2"/>
        </w:rPr>
        <w:t>、洗毛废水及淀粉浆料为主的</w:t>
      </w:r>
      <w:r>
        <w:rPr>
          <w:rFonts w:ascii="SimSun" w:hAnsi="SimSun" w:eastAsia="SimSun" w:cs="SimSun"/>
          <w:sz w:val="24"/>
          <w:szCs w:val="24"/>
        </w:rPr>
        <w:t xml:space="preserve"> </w:t>
      </w:r>
      <w:r>
        <w:rPr>
          <w:rFonts w:ascii="SimSun" w:hAnsi="SimSun" w:eastAsia="SimSun" w:cs="SimSun"/>
          <w:sz w:val="24"/>
          <w:szCs w:val="24"/>
          <w:spacing w:val="3"/>
        </w:rPr>
        <w:t>退浆废水等高浓度有机废水，利用一定结构形式的生物</w:t>
      </w:r>
      <w:r>
        <w:rPr>
          <w:rFonts w:ascii="SimSun" w:hAnsi="SimSun" w:eastAsia="SimSun" w:cs="SimSun"/>
          <w:sz w:val="24"/>
          <w:szCs w:val="24"/>
          <w:spacing w:val="2"/>
        </w:rPr>
        <w:t>反应器进行含有机物废水</w:t>
      </w:r>
      <w:r>
        <w:rPr>
          <w:rFonts w:ascii="SimSun" w:hAnsi="SimSun" w:eastAsia="SimSun" w:cs="SimSun"/>
          <w:sz w:val="24"/>
          <w:szCs w:val="24"/>
        </w:rPr>
        <w:t xml:space="preserve"> </w:t>
      </w:r>
      <w:r>
        <w:rPr>
          <w:rFonts w:ascii="SimSun" w:hAnsi="SimSun" w:eastAsia="SimSun" w:cs="SimSun"/>
          <w:sz w:val="24"/>
          <w:szCs w:val="24"/>
          <w:spacing w:val="10"/>
        </w:rPr>
        <w:t>的厌氧代谢处理。纺织工业中常用的厌氧反应器形式有升流式厌氧</w:t>
      </w:r>
      <w:r>
        <w:rPr>
          <w:rFonts w:ascii="SimSun" w:hAnsi="SimSun" w:eastAsia="SimSun" w:cs="SimSun"/>
          <w:sz w:val="24"/>
          <w:szCs w:val="24"/>
          <w:spacing w:val="9"/>
        </w:rPr>
        <w:t>污泥反应器</w:t>
      </w:r>
      <w:r>
        <w:rPr>
          <w:rFonts w:ascii="SimSun" w:hAnsi="SimSun" w:eastAsia="SimSun" w:cs="SimSun"/>
          <w:sz w:val="24"/>
          <w:szCs w:val="2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UASB</w:t>
      </w:r>
      <w:r>
        <w:rPr>
          <w:rFonts w:ascii="SimSun" w:hAnsi="SimSun" w:eastAsia="SimSun" w:cs="SimSun"/>
          <w:sz w:val="24"/>
          <w:szCs w:val="24"/>
          <w:spacing w:val="-2"/>
        </w:rPr>
        <w:t>）、厌氧折流板反应器（</w:t>
      </w:r>
      <w:r>
        <w:rPr>
          <w:rFonts w:ascii="Times New Roman" w:hAnsi="Times New Roman" w:eastAsia="Times New Roman" w:cs="Times New Roman"/>
          <w:sz w:val="24"/>
          <w:szCs w:val="24"/>
          <w:spacing w:val="-2"/>
        </w:rPr>
        <w:t>ABR</w:t>
      </w:r>
      <w:r>
        <w:rPr>
          <w:rFonts w:ascii="SimSun" w:hAnsi="SimSun" w:eastAsia="SimSun" w:cs="SimSun"/>
          <w:sz w:val="24"/>
          <w:szCs w:val="24"/>
          <w:spacing w:val="-2"/>
        </w:rPr>
        <w:t>）和内循环厌氧反应器（</w:t>
      </w:r>
      <w:r>
        <w:rPr>
          <w:rFonts w:ascii="Times New Roman" w:hAnsi="Times New Roman" w:eastAsia="Times New Roman" w:cs="Times New Roman"/>
          <w:sz w:val="24"/>
          <w:szCs w:val="24"/>
          <w:spacing w:val="-2"/>
        </w:rPr>
        <w:t>I</w:t>
      </w:r>
      <w:r>
        <w:rPr>
          <w:rFonts w:ascii="Times New Roman" w:hAnsi="Times New Roman" w:eastAsia="Times New Roman" w:cs="Times New Roman"/>
          <w:sz w:val="24"/>
          <w:szCs w:val="24"/>
          <w:spacing w:val="-3"/>
        </w:rPr>
        <w:t>C</w:t>
      </w:r>
      <w:r>
        <w:rPr>
          <w:rFonts w:ascii="SimSun" w:hAnsi="SimSun" w:eastAsia="SimSun" w:cs="SimSun"/>
          <w:sz w:val="24"/>
          <w:szCs w:val="24"/>
          <w:spacing w:val="-1"/>
        </w:rPr>
        <w:t>），</w:t>
      </w:r>
      <w:r>
        <w:rPr>
          <w:rFonts w:ascii="SimSun" w:hAnsi="SimSun" w:eastAsia="SimSun" w:cs="SimSun"/>
          <w:sz w:val="24"/>
          <w:szCs w:val="24"/>
          <w:spacing w:val="-3"/>
        </w:rPr>
        <w:t>纺织工业废</w:t>
      </w:r>
      <w:r>
        <w:rPr>
          <w:rFonts w:ascii="SimSun" w:hAnsi="SimSun" w:eastAsia="SimSun" w:cs="SimSun"/>
          <w:sz w:val="24"/>
          <w:szCs w:val="24"/>
          <w:spacing w:val="1"/>
        </w:rPr>
        <w:t xml:space="preserve"> </w:t>
      </w:r>
      <w:r>
        <w:rPr>
          <w:rFonts w:ascii="SimSun" w:hAnsi="SimSun" w:eastAsia="SimSun" w:cs="SimSun"/>
          <w:sz w:val="24"/>
          <w:szCs w:val="24"/>
          <w:spacing w:val="-6"/>
        </w:rPr>
        <w:t>水厌氧反应器的水力停留时间宜大于</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6"/>
        </w:rPr>
        <w:t>12h</w:t>
      </w:r>
      <w:r>
        <w:rPr>
          <w:rFonts w:ascii="SimSun" w:hAnsi="SimSun" w:eastAsia="SimSun" w:cs="SimSun"/>
          <w:sz w:val="24"/>
          <w:szCs w:val="24"/>
          <w:spacing w:val="-6"/>
        </w:rPr>
        <w:t>，</w:t>
      </w:r>
      <w:r>
        <w:rPr>
          <w:rFonts w:ascii="Times New Roman" w:hAnsi="Times New Roman" w:eastAsia="Times New Roman" w:cs="Times New Roman"/>
          <w:sz w:val="24"/>
          <w:szCs w:val="24"/>
          <w:spacing w:val="-6"/>
        </w:rPr>
        <w:t>CODCr </w:t>
      </w:r>
      <w:r>
        <w:rPr>
          <w:rFonts w:ascii="SimSun" w:hAnsi="SimSun" w:eastAsia="SimSun" w:cs="SimSun"/>
          <w:sz w:val="24"/>
          <w:szCs w:val="24"/>
          <w:spacing w:val="-6"/>
        </w:rPr>
        <w:t>去除率一般为</w:t>
      </w:r>
      <w:r>
        <w:rPr>
          <w:rFonts w:ascii="Times New Roman" w:hAnsi="Times New Roman" w:eastAsia="Times New Roman" w:cs="Times New Roman"/>
          <w:sz w:val="24"/>
          <w:szCs w:val="24"/>
          <w:spacing w:val="-6"/>
        </w:rPr>
        <w:t>40%</w:t>
      </w:r>
      <w:r>
        <w:rPr>
          <w:rFonts w:ascii="SimSun" w:hAnsi="SimSun" w:eastAsia="SimSun" w:cs="SimSun"/>
          <w:sz w:val="24"/>
          <w:szCs w:val="24"/>
          <w:spacing w:val="-6"/>
        </w:rPr>
        <w:t>～</w:t>
      </w:r>
      <w:r>
        <w:rPr>
          <w:rFonts w:ascii="Times New Roman" w:hAnsi="Times New Roman" w:eastAsia="Times New Roman" w:cs="Times New Roman"/>
          <w:sz w:val="24"/>
          <w:szCs w:val="24"/>
          <w:spacing w:val="-6"/>
        </w:rPr>
        <w:t>60%</w:t>
      </w:r>
      <w:r>
        <w:rPr>
          <w:rFonts w:ascii="SimSun" w:hAnsi="SimSun" w:eastAsia="SimSun" w:cs="SimSun"/>
          <w:sz w:val="24"/>
          <w:szCs w:val="24"/>
          <w:spacing w:val="-6"/>
        </w:rPr>
        <w:t>。</w:t>
      </w:r>
      <w:r>
        <w:rPr>
          <w:rFonts w:ascii="Times New Roman" w:hAnsi="Times New Roman" w:eastAsia="Times New Roman" w:cs="Times New Roman"/>
          <w:sz w:val="24"/>
          <w:szCs w:val="24"/>
          <w:spacing w:val="-6"/>
        </w:rPr>
        <w:t>UASB</w:t>
      </w:r>
      <w:r>
        <w:rPr>
          <w:rFonts w:ascii="Times New Roman" w:hAnsi="Times New Roman" w:eastAsia="Times New Roman" w:cs="Times New Roman"/>
          <w:sz w:val="24"/>
          <w:szCs w:val="24"/>
        </w:rPr>
        <w:t xml:space="preserve"> </w:t>
      </w:r>
      <w:r>
        <w:rPr>
          <w:rFonts w:ascii="SimSun" w:hAnsi="SimSun" w:eastAsia="SimSun" w:cs="SimSun"/>
          <w:sz w:val="24"/>
          <w:szCs w:val="24"/>
          <w:spacing w:val="-2"/>
        </w:rPr>
        <w:t>的设计与管理应符合</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HJ 2013</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的要求。</w:t>
      </w:r>
      <w:r>
        <w:rPr>
          <w:rFonts w:ascii="SimSun" w:hAnsi="SimSun" w:eastAsia="SimSun" w:cs="SimSun"/>
          <w:sz w:val="24"/>
          <w:szCs w:val="24"/>
          <w:spacing w:val="-88"/>
        </w:rPr>
        <w:t xml:space="preserve"> </w:t>
      </w:r>
      <w:r>
        <w:rPr>
          <w:rFonts w:ascii="SimSun" w:hAnsi="SimSun" w:eastAsia="SimSun" w:cs="SimSun"/>
          <w:sz w:val="24"/>
          <w:szCs w:val="24"/>
          <w:spacing w:val="-2"/>
        </w:rPr>
        <w:t>”厌氧生物技术可以有效处理洗毛废水。</w:t>
      </w:r>
    </w:p>
    <w:p>
      <w:pPr>
        <w:ind w:left="15" w:right="80" w:firstLine="475"/>
        <w:spacing w:before="2" w:line="358" w:lineRule="auto"/>
        <w:jc w:val="both"/>
        <w:rPr>
          <w:rFonts w:ascii="SimSun" w:hAnsi="SimSun" w:eastAsia="SimSun" w:cs="SimSun"/>
          <w:sz w:val="24"/>
          <w:szCs w:val="24"/>
        </w:rPr>
      </w:pPr>
      <w:r>
        <w:rPr>
          <w:rFonts w:ascii="SimSun" w:hAnsi="SimSun" w:eastAsia="SimSun" w:cs="SimSun"/>
          <w:sz w:val="24"/>
          <w:szCs w:val="24"/>
          <w:spacing w:val="14"/>
        </w:rPr>
        <w:t>本项</w:t>
      </w:r>
      <w:r>
        <w:rPr>
          <w:rFonts w:ascii="SimSun" w:hAnsi="SimSun" w:eastAsia="SimSun" w:cs="SimSun"/>
          <w:sz w:val="24"/>
          <w:szCs w:val="24"/>
          <w:spacing w:val="-34"/>
        </w:rPr>
        <w:t xml:space="preserve"> </w:t>
      </w:r>
      <w:r>
        <w:rPr>
          <w:rFonts w:ascii="SimSun" w:hAnsi="SimSun" w:eastAsia="SimSun" w:cs="SimSun"/>
          <w:sz w:val="24"/>
          <w:szCs w:val="24"/>
          <w:spacing w:val="14"/>
        </w:rPr>
        <w:t>目洗毛废水</w:t>
      </w:r>
      <w:r>
        <w:rPr>
          <w:rFonts w:ascii="SimSun" w:hAnsi="SimSun" w:eastAsia="SimSun" w:cs="SimSun"/>
          <w:sz w:val="24"/>
          <w:szCs w:val="24"/>
          <w:spacing w:val="-69"/>
        </w:rPr>
        <w:t xml:space="preserve"> </w:t>
      </w:r>
      <w:r>
        <w:rPr>
          <w:rFonts w:ascii="SimSun" w:hAnsi="SimSun" w:eastAsia="SimSun" w:cs="SimSun"/>
          <w:sz w:val="24"/>
          <w:szCs w:val="24"/>
          <w:spacing w:val="14"/>
        </w:rPr>
        <w:t>、地面冲洗废水综合水质</w:t>
      </w:r>
      <w:r>
        <w:rPr>
          <w:rFonts w:ascii="SimSun" w:hAnsi="SimSun" w:eastAsia="SimSun" w:cs="SimSun"/>
          <w:sz w:val="24"/>
          <w:szCs w:val="24"/>
          <w:spacing w:val="-28"/>
        </w:rPr>
        <w:t xml:space="preserve"> </w:t>
      </w:r>
      <w:r>
        <w:rPr>
          <w:rFonts w:ascii="Times New Roman" w:hAnsi="Times New Roman" w:eastAsia="Times New Roman" w:cs="Times New Roman"/>
          <w:sz w:val="24"/>
          <w:szCs w:val="24"/>
        </w:rPr>
        <w:t>COD</w:t>
      </w:r>
      <w:r>
        <w:rPr>
          <w:rFonts w:ascii="Times New Roman" w:hAnsi="Times New Roman" w:eastAsia="Times New Roman" w:cs="Times New Roman"/>
          <w:sz w:val="24"/>
          <w:szCs w:val="24"/>
          <w:spacing w:val="-10"/>
        </w:rPr>
        <w:t xml:space="preserve"> </w:t>
      </w:r>
      <w:r>
        <w:rPr>
          <w:rFonts w:ascii="SimSun" w:hAnsi="SimSun" w:eastAsia="SimSun" w:cs="SimSun"/>
          <w:sz w:val="24"/>
          <w:szCs w:val="24"/>
          <w:spacing w:val="14"/>
        </w:rPr>
        <w:t>、</w:t>
      </w:r>
      <w:r>
        <w:rPr>
          <w:rFonts w:ascii="Times New Roman" w:hAnsi="Times New Roman" w:eastAsia="Times New Roman" w:cs="Times New Roman"/>
          <w:sz w:val="24"/>
          <w:szCs w:val="24"/>
        </w:rPr>
        <w:t>BOD</w:t>
      </w:r>
      <w:r>
        <w:rPr>
          <w:rFonts w:ascii="Times New Roman" w:hAnsi="Times New Roman" w:eastAsia="Times New Roman" w:cs="Times New Roman"/>
          <w:sz w:val="24"/>
          <w:szCs w:val="24"/>
          <w:spacing w:val="55"/>
        </w:rPr>
        <w:t xml:space="preserve"> </w:t>
      </w:r>
      <w:r>
        <w:rPr>
          <w:rFonts w:ascii="SimSun" w:hAnsi="SimSun" w:eastAsia="SimSun" w:cs="SimSun"/>
          <w:sz w:val="24"/>
          <w:szCs w:val="24"/>
          <w:spacing w:val="14"/>
        </w:rPr>
        <w:t>的指标可以达到</w:t>
      </w:r>
      <w:r>
        <w:rPr>
          <w:rFonts w:ascii="SimSun" w:hAnsi="SimSun" w:eastAsia="SimSun" w:cs="SimSun"/>
          <w:sz w:val="24"/>
          <w:szCs w:val="24"/>
        </w:rPr>
        <w:t xml:space="preserve"> </w:t>
      </w:r>
      <w:r>
        <w:rPr>
          <w:rFonts w:ascii="Times New Roman" w:hAnsi="Times New Roman" w:eastAsia="Times New Roman" w:cs="Times New Roman"/>
          <w:sz w:val="24"/>
          <w:szCs w:val="24"/>
          <w:spacing w:val="-2"/>
        </w:rPr>
        <w:t>10000mg/L</w:t>
      </w:r>
      <w:r>
        <w:rPr>
          <w:rFonts w:ascii="Times New Roman" w:hAnsi="Times New Roman" w:eastAsia="Times New Roman" w:cs="Times New Roman"/>
          <w:sz w:val="24"/>
          <w:szCs w:val="24"/>
          <w:spacing w:val="47"/>
        </w:rPr>
        <w:t xml:space="preserve"> </w:t>
      </w:r>
      <w:r>
        <w:rPr>
          <w:rFonts w:ascii="SimSun" w:hAnsi="SimSun" w:eastAsia="SimSun" w:cs="SimSun"/>
          <w:sz w:val="24"/>
          <w:szCs w:val="24"/>
          <w:spacing w:val="-2"/>
        </w:rPr>
        <w:t>以上，且富含营养物质，同时添加牛羊粪调节</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TS</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2"/>
        </w:rPr>
        <w:t>，作为厌氧发酵装置</w:t>
      </w:r>
      <w:r>
        <w:rPr>
          <w:rFonts w:ascii="SimSun" w:hAnsi="SimSun" w:eastAsia="SimSun" w:cs="SimSun"/>
          <w:sz w:val="24"/>
          <w:szCs w:val="24"/>
        </w:rPr>
        <w:t xml:space="preserve"> </w:t>
      </w:r>
      <w:r>
        <w:rPr>
          <w:rFonts w:ascii="SimSun" w:hAnsi="SimSun" w:eastAsia="SimSun" w:cs="SimSun"/>
          <w:sz w:val="24"/>
          <w:szCs w:val="24"/>
          <w:spacing w:val="2"/>
        </w:rPr>
        <w:t>原料，产生的沼气作为本项目沼气锅炉的燃料，沼液和沼渣作为有机肥还田利用</w:t>
      </w:r>
      <w:r>
        <w:rPr>
          <w:rFonts w:ascii="SimSun" w:hAnsi="SimSun" w:eastAsia="SimSun" w:cs="SimSun"/>
          <w:sz w:val="24"/>
          <w:szCs w:val="24"/>
          <w:spacing w:val="17"/>
        </w:rPr>
        <w:t xml:space="preserve"> </w:t>
      </w:r>
      <w:r>
        <w:rPr>
          <w:rFonts w:ascii="SimSun" w:hAnsi="SimSun" w:eastAsia="SimSun" w:cs="SimSun"/>
          <w:sz w:val="24"/>
          <w:szCs w:val="24"/>
          <w:spacing w:val="-4"/>
        </w:rPr>
        <w:t>（自用</w:t>
      </w:r>
      <w:r>
        <w:rPr>
          <w:rFonts w:ascii="SimSun" w:hAnsi="SimSun" w:eastAsia="SimSun" w:cs="SimSun"/>
          <w:sz w:val="24"/>
          <w:szCs w:val="24"/>
          <w:spacing w:val="7"/>
        </w:rPr>
        <w:t>），</w:t>
      </w:r>
      <w:r>
        <w:rPr>
          <w:rFonts w:ascii="SimSun" w:hAnsi="SimSun" w:eastAsia="SimSun" w:cs="SimSun"/>
          <w:sz w:val="24"/>
          <w:szCs w:val="24"/>
          <w:spacing w:val="-4"/>
        </w:rPr>
        <w:t>措施可行。</w:t>
      </w:r>
    </w:p>
    <w:p>
      <w:pPr>
        <w:ind w:left="501"/>
        <w:spacing w:before="6"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）锅炉、纯水制备排污水</w:t>
      </w:r>
    </w:p>
    <w:p>
      <w:pPr>
        <w:ind w:left="11" w:right="80" w:firstLine="480"/>
        <w:spacing w:before="181" w:line="359" w:lineRule="auto"/>
        <w:rPr>
          <w:rFonts w:ascii="SimSun" w:hAnsi="SimSun" w:eastAsia="SimSun" w:cs="SimSun"/>
          <w:sz w:val="24"/>
          <w:szCs w:val="24"/>
        </w:rPr>
      </w:pPr>
      <w:r>
        <w:rPr>
          <w:rFonts w:ascii="SimSun" w:hAnsi="SimSun" w:eastAsia="SimSun" w:cs="SimSun"/>
          <w:sz w:val="24"/>
          <w:szCs w:val="24"/>
          <w:spacing w:val="-1"/>
        </w:rPr>
        <w:t>纯水制备排污及锅炉排污汇总污染物成分简单，只含有盐分和</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S</w:t>
      </w:r>
      <w:r>
        <w:rPr>
          <w:rFonts w:ascii="Times New Roman" w:hAnsi="Times New Roman" w:eastAsia="Times New Roman" w:cs="Times New Roman"/>
          <w:sz w:val="24"/>
          <w:szCs w:val="24"/>
          <w:spacing w:val="-2"/>
        </w:rPr>
        <w:t>S</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，用于锅炉</w:t>
      </w:r>
      <w:r>
        <w:rPr>
          <w:rFonts w:ascii="SimSun" w:hAnsi="SimSun" w:eastAsia="SimSun" w:cs="SimSun"/>
          <w:sz w:val="24"/>
          <w:szCs w:val="24"/>
        </w:rPr>
        <w:t xml:space="preserve"> </w:t>
      </w:r>
      <w:r>
        <w:rPr>
          <w:rFonts w:ascii="SimSun" w:hAnsi="SimSun" w:eastAsia="SimSun" w:cs="SimSun"/>
          <w:sz w:val="24"/>
          <w:szCs w:val="24"/>
          <w:spacing w:val="-1"/>
        </w:rPr>
        <w:t>草木灰抑尘和道路抑尘洒水，措施可行。</w:t>
      </w:r>
    </w:p>
    <w:p>
      <w:pPr>
        <w:ind w:left="501"/>
        <w:spacing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）生活污水</w:t>
      </w:r>
    </w:p>
    <w:p>
      <w:pPr>
        <w:ind w:left="4" w:right="119" w:firstLine="487"/>
        <w:spacing w:before="183" w:line="350" w:lineRule="auto"/>
        <w:rPr>
          <w:rFonts w:ascii="SimSun" w:hAnsi="SimSun" w:eastAsia="SimSun" w:cs="SimSun"/>
          <w:sz w:val="24"/>
          <w:szCs w:val="24"/>
        </w:rPr>
      </w:pPr>
      <w:r>
        <w:rPr>
          <w:rFonts w:ascii="SimSun" w:hAnsi="SimSun" w:eastAsia="SimSun" w:cs="SimSun"/>
          <w:sz w:val="24"/>
          <w:szCs w:val="24"/>
          <w:spacing w:val="4"/>
        </w:rPr>
        <w:t>生活污水中洗浴废水和食堂废水污染物浓度为：</w:t>
      </w:r>
      <w:r>
        <w:rPr>
          <w:rFonts w:ascii="Times New Roman" w:hAnsi="Times New Roman" w:eastAsia="Times New Roman" w:cs="Times New Roman"/>
          <w:sz w:val="24"/>
          <w:szCs w:val="24"/>
        </w:rPr>
        <w:t>pH</w:t>
      </w:r>
      <w:r>
        <w:rPr>
          <w:rFonts w:ascii="Times New Roman" w:hAnsi="Times New Roman" w:eastAsia="Times New Roman" w:cs="Times New Roman"/>
          <w:sz w:val="24"/>
          <w:szCs w:val="24"/>
          <w:spacing w:val="4"/>
        </w:rPr>
        <w:t>6</w:t>
      </w:r>
      <w:r>
        <w:rPr>
          <w:rFonts w:ascii="SimSun" w:hAnsi="SimSun" w:eastAsia="SimSun" w:cs="SimSun"/>
          <w:sz w:val="24"/>
          <w:szCs w:val="24"/>
          <w:spacing w:val="4"/>
        </w:rPr>
        <w:t>～</w:t>
      </w:r>
      <w:r>
        <w:rPr>
          <w:rFonts w:ascii="Times New Roman" w:hAnsi="Times New Roman" w:eastAsia="Times New Roman" w:cs="Times New Roman"/>
          <w:sz w:val="24"/>
          <w:szCs w:val="24"/>
          <w:spacing w:val="4"/>
        </w:rPr>
        <w:t>9</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rPr>
        <w:t>COD</w:t>
      </w:r>
      <w:r>
        <w:rPr>
          <w:rFonts w:ascii="Times New Roman" w:hAnsi="Times New Roman" w:eastAsia="Times New Roman" w:cs="Times New Roman"/>
          <w:sz w:val="24"/>
          <w:szCs w:val="24"/>
          <w:spacing w:val="4"/>
        </w:rPr>
        <w:t>~400</w:t>
      </w:r>
      <w:r>
        <w:rPr>
          <w:rFonts w:ascii="Times New Roman" w:hAnsi="Times New Roman" w:eastAsia="Times New Roman" w:cs="Times New Roman"/>
          <w:sz w:val="24"/>
          <w:szCs w:val="24"/>
        </w:rPr>
        <w:t>mg</w:t>
      </w:r>
      <w:r>
        <w:rPr>
          <w:rFonts w:ascii="Times New Roman" w:hAnsi="Times New Roman" w:eastAsia="Times New Roman" w:cs="Times New Roman"/>
          <w:sz w:val="24"/>
          <w:szCs w:val="24"/>
          <w:spacing w:val="4"/>
        </w:rPr>
        <w:t>/L</w:t>
      </w:r>
      <w:r>
        <w:rPr>
          <w:rFonts w:ascii="SimSun" w:hAnsi="SimSun" w:eastAsia="SimSun" w:cs="SimSun"/>
          <w:sz w:val="24"/>
          <w:szCs w:val="24"/>
          <w:spacing w:val="4"/>
        </w:rPr>
        <w:t>、</w:t>
      </w:r>
      <w:r>
        <w:rPr>
          <w:rFonts w:ascii="SimSun" w:hAnsi="SimSun" w:eastAsia="SimSun" w:cs="SimSun"/>
          <w:sz w:val="24"/>
          <w:szCs w:val="24"/>
        </w:rPr>
        <w:t xml:space="preserve"> </w:t>
      </w:r>
      <w:r>
        <w:rPr>
          <w:rFonts w:ascii="Times New Roman" w:hAnsi="Times New Roman" w:eastAsia="Times New Roman" w:cs="Times New Roman"/>
          <w:sz w:val="24"/>
          <w:szCs w:val="24"/>
          <w:spacing w:val="-3"/>
        </w:rPr>
        <w:t>BOD</w:t>
      </w:r>
      <w:r>
        <w:rPr>
          <w:rFonts w:ascii="Times New Roman" w:hAnsi="Times New Roman" w:eastAsia="Times New Roman" w:cs="Times New Roman"/>
          <w:sz w:val="15"/>
          <w:szCs w:val="15"/>
          <w:spacing w:val="-3"/>
          <w:position w:val="-1"/>
        </w:rPr>
        <w:t>5</w:t>
      </w:r>
      <w:r>
        <w:rPr>
          <w:rFonts w:ascii="Times New Roman" w:hAnsi="Times New Roman" w:eastAsia="Times New Roman" w:cs="Times New Roman"/>
          <w:sz w:val="24"/>
          <w:szCs w:val="24"/>
          <w:spacing w:val="-3"/>
        </w:rPr>
        <w:t>~300mg/L</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SS~</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150mg/L</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3"/>
        </w:rPr>
        <w:t>、氨氮</w:t>
      </w:r>
      <w:r>
        <w:rPr>
          <w:rFonts w:ascii="Times New Roman" w:hAnsi="Times New Roman" w:eastAsia="Times New Roman" w:cs="Times New Roman"/>
          <w:sz w:val="24"/>
          <w:szCs w:val="24"/>
          <w:spacing w:val="-3"/>
        </w:rPr>
        <w:t>~35mg/L</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3"/>
        </w:rPr>
        <w:t>、总磷</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3"/>
        </w:rPr>
        <w:t>5.</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12mg/L</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3"/>
        </w:rPr>
        <w:t>、总</w:t>
      </w:r>
      <w:r>
        <w:rPr>
          <w:rFonts w:ascii="SimSun" w:hAnsi="SimSun" w:eastAsia="SimSun" w:cs="SimSun"/>
          <w:sz w:val="24"/>
          <w:szCs w:val="24"/>
          <w:spacing w:val="-4"/>
        </w:rPr>
        <w:t>氮</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71.2mg/L</w:t>
      </w:r>
      <w:r>
        <w:rPr>
          <w:rFonts w:ascii="SimSun" w:hAnsi="SimSun" w:eastAsia="SimSun" w:cs="SimSun"/>
          <w:sz w:val="24"/>
          <w:szCs w:val="24"/>
          <w:spacing w:val="-4"/>
        </w:rPr>
        <w:t>，</w:t>
      </w:r>
    </w:p>
    <w:p>
      <w:pPr>
        <w:spacing w:line="350" w:lineRule="auto"/>
        <w:sectPr>
          <w:headerReference w:type="default" r:id="rId11"/>
          <w:footerReference w:type="default" r:id="rId359"/>
          <w:pgSz w:w="11907" w:h="16840"/>
          <w:pgMar w:top="1567" w:right="1621" w:bottom="1921" w:left="1701" w:header="1221" w:footer="1247" w:gutter="0"/>
        </w:sectPr>
        <w:rPr>
          <w:rFonts w:ascii="SimSun" w:hAnsi="SimSun" w:eastAsia="SimSun" w:cs="SimSun"/>
          <w:sz w:val="24"/>
          <w:szCs w:val="24"/>
        </w:rPr>
      </w:pPr>
    </w:p>
    <w:p>
      <w:pPr>
        <w:ind w:left="10" w:right="77" w:firstLine="3"/>
        <w:spacing w:before="187" w:line="360" w:lineRule="auto"/>
        <w:jc w:val="both"/>
        <w:rPr>
          <w:rFonts w:ascii="SimSun" w:hAnsi="SimSun" w:eastAsia="SimSun" w:cs="SimSun"/>
          <w:sz w:val="24"/>
          <w:szCs w:val="24"/>
        </w:rPr>
      </w:pPr>
      <w:r>
        <w:pict>
          <v:shape id="_x0000_s1218" style="position:absolute;margin-left:85.05pt;margin-top:79.11pt;mso-position-vertical-relative:page;mso-position-horizontal-relative:page;width:425.25pt;height:0.75pt;z-index:252307456;" o:allowincell="f" fillcolor="#000000" filled="true" stroked="false" coordsize="8505,15" coordorigin="0,0" path="m,l8505,0l8505,14l0,14l0,0xe"/>
        </w:pict>
      </w:r>
      <w:r>
        <w:rPr>
          <w:rFonts w:ascii="SimSun" w:hAnsi="SimSun" w:eastAsia="SimSun" w:cs="SimSun"/>
          <w:sz w:val="24"/>
          <w:szCs w:val="24"/>
          <w:spacing w:val="2"/>
        </w:rPr>
        <w:t>外排市政污水管网，最终进入明安图镇污水处理厂，排放废水水质满足《污水综</w:t>
      </w:r>
      <w:r>
        <w:rPr>
          <w:rFonts w:ascii="SimSun" w:hAnsi="SimSun" w:eastAsia="SimSun" w:cs="SimSun"/>
          <w:sz w:val="24"/>
          <w:szCs w:val="24"/>
          <w:spacing w:val="17"/>
        </w:rPr>
        <w:t xml:space="preserve"> </w:t>
      </w:r>
      <w:r>
        <w:rPr>
          <w:rFonts w:ascii="SimSun" w:hAnsi="SimSun" w:eastAsia="SimSun" w:cs="SimSun"/>
          <w:sz w:val="24"/>
          <w:szCs w:val="24"/>
          <w:spacing w:val="2"/>
        </w:rPr>
        <w:t>合排放标准》（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8"/>
          <w:w w:val="101"/>
        </w:rPr>
        <w:t xml:space="preserve"> </w:t>
      </w:r>
      <w:r>
        <w:rPr>
          <w:rFonts w:ascii="Times New Roman" w:hAnsi="Times New Roman" w:eastAsia="Times New Roman" w:cs="Times New Roman"/>
          <w:sz w:val="24"/>
          <w:szCs w:val="24"/>
          <w:spacing w:val="2"/>
        </w:rPr>
        <w:t>8978-1996</w:t>
      </w:r>
      <w:r>
        <w:rPr>
          <w:rFonts w:ascii="SimSun" w:hAnsi="SimSun" w:eastAsia="SimSun" w:cs="SimSun"/>
          <w:sz w:val="24"/>
          <w:szCs w:val="24"/>
          <w:spacing w:val="2"/>
        </w:rPr>
        <w:t>）表</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4 </w:t>
      </w:r>
      <w:r>
        <w:rPr>
          <w:rFonts w:ascii="SimSun" w:hAnsi="SimSun" w:eastAsia="SimSun" w:cs="SimSun"/>
          <w:sz w:val="24"/>
          <w:szCs w:val="24"/>
          <w:spacing w:val="2"/>
        </w:rPr>
        <w:t>三级标准，氨氮、总磷、总氮参照执行</w:t>
      </w:r>
      <w:r>
        <w:rPr>
          <w:rFonts w:ascii="SimSun" w:hAnsi="SimSun" w:eastAsia="SimSun" w:cs="SimSun"/>
          <w:sz w:val="24"/>
          <w:szCs w:val="24"/>
          <w:spacing w:val="1"/>
        </w:rPr>
        <w:t>《污</w:t>
      </w:r>
      <w:r>
        <w:rPr>
          <w:rFonts w:ascii="SimSun" w:hAnsi="SimSun" w:eastAsia="SimSun" w:cs="SimSun"/>
          <w:sz w:val="24"/>
          <w:szCs w:val="24"/>
        </w:rPr>
        <w:t xml:space="preserve"> </w:t>
      </w:r>
      <w:r>
        <w:rPr>
          <w:rFonts w:ascii="SimSun" w:hAnsi="SimSun" w:eastAsia="SimSun" w:cs="SimSun"/>
          <w:sz w:val="24"/>
          <w:szCs w:val="24"/>
          <w:spacing w:val="-3"/>
        </w:rPr>
        <w:t>水排入城镇下水道水质标准》（</w:t>
      </w:r>
      <w:r>
        <w:rPr>
          <w:rFonts w:ascii="Times New Roman" w:hAnsi="Times New Roman" w:eastAsia="Times New Roman" w:cs="Times New Roman"/>
          <w:sz w:val="24"/>
          <w:szCs w:val="24"/>
          <w:spacing w:val="-3"/>
        </w:rPr>
        <w:t>GB/T31962-2015</w:t>
      </w:r>
      <w:r>
        <w:rPr>
          <w:rFonts w:ascii="SimSun" w:hAnsi="SimSun" w:eastAsia="SimSun" w:cs="SimSun"/>
          <w:sz w:val="24"/>
          <w:szCs w:val="24"/>
          <w:spacing w:val="-3"/>
        </w:rPr>
        <w:t>）表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1A </w:t>
      </w:r>
      <w:r>
        <w:rPr>
          <w:rFonts w:ascii="SimSun" w:hAnsi="SimSun" w:eastAsia="SimSun" w:cs="SimSun"/>
          <w:sz w:val="24"/>
          <w:szCs w:val="24"/>
          <w:spacing w:val="-3"/>
        </w:rPr>
        <w:t>级标准，达标</w:t>
      </w:r>
      <w:r>
        <w:rPr>
          <w:rFonts w:ascii="SimSun" w:hAnsi="SimSun" w:eastAsia="SimSun" w:cs="SimSun"/>
          <w:sz w:val="24"/>
          <w:szCs w:val="24"/>
          <w:spacing w:val="-4"/>
        </w:rPr>
        <w:t>排放，措施</w:t>
      </w:r>
      <w:r>
        <w:rPr>
          <w:rFonts w:ascii="SimSun" w:hAnsi="SimSun" w:eastAsia="SimSun" w:cs="SimSun"/>
          <w:sz w:val="24"/>
          <w:szCs w:val="24"/>
        </w:rPr>
        <w:t xml:space="preserve"> </w:t>
      </w:r>
      <w:r>
        <w:rPr>
          <w:rFonts w:ascii="SimSun" w:hAnsi="SimSun" w:eastAsia="SimSun" w:cs="SimSun"/>
          <w:sz w:val="24"/>
          <w:szCs w:val="24"/>
          <w:spacing w:val="-4"/>
        </w:rPr>
        <w:t>可行。</w:t>
      </w:r>
    </w:p>
    <w:p>
      <w:pPr>
        <w:ind w:left="8"/>
        <w:spacing w:before="153"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7.2.1.2 </w:t>
      </w:r>
      <w:r>
        <w:rPr>
          <w:rFonts w:ascii="SimSun" w:hAnsi="SimSun" w:eastAsia="SimSun" w:cs="SimSun"/>
          <w:sz w:val="24"/>
          <w:szCs w:val="24"/>
          <w:b/>
          <w:bCs/>
          <w:spacing w:val="-2"/>
        </w:rPr>
        <w:t>废水厌氧发酵作为沼液肥的政策可行性</w:t>
      </w:r>
    </w:p>
    <w:p>
      <w:pPr>
        <w:ind w:left="8" w:right="78" w:firstLine="481"/>
        <w:spacing w:before="214" w:line="385" w:lineRule="auto"/>
        <w:rPr>
          <w:rFonts w:ascii="SimSun" w:hAnsi="SimSun" w:eastAsia="SimSun" w:cs="SimSun"/>
          <w:sz w:val="24"/>
          <w:szCs w:val="24"/>
        </w:rPr>
      </w:pPr>
      <w:r>
        <w:rPr>
          <w:rFonts w:ascii="SimSun" w:hAnsi="SimSun" w:eastAsia="SimSun" w:cs="SimSun"/>
          <w:sz w:val="24"/>
          <w:szCs w:val="24"/>
          <w:spacing w:val="3"/>
        </w:rPr>
        <w:t>本项目产生废水含有羊粪，同时添加一定量的牛羊粪，废水作为</w:t>
      </w:r>
      <w:r>
        <w:rPr>
          <w:rFonts w:ascii="SimSun" w:hAnsi="SimSun" w:eastAsia="SimSun" w:cs="SimSun"/>
          <w:sz w:val="24"/>
          <w:szCs w:val="24"/>
          <w:spacing w:val="2"/>
        </w:rPr>
        <w:t>液态肥料的</w:t>
      </w:r>
      <w:r>
        <w:rPr>
          <w:rFonts w:ascii="SimSun" w:hAnsi="SimSun" w:eastAsia="SimSun" w:cs="SimSun"/>
          <w:sz w:val="24"/>
          <w:szCs w:val="24"/>
        </w:rPr>
        <w:t xml:space="preserve"> </w:t>
      </w:r>
      <w:r>
        <w:rPr>
          <w:rFonts w:ascii="SimSun" w:hAnsi="SimSun" w:eastAsia="SimSun" w:cs="SimSun"/>
          <w:sz w:val="24"/>
          <w:szCs w:val="24"/>
          <w:spacing w:val="-1"/>
        </w:rPr>
        <w:t>政策分析可参照畜禽养殖类。</w:t>
      </w:r>
    </w:p>
    <w:p>
      <w:pPr>
        <w:ind w:left="8" w:right="78" w:firstLine="505"/>
        <w:spacing w:before="4" w:line="384" w:lineRule="auto"/>
        <w:rPr>
          <w:rFonts w:ascii="SimSun" w:hAnsi="SimSun" w:eastAsia="SimSun" w:cs="SimSun"/>
          <w:sz w:val="24"/>
          <w:szCs w:val="24"/>
        </w:rPr>
      </w:pPr>
      <w:r>
        <w:rPr>
          <w:rFonts w:ascii="SimSun" w:hAnsi="SimSun" w:eastAsia="SimSun" w:cs="SimSun"/>
          <w:sz w:val="24"/>
          <w:szCs w:val="24"/>
          <w:spacing w:val="-2"/>
        </w:rPr>
        <w:t>国务院办公厅</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2017 </w:t>
      </w:r>
      <w:r>
        <w:rPr>
          <w:rFonts w:ascii="SimSun" w:hAnsi="SimSun" w:eastAsia="SimSun" w:cs="SimSun"/>
          <w:sz w:val="24"/>
          <w:szCs w:val="24"/>
          <w:spacing w:val="-2"/>
        </w:rPr>
        <w:t>年</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月出具的《关于加快推进畜禽</w:t>
      </w:r>
      <w:r>
        <w:rPr>
          <w:rFonts w:ascii="SimSun" w:hAnsi="SimSun" w:eastAsia="SimSun" w:cs="SimSun"/>
          <w:sz w:val="24"/>
          <w:szCs w:val="24"/>
          <w:spacing w:val="-3"/>
        </w:rPr>
        <w:t>养殖废弃物资源化利用</w:t>
      </w:r>
      <w:r>
        <w:rPr>
          <w:rFonts w:ascii="SimSun" w:hAnsi="SimSun" w:eastAsia="SimSun" w:cs="SimSun"/>
          <w:sz w:val="24"/>
          <w:szCs w:val="24"/>
        </w:rPr>
        <w:t xml:space="preserve"> </w:t>
      </w:r>
      <w:r>
        <w:rPr>
          <w:rFonts w:ascii="SimSun" w:hAnsi="SimSun" w:eastAsia="SimSun" w:cs="SimSun"/>
          <w:sz w:val="24"/>
          <w:szCs w:val="24"/>
          <w:spacing w:val="3"/>
        </w:rPr>
        <w:t>的意见》明确表明：畜禽粪污处理原则为因地制宜、多元利</w:t>
      </w:r>
      <w:r>
        <w:rPr>
          <w:rFonts w:ascii="SimSun" w:hAnsi="SimSun" w:eastAsia="SimSun" w:cs="SimSun"/>
          <w:sz w:val="24"/>
          <w:szCs w:val="24"/>
          <w:spacing w:val="2"/>
        </w:rPr>
        <w:t>用，根据不同区域、</w:t>
      </w:r>
      <w:r>
        <w:rPr>
          <w:rFonts w:ascii="SimSun" w:hAnsi="SimSun" w:eastAsia="SimSun" w:cs="SimSun"/>
          <w:sz w:val="24"/>
          <w:szCs w:val="24"/>
        </w:rPr>
        <w:t xml:space="preserve"> </w:t>
      </w:r>
      <w:r>
        <w:rPr>
          <w:rFonts w:ascii="SimSun" w:hAnsi="SimSun" w:eastAsia="SimSun" w:cs="SimSun"/>
          <w:sz w:val="24"/>
          <w:szCs w:val="24"/>
          <w:spacing w:val="3"/>
        </w:rPr>
        <w:t>不同畜种、不同规模，肥料化利用为基础，采取经济高效适</w:t>
      </w:r>
      <w:r>
        <w:rPr>
          <w:rFonts w:ascii="SimSun" w:hAnsi="SimSun" w:eastAsia="SimSun" w:cs="SimSun"/>
          <w:sz w:val="24"/>
          <w:szCs w:val="24"/>
          <w:spacing w:val="2"/>
        </w:rPr>
        <w:t>用的处理规模，宜肥</w:t>
      </w:r>
      <w:r>
        <w:rPr>
          <w:rFonts w:ascii="SimSun" w:hAnsi="SimSun" w:eastAsia="SimSun" w:cs="SimSun"/>
          <w:sz w:val="24"/>
          <w:szCs w:val="24"/>
        </w:rPr>
        <w:t xml:space="preserve"> </w:t>
      </w:r>
      <w:r>
        <w:rPr>
          <w:rFonts w:ascii="SimSun" w:hAnsi="SimSun" w:eastAsia="SimSun" w:cs="SimSun"/>
          <w:sz w:val="24"/>
          <w:szCs w:val="24"/>
          <w:spacing w:val="3"/>
        </w:rPr>
        <w:t>则肥、宜气则气，宜电则电，实现粪污就地就近利用；畜禽</w:t>
      </w:r>
      <w:r>
        <w:rPr>
          <w:rFonts w:ascii="SimSun" w:hAnsi="SimSun" w:eastAsia="SimSun" w:cs="SimSun"/>
          <w:sz w:val="24"/>
          <w:szCs w:val="24"/>
          <w:spacing w:val="2"/>
        </w:rPr>
        <w:t>规模养殖场，应突出</w:t>
      </w:r>
      <w:r>
        <w:rPr>
          <w:rFonts w:ascii="SimSun" w:hAnsi="SimSun" w:eastAsia="SimSun" w:cs="SimSun"/>
          <w:sz w:val="24"/>
          <w:szCs w:val="24"/>
        </w:rPr>
        <w:t xml:space="preserve"> </w:t>
      </w:r>
      <w:r>
        <w:rPr>
          <w:rFonts w:ascii="SimSun" w:hAnsi="SimSun" w:eastAsia="SimSun" w:cs="SimSun"/>
          <w:sz w:val="24"/>
          <w:szCs w:val="24"/>
          <w:spacing w:val="3"/>
        </w:rPr>
        <w:t>养分综合利用，配套与养殖规模和处理工艺相适应的粪污消</w:t>
      </w:r>
      <w:r>
        <w:rPr>
          <w:rFonts w:ascii="SimSun" w:hAnsi="SimSun" w:eastAsia="SimSun" w:cs="SimSun"/>
          <w:sz w:val="24"/>
          <w:szCs w:val="24"/>
          <w:spacing w:val="2"/>
        </w:rPr>
        <w:t>纳用地，配备必要的</w:t>
      </w:r>
      <w:r>
        <w:rPr>
          <w:rFonts w:ascii="SimSun" w:hAnsi="SimSun" w:eastAsia="SimSun" w:cs="SimSun"/>
          <w:sz w:val="24"/>
          <w:szCs w:val="24"/>
        </w:rPr>
        <w:t xml:space="preserve"> </w:t>
      </w:r>
      <w:r>
        <w:rPr>
          <w:rFonts w:ascii="SimSun" w:hAnsi="SimSun" w:eastAsia="SimSun" w:cs="SimSun"/>
          <w:sz w:val="24"/>
          <w:szCs w:val="24"/>
          <w:spacing w:val="3"/>
        </w:rPr>
        <w:t>粪污收集、贮存、处理、利用设施；根据不同资源条件、不</w:t>
      </w:r>
      <w:r>
        <w:rPr>
          <w:rFonts w:ascii="SimSun" w:hAnsi="SimSun" w:eastAsia="SimSun" w:cs="SimSun"/>
          <w:sz w:val="24"/>
          <w:szCs w:val="24"/>
          <w:spacing w:val="2"/>
        </w:rPr>
        <w:t>同畜种、不同规模，</w:t>
      </w:r>
      <w:r>
        <w:rPr>
          <w:rFonts w:ascii="SimSun" w:hAnsi="SimSun" w:eastAsia="SimSun" w:cs="SimSun"/>
          <w:sz w:val="24"/>
          <w:szCs w:val="24"/>
        </w:rPr>
        <w:t xml:space="preserve"> </w:t>
      </w:r>
      <w:r>
        <w:rPr>
          <w:rFonts w:ascii="SimSun" w:hAnsi="SimSun" w:eastAsia="SimSun" w:cs="SimSun"/>
          <w:sz w:val="24"/>
          <w:szCs w:val="24"/>
          <w:spacing w:val="3"/>
        </w:rPr>
        <w:t>推广粪污全量收集还田利用、专业化能源利用、固体粪便肥</w:t>
      </w:r>
      <w:r>
        <w:rPr>
          <w:rFonts w:ascii="SimSun" w:hAnsi="SimSun" w:eastAsia="SimSun" w:cs="SimSun"/>
          <w:sz w:val="24"/>
          <w:szCs w:val="24"/>
          <w:spacing w:val="2"/>
        </w:rPr>
        <w:t>料化利用、异位发酵</w:t>
      </w:r>
      <w:r>
        <w:rPr>
          <w:rFonts w:ascii="SimSun" w:hAnsi="SimSun" w:eastAsia="SimSun" w:cs="SimSun"/>
          <w:sz w:val="24"/>
          <w:szCs w:val="24"/>
        </w:rPr>
        <w:t xml:space="preserve"> </w:t>
      </w:r>
      <w:r>
        <w:rPr>
          <w:rFonts w:ascii="SimSun" w:hAnsi="SimSun" w:eastAsia="SimSun" w:cs="SimSun"/>
          <w:sz w:val="24"/>
          <w:szCs w:val="24"/>
        </w:rPr>
        <w:t>床、粪便垫料回用、污水肥料利用、污水达标排放等</w:t>
      </w:r>
      <w:r>
        <w:rPr>
          <w:rFonts w:ascii="SimSun" w:hAnsi="SimSun" w:eastAsia="SimSun" w:cs="SimSun"/>
          <w:sz w:val="24"/>
          <w:szCs w:val="24"/>
          <w:spacing w:val="-1"/>
        </w:rPr>
        <w:t>经济实用技术模式。</w:t>
      </w:r>
    </w:p>
    <w:p>
      <w:pPr>
        <w:ind w:left="8" w:firstLine="476"/>
        <w:spacing w:before="7" w:line="384" w:lineRule="auto"/>
        <w:jc w:val="both"/>
        <w:rPr>
          <w:rFonts w:ascii="SimSun" w:hAnsi="SimSun" w:eastAsia="SimSun" w:cs="SimSun"/>
          <w:sz w:val="24"/>
          <w:szCs w:val="24"/>
        </w:rPr>
      </w:pPr>
      <w:r>
        <w:rPr>
          <w:rFonts w:ascii="Times New Roman" w:hAnsi="Times New Roman" w:eastAsia="Times New Roman" w:cs="Times New Roman"/>
          <w:sz w:val="24"/>
          <w:szCs w:val="24"/>
          <w:spacing w:val="1"/>
        </w:rPr>
        <w:t>2017 </w:t>
      </w:r>
      <w:r>
        <w:rPr>
          <w:rFonts w:ascii="SimSun" w:hAnsi="SimSun" w:eastAsia="SimSun" w:cs="SimSun"/>
          <w:sz w:val="24"/>
          <w:szCs w:val="24"/>
          <w:spacing w:val="1"/>
        </w:rPr>
        <w:t>年</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6 </w:t>
      </w:r>
      <w:r>
        <w:rPr>
          <w:rFonts w:ascii="SimSun" w:hAnsi="SimSun" w:eastAsia="SimSun" w:cs="SimSun"/>
          <w:sz w:val="24"/>
          <w:szCs w:val="24"/>
          <w:spacing w:val="1"/>
        </w:rPr>
        <w:t>月农业部、财政部发布的《关于做好</w:t>
      </w:r>
      <w:r>
        <w:rPr>
          <w:rFonts w:ascii="SimSun" w:hAnsi="SimSun" w:eastAsia="SimSun" w:cs="SimSun"/>
          <w:sz w:val="24"/>
          <w:szCs w:val="24"/>
        </w:rPr>
        <w:t>畜禽粪污资源化利用项目实施 </w:t>
      </w:r>
      <w:r>
        <w:rPr>
          <w:rFonts w:ascii="SimSun" w:hAnsi="SimSun" w:eastAsia="SimSun" w:cs="SimSun"/>
          <w:sz w:val="24"/>
          <w:szCs w:val="24"/>
          <w:spacing w:val="3"/>
        </w:rPr>
        <w:t>工作的通知》指出，要坚持种养结合，统筹考虑资源环境</w:t>
      </w:r>
      <w:r>
        <w:rPr>
          <w:rFonts w:ascii="SimSun" w:hAnsi="SimSun" w:eastAsia="SimSun" w:cs="SimSun"/>
          <w:sz w:val="24"/>
          <w:szCs w:val="24"/>
          <w:spacing w:val="2"/>
        </w:rPr>
        <w:t>承载能力、畜产品供给</w:t>
      </w:r>
      <w:r>
        <w:rPr>
          <w:rFonts w:ascii="SimSun" w:hAnsi="SimSun" w:eastAsia="SimSun" w:cs="SimSun"/>
          <w:sz w:val="24"/>
          <w:szCs w:val="24"/>
        </w:rPr>
        <w:t xml:space="preserve"> </w:t>
      </w:r>
      <w:r>
        <w:rPr>
          <w:rFonts w:ascii="SimSun" w:hAnsi="SimSun" w:eastAsia="SimSun" w:cs="SimSun"/>
          <w:sz w:val="24"/>
          <w:szCs w:val="24"/>
          <w:spacing w:val="-2"/>
        </w:rPr>
        <w:t>保障能力、畜禽粪污资源化利用能力，科学规划农牧业发展布局，推进种养结合、</w:t>
      </w:r>
      <w:r>
        <w:rPr>
          <w:rFonts w:ascii="SimSun" w:hAnsi="SimSun" w:eastAsia="SimSun" w:cs="SimSun"/>
          <w:sz w:val="24"/>
          <w:szCs w:val="24"/>
          <w:spacing w:val="6"/>
        </w:rPr>
        <w:t xml:space="preserve"> </w:t>
      </w:r>
      <w:r>
        <w:rPr>
          <w:rFonts w:ascii="SimSun" w:hAnsi="SimSun" w:eastAsia="SimSun" w:cs="SimSun"/>
          <w:sz w:val="24"/>
          <w:szCs w:val="24"/>
          <w:spacing w:val="3"/>
        </w:rPr>
        <w:t>循环发展，实现区域内种养基本平衡，畜禽粪污就地就近</w:t>
      </w:r>
      <w:r>
        <w:rPr>
          <w:rFonts w:ascii="SimSun" w:hAnsi="SimSun" w:eastAsia="SimSun" w:cs="SimSun"/>
          <w:sz w:val="24"/>
          <w:szCs w:val="24"/>
          <w:spacing w:val="2"/>
        </w:rPr>
        <w:t>消纳；以种养结合为路</w:t>
      </w:r>
      <w:r>
        <w:rPr>
          <w:rFonts w:ascii="SimSun" w:hAnsi="SimSun" w:eastAsia="SimSun" w:cs="SimSun"/>
          <w:sz w:val="24"/>
          <w:szCs w:val="24"/>
        </w:rPr>
        <w:t xml:space="preserve"> </w:t>
      </w:r>
      <w:r>
        <w:rPr>
          <w:rFonts w:ascii="SimSun" w:hAnsi="SimSun" w:eastAsia="SimSun" w:cs="SimSun"/>
          <w:sz w:val="24"/>
          <w:szCs w:val="24"/>
          <w:spacing w:val="-2"/>
        </w:rPr>
        <w:t>径，建设相对完善的规模养殖场粪污处理、畜禽粪污集中处理、农用有机肥生产、</w:t>
      </w:r>
      <w:r>
        <w:rPr>
          <w:rFonts w:ascii="SimSun" w:hAnsi="SimSun" w:eastAsia="SimSun" w:cs="SimSun"/>
          <w:sz w:val="24"/>
          <w:szCs w:val="24"/>
          <w:spacing w:val="6"/>
        </w:rPr>
        <w:t xml:space="preserve"> </w:t>
      </w:r>
      <w:r>
        <w:rPr>
          <w:rFonts w:ascii="SimSun" w:hAnsi="SimSun" w:eastAsia="SimSun" w:cs="SimSun"/>
          <w:sz w:val="24"/>
          <w:szCs w:val="24"/>
          <w:spacing w:val="3"/>
        </w:rPr>
        <w:t>沼液储运等配套设施，打通粪污肥料化、能源化利用通道</w:t>
      </w:r>
      <w:r>
        <w:rPr>
          <w:rFonts w:ascii="SimSun" w:hAnsi="SimSun" w:eastAsia="SimSun" w:cs="SimSun"/>
          <w:sz w:val="24"/>
          <w:szCs w:val="24"/>
          <w:spacing w:val="2"/>
        </w:rPr>
        <w:t>，实现畜禽粪污就地就</w:t>
      </w:r>
      <w:r>
        <w:rPr>
          <w:rFonts w:ascii="SimSun" w:hAnsi="SimSun" w:eastAsia="SimSun" w:cs="SimSun"/>
          <w:sz w:val="24"/>
          <w:szCs w:val="24"/>
        </w:rPr>
        <w:t xml:space="preserve"> </w:t>
      </w:r>
      <w:r>
        <w:rPr>
          <w:rFonts w:ascii="SimSun" w:hAnsi="SimSun" w:eastAsia="SimSun" w:cs="SimSun"/>
          <w:sz w:val="24"/>
          <w:szCs w:val="24"/>
          <w:spacing w:val="-3"/>
        </w:rPr>
        <w:t>近消纳。</w:t>
      </w:r>
    </w:p>
    <w:p>
      <w:pPr>
        <w:ind w:left="8"/>
        <w:spacing w:before="1" w:line="218"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7.2.1.3 </w:t>
      </w:r>
      <w:r>
        <w:rPr>
          <w:rFonts w:ascii="SimSun" w:hAnsi="SimSun" w:eastAsia="SimSun" w:cs="SimSun"/>
          <w:sz w:val="24"/>
          <w:szCs w:val="24"/>
          <w:b/>
          <w:bCs/>
          <w:spacing w:val="-2"/>
        </w:rPr>
        <w:t>废水厌氧发酵作为沼液肥的技术可行性</w:t>
      </w:r>
    </w:p>
    <w:p>
      <w:pPr>
        <w:ind w:left="12" w:right="80" w:firstLine="478"/>
        <w:spacing w:before="215" w:line="385" w:lineRule="auto"/>
        <w:rPr>
          <w:rFonts w:ascii="SimSun" w:hAnsi="SimSun" w:eastAsia="SimSun" w:cs="SimSun"/>
          <w:sz w:val="24"/>
          <w:szCs w:val="24"/>
        </w:rPr>
      </w:pPr>
      <w:r>
        <w:rPr>
          <w:rFonts w:ascii="SimSun" w:hAnsi="SimSun" w:eastAsia="SimSun" w:cs="SimSun"/>
          <w:sz w:val="24"/>
          <w:szCs w:val="24"/>
          <w:spacing w:val="-2"/>
        </w:rPr>
        <w:t>本项目厌氧发酵装置采取“废水收集</w:t>
      </w:r>
      <w:r>
        <w:rPr>
          <w:rFonts w:ascii="Times New Roman" w:hAnsi="Times New Roman" w:eastAsia="Times New Roman" w:cs="Times New Roman"/>
          <w:sz w:val="24"/>
          <w:szCs w:val="24"/>
          <w:spacing w:val="-2"/>
        </w:rPr>
        <w:t>+</w:t>
      </w:r>
      <w:r>
        <w:rPr>
          <w:rFonts w:ascii="SimSun" w:hAnsi="SimSun" w:eastAsia="SimSun" w:cs="SimSun"/>
          <w:sz w:val="24"/>
          <w:szCs w:val="24"/>
          <w:spacing w:val="-2"/>
        </w:rPr>
        <w:t>废水调质</w:t>
      </w:r>
      <w:r>
        <w:rPr>
          <w:rFonts w:ascii="Times New Roman" w:hAnsi="Times New Roman" w:eastAsia="Times New Roman" w:cs="Times New Roman"/>
          <w:sz w:val="24"/>
          <w:szCs w:val="24"/>
          <w:spacing w:val="-2"/>
        </w:rPr>
        <w:t>+</w:t>
      </w:r>
      <w:r>
        <w:rPr>
          <w:rFonts w:ascii="SimSun" w:hAnsi="SimSun" w:eastAsia="SimSun" w:cs="SimSun"/>
          <w:sz w:val="24"/>
          <w:szCs w:val="24"/>
          <w:spacing w:val="-2"/>
        </w:rPr>
        <w:t>全混式中温厌氧发</w:t>
      </w:r>
      <w:r>
        <w:rPr>
          <w:rFonts w:ascii="SimSun" w:hAnsi="SimSun" w:eastAsia="SimSun" w:cs="SimSun"/>
          <w:sz w:val="24"/>
          <w:szCs w:val="24"/>
          <w:spacing w:val="-3"/>
        </w:rPr>
        <w:t>酵</w:t>
      </w:r>
      <w:r>
        <w:rPr>
          <w:rFonts w:ascii="Times New Roman" w:hAnsi="Times New Roman" w:eastAsia="Times New Roman" w:cs="Times New Roman"/>
          <w:sz w:val="24"/>
          <w:szCs w:val="24"/>
          <w:spacing w:val="-3"/>
        </w:rPr>
        <w:t>+</w:t>
      </w:r>
      <w:r>
        <w:rPr>
          <w:rFonts w:ascii="SimSun" w:hAnsi="SimSun" w:eastAsia="SimSun" w:cs="SimSun"/>
          <w:sz w:val="24"/>
          <w:szCs w:val="24"/>
          <w:spacing w:val="-3"/>
        </w:rPr>
        <w:t>沼气脱</w:t>
      </w:r>
      <w:r>
        <w:rPr>
          <w:rFonts w:ascii="SimSun" w:hAnsi="SimSun" w:eastAsia="SimSun" w:cs="SimSun"/>
          <w:sz w:val="24"/>
          <w:szCs w:val="24"/>
        </w:rPr>
        <w:t xml:space="preserve"> </w:t>
      </w:r>
      <w:r>
        <w:rPr>
          <w:rFonts w:ascii="SimSun" w:hAnsi="SimSun" w:eastAsia="SimSun" w:cs="SimSun"/>
          <w:sz w:val="24"/>
          <w:szCs w:val="24"/>
          <w:spacing w:val="-2"/>
        </w:rPr>
        <w:t>水</w:t>
      </w:r>
      <w:r>
        <w:rPr>
          <w:rFonts w:ascii="Times New Roman" w:hAnsi="Times New Roman" w:eastAsia="Times New Roman" w:cs="Times New Roman"/>
          <w:sz w:val="24"/>
          <w:szCs w:val="24"/>
          <w:spacing w:val="-2"/>
        </w:rPr>
        <w:t>+</w:t>
      </w:r>
      <w:r>
        <w:rPr>
          <w:rFonts w:ascii="SimSun" w:hAnsi="SimSun" w:eastAsia="SimSun" w:cs="SimSun"/>
          <w:sz w:val="24"/>
          <w:szCs w:val="24"/>
          <w:spacing w:val="-2"/>
        </w:rPr>
        <w:t>干法脱硫</w:t>
      </w:r>
      <w:r>
        <w:rPr>
          <w:rFonts w:ascii="Times New Roman" w:hAnsi="Times New Roman" w:eastAsia="Times New Roman" w:cs="Times New Roman"/>
          <w:sz w:val="24"/>
          <w:szCs w:val="24"/>
          <w:spacing w:val="-2"/>
        </w:rPr>
        <w:t>+</w:t>
      </w:r>
      <w:r>
        <w:rPr>
          <w:rFonts w:ascii="SimSun" w:hAnsi="SimSun" w:eastAsia="SimSun" w:cs="SimSun"/>
          <w:sz w:val="24"/>
          <w:szCs w:val="24"/>
          <w:spacing w:val="-2"/>
        </w:rPr>
        <w:t>沼气储存利用</w:t>
      </w:r>
      <w:r>
        <w:rPr>
          <w:rFonts w:ascii="SimSun" w:hAnsi="SimSun" w:eastAsia="SimSun" w:cs="SimSun"/>
          <w:sz w:val="24"/>
          <w:szCs w:val="24"/>
          <w:spacing w:val="-86"/>
        </w:rPr>
        <w:t xml:space="preserve"> </w:t>
      </w:r>
      <w:r>
        <w:rPr>
          <w:rFonts w:ascii="SimSun" w:hAnsi="SimSun" w:eastAsia="SimSun" w:cs="SimSun"/>
          <w:sz w:val="24"/>
          <w:szCs w:val="24"/>
          <w:spacing w:val="-2"/>
        </w:rPr>
        <w:t>”为核心的主体工艺技术。</w:t>
      </w:r>
    </w:p>
    <w:p>
      <w:pPr>
        <w:ind w:left="7" w:right="79" w:firstLine="487"/>
        <w:spacing w:before="1" w:line="418" w:lineRule="auto"/>
        <w:jc w:val="both"/>
        <w:rPr>
          <w:rFonts w:ascii="SimSun" w:hAnsi="SimSun" w:eastAsia="SimSun" w:cs="SimSun"/>
          <w:sz w:val="19"/>
          <w:szCs w:val="19"/>
        </w:rPr>
      </w:pPr>
      <w:r>
        <w:pict>
          <v:shape id="_x0000_s1220" style="position:absolute;margin-left:159.33pt;margin-top:52.9124pt;mso-position-vertical-relative:text;mso-position-horizontal-relative:text;width:61pt;height:13.75pt;z-index:252306432;"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269</w:t>
                  </w:r>
                </w:p>
              </w:txbxContent>
            </v:textbox>
          </v:shape>
        </w:pict>
      </w:r>
      <w:r>
        <w:rPr>
          <w:rFonts w:ascii="SimSun" w:hAnsi="SimSun" w:eastAsia="SimSun" w:cs="SimSun"/>
          <w:sz w:val="24"/>
          <w:szCs w:val="24"/>
          <w:spacing w:val="3"/>
        </w:rPr>
        <w:t>沼液肥标准分为技术指标和重金属限量技术要求。</w:t>
      </w:r>
      <w:r>
        <w:rPr>
          <w:rFonts w:ascii="SimSun" w:hAnsi="SimSun" w:eastAsia="SimSun" w:cs="SimSun"/>
          <w:sz w:val="24"/>
          <w:szCs w:val="24"/>
          <w:spacing w:val="2"/>
        </w:rPr>
        <w:t>类比同类型、同处理工艺</w:t>
      </w:r>
      <w:r>
        <w:rPr>
          <w:rFonts w:ascii="SimSun" w:hAnsi="SimSun" w:eastAsia="SimSun" w:cs="SimSun"/>
          <w:sz w:val="24"/>
          <w:szCs w:val="24"/>
        </w:rPr>
        <w:t xml:space="preserve"> </w:t>
      </w:r>
      <w:r>
        <w:rPr>
          <w:rFonts w:ascii="SimSun" w:hAnsi="SimSun" w:eastAsia="SimSun" w:cs="SimSun"/>
          <w:sz w:val="24"/>
          <w:szCs w:val="24"/>
          <w:spacing w:val="-2"/>
        </w:rPr>
        <w:t>的内蒙古清水河县《内蒙古圣地牧业奶牛养殖园区类污资源化处理扩建项目</w:t>
      </w:r>
      <w:r>
        <w:rPr>
          <w:rFonts w:ascii="Times New Roman" w:hAnsi="Times New Roman" w:eastAsia="Times New Roman" w:cs="Times New Roman"/>
          <w:sz w:val="24"/>
          <w:szCs w:val="24"/>
          <w:spacing w:val="-2"/>
        </w:rPr>
        <w:t>(</w:t>
      </w:r>
      <w:r>
        <w:rPr>
          <w:rFonts w:ascii="SimSun" w:hAnsi="SimSun" w:eastAsia="SimSun" w:cs="SimSun"/>
          <w:sz w:val="24"/>
          <w:szCs w:val="24"/>
          <w:spacing w:val="-2"/>
        </w:rPr>
        <w:t>一期</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10"/>
        </w:rPr>
        <w:t xml:space="preserve"> </w:t>
      </w:r>
      <w:r>
        <w:rPr>
          <w:rFonts w:ascii="SimSun" w:hAnsi="SimSun" w:eastAsia="SimSun" w:cs="SimSun"/>
          <w:sz w:val="19"/>
          <w:szCs w:val="19"/>
          <w:spacing w:val="9"/>
        </w:rPr>
        <w:t>锡林郭勒盟中安环境技术咨询有限责</w:t>
      </w:r>
    </w:p>
    <w:p>
      <w:pPr>
        <w:spacing w:line="418" w:lineRule="auto"/>
        <w:sectPr>
          <w:footerReference w:type="default" r:id="rId3"/>
          <w:pgSz w:w="11907" w:h="16840"/>
          <w:pgMar w:top="1567" w:right="1621" w:bottom="400" w:left="1701" w:header="1221" w:footer="0" w:gutter="0"/>
        </w:sectPr>
        <w:rPr>
          <w:rFonts w:ascii="SimSun" w:hAnsi="SimSun" w:eastAsia="SimSun" w:cs="SimSun"/>
          <w:sz w:val="19"/>
          <w:szCs w:val="19"/>
        </w:rPr>
      </w:pPr>
    </w:p>
    <w:p>
      <w:pPr>
        <w:pStyle w:val="BodyText"/>
        <w:spacing w:line="243" w:lineRule="auto"/>
        <w:rPr/>
      </w:pPr>
      <w:r>
        <w:pict>
          <v:shape id="_x0000_s1224" style="position:absolute;margin-left:0.113998pt;margin-top:0.25415pt;mso-position-vertical-relative:text;mso-position-horizontal-relative:text;width:425.25pt;height:0.75pt;z-index:252309504;" fillcolor="#000000" filled="true" stroked="false" coordsize="8505,15" coordorigin="0,0" path="m,l8505,0l8505,14l0,14l0,0xe"/>
        </w:pict>
      </w:r>
      <w:r/>
    </w:p>
    <w:p>
      <w:pPr>
        <w:ind w:left="11" w:firstLine="1"/>
        <w:spacing w:before="78" w:line="384" w:lineRule="auto"/>
        <w:jc w:val="both"/>
        <w:rPr>
          <w:rFonts w:ascii="SimSun" w:hAnsi="SimSun" w:eastAsia="SimSun" w:cs="SimSun"/>
          <w:sz w:val="24"/>
          <w:szCs w:val="24"/>
        </w:rPr>
      </w:pPr>
      <w:r>
        <w:rPr>
          <w:rFonts w:ascii="SimSun" w:hAnsi="SimSun" w:eastAsia="SimSun" w:cs="SimSun"/>
          <w:sz w:val="24"/>
          <w:szCs w:val="24"/>
          <w:spacing w:val="3"/>
        </w:rPr>
        <w:t>竣工环境保护验收监测报告表》，该项目粪污采用厌氧</w:t>
      </w:r>
      <w:r>
        <w:rPr>
          <w:rFonts w:ascii="SimSun" w:hAnsi="SimSun" w:eastAsia="SimSun" w:cs="SimSun"/>
          <w:sz w:val="24"/>
          <w:szCs w:val="24"/>
          <w:spacing w:val="2"/>
        </w:rPr>
        <w:t>发酵系统，厌氧发酵罐容</w:t>
      </w:r>
      <w:r>
        <w:rPr>
          <w:rFonts w:ascii="SimSun" w:hAnsi="SimSun" w:eastAsia="SimSun" w:cs="SimSun"/>
          <w:sz w:val="24"/>
          <w:szCs w:val="24"/>
        </w:rPr>
        <w:t xml:space="preserve">  </w:t>
      </w:r>
      <w:r>
        <w:rPr>
          <w:rFonts w:ascii="SimSun" w:hAnsi="SimSun" w:eastAsia="SimSun" w:cs="SimSun"/>
          <w:sz w:val="24"/>
          <w:szCs w:val="24"/>
          <w:spacing w:val="-5"/>
        </w:rPr>
        <w:t>积</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10000m</w:t>
      </w:r>
      <w:r>
        <w:rPr>
          <w:rFonts w:ascii="Times New Roman" w:hAnsi="Times New Roman" w:eastAsia="Times New Roman" w:cs="Times New Roman"/>
          <w:sz w:val="15"/>
          <w:szCs w:val="15"/>
          <w:spacing w:val="-5"/>
          <w:position w:val="8"/>
        </w:rPr>
        <w:t>3</w:t>
      </w:r>
      <w:r>
        <w:rPr>
          <w:rFonts w:ascii="SimSun" w:hAnsi="SimSun" w:eastAsia="SimSun" w:cs="SimSun"/>
          <w:sz w:val="24"/>
          <w:szCs w:val="24"/>
          <w:spacing w:val="-5"/>
        </w:rPr>
        <w:t>，发酵时间</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20d</w:t>
      </w:r>
      <w:r>
        <w:rPr>
          <w:rFonts w:ascii="SimSun" w:hAnsi="SimSun" w:eastAsia="SimSun" w:cs="SimSun"/>
          <w:sz w:val="24"/>
          <w:szCs w:val="24"/>
          <w:spacing w:val="-5"/>
        </w:rPr>
        <w:t>，</w:t>
      </w:r>
      <w:r>
        <w:rPr>
          <w:rFonts w:ascii="Times New Roman" w:hAnsi="Times New Roman" w:eastAsia="Times New Roman" w:cs="Times New Roman"/>
          <w:sz w:val="24"/>
          <w:szCs w:val="24"/>
          <w:spacing w:val="-5"/>
        </w:rPr>
        <w:t>TS </w:t>
      </w:r>
      <w:r>
        <w:rPr>
          <w:rFonts w:ascii="SimSun" w:hAnsi="SimSun" w:eastAsia="SimSun" w:cs="SimSun"/>
          <w:sz w:val="24"/>
          <w:szCs w:val="24"/>
          <w:spacing w:val="-5"/>
        </w:rPr>
        <w:t>浓度为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5"/>
        </w:rPr>
        <w:t>8</w:t>
      </w:r>
      <w:r>
        <w:rPr>
          <w:rFonts w:ascii="SimSun" w:hAnsi="SimSun" w:eastAsia="SimSun" w:cs="SimSun"/>
          <w:sz w:val="24"/>
          <w:szCs w:val="24"/>
          <w:spacing w:val="-5"/>
        </w:rPr>
        <w:t>～</w:t>
      </w:r>
      <w:r>
        <w:rPr>
          <w:rFonts w:ascii="Times New Roman" w:hAnsi="Times New Roman" w:eastAsia="Times New Roman" w:cs="Times New Roman"/>
          <w:sz w:val="24"/>
          <w:szCs w:val="24"/>
          <w:spacing w:val="-5"/>
        </w:rPr>
        <w:t>10%</w:t>
      </w:r>
      <w:r>
        <w:rPr>
          <w:rFonts w:ascii="SimSun" w:hAnsi="SimSun" w:eastAsia="SimSun" w:cs="SimSun"/>
          <w:sz w:val="24"/>
          <w:szCs w:val="24"/>
          <w:spacing w:val="-5"/>
        </w:rPr>
        <w:t>，与本项目厌</w:t>
      </w:r>
      <w:r>
        <w:rPr>
          <w:rFonts w:ascii="SimSun" w:hAnsi="SimSun" w:eastAsia="SimSun" w:cs="SimSun"/>
          <w:sz w:val="24"/>
          <w:szCs w:val="24"/>
          <w:spacing w:val="-6"/>
        </w:rPr>
        <w:t>氧发酵系统工艺相同，</w:t>
      </w:r>
      <w:r>
        <w:rPr>
          <w:rFonts w:ascii="SimSun" w:hAnsi="SimSun" w:eastAsia="SimSun" w:cs="SimSun"/>
          <w:sz w:val="24"/>
          <w:szCs w:val="24"/>
        </w:rPr>
        <w:t xml:space="preserve"> </w:t>
      </w:r>
      <w:r>
        <w:rPr>
          <w:rFonts w:ascii="SimSun" w:hAnsi="SimSun" w:eastAsia="SimSun" w:cs="SimSun"/>
          <w:sz w:val="24"/>
          <w:szCs w:val="24"/>
          <w:spacing w:val="5"/>
        </w:rPr>
        <w:t>类比可行。根据《内蒙古圣地牧业奶牛养殖园区类污资源化处理扩建</w:t>
      </w:r>
      <w:r>
        <w:rPr>
          <w:rFonts w:ascii="SimSun" w:hAnsi="SimSun" w:eastAsia="SimSun" w:cs="SimSun"/>
          <w:sz w:val="24"/>
          <w:szCs w:val="24"/>
          <w:spacing w:val="4"/>
        </w:rPr>
        <w:t>项目</w:t>
      </w:r>
      <w:r>
        <w:rPr>
          <w:rFonts w:ascii="Times New Roman" w:hAnsi="Times New Roman" w:eastAsia="Times New Roman" w:cs="Times New Roman"/>
          <w:sz w:val="24"/>
          <w:szCs w:val="24"/>
          <w:spacing w:val="4"/>
        </w:rPr>
        <w:t>(</w:t>
      </w:r>
      <w:r>
        <w:rPr>
          <w:rFonts w:ascii="SimSun" w:hAnsi="SimSun" w:eastAsia="SimSun" w:cs="SimSun"/>
          <w:sz w:val="24"/>
          <w:szCs w:val="24"/>
          <w:spacing w:val="4"/>
        </w:rPr>
        <w:t>一期</w:t>
      </w:r>
      <w:r>
        <w:rPr>
          <w:rFonts w:ascii="Times New Roman" w:hAnsi="Times New Roman" w:eastAsia="Times New Roman" w:cs="Times New Roman"/>
          <w:sz w:val="24"/>
          <w:szCs w:val="24"/>
          <w:spacing w:val="4"/>
        </w:rPr>
        <w:t>)</w:t>
      </w:r>
      <w:r>
        <w:rPr>
          <w:rFonts w:ascii="Times New Roman" w:hAnsi="Times New Roman" w:eastAsia="Times New Roman" w:cs="Times New Roman"/>
          <w:sz w:val="24"/>
          <w:szCs w:val="24"/>
        </w:rPr>
        <w:t xml:space="preserve">   </w:t>
      </w:r>
      <w:r>
        <w:rPr>
          <w:rFonts w:ascii="SimSun" w:hAnsi="SimSun" w:eastAsia="SimSun" w:cs="SimSun"/>
          <w:sz w:val="24"/>
          <w:szCs w:val="24"/>
          <w:spacing w:val="1"/>
        </w:rPr>
        <w:t>竣工环境保护验收监测报告表》，沼液</w:t>
      </w:r>
      <w:r>
        <w:rPr>
          <w:rFonts w:ascii="SimSun" w:hAnsi="SimSun" w:eastAsia="SimSun" w:cs="SimSun"/>
          <w:sz w:val="24"/>
          <w:szCs w:val="24"/>
          <w:spacing w:val="-55"/>
        </w:rPr>
        <w:t xml:space="preserve"> </w:t>
      </w:r>
      <w:r>
        <w:rPr>
          <w:rFonts w:ascii="Times New Roman" w:hAnsi="Times New Roman" w:eastAsia="Times New Roman" w:cs="Times New Roman"/>
          <w:sz w:val="24"/>
          <w:szCs w:val="24"/>
        </w:rPr>
        <w:t>pH</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6.7~6.8</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，镉未检出，铅未检出，铬</w:t>
      </w:r>
      <w:r>
        <w:rPr>
          <w:rFonts w:ascii="SimSun" w:hAnsi="SimSun" w:eastAsia="SimSun" w:cs="SimSun"/>
          <w:sz w:val="24"/>
          <w:szCs w:val="24"/>
        </w:rPr>
        <w:t xml:space="preserve">  </w:t>
      </w:r>
      <w:r>
        <w:rPr>
          <w:rFonts w:ascii="SimSun" w:hAnsi="SimSun" w:eastAsia="SimSun" w:cs="SimSun"/>
          <w:sz w:val="24"/>
          <w:szCs w:val="24"/>
          <w:spacing w:val="-1"/>
        </w:rPr>
        <w:t>最大值为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0.2mg/L</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1"/>
        </w:rPr>
        <w:t>，汞最大值为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9.26</w:t>
      </w:r>
      <w:r>
        <w:rPr>
          <w:rFonts w:ascii="SimSun" w:hAnsi="SimSun" w:eastAsia="SimSun" w:cs="SimSun"/>
          <w:sz w:val="24"/>
          <w:szCs w:val="24"/>
          <w:spacing w:val="-1"/>
        </w:rPr>
        <w:t>×</w:t>
      </w:r>
      <w:r>
        <w:rPr>
          <w:rFonts w:ascii="Times New Roman" w:hAnsi="Times New Roman" w:eastAsia="Times New Roman" w:cs="Times New Roman"/>
          <w:sz w:val="24"/>
          <w:szCs w:val="24"/>
          <w:spacing w:val="-1"/>
        </w:rPr>
        <w:t>10</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mg/L</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1"/>
        </w:rPr>
        <w:t>，砷最大值为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7.36</w:t>
      </w:r>
      <w:r>
        <w:rPr>
          <w:rFonts w:ascii="SimSun" w:hAnsi="SimSun" w:eastAsia="SimSun" w:cs="SimSun"/>
          <w:sz w:val="24"/>
          <w:szCs w:val="24"/>
          <w:spacing w:val="-1"/>
        </w:rPr>
        <w:t>×</w:t>
      </w:r>
      <w:r>
        <w:rPr>
          <w:rFonts w:ascii="Times New Roman" w:hAnsi="Times New Roman" w:eastAsia="Times New Roman" w:cs="Times New Roman"/>
          <w:sz w:val="24"/>
          <w:szCs w:val="24"/>
          <w:spacing w:val="-1"/>
        </w:rPr>
        <w:t>10</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mg/L</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1"/>
        </w:rPr>
        <w:t>，水</w:t>
      </w:r>
      <w:r>
        <w:rPr>
          <w:rFonts w:ascii="SimSun" w:hAnsi="SimSun" w:eastAsia="SimSun" w:cs="SimSun"/>
          <w:sz w:val="24"/>
          <w:szCs w:val="24"/>
        </w:rPr>
        <w:t xml:space="preserve">  </w:t>
      </w:r>
      <w:r>
        <w:rPr>
          <w:rFonts w:ascii="SimSun" w:hAnsi="SimSun" w:eastAsia="SimSun" w:cs="SimSun"/>
          <w:sz w:val="24"/>
          <w:szCs w:val="24"/>
          <w:spacing w:val="-1"/>
        </w:rPr>
        <w:t>不溶物最大值为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6.9mg/L</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1"/>
        </w:rPr>
        <w:t>，钩虫卵未检出，蛔虫卵死亡率</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97.3%</w:t>
      </w:r>
      <w:r>
        <w:rPr>
          <w:rFonts w:ascii="SimSun" w:hAnsi="SimSun" w:eastAsia="SimSun" w:cs="SimSun"/>
          <w:sz w:val="24"/>
          <w:szCs w:val="24"/>
          <w:spacing w:val="-1"/>
        </w:rPr>
        <w:t>～</w:t>
      </w:r>
      <w:r>
        <w:rPr>
          <w:rFonts w:ascii="Times New Roman" w:hAnsi="Times New Roman" w:eastAsia="Times New Roman" w:cs="Times New Roman"/>
          <w:sz w:val="24"/>
          <w:szCs w:val="24"/>
          <w:spacing w:val="-1"/>
        </w:rPr>
        <w:t>98.</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
        </w:rPr>
        <w:t>，总盐浓</w:t>
      </w:r>
      <w:r>
        <w:rPr>
          <w:rFonts w:ascii="SimSun" w:hAnsi="SimSun" w:eastAsia="SimSun" w:cs="SimSun"/>
          <w:sz w:val="24"/>
          <w:szCs w:val="24"/>
        </w:rPr>
        <w:t xml:space="preserve">  </w:t>
      </w:r>
      <w:r>
        <w:rPr>
          <w:rFonts w:ascii="SimSun" w:hAnsi="SimSun" w:eastAsia="SimSun" w:cs="SimSun"/>
          <w:sz w:val="24"/>
          <w:szCs w:val="24"/>
          <w:spacing w:val="-3"/>
        </w:rPr>
        <w:t>度（电导率）最大值为</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3"/>
        </w:rPr>
        <w:t>2.92mS/cm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，粪大肠菌群最大值为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93 </w:t>
      </w:r>
      <w:r>
        <w:rPr>
          <w:rFonts w:ascii="SimSun" w:hAnsi="SimSun" w:eastAsia="SimSun" w:cs="SimSun"/>
          <w:sz w:val="24"/>
          <w:szCs w:val="24"/>
          <w:spacing w:val="-3"/>
        </w:rPr>
        <w:t>个</w:t>
      </w:r>
      <w:r>
        <w:rPr>
          <w:rFonts w:ascii="Times New Roman" w:hAnsi="Times New Roman" w:eastAsia="Times New Roman" w:cs="Times New Roman"/>
          <w:sz w:val="24"/>
          <w:szCs w:val="24"/>
          <w:spacing w:val="-3"/>
        </w:rPr>
        <w:t>/mL</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，满足《沼肥》</w:t>
      </w:r>
      <w:r>
        <w:rPr>
          <w:rFonts w:ascii="SimSun" w:hAnsi="SimSun" w:eastAsia="SimSun" w:cs="SimSun"/>
          <w:sz w:val="24"/>
          <w:szCs w:val="2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NY/T2596-2022</w:t>
      </w:r>
      <w:r>
        <w:rPr>
          <w:rFonts w:ascii="SimSun" w:hAnsi="SimSun" w:eastAsia="SimSun" w:cs="SimSun"/>
          <w:sz w:val="24"/>
          <w:szCs w:val="24"/>
          <w:spacing w:val="-1"/>
        </w:rPr>
        <w:t>）表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标准要求。</w:t>
      </w:r>
    </w:p>
    <w:p>
      <w:pPr>
        <w:ind w:left="495"/>
        <w:spacing w:before="11" w:line="219" w:lineRule="auto"/>
        <w:rPr>
          <w:rFonts w:ascii="SimSun" w:hAnsi="SimSun" w:eastAsia="SimSun" w:cs="SimSun"/>
          <w:sz w:val="24"/>
          <w:szCs w:val="24"/>
        </w:rPr>
      </w:pPr>
      <w:r>
        <w:rPr>
          <w:rFonts w:ascii="SimSun" w:hAnsi="SimSun" w:eastAsia="SimSun" w:cs="SimSun"/>
          <w:sz w:val="24"/>
          <w:szCs w:val="24"/>
          <w:spacing w:val="-1"/>
        </w:rPr>
        <w:t>综上所述，本项目废水经调质厌氧发酵处理后作为沼液肥还田是可行的。</w:t>
      </w:r>
    </w:p>
    <w:p>
      <w:pPr>
        <w:ind w:left="11"/>
        <w:spacing w:before="214"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7.2.1.4 </w:t>
      </w:r>
      <w:r>
        <w:rPr>
          <w:rFonts w:ascii="SimSun" w:hAnsi="SimSun" w:eastAsia="SimSun" w:cs="SimSun"/>
          <w:sz w:val="24"/>
          <w:szCs w:val="24"/>
          <w:b/>
          <w:bCs/>
          <w:spacing w:val="-2"/>
        </w:rPr>
        <w:t>沼液肥土地消纳可行性分析</w:t>
      </w:r>
    </w:p>
    <w:p>
      <w:pPr>
        <w:ind w:left="498"/>
        <w:spacing w:before="216" w:line="219" w:lineRule="auto"/>
        <w:rPr>
          <w:rFonts w:ascii="SimSun" w:hAnsi="SimSun" w:eastAsia="SimSun" w:cs="SimSun"/>
          <w:sz w:val="24"/>
          <w:szCs w:val="24"/>
        </w:rPr>
      </w:pPr>
      <w:r>
        <w:rPr>
          <w:rFonts w:ascii="Times New Roman" w:hAnsi="Times New Roman" w:eastAsia="Times New Roman" w:cs="Times New Roman"/>
          <w:sz w:val="24"/>
          <w:szCs w:val="24"/>
          <w:b/>
          <w:bCs/>
          <w:spacing w:val="-7"/>
        </w:rPr>
        <w:t>1</w:t>
      </w:r>
      <w:r>
        <w:rPr>
          <w:rFonts w:ascii="Times New Roman" w:hAnsi="Times New Roman" w:eastAsia="Times New Roman" w:cs="Times New Roman"/>
          <w:sz w:val="24"/>
          <w:szCs w:val="24"/>
          <w:b/>
          <w:bCs/>
          <w:spacing w:val="-27"/>
        </w:rPr>
        <w:t xml:space="preserve"> </w:t>
      </w:r>
      <w:r>
        <w:rPr>
          <w:rFonts w:ascii="SimSun" w:hAnsi="SimSun" w:eastAsia="SimSun" w:cs="SimSun"/>
          <w:sz w:val="24"/>
          <w:szCs w:val="24"/>
          <w:b/>
          <w:bCs/>
          <w:spacing w:val="-7"/>
        </w:rPr>
        <w:t>、沼液肥营养成分</w:t>
      </w:r>
    </w:p>
    <w:p>
      <w:pPr>
        <w:ind w:left="492"/>
        <w:spacing w:before="215" w:line="212" w:lineRule="auto"/>
        <w:rPr>
          <w:rFonts w:ascii="SimSun" w:hAnsi="SimSun" w:eastAsia="SimSun" w:cs="SimSun"/>
          <w:sz w:val="24"/>
          <w:szCs w:val="24"/>
        </w:rPr>
      </w:pPr>
      <w:r>
        <w:rPr>
          <w:rFonts w:ascii="SimSun" w:hAnsi="SimSun" w:eastAsia="SimSun" w:cs="SimSun"/>
          <w:sz w:val="24"/>
          <w:szCs w:val="24"/>
        </w:rPr>
        <w:t>根据国内外大量实验研究及实际运用表明</w:t>
      </w:r>
      <w:r>
        <w:rPr>
          <w:rFonts w:ascii="Times New Roman" w:hAnsi="Times New Roman" w:eastAsia="Times New Roman" w:cs="Times New Roman"/>
          <w:sz w:val="24"/>
          <w:szCs w:val="24"/>
        </w:rPr>
        <w:t>,</w:t>
      </w:r>
      <w:r>
        <w:rPr>
          <w:rFonts w:ascii="SimSun" w:hAnsi="SimSun" w:eastAsia="SimSun" w:cs="SimSun"/>
          <w:sz w:val="24"/>
          <w:szCs w:val="24"/>
        </w:rPr>
        <w:t>沼液不</w:t>
      </w:r>
      <w:r>
        <w:rPr>
          <w:rFonts w:ascii="SimSun" w:hAnsi="SimSun" w:eastAsia="SimSun" w:cs="SimSun"/>
          <w:sz w:val="24"/>
          <w:szCs w:val="24"/>
          <w:spacing w:val="-1"/>
        </w:rPr>
        <w:t>仅含有作物所需求丰富的</w:t>
      </w:r>
    </w:p>
    <w:p>
      <w:pPr>
        <w:ind w:left="12" w:right="148" w:hanging="12"/>
        <w:spacing w:before="223" w:line="385" w:lineRule="auto"/>
        <w:jc w:val="both"/>
        <w:rPr>
          <w:rFonts w:ascii="SimSun" w:hAnsi="SimSun" w:eastAsia="SimSun" w:cs="SimSun"/>
          <w:sz w:val="24"/>
          <w:szCs w:val="24"/>
        </w:rPr>
      </w:pPr>
      <w:r>
        <w:rPr>
          <w:rFonts w:ascii="Times New Roman" w:hAnsi="Times New Roman" w:eastAsia="Times New Roman" w:cs="Times New Roman"/>
          <w:sz w:val="24"/>
          <w:szCs w:val="24"/>
          <w:spacing w:val="-1"/>
        </w:rPr>
        <w:t>N</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P</w:t>
      </w:r>
      <w:r>
        <w:rPr>
          <w:rFonts w:ascii="Times New Roman" w:hAnsi="Times New Roman" w:eastAsia="Times New Roman" w:cs="Times New Roman"/>
          <w:sz w:val="24"/>
          <w:szCs w:val="24"/>
          <w:spacing w:val="-36"/>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K </w:t>
      </w:r>
      <w:r>
        <w:rPr>
          <w:rFonts w:ascii="SimSun" w:hAnsi="SimSun" w:eastAsia="SimSun" w:cs="SimSun"/>
          <w:sz w:val="24"/>
          <w:szCs w:val="24"/>
          <w:spacing w:val="-1"/>
        </w:rPr>
        <w:t>等大量元素外，还含有硼、铜、铁锰、钙、</w:t>
      </w:r>
      <w:r>
        <w:rPr>
          <w:rFonts w:ascii="SimSun" w:hAnsi="SimSun" w:eastAsia="SimSun" w:cs="SimSun"/>
          <w:sz w:val="24"/>
          <w:szCs w:val="24"/>
          <w:spacing w:val="-2"/>
        </w:rPr>
        <w:t>锌等中微量元素，以及大量</w:t>
      </w:r>
      <w:r>
        <w:rPr>
          <w:rFonts w:ascii="SimSun" w:hAnsi="SimSun" w:eastAsia="SimSun" w:cs="SimSun"/>
          <w:sz w:val="24"/>
          <w:szCs w:val="24"/>
        </w:rPr>
        <w:t xml:space="preserve"> </w:t>
      </w:r>
      <w:r>
        <w:rPr>
          <w:rFonts w:ascii="SimSun" w:hAnsi="SimSun" w:eastAsia="SimSun" w:cs="SimSun"/>
          <w:sz w:val="24"/>
          <w:szCs w:val="24"/>
        </w:rPr>
        <w:t>的有机质、多种氨基酸和维生素等、施用液，不仅能显</w:t>
      </w:r>
      <w:r>
        <w:rPr>
          <w:rFonts w:ascii="SimSun" w:hAnsi="SimSun" w:eastAsia="SimSun" w:cs="SimSun"/>
          <w:sz w:val="24"/>
          <w:szCs w:val="24"/>
          <w:spacing w:val="-1"/>
        </w:rPr>
        <w:t>著改良土壤、增加作物产</w:t>
      </w:r>
      <w:r>
        <w:rPr>
          <w:rFonts w:ascii="SimSun" w:hAnsi="SimSun" w:eastAsia="SimSun" w:cs="SimSun"/>
          <w:sz w:val="24"/>
          <w:szCs w:val="24"/>
        </w:rPr>
        <w:t xml:space="preserve"> </w:t>
      </w:r>
      <w:r>
        <w:rPr>
          <w:rFonts w:ascii="SimSun" w:hAnsi="SimSun" w:eastAsia="SimSun" w:cs="SimSun"/>
          <w:sz w:val="24"/>
          <w:szCs w:val="24"/>
        </w:rPr>
        <w:t>量、确保农作物生长所需要的良好微生态系统，还有利</w:t>
      </w:r>
      <w:r>
        <w:rPr>
          <w:rFonts w:ascii="SimSun" w:hAnsi="SimSun" w:eastAsia="SimSun" w:cs="SimSun"/>
          <w:sz w:val="24"/>
          <w:szCs w:val="24"/>
          <w:spacing w:val="-1"/>
        </w:rPr>
        <w:t>于增强其抗冻、抗早、抗</w:t>
      </w:r>
      <w:r>
        <w:rPr>
          <w:rFonts w:ascii="SimSun" w:hAnsi="SimSun" w:eastAsia="SimSun" w:cs="SimSun"/>
          <w:sz w:val="24"/>
          <w:szCs w:val="24"/>
        </w:rPr>
        <w:t xml:space="preserve"> </w:t>
      </w:r>
      <w:r>
        <w:rPr>
          <w:rFonts w:ascii="SimSun" w:hAnsi="SimSun" w:eastAsia="SimSun" w:cs="SimSun"/>
          <w:sz w:val="24"/>
          <w:szCs w:val="24"/>
          <w:spacing w:val="-1"/>
        </w:rPr>
        <w:t>虫能力。因此沼液是一种非常理想的液肥料。</w:t>
      </w:r>
    </w:p>
    <w:p>
      <w:pPr>
        <w:ind w:left="39" w:right="208" w:firstLine="453"/>
        <w:spacing w:before="2" w:line="383" w:lineRule="auto"/>
        <w:rPr>
          <w:rFonts w:ascii="SimSun" w:hAnsi="SimSun" w:eastAsia="SimSun" w:cs="SimSun"/>
          <w:sz w:val="24"/>
          <w:szCs w:val="24"/>
        </w:rPr>
      </w:pPr>
      <w:r>
        <w:rPr>
          <w:rFonts w:ascii="SimSun" w:hAnsi="SimSun" w:eastAsia="SimSun" w:cs="SimSun"/>
          <w:sz w:val="24"/>
          <w:szCs w:val="24"/>
        </w:rPr>
        <w:t>本次项目所产沼液已厌氧发酵后作无害化处理，</w:t>
      </w:r>
      <w:r>
        <w:rPr>
          <w:rFonts w:ascii="SimSun" w:hAnsi="SimSun" w:eastAsia="SimSun" w:cs="SimSun"/>
          <w:sz w:val="24"/>
          <w:szCs w:val="24"/>
          <w:spacing w:val="-1"/>
        </w:rPr>
        <w:t>有机质含量适中，其营成分</w:t>
      </w:r>
      <w:r>
        <w:rPr>
          <w:rFonts w:ascii="SimSun" w:hAnsi="SimSun" w:eastAsia="SimSun" w:cs="SimSun"/>
          <w:sz w:val="24"/>
          <w:szCs w:val="24"/>
        </w:rPr>
        <w:t xml:space="preserve"> </w:t>
      </w:r>
      <w:r>
        <w:rPr>
          <w:rFonts w:ascii="SimSun" w:hAnsi="SimSun" w:eastAsia="SimSun" w:cs="SimSun"/>
          <w:sz w:val="24"/>
          <w:szCs w:val="24"/>
          <w:spacing w:val="-3"/>
        </w:rPr>
        <w:t>以</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N </w:t>
      </w:r>
      <w:r>
        <w:rPr>
          <w:rFonts w:ascii="SimSun" w:hAnsi="SimSun" w:eastAsia="SimSun" w:cs="SimSun"/>
          <w:sz w:val="24"/>
          <w:szCs w:val="24"/>
          <w:spacing w:val="-3"/>
        </w:rPr>
        <w:t>元素为主，完全可作沼肥利用。</w:t>
      </w:r>
    </w:p>
    <w:p>
      <w:pPr>
        <w:ind w:left="488"/>
        <w:spacing w:before="1" w:line="218" w:lineRule="auto"/>
        <w:rPr>
          <w:rFonts w:ascii="SimSun" w:hAnsi="SimSun" w:eastAsia="SimSun" w:cs="SimSun"/>
          <w:sz w:val="24"/>
          <w:szCs w:val="24"/>
        </w:rPr>
      </w:pPr>
      <w:r>
        <w:rPr>
          <w:rFonts w:ascii="Times New Roman" w:hAnsi="Times New Roman" w:eastAsia="Times New Roman" w:cs="Times New Roman"/>
          <w:sz w:val="24"/>
          <w:szCs w:val="24"/>
          <w:b/>
          <w:bCs/>
          <w:spacing w:val="-5"/>
        </w:rPr>
        <w:t>2</w:t>
      </w:r>
      <w:r>
        <w:rPr>
          <w:rFonts w:ascii="Times New Roman" w:hAnsi="Times New Roman" w:eastAsia="Times New Roman" w:cs="Times New Roman"/>
          <w:sz w:val="24"/>
          <w:szCs w:val="24"/>
          <w:b/>
          <w:bCs/>
          <w:spacing w:val="-23"/>
        </w:rPr>
        <w:t xml:space="preserve"> </w:t>
      </w:r>
      <w:r>
        <w:rPr>
          <w:rFonts w:ascii="SimSun" w:hAnsi="SimSun" w:eastAsia="SimSun" w:cs="SimSun"/>
          <w:sz w:val="24"/>
          <w:szCs w:val="24"/>
          <w:b/>
          <w:bCs/>
          <w:spacing w:val="-5"/>
        </w:rPr>
        <w:t>、沼液肥土地消纳能力分析</w:t>
      </w:r>
    </w:p>
    <w:p>
      <w:pPr>
        <w:ind w:left="503"/>
        <w:spacing w:before="218"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）种植作物类别</w:t>
      </w:r>
    </w:p>
    <w:p>
      <w:pPr>
        <w:ind w:left="493"/>
        <w:spacing w:before="213" w:line="219" w:lineRule="auto"/>
        <w:rPr>
          <w:rFonts w:ascii="SimSun" w:hAnsi="SimSun" w:eastAsia="SimSun" w:cs="SimSun"/>
          <w:sz w:val="24"/>
          <w:szCs w:val="24"/>
        </w:rPr>
      </w:pPr>
      <w:r>
        <w:rPr>
          <w:rFonts w:ascii="SimSun" w:hAnsi="SimSun" w:eastAsia="SimSun" w:cs="SimSun"/>
          <w:sz w:val="24"/>
          <w:szCs w:val="24"/>
        </w:rPr>
        <w:t>本项目已租赁内蒙古锡林郭勒盟正镶白旗星耀镇</w:t>
      </w:r>
      <w:r>
        <w:rPr>
          <w:rFonts w:ascii="SimSun" w:hAnsi="SimSun" w:eastAsia="SimSun" w:cs="SimSun"/>
          <w:sz w:val="24"/>
          <w:szCs w:val="24"/>
          <w:spacing w:val="-1"/>
        </w:rPr>
        <w:t>查干宝恩木村</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669.6 </w:t>
      </w:r>
      <w:r>
        <w:rPr>
          <w:rFonts w:ascii="SimSun" w:hAnsi="SimSun" w:eastAsia="SimSun" w:cs="SimSun"/>
          <w:sz w:val="24"/>
          <w:szCs w:val="24"/>
          <w:spacing w:val="-1"/>
        </w:rPr>
        <w:t>亩</w:t>
      </w:r>
    </w:p>
    <w:p>
      <w:pPr>
        <w:ind w:left="11" w:right="44" w:firstLine="12"/>
        <w:spacing w:before="214" w:line="385"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44.64hm</w:t>
      </w:r>
      <w:r>
        <w:rPr>
          <w:rFonts w:ascii="Times New Roman" w:hAnsi="Times New Roman" w:eastAsia="Times New Roman" w:cs="Times New Roman"/>
          <w:sz w:val="15"/>
          <w:szCs w:val="15"/>
          <w:spacing w:val="-2"/>
          <w:position w:val="7"/>
        </w:rPr>
        <w:t>2 </w:t>
      </w:r>
      <w:r>
        <w:rPr>
          <w:rFonts w:ascii="SimSun" w:hAnsi="SimSun" w:eastAsia="SimSun" w:cs="SimSun"/>
          <w:sz w:val="24"/>
          <w:szCs w:val="24"/>
          <w:spacing w:val="-37"/>
        </w:rPr>
        <w:t>），</w:t>
      </w:r>
      <w:r>
        <w:rPr>
          <w:rFonts w:ascii="SimSun" w:hAnsi="SimSun" w:eastAsia="SimSun" w:cs="SimSun"/>
          <w:sz w:val="24"/>
          <w:szCs w:val="24"/>
          <w:spacing w:val="-2"/>
        </w:rPr>
        <w:t>主要种植燕麦，液态肥料夏季用于耕地施肥。本项目</w:t>
      </w:r>
      <w:r>
        <w:rPr>
          <w:rFonts w:ascii="SimSun" w:hAnsi="SimSun" w:eastAsia="SimSun" w:cs="SimSun"/>
          <w:sz w:val="24"/>
          <w:szCs w:val="24"/>
          <w:spacing w:val="-3"/>
        </w:rPr>
        <w:t>已租赁内蒙古</w:t>
      </w:r>
      <w:r>
        <w:rPr>
          <w:rFonts w:ascii="SimSun" w:hAnsi="SimSun" w:eastAsia="SimSun" w:cs="SimSun"/>
          <w:sz w:val="24"/>
          <w:szCs w:val="24"/>
        </w:rPr>
        <w:t xml:space="preserve"> </w:t>
      </w:r>
      <w:r>
        <w:rPr>
          <w:rFonts w:ascii="SimSun" w:hAnsi="SimSun" w:eastAsia="SimSun" w:cs="SimSun"/>
          <w:sz w:val="24"/>
          <w:szCs w:val="24"/>
          <w:spacing w:val="-3"/>
        </w:rPr>
        <w:t>锡林郭勒盟正镶白旗星耀镇新河村委会永大组</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3"/>
        </w:rPr>
        <w:t>100 </w:t>
      </w:r>
      <w:r>
        <w:rPr>
          <w:rFonts w:ascii="SimSun" w:hAnsi="SimSun" w:eastAsia="SimSun" w:cs="SimSun"/>
          <w:sz w:val="24"/>
          <w:szCs w:val="24"/>
          <w:spacing w:val="-3"/>
        </w:rPr>
        <w:t>座大棚（约</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3"/>
        </w:rPr>
        <w:t>400 </w:t>
      </w:r>
      <w:r>
        <w:rPr>
          <w:rFonts w:ascii="SimSun" w:hAnsi="SimSun" w:eastAsia="SimSun" w:cs="SimSun"/>
          <w:sz w:val="24"/>
          <w:szCs w:val="24"/>
          <w:spacing w:val="-3"/>
        </w:rPr>
        <w:t>亩</w:t>
      </w:r>
      <w:r>
        <w:rPr>
          <w:rFonts w:ascii="SimSun" w:hAnsi="SimSun" w:eastAsia="SimSun" w:cs="SimSun"/>
          <w:sz w:val="24"/>
          <w:szCs w:val="24"/>
          <w:spacing w:val="-50"/>
          <w:w w:val="76"/>
        </w:rPr>
        <w:t>）（</w:t>
      </w:r>
      <w:r>
        <w:rPr>
          <w:rFonts w:ascii="SimSun" w:hAnsi="SimSun" w:eastAsia="SimSun" w:cs="SimSun"/>
          <w:sz w:val="24"/>
          <w:szCs w:val="24"/>
          <w:spacing w:val="-3"/>
        </w:rPr>
        <w:t>见附</w:t>
      </w:r>
      <w:r>
        <w:rPr>
          <w:rFonts w:ascii="SimSun" w:hAnsi="SimSun" w:eastAsia="SimSun" w:cs="SimSun"/>
          <w:sz w:val="24"/>
          <w:szCs w:val="24"/>
          <w:spacing w:val="-4"/>
        </w:rPr>
        <w:t>件</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4</w:t>
      </w:r>
      <w:r>
        <w:rPr>
          <w:rFonts w:ascii="SimSun" w:hAnsi="SimSun" w:eastAsia="SimSun" w:cs="SimSun"/>
          <w:sz w:val="24"/>
          <w:szCs w:val="24"/>
          <w:spacing w:val="-50"/>
          <w:w w:val="76"/>
        </w:rPr>
        <w:t>），</w:t>
      </w:r>
      <w:r>
        <w:rPr>
          <w:rFonts w:ascii="SimSun" w:hAnsi="SimSun" w:eastAsia="SimSun" w:cs="SimSun"/>
          <w:sz w:val="24"/>
          <w:szCs w:val="24"/>
        </w:rPr>
        <w:t xml:space="preserve"> </w:t>
      </w:r>
      <w:r>
        <w:rPr>
          <w:rFonts w:ascii="SimSun" w:hAnsi="SimSun" w:eastAsia="SimSun" w:cs="SimSun"/>
          <w:sz w:val="24"/>
          <w:szCs w:val="24"/>
          <w:spacing w:val="-1"/>
        </w:rPr>
        <w:t>主要种植樱桃、西红柿，用于本项目冬季液肥消纳。</w:t>
      </w:r>
    </w:p>
    <w:p>
      <w:pPr>
        <w:ind w:left="503"/>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）土地养分需求量分析</w:t>
      </w:r>
    </w:p>
    <w:p>
      <w:pPr>
        <w:spacing w:line="219" w:lineRule="auto"/>
        <w:sectPr>
          <w:headerReference w:type="default" r:id="rId360"/>
          <w:footerReference w:type="default" r:id="rId361"/>
          <w:pgSz w:w="11907" w:h="16840"/>
          <w:pgMar w:top="1567" w:right="1596" w:bottom="1921" w:left="1698" w:header="1221" w:footer="1247" w:gutter="0"/>
        </w:sectPr>
        <w:rPr>
          <w:rFonts w:ascii="SimSun" w:hAnsi="SimSun" w:eastAsia="SimSun" w:cs="SimSun"/>
          <w:sz w:val="24"/>
          <w:szCs w:val="24"/>
        </w:rPr>
      </w:pPr>
    </w:p>
    <w:p>
      <w:pPr>
        <w:pStyle w:val="BodyText"/>
        <w:spacing w:line="266" w:lineRule="auto"/>
        <w:rPr/>
      </w:pPr>
      <w:r>
        <w:pict>
          <v:shape id="_x0000_s1226" style="position:absolute;margin-left:0pt;margin-top:0.710938pt;mso-position-vertical-relative:text;mso-position-horizontal-relative:text;width:425.25pt;height:0.75pt;z-index:252313600;" fillcolor="#000000" filled="true" stroked="false" coordsize="8505,15" coordorigin="0,0" path="m,l8505,0l8505,14l0,14l0,0xe"/>
        </w:pict>
      </w:r>
      <w:r/>
    </w:p>
    <w:p>
      <w:pPr>
        <w:ind w:left="10" w:right="183" w:firstLine="479"/>
        <w:spacing w:before="78" w:line="385" w:lineRule="auto"/>
        <w:rPr>
          <w:rFonts w:ascii="SimSun" w:hAnsi="SimSun" w:eastAsia="SimSun" w:cs="SimSun"/>
          <w:sz w:val="24"/>
          <w:szCs w:val="24"/>
        </w:rPr>
      </w:pPr>
      <w:r>
        <w:rPr>
          <w:rFonts w:ascii="SimSun" w:hAnsi="SimSun" w:eastAsia="SimSun" w:cs="SimSun"/>
          <w:sz w:val="24"/>
          <w:szCs w:val="24"/>
        </w:rPr>
        <w:t>根据农业部办公厅最新下发的《畜禽粪污土地承载</w:t>
      </w:r>
      <w:r>
        <w:rPr>
          <w:rFonts w:ascii="SimSun" w:hAnsi="SimSun" w:eastAsia="SimSun" w:cs="SimSun"/>
          <w:sz w:val="24"/>
          <w:szCs w:val="24"/>
          <w:spacing w:val="-1"/>
        </w:rPr>
        <w:t>力预测技术指南》（农办</w:t>
      </w:r>
      <w:r>
        <w:rPr>
          <w:rFonts w:ascii="SimSun" w:hAnsi="SimSun" w:eastAsia="SimSun" w:cs="SimSun"/>
          <w:sz w:val="24"/>
          <w:szCs w:val="24"/>
        </w:rPr>
        <w:t xml:space="preserve"> </w:t>
      </w:r>
      <w:r>
        <w:rPr>
          <w:rFonts w:ascii="SimSun" w:hAnsi="SimSun" w:eastAsia="SimSun" w:cs="SimSun"/>
          <w:sz w:val="24"/>
          <w:szCs w:val="24"/>
          <w:spacing w:val="-1"/>
        </w:rPr>
        <w:t>牧</w:t>
      </w:r>
      <w:r>
        <w:rPr>
          <w:rFonts w:ascii="Times New Roman" w:hAnsi="Times New Roman" w:eastAsia="Times New Roman" w:cs="Times New Roman"/>
          <w:sz w:val="24"/>
          <w:szCs w:val="24"/>
          <w:spacing w:val="-1"/>
        </w:rPr>
        <w:t>[2018]1 </w:t>
      </w:r>
      <w:r>
        <w:rPr>
          <w:rFonts w:ascii="SimSun" w:hAnsi="SimSun" w:eastAsia="SimSun" w:cs="SimSun"/>
          <w:sz w:val="24"/>
          <w:szCs w:val="24"/>
          <w:spacing w:val="-1"/>
        </w:rPr>
        <w:t>号）通知，未给出每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100kg </w:t>
      </w:r>
      <w:r>
        <w:rPr>
          <w:rFonts w:ascii="SimSun" w:hAnsi="SimSun" w:eastAsia="SimSun" w:cs="SimSun"/>
          <w:sz w:val="24"/>
          <w:szCs w:val="24"/>
          <w:spacing w:val="-1"/>
        </w:rPr>
        <w:t>燕麦、樱桃需要吸收的氮、磷</w:t>
      </w:r>
      <w:r>
        <w:rPr>
          <w:rFonts w:ascii="SimSun" w:hAnsi="SimSun" w:eastAsia="SimSun" w:cs="SimSun"/>
          <w:sz w:val="24"/>
          <w:szCs w:val="24"/>
          <w:spacing w:val="-2"/>
        </w:rPr>
        <w:t>量。</w:t>
      </w:r>
    </w:p>
    <w:p>
      <w:pPr>
        <w:ind w:left="9" w:right="80" w:firstLine="480"/>
        <w:spacing w:before="4" w:line="381" w:lineRule="auto"/>
        <w:jc w:val="both"/>
        <w:rPr>
          <w:rFonts w:ascii="SimSun" w:hAnsi="SimSun" w:eastAsia="SimSun" w:cs="SimSun"/>
          <w:sz w:val="24"/>
          <w:szCs w:val="24"/>
        </w:rPr>
      </w:pPr>
      <w:r>
        <w:rPr>
          <w:rFonts w:ascii="SimSun" w:hAnsi="SimSun" w:eastAsia="SimSun" w:cs="SimSun"/>
          <w:sz w:val="24"/>
          <w:szCs w:val="24"/>
          <w:spacing w:val="-3"/>
        </w:rPr>
        <w:t>本项目燕麦（参照大麦）产量水平以</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400kg/</w:t>
      </w:r>
      <w:r>
        <w:rPr>
          <w:rFonts w:ascii="SimSun" w:hAnsi="SimSun" w:eastAsia="SimSun" w:cs="SimSun"/>
          <w:sz w:val="24"/>
          <w:szCs w:val="24"/>
          <w:spacing w:val="-3"/>
        </w:rPr>
        <w:t>亩（</w:t>
      </w:r>
      <w:r>
        <w:rPr>
          <w:rFonts w:ascii="Times New Roman" w:hAnsi="Times New Roman" w:eastAsia="Times New Roman" w:cs="Times New Roman"/>
          <w:sz w:val="24"/>
          <w:szCs w:val="24"/>
          <w:spacing w:val="-3"/>
        </w:rPr>
        <w:t>6t/hm</w:t>
      </w:r>
      <w:r>
        <w:rPr>
          <w:rFonts w:ascii="Times New Roman" w:hAnsi="Times New Roman" w:eastAsia="Times New Roman" w:cs="Times New Roman"/>
          <w:sz w:val="15"/>
          <w:szCs w:val="15"/>
          <w:spacing w:val="-3"/>
          <w:position w:val="8"/>
        </w:rPr>
        <w:t>2 </w:t>
      </w:r>
      <w:r>
        <w:rPr>
          <w:rFonts w:ascii="SimSun" w:hAnsi="SimSun" w:eastAsia="SimSun" w:cs="SimSun"/>
          <w:sz w:val="24"/>
          <w:szCs w:val="24"/>
          <w:spacing w:val="-3"/>
        </w:rPr>
        <w:t>）为准，单位产量需求</w:t>
      </w:r>
      <w:r>
        <w:rPr>
          <w:rFonts w:ascii="SimSun" w:hAnsi="SimSun" w:eastAsia="SimSun" w:cs="SimSun"/>
          <w:sz w:val="24"/>
          <w:szCs w:val="24"/>
        </w:rPr>
        <w:t xml:space="preserve"> </w:t>
      </w:r>
      <w:r>
        <w:rPr>
          <w:rFonts w:ascii="SimSun" w:hAnsi="SimSun" w:eastAsia="SimSun" w:cs="SimSun"/>
          <w:sz w:val="24"/>
          <w:szCs w:val="24"/>
        </w:rPr>
        <w:t>量为</w:t>
      </w:r>
      <w:r>
        <w:rPr>
          <w:rFonts w:ascii="SimSun" w:hAnsi="SimSun" w:eastAsia="SimSun" w:cs="SimSun"/>
          <w:sz w:val="24"/>
          <w:szCs w:val="24"/>
          <w:spacing w:val="-62"/>
        </w:rPr>
        <w:t xml:space="preserve"> </w:t>
      </w:r>
      <w:r>
        <w:rPr>
          <w:rFonts w:ascii="Times New Roman" w:hAnsi="Times New Roman" w:eastAsia="Times New Roman" w:cs="Times New Roman"/>
          <w:sz w:val="24"/>
          <w:szCs w:val="24"/>
        </w:rPr>
        <w:t>N</w:t>
      </w:r>
      <w:r>
        <w:rPr>
          <w:rFonts w:ascii="SimSun" w:hAnsi="SimSun" w:eastAsia="SimSun" w:cs="SimSun"/>
          <w:sz w:val="24"/>
          <w:szCs w:val="24"/>
        </w:rPr>
        <w:t>（</w:t>
      </w:r>
      <w:r>
        <w:rPr>
          <w:rFonts w:ascii="Times New Roman" w:hAnsi="Times New Roman" w:eastAsia="Times New Roman" w:cs="Times New Roman"/>
          <w:sz w:val="24"/>
          <w:szCs w:val="24"/>
        </w:rPr>
        <w:t>3.0kg/100kg </w:t>
      </w:r>
      <w:r>
        <w:rPr>
          <w:rFonts w:ascii="SimSun" w:hAnsi="SimSun" w:eastAsia="SimSun" w:cs="SimSun"/>
          <w:sz w:val="24"/>
          <w:szCs w:val="24"/>
        </w:rPr>
        <w:t>产量）、</w:t>
      </w:r>
      <w:r>
        <w:rPr>
          <w:rFonts w:ascii="Times New Roman" w:hAnsi="Times New Roman" w:eastAsia="Times New Roman" w:cs="Times New Roman"/>
          <w:sz w:val="24"/>
          <w:szCs w:val="24"/>
        </w:rPr>
        <w:t>P</w:t>
      </w:r>
      <w:r>
        <w:rPr>
          <w:rFonts w:ascii="SimSun" w:hAnsi="SimSun" w:eastAsia="SimSun" w:cs="SimSun"/>
          <w:sz w:val="24"/>
          <w:szCs w:val="24"/>
        </w:rPr>
        <w:t>（</w:t>
      </w:r>
      <w:r>
        <w:rPr>
          <w:rFonts w:ascii="Times New Roman" w:hAnsi="Times New Roman" w:eastAsia="Times New Roman" w:cs="Times New Roman"/>
          <w:sz w:val="24"/>
          <w:szCs w:val="24"/>
        </w:rPr>
        <w:t>1.0kg/1</w:t>
      </w:r>
      <w:r>
        <w:rPr>
          <w:rFonts w:ascii="Times New Roman" w:hAnsi="Times New Roman" w:eastAsia="Times New Roman" w:cs="Times New Roman"/>
          <w:sz w:val="24"/>
          <w:szCs w:val="24"/>
          <w:spacing w:val="-1"/>
        </w:rPr>
        <w:t>00kg </w:t>
      </w:r>
      <w:r>
        <w:rPr>
          <w:rFonts w:ascii="SimSun" w:hAnsi="SimSun" w:eastAsia="SimSun" w:cs="SimSun"/>
          <w:sz w:val="24"/>
          <w:szCs w:val="24"/>
          <w:spacing w:val="-1"/>
        </w:rPr>
        <w:t>产量</w:t>
      </w:r>
      <w:r>
        <w:rPr>
          <w:rFonts w:ascii="SimSun" w:hAnsi="SimSun" w:eastAsia="SimSun" w:cs="SimSun"/>
          <w:sz w:val="24"/>
          <w:szCs w:val="24"/>
          <w:spacing w:val="4"/>
        </w:rPr>
        <w:t>），</w:t>
      </w:r>
      <w:r>
        <w:rPr>
          <w:rFonts w:ascii="SimSun" w:hAnsi="SimSun" w:eastAsia="SimSun" w:cs="SimSun"/>
          <w:sz w:val="24"/>
          <w:szCs w:val="24"/>
          <w:spacing w:val="-1"/>
        </w:rPr>
        <w:t>燕麦需要吸收的氮、磷量</w:t>
      </w:r>
      <w:r>
        <w:rPr>
          <w:rFonts w:ascii="SimSun" w:hAnsi="SimSun" w:eastAsia="SimSun" w:cs="SimSun"/>
          <w:sz w:val="24"/>
          <w:szCs w:val="24"/>
        </w:rPr>
        <w:t xml:space="preserve"> </w:t>
      </w:r>
      <w:r>
        <w:rPr>
          <w:rFonts w:ascii="SimSun" w:hAnsi="SimSun" w:eastAsia="SimSun" w:cs="SimSun"/>
          <w:sz w:val="24"/>
          <w:szCs w:val="24"/>
          <w:spacing w:val="-4"/>
        </w:rPr>
        <w:t>分别为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12kg/</w:t>
      </w:r>
      <w:r>
        <w:rPr>
          <w:rFonts w:ascii="SimSun" w:hAnsi="SimSun" w:eastAsia="SimSun" w:cs="SimSun"/>
          <w:sz w:val="24"/>
          <w:szCs w:val="24"/>
          <w:spacing w:val="-4"/>
        </w:rPr>
        <w:t>亩和</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4.0kg/</w:t>
      </w:r>
      <w:r>
        <w:rPr>
          <w:rFonts w:ascii="SimSun" w:hAnsi="SimSun" w:eastAsia="SimSun" w:cs="SimSun"/>
          <w:sz w:val="24"/>
          <w:szCs w:val="24"/>
          <w:spacing w:val="-4"/>
        </w:rPr>
        <w:t>亩。施肥供给占比按</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100%</w:t>
      </w:r>
      <w:r>
        <w:rPr>
          <w:rFonts w:ascii="SimSun" w:hAnsi="SimSun" w:eastAsia="SimSun" w:cs="SimSun"/>
          <w:sz w:val="24"/>
          <w:szCs w:val="24"/>
          <w:spacing w:val="-4"/>
        </w:rPr>
        <w:t>计，肥水施</w:t>
      </w:r>
      <w:r>
        <w:rPr>
          <w:rFonts w:ascii="SimSun" w:hAnsi="SimSun" w:eastAsia="SimSun" w:cs="SimSun"/>
          <w:sz w:val="24"/>
          <w:szCs w:val="24"/>
          <w:spacing w:val="-5"/>
        </w:rPr>
        <w:t>用比例占总施肥量的</w:t>
      </w:r>
      <w:r>
        <w:rPr>
          <w:rFonts w:ascii="SimSun" w:hAnsi="SimSun" w:eastAsia="SimSun" w:cs="SimSun"/>
          <w:sz w:val="24"/>
          <w:szCs w:val="24"/>
        </w:rPr>
        <w:t xml:space="preserve"> </w:t>
      </w:r>
      <w:r>
        <w:rPr>
          <w:rFonts w:ascii="Times New Roman" w:hAnsi="Times New Roman" w:eastAsia="Times New Roman" w:cs="Times New Roman"/>
          <w:sz w:val="24"/>
          <w:szCs w:val="24"/>
          <w:spacing w:val="-1"/>
        </w:rPr>
        <w:t>80%</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，氮素当季利用率按</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25%</w:t>
      </w:r>
      <w:r>
        <w:rPr>
          <w:rFonts w:ascii="SimSun" w:hAnsi="SimSun" w:eastAsia="SimSun" w:cs="SimSun"/>
          <w:sz w:val="24"/>
          <w:szCs w:val="24"/>
          <w:spacing w:val="-1"/>
        </w:rPr>
        <w:t>计，磷素当</w:t>
      </w:r>
      <w:r>
        <w:rPr>
          <w:rFonts w:ascii="SimSun" w:hAnsi="SimSun" w:eastAsia="SimSun" w:cs="SimSun"/>
          <w:sz w:val="24"/>
          <w:szCs w:val="24"/>
          <w:spacing w:val="-2"/>
        </w:rPr>
        <w:t>季利用率按</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30%</w:t>
      </w:r>
      <w:r>
        <w:rPr>
          <w:rFonts w:ascii="SimSun" w:hAnsi="SimSun" w:eastAsia="SimSun" w:cs="SimSun"/>
          <w:sz w:val="24"/>
          <w:szCs w:val="24"/>
          <w:spacing w:val="-2"/>
        </w:rPr>
        <w:t>计，则每亩地需吸收肥</w:t>
      </w:r>
      <w:r>
        <w:rPr>
          <w:rFonts w:ascii="SimSun" w:hAnsi="SimSun" w:eastAsia="SimSun" w:cs="SimSun"/>
          <w:sz w:val="24"/>
          <w:szCs w:val="24"/>
        </w:rPr>
        <w:t xml:space="preserve">  </w:t>
      </w:r>
      <w:r>
        <w:rPr>
          <w:rFonts w:ascii="SimSun" w:hAnsi="SimSun" w:eastAsia="SimSun" w:cs="SimSun"/>
          <w:sz w:val="24"/>
          <w:szCs w:val="24"/>
          <w:spacing w:val="-2"/>
        </w:rPr>
        <w:t>水中的氮、磷量分别为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38.4kg </w:t>
      </w:r>
      <w:r>
        <w:rPr>
          <w:rFonts w:ascii="SimSun" w:hAnsi="SimSun" w:eastAsia="SimSun" w:cs="SimSun"/>
          <w:sz w:val="24"/>
          <w:szCs w:val="24"/>
          <w:spacing w:val="-2"/>
        </w:rPr>
        <w:t>和</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10.7kg</w:t>
      </w:r>
      <w:r>
        <w:rPr>
          <w:rFonts w:ascii="SimSun" w:hAnsi="SimSun" w:eastAsia="SimSun" w:cs="SimSun"/>
          <w:sz w:val="24"/>
          <w:szCs w:val="24"/>
          <w:spacing w:val="-2"/>
        </w:rPr>
        <w:t>。</w:t>
      </w:r>
    </w:p>
    <w:p>
      <w:pPr>
        <w:ind w:left="9" w:firstLine="480"/>
        <w:spacing w:before="13" w:line="370" w:lineRule="auto"/>
        <w:rPr>
          <w:rFonts w:ascii="SimSun" w:hAnsi="SimSun" w:eastAsia="SimSun" w:cs="SimSun"/>
          <w:sz w:val="24"/>
          <w:szCs w:val="24"/>
        </w:rPr>
      </w:pPr>
      <w:r>
        <w:rPr>
          <w:rFonts w:ascii="SimSun" w:hAnsi="SimSun" w:eastAsia="SimSun" w:cs="SimSun"/>
          <w:sz w:val="24"/>
          <w:szCs w:val="24"/>
          <w:spacing w:val="-3"/>
        </w:rPr>
        <w:t>本项目冬季樱桃（参照桃）产量水平以</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1000kg/</w:t>
      </w:r>
      <w:r>
        <w:rPr>
          <w:rFonts w:ascii="SimSun" w:hAnsi="SimSun" w:eastAsia="SimSun" w:cs="SimSun"/>
          <w:sz w:val="24"/>
          <w:szCs w:val="24"/>
          <w:spacing w:val="-3"/>
        </w:rPr>
        <w:t>亩（</w:t>
      </w:r>
      <w:r>
        <w:rPr>
          <w:rFonts w:ascii="Times New Roman" w:hAnsi="Times New Roman" w:eastAsia="Times New Roman" w:cs="Times New Roman"/>
          <w:sz w:val="24"/>
          <w:szCs w:val="24"/>
          <w:spacing w:val="-3"/>
        </w:rPr>
        <w:t>15t/hm</w:t>
      </w:r>
      <w:r>
        <w:rPr>
          <w:rFonts w:ascii="Times New Roman" w:hAnsi="Times New Roman" w:eastAsia="Times New Roman" w:cs="Times New Roman"/>
          <w:sz w:val="15"/>
          <w:szCs w:val="15"/>
          <w:spacing w:val="-4"/>
          <w:position w:val="8"/>
        </w:rPr>
        <w:t>2 </w:t>
      </w:r>
      <w:r>
        <w:rPr>
          <w:rFonts w:ascii="SimSun" w:hAnsi="SimSun" w:eastAsia="SimSun" w:cs="SimSun"/>
          <w:sz w:val="24"/>
          <w:szCs w:val="24"/>
          <w:spacing w:val="-4"/>
        </w:rPr>
        <w:t>）为准，单位产量</w:t>
      </w:r>
      <w:r>
        <w:rPr>
          <w:rFonts w:ascii="SimSun" w:hAnsi="SimSun" w:eastAsia="SimSun" w:cs="SimSun"/>
          <w:sz w:val="24"/>
          <w:szCs w:val="24"/>
        </w:rPr>
        <w:t xml:space="preserve"> </w:t>
      </w:r>
      <w:r>
        <w:rPr>
          <w:rFonts w:ascii="SimSun" w:hAnsi="SimSun" w:eastAsia="SimSun" w:cs="SimSun"/>
          <w:sz w:val="24"/>
          <w:szCs w:val="24"/>
          <w:spacing w:val="-3"/>
        </w:rPr>
        <w:t>需求量为</w:t>
      </w:r>
      <w:r>
        <w:rPr>
          <w:rFonts w:ascii="SimSun" w:hAnsi="SimSun" w:eastAsia="SimSun" w:cs="SimSun"/>
          <w:sz w:val="24"/>
          <w:szCs w:val="24"/>
          <w:spacing w:val="-62"/>
        </w:rPr>
        <w:t xml:space="preserve"> </w:t>
      </w:r>
      <w:r>
        <w:rPr>
          <w:rFonts w:ascii="Times New Roman" w:hAnsi="Times New Roman" w:eastAsia="Times New Roman" w:cs="Times New Roman"/>
          <w:sz w:val="24"/>
          <w:szCs w:val="24"/>
          <w:spacing w:val="-3"/>
        </w:rPr>
        <w:t>N</w:t>
      </w:r>
      <w:r>
        <w:rPr>
          <w:rFonts w:ascii="SimSun" w:hAnsi="SimSun" w:eastAsia="SimSun" w:cs="SimSun"/>
          <w:sz w:val="24"/>
          <w:szCs w:val="24"/>
          <w:spacing w:val="-3"/>
        </w:rPr>
        <w:t>（</w:t>
      </w:r>
      <w:r>
        <w:rPr>
          <w:rFonts w:ascii="Times New Roman" w:hAnsi="Times New Roman" w:eastAsia="Times New Roman" w:cs="Times New Roman"/>
          <w:sz w:val="24"/>
          <w:szCs w:val="24"/>
          <w:spacing w:val="-3"/>
        </w:rPr>
        <w:t>0.21kg/100kg </w:t>
      </w:r>
      <w:r>
        <w:rPr>
          <w:rFonts w:ascii="SimSun" w:hAnsi="SimSun" w:eastAsia="SimSun" w:cs="SimSun"/>
          <w:sz w:val="24"/>
          <w:szCs w:val="24"/>
          <w:spacing w:val="-3"/>
        </w:rPr>
        <w:t>产量）、</w:t>
      </w:r>
      <w:r>
        <w:rPr>
          <w:rFonts w:ascii="Times New Roman" w:hAnsi="Times New Roman" w:eastAsia="Times New Roman" w:cs="Times New Roman"/>
          <w:sz w:val="24"/>
          <w:szCs w:val="24"/>
          <w:spacing w:val="-3"/>
        </w:rPr>
        <w:t>P</w:t>
      </w:r>
      <w:r>
        <w:rPr>
          <w:rFonts w:ascii="SimSun" w:hAnsi="SimSun" w:eastAsia="SimSun" w:cs="SimSun"/>
          <w:sz w:val="24"/>
          <w:szCs w:val="24"/>
          <w:spacing w:val="-3"/>
        </w:rPr>
        <w:t>（</w:t>
      </w:r>
      <w:r>
        <w:rPr>
          <w:rFonts w:ascii="Times New Roman" w:hAnsi="Times New Roman" w:eastAsia="Times New Roman" w:cs="Times New Roman"/>
          <w:sz w:val="24"/>
          <w:szCs w:val="24"/>
          <w:spacing w:val="-3"/>
        </w:rPr>
        <w:t>0.033kg/100kg </w:t>
      </w:r>
      <w:r>
        <w:rPr>
          <w:rFonts w:ascii="SimSun" w:hAnsi="SimSun" w:eastAsia="SimSun" w:cs="SimSun"/>
          <w:sz w:val="24"/>
          <w:szCs w:val="24"/>
          <w:spacing w:val="-3"/>
        </w:rPr>
        <w:t>产</w:t>
      </w:r>
      <w:r>
        <w:rPr>
          <w:rFonts w:ascii="SimSun" w:hAnsi="SimSun" w:eastAsia="SimSun" w:cs="SimSun"/>
          <w:sz w:val="24"/>
          <w:szCs w:val="24"/>
          <w:spacing w:val="-4"/>
        </w:rPr>
        <w:t>量</w:t>
      </w:r>
      <w:r>
        <w:rPr>
          <w:rFonts w:ascii="SimSun" w:hAnsi="SimSun" w:eastAsia="SimSun" w:cs="SimSun"/>
          <w:sz w:val="24"/>
          <w:szCs w:val="24"/>
          <w:spacing w:val="-23"/>
        </w:rPr>
        <w:t>），</w:t>
      </w:r>
      <w:r>
        <w:rPr>
          <w:rFonts w:ascii="SimSun" w:hAnsi="SimSun" w:eastAsia="SimSun" w:cs="SimSun"/>
          <w:sz w:val="24"/>
          <w:szCs w:val="24"/>
          <w:spacing w:val="-4"/>
        </w:rPr>
        <w:t>樱桃需要吸收的氮、</w:t>
      </w:r>
      <w:r>
        <w:rPr>
          <w:rFonts w:ascii="SimSun" w:hAnsi="SimSun" w:eastAsia="SimSun" w:cs="SimSun"/>
          <w:sz w:val="24"/>
          <w:szCs w:val="24"/>
        </w:rPr>
        <w:t xml:space="preserve"> </w:t>
      </w:r>
      <w:r>
        <w:rPr>
          <w:rFonts w:ascii="SimSun" w:hAnsi="SimSun" w:eastAsia="SimSun" w:cs="SimSun"/>
          <w:sz w:val="24"/>
          <w:szCs w:val="24"/>
          <w:spacing w:val="-3"/>
        </w:rPr>
        <w:t>磷量分别为</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1kg/</w:t>
      </w:r>
      <w:r>
        <w:rPr>
          <w:rFonts w:ascii="SimSun" w:hAnsi="SimSun" w:eastAsia="SimSun" w:cs="SimSun"/>
          <w:sz w:val="24"/>
          <w:szCs w:val="24"/>
          <w:spacing w:val="-3"/>
        </w:rPr>
        <w:t>亩和</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0.33kg/</w:t>
      </w:r>
      <w:r>
        <w:rPr>
          <w:rFonts w:ascii="SimSun" w:hAnsi="SimSun" w:eastAsia="SimSun" w:cs="SimSun"/>
          <w:sz w:val="24"/>
          <w:szCs w:val="24"/>
          <w:spacing w:val="-3"/>
        </w:rPr>
        <w:t>亩。施肥供给占比按</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100%</w:t>
      </w:r>
      <w:r>
        <w:rPr>
          <w:rFonts w:ascii="SimSun" w:hAnsi="SimSun" w:eastAsia="SimSun" w:cs="SimSun"/>
          <w:sz w:val="24"/>
          <w:szCs w:val="24"/>
          <w:spacing w:val="-3"/>
        </w:rPr>
        <w:t>计，肥水施用比例占总施</w:t>
      </w:r>
      <w:r>
        <w:rPr>
          <w:rFonts w:ascii="SimSun" w:hAnsi="SimSun" w:eastAsia="SimSun" w:cs="SimSun"/>
          <w:sz w:val="24"/>
          <w:szCs w:val="24"/>
        </w:rPr>
        <w:t xml:space="preserve"> </w:t>
      </w:r>
      <w:r>
        <w:rPr>
          <w:rFonts w:ascii="SimSun" w:hAnsi="SimSun" w:eastAsia="SimSun" w:cs="SimSun"/>
          <w:sz w:val="24"/>
          <w:szCs w:val="24"/>
          <w:spacing w:val="-2"/>
        </w:rPr>
        <w:t>肥量的</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2"/>
        </w:rPr>
        <w:t>80%</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，氮素当季利用率按</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25%</w:t>
      </w:r>
      <w:r>
        <w:rPr>
          <w:rFonts w:ascii="SimSun" w:hAnsi="SimSun" w:eastAsia="SimSun" w:cs="SimSun"/>
          <w:sz w:val="24"/>
          <w:szCs w:val="24"/>
          <w:spacing w:val="-2"/>
        </w:rPr>
        <w:t>计，磷素当季利用率按</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30%</w:t>
      </w:r>
      <w:r>
        <w:rPr>
          <w:rFonts w:ascii="SimSun" w:hAnsi="SimSun" w:eastAsia="SimSun" w:cs="SimSun"/>
          <w:sz w:val="24"/>
          <w:szCs w:val="24"/>
          <w:spacing w:val="-2"/>
        </w:rPr>
        <w:t>计，则每亩地需</w:t>
      </w:r>
      <w:r>
        <w:rPr>
          <w:rFonts w:ascii="SimSun" w:hAnsi="SimSun" w:eastAsia="SimSun" w:cs="SimSun"/>
          <w:sz w:val="24"/>
          <w:szCs w:val="24"/>
        </w:rPr>
        <w:t xml:space="preserve">  </w:t>
      </w:r>
      <w:r>
        <w:rPr>
          <w:rFonts w:ascii="SimSun" w:hAnsi="SimSun" w:eastAsia="SimSun" w:cs="SimSun"/>
          <w:sz w:val="24"/>
          <w:szCs w:val="24"/>
          <w:spacing w:val="-1"/>
        </w:rPr>
        <w:t>吸收沼肥中的氮、磷量分别为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6.72kg </w:t>
      </w:r>
      <w:r>
        <w:rPr>
          <w:rFonts w:ascii="SimSun" w:hAnsi="SimSun" w:eastAsia="SimSun" w:cs="SimSun"/>
          <w:sz w:val="24"/>
          <w:szCs w:val="24"/>
          <w:spacing w:val="-1"/>
        </w:rPr>
        <w:t>和</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0.88kg</w:t>
      </w:r>
      <w:r>
        <w:rPr>
          <w:rFonts w:ascii="SimSun" w:hAnsi="SimSun" w:eastAsia="SimSun" w:cs="SimSun"/>
          <w:sz w:val="24"/>
          <w:szCs w:val="24"/>
          <w:spacing w:val="-1"/>
        </w:rPr>
        <w:t>；冬季西红柿产量水平以</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5000kg/</w:t>
      </w:r>
      <w:r>
        <w:rPr>
          <w:rFonts w:ascii="Times New Roman" w:hAnsi="Times New Roman" w:eastAsia="Times New Roman" w:cs="Times New Roman"/>
          <w:sz w:val="24"/>
          <w:szCs w:val="24"/>
        </w:rPr>
        <w:t xml:space="preserve">     </w:t>
      </w:r>
      <w:r>
        <w:rPr>
          <w:rFonts w:ascii="SimSun" w:hAnsi="SimSun" w:eastAsia="SimSun" w:cs="SimSun"/>
          <w:sz w:val="24"/>
          <w:szCs w:val="24"/>
          <w:spacing w:val="-1"/>
        </w:rPr>
        <w:t>亩（</w:t>
      </w:r>
      <w:r>
        <w:rPr>
          <w:rFonts w:ascii="Times New Roman" w:hAnsi="Times New Roman" w:eastAsia="Times New Roman" w:cs="Times New Roman"/>
          <w:sz w:val="24"/>
          <w:szCs w:val="24"/>
          <w:spacing w:val="-1"/>
        </w:rPr>
        <w:t>75t/hm</w:t>
      </w:r>
      <w:r>
        <w:rPr>
          <w:rFonts w:ascii="Times New Roman" w:hAnsi="Times New Roman" w:eastAsia="Times New Roman" w:cs="Times New Roman"/>
          <w:sz w:val="15"/>
          <w:szCs w:val="15"/>
          <w:spacing w:val="-1"/>
          <w:position w:val="8"/>
        </w:rPr>
        <w:t>2 </w:t>
      </w:r>
      <w:r>
        <w:rPr>
          <w:rFonts w:ascii="SimSun" w:hAnsi="SimSun" w:eastAsia="SimSun" w:cs="SimSun"/>
          <w:sz w:val="24"/>
          <w:szCs w:val="24"/>
          <w:spacing w:val="-1"/>
        </w:rPr>
        <w:t>）为准，单位产量需求量为</w:t>
      </w:r>
      <w:r>
        <w:rPr>
          <w:rFonts w:ascii="SimSun" w:hAnsi="SimSun" w:eastAsia="SimSun" w:cs="SimSun"/>
          <w:sz w:val="24"/>
          <w:szCs w:val="24"/>
          <w:spacing w:val="-62"/>
        </w:rPr>
        <w:t xml:space="preserve"> </w:t>
      </w:r>
      <w:r>
        <w:rPr>
          <w:rFonts w:ascii="Times New Roman" w:hAnsi="Times New Roman" w:eastAsia="Times New Roman" w:cs="Times New Roman"/>
          <w:sz w:val="24"/>
          <w:szCs w:val="24"/>
          <w:spacing w:val="-2"/>
        </w:rPr>
        <w:t>N</w:t>
      </w:r>
      <w:r>
        <w:rPr>
          <w:rFonts w:ascii="SimSun" w:hAnsi="SimSun" w:eastAsia="SimSun" w:cs="SimSun"/>
          <w:sz w:val="24"/>
          <w:szCs w:val="24"/>
          <w:spacing w:val="-2"/>
        </w:rPr>
        <w:t>（</w:t>
      </w:r>
      <w:r>
        <w:rPr>
          <w:rFonts w:ascii="Times New Roman" w:hAnsi="Times New Roman" w:eastAsia="Times New Roman" w:cs="Times New Roman"/>
          <w:sz w:val="24"/>
          <w:szCs w:val="24"/>
          <w:spacing w:val="-2"/>
        </w:rPr>
        <w:t>0.33kg/100kg </w:t>
      </w:r>
      <w:r>
        <w:rPr>
          <w:rFonts w:ascii="SimSun" w:hAnsi="SimSun" w:eastAsia="SimSun" w:cs="SimSun"/>
          <w:sz w:val="24"/>
          <w:szCs w:val="24"/>
          <w:spacing w:val="-2"/>
        </w:rPr>
        <w:t>产量）、</w:t>
      </w:r>
      <w:r>
        <w:rPr>
          <w:rFonts w:ascii="Times New Roman" w:hAnsi="Times New Roman" w:eastAsia="Times New Roman" w:cs="Times New Roman"/>
          <w:sz w:val="24"/>
          <w:szCs w:val="24"/>
          <w:spacing w:val="-2"/>
        </w:rPr>
        <w:t>P</w:t>
      </w:r>
      <w:r>
        <w:rPr>
          <w:rFonts w:ascii="SimSun" w:hAnsi="SimSun" w:eastAsia="SimSun" w:cs="SimSun"/>
          <w:sz w:val="24"/>
          <w:szCs w:val="24"/>
          <w:spacing w:val="-2"/>
        </w:rPr>
        <w:t>（</w:t>
      </w:r>
      <w:r>
        <w:rPr>
          <w:rFonts w:ascii="Times New Roman" w:hAnsi="Times New Roman" w:eastAsia="Times New Roman" w:cs="Times New Roman"/>
          <w:sz w:val="24"/>
          <w:szCs w:val="24"/>
          <w:spacing w:val="-2"/>
        </w:rPr>
        <w:t>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1kg/100kg</w:t>
      </w:r>
      <w:r>
        <w:rPr>
          <w:rFonts w:ascii="Times New Roman" w:hAnsi="Times New Roman" w:eastAsia="Times New Roman" w:cs="Times New Roman"/>
          <w:sz w:val="24"/>
          <w:szCs w:val="24"/>
        </w:rPr>
        <w:t xml:space="preserve">  </w:t>
      </w:r>
      <w:r>
        <w:rPr>
          <w:rFonts w:ascii="SimSun" w:hAnsi="SimSun" w:eastAsia="SimSun" w:cs="SimSun"/>
          <w:sz w:val="24"/>
          <w:szCs w:val="24"/>
          <w:spacing w:val="-2"/>
        </w:rPr>
        <w:t>产量</w:t>
      </w:r>
      <w:r>
        <w:rPr>
          <w:rFonts w:ascii="SimSun" w:hAnsi="SimSun" w:eastAsia="SimSun" w:cs="SimSun"/>
          <w:sz w:val="24"/>
          <w:szCs w:val="24"/>
          <w:spacing w:val="13"/>
        </w:rPr>
        <w:t>），</w:t>
      </w:r>
      <w:r>
        <w:rPr>
          <w:rFonts w:ascii="SimSun" w:hAnsi="SimSun" w:eastAsia="SimSun" w:cs="SimSun"/>
          <w:sz w:val="24"/>
          <w:szCs w:val="24"/>
          <w:spacing w:val="-2"/>
        </w:rPr>
        <w:t>西红柿需要吸收的氮、磷量分别为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16.5kg/</w:t>
      </w:r>
      <w:r>
        <w:rPr>
          <w:rFonts w:ascii="SimSun" w:hAnsi="SimSun" w:eastAsia="SimSun" w:cs="SimSun"/>
          <w:sz w:val="24"/>
          <w:szCs w:val="24"/>
          <w:spacing w:val="-2"/>
        </w:rPr>
        <w:t>亩和</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5kg/</w:t>
      </w:r>
      <w:r>
        <w:rPr>
          <w:rFonts w:ascii="SimSun" w:hAnsi="SimSun" w:eastAsia="SimSun" w:cs="SimSun"/>
          <w:sz w:val="24"/>
          <w:szCs w:val="24"/>
          <w:spacing w:val="-2"/>
        </w:rPr>
        <w:t>亩。施肥供给占比按</w:t>
      </w:r>
      <w:r>
        <w:rPr>
          <w:rFonts w:ascii="SimSun" w:hAnsi="SimSun" w:eastAsia="SimSun" w:cs="SimSun"/>
          <w:sz w:val="24"/>
          <w:szCs w:val="24"/>
        </w:rPr>
        <w:t xml:space="preserve">  </w:t>
      </w:r>
      <w:r>
        <w:rPr>
          <w:rFonts w:ascii="Times New Roman" w:hAnsi="Times New Roman" w:eastAsia="Times New Roman" w:cs="Times New Roman"/>
          <w:sz w:val="24"/>
          <w:szCs w:val="24"/>
          <w:spacing w:val="-2"/>
        </w:rPr>
        <w:t>100%</w:t>
      </w:r>
      <w:r>
        <w:rPr>
          <w:rFonts w:ascii="SimSun" w:hAnsi="SimSun" w:eastAsia="SimSun" w:cs="SimSun"/>
          <w:sz w:val="24"/>
          <w:szCs w:val="24"/>
          <w:spacing w:val="-2"/>
        </w:rPr>
        <w:t>计，肥水施用比例占总施肥量的</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80%</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，氮素当季利用率按</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25%</w:t>
      </w:r>
      <w:r>
        <w:rPr>
          <w:rFonts w:ascii="SimSun" w:hAnsi="SimSun" w:eastAsia="SimSun" w:cs="SimSun"/>
          <w:sz w:val="24"/>
          <w:szCs w:val="24"/>
          <w:spacing w:val="-2"/>
        </w:rPr>
        <w:t>计，磷素当季</w:t>
      </w:r>
      <w:r>
        <w:rPr>
          <w:rFonts w:ascii="SimSun" w:hAnsi="SimSun" w:eastAsia="SimSun" w:cs="SimSun"/>
          <w:sz w:val="24"/>
          <w:szCs w:val="24"/>
        </w:rPr>
        <w:t xml:space="preserve"> </w:t>
      </w:r>
      <w:r>
        <w:rPr>
          <w:rFonts w:ascii="SimSun" w:hAnsi="SimSun" w:eastAsia="SimSun" w:cs="SimSun"/>
          <w:sz w:val="24"/>
          <w:szCs w:val="24"/>
          <w:spacing w:val="-2"/>
        </w:rPr>
        <w:t>利用率按</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30%</w:t>
      </w:r>
      <w:r>
        <w:rPr>
          <w:rFonts w:ascii="SimSun" w:hAnsi="SimSun" w:eastAsia="SimSun" w:cs="SimSun"/>
          <w:sz w:val="24"/>
          <w:szCs w:val="24"/>
          <w:spacing w:val="-2"/>
        </w:rPr>
        <w:t>计，则每亩地需吸收沼肥中的氮、磷量分别为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52.8kg </w:t>
      </w:r>
      <w:r>
        <w:rPr>
          <w:rFonts w:ascii="SimSun" w:hAnsi="SimSun" w:eastAsia="SimSun" w:cs="SimSun"/>
          <w:sz w:val="24"/>
          <w:szCs w:val="24"/>
          <w:spacing w:val="-2"/>
        </w:rPr>
        <w:t>和</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13.3</w:t>
      </w:r>
      <w:r>
        <w:rPr>
          <w:rFonts w:ascii="Times New Roman" w:hAnsi="Times New Roman" w:eastAsia="Times New Roman" w:cs="Times New Roman"/>
          <w:sz w:val="24"/>
          <w:szCs w:val="24"/>
          <w:spacing w:val="-3"/>
        </w:rPr>
        <w:t>kg</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，西</w:t>
      </w:r>
      <w:r>
        <w:rPr>
          <w:rFonts w:ascii="SimSun" w:hAnsi="SimSun" w:eastAsia="SimSun" w:cs="SimSun"/>
          <w:sz w:val="24"/>
          <w:szCs w:val="24"/>
        </w:rPr>
        <w:t xml:space="preserve">  </w:t>
      </w:r>
      <w:r>
        <w:rPr>
          <w:rFonts w:ascii="SimSun" w:hAnsi="SimSun" w:eastAsia="SimSun" w:cs="SimSun"/>
          <w:sz w:val="24"/>
          <w:szCs w:val="24"/>
          <w:spacing w:val="-2"/>
        </w:rPr>
        <w:t>红柿生产周期为</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6 </w:t>
      </w:r>
      <w:r>
        <w:rPr>
          <w:rFonts w:ascii="SimSun" w:hAnsi="SimSun" w:eastAsia="SimSun" w:cs="SimSun"/>
          <w:sz w:val="24"/>
          <w:szCs w:val="24"/>
          <w:spacing w:val="-2"/>
        </w:rPr>
        <w:t>个月。</w:t>
      </w:r>
    </w:p>
    <w:p>
      <w:pPr>
        <w:ind w:firstLine="876"/>
        <w:spacing w:line="1300" w:lineRule="exact"/>
        <w:rPr/>
      </w:pPr>
      <w:r>
        <w:rPr>
          <w:position w:val="-26"/>
        </w:rPr>
        <w:drawing>
          <wp:inline distT="0" distB="0" distL="0" distR="0">
            <wp:extent cx="4274820" cy="826007"/>
            <wp:effectExtent l="0" t="0" r="0" b="0"/>
            <wp:docPr id="214" name="IM 214"/>
            <wp:cNvGraphicFramePr/>
            <a:graphic>
              <a:graphicData uri="http://schemas.openxmlformats.org/drawingml/2006/picture">
                <pic:pic>
                  <pic:nvPicPr>
                    <pic:cNvPr id="214" name="IM 214"/>
                    <pic:cNvPicPr/>
                  </pic:nvPicPr>
                  <pic:blipFill>
                    <a:blip r:embed="rId362"/>
                    <a:stretch>
                      <a:fillRect/>
                    </a:stretch>
                  </pic:blipFill>
                  <pic:spPr>
                    <a:xfrm rot="0">
                      <a:off x="0" y="0"/>
                      <a:ext cx="4274820" cy="826007"/>
                    </a:xfrm>
                    <a:prstGeom prst="rect">
                      <a:avLst/>
                    </a:prstGeom>
                  </pic:spPr>
                </pic:pic>
              </a:graphicData>
            </a:graphic>
          </wp:inline>
        </w:drawing>
      </w:r>
    </w:p>
    <w:p>
      <w:pPr>
        <w:ind w:left="491"/>
        <w:spacing w:before="215" w:line="210" w:lineRule="auto"/>
        <w:rPr>
          <w:rFonts w:ascii="SimSun" w:hAnsi="SimSun" w:eastAsia="SimSun" w:cs="SimSun"/>
          <w:sz w:val="24"/>
          <w:szCs w:val="24"/>
        </w:rPr>
      </w:pPr>
      <w:r>
        <w:rPr>
          <w:rFonts w:ascii="SimSun" w:hAnsi="SimSun" w:eastAsia="SimSun" w:cs="SimSun"/>
          <w:sz w:val="24"/>
          <w:szCs w:val="24"/>
        </w:rPr>
        <w:t>经计算，项目土地种植燕麦时单位土地养分氮、磷需求</w:t>
      </w:r>
      <w:r>
        <w:rPr>
          <w:rFonts w:ascii="SimSun" w:hAnsi="SimSun" w:eastAsia="SimSun" w:cs="SimSun"/>
          <w:sz w:val="24"/>
          <w:szCs w:val="24"/>
          <w:spacing w:val="-1"/>
        </w:rPr>
        <w:t>量分别为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38.4kg </w:t>
      </w:r>
      <w:r>
        <w:rPr>
          <w:rFonts w:ascii="SimSun" w:hAnsi="SimSun" w:eastAsia="SimSun" w:cs="SimSun"/>
          <w:sz w:val="24"/>
          <w:szCs w:val="24"/>
          <w:spacing w:val="-1"/>
        </w:rPr>
        <w:t>和</w:t>
      </w:r>
    </w:p>
    <w:p>
      <w:pPr>
        <w:ind w:left="12" w:right="80" w:firstLine="15"/>
        <w:spacing w:before="225" w:line="376" w:lineRule="auto"/>
        <w:rPr>
          <w:rFonts w:ascii="SimSun" w:hAnsi="SimSun" w:eastAsia="SimSun" w:cs="SimSun"/>
          <w:sz w:val="24"/>
          <w:szCs w:val="24"/>
        </w:rPr>
      </w:pPr>
      <w:r>
        <w:rPr>
          <w:rFonts w:ascii="Times New Roman" w:hAnsi="Times New Roman" w:eastAsia="Times New Roman" w:cs="Times New Roman"/>
          <w:sz w:val="24"/>
          <w:szCs w:val="24"/>
          <w:spacing w:val="-3"/>
        </w:rPr>
        <w:t>10.7kg</w:t>
      </w:r>
      <w:r>
        <w:rPr>
          <w:rFonts w:ascii="SimSun" w:hAnsi="SimSun" w:eastAsia="SimSun" w:cs="SimSun"/>
          <w:sz w:val="24"/>
          <w:szCs w:val="24"/>
          <w:spacing w:val="-3"/>
        </w:rPr>
        <w:t>。冬季按照樱桃和西红柿各一半核算，每亩地需吸收沼肥中的氮、磷量分别</w:t>
      </w:r>
      <w:r>
        <w:rPr>
          <w:rFonts w:ascii="SimSun" w:hAnsi="SimSun" w:eastAsia="SimSun" w:cs="SimSun"/>
          <w:sz w:val="24"/>
          <w:szCs w:val="24"/>
          <w:spacing w:val="11"/>
        </w:rPr>
        <w:t xml:space="preserve"> </w:t>
      </w:r>
      <w:r>
        <w:rPr>
          <w:rFonts w:ascii="SimSun" w:hAnsi="SimSun" w:eastAsia="SimSun" w:cs="SimSun"/>
          <w:sz w:val="24"/>
          <w:szCs w:val="24"/>
          <w:spacing w:val="-5"/>
        </w:rPr>
        <w:t>为</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5"/>
        </w:rPr>
        <w:t>56.</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5"/>
        </w:rPr>
        <w:t>16kg </w:t>
      </w:r>
      <w:r>
        <w:rPr>
          <w:rFonts w:ascii="SimSun" w:hAnsi="SimSun" w:eastAsia="SimSun" w:cs="SimSun"/>
          <w:sz w:val="24"/>
          <w:szCs w:val="24"/>
          <w:spacing w:val="-5"/>
        </w:rPr>
        <w:t>和</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13.74kg</w:t>
      </w:r>
      <w:r>
        <w:rPr>
          <w:rFonts w:ascii="SimSun" w:hAnsi="SimSun" w:eastAsia="SimSun" w:cs="SimSun"/>
          <w:sz w:val="24"/>
          <w:szCs w:val="24"/>
          <w:spacing w:val="-5"/>
        </w:rPr>
        <w:t>。</w:t>
      </w:r>
    </w:p>
    <w:p>
      <w:pPr>
        <w:ind w:left="5" w:right="80" w:firstLine="484"/>
        <w:spacing w:before="22" w:line="385" w:lineRule="auto"/>
        <w:rPr>
          <w:rFonts w:ascii="SimSun" w:hAnsi="SimSun" w:eastAsia="SimSun" w:cs="SimSun"/>
          <w:sz w:val="24"/>
          <w:szCs w:val="24"/>
        </w:rPr>
      </w:pPr>
      <w:r>
        <w:rPr>
          <w:rFonts w:ascii="SimSun" w:hAnsi="SimSun" w:eastAsia="SimSun" w:cs="SimSun"/>
          <w:sz w:val="24"/>
          <w:szCs w:val="24"/>
          <w:spacing w:val="-2"/>
        </w:rPr>
        <w:t>根据《沼肥施用技术规范》（</w:t>
      </w:r>
      <w:r>
        <w:rPr>
          <w:rFonts w:ascii="Times New Roman" w:hAnsi="Times New Roman" w:eastAsia="Times New Roman" w:cs="Times New Roman"/>
          <w:sz w:val="24"/>
          <w:szCs w:val="24"/>
          <w:spacing w:val="-2"/>
        </w:rPr>
        <w:t>NY/T2065-2011</w:t>
      </w:r>
      <w:r>
        <w:rPr>
          <w:rFonts w:ascii="SimSun" w:hAnsi="SimSun" w:eastAsia="SimSun" w:cs="SimSun"/>
          <w:sz w:val="24"/>
          <w:szCs w:val="24"/>
          <w:spacing w:val="4"/>
        </w:rPr>
        <w:t>），</w:t>
      </w:r>
      <w:r>
        <w:rPr>
          <w:rFonts w:ascii="SimSun" w:hAnsi="SimSun" w:eastAsia="SimSun" w:cs="SimSun"/>
          <w:sz w:val="24"/>
          <w:szCs w:val="24"/>
          <w:spacing w:val="-2"/>
        </w:rPr>
        <w:t>沼肥的施用量应根据土壤养</w:t>
      </w:r>
      <w:r>
        <w:rPr>
          <w:rFonts w:ascii="SimSun" w:hAnsi="SimSun" w:eastAsia="SimSun" w:cs="SimSun"/>
          <w:sz w:val="24"/>
          <w:szCs w:val="24"/>
        </w:rPr>
        <w:t xml:space="preserve"> </w:t>
      </w:r>
      <w:r>
        <w:rPr>
          <w:rFonts w:ascii="SimSun" w:hAnsi="SimSun" w:eastAsia="SimSun" w:cs="SimSun"/>
          <w:sz w:val="24"/>
          <w:szCs w:val="24"/>
          <w:spacing w:val="-2"/>
        </w:rPr>
        <w:t>分状况和作物对养分的需求量确定,具体农作物施用量参见附录</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C</w:t>
      </w:r>
      <w:r>
        <w:rPr>
          <w:rFonts w:ascii="SimSun" w:hAnsi="SimSun" w:eastAsia="SimSun" w:cs="SimSun"/>
          <w:sz w:val="24"/>
          <w:szCs w:val="24"/>
          <w:spacing w:val="-2"/>
        </w:rPr>
        <w:t>、附录</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D </w:t>
      </w:r>
      <w:r>
        <w:rPr>
          <w:rFonts w:ascii="SimSun" w:hAnsi="SimSun" w:eastAsia="SimSun" w:cs="SimSun"/>
          <w:sz w:val="24"/>
          <w:szCs w:val="24"/>
          <w:spacing w:val="-2"/>
        </w:rPr>
        <w:t>和附录</w:t>
      </w:r>
      <w:r>
        <w:rPr>
          <w:rFonts w:ascii="SimSun" w:hAnsi="SimSun" w:eastAsia="SimSun" w:cs="SimSun"/>
          <w:sz w:val="24"/>
          <w:szCs w:val="24"/>
        </w:rPr>
        <w:t xml:space="preserve"> </w:t>
      </w:r>
      <w:r>
        <w:rPr>
          <w:rFonts w:ascii="Times New Roman" w:hAnsi="Times New Roman" w:eastAsia="Times New Roman" w:cs="Times New Roman"/>
          <w:sz w:val="24"/>
          <w:szCs w:val="24"/>
          <w:spacing w:val="-2"/>
        </w:rPr>
        <w:t>E</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2"/>
        </w:rPr>
        <w:t>。沼渣宜作基肥；沼液宜作追肥和叶面追肥。沼渣年施用量</w:t>
      </w:r>
    </w:p>
    <w:p>
      <w:pPr>
        <w:ind w:left="28"/>
        <w:spacing w:before="1" w:line="210" w:lineRule="auto"/>
        <w:rPr>
          <w:rFonts w:ascii="SimSun" w:hAnsi="SimSun" w:eastAsia="SimSun" w:cs="SimSun"/>
          <w:sz w:val="24"/>
          <w:szCs w:val="24"/>
        </w:rPr>
      </w:pPr>
      <w:r>
        <w:rPr>
          <w:rFonts w:ascii="Times New Roman" w:hAnsi="Times New Roman" w:eastAsia="Times New Roman" w:cs="Times New Roman"/>
          <w:sz w:val="24"/>
          <w:szCs w:val="24"/>
          <w:spacing w:val="-1"/>
        </w:rPr>
        <w:t>13500kg/hm</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24"/>
          <w:szCs w:val="24"/>
          <w:spacing w:val="-1"/>
        </w:rPr>
        <w:t>-27000kg/hm</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15"/>
          <w:szCs w:val="15"/>
          <w:spacing w:val="-7"/>
          <w:position w:val="7"/>
        </w:rPr>
        <w:t xml:space="preserve"> </w:t>
      </w:r>
      <w:r>
        <w:rPr>
          <w:rFonts w:ascii="SimSun" w:hAnsi="SimSun" w:eastAsia="SimSun" w:cs="SimSun"/>
          <w:sz w:val="24"/>
          <w:szCs w:val="24"/>
          <w:spacing w:val="-1"/>
        </w:rPr>
        <w:t>；沼液年施用量</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45000kg/hm</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24"/>
          <w:szCs w:val="24"/>
          <w:spacing w:val="-1"/>
        </w:rPr>
        <w:t>-100000kg/hm</w:t>
      </w:r>
      <w:r>
        <w:rPr>
          <w:rFonts w:ascii="Times New Roman" w:hAnsi="Times New Roman" w:eastAsia="Times New Roman" w:cs="Times New Roman"/>
          <w:sz w:val="15"/>
          <w:szCs w:val="15"/>
          <w:spacing w:val="-1"/>
          <w:position w:val="7"/>
        </w:rPr>
        <w:t>2</w:t>
      </w:r>
      <w:r>
        <w:rPr>
          <w:rFonts w:ascii="SimSun" w:hAnsi="SimSun" w:eastAsia="SimSun" w:cs="SimSun"/>
          <w:sz w:val="24"/>
          <w:szCs w:val="24"/>
          <w:spacing w:val="-1"/>
        </w:rPr>
        <w:t>。</w:t>
      </w:r>
    </w:p>
    <w:p>
      <w:pPr>
        <w:pStyle w:val="BodyText"/>
        <w:spacing w:line="286" w:lineRule="auto"/>
        <w:rPr/>
      </w:pPr>
      <w:r/>
    </w:p>
    <w:p>
      <w:pPr>
        <w:ind w:left="7"/>
        <w:spacing w:before="62" w:line="227" w:lineRule="auto"/>
        <w:rPr>
          <w:rFonts w:ascii="SimSun" w:hAnsi="SimSun" w:eastAsia="SimSun" w:cs="SimSun"/>
          <w:sz w:val="19"/>
          <w:szCs w:val="19"/>
        </w:rPr>
      </w:pPr>
      <w:r>
        <w:pict>
          <v:shape id="_x0000_s1228" style="position:absolute;margin-left:159.33pt;margin-top:2.12508pt;mso-position-vertical-relative:text;mso-position-horizontal-relative:text;width:61pt;height:13.75pt;z-index:25231257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271</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1"/>
          <w:footerReference w:type="default" r:id="rId3"/>
          <w:pgSz w:w="11907" w:h="16840"/>
          <w:pgMar w:top="1567" w:right="1621" w:bottom="400" w:left="1701" w:header="1221" w:footer="0" w:gutter="0"/>
        </w:sectPr>
        <w:rPr>
          <w:rFonts w:ascii="SimSun" w:hAnsi="SimSun" w:eastAsia="SimSun" w:cs="SimSun"/>
          <w:sz w:val="19"/>
          <w:szCs w:val="19"/>
        </w:rPr>
      </w:pPr>
    </w:p>
    <w:p>
      <w:pPr>
        <w:pStyle w:val="BodyText"/>
        <w:spacing w:line="247" w:lineRule="auto"/>
        <w:rPr/>
      </w:pPr>
      <w:r>
        <w:pict>
          <v:shape id="_x0000_s1232" style="position:absolute;margin-left:3.69pt;margin-top:0.454834pt;mso-position-vertical-relative:text;mso-position-horizontal-relative:text;width:425.25pt;height:0.75pt;z-index:252315648;" fillcolor="#000000" filled="true" stroked="false" coordsize="8505,15" coordorigin="0,0" path="m,l8505,0l8505,14l0,14l0,0xe"/>
        </w:pict>
      </w:r>
      <w:r/>
    </w:p>
    <w:p>
      <w:pPr>
        <w:ind w:left="575"/>
        <w:spacing w:before="78"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）沼肥养分供给量及消纳可行性分析</w:t>
      </w:r>
    </w:p>
    <w:p>
      <w:pPr>
        <w:ind w:left="82" w:right="99" w:firstLine="481"/>
        <w:spacing w:before="213" w:line="383" w:lineRule="auto"/>
        <w:rPr>
          <w:rFonts w:ascii="SimSun" w:hAnsi="SimSun" w:eastAsia="SimSun" w:cs="SimSun"/>
          <w:sz w:val="24"/>
          <w:szCs w:val="24"/>
        </w:rPr>
      </w:pPr>
      <w:r>
        <w:rPr>
          <w:rFonts w:ascii="SimSun" w:hAnsi="SimSun" w:eastAsia="SimSun" w:cs="SimSun"/>
          <w:sz w:val="24"/>
          <w:szCs w:val="24"/>
          <w:spacing w:val="-2"/>
        </w:rPr>
        <w:t>本项目液态肥料肥水量共计为</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2"/>
        </w:rPr>
        <w:t>42810t/a</w:t>
      </w:r>
      <w:r>
        <w:rPr>
          <w:rFonts w:ascii="SimSun" w:hAnsi="SimSun" w:eastAsia="SimSun" w:cs="SimSun"/>
          <w:sz w:val="24"/>
          <w:szCs w:val="24"/>
          <w:spacing w:val="-2"/>
        </w:rPr>
        <w:t>，</w:t>
      </w:r>
      <w:r>
        <w:rPr>
          <w:rFonts w:ascii="SimSun" w:hAnsi="SimSun" w:eastAsia="SimSun" w:cs="SimSun"/>
          <w:sz w:val="24"/>
          <w:szCs w:val="24"/>
          <w:spacing w:val="-3"/>
        </w:rPr>
        <w:t>根据其水质分析结果，厌氧发酵后废</w:t>
      </w:r>
      <w:r>
        <w:rPr>
          <w:rFonts w:ascii="SimSun" w:hAnsi="SimSun" w:eastAsia="SimSun" w:cs="SimSun"/>
          <w:sz w:val="24"/>
          <w:szCs w:val="24"/>
        </w:rPr>
        <w:t xml:space="preserve"> </w:t>
      </w:r>
      <w:r>
        <w:rPr>
          <w:rFonts w:ascii="SimSun" w:hAnsi="SimSun" w:eastAsia="SimSun" w:cs="SimSun"/>
          <w:sz w:val="24"/>
          <w:szCs w:val="24"/>
          <w:spacing w:val="-2"/>
        </w:rPr>
        <w:t>水中，总氮含量为</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2.7g/L</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，可吸收氮占比按</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60%</w:t>
      </w:r>
      <w:r>
        <w:rPr>
          <w:rFonts w:ascii="SimSun" w:hAnsi="SimSun" w:eastAsia="SimSun" w:cs="SimSun"/>
          <w:sz w:val="24"/>
          <w:szCs w:val="24"/>
          <w:spacing w:val="-2"/>
        </w:rPr>
        <w:t>计算，则氮含量为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69.</w:t>
      </w:r>
      <w:r>
        <w:rPr>
          <w:rFonts w:ascii="Times New Roman" w:hAnsi="Times New Roman" w:eastAsia="Times New Roman" w:cs="Times New Roman"/>
          <w:sz w:val="24"/>
          <w:szCs w:val="24"/>
          <w:spacing w:val="-3"/>
        </w:rPr>
        <w:t>3t</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P</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24"/>
          <w:szCs w:val="24"/>
          <w:spacing w:val="-3"/>
        </w:rPr>
        <w:t>O</w:t>
      </w:r>
      <w:r>
        <w:rPr>
          <w:rFonts w:ascii="Times New Roman" w:hAnsi="Times New Roman" w:eastAsia="Times New Roman" w:cs="Times New Roman"/>
          <w:sz w:val="15"/>
          <w:szCs w:val="15"/>
          <w:spacing w:val="-3"/>
          <w:position w:val="-1"/>
        </w:rPr>
        <w:t>5</w:t>
      </w:r>
      <w:r>
        <w:rPr>
          <w:rFonts w:ascii="Times New Roman" w:hAnsi="Times New Roman" w:eastAsia="Times New Roman" w:cs="Times New Roman"/>
          <w:sz w:val="15"/>
          <w:szCs w:val="15"/>
          <w:spacing w:val="9"/>
          <w:w w:val="101"/>
          <w:position w:val="-1"/>
        </w:rPr>
        <w:t xml:space="preserve"> </w:t>
      </w:r>
      <w:r>
        <w:rPr>
          <w:rFonts w:ascii="SimSun" w:hAnsi="SimSun" w:eastAsia="SimSun" w:cs="SimSun"/>
          <w:sz w:val="24"/>
          <w:szCs w:val="24"/>
          <w:spacing w:val="-3"/>
        </w:rPr>
        <w:t>含</w:t>
      </w:r>
      <w:r>
        <w:rPr>
          <w:rFonts w:ascii="SimSun" w:hAnsi="SimSun" w:eastAsia="SimSun" w:cs="SimSun"/>
          <w:sz w:val="24"/>
          <w:szCs w:val="24"/>
        </w:rPr>
        <w:t xml:space="preserve"> </w:t>
      </w:r>
      <w:r>
        <w:rPr>
          <w:rFonts w:ascii="SimSun" w:hAnsi="SimSun" w:eastAsia="SimSun" w:cs="SimSun"/>
          <w:sz w:val="24"/>
          <w:szCs w:val="24"/>
          <w:spacing w:val="-4"/>
        </w:rPr>
        <w:t>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0.4g/L</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，折合</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P </w:t>
      </w:r>
      <w:r>
        <w:rPr>
          <w:rFonts w:ascii="SimSun" w:hAnsi="SimSun" w:eastAsia="SimSun" w:cs="SimSun"/>
          <w:sz w:val="24"/>
          <w:szCs w:val="24"/>
          <w:spacing w:val="-4"/>
        </w:rPr>
        <w:t>含量为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4"/>
        </w:rPr>
        <w:t>17g/L</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5"/>
        </w:rPr>
        <w:t>，液态肥</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5"/>
        </w:rPr>
        <w:t>P</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5"/>
        </w:rPr>
        <w:t>总含量为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7.28t</w:t>
      </w:r>
      <w:r>
        <w:rPr>
          <w:rFonts w:ascii="SimSun" w:hAnsi="SimSun" w:eastAsia="SimSun" w:cs="SimSun"/>
          <w:sz w:val="24"/>
          <w:szCs w:val="24"/>
          <w:spacing w:val="-5"/>
        </w:rPr>
        <w:t>。根据《畜禽粪污土</w:t>
      </w:r>
      <w:r>
        <w:rPr>
          <w:rFonts w:ascii="SimSun" w:hAnsi="SimSun" w:eastAsia="SimSun" w:cs="SimSun"/>
          <w:sz w:val="24"/>
          <w:szCs w:val="24"/>
        </w:rPr>
        <w:t xml:space="preserve"> </w:t>
      </w:r>
      <w:r>
        <w:rPr>
          <w:rFonts w:ascii="SimSun" w:hAnsi="SimSun" w:eastAsia="SimSun" w:cs="SimSun"/>
          <w:sz w:val="24"/>
          <w:szCs w:val="24"/>
        </w:rPr>
        <w:t>地承载力预测技术指南》（农办牧</w:t>
      </w:r>
      <w:r>
        <w:rPr>
          <w:rFonts w:ascii="Times New Roman" w:hAnsi="Times New Roman" w:eastAsia="Times New Roman" w:cs="Times New Roman"/>
          <w:sz w:val="24"/>
          <w:szCs w:val="24"/>
        </w:rPr>
        <w:t>[2018]1 </w:t>
      </w:r>
      <w:r>
        <w:rPr>
          <w:rFonts w:ascii="SimSun" w:hAnsi="SimSun" w:eastAsia="SimSun" w:cs="SimSun"/>
          <w:sz w:val="24"/>
          <w:szCs w:val="24"/>
        </w:rPr>
        <w:t>号）中的相关内容，</w:t>
      </w:r>
      <w:r>
        <w:rPr>
          <w:rFonts w:ascii="Times New Roman" w:hAnsi="Times New Roman" w:eastAsia="Times New Roman" w:cs="Times New Roman"/>
          <w:sz w:val="24"/>
          <w:szCs w:val="24"/>
        </w:rPr>
        <w:t>―</w:t>
      </w:r>
      <w:r>
        <w:rPr>
          <w:rFonts w:ascii="SimSun" w:hAnsi="SimSun" w:eastAsia="SimSun" w:cs="SimSun"/>
          <w:sz w:val="24"/>
          <w:szCs w:val="24"/>
          <w:spacing w:val="-1"/>
        </w:rPr>
        <w:t>固体粪便堆肥，</w:t>
      </w:r>
      <w:r>
        <w:rPr>
          <w:rFonts w:ascii="SimSun" w:hAnsi="SimSun" w:eastAsia="SimSun" w:cs="SimSun"/>
          <w:sz w:val="24"/>
          <w:szCs w:val="24"/>
        </w:rPr>
        <w:t xml:space="preserve"> </w:t>
      </w:r>
      <w:r>
        <w:rPr>
          <w:rFonts w:ascii="SimSun" w:hAnsi="SimSun" w:eastAsia="SimSun" w:cs="SimSun"/>
          <w:sz w:val="24"/>
          <w:szCs w:val="24"/>
          <w:spacing w:val="-1"/>
        </w:rPr>
        <w:t>厌氧发酵后农田利用为主的，粪污收集处理过程中氮</w:t>
      </w:r>
      <w:r>
        <w:rPr>
          <w:rFonts w:ascii="SimSun" w:hAnsi="SimSun" w:eastAsia="SimSun" w:cs="SimSun"/>
          <w:sz w:val="24"/>
          <w:szCs w:val="24"/>
          <w:spacing w:val="-2"/>
        </w:rPr>
        <w:t>留存率推荐值为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62%</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，磷留</w:t>
      </w:r>
      <w:r>
        <w:rPr>
          <w:rFonts w:ascii="SimSun" w:hAnsi="SimSun" w:eastAsia="SimSun" w:cs="SimSun"/>
          <w:sz w:val="24"/>
          <w:szCs w:val="24"/>
        </w:rPr>
        <w:t xml:space="preserve"> </w:t>
      </w:r>
      <w:r>
        <w:rPr>
          <w:rFonts w:ascii="SimSun" w:hAnsi="SimSun" w:eastAsia="SimSun" w:cs="SimSun"/>
          <w:sz w:val="24"/>
          <w:szCs w:val="24"/>
          <w:spacing w:val="-1"/>
        </w:rPr>
        <w:t>存率为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72%</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，则厌氧发酵后出水中的氮、磷元素含量分别为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w:t>
      </w:r>
      <w:r>
        <w:rPr>
          <w:rFonts w:ascii="Times New Roman" w:hAnsi="Times New Roman" w:eastAsia="Times New Roman" w:cs="Times New Roman"/>
          <w:sz w:val="24"/>
          <w:szCs w:val="24"/>
          <w:spacing w:val="-2"/>
        </w:rPr>
        <w:t>2.99t/a </w:t>
      </w:r>
      <w:r>
        <w:rPr>
          <w:rFonts w:ascii="SimSun" w:hAnsi="SimSun" w:eastAsia="SimSun" w:cs="SimSun"/>
          <w:sz w:val="24"/>
          <w:szCs w:val="24"/>
          <w:spacing w:val="-2"/>
        </w:rPr>
        <w:t>和</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5.24t/a</w:t>
      </w:r>
      <w:r>
        <w:rPr>
          <w:rFonts w:ascii="SimSun" w:hAnsi="SimSun" w:eastAsia="SimSun" w:cs="SimSun"/>
          <w:sz w:val="24"/>
          <w:szCs w:val="24"/>
          <w:spacing w:val="-2"/>
        </w:rPr>
        <w:t>。</w:t>
      </w:r>
    </w:p>
    <w:p>
      <w:pPr>
        <w:ind w:left="81" w:right="99" w:firstLine="481"/>
        <w:spacing w:before="14" w:line="385" w:lineRule="auto"/>
        <w:rPr>
          <w:rFonts w:ascii="SimSun" w:hAnsi="SimSun" w:eastAsia="SimSun" w:cs="SimSun"/>
          <w:sz w:val="24"/>
          <w:szCs w:val="24"/>
        </w:rPr>
      </w:pPr>
      <w:r>
        <w:rPr>
          <w:rFonts w:ascii="SimSun" w:hAnsi="SimSun" w:eastAsia="SimSun" w:cs="SimSun"/>
          <w:sz w:val="24"/>
          <w:szCs w:val="24"/>
          <w:spacing w:val="-3"/>
        </w:rPr>
        <w:t>根据以上系数进行计算，本项目发酵后沼液肥夏季大约需要消纳农田耕地</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3"/>
        </w:rPr>
        <w:t>559</w:t>
      </w:r>
      <w:r>
        <w:rPr>
          <w:rFonts w:ascii="Times New Roman" w:hAnsi="Times New Roman" w:eastAsia="Times New Roman" w:cs="Times New Roman"/>
          <w:sz w:val="24"/>
          <w:szCs w:val="24"/>
        </w:rPr>
        <w:t xml:space="preserve"> </w:t>
      </w:r>
      <w:r>
        <w:rPr>
          <w:rFonts w:ascii="SimSun" w:hAnsi="SimSun" w:eastAsia="SimSun" w:cs="SimSun"/>
          <w:sz w:val="24"/>
          <w:szCs w:val="24"/>
        </w:rPr>
        <w:t>亩（按氮素计）</w:t>
      </w:r>
      <w:r>
        <w:rPr>
          <w:rFonts w:ascii="Times New Roman" w:hAnsi="Times New Roman" w:eastAsia="Times New Roman" w:cs="Times New Roman"/>
          <w:sz w:val="24"/>
          <w:szCs w:val="24"/>
        </w:rPr>
        <w:t>/245 </w:t>
      </w:r>
      <w:r>
        <w:rPr>
          <w:rFonts w:ascii="SimSun" w:hAnsi="SimSun" w:eastAsia="SimSun" w:cs="SimSun"/>
          <w:sz w:val="24"/>
          <w:szCs w:val="24"/>
        </w:rPr>
        <w:t>亩（按磷素计）</w:t>
      </w:r>
      <w:r>
        <w:rPr>
          <w:rFonts w:ascii="SimSun" w:hAnsi="SimSun" w:eastAsia="SimSun" w:cs="SimSun"/>
          <w:sz w:val="24"/>
          <w:szCs w:val="24"/>
          <w:spacing w:val="-1"/>
        </w:rPr>
        <w:t>。冬季需要消纳农田（大棚）约</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382 </w:t>
      </w:r>
      <w:r>
        <w:rPr>
          <w:rFonts w:ascii="SimSun" w:hAnsi="SimSun" w:eastAsia="SimSun" w:cs="SimSun"/>
          <w:sz w:val="24"/>
          <w:szCs w:val="24"/>
          <w:spacing w:val="-1"/>
        </w:rPr>
        <w:t>亩（按</w:t>
      </w:r>
      <w:r>
        <w:rPr>
          <w:rFonts w:ascii="SimSun" w:hAnsi="SimSun" w:eastAsia="SimSun" w:cs="SimSun"/>
          <w:sz w:val="24"/>
          <w:szCs w:val="24"/>
        </w:rPr>
        <w:t xml:space="preserve"> </w:t>
      </w:r>
      <w:r>
        <w:rPr>
          <w:rFonts w:ascii="SimSun" w:hAnsi="SimSun" w:eastAsia="SimSun" w:cs="SimSun"/>
          <w:sz w:val="24"/>
          <w:szCs w:val="24"/>
          <w:spacing w:val="-1"/>
        </w:rPr>
        <w:t>氮素计）</w:t>
      </w:r>
      <w:r>
        <w:rPr>
          <w:rFonts w:ascii="Times New Roman" w:hAnsi="Times New Roman" w:eastAsia="Times New Roman" w:cs="Times New Roman"/>
          <w:sz w:val="24"/>
          <w:szCs w:val="24"/>
          <w:spacing w:val="-1"/>
        </w:rPr>
        <w:t>/191 </w:t>
      </w:r>
      <w:r>
        <w:rPr>
          <w:rFonts w:ascii="SimSun" w:hAnsi="SimSun" w:eastAsia="SimSun" w:cs="SimSun"/>
          <w:sz w:val="24"/>
          <w:szCs w:val="24"/>
          <w:spacing w:val="-1"/>
        </w:rPr>
        <w:t>亩（按磷素计）。</w:t>
      </w:r>
    </w:p>
    <w:p>
      <w:pPr>
        <w:ind w:left="564"/>
        <w:spacing w:line="218" w:lineRule="auto"/>
        <w:rPr>
          <w:rFonts w:ascii="SimSun" w:hAnsi="SimSun" w:eastAsia="SimSun" w:cs="SimSun"/>
          <w:sz w:val="24"/>
          <w:szCs w:val="24"/>
        </w:rPr>
      </w:pPr>
      <w:r>
        <w:rPr>
          <w:rFonts w:ascii="SimSun" w:hAnsi="SimSun" w:eastAsia="SimSun" w:cs="SimSun"/>
          <w:sz w:val="24"/>
          <w:szCs w:val="24"/>
        </w:rPr>
        <w:t>本项目已租赁内蒙古锡林郭勒盟正镶白旗星耀镇</w:t>
      </w:r>
      <w:r>
        <w:rPr>
          <w:rFonts w:ascii="SimSun" w:hAnsi="SimSun" w:eastAsia="SimSun" w:cs="SimSun"/>
          <w:sz w:val="24"/>
          <w:szCs w:val="24"/>
          <w:spacing w:val="-1"/>
        </w:rPr>
        <w:t>查干宝恩木村</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669.6 </w:t>
      </w:r>
      <w:r>
        <w:rPr>
          <w:rFonts w:ascii="SimSun" w:hAnsi="SimSun" w:eastAsia="SimSun" w:cs="SimSun"/>
          <w:sz w:val="24"/>
          <w:szCs w:val="24"/>
          <w:spacing w:val="-1"/>
        </w:rPr>
        <w:t>亩</w:t>
      </w:r>
    </w:p>
    <w:p>
      <w:pPr>
        <w:ind w:left="84" w:firstLine="10"/>
        <w:spacing w:before="213" w:line="385"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44.64hm</w:t>
      </w:r>
      <w:r>
        <w:rPr>
          <w:rFonts w:ascii="Times New Roman" w:hAnsi="Times New Roman" w:eastAsia="Times New Roman" w:cs="Times New Roman"/>
          <w:sz w:val="15"/>
          <w:szCs w:val="15"/>
          <w:spacing w:val="-2"/>
          <w:position w:val="8"/>
        </w:rPr>
        <w:t>2 </w:t>
      </w:r>
      <w:r>
        <w:rPr>
          <w:rFonts w:ascii="SimSun" w:hAnsi="SimSun" w:eastAsia="SimSun" w:cs="SimSun"/>
          <w:sz w:val="24"/>
          <w:szCs w:val="24"/>
          <w:spacing w:val="-37"/>
        </w:rPr>
        <w:t>），</w:t>
      </w:r>
      <w:r>
        <w:rPr>
          <w:rFonts w:ascii="SimSun" w:hAnsi="SimSun" w:eastAsia="SimSun" w:cs="SimSun"/>
          <w:sz w:val="24"/>
          <w:szCs w:val="24"/>
          <w:spacing w:val="-2"/>
        </w:rPr>
        <w:t>液态肥料夏季用于耕地施肥，可满足液肥夏季还田需</w:t>
      </w:r>
      <w:r>
        <w:rPr>
          <w:rFonts w:ascii="SimSun" w:hAnsi="SimSun" w:eastAsia="SimSun" w:cs="SimSun"/>
          <w:sz w:val="24"/>
          <w:szCs w:val="24"/>
          <w:spacing w:val="-3"/>
        </w:rPr>
        <w:t>求。本项目已</w:t>
      </w:r>
      <w:r>
        <w:rPr>
          <w:rFonts w:ascii="SimSun" w:hAnsi="SimSun" w:eastAsia="SimSun" w:cs="SimSun"/>
          <w:sz w:val="24"/>
          <w:szCs w:val="24"/>
        </w:rPr>
        <w:t xml:space="preserve"> </w:t>
      </w:r>
      <w:r>
        <w:rPr>
          <w:rFonts w:ascii="SimSun" w:hAnsi="SimSun" w:eastAsia="SimSun" w:cs="SimSun"/>
          <w:sz w:val="24"/>
          <w:szCs w:val="24"/>
          <w:spacing w:val="-2"/>
        </w:rPr>
        <w:t>租赁内蒙古锡林郭勒盟正镶白旗星耀镇新河村委会永大组</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100 </w:t>
      </w:r>
      <w:r>
        <w:rPr>
          <w:rFonts w:ascii="SimSun" w:hAnsi="SimSun" w:eastAsia="SimSun" w:cs="SimSun"/>
          <w:sz w:val="24"/>
          <w:szCs w:val="24"/>
          <w:spacing w:val="-2"/>
        </w:rPr>
        <w:t>座大棚（约</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2"/>
        </w:rPr>
        <w:t>400 </w:t>
      </w:r>
      <w:r>
        <w:rPr>
          <w:rFonts w:ascii="SimSun" w:hAnsi="SimSun" w:eastAsia="SimSun" w:cs="SimSun"/>
          <w:sz w:val="24"/>
          <w:szCs w:val="24"/>
          <w:spacing w:val="-2"/>
        </w:rPr>
        <w:t>亩）</w:t>
      </w:r>
      <w:r>
        <w:rPr>
          <w:rFonts w:ascii="SimSun" w:hAnsi="SimSun" w:eastAsia="SimSun" w:cs="SimSun"/>
          <w:sz w:val="24"/>
          <w:szCs w:val="24"/>
        </w:rPr>
        <w:t xml:space="preserve"> </w:t>
      </w:r>
      <w:r>
        <w:rPr>
          <w:rFonts w:ascii="SimSun" w:hAnsi="SimSun" w:eastAsia="SimSun" w:cs="SimSun"/>
          <w:sz w:val="24"/>
          <w:szCs w:val="24"/>
          <w:spacing w:val="-2"/>
        </w:rPr>
        <w:t>（见附件</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2"/>
        </w:rPr>
        <w:t>4</w:t>
      </w:r>
      <w:r>
        <w:rPr>
          <w:rFonts w:ascii="SimSun" w:hAnsi="SimSun" w:eastAsia="SimSun" w:cs="SimSun"/>
          <w:sz w:val="24"/>
          <w:szCs w:val="24"/>
          <w:spacing w:val="-12"/>
        </w:rPr>
        <w:t>），</w:t>
      </w:r>
      <w:r>
        <w:rPr>
          <w:rFonts w:ascii="SimSun" w:hAnsi="SimSun" w:eastAsia="SimSun" w:cs="SimSun"/>
          <w:sz w:val="24"/>
          <w:szCs w:val="24"/>
          <w:spacing w:val="-2"/>
        </w:rPr>
        <w:t>具有足够的消纳容量，可满足本项目冬季液肥消纳，项目液肥去向</w:t>
      </w:r>
      <w:r>
        <w:rPr>
          <w:rFonts w:ascii="SimSun" w:hAnsi="SimSun" w:eastAsia="SimSun" w:cs="SimSun"/>
          <w:sz w:val="24"/>
          <w:szCs w:val="24"/>
        </w:rPr>
        <w:t xml:space="preserve"> </w:t>
      </w:r>
      <w:r>
        <w:rPr>
          <w:rFonts w:ascii="SimSun" w:hAnsi="SimSun" w:eastAsia="SimSun" w:cs="SimSun"/>
          <w:sz w:val="24"/>
          <w:szCs w:val="24"/>
        </w:rPr>
        <w:t>可满足《畜禽养殖业污染治理工程技术规范》（</w:t>
      </w:r>
      <w:r>
        <w:rPr>
          <w:rFonts w:ascii="Times New Roman" w:hAnsi="Times New Roman" w:eastAsia="Times New Roman" w:cs="Times New Roman"/>
          <w:sz w:val="24"/>
          <w:szCs w:val="24"/>
        </w:rPr>
        <w:t>HJ/497-2</w:t>
      </w:r>
      <w:r>
        <w:rPr>
          <w:rFonts w:ascii="Times New Roman" w:hAnsi="Times New Roman" w:eastAsia="Times New Roman" w:cs="Times New Roman"/>
          <w:sz w:val="24"/>
          <w:szCs w:val="24"/>
          <w:spacing w:val="-1"/>
        </w:rPr>
        <w:t>009</w:t>
      </w:r>
      <w:r>
        <w:rPr>
          <w:rFonts w:ascii="SimSun" w:hAnsi="SimSun" w:eastAsia="SimSun" w:cs="SimSun"/>
          <w:sz w:val="24"/>
          <w:szCs w:val="24"/>
          <w:spacing w:val="-1"/>
        </w:rPr>
        <w:t>）、《沼肥施用技术</w:t>
      </w:r>
      <w:r>
        <w:rPr>
          <w:rFonts w:ascii="SimSun" w:hAnsi="SimSun" w:eastAsia="SimSun" w:cs="SimSun"/>
          <w:sz w:val="24"/>
          <w:szCs w:val="24"/>
        </w:rPr>
        <w:t xml:space="preserve">  </w:t>
      </w:r>
      <w:r>
        <w:rPr>
          <w:rFonts w:ascii="SimSun" w:hAnsi="SimSun" w:eastAsia="SimSun" w:cs="SimSun"/>
          <w:sz w:val="24"/>
          <w:szCs w:val="24"/>
          <w:spacing w:val="-1"/>
        </w:rPr>
        <w:t>规范》（</w:t>
      </w:r>
      <w:r>
        <w:rPr>
          <w:rFonts w:ascii="Times New Roman" w:hAnsi="Times New Roman" w:eastAsia="Times New Roman" w:cs="Times New Roman"/>
          <w:sz w:val="24"/>
          <w:szCs w:val="24"/>
          <w:spacing w:val="-1"/>
        </w:rPr>
        <w:t>NY/T2065-2011</w:t>
      </w:r>
      <w:r>
        <w:rPr>
          <w:rFonts w:ascii="SimSun" w:hAnsi="SimSun" w:eastAsia="SimSun" w:cs="SimSun"/>
          <w:sz w:val="24"/>
          <w:szCs w:val="24"/>
          <w:spacing w:val="-1"/>
        </w:rPr>
        <w:t>）要求。</w:t>
      </w:r>
    </w:p>
    <w:p>
      <w:pPr>
        <w:ind w:left="2609"/>
        <w:spacing w:before="1"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7.2-3        </w:t>
      </w:r>
      <w:r>
        <w:rPr>
          <w:rFonts w:ascii="SimSun" w:hAnsi="SimSun" w:eastAsia="SimSun" w:cs="SimSun"/>
          <w:sz w:val="24"/>
          <w:szCs w:val="24"/>
          <w:b/>
          <w:bCs/>
          <w:spacing w:val="-2"/>
        </w:rPr>
        <w:t>土地消纳能力一览表</w:t>
      </w:r>
    </w:p>
    <w:p>
      <w:pPr>
        <w:spacing w:line="19" w:lineRule="exact"/>
        <w:rPr/>
      </w:pPr>
      <w:r/>
    </w:p>
    <w:tbl>
      <w:tblPr>
        <w:tblStyle w:val="TableNormal"/>
        <w:tblW w:w="864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84"/>
        <w:gridCol w:w="1540"/>
        <w:gridCol w:w="1855"/>
        <w:gridCol w:w="1308"/>
        <w:gridCol w:w="1149"/>
        <w:gridCol w:w="1134"/>
        <w:gridCol w:w="1077"/>
      </w:tblGrid>
      <w:tr>
        <w:trPr>
          <w:trHeight w:val="546" w:hRule="atLeast"/>
        </w:trPr>
        <w:tc>
          <w:tcPr>
            <w:tcW w:w="584" w:type="dxa"/>
            <w:vAlign w:val="top"/>
          </w:tcPr>
          <w:p>
            <w:pPr>
              <w:pStyle w:val="TableText"/>
              <w:ind w:left="86"/>
              <w:spacing w:before="170" w:line="229" w:lineRule="auto"/>
              <w:rPr/>
            </w:pPr>
            <w:r>
              <w:rPr>
                <w:spacing w:val="5"/>
              </w:rPr>
              <w:t>序号</w:t>
            </w:r>
          </w:p>
        </w:tc>
        <w:tc>
          <w:tcPr>
            <w:tcW w:w="1540" w:type="dxa"/>
            <w:vAlign w:val="top"/>
          </w:tcPr>
          <w:p>
            <w:pPr>
              <w:pStyle w:val="TableText"/>
              <w:ind w:left="353"/>
              <w:spacing w:before="170" w:line="228" w:lineRule="auto"/>
              <w:rPr/>
            </w:pPr>
            <w:r>
              <w:rPr>
                <w:spacing w:val="7"/>
              </w:rPr>
              <w:t>植物种类</w:t>
            </w:r>
          </w:p>
        </w:tc>
        <w:tc>
          <w:tcPr>
            <w:tcW w:w="1855" w:type="dxa"/>
            <w:vAlign w:val="top"/>
          </w:tcPr>
          <w:p>
            <w:pPr>
              <w:pStyle w:val="TableText"/>
              <w:ind w:left="63"/>
              <w:spacing w:before="170" w:line="228" w:lineRule="auto"/>
              <w:rPr/>
            </w:pPr>
            <w:r>
              <w:rPr>
                <w:spacing w:val="8"/>
              </w:rPr>
              <w:t>土地养分需求量</w:t>
            </w:r>
            <w:r>
              <w:rPr>
                <w:rFonts w:ascii="Times New Roman" w:hAnsi="Times New Roman" w:eastAsia="Times New Roman" w:cs="Times New Roman"/>
                <w:spacing w:val="8"/>
              </w:rPr>
              <w:t>/</w:t>
            </w:r>
            <w:r>
              <w:rPr>
                <w:spacing w:val="8"/>
              </w:rPr>
              <w:t>亩</w:t>
            </w:r>
          </w:p>
        </w:tc>
        <w:tc>
          <w:tcPr>
            <w:tcW w:w="1308" w:type="dxa"/>
            <w:vAlign w:val="top"/>
          </w:tcPr>
          <w:p>
            <w:pPr>
              <w:pStyle w:val="TableText"/>
              <w:ind w:left="33"/>
              <w:spacing w:before="36" w:line="227" w:lineRule="auto"/>
              <w:rPr/>
            </w:pPr>
            <w:r>
              <w:rPr>
                <w:spacing w:val="7"/>
              </w:rPr>
              <w:t>沼肥养分供给</w:t>
            </w:r>
          </w:p>
          <w:p>
            <w:pPr>
              <w:pStyle w:val="TableText"/>
              <w:ind w:left="315"/>
              <w:spacing w:before="25" w:line="211" w:lineRule="auto"/>
              <w:rPr/>
            </w:pPr>
            <w:r>
              <w:rPr>
                <w:spacing w:val="3"/>
              </w:rPr>
              <w:t>量（</w:t>
            </w:r>
            <w:r>
              <w:rPr>
                <w:rFonts w:ascii="Times New Roman" w:hAnsi="Times New Roman" w:eastAsia="Times New Roman" w:cs="Times New Roman"/>
                <w:spacing w:val="3"/>
              </w:rPr>
              <w:t>t</w:t>
            </w:r>
            <w:r>
              <w:rPr>
                <w:spacing w:val="3"/>
              </w:rPr>
              <w:t>）</w:t>
            </w:r>
          </w:p>
        </w:tc>
        <w:tc>
          <w:tcPr>
            <w:tcW w:w="1149" w:type="dxa"/>
            <w:vAlign w:val="top"/>
          </w:tcPr>
          <w:p>
            <w:pPr>
              <w:pStyle w:val="TableText"/>
              <w:ind w:left="67"/>
              <w:spacing w:before="36" w:line="228" w:lineRule="auto"/>
              <w:rPr/>
            </w:pPr>
            <w:r>
              <w:rPr>
                <w:spacing w:val="5"/>
              </w:rPr>
              <w:t>需要土地量</w:t>
            </w:r>
          </w:p>
          <w:p>
            <w:pPr>
              <w:pStyle w:val="TableText"/>
              <w:ind w:left="275"/>
              <w:spacing w:before="23" w:line="211" w:lineRule="auto"/>
              <w:rPr/>
            </w:pPr>
            <w:r>
              <w:rPr>
                <w:spacing w:val="-1"/>
              </w:rPr>
              <w:t>（亩）</w:t>
            </w:r>
          </w:p>
        </w:tc>
        <w:tc>
          <w:tcPr>
            <w:tcW w:w="1134" w:type="dxa"/>
            <w:vAlign w:val="top"/>
          </w:tcPr>
          <w:p>
            <w:pPr>
              <w:pStyle w:val="TableText"/>
              <w:ind w:left="11" w:firstLine="35"/>
              <w:spacing w:before="35" w:line="231" w:lineRule="auto"/>
              <w:rPr/>
            </w:pPr>
            <w:r>
              <w:rPr>
                <w:spacing w:val="-7"/>
              </w:rPr>
              <w:t>本项目承包</w:t>
            </w:r>
            <w:r>
              <w:rPr/>
              <w:t xml:space="preserve">  </w:t>
            </w:r>
            <w:r>
              <w:rPr>
                <w:spacing w:val="-14"/>
              </w:rPr>
              <w:t>土地量（亩）</w:t>
            </w:r>
          </w:p>
        </w:tc>
        <w:tc>
          <w:tcPr>
            <w:tcW w:w="1077" w:type="dxa"/>
            <w:vAlign w:val="top"/>
          </w:tcPr>
          <w:p>
            <w:pPr>
              <w:pStyle w:val="TableText"/>
              <w:ind w:left="230"/>
              <w:spacing w:before="170" w:line="228" w:lineRule="auto"/>
              <w:rPr/>
            </w:pPr>
            <w:r>
              <w:rPr>
                <w:spacing w:val="6"/>
              </w:rPr>
              <w:t>符合性</w:t>
            </w:r>
          </w:p>
        </w:tc>
      </w:tr>
      <w:tr>
        <w:trPr>
          <w:trHeight w:val="273" w:hRule="atLeast"/>
        </w:trPr>
        <w:tc>
          <w:tcPr>
            <w:tcW w:w="584" w:type="dxa"/>
            <w:vAlign w:val="top"/>
            <w:vMerge w:val="restart"/>
            <w:tcBorders>
              <w:bottom w:val="nil"/>
            </w:tcBorders>
          </w:tcPr>
          <w:p>
            <w:pPr>
              <w:ind w:left="261"/>
              <w:spacing w:before="21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540" w:type="dxa"/>
            <w:vAlign w:val="top"/>
            <w:vMerge w:val="restart"/>
            <w:tcBorders>
              <w:bottom w:val="nil"/>
            </w:tcBorders>
          </w:tcPr>
          <w:p>
            <w:pPr>
              <w:pStyle w:val="TableText"/>
              <w:ind w:left="563"/>
              <w:spacing w:before="178" w:line="227" w:lineRule="auto"/>
              <w:rPr/>
            </w:pPr>
            <w:r>
              <w:rPr>
                <w:spacing w:val="4"/>
              </w:rPr>
              <w:t>燕麦</w:t>
            </w:r>
          </w:p>
        </w:tc>
        <w:tc>
          <w:tcPr>
            <w:tcW w:w="1855" w:type="dxa"/>
            <w:vAlign w:val="top"/>
          </w:tcPr>
          <w:p>
            <w:pPr>
              <w:pStyle w:val="TableText"/>
              <w:ind w:left="502"/>
              <w:spacing w:before="39" w:line="206" w:lineRule="auto"/>
              <w:rPr/>
            </w:pPr>
            <w:r>
              <w:rPr>
                <w:rFonts w:ascii="Times New Roman" w:hAnsi="Times New Roman" w:eastAsia="Times New Roman" w:cs="Times New Roman"/>
                <w:spacing w:val="5"/>
              </w:rPr>
              <w:t>38.4</w:t>
            </w:r>
            <w:r>
              <w:rPr>
                <w:rFonts w:ascii="Times New Roman" w:hAnsi="Times New Roman" w:eastAsia="Times New Roman" w:cs="Times New Roman"/>
              </w:rPr>
              <w:t>kg</w:t>
            </w:r>
            <w:r>
              <w:rPr>
                <w:rFonts w:ascii="Times New Roman" w:hAnsi="Times New Roman" w:eastAsia="Times New Roman" w:cs="Times New Roman"/>
                <w:spacing w:val="5"/>
              </w:rPr>
              <w:t>-</w:t>
            </w:r>
            <w:r>
              <w:rPr>
                <w:spacing w:val="5"/>
              </w:rPr>
              <w:t>氮</w:t>
            </w:r>
          </w:p>
        </w:tc>
        <w:tc>
          <w:tcPr>
            <w:tcW w:w="1308" w:type="dxa"/>
            <w:vAlign w:val="top"/>
          </w:tcPr>
          <w:p>
            <w:pPr>
              <w:ind w:left="419"/>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21.49</w:t>
            </w:r>
          </w:p>
        </w:tc>
        <w:tc>
          <w:tcPr>
            <w:tcW w:w="1149" w:type="dxa"/>
            <w:vAlign w:val="top"/>
          </w:tcPr>
          <w:p>
            <w:pPr>
              <w:ind w:left="425"/>
              <w:spacing w:before="7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559</w:t>
            </w:r>
          </w:p>
        </w:tc>
        <w:tc>
          <w:tcPr>
            <w:tcW w:w="1134" w:type="dxa"/>
            <w:vAlign w:val="top"/>
            <w:vMerge w:val="restart"/>
            <w:tcBorders>
              <w:bottom w:val="nil"/>
            </w:tcBorders>
          </w:tcPr>
          <w:p>
            <w:pPr>
              <w:ind w:left="338"/>
              <w:spacing w:before="21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669.6</w:t>
            </w:r>
          </w:p>
        </w:tc>
        <w:tc>
          <w:tcPr>
            <w:tcW w:w="1077" w:type="dxa"/>
            <w:vAlign w:val="top"/>
            <w:vMerge w:val="restart"/>
            <w:tcBorders>
              <w:bottom w:val="nil"/>
            </w:tcBorders>
          </w:tcPr>
          <w:p>
            <w:pPr>
              <w:pStyle w:val="TableText"/>
              <w:ind w:left="122"/>
              <w:spacing w:before="178" w:line="228" w:lineRule="auto"/>
              <w:rPr/>
            </w:pPr>
            <w:r>
              <w:rPr>
                <w:spacing w:val="7"/>
              </w:rPr>
              <w:t>满足要求</w:t>
            </w:r>
          </w:p>
        </w:tc>
      </w:tr>
      <w:tr>
        <w:trPr>
          <w:trHeight w:val="273" w:hRule="atLeast"/>
        </w:trPr>
        <w:tc>
          <w:tcPr>
            <w:tcW w:w="584" w:type="dxa"/>
            <w:vAlign w:val="top"/>
            <w:vMerge w:val="continue"/>
            <w:tcBorders>
              <w:top w:val="nil"/>
            </w:tcBorders>
          </w:tcPr>
          <w:p>
            <w:pPr>
              <w:rPr>
                <w:rFonts w:ascii="Arial"/>
                <w:sz w:val="21"/>
              </w:rPr>
            </w:pPr>
            <w:r/>
          </w:p>
        </w:tc>
        <w:tc>
          <w:tcPr>
            <w:tcW w:w="1540" w:type="dxa"/>
            <w:vAlign w:val="top"/>
            <w:vMerge w:val="continue"/>
            <w:tcBorders>
              <w:top w:val="nil"/>
            </w:tcBorders>
          </w:tcPr>
          <w:p>
            <w:pPr>
              <w:rPr>
                <w:rFonts w:ascii="Arial"/>
                <w:sz w:val="21"/>
              </w:rPr>
            </w:pPr>
            <w:r/>
          </w:p>
        </w:tc>
        <w:tc>
          <w:tcPr>
            <w:tcW w:w="1855" w:type="dxa"/>
            <w:vAlign w:val="top"/>
          </w:tcPr>
          <w:p>
            <w:pPr>
              <w:pStyle w:val="TableText"/>
              <w:ind w:left="518"/>
              <w:spacing w:before="45" w:line="201" w:lineRule="auto"/>
              <w:rPr/>
            </w:pPr>
            <w:r>
              <w:rPr>
                <w:rFonts w:ascii="Times New Roman" w:hAnsi="Times New Roman" w:eastAsia="Times New Roman" w:cs="Times New Roman"/>
                <w:spacing w:val="2"/>
              </w:rPr>
              <w:t>10.7</w:t>
            </w:r>
            <w:r>
              <w:rPr>
                <w:rFonts w:ascii="Times New Roman" w:hAnsi="Times New Roman" w:eastAsia="Times New Roman" w:cs="Times New Roman"/>
              </w:rPr>
              <w:t>kg</w:t>
            </w:r>
            <w:r>
              <w:rPr>
                <w:rFonts w:ascii="Times New Roman" w:hAnsi="Times New Roman" w:eastAsia="Times New Roman" w:cs="Times New Roman"/>
                <w:spacing w:val="2"/>
              </w:rPr>
              <w:t>-</w:t>
            </w:r>
            <w:r>
              <w:rPr>
                <w:spacing w:val="2"/>
              </w:rPr>
              <w:t>磷</w:t>
            </w:r>
          </w:p>
        </w:tc>
        <w:tc>
          <w:tcPr>
            <w:tcW w:w="1308" w:type="dxa"/>
            <w:vAlign w:val="top"/>
          </w:tcPr>
          <w:p>
            <w:pPr>
              <w:ind w:left="469"/>
              <w:spacing w:before="80"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2.62</w:t>
            </w:r>
          </w:p>
        </w:tc>
        <w:tc>
          <w:tcPr>
            <w:tcW w:w="1149" w:type="dxa"/>
            <w:vAlign w:val="top"/>
          </w:tcPr>
          <w:p>
            <w:pPr>
              <w:ind w:left="419"/>
              <w:spacing w:before="80" w:line="19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245</w:t>
            </w:r>
          </w:p>
        </w:tc>
        <w:tc>
          <w:tcPr>
            <w:tcW w:w="1134" w:type="dxa"/>
            <w:vAlign w:val="top"/>
            <w:vMerge w:val="continue"/>
            <w:tcBorders>
              <w:top w:val="nil"/>
            </w:tcBorders>
          </w:tcPr>
          <w:p>
            <w:pPr>
              <w:rPr>
                <w:rFonts w:ascii="Arial"/>
                <w:sz w:val="21"/>
              </w:rPr>
            </w:pPr>
            <w:r/>
          </w:p>
        </w:tc>
        <w:tc>
          <w:tcPr>
            <w:tcW w:w="1077" w:type="dxa"/>
            <w:vAlign w:val="top"/>
            <w:vMerge w:val="continue"/>
            <w:tcBorders>
              <w:top w:val="nil"/>
            </w:tcBorders>
          </w:tcPr>
          <w:p>
            <w:pPr>
              <w:rPr>
                <w:rFonts w:ascii="Arial"/>
                <w:sz w:val="21"/>
              </w:rPr>
            </w:pPr>
            <w:r/>
          </w:p>
        </w:tc>
      </w:tr>
      <w:tr>
        <w:trPr>
          <w:trHeight w:val="274" w:hRule="atLeast"/>
        </w:trPr>
        <w:tc>
          <w:tcPr>
            <w:tcW w:w="584" w:type="dxa"/>
            <w:vAlign w:val="top"/>
          </w:tcPr>
          <w:p>
            <w:pPr>
              <w:ind w:left="241"/>
              <w:spacing w:before="83"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540" w:type="dxa"/>
            <w:vAlign w:val="top"/>
            <w:vMerge w:val="restart"/>
            <w:tcBorders>
              <w:bottom w:val="nil"/>
            </w:tcBorders>
          </w:tcPr>
          <w:p>
            <w:pPr>
              <w:pStyle w:val="TableText"/>
              <w:ind w:left="457"/>
              <w:spacing w:before="52" w:line="228" w:lineRule="auto"/>
              <w:rPr/>
            </w:pPr>
            <w:r>
              <w:rPr>
                <w:spacing w:val="3"/>
              </w:rPr>
              <w:t>樱桃、</w:t>
            </w:r>
          </w:p>
          <w:p>
            <w:pPr>
              <w:pStyle w:val="TableText"/>
              <w:ind w:left="463"/>
              <w:spacing w:before="24" w:line="223" w:lineRule="auto"/>
              <w:rPr/>
            </w:pPr>
            <w:r>
              <w:rPr>
                <w:spacing w:val="5"/>
              </w:rPr>
              <w:t>西红柿</w:t>
            </w:r>
          </w:p>
        </w:tc>
        <w:tc>
          <w:tcPr>
            <w:tcW w:w="1855" w:type="dxa"/>
            <w:vAlign w:val="top"/>
          </w:tcPr>
          <w:p>
            <w:pPr>
              <w:pStyle w:val="TableText"/>
              <w:ind w:left="417"/>
              <w:spacing w:before="47" w:line="200" w:lineRule="auto"/>
              <w:rPr/>
            </w:pPr>
            <w:r>
              <w:rPr>
                <w:rFonts w:ascii="Times New Roman" w:hAnsi="Times New Roman" w:eastAsia="Times New Roman" w:cs="Times New Roman"/>
                <w:spacing w:val="1"/>
              </w:rPr>
              <w:t>56.</w:t>
            </w:r>
            <w:r>
              <w:rPr>
                <w:rFonts w:ascii="Times New Roman" w:hAnsi="Times New Roman" w:eastAsia="Times New Roman" w:cs="Times New Roman"/>
                <w:spacing w:val="-23"/>
              </w:rPr>
              <w:t xml:space="preserve"> </w:t>
            </w:r>
            <w:r>
              <w:rPr>
                <w:rFonts w:ascii="Times New Roman" w:hAnsi="Times New Roman" w:eastAsia="Times New Roman" w:cs="Times New Roman"/>
                <w:spacing w:val="1"/>
              </w:rPr>
              <w:t>16</w:t>
            </w:r>
            <w:r>
              <w:rPr>
                <w:rFonts w:ascii="Times New Roman" w:hAnsi="Times New Roman" w:eastAsia="Times New Roman" w:cs="Times New Roman"/>
              </w:rPr>
              <w:t>kg</w:t>
            </w:r>
            <w:r>
              <w:rPr>
                <w:rFonts w:ascii="Times New Roman" w:hAnsi="Times New Roman" w:eastAsia="Times New Roman" w:cs="Times New Roman"/>
                <w:spacing w:val="1"/>
              </w:rPr>
              <w:t>--</w:t>
            </w:r>
            <w:r>
              <w:rPr>
                <w:spacing w:val="1"/>
              </w:rPr>
              <w:t>氮</w:t>
            </w:r>
          </w:p>
        </w:tc>
        <w:tc>
          <w:tcPr>
            <w:tcW w:w="1308" w:type="dxa"/>
            <w:vAlign w:val="top"/>
          </w:tcPr>
          <w:p>
            <w:pPr>
              <w:ind w:left="419"/>
              <w:spacing w:before="83"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21.49</w:t>
            </w:r>
          </w:p>
        </w:tc>
        <w:tc>
          <w:tcPr>
            <w:tcW w:w="1149" w:type="dxa"/>
            <w:vAlign w:val="top"/>
          </w:tcPr>
          <w:p>
            <w:pPr>
              <w:ind w:left="423"/>
              <w:spacing w:before="83"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382</w:t>
            </w:r>
          </w:p>
        </w:tc>
        <w:tc>
          <w:tcPr>
            <w:tcW w:w="1134" w:type="dxa"/>
            <w:vAlign w:val="top"/>
            <w:vMerge w:val="restart"/>
            <w:tcBorders>
              <w:bottom w:val="nil"/>
            </w:tcBorders>
          </w:tcPr>
          <w:p>
            <w:pPr>
              <w:ind w:left="411"/>
              <w:spacing w:before="22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400</w:t>
            </w:r>
          </w:p>
        </w:tc>
        <w:tc>
          <w:tcPr>
            <w:tcW w:w="1077" w:type="dxa"/>
            <w:vAlign w:val="top"/>
            <w:vMerge w:val="restart"/>
            <w:tcBorders>
              <w:bottom w:val="nil"/>
            </w:tcBorders>
          </w:tcPr>
          <w:p>
            <w:pPr>
              <w:pStyle w:val="TableText"/>
              <w:ind w:left="122"/>
              <w:spacing w:before="188" w:line="228" w:lineRule="auto"/>
              <w:rPr/>
            </w:pPr>
            <w:r>
              <w:rPr>
                <w:spacing w:val="7"/>
              </w:rPr>
              <w:t>满足要求</w:t>
            </w:r>
          </w:p>
        </w:tc>
      </w:tr>
      <w:tr>
        <w:trPr>
          <w:trHeight w:val="296" w:hRule="atLeast"/>
        </w:trPr>
        <w:tc>
          <w:tcPr>
            <w:tcW w:w="584" w:type="dxa"/>
            <w:vAlign w:val="top"/>
            <w:tcBorders>
              <w:bottom w:val="single" w:color="000000" w:sz="10" w:space="0"/>
            </w:tcBorders>
          </w:tcPr>
          <w:p>
            <w:pPr>
              <w:ind w:left="245"/>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540" w:type="dxa"/>
            <w:vAlign w:val="top"/>
            <w:vMerge w:val="continue"/>
            <w:tcBorders>
              <w:bottom w:val="single" w:color="000000" w:sz="10" w:space="0"/>
              <w:top w:val="nil"/>
            </w:tcBorders>
          </w:tcPr>
          <w:p>
            <w:pPr>
              <w:rPr>
                <w:rFonts w:ascii="Arial"/>
                <w:sz w:val="21"/>
              </w:rPr>
            </w:pPr>
            <w:r/>
          </w:p>
        </w:tc>
        <w:tc>
          <w:tcPr>
            <w:tcW w:w="1855" w:type="dxa"/>
            <w:vAlign w:val="top"/>
            <w:tcBorders>
              <w:bottom w:val="single" w:color="000000" w:sz="10" w:space="0"/>
            </w:tcBorders>
          </w:tcPr>
          <w:p>
            <w:pPr>
              <w:pStyle w:val="TableText"/>
              <w:ind w:left="468"/>
              <w:spacing w:before="52" w:line="216" w:lineRule="auto"/>
              <w:rPr/>
            </w:pPr>
            <w:r>
              <w:rPr>
                <w:rFonts w:ascii="Times New Roman" w:hAnsi="Times New Roman" w:eastAsia="Times New Roman" w:cs="Times New Roman"/>
                <w:spacing w:val="2"/>
              </w:rPr>
              <w:t>13.74</w:t>
            </w:r>
            <w:r>
              <w:rPr>
                <w:rFonts w:ascii="Times New Roman" w:hAnsi="Times New Roman" w:eastAsia="Times New Roman" w:cs="Times New Roman"/>
              </w:rPr>
              <w:t>kg</w:t>
            </w:r>
            <w:r>
              <w:rPr>
                <w:rFonts w:ascii="Times New Roman" w:hAnsi="Times New Roman" w:eastAsia="Times New Roman" w:cs="Times New Roman"/>
                <w:spacing w:val="2"/>
              </w:rPr>
              <w:t>-</w:t>
            </w:r>
            <w:r>
              <w:rPr>
                <w:spacing w:val="2"/>
              </w:rPr>
              <w:t>磷</w:t>
            </w:r>
          </w:p>
        </w:tc>
        <w:tc>
          <w:tcPr>
            <w:tcW w:w="1308" w:type="dxa"/>
            <w:vAlign w:val="top"/>
            <w:tcBorders>
              <w:bottom w:val="single" w:color="000000" w:sz="10" w:space="0"/>
            </w:tcBorders>
          </w:tcPr>
          <w:p>
            <w:pPr>
              <w:ind w:left="469"/>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2.62</w:t>
            </w:r>
          </w:p>
        </w:tc>
        <w:tc>
          <w:tcPr>
            <w:tcW w:w="1149" w:type="dxa"/>
            <w:vAlign w:val="top"/>
            <w:tcBorders>
              <w:bottom w:val="single" w:color="000000" w:sz="10" w:space="0"/>
            </w:tcBorders>
          </w:tcPr>
          <w:p>
            <w:pPr>
              <w:ind w:left="439"/>
              <w:spacing w:before="8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191</w:t>
            </w:r>
          </w:p>
        </w:tc>
        <w:tc>
          <w:tcPr>
            <w:tcW w:w="1134" w:type="dxa"/>
            <w:vAlign w:val="top"/>
            <w:vMerge w:val="continue"/>
            <w:tcBorders>
              <w:bottom w:val="single" w:color="000000" w:sz="10" w:space="0"/>
              <w:top w:val="nil"/>
            </w:tcBorders>
          </w:tcPr>
          <w:p>
            <w:pPr>
              <w:rPr>
                <w:rFonts w:ascii="Arial"/>
                <w:sz w:val="21"/>
              </w:rPr>
            </w:pPr>
            <w:r/>
          </w:p>
        </w:tc>
        <w:tc>
          <w:tcPr>
            <w:tcW w:w="1077" w:type="dxa"/>
            <w:vAlign w:val="top"/>
            <w:vMerge w:val="continue"/>
            <w:tcBorders>
              <w:bottom w:val="single" w:color="000000" w:sz="10" w:space="0"/>
              <w:top w:val="nil"/>
            </w:tcBorders>
          </w:tcPr>
          <w:p>
            <w:pPr>
              <w:rPr>
                <w:rFonts w:ascii="Arial"/>
                <w:sz w:val="21"/>
              </w:rPr>
            </w:pPr>
            <w:r/>
          </w:p>
        </w:tc>
      </w:tr>
    </w:tbl>
    <w:p>
      <w:pPr>
        <w:ind w:left="86" w:right="99" w:firstLine="495"/>
        <w:spacing w:before="195" w:line="385" w:lineRule="auto"/>
        <w:rPr>
          <w:rFonts w:ascii="SimSun" w:hAnsi="SimSun" w:eastAsia="SimSun" w:cs="SimSun"/>
          <w:sz w:val="24"/>
          <w:szCs w:val="24"/>
        </w:rPr>
      </w:pPr>
      <w:r>
        <w:rPr>
          <w:rFonts w:ascii="SimSun" w:hAnsi="SimSun" w:eastAsia="SimSun" w:cs="SimSun"/>
          <w:sz w:val="24"/>
          <w:szCs w:val="24"/>
          <w:spacing w:val="-1"/>
        </w:rPr>
        <w:t>因此从土地消纳容量角度分析，项目固液分离后的</w:t>
      </w:r>
      <w:r>
        <w:rPr>
          <w:rFonts w:ascii="SimSun" w:hAnsi="SimSun" w:eastAsia="SimSun" w:cs="SimSun"/>
          <w:sz w:val="24"/>
          <w:szCs w:val="24"/>
          <w:spacing w:val="-2"/>
        </w:rPr>
        <w:t>沼液肥用于规划农田施肥/</w:t>
      </w:r>
      <w:r>
        <w:rPr>
          <w:rFonts w:ascii="SimSun" w:hAnsi="SimSun" w:eastAsia="SimSun" w:cs="SimSun"/>
          <w:sz w:val="24"/>
          <w:szCs w:val="24"/>
        </w:rPr>
        <w:t xml:space="preserve"> </w:t>
      </w:r>
      <w:r>
        <w:rPr>
          <w:rFonts w:ascii="SimSun" w:hAnsi="SimSun" w:eastAsia="SimSun" w:cs="SimSun"/>
          <w:sz w:val="24"/>
          <w:szCs w:val="24"/>
          <w:spacing w:val="-2"/>
        </w:rPr>
        <w:t>大棚施肥土地消纳可行。</w:t>
      </w:r>
    </w:p>
    <w:p>
      <w:pPr>
        <w:ind w:left="82"/>
        <w:spacing w:before="1" w:line="218"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3"/>
        </w:rPr>
        <w:t>7.2.1.5</w:t>
      </w:r>
      <w:r>
        <w:rPr>
          <w:rFonts w:ascii="Times New Roman" w:hAnsi="Times New Roman" w:eastAsia="Times New Roman" w:cs="Times New Roman"/>
          <w:sz w:val="24"/>
          <w:szCs w:val="24"/>
          <w:b/>
          <w:bCs/>
          <w:spacing w:val="33"/>
          <w:w w:val="101"/>
        </w:rPr>
        <w:t xml:space="preserve"> </w:t>
      </w:r>
      <w:r>
        <w:rPr>
          <w:rFonts w:ascii="SimSun" w:hAnsi="SimSun" w:eastAsia="SimSun" w:cs="SimSun"/>
          <w:sz w:val="24"/>
          <w:szCs w:val="24"/>
          <w:b/>
          <w:bCs/>
          <w:spacing w:val="-3"/>
        </w:rPr>
        <w:t>明安图镇污水处理厂依托可行性分析</w:t>
      </w:r>
    </w:p>
    <w:p>
      <w:pPr>
        <w:ind w:left="86" w:right="142" w:firstLine="481"/>
        <w:spacing w:before="215" w:line="388" w:lineRule="auto"/>
        <w:rPr>
          <w:rFonts w:ascii="SimSun" w:hAnsi="SimSun" w:eastAsia="SimSun" w:cs="SimSun"/>
          <w:sz w:val="24"/>
          <w:szCs w:val="24"/>
        </w:rPr>
      </w:pPr>
      <w:r>
        <w:rPr>
          <w:rFonts w:ascii="SimSun" w:hAnsi="SimSun" w:eastAsia="SimSun" w:cs="SimSun"/>
          <w:sz w:val="24"/>
          <w:szCs w:val="24"/>
          <w:spacing w:val="-3"/>
        </w:rPr>
        <w:t>正镶白旗明安图镇污水处理厂坐落于明安图镇西</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4"/>
        </w:rPr>
        <w:t>5</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4"/>
        </w:rPr>
        <w:t>公里处，</w:t>
      </w:r>
      <w:r>
        <w:rPr>
          <w:rFonts w:ascii="SimSun" w:hAnsi="SimSun" w:eastAsia="SimSun" w:cs="SimSun"/>
          <w:sz w:val="24"/>
          <w:szCs w:val="24"/>
          <w:spacing w:val="-71"/>
        </w:rPr>
        <w:t xml:space="preserve"> </w:t>
      </w:r>
      <w:r>
        <w:rPr>
          <w:rFonts w:ascii="SimSun" w:hAnsi="SimSun" w:eastAsia="SimSun" w:cs="SimSun"/>
          <w:sz w:val="24"/>
          <w:szCs w:val="24"/>
          <w:spacing w:val="-4"/>
        </w:rPr>
        <w:t>占地</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50 </w:t>
      </w:r>
      <w:r>
        <w:rPr>
          <w:rFonts w:ascii="SimSun" w:hAnsi="SimSun" w:eastAsia="SimSun" w:cs="SimSun"/>
          <w:sz w:val="24"/>
          <w:szCs w:val="24"/>
          <w:spacing w:val="-4"/>
        </w:rPr>
        <w:t>亩，污</w:t>
      </w:r>
      <w:r>
        <w:rPr>
          <w:rFonts w:ascii="SimSun" w:hAnsi="SimSun" w:eastAsia="SimSun" w:cs="SimSun"/>
          <w:sz w:val="24"/>
          <w:szCs w:val="24"/>
        </w:rPr>
        <w:t xml:space="preserve"> </w:t>
      </w:r>
      <w:r>
        <w:rPr>
          <w:rFonts w:ascii="SimSun" w:hAnsi="SimSun" w:eastAsia="SimSun" w:cs="SimSun"/>
          <w:sz w:val="24"/>
          <w:szCs w:val="24"/>
          <w:spacing w:val="-1"/>
        </w:rPr>
        <w:t>水处理规模为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3000m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，主体处理工艺为</w:t>
      </w:r>
      <w:r>
        <w:rPr>
          <w:rFonts w:ascii="Times New Roman" w:hAnsi="Times New Roman" w:eastAsia="Times New Roman" w:cs="Times New Roman"/>
          <w:sz w:val="24"/>
          <w:szCs w:val="24"/>
          <w:spacing w:val="-1"/>
        </w:rPr>
        <w:t>“A</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24"/>
          <w:szCs w:val="24"/>
          <w:spacing w:val="-1"/>
        </w:rPr>
        <w:t>/O-MBBR </w:t>
      </w:r>
      <w:r>
        <w:rPr>
          <w:rFonts w:ascii="SimSun" w:hAnsi="SimSun" w:eastAsia="SimSun" w:cs="SimSun"/>
          <w:sz w:val="24"/>
          <w:szCs w:val="24"/>
          <w:spacing w:val="-1"/>
        </w:rPr>
        <w:t>生物池</w:t>
      </w:r>
      <w:r>
        <w:rPr>
          <w:rFonts w:ascii="Times New Roman" w:hAnsi="Times New Roman" w:eastAsia="Times New Roman" w:cs="Times New Roman"/>
          <w:sz w:val="24"/>
          <w:szCs w:val="24"/>
          <w:spacing w:val="-1"/>
        </w:rPr>
        <w:t>+</w:t>
      </w:r>
      <w:r>
        <w:rPr>
          <w:rFonts w:ascii="SimSun" w:hAnsi="SimSun" w:eastAsia="SimSun" w:cs="SimSun"/>
          <w:sz w:val="24"/>
          <w:szCs w:val="24"/>
          <w:spacing w:val="-1"/>
        </w:rPr>
        <w:t>超滤</w:t>
      </w:r>
      <w:r>
        <w:rPr>
          <w:rFonts w:ascii="Times New Roman" w:hAnsi="Times New Roman" w:eastAsia="Times New Roman" w:cs="Times New Roman"/>
          <w:sz w:val="24"/>
          <w:szCs w:val="24"/>
          <w:spacing w:val="-1"/>
        </w:rPr>
        <w:t>”</w:t>
      </w:r>
      <w:r>
        <w:rPr>
          <w:rFonts w:ascii="SimSun" w:hAnsi="SimSun" w:eastAsia="SimSun" w:cs="SimSun"/>
          <w:sz w:val="24"/>
          <w:szCs w:val="24"/>
          <w:spacing w:val="-1"/>
        </w:rPr>
        <w:t>出</w:t>
      </w:r>
      <w:r>
        <w:rPr>
          <w:rFonts w:ascii="SimSun" w:hAnsi="SimSun" w:eastAsia="SimSun" w:cs="SimSun"/>
          <w:sz w:val="24"/>
          <w:szCs w:val="24"/>
          <w:spacing w:val="-2"/>
        </w:rPr>
        <w:t>水水质达</w:t>
      </w:r>
    </w:p>
    <w:p>
      <w:pPr>
        <w:spacing w:line="388" w:lineRule="auto"/>
        <w:sectPr>
          <w:headerReference w:type="default" r:id="rId363"/>
          <w:footerReference w:type="default" r:id="rId364"/>
          <w:pgSz w:w="11907" w:h="16840"/>
          <w:pgMar w:top="1567" w:right="1603" w:bottom="1921" w:left="1627" w:header="1221" w:footer="1247" w:gutter="0"/>
        </w:sectPr>
        <w:rPr>
          <w:rFonts w:ascii="SimSun" w:hAnsi="SimSun" w:eastAsia="SimSun" w:cs="SimSun"/>
          <w:sz w:val="24"/>
          <w:szCs w:val="24"/>
        </w:rPr>
      </w:pPr>
    </w:p>
    <w:p>
      <w:pPr>
        <w:pStyle w:val="BodyText"/>
        <w:spacing w:line="266" w:lineRule="auto"/>
        <w:rPr/>
      </w:pPr>
      <w:r>
        <w:pict>
          <v:shape id="_x0000_s1236" style="position:absolute;margin-left:5.39001pt;margin-top:0.710938pt;mso-position-vertical-relative:text;mso-position-horizontal-relative:text;width:425.25pt;height:0.75pt;z-index:252319744;" fillcolor="#000000" filled="true" stroked="false" coordsize="8505,15" coordorigin="0,0" path="m,l8505,0l8505,14l0,14l0,0xe"/>
        </w:pict>
      </w:r>
      <w:r/>
    </w:p>
    <w:p>
      <w:pPr>
        <w:ind w:left="118" w:right="108" w:firstLine="5"/>
        <w:spacing w:before="78" w:line="385" w:lineRule="auto"/>
        <w:rPr>
          <w:rFonts w:ascii="SimSun" w:hAnsi="SimSun" w:eastAsia="SimSun" w:cs="SimSun"/>
          <w:sz w:val="24"/>
          <w:szCs w:val="24"/>
        </w:rPr>
      </w:pPr>
      <w:r>
        <w:rPr>
          <w:rFonts w:ascii="SimSun" w:hAnsi="SimSun" w:eastAsia="SimSun" w:cs="SimSun"/>
          <w:sz w:val="24"/>
          <w:szCs w:val="24"/>
          <w:spacing w:val="-2"/>
        </w:rPr>
        <w:t>到《城镇污水处理厂污染物排放标准》</w:t>
      </w:r>
      <w:r>
        <w:rPr>
          <w:rFonts w:ascii="Times New Roman" w:hAnsi="Times New Roman" w:eastAsia="Times New Roman" w:cs="Times New Roman"/>
          <w:sz w:val="24"/>
          <w:szCs w:val="24"/>
          <w:spacing w:val="-2"/>
        </w:rPr>
        <w:t>GB18918-200</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一级</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A </w:t>
      </w:r>
      <w:r>
        <w:rPr>
          <w:rFonts w:ascii="SimSun" w:hAnsi="SimSun" w:eastAsia="SimSun" w:cs="SimSun"/>
          <w:sz w:val="24"/>
          <w:szCs w:val="24"/>
          <w:spacing w:val="-3"/>
        </w:rPr>
        <w:t>标准。夏季主要供绿</w:t>
      </w:r>
      <w:r>
        <w:rPr>
          <w:rFonts w:ascii="SimSun" w:hAnsi="SimSun" w:eastAsia="SimSun" w:cs="SimSun"/>
          <w:sz w:val="24"/>
          <w:szCs w:val="24"/>
        </w:rPr>
        <w:t xml:space="preserve"> </w:t>
      </w:r>
      <w:r>
        <w:rPr>
          <w:rFonts w:ascii="SimSun" w:hAnsi="SimSun" w:eastAsia="SimSun" w:cs="SimSun"/>
          <w:sz w:val="24"/>
          <w:szCs w:val="24"/>
        </w:rPr>
        <w:t>化用水及景观用水，冬季作为中水回用，剩余部</w:t>
      </w:r>
      <w:r>
        <w:rPr>
          <w:rFonts w:ascii="SimSun" w:hAnsi="SimSun" w:eastAsia="SimSun" w:cs="SimSun"/>
          <w:sz w:val="24"/>
          <w:szCs w:val="24"/>
          <w:spacing w:val="-1"/>
        </w:rPr>
        <w:t>分经入河排污口排入河道。</w:t>
      </w:r>
    </w:p>
    <w:p>
      <w:pPr>
        <w:ind w:left="120" w:right="109" w:firstLine="478"/>
        <w:spacing w:before="5" w:line="384" w:lineRule="auto"/>
        <w:jc w:val="both"/>
        <w:rPr>
          <w:rFonts w:ascii="SimSun" w:hAnsi="SimSun" w:eastAsia="SimSun" w:cs="SimSun"/>
          <w:sz w:val="24"/>
          <w:szCs w:val="24"/>
        </w:rPr>
      </w:pPr>
      <w:r>
        <w:rPr>
          <w:rFonts w:ascii="SimSun" w:hAnsi="SimSun" w:eastAsia="SimSun" w:cs="SimSun"/>
          <w:sz w:val="24"/>
          <w:szCs w:val="24"/>
        </w:rPr>
        <w:t>本项目项目排入明安图镇污水处理厂的废水满足</w:t>
      </w:r>
      <w:r>
        <w:rPr>
          <w:rFonts w:ascii="SimSun" w:hAnsi="SimSun" w:eastAsia="SimSun" w:cs="SimSun"/>
          <w:sz w:val="24"/>
          <w:szCs w:val="24"/>
          <w:spacing w:val="-1"/>
        </w:rPr>
        <w:t>其接收水质、水量要求，本</w:t>
      </w:r>
      <w:r>
        <w:rPr>
          <w:rFonts w:ascii="SimSun" w:hAnsi="SimSun" w:eastAsia="SimSun" w:cs="SimSun"/>
          <w:sz w:val="24"/>
          <w:szCs w:val="24"/>
        </w:rPr>
        <w:t xml:space="preserve">  </w:t>
      </w:r>
      <w:r>
        <w:rPr>
          <w:rFonts w:ascii="SimSun" w:hAnsi="SimSun" w:eastAsia="SimSun" w:cs="SimSun"/>
          <w:sz w:val="24"/>
          <w:szCs w:val="24"/>
          <w:spacing w:val="-3"/>
        </w:rPr>
        <w:t>项目废水排放量为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46.667m</w:t>
      </w:r>
      <w:r>
        <w:rPr>
          <w:rFonts w:ascii="Times New Roman" w:hAnsi="Times New Roman" w:eastAsia="Times New Roman" w:cs="Times New Roman"/>
          <w:sz w:val="15"/>
          <w:szCs w:val="15"/>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，水量仅占正镶白旗明安图镇污水处理厂设计污水处</w:t>
      </w:r>
      <w:r>
        <w:rPr>
          <w:rFonts w:ascii="SimSun" w:hAnsi="SimSun" w:eastAsia="SimSun" w:cs="SimSun"/>
          <w:sz w:val="24"/>
          <w:szCs w:val="24"/>
        </w:rPr>
        <w:t xml:space="preserve"> </w:t>
      </w:r>
      <w:r>
        <w:rPr>
          <w:rFonts w:ascii="SimSun" w:hAnsi="SimSun" w:eastAsia="SimSun" w:cs="SimSun"/>
          <w:sz w:val="24"/>
          <w:szCs w:val="24"/>
          <w:spacing w:val="-4"/>
        </w:rPr>
        <w:t>理能力的</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4"/>
        </w:rPr>
        <w:t>1.55%</w:t>
      </w:r>
      <w:r>
        <w:rPr>
          <w:rFonts w:ascii="SimSun" w:hAnsi="SimSun" w:eastAsia="SimSun" w:cs="SimSun"/>
          <w:sz w:val="24"/>
          <w:szCs w:val="24"/>
          <w:spacing w:val="-4"/>
        </w:rPr>
        <w:t>，正镶白旗明安图镇污水处理厂污水处理余量可以满足本项目污水</w:t>
      </w:r>
      <w:r>
        <w:rPr>
          <w:rFonts w:ascii="SimSun" w:hAnsi="SimSun" w:eastAsia="SimSun" w:cs="SimSun"/>
          <w:sz w:val="24"/>
          <w:szCs w:val="24"/>
        </w:rPr>
        <w:t xml:space="preserve"> </w:t>
      </w:r>
      <w:r>
        <w:rPr>
          <w:rFonts w:ascii="SimSun" w:hAnsi="SimSun" w:eastAsia="SimSun" w:cs="SimSun"/>
          <w:sz w:val="24"/>
          <w:szCs w:val="24"/>
        </w:rPr>
        <w:t>处理需求，因此，项目废水经处理达标后排入正</w:t>
      </w:r>
      <w:r>
        <w:rPr>
          <w:rFonts w:ascii="SimSun" w:hAnsi="SimSun" w:eastAsia="SimSun" w:cs="SimSun"/>
          <w:sz w:val="24"/>
          <w:szCs w:val="24"/>
          <w:spacing w:val="-1"/>
        </w:rPr>
        <w:t>镶白旗明安图镇污水处理厂是可</w:t>
      </w:r>
      <w:r>
        <w:rPr>
          <w:rFonts w:ascii="SimSun" w:hAnsi="SimSun" w:eastAsia="SimSun" w:cs="SimSun"/>
          <w:sz w:val="24"/>
          <w:szCs w:val="24"/>
        </w:rPr>
        <w:t xml:space="preserve">  </w:t>
      </w:r>
      <w:r>
        <w:rPr>
          <w:rFonts w:ascii="SimSun" w:hAnsi="SimSun" w:eastAsia="SimSun" w:cs="SimSun"/>
          <w:sz w:val="24"/>
          <w:szCs w:val="24"/>
          <w:spacing w:val="-5"/>
        </w:rPr>
        <w:t>行的。</w:t>
      </w:r>
    </w:p>
    <w:p>
      <w:pPr>
        <w:ind w:left="118"/>
        <w:spacing w:line="221" w:lineRule="auto"/>
        <w:outlineLvl w:val="2"/>
        <w:rPr>
          <w:rFonts w:ascii="SimHei" w:hAnsi="SimHei" w:eastAsia="SimHei" w:cs="SimHei"/>
          <w:sz w:val="28"/>
          <w:szCs w:val="28"/>
        </w:rPr>
      </w:pPr>
      <w:bookmarkStart w:name="bookmark157" w:id="190"/>
      <w:bookmarkEnd w:id="190"/>
      <w:r>
        <w:rPr>
          <w:rFonts w:ascii="Times New Roman" w:hAnsi="Times New Roman" w:eastAsia="Times New Roman" w:cs="Times New Roman"/>
          <w:sz w:val="28"/>
          <w:szCs w:val="28"/>
          <w:spacing w:val="-1"/>
        </w:rPr>
        <w:t>7.2.2 </w:t>
      </w:r>
      <w:r>
        <w:rPr>
          <w:rFonts w:ascii="SimHei" w:hAnsi="SimHei" w:eastAsia="SimHei" w:cs="SimHei"/>
          <w:sz w:val="28"/>
          <w:szCs w:val="28"/>
          <w:spacing w:val="-1"/>
        </w:rPr>
        <w:t>地下水污染防治措施</w:t>
      </w:r>
    </w:p>
    <w:p>
      <w:pPr>
        <w:pStyle w:val="BodyText"/>
        <w:spacing w:line="279" w:lineRule="auto"/>
        <w:rPr/>
      </w:pPr>
      <w:r/>
    </w:p>
    <w:p>
      <w:pPr>
        <w:ind w:left="116" w:right="106" w:firstLine="480"/>
        <w:spacing w:before="78" w:line="359" w:lineRule="auto"/>
        <w:jc w:val="both"/>
        <w:rPr>
          <w:rFonts w:ascii="SimSun" w:hAnsi="SimSun" w:eastAsia="SimSun" w:cs="SimSun"/>
          <w:sz w:val="24"/>
          <w:szCs w:val="24"/>
        </w:rPr>
      </w:pPr>
      <w:r>
        <w:rPr>
          <w:rFonts w:ascii="SimSun" w:hAnsi="SimSun" w:eastAsia="SimSun" w:cs="SimSun"/>
          <w:sz w:val="24"/>
          <w:szCs w:val="24"/>
          <w:spacing w:val="-2"/>
        </w:rPr>
        <w:t>根据《环境影响评价技术导则 地下水环境》（</w:t>
      </w:r>
      <w:r>
        <w:rPr>
          <w:rFonts w:ascii="Times New Roman" w:hAnsi="Times New Roman" w:eastAsia="Times New Roman" w:cs="Times New Roman"/>
          <w:sz w:val="24"/>
          <w:szCs w:val="24"/>
          <w:spacing w:val="-2"/>
        </w:rPr>
        <w:t>HJ 610-2016</w:t>
      </w:r>
      <w:r>
        <w:rPr>
          <w:rFonts w:ascii="SimSun" w:hAnsi="SimSun" w:eastAsia="SimSun" w:cs="SimSun"/>
          <w:sz w:val="24"/>
          <w:szCs w:val="24"/>
          <w:spacing w:val="-2"/>
        </w:rPr>
        <w:t>）关于地下水环境</w:t>
      </w:r>
      <w:r>
        <w:rPr>
          <w:rFonts w:ascii="SimSun" w:hAnsi="SimSun" w:eastAsia="SimSun" w:cs="SimSun"/>
          <w:sz w:val="24"/>
          <w:szCs w:val="24"/>
          <w:spacing w:val="6"/>
        </w:rPr>
        <w:t xml:space="preserve"> </w:t>
      </w:r>
      <w:r>
        <w:rPr>
          <w:rFonts w:ascii="SimSun" w:hAnsi="SimSun" w:eastAsia="SimSun" w:cs="SimSun"/>
          <w:sz w:val="24"/>
          <w:szCs w:val="24"/>
          <w:spacing w:val="3"/>
        </w:rPr>
        <w:t>保护措施与对策基本要求，地下水环境保护措施与对策应</w:t>
      </w:r>
      <w:r>
        <w:rPr>
          <w:rFonts w:ascii="SimSun" w:hAnsi="SimSun" w:eastAsia="SimSun" w:cs="SimSun"/>
          <w:sz w:val="24"/>
          <w:szCs w:val="24"/>
          <w:spacing w:val="2"/>
        </w:rPr>
        <w:t>当符合《中华人民共和</w:t>
      </w:r>
      <w:r>
        <w:rPr>
          <w:rFonts w:ascii="SimSun" w:hAnsi="SimSun" w:eastAsia="SimSun" w:cs="SimSun"/>
          <w:sz w:val="24"/>
          <w:szCs w:val="24"/>
        </w:rPr>
        <w:t xml:space="preserve"> </w:t>
      </w:r>
      <w:r>
        <w:rPr>
          <w:rFonts w:ascii="SimSun" w:hAnsi="SimSun" w:eastAsia="SimSun" w:cs="SimSun"/>
          <w:sz w:val="24"/>
          <w:szCs w:val="24"/>
        </w:rPr>
        <w:t>国水污染防治法》和《中华人民共和国环境影响评价</w:t>
      </w:r>
      <w:r>
        <w:rPr>
          <w:rFonts w:ascii="SimSun" w:hAnsi="SimSun" w:eastAsia="SimSun" w:cs="SimSun"/>
          <w:sz w:val="24"/>
          <w:szCs w:val="24"/>
          <w:spacing w:val="-1"/>
        </w:rPr>
        <w:t>法》的相关规定，按照</w:t>
      </w:r>
      <w:r>
        <w:rPr>
          <w:rFonts w:ascii="Times New Roman" w:hAnsi="Times New Roman" w:eastAsia="Times New Roman" w:cs="Times New Roman"/>
          <w:sz w:val="24"/>
          <w:szCs w:val="24"/>
          <w:spacing w:val="-1"/>
        </w:rPr>
        <w:t>“</w:t>
      </w:r>
      <w:r>
        <w:rPr>
          <w:rFonts w:ascii="SimSun" w:hAnsi="SimSun" w:eastAsia="SimSun" w:cs="SimSun"/>
          <w:sz w:val="24"/>
          <w:szCs w:val="24"/>
          <w:spacing w:val="-1"/>
        </w:rPr>
        <w:t>源头</w:t>
      </w:r>
      <w:r>
        <w:rPr>
          <w:rFonts w:ascii="SimSun" w:hAnsi="SimSun" w:eastAsia="SimSun" w:cs="SimSun"/>
          <w:sz w:val="24"/>
          <w:szCs w:val="24"/>
        </w:rPr>
        <w:t xml:space="preserve"> </w:t>
      </w:r>
      <w:r>
        <w:rPr>
          <w:rFonts w:ascii="SimSun" w:hAnsi="SimSun" w:eastAsia="SimSun" w:cs="SimSun"/>
          <w:sz w:val="24"/>
          <w:szCs w:val="24"/>
          <w:spacing w:val="-1"/>
        </w:rPr>
        <w:t>控制、分区防控、污染监控、应急响应</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，重点突出饮用水水质安</w:t>
      </w:r>
      <w:r>
        <w:rPr>
          <w:rFonts w:ascii="SimSun" w:hAnsi="SimSun" w:eastAsia="SimSun" w:cs="SimSun"/>
          <w:sz w:val="24"/>
          <w:szCs w:val="24"/>
          <w:spacing w:val="-2"/>
        </w:rPr>
        <w:t>全的规定。</w:t>
      </w:r>
    </w:p>
    <w:p>
      <w:pPr>
        <w:ind w:left="116"/>
        <w:spacing w:before="1"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7.2.2.1 </w:t>
      </w:r>
      <w:r>
        <w:rPr>
          <w:rFonts w:ascii="SimSun" w:hAnsi="SimSun" w:eastAsia="SimSun" w:cs="SimSun"/>
          <w:sz w:val="24"/>
          <w:szCs w:val="24"/>
          <w:b/>
          <w:bCs/>
          <w:spacing w:val="-2"/>
        </w:rPr>
        <w:t>源头控制措施</w:t>
      </w:r>
    </w:p>
    <w:p>
      <w:pPr>
        <w:ind w:left="116" w:right="47" w:firstLine="481"/>
        <w:spacing w:before="182" w:line="359" w:lineRule="auto"/>
        <w:jc w:val="both"/>
        <w:rPr>
          <w:rFonts w:ascii="SimSun" w:hAnsi="SimSun" w:eastAsia="SimSun" w:cs="SimSun"/>
          <w:sz w:val="24"/>
          <w:szCs w:val="24"/>
        </w:rPr>
      </w:pPr>
      <w:r>
        <w:rPr>
          <w:rFonts w:ascii="SimSun" w:hAnsi="SimSun" w:eastAsia="SimSun" w:cs="SimSun"/>
          <w:sz w:val="24"/>
          <w:szCs w:val="24"/>
          <w:spacing w:val="3"/>
        </w:rPr>
        <w:t>严格按照国家相关规范要求，对工艺、管道、设备、污水储存及</w:t>
      </w:r>
      <w:r>
        <w:rPr>
          <w:rFonts w:ascii="SimSun" w:hAnsi="SimSun" w:eastAsia="SimSun" w:cs="SimSun"/>
          <w:sz w:val="24"/>
          <w:szCs w:val="24"/>
          <w:spacing w:val="2"/>
        </w:rPr>
        <w:t>处理构筑物</w:t>
      </w:r>
      <w:r>
        <w:rPr>
          <w:rFonts w:ascii="SimSun" w:hAnsi="SimSun" w:eastAsia="SimSun" w:cs="SimSun"/>
          <w:sz w:val="24"/>
          <w:szCs w:val="24"/>
        </w:rPr>
        <w:t xml:space="preserve"> </w:t>
      </w:r>
      <w:r>
        <w:rPr>
          <w:rFonts w:ascii="SimSun" w:hAnsi="SimSun" w:eastAsia="SimSun" w:cs="SimSun"/>
          <w:sz w:val="24"/>
          <w:szCs w:val="24"/>
          <w:spacing w:val="3"/>
        </w:rPr>
        <w:t>采取相应的措施，以防止和降低可能污染物的跑、冒、滴</w:t>
      </w:r>
      <w:r>
        <w:rPr>
          <w:rFonts w:ascii="SimSun" w:hAnsi="SimSun" w:eastAsia="SimSun" w:cs="SimSun"/>
          <w:sz w:val="24"/>
          <w:szCs w:val="24"/>
          <w:spacing w:val="2"/>
        </w:rPr>
        <w:t>、漏，将废水泄漏的环</w:t>
      </w:r>
      <w:r>
        <w:rPr>
          <w:rFonts w:ascii="SimSun" w:hAnsi="SimSun" w:eastAsia="SimSun" w:cs="SimSun"/>
          <w:sz w:val="24"/>
          <w:szCs w:val="24"/>
        </w:rPr>
        <w:t xml:space="preserve"> </w:t>
      </w:r>
      <w:r>
        <w:rPr>
          <w:rFonts w:ascii="SimSun" w:hAnsi="SimSun" w:eastAsia="SimSun" w:cs="SimSun"/>
          <w:sz w:val="24"/>
          <w:szCs w:val="24"/>
          <w:spacing w:val="-8"/>
        </w:rPr>
        <w:t>境风险事故降低到最低程度；优化排水系统设计；管线铺设尽量采用</w:t>
      </w:r>
      <w:r>
        <w:rPr>
          <w:rFonts w:ascii="Times New Roman" w:hAnsi="Times New Roman" w:eastAsia="Times New Roman" w:cs="Times New Roman"/>
          <w:sz w:val="24"/>
          <w:szCs w:val="24"/>
          <w:spacing w:val="-8"/>
        </w:rPr>
        <w:t>“</w:t>
      </w:r>
      <w:r>
        <w:rPr>
          <w:rFonts w:ascii="SimSun" w:hAnsi="SimSun" w:eastAsia="SimSun" w:cs="SimSun"/>
          <w:sz w:val="24"/>
          <w:szCs w:val="24"/>
          <w:spacing w:val="-8"/>
        </w:rPr>
        <w:t>可视化</w:t>
      </w:r>
      <w:r>
        <w:rPr>
          <w:rFonts w:ascii="Times New Roman" w:hAnsi="Times New Roman" w:eastAsia="Times New Roman" w:cs="Times New Roman"/>
          <w:sz w:val="24"/>
          <w:szCs w:val="24"/>
          <w:spacing w:val="-8"/>
        </w:rPr>
        <w:t>”</w:t>
      </w:r>
      <w:r>
        <w:rPr>
          <w:rFonts w:ascii="SimSun" w:hAnsi="SimSun" w:eastAsia="SimSun" w:cs="SimSun"/>
          <w:sz w:val="24"/>
          <w:szCs w:val="24"/>
          <w:spacing w:val="-8"/>
        </w:rPr>
        <w:t>原则，</w:t>
      </w:r>
      <w:r>
        <w:rPr>
          <w:rFonts w:ascii="SimSun" w:hAnsi="SimSun" w:eastAsia="SimSun" w:cs="SimSun"/>
          <w:sz w:val="24"/>
          <w:szCs w:val="24"/>
          <w:spacing w:val="6"/>
        </w:rPr>
        <w:t xml:space="preserve"> </w:t>
      </w:r>
      <w:r>
        <w:rPr>
          <w:rFonts w:ascii="SimSun" w:hAnsi="SimSun" w:eastAsia="SimSun" w:cs="SimSun"/>
          <w:sz w:val="24"/>
          <w:szCs w:val="24"/>
          <w:spacing w:val="3"/>
        </w:rPr>
        <w:t>即厂区范围内的污水输送管道和物料管道尽可能明管敷设</w:t>
      </w:r>
      <w:r>
        <w:rPr>
          <w:rFonts w:ascii="SimSun" w:hAnsi="SimSun" w:eastAsia="SimSun" w:cs="SimSun"/>
          <w:sz w:val="24"/>
          <w:szCs w:val="24"/>
          <w:spacing w:val="2"/>
        </w:rPr>
        <w:t>，不走暗管，从源头上</w:t>
      </w:r>
      <w:r>
        <w:rPr>
          <w:rFonts w:ascii="SimSun" w:hAnsi="SimSun" w:eastAsia="SimSun" w:cs="SimSun"/>
          <w:sz w:val="24"/>
          <w:szCs w:val="24"/>
        </w:rPr>
        <w:t xml:space="preserve"> </w:t>
      </w:r>
      <w:r>
        <w:rPr>
          <w:rFonts w:ascii="SimSun" w:hAnsi="SimSun" w:eastAsia="SimSun" w:cs="SimSun"/>
          <w:sz w:val="24"/>
          <w:szCs w:val="24"/>
          <w:spacing w:val="-1"/>
        </w:rPr>
        <w:t>降低地下水污染风险。</w:t>
      </w:r>
    </w:p>
    <w:p>
      <w:pPr>
        <w:ind w:left="116"/>
        <w:spacing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7.2.2.2 </w:t>
      </w:r>
      <w:r>
        <w:rPr>
          <w:rFonts w:ascii="SimSun" w:hAnsi="SimSun" w:eastAsia="SimSun" w:cs="SimSun"/>
          <w:sz w:val="24"/>
          <w:szCs w:val="24"/>
          <w:b/>
          <w:bCs/>
          <w:spacing w:val="-2"/>
        </w:rPr>
        <w:t>污染分区防治</w:t>
      </w:r>
    </w:p>
    <w:p>
      <w:pPr>
        <w:ind w:left="609"/>
        <w:spacing w:before="182"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）污染防渗分区</w:t>
      </w:r>
    </w:p>
    <w:p>
      <w:pPr>
        <w:ind w:left="118" w:right="108" w:firstLine="479"/>
        <w:spacing w:before="181" w:line="359" w:lineRule="auto"/>
        <w:rPr>
          <w:rFonts w:ascii="SimSun" w:hAnsi="SimSun" w:eastAsia="SimSun" w:cs="SimSun"/>
          <w:sz w:val="24"/>
          <w:szCs w:val="24"/>
        </w:rPr>
      </w:pPr>
      <w:r>
        <w:rPr>
          <w:rFonts w:ascii="SimSun" w:hAnsi="SimSun" w:eastAsia="SimSun" w:cs="SimSun"/>
          <w:sz w:val="24"/>
          <w:szCs w:val="24"/>
          <w:spacing w:val="-3"/>
        </w:rPr>
        <w:t>根据本项目特点和厂区水文地质条件，本项</w:t>
      </w:r>
      <w:r>
        <w:rPr>
          <w:rFonts w:ascii="SimSun" w:hAnsi="SimSun" w:eastAsia="SimSun" w:cs="SimSun"/>
          <w:sz w:val="24"/>
          <w:szCs w:val="24"/>
          <w:spacing w:val="-4"/>
        </w:rPr>
        <w:t>目厂区包气带防污性能为</w:t>
      </w:r>
      <w:r>
        <w:rPr>
          <w:rFonts w:ascii="Times New Roman" w:hAnsi="Times New Roman" w:eastAsia="Times New Roman" w:cs="Times New Roman"/>
          <w:sz w:val="24"/>
          <w:szCs w:val="24"/>
          <w:spacing w:val="-4"/>
        </w:rPr>
        <w:t>“</w:t>
      </w:r>
      <w:r>
        <w:rPr>
          <w:rFonts w:ascii="SimSun" w:hAnsi="SimSun" w:eastAsia="SimSun" w:cs="SimSun"/>
          <w:sz w:val="24"/>
          <w:szCs w:val="24"/>
          <w:spacing w:val="-4"/>
        </w:rPr>
        <w:t>弱</w:t>
      </w:r>
      <w:r>
        <w:rPr>
          <w:rFonts w:ascii="Times New Roman" w:hAnsi="Times New Roman" w:eastAsia="Times New Roman" w:cs="Times New Roman"/>
          <w:sz w:val="24"/>
          <w:szCs w:val="24"/>
          <w:spacing w:val="-4"/>
        </w:rPr>
        <w:t>”</w:t>
      </w:r>
      <w:r>
        <w:rPr>
          <w:rFonts w:ascii="SimSun" w:hAnsi="SimSun" w:eastAsia="SimSun" w:cs="SimSun"/>
          <w:sz w:val="24"/>
          <w:szCs w:val="24"/>
          <w:spacing w:val="-4"/>
        </w:rPr>
        <w:t>，将</w:t>
      </w:r>
      <w:r>
        <w:rPr>
          <w:rFonts w:ascii="SimSun" w:hAnsi="SimSun" w:eastAsia="SimSun" w:cs="SimSun"/>
          <w:sz w:val="24"/>
          <w:szCs w:val="24"/>
        </w:rPr>
        <w:t xml:space="preserve"> </w:t>
      </w:r>
      <w:r>
        <w:rPr>
          <w:rFonts w:ascii="SimSun" w:hAnsi="SimSun" w:eastAsia="SimSun" w:cs="SimSun"/>
          <w:sz w:val="24"/>
          <w:szCs w:val="24"/>
          <w:spacing w:val="3"/>
        </w:rPr>
        <w:t>本项目地下水污染防治分区划分为重点污染防治</w:t>
      </w:r>
      <w:r>
        <w:rPr>
          <w:rFonts w:ascii="SimSun" w:hAnsi="SimSun" w:eastAsia="SimSun" w:cs="SimSun"/>
          <w:sz w:val="24"/>
          <w:szCs w:val="24"/>
          <w:spacing w:val="2"/>
        </w:rPr>
        <w:t>区、一般污染防治区和简单防渗</w:t>
      </w:r>
      <w:r>
        <w:rPr>
          <w:rFonts w:ascii="SimSun" w:hAnsi="SimSun" w:eastAsia="SimSun" w:cs="SimSun"/>
          <w:sz w:val="24"/>
          <w:szCs w:val="24"/>
        </w:rPr>
        <w:t xml:space="preserve"> </w:t>
      </w:r>
      <w:r>
        <w:rPr>
          <w:rFonts w:ascii="SimSun" w:hAnsi="SimSun" w:eastAsia="SimSun" w:cs="SimSun"/>
          <w:sz w:val="24"/>
          <w:szCs w:val="24"/>
          <w:spacing w:val="-1"/>
        </w:rPr>
        <w:t>区，如表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7.2-4 </w:t>
      </w:r>
      <w:r>
        <w:rPr>
          <w:rFonts w:ascii="SimSun" w:hAnsi="SimSun" w:eastAsia="SimSun" w:cs="SimSun"/>
          <w:sz w:val="24"/>
          <w:szCs w:val="24"/>
          <w:spacing w:val="-1"/>
        </w:rPr>
        <w:t>所示。本项目污染防渗分区图详见图</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7.2-1</w:t>
      </w:r>
      <w:r>
        <w:rPr>
          <w:rFonts w:ascii="SimSun" w:hAnsi="SimSun" w:eastAsia="SimSun" w:cs="SimSun"/>
          <w:sz w:val="24"/>
          <w:szCs w:val="24"/>
          <w:spacing w:val="-1"/>
        </w:rPr>
        <w:t>。</w:t>
      </w:r>
    </w:p>
    <w:p>
      <w:pPr>
        <w:ind w:left="2341"/>
        <w:spacing w:before="1"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7.2-4      </w:t>
      </w:r>
      <w:r>
        <w:rPr>
          <w:rFonts w:ascii="SimSun" w:hAnsi="SimSun" w:eastAsia="SimSun" w:cs="SimSun"/>
          <w:sz w:val="24"/>
          <w:szCs w:val="24"/>
          <w:b/>
          <w:bCs/>
          <w:spacing w:val="-2"/>
        </w:rPr>
        <w:t>本项目厂区污染防渗分区表</w:t>
      </w:r>
    </w:p>
    <w:tbl>
      <w:tblPr>
        <w:tblStyle w:val="TableNormal"/>
        <w:tblW w:w="871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79"/>
        <w:gridCol w:w="2295"/>
        <w:gridCol w:w="3921"/>
        <w:gridCol w:w="1520"/>
      </w:tblGrid>
      <w:tr>
        <w:trPr>
          <w:trHeight w:val="277" w:hRule="atLeast"/>
        </w:trPr>
        <w:tc>
          <w:tcPr>
            <w:tcW w:w="979" w:type="dxa"/>
            <w:vAlign w:val="top"/>
          </w:tcPr>
          <w:p>
            <w:pPr>
              <w:pStyle w:val="TableText"/>
              <w:ind w:left="88"/>
              <w:spacing w:before="37" w:line="212" w:lineRule="auto"/>
              <w:rPr/>
            </w:pPr>
            <w:r>
              <w:rPr>
                <w:spacing w:val="4"/>
              </w:rPr>
              <w:t>防渗分区</w:t>
            </w:r>
          </w:p>
        </w:tc>
        <w:tc>
          <w:tcPr>
            <w:tcW w:w="2295" w:type="dxa"/>
            <w:vAlign w:val="top"/>
          </w:tcPr>
          <w:p>
            <w:pPr>
              <w:pStyle w:val="TableText"/>
              <w:ind w:left="733"/>
              <w:spacing w:before="37" w:line="212" w:lineRule="auto"/>
              <w:rPr/>
            </w:pPr>
            <w:r>
              <w:rPr>
                <w:spacing w:val="6"/>
              </w:rPr>
              <w:t>工程单元</w:t>
            </w:r>
          </w:p>
        </w:tc>
        <w:tc>
          <w:tcPr>
            <w:tcW w:w="3921" w:type="dxa"/>
            <w:vAlign w:val="top"/>
          </w:tcPr>
          <w:p>
            <w:pPr>
              <w:pStyle w:val="TableText"/>
              <w:ind w:left="1559"/>
              <w:spacing w:before="37" w:line="212" w:lineRule="auto"/>
              <w:rPr/>
            </w:pPr>
            <w:r>
              <w:rPr>
                <w:spacing w:val="4"/>
              </w:rPr>
              <w:t>防渗要求</w:t>
            </w:r>
          </w:p>
        </w:tc>
        <w:tc>
          <w:tcPr>
            <w:tcW w:w="1520" w:type="dxa"/>
            <w:vAlign w:val="top"/>
          </w:tcPr>
          <w:p>
            <w:pPr>
              <w:pStyle w:val="TableText"/>
              <w:ind w:left="558"/>
              <w:spacing w:before="37" w:line="212" w:lineRule="auto"/>
              <w:rPr/>
            </w:pPr>
            <w:r>
              <w:rPr>
                <w:spacing w:val="3"/>
              </w:rPr>
              <w:t>备注</w:t>
            </w:r>
          </w:p>
        </w:tc>
      </w:tr>
      <w:tr>
        <w:trPr>
          <w:trHeight w:val="1079" w:hRule="atLeast"/>
        </w:trPr>
        <w:tc>
          <w:tcPr>
            <w:tcW w:w="979" w:type="dxa"/>
            <w:vAlign w:val="top"/>
            <w:vMerge w:val="restart"/>
            <w:tcBorders>
              <w:bottom w:val="nil"/>
            </w:tcBorders>
          </w:tcPr>
          <w:p>
            <w:pPr>
              <w:spacing w:line="381" w:lineRule="auto"/>
              <w:rPr>
                <w:rFonts w:ascii="Arial"/>
                <w:sz w:val="21"/>
              </w:rPr>
            </w:pPr>
            <w:r/>
          </w:p>
          <w:p>
            <w:pPr>
              <w:pStyle w:val="TableText"/>
              <w:ind w:left="191" w:right="68" w:hanging="115"/>
              <w:spacing w:before="65" w:line="254" w:lineRule="auto"/>
              <w:rPr/>
            </w:pPr>
            <w:r>
              <w:rPr>
                <w:spacing w:val="7"/>
              </w:rPr>
              <w:t>重点污染</w:t>
            </w:r>
            <w:r>
              <w:rPr/>
              <w:t xml:space="preserve"> </w:t>
            </w:r>
            <w:r>
              <w:rPr>
                <w:spacing w:val="2"/>
              </w:rPr>
              <w:t>防渗区</w:t>
            </w:r>
          </w:p>
        </w:tc>
        <w:tc>
          <w:tcPr>
            <w:tcW w:w="2295" w:type="dxa"/>
            <w:vAlign w:val="top"/>
          </w:tcPr>
          <w:p>
            <w:pPr>
              <w:spacing w:line="375" w:lineRule="auto"/>
              <w:rPr>
                <w:rFonts w:ascii="Arial"/>
                <w:sz w:val="21"/>
              </w:rPr>
            </w:pPr>
            <w:r/>
          </w:p>
          <w:p>
            <w:pPr>
              <w:pStyle w:val="TableText"/>
              <w:ind w:left="419"/>
              <w:spacing w:before="65" w:line="228" w:lineRule="auto"/>
              <w:rPr/>
            </w:pPr>
            <w:r>
              <w:rPr>
                <w:spacing w:val="8"/>
              </w:rPr>
              <w:t>危险废物暂存间</w:t>
            </w:r>
          </w:p>
        </w:tc>
        <w:tc>
          <w:tcPr>
            <w:tcW w:w="3921" w:type="dxa"/>
            <w:vAlign w:val="top"/>
          </w:tcPr>
          <w:p>
            <w:pPr>
              <w:pStyle w:val="TableText"/>
              <w:ind w:right="1"/>
              <w:spacing w:before="35" w:line="228" w:lineRule="auto"/>
              <w:jc w:val="right"/>
              <w:rPr/>
            </w:pPr>
            <w:r>
              <w:rPr>
                <w:spacing w:val="4"/>
              </w:rPr>
              <w:t>防渗层为至少</w:t>
            </w:r>
            <w:r>
              <w:rPr>
                <w:spacing w:val="-9"/>
              </w:rPr>
              <w:t xml:space="preserve"> </w:t>
            </w:r>
            <w:r>
              <w:rPr>
                <w:rFonts w:ascii="Times New Roman" w:hAnsi="Times New Roman" w:eastAsia="Times New Roman" w:cs="Times New Roman"/>
                <w:spacing w:val="4"/>
              </w:rPr>
              <w:t>1m</w:t>
            </w:r>
            <w:r>
              <w:rPr>
                <w:rFonts w:ascii="Times New Roman" w:hAnsi="Times New Roman" w:eastAsia="Times New Roman" w:cs="Times New Roman"/>
                <w:spacing w:val="17"/>
              </w:rPr>
              <w:t xml:space="preserve"> </w:t>
            </w:r>
            <w:r>
              <w:rPr>
                <w:spacing w:val="4"/>
              </w:rPr>
              <w:t>厚黏土层（渗透系数不大</w:t>
            </w:r>
          </w:p>
          <w:p>
            <w:pPr>
              <w:pStyle w:val="TableText"/>
              <w:ind w:left="56"/>
              <w:spacing w:before="26" w:line="228" w:lineRule="auto"/>
              <w:rPr/>
            </w:pPr>
            <w:r>
              <w:rPr>
                <w:spacing w:val="4"/>
              </w:rPr>
              <w:t>于</w:t>
            </w:r>
            <w:r>
              <w:rPr>
                <w:spacing w:val="-23"/>
              </w:rPr>
              <w:t xml:space="preserve"> </w:t>
            </w:r>
            <w:r>
              <w:rPr>
                <w:rFonts w:ascii="Times New Roman" w:hAnsi="Times New Roman" w:eastAsia="Times New Roman" w:cs="Times New Roman"/>
                <w:spacing w:val="4"/>
              </w:rPr>
              <w:t>10</w:t>
            </w:r>
            <w:r>
              <w:rPr>
                <w:rFonts w:ascii="Times New Roman" w:hAnsi="Times New Roman" w:eastAsia="Times New Roman" w:cs="Times New Roman"/>
                <w:sz w:val="13"/>
                <w:szCs w:val="13"/>
                <w:spacing w:val="4"/>
                <w:position w:val="6"/>
              </w:rPr>
              <w:t>-7</w:t>
            </w:r>
            <w:r>
              <w:rPr>
                <w:rFonts w:ascii="Times New Roman" w:hAnsi="Times New Roman" w:eastAsia="Times New Roman" w:cs="Times New Roman"/>
              </w:rPr>
              <w:t>cm</w:t>
            </w:r>
            <w:r>
              <w:rPr>
                <w:rFonts w:ascii="Times New Roman" w:hAnsi="Times New Roman" w:eastAsia="Times New Roman" w:cs="Times New Roman"/>
                <w:spacing w:val="4"/>
              </w:rPr>
              <w:t>/s</w:t>
            </w:r>
            <w:r>
              <w:rPr>
                <w:spacing w:val="22"/>
              </w:rPr>
              <w:t>），</w:t>
            </w:r>
            <w:r>
              <w:rPr>
                <w:spacing w:val="4"/>
              </w:rPr>
              <w:t>或至少</w:t>
            </w:r>
            <w:r>
              <w:rPr>
                <w:spacing w:val="-43"/>
              </w:rPr>
              <w:t xml:space="preserve"> </w:t>
            </w:r>
            <w:r>
              <w:rPr>
                <w:rFonts w:ascii="Times New Roman" w:hAnsi="Times New Roman" w:eastAsia="Times New Roman" w:cs="Times New Roman"/>
                <w:spacing w:val="4"/>
              </w:rPr>
              <w:t>2</w:t>
            </w:r>
            <w:r>
              <w:rPr>
                <w:rFonts w:ascii="Times New Roman" w:hAnsi="Times New Roman" w:eastAsia="Times New Roman" w:cs="Times New Roman"/>
              </w:rPr>
              <w:t>mm</w:t>
            </w:r>
            <w:r>
              <w:rPr>
                <w:rFonts w:ascii="Times New Roman" w:hAnsi="Times New Roman" w:eastAsia="Times New Roman" w:cs="Times New Roman"/>
                <w:spacing w:val="20"/>
              </w:rPr>
              <w:t xml:space="preserve"> </w:t>
            </w:r>
            <w:r>
              <w:rPr>
                <w:spacing w:val="4"/>
              </w:rPr>
              <w:t>厚高密度聚乙</w:t>
            </w:r>
          </w:p>
          <w:p>
            <w:pPr>
              <w:pStyle w:val="TableText"/>
              <w:ind w:left="181"/>
              <w:spacing w:before="24" w:line="227" w:lineRule="auto"/>
              <w:rPr/>
            </w:pPr>
            <w:r>
              <w:rPr>
                <w:spacing w:val="9"/>
              </w:rPr>
              <w:t>烯膜等人工防渗材料（渗透系数不大于</w:t>
            </w:r>
          </w:p>
          <w:p>
            <w:pPr>
              <w:pStyle w:val="TableText"/>
              <w:ind w:left="120"/>
              <w:spacing w:before="28" w:line="198" w:lineRule="auto"/>
              <w:rPr/>
            </w:pPr>
            <w:r>
              <w:rPr>
                <w:rFonts w:ascii="Times New Roman" w:hAnsi="Times New Roman" w:eastAsia="Times New Roman" w:cs="Times New Roman"/>
                <w:spacing w:val="6"/>
              </w:rPr>
              <w:t>10</w:t>
            </w:r>
            <w:r>
              <w:rPr>
                <w:rFonts w:ascii="Times New Roman" w:hAnsi="Times New Roman" w:eastAsia="Times New Roman" w:cs="Times New Roman"/>
                <w:sz w:val="13"/>
                <w:szCs w:val="13"/>
                <w:spacing w:val="6"/>
                <w:position w:val="6"/>
              </w:rPr>
              <w:t>-10</w:t>
            </w:r>
            <w:r>
              <w:rPr>
                <w:rFonts w:ascii="Times New Roman" w:hAnsi="Times New Roman" w:eastAsia="Times New Roman" w:cs="Times New Roman"/>
              </w:rPr>
              <w:t>cm</w:t>
            </w:r>
            <w:r>
              <w:rPr>
                <w:rFonts w:ascii="Times New Roman" w:hAnsi="Times New Roman" w:eastAsia="Times New Roman" w:cs="Times New Roman"/>
                <w:spacing w:val="6"/>
              </w:rPr>
              <w:t>/s</w:t>
            </w:r>
            <w:r>
              <w:rPr>
                <w:spacing w:val="16"/>
              </w:rPr>
              <w:t>），</w:t>
            </w:r>
            <w:r>
              <w:rPr>
                <w:spacing w:val="6"/>
              </w:rPr>
              <w:t>或其他防渗性能等效的材料</w:t>
            </w:r>
          </w:p>
        </w:tc>
        <w:tc>
          <w:tcPr>
            <w:tcW w:w="1520" w:type="dxa"/>
            <w:vAlign w:val="top"/>
          </w:tcPr>
          <w:p>
            <w:pPr>
              <w:spacing w:line="419" w:lineRule="auto"/>
              <w:rPr>
                <w:rFonts w:ascii="Arial"/>
                <w:sz w:val="21"/>
              </w:rPr>
            </w:pPr>
            <w:r/>
          </w:p>
          <w:p>
            <w:pPr>
              <w:ind w:left="110"/>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5"/>
              </w:rPr>
              <w:t>18597-2023</w:t>
            </w:r>
          </w:p>
        </w:tc>
      </w:tr>
      <w:tr>
        <w:trPr>
          <w:trHeight w:val="294" w:hRule="atLeast"/>
        </w:trPr>
        <w:tc>
          <w:tcPr>
            <w:tcW w:w="979" w:type="dxa"/>
            <w:vAlign w:val="top"/>
            <w:vMerge w:val="continue"/>
            <w:tcBorders>
              <w:bottom w:val="single" w:color="000000" w:sz="10" w:space="0"/>
              <w:top w:val="nil"/>
            </w:tcBorders>
          </w:tcPr>
          <w:p>
            <w:pPr>
              <w:rPr>
                <w:rFonts w:ascii="Arial"/>
                <w:sz w:val="21"/>
              </w:rPr>
            </w:pPr>
            <w:r/>
          </w:p>
        </w:tc>
        <w:tc>
          <w:tcPr>
            <w:tcW w:w="2295" w:type="dxa"/>
            <w:vAlign w:val="top"/>
            <w:tcBorders>
              <w:bottom w:val="single" w:color="000000" w:sz="10" w:space="0"/>
            </w:tcBorders>
          </w:tcPr>
          <w:p>
            <w:pPr>
              <w:pStyle w:val="TableText"/>
              <w:spacing w:before="51" w:line="215" w:lineRule="auto"/>
              <w:jc w:val="right"/>
              <w:rPr/>
            </w:pPr>
            <w:r>
              <w:rPr>
                <w:spacing w:val="6"/>
              </w:rPr>
              <w:t>洗毛车间、废水收集池、</w:t>
            </w:r>
          </w:p>
        </w:tc>
        <w:tc>
          <w:tcPr>
            <w:tcW w:w="3921" w:type="dxa"/>
            <w:vAlign w:val="top"/>
            <w:tcBorders>
              <w:bottom w:val="single" w:color="000000" w:sz="10" w:space="0"/>
            </w:tcBorders>
          </w:tcPr>
          <w:p>
            <w:pPr>
              <w:pStyle w:val="TableText"/>
              <w:ind w:left="134"/>
              <w:spacing w:before="51" w:line="215" w:lineRule="auto"/>
              <w:rPr>
                <w:rFonts w:ascii="Times New Roman" w:hAnsi="Times New Roman" w:eastAsia="Times New Roman" w:cs="Times New Roman"/>
              </w:rPr>
            </w:pPr>
            <w:r>
              <w:rPr>
                <w:spacing w:val="5"/>
              </w:rPr>
              <w:t>等效黏土防渗层</w:t>
            </w:r>
            <w:r>
              <w:rPr>
                <w:spacing w:val="-37"/>
              </w:rPr>
              <w:t xml:space="preserve"> </w:t>
            </w:r>
            <w:r>
              <w:rPr>
                <w:rFonts w:ascii="Times New Roman" w:hAnsi="Times New Roman" w:eastAsia="Times New Roman" w:cs="Times New Roman"/>
                <w:spacing w:val="5"/>
              </w:rPr>
              <w:t>M≥6.0m</w:t>
            </w:r>
            <w:r>
              <w:rPr>
                <w:rFonts w:ascii="Times New Roman" w:hAnsi="Times New Roman" w:eastAsia="Times New Roman" w:cs="Times New Roman"/>
                <w:spacing w:val="-24"/>
              </w:rPr>
              <w:t xml:space="preserve"> </w:t>
            </w:r>
            <w:r>
              <w:rPr>
                <w:spacing w:val="5"/>
              </w:rPr>
              <w:t>，</w:t>
            </w:r>
            <w:r>
              <w:rPr>
                <w:rFonts w:ascii="Times New Roman" w:hAnsi="Times New Roman" w:eastAsia="Times New Roman" w:cs="Times New Roman"/>
                <w:spacing w:val="5"/>
              </w:rPr>
              <w:t>K≤1×10</w:t>
            </w:r>
            <w:r>
              <w:rPr>
                <w:rFonts w:ascii="Times New Roman" w:hAnsi="Times New Roman" w:eastAsia="Times New Roman" w:cs="Times New Roman"/>
                <w:sz w:val="13"/>
                <w:szCs w:val="13"/>
                <w:spacing w:val="5"/>
                <w:position w:val="6"/>
              </w:rPr>
              <w:t>-7</w:t>
            </w:r>
            <w:r>
              <w:rPr>
                <w:rFonts w:ascii="Times New Roman" w:hAnsi="Times New Roman" w:eastAsia="Times New Roman" w:cs="Times New Roman"/>
              </w:rPr>
              <w:t>cm</w:t>
            </w:r>
            <w:r>
              <w:rPr>
                <w:rFonts w:ascii="Times New Roman" w:hAnsi="Times New Roman" w:eastAsia="Times New Roman" w:cs="Times New Roman"/>
                <w:spacing w:val="5"/>
              </w:rPr>
              <w:t>/s</w:t>
            </w:r>
          </w:p>
        </w:tc>
        <w:tc>
          <w:tcPr>
            <w:tcW w:w="1520" w:type="dxa"/>
            <w:vAlign w:val="top"/>
            <w:tcBorders>
              <w:bottom w:val="single" w:color="000000" w:sz="10" w:space="0"/>
            </w:tcBorders>
          </w:tcPr>
          <w:p>
            <w:pPr>
              <w:pStyle w:val="TableText"/>
              <w:ind w:left="15"/>
              <w:spacing w:before="51" w:line="215" w:lineRule="auto"/>
              <w:rPr>
                <w:rFonts w:ascii="Times New Roman" w:hAnsi="Times New Roman" w:eastAsia="Times New Roman" w:cs="Times New Roman"/>
              </w:rPr>
            </w:pPr>
            <w:r>
              <w:rPr>
                <w:spacing w:val="6"/>
              </w:rPr>
              <w:t>或参照</w:t>
            </w:r>
            <w:r>
              <w:rPr>
                <w:spacing w:val="-39"/>
              </w:rPr>
              <w:t xml:space="preserve"> </w:t>
            </w:r>
            <w:r>
              <w:rPr>
                <w:rFonts w:ascii="Times New Roman" w:hAnsi="Times New Roman" w:eastAsia="Times New Roman" w:cs="Times New Roman"/>
              </w:rPr>
              <w:t>GB</w:t>
            </w:r>
            <w:r>
              <w:rPr>
                <w:rFonts w:ascii="Times New Roman" w:hAnsi="Times New Roman" w:eastAsia="Times New Roman" w:cs="Times New Roman"/>
                <w:spacing w:val="6"/>
              </w:rPr>
              <w:t>18598</w:t>
            </w:r>
          </w:p>
        </w:tc>
      </w:tr>
    </w:tbl>
    <w:p>
      <w:pPr>
        <w:ind w:left="115"/>
        <w:spacing w:before="277" w:line="227" w:lineRule="auto"/>
        <w:rPr>
          <w:rFonts w:ascii="SimSun" w:hAnsi="SimSun" w:eastAsia="SimSun" w:cs="SimSun"/>
          <w:sz w:val="19"/>
          <w:szCs w:val="19"/>
        </w:rPr>
      </w:pPr>
      <w:r>
        <w:pict>
          <v:shape id="_x0000_s1238" style="position:absolute;margin-left:164.72pt;margin-top:12.881pt;mso-position-vertical-relative:text;mso-position-horizontal-relative:text;width:61pt;height:13.75pt;z-index:25231872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273</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365"/>
          <w:footerReference w:type="default" r:id="rId3"/>
          <w:pgSz w:w="11907" w:h="16840"/>
          <w:pgMar w:top="1567" w:right="1593" w:bottom="400" w:left="1593" w:header="1221" w:footer="0" w:gutter="0"/>
        </w:sectPr>
        <w:rPr>
          <w:rFonts w:ascii="SimSun" w:hAnsi="SimSun" w:eastAsia="SimSun" w:cs="SimSun"/>
          <w:sz w:val="19"/>
          <w:szCs w:val="19"/>
        </w:rPr>
      </w:pPr>
    </w:p>
    <w:p>
      <w:pPr>
        <w:spacing w:line="133" w:lineRule="exact"/>
        <w:rPr/>
      </w:pPr>
      <w:r>
        <w:pict>
          <v:shape id="_x0000_s1242" style="position:absolute;margin-left:85.05pt;margin-top:78.87pt;mso-position-vertical-relative:page;mso-position-horizontal-relative:page;width:425.25pt;height:0.75pt;z-index:252321792;" o:allowincell="f" fillcolor="#000000" filled="true" stroked="false" coordsize="8505,15" coordorigin="0,0" path="m,l8505,0l8505,14l0,14l0,0xe"/>
        </w:pict>
      </w:r>
      <w:r/>
    </w:p>
    <w:tbl>
      <w:tblPr>
        <w:tblStyle w:val="TableNormal"/>
        <w:tblW w:w="871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79"/>
        <w:gridCol w:w="2295"/>
        <w:gridCol w:w="3921"/>
        <w:gridCol w:w="1520"/>
      </w:tblGrid>
      <w:tr>
        <w:trPr>
          <w:trHeight w:val="281" w:hRule="atLeast"/>
        </w:trPr>
        <w:tc>
          <w:tcPr>
            <w:tcW w:w="979" w:type="dxa"/>
            <w:vAlign w:val="top"/>
          </w:tcPr>
          <w:p>
            <w:pPr>
              <w:pStyle w:val="TableText"/>
              <w:ind w:left="88"/>
              <w:spacing w:before="35" w:line="217" w:lineRule="auto"/>
              <w:rPr/>
            </w:pPr>
            <w:r>
              <w:rPr>
                <w:spacing w:val="4"/>
              </w:rPr>
              <w:t>防渗分区</w:t>
            </w:r>
          </w:p>
        </w:tc>
        <w:tc>
          <w:tcPr>
            <w:tcW w:w="2295" w:type="dxa"/>
            <w:vAlign w:val="top"/>
          </w:tcPr>
          <w:p>
            <w:pPr>
              <w:pStyle w:val="TableText"/>
              <w:ind w:left="733"/>
              <w:spacing w:before="35" w:line="217" w:lineRule="auto"/>
              <w:rPr/>
            </w:pPr>
            <w:r>
              <w:rPr>
                <w:spacing w:val="6"/>
              </w:rPr>
              <w:t>工程单元</w:t>
            </w:r>
          </w:p>
        </w:tc>
        <w:tc>
          <w:tcPr>
            <w:tcW w:w="3921" w:type="dxa"/>
            <w:vAlign w:val="top"/>
          </w:tcPr>
          <w:p>
            <w:pPr>
              <w:pStyle w:val="TableText"/>
              <w:ind w:left="1559"/>
              <w:spacing w:before="35" w:line="217" w:lineRule="auto"/>
              <w:rPr/>
            </w:pPr>
            <w:r>
              <w:rPr>
                <w:spacing w:val="4"/>
              </w:rPr>
              <w:t>防渗要求</w:t>
            </w:r>
          </w:p>
        </w:tc>
        <w:tc>
          <w:tcPr>
            <w:tcW w:w="1520" w:type="dxa"/>
            <w:vAlign w:val="top"/>
          </w:tcPr>
          <w:p>
            <w:pPr>
              <w:pStyle w:val="TableText"/>
              <w:ind w:left="558"/>
              <w:spacing w:before="35" w:line="217" w:lineRule="auto"/>
              <w:rPr/>
            </w:pPr>
            <w:r>
              <w:rPr>
                <w:spacing w:val="3"/>
              </w:rPr>
              <w:t>备注</w:t>
            </w:r>
          </w:p>
        </w:tc>
      </w:tr>
      <w:tr>
        <w:trPr>
          <w:trHeight w:val="820" w:hRule="atLeast"/>
        </w:trPr>
        <w:tc>
          <w:tcPr>
            <w:tcW w:w="979" w:type="dxa"/>
            <w:vAlign w:val="top"/>
          </w:tcPr>
          <w:p>
            <w:pPr>
              <w:rPr>
                <w:rFonts w:ascii="Arial"/>
                <w:sz w:val="21"/>
              </w:rPr>
            </w:pPr>
            <w:r/>
          </w:p>
        </w:tc>
        <w:tc>
          <w:tcPr>
            <w:tcW w:w="2295" w:type="dxa"/>
            <w:vAlign w:val="top"/>
          </w:tcPr>
          <w:p>
            <w:pPr>
              <w:pStyle w:val="TableText"/>
              <w:ind w:left="7" w:hanging="1"/>
              <w:spacing w:before="33" w:line="239" w:lineRule="auto"/>
              <w:rPr/>
            </w:pPr>
            <w:r>
              <w:rPr>
                <w:rFonts w:ascii="Times New Roman" w:hAnsi="Times New Roman" w:eastAsia="Times New Roman" w:cs="Times New Roman"/>
                <w:spacing w:val="-1"/>
              </w:rPr>
              <w:t>TS </w:t>
            </w:r>
            <w:r>
              <w:rPr>
                <w:spacing w:val="-1"/>
              </w:rPr>
              <w:t>调节池、固液分离池、</w:t>
            </w:r>
            <w:r>
              <w:rPr>
                <w:spacing w:val="11"/>
              </w:rPr>
              <w:t xml:space="preserve"> </w:t>
            </w:r>
            <w:r>
              <w:rPr>
                <w:spacing w:val="5"/>
              </w:rPr>
              <w:t>沼液池、厌氧发酵罐区、</w:t>
            </w:r>
            <w:r>
              <w:rPr/>
              <w:t xml:space="preserve"> </w:t>
            </w:r>
            <w:r>
              <w:rPr>
                <w:spacing w:val="1"/>
              </w:rPr>
              <w:t>事故水池、沼渣晾晒区等</w:t>
            </w:r>
          </w:p>
        </w:tc>
        <w:tc>
          <w:tcPr>
            <w:tcW w:w="3921" w:type="dxa"/>
            <w:vAlign w:val="top"/>
          </w:tcPr>
          <w:p>
            <w:pPr>
              <w:rPr>
                <w:rFonts w:ascii="Arial"/>
                <w:sz w:val="21"/>
              </w:rPr>
            </w:pPr>
            <w:r/>
          </w:p>
        </w:tc>
        <w:tc>
          <w:tcPr>
            <w:tcW w:w="1520" w:type="dxa"/>
            <w:vAlign w:val="top"/>
          </w:tcPr>
          <w:p>
            <w:pPr>
              <w:pStyle w:val="TableText"/>
              <w:ind w:left="350"/>
              <w:spacing w:before="33" w:line="228" w:lineRule="auto"/>
              <w:rPr/>
            </w:pPr>
            <w:r>
              <w:rPr>
                <w:spacing w:val="6"/>
              </w:rPr>
              <w:t>设置防渗</w:t>
            </w:r>
          </w:p>
        </w:tc>
      </w:tr>
      <w:tr>
        <w:trPr>
          <w:trHeight w:val="1093" w:hRule="atLeast"/>
        </w:trPr>
        <w:tc>
          <w:tcPr>
            <w:tcW w:w="979" w:type="dxa"/>
            <w:vAlign w:val="top"/>
          </w:tcPr>
          <w:p>
            <w:pPr>
              <w:rPr>
                <w:rFonts w:ascii="Arial"/>
                <w:sz w:val="21"/>
              </w:rPr>
            </w:pPr>
            <w:r/>
          </w:p>
          <w:p>
            <w:pPr>
              <w:pStyle w:val="TableText"/>
              <w:ind w:left="191" w:right="68" w:hanging="113"/>
              <w:spacing w:before="65" w:line="252" w:lineRule="auto"/>
              <w:rPr/>
            </w:pPr>
            <w:r>
              <w:rPr>
                <w:spacing w:val="6"/>
              </w:rPr>
              <w:t>一般污染</w:t>
            </w:r>
            <w:r>
              <w:rPr>
                <w:spacing w:val="1"/>
              </w:rPr>
              <w:t xml:space="preserve"> </w:t>
            </w:r>
            <w:r>
              <w:rPr>
                <w:spacing w:val="2"/>
              </w:rPr>
              <w:t>防渗区</w:t>
            </w:r>
          </w:p>
        </w:tc>
        <w:tc>
          <w:tcPr>
            <w:tcW w:w="2295" w:type="dxa"/>
            <w:vAlign w:val="top"/>
          </w:tcPr>
          <w:p>
            <w:pPr>
              <w:pStyle w:val="TableText"/>
              <w:ind w:right="2"/>
              <w:spacing w:before="32" w:line="228" w:lineRule="auto"/>
              <w:jc w:val="right"/>
              <w:rPr/>
            </w:pPr>
            <w:r>
              <w:rPr>
                <w:spacing w:val="6"/>
              </w:rPr>
              <w:t>原毛库房、燃料库房、锅</w:t>
            </w:r>
          </w:p>
          <w:p>
            <w:pPr>
              <w:pStyle w:val="TableText"/>
              <w:ind w:left="11"/>
              <w:spacing w:before="26" w:line="228" w:lineRule="auto"/>
              <w:rPr/>
            </w:pPr>
            <w:r>
              <w:rPr>
                <w:spacing w:val="6"/>
              </w:rPr>
              <w:t>炉房、一般固体废物暂存</w:t>
            </w:r>
          </w:p>
          <w:p>
            <w:pPr>
              <w:pStyle w:val="TableText"/>
              <w:ind w:right="2"/>
              <w:spacing w:before="24" w:line="228" w:lineRule="auto"/>
              <w:jc w:val="right"/>
              <w:rPr/>
            </w:pPr>
            <w:r>
              <w:rPr>
                <w:spacing w:val="5"/>
              </w:rPr>
              <w:t>间、洗净毛库房、梳绒车</w:t>
            </w:r>
          </w:p>
          <w:p>
            <w:pPr>
              <w:pStyle w:val="TableText"/>
              <w:ind w:left="958"/>
              <w:spacing w:before="26" w:line="214" w:lineRule="auto"/>
              <w:rPr/>
            </w:pPr>
            <w:r>
              <w:rPr>
                <w:spacing w:val="-4"/>
              </w:rPr>
              <w:t>间等</w:t>
            </w:r>
          </w:p>
        </w:tc>
        <w:tc>
          <w:tcPr>
            <w:tcW w:w="3921" w:type="dxa"/>
            <w:vAlign w:val="top"/>
          </w:tcPr>
          <w:p>
            <w:pPr>
              <w:spacing w:line="373" w:lineRule="auto"/>
              <w:rPr>
                <w:rFonts w:ascii="Arial"/>
                <w:sz w:val="21"/>
              </w:rPr>
            </w:pPr>
            <w:r/>
          </w:p>
          <w:p>
            <w:pPr>
              <w:pStyle w:val="TableText"/>
              <w:ind w:left="134"/>
              <w:spacing w:before="65" w:line="228" w:lineRule="auto"/>
              <w:rPr>
                <w:rFonts w:ascii="Times New Roman" w:hAnsi="Times New Roman" w:eastAsia="Times New Roman" w:cs="Times New Roman"/>
              </w:rPr>
            </w:pPr>
            <w:r>
              <w:rPr>
                <w:spacing w:val="5"/>
              </w:rPr>
              <w:t>等效黏土防渗层</w:t>
            </w:r>
            <w:r>
              <w:rPr>
                <w:spacing w:val="-37"/>
              </w:rPr>
              <w:t xml:space="preserve"> </w:t>
            </w:r>
            <w:r>
              <w:rPr>
                <w:rFonts w:ascii="Times New Roman" w:hAnsi="Times New Roman" w:eastAsia="Times New Roman" w:cs="Times New Roman"/>
                <w:spacing w:val="5"/>
              </w:rPr>
              <w:t>M≥1.5m</w:t>
            </w:r>
            <w:r>
              <w:rPr>
                <w:rFonts w:ascii="Times New Roman" w:hAnsi="Times New Roman" w:eastAsia="Times New Roman" w:cs="Times New Roman"/>
                <w:spacing w:val="-24"/>
              </w:rPr>
              <w:t xml:space="preserve"> </w:t>
            </w:r>
            <w:r>
              <w:rPr>
                <w:spacing w:val="5"/>
              </w:rPr>
              <w:t>，</w:t>
            </w:r>
            <w:r>
              <w:rPr>
                <w:rFonts w:ascii="Times New Roman" w:hAnsi="Times New Roman" w:eastAsia="Times New Roman" w:cs="Times New Roman"/>
                <w:spacing w:val="5"/>
              </w:rPr>
              <w:t>K≤1×10</w:t>
            </w:r>
            <w:r>
              <w:rPr>
                <w:rFonts w:ascii="Times New Roman" w:hAnsi="Times New Roman" w:eastAsia="Times New Roman" w:cs="Times New Roman"/>
                <w:sz w:val="13"/>
                <w:szCs w:val="13"/>
                <w:spacing w:val="5"/>
                <w:position w:val="6"/>
              </w:rPr>
              <w:t>-7</w:t>
            </w:r>
            <w:r>
              <w:rPr>
                <w:rFonts w:ascii="Times New Roman" w:hAnsi="Times New Roman" w:eastAsia="Times New Roman" w:cs="Times New Roman"/>
              </w:rPr>
              <w:t>cm</w:t>
            </w:r>
            <w:r>
              <w:rPr>
                <w:rFonts w:ascii="Times New Roman" w:hAnsi="Times New Roman" w:eastAsia="Times New Roman" w:cs="Times New Roman"/>
                <w:spacing w:val="5"/>
              </w:rPr>
              <w:t>/s</w:t>
            </w:r>
          </w:p>
        </w:tc>
        <w:tc>
          <w:tcPr>
            <w:tcW w:w="1520" w:type="dxa"/>
            <w:vAlign w:val="top"/>
          </w:tcPr>
          <w:p>
            <w:pPr>
              <w:rPr>
                <w:rFonts w:ascii="Arial"/>
                <w:sz w:val="21"/>
              </w:rPr>
            </w:pPr>
            <w:r/>
          </w:p>
          <w:p>
            <w:pPr>
              <w:pStyle w:val="TableText"/>
              <w:ind w:left="349" w:right="10" w:hanging="334"/>
              <w:spacing w:before="65" w:line="252" w:lineRule="auto"/>
              <w:rPr/>
            </w:pPr>
            <w:r>
              <w:rPr>
                <w:spacing w:val="6"/>
              </w:rPr>
              <w:t>或参照</w:t>
            </w:r>
            <w:r>
              <w:rPr>
                <w:spacing w:val="-39"/>
              </w:rPr>
              <w:t xml:space="preserve"> </w:t>
            </w:r>
            <w:r>
              <w:rPr>
                <w:rFonts w:ascii="Times New Roman" w:hAnsi="Times New Roman" w:eastAsia="Times New Roman" w:cs="Times New Roman"/>
              </w:rPr>
              <w:t>GB</w:t>
            </w:r>
            <w:r>
              <w:rPr>
                <w:rFonts w:ascii="Times New Roman" w:hAnsi="Times New Roman" w:eastAsia="Times New Roman" w:cs="Times New Roman"/>
                <w:spacing w:val="6"/>
              </w:rPr>
              <w:t>16889</w:t>
            </w:r>
            <w:r>
              <w:rPr>
                <w:rFonts w:ascii="Times New Roman" w:hAnsi="Times New Roman" w:eastAsia="Times New Roman" w:cs="Times New Roman"/>
              </w:rPr>
              <w:t xml:space="preserve"> </w:t>
            </w:r>
            <w:r>
              <w:rPr>
                <w:spacing w:val="6"/>
              </w:rPr>
              <w:t>设置防渗</w:t>
            </w:r>
          </w:p>
        </w:tc>
      </w:tr>
      <w:tr>
        <w:trPr>
          <w:trHeight w:val="553" w:hRule="atLeast"/>
        </w:trPr>
        <w:tc>
          <w:tcPr>
            <w:tcW w:w="979" w:type="dxa"/>
            <w:vAlign w:val="top"/>
          </w:tcPr>
          <w:p>
            <w:pPr>
              <w:pStyle w:val="TableText"/>
              <w:ind w:left="79"/>
              <w:spacing w:before="34" w:line="227" w:lineRule="auto"/>
              <w:rPr/>
            </w:pPr>
            <w:r>
              <w:rPr>
                <w:spacing w:val="6"/>
              </w:rPr>
              <w:t>简单防渗</w:t>
            </w:r>
          </w:p>
          <w:p>
            <w:pPr>
              <w:pStyle w:val="TableText"/>
              <w:ind w:left="405"/>
              <w:spacing w:before="27" w:line="217" w:lineRule="auto"/>
              <w:rPr/>
            </w:pPr>
            <w:r>
              <w:rPr/>
              <w:t>区</w:t>
            </w:r>
          </w:p>
        </w:tc>
        <w:tc>
          <w:tcPr>
            <w:tcW w:w="2295" w:type="dxa"/>
            <w:vAlign w:val="top"/>
          </w:tcPr>
          <w:p>
            <w:pPr>
              <w:pStyle w:val="TableText"/>
              <w:ind w:left="526"/>
              <w:spacing w:before="170" w:line="228" w:lineRule="auto"/>
              <w:rPr/>
            </w:pPr>
            <w:r>
              <w:rPr>
                <w:spacing w:val="7"/>
              </w:rPr>
              <w:t>办公楼、门卫</w:t>
            </w:r>
          </w:p>
        </w:tc>
        <w:tc>
          <w:tcPr>
            <w:tcW w:w="3921" w:type="dxa"/>
            <w:vAlign w:val="top"/>
          </w:tcPr>
          <w:p>
            <w:pPr>
              <w:pStyle w:val="TableText"/>
              <w:ind w:left="1340"/>
              <w:spacing w:before="171" w:line="229" w:lineRule="auto"/>
              <w:rPr/>
            </w:pPr>
            <w:r>
              <w:rPr>
                <w:spacing w:val="7"/>
              </w:rPr>
              <w:t>一般地面硬化</w:t>
            </w:r>
          </w:p>
        </w:tc>
        <w:tc>
          <w:tcPr>
            <w:tcW w:w="1520" w:type="dxa"/>
            <w:vAlign w:val="top"/>
          </w:tcPr>
          <w:p>
            <w:pPr>
              <w:ind w:left="727"/>
              <w:spacing w:before="203"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bl>
    <w:p>
      <w:pPr>
        <w:ind w:firstLine="108"/>
        <w:spacing w:before="120" w:line="7005" w:lineRule="exact"/>
        <w:rPr/>
      </w:pPr>
      <w:r>
        <w:rPr>
          <w:position w:val="-140"/>
        </w:rPr>
        <w:drawing>
          <wp:inline distT="0" distB="0" distL="0" distR="0">
            <wp:extent cx="5582411" cy="4448555"/>
            <wp:effectExtent l="0" t="0" r="0" b="0"/>
            <wp:docPr id="216" name="IM 216"/>
            <wp:cNvGraphicFramePr/>
            <a:graphic>
              <a:graphicData uri="http://schemas.openxmlformats.org/drawingml/2006/picture">
                <pic:pic>
                  <pic:nvPicPr>
                    <pic:cNvPr id="216" name="IM 216"/>
                    <pic:cNvPicPr/>
                  </pic:nvPicPr>
                  <pic:blipFill>
                    <a:blip r:embed="rId368"/>
                    <a:stretch>
                      <a:fillRect/>
                    </a:stretch>
                  </pic:blipFill>
                  <pic:spPr>
                    <a:xfrm rot="0">
                      <a:off x="0" y="0"/>
                      <a:ext cx="5582411" cy="4448555"/>
                    </a:xfrm>
                    <a:prstGeom prst="rect">
                      <a:avLst/>
                    </a:prstGeom>
                  </pic:spPr>
                </pic:pic>
              </a:graphicData>
            </a:graphic>
          </wp:inline>
        </w:drawing>
      </w:r>
    </w:p>
    <w:p>
      <w:pPr>
        <w:ind w:left="3091"/>
        <w:spacing w:before="30" w:line="228" w:lineRule="auto"/>
        <w:rPr>
          <w:rFonts w:ascii="SimSun" w:hAnsi="SimSun" w:eastAsia="SimSun" w:cs="SimSun"/>
          <w:sz w:val="20"/>
          <w:szCs w:val="20"/>
        </w:rPr>
      </w:pPr>
      <w:r>
        <w:rPr>
          <w:rFonts w:ascii="SimSun" w:hAnsi="SimSun" w:eastAsia="SimSun" w:cs="SimSun"/>
          <w:sz w:val="20"/>
          <w:szCs w:val="20"/>
          <w:b/>
          <w:bCs/>
          <w:spacing w:val="3"/>
        </w:rPr>
        <w:t>图</w:t>
      </w:r>
      <w:r>
        <w:rPr>
          <w:rFonts w:ascii="SimSun" w:hAnsi="SimSun" w:eastAsia="SimSun" w:cs="SimSun"/>
          <w:sz w:val="20"/>
          <w:szCs w:val="20"/>
          <w:spacing w:val="-34"/>
        </w:rPr>
        <w:t xml:space="preserve"> </w:t>
      </w:r>
      <w:r>
        <w:rPr>
          <w:rFonts w:ascii="Times New Roman" w:hAnsi="Times New Roman" w:eastAsia="Times New Roman" w:cs="Times New Roman"/>
          <w:sz w:val="20"/>
          <w:szCs w:val="20"/>
          <w:b/>
          <w:bCs/>
          <w:spacing w:val="3"/>
        </w:rPr>
        <w:t>7.2-1        </w:t>
      </w:r>
      <w:r>
        <w:rPr>
          <w:rFonts w:ascii="SimSun" w:hAnsi="SimSun" w:eastAsia="SimSun" w:cs="SimSun"/>
          <w:sz w:val="20"/>
          <w:szCs w:val="20"/>
          <w:b/>
          <w:bCs/>
          <w:spacing w:val="3"/>
        </w:rPr>
        <w:t>项目分区防渗图</w:t>
      </w:r>
    </w:p>
    <w:p>
      <w:pPr>
        <w:ind w:left="116"/>
        <w:spacing w:before="165"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7.2.2.3 </w:t>
      </w:r>
      <w:r>
        <w:rPr>
          <w:rFonts w:ascii="SimSun" w:hAnsi="SimSun" w:eastAsia="SimSun" w:cs="SimSun"/>
          <w:sz w:val="24"/>
          <w:szCs w:val="24"/>
          <w:b/>
          <w:bCs/>
          <w:spacing w:val="-2"/>
        </w:rPr>
        <w:t>污染监控</w:t>
      </w:r>
    </w:p>
    <w:p>
      <w:pPr>
        <w:ind w:left="121" w:right="207" w:firstLine="479"/>
        <w:spacing w:before="184" w:line="360" w:lineRule="auto"/>
        <w:jc w:val="both"/>
        <w:rPr>
          <w:rFonts w:ascii="SimSun" w:hAnsi="SimSun" w:eastAsia="SimSun" w:cs="SimSun"/>
          <w:sz w:val="24"/>
          <w:szCs w:val="24"/>
        </w:rPr>
      </w:pPr>
      <w:r>
        <w:rPr>
          <w:rFonts w:ascii="SimSun" w:hAnsi="SimSun" w:eastAsia="SimSun" w:cs="SimSun"/>
          <w:sz w:val="24"/>
          <w:szCs w:val="24"/>
          <w:spacing w:val="3"/>
        </w:rPr>
        <w:t>为及时而准确的掌握项目厂区及周边地下水环境质量状况，</w:t>
      </w:r>
      <w:r>
        <w:rPr>
          <w:rFonts w:ascii="SimSun" w:hAnsi="SimSun" w:eastAsia="SimSun" w:cs="SimSun"/>
          <w:sz w:val="24"/>
          <w:szCs w:val="24"/>
          <w:spacing w:val="2"/>
        </w:rPr>
        <w:t>发现问题及时解</w:t>
      </w:r>
      <w:r>
        <w:rPr>
          <w:rFonts w:ascii="SimSun" w:hAnsi="SimSun" w:eastAsia="SimSun" w:cs="SimSun"/>
          <w:sz w:val="24"/>
          <w:szCs w:val="24"/>
        </w:rPr>
        <w:t xml:space="preserve"> </w:t>
      </w:r>
      <w:r>
        <w:rPr>
          <w:rFonts w:ascii="SimSun" w:hAnsi="SimSun" w:eastAsia="SimSun" w:cs="SimSun"/>
          <w:sz w:val="24"/>
          <w:szCs w:val="24"/>
          <w:spacing w:val="3"/>
        </w:rPr>
        <w:t>决，切实加强环境保护与环境管理，为此建议：</w:t>
      </w:r>
      <w:r>
        <w:rPr>
          <w:rFonts w:ascii="SimSun" w:hAnsi="SimSun" w:eastAsia="SimSun" w:cs="SimSun"/>
          <w:sz w:val="24"/>
          <w:szCs w:val="24"/>
          <w:spacing w:val="2"/>
        </w:rPr>
        <w:t>在项目厂区建设过程中及投产运</w:t>
      </w:r>
      <w:r>
        <w:rPr>
          <w:rFonts w:ascii="SimSun" w:hAnsi="SimSun" w:eastAsia="SimSun" w:cs="SimSun"/>
          <w:sz w:val="24"/>
          <w:szCs w:val="24"/>
        </w:rPr>
        <w:t xml:space="preserve"> </w:t>
      </w:r>
      <w:r>
        <w:rPr>
          <w:rFonts w:ascii="SimSun" w:hAnsi="SimSun" w:eastAsia="SimSun" w:cs="SimSun"/>
          <w:sz w:val="24"/>
          <w:szCs w:val="24"/>
          <w:spacing w:val="-2"/>
        </w:rPr>
        <w:t>行期，建立地下水环境监控体系，包括建立地下水监控网点，建立完善监测制度。</w:t>
      </w:r>
      <w:r>
        <w:rPr>
          <w:rFonts w:ascii="SimSun" w:hAnsi="SimSun" w:eastAsia="SimSun" w:cs="SimSun"/>
          <w:sz w:val="24"/>
          <w:szCs w:val="24"/>
          <w:spacing w:val="1"/>
        </w:rPr>
        <w:t xml:space="preserve"> </w:t>
      </w:r>
      <w:r>
        <w:rPr>
          <w:rFonts w:ascii="SimSun" w:hAnsi="SimSun" w:eastAsia="SimSun" w:cs="SimSun"/>
          <w:sz w:val="24"/>
          <w:szCs w:val="24"/>
          <w:spacing w:val="-1"/>
        </w:rPr>
        <w:t>同时，配备相应的监测人员及配置先进的监测仪器设备。</w:t>
      </w:r>
    </w:p>
    <w:p>
      <w:pPr>
        <w:spacing w:line="360" w:lineRule="auto"/>
        <w:sectPr>
          <w:headerReference w:type="default" r:id="rId366"/>
          <w:footerReference w:type="default" r:id="rId367"/>
          <w:pgSz w:w="11907" w:h="16840"/>
          <w:pgMar w:top="1567" w:right="1414" w:bottom="1921" w:left="1593" w:header="1221" w:footer="1247" w:gutter="0"/>
        </w:sectPr>
        <w:rPr>
          <w:rFonts w:ascii="SimSun" w:hAnsi="SimSun" w:eastAsia="SimSun" w:cs="SimSun"/>
          <w:sz w:val="24"/>
          <w:szCs w:val="24"/>
        </w:rPr>
      </w:pPr>
    </w:p>
    <w:p>
      <w:pPr>
        <w:ind w:left="15" w:right="80" w:firstLine="481"/>
        <w:spacing w:before="186" w:line="359" w:lineRule="auto"/>
        <w:jc w:val="both"/>
        <w:rPr>
          <w:rFonts w:ascii="SimSun" w:hAnsi="SimSun" w:eastAsia="SimSun" w:cs="SimSun"/>
          <w:sz w:val="24"/>
          <w:szCs w:val="24"/>
        </w:rPr>
      </w:pPr>
      <w:r>
        <w:pict>
          <v:shape id="_x0000_s1246" style="position:absolute;margin-left:85.05pt;margin-top:79.11pt;mso-position-vertical-relative:page;mso-position-horizontal-relative:page;width:425.25pt;height:0.75pt;z-index:252325888;" o:allowincell="f" fillcolor="#000000" filled="true" stroked="false" coordsize="8505,15" coordorigin="0,0" path="m,l8505,0l8505,14l0,14l0,0xe"/>
        </w:pict>
      </w:r>
      <w:r>
        <w:rPr>
          <w:rFonts w:ascii="SimSun" w:hAnsi="SimSun" w:eastAsia="SimSun" w:cs="SimSun"/>
          <w:sz w:val="24"/>
          <w:szCs w:val="24"/>
          <w:spacing w:val="3"/>
        </w:rPr>
        <w:t>根据《地下水环境监测技术规范》（</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3"/>
        </w:rPr>
        <w:t>164-2020</w:t>
      </w:r>
      <w:r>
        <w:rPr>
          <w:rFonts w:ascii="SimSun" w:hAnsi="SimSun" w:eastAsia="SimSun" w:cs="SimSun"/>
          <w:sz w:val="24"/>
          <w:szCs w:val="24"/>
          <w:spacing w:val="3"/>
        </w:rPr>
        <w:t>）、《工业企业土壤和</w:t>
      </w:r>
      <w:r>
        <w:rPr>
          <w:rFonts w:ascii="SimSun" w:hAnsi="SimSun" w:eastAsia="SimSun" w:cs="SimSun"/>
          <w:sz w:val="24"/>
          <w:szCs w:val="24"/>
          <w:spacing w:val="2"/>
        </w:rPr>
        <w:t>地下</w:t>
      </w:r>
      <w:r>
        <w:rPr>
          <w:rFonts w:ascii="SimSun" w:hAnsi="SimSun" w:eastAsia="SimSun" w:cs="SimSun"/>
          <w:sz w:val="24"/>
          <w:szCs w:val="24"/>
        </w:rPr>
        <w:t xml:space="preserve"> </w:t>
      </w:r>
      <w:r>
        <w:rPr>
          <w:rFonts w:ascii="SimSun" w:hAnsi="SimSun" w:eastAsia="SimSun" w:cs="SimSun"/>
          <w:sz w:val="24"/>
          <w:szCs w:val="24"/>
        </w:rPr>
        <w:t>水自行监测技术指南（试行）》（</w:t>
      </w:r>
      <w:r>
        <w:rPr>
          <w:rFonts w:ascii="Times New Roman" w:hAnsi="Times New Roman" w:eastAsia="Times New Roman" w:cs="Times New Roman"/>
          <w:sz w:val="24"/>
          <w:szCs w:val="24"/>
        </w:rPr>
        <w:t>HJ1209-2021</w:t>
      </w:r>
      <w:r>
        <w:rPr>
          <w:rFonts w:ascii="SimSun" w:hAnsi="SimSun" w:eastAsia="SimSun" w:cs="SimSun"/>
          <w:sz w:val="24"/>
          <w:szCs w:val="24"/>
        </w:rPr>
        <w:t>）要求</w:t>
      </w:r>
      <w:r>
        <w:rPr>
          <w:rFonts w:ascii="SimSun" w:hAnsi="SimSun" w:eastAsia="SimSun" w:cs="SimSun"/>
          <w:sz w:val="24"/>
          <w:szCs w:val="24"/>
          <w:spacing w:val="-1"/>
        </w:rPr>
        <w:t>，在项目厂区及周边地区设</w:t>
      </w:r>
      <w:r>
        <w:rPr>
          <w:rFonts w:ascii="SimSun" w:hAnsi="SimSun" w:eastAsia="SimSun" w:cs="SimSun"/>
          <w:sz w:val="24"/>
          <w:szCs w:val="24"/>
        </w:rPr>
        <w:t xml:space="preserve"> </w:t>
      </w:r>
      <w:r>
        <w:rPr>
          <w:rFonts w:ascii="SimSun" w:hAnsi="SimSun" w:eastAsia="SimSun" w:cs="SimSun"/>
          <w:sz w:val="24"/>
          <w:szCs w:val="24"/>
        </w:rPr>
        <w:t>置一定数量地下水质污染监控井，建立地下水质污</w:t>
      </w:r>
      <w:r>
        <w:rPr>
          <w:rFonts w:ascii="SimSun" w:hAnsi="SimSun" w:eastAsia="SimSun" w:cs="SimSun"/>
          <w:sz w:val="24"/>
          <w:szCs w:val="24"/>
          <w:spacing w:val="-1"/>
        </w:rPr>
        <w:t>染监控、预警体系。</w:t>
      </w:r>
    </w:p>
    <w:p>
      <w:pPr>
        <w:ind w:left="509"/>
        <w:spacing w:line="218"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）监测点的布设</w:t>
      </w:r>
    </w:p>
    <w:p>
      <w:pPr>
        <w:ind w:left="17" w:right="18" w:firstLine="480"/>
        <w:spacing w:before="184" w:line="359" w:lineRule="auto"/>
        <w:rPr>
          <w:rFonts w:ascii="SimSun" w:hAnsi="SimSun" w:eastAsia="SimSun" w:cs="SimSun"/>
          <w:sz w:val="24"/>
          <w:szCs w:val="24"/>
        </w:rPr>
      </w:pPr>
      <w:r>
        <w:rPr>
          <w:rFonts w:ascii="SimSun" w:hAnsi="SimSun" w:eastAsia="SimSun" w:cs="SimSun"/>
          <w:sz w:val="24"/>
          <w:szCs w:val="24"/>
          <w:spacing w:val="-3"/>
        </w:rPr>
        <w:t>本次共布设</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51"/>
        </w:rPr>
        <w:t xml:space="preserve"> </w:t>
      </w:r>
      <w:r>
        <w:rPr>
          <w:rFonts w:ascii="SimSun" w:hAnsi="SimSun" w:eastAsia="SimSun" w:cs="SimSun"/>
          <w:sz w:val="24"/>
          <w:szCs w:val="24"/>
          <w:spacing w:val="-3"/>
        </w:rPr>
        <w:t>口监测井，利用现有</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48"/>
          <w:w w:val="101"/>
        </w:rPr>
        <w:t xml:space="preserve"> </w:t>
      </w:r>
      <w:r>
        <w:rPr>
          <w:rFonts w:ascii="SimSun" w:hAnsi="SimSun" w:eastAsia="SimSun" w:cs="SimSun"/>
          <w:sz w:val="24"/>
          <w:szCs w:val="24"/>
          <w:spacing w:val="-3"/>
        </w:rPr>
        <w:t>口跟踪监测井，新</w:t>
      </w:r>
      <w:r>
        <w:rPr>
          <w:rFonts w:ascii="SimSun" w:hAnsi="SimSun" w:eastAsia="SimSun" w:cs="SimSun"/>
          <w:sz w:val="24"/>
          <w:szCs w:val="24"/>
          <w:spacing w:val="-4"/>
        </w:rPr>
        <w:t>增设置</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51"/>
        </w:rPr>
        <w:t xml:space="preserve"> </w:t>
      </w:r>
      <w:r>
        <w:rPr>
          <w:rFonts w:ascii="SimSun" w:hAnsi="SimSun" w:eastAsia="SimSun" w:cs="SimSun"/>
          <w:sz w:val="24"/>
          <w:szCs w:val="24"/>
          <w:spacing w:val="-4"/>
        </w:rPr>
        <w:t>口跟踪监测</w:t>
      </w:r>
      <w:r>
        <w:rPr>
          <w:rFonts w:ascii="SimSun" w:hAnsi="SimSun" w:eastAsia="SimSun" w:cs="SimSun"/>
          <w:sz w:val="24"/>
          <w:szCs w:val="24"/>
        </w:rPr>
        <w:t xml:space="preserve"> </w:t>
      </w:r>
      <w:r>
        <w:rPr>
          <w:rFonts w:ascii="SimSun" w:hAnsi="SimSun" w:eastAsia="SimSun" w:cs="SimSun"/>
          <w:sz w:val="24"/>
          <w:szCs w:val="24"/>
          <w:spacing w:val="-2"/>
        </w:rPr>
        <w:t>井。其中现有</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SJ-01 </w:t>
      </w:r>
      <w:r>
        <w:rPr>
          <w:rFonts w:ascii="SimSun" w:hAnsi="SimSun" w:eastAsia="SimSun" w:cs="SimSun"/>
          <w:sz w:val="24"/>
          <w:szCs w:val="24"/>
          <w:spacing w:val="-2"/>
        </w:rPr>
        <w:t>监测井位于厂区东北侧（上游</w:t>
      </w:r>
      <w:r>
        <w:rPr>
          <w:rFonts w:ascii="SimSun" w:hAnsi="SimSun" w:eastAsia="SimSun" w:cs="SimSun"/>
          <w:sz w:val="24"/>
          <w:szCs w:val="24"/>
          <w:spacing w:val="-15"/>
        </w:rPr>
        <w:t>），</w:t>
      </w:r>
      <w:r>
        <w:rPr>
          <w:rFonts w:ascii="SimSun" w:hAnsi="SimSun" w:eastAsia="SimSun" w:cs="SimSun"/>
          <w:sz w:val="24"/>
          <w:szCs w:val="24"/>
          <w:spacing w:val="-2"/>
        </w:rPr>
        <w:t>用于监测厂区</w:t>
      </w:r>
      <w:r>
        <w:rPr>
          <w:rFonts w:ascii="SimSun" w:hAnsi="SimSun" w:eastAsia="SimSun" w:cs="SimSun"/>
          <w:sz w:val="24"/>
          <w:szCs w:val="24"/>
          <w:spacing w:val="-3"/>
        </w:rPr>
        <w:t>地下水天然背</w:t>
      </w:r>
      <w:r>
        <w:rPr>
          <w:rFonts w:ascii="SimSun" w:hAnsi="SimSun" w:eastAsia="SimSun" w:cs="SimSun"/>
          <w:sz w:val="24"/>
          <w:szCs w:val="24"/>
        </w:rPr>
        <w:t xml:space="preserve"> </w:t>
      </w:r>
      <w:r>
        <w:rPr>
          <w:rFonts w:ascii="SimSun" w:hAnsi="SimSun" w:eastAsia="SimSun" w:cs="SimSun"/>
          <w:sz w:val="24"/>
          <w:szCs w:val="24"/>
          <w:spacing w:val="-7"/>
        </w:rPr>
        <w:t>景浓度；新建</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7"/>
        </w:rPr>
        <w:t>SJ-02 </w:t>
      </w:r>
      <w:r>
        <w:rPr>
          <w:rFonts w:ascii="SimSun" w:hAnsi="SimSun" w:eastAsia="SimSun" w:cs="SimSun"/>
          <w:sz w:val="24"/>
          <w:szCs w:val="24"/>
          <w:spacing w:val="-7"/>
        </w:rPr>
        <w:t>监测井、新建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7"/>
        </w:rPr>
        <w:t>SJ-03 </w:t>
      </w:r>
      <w:r>
        <w:rPr>
          <w:rFonts w:ascii="SimSun" w:hAnsi="SimSun" w:eastAsia="SimSun" w:cs="SimSun"/>
          <w:sz w:val="24"/>
          <w:szCs w:val="24"/>
          <w:spacing w:val="-7"/>
        </w:rPr>
        <w:t>监</w:t>
      </w:r>
      <w:r>
        <w:rPr>
          <w:rFonts w:ascii="SimSun" w:hAnsi="SimSun" w:eastAsia="SimSun" w:cs="SimSun"/>
          <w:sz w:val="24"/>
          <w:szCs w:val="24"/>
          <w:spacing w:val="-8"/>
        </w:rPr>
        <w:t>测井位于东、西厂区西南侧（下游区域</w:t>
      </w:r>
      <w:r>
        <w:rPr>
          <w:rFonts w:ascii="SimSun" w:hAnsi="SimSun" w:eastAsia="SimSun" w:cs="SimSun"/>
          <w:sz w:val="24"/>
          <w:szCs w:val="24"/>
          <w:spacing w:val="-53"/>
          <w:w w:val="84"/>
        </w:rPr>
        <w:t>），</w:t>
      </w:r>
      <w:r>
        <w:rPr>
          <w:rFonts w:ascii="SimSun" w:hAnsi="SimSun" w:eastAsia="SimSun" w:cs="SimSun"/>
          <w:sz w:val="24"/>
          <w:szCs w:val="24"/>
        </w:rPr>
        <w:t xml:space="preserve"> </w:t>
      </w:r>
      <w:r>
        <w:rPr>
          <w:rFonts w:ascii="SimSun" w:hAnsi="SimSun" w:eastAsia="SimSun" w:cs="SimSun"/>
          <w:sz w:val="24"/>
          <w:szCs w:val="24"/>
          <w:spacing w:val="-1"/>
        </w:rPr>
        <w:t>用于控制厂区构筑物下游污染情况。</w:t>
      </w:r>
    </w:p>
    <w:p>
      <w:pPr>
        <w:ind w:left="2121"/>
        <w:spacing w:line="211"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2"/>
        </w:rPr>
        <w:t>7.2-5      </w:t>
      </w:r>
      <w:r>
        <w:rPr>
          <w:rFonts w:ascii="SimSun" w:hAnsi="SimSun" w:eastAsia="SimSun" w:cs="SimSun"/>
          <w:sz w:val="24"/>
          <w:szCs w:val="24"/>
          <w:b/>
          <w:bCs/>
          <w:spacing w:val="-2"/>
        </w:rPr>
        <w:t>地下水跟踪监测井设置要求表</w:t>
      </w:r>
    </w:p>
    <w:tbl>
      <w:tblPr>
        <w:tblStyle w:val="TableNormal"/>
        <w:tblW w:w="851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27"/>
        <w:gridCol w:w="1436"/>
        <w:gridCol w:w="1183"/>
        <w:gridCol w:w="1036"/>
        <w:gridCol w:w="2286"/>
        <w:gridCol w:w="821"/>
        <w:gridCol w:w="825"/>
      </w:tblGrid>
      <w:tr>
        <w:trPr>
          <w:trHeight w:val="554" w:hRule="atLeast"/>
        </w:trPr>
        <w:tc>
          <w:tcPr>
            <w:tcW w:w="927" w:type="dxa"/>
            <w:vAlign w:val="top"/>
          </w:tcPr>
          <w:p>
            <w:pPr>
              <w:pStyle w:val="TableText"/>
              <w:ind w:left="261"/>
              <w:spacing w:before="171" w:line="230" w:lineRule="auto"/>
              <w:rPr/>
            </w:pPr>
            <w:r>
              <w:rPr>
                <w:spacing w:val="3"/>
              </w:rPr>
              <w:t>名称</w:t>
            </w:r>
          </w:p>
        </w:tc>
        <w:tc>
          <w:tcPr>
            <w:tcW w:w="1436" w:type="dxa"/>
            <w:vAlign w:val="top"/>
          </w:tcPr>
          <w:p>
            <w:pPr>
              <w:pStyle w:val="TableText"/>
              <w:ind w:left="512"/>
              <w:spacing w:before="171" w:line="232" w:lineRule="auto"/>
              <w:rPr/>
            </w:pPr>
            <w:r>
              <w:rPr>
                <w:spacing w:val="4"/>
              </w:rPr>
              <w:t>地点</w:t>
            </w:r>
          </w:p>
        </w:tc>
        <w:tc>
          <w:tcPr>
            <w:tcW w:w="1183" w:type="dxa"/>
            <w:vAlign w:val="top"/>
          </w:tcPr>
          <w:p>
            <w:pPr>
              <w:pStyle w:val="TableText"/>
              <w:ind w:left="136"/>
              <w:spacing w:before="171" w:line="228" w:lineRule="auto"/>
              <w:rPr/>
            </w:pPr>
            <w:r>
              <w:rPr/>
              <w:t>经度</w:t>
            </w:r>
            <w:r>
              <w:rPr>
                <w:spacing w:val="21"/>
              </w:rPr>
              <w:t xml:space="preserve"> </w:t>
            </w:r>
            <w:r>
              <w:rPr/>
              <w:t>(</w:t>
            </w:r>
            <w:r>
              <w:rPr>
                <w:rFonts w:ascii="Times New Roman" w:hAnsi="Times New Roman" w:eastAsia="Times New Roman" w:cs="Times New Roman"/>
              </w:rPr>
              <w:t>°</w:t>
            </w:r>
            <w:r>
              <w:rPr/>
              <w:t>)</w:t>
            </w:r>
          </w:p>
        </w:tc>
        <w:tc>
          <w:tcPr>
            <w:tcW w:w="1036" w:type="dxa"/>
            <w:vAlign w:val="top"/>
          </w:tcPr>
          <w:p>
            <w:pPr>
              <w:pStyle w:val="TableText"/>
              <w:ind w:left="61"/>
              <w:spacing w:before="171" w:line="228" w:lineRule="auto"/>
              <w:rPr/>
            </w:pPr>
            <w:r>
              <w:rPr>
                <w:spacing w:val="1"/>
              </w:rPr>
              <w:t>纬度</w:t>
            </w:r>
            <w:r>
              <w:rPr>
                <w:spacing w:val="20"/>
              </w:rPr>
              <w:t xml:space="preserve"> </w:t>
            </w:r>
            <w:r>
              <w:rPr>
                <w:spacing w:val="1"/>
              </w:rPr>
              <w:t>(</w:t>
            </w:r>
            <w:r>
              <w:rPr>
                <w:rFonts w:ascii="Times New Roman" w:hAnsi="Times New Roman" w:eastAsia="Times New Roman" w:cs="Times New Roman"/>
                <w:spacing w:val="1"/>
              </w:rPr>
              <w:t>°</w:t>
            </w:r>
            <w:r>
              <w:rPr>
                <w:spacing w:val="1"/>
              </w:rPr>
              <w:t>)</w:t>
            </w:r>
          </w:p>
        </w:tc>
        <w:tc>
          <w:tcPr>
            <w:tcW w:w="2286" w:type="dxa"/>
            <w:vAlign w:val="top"/>
          </w:tcPr>
          <w:p>
            <w:pPr>
              <w:pStyle w:val="TableText"/>
              <w:ind w:left="728"/>
              <w:spacing w:before="171" w:line="228" w:lineRule="auto"/>
              <w:rPr/>
            </w:pPr>
            <w:r>
              <w:rPr>
                <w:spacing w:val="7"/>
              </w:rPr>
              <w:t>井孔结构</w:t>
            </w:r>
          </w:p>
        </w:tc>
        <w:tc>
          <w:tcPr>
            <w:tcW w:w="821" w:type="dxa"/>
            <w:vAlign w:val="top"/>
          </w:tcPr>
          <w:p>
            <w:pPr>
              <w:pStyle w:val="TableText"/>
              <w:ind w:left="311" w:right="91" w:hanging="207"/>
              <w:spacing w:before="37" w:line="234" w:lineRule="auto"/>
              <w:rPr/>
            </w:pPr>
            <w:r>
              <w:rPr>
                <w:spacing w:val="6"/>
              </w:rPr>
              <w:t>监测层</w:t>
            </w:r>
            <w:r>
              <w:rPr/>
              <w:t xml:space="preserve"> </w:t>
            </w:r>
            <w:r>
              <w:rPr/>
              <w:t>位</w:t>
            </w:r>
          </w:p>
        </w:tc>
        <w:tc>
          <w:tcPr>
            <w:tcW w:w="825" w:type="dxa"/>
            <w:vAlign w:val="top"/>
          </w:tcPr>
          <w:p>
            <w:pPr>
              <w:pStyle w:val="TableText"/>
              <w:ind w:left="211"/>
              <w:spacing w:before="171" w:line="229" w:lineRule="auto"/>
              <w:rPr/>
            </w:pPr>
            <w:r>
              <w:rPr>
                <w:spacing w:val="3"/>
              </w:rPr>
              <w:t>备注</w:t>
            </w:r>
          </w:p>
        </w:tc>
      </w:tr>
      <w:tr>
        <w:trPr>
          <w:trHeight w:val="549" w:hRule="atLeast"/>
        </w:trPr>
        <w:tc>
          <w:tcPr>
            <w:tcW w:w="927" w:type="dxa"/>
            <w:vAlign w:val="top"/>
          </w:tcPr>
          <w:p>
            <w:pPr>
              <w:ind w:left="234"/>
              <w:spacing w:before="2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SJ</w:t>
            </w:r>
            <w:r>
              <w:rPr>
                <w:rFonts w:ascii="Times New Roman" w:hAnsi="Times New Roman" w:eastAsia="Times New Roman" w:cs="Times New Roman"/>
                <w:sz w:val="20"/>
                <w:szCs w:val="20"/>
                <w:spacing w:val="2"/>
              </w:rPr>
              <w:t>-01</w:t>
            </w:r>
          </w:p>
        </w:tc>
        <w:tc>
          <w:tcPr>
            <w:tcW w:w="1436" w:type="dxa"/>
            <w:vAlign w:val="top"/>
          </w:tcPr>
          <w:p>
            <w:pPr>
              <w:pStyle w:val="TableText"/>
              <w:ind w:left="11"/>
              <w:spacing w:before="32" w:line="228" w:lineRule="auto"/>
              <w:rPr/>
            </w:pPr>
            <w:r>
              <w:rPr>
                <w:spacing w:val="2"/>
              </w:rPr>
              <w:t>厂区东北侧（上</w:t>
            </w:r>
          </w:p>
          <w:p>
            <w:pPr>
              <w:pStyle w:val="TableText"/>
              <w:ind w:left="512"/>
              <w:spacing w:before="24" w:line="217" w:lineRule="auto"/>
              <w:rPr/>
            </w:pPr>
            <w:r>
              <w:rPr/>
              <w:t>游）</w:t>
            </w:r>
          </w:p>
        </w:tc>
        <w:tc>
          <w:tcPr>
            <w:tcW w:w="1183" w:type="dxa"/>
            <w:vAlign w:val="top"/>
          </w:tcPr>
          <w:p>
            <w:pPr>
              <w:ind w:left="26"/>
              <w:spacing w:before="2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114.973506</w:t>
            </w:r>
          </w:p>
        </w:tc>
        <w:tc>
          <w:tcPr>
            <w:tcW w:w="1036" w:type="dxa"/>
            <w:vAlign w:val="top"/>
          </w:tcPr>
          <w:p>
            <w:pPr>
              <w:ind w:left="5"/>
              <w:spacing w:before="202"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42.296947</w:t>
            </w:r>
          </w:p>
        </w:tc>
        <w:tc>
          <w:tcPr>
            <w:tcW w:w="2286" w:type="dxa"/>
            <w:vAlign w:val="top"/>
            <w:vMerge w:val="restart"/>
            <w:tcBorders>
              <w:bottom w:val="nil"/>
            </w:tcBorders>
          </w:tcPr>
          <w:p>
            <w:pPr>
              <w:pStyle w:val="TableText"/>
              <w:ind w:left="11"/>
              <w:spacing w:before="176" w:line="228" w:lineRule="auto"/>
              <w:rPr/>
            </w:pPr>
            <w:r>
              <w:rPr>
                <w:spacing w:val="4"/>
              </w:rPr>
              <w:t>深入到含水层</w:t>
            </w:r>
            <w:r>
              <w:rPr>
                <w:spacing w:val="-32"/>
              </w:rPr>
              <w:t xml:space="preserve"> </w:t>
            </w:r>
            <w:r>
              <w:rPr>
                <w:rFonts w:ascii="Times New Roman" w:hAnsi="Times New Roman" w:eastAsia="Times New Roman" w:cs="Times New Roman"/>
                <w:spacing w:val="4"/>
              </w:rPr>
              <w:t>5 </w:t>
            </w:r>
            <w:r>
              <w:rPr>
                <w:spacing w:val="4"/>
              </w:rPr>
              <w:t>米，成井</w:t>
            </w:r>
          </w:p>
          <w:p>
            <w:pPr>
              <w:pStyle w:val="TableText"/>
              <w:ind w:right="2"/>
              <w:spacing w:before="24" w:line="228" w:lineRule="auto"/>
              <w:jc w:val="right"/>
              <w:rPr/>
            </w:pPr>
            <w:r>
              <w:rPr>
                <w:spacing w:val="-2"/>
              </w:rPr>
              <w:t>管径不小于</w:t>
            </w:r>
            <w:r>
              <w:rPr>
                <w:spacing w:val="-23"/>
              </w:rPr>
              <w:t xml:space="preserve"> </w:t>
            </w:r>
            <w:r>
              <w:rPr>
                <w:rFonts w:ascii="Times New Roman" w:hAnsi="Times New Roman" w:eastAsia="Times New Roman" w:cs="Times New Roman"/>
                <w:spacing w:val="-2"/>
              </w:rPr>
              <w:t>146mm</w:t>
            </w:r>
            <w:r>
              <w:rPr>
                <w:spacing w:val="-2"/>
              </w:rPr>
              <w:t>，壁厚</w:t>
            </w:r>
          </w:p>
          <w:p>
            <w:pPr>
              <w:pStyle w:val="TableText"/>
              <w:ind w:left="14"/>
              <w:spacing w:before="26" w:line="228" w:lineRule="auto"/>
              <w:rPr/>
            </w:pPr>
            <w:r>
              <w:rPr>
                <w:spacing w:val="3"/>
              </w:rPr>
              <w:t>不小于</w:t>
            </w:r>
            <w:r>
              <w:rPr>
                <w:spacing w:val="-32"/>
              </w:rPr>
              <w:t xml:space="preserve"> </w:t>
            </w:r>
            <w:r>
              <w:rPr>
                <w:rFonts w:ascii="Times New Roman" w:hAnsi="Times New Roman" w:eastAsia="Times New Roman" w:cs="Times New Roman"/>
                <w:spacing w:val="3"/>
              </w:rPr>
              <w:t>8.4</w:t>
            </w:r>
            <w:r>
              <w:rPr>
                <w:rFonts w:ascii="Times New Roman" w:hAnsi="Times New Roman" w:eastAsia="Times New Roman" w:cs="Times New Roman"/>
              </w:rPr>
              <w:t>mm</w:t>
            </w:r>
            <w:r>
              <w:rPr>
                <w:spacing w:val="3"/>
              </w:rPr>
              <w:t>，环状间隙</w:t>
            </w:r>
          </w:p>
          <w:p>
            <w:pPr>
              <w:pStyle w:val="TableText"/>
              <w:ind w:left="55"/>
              <w:spacing w:before="24" w:line="228" w:lineRule="auto"/>
              <w:rPr/>
            </w:pPr>
            <w:r>
              <w:rPr>
                <w:spacing w:val="3"/>
              </w:rPr>
              <w:t>不小于</w:t>
            </w:r>
            <w:r>
              <w:rPr>
                <w:spacing w:val="-15"/>
              </w:rPr>
              <w:t xml:space="preserve"> </w:t>
            </w:r>
            <w:r>
              <w:rPr>
                <w:rFonts w:ascii="Times New Roman" w:hAnsi="Times New Roman" w:eastAsia="Times New Roman" w:cs="Times New Roman"/>
                <w:spacing w:val="3"/>
              </w:rPr>
              <w:t>10</w:t>
            </w:r>
            <w:r>
              <w:rPr>
                <w:rFonts w:ascii="Times New Roman" w:hAnsi="Times New Roman" w:eastAsia="Times New Roman" w:cs="Times New Roman"/>
              </w:rPr>
              <w:t>cm</w:t>
            </w:r>
            <w:r>
              <w:rPr>
                <w:rFonts w:ascii="Times New Roman" w:hAnsi="Times New Roman" w:eastAsia="Times New Roman" w:cs="Times New Roman"/>
                <w:spacing w:val="-26"/>
              </w:rPr>
              <w:t xml:space="preserve"> </w:t>
            </w:r>
            <w:r>
              <w:rPr>
                <w:spacing w:val="3"/>
              </w:rPr>
              <w:t>，水位波动</w:t>
            </w:r>
          </w:p>
          <w:p>
            <w:pPr>
              <w:pStyle w:val="TableText"/>
              <w:spacing w:before="26" w:line="228" w:lineRule="auto"/>
              <w:jc w:val="right"/>
              <w:rPr/>
            </w:pPr>
            <w:r>
              <w:rPr>
                <w:spacing w:val="5"/>
              </w:rPr>
              <w:t>带以上下入实管，波动带</w:t>
            </w:r>
          </w:p>
          <w:p>
            <w:pPr>
              <w:pStyle w:val="TableText"/>
              <w:spacing w:before="24" w:line="228" w:lineRule="auto"/>
              <w:jc w:val="right"/>
              <w:rPr/>
            </w:pPr>
            <w:r>
              <w:rPr>
                <w:spacing w:val="4"/>
              </w:rPr>
              <w:t>以下下入滤水管，井底留</w:t>
            </w:r>
          </w:p>
          <w:p>
            <w:pPr>
              <w:pStyle w:val="TableText"/>
              <w:ind w:left="465"/>
              <w:spacing w:before="26" w:line="228" w:lineRule="auto"/>
              <w:rPr/>
            </w:pPr>
            <w:r>
              <w:rPr>
                <w:rFonts w:ascii="Times New Roman" w:hAnsi="Times New Roman" w:eastAsia="Times New Roman" w:cs="Times New Roman"/>
                <w:spacing w:val="6"/>
              </w:rPr>
              <w:t>3m </w:t>
            </w:r>
            <w:r>
              <w:rPr>
                <w:spacing w:val="6"/>
              </w:rPr>
              <w:t>长的沉淀管</w:t>
            </w:r>
          </w:p>
        </w:tc>
        <w:tc>
          <w:tcPr>
            <w:tcW w:w="821" w:type="dxa"/>
            <w:vAlign w:val="top"/>
            <w:vMerge w:val="restart"/>
            <w:tcBorders>
              <w:bottom w:val="nil"/>
            </w:tcBorders>
          </w:tcPr>
          <w:p>
            <w:pPr>
              <w:spacing w:line="257" w:lineRule="auto"/>
              <w:rPr>
                <w:rFonts w:ascii="Arial"/>
                <w:sz w:val="21"/>
              </w:rPr>
            </w:pPr>
            <w:r/>
          </w:p>
          <w:p>
            <w:pPr>
              <w:spacing w:line="258" w:lineRule="auto"/>
              <w:rPr>
                <w:rFonts w:ascii="Arial"/>
                <w:sz w:val="21"/>
              </w:rPr>
            </w:pPr>
            <w:r/>
          </w:p>
          <w:p>
            <w:pPr>
              <w:pStyle w:val="TableText"/>
              <w:ind w:left="104"/>
              <w:spacing w:before="65" w:line="228" w:lineRule="auto"/>
              <w:rPr/>
            </w:pPr>
            <w:r>
              <w:rPr>
                <w:spacing w:val="6"/>
              </w:rPr>
              <w:t>松散岩</w:t>
            </w:r>
          </w:p>
          <w:p>
            <w:pPr>
              <w:pStyle w:val="TableText"/>
              <w:ind w:left="103"/>
              <w:spacing w:before="26" w:line="228" w:lineRule="auto"/>
              <w:rPr/>
            </w:pPr>
            <w:r>
              <w:rPr>
                <w:spacing w:val="6"/>
              </w:rPr>
              <w:t>类孔隙</w:t>
            </w:r>
          </w:p>
          <w:p>
            <w:pPr>
              <w:pStyle w:val="TableText"/>
              <w:ind w:left="106"/>
              <w:spacing w:before="24" w:line="228" w:lineRule="auto"/>
              <w:rPr/>
            </w:pPr>
            <w:r>
              <w:rPr>
                <w:spacing w:val="6"/>
              </w:rPr>
              <w:t>水含水</w:t>
            </w:r>
          </w:p>
          <w:p>
            <w:pPr>
              <w:pStyle w:val="TableText"/>
              <w:ind w:left="312"/>
              <w:spacing w:before="26" w:line="228" w:lineRule="auto"/>
              <w:rPr/>
            </w:pPr>
            <w:r>
              <w:rPr/>
              <w:t>层</w:t>
            </w:r>
          </w:p>
        </w:tc>
        <w:tc>
          <w:tcPr>
            <w:tcW w:w="825" w:type="dxa"/>
            <w:vAlign w:val="top"/>
          </w:tcPr>
          <w:p>
            <w:pPr>
              <w:pStyle w:val="TableText"/>
              <w:ind w:left="105"/>
              <w:spacing w:before="167" w:line="228" w:lineRule="auto"/>
              <w:rPr/>
            </w:pPr>
            <w:r>
              <w:rPr>
                <w:spacing w:val="6"/>
              </w:rPr>
              <w:t>现有井</w:t>
            </w:r>
          </w:p>
        </w:tc>
      </w:tr>
      <w:tr>
        <w:trPr>
          <w:trHeight w:val="820" w:hRule="atLeast"/>
        </w:trPr>
        <w:tc>
          <w:tcPr>
            <w:tcW w:w="927" w:type="dxa"/>
            <w:vAlign w:val="top"/>
          </w:tcPr>
          <w:p>
            <w:pPr>
              <w:spacing w:line="280" w:lineRule="auto"/>
              <w:rPr>
                <w:rFonts w:ascii="Arial"/>
                <w:sz w:val="21"/>
              </w:rPr>
            </w:pPr>
            <w:r/>
          </w:p>
          <w:p>
            <w:pPr>
              <w:ind w:left="234"/>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SJ</w:t>
            </w:r>
            <w:r>
              <w:rPr>
                <w:rFonts w:ascii="Times New Roman" w:hAnsi="Times New Roman" w:eastAsia="Times New Roman" w:cs="Times New Roman"/>
                <w:sz w:val="20"/>
                <w:szCs w:val="20"/>
                <w:spacing w:val="2"/>
              </w:rPr>
              <w:t>-02</w:t>
            </w:r>
          </w:p>
        </w:tc>
        <w:tc>
          <w:tcPr>
            <w:tcW w:w="1436" w:type="dxa"/>
            <w:vAlign w:val="top"/>
          </w:tcPr>
          <w:p>
            <w:pPr>
              <w:pStyle w:val="TableText"/>
              <w:ind w:left="99"/>
              <w:spacing w:before="32" w:line="228" w:lineRule="auto"/>
              <w:rPr/>
            </w:pPr>
            <w:r>
              <w:rPr>
                <w:spacing w:val="7"/>
              </w:rPr>
              <w:t>东厂区洗毛车</w:t>
            </w:r>
          </w:p>
          <w:p>
            <w:pPr>
              <w:pStyle w:val="TableText"/>
              <w:ind w:left="108"/>
              <w:spacing w:before="24" w:line="228" w:lineRule="auto"/>
              <w:rPr/>
            </w:pPr>
            <w:r>
              <w:rPr>
                <w:spacing w:val="5"/>
              </w:rPr>
              <w:t>间西南侧（下</w:t>
            </w:r>
          </w:p>
          <w:p>
            <w:pPr>
              <w:pStyle w:val="TableText"/>
              <w:ind w:left="512"/>
              <w:spacing w:before="24" w:line="217" w:lineRule="auto"/>
              <w:rPr/>
            </w:pPr>
            <w:r>
              <w:rPr/>
              <w:t>游）</w:t>
            </w:r>
          </w:p>
        </w:tc>
        <w:tc>
          <w:tcPr>
            <w:tcW w:w="1183" w:type="dxa"/>
            <w:vAlign w:val="top"/>
          </w:tcPr>
          <w:p>
            <w:pPr>
              <w:spacing w:line="280" w:lineRule="auto"/>
              <w:rPr>
                <w:rFonts w:ascii="Arial"/>
                <w:sz w:val="21"/>
              </w:rPr>
            </w:pPr>
            <w:r/>
          </w:p>
          <w:p>
            <w:pPr>
              <w:ind w:left="26"/>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114.972063</w:t>
            </w:r>
          </w:p>
        </w:tc>
        <w:tc>
          <w:tcPr>
            <w:tcW w:w="1036" w:type="dxa"/>
            <w:vAlign w:val="top"/>
          </w:tcPr>
          <w:p>
            <w:pPr>
              <w:spacing w:line="280" w:lineRule="auto"/>
              <w:rPr>
                <w:rFonts w:ascii="Arial"/>
                <w:sz w:val="21"/>
              </w:rPr>
            </w:pPr>
            <w:r/>
          </w:p>
          <w:p>
            <w:pPr>
              <w:ind w:left="5"/>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42.295833</w:t>
            </w:r>
          </w:p>
        </w:tc>
        <w:tc>
          <w:tcPr>
            <w:tcW w:w="2286" w:type="dxa"/>
            <w:vAlign w:val="top"/>
            <w:vMerge w:val="continue"/>
            <w:tcBorders>
              <w:top w:val="nil"/>
              <w:bottom w:val="nil"/>
            </w:tcBorders>
          </w:tcPr>
          <w:p>
            <w:pPr>
              <w:rPr>
                <w:rFonts w:ascii="Arial"/>
                <w:sz w:val="21"/>
              </w:rPr>
            </w:pPr>
            <w:r/>
          </w:p>
        </w:tc>
        <w:tc>
          <w:tcPr>
            <w:tcW w:w="821" w:type="dxa"/>
            <w:vAlign w:val="top"/>
            <w:vMerge w:val="continue"/>
            <w:tcBorders>
              <w:top w:val="nil"/>
              <w:bottom w:val="nil"/>
            </w:tcBorders>
          </w:tcPr>
          <w:p>
            <w:pPr>
              <w:rPr>
                <w:rFonts w:ascii="Arial"/>
                <w:sz w:val="21"/>
              </w:rPr>
            </w:pPr>
            <w:r/>
          </w:p>
        </w:tc>
        <w:tc>
          <w:tcPr>
            <w:tcW w:w="825" w:type="dxa"/>
            <w:vAlign w:val="top"/>
          </w:tcPr>
          <w:p>
            <w:pPr>
              <w:pStyle w:val="TableText"/>
              <w:ind w:left="104"/>
              <w:spacing w:before="304" w:line="228" w:lineRule="auto"/>
              <w:rPr/>
            </w:pPr>
            <w:r>
              <w:rPr>
                <w:spacing w:val="6"/>
              </w:rPr>
              <w:t>新建井</w:t>
            </w:r>
          </w:p>
        </w:tc>
      </w:tr>
      <w:tr>
        <w:trPr>
          <w:trHeight w:val="825" w:hRule="atLeast"/>
        </w:trPr>
        <w:tc>
          <w:tcPr>
            <w:tcW w:w="927" w:type="dxa"/>
            <w:vAlign w:val="top"/>
          </w:tcPr>
          <w:p>
            <w:pPr>
              <w:spacing w:line="283" w:lineRule="auto"/>
              <w:rPr>
                <w:rFonts w:ascii="Arial"/>
                <w:sz w:val="21"/>
              </w:rPr>
            </w:pPr>
            <w:r/>
          </w:p>
          <w:p>
            <w:pPr>
              <w:ind w:left="234"/>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SJ</w:t>
            </w:r>
            <w:r>
              <w:rPr>
                <w:rFonts w:ascii="Times New Roman" w:hAnsi="Times New Roman" w:eastAsia="Times New Roman" w:cs="Times New Roman"/>
                <w:sz w:val="20"/>
                <w:szCs w:val="20"/>
                <w:spacing w:val="2"/>
              </w:rPr>
              <w:t>-03</w:t>
            </w:r>
          </w:p>
        </w:tc>
        <w:tc>
          <w:tcPr>
            <w:tcW w:w="1436" w:type="dxa"/>
            <w:vAlign w:val="top"/>
          </w:tcPr>
          <w:p>
            <w:pPr>
              <w:pStyle w:val="TableText"/>
              <w:ind w:left="97"/>
              <w:spacing w:before="33" w:line="227" w:lineRule="auto"/>
              <w:rPr/>
            </w:pPr>
            <w:r>
              <w:rPr>
                <w:spacing w:val="7"/>
              </w:rPr>
              <w:t>西厂区厌氧发</w:t>
            </w:r>
          </w:p>
          <w:p>
            <w:pPr>
              <w:pStyle w:val="TableText"/>
              <w:ind w:left="93"/>
              <w:spacing w:before="27" w:line="228" w:lineRule="auto"/>
              <w:rPr/>
            </w:pPr>
            <w:r>
              <w:rPr>
                <w:spacing w:val="8"/>
              </w:rPr>
              <w:t>酵装置西南侧</w:t>
            </w:r>
          </w:p>
          <w:p>
            <w:pPr>
              <w:pStyle w:val="TableText"/>
              <w:ind w:left="311"/>
              <w:spacing w:before="24" w:line="219" w:lineRule="auto"/>
              <w:rPr/>
            </w:pPr>
            <w:r>
              <w:rPr>
                <w:spacing w:val="2"/>
              </w:rPr>
              <w:t>（下游）</w:t>
            </w:r>
          </w:p>
        </w:tc>
        <w:tc>
          <w:tcPr>
            <w:tcW w:w="1183" w:type="dxa"/>
            <w:vAlign w:val="top"/>
          </w:tcPr>
          <w:p>
            <w:pPr>
              <w:spacing w:line="283" w:lineRule="auto"/>
              <w:rPr>
                <w:rFonts w:ascii="Arial"/>
                <w:sz w:val="21"/>
              </w:rPr>
            </w:pPr>
            <w:r/>
          </w:p>
          <w:p>
            <w:pPr>
              <w:ind w:left="26"/>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114.970034</w:t>
            </w:r>
          </w:p>
        </w:tc>
        <w:tc>
          <w:tcPr>
            <w:tcW w:w="1036" w:type="dxa"/>
            <w:vAlign w:val="top"/>
          </w:tcPr>
          <w:p>
            <w:pPr>
              <w:spacing w:line="283" w:lineRule="auto"/>
              <w:rPr>
                <w:rFonts w:ascii="Arial"/>
                <w:sz w:val="21"/>
              </w:rPr>
            </w:pPr>
            <w:r/>
          </w:p>
          <w:p>
            <w:pPr>
              <w:ind w:left="5"/>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4"/>
              </w:rPr>
              <w:t>42.294301</w:t>
            </w:r>
          </w:p>
        </w:tc>
        <w:tc>
          <w:tcPr>
            <w:tcW w:w="2286" w:type="dxa"/>
            <w:vAlign w:val="top"/>
            <w:vMerge w:val="continue"/>
            <w:tcBorders>
              <w:top w:val="nil"/>
            </w:tcBorders>
          </w:tcPr>
          <w:p>
            <w:pPr>
              <w:rPr>
                <w:rFonts w:ascii="Arial"/>
                <w:sz w:val="21"/>
              </w:rPr>
            </w:pPr>
            <w:r/>
          </w:p>
        </w:tc>
        <w:tc>
          <w:tcPr>
            <w:tcW w:w="821" w:type="dxa"/>
            <w:vAlign w:val="top"/>
            <w:vMerge w:val="continue"/>
            <w:tcBorders>
              <w:top w:val="nil"/>
            </w:tcBorders>
          </w:tcPr>
          <w:p>
            <w:pPr>
              <w:rPr>
                <w:rFonts w:ascii="Arial"/>
                <w:sz w:val="21"/>
              </w:rPr>
            </w:pPr>
            <w:r/>
          </w:p>
        </w:tc>
        <w:tc>
          <w:tcPr>
            <w:tcW w:w="825" w:type="dxa"/>
            <w:vAlign w:val="top"/>
          </w:tcPr>
          <w:p>
            <w:pPr>
              <w:rPr>
                <w:rFonts w:ascii="Arial"/>
                <w:sz w:val="21"/>
              </w:rPr>
            </w:pPr>
            <w:r/>
          </w:p>
          <w:p>
            <w:pPr>
              <w:pStyle w:val="TableText"/>
              <w:ind w:left="104"/>
              <w:spacing w:before="65" w:line="228" w:lineRule="auto"/>
              <w:rPr/>
            </w:pPr>
            <w:r>
              <w:rPr>
                <w:spacing w:val="6"/>
              </w:rPr>
              <w:t>新建井</w:t>
            </w:r>
          </w:p>
        </w:tc>
      </w:tr>
    </w:tbl>
    <w:p>
      <w:pPr>
        <w:ind w:left="509"/>
        <w:spacing w:before="36"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）监测层位及井深</w:t>
      </w:r>
    </w:p>
    <w:p>
      <w:pPr>
        <w:ind w:left="17" w:right="18" w:firstLine="480"/>
        <w:spacing w:before="182" w:line="359" w:lineRule="auto"/>
        <w:rPr>
          <w:rFonts w:ascii="SimSun" w:hAnsi="SimSun" w:eastAsia="SimSun" w:cs="SimSun"/>
          <w:sz w:val="24"/>
          <w:szCs w:val="24"/>
        </w:rPr>
      </w:pPr>
      <w:r>
        <w:rPr>
          <w:rFonts w:ascii="SimSun" w:hAnsi="SimSun" w:eastAsia="SimSun" w:cs="SimSun"/>
          <w:sz w:val="24"/>
          <w:szCs w:val="24"/>
          <w:spacing w:val="-2"/>
        </w:rPr>
        <w:t>监测潜水含水层，深入到含水层</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 </w:t>
      </w:r>
      <w:r>
        <w:rPr>
          <w:rFonts w:ascii="SimSun" w:hAnsi="SimSun" w:eastAsia="SimSun" w:cs="SimSun"/>
          <w:sz w:val="24"/>
          <w:szCs w:val="24"/>
          <w:spacing w:val="-2"/>
        </w:rPr>
        <w:t>米，成井管径不小于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146</w:t>
      </w:r>
      <w:r>
        <w:rPr>
          <w:rFonts w:ascii="Times New Roman" w:hAnsi="Times New Roman" w:eastAsia="Times New Roman" w:cs="Times New Roman"/>
          <w:sz w:val="24"/>
          <w:szCs w:val="24"/>
          <w:spacing w:val="-3"/>
        </w:rPr>
        <w:t>mm</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，壁厚不小于</w:t>
      </w:r>
      <w:r>
        <w:rPr>
          <w:rFonts w:ascii="SimSun" w:hAnsi="SimSun" w:eastAsia="SimSun" w:cs="SimSun"/>
          <w:sz w:val="24"/>
          <w:szCs w:val="24"/>
        </w:rPr>
        <w:t xml:space="preserve"> </w:t>
      </w:r>
      <w:r>
        <w:rPr>
          <w:rFonts w:ascii="Times New Roman" w:hAnsi="Times New Roman" w:eastAsia="Times New Roman" w:cs="Times New Roman"/>
          <w:sz w:val="24"/>
          <w:szCs w:val="24"/>
          <w:spacing w:val="-4"/>
        </w:rPr>
        <w:t>8.4mm</w:t>
      </w:r>
      <w:r>
        <w:rPr>
          <w:rFonts w:ascii="SimSun" w:hAnsi="SimSun" w:eastAsia="SimSun" w:cs="SimSun"/>
          <w:sz w:val="24"/>
          <w:szCs w:val="24"/>
          <w:spacing w:val="-4"/>
        </w:rPr>
        <w:t>，环状间隙不小于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10cm</w:t>
      </w:r>
      <w:r>
        <w:rPr>
          <w:rFonts w:ascii="SimSun" w:hAnsi="SimSun" w:eastAsia="SimSun" w:cs="SimSun"/>
          <w:sz w:val="24"/>
          <w:szCs w:val="24"/>
          <w:spacing w:val="-4"/>
        </w:rPr>
        <w:t>，水</w:t>
      </w:r>
      <w:r>
        <w:rPr>
          <w:rFonts w:ascii="SimSun" w:hAnsi="SimSun" w:eastAsia="SimSun" w:cs="SimSun"/>
          <w:sz w:val="24"/>
          <w:szCs w:val="24"/>
          <w:spacing w:val="-5"/>
        </w:rPr>
        <w:t>位波动带以上下入实管，波动带以下下入花管，</w:t>
      </w:r>
      <w:r>
        <w:rPr>
          <w:rFonts w:ascii="SimSun" w:hAnsi="SimSun" w:eastAsia="SimSun" w:cs="SimSun"/>
          <w:sz w:val="24"/>
          <w:szCs w:val="24"/>
        </w:rPr>
        <w:t xml:space="preserve"> </w:t>
      </w:r>
      <w:r>
        <w:rPr>
          <w:rFonts w:ascii="SimSun" w:hAnsi="SimSun" w:eastAsia="SimSun" w:cs="SimSun"/>
          <w:sz w:val="24"/>
          <w:szCs w:val="24"/>
          <w:spacing w:val="-2"/>
        </w:rPr>
        <w:t>井底留</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3m </w:t>
      </w:r>
      <w:r>
        <w:rPr>
          <w:rFonts w:ascii="SimSun" w:hAnsi="SimSun" w:eastAsia="SimSun" w:cs="SimSun"/>
          <w:sz w:val="24"/>
          <w:szCs w:val="24"/>
          <w:spacing w:val="-2"/>
        </w:rPr>
        <w:t>长的沉砂管。</w:t>
      </w:r>
    </w:p>
    <w:p>
      <w:pPr>
        <w:ind w:left="509"/>
        <w:spacing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）监测项目及频次</w:t>
      </w:r>
    </w:p>
    <w:p>
      <w:pPr>
        <w:ind w:left="17" w:firstLine="479"/>
        <w:spacing w:before="182" w:line="358" w:lineRule="auto"/>
        <w:rPr>
          <w:rFonts w:ascii="SimSun" w:hAnsi="SimSun" w:eastAsia="SimSun" w:cs="SimSun"/>
          <w:sz w:val="24"/>
          <w:szCs w:val="24"/>
        </w:rPr>
      </w:pPr>
      <w:r>
        <w:rPr>
          <w:rFonts w:ascii="SimSun" w:hAnsi="SimSun" w:eastAsia="SimSun" w:cs="SimSun"/>
          <w:sz w:val="24"/>
          <w:szCs w:val="24"/>
          <w:spacing w:val="-4"/>
        </w:rPr>
        <w:t>初次监测</w:t>
      </w:r>
      <w:r>
        <w:rPr>
          <w:rFonts w:ascii="Times New Roman" w:hAnsi="Times New Roman" w:eastAsia="Times New Roman" w:cs="Times New Roman"/>
          <w:sz w:val="24"/>
          <w:szCs w:val="24"/>
          <w:spacing w:val="-4"/>
        </w:rPr>
        <w:t>GB/T14848 </w:t>
      </w:r>
      <w:r>
        <w:rPr>
          <w:rFonts w:ascii="SimSun" w:hAnsi="SimSun" w:eastAsia="SimSun" w:cs="SimSun"/>
          <w:sz w:val="24"/>
          <w:szCs w:val="24"/>
          <w:spacing w:val="-4"/>
        </w:rPr>
        <w:t>表</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4"/>
        </w:rPr>
        <w:t>中</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35 </w:t>
      </w:r>
      <w:r>
        <w:rPr>
          <w:rFonts w:ascii="SimSun" w:hAnsi="SimSun" w:eastAsia="SimSun" w:cs="SimSun"/>
          <w:sz w:val="24"/>
          <w:szCs w:val="24"/>
          <w:spacing w:val="-4"/>
        </w:rPr>
        <w:t>项（微生物指标、放射性指标除外）</w:t>
      </w:r>
      <w:r>
        <w:rPr>
          <w:rFonts w:ascii="Times New Roman" w:hAnsi="Times New Roman" w:eastAsia="Times New Roman" w:cs="Times New Roman"/>
          <w:sz w:val="24"/>
          <w:szCs w:val="24"/>
          <w:spacing w:val="-4"/>
        </w:rPr>
        <w:t>+</w:t>
      </w:r>
      <w:r>
        <w:rPr>
          <w:rFonts w:ascii="SimSun" w:hAnsi="SimSun" w:eastAsia="SimSun" w:cs="SimSun"/>
          <w:sz w:val="24"/>
          <w:szCs w:val="24"/>
          <w:spacing w:val="-4"/>
        </w:rPr>
        <w:t>石油类；</w:t>
      </w:r>
      <w:r>
        <w:rPr>
          <w:rFonts w:ascii="SimSun" w:hAnsi="SimSun" w:eastAsia="SimSun" w:cs="SimSun"/>
          <w:sz w:val="24"/>
          <w:szCs w:val="24"/>
        </w:rPr>
        <w:t xml:space="preserve"> </w:t>
      </w:r>
      <w:r>
        <w:rPr>
          <w:rFonts w:ascii="SimSun" w:hAnsi="SimSun" w:eastAsia="SimSun" w:cs="SimSun"/>
          <w:sz w:val="24"/>
          <w:szCs w:val="24"/>
          <w:spacing w:val="1"/>
        </w:rPr>
        <w:t>后续监测因为为前期监测中超标的污染因子及本项目关注的因子（</w:t>
      </w:r>
      <w:r>
        <w:rPr>
          <w:rFonts w:ascii="Times New Roman" w:hAnsi="Times New Roman" w:eastAsia="Times New Roman" w:cs="Times New Roman"/>
          <w:sz w:val="24"/>
          <w:szCs w:val="24"/>
        </w:rPr>
        <w:t>pH</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、耗氧量、</w:t>
      </w:r>
      <w:r>
        <w:rPr>
          <w:rFonts w:ascii="SimSun" w:hAnsi="SimSun" w:eastAsia="SimSun" w:cs="SimSun"/>
          <w:sz w:val="24"/>
          <w:szCs w:val="24"/>
        </w:rPr>
        <w:t xml:space="preserve"> </w:t>
      </w:r>
      <w:r>
        <w:rPr>
          <w:rFonts w:ascii="SimSun" w:hAnsi="SimSun" w:eastAsia="SimSun" w:cs="SimSun"/>
          <w:sz w:val="24"/>
          <w:szCs w:val="24"/>
          <w:spacing w:val="-1"/>
        </w:rPr>
        <w:t>氨氮、阴离子表面活性剂、石油类等）。监测频次为上游监测井</w:t>
      </w:r>
      <w:r>
        <w:rPr>
          <w:rFonts w:ascii="SimSun" w:hAnsi="SimSun" w:eastAsia="SimSun" w:cs="SimSun"/>
          <w:sz w:val="24"/>
          <w:szCs w:val="24"/>
          <w:spacing w:val="-17"/>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1"/>
        </w:rPr>
        <w:t>次</w:t>
      </w:r>
      <w:r>
        <w:rPr>
          <w:rFonts w:ascii="Times New Roman" w:hAnsi="Times New Roman" w:eastAsia="Times New Roman" w:cs="Times New Roman"/>
          <w:sz w:val="24"/>
          <w:szCs w:val="24"/>
          <w:spacing w:val="-1"/>
        </w:rPr>
        <w:t>/</w:t>
      </w:r>
      <w:r>
        <w:rPr>
          <w:rFonts w:ascii="SimSun" w:hAnsi="SimSun" w:eastAsia="SimSun" w:cs="SimSun"/>
          <w:sz w:val="24"/>
          <w:szCs w:val="24"/>
          <w:spacing w:val="-1"/>
        </w:rPr>
        <w:t>年，下游监</w:t>
      </w:r>
      <w:r>
        <w:rPr>
          <w:rFonts w:ascii="SimSun" w:hAnsi="SimSun" w:eastAsia="SimSun" w:cs="SimSun"/>
          <w:sz w:val="24"/>
          <w:szCs w:val="24"/>
        </w:rPr>
        <w:t xml:space="preserve"> </w:t>
      </w:r>
      <w:r>
        <w:rPr>
          <w:rFonts w:ascii="SimSun" w:hAnsi="SimSun" w:eastAsia="SimSun" w:cs="SimSun"/>
          <w:sz w:val="24"/>
          <w:szCs w:val="24"/>
          <w:spacing w:val="-5"/>
        </w:rPr>
        <w:t>测井</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次</w:t>
      </w:r>
      <w:r>
        <w:rPr>
          <w:rFonts w:ascii="Times New Roman" w:hAnsi="Times New Roman" w:eastAsia="Times New Roman" w:cs="Times New Roman"/>
          <w:sz w:val="24"/>
          <w:szCs w:val="24"/>
          <w:spacing w:val="-5"/>
        </w:rPr>
        <w:t>/</w:t>
      </w:r>
      <w:r>
        <w:rPr>
          <w:rFonts w:ascii="SimSun" w:hAnsi="SimSun" w:eastAsia="SimSun" w:cs="SimSun"/>
          <w:sz w:val="24"/>
          <w:szCs w:val="24"/>
          <w:spacing w:val="-5"/>
        </w:rPr>
        <w:t>半年，当厂区发生泄漏事故或发现地下水污染现象时，应加大取样频率。</w:t>
      </w:r>
    </w:p>
    <w:p>
      <w:pPr>
        <w:ind w:left="15" w:right="78" w:firstLine="483"/>
        <w:spacing w:before="8" w:line="360" w:lineRule="auto"/>
        <w:rPr>
          <w:rFonts w:ascii="SimSun" w:hAnsi="SimSun" w:eastAsia="SimSun" w:cs="SimSun"/>
          <w:sz w:val="24"/>
          <w:szCs w:val="24"/>
        </w:rPr>
      </w:pPr>
      <w:r>
        <w:rPr>
          <w:rFonts w:ascii="SimSun" w:hAnsi="SimSun" w:eastAsia="SimSun" w:cs="SimSun"/>
          <w:sz w:val="24"/>
          <w:szCs w:val="24"/>
          <w:spacing w:val="3"/>
        </w:rPr>
        <w:t>上述监测结果应按项目有关规定及时建立档案，并定期向厂安</w:t>
      </w:r>
      <w:r>
        <w:rPr>
          <w:rFonts w:ascii="SimSun" w:hAnsi="SimSun" w:eastAsia="SimSun" w:cs="SimSun"/>
          <w:sz w:val="24"/>
          <w:szCs w:val="24"/>
          <w:spacing w:val="2"/>
        </w:rPr>
        <w:t>全环保部门汇</w:t>
      </w:r>
      <w:r>
        <w:rPr>
          <w:rFonts w:ascii="SimSun" w:hAnsi="SimSun" w:eastAsia="SimSun" w:cs="SimSun"/>
          <w:sz w:val="24"/>
          <w:szCs w:val="24"/>
        </w:rPr>
        <w:t xml:space="preserve"> </w:t>
      </w:r>
      <w:r>
        <w:rPr>
          <w:rFonts w:ascii="SimSun" w:hAnsi="SimSun" w:eastAsia="SimSun" w:cs="SimSun"/>
          <w:sz w:val="24"/>
          <w:szCs w:val="24"/>
          <w:spacing w:val="3"/>
        </w:rPr>
        <w:t>报，对于常规监测数据应该进行公开，特别是对项目所在区</w:t>
      </w:r>
      <w:r>
        <w:rPr>
          <w:rFonts w:ascii="SimSun" w:hAnsi="SimSun" w:eastAsia="SimSun" w:cs="SimSun"/>
          <w:sz w:val="24"/>
          <w:szCs w:val="24"/>
          <w:spacing w:val="2"/>
        </w:rPr>
        <w:t>域的居民进行公开，</w:t>
      </w:r>
      <w:r>
        <w:rPr>
          <w:rFonts w:ascii="SimSun" w:hAnsi="SimSun" w:eastAsia="SimSun" w:cs="SimSun"/>
          <w:sz w:val="24"/>
          <w:szCs w:val="24"/>
        </w:rPr>
        <w:t xml:space="preserve"> </w:t>
      </w:r>
      <w:r>
        <w:rPr>
          <w:rFonts w:ascii="SimSun" w:hAnsi="SimSun" w:eastAsia="SimSun" w:cs="SimSun"/>
          <w:sz w:val="24"/>
          <w:szCs w:val="24"/>
        </w:rPr>
        <w:t>满足法律中关于知情权的要求。发现泄漏时，及时</w:t>
      </w:r>
      <w:r>
        <w:rPr>
          <w:rFonts w:ascii="SimSun" w:hAnsi="SimSun" w:eastAsia="SimSun" w:cs="SimSun"/>
          <w:sz w:val="24"/>
          <w:szCs w:val="24"/>
          <w:spacing w:val="-1"/>
        </w:rPr>
        <w:t>采取对应应急措施。</w:t>
      </w:r>
    </w:p>
    <w:p>
      <w:pPr>
        <w:pStyle w:val="BodyText"/>
        <w:spacing w:line="277" w:lineRule="auto"/>
        <w:rPr/>
      </w:pPr>
      <w:r/>
    </w:p>
    <w:p>
      <w:pPr>
        <w:pStyle w:val="BodyText"/>
        <w:spacing w:line="277" w:lineRule="auto"/>
        <w:rPr/>
      </w:pPr>
      <w:r/>
    </w:p>
    <w:p>
      <w:pPr>
        <w:pStyle w:val="BodyText"/>
        <w:spacing w:line="277" w:lineRule="auto"/>
        <w:rPr/>
      </w:pPr>
      <w:r/>
    </w:p>
    <w:p>
      <w:pPr>
        <w:pStyle w:val="BodyText"/>
        <w:spacing w:line="277" w:lineRule="auto"/>
        <w:rPr/>
      </w:pPr>
      <w:r/>
    </w:p>
    <w:p>
      <w:pPr>
        <w:ind w:left="15"/>
        <w:spacing w:before="62" w:line="227" w:lineRule="auto"/>
        <w:rPr>
          <w:rFonts w:ascii="SimSun" w:hAnsi="SimSun" w:eastAsia="SimSun" w:cs="SimSun"/>
          <w:sz w:val="19"/>
          <w:szCs w:val="19"/>
        </w:rPr>
      </w:pPr>
      <w:r>
        <w:pict>
          <v:shape id="_x0000_s1248" style="position:absolute;margin-left:159.72pt;margin-top:2.11512pt;mso-position-vertical-relative:text;mso-position-horizontal-relative:text;width:61pt;height:13.75pt;z-index:25232486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275</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369"/>
          <w:footerReference w:type="default" r:id="rId3"/>
          <w:pgSz w:w="11907" w:h="16840"/>
          <w:pgMar w:top="1567" w:right="1621" w:bottom="400" w:left="1693" w:header="1221" w:footer="0" w:gutter="0"/>
        </w:sectPr>
        <w:rPr>
          <w:rFonts w:ascii="SimSun" w:hAnsi="SimSun" w:eastAsia="SimSun" w:cs="SimSun"/>
          <w:sz w:val="19"/>
          <w:szCs w:val="19"/>
        </w:rPr>
      </w:pPr>
    </w:p>
    <w:p>
      <w:pPr>
        <w:spacing w:before="133" w:line="6992" w:lineRule="exact"/>
        <w:rPr/>
      </w:pPr>
      <w:r>
        <w:pict>
          <v:shape id="_x0000_s1250" style="position:absolute;margin-left:85.05pt;margin-top:78.87pt;mso-position-vertical-relative:page;mso-position-horizontal-relative:page;width:425.25pt;height:0.75pt;z-index:252327936;" o:allowincell="f" fillcolor="#000000" filled="true" stroked="false" coordsize="8505,15" coordorigin="0,0" path="m,l8505,0l8505,14l0,14l0,0xe"/>
        </w:pict>
      </w:r>
      <w:r>
        <w:rPr>
          <w:position w:val="-139"/>
        </w:rPr>
        <w:drawing>
          <wp:inline distT="0" distB="0" distL="0" distR="0">
            <wp:extent cx="5399531" cy="4439411"/>
            <wp:effectExtent l="0" t="0" r="0" b="0"/>
            <wp:docPr id="218" name="IM 218"/>
            <wp:cNvGraphicFramePr/>
            <a:graphic>
              <a:graphicData uri="http://schemas.openxmlformats.org/drawingml/2006/picture">
                <pic:pic>
                  <pic:nvPicPr>
                    <pic:cNvPr id="218" name="IM 218"/>
                    <pic:cNvPicPr/>
                  </pic:nvPicPr>
                  <pic:blipFill>
                    <a:blip r:embed="rId371"/>
                    <a:stretch>
                      <a:fillRect/>
                    </a:stretch>
                  </pic:blipFill>
                  <pic:spPr>
                    <a:xfrm rot="0">
                      <a:off x="0" y="0"/>
                      <a:ext cx="5399531" cy="4439411"/>
                    </a:xfrm>
                    <a:prstGeom prst="rect">
                      <a:avLst/>
                    </a:prstGeom>
                  </pic:spPr>
                </pic:pic>
              </a:graphicData>
            </a:graphic>
          </wp:inline>
        </w:drawing>
      </w:r>
    </w:p>
    <w:p>
      <w:pPr>
        <w:ind w:left="2078"/>
        <w:spacing w:before="200"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35"/>
        </w:rPr>
        <w:t xml:space="preserve"> </w:t>
      </w:r>
      <w:r>
        <w:rPr>
          <w:rFonts w:ascii="Times New Roman" w:hAnsi="Times New Roman" w:eastAsia="Times New Roman" w:cs="Times New Roman"/>
          <w:sz w:val="24"/>
          <w:szCs w:val="24"/>
          <w:b/>
          <w:bCs/>
          <w:spacing w:val="-3"/>
        </w:rPr>
        <w:t>7.2-2        </w:t>
      </w:r>
      <w:r>
        <w:rPr>
          <w:rFonts w:ascii="SimSun" w:hAnsi="SimSun" w:eastAsia="SimSun" w:cs="SimSun"/>
          <w:sz w:val="24"/>
          <w:szCs w:val="24"/>
          <w:b/>
          <w:bCs/>
          <w:spacing w:val="-3"/>
        </w:rPr>
        <w:t>地下水跟踪监测井位置示意图</w:t>
      </w:r>
    </w:p>
    <w:p>
      <w:pPr>
        <w:ind w:left="8"/>
        <w:spacing w:before="185"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7.2.2.4 </w:t>
      </w:r>
      <w:r>
        <w:rPr>
          <w:rFonts w:ascii="SimSun" w:hAnsi="SimSun" w:eastAsia="SimSun" w:cs="SimSun"/>
          <w:sz w:val="24"/>
          <w:szCs w:val="24"/>
          <w:b/>
          <w:bCs/>
          <w:spacing w:val="-2"/>
        </w:rPr>
        <w:t>地下水风险应急预案</w:t>
      </w:r>
    </w:p>
    <w:p>
      <w:pPr>
        <w:ind w:left="29" w:right="78" w:firstLine="459"/>
        <w:spacing w:before="216" w:line="384" w:lineRule="auto"/>
        <w:rPr>
          <w:rFonts w:ascii="SimSun" w:hAnsi="SimSun" w:eastAsia="SimSun" w:cs="SimSun"/>
          <w:sz w:val="24"/>
          <w:szCs w:val="24"/>
        </w:rPr>
      </w:pPr>
      <w:r>
        <w:rPr>
          <w:rFonts w:ascii="SimSun" w:hAnsi="SimSun" w:eastAsia="SimSun" w:cs="SimSun"/>
          <w:sz w:val="24"/>
          <w:szCs w:val="24"/>
          <w:spacing w:val="3"/>
        </w:rPr>
        <w:t>在制定建设项目安全管理制度的基础上，制定专门针对地下水污染</w:t>
      </w:r>
      <w:r>
        <w:rPr>
          <w:rFonts w:ascii="SimSun" w:hAnsi="SimSun" w:eastAsia="SimSun" w:cs="SimSun"/>
          <w:sz w:val="24"/>
          <w:szCs w:val="24"/>
          <w:spacing w:val="2"/>
        </w:rPr>
        <w:t>风险事故</w:t>
      </w:r>
      <w:r>
        <w:rPr>
          <w:rFonts w:ascii="SimSun" w:hAnsi="SimSun" w:eastAsia="SimSun" w:cs="SimSun"/>
          <w:sz w:val="24"/>
          <w:szCs w:val="24"/>
        </w:rPr>
        <w:t xml:space="preserve"> </w:t>
      </w:r>
      <w:r>
        <w:rPr>
          <w:rFonts w:ascii="SimSun" w:hAnsi="SimSun" w:eastAsia="SimSun" w:cs="SimSun"/>
          <w:sz w:val="24"/>
          <w:szCs w:val="24"/>
          <w:spacing w:val="-2"/>
        </w:rPr>
        <w:t>的应急预案，并应与其他应急措施相协调。</w:t>
      </w:r>
    </w:p>
    <w:p>
      <w:pPr>
        <w:ind w:left="501"/>
        <w:spacing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）制定预案目的</w:t>
      </w:r>
    </w:p>
    <w:p>
      <w:pPr>
        <w:ind w:left="8" w:firstLine="483"/>
        <w:spacing w:before="214" w:line="385" w:lineRule="auto"/>
        <w:rPr>
          <w:rFonts w:ascii="SimSun" w:hAnsi="SimSun" w:eastAsia="SimSun" w:cs="SimSun"/>
          <w:sz w:val="24"/>
          <w:szCs w:val="24"/>
        </w:rPr>
      </w:pPr>
      <w:r>
        <w:rPr>
          <w:rFonts w:ascii="SimSun" w:hAnsi="SimSun" w:eastAsia="SimSun" w:cs="SimSun"/>
          <w:sz w:val="24"/>
          <w:szCs w:val="24"/>
          <w:spacing w:val="3"/>
        </w:rPr>
        <w:t>为有序开展地下水污染事故处理，有效控制地下水环境污染</w:t>
      </w:r>
      <w:r>
        <w:rPr>
          <w:rFonts w:ascii="SimSun" w:hAnsi="SimSun" w:eastAsia="SimSun" w:cs="SimSun"/>
          <w:sz w:val="24"/>
          <w:szCs w:val="24"/>
          <w:spacing w:val="2"/>
        </w:rPr>
        <w:t>范围和程度，降</w:t>
      </w:r>
      <w:r>
        <w:rPr>
          <w:rFonts w:ascii="SimSun" w:hAnsi="SimSun" w:eastAsia="SimSun" w:cs="SimSun"/>
          <w:sz w:val="24"/>
          <w:szCs w:val="24"/>
        </w:rPr>
        <w:t xml:space="preserve"> </w:t>
      </w:r>
      <w:r>
        <w:rPr>
          <w:rFonts w:ascii="SimSun" w:hAnsi="SimSun" w:eastAsia="SimSun" w:cs="SimSun"/>
          <w:sz w:val="24"/>
          <w:szCs w:val="24"/>
          <w:spacing w:val="3"/>
        </w:rPr>
        <w:t>低污染事故所引起的社会恐慌程度，保障周边居民供水安</w:t>
      </w:r>
      <w:r>
        <w:rPr>
          <w:rFonts w:ascii="SimSun" w:hAnsi="SimSun" w:eastAsia="SimSun" w:cs="SimSun"/>
          <w:sz w:val="24"/>
          <w:szCs w:val="24"/>
          <w:spacing w:val="2"/>
        </w:rPr>
        <w:t>全，科学修复地下水环</w:t>
      </w:r>
      <w:r>
        <w:rPr>
          <w:rFonts w:ascii="SimSun" w:hAnsi="SimSun" w:eastAsia="SimSun" w:cs="SimSun"/>
          <w:sz w:val="24"/>
          <w:szCs w:val="24"/>
        </w:rPr>
        <w:t xml:space="preserve"> </w:t>
      </w:r>
      <w:r>
        <w:rPr>
          <w:rFonts w:ascii="SimSun" w:hAnsi="SimSun" w:eastAsia="SimSun" w:cs="SimSun"/>
          <w:sz w:val="24"/>
          <w:szCs w:val="24"/>
          <w:spacing w:val="-2"/>
        </w:rPr>
        <w:t>境。结合本项目特点，参照有关技术导则，制定地下水污染事故处理程序见下图。</w:t>
      </w:r>
    </w:p>
    <w:p>
      <w:pPr>
        <w:ind w:left="501"/>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）地下水应急预案的内容：</w:t>
      </w:r>
    </w:p>
    <w:p>
      <w:pPr>
        <w:ind w:left="488"/>
        <w:spacing w:before="214" w:line="217" w:lineRule="auto"/>
        <w:rPr>
          <w:rFonts w:ascii="SimSun" w:hAnsi="SimSun" w:eastAsia="SimSun" w:cs="SimSun"/>
          <w:sz w:val="24"/>
          <w:szCs w:val="24"/>
        </w:rPr>
      </w:pPr>
      <w:r>
        <w:rPr>
          <w:rFonts w:ascii="SimSun" w:hAnsi="SimSun" w:eastAsia="SimSun" w:cs="SimSun"/>
          <w:sz w:val="24"/>
          <w:szCs w:val="24"/>
          <w:spacing w:val="-1"/>
        </w:rPr>
        <w:t>①应急预案的日常协调和指挥机构；</w:t>
      </w:r>
    </w:p>
    <w:p>
      <w:pPr>
        <w:ind w:left="488"/>
        <w:spacing w:before="217" w:line="217" w:lineRule="auto"/>
        <w:rPr>
          <w:rFonts w:ascii="SimSun" w:hAnsi="SimSun" w:eastAsia="SimSun" w:cs="SimSun"/>
          <w:sz w:val="24"/>
          <w:szCs w:val="24"/>
        </w:rPr>
      </w:pPr>
      <w:r>
        <w:rPr>
          <w:rFonts w:ascii="SimSun" w:hAnsi="SimSun" w:eastAsia="SimSun" w:cs="SimSun"/>
          <w:sz w:val="24"/>
          <w:szCs w:val="24"/>
          <w:spacing w:val="-1"/>
        </w:rPr>
        <w:t>②相关部门在应急预案中的职责和分工；</w:t>
      </w:r>
    </w:p>
    <w:p>
      <w:pPr>
        <w:ind w:left="488"/>
        <w:spacing w:before="220" w:line="217" w:lineRule="auto"/>
        <w:rPr>
          <w:rFonts w:ascii="SimSun" w:hAnsi="SimSun" w:eastAsia="SimSun" w:cs="SimSun"/>
          <w:sz w:val="24"/>
          <w:szCs w:val="24"/>
        </w:rPr>
      </w:pPr>
      <w:r>
        <w:rPr>
          <w:rFonts w:ascii="SimSun" w:hAnsi="SimSun" w:eastAsia="SimSun" w:cs="SimSun"/>
          <w:sz w:val="24"/>
          <w:szCs w:val="24"/>
        </w:rPr>
        <w:t>③地下水环境保护目标的确定，采取的紧急处置措施</w:t>
      </w:r>
      <w:r>
        <w:rPr>
          <w:rFonts w:ascii="SimSun" w:hAnsi="SimSun" w:eastAsia="SimSun" w:cs="SimSun"/>
          <w:sz w:val="24"/>
          <w:szCs w:val="24"/>
          <w:spacing w:val="-1"/>
        </w:rPr>
        <w:t>和潜在污染源评估；</w:t>
      </w:r>
    </w:p>
    <w:p>
      <w:pPr>
        <w:spacing w:line="217" w:lineRule="auto"/>
        <w:sectPr>
          <w:headerReference w:type="default" r:id="rId11"/>
          <w:footerReference w:type="default" r:id="rId370"/>
          <w:pgSz w:w="11907" w:h="16840"/>
          <w:pgMar w:top="1567" w:right="1621" w:bottom="1921" w:left="1701" w:header="1221" w:footer="1247" w:gutter="0"/>
        </w:sectPr>
        <w:rPr>
          <w:rFonts w:ascii="SimSun" w:hAnsi="SimSun" w:eastAsia="SimSun" w:cs="SimSun"/>
          <w:sz w:val="24"/>
          <w:szCs w:val="24"/>
        </w:rPr>
      </w:pPr>
    </w:p>
    <w:p>
      <w:pPr>
        <w:pStyle w:val="BodyText"/>
        <w:spacing w:line="266" w:lineRule="auto"/>
        <w:rPr/>
      </w:pPr>
      <w:r>
        <w:pict>
          <v:shape id="_x0000_s1252" style="position:absolute;margin-left:0pt;margin-top:0.731079pt;mso-position-vertical-relative:text;mso-position-horizontal-relative:text;width:425.25pt;height:0.75pt;z-index:252332032;" fillcolor="#000000" filled="true" stroked="false" coordsize="8505,15" coordorigin="0,0" path="m,l8505,0l8505,14l0,14l0,0xe"/>
        </w:pict>
      </w:r>
      <w:r/>
    </w:p>
    <w:p>
      <w:pPr>
        <w:ind w:left="488"/>
        <w:spacing w:before="78" w:line="217" w:lineRule="auto"/>
        <w:rPr>
          <w:rFonts w:ascii="SimSun" w:hAnsi="SimSun" w:eastAsia="SimSun" w:cs="SimSun"/>
          <w:sz w:val="24"/>
          <w:szCs w:val="24"/>
        </w:rPr>
      </w:pPr>
      <w:r>
        <w:rPr>
          <w:rFonts w:ascii="SimSun" w:hAnsi="SimSun" w:eastAsia="SimSun" w:cs="SimSun"/>
          <w:sz w:val="24"/>
          <w:szCs w:val="24"/>
        </w:rPr>
        <w:t>④特大事故应急救援组织状况和人员、装备情况，</w:t>
      </w:r>
      <w:r>
        <w:rPr>
          <w:rFonts w:ascii="SimSun" w:hAnsi="SimSun" w:eastAsia="SimSun" w:cs="SimSun"/>
          <w:sz w:val="24"/>
          <w:szCs w:val="24"/>
          <w:spacing w:val="-1"/>
        </w:rPr>
        <w:t>平常的训练和演习；</w:t>
      </w:r>
    </w:p>
    <w:p>
      <w:pPr>
        <w:ind w:left="8" w:firstLine="479"/>
        <w:spacing w:before="217" w:line="343" w:lineRule="auto"/>
        <w:rPr>
          <w:rFonts w:ascii="SimSun" w:hAnsi="SimSun" w:eastAsia="SimSun" w:cs="SimSun"/>
          <w:sz w:val="24"/>
          <w:szCs w:val="24"/>
        </w:rPr>
      </w:pPr>
      <w:r>
        <w:rPr>
          <w:rFonts w:ascii="SimSun" w:hAnsi="SimSun" w:eastAsia="SimSun" w:cs="SimSun"/>
          <w:sz w:val="24"/>
          <w:szCs w:val="24"/>
          <w:spacing w:val="3"/>
        </w:rPr>
        <w:t>⑤特大事故的社会支持和援助，应急救援的经费保障。污染事故</w:t>
      </w:r>
      <w:r>
        <w:rPr>
          <w:rFonts w:ascii="SimSun" w:hAnsi="SimSun" w:eastAsia="SimSun" w:cs="SimSun"/>
          <w:sz w:val="24"/>
          <w:szCs w:val="24"/>
          <w:spacing w:val="2"/>
        </w:rPr>
        <w:t>发生后，应</w:t>
      </w:r>
      <w:r>
        <w:rPr>
          <w:rFonts w:ascii="SimSun" w:hAnsi="SimSun" w:eastAsia="SimSun" w:cs="SimSun"/>
          <w:sz w:val="24"/>
          <w:szCs w:val="24"/>
        </w:rPr>
        <w:t xml:space="preserve"> </w:t>
      </w:r>
      <w:r>
        <w:rPr>
          <w:rFonts w:ascii="SimSun" w:hAnsi="SimSun" w:eastAsia="SimSun" w:cs="SimSun"/>
          <w:sz w:val="24"/>
          <w:szCs w:val="24"/>
          <w:spacing w:val="3"/>
        </w:rPr>
        <w:t>及时进行现场污染控制和处理，包括阻断污染源、清理污</w:t>
      </w:r>
      <w:r>
        <w:rPr>
          <w:rFonts w:ascii="SimSun" w:hAnsi="SimSun" w:eastAsia="SimSun" w:cs="SimSun"/>
          <w:sz w:val="24"/>
          <w:szCs w:val="24"/>
          <w:spacing w:val="2"/>
        </w:rPr>
        <w:t>染物等措施；必要时及</w:t>
      </w:r>
      <w:r>
        <w:rPr>
          <w:rFonts w:ascii="SimSun" w:hAnsi="SimSun" w:eastAsia="SimSun" w:cs="SimSun"/>
          <w:sz w:val="24"/>
          <w:szCs w:val="24"/>
        </w:rPr>
        <w:t xml:space="preserve"> </w:t>
      </w:r>
      <w:r>
        <w:rPr>
          <w:rFonts w:ascii="SimSun" w:hAnsi="SimSun" w:eastAsia="SimSun" w:cs="SimSun"/>
          <w:sz w:val="24"/>
          <w:szCs w:val="24"/>
          <w:spacing w:val="3"/>
        </w:rPr>
        <w:t>时向各级政府承保。同时对污染事故风险及时做出初步评</w:t>
      </w:r>
      <w:r>
        <w:rPr>
          <w:rFonts w:ascii="SimSun" w:hAnsi="SimSun" w:eastAsia="SimSun" w:cs="SimSun"/>
          <w:sz w:val="24"/>
          <w:szCs w:val="24"/>
          <w:spacing w:val="2"/>
        </w:rPr>
        <w:t>估，影响到周边居民和</w:t>
      </w:r>
      <w:r>
        <w:rPr>
          <w:rFonts w:ascii="SimSun" w:hAnsi="SimSun" w:eastAsia="SimSun" w:cs="SimSun"/>
          <w:sz w:val="24"/>
          <w:szCs w:val="24"/>
        </w:rPr>
        <w:t xml:space="preserve"> </w:t>
      </w:r>
      <w:r>
        <w:rPr>
          <w:rFonts w:ascii="SimSun" w:hAnsi="SimSun" w:eastAsia="SimSun" w:cs="SimSun"/>
          <w:sz w:val="24"/>
          <w:szCs w:val="24"/>
          <w:spacing w:val="-1"/>
        </w:rPr>
        <w:t>企业供水安全时，及时采取应对措施。</w:t>
      </w:r>
    </w:p>
    <w:p>
      <w:pPr>
        <w:ind w:left="11" w:right="2" w:firstLine="476"/>
        <w:spacing w:before="216" w:line="302" w:lineRule="auto"/>
        <w:rPr>
          <w:rFonts w:ascii="SimSun" w:hAnsi="SimSun" w:eastAsia="SimSun" w:cs="SimSun"/>
          <w:sz w:val="24"/>
          <w:szCs w:val="24"/>
        </w:rPr>
      </w:pPr>
      <w:r>
        <w:rPr>
          <w:rFonts w:ascii="SimSun" w:hAnsi="SimSun" w:eastAsia="SimSun" w:cs="SimSun"/>
          <w:sz w:val="24"/>
          <w:szCs w:val="24"/>
          <w:spacing w:val="3"/>
        </w:rPr>
        <w:t>⑥对事故的起因及采取措施的有效性进行评估，总结经验和教训</w:t>
      </w:r>
      <w:r>
        <w:rPr>
          <w:rFonts w:ascii="SimSun" w:hAnsi="SimSun" w:eastAsia="SimSun" w:cs="SimSun"/>
          <w:sz w:val="24"/>
          <w:szCs w:val="24"/>
          <w:spacing w:val="2"/>
        </w:rPr>
        <w:t>，并在应急</w:t>
      </w:r>
      <w:r>
        <w:rPr>
          <w:rFonts w:ascii="SimSun" w:hAnsi="SimSun" w:eastAsia="SimSun" w:cs="SimSun"/>
          <w:sz w:val="24"/>
          <w:szCs w:val="24"/>
        </w:rPr>
        <w:t xml:space="preserve"> </w:t>
      </w:r>
      <w:r>
        <w:rPr>
          <w:rFonts w:ascii="SimSun" w:hAnsi="SimSun" w:eastAsia="SimSun" w:cs="SimSun"/>
          <w:sz w:val="24"/>
          <w:szCs w:val="24"/>
          <w:spacing w:val="-1"/>
        </w:rPr>
        <w:t>预案中做相应修订，防止类似事件的发生。</w:t>
      </w:r>
    </w:p>
    <w:p>
      <w:pPr>
        <w:ind w:left="9" w:firstLine="480"/>
        <w:spacing w:before="212" w:line="360" w:lineRule="auto"/>
        <w:jc w:val="both"/>
        <w:rPr>
          <w:rFonts w:ascii="SimSun" w:hAnsi="SimSun" w:eastAsia="SimSun" w:cs="SimSun"/>
          <w:sz w:val="24"/>
          <w:szCs w:val="24"/>
        </w:rPr>
      </w:pPr>
      <w:r>
        <w:rPr>
          <w:rFonts w:ascii="SimSun" w:hAnsi="SimSun" w:eastAsia="SimSun" w:cs="SimSun"/>
          <w:sz w:val="24"/>
          <w:szCs w:val="24"/>
          <w:spacing w:val="3"/>
        </w:rPr>
        <w:t>此外，污染事故发生后要进行地下水环境风险评估。应急处理结</w:t>
      </w:r>
      <w:r>
        <w:rPr>
          <w:rFonts w:ascii="SimSun" w:hAnsi="SimSun" w:eastAsia="SimSun" w:cs="SimSun"/>
          <w:sz w:val="24"/>
          <w:szCs w:val="24"/>
          <w:spacing w:val="2"/>
        </w:rPr>
        <w:t>束，在调查</w:t>
      </w:r>
      <w:r>
        <w:rPr>
          <w:rFonts w:ascii="SimSun" w:hAnsi="SimSun" w:eastAsia="SimSun" w:cs="SimSun"/>
          <w:sz w:val="24"/>
          <w:szCs w:val="24"/>
        </w:rPr>
        <w:t xml:space="preserve"> </w:t>
      </w:r>
      <w:r>
        <w:rPr>
          <w:rFonts w:ascii="SimSun" w:hAnsi="SimSun" w:eastAsia="SimSun" w:cs="SimSun"/>
          <w:sz w:val="24"/>
          <w:szCs w:val="24"/>
          <w:spacing w:val="3"/>
        </w:rPr>
        <w:t>监测基础上，对事故所引起的地下水环境风险做出精确</w:t>
      </w:r>
      <w:r>
        <w:rPr>
          <w:rFonts w:ascii="SimSun" w:hAnsi="SimSun" w:eastAsia="SimSun" w:cs="SimSun"/>
          <w:sz w:val="24"/>
          <w:szCs w:val="24"/>
          <w:spacing w:val="2"/>
        </w:rPr>
        <w:t>综合评价，包括对地下水</w:t>
      </w:r>
      <w:r>
        <w:rPr>
          <w:rFonts w:ascii="SimSun" w:hAnsi="SimSun" w:eastAsia="SimSun" w:cs="SimSun"/>
          <w:sz w:val="24"/>
          <w:szCs w:val="24"/>
        </w:rPr>
        <w:t xml:space="preserve"> </w:t>
      </w:r>
      <w:r>
        <w:rPr>
          <w:rFonts w:ascii="SimSun" w:hAnsi="SimSun" w:eastAsia="SimSun" w:cs="SimSun"/>
          <w:sz w:val="24"/>
          <w:szCs w:val="24"/>
          <w:spacing w:val="3"/>
        </w:rPr>
        <w:t>环境短期影响、长期影响；对现有供水井供水安全的影</w:t>
      </w:r>
      <w:r>
        <w:rPr>
          <w:rFonts w:ascii="SimSun" w:hAnsi="SimSun" w:eastAsia="SimSun" w:cs="SimSun"/>
          <w:sz w:val="24"/>
          <w:szCs w:val="24"/>
          <w:spacing w:val="2"/>
        </w:rPr>
        <w:t>响等。随后，要进行地下</w:t>
      </w:r>
      <w:r>
        <w:rPr>
          <w:rFonts w:ascii="SimSun" w:hAnsi="SimSun" w:eastAsia="SimSun" w:cs="SimSun"/>
          <w:sz w:val="24"/>
          <w:szCs w:val="24"/>
        </w:rPr>
        <w:t xml:space="preserve"> </w:t>
      </w:r>
      <w:r>
        <w:rPr>
          <w:rFonts w:ascii="SimSun" w:hAnsi="SimSun" w:eastAsia="SimSun" w:cs="SimSun"/>
          <w:sz w:val="24"/>
          <w:szCs w:val="24"/>
          <w:spacing w:val="3"/>
        </w:rPr>
        <w:t>水环境修复治理。当发生事故造成地下水环境污染时，</w:t>
      </w:r>
      <w:r>
        <w:rPr>
          <w:rFonts w:ascii="SimSun" w:hAnsi="SimSun" w:eastAsia="SimSun" w:cs="SimSun"/>
          <w:sz w:val="24"/>
          <w:szCs w:val="24"/>
          <w:spacing w:val="2"/>
        </w:rPr>
        <w:t>建设单位要提出地下水环</w:t>
      </w:r>
      <w:r>
        <w:rPr>
          <w:rFonts w:ascii="SimSun" w:hAnsi="SimSun" w:eastAsia="SimSun" w:cs="SimSun"/>
          <w:sz w:val="24"/>
          <w:szCs w:val="24"/>
        </w:rPr>
        <w:t xml:space="preserve"> </w:t>
      </w:r>
      <w:r>
        <w:rPr>
          <w:rFonts w:ascii="SimSun" w:hAnsi="SimSun" w:eastAsia="SimSun" w:cs="SimSun"/>
          <w:sz w:val="24"/>
          <w:szCs w:val="24"/>
          <w:spacing w:val="3"/>
        </w:rPr>
        <w:t>境修复治理方案，经地下水环境监管部门审查通过后，</w:t>
      </w:r>
      <w:r>
        <w:rPr>
          <w:rFonts w:ascii="SimSun" w:hAnsi="SimSun" w:eastAsia="SimSun" w:cs="SimSun"/>
          <w:sz w:val="24"/>
          <w:szCs w:val="24"/>
          <w:spacing w:val="2"/>
        </w:rPr>
        <w:t>组织实施地下水环境污染</w:t>
      </w:r>
      <w:r>
        <w:rPr>
          <w:rFonts w:ascii="SimSun" w:hAnsi="SimSun" w:eastAsia="SimSun" w:cs="SimSun"/>
          <w:sz w:val="24"/>
          <w:szCs w:val="24"/>
        </w:rPr>
        <w:t xml:space="preserve"> </w:t>
      </w:r>
      <w:r>
        <w:rPr>
          <w:rFonts w:ascii="SimSun" w:hAnsi="SimSun" w:eastAsia="SimSun" w:cs="SimSun"/>
          <w:sz w:val="24"/>
          <w:szCs w:val="24"/>
          <w:spacing w:val="-1"/>
        </w:rPr>
        <w:t>的修复治理工程，并由地下水环境监管部门进行工程进行验收。</w:t>
      </w:r>
    </w:p>
    <w:p>
      <w:pPr>
        <w:ind w:firstLine="530"/>
        <w:spacing w:line="5379" w:lineRule="exact"/>
        <w:rPr/>
      </w:pPr>
      <w:r>
        <w:rPr>
          <w:position w:val="-107"/>
        </w:rPr>
        <w:drawing>
          <wp:inline distT="0" distB="0" distL="0" distR="0">
            <wp:extent cx="4707635" cy="3415283"/>
            <wp:effectExtent l="0" t="0" r="0" b="0"/>
            <wp:docPr id="220" name="IM 220"/>
            <wp:cNvGraphicFramePr/>
            <a:graphic>
              <a:graphicData uri="http://schemas.openxmlformats.org/drawingml/2006/picture">
                <pic:pic>
                  <pic:nvPicPr>
                    <pic:cNvPr id="220" name="IM 220"/>
                    <pic:cNvPicPr/>
                  </pic:nvPicPr>
                  <pic:blipFill>
                    <a:blip r:embed="rId372"/>
                    <a:stretch>
                      <a:fillRect/>
                    </a:stretch>
                  </pic:blipFill>
                  <pic:spPr>
                    <a:xfrm rot="0">
                      <a:off x="0" y="0"/>
                      <a:ext cx="4707635" cy="3415283"/>
                    </a:xfrm>
                    <a:prstGeom prst="rect">
                      <a:avLst/>
                    </a:prstGeom>
                  </pic:spPr>
                </pic:pic>
              </a:graphicData>
            </a:graphic>
          </wp:inline>
        </w:drawing>
      </w:r>
    </w:p>
    <w:p>
      <w:pPr>
        <w:ind w:left="1958"/>
        <w:spacing w:before="176"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37"/>
        </w:rPr>
        <w:t xml:space="preserve"> </w:t>
      </w:r>
      <w:r>
        <w:rPr>
          <w:rFonts w:ascii="Times New Roman" w:hAnsi="Times New Roman" w:eastAsia="Times New Roman" w:cs="Times New Roman"/>
          <w:sz w:val="24"/>
          <w:szCs w:val="24"/>
          <w:b/>
          <w:bCs/>
          <w:spacing w:val="-3"/>
        </w:rPr>
        <w:t>7.2-3        </w:t>
      </w:r>
      <w:r>
        <w:rPr>
          <w:rFonts w:ascii="SimSun" w:hAnsi="SimSun" w:eastAsia="SimSun" w:cs="SimSun"/>
          <w:sz w:val="24"/>
          <w:szCs w:val="24"/>
          <w:b/>
          <w:bCs/>
          <w:spacing w:val="-3"/>
        </w:rPr>
        <w:t>地下水污染事故应急处理程序图</w:t>
      </w:r>
    </w:p>
    <w:p>
      <w:pPr>
        <w:ind w:left="501"/>
        <w:spacing w:before="184"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）地下水污染应急措施</w:t>
      </w:r>
    </w:p>
    <w:p>
      <w:pPr>
        <w:ind w:left="7" w:firstLine="486"/>
        <w:spacing w:before="181" w:line="516" w:lineRule="auto"/>
        <w:rPr>
          <w:rFonts w:ascii="SimSun" w:hAnsi="SimSun" w:eastAsia="SimSun" w:cs="SimSun"/>
          <w:sz w:val="19"/>
          <w:szCs w:val="19"/>
        </w:rPr>
      </w:pPr>
      <w:r>
        <w:pict>
          <v:shape id="_x0000_s1254" style="position:absolute;margin-left:159.33pt;margin-top:40.5514pt;mso-position-vertical-relative:text;mso-position-horizontal-relative:text;width:61pt;height:13.75pt;z-index:252331008;"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277</w:t>
                  </w:r>
                </w:p>
              </w:txbxContent>
            </v:textbox>
          </v:shape>
        </w:pict>
      </w:r>
      <w:r>
        <w:rPr>
          <w:rFonts w:ascii="SimSun" w:hAnsi="SimSun" w:eastAsia="SimSun" w:cs="SimSun"/>
          <w:sz w:val="24"/>
          <w:szCs w:val="24"/>
          <w:spacing w:val="3"/>
        </w:rPr>
        <w:t>一旦发现各单元防渗层腐蚀或老化等异常情况，或者地下</w:t>
      </w:r>
      <w:r>
        <w:rPr>
          <w:rFonts w:ascii="SimSun" w:hAnsi="SimSun" w:eastAsia="SimSun" w:cs="SimSun"/>
          <w:sz w:val="24"/>
          <w:szCs w:val="24"/>
          <w:spacing w:val="2"/>
        </w:rPr>
        <w:t>水环境监测结果显</w:t>
      </w:r>
      <w:r>
        <w:rPr>
          <w:rFonts w:ascii="SimSun" w:hAnsi="SimSun" w:eastAsia="SimSun" w:cs="SimSun"/>
          <w:sz w:val="24"/>
          <w:szCs w:val="24"/>
        </w:rPr>
        <w:t xml:space="preserve"> </w:t>
      </w:r>
      <w:r>
        <w:rPr>
          <w:rFonts w:ascii="SimSun" w:hAnsi="SimSun" w:eastAsia="SimSun" w:cs="SimSun"/>
          <w:sz w:val="19"/>
          <w:szCs w:val="19"/>
          <w:spacing w:val="9"/>
        </w:rPr>
        <w:t>锡林郭勒盟中安环境技术咨询有限责</w:t>
      </w:r>
    </w:p>
    <w:p>
      <w:pPr>
        <w:spacing w:line="516" w:lineRule="auto"/>
        <w:sectPr>
          <w:headerReference w:type="default" r:id="rId120"/>
          <w:footerReference w:type="default" r:id="rId3"/>
          <w:pgSz w:w="11907" w:h="16840"/>
          <w:pgMar w:top="1567" w:right="1700" w:bottom="400" w:left="1701" w:header="1221" w:footer="0" w:gutter="0"/>
        </w:sectPr>
        <w:rPr>
          <w:rFonts w:ascii="SimSun" w:hAnsi="SimSun" w:eastAsia="SimSun" w:cs="SimSun"/>
          <w:sz w:val="19"/>
          <w:szCs w:val="19"/>
        </w:rPr>
      </w:pPr>
    </w:p>
    <w:p>
      <w:pPr>
        <w:ind w:left="28" w:right="78" w:hanging="18"/>
        <w:spacing w:before="168" w:line="359" w:lineRule="auto"/>
        <w:rPr>
          <w:rFonts w:ascii="SimSun" w:hAnsi="SimSun" w:eastAsia="SimSun" w:cs="SimSun"/>
          <w:sz w:val="24"/>
          <w:szCs w:val="24"/>
        </w:rPr>
      </w:pPr>
      <w:r>
        <w:pict>
          <v:shape id="_x0000_s1256" style="position:absolute;margin-left:85.05pt;margin-top:78.87pt;mso-position-vertical-relative:page;mso-position-horizontal-relative:page;width:425.25pt;height:0.75pt;z-index:252334080;" o:allowincell="f" fillcolor="#000000" filled="true" stroked="false" coordsize="8505,15" coordorigin="0,0" path="m,l8505,0l8505,14l0,14l0,0xe"/>
        </w:pict>
      </w:r>
      <w:r>
        <w:rPr>
          <w:rFonts w:ascii="SimSun" w:hAnsi="SimSun" w:eastAsia="SimSun" w:cs="SimSun"/>
          <w:sz w:val="24"/>
          <w:szCs w:val="24"/>
          <w:spacing w:val="3"/>
        </w:rPr>
        <w:t>示地下水中与本项目特征污染物一致的项目有所增加，</w:t>
      </w:r>
      <w:r>
        <w:rPr>
          <w:rFonts w:ascii="SimSun" w:hAnsi="SimSun" w:eastAsia="SimSun" w:cs="SimSun"/>
          <w:sz w:val="24"/>
          <w:szCs w:val="24"/>
          <w:spacing w:val="2"/>
        </w:rPr>
        <w:t>企业即按照应急预案确定</w:t>
      </w:r>
      <w:r>
        <w:rPr>
          <w:rFonts w:ascii="SimSun" w:hAnsi="SimSun" w:eastAsia="SimSun" w:cs="SimSun"/>
          <w:sz w:val="24"/>
          <w:szCs w:val="24"/>
        </w:rPr>
        <w:t xml:space="preserve"> </w:t>
      </w:r>
      <w:r>
        <w:rPr>
          <w:rFonts w:ascii="SimSun" w:hAnsi="SimSun" w:eastAsia="SimSun" w:cs="SimSun"/>
          <w:sz w:val="24"/>
          <w:szCs w:val="24"/>
          <w:spacing w:val="-3"/>
        </w:rPr>
        <w:t>的工程技术方案开展工作。</w:t>
      </w:r>
    </w:p>
    <w:p>
      <w:pPr>
        <w:ind w:left="488"/>
        <w:spacing w:line="217" w:lineRule="auto"/>
        <w:rPr>
          <w:rFonts w:ascii="SimSun" w:hAnsi="SimSun" w:eastAsia="SimSun" w:cs="SimSun"/>
          <w:sz w:val="24"/>
          <w:szCs w:val="24"/>
        </w:rPr>
      </w:pPr>
      <w:r>
        <w:rPr>
          <w:rFonts w:ascii="SimSun" w:hAnsi="SimSun" w:eastAsia="SimSun" w:cs="SimSun"/>
          <w:sz w:val="24"/>
          <w:szCs w:val="24"/>
          <w:spacing w:val="-1"/>
        </w:rPr>
        <w:t>①立即启动应急预案；</w:t>
      </w:r>
    </w:p>
    <w:p>
      <w:pPr>
        <w:ind w:left="488"/>
        <w:spacing w:before="183" w:line="217" w:lineRule="auto"/>
        <w:rPr>
          <w:rFonts w:ascii="SimSun" w:hAnsi="SimSun" w:eastAsia="SimSun" w:cs="SimSun"/>
          <w:sz w:val="24"/>
          <w:szCs w:val="24"/>
        </w:rPr>
      </w:pPr>
      <w:r>
        <w:rPr>
          <w:rFonts w:ascii="SimSun" w:hAnsi="SimSun" w:eastAsia="SimSun" w:cs="SimSun"/>
          <w:sz w:val="24"/>
          <w:szCs w:val="24"/>
          <w:spacing w:val="-1"/>
        </w:rPr>
        <w:t>②查明并切断污染源；</w:t>
      </w:r>
    </w:p>
    <w:p>
      <w:pPr>
        <w:ind w:left="488"/>
        <w:spacing w:before="185" w:line="217" w:lineRule="auto"/>
        <w:rPr>
          <w:rFonts w:ascii="SimSun" w:hAnsi="SimSun" w:eastAsia="SimSun" w:cs="SimSun"/>
          <w:sz w:val="24"/>
          <w:szCs w:val="24"/>
        </w:rPr>
      </w:pPr>
      <w:r>
        <w:rPr>
          <w:rFonts w:ascii="SimSun" w:hAnsi="SimSun" w:eastAsia="SimSun" w:cs="SimSun"/>
          <w:sz w:val="24"/>
          <w:szCs w:val="24"/>
          <w:spacing w:val="-1"/>
        </w:rPr>
        <w:t>③查明地下水污染深度、范围和程度；</w:t>
      </w:r>
    </w:p>
    <w:p>
      <w:pPr>
        <w:ind w:left="488"/>
        <w:spacing w:before="186" w:line="217" w:lineRule="auto"/>
        <w:rPr>
          <w:rFonts w:ascii="SimSun" w:hAnsi="SimSun" w:eastAsia="SimSun" w:cs="SimSun"/>
          <w:sz w:val="24"/>
          <w:szCs w:val="24"/>
        </w:rPr>
      </w:pPr>
      <w:r>
        <w:rPr>
          <w:rFonts w:ascii="SimSun" w:hAnsi="SimSun" w:eastAsia="SimSun" w:cs="SimSun"/>
          <w:sz w:val="24"/>
          <w:szCs w:val="24"/>
        </w:rPr>
        <w:t>④依据查明的地下水污染情况，合理布置浅井，</w:t>
      </w:r>
      <w:r>
        <w:rPr>
          <w:rFonts w:ascii="SimSun" w:hAnsi="SimSun" w:eastAsia="SimSun" w:cs="SimSun"/>
          <w:sz w:val="24"/>
          <w:szCs w:val="24"/>
          <w:spacing w:val="-1"/>
        </w:rPr>
        <w:t>并进行试抽水工作；</w:t>
      </w:r>
    </w:p>
    <w:p>
      <w:pPr>
        <w:ind w:left="488"/>
        <w:spacing w:before="183" w:line="217" w:lineRule="auto"/>
        <w:rPr>
          <w:rFonts w:ascii="SimSun" w:hAnsi="SimSun" w:eastAsia="SimSun" w:cs="SimSun"/>
          <w:sz w:val="24"/>
          <w:szCs w:val="24"/>
        </w:rPr>
      </w:pPr>
      <w:r>
        <w:rPr>
          <w:rFonts w:ascii="SimSun" w:hAnsi="SimSun" w:eastAsia="SimSun" w:cs="SimSun"/>
          <w:sz w:val="24"/>
          <w:szCs w:val="24"/>
          <w:spacing w:val="-1"/>
        </w:rPr>
        <w:t>⑤依据抽水设计方案进行施工，抽出被污染的地下水体；</w:t>
      </w:r>
    </w:p>
    <w:p>
      <w:pPr>
        <w:ind w:left="488"/>
        <w:spacing w:before="186" w:line="217" w:lineRule="auto"/>
        <w:rPr>
          <w:rFonts w:ascii="SimSun" w:hAnsi="SimSun" w:eastAsia="SimSun" w:cs="SimSun"/>
          <w:sz w:val="24"/>
          <w:szCs w:val="24"/>
        </w:rPr>
      </w:pPr>
      <w:r>
        <w:rPr>
          <w:rFonts w:ascii="SimSun" w:hAnsi="SimSun" w:eastAsia="SimSun" w:cs="SimSun"/>
          <w:sz w:val="24"/>
          <w:szCs w:val="24"/>
        </w:rPr>
        <w:t>⑥将抽出的地下水进行集中收集处理，并送实</w:t>
      </w:r>
      <w:r>
        <w:rPr>
          <w:rFonts w:ascii="SimSun" w:hAnsi="SimSun" w:eastAsia="SimSun" w:cs="SimSun"/>
          <w:sz w:val="24"/>
          <w:szCs w:val="24"/>
          <w:spacing w:val="-1"/>
        </w:rPr>
        <w:t>验室进行化验分析；</w:t>
      </w:r>
    </w:p>
    <w:p>
      <w:pPr>
        <w:ind w:left="9" w:right="101" w:firstLine="478"/>
        <w:spacing w:before="183" w:line="290" w:lineRule="auto"/>
        <w:rPr>
          <w:rFonts w:ascii="SimSun" w:hAnsi="SimSun" w:eastAsia="SimSun" w:cs="SimSun"/>
          <w:sz w:val="24"/>
          <w:szCs w:val="24"/>
        </w:rPr>
      </w:pPr>
      <w:r>
        <w:rPr>
          <w:rFonts w:ascii="SimSun" w:hAnsi="SimSun" w:eastAsia="SimSun" w:cs="SimSun"/>
          <w:sz w:val="24"/>
          <w:szCs w:val="24"/>
          <w:spacing w:val="1"/>
        </w:rPr>
        <w:t>⑦监测孔中的主要污染物浓度满足《地下水质量标准》（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/T14848-2017</w:t>
      </w:r>
      <w:r>
        <w:rPr>
          <w:rFonts w:ascii="SimSun" w:hAnsi="SimSun" w:eastAsia="SimSun" w:cs="SimSun"/>
          <w:sz w:val="24"/>
          <w:szCs w:val="24"/>
          <w:spacing w:val="1"/>
        </w:rPr>
        <w:t>）</w:t>
      </w:r>
      <w:r>
        <w:rPr>
          <w:rFonts w:ascii="SimSun" w:hAnsi="SimSun" w:eastAsia="SimSun" w:cs="SimSun"/>
          <w:sz w:val="24"/>
          <w:szCs w:val="24"/>
          <w:spacing w:val="9"/>
        </w:rPr>
        <w:t xml:space="preserve"> </w:t>
      </w:r>
      <w:r>
        <w:rPr>
          <w:rFonts w:ascii="SimSun" w:hAnsi="SimSun" w:eastAsia="SimSun" w:cs="SimSun"/>
          <w:sz w:val="24"/>
          <w:szCs w:val="24"/>
          <w:spacing w:val="-1"/>
        </w:rPr>
        <w:t>相关级别标准后，逐步停止抽水，并进行土壤修复治理工作。</w:t>
      </w:r>
    </w:p>
    <w:p>
      <w:pPr>
        <w:ind w:left="501"/>
        <w:spacing w:before="181"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）应急管理建议</w:t>
      </w:r>
    </w:p>
    <w:p>
      <w:pPr>
        <w:ind w:left="9" w:right="78" w:firstLine="479"/>
        <w:spacing w:before="181" w:line="313" w:lineRule="auto"/>
        <w:rPr>
          <w:rFonts w:ascii="SimSun" w:hAnsi="SimSun" w:eastAsia="SimSun" w:cs="SimSun"/>
          <w:sz w:val="24"/>
          <w:szCs w:val="24"/>
        </w:rPr>
      </w:pPr>
      <w:r>
        <w:rPr>
          <w:rFonts w:ascii="SimSun" w:hAnsi="SimSun" w:eastAsia="SimSun" w:cs="SimSun"/>
          <w:sz w:val="24"/>
          <w:szCs w:val="24"/>
          <w:spacing w:val="3"/>
        </w:rPr>
        <w:t>①由于地下水污染具有不易发现和一旦污染很难治理的特点，</w:t>
      </w:r>
      <w:r>
        <w:rPr>
          <w:rFonts w:ascii="SimSun" w:hAnsi="SimSun" w:eastAsia="SimSun" w:cs="SimSun"/>
          <w:sz w:val="24"/>
          <w:szCs w:val="24"/>
          <w:spacing w:val="2"/>
        </w:rPr>
        <w:t>因此地下水污</w:t>
      </w:r>
      <w:r>
        <w:rPr>
          <w:rFonts w:ascii="SimSun" w:hAnsi="SimSun" w:eastAsia="SimSun" w:cs="SimSun"/>
          <w:sz w:val="24"/>
          <w:szCs w:val="24"/>
        </w:rPr>
        <w:t xml:space="preserve"> </w:t>
      </w:r>
      <w:r>
        <w:rPr>
          <w:rFonts w:ascii="SimSun" w:hAnsi="SimSun" w:eastAsia="SimSun" w:cs="SimSun"/>
          <w:sz w:val="24"/>
          <w:szCs w:val="24"/>
          <w:spacing w:val="3"/>
        </w:rPr>
        <w:t>染防控应遵循源头控制、防止渗漏、污染监测和事故应</w:t>
      </w:r>
      <w:r>
        <w:rPr>
          <w:rFonts w:ascii="SimSun" w:hAnsi="SimSun" w:eastAsia="SimSun" w:cs="SimSun"/>
          <w:sz w:val="24"/>
          <w:szCs w:val="24"/>
          <w:spacing w:val="2"/>
        </w:rPr>
        <w:t>急处理的主动和被动防渗</w:t>
      </w:r>
      <w:r>
        <w:rPr>
          <w:rFonts w:ascii="SimSun" w:hAnsi="SimSun" w:eastAsia="SimSun" w:cs="SimSun"/>
          <w:sz w:val="24"/>
          <w:szCs w:val="24"/>
        </w:rPr>
        <w:t xml:space="preserve"> </w:t>
      </w:r>
      <w:r>
        <w:rPr>
          <w:rFonts w:ascii="SimSun" w:hAnsi="SimSun" w:eastAsia="SimSun" w:cs="SimSun"/>
          <w:sz w:val="24"/>
          <w:szCs w:val="24"/>
          <w:spacing w:val="-2"/>
        </w:rPr>
        <w:t>相结合的原则进行。</w:t>
      </w:r>
    </w:p>
    <w:p>
      <w:pPr>
        <w:ind w:left="9" w:right="80" w:firstLine="478"/>
        <w:spacing w:before="179" w:line="290" w:lineRule="auto"/>
        <w:rPr>
          <w:rFonts w:ascii="SimSun" w:hAnsi="SimSun" w:eastAsia="SimSun" w:cs="SimSun"/>
          <w:sz w:val="24"/>
          <w:szCs w:val="24"/>
        </w:rPr>
      </w:pPr>
      <w:r>
        <w:rPr>
          <w:rFonts w:ascii="SimSun" w:hAnsi="SimSun" w:eastAsia="SimSun" w:cs="SimSun"/>
          <w:sz w:val="24"/>
          <w:szCs w:val="24"/>
          <w:spacing w:val="3"/>
        </w:rPr>
        <w:t>②地下水污染状况勘察是一项专业性很强的工作，一旦发生污染</w:t>
      </w:r>
      <w:r>
        <w:rPr>
          <w:rFonts w:ascii="SimSun" w:hAnsi="SimSun" w:eastAsia="SimSun" w:cs="SimSun"/>
          <w:sz w:val="24"/>
          <w:szCs w:val="24"/>
          <w:spacing w:val="2"/>
        </w:rPr>
        <w:t>事故，应委</w:t>
      </w:r>
      <w:r>
        <w:rPr>
          <w:rFonts w:ascii="SimSun" w:hAnsi="SimSun" w:eastAsia="SimSun" w:cs="SimSun"/>
          <w:sz w:val="24"/>
          <w:szCs w:val="24"/>
        </w:rPr>
        <w:t xml:space="preserve"> </w:t>
      </w:r>
      <w:r>
        <w:rPr>
          <w:rFonts w:ascii="SimSun" w:hAnsi="SimSun" w:eastAsia="SimSun" w:cs="SimSun"/>
          <w:sz w:val="24"/>
          <w:szCs w:val="24"/>
        </w:rPr>
        <w:t>托具有水文地质勘察资质的单位以水文地质工作为</w:t>
      </w:r>
      <w:r>
        <w:rPr>
          <w:rFonts w:ascii="SimSun" w:hAnsi="SimSun" w:eastAsia="SimSun" w:cs="SimSun"/>
          <w:sz w:val="24"/>
          <w:szCs w:val="24"/>
          <w:spacing w:val="-1"/>
        </w:rPr>
        <w:t>基础开展污染勘察工作。</w:t>
      </w:r>
    </w:p>
    <w:p>
      <w:pPr>
        <w:ind w:left="11" w:right="78" w:firstLine="476"/>
        <w:spacing w:before="183" w:line="312" w:lineRule="auto"/>
        <w:rPr>
          <w:rFonts w:ascii="SimSun" w:hAnsi="SimSun" w:eastAsia="SimSun" w:cs="SimSun"/>
          <w:sz w:val="24"/>
          <w:szCs w:val="24"/>
        </w:rPr>
      </w:pPr>
      <w:r>
        <w:rPr>
          <w:rFonts w:ascii="SimSun" w:hAnsi="SimSun" w:eastAsia="SimSun" w:cs="SimSun"/>
          <w:sz w:val="24"/>
          <w:szCs w:val="24"/>
          <w:spacing w:val="3"/>
        </w:rPr>
        <w:t>③在具体的地下水污染治理中，往往需要多种技术结合使用。一</w:t>
      </w:r>
      <w:r>
        <w:rPr>
          <w:rFonts w:ascii="SimSun" w:hAnsi="SimSun" w:eastAsia="SimSun" w:cs="SimSun"/>
          <w:sz w:val="24"/>
          <w:szCs w:val="24"/>
          <w:spacing w:val="2"/>
        </w:rPr>
        <w:t>般在治理初</w:t>
      </w:r>
      <w:r>
        <w:rPr>
          <w:rFonts w:ascii="SimSun" w:hAnsi="SimSun" w:eastAsia="SimSun" w:cs="SimSun"/>
          <w:sz w:val="24"/>
          <w:szCs w:val="24"/>
        </w:rPr>
        <w:t xml:space="preserve"> </w:t>
      </w:r>
      <w:r>
        <w:rPr>
          <w:rFonts w:ascii="SimSun" w:hAnsi="SimSun" w:eastAsia="SimSun" w:cs="SimSun"/>
          <w:sz w:val="24"/>
          <w:szCs w:val="24"/>
          <w:spacing w:val="3"/>
        </w:rPr>
        <w:t>期，先使用物理法或水动力控制法将污染区封闭，然</w:t>
      </w:r>
      <w:r>
        <w:rPr>
          <w:rFonts w:ascii="SimSun" w:hAnsi="SimSun" w:eastAsia="SimSun" w:cs="SimSun"/>
          <w:sz w:val="24"/>
          <w:szCs w:val="24"/>
          <w:spacing w:val="2"/>
        </w:rPr>
        <w:t>后尽量收集污水，最后再使</w:t>
      </w:r>
      <w:r>
        <w:rPr>
          <w:rFonts w:ascii="SimSun" w:hAnsi="SimSun" w:eastAsia="SimSun" w:cs="SimSun"/>
          <w:sz w:val="24"/>
          <w:szCs w:val="24"/>
        </w:rPr>
        <w:t xml:space="preserve"> </w:t>
      </w:r>
      <w:r>
        <w:rPr>
          <w:rFonts w:ascii="SimSun" w:hAnsi="SimSun" w:eastAsia="SimSun" w:cs="SimSun"/>
          <w:sz w:val="24"/>
          <w:szCs w:val="24"/>
          <w:spacing w:val="-1"/>
        </w:rPr>
        <w:t>用抽出处理法或原位法进行治理。</w:t>
      </w:r>
    </w:p>
    <w:p>
      <w:pPr>
        <w:ind w:left="9" w:firstLine="478"/>
        <w:spacing w:before="184" w:line="312" w:lineRule="auto"/>
        <w:rPr>
          <w:rFonts w:ascii="SimSun" w:hAnsi="SimSun" w:eastAsia="SimSun" w:cs="SimSun"/>
          <w:sz w:val="24"/>
          <w:szCs w:val="24"/>
        </w:rPr>
      </w:pPr>
      <w:r>
        <w:rPr>
          <w:rFonts w:ascii="SimSun" w:hAnsi="SimSun" w:eastAsia="SimSun" w:cs="SimSun"/>
          <w:sz w:val="24"/>
          <w:szCs w:val="24"/>
          <w:spacing w:val="3"/>
        </w:rPr>
        <w:t>④地下水污染修复同时还须进行受污染岩土的修复。地下水接受</w:t>
      </w:r>
      <w:r>
        <w:rPr>
          <w:rFonts w:ascii="SimSun" w:hAnsi="SimSun" w:eastAsia="SimSun" w:cs="SimSun"/>
          <w:sz w:val="24"/>
          <w:szCs w:val="24"/>
          <w:spacing w:val="2"/>
        </w:rPr>
        <w:t>包气带的入</w:t>
      </w:r>
      <w:r>
        <w:rPr>
          <w:rFonts w:ascii="SimSun" w:hAnsi="SimSun" w:eastAsia="SimSun" w:cs="SimSun"/>
          <w:sz w:val="24"/>
          <w:szCs w:val="24"/>
        </w:rPr>
        <w:t xml:space="preserve"> </w:t>
      </w:r>
      <w:r>
        <w:rPr>
          <w:rFonts w:ascii="SimSun" w:hAnsi="SimSun" w:eastAsia="SimSun" w:cs="SimSun"/>
          <w:sz w:val="24"/>
          <w:szCs w:val="24"/>
          <w:spacing w:val="3"/>
        </w:rPr>
        <w:t>渗补给，赋存与含水层岩土的孔隙中，地下水中的物质</w:t>
      </w:r>
      <w:r>
        <w:rPr>
          <w:rFonts w:ascii="SimSun" w:hAnsi="SimSun" w:eastAsia="SimSun" w:cs="SimSun"/>
          <w:sz w:val="24"/>
          <w:szCs w:val="24"/>
          <w:spacing w:val="2"/>
        </w:rPr>
        <w:t>受岩土的控制，因此避免</w:t>
      </w:r>
      <w:r>
        <w:rPr>
          <w:rFonts w:ascii="SimSun" w:hAnsi="SimSun" w:eastAsia="SimSun" w:cs="SimSun"/>
          <w:sz w:val="24"/>
          <w:szCs w:val="24"/>
        </w:rPr>
        <w:t xml:space="preserve"> </w:t>
      </w:r>
      <w:r>
        <w:rPr>
          <w:rFonts w:ascii="SimSun" w:hAnsi="SimSun" w:eastAsia="SimSun" w:cs="SimSun"/>
          <w:sz w:val="24"/>
          <w:szCs w:val="24"/>
          <w:spacing w:val="-2"/>
        </w:rPr>
        <w:t>地下水与岩土的交叉污染，使地下水的治理行之有效，需要进行污染岩土的修复。</w:t>
      </w:r>
    </w:p>
    <w:p>
      <w:pPr>
        <w:pStyle w:val="BodyText"/>
        <w:spacing w:line="247" w:lineRule="auto"/>
        <w:rPr/>
      </w:pPr>
      <w:r/>
    </w:p>
    <w:p>
      <w:pPr>
        <w:ind w:left="11"/>
        <w:spacing w:before="98" w:line="222" w:lineRule="auto"/>
        <w:outlineLvl w:val="1"/>
        <w:rPr>
          <w:rFonts w:ascii="SimHei" w:hAnsi="SimHei" w:eastAsia="SimHei" w:cs="SimHei"/>
          <w:sz w:val="30"/>
          <w:szCs w:val="30"/>
        </w:rPr>
      </w:pPr>
      <w:bookmarkStart w:name="bookmark158" w:id="191"/>
      <w:bookmarkEnd w:id="191"/>
      <w:r>
        <w:rPr>
          <w:rFonts w:ascii="Times New Roman" w:hAnsi="Times New Roman" w:eastAsia="Times New Roman" w:cs="Times New Roman"/>
          <w:sz w:val="30"/>
          <w:szCs w:val="30"/>
          <w:spacing w:val="-2"/>
        </w:rPr>
        <w:t>7.3 </w:t>
      </w:r>
      <w:r>
        <w:rPr>
          <w:rFonts w:ascii="SimHei" w:hAnsi="SimHei" w:eastAsia="SimHei" w:cs="SimHei"/>
          <w:sz w:val="30"/>
          <w:szCs w:val="30"/>
          <w:spacing w:val="-2"/>
        </w:rPr>
        <w:t>噪声治理措施分析</w:t>
      </w:r>
    </w:p>
    <w:p>
      <w:pPr>
        <w:pStyle w:val="BodyText"/>
        <w:spacing w:line="291" w:lineRule="auto"/>
        <w:rPr/>
      </w:pPr>
      <w:r/>
    </w:p>
    <w:p>
      <w:pPr>
        <w:ind w:left="10" w:right="80" w:firstLine="480"/>
        <w:spacing w:before="78" w:line="359" w:lineRule="auto"/>
        <w:rPr>
          <w:rFonts w:ascii="SimSun" w:hAnsi="SimSun" w:eastAsia="SimSun" w:cs="SimSun"/>
          <w:sz w:val="24"/>
          <w:szCs w:val="24"/>
        </w:rPr>
      </w:pPr>
      <w:r>
        <w:rPr>
          <w:rFonts w:ascii="SimSun" w:hAnsi="SimSun" w:eastAsia="SimSun" w:cs="SimSun"/>
          <w:sz w:val="24"/>
          <w:szCs w:val="24"/>
          <w:spacing w:val="3"/>
        </w:rPr>
        <w:t>本项目建成后，主要为生产机械设备噪声，因此本项目应</w:t>
      </w:r>
      <w:r>
        <w:rPr>
          <w:rFonts w:ascii="SimSun" w:hAnsi="SimSun" w:eastAsia="SimSun" w:cs="SimSun"/>
          <w:sz w:val="24"/>
          <w:szCs w:val="24"/>
          <w:spacing w:val="2"/>
        </w:rPr>
        <w:t>加强噪声的治理工</w:t>
      </w:r>
      <w:r>
        <w:rPr>
          <w:rFonts w:ascii="SimSun" w:hAnsi="SimSun" w:eastAsia="SimSun" w:cs="SimSun"/>
          <w:sz w:val="24"/>
          <w:szCs w:val="24"/>
        </w:rPr>
        <w:t xml:space="preserve"> </w:t>
      </w:r>
      <w:r>
        <w:rPr>
          <w:rFonts w:ascii="SimSun" w:hAnsi="SimSun" w:eastAsia="SimSun" w:cs="SimSun"/>
          <w:sz w:val="24"/>
          <w:szCs w:val="24"/>
        </w:rPr>
        <w:t>作，主要从设备选型、阻隔传播途径和受声者保护三</w:t>
      </w:r>
      <w:r>
        <w:rPr>
          <w:rFonts w:ascii="SimSun" w:hAnsi="SimSun" w:eastAsia="SimSun" w:cs="SimSun"/>
          <w:sz w:val="24"/>
          <w:szCs w:val="24"/>
          <w:spacing w:val="-1"/>
        </w:rPr>
        <w:t>方面入手：具体措施如下：</w:t>
      </w:r>
    </w:p>
    <w:p>
      <w:pPr>
        <w:ind w:left="501"/>
        <w:spacing w:before="1"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）合理选择机械设备，从声源上控制噪声级别</w:t>
      </w:r>
    </w:p>
    <w:p>
      <w:pPr>
        <w:ind w:left="493"/>
        <w:spacing w:before="182" w:line="219" w:lineRule="auto"/>
        <w:rPr>
          <w:rFonts w:ascii="SimSun" w:hAnsi="SimSun" w:eastAsia="SimSun" w:cs="SimSun"/>
          <w:sz w:val="24"/>
          <w:szCs w:val="24"/>
        </w:rPr>
      </w:pPr>
      <w:r>
        <w:rPr>
          <w:rFonts w:ascii="SimSun" w:hAnsi="SimSun" w:eastAsia="SimSun" w:cs="SimSun"/>
          <w:sz w:val="24"/>
          <w:szCs w:val="24"/>
          <w:spacing w:val="3"/>
        </w:rPr>
        <w:t>设计中按《工业企业噪声控制设计规范》应尽可能选择辐</w:t>
      </w:r>
      <w:r>
        <w:rPr>
          <w:rFonts w:ascii="SimSun" w:hAnsi="SimSun" w:eastAsia="SimSun" w:cs="SimSun"/>
          <w:sz w:val="24"/>
          <w:szCs w:val="24"/>
          <w:spacing w:val="2"/>
        </w:rPr>
        <w:t>射噪声小、振动小</w:t>
      </w:r>
    </w:p>
    <w:p>
      <w:pPr>
        <w:spacing w:line="219" w:lineRule="auto"/>
        <w:sectPr>
          <w:headerReference w:type="default" r:id="rId11"/>
          <w:footerReference w:type="default" r:id="rId373"/>
          <w:pgSz w:w="11907" w:h="16840"/>
          <w:pgMar w:top="1567" w:right="1621" w:bottom="1921" w:left="1701" w:header="1221" w:footer="1247" w:gutter="0"/>
        </w:sectPr>
        <w:rPr>
          <w:rFonts w:ascii="SimSun" w:hAnsi="SimSun" w:eastAsia="SimSun" w:cs="SimSun"/>
          <w:sz w:val="24"/>
          <w:szCs w:val="24"/>
        </w:rPr>
      </w:pPr>
    </w:p>
    <w:p>
      <w:pPr>
        <w:ind w:left="11" w:firstLine="17"/>
        <w:spacing w:before="186" w:line="359" w:lineRule="auto"/>
        <w:jc w:val="both"/>
        <w:rPr>
          <w:rFonts w:ascii="SimSun" w:hAnsi="SimSun" w:eastAsia="SimSun" w:cs="SimSun"/>
          <w:sz w:val="24"/>
          <w:szCs w:val="24"/>
        </w:rPr>
      </w:pPr>
      <w:r>
        <w:pict>
          <v:shape id="_x0000_s1258" style="position:absolute;margin-left:85.05pt;margin-top:79.11pt;mso-position-vertical-relative:page;mso-position-horizontal-relative:page;width:425.25pt;height:0.75pt;z-index:252338176;" o:allowincell="f" fillcolor="#000000" filled="true" stroked="false" coordsize="8505,15" coordorigin="0,0" path="m,l8505,0l8505,14l0,14l0,0xe"/>
        </w:pict>
      </w:r>
      <w:r>
        <w:rPr>
          <w:rFonts w:ascii="SimSun" w:hAnsi="SimSun" w:eastAsia="SimSun" w:cs="SimSun"/>
          <w:sz w:val="24"/>
          <w:szCs w:val="24"/>
          <w:spacing w:val="2"/>
        </w:rPr>
        <w:t>的低噪声设备，同时也要选择有可能采取控制对策的设备，提高安装精度，从源</w:t>
      </w:r>
      <w:r>
        <w:rPr>
          <w:rFonts w:ascii="SimSun" w:hAnsi="SimSun" w:eastAsia="SimSun" w:cs="SimSun"/>
          <w:sz w:val="24"/>
          <w:szCs w:val="24"/>
          <w:spacing w:val="5"/>
        </w:rPr>
        <w:t xml:space="preserve"> </w:t>
      </w:r>
      <w:r>
        <w:rPr>
          <w:rFonts w:ascii="SimSun" w:hAnsi="SimSun" w:eastAsia="SimSun" w:cs="SimSun"/>
          <w:sz w:val="24"/>
          <w:szCs w:val="24"/>
          <w:spacing w:val="3"/>
        </w:rPr>
        <w:t>头上控制噪声产生的级别；合理安排平面布置，高噪</w:t>
      </w:r>
      <w:r>
        <w:rPr>
          <w:rFonts w:ascii="SimSun" w:hAnsi="SimSun" w:eastAsia="SimSun" w:cs="SimSun"/>
          <w:sz w:val="24"/>
          <w:szCs w:val="24"/>
          <w:spacing w:val="2"/>
        </w:rPr>
        <w:t>声设备应远离办公楼，厂区</w:t>
      </w:r>
      <w:r>
        <w:rPr>
          <w:rFonts w:ascii="SimSun" w:hAnsi="SimSun" w:eastAsia="SimSun" w:cs="SimSun"/>
          <w:sz w:val="24"/>
          <w:szCs w:val="24"/>
        </w:rPr>
        <w:t xml:space="preserve"> </w:t>
      </w:r>
      <w:r>
        <w:rPr>
          <w:rFonts w:ascii="SimSun" w:hAnsi="SimSun" w:eastAsia="SimSun" w:cs="SimSun"/>
          <w:sz w:val="24"/>
          <w:szCs w:val="24"/>
          <w:spacing w:val="-2"/>
        </w:rPr>
        <w:t>路口等处设置限速、禁鸣标志。运行中加强设备维护和保养，以降低噪声源噪声。</w:t>
      </w:r>
    </w:p>
    <w:p>
      <w:pPr>
        <w:ind w:left="501"/>
        <w:spacing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）设置减噪隔振消声措施</w:t>
      </w:r>
    </w:p>
    <w:p>
      <w:pPr>
        <w:ind w:left="8" w:right="78" w:firstLine="480"/>
        <w:spacing w:before="181" w:line="359" w:lineRule="auto"/>
        <w:rPr>
          <w:rFonts w:ascii="SimSun" w:hAnsi="SimSun" w:eastAsia="SimSun" w:cs="SimSun"/>
          <w:sz w:val="24"/>
          <w:szCs w:val="24"/>
        </w:rPr>
      </w:pPr>
      <w:r>
        <w:rPr>
          <w:rFonts w:ascii="SimSun" w:hAnsi="SimSun" w:eastAsia="SimSun" w:cs="SimSun"/>
          <w:sz w:val="24"/>
          <w:szCs w:val="24"/>
          <w:spacing w:val="3"/>
        </w:rPr>
        <w:t>对噪声的传播途径进行控制，水泵等设置在专门的隔声间内，以柔</w:t>
      </w:r>
      <w:r>
        <w:rPr>
          <w:rFonts w:ascii="SimSun" w:hAnsi="SimSun" w:eastAsia="SimSun" w:cs="SimSun"/>
          <w:sz w:val="24"/>
          <w:szCs w:val="24"/>
          <w:spacing w:val="2"/>
        </w:rPr>
        <w:t>性接头代</w:t>
      </w:r>
      <w:r>
        <w:rPr>
          <w:rFonts w:ascii="SimSun" w:hAnsi="SimSun" w:eastAsia="SimSun" w:cs="SimSun"/>
          <w:sz w:val="24"/>
          <w:szCs w:val="24"/>
        </w:rPr>
        <w:t xml:space="preserve"> </w:t>
      </w:r>
      <w:r>
        <w:rPr>
          <w:rFonts w:ascii="SimSun" w:hAnsi="SimSun" w:eastAsia="SimSun" w:cs="SimSun"/>
          <w:sz w:val="24"/>
          <w:szCs w:val="24"/>
          <w:spacing w:val="3"/>
        </w:rPr>
        <w:t>替刚性接头。电机、泵类等因振动而产生噪声的设备，考</w:t>
      </w:r>
      <w:r>
        <w:rPr>
          <w:rFonts w:ascii="SimSun" w:hAnsi="SimSun" w:eastAsia="SimSun" w:cs="SimSun"/>
          <w:sz w:val="24"/>
          <w:szCs w:val="24"/>
          <w:spacing w:val="2"/>
        </w:rPr>
        <w:t>虑安装橡胶减振垫、弹</w:t>
      </w:r>
      <w:r>
        <w:rPr>
          <w:rFonts w:ascii="SimSun" w:hAnsi="SimSun" w:eastAsia="SimSun" w:cs="SimSun"/>
          <w:sz w:val="24"/>
          <w:szCs w:val="24"/>
        </w:rPr>
        <w:t xml:space="preserve"> </w:t>
      </w:r>
      <w:r>
        <w:rPr>
          <w:rFonts w:ascii="SimSun" w:hAnsi="SimSun" w:eastAsia="SimSun" w:cs="SimSun"/>
          <w:sz w:val="24"/>
          <w:szCs w:val="24"/>
          <w:spacing w:val="-1"/>
        </w:rPr>
        <w:t>簧减振器隔振机座。</w:t>
      </w:r>
    </w:p>
    <w:p>
      <w:pPr>
        <w:ind w:left="501"/>
        <w:spacing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）隔声墙、隔声间的设置</w:t>
      </w:r>
    </w:p>
    <w:p>
      <w:pPr>
        <w:ind w:left="9" w:right="18" w:firstLine="482"/>
        <w:spacing w:before="181" w:line="359" w:lineRule="auto"/>
        <w:rPr>
          <w:rFonts w:ascii="SimSun" w:hAnsi="SimSun" w:eastAsia="SimSun" w:cs="SimSun"/>
          <w:sz w:val="24"/>
          <w:szCs w:val="24"/>
        </w:rPr>
      </w:pPr>
      <w:r>
        <w:rPr>
          <w:rFonts w:ascii="SimSun" w:hAnsi="SimSun" w:eastAsia="SimSun" w:cs="SimSun"/>
          <w:sz w:val="24"/>
          <w:szCs w:val="24"/>
          <w:spacing w:val="-3"/>
        </w:rPr>
        <w:t>各噪声设备建设在封闭厂房内，企业在实际运营生产中应保证车间的密闭性，</w:t>
      </w:r>
      <w:r>
        <w:rPr>
          <w:rFonts w:ascii="SimSun" w:hAnsi="SimSun" w:eastAsia="SimSun" w:cs="SimSun"/>
          <w:sz w:val="24"/>
          <w:szCs w:val="24"/>
          <w:spacing w:val="13"/>
        </w:rPr>
        <w:t xml:space="preserve"> </w:t>
      </w:r>
      <w:r>
        <w:rPr>
          <w:rFonts w:ascii="SimSun" w:hAnsi="SimSun" w:eastAsia="SimSun" w:cs="SimSun"/>
          <w:sz w:val="24"/>
          <w:szCs w:val="24"/>
          <w:spacing w:val="3"/>
        </w:rPr>
        <w:t>以使其能很好地发挥防尘、降噪的作用。对各种振</w:t>
      </w:r>
      <w:r>
        <w:rPr>
          <w:rFonts w:ascii="SimSun" w:hAnsi="SimSun" w:eastAsia="SimSun" w:cs="SimSun"/>
          <w:sz w:val="24"/>
          <w:szCs w:val="24"/>
          <w:spacing w:val="2"/>
        </w:rPr>
        <w:t>动机械采用减振基础，对体积</w:t>
      </w:r>
      <w:r>
        <w:rPr>
          <w:rFonts w:ascii="SimSun" w:hAnsi="SimSun" w:eastAsia="SimSun" w:cs="SimSun"/>
          <w:sz w:val="24"/>
          <w:szCs w:val="24"/>
        </w:rPr>
        <w:t xml:space="preserve"> </w:t>
      </w:r>
      <w:r>
        <w:rPr>
          <w:rFonts w:ascii="SimSun" w:hAnsi="SimSun" w:eastAsia="SimSun" w:cs="SimSun"/>
          <w:sz w:val="24"/>
          <w:szCs w:val="24"/>
          <w:spacing w:val="3"/>
        </w:rPr>
        <w:t>较大的产噪设备，应考虑对设备厂房，墙壁进行吸声处</w:t>
      </w:r>
      <w:r>
        <w:rPr>
          <w:rFonts w:ascii="SimSun" w:hAnsi="SimSun" w:eastAsia="SimSun" w:cs="SimSun"/>
          <w:sz w:val="24"/>
          <w:szCs w:val="24"/>
          <w:spacing w:val="2"/>
        </w:rPr>
        <w:t>理，并建设便于观察和控</w:t>
      </w:r>
      <w:r>
        <w:rPr>
          <w:rFonts w:ascii="SimSun" w:hAnsi="SimSun" w:eastAsia="SimSun" w:cs="SimSun"/>
          <w:sz w:val="24"/>
          <w:szCs w:val="24"/>
        </w:rPr>
        <w:t xml:space="preserve"> </w:t>
      </w:r>
      <w:r>
        <w:rPr>
          <w:rFonts w:ascii="SimSun" w:hAnsi="SimSun" w:eastAsia="SimSun" w:cs="SimSun"/>
          <w:sz w:val="24"/>
          <w:szCs w:val="24"/>
          <w:spacing w:val="3"/>
        </w:rPr>
        <w:t>制生产过程的隔声间。针对本项目的产噪特点，将主要噪声源破碎机、空压机、</w:t>
      </w:r>
      <w:r>
        <w:rPr>
          <w:rFonts w:ascii="SimSun" w:hAnsi="SimSun" w:eastAsia="SimSun" w:cs="SimSun"/>
          <w:sz w:val="24"/>
          <w:szCs w:val="24"/>
          <w:spacing w:val="13"/>
        </w:rPr>
        <w:t xml:space="preserve"> </w:t>
      </w:r>
      <w:r>
        <w:rPr>
          <w:rFonts w:ascii="SimSun" w:hAnsi="SimSun" w:eastAsia="SimSun" w:cs="SimSun"/>
          <w:sz w:val="24"/>
          <w:szCs w:val="24"/>
          <w:spacing w:val="-1"/>
        </w:rPr>
        <w:t>球磨机等布置在室内，并加设门窗，以确保厂界噪声达标。</w:t>
      </w:r>
    </w:p>
    <w:p>
      <w:pPr>
        <w:ind w:left="501"/>
        <w:spacing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）重视绿化</w:t>
      </w:r>
    </w:p>
    <w:p>
      <w:pPr>
        <w:ind w:left="37" w:right="78" w:firstLine="453"/>
        <w:spacing w:before="182" w:line="359" w:lineRule="auto"/>
        <w:rPr>
          <w:rFonts w:ascii="SimSun" w:hAnsi="SimSun" w:eastAsia="SimSun" w:cs="SimSun"/>
          <w:sz w:val="24"/>
          <w:szCs w:val="24"/>
        </w:rPr>
      </w:pPr>
      <w:r>
        <w:rPr>
          <w:rFonts w:ascii="SimSun" w:hAnsi="SimSun" w:eastAsia="SimSun" w:cs="SimSun"/>
          <w:sz w:val="24"/>
          <w:szCs w:val="24"/>
          <w:spacing w:val="3"/>
        </w:rPr>
        <w:t>重视绿化工作也是噪声防治的一项积极措施。绿化不仅可以美化</w:t>
      </w:r>
      <w:r>
        <w:rPr>
          <w:rFonts w:ascii="SimSun" w:hAnsi="SimSun" w:eastAsia="SimSun" w:cs="SimSun"/>
          <w:sz w:val="24"/>
          <w:szCs w:val="24"/>
          <w:spacing w:val="2"/>
        </w:rPr>
        <w:t>环境，还可</w:t>
      </w:r>
      <w:r>
        <w:rPr>
          <w:rFonts w:ascii="SimSun" w:hAnsi="SimSun" w:eastAsia="SimSun" w:cs="SimSun"/>
          <w:sz w:val="24"/>
          <w:szCs w:val="24"/>
        </w:rPr>
        <w:t xml:space="preserve"> </w:t>
      </w:r>
      <w:r>
        <w:rPr>
          <w:rFonts w:ascii="SimSun" w:hAnsi="SimSun" w:eastAsia="SimSun" w:cs="SimSun"/>
          <w:sz w:val="24"/>
          <w:szCs w:val="24"/>
          <w:spacing w:val="-2"/>
        </w:rPr>
        <w:t>以阻滞噪声传播。本项目绿化重点是生产车间四周种植绿化带。</w:t>
      </w:r>
    </w:p>
    <w:p>
      <w:pPr>
        <w:ind w:left="501"/>
        <w:spacing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5</w:t>
      </w:r>
      <w:r>
        <w:rPr>
          <w:rFonts w:ascii="SimSun" w:hAnsi="SimSun" w:eastAsia="SimSun" w:cs="SimSun"/>
          <w:sz w:val="24"/>
          <w:szCs w:val="24"/>
          <w:spacing w:val="-3"/>
        </w:rPr>
        <w:t>）加强管理</w:t>
      </w:r>
    </w:p>
    <w:p>
      <w:pPr>
        <w:ind w:left="10" w:right="78" w:firstLine="478"/>
        <w:spacing w:before="182" w:line="359" w:lineRule="auto"/>
        <w:rPr>
          <w:rFonts w:ascii="SimSun" w:hAnsi="SimSun" w:eastAsia="SimSun" w:cs="SimSun"/>
          <w:sz w:val="24"/>
          <w:szCs w:val="24"/>
        </w:rPr>
      </w:pPr>
      <w:r>
        <w:rPr>
          <w:rFonts w:ascii="SimSun" w:hAnsi="SimSun" w:eastAsia="SimSun" w:cs="SimSun"/>
          <w:sz w:val="24"/>
          <w:szCs w:val="24"/>
          <w:spacing w:val="3"/>
        </w:rPr>
        <w:t>在采取以上治理措施的基础上，还必须严格按照操作规程进行操作</w:t>
      </w:r>
      <w:r>
        <w:rPr>
          <w:rFonts w:ascii="SimSun" w:hAnsi="SimSun" w:eastAsia="SimSun" w:cs="SimSun"/>
          <w:sz w:val="24"/>
          <w:szCs w:val="24"/>
          <w:spacing w:val="2"/>
        </w:rPr>
        <w:t>，定期对</w:t>
      </w:r>
      <w:r>
        <w:rPr>
          <w:rFonts w:ascii="SimSun" w:hAnsi="SimSun" w:eastAsia="SimSun" w:cs="SimSun"/>
          <w:sz w:val="24"/>
          <w:szCs w:val="24"/>
        </w:rPr>
        <w:t xml:space="preserve"> </w:t>
      </w:r>
      <w:r>
        <w:rPr>
          <w:rFonts w:ascii="SimSun" w:hAnsi="SimSun" w:eastAsia="SimSun" w:cs="SimSun"/>
          <w:sz w:val="24"/>
          <w:szCs w:val="24"/>
          <w:spacing w:val="3"/>
        </w:rPr>
        <w:t>防噪设备进行维修、检查，使本项目对厂界声环境的影</w:t>
      </w:r>
      <w:r>
        <w:rPr>
          <w:rFonts w:ascii="SimSun" w:hAnsi="SimSun" w:eastAsia="SimSun" w:cs="SimSun"/>
          <w:sz w:val="24"/>
          <w:szCs w:val="24"/>
          <w:spacing w:val="2"/>
        </w:rPr>
        <w:t>响降到最低。在对待交通</w:t>
      </w:r>
      <w:r>
        <w:rPr>
          <w:rFonts w:ascii="SimSun" w:hAnsi="SimSun" w:eastAsia="SimSun" w:cs="SimSun"/>
          <w:sz w:val="24"/>
          <w:szCs w:val="24"/>
        </w:rPr>
        <w:t xml:space="preserve"> </w:t>
      </w:r>
      <w:r>
        <w:rPr>
          <w:rFonts w:ascii="SimSun" w:hAnsi="SimSun" w:eastAsia="SimSun" w:cs="SimSun"/>
          <w:sz w:val="24"/>
          <w:szCs w:val="24"/>
          <w:spacing w:val="3"/>
        </w:rPr>
        <w:t>噪声防治措施上，应加强管理，制定有关规章制度。在</w:t>
      </w:r>
      <w:r>
        <w:rPr>
          <w:rFonts w:ascii="SimSun" w:hAnsi="SimSun" w:eastAsia="SimSun" w:cs="SimSun"/>
          <w:sz w:val="24"/>
          <w:szCs w:val="24"/>
          <w:spacing w:val="2"/>
        </w:rPr>
        <w:t>各敏感点处设立限速、禁</w:t>
      </w:r>
      <w:r>
        <w:rPr>
          <w:rFonts w:ascii="SimSun" w:hAnsi="SimSun" w:eastAsia="SimSun" w:cs="SimSun"/>
          <w:sz w:val="24"/>
          <w:szCs w:val="24"/>
        </w:rPr>
        <w:t xml:space="preserve"> </w:t>
      </w:r>
      <w:r>
        <w:rPr>
          <w:rFonts w:ascii="SimSun" w:hAnsi="SimSun" w:eastAsia="SimSun" w:cs="SimSun"/>
          <w:sz w:val="24"/>
          <w:szCs w:val="24"/>
          <w:spacing w:val="3"/>
        </w:rPr>
        <w:t>鸣标志；在厂区内部运输道路两旁增加绿化带，可减少</w:t>
      </w:r>
      <w:r>
        <w:rPr>
          <w:rFonts w:ascii="SimSun" w:hAnsi="SimSun" w:eastAsia="SimSun" w:cs="SimSun"/>
          <w:sz w:val="24"/>
          <w:szCs w:val="24"/>
          <w:spacing w:val="2"/>
        </w:rPr>
        <w:t>噪声传播，使噪声对沿线</w:t>
      </w:r>
      <w:r>
        <w:rPr>
          <w:rFonts w:ascii="SimSun" w:hAnsi="SimSun" w:eastAsia="SimSun" w:cs="SimSun"/>
          <w:sz w:val="24"/>
          <w:szCs w:val="24"/>
        </w:rPr>
        <w:t xml:space="preserve"> </w:t>
      </w:r>
      <w:r>
        <w:rPr>
          <w:rFonts w:ascii="SimSun" w:hAnsi="SimSun" w:eastAsia="SimSun" w:cs="SimSun"/>
          <w:sz w:val="24"/>
          <w:szCs w:val="24"/>
          <w:spacing w:val="-2"/>
        </w:rPr>
        <w:t>村庄影响降低。</w:t>
      </w:r>
    </w:p>
    <w:p>
      <w:pPr>
        <w:ind w:left="10" w:right="77" w:firstLine="478"/>
        <w:spacing w:line="359" w:lineRule="auto"/>
        <w:jc w:val="both"/>
        <w:rPr>
          <w:rFonts w:ascii="SimSun" w:hAnsi="SimSun" w:eastAsia="SimSun" w:cs="SimSun"/>
          <w:sz w:val="24"/>
          <w:szCs w:val="24"/>
        </w:rPr>
      </w:pPr>
      <w:r>
        <w:rPr>
          <w:rFonts w:ascii="SimSun" w:hAnsi="SimSun" w:eastAsia="SimSun" w:cs="SimSun"/>
          <w:sz w:val="24"/>
          <w:szCs w:val="24"/>
          <w:spacing w:val="3"/>
        </w:rPr>
        <w:t>采取以上措施后，可保证操作环境中的设备噪声低于《中华人民共</w:t>
      </w:r>
      <w:r>
        <w:rPr>
          <w:rFonts w:ascii="SimSun" w:hAnsi="SimSun" w:eastAsia="SimSun" w:cs="SimSun"/>
          <w:sz w:val="24"/>
          <w:szCs w:val="24"/>
          <w:spacing w:val="2"/>
        </w:rPr>
        <w:t>和国国家</w:t>
      </w:r>
      <w:r>
        <w:rPr>
          <w:rFonts w:ascii="SimSun" w:hAnsi="SimSun" w:eastAsia="SimSun" w:cs="SimSun"/>
          <w:sz w:val="24"/>
          <w:szCs w:val="24"/>
        </w:rPr>
        <w:t xml:space="preserve"> </w:t>
      </w:r>
      <w:r>
        <w:rPr>
          <w:rFonts w:ascii="SimSun" w:hAnsi="SimSun" w:eastAsia="SimSun" w:cs="SimSun"/>
          <w:sz w:val="24"/>
          <w:szCs w:val="24"/>
          <w:spacing w:val="2"/>
        </w:rPr>
        <w:t>职业卫生标准》（</w:t>
      </w:r>
      <w:r>
        <w:rPr>
          <w:rFonts w:ascii="Times New Roman" w:hAnsi="Times New Roman" w:eastAsia="Times New Roman" w:cs="Times New Roman"/>
          <w:sz w:val="24"/>
          <w:szCs w:val="24"/>
        </w:rPr>
        <w:t>GBZ</w:t>
      </w:r>
      <w:r>
        <w:rPr>
          <w:rFonts w:ascii="Times New Roman" w:hAnsi="Times New Roman" w:eastAsia="Times New Roman" w:cs="Times New Roman"/>
          <w:sz w:val="24"/>
          <w:szCs w:val="24"/>
          <w:spacing w:val="2"/>
        </w:rPr>
        <w:t xml:space="preserve"> 2.2-2007</w:t>
      </w:r>
      <w:r>
        <w:rPr>
          <w:rFonts w:ascii="SimSun" w:hAnsi="SimSun" w:eastAsia="SimSun" w:cs="SimSun"/>
          <w:sz w:val="24"/>
          <w:szCs w:val="24"/>
          <w:spacing w:val="2"/>
        </w:rPr>
        <w:t>）中规定的</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2"/>
        </w:rPr>
        <w:t>85</w:t>
      </w:r>
      <w:r>
        <w:rPr>
          <w:rFonts w:ascii="Times New Roman" w:hAnsi="Times New Roman" w:eastAsia="Times New Roman" w:cs="Times New Roman"/>
          <w:sz w:val="24"/>
          <w:szCs w:val="24"/>
        </w:rPr>
        <w:t>dB</w:t>
      </w:r>
      <w:r>
        <w:rPr>
          <w:rFonts w:ascii="SimSun" w:hAnsi="SimSun" w:eastAsia="SimSun" w:cs="SimSun"/>
          <w:sz w:val="24"/>
          <w:szCs w:val="24"/>
          <w:spacing w:val="2"/>
        </w:rPr>
        <w:t>（</w:t>
      </w:r>
      <w:r>
        <w:rPr>
          <w:rFonts w:ascii="Times New Roman" w:hAnsi="Times New Roman" w:eastAsia="Times New Roman" w:cs="Times New Roman"/>
          <w:sz w:val="24"/>
          <w:szCs w:val="24"/>
          <w:spacing w:val="2"/>
        </w:rPr>
        <w:t>A</w:t>
      </w:r>
      <w:r>
        <w:rPr>
          <w:rFonts w:ascii="SimSun" w:hAnsi="SimSun" w:eastAsia="SimSun" w:cs="SimSun"/>
          <w:sz w:val="24"/>
          <w:szCs w:val="24"/>
          <w:spacing w:val="2"/>
        </w:rPr>
        <w:t>）标准，从而对操作人员起</w:t>
      </w:r>
      <w:r>
        <w:rPr>
          <w:rFonts w:ascii="SimSun" w:hAnsi="SimSun" w:eastAsia="SimSun" w:cs="SimSun"/>
          <w:sz w:val="24"/>
          <w:szCs w:val="24"/>
        </w:rPr>
        <w:t xml:space="preserve"> </w:t>
      </w:r>
      <w:r>
        <w:rPr>
          <w:rFonts w:ascii="SimSun" w:hAnsi="SimSun" w:eastAsia="SimSun" w:cs="SimSun"/>
          <w:sz w:val="24"/>
          <w:szCs w:val="24"/>
          <w:spacing w:val="3"/>
        </w:rPr>
        <w:t>到保护作用，同时通过距离衰减等，可保证厂界噪声不</w:t>
      </w:r>
      <w:r>
        <w:rPr>
          <w:rFonts w:ascii="SimSun" w:hAnsi="SimSun" w:eastAsia="SimSun" w:cs="SimSun"/>
          <w:sz w:val="24"/>
          <w:szCs w:val="24"/>
          <w:spacing w:val="2"/>
        </w:rPr>
        <w:t>会超过《工业企业厂界环</w:t>
      </w:r>
      <w:r>
        <w:rPr>
          <w:rFonts w:ascii="SimSun" w:hAnsi="SimSun" w:eastAsia="SimSun" w:cs="SimSun"/>
          <w:sz w:val="24"/>
          <w:szCs w:val="24"/>
        </w:rPr>
        <w:t xml:space="preserve"> </w:t>
      </w:r>
      <w:r>
        <w:rPr>
          <w:rFonts w:ascii="SimSun" w:hAnsi="SimSun" w:eastAsia="SimSun" w:cs="SimSun"/>
          <w:sz w:val="24"/>
          <w:szCs w:val="24"/>
          <w:spacing w:val="-1"/>
        </w:rPr>
        <w:t>境噪声排放标准》（</w:t>
      </w:r>
      <w:r>
        <w:rPr>
          <w:rFonts w:ascii="Times New Roman" w:hAnsi="Times New Roman" w:eastAsia="Times New Roman" w:cs="Times New Roman"/>
          <w:sz w:val="24"/>
          <w:szCs w:val="24"/>
          <w:spacing w:val="-1"/>
        </w:rPr>
        <w:t>GB12348-2008</w:t>
      </w:r>
      <w:r>
        <w:rPr>
          <w:rFonts w:ascii="SimSun" w:hAnsi="SimSun" w:eastAsia="SimSun" w:cs="SimSun"/>
          <w:sz w:val="24"/>
          <w:szCs w:val="24"/>
          <w:spacing w:val="-1"/>
        </w:rPr>
        <w:t>）</w:t>
      </w:r>
      <w:r>
        <w:rPr>
          <w:rFonts w:ascii="Times New Roman" w:hAnsi="Times New Roman" w:eastAsia="Times New Roman" w:cs="Times New Roman"/>
          <w:sz w:val="24"/>
          <w:szCs w:val="24"/>
          <w:spacing w:val="-1"/>
        </w:rPr>
        <w:t>2 </w:t>
      </w:r>
      <w:r>
        <w:rPr>
          <w:rFonts w:ascii="SimSun" w:hAnsi="SimSun" w:eastAsia="SimSun" w:cs="SimSun"/>
          <w:sz w:val="24"/>
          <w:szCs w:val="24"/>
          <w:spacing w:val="-1"/>
        </w:rPr>
        <w:t>类标准要求。</w:t>
      </w:r>
    </w:p>
    <w:p>
      <w:pPr>
        <w:ind w:left="501"/>
        <w:spacing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6</w:t>
      </w:r>
      <w:r>
        <w:rPr>
          <w:rFonts w:ascii="SimSun" w:hAnsi="SimSun" w:eastAsia="SimSun" w:cs="SimSun"/>
          <w:sz w:val="24"/>
          <w:szCs w:val="24"/>
          <w:spacing w:val="-1"/>
        </w:rPr>
        <w:t>）运输路线两侧居民的噪声的保护及污染防治措施</w:t>
      </w:r>
    </w:p>
    <w:p>
      <w:pPr>
        <w:ind w:left="7" w:right="77" w:firstLine="482"/>
        <w:spacing w:before="184" w:line="392" w:lineRule="auto"/>
        <w:rPr>
          <w:rFonts w:ascii="SimSun" w:hAnsi="SimSun" w:eastAsia="SimSun" w:cs="SimSun"/>
          <w:sz w:val="19"/>
          <w:szCs w:val="19"/>
        </w:rPr>
      </w:pPr>
      <w:r>
        <w:pict>
          <v:shape id="_x0000_s1260" style="position:absolute;margin-left:159.33pt;margin-top:58.0384pt;mso-position-vertical-relative:text;mso-position-horizontal-relative:text;width:61pt;height:13.75pt;z-index:252337152;"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279</w:t>
                  </w:r>
                </w:p>
              </w:txbxContent>
            </v:textbox>
          </v:shape>
        </w:pict>
      </w:r>
      <w:r>
        <w:rPr>
          <w:rFonts w:ascii="SimSun" w:hAnsi="SimSun" w:eastAsia="SimSun" w:cs="SimSun"/>
          <w:sz w:val="24"/>
          <w:szCs w:val="24"/>
          <w:spacing w:val="3"/>
        </w:rPr>
        <w:t>加强机动车辆管理，严格执行限速和禁止超载的交通管理要求，在</w:t>
      </w:r>
      <w:r>
        <w:rPr>
          <w:rFonts w:ascii="SimSun" w:hAnsi="SimSun" w:eastAsia="SimSun" w:cs="SimSun"/>
          <w:sz w:val="24"/>
          <w:szCs w:val="24"/>
          <w:spacing w:val="2"/>
        </w:rPr>
        <w:t>通过人口</w:t>
      </w:r>
      <w:r>
        <w:rPr>
          <w:rFonts w:ascii="SimSun" w:hAnsi="SimSun" w:eastAsia="SimSun" w:cs="SimSun"/>
          <w:sz w:val="24"/>
          <w:szCs w:val="24"/>
        </w:rPr>
        <w:t xml:space="preserve"> </w:t>
      </w:r>
      <w:r>
        <w:rPr>
          <w:rFonts w:ascii="SimSun" w:hAnsi="SimSun" w:eastAsia="SimSun" w:cs="SimSun"/>
          <w:sz w:val="24"/>
          <w:szCs w:val="24"/>
          <w:spacing w:val="3"/>
        </w:rPr>
        <w:t>密度较大的城镇路段限制车速、禁止鸣笛。尽量降低噪声污染</w:t>
      </w:r>
      <w:r>
        <w:rPr>
          <w:rFonts w:ascii="SimSun" w:hAnsi="SimSun" w:eastAsia="SimSun" w:cs="SimSun"/>
          <w:sz w:val="24"/>
          <w:szCs w:val="24"/>
          <w:spacing w:val="2"/>
        </w:rPr>
        <w:t>源的噪声，严格限</w:t>
      </w:r>
      <w:r>
        <w:rPr>
          <w:rFonts w:ascii="SimSun" w:hAnsi="SimSun" w:eastAsia="SimSun" w:cs="SimSun"/>
          <w:sz w:val="24"/>
          <w:szCs w:val="24"/>
        </w:rPr>
        <w:t xml:space="preserve"> </w:t>
      </w:r>
      <w:r>
        <w:rPr>
          <w:rFonts w:ascii="SimSun" w:hAnsi="SimSun" w:eastAsia="SimSun" w:cs="SimSun"/>
          <w:sz w:val="19"/>
          <w:szCs w:val="19"/>
          <w:spacing w:val="9"/>
        </w:rPr>
        <w:t>锡林郭勒盟中安环境技术咨询有限责</w:t>
      </w:r>
    </w:p>
    <w:p>
      <w:pPr>
        <w:spacing w:line="392" w:lineRule="auto"/>
        <w:sectPr>
          <w:footerReference w:type="default" r:id="rId3"/>
          <w:pgSz w:w="11907" w:h="16840"/>
          <w:pgMar w:top="1567" w:right="1621" w:bottom="400" w:left="1701" w:header="1221" w:footer="0" w:gutter="0"/>
        </w:sectPr>
        <w:rPr>
          <w:rFonts w:ascii="SimSun" w:hAnsi="SimSun" w:eastAsia="SimSun" w:cs="SimSun"/>
          <w:sz w:val="19"/>
          <w:szCs w:val="19"/>
        </w:rPr>
      </w:pPr>
    </w:p>
    <w:p>
      <w:pPr>
        <w:ind w:left="10"/>
        <w:spacing w:before="169" w:line="219" w:lineRule="auto"/>
        <w:rPr>
          <w:rFonts w:ascii="SimSun" w:hAnsi="SimSun" w:eastAsia="SimSun" w:cs="SimSun"/>
          <w:sz w:val="24"/>
          <w:szCs w:val="24"/>
        </w:rPr>
      </w:pPr>
      <w:r>
        <w:pict>
          <v:shape id="_x0000_s1264" style="position:absolute;margin-left:85.05pt;margin-top:78.87pt;mso-position-vertical-relative:page;mso-position-horizontal-relative:page;width:425.25pt;height:0.75pt;z-index:252340224;" o:allowincell="f" fillcolor="#000000" filled="true" stroked="false" coordsize="8505,15" coordorigin="0,0" path="m,l8505,0l8505,14l0,14l0,0xe"/>
        </w:pict>
      </w:r>
      <w:r>
        <w:rPr>
          <w:rFonts w:ascii="SimSun" w:hAnsi="SimSun" w:eastAsia="SimSun" w:cs="SimSun"/>
          <w:sz w:val="24"/>
          <w:szCs w:val="24"/>
          <w:spacing w:val="-1"/>
        </w:rPr>
        <w:t>制技术状况差、噪声高的车辆上路，以减少交通噪声扰民问题。</w:t>
      </w:r>
    </w:p>
    <w:p>
      <w:pPr>
        <w:pStyle w:val="BodyText"/>
        <w:spacing w:line="248" w:lineRule="auto"/>
        <w:rPr/>
      </w:pPr>
      <w:r/>
    </w:p>
    <w:p>
      <w:pPr>
        <w:ind w:left="11"/>
        <w:spacing w:before="97" w:line="221" w:lineRule="auto"/>
        <w:outlineLvl w:val="1"/>
        <w:rPr>
          <w:rFonts w:ascii="SimHei" w:hAnsi="SimHei" w:eastAsia="SimHei" w:cs="SimHei"/>
          <w:sz w:val="30"/>
          <w:szCs w:val="30"/>
        </w:rPr>
      </w:pPr>
      <w:bookmarkStart w:name="bookmark159" w:id="192"/>
      <w:bookmarkEnd w:id="192"/>
      <w:r>
        <w:rPr>
          <w:rFonts w:ascii="Times New Roman" w:hAnsi="Times New Roman" w:eastAsia="Times New Roman" w:cs="Times New Roman"/>
          <w:sz w:val="30"/>
          <w:szCs w:val="30"/>
          <w:spacing w:val="-3"/>
        </w:rPr>
        <w:t>7.4</w:t>
      </w:r>
      <w:r>
        <w:rPr>
          <w:rFonts w:ascii="Times New Roman" w:hAnsi="Times New Roman" w:eastAsia="Times New Roman" w:cs="Times New Roman"/>
          <w:sz w:val="30"/>
          <w:szCs w:val="30"/>
          <w:spacing w:val="40"/>
        </w:rPr>
        <w:t xml:space="preserve"> </w:t>
      </w:r>
      <w:r>
        <w:rPr>
          <w:rFonts w:ascii="SimHei" w:hAnsi="SimHei" w:eastAsia="SimHei" w:cs="SimHei"/>
          <w:sz w:val="30"/>
          <w:szCs w:val="30"/>
          <w:spacing w:val="-3"/>
        </w:rPr>
        <w:t>固体废物防治对策及其可行性分析</w:t>
      </w:r>
    </w:p>
    <w:p>
      <w:pPr>
        <w:pStyle w:val="BodyText"/>
        <w:spacing w:line="283" w:lineRule="auto"/>
        <w:rPr/>
      </w:pPr>
      <w:r/>
    </w:p>
    <w:p>
      <w:pPr>
        <w:ind w:left="10"/>
        <w:spacing w:before="91" w:line="222" w:lineRule="auto"/>
        <w:outlineLvl w:val="2"/>
        <w:rPr>
          <w:rFonts w:ascii="SimHei" w:hAnsi="SimHei" w:eastAsia="SimHei" w:cs="SimHei"/>
          <w:sz w:val="28"/>
          <w:szCs w:val="28"/>
        </w:rPr>
      </w:pPr>
      <w:bookmarkStart w:name="bookmark160" w:id="193"/>
      <w:bookmarkEnd w:id="193"/>
      <w:r>
        <w:rPr>
          <w:rFonts w:ascii="Times New Roman" w:hAnsi="Times New Roman" w:eastAsia="Times New Roman" w:cs="Times New Roman"/>
          <w:sz w:val="28"/>
          <w:szCs w:val="28"/>
          <w:spacing w:val="-1"/>
        </w:rPr>
        <w:t>7.4.1 </w:t>
      </w:r>
      <w:r>
        <w:rPr>
          <w:rFonts w:ascii="SimHei" w:hAnsi="SimHei" w:eastAsia="SimHei" w:cs="SimHei"/>
          <w:sz w:val="28"/>
          <w:szCs w:val="28"/>
          <w:spacing w:val="-1"/>
        </w:rPr>
        <w:t>一般固体废物处置措施可行性分析</w:t>
      </w:r>
    </w:p>
    <w:p>
      <w:pPr>
        <w:pStyle w:val="BodyText"/>
        <w:spacing w:line="243" w:lineRule="auto"/>
        <w:rPr/>
      </w:pPr>
      <w:r/>
    </w:p>
    <w:p>
      <w:pPr>
        <w:ind w:left="508"/>
        <w:spacing w:before="78" w:line="219" w:lineRule="auto"/>
        <w:rPr>
          <w:rFonts w:ascii="SimSun" w:hAnsi="SimSun" w:eastAsia="SimSun" w:cs="SimSun"/>
          <w:sz w:val="24"/>
          <w:szCs w:val="24"/>
        </w:rPr>
      </w:pP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4"/>
        </w:rPr>
        <w:t>、一般固体废物处置措施机可行性</w:t>
      </w:r>
    </w:p>
    <w:p>
      <w:pPr>
        <w:ind w:left="8" w:right="3" w:firstLine="492"/>
        <w:spacing w:before="179" w:line="31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）废包装物来自原毛包的解包工序，其主要成分为高密度聚乙</w:t>
      </w:r>
      <w:r>
        <w:rPr>
          <w:rFonts w:ascii="SimSun" w:hAnsi="SimSun" w:eastAsia="SimSun" w:cs="SimSun"/>
          <w:sz w:val="24"/>
          <w:szCs w:val="24"/>
          <w:spacing w:val="-2"/>
        </w:rPr>
        <w:t>烯（包布）</w:t>
      </w:r>
      <w:r>
        <w:rPr>
          <w:rFonts w:ascii="SimSun" w:hAnsi="SimSun" w:eastAsia="SimSun" w:cs="SimSun"/>
          <w:sz w:val="24"/>
          <w:szCs w:val="24"/>
        </w:rPr>
        <w:t xml:space="preserve"> </w:t>
      </w:r>
      <w:r>
        <w:rPr>
          <w:rFonts w:ascii="SimSun" w:hAnsi="SimSun" w:eastAsia="SimSun" w:cs="SimSun"/>
          <w:sz w:val="24"/>
          <w:szCs w:val="24"/>
          <w:spacing w:val="2"/>
        </w:rPr>
        <w:t>和钢丝（包索</w:t>
      </w:r>
      <w:r>
        <w:rPr>
          <w:rFonts w:ascii="SimSun" w:hAnsi="SimSun" w:eastAsia="SimSun" w:cs="SimSun"/>
          <w:sz w:val="24"/>
          <w:szCs w:val="24"/>
          <w:spacing w:val="13"/>
        </w:rPr>
        <w:t>），</w:t>
      </w:r>
      <w:r>
        <w:rPr>
          <w:rFonts w:ascii="SimSun" w:hAnsi="SimSun" w:eastAsia="SimSun" w:cs="SimSun"/>
          <w:sz w:val="24"/>
          <w:szCs w:val="24"/>
          <w:spacing w:val="2"/>
        </w:rPr>
        <w:t>属于一般固废，在一般固废暂存库内扎捆临时贮存，定期外售</w:t>
      </w:r>
      <w:r>
        <w:rPr>
          <w:rFonts w:ascii="SimSun" w:hAnsi="SimSun" w:eastAsia="SimSun" w:cs="SimSun"/>
          <w:sz w:val="24"/>
          <w:szCs w:val="24"/>
          <w:spacing w:val="1"/>
        </w:rPr>
        <w:t xml:space="preserve"> </w:t>
      </w:r>
      <w:r>
        <w:rPr>
          <w:rFonts w:ascii="SimSun" w:hAnsi="SimSun" w:eastAsia="SimSun" w:cs="SimSun"/>
          <w:sz w:val="24"/>
          <w:szCs w:val="24"/>
          <w:spacing w:val="-1"/>
        </w:rPr>
        <w:t>废品回收企业综合利用。</w:t>
      </w:r>
    </w:p>
    <w:p>
      <w:pPr>
        <w:ind w:left="9" w:right="18" w:firstLine="505"/>
        <w:spacing w:before="182" w:line="289"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2</w:t>
      </w:r>
      <w:r>
        <w:rPr>
          <w:rFonts w:ascii="SimSun" w:hAnsi="SimSun" w:eastAsia="SimSun" w:cs="SimSun"/>
          <w:sz w:val="24"/>
          <w:szCs w:val="24"/>
          <w:spacing w:val="5"/>
        </w:rPr>
        <w:t>）分选杂物来自分选工序，主要成分为砂石、木块等，属于一般固废，</w:t>
      </w:r>
      <w:r>
        <w:rPr>
          <w:rFonts w:ascii="SimSun" w:hAnsi="SimSun" w:eastAsia="SimSun" w:cs="SimSun"/>
          <w:sz w:val="24"/>
          <w:szCs w:val="24"/>
          <w:spacing w:val="6"/>
        </w:rPr>
        <w:t xml:space="preserve"> </w:t>
      </w:r>
      <w:r>
        <w:rPr>
          <w:rFonts w:ascii="SimSun" w:hAnsi="SimSun" w:eastAsia="SimSun" w:cs="SimSun"/>
          <w:sz w:val="24"/>
          <w:szCs w:val="24"/>
          <w:spacing w:val="7"/>
        </w:rPr>
        <w:t>根据其成分特征，定期外运委托当地环卫部门清运处理。</w:t>
      </w:r>
    </w:p>
    <w:p>
      <w:pPr>
        <w:ind w:left="11" w:right="9" w:firstLine="503"/>
        <w:spacing w:before="184" w:line="324"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）开松杂质来自原毛开松除杂工序，主要成分为杂草、泥沙、羊粪便等，</w:t>
      </w:r>
      <w:r>
        <w:rPr>
          <w:rFonts w:ascii="SimSun" w:hAnsi="SimSun" w:eastAsia="SimSun" w:cs="SimSun"/>
          <w:sz w:val="24"/>
          <w:szCs w:val="24"/>
          <w:spacing w:val="9"/>
        </w:rPr>
        <w:t xml:space="preserve"> </w:t>
      </w:r>
      <w:r>
        <w:rPr>
          <w:rFonts w:ascii="SimSun" w:hAnsi="SimSun" w:eastAsia="SimSun" w:cs="SimSun"/>
          <w:sz w:val="24"/>
          <w:szCs w:val="24"/>
          <w:spacing w:val="9"/>
        </w:rPr>
        <w:t>属于一般固废，在一般固废暂存间内袋装暂存，根据其成分特征，外运内蒙古</w:t>
      </w:r>
      <w:r>
        <w:rPr>
          <w:rFonts w:ascii="SimSun" w:hAnsi="SimSun" w:eastAsia="SimSun" w:cs="SimSun"/>
          <w:sz w:val="24"/>
          <w:szCs w:val="24"/>
          <w:spacing w:val="17"/>
        </w:rPr>
        <w:t xml:space="preserve"> </w:t>
      </w:r>
      <w:r>
        <w:rPr>
          <w:rFonts w:ascii="SimSun" w:hAnsi="SimSun" w:eastAsia="SimSun" w:cs="SimSun"/>
          <w:sz w:val="24"/>
          <w:szCs w:val="24"/>
          <w:spacing w:val="9"/>
        </w:rPr>
        <w:t>盎然农业发展有限公司有机肥厂做有机肥，待内蒙古源浩羊绒制品有限公司废</w:t>
      </w:r>
      <w:r>
        <w:rPr>
          <w:rFonts w:ascii="SimSun" w:hAnsi="SimSun" w:eastAsia="SimSun" w:cs="SimSun"/>
          <w:sz w:val="24"/>
          <w:szCs w:val="24"/>
          <w:spacing w:val="17"/>
        </w:rPr>
        <w:t xml:space="preserve"> </w:t>
      </w:r>
      <w:r>
        <w:rPr>
          <w:rFonts w:ascii="SimSun" w:hAnsi="SimSun" w:eastAsia="SimSun" w:cs="SimSun"/>
          <w:sz w:val="24"/>
          <w:szCs w:val="24"/>
          <w:spacing w:val="7"/>
        </w:rPr>
        <w:t>弃物高效循环利用项目（二期）有机肥生产线建成后用于生产有机肥。</w:t>
      </w:r>
    </w:p>
    <w:p>
      <w:pPr>
        <w:ind w:left="10" w:right="10" w:firstLine="504"/>
        <w:spacing w:before="182" w:line="288"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4</w:t>
      </w:r>
      <w:r>
        <w:rPr>
          <w:rFonts w:ascii="SimSun" w:hAnsi="SimSun" w:eastAsia="SimSun" w:cs="SimSun"/>
          <w:sz w:val="24"/>
          <w:szCs w:val="24"/>
          <w:spacing w:val="5"/>
        </w:rPr>
        <w:t>）开松除杂布袋除尘器收集粉尘，主要成分为细颗粒的羊粪、碎毛、泥</w:t>
      </w:r>
      <w:r>
        <w:rPr>
          <w:rFonts w:ascii="SimSun" w:hAnsi="SimSun" w:eastAsia="SimSun" w:cs="SimSun"/>
          <w:sz w:val="24"/>
          <w:szCs w:val="24"/>
          <w:spacing w:val="14"/>
        </w:rPr>
        <w:t xml:space="preserve"> </w:t>
      </w:r>
      <w:r>
        <w:rPr>
          <w:rFonts w:ascii="SimSun" w:hAnsi="SimSun" w:eastAsia="SimSun" w:cs="SimSun"/>
          <w:sz w:val="24"/>
          <w:szCs w:val="24"/>
          <w:spacing w:val="7"/>
        </w:rPr>
        <w:t>土等，外运内蒙古盎然农业发展有限公司有机肥厂做有机</w:t>
      </w:r>
      <w:r>
        <w:rPr>
          <w:rFonts w:ascii="SimSun" w:hAnsi="SimSun" w:eastAsia="SimSun" w:cs="SimSun"/>
          <w:sz w:val="24"/>
          <w:szCs w:val="24"/>
          <w:spacing w:val="6"/>
        </w:rPr>
        <w:t>肥。</w:t>
      </w:r>
    </w:p>
    <w:p>
      <w:pPr>
        <w:ind w:left="10" w:firstLine="504"/>
        <w:spacing w:before="184" w:line="316" w:lineRule="auto"/>
        <w:rPr>
          <w:rFonts w:ascii="SimSun" w:hAnsi="SimSun" w:eastAsia="SimSun" w:cs="SimSun"/>
          <w:sz w:val="24"/>
          <w:szCs w:val="24"/>
        </w:rPr>
      </w:pPr>
      <w:r>
        <w:rPr>
          <w:rFonts w:ascii="SimSun" w:hAnsi="SimSun" w:eastAsia="SimSun" w:cs="SimSun"/>
          <w:sz w:val="24"/>
          <w:szCs w:val="24"/>
          <w:spacing w:val="6"/>
        </w:rPr>
        <w:t>（</w:t>
      </w:r>
      <w:r>
        <w:rPr>
          <w:rFonts w:ascii="Times New Roman" w:hAnsi="Times New Roman" w:eastAsia="Times New Roman" w:cs="Times New Roman"/>
          <w:sz w:val="24"/>
          <w:szCs w:val="24"/>
          <w:spacing w:val="6"/>
        </w:rPr>
        <w:t>5</w:t>
      </w:r>
      <w:r>
        <w:rPr>
          <w:rFonts w:ascii="SimSun" w:hAnsi="SimSun" w:eastAsia="SimSun" w:cs="SimSun"/>
          <w:sz w:val="24"/>
          <w:szCs w:val="24"/>
          <w:spacing w:val="6"/>
        </w:rPr>
        <w:t>）废水收集池沉淀杂质来自于洗毛车间废水收集池，</w:t>
      </w:r>
      <w:r>
        <w:rPr>
          <w:rFonts w:ascii="SimSun" w:hAnsi="SimSun" w:eastAsia="SimSun" w:cs="SimSun"/>
          <w:sz w:val="24"/>
          <w:szCs w:val="24"/>
          <w:spacing w:val="5"/>
        </w:rPr>
        <w:t>主要成分为泥沙、</w:t>
      </w:r>
      <w:r>
        <w:rPr>
          <w:rFonts w:ascii="SimSun" w:hAnsi="SimSun" w:eastAsia="SimSun" w:cs="SimSun"/>
          <w:sz w:val="24"/>
          <w:szCs w:val="24"/>
        </w:rPr>
        <w:t xml:space="preserve"> </w:t>
      </w:r>
      <w:r>
        <w:rPr>
          <w:rFonts w:ascii="SimSun" w:hAnsi="SimSun" w:eastAsia="SimSun" w:cs="SimSun"/>
          <w:sz w:val="24"/>
          <w:szCs w:val="24"/>
          <w:spacing w:val="9"/>
        </w:rPr>
        <w:t>石子等，属于一般固废，根据其成分特征，定期外运委托当地环卫部门清运处</w:t>
      </w:r>
      <w:r>
        <w:rPr>
          <w:rFonts w:ascii="SimSun" w:hAnsi="SimSun" w:eastAsia="SimSun" w:cs="SimSun"/>
          <w:sz w:val="24"/>
          <w:szCs w:val="24"/>
          <w:spacing w:val="18"/>
        </w:rPr>
        <w:t xml:space="preserve"> </w:t>
      </w:r>
      <w:r>
        <w:rPr>
          <w:rFonts w:ascii="SimSun" w:hAnsi="SimSun" w:eastAsia="SimSun" w:cs="SimSun"/>
          <w:sz w:val="24"/>
          <w:szCs w:val="24"/>
          <w:spacing w:val="-6"/>
        </w:rPr>
        <w:t>理。</w:t>
      </w:r>
    </w:p>
    <w:p>
      <w:pPr>
        <w:ind w:left="11" w:right="10" w:firstLine="503"/>
        <w:spacing w:before="171" w:line="312"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6</w:t>
      </w:r>
      <w:r>
        <w:rPr>
          <w:rFonts w:ascii="SimSun" w:hAnsi="SimSun" w:eastAsia="SimSun" w:cs="SimSun"/>
          <w:sz w:val="24"/>
          <w:szCs w:val="24"/>
          <w:spacing w:val="5"/>
        </w:rPr>
        <w:t>）梳绒短纤维及杂毛来自梳绒工序产生，主要成分为短纤维及杂毛，属</w:t>
      </w:r>
      <w:r>
        <w:rPr>
          <w:rFonts w:ascii="SimSun" w:hAnsi="SimSun" w:eastAsia="SimSun" w:cs="SimSun"/>
          <w:sz w:val="24"/>
          <w:szCs w:val="24"/>
          <w:spacing w:val="14"/>
        </w:rPr>
        <w:t xml:space="preserve"> </w:t>
      </w:r>
      <w:r>
        <w:rPr>
          <w:rFonts w:ascii="SimSun" w:hAnsi="SimSun" w:eastAsia="SimSun" w:cs="SimSun"/>
          <w:sz w:val="24"/>
          <w:szCs w:val="24"/>
          <w:spacing w:val="9"/>
        </w:rPr>
        <w:t>于一般固废，袋装后在洗净毛库房内分隔贮存，定期外售综合利用（工业毛毡</w:t>
      </w:r>
      <w:r>
        <w:rPr>
          <w:rFonts w:ascii="SimSun" w:hAnsi="SimSun" w:eastAsia="SimSun" w:cs="SimSun"/>
          <w:sz w:val="24"/>
          <w:szCs w:val="24"/>
          <w:spacing w:val="17"/>
        </w:rPr>
        <w:t xml:space="preserve"> </w:t>
      </w:r>
      <w:r>
        <w:rPr>
          <w:rFonts w:ascii="SimSun" w:hAnsi="SimSun" w:eastAsia="SimSun" w:cs="SimSun"/>
          <w:sz w:val="24"/>
          <w:szCs w:val="24"/>
          <w:spacing w:val="-4"/>
        </w:rPr>
        <w:t>等）。</w:t>
      </w:r>
    </w:p>
    <w:p>
      <w:pPr>
        <w:ind w:left="4" w:right="1" w:firstLine="511"/>
        <w:spacing w:before="182" w:line="324"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7</w:t>
      </w:r>
      <w:r>
        <w:rPr>
          <w:rFonts w:ascii="SimSun" w:hAnsi="SimSun" w:eastAsia="SimSun" w:cs="SimSun"/>
          <w:sz w:val="24"/>
          <w:szCs w:val="24"/>
        </w:rPr>
        <w:t>）沼气脱硫装置脱硫剂每</w:t>
      </w:r>
      <w:r>
        <w:rPr>
          <w:rFonts w:ascii="SimSun" w:hAnsi="SimSun" w:eastAsia="SimSun" w:cs="SimSun"/>
          <w:sz w:val="24"/>
          <w:szCs w:val="24"/>
          <w:spacing w:val="-32"/>
        </w:rPr>
        <w:t xml:space="preserve"> </w:t>
      </w:r>
      <w:r>
        <w:rPr>
          <w:rFonts w:ascii="Times New Roman" w:hAnsi="Times New Roman" w:eastAsia="Times New Roman" w:cs="Times New Roman"/>
          <w:sz w:val="24"/>
          <w:szCs w:val="24"/>
        </w:rPr>
        <w:t>180 </w:t>
      </w:r>
      <w:r>
        <w:rPr>
          <w:rFonts w:ascii="SimSun" w:hAnsi="SimSun" w:eastAsia="SimSun" w:cs="SimSun"/>
          <w:sz w:val="24"/>
          <w:szCs w:val="24"/>
        </w:rPr>
        <w:t>天更换一次，废脱硫剂</w:t>
      </w:r>
      <w:r>
        <w:rPr>
          <w:rFonts w:ascii="SimSun" w:hAnsi="SimSun" w:eastAsia="SimSun" w:cs="SimSun"/>
          <w:sz w:val="24"/>
          <w:szCs w:val="24"/>
          <w:spacing w:val="-1"/>
        </w:rPr>
        <w:t>主要成分为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Fe</w:t>
      </w:r>
      <w:r>
        <w:rPr>
          <w:rFonts w:ascii="Times New Roman" w:hAnsi="Times New Roman" w:eastAsia="Times New Roman" w:cs="Times New Roman"/>
          <w:sz w:val="15"/>
          <w:szCs w:val="15"/>
          <w:spacing w:val="-1"/>
        </w:rPr>
        <w:t>2</w:t>
      </w:r>
      <w:r>
        <w:rPr>
          <w:rFonts w:ascii="Times New Roman" w:hAnsi="Times New Roman" w:eastAsia="Times New Roman" w:cs="Times New Roman"/>
          <w:sz w:val="24"/>
          <w:szCs w:val="24"/>
          <w:spacing w:val="-1"/>
        </w:rPr>
        <w:t>O</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1"/>
        </w:rPr>
        <w:t>、</w:t>
      </w:r>
      <w:r>
        <w:rPr>
          <w:rFonts w:ascii="SimSun" w:hAnsi="SimSun" w:eastAsia="SimSun" w:cs="SimSun"/>
          <w:sz w:val="24"/>
          <w:szCs w:val="24"/>
        </w:rPr>
        <w:t xml:space="preserve"> </w:t>
      </w:r>
      <w:r>
        <w:rPr>
          <w:rFonts w:ascii="Times New Roman" w:hAnsi="Times New Roman" w:eastAsia="Times New Roman" w:cs="Times New Roman"/>
          <w:sz w:val="24"/>
          <w:szCs w:val="24"/>
        </w:rPr>
        <w:t>Fe</w:t>
      </w:r>
      <w:r>
        <w:rPr>
          <w:rFonts w:ascii="Times New Roman" w:hAnsi="Times New Roman" w:eastAsia="Times New Roman" w:cs="Times New Roman"/>
          <w:sz w:val="15"/>
          <w:szCs w:val="15"/>
        </w:rPr>
        <w:t>2</w:t>
      </w:r>
      <w:r>
        <w:rPr>
          <w:rFonts w:ascii="Times New Roman" w:hAnsi="Times New Roman" w:eastAsia="Times New Roman" w:cs="Times New Roman"/>
          <w:sz w:val="24"/>
          <w:szCs w:val="24"/>
        </w:rPr>
        <w:t>S</w:t>
      </w:r>
      <w:r>
        <w:rPr>
          <w:rFonts w:ascii="Times New Roman" w:hAnsi="Times New Roman" w:eastAsia="Times New Roman" w:cs="Times New Roman"/>
          <w:sz w:val="15"/>
          <w:szCs w:val="15"/>
          <w:position w:val="-1"/>
        </w:rPr>
        <w:t>3</w:t>
      </w:r>
      <w:r>
        <w:rPr>
          <w:rFonts w:ascii="Times New Roman" w:hAnsi="Times New Roman" w:eastAsia="Times New Roman" w:cs="Times New Roman"/>
          <w:sz w:val="15"/>
          <w:szCs w:val="15"/>
          <w:spacing w:val="17"/>
          <w:position w:val="-1"/>
        </w:rPr>
        <w:t xml:space="preserve"> </w:t>
      </w:r>
      <w:r>
        <w:rPr>
          <w:rFonts w:ascii="SimSun" w:hAnsi="SimSun" w:eastAsia="SimSun" w:cs="SimSun"/>
          <w:sz w:val="24"/>
          <w:szCs w:val="24"/>
        </w:rPr>
        <w:t>及单质硫，可用于油漆、橡胶、塑料、建筑等的着色，是无机颜料。废脱硫 </w:t>
      </w:r>
      <w:r>
        <w:rPr>
          <w:rFonts w:ascii="SimSun" w:hAnsi="SimSun" w:eastAsia="SimSun" w:cs="SimSun"/>
          <w:sz w:val="24"/>
          <w:szCs w:val="24"/>
          <w:spacing w:val="1"/>
        </w:rPr>
        <w:t>剂属于不溶性无机物，无毒无害；对照《国家危险废物名录（</w:t>
      </w:r>
      <w:r>
        <w:rPr>
          <w:rFonts w:ascii="Times New Roman" w:hAnsi="Times New Roman" w:eastAsia="Times New Roman" w:cs="Times New Roman"/>
          <w:sz w:val="24"/>
          <w:szCs w:val="24"/>
          <w:spacing w:val="1"/>
        </w:rPr>
        <w:t>2025 </w:t>
      </w:r>
      <w:r>
        <w:rPr>
          <w:rFonts w:ascii="SimSun" w:hAnsi="SimSun" w:eastAsia="SimSun" w:cs="SimSun"/>
          <w:sz w:val="24"/>
          <w:szCs w:val="24"/>
          <w:spacing w:val="1"/>
        </w:rPr>
        <w:t>年版）》，废</w:t>
      </w:r>
      <w:r>
        <w:rPr>
          <w:rFonts w:ascii="SimSun" w:hAnsi="SimSun" w:eastAsia="SimSun" w:cs="SimSun"/>
          <w:sz w:val="24"/>
          <w:szCs w:val="24"/>
          <w:spacing w:val="2"/>
        </w:rPr>
        <w:t xml:space="preserve"> </w:t>
      </w:r>
      <w:r>
        <w:rPr>
          <w:rFonts w:ascii="SimSun" w:hAnsi="SimSun" w:eastAsia="SimSun" w:cs="SimSun"/>
          <w:sz w:val="24"/>
          <w:szCs w:val="24"/>
        </w:rPr>
        <w:t>脱硫剂不属于危险废物，在一般固体废弃物贮存库内袋装暂存，由</w:t>
      </w:r>
      <w:r>
        <w:rPr>
          <w:rFonts w:ascii="SimSun" w:hAnsi="SimSun" w:eastAsia="SimSun" w:cs="SimSun"/>
          <w:sz w:val="24"/>
          <w:szCs w:val="24"/>
          <w:spacing w:val="-1"/>
        </w:rPr>
        <w:t>厂家回收。</w:t>
      </w:r>
    </w:p>
    <w:p>
      <w:pPr>
        <w:ind w:left="12" w:right="3" w:firstLine="488"/>
        <w:spacing w:before="180" w:line="29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8</w:t>
      </w:r>
      <w:r>
        <w:rPr>
          <w:rFonts w:ascii="SimSun" w:hAnsi="SimSun" w:eastAsia="SimSun" w:cs="SimSun"/>
          <w:sz w:val="24"/>
          <w:szCs w:val="24"/>
          <w:spacing w:val="1"/>
        </w:rPr>
        <w:t>）锅炉房纯水制备装置采用反渗透制备工艺，运行过程中</w:t>
      </w:r>
      <w:r>
        <w:rPr>
          <w:rFonts w:ascii="Times New Roman" w:hAnsi="Times New Roman" w:eastAsia="Times New Roman" w:cs="Times New Roman"/>
          <w:sz w:val="24"/>
          <w:szCs w:val="24"/>
        </w:rPr>
        <w:t>RO</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膜和过滤器</w:t>
      </w:r>
      <w:r>
        <w:rPr>
          <w:rFonts w:ascii="SimSun" w:hAnsi="SimSun" w:eastAsia="SimSun" w:cs="SimSun"/>
          <w:sz w:val="24"/>
          <w:szCs w:val="24"/>
          <w:spacing w:val="14"/>
        </w:rPr>
        <w:t xml:space="preserve"> </w:t>
      </w:r>
      <w:r>
        <w:rPr>
          <w:rFonts w:ascii="SimSun" w:hAnsi="SimSun" w:eastAsia="SimSun" w:cs="SimSun"/>
          <w:sz w:val="24"/>
          <w:szCs w:val="24"/>
          <w:spacing w:val="-1"/>
        </w:rPr>
        <w:t>组件需要定期，更换周期</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1"/>
        </w:rPr>
        <w:t>3</w:t>
      </w:r>
      <w:r>
        <w:rPr>
          <w:rFonts w:ascii="SimSun" w:hAnsi="SimSun" w:eastAsia="SimSun" w:cs="SimSun"/>
          <w:sz w:val="24"/>
          <w:szCs w:val="24"/>
          <w:spacing w:val="-1"/>
        </w:rPr>
        <w:t>～</w:t>
      </w:r>
      <w:r>
        <w:rPr>
          <w:rFonts w:ascii="Times New Roman" w:hAnsi="Times New Roman" w:eastAsia="Times New Roman" w:cs="Times New Roman"/>
          <w:sz w:val="24"/>
          <w:szCs w:val="24"/>
          <w:spacing w:val="-1"/>
        </w:rPr>
        <w:t>5 </w:t>
      </w:r>
      <w:r>
        <w:rPr>
          <w:rFonts w:ascii="SimSun" w:hAnsi="SimSun" w:eastAsia="SimSun" w:cs="SimSun"/>
          <w:sz w:val="24"/>
          <w:szCs w:val="24"/>
          <w:spacing w:val="-1"/>
        </w:rPr>
        <w:t>年，更换产生废</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RO </w:t>
      </w:r>
      <w:r>
        <w:rPr>
          <w:rFonts w:ascii="SimSun" w:hAnsi="SimSun" w:eastAsia="SimSun" w:cs="SimSun"/>
          <w:sz w:val="24"/>
          <w:szCs w:val="24"/>
          <w:spacing w:val="-1"/>
        </w:rPr>
        <w:t>膜、废过滤器组件，属于一般</w:t>
      </w:r>
    </w:p>
    <w:p>
      <w:pPr>
        <w:spacing w:line="290" w:lineRule="auto"/>
        <w:sectPr>
          <w:headerReference w:type="default" r:id="rId374"/>
          <w:footerReference w:type="default" r:id="rId375"/>
          <w:pgSz w:w="11907" w:h="16840"/>
          <w:pgMar w:top="1567" w:right="1698" w:bottom="1921" w:left="1701" w:header="1221" w:footer="1247" w:gutter="0"/>
        </w:sectPr>
        <w:rPr>
          <w:rFonts w:ascii="SimSun" w:hAnsi="SimSun" w:eastAsia="SimSun" w:cs="SimSun"/>
          <w:sz w:val="24"/>
          <w:szCs w:val="24"/>
        </w:rPr>
      </w:pPr>
    </w:p>
    <w:p>
      <w:pPr>
        <w:ind w:left="12"/>
        <w:spacing w:before="188" w:line="219" w:lineRule="auto"/>
        <w:rPr>
          <w:rFonts w:ascii="SimSun" w:hAnsi="SimSun" w:eastAsia="SimSun" w:cs="SimSun"/>
          <w:sz w:val="24"/>
          <w:szCs w:val="24"/>
        </w:rPr>
      </w:pPr>
      <w:r>
        <w:pict>
          <v:shape id="_x0000_s1266" style="position:absolute;margin-left:85.05pt;margin-top:79.11pt;mso-position-vertical-relative:page;mso-position-horizontal-relative:page;width:425.25pt;height:0.75pt;z-index:252344320;" o:allowincell="f" fillcolor="#000000" filled="true" stroked="false" coordsize="8505,15" coordorigin="0,0" path="m,l8505,0l8505,14l0,14l0,0xe"/>
        </w:pict>
      </w:r>
      <w:r>
        <w:rPr>
          <w:rFonts w:ascii="SimSun" w:hAnsi="SimSun" w:eastAsia="SimSun" w:cs="SimSun"/>
          <w:sz w:val="24"/>
          <w:szCs w:val="24"/>
          <w:spacing w:val="5"/>
        </w:rPr>
        <w:t>工业固废，更换后在一般固体废弃物贮存库内暂存，由其生产厂家回收。</w:t>
      </w:r>
    </w:p>
    <w:p>
      <w:pPr>
        <w:ind w:left="8" w:right="80" w:firstLine="506"/>
        <w:spacing w:before="181" w:line="312"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9</w:t>
      </w:r>
      <w:r>
        <w:rPr>
          <w:rFonts w:ascii="SimSun" w:hAnsi="SimSun" w:eastAsia="SimSun" w:cs="SimSun"/>
          <w:sz w:val="24"/>
          <w:szCs w:val="24"/>
          <w:spacing w:val="5"/>
        </w:rPr>
        <w:t>）锅炉草木灰来自生物质锅炉燃烧生物质燃料产生，包含炉渣和除尘灰</w:t>
      </w:r>
      <w:r>
        <w:rPr>
          <w:rFonts w:ascii="SimSun" w:hAnsi="SimSun" w:eastAsia="SimSun" w:cs="SimSun"/>
          <w:sz w:val="24"/>
          <w:szCs w:val="24"/>
          <w:spacing w:val="14"/>
        </w:rPr>
        <w:t xml:space="preserve"> </w:t>
      </w:r>
      <w:r>
        <w:rPr>
          <w:rFonts w:ascii="SimSun" w:hAnsi="SimSun" w:eastAsia="SimSun" w:cs="SimSun"/>
          <w:sz w:val="24"/>
          <w:szCs w:val="24"/>
          <w:spacing w:val="3"/>
        </w:rPr>
        <w:t>两部分，主要成分为草木灰，属于一般固废，装袋在</w:t>
      </w:r>
      <w:r>
        <w:rPr>
          <w:rFonts w:ascii="SimSun" w:hAnsi="SimSun" w:eastAsia="SimSun" w:cs="SimSun"/>
          <w:sz w:val="24"/>
          <w:szCs w:val="24"/>
          <w:spacing w:val="2"/>
        </w:rPr>
        <w:t>一般固体废弃物贮存库内暂</w:t>
      </w:r>
      <w:r>
        <w:rPr>
          <w:rFonts w:ascii="SimSun" w:hAnsi="SimSun" w:eastAsia="SimSun" w:cs="SimSun"/>
          <w:sz w:val="24"/>
          <w:szCs w:val="24"/>
        </w:rPr>
        <w:t xml:space="preserve"> </w:t>
      </w:r>
      <w:r>
        <w:rPr>
          <w:rFonts w:ascii="SimSun" w:hAnsi="SimSun" w:eastAsia="SimSun" w:cs="SimSun"/>
          <w:sz w:val="24"/>
          <w:szCs w:val="24"/>
          <w:spacing w:val="-1"/>
        </w:rPr>
        <w:t>存，定期外售作为肥料还田。</w:t>
      </w:r>
    </w:p>
    <w:p>
      <w:pPr>
        <w:ind w:left="11" w:right="87" w:firstLine="503"/>
        <w:spacing w:before="183" w:line="28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10</w:t>
      </w:r>
      <w:r>
        <w:rPr>
          <w:rFonts w:ascii="SimSun" w:hAnsi="SimSun" w:eastAsia="SimSun" w:cs="SimSun"/>
          <w:sz w:val="24"/>
          <w:szCs w:val="24"/>
          <w:spacing w:val="3"/>
        </w:rPr>
        <w:t>）布袋除尘器定期更换破损布袋，废布袋更换量约</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3"/>
        </w:rPr>
        <w:t>0.5t/a</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3"/>
        </w:rPr>
        <w:t>，由其生产厂</w:t>
      </w:r>
      <w:r>
        <w:rPr>
          <w:rFonts w:ascii="SimSun" w:hAnsi="SimSun" w:eastAsia="SimSun" w:cs="SimSun"/>
          <w:sz w:val="24"/>
          <w:szCs w:val="24"/>
        </w:rPr>
        <w:t xml:space="preserve"> </w:t>
      </w:r>
      <w:r>
        <w:rPr>
          <w:rFonts w:ascii="SimSun" w:hAnsi="SimSun" w:eastAsia="SimSun" w:cs="SimSun"/>
          <w:sz w:val="24"/>
          <w:szCs w:val="24"/>
          <w:spacing w:val="3"/>
        </w:rPr>
        <w:t>家回收处理。</w:t>
      </w:r>
    </w:p>
    <w:p>
      <w:pPr>
        <w:ind w:left="500"/>
        <w:spacing w:before="182" w:line="219" w:lineRule="auto"/>
        <w:rPr>
          <w:rFonts w:ascii="SimSun" w:hAnsi="SimSun" w:eastAsia="SimSun" w:cs="SimSun"/>
          <w:sz w:val="24"/>
          <w:szCs w:val="24"/>
        </w:rPr>
      </w:pP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4"/>
        </w:rPr>
        <w:t>、开松杂质做有机肥可行性</w:t>
      </w:r>
    </w:p>
    <w:p>
      <w:pPr>
        <w:ind w:left="9" w:right="87" w:firstLine="500"/>
        <w:spacing w:before="182" w:line="359" w:lineRule="auto"/>
        <w:rPr>
          <w:rFonts w:ascii="SimSun" w:hAnsi="SimSun" w:eastAsia="SimSun" w:cs="SimSun"/>
          <w:sz w:val="24"/>
          <w:szCs w:val="24"/>
        </w:rPr>
      </w:pPr>
      <w:r>
        <w:rPr>
          <w:rFonts w:ascii="SimSun" w:hAnsi="SimSun" w:eastAsia="SimSun" w:cs="SimSun"/>
          <w:sz w:val="24"/>
          <w:szCs w:val="24"/>
          <w:spacing w:val="9"/>
        </w:rPr>
        <w:t>《内蒙古源浩羊绒制品有限公司废弃物高效循环利用项目（二期）环境影</w:t>
      </w:r>
      <w:r>
        <w:rPr>
          <w:rFonts w:ascii="SimSun" w:hAnsi="SimSun" w:eastAsia="SimSun" w:cs="SimSun"/>
          <w:sz w:val="24"/>
          <w:szCs w:val="24"/>
          <w:spacing w:val="17"/>
        </w:rPr>
        <w:t xml:space="preserve"> </w:t>
      </w:r>
      <w:r>
        <w:rPr>
          <w:rFonts w:ascii="SimSun" w:hAnsi="SimSun" w:eastAsia="SimSun" w:cs="SimSun"/>
          <w:sz w:val="24"/>
          <w:szCs w:val="24"/>
          <w:spacing w:val="9"/>
        </w:rPr>
        <w:t>响评价报告表》正在编制，该项目固体有机肥原料配比情况：羊粪：腐殖酸： </w:t>
      </w:r>
      <w:r>
        <w:rPr>
          <w:rFonts w:ascii="SimSun" w:hAnsi="SimSun" w:eastAsia="SimSun" w:cs="SimSun"/>
          <w:sz w:val="24"/>
          <w:szCs w:val="24"/>
          <w:spacing w:val="5"/>
        </w:rPr>
        <w:t>腐殖土及其他：生物菌种</w:t>
      </w:r>
      <w:r>
        <w:rPr>
          <w:rFonts w:ascii="Times New Roman" w:hAnsi="Times New Roman" w:eastAsia="Times New Roman" w:cs="Times New Roman"/>
          <w:sz w:val="24"/>
          <w:szCs w:val="24"/>
          <w:spacing w:val="5"/>
        </w:rPr>
        <w:t>=40:8:11</w:t>
      </w:r>
      <w:r>
        <w:rPr>
          <w:rFonts w:ascii="Times New Roman" w:hAnsi="Times New Roman" w:eastAsia="Times New Roman" w:cs="Times New Roman"/>
          <w:sz w:val="24"/>
          <w:szCs w:val="24"/>
          <w:spacing w:val="4"/>
        </w:rPr>
        <w:t>:1</w:t>
      </w:r>
      <w:r>
        <w:rPr>
          <w:rFonts w:ascii="SimSun" w:hAnsi="SimSun" w:eastAsia="SimSun" w:cs="SimSun"/>
          <w:sz w:val="24"/>
          <w:szCs w:val="24"/>
          <w:spacing w:val="4"/>
        </w:rPr>
        <w:t>。</w:t>
      </w:r>
    </w:p>
    <w:p>
      <w:pPr>
        <w:ind w:left="8" w:right="87" w:firstLine="496"/>
        <w:spacing w:line="359" w:lineRule="auto"/>
        <w:rPr>
          <w:rFonts w:ascii="SimSun" w:hAnsi="SimSun" w:eastAsia="SimSun" w:cs="SimSun"/>
          <w:sz w:val="24"/>
          <w:szCs w:val="24"/>
        </w:rPr>
      </w:pPr>
      <w:r>
        <w:rPr>
          <w:rFonts w:ascii="SimSun" w:hAnsi="SimSun" w:eastAsia="SimSun" w:cs="SimSun"/>
          <w:sz w:val="24"/>
          <w:szCs w:val="24"/>
          <w:spacing w:val="10"/>
        </w:rPr>
        <w:t>本项目开松杂质主要成分为杂草、羊粪便等，有机</w:t>
      </w:r>
      <w:r>
        <w:rPr>
          <w:rFonts w:ascii="SimSun" w:hAnsi="SimSun" w:eastAsia="SimSun" w:cs="SimSun"/>
          <w:sz w:val="24"/>
          <w:szCs w:val="24"/>
          <w:spacing w:val="9"/>
        </w:rPr>
        <w:t>物含量较高，可用于有</w:t>
      </w:r>
      <w:r>
        <w:rPr>
          <w:rFonts w:ascii="SimSun" w:hAnsi="SimSun" w:eastAsia="SimSun" w:cs="SimSun"/>
          <w:sz w:val="24"/>
          <w:szCs w:val="24"/>
        </w:rPr>
        <w:t xml:space="preserve"> </w:t>
      </w:r>
      <w:r>
        <w:rPr>
          <w:rFonts w:ascii="SimSun" w:hAnsi="SimSun" w:eastAsia="SimSun" w:cs="SimSun"/>
          <w:sz w:val="24"/>
          <w:szCs w:val="24"/>
          <w:spacing w:val="3"/>
        </w:rPr>
        <w:t>机肥生产。</w:t>
      </w:r>
    </w:p>
    <w:p>
      <w:pPr>
        <w:ind w:left="504"/>
        <w:spacing w:line="219" w:lineRule="auto"/>
        <w:rPr>
          <w:rFonts w:ascii="SimSun" w:hAnsi="SimSun" w:eastAsia="SimSun" w:cs="SimSun"/>
          <w:sz w:val="24"/>
          <w:szCs w:val="24"/>
        </w:rPr>
      </w:pP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4"/>
        </w:rPr>
        <w:t>、一般固废暂存间建设情况</w:t>
      </w:r>
    </w:p>
    <w:p>
      <w:pPr>
        <w:ind w:left="8" w:right="77" w:firstLine="498"/>
        <w:spacing w:before="181" w:line="359" w:lineRule="auto"/>
        <w:rPr>
          <w:rFonts w:ascii="SimSun" w:hAnsi="SimSun" w:eastAsia="SimSun" w:cs="SimSun"/>
          <w:sz w:val="24"/>
          <w:szCs w:val="24"/>
        </w:rPr>
      </w:pPr>
      <w:r>
        <w:rPr>
          <w:rFonts w:ascii="SimSun" w:hAnsi="SimSun" w:eastAsia="SimSun" w:cs="SimSun"/>
          <w:sz w:val="24"/>
          <w:szCs w:val="24"/>
          <w:spacing w:val="-3"/>
        </w:rPr>
        <w:t>建设单位在西厂区原毛库房四内建设</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座</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80m</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15"/>
          <w:szCs w:val="15"/>
          <w:spacing w:val="13"/>
          <w:w w:val="101"/>
          <w:position w:val="7"/>
        </w:rPr>
        <w:t xml:space="preserve"> </w:t>
      </w:r>
      <w:r>
        <w:rPr>
          <w:rFonts w:ascii="SimSun" w:hAnsi="SimSun" w:eastAsia="SimSun" w:cs="SimSun"/>
          <w:sz w:val="24"/>
          <w:szCs w:val="24"/>
          <w:spacing w:val="-3"/>
        </w:rPr>
        <w:t>一般固体废物暂存库，全封闭</w:t>
      </w:r>
      <w:r>
        <w:rPr>
          <w:rFonts w:ascii="SimSun" w:hAnsi="SimSun" w:eastAsia="SimSun" w:cs="SimSun"/>
          <w:sz w:val="24"/>
          <w:szCs w:val="24"/>
        </w:rPr>
        <w:t xml:space="preserve"> </w:t>
      </w:r>
      <w:r>
        <w:rPr>
          <w:rFonts w:ascii="SimSun" w:hAnsi="SimSun" w:eastAsia="SimSun" w:cs="SimSun"/>
          <w:sz w:val="24"/>
          <w:szCs w:val="24"/>
          <w:spacing w:val="3"/>
        </w:rPr>
        <w:t>建设，地面进行硬化防渗处理，用于暂存全厂一般固体废物</w:t>
      </w:r>
      <w:r>
        <w:rPr>
          <w:rFonts w:ascii="SimSun" w:hAnsi="SimSun" w:eastAsia="SimSun" w:cs="SimSun"/>
          <w:sz w:val="24"/>
          <w:szCs w:val="24"/>
          <w:spacing w:val="2"/>
        </w:rPr>
        <w:t>，包含废包装物、开</w:t>
      </w:r>
      <w:r>
        <w:rPr>
          <w:rFonts w:ascii="SimSun" w:hAnsi="SimSun" w:eastAsia="SimSun" w:cs="SimSun"/>
          <w:sz w:val="24"/>
          <w:szCs w:val="24"/>
        </w:rPr>
        <w:t xml:space="preserve"> </w:t>
      </w:r>
      <w:r>
        <w:rPr>
          <w:rFonts w:ascii="SimSun" w:hAnsi="SimSun" w:eastAsia="SimSun" w:cs="SimSun"/>
          <w:sz w:val="24"/>
          <w:szCs w:val="24"/>
          <w:spacing w:val="3"/>
        </w:rPr>
        <w:t>松杂质、废脱硫剂、废</w:t>
      </w:r>
      <w:r>
        <w:rPr>
          <w:rFonts w:ascii="SimSun" w:hAnsi="SimSun" w:eastAsia="SimSun" w:cs="SimSun"/>
          <w:sz w:val="24"/>
          <w:szCs w:val="24"/>
          <w:spacing w:val="-42"/>
        </w:rPr>
        <w:t xml:space="preserve"> </w:t>
      </w:r>
      <w:r>
        <w:rPr>
          <w:rFonts w:ascii="Times New Roman" w:hAnsi="Times New Roman" w:eastAsia="Times New Roman" w:cs="Times New Roman"/>
          <w:sz w:val="24"/>
          <w:szCs w:val="24"/>
        </w:rPr>
        <w:t>RO</w:t>
      </w:r>
      <w:r>
        <w:rPr>
          <w:rFonts w:ascii="Times New Roman" w:hAnsi="Times New Roman" w:eastAsia="Times New Roman" w:cs="Times New Roman"/>
          <w:sz w:val="24"/>
          <w:szCs w:val="24"/>
          <w:spacing w:val="3"/>
        </w:rPr>
        <w:t xml:space="preserve"> </w:t>
      </w:r>
      <w:r>
        <w:rPr>
          <w:rFonts w:ascii="SimSun" w:hAnsi="SimSun" w:eastAsia="SimSun" w:cs="SimSun"/>
          <w:sz w:val="24"/>
          <w:szCs w:val="24"/>
          <w:spacing w:val="3"/>
        </w:rPr>
        <w:t>膜、废过滤器组件、锅炉草木灰、废布袋等，应满足</w:t>
      </w:r>
      <w:r>
        <w:rPr>
          <w:rFonts w:ascii="SimSun" w:hAnsi="SimSun" w:eastAsia="SimSun" w:cs="SimSun"/>
          <w:sz w:val="24"/>
          <w:szCs w:val="24"/>
        </w:rPr>
        <w:t xml:space="preserve"> </w:t>
      </w:r>
      <w:r>
        <w:rPr>
          <w:rFonts w:ascii="SimSun" w:hAnsi="SimSun" w:eastAsia="SimSun" w:cs="SimSun"/>
          <w:sz w:val="24"/>
          <w:szCs w:val="24"/>
          <w:spacing w:val="3"/>
        </w:rPr>
        <w:t>防渗漏、防雨淋、防扬尘等环境保护要求。本项目的</w:t>
      </w:r>
      <w:r>
        <w:rPr>
          <w:rFonts w:ascii="SimSun" w:hAnsi="SimSun" w:eastAsia="SimSun" w:cs="SimSun"/>
          <w:sz w:val="24"/>
          <w:szCs w:val="24"/>
          <w:spacing w:val="2"/>
        </w:rPr>
        <w:t>固体废物都有相应的处置方</w:t>
      </w:r>
      <w:r>
        <w:rPr>
          <w:rFonts w:ascii="SimSun" w:hAnsi="SimSun" w:eastAsia="SimSun" w:cs="SimSun"/>
          <w:sz w:val="24"/>
          <w:szCs w:val="24"/>
        </w:rPr>
        <w:t xml:space="preserve"> </w:t>
      </w:r>
      <w:r>
        <w:rPr>
          <w:rFonts w:ascii="SimSun" w:hAnsi="SimSun" w:eastAsia="SimSun" w:cs="SimSun"/>
          <w:sz w:val="24"/>
          <w:szCs w:val="24"/>
          <w:spacing w:val="3"/>
        </w:rPr>
        <w:t>案，为了减少固废在临时储存和运输中对环境产生的不利</w:t>
      </w:r>
      <w:r>
        <w:rPr>
          <w:rFonts w:ascii="SimSun" w:hAnsi="SimSun" w:eastAsia="SimSun" w:cs="SimSun"/>
          <w:sz w:val="24"/>
          <w:szCs w:val="24"/>
          <w:spacing w:val="2"/>
        </w:rPr>
        <w:t>影响，要求在储存和运</w:t>
      </w:r>
      <w:r>
        <w:rPr>
          <w:rFonts w:ascii="SimSun" w:hAnsi="SimSun" w:eastAsia="SimSun" w:cs="SimSun"/>
          <w:sz w:val="24"/>
          <w:szCs w:val="24"/>
        </w:rPr>
        <w:t xml:space="preserve"> </w:t>
      </w:r>
      <w:r>
        <w:rPr>
          <w:rFonts w:ascii="SimSun" w:hAnsi="SimSun" w:eastAsia="SimSun" w:cs="SimSun"/>
          <w:sz w:val="24"/>
          <w:szCs w:val="24"/>
          <w:spacing w:val="-1"/>
        </w:rPr>
        <w:t>输过程中应严禁跑、冒、滴、漏现象的发生。</w:t>
      </w:r>
    </w:p>
    <w:p>
      <w:pPr>
        <w:spacing w:before="1" w:line="219" w:lineRule="auto"/>
        <w:jc w:val="right"/>
        <w:rPr>
          <w:rFonts w:ascii="SimSun" w:hAnsi="SimSun" w:eastAsia="SimSun" w:cs="SimSun"/>
          <w:sz w:val="24"/>
          <w:szCs w:val="24"/>
        </w:rPr>
      </w:pPr>
      <w:r>
        <w:rPr>
          <w:rFonts w:ascii="SimSun" w:hAnsi="SimSun" w:eastAsia="SimSun" w:cs="SimSun"/>
          <w:sz w:val="24"/>
          <w:szCs w:val="24"/>
          <w:spacing w:val="-2"/>
        </w:rPr>
        <w:t>综上所述，一般固体废物均得到了合理处置，处理方式成熟可靠，措施可</w:t>
      </w:r>
      <w:r>
        <w:rPr>
          <w:rFonts w:ascii="SimSun" w:hAnsi="SimSun" w:eastAsia="SimSun" w:cs="SimSun"/>
          <w:sz w:val="24"/>
          <w:szCs w:val="24"/>
          <w:spacing w:val="-3"/>
        </w:rPr>
        <w:t>行。</w:t>
      </w:r>
    </w:p>
    <w:p>
      <w:pPr>
        <w:ind w:left="10"/>
        <w:spacing w:before="309" w:line="222" w:lineRule="auto"/>
        <w:outlineLvl w:val="2"/>
        <w:rPr>
          <w:rFonts w:ascii="SimHei" w:hAnsi="SimHei" w:eastAsia="SimHei" w:cs="SimHei"/>
          <w:sz w:val="28"/>
          <w:szCs w:val="28"/>
        </w:rPr>
      </w:pPr>
      <w:bookmarkStart w:name="bookmark161" w:id="194"/>
      <w:bookmarkEnd w:id="194"/>
      <w:r>
        <w:rPr>
          <w:rFonts w:ascii="Times New Roman" w:hAnsi="Times New Roman" w:eastAsia="Times New Roman" w:cs="Times New Roman"/>
          <w:sz w:val="28"/>
          <w:szCs w:val="28"/>
          <w:spacing w:val="-1"/>
        </w:rPr>
        <w:t>7.4.2 </w:t>
      </w:r>
      <w:r>
        <w:rPr>
          <w:rFonts w:ascii="SimHei" w:hAnsi="SimHei" w:eastAsia="SimHei" w:cs="SimHei"/>
          <w:sz w:val="28"/>
          <w:szCs w:val="28"/>
          <w:spacing w:val="-1"/>
        </w:rPr>
        <w:t>危险废物治理措施及可行性分析</w:t>
      </w:r>
    </w:p>
    <w:p>
      <w:pPr>
        <w:pStyle w:val="BodyText"/>
        <w:spacing w:line="244" w:lineRule="auto"/>
        <w:rPr/>
      </w:pPr>
      <w:r/>
    </w:p>
    <w:p>
      <w:pPr>
        <w:ind w:left="11" w:right="21" w:firstLine="489"/>
        <w:spacing w:before="78" w:line="312"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）废水收集池等恶臭气体处理采用活性炭吸附</w:t>
      </w:r>
      <w:r>
        <w:rPr>
          <w:rFonts w:ascii="SimSun" w:hAnsi="SimSun" w:eastAsia="SimSun" w:cs="SimSun"/>
          <w:sz w:val="24"/>
          <w:szCs w:val="24"/>
          <w:spacing w:val="-2"/>
        </w:rPr>
        <w:t>，废活性炭被列入《国家危</w:t>
      </w:r>
      <w:r>
        <w:rPr>
          <w:rFonts w:ascii="SimSun" w:hAnsi="SimSun" w:eastAsia="SimSun" w:cs="SimSun"/>
          <w:sz w:val="24"/>
          <w:szCs w:val="24"/>
        </w:rPr>
        <w:t xml:space="preserve"> </w:t>
      </w:r>
      <w:r>
        <w:rPr>
          <w:rFonts w:ascii="SimSun" w:hAnsi="SimSun" w:eastAsia="SimSun" w:cs="SimSun"/>
          <w:sz w:val="24"/>
          <w:szCs w:val="24"/>
          <w:spacing w:val="-10"/>
        </w:rPr>
        <w:t>险废物名录（</w:t>
      </w:r>
      <w:r>
        <w:rPr>
          <w:rFonts w:ascii="Times New Roman" w:hAnsi="Times New Roman" w:eastAsia="Times New Roman" w:cs="Times New Roman"/>
          <w:sz w:val="24"/>
          <w:szCs w:val="24"/>
          <w:spacing w:val="-10"/>
        </w:rPr>
        <w:t>2025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0"/>
        </w:rPr>
        <w:t>年）》中，危废类别为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0"/>
        </w:rPr>
        <w:t>HW49</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10"/>
        </w:rPr>
        <w:t>其他废物，</w:t>
      </w:r>
      <w:r>
        <w:rPr>
          <w:rFonts w:ascii="SimSun" w:hAnsi="SimSun" w:eastAsia="SimSun" w:cs="SimSun"/>
          <w:sz w:val="24"/>
          <w:szCs w:val="24"/>
          <w:spacing w:val="-11"/>
        </w:rPr>
        <w:t>危废代码为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1"/>
        </w:rPr>
        <w:t>900-039-49</w:t>
      </w:r>
      <w:r>
        <w:rPr>
          <w:rFonts w:ascii="SimSun" w:hAnsi="SimSun" w:eastAsia="SimSun" w:cs="SimSun"/>
          <w:sz w:val="24"/>
          <w:szCs w:val="24"/>
          <w:spacing w:val="-11"/>
        </w:rPr>
        <w:t>，</w:t>
      </w:r>
      <w:r>
        <w:rPr>
          <w:rFonts w:ascii="SimSun" w:hAnsi="SimSun" w:eastAsia="SimSun" w:cs="SimSun"/>
          <w:sz w:val="24"/>
          <w:szCs w:val="24"/>
        </w:rPr>
        <w:t xml:space="preserve"> </w:t>
      </w:r>
      <w:r>
        <w:rPr>
          <w:rFonts w:ascii="SimSun" w:hAnsi="SimSun" w:eastAsia="SimSun" w:cs="SimSun"/>
          <w:sz w:val="24"/>
          <w:szCs w:val="24"/>
          <w:spacing w:val="-1"/>
        </w:rPr>
        <w:t>属于危险废物，暂存于危废暂存间，委托有资质单位处置。</w:t>
      </w:r>
    </w:p>
    <w:p>
      <w:pPr>
        <w:ind w:left="11" w:right="21" w:firstLine="489"/>
        <w:spacing w:before="181" w:line="31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）设备保养、检修、维修产生的废矿物油，主</w:t>
      </w:r>
      <w:r>
        <w:rPr>
          <w:rFonts w:ascii="SimSun" w:hAnsi="SimSun" w:eastAsia="SimSun" w:cs="SimSun"/>
          <w:sz w:val="24"/>
          <w:szCs w:val="24"/>
          <w:spacing w:val="-2"/>
        </w:rPr>
        <w:t>要废润滑油等，被列入《国</w:t>
      </w:r>
      <w:r>
        <w:rPr>
          <w:rFonts w:ascii="SimSun" w:hAnsi="SimSun" w:eastAsia="SimSun" w:cs="SimSun"/>
          <w:sz w:val="24"/>
          <w:szCs w:val="24"/>
        </w:rPr>
        <w:t xml:space="preserve"> </w:t>
      </w:r>
      <w:r>
        <w:rPr>
          <w:rFonts w:ascii="SimSun" w:hAnsi="SimSun" w:eastAsia="SimSun" w:cs="SimSun"/>
          <w:sz w:val="24"/>
          <w:szCs w:val="24"/>
        </w:rPr>
        <w:t>家危险废物名录（</w:t>
      </w:r>
      <w:r>
        <w:rPr>
          <w:rFonts w:ascii="Times New Roman" w:hAnsi="Times New Roman" w:eastAsia="Times New Roman" w:cs="Times New Roman"/>
          <w:sz w:val="24"/>
          <w:szCs w:val="24"/>
        </w:rPr>
        <w:t>2025 </w:t>
      </w:r>
      <w:r>
        <w:rPr>
          <w:rFonts w:ascii="SimSun" w:hAnsi="SimSun" w:eastAsia="SimSun" w:cs="SimSun"/>
          <w:sz w:val="24"/>
          <w:szCs w:val="24"/>
        </w:rPr>
        <w:t>年）》中，危废类别为</w:t>
      </w:r>
      <w:r>
        <w:rPr>
          <w:rFonts w:ascii="SimSun" w:hAnsi="SimSun" w:eastAsia="SimSun" w:cs="SimSun"/>
          <w:sz w:val="24"/>
          <w:szCs w:val="24"/>
          <w:spacing w:val="-28"/>
        </w:rPr>
        <w:t xml:space="preserve"> </w:t>
      </w:r>
      <w:r>
        <w:rPr>
          <w:rFonts w:ascii="Times New Roman" w:hAnsi="Times New Roman" w:eastAsia="Times New Roman" w:cs="Times New Roman"/>
          <w:sz w:val="24"/>
          <w:szCs w:val="24"/>
        </w:rPr>
        <w:t>HW08</w:t>
      </w:r>
      <w:r>
        <w:rPr>
          <w:rFonts w:ascii="Times New Roman" w:hAnsi="Times New Roman" w:eastAsia="Times New Roman" w:cs="Times New Roman"/>
          <w:sz w:val="24"/>
          <w:szCs w:val="24"/>
          <w:spacing w:val="18"/>
        </w:rPr>
        <w:t xml:space="preserve"> </w:t>
      </w:r>
      <w:r>
        <w:rPr>
          <w:rFonts w:ascii="SimSun" w:hAnsi="SimSun" w:eastAsia="SimSun" w:cs="SimSun"/>
          <w:sz w:val="24"/>
          <w:szCs w:val="24"/>
        </w:rPr>
        <w:t>废矿物油与含矿物油废物， </w:t>
      </w:r>
      <w:r>
        <w:rPr>
          <w:rFonts w:ascii="SimSun" w:hAnsi="SimSun" w:eastAsia="SimSun" w:cs="SimSun"/>
          <w:sz w:val="24"/>
          <w:szCs w:val="24"/>
        </w:rPr>
        <w:t>属于危险废物，桶装后在危废暂存间内分隔</w:t>
      </w:r>
      <w:r>
        <w:rPr>
          <w:rFonts w:ascii="SimSun" w:hAnsi="SimSun" w:eastAsia="SimSun" w:cs="SimSun"/>
          <w:sz w:val="24"/>
          <w:szCs w:val="24"/>
          <w:spacing w:val="-1"/>
        </w:rPr>
        <w:t>暂存，委托有资质单位处理。</w:t>
      </w:r>
    </w:p>
    <w:p>
      <w:pPr>
        <w:spacing w:before="180" w:line="219" w:lineRule="auto"/>
        <w:jc w:val="right"/>
        <w:rPr>
          <w:rFonts w:ascii="SimSun" w:hAnsi="SimSun" w:eastAsia="SimSun" w:cs="SimSun"/>
          <w:sz w:val="24"/>
          <w:szCs w:val="24"/>
        </w:rPr>
      </w:pPr>
      <w:r>
        <w:rPr>
          <w:rFonts w:ascii="SimSun" w:hAnsi="SimSun" w:eastAsia="SimSun" w:cs="SimSun"/>
          <w:sz w:val="24"/>
          <w:szCs w:val="24"/>
          <w:spacing w:val="-6"/>
        </w:rPr>
        <w:t>（</w:t>
      </w:r>
      <w:r>
        <w:rPr>
          <w:rFonts w:ascii="Times New Roman" w:hAnsi="Times New Roman" w:eastAsia="Times New Roman" w:cs="Times New Roman"/>
          <w:sz w:val="24"/>
          <w:szCs w:val="24"/>
          <w:spacing w:val="-6"/>
        </w:rPr>
        <w:t>3</w:t>
      </w:r>
      <w:r>
        <w:rPr>
          <w:rFonts w:ascii="SimSun" w:hAnsi="SimSun" w:eastAsia="SimSun" w:cs="SimSun"/>
          <w:sz w:val="24"/>
          <w:szCs w:val="24"/>
          <w:spacing w:val="-6"/>
        </w:rPr>
        <w:t>）本项目生产过程中生产设备检修、保养、维护，润滑油</w:t>
      </w:r>
      <w:r>
        <w:rPr>
          <w:rFonts w:ascii="SimSun" w:hAnsi="SimSun" w:eastAsia="SimSun" w:cs="SimSun"/>
          <w:sz w:val="24"/>
          <w:szCs w:val="24"/>
          <w:spacing w:val="-7"/>
        </w:rPr>
        <w:t>系统定期更换等，</w:t>
      </w:r>
    </w:p>
    <w:p>
      <w:pPr>
        <w:pStyle w:val="BodyText"/>
        <w:spacing w:line="333" w:lineRule="auto"/>
        <w:rPr/>
      </w:pPr>
      <w:r/>
    </w:p>
    <w:p>
      <w:pPr>
        <w:ind w:left="7"/>
        <w:spacing w:before="62" w:line="227" w:lineRule="auto"/>
        <w:rPr>
          <w:rFonts w:ascii="SimSun" w:hAnsi="SimSun" w:eastAsia="SimSun" w:cs="SimSun"/>
          <w:sz w:val="19"/>
          <w:szCs w:val="19"/>
        </w:rPr>
      </w:pPr>
      <w:r>
        <w:pict>
          <v:shape id="_x0000_s1268" style="position:absolute;margin-left:159.33pt;margin-top:2.09749pt;mso-position-vertical-relative:text;mso-position-horizontal-relative:text;width:61pt;height:13.75pt;z-index:25234329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281</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1"/>
          <w:footerReference w:type="default" r:id="rId3"/>
          <w:pgSz w:w="11907" w:h="16840"/>
          <w:pgMar w:top="1567" w:right="1621" w:bottom="400" w:left="1701" w:header="1221" w:footer="0" w:gutter="0"/>
        </w:sectPr>
        <w:rPr>
          <w:rFonts w:ascii="SimSun" w:hAnsi="SimSun" w:eastAsia="SimSun" w:cs="SimSun"/>
          <w:sz w:val="19"/>
          <w:szCs w:val="19"/>
        </w:rPr>
      </w:pPr>
    </w:p>
    <w:p>
      <w:pPr>
        <w:ind w:left="9" w:right="45"/>
        <w:spacing w:before="167" w:line="359" w:lineRule="auto"/>
        <w:jc w:val="both"/>
        <w:rPr>
          <w:rFonts w:ascii="SimSun" w:hAnsi="SimSun" w:eastAsia="SimSun" w:cs="SimSun"/>
          <w:sz w:val="24"/>
          <w:szCs w:val="24"/>
        </w:rPr>
      </w:pPr>
      <w:r>
        <w:pict>
          <v:shape id="_x0000_s1270" style="position:absolute;margin-left:85.05pt;margin-top:78.87pt;mso-position-vertical-relative:page;mso-position-horizontal-relative:page;width:425.25pt;height:0.75pt;z-index:252346368;" o:allowincell="f" fillcolor="#000000" filled="true" stroked="false" coordsize="8505,15" coordorigin="0,0" path="m,l8505,0l8505,14l0,14l0,0xe"/>
        </w:pict>
      </w:r>
      <w:r>
        <w:rPr>
          <w:rFonts w:ascii="SimSun" w:hAnsi="SimSun" w:eastAsia="SimSun" w:cs="SimSun"/>
          <w:sz w:val="24"/>
          <w:szCs w:val="24"/>
          <w:spacing w:val="7"/>
        </w:rPr>
        <w:t>使用润滑油等产生废油桶，被列入《国家危险废物名录（</w:t>
      </w:r>
      <w:r>
        <w:rPr>
          <w:rFonts w:ascii="Times New Roman" w:hAnsi="Times New Roman" w:eastAsia="Times New Roman" w:cs="Times New Roman"/>
          <w:sz w:val="24"/>
          <w:szCs w:val="24"/>
          <w:spacing w:val="7"/>
        </w:rPr>
        <w:t>202</w:t>
      </w:r>
      <w:r>
        <w:rPr>
          <w:rFonts w:ascii="Times New Roman" w:hAnsi="Times New Roman" w:eastAsia="Times New Roman" w:cs="Times New Roman"/>
          <w:sz w:val="24"/>
          <w:szCs w:val="24"/>
          <w:spacing w:val="6"/>
        </w:rPr>
        <w:t>5</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6"/>
        </w:rPr>
        <w:t>年）》中，危废</w:t>
      </w:r>
      <w:r>
        <w:rPr>
          <w:rFonts w:ascii="SimSun" w:hAnsi="SimSun" w:eastAsia="SimSun" w:cs="SimSun"/>
          <w:sz w:val="24"/>
          <w:szCs w:val="24"/>
        </w:rPr>
        <w:t xml:space="preserve"> </w:t>
      </w:r>
      <w:r>
        <w:rPr>
          <w:rFonts w:ascii="SimSun" w:hAnsi="SimSun" w:eastAsia="SimSun" w:cs="SimSun"/>
          <w:sz w:val="24"/>
          <w:szCs w:val="24"/>
          <w:spacing w:val="1"/>
        </w:rPr>
        <w:t>类别为</w:t>
      </w:r>
      <w:r>
        <w:rPr>
          <w:rFonts w:ascii="SimSun" w:hAnsi="SimSun" w:eastAsia="SimSun" w:cs="SimSun"/>
          <w:sz w:val="24"/>
          <w:szCs w:val="24"/>
          <w:spacing w:val="-41"/>
        </w:rPr>
        <w:t xml:space="preserve"> </w:t>
      </w:r>
      <w:r>
        <w:rPr>
          <w:rFonts w:ascii="Times New Roman" w:hAnsi="Times New Roman" w:eastAsia="Times New Roman" w:cs="Times New Roman"/>
          <w:sz w:val="24"/>
          <w:szCs w:val="24"/>
        </w:rPr>
        <w:t>HW</w:t>
      </w:r>
      <w:r>
        <w:rPr>
          <w:rFonts w:ascii="Times New Roman" w:hAnsi="Times New Roman" w:eastAsia="Times New Roman" w:cs="Times New Roman"/>
          <w:sz w:val="24"/>
          <w:szCs w:val="24"/>
          <w:spacing w:val="1"/>
        </w:rPr>
        <w:t>08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废矿物油与含矿物油废物，属于危险废物，在危废暂存间内暂存，</w:t>
      </w:r>
      <w:r>
        <w:rPr>
          <w:rFonts w:ascii="SimSun" w:hAnsi="SimSun" w:eastAsia="SimSun" w:cs="SimSun"/>
          <w:sz w:val="24"/>
          <w:szCs w:val="24"/>
        </w:rPr>
        <w:t xml:space="preserve"> </w:t>
      </w:r>
      <w:r>
        <w:rPr>
          <w:rFonts w:ascii="SimSun" w:hAnsi="SimSun" w:eastAsia="SimSun" w:cs="SimSun"/>
          <w:sz w:val="24"/>
          <w:szCs w:val="24"/>
          <w:spacing w:val="-1"/>
        </w:rPr>
        <w:t>定期委托有资质单位处理。</w:t>
      </w:r>
    </w:p>
    <w:p>
      <w:pPr>
        <w:ind w:left="8" w:firstLine="483"/>
        <w:spacing w:before="5" w:line="359" w:lineRule="auto"/>
        <w:jc w:val="both"/>
        <w:rPr>
          <w:rFonts w:ascii="SimSun" w:hAnsi="SimSun" w:eastAsia="SimSun" w:cs="SimSun"/>
          <w:sz w:val="24"/>
          <w:szCs w:val="24"/>
        </w:rPr>
      </w:pPr>
      <w:r>
        <w:rPr>
          <w:rFonts w:ascii="SimSun" w:hAnsi="SimSun" w:eastAsia="SimSun" w:cs="SimSun"/>
          <w:sz w:val="24"/>
          <w:szCs w:val="24"/>
          <w:spacing w:val="8"/>
        </w:rPr>
        <w:t>建设单位在西厂区洗净毛库房西侧建设</w:t>
      </w:r>
      <w:r>
        <w:rPr>
          <w:rFonts w:ascii="SimSun" w:hAnsi="SimSun" w:eastAsia="SimSun" w:cs="SimSun"/>
          <w:sz w:val="24"/>
          <w:szCs w:val="24"/>
          <w:spacing w:val="-15"/>
        </w:rPr>
        <w:t xml:space="preserve"> </w:t>
      </w:r>
      <w:r>
        <w:rPr>
          <w:rFonts w:ascii="Times New Roman" w:hAnsi="Times New Roman" w:eastAsia="Times New Roman" w:cs="Times New Roman"/>
          <w:sz w:val="24"/>
          <w:szCs w:val="24"/>
          <w:spacing w:val="8"/>
        </w:rPr>
        <w:t>1</w:t>
      </w:r>
      <w:r>
        <w:rPr>
          <w:rFonts w:ascii="Times New Roman" w:hAnsi="Times New Roman" w:eastAsia="Times New Roman" w:cs="Times New Roman"/>
          <w:sz w:val="24"/>
          <w:szCs w:val="24"/>
          <w:spacing w:val="21"/>
          <w:w w:val="101"/>
        </w:rPr>
        <w:t xml:space="preserve"> </w:t>
      </w:r>
      <w:r>
        <w:rPr>
          <w:rFonts w:ascii="SimSun" w:hAnsi="SimSun" w:eastAsia="SimSun" w:cs="SimSun"/>
          <w:sz w:val="24"/>
          <w:szCs w:val="24"/>
          <w:spacing w:val="8"/>
        </w:rPr>
        <w:t>座危险废物暂存库，建筑面积为</w:t>
      </w:r>
      <w:r>
        <w:rPr>
          <w:rFonts w:ascii="SimSun" w:hAnsi="SimSun" w:eastAsia="SimSun" w:cs="SimSun"/>
          <w:sz w:val="24"/>
          <w:szCs w:val="24"/>
        </w:rPr>
        <w:t xml:space="preserve"> </w:t>
      </w:r>
      <w:r>
        <w:rPr>
          <w:rFonts w:ascii="Times New Roman" w:hAnsi="Times New Roman" w:eastAsia="Times New Roman" w:cs="Times New Roman"/>
          <w:sz w:val="24"/>
          <w:szCs w:val="24"/>
          <w:spacing w:val="7"/>
        </w:rPr>
        <w:t>15m</w:t>
      </w:r>
      <w:r>
        <w:rPr>
          <w:rFonts w:ascii="Times New Roman" w:hAnsi="Times New Roman" w:eastAsia="Times New Roman" w:cs="Times New Roman"/>
          <w:sz w:val="15"/>
          <w:szCs w:val="15"/>
          <w:spacing w:val="7"/>
          <w:position w:val="8"/>
        </w:rPr>
        <w:t>2 </w:t>
      </w:r>
      <w:r>
        <w:rPr>
          <w:rFonts w:ascii="SimSun" w:hAnsi="SimSun" w:eastAsia="SimSun" w:cs="SimSun"/>
          <w:sz w:val="24"/>
          <w:szCs w:val="24"/>
          <w:spacing w:val="7"/>
        </w:rPr>
        <w:t>，全封闭建设，用于储存废矿物油、废油桶，根据危险废物的性质，分区</w:t>
      </w:r>
      <w:r>
        <w:rPr>
          <w:rFonts w:ascii="SimSun" w:hAnsi="SimSun" w:eastAsia="SimSun" w:cs="SimSun"/>
          <w:sz w:val="24"/>
          <w:szCs w:val="24"/>
          <w:spacing w:val="8"/>
        </w:rPr>
        <w:t xml:space="preserve"> </w:t>
      </w:r>
      <w:r>
        <w:rPr>
          <w:rFonts w:ascii="SimSun" w:hAnsi="SimSun" w:eastAsia="SimSun" w:cs="SimSun"/>
          <w:sz w:val="24"/>
          <w:szCs w:val="24"/>
          <w:spacing w:val="3"/>
        </w:rPr>
        <w:t>储存。要求危废暂存间内地面与裙脚应采取表面防渗</w:t>
      </w:r>
      <w:r>
        <w:rPr>
          <w:rFonts w:ascii="SimSun" w:hAnsi="SimSun" w:eastAsia="SimSun" w:cs="SimSun"/>
          <w:sz w:val="24"/>
          <w:szCs w:val="24"/>
          <w:spacing w:val="2"/>
        </w:rPr>
        <w:t>措施；表面防渗材料应与所</w:t>
      </w:r>
      <w:r>
        <w:rPr>
          <w:rFonts w:ascii="SimSun" w:hAnsi="SimSun" w:eastAsia="SimSun" w:cs="SimSun"/>
          <w:sz w:val="24"/>
          <w:szCs w:val="24"/>
        </w:rPr>
        <w:t xml:space="preserve"> </w:t>
      </w:r>
      <w:r>
        <w:rPr>
          <w:rFonts w:ascii="SimSun" w:hAnsi="SimSun" w:eastAsia="SimSun" w:cs="SimSun"/>
          <w:sz w:val="24"/>
          <w:szCs w:val="24"/>
          <w:spacing w:val="-2"/>
        </w:rPr>
        <w:t>接触的物料或污染物相容，贮存的危险废物直接接触</w:t>
      </w:r>
      <w:r>
        <w:rPr>
          <w:rFonts w:ascii="SimSun" w:hAnsi="SimSun" w:eastAsia="SimSun" w:cs="SimSun"/>
          <w:sz w:val="24"/>
          <w:szCs w:val="24"/>
          <w:spacing w:val="-3"/>
        </w:rPr>
        <w:t>地面的，还应进行基础防渗，</w:t>
      </w:r>
      <w:r>
        <w:rPr>
          <w:rFonts w:ascii="SimSun" w:hAnsi="SimSun" w:eastAsia="SimSun" w:cs="SimSun"/>
          <w:sz w:val="24"/>
          <w:szCs w:val="24"/>
        </w:rPr>
        <w:t xml:space="preserve"> </w:t>
      </w:r>
      <w:r>
        <w:rPr>
          <w:rFonts w:ascii="SimSun" w:hAnsi="SimSun" w:eastAsia="SimSun" w:cs="SimSun"/>
          <w:sz w:val="24"/>
          <w:szCs w:val="24"/>
          <w:spacing w:val="-1"/>
        </w:rPr>
        <w:t>防渗层为至少</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1m</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1"/>
        </w:rPr>
        <w:t>厚黏土层（渗透系数不大于</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10</w:t>
      </w:r>
      <w:r>
        <w:rPr>
          <w:rFonts w:ascii="Times New Roman" w:hAnsi="Times New Roman" w:eastAsia="Times New Roman" w:cs="Times New Roman"/>
          <w:sz w:val="15"/>
          <w:szCs w:val="15"/>
          <w:spacing w:val="-1"/>
          <w:position w:val="8"/>
        </w:rPr>
        <w:t>-7</w:t>
      </w:r>
      <w:r>
        <w:rPr>
          <w:rFonts w:ascii="Times New Roman" w:hAnsi="Times New Roman" w:eastAsia="Times New Roman" w:cs="Times New Roman"/>
          <w:sz w:val="24"/>
          <w:szCs w:val="24"/>
          <w:spacing w:val="-1"/>
        </w:rPr>
        <w:t>cm/s</w:t>
      </w:r>
      <w:r>
        <w:rPr>
          <w:rFonts w:ascii="SimSun" w:hAnsi="SimSun" w:eastAsia="SimSun" w:cs="SimSun"/>
          <w:sz w:val="24"/>
          <w:szCs w:val="24"/>
          <w:spacing w:val="12"/>
        </w:rPr>
        <w:t>），</w:t>
      </w:r>
      <w:r>
        <w:rPr>
          <w:rFonts w:ascii="SimSun" w:hAnsi="SimSun" w:eastAsia="SimSun" w:cs="SimSun"/>
          <w:sz w:val="24"/>
          <w:szCs w:val="24"/>
          <w:spacing w:val="-1"/>
        </w:rPr>
        <w:t>或至少</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2mm</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1"/>
        </w:rPr>
        <w:t>厚高密度</w:t>
      </w:r>
      <w:r>
        <w:rPr>
          <w:rFonts w:ascii="SimSun" w:hAnsi="SimSun" w:eastAsia="SimSun" w:cs="SimSun"/>
          <w:sz w:val="24"/>
          <w:szCs w:val="24"/>
        </w:rPr>
        <w:t xml:space="preserve"> </w:t>
      </w:r>
      <w:r>
        <w:rPr>
          <w:rFonts w:ascii="SimSun" w:hAnsi="SimSun" w:eastAsia="SimSun" w:cs="SimSun"/>
          <w:sz w:val="24"/>
          <w:szCs w:val="24"/>
          <w:spacing w:val="1"/>
        </w:rPr>
        <w:t>聚乙烯膜等人工防渗材料（渗透系数不大于</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10</w:t>
      </w:r>
      <w:r>
        <w:rPr>
          <w:rFonts w:ascii="Times New Roman" w:hAnsi="Times New Roman" w:eastAsia="Times New Roman" w:cs="Times New Roman"/>
          <w:sz w:val="15"/>
          <w:szCs w:val="15"/>
          <w:spacing w:val="1"/>
          <w:position w:val="7"/>
        </w:rPr>
        <w:t>-10</w:t>
      </w:r>
      <w:r>
        <w:rPr>
          <w:rFonts w:ascii="Times New Roman" w:hAnsi="Times New Roman" w:eastAsia="Times New Roman" w:cs="Times New Roman"/>
          <w:sz w:val="24"/>
          <w:szCs w:val="24"/>
        </w:rPr>
        <w:t>cm</w:t>
      </w:r>
      <w:r>
        <w:rPr>
          <w:rFonts w:ascii="Times New Roman" w:hAnsi="Times New Roman" w:eastAsia="Times New Roman" w:cs="Times New Roman"/>
          <w:sz w:val="24"/>
          <w:szCs w:val="24"/>
          <w:spacing w:val="1"/>
        </w:rPr>
        <w:t>/s</w:t>
      </w:r>
      <w:r>
        <w:rPr>
          <w:rFonts w:ascii="SimSun" w:hAnsi="SimSun" w:eastAsia="SimSun" w:cs="SimSun"/>
          <w:sz w:val="24"/>
          <w:szCs w:val="24"/>
          <w:spacing w:val="18"/>
        </w:rPr>
        <w:t>），</w:t>
      </w:r>
      <w:r>
        <w:rPr>
          <w:rFonts w:ascii="SimSun" w:hAnsi="SimSun" w:eastAsia="SimSun" w:cs="SimSun"/>
          <w:sz w:val="24"/>
          <w:szCs w:val="24"/>
          <w:spacing w:val="1"/>
        </w:rPr>
        <w:t>或其他防渗性能等效的</w:t>
      </w:r>
      <w:r>
        <w:rPr>
          <w:rFonts w:ascii="SimSun" w:hAnsi="SimSun" w:eastAsia="SimSun" w:cs="SimSun"/>
          <w:sz w:val="24"/>
          <w:szCs w:val="24"/>
        </w:rPr>
        <w:t xml:space="preserve"> </w:t>
      </w:r>
      <w:r>
        <w:rPr>
          <w:rFonts w:ascii="SimSun" w:hAnsi="SimSun" w:eastAsia="SimSun" w:cs="SimSun"/>
          <w:sz w:val="24"/>
          <w:szCs w:val="24"/>
          <w:spacing w:val="3"/>
        </w:rPr>
        <w:t>材料。贮存库内不同贮存分区之间应采取隔离措施。隔离</w:t>
      </w:r>
      <w:r>
        <w:rPr>
          <w:rFonts w:ascii="SimSun" w:hAnsi="SimSun" w:eastAsia="SimSun" w:cs="SimSun"/>
          <w:sz w:val="24"/>
          <w:szCs w:val="24"/>
          <w:spacing w:val="2"/>
        </w:rPr>
        <w:t>措施可根据危险废物特</w:t>
      </w:r>
      <w:r>
        <w:rPr>
          <w:rFonts w:ascii="SimSun" w:hAnsi="SimSun" w:eastAsia="SimSun" w:cs="SimSun"/>
          <w:sz w:val="24"/>
          <w:szCs w:val="24"/>
        </w:rPr>
        <w:t xml:space="preserve"> </w:t>
      </w:r>
      <w:r>
        <w:rPr>
          <w:rFonts w:ascii="SimSun" w:hAnsi="SimSun" w:eastAsia="SimSun" w:cs="SimSun"/>
          <w:sz w:val="24"/>
          <w:szCs w:val="24"/>
          <w:spacing w:val="3"/>
        </w:rPr>
        <w:t>性采用过道、隔板或隔墙等方式。在贮存库内应具有液体</w:t>
      </w:r>
      <w:r>
        <w:rPr>
          <w:rFonts w:ascii="SimSun" w:hAnsi="SimSun" w:eastAsia="SimSun" w:cs="SimSun"/>
          <w:sz w:val="24"/>
          <w:szCs w:val="24"/>
          <w:spacing w:val="2"/>
        </w:rPr>
        <w:t>泄漏堵截设施，堵截设</w:t>
      </w:r>
      <w:r>
        <w:rPr>
          <w:rFonts w:ascii="SimSun" w:hAnsi="SimSun" w:eastAsia="SimSun" w:cs="SimSun"/>
          <w:sz w:val="24"/>
          <w:szCs w:val="24"/>
        </w:rPr>
        <w:t xml:space="preserve"> </w:t>
      </w:r>
      <w:r>
        <w:rPr>
          <w:rFonts w:ascii="SimSun" w:hAnsi="SimSun" w:eastAsia="SimSun" w:cs="SimSun"/>
          <w:sz w:val="24"/>
          <w:szCs w:val="24"/>
          <w:spacing w:val="2"/>
        </w:rPr>
        <w:t>施最小容积不应低于对应贮存区域最大液态废物</w:t>
      </w:r>
      <w:r>
        <w:rPr>
          <w:rFonts w:ascii="SimSun" w:hAnsi="SimSun" w:eastAsia="SimSun" w:cs="SimSun"/>
          <w:sz w:val="24"/>
          <w:szCs w:val="24"/>
          <w:spacing w:val="1"/>
        </w:rPr>
        <w:t>容器容积或液态废物总储量</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
        </w:rPr>
        <w:t>1/10</w:t>
      </w:r>
      <w:r>
        <w:rPr>
          <w:rFonts w:ascii="Times New Roman" w:hAnsi="Times New Roman" w:eastAsia="Times New Roman" w:cs="Times New Roman"/>
          <w:sz w:val="24"/>
          <w:szCs w:val="24"/>
        </w:rPr>
        <w:t xml:space="preserve">  </w:t>
      </w:r>
      <w:r>
        <w:rPr>
          <w:rFonts w:ascii="SimSun" w:hAnsi="SimSun" w:eastAsia="SimSun" w:cs="SimSun"/>
          <w:sz w:val="24"/>
          <w:szCs w:val="24"/>
          <w:spacing w:val="2"/>
        </w:rPr>
        <w:t>（二者取较大者</w:t>
      </w:r>
      <w:r>
        <w:rPr>
          <w:rFonts w:ascii="SimSun" w:hAnsi="SimSun" w:eastAsia="SimSun" w:cs="SimSun"/>
          <w:sz w:val="24"/>
          <w:szCs w:val="24"/>
          <w:spacing w:val="14"/>
        </w:rPr>
        <w:t>）；</w:t>
      </w:r>
      <w:r>
        <w:rPr>
          <w:rFonts w:ascii="SimSun" w:hAnsi="SimSun" w:eastAsia="SimSun" w:cs="SimSun"/>
          <w:sz w:val="24"/>
          <w:szCs w:val="24"/>
          <w:spacing w:val="2"/>
        </w:rPr>
        <w:t>用于贮存可能产生渗滤液的危险废物的贮存库或贮存分区应</w:t>
      </w:r>
      <w:r>
        <w:rPr>
          <w:rFonts w:ascii="SimSun" w:hAnsi="SimSun" w:eastAsia="SimSun" w:cs="SimSun"/>
          <w:sz w:val="24"/>
          <w:szCs w:val="24"/>
          <w:spacing w:val="1"/>
        </w:rPr>
        <w:t xml:space="preserve"> </w:t>
      </w:r>
      <w:r>
        <w:rPr>
          <w:rFonts w:ascii="SimSun" w:hAnsi="SimSun" w:eastAsia="SimSun" w:cs="SimSun"/>
          <w:sz w:val="24"/>
          <w:szCs w:val="24"/>
          <w:spacing w:val="3"/>
        </w:rPr>
        <w:t>设计渗滤液收集设施，收集设施容积应满足渗滤液的收集</w:t>
      </w:r>
      <w:r>
        <w:rPr>
          <w:rFonts w:ascii="SimSun" w:hAnsi="SimSun" w:eastAsia="SimSun" w:cs="SimSun"/>
          <w:sz w:val="24"/>
          <w:szCs w:val="24"/>
          <w:spacing w:val="2"/>
        </w:rPr>
        <w:t>要求。在常温常压下不</w:t>
      </w:r>
      <w:r>
        <w:rPr>
          <w:rFonts w:ascii="SimSun" w:hAnsi="SimSun" w:eastAsia="SimSun" w:cs="SimSun"/>
          <w:sz w:val="24"/>
          <w:szCs w:val="24"/>
        </w:rPr>
        <w:t xml:space="preserve"> </w:t>
      </w:r>
      <w:r>
        <w:rPr>
          <w:rFonts w:ascii="SimSun" w:hAnsi="SimSun" w:eastAsia="SimSun" w:cs="SimSun"/>
          <w:sz w:val="24"/>
          <w:szCs w:val="24"/>
          <w:spacing w:val="3"/>
        </w:rPr>
        <w:t>易水解、不易挥发的固态危险废物可分类堆放贮存，其他</w:t>
      </w:r>
      <w:r>
        <w:rPr>
          <w:rFonts w:ascii="SimSun" w:hAnsi="SimSun" w:eastAsia="SimSun" w:cs="SimSun"/>
          <w:sz w:val="24"/>
          <w:szCs w:val="24"/>
          <w:spacing w:val="2"/>
        </w:rPr>
        <w:t>固态危险废物应装入容</w:t>
      </w:r>
      <w:r>
        <w:rPr>
          <w:rFonts w:ascii="SimSun" w:hAnsi="SimSun" w:eastAsia="SimSun" w:cs="SimSun"/>
          <w:sz w:val="24"/>
          <w:szCs w:val="24"/>
        </w:rPr>
        <w:t xml:space="preserve"> </w:t>
      </w:r>
      <w:r>
        <w:rPr>
          <w:rFonts w:ascii="SimSun" w:hAnsi="SimSun" w:eastAsia="SimSun" w:cs="SimSun"/>
          <w:sz w:val="24"/>
          <w:szCs w:val="24"/>
          <w:spacing w:val="3"/>
        </w:rPr>
        <w:t>器或包装物内贮存。液态危险废物应装入容器内贮存。贮</w:t>
      </w:r>
      <w:r>
        <w:rPr>
          <w:rFonts w:ascii="SimSun" w:hAnsi="SimSun" w:eastAsia="SimSun" w:cs="SimSun"/>
          <w:sz w:val="24"/>
          <w:szCs w:val="24"/>
          <w:spacing w:val="2"/>
        </w:rPr>
        <w:t>存设施运行期间，应按</w:t>
      </w:r>
      <w:r>
        <w:rPr>
          <w:rFonts w:ascii="SimSun" w:hAnsi="SimSun" w:eastAsia="SimSun" w:cs="SimSun"/>
          <w:sz w:val="24"/>
          <w:szCs w:val="24"/>
        </w:rPr>
        <w:t xml:space="preserve"> </w:t>
      </w:r>
      <w:r>
        <w:rPr>
          <w:rFonts w:ascii="SimSun" w:hAnsi="SimSun" w:eastAsia="SimSun" w:cs="SimSun"/>
          <w:sz w:val="24"/>
          <w:szCs w:val="24"/>
          <w:spacing w:val="3"/>
        </w:rPr>
        <w:t>国家有关标准和规定建立危险废物管理台账并保存。贮存</w:t>
      </w:r>
      <w:r>
        <w:rPr>
          <w:rFonts w:ascii="SimSun" w:hAnsi="SimSun" w:eastAsia="SimSun" w:cs="SimSun"/>
          <w:sz w:val="24"/>
          <w:szCs w:val="24"/>
          <w:spacing w:val="2"/>
        </w:rPr>
        <w:t>设施所有者或运营者应</w:t>
      </w:r>
      <w:r>
        <w:rPr>
          <w:rFonts w:ascii="SimSun" w:hAnsi="SimSun" w:eastAsia="SimSun" w:cs="SimSun"/>
          <w:sz w:val="24"/>
          <w:szCs w:val="24"/>
        </w:rPr>
        <w:t xml:space="preserve"> </w:t>
      </w:r>
      <w:r>
        <w:rPr>
          <w:rFonts w:ascii="SimSun" w:hAnsi="SimSun" w:eastAsia="SimSun" w:cs="SimSun"/>
          <w:sz w:val="24"/>
          <w:szCs w:val="24"/>
          <w:spacing w:val="3"/>
        </w:rPr>
        <w:t>建立贮存设施环境管理制度、管理人员岗位职责制度、设</w:t>
      </w:r>
      <w:r>
        <w:rPr>
          <w:rFonts w:ascii="SimSun" w:hAnsi="SimSun" w:eastAsia="SimSun" w:cs="SimSun"/>
          <w:sz w:val="24"/>
          <w:szCs w:val="24"/>
          <w:spacing w:val="2"/>
        </w:rPr>
        <w:t>施运行操作制度、人员</w:t>
      </w:r>
      <w:r>
        <w:rPr>
          <w:rFonts w:ascii="SimSun" w:hAnsi="SimSun" w:eastAsia="SimSun" w:cs="SimSun"/>
          <w:sz w:val="24"/>
          <w:szCs w:val="24"/>
        </w:rPr>
        <w:t xml:space="preserve"> </w:t>
      </w:r>
      <w:r>
        <w:rPr>
          <w:rFonts w:ascii="SimSun" w:hAnsi="SimSun" w:eastAsia="SimSun" w:cs="SimSun"/>
          <w:sz w:val="24"/>
          <w:szCs w:val="24"/>
          <w:spacing w:val="3"/>
        </w:rPr>
        <w:t>岗位培训制度等。贮存设施应采取技术和管理措施防止无</w:t>
      </w:r>
      <w:r>
        <w:rPr>
          <w:rFonts w:ascii="SimSun" w:hAnsi="SimSun" w:eastAsia="SimSun" w:cs="SimSun"/>
          <w:sz w:val="24"/>
          <w:szCs w:val="24"/>
          <w:spacing w:val="2"/>
        </w:rPr>
        <w:t>关人员进入。本项目产</w:t>
      </w:r>
      <w:r>
        <w:rPr>
          <w:rFonts w:ascii="SimSun" w:hAnsi="SimSun" w:eastAsia="SimSun" w:cs="SimSun"/>
          <w:sz w:val="24"/>
          <w:szCs w:val="24"/>
        </w:rPr>
        <w:t xml:space="preserve"> </w:t>
      </w:r>
      <w:r>
        <w:rPr>
          <w:rFonts w:ascii="SimSun" w:hAnsi="SimSun" w:eastAsia="SimSun" w:cs="SimSun"/>
          <w:sz w:val="24"/>
          <w:szCs w:val="24"/>
          <w:spacing w:val="-2"/>
        </w:rPr>
        <w:t>生及厂区现有各类危险废物均不易产生粉尘、</w:t>
      </w:r>
      <w:r>
        <w:rPr>
          <w:rFonts w:ascii="Times New Roman" w:hAnsi="Times New Roman" w:eastAsia="Times New Roman" w:cs="Times New Roman"/>
          <w:sz w:val="24"/>
          <w:szCs w:val="24"/>
          <w:spacing w:val="-2"/>
        </w:rPr>
        <w:t>VOCs</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2"/>
        </w:rPr>
        <w:t>、酸雾、有毒有害大气污染物</w:t>
      </w:r>
      <w:r>
        <w:rPr>
          <w:rFonts w:ascii="SimSun" w:hAnsi="SimSun" w:eastAsia="SimSun" w:cs="SimSun"/>
          <w:sz w:val="24"/>
          <w:szCs w:val="24"/>
        </w:rPr>
        <w:t xml:space="preserve"> </w:t>
      </w:r>
      <w:r>
        <w:rPr>
          <w:rFonts w:ascii="SimSun" w:hAnsi="SimSun" w:eastAsia="SimSun" w:cs="SimSun"/>
          <w:sz w:val="24"/>
          <w:szCs w:val="24"/>
          <w:spacing w:val="-2"/>
        </w:rPr>
        <w:t>和刺激性气味气体，废矿物油在密封油桶内暂存，</w:t>
      </w:r>
      <w:r>
        <w:rPr>
          <w:rFonts w:ascii="SimSun" w:hAnsi="SimSun" w:eastAsia="SimSun" w:cs="SimSun"/>
          <w:sz w:val="24"/>
          <w:szCs w:val="24"/>
          <w:spacing w:val="-3"/>
        </w:rPr>
        <w:t>且存在量较少，不会产生</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VOCs</w:t>
      </w:r>
      <w:r>
        <w:rPr>
          <w:rFonts w:ascii="Times New Roman" w:hAnsi="Times New Roman" w:eastAsia="Times New Roman" w:cs="Times New Roman"/>
          <w:sz w:val="24"/>
          <w:szCs w:val="24"/>
        </w:rPr>
        <w:t xml:space="preserve">  </w:t>
      </w:r>
      <w:r>
        <w:rPr>
          <w:rFonts w:ascii="SimSun" w:hAnsi="SimSun" w:eastAsia="SimSun" w:cs="SimSun"/>
          <w:sz w:val="24"/>
          <w:szCs w:val="24"/>
          <w:spacing w:val="1"/>
        </w:rPr>
        <w:t>废气排放，因此该危废暂存间未设置气体收集装</w:t>
      </w:r>
      <w:r>
        <w:rPr>
          <w:rFonts w:ascii="SimSun" w:hAnsi="SimSun" w:eastAsia="SimSun" w:cs="SimSun"/>
          <w:sz w:val="24"/>
          <w:szCs w:val="24"/>
        </w:rPr>
        <w:t>置和气体净化设施。</w:t>
      </w:r>
    </w:p>
    <w:p>
      <w:pPr>
        <w:ind w:left="9" w:firstLine="481"/>
        <w:spacing w:before="4" w:line="359" w:lineRule="auto"/>
        <w:jc w:val="both"/>
        <w:rPr>
          <w:rFonts w:ascii="SimSun" w:hAnsi="SimSun" w:eastAsia="SimSun" w:cs="SimSun"/>
          <w:sz w:val="24"/>
          <w:szCs w:val="24"/>
        </w:rPr>
      </w:pPr>
      <w:r>
        <w:rPr>
          <w:rFonts w:ascii="SimSun" w:hAnsi="SimSun" w:eastAsia="SimSun" w:cs="SimSun"/>
          <w:sz w:val="24"/>
          <w:szCs w:val="24"/>
          <w:spacing w:val="15"/>
        </w:rPr>
        <w:t>上述危险废物的贮存和转移应执行《危险废物贮存污染控</w:t>
      </w:r>
      <w:r>
        <w:rPr>
          <w:rFonts w:ascii="SimSun" w:hAnsi="SimSun" w:eastAsia="SimSun" w:cs="SimSun"/>
          <w:sz w:val="24"/>
          <w:szCs w:val="24"/>
          <w:spacing w:val="14"/>
        </w:rPr>
        <w:t>制标准》</w:t>
      </w:r>
      <w:r>
        <w:rPr>
          <w:rFonts w:ascii="SimSun" w:hAnsi="SimSun" w:eastAsia="SimSun" w:cs="SimSun"/>
          <w:sz w:val="24"/>
          <w:szCs w:val="24"/>
          <w:spacing w:val="-87"/>
        </w:rPr>
        <w:t xml:space="preserve"> </w:t>
      </w:r>
      <w:r>
        <w:rPr>
          <w:rFonts w:ascii="SimSun" w:hAnsi="SimSun" w:eastAsia="SimSun" w:cs="SimSun"/>
          <w:sz w:val="24"/>
          <w:szCs w:val="24"/>
          <w:spacing w:val="14"/>
        </w:rPr>
        <w:t>（</w:t>
      </w:r>
      <w:r>
        <w:rPr>
          <w:rFonts w:ascii="Times New Roman" w:hAnsi="Times New Roman" w:eastAsia="Times New Roman" w:cs="Times New Roman"/>
          <w:sz w:val="24"/>
          <w:szCs w:val="24"/>
        </w:rPr>
        <w:t>GB  </w:t>
      </w:r>
      <w:r>
        <w:rPr>
          <w:rFonts w:ascii="Times New Roman" w:hAnsi="Times New Roman" w:eastAsia="Times New Roman" w:cs="Times New Roman"/>
          <w:sz w:val="24"/>
          <w:szCs w:val="24"/>
          <w:spacing w:val="-3"/>
        </w:rPr>
        <w:t>18597-2023</w:t>
      </w:r>
      <w:r>
        <w:rPr>
          <w:rFonts w:ascii="SimSun" w:hAnsi="SimSun" w:eastAsia="SimSun" w:cs="SimSun"/>
          <w:sz w:val="24"/>
          <w:szCs w:val="24"/>
          <w:spacing w:val="-3"/>
        </w:rPr>
        <w:t>）的规定、《危险废物污染防治技术政策》和《危险废物转移联单管理</w:t>
      </w:r>
      <w:r>
        <w:rPr>
          <w:rFonts w:ascii="SimSun" w:hAnsi="SimSun" w:eastAsia="SimSun" w:cs="SimSun"/>
          <w:sz w:val="24"/>
          <w:szCs w:val="24"/>
          <w:spacing w:val="15"/>
        </w:rPr>
        <w:t xml:space="preserve"> </w:t>
      </w:r>
      <w:r>
        <w:rPr>
          <w:rFonts w:ascii="SimSun" w:hAnsi="SimSun" w:eastAsia="SimSun" w:cs="SimSun"/>
          <w:sz w:val="24"/>
          <w:szCs w:val="24"/>
          <w:spacing w:val="3"/>
        </w:rPr>
        <w:t>办法》中的有关规定。根据危险废物的产生量，合理安</w:t>
      </w:r>
      <w:r>
        <w:rPr>
          <w:rFonts w:ascii="SimSun" w:hAnsi="SimSun" w:eastAsia="SimSun" w:cs="SimSun"/>
          <w:sz w:val="24"/>
          <w:szCs w:val="24"/>
          <w:spacing w:val="2"/>
        </w:rPr>
        <w:t>排运输计划，运输危险废</w:t>
      </w:r>
      <w:r>
        <w:rPr>
          <w:rFonts w:ascii="SimSun" w:hAnsi="SimSun" w:eastAsia="SimSun" w:cs="SimSun"/>
          <w:sz w:val="24"/>
          <w:szCs w:val="24"/>
        </w:rPr>
        <w:t xml:space="preserve"> </w:t>
      </w:r>
      <w:r>
        <w:rPr>
          <w:rFonts w:ascii="SimSun" w:hAnsi="SimSun" w:eastAsia="SimSun" w:cs="SimSun"/>
          <w:sz w:val="24"/>
          <w:szCs w:val="24"/>
          <w:spacing w:val="3"/>
        </w:rPr>
        <w:t>物所用的车辆必须符合《危险化学品安全管理条例》的</w:t>
      </w:r>
      <w:r>
        <w:rPr>
          <w:rFonts w:ascii="SimSun" w:hAnsi="SimSun" w:eastAsia="SimSun" w:cs="SimSun"/>
          <w:sz w:val="24"/>
          <w:szCs w:val="24"/>
          <w:spacing w:val="2"/>
        </w:rPr>
        <w:t>管理规定。需持有运输许</w:t>
      </w:r>
      <w:r>
        <w:rPr>
          <w:rFonts w:ascii="SimSun" w:hAnsi="SimSun" w:eastAsia="SimSun" w:cs="SimSun"/>
          <w:sz w:val="24"/>
          <w:szCs w:val="24"/>
        </w:rPr>
        <w:t xml:space="preserve"> </w:t>
      </w:r>
      <w:r>
        <w:rPr>
          <w:rFonts w:ascii="SimSun" w:hAnsi="SimSun" w:eastAsia="SimSun" w:cs="SimSun"/>
          <w:sz w:val="24"/>
          <w:szCs w:val="24"/>
          <w:spacing w:val="-2"/>
        </w:rPr>
        <w:t>可证，其上应注明废物来源、性质运往地点。运输</w:t>
      </w:r>
      <w:r>
        <w:rPr>
          <w:rFonts w:ascii="SimSun" w:hAnsi="SimSun" w:eastAsia="SimSun" w:cs="SimSun"/>
          <w:sz w:val="24"/>
          <w:szCs w:val="24"/>
          <w:spacing w:val="-3"/>
        </w:rPr>
        <w:t>车辆应进行定期的维护和检查，</w:t>
      </w:r>
      <w:r>
        <w:rPr>
          <w:rFonts w:ascii="SimSun" w:hAnsi="SimSun" w:eastAsia="SimSun" w:cs="SimSun"/>
          <w:sz w:val="24"/>
          <w:szCs w:val="24"/>
        </w:rPr>
        <w:t xml:space="preserve"> </w:t>
      </w:r>
      <w:r>
        <w:rPr>
          <w:rFonts w:ascii="SimSun" w:hAnsi="SimSun" w:eastAsia="SimSun" w:cs="SimSun"/>
          <w:sz w:val="24"/>
          <w:szCs w:val="24"/>
          <w:spacing w:val="-1"/>
        </w:rPr>
        <w:t>防患于未然，保持车辆良好的工作状态。</w:t>
      </w:r>
    </w:p>
    <w:p>
      <w:pPr>
        <w:spacing w:line="359" w:lineRule="auto"/>
        <w:sectPr>
          <w:headerReference w:type="default" r:id="rId16"/>
          <w:footerReference w:type="default" r:id="rId376"/>
          <w:pgSz w:w="11907" w:h="16840"/>
          <w:pgMar w:top="1567" w:right="1640" w:bottom="1921" w:left="1701" w:header="1221" w:footer="1247" w:gutter="0"/>
        </w:sectPr>
        <w:rPr>
          <w:rFonts w:ascii="SimSun" w:hAnsi="SimSun" w:eastAsia="SimSun" w:cs="SimSun"/>
          <w:sz w:val="24"/>
          <w:szCs w:val="24"/>
        </w:rPr>
      </w:pPr>
    </w:p>
    <w:p>
      <w:pPr>
        <w:ind w:left="490"/>
        <w:spacing w:before="187" w:line="219" w:lineRule="auto"/>
        <w:rPr>
          <w:rFonts w:ascii="SimSun" w:hAnsi="SimSun" w:eastAsia="SimSun" w:cs="SimSun"/>
          <w:sz w:val="24"/>
          <w:szCs w:val="24"/>
        </w:rPr>
      </w:pPr>
      <w:r>
        <w:pict>
          <v:shape id="_x0000_s1272" style="position:absolute;margin-left:85.05pt;margin-top:79.11pt;mso-position-vertical-relative:page;mso-position-horizontal-relative:page;width:425.25pt;height:0.75pt;z-index:252350464;" o:allowincell="f" fillcolor="#000000" filled="true" stroked="false" coordsize="8505,15" coordorigin="0,0" path="m,l8505,0l8505,14l0,14l0,0xe"/>
        </w:pict>
      </w:r>
      <w:r>
        <w:rPr>
          <w:rFonts w:ascii="SimSun" w:hAnsi="SimSun" w:eastAsia="SimSun" w:cs="SimSun"/>
          <w:sz w:val="24"/>
          <w:szCs w:val="24"/>
          <w:spacing w:val="-1"/>
        </w:rPr>
        <w:t>本项目产生的危险废物得到妥善处理，措施可行。</w:t>
      </w:r>
    </w:p>
    <w:p>
      <w:pPr>
        <w:ind w:left="10"/>
        <w:spacing w:before="307" w:line="222" w:lineRule="auto"/>
        <w:outlineLvl w:val="2"/>
        <w:rPr>
          <w:rFonts w:ascii="SimHei" w:hAnsi="SimHei" w:eastAsia="SimHei" w:cs="SimHei"/>
          <w:sz w:val="28"/>
          <w:szCs w:val="28"/>
        </w:rPr>
      </w:pPr>
      <w:bookmarkStart w:name="bookmark162" w:id="195"/>
      <w:bookmarkEnd w:id="195"/>
      <w:r>
        <w:rPr>
          <w:rFonts w:ascii="Times New Roman" w:hAnsi="Times New Roman" w:eastAsia="Times New Roman" w:cs="Times New Roman"/>
          <w:sz w:val="28"/>
          <w:szCs w:val="28"/>
          <w:spacing w:val="-1"/>
        </w:rPr>
        <w:t>7.4.3 </w:t>
      </w:r>
      <w:r>
        <w:rPr>
          <w:rFonts w:ascii="SimHei" w:hAnsi="SimHei" w:eastAsia="SimHei" w:cs="SimHei"/>
          <w:sz w:val="28"/>
          <w:szCs w:val="28"/>
          <w:spacing w:val="-1"/>
        </w:rPr>
        <w:t>其他固废治理措施可行性分析</w:t>
      </w:r>
    </w:p>
    <w:p>
      <w:pPr>
        <w:pStyle w:val="BodyText"/>
        <w:spacing w:line="242" w:lineRule="auto"/>
        <w:rPr/>
      </w:pPr>
      <w:r/>
    </w:p>
    <w:p>
      <w:pPr>
        <w:ind w:left="181"/>
        <w:spacing w:before="78" w:line="219" w:lineRule="auto"/>
        <w:rPr>
          <w:rFonts w:ascii="SimSun" w:hAnsi="SimSun" w:eastAsia="SimSun" w:cs="SimSun"/>
          <w:sz w:val="24"/>
          <w:szCs w:val="24"/>
        </w:rPr>
      </w:pPr>
      <w:r>
        <w:rPr>
          <w:rFonts w:ascii="SimSun" w:hAnsi="SimSun" w:eastAsia="SimSun" w:cs="SimSun"/>
          <w:sz w:val="24"/>
          <w:szCs w:val="24"/>
        </w:rPr>
        <w:t>本项目厂区内设生活垃圾集中收集设施，定期交由</w:t>
      </w:r>
      <w:r>
        <w:rPr>
          <w:rFonts w:ascii="SimSun" w:hAnsi="SimSun" w:eastAsia="SimSun" w:cs="SimSun"/>
          <w:sz w:val="24"/>
          <w:szCs w:val="24"/>
          <w:spacing w:val="-1"/>
        </w:rPr>
        <w:t>环卫部门处理，措施可行。</w:t>
      </w:r>
    </w:p>
    <w:p>
      <w:pPr>
        <w:ind w:left="11"/>
        <w:spacing w:before="192" w:line="221" w:lineRule="auto"/>
        <w:outlineLvl w:val="1"/>
        <w:rPr>
          <w:rFonts w:ascii="SimHei" w:hAnsi="SimHei" w:eastAsia="SimHei" w:cs="SimHei"/>
          <w:sz w:val="30"/>
          <w:szCs w:val="30"/>
        </w:rPr>
      </w:pPr>
      <w:bookmarkStart w:name="bookmark163" w:id="196"/>
      <w:bookmarkEnd w:id="196"/>
      <w:r>
        <w:rPr>
          <w:rFonts w:ascii="Times New Roman" w:hAnsi="Times New Roman" w:eastAsia="Times New Roman" w:cs="Times New Roman"/>
          <w:sz w:val="30"/>
          <w:szCs w:val="30"/>
          <w:spacing w:val="-2"/>
        </w:rPr>
        <w:t>7.5 </w:t>
      </w:r>
      <w:r>
        <w:rPr>
          <w:rFonts w:ascii="SimHei" w:hAnsi="SimHei" w:eastAsia="SimHei" w:cs="SimHei"/>
          <w:sz w:val="30"/>
          <w:szCs w:val="30"/>
          <w:spacing w:val="-2"/>
        </w:rPr>
        <w:t>土壤污染防治措施</w:t>
      </w:r>
    </w:p>
    <w:p>
      <w:pPr>
        <w:pStyle w:val="BodyText"/>
        <w:spacing w:line="292" w:lineRule="auto"/>
        <w:rPr/>
      </w:pPr>
      <w:r/>
    </w:p>
    <w:p>
      <w:pPr>
        <w:ind w:left="10" w:right="136" w:firstLine="479"/>
        <w:spacing w:before="78" w:line="360" w:lineRule="auto"/>
        <w:rPr>
          <w:rFonts w:ascii="SimSun" w:hAnsi="SimSun" w:eastAsia="SimSun" w:cs="SimSun"/>
          <w:sz w:val="24"/>
          <w:szCs w:val="24"/>
        </w:rPr>
      </w:pPr>
      <w:r>
        <w:rPr>
          <w:rFonts w:ascii="SimSun" w:hAnsi="SimSun" w:eastAsia="SimSun" w:cs="SimSun"/>
          <w:sz w:val="24"/>
          <w:szCs w:val="24"/>
          <w:spacing w:val="-2"/>
        </w:rPr>
        <w:t>根据《环境影响评价技术导则 土壤环境（试行）》（</w:t>
      </w:r>
      <w:r>
        <w:rPr>
          <w:rFonts w:ascii="Times New Roman" w:hAnsi="Times New Roman" w:eastAsia="Times New Roman" w:cs="Times New Roman"/>
          <w:sz w:val="24"/>
          <w:szCs w:val="24"/>
          <w:spacing w:val="-2"/>
        </w:rPr>
        <w:t>HJ964-2018</w:t>
      </w:r>
      <w:r>
        <w:rPr>
          <w:rFonts w:ascii="SimSun" w:hAnsi="SimSun" w:eastAsia="SimSun" w:cs="SimSun"/>
          <w:sz w:val="24"/>
          <w:szCs w:val="24"/>
          <w:spacing w:val="-2"/>
        </w:rPr>
        <w:t>）的要求，</w:t>
      </w:r>
      <w:r>
        <w:rPr>
          <w:rFonts w:ascii="SimSun" w:hAnsi="SimSun" w:eastAsia="SimSun" w:cs="SimSun"/>
          <w:sz w:val="24"/>
          <w:szCs w:val="24"/>
          <w:spacing w:val="8"/>
        </w:rPr>
        <w:t xml:space="preserve"> </w:t>
      </w:r>
      <w:r>
        <w:rPr>
          <w:rFonts w:ascii="SimSun" w:hAnsi="SimSun" w:eastAsia="SimSun" w:cs="SimSun"/>
          <w:sz w:val="24"/>
          <w:szCs w:val="24"/>
        </w:rPr>
        <w:t>土壤污染防治措施主要包括源头控制措施、过程控</w:t>
      </w:r>
      <w:r>
        <w:rPr>
          <w:rFonts w:ascii="SimSun" w:hAnsi="SimSun" w:eastAsia="SimSun" w:cs="SimSun"/>
          <w:sz w:val="24"/>
          <w:szCs w:val="24"/>
          <w:spacing w:val="-1"/>
        </w:rPr>
        <w:t>制措施以及跟踪监测计划。</w:t>
      </w:r>
    </w:p>
    <w:p>
      <w:pPr>
        <w:ind w:left="10"/>
        <w:spacing w:before="121" w:line="222" w:lineRule="auto"/>
        <w:outlineLvl w:val="2"/>
        <w:rPr>
          <w:rFonts w:ascii="SimHei" w:hAnsi="SimHei" w:eastAsia="SimHei" w:cs="SimHei"/>
          <w:sz w:val="28"/>
          <w:szCs w:val="28"/>
        </w:rPr>
      </w:pPr>
      <w:bookmarkStart w:name="bookmark164" w:id="197"/>
      <w:bookmarkEnd w:id="197"/>
      <w:r>
        <w:rPr>
          <w:rFonts w:ascii="Times New Roman" w:hAnsi="Times New Roman" w:eastAsia="Times New Roman" w:cs="Times New Roman"/>
          <w:sz w:val="28"/>
          <w:szCs w:val="28"/>
          <w:spacing w:val="-1"/>
        </w:rPr>
        <w:t>7.5.1 </w:t>
      </w:r>
      <w:r>
        <w:rPr>
          <w:rFonts w:ascii="SimHei" w:hAnsi="SimHei" w:eastAsia="SimHei" w:cs="SimHei"/>
          <w:sz w:val="28"/>
          <w:szCs w:val="28"/>
          <w:spacing w:val="-1"/>
        </w:rPr>
        <w:t>源头控制措施</w:t>
      </w:r>
    </w:p>
    <w:p>
      <w:pPr>
        <w:pStyle w:val="BodyText"/>
        <w:spacing w:line="243" w:lineRule="auto"/>
        <w:rPr/>
      </w:pPr>
      <w:r/>
    </w:p>
    <w:p>
      <w:pPr>
        <w:ind w:left="9" w:right="78" w:firstLine="480"/>
        <w:spacing w:before="79" w:line="359" w:lineRule="auto"/>
        <w:rPr>
          <w:rFonts w:ascii="SimSun" w:hAnsi="SimSun" w:eastAsia="SimSun" w:cs="SimSun"/>
          <w:sz w:val="24"/>
          <w:szCs w:val="24"/>
        </w:rPr>
      </w:pPr>
      <w:r>
        <w:rPr>
          <w:rFonts w:ascii="SimSun" w:hAnsi="SimSun" w:eastAsia="SimSun" w:cs="SimSun"/>
          <w:sz w:val="24"/>
          <w:szCs w:val="24"/>
          <w:spacing w:val="3"/>
        </w:rPr>
        <w:t>本工程土壤污染源头控制措施主要是减少项目废气、废水、固废</w:t>
      </w:r>
      <w:r>
        <w:rPr>
          <w:rFonts w:ascii="SimSun" w:hAnsi="SimSun" w:eastAsia="SimSun" w:cs="SimSun"/>
          <w:sz w:val="24"/>
          <w:szCs w:val="24"/>
          <w:spacing w:val="2"/>
        </w:rPr>
        <w:t>等污染物的</w:t>
      </w:r>
      <w:r>
        <w:rPr>
          <w:rFonts w:ascii="SimSun" w:hAnsi="SimSun" w:eastAsia="SimSun" w:cs="SimSun"/>
          <w:sz w:val="24"/>
          <w:szCs w:val="24"/>
        </w:rPr>
        <w:t xml:space="preserve"> </w:t>
      </w:r>
      <w:r>
        <w:rPr>
          <w:rFonts w:ascii="SimSun" w:hAnsi="SimSun" w:eastAsia="SimSun" w:cs="SimSun"/>
          <w:sz w:val="24"/>
          <w:szCs w:val="24"/>
          <w:spacing w:val="-1"/>
        </w:rPr>
        <w:t>产生及排放量，主要提出如下措施：</w:t>
      </w:r>
    </w:p>
    <w:p>
      <w:pPr>
        <w:ind w:left="9" w:right="80" w:firstLine="479"/>
        <w:spacing w:before="2" w:line="288" w:lineRule="auto"/>
        <w:rPr>
          <w:rFonts w:ascii="SimSun" w:hAnsi="SimSun" w:eastAsia="SimSun" w:cs="SimSun"/>
          <w:sz w:val="24"/>
          <w:szCs w:val="24"/>
        </w:rPr>
      </w:pPr>
      <w:r>
        <w:rPr>
          <w:rFonts w:ascii="SimSun" w:hAnsi="SimSun" w:eastAsia="SimSun" w:cs="SimSun"/>
          <w:sz w:val="24"/>
          <w:szCs w:val="24"/>
          <w:spacing w:val="3"/>
        </w:rPr>
        <w:t>①企业应加强对废气治理措施的管理和维护，确保各污染物达</w:t>
      </w:r>
      <w:r>
        <w:rPr>
          <w:rFonts w:ascii="SimSun" w:hAnsi="SimSun" w:eastAsia="SimSun" w:cs="SimSun"/>
          <w:sz w:val="24"/>
          <w:szCs w:val="24"/>
          <w:spacing w:val="2"/>
        </w:rPr>
        <w:t>标排放，有效</w:t>
      </w:r>
      <w:r>
        <w:rPr>
          <w:rFonts w:ascii="SimSun" w:hAnsi="SimSun" w:eastAsia="SimSun" w:cs="SimSun"/>
          <w:sz w:val="24"/>
          <w:szCs w:val="24"/>
        </w:rPr>
        <w:t xml:space="preserve"> </w:t>
      </w:r>
      <w:r>
        <w:rPr>
          <w:rFonts w:ascii="SimSun" w:hAnsi="SimSun" w:eastAsia="SimSun" w:cs="SimSun"/>
          <w:sz w:val="24"/>
          <w:szCs w:val="24"/>
          <w:spacing w:val="-1"/>
        </w:rPr>
        <w:t>减少废气污染物通过沉降或降水进入土壤的量。</w:t>
      </w:r>
    </w:p>
    <w:p>
      <w:pPr>
        <w:ind w:left="9" w:right="18" w:firstLine="478"/>
        <w:spacing w:before="182" w:line="336" w:lineRule="auto"/>
        <w:rPr>
          <w:rFonts w:ascii="SimSun" w:hAnsi="SimSun" w:eastAsia="SimSun" w:cs="SimSun"/>
          <w:sz w:val="24"/>
          <w:szCs w:val="24"/>
        </w:rPr>
      </w:pPr>
      <w:r>
        <w:rPr>
          <w:rFonts w:ascii="SimSun" w:hAnsi="SimSun" w:eastAsia="SimSun" w:cs="SimSun"/>
          <w:sz w:val="24"/>
          <w:szCs w:val="24"/>
          <w:spacing w:val="-3"/>
        </w:rPr>
        <w:t>②企业应采用先进的工艺技术，减少生产废水的产生量；若发生泄漏事故时，</w:t>
      </w:r>
      <w:r>
        <w:rPr>
          <w:rFonts w:ascii="SimSun" w:hAnsi="SimSun" w:eastAsia="SimSun" w:cs="SimSun"/>
          <w:sz w:val="24"/>
          <w:szCs w:val="24"/>
          <w:spacing w:val="18"/>
        </w:rPr>
        <w:t xml:space="preserve"> </w:t>
      </w:r>
      <w:r>
        <w:rPr>
          <w:rFonts w:ascii="SimSun" w:hAnsi="SimSun" w:eastAsia="SimSun" w:cs="SimSun"/>
          <w:sz w:val="24"/>
          <w:szCs w:val="24"/>
          <w:spacing w:val="3"/>
        </w:rPr>
        <w:t>应马上将泄漏的污水切换至事故池，避免或减少地面漫</w:t>
      </w:r>
      <w:r>
        <w:rPr>
          <w:rFonts w:ascii="SimSun" w:hAnsi="SimSun" w:eastAsia="SimSun" w:cs="SimSun"/>
          <w:sz w:val="24"/>
          <w:szCs w:val="24"/>
          <w:spacing w:val="2"/>
        </w:rPr>
        <w:t>流量，对产生的地面漫流</w:t>
      </w:r>
      <w:r>
        <w:rPr>
          <w:rFonts w:ascii="SimSun" w:hAnsi="SimSun" w:eastAsia="SimSun" w:cs="SimSun"/>
          <w:sz w:val="24"/>
          <w:szCs w:val="24"/>
        </w:rPr>
        <w:t xml:space="preserve"> </w:t>
      </w:r>
      <w:r>
        <w:rPr>
          <w:rFonts w:ascii="SimSun" w:hAnsi="SimSun" w:eastAsia="SimSun" w:cs="SimSun"/>
          <w:sz w:val="24"/>
          <w:szCs w:val="24"/>
          <w:spacing w:val="3"/>
        </w:rPr>
        <w:t>量应及时清理，若漫流处已发生地面破损，应尽快将破</w:t>
      </w:r>
      <w:r>
        <w:rPr>
          <w:rFonts w:ascii="SimSun" w:hAnsi="SimSun" w:eastAsia="SimSun" w:cs="SimSun"/>
          <w:sz w:val="24"/>
          <w:szCs w:val="24"/>
          <w:spacing w:val="2"/>
        </w:rPr>
        <w:t>损处的土壤挖除并找有资</w:t>
      </w:r>
      <w:r>
        <w:rPr>
          <w:rFonts w:ascii="SimSun" w:hAnsi="SimSun" w:eastAsia="SimSun" w:cs="SimSun"/>
          <w:sz w:val="24"/>
          <w:szCs w:val="24"/>
        </w:rPr>
        <w:t xml:space="preserve"> </w:t>
      </w:r>
      <w:r>
        <w:rPr>
          <w:rFonts w:ascii="SimSun" w:hAnsi="SimSun" w:eastAsia="SimSun" w:cs="SimSun"/>
          <w:sz w:val="24"/>
          <w:szCs w:val="24"/>
          <w:spacing w:val="3"/>
        </w:rPr>
        <w:t>质单位处置，避免污染更深的土壤；若发生污水池底部</w:t>
      </w:r>
      <w:r>
        <w:rPr>
          <w:rFonts w:ascii="SimSun" w:hAnsi="SimSun" w:eastAsia="SimSun" w:cs="SimSun"/>
          <w:sz w:val="24"/>
          <w:szCs w:val="24"/>
          <w:spacing w:val="2"/>
        </w:rPr>
        <w:t>发生垂直下渗，在修复破</w:t>
      </w:r>
      <w:r>
        <w:rPr>
          <w:rFonts w:ascii="SimSun" w:hAnsi="SimSun" w:eastAsia="SimSun" w:cs="SimSun"/>
          <w:sz w:val="24"/>
          <w:szCs w:val="24"/>
        </w:rPr>
        <w:t xml:space="preserve"> </w:t>
      </w:r>
      <w:r>
        <w:rPr>
          <w:rFonts w:ascii="SimSun" w:hAnsi="SimSun" w:eastAsia="SimSun" w:cs="SimSun"/>
          <w:sz w:val="24"/>
          <w:szCs w:val="24"/>
          <w:spacing w:val="3"/>
        </w:rPr>
        <w:t>损的防渗层之前，应将垂直下渗污染的土壤挖除找有资</w:t>
      </w:r>
      <w:r>
        <w:rPr>
          <w:rFonts w:ascii="SimSun" w:hAnsi="SimSun" w:eastAsia="SimSun" w:cs="SimSun"/>
          <w:sz w:val="24"/>
          <w:szCs w:val="24"/>
          <w:spacing w:val="2"/>
        </w:rPr>
        <w:t>质单位处置，避免污染更</w:t>
      </w:r>
      <w:r>
        <w:rPr>
          <w:rFonts w:ascii="SimSun" w:hAnsi="SimSun" w:eastAsia="SimSun" w:cs="SimSun"/>
          <w:sz w:val="24"/>
          <w:szCs w:val="24"/>
        </w:rPr>
        <w:t xml:space="preserve"> </w:t>
      </w:r>
      <w:r>
        <w:rPr>
          <w:rFonts w:ascii="SimSun" w:hAnsi="SimSun" w:eastAsia="SimSun" w:cs="SimSun"/>
          <w:sz w:val="24"/>
          <w:szCs w:val="24"/>
          <w:spacing w:val="-2"/>
        </w:rPr>
        <w:t>深的土壤。</w:t>
      </w:r>
    </w:p>
    <w:p>
      <w:pPr>
        <w:ind w:left="11" w:right="80" w:firstLine="476"/>
        <w:spacing w:before="180" w:line="290" w:lineRule="auto"/>
        <w:rPr>
          <w:rFonts w:ascii="SimSun" w:hAnsi="SimSun" w:eastAsia="SimSun" w:cs="SimSun"/>
          <w:sz w:val="24"/>
          <w:szCs w:val="24"/>
        </w:rPr>
      </w:pPr>
      <w:r>
        <w:rPr>
          <w:rFonts w:ascii="SimSun" w:hAnsi="SimSun" w:eastAsia="SimSun" w:cs="SimSun"/>
          <w:sz w:val="24"/>
          <w:szCs w:val="24"/>
          <w:spacing w:val="3"/>
        </w:rPr>
        <w:t>③企业应采用先进的工艺技术，减少固废的产生量，并提高固废</w:t>
      </w:r>
      <w:r>
        <w:rPr>
          <w:rFonts w:ascii="SimSun" w:hAnsi="SimSun" w:eastAsia="SimSun" w:cs="SimSun"/>
          <w:sz w:val="24"/>
          <w:szCs w:val="24"/>
          <w:spacing w:val="2"/>
        </w:rPr>
        <w:t>的综合利用</w:t>
      </w:r>
      <w:r>
        <w:rPr>
          <w:rFonts w:ascii="SimSun" w:hAnsi="SimSun" w:eastAsia="SimSun" w:cs="SimSun"/>
          <w:sz w:val="24"/>
          <w:szCs w:val="24"/>
        </w:rPr>
        <w:t xml:space="preserve"> </w:t>
      </w:r>
      <w:r>
        <w:rPr>
          <w:rFonts w:ascii="SimSun" w:hAnsi="SimSun" w:eastAsia="SimSun" w:cs="SimSun"/>
          <w:sz w:val="24"/>
          <w:szCs w:val="24"/>
        </w:rPr>
        <w:t>率，减少固废的堆存量，固废堆存应入库，库房</w:t>
      </w:r>
      <w:r>
        <w:rPr>
          <w:rFonts w:ascii="SimSun" w:hAnsi="SimSun" w:eastAsia="SimSun" w:cs="SimSun"/>
          <w:sz w:val="24"/>
          <w:szCs w:val="24"/>
          <w:spacing w:val="-1"/>
        </w:rPr>
        <w:t>内设置防渗，避免露天堆放。</w:t>
      </w:r>
    </w:p>
    <w:p>
      <w:pPr>
        <w:spacing w:before="180" w:line="217" w:lineRule="auto"/>
        <w:jc w:val="right"/>
        <w:rPr>
          <w:rFonts w:ascii="SimSun" w:hAnsi="SimSun" w:eastAsia="SimSun" w:cs="SimSun"/>
          <w:sz w:val="24"/>
          <w:szCs w:val="24"/>
        </w:rPr>
      </w:pPr>
      <w:r>
        <w:rPr>
          <w:rFonts w:ascii="SimSun" w:hAnsi="SimSun" w:eastAsia="SimSun" w:cs="SimSun"/>
          <w:sz w:val="24"/>
          <w:szCs w:val="24"/>
          <w:spacing w:val="-3"/>
        </w:rPr>
        <w:t>④加强对厂区机械设备的日常管理，减小“跑、冒、滴、漏</w:t>
      </w:r>
      <w:r>
        <w:rPr>
          <w:rFonts w:ascii="SimSun" w:hAnsi="SimSun" w:eastAsia="SimSun" w:cs="SimSun"/>
          <w:sz w:val="24"/>
          <w:szCs w:val="24"/>
          <w:spacing w:val="-84"/>
        </w:rPr>
        <w:t xml:space="preserve"> </w:t>
      </w:r>
      <w:r>
        <w:rPr>
          <w:rFonts w:ascii="SimSun" w:hAnsi="SimSun" w:eastAsia="SimSun" w:cs="SimSun"/>
          <w:sz w:val="24"/>
          <w:szCs w:val="24"/>
          <w:spacing w:val="-3"/>
        </w:rPr>
        <w:t>”，减小下渗量。</w:t>
      </w:r>
    </w:p>
    <w:p>
      <w:pPr>
        <w:ind w:left="9" w:firstLine="478"/>
        <w:spacing w:before="188" w:line="312" w:lineRule="auto"/>
        <w:rPr>
          <w:rFonts w:ascii="SimSun" w:hAnsi="SimSun" w:eastAsia="SimSun" w:cs="SimSun"/>
          <w:sz w:val="24"/>
          <w:szCs w:val="24"/>
        </w:rPr>
      </w:pPr>
      <w:r>
        <w:rPr>
          <w:rFonts w:ascii="SimSun" w:hAnsi="SimSun" w:eastAsia="SimSun" w:cs="SimSun"/>
          <w:sz w:val="24"/>
          <w:szCs w:val="24"/>
          <w:spacing w:val="3"/>
        </w:rPr>
        <w:t>⑤严格按照国家相关规范要求，对工艺、管道、设备、污水储存</w:t>
      </w:r>
      <w:r>
        <w:rPr>
          <w:rFonts w:ascii="SimSun" w:hAnsi="SimSun" w:eastAsia="SimSun" w:cs="SimSun"/>
          <w:sz w:val="24"/>
          <w:szCs w:val="24"/>
          <w:spacing w:val="2"/>
        </w:rPr>
        <w:t>及处理构筑</w:t>
      </w:r>
      <w:r>
        <w:rPr>
          <w:rFonts w:ascii="SimSun" w:hAnsi="SimSun" w:eastAsia="SimSun" w:cs="SimSun"/>
          <w:sz w:val="24"/>
          <w:szCs w:val="24"/>
        </w:rPr>
        <w:t xml:space="preserve"> </w:t>
      </w:r>
      <w:r>
        <w:rPr>
          <w:rFonts w:ascii="SimSun" w:hAnsi="SimSun" w:eastAsia="SimSun" w:cs="SimSun"/>
          <w:sz w:val="24"/>
          <w:szCs w:val="24"/>
          <w:spacing w:val="-2"/>
        </w:rPr>
        <w:t>物采取相应的措施并对运输车辆实行密闭措施，以防止和降低可能污染物的“跑、</w:t>
      </w:r>
      <w:r>
        <w:rPr>
          <w:rFonts w:ascii="SimSun" w:hAnsi="SimSun" w:eastAsia="SimSun" w:cs="SimSun"/>
          <w:sz w:val="24"/>
          <w:szCs w:val="24"/>
          <w:spacing w:val="5"/>
        </w:rPr>
        <w:t xml:space="preserve"> </w:t>
      </w:r>
      <w:r>
        <w:rPr>
          <w:rFonts w:ascii="SimSun" w:hAnsi="SimSun" w:eastAsia="SimSun" w:cs="SimSun"/>
          <w:sz w:val="24"/>
          <w:szCs w:val="24"/>
          <w:spacing w:val="-2"/>
        </w:rPr>
        <w:t>冒、滴、漏</w:t>
      </w:r>
      <w:r>
        <w:rPr>
          <w:rFonts w:ascii="SimSun" w:hAnsi="SimSun" w:eastAsia="SimSun" w:cs="SimSun"/>
          <w:sz w:val="24"/>
          <w:szCs w:val="24"/>
          <w:spacing w:val="-75"/>
        </w:rPr>
        <w:t xml:space="preserve"> </w:t>
      </w:r>
      <w:r>
        <w:rPr>
          <w:rFonts w:ascii="SimSun" w:hAnsi="SimSun" w:eastAsia="SimSun" w:cs="SimSun"/>
          <w:sz w:val="24"/>
          <w:szCs w:val="24"/>
          <w:spacing w:val="-2"/>
        </w:rPr>
        <w:t>”，将污染物泄漏的环境风险事故降低到最低程度。</w:t>
      </w:r>
    </w:p>
    <w:p>
      <w:pPr>
        <w:ind w:left="10"/>
        <w:spacing w:before="305" w:line="222" w:lineRule="auto"/>
        <w:outlineLvl w:val="2"/>
        <w:rPr>
          <w:rFonts w:ascii="SimHei" w:hAnsi="SimHei" w:eastAsia="SimHei" w:cs="SimHei"/>
          <w:sz w:val="28"/>
          <w:szCs w:val="28"/>
        </w:rPr>
      </w:pPr>
      <w:bookmarkStart w:name="bookmark165" w:id="198"/>
      <w:bookmarkEnd w:id="198"/>
      <w:r>
        <w:rPr>
          <w:rFonts w:ascii="Times New Roman" w:hAnsi="Times New Roman" w:eastAsia="Times New Roman" w:cs="Times New Roman"/>
          <w:sz w:val="28"/>
          <w:szCs w:val="28"/>
          <w:spacing w:val="-1"/>
        </w:rPr>
        <w:t>7.5.2 </w:t>
      </w:r>
      <w:r>
        <w:rPr>
          <w:rFonts w:ascii="SimHei" w:hAnsi="SimHei" w:eastAsia="SimHei" w:cs="SimHei"/>
          <w:sz w:val="28"/>
          <w:szCs w:val="28"/>
          <w:spacing w:val="-1"/>
        </w:rPr>
        <w:t>过程防控措施</w:t>
      </w:r>
    </w:p>
    <w:p>
      <w:pPr>
        <w:pStyle w:val="BodyText"/>
        <w:spacing w:line="244" w:lineRule="auto"/>
        <w:rPr/>
      </w:pPr>
      <w:r/>
    </w:p>
    <w:p>
      <w:pPr>
        <w:ind w:left="493"/>
        <w:spacing w:before="79" w:line="219" w:lineRule="auto"/>
        <w:rPr>
          <w:rFonts w:ascii="SimSun" w:hAnsi="SimSun" w:eastAsia="SimSun" w:cs="SimSun"/>
          <w:sz w:val="24"/>
          <w:szCs w:val="24"/>
        </w:rPr>
      </w:pPr>
      <w:r>
        <w:rPr>
          <w:rFonts w:ascii="SimSun" w:hAnsi="SimSun" w:eastAsia="SimSun" w:cs="SimSun"/>
          <w:sz w:val="24"/>
          <w:szCs w:val="24"/>
          <w:spacing w:val="-1"/>
        </w:rPr>
        <w:t>项目针对土壤污染的途径提出相应的过程控制措施：</w:t>
      </w:r>
    </w:p>
    <w:p>
      <w:pPr>
        <w:ind w:left="501"/>
        <w:spacing w:before="183"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）应对厂区土壤裸露区进行硬化，未硬化区进行绿化，绿化区</w:t>
      </w:r>
      <w:r>
        <w:rPr>
          <w:rFonts w:ascii="SimSun" w:hAnsi="SimSun" w:eastAsia="SimSun" w:cs="SimSun"/>
          <w:sz w:val="24"/>
          <w:szCs w:val="24"/>
          <w:spacing w:val="-2"/>
        </w:rPr>
        <w:t>以种植具有</w:t>
      </w:r>
    </w:p>
    <w:p>
      <w:pPr>
        <w:pStyle w:val="BodyText"/>
        <w:spacing w:line="356" w:lineRule="auto"/>
        <w:rPr/>
      </w:pPr>
      <w:r/>
    </w:p>
    <w:p>
      <w:pPr>
        <w:ind w:left="7"/>
        <w:spacing w:before="62" w:line="227" w:lineRule="auto"/>
        <w:rPr>
          <w:rFonts w:ascii="SimSun" w:hAnsi="SimSun" w:eastAsia="SimSun" w:cs="SimSun"/>
          <w:sz w:val="19"/>
          <w:szCs w:val="19"/>
        </w:rPr>
      </w:pPr>
      <w:r>
        <w:pict>
          <v:shape id="_x0000_s1274" style="position:absolute;margin-left:159.33pt;margin-top:2.09348pt;mso-position-vertical-relative:text;mso-position-horizontal-relative:text;width:61pt;height:13.75pt;z-index:25234944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283</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1"/>
          <w:footerReference w:type="default" r:id="rId3"/>
          <w:pgSz w:w="11907" w:h="16840"/>
          <w:pgMar w:top="1567" w:right="1621" w:bottom="400" w:left="1701" w:header="1221" w:footer="0" w:gutter="0"/>
        </w:sectPr>
        <w:rPr>
          <w:rFonts w:ascii="SimSun" w:hAnsi="SimSun" w:eastAsia="SimSun" w:cs="SimSun"/>
          <w:sz w:val="19"/>
          <w:szCs w:val="19"/>
        </w:rPr>
      </w:pPr>
    </w:p>
    <w:p>
      <w:pPr>
        <w:ind w:left="12" w:hanging="3"/>
        <w:spacing w:before="167" w:line="359" w:lineRule="auto"/>
        <w:jc w:val="both"/>
        <w:rPr>
          <w:rFonts w:ascii="SimSun" w:hAnsi="SimSun" w:eastAsia="SimSun" w:cs="SimSun"/>
          <w:sz w:val="24"/>
          <w:szCs w:val="24"/>
        </w:rPr>
      </w:pPr>
      <w:r>
        <w:pict>
          <v:shape id="_x0000_s1276" style="position:absolute;margin-left:85.05pt;margin-top:78.87pt;mso-position-vertical-relative:page;mso-position-horizontal-relative:page;width:425.25pt;height:0.75pt;z-index:252352512;" o:allowincell="f" fillcolor="#000000" filled="true" stroked="false" coordsize="8505,15" coordorigin="0,0" path="m,l8505,0l8505,14l0,14l0,0xe"/>
        </w:pict>
      </w:r>
      <w:r>
        <w:rPr>
          <w:rFonts w:ascii="SimSun" w:hAnsi="SimSun" w:eastAsia="SimSun" w:cs="SimSun"/>
          <w:sz w:val="24"/>
          <w:szCs w:val="24"/>
          <w:spacing w:val="3"/>
        </w:rPr>
        <w:t>较强吸附能力的植物为主，加大对废气污染物的吸附量</w:t>
      </w:r>
      <w:r>
        <w:rPr>
          <w:rFonts w:ascii="SimSun" w:hAnsi="SimSun" w:eastAsia="SimSun" w:cs="SimSun"/>
          <w:sz w:val="24"/>
          <w:szCs w:val="24"/>
          <w:spacing w:val="2"/>
        </w:rPr>
        <w:t>，减少最终进入土壤的污</w:t>
      </w:r>
      <w:r>
        <w:rPr>
          <w:rFonts w:ascii="SimSun" w:hAnsi="SimSun" w:eastAsia="SimSun" w:cs="SimSun"/>
          <w:sz w:val="24"/>
          <w:szCs w:val="24"/>
        </w:rPr>
        <w:t xml:space="preserve"> </w:t>
      </w:r>
      <w:r>
        <w:rPr>
          <w:rFonts w:ascii="SimSun" w:hAnsi="SimSun" w:eastAsia="SimSun" w:cs="SimSun"/>
          <w:sz w:val="24"/>
          <w:szCs w:val="24"/>
          <w:spacing w:val="3"/>
        </w:rPr>
        <w:t>染物量，从而减小对土壤的污染。在硬化区非硬</w:t>
      </w:r>
      <w:r>
        <w:rPr>
          <w:rFonts w:ascii="SimSun" w:hAnsi="SimSun" w:eastAsia="SimSun" w:cs="SimSun"/>
          <w:sz w:val="24"/>
          <w:szCs w:val="24"/>
          <w:spacing w:val="2"/>
        </w:rPr>
        <w:t>化区之间设置阻水带，防止泄漏</w:t>
      </w:r>
      <w:r>
        <w:rPr>
          <w:rFonts w:ascii="SimSun" w:hAnsi="SimSun" w:eastAsia="SimSun" w:cs="SimSun"/>
          <w:sz w:val="24"/>
          <w:szCs w:val="24"/>
        </w:rPr>
        <w:t xml:space="preserve"> </w:t>
      </w:r>
      <w:r>
        <w:rPr>
          <w:rFonts w:ascii="SimSun" w:hAnsi="SimSun" w:eastAsia="SimSun" w:cs="SimSun"/>
          <w:sz w:val="24"/>
          <w:szCs w:val="24"/>
          <w:spacing w:val="-2"/>
        </w:rPr>
        <w:t>的废水通过裸露区土壤下渗。</w:t>
      </w:r>
    </w:p>
    <w:p>
      <w:pPr>
        <w:ind w:left="10" w:right="2" w:firstLine="490"/>
        <w:spacing w:before="1" w:line="31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）企业应在可能发生泄漏的区域进行地面硬化，并设置围堰，</w:t>
      </w:r>
      <w:r>
        <w:rPr>
          <w:rFonts w:ascii="SimSun" w:hAnsi="SimSun" w:eastAsia="SimSun" w:cs="SimSun"/>
          <w:sz w:val="24"/>
          <w:szCs w:val="24"/>
          <w:spacing w:val="-2"/>
        </w:rPr>
        <w:t>把泄漏液体</w:t>
      </w:r>
      <w:r>
        <w:rPr>
          <w:rFonts w:ascii="SimSun" w:hAnsi="SimSun" w:eastAsia="SimSun" w:cs="SimSun"/>
          <w:sz w:val="24"/>
          <w:szCs w:val="24"/>
        </w:rPr>
        <w:t xml:space="preserve"> </w:t>
      </w:r>
      <w:r>
        <w:rPr>
          <w:rFonts w:ascii="SimSun" w:hAnsi="SimSun" w:eastAsia="SimSun" w:cs="SimSun"/>
          <w:sz w:val="24"/>
          <w:szCs w:val="24"/>
          <w:spacing w:val="3"/>
        </w:rPr>
        <w:t>尽量控制在小范围内，并及时导入事故池，减少</w:t>
      </w:r>
      <w:r>
        <w:rPr>
          <w:rFonts w:ascii="SimSun" w:hAnsi="SimSun" w:eastAsia="SimSun" w:cs="SimSun"/>
          <w:sz w:val="24"/>
          <w:szCs w:val="24"/>
          <w:spacing w:val="2"/>
        </w:rPr>
        <w:t>液体在地面的漫流面积及时间，</w:t>
      </w:r>
      <w:r>
        <w:rPr>
          <w:rFonts w:ascii="SimSun" w:hAnsi="SimSun" w:eastAsia="SimSun" w:cs="SimSun"/>
          <w:sz w:val="24"/>
          <w:szCs w:val="24"/>
        </w:rPr>
        <w:t xml:space="preserve"> </w:t>
      </w:r>
      <w:r>
        <w:rPr>
          <w:rFonts w:ascii="SimSun" w:hAnsi="SimSun" w:eastAsia="SimSun" w:cs="SimSun"/>
          <w:sz w:val="24"/>
          <w:szCs w:val="24"/>
          <w:spacing w:val="-2"/>
        </w:rPr>
        <w:t>以防止土壤环境污染。</w:t>
      </w:r>
    </w:p>
    <w:p>
      <w:pPr>
        <w:ind w:left="8" w:firstLine="492"/>
        <w:spacing w:before="181" w:line="331"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）为了防止污染物下渗污染土壤，企业应根据相关标准规范要</w:t>
      </w:r>
      <w:r>
        <w:rPr>
          <w:rFonts w:ascii="SimSun" w:hAnsi="SimSun" w:eastAsia="SimSun" w:cs="SimSun"/>
          <w:sz w:val="24"/>
          <w:szCs w:val="24"/>
          <w:spacing w:val="-2"/>
        </w:rPr>
        <w:t>求，对厂区</w:t>
      </w:r>
      <w:r>
        <w:rPr>
          <w:rFonts w:ascii="SimSun" w:hAnsi="SimSun" w:eastAsia="SimSun" w:cs="SimSun"/>
          <w:sz w:val="24"/>
          <w:szCs w:val="24"/>
        </w:rPr>
        <w:t xml:space="preserve"> </w:t>
      </w:r>
      <w:r>
        <w:rPr>
          <w:rFonts w:ascii="SimSun" w:hAnsi="SimSun" w:eastAsia="SimSun" w:cs="SimSun"/>
          <w:sz w:val="24"/>
          <w:szCs w:val="24"/>
          <w:spacing w:val="3"/>
        </w:rPr>
        <w:t>采取分区防渗措施，分区防渗措施参照地下水污染防渗措</w:t>
      </w:r>
      <w:r>
        <w:rPr>
          <w:rFonts w:ascii="SimSun" w:hAnsi="SimSun" w:eastAsia="SimSun" w:cs="SimSun"/>
          <w:sz w:val="24"/>
          <w:szCs w:val="24"/>
          <w:spacing w:val="2"/>
        </w:rPr>
        <w:t>施。厂区包气带防污性</w:t>
      </w:r>
      <w:r>
        <w:rPr>
          <w:rFonts w:ascii="SimSun" w:hAnsi="SimSun" w:eastAsia="SimSun" w:cs="SimSun"/>
          <w:sz w:val="24"/>
          <w:szCs w:val="24"/>
        </w:rPr>
        <w:t xml:space="preserve"> </w:t>
      </w:r>
      <w:r>
        <w:rPr>
          <w:rFonts w:ascii="SimSun" w:hAnsi="SimSun" w:eastAsia="SimSun" w:cs="SimSun"/>
          <w:sz w:val="24"/>
          <w:szCs w:val="24"/>
          <w:spacing w:val="3"/>
        </w:rPr>
        <w:t>能弱，刚性防渗层一旦破损，污染物很容易穿透包气带，</w:t>
      </w:r>
      <w:r>
        <w:rPr>
          <w:rFonts w:ascii="SimSun" w:hAnsi="SimSun" w:eastAsia="SimSun" w:cs="SimSun"/>
          <w:sz w:val="24"/>
          <w:szCs w:val="24"/>
          <w:spacing w:val="2"/>
        </w:rPr>
        <w:t>因此，要求企业在存放</w:t>
      </w:r>
      <w:r>
        <w:rPr>
          <w:rFonts w:ascii="SimSun" w:hAnsi="SimSun" w:eastAsia="SimSun" w:cs="SimSun"/>
          <w:sz w:val="24"/>
          <w:szCs w:val="24"/>
        </w:rPr>
        <w:t xml:space="preserve"> </w:t>
      </w:r>
      <w:r>
        <w:rPr>
          <w:rFonts w:ascii="SimSun" w:hAnsi="SimSun" w:eastAsia="SimSun" w:cs="SimSun"/>
          <w:sz w:val="24"/>
          <w:szCs w:val="24"/>
          <w:spacing w:val="3"/>
        </w:rPr>
        <w:t>有液体的半地下水池底部和侧面采用复合防渗结构进行防</w:t>
      </w:r>
      <w:r>
        <w:rPr>
          <w:rFonts w:ascii="SimSun" w:hAnsi="SimSun" w:eastAsia="SimSun" w:cs="SimSun"/>
          <w:sz w:val="24"/>
          <w:szCs w:val="24"/>
          <w:spacing w:val="2"/>
        </w:rPr>
        <w:t>渗，以增加刚性防渗结</w:t>
      </w:r>
      <w:r>
        <w:rPr>
          <w:rFonts w:ascii="SimSun" w:hAnsi="SimSun" w:eastAsia="SimSun" w:cs="SimSun"/>
          <w:sz w:val="24"/>
          <w:szCs w:val="24"/>
        </w:rPr>
        <w:t xml:space="preserve"> </w:t>
      </w:r>
      <w:r>
        <w:rPr>
          <w:rFonts w:ascii="SimSun" w:hAnsi="SimSun" w:eastAsia="SimSun" w:cs="SimSun"/>
          <w:sz w:val="24"/>
          <w:szCs w:val="24"/>
          <w:spacing w:val="-1"/>
        </w:rPr>
        <w:t>构破损后企业的应急反应时间。</w:t>
      </w:r>
    </w:p>
    <w:p>
      <w:pPr>
        <w:ind w:left="10"/>
        <w:spacing w:before="307" w:line="224" w:lineRule="auto"/>
        <w:outlineLvl w:val="2"/>
        <w:rPr>
          <w:rFonts w:ascii="SimHei" w:hAnsi="SimHei" w:eastAsia="SimHei" w:cs="SimHei"/>
          <w:sz w:val="28"/>
          <w:szCs w:val="28"/>
        </w:rPr>
      </w:pPr>
      <w:bookmarkStart w:name="bookmark166" w:id="199"/>
      <w:bookmarkEnd w:id="199"/>
      <w:r>
        <w:rPr>
          <w:rFonts w:ascii="Times New Roman" w:hAnsi="Times New Roman" w:eastAsia="Times New Roman" w:cs="Times New Roman"/>
          <w:sz w:val="28"/>
          <w:szCs w:val="28"/>
          <w:spacing w:val="-1"/>
        </w:rPr>
        <w:t>7.5.3 </w:t>
      </w:r>
      <w:r>
        <w:rPr>
          <w:rFonts w:ascii="SimHei" w:hAnsi="SimHei" w:eastAsia="SimHei" w:cs="SimHei"/>
          <w:sz w:val="28"/>
          <w:szCs w:val="28"/>
          <w:spacing w:val="-1"/>
        </w:rPr>
        <w:t>跟踪监测计划</w:t>
      </w:r>
    </w:p>
    <w:p>
      <w:pPr>
        <w:pStyle w:val="BodyText"/>
        <w:rPr/>
      </w:pPr>
      <w:r/>
    </w:p>
    <w:p>
      <w:pPr>
        <w:ind w:left="501"/>
        <w:spacing w:before="78" w:line="221"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）监测点位</w:t>
      </w:r>
    </w:p>
    <w:p>
      <w:pPr>
        <w:ind w:left="8" w:firstLine="482"/>
        <w:spacing w:before="180" w:line="359" w:lineRule="auto"/>
        <w:rPr>
          <w:rFonts w:ascii="SimSun" w:hAnsi="SimSun" w:eastAsia="SimSun" w:cs="SimSun"/>
          <w:sz w:val="24"/>
          <w:szCs w:val="24"/>
        </w:rPr>
      </w:pPr>
      <w:r>
        <w:rPr>
          <w:rFonts w:ascii="SimSun" w:hAnsi="SimSun" w:eastAsia="SimSun" w:cs="SimSun"/>
          <w:sz w:val="24"/>
          <w:szCs w:val="24"/>
          <w:spacing w:val="2"/>
        </w:rPr>
        <w:t>本次评价在西厂区内设</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2"/>
        </w:rPr>
        <w:t>2 </w:t>
      </w:r>
      <w:r>
        <w:rPr>
          <w:rFonts w:ascii="SimSun" w:hAnsi="SimSun" w:eastAsia="SimSun" w:cs="SimSun"/>
          <w:sz w:val="24"/>
          <w:szCs w:val="24"/>
          <w:spacing w:val="2"/>
        </w:rPr>
        <w:t>个监测点位（分别位于洗毛车间附近、厌氧发酵装</w:t>
      </w:r>
      <w:r>
        <w:rPr>
          <w:rFonts w:ascii="SimSun" w:hAnsi="SimSun" w:eastAsia="SimSun" w:cs="SimSun"/>
          <w:sz w:val="24"/>
          <w:szCs w:val="24"/>
        </w:rPr>
        <w:t xml:space="preserve"> </w:t>
      </w:r>
      <w:r>
        <w:rPr>
          <w:rFonts w:ascii="SimSun" w:hAnsi="SimSun" w:eastAsia="SimSun" w:cs="SimSun"/>
          <w:sz w:val="24"/>
          <w:szCs w:val="24"/>
          <w:spacing w:val="1"/>
        </w:rPr>
        <w:t>置附近）、东厂区内设</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个监测点位（分别位于洗毛车间附近</w:t>
      </w:r>
      <w:r>
        <w:rPr>
          <w:rFonts w:ascii="SimSun" w:hAnsi="SimSun" w:eastAsia="SimSun" w:cs="SimSun"/>
          <w:sz w:val="24"/>
          <w:szCs w:val="24"/>
          <w:spacing w:val="16"/>
        </w:rPr>
        <w:t>），</w:t>
      </w:r>
      <w:r>
        <w:rPr>
          <w:rFonts w:ascii="SimSun" w:hAnsi="SimSun" w:eastAsia="SimSun" w:cs="SimSun"/>
          <w:sz w:val="24"/>
          <w:szCs w:val="24"/>
          <w:spacing w:val="1"/>
        </w:rPr>
        <w:t>西厂区南部东</w:t>
      </w:r>
      <w:r>
        <w:rPr>
          <w:rFonts w:ascii="SimSun" w:hAnsi="SimSun" w:eastAsia="SimSun" w:cs="SimSun"/>
          <w:sz w:val="24"/>
          <w:szCs w:val="24"/>
        </w:rPr>
        <w:t xml:space="preserve"> </w:t>
      </w:r>
      <w:r>
        <w:rPr>
          <w:rFonts w:ascii="SimSun" w:hAnsi="SimSun" w:eastAsia="SimSun" w:cs="SimSun"/>
          <w:sz w:val="24"/>
          <w:szCs w:val="24"/>
          <w:spacing w:val="-2"/>
        </w:rPr>
        <w:t>草地设</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个监测点位、东厂区东侧耕地设</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个监测点位，共计</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 </w:t>
      </w:r>
      <w:r>
        <w:rPr>
          <w:rFonts w:ascii="SimSun" w:hAnsi="SimSun" w:eastAsia="SimSun" w:cs="SimSun"/>
          <w:sz w:val="24"/>
          <w:szCs w:val="24"/>
          <w:spacing w:val="-2"/>
        </w:rPr>
        <w:t>个监测</w:t>
      </w:r>
      <w:r>
        <w:rPr>
          <w:rFonts w:ascii="SimSun" w:hAnsi="SimSun" w:eastAsia="SimSun" w:cs="SimSun"/>
          <w:sz w:val="24"/>
          <w:szCs w:val="24"/>
          <w:spacing w:val="-3"/>
        </w:rPr>
        <w:t>点位。</w:t>
      </w:r>
    </w:p>
    <w:p>
      <w:pPr>
        <w:ind w:left="501"/>
        <w:spacing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）监测指标</w:t>
      </w:r>
    </w:p>
    <w:p>
      <w:pPr>
        <w:ind w:left="492"/>
        <w:spacing w:before="179" w:line="212" w:lineRule="auto"/>
        <w:rPr>
          <w:rFonts w:ascii="SimSun" w:hAnsi="SimSun" w:eastAsia="SimSun" w:cs="SimSun"/>
          <w:sz w:val="24"/>
          <w:szCs w:val="24"/>
        </w:rPr>
      </w:pPr>
      <w:r>
        <w:rPr>
          <w:rFonts w:ascii="SimSun" w:hAnsi="SimSun" w:eastAsia="SimSun" w:cs="SimSun"/>
          <w:sz w:val="24"/>
          <w:szCs w:val="24"/>
          <w:spacing w:val="-2"/>
        </w:rPr>
        <w:t>厂区内监测点：</w:t>
      </w:r>
      <w:r>
        <w:rPr>
          <w:rFonts w:ascii="Times New Roman" w:hAnsi="Times New Roman" w:eastAsia="Times New Roman" w:cs="Times New Roman"/>
          <w:sz w:val="24"/>
          <w:szCs w:val="24"/>
          <w:spacing w:val="-2"/>
        </w:rPr>
        <w:t>GB36600 </w:t>
      </w:r>
      <w:r>
        <w:rPr>
          <w:rFonts w:ascii="SimSun" w:hAnsi="SimSun" w:eastAsia="SimSun" w:cs="SimSun"/>
          <w:sz w:val="24"/>
          <w:szCs w:val="24"/>
          <w:spacing w:val="-2"/>
        </w:rPr>
        <w:t>基本因子</w:t>
      </w:r>
      <w:r>
        <w:rPr>
          <w:rFonts w:ascii="Times New Roman" w:hAnsi="Times New Roman" w:eastAsia="Times New Roman" w:cs="Times New Roman"/>
          <w:sz w:val="24"/>
          <w:szCs w:val="24"/>
          <w:spacing w:val="-2"/>
        </w:rPr>
        <w:t>+pH</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2"/>
        </w:rPr>
        <w:t>、石油烃（</w:t>
      </w:r>
      <w:r>
        <w:rPr>
          <w:rFonts w:ascii="Times New Roman" w:hAnsi="Times New Roman" w:eastAsia="Times New Roman" w:cs="Times New Roman"/>
          <w:sz w:val="24"/>
          <w:szCs w:val="24"/>
          <w:spacing w:val="-2"/>
        </w:rPr>
        <w:t>C</w:t>
      </w:r>
      <w:r>
        <w:rPr>
          <w:rFonts w:ascii="Times New Roman" w:hAnsi="Times New Roman" w:eastAsia="Times New Roman" w:cs="Times New Roman"/>
          <w:sz w:val="15"/>
          <w:szCs w:val="15"/>
          <w:spacing w:val="-2"/>
        </w:rPr>
        <w:t>10</w:t>
      </w:r>
      <w:r>
        <w:rPr>
          <w:rFonts w:ascii="Times New Roman" w:hAnsi="Times New Roman" w:eastAsia="Times New Roman" w:cs="Times New Roman"/>
          <w:sz w:val="24"/>
          <w:szCs w:val="24"/>
          <w:spacing w:val="-2"/>
        </w:rPr>
        <w:t>-C</w:t>
      </w:r>
      <w:r>
        <w:rPr>
          <w:rFonts w:ascii="Times New Roman" w:hAnsi="Times New Roman" w:eastAsia="Times New Roman" w:cs="Times New Roman"/>
          <w:sz w:val="15"/>
          <w:szCs w:val="15"/>
          <w:spacing w:val="-2"/>
          <w:position w:val="-1"/>
        </w:rPr>
        <w:t>40 </w:t>
      </w:r>
      <w:r>
        <w:rPr>
          <w:rFonts w:ascii="SimSun" w:hAnsi="SimSun" w:eastAsia="SimSun" w:cs="SimSun"/>
          <w:sz w:val="24"/>
          <w:szCs w:val="24"/>
          <w:spacing w:val="-2"/>
        </w:rPr>
        <w:t>）等</w:t>
      </w:r>
    </w:p>
    <w:p>
      <w:pPr>
        <w:ind w:left="492"/>
        <w:spacing w:before="193" w:line="210" w:lineRule="auto"/>
        <w:rPr>
          <w:rFonts w:ascii="SimSun" w:hAnsi="SimSun" w:eastAsia="SimSun" w:cs="SimSun"/>
          <w:sz w:val="24"/>
          <w:szCs w:val="24"/>
        </w:rPr>
      </w:pPr>
      <w:r>
        <w:rPr>
          <w:rFonts w:ascii="SimSun" w:hAnsi="SimSun" w:eastAsia="SimSun" w:cs="SimSun"/>
          <w:sz w:val="24"/>
          <w:szCs w:val="24"/>
        </w:rPr>
        <w:t>厂区外监测点：</w:t>
      </w:r>
      <w:r>
        <w:rPr>
          <w:rFonts w:ascii="Times New Roman" w:hAnsi="Times New Roman" w:eastAsia="Times New Roman" w:cs="Times New Roman"/>
          <w:sz w:val="24"/>
          <w:szCs w:val="24"/>
        </w:rPr>
        <w:t>GB15618-2018 </w:t>
      </w:r>
      <w:r>
        <w:rPr>
          <w:rFonts w:ascii="SimSun" w:hAnsi="SimSun" w:eastAsia="SimSun" w:cs="SimSun"/>
          <w:sz w:val="24"/>
          <w:szCs w:val="24"/>
        </w:rPr>
        <w:t>基</w:t>
      </w:r>
      <w:r>
        <w:rPr>
          <w:rFonts w:ascii="SimSun" w:hAnsi="SimSun" w:eastAsia="SimSun" w:cs="SimSun"/>
          <w:sz w:val="24"/>
          <w:szCs w:val="24"/>
          <w:spacing w:val="-1"/>
        </w:rPr>
        <w:t>本因子</w:t>
      </w:r>
      <w:r>
        <w:rPr>
          <w:rFonts w:ascii="Times New Roman" w:hAnsi="Times New Roman" w:eastAsia="Times New Roman" w:cs="Times New Roman"/>
          <w:sz w:val="24"/>
          <w:szCs w:val="24"/>
          <w:spacing w:val="-1"/>
        </w:rPr>
        <w:t>+pH</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、石油烃（</w:t>
      </w:r>
      <w:r>
        <w:rPr>
          <w:rFonts w:ascii="Times New Roman" w:hAnsi="Times New Roman" w:eastAsia="Times New Roman" w:cs="Times New Roman"/>
          <w:sz w:val="24"/>
          <w:szCs w:val="24"/>
          <w:spacing w:val="-1"/>
        </w:rPr>
        <w:t>C</w:t>
      </w:r>
      <w:r>
        <w:rPr>
          <w:rFonts w:ascii="Times New Roman" w:hAnsi="Times New Roman" w:eastAsia="Times New Roman" w:cs="Times New Roman"/>
          <w:sz w:val="15"/>
          <w:szCs w:val="15"/>
          <w:spacing w:val="-1"/>
        </w:rPr>
        <w:t>10</w:t>
      </w:r>
      <w:r>
        <w:rPr>
          <w:rFonts w:ascii="Times New Roman" w:hAnsi="Times New Roman" w:eastAsia="Times New Roman" w:cs="Times New Roman"/>
          <w:sz w:val="24"/>
          <w:szCs w:val="24"/>
          <w:spacing w:val="-1"/>
        </w:rPr>
        <w:t>-C</w:t>
      </w:r>
      <w:r>
        <w:rPr>
          <w:rFonts w:ascii="Times New Roman" w:hAnsi="Times New Roman" w:eastAsia="Times New Roman" w:cs="Times New Roman"/>
          <w:sz w:val="15"/>
          <w:szCs w:val="15"/>
          <w:spacing w:val="-1"/>
          <w:position w:val="-1"/>
        </w:rPr>
        <w:t>40</w:t>
      </w:r>
      <w:r>
        <w:rPr>
          <w:rFonts w:ascii="SimSun" w:hAnsi="SimSun" w:eastAsia="SimSun" w:cs="SimSun"/>
          <w:sz w:val="24"/>
          <w:szCs w:val="24"/>
          <w:spacing w:val="-1"/>
        </w:rPr>
        <w:t>）等</w:t>
      </w:r>
    </w:p>
    <w:p>
      <w:pPr>
        <w:ind w:left="501"/>
        <w:spacing w:before="192"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）监测频次</w:t>
      </w:r>
    </w:p>
    <w:p>
      <w:pPr>
        <w:ind w:left="10" w:right="2" w:firstLine="480"/>
        <w:spacing w:before="183" w:line="359" w:lineRule="auto"/>
        <w:rPr>
          <w:rFonts w:ascii="SimSun" w:hAnsi="SimSun" w:eastAsia="SimSun" w:cs="SimSun"/>
          <w:sz w:val="24"/>
          <w:szCs w:val="24"/>
        </w:rPr>
      </w:pPr>
      <w:r>
        <w:rPr>
          <w:rFonts w:ascii="SimSun" w:hAnsi="SimSun" w:eastAsia="SimSun" w:cs="SimSun"/>
          <w:sz w:val="24"/>
          <w:szCs w:val="24"/>
          <w:spacing w:val="-2"/>
        </w:rPr>
        <w:t>本项目土壤环境影响评价工作等级为二级，根据（</w:t>
      </w:r>
      <w:r>
        <w:rPr>
          <w:rFonts w:ascii="Times New Roman" w:hAnsi="Times New Roman" w:eastAsia="Times New Roman" w:cs="Times New Roman"/>
          <w:sz w:val="24"/>
          <w:szCs w:val="24"/>
          <w:spacing w:val="-2"/>
        </w:rPr>
        <w:t>HJ964-20</w:t>
      </w:r>
      <w:r>
        <w:rPr>
          <w:rFonts w:ascii="Times New Roman" w:hAnsi="Times New Roman" w:eastAsia="Times New Roman" w:cs="Times New Roman"/>
          <w:sz w:val="24"/>
          <w:szCs w:val="24"/>
          <w:spacing w:val="-3"/>
        </w:rPr>
        <w:t>18</w:t>
      </w:r>
      <w:r>
        <w:rPr>
          <w:rFonts w:ascii="SimSun" w:hAnsi="SimSun" w:eastAsia="SimSun" w:cs="SimSun"/>
          <w:sz w:val="24"/>
          <w:szCs w:val="24"/>
          <w:spacing w:val="-3"/>
        </w:rPr>
        <w:t>）的要求，每</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w:t>
      </w:r>
      <w:r>
        <w:rPr>
          <w:rFonts w:ascii="Times New Roman" w:hAnsi="Times New Roman" w:eastAsia="Times New Roman" w:cs="Times New Roman"/>
          <w:sz w:val="24"/>
          <w:szCs w:val="24"/>
        </w:rPr>
        <w:t xml:space="preserve"> </w:t>
      </w:r>
      <w:r>
        <w:rPr>
          <w:rFonts w:ascii="SimSun" w:hAnsi="SimSun" w:eastAsia="SimSun" w:cs="SimSun"/>
          <w:sz w:val="24"/>
          <w:szCs w:val="24"/>
          <w:spacing w:val="-5"/>
        </w:rPr>
        <w:t>年内开展</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次监测工作。</w:t>
      </w:r>
    </w:p>
    <w:p>
      <w:pPr>
        <w:ind w:left="501"/>
        <w:spacing w:before="1"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）执行标准</w:t>
      </w:r>
    </w:p>
    <w:p>
      <w:pPr>
        <w:ind w:left="8" w:right="2" w:firstLine="484"/>
        <w:spacing w:before="182" w:line="360" w:lineRule="auto"/>
        <w:rPr>
          <w:rFonts w:ascii="SimSun" w:hAnsi="SimSun" w:eastAsia="SimSun" w:cs="SimSun"/>
          <w:sz w:val="24"/>
          <w:szCs w:val="24"/>
        </w:rPr>
      </w:pPr>
      <w:r>
        <w:rPr>
          <w:rFonts w:ascii="SimSun" w:hAnsi="SimSun" w:eastAsia="SimSun" w:cs="SimSun"/>
          <w:sz w:val="24"/>
          <w:szCs w:val="24"/>
          <w:spacing w:val="-1"/>
        </w:rPr>
        <w:t>项目所在区土壤环境质量执行《土壤环境质量 建设用地土壤污染风险管控标</w:t>
      </w:r>
      <w:r>
        <w:rPr>
          <w:rFonts w:ascii="SimSun" w:hAnsi="SimSun" w:eastAsia="SimSun" w:cs="SimSun"/>
          <w:sz w:val="24"/>
          <w:szCs w:val="24"/>
          <w:spacing w:val="3"/>
        </w:rPr>
        <w:t xml:space="preserve"> </w:t>
      </w:r>
      <w:r>
        <w:rPr>
          <w:rFonts w:ascii="SimSun" w:hAnsi="SimSun" w:eastAsia="SimSun" w:cs="SimSun"/>
          <w:sz w:val="24"/>
          <w:szCs w:val="24"/>
        </w:rPr>
        <w:t>准（试行）》（</w:t>
      </w:r>
      <w:r>
        <w:rPr>
          <w:rFonts w:ascii="Times New Roman" w:hAnsi="Times New Roman" w:eastAsia="Times New Roman" w:cs="Times New Roman"/>
          <w:sz w:val="24"/>
          <w:szCs w:val="24"/>
        </w:rPr>
        <w:t>GB36600-2018</w:t>
      </w:r>
      <w:r>
        <w:rPr>
          <w:rFonts w:ascii="SimSun" w:hAnsi="SimSun" w:eastAsia="SimSun" w:cs="SimSun"/>
          <w:sz w:val="24"/>
          <w:szCs w:val="24"/>
        </w:rPr>
        <w:t>）表</w:t>
      </w:r>
      <w:r>
        <w:rPr>
          <w:rFonts w:ascii="SimSun" w:hAnsi="SimSun" w:eastAsia="SimSun" w:cs="SimSun"/>
          <w:sz w:val="24"/>
          <w:szCs w:val="24"/>
          <w:spacing w:val="-30"/>
        </w:rPr>
        <w:t xml:space="preserve"> </w:t>
      </w:r>
      <w:r>
        <w:rPr>
          <w:rFonts w:ascii="Times New Roman" w:hAnsi="Times New Roman" w:eastAsia="Times New Roman" w:cs="Times New Roman"/>
          <w:sz w:val="24"/>
          <w:szCs w:val="24"/>
        </w:rPr>
        <w:t>1</w:t>
      </w:r>
      <w:r>
        <w:rPr>
          <w:rFonts w:ascii="Times New Roman" w:hAnsi="Times New Roman" w:eastAsia="Times New Roman" w:cs="Times New Roman"/>
          <w:sz w:val="24"/>
          <w:szCs w:val="24"/>
          <w:spacing w:val="-31"/>
        </w:rPr>
        <w:t xml:space="preserve"> </w:t>
      </w:r>
      <w:r>
        <w:rPr>
          <w:rFonts w:ascii="SimSun" w:hAnsi="SimSun" w:eastAsia="SimSun" w:cs="SimSun"/>
          <w:sz w:val="24"/>
          <w:szCs w:val="24"/>
        </w:rPr>
        <w:t>、表</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2</w:t>
      </w:r>
      <w:r>
        <w:rPr>
          <w:rFonts w:ascii="Times New Roman" w:hAnsi="Times New Roman" w:eastAsia="Times New Roman" w:cs="Times New Roman"/>
          <w:sz w:val="24"/>
          <w:szCs w:val="24"/>
          <w:spacing w:val="34"/>
        </w:rPr>
        <w:t xml:space="preserve"> </w:t>
      </w:r>
      <w:r>
        <w:rPr>
          <w:rFonts w:ascii="SimSun" w:hAnsi="SimSun" w:eastAsia="SimSun" w:cs="SimSun"/>
          <w:sz w:val="24"/>
          <w:szCs w:val="24"/>
        </w:rPr>
        <w:t>中第二类用地土壤污染风险标</w:t>
      </w:r>
      <w:r>
        <w:rPr>
          <w:rFonts w:ascii="SimSun" w:hAnsi="SimSun" w:eastAsia="SimSun" w:cs="SimSun"/>
          <w:sz w:val="24"/>
          <w:szCs w:val="24"/>
          <w:spacing w:val="-1"/>
        </w:rPr>
        <w:t>准限值</w:t>
      </w:r>
      <w:r>
        <w:rPr>
          <w:rFonts w:ascii="SimSun" w:hAnsi="SimSun" w:eastAsia="SimSun" w:cs="SimSun"/>
          <w:sz w:val="24"/>
          <w:szCs w:val="24"/>
        </w:rPr>
        <w:t xml:space="preserve"> </w:t>
      </w:r>
      <w:r>
        <w:rPr>
          <w:rFonts w:ascii="SimSun" w:hAnsi="SimSun" w:eastAsia="SimSun" w:cs="SimSun"/>
          <w:sz w:val="24"/>
          <w:szCs w:val="24"/>
          <w:spacing w:val="-2"/>
        </w:rPr>
        <w:t>及《土壤环境质量 农用地土壤污染风险管控标准（试行）》（</w:t>
      </w:r>
      <w:r>
        <w:rPr>
          <w:rFonts w:ascii="Times New Roman" w:hAnsi="Times New Roman" w:eastAsia="Times New Roman" w:cs="Times New Roman"/>
          <w:sz w:val="24"/>
          <w:szCs w:val="24"/>
          <w:spacing w:val="-2"/>
        </w:rPr>
        <w:t>GB15618-2018</w:t>
      </w:r>
      <w:r>
        <w:rPr>
          <w:rFonts w:ascii="SimSun" w:hAnsi="SimSun" w:eastAsia="SimSun" w:cs="SimSun"/>
          <w:sz w:val="24"/>
          <w:szCs w:val="24"/>
          <w:spacing w:val="-2"/>
        </w:rPr>
        <w:t>）中</w:t>
      </w:r>
      <w:r>
        <w:rPr>
          <w:rFonts w:ascii="SimSun" w:hAnsi="SimSun" w:eastAsia="SimSun" w:cs="SimSun"/>
          <w:sz w:val="24"/>
          <w:szCs w:val="24"/>
          <w:spacing w:val="4"/>
        </w:rPr>
        <w:t xml:space="preserve"> </w:t>
      </w:r>
      <w:r>
        <w:rPr>
          <w:rFonts w:ascii="SimSun" w:hAnsi="SimSun" w:eastAsia="SimSun" w:cs="SimSun"/>
          <w:sz w:val="24"/>
          <w:szCs w:val="24"/>
          <w:spacing w:val="-3"/>
        </w:rPr>
        <w:t>表</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风险筛选值标准（其他）。</w:t>
      </w:r>
    </w:p>
    <w:p>
      <w:pPr>
        <w:spacing w:line="360" w:lineRule="auto"/>
        <w:sectPr>
          <w:headerReference w:type="default" r:id="rId68"/>
          <w:footerReference w:type="default" r:id="rId377"/>
          <w:pgSz w:w="11907" w:h="16840"/>
          <w:pgMar w:top="1567" w:right="1699" w:bottom="1921" w:left="1701" w:header="1221" w:footer="1247" w:gutter="0"/>
        </w:sectPr>
        <w:rPr>
          <w:rFonts w:ascii="SimSun" w:hAnsi="SimSun" w:eastAsia="SimSun" w:cs="SimSun"/>
          <w:sz w:val="24"/>
          <w:szCs w:val="24"/>
        </w:rPr>
      </w:pPr>
    </w:p>
    <w:p>
      <w:pPr>
        <w:spacing w:before="150" w:line="5827" w:lineRule="exact"/>
        <w:rPr/>
      </w:pPr>
      <w:r>
        <w:pict>
          <v:shape id="_x0000_s1278" style="position:absolute;margin-left:85.05pt;margin-top:79.11pt;mso-position-vertical-relative:page;mso-position-horizontal-relative:page;width:425.25pt;height:0.75pt;z-index:252356608;" o:allowincell="f" fillcolor="#000000" filled="true" stroked="false" coordsize="8505,15" coordorigin="0,0" path="m,l8505,0l8505,14l0,14l0,0xe"/>
        </w:pict>
      </w:r>
      <w:r>
        <w:rPr>
          <w:position w:val="-116"/>
        </w:rPr>
        <w:drawing>
          <wp:inline distT="0" distB="0" distL="0" distR="0">
            <wp:extent cx="5388863" cy="3700271"/>
            <wp:effectExtent l="0" t="0" r="0" b="0"/>
            <wp:docPr id="222" name="IM 222"/>
            <wp:cNvGraphicFramePr/>
            <a:graphic>
              <a:graphicData uri="http://schemas.openxmlformats.org/drawingml/2006/picture">
                <pic:pic>
                  <pic:nvPicPr>
                    <pic:cNvPr id="222" name="IM 222"/>
                    <pic:cNvPicPr/>
                  </pic:nvPicPr>
                  <pic:blipFill>
                    <a:blip r:embed="rId378"/>
                    <a:stretch>
                      <a:fillRect/>
                    </a:stretch>
                  </pic:blipFill>
                  <pic:spPr>
                    <a:xfrm rot="0">
                      <a:off x="0" y="0"/>
                      <a:ext cx="5388863" cy="3700271"/>
                    </a:xfrm>
                    <a:prstGeom prst="rect">
                      <a:avLst/>
                    </a:prstGeom>
                  </pic:spPr>
                </pic:pic>
              </a:graphicData>
            </a:graphic>
          </wp:inline>
        </w:drawing>
      </w:r>
    </w:p>
    <w:p>
      <w:pPr>
        <w:ind w:left="2198"/>
        <w:spacing w:before="195" w:line="220" w:lineRule="auto"/>
        <w:rPr>
          <w:rFonts w:ascii="SimSun" w:hAnsi="SimSun" w:eastAsia="SimSun" w:cs="SimSun"/>
          <w:sz w:val="24"/>
          <w:szCs w:val="24"/>
        </w:rPr>
      </w:pPr>
      <w:bookmarkStart w:name="bookmark167" w:id="200"/>
      <w:bookmarkEnd w:id="200"/>
      <w:r>
        <w:rPr>
          <w:rFonts w:ascii="SimSun" w:hAnsi="SimSun" w:eastAsia="SimSun" w:cs="SimSun"/>
          <w:sz w:val="24"/>
          <w:szCs w:val="24"/>
          <w:b/>
          <w:bCs/>
          <w:spacing w:val="-3"/>
        </w:rPr>
        <w:t>图</w:t>
      </w:r>
      <w:r>
        <w:rPr>
          <w:rFonts w:ascii="SimSun" w:hAnsi="SimSun" w:eastAsia="SimSun" w:cs="SimSun"/>
          <w:sz w:val="24"/>
          <w:szCs w:val="24"/>
          <w:spacing w:val="-38"/>
        </w:rPr>
        <w:t xml:space="preserve"> </w:t>
      </w:r>
      <w:r>
        <w:rPr>
          <w:rFonts w:ascii="Times New Roman" w:hAnsi="Times New Roman" w:eastAsia="Times New Roman" w:cs="Times New Roman"/>
          <w:sz w:val="24"/>
          <w:szCs w:val="24"/>
          <w:b/>
          <w:bCs/>
          <w:spacing w:val="-3"/>
        </w:rPr>
        <w:t>7.5-1        </w:t>
      </w:r>
      <w:r>
        <w:rPr>
          <w:rFonts w:ascii="SimSun" w:hAnsi="SimSun" w:eastAsia="SimSun" w:cs="SimSun"/>
          <w:sz w:val="24"/>
          <w:szCs w:val="24"/>
          <w:b/>
          <w:bCs/>
          <w:spacing w:val="-3"/>
        </w:rPr>
        <w:t>土壤跟踪监测点位置示意图</w:t>
      </w:r>
    </w:p>
    <w:p>
      <w:pPr>
        <w:ind w:left="11"/>
        <w:spacing w:before="218" w:line="222" w:lineRule="auto"/>
        <w:outlineLvl w:val="1"/>
        <w:rPr>
          <w:rFonts w:ascii="SimHei" w:hAnsi="SimHei" w:eastAsia="SimHei" w:cs="SimHei"/>
          <w:sz w:val="30"/>
          <w:szCs w:val="30"/>
        </w:rPr>
      </w:pPr>
      <w:bookmarkStart w:name="bookmark247" w:id="201"/>
      <w:bookmarkEnd w:id="201"/>
      <w:r>
        <w:rPr>
          <w:rFonts w:ascii="Times New Roman" w:hAnsi="Times New Roman" w:eastAsia="Times New Roman" w:cs="Times New Roman"/>
          <w:sz w:val="30"/>
          <w:szCs w:val="30"/>
          <w:spacing w:val="-2"/>
        </w:rPr>
        <w:t>7.6 </w:t>
      </w:r>
      <w:r>
        <w:rPr>
          <w:rFonts w:ascii="SimHei" w:hAnsi="SimHei" w:eastAsia="SimHei" w:cs="SimHei"/>
          <w:sz w:val="30"/>
          <w:szCs w:val="30"/>
          <w:spacing w:val="-2"/>
        </w:rPr>
        <w:t>生态保护措施</w:t>
      </w:r>
    </w:p>
    <w:p>
      <w:pPr>
        <w:pStyle w:val="BodyText"/>
        <w:spacing w:line="291" w:lineRule="auto"/>
        <w:rPr/>
      </w:pPr>
      <w:r/>
    </w:p>
    <w:p>
      <w:pPr>
        <w:ind w:left="11" w:right="2" w:firstLine="479"/>
        <w:spacing w:before="78" w:line="359" w:lineRule="auto"/>
        <w:rPr>
          <w:rFonts w:ascii="SimSun" w:hAnsi="SimSun" w:eastAsia="SimSun" w:cs="SimSun"/>
          <w:sz w:val="24"/>
          <w:szCs w:val="24"/>
        </w:rPr>
      </w:pPr>
      <w:r>
        <w:rPr>
          <w:rFonts w:ascii="SimSun" w:hAnsi="SimSun" w:eastAsia="SimSun" w:cs="SimSun"/>
          <w:sz w:val="24"/>
          <w:szCs w:val="24"/>
          <w:spacing w:val="3"/>
        </w:rPr>
        <w:t>本项目位于锡林郭勒盟正镶白旗明安图镇乌宁巴图西街，</w:t>
      </w:r>
      <w:r>
        <w:rPr>
          <w:rFonts w:ascii="SimSun" w:hAnsi="SimSun" w:eastAsia="SimSun" w:cs="SimSun"/>
          <w:sz w:val="24"/>
          <w:szCs w:val="24"/>
          <w:spacing w:val="2"/>
        </w:rPr>
        <w:t>为降低项目建设对</w:t>
      </w:r>
      <w:r>
        <w:rPr>
          <w:rFonts w:ascii="SimSun" w:hAnsi="SimSun" w:eastAsia="SimSun" w:cs="SimSun"/>
          <w:sz w:val="24"/>
          <w:szCs w:val="24"/>
        </w:rPr>
        <w:t xml:space="preserve"> </w:t>
      </w:r>
      <w:r>
        <w:rPr>
          <w:rFonts w:ascii="SimSun" w:hAnsi="SimSun" w:eastAsia="SimSun" w:cs="SimSun"/>
          <w:sz w:val="24"/>
          <w:szCs w:val="24"/>
          <w:spacing w:val="-1"/>
        </w:rPr>
        <w:t>生态的影响，建设单位应做好以下几方面工作：</w:t>
      </w:r>
    </w:p>
    <w:p>
      <w:pPr>
        <w:spacing w:line="219" w:lineRule="auto"/>
        <w:jc w:val="right"/>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）加强厂区环保设施的运行管理，确保污染物达标排放，杜绝事故排放。</w:t>
      </w:r>
    </w:p>
    <w:p>
      <w:pPr>
        <w:ind w:left="10" w:firstLine="490"/>
        <w:spacing w:before="182" w:line="312"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）厂区及周边加强绿化；办公综合楼和生产装置区等处广种花</w:t>
      </w:r>
      <w:r>
        <w:rPr>
          <w:rFonts w:ascii="SimSun" w:hAnsi="SimSun" w:eastAsia="SimSun" w:cs="SimSun"/>
          <w:sz w:val="24"/>
          <w:szCs w:val="24"/>
          <w:spacing w:val="-2"/>
        </w:rPr>
        <w:t>草树木，美</w:t>
      </w:r>
      <w:r>
        <w:rPr>
          <w:rFonts w:ascii="SimSun" w:hAnsi="SimSun" w:eastAsia="SimSun" w:cs="SimSun"/>
          <w:sz w:val="24"/>
          <w:szCs w:val="24"/>
        </w:rPr>
        <w:t xml:space="preserve"> </w:t>
      </w:r>
      <w:r>
        <w:rPr>
          <w:rFonts w:ascii="SimSun" w:hAnsi="SimSun" w:eastAsia="SimSun" w:cs="SimSun"/>
          <w:sz w:val="24"/>
          <w:szCs w:val="24"/>
          <w:spacing w:val="3"/>
        </w:rPr>
        <w:t>化环境，又可有效缓解厂区废气对周围环境的影响。绿</w:t>
      </w:r>
      <w:r>
        <w:rPr>
          <w:rFonts w:ascii="SimSun" w:hAnsi="SimSun" w:eastAsia="SimSun" w:cs="SimSun"/>
          <w:sz w:val="24"/>
          <w:szCs w:val="24"/>
          <w:spacing w:val="2"/>
        </w:rPr>
        <w:t>化应以厂区为中心，直至</w:t>
      </w:r>
      <w:r>
        <w:rPr>
          <w:rFonts w:ascii="SimSun" w:hAnsi="SimSun" w:eastAsia="SimSun" w:cs="SimSun"/>
          <w:sz w:val="24"/>
          <w:szCs w:val="24"/>
        </w:rPr>
        <w:t xml:space="preserve"> </w:t>
      </w:r>
      <w:r>
        <w:rPr>
          <w:rFonts w:ascii="SimSun" w:hAnsi="SimSun" w:eastAsia="SimSun" w:cs="SimSun"/>
          <w:sz w:val="24"/>
          <w:szCs w:val="24"/>
          <w:spacing w:val="6"/>
        </w:rPr>
        <w:t>厂区围墙各方向分</w:t>
      </w:r>
      <w:r>
        <w:rPr>
          <w:rFonts w:ascii="Times New Roman" w:hAnsi="Times New Roman" w:eastAsia="Times New Roman" w:cs="Times New Roman"/>
          <w:sz w:val="24"/>
          <w:szCs w:val="24"/>
          <w:spacing w:val="6"/>
        </w:rPr>
        <w:t>2</w:t>
      </w:r>
      <w:r>
        <w:rPr>
          <w:rFonts w:ascii="SimSun" w:hAnsi="SimSun" w:eastAsia="SimSun" w:cs="SimSun"/>
          <w:sz w:val="24"/>
          <w:szCs w:val="24"/>
          <w:spacing w:val="6"/>
        </w:rPr>
        <w:t>～</w:t>
      </w:r>
      <w:r>
        <w:rPr>
          <w:rFonts w:ascii="Times New Roman" w:hAnsi="Times New Roman" w:eastAsia="Times New Roman" w:cs="Times New Roman"/>
          <w:sz w:val="24"/>
          <w:szCs w:val="24"/>
          <w:spacing w:val="6"/>
        </w:rPr>
        <w:t>3</w:t>
      </w:r>
      <w:r>
        <w:rPr>
          <w:rFonts w:ascii="SimSun" w:hAnsi="SimSun" w:eastAsia="SimSun" w:cs="SimSun"/>
          <w:sz w:val="24"/>
          <w:szCs w:val="24"/>
          <w:spacing w:val="6"/>
        </w:rPr>
        <w:t>个绿化层次。</w:t>
      </w:r>
    </w:p>
    <w:p>
      <w:pPr>
        <w:ind w:left="10" w:firstLine="479"/>
        <w:spacing w:before="186" w:line="360" w:lineRule="auto"/>
        <w:jc w:val="both"/>
        <w:rPr>
          <w:rFonts w:ascii="SimSun" w:hAnsi="SimSun" w:eastAsia="SimSun" w:cs="SimSun"/>
          <w:sz w:val="24"/>
          <w:szCs w:val="24"/>
        </w:rPr>
      </w:pPr>
      <w:r>
        <w:rPr>
          <w:rFonts w:ascii="SimSun" w:hAnsi="SimSun" w:eastAsia="SimSun" w:cs="SimSun"/>
          <w:sz w:val="24"/>
          <w:szCs w:val="24"/>
          <w:spacing w:val="3"/>
        </w:rPr>
        <w:t>第一个层次为生产装置区道路的两侧及道路之间的空地，使其构成</w:t>
      </w:r>
      <w:r>
        <w:rPr>
          <w:rFonts w:ascii="SimSun" w:hAnsi="SimSun" w:eastAsia="SimSun" w:cs="SimSun"/>
          <w:sz w:val="24"/>
          <w:szCs w:val="24"/>
          <w:spacing w:val="2"/>
        </w:rPr>
        <w:t>对主要污</w:t>
      </w:r>
      <w:r>
        <w:rPr>
          <w:rFonts w:ascii="SimSun" w:hAnsi="SimSun" w:eastAsia="SimSun" w:cs="SimSun"/>
          <w:sz w:val="24"/>
          <w:szCs w:val="24"/>
        </w:rPr>
        <w:t xml:space="preserve"> </w:t>
      </w:r>
      <w:r>
        <w:rPr>
          <w:rFonts w:ascii="SimSun" w:hAnsi="SimSun" w:eastAsia="SimSun" w:cs="SimSun"/>
          <w:sz w:val="24"/>
          <w:szCs w:val="24"/>
          <w:spacing w:val="3"/>
        </w:rPr>
        <w:t>染源所在地的第一道绿色屏障；第二层次为围墙内及办</w:t>
      </w:r>
      <w:r>
        <w:rPr>
          <w:rFonts w:ascii="SimSun" w:hAnsi="SimSun" w:eastAsia="SimSun" w:cs="SimSun"/>
          <w:sz w:val="24"/>
          <w:szCs w:val="24"/>
          <w:spacing w:val="2"/>
        </w:rPr>
        <w:t>公及辅助建筑、污水处理</w:t>
      </w:r>
      <w:r>
        <w:rPr>
          <w:rFonts w:ascii="SimSun" w:hAnsi="SimSun" w:eastAsia="SimSun" w:cs="SimSun"/>
          <w:sz w:val="24"/>
          <w:szCs w:val="24"/>
        </w:rPr>
        <w:t xml:space="preserve"> </w:t>
      </w:r>
      <w:r>
        <w:rPr>
          <w:rFonts w:ascii="SimSun" w:hAnsi="SimSun" w:eastAsia="SimSun" w:cs="SimSun"/>
          <w:sz w:val="24"/>
          <w:szCs w:val="24"/>
          <w:spacing w:val="3"/>
        </w:rPr>
        <w:t>站等周围；第三层次为厂界围墙外绿化带和主要</w:t>
      </w:r>
      <w:r>
        <w:rPr>
          <w:rFonts w:ascii="SimSun" w:hAnsi="SimSun" w:eastAsia="SimSun" w:cs="SimSun"/>
          <w:sz w:val="24"/>
          <w:szCs w:val="24"/>
          <w:spacing w:val="2"/>
        </w:rPr>
        <w:t>出入厂道路两侧的绿化，这一层</w:t>
      </w:r>
      <w:r>
        <w:rPr>
          <w:rFonts w:ascii="SimSun" w:hAnsi="SimSun" w:eastAsia="SimSun" w:cs="SimSun"/>
          <w:sz w:val="24"/>
          <w:szCs w:val="24"/>
        </w:rPr>
        <w:t xml:space="preserve"> </w:t>
      </w:r>
      <w:r>
        <w:rPr>
          <w:rFonts w:ascii="SimSun" w:hAnsi="SimSun" w:eastAsia="SimSun" w:cs="SimSun"/>
          <w:sz w:val="24"/>
          <w:szCs w:val="24"/>
          <w:spacing w:val="-1"/>
        </w:rPr>
        <w:t>次是保护场外环境和提高与外环境景观协调性的重要内容。</w:t>
      </w:r>
    </w:p>
    <w:p>
      <w:pPr>
        <w:pStyle w:val="BodyText"/>
        <w:spacing w:line="272" w:lineRule="auto"/>
        <w:rPr/>
      </w:pPr>
      <w:r/>
    </w:p>
    <w:p>
      <w:pPr>
        <w:pStyle w:val="BodyText"/>
        <w:spacing w:line="272" w:lineRule="auto"/>
        <w:rPr/>
      </w:pPr>
      <w:r/>
    </w:p>
    <w:p>
      <w:pPr>
        <w:pStyle w:val="BodyText"/>
        <w:spacing w:line="272" w:lineRule="auto"/>
        <w:rPr/>
      </w:pPr>
      <w:r/>
    </w:p>
    <w:p>
      <w:pPr>
        <w:pStyle w:val="BodyText"/>
        <w:spacing w:line="272" w:lineRule="auto"/>
        <w:rPr/>
      </w:pPr>
      <w:r/>
    </w:p>
    <w:p>
      <w:pPr>
        <w:pStyle w:val="BodyText"/>
        <w:spacing w:line="273" w:lineRule="auto"/>
        <w:rPr/>
      </w:pPr>
      <w:r/>
    </w:p>
    <w:p>
      <w:pPr>
        <w:pStyle w:val="BodyText"/>
        <w:spacing w:line="273" w:lineRule="auto"/>
        <w:rPr/>
      </w:pPr>
      <w:r/>
    </w:p>
    <w:p>
      <w:pPr>
        <w:ind w:left="7"/>
        <w:spacing w:before="62" w:line="227" w:lineRule="auto"/>
        <w:rPr>
          <w:rFonts w:ascii="SimSun" w:hAnsi="SimSun" w:eastAsia="SimSun" w:cs="SimSun"/>
          <w:sz w:val="19"/>
          <w:szCs w:val="19"/>
        </w:rPr>
      </w:pPr>
      <w:r>
        <w:pict>
          <v:shape id="_x0000_s1280" style="position:absolute;margin-left:159.33pt;margin-top:2.10416pt;mso-position-vertical-relative:text;mso-position-horizontal-relative:text;width:61pt;height:13.75pt;z-index:25235558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285</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20"/>
          <w:footerReference w:type="default" r:id="rId3"/>
          <w:pgSz w:w="11907" w:h="16840"/>
          <w:pgMar w:top="1567" w:right="1700" w:bottom="400" w:left="1701" w:header="1221" w:footer="0" w:gutter="0"/>
        </w:sectPr>
        <w:rPr>
          <w:rFonts w:ascii="SimSun" w:hAnsi="SimSun" w:eastAsia="SimSun" w:cs="SimSun"/>
          <w:sz w:val="19"/>
          <w:szCs w:val="19"/>
        </w:rPr>
      </w:pPr>
    </w:p>
    <w:p>
      <w:pPr>
        <w:ind w:left="11"/>
        <w:spacing w:before="179" w:line="222" w:lineRule="auto"/>
        <w:outlineLvl w:val="1"/>
        <w:rPr>
          <w:rFonts w:ascii="SimHei" w:hAnsi="SimHei" w:eastAsia="SimHei" w:cs="SimHei"/>
          <w:sz w:val="30"/>
          <w:szCs w:val="30"/>
        </w:rPr>
      </w:pPr>
      <w:r>
        <w:pict>
          <v:shape id="_x0000_s1282" style="position:absolute;margin-left:85.05pt;margin-top:78.87pt;mso-position-vertical-relative:page;mso-position-horizontal-relative:page;width:425.25pt;height:0.75pt;z-index:252358656;" o:allowincell="f" fillcolor="#000000" filled="true" stroked="false" coordsize="8505,15" coordorigin="0,0" path="m,l8505,0l8505,14l0,14l0,0xe"/>
        </w:pict>
      </w:r>
      <w:bookmarkStart w:name="bookmark168" w:id="202"/>
      <w:bookmarkEnd w:id="202"/>
      <w:r>
        <w:rPr>
          <w:rFonts w:ascii="Times New Roman" w:hAnsi="Times New Roman" w:eastAsia="Times New Roman" w:cs="Times New Roman"/>
          <w:sz w:val="30"/>
          <w:szCs w:val="30"/>
          <w:spacing w:val="-1"/>
        </w:rPr>
        <w:t>7.7 </w:t>
      </w:r>
      <w:r>
        <w:rPr>
          <w:rFonts w:ascii="SimHei" w:hAnsi="SimHei" w:eastAsia="SimHei" w:cs="SimHei"/>
          <w:sz w:val="30"/>
          <w:szCs w:val="30"/>
          <w:spacing w:val="-1"/>
        </w:rPr>
        <w:t>施工期的环保措施分析</w:t>
      </w:r>
    </w:p>
    <w:p>
      <w:pPr>
        <w:pStyle w:val="BodyText"/>
        <w:spacing w:line="279" w:lineRule="auto"/>
        <w:rPr/>
      </w:pPr>
      <w:r/>
    </w:p>
    <w:p>
      <w:pPr>
        <w:ind w:left="10"/>
        <w:spacing w:before="91" w:line="222" w:lineRule="auto"/>
        <w:outlineLvl w:val="2"/>
        <w:rPr>
          <w:rFonts w:ascii="SimHei" w:hAnsi="SimHei" w:eastAsia="SimHei" w:cs="SimHei"/>
          <w:sz w:val="28"/>
          <w:szCs w:val="28"/>
        </w:rPr>
      </w:pPr>
      <w:bookmarkStart w:name="bookmark169" w:id="203"/>
      <w:bookmarkEnd w:id="203"/>
      <w:r>
        <w:rPr>
          <w:rFonts w:ascii="Times New Roman" w:hAnsi="Times New Roman" w:eastAsia="Times New Roman" w:cs="Times New Roman"/>
          <w:sz w:val="28"/>
          <w:szCs w:val="28"/>
          <w:spacing w:val="-1"/>
        </w:rPr>
        <w:t>7.7.1 </w:t>
      </w:r>
      <w:r>
        <w:rPr>
          <w:rFonts w:ascii="SimHei" w:hAnsi="SimHei" w:eastAsia="SimHei" w:cs="SimHei"/>
          <w:sz w:val="28"/>
          <w:szCs w:val="28"/>
          <w:spacing w:val="-1"/>
        </w:rPr>
        <w:t>废气防治措施分析</w:t>
      </w:r>
    </w:p>
    <w:p>
      <w:pPr>
        <w:pStyle w:val="BodyText"/>
        <w:spacing w:line="279" w:lineRule="auto"/>
        <w:rPr/>
      </w:pPr>
      <w:r/>
    </w:p>
    <w:p>
      <w:pPr>
        <w:ind w:left="501"/>
        <w:spacing w:before="78"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）施工期粉尘防治措施分析</w:t>
      </w:r>
    </w:p>
    <w:p>
      <w:pPr>
        <w:ind w:left="488"/>
        <w:spacing w:before="183" w:line="217" w:lineRule="auto"/>
        <w:rPr>
          <w:rFonts w:ascii="SimSun" w:hAnsi="SimSun" w:eastAsia="SimSun" w:cs="SimSun"/>
          <w:sz w:val="24"/>
          <w:szCs w:val="24"/>
        </w:rPr>
      </w:pPr>
      <w:r>
        <w:rPr>
          <w:rFonts w:ascii="SimSun" w:hAnsi="SimSun" w:eastAsia="SimSun" w:cs="SimSun"/>
          <w:sz w:val="24"/>
          <w:szCs w:val="24"/>
          <w:spacing w:val="-1"/>
        </w:rPr>
        <w:t>①施工场地四周设置围栏，当起风时，可使影响距离缩短；</w:t>
      </w:r>
    </w:p>
    <w:p>
      <w:pPr>
        <w:ind w:left="8" w:firstLine="479"/>
        <w:spacing w:before="184" w:line="288" w:lineRule="auto"/>
        <w:rPr>
          <w:rFonts w:ascii="SimSun" w:hAnsi="SimSun" w:eastAsia="SimSun" w:cs="SimSun"/>
          <w:sz w:val="24"/>
          <w:szCs w:val="24"/>
        </w:rPr>
      </w:pPr>
      <w:r>
        <w:rPr>
          <w:rFonts w:ascii="SimSun" w:hAnsi="SimSun" w:eastAsia="SimSun" w:cs="SimSun"/>
          <w:sz w:val="24"/>
          <w:szCs w:val="24"/>
          <w:spacing w:val="-2"/>
        </w:rPr>
        <w:t>②开挖、钻孔等过程，应洒水使作业面保持一定的湿度；对施工场地内松散、</w:t>
      </w:r>
      <w:r>
        <w:rPr>
          <w:rFonts w:ascii="SimSun" w:hAnsi="SimSun" w:eastAsia="SimSun" w:cs="SimSun"/>
          <w:sz w:val="24"/>
          <w:szCs w:val="24"/>
          <w:spacing w:val="2"/>
        </w:rPr>
        <w:t xml:space="preserve"> </w:t>
      </w:r>
      <w:r>
        <w:rPr>
          <w:rFonts w:ascii="SimSun" w:hAnsi="SimSun" w:eastAsia="SimSun" w:cs="SimSun"/>
          <w:sz w:val="24"/>
          <w:szCs w:val="24"/>
          <w:spacing w:val="-1"/>
        </w:rPr>
        <w:t>干涸的表土，经常洒水防止扬尘；</w:t>
      </w:r>
    </w:p>
    <w:p>
      <w:pPr>
        <w:ind w:left="13" w:right="21" w:firstLine="474"/>
        <w:spacing w:before="185" w:line="289" w:lineRule="auto"/>
        <w:rPr>
          <w:rFonts w:ascii="SimSun" w:hAnsi="SimSun" w:eastAsia="SimSun" w:cs="SimSun"/>
          <w:sz w:val="24"/>
          <w:szCs w:val="24"/>
        </w:rPr>
      </w:pPr>
      <w:r>
        <w:rPr>
          <w:rFonts w:ascii="SimSun" w:hAnsi="SimSun" w:eastAsia="SimSun" w:cs="SimSun"/>
          <w:sz w:val="24"/>
          <w:szCs w:val="24"/>
          <w:spacing w:val="-3"/>
        </w:rPr>
        <w:t>③加强回填土方堆放场的管理，采取土方表面压实、定期喷水、覆盖等措施；</w:t>
      </w:r>
      <w:r>
        <w:rPr>
          <w:rFonts w:ascii="SimSun" w:hAnsi="SimSun" w:eastAsia="SimSun" w:cs="SimSun"/>
          <w:sz w:val="24"/>
          <w:szCs w:val="24"/>
          <w:spacing w:val="15"/>
        </w:rPr>
        <w:t xml:space="preserve"> </w:t>
      </w:r>
      <w:r>
        <w:rPr>
          <w:rFonts w:ascii="SimSun" w:hAnsi="SimSun" w:eastAsia="SimSun" w:cs="SimSun"/>
          <w:sz w:val="24"/>
          <w:szCs w:val="24"/>
          <w:spacing w:val="-1"/>
        </w:rPr>
        <w:t>不需要的泥土、建筑材料弃渣应及时运走；</w:t>
      </w:r>
    </w:p>
    <w:p>
      <w:pPr>
        <w:ind w:left="12" w:right="78" w:firstLine="475"/>
        <w:spacing w:before="182" w:line="313" w:lineRule="auto"/>
        <w:rPr>
          <w:rFonts w:ascii="SimSun" w:hAnsi="SimSun" w:eastAsia="SimSun" w:cs="SimSun"/>
          <w:sz w:val="24"/>
          <w:szCs w:val="24"/>
        </w:rPr>
      </w:pPr>
      <w:r>
        <w:rPr>
          <w:rFonts w:ascii="SimSun" w:hAnsi="SimSun" w:eastAsia="SimSun" w:cs="SimSun"/>
          <w:sz w:val="24"/>
          <w:szCs w:val="24"/>
          <w:spacing w:val="3"/>
        </w:rPr>
        <w:t>④施工前对现有进厂道路路面进行硬化，同时应限制车速，施工</w:t>
      </w:r>
      <w:r>
        <w:rPr>
          <w:rFonts w:ascii="SimSun" w:hAnsi="SimSun" w:eastAsia="SimSun" w:cs="SimSun"/>
          <w:sz w:val="24"/>
          <w:szCs w:val="24"/>
          <w:spacing w:val="2"/>
        </w:rPr>
        <w:t>场地出口设</w:t>
      </w:r>
      <w:r>
        <w:rPr>
          <w:rFonts w:ascii="SimSun" w:hAnsi="SimSun" w:eastAsia="SimSun" w:cs="SimSun"/>
          <w:sz w:val="24"/>
          <w:szCs w:val="24"/>
        </w:rPr>
        <w:t xml:space="preserve"> </w:t>
      </w:r>
      <w:r>
        <w:rPr>
          <w:rFonts w:ascii="SimSun" w:hAnsi="SimSun" w:eastAsia="SimSun" w:cs="SimSun"/>
          <w:sz w:val="24"/>
          <w:szCs w:val="24"/>
          <w:spacing w:val="3"/>
        </w:rPr>
        <w:t>水池，车辆驶出施工场地时经过水清洗后可清除车</w:t>
      </w:r>
      <w:r>
        <w:rPr>
          <w:rFonts w:ascii="SimSun" w:hAnsi="SimSun" w:eastAsia="SimSun" w:cs="SimSun"/>
          <w:sz w:val="24"/>
          <w:szCs w:val="24"/>
          <w:spacing w:val="2"/>
        </w:rPr>
        <w:t>轮上所沾泥土，减少行驶产生</w:t>
      </w:r>
      <w:r>
        <w:rPr>
          <w:rFonts w:ascii="SimSun" w:hAnsi="SimSun" w:eastAsia="SimSun" w:cs="SimSun"/>
          <w:sz w:val="24"/>
          <w:szCs w:val="24"/>
        </w:rPr>
        <w:t xml:space="preserve"> </w:t>
      </w:r>
      <w:r>
        <w:rPr>
          <w:rFonts w:ascii="SimSun" w:hAnsi="SimSun" w:eastAsia="SimSun" w:cs="SimSun"/>
          <w:sz w:val="24"/>
          <w:szCs w:val="24"/>
          <w:spacing w:val="-4"/>
        </w:rPr>
        <w:t>的扬尘；</w:t>
      </w:r>
    </w:p>
    <w:p>
      <w:pPr>
        <w:ind w:left="10" w:right="80" w:firstLine="477"/>
        <w:spacing w:before="182" w:line="312" w:lineRule="auto"/>
        <w:rPr>
          <w:rFonts w:ascii="SimSun" w:hAnsi="SimSun" w:eastAsia="SimSun" w:cs="SimSun"/>
          <w:sz w:val="24"/>
          <w:szCs w:val="24"/>
        </w:rPr>
      </w:pPr>
      <w:r>
        <w:rPr>
          <w:rFonts w:ascii="SimSun" w:hAnsi="SimSun" w:eastAsia="SimSun" w:cs="SimSun"/>
          <w:sz w:val="24"/>
          <w:szCs w:val="24"/>
          <w:spacing w:val="3"/>
        </w:rPr>
        <w:t>⑤加强运输管理，如散货车不得超高超载、使用有盖的运输车辆</w:t>
      </w:r>
      <w:r>
        <w:rPr>
          <w:rFonts w:ascii="SimSun" w:hAnsi="SimSun" w:eastAsia="SimSun" w:cs="SimSun"/>
          <w:sz w:val="24"/>
          <w:szCs w:val="24"/>
          <w:spacing w:val="2"/>
        </w:rPr>
        <w:t>，以免车辆</w:t>
      </w:r>
      <w:r>
        <w:rPr>
          <w:rFonts w:ascii="SimSun" w:hAnsi="SimSun" w:eastAsia="SimSun" w:cs="SimSun"/>
          <w:sz w:val="24"/>
          <w:szCs w:val="24"/>
        </w:rPr>
        <w:t xml:space="preserve"> </w:t>
      </w:r>
      <w:r>
        <w:rPr>
          <w:rFonts w:ascii="SimSun" w:hAnsi="SimSun" w:eastAsia="SimSun" w:cs="SimSun"/>
          <w:sz w:val="24"/>
          <w:szCs w:val="24"/>
          <w:spacing w:val="3"/>
        </w:rPr>
        <w:t>颠簸物料洒出；水泥使用密封罐装运输车，</w:t>
      </w:r>
      <w:r>
        <w:rPr>
          <w:rFonts w:ascii="SimSun" w:hAnsi="SimSun" w:eastAsia="SimSun" w:cs="SimSun"/>
          <w:sz w:val="24"/>
          <w:szCs w:val="24"/>
          <w:spacing w:val="2"/>
        </w:rPr>
        <w:t>装卸应有除尘装置，防止扬尘污染；</w:t>
      </w:r>
      <w:r>
        <w:rPr>
          <w:rFonts w:ascii="SimSun" w:hAnsi="SimSun" w:eastAsia="SimSun" w:cs="SimSun"/>
          <w:sz w:val="24"/>
          <w:szCs w:val="24"/>
        </w:rPr>
        <w:t xml:space="preserve"> </w:t>
      </w:r>
      <w:r>
        <w:rPr>
          <w:rFonts w:ascii="SimSun" w:hAnsi="SimSun" w:eastAsia="SimSun" w:cs="SimSun"/>
          <w:sz w:val="24"/>
          <w:szCs w:val="24"/>
          <w:spacing w:val="-1"/>
        </w:rPr>
        <w:t>化学物质的运输要防止泄漏；坚持文明装卸；</w:t>
      </w:r>
    </w:p>
    <w:p>
      <w:pPr>
        <w:ind w:left="10" w:right="78" w:firstLine="477"/>
        <w:spacing w:before="180" w:line="312" w:lineRule="auto"/>
        <w:rPr>
          <w:rFonts w:ascii="SimSun" w:hAnsi="SimSun" w:eastAsia="SimSun" w:cs="SimSun"/>
          <w:sz w:val="24"/>
          <w:szCs w:val="24"/>
        </w:rPr>
      </w:pPr>
      <w:r>
        <w:rPr>
          <w:rFonts w:ascii="SimSun" w:hAnsi="SimSun" w:eastAsia="SimSun" w:cs="SimSun"/>
          <w:sz w:val="24"/>
          <w:szCs w:val="24"/>
          <w:spacing w:val="3"/>
        </w:rPr>
        <w:t>⑥施工单位必须加强施工区域的管理。建筑材料的堆场以及混凝</w:t>
      </w:r>
      <w:r>
        <w:rPr>
          <w:rFonts w:ascii="SimSun" w:hAnsi="SimSun" w:eastAsia="SimSun" w:cs="SimSun"/>
          <w:sz w:val="24"/>
          <w:szCs w:val="24"/>
          <w:spacing w:val="2"/>
        </w:rPr>
        <w:t>土搅拌机应</w:t>
      </w:r>
      <w:r>
        <w:rPr>
          <w:rFonts w:ascii="SimSun" w:hAnsi="SimSun" w:eastAsia="SimSun" w:cs="SimSun"/>
          <w:sz w:val="24"/>
          <w:szCs w:val="24"/>
        </w:rPr>
        <w:t xml:space="preserve"> </w:t>
      </w:r>
      <w:r>
        <w:rPr>
          <w:rFonts w:ascii="SimSun" w:hAnsi="SimSun" w:eastAsia="SimSun" w:cs="SimSun"/>
          <w:sz w:val="24"/>
          <w:szCs w:val="24"/>
          <w:spacing w:val="3"/>
        </w:rPr>
        <w:t>定点定位，不宜设在居住区的上风向；根据风速，采取</w:t>
      </w:r>
      <w:r>
        <w:rPr>
          <w:rFonts w:ascii="SimSun" w:hAnsi="SimSun" w:eastAsia="SimSun" w:cs="SimSun"/>
          <w:sz w:val="24"/>
          <w:szCs w:val="24"/>
          <w:spacing w:val="2"/>
        </w:rPr>
        <w:t>相应的防尘措施，对散料</w:t>
      </w:r>
      <w:r>
        <w:rPr>
          <w:rFonts w:ascii="SimSun" w:hAnsi="SimSun" w:eastAsia="SimSun" w:cs="SimSun"/>
          <w:sz w:val="24"/>
          <w:szCs w:val="24"/>
        </w:rPr>
        <w:t xml:space="preserve"> </w:t>
      </w:r>
      <w:r>
        <w:rPr>
          <w:rFonts w:ascii="SimSun" w:hAnsi="SimSun" w:eastAsia="SimSun" w:cs="SimSun"/>
          <w:sz w:val="24"/>
          <w:szCs w:val="24"/>
          <w:spacing w:val="-1"/>
        </w:rPr>
        <w:t>堆场采用水喷淋防尘，或用篷布遮盖散料堆；</w:t>
      </w:r>
    </w:p>
    <w:p>
      <w:pPr>
        <w:ind w:left="11" w:right="80" w:firstLine="476"/>
        <w:spacing w:before="184" w:line="290" w:lineRule="auto"/>
        <w:rPr>
          <w:rFonts w:ascii="SimSun" w:hAnsi="SimSun" w:eastAsia="SimSun" w:cs="SimSun"/>
          <w:sz w:val="24"/>
          <w:szCs w:val="24"/>
        </w:rPr>
      </w:pPr>
      <w:r>
        <w:rPr>
          <w:rFonts w:ascii="SimSun" w:hAnsi="SimSun" w:eastAsia="SimSun" w:cs="SimSun"/>
          <w:sz w:val="24"/>
          <w:szCs w:val="24"/>
          <w:spacing w:val="3"/>
        </w:rPr>
        <w:t>⑦合理安排施工计划，根据平面布局，可以对厂址局部提前进行</w:t>
      </w:r>
      <w:r>
        <w:rPr>
          <w:rFonts w:ascii="SimSun" w:hAnsi="SimSun" w:eastAsia="SimSun" w:cs="SimSun"/>
          <w:sz w:val="24"/>
          <w:szCs w:val="24"/>
          <w:spacing w:val="2"/>
        </w:rPr>
        <w:t>绿化，改善</w:t>
      </w:r>
      <w:r>
        <w:rPr>
          <w:rFonts w:ascii="SimSun" w:hAnsi="SimSun" w:eastAsia="SimSun" w:cs="SimSun"/>
          <w:sz w:val="24"/>
          <w:szCs w:val="24"/>
        </w:rPr>
        <w:t xml:space="preserve"> </w:t>
      </w:r>
      <w:r>
        <w:rPr>
          <w:rFonts w:ascii="SimSun" w:hAnsi="SimSun" w:eastAsia="SimSun" w:cs="SimSun"/>
          <w:sz w:val="24"/>
          <w:szCs w:val="24"/>
          <w:spacing w:val="-1"/>
        </w:rPr>
        <w:t>生态景观，减轻扬尘环境影响；</w:t>
      </w:r>
    </w:p>
    <w:p>
      <w:pPr>
        <w:ind w:left="8" w:right="80" w:firstLine="479"/>
        <w:spacing w:before="181" w:line="290" w:lineRule="auto"/>
        <w:rPr>
          <w:rFonts w:ascii="SimSun" w:hAnsi="SimSun" w:eastAsia="SimSun" w:cs="SimSun"/>
          <w:sz w:val="24"/>
          <w:szCs w:val="24"/>
        </w:rPr>
      </w:pPr>
      <w:r>
        <w:rPr>
          <w:rFonts w:ascii="SimSun" w:hAnsi="SimSun" w:eastAsia="SimSun" w:cs="SimSun"/>
          <w:sz w:val="24"/>
          <w:szCs w:val="24"/>
          <w:spacing w:val="3"/>
        </w:rPr>
        <w:t>⑧挖掘土石方过程要遵守施工建筑规定及有关水土保持规定，尽</w:t>
      </w:r>
      <w:r>
        <w:rPr>
          <w:rFonts w:ascii="SimSun" w:hAnsi="SimSun" w:eastAsia="SimSun" w:cs="SimSun"/>
          <w:sz w:val="24"/>
          <w:szCs w:val="24"/>
          <w:spacing w:val="2"/>
        </w:rPr>
        <w:t>力减轻植被</w:t>
      </w:r>
      <w:r>
        <w:rPr>
          <w:rFonts w:ascii="SimSun" w:hAnsi="SimSun" w:eastAsia="SimSun" w:cs="SimSun"/>
          <w:sz w:val="24"/>
          <w:szCs w:val="24"/>
        </w:rPr>
        <w:t xml:space="preserve"> </w:t>
      </w:r>
      <w:r>
        <w:rPr>
          <w:rFonts w:ascii="SimSun" w:hAnsi="SimSun" w:eastAsia="SimSun" w:cs="SimSun"/>
          <w:sz w:val="24"/>
          <w:szCs w:val="24"/>
          <w:spacing w:val="-1"/>
        </w:rPr>
        <w:t>破坏，减少扬尘，保护环境。</w:t>
      </w:r>
    </w:p>
    <w:p>
      <w:pPr>
        <w:ind w:left="501"/>
        <w:spacing w:before="180"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）车辆废气防治措施分析</w:t>
      </w:r>
    </w:p>
    <w:p>
      <w:pPr>
        <w:ind w:left="11" w:firstLine="478"/>
        <w:spacing w:before="184" w:line="360" w:lineRule="auto"/>
        <w:jc w:val="both"/>
        <w:rPr>
          <w:rFonts w:ascii="SimSun" w:hAnsi="SimSun" w:eastAsia="SimSun" w:cs="SimSun"/>
          <w:sz w:val="24"/>
          <w:szCs w:val="24"/>
        </w:rPr>
      </w:pPr>
      <w:r>
        <w:rPr>
          <w:rFonts w:ascii="SimSun" w:hAnsi="SimSun" w:eastAsia="SimSun" w:cs="SimSun"/>
          <w:sz w:val="24"/>
          <w:szCs w:val="24"/>
          <w:spacing w:val="3"/>
        </w:rPr>
        <w:t>加强对施工车辆的检修和维护，严禁使用超期服役和尾气超标的车</w:t>
      </w:r>
      <w:r>
        <w:rPr>
          <w:rFonts w:ascii="SimSun" w:hAnsi="SimSun" w:eastAsia="SimSun" w:cs="SimSun"/>
          <w:sz w:val="24"/>
          <w:szCs w:val="24"/>
          <w:spacing w:val="2"/>
        </w:rPr>
        <w:t>辆。对施</w:t>
      </w:r>
      <w:r>
        <w:rPr>
          <w:rFonts w:ascii="SimSun" w:hAnsi="SimSun" w:eastAsia="SimSun" w:cs="SimSun"/>
          <w:sz w:val="24"/>
          <w:szCs w:val="24"/>
        </w:rPr>
        <w:t xml:space="preserve"> </w:t>
      </w:r>
      <w:r>
        <w:rPr>
          <w:rFonts w:ascii="SimSun" w:hAnsi="SimSun" w:eastAsia="SimSun" w:cs="SimSun"/>
          <w:sz w:val="24"/>
          <w:szCs w:val="24"/>
          <w:spacing w:val="3"/>
        </w:rPr>
        <w:t>工期间进出施工现场车流量进行合理安排，防止施工</w:t>
      </w:r>
      <w:r>
        <w:rPr>
          <w:rFonts w:ascii="SimSun" w:hAnsi="SimSun" w:eastAsia="SimSun" w:cs="SimSun"/>
          <w:sz w:val="24"/>
          <w:szCs w:val="24"/>
          <w:spacing w:val="2"/>
        </w:rPr>
        <w:t>现场车流量过大。尽可能使</w:t>
      </w:r>
      <w:r>
        <w:rPr>
          <w:rFonts w:ascii="SimSun" w:hAnsi="SimSun" w:eastAsia="SimSun" w:cs="SimSun"/>
          <w:sz w:val="24"/>
          <w:szCs w:val="24"/>
        </w:rPr>
        <w:t xml:space="preserve"> </w:t>
      </w:r>
      <w:r>
        <w:rPr>
          <w:rFonts w:ascii="SimSun" w:hAnsi="SimSun" w:eastAsia="SimSun" w:cs="SimSun"/>
          <w:sz w:val="24"/>
          <w:szCs w:val="24"/>
          <w:spacing w:val="-2"/>
        </w:rPr>
        <w:t>用油耗低，排气小的施工车辆，选用优质燃油，减少机械和车辆的有害废气排放。</w:t>
      </w:r>
    </w:p>
    <w:p>
      <w:pPr>
        <w:spacing w:line="360" w:lineRule="auto"/>
        <w:sectPr>
          <w:headerReference w:type="default" r:id="rId11"/>
          <w:footerReference w:type="default" r:id="rId379"/>
          <w:pgSz w:w="11907" w:h="16840"/>
          <w:pgMar w:top="1567" w:right="1621" w:bottom="1921" w:left="1701" w:header="1221" w:footer="1247" w:gutter="0"/>
        </w:sectPr>
        <w:rPr>
          <w:rFonts w:ascii="SimSun" w:hAnsi="SimSun" w:eastAsia="SimSun" w:cs="SimSun"/>
          <w:sz w:val="24"/>
          <w:szCs w:val="24"/>
        </w:rPr>
      </w:pPr>
    </w:p>
    <w:p>
      <w:pPr>
        <w:ind w:left="10"/>
        <w:spacing w:before="192" w:line="222" w:lineRule="auto"/>
        <w:outlineLvl w:val="2"/>
        <w:rPr>
          <w:rFonts w:ascii="SimHei" w:hAnsi="SimHei" w:eastAsia="SimHei" w:cs="SimHei"/>
          <w:sz w:val="28"/>
          <w:szCs w:val="28"/>
        </w:rPr>
      </w:pPr>
      <w:r>
        <w:pict>
          <v:shape id="_x0000_s1284" style="position:absolute;margin-left:85.05pt;margin-top:79.11pt;mso-position-vertical-relative:page;mso-position-horizontal-relative:page;width:425.25pt;height:0.75pt;z-index:252362752;" o:allowincell="f" fillcolor="#000000" filled="true" stroked="false" coordsize="8505,15" coordorigin="0,0" path="m,l8505,0l8505,14l0,14l0,0xe"/>
        </w:pict>
      </w:r>
      <w:bookmarkStart w:name="bookmark170" w:id="204"/>
      <w:bookmarkEnd w:id="204"/>
      <w:r>
        <w:rPr>
          <w:rFonts w:ascii="Times New Roman" w:hAnsi="Times New Roman" w:eastAsia="Times New Roman" w:cs="Times New Roman"/>
          <w:sz w:val="28"/>
          <w:szCs w:val="28"/>
          <w:spacing w:val="-1"/>
        </w:rPr>
        <w:t>7.7.2 </w:t>
      </w:r>
      <w:r>
        <w:rPr>
          <w:rFonts w:ascii="SimHei" w:hAnsi="SimHei" w:eastAsia="SimHei" w:cs="SimHei"/>
          <w:sz w:val="28"/>
          <w:szCs w:val="28"/>
          <w:spacing w:val="-1"/>
        </w:rPr>
        <w:t>废水防治措施分析</w:t>
      </w:r>
    </w:p>
    <w:p>
      <w:pPr>
        <w:pStyle w:val="BodyText"/>
        <w:spacing w:line="277" w:lineRule="auto"/>
        <w:rPr/>
      </w:pPr>
      <w:r/>
    </w:p>
    <w:p>
      <w:pPr>
        <w:ind w:left="17" w:right="20" w:firstLine="471"/>
        <w:spacing w:before="78" w:line="359" w:lineRule="auto"/>
        <w:rPr>
          <w:rFonts w:ascii="SimSun" w:hAnsi="SimSun" w:eastAsia="SimSun" w:cs="SimSun"/>
          <w:sz w:val="24"/>
          <w:szCs w:val="24"/>
        </w:rPr>
      </w:pPr>
      <w:r>
        <w:rPr>
          <w:rFonts w:ascii="SimSun" w:hAnsi="SimSun" w:eastAsia="SimSun" w:cs="SimSun"/>
          <w:sz w:val="24"/>
          <w:szCs w:val="24"/>
          <w:spacing w:val="3"/>
        </w:rPr>
        <w:t>施工期由于施工人员多，生活用水量较大。同时为了防止建筑施工</w:t>
      </w:r>
      <w:r>
        <w:rPr>
          <w:rFonts w:ascii="SimSun" w:hAnsi="SimSun" w:eastAsia="SimSun" w:cs="SimSun"/>
          <w:sz w:val="24"/>
          <w:szCs w:val="24"/>
          <w:spacing w:val="2"/>
        </w:rPr>
        <w:t>对周围地</w:t>
      </w:r>
      <w:r>
        <w:rPr>
          <w:rFonts w:ascii="SimSun" w:hAnsi="SimSun" w:eastAsia="SimSun" w:cs="SimSun"/>
          <w:sz w:val="24"/>
          <w:szCs w:val="24"/>
        </w:rPr>
        <w:t xml:space="preserve"> </w:t>
      </w:r>
      <w:r>
        <w:rPr>
          <w:rFonts w:ascii="SimSun" w:hAnsi="SimSun" w:eastAsia="SimSun" w:cs="SimSun"/>
          <w:sz w:val="24"/>
          <w:szCs w:val="24"/>
          <w:spacing w:val="-3"/>
        </w:rPr>
        <w:t>下水体产生的石油类等的污染，建设单位应与施工单位密切配合，采取以下措施：</w:t>
      </w:r>
    </w:p>
    <w:p>
      <w:pPr>
        <w:ind w:left="501"/>
        <w:spacing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）定期清洁建筑施工机械表面不必要的润滑油及其他油废，并妥善处置；</w:t>
      </w:r>
    </w:p>
    <w:p>
      <w:pPr>
        <w:spacing w:before="183" w:line="219" w:lineRule="auto"/>
        <w:jc w:val="right"/>
        <w:rPr>
          <w:rFonts w:ascii="SimSun" w:hAnsi="SimSun" w:eastAsia="SimSun" w:cs="SimSun"/>
          <w:sz w:val="24"/>
          <w:szCs w:val="24"/>
        </w:rPr>
      </w:pPr>
      <w:r>
        <w:rPr>
          <w:rFonts w:ascii="SimSun" w:hAnsi="SimSun" w:eastAsia="SimSun" w:cs="SimSun"/>
          <w:sz w:val="24"/>
          <w:szCs w:val="24"/>
          <w:spacing w:val="-6"/>
        </w:rPr>
        <w:t>（</w:t>
      </w:r>
      <w:r>
        <w:rPr>
          <w:rFonts w:ascii="Times New Roman" w:hAnsi="Times New Roman" w:eastAsia="Times New Roman" w:cs="Times New Roman"/>
          <w:sz w:val="24"/>
          <w:szCs w:val="24"/>
          <w:spacing w:val="-6"/>
        </w:rPr>
        <w:t>2</w:t>
      </w:r>
      <w:r>
        <w:rPr>
          <w:rFonts w:ascii="SimSun" w:hAnsi="SimSun" w:eastAsia="SimSun" w:cs="SimSun"/>
          <w:sz w:val="24"/>
          <w:szCs w:val="24"/>
          <w:spacing w:val="-6"/>
        </w:rPr>
        <w:t>）加强施工机械设备维修保养，避免施工过程中燃料</w:t>
      </w:r>
      <w:r>
        <w:rPr>
          <w:rFonts w:ascii="SimSun" w:hAnsi="SimSun" w:eastAsia="SimSun" w:cs="SimSun"/>
          <w:sz w:val="24"/>
          <w:szCs w:val="24"/>
          <w:spacing w:val="-7"/>
        </w:rPr>
        <w:t>油的跑、冒、滴、漏；</w:t>
      </w:r>
    </w:p>
    <w:p>
      <w:pPr>
        <w:ind w:left="501"/>
        <w:spacing w:before="184"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）施工时产生的废水未经处理不得随意排放，不得污染现场及周围环境；</w:t>
      </w:r>
    </w:p>
    <w:p>
      <w:pPr>
        <w:ind w:left="22" w:right="80" w:firstLine="479"/>
        <w:spacing w:before="180" w:line="28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）不得随意在施工区域内冲洗汽车，对施工机械进行检修和清</w:t>
      </w:r>
      <w:r>
        <w:rPr>
          <w:rFonts w:ascii="SimSun" w:hAnsi="SimSun" w:eastAsia="SimSun" w:cs="SimSun"/>
          <w:sz w:val="24"/>
          <w:szCs w:val="24"/>
          <w:spacing w:val="-2"/>
        </w:rPr>
        <w:t>洗时必须定</w:t>
      </w:r>
      <w:r>
        <w:rPr>
          <w:rFonts w:ascii="SimSun" w:hAnsi="SimSun" w:eastAsia="SimSun" w:cs="SimSun"/>
          <w:sz w:val="24"/>
          <w:szCs w:val="24"/>
        </w:rPr>
        <w:t xml:space="preserve"> </w:t>
      </w:r>
      <w:r>
        <w:rPr>
          <w:rFonts w:ascii="SimSun" w:hAnsi="SimSun" w:eastAsia="SimSun" w:cs="SimSun"/>
          <w:sz w:val="24"/>
          <w:szCs w:val="24"/>
          <w:spacing w:val="-2"/>
        </w:rPr>
        <w:t>点，检修和清洗场地必须经水泥硬化；</w:t>
      </w:r>
    </w:p>
    <w:p>
      <w:pPr>
        <w:ind w:left="501"/>
        <w:spacing w:before="183"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）施工人员生活污水排入临时化粪池处理后，定期清掏处理。</w:t>
      </w:r>
    </w:p>
    <w:p>
      <w:pPr>
        <w:pStyle w:val="BodyText"/>
        <w:spacing w:line="251" w:lineRule="auto"/>
        <w:rPr/>
      </w:pPr>
      <w:r/>
    </w:p>
    <w:p>
      <w:pPr>
        <w:ind w:left="10"/>
        <w:spacing w:before="91" w:line="222" w:lineRule="auto"/>
        <w:outlineLvl w:val="2"/>
        <w:rPr>
          <w:rFonts w:ascii="SimHei" w:hAnsi="SimHei" w:eastAsia="SimHei" w:cs="SimHei"/>
          <w:sz w:val="28"/>
          <w:szCs w:val="28"/>
        </w:rPr>
      </w:pPr>
      <w:bookmarkStart w:name="bookmark171" w:id="205"/>
      <w:bookmarkEnd w:id="205"/>
      <w:r>
        <w:rPr>
          <w:rFonts w:ascii="Times New Roman" w:hAnsi="Times New Roman" w:eastAsia="Times New Roman" w:cs="Times New Roman"/>
          <w:sz w:val="28"/>
          <w:szCs w:val="28"/>
          <w:spacing w:val="-1"/>
        </w:rPr>
        <w:t>7.7.3 </w:t>
      </w:r>
      <w:r>
        <w:rPr>
          <w:rFonts w:ascii="SimHei" w:hAnsi="SimHei" w:eastAsia="SimHei" w:cs="SimHei"/>
          <w:sz w:val="28"/>
          <w:szCs w:val="28"/>
          <w:spacing w:val="-1"/>
        </w:rPr>
        <w:t>噪声防治措施分析</w:t>
      </w:r>
    </w:p>
    <w:p>
      <w:pPr>
        <w:pStyle w:val="BodyText"/>
        <w:spacing w:line="281" w:lineRule="auto"/>
        <w:rPr/>
      </w:pPr>
      <w:r/>
    </w:p>
    <w:p>
      <w:pPr>
        <w:ind w:left="14" w:right="18" w:firstLine="486"/>
        <w:spacing w:before="79" w:line="312"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）制定施工计划时应避免同时使用大量高噪声设备施工，除此</w:t>
      </w:r>
      <w:r>
        <w:rPr>
          <w:rFonts w:ascii="SimSun" w:hAnsi="SimSun" w:eastAsia="SimSun" w:cs="SimSun"/>
          <w:sz w:val="24"/>
          <w:szCs w:val="24"/>
          <w:spacing w:val="-2"/>
        </w:rPr>
        <w:t>之外，高噪</w:t>
      </w:r>
      <w:r>
        <w:rPr>
          <w:rFonts w:ascii="SimSun" w:hAnsi="SimSun" w:eastAsia="SimSun" w:cs="SimSun"/>
          <w:sz w:val="24"/>
          <w:szCs w:val="24"/>
        </w:rPr>
        <w:t xml:space="preserve"> </w:t>
      </w:r>
      <w:r>
        <w:rPr>
          <w:rFonts w:ascii="SimSun" w:hAnsi="SimSun" w:eastAsia="SimSun" w:cs="SimSun"/>
          <w:sz w:val="24"/>
          <w:szCs w:val="24"/>
          <w:spacing w:val="-3"/>
        </w:rPr>
        <w:t>声机械施工时间要安排在日间，减少夜间施工量，禁止夜间打桩及限制车辆运输，</w:t>
      </w:r>
      <w:r>
        <w:rPr>
          <w:rFonts w:ascii="SimSun" w:hAnsi="SimSun" w:eastAsia="SimSun" w:cs="SimSun"/>
          <w:sz w:val="24"/>
          <w:szCs w:val="24"/>
          <w:spacing w:val="17"/>
        </w:rPr>
        <w:t xml:space="preserve"> </w:t>
      </w:r>
      <w:r>
        <w:rPr>
          <w:rFonts w:ascii="SimSun" w:hAnsi="SimSun" w:eastAsia="SimSun" w:cs="SimSun"/>
          <w:sz w:val="24"/>
          <w:szCs w:val="24"/>
          <w:spacing w:val="-1"/>
        </w:rPr>
        <w:t>白天车辆经过城区时，尽量不鸣喇叭。</w:t>
      </w:r>
    </w:p>
    <w:p>
      <w:pPr>
        <w:ind w:left="8" w:firstLine="492"/>
        <w:spacing w:before="179" w:line="290" w:lineRule="auto"/>
        <w:rPr>
          <w:rFonts w:ascii="SimSun" w:hAnsi="SimSun" w:eastAsia="SimSun" w:cs="SimSun"/>
          <w:sz w:val="24"/>
          <w:szCs w:val="24"/>
        </w:rPr>
      </w:pPr>
      <w:r>
        <w:rPr>
          <w:rFonts w:ascii="SimSun" w:hAnsi="SimSun" w:eastAsia="SimSun" w:cs="SimSun"/>
          <w:sz w:val="24"/>
          <w:szCs w:val="24"/>
          <w:spacing w:val="-6"/>
        </w:rPr>
        <w:t>（</w:t>
      </w:r>
      <w:r>
        <w:rPr>
          <w:rFonts w:ascii="Times New Roman" w:hAnsi="Times New Roman" w:eastAsia="Times New Roman" w:cs="Times New Roman"/>
          <w:sz w:val="24"/>
          <w:szCs w:val="24"/>
          <w:spacing w:val="-6"/>
        </w:rPr>
        <w:t>2</w:t>
      </w:r>
      <w:r>
        <w:rPr>
          <w:rFonts w:ascii="SimSun" w:hAnsi="SimSun" w:eastAsia="SimSun" w:cs="SimSun"/>
          <w:sz w:val="24"/>
          <w:szCs w:val="24"/>
          <w:spacing w:val="-6"/>
        </w:rPr>
        <w:t>）避免在同一施工地点同时安排大量动力机械设备，以避免局部声级过高。</w:t>
      </w:r>
      <w:r>
        <w:rPr>
          <w:rFonts w:ascii="SimSun" w:hAnsi="SimSun" w:eastAsia="SimSun" w:cs="SimSun"/>
          <w:sz w:val="24"/>
          <w:szCs w:val="24"/>
          <w:spacing w:val="11"/>
        </w:rPr>
        <w:t xml:space="preserve"> </w:t>
      </w:r>
      <w:r>
        <w:rPr>
          <w:rFonts w:ascii="SimSun" w:hAnsi="SimSun" w:eastAsia="SimSun" w:cs="SimSun"/>
          <w:sz w:val="24"/>
          <w:szCs w:val="24"/>
          <w:spacing w:val="-1"/>
        </w:rPr>
        <w:t>在条件允许时应尽量使高噪声设备远离声敏感区域。</w:t>
      </w:r>
    </w:p>
    <w:p>
      <w:pPr>
        <w:ind w:left="9" w:right="77" w:firstLine="491"/>
        <w:spacing w:before="181" w:line="331"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）设备选型上应采用低噪声设备，如液压机械代替燃油机械，</w:t>
      </w:r>
      <w:r>
        <w:rPr>
          <w:rFonts w:ascii="SimSun" w:hAnsi="SimSun" w:eastAsia="SimSun" w:cs="SimSun"/>
          <w:sz w:val="24"/>
          <w:szCs w:val="24"/>
          <w:spacing w:val="-2"/>
        </w:rPr>
        <w:t>振捣器采用</w:t>
      </w:r>
      <w:r>
        <w:rPr>
          <w:rFonts w:ascii="SimSun" w:hAnsi="SimSun" w:eastAsia="SimSun" w:cs="SimSun"/>
          <w:sz w:val="24"/>
          <w:szCs w:val="24"/>
        </w:rPr>
        <w:t xml:space="preserve"> </w:t>
      </w:r>
      <w:r>
        <w:rPr>
          <w:rFonts w:ascii="SimSun" w:hAnsi="SimSun" w:eastAsia="SimSun" w:cs="SimSun"/>
          <w:sz w:val="24"/>
          <w:szCs w:val="24"/>
          <w:spacing w:val="3"/>
        </w:rPr>
        <w:t>高频振捣器等。固定机械设备与挖土、运土机械（如挖土</w:t>
      </w:r>
      <w:r>
        <w:rPr>
          <w:rFonts w:ascii="SimSun" w:hAnsi="SimSun" w:eastAsia="SimSun" w:cs="SimSun"/>
          <w:sz w:val="24"/>
          <w:szCs w:val="24"/>
          <w:spacing w:val="2"/>
        </w:rPr>
        <w:t>机、推土机等）可通过</w:t>
      </w:r>
      <w:r>
        <w:rPr>
          <w:rFonts w:ascii="SimSun" w:hAnsi="SimSun" w:eastAsia="SimSun" w:cs="SimSun"/>
          <w:sz w:val="24"/>
          <w:szCs w:val="24"/>
        </w:rPr>
        <w:t xml:space="preserve"> </w:t>
      </w:r>
      <w:r>
        <w:rPr>
          <w:rFonts w:ascii="SimSun" w:hAnsi="SimSun" w:eastAsia="SimSun" w:cs="SimSun"/>
          <w:sz w:val="24"/>
          <w:szCs w:val="24"/>
          <w:spacing w:val="3"/>
        </w:rPr>
        <w:t>排气管消声器和隔离发动机振动部件的方法降低噪声；</w:t>
      </w:r>
      <w:r>
        <w:rPr>
          <w:rFonts w:ascii="SimSun" w:hAnsi="SimSun" w:eastAsia="SimSun" w:cs="SimSun"/>
          <w:sz w:val="24"/>
          <w:szCs w:val="24"/>
          <w:spacing w:val="2"/>
        </w:rPr>
        <w:t>设备常因松动部件的振动</w:t>
      </w:r>
      <w:r>
        <w:rPr>
          <w:rFonts w:ascii="SimSun" w:hAnsi="SimSun" w:eastAsia="SimSun" w:cs="SimSun"/>
          <w:sz w:val="24"/>
          <w:szCs w:val="24"/>
        </w:rPr>
        <w:t xml:space="preserve"> </w:t>
      </w:r>
      <w:r>
        <w:rPr>
          <w:rFonts w:ascii="SimSun" w:hAnsi="SimSun" w:eastAsia="SimSun" w:cs="SimSun"/>
          <w:sz w:val="24"/>
          <w:szCs w:val="24"/>
          <w:spacing w:val="3"/>
        </w:rPr>
        <w:t>或消声器的损坏而增加其工作时的噪声级。对动力机械</w:t>
      </w:r>
      <w:r>
        <w:rPr>
          <w:rFonts w:ascii="SimSun" w:hAnsi="SimSun" w:eastAsia="SimSun" w:cs="SimSun"/>
          <w:sz w:val="24"/>
          <w:szCs w:val="24"/>
          <w:spacing w:val="2"/>
        </w:rPr>
        <w:t>设备进行定期的维修、养</w:t>
      </w:r>
      <w:r>
        <w:rPr>
          <w:rFonts w:ascii="SimSun" w:hAnsi="SimSun" w:eastAsia="SimSun" w:cs="SimSun"/>
          <w:sz w:val="24"/>
          <w:szCs w:val="24"/>
        </w:rPr>
        <w:t xml:space="preserve"> </w:t>
      </w:r>
      <w:r>
        <w:rPr>
          <w:rFonts w:ascii="SimSun" w:hAnsi="SimSun" w:eastAsia="SimSun" w:cs="SimSun"/>
          <w:sz w:val="24"/>
          <w:szCs w:val="24"/>
          <w:spacing w:val="-1"/>
        </w:rPr>
        <w:t>护。运输车辆进入现场应减速，并减少鸣笛。</w:t>
      </w:r>
    </w:p>
    <w:p>
      <w:pPr>
        <w:ind w:left="8" w:right="80" w:firstLine="492"/>
        <w:spacing w:before="182" w:line="29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）尽量少用哨子、笛等指挥作业，代之以现代化通讯设备，按</w:t>
      </w:r>
      <w:r>
        <w:rPr>
          <w:rFonts w:ascii="SimSun" w:hAnsi="SimSun" w:eastAsia="SimSun" w:cs="SimSun"/>
          <w:sz w:val="24"/>
          <w:szCs w:val="24"/>
          <w:spacing w:val="-2"/>
        </w:rPr>
        <w:t>规程操作机</w:t>
      </w:r>
      <w:r>
        <w:rPr>
          <w:rFonts w:ascii="SimSun" w:hAnsi="SimSun" w:eastAsia="SimSun" w:cs="SimSun"/>
          <w:sz w:val="24"/>
          <w:szCs w:val="24"/>
        </w:rPr>
        <w:t xml:space="preserve"> </w:t>
      </w:r>
      <w:r>
        <w:rPr>
          <w:rFonts w:ascii="SimSun" w:hAnsi="SimSun" w:eastAsia="SimSun" w:cs="SimSun"/>
          <w:sz w:val="24"/>
          <w:szCs w:val="24"/>
          <w:spacing w:val="-1"/>
        </w:rPr>
        <w:t>械设备，减少人为噪声。</w:t>
      </w:r>
    </w:p>
    <w:p>
      <w:pPr>
        <w:pStyle w:val="BodyText"/>
        <w:spacing w:line="249" w:lineRule="auto"/>
        <w:rPr/>
      </w:pPr>
      <w:r/>
    </w:p>
    <w:p>
      <w:pPr>
        <w:ind w:left="10"/>
        <w:spacing w:before="92" w:line="222" w:lineRule="auto"/>
        <w:outlineLvl w:val="2"/>
        <w:rPr>
          <w:rFonts w:ascii="SimHei" w:hAnsi="SimHei" w:eastAsia="SimHei" w:cs="SimHei"/>
          <w:sz w:val="28"/>
          <w:szCs w:val="28"/>
        </w:rPr>
      </w:pPr>
      <w:bookmarkStart w:name="bookmark172" w:id="206"/>
      <w:bookmarkEnd w:id="206"/>
      <w:r>
        <w:rPr>
          <w:rFonts w:ascii="Times New Roman" w:hAnsi="Times New Roman" w:eastAsia="Times New Roman" w:cs="Times New Roman"/>
          <w:sz w:val="28"/>
          <w:szCs w:val="28"/>
          <w:spacing w:val="-3"/>
        </w:rPr>
        <w:t>7.7.4</w:t>
      </w:r>
      <w:r>
        <w:rPr>
          <w:rFonts w:ascii="Times New Roman" w:hAnsi="Times New Roman" w:eastAsia="Times New Roman" w:cs="Times New Roman"/>
          <w:sz w:val="28"/>
          <w:szCs w:val="28"/>
          <w:spacing w:val="33"/>
        </w:rPr>
        <w:t xml:space="preserve"> </w:t>
      </w:r>
      <w:r>
        <w:rPr>
          <w:rFonts w:ascii="SimHei" w:hAnsi="SimHei" w:eastAsia="SimHei" w:cs="SimHei"/>
          <w:sz w:val="28"/>
          <w:szCs w:val="28"/>
          <w:spacing w:val="-3"/>
        </w:rPr>
        <w:t>固体废物处置措施分析</w:t>
      </w:r>
    </w:p>
    <w:p>
      <w:pPr>
        <w:pStyle w:val="BodyText"/>
        <w:spacing w:line="277" w:lineRule="auto"/>
        <w:rPr/>
      </w:pPr>
      <w:r/>
    </w:p>
    <w:p>
      <w:pPr>
        <w:ind w:left="8" w:right="80" w:firstLine="492"/>
        <w:spacing w:before="79" w:line="28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）根据施工产生的工程垃圾和渣土的量，分类管理，可利用的</w:t>
      </w:r>
      <w:r>
        <w:rPr>
          <w:rFonts w:ascii="SimSun" w:hAnsi="SimSun" w:eastAsia="SimSun" w:cs="SimSun"/>
          <w:sz w:val="24"/>
          <w:szCs w:val="24"/>
          <w:spacing w:val="-2"/>
        </w:rPr>
        <w:t>渣土尽量在</w:t>
      </w:r>
      <w:r>
        <w:rPr>
          <w:rFonts w:ascii="SimSun" w:hAnsi="SimSun" w:eastAsia="SimSun" w:cs="SimSun"/>
          <w:sz w:val="24"/>
          <w:szCs w:val="24"/>
        </w:rPr>
        <w:t xml:space="preserve"> </w:t>
      </w:r>
      <w:r>
        <w:rPr>
          <w:rFonts w:ascii="SimSun" w:hAnsi="SimSun" w:eastAsia="SimSun" w:cs="SimSun"/>
          <w:sz w:val="24"/>
          <w:szCs w:val="24"/>
        </w:rPr>
        <w:t>场内周转，就地利用，以防污染周围水体水质</w:t>
      </w:r>
      <w:r>
        <w:rPr>
          <w:rFonts w:ascii="SimSun" w:hAnsi="SimSun" w:eastAsia="SimSun" w:cs="SimSun"/>
          <w:sz w:val="24"/>
          <w:szCs w:val="24"/>
          <w:spacing w:val="-1"/>
        </w:rPr>
        <w:t>和影响周围环境卫生；</w:t>
      </w:r>
    </w:p>
    <w:p>
      <w:pPr>
        <w:spacing w:before="183" w:line="219" w:lineRule="auto"/>
        <w:jc w:val="right"/>
        <w:rPr>
          <w:rFonts w:ascii="SimSun" w:hAnsi="SimSun" w:eastAsia="SimSun" w:cs="SimSun"/>
          <w:sz w:val="24"/>
          <w:szCs w:val="24"/>
        </w:rPr>
      </w:pPr>
      <w:r>
        <w:rPr>
          <w:rFonts w:ascii="SimSun" w:hAnsi="SimSun" w:eastAsia="SimSun" w:cs="SimSun"/>
          <w:sz w:val="24"/>
          <w:szCs w:val="24"/>
          <w:spacing w:val="-6"/>
        </w:rPr>
        <w:t>（</w:t>
      </w:r>
      <w:r>
        <w:rPr>
          <w:rFonts w:ascii="Times New Roman" w:hAnsi="Times New Roman" w:eastAsia="Times New Roman" w:cs="Times New Roman"/>
          <w:sz w:val="24"/>
          <w:szCs w:val="24"/>
          <w:spacing w:val="-6"/>
        </w:rPr>
        <w:t>2</w:t>
      </w:r>
      <w:r>
        <w:rPr>
          <w:rFonts w:ascii="SimSun" w:hAnsi="SimSun" w:eastAsia="SimSun" w:cs="SimSun"/>
          <w:sz w:val="24"/>
          <w:szCs w:val="24"/>
          <w:spacing w:val="-6"/>
        </w:rPr>
        <w:t>）车辆运输散体物料和废弃物时，必须密闭、包扎、</w:t>
      </w:r>
      <w:r>
        <w:rPr>
          <w:rFonts w:ascii="SimSun" w:hAnsi="SimSun" w:eastAsia="SimSun" w:cs="SimSun"/>
          <w:sz w:val="24"/>
          <w:szCs w:val="24"/>
          <w:spacing w:val="-7"/>
        </w:rPr>
        <w:t>覆盖，不得沿途漏撒；</w:t>
      </w:r>
    </w:p>
    <w:p>
      <w:pPr>
        <w:pStyle w:val="BodyText"/>
        <w:spacing w:line="284" w:lineRule="auto"/>
        <w:rPr/>
      </w:pPr>
      <w:r/>
    </w:p>
    <w:p>
      <w:pPr>
        <w:pStyle w:val="BodyText"/>
        <w:spacing w:line="284" w:lineRule="auto"/>
        <w:rPr/>
      </w:pPr>
      <w:r/>
    </w:p>
    <w:p>
      <w:pPr>
        <w:ind w:left="7"/>
        <w:spacing w:before="63" w:line="227" w:lineRule="auto"/>
        <w:rPr>
          <w:rFonts w:ascii="SimSun" w:hAnsi="SimSun" w:eastAsia="SimSun" w:cs="SimSun"/>
          <w:sz w:val="19"/>
          <w:szCs w:val="19"/>
        </w:rPr>
      </w:pPr>
      <w:r>
        <w:pict>
          <v:shape id="_x0000_s1286" style="position:absolute;margin-left:159.33pt;margin-top:2.10709pt;mso-position-vertical-relative:text;mso-position-horizontal-relative:text;width:61pt;height:13.75pt;z-index:252361728;"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287</w:t>
                  </w:r>
                </w:p>
              </w:txbxContent>
            </v:textbox>
          </v:shape>
        </w:pict>
      </w:r>
      <w:r>
        <w:rPr>
          <w:rFonts w:ascii="SimSun" w:hAnsi="SimSun" w:eastAsia="SimSun" w:cs="SimSun"/>
          <w:sz w:val="19"/>
          <w:szCs w:val="19"/>
          <w:spacing w:val="9"/>
        </w:rPr>
        <w:t>锡林郭勒盟中安环境技术咨询有限责</w:t>
      </w:r>
    </w:p>
    <w:p>
      <w:pPr>
        <w:spacing w:line="227" w:lineRule="auto"/>
        <w:sectPr>
          <w:footerReference w:type="default" r:id="rId3"/>
          <w:pgSz w:w="11907" w:h="16840"/>
          <w:pgMar w:top="1567" w:right="1621" w:bottom="400" w:left="1701" w:header="1221" w:footer="0" w:gutter="0"/>
        </w:sectPr>
        <w:rPr>
          <w:rFonts w:ascii="SimSun" w:hAnsi="SimSun" w:eastAsia="SimSun" w:cs="SimSun"/>
          <w:sz w:val="19"/>
          <w:szCs w:val="19"/>
        </w:rPr>
      </w:pPr>
    </w:p>
    <w:p>
      <w:pPr>
        <w:ind w:left="9"/>
        <w:spacing w:before="169" w:line="219" w:lineRule="auto"/>
        <w:rPr>
          <w:rFonts w:ascii="SimSun" w:hAnsi="SimSun" w:eastAsia="SimSun" w:cs="SimSun"/>
          <w:sz w:val="24"/>
          <w:szCs w:val="24"/>
        </w:rPr>
      </w:pPr>
      <w:r>
        <w:pict>
          <v:shape id="_x0000_s1288" style="position:absolute;margin-left:85.05pt;margin-top:78.87pt;mso-position-vertical-relative:page;mso-position-horizontal-relative:page;width:425.25pt;height:0.75pt;z-index:252364800;" o:allowincell="f" fillcolor="#000000" filled="true" stroked="false" coordsize="8505,15" coordorigin="0,0" path="m,l8505,0l8505,14l0,14l0,0xe"/>
        </w:pict>
      </w:r>
      <w:r>
        <w:rPr>
          <w:rFonts w:ascii="SimSun" w:hAnsi="SimSun" w:eastAsia="SimSun" w:cs="SimSun"/>
          <w:sz w:val="24"/>
          <w:szCs w:val="24"/>
          <w:spacing w:val="-1"/>
        </w:rPr>
        <w:t>运载土方的车辆必须在规定时间内，按指定路段行驶；</w:t>
      </w:r>
    </w:p>
    <w:p>
      <w:pPr>
        <w:ind w:left="37" w:right="121" w:firstLine="464"/>
        <w:spacing w:before="179" w:line="29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）生活垃圾与建筑垃圾分开，生活垃圾收集</w:t>
      </w:r>
      <w:r>
        <w:rPr>
          <w:rFonts w:ascii="SimSun" w:hAnsi="SimSun" w:eastAsia="SimSun" w:cs="SimSun"/>
          <w:sz w:val="24"/>
          <w:szCs w:val="24"/>
          <w:spacing w:val="-3"/>
        </w:rPr>
        <w:t>依托现有工程集中收集设施，</w:t>
      </w:r>
      <w:r>
        <w:rPr>
          <w:rFonts w:ascii="SimSun" w:hAnsi="SimSun" w:eastAsia="SimSun" w:cs="SimSun"/>
          <w:sz w:val="24"/>
          <w:szCs w:val="24"/>
        </w:rPr>
        <w:t xml:space="preserve"> </w:t>
      </w:r>
      <w:r>
        <w:rPr>
          <w:rFonts w:ascii="SimSun" w:hAnsi="SimSun" w:eastAsia="SimSun" w:cs="SimSun"/>
          <w:sz w:val="24"/>
          <w:szCs w:val="24"/>
          <w:spacing w:val="-1"/>
        </w:rPr>
        <w:t>以免污染环境。将生活垃圾收集后，应及时由环卫部门分类进行</w:t>
      </w:r>
      <w:r>
        <w:rPr>
          <w:rFonts w:ascii="SimSun" w:hAnsi="SimSun" w:eastAsia="SimSun" w:cs="SimSun"/>
          <w:sz w:val="24"/>
          <w:szCs w:val="24"/>
          <w:spacing w:val="-2"/>
        </w:rPr>
        <w:t>消纳处理；</w:t>
      </w:r>
    </w:p>
    <w:p>
      <w:pPr>
        <w:ind w:left="9" w:right="80" w:firstLine="491"/>
        <w:spacing w:before="181" w:line="28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）在工程竣工以后，施工单位应立即拆除各种临时施工设施，</w:t>
      </w:r>
      <w:r>
        <w:rPr>
          <w:rFonts w:ascii="SimSun" w:hAnsi="SimSun" w:eastAsia="SimSun" w:cs="SimSun"/>
          <w:sz w:val="24"/>
          <w:szCs w:val="24"/>
          <w:spacing w:val="-2"/>
        </w:rPr>
        <w:t>并负责将工</w:t>
      </w:r>
      <w:r>
        <w:rPr>
          <w:rFonts w:ascii="SimSun" w:hAnsi="SimSun" w:eastAsia="SimSun" w:cs="SimSun"/>
          <w:sz w:val="24"/>
          <w:szCs w:val="24"/>
        </w:rPr>
        <w:t xml:space="preserve"> </w:t>
      </w:r>
      <w:r>
        <w:rPr>
          <w:rFonts w:ascii="SimSun" w:hAnsi="SimSun" w:eastAsia="SimSun" w:cs="SimSun"/>
          <w:sz w:val="24"/>
          <w:szCs w:val="24"/>
          <w:spacing w:val="-1"/>
        </w:rPr>
        <w:t>地的剩余建筑垃圾、工程渣土处理干净。</w:t>
      </w:r>
    </w:p>
    <w:p>
      <w:pPr>
        <w:pStyle w:val="BodyText"/>
        <w:spacing w:line="253" w:lineRule="auto"/>
        <w:rPr/>
      </w:pPr>
      <w:r/>
    </w:p>
    <w:p>
      <w:pPr>
        <w:ind w:left="10"/>
        <w:spacing w:before="91" w:line="222" w:lineRule="auto"/>
        <w:outlineLvl w:val="2"/>
        <w:rPr>
          <w:rFonts w:ascii="SimHei" w:hAnsi="SimHei" w:eastAsia="SimHei" w:cs="SimHei"/>
          <w:sz w:val="28"/>
          <w:szCs w:val="28"/>
        </w:rPr>
      </w:pPr>
      <w:bookmarkStart w:name="bookmark173" w:id="207"/>
      <w:bookmarkEnd w:id="207"/>
      <w:r>
        <w:rPr>
          <w:rFonts w:ascii="Times New Roman" w:hAnsi="Times New Roman" w:eastAsia="Times New Roman" w:cs="Times New Roman"/>
          <w:sz w:val="28"/>
          <w:szCs w:val="28"/>
          <w:spacing w:val="-1"/>
        </w:rPr>
        <w:t>7.7.5 </w:t>
      </w:r>
      <w:r>
        <w:rPr>
          <w:rFonts w:ascii="SimHei" w:hAnsi="SimHei" w:eastAsia="SimHei" w:cs="SimHei"/>
          <w:sz w:val="28"/>
          <w:szCs w:val="28"/>
          <w:spacing w:val="-1"/>
        </w:rPr>
        <w:t>土壤环境保护对策分析</w:t>
      </w:r>
    </w:p>
    <w:p>
      <w:pPr>
        <w:pStyle w:val="BodyText"/>
        <w:spacing w:line="279" w:lineRule="auto"/>
        <w:rPr/>
      </w:pPr>
      <w:r/>
    </w:p>
    <w:p>
      <w:pPr>
        <w:ind w:left="13" w:right="78" w:firstLine="477"/>
        <w:spacing w:before="78" w:line="359" w:lineRule="auto"/>
        <w:jc w:val="both"/>
        <w:rPr>
          <w:rFonts w:ascii="SimSun" w:hAnsi="SimSun" w:eastAsia="SimSun" w:cs="SimSun"/>
          <w:sz w:val="24"/>
          <w:szCs w:val="24"/>
        </w:rPr>
      </w:pPr>
      <w:r>
        <w:rPr>
          <w:rFonts w:ascii="SimSun" w:hAnsi="SimSun" w:eastAsia="SimSun" w:cs="SimSun"/>
          <w:sz w:val="24"/>
          <w:szCs w:val="24"/>
          <w:spacing w:val="3"/>
        </w:rPr>
        <w:t>本项目施工期施工活动控制在厂区范围内，施工期生活污水和施</w:t>
      </w:r>
      <w:r>
        <w:rPr>
          <w:rFonts w:ascii="SimSun" w:hAnsi="SimSun" w:eastAsia="SimSun" w:cs="SimSun"/>
          <w:sz w:val="24"/>
          <w:szCs w:val="24"/>
          <w:spacing w:val="2"/>
        </w:rPr>
        <w:t>工废水均进</w:t>
      </w:r>
      <w:r>
        <w:rPr>
          <w:rFonts w:ascii="SimSun" w:hAnsi="SimSun" w:eastAsia="SimSun" w:cs="SimSun"/>
          <w:sz w:val="24"/>
          <w:szCs w:val="24"/>
        </w:rPr>
        <w:t xml:space="preserve"> </w:t>
      </w:r>
      <w:r>
        <w:rPr>
          <w:rFonts w:ascii="SimSun" w:hAnsi="SimSun" w:eastAsia="SimSun" w:cs="SimSun"/>
          <w:sz w:val="24"/>
          <w:szCs w:val="24"/>
          <w:spacing w:val="3"/>
        </w:rPr>
        <w:t>行了处理，不直接排放；施工土方尽可能就地回</w:t>
      </w:r>
      <w:r>
        <w:rPr>
          <w:rFonts w:ascii="SimSun" w:hAnsi="SimSun" w:eastAsia="SimSun" w:cs="SimSun"/>
          <w:sz w:val="24"/>
          <w:szCs w:val="24"/>
          <w:spacing w:val="2"/>
        </w:rPr>
        <w:t>填，弃方按照当地环保部门城市</w:t>
      </w:r>
      <w:r>
        <w:rPr>
          <w:rFonts w:ascii="SimSun" w:hAnsi="SimSun" w:eastAsia="SimSun" w:cs="SimSun"/>
          <w:sz w:val="24"/>
          <w:szCs w:val="24"/>
        </w:rPr>
        <w:t xml:space="preserve"> </w:t>
      </w:r>
      <w:r>
        <w:rPr>
          <w:rFonts w:ascii="SimSun" w:hAnsi="SimSun" w:eastAsia="SimSun" w:cs="SimSun"/>
          <w:sz w:val="24"/>
          <w:szCs w:val="24"/>
          <w:spacing w:val="-1"/>
        </w:rPr>
        <w:t>管理部门的要求处理；施工用水来自市政供水管网，不开采地下水。</w:t>
      </w:r>
    </w:p>
    <w:p>
      <w:pPr>
        <w:ind w:left="10"/>
        <w:spacing w:before="159" w:line="222" w:lineRule="auto"/>
        <w:outlineLvl w:val="2"/>
        <w:rPr>
          <w:rFonts w:ascii="SimHei" w:hAnsi="SimHei" w:eastAsia="SimHei" w:cs="SimHei"/>
          <w:sz w:val="28"/>
          <w:szCs w:val="28"/>
        </w:rPr>
      </w:pPr>
      <w:bookmarkStart w:name="bookmark174" w:id="208"/>
      <w:bookmarkEnd w:id="208"/>
      <w:r>
        <w:rPr>
          <w:rFonts w:ascii="Times New Roman" w:hAnsi="Times New Roman" w:eastAsia="Times New Roman" w:cs="Times New Roman"/>
          <w:sz w:val="28"/>
          <w:szCs w:val="28"/>
          <w:spacing w:val="-1"/>
        </w:rPr>
        <w:t>7.7.6 </w:t>
      </w:r>
      <w:r>
        <w:rPr>
          <w:rFonts w:ascii="SimHei" w:hAnsi="SimHei" w:eastAsia="SimHei" w:cs="SimHei"/>
          <w:sz w:val="28"/>
          <w:szCs w:val="28"/>
          <w:spacing w:val="-1"/>
        </w:rPr>
        <w:t>生态环境保护对策分析</w:t>
      </w:r>
    </w:p>
    <w:p>
      <w:pPr>
        <w:pStyle w:val="BodyText"/>
        <w:spacing w:line="278" w:lineRule="auto"/>
        <w:rPr/>
      </w:pPr>
      <w:r/>
    </w:p>
    <w:p>
      <w:pPr>
        <w:ind w:left="12" w:firstLine="480"/>
        <w:spacing w:before="79" w:line="359" w:lineRule="auto"/>
        <w:jc w:val="both"/>
        <w:rPr>
          <w:rFonts w:ascii="SimSun" w:hAnsi="SimSun" w:eastAsia="SimSun" w:cs="SimSun"/>
          <w:sz w:val="24"/>
          <w:szCs w:val="24"/>
        </w:rPr>
      </w:pPr>
      <w:r>
        <w:rPr>
          <w:rFonts w:ascii="SimSun" w:hAnsi="SimSun" w:eastAsia="SimSun" w:cs="SimSun"/>
          <w:sz w:val="24"/>
          <w:szCs w:val="24"/>
          <w:spacing w:val="-2"/>
        </w:rPr>
        <w:t>工程施工过程中平整场地，从而使原来地表结构及下垫面植被完全遭到破</w:t>
      </w:r>
      <w:r>
        <w:rPr>
          <w:rFonts w:ascii="SimSun" w:hAnsi="SimSun" w:eastAsia="SimSun" w:cs="SimSun"/>
          <w:sz w:val="24"/>
          <w:szCs w:val="24"/>
          <w:spacing w:val="-3"/>
        </w:rPr>
        <w:t>坏。</w:t>
      </w:r>
      <w:r>
        <w:rPr>
          <w:rFonts w:ascii="SimSun" w:hAnsi="SimSun" w:eastAsia="SimSun" w:cs="SimSun"/>
          <w:sz w:val="24"/>
          <w:szCs w:val="24"/>
        </w:rPr>
        <w:t xml:space="preserve"> </w:t>
      </w:r>
      <w:r>
        <w:rPr>
          <w:rFonts w:ascii="SimSun" w:hAnsi="SimSun" w:eastAsia="SimSun" w:cs="SimSun"/>
          <w:sz w:val="24"/>
          <w:szCs w:val="24"/>
          <w:spacing w:val="3"/>
        </w:rPr>
        <w:t>因此，项目施工期施工活动对厂址附近生态环境的</w:t>
      </w:r>
      <w:r>
        <w:rPr>
          <w:rFonts w:ascii="SimSun" w:hAnsi="SimSun" w:eastAsia="SimSun" w:cs="SimSun"/>
          <w:sz w:val="24"/>
          <w:szCs w:val="24"/>
          <w:spacing w:val="2"/>
        </w:rPr>
        <w:t>不利影响在土地利用、水土流</w:t>
      </w:r>
      <w:r>
        <w:rPr>
          <w:rFonts w:ascii="SimSun" w:hAnsi="SimSun" w:eastAsia="SimSun" w:cs="SimSun"/>
          <w:sz w:val="24"/>
          <w:szCs w:val="24"/>
        </w:rPr>
        <w:t xml:space="preserve"> </w:t>
      </w:r>
      <w:r>
        <w:rPr>
          <w:rFonts w:ascii="SimSun" w:hAnsi="SimSun" w:eastAsia="SimSun" w:cs="SimSun"/>
          <w:sz w:val="24"/>
          <w:szCs w:val="24"/>
          <w:spacing w:val="3"/>
        </w:rPr>
        <w:t>失、植被覆盖等几个方面。本项目建设期对生态环</w:t>
      </w:r>
      <w:r>
        <w:rPr>
          <w:rFonts w:ascii="SimSun" w:hAnsi="SimSun" w:eastAsia="SimSun" w:cs="SimSun"/>
          <w:sz w:val="24"/>
          <w:szCs w:val="24"/>
          <w:spacing w:val="2"/>
        </w:rPr>
        <w:t>境带来的不利影响主要体现在</w:t>
      </w:r>
      <w:r>
        <w:rPr>
          <w:rFonts w:ascii="SimSun" w:hAnsi="SimSun" w:eastAsia="SimSun" w:cs="SimSun"/>
          <w:sz w:val="24"/>
          <w:szCs w:val="24"/>
        </w:rPr>
        <w:t xml:space="preserve"> </w:t>
      </w:r>
      <w:r>
        <w:rPr>
          <w:rFonts w:ascii="SimSun" w:hAnsi="SimSun" w:eastAsia="SimSun" w:cs="SimSun"/>
          <w:sz w:val="24"/>
          <w:szCs w:val="24"/>
        </w:rPr>
        <w:t>局部地区植被覆盖度减少以及水土流失的加剧</w:t>
      </w:r>
      <w:r>
        <w:rPr>
          <w:rFonts w:ascii="SimSun" w:hAnsi="SimSun" w:eastAsia="SimSun" w:cs="SimSun"/>
          <w:sz w:val="24"/>
          <w:szCs w:val="24"/>
          <w:spacing w:val="-1"/>
        </w:rPr>
        <w:t>两个方面。具体保护措施如下：</w:t>
      </w:r>
    </w:p>
    <w:p>
      <w:pPr>
        <w:ind w:left="9" w:right="80" w:firstLine="491"/>
        <w:spacing w:before="2" w:line="28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）建设活动应控制在一定范围内，严格规定施工场所和运输线</w:t>
      </w:r>
      <w:r>
        <w:rPr>
          <w:rFonts w:ascii="SimSun" w:hAnsi="SimSun" w:eastAsia="SimSun" w:cs="SimSun"/>
          <w:sz w:val="24"/>
          <w:szCs w:val="24"/>
          <w:spacing w:val="-2"/>
        </w:rPr>
        <w:t>路，并设立</w:t>
      </w:r>
      <w:r>
        <w:rPr>
          <w:rFonts w:ascii="SimSun" w:hAnsi="SimSun" w:eastAsia="SimSun" w:cs="SimSun"/>
          <w:sz w:val="24"/>
          <w:szCs w:val="24"/>
        </w:rPr>
        <w:t xml:space="preserve"> </w:t>
      </w:r>
      <w:r>
        <w:rPr>
          <w:rFonts w:ascii="SimSun" w:hAnsi="SimSun" w:eastAsia="SimSun" w:cs="SimSun"/>
          <w:sz w:val="24"/>
          <w:szCs w:val="24"/>
          <w:spacing w:val="-1"/>
        </w:rPr>
        <w:t>鲜明标志，严禁随意扩大施工范围，少占土地。</w:t>
      </w:r>
    </w:p>
    <w:p>
      <w:pPr>
        <w:ind w:left="8" w:right="78" w:firstLine="493"/>
        <w:spacing w:before="179" w:line="332"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）本项目占地面积相对较小，建设期各场地平整、道路路基平</w:t>
      </w:r>
      <w:r>
        <w:rPr>
          <w:rFonts w:ascii="SimSun" w:hAnsi="SimSun" w:eastAsia="SimSun" w:cs="SimSun"/>
          <w:sz w:val="24"/>
          <w:szCs w:val="24"/>
          <w:spacing w:val="-2"/>
        </w:rPr>
        <w:t>整及临时弃</w:t>
      </w:r>
      <w:r>
        <w:rPr>
          <w:rFonts w:ascii="SimSun" w:hAnsi="SimSun" w:eastAsia="SimSun" w:cs="SimSun"/>
          <w:sz w:val="24"/>
          <w:szCs w:val="24"/>
        </w:rPr>
        <w:t xml:space="preserve"> </w:t>
      </w:r>
      <w:r>
        <w:rPr>
          <w:rFonts w:ascii="SimSun" w:hAnsi="SimSun" w:eastAsia="SimSun" w:cs="SimSun"/>
          <w:sz w:val="24"/>
          <w:szCs w:val="24"/>
          <w:spacing w:val="3"/>
        </w:rPr>
        <w:t>土弃渣将会破坏原地表植被，这些破坏是可恢复的，随着施</w:t>
      </w:r>
      <w:r>
        <w:rPr>
          <w:rFonts w:ascii="SimSun" w:hAnsi="SimSun" w:eastAsia="SimSun" w:cs="SimSun"/>
          <w:sz w:val="24"/>
          <w:szCs w:val="24"/>
          <w:spacing w:val="2"/>
        </w:rPr>
        <w:t>工的结束，这些植被</w:t>
      </w:r>
      <w:r>
        <w:rPr>
          <w:rFonts w:ascii="SimSun" w:hAnsi="SimSun" w:eastAsia="SimSun" w:cs="SimSun"/>
          <w:sz w:val="24"/>
          <w:szCs w:val="24"/>
        </w:rPr>
        <w:t xml:space="preserve"> </w:t>
      </w:r>
      <w:r>
        <w:rPr>
          <w:rFonts w:ascii="SimSun" w:hAnsi="SimSun" w:eastAsia="SimSun" w:cs="SimSun"/>
          <w:sz w:val="24"/>
          <w:szCs w:val="24"/>
          <w:spacing w:val="3"/>
        </w:rPr>
        <w:t>将逐渐恢复，因此在施工过程中要做好施工场地的规划，明</w:t>
      </w:r>
      <w:r>
        <w:rPr>
          <w:rFonts w:ascii="SimSun" w:hAnsi="SimSun" w:eastAsia="SimSun" w:cs="SimSun"/>
          <w:sz w:val="24"/>
          <w:szCs w:val="24"/>
          <w:spacing w:val="2"/>
        </w:rPr>
        <w:t>确弃土弃渣点和施工</w:t>
      </w:r>
      <w:r>
        <w:rPr>
          <w:rFonts w:ascii="SimSun" w:hAnsi="SimSun" w:eastAsia="SimSun" w:cs="SimSun"/>
          <w:sz w:val="24"/>
          <w:szCs w:val="24"/>
        </w:rPr>
        <w:t xml:space="preserve"> </w:t>
      </w:r>
      <w:r>
        <w:rPr>
          <w:rFonts w:ascii="SimSun" w:hAnsi="SimSun" w:eastAsia="SimSun" w:cs="SimSun"/>
          <w:sz w:val="24"/>
          <w:szCs w:val="24"/>
          <w:spacing w:val="3"/>
        </w:rPr>
        <w:t>范围，尽可能减少施工影响范围，施工结束后，要尽可能恢</w:t>
      </w:r>
      <w:r>
        <w:rPr>
          <w:rFonts w:ascii="SimSun" w:hAnsi="SimSun" w:eastAsia="SimSun" w:cs="SimSun"/>
          <w:sz w:val="24"/>
          <w:szCs w:val="24"/>
          <w:spacing w:val="2"/>
        </w:rPr>
        <w:t>复临时占地的土地功</w:t>
      </w:r>
      <w:r>
        <w:rPr>
          <w:rFonts w:ascii="SimSun" w:hAnsi="SimSun" w:eastAsia="SimSun" w:cs="SimSun"/>
          <w:sz w:val="24"/>
          <w:szCs w:val="24"/>
        </w:rPr>
        <w:t xml:space="preserve"> </w:t>
      </w:r>
      <w:r>
        <w:rPr>
          <w:rFonts w:ascii="SimSun" w:hAnsi="SimSun" w:eastAsia="SimSun" w:cs="SimSun"/>
          <w:sz w:val="24"/>
          <w:szCs w:val="24"/>
          <w:spacing w:val="-4"/>
        </w:rPr>
        <w:t>能。</w:t>
      </w:r>
    </w:p>
    <w:p>
      <w:pPr>
        <w:ind w:left="9" w:right="80" w:firstLine="491"/>
        <w:spacing w:before="179" w:line="28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）施工过程中，应将施工工人临时住所、材料堆放场设置在院</w:t>
      </w:r>
      <w:r>
        <w:rPr>
          <w:rFonts w:ascii="SimSun" w:hAnsi="SimSun" w:eastAsia="SimSun" w:cs="SimSun"/>
          <w:sz w:val="24"/>
          <w:szCs w:val="24"/>
          <w:spacing w:val="-2"/>
        </w:rPr>
        <w:t>墙内，减少</w:t>
      </w:r>
      <w:r>
        <w:rPr>
          <w:rFonts w:ascii="SimSun" w:hAnsi="SimSun" w:eastAsia="SimSun" w:cs="SimSun"/>
          <w:sz w:val="24"/>
          <w:szCs w:val="24"/>
        </w:rPr>
        <w:t xml:space="preserve"> </w:t>
      </w:r>
      <w:r>
        <w:rPr>
          <w:rFonts w:ascii="SimSun" w:hAnsi="SimSun" w:eastAsia="SimSun" w:cs="SimSun"/>
          <w:sz w:val="24"/>
          <w:szCs w:val="24"/>
          <w:spacing w:val="-2"/>
        </w:rPr>
        <w:t>扰动范围。</w:t>
      </w:r>
    </w:p>
    <w:p>
      <w:pPr>
        <w:ind w:left="501"/>
        <w:spacing w:before="182"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）施工时注重植被保护；施工结束后，应立即种植植被实施绿化。</w:t>
      </w:r>
    </w:p>
    <w:p>
      <w:pPr>
        <w:ind w:left="492"/>
        <w:spacing w:before="181" w:line="219" w:lineRule="auto"/>
        <w:rPr>
          <w:rFonts w:ascii="SimSun" w:hAnsi="SimSun" w:eastAsia="SimSun" w:cs="SimSun"/>
          <w:sz w:val="24"/>
          <w:szCs w:val="24"/>
        </w:rPr>
      </w:pPr>
      <w:r>
        <w:rPr>
          <w:rFonts w:ascii="SimSun" w:hAnsi="SimSun" w:eastAsia="SimSun" w:cs="SimSun"/>
          <w:sz w:val="24"/>
          <w:szCs w:val="24"/>
          <w:spacing w:val="-1"/>
        </w:rPr>
        <w:t>综上所述，归纳项目施工期间各项环保措施及其预测效果详见表</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7.7-1</w:t>
      </w:r>
      <w:r>
        <w:rPr>
          <w:rFonts w:ascii="SimSun" w:hAnsi="SimSun" w:eastAsia="SimSun" w:cs="SimSun"/>
          <w:sz w:val="24"/>
          <w:szCs w:val="24"/>
          <w:spacing w:val="-1"/>
        </w:rPr>
        <w:t>。</w:t>
      </w:r>
    </w:p>
    <w:p>
      <w:pPr>
        <w:ind w:left="1691"/>
        <w:spacing w:before="183" w:line="220"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7"/>
        </w:rPr>
        <w:t xml:space="preserve"> </w:t>
      </w:r>
      <w:r>
        <w:rPr>
          <w:rFonts w:ascii="Times New Roman" w:hAnsi="Times New Roman" w:eastAsia="Times New Roman" w:cs="Times New Roman"/>
          <w:sz w:val="24"/>
          <w:szCs w:val="24"/>
          <w:b/>
          <w:bCs/>
          <w:spacing w:val="-2"/>
        </w:rPr>
        <w:t>7.7-1        </w:t>
      </w:r>
      <w:r>
        <w:rPr>
          <w:rFonts w:ascii="SimSun" w:hAnsi="SimSun" w:eastAsia="SimSun" w:cs="SimSun"/>
          <w:sz w:val="24"/>
          <w:szCs w:val="24"/>
          <w:b/>
          <w:bCs/>
          <w:spacing w:val="-2"/>
        </w:rPr>
        <w:t>项目施工期环保措施一览及预期效果</w:t>
      </w:r>
    </w:p>
    <w:p>
      <w:pPr>
        <w:spacing w:line="220" w:lineRule="auto"/>
        <w:sectPr>
          <w:footerReference w:type="default" r:id="rId380"/>
          <w:pgSz w:w="11907" w:h="16840"/>
          <w:pgMar w:top="1567" w:right="1621" w:bottom="1921" w:left="1701" w:header="1221" w:footer="1247" w:gutter="0"/>
        </w:sectPr>
        <w:rPr>
          <w:rFonts w:ascii="SimSun" w:hAnsi="SimSun" w:eastAsia="SimSun" w:cs="SimSun"/>
          <w:sz w:val="24"/>
          <w:szCs w:val="24"/>
        </w:rPr>
      </w:pPr>
    </w:p>
    <w:p>
      <w:pPr>
        <w:spacing w:line="151" w:lineRule="exact"/>
        <w:rPr/>
      </w:pPr>
      <w:r>
        <w:pict>
          <v:shape id="_x0000_s1290" style="position:absolute;margin-left:85.05pt;margin-top:79.11pt;mso-position-vertical-relative:page;mso-position-horizontal-relative:page;width:425.25pt;height:0.75pt;z-index:252368896;" o:allowincell="f" fillcolor="#000000" filled="true" stroked="false" coordsize="8505,15" coordorigin="0,0" path="m,l8505,0l8505,14l0,14l0,0xe"/>
        </w:pict>
      </w:r>
      <w:r/>
    </w:p>
    <w:tbl>
      <w:tblPr>
        <w:tblStyle w:val="TableNormal"/>
        <w:tblW w:w="850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31"/>
        <w:gridCol w:w="840"/>
        <w:gridCol w:w="1477"/>
        <w:gridCol w:w="941"/>
        <w:gridCol w:w="1183"/>
        <w:gridCol w:w="1108"/>
        <w:gridCol w:w="1212"/>
        <w:gridCol w:w="1317"/>
      </w:tblGrid>
      <w:tr>
        <w:trPr>
          <w:trHeight w:val="554" w:hRule="atLeast"/>
        </w:trPr>
        <w:tc>
          <w:tcPr>
            <w:tcW w:w="431" w:type="dxa"/>
            <w:vAlign w:val="top"/>
            <w:textDirection w:val="tbRlV"/>
          </w:tcPr>
          <w:p>
            <w:pPr>
              <w:pStyle w:val="TableText"/>
              <w:ind w:left="36"/>
              <w:spacing w:before="108" w:line="218" w:lineRule="auto"/>
              <w:rPr/>
            </w:pPr>
            <w:r>
              <w:rPr>
                <w:spacing w:val="8"/>
              </w:rPr>
              <w:t>序</w:t>
            </w:r>
            <w:r>
              <w:rPr>
                <w:spacing w:val="-37"/>
              </w:rPr>
              <w:t xml:space="preserve"> </w:t>
            </w:r>
            <w:r>
              <w:rPr>
                <w:spacing w:val="8"/>
              </w:rPr>
              <w:t>号</w:t>
            </w:r>
          </w:p>
        </w:tc>
        <w:tc>
          <w:tcPr>
            <w:tcW w:w="840" w:type="dxa"/>
            <w:vAlign w:val="top"/>
          </w:tcPr>
          <w:p>
            <w:pPr>
              <w:pStyle w:val="TableText"/>
              <w:ind w:left="315" w:right="106" w:hanging="204"/>
              <w:spacing w:before="37" w:line="234" w:lineRule="auto"/>
              <w:rPr/>
            </w:pPr>
            <w:r>
              <w:rPr>
                <w:spacing w:val="5"/>
              </w:rPr>
              <w:t>项目名</w:t>
            </w:r>
            <w:r>
              <w:rPr>
                <w:spacing w:val="1"/>
              </w:rPr>
              <w:t xml:space="preserve"> </w:t>
            </w:r>
            <w:r>
              <w:rPr>
                <w:spacing w:val="1"/>
              </w:rPr>
              <w:t>称</w:t>
            </w:r>
          </w:p>
        </w:tc>
        <w:tc>
          <w:tcPr>
            <w:tcW w:w="1477" w:type="dxa"/>
            <w:vAlign w:val="top"/>
          </w:tcPr>
          <w:p>
            <w:pPr>
              <w:pStyle w:val="TableText"/>
              <w:ind w:left="112"/>
              <w:spacing w:before="37" w:line="228" w:lineRule="auto"/>
              <w:rPr/>
            </w:pPr>
            <w:r>
              <w:rPr>
                <w:spacing w:val="8"/>
              </w:rPr>
              <w:t>环保设施或措</w:t>
            </w:r>
          </w:p>
          <w:p>
            <w:pPr>
              <w:pStyle w:val="TableText"/>
              <w:ind w:left="426"/>
              <w:spacing w:before="23" w:line="218" w:lineRule="auto"/>
              <w:rPr/>
            </w:pPr>
            <w:r>
              <w:rPr>
                <w:spacing w:val="7"/>
              </w:rPr>
              <w:t>施内容</w:t>
            </w:r>
          </w:p>
        </w:tc>
        <w:tc>
          <w:tcPr>
            <w:tcW w:w="941" w:type="dxa"/>
            <w:vAlign w:val="top"/>
          </w:tcPr>
          <w:p>
            <w:pPr>
              <w:pStyle w:val="TableText"/>
              <w:ind w:left="59"/>
              <w:spacing w:before="171" w:line="224" w:lineRule="auto"/>
              <w:rPr/>
            </w:pPr>
            <w:r>
              <w:rPr>
                <w:spacing w:val="6"/>
              </w:rPr>
              <w:t>实施部位</w:t>
            </w:r>
          </w:p>
        </w:tc>
        <w:tc>
          <w:tcPr>
            <w:tcW w:w="1183" w:type="dxa"/>
            <w:vAlign w:val="top"/>
          </w:tcPr>
          <w:p>
            <w:pPr>
              <w:pStyle w:val="TableText"/>
              <w:ind w:left="181"/>
              <w:spacing w:before="171" w:line="224" w:lineRule="auto"/>
              <w:rPr/>
            </w:pPr>
            <w:r>
              <w:rPr>
                <w:spacing w:val="6"/>
              </w:rPr>
              <w:t>实施时间</w:t>
            </w:r>
          </w:p>
        </w:tc>
        <w:tc>
          <w:tcPr>
            <w:tcW w:w="1108" w:type="dxa"/>
            <w:vAlign w:val="top"/>
          </w:tcPr>
          <w:p>
            <w:pPr>
              <w:pStyle w:val="TableText"/>
              <w:ind w:left="141"/>
              <w:spacing w:before="170" w:line="228" w:lineRule="auto"/>
              <w:rPr/>
            </w:pPr>
            <w:r>
              <w:rPr>
                <w:spacing w:val="7"/>
              </w:rPr>
              <w:t>保护对象</w:t>
            </w:r>
          </w:p>
        </w:tc>
        <w:tc>
          <w:tcPr>
            <w:tcW w:w="1212" w:type="dxa"/>
            <w:vAlign w:val="top"/>
          </w:tcPr>
          <w:p>
            <w:pPr>
              <w:pStyle w:val="TableText"/>
              <w:ind w:left="93"/>
              <w:spacing w:before="36" w:line="224" w:lineRule="auto"/>
              <w:rPr/>
            </w:pPr>
            <w:r>
              <w:rPr>
                <w:spacing w:val="7"/>
              </w:rPr>
              <w:t>实施保证措</w:t>
            </w:r>
          </w:p>
          <w:p>
            <w:pPr>
              <w:pStyle w:val="TableText"/>
              <w:ind w:left="507"/>
              <w:spacing w:before="28" w:line="218" w:lineRule="auto"/>
              <w:rPr/>
            </w:pPr>
            <w:r>
              <w:rPr>
                <w:spacing w:val="1"/>
              </w:rPr>
              <w:t>施</w:t>
            </w:r>
          </w:p>
        </w:tc>
        <w:tc>
          <w:tcPr>
            <w:tcW w:w="1317" w:type="dxa"/>
            <w:vAlign w:val="top"/>
          </w:tcPr>
          <w:p>
            <w:pPr>
              <w:pStyle w:val="TableText"/>
              <w:ind w:left="246"/>
              <w:spacing w:before="170" w:line="228" w:lineRule="auto"/>
              <w:rPr/>
            </w:pPr>
            <w:r>
              <w:rPr>
                <w:spacing w:val="6"/>
              </w:rPr>
              <w:t>预期效果</w:t>
            </w:r>
          </w:p>
        </w:tc>
      </w:tr>
      <w:tr>
        <w:trPr>
          <w:trHeight w:val="2726" w:hRule="atLeast"/>
        </w:trPr>
        <w:tc>
          <w:tcPr>
            <w:tcW w:w="431" w:type="dxa"/>
            <w:vAlign w:val="top"/>
          </w:tcPr>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6" w:lineRule="auto"/>
              <w:rPr>
                <w:rFonts w:ascii="Arial"/>
                <w:sz w:val="21"/>
              </w:rPr>
            </w:pPr>
            <w:r/>
          </w:p>
          <w:p>
            <w:pPr>
              <w:ind w:left="18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40" w:type="dxa"/>
            <w:vAlign w:val="top"/>
          </w:tcPr>
          <w:p>
            <w:pPr>
              <w:spacing w:line="261" w:lineRule="auto"/>
              <w:rPr>
                <w:rFonts w:ascii="Arial"/>
                <w:sz w:val="21"/>
              </w:rPr>
            </w:pPr>
            <w:r/>
          </w:p>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pStyle w:val="TableText"/>
              <w:ind w:left="107"/>
              <w:spacing w:before="65" w:line="230" w:lineRule="auto"/>
              <w:rPr/>
            </w:pPr>
            <w:r>
              <w:rPr>
                <w:spacing w:val="7"/>
              </w:rPr>
              <w:t>施工扬</w:t>
            </w:r>
          </w:p>
          <w:p>
            <w:pPr>
              <w:pStyle w:val="TableText"/>
              <w:ind w:left="109"/>
              <w:spacing w:before="25" w:line="228" w:lineRule="auto"/>
              <w:rPr/>
            </w:pPr>
            <w:r>
              <w:rPr>
                <w:spacing w:val="6"/>
              </w:rPr>
              <w:t>尘防治</w:t>
            </w:r>
          </w:p>
        </w:tc>
        <w:tc>
          <w:tcPr>
            <w:tcW w:w="1477" w:type="dxa"/>
            <w:vAlign w:val="top"/>
          </w:tcPr>
          <w:p>
            <w:pPr>
              <w:pStyle w:val="TableText"/>
              <w:ind w:left="115"/>
              <w:spacing w:before="31" w:line="227" w:lineRule="auto"/>
              <w:rPr/>
            </w:pPr>
            <w:r>
              <w:rPr>
                <w:spacing w:val="7"/>
              </w:rPr>
              <w:t>建筑原材料露</w:t>
            </w:r>
          </w:p>
          <w:p>
            <w:pPr>
              <w:pStyle w:val="TableText"/>
              <w:ind w:left="116"/>
              <w:spacing w:before="25" w:line="228" w:lineRule="auto"/>
              <w:rPr/>
            </w:pPr>
            <w:r>
              <w:rPr>
                <w:spacing w:val="7"/>
              </w:rPr>
              <w:t>天堆放应加以</w:t>
            </w:r>
          </w:p>
          <w:p>
            <w:pPr>
              <w:pStyle w:val="TableText"/>
              <w:ind w:left="7"/>
              <w:spacing w:before="24" w:line="228" w:lineRule="auto"/>
              <w:rPr/>
            </w:pPr>
            <w:r>
              <w:rPr>
                <w:spacing w:val="8"/>
              </w:rPr>
              <w:t>覆盖；建筑垃圾</w:t>
            </w:r>
          </w:p>
          <w:p>
            <w:pPr>
              <w:pStyle w:val="TableText"/>
              <w:ind w:left="111"/>
              <w:spacing w:before="26" w:line="228" w:lineRule="auto"/>
              <w:rPr/>
            </w:pPr>
            <w:r>
              <w:rPr>
                <w:spacing w:val="8"/>
              </w:rPr>
              <w:t>及时清运至指</w:t>
            </w:r>
          </w:p>
          <w:p>
            <w:pPr>
              <w:pStyle w:val="TableText"/>
              <w:ind w:left="12"/>
              <w:spacing w:before="24" w:line="228" w:lineRule="auto"/>
              <w:rPr/>
            </w:pPr>
            <w:r>
              <w:rPr>
                <w:spacing w:val="7"/>
              </w:rPr>
              <w:t>定场所；经常清</w:t>
            </w:r>
          </w:p>
          <w:p>
            <w:pPr>
              <w:pStyle w:val="TableText"/>
              <w:ind w:left="115"/>
              <w:spacing w:before="27" w:line="228" w:lineRule="auto"/>
              <w:rPr/>
            </w:pPr>
            <w:r>
              <w:rPr>
                <w:spacing w:val="7"/>
              </w:rPr>
              <w:t>扫施工场地及</w:t>
            </w:r>
          </w:p>
          <w:p>
            <w:pPr>
              <w:pStyle w:val="TableText"/>
              <w:ind w:left="6"/>
              <w:spacing w:before="26" w:line="228" w:lineRule="auto"/>
              <w:rPr/>
            </w:pPr>
            <w:r>
              <w:rPr>
                <w:spacing w:val="8"/>
              </w:rPr>
              <w:t>道路；散装物料</w:t>
            </w:r>
          </w:p>
          <w:p>
            <w:pPr>
              <w:pStyle w:val="TableText"/>
              <w:ind w:left="112"/>
              <w:spacing w:before="24" w:line="228" w:lineRule="auto"/>
              <w:rPr/>
            </w:pPr>
            <w:r>
              <w:rPr>
                <w:spacing w:val="8"/>
              </w:rPr>
              <w:t>装卸应轻装慢</w:t>
            </w:r>
          </w:p>
          <w:p>
            <w:pPr>
              <w:pStyle w:val="TableText"/>
              <w:ind w:left="11"/>
              <w:spacing w:before="24" w:line="228" w:lineRule="auto"/>
              <w:rPr/>
            </w:pPr>
            <w:r>
              <w:rPr>
                <w:spacing w:val="7"/>
              </w:rPr>
              <w:t>卸，运输车辆应</w:t>
            </w:r>
          </w:p>
          <w:p>
            <w:pPr>
              <w:pStyle w:val="TableText"/>
              <w:ind w:left="216"/>
              <w:spacing w:before="27" w:line="216" w:lineRule="auto"/>
              <w:rPr/>
            </w:pPr>
            <w:r>
              <w:rPr>
                <w:spacing w:val="5"/>
              </w:rPr>
              <w:t>覆盖篷布。</w:t>
            </w:r>
          </w:p>
        </w:tc>
        <w:tc>
          <w:tcPr>
            <w:tcW w:w="941" w:type="dxa"/>
            <w:vAlign w:val="top"/>
          </w:tcPr>
          <w:p>
            <w:pPr>
              <w:spacing w:line="372" w:lineRule="auto"/>
              <w:rPr>
                <w:rFonts w:ascii="Arial"/>
                <w:sz w:val="21"/>
              </w:rPr>
            </w:pPr>
            <w:r/>
          </w:p>
          <w:p>
            <w:pPr>
              <w:pStyle w:val="TableText"/>
              <w:ind w:left="54"/>
              <w:spacing w:before="65" w:line="227" w:lineRule="auto"/>
              <w:rPr/>
            </w:pPr>
            <w:r>
              <w:rPr>
                <w:spacing w:val="7"/>
              </w:rPr>
              <w:t>材料堆场</w:t>
            </w:r>
          </w:p>
          <w:p>
            <w:pPr>
              <w:pStyle w:val="TableText"/>
              <w:ind w:left="54"/>
              <w:spacing w:before="25" w:line="228" w:lineRule="auto"/>
              <w:rPr/>
            </w:pPr>
            <w:r>
              <w:rPr>
                <w:spacing w:val="7"/>
              </w:rPr>
              <w:t>周围；废</w:t>
            </w:r>
          </w:p>
          <w:p>
            <w:pPr>
              <w:pStyle w:val="TableText"/>
              <w:ind w:left="57"/>
              <w:spacing w:before="23" w:line="228" w:lineRule="auto"/>
              <w:rPr/>
            </w:pPr>
            <w:r>
              <w:rPr>
                <w:spacing w:val="6"/>
              </w:rPr>
              <w:t>弃物料产</w:t>
            </w:r>
          </w:p>
          <w:p>
            <w:pPr>
              <w:pStyle w:val="TableText"/>
              <w:ind w:left="55"/>
              <w:spacing w:before="26" w:line="230" w:lineRule="auto"/>
              <w:rPr/>
            </w:pPr>
            <w:r>
              <w:rPr>
                <w:spacing w:val="6"/>
              </w:rPr>
              <w:t>生处；施</w:t>
            </w:r>
          </w:p>
          <w:p>
            <w:pPr>
              <w:pStyle w:val="TableText"/>
              <w:ind w:left="56"/>
              <w:spacing w:before="23" w:line="228" w:lineRule="auto"/>
              <w:rPr/>
            </w:pPr>
            <w:r>
              <w:rPr>
                <w:spacing w:val="6"/>
              </w:rPr>
              <w:t>工场地及</w:t>
            </w:r>
          </w:p>
          <w:p>
            <w:pPr>
              <w:pStyle w:val="TableText"/>
              <w:ind w:left="53"/>
              <w:spacing w:before="26" w:line="228" w:lineRule="auto"/>
              <w:rPr/>
            </w:pPr>
            <w:r>
              <w:rPr>
                <w:spacing w:val="7"/>
              </w:rPr>
              <w:t>道路；运</w:t>
            </w:r>
          </w:p>
          <w:p>
            <w:pPr>
              <w:pStyle w:val="TableText"/>
              <w:ind w:left="53"/>
              <w:spacing w:before="26" w:line="228" w:lineRule="auto"/>
              <w:rPr/>
            </w:pPr>
            <w:r>
              <w:rPr>
                <w:spacing w:val="5"/>
              </w:rPr>
              <w:t>输车辆。</w:t>
            </w:r>
          </w:p>
        </w:tc>
        <w:tc>
          <w:tcPr>
            <w:tcW w:w="1183" w:type="dxa"/>
            <w:vAlign w:val="top"/>
          </w:tcPr>
          <w:p>
            <w:pPr>
              <w:spacing w:line="295" w:lineRule="auto"/>
              <w:rPr>
                <w:rFonts w:ascii="Arial"/>
                <w:sz w:val="21"/>
              </w:rPr>
            </w:pPr>
            <w:r/>
          </w:p>
          <w:p>
            <w:pPr>
              <w:spacing w:line="296" w:lineRule="auto"/>
              <w:rPr>
                <w:rFonts w:ascii="Arial"/>
                <w:sz w:val="21"/>
              </w:rPr>
            </w:pPr>
            <w:r/>
          </w:p>
          <w:p>
            <w:pPr>
              <w:spacing w:line="296" w:lineRule="auto"/>
              <w:rPr>
                <w:rFonts w:ascii="Arial"/>
                <w:sz w:val="21"/>
              </w:rPr>
            </w:pPr>
            <w:r/>
          </w:p>
          <w:p>
            <w:pPr>
              <w:spacing w:line="296" w:lineRule="auto"/>
              <w:rPr>
                <w:rFonts w:ascii="Arial"/>
                <w:sz w:val="21"/>
              </w:rPr>
            </w:pPr>
            <w:r/>
          </w:p>
          <w:p>
            <w:pPr>
              <w:pStyle w:val="TableText"/>
              <w:ind w:left="70"/>
              <w:spacing w:before="65" w:line="228" w:lineRule="auto"/>
              <w:rPr/>
            </w:pPr>
            <w:r>
              <w:rPr>
                <w:spacing w:val="8"/>
              </w:rPr>
              <w:t>全部施工期</w:t>
            </w:r>
          </w:p>
        </w:tc>
        <w:tc>
          <w:tcPr>
            <w:tcW w:w="1108" w:type="dxa"/>
            <w:vAlign w:val="top"/>
          </w:tcPr>
          <w:p>
            <w:pPr>
              <w:spacing w:line="321" w:lineRule="auto"/>
              <w:rPr>
                <w:rFonts w:ascii="Arial"/>
                <w:sz w:val="21"/>
              </w:rPr>
            </w:pPr>
            <w:r/>
          </w:p>
          <w:p>
            <w:pPr>
              <w:spacing w:line="321" w:lineRule="auto"/>
              <w:rPr>
                <w:rFonts w:ascii="Arial"/>
                <w:sz w:val="21"/>
              </w:rPr>
            </w:pPr>
            <w:r/>
          </w:p>
          <w:p>
            <w:pPr>
              <w:pStyle w:val="TableText"/>
              <w:ind w:left="34"/>
              <w:spacing w:before="65" w:line="228" w:lineRule="auto"/>
              <w:rPr/>
            </w:pPr>
            <w:r>
              <w:rPr>
                <w:spacing w:val="8"/>
              </w:rPr>
              <w:t>施工场地周</w:t>
            </w:r>
          </w:p>
          <w:p>
            <w:pPr>
              <w:pStyle w:val="TableText"/>
              <w:ind w:left="159"/>
              <w:spacing w:before="23" w:line="227" w:lineRule="auto"/>
              <w:rPr/>
            </w:pPr>
            <w:r>
              <w:rPr>
                <w:spacing w:val="2"/>
              </w:rPr>
              <w:t>围空气环</w:t>
            </w:r>
          </w:p>
          <w:p>
            <w:pPr>
              <w:pStyle w:val="TableText"/>
              <w:ind w:left="35"/>
              <w:spacing w:before="28" w:line="228" w:lineRule="auto"/>
              <w:rPr/>
            </w:pPr>
            <w:r>
              <w:rPr>
                <w:spacing w:val="7"/>
              </w:rPr>
              <w:t>境、施工人</w:t>
            </w:r>
          </w:p>
          <w:p>
            <w:pPr>
              <w:pStyle w:val="TableText"/>
              <w:ind w:left="43"/>
              <w:spacing w:before="23" w:line="228" w:lineRule="auto"/>
              <w:rPr/>
            </w:pPr>
            <w:r>
              <w:rPr>
                <w:spacing w:val="6"/>
              </w:rPr>
              <w:t>员及周围植</w:t>
            </w:r>
          </w:p>
          <w:p>
            <w:pPr>
              <w:pStyle w:val="TableText"/>
              <w:ind w:left="454"/>
              <w:spacing w:before="26" w:line="228" w:lineRule="auto"/>
              <w:rPr/>
            </w:pPr>
            <w:r>
              <w:rPr/>
              <w:t>被</w:t>
            </w:r>
          </w:p>
        </w:tc>
        <w:tc>
          <w:tcPr>
            <w:tcW w:w="1212" w:type="dxa"/>
            <w:vAlign w:val="top"/>
            <w:vMerge w:val="restart"/>
            <w:tcBorders>
              <w:bottom w:val="nil"/>
            </w:tcBorders>
          </w:tcPr>
          <w:p>
            <w:pPr>
              <w:spacing w:line="249" w:lineRule="auto"/>
              <w:rPr>
                <w:rFonts w:ascii="Arial"/>
                <w:sz w:val="21"/>
              </w:rPr>
            </w:pPr>
            <w:r/>
          </w:p>
          <w:p>
            <w:pPr>
              <w:spacing w:line="249"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pStyle w:val="TableText"/>
              <w:ind w:left="14" w:right="3" w:firstLine="76"/>
              <w:spacing w:before="65" w:line="252" w:lineRule="auto"/>
              <w:jc w:val="both"/>
              <w:rPr/>
            </w:pPr>
            <w:r>
              <w:rPr>
                <w:spacing w:val="7"/>
              </w:rPr>
              <w:t>建立环境管</w:t>
            </w:r>
            <w:r>
              <w:rPr>
                <w:spacing w:val="2"/>
              </w:rPr>
              <w:t xml:space="preserve"> </w:t>
            </w:r>
            <w:r>
              <w:rPr>
                <w:spacing w:val="-2"/>
              </w:rPr>
              <w:t>理机构，配备</w:t>
            </w:r>
            <w:r>
              <w:rPr/>
              <w:t xml:space="preserve"> </w:t>
            </w:r>
            <w:r>
              <w:rPr>
                <w:spacing w:val="23"/>
              </w:rPr>
              <w:t>专职或兼职</w:t>
            </w:r>
          </w:p>
          <w:p>
            <w:pPr>
              <w:pStyle w:val="TableText"/>
              <w:ind w:left="11" w:right="3" w:firstLine="76"/>
              <w:spacing w:before="3" w:line="250" w:lineRule="auto"/>
              <w:jc w:val="both"/>
              <w:rPr/>
            </w:pPr>
            <w:r>
              <w:rPr>
                <w:spacing w:val="8"/>
              </w:rPr>
              <w:t>环保管理人</w:t>
            </w:r>
            <w:r>
              <w:rPr/>
              <w:t xml:space="preserve"> </w:t>
            </w:r>
            <w:r>
              <w:rPr>
                <w:spacing w:val="-2"/>
              </w:rPr>
              <w:t>员；制定相关</w:t>
            </w:r>
            <w:r>
              <w:rPr>
                <w:spacing w:val="3"/>
              </w:rPr>
              <w:t xml:space="preserve"> </w:t>
            </w:r>
            <w:r>
              <w:rPr>
                <w:spacing w:val="23"/>
              </w:rPr>
              <w:t>环境管理条</w:t>
            </w:r>
            <w:r>
              <w:rPr>
                <w:spacing w:val="1"/>
              </w:rPr>
              <w:t xml:space="preserve"> </w:t>
            </w:r>
            <w:r>
              <w:rPr>
                <w:spacing w:val="-2"/>
              </w:rPr>
              <w:t>例、质量管理</w:t>
            </w:r>
          </w:p>
          <w:p>
            <w:pPr>
              <w:pStyle w:val="TableText"/>
              <w:ind w:left="11"/>
              <w:spacing w:before="1" w:line="251" w:lineRule="auto"/>
              <w:jc w:val="both"/>
              <w:rPr/>
            </w:pPr>
            <w:r>
              <w:rPr>
                <w:spacing w:val="-2"/>
              </w:rPr>
              <w:t>规定；环境监</w:t>
            </w:r>
            <w:r>
              <w:rPr>
                <w:spacing w:val="4"/>
              </w:rPr>
              <w:t xml:space="preserve"> </w:t>
            </w:r>
            <w:r>
              <w:rPr>
                <w:spacing w:val="23"/>
              </w:rPr>
              <w:t>理人员经常</w:t>
            </w:r>
            <w:r>
              <w:rPr>
                <w:spacing w:val="1"/>
              </w:rPr>
              <w:t xml:space="preserve"> </w:t>
            </w:r>
            <w:r>
              <w:rPr>
                <w:spacing w:val="-1"/>
              </w:rPr>
              <w:t>检查、监督并</w:t>
            </w:r>
            <w:r>
              <w:rPr/>
              <w:t xml:space="preserve"> </w:t>
            </w:r>
            <w:r>
              <w:rPr>
                <w:spacing w:val="23"/>
              </w:rPr>
              <w:t>定期向有关</w:t>
            </w:r>
          </w:p>
          <w:p>
            <w:pPr>
              <w:pStyle w:val="TableText"/>
              <w:ind w:left="11" w:firstLine="79"/>
              <w:spacing w:before="1" w:line="251" w:lineRule="auto"/>
              <w:rPr/>
            </w:pPr>
            <w:r>
              <w:rPr>
                <w:spacing w:val="7"/>
              </w:rPr>
              <w:t>部门作书面</w:t>
            </w:r>
            <w:r>
              <w:rPr>
                <w:spacing w:val="2"/>
              </w:rPr>
              <w:t xml:space="preserve"> </w:t>
            </w:r>
            <w:r>
              <w:rPr>
                <w:spacing w:val="-1"/>
              </w:rPr>
              <w:t>汇报；发现问</w:t>
            </w:r>
          </w:p>
          <w:p>
            <w:pPr>
              <w:pStyle w:val="TableText"/>
              <w:spacing w:line="227" w:lineRule="auto"/>
              <w:jc w:val="right"/>
              <w:rPr/>
            </w:pPr>
            <w:r>
              <w:rPr>
                <w:spacing w:val="-1"/>
              </w:rPr>
              <w:t>题及时解决、</w:t>
            </w:r>
          </w:p>
          <w:p>
            <w:pPr>
              <w:pStyle w:val="TableText"/>
              <w:ind w:left="302"/>
              <w:spacing w:before="28" w:line="228" w:lineRule="auto"/>
              <w:rPr/>
            </w:pPr>
            <w:r>
              <w:rPr>
                <w:spacing w:val="1"/>
              </w:rPr>
              <w:t>纠正。</w:t>
            </w:r>
          </w:p>
        </w:tc>
        <w:tc>
          <w:tcPr>
            <w:tcW w:w="1317" w:type="dxa"/>
            <w:vAlign w:val="top"/>
          </w:tcPr>
          <w:p>
            <w:pPr>
              <w:spacing w:line="319" w:lineRule="auto"/>
              <w:rPr>
                <w:rFonts w:ascii="Arial"/>
                <w:sz w:val="21"/>
              </w:rPr>
            </w:pPr>
            <w:r/>
          </w:p>
          <w:p>
            <w:pPr>
              <w:spacing w:line="319" w:lineRule="auto"/>
              <w:rPr>
                <w:rFonts w:ascii="Arial"/>
                <w:sz w:val="21"/>
              </w:rPr>
            </w:pPr>
            <w:r/>
          </w:p>
          <w:p>
            <w:pPr>
              <w:spacing w:line="319" w:lineRule="auto"/>
              <w:rPr>
                <w:rFonts w:ascii="Arial"/>
                <w:sz w:val="21"/>
              </w:rPr>
            </w:pPr>
            <w:r/>
          </w:p>
          <w:p>
            <w:pPr>
              <w:ind w:left="61"/>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GB</w:t>
            </w:r>
            <w:r>
              <w:rPr>
                <w:rFonts w:ascii="Times New Roman" w:hAnsi="Times New Roman" w:eastAsia="Times New Roman" w:cs="Times New Roman"/>
                <w:sz w:val="20"/>
                <w:szCs w:val="20"/>
                <w:spacing w:val="5"/>
              </w:rPr>
              <w:t>3095-2012</w:t>
            </w:r>
          </w:p>
          <w:p>
            <w:pPr>
              <w:pStyle w:val="TableText"/>
              <w:ind w:left="36"/>
              <w:spacing w:before="32" w:line="228" w:lineRule="auto"/>
              <w:rPr/>
            </w:pPr>
            <w:r>
              <w:rPr>
                <w:spacing w:val="7"/>
              </w:rPr>
              <w:t>二级标准要求</w:t>
            </w:r>
          </w:p>
          <w:p>
            <w:pPr>
              <w:pStyle w:val="TableText"/>
              <w:ind w:left="243"/>
              <w:spacing w:before="25" w:line="228" w:lineRule="auto"/>
              <w:rPr/>
            </w:pPr>
            <w:r>
              <w:rPr>
                <w:spacing w:val="7"/>
              </w:rPr>
              <w:t>及修改单</w:t>
            </w:r>
          </w:p>
        </w:tc>
      </w:tr>
      <w:tr>
        <w:trPr>
          <w:trHeight w:val="822" w:hRule="atLeast"/>
        </w:trPr>
        <w:tc>
          <w:tcPr>
            <w:tcW w:w="431" w:type="dxa"/>
            <w:vAlign w:val="top"/>
          </w:tcPr>
          <w:p>
            <w:pPr>
              <w:spacing w:line="282" w:lineRule="auto"/>
              <w:rPr>
                <w:rFonts w:ascii="Arial"/>
                <w:sz w:val="21"/>
              </w:rPr>
            </w:pPr>
            <w:r/>
          </w:p>
          <w:p>
            <w:pPr>
              <w:ind w:left="163"/>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840" w:type="dxa"/>
            <w:vAlign w:val="top"/>
          </w:tcPr>
          <w:p>
            <w:pPr>
              <w:pStyle w:val="TableText"/>
              <w:ind w:left="107"/>
              <w:spacing w:before="171" w:line="228" w:lineRule="auto"/>
              <w:rPr/>
            </w:pPr>
            <w:r>
              <w:rPr>
                <w:spacing w:val="7"/>
              </w:rPr>
              <w:t>施工废</w:t>
            </w:r>
          </w:p>
          <w:p>
            <w:pPr>
              <w:pStyle w:val="TableText"/>
              <w:ind w:left="110"/>
              <w:spacing w:before="23" w:line="228" w:lineRule="auto"/>
              <w:rPr/>
            </w:pPr>
            <w:r>
              <w:rPr>
                <w:spacing w:val="6"/>
              </w:rPr>
              <w:t>水处理</w:t>
            </w:r>
          </w:p>
        </w:tc>
        <w:tc>
          <w:tcPr>
            <w:tcW w:w="1477" w:type="dxa"/>
            <w:vAlign w:val="top"/>
          </w:tcPr>
          <w:p>
            <w:pPr>
              <w:pStyle w:val="TableText"/>
              <w:ind w:left="116"/>
              <w:spacing w:before="34" w:line="228" w:lineRule="auto"/>
              <w:rPr/>
            </w:pPr>
            <w:r>
              <w:rPr>
                <w:spacing w:val="7"/>
              </w:rPr>
              <w:t>设废水隔油沉</w:t>
            </w:r>
          </w:p>
          <w:p>
            <w:pPr>
              <w:pStyle w:val="TableText"/>
              <w:ind w:left="115"/>
              <w:spacing w:before="25" w:line="228" w:lineRule="auto"/>
              <w:rPr/>
            </w:pPr>
            <w:r>
              <w:rPr>
                <w:spacing w:val="7"/>
              </w:rPr>
              <w:t>淀池，综合利</w:t>
            </w:r>
          </w:p>
          <w:p>
            <w:pPr>
              <w:pStyle w:val="TableText"/>
              <w:ind w:left="534"/>
              <w:spacing w:before="25" w:line="215" w:lineRule="auto"/>
              <w:rPr/>
            </w:pPr>
            <w:r>
              <w:rPr>
                <w:spacing w:val="-1"/>
              </w:rPr>
              <w:t>用。</w:t>
            </w:r>
          </w:p>
        </w:tc>
        <w:tc>
          <w:tcPr>
            <w:tcW w:w="941" w:type="dxa"/>
            <w:vAlign w:val="top"/>
          </w:tcPr>
          <w:p>
            <w:pPr>
              <w:pStyle w:val="TableText"/>
              <w:ind w:left="54"/>
              <w:spacing w:before="34" w:line="228" w:lineRule="auto"/>
              <w:rPr/>
            </w:pPr>
            <w:r>
              <w:rPr>
                <w:spacing w:val="7"/>
              </w:rPr>
              <w:t>产生污废</w:t>
            </w:r>
          </w:p>
          <w:p>
            <w:pPr>
              <w:pStyle w:val="TableText"/>
              <w:ind w:left="56"/>
              <w:spacing w:before="24" w:line="228" w:lineRule="auto"/>
              <w:rPr/>
            </w:pPr>
            <w:r>
              <w:rPr>
                <w:spacing w:val="6"/>
              </w:rPr>
              <w:t>水的施工</w:t>
            </w:r>
          </w:p>
          <w:p>
            <w:pPr>
              <w:pStyle w:val="TableText"/>
              <w:ind w:left="53"/>
              <w:spacing w:before="26" w:line="215" w:lineRule="auto"/>
              <w:rPr/>
            </w:pPr>
            <w:r>
              <w:rPr>
                <w:spacing w:val="7"/>
              </w:rPr>
              <w:t>场所附近</w:t>
            </w:r>
          </w:p>
        </w:tc>
        <w:tc>
          <w:tcPr>
            <w:tcW w:w="1183" w:type="dxa"/>
            <w:vAlign w:val="top"/>
          </w:tcPr>
          <w:p>
            <w:pPr>
              <w:pStyle w:val="TableText"/>
              <w:ind w:left="69"/>
              <w:spacing w:before="306" w:line="228" w:lineRule="auto"/>
              <w:rPr/>
            </w:pPr>
            <w:r>
              <w:rPr>
                <w:spacing w:val="8"/>
              </w:rPr>
              <w:t>施工准备期</w:t>
            </w:r>
          </w:p>
        </w:tc>
        <w:tc>
          <w:tcPr>
            <w:tcW w:w="1108" w:type="dxa"/>
            <w:vAlign w:val="top"/>
            <w:vMerge w:val="restart"/>
            <w:tcBorders>
              <w:bottom w:val="nil"/>
            </w:tcBorders>
          </w:tcPr>
          <w:p>
            <w:pPr>
              <w:spacing w:line="244" w:lineRule="auto"/>
              <w:rPr>
                <w:rFonts w:ascii="Arial"/>
                <w:sz w:val="21"/>
              </w:rPr>
            </w:pPr>
            <w:r/>
          </w:p>
          <w:p>
            <w:pPr>
              <w:pStyle w:val="TableText"/>
              <w:ind w:left="34"/>
              <w:spacing w:before="65" w:line="228" w:lineRule="auto"/>
              <w:rPr/>
            </w:pPr>
            <w:r>
              <w:rPr>
                <w:spacing w:val="8"/>
              </w:rPr>
              <w:t>施工场地及</w:t>
            </w:r>
          </w:p>
          <w:p>
            <w:pPr>
              <w:pStyle w:val="TableText"/>
              <w:ind w:left="35"/>
              <w:spacing w:before="26" w:line="228" w:lineRule="auto"/>
              <w:rPr/>
            </w:pPr>
            <w:r>
              <w:rPr>
                <w:spacing w:val="5"/>
              </w:rPr>
              <w:t>周围土壤、</w:t>
            </w:r>
          </w:p>
          <w:p>
            <w:pPr>
              <w:pStyle w:val="TableText"/>
              <w:ind w:left="35"/>
              <w:spacing w:before="23" w:line="228" w:lineRule="auto"/>
              <w:rPr/>
            </w:pPr>
            <w:r>
              <w:rPr>
                <w:spacing w:val="7"/>
              </w:rPr>
              <w:t>植被及施工</w:t>
            </w:r>
          </w:p>
          <w:p>
            <w:pPr>
              <w:pStyle w:val="TableText"/>
              <w:ind w:left="245"/>
              <w:spacing w:before="27" w:line="228" w:lineRule="auto"/>
              <w:rPr/>
            </w:pPr>
            <w:r>
              <w:rPr>
                <w:spacing w:val="6"/>
              </w:rPr>
              <w:t>生活区</w:t>
            </w:r>
          </w:p>
        </w:tc>
        <w:tc>
          <w:tcPr>
            <w:tcW w:w="1212" w:type="dxa"/>
            <w:vAlign w:val="top"/>
            <w:vMerge w:val="continue"/>
            <w:tcBorders>
              <w:top w:val="nil"/>
              <w:bottom w:val="nil"/>
            </w:tcBorders>
          </w:tcPr>
          <w:p>
            <w:pPr>
              <w:rPr>
                <w:rFonts w:ascii="Arial"/>
                <w:sz w:val="21"/>
              </w:rPr>
            </w:pPr>
            <w:r/>
          </w:p>
        </w:tc>
        <w:tc>
          <w:tcPr>
            <w:tcW w:w="1317" w:type="dxa"/>
            <w:vAlign w:val="top"/>
            <w:vMerge w:val="restart"/>
            <w:tcBorders>
              <w:bottom w:val="nil"/>
            </w:tcBorders>
          </w:tcPr>
          <w:p>
            <w:pPr>
              <w:spacing w:line="257" w:lineRule="auto"/>
              <w:rPr>
                <w:rFonts w:ascii="Arial"/>
                <w:sz w:val="21"/>
              </w:rPr>
            </w:pPr>
            <w:r/>
          </w:p>
          <w:p>
            <w:pPr>
              <w:spacing w:line="258" w:lineRule="auto"/>
              <w:rPr>
                <w:rFonts w:ascii="Arial"/>
                <w:sz w:val="21"/>
              </w:rPr>
            </w:pPr>
            <w:r/>
          </w:p>
          <w:p>
            <w:pPr>
              <w:pStyle w:val="TableText"/>
              <w:ind w:left="34"/>
              <w:spacing w:before="65" w:line="228" w:lineRule="auto"/>
              <w:rPr/>
            </w:pPr>
            <w:r>
              <w:rPr>
                <w:spacing w:val="8"/>
              </w:rPr>
              <w:t>土壤、植被不</w:t>
            </w:r>
          </w:p>
          <w:p>
            <w:pPr>
              <w:pStyle w:val="TableText"/>
              <w:ind w:left="351"/>
              <w:spacing w:before="24" w:line="228" w:lineRule="auto"/>
              <w:rPr/>
            </w:pPr>
            <w:r>
              <w:rPr>
                <w:spacing w:val="5"/>
              </w:rPr>
              <w:t>受污染</w:t>
            </w:r>
          </w:p>
        </w:tc>
      </w:tr>
      <w:tr>
        <w:trPr>
          <w:trHeight w:val="822" w:hRule="atLeast"/>
        </w:trPr>
        <w:tc>
          <w:tcPr>
            <w:tcW w:w="431" w:type="dxa"/>
            <w:vAlign w:val="top"/>
          </w:tcPr>
          <w:p>
            <w:pPr>
              <w:spacing w:line="283" w:lineRule="auto"/>
              <w:rPr>
                <w:rFonts w:ascii="Arial"/>
                <w:sz w:val="21"/>
              </w:rPr>
            </w:pPr>
            <w:r/>
          </w:p>
          <w:p>
            <w:pPr>
              <w:ind w:left="167"/>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840" w:type="dxa"/>
            <w:vAlign w:val="top"/>
          </w:tcPr>
          <w:p>
            <w:pPr>
              <w:pStyle w:val="TableText"/>
              <w:ind w:left="109"/>
              <w:spacing w:before="170" w:line="228" w:lineRule="auto"/>
              <w:rPr/>
            </w:pPr>
            <w:r>
              <w:rPr>
                <w:spacing w:val="6"/>
              </w:rPr>
              <w:t>生活污</w:t>
            </w:r>
          </w:p>
          <w:p>
            <w:pPr>
              <w:pStyle w:val="TableText"/>
              <w:ind w:left="110"/>
              <w:spacing w:before="23" w:line="228" w:lineRule="auto"/>
              <w:rPr/>
            </w:pPr>
            <w:r>
              <w:rPr>
                <w:spacing w:val="6"/>
              </w:rPr>
              <w:t>水处理</w:t>
            </w:r>
          </w:p>
        </w:tc>
        <w:tc>
          <w:tcPr>
            <w:tcW w:w="1477" w:type="dxa"/>
            <w:vAlign w:val="top"/>
          </w:tcPr>
          <w:p>
            <w:pPr>
              <w:pStyle w:val="TableText"/>
              <w:ind w:left="112"/>
              <w:spacing w:before="32" w:line="228" w:lineRule="auto"/>
              <w:rPr/>
            </w:pPr>
            <w:r>
              <w:rPr>
                <w:spacing w:val="8"/>
              </w:rPr>
              <w:t>排入临时化粪</w:t>
            </w:r>
          </w:p>
          <w:p>
            <w:pPr>
              <w:pStyle w:val="TableText"/>
              <w:ind w:left="7"/>
              <w:spacing w:before="27" w:line="228" w:lineRule="auto"/>
              <w:rPr/>
            </w:pPr>
            <w:r>
              <w:rPr>
                <w:spacing w:val="8"/>
              </w:rPr>
              <w:t>池处理后，定期</w:t>
            </w:r>
          </w:p>
          <w:p>
            <w:pPr>
              <w:pStyle w:val="TableText"/>
              <w:ind w:left="321"/>
              <w:spacing w:before="23" w:line="216" w:lineRule="auto"/>
              <w:rPr/>
            </w:pPr>
            <w:r>
              <w:rPr>
                <w:spacing w:val="7"/>
              </w:rPr>
              <w:t>清掏处理</w:t>
            </w:r>
          </w:p>
        </w:tc>
        <w:tc>
          <w:tcPr>
            <w:tcW w:w="941" w:type="dxa"/>
            <w:vAlign w:val="top"/>
          </w:tcPr>
          <w:p>
            <w:pPr>
              <w:pStyle w:val="TableText"/>
              <w:ind w:left="53"/>
              <w:spacing w:before="170" w:line="228" w:lineRule="auto"/>
              <w:rPr/>
            </w:pPr>
            <w:r>
              <w:rPr>
                <w:spacing w:val="7"/>
              </w:rPr>
              <w:t>施工场地</w:t>
            </w:r>
          </w:p>
          <w:p>
            <w:pPr>
              <w:pStyle w:val="TableText"/>
              <w:ind w:left="161"/>
              <w:spacing w:before="24" w:line="228" w:lineRule="auto"/>
              <w:rPr/>
            </w:pPr>
            <w:r>
              <w:rPr>
                <w:spacing w:val="6"/>
              </w:rPr>
              <w:t>生活区</w:t>
            </w:r>
          </w:p>
        </w:tc>
        <w:tc>
          <w:tcPr>
            <w:tcW w:w="1183" w:type="dxa"/>
            <w:vAlign w:val="top"/>
          </w:tcPr>
          <w:p>
            <w:pPr>
              <w:pStyle w:val="TableText"/>
              <w:ind w:left="69"/>
              <w:spacing w:before="170" w:line="228" w:lineRule="auto"/>
              <w:rPr/>
            </w:pPr>
            <w:r>
              <w:rPr>
                <w:spacing w:val="8"/>
              </w:rPr>
              <w:t>施工准备期</w:t>
            </w:r>
          </w:p>
          <w:p>
            <w:pPr>
              <w:pStyle w:val="TableText"/>
              <w:ind w:left="70"/>
              <w:spacing w:before="23" w:line="228" w:lineRule="auto"/>
              <w:rPr/>
            </w:pPr>
            <w:r>
              <w:rPr>
                <w:spacing w:val="8"/>
              </w:rPr>
              <w:t>全部施工期</w:t>
            </w:r>
          </w:p>
        </w:tc>
        <w:tc>
          <w:tcPr>
            <w:tcW w:w="1108" w:type="dxa"/>
            <w:vAlign w:val="top"/>
            <w:vMerge w:val="continue"/>
            <w:tcBorders>
              <w:top w:val="nil"/>
            </w:tcBorders>
          </w:tcPr>
          <w:p>
            <w:pPr>
              <w:rPr>
                <w:rFonts w:ascii="Arial"/>
                <w:sz w:val="21"/>
              </w:rPr>
            </w:pPr>
            <w:r/>
          </w:p>
        </w:tc>
        <w:tc>
          <w:tcPr>
            <w:tcW w:w="1212" w:type="dxa"/>
            <w:vAlign w:val="top"/>
            <w:vMerge w:val="continue"/>
            <w:tcBorders>
              <w:top w:val="nil"/>
              <w:bottom w:val="nil"/>
            </w:tcBorders>
          </w:tcPr>
          <w:p>
            <w:pPr>
              <w:rPr>
                <w:rFonts w:ascii="Arial"/>
                <w:sz w:val="21"/>
              </w:rPr>
            </w:pPr>
            <w:r/>
          </w:p>
        </w:tc>
        <w:tc>
          <w:tcPr>
            <w:tcW w:w="1317" w:type="dxa"/>
            <w:vAlign w:val="top"/>
            <w:vMerge w:val="continue"/>
            <w:tcBorders>
              <w:top w:val="nil"/>
            </w:tcBorders>
          </w:tcPr>
          <w:p>
            <w:pPr>
              <w:rPr>
                <w:rFonts w:ascii="Arial"/>
                <w:sz w:val="21"/>
              </w:rPr>
            </w:pPr>
            <w:r/>
          </w:p>
        </w:tc>
      </w:tr>
      <w:tr>
        <w:trPr>
          <w:trHeight w:val="1366" w:hRule="atLeast"/>
        </w:trPr>
        <w:tc>
          <w:tcPr>
            <w:tcW w:w="431" w:type="dxa"/>
            <w:vAlign w:val="top"/>
          </w:tcPr>
          <w:p>
            <w:pPr>
              <w:spacing w:line="277" w:lineRule="auto"/>
              <w:rPr>
                <w:rFonts w:ascii="Arial"/>
                <w:sz w:val="21"/>
              </w:rPr>
            </w:pPr>
            <w:r/>
          </w:p>
          <w:p>
            <w:pPr>
              <w:spacing w:line="277" w:lineRule="auto"/>
              <w:rPr>
                <w:rFonts w:ascii="Arial"/>
                <w:sz w:val="21"/>
              </w:rPr>
            </w:pPr>
            <w:r/>
          </w:p>
          <w:p>
            <w:pPr>
              <w:ind w:left="162"/>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4</w:t>
            </w:r>
          </w:p>
        </w:tc>
        <w:tc>
          <w:tcPr>
            <w:tcW w:w="840" w:type="dxa"/>
            <w:vAlign w:val="top"/>
          </w:tcPr>
          <w:p>
            <w:pPr>
              <w:spacing w:line="375" w:lineRule="auto"/>
              <w:rPr>
                <w:rFonts w:ascii="Arial"/>
                <w:sz w:val="21"/>
              </w:rPr>
            </w:pPr>
            <w:r/>
          </w:p>
          <w:p>
            <w:pPr>
              <w:pStyle w:val="TableText"/>
              <w:ind w:left="107"/>
              <w:spacing w:before="65" w:line="229" w:lineRule="auto"/>
              <w:rPr/>
            </w:pPr>
            <w:r>
              <w:rPr>
                <w:spacing w:val="7"/>
              </w:rPr>
              <w:t>施工噪</w:t>
            </w:r>
          </w:p>
          <w:p>
            <w:pPr>
              <w:pStyle w:val="TableText"/>
              <w:ind w:left="112"/>
              <w:spacing w:before="23" w:line="228" w:lineRule="auto"/>
              <w:rPr/>
            </w:pPr>
            <w:r>
              <w:rPr>
                <w:spacing w:val="5"/>
              </w:rPr>
              <w:t>声防治</w:t>
            </w:r>
          </w:p>
        </w:tc>
        <w:tc>
          <w:tcPr>
            <w:tcW w:w="1477" w:type="dxa"/>
            <w:vAlign w:val="top"/>
          </w:tcPr>
          <w:p>
            <w:pPr>
              <w:spacing w:line="375" w:lineRule="auto"/>
              <w:rPr>
                <w:rFonts w:ascii="Arial"/>
                <w:sz w:val="21"/>
              </w:rPr>
            </w:pPr>
            <w:r/>
          </w:p>
          <w:p>
            <w:pPr>
              <w:pStyle w:val="TableText"/>
              <w:ind w:left="111"/>
              <w:spacing w:before="65" w:line="226" w:lineRule="auto"/>
              <w:rPr/>
            </w:pPr>
            <w:r>
              <w:rPr>
                <w:spacing w:val="8"/>
              </w:rPr>
              <w:t>选用低噪声设</w:t>
            </w:r>
          </w:p>
          <w:p>
            <w:pPr>
              <w:pStyle w:val="TableText"/>
              <w:ind w:left="638"/>
              <w:spacing w:before="26" w:line="229" w:lineRule="auto"/>
              <w:rPr/>
            </w:pPr>
            <w:r>
              <w:rPr/>
              <w:t>备</w:t>
            </w:r>
          </w:p>
        </w:tc>
        <w:tc>
          <w:tcPr>
            <w:tcW w:w="941" w:type="dxa"/>
            <w:vAlign w:val="top"/>
          </w:tcPr>
          <w:p>
            <w:pPr>
              <w:pStyle w:val="TableText"/>
              <w:ind w:left="53"/>
              <w:spacing w:before="34" w:line="228" w:lineRule="auto"/>
              <w:rPr/>
            </w:pPr>
            <w:r>
              <w:rPr>
                <w:spacing w:val="7"/>
              </w:rPr>
              <w:t>施工场地</w:t>
            </w:r>
          </w:p>
          <w:p>
            <w:pPr>
              <w:pStyle w:val="TableText"/>
              <w:ind w:left="56" w:right="52" w:firstLine="108"/>
              <w:spacing w:before="24" w:line="251" w:lineRule="auto"/>
              <w:rPr/>
            </w:pPr>
            <w:r>
              <w:rPr>
                <w:spacing w:val="5"/>
              </w:rPr>
              <w:t>强噪设</w:t>
            </w:r>
            <w:r>
              <w:rPr/>
              <w:t xml:space="preserve">  </w:t>
            </w:r>
            <w:r>
              <w:rPr>
                <w:spacing w:val="6"/>
              </w:rPr>
              <w:t>备；施工</w:t>
            </w:r>
          </w:p>
          <w:p>
            <w:pPr>
              <w:pStyle w:val="TableText"/>
              <w:ind w:left="53"/>
              <w:spacing w:line="228" w:lineRule="auto"/>
              <w:rPr/>
            </w:pPr>
            <w:r>
              <w:rPr>
                <w:spacing w:val="7"/>
              </w:rPr>
              <w:t>场地；运</w:t>
            </w:r>
          </w:p>
          <w:p>
            <w:pPr>
              <w:pStyle w:val="TableText"/>
              <w:ind w:left="53"/>
              <w:spacing w:before="26" w:line="214" w:lineRule="auto"/>
              <w:rPr/>
            </w:pPr>
            <w:r>
              <w:rPr>
                <w:spacing w:val="5"/>
              </w:rPr>
              <w:t>输车辆。</w:t>
            </w:r>
          </w:p>
        </w:tc>
        <w:tc>
          <w:tcPr>
            <w:tcW w:w="1183" w:type="dxa"/>
            <w:vAlign w:val="top"/>
          </w:tcPr>
          <w:p>
            <w:pPr>
              <w:spacing w:line="375" w:lineRule="auto"/>
              <w:rPr>
                <w:rFonts w:ascii="Arial"/>
                <w:sz w:val="21"/>
              </w:rPr>
            </w:pPr>
            <w:r/>
          </w:p>
          <w:p>
            <w:pPr>
              <w:pStyle w:val="TableText"/>
              <w:ind w:left="69"/>
              <w:spacing w:before="65" w:line="228" w:lineRule="auto"/>
              <w:rPr/>
            </w:pPr>
            <w:r>
              <w:rPr>
                <w:spacing w:val="8"/>
              </w:rPr>
              <w:t>施工准备期</w:t>
            </w:r>
          </w:p>
          <w:p>
            <w:pPr>
              <w:pStyle w:val="TableText"/>
              <w:ind w:left="70"/>
              <w:spacing w:before="23" w:line="228" w:lineRule="auto"/>
              <w:rPr/>
            </w:pPr>
            <w:r>
              <w:rPr>
                <w:spacing w:val="8"/>
              </w:rPr>
              <w:t>全部施工期</w:t>
            </w:r>
          </w:p>
        </w:tc>
        <w:tc>
          <w:tcPr>
            <w:tcW w:w="1108" w:type="dxa"/>
            <w:vAlign w:val="top"/>
          </w:tcPr>
          <w:p>
            <w:pPr>
              <w:spacing w:line="255" w:lineRule="auto"/>
              <w:rPr>
                <w:rFonts w:ascii="Arial"/>
                <w:sz w:val="21"/>
              </w:rPr>
            </w:pPr>
            <w:r/>
          </w:p>
          <w:p>
            <w:pPr>
              <w:spacing w:line="256" w:lineRule="auto"/>
              <w:rPr>
                <w:rFonts w:ascii="Arial"/>
                <w:sz w:val="21"/>
              </w:rPr>
            </w:pPr>
            <w:r/>
          </w:p>
          <w:p>
            <w:pPr>
              <w:pStyle w:val="TableText"/>
              <w:ind w:left="139"/>
              <w:spacing w:before="65" w:line="229" w:lineRule="auto"/>
              <w:rPr/>
            </w:pPr>
            <w:r>
              <w:rPr>
                <w:spacing w:val="7"/>
              </w:rPr>
              <w:t>施工人员</w:t>
            </w:r>
          </w:p>
        </w:tc>
        <w:tc>
          <w:tcPr>
            <w:tcW w:w="1212" w:type="dxa"/>
            <w:vAlign w:val="top"/>
            <w:vMerge w:val="continue"/>
            <w:tcBorders>
              <w:top w:val="nil"/>
              <w:bottom w:val="nil"/>
            </w:tcBorders>
          </w:tcPr>
          <w:p>
            <w:pPr>
              <w:rPr>
                <w:rFonts w:ascii="Arial"/>
                <w:sz w:val="21"/>
              </w:rPr>
            </w:pPr>
            <w:r/>
          </w:p>
        </w:tc>
        <w:tc>
          <w:tcPr>
            <w:tcW w:w="1317" w:type="dxa"/>
            <w:vAlign w:val="top"/>
          </w:tcPr>
          <w:p>
            <w:pPr>
              <w:spacing w:line="414" w:lineRule="auto"/>
              <w:rPr>
                <w:rFonts w:ascii="Arial"/>
                <w:sz w:val="21"/>
              </w:rPr>
            </w:pPr>
            <w:r/>
          </w:p>
          <w:p>
            <w:pPr>
              <w:ind w:left="32"/>
              <w:spacing w:before="5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GBl</w:t>
            </w:r>
            <w:r>
              <w:rPr>
                <w:rFonts w:ascii="Times New Roman" w:hAnsi="Times New Roman" w:eastAsia="Times New Roman" w:cs="Times New Roman"/>
                <w:sz w:val="20"/>
                <w:szCs w:val="20"/>
                <w:spacing w:val="5"/>
              </w:rPr>
              <w:t>2523-2011</w:t>
            </w:r>
          </w:p>
          <w:p>
            <w:pPr>
              <w:pStyle w:val="TableText"/>
              <w:ind w:left="245"/>
              <w:spacing w:before="34" w:line="228" w:lineRule="auto"/>
              <w:rPr/>
            </w:pPr>
            <w:r>
              <w:rPr>
                <w:spacing w:val="7"/>
              </w:rPr>
              <w:t>标准要求</w:t>
            </w:r>
          </w:p>
        </w:tc>
      </w:tr>
      <w:tr>
        <w:trPr>
          <w:trHeight w:val="1093" w:hRule="atLeast"/>
        </w:trPr>
        <w:tc>
          <w:tcPr>
            <w:tcW w:w="431" w:type="dxa"/>
            <w:vAlign w:val="top"/>
          </w:tcPr>
          <w:p>
            <w:pPr>
              <w:spacing w:line="420" w:lineRule="auto"/>
              <w:rPr>
                <w:rFonts w:ascii="Arial"/>
                <w:sz w:val="21"/>
              </w:rPr>
            </w:pPr>
            <w:r/>
          </w:p>
          <w:p>
            <w:pPr>
              <w:ind w:left="168"/>
              <w:spacing w:before="57"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840" w:type="dxa"/>
            <w:vAlign w:val="top"/>
          </w:tcPr>
          <w:p>
            <w:pPr>
              <w:spacing w:line="241" w:lineRule="auto"/>
              <w:rPr>
                <w:rFonts w:ascii="Arial"/>
                <w:sz w:val="21"/>
              </w:rPr>
            </w:pPr>
            <w:r/>
          </w:p>
          <w:p>
            <w:pPr>
              <w:pStyle w:val="TableText"/>
              <w:ind w:left="125"/>
              <w:spacing w:before="65" w:line="228" w:lineRule="auto"/>
              <w:rPr/>
            </w:pPr>
            <w:r>
              <w:rPr/>
              <w:t>固体废</w:t>
            </w:r>
          </w:p>
          <w:p>
            <w:pPr>
              <w:pStyle w:val="TableText"/>
              <w:ind w:left="107"/>
              <w:spacing w:before="23" w:line="229" w:lineRule="auto"/>
              <w:rPr/>
            </w:pPr>
            <w:r>
              <w:rPr>
                <w:spacing w:val="6"/>
              </w:rPr>
              <w:t>物处置</w:t>
            </w:r>
          </w:p>
        </w:tc>
        <w:tc>
          <w:tcPr>
            <w:tcW w:w="1477" w:type="dxa"/>
            <w:vAlign w:val="top"/>
          </w:tcPr>
          <w:p>
            <w:pPr>
              <w:rPr>
                <w:rFonts w:ascii="Arial"/>
                <w:sz w:val="21"/>
              </w:rPr>
            </w:pPr>
            <w:r/>
          </w:p>
          <w:p>
            <w:pPr>
              <w:pStyle w:val="TableText"/>
              <w:ind w:left="113"/>
              <w:spacing w:before="65" w:line="228" w:lineRule="auto"/>
              <w:rPr/>
            </w:pPr>
            <w:r>
              <w:rPr>
                <w:spacing w:val="8"/>
              </w:rPr>
              <w:t>合理调配弃土</w:t>
            </w:r>
          </w:p>
          <w:p>
            <w:pPr>
              <w:pStyle w:val="TableText"/>
              <w:ind w:left="536"/>
              <w:spacing w:before="24" w:line="228" w:lineRule="auto"/>
              <w:rPr/>
            </w:pPr>
            <w:r>
              <w:rPr>
                <w:spacing w:val="3"/>
              </w:rPr>
              <w:t>弃渣</w:t>
            </w:r>
          </w:p>
        </w:tc>
        <w:tc>
          <w:tcPr>
            <w:tcW w:w="941" w:type="dxa"/>
            <w:vAlign w:val="top"/>
          </w:tcPr>
          <w:p>
            <w:pPr>
              <w:pStyle w:val="TableText"/>
              <w:ind w:left="162"/>
              <w:spacing w:before="170" w:line="228" w:lineRule="auto"/>
              <w:rPr/>
            </w:pPr>
            <w:r>
              <w:rPr>
                <w:spacing w:val="6"/>
              </w:rPr>
              <w:t>工业场</w:t>
            </w:r>
          </w:p>
          <w:p>
            <w:pPr>
              <w:pStyle w:val="TableText"/>
              <w:ind w:left="54"/>
              <w:spacing w:before="24" w:line="228" w:lineRule="auto"/>
              <w:rPr/>
            </w:pPr>
            <w:r>
              <w:rPr>
                <w:spacing w:val="7"/>
              </w:rPr>
              <w:t>地、场外</w:t>
            </w:r>
          </w:p>
          <w:p>
            <w:pPr>
              <w:pStyle w:val="TableText"/>
              <w:ind w:left="158"/>
              <w:spacing w:before="23" w:line="228" w:lineRule="auto"/>
              <w:rPr/>
            </w:pPr>
            <w:r>
              <w:rPr>
                <w:spacing w:val="7"/>
              </w:rPr>
              <w:t>道路区</w:t>
            </w:r>
          </w:p>
        </w:tc>
        <w:tc>
          <w:tcPr>
            <w:tcW w:w="1183" w:type="dxa"/>
            <w:vAlign w:val="top"/>
          </w:tcPr>
          <w:p>
            <w:pPr>
              <w:spacing w:line="373" w:lineRule="auto"/>
              <w:rPr>
                <w:rFonts w:ascii="Arial"/>
                <w:sz w:val="21"/>
              </w:rPr>
            </w:pPr>
            <w:r/>
          </w:p>
          <w:p>
            <w:pPr>
              <w:pStyle w:val="TableText"/>
              <w:ind w:left="70"/>
              <w:spacing w:before="65" w:line="228" w:lineRule="auto"/>
              <w:rPr/>
            </w:pPr>
            <w:r>
              <w:rPr>
                <w:spacing w:val="8"/>
              </w:rPr>
              <w:t>全部施工区</w:t>
            </w:r>
          </w:p>
        </w:tc>
        <w:tc>
          <w:tcPr>
            <w:tcW w:w="1108" w:type="dxa"/>
            <w:vAlign w:val="top"/>
          </w:tcPr>
          <w:p>
            <w:pPr>
              <w:pStyle w:val="TableText"/>
              <w:ind w:left="34"/>
              <w:spacing w:before="34" w:line="228" w:lineRule="auto"/>
              <w:rPr/>
            </w:pPr>
            <w:r>
              <w:rPr>
                <w:spacing w:val="8"/>
              </w:rPr>
              <w:t>施工场地周</w:t>
            </w:r>
          </w:p>
          <w:p>
            <w:pPr>
              <w:pStyle w:val="TableText"/>
              <w:ind w:left="159"/>
              <w:spacing w:before="26" w:line="227" w:lineRule="auto"/>
              <w:rPr/>
            </w:pPr>
            <w:r>
              <w:rPr>
                <w:spacing w:val="2"/>
              </w:rPr>
              <w:t>围空气环</w:t>
            </w:r>
          </w:p>
          <w:p>
            <w:pPr>
              <w:pStyle w:val="TableText"/>
              <w:ind w:left="35"/>
              <w:spacing w:before="25" w:line="228" w:lineRule="auto"/>
              <w:rPr/>
            </w:pPr>
            <w:r>
              <w:rPr>
                <w:spacing w:val="7"/>
              </w:rPr>
              <w:t>境、土壤及</w:t>
            </w:r>
          </w:p>
          <w:p>
            <w:pPr>
              <w:pStyle w:val="TableText"/>
              <w:ind w:left="350"/>
              <w:spacing w:before="26" w:line="213" w:lineRule="auto"/>
              <w:rPr/>
            </w:pPr>
            <w:r>
              <w:rPr>
                <w:spacing w:val="4"/>
              </w:rPr>
              <w:t>植被</w:t>
            </w:r>
          </w:p>
        </w:tc>
        <w:tc>
          <w:tcPr>
            <w:tcW w:w="1212" w:type="dxa"/>
            <w:vAlign w:val="top"/>
            <w:vMerge w:val="continue"/>
            <w:tcBorders>
              <w:top w:val="nil"/>
              <w:bottom w:val="nil"/>
            </w:tcBorders>
          </w:tcPr>
          <w:p>
            <w:pPr>
              <w:rPr>
                <w:rFonts w:ascii="Arial"/>
                <w:sz w:val="21"/>
              </w:rPr>
            </w:pPr>
            <w:r/>
          </w:p>
        </w:tc>
        <w:tc>
          <w:tcPr>
            <w:tcW w:w="1317" w:type="dxa"/>
            <w:vAlign w:val="top"/>
          </w:tcPr>
          <w:p>
            <w:pPr>
              <w:pStyle w:val="TableText"/>
              <w:ind w:left="34"/>
              <w:spacing w:before="170" w:line="229" w:lineRule="auto"/>
              <w:rPr/>
            </w:pPr>
            <w:r>
              <w:rPr>
                <w:spacing w:val="8"/>
              </w:rPr>
              <w:t>合理调配土方</w:t>
            </w:r>
          </w:p>
          <w:p>
            <w:pPr>
              <w:pStyle w:val="TableText"/>
              <w:ind w:left="35"/>
              <w:spacing w:before="22" w:line="228" w:lineRule="auto"/>
              <w:rPr/>
            </w:pPr>
            <w:r>
              <w:rPr>
                <w:spacing w:val="7"/>
              </w:rPr>
              <w:t>后，弃土弃渣</w:t>
            </w:r>
          </w:p>
          <w:p>
            <w:pPr>
              <w:pStyle w:val="TableText"/>
              <w:ind w:left="33"/>
              <w:spacing w:before="24" w:line="228" w:lineRule="auto"/>
              <w:rPr/>
            </w:pPr>
            <w:r>
              <w:rPr>
                <w:spacing w:val="8"/>
              </w:rPr>
              <w:t>全部合理利用</w:t>
            </w:r>
          </w:p>
        </w:tc>
      </w:tr>
      <w:tr>
        <w:trPr>
          <w:trHeight w:val="826" w:hRule="atLeast"/>
        </w:trPr>
        <w:tc>
          <w:tcPr>
            <w:tcW w:w="431" w:type="dxa"/>
            <w:vAlign w:val="top"/>
          </w:tcPr>
          <w:p>
            <w:pPr>
              <w:spacing w:line="285" w:lineRule="auto"/>
              <w:rPr>
                <w:rFonts w:ascii="Arial"/>
                <w:sz w:val="21"/>
              </w:rPr>
            </w:pPr>
            <w:r/>
          </w:p>
          <w:p>
            <w:pPr>
              <w:ind w:left="16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840" w:type="dxa"/>
            <w:vAlign w:val="top"/>
          </w:tcPr>
          <w:p>
            <w:pPr>
              <w:pStyle w:val="TableText"/>
              <w:ind w:left="109"/>
              <w:spacing w:before="171" w:line="230" w:lineRule="auto"/>
              <w:rPr/>
            </w:pPr>
            <w:r>
              <w:rPr>
                <w:spacing w:val="6"/>
              </w:rPr>
              <w:t>生态环</w:t>
            </w:r>
          </w:p>
          <w:p>
            <w:pPr>
              <w:pStyle w:val="TableText"/>
              <w:ind w:left="108"/>
              <w:spacing w:before="25" w:line="228" w:lineRule="auto"/>
              <w:rPr/>
            </w:pPr>
            <w:r>
              <w:rPr>
                <w:spacing w:val="6"/>
              </w:rPr>
              <w:t>境保护</w:t>
            </w:r>
          </w:p>
        </w:tc>
        <w:tc>
          <w:tcPr>
            <w:tcW w:w="1477" w:type="dxa"/>
            <w:vAlign w:val="top"/>
          </w:tcPr>
          <w:p>
            <w:pPr>
              <w:pStyle w:val="TableText"/>
              <w:ind w:left="111"/>
              <w:spacing w:before="37" w:line="228" w:lineRule="auto"/>
              <w:rPr/>
            </w:pPr>
            <w:r>
              <w:rPr>
                <w:spacing w:val="8"/>
              </w:rPr>
              <w:t>控制施工场地</w:t>
            </w:r>
          </w:p>
          <w:p>
            <w:pPr>
              <w:pStyle w:val="TableText"/>
              <w:ind w:right="6"/>
              <w:spacing w:before="24" w:line="228" w:lineRule="auto"/>
              <w:jc w:val="right"/>
              <w:rPr/>
            </w:pPr>
            <w:r>
              <w:rPr>
                <w:spacing w:val="3"/>
              </w:rPr>
              <w:t>占地、及时恢复</w:t>
            </w:r>
          </w:p>
          <w:p>
            <w:pPr>
              <w:pStyle w:val="TableText"/>
              <w:ind w:left="533"/>
              <w:spacing w:before="23" w:line="218" w:lineRule="auto"/>
              <w:rPr/>
            </w:pPr>
            <w:r>
              <w:rPr>
                <w:spacing w:val="4"/>
              </w:rPr>
              <w:t>植被</w:t>
            </w:r>
          </w:p>
        </w:tc>
        <w:tc>
          <w:tcPr>
            <w:tcW w:w="941" w:type="dxa"/>
            <w:vAlign w:val="top"/>
          </w:tcPr>
          <w:p>
            <w:pPr>
              <w:pStyle w:val="TableText"/>
              <w:ind w:left="53"/>
              <w:spacing w:before="37" w:line="228" w:lineRule="auto"/>
              <w:rPr/>
            </w:pPr>
            <w:r>
              <w:rPr>
                <w:spacing w:val="7"/>
              </w:rPr>
              <w:t>施工场地</w:t>
            </w:r>
          </w:p>
          <w:p>
            <w:pPr>
              <w:pStyle w:val="TableText"/>
              <w:ind w:left="53"/>
              <w:spacing w:before="23" w:line="228" w:lineRule="auto"/>
              <w:rPr/>
            </w:pPr>
            <w:r>
              <w:rPr>
                <w:spacing w:val="7"/>
              </w:rPr>
              <w:t>边界及临</w:t>
            </w:r>
          </w:p>
          <w:p>
            <w:pPr>
              <w:pStyle w:val="TableText"/>
              <w:ind w:left="169"/>
              <w:spacing w:before="24" w:line="218" w:lineRule="auto"/>
              <w:rPr/>
            </w:pPr>
            <w:r>
              <w:rPr>
                <w:spacing w:val="3"/>
              </w:rPr>
              <w:t>时占地</w:t>
            </w:r>
          </w:p>
        </w:tc>
        <w:tc>
          <w:tcPr>
            <w:tcW w:w="1183" w:type="dxa"/>
            <w:vAlign w:val="top"/>
          </w:tcPr>
          <w:p>
            <w:pPr>
              <w:spacing w:line="241" w:lineRule="auto"/>
              <w:rPr>
                <w:rFonts w:ascii="Arial"/>
                <w:sz w:val="21"/>
              </w:rPr>
            </w:pPr>
            <w:r/>
          </w:p>
          <w:p>
            <w:pPr>
              <w:pStyle w:val="TableText"/>
              <w:ind w:left="70"/>
              <w:spacing w:before="65" w:line="228" w:lineRule="auto"/>
              <w:rPr/>
            </w:pPr>
            <w:r>
              <w:rPr>
                <w:spacing w:val="8"/>
              </w:rPr>
              <w:t>全部施工期</w:t>
            </w:r>
          </w:p>
        </w:tc>
        <w:tc>
          <w:tcPr>
            <w:tcW w:w="1108" w:type="dxa"/>
            <w:vAlign w:val="top"/>
          </w:tcPr>
          <w:p>
            <w:pPr>
              <w:pStyle w:val="TableText"/>
              <w:ind w:left="34"/>
              <w:spacing w:before="37" w:line="228" w:lineRule="auto"/>
              <w:rPr/>
            </w:pPr>
            <w:r>
              <w:rPr>
                <w:spacing w:val="8"/>
              </w:rPr>
              <w:t>施工场地周</w:t>
            </w:r>
          </w:p>
          <w:p>
            <w:pPr>
              <w:pStyle w:val="TableText"/>
              <w:ind w:left="53"/>
              <w:spacing w:before="23" w:line="228" w:lineRule="auto"/>
              <w:rPr/>
            </w:pPr>
            <w:r>
              <w:rPr>
                <w:spacing w:val="4"/>
              </w:rPr>
              <w:t>围土壤、植</w:t>
            </w:r>
          </w:p>
          <w:p>
            <w:pPr>
              <w:pStyle w:val="TableText"/>
              <w:ind w:left="454"/>
              <w:spacing w:before="24" w:line="218" w:lineRule="auto"/>
              <w:rPr/>
            </w:pPr>
            <w:r>
              <w:rPr/>
              <w:t>被</w:t>
            </w:r>
          </w:p>
        </w:tc>
        <w:tc>
          <w:tcPr>
            <w:tcW w:w="1212" w:type="dxa"/>
            <w:vAlign w:val="top"/>
            <w:vMerge w:val="continue"/>
            <w:tcBorders>
              <w:top w:val="nil"/>
            </w:tcBorders>
          </w:tcPr>
          <w:p>
            <w:pPr>
              <w:rPr>
                <w:rFonts w:ascii="Arial"/>
                <w:sz w:val="21"/>
              </w:rPr>
            </w:pPr>
            <w:r/>
          </w:p>
        </w:tc>
        <w:tc>
          <w:tcPr>
            <w:tcW w:w="1317" w:type="dxa"/>
            <w:vAlign w:val="top"/>
          </w:tcPr>
          <w:p>
            <w:pPr>
              <w:pStyle w:val="TableText"/>
              <w:ind w:left="32"/>
              <w:spacing w:before="37" w:line="228" w:lineRule="auto"/>
              <w:rPr/>
            </w:pPr>
            <w:r>
              <w:rPr>
                <w:spacing w:val="8"/>
              </w:rPr>
              <w:t>施工场地周边</w:t>
            </w:r>
          </w:p>
          <w:p>
            <w:pPr>
              <w:pStyle w:val="TableText"/>
              <w:ind w:left="34"/>
              <w:spacing w:before="23" w:line="228" w:lineRule="auto"/>
              <w:rPr/>
            </w:pPr>
            <w:r>
              <w:rPr>
                <w:spacing w:val="8"/>
              </w:rPr>
              <w:t>土壤、植被不</w:t>
            </w:r>
          </w:p>
          <w:p>
            <w:pPr>
              <w:pStyle w:val="TableText"/>
              <w:ind w:left="347"/>
              <w:spacing w:before="24" w:line="218" w:lineRule="auto"/>
              <w:rPr/>
            </w:pPr>
            <w:r>
              <w:rPr>
                <w:spacing w:val="6"/>
              </w:rPr>
              <w:t>被破坏</w:t>
            </w:r>
          </w:p>
        </w:tc>
      </w:tr>
    </w:tbl>
    <w:p>
      <w:pPr>
        <w:ind w:left="16"/>
        <w:spacing w:before="201" w:line="222" w:lineRule="auto"/>
        <w:outlineLvl w:val="1"/>
        <w:rPr>
          <w:rFonts w:ascii="SimHei" w:hAnsi="SimHei" w:eastAsia="SimHei" w:cs="SimHei"/>
          <w:sz w:val="30"/>
          <w:szCs w:val="30"/>
        </w:rPr>
      </w:pPr>
      <w:bookmarkStart w:name="bookmark175" w:id="209"/>
      <w:bookmarkEnd w:id="209"/>
      <w:r>
        <w:rPr>
          <w:rFonts w:ascii="Times New Roman" w:hAnsi="Times New Roman" w:eastAsia="Times New Roman" w:cs="Times New Roman"/>
          <w:sz w:val="30"/>
          <w:szCs w:val="30"/>
          <w:spacing w:val="-2"/>
        </w:rPr>
        <w:t>7.8 </w:t>
      </w:r>
      <w:r>
        <w:rPr>
          <w:rFonts w:ascii="SimHei" w:hAnsi="SimHei" w:eastAsia="SimHei" w:cs="SimHei"/>
          <w:sz w:val="30"/>
          <w:szCs w:val="30"/>
          <w:spacing w:val="-2"/>
        </w:rPr>
        <w:t>环境管理</w:t>
      </w:r>
    </w:p>
    <w:p>
      <w:pPr>
        <w:pStyle w:val="BodyText"/>
        <w:spacing w:line="286" w:lineRule="auto"/>
        <w:rPr/>
      </w:pPr>
      <w:r/>
    </w:p>
    <w:p>
      <w:pPr>
        <w:ind w:left="14" w:firstLine="480"/>
        <w:spacing w:before="78" w:line="360" w:lineRule="auto"/>
        <w:jc w:val="both"/>
        <w:rPr>
          <w:rFonts w:ascii="SimSun" w:hAnsi="SimSun" w:eastAsia="SimSun" w:cs="SimSun"/>
          <w:sz w:val="24"/>
          <w:szCs w:val="24"/>
        </w:rPr>
      </w:pPr>
      <w:r>
        <w:rPr>
          <w:rFonts w:ascii="SimSun" w:hAnsi="SimSun" w:eastAsia="SimSun" w:cs="SimSun"/>
          <w:sz w:val="24"/>
          <w:szCs w:val="24"/>
          <w:spacing w:val="3"/>
        </w:rPr>
        <w:t>环境管理是减少污染物排放最直接、最经济的有效手段，通过科学</w:t>
      </w:r>
      <w:r>
        <w:rPr>
          <w:rFonts w:ascii="SimSun" w:hAnsi="SimSun" w:eastAsia="SimSun" w:cs="SimSun"/>
          <w:sz w:val="24"/>
          <w:szCs w:val="24"/>
          <w:spacing w:val="2"/>
        </w:rPr>
        <w:t>、规范的</w:t>
      </w:r>
      <w:r>
        <w:rPr>
          <w:rFonts w:ascii="SimSun" w:hAnsi="SimSun" w:eastAsia="SimSun" w:cs="SimSun"/>
          <w:sz w:val="24"/>
          <w:szCs w:val="24"/>
        </w:rPr>
        <w:t xml:space="preserve"> </w:t>
      </w:r>
      <w:r>
        <w:rPr>
          <w:rFonts w:ascii="SimSun" w:hAnsi="SimSun" w:eastAsia="SimSun" w:cs="SimSun"/>
          <w:sz w:val="24"/>
          <w:szCs w:val="24"/>
          <w:spacing w:val="3"/>
        </w:rPr>
        <w:t>管理，可以大大减轻污染并降低事故发生的概率，</w:t>
      </w:r>
      <w:r>
        <w:rPr>
          <w:rFonts w:ascii="SimSun" w:hAnsi="SimSun" w:eastAsia="SimSun" w:cs="SimSun"/>
          <w:sz w:val="24"/>
          <w:szCs w:val="24"/>
          <w:spacing w:val="2"/>
        </w:rPr>
        <w:t>因此，应当将管理贯彻到工程</w:t>
      </w:r>
      <w:r>
        <w:rPr>
          <w:rFonts w:ascii="SimSun" w:hAnsi="SimSun" w:eastAsia="SimSun" w:cs="SimSun"/>
          <w:sz w:val="24"/>
          <w:szCs w:val="24"/>
        </w:rPr>
        <w:t xml:space="preserve"> </w:t>
      </w:r>
      <w:r>
        <w:rPr>
          <w:rFonts w:ascii="SimSun" w:hAnsi="SimSun" w:eastAsia="SimSun" w:cs="SimSun"/>
          <w:sz w:val="24"/>
          <w:szCs w:val="24"/>
          <w:spacing w:val="3"/>
        </w:rPr>
        <w:t>建设生产的全过程，环境管理人员应当切实搞好环境保</w:t>
      </w:r>
      <w:r>
        <w:rPr>
          <w:rFonts w:ascii="SimSun" w:hAnsi="SimSun" w:eastAsia="SimSun" w:cs="SimSun"/>
          <w:sz w:val="24"/>
          <w:szCs w:val="24"/>
          <w:spacing w:val="2"/>
        </w:rPr>
        <w:t>护工作，加强环保措施的</w:t>
      </w:r>
      <w:r>
        <w:rPr>
          <w:rFonts w:ascii="SimSun" w:hAnsi="SimSun" w:eastAsia="SimSun" w:cs="SimSun"/>
          <w:sz w:val="24"/>
          <w:szCs w:val="24"/>
        </w:rPr>
        <w:t xml:space="preserve"> </w:t>
      </w:r>
      <w:r>
        <w:rPr>
          <w:rFonts w:ascii="SimSun" w:hAnsi="SimSun" w:eastAsia="SimSun" w:cs="SimSun"/>
          <w:sz w:val="24"/>
          <w:szCs w:val="24"/>
          <w:spacing w:val="3"/>
        </w:rPr>
        <w:t>检查、监督和管理，加强环保设备的维修，污染治理岗</w:t>
      </w:r>
      <w:r>
        <w:rPr>
          <w:rFonts w:ascii="SimSun" w:hAnsi="SimSun" w:eastAsia="SimSun" w:cs="SimSun"/>
          <w:sz w:val="24"/>
          <w:szCs w:val="24"/>
          <w:spacing w:val="2"/>
        </w:rPr>
        <w:t>位应配备高素质人员，使</w:t>
      </w:r>
      <w:r>
        <w:rPr>
          <w:rFonts w:ascii="SimSun" w:hAnsi="SimSun" w:eastAsia="SimSun" w:cs="SimSun"/>
          <w:sz w:val="24"/>
          <w:szCs w:val="24"/>
        </w:rPr>
        <w:t xml:space="preserve"> </w:t>
      </w:r>
      <w:r>
        <w:rPr>
          <w:rFonts w:ascii="SimSun" w:hAnsi="SimSun" w:eastAsia="SimSun" w:cs="SimSun"/>
          <w:sz w:val="24"/>
          <w:szCs w:val="24"/>
          <w:spacing w:val="-2"/>
        </w:rPr>
        <w:t>各项治理设施正常稳定运转，建议建设方应加强管理，制定严格的环保管理制度。</w:t>
      </w:r>
    </w:p>
    <w:p>
      <w:pPr>
        <w:ind w:left="16"/>
        <w:spacing w:before="161" w:line="222" w:lineRule="auto"/>
        <w:outlineLvl w:val="1"/>
        <w:rPr>
          <w:rFonts w:ascii="SimHei" w:hAnsi="SimHei" w:eastAsia="SimHei" w:cs="SimHei"/>
          <w:sz w:val="30"/>
          <w:szCs w:val="30"/>
        </w:rPr>
      </w:pPr>
      <w:bookmarkStart w:name="bookmark176" w:id="210"/>
      <w:bookmarkEnd w:id="210"/>
      <w:r>
        <w:rPr>
          <w:rFonts w:ascii="Times New Roman" w:hAnsi="Times New Roman" w:eastAsia="Times New Roman" w:cs="Times New Roman"/>
          <w:sz w:val="30"/>
          <w:szCs w:val="30"/>
          <w:spacing w:val="-1"/>
        </w:rPr>
        <w:t>7.9 </w:t>
      </w:r>
      <w:r>
        <w:rPr>
          <w:rFonts w:ascii="SimHei" w:hAnsi="SimHei" w:eastAsia="SimHei" w:cs="SimHei"/>
          <w:sz w:val="30"/>
          <w:szCs w:val="30"/>
          <w:spacing w:val="-1"/>
        </w:rPr>
        <w:t>环境保护对策措施及验收</w:t>
      </w:r>
    </w:p>
    <w:p>
      <w:pPr>
        <w:pStyle w:val="BodyText"/>
        <w:spacing w:line="291" w:lineRule="auto"/>
        <w:rPr/>
      </w:pPr>
      <w:r/>
    </w:p>
    <w:p>
      <w:pPr>
        <w:ind w:left="17" w:right="80" w:firstLine="478"/>
        <w:spacing w:before="78" w:line="360" w:lineRule="auto"/>
        <w:rPr>
          <w:rFonts w:ascii="SimSun" w:hAnsi="SimSun" w:eastAsia="SimSun" w:cs="SimSun"/>
          <w:sz w:val="24"/>
          <w:szCs w:val="24"/>
        </w:rPr>
      </w:pPr>
      <w:r>
        <w:rPr>
          <w:rFonts w:ascii="SimSun" w:hAnsi="SimSun" w:eastAsia="SimSun" w:cs="SimSun"/>
          <w:sz w:val="24"/>
          <w:szCs w:val="24"/>
          <w:spacing w:val="-2"/>
        </w:rPr>
        <w:t>本项目建设总投资为</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2"/>
        </w:rPr>
        <w:t>4000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万元，本项目环保投资为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306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万元，占总投资比例</w:t>
      </w:r>
      <w:r>
        <w:rPr>
          <w:rFonts w:ascii="SimSun" w:hAnsi="SimSun" w:eastAsia="SimSun" w:cs="SimSun"/>
          <w:sz w:val="24"/>
          <w:szCs w:val="24"/>
        </w:rPr>
        <w:t xml:space="preserve"> </w:t>
      </w:r>
      <w:r>
        <w:rPr>
          <w:rFonts w:ascii="SimSun" w:hAnsi="SimSun" w:eastAsia="SimSun" w:cs="SimSun"/>
          <w:sz w:val="24"/>
          <w:szCs w:val="24"/>
          <w:spacing w:val="-2"/>
        </w:rPr>
        <w:t>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7.65%</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，项目环境保护对策措施及验收详见表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7.9</w:t>
      </w:r>
      <w:r>
        <w:rPr>
          <w:rFonts w:ascii="Times New Roman" w:hAnsi="Times New Roman" w:eastAsia="Times New Roman" w:cs="Times New Roman"/>
          <w:sz w:val="24"/>
          <w:szCs w:val="24"/>
          <w:spacing w:val="-3"/>
        </w:rPr>
        <w:t>-1</w:t>
      </w:r>
      <w:r>
        <w:rPr>
          <w:rFonts w:ascii="SimSun" w:hAnsi="SimSun" w:eastAsia="SimSun" w:cs="SimSun"/>
          <w:sz w:val="24"/>
          <w:szCs w:val="24"/>
          <w:spacing w:val="-3"/>
        </w:rPr>
        <w:t>。</w:t>
      </w:r>
    </w:p>
    <w:p>
      <w:pPr>
        <w:ind w:left="12"/>
        <w:spacing w:before="291" w:line="225" w:lineRule="auto"/>
        <w:rPr>
          <w:rFonts w:ascii="SimSun" w:hAnsi="SimSun" w:eastAsia="SimSun" w:cs="SimSun"/>
          <w:sz w:val="19"/>
          <w:szCs w:val="19"/>
        </w:rPr>
      </w:pPr>
      <w:r>
        <w:pict>
          <v:shape id="_x0000_s1292" style="position:absolute;margin-left:159.57pt;margin-top:13.5787pt;mso-position-vertical-relative:text;mso-position-horizontal-relative:text;width:61pt;height:13.75pt;z-index:252367872;"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289</w:t>
                  </w:r>
                </w:p>
              </w:txbxContent>
            </v:textbox>
          </v:shape>
        </w:pict>
      </w:r>
      <w:r>
        <w:rPr>
          <w:rFonts w:ascii="SimSun" w:hAnsi="SimSun" w:eastAsia="SimSun" w:cs="SimSun"/>
          <w:sz w:val="19"/>
          <w:szCs w:val="19"/>
          <w:spacing w:val="9"/>
        </w:rPr>
        <w:t>锡林郭勒盟中安环境技术咨询有限责</w:t>
      </w:r>
    </w:p>
    <w:p>
      <w:pPr>
        <w:spacing w:line="225" w:lineRule="auto"/>
        <w:sectPr>
          <w:headerReference w:type="default" r:id="rId320"/>
          <w:footerReference w:type="default" r:id="rId3"/>
          <w:pgSz w:w="11907" w:h="16840"/>
          <w:pgMar w:top="1567" w:right="1621" w:bottom="400" w:left="1696" w:header="1221" w:footer="0" w:gutter="0"/>
        </w:sectPr>
        <w:rPr>
          <w:rFonts w:ascii="SimSun" w:hAnsi="SimSun" w:eastAsia="SimSun" w:cs="SimSun"/>
          <w:sz w:val="19"/>
          <w:szCs w:val="19"/>
        </w:rPr>
      </w:pPr>
    </w:p>
    <w:p>
      <w:pPr>
        <w:ind w:left="896"/>
        <w:spacing w:before="168" w:line="212" w:lineRule="auto"/>
        <w:rPr>
          <w:rFonts w:ascii="SimSun" w:hAnsi="SimSun" w:eastAsia="SimSun" w:cs="SimSun"/>
          <w:sz w:val="24"/>
          <w:szCs w:val="24"/>
        </w:rPr>
      </w:pPr>
      <w:r>
        <w:pict>
          <v:shape id="_x0000_s1296" style="position:absolute;margin-left:85.05pt;margin-top:78.87pt;mso-position-vertical-relative:page;mso-position-horizontal-relative:page;width:425.25pt;height:0.75pt;z-index:252370944;" o:allowincell="f" fillcolor="#000000" filled="true" stroked="false" coordsize="8505,15" coordorigin="0,0" path="m,l8505,0l8505,14l0,14l0,0xe"/>
        </w:pict>
      </w:r>
      <w:r>
        <w:rPr>
          <w:rFonts w:ascii="SimSun" w:hAnsi="SimSun" w:eastAsia="SimSun" w:cs="SimSun"/>
          <w:sz w:val="24"/>
          <w:szCs w:val="24"/>
          <w:b/>
          <w:bCs/>
          <w:spacing w:val="-1"/>
        </w:rPr>
        <w:t>表</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1"/>
        </w:rPr>
        <w:t>7.9-1        </w:t>
      </w:r>
      <w:r>
        <w:rPr>
          <w:rFonts w:ascii="SimSun" w:hAnsi="SimSun" w:eastAsia="SimSun" w:cs="SimSun"/>
          <w:sz w:val="24"/>
          <w:szCs w:val="24"/>
          <w:b/>
          <w:bCs/>
          <w:spacing w:val="-1"/>
        </w:rPr>
        <w:t>项目环境保护对策措</w:t>
      </w:r>
      <w:r>
        <w:rPr>
          <w:rFonts w:ascii="SimSun" w:hAnsi="SimSun" w:eastAsia="SimSun" w:cs="SimSun"/>
          <w:sz w:val="24"/>
          <w:szCs w:val="24"/>
          <w:b/>
          <w:bCs/>
          <w:spacing w:val="-2"/>
        </w:rPr>
        <w:t>施及验收一览表</w:t>
      </w:r>
      <w:r>
        <w:rPr>
          <w:rFonts w:ascii="SimSun" w:hAnsi="SimSun" w:eastAsia="SimSun" w:cs="SimSun"/>
          <w:sz w:val="24"/>
          <w:szCs w:val="24"/>
          <w:spacing w:val="-2"/>
        </w:rPr>
        <w:t xml:space="preserve">    </w:t>
      </w:r>
      <w:r>
        <w:rPr>
          <w:rFonts w:ascii="SimSun" w:hAnsi="SimSun" w:eastAsia="SimSun" w:cs="SimSun"/>
          <w:sz w:val="24"/>
          <w:szCs w:val="24"/>
          <w:b/>
          <w:bCs/>
          <w:spacing w:val="-2"/>
        </w:rPr>
        <w:t>单位：万元</w:t>
      </w:r>
    </w:p>
    <w:tbl>
      <w:tblPr>
        <w:tblStyle w:val="TableNormal"/>
        <w:tblW w:w="858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18"/>
        <w:gridCol w:w="1277"/>
        <w:gridCol w:w="2729"/>
        <w:gridCol w:w="979"/>
        <w:gridCol w:w="992"/>
        <w:gridCol w:w="1894"/>
      </w:tblGrid>
      <w:tr>
        <w:trPr>
          <w:trHeight w:val="283" w:hRule="atLeast"/>
        </w:trPr>
        <w:tc>
          <w:tcPr>
            <w:tcW w:w="718" w:type="dxa"/>
            <w:vAlign w:val="top"/>
          </w:tcPr>
          <w:p>
            <w:pPr>
              <w:pStyle w:val="TableText"/>
              <w:ind w:left="154"/>
              <w:spacing w:before="36" w:line="218" w:lineRule="auto"/>
              <w:rPr/>
            </w:pPr>
            <w:r>
              <w:rPr>
                <w:spacing w:val="4"/>
              </w:rPr>
              <w:t>类别</w:t>
            </w:r>
          </w:p>
        </w:tc>
        <w:tc>
          <w:tcPr>
            <w:tcW w:w="1277" w:type="dxa"/>
            <w:vAlign w:val="top"/>
          </w:tcPr>
          <w:p>
            <w:pPr>
              <w:pStyle w:val="TableText"/>
              <w:ind w:left="330"/>
              <w:spacing w:before="36" w:line="218" w:lineRule="auto"/>
              <w:rPr/>
            </w:pPr>
            <w:r>
              <w:rPr>
                <w:spacing w:val="6"/>
              </w:rPr>
              <w:t>污染源</w:t>
            </w:r>
          </w:p>
        </w:tc>
        <w:tc>
          <w:tcPr>
            <w:tcW w:w="2729" w:type="dxa"/>
            <w:vAlign w:val="top"/>
          </w:tcPr>
          <w:p>
            <w:pPr>
              <w:pStyle w:val="TableText"/>
              <w:ind w:left="635"/>
              <w:spacing w:before="36" w:line="218" w:lineRule="auto"/>
              <w:rPr/>
            </w:pPr>
            <w:r>
              <w:rPr>
                <w:spacing w:val="8"/>
              </w:rPr>
              <w:t>采取的处理措施</w:t>
            </w:r>
          </w:p>
        </w:tc>
        <w:tc>
          <w:tcPr>
            <w:tcW w:w="979" w:type="dxa"/>
            <w:vAlign w:val="top"/>
          </w:tcPr>
          <w:p>
            <w:pPr>
              <w:pStyle w:val="TableText"/>
              <w:ind w:left="287"/>
              <w:spacing w:before="36" w:line="218" w:lineRule="auto"/>
              <w:rPr/>
            </w:pPr>
            <w:r>
              <w:rPr>
                <w:spacing w:val="3"/>
              </w:rPr>
              <w:t>投资</w:t>
            </w:r>
          </w:p>
        </w:tc>
        <w:tc>
          <w:tcPr>
            <w:tcW w:w="992" w:type="dxa"/>
            <w:vAlign w:val="top"/>
          </w:tcPr>
          <w:p>
            <w:pPr>
              <w:pStyle w:val="TableText"/>
              <w:ind w:left="86"/>
              <w:spacing w:before="36" w:line="218" w:lineRule="auto"/>
              <w:rPr/>
            </w:pPr>
            <w:r>
              <w:rPr>
                <w:spacing w:val="6"/>
              </w:rPr>
              <w:t>净化效率</w:t>
            </w:r>
          </w:p>
        </w:tc>
        <w:tc>
          <w:tcPr>
            <w:tcW w:w="1894" w:type="dxa"/>
            <w:vAlign w:val="top"/>
          </w:tcPr>
          <w:p>
            <w:pPr>
              <w:pStyle w:val="TableText"/>
              <w:ind w:left="531"/>
              <w:spacing w:before="36" w:line="218" w:lineRule="auto"/>
              <w:rPr/>
            </w:pPr>
            <w:r>
              <w:rPr>
                <w:spacing w:val="7"/>
              </w:rPr>
              <w:t>验收标准</w:t>
            </w:r>
          </w:p>
        </w:tc>
      </w:tr>
      <w:tr>
        <w:trPr>
          <w:trHeight w:val="1910" w:hRule="atLeast"/>
        </w:trPr>
        <w:tc>
          <w:tcPr>
            <w:tcW w:w="718" w:type="dxa"/>
            <w:vAlign w:val="top"/>
            <w:vMerge w:val="restart"/>
            <w:tcBorders>
              <w:bottom w:val="nil"/>
            </w:tcBorders>
          </w:tcPr>
          <w:p>
            <w:pPr>
              <w:spacing w:line="243"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pStyle w:val="TableText"/>
              <w:ind w:left="153"/>
              <w:spacing w:before="65" w:line="228" w:lineRule="auto"/>
              <w:rPr/>
            </w:pPr>
            <w:r>
              <w:rPr>
                <w:spacing w:val="5"/>
              </w:rPr>
              <w:t>废气</w:t>
            </w:r>
          </w:p>
        </w:tc>
        <w:tc>
          <w:tcPr>
            <w:tcW w:w="1277" w:type="dxa"/>
            <w:vAlign w:val="top"/>
          </w:tcPr>
          <w:p>
            <w:pPr>
              <w:spacing w:line="258" w:lineRule="auto"/>
              <w:rPr>
                <w:rFonts w:ascii="Arial"/>
                <w:sz w:val="21"/>
              </w:rPr>
            </w:pPr>
            <w:r/>
          </w:p>
          <w:p>
            <w:pPr>
              <w:spacing w:line="258" w:lineRule="auto"/>
              <w:rPr>
                <w:rFonts w:ascii="Arial"/>
                <w:sz w:val="21"/>
              </w:rPr>
            </w:pPr>
            <w:r/>
          </w:p>
          <w:p>
            <w:pPr>
              <w:spacing w:line="259" w:lineRule="auto"/>
              <w:rPr>
                <w:rFonts w:ascii="Arial"/>
                <w:sz w:val="21"/>
              </w:rPr>
            </w:pPr>
            <w:r/>
          </w:p>
          <w:p>
            <w:pPr>
              <w:pStyle w:val="TableText"/>
              <w:ind w:left="12"/>
              <w:spacing w:before="65" w:line="228" w:lineRule="auto"/>
              <w:rPr/>
            </w:pPr>
            <w:r>
              <w:rPr>
                <w:spacing w:val="8"/>
              </w:rPr>
              <w:t>开松除杂粉尘</w:t>
            </w:r>
          </w:p>
        </w:tc>
        <w:tc>
          <w:tcPr>
            <w:tcW w:w="2729" w:type="dxa"/>
            <w:vAlign w:val="top"/>
          </w:tcPr>
          <w:p>
            <w:pPr>
              <w:pStyle w:val="TableText"/>
              <w:ind w:left="117"/>
              <w:spacing w:before="29" w:line="227" w:lineRule="auto"/>
              <w:rPr/>
            </w:pPr>
            <w:r>
              <w:rPr>
                <w:spacing w:val="8"/>
              </w:rPr>
              <w:t>东厂区除杂粉尘经一套布袋</w:t>
            </w:r>
          </w:p>
          <w:p>
            <w:pPr>
              <w:pStyle w:val="TableText"/>
              <w:ind w:left="93"/>
              <w:spacing w:before="27" w:line="228" w:lineRule="auto"/>
              <w:rPr/>
            </w:pPr>
            <w:r>
              <w:rPr>
                <w:spacing w:val="4"/>
              </w:rPr>
              <w:t>除尘器处理后通过</w:t>
            </w:r>
            <w:r>
              <w:rPr>
                <w:spacing w:val="-22"/>
              </w:rPr>
              <w:t xml:space="preserve"> </w:t>
            </w:r>
            <w:r>
              <w:rPr>
                <w:rFonts w:ascii="Times New Roman" w:hAnsi="Times New Roman" w:eastAsia="Times New Roman" w:cs="Times New Roman"/>
                <w:spacing w:val="4"/>
              </w:rPr>
              <w:t>15m</w:t>
            </w:r>
            <w:r>
              <w:rPr>
                <w:rFonts w:ascii="Times New Roman" w:hAnsi="Times New Roman" w:eastAsia="Times New Roman" w:cs="Times New Roman"/>
                <w:spacing w:val="18"/>
              </w:rPr>
              <w:t xml:space="preserve"> </w:t>
            </w:r>
            <w:r>
              <w:rPr>
                <w:spacing w:val="4"/>
              </w:rPr>
              <w:t>高排</w:t>
            </w:r>
          </w:p>
          <w:p>
            <w:pPr>
              <w:pStyle w:val="TableText"/>
              <w:ind w:left="12"/>
              <w:spacing w:before="24" w:line="228" w:lineRule="auto"/>
              <w:rPr/>
            </w:pPr>
            <w:r>
              <w:rPr>
                <w:spacing w:val="9"/>
              </w:rPr>
              <w:t>气筒排放（</w:t>
            </w:r>
            <w:r>
              <w:rPr>
                <w:rFonts w:ascii="Times New Roman" w:hAnsi="Times New Roman" w:eastAsia="Times New Roman" w:cs="Times New Roman"/>
              </w:rPr>
              <w:t>DA</w:t>
            </w:r>
            <w:r>
              <w:rPr>
                <w:rFonts w:ascii="Times New Roman" w:hAnsi="Times New Roman" w:eastAsia="Times New Roman" w:cs="Times New Roman"/>
                <w:spacing w:val="9"/>
              </w:rPr>
              <w:t>001</w:t>
            </w:r>
            <w:r>
              <w:rPr>
                <w:spacing w:val="9"/>
              </w:rPr>
              <w:t>）。西厂区</w:t>
            </w:r>
          </w:p>
          <w:p>
            <w:pPr>
              <w:pStyle w:val="TableText"/>
              <w:ind w:left="122"/>
              <w:spacing w:before="26" w:line="227" w:lineRule="auto"/>
              <w:rPr/>
            </w:pPr>
            <w:r>
              <w:rPr>
                <w:spacing w:val="8"/>
              </w:rPr>
              <w:t>除杂粉尘经一套布袋除尘器</w:t>
            </w:r>
          </w:p>
          <w:p>
            <w:pPr>
              <w:pStyle w:val="TableText"/>
              <w:ind w:left="85"/>
              <w:spacing w:before="25" w:line="228" w:lineRule="auto"/>
              <w:rPr/>
            </w:pPr>
            <w:r>
              <w:rPr>
                <w:spacing w:val="5"/>
              </w:rPr>
              <w:t>处理后通过</w:t>
            </w:r>
            <w:r>
              <w:rPr>
                <w:spacing w:val="-23"/>
              </w:rPr>
              <w:t xml:space="preserve"> </w:t>
            </w:r>
            <w:r>
              <w:rPr>
                <w:rFonts w:ascii="Times New Roman" w:hAnsi="Times New Roman" w:eastAsia="Times New Roman" w:cs="Times New Roman"/>
                <w:spacing w:val="5"/>
              </w:rPr>
              <w:t>15m</w:t>
            </w:r>
            <w:r>
              <w:rPr>
                <w:rFonts w:ascii="Times New Roman" w:hAnsi="Times New Roman" w:eastAsia="Times New Roman" w:cs="Times New Roman"/>
                <w:spacing w:val="15"/>
              </w:rPr>
              <w:t xml:space="preserve"> </w:t>
            </w:r>
            <w:r>
              <w:rPr>
                <w:spacing w:val="5"/>
              </w:rPr>
              <w:t>高排气筒排</w:t>
            </w:r>
          </w:p>
          <w:p>
            <w:pPr>
              <w:pStyle w:val="TableText"/>
              <w:ind w:left="11"/>
              <w:spacing w:before="26" w:line="228" w:lineRule="auto"/>
              <w:rPr/>
            </w:pPr>
            <w:r>
              <w:rPr>
                <w:spacing w:val="6"/>
              </w:rPr>
              <w:t>放（</w:t>
            </w:r>
            <w:r>
              <w:rPr>
                <w:rFonts w:ascii="Times New Roman" w:hAnsi="Times New Roman" w:eastAsia="Times New Roman" w:cs="Times New Roman"/>
              </w:rPr>
              <w:t>DA</w:t>
            </w:r>
            <w:r>
              <w:rPr>
                <w:rFonts w:ascii="Times New Roman" w:hAnsi="Times New Roman" w:eastAsia="Times New Roman" w:cs="Times New Roman"/>
                <w:spacing w:val="6"/>
              </w:rPr>
              <w:t>002</w:t>
            </w:r>
            <w:r>
              <w:rPr>
                <w:spacing w:val="25"/>
              </w:rPr>
              <w:t>），</w:t>
            </w:r>
            <w:r>
              <w:rPr>
                <w:spacing w:val="6"/>
              </w:rPr>
              <w:t>同时加强车间</w:t>
            </w:r>
          </w:p>
          <w:p>
            <w:pPr>
              <w:pStyle w:val="TableText"/>
              <w:ind w:left="1055"/>
              <w:spacing w:before="25" w:line="218" w:lineRule="auto"/>
              <w:rPr/>
            </w:pPr>
            <w:r>
              <w:rPr>
                <w:spacing w:val="3"/>
              </w:rPr>
              <w:t>通风。</w:t>
            </w:r>
          </w:p>
        </w:tc>
        <w:tc>
          <w:tcPr>
            <w:tcW w:w="979" w:type="dxa"/>
            <w:vAlign w:val="top"/>
          </w:tcPr>
          <w:p>
            <w:pPr>
              <w:spacing w:line="273" w:lineRule="auto"/>
              <w:rPr>
                <w:rFonts w:ascii="Arial"/>
                <w:sz w:val="21"/>
              </w:rPr>
            </w:pPr>
            <w:r/>
          </w:p>
          <w:p>
            <w:pPr>
              <w:spacing w:line="273" w:lineRule="auto"/>
              <w:rPr>
                <w:rFonts w:ascii="Arial"/>
                <w:sz w:val="21"/>
              </w:rPr>
            </w:pPr>
            <w:r/>
          </w:p>
          <w:p>
            <w:pPr>
              <w:spacing w:line="274" w:lineRule="auto"/>
              <w:rPr>
                <w:rFonts w:ascii="Arial"/>
                <w:sz w:val="21"/>
              </w:rPr>
            </w:pPr>
            <w:r/>
          </w:p>
          <w:p>
            <w:pPr>
              <w:ind w:left="387"/>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20</w:t>
            </w:r>
          </w:p>
        </w:tc>
        <w:tc>
          <w:tcPr>
            <w:tcW w:w="992" w:type="dxa"/>
            <w:vAlign w:val="top"/>
          </w:tcPr>
          <w:p>
            <w:pPr>
              <w:spacing w:line="273" w:lineRule="auto"/>
              <w:rPr>
                <w:rFonts w:ascii="Arial"/>
                <w:sz w:val="21"/>
              </w:rPr>
            </w:pPr>
            <w:r/>
          </w:p>
          <w:p>
            <w:pPr>
              <w:spacing w:line="274" w:lineRule="auto"/>
              <w:rPr>
                <w:rFonts w:ascii="Arial"/>
                <w:sz w:val="21"/>
              </w:rPr>
            </w:pPr>
            <w:r/>
          </w:p>
          <w:p>
            <w:pPr>
              <w:spacing w:line="274" w:lineRule="auto"/>
              <w:rPr>
                <w:rFonts w:ascii="Arial"/>
                <w:sz w:val="21"/>
              </w:rPr>
            </w:pPr>
            <w:r/>
          </w:p>
          <w:p>
            <w:pPr>
              <w:ind w:left="398"/>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99</w:t>
            </w:r>
          </w:p>
        </w:tc>
        <w:tc>
          <w:tcPr>
            <w:tcW w:w="1894" w:type="dxa"/>
            <w:vAlign w:val="top"/>
            <w:vMerge w:val="restart"/>
            <w:tcBorders>
              <w:bottom w:val="nil"/>
            </w:tcBorders>
          </w:tcPr>
          <w:p>
            <w:pPr>
              <w:spacing w:line="271" w:lineRule="auto"/>
              <w:rPr>
                <w:rFonts w:ascii="Arial"/>
                <w:sz w:val="21"/>
              </w:rPr>
            </w:pPr>
            <w:r/>
          </w:p>
          <w:p>
            <w:pPr>
              <w:spacing w:line="271" w:lineRule="auto"/>
              <w:rPr>
                <w:rFonts w:ascii="Arial"/>
                <w:sz w:val="21"/>
              </w:rPr>
            </w:pPr>
            <w:r/>
          </w:p>
          <w:p>
            <w:pPr>
              <w:spacing w:line="271" w:lineRule="auto"/>
              <w:rPr>
                <w:rFonts w:ascii="Arial"/>
                <w:sz w:val="21"/>
              </w:rPr>
            </w:pPr>
            <w:r/>
          </w:p>
          <w:p>
            <w:pPr>
              <w:spacing w:line="272" w:lineRule="auto"/>
              <w:rPr>
                <w:rFonts w:ascii="Arial"/>
                <w:sz w:val="21"/>
              </w:rPr>
            </w:pPr>
            <w:r/>
          </w:p>
          <w:p>
            <w:pPr>
              <w:spacing w:line="272" w:lineRule="auto"/>
              <w:rPr>
                <w:rFonts w:ascii="Arial"/>
                <w:sz w:val="21"/>
              </w:rPr>
            </w:pPr>
            <w:r/>
          </w:p>
          <w:p>
            <w:pPr>
              <w:pStyle w:val="TableText"/>
              <w:ind w:left="113"/>
              <w:spacing w:before="65" w:line="228" w:lineRule="auto"/>
              <w:rPr/>
            </w:pPr>
            <w:r>
              <w:rPr>
                <w:spacing w:val="8"/>
              </w:rPr>
              <w:t>生产工艺中颗粒物</w:t>
            </w:r>
          </w:p>
          <w:p>
            <w:pPr>
              <w:pStyle w:val="TableText"/>
              <w:ind w:left="63"/>
              <w:spacing w:before="26" w:line="228" w:lineRule="auto"/>
              <w:rPr>
                <w:rFonts w:ascii="Times New Roman" w:hAnsi="Times New Roman" w:eastAsia="Times New Roman" w:cs="Times New Roman"/>
              </w:rPr>
            </w:pPr>
            <w:r>
              <w:rPr>
                <w:spacing w:val="5"/>
              </w:rPr>
              <w:t>执行</w:t>
            </w:r>
            <w:r>
              <w:rPr>
                <w:spacing w:val="-37"/>
              </w:rPr>
              <w:t xml:space="preserve"> </w:t>
            </w:r>
            <w:r>
              <w:rPr>
                <w:rFonts w:ascii="Times New Roman" w:hAnsi="Times New Roman" w:eastAsia="Times New Roman" w:cs="Times New Roman"/>
              </w:rPr>
              <w:t>GB</w:t>
            </w:r>
            <w:r>
              <w:rPr>
                <w:rFonts w:ascii="Times New Roman" w:hAnsi="Times New Roman" w:eastAsia="Times New Roman" w:cs="Times New Roman"/>
                <w:spacing w:val="5"/>
              </w:rPr>
              <w:t>16297-1996</w:t>
            </w:r>
          </w:p>
          <w:p>
            <w:pPr>
              <w:pStyle w:val="TableText"/>
              <w:ind w:left="33"/>
              <w:spacing w:before="24" w:line="228" w:lineRule="auto"/>
              <w:rPr/>
            </w:pPr>
            <w:r>
              <w:rPr>
                <w:spacing w:val="4"/>
              </w:rPr>
              <w:t>中表</w:t>
            </w:r>
            <w:r>
              <w:rPr>
                <w:spacing w:val="-42"/>
              </w:rPr>
              <w:t xml:space="preserve"> </w:t>
            </w:r>
            <w:r>
              <w:rPr>
                <w:rFonts w:ascii="Times New Roman" w:hAnsi="Times New Roman" w:eastAsia="Times New Roman" w:cs="Times New Roman"/>
                <w:spacing w:val="4"/>
              </w:rPr>
              <w:t>2 </w:t>
            </w:r>
            <w:r>
              <w:rPr>
                <w:spacing w:val="4"/>
              </w:rPr>
              <w:t>新污染源二级</w:t>
            </w:r>
          </w:p>
          <w:p>
            <w:pPr>
              <w:pStyle w:val="TableText"/>
              <w:ind w:left="13"/>
              <w:spacing w:before="25" w:line="228" w:lineRule="auto"/>
              <w:rPr>
                <w:rFonts w:ascii="Times New Roman" w:hAnsi="Times New Roman" w:eastAsia="Times New Roman" w:cs="Times New Roman"/>
                <w:sz w:val="13"/>
                <w:szCs w:val="13"/>
              </w:rPr>
            </w:pPr>
            <w:r>
              <w:rPr>
                <w:spacing w:val="-1"/>
              </w:rPr>
              <w:t>排放限值；</w:t>
            </w:r>
            <w:r>
              <w:rPr>
                <w:rFonts w:ascii="Times New Roman" w:hAnsi="Times New Roman" w:eastAsia="Times New Roman" w:cs="Times New Roman"/>
                <w:spacing w:val="-1"/>
              </w:rPr>
              <w:t>H</w:t>
            </w:r>
            <w:r>
              <w:rPr>
                <w:rFonts w:ascii="Times New Roman" w:hAnsi="Times New Roman" w:eastAsia="Times New Roman" w:cs="Times New Roman"/>
                <w:sz w:val="13"/>
                <w:szCs w:val="13"/>
                <w:spacing w:val="-1"/>
                <w:position w:val="-1"/>
              </w:rPr>
              <w:t>2</w:t>
            </w:r>
            <w:r>
              <w:rPr>
                <w:rFonts w:ascii="Times New Roman" w:hAnsi="Times New Roman" w:eastAsia="Times New Roman" w:cs="Times New Roman"/>
                <w:spacing w:val="-1"/>
              </w:rPr>
              <w:t>S</w:t>
            </w:r>
            <w:r>
              <w:rPr>
                <w:spacing w:val="-1"/>
              </w:rPr>
              <w:t>、</w:t>
            </w:r>
            <w:r>
              <w:rPr>
                <w:rFonts w:ascii="Times New Roman" w:hAnsi="Times New Roman" w:eastAsia="Times New Roman" w:cs="Times New Roman"/>
                <w:spacing w:val="-1"/>
              </w:rPr>
              <w:t>NH</w:t>
            </w:r>
            <w:r>
              <w:rPr>
                <w:rFonts w:ascii="Times New Roman" w:hAnsi="Times New Roman" w:eastAsia="Times New Roman" w:cs="Times New Roman"/>
                <w:sz w:val="13"/>
                <w:szCs w:val="13"/>
                <w:spacing w:val="-1"/>
                <w:position w:val="-1"/>
              </w:rPr>
              <w:t>3</w:t>
            </w:r>
          </w:p>
          <w:p>
            <w:pPr>
              <w:pStyle w:val="TableText"/>
              <w:ind w:left="111"/>
              <w:spacing w:before="24" w:line="228" w:lineRule="auto"/>
              <w:rPr/>
            </w:pPr>
            <w:r>
              <w:rPr>
                <w:spacing w:val="8"/>
              </w:rPr>
              <w:t>及臭气浓度排放执</w:t>
            </w:r>
          </w:p>
          <w:p>
            <w:pPr>
              <w:pStyle w:val="TableText"/>
              <w:ind w:left="67"/>
              <w:spacing w:before="25" w:line="228" w:lineRule="auto"/>
              <w:rPr>
                <w:rFonts w:ascii="Times New Roman" w:hAnsi="Times New Roman" w:eastAsia="Times New Roman" w:cs="Times New Roman"/>
              </w:rPr>
            </w:pPr>
            <w:r>
              <w:rPr>
                <w:spacing w:val="4"/>
              </w:rPr>
              <w:t>行</w:t>
            </w:r>
            <w:r>
              <w:rPr>
                <w:spacing w:val="-38"/>
              </w:rPr>
              <w:t xml:space="preserve"> </w:t>
            </w:r>
            <w:r>
              <w:rPr>
                <w:rFonts w:ascii="Times New Roman" w:hAnsi="Times New Roman" w:eastAsia="Times New Roman" w:cs="Times New Roman"/>
              </w:rPr>
              <w:t>GB</w:t>
            </w:r>
            <w:r>
              <w:rPr>
                <w:rFonts w:ascii="Times New Roman" w:hAnsi="Times New Roman" w:eastAsia="Times New Roman" w:cs="Times New Roman"/>
                <w:spacing w:val="4"/>
              </w:rPr>
              <w:t>14554-93 </w:t>
            </w:r>
            <w:r>
              <w:rPr>
                <w:spacing w:val="4"/>
              </w:rPr>
              <w:t>表</w:t>
            </w:r>
            <w:r>
              <w:rPr>
                <w:spacing w:val="-20"/>
              </w:rPr>
              <w:t xml:space="preserve"> </w:t>
            </w:r>
            <w:r>
              <w:rPr>
                <w:rFonts w:ascii="Times New Roman" w:hAnsi="Times New Roman" w:eastAsia="Times New Roman" w:cs="Times New Roman"/>
                <w:spacing w:val="4"/>
              </w:rPr>
              <w:t>1</w:t>
            </w:r>
          </w:p>
          <w:p>
            <w:pPr>
              <w:pStyle w:val="TableText"/>
              <w:ind w:left="112"/>
              <w:spacing w:before="26" w:line="228" w:lineRule="auto"/>
              <w:rPr/>
            </w:pPr>
            <w:r>
              <w:rPr>
                <w:spacing w:val="8"/>
              </w:rPr>
              <w:t>新改扩建二级标准</w:t>
            </w:r>
          </w:p>
          <w:p>
            <w:pPr>
              <w:pStyle w:val="TableText"/>
              <w:spacing w:before="24" w:line="228" w:lineRule="auto"/>
              <w:jc w:val="right"/>
              <w:rPr/>
            </w:pPr>
            <w:r>
              <w:rPr>
                <w:spacing w:val="-13"/>
              </w:rPr>
              <w:t>限值、表</w:t>
            </w:r>
            <w:r>
              <w:rPr>
                <w:spacing w:val="-47"/>
              </w:rPr>
              <w:t xml:space="preserve"> </w:t>
            </w:r>
            <w:r>
              <w:rPr>
                <w:rFonts w:ascii="Times New Roman" w:hAnsi="Times New Roman" w:eastAsia="Times New Roman" w:cs="Times New Roman"/>
                <w:spacing w:val="-13"/>
              </w:rPr>
              <w:t>2 </w:t>
            </w:r>
            <w:r>
              <w:rPr>
                <w:spacing w:val="-13"/>
              </w:rPr>
              <w:t>排放标准；</w:t>
            </w:r>
          </w:p>
          <w:p>
            <w:pPr>
              <w:pStyle w:val="TableText"/>
              <w:ind w:left="116"/>
              <w:spacing w:before="28" w:line="228" w:lineRule="auto"/>
              <w:rPr/>
            </w:pPr>
            <w:r>
              <w:rPr>
                <w:spacing w:val="8"/>
              </w:rPr>
              <w:t>沼气锅炉和生物质</w:t>
            </w:r>
          </w:p>
          <w:p>
            <w:pPr>
              <w:pStyle w:val="TableText"/>
              <w:ind w:left="111"/>
              <w:spacing w:before="24" w:line="228" w:lineRule="auto"/>
              <w:rPr/>
            </w:pPr>
            <w:r>
              <w:rPr>
                <w:spacing w:val="8"/>
              </w:rPr>
              <w:t>锅炉烟气排放分别</w:t>
            </w:r>
          </w:p>
          <w:p>
            <w:pPr>
              <w:pStyle w:val="TableText"/>
              <w:ind w:left="363"/>
              <w:spacing w:before="26" w:line="228" w:lineRule="auto"/>
              <w:rPr>
                <w:rFonts w:ascii="Times New Roman" w:hAnsi="Times New Roman" w:eastAsia="Times New Roman" w:cs="Times New Roman"/>
              </w:rPr>
            </w:pPr>
            <w:r>
              <w:rPr>
                <w:spacing w:val="8"/>
              </w:rPr>
              <w:t>参照执行</w:t>
            </w:r>
            <w:r>
              <w:rPr>
                <w:spacing w:val="-40"/>
              </w:rPr>
              <w:t xml:space="preserve"> </w:t>
            </w:r>
            <w:r>
              <w:rPr>
                <w:rFonts w:ascii="Times New Roman" w:hAnsi="Times New Roman" w:eastAsia="Times New Roman" w:cs="Times New Roman"/>
              </w:rPr>
              <w:t>GB</w:t>
            </w:r>
          </w:p>
          <w:p>
            <w:pPr>
              <w:pStyle w:val="TableText"/>
              <w:ind w:left="121"/>
              <w:spacing w:before="24" w:line="229" w:lineRule="auto"/>
              <w:rPr/>
            </w:pPr>
            <w:r>
              <w:rPr>
                <w:rFonts w:ascii="Times New Roman" w:hAnsi="Times New Roman" w:eastAsia="Times New Roman" w:cs="Times New Roman"/>
                <w:spacing w:val="2"/>
              </w:rPr>
              <w:t>13271-2014 </w:t>
            </w:r>
            <w:r>
              <w:rPr>
                <w:spacing w:val="2"/>
              </w:rPr>
              <w:t>表</w:t>
            </w:r>
            <w:r>
              <w:rPr>
                <w:spacing w:val="-39"/>
              </w:rPr>
              <w:t xml:space="preserve"> </w:t>
            </w:r>
            <w:r>
              <w:rPr>
                <w:rFonts w:ascii="Times New Roman" w:hAnsi="Times New Roman" w:eastAsia="Times New Roman" w:cs="Times New Roman"/>
                <w:spacing w:val="2"/>
              </w:rPr>
              <w:t>2</w:t>
            </w:r>
            <w:r>
              <w:rPr>
                <w:rFonts w:ascii="Times New Roman" w:hAnsi="Times New Roman" w:eastAsia="Times New Roman" w:cs="Times New Roman"/>
                <w:spacing w:val="13"/>
                <w:w w:val="101"/>
              </w:rPr>
              <w:t xml:space="preserve"> </w:t>
            </w:r>
            <w:r>
              <w:rPr>
                <w:spacing w:val="2"/>
              </w:rPr>
              <w:t>燃</w:t>
            </w:r>
          </w:p>
          <w:p>
            <w:pPr>
              <w:pStyle w:val="TableText"/>
              <w:ind w:left="14"/>
              <w:spacing w:before="26" w:line="228" w:lineRule="auto"/>
              <w:rPr/>
            </w:pPr>
            <w:r>
              <w:rPr>
                <w:spacing w:val="7"/>
              </w:rPr>
              <w:t>气、燃煤锅炉标准；</w:t>
            </w:r>
          </w:p>
          <w:p>
            <w:pPr>
              <w:pStyle w:val="TableText"/>
              <w:ind w:left="113"/>
              <w:spacing w:before="24" w:line="228" w:lineRule="auto"/>
              <w:rPr/>
            </w:pPr>
            <w:r>
              <w:rPr>
                <w:spacing w:val="8"/>
              </w:rPr>
              <w:t>餐饮油烟排放参照</w:t>
            </w:r>
          </w:p>
          <w:p>
            <w:pPr>
              <w:pStyle w:val="TableText"/>
              <w:ind w:left="63"/>
              <w:spacing w:before="26" w:line="228" w:lineRule="auto"/>
              <w:rPr>
                <w:rFonts w:ascii="Times New Roman" w:hAnsi="Times New Roman" w:eastAsia="Times New Roman" w:cs="Times New Roman"/>
              </w:rPr>
            </w:pPr>
            <w:r>
              <w:rPr>
                <w:spacing w:val="5"/>
              </w:rPr>
              <w:t>执行</w:t>
            </w:r>
            <w:r>
              <w:rPr>
                <w:spacing w:val="-37"/>
              </w:rPr>
              <w:t xml:space="preserve"> </w:t>
            </w:r>
            <w:r>
              <w:rPr>
                <w:rFonts w:ascii="Times New Roman" w:hAnsi="Times New Roman" w:eastAsia="Times New Roman" w:cs="Times New Roman"/>
              </w:rPr>
              <w:t>GB</w:t>
            </w:r>
            <w:r>
              <w:rPr>
                <w:rFonts w:ascii="Times New Roman" w:hAnsi="Times New Roman" w:eastAsia="Times New Roman" w:cs="Times New Roman"/>
                <w:spacing w:val="5"/>
              </w:rPr>
              <w:t>18483-2001</w:t>
            </w:r>
          </w:p>
          <w:p>
            <w:pPr>
              <w:pStyle w:val="TableText"/>
              <w:ind w:left="33"/>
              <w:spacing w:before="24" w:line="228" w:lineRule="auto"/>
              <w:rPr/>
            </w:pPr>
            <w:r>
              <w:rPr>
                <w:spacing w:val="5"/>
              </w:rPr>
              <w:t>中型排放限值，要求</w:t>
            </w:r>
          </w:p>
          <w:p>
            <w:pPr>
              <w:pStyle w:val="TableText"/>
              <w:ind w:left="114"/>
              <w:spacing w:before="27" w:line="227" w:lineRule="auto"/>
              <w:rPr/>
            </w:pPr>
            <w:r>
              <w:rPr>
                <w:spacing w:val="8"/>
              </w:rPr>
              <w:t>各排气筒设置采样</w:t>
            </w:r>
          </w:p>
          <w:p>
            <w:pPr>
              <w:pStyle w:val="TableText"/>
              <w:ind w:left="322"/>
              <w:spacing w:before="26" w:line="227" w:lineRule="auto"/>
              <w:rPr/>
            </w:pPr>
            <w:r>
              <w:rPr>
                <w:spacing w:val="8"/>
              </w:rPr>
              <w:t>平台和采样孔</w:t>
            </w:r>
          </w:p>
        </w:tc>
      </w:tr>
      <w:tr>
        <w:trPr>
          <w:trHeight w:val="822" w:hRule="atLeast"/>
        </w:trPr>
        <w:tc>
          <w:tcPr>
            <w:tcW w:w="718" w:type="dxa"/>
            <w:vAlign w:val="top"/>
            <w:vMerge w:val="continue"/>
            <w:tcBorders>
              <w:top w:val="nil"/>
              <w:bottom w:val="nil"/>
            </w:tcBorders>
          </w:tcPr>
          <w:p>
            <w:pPr>
              <w:rPr>
                <w:rFonts w:ascii="Arial"/>
                <w:sz w:val="21"/>
              </w:rPr>
            </w:pPr>
            <w:r/>
          </w:p>
        </w:tc>
        <w:tc>
          <w:tcPr>
            <w:tcW w:w="1277" w:type="dxa"/>
            <w:vAlign w:val="top"/>
          </w:tcPr>
          <w:p>
            <w:pPr>
              <w:pStyle w:val="TableText"/>
              <w:ind w:left="11"/>
              <w:spacing w:before="31" w:line="228" w:lineRule="auto"/>
              <w:rPr/>
            </w:pPr>
            <w:r>
              <w:rPr>
                <w:spacing w:val="8"/>
              </w:rPr>
              <w:t>洗毛恶臭气体</w:t>
            </w:r>
          </w:p>
          <w:p>
            <w:pPr>
              <w:pStyle w:val="TableText"/>
              <w:ind w:left="22"/>
              <w:spacing w:before="26" w:line="228" w:lineRule="auto"/>
              <w:rPr/>
            </w:pPr>
            <w:r>
              <w:rPr>
                <w:spacing w:val="7"/>
              </w:rPr>
              <w:t>（东厂区、西</w:t>
            </w:r>
          </w:p>
          <w:p>
            <w:pPr>
              <w:pStyle w:val="TableText"/>
              <w:ind w:left="331"/>
              <w:spacing w:before="24" w:line="217" w:lineRule="auto"/>
              <w:rPr/>
            </w:pPr>
            <w:r>
              <w:rPr>
                <w:spacing w:val="2"/>
              </w:rPr>
              <w:t>厂区）</w:t>
            </w:r>
          </w:p>
        </w:tc>
        <w:tc>
          <w:tcPr>
            <w:tcW w:w="2729" w:type="dxa"/>
            <w:vAlign w:val="top"/>
          </w:tcPr>
          <w:p>
            <w:pPr>
              <w:pStyle w:val="TableText"/>
              <w:ind w:left="17"/>
              <w:spacing w:before="168" w:line="227" w:lineRule="auto"/>
              <w:rPr/>
            </w:pPr>
            <w:r>
              <w:rPr>
                <w:spacing w:val="7"/>
              </w:rPr>
              <w:t>喷洒生物除臭剂，恶臭气体去</w:t>
            </w:r>
          </w:p>
          <w:p>
            <w:pPr>
              <w:pStyle w:val="TableText"/>
              <w:ind w:left="849"/>
              <w:spacing w:before="25" w:line="228" w:lineRule="auto"/>
              <w:rPr>
                <w:rFonts w:ascii="Times New Roman" w:hAnsi="Times New Roman" w:eastAsia="Times New Roman" w:cs="Times New Roman"/>
              </w:rPr>
            </w:pPr>
            <w:r>
              <w:rPr>
                <w:spacing w:val="3"/>
              </w:rPr>
              <w:t>除效率</w:t>
            </w:r>
            <w:r>
              <w:rPr>
                <w:spacing w:val="-39"/>
              </w:rPr>
              <w:t xml:space="preserve"> </w:t>
            </w:r>
            <w:r>
              <w:rPr>
                <w:rFonts w:ascii="Times New Roman" w:hAnsi="Times New Roman" w:eastAsia="Times New Roman" w:cs="Times New Roman"/>
                <w:spacing w:val="3"/>
              </w:rPr>
              <w:t>60%</w:t>
            </w:r>
          </w:p>
        </w:tc>
        <w:tc>
          <w:tcPr>
            <w:tcW w:w="979" w:type="dxa"/>
            <w:vAlign w:val="top"/>
          </w:tcPr>
          <w:p>
            <w:pPr>
              <w:spacing w:line="282" w:lineRule="auto"/>
              <w:rPr>
                <w:rFonts w:ascii="Arial"/>
                <w:sz w:val="21"/>
              </w:rPr>
            </w:pPr>
            <w:r/>
          </w:p>
          <w:p>
            <w:pPr>
              <w:ind w:left="460"/>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92" w:type="dxa"/>
            <w:vAlign w:val="top"/>
          </w:tcPr>
          <w:p>
            <w:pPr>
              <w:spacing w:line="282" w:lineRule="auto"/>
              <w:rPr>
                <w:rFonts w:ascii="Arial"/>
                <w:sz w:val="21"/>
              </w:rPr>
            </w:pPr>
            <w:r/>
          </w:p>
          <w:p>
            <w:pPr>
              <w:ind w:left="312"/>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60%</w:t>
            </w:r>
          </w:p>
        </w:tc>
        <w:tc>
          <w:tcPr>
            <w:tcW w:w="1894" w:type="dxa"/>
            <w:vAlign w:val="top"/>
            <w:vMerge w:val="continue"/>
            <w:tcBorders>
              <w:top w:val="nil"/>
              <w:bottom w:val="nil"/>
            </w:tcBorders>
          </w:tcPr>
          <w:p>
            <w:pPr>
              <w:rPr>
                <w:rFonts w:ascii="Arial"/>
                <w:sz w:val="21"/>
              </w:rPr>
            </w:pPr>
            <w:r/>
          </w:p>
        </w:tc>
      </w:tr>
      <w:tr>
        <w:trPr>
          <w:trHeight w:val="550" w:hRule="atLeast"/>
        </w:trPr>
        <w:tc>
          <w:tcPr>
            <w:tcW w:w="718" w:type="dxa"/>
            <w:vAlign w:val="top"/>
            <w:vMerge w:val="continue"/>
            <w:tcBorders>
              <w:top w:val="nil"/>
              <w:bottom w:val="nil"/>
            </w:tcBorders>
          </w:tcPr>
          <w:p>
            <w:pPr>
              <w:rPr>
                <w:rFonts w:ascii="Arial"/>
                <w:sz w:val="21"/>
              </w:rPr>
            </w:pPr>
            <w:r/>
          </w:p>
        </w:tc>
        <w:tc>
          <w:tcPr>
            <w:tcW w:w="1277" w:type="dxa"/>
            <w:vAlign w:val="top"/>
          </w:tcPr>
          <w:p>
            <w:pPr>
              <w:pStyle w:val="TableText"/>
              <w:ind w:left="11"/>
              <w:spacing w:before="166" w:line="228" w:lineRule="auto"/>
              <w:rPr/>
            </w:pPr>
            <w:r>
              <w:rPr>
                <w:spacing w:val="8"/>
              </w:rPr>
              <w:t>梳绒车间粉尘</w:t>
            </w:r>
          </w:p>
        </w:tc>
        <w:tc>
          <w:tcPr>
            <w:tcW w:w="2729" w:type="dxa"/>
            <w:vAlign w:val="top"/>
          </w:tcPr>
          <w:p>
            <w:pPr>
              <w:pStyle w:val="TableText"/>
              <w:ind w:left="8"/>
              <w:spacing w:before="32" w:line="228" w:lineRule="auto"/>
              <w:rPr/>
            </w:pPr>
            <w:r>
              <w:rPr>
                <w:spacing w:val="8"/>
              </w:rPr>
              <w:t>梳绒车间全封闭；设备自带滤</w:t>
            </w:r>
          </w:p>
          <w:p>
            <w:pPr>
              <w:pStyle w:val="TableText"/>
              <w:ind w:left="1264"/>
              <w:spacing w:before="24" w:line="218" w:lineRule="auto"/>
              <w:rPr/>
            </w:pPr>
            <w:r>
              <w:rPr/>
              <w:t>袋</w:t>
            </w:r>
          </w:p>
        </w:tc>
        <w:tc>
          <w:tcPr>
            <w:tcW w:w="979" w:type="dxa"/>
            <w:vAlign w:val="top"/>
          </w:tcPr>
          <w:p>
            <w:pPr>
              <w:ind w:left="395"/>
              <w:spacing w:before="2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80</w:t>
            </w:r>
          </w:p>
        </w:tc>
        <w:tc>
          <w:tcPr>
            <w:tcW w:w="992" w:type="dxa"/>
            <w:vAlign w:val="top"/>
          </w:tcPr>
          <w:p>
            <w:pPr>
              <w:ind w:left="312"/>
              <w:spacing w:before="2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90%</w:t>
            </w:r>
          </w:p>
        </w:tc>
        <w:tc>
          <w:tcPr>
            <w:tcW w:w="1894" w:type="dxa"/>
            <w:vAlign w:val="top"/>
            <w:vMerge w:val="continue"/>
            <w:tcBorders>
              <w:top w:val="nil"/>
              <w:bottom w:val="nil"/>
            </w:tcBorders>
          </w:tcPr>
          <w:p>
            <w:pPr>
              <w:rPr>
                <w:rFonts w:ascii="Arial"/>
                <w:sz w:val="21"/>
              </w:rPr>
            </w:pPr>
            <w:r/>
          </w:p>
        </w:tc>
      </w:tr>
      <w:tr>
        <w:trPr>
          <w:trHeight w:val="1638" w:hRule="atLeast"/>
        </w:trPr>
        <w:tc>
          <w:tcPr>
            <w:tcW w:w="718" w:type="dxa"/>
            <w:vAlign w:val="top"/>
            <w:vMerge w:val="continue"/>
            <w:tcBorders>
              <w:top w:val="nil"/>
              <w:bottom w:val="nil"/>
            </w:tcBorders>
          </w:tcPr>
          <w:p>
            <w:pPr>
              <w:rPr>
                <w:rFonts w:ascii="Arial"/>
                <w:sz w:val="21"/>
              </w:rPr>
            </w:pPr>
            <w:r/>
          </w:p>
        </w:tc>
        <w:tc>
          <w:tcPr>
            <w:tcW w:w="1277" w:type="dxa"/>
            <w:vAlign w:val="top"/>
          </w:tcPr>
          <w:p>
            <w:pPr>
              <w:spacing w:line="253" w:lineRule="auto"/>
              <w:rPr>
                <w:rFonts w:ascii="Arial"/>
                <w:sz w:val="21"/>
              </w:rPr>
            </w:pPr>
            <w:r/>
          </w:p>
          <w:p>
            <w:pPr>
              <w:spacing w:line="253" w:lineRule="auto"/>
              <w:rPr>
                <w:rFonts w:ascii="Arial"/>
                <w:sz w:val="21"/>
              </w:rPr>
            </w:pPr>
            <w:r/>
          </w:p>
          <w:p>
            <w:pPr>
              <w:pStyle w:val="TableText"/>
              <w:ind w:left="11"/>
              <w:spacing w:before="65" w:line="228" w:lineRule="auto"/>
              <w:rPr/>
            </w:pPr>
            <w:r>
              <w:rPr>
                <w:spacing w:val="8"/>
              </w:rPr>
              <w:t>废水收集池等</w:t>
            </w:r>
          </w:p>
          <w:p>
            <w:pPr>
              <w:pStyle w:val="TableText"/>
              <w:ind w:left="224"/>
              <w:spacing w:before="26" w:line="228" w:lineRule="auto"/>
              <w:rPr/>
            </w:pPr>
            <w:r>
              <w:rPr>
                <w:spacing w:val="7"/>
              </w:rPr>
              <w:t>恶臭气体</w:t>
            </w:r>
          </w:p>
        </w:tc>
        <w:tc>
          <w:tcPr>
            <w:tcW w:w="2729" w:type="dxa"/>
            <w:vAlign w:val="top"/>
          </w:tcPr>
          <w:p>
            <w:pPr>
              <w:pStyle w:val="TableText"/>
              <w:spacing w:before="31" w:line="228" w:lineRule="auto"/>
              <w:jc w:val="right"/>
              <w:rPr/>
            </w:pPr>
            <w:r>
              <w:rPr>
                <w:spacing w:val="1"/>
              </w:rPr>
              <w:t>对废水收集池、</w:t>
            </w:r>
            <w:r>
              <w:rPr>
                <w:rFonts w:ascii="Times New Roman" w:hAnsi="Times New Roman" w:eastAsia="Times New Roman" w:cs="Times New Roman"/>
              </w:rPr>
              <w:t>TS</w:t>
            </w:r>
            <w:r>
              <w:rPr>
                <w:rFonts w:ascii="Times New Roman" w:hAnsi="Times New Roman" w:eastAsia="Times New Roman" w:cs="Times New Roman"/>
                <w:spacing w:val="15"/>
                <w:w w:val="101"/>
              </w:rPr>
              <w:t xml:space="preserve"> </w:t>
            </w:r>
            <w:r>
              <w:rPr>
                <w:spacing w:val="1"/>
              </w:rPr>
              <w:t>调节池、固</w:t>
            </w:r>
          </w:p>
          <w:p>
            <w:pPr>
              <w:pStyle w:val="TableText"/>
              <w:ind w:left="112"/>
              <w:spacing w:before="24" w:line="228" w:lineRule="auto"/>
              <w:rPr/>
            </w:pPr>
            <w:r>
              <w:rPr>
                <w:spacing w:val="8"/>
              </w:rPr>
              <w:t>液分离池、沼液池等进行封</w:t>
            </w:r>
          </w:p>
          <w:p>
            <w:pPr>
              <w:pStyle w:val="TableText"/>
              <w:ind w:right="3"/>
              <w:spacing w:before="24" w:line="228" w:lineRule="auto"/>
              <w:jc w:val="right"/>
              <w:rPr/>
            </w:pPr>
            <w:r>
              <w:rPr>
                <w:spacing w:val="6"/>
              </w:rPr>
              <w:t>闭；恶臭气体经废气收集管道</w:t>
            </w:r>
          </w:p>
          <w:p>
            <w:pPr>
              <w:pStyle w:val="TableText"/>
              <w:ind w:left="117"/>
              <w:spacing w:before="26" w:line="227" w:lineRule="auto"/>
              <w:rPr/>
            </w:pPr>
            <w:r>
              <w:rPr>
                <w:spacing w:val="8"/>
              </w:rPr>
              <w:t>收集后通过一套活性炭吸附</w:t>
            </w:r>
          </w:p>
          <w:p>
            <w:pPr>
              <w:pStyle w:val="TableText"/>
              <w:spacing w:before="25" w:line="228" w:lineRule="auto"/>
              <w:jc w:val="right"/>
              <w:rPr/>
            </w:pPr>
            <w:r>
              <w:rPr/>
              <w:t>装置处理，处理后通过</w:t>
            </w:r>
            <w:r>
              <w:rPr>
                <w:spacing w:val="-11"/>
              </w:rPr>
              <w:t xml:space="preserve"> </w:t>
            </w:r>
            <w:r>
              <w:rPr>
                <w:rFonts w:ascii="Times New Roman" w:hAnsi="Times New Roman" w:eastAsia="Times New Roman" w:cs="Times New Roman"/>
              </w:rPr>
              <w:t>15m</w:t>
            </w:r>
            <w:r>
              <w:rPr>
                <w:rFonts w:ascii="Times New Roman" w:hAnsi="Times New Roman" w:eastAsia="Times New Roman" w:cs="Times New Roman"/>
                <w:spacing w:val="15"/>
                <w:w w:val="101"/>
              </w:rPr>
              <w:t xml:space="preserve"> </w:t>
            </w:r>
            <w:r>
              <w:rPr/>
              <w:t>高</w:t>
            </w:r>
          </w:p>
          <w:p>
            <w:pPr>
              <w:pStyle w:val="TableText"/>
              <w:ind w:left="220"/>
              <w:spacing w:before="26" w:line="217" w:lineRule="auto"/>
              <w:rPr/>
            </w:pPr>
            <w:r>
              <w:rPr>
                <w:spacing w:val="7"/>
              </w:rPr>
              <w:t>排气筒排放（</w:t>
            </w:r>
            <w:r>
              <w:rPr>
                <w:rFonts w:ascii="Times New Roman" w:hAnsi="Times New Roman" w:eastAsia="Times New Roman" w:cs="Times New Roman"/>
              </w:rPr>
              <w:t>DA</w:t>
            </w:r>
            <w:r>
              <w:rPr>
                <w:rFonts w:ascii="Times New Roman" w:hAnsi="Times New Roman" w:eastAsia="Times New Roman" w:cs="Times New Roman"/>
                <w:spacing w:val="7"/>
              </w:rPr>
              <w:t>003</w:t>
            </w:r>
            <w:r>
              <w:rPr>
                <w:spacing w:val="7"/>
              </w:rPr>
              <w:t>）。</w:t>
            </w:r>
          </w:p>
        </w:tc>
        <w:tc>
          <w:tcPr>
            <w:tcW w:w="979" w:type="dxa"/>
            <w:vAlign w:val="top"/>
          </w:tcPr>
          <w:p>
            <w:pPr>
              <w:spacing w:line="342" w:lineRule="auto"/>
              <w:rPr>
                <w:rFonts w:ascii="Arial"/>
                <w:sz w:val="21"/>
              </w:rPr>
            </w:pPr>
            <w:r/>
          </w:p>
          <w:p>
            <w:pPr>
              <w:spacing w:line="343" w:lineRule="auto"/>
              <w:rPr>
                <w:rFonts w:ascii="Arial"/>
                <w:sz w:val="21"/>
              </w:rPr>
            </w:pPr>
            <w:r/>
          </w:p>
          <w:p>
            <w:pPr>
              <w:ind w:left="444"/>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992" w:type="dxa"/>
            <w:vAlign w:val="top"/>
          </w:tcPr>
          <w:p>
            <w:pPr>
              <w:spacing w:line="342" w:lineRule="auto"/>
              <w:rPr>
                <w:rFonts w:ascii="Arial"/>
                <w:sz w:val="21"/>
              </w:rPr>
            </w:pPr>
            <w:r/>
          </w:p>
          <w:p>
            <w:pPr>
              <w:spacing w:line="343" w:lineRule="auto"/>
              <w:rPr>
                <w:rFonts w:ascii="Arial"/>
                <w:sz w:val="21"/>
              </w:rPr>
            </w:pPr>
            <w:r/>
          </w:p>
          <w:p>
            <w:pPr>
              <w:ind w:left="312"/>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90%</w:t>
            </w:r>
          </w:p>
        </w:tc>
        <w:tc>
          <w:tcPr>
            <w:tcW w:w="1894" w:type="dxa"/>
            <w:vAlign w:val="top"/>
            <w:vMerge w:val="continue"/>
            <w:tcBorders>
              <w:top w:val="nil"/>
              <w:bottom w:val="nil"/>
            </w:tcBorders>
          </w:tcPr>
          <w:p>
            <w:pPr>
              <w:rPr>
                <w:rFonts w:ascii="Arial"/>
                <w:sz w:val="21"/>
              </w:rPr>
            </w:pPr>
            <w:r/>
          </w:p>
        </w:tc>
      </w:tr>
      <w:tr>
        <w:trPr>
          <w:trHeight w:val="549" w:hRule="atLeast"/>
        </w:trPr>
        <w:tc>
          <w:tcPr>
            <w:tcW w:w="718" w:type="dxa"/>
            <w:vAlign w:val="top"/>
            <w:vMerge w:val="continue"/>
            <w:tcBorders>
              <w:top w:val="nil"/>
              <w:bottom w:val="nil"/>
            </w:tcBorders>
          </w:tcPr>
          <w:p>
            <w:pPr>
              <w:rPr>
                <w:rFonts w:ascii="Arial"/>
                <w:sz w:val="21"/>
              </w:rPr>
            </w:pPr>
            <w:r/>
          </w:p>
        </w:tc>
        <w:tc>
          <w:tcPr>
            <w:tcW w:w="1277" w:type="dxa"/>
            <w:vAlign w:val="top"/>
          </w:tcPr>
          <w:p>
            <w:pPr>
              <w:pStyle w:val="TableText"/>
              <w:ind w:left="12"/>
              <w:spacing w:before="33" w:line="227" w:lineRule="auto"/>
              <w:rPr/>
            </w:pPr>
            <w:r>
              <w:rPr>
                <w:spacing w:val="8"/>
              </w:rPr>
              <w:t>厌氧发酵罐区</w:t>
            </w:r>
          </w:p>
          <w:p>
            <w:pPr>
              <w:pStyle w:val="TableText"/>
              <w:ind w:left="432"/>
              <w:spacing w:before="25" w:line="216" w:lineRule="auto"/>
              <w:rPr/>
            </w:pPr>
            <w:r>
              <w:rPr>
                <w:spacing w:val="4"/>
              </w:rPr>
              <w:t>臭气</w:t>
            </w:r>
          </w:p>
        </w:tc>
        <w:tc>
          <w:tcPr>
            <w:tcW w:w="2729" w:type="dxa"/>
            <w:vAlign w:val="top"/>
          </w:tcPr>
          <w:p>
            <w:pPr>
              <w:pStyle w:val="TableText"/>
              <w:ind w:left="101" w:right="93" w:firstLine="9"/>
              <w:spacing w:before="34" w:line="233" w:lineRule="auto"/>
              <w:rPr>
                <w:rFonts w:ascii="Times New Roman" w:hAnsi="Times New Roman" w:eastAsia="Times New Roman" w:cs="Times New Roman"/>
              </w:rPr>
            </w:pPr>
            <w:r>
              <w:rPr>
                <w:spacing w:val="9"/>
              </w:rPr>
              <w:t>厌氧发酵罐区喷洒生物除臭</w:t>
            </w:r>
            <w:r>
              <w:rPr/>
              <w:t xml:space="preserve"> </w:t>
            </w:r>
            <w:r>
              <w:rPr>
                <w:spacing w:val="7"/>
              </w:rPr>
              <w:t>剂，恶臭气体去除效率</w:t>
            </w:r>
            <w:r>
              <w:rPr>
                <w:spacing w:val="-30"/>
              </w:rPr>
              <w:t xml:space="preserve"> </w:t>
            </w:r>
            <w:r>
              <w:rPr>
                <w:rFonts w:ascii="Times New Roman" w:hAnsi="Times New Roman" w:eastAsia="Times New Roman" w:cs="Times New Roman"/>
                <w:spacing w:val="7"/>
              </w:rPr>
              <w:t>60%</w:t>
            </w:r>
          </w:p>
        </w:tc>
        <w:tc>
          <w:tcPr>
            <w:tcW w:w="979" w:type="dxa"/>
            <w:vAlign w:val="top"/>
          </w:tcPr>
          <w:p>
            <w:pPr>
              <w:ind w:left="460"/>
              <w:spacing w:before="2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92" w:type="dxa"/>
            <w:vAlign w:val="top"/>
          </w:tcPr>
          <w:p>
            <w:pPr>
              <w:ind w:left="312"/>
              <w:spacing w:before="2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60%</w:t>
            </w:r>
          </w:p>
        </w:tc>
        <w:tc>
          <w:tcPr>
            <w:tcW w:w="1894" w:type="dxa"/>
            <w:vAlign w:val="top"/>
            <w:vMerge w:val="continue"/>
            <w:tcBorders>
              <w:top w:val="nil"/>
              <w:bottom w:val="nil"/>
            </w:tcBorders>
          </w:tcPr>
          <w:p>
            <w:pPr>
              <w:rPr>
                <w:rFonts w:ascii="Arial"/>
                <w:sz w:val="21"/>
              </w:rPr>
            </w:pPr>
            <w:r/>
          </w:p>
        </w:tc>
      </w:tr>
      <w:tr>
        <w:trPr>
          <w:trHeight w:val="550" w:hRule="atLeast"/>
        </w:trPr>
        <w:tc>
          <w:tcPr>
            <w:tcW w:w="718" w:type="dxa"/>
            <w:vAlign w:val="top"/>
            <w:vMerge w:val="continue"/>
            <w:tcBorders>
              <w:top w:val="nil"/>
              <w:bottom w:val="nil"/>
            </w:tcBorders>
          </w:tcPr>
          <w:p>
            <w:pPr>
              <w:rPr>
                <w:rFonts w:ascii="Arial"/>
                <w:sz w:val="21"/>
              </w:rPr>
            </w:pPr>
            <w:r/>
          </w:p>
        </w:tc>
        <w:tc>
          <w:tcPr>
            <w:tcW w:w="1277" w:type="dxa"/>
            <w:vAlign w:val="top"/>
          </w:tcPr>
          <w:p>
            <w:pPr>
              <w:pStyle w:val="TableText"/>
              <w:ind w:left="121"/>
              <w:spacing w:before="168" w:line="229" w:lineRule="auto"/>
              <w:rPr/>
            </w:pPr>
            <w:r>
              <w:rPr>
                <w:spacing w:val="7"/>
              </w:rPr>
              <w:t>沼渣晾晒区</w:t>
            </w:r>
          </w:p>
        </w:tc>
        <w:tc>
          <w:tcPr>
            <w:tcW w:w="2729" w:type="dxa"/>
            <w:vAlign w:val="top"/>
          </w:tcPr>
          <w:p>
            <w:pPr>
              <w:pStyle w:val="TableText"/>
              <w:ind w:left="17"/>
              <w:spacing w:before="33" w:line="227" w:lineRule="auto"/>
              <w:rPr/>
            </w:pPr>
            <w:r>
              <w:rPr>
                <w:spacing w:val="7"/>
              </w:rPr>
              <w:t>喷洒生物除臭剂，恶臭气体去</w:t>
            </w:r>
          </w:p>
          <w:p>
            <w:pPr>
              <w:pStyle w:val="TableText"/>
              <w:ind w:left="849"/>
              <w:spacing w:before="25" w:line="217" w:lineRule="auto"/>
              <w:rPr>
                <w:rFonts w:ascii="Times New Roman" w:hAnsi="Times New Roman" w:eastAsia="Times New Roman" w:cs="Times New Roman"/>
              </w:rPr>
            </w:pPr>
            <w:r>
              <w:rPr>
                <w:spacing w:val="3"/>
              </w:rPr>
              <w:t>除效率</w:t>
            </w:r>
            <w:r>
              <w:rPr>
                <w:spacing w:val="-39"/>
              </w:rPr>
              <w:t xml:space="preserve"> </w:t>
            </w:r>
            <w:r>
              <w:rPr>
                <w:rFonts w:ascii="Times New Roman" w:hAnsi="Times New Roman" w:eastAsia="Times New Roman" w:cs="Times New Roman"/>
                <w:spacing w:val="3"/>
              </w:rPr>
              <w:t>60%</w:t>
            </w:r>
          </w:p>
        </w:tc>
        <w:tc>
          <w:tcPr>
            <w:tcW w:w="979" w:type="dxa"/>
            <w:vAlign w:val="top"/>
          </w:tcPr>
          <w:p>
            <w:pPr>
              <w:ind w:left="460"/>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92" w:type="dxa"/>
            <w:vAlign w:val="top"/>
          </w:tcPr>
          <w:p>
            <w:pPr>
              <w:ind w:left="312"/>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60%</w:t>
            </w:r>
          </w:p>
        </w:tc>
        <w:tc>
          <w:tcPr>
            <w:tcW w:w="1894" w:type="dxa"/>
            <w:vAlign w:val="top"/>
            <w:vMerge w:val="continue"/>
            <w:tcBorders>
              <w:top w:val="nil"/>
              <w:bottom w:val="nil"/>
            </w:tcBorders>
          </w:tcPr>
          <w:p>
            <w:pPr>
              <w:rPr>
                <w:rFonts w:ascii="Arial"/>
                <w:sz w:val="21"/>
              </w:rPr>
            </w:pPr>
            <w:r/>
          </w:p>
        </w:tc>
      </w:tr>
      <w:tr>
        <w:trPr>
          <w:trHeight w:val="278" w:hRule="atLeast"/>
        </w:trPr>
        <w:tc>
          <w:tcPr>
            <w:tcW w:w="718" w:type="dxa"/>
            <w:vAlign w:val="top"/>
            <w:vMerge w:val="continue"/>
            <w:tcBorders>
              <w:top w:val="nil"/>
              <w:bottom w:val="nil"/>
            </w:tcBorders>
          </w:tcPr>
          <w:p>
            <w:pPr>
              <w:rPr>
                <w:rFonts w:ascii="Arial"/>
                <w:sz w:val="21"/>
              </w:rPr>
            </w:pPr>
            <w:r/>
          </w:p>
        </w:tc>
        <w:tc>
          <w:tcPr>
            <w:tcW w:w="1277" w:type="dxa"/>
            <w:vAlign w:val="top"/>
          </w:tcPr>
          <w:p>
            <w:pPr>
              <w:pStyle w:val="TableText"/>
              <w:ind w:left="225"/>
              <w:spacing w:before="32" w:line="217" w:lineRule="auto"/>
              <w:rPr/>
            </w:pPr>
            <w:r>
              <w:rPr>
                <w:spacing w:val="6"/>
              </w:rPr>
              <w:t>餐饮油烟</w:t>
            </w:r>
          </w:p>
        </w:tc>
        <w:tc>
          <w:tcPr>
            <w:tcW w:w="2729" w:type="dxa"/>
            <w:vAlign w:val="top"/>
          </w:tcPr>
          <w:p>
            <w:pPr>
              <w:pStyle w:val="TableText"/>
              <w:ind w:left="676"/>
              <w:spacing w:before="32" w:line="217" w:lineRule="auto"/>
              <w:rPr/>
            </w:pPr>
            <w:r>
              <w:rPr>
                <w:rFonts w:ascii="Times New Roman" w:hAnsi="Times New Roman" w:eastAsia="Times New Roman" w:cs="Times New Roman"/>
                <w:spacing w:val="1"/>
              </w:rPr>
              <w:t>1</w:t>
            </w:r>
            <w:r>
              <w:rPr>
                <w:rFonts w:ascii="Times New Roman" w:hAnsi="Times New Roman" w:eastAsia="Times New Roman" w:cs="Times New Roman"/>
                <w:spacing w:val="33"/>
                <w:w w:val="101"/>
              </w:rPr>
              <w:t xml:space="preserve"> </w:t>
            </w:r>
            <w:r>
              <w:rPr>
                <w:spacing w:val="1"/>
              </w:rPr>
              <w:t>台油烟净化器</w:t>
            </w:r>
          </w:p>
        </w:tc>
        <w:tc>
          <w:tcPr>
            <w:tcW w:w="979" w:type="dxa"/>
            <w:vAlign w:val="top"/>
          </w:tcPr>
          <w:p>
            <w:pPr>
              <w:ind w:left="407"/>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992" w:type="dxa"/>
            <w:vAlign w:val="top"/>
          </w:tcPr>
          <w:p>
            <w:pPr>
              <w:ind w:left="311"/>
              <w:spacing w:before="6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75%</w:t>
            </w:r>
          </w:p>
        </w:tc>
        <w:tc>
          <w:tcPr>
            <w:tcW w:w="1894" w:type="dxa"/>
            <w:vAlign w:val="top"/>
            <w:vMerge w:val="continue"/>
            <w:tcBorders>
              <w:top w:val="nil"/>
              <w:bottom w:val="nil"/>
            </w:tcBorders>
          </w:tcPr>
          <w:p>
            <w:pPr>
              <w:rPr>
                <w:rFonts w:ascii="Arial"/>
                <w:sz w:val="21"/>
              </w:rPr>
            </w:pPr>
            <w:r/>
          </w:p>
        </w:tc>
      </w:tr>
      <w:tr>
        <w:trPr>
          <w:trHeight w:val="549" w:hRule="atLeast"/>
        </w:trPr>
        <w:tc>
          <w:tcPr>
            <w:tcW w:w="718" w:type="dxa"/>
            <w:vAlign w:val="top"/>
            <w:vMerge w:val="continue"/>
            <w:tcBorders>
              <w:top w:val="nil"/>
              <w:bottom w:val="nil"/>
            </w:tcBorders>
          </w:tcPr>
          <w:p>
            <w:pPr>
              <w:rPr>
                <w:rFonts w:ascii="Arial"/>
                <w:sz w:val="21"/>
              </w:rPr>
            </w:pPr>
            <w:r/>
          </w:p>
        </w:tc>
        <w:tc>
          <w:tcPr>
            <w:tcW w:w="1277" w:type="dxa"/>
            <w:vAlign w:val="top"/>
          </w:tcPr>
          <w:p>
            <w:pPr>
              <w:pStyle w:val="TableText"/>
              <w:ind w:left="16"/>
              <w:spacing w:before="168" w:line="228" w:lineRule="auto"/>
              <w:rPr/>
            </w:pPr>
            <w:r>
              <w:rPr>
                <w:spacing w:val="7"/>
              </w:rPr>
              <w:t>沼气锅炉烟气</w:t>
            </w:r>
          </w:p>
        </w:tc>
        <w:tc>
          <w:tcPr>
            <w:tcW w:w="2729" w:type="dxa"/>
            <w:vAlign w:val="top"/>
          </w:tcPr>
          <w:p>
            <w:pPr>
              <w:pStyle w:val="TableText"/>
              <w:ind w:left="24" w:hanging="16"/>
              <w:spacing w:before="34" w:line="233" w:lineRule="auto"/>
              <w:rPr/>
            </w:pPr>
            <w:r>
              <w:rPr>
                <w:spacing w:val="3"/>
              </w:rPr>
              <w:t>低氮燃烧技术，锅炉烟气通过 </w:t>
            </w:r>
            <w:r>
              <w:rPr>
                <w:rFonts w:ascii="Times New Roman" w:hAnsi="Times New Roman" w:eastAsia="Times New Roman" w:cs="Times New Roman"/>
                <w:spacing w:val="-7"/>
              </w:rPr>
              <w:t>10m</w:t>
            </w:r>
            <w:r>
              <w:rPr>
                <w:rFonts w:ascii="Times New Roman" w:hAnsi="Times New Roman" w:eastAsia="Times New Roman" w:cs="Times New Roman"/>
                <w:spacing w:val="22"/>
              </w:rPr>
              <w:t xml:space="preserve"> </w:t>
            </w:r>
            <w:r>
              <w:rPr>
                <w:spacing w:val="-7"/>
              </w:rPr>
              <w:t>高排气筒排放（</w:t>
            </w:r>
            <w:r>
              <w:rPr>
                <w:rFonts w:ascii="Times New Roman" w:hAnsi="Times New Roman" w:eastAsia="Times New Roman" w:cs="Times New Roman"/>
                <w:spacing w:val="-7"/>
              </w:rPr>
              <w:t>DA004</w:t>
            </w:r>
            <w:r>
              <w:rPr>
                <w:spacing w:val="-7"/>
              </w:rPr>
              <w:t>）。</w:t>
            </w:r>
          </w:p>
        </w:tc>
        <w:tc>
          <w:tcPr>
            <w:tcW w:w="979" w:type="dxa"/>
            <w:vAlign w:val="top"/>
          </w:tcPr>
          <w:p>
            <w:pPr>
              <w:ind w:left="448"/>
              <w:spacing w:before="20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992" w:type="dxa"/>
            <w:vAlign w:val="top"/>
          </w:tcPr>
          <w:p>
            <w:pPr>
              <w:ind w:left="464"/>
              <w:spacing w:before="199"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894" w:type="dxa"/>
            <w:vAlign w:val="top"/>
            <w:vMerge w:val="continue"/>
            <w:tcBorders>
              <w:top w:val="nil"/>
              <w:bottom w:val="nil"/>
            </w:tcBorders>
          </w:tcPr>
          <w:p>
            <w:pPr>
              <w:rPr>
                <w:rFonts w:ascii="Arial"/>
                <w:sz w:val="21"/>
              </w:rPr>
            </w:pPr>
            <w:r/>
          </w:p>
        </w:tc>
      </w:tr>
      <w:tr>
        <w:trPr>
          <w:trHeight w:val="822" w:hRule="atLeast"/>
        </w:trPr>
        <w:tc>
          <w:tcPr>
            <w:tcW w:w="718" w:type="dxa"/>
            <w:vAlign w:val="top"/>
            <w:vMerge w:val="continue"/>
            <w:tcBorders>
              <w:top w:val="nil"/>
            </w:tcBorders>
          </w:tcPr>
          <w:p>
            <w:pPr>
              <w:rPr>
                <w:rFonts w:ascii="Arial"/>
                <w:sz w:val="21"/>
              </w:rPr>
            </w:pPr>
            <w:r/>
          </w:p>
        </w:tc>
        <w:tc>
          <w:tcPr>
            <w:tcW w:w="1277" w:type="dxa"/>
            <w:vAlign w:val="top"/>
          </w:tcPr>
          <w:p>
            <w:pPr>
              <w:pStyle w:val="TableText"/>
              <w:ind w:left="13"/>
              <w:spacing w:before="170" w:line="228" w:lineRule="auto"/>
              <w:rPr/>
            </w:pPr>
            <w:r>
              <w:rPr>
                <w:spacing w:val="7"/>
              </w:rPr>
              <w:t>生物质锅炉烟</w:t>
            </w:r>
          </w:p>
          <w:p>
            <w:pPr>
              <w:pStyle w:val="TableText"/>
              <w:ind w:left="538"/>
              <w:spacing w:before="23" w:line="229" w:lineRule="auto"/>
              <w:rPr/>
            </w:pPr>
            <w:r>
              <w:rPr/>
              <w:t>气</w:t>
            </w:r>
          </w:p>
        </w:tc>
        <w:tc>
          <w:tcPr>
            <w:tcW w:w="2729" w:type="dxa"/>
            <w:vAlign w:val="top"/>
          </w:tcPr>
          <w:p>
            <w:pPr>
              <w:pStyle w:val="TableText"/>
              <w:ind w:left="9" w:firstLine="80"/>
              <w:spacing w:before="35" w:line="239" w:lineRule="auto"/>
              <w:jc w:val="both"/>
              <w:rPr/>
            </w:pPr>
            <w:r>
              <w:rPr>
                <w:rFonts w:ascii="Times New Roman" w:hAnsi="Times New Roman" w:eastAsia="Times New Roman" w:cs="Times New Roman"/>
                <w:spacing w:val="2"/>
              </w:rPr>
              <w:t>1 </w:t>
            </w:r>
            <w:r>
              <w:rPr>
                <w:spacing w:val="2"/>
              </w:rPr>
              <w:t>套陶瓷多管除尘器</w:t>
            </w:r>
            <w:r>
              <w:rPr>
                <w:rFonts w:ascii="Times New Roman" w:hAnsi="Times New Roman" w:eastAsia="Times New Roman" w:cs="Times New Roman"/>
                <w:spacing w:val="2"/>
              </w:rPr>
              <w:t>+</w:t>
            </w:r>
            <w:r>
              <w:rPr>
                <w:spacing w:val="2"/>
              </w:rPr>
              <w:t>布袋除  </w:t>
            </w:r>
            <w:r>
              <w:rPr>
                <w:spacing w:val="6"/>
              </w:rPr>
              <w:t>尘器</w:t>
            </w:r>
            <w:r>
              <w:rPr>
                <w:rFonts w:ascii="Times New Roman" w:hAnsi="Times New Roman" w:eastAsia="Times New Roman" w:cs="Times New Roman"/>
                <w:spacing w:val="6"/>
              </w:rPr>
              <w:t>+</w:t>
            </w:r>
            <w:r>
              <w:rPr>
                <w:spacing w:val="6"/>
              </w:rPr>
              <w:t>水浴除尘，处理后通过</w:t>
            </w:r>
            <w:r>
              <w:rPr>
                <w:spacing w:val="5"/>
              </w:rPr>
              <w:t xml:space="preserve">  </w:t>
            </w:r>
            <w:r>
              <w:rPr>
                <w:rFonts w:ascii="Times New Roman" w:hAnsi="Times New Roman" w:eastAsia="Times New Roman" w:cs="Times New Roman"/>
                <w:spacing w:val="-6"/>
              </w:rPr>
              <w:t>35m</w:t>
            </w:r>
            <w:r>
              <w:rPr>
                <w:rFonts w:ascii="Times New Roman" w:hAnsi="Times New Roman" w:eastAsia="Times New Roman" w:cs="Times New Roman"/>
                <w:spacing w:val="20"/>
                <w:w w:val="101"/>
              </w:rPr>
              <w:t xml:space="preserve"> </w:t>
            </w:r>
            <w:r>
              <w:rPr>
                <w:spacing w:val="-6"/>
              </w:rPr>
              <w:t>高排气筒排放（</w:t>
            </w:r>
            <w:r>
              <w:rPr>
                <w:rFonts w:ascii="Times New Roman" w:hAnsi="Times New Roman" w:eastAsia="Times New Roman" w:cs="Times New Roman"/>
                <w:spacing w:val="-6"/>
              </w:rPr>
              <w:t>DA005</w:t>
            </w:r>
            <w:r>
              <w:rPr>
                <w:spacing w:val="-6"/>
              </w:rPr>
              <w:t>）。</w:t>
            </w:r>
          </w:p>
        </w:tc>
        <w:tc>
          <w:tcPr>
            <w:tcW w:w="979" w:type="dxa"/>
            <w:vAlign w:val="top"/>
          </w:tcPr>
          <w:p>
            <w:pPr>
              <w:spacing w:line="281" w:lineRule="auto"/>
              <w:rPr>
                <w:rFonts w:ascii="Arial"/>
                <w:sz w:val="21"/>
              </w:rPr>
            </w:pPr>
            <w:r/>
          </w:p>
          <w:p>
            <w:pPr>
              <w:ind w:left="391"/>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992" w:type="dxa"/>
            <w:vAlign w:val="top"/>
          </w:tcPr>
          <w:p>
            <w:pPr>
              <w:spacing w:line="281" w:lineRule="auto"/>
              <w:rPr>
                <w:rFonts w:ascii="Arial"/>
                <w:sz w:val="21"/>
              </w:rPr>
            </w:pPr>
            <w:r/>
          </w:p>
          <w:p>
            <w:pPr>
              <w:ind w:left="312"/>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99%</w:t>
            </w:r>
          </w:p>
        </w:tc>
        <w:tc>
          <w:tcPr>
            <w:tcW w:w="1894" w:type="dxa"/>
            <w:vAlign w:val="top"/>
            <w:vMerge w:val="continue"/>
            <w:tcBorders>
              <w:top w:val="nil"/>
            </w:tcBorders>
          </w:tcPr>
          <w:p>
            <w:pPr>
              <w:rPr>
                <w:rFonts w:ascii="Arial"/>
                <w:sz w:val="21"/>
              </w:rPr>
            </w:pPr>
            <w:r/>
          </w:p>
        </w:tc>
      </w:tr>
      <w:tr>
        <w:trPr>
          <w:trHeight w:val="1366" w:hRule="atLeast"/>
        </w:trPr>
        <w:tc>
          <w:tcPr>
            <w:tcW w:w="718" w:type="dxa"/>
            <w:vAlign w:val="top"/>
            <w:vMerge w:val="restart"/>
            <w:tcBorders>
              <w:bottom w:val="nil"/>
            </w:tcBorders>
          </w:tcPr>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spacing w:line="268" w:lineRule="auto"/>
              <w:rPr>
                <w:rFonts w:ascii="Arial"/>
                <w:sz w:val="21"/>
              </w:rPr>
            </w:pPr>
            <w:r/>
          </w:p>
          <w:p>
            <w:pPr>
              <w:spacing w:line="268" w:lineRule="auto"/>
              <w:rPr>
                <w:rFonts w:ascii="Arial"/>
                <w:sz w:val="21"/>
              </w:rPr>
            </w:pPr>
            <w:r/>
          </w:p>
          <w:p>
            <w:pPr>
              <w:spacing w:line="268" w:lineRule="auto"/>
              <w:rPr>
                <w:rFonts w:ascii="Arial"/>
                <w:sz w:val="21"/>
              </w:rPr>
            </w:pPr>
            <w:r/>
          </w:p>
          <w:p>
            <w:pPr>
              <w:pStyle w:val="TableText"/>
              <w:ind w:left="153"/>
              <w:spacing w:before="65" w:line="228" w:lineRule="auto"/>
              <w:rPr/>
            </w:pPr>
            <w:r>
              <w:rPr>
                <w:spacing w:val="5"/>
              </w:rPr>
              <w:t>废水</w:t>
            </w:r>
          </w:p>
        </w:tc>
        <w:tc>
          <w:tcPr>
            <w:tcW w:w="1277" w:type="dxa"/>
            <w:vAlign w:val="top"/>
          </w:tcPr>
          <w:p>
            <w:pPr>
              <w:spacing w:line="254" w:lineRule="auto"/>
              <w:rPr>
                <w:rFonts w:ascii="Arial"/>
                <w:sz w:val="21"/>
              </w:rPr>
            </w:pPr>
            <w:r/>
          </w:p>
          <w:p>
            <w:pPr>
              <w:spacing w:line="254" w:lineRule="auto"/>
              <w:rPr>
                <w:rFonts w:ascii="Arial"/>
                <w:sz w:val="21"/>
              </w:rPr>
            </w:pPr>
            <w:r/>
          </w:p>
          <w:p>
            <w:pPr>
              <w:pStyle w:val="TableText"/>
              <w:ind w:left="225"/>
              <w:spacing w:before="65" w:line="228" w:lineRule="auto"/>
              <w:rPr/>
            </w:pPr>
            <w:r>
              <w:rPr>
                <w:spacing w:val="6"/>
              </w:rPr>
              <w:t>生活污水</w:t>
            </w:r>
          </w:p>
        </w:tc>
        <w:tc>
          <w:tcPr>
            <w:tcW w:w="2729" w:type="dxa"/>
            <w:vAlign w:val="top"/>
          </w:tcPr>
          <w:p>
            <w:pPr>
              <w:pStyle w:val="TableText"/>
              <w:ind w:left="10" w:right="3"/>
              <w:spacing w:before="34" w:line="244" w:lineRule="auto"/>
              <w:jc w:val="both"/>
              <w:rPr/>
            </w:pPr>
            <w:r>
              <w:rPr>
                <w:spacing w:val="8"/>
              </w:rPr>
              <w:t>冲厕废水送往厌氧发酵装置，</w:t>
            </w:r>
            <w:r>
              <w:rPr>
                <w:spacing w:val="5"/>
              </w:rPr>
              <w:t xml:space="preserve"> </w:t>
            </w:r>
            <w:r>
              <w:rPr>
                <w:spacing w:val="25"/>
              </w:rPr>
              <w:t>厌氧发酵达到沼肥标准后还</w:t>
            </w:r>
            <w:r>
              <w:rPr>
                <w:spacing w:val="9"/>
              </w:rPr>
              <w:t xml:space="preserve"> </w:t>
            </w:r>
            <w:r>
              <w:rPr>
                <w:spacing w:val="8"/>
              </w:rPr>
              <w:t>田利用；洗浴和食堂废水通过</w:t>
            </w:r>
            <w:r>
              <w:rPr>
                <w:spacing w:val="5"/>
              </w:rPr>
              <w:t xml:space="preserve"> </w:t>
            </w:r>
            <w:r>
              <w:rPr>
                <w:spacing w:val="8"/>
              </w:rPr>
              <w:t>单独管道排入园区管网，进入</w:t>
            </w:r>
            <w:r>
              <w:rPr>
                <w:spacing w:val="5"/>
              </w:rPr>
              <w:t xml:space="preserve"> </w:t>
            </w:r>
            <w:r>
              <w:rPr>
                <w:spacing w:val="7"/>
              </w:rPr>
              <w:t>明安图镇污水处理厂。</w:t>
            </w:r>
          </w:p>
        </w:tc>
        <w:tc>
          <w:tcPr>
            <w:tcW w:w="979" w:type="dxa"/>
            <w:vAlign w:val="top"/>
            <w:vMerge w:val="restart"/>
            <w:tcBorders>
              <w:bottom w:val="nil"/>
            </w:tcBorders>
          </w:tcPr>
          <w:p>
            <w:pPr>
              <w:spacing w:line="246"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ind w:left="40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10</w:t>
            </w:r>
          </w:p>
        </w:tc>
        <w:tc>
          <w:tcPr>
            <w:tcW w:w="992" w:type="dxa"/>
            <w:vAlign w:val="top"/>
            <w:vMerge w:val="restart"/>
            <w:tcBorders>
              <w:bottom w:val="nil"/>
            </w:tcBorders>
          </w:tcPr>
          <w:p>
            <w:pPr>
              <w:spacing w:line="297" w:lineRule="auto"/>
              <w:rPr>
                <w:rFonts w:ascii="Arial"/>
                <w:sz w:val="21"/>
              </w:rPr>
            </w:pPr>
            <w:r/>
          </w:p>
          <w:p>
            <w:pPr>
              <w:spacing w:line="298" w:lineRule="auto"/>
              <w:rPr>
                <w:rFonts w:ascii="Arial"/>
                <w:sz w:val="21"/>
              </w:rPr>
            </w:pPr>
            <w:r/>
          </w:p>
          <w:p>
            <w:pPr>
              <w:spacing w:line="298" w:lineRule="auto"/>
              <w:rPr>
                <w:rFonts w:ascii="Arial"/>
                <w:sz w:val="21"/>
              </w:rPr>
            </w:pPr>
            <w:r/>
          </w:p>
          <w:p>
            <w:pPr>
              <w:spacing w:line="298" w:lineRule="auto"/>
              <w:rPr>
                <w:rFonts w:ascii="Arial"/>
                <w:sz w:val="21"/>
              </w:rPr>
            </w:pPr>
            <w:r/>
          </w:p>
          <w:p>
            <w:pPr>
              <w:pStyle w:val="TableText"/>
              <w:ind w:left="83"/>
              <w:spacing w:before="65" w:line="228" w:lineRule="auto"/>
              <w:rPr/>
            </w:pPr>
            <w:r>
              <w:rPr>
                <w:spacing w:val="7"/>
              </w:rPr>
              <w:t>达标排放</w:t>
            </w:r>
          </w:p>
        </w:tc>
        <w:tc>
          <w:tcPr>
            <w:tcW w:w="1894" w:type="dxa"/>
            <w:vAlign w:val="top"/>
            <w:vMerge w:val="restart"/>
            <w:tcBorders>
              <w:bottom w:val="nil"/>
            </w:tcBorders>
          </w:tcPr>
          <w:p>
            <w:pPr>
              <w:spacing w:line="324" w:lineRule="auto"/>
              <w:rPr>
                <w:rFonts w:ascii="Arial"/>
                <w:sz w:val="21"/>
              </w:rPr>
            </w:pPr>
            <w:r/>
          </w:p>
          <w:p>
            <w:pPr>
              <w:spacing w:line="325" w:lineRule="auto"/>
              <w:rPr>
                <w:rFonts w:ascii="Arial"/>
                <w:sz w:val="21"/>
              </w:rPr>
            </w:pPr>
            <w:r/>
          </w:p>
          <w:p>
            <w:pPr>
              <w:pStyle w:val="TableText"/>
              <w:ind w:left="12"/>
              <w:spacing w:before="65" w:line="229" w:lineRule="auto"/>
              <w:rPr/>
            </w:pPr>
            <w:r>
              <w:rPr>
                <w:rFonts w:ascii="Times New Roman" w:hAnsi="Times New Roman" w:eastAsia="Times New Roman" w:cs="Times New Roman"/>
              </w:rPr>
              <w:t>GB</w:t>
            </w:r>
            <w:r>
              <w:rPr>
                <w:rFonts w:ascii="Times New Roman" w:hAnsi="Times New Roman" w:eastAsia="Times New Roman" w:cs="Times New Roman"/>
                <w:spacing w:val="7"/>
              </w:rPr>
              <w:t xml:space="preserve"> 8978-1996</w:t>
            </w:r>
            <w:r>
              <w:rPr>
                <w:rFonts w:ascii="Times New Roman" w:hAnsi="Times New Roman" w:eastAsia="Times New Roman" w:cs="Times New Roman"/>
                <w:spacing w:val="-8"/>
              </w:rPr>
              <w:t xml:space="preserve"> </w:t>
            </w:r>
            <w:r>
              <w:rPr>
                <w:spacing w:val="7"/>
              </w:rPr>
              <w:t>表</w:t>
            </w:r>
            <w:r>
              <w:rPr>
                <w:rFonts w:ascii="Times New Roman" w:hAnsi="Times New Roman" w:eastAsia="Times New Roman" w:cs="Times New Roman"/>
                <w:spacing w:val="7"/>
              </w:rPr>
              <w:t>4</w:t>
            </w:r>
            <w:r>
              <w:rPr>
                <w:rFonts w:ascii="Times New Roman" w:hAnsi="Times New Roman" w:eastAsia="Times New Roman" w:cs="Times New Roman"/>
                <w:spacing w:val="-7"/>
              </w:rPr>
              <w:t xml:space="preserve"> </w:t>
            </w:r>
            <w:r>
              <w:rPr>
                <w:spacing w:val="7"/>
              </w:rPr>
              <w:t>三</w:t>
            </w:r>
          </w:p>
          <w:p>
            <w:pPr>
              <w:pStyle w:val="TableText"/>
              <w:spacing w:before="22" w:line="227" w:lineRule="auto"/>
              <w:jc w:val="right"/>
              <w:rPr/>
            </w:pPr>
            <w:r>
              <w:rPr>
                <w:spacing w:val="-13"/>
              </w:rPr>
              <w:t>级标准，氨氮、总磷、</w:t>
            </w:r>
          </w:p>
          <w:p>
            <w:pPr>
              <w:pStyle w:val="TableText"/>
              <w:ind w:left="328"/>
              <w:spacing w:before="27" w:line="227" w:lineRule="auto"/>
              <w:rPr/>
            </w:pPr>
            <w:r>
              <w:rPr>
                <w:spacing w:val="7"/>
              </w:rPr>
              <w:t>总氮参照执行</w:t>
            </w:r>
          </w:p>
          <w:p>
            <w:pPr>
              <w:pStyle w:val="TableText"/>
              <w:spacing w:before="25" w:line="229" w:lineRule="auto"/>
              <w:jc w:val="right"/>
              <w:rPr>
                <w:rFonts w:ascii="Times New Roman" w:hAnsi="Times New Roman" w:eastAsia="Times New Roman" w:cs="Times New Roman"/>
              </w:rPr>
            </w:pPr>
            <w:r>
              <w:rPr>
                <w:rFonts w:ascii="Times New Roman" w:hAnsi="Times New Roman" w:eastAsia="Times New Roman" w:cs="Times New Roman"/>
              </w:rPr>
              <w:t>GB</w:t>
            </w:r>
            <w:r>
              <w:rPr>
                <w:rFonts w:ascii="Times New Roman" w:hAnsi="Times New Roman" w:eastAsia="Times New Roman" w:cs="Times New Roman"/>
                <w:spacing w:val="2"/>
              </w:rPr>
              <w:t>/T31962-2015 </w:t>
            </w:r>
            <w:r>
              <w:rPr>
                <w:spacing w:val="2"/>
              </w:rPr>
              <w:t>表</w:t>
            </w:r>
            <w:r>
              <w:rPr>
                <w:spacing w:val="-33"/>
              </w:rPr>
              <w:t xml:space="preserve"> </w:t>
            </w:r>
            <w:r>
              <w:rPr>
                <w:rFonts w:ascii="Times New Roman" w:hAnsi="Times New Roman" w:eastAsia="Times New Roman" w:cs="Times New Roman"/>
                <w:spacing w:val="2"/>
              </w:rPr>
              <w:t>1</w:t>
            </w:r>
          </w:p>
          <w:p>
            <w:pPr>
              <w:pStyle w:val="TableText"/>
              <w:ind w:left="424"/>
              <w:spacing w:before="26" w:line="228" w:lineRule="auto"/>
              <w:rPr/>
            </w:pPr>
            <w:r>
              <w:rPr/>
              <w:t>中</w:t>
            </w:r>
            <w:r>
              <w:rPr>
                <w:spacing w:val="-44"/>
              </w:rPr>
              <w:t xml:space="preserve"> </w:t>
            </w:r>
            <w:r>
              <w:rPr>
                <w:rFonts w:ascii="Times New Roman" w:hAnsi="Times New Roman" w:eastAsia="Times New Roman" w:cs="Times New Roman"/>
              </w:rPr>
              <w:t>A</w:t>
            </w:r>
            <w:r>
              <w:rPr>
                <w:rFonts w:ascii="Times New Roman" w:hAnsi="Times New Roman" w:eastAsia="Times New Roman" w:cs="Times New Roman"/>
                <w:spacing w:val="15"/>
              </w:rPr>
              <w:t xml:space="preserve"> </w:t>
            </w:r>
            <w:r>
              <w:rPr/>
              <w:t>级标准</w:t>
            </w:r>
          </w:p>
        </w:tc>
      </w:tr>
      <w:tr>
        <w:trPr>
          <w:trHeight w:val="1366" w:hRule="atLeast"/>
        </w:trPr>
        <w:tc>
          <w:tcPr>
            <w:tcW w:w="718" w:type="dxa"/>
            <w:vAlign w:val="top"/>
            <w:vMerge w:val="continue"/>
            <w:tcBorders>
              <w:top w:val="nil"/>
              <w:bottom w:val="nil"/>
            </w:tcBorders>
          </w:tcPr>
          <w:p>
            <w:pPr>
              <w:rPr>
                <w:rFonts w:ascii="Arial"/>
                <w:sz w:val="21"/>
              </w:rPr>
            </w:pPr>
            <w:r/>
          </w:p>
        </w:tc>
        <w:tc>
          <w:tcPr>
            <w:tcW w:w="1277" w:type="dxa"/>
            <w:vAlign w:val="top"/>
            <w:vMerge w:val="restart"/>
            <w:tcBorders>
              <w:bottom w:val="nil"/>
            </w:tcBorders>
          </w:tcPr>
          <w:p>
            <w:pPr>
              <w:spacing w:line="297" w:lineRule="auto"/>
              <w:rPr>
                <w:rFonts w:ascii="Arial"/>
                <w:sz w:val="21"/>
              </w:rPr>
            </w:pPr>
            <w:r/>
          </w:p>
          <w:p>
            <w:pPr>
              <w:spacing w:line="297" w:lineRule="auto"/>
              <w:rPr>
                <w:rFonts w:ascii="Arial"/>
                <w:sz w:val="21"/>
              </w:rPr>
            </w:pPr>
            <w:r/>
          </w:p>
          <w:p>
            <w:pPr>
              <w:spacing w:line="298" w:lineRule="auto"/>
              <w:rPr>
                <w:rFonts w:ascii="Arial"/>
                <w:sz w:val="21"/>
              </w:rPr>
            </w:pPr>
            <w:r/>
          </w:p>
          <w:p>
            <w:pPr>
              <w:spacing w:line="298" w:lineRule="auto"/>
              <w:rPr>
                <w:rFonts w:ascii="Arial"/>
                <w:sz w:val="21"/>
              </w:rPr>
            </w:pPr>
            <w:r/>
          </w:p>
          <w:p>
            <w:pPr>
              <w:pStyle w:val="TableText"/>
              <w:ind w:left="225"/>
              <w:spacing w:before="65" w:line="228" w:lineRule="auto"/>
              <w:rPr/>
            </w:pPr>
            <w:r>
              <w:rPr>
                <w:spacing w:val="6"/>
              </w:rPr>
              <w:t>生产废水</w:t>
            </w:r>
          </w:p>
        </w:tc>
        <w:tc>
          <w:tcPr>
            <w:tcW w:w="2729" w:type="dxa"/>
            <w:vAlign w:val="top"/>
          </w:tcPr>
          <w:p>
            <w:pPr>
              <w:pStyle w:val="TableText"/>
              <w:ind w:left="9" w:right="3" w:firstLine="2"/>
              <w:spacing w:before="34" w:line="244" w:lineRule="auto"/>
              <w:jc w:val="both"/>
              <w:rPr/>
            </w:pPr>
            <w:r>
              <w:rPr>
                <w:spacing w:val="25"/>
              </w:rPr>
              <w:t>纯水制备排污及锅炉排污全</w:t>
            </w:r>
            <w:r>
              <w:rPr>
                <w:spacing w:val="7"/>
              </w:rPr>
              <w:t xml:space="preserve"> </w:t>
            </w:r>
            <w:r>
              <w:rPr>
                <w:spacing w:val="25"/>
              </w:rPr>
              <w:t>部用作锅炉草木灰抑尘及厂</w:t>
            </w:r>
            <w:r>
              <w:rPr>
                <w:spacing w:val="10"/>
              </w:rPr>
              <w:t xml:space="preserve"> </w:t>
            </w:r>
            <w:r>
              <w:rPr>
                <w:spacing w:val="8"/>
              </w:rPr>
              <w:t>区内道路抑尘用水，多余部分</w:t>
            </w:r>
            <w:r>
              <w:rPr>
                <w:spacing w:val="6"/>
              </w:rPr>
              <w:t xml:space="preserve"> </w:t>
            </w:r>
            <w:r>
              <w:rPr>
                <w:spacing w:val="8"/>
              </w:rPr>
              <w:t>排入市政污水管网，进入明安</w:t>
            </w:r>
            <w:r>
              <w:rPr>
                <w:spacing w:val="6"/>
              </w:rPr>
              <w:t xml:space="preserve"> </w:t>
            </w:r>
            <w:r>
              <w:rPr>
                <w:spacing w:val="7"/>
              </w:rPr>
              <w:t>图镇污水处理厂。</w:t>
            </w:r>
          </w:p>
        </w:tc>
        <w:tc>
          <w:tcPr>
            <w:tcW w:w="979" w:type="dxa"/>
            <w:vAlign w:val="top"/>
            <w:vMerge w:val="continue"/>
            <w:tcBorders>
              <w:top w:val="nil"/>
            </w:tcBorders>
          </w:tcPr>
          <w:p>
            <w:pPr>
              <w:rPr>
                <w:rFonts w:ascii="Arial"/>
                <w:sz w:val="21"/>
              </w:rPr>
            </w:pPr>
            <w:r/>
          </w:p>
        </w:tc>
        <w:tc>
          <w:tcPr>
            <w:tcW w:w="992" w:type="dxa"/>
            <w:vAlign w:val="top"/>
            <w:vMerge w:val="continue"/>
            <w:tcBorders>
              <w:top w:val="nil"/>
            </w:tcBorders>
          </w:tcPr>
          <w:p>
            <w:pPr>
              <w:rPr>
                <w:rFonts w:ascii="Arial"/>
                <w:sz w:val="21"/>
              </w:rPr>
            </w:pPr>
            <w:r/>
          </w:p>
        </w:tc>
        <w:tc>
          <w:tcPr>
            <w:tcW w:w="1894" w:type="dxa"/>
            <w:vAlign w:val="top"/>
            <w:vMerge w:val="continue"/>
            <w:tcBorders>
              <w:top w:val="nil"/>
            </w:tcBorders>
          </w:tcPr>
          <w:p>
            <w:pPr>
              <w:rPr>
                <w:rFonts w:ascii="Arial"/>
                <w:sz w:val="21"/>
              </w:rPr>
            </w:pPr>
            <w:r/>
          </w:p>
        </w:tc>
      </w:tr>
      <w:tr>
        <w:trPr>
          <w:trHeight w:val="1365" w:hRule="atLeast"/>
        </w:trPr>
        <w:tc>
          <w:tcPr>
            <w:tcW w:w="718" w:type="dxa"/>
            <w:vAlign w:val="top"/>
            <w:vMerge w:val="continue"/>
            <w:tcBorders>
              <w:top w:val="nil"/>
            </w:tcBorders>
          </w:tcPr>
          <w:p>
            <w:pPr>
              <w:rPr>
                <w:rFonts w:ascii="Arial"/>
                <w:sz w:val="21"/>
              </w:rPr>
            </w:pPr>
            <w:r/>
          </w:p>
        </w:tc>
        <w:tc>
          <w:tcPr>
            <w:tcW w:w="1277" w:type="dxa"/>
            <w:vAlign w:val="top"/>
            <w:vMerge w:val="continue"/>
            <w:tcBorders>
              <w:top w:val="nil"/>
            </w:tcBorders>
          </w:tcPr>
          <w:p>
            <w:pPr>
              <w:rPr>
                <w:rFonts w:ascii="Arial"/>
                <w:sz w:val="21"/>
              </w:rPr>
            </w:pPr>
            <w:r/>
          </w:p>
        </w:tc>
        <w:tc>
          <w:tcPr>
            <w:tcW w:w="2729" w:type="dxa"/>
            <w:vAlign w:val="top"/>
          </w:tcPr>
          <w:p>
            <w:pPr>
              <w:pStyle w:val="TableText"/>
              <w:ind w:left="9" w:right="3" w:hanging="1"/>
              <w:spacing w:before="33" w:line="244" w:lineRule="auto"/>
              <w:jc w:val="both"/>
              <w:rPr/>
            </w:pPr>
            <w:r>
              <w:rPr>
                <w:spacing w:val="8"/>
              </w:rPr>
              <w:t>洗毛废水、地面冲洗废水经废</w:t>
            </w:r>
            <w:r>
              <w:rPr>
                <w:spacing w:val="7"/>
              </w:rPr>
              <w:t xml:space="preserve"> </w:t>
            </w:r>
            <w:r>
              <w:rPr>
                <w:spacing w:val="1"/>
              </w:rPr>
              <w:t>水收集池收集、</w:t>
            </w:r>
            <w:r>
              <w:rPr>
                <w:rFonts w:ascii="Times New Roman" w:hAnsi="Times New Roman" w:eastAsia="Times New Roman" w:cs="Times New Roman"/>
              </w:rPr>
              <w:t>TS</w:t>
            </w:r>
            <w:r>
              <w:rPr>
                <w:rFonts w:ascii="Times New Roman" w:hAnsi="Times New Roman" w:eastAsia="Times New Roman" w:cs="Times New Roman"/>
                <w:spacing w:val="14"/>
              </w:rPr>
              <w:t xml:space="preserve"> </w:t>
            </w:r>
            <w:r>
              <w:rPr>
                <w:spacing w:val="1"/>
              </w:rPr>
              <w:t>调节池调质</w:t>
            </w:r>
            <w:r>
              <w:rPr/>
              <w:t xml:space="preserve"> </w:t>
            </w:r>
            <w:r>
              <w:rPr>
                <w:spacing w:val="8"/>
              </w:rPr>
              <w:t>后进入厌氧发酵装置，厌氧发</w:t>
            </w:r>
            <w:r>
              <w:rPr>
                <w:spacing w:val="5"/>
              </w:rPr>
              <w:t xml:space="preserve"> </w:t>
            </w:r>
            <w:r>
              <w:rPr>
                <w:spacing w:val="25"/>
              </w:rPr>
              <w:t>酵达到沼肥标准后还田利用</w:t>
            </w:r>
            <w:r>
              <w:rPr>
                <w:spacing w:val="9"/>
              </w:rPr>
              <w:t xml:space="preserve"> </w:t>
            </w:r>
            <w:r>
              <w:rPr>
                <w:spacing w:val="5"/>
              </w:rPr>
              <w:t>（自用</w:t>
            </w:r>
            <w:r>
              <w:rPr>
                <w:spacing w:val="16"/>
              </w:rPr>
              <w:t>），</w:t>
            </w:r>
            <w:r>
              <w:rPr>
                <w:spacing w:val="5"/>
              </w:rPr>
              <w:t>不外排。</w:t>
            </w:r>
          </w:p>
        </w:tc>
        <w:tc>
          <w:tcPr>
            <w:tcW w:w="979" w:type="dxa"/>
            <w:vAlign w:val="top"/>
          </w:tcPr>
          <w:p>
            <w:pPr>
              <w:spacing w:line="255" w:lineRule="auto"/>
              <w:rPr>
                <w:rFonts w:ascii="Arial"/>
                <w:sz w:val="21"/>
              </w:rPr>
            </w:pPr>
            <w:r/>
          </w:p>
          <w:p>
            <w:pPr>
              <w:spacing w:line="255" w:lineRule="auto"/>
              <w:rPr>
                <w:rFonts w:ascii="Arial"/>
                <w:sz w:val="21"/>
              </w:rPr>
            </w:pPr>
            <w:r/>
          </w:p>
          <w:p>
            <w:pPr>
              <w:pStyle w:val="TableText"/>
              <w:ind w:left="76"/>
              <w:spacing w:before="65" w:line="229" w:lineRule="auto"/>
              <w:rPr/>
            </w:pPr>
            <w:r>
              <w:rPr>
                <w:spacing w:val="7"/>
              </w:rPr>
              <w:t>计入基建</w:t>
            </w:r>
          </w:p>
        </w:tc>
        <w:tc>
          <w:tcPr>
            <w:tcW w:w="992" w:type="dxa"/>
            <w:vAlign w:val="top"/>
          </w:tcPr>
          <w:p>
            <w:pPr>
              <w:spacing w:line="274" w:lineRule="auto"/>
              <w:rPr>
                <w:rFonts w:ascii="Arial"/>
                <w:sz w:val="21"/>
              </w:rPr>
            </w:pPr>
            <w:r/>
          </w:p>
          <w:p>
            <w:pPr>
              <w:spacing w:line="275" w:lineRule="auto"/>
              <w:rPr>
                <w:rFonts w:ascii="Arial"/>
                <w:sz w:val="21"/>
              </w:rPr>
            </w:pPr>
            <w:r/>
          </w:p>
          <w:p>
            <w:pPr>
              <w:ind w:left="464"/>
              <w:spacing w:before="5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894" w:type="dxa"/>
            <w:vAlign w:val="top"/>
          </w:tcPr>
          <w:p>
            <w:pPr>
              <w:spacing w:line="255" w:lineRule="auto"/>
              <w:rPr>
                <w:rFonts w:ascii="Arial"/>
                <w:sz w:val="21"/>
              </w:rPr>
            </w:pPr>
            <w:r/>
          </w:p>
          <w:p>
            <w:pPr>
              <w:spacing w:line="255" w:lineRule="auto"/>
              <w:rPr>
                <w:rFonts w:ascii="Arial"/>
                <w:sz w:val="21"/>
              </w:rPr>
            </w:pPr>
            <w:r/>
          </w:p>
          <w:p>
            <w:pPr>
              <w:pStyle w:val="TableText"/>
              <w:ind w:left="111"/>
              <w:spacing w:before="65" w:line="228" w:lineRule="auto"/>
              <w:rPr/>
            </w:pPr>
            <w:r>
              <w:rPr>
                <w:spacing w:val="7"/>
              </w:rPr>
              <w:t>还田利用（自用）</w:t>
            </w:r>
          </w:p>
        </w:tc>
      </w:tr>
      <w:tr>
        <w:trPr>
          <w:trHeight w:val="552" w:hRule="atLeast"/>
        </w:trPr>
        <w:tc>
          <w:tcPr>
            <w:tcW w:w="718" w:type="dxa"/>
            <w:vAlign w:val="top"/>
          </w:tcPr>
          <w:p>
            <w:pPr>
              <w:pStyle w:val="TableText"/>
              <w:ind w:left="172"/>
              <w:spacing w:before="171" w:line="228" w:lineRule="auto"/>
              <w:rPr/>
            </w:pPr>
            <w:r>
              <w:rPr>
                <w:spacing w:val="-5"/>
              </w:rPr>
              <w:t>固废</w:t>
            </w:r>
          </w:p>
        </w:tc>
        <w:tc>
          <w:tcPr>
            <w:tcW w:w="1277" w:type="dxa"/>
            <w:vAlign w:val="top"/>
          </w:tcPr>
          <w:p>
            <w:pPr>
              <w:pStyle w:val="TableText"/>
              <w:ind w:left="15"/>
              <w:spacing w:before="36" w:line="228" w:lineRule="auto"/>
              <w:rPr/>
            </w:pPr>
            <w:r>
              <w:rPr>
                <w:spacing w:val="7"/>
              </w:rPr>
              <w:t>一般固体废物</w:t>
            </w:r>
          </w:p>
          <w:p>
            <w:pPr>
              <w:pStyle w:val="TableText"/>
              <w:ind w:left="335"/>
              <w:spacing w:before="24" w:line="216" w:lineRule="auto"/>
              <w:rPr/>
            </w:pPr>
            <w:r>
              <w:rPr>
                <w:spacing w:val="4"/>
              </w:rPr>
              <w:t>暂存间</w:t>
            </w:r>
          </w:p>
        </w:tc>
        <w:tc>
          <w:tcPr>
            <w:tcW w:w="2729" w:type="dxa"/>
            <w:vAlign w:val="top"/>
          </w:tcPr>
          <w:p>
            <w:pPr>
              <w:pStyle w:val="TableText"/>
              <w:ind w:left="11" w:right="3" w:hanging="2"/>
              <w:spacing w:before="37" w:line="233" w:lineRule="auto"/>
              <w:rPr/>
            </w:pPr>
            <w:r>
              <w:rPr>
                <w:spacing w:val="8"/>
              </w:rPr>
              <w:t>位于西厂区原毛库房西南侧，</w:t>
            </w:r>
            <w:r>
              <w:rPr>
                <w:spacing w:val="6"/>
              </w:rPr>
              <w:t xml:space="preserve"> </w:t>
            </w:r>
            <w:r>
              <w:rPr>
                <w:spacing w:val="1"/>
              </w:rPr>
              <w:t>建筑面积为</w:t>
            </w:r>
            <w:r>
              <w:rPr>
                <w:spacing w:val="-28"/>
              </w:rPr>
              <w:t xml:space="preserve"> </w:t>
            </w:r>
            <w:r>
              <w:rPr>
                <w:rFonts w:ascii="Times New Roman" w:hAnsi="Times New Roman" w:eastAsia="Times New Roman" w:cs="Times New Roman"/>
                <w:spacing w:val="1"/>
              </w:rPr>
              <w:t>80m</w:t>
            </w:r>
            <w:r>
              <w:rPr>
                <w:rFonts w:ascii="Times New Roman" w:hAnsi="Times New Roman" w:eastAsia="Times New Roman" w:cs="Times New Roman"/>
                <w:sz w:val="13"/>
                <w:szCs w:val="13"/>
                <w:spacing w:val="1"/>
                <w:position w:val="6"/>
              </w:rPr>
              <w:t>2</w:t>
            </w:r>
            <w:r>
              <w:rPr>
                <w:spacing w:val="1"/>
              </w:rPr>
              <w:t>，地面进行硬</w:t>
            </w:r>
          </w:p>
        </w:tc>
        <w:tc>
          <w:tcPr>
            <w:tcW w:w="979" w:type="dxa"/>
            <w:vAlign w:val="top"/>
          </w:tcPr>
          <w:p>
            <w:pPr>
              <w:ind w:left="391"/>
              <w:spacing w:before="2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992" w:type="dxa"/>
            <w:vAlign w:val="top"/>
          </w:tcPr>
          <w:p>
            <w:pPr>
              <w:ind w:left="464"/>
              <w:spacing w:before="205"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894" w:type="dxa"/>
            <w:vAlign w:val="top"/>
          </w:tcPr>
          <w:p>
            <w:pPr>
              <w:pStyle w:val="TableText"/>
              <w:ind w:left="323"/>
              <w:spacing w:before="35" w:line="228" w:lineRule="auto"/>
              <w:rPr/>
            </w:pPr>
            <w:r>
              <w:rPr>
                <w:spacing w:val="8"/>
              </w:rPr>
              <w:t>贮存场地按照</w:t>
            </w:r>
          </w:p>
          <w:p>
            <w:pPr>
              <w:pStyle w:val="TableText"/>
              <w:ind w:left="192"/>
              <w:spacing w:before="60" w:line="183" w:lineRule="auto"/>
              <w:rPr/>
            </w:pPr>
            <w:r>
              <w:rPr>
                <w:rFonts w:ascii="Times New Roman" w:hAnsi="Times New Roman" w:eastAsia="Times New Roman" w:cs="Times New Roman"/>
              </w:rPr>
              <w:t>GB</w:t>
            </w:r>
            <w:r>
              <w:rPr>
                <w:rFonts w:ascii="Times New Roman" w:hAnsi="Times New Roman" w:eastAsia="Times New Roman" w:cs="Times New Roman"/>
                <w:spacing w:val="5"/>
              </w:rPr>
              <w:t>18599-2020</w:t>
            </w:r>
            <w:r>
              <w:rPr>
                <w:spacing w:val="5"/>
              </w:rPr>
              <w:t>、</w:t>
            </w:r>
          </w:p>
        </w:tc>
      </w:tr>
    </w:tbl>
    <w:p>
      <w:pPr>
        <w:pStyle w:val="BodyText"/>
        <w:spacing w:line="220" w:lineRule="exact"/>
        <w:rPr>
          <w:sz w:val="19"/>
        </w:rPr>
      </w:pPr>
      <w:r/>
    </w:p>
    <w:p>
      <w:pPr>
        <w:spacing w:line="220" w:lineRule="exact"/>
        <w:sectPr>
          <w:headerReference w:type="default" r:id="rId381"/>
          <w:footerReference w:type="default" r:id="rId382"/>
          <w:pgSz w:w="11907" w:h="16840"/>
          <w:pgMar w:top="1567" w:right="1656" w:bottom="1921" w:left="1656" w:header="1221" w:footer="1247" w:gutter="0"/>
        </w:sectPr>
        <w:rPr>
          <w:sz w:val="19"/>
          <w:szCs w:val="19"/>
        </w:rPr>
      </w:pPr>
    </w:p>
    <w:p>
      <w:pPr>
        <w:spacing w:line="151" w:lineRule="exact"/>
        <w:rPr/>
      </w:pPr>
      <w:r>
        <w:pict>
          <v:shape id="_x0000_s1298" style="position:absolute;margin-left:85.05pt;margin-top:79.11pt;mso-position-vertical-relative:page;mso-position-horizontal-relative:page;width:425.25pt;height:0.75pt;z-index:252375040;" o:allowincell="f" fillcolor="#000000" filled="true" stroked="false" coordsize="8505,15" coordorigin="0,0" path="m,l8505,0l8505,14l0,14l0,0xe"/>
        </w:pict>
      </w:r>
      <w:r/>
    </w:p>
    <w:tbl>
      <w:tblPr>
        <w:tblStyle w:val="TableNormal"/>
        <w:tblW w:w="858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18"/>
        <w:gridCol w:w="1277"/>
        <w:gridCol w:w="2729"/>
        <w:gridCol w:w="979"/>
        <w:gridCol w:w="992"/>
        <w:gridCol w:w="1894"/>
      </w:tblGrid>
      <w:tr>
        <w:trPr>
          <w:trHeight w:val="281" w:hRule="atLeast"/>
        </w:trPr>
        <w:tc>
          <w:tcPr>
            <w:tcW w:w="718" w:type="dxa"/>
            <w:vAlign w:val="top"/>
          </w:tcPr>
          <w:p>
            <w:pPr>
              <w:pStyle w:val="TableText"/>
              <w:ind w:left="154"/>
              <w:spacing w:before="36" w:line="216" w:lineRule="auto"/>
              <w:rPr/>
            </w:pPr>
            <w:r>
              <w:rPr>
                <w:spacing w:val="4"/>
              </w:rPr>
              <w:t>类别</w:t>
            </w:r>
          </w:p>
        </w:tc>
        <w:tc>
          <w:tcPr>
            <w:tcW w:w="1277" w:type="dxa"/>
            <w:vAlign w:val="top"/>
          </w:tcPr>
          <w:p>
            <w:pPr>
              <w:pStyle w:val="TableText"/>
              <w:ind w:left="330"/>
              <w:spacing w:before="36" w:line="216" w:lineRule="auto"/>
              <w:rPr/>
            </w:pPr>
            <w:r>
              <w:rPr>
                <w:spacing w:val="6"/>
              </w:rPr>
              <w:t>污染源</w:t>
            </w:r>
          </w:p>
        </w:tc>
        <w:tc>
          <w:tcPr>
            <w:tcW w:w="2729" w:type="dxa"/>
            <w:vAlign w:val="top"/>
          </w:tcPr>
          <w:p>
            <w:pPr>
              <w:pStyle w:val="TableText"/>
              <w:ind w:left="635"/>
              <w:spacing w:before="36" w:line="216" w:lineRule="auto"/>
              <w:rPr/>
            </w:pPr>
            <w:r>
              <w:rPr>
                <w:spacing w:val="8"/>
              </w:rPr>
              <w:t>采取的处理措施</w:t>
            </w:r>
          </w:p>
        </w:tc>
        <w:tc>
          <w:tcPr>
            <w:tcW w:w="979" w:type="dxa"/>
            <w:vAlign w:val="top"/>
          </w:tcPr>
          <w:p>
            <w:pPr>
              <w:pStyle w:val="TableText"/>
              <w:ind w:left="287"/>
              <w:spacing w:before="36" w:line="216" w:lineRule="auto"/>
              <w:rPr/>
            </w:pPr>
            <w:r>
              <w:rPr>
                <w:spacing w:val="3"/>
              </w:rPr>
              <w:t>投资</w:t>
            </w:r>
          </w:p>
        </w:tc>
        <w:tc>
          <w:tcPr>
            <w:tcW w:w="992" w:type="dxa"/>
            <w:vAlign w:val="top"/>
          </w:tcPr>
          <w:p>
            <w:pPr>
              <w:pStyle w:val="TableText"/>
              <w:ind w:left="86"/>
              <w:spacing w:before="36" w:line="216" w:lineRule="auto"/>
              <w:rPr/>
            </w:pPr>
            <w:r>
              <w:rPr>
                <w:spacing w:val="6"/>
              </w:rPr>
              <w:t>净化效率</w:t>
            </w:r>
          </w:p>
        </w:tc>
        <w:tc>
          <w:tcPr>
            <w:tcW w:w="1894" w:type="dxa"/>
            <w:vAlign w:val="top"/>
          </w:tcPr>
          <w:p>
            <w:pPr>
              <w:pStyle w:val="TableText"/>
              <w:ind w:left="531"/>
              <w:spacing w:before="36" w:line="216" w:lineRule="auto"/>
              <w:rPr/>
            </w:pPr>
            <w:r>
              <w:rPr>
                <w:spacing w:val="7"/>
              </w:rPr>
              <w:t>验收标准</w:t>
            </w:r>
          </w:p>
        </w:tc>
      </w:tr>
      <w:tr>
        <w:trPr>
          <w:trHeight w:val="1366" w:hRule="atLeast"/>
        </w:trPr>
        <w:tc>
          <w:tcPr>
            <w:tcW w:w="718" w:type="dxa"/>
            <w:vAlign w:val="top"/>
            <w:vMerge w:val="restart"/>
            <w:tcBorders>
              <w:bottom w:val="nil"/>
            </w:tcBorders>
          </w:tcPr>
          <w:p>
            <w:pPr>
              <w:rPr>
                <w:rFonts w:ascii="Arial"/>
                <w:sz w:val="21"/>
              </w:rPr>
            </w:pPr>
            <w:r/>
          </w:p>
        </w:tc>
        <w:tc>
          <w:tcPr>
            <w:tcW w:w="1277" w:type="dxa"/>
            <w:vAlign w:val="top"/>
          </w:tcPr>
          <w:p>
            <w:pPr>
              <w:rPr>
                <w:rFonts w:ascii="Arial"/>
                <w:sz w:val="21"/>
              </w:rPr>
            </w:pPr>
            <w:r/>
          </w:p>
        </w:tc>
        <w:tc>
          <w:tcPr>
            <w:tcW w:w="2729" w:type="dxa"/>
            <w:vAlign w:val="top"/>
          </w:tcPr>
          <w:p>
            <w:pPr>
              <w:pStyle w:val="TableText"/>
              <w:ind w:left="9" w:right="3"/>
              <w:spacing w:before="28" w:line="245" w:lineRule="auto"/>
              <w:jc w:val="both"/>
              <w:rPr/>
            </w:pPr>
            <w:r>
              <w:rPr>
                <w:spacing w:val="8"/>
              </w:rPr>
              <w:t>化防渗，同时具有防雨措施，</w:t>
            </w:r>
            <w:r>
              <w:rPr>
                <w:spacing w:val="5"/>
              </w:rPr>
              <w:t xml:space="preserve"> </w:t>
            </w:r>
            <w:r>
              <w:rPr>
                <w:spacing w:val="22"/>
              </w:rPr>
              <w:t>用于贮存废包装物</w:t>
            </w:r>
            <w:r>
              <w:rPr>
                <w:spacing w:val="-54"/>
              </w:rPr>
              <w:t xml:space="preserve"> </w:t>
            </w:r>
            <w:r>
              <w:rPr>
                <w:spacing w:val="22"/>
              </w:rPr>
              <w:t>、开松杂</w:t>
            </w:r>
            <w:r>
              <w:rPr/>
              <w:t xml:space="preserve"> </w:t>
            </w:r>
            <w:r>
              <w:rPr>
                <w:spacing w:val="10"/>
              </w:rPr>
              <w:t>质、废脱硫剂、废</w:t>
            </w:r>
            <w:r>
              <w:rPr>
                <w:spacing w:val="-38"/>
              </w:rPr>
              <w:t xml:space="preserve"> </w:t>
            </w:r>
            <w:r>
              <w:rPr>
                <w:rFonts w:ascii="Times New Roman" w:hAnsi="Times New Roman" w:eastAsia="Times New Roman" w:cs="Times New Roman"/>
              </w:rPr>
              <w:t>RO</w:t>
            </w:r>
            <w:r>
              <w:rPr>
                <w:rFonts w:ascii="Times New Roman" w:hAnsi="Times New Roman" w:eastAsia="Times New Roman" w:cs="Times New Roman"/>
                <w:spacing w:val="10"/>
              </w:rPr>
              <w:t xml:space="preserve"> </w:t>
            </w:r>
            <w:r>
              <w:rPr>
                <w:spacing w:val="10"/>
              </w:rPr>
              <w:t>膜、废</w:t>
            </w:r>
            <w:r>
              <w:rPr/>
              <w:t xml:space="preserve"> </w:t>
            </w:r>
            <w:r>
              <w:rPr>
                <w:spacing w:val="8"/>
              </w:rPr>
              <w:t>过滤器组件、锅炉草木灰、废</w:t>
            </w:r>
            <w:r>
              <w:rPr>
                <w:spacing w:val="6"/>
              </w:rPr>
              <w:t xml:space="preserve"> </w:t>
            </w:r>
            <w:r>
              <w:rPr>
                <w:spacing w:val="5"/>
              </w:rPr>
              <w:t>布袋等。</w:t>
            </w:r>
          </w:p>
        </w:tc>
        <w:tc>
          <w:tcPr>
            <w:tcW w:w="979" w:type="dxa"/>
            <w:vAlign w:val="top"/>
          </w:tcPr>
          <w:p>
            <w:pPr>
              <w:rPr>
                <w:rFonts w:ascii="Arial"/>
                <w:sz w:val="21"/>
              </w:rPr>
            </w:pPr>
            <w:r/>
          </w:p>
        </w:tc>
        <w:tc>
          <w:tcPr>
            <w:tcW w:w="992" w:type="dxa"/>
            <w:vAlign w:val="top"/>
          </w:tcPr>
          <w:p>
            <w:pPr>
              <w:rPr>
                <w:rFonts w:ascii="Arial"/>
                <w:sz w:val="21"/>
              </w:rPr>
            </w:pPr>
            <w:r/>
          </w:p>
        </w:tc>
        <w:tc>
          <w:tcPr>
            <w:tcW w:w="1894" w:type="dxa"/>
            <w:vAlign w:val="top"/>
            <w:vMerge w:val="restart"/>
            <w:tcBorders>
              <w:bottom w:val="nil"/>
            </w:tcBorders>
          </w:tcPr>
          <w:p>
            <w:pPr>
              <w:pStyle w:val="TableText"/>
              <w:ind w:left="640" w:right="57" w:hanging="577"/>
              <w:spacing w:before="30" w:line="255" w:lineRule="auto"/>
              <w:rPr/>
            </w:pPr>
            <w:r>
              <w:rPr>
                <w:rFonts w:ascii="Times New Roman" w:hAnsi="Times New Roman" w:eastAsia="Times New Roman" w:cs="Times New Roman"/>
              </w:rPr>
              <w:t>GB</w:t>
            </w:r>
            <w:r>
              <w:rPr>
                <w:rFonts w:ascii="Times New Roman" w:hAnsi="Times New Roman" w:eastAsia="Times New Roman" w:cs="Times New Roman"/>
                <w:spacing w:val="3"/>
              </w:rPr>
              <w:t>18597-2023</w:t>
            </w:r>
            <w:r>
              <w:rPr>
                <w:rFonts w:ascii="Times New Roman" w:hAnsi="Times New Roman" w:eastAsia="Times New Roman" w:cs="Times New Roman"/>
                <w:spacing w:val="37"/>
              </w:rPr>
              <w:t xml:space="preserve"> </w:t>
            </w:r>
            <w:r>
              <w:rPr>
                <w:spacing w:val="3"/>
              </w:rPr>
              <w:t>中建</w:t>
            </w:r>
            <w:r>
              <w:rPr/>
              <w:t xml:space="preserve"> </w:t>
            </w:r>
            <w:r>
              <w:rPr>
                <w:spacing w:val="5"/>
              </w:rPr>
              <w:t>设要求</w:t>
            </w:r>
          </w:p>
        </w:tc>
      </w:tr>
      <w:tr>
        <w:trPr>
          <w:trHeight w:val="1910" w:hRule="atLeast"/>
        </w:trPr>
        <w:tc>
          <w:tcPr>
            <w:tcW w:w="718" w:type="dxa"/>
            <w:vAlign w:val="top"/>
            <w:vMerge w:val="continue"/>
            <w:tcBorders>
              <w:top w:val="nil"/>
            </w:tcBorders>
          </w:tcPr>
          <w:p>
            <w:pPr>
              <w:rPr>
                <w:rFonts w:ascii="Arial"/>
                <w:sz w:val="21"/>
              </w:rPr>
            </w:pPr>
            <w:r/>
          </w:p>
        </w:tc>
        <w:tc>
          <w:tcPr>
            <w:tcW w:w="1277" w:type="dxa"/>
            <w:vAlign w:val="top"/>
          </w:tcPr>
          <w:p>
            <w:pPr>
              <w:spacing w:line="321" w:lineRule="auto"/>
              <w:rPr>
                <w:rFonts w:ascii="Arial"/>
                <w:sz w:val="21"/>
              </w:rPr>
            </w:pPr>
            <w:r/>
          </w:p>
          <w:p>
            <w:pPr>
              <w:spacing w:line="322" w:lineRule="auto"/>
              <w:rPr>
                <w:rFonts w:ascii="Arial"/>
                <w:sz w:val="21"/>
              </w:rPr>
            </w:pPr>
            <w:r/>
          </w:p>
          <w:p>
            <w:pPr>
              <w:pStyle w:val="TableText"/>
              <w:ind w:left="14"/>
              <w:spacing w:before="65" w:line="228" w:lineRule="auto"/>
              <w:rPr/>
            </w:pPr>
            <w:r>
              <w:rPr>
                <w:spacing w:val="7"/>
              </w:rPr>
              <w:t>危险废物暂存</w:t>
            </w:r>
          </w:p>
          <w:p>
            <w:pPr>
              <w:pStyle w:val="TableText"/>
              <w:ind w:left="554"/>
              <w:spacing w:before="26" w:line="231" w:lineRule="auto"/>
              <w:rPr/>
            </w:pPr>
            <w:r>
              <w:rPr/>
              <w:t>间</w:t>
            </w:r>
          </w:p>
        </w:tc>
        <w:tc>
          <w:tcPr>
            <w:tcW w:w="2729" w:type="dxa"/>
            <w:vAlign w:val="top"/>
          </w:tcPr>
          <w:p>
            <w:pPr>
              <w:pStyle w:val="TableText"/>
              <w:ind w:left="8" w:right="3"/>
              <w:spacing w:before="34" w:line="246" w:lineRule="auto"/>
              <w:jc w:val="both"/>
              <w:rPr/>
            </w:pPr>
            <w:r>
              <w:rPr>
                <w:spacing w:val="8"/>
              </w:rPr>
              <w:t>位于西厂区洗净毛库房西侧，</w:t>
            </w:r>
            <w:r>
              <w:rPr>
                <w:spacing w:val="6"/>
              </w:rPr>
              <w:t xml:space="preserve"> </w:t>
            </w:r>
            <w:r>
              <w:rPr/>
              <w:t>建筑面积</w:t>
            </w:r>
            <w:r>
              <w:rPr>
                <w:spacing w:val="-10"/>
              </w:rPr>
              <w:t xml:space="preserve"> </w:t>
            </w:r>
            <w:r>
              <w:rPr>
                <w:rFonts w:ascii="Times New Roman" w:hAnsi="Times New Roman" w:eastAsia="Times New Roman" w:cs="Times New Roman"/>
              </w:rPr>
              <w:t>15m</w:t>
            </w:r>
            <w:r>
              <w:rPr>
                <w:rFonts w:ascii="Times New Roman" w:hAnsi="Times New Roman" w:eastAsia="Times New Roman" w:cs="Times New Roman"/>
                <w:sz w:val="13"/>
                <w:szCs w:val="13"/>
                <w:position w:val="6"/>
              </w:rPr>
              <w:t>2</w:t>
            </w:r>
            <w:r>
              <w:rPr/>
              <w:t>，库内配置泄露 </w:t>
            </w:r>
            <w:r>
              <w:rPr>
                <w:spacing w:val="8"/>
              </w:rPr>
              <w:t>液收集系统，设置截留裙脚，</w:t>
            </w:r>
            <w:r>
              <w:rPr>
                <w:spacing w:val="7"/>
              </w:rPr>
              <w:t xml:space="preserve"> </w:t>
            </w:r>
            <w:r>
              <w:rPr>
                <w:spacing w:val="26"/>
              </w:rPr>
              <w:t>防止泄露危废直接进入外环</w:t>
            </w:r>
            <w:r>
              <w:rPr/>
              <w:t xml:space="preserve"> </w:t>
            </w:r>
            <w:r>
              <w:rPr>
                <w:spacing w:val="26"/>
              </w:rPr>
              <w:t>境或雨水等进入到危废暂存</w:t>
            </w:r>
            <w:r>
              <w:rPr/>
              <w:t xml:space="preserve"> </w:t>
            </w:r>
            <w:r>
              <w:rPr>
                <w:spacing w:val="8"/>
              </w:rPr>
              <w:t>间内，用于贮存废活性炭、废</w:t>
            </w:r>
            <w:r>
              <w:rPr>
                <w:spacing w:val="7"/>
              </w:rPr>
              <w:t xml:space="preserve"> </w:t>
            </w:r>
            <w:r>
              <w:rPr>
                <w:spacing w:val="7"/>
              </w:rPr>
              <w:t>矿物油、废油桶。</w:t>
            </w:r>
          </w:p>
        </w:tc>
        <w:tc>
          <w:tcPr>
            <w:tcW w:w="979" w:type="dxa"/>
            <w:vAlign w:val="top"/>
          </w:tcPr>
          <w:p>
            <w:pPr>
              <w:spacing w:line="274" w:lineRule="auto"/>
              <w:rPr>
                <w:rFonts w:ascii="Arial"/>
                <w:sz w:val="21"/>
              </w:rPr>
            </w:pPr>
            <w:r/>
          </w:p>
          <w:p>
            <w:pPr>
              <w:spacing w:line="274" w:lineRule="auto"/>
              <w:rPr>
                <w:rFonts w:ascii="Arial"/>
                <w:sz w:val="21"/>
              </w:rPr>
            </w:pPr>
            <w:r/>
          </w:p>
          <w:p>
            <w:pPr>
              <w:spacing w:line="274" w:lineRule="auto"/>
              <w:rPr>
                <w:rFonts w:ascii="Arial"/>
                <w:sz w:val="21"/>
              </w:rPr>
            </w:pPr>
            <w:r/>
          </w:p>
          <w:p>
            <w:pPr>
              <w:ind w:left="407"/>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17</w:t>
            </w:r>
          </w:p>
        </w:tc>
        <w:tc>
          <w:tcPr>
            <w:tcW w:w="992" w:type="dxa"/>
            <w:vAlign w:val="top"/>
          </w:tcPr>
          <w:p>
            <w:pPr>
              <w:spacing w:line="272" w:lineRule="auto"/>
              <w:rPr>
                <w:rFonts w:ascii="Arial"/>
                <w:sz w:val="21"/>
              </w:rPr>
            </w:pPr>
            <w:r/>
          </w:p>
          <w:p>
            <w:pPr>
              <w:spacing w:line="273" w:lineRule="auto"/>
              <w:rPr>
                <w:rFonts w:ascii="Arial"/>
                <w:sz w:val="21"/>
              </w:rPr>
            </w:pPr>
            <w:r/>
          </w:p>
          <w:p>
            <w:pPr>
              <w:spacing w:line="273" w:lineRule="auto"/>
              <w:rPr>
                <w:rFonts w:ascii="Arial"/>
                <w:sz w:val="21"/>
              </w:rPr>
            </w:pPr>
            <w:r/>
          </w:p>
          <w:p>
            <w:pPr>
              <w:ind w:left="464"/>
              <w:spacing w:before="58"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894" w:type="dxa"/>
            <w:vAlign w:val="top"/>
            <w:vMerge w:val="continue"/>
            <w:tcBorders>
              <w:top w:val="nil"/>
            </w:tcBorders>
          </w:tcPr>
          <w:p>
            <w:pPr>
              <w:rPr>
                <w:rFonts w:ascii="Arial"/>
                <w:sz w:val="21"/>
              </w:rPr>
            </w:pPr>
            <w:r/>
          </w:p>
        </w:tc>
      </w:tr>
      <w:tr>
        <w:trPr>
          <w:trHeight w:val="550" w:hRule="atLeast"/>
        </w:trPr>
        <w:tc>
          <w:tcPr>
            <w:tcW w:w="718" w:type="dxa"/>
            <w:vAlign w:val="top"/>
          </w:tcPr>
          <w:p>
            <w:pPr>
              <w:pStyle w:val="TableText"/>
              <w:ind w:left="163"/>
              <w:spacing w:before="170" w:line="228" w:lineRule="auto"/>
              <w:rPr/>
            </w:pPr>
            <w:r>
              <w:rPr>
                <w:spacing w:val="-1"/>
              </w:rPr>
              <w:t>噪声</w:t>
            </w:r>
          </w:p>
        </w:tc>
        <w:tc>
          <w:tcPr>
            <w:tcW w:w="1277" w:type="dxa"/>
            <w:vAlign w:val="top"/>
          </w:tcPr>
          <w:p>
            <w:pPr>
              <w:pStyle w:val="TableText"/>
              <w:ind w:left="222" w:right="10" w:hanging="207"/>
              <w:spacing w:before="32" w:line="234" w:lineRule="auto"/>
              <w:rPr/>
            </w:pPr>
            <w:r>
              <w:rPr>
                <w:spacing w:val="7"/>
              </w:rPr>
              <w:t>设备运转、运</w:t>
            </w:r>
            <w:r>
              <w:rPr>
                <w:spacing w:val="3"/>
              </w:rPr>
              <w:t xml:space="preserve"> </w:t>
            </w:r>
            <w:r>
              <w:rPr>
                <w:spacing w:val="7"/>
              </w:rPr>
              <w:t>输等噪声</w:t>
            </w:r>
          </w:p>
        </w:tc>
        <w:tc>
          <w:tcPr>
            <w:tcW w:w="2729" w:type="dxa"/>
            <w:vAlign w:val="top"/>
          </w:tcPr>
          <w:p>
            <w:pPr>
              <w:pStyle w:val="TableText"/>
              <w:ind w:left="638" w:right="3" w:hanging="630"/>
              <w:spacing w:before="32" w:line="234" w:lineRule="auto"/>
              <w:rPr/>
            </w:pPr>
            <w:r>
              <w:rPr>
                <w:spacing w:val="8"/>
              </w:rPr>
              <w:t>采用消声器、隔声、减震及置</w:t>
            </w:r>
            <w:r>
              <w:rPr>
                <w:spacing w:val="7"/>
              </w:rPr>
              <w:t xml:space="preserve"> </w:t>
            </w:r>
            <w:r>
              <w:rPr>
                <w:spacing w:val="8"/>
              </w:rPr>
              <w:t>于厂房内等措施</w:t>
            </w:r>
          </w:p>
        </w:tc>
        <w:tc>
          <w:tcPr>
            <w:tcW w:w="979" w:type="dxa"/>
            <w:vAlign w:val="top"/>
          </w:tcPr>
          <w:p>
            <w:pPr>
              <w:ind w:left="407"/>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992" w:type="dxa"/>
            <w:vAlign w:val="top"/>
          </w:tcPr>
          <w:p>
            <w:pPr>
              <w:pStyle w:val="TableText"/>
              <w:ind w:left="86"/>
              <w:spacing w:before="170" w:line="228" w:lineRule="auto"/>
              <w:rPr/>
            </w:pPr>
            <w:r>
              <w:rPr>
                <w:spacing w:val="6"/>
              </w:rPr>
              <w:t>厂界达标</w:t>
            </w:r>
          </w:p>
        </w:tc>
        <w:tc>
          <w:tcPr>
            <w:tcW w:w="1894" w:type="dxa"/>
            <w:vAlign w:val="top"/>
          </w:tcPr>
          <w:p>
            <w:pPr>
              <w:pStyle w:val="TableText"/>
              <w:ind w:left="553" w:right="55" w:hanging="490"/>
              <w:spacing w:before="32" w:line="234" w:lineRule="auto"/>
              <w:rPr/>
            </w:pPr>
            <w:r>
              <w:rPr>
                <w:spacing w:val="5"/>
              </w:rPr>
              <w:t>满足</w:t>
            </w:r>
            <w:r>
              <w:rPr>
                <w:spacing w:val="-37"/>
              </w:rPr>
              <w:t xml:space="preserve"> </w:t>
            </w:r>
            <w:r>
              <w:rPr>
                <w:rFonts w:ascii="Times New Roman" w:hAnsi="Times New Roman" w:eastAsia="Times New Roman" w:cs="Times New Roman"/>
              </w:rPr>
              <w:t>GB</w:t>
            </w:r>
            <w:r>
              <w:rPr>
                <w:rFonts w:ascii="Times New Roman" w:hAnsi="Times New Roman" w:eastAsia="Times New Roman" w:cs="Times New Roman"/>
                <w:spacing w:val="5"/>
              </w:rPr>
              <w:t>12348-2008</w:t>
            </w:r>
            <w:r>
              <w:rPr>
                <w:rFonts w:ascii="Times New Roman" w:hAnsi="Times New Roman" w:eastAsia="Times New Roman" w:cs="Times New Roman"/>
              </w:rPr>
              <w:t xml:space="preserve"> </w:t>
            </w:r>
            <w:r>
              <w:rPr>
                <w:rFonts w:ascii="Times New Roman" w:hAnsi="Times New Roman" w:eastAsia="Times New Roman" w:cs="Times New Roman"/>
                <w:spacing w:val="5"/>
              </w:rPr>
              <w:t>2</w:t>
            </w:r>
            <w:r>
              <w:rPr>
                <w:rFonts w:ascii="Times New Roman" w:hAnsi="Times New Roman" w:eastAsia="Times New Roman" w:cs="Times New Roman"/>
                <w:spacing w:val="12"/>
              </w:rPr>
              <w:t xml:space="preserve"> </w:t>
            </w:r>
            <w:r>
              <w:rPr>
                <w:spacing w:val="5"/>
              </w:rPr>
              <w:t>类标准</w:t>
            </w:r>
          </w:p>
        </w:tc>
      </w:tr>
      <w:tr>
        <w:trPr>
          <w:trHeight w:val="2454" w:hRule="atLeast"/>
        </w:trPr>
        <w:tc>
          <w:tcPr>
            <w:tcW w:w="718" w:type="dxa"/>
            <w:vAlign w:val="top"/>
          </w:tcPr>
          <w:p>
            <w:pPr>
              <w:spacing w:line="262" w:lineRule="auto"/>
              <w:rPr>
                <w:rFonts w:ascii="Arial"/>
                <w:sz w:val="21"/>
              </w:rPr>
            </w:pPr>
            <w:r/>
          </w:p>
          <w:p>
            <w:pPr>
              <w:spacing w:line="263" w:lineRule="auto"/>
              <w:rPr>
                <w:rFonts w:ascii="Arial"/>
                <w:sz w:val="21"/>
              </w:rPr>
            </w:pPr>
            <w:r/>
          </w:p>
          <w:p>
            <w:pPr>
              <w:spacing w:line="263" w:lineRule="auto"/>
              <w:rPr>
                <w:rFonts w:ascii="Arial"/>
                <w:sz w:val="21"/>
              </w:rPr>
            </w:pPr>
            <w:r/>
          </w:p>
          <w:p>
            <w:pPr>
              <w:spacing w:line="263" w:lineRule="auto"/>
              <w:rPr>
                <w:rFonts w:ascii="Arial"/>
                <w:sz w:val="21"/>
              </w:rPr>
            </w:pPr>
            <w:r/>
          </w:p>
          <w:p>
            <w:pPr>
              <w:pStyle w:val="TableText"/>
              <w:ind w:left="167"/>
              <w:spacing w:before="65" w:line="228" w:lineRule="auto"/>
              <w:rPr/>
            </w:pPr>
            <w:r>
              <w:rPr>
                <w:spacing w:val="-2"/>
              </w:rPr>
              <w:t>防渗</w:t>
            </w:r>
          </w:p>
        </w:tc>
        <w:tc>
          <w:tcPr>
            <w:tcW w:w="4006" w:type="dxa"/>
            <w:vAlign w:val="top"/>
            <w:gridSpan w:val="2"/>
          </w:tcPr>
          <w:p>
            <w:pPr>
              <w:pStyle w:val="TableText"/>
              <w:ind w:left="9" w:firstLine="2"/>
              <w:spacing w:before="306" w:line="252" w:lineRule="auto"/>
              <w:jc w:val="both"/>
              <w:rPr/>
            </w:pPr>
            <w:r>
              <w:rPr>
                <w:spacing w:val="1"/>
              </w:rPr>
              <w:t>危废暂存间、洗毛车间、废水收集池、</w:t>
            </w:r>
            <w:r>
              <w:rPr>
                <w:rFonts w:ascii="Times New Roman" w:hAnsi="Times New Roman" w:eastAsia="Times New Roman" w:cs="Times New Roman"/>
              </w:rPr>
              <w:t>TS</w:t>
            </w:r>
            <w:r>
              <w:rPr>
                <w:rFonts w:ascii="Times New Roman" w:hAnsi="Times New Roman" w:eastAsia="Times New Roman" w:cs="Times New Roman"/>
                <w:spacing w:val="1"/>
              </w:rPr>
              <w:t xml:space="preserve"> </w:t>
            </w:r>
            <w:r>
              <w:rPr>
                <w:spacing w:val="1"/>
              </w:rPr>
              <w:t>调</w:t>
            </w:r>
            <w:r>
              <w:rPr>
                <w:spacing w:val="15"/>
              </w:rPr>
              <w:t xml:space="preserve"> </w:t>
            </w:r>
            <w:r>
              <w:rPr>
                <w:spacing w:val="-1"/>
              </w:rPr>
              <w:t>节池、固液分离池、沼液池、厌氧发酵罐区、</w:t>
            </w:r>
            <w:r>
              <w:rPr>
                <w:spacing w:val="10"/>
              </w:rPr>
              <w:t xml:space="preserve"> </w:t>
            </w:r>
            <w:r>
              <w:rPr>
                <w:spacing w:val="6"/>
              </w:rPr>
              <w:t>事故水池、沼渣晾晒区等设定为重点污染防</w:t>
            </w:r>
            <w:r>
              <w:rPr/>
              <w:t xml:space="preserve"> </w:t>
            </w:r>
            <w:r>
              <w:rPr>
                <w:spacing w:val="5"/>
              </w:rPr>
              <w:t>渗区；原毛库房、燃料库房、锅炉房、一般</w:t>
            </w:r>
            <w:r>
              <w:rPr>
                <w:spacing w:val="16"/>
              </w:rPr>
              <w:t xml:space="preserve"> </w:t>
            </w:r>
            <w:r>
              <w:rPr>
                <w:spacing w:val="6"/>
              </w:rPr>
              <w:t>固体废物贮存库、洗净毛库房、选毛库房等</w:t>
            </w:r>
            <w:r>
              <w:rPr/>
              <w:t xml:space="preserve"> </w:t>
            </w:r>
            <w:r>
              <w:rPr>
                <w:spacing w:val="5"/>
              </w:rPr>
              <w:t>设定为一般污染防渗区；其他区域设定为简</w:t>
            </w:r>
            <w:r>
              <w:rPr>
                <w:spacing w:val="16"/>
              </w:rPr>
              <w:t xml:space="preserve"> </w:t>
            </w:r>
            <w:r>
              <w:rPr>
                <w:spacing w:val="4"/>
              </w:rPr>
              <w:t>单污染防渗区。</w:t>
            </w:r>
          </w:p>
        </w:tc>
        <w:tc>
          <w:tcPr>
            <w:tcW w:w="979" w:type="dxa"/>
            <w:vAlign w:val="top"/>
          </w:tcPr>
          <w:p>
            <w:pPr>
              <w:spacing w:line="273" w:lineRule="auto"/>
              <w:rPr>
                <w:rFonts w:ascii="Arial"/>
                <w:sz w:val="21"/>
              </w:rPr>
            </w:pPr>
            <w:r/>
          </w:p>
          <w:p>
            <w:pPr>
              <w:spacing w:line="273" w:lineRule="auto"/>
              <w:rPr>
                <w:rFonts w:ascii="Arial"/>
                <w:sz w:val="21"/>
              </w:rPr>
            </w:pPr>
            <w:r/>
          </w:p>
          <w:p>
            <w:pPr>
              <w:spacing w:line="274" w:lineRule="auto"/>
              <w:rPr>
                <w:rFonts w:ascii="Arial"/>
                <w:sz w:val="21"/>
              </w:rPr>
            </w:pPr>
            <w:r/>
          </w:p>
          <w:p>
            <w:pPr>
              <w:spacing w:line="274" w:lineRule="auto"/>
              <w:rPr>
                <w:rFonts w:ascii="Arial"/>
                <w:sz w:val="21"/>
              </w:rPr>
            </w:pPr>
            <w:r/>
          </w:p>
          <w:p>
            <w:pPr>
              <w:ind w:left="391"/>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992" w:type="dxa"/>
            <w:vAlign w:val="top"/>
          </w:tcPr>
          <w:p>
            <w:pPr>
              <w:spacing w:line="376" w:lineRule="auto"/>
              <w:rPr>
                <w:rFonts w:ascii="Arial"/>
                <w:sz w:val="21"/>
              </w:rPr>
            </w:pPr>
            <w:r/>
          </w:p>
          <w:p>
            <w:pPr>
              <w:pStyle w:val="TableText"/>
              <w:ind w:left="97"/>
              <w:spacing w:before="65" w:line="228" w:lineRule="auto"/>
              <w:rPr/>
            </w:pPr>
            <w:r>
              <w:rPr>
                <w:spacing w:val="4"/>
              </w:rPr>
              <w:t>防止有害</w:t>
            </w:r>
          </w:p>
          <w:p>
            <w:pPr>
              <w:pStyle w:val="TableText"/>
              <w:ind w:left="83"/>
              <w:spacing w:before="24" w:line="228" w:lineRule="auto"/>
              <w:rPr/>
            </w:pPr>
            <w:r>
              <w:rPr>
                <w:spacing w:val="7"/>
              </w:rPr>
              <w:t>物渗入土</w:t>
            </w:r>
          </w:p>
          <w:p>
            <w:pPr>
              <w:pStyle w:val="TableText"/>
              <w:ind w:left="83"/>
              <w:spacing w:before="23" w:line="227" w:lineRule="auto"/>
              <w:rPr/>
            </w:pPr>
            <w:r>
              <w:rPr>
                <w:spacing w:val="7"/>
              </w:rPr>
              <w:t>壤污染附</w:t>
            </w:r>
          </w:p>
          <w:p>
            <w:pPr>
              <w:pStyle w:val="TableText"/>
              <w:ind w:left="83"/>
              <w:spacing w:before="27" w:line="228" w:lineRule="auto"/>
              <w:rPr/>
            </w:pPr>
            <w:r>
              <w:rPr>
                <w:spacing w:val="7"/>
              </w:rPr>
              <w:t>近浅层地</w:t>
            </w:r>
          </w:p>
          <w:p>
            <w:pPr>
              <w:pStyle w:val="TableText"/>
              <w:ind w:left="90"/>
              <w:spacing w:before="24" w:line="228" w:lineRule="auto"/>
              <w:rPr/>
            </w:pPr>
            <w:r>
              <w:rPr>
                <w:spacing w:val="5"/>
              </w:rPr>
              <w:t>下水和土</w:t>
            </w:r>
          </w:p>
          <w:p>
            <w:pPr>
              <w:pStyle w:val="TableText"/>
              <w:ind w:left="398"/>
              <w:spacing w:before="27" w:line="229" w:lineRule="auto"/>
              <w:rPr/>
            </w:pPr>
            <w:r>
              <w:rPr/>
              <w:t>壤</w:t>
            </w:r>
          </w:p>
        </w:tc>
        <w:tc>
          <w:tcPr>
            <w:tcW w:w="1894" w:type="dxa"/>
            <w:vAlign w:val="top"/>
          </w:tcPr>
          <w:p>
            <w:pPr>
              <w:pStyle w:val="TableText"/>
              <w:ind w:left="112"/>
              <w:spacing w:before="34" w:line="228" w:lineRule="auto"/>
              <w:rPr/>
            </w:pPr>
            <w:r>
              <w:rPr>
                <w:spacing w:val="8"/>
              </w:rPr>
              <w:t>重点污染防渗区等</w:t>
            </w:r>
          </w:p>
          <w:p>
            <w:pPr>
              <w:pStyle w:val="TableText"/>
              <w:ind w:left="328"/>
              <w:spacing w:before="24" w:line="228" w:lineRule="auto"/>
              <w:rPr/>
            </w:pPr>
            <w:r>
              <w:rPr>
                <w:spacing w:val="7"/>
              </w:rPr>
              <w:t>效黏土防渗层</w:t>
            </w:r>
          </w:p>
          <w:p>
            <w:pPr>
              <w:pStyle w:val="TableText"/>
              <w:ind w:left="479"/>
              <w:spacing w:before="60" w:line="187" w:lineRule="auto"/>
              <w:rPr/>
            </w:pPr>
            <w:r>
              <w:rPr>
                <w:rFonts w:ascii="Times New Roman" w:hAnsi="Times New Roman" w:eastAsia="Times New Roman" w:cs="Times New Roman"/>
                <w:spacing w:val="4"/>
              </w:rPr>
              <w:t>M≥6.0m</w:t>
            </w:r>
            <w:r>
              <w:rPr>
                <w:spacing w:val="4"/>
              </w:rPr>
              <w:t>，</w:t>
            </w:r>
          </w:p>
          <w:p>
            <w:pPr>
              <w:pStyle w:val="TableText"/>
              <w:ind w:left="28"/>
              <w:spacing w:before="34" w:line="231" w:lineRule="auto"/>
              <w:rPr/>
            </w:pPr>
            <w:r>
              <w:rPr>
                <w:rFonts w:ascii="Times New Roman" w:hAnsi="Times New Roman" w:eastAsia="Times New Roman" w:cs="Times New Roman"/>
                <w:spacing w:val="4"/>
              </w:rPr>
              <w:t>K≤1×10</w:t>
            </w:r>
            <w:r>
              <w:rPr>
                <w:rFonts w:ascii="Times New Roman" w:hAnsi="Times New Roman" w:eastAsia="Times New Roman" w:cs="Times New Roman"/>
                <w:sz w:val="13"/>
                <w:szCs w:val="13"/>
                <w:spacing w:val="4"/>
                <w:position w:val="6"/>
              </w:rPr>
              <w:t>-7</w:t>
            </w:r>
            <w:r>
              <w:rPr>
                <w:rFonts w:ascii="Times New Roman" w:hAnsi="Times New Roman" w:eastAsia="Times New Roman" w:cs="Times New Roman"/>
              </w:rPr>
              <w:t>cm</w:t>
            </w:r>
            <w:r>
              <w:rPr>
                <w:rFonts w:ascii="Times New Roman" w:hAnsi="Times New Roman" w:eastAsia="Times New Roman" w:cs="Times New Roman"/>
                <w:spacing w:val="4"/>
              </w:rPr>
              <w:t>/s</w:t>
            </w:r>
            <w:r>
              <w:rPr>
                <w:rFonts w:ascii="Times New Roman" w:hAnsi="Times New Roman" w:eastAsia="Times New Roman" w:cs="Times New Roman"/>
                <w:spacing w:val="-21"/>
              </w:rPr>
              <w:t xml:space="preserve"> </w:t>
            </w:r>
            <w:r>
              <w:rPr>
                <w:spacing w:val="4"/>
              </w:rPr>
              <w:t>，或参</w:t>
            </w:r>
          </w:p>
          <w:p>
            <w:pPr>
              <w:pStyle w:val="TableText"/>
              <w:ind w:left="77"/>
              <w:spacing w:before="22" w:line="228" w:lineRule="auto"/>
              <w:rPr/>
            </w:pPr>
            <w:r>
              <w:rPr>
                <w:spacing w:val="4"/>
              </w:rPr>
              <w:t>照</w:t>
            </w:r>
            <w:r>
              <w:rPr>
                <w:spacing w:val="-34"/>
              </w:rPr>
              <w:t xml:space="preserve"> </w:t>
            </w:r>
            <w:r>
              <w:rPr>
                <w:rFonts w:ascii="Times New Roman" w:hAnsi="Times New Roman" w:eastAsia="Times New Roman" w:cs="Times New Roman"/>
              </w:rPr>
              <w:t>GB</w:t>
            </w:r>
            <w:r>
              <w:rPr>
                <w:rFonts w:ascii="Times New Roman" w:hAnsi="Times New Roman" w:eastAsia="Times New Roman" w:cs="Times New Roman"/>
                <w:spacing w:val="4"/>
              </w:rPr>
              <w:t>18598</w:t>
            </w:r>
            <w:r>
              <w:rPr>
                <w:rFonts w:ascii="Times New Roman" w:hAnsi="Times New Roman" w:eastAsia="Times New Roman" w:cs="Times New Roman"/>
                <w:spacing w:val="16"/>
              </w:rPr>
              <w:t xml:space="preserve"> </w:t>
            </w:r>
            <w:r>
              <w:rPr>
                <w:spacing w:val="4"/>
              </w:rPr>
              <w:t>设置防</w:t>
            </w:r>
          </w:p>
          <w:p>
            <w:pPr>
              <w:pStyle w:val="TableText"/>
              <w:ind w:left="14"/>
              <w:spacing w:before="26" w:line="228" w:lineRule="auto"/>
              <w:rPr/>
            </w:pPr>
            <w:r>
              <w:rPr>
                <w:spacing w:val="7"/>
              </w:rPr>
              <w:t>渗；一般污染防渗区</w:t>
            </w:r>
          </w:p>
          <w:p>
            <w:pPr>
              <w:pStyle w:val="TableText"/>
              <w:ind w:left="125"/>
              <w:spacing w:before="24" w:line="228" w:lineRule="auto"/>
              <w:rPr/>
            </w:pPr>
            <w:r>
              <w:rPr>
                <w:spacing w:val="7"/>
              </w:rPr>
              <w:t>防渗等级等效黏土</w:t>
            </w:r>
          </w:p>
          <w:p>
            <w:pPr>
              <w:pStyle w:val="TableText"/>
              <w:ind w:left="156"/>
              <w:spacing w:before="26" w:line="228" w:lineRule="auto"/>
              <w:rPr/>
            </w:pPr>
            <w:r>
              <w:rPr>
                <w:spacing w:val="3"/>
              </w:rPr>
              <w:t>防渗层</w:t>
            </w:r>
            <w:r>
              <w:rPr>
                <w:spacing w:val="-38"/>
              </w:rPr>
              <w:t xml:space="preserve"> </w:t>
            </w:r>
            <w:r>
              <w:rPr>
                <w:rFonts w:ascii="Times New Roman" w:hAnsi="Times New Roman" w:eastAsia="Times New Roman" w:cs="Times New Roman"/>
                <w:spacing w:val="3"/>
              </w:rPr>
              <w:t>M≥1.5m</w:t>
            </w:r>
            <w:r>
              <w:rPr>
                <w:spacing w:val="3"/>
              </w:rPr>
              <w:t>，</w:t>
            </w:r>
          </w:p>
          <w:p>
            <w:pPr>
              <w:pStyle w:val="TableText"/>
              <w:ind w:left="239"/>
              <w:spacing w:before="42" w:line="198" w:lineRule="auto"/>
              <w:rPr/>
            </w:pPr>
            <w:r>
              <w:rPr>
                <w:rFonts w:ascii="Times New Roman" w:hAnsi="Times New Roman" w:eastAsia="Times New Roman" w:cs="Times New Roman"/>
                <w:spacing w:val="4"/>
              </w:rPr>
              <w:t>K≤1×10</w:t>
            </w:r>
            <w:r>
              <w:rPr>
                <w:rFonts w:ascii="Times New Roman" w:hAnsi="Times New Roman" w:eastAsia="Times New Roman" w:cs="Times New Roman"/>
                <w:sz w:val="13"/>
                <w:szCs w:val="13"/>
                <w:spacing w:val="4"/>
                <w:position w:val="6"/>
              </w:rPr>
              <w:t>-7</w:t>
            </w:r>
            <w:r>
              <w:rPr>
                <w:rFonts w:ascii="Times New Roman" w:hAnsi="Times New Roman" w:eastAsia="Times New Roman" w:cs="Times New Roman"/>
              </w:rPr>
              <w:t>cm</w:t>
            </w:r>
            <w:r>
              <w:rPr>
                <w:rFonts w:ascii="Times New Roman" w:hAnsi="Times New Roman" w:eastAsia="Times New Roman" w:cs="Times New Roman"/>
                <w:spacing w:val="4"/>
              </w:rPr>
              <w:t>/s</w:t>
            </w:r>
            <w:r>
              <w:rPr>
                <w:spacing w:val="4"/>
              </w:rPr>
              <w:t>。</w:t>
            </w:r>
          </w:p>
        </w:tc>
      </w:tr>
      <w:tr>
        <w:trPr>
          <w:trHeight w:val="550" w:hRule="atLeast"/>
        </w:trPr>
        <w:tc>
          <w:tcPr>
            <w:tcW w:w="718" w:type="dxa"/>
            <w:vAlign w:val="top"/>
          </w:tcPr>
          <w:p>
            <w:pPr>
              <w:pStyle w:val="TableText"/>
              <w:ind w:left="154"/>
              <w:spacing w:before="171" w:line="228" w:lineRule="auto"/>
              <w:rPr/>
            </w:pPr>
            <w:r>
              <w:rPr>
                <w:spacing w:val="4"/>
              </w:rPr>
              <w:t>风险</w:t>
            </w:r>
          </w:p>
        </w:tc>
        <w:tc>
          <w:tcPr>
            <w:tcW w:w="4006" w:type="dxa"/>
            <w:vAlign w:val="top"/>
            <w:gridSpan w:val="2"/>
          </w:tcPr>
          <w:p>
            <w:pPr>
              <w:pStyle w:val="TableText"/>
              <w:ind w:left="136" w:right="172" w:firstLine="85"/>
              <w:spacing w:before="37" w:line="232" w:lineRule="auto"/>
              <w:rPr/>
            </w:pPr>
            <w:r>
              <w:rPr>
                <w:spacing w:val="7"/>
              </w:rPr>
              <w:t>在东西两个厂区内分别建设</w:t>
            </w:r>
            <w:r>
              <w:rPr>
                <w:spacing w:val="-16"/>
              </w:rPr>
              <w:t xml:space="preserve"> </w:t>
            </w:r>
            <w:r>
              <w:rPr>
                <w:rFonts w:ascii="Times New Roman" w:hAnsi="Times New Roman" w:eastAsia="Times New Roman" w:cs="Times New Roman"/>
                <w:spacing w:val="7"/>
              </w:rPr>
              <w:t>1 </w:t>
            </w:r>
            <w:r>
              <w:rPr>
                <w:spacing w:val="7"/>
              </w:rPr>
              <w:t>座容积为</w:t>
            </w:r>
            <w:r>
              <w:rPr/>
              <w:t xml:space="preserve"> </w:t>
            </w:r>
            <w:r>
              <w:rPr>
                <w:rFonts w:ascii="Times New Roman" w:hAnsi="Times New Roman" w:eastAsia="Times New Roman" w:cs="Times New Roman"/>
                <w:spacing w:val="6"/>
              </w:rPr>
              <w:t>400m</w:t>
            </w:r>
            <w:r>
              <w:rPr>
                <w:rFonts w:ascii="Times New Roman" w:hAnsi="Times New Roman" w:eastAsia="Times New Roman" w:cs="Times New Roman"/>
                <w:sz w:val="13"/>
                <w:szCs w:val="13"/>
                <w:spacing w:val="6"/>
                <w:position w:val="6"/>
              </w:rPr>
              <w:t>3 </w:t>
            </w:r>
            <w:r>
              <w:rPr>
                <w:spacing w:val="6"/>
              </w:rPr>
              <w:t>事故水池，兼作初期雨水收集池。</w:t>
            </w:r>
          </w:p>
        </w:tc>
        <w:tc>
          <w:tcPr>
            <w:tcW w:w="979" w:type="dxa"/>
            <w:vAlign w:val="top"/>
          </w:tcPr>
          <w:p>
            <w:pPr>
              <w:ind w:left="392"/>
              <w:spacing w:before="20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992" w:type="dxa"/>
            <w:vAlign w:val="top"/>
          </w:tcPr>
          <w:p>
            <w:pPr>
              <w:pStyle w:val="TableText"/>
              <w:ind w:left="100"/>
              <w:spacing w:before="35" w:line="228" w:lineRule="auto"/>
              <w:rPr/>
            </w:pPr>
            <w:r>
              <w:rPr>
                <w:spacing w:val="3"/>
              </w:rPr>
              <w:t>降低环境</w:t>
            </w:r>
          </w:p>
          <w:p>
            <w:pPr>
              <w:pStyle w:val="TableText"/>
              <w:ind w:left="84"/>
              <w:spacing w:before="24" w:line="215" w:lineRule="auto"/>
              <w:rPr/>
            </w:pPr>
            <w:r>
              <w:rPr>
                <w:spacing w:val="7"/>
              </w:rPr>
              <w:t>风险事故</w:t>
            </w:r>
          </w:p>
        </w:tc>
        <w:tc>
          <w:tcPr>
            <w:tcW w:w="1894" w:type="dxa"/>
            <w:vAlign w:val="top"/>
          </w:tcPr>
          <w:p>
            <w:pPr>
              <w:pStyle w:val="TableText"/>
              <w:ind w:left="112" w:right="5" w:hanging="97"/>
              <w:spacing w:before="37" w:line="232" w:lineRule="auto"/>
              <w:rPr/>
            </w:pPr>
            <w:r>
              <w:rPr>
                <w:spacing w:val="6"/>
              </w:rPr>
              <w:t>按</w:t>
            </w:r>
            <w:r>
              <w:rPr>
                <w:rFonts w:ascii="Times New Roman" w:hAnsi="Times New Roman" w:eastAsia="Times New Roman" w:cs="Times New Roman"/>
              </w:rPr>
              <w:t>HJ</w:t>
            </w:r>
            <w:r>
              <w:rPr>
                <w:rFonts w:ascii="Times New Roman" w:hAnsi="Times New Roman" w:eastAsia="Times New Roman" w:cs="Times New Roman"/>
                <w:spacing w:val="6"/>
              </w:rPr>
              <w:t>610-2016 </w:t>
            </w:r>
            <w:r>
              <w:rPr>
                <w:spacing w:val="6"/>
              </w:rPr>
              <w:t>中表</w:t>
            </w:r>
            <w:r>
              <w:rPr>
                <w:spacing w:val="-50"/>
              </w:rPr>
              <w:t xml:space="preserve"> </w:t>
            </w:r>
            <w:r>
              <w:rPr>
                <w:rFonts w:ascii="Times New Roman" w:hAnsi="Times New Roman" w:eastAsia="Times New Roman" w:cs="Times New Roman"/>
                <w:spacing w:val="6"/>
              </w:rPr>
              <w:t>7</w:t>
            </w:r>
            <w:r>
              <w:rPr>
                <w:rFonts w:ascii="Times New Roman" w:hAnsi="Times New Roman" w:eastAsia="Times New Roman" w:cs="Times New Roman"/>
              </w:rPr>
              <w:t xml:space="preserve"> </w:t>
            </w:r>
            <w:r>
              <w:rPr>
                <w:spacing w:val="8"/>
              </w:rPr>
              <w:t>重点防渗要求防渗</w:t>
            </w:r>
          </w:p>
        </w:tc>
      </w:tr>
      <w:tr>
        <w:trPr>
          <w:trHeight w:val="281" w:hRule="atLeast"/>
        </w:trPr>
        <w:tc>
          <w:tcPr>
            <w:tcW w:w="718" w:type="dxa"/>
            <w:vAlign w:val="top"/>
          </w:tcPr>
          <w:p>
            <w:pPr>
              <w:ind w:left="328"/>
              <w:spacing w:before="6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4006" w:type="dxa"/>
            <w:vAlign w:val="top"/>
            <w:gridSpan w:val="2"/>
          </w:tcPr>
          <w:p>
            <w:pPr>
              <w:pStyle w:val="TableText"/>
              <w:ind w:left="1798"/>
              <w:spacing w:before="35" w:line="217" w:lineRule="auto"/>
              <w:rPr/>
            </w:pPr>
            <w:r>
              <w:rPr>
                <w:spacing w:val="4"/>
              </w:rPr>
              <w:t>合计</w:t>
            </w:r>
          </w:p>
        </w:tc>
        <w:tc>
          <w:tcPr>
            <w:tcW w:w="979" w:type="dxa"/>
            <w:vAlign w:val="top"/>
          </w:tcPr>
          <w:p>
            <w:pPr>
              <w:ind w:left="338"/>
              <w:spacing w:before="71"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306</w:t>
            </w:r>
          </w:p>
        </w:tc>
        <w:tc>
          <w:tcPr>
            <w:tcW w:w="992" w:type="dxa"/>
            <w:vAlign w:val="top"/>
          </w:tcPr>
          <w:p>
            <w:pPr>
              <w:ind w:left="464"/>
              <w:spacing w:before="6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c>
          <w:tcPr>
            <w:tcW w:w="1894" w:type="dxa"/>
            <w:vAlign w:val="top"/>
          </w:tcPr>
          <w:p>
            <w:pPr>
              <w:ind w:left="915"/>
              <w:spacing w:before="67" w:line="19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w:t>
            </w:r>
          </w:p>
        </w:tc>
      </w:tr>
    </w:tbl>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ind w:left="52"/>
        <w:spacing w:before="62" w:line="227" w:lineRule="auto"/>
        <w:rPr>
          <w:rFonts w:ascii="SimSun" w:hAnsi="SimSun" w:eastAsia="SimSun" w:cs="SimSun"/>
          <w:sz w:val="19"/>
          <w:szCs w:val="19"/>
        </w:rPr>
      </w:pPr>
      <w:r>
        <w:pict>
          <v:shape id="_x0000_s1300" style="position:absolute;margin-left:161.57pt;margin-top:2.10863pt;mso-position-vertical-relative:text;mso-position-horizontal-relative:text;width:61pt;height:13.75pt;z-index:25237401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291</w:t>
                  </w:r>
                </w:p>
              </w:txbxContent>
            </v:textbox>
          </v:shape>
        </w:pict>
      </w:r>
      <w:r>
        <w:rPr>
          <w:rFonts w:ascii="SimSun" w:hAnsi="SimSun" w:eastAsia="SimSun" w:cs="SimSun"/>
          <w:sz w:val="19"/>
          <w:szCs w:val="19"/>
          <w:spacing w:val="9"/>
        </w:rPr>
        <w:t>锡林郭勒盟中安环境技术咨询有限责</w:t>
      </w:r>
    </w:p>
    <w:p>
      <w:pPr>
        <w:spacing w:line="227" w:lineRule="auto"/>
        <w:sectPr>
          <w:footerReference w:type="default" r:id="rId3"/>
          <w:pgSz w:w="11907" w:h="16840"/>
          <w:pgMar w:top="1567" w:right="1656" w:bottom="400" w:left="1656" w:header="1221" w:footer="0" w:gutter="0"/>
        </w:sectPr>
        <w:rPr>
          <w:rFonts w:ascii="SimSun" w:hAnsi="SimSun" w:eastAsia="SimSun" w:cs="SimSun"/>
          <w:sz w:val="19"/>
          <w:szCs w:val="19"/>
        </w:rPr>
      </w:pPr>
    </w:p>
    <w:p>
      <w:pPr>
        <w:ind w:left="22"/>
        <w:spacing w:before="185" w:line="227" w:lineRule="auto"/>
        <w:outlineLvl w:val="0"/>
        <w:rPr>
          <w:rFonts w:ascii="SimHei" w:hAnsi="SimHei" w:eastAsia="SimHei" w:cs="SimHei"/>
          <w:sz w:val="35"/>
          <w:szCs w:val="35"/>
        </w:rPr>
      </w:pPr>
      <w:r>
        <w:pict>
          <v:shape id="_x0000_s1302" style="position:absolute;margin-left:85.05pt;margin-top:78.87pt;mso-position-vertical-relative:page;mso-position-horizontal-relative:page;width:425.25pt;height:0.75pt;z-index:252377088;" o:allowincell="f" fillcolor="#000000" filled="true" stroked="false" coordsize="8505,15" coordorigin="0,0" path="m,l8505,0l8505,14l0,14l0,0xe"/>
        </w:pict>
      </w:r>
      <w:bookmarkStart w:name="bookmark177" w:id="211"/>
      <w:bookmarkEnd w:id="211"/>
      <w:r>
        <w:rPr>
          <w:rFonts w:ascii="Times New Roman" w:hAnsi="Times New Roman" w:eastAsia="Times New Roman" w:cs="Times New Roman"/>
          <w:sz w:val="35"/>
          <w:szCs w:val="35"/>
          <w:spacing w:val="7"/>
        </w:rPr>
        <w:t>8 </w:t>
      </w:r>
      <w:r>
        <w:rPr>
          <w:rFonts w:ascii="SimHei" w:hAnsi="SimHei" w:eastAsia="SimHei" w:cs="SimHei"/>
          <w:sz w:val="35"/>
          <w:szCs w:val="35"/>
          <w:spacing w:val="7"/>
        </w:rPr>
        <w:t>环境影响经济损益分析</w:t>
      </w:r>
    </w:p>
    <w:p>
      <w:pPr>
        <w:ind w:left="9" w:firstLine="483"/>
        <w:spacing w:before="253" w:line="360" w:lineRule="auto"/>
        <w:rPr>
          <w:rFonts w:ascii="SimSun" w:hAnsi="SimSun" w:eastAsia="SimSun" w:cs="SimSun"/>
          <w:sz w:val="24"/>
          <w:szCs w:val="24"/>
        </w:rPr>
      </w:pPr>
      <w:r>
        <w:rPr>
          <w:rFonts w:ascii="SimSun" w:hAnsi="SimSun" w:eastAsia="SimSun" w:cs="SimSun"/>
          <w:sz w:val="24"/>
          <w:szCs w:val="24"/>
          <w:spacing w:val="3"/>
        </w:rPr>
        <w:t>一个建设项目对外界社会经济环境的影响有正面的也有负</w:t>
      </w:r>
      <w:r>
        <w:rPr>
          <w:rFonts w:ascii="SimSun" w:hAnsi="SimSun" w:eastAsia="SimSun" w:cs="SimSun"/>
          <w:sz w:val="24"/>
          <w:szCs w:val="24"/>
          <w:spacing w:val="2"/>
        </w:rPr>
        <w:t>面的。社会影响、</w:t>
      </w:r>
      <w:r>
        <w:rPr>
          <w:rFonts w:ascii="SimSun" w:hAnsi="SimSun" w:eastAsia="SimSun" w:cs="SimSun"/>
          <w:sz w:val="24"/>
          <w:szCs w:val="24"/>
        </w:rPr>
        <w:t xml:space="preserve"> </w:t>
      </w:r>
      <w:r>
        <w:rPr>
          <w:rFonts w:ascii="SimSun" w:hAnsi="SimSun" w:eastAsia="SimSun" w:cs="SimSun"/>
          <w:sz w:val="24"/>
          <w:szCs w:val="24"/>
          <w:spacing w:val="3"/>
        </w:rPr>
        <w:t>经济影响、环境影响的最佳结合点可以使得人们的生活</w:t>
      </w:r>
      <w:r>
        <w:rPr>
          <w:rFonts w:ascii="SimSun" w:hAnsi="SimSun" w:eastAsia="SimSun" w:cs="SimSun"/>
          <w:sz w:val="24"/>
          <w:szCs w:val="24"/>
          <w:spacing w:val="2"/>
        </w:rPr>
        <w:t>质量持续提高。它们三者</w:t>
      </w:r>
      <w:r>
        <w:rPr>
          <w:rFonts w:ascii="SimSun" w:hAnsi="SimSun" w:eastAsia="SimSun" w:cs="SimSun"/>
          <w:sz w:val="24"/>
          <w:szCs w:val="24"/>
        </w:rPr>
        <w:t xml:space="preserve"> </w:t>
      </w:r>
      <w:r>
        <w:rPr>
          <w:rFonts w:ascii="SimSun" w:hAnsi="SimSun" w:eastAsia="SimSun" w:cs="SimSun"/>
          <w:sz w:val="24"/>
          <w:szCs w:val="24"/>
          <w:spacing w:val="3"/>
        </w:rPr>
        <w:t>之间既相互制约，又相互促进，只有站在一个全局的高</w:t>
      </w:r>
      <w:r>
        <w:rPr>
          <w:rFonts w:ascii="SimSun" w:hAnsi="SimSun" w:eastAsia="SimSun" w:cs="SimSun"/>
          <w:sz w:val="24"/>
          <w:szCs w:val="24"/>
          <w:spacing w:val="2"/>
        </w:rPr>
        <w:t>度，综合考虑全局利益和</w:t>
      </w:r>
      <w:r>
        <w:rPr>
          <w:rFonts w:ascii="SimSun" w:hAnsi="SimSun" w:eastAsia="SimSun" w:cs="SimSun"/>
          <w:sz w:val="24"/>
          <w:szCs w:val="24"/>
        </w:rPr>
        <w:t xml:space="preserve"> </w:t>
      </w:r>
      <w:r>
        <w:rPr>
          <w:rFonts w:ascii="SimSun" w:hAnsi="SimSun" w:eastAsia="SimSun" w:cs="SimSun"/>
          <w:sz w:val="24"/>
          <w:szCs w:val="24"/>
          <w:spacing w:val="3"/>
        </w:rPr>
        <w:t>局部利益、远期利益和近期利益，才能实现社会的良性</w:t>
      </w:r>
      <w:r>
        <w:rPr>
          <w:rFonts w:ascii="SimSun" w:hAnsi="SimSun" w:eastAsia="SimSun" w:cs="SimSun"/>
          <w:sz w:val="24"/>
          <w:szCs w:val="24"/>
          <w:spacing w:val="2"/>
        </w:rPr>
        <w:t>发展、经济的持续增长、</w:t>
      </w:r>
      <w:r>
        <w:rPr>
          <w:rFonts w:ascii="SimSun" w:hAnsi="SimSun" w:eastAsia="SimSun" w:cs="SimSun"/>
          <w:sz w:val="24"/>
          <w:szCs w:val="24"/>
        </w:rPr>
        <w:t xml:space="preserve"> </w:t>
      </w:r>
      <w:r>
        <w:rPr>
          <w:rFonts w:ascii="SimSun" w:hAnsi="SimSun" w:eastAsia="SimSun" w:cs="SimSun"/>
          <w:sz w:val="24"/>
          <w:szCs w:val="24"/>
          <w:spacing w:val="-2"/>
        </w:rPr>
        <w:t>环境的不断改善。</w:t>
      </w:r>
    </w:p>
    <w:p>
      <w:pPr>
        <w:ind w:left="18"/>
        <w:spacing w:before="159" w:line="221" w:lineRule="auto"/>
        <w:outlineLvl w:val="1"/>
        <w:rPr>
          <w:rFonts w:ascii="SimHei" w:hAnsi="SimHei" w:eastAsia="SimHei" w:cs="SimHei"/>
          <w:sz w:val="30"/>
          <w:szCs w:val="30"/>
        </w:rPr>
      </w:pPr>
      <w:bookmarkStart w:name="bookmark178" w:id="212"/>
      <w:bookmarkEnd w:id="212"/>
      <w:r>
        <w:rPr>
          <w:rFonts w:ascii="Times New Roman" w:hAnsi="Times New Roman" w:eastAsia="Times New Roman" w:cs="Times New Roman"/>
          <w:sz w:val="30"/>
          <w:szCs w:val="30"/>
          <w:spacing w:val="-2"/>
        </w:rPr>
        <w:t>8.1 </w:t>
      </w:r>
      <w:r>
        <w:rPr>
          <w:rFonts w:ascii="SimHei" w:hAnsi="SimHei" w:eastAsia="SimHei" w:cs="SimHei"/>
          <w:sz w:val="30"/>
          <w:szCs w:val="30"/>
          <w:spacing w:val="-2"/>
        </w:rPr>
        <w:t>社会效益分析</w:t>
      </w:r>
    </w:p>
    <w:p>
      <w:pPr>
        <w:pStyle w:val="BodyText"/>
        <w:spacing w:line="291" w:lineRule="auto"/>
        <w:rPr/>
      </w:pPr>
      <w:r/>
    </w:p>
    <w:p>
      <w:pPr>
        <w:ind w:left="9" w:right="2" w:firstLine="483"/>
        <w:spacing w:before="78" w:line="359" w:lineRule="auto"/>
        <w:jc w:val="both"/>
        <w:rPr>
          <w:rFonts w:ascii="SimSun" w:hAnsi="SimSun" w:eastAsia="SimSun" w:cs="SimSun"/>
          <w:sz w:val="24"/>
          <w:szCs w:val="24"/>
        </w:rPr>
      </w:pPr>
      <w:r>
        <w:rPr>
          <w:rFonts w:ascii="SimSun" w:hAnsi="SimSun" w:eastAsia="SimSun" w:cs="SimSun"/>
          <w:sz w:val="24"/>
          <w:szCs w:val="24"/>
          <w:spacing w:val="3"/>
        </w:rPr>
        <w:t>项目建成投产后，可大大提高公司的经济效益和综合</w:t>
      </w:r>
      <w:r>
        <w:rPr>
          <w:rFonts w:ascii="SimSun" w:hAnsi="SimSun" w:eastAsia="SimSun" w:cs="SimSun"/>
          <w:sz w:val="24"/>
          <w:szCs w:val="24"/>
          <w:spacing w:val="2"/>
        </w:rPr>
        <w:t>能力，同时，对推动正</w:t>
      </w:r>
      <w:r>
        <w:rPr>
          <w:rFonts w:ascii="SimSun" w:hAnsi="SimSun" w:eastAsia="SimSun" w:cs="SimSun"/>
          <w:sz w:val="24"/>
          <w:szCs w:val="24"/>
        </w:rPr>
        <w:t xml:space="preserve"> </w:t>
      </w:r>
      <w:r>
        <w:rPr>
          <w:rFonts w:ascii="SimSun" w:hAnsi="SimSun" w:eastAsia="SimSun" w:cs="SimSun"/>
          <w:sz w:val="24"/>
          <w:szCs w:val="24"/>
          <w:spacing w:val="3"/>
        </w:rPr>
        <w:t>镶白旗纺织工业及农牧业发展和产业升级，增加当</w:t>
      </w:r>
      <w:r>
        <w:rPr>
          <w:rFonts w:ascii="SimSun" w:hAnsi="SimSun" w:eastAsia="SimSun" w:cs="SimSun"/>
          <w:sz w:val="24"/>
          <w:szCs w:val="24"/>
          <w:spacing w:val="2"/>
        </w:rPr>
        <w:t>地财政收入，解决劳动就业，</w:t>
      </w:r>
      <w:r>
        <w:rPr>
          <w:rFonts w:ascii="SimSun" w:hAnsi="SimSun" w:eastAsia="SimSun" w:cs="SimSun"/>
          <w:sz w:val="24"/>
          <w:szCs w:val="24"/>
        </w:rPr>
        <w:t xml:space="preserve"> </w:t>
      </w:r>
      <w:r>
        <w:rPr>
          <w:rFonts w:ascii="SimSun" w:hAnsi="SimSun" w:eastAsia="SimSun" w:cs="SimSun"/>
          <w:sz w:val="24"/>
          <w:szCs w:val="24"/>
          <w:spacing w:val="-1"/>
        </w:rPr>
        <w:t>保持社会稳定，同样具有重要的意义。</w:t>
      </w:r>
    </w:p>
    <w:p>
      <w:pPr>
        <w:ind w:left="8" w:firstLine="481"/>
        <w:spacing w:before="1" w:line="359" w:lineRule="auto"/>
        <w:jc w:val="both"/>
        <w:rPr>
          <w:rFonts w:ascii="SimSun" w:hAnsi="SimSun" w:eastAsia="SimSun" w:cs="SimSun"/>
          <w:sz w:val="24"/>
          <w:szCs w:val="24"/>
        </w:rPr>
      </w:pPr>
      <w:r>
        <w:rPr>
          <w:rFonts w:ascii="SimSun" w:hAnsi="SimSun" w:eastAsia="SimSun" w:cs="SimSun"/>
          <w:sz w:val="24"/>
          <w:szCs w:val="24"/>
          <w:spacing w:val="3"/>
        </w:rPr>
        <w:t>本工程的建设是适应新时期工业和企业经济结构战略性调整的需</w:t>
      </w:r>
      <w:r>
        <w:rPr>
          <w:rFonts w:ascii="SimSun" w:hAnsi="SimSun" w:eastAsia="SimSun" w:cs="SimSun"/>
          <w:sz w:val="24"/>
          <w:szCs w:val="24"/>
          <w:spacing w:val="2"/>
        </w:rPr>
        <w:t>要，通过生</w:t>
      </w:r>
      <w:r>
        <w:rPr>
          <w:rFonts w:ascii="SimSun" w:hAnsi="SimSun" w:eastAsia="SimSun" w:cs="SimSun"/>
          <w:sz w:val="24"/>
          <w:szCs w:val="24"/>
        </w:rPr>
        <w:t xml:space="preserve"> </w:t>
      </w:r>
      <w:r>
        <w:rPr>
          <w:rFonts w:ascii="SimSun" w:hAnsi="SimSun" w:eastAsia="SimSun" w:cs="SimSun"/>
          <w:sz w:val="24"/>
          <w:szCs w:val="24"/>
          <w:spacing w:val="3"/>
        </w:rPr>
        <w:t>产规模化，技术先进化，以及节能技术的应用，从而促进</w:t>
      </w:r>
      <w:r>
        <w:rPr>
          <w:rFonts w:ascii="SimSun" w:hAnsi="SimSun" w:eastAsia="SimSun" w:cs="SimSun"/>
          <w:sz w:val="24"/>
          <w:szCs w:val="24"/>
          <w:spacing w:val="2"/>
        </w:rPr>
        <w:t>企业技术进步，实现产</w:t>
      </w:r>
      <w:r>
        <w:rPr>
          <w:rFonts w:ascii="SimSun" w:hAnsi="SimSun" w:eastAsia="SimSun" w:cs="SimSun"/>
          <w:sz w:val="24"/>
          <w:szCs w:val="24"/>
        </w:rPr>
        <w:t xml:space="preserve"> </w:t>
      </w:r>
      <w:r>
        <w:rPr>
          <w:rFonts w:ascii="SimSun" w:hAnsi="SimSun" w:eastAsia="SimSun" w:cs="SimSun"/>
          <w:sz w:val="24"/>
          <w:szCs w:val="24"/>
          <w:spacing w:val="3"/>
        </w:rPr>
        <w:t>业升级，将为优化提高当地产业结构、促进地方经济</w:t>
      </w:r>
      <w:r>
        <w:rPr>
          <w:rFonts w:ascii="SimSun" w:hAnsi="SimSun" w:eastAsia="SimSun" w:cs="SimSun"/>
          <w:sz w:val="24"/>
          <w:szCs w:val="24"/>
          <w:spacing w:val="2"/>
        </w:rPr>
        <w:t>发展提供有力保障。项目运</w:t>
      </w:r>
      <w:r>
        <w:rPr>
          <w:rFonts w:ascii="SimSun" w:hAnsi="SimSun" w:eastAsia="SimSun" w:cs="SimSun"/>
          <w:sz w:val="24"/>
          <w:szCs w:val="24"/>
        </w:rPr>
        <w:t xml:space="preserve"> </w:t>
      </w:r>
      <w:r>
        <w:rPr>
          <w:rFonts w:ascii="SimSun" w:hAnsi="SimSun" w:eastAsia="SimSun" w:cs="SimSun"/>
          <w:sz w:val="24"/>
          <w:szCs w:val="24"/>
          <w:spacing w:val="3"/>
        </w:rPr>
        <w:t>营后，可提高国家和地方的财政收入，增强正镶白旗</w:t>
      </w:r>
      <w:r>
        <w:rPr>
          <w:rFonts w:ascii="SimSun" w:hAnsi="SimSun" w:eastAsia="SimSun" w:cs="SimSun"/>
          <w:sz w:val="24"/>
          <w:szCs w:val="24"/>
          <w:spacing w:val="2"/>
        </w:rPr>
        <w:t>的经济实力，有效地促进当</w:t>
      </w:r>
      <w:r>
        <w:rPr>
          <w:rFonts w:ascii="SimSun" w:hAnsi="SimSun" w:eastAsia="SimSun" w:cs="SimSun"/>
          <w:sz w:val="24"/>
          <w:szCs w:val="24"/>
        </w:rPr>
        <w:t xml:space="preserve"> </w:t>
      </w:r>
      <w:r>
        <w:rPr>
          <w:rFonts w:ascii="SimSun" w:hAnsi="SimSun" w:eastAsia="SimSun" w:cs="SimSun"/>
          <w:sz w:val="24"/>
          <w:szCs w:val="24"/>
          <w:spacing w:val="-1"/>
        </w:rPr>
        <w:t>地公益事业的发展。</w:t>
      </w:r>
    </w:p>
    <w:p>
      <w:pPr>
        <w:ind w:left="8" w:firstLine="485"/>
        <w:spacing w:line="359" w:lineRule="auto"/>
        <w:rPr>
          <w:rFonts w:ascii="SimSun" w:hAnsi="SimSun" w:eastAsia="SimSun" w:cs="SimSun"/>
          <w:sz w:val="24"/>
          <w:szCs w:val="24"/>
        </w:rPr>
      </w:pPr>
      <w:r>
        <w:rPr>
          <w:rFonts w:ascii="SimSun" w:hAnsi="SimSun" w:eastAsia="SimSun" w:cs="SimSun"/>
          <w:sz w:val="24"/>
          <w:szCs w:val="24"/>
          <w:spacing w:val="3"/>
        </w:rPr>
        <w:t>项目投产后，可直接增加劳动就业，既可减轻社会负担和</w:t>
      </w:r>
      <w:r>
        <w:rPr>
          <w:rFonts w:ascii="SimSun" w:hAnsi="SimSun" w:eastAsia="SimSun" w:cs="SimSun"/>
          <w:sz w:val="24"/>
          <w:szCs w:val="24"/>
          <w:spacing w:val="2"/>
        </w:rPr>
        <w:t>就业压力，又可促</w:t>
      </w:r>
      <w:r>
        <w:rPr>
          <w:rFonts w:ascii="SimSun" w:hAnsi="SimSun" w:eastAsia="SimSun" w:cs="SimSun"/>
          <w:sz w:val="24"/>
          <w:szCs w:val="24"/>
        </w:rPr>
        <w:t xml:space="preserve"> </w:t>
      </w:r>
      <w:r>
        <w:rPr>
          <w:rFonts w:ascii="SimSun" w:hAnsi="SimSun" w:eastAsia="SimSun" w:cs="SimSun"/>
          <w:sz w:val="24"/>
          <w:szCs w:val="24"/>
          <w:spacing w:val="-1"/>
        </w:rPr>
        <w:t>进人民生活水平的提高，具有良好的社会效益。</w:t>
      </w:r>
    </w:p>
    <w:p>
      <w:pPr>
        <w:ind w:left="9" w:right="2" w:firstLine="483"/>
        <w:spacing w:before="2" w:line="359" w:lineRule="auto"/>
        <w:rPr>
          <w:rFonts w:ascii="SimSun" w:hAnsi="SimSun" w:eastAsia="SimSun" w:cs="SimSun"/>
          <w:sz w:val="24"/>
          <w:szCs w:val="24"/>
        </w:rPr>
      </w:pPr>
      <w:r>
        <w:rPr>
          <w:rFonts w:ascii="SimSun" w:hAnsi="SimSun" w:eastAsia="SimSun" w:cs="SimSun"/>
          <w:sz w:val="24"/>
          <w:szCs w:val="24"/>
          <w:spacing w:val="3"/>
        </w:rPr>
        <w:t>项目建设将进一步带动当地其他行业，如农业、交</w:t>
      </w:r>
      <w:r>
        <w:rPr>
          <w:rFonts w:ascii="SimSun" w:hAnsi="SimSun" w:eastAsia="SimSun" w:cs="SimSun"/>
          <w:sz w:val="24"/>
          <w:szCs w:val="24"/>
          <w:spacing w:val="2"/>
        </w:rPr>
        <w:t>通运输、能源、机加工维</w:t>
      </w:r>
      <w:r>
        <w:rPr>
          <w:rFonts w:ascii="SimSun" w:hAnsi="SimSun" w:eastAsia="SimSun" w:cs="SimSun"/>
          <w:sz w:val="24"/>
          <w:szCs w:val="24"/>
        </w:rPr>
        <w:t xml:space="preserve"> </w:t>
      </w:r>
      <w:r>
        <w:rPr>
          <w:rFonts w:ascii="SimSun" w:hAnsi="SimSun" w:eastAsia="SimSun" w:cs="SimSun"/>
          <w:sz w:val="24"/>
          <w:szCs w:val="24"/>
          <w:spacing w:val="-1"/>
        </w:rPr>
        <w:t>修、餐饮服务等行业的发展，有利于促进当地经济的发展。</w:t>
      </w:r>
    </w:p>
    <w:p>
      <w:pPr>
        <w:ind w:left="18"/>
        <w:spacing w:before="162" w:line="221" w:lineRule="auto"/>
        <w:outlineLvl w:val="1"/>
        <w:rPr>
          <w:rFonts w:ascii="SimHei" w:hAnsi="SimHei" w:eastAsia="SimHei" w:cs="SimHei"/>
          <w:sz w:val="30"/>
          <w:szCs w:val="30"/>
        </w:rPr>
      </w:pPr>
      <w:bookmarkStart w:name="bookmark179" w:id="213"/>
      <w:bookmarkEnd w:id="213"/>
      <w:r>
        <w:rPr>
          <w:rFonts w:ascii="Times New Roman" w:hAnsi="Times New Roman" w:eastAsia="Times New Roman" w:cs="Times New Roman"/>
          <w:sz w:val="30"/>
          <w:szCs w:val="30"/>
          <w:spacing w:val="-2"/>
        </w:rPr>
        <w:t>8.2 </w:t>
      </w:r>
      <w:r>
        <w:rPr>
          <w:rFonts w:ascii="SimHei" w:hAnsi="SimHei" w:eastAsia="SimHei" w:cs="SimHei"/>
          <w:sz w:val="30"/>
          <w:szCs w:val="30"/>
          <w:spacing w:val="-2"/>
        </w:rPr>
        <w:t>经济效益分析</w:t>
      </w:r>
    </w:p>
    <w:p>
      <w:pPr>
        <w:pStyle w:val="BodyText"/>
        <w:spacing w:line="294" w:lineRule="auto"/>
        <w:rPr/>
      </w:pPr>
      <w:r/>
    </w:p>
    <w:p>
      <w:pPr>
        <w:ind w:left="10" w:right="2" w:firstLine="482"/>
        <w:spacing w:before="79" w:line="360" w:lineRule="auto"/>
        <w:jc w:val="both"/>
        <w:rPr>
          <w:rFonts w:ascii="SimSun" w:hAnsi="SimSun" w:eastAsia="SimSun" w:cs="SimSun"/>
          <w:sz w:val="24"/>
          <w:szCs w:val="24"/>
        </w:rPr>
      </w:pPr>
      <w:r>
        <w:rPr>
          <w:rFonts w:ascii="SimSun" w:hAnsi="SimSun" w:eastAsia="SimSun" w:cs="SimSun"/>
          <w:sz w:val="24"/>
          <w:szCs w:val="24"/>
          <w:spacing w:val="-4"/>
        </w:rPr>
        <w:t>项目建设总投资</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4000</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4"/>
        </w:rPr>
        <w:t>万元，达产年利润总额达</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1742.5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万元，达产年</w:t>
      </w:r>
      <w:r>
        <w:rPr>
          <w:rFonts w:ascii="SimSun" w:hAnsi="SimSun" w:eastAsia="SimSun" w:cs="SimSun"/>
          <w:sz w:val="24"/>
          <w:szCs w:val="24"/>
          <w:spacing w:val="-5"/>
        </w:rPr>
        <w:t>所得税后</w:t>
      </w:r>
      <w:r>
        <w:rPr>
          <w:rFonts w:ascii="SimSun" w:hAnsi="SimSun" w:eastAsia="SimSun" w:cs="SimSun"/>
          <w:sz w:val="24"/>
          <w:szCs w:val="24"/>
        </w:rPr>
        <w:t xml:space="preserve"> </w:t>
      </w:r>
      <w:r>
        <w:rPr>
          <w:rFonts w:ascii="SimSun" w:hAnsi="SimSun" w:eastAsia="SimSun" w:cs="SimSun"/>
          <w:sz w:val="24"/>
          <w:szCs w:val="24"/>
          <w:spacing w:val="-1"/>
        </w:rPr>
        <w:t>利润达</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1306.88</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1"/>
        </w:rPr>
        <w:t>万元，所得税后的财务内部收益率为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29.</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
        </w:rPr>
        <w:t>12%</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
        </w:rPr>
        <w:t>，高于设定</w:t>
      </w:r>
      <w:r>
        <w:rPr>
          <w:rFonts w:ascii="SimSun" w:hAnsi="SimSun" w:eastAsia="SimSun" w:cs="SimSun"/>
          <w:sz w:val="24"/>
          <w:szCs w:val="24"/>
          <w:spacing w:val="-2"/>
        </w:rPr>
        <w:t>的基准收</w:t>
      </w:r>
      <w:r>
        <w:rPr>
          <w:rFonts w:ascii="SimSun" w:hAnsi="SimSun" w:eastAsia="SimSun" w:cs="SimSun"/>
          <w:sz w:val="24"/>
          <w:szCs w:val="24"/>
        </w:rPr>
        <w:t xml:space="preserve"> </w:t>
      </w:r>
      <w:r>
        <w:rPr>
          <w:rFonts w:ascii="SimSun" w:hAnsi="SimSun" w:eastAsia="SimSun" w:cs="SimSun"/>
          <w:sz w:val="24"/>
          <w:szCs w:val="24"/>
          <w:spacing w:val="-1"/>
        </w:rPr>
        <w:t>益率</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12%</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，投产后</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5.01 </w:t>
      </w:r>
      <w:r>
        <w:rPr>
          <w:rFonts w:ascii="SimSun" w:hAnsi="SimSun" w:eastAsia="SimSun" w:cs="SimSun"/>
          <w:sz w:val="24"/>
          <w:szCs w:val="24"/>
          <w:spacing w:val="-1"/>
        </w:rPr>
        <w:t>年（税后，</w:t>
      </w:r>
      <w:r>
        <w:rPr>
          <w:rFonts w:ascii="SimSun" w:hAnsi="SimSun" w:eastAsia="SimSun" w:cs="SimSun"/>
          <w:sz w:val="24"/>
          <w:szCs w:val="24"/>
          <w:spacing w:val="-2"/>
        </w:rPr>
        <w:t>含建设期）收回全部投资，说明本项目实施后</w:t>
      </w:r>
      <w:r>
        <w:rPr>
          <w:rFonts w:ascii="SimSun" w:hAnsi="SimSun" w:eastAsia="SimSun" w:cs="SimSun"/>
          <w:sz w:val="24"/>
          <w:szCs w:val="24"/>
        </w:rPr>
        <w:t xml:space="preserve"> </w:t>
      </w:r>
      <w:r>
        <w:rPr>
          <w:rFonts w:ascii="SimSun" w:hAnsi="SimSun" w:eastAsia="SimSun" w:cs="SimSun"/>
          <w:sz w:val="24"/>
          <w:szCs w:val="24"/>
          <w:spacing w:val="-1"/>
        </w:rPr>
        <w:t>的盈利能力较强，项目经济效益显著。</w:t>
      </w:r>
    </w:p>
    <w:p>
      <w:pPr>
        <w:spacing w:line="360" w:lineRule="auto"/>
        <w:sectPr>
          <w:headerReference w:type="default" r:id="rId120"/>
          <w:footerReference w:type="default" r:id="rId383"/>
          <w:pgSz w:w="11907" w:h="16840"/>
          <w:pgMar w:top="1567" w:right="1700" w:bottom="1921" w:left="1701" w:header="1221" w:footer="1247" w:gutter="0"/>
        </w:sectPr>
        <w:rPr>
          <w:rFonts w:ascii="SimSun" w:hAnsi="SimSun" w:eastAsia="SimSun" w:cs="SimSun"/>
          <w:sz w:val="24"/>
          <w:szCs w:val="24"/>
        </w:rPr>
      </w:pPr>
    </w:p>
    <w:p>
      <w:pPr>
        <w:ind w:left="18"/>
        <w:spacing w:before="196" w:line="221" w:lineRule="auto"/>
        <w:outlineLvl w:val="1"/>
        <w:rPr>
          <w:rFonts w:ascii="SimHei" w:hAnsi="SimHei" w:eastAsia="SimHei" w:cs="SimHei"/>
          <w:sz w:val="30"/>
          <w:szCs w:val="30"/>
        </w:rPr>
      </w:pPr>
      <w:r>
        <w:pict>
          <v:shape id="_x0000_s1304" style="position:absolute;margin-left:85.05pt;margin-top:79.11pt;mso-position-vertical-relative:page;mso-position-horizontal-relative:page;width:425.25pt;height:0.75pt;z-index:252381184;" o:allowincell="f" fillcolor="#000000" filled="true" stroked="false" coordsize="8505,15" coordorigin="0,0" path="m,l8505,0l8505,14l0,14l0,0xe"/>
        </w:pict>
      </w:r>
      <w:bookmarkStart w:name="bookmark180" w:id="214"/>
      <w:bookmarkEnd w:id="214"/>
      <w:r>
        <w:rPr>
          <w:rFonts w:ascii="Times New Roman" w:hAnsi="Times New Roman" w:eastAsia="Times New Roman" w:cs="Times New Roman"/>
          <w:sz w:val="30"/>
          <w:szCs w:val="30"/>
          <w:spacing w:val="-2"/>
        </w:rPr>
        <w:t>8.3 </w:t>
      </w:r>
      <w:r>
        <w:rPr>
          <w:rFonts w:ascii="SimHei" w:hAnsi="SimHei" w:eastAsia="SimHei" w:cs="SimHei"/>
          <w:sz w:val="30"/>
          <w:szCs w:val="30"/>
          <w:spacing w:val="-2"/>
        </w:rPr>
        <w:t>环境效益分析</w:t>
      </w:r>
    </w:p>
    <w:p>
      <w:pPr>
        <w:pStyle w:val="BodyText"/>
        <w:spacing w:line="285" w:lineRule="auto"/>
        <w:rPr/>
      </w:pPr>
      <w:r/>
    </w:p>
    <w:p>
      <w:pPr>
        <w:ind w:left="17"/>
        <w:spacing w:before="91" w:line="222" w:lineRule="auto"/>
        <w:outlineLvl w:val="2"/>
        <w:rPr>
          <w:rFonts w:ascii="SimHei" w:hAnsi="SimHei" w:eastAsia="SimHei" w:cs="SimHei"/>
          <w:sz w:val="28"/>
          <w:szCs w:val="28"/>
        </w:rPr>
      </w:pPr>
      <w:bookmarkStart w:name="bookmark181" w:id="215"/>
      <w:bookmarkEnd w:id="215"/>
      <w:r>
        <w:rPr>
          <w:rFonts w:ascii="Times New Roman" w:hAnsi="Times New Roman" w:eastAsia="Times New Roman" w:cs="Times New Roman"/>
          <w:sz w:val="28"/>
          <w:szCs w:val="28"/>
          <w:spacing w:val="-2"/>
        </w:rPr>
        <w:t>8.3.1 </w:t>
      </w:r>
      <w:r>
        <w:rPr>
          <w:rFonts w:ascii="SimHei" w:hAnsi="SimHei" w:eastAsia="SimHei" w:cs="SimHei"/>
          <w:sz w:val="28"/>
          <w:szCs w:val="28"/>
          <w:spacing w:val="-2"/>
        </w:rPr>
        <w:t>环保投资估算</w:t>
      </w:r>
    </w:p>
    <w:p>
      <w:pPr>
        <w:pStyle w:val="BodyText"/>
        <w:spacing w:line="277" w:lineRule="auto"/>
        <w:rPr/>
      </w:pPr>
      <w:r/>
    </w:p>
    <w:p>
      <w:pPr>
        <w:ind w:left="10" w:right="80" w:firstLine="485"/>
        <w:spacing w:before="78" w:line="359" w:lineRule="auto"/>
        <w:rPr>
          <w:rFonts w:ascii="SimSun" w:hAnsi="SimSun" w:eastAsia="SimSun" w:cs="SimSun"/>
          <w:sz w:val="24"/>
          <w:szCs w:val="24"/>
        </w:rPr>
      </w:pPr>
      <w:r>
        <w:rPr>
          <w:rFonts w:ascii="SimSun" w:hAnsi="SimSun" w:eastAsia="SimSun" w:cs="SimSun"/>
          <w:sz w:val="24"/>
          <w:szCs w:val="24"/>
          <w:spacing w:val="-1"/>
        </w:rPr>
        <w:t>《建设项目环境保护设计规定》第六十三条指出：</w:t>
      </w:r>
      <w:r>
        <w:rPr>
          <w:rFonts w:ascii="Times New Roman" w:hAnsi="Times New Roman" w:eastAsia="Times New Roman" w:cs="Times New Roman"/>
          <w:sz w:val="24"/>
          <w:szCs w:val="24"/>
          <w:spacing w:val="-1"/>
        </w:rPr>
        <w:t>“</w:t>
      </w:r>
      <w:r>
        <w:rPr>
          <w:rFonts w:ascii="SimSun" w:hAnsi="SimSun" w:eastAsia="SimSun" w:cs="SimSun"/>
          <w:sz w:val="24"/>
          <w:szCs w:val="24"/>
          <w:spacing w:val="-1"/>
        </w:rPr>
        <w:t>凡属于污染治理和保护环</w:t>
      </w:r>
      <w:r>
        <w:rPr>
          <w:rFonts w:ascii="SimSun" w:hAnsi="SimSun" w:eastAsia="SimSun" w:cs="SimSun"/>
          <w:sz w:val="24"/>
          <w:szCs w:val="24"/>
          <w:spacing w:val="14"/>
        </w:rPr>
        <w:t xml:space="preserve"> </w:t>
      </w:r>
      <w:r>
        <w:rPr>
          <w:rFonts w:ascii="SimSun" w:hAnsi="SimSun" w:eastAsia="SimSun" w:cs="SimSun"/>
          <w:sz w:val="24"/>
          <w:szCs w:val="24"/>
          <w:spacing w:val="-3"/>
        </w:rPr>
        <w:t>境所需的装置、设备、监测手段和工程设施等均属于环境保</w:t>
      </w:r>
      <w:r>
        <w:rPr>
          <w:rFonts w:ascii="SimSun" w:hAnsi="SimSun" w:eastAsia="SimSun" w:cs="SimSun"/>
          <w:sz w:val="24"/>
          <w:szCs w:val="24"/>
          <w:spacing w:val="-4"/>
        </w:rPr>
        <w:t>护设施</w:t>
      </w:r>
      <w:r>
        <w:rPr>
          <w:rFonts w:ascii="Times New Roman" w:hAnsi="Times New Roman" w:eastAsia="Times New Roman" w:cs="Times New Roman"/>
          <w:sz w:val="24"/>
          <w:szCs w:val="24"/>
          <w:spacing w:val="-4"/>
        </w:rPr>
        <w:t>”“</w:t>
      </w:r>
      <w:r>
        <w:rPr>
          <w:rFonts w:ascii="SimSun" w:hAnsi="SimSun" w:eastAsia="SimSun" w:cs="SimSun"/>
          <w:sz w:val="24"/>
          <w:szCs w:val="24"/>
          <w:spacing w:val="-4"/>
        </w:rPr>
        <w:t>凡有环境保护</w:t>
      </w:r>
      <w:r>
        <w:rPr>
          <w:rFonts w:ascii="SimSun" w:hAnsi="SimSun" w:eastAsia="SimSun" w:cs="SimSun"/>
          <w:sz w:val="24"/>
          <w:szCs w:val="24"/>
        </w:rPr>
        <w:t xml:space="preserve"> </w:t>
      </w:r>
      <w:r>
        <w:rPr>
          <w:rFonts w:ascii="SimSun" w:hAnsi="SimSun" w:eastAsia="SimSun" w:cs="SimSun"/>
          <w:sz w:val="24"/>
          <w:szCs w:val="24"/>
          <w:spacing w:val="-1"/>
        </w:rPr>
        <w:t>设施的建设项目均应列出环境保护设施的投资概算</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1"/>
        </w:rPr>
        <w:t>。据</w:t>
      </w:r>
      <w:r>
        <w:rPr>
          <w:rFonts w:ascii="SimSun" w:hAnsi="SimSun" w:eastAsia="SimSun" w:cs="SimSun"/>
          <w:sz w:val="24"/>
          <w:szCs w:val="24"/>
          <w:spacing w:val="-2"/>
        </w:rPr>
        <w:t>此规定，本拟建工程环境</w:t>
      </w:r>
      <w:r>
        <w:rPr>
          <w:rFonts w:ascii="SimSun" w:hAnsi="SimSun" w:eastAsia="SimSun" w:cs="SimSun"/>
          <w:sz w:val="24"/>
          <w:szCs w:val="24"/>
        </w:rPr>
        <w:t xml:space="preserve"> </w:t>
      </w:r>
      <w:r>
        <w:rPr>
          <w:rFonts w:ascii="SimSun" w:hAnsi="SimSun" w:eastAsia="SimSun" w:cs="SimSun"/>
          <w:sz w:val="24"/>
          <w:szCs w:val="24"/>
          <w:spacing w:val="3"/>
        </w:rPr>
        <w:t>保护设施主要有：废气污染治理设施、噪声污染</w:t>
      </w:r>
      <w:r>
        <w:rPr>
          <w:rFonts w:ascii="SimSun" w:hAnsi="SimSun" w:eastAsia="SimSun" w:cs="SimSun"/>
          <w:sz w:val="24"/>
          <w:szCs w:val="24"/>
          <w:spacing w:val="2"/>
        </w:rPr>
        <w:t>治理设施、废水污染防治措施、</w:t>
      </w:r>
      <w:r>
        <w:rPr>
          <w:rFonts w:ascii="SimSun" w:hAnsi="SimSun" w:eastAsia="SimSun" w:cs="SimSun"/>
          <w:sz w:val="24"/>
          <w:szCs w:val="24"/>
        </w:rPr>
        <w:t xml:space="preserve"> </w:t>
      </w:r>
      <w:r>
        <w:rPr>
          <w:rFonts w:ascii="SimSun" w:hAnsi="SimSun" w:eastAsia="SimSun" w:cs="SimSun"/>
          <w:sz w:val="24"/>
          <w:szCs w:val="24"/>
          <w:spacing w:val="-1"/>
        </w:rPr>
        <w:t>固体废物处置设施及绿化等，其环境保护投资估算见表</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7.9-1</w:t>
      </w:r>
      <w:r>
        <w:rPr>
          <w:rFonts w:ascii="SimSun" w:hAnsi="SimSun" w:eastAsia="SimSun" w:cs="SimSun"/>
          <w:sz w:val="24"/>
          <w:szCs w:val="24"/>
          <w:spacing w:val="-1"/>
        </w:rPr>
        <w:t>。</w:t>
      </w:r>
    </w:p>
    <w:p>
      <w:pPr>
        <w:ind w:left="12" w:right="80" w:firstLine="479"/>
        <w:spacing w:before="2" w:line="362" w:lineRule="auto"/>
        <w:rPr>
          <w:rFonts w:ascii="SimSun" w:hAnsi="SimSun" w:eastAsia="SimSun" w:cs="SimSun"/>
          <w:sz w:val="24"/>
          <w:szCs w:val="24"/>
        </w:rPr>
      </w:pPr>
      <w:r>
        <w:rPr>
          <w:rFonts w:ascii="SimSun" w:hAnsi="SimSun" w:eastAsia="SimSun" w:cs="SimSun"/>
          <w:sz w:val="24"/>
          <w:szCs w:val="24"/>
          <w:spacing w:val="-2"/>
        </w:rPr>
        <w:t>经估算，本次建设总投资为</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2"/>
        </w:rPr>
        <w:t>4000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万元，环保投资为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306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万元，占总投资比例</w:t>
      </w:r>
      <w:r>
        <w:rPr>
          <w:rFonts w:ascii="SimSun" w:hAnsi="SimSun" w:eastAsia="SimSun" w:cs="SimSun"/>
          <w:sz w:val="24"/>
          <w:szCs w:val="24"/>
        </w:rPr>
        <w:t xml:space="preserve"> </w:t>
      </w:r>
      <w:r>
        <w:rPr>
          <w:rFonts w:ascii="SimSun" w:hAnsi="SimSun" w:eastAsia="SimSun" w:cs="SimSun"/>
          <w:sz w:val="24"/>
          <w:szCs w:val="24"/>
          <w:spacing w:val="-4"/>
        </w:rPr>
        <w:t>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7.65%</w:t>
      </w:r>
      <w:r>
        <w:rPr>
          <w:rFonts w:ascii="SimSun" w:hAnsi="SimSun" w:eastAsia="SimSun" w:cs="SimSun"/>
          <w:sz w:val="24"/>
          <w:szCs w:val="24"/>
          <w:spacing w:val="-4"/>
        </w:rPr>
        <w:t>。</w:t>
      </w:r>
    </w:p>
    <w:p>
      <w:pPr>
        <w:ind w:left="17"/>
        <w:spacing w:before="151" w:line="222" w:lineRule="auto"/>
        <w:outlineLvl w:val="2"/>
        <w:rPr>
          <w:rFonts w:ascii="SimHei" w:hAnsi="SimHei" w:eastAsia="SimHei" w:cs="SimHei"/>
          <w:sz w:val="28"/>
          <w:szCs w:val="28"/>
        </w:rPr>
      </w:pPr>
      <w:bookmarkStart w:name="bookmark182" w:id="216"/>
      <w:bookmarkEnd w:id="216"/>
      <w:r>
        <w:rPr>
          <w:rFonts w:ascii="Times New Roman" w:hAnsi="Times New Roman" w:eastAsia="Times New Roman" w:cs="Times New Roman"/>
          <w:sz w:val="28"/>
          <w:szCs w:val="28"/>
          <w:spacing w:val="-2"/>
        </w:rPr>
        <w:t>8.3.2 </w:t>
      </w:r>
      <w:r>
        <w:rPr>
          <w:rFonts w:ascii="SimHei" w:hAnsi="SimHei" w:eastAsia="SimHei" w:cs="SimHei"/>
          <w:sz w:val="28"/>
          <w:szCs w:val="28"/>
          <w:spacing w:val="-2"/>
        </w:rPr>
        <w:t>环境效益分析</w:t>
      </w:r>
    </w:p>
    <w:p>
      <w:pPr>
        <w:pStyle w:val="BodyText"/>
        <w:spacing w:line="278" w:lineRule="auto"/>
        <w:rPr/>
      </w:pPr>
      <w:r/>
    </w:p>
    <w:p>
      <w:pPr>
        <w:ind w:left="10" w:firstLine="480"/>
        <w:spacing w:before="78" w:line="360" w:lineRule="auto"/>
        <w:rPr>
          <w:rFonts w:ascii="SimSun" w:hAnsi="SimSun" w:eastAsia="SimSun" w:cs="SimSun"/>
          <w:sz w:val="24"/>
          <w:szCs w:val="24"/>
        </w:rPr>
      </w:pPr>
      <w:r>
        <w:rPr>
          <w:rFonts w:ascii="SimSun" w:hAnsi="SimSun" w:eastAsia="SimSun" w:cs="SimSun"/>
          <w:sz w:val="24"/>
          <w:szCs w:val="24"/>
          <w:spacing w:val="4"/>
        </w:rPr>
        <w:t>本项目在设计中充分考虑了环境保护的要求，严格执行各项环</w:t>
      </w:r>
      <w:r>
        <w:rPr>
          <w:rFonts w:ascii="SimSun" w:hAnsi="SimSun" w:eastAsia="SimSun" w:cs="SimSun"/>
          <w:sz w:val="24"/>
          <w:szCs w:val="24"/>
          <w:spacing w:val="3"/>
        </w:rPr>
        <w:t>境保护标准。</w:t>
      </w:r>
      <w:r>
        <w:rPr>
          <w:rFonts w:ascii="SimSun" w:hAnsi="SimSun" w:eastAsia="SimSun" w:cs="SimSun"/>
          <w:sz w:val="24"/>
          <w:szCs w:val="24"/>
        </w:rPr>
        <w:t xml:space="preserve"> </w:t>
      </w:r>
      <w:r>
        <w:rPr>
          <w:rFonts w:ascii="SimSun" w:hAnsi="SimSun" w:eastAsia="SimSun" w:cs="SimSun"/>
          <w:sz w:val="24"/>
          <w:szCs w:val="24"/>
          <w:spacing w:val="3"/>
        </w:rPr>
        <w:t>项目的实施将产生一定数量的废气、废水、固体废弃物</w:t>
      </w:r>
      <w:r>
        <w:rPr>
          <w:rFonts w:ascii="SimSun" w:hAnsi="SimSun" w:eastAsia="SimSun" w:cs="SimSun"/>
          <w:sz w:val="24"/>
          <w:szCs w:val="24"/>
          <w:spacing w:val="2"/>
        </w:rPr>
        <w:t>及噪声影响，对评价区内</w:t>
      </w:r>
      <w:r>
        <w:rPr>
          <w:rFonts w:ascii="SimSun" w:hAnsi="SimSun" w:eastAsia="SimSun" w:cs="SimSun"/>
          <w:sz w:val="24"/>
          <w:szCs w:val="24"/>
        </w:rPr>
        <w:t xml:space="preserve"> </w:t>
      </w:r>
      <w:r>
        <w:rPr>
          <w:rFonts w:ascii="SimSun" w:hAnsi="SimSun" w:eastAsia="SimSun" w:cs="SimSun"/>
          <w:sz w:val="24"/>
          <w:szCs w:val="24"/>
          <w:spacing w:val="3"/>
        </w:rPr>
        <w:t>空气环境、声环境和生态环境产生不同程度的影响，通</w:t>
      </w:r>
      <w:r>
        <w:rPr>
          <w:rFonts w:ascii="SimSun" w:hAnsi="SimSun" w:eastAsia="SimSun" w:cs="SimSun"/>
          <w:sz w:val="24"/>
          <w:szCs w:val="24"/>
          <w:spacing w:val="2"/>
        </w:rPr>
        <w:t>过采取本评价中提出的环</w:t>
      </w:r>
      <w:r>
        <w:rPr>
          <w:rFonts w:ascii="SimSun" w:hAnsi="SimSun" w:eastAsia="SimSun" w:cs="SimSun"/>
          <w:sz w:val="24"/>
          <w:szCs w:val="24"/>
        </w:rPr>
        <w:t xml:space="preserve"> </w:t>
      </w:r>
      <w:r>
        <w:rPr>
          <w:rFonts w:ascii="SimSun" w:hAnsi="SimSun" w:eastAsia="SimSun" w:cs="SimSun"/>
          <w:sz w:val="24"/>
          <w:szCs w:val="24"/>
          <w:spacing w:val="3"/>
        </w:rPr>
        <w:t>保措施后，该项目环境污染和生态破坏会得到有效控制</w:t>
      </w:r>
      <w:r>
        <w:rPr>
          <w:rFonts w:ascii="SimSun" w:hAnsi="SimSun" w:eastAsia="SimSun" w:cs="SimSun"/>
          <w:sz w:val="24"/>
          <w:szCs w:val="24"/>
          <w:spacing w:val="2"/>
        </w:rPr>
        <w:t>，外排的污染物量大大减</w:t>
      </w:r>
      <w:r>
        <w:rPr>
          <w:rFonts w:ascii="SimSun" w:hAnsi="SimSun" w:eastAsia="SimSun" w:cs="SimSun"/>
          <w:sz w:val="24"/>
          <w:szCs w:val="24"/>
        </w:rPr>
        <w:t xml:space="preserve"> </w:t>
      </w:r>
      <w:r>
        <w:rPr>
          <w:rFonts w:ascii="SimSun" w:hAnsi="SimSun" w:eastAsia="SimSun" w:cs="SimSun"/>
          <w:sz w:val="24"/>
          <w:szCs w:val="24"/>
          <w:spacing w:val="-2"/>
        </w:rPr>
        <w:t>少，既保护环境又为工厂带来了一定的经济效益，其环保对策措施环境效益明显。</w:t>
      </w:r>
    </w:p>
    <w:p>
      <w:pPr>
        <w:ind w:left="18"/>
        <w:spacing w:before="160" w:line="221" w:lineRule="auto"/>
        <w:outlineLvl w:val="1"/>
        <w:rPr>
          <w:rFonts w:ascii="SimHei" w:hAnsi="SimHei" w:eastAsia="SimHei" w:cs="SimHei"/>
          <w:sz w:val="30"/>
          <w:szCs w:val="30"/>
        </w:rPr>
      </w:pPr>
      <w:bookmarkStart w:name="bookmark183" w:id="217"/>
      <w:bookmarkEnd w:id="217"/>
      <w:r>
        <w:rPr>
          <w:rFonts w:ascii="Times New Roman" w:hAnsi="Times New Roman" w:eastAsia="Times New Roman" w:cs="Times New Roman"/>
          <w:sz w:val="30"/>
          <w:szCs w:val="30"/>
          <w:spacing w:val="-2"/>
        </w:rPr>
        <w:t>8.4 </w:t>
      </w:r>
      <w:r>
        <w:rPr>
          <w:rFonts w:ascii="SimHei" w:hAnsi="SimHei" w:eastAsia="SimHei" w:cs="SimHei"/>
          <w:sz w:val="30"/>
          <w:szCs w:val="30"/>
          <w:spacing w:val="-2"/>
        </w:rPr>
        <w:t>环境经济效益综合评述</w:t>
      </w:r>
    </w:p>
    <w:p>
      <w:pPr>
        <w:pStyle w:val="BodyText"/>
        <w:spacing w:line="291" w:lineRule="auto"/>
        <w:rPr/>
      </w:pPr>
      <w:r/>
    </w:p>
    <w:p>
      <w:pPr>
        <w:ind w:left="20" w:right="80" w:firstLine="481"/>
        <w:spacing w:before="78" w:line="28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）本项目建成后，不仅增加了地方的财政收入，而且还能为企</w:t>
      </w:r>
      <w:r>
        <w:rPr>
          <w:rFonts w:ascii="SimSun" w:hAnsi="SimSun" w:eastAsia="SimSun" w:cs="SimSun"/>
          <w:sz w:val="24"/>
          <w:szCs w:val="24"/>
          <w:spacing w:val="-2"/>
        </w:rPr>
        <w:t>业积累大量</w:t>
      </w:r>
      <w:r>
        <w:rPr>
          <w:rFonts w:ascii="SimSun" w:hAnsi="SimSun" w:eastAsia="SimSun" w:cs="SimSun"/>
          <w:sz w:val="24"/>
          <w:szCs w:val="24"/>
        </w:rPr>
        <w:t xml:space="preserve"> </w:t>
      </w:r>
      <w:r>
        <w:rPr>
          <w:rFonts w:ascii="SimSun" w:hAnsi="SimSun" w:eastAsia="SimSun" w:cs="SimSun"/>
          <w:sz w:val="24"/>
          <w:szCs w:val="24"/>
          <w:spacing w:val="-2"/>
        </w:rPr>
        <w:t>资金，经济效益较好。</w:t>
      </w:r>
    </w:p>
    <w:p>
      <w:pPr>
        <w:ind w:left="10" w:right="18" w:firstLine="490"/>
        <w:spacing w:before="185" w:line="312" w:lineRule="auto"/>
        <w:rPr>
          <w:rFonts w:ascii="SimSun" w:hAnsi="SimSun" w:eastAsia="SimSun" w:cs="SimSun"/>
          <w:sz w:val="24"/>
          <w:szCs w:val="24"/>
        </w:rPr>
      </w:pPr>
      <w:r>
        <w:rPr>
          <w:rFonts w:ascii="SimSun" w:hAnsi="SimSun" w:eastAsia="SimSun" w:cs="SimSun"/>
          <w:sz w:val="24"/>
          <w:szCs w:val="24"/>
          <w:spacing w:val="-6"/>
        </w:rPr>
        <w:t>（</w:t>
      </w:r>
      <w:r>
        <w:rPr>
          <w:rFonts w:ascii="Times New Roman" w:hAnsi="Times New Roman" w:eastAsia="Times New Roman" w:cs="Times New Roman"/>
          <w:sz w:val="24"/>
          <w:szCs w:val="24"/>
          <w:spacing w:val="-6"/>
        </w:rPr>
        <w:t>2</w:t>
      </w:r>
      <w:r>
        <w:rPr>
          <w:rFonts w:ascii="SimSun" w:hAnsi="SimSun" w:eastAsia="SimSun" w:cs="SimSun"/>
          <w:sz w:val="24"/>
          <w:szCs w:val="24"/>
          <w:spacing w:val="-6"/>
        </w:rPr>
        <w:t>）拟建工程完成后，增强了企业的生存竞争能力，促进了</w:t>
      </w:r>
      <w:r>
        <w:rPr>
          <w:rFonts w:ascii="SimSun" w:hAnsi="SimSun" w:eastAsia="SimSun" w:cs="SimSun"/>
          <w:sz w:val="24"/>
          <w:szCs w:val="24"/>
          <w:spacing w:val="-7"/>
        </w:rPr>
        <w:t>当地的经济发展，</w:t>
      </w:r>
      <w:r>
        <w:rPr>
          <w:rFonts w:ascii="SimSun" w:hAnsi="SimSun" w:eastAsia="SimSun" w:cs="SimSun"/>
          <w:sz w:val="24"/>
          <w:szCs w:val="24"/>
        </w:rPr>
        <w:t xml:space="preserve"> </w:t>
      </w:r>
      <w:r>
        <w:rPr>
          <w:rFonts w:ascii="SimSun" w:hAnsi="SimSun" w:eastAsia="SimSun" w:cs="SimSun"/>
          <w:sz w:val="24"/>
          <w:szCs w:val="24"/>
          <w:spacing w:val="3"/>
        </w:rPr>
        <w:t>增加了当地农牧民的经济收入，提高了公众的生活质量</w:t>
      </w:r>
      <w:r>
        <w:rPr>
          <w:rFonts w:ascii="SimSun" w:hAnsi="SimSun" w:eastAsia="SimSun" w:cs="SimSun"/>
          <w:sz w:val="24"/>
          <w:szCs w:val="24"/>
          <w:spacing w:val="2"/>
        </w:rPr>
        <w:t>，维持了社会稳定，社会</w:t>
      </w:r>
      <w:r>
        <w:rPr>
          <w:rFonts w:ascii="SimSun" w:hAnsi="SimSun" w:eastAsia="SimSun" w:cs="SimSun"/>
          <w:sz w:val="24"/>
          <w:szCs w:val="24"/>
        </w:rPr>
        <w:t xml:space="preserve"> </w:t>
      </w:r>
      <w:r>
        <w:rPr>
          <w:rFonts w:ascii="SimSun" w:hAnsi="SimSun" w:eastAsia="SimSun" w:cs="SimSun"/>
          <w:sz w:val="24"/>
          <w:szCs w:val="24"/>
          <w:spacing w:val="-3"/>
        </w:rPr>
        <w:t>效益较好。</w:t>
      </w:r>
    </w:p>
    <w:p>
      <w:pPr>
        <w:ind w:left="10" w:right="80" w:firstLine="490"/>
        <w:spacing w:before="183" w:line="28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）本项目在严格落实可研和环评提出的各项污染防治措施后，</w:t>
      </w:r>
      <w:r>
        <w:rPr>
          <w:rFonts w:ascii="SimSun" w:hAnsi="SimSun" w:eastAsia="SimSun" w:cs="SimSun"/>
          <w:sz w:val="24"/>
          <w:szCs w:val="24"/>
          <w:spacing w:val="-2"/>
        </w:rPr>
        <w:t>能够保证达</w:t>
      </w:r>
      <w:r>
        <w:rPr>
          <w:rFonts w:ascii="SimSun" w:hAnsi="SimSun" w:eastAsia="SimSun" w:cs="SimSun"/>
          <w:sz w:val="24"/>
          <w:szCs w:val="24"/>
        </w:rPr>
        <w:t xml:space="preserve"> </w:t>
      </w:r>
      <w:r>
        <w:rPr>
          <w:rFonts w:ascii="SimSun" w:hAnsi="SimSun" w:eastAsia="SimSun" w:cs="SimSun"/>
          <w:sz w:val="24"/>
          <w:szCs w:val="24"/>
          <w:spacing w:val="-1"/>
        </w:rPr>
        <w:t>标排放，有利于整个评价区内环境质量的改善，具有环境效益。</w:t>
      </w:r>
    </w:p>
    <w:p>
      <w:pPr>
        <w:ind w:left="10" w:right="136" w:firstLine="479"/>
        <w:spacing w:before="184" w:line="360" w:lineRule="auto"/>
        <w:rPr>
          <w:rFonts w:ascii="SimSun" w:hAnsi="SimSun" w:eastAsia="SimSun" w:cs="SimSun"/>
          <w:sz w:val="24"/>
          <w:szCs w:val="24"/>
        </w:rPr>
      </w:pPr>
      <w:r>
        <w:rPr>
          <w:rFonts w:ascii="SimSun" w:hAnsi="SimSun" w:eastAsia="SimSun" w:cs="SimSun"/>
          <w:sz w:val="24"/>
          <w:szCs w:val="24"/>
          <w:spacing w:val="1"/>
        </w:rPr>
        <w:t>通过对本项目在经济效益、环境效益和社会效益三方面的分析，可以看出，</w:t>
      </w:r>
      <w:r>
        <w:rPr>
          <w:rFonts w:ascii="SimSun" w:hAnsi="SimSun" w:eastAsia="SimSun" w:cs="SimSun"/>
          <w:sz w:val="24"/>
          <w:szCs w:val="24"/>
          <w:spacing w:val="3"/>
        </w:rPr>
        <w:t xml:space="preserve"> </w:t>
      </w:r>
      <w:r>
        <w:rPr>
          <w:rFonts w:ascii="SimSun" w:hAnsi="SimSun" w:eastAsia="SimSun" w:cs="SimSun"/>
          <w:sz w:val="24"/>
          <w:szCs w:val="24"/>
          <w:spacing w:val="-1"/>
        </w:rPr>
        <w:t>本项目的建设能够达到</w:t>
      </w:r>
      <w:r>
        <w:rPr>
          <w:rFonts w:ascii="Times New Roman" w:hAnsi="Times New Roman" w:eastAsia="Times New Roman" w:cs="Times New Roman"/>
          <w:sz w:val="24"/>
          <w:szCs w:val="24"/>
          <w:spacing w:val="-1"/>
        </w:rPr>
        <w:t>“</w:t>
      </w:r>
      <w:r>
        <w:rPr>
          <w:rFonts w:ascii="SimSun" w:hAnsi="SimSun" w:eastAsia="SimSun" w:cs="SimSun"/>
          <w:sz w:val="24"/>
          <w:szCs w:val="24"/>
          <w:spacing w:val="-1"/>
        </w:rPr>
        <w:t>三效益</w:t>
      </w:r>
      <w:r>
        <w:rPr>
          <w:rFonts w:ascii="Times New Roman" w:hAnsi="Times New Roman" w:eastAsia="Times New Roman" w:cs="Times New Roman"/>
          <w:sz w:val="24"/>
          <w:szCs w:val="24"/>
          <w:spacing w:val="-1"/>
        </w:rPr>
        <w:t>”</w:t>
      </w:r>
      <w:r>
        <w:rPr>
          <w:rFonts w:ascii="SimSun" w:hAnsi="SimSun" w:eastAsia="SimSun" w:cs="SimSun"/>
          <w:sz w:val="24"/>
          <w:szCs w:val="24"/>
          <w:spacing w:val="-1"/>
        </w:rPr>
        <w:t>的和谐统一发展，项目是可行的。</w:t>
      </w:r>
    </w:p>
    <w:p>
      <w:pPr>
        <w:pStyle w:val="BodyText"/>
        <w:spacing w:line="269" w:lineRule="auto"/>
        <w:rPr/>
      </w:pPr>
      <w:r/>
    </w:p>
    <w:p>
      <w:pPr>
        <w:pStyle w:val="BodyText"/>
        <w:spacing w:line="270" w:lineRule="auto"/>
        <w:rPr/>
      </w:pPr>
      <w:r/>
    </w:p>
    <w:p>
      <w:pPr>
        <w:ind w:left="7"/>
        <w:spacing w:before="62" w:line="227" w:lineRule="auto"/>
        <w:rPr>
          <w:rFonts w:ascii="SimSun" w:hAnsi="SimSun" w:eastAsia="SimSun" w:cs="SimSun"/>
          <w:sz w:val="19"/>
          <w:szCs w:val="19"/>
        </w:rPr>
      </w:pPr>
      <w:r>
        <w:pict>
          <v:shape id="_x0000_s1306" style="position:absolute;margin-left:159.33pt;margin-top:2.11781pt;mso-position-vertical-relative:text;mso-position-horizontal-relative:text;width:61pt;height:13.75pt;z-index:25238016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293</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1"/>
          <w:footerReference w:type="default" r:id="rId3"/>
          <w:pgSz w:w="11907" w:h="16840"/>
          <w:pgMar w:top="1567" w:right="1621" w:bottom="400" w:left="1701" w:header="1221" w:footer="0" w:gutter="0"/>
        </w:sectPr>
        <w:rPr>
          <w:rFonts w:ascii="SimSun" w:hAnsi="SimSun" w:eastAsia="SimSun" w:cs="SimSun"/>
          <w:sz w:val="19"/>
          <w:szCs w:val="19"/>
        </w:rPr>
      </w:pPr>
    </w:p>
    <w:p>
      <w:pPr>
        <w:pStyle w:val="BodyText"/>
        <w:spacing w:line="409" w:lineRule="auto"/>
        <w:rPr/>
      </w:pPr>
      <w:r>
        <w:pict>
          <v:shape id="_x0000_s1308" style="position:absolute;margin-left:0pt;margin-top:0.472473pt;mso-position-vertical-relative:text;mso-position-horizontal-relative:text;width:425.25pt;height:0.75pt;z-index:252383232;" fillcolor="#000000" filled="true" stroked="false" coordsize="8505,15" coordorigin="0,0" path="m,l8505,0l8505,14l0,14l0,0xe"/>
        </w:pict>
      </w:r>
      <w:r/>
    </w:p>
    <w:p>
      <w:pPr>
        <w:ind w:left="15"/>
        <w:spacing w:before="114" w:line="227" w:lineRule="auto"/>
        <w:outlineLvl w:val="0"/>
        <w:rPr>
          <w:rFonts w:ascii="SimHei" w:hAnsi="SimHei" w:eastAsia="SimHei" w:cs="SimHei"/>
          <w:sz w:val="35"/>
          <w:szCs w:val="35"/>
        </w:rPr>
      </w:pPr>
      <w:bookmarkStart w:name="bookmark184" w:id="218"/>
      <w:bookmarkEnd w:id="218"/>
      <w:bookmarkStart w:name="bookmark185" w:id="219"/>
      <w:bookmarkEnd w:id="219"/>
      <w:r>
        <w:rPr>
          <w:rFonts w:ascii="Times New Roman" w:hAnsi="Times New Roman" w:eastAsia="Times New Roman" w:cs="Times New Roman"/>
          <w:sz w:val="35"/>
          <w:szCs w:val="35"/>
          <w:spacing w:val="7"/>
        </w:rPr>
        <w:t>9 </w:t>
      </w:r>
      <w:r>
        <w:rPr>
          <w:rFonts w:ascii="SimHei" w:hAnsi="SimHei" w:eastAsia="SimHei" w:cs="SimHei"/>
          <w:sz w:val="35"/>
          <w:szCs w:val="35"/>
          <w:spacing w:val="7"/>
        </w:rPr>
        <w:t>环境管理与监测计划</w:t>
      </w:r>
    </w:p>
    <w:p>
      <w:pPr>
        <w:pStyle w:val="BodyText"/>
        <w:spacing w:line="317" w:lineRule="auto"/>
        <w:rPr/>
      </w:pPr>
      <w:r/>
    </w:p>
    <w:p>
      <w:pPr>
        <w:ind w:left="12"/>
        <w:spacing w:before="98" w:line="222" w:lineRule="auto"/>
        <w:outlineLvl w:val="1"/>
        <w:rPr>
          <w:rFonts w:ascii="SimHei" w:hAnsi="SimHei" w:eastAsia="SimHei" w:cs="SimHei"/>
          <w:sz w:val="30"/>
          <w:szCs w:val="30"/>
        </w:rPr>
      </w:pPr>
      <w:bookmarkStart w:name="bookmark248" w:id="220"/>
      <w:bookmarkEnd w:id="220"/>
      <w:r>
        <w:rPr>
          <w:rFonts w:ascii="Times New Roman" w:hAnsi="Times New Roman" w:eastAsia="Times New Roman" w:cs="Times New Roman"/>
          <w:sz w:val="30"/>
          <w:szCs w:val="30"/>
          <w:spacing w:val="-2"/>
        </w:rPr>
        <w:t>9.1 </w:t>
      </w:r>
      <w:r>
        <w:rPr>
          <w:rFonts w:ascii="SimHei" w:hAnsi="SimHei" w:eastAsia="SimHei" w:cs="SimHei"/>
          <w:sz w:val="30"/>
          <w:szCs w:val="30"/>
          <w:spacing w:val="-2"/>
        </w:rPr>
        <w:t>环境管理</w:t>
      </w:r>
    </w:p>
    <w:p>
      <w:pPr>
        <w:pStyle w:val="BodyText"/>
        <w:spacing w:line="290" w:lineRule="auto"/>
        <w:rPr/>
      </w:pPr>
      <w:r/>
    </w:p>
    <w:p>
      <w:pPr>
        <w:ind w:left="8" w:firstLine="480"/>
        <w:spacing w:before="78" w:line="360" w:lineRule="auto"/>
        <w:jc w:val="both"/>
        <w:rPr>
          <w:rFonts w:ascii="SimSun" w:hAnsi="SimSun" w:eastAsia="SimSun" w:cs="SimSun"/>
          <w:sz w:val="24"/>
          <w:szCs w:val="24"/>
        </w:rPr>
      </w:pPr>
      <w:r>
        <w:rPr>
          <w:rFonts w:ascii="SimSun" w:hAnsi="SimSun" w:eastAsia="SimSun" w:cs="SimSun"/>
          <w:sz w:val="24"/>
          <w:szCs w:val="24"/>
          <w:spacing w:val="3"/>
        </w:rPr>
        <w:t>环境管理及监测计划的制定和执行，为环境统计和环境定量评价提</w:t>
      </w:r>
      <w:r>
        <w:rPr>
          <w:rFonts w:ascii="SimSun" w:hAnsi="SimSun" w:eastAsia="SimSun" w:cs="SimSun"/>
          <w:sz w:val="24"/>
          <w:szCs w:val="24"/>
          <w:spacing w:val="2"/>
        </w:rPr>
        <w:t>供科学依</w:t>
      </w:r>
      <w:r>
        <w:rPr>
          <w:rFonts w:ascii="SimSun" w:hAnsi="SimSun" w:eastAsia="SimSun" w:cs="SimSun"/>
          <w:sz w:val="24"/>
          <w:szCs w:val="24"/>
        </w:rPr>
        <w:t xml:space="preserve"> </w:t>
      </w:r>
      <w:r>
        <w:rPr>
          <w:rFonts w:ascii="SimSun" w:hAnsi="SimSun" w:eastAsia="SimSun" w:cs="SimSun"/>
          <w:sz w:val="24"/>
          <w:szCs w:val="24"/>
          <w:spacing w:val="3"/>
        </w:rPr>
        <w:t>据，可以保证各项污染防治措施的实施与落实，可以及时</w:t>
      </w:r>
      <w:r>
        <w:rPr>
          <w:rFonts w:ascii="SimSun" w:hAnsi="SimSun" w:eastAsia="SimSun" w:cs="SimSun"/>
          <w:sz w:val="24"/>
          <w:szCs w:val="24"/>
          <w:spacing w:val="2"/>
        </w:rPr>
        <w:t>发现环保措施出现的问</w:t>
      </w:r>
      <w:r>
        <w:rPr>
          <w:rFonts w:ascii="SimSun" w:hAnsi="SimSun" w:eastAsia="SimSun" w:cs="SimSun"/>
          <w:sz w:val="24"/>
          <w:szCs w:val="24"/>
        </w:rPr>
        <w:t xml:space="preserve"> </w:t>
      </w:r>
      <w:r>
        <w:rPr>
          <w:rFonts w:ascii="SimSun" w:hAnsi="SimSun" w:eastAsia="SimSun" w:cs="SimSun"/>
          <w:sz w:val="24"/>
          <w:szCs w:val="24"/>
          <w:spacing w:val="3"/>
        </w:rPr>
        <w:t>题并进行修正和改进。因此企业建立相应的环境管理计划</w:t>
      </w:r>
      <w:r>
        <w:rPr>
          <w:rFonts w:ascii="SimSun" w:hAnsi="SimSun" w:eastAsia="SimSun" w:cs="SimSun"/>
          <w:sz w:val="24"/>
          <w:szCs w:val="24"/>
          <w:spacing w:val="2"/>
        </w:rPr>
        <w:t>与监测计划，才能确保</w:t>
      </w:r>
      <w:r>
        <w:rPr>
          <w:rFonts w:ascii="SimSun" w:hAnsi="SimSun" w:eastAsia="SimSun" w:cs="SimSun"/>
          <w:sz w:val="24"/>
          <w:szCs w:val="24"/>
        </w:rPr>
        <w:t xml:space="preserve"> </w:t>
      </w:r>
      <w:r>
        <w:rPr>
          <w:rFonts w:ascii="SimSun" w:hAnsi="SimSun" w:eastAsia="SimSun" w:cs="SimSun"/>
          <w:sz w:val="24"/>
          <w:szCs w:val="24"/>
          <w:spacing w:val="3"/>
        </w:rPr>
        <w:t>企业环境设施正常运行和产污达标，预防风险事故并减低</w:t>
      </w:r>
      <w:r>
        <w:rPr>
          <w:rFonts w:ascii="SimSun" w:hAnsi="SimSun" w:eastAsia="SimSun" w:cs="SimSun"/>
          <w:sz w:val="24"/>
          <w:szCs w:val="24"/>
          <w:spacing w:val="2"/>
        </w:rPr>
        <w:t>事故损失，使建设项目</w:t>
      </w:r>
      <w:r>
        <w:rPr>
          <w:rFonts w:ascii="SimSun" w:hAnsi="SimSun" w:eastAsia="SimSun" w:cs="SimSun"/>
          <w:sz w:val="24"/>
          <w:szCs w:val="24"/>
        </w:rPr>
        <w:t xml:space="preserve"> </w:t>
      </w:r>
      <w:r>
        <w:rPr>
          <w:rFonts w:ascii="SimSun" w:hAnsi="SimSun" w:eastAsia="SimSun" w:cs="SimSun"/>
          <w:sz w:val="24"/>
          <w:szCs w:val="24"/>
          <w:spacing w:val="-1"/>
        </w:rPr>
        <w:t>对环境的危害控制在最小范围内。</w:t>
      </w:r>
    </w:p>
    <w:p>
      <w:pPr>
        <w:ind w:left="11"/>
        <w:spacing w:before="154" w:line="222" w:lineRule="auto"/>
        <w:outlineLvl w:val="2"/>
        <w:rPr>
          <w:rFonts w:ascii="SimHei" w:hAnsi="SimHei" w:eastAsia="SimHei" w:cs="SimHei"/>
          <w:sz w:val="28"/>
          <w:szCs w:val="28"/>
        </w:rPr>
      </w:pPr>
      <w:bookmarkStart w:name="bookmark186" w:id="221"/>
      <w:bookmarkEnd w:id="221"/>
      <w:r>
        <w:rPr>
          <w:rFonts w:ascii="Times New Roman" w:hAnsi="Times New Roman" w:eastAsia="Times New Roman" w:cs="Times New Roman"/>
          <w:sz w:val="28"/>
          <w:szCs w:val="28"/>
          <w:spacing w:val="-1"/>
        </w:rPr>
        <w:t>9.1.1 </w:t>
      </w:r>
      <w:r>
        <w:rPr>
          <w:rFonts w:ascii="SimHei" w:hAnsi="SimHei" w:eastAsia="SimHei" w:cs="SimHei"/>
          <w:sz w:val="28"/>
          <w:szCs w:val="28"/>
          <w:spacing w:val="-1"/>
        </w:rPr>
        <w:t>环境管理制度及组织机构</w:t>
      </w:r>
    </w:p>
    <w:p>
      <w:pPr>
        <w:pStyle w:val="BodyText"/>
        <w:spacing w:line="278" w:lineRule="auto"/>
        <w:rPr/>
      </w:pPr>
      <w:r/>
    </w:p>
    <w:p>
      <w:pPr>
        <w:ind w:left="8"/>
        <w:spacing w:before="79"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9.1.1.1 </w:t>
      </w:r>
      <w:r>
        <w:rPr>
          <w:rFonts w:ascii="SimSun" w:hAnsi="SimSun" w:eastAsia="SimSun" w:cs="SimSun"/>
          <w:sz w:val="24"/>
          <w:szCs w:val="24"/>
          <w:b/>
          <w:bCs/>
          <w:spacing w:val="-2"/>
        </w:rPr>
        <w:t>环境管理制度</w:t>
      </w:r>
    </w:p>
    <w:p>
      <w:pPr>
        <w:ind w:left="10" w:right="2" w:firstLine="481"/>
        <w:spacing w:before="182" w:line="359" w:lineRule="auto"/>
        <w:rPr>
          <w:rFonts w:ascii="SimSun" w:hAnsi="SimSun" w:eastAsia="SimSun" w:cs="SimSun"/>
          <w:sz w:val="24"/>
          <w:szCs w:val="24"/>
        </w:rPr>
      </w:pPr>
      <w:r>
        <w:rPr>
          <w:rFonts w:ascii="SimSun" w:hAnsi="SimSun" w:eastAsia="SimSun" w:cs="SimSun"/>
          <w:sz w:val="24"/>
          <w:szCs w:val="24"/>
          <w:spacing w:val="3"/>
        </w:rPr>
        <w:t>建设单位已设立了专职安全环保科室，并配备专职安</w:t>
      </w:r>
      <w:r>
        <w:rPr>
          <w:rFonts w:ascii="SimSun" w:hAnsi="SimSun" w:eastAsia="SimSun" w:cs="SimSun"/>
          <w:sz w:val="24"/>
          <w:szCs w:val="24"/>
          <w:spacing w:val="2"/>
        </w:rPr>
        <w:t>全环保管理人员协调、</w:t>
      </w:r>
      <w:r>
        <w:rPr>
          <w:rFonts w:ascii="SimSun" w:hAnsi="SimSun" w:eastAsia="SimSun" w:cs="SimSun"/>
          <w:sz w:val="24"/>
          <w:szCs w:val="24"/>
        </w:rPr>
        <w:t xml:space="preserve"> </w:t>
      </w:r>
      <w:r>
        <w:rPr>
          <w:rFonts w:ascii="SimSun" w:hAnsi="SimSun" w:eastAsia="SimSun" w:cs="SimSun"/>
          <w:sz w:val="24"/>
          <w:szCs w:val="24"/>
          <w:spacing w:val="3"/>
        </w:rPr>
        <w:t>落实各部门的环保工作。完善或制定企业《环境</w:t>
      </w:r>
      <w:r>
        <w:rPr>
          <w:rFonts w:ascii="SimSun" w:hAnsi="SimSun" w:eastAsia="SimSun" w:cs="SimSun"/>
          <w:sz w:val="24"/>
          <w:szCs w:val="24"/>
          <w:spacing w:val="2"/>
        </w:rPr>
        <w:t>保护管理制度》《项目建设环境</w:t>
      </w:r>
      <w:r>
        <w:rPr>
          <w:rFonts w:ascii="SimSun" w:hAnsi="SimSun" w:eastAsia="SimSun" w:cs="SimSun"/>
          <w:sz w:val="24"/>
          <w:szCs w:val="24"/>
        </w:rPr>
        <w:t xml:space="preserve"> </w:t>
      </w:r>
      <w:r>
        <w:rPr>
          <w:rFonts w:ascii="SimSun" w:hAnsi="SimSun" w:eastAsia="SimSun" w:cs="SimSun"/>
          <w:sz w:val="24"/>
          <w:szCs w:val="24"/>
          <w:spacing w:val="2"/>
        </w:rPr>
        <w:t>保护管理制度》《环保节能设施管理制度》《环保会议制度》《环保统计制度》</w:t>
      </w:r>
      <w:r>
        <w:rPr>
          <w:rFonts w:ascii="SimSun" w:hAnsi="SimSun" w:eastAsia="SimSun" w:cs="SimSun"/>
          <w:sz w:val="24"/>
          <w:szCs w:val="24"/>
          <w:spacing w:val="12"/>
        </w:rPr>
        <w:t xml:space="preserve"> </w:t>
      </w:r>
      <w:r>
        <w:rPr>
          <w:rFonts w:ascii="SimSun" w:hAnsi="SimSun" w:eastAsia="SimSun" w:cs="SimSun"/>
          <w:sz w:val="24"/>
          <w:szCs w:val="24"/>
          <w:spacing w:val="-3"/>
        </w:rPr>
        <w:t>《环保现场检查与</w:t>
      </w:r>
      <w:r>
        <w:rPr>
          <w:rFonts w:ascii="Times New Roman" w:hAnsi="Times New Roman" w:eastAsia="Times New Roman" w:cs="Times New Roman"/>
          <w:sz w:val="24"/>
          <w:szCs w:val="24"/>
          <w:spacing w:val="-3"/>
        </w:rPr>
        <w:t>“</w:t>
      </w:r>
      <w:r>
        <w:rPr>
          <w:rFonts w:ascii="SimSun" w:hAnsi="SimSun" w:eastAsia="SimSun" w:cs="SimSun"/>
          <w:sz w:val="24"/>
          <w:szCs w:val="24"/>
          <w:spacing w:val="-3"/>
        </w:rPr>
        <w:t>红黄牌</w:t>
      </w:r>
      <w:r>
        <w:rPr>
          <w:rFonts w:ascii="Times New Roman" w:hAnsi="Times New Roman" w:eastAsia="Times New Roman" w:cs="Times New Roman"/>
          <w:sz w:val="24"/>
          <w:szCs w:val="24"/>
          <w:spacing w:val="-3"/>
        </w:rPr>
        <w:t>”</w:t>
      </w:r>
      <w:r>
        <w:rPr>
          <w:rFonts w:ascii="SimSun" w:hAnsi="SimSun" w:eastAsia="SimSun" w:cs="SimSun"/>
          <w:sz w:val="24"/>
          <w:szCs w:val="24"/>
          <w:spacing w:val="-3"/>
        </w:rPr>
        <w:t>挂牌制度》《环保标准化管理</w:t>
      </w:r>
      <w:r>
        <w:rPr>
          <w:rFonts w:ascii="SimSun" w:hAnsi="SimSun" w:eastAsia="SimSun" w:cs="SimSun"/>
          <w:sz w:val="24"/>
          <w:szCs w:val="24"/>
          <w:spacing w:val="-4"/>
        </w:rPr>
        <w:t>制度》等一系列环保管理</w:t>
      </w:r>
      <w:r>
        <w:rPr>
          <w:rFonts w:ascii="SimSun" w:hAnsi="SimSun" w:eastAsia="SimSun" w:cs="SimSun"/>
          <w:sz w:val="24"/>
          <w:szCs w:val="24"/>
        </w:rPr>
        <w:t xml:space="preserve"> </w:t>
      </w:r>
      <w:r>
        <w:rPr>
          <w:rFonts w:ascii="SimSun" w:hAnsi="SimSun" w:eastAsia="SimSun" w:cs="SimSun"/>
          <w:sz w:val="24"/>
          <w:szCs w:val="24"/>
          <w:spacing w:val="-4"/>
        </w:rPr>
        <w:t>制度。</w:t>
      </w:r>
    </w:p>
    <w:p>
      <w:pPr>
        <w:ind w:left="8"/>
        <w:spacing w:before="1" w:line="218"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9.1.1.2 </w:t>
      </w:r>
      <w:r>
        <w:rPr>
          <w:rFonts w:ascii="SimSun" w:hAnsi="SimSun" w:eastAsia="SimSun" w:cs="SimSun"/>
          <w:sz w:val="24"/>
          <w:szCs w:val="24"/>
          <w:b/>
          <w:bCs/>
          <w:spacing w:val="-2"/>
        </w:rPr>
        <w:t>环境管理组织机构</w:t>
      </w:r>
    </w:p>
    <w:p>
      <w:pPr>
        <w:ind w:left="12" w:firstLine="477"/>
        <w:spacing w:before="183" w:line="359" w:lineRule="auto"/>
        <w:jc w:val="both"/>
        <w:rPr>
          <w:rFonts w:ascii="SimSun" w:hAnsi="SimSun" w:eastAsia="SimSun" w:cs="SimSun"/>
          <w:sz w:val="24"/>
          <w:szCs w:val="24"/>
        </w:rPr>
      </w:pPr>
      <w:r>
        <w:rPr>
          <w:rFonts w:ascii="SimSun" w:hAnsi="SimSun" w:eastAsia="SimSun" w:cs="SimSun"/>
          <w:sz w:val="24"/>
          <w:szCs w:val="24"/>
          <w:spacing w:val="3"/>
        </w:rPr>
        <w:t>根据《建设项目环境保护设计规定》的要求以及企业实施环境保护</w:t>
      </w:r>
      <w:r>
        <w:rPr>
          <w:rFonts w:ascii="SimSun" w:hAnsi="SimSun" w:eastAsia="SimSun" w:cs="SimSun"/>
          <w:sz w:val="24"/>
          <w:szCs w:val="24"/>
          <w:spacing w:val="2"/>
        </w:rPr>
        <w:t>需要，厂</w:t>
      </w:r>
      <w:r>
        <w:rPr>
          <w:rFonts w:ascii="SimSun" w:hAnsi="SimSun" w:eastAsia="SimSun" w:cs="SimSun"/>
          <w:sz w:val="24"/>
          <w:szCs w:val="24"/>
        </w:rPr>
        <w:t xml:space="preserve"> </w:t>
      </w:r>
      <w:r>
        <w:rPr>
          <w:rFonts w:ascii="SimSun" w:hAnsi="SimSun" w:eastAsia="SimSun" w:cs="SimSun"/>
          <w:sz w:val="24"/>
          <w:szCs w:val="24"/>
          <w:spacing w:val="3"/>
        </w:rPr>
        <w:t>区设置安全环保管理部，负责工程的环境管理、环</w:t>
      </w:r>
      <w:r>
        <w:rPr>
          <w:rFonts w:ascii="SimSun" w:hAnsi="SimSun" w:eastAsia="SimSun" w:cs="SimSun"/>
          <w:sz w:val="24"/>
          <w:szCs w:val="24"/>
          <w:spacing w:val="2"/>
        </w:rPr>
        <w:t>境监测及环保制度的贯彻落实</w:t>
      </w:r>
      <w:r>
        <w:rPr>
          <w:rFonts w:ascii="SimSun" w:hAnsi="SimSun" w:eastAsia="SimSun" w:cs="SimSun"/>
          <w:sz w:val="24"/>
          <w:szCs w:val="24"/>
        </w:rPr>
        <w:t xml:space="preserve"> </w:t>
      </w:r>
      <w:r>
        <w:rPr>
          <w:rFonts w:ascii="SimSun" w:hAnsi="SimSun" w:eastAsia="SimSun" w:cs="SimSun"/>
          <w:sz w:val="24"/>
          <w:szCs w:val="24"/>
          <w:spacing w:val="-1"/>
        </w:rPr>
        <w:t>工作，并在各装置设置专职环保安全管理人员。</w:t>
      </w:r>
    </w:p>
    <w:p>
      <w:pPr>
        <w:ind w:left="8"/>
        <w:spacing w:before="1" w:line="218"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9.1.1.3 </w:t>
      </w:r>
      <w:r>
        <w:rPr>
          <w:rFonts w:ascii="SimSun" w:hAnsi="SimSun" w:eastAsia="SimSun" w:cs="SimSun"/>
          <w:sz w:val="24"/>
          <w:szCs w:val="24"/>
          <w:b/>
          <w:bCs/>
          <w:spacing w:val="-2"/>
        </w:rPr>
        <w:t>环境管理机构职责</w:t>
      </w:r>
    </w:p>
    <w:p>
      <w:pPr>
        <w:ind w:left="12" w:firstLine="481"/>
        <w:spacing w:before="184" w:line="359" w:lineRule="auto"/>
        <w:rPr>
          <w:rFonts w:ascii="SimSun" w:hAnsi="SimSun" w:eastAsia="SimSun" w:cs="SimSun"/>
          <w:sz w:val="24"/>
          <w:szCs w:val="24"/>
        </w:rPr>
      </w:pPr>
      <w:r>
        <w:rPr>
          <w:rFonts w:ascii="SimSun" w:hAnsi="SimSun" w:eastAsia="SimSun" w:cs="SimSun"/>
          <w:sz w:val="24"/>
          <w:szCs w:val="24"/>
          <w:spacing w:val="3"/>
        </w:rPr>
        <w:t>安全环保科工作人员应负责日常环保管理和环保技术研</w:t>
      </w:r>
      <w:r>
        <w:rPr>
          <w:rFonts w:ascii="SimSun" w:hAnsi="SimSun" w:eastAsia="SimSun" w:cs="SimSun"/>
          <w:sz w:val="24"/>
          <w:szCs w:val="24"/>
          <w:spacing w:val="2"/>
        </w:rPr>
        <w:t>究工作，其在环境管</w:t>
      </w:r>
      <w:r>
        <w:rPr>
          <w:rFonts w:ascii="SimSun" w:hAnsi="SimSun" w:eastAsia="SimSun" w:cs="SimSun"/>
          <w:sz w:val="24"/>
          <w:szCs w:val="24"/>
        </w:rPr>
        <w:t xml:space="preserve"> </w:t>
      </w:r>
      <w:r>
        <w:rPr>
          <w:rFonts w:ascii="SimSun" w:hAnsi="SimSun" w:eastAsia="SimSun" w:cs="SimSun"/>
          <w:sz w:val="24"/>
          <w:szCs w:val="24"/>
          <w:spacing w:val="-2"/>
        </w:rPr>
        <w:t>理中担当以下主要职责：</w:t>
      </w:r>
    </w:p>
    <w:p>
      <w:pPr>
        <w:ind w:left="19" w:right="2" w:firstLine="482"/>
        <w:spacing w:before="1" w:line="29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）总经理统筹全厂的环保安全工作，统一指挥、协调，生产人</w:t>
      </w:r>
      <w:r>
        <w:rPr>
          <w:rFonts w:ascii="SimSun" w:hAnsi="SimSun" w:eastAsia="SimSun" w:cs="SimSun"/>
          <w:sz w:val="24"/>
          <w:szCs w:val="24"/>
          <w:spacing w:val="-2"/>
        </w:rPr>
        <w:t>员和管理人</w:t>
      </w:r>
      <w:r>
        <w:rPr>
          <w:rFonts w:ascii="SimSun" w:hAnsi="SimSun" w:eastAsia="SimSun" w:cs="SimSun"/>
          <w:sz w:val="24"/>
          <w:szCs w:val="24"/>
        </w:rPr>
        <w:t xml:space="preserve"> </w:t>
      </w:r>
      <w:r>
        <w:rPr>
          <w:rFonts w:ascii="SimSun" w:hAnsi="SimSun" w:eastAsia="SimSun" w:cs="SimSun"/>
          <w:sz w:val="24"/>
          <w:szCs w:val="24"/>
          <w:spacing w:val="-4"/>
        </w:rPr>
        <w:t>员相配合。</w:t>
      </w:r>
    </w:p>
    <w:p>
      <w:pPr>
        <w:ind w:left="10" w:right="2" w:firstLine="490"/>
        <w:spacing w:before="179" w:line="28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）主管副总经理负责落实总经理交代的各项环保措施的落实以</w:t>
      </w:r>
      <w:r>
        <w:rPr>
          <w:rFonts w:ascii="SimSun" w:hAnsi="SimSun" w:eastAsia="SimSun" w:cs="SimSun"/>
          <w:sz w:val="24"/>
          <w:szCs w:val="24"/>
          <w:spacing w:val="-2"/>
        </w:rPr>
        <w:t>及全厂的环</w:t>
      </w:r>
      <w:r>
        <w:rPr>
          <w:rFonts w:ascii="SimSun" w:hAnsi="SimSun" w:eastAsia="SimSun" w:cs="SimSun"/>
          <w:sz w:val="24"/>
          <w:szCs w:val="24"/>
        </w:rPr>
        <w:t xml:space="preserve"> </w:t>
      </w:r>
      <w:r>
        <w:rPr>
          <w:rFonts w:ascii="SimSun" w:hAnsi="SimSun" w:eastAsia="SimSun" w:cs="SimSun"/>
          <w:sz w:val="24"/>
          <w:szCs w:val="24"/>
          <w:spacing w:val="3"/>
        </w:rPr>
        <w:t>境管理。组织宣传贯彻国家环保方针政策和</w:t>
      </w:r>
      <w:r>
        <w:rPr>
          <w:rFonts w:ascii="SimSun" w:hAnsi="SimSun" w:eastAsia="SimSun" w:cs="SimSun"/>
          <w:sz w:val="24"/>
          <w:szCs w:val="24"/>
          <w:spacing w:val="2"/>
        </w:rPr>
        <w:t>进行企业员工环保专业知识的教育；</w:t>
      </w:r>
    </w:p>
    <w:p>
      <w:pPr>
        <w:spacing w:line="288" w:lineRule="auto"/>
        <w:sectPr>
          <w:headerReference w:type="default" r:id="rId120"/>
          <w:footerReference w:type="default" r:id="rId384"/>
          <w:pgSz w:w="11907" w:h="16840"/>
          <w:pgMar w:top="1567" w:right="1700" w:bottom="1921" w:left="1701" w:header="1221" w:footer="1247" w:gutter="0"/>
        </w:sectPr>
        <w:rPr>
          <w:rFonts w:ascii="SimSun" w:hAnsi="SimSun" w:eastAsia="SimSun" w:cs="SimSun"/>
          <w:sz w:val="24"/>
          <w:szCs w:val="24"/>
        </w:rPr>
      </w:pPr>
    </w:p>
    <w:p>
      <w:pPr>
        <w:ind w:left="12"/>
        <w:spacing w:before="188" w:line="219" w:lineRule="auto"/>
        <w:rPr>
          <w:rFonts w:ascii="SimSun" w:hAnsi="SimSun" w:eastAsia="SimSun" w:cs="SimSun"/>
          <w:sz w:val="24"/>
          <w:szCs w:val="24"/>
        </w:rPr>
      </w:pPr>
      <w:r>
        <w:pict>
          <v:shape id="_x0000_s1310" style="position:absolute;margin-left:85.05pt;margin-top:79.11pt;mso-position-vertical-relative:page;mso-position-horizontal-relative:page;width:425.25pt;height:0.75pt;z-index:252387328;" o:allowincell="f" fillcolor="#000000" filled="true" stroked="false" coordsize="8505,15" coordorigin="0,0" path="m,l8505,0l8505,14l0,14l0,0xe"/>
        </w:pict>
      </w:r>
      <w:r>
        <w:rPr>
          <w:rFonts w:ascii="SimSun" w:hAnsi="SimSun" w:eastAsia="SimSun" w:cs="SimSun"/>
          <w:sz w:val="24"/>
          <w:szCs w:val="24"/>
        </w:rPr>
        <w:t>组织制定全厂环保管理制度、年度实施计划和长</w:t>
      </w:r>
      <w:r>
        <w:rPr>
          <w:rFonts w:ascii="SimSun" w:hAnsi="SimSun" w:eastAsia="SimSun" w:cs="SimSun"/>
          <w:sz w:val="24"/>
          <w:szCs w:val="24"/>
          <w:spacing w:val="-1"/>
        </w:rPr>
        <w:t>远环保规划，并监督贯彻执行。</w:t>
      </w:r>
    </w:p>
    <w:p>
      <w:pPr>
        <w:ind w:firstLine="336"/>
        <w:spacing w:before="143" w:line="4606" w:lineRule="exact"/>
        <w:rPr/>
      </w:pPr>
      <w:r>
        <w:rPr>
          <w:position w:val="-92"/>
        </w:rPr>
        <w:drawing>
          <wp:inline distT="0" distB="0" distL="0" distR="0">
            <wp:extent cx="4964531" cy="2924809"/>
            <wp:effectExtent l="0" t="0" r="0" b="0"/>
            <wp:docPr id="224" name="IM 224"/>
            <wp:cNvGraphicFramePr/>
            <a:graphic>
              <a:graphicData uri="http://schemas.openxmlformats.org/drawingml/2006/picture">
                <pic:pic>
                  <pic:nvPicPr>
                    <pic:cNvPr id="224" name="IM 224"/>
                    <pic:cNvPicPr/>
                  </pic:nvPicPr>
                  <pic:blipFill>
                    <a:blip r:embed="rId385"/>
                    <a:stretch>
                      <a:fillRect/>
                    </a:stretch>
                  </pic:blipFill>
                  <pic:spPr>
                    <a:xfrm rot="0">
                      <a:off x="0" y="0"/>
                      <a:ext cx="4964531" cy="2924809"/>
                    </a:xfrm>
                    <a:prstGeom prst="rect">
                      <a:avLst/>
                    </a:prstGeom>
                  </pic:spPr>
                </pic:pic>
              </a:graphicData>
            </a:graphic>
          </wp:inline>
        </w:drawing>
      </w:r>
    </w:p>
    <w:p>
      <w:pPr>
        <w:ind w:left="2680"/>
        <w:spacing w:before="187"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3"/>
        </w:rPr>
        <w:t>9.1-1        </w:t>
      </w:r>
      <w:r>
        <w:rPr>
          <w:rFonts w:ascii="SimSun" w:hAnsi="SimSun" w:eastAsia="SimSun" w:cs="SimSun"/>
          <w:sz w:val="24"/>
          <w:szCs w:val="24"/>
          <w:b/>
          <w:bCs/>
          <w:spacing w:val="-3"/>
        </w:rPr>
        <w:t>项目环境管理机构</w:t>
      </w:r>
    </w:p>
    <w:p>
      <w:pPr>
        <w:ind w:left="15" w:right="2" w:firstLine="485"/>
        <w:spacing w:before="183" w:line="28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）安全环保科是专职环保管理机构，应由熟悉生产工艺和污染</w:t>
      </w:r>
      <w:r>
        <w:rPr>
          <w:rFonts w:ascii="SimSun" w:hAnsi="SimSun" w:eastAsia="SimSun" w:cs="SimSun"/>
          <w:sz w:val="24"/>
          <w:szCs w:val="24"/>
          <w:spacing w:val="-2"/>
        </w:rPr>
        <w:t>防治对策系</w:t>
      </w:r>
      <w:r>
        <w:rPr>
          <w:rFonts w:ascii="SimSun" w:hAnsi="SimSun" w:eastAsia="SimSun" w:cs="SimSun"/>
          <w:sz w:val="24"/>
          <w:szCs w:val="24"/>
        </w:rPr>
        <w:t xml:space="preserve"> </w:t>
      </w:r>
      <w:r>
        <w:rPr>
          <w:rFonts w:ascii="SimSun" w:hAnsi="SimSun" w:eastAsia="SimSun" w:cs="SimSun"/>
          <w:sz w:val="24"/>
          <w:szCs w:val="24"/>
          <w:spacing w:val="-1"/>
        </w:rPr>
        <w:t>统的管理、技术人员组成。其主要职责是：</w:t>
      </w:r>
    </w:p>
    <w:p>
      <w:pPr>
        <w:ind w:left="488"/>
        <w:spacing w:before="183" w:line="217" w:lineRule="auto"/>
        <w:rPr>
          <w:rFonts w:ascii="SimSun" w:hAnsi="SimSun" w:eastAsia="SimSun" w:cs="SimSun"/>
          <w:sz w:val="24"/>
          <w:szCs w:val="24"/>
        </w:rPr>
      </w:pPr>
      <w:r>
        <w:rPr>
          <w:rFonts w:ascii="SimSun" w:hAnsi="SimSun" w:eastAsia="SimSun" w:cs="SimSun"/>
          <w:sz w:val="24"/>
          <w:szCs w:val="24"/>
          <w:spacing w:val="-1"/>
        </w:rPr>
        <w:t>①制定全厂及岗位环保规章制度，检查制度落实情况；</w:t>
      </w:r>
    </w:p>
    <w:p>
      <w:pPr>
        <w:ind w:left="488"/>
        <w:spacing w:before="185" w:line="217" w:lineRule="auto"/>
        <w:rPr>
          <w:rFonts w:ascii="SimSun" w:hAnsi="SimSun" w:eastAsia="SimSun" w:cs="SimSun"/>
          <w:sz w:val="24"/>
          <w:szCs w:val="24"/>
        </w:rPr>
      </w:pPr>
      <w:r>
        <w:rPr>
          <w:rFonts w:ascii="SimSun" w:hAnsi="SimSun" w:eastAsia="SimSun" w:cs="SimSun"/>
          <w:sz w:val="24"/>
          <w:szCs w:val="24"/>
          <w:spacing w:val="-1"/>
        </w:rPr>
        <w:t>②制订环保工作年度计划，负责组织实施；</w:t>
      </w:r>
    </w:p>
    <w:p>
      <w:pPr>
        <w:ind w:left="10" w:right="2" w:firstLine="477"/>
        <w:spacing w:before="183" w:line="290" w:lineRule="auto"/>
        <w:rPr>
          <w:rFonts w:ascii="SimSun" w:hAnsi="SimSun" w:eastAsia="SimSun" w:cs="SimSun"/>
          <w:sz w:val="24"/>
          <w:szCs w:val="24"/>
        </w:rPr>
      </w:pPr>
      <w:r>
        <w:rPr>
          <w:rFonts w:ascii="SimSun" w:hAnsi="SimSun" w:eastAsia="SimSun" w:cs="SimSun"/>
          <w:sz w:val="24"/>
          <w:szCs w:val="24"/>
          <w:spacing w:val="3"/>
        </w:rPr>
        <w:t>③领导厂内环保监测工作，汇总各产污环节排污、环保设施运行</w:t>
      </w:r>
      <w:r>
        <w:rPr>
          <w:rFonts w:ascii="SimSun" w:hAnsi="SimSun" w:eastAsia="SimSun" w:cs="SimSun"/>
          <w:sz w:val="24"/>
          <w:szCs w:val="24"/>
          <w:spacing w:val="2"/>
        </w:rPr>
        <w:t>状态及环境</w:t>
      </w:r>
      <w:r>
        <w:rPr>
          <w:rFonts w:ascii="SimSun" w:hAnsi="SimSun" w:eastAsia="SimSun" w:cs="SimSun"/>
          <w:sz w:val="24"/>
          <w:szCs w:val="24"/>
        </w:rPr>
        <w:t xml:space="preserve"> </w:t>
      </w:r>
      <w:r>
        <w:rPr>
          <w:rFonts w:ascii="SimSun" w:hAnsi="SimSun" w:eastAsia="SimSun" w:cs="SimSun"/>
          <w:sz w:val="24"/>
          <w:szCs w:val="24"/>
          <w:spacing w:val="-3"/>
        </w:rPr>
        <w:t>质量情况；</w:t>
      </w:r>
    </w:p>
    <w:p>
      <w:pPr>
        <w:ind w:left="488"/>
        <w:spacing w:before="180" w:line="217" w:lineRule="auto"/>
        <w:rPr>
          <w:rFonts w:ascii="SimSun" w:hAnsi="SimSun" w:eastAsia="SimSun" w:cs="SimSun"/>
          <w:sz w:val="24"/>
          <w:szCs w:val="24"/>
        </w:rPr>
      </w:pPr>
      <w:r>
        <w:rPr>
          <w:rFonts w:ascii="SimSun" w:hAnsi="SimSun" w:eastAsia="SimSun" w:cs="SimSun"/>
          <w:sz w:val="24"/>
          <w:szCs w:val="24"/>
          <w:spacing w:val="-1"/>
        </w:rPr>
        <w:t>④提出环保设施运行管理计划及改进建议；</w:t>
      </w:r>
    </w:p>
    <w:p>
      <w:pPr>
        <w:ind w:left="37" w:right="2" w:firstLine="450"/>
        <w:spacing w:before="185" w:line="289" w:lineRule="auto"/>
        <w:rPr>
          <w:rFonts w:ascii="SimSun" w:hAnsi="SimSun" w:eastAsia="SimSun" w:cs="SimSun"/>
          <w:sz w:val="24"/>
          <w:szCs w:val="24"/>
        </w:rPr>
      </w:pPr>
      <w:r>
        <w:rPr>
          <w:rFonts w:ascii="SimSun" w:hAnsi="SimSun" w:eastAsia="SimSun" w:cs="SimSun"/>
          <w:sz w:val="24"/>
          <w:szCs w:val="24"/>
          <w:spacing w:val="3"/>
        </w:rPr>
        <w:t>⑤监督检查各运行岗位工况，汇总生产中存在的各种环保问题。</w:t>
      </w:r>
      <w:r>
        <w:rPr>
          <w:rFonts w:ascii="SimSun" w:hAnsi="SimSun" w:eastAsia="SimSun" w:cs="SimSun"/>
          <w:sz w:val="24"/>
          <w:szCs w:val="24"/>
          <w:spacing w:val="2"/>
        </w:rPr>
        <w:t>通知维修部</w:t>
      </w:r>
      <w:r>
        <w:rPr>
          <w:rFonts w:ascii="SimSun" w:hAnsi="SimSun" w:eastAsia="SimSun" w:cs="SimSun"/>
          <w:sz w:val="24"/>
          <w:szCs w:val="24"/>
        </w:rPr>
        <w:t xml:space="preserve"> </w:t>
      </w:r>
      <w:r>
        <w:rPr>
          <w:rFonts w:ascii="SimSun" w:hAnsi="SimSun" w:eastAsia="SimSun" w:cs="SimSun"/>
          <w:sz w:val="24"/>
          <w:szCs w:val="24"/>
          <w:spacing w:val="-1"/>
        </w:rPr>
        <w:t>门进行检修，经常向厂主管领导反映情况，并对可能进行的技术改造提出</w:t>
      </w:r>
      <w:r>
        <w:rPr>
          <w:rFonts w:ascii="SimSun" w:hAnsi="SimSun" w:eastAsia="SimSun" w:cs="SimSun"/>
          <w:sz w:val="24"/>
          <w:szCs w:val="24"/>
          <w:spacing w:val="-2"/>
        </w:rPr>
        <w:t>建议。</w:t>
      </w:r>
    </w:p>
    <w:p>
      <w:pPr>
        <w:ind w:left="12" w:right="2" w:firstLine="475"/>
        <w:spacing w:before="182" w:line="289" w:lineRule="auto"/>
        <w:rPr>
          <w:rFonts w:ascii="SimSun" w:hAnsi="SimSun" w:eastAsia="SimSun" w:cs="SimSun"/>
          <w:sz w:val="24"/>
          <w:szCs w:val="24"/>
        </w:rPr>
      </w:pPr>
      <w:r>
        <w:rPr>
          <w:rFonts w:ascii="SimSun" w:hAnsi="SimSun" w:eastAsia="SimSun" w:cs="SimSun"/>
          <w:sz w:val="24"/>
          <w:szCs w:val="24"/>
          <w:spacing w:val="3"/>
        </w:rPr>
        <w:t>⑥根据各部门反映情况，对环保措施和设备进行技改措施研究、</w:t>
      </w:r>
      <w:r>
        <w:rPr>
          <w:rFonts w:ascii="SimSun" w:hAnsi="SimSun" w:eastAsia="SimSun" w:cs="SimSun"/>
          <w:sz w:val="24"/>
          <w:szCs w:val="24"/>
          <w:spacing w:val="2"/>
        </w:rPr>
        <w:t>审定和改造</w:t>
      </w:r>
      <w:r>
        <w:rPr>
          <w:rFonts w:ascii="SimSun" w:hAnsi="SimSun" w:eastAsia="SimSun" w:cs="SimSun"/>
          <w:sz w:val="24"/>
          <w:szCs w:val="24"/>
        </w:rPr>
        <w:t xml:space="preserve"> </w:t>
      </w:r>
      <w:r>
        <w:rPr>
          <w:rFonts w:ascii="SimSun" w:hAnsi="SimSun" w:eastAsia="SimSun" w:cs="SimSun"/>
          <w:sz w:val="24"/>
          <w:szCs w:val="24"/>
          <w:spacing w:val="-1"/>
        </w:rPr>
        <w:t>工作。其中包括废渣综合利用等方案的选择。</w:t>
      </w:r>
    </w:p>
    <w:p>
      <w:pPr>
        <w:ind w:left="12" w:firstLine="478"/>
        <w:spacing w:before="183" w:line="359" w:lineRule="auto"/>
        <w:rPr>
          <w:rFonts w:ascii="SimSun" w:hAnsi="SimSun" w:eastAsia="SimSun" w:cs="SimSun"/>
          <w:sz w:val="24"/>
          <w:szCs w:val="24"/>
        </w:rPr>
      </w:pPr>
      <w:r>
        <w:rPr>
          <w:rFonts w:ascii="SimSun" w:hAnsi="SimSun" w:eastAsia="SimSun" w:cs="SimSun"/>
          <w:sz w:val="24"/>
          <w:szCs w:val="24"/>
          <w:spacing w:val="3"/>
        </w:rPr>
        <w:t>本机构除向主管领导及时汇报工作情况外，还有义务配合地方环</w:t>
      </w:r>
      <w:r>
        <w:rPr>
          <w:rFonts w:ascii="SimSun" w:hAnsi="SimSun" w:eastAsia="SimSun" w:cs="SimSun"/>
          <w:sz w:val="24"/>
          <w:szCs w:val="24"/>
          <w:spacing w:val="2"/>
        </w:rPr>
        <w:t>境保护主管</w:t>
      </w:r>
      <w:r>
        <w:rPr>
          <w:rFonts w:ascii="SimSun" w:hAnsi="SimSun" w:eastAsia="SimSun" w:cs="SimSun"/>
          <w:sz w:val="24"/>
          <w:szCs w:val="24"/>
        </w:rPr>
        <w:t xml:space="preserve"> </w:t>
      </w:r>
      <w:r>
        <w:rPr>
          <w:rFonts w:ascii="SimSun" w:hAnsi="SimSun" w:eastAsia="SimSun" w:cs="SimSun"/>
          <w:sz w:val="24"/>
          <w:szCs w:val="24"/>
          <w:spacing w:val="-2"/>
        </w:rPr>
        <w:t>部门开展各项环保工作。</w:t>
      </w:r>
    </w:p>
    <w:p>
      <w:pPr>
        <w:ind w:left="9" w:firstLine="491"/>
        <w:spacing w:before="3" w:line="360" w:lineRule="auto"/>
        <w:jc w:val="both"/>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）环境管理人员每季度对全厂各环保设施运行情况进行全面检</w:t>
      </w:r>
      <w:r>
        <w:rPr>
          <w:rFonts w:ascii="SimSun" w:hAnsi="SimSun" w:eastAsia="SimSun" w:cs="SimSun"/>
          <w:sz w:val="24"/>
          <w:szCs w:val="24"/>
          <w:spacing w:val="-2"/>
        </w:rPr>
        <w:t>查；对厂内</w:t>
      </w:r>
      <w:r>
        <w:rPr>
          <w:rFonts w:ascii="SimSun" w:hAnsi="SimSun" w:eastAsia="SimSun" w:cs="SimSun"/>
          <w:sz w:val="24"/>
          <w:szCs w:val="24"/>
        </w:rPr>
        <w:t xml:space="preserve"> </w:t>
      </w:r>
      <w:r>
        <w:rPr>
          <w:rFonts w:ascii="SimSun" w:hAnsi="SimSun" w:eastAsia="SimSun" w:cs="SimSun"/>
          <w:sz w:val="24"/>
          <w:szCs w:val="24"/>
          <w:spacing w:val="3"/>
        </w:rPr>
        <w:t>环保设施进行维护管理，对环保设备运行情况记录在案</w:t>
      </w:r>
      <w:r>
        <w:rPr>
          <w:rFonts w:ascii="SimSun" w:hAnsi="SimSun" w:eastAsia="SimSun" w:cs="SimSun"/>
          <w:sz w:val="24"/>
          <w:szCs w:val="24"/>
          <w:spacing w:val="2"/>
        </w:rPr>
        <w:t>并定期上报结果；加强劳</w:t>
      </w:r>
      <w:r>
        <w:rPr>
          <w:rFonts w:ascii="SimSun" w:hAnsi="SimSun" w:eastAsia="SimSun" w:cs="SimSun"/>
          <w:sz w:val="24"/>
          <w:szCs w:val="24"/>
        </w:rPr>
        <w:t xml:space="preserve"> </w:t>
      </w:r>
      <w:r>
        <w:rPr>
          <w:rFonts w:ascii="SimSun" w:hAnsi="SimSun" w:eastAsia="SimSun" w:cs="SimSun"/>
          <w:sz w:val="24"/>
          <w:szCs w:val="24"/>
          <w:spacing w:val="-1"/>
        </w:rPr>
        <w:t>动保护，防止污染事故及人员事故的发生。</w:t>
      </w:r>
    </w:p>
    <w:p>
      <w:pPr>
        <w:pStyle w:val="BodyText"/>
        <w:spacing w:line="372" w:lineRule="auto"/>
        <w:rPr/>
      </w:pPr>
      <w:r/>
    </w:p>
    <w:p>
      <w:pPr>
        <w:ind w:left="7"/>
        <w:spacing w:before="62" w:line="227" w:lineRule="auto"/>
        <w:rPr>
          <w:rFonts w:ascii="SimSun" w:hAnsi="SimSun" w:eastAsia="SimSun" w:cs="SimSun"/>
          <w:sz w:val="19"/>
          <w:szCs w:val="19"/>
        </w:rPr>
      </w:pPr>
      <w:r>
        <w:pict>
          <v:shape id="_x0000_s1312" style="position:absolute;margin-left:159.33pt;margin-top:2.08819pt;mso-position-vertical-relative:text;mso-position-horizontal-relative:text;width:61pt;height:13.75pt;z-index:25238630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295</w:t>
                  </w:r>
                </w:p>
              </w:txbxContent>
            </v:textbox>
          </v:shape>
        </w:pict>
      </w:r>
      <w:r>
        <w:rPr>
          <w:rFonts w:ascii="SimSun" w:hAnsi="SimSun" w:eastAsia="SimSun" w:cs="SimSun"/>
          <w:sz w:val="19"/>
          <w:szCs w:val="19"/>
          <w:spacing w:val="9"/>
        </w:rPr>
        <w:t>锡林郭勒盟中安环境技术咨询有限责</w:t>
      </w:r>
    </w:p>
    <w:p>
      <w:pPr>
        <w:spacing w:line="227" w:lineRule="auto"/>
        <w:sectPr>
          <w:footerReference w:type="default" r:id="rId3"/>
          <w:pgSz w:w="11907" w:h="16840"/>
          <w:pgMar w:top="1567" w:right="1700" w:bottom="400" w:left="1701" w:header="1221" w:footer="0" w:gutter="0"/>
        </w:sectPr>
        <w:rPr>
          <w:rFonts w:ascii="SimSun" w:hAnsi="SimSun" w:eastAsia="SimSun" w:cs="SimSun"/>
          <w:sz w:val="19"/>
          <w:szCs w:val="19"/>
        </w:rPr>
      </w:pPr>
    </w:p>
    <w:p>
      <w:pPr>
        <w:ind w:left="9" w:firstLine="491"/>
        <w:spacing w:before="167" w:line="361" w:lineRule="auto"/>
        <w:jc w:val="both"/>
        <w:rPr>
          <w:rFonts w:ascii="SimSun" w:hAnsi="SimSun" w:eastAsia="SimSun" w:cs="SimSun"/>
          <w:sz w:val="24"/>
          <w:szCs w:val="24"/>
        </w:rPr>
      </w:pPr>
      <w:r>
        <w:pict>
          <v:shape id="_x0000_s1314" style="position:absolute;margin-left:85.05pt;margin-top:78.87pt;mso-position-vertical-relative:page;mso-position-horizontal-relative:page;width:425.25pt;height:0.75pt;z-index:252389376;" o:allowincell="f" fillcolor="#000000" filled="true" stroked="false" coordsize="8505,15" coordorigin="0,0" path="m,l8505,0l8505,14l0,14l0,0xe"/>
        </w:pict>
      </w:r>
      <w:r>
        <w:rPr>
          <w:rFonts w:ascii="SimSun" w:hAnsi="SimSun" w:eastAsia="SimSun" w:cs="SimSun"/>
          <w:sz w:val="24"/>
          <w:szCs w:val="24"/>
          <w:spacing w:val="-6"/>
        </w:rPr>
        <w:t>（</w:t>
      </w:r>
      <w:r>
        <w:rPr>
          <w:rFonts w:ascii="Times New Roman" w:hAnsi="Times New Roman" w:eastAsia="Times New Roman" w:cs="Times New Roman"/>
          <w:sz w:val="24"/>
          <w:szCs w:val="24"/>
          <w:spacing w:val="-6"/>
        </w:rPr>
        <w:t>5</w:t>
      </w:r>
      <w:r>
        <w:rPr>
          <w:rFonts w:ascii="SimSun" w:hAnsi="SimSun" w:eastAsia="SimSun" w:cs="SimSun"/>
          <w:sz w:val="24"/>
          <w:szCs w:val="24"/>
          <w:spacing w:val="-6"/>
        </w:rPr>
        <w:t>）委托有资质检测机构根据监测制度，对厂内气、水等排</w:t>
      </w:r>
      <w:r>
        <w:rPr>
          <w:rFonts w:ascii="SimSun" w:hAnsi="SimSun" w:eastAsia="SimSun" w:cs="SimSun"/>
          <w:sz w:val="24"/>
          <w:szCs w:val="24"/>
          <w:spacing w:val="-7"/>
        </w:rPr>
        <w:t>放进行日常监测，</w:t>
      </w:r>
      <w:r>
        <w:rPr>
          <w:rFonts w:ascii="SimSun" w:hAnsi="SimSun" w:eastAsia="SimSun" w:cs="SimSun"/>
          <w:sz w:val="24"/>
          <w:szCs w:val="24"/>
        </w:rPr>
        <w:t xml:space="preserve"> </w:t>
      </w:r>
      <w:r>
        <w:rPr>
          <w:rFonts w:ascii="SimSun" w:hAnsi="SimSun" w:eastAsia="SimSun" w:cs="SimSun"/>
          <w:sz w:val="24"/>
          <w:szCs w:val="24"/>
          <w:spacing w:val="3"/>
        </w:rPr>
        <w:t>并建立分析结果技术档案。在取样同时，应记录生</w:t>
      </w:r>
      <w:r>
        <w:rPr>
          <w:rFonts w:ascii="SimSun" w:hAnsi="SimSun" w:eastAsia="SimSun" w:cs="SimSun"/>
          <w:sz w:val="24"/>
          <w:szCs w:val="24"/>
          <w:spacing w:val="2"/>
        </w:rPr>
        <w:t>产运行工况。其工作主要在厂</w:t>
      </w:r>
      <w:r>
        <w:rPr>
          <w:rFonts w:ascii="SimSun" w:hAnsi="SimSun" w:eastAsia="SimSun" w:cs="SimSun"/>
          <w:sz w:val="24"/>
          <w:szCs w:val="24"/>
        </w:rPr>
        <w:t xml:space="preserve"> </w:t>
      </w:r>
      <w:r>
        <w:rPr>
          <w:rFonts w:ascii="SimSun" w:hAnsi="SimSun" w:eastAsia="SimSun" w:cs="SimSun"/>
          <w:sz w:val="24"/>
          <w:szCs w:val="24"/>
          <w:spacing w:val="-2"/>
        </w:rPr>
        <w:t>环保领导下进行。</w:t>
      </w:r>
    </w:p>
    <w:p>
      <w:pPr>
        <w:ind w:left="11"/>
        <w:spacing w:before="155" w:line="222" w:lineRule="auto"/>
        <w:outlineLvl w:val="2"/>
        <w:rPr>
          <w:rFonts w:ascii="SimHei" w:hAnsi="SimHei" w:eastAsia="SimHei" w:cs="SimHei"/>
          <w:sz w:val="28"/>
          <w:szCs w:val="28"/>
        </w:rPr>
      </w:pPr>
      <w:bookmarkStart w:name="bookmark187" w:id="222"/>
      <w:bookmarkEnd w:id="222"/>
      <w:r>
        <w:rPr>
          <w:rFonts w:ascii="Times New Roman" w:hAnsi="Times New Roman" w:eastAsia="Times New Roman" w:cs="Times New Roman"/>
          <w:sz w:val="28"/>
          <w:szCs w:val="28"/>
          <w:spacing w:val="-1"/>
        </w:rPr>
        <w:t>9.1.2 </w:t>
      </w:r>
      <w:r>
        <w:rPr>
          <w:rFonts w:ascii="SimHei" w:hAnsi="SimHei" w:eastAsia="SimHei" w:cs="SimHei"/>
          <w:sz w:val="28"/>
          <w:szCs w:val="28"/>
          <w:spacing w:val="-1"/>
        </w:rPr>
        <w:t>环保竣工验收</w:t>
      </w:r>
    </w:p>
    <w:p>
      <w:pPr>
        <w:pStyle w:val="BodyText"/>
        <w:spacing w:line="280" w:lineRule="auto"/>
        <w:rPr/>
      </w:pPr>
      <w:r/>
    </w:p>
    <w:p>
      <w:pPr>
        <w:ind w:left="11" w:right="61" w:firstLine="480"/>
        <w:spacing w:before="78" w:line="353" w:lineRule="auto"/>
        <w:rPr>
          <w:rFonts w:ascii="SimSun" w:hAnsi="SimSun" w:eastAsia="SimSun" w:cs="SimSun"/>
          <w:sz w:val="24"/>
          <w:szCs w:val="24"/>
        </w:rPr>
      </w:pPr>
      <w:r>
        <w:rPr>
          <w:rFonts w:ascii="SimSun" w:hAnsi="SimSun" w:eastAsia="SimSun" w:cs="SimSun"/>
          <w:sz w:val="24"/>
          <w:szCs w:val="24"/>
          <w:spacing w:val="-1"/>
        </w:rPr>
        <w:t>按照《建设项目竣工环境保护验收暂行办法》（国环规环评</w:t>
      </w:r>
      <w:r>
        <w:rPr>
          <w:rFonts w:ascii="Times New Roman" w:hAnsi="Times New Roman" w:eastAsia="Times New Roman" w:cs="Times New Roman"/>
          <w:sz w:val="24"/>
          <w:szCs w:val="24"/>
          <w:spacing w:val="-1"/>
        </w:rPr>
        <w:t>[2017]4</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1"/>
        </w:rPr>
        <w:t>号）中要</w:t>
      </w:r>
      <w:r>
        <w:rPr>
          <w:rFonts w:ascii="SimSun" w:hAnsi="SimSun" w:eastAsia="SimSun" w:cs="SimSun"/>
          <w:sz w:val="24"/>
          <w:szCs w:val="24"/>
        </w:rPr>
        <w:t xml:space="preserve"> </w:t>
      </w:r>
      <w:r>
        <w:rPr>
          <w:rFonts w:ascii="SimSun" w:hAnsi="SimSun" w:eastAsia="SimSun" w:cs="SimSun"/>
          <w:sz w:val="24"/>
          <w:szCs w:val="24"/>
          <w:spacing w:val="-2"/>
        </w:rPr>
        <w:t>求实施环保竣工验收。</w:t>
      </w:r>
    </w:p>
    <w:p>
      <w:pPr>
        <w:ind w:left="9" w:right="12" w:firstLine="480"/>
        <w:spacing w:before="14" w:line="358" w:lineRule="auto"/>
        <w:rPr>
          <w:rFonts w:ascii="SimSun" w:hAnsi="SimSun" w:eastAsia="SimSun" w:cs="SimSun"/>
          <w:sz w:val="24"/>
          <w:szCs w:val="24"/>
        </w:rPr>
      </w:pPr>
      <w:r>
        <w:rPr>
          <w:rFonts w:ascii="SimSun" w:hAnsi="SimSun" w:eastAsia="SimSun" w:cs="SimSun"/>
          <w:sz w:val="24"/>
          <w:szCs w:val="24"/>
          <w:spacing w:val="-2"/>
        </w:rPr>
        <w:t>竣工验收以现场调查与监测相结合的方式对工程</w:t>
      </w:r>
      <w:r>
        <w:rPr>
          <w:rFonts w:ascii="Times New Roman" w:hAnsi="Times New Roman" w:eastAsia="Times New Roman" w:cs="Times New Roman"/>
          <w:sz w:val="24"/>
          <w:szCs w:val="24"/>
          <w:spacing w:val="-2"/>
        </w:rPr>
        <w:t>“</w:t>
      </w:r>
      <w:r>
        <w:rPr>
          <w:rFonts w:ascii="SimSun" w:hAnsi="SimSun" w:eastAsia="SimSun" w:cs="SimSun"/>
          <w:sz w:val="24"/>
          <w:szCs w:val="24"/>
          <w:spacing w:val="-2"/>
        </w:rPr>
        <w:t>三同时</w:t>
      </w:r>
      <w:r>
        <w:rPr>
          <w:rFonts w:ascii="Times New Roman" w:hAnsi="Times New Roman" w:eastAsia="Times New Roman" w:cs="Times New Roman"/>
          <w:sz w:val="24"/>
          <w:szCs w:val="24"/>
          <w:spacing w:val="-2"/>
        </w:rPr>
        <w:t>”</w:t>
      </w:r>
      <w:r>
        <w:rPr>
          <w:rFonts w:ascii="SimSun" w:hAnsi="SimSun" w:eastAsia="SimSun" w:cs="SimSun"/>
          <w:sz w:val="24"/>
          <w:szCs w:val="24"/>
          <w:spacing w:val="-2"/>
        </w:rPr>
        <w:t>建设情况进行验</w:t>
      </w:r>
      <w:r>
        <w:rPr>
          <w:rFonts w:ascii="SimSun" w:hAnsi="SimSun" w:eastAsia="SimSun" w:cs="SimSun"/>
          <w:sz w:val="24"/>
          <w:szCs w:val="24"/>
          <w:spacing w:val="-3"/>
        </w:rPr>
        <w:t>收，</w:t>
      </w:r>
      <w:r>
        <w:rPr>
          <w:rFonts w:ascii="SimSun" w:hAnsi="SimSun" w:eastAsia="SimSun" w:cs="SimSun"/>
          <w:sz w:val="24"/>
          <w:szCs w:val="24"/>
        </w:rPr>
        <w:t xml:space="preserve"> </w:t>
      </w:r>
      <w:r>
        <w:rPr>
          <w:rFonts w:ascii="SimSun" w:hAnsi="SimSun" w:eastAsia="SimSun" w:cs="SimSun"/>
          <w:sz w:val="24"/>
          <w:szCs w:val="24"/>
          <w:spacing w:val="-1"/>
        </w:rPr>
        <w:t>环境保护验收的主要内容包括以下几个方面：</w:t>
      </w:r>
    </w:p>
    <w:p>
      <w:pPr>
        <w:ind w:left="11" w:right="59" w:firstLine="489"/>
        <w:spacing w:before="2" w:line="289"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1</w:t>
      </w:r>
      <w:r>
        <w:rPr>
          <w:rFonts w:ascii="SimSun" w:hAnsi="SimSun" w:eastAsia="SimSun" w:cs="SimSun"/>
          <w:sz w:val="24"/>
          <w:szCs w:val="24"/>
        </w:rPr>
        <w:t>）通过现场调查项目</w:t>
      </w:r>
      <w:r>
        <w:rPr>
          <w:rFonts w:ascii="Times New Roman" w:hAnsi="Times New Roman" w:eastAsia="Times New Roman" w:cs="Times New Roman"/>
          <w:sz w:val="24"/>
          <w:szCs w:val="24"/>
        </w:rPr>
        <w:t>“</w:t>
      </w:r>
      <w:r>
        <w:rPr>
          <w:rFonts w:ascii="SimSun" w:hAnsi="SimSun" w:eastAsia="SimSun" w:cs="SimSun"/>
          <w:sz w:val="24"/>
          <w:szCs w:val="24"/>
        </w:rPr>
        <w:t>三同时</w:t>
      </w:r>
      <w:r>
        <w:rPr>
          <w:rFonts w:ascii="Times New Roman" w:hAnsi="Times New Roman" w:eastAsia="Times New Roman" w:cs="Times New Roman"/>
          <w:sz w:val="24"/>
          <w:szCs w:val="24"/>
        </w:rPr>
        <w:t>”</w:t>
      </w:r>
      <w:r>
        <w:rPr>
          <w:rFonts w:ascii="SimSun" w:hAnsi="SimSun" w:eastAsia="SimSun" w:cs="SimSun"/>
          <w:sz w:val="24"/>
          <w:szCs w:val="24"/>
        </w:rPr>
        <w:t>建设情况，主要环保</w:t>
      </w:r>
      <w:r>
        <w:rPr>
          <w:rFonts w:ascii="SimSun" w:hAnsi="SimSun" w:eastAsia="SimSun" w:cs="SimSun"/>
          <w:sz w:val="24"/>
          <w:szCs w:val="24"/>
          <w:spacing w:val="-1"/>
        </w:rPr>
        <w:t>设施的建设与环评批复</w:t>
      </w:r>
      <w:r>
        <w:rPr>
          <w:rFonts w:ascii="SimSun" w:hAnsi="SimSun" w:eastAsia="SimSun" w:cs="SimSun"/>
          <w:sz w:val="24"/>
          <w:szCs w:val="24"/>
        </w:rPr>
        <w:t xml:space="preserve"> </w:t>
      </w:r>
      <w:r>
        <w:rPr>
          <w:rFonts w:ascii="SimSun" w:hAnsi="SimSun" w:eastAsia="SimSun" w:cs="SimSun"/>
          <w:sz w:val="24"/>
          <w:szCs w:val="24"/>
          <w:spacing w:val="-1"/>
        </w:rPr>
        <w:t>文件的符合性检查及验收；</w:t>
      </w:r>
    </w:p>
    <w:p>
      <w:pPr>
        <w:ind w:left="10" w:right="61" w:firstLine="490"/>
        <w:spacing w:before="185" w:line="312"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）环保设施建设及运行情况，包括：废气、废水、噪声污染防</w:t>
      </w:r>
      <w:r>
        <w:rPr>
          <w:rFonts w:ascii="SimSun" w:hAnsi="SimSun" w:eastAsia="SimSun" w:cs="SimSun"/>
          <w:sz w:val="24"/>
          <w:szCs w:val="24"/>
          <w:spacing w:val="-2"/>
        </w:rPr>
        <w:t>治设施的建</w:t>
      </w:r>
      <w:r>
        <w:rPr>
          <w:rFonts w:ascii="SimSun" w:hAnsi="SimSun" w:eastAsia="SimSun" w:cs="SimSun"/>
          <w:sz w:val="24"/>
          <w:szCs w:val="24"/>
        </w:rPr>
        <w:t xml:space="preserve"> </w:t>
      </w:r>
      <w:r>
        <w:rPr>
          <w:rFonts w:ascii="SimSun" w:hAnsi="SimSun" w:eastAsia="SimSun" w:cs="SimSun"/>
          <w:sz w:val="24"/>
          <w:szCs w:val="24"/>
          <w:spacing w:val="3"/>
        </w:rPr>
        <w:t>设及运行情况及运行处理效果，生态保护措施的</w:t>
      </w:r>
      <w:r>
        <w:rPr>
          <w:rFonts w:ascii="SimSun" w:hAnsi="SimSun" w:eastAsia="SimSun" w:cs="SimSun"/>
          <w:sz w:val="24"/>
          <w:szCs w:val="24"/>
          <w:spacing w:val="2"/>
        </w:rPr>
        <w:t>落实情况；防止固体废物污染环</w:t>
      </w:r>
      <w:r>
        <w:rPr>
          <w:rFonts w:ascii="SimSun" w:hAnsi="SimSun" w:eastAsia="SimSun" w:cs="SimSun"/>
          <w:sz w:val="24"/>
          <w:szCs w:val="24"/>
        </w:rPr>
        <w:t xml:space="preserve"> </w:t>
      </w:r>
      <w:r>
        <w:rPr>
          <w:rFonts w:ascii="SimSun" w:hAnsi="SimSun" w:eastAsia="SimSun" w:cs="SimSun"/>
          <w:sz w:val="24"/>
          <w:szCs w:val="24"/>
          <w:spacing w:val="-1"/>
        </w:rPr>
        <w:t>境的措施；厂区绿化等；</w:t>
      </w:r>
    </w:p>
    <w:p>
      <w:pPr>
        <w:ind w:left="501"/>
        <w:spacing w:before="180"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）主要节能措施及清洁生产措施；环保投资及环境管理机构的设置情况。</w:t>
      </w:r>
    </w:p>
    <w:p>
      <w:pPr>
        <w:ind w:left="10" w:right="59" w:firstLine="478"/>
        <w:spacing w:before="184" w:line="360" w:lineRule="auto"/>
        <w:jc w:val="both"/>
        <w:rPr>
          <w:rFonts w:ascii="SimSun" w:hAnsi="SimSun" w:eastAsia="SimSun" w:cs="SimSun"/>
          <w:sz w:val="24"/>
          <w:szCs w:val="24"/>
        </w:rPr>
      </w:pPr>
      <w:r>
        <w:rPr>
          <w:rFonts w:ascii="SimSun" w:hAnsi="SimSun" w:eastAsia="SimSun" w:cs="SimSun"/>
          <w:sz w:val="24"/>
          <w:szCs w:val="24"/>
          <w:spacing w:val="3"/>
        </w:rPr>
        <w:t>验收范围：与项目有关的各项环保设施，包括为防治污染和保护环</w:t>
      </w:r>
      <w:r>
        <w:rPr>
          <w:rFonts w:ascii="SimSun" w:hAnsi="SimSun" w:eastAsia="SimSun" w:cs="SimSun"/>
          <w:sz w:val="24"/>
          <w:szCs w:val="24"/>
          <w:spacing w:val="2"/>
        </w:rPr>
        <w:t>境所建成</w:t>
      </w:r>
      <w:r>
        <w:rPr>
          <w:rFonts w:ascii="SimSun" w:hAnsi="SimSun" w:eastAsia="SimSun" w:cs="SimSun"/>
          <w:sz w:val="24"/>
          <w:szCs w:val="24"/>
        </w:rPr>
        <w:t xml:space="preserve"> </w:t>
      </w:r>
      <w:r>
        <w:rPr>
          <w:rFonts w:ascii="SimSun" w:hAnsi="SimSun" w:eastAsia="SimSun" w:cs="SimSun"/>
          <w:sz w:val="24"/>
          <w:szCs w:val="24"/>
          <w:spacing w:val="3"/>
        </w:rPr>
        <w:t>或配套建成的治理工程、设备、装置和监测手段，以及</w:t>
      </w:r>
      <w:r>
        <w:rPr>
          <w:rFonts w:ascii="SimSun" w:hAnsi="SimSun" w:eastAsia="SimSun" w:cs="SimSun"/>
          <w:sz w:val="24"/>
          <w:szCs w:val="24"/>
          <w:spacing w:val="2"/>
        </w:rPr>
        <w:t>各项生态保护设施等；环</w:t>
      </w:r>
      <w:r>
        <w:rPr>
          <w:rFonts w:ascii="SimSun" w:hAnsi="SimSun" w:eastAsia="SimSun" w:cs="SimSun"/>
          <w:sz w:val="24"/>
          <w:szCs w:val="24"/>
        </w:rPr>
        <w:t xml:space="preserve"> </w:t>
      </w:r>
      <w:r>
        <w:rPr>
          <w:rFonts w:ascii="SimSun" w:hAnsi="SimSun" w:eastAsia="SimSun" w:cs="SimSun"/>
          <w:sz w:val="24"/>
          <w:szCs w:val="24"/>
          <w:spacing w:val="-1"/>
        </w:rPr>
        <w:t>境影响报告书及其批复文件和有关设计文件规定应采取环保措施。</w:t>
      </w:r>
    </w:p>
    <w:p>
      <w:pPr>
        <w:ind w:left="11"/>
        <w:spacing w:before="157" w:line="222" w:lineRule="auto"/>
        <w:outlineLvl w:val="2"/>
        <w:rPr>
          <w:rFonts w:ascii="SimHei" w:hAnsi="SimHei" w:eastAsia="SimHei" w:cs="SimHei"/>
          <w:sz w:val="28"/>
          <w:szCs w:val="28"/>
        </w:rPr>
      </w:pPr>
      <w:bookmarkStart w:name="bookmark188" w:id="223"/>
      <w:bookmarkEnd w:id="223"/>
      <w:r>
        <w:rPr>
          <w:rFonts w:ascii="Times New Roman" w:hAnsi="Times New Roman" w:eastAsia="Times New Roman" w:cs="Times New Roman"/>
          <w:sz w:val="28"/>
          <w:szCs w:val="28"/>
          <w:spacing w:val="-1"/>
        </w:rPr>
        <w:t>9.1.3 </w:t>
      </w:r>
      <w:r>
        <w:rPr>
          <w:rFonts w:ascii="SimHei" w:hAnsi="SimHei" w:eastAsia="SimHei" w:cs="SimHei"/>
          <w:sz w:val="28"/>
          <w:szCs w:val="28"/>
          <w:spacing w:val="-1"/>
        </w:rPr>
        <w:t>运营期排污许可管理</w:t>
      </w:r>
    </w:p>
    <w:p>
      <w:pPr>
        <w:pStyle w:val="BodyText"/>
        <w:spacing w:line="278" w:lineRule="auto"/>
        <w:rPr/>
      </w:pPr>
      <w:r/>
    </w:p>
    <w:p>
      <w:pPr>
        <w:ind w:left="8"/>
        <w:spacing w:before="79"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9.1.3.1 </w:t>
      </w:r>
      <w:r>
        <w:rPr>
          <w:rFonts w:ascii="SimSun" w:hAnsi="SimSun" w:eastAsia="SimSun" w:cs="SimSun"/>
          <w:sz w:val="24"/>
          <w:szCs w:val="24"/>
          <w:b/>
          <w:bCs/>
          <w:spacing w:val="-2"/>
        </w:rPr>
        <w:t>排污许可证申领</w:t>
      </w:r>
    </w:p>
    <w:p>
      <w:pPr>
        <w:ind w:left="9" w:right="59" w:firstLine="480"/>
        <w:spacing w:before="182" w:line="359" w:lineRule="auto"/>
        <w:jc w:val="both"/>
        <w:rPr>
          <w:rFonts w:ascii="SimSun" w:hAnsi="SimSun" w:eastAsia="SimSun" w:cs="SimSun"/>
          <w:sz w:val="24"/>
          <w:szCs w:val="24"/>
        </w:rPr>
      </w:pPr>
      <w:r>
        <w:rPr>
          <w:rFonts w:ascii="SimSun" w:hAnsi="SimSun" w:eastAsia="SimSun" w:cs="SimSun"/>
          <w:sz w:val="24"/>
          <w:szCs w:val="24"/>
          <w:spacing w:val="3"/>
        </w:rPr>
        <w:t>根据《排污许可证管理暂行办法》，项目在取得环境影响评价批复</w:t>
      </w:r>
      <w:r>
        <w:rPr>
          <w:rFonts w:ascii="SimSun" w:hAnsi="SimSun" w:eastAsia="SimSun" w:cs="SimSun"/>
          <w:sz w:val="24"/>
          <w:szCs w:val="24"/>
          <w:spacing w:val="2"/>
        </w:rPr>
        <w:t>文件后，</w:t>
      </w:r>
      <w:r>
        <w:rPr>
          <w:rFonts w:ascii="SimSun" w:hAnsi="SimSun" w:eastAsia="SimSun" w:cs="SimSun"/>
          <w:sz w:val="24"/>
          <w:szCs w:val="24"/>
        </w:rPr>
        <w:t xml:space="preserve"> </w:t>
      </w:r>
      <w:r>
        <w:rPr>
          <w:rFonts w:ascii="SimSun" w:hAnsi="SimSun" w:eastAsia="SimSun" w:cs="SimSun"/>
          <w:sz w:val="24"/>
          <w:szCs w:val="24"/>
          <w:spacing w:val="10"/>
        </w:rPr>
        <w:t>应当在投入生产或使用并产生实际排污行为之前向许可证核发机关</w:t>
      </w:r>
      <w:r>
        <w:rPr>
          <w:rFonts w:ascii="SimSun" w:hAnsi="SimSun" w:eastAsia="SimSun" w:cs="SimSun"/>
          <w:sz w:val="24"/>
          <w:szCs w:val="24"/>
          <w:spacing w:val="9"/>
        </w:rPr>
        <w:t>提交申请材</w:t>
      </w:r>
      <w:r>
        <w:rPr>
          <w:rFonts w:ascii="SimSun" w:hAnsi="SimSun" w:eastAsia="SimSun" w:cs="SimSun"/>
          <w:sz w:val="24"/>
          <w:szCs w:val="24"/>
        </w:rPr>
        <w:t xml:space="preserve"> </w:t>
      </w:r>
      <w:r>
        <w:rPr>
          <w:rFonts w:ascii="SimSun" w:hAnsi="SimSun" w:eastAsia="SimSun" w:cs="SimSun"/>
          <w:sz w:val="24"/>
          <w:szCs w:val="24"/>
          <w:spacing w:val="-1"/>
        </w:rPr>
        <w:t>料，申领排污许可证。</w:t>
      </w:r>
    </w:p>
    <w:p>
      <w:pPr>
        <w:ind w:left="8" w:right="59" w:firstLine="484"/>
        <w:spacing w:before="1" w:line="360" w:lineRule="auto"/>
        <w:jc w:val="both"/>
        <w:rPr>
          <w:rFonts w:ascii="SimSun" w:hAnsi="SimSun" w:eastAsia="SimSun" w:cs="SimSun"/>
          <w:sz w:val="24"/>
          <w:szCs w:val="24"/>
        </w:rPr>
      </w:pPr>
      <w:r>
        <w:rPr>
          <w:rFonts w:ascii="SimSun" w:hAnsi="SimSun" w:eastAsia="SimSun" w:cs="SimSun"/>
          <w:sz w:val="24"/>
          <w:szCs w:val="24"/>
          <w:spacing w:val="3"/>
        </w:rPr>
        <w:t>企业申请排污许可证，应当在信息平台填报统一的《排污</w:t>
      </w:r>
      <w:r>
        <w:rPr>
          <w:rFonts w:ascii="SimSun" w:hAnsi="SimSun" w:eastAsia="SimSun" w:cs="SimSun"/>
          <w:sz w:val="24"/>
          <w:szCs w:val="24"/>
          <w:spacing w:val="2"/>
        </w:rPr>
        <w:t>许可证申请表》，</w:t>
      </w:r>
      <w:r>
        <w:rPr>
          <w:rFonts w:ascii="SimSun" w:hAnsi="SimSun" w:eastAsia="SimSun" w:cs="SimSun"/>
          <w:sz w:val="24"/>
          <w:szCs w:val="24"/>
        </w:rPr>
        <w:t xml:space="preserve"> </w:t>
      </w:r>
      <w:r>
        <w:rPr>
          <w:rFonts w:ascii="SimSun" w:hAnsi="SimSun" w:eastAsia="SimSun" w:cs="SimSun"/>
          <w:sz w:val="24"/>
          <w:szCs w:val="24"/>
          <w:spacing w:val="3"/>
        </w:rPr>
        <w:t>签署《守法承诺书》，并同时向许可证核发机关提交工商</w:t>
      </w:r>
      <w:r>
        <w:rPr>
          <w:rFonts w:ascii="SimSun" w:hAnsi="SimSun" w:eastAsia="SimSun" w:cs="SimSun"/>
          <w:sz w:val="24"/>
          <w:szCs w:val="24"/>
          <w:spacing w:val="2"/>
        </w:rPr>
        <w:t>营业执照和组织机构代</w:t>
      </w:r>
      <w:r>
        <w:rPr>
          <w:rFonts w:ascii="SimSun" w:hAnsi="SimSun" w:eastAsia="SimSun" w:cs="SimSun"/>
          <w:sz w:val="24"/>
          <w:szCs w:val="24"/>
        </w:rPr>
        <w:t xml:space="preserve"> </w:t>
      </w:r>
      <w:r>
        <w:rPr>
          <w:rFonts w:ascii="SimSun" w:hAnsi="SimSun" w:eastAsia="SimSun" w:cs="SimSun"/>
          <w:sz w:val="24"/>
          <w:szCs w:val="24"/>
          <w:spacing w:val="3"/>
        </w:rPr>
        <w:t>码证、排污许可证申请表、经环境保护主管部门批复的建</w:t>
      </w:r>
      <w:r>
        <w:rPr>
          <w:rFonts w:ascii="SimSun" w:hAnsi="SimSun" w:eastAsia="SimSun" w:cs="SimSun"/>
          <w:sz w:val="24"/>
          <w:szCs w:val="24"/>
          <w:spacing w:val="2"/>
        </w:rPr>
        <w:t>设项目环境影响评价文</w:t>
      </w:r>
      <w:r>
        <w:rPr>
          <w:rFonts w:ascii="SimSun" w:hAnsi="SimSun" w:eastAsia="SimSun" w:cs="SimSun"/>
          <w:sz w:val="24"/>
          <w:szCs w:val="24"/>
        </w:rPr>
        <w:t xml:space="preserve"> </w:t>
      </w:r>
      <w:r>
        <w:rPr>
          <w:rFonts w:ascii="SimSun" w:hAnsi="SimSun" w:eastAsia="SimSun" w:cs="SimSun"/>
          <w:sz w:val="24"/>
          <w:szCs w:val="24"/>
          <w:spacing w:val="3"/>
        </w:rPr>
        <w:t>件或排污单位经过整改并通过地方人民政府确认满足有关</w:t>
      </w:r>
      <w:r>
        <w:rPr>
          <w:rFonts w:ascii="SimSun" w:hAnsi="SimSun" w:eastAsia="SimSun" w:cs="SimSun"/>
          <w:sz w:val="24"/>
          <w:szCs w:val="24"/>
          <w:spacing w:val="2"/>
        </w:rPr>
        <w:t>规定的证明材料等。排</w:t>
      </w:r>
    </w:p>
    <w:p>
      <w:pPr>
        <w:spacing w:line="360" w:lineRule="auto"/>
        <w:sectPr>
          <w:headerReference w:type="default" r:id="rId16"/>
          <w:footerReference w:type="default" r:id="rId386"/>
          <w:pgSz w:w="11907" w:h="16840"/>
          <w:pgMar w:top="1567" w:right="1640" w:bottom="1921" w:left="1701" w:header="1221" w:footer="1247" w:gutter="0"/>
        </w:sectPr>
        <w:rPr>
          <w:rFonts w:ascii="SimSun" w:hAnsi="SimSun" w:eastAsia="SimSun" w:cs="SimSun"/>
          <w:sz w:val="24"/>
          <w:szCs w:val="24"/>
        </w:rPr>
      </w:pPr>
    </w:p>
    <w:p>
      <w:pPr>
        <w:ind w:left="8" w:right="78" w:firstLine="2"/>
        <w:spacing w:before="186" w:line="359" w:lineRule="auto"/>
        <w:jc w:val="both"/>
        <w:rPr>
          <w:rFonts w:ascii="SimSun" w:hAnsi="SimSun" w:eastAsia="SimSun" w:cs="SimSun"/>
          <w:sz w:val="24"/>
          <w:szCs w:val="24"/>
        </w:rPr>
      </w:pPr>
      <w:r>
        <w:pict>
          <v:shape id="_x0000_s1316" style="position:absolute;margin-left:85.05pt;margin-top:79.11pt;mso-position-vertical-relative:page;mso-position-horizontal-relative:page;width:425.25pt;height:0.75pt;z-index:252393472;" o:allowincell="f" fillcolor="#000000" filled="true" stroked="false" coordsize="8505,15" coordorigin="0,0" path="m,l8505,0l8505,14l0,14l0,0xe"/>
        </w:pict>
      </w:r>
      <w:r>
        <w:rPr>
          <w:rFonts w:ascii="SimSun" w:hAnsi="SimSun" w:eastAsia="SimSun" w:cs="SimSun"/>
          <w:sz w:val="24"/>
          <w:szCs w:val="24"/>
          <w:spacing w:val="3"/>
        </w:rPr>
        <w:t>污单位向城镇污水设施排放污水且申请执行间接排放</w:t>
      </w:r>
      <w:r>
        <w:rPr>
          <w:rFonts w:ascii="SimSun" w:hAnsi="SimSun" w:eastAsia="SimSun" w:cs="SimSun"/>
          <w:sz w:val="24"/>
          <w:szCs w:val="24"/>
          <w:spacing w:val="2"/>
        </w:rPr>
        <w:t>标准的，还应提交城镇或工</w:t>
      </w:r>
      <w:r>
        <w:rPr>
          <w:rFonts w:ascii="SimSun" w:hAnsi="SimSun" w:eastAsia="SimSun" w:cs="SimSun"/>
          <w:sz w:val="24"/>
          <w:szCs w:val="24"/>
        </w:rPr>
        <w:t xml:space="preserve"> </w:t>
      </w:r>
      <w:r>
        <w:rPr>
          <w:rFonts w:ascii="SimSun" w:hAnsi="SimSun" w:eastAsia="SimSun" w:cs="SimSun"/>
          <w:sz w:val="24"/>
          <w:szCs w:val="24"/>
          <w:spacing w:val="3"/>
        </w:rPr>
        <w:t>业污水集中处理设施运营单位同意接纳的材料。许可申请</w:t>
      </w:r>
      <w:r>
        <w:rPr>
          <w:rFonts w:ascii="SimSun" w:hAnsi="SimSun" w:eastAsia="SimSun" w:cs="SimSun"/>
          <w:sz w:val="24"/>
          <w:szCs w:val="24"/>
          <w:spacing w:val="2"/>
        </w:rPr>
        <w:t>文件内容由环境保护部</w:t>
      </w:r>
      <w:r>
        <w:rPr>
          <w:rFonts w:ascii="SimSun" w:hAnsi="SimSun" w:eastAsia="SimSun" w:cs="SimSun"/>
          <w:sz w:val="24"/>
          <w:szCs w:val="24"/>
        </w:rPr>
        <w:t xml:space="preserve"> </w:t>
      </w:r>
      <w:r>
        <w:rPr>
          <w:rFonts w:ascii="SimSun" w:hAnsi="SimSun" w:eastAsia="SimSun" w:cs="SimSun"/>
          <w:sz w:val="24"/>
          <w:szCs w:val="24"/>
          <w:spacing w:val="-1"/>
        </w:rPr>
        <w:t>统一制定的《排污许可证申请表》确定。</w:t>
      </w:r>
    </w:p>
    <w:p>
      <w:pPr>
        <w:ind w:left="8"/>
        <w:spacing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9.1.3.2 </w:t>
      </w:r>
      <w:r>
        <w:rPr>
          <w:rFonts w:ascii="SimSun" w:hAnsi="SimSun" w:eastAsia="SimSun" w:cs="SimSun"/>
          <w:sz w:val="24"/>
          <w:szCs w:val="24"/>
          <w:b/>
          <w:bCs/>
          <w:spacing w:val="-2"/>
        </w:rPr>
        <w:t>排污许可证登载内容及要求</w:t>
      </w:r>
    </w:p>
    <w:p>
      <w:pPr>
        <w:ind w:left="489"/>
        <w:spacing w:before="183" w:line="219" w:lineRule="auto"/>
        <w:rPr>
          <w:rFonts w:ascii="SimSun" w:hAnsi="SimSun" w:eastAsia="SimSun" w:cs="SimSun"/>
          <w:sz w:val="24"/>
          <w:szCs w:val="24"/>
        </w:rPr>
      </w:pPr>
      <w:r>
        <w:rPr>
          <w:rFonts w:ascii="SimSun" w:hAnsi="SimSun" w:eastAsia="SimSun" w:cs="SimSun"/>
          <w:sz w:val="24"/>
          <w:szCs w:val="24"/>
          <w:spacing w:val="-1"/>
        </w:rPr>
        <w:t>排污许可证内容包括载明内容、许可要求和管理要求三部分。</w:t>
      </w:r>
    </w:p>
    <w:p>
      <w:pPr>
        <w:ind w:left="501"/>
        <w:spacing w:before="180"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）载明内容</w:t>
      </w:r>
    </w:p>
    <w:p>
      <w:pPr>
        <w:ind w:left="10" w:right="78" w:firstLine="480"/>
        <w:spacing w:before="183" w:line="359" w:lineRule="auto"/>
        <w:rPr>
          <w:rFonts w:ascii="SimSun" w:hAnsi="SimSun" w:eastAsia="SimSun" w:cs="SimSun"/>
          <w:sz w:val="24"/>
          <w:szCs w:val="24"/>
        </w:rPr>
      </w:pPr>
      <w:r>
        <w:rPr>
          <w:rFonts w:ascii="SimSun" w:hAnsi="SimSun" w:eastAsia="SimSun" w:cs="SimSun"/>
          <w:sz w:val="24"/>
          <w:szCs w:val="24"/>
          <w:spacing w:val="3"/>
        </w:rPr>
        <w:t>载明内容主要包括企业基本信息、主要工艺设备（受控装置）及</w:t>
      </w:r>
      <w:r>
        <w:rPr>
          <w:rFonts w:ascii="SimSun" w:hAnsi="SimSun" w:eastAsia="SimSun" w:cs="SimSun"/>
          <w:sz w:val="24"/>
          <w:szCs w:val="24"/>
          <w:spacing w:val="2"/>
        </w:rPr>
        <w:t>污染源等载</w:t>
      </w:r>
      <w:r>
        <w:rPr>
          <w:rFonts w:ascii="SimSun" w:hAnsi="SimSun" w:eastAsia="SimSun" w:cs="SimSun"/>
          <w:sz w:val="24"/>
          <w:szCs w:val="24"/>
        </w:rPr>
        <w:t xml:space="preserve"> </w:t>
      </w:r>
      <w:r>
        <w:rPr>
          <w:rFonts w:ascii="SimSun" w:hAnsi="SimSun" w:eastAsia="SimSun" w:cs="SimSun"/>
          <w:sz w:val="24"/>
          <w:szCs w:val="24"/>
          <w:spacing w:val="3"/>
        </w:rPr>
        <w:t>明内容，并附生产工艺流程图、厂区总平面布置图等。</w:t>
      </w:r>
      <w:r>
        <w:rPr>
          <w:rFonts w:ascii="SimSun" w:hAnsi="SimSun" w:eastAsia="SimSun" w:cs="SimSun"/>
          <w:sz w:val="24"/>
          <w:szCs w:val="24"/>
          <w:spacing w:val="2"/>
        </w:rPr>
        <w:t>其中每个污染源通过规范</w:t>
      </w:r>
      <w:r>
        <w:rPr>
          <w:rFonts w:ascii="SimSun" w:hAnsi="SimSun" w:eastAsia="SimSun" w:cs="SimSun"/>
          <w:sz w:val="24"/>
          <w:szCs w:val="24"/>
        </w:rPr>
        <w:t xml:space="preserve"> </w:t>
      </w:r>
      <w:r>
        <w:rPr>
          <w:rFonts w:ascii="SimSun" w:hAnsi="SimSun" w:eastAsia="SimSun" w:cs="SimSun"/>
          <w:sz w:val="24"/>
          <w:szCs w:val="24"/>
          <w:spacing w:val="3"/>
        </w:rPr>
        <w:t>化的编码规定获得全国统一的唯一污染源编码。受控装</w:t>
      </w:r>
      <w:r>
        <w:rPr>
          <w:rFonts w:ascii="SimSun" w:hAnsi="SimSun" w:eastAsia="SimSun" w:cs="SimSun"/>
          <w:sz w:val="24"/>
          <w:szCs w:val="24"/>
          <w:spacing w:val="2"/>
        </w:rPr>
        <w:t>置和污染源识别是核定许</w:t>
      </w:r>
      <w:r>
        <w:rPr>
          <w:rFonts w:ascii="SimSun" w:hAnsi="SimSun" w:eastAsia="SimSun" w:cs="SimSun"/>
          <w:sz w:val="24"/>
          <w:szCs w:val="24"/>
        </w:rPr>
        <w:t xml:space="preserve"> </w:t>
      </w:r>
      <w:r>
        <w:rPr>
          <w:rFonts w:ascii="SimSun" w:hAnsi="SimSun" w:eastAsia="SimSun" w:cs="SimSun"/>
          <w:sz w:val="24"/>
          <w:szCs w:val="24"/>
          <w:spacing w:val="-1"/>
        </w:rPr>
        <w:t>可证排放许可浓度和许可量、明确许可要求和管理要求的基础。</w:t>
      </w:r>
    </w:p>
    <w:p>
      <w:pPr>
        <w:ind w:left="501"/>
        <w:spacing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）许可要求</w:t>
      </w:r>
    </w:p>
    <w:p>
      <w:pPr>
        <w:ind w:left="10" w:right="78" w:firstLine="480"/>
        <w:spacing w:before="180" w:line="359" w:lineRule="auto"/>
        <w:rPr>
          <w:rFonts w:ascii="SimSun" w:hAnsi="SimSun" w:eastAsia="SimSun" w:cs="SimSun"/>
          <w:sz w:val="24"/>
          <w:szCs w:val="24"/>
        </w:rPr>
      </w:pPr>
      <w:r>
        <w:rPr>
          <w:rFonts w:ascii="SimSun" w:hAnsi="SimSun" w:eastAsia="SimSun" w:cs="SimSun"/>
          <w:sz w:val="24"/>
          <w:szCs w:val="24"/>
          <w:spacing w:val="3"/>
        </w:rPr>
        <w:t>许可要求主要包括许可污染物排放的种类、浓度、数量以及排放</w:t>
      </w:r>
      <w:r>
        <w:rPr>
          <w:rFonts w:ascii="SimSun" w:hAnsi="SimSun" w:eastAsia="SimSun" w:cs="SimSun"/>
          <w:sz w:val="24"/>
          <w:szCs w:val="24"/>
          <w:spacing w:val="2"/>
        </w:rPr>
        <w:t>时间、排放</w:t>
      </w:r>
      <w:r>
        <w:rPr>
          <w:rFonts w:ascii="SimSun" w:hAnsi="SimSun" w:eastAsia="SimSun" w:cs="SimSun"/>
          <w:sz w:val="24"/>
          <w:szCs w:val="24"/>
        </w:rPr>
        <w:t xml:space="preserve"> </w:t>
      </w:r>
      <w:r>
        <w:rPr>
          <w:rFonts w:ascii="SimSun" w:hAnsi="SimSun" w:eastAsia="SimSun" w:cs="SimSun"/>
          <w:sz w:val="24"/>
          <w:szCs w:val="24"/>
          <w:spacing w:val="-2"/>
        </w:rPr>
        <w:t>方式和去向等。</w:t>
      </w:r>
    </w:p>
    <w:p>
      <w:pPr>
        <w:ind w:left="501"/>
        <w:spacing w:before="1"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）管理要求</w:t>
      </w:r>
    </w:p>
    <w:p>
      <w:pPr>
        <w:ind w:left="14" w:right="117" w:firstLine="480"/>
        <w:spacing w:before="182" w:line="359" w:lineRule="auto"/>
        <w:rPr>
          <w:rFonts w:ascii="SimSun" w:hAnsi="SimSun" w:eastAsia="SimSun" w:cs="SimSun"/>
          <w:sz w:val="24"/>
          <w:szCs w:val="24"/>
        </w:rPr>
      </w:pPr>
      <w:r>
        <w:rPr>
          <w:rFonts w:ascii="SimSun" w:hAnsi="SimSun" w:eastAsia="SimSun" w:cs="SimSun"/>
          <w:sz w:val="24"/>
          <w:szCs w:val="24"/>
        </w:rPr>
        <w:t>管理要求主要包括污染防治措施、</w:t>
      </w:r>
      <w:r>
        <w:rPr>
          <w:rFonts w:ascii="SimSun" w:hAnsi="SimSun" w:eastAsia="SimSun" w:cs="SimSun"/>
          <w:sz w:val="24"/>
          <w:szCs w:val="24"/>
          <w:spacing w:val="-66"/>
        </w:rPr>
        <w:t xml:space="preserve"> </w:t>
      </w:r>
      <w:r>
        <w:rPr>
          <w:rFonts w:ascii="SimSun" w:hAnsi="SimSun" w:eastAsia="SimSun" w:cs="SimSun"/>
          <w:sz w:val="24"/>
          <w:szCs w:val="24"/>
        </w:rPr>
        <w:t>自行监测、环境管理台账、信</w:t>
      </w:r>
      <w:r>
        <w:rPr>
          <w:rFonts w:ascii="SimSun" w:hAnsi="SimSun" w:eastAsia="SimSun" w:cs="SimSun"/>
          <w:sz w:val="24"/>
          <w:szCs w:val="24"/>
          <w:spacing w:val="-1"/>
        </w:rPr>
        <w:t>息公开等。</w:t>
      </w:r>
      <w:r>
        <w:rPr>
          <w:rFonts w:ascii="SimSun" w:hAnsi="SimSun" w:eastAsia="SimSun" w:cs="SimSun"/>
          <w:sz w:val="24"/>
          <w:szCs w:val="24"/>
        </w:rPr>
        <w:t xml:space="preserve"> </w:t>
      </w:r>
      <w:r>
        <w:rPr>
          <w:rFonts w:ascii="SimSun" w:hAnsi="SimSun" w:eastAsia="SimSun" w:cs="SimSun"/>
          <w:sz w:val="24"/>
          <w:szCs w:val="24"/>
          <w:spacing w:val="1"/>
        </w:rPr>
        <w:t>与核定污染物许可排放浓度和数量密切相关的生产工艺、原辅材料的相关参数，</w:t>
      </w:r>
      <w:r>
        <w:rPr>
          <w:rFonts w:ascii="SimSun" w:hAnsi="SimSun" w:eastAsia="SimSun" w:cs="SimSun"/>
          <w:sz w:val="24"/>
          <w:szCs w:val="24"/>
          <w:spacing w:val="15"/>
        </w:rPr>
        <w:t xml:space="preserve"> </w:t>
      </w:r>
      <w:r>
        <w:rPr>
          <w:rFonts w:ascii="SimSun" w:hAnsi="SimSun" w:eastAsia="SimSun" w:cs="SimSun"/>
          <w:sz w:val="24"/>
          <w:szCs w:val="24"/>
          <w:spacing w:val="-1"/>
        </w:rPr>
        <w:t>也可以作为排污许可证的许可要求。</w:t>
      </w:r>
    </w:p>
    <w:p>
      <w:pPr>
        <w:ind w:left="8"/>
        <w:spacing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9.1.3.3 </w:t>
      </w:r>
      <w:r>
        <w:rPr>
          <w:rFonts w:ascii="SimSun" w:hAnsi="SimSun" w:eastAsia="SimSun" w:cs="SimSun"/>
          <w:sz w:val="24"/>
          <w:szCs w:val="24"/>
          <w:b/>
          <w:bCs/>
          <w:spacing w:val="-2"/>
        </w:rPr>
        <w:t>排污口规范化管理</w:t>
      </w:r>
    </w:p>
    <w:p>
      <w:pPr>
        <w:ind w:left="8" w:right="78" w:firstLine="480"/>
        <w:spacing w:before="184" w:line="359" w:lineRule="auto"/>
        <w:jc w:val="both"/>
        <w:rPr>
          <w:rFonts w:ascii="SimSun" w:hAnsi="SimSun" w:eastAsia="SimSun" w:cs="SimSun"/>
          <w:sz w:val="24"/>
          <w:szCs w:val="24"/>
        </w:rPr>
      </w:pPr>
      <w:r>
        <w:rPr>
          <w:rFonts w:ascii="SimSun" w:hAnsi="SimSun" w:eastAsia="SimSun" w:cs="SimSun"/>
          <w:sz w:val="24"/>
          <w:szCs w:val="24"/>
          <w:spacing w:val="3"/>
        </w:rPr>
        <w:t>排污口是企业污染物进入环境的通道，强化排污口的管理是实施污</w:t>
      </w:r>
      <w:r>
        <w:rPr>
          <w:rFonts w:ascii="SimSun" w:hAnsi="SimSun" w:eastAsia="SimSun" w:cs="SimSun"/>
          <w:sz w:val="24"/>
          <w:szCs w:val="24"/>
          <w:spacing w:val="2"/>
        </w:rPr>
        <w:t>染物总量</w:t>
      </w:r>
      <w:r>
        <w:rPr>
          <w:rFonts w:ascii="SimSun" w:hAnsi="SimSun" w:eastAsia="SimSun" w:cs="SimSun"/>
          <w:sz w:val="24"/>
          <w:szCs w:val="24"/>
        </w:rPr>
        <w:t xml:space="preserve"> </w:t>
      </w:r>
      <w:r>
        <w:rPr>
          <w:rFonts w:ascii="SimSun" w:hAnsi="SimSun" w:eastAsia="SimSun" w:cs="SimSun"/>
          <w:sz w:val="24"/>
          <w:szCs w:val="24"/>
          <w:spacing w:val="3"/>
        </w:rPr>
        <w:t>控制的基础工作之一，也是区域环境管理逐步实现污染物</w:t>
      </w:r>
      <w:r>
        <w:rPr>
          <w:rFonts w:ascii="SimSun" w:hAnsi="SimSun" w:eastAsia="SimSun" w:cs="SimSun"/>
          <w:sz w:val="24"/>
          <w:szCs w:val="24"/>
          <w:spacing w:val="2"/>
        </w:rPr>
        <w:t>排放科学化、定量化的</w:t>
      </w:r>
      <w:r>
        <w:rPr>
          <w:rFonts w:ascii="SimSun" w:hAnsi="SimSun" w:eastAsia="SimSun" w:cs="SimSun"/>
          <w:sz w:val="24"/>
          <w:szCs w:val="24"/>
        </w:rPr>
        <w:t xml:space="preserve"> </w:t>
      </w:r>
      <w:r>
        <w:rPr>
          <w:rFonts w:ascii="SimSun" w:hAnsi="SimSun" w:eastAsia="SimSun" w:cs="SimSun"/>
          <w:sz w:val="24"/>
          <w:szCs w:val="24"/>
          <w:spacing w:val="-2"/>
        </w:rPr>
        <w:t>重要手段。</w:t>
      </w:r>
    </w:p>
    <w:p>
      <w:pPr>
        <w:spacing w:before="1" w:line="210" w:lineRule="auto"/>
        <w:jc w:val="right"/>
        <w:rPr>
          <w:rFonts w:ascii="SimSun" w:hAnsi="SimSun" w:eastAsia="SimSun" w:cs="SimSun"/>
          <w:sz w:val="24"/>
          <w:szCs w:val="24"/>
        </w:rPr>
      </w:pPr>
      <w:r>
        <w:rPr>
          <w:rFonts w:ascii="SimSun" w:hAnsi="SimSun" w:eastAsia="SimSun" w:cs="SimSun"/>
          <w:sz w:val="24"/>
          <w:szCs w:val="24"/>
          <w:spacing w:val="-9"/>
        </w:rPr>
        <w:t>（</w:t>
      </w:r>
      <w:r>
        <w:rPr>
          <w:rFonts w:ascii="Times New Roman" w:hAnsi="Times New Roman" w:eastAsia="Times New Roman" w:cs="Times New Roman"/>
          <w:sz w:val="24"/>
          <w:szCs w:val="24"/>
          <w:spacing w:val="-9"/>
        </w:rPr>
        <w:t>1</w:t>
      </w:r>
      <w:r>
        <w:rPr>
          <w:rFonts w:ascii="SimSun" w:hAnsi="SimSun" w:eastAsia="SimSun" w:cs="SimSun"/>
          <w:sz w:val="24"/>
          <w:szCs w:val="24"/>
          <w:spacing w:val="-9"/>
        </w:rPr>
        <w:t>）排污口的设置必须合理，按照环监</w:t>
      </w:r>
      <w:r>
        <w:rPr>
          <w:rFonts w:ascii="Times New Roman" w:hAnsi="Times New Roman" w:eastAsia="Times New Roman" w:cs="Times New Roman"/>
          <w:sz w:val="24"/>
          <w:szCs w:val="24"/>
          <w:spacing w:val="-9"/>
        </w:rPr>
        <w:t>[96]470</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9"/>
        </w:rPr>
        <w:t>号文件要求，进行规范化管理；</w:t>
      </w:r>
    </w:p>
    <w:p>
      <w:pPr>
        <w:ind w:left="8" w:right="80" w:firstLine="492"/>
        <w:spacing w:before="193" w:line="28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）根据工程的特点，考虑列入总量控制指标的污染物，排放烟</w:t>
      </w:r>
      <w:r>
        <w:rPr>
          <w:rFonts w:ascii="SimSun" w:hAnsi="SimSun" w:eastAsia="SimSun" w:cs="SimSun"/>
          <w:sz w:val="24"/>
          <w:szCs w:val="24"/>
          <w:spacing w:val="-2"/>
        </w:rPr>
        <w:t>尘、二氧化</w:t>
      </w:r>
      <w:r>
        <w:rPr>
          <w:rFonts w:ascii="SimSun" w:hAnsi="SimSun" w:eastAsia="SimSun" w:cs="SimSun"/>
          <w:sz w:val="24"/>
          <w:szCs w:val="24"/>
        </w:rPr>
        <w:t xml:space="preserve"> </w:t>
      </w:r>
      <w:r>
        <w:rPr>
          <w:rFonts w:ascii="SimSun" w:hAnsi="SimSun" w:eastAsia="SimSun" w:cs="SimSun"/>
          <w:sz w:val="24"/>
          <w:szCs w:val="24"/>
          <w:spacing w:val="-1"/>
        </w:rPr>
        <w:t>硫、氮氧化物的废气排污口为管理的重点；</w:t>
      </w:r>
    </w:p>
    <w:p>
      <w:pPr>
        <w:ind w:left="501"/>
        <w:spacing w:before="181"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）排污口应便于采样与计量检测，便于日常现场监督检查；</w:t>
      </w:r>
    </w:p>
    <w:p>
      <w:pPr>
        <w:ind w:left="11" w:firstLine="489"/>
        <w:spacing w:before="183" w:line="289" w:lineRule="auto"/>
        <w:rPr>
          <w:rFonts w:ascii="SimSun" w:hAnsi="SimSun" w:eastAsia="SimSun" w:cs="SimSun"/>
          <w:sz w:val="24"/>
          <w:szCs w:val="24"/>
        </w:rPr>
      </w:pPr>
      <w:r>
        <w:rPr>
          <w:rFonts w:ascii="SimSun" w:hAnsi="SimSun" w:eastAsia="SimSun" w:cs="SimSun"/>
          <w:sz w:val="24"/>
          <w:szCs w:val="24"/>
          <w:spacing w:val="-6"/>
        </w:rPr>
        <w:t>（</w:t>
      </w:r>
      <w:r>
        <w:rPr>
          <w:rFonts w:ascii="Times New Roman" w:hAnsi="Times New Roman" w:eastAsia="Times New Roman" w:cs="Times New Roman"/>
          <w:sz w:val="24"/>
          <w:szCs w:val="24"/>
          <w:spacing w:val="-6"/>
        </w:rPr>
        <w:t>4</w:t>
      </w:r>
      <w:r>
        <w:rPr>
          <w:rFonts w:ascii="SimSun" w:hAnsi="SimSun" w:eastAsia="SimSun" w:cs="SimSun"/>
          <w:sz w:val="24"/>
          <w:szCs w:val="24"/>
          <w:spacing w:val="-6"/>
        </w:rPr>
        <w:t>）如实向环保管理部门申报排污口数量、位置及所排放的主要污染物种类、</w:t>
      </w:r>
      <w:r>
        <w:rPr>
          <w:rFonts w:ascii="SimSun" w:hAnsi="SimSun" w:eastAsia="SimSun" w:cs="SimSun"/>
          <w:sz w:val="24"/>
          <w:szCs w:val="24"/>
          <w:spacing w:val="11"/>
        </w:rPr>
        <w:t xml:space="preserve"> </w:t>
      </w:r>
      <w:r>
        <w:rPr>
          <w:rFonts w:ascii="SimSun" w:hAnsi="SimSun" w:eastAsia="SimSun" w:cs="SimSun"/>
          <w:sz w:val="24"/>
          <w:szCs w:val="24"/>
          <w:spacing w:val="-1"/>
        </w:rPr>
        <w:t>数量、浓度、排放去向等情况；</w:t>
      </w:r>
    </w:p>
    <w:p>
      <w:pPr>
        <w:ind w:left="10" w:right="80" w:firstLine="490"/>
        <w:spacing w:before="182" w:line="28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）废气排气装置应设置便于采样、监测的平台，设置应符合《</w:t>
      </w:r>
      <w:r>
        <w:rPr>
          <w:rFonts w:ascii="SimSun" w:hAnsi="SimSun" w:eastAsia="SimSun" w:cs="SimSun"/>
          <w:sz w:val="24"/>
          <w:szCs w:val="24"/>
          <w:spacing w:val="-2"/>
        </w:rPr>
        <w:t>污染源监测</w:t>
      </w:r>
      <w:r>
        <w:rPr>
          <w:rFonts w:ascii="SimSun" w:hAnsi="SimSun" w:eastAsia="SimSun" w:cs="SimSun"/>
          <w:sz w:val="24"/>
          <w:szCs w:val="24"/>
        </w:rPr>
        <w:t xml:space="preserve"> </w:t>
      </w:r>
      <w:r>
        <w:rPr>
          <w:rFonts w:ascii="SimSun" w:hAnsi="SimSun" w:eastAsia="SimSun" w:cs="SimSun"/>
          <w:sz w:val="24"/>
          <w:szCs w:val="24"/>
          <w:spacing w:val="-2"/>
        </w:rPr>
        <w:t>技术规范》；</w:t>
      </w:r>
    </w:p>
    <w:p>
      <w:pPr>
        <w:ind w:left="7"/>
        <w:spacing w:before="247" w:line="227" w:lineRule="auto"/>
        <w:rPr>
          <w:rFonts w:ascii="SimSun" w:hAnsi="SimSun" w:eastAsia="SimSun" w:cs="SimSun"/>
          <w:sz w:val="19"/>
          <w:szCs w:val="19"/>
        </w:rPr>
      </w:pPr>
      <w:r>
        <w:pict>
          <v:shape id="_x0000_s1318" style="position:absolute;margin-left:159.33pt;margin-top:11.3633pt;mso-position-vertical-relative:text;mso-position-horizontal-relative:text;width:61pt;height:13.75pt;z-index:252392448;"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297</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11"/>
          <w:footerReference w:type="default" r:id="rId3"/>
          <w:pgSz w:w="11907" w:h="16840"/>
          <w:pgMar w:top="1567" w:right="1621" w:bottom="400" w:left="1701" w:header="1221" w:footer="0" w:gutter="0"/>
        </w:sectPr>
        <w:rPr>
          <w:rFonts w:ascii="SimSun" w:hAnsi="SimSun" w:eastAsia="SimSun" w:cs="SimSun"/>
          <w:sz w:val="19"/>
          <w:szCs w:val="19"/>
        </w:rPr>
      </w:pPr>
    </w:p>
    <w:p>
      <w:pPr>
        <w:ind w:left="501"/>
        <w:spacing w:before="169" w:line="219" w:lineRule="auto"/>
        <w:rPr>
          <w:rFonts w:ascii="SimSun" w:hAnsi="SimSun" w:eastAsia="SimSun" w:cs="SimSun"/>
          <w:sz w:val="24"/>
          <w:szCs w:val="24"/>
        </w:rPr>
      </w:pPr>
      <w:r>
        <w:pict>
          <v:shape id="_x0000_s1320" style="position:absolute;margin-left:85.05pt;margin-top:78.87pt;mso-position-vertical-relative:page;mso-position-horizontal-relative:page;width:425.25pt;height:0.75pt;z-index:252395520;" o:allowincell="f" fillcolor="#000000" filled="true" stroked="false" coordsize="8505,15" coordorigin="0,0" path="m,l8505,0l8505,14l0,14l0,0xe"/>
        </w:pict>
      </w:r>
      <w:r>
        <w:rPr>
          <w:rFonts w:ascii="SimSun" w:hAnsi="SimSun" w:eastAsia="SimSun" w:cs="SimSun"/>
          <w:sz w:val="24"/>
          <w:szCs w:val="24"/>
          <w:spacing w:val="-1"/>
        </w:rPr>
        <w:t>（</w:t>
      </w:r>
      <w:r>
        <w:rPr>
          <w:rFonts w:ascii="Times New Roman" w:hAnsi="Times New Roman" w:eastAsia="Times New Roman" w:cs="Times New Roman"/>
          <w:sz w:val="24"/>
          <w:szCs w:val="24"/>
          <w:spacing w:val="-1"/>
        </w:rPr>
        <w:t>6</w:t>
      </w:r>
      <w:r>
        <w:rPr>
          <w:rFonts w:ascii="SimSun" w:hAnsi="SimSun" w:eastAsia="SimSun" w:cs="SimSun"/>
          <w:sz w:val="24"/>
          <w:szCs w:val="24"/>
          <w:spacing w:val="-1"/>
        </w:rPr>
        <w:t>）工程固废堆存时，专用堆放场应设有防扬散、防流失、防渗漏措施。</w:t>
      </w:r>
    </w:p>
    <w:p>
      <w:pPr>
        <w:ind w:left="13" w:right="78" w:firstLine="476"/>
        <w:spacing w:before="181" w:line="359" w:lineRule="auto"/>
        <w:rPr>
          <w:rFonts w:ascii="SimSun" w:hAnsi="SimSun" w:eastAsia="SimSun" w:cs="SimSun"/>
          <w:sz w:val="24"/>
          <w:szCs w:val="24"/>
        </w:rPr>
      </w:pPr>
      <w:r>
        <w:rPr>
          <w:rFonts w:ascii="SimSun" w:hAnsi="SimSun" w:eastAsia="SimSun" w:cs="SimSun"/>
          <w:sz w:val="24"/>
          <w:szCs w:val="24"/>
        </w:rPr>
        <w:t>排污口应按照《环境保护图形标志》（</w:t>
      </w:r>
      <w:r>
        <w:rPr>
          <w:rFonts w:ascii="Times New Roman" w:hAnsi="Times New Roman" w:eastAsia="Times New Roman" w:cs="Times New Roman"/>
          <w:sz w:val="24"/>
          <w:szCs w:val="24"/>
        </w:rPr>
        <w:t>GB15562.1</w:t>
      </w:r>
      <w:r>
        <w:rPr>
          <w:rFonts w:ascii="Times New Roman" w:hAnsi="Times New Roman" w:eastAsia="Times New Roman" w:cs="Times New Roman"/>
          <w:sz w:val="24"/>
          <w:szCs w:val="24"/>
          <w:spacing w:val="-19"/>
        </w:rPr>
        <w:t xml:space="preserve"> </w:t>
      </w:r>
      <w:r>
        <w:rPr>
          <w:rFonts w:ascii="SimSun" w:hAnsi="SimSun" w:eastAsia="SimSun" w:cs="SimSun"/>
          <w:sz w:val="24"/>
          <w:szCs w:val="24"/>
        </w:rPr>
        <w:t>、</w:t>
      </w:r>
      <w:r>
        <w:rPr>
          <w:rFonts w:ascii="Times New Roman" w:hAnsi="Times New Roman" w:eastAsia="Times New Roman" w:cs="Times New Roman"/>
          <w:sz w:val="24"/>
          <w:szCs w:val="24"/>
        </w:rPr>
        <w:t>15562.2-1995</w:t>
      </w:r>
      <w:r>
        <w:rPr>
          <w:rFonts w:ascii="SimSun" w:hAnsi="SimSun" w:eastAsia="SimSun" w:cs="SimSun"/>
          <w:sz w:val="24"/>
          <w:szCs w:val="24"/>
        </w:rPr>
        <w:t>）的规定， </w:t>
      </w:r>
      <w:r>
        <w:rPr>
          <w:rFonts w:ascii="SimSun" w:hAnsi="SimSun" w:eastAsia="SimSun" w:cs="SimSun"/>
          <w:sz w:val="24"/>
          <w:szCs w:val="24"/>
          <w:spacing w:val="3"/>
        </w:rPr>
        <w:t>设置国家环保总局统一制作的环境保护图形标志</w:t>
      </w:r>
      <w:r>
        <w:rPr>
          <w:rFonts w:ascii="SimSun" w:hAnsi="SimSun" w:eastAsia="SimSun" w:cs="SimSun"/>
          <w:sz w:val="24"/>
          <w:szCs w:val="24"/>
          <w:spacing w:val="2"/>
        </w:rPr>
        <w:t>牌；且标志牌应设置在靠近采样</w:t>
      </w:r>
      <w:r>
        <w:rPr>
          <w:rFonts w:ascii="SimSun" w:hAnsi="SimSun" w:eastAsia="SimSun" w:cs="SimSun"/>
          <w:sz w:val="24"/>
          <w:szCs w:val="24"/>
        </w:rPr>
        <w:t xml:space="preserve"> </w:t>
      </w:r>
      <w:r>
        <w:rPr>
          <w:rFonts w:ascii="SimSun" w:hAnsi="SimSun" w:eastAsia="SimSun" w:cs="SimSun"/>
          <w:sz w:val="24"/>
          <w:szCs w:val="24"/>
          <w:spacing w:val="-1"/>
        </w:rPr>
        <w:t>点的醒目处，标志牌设置高度为其上缘距地面约</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2m</w:t>
      </w:r>
      <w:r>
        <w:rPr>
          <w:rFonts w:ascii="SimSun" w:hAnsi="SimSun" w:eastAsia="SimSun" w:cs="SimSun"/>
          <w:sz w:val="24"/>
          <w:szCs w:val="24"/>
          <w:spacing w:val="-1"/>
        </w:rPr>
        <w:t>。</w:t>
      </w:r>
    </w:p>
    <w:p>
      <w:pPr>
        <w:ind w:left="8"/>
        <w:spacing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9.1.3.4 </w:t>
      </w:r>
      <w:r>
        <w:rPr>
          <w:rFonts w:ascii="SimSun" w:hAnsi="SimSun" w:eastAsia="SimSun" w:cs="SimSun"/>
          <w:sz w:val="24"/>
          <w:szCs w:val="24"/>
          <w:b/>
          <w:bCs/>
          <w:spacing w:val="-2"/>
        </w:rPr>
        <w:t>环保主管部门监管</w:t>
      </w:r>
    </w:p>
    <w:p>
      <w:pPr>
        <w:ind w:left="9" w:right="78" w:firstLine="480"/>
        <w:spacing w:before="183" w:line="359" w:lineRule="auto"/>
        <w:jc w:val="both"/>
        <w:rPr>
          <w:rFonts w:ascii="SimSun" w:hAnsi="SimSun" w:eastAsia="SimSun" w:cs="SimSun"/>
          <w:sz w:val="24"/>
          <w:szCs w:val="24"/>
        </w:rPr>
      </w:pPr>
      <w:r>
        <w:rPr>
          <w:rFonts w:ascii="SimSun" w:hAnsi="SimSun" w:eastAsia="SimSun" w:cs="SimSun"/>
          <w:sz w:val="24"/>
          <w:szCs w:val="24"/>
          <w:spacing w:val="3"/>
        </w:rPr>
        <w:t>环境保护主管部门应当依据企业排污许可证登载的排污信息，制定</w:t>
      </w:r>
      <w:r>
        <w:rPr>
          <w:rFonts w:ascii="SimSun" w:hAnsi="SimSun" w:eastAsia="SimSun" w:cs="SimSun"/>
          <w:sz w:val="24"/>
          <w:szCs w:val="24"/>
          <w:spacing w:val="2"/>
        </w:rPr>
        <w:t>年度检查</w:t>
      </w:r>
      <w:r>
        <w:rPr>
          <w:rFonts w:ascii="SimSun" w:hAnsi="SimSun" w:eastAsia="SimSun" w:cs="SimSun"/>
          <w:sz w:val="24"/>
          <w:szCs w:val="24"/>
        </w:rPr>
        <w:t xml:space="preserve"> </w:t>
      </w:r>
      <w:r>
        <w:rPr>
          <w:rFonts w:ascii="SimSun" w:hAnsi="SimSun" w:eastAsia="SimSun" w:cs="SimSun"/>
          <w:sz w:val="24"/>
          <w:szCs w:val="24"/>
          <w:spacing w:val="1"/>
        </w:rPr>
        <w:t>计划，对企业固定污染源开展日常检查和监督性检查。根据检查情况、</w:t>
      </w:r>
      <w:r>
        <w:rPr>
          <w:rFonts w:ascii="SimSun" w:hAnsi="SimSun" w:eastAsia="SimSun" w:cs="SimSun"/>
          <w:sz w:val="24"/>
          <w:szCs w:val="24"/>
          <w:spacing w:val="-61"/>
        </w:rPr>
        <w:t xml:space="preserve"> </w:t>
      </w:r>
      <w:r>
        <w:rPr>
          <w:rFonts w:ascii="SimSun" w:hAnsi="SimSun" w:eastAsia="SimSun" w:cs="SimSun"/>
          <w:sz w:val="24"/>
          <w:szCs w:val="24"/>
          <w:spacing w:val="1"/>
        </w:rPr>
        <w:t>自动监测</w:t>
      </w:r>
      <w:r>
        <w:rPr>
          <w:rFonts w:ascii="SimSun" w:hAnsi="SimSun" w:eastAsia="SimSun" w:cs="SimSun"/>
          <w:sz w:val="24"/>
          <w:szCs w:val="24"/>
        </w:rPr>
        <w:t xml:space="preserve"> </w:t>
      </w:r>
      <w:r>
        <w:rPr>
          <w:rFonts w:ascii="SimSun" w:hAnsi="SimSun" w:eastAsia="SimSun" w:cs="SimSun"/>
          <w:sz w:val="24"/>
          <w:szCs w:val="24"/>
          <w:spacing w:val="3"/>
        </w:rPr>
        <w:t>数据、公众投诉以及企业诚信记录等，确定不同固定污</w:t>
      </w:r>
      <w:r>
        <w:rPr>
          <w:rFonts w:ascii="SimSun" w:hAnsi="SimSun" w:eastAsia="SimSun" w:cs="SimSun"/>
          <w:sz w:val="24"/>
          <w:szCs w:val="24"/>
          <w:spacing w:val="2"/>
        </w:rPr>
        <w:t>染源的监督检查和日常检</w:t>
      </w:r>
      <w:r>
        <w:rPr>
          <w:rFonts w:ascii="SimSun" w:hAnsi="SimSun" w:eastAsia="SimSun" w:cs="SimSun"/>
          <w:sz w:val="24"/>
          <w:szCs w:val="24"/>
        </w:rPr>
        <w:t xml:space="preserve"> </w:t>
      </w:r>
      <w:r>
        <w:rPr>
          <w:rFonts w:ascii="SimSun" w:hAnsi="SimSun" w:eastAsia="SimSun" w:cs="SimSun"/>
          <w:sz w:val="24"/>
          <w:szCs w:val="24"/>
          <w:spacing w:val="-3"/>
        </w:rPr>
        <w:t>查频次。</w:t>
      </w:r>
    </w:p>
    <w:p>
      <w:pPr>
        <w:ind w:left="14" w:firstLine="516"/>
        <w:spacing w:line="359" w:lineRule="auto"/>
        <w:rPr>
          <w:rFonts w:ascii="SimSun" w:hAnsi="SimSun" w:eastAsia="SimSun" w:cs="SimSun"/>
          <w:sz w:val="24"/>
          <w:szCs w:val="24"/>
        </w:rPr>
      </w:pPr>
      <w:r>
        <w:rPr>
          <w:rFonts w:ascii="SimSun" w:hAnsi="SimSun" w:eastAsia="SimSun" w:cs="SimSun"/>
          <w:sz w:val="24"/>
          <w:szCs w:val="24"/>
          <w:spacing w:val="1"/>
        </w:rPr>
        <w:t>日常检查主要审查执行报告、台账，核实是否符合许可证要求，对于检查结</w:t>
      </w:r>
      <w:r>
        <w:rPr>
          <w:rFonts w:ascii="SimSun" w:hAnsi="SimSun" w:eastAsia="SimSun" w:cs="SimSun"/>
          <w:sz w:val="24"/>
          <w:szCs w:val="24"/>
          <w:spacing w:val="18"/>
        </w:rPr>
        <w:t xml:space="preserve"> </w:t>
      </w:r>
      <w:r>
        <w:rPr>
          <w:rFonts w:ascii="SimSun" w:hAnsi="SimSun" w:eastAsia="SimSun" w:cs="SimSun"/>
          <w:sz w:val="24"/>
          <w:szCs w:val="24"/>
          <w:spacing w:val="-2"/>
        </w:rPr>
        <w:t>果不符合要求的情形，应当要求企业书面说明情况，并可依法要求企业进行整改。</w:t>
      </w:r>
    </w:p>
    <w:p>
      <w:pPr>
        <w:ind w:left="9" w:right="78" w:firstLine="480"/>
        <w:spacing w:line="359" w:lineRule="auto"/>
        <w:rPr>
          <w:rFonts w:ascii="SimSun" w:hAnsi="SimSun" w:eastAsia="SimSun" w:cs="SimSun"/>
          <w:sz w:val="24"/>
          <w:szCs w:val="24"/>
        </w:rPr>
      </w:pPr>
      <w:r>
        <w:rPr>
          <w:rFonts w:ascii="SimSun" w:hAnsi="SimSun" w:eastAsia="SimSun" w:cs="SimSun"/>
          <w:sz w:val="24"/>
          <w:szCs w:val="24"/>
          <w:spacing w:val="3"/>
        </w:rPr>
        <w:t>监督性检查是指派专人到现场开展执法监测，判定许可排放浓度</w:t>
      </w:r>
      <w:r>
        <w:rPr>
          <w:rFonts w:ascii="SimSun" w:hAnsi="SimSun" w:eastAsia="SimSun" w:cs="SimSun"/>
          <w:sz w:val="24"/>
          <w:szCs w:val="24"/>
          <w:spacing w:val="2"/>
        </w:rPr>
        <w:t>限值、许可</w:t>
      </w:r>
      <w:r>
        <w:rPr>
          <w:rFonts w:ascii="SimSun" w:hAnsi="SimSun" w:eastAsia="SimSun" w:cs="SimSun"/>
          <w:sz w:val="24"/>
          <w:szCs w:val="24"/>
        </w:rPr>
        <w:t xml:space="preserve"> </w:t>
      </w:r>
      <w:r>
        <w:rPr>
          <w:rFonts w:ascii="SimSun" w:hAnsi="SimSun" w:eastAsia="SimSun" w:cs="SimSun"/>
          <w:sz w:val="24"/>
          <w:szCs w:val="24"/>
          <w:spacing w:val="3"/>
        </w:rPr>
        <w:t>排放量限值、特殊时段排放限值的达标情况；审查污染防</w:t>
      </w:r>
      <w:r>
        <w:rPr>
          <w:rFonts w:ascii="SimSun" w:hAnsi="SimSun" w:eastAsia="SimSun" w:cs="SimSun"/>
          <w:sz w:val="24"/>
          <w:szCs w:val="24"/>
          <w:spacing w:val="2"/>
        </w:rPr>
        <w:t>治措施、监测及报告、</w:t>
      </w:r>
      <w:r>
        <w:rPr>
          <w:rFonts w:ascii="SimSun" w:hAnsi="SimSun" w:eastAsia="SimSun" w:cs="SimSun"/>
          <w:sz w:val="24"/>
          <w:szCs w:val="24"/>
        </w:rPr>
        <w:t xml:space="preserve"> </w:t>
      </w:r>
      <w:r>
        <w:rPr>
          <w:rFonts w:ascii="SimSun" w:hAnsi="SimSun" w:eastAsia="SimSun" w:cs="SimSun"/>
          <w:sz w:val="24"/>
          <w:szCs w:val="24"/>
          <w:spacing w:val="3"/>
        </w:rPr>
        <w:t>环境管理台账、信息公开等许可证要求执行情况。对于</w:t>
      </w:r>
      <w:r>
        <w:rPr>
          <w:rFonts w:ascii="SimSun" w:hAnsi="SimSun" w:eastAsia="SimSun" w:cs="SimSun"/>
          <w:sz w:val="24"/>
          <w:szCs w:val="24"/>
          <w:spacing w:val="2"/>
        </w:rPr>
        <w:t>重点企业，一年应至少开</w:t>
      </w:r>
      <w:r>
        <w:rPr>
          <w:rFonts w:ascii="SimSun" w:hAnsi="SimSun" w:eastAsia="SimSun" w:cs="SimSun"/>
          <w:sz w:val="24"/>
          <w:szCs w:val="24"/>
        </w:rPr>
        <w:t xml:space="preserve"> </w:t>
      </w:r>
      <w:r>
        <w:rPr>
          <w:rFonts w:ascii="SimSun" w:hAnsi="SimSun" w:eastAsia="SimSun" w:cs="SimSun"/>
          <w:sz w:val="24"/>
          <w:szCs w:val="24"/>
          <w:spacing w:val="-2"/>
        </w:rPr>
        <w:t>展一次监督性检查。</w:t>
      </w:r>
    </w:p>
    <w:p>
      <w:pPr>
        <w:ind w:left="11" w:right="78" w:firstLine="478"/>
        <w:spacing w:line="359" w:lineRule="auto"/>
        <w:jc w:val="both"/>
        <w:rPr>
          <w:rFonts w:ascii="SimSun" w:hAnsi="SimSun" w:eastAsia="SimSun" w:cs="SimSun"/>
          <w:sz w:val="24"/>
          <w:szCs w:val="24"/>
        </w:rPr>
      </w:pPr>
      <w:r>
        <w:rPr>
          <w:rFonts w:ascii="SimSun" w:hAnsi="SimSun" w:eastAsia="SimSun" w:cs="SimSun"/>
          <w:sz w:val="24"/>
          <w:szCs w:val="24"/>
          <w:spacing w:val="3"/>
        </w:rPr>
        <w:t>环境保护主管部门应做好检查记录，载入许可证并录入信息平台。</w:t>
      </w:r>
      <w:r>
        <w:rPr>
          <w:rFonts w:ascii="SimSun" w:hAnsi="SimSun" w:eastAsia="SimSun" w:cs="SimSun"/>
          <w:sz w:val="24"/>
          <w:szCs w:val="24"/>
          <w:spacing w:val="2"/>
        </w:rPr>
        <w:t>对于检查</w:t>
      </w:r>
      <w:r>
        <w:rPr>
          <w:rFonts w:ascii="SimSun" w:hAnsi="SimSun" w:eastAsia="SimSun" w:cs="SimSun"/>
          <w:sz w:val="24"/>
          <w:szCs w:val="24"/>
        </w:rPr>
        <w:t xml:space="preserve"> </w:t>
      </w:r>
      <w:r>
        <w:rPr>
          <w:rFonts w:ascii="SimSun" w:hAnsi="SimSun" w:eastAsia="SimSun" w:cs="SimSun"/>
          <w:sz w:val="24"/>
          <w:szCs w:val="24"/>
          <w:spacing w:val="3"/>
        </w:rPr>
        <w:t>结果不符合要求的企业，书面通知整改要求，加密检</w:t>
      </w:r>
      <w:r>
        <w:rPr>
          <w:rFonts w:ascii="SimSun" w:hAnsi="SimSun" w:eastAsia="SimSun" w:cs="SimSun"/>
          <w:sz w:val="24"/>
          <w:szCs w:val="24"/>
          <w:spacing w:val="2"/>
        </w:rPr>
        <w:t>查频次，依法依规督促整改</w:t>
      </w:r>
      <w:r>
        <w:rPr>
          <w:rFonts w:ascii="SimSun" w:hAnsi="SimSun" w:eastAsia="SimSun" w:cs="SimSun"/>
          <w:sz w:val="24"/>
          <w:szCs w:val="24"/>
        </w:rPr>
        <w:t xml:space="preserve"> </w:t>
      </w:r>
      <w:r>
        <w:rPr>
          <w:rFonts w:ascii="SimSun" w:hAnsi="SimSun" w:eastAsia="SimSun" w:cs="SimSun"/>
          <w:sz w:val="24"/>
          <w:szCs w:val="24"/>
          <w:spacing w:val="3"/>
        </w:rPr>
        <w:t>到位。发现企业存在无证排污、超标排污、偷排或者</w:t>
      </w:r>
      <w:r>
        <w:rPr>
          <w:rFonts w:ascii="SimSun" w:hAnsi="SimSun" w:eastAsia="SimSun" w:cs="SimSun"/>
          <w:sz w:val="24"/>
          <w:szCs w:val="24"/>
          <w:spacing w:val="2"/>
        </w:rPr>
        <w:t>伪造、篡改监测数据等行为</w:t>
      </w:r>
      <w:r>
        <w:rPr>
          <w:rFonts w:ascii="SimSun" w:hAnsi="SimSun" w:eastAsia="SimSun" w:cs="SimSun"/>
          <w:sz w:val="24"/>
          <w:szCs w:val="24"/>
        </w:rPr>
        <w:t xml:space="preserve"> </w:t>
      </w:r>
      <w:r>
        <w:rPr>
          <w:rFonts w:ascii="SimSun" w:hAnsi="SimSun" w:eastAsia="SimSun" w:cs="SimSun"/>
          <w:sz w:val="24"/>
          <w:szCs w:val="24"/>
          <w:spacing w:val="-4"/>
        </w:rPr>
        <w:t>的，环境保护主管部门应当依照相关法律法规要求予以处罚。环境保</w:t>
      </w:r>
      <w:r>
        <w:rPr>
          <w:rFonts w:ascii="SimSun" w:hAnsi="SimSun" w:eastAsia="SimSun" w:cs="SimSun"/>
          <w:sz w:val="24"/>
          <w:szCs w:val="24"/>
          <w:spacing w:val="-5"/>
        </w:rPr>
        <w:t>护部出台《排</w:t>
      </w:r>
      <w:r>
        <w:rPr>
          <w:rFonts w:ascii="SimSun" w:hAnsi="SimSun" w:eastAsia="SimSun" w:cs="SimSun"/>
          <w:sz w:val="24"/>
          <w:szCs w:val="24"/>
        </w:rPr>
        <w:t xml:space="preserve"> </w:t>
      </w:r>
      <w:r>
        <w:rPr>
          <w:rFonts w:ascii="SimSun" w:hAnsi="SimSun" w:eastAsia="SimSun" w:cs="SimSun"/>
          <w:sz w:val="24"/>
          <w:szCs w:val="24"/>
          <w:spacing w:val="3"/>
        </w:rPr>
        <w:t>污许可监督管理技术指南》等文件后，环境保护部门</w:t>
      </w:r>
      <w:r>
        <w:rPr>
          <w:rFonts w:ascii="SimSun" w:hAnsi="SimSun" w:eastAsia="SimSun" w:cs="SimSun"/>
          <w:sz w:val="24"/>
          <w:szCs w:val="24"/>
          <w:spacing w:val="2"/>
        </w:rPr>
        <w:t>监督执法行为按照该文件要</w:t>
      </w:r>
      <w:r>
        <w:rPr>
          <w:rFonts w:ascii="SimSun" w:hAnsi="SimSun" w:eastAsia="SimSun" w:cs="SimSun"/>
          <w:sz w:val="24"/>
          <w:szCs w:val="24"/>
        </w:rPr>
        <w:t xml:space="preserve"> </w:t>
      </w:r>
      <w:r>
        <w:rPr>
          <w:rFonts w:ascii="SimSun" w:hAnsi="SimSun" w:eastAsia="SimSun" w:cs="SimSun"/>
          <w:sz w:val="24"/>
          <w:szCs w:val="24"/>
          <w:spacing w:val="-3"/>
        </w:rPr>
        <w:t>求执行。</w:t>
      </w:r>
    </w:p>
    <w:p>
      <w:pPr>
        <w:ind w:left="8"/>
        <w:spacing w:before="1"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9.1.3.5 </w:t>
      </w:r>
      <w:r>
        <w:rPr>
          <w:rFonts w:ascii="SimSun" w:hAnsi="SimSun" w:eastAsia="SimSun" w:cs="SimSun"/>
          <w:sz w:val="24"/>
          <w:szCs w:val="24"/>
          <w:b/>
          <w:bCs/>
          <w:spacing w:val="-2"/>
        </w:rPr>
        <w:t>企业环境信息公开</w:t>
      </w:r>
    </w:p>
    <w:p>
      <w:pPr>
        <w:ind w:left="9" w:right="80" w:firstLine="482"/>
        <w:spacing w:before="184" w:line="358" w:lineRule="auto"/>
        <w:jc w:val="both"/>
        <w:rPr>
          <w:rFonts w:ascii="SimSun" w:hAnsi="SimSun" w:eastAsia="SimSun" w:cs="SimSun"/>
          <w:sz w:val="24"/>
          <w:szCs w:val="24"/>
        </w:rPr>
      </w:pPr>
      <w:r>
        <w:rPr>
          <w:rFonts w:ascii="SimSun" w:hAnsi="SimSun" w:eastAsia="SimSun" w:cs="SimSun"/>
          <w:sz w:val="24"/>
          <w:szCs w:val="24"/>
          <w:spacing w:val="-8"/>
        </w:rPr>
        <w:t>建设单位按照《关于加强污染源环境监管信息公开工作的通知》（环发</w:t>
      </w:r>
      <w:r>
        <w:rPr>
          <w:rFonts w:ascii="Times New Roman" w:hAnsi="Times New Roman" w:eastAsia="Times New Roman" w:cs="Times New Roman"/>
          <w:sz w:val="24"/>
          <w:szCs w:val="24"/>
          <w:spacing w:val="-8"/>
        </w:rPr>
        <w:t>[2013]74</w:t>
      </w:r>
      <w:r>
        <w:rPr>
          <w:rFonts w:ascii="Times New Roman" w:hAnsi="Times New Roman" w:eastAsia="Times New Roman" w:cs="Times New Roman"/>
          <w:sz w:val="24"/>
          <w:szCs w:val="24"/>
          <w:spacing w:val="2"/>
        </w:rPr>
        <w:t xml:space="preserve"> </w:t>
      </w:r>
      <w:r>
        <w:rPr>
          <w:rFonts w:ascii="SimSun" w:hAnsi="SimSun" w:eastAsia="SimSun" w:cs="SimSun"/>
          <w:sz w:val="24"/>
          <w:szCs w:val="24"/>
          <w:spacing w:val="-1"/>
        </w:rPr>
        <w:t>号）及《企业事业单位环境信息公开办法》</w:t>
      </w:r>
      <w:r>
        <w:rPr>
          <w:rFonts w:ascii="SimSun" w:hAnsi="SimSun" w:eastAsia="SimSun" w:cs="SimSun"/>
          <w:sz w:val="24"/>
          <w:szCs w:val="24"/>
          <w:spacing w:val="-2"/>
        </w:rPr>
        <w:t>（环保部令第</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号）的要求，在重点</w:t>
      </w:r>
      <w:r>
        <w:rPr>
          <w:rFonts w:ascii="SimSun" w:hAnsi="SimSun" w:eastAsia="SimSun" w:cs="SimSun"/>
          <w:sz w:val="24"/>
          <w:szCs w:val="24"/>
        </w:rPr>
        <w:t xml:space="preserve"> </w:t>
      </w:r>
      <w:r>
        <w:rPr>
          <w:rFonts w:ascii="SimSun" w:hAnsi="SimSun" w:eastAsia="SimSun" w:cs="SimSun"/>
          <w:sz w:val="24"/>
          <w:szCs w:val="24"/>
          <w:spacing w:val="-1"/>
        </w:rPr>
        <w:t>排污单位名录公布后九十日内，对以下内容进行公开：</w:t>
      </w:r>
    </w:p>
    <w:p>
      <w:pPr>
        <w:ind w:left="8" w:right="80" w:firstLine="492"/>
        <w:spacing w:before="1" w:line="29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）建设单位名称、组织机构代码、法定代表人、生产地址、联</w:t>
      </w:r>
      <w:r>
        <w:rPr>
          <w:rFonts w:ascii="SimSun" w:hAnsi="SimSun" w:eastAsia="SimSun" w:cs="SimSun"/>
          <w:sz w:val="24"/>
          <w:szCs w:val="24"/>
          <w:spacing w:val="-2"/>
        </w:rPr>
        <w:t>系方式，以</w:t>
      </w:r>
      <w:r>
        <w:rPr>
          <w:rFonts w:ascii="SimSun" w:hAnsi="SimSun" w:eastAsia="SimSun" w:cs="SimSun"/>
          <w:sz w:val="24"/>
          <w:szCs w:val="24"/>
        </w:rPr>
        <w:t xml:space="preserve"> </w:t>
      </w:r>
      <w:r>
        <w:rPr>
          <w:rFonts w:ascii="SimSun" w:hAnsi="SimSun" w:eastAsia="SimSun" w:cs="SimSun"/>
          <w:sz w:val="24"/>
          <w:szCs w:val="24"/>
          <w:spacing w:val="-1"/>
        </w:rPr>
        <w:t>及生产经营和管理服务的主要内容、产品及规模；</w:t>
      </w:r>
    </w:p>
    <w:p>
      <w:pPr>
        <w:ind w:left="501"/>
        <w:spacing w:before="180"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）污染物及特征污染物的名称、排放方式、排放口数量和分布</w:t>
      </w:r>
      <w:r>
        <w:rPr>
          <w:rFonts w:ascii="SimSun" w:hAnsi="SimSun" w:eastAsia="SimSun" w:cs="SimSun"/>
          <w:sz w:val="24"/>
          <w:szCs w:val="24"/>
          <w:spacing w:val="-2"/>
        </w:rPr>
        <w:t>情况、排放</w:t>
      </w:r>
    </w:p>
    <w:p>
      <w:pPr>
        <w:spacing w:line="219" w:lineRule="auto"/>
        <w:sectPr>
          <w:footerReference w:type="default" r:id="rId387"/>
          <w:pgSz w:w="11907" w:h="16840"/>
          <w:pgMar w:top="1567" w:right="1621" w:bottom="1921" w:left="1701" w:header="1221" w:footer="1247" w:gutter="0"/>
        </w:sectPr>
        <w:rPr>
          <w:rFonts w:ascii="SimSun" w:hAnsi="SimSun" w:eastAsia="SimSun" w:cs="SimSun"/>
          <w:sz w:val="24"/>
          <w:szCs w:val="24"/>
        </w:rPr>
      </w:pPr>
    </w:p>
    <w:p>
      <w:pPr>
        <w:ind w:left="9"/>
        <w:spacing w:before="188" w:line="219" w:lineRule="auto"/>
        <w:rPr>
          <w:rFonts w:ascii="SimSun" w:hAnsi="SimSun" w:eastAsia="SimSun" w:cs="SimSun"/>
          <w:sz w:val="24"/>
          <w:szCs w:val="24"/>
        </w:rPr>
      </w:pPr>
      <w:r>
        <w:pict>
          <v:shape id="_x0000_s1324" style="position:absolute;margin-left:85.05pt;margin-top:79.11pt;mso-position-vertical-relative:page;mso-position-horizontal-relative:page;width:425.25pt;height:0.75pt;z-index:252399616;" o:allowincell="f" fillcolor="#000000" filled="true" stroked="false" coordsize="8505,15" coordorigin="0,0" path="m,l8505,0l8505,14l0,14l0,0xe"/>
        </w:pict>
      </w:r>
      <w:r>
        <w:rPr>
          <w:rFonts w:ascii="SimSun" w:hAnsi="SimSun" w:eastAsia="SimSun" w:cs="SimSun"/>
          <w:sz w:val="24"/>
          <w:szCs w:val="24"/>
        </w:rPr>
        <w:t>浓度和总量、超标情况，以及执行的污染物排放</w:t>
      </w:r>
      <w:r>
        <w:rPr>
          <w:rFonts w:ascii="SimSun" w:hAnsi="SimSun" w:eastAsia="SimSun" w:cs="SimSun"/>
          <w:sz w:val="24"/>
          <w:szCs w:val="24"/>
          <w:spacing w:val="-1"/>
        </w:rPr>
        <w:t>标准、核定的排放总量；</w:t>
      </w:r>
    </w:p>
    <w:p>
      <w:pPr>
        <w:ind w:left="501"/>
        <w:spacing w:before="180"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）防治污染设施的建设和运行情况；</w:t>
      </w:r>
    </w:p>
    <w:p>
      <w:pPr>
        <w:ind w:left="501"/>
        <w:spacing w:before="179"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）建设项目环境影响评价及其他环境保护行政许可情况；</w:t>
      </w:r>
    </w:p>
    <w:p>
      <w:pPr>
        <w:ind w:left="501"/>
        <w:spacing w:before="185"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5</w:t>
      </w:r>
      <w:r>
        <w:rPr>
          <w:rFonts w:ascii="SimSun" w:hAnsi="SimSun" w:eastAsia="SimSun" w:cs="SimSun"/>
          <w:sz w:val="24"/>
          <w:szCs w:val="24"/>
          <w:spacing w:val="-2"/>
        </w:rPr>
        <w:t>）突发环境事件应急预案。</w:t>
      </w:r>
    </w:p>
    <w:p>
      <w:pPr>
        <w:ind w:left="497"/>
        <w:spacing w:before="182" w:line="221" w:lineRule="auto"/>
        <w:rPr>
          <w:rFonts w:ascii="SimSun" w:hAnsi="SimSun" w:eastAsia="SimSun" w:cs="SimSun"/>
          <w:sz w:val="24"/>
          <w:szCs w:val="24"/>
        </w:rPr>
      </w:pPr>
      <w:r>
        <w:rPr>
          <w:rFonts w:ascii="SimSun" w:hAnsi="SimSun" w:eastAsia="SimSun" w:cs="SimSun"/>
          <w:sz w:val="24"/>
          <w:szCs w:val="24"/>
          <w:spacing w:val="-4"/>
        </w:rPr>
        <w:t>公开方式：</w:t>
      </w:r>
    </w:p>
    <w:p>
      <w:pPr>
        <w:ind w:left="501"/>
        <w:spacing w:before="178"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）企业网站及工业园区管委会网站；</w:t>
      </w:r>
    </w:p>
    <w:p>
      <w:pPr>
        <w:ind w:left="501"/>
        <w:spacing w:before="184"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）企业办公楼显示屏；</w:t>
      </w:r>
    </w:p>
    <w:p>
      <w:pPr>
        <w:ind w:left="501"/>
        <w:spacing w:before="180" w:line="21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）企业公告栏、公示栏。</w:t>
      </w:r>
    </w:p>
    <w:p>
      <w:pPr>
        <w:ind w:left="9" w:firstLine="503"/>
        <w:spacing w:before="185" w:line="357" w:lineRule="auto"/>
        <w:jc w:val="both"/>
        <w:rPr>
          <w:rFonts w:ascii="SimSun" w:hAnsi="SimSun" w:eastAsia="SimSun" w:cs="SimSun"/>
          <w:sz w:val="24"/>
          <w:szCs w:val="24"/>
        </w:rPr>
      </w:pPr>
      <w:r>
        <w:rPr>
          <w:rFonts w:ascii="SimSun" w:hAnsi="SimSun" w:eastAsia="SimSun" w:cs="SimSun"/>
          <w:sz w:val="24"/>
          <w:szCs w:val="24"/>
          <w:spacing w:val="2"/>
        </w:rPr>
        <w:t>同时，建设单位按照《关于加强企业环境信用体系建设的指导意见》（环发</w:t>
      </w:r>
      <w:r>
        <w:rPr>
          <w:rFonts w:ascii="SimSun" w:hAnsi="SimSun" w:eastAsia="SimSun" w:cs="SimSun"/>
          <w:sz w:val="24"/>
          <w:szCs w:val="24"/>
          <w:spacing w:val="5"/>
        </w:rPr>
        <w:t xml:space="preserve"> </w:t>
      </w:r>
      <w:r>
        <w:rPr>
          <w:rFonts w:ascii="Times New Roman" w:hAnsi="Times New Roman" w:eastAsia="Times New Roman" w:cs="Times New Roman"/>
          <w:sz w:val="24"/>
          <w:szCs w:val="24"/>
        </w:rPr>
        <w:t>[2015]161 </w:t>
      </w:r>
      <w:r>
        <w:rPr>
          <w:rFonts w:ascii="SimSun" w:hAnsi="SimSun" w:eastAsia="SimSun" w:cs="SimSun"/>
          <w:sz w:val="24"/>
          <w:szCs w:val="24"/>
        </w:rPr>
        <w:t>号）的要求，定期在政府网站公布自身污染物监测数</w:t>
      </w:r>
      <w:r>
        <w:rPr>
          <w:rFonts w:ascii="SimSun" w:hAnsi="SimSun" w:eastAsia="SimSun" w:cs="SimSun"/>
          <w:sz w:val="24"/>
          <w:szCs w:val="24"/>
          <w:spacing w:val="-1"/>
        </w:rPr>
        <w:t>据以及区域环境质</w:t>
      </w:r>
      <w:r>
        <w:rPr>
          <w:rFonts w:ascii="SimSun" w:hAnsi="SimSun" w:eastAsia="SimSun" w:cs="SimSun"/>
          <w:sz w:val="24"/>
          <w:szCs w:val="24"/>
        </w:rPr>
        <w:t xml:space="preserve"> </w:t>
      </w:r>
      <w:r>
        <w:rPr>
          <w:rFonts w:ascii="SimSun" w:hAnsi="SimSun" w:eastAsia="SimSun" w:cs="SimSun"/>
          <w:sz w:val="24"/>
          <w:szCs w:val="24"/>
          <w:spacing w:val="-2"/>
        </w:rPr>
        <w:t>量现状监测数据。</w:t>
      </w:r>
    </w:p>
    <w:p>
      <w:pPr>
        <w:ind w:left="8"/>
        <w:spacing w:before="7" w:line="219"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5"/>
        </w:rPr>
        <w:t>9.1.3.6</w:t>
      </w:r>
      <w:r>
        <w:rPr>
          <w:rFonts w:ascii="Times New Roman" w:hAnsi="Times New Roman" w:eastAsia="Times New Roman" w:cs="Times New Roman"/>
          <w:sz w:val="24"/>
          <w:szCs w:val="24"/>
          <w:b/>
          <w:bCs/>
          <w:spacing w:val="53"/>
        </w:rPr>
        <w:t xml:space="preserve"> </w:t>
      </w:r>
      <w:r>
        <w:rPr>
          <w:rFonts w:ascii="SimSun" w:hAnsi="SimSun" w:eastAsia="SimSun" w:cs="SimSun"/>
          <w:sz w:val="24"/>
          <w:szCs w:val="24"/>
          <w:b/>
          <w:bCs/>
          <w:spacing w:val="-5"/>
        </w:rPr>
        <w:t>日常环境管理台账</w:t>
      </w:r>
    </w:p>
    <w:p>
      <w:pPr>
        <w:ind w:left="11" w:firstLine="481"/>
        <w:spacing w:before="183" w:line="359" w:lineRule="auto"/>
        <w:rPr>
          <w:rFonts w:ascii="SimSun" w:hAnsi="SimSun" w:eastAsia="SimSun" w:cs="SimSun"/>
          <w:sz w:val="24"/>
          <w:szCs w:val="24"/>
        </w:rPr>
      </w:pPr>
      <w:r>
        <w:rPr>
          <w:rFonts w:ascii="SimSun" w:hAnsi="SimSun" w:eastAsia="SimSun" w:cs="SimSun"/>
          <w:sz w:val="24"/>
          <w:szCs w:val="24"/>
          <w:spacing w:val="3"/>
        </w:rPr>
        <w:t>企业需建立环境管理台账制度，定期记录汇总生产报表、</w:t>
      </w:r>
      <w:r>
        <w:rPr>
          <w:rFonts w:ascii="SimSun" w:hAnsi="SimSun" w:eastAsia="SimSun" w:cs="SimSun"/>
          <w:sz w:val="24"/>
          <w:szCs w:val="24"/>
          <w:spacing w:val="2"/>
        </w:rPr>
        <w:t>原燃料报表、监测</w:t>
      </w:r>
      <w:r>
        <w:rPr>
          <w:rFonts w:ascii="SimSun" w:hAnsi="SimSun" w:eastAsia="SimSun" w:cs="SimSun"/>
          <w:sz w:val="24"/>
          <w:szCs w:val="24"/>
        </w:rPr>
        <w:t xml:space="preserve"> </w:t>
      </w:r>
      <w:r>
        <w:rPr>
          <w:rFonts w:ascii="SimSun" w:hAnsi="SimSun" w:eastAsia="SimSun" w:cs="SimSun"/>
          <w:sz w:val="24"/>
          <w:szCs w:val="24"/>
          <w:spacing w:val="-1"/>
        </w:rPr>
        <w:t>数据、环保设施台账、</w:t>
      </w:r>
      <w:r>
        <w:rPr>
          <w:rFonts w:ascii="Times New Roman" w:hAnsi="Times New Roman" w:eastAsia="Times New Roman" w:cs="Times New Roman"/>
          <w:sz w:val="24"/>
          <w:szCs w:val="24"/>
          <w:spacing w:val="-1"/>
        </w:rPr>
        <w:t>DCS</w:t>
      </w:r>
      <w:r>
        <w:rPr>
          <w:rFonts w:ascii="Times New Roman" w:hAnsi="Times New Roman" w:eastAsia="Times New Roman" w:cs="Times New Roman"/>
          <w:sz w:val="24"/>
          <w:szCs w:val="24"/>
          <w:spacing w:val="36"/>
        </w:rPr>
        <w:t xml:space="preserve"> </w:t>
      </w:r>
      <w:r>
        <w:rPr>
          <w:rFonts w:ascii="SimSun" w:hAnsi="SimSun" w:eastAsia="SimSun" w:cs="SimSun"/>
          <w:sz w:val="24"/>
          <w:szCs w:val="24"/>
          <w:spacing w:val="-1"/>
        </w:rPr>
        <w:t>曲线、固定污染</w:t>
      </w:r>
      <w:r>
        <w:rPr>
          <w:rFonts w:ascii="SimSun" w:hAnsi="SimSun" w:eastAsia="SimSun" w:cs="SimSun"/>
          <w:sz w:val="24"/>
          <w:szCs w:val="24"/>
          <w:spacing w:val="-2"/>
        </w:rPr>
        <w:t>源排放量核算报表等信息。企业应</w:t>
      </w:r>
    </w:p>
    <w:p>
      <w:pPr>
        <w:ind w:left="20" w:firstLine="473"/>
        <w:spacing w:line="362" w:lineRule="auto"/>
        <w:rPr>
          <w:rFonts w:ascii="SimSun" w:hAnsi="SimSun" w:eastAsia="SimSun" w:cs="SimSun"/>
          <w:sz w:val="24"/>
          <w:szCs w:val="24"/>
        </w:rPr>
      </w:pPr>
      <w:r>
        <w:rPr>
          <w:rFonts w:ascii="SimSun" w:hAnsi="SimSun" w:eastAsia="SimSun" w:cs="SimSun"/>
          <w:sz w:val="24"/>
          <w:szCs w:val="24"/>
          <w:spacing w:val="3"/>
        </w:rPr>
        <w:t>设置专职人员进行台账的记录、整理、维护和管理，并在</w:t>
      </w:r>
      <w:r>
        <w:rPr>
          <w:rFonts w:ascii="SimSun" w:hAnsi="SimSun" w:eastAsia="SimSun" w:cs="SimSun"/>
          <w:sz w:val="24"/>
          <w:szCs w:val="24"/>
          <w:spacing w:val="2"/>
        </w:rPr>
        <w:t>排污许可证管理信</w:t>
      </w:r>
      <w:r>
        <w:rPr>
          <w:rFonts w:ascii="SimSun" w:hAnsi="SimSun" w:eastAsia="SimSun" w:cs="SimSun"/>
          <w:sz w:val="24"/>
          <w:szCs w:val="24"/>
        </w:rPr>
        <w:t xml:space="preserve"> </w:t>
      </w:r>
      <w:r>
        <w:rPr>
          <w:rFonts w:ascii="SimSun" w:hAnsi="SimSun" w:eastAsia="SimSun" w:cs="SimSun"/>
          <w:sz w:val="24"/>
          <w:szCs w:val="24"/>
          <w:spacing w:val="-1"/>
        </w:rPr>
        <w:t>息平台实时记录。企业应对台账记录结果的真实性、准确性、完整性负责。</w:t>
      </w:r>
    </w:p>
    <w:p>
      <w:pPr>
        <w:ind w:left="12"/>
        <w:spacing w:before="159" w:line="222" w:lineRule="auto"/>
        <w:outlineLvl w:val="1"/>
        <w:rPr>
          <w:rFonts w:ascii="SimHei" w:hAnsi="SimHei" w:eastAsia="SimHei" w:cs="SimHei"/>
          <w:sz w:val="30"/>
          <w:szCs w:val="30"/>
        </w:rPr>
      </w:pPr>
      <w:bookmarkStart w:name="bookmark189" w:id="224"/>
      <w:bookmarkEnd w:id="224"/>
      <w:r>
        <w:rPr>
          <w:rFonts w:ascii="Times New Roman" w:hAnsi="Times New Roman" w:eastAsia="Times New Roman" w:cs="Times New Roman"/>
          <w:sz w:val="30"/>
          <w:szCs w:val="30"/>
          <w:spacing w:val="-2"/>
        </w:rPr>
        <w:t>9.2 </w:t>
      </w:r>
      <w:r>
        <w:rPr>
          <w:rFonts w:ascii="SimHei" w:hAnsi="SimHei" w:eastAsia="SimHei" w:cs="SimHei"/>
          <w:sz w:val="30"/>
          <w:szCs w:val="30"/>
          <w:spacing w:val="-2"/>
        </w:rPr>
        <w:t>环境监测计划</w:t>
      </w:r>
    </w:p>
    <w:p>
      <w:pPr>
        <w:pStyle w:val="BodyText"/>
        <w:spacing w:line="288" w:lineRule="auto"/>
        <w:rPr/>
      </w:pPr>
      <w:r/>
    </w:p>
    <w:p>
      <w:pPr>
        <w:ind w:left="11" w:right="2" w:firstLine="479"/>
        <w:spacing w:before="79" w:line="360" w:lineRule="auto"/>
        <w:jc w:val="both"/>
        <w:rPr>
          <w:rFonts w:ascii="SimSun" w:hAnsi="SimSun" w:eastAsia="SimSun" w:cs="SimSun"/>
          <w:sz w:val="24"/>
          <w:szCs w:val="24"/>
        </w:rPr>
      </w:pPr>
      <w:r>
        <w:rPr>
          <w:rFonts w:ascii="SimSun" w:hAnsi="SimSun" w:eastAsia="SimSun" w:cs="SimSun"/>
          <w:sz w:val="24"/>
          <w:szCs w:val="24"/>
        </w:rPr>
        <w:t>本次评价按照《排污单位自行监测技术指南 总则》（</w:t>
      </w:r>
      <w:r>
        <w:rPr>
          <w:rFonts w:ascii="Times New Roman" w:hAnsi="Times New Roman" w:eastAsia="Times New Roman" w:cs="Times New Roman"/>
          <w:sz w:val="24"/>
          <w:szCs w:val="24"/>
          <w:spacing w:val="-1"/>
        </w:rPr>
        <w:t>HJ819-2017</w:t>
      </w:r>
      <w:r>
        <w:rPr>
          <w:rFonts w:ascii="SimSun" w:hAnsi="SimSun" w:eastAsia="SimSun" w:cs="SimSun"/>
          <w:sz w:val="24"/>
          <w:szCs w:val="24"/>
          <w:spacing w:val="-1"/>
        </w:rPr>
        <w:t>）、《排污</w:t>
      </w:r>
      <w:r>
        <w:rPr>
          <w:rFonts w:ascii="SimSun" w:hAnsi="SimSun" w:eastAsia="SimSun" w:cs="SimSun"/>
          <w:sz w:val="24"/>
          <w:szCs w:val="24"/>
        </w:rPr>
        <w:t xml:space="preserve"> </w:t>
      </w:r>
      <w:r>
        <w:rPr>
          <w:rFonts w:ascii="SimSun" w:hAnsi="SimSun" w:eastAsia="SimSun" w:cs="SimSun"/>
          <w:sz w:val="24"/>
          <w:szCs w:val="24"/>
          <w:spacing w:val="-2"/>
        </w:rPr>
        <w:t>单位自行监测技术指南 纺织印染工业》（</w:t>
      </w:r>
      <w:r>
        <w:rPr>
          <w:rFonts w:ascii="Times New Roman" w:hAnsi="Times New Roman" w:eastAsia="Times New Roman" w:cs="Times New Roman"/>
          <w:sz w:val="24"/>
          <w:szCs w:val="24"/>
          <w:spacing w:val="-2"/>
        </w:rPr>
        <w:t>HJ</w:t>
      </w:r>
      <w:r>
        <w:rPr>
          <w:rFonts w:ascii="Times New Roman" w:hAnsi="Times New Roman" w:eastAsia="Times New Roman" w:cs="Times New Roman"/>
          <w:sz w:val="24"/>
          <w:szCs w:val="24"/>
          <w:spacing w:val="18"/>
        </w:rPr>
        <w:t xml:space="preserve"> </w:t>
      </w:r>
      <w:r>
        <w:rPr>
          <w:rFonts w:ascii="Times New Roman" w:hAnsi="Times New Roman" w:eastAsia="Times New Roman" w:cs="Times New Roman"/>
          <w:sz w:val="24"/>
          <w:szCs w:val="24"/>
          <w:spacing w:val="-2"/>
        </w:rPr>
        <w:t>879-2017</w:t>
      </w:r>
      <w:r>
        <w:rPr>
          <w:rFonts w:ascii="SimSun" w:hAnsi="SimSun" w:eastAsia="SimSun" w:cs="SimSun"/>
          <w:sz w:val="24"/>
          <w:szCs w:val="24"/>
          <w:spacing w:val="-3"/>
        </w:rPr>
        <w:t>）、《排污单位自行监测技</w:t>
      </w:r>
      <w:r>
        <w:rPr>
          <w:rFonts w:ascii="SimSun" w:hAnsi="SimSun" w:eastAsia="SimSun" w:cs="SimSun"/>
          <w:sz w:val="24"/>
          <w:szCs w:val="24"/>
        </w:rPr>
        <w:t xml:space="preserve"> </w:t>
      </w:r>
      <w:r>
        <w:rPr>
          <w:rFonts w:ascii="SimSun" w:hAnsi="SimSun" w:eastAsia="SimSun" w:cs="SimSun"/>
          <w:sz w:val="24"/>
          <w:szCs w:val="24"/>
          <w:spacing w:val="-3"/>
        </w:rPr>
        <w:t>术指南 火力发电及锅炉》（</w:t>
      </w:r>
      <w:r>
        <w:rPr>
          <w:rFonts w:ascii="Times New Roman" w:hAnsi="Times New Roman" w:eastAsia="Times New Roman" w:cs="Times New Roman"/>
          <w:sz w:val="24"/>
          <w:szCs w:val="24"/>
          <w:spacing w:val="-3"/>
        </w:rPr>
        <w:t>HJ820-2017</w:t>
      </w:r>
      <w:r>
        <w:rPr>
          <w:rFonts w:ascii="SimSun" w:hAnsi="SimSun" w:eastAsia="SimSun" w:cs="SimSun"/>
          <w:sz w:val="24"/>
          <w:szCs w:val="24"/>
          <w:spacing w:val="-3"/>
        </w:rPr>
        <w:t>）、《排污许可证申</w:t>
      </w:r>
      <w:r>
        <w:rPr>
          <w:rFonts w:ascii="SimSun" w:hAnsi="SimSun" w:eastAsia="SimSun" w:cs="SimSun"/>
          <w:sz w:val="24"/>
          <w:szCs w:val="24"/>
          <w:spacing w:val="-4"/>
        </w:rPr>
        <w:t>请与核发技术规范 纺</w:t>
      </w:r>
      <w:r>
        <w:rPr>
          <w:rFonts w:ascii="SimSun" w:hAnsi="SimSun" w:eastAsia="SimSun" w:cs="SimSun"/>
          <w:sz w:val="24"/>
          <w:szCs w:val="24"/>
        </w:rPr>
        <w:t xml:space="preserve"> </w:t>
      </w:r>
      <w:r>
        <w:rPr>
          <w:rFonts w:ascii="SimSun" w:hAnsi="SimSun" w:eastAsia="SimSun" w:cs="SimSun"/>
          <w:sz w:val="24"/>
          <w:szCs w:val="24"/>
          <w:spacing w:val="6"/>
        </w:rPr>
        <w:t>织印染工业》（</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6"/>
        </w:rPr>
        <w:t>861-2017</w:t>
      </w:r>
      <w:r>
        <w:rPr>
          <w:rFonts w:ascii="SimSun" w:hAnsi="SimSun" w:eastAsia="SimSun" w:cs="SimSun"/>
          <w:sz w:val="24"/>
          <w:szCs w:val="24"/>
          <w:spacing w:val="6"/>
        </w:rPr>
        <w:t>）、《排污许可证申</w:t>
      </w:r>
      <w:r>
        <w:rPr>
          <w:rFonts w:ascii="SimSun" w:hAnsi="SimSun" w:eastAsia="SimSun" w:cs="SimSun"/>
          <w:sz w:val="24"/>
          <w:szCs w:val="24"/>
          <w:spacing w:val="5"/>
        </w:rPr>
        <w:t>请与核发技术规范 工业噪声》</w:t>
      </w:r>
      <w:r>
        <w:rPr>
          <w:rFonts w:ascii="SimSun" w:hAnsi="SimSun" w:eastAsia="SimSun" w:cs="SimSun"/>
          <w:sz w:val="24"/>
          <w:szCs w:val="2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HJ1301-2023</w:t>
      </w:r>
      <w:r>
        <w:rPr>
          <w:rFonts w:ascii="SimSun" w:hAnsi="SimSun" w:eastAsia="SimSun" w:cs="SimSun"/>
          <w:sz w:val="24"/>
          <w:szCs w:val="24"/>
          <w:spacing w:val="-1"/>
        </w:rPr>
        <w:t>）制定项目运营期监测计划。</w:t>
      </w:r>
    </w:p>
    <w:p>
      <w:pPr>
        <w:ind w:left="11"/>
        <w:spacing w:before="156" w:line="222" w:lineRule="auto"/>
        <w:outlineLvl w:val="2"/>
        <w:rPr>
          <w:rFonts w:ascii="SimHei" w:hAnsi="SimHei" w:eastAsia="SimHei" w:cs="SimHei"/>
          <w:sz w:val="28"/>
          <w:szCs w:val="28"/>
        </w:rPr>
      </w:pPr>
      <w:bookmarkStart w:name="bookmark190" w:id="225"/>
      <w:bookmarkEnd w:id="225"/>
      <w:r>
        <w:rPr>
          <w:rFonts w:ascii="Times New Roman" w:hAnsi="Times New Roman" w:eastAsia="Times New Roman" w:cs="Times New Roman"/>
          <w:sz w:val="28"/>
          <w:szCs w:val="28"/>
          <w:spacing w:val="-1"/>
        </w:rPr>
        <w:t>9.2.1 </w:t>
      </w:r>
      <w:r>
        <w:rPr>
          <w:rFonts w:ascii="SimHei" w:hAnsi="SimHei" w:eastAsia="SimHei" w:cs="SimHei"/>
          <w:sz w:val="28"/>
          <w:szCs w:val="28"/>
          <w:spacing w:val="-1"/>
        </w:rPr>
        <w:t>废气排放监测</w:t>
      </w:r>
    </w:p>
    <w:p>
      <w:pPr>
        <w:pStyle w:val="BodyText"/>
        <w:spacing w:line="278" w:lineRule="auto"/>
        <w:rPr/>
      </w:pPr>
      <w:r/>
    </w:p>
    <w:p>
      <w:pPr>
        <w:ind w:left="8"/>
        <w:spacing w:before="79"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9.2.1.1 </w:t>
      </w:r>
      <w:r>
        <w:rPr>
          <w:rFonts w:ascii="SimSun" w:hAnsi="SimSun" w:eastAsia="SimSun" w:cs="SimSun"/>
          <w:sz w:val="24"/>
          <w:szCs w:val="24"/>
          <w:b/>
          <w:bCs/>
          <w:spacing w:val="-2"/>
        </w:rPr>
        <w:t>有组织排放监测</w:t>
      </w:r>
    </w:p>
    <w:p>
      <w:pPr>
        <w:ind w:left="501"/>
        <w:spacing w:before="180"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）主要大气污染源排放口</w:t>
      </w:r>
    </w:p>
    <w:p>
      <w:pPr>
        <w:ind w:left="490"/>
        <w:spacing w:before="181" w:line="219" w:lineRule="auto"/>
        <w:rPr>
          <w:rFonts w:ascii="SimSun" w:hAnsi="SimSun" w:eastAsia="SimSun" w:cs="SimSun"/>
          <w:sz w:val="24"/>
          <w:szCs w:val="24"/>
        </w:rPr>
      </w:pPr>
      <w:r>
        <w:rPr>
          <w:rFonts w:ascii="SimSun" w:hAnsi="SimSun" w:eastAsia="SimSun" w:cs="SimSun"/>
          <w:sz w:val="24"/>
          <w:szCs w:val="24"/>
          <w:spacing w:val="-1"/>
        </w:rPr>
        <w:t>本项目有组织污染源及排放口详见表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9.2-1</w:t>
      </w:r>
      <w:r>
        <w:rPr>
          <w:rFonts w:ascii="SimSun" w:hAnsi="SimSun" w:eastAsia="SimSun" w:cs="SimSun"/>
          <w:sz w:val="24"/>
          <w:szCs w:val="24"/>
          <w:spacing w:val="-1"/>
        </w:rPr>
        <w:t>。</w:t>
      </w:r>
    </w:p>
    <w:p>
      <w:pPr>
        <w:ind w:left="1813"/>
        <w:spacing w:before="181" w:line="220"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9"/>
        </w:rPr>
        <w:t xml:space="preserve"> </w:t>
      </w:r>
      <w:r>
        <w:rPr>
          <w:rFonts w:ascii="Times New Roman" w:hAnsi="Times New Roman" w:eastAsia="Times New Roman" w:cs="Times New Roman"/>
          <w:sz w:val="24"/>
          <w:szCs w:val="24"/>
          <w:b/>
          <w:bCs/>
          <w:spacing w:val="-2"/>
        </w:rPr>
        <w:t>9.2-1        </w:t>
      </w:r>
      <w:r>
        <w:rPr>
          <w:rFonts w:ascii="SimSun" w:hAnsi="SimSun" w:eastAsia="SimSun" w:cs="SimSun"/>
          <w:sz w:val="24"/>
          <w:szCs w:val="24"/>
          <w:b/>
          <w:bCs/>
          <w:spacing w:val="-2"/>
        </w:rPr>
        <w:t>厂区有组织污染源及排放口一览表</w:t>
      </w:r>
    </w:p>
    <w:p>
      <w:pPr>
        <w:pStyle w:val="BodyText"/>
        <w:spacing w:line="297" w:lineRule="auto"/>
        <w:rPr/>
      </w:pPr>
      <w:r/>
    </w:p>
    <w:p>
      <w:pPr>
        <w:ind w:left="7"/>
        <w:spacing w:before="63" w:line="227" w:lineRule="auto"/>
        <w:rPr>
          <w:rFonts w:ascii="SimSun" w:hAnsi="SimSun" w:eastAsia="SimSun" w:cs="SimSun"/>
          <w:sz w:val="19"/>
          <w:szCs w:val="19"/>
        </w:rPr>
      </w:pPr>
      <w:r>
        <w:pict>
          <v:shape id="_x0000_s1326" style="position:absolute;margin-left:159.33pt;margin-top:2.13381pt;mso-position-vertical-relative:text;mso-position-horizontal-relative:text;width:61pt;height:13.75pt;z-index:252398592;"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3"/>
                    </w:rPr>
                    <w:t>任公司</w:t>
                  </w:r>
                  <w:r>
                    <w:rPr>
                      <w:rFonts w:ascii="SimSun" w:hAnsi="SimSun" w:eastAsia="SimSun" w:cs="SimSun"/>
                      <w:sz w:val="19"/>
                      <w:szCs w:val="19"/>
                      <w:spacing w:val="12"/>
                    </w:rPr>
                    <w:t xml:space="preserve">   </w:t>
                  </w:r>
                  <w:r>
                    <w:rPr>
                      <w:rFonts w:ascii="Times New Roman" w:hAnsi="Times New Roman" w:eastAsia="Times New Roman" w:cs="Times New Roman"/>
                      <w:sz w:val="18"/>
                      <w:szCs w:val="18"/>
                      <w:spacing w:val="3"/>
                      <w:position w:val="2"/>
                    </w:rPr>
                    <w:t>299</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388"/>
          <w:footerReference w:type="default" r:id="rId3"/>
          <w:pgSz w:w="11907" w:h="16840"/>
          <w:pgMar w:top="1567" w:right="1699" w:bottom="400" w:left="1701" w:header="1221" w:footer="0" w:gutter="0"/>
        </w:sectPr>
        <w:rPr>
          <w:rFonts w:ascii="SimSun" w:hAnsi="SimSun" w:eastAsia="SimSun" w:cs="SimSun"/>
          <w:sz w:val="19"/>
          <w:szCs w:val="19"/>
        </w:rPr>
      </w:pPr>
    </w:p>
    <w:p>
      <w:pPr>
        <w:spacing w:line="133" w:lineRule="exact"/>
        <w:rPr/>
      </w:pPr>
      <w:r>
        <w:pict>
          <v:shape id="_x0000_s1328" style="position:absolute;margin-left:85.05pt;margin-top:78.87pt;mso-position-vertical-relative:page;mso-position-horizontal-relative:page;width:425.25pt;height:0.75pt;z-index:252401664;" o:allowincell="f" fillcolor="#000000" filled="true" stroked="false" coordsize="8505,15" coordorigin="0,0" path="m,l8505,0l8505,14l0,14l0,0xe"/>
        </w:pict>
      </w:r>
      <w:r/>
    </w:p>
    <w:tbl>
      <w:tblPr>
        <w:tblStyle w:val="TableNormal"/>
        <w:tblW w:w="855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32"/>
        <w:gridCol w:w="1614"/>
        <w:gridCol w:w="1669"/>
        <w:gridCol w:w="830"/>
        <w:gridCol w:w="773"/>
        <w:gridCol w:w="794"/>
        <w:gridCol w:w="1067"/>
        <w:gridCol w:w="1072"/>
      </w:tblGrid>
      <w:tr>
        <w:trPr>
          <w:trHeight w:val="259" w:hRule="atLeast"/>
        </w:trPr>
        <w:tc>
          <w:tcPr>
            <w:tcW w:w="732" w:type="dxa"/>
            <w:vAlign w:val="top"/>
            <w:vMerge w:val="restart"/>
            <w:tcBorders>
              <w:bottom w:val="nil"/>
            </w:tcBorders>
          </w:tcPr>
          <w:p>
            <w:pPr>
              <w:pStyle w:val="TableText"/>
              <w:ind w:left="163"/>
              <w:spacing w:before="155" w:line="228" w:lineRule="auto"/>
              <w:rPr/>
            </w:pPr>
            <w:r>
              <w:rPr>
                <w:spacing w:val="3"/>
              </w:rPr>
              <w:t>编号</w:t>
            </w:r>
          </w:p>
        </w:tc>
        <w:tc>
          <w:tcPr>
            <w:tcW w:w="1614" w:type="dxa"/>
            <w:vAlign w:val="top"/>
            <w:vMerge w:val="restart"/>
            <w:tcBorders>
              <w:bottom w:val="nil"/>
            </w:tcBorders>
          </w:tcPr>
          <w:p>
            <w:pPr>
              <w:pStyle w:val="TableText"/>
              <w:ind w:left="496"/>
              <w:spacing w:before="155" w:line="228" w:lineRule="auto"/>
              <w:rPr/>
            </w:pPr>
            <w:r>
              <w:rPr>
                <w:spacing w:val="6"/>
              </w:rPr>
              <w:t>污染源</w:t>
            </w:r>
          </w:p>
        </w:tc>
        <w:tc>
          <w:tcPr>
            <w:tcW w:w="1669" w:type="dxa"/>
            <w:vAlign w:val="top"/>
            <w:vMerge w:val="restart"/>
            <w:tcBorders>
              <w:bottom w:val="nil"/>
            </w:tcBorders>
          </w:tcPr>
          <w:p>
            <w:pPr>
              <w:pStyle w:val="TableText"/>
              <w:ind w:left="526"/>
              <w:spacing w:before="155" w:line="228" w:lineRule="auto"/>
              <w:rPr/>
            </w:pPr>
            <w:r>
              <w:rPr>
                <w:spacing w:val="6"/>
              </w:rPr>
              <w:t>污染物</w:t>
            </w:r>
          </w:p>
        </w:tc>
        <w:tc>
          <w:tcPr>
            <w:tcW w:w="2397" w:type="dxa"/>
            <w:vAlign w:val="top"/>
            <w:gridSpan w:val="3"/>
          </w:tcPr>
          <w:p>
            <w:pPr>
              <w:pStyle w:val="TableText"/>
              <w:ind w:left="785"/>
              <w:spacing w:before="25" w:line="206" w:lineRule="auto"/>
              <w:rPr/>
            </w:pPr>
            <w:r>
              <w:rPr>
                <w:spacing w:val="7"/>
              </w:rPr>
              <w:t>排放参数</w:t>
            </w:r>
          </w:p>
        </w:tc>
        <w:tc>
          <w:tcPr>
            <w:tcW w:w="1067" w:type="dxa"/>
            <w:vAlign w:val="top"/>
            <w:vMerge w:val="restart"/>
            <w:tcBorders>
              <w:bottom w:val="nil"/>
            </w:tcBorders>
          </w:tcPr>
          <w:p>
            <w:pPr>
              <w:pStyle w:val="TableText"/>
              <w:ind w:left="122"/>
              <w:spacing w:before="155" w:line="229" w:lineRule="auto"/>
              <w:rPr/>
            </w:pPr>
            <w:r>
              <w:rPr>
                <w:spacing w:val="7"/>
              </w:rPr>
              <w:t>监测点位</w:t>
            </w:r>
          </w:p>
        </w:tc>
        <w:tc>
          <w:tcPr>
            <w:tcW w:w="1072" w:type="dxa"/>
            <w:vAlign w:val="top"/>
            <w:vMerge w:val="restart"/>
            <w:tcBorders>
              <w:bottom w:val="nil"/>
            </w:tcBorders>
          </w:tcPr>
          <w:p>
            <w:pPr>
              <w:pStyle w:val="TableText"/>
              <w:ind w:left="123"/>
              <w:spacing w:before="155" w:line="228" w:lineRule="auto"/>
              <w:rPr/>
            </w:pPr>
            <w:r>
              <w:rPr>
                <w:spacing w:val="7"/>
              </w:rPr>
              <w:t>监测频次</w:t>
            </w:r>
          </w:p>
        </w:tc>
      </w:tr>
      <w:tr>
        <w:trPr>
          <w:trHeight w:val="255" w:hRule="atLeast"/>
        </w:trPr>
        <w:tc>
          <w:tcPr>
            <w:tcW w:w="732" w:type="dxa"/>
            <w:vAlign w:val="top"/>
            <w:vMerge w:val="continue"/>
            <w:tcBorders>
              <w:top w:val="nil"/>
            </w:tcBorders>
          </w:tcPr>
          <w:p>
            <w:pPr>
              <w:rPr>
                <w:rFonts w:ascii="Arial"/>
                <w:sz w:val="21"/>
              </w:rPr>
            </w:pPr>
            <w:r/>
          </w:p>
        </w:tc>
        <w:tc>
          <w:tcPr>
            <w:tcW w:w="1614" w:type="dxa"/>
            <w:vAlign w:val="top"/>
            <w:vMerge w:val="continue"/>
            <w:tcBorders>
              <w:top w:val="nil"/>
            </w:tcBorders>
          </w:tcPr>
          <w:p>
            <w:pPr>
              <w:rPr>
                <w:rFonts w:ascii="Arial"/>
                <w:sz w:val="21"/>
              </w:rPr>
            </w:pPr>
            <w:r/>
          </w:p>
        </w:tc>
        <w:tc>
          <w:tcPr>
            <w:tcW w:w="1669" w:type="dxa"/>
            <w:vAlign w:val="top"/>
            <w:vMerge w:val="continue"/>
            <w:tcBorders>
              <w:top w:val="nil"/>
            </w:tcBorders>
          </w:tcPr>
          <w:p>
            <w:pPr>
              <w:rPr>
                <w:rFonts w:ascii="Arial"/>
                <w:sz w:val="21"/>
              </w:rPr>
            </w:pPr>
            <w:r/>
          </w:p>
        </w:tc>
        <w:tc>
          <w:tcPr>
            <w:tcW w:w="830" w:type="dxa"/>
            <w:vAlign w:val="top"/>
          </w:tcPr>
          <w:p>
            <w:pPr>
              <w:pStyle w:val="TableText"/>
              <w:ind w:left="104"/>
              <w:spacing w:before="20" w:line="207" w:lineRule="auto"/>
              <w:rPr>
                <w:rFonts w:ascii="Times New Roman" w:hAnsi="Times New Roman" w:eastAsia="Times New Roman" w:cs="Times New Roman"/>
              </w:rPr>
            </w:pPr>
            <w:r>
              <w:rPr>
                <w:spacing w:val="3"/>
              </w:rPr>
              <w:t>高度</w:t>
            </w:r>
            <w:r>
              <w:rPr>
                <w:rFonts w:ascii="Times New Roman" w:hAnsi="Times New Roman" w:eastAsia="Times New Roman" w:cs="Times New Roman"/>
                <w:spacing w:val="3"/>
              </w:rPr>
              <w:t>/m</w:t>
            </w:r>
          </w:p>
        </w:tc>
        <w:tc>
          <w:tcPr>
            <w:tcW w:w="773" w:type="dxa"/>
            <w:vAlign w:val="top"/>
          </w:tcPr>
          <w:p>
            <w:pPr>
              <w:pStyle w:val="TableText"/>
              <w:ind w:left="96"/>
              <w:spacing w:before="20" w:line="207" w:lineRule="auto"/>
              <w:rPr>
                <w:rFonts w:ascii="Times New Roman" w:hAnsi="Times New Roman" w:eastAsia="Times New Roman" w:cs="Times New Roman"/>
              </w:rPr>
            </w:pPr>
            <w:r>
              <w:rPr>
                <w:spacing w:val="-2"/>
              </w:rPr>
              <w:t>内径</w:t>
            </w:r>
            <w:r>
              <w:rPr>
                <w:rFonts w:ascii="Times New Roman" w:hAnsi="Times New Roman" w:eastAsia="Times New Roman" w:cs="Times New Roman"/>
                <w:spacing w:val="-2"/>
              </w:rPr>
              <w:t>/m</w:t>
            </w:r>
          </w:p>
        </w:tc>
        <w:tc>
          <w:tcPr>
            <w:tcW w:w="794" w:type="dxa"/>
            <w:vAlign w:val="top"/>
          </w:tcPr>
          <w:p>
            <w:pPr>
              <w:pStyle w:val="TableText"/>
              <w:ind w:left="58"/>
              <w:spacing w:before="20" w:line="207" w:lineRule="auto"/>
              <w:rPr>
                <w:rFonts w:ascii="Times New Roman" w:hAnsi="Times New Roman" w:eastAsia="Times New Roman" w:cs="Times New Roman"/>
              </w:rPr>
            </w:pPr>
            <w:r>
              <w:rPr>
                <w:spacing w:val="5"/>
              </w:rPr>
              <w:t>温度</w:t>
            </w:r>
            <w:r>
              <w:rPr>
                <w:rFonts w:ascii="Times New Roman" w:hAnsi="Times New Roman" w:eastAsia="Times New Roman" w:cs="Times New Roman"/>
                <w:spacing w:val="5"/>
              </w:rPr>
              <w:t>/℃</w:t>
            </w:r>
          </w:p>
        </w:tc>
        <w:tc>
          <w:tcPr>
            <w:tcW w:w="1067" w:type="dxa"/>
            <w:vAlign w:val="top"/>
            <w:vMerge w:val="continue"/>
            <w:tcBorders>
              <w:top w:val="nil"/>
            </w:tcBorders>
          </w:tcPr>
          <w:p>
            <w:pPr>
              <w:rPr>
                <w:rFonts w:ascii="Arial"/>
                <w:sz w:val="21"/>
              </w:rPr>
            </w:pPr>
            <w:r/>
          </w:p>
        </w:tc>
        <w:tc>
          <w:tcPr>
            <w:tcW w:w="1072" w:type="dxa"/>
            <w:vAlign w:val="top"/>
            <w:vMerge w:val="continue"/>
            <w:tcBorders>
              <w:top w:val="nil"/>
            </w:tcBorders>
          </w:tcPr>
          <w:p>
            <w:pPr>
              <w:rPr>
                <w:rFonts w:ascii="Arial"/>
                <w:sz w:val="21"/>
              </w:rPr>
            </w:pPr>
            <w:r/>
          </w:p>
        </w:tc>
      </w:tr>
      <w:tr>
        <w:trPr>
          <w:trHeight w:val="504" w:hRule="atLeast"/>
        </w:trPr>
        <w:tc>
          <w:tcPr>
            <w:tcW w:w="732" w:type="dxa"/>
            <w:vAlign w:val="top"/>
          </w:tcPr>
          <w:p>
            <w:pPr>
              <w:ind w:left="58"/>
              <w:spacing w:before="18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z w:val="20"/>
                <w:szCs w:val="20"/>
                <w:spacing w:val="8"/>
              </w:rPr>
              <w:t>001</w:t>
            </w:r>
          </w:p>
        </w:tc>
        <w:tc>
          <w:tcPr>
            <w:tcW w:w="1614" w:type="dxa"/>
            <w:vAlign w:val="top"/>
          </w:tcPr>
          <w:p>
            <w:pPr>
              <w:pStyle w:val="TableText"/>
              <w:ind w:left="75"/>
              <w:spacing w:before="19" w:line="228" w:lineRule="auto"/>
              <w:rPr/>
            </w:pPr>
            <w:r>
              <w:rPr>
                <w:spacing w:val="8"/>
              </w:rPr>
              <w:t>开松除杂（东厂</w:t>
            </w:r>
          </w:p>
          <w:p>
            <w:pPr>
              <w:pStyle w:val="TableText"/>
              <w:ind w:left="616"/>
              <w:spacing w:before="5" w:line="205" w:lineRule="auto"/>
              <w:rPr/>
            </w:pPr>
            <w:r>
              <w:rPr>
                <w:spacing w:val="-8"/>
              </w:rPr>
              <w:t>区）</w:t>
            </w:r>
          </w:p>
        </w:tc>
        <w:tc>
          <w:tcPr>
            <w:tcW w:w="1669" w:type="dxa"/>
            <w:vAlign w:val="top"/>
          </w:tcPr>
          <w:p>
            <w:pPr>
              <w:pStyle w:val="TableText"/>
              <w:ind w:left="524"/>
              <w:spacing w:before="145" w:line="228" w:lineRule="auto"/>
              <w:rPr/>
            </w:pPr>
            <w:r>
              <w:rPr>
                <w:spacing w:val="7"/>
              </w:rPr>
              <w:t>颗粒物</w:t>
            </w:r>
          </w:p>
        </w:tc>
        <w:tc>
          <w:tcPr>
            <w:tcW w:w="830" w:type="dxa"/>
            <w:vAlign w:val="top"/>
          </w:tcPr>
          <w:p>
            <w:pPr>
              <w:ind w:left="331"/>
              <w:spacing w:before="18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773" w:type="dxa"/>
            <w:vAlign w:val="top"/>
          </w:tcPr>
          <w:p>
            <w:pPr>
              <w:ind w:left="262"/>
              <w:spacing w:before="18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794" w:type="dxa"/>
            <w:vAlign w:val="top"/>
          </w:tcPr>
          <w:p>
            <w:pPr>
              <w:ind w:left="294"/>
              <w:spacing w:before="18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1067" w:type="dxa"/>
            <w:vAlign w:val="top"/>
          </w:tcPr>
          <w:p>
            <w:pPr>
              <w:pStyle w:val="TableText"/>
              <w:ind w:left="15"/>
              <w:spacing w:before="147" w:line="228" w:lineRule="auto"/>
              <w:rPr/>
            </w:pPr>
            <w:r>
              <w:rPr>
                <w:spacing w:val="8"/>
              </w:rPr>
              <w:t>排气筒出口</w:t>
            </w:r>
          </w:p>
        </w:tc>
        <w:tc>
          <w:tcPr>
            <w:tcW w:w="1072" w:type="dxa"/>
            <w:vAlign w:val="top"/>
          </w:tcPr>
          <w:p>
            <w:pPr>
              <w:pStyle w:val="TableText"/>
              <w:ind w:left="122"/>
              <w:spacing w:before="147" w:line="228" w:lineRule="auto"/>
              <w:rPr/>
            </w:pPr>
            <w:r>
              <w:rPr>
                <w:spacing w:val="-3"/>
              </w:rPr>
              <w:t>每年</w:t>
            </w:r>
            <w:r>
              <w:rPr>
                <w:spacing w:val="-23"/>
              </w:rPr>
              <w:t xml:space="preserve"> </w:t>
            </w:r>
            <w:r>
              <w:rPr>
                <w:rFonts w:ascii="Times New Roman" w:hAnsi="Times New Roman" w:eastAsia="Times New Roman" w:cs="Times New Roman"/>
                <w:spacing w:val="-3"/>
              </w:rPr>
              <w:t>1</w:t>
            </w:r>
            <w:r>
              <w:rPr>
                <w:rFonts w:ascii="Times New Roman" w:hAnsi="Times New Roman" w:eastAsia="Times New Roman" w:cs="Times New Roman"/>
                <w:spacing w:val="18"/>
              </w:rPr>
              <w:t xml:space="preserve"> </w:t>
            </w:r>
            <w:r>
              <w:rPr>
                <w:spacing w:val="-3"/>
              </w:rPr>
              <w:t>次</w:t>
            </w:r>
          </w:p>
        </w:tc>
      </w:tr>
      <w:tr>
        <w:trPr>
          <w:trHeight w:val="504" w:hRule="atLeast"/>
        </w:trPr>
        <w:tc>
          <w:tcPr>
            <w:tcW w:w="732" w:type="dxa"/>
            <w:vAlign w:val="top"/>
          </w:tcPr>
          <w:p>
            <w:pPr>
              <w:ind w:left="58"/>
              <w:spacing w:before="18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z w:val="20"/>
                <w:szCs w:val="20"/>
                <w:spacing w:val="8"/>
              </w:rPr>
              <w:t>002</w:t>
            </w:r>
          </w:p>
        </w:tc>
        <w:tc>
          <w:tcPr>
            <w:tcW w:w="1614" w:type="dxa"/>
            <w:vAlign w:val="top"/>
          </w:tcPr>
          <w:p>
            <w:pPr>
              <w:pStyle w:val="TableText"/>
              <w:ind w:left="75"/>
              <w:spacing w:before="22" w:line="228" w:lineRule="auto"/>
              <w:rPr/>
            </w:pPr>
            <w:r>
              <w:rPr>
                <w:spacing w:val="8"/>
              </w:rPr>
              <w:t>开松除杂（东厂</w:t>
            </w:r>
          </w:p>
          <w:p>
            <w:pPr>
              <w:pStyle w:val="TableText"/>
              <w:ind w:left="616"/>
              <w:spacing w:before="2" w:line="205" w:lineRule="auto"/>
              <w:rPr/>
            </w:pPr>
            <w:r>
              <w:rPr>
                <w:spacing w:val="-8"/>
              </w:rPr>
              <w:t>区）</w:t>
            </w:r>
          </w:p>
        </w:tc>
        <w:tc>
          <w:tcPr>
            <w:tcW w:w="1669" w:type="dxa"/>
            <w:vAlign w:val="top"/>
          </w:tcPr>
          <w:p>
            <w:pPr>
              <w:pStyle w:val="TableText"/>
              <w:ind w:left="524"/>
              <w:spacing w:before="147" w:line="228" w:lineRule="auto"/>
              <w:rPr/>
            </w:pPr>
            <w:r>
              <w:rPr>
                <w:spacing w:val="7"/>
              </w:rPr>
              <w:t>颗粒物</w:t>
            </w:r>
          </w:p>
        </w:tc>
        <w:tc>
          <w:tcPr>
            <w:tcW w:w="830" w:type="dxa"/>
            <w:vAlign w:val="top"/>
          </w:tcPr>
          <w:p>
            <w:pPr>
              <w:ind w:left="331"/>
              <w:spacing w:before="18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773" w:type="dxa"/>
            <w:vAlign w:val="top"/>
          </w:tcPr>
          <w:p>
            <w:pPr>
              <w:ind w:left="262"/>
              <w:spacing w:before="18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794" w:type="dxa"/>
            <w:vAlign w:val="top"/>
          </w:tcPr>
          <w:p>
            <w:pPr>
              <w:ind w:left="294"/>
              <w:spacing w:before="183"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1067" w:type="dxa"/>
            <w:vAlign w:val="top"/>
          </w:tcPr>
          <w:p>
            <w:pPr>
              <w:pStyle w:val="TableText"/>
              <w:ind w:left="15"/>
              <w:spacing w:before="146" w:line="228" w:lineRule="auto"/>
              <w:rPr/>
            </w:pPr>
            <w:r>
              <w:rPr>
                <w:spacing w:val="8"/>
              </w:rPr>
              <w:t>排气筒出口</w:t>
            </w:r>
          </w:p>
        </w:tc>
        <w:tc>
          <w:tcPr>
            <w:tcW w:w="1072" w:type="dxa"/>
            <w:vAlign w:val="top"/>
          </w:tcPr>
          <w:p>
            <w:pPr>
              <w:pStyle w:val="TableText"/>
              <w:ind w:left="122"/>
              <w:spacing w:before="146" w:line="228" w:lineRule="auto"/>
              <w:rPr/>
            </w:pPr>
            <w:r>
              <w:rPr>
                <w:spacing w:val="-3"/>
              </w:rPr>
              <w:t>每年</w:t>
            </w:r>
            <w:r>
              <w:rPr>
                <w:spacing w:val="-23"/>
              </w:rPr>
              <w:t xml:space="preserve"> </w:t>
            </w:r>
            <w:r>
              <w:rPr>
                <w:rFonts w:ascii="Times New Roman" w:hAnsi="Times New Roman" w:eastAsia="Times New Roman" w:cs="Times New Roman"/>
                <w:spacing w:val="-3"/>
              </w:rPr>
              <w:t>1</w:t>
            </w:r>
            <w:r>
              <w:rPr>
                <w:rFonts w:ascii="Times New Roman" w:hAnsi="Times New Roman" w:eastAsia="Times New Roman" w:cs="Times New Roman"/>
                <w:spacing w:val="18"/>
              </w:rPr>
              <w:t xml:space="preserve"> </w:t>
            </w:r>
            <w:r>
              <w:rPr>
                <w:spacing w:val="-3"/>
              </w:rPr>
              <w:t>次</w:t>
            </w:r>
          </w:p>
        </w:tc>
      </w:tr>
      <w:tr>
        <w:trPr>
          <w:trHeight w:val="246" w:hRule="atLeast"/>
        </w:trPr>
        <w:tc>
          <w:tcPr>
            <w:tcW w:w="732" w:type="dxa"/>
            <w:vAlign w:val="top"/>
            <w:vMerge w:val="restart"/>
            <w:tcBorders>
              <w:bottom w:val="nil"/>
            </w:tcBorders>
          </w:tcPr>
          <w:p>
            <w:pPr>
              <w:ind w:left="58"/>
              <w:spacing w:before="18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z w:val="20"/>
                <w:szCs w:val="20"/>
                <w:spacing w:val="8"/>
              </w:rPr>
              <w:t>003</w:t>
            </w:r>
          </w:p>
        </w:tc>
        <w:tc>
          <w:tcPr>
            <w:tcW w:w="1614" w:type="dxa"/>
            <w:vAlign w:val="top"/>
            <w:vMerge w:val="restart"/>
            <w:tcBorders>
              <w:bottom w:val="nil"/>
            </w:tcBorders>
          </w:tcPr>
          <w:p>
            <w:pPr>
              <w:pStyle w:val="TableText"/>
              <w:ind w:left="706" w:right="73" w:hanging="632"/>
              <w:spacing w:before="22" w:line="218" w:lineRule="auto"/>
              <w:rPr/>
            </w:pPr>
            <w:r>
              <w:rPr>
                <w:spacing w:val="8"/>
              </w:rPr>
              <w:t>废水收集池等池</w:t>
            </w:r>
            <w:r>
              <w:rPr>
                <w:spacing w:val="4"/>
              </w:rPr>
              <w:t xml:space="preserve"> </w:t>
            </w:r>
            <w:r>
              <w:rPr/>
              <w:t>体</w:t>
            </w:r>
          </w:p>
        </w:tc>
        <w:tc>
          <w:tcPr>
            <w:tcW w:w="1669" w:type="dxa"/>
            <w:vAlign w:val="top"/>
          </w:tcPr>
          <w:p>
            <w:pPr>
              <w:ind w:left="644"/>
              <w:spacing w:before="58" w:line="185"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NH</w:t>
            </w:r>
            <w:r>
              <w:rPr>
                <w:rFonts w:ascii="Times New Roman" w:hAnsi="Times New Roman" w:eastAsia="Times New Roman" w:cs="Times New Roman"/>
                <w:sz w:val="13"/>
                <w:szCs w:val="13"/>
                <w:spacing w:val="6"/>
                <w:position w:val="-1"/>
              </w:rPr>
              <w:t>3</w:t>
            </w:r>
          </w:p>
        </w:tc>
        <w:tc>
          <w:tcPr>
            <w:tcW w:w="830" w:type="dxa"/>
            <w:vAlign w:val="top"/>
            <w:vMerge w:val="restart"/>
            <w:tcBorders>
              <w:bottom w:val="nil"/>
            </w:tcBorders>
          </w:tcPr>
          <w:p>
            <w:pPr>
              <w:ind w:left="331"/>
              <w:spacing w:before="18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15</w:t>
            </w:r>
          </w:p>
        </w:tc>
        <w:tc>
          <w:tcPr>
            <w:tcW w:w="773" w:type="dxa"/>
            <w:vAlign w:val="top"/>
            <w:vMerge w:val="restart"/>
            <w:tcBorders>
              <w:bottom w:val="nil"/>
            </w:tcBorders>
          </w:tcPr>
          <w:p>
            <w:pPr>
              <w:ind w:left="262"/>
              <w:spacing w:before="18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
              </w:rPr>
              <w:t>0.2</w:t>
            </w:r>
          </w:p>
        </w:tc>
        <w:tc>
          <w:tcPr>
            <w:tcW w:w="794" w:type="dxa"/>
            <w:vAlign w:val="top"/>
            <w:vMerge w:val="restart"/>
            <w:tcBorders>
              <w:bottom w:val="nil"/>
            </w:tcBorders>
          </w:tcPr>
          <w:p>
            <w:pPr>
              <w:ind w:left="294"/>
              <w:spacing w:before="185"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25</w:t>
            </w:r>
          </w:p>
        </w:tc>
        <w:tc>
          <w:tcPr>
            <w:tcW w:w="1067" w:type="dxa"/>
            <w:vAlign w:val="top"/>
            <w:vMerge w:val="restart"/>
            <w:tcBorders>
              <w:bottom w:val="nil"/>
            </w:tcBorders>
          </w:tcPr>
          <w:p>
            <w:pPr>
              <w:pStyle w:val="TableText"/>
              <w:ind w:left="15"/>
              <w:spacing w:before="149" w:line="228" w:lineRule="auto"/>
              <w:rPr/>
            </w:pPr>
            <w:r>
              <w:rPr>
                <w:spacing w:val="8"/>
              </w:rPr>
              <w:t>排气筒出口</w:t>
            </w:r>
          </w:p>
        </w:tc>
        <w:tc>
          <w:tcPr>
            <w:tcW w:w="1072" w:type="dxa"/>
            <w:vAlign w:val="top"/>
            <w:vMerge w:val="restart"/>
            <w:tcBorders>
              <w:bottom w:val="nil"/>
            </w:tcBorders>
          </w:tcPr>
          <w:p>
            <w:pPr>
              <w:pStyle w:val="TableText"/>
              <w:ind w:left="122"/>
              <w:spacing w:before="149" w:line="228" w:lineRule="auto"/>
              <w:rPr/>
            </w:pPr>
            <w:r>
              <w:rPr>
                <w:spacing w:val="-3"/>
              </w:rPr>
              <w:t>每年</w:t>
            </w:r>
            <w:r>
              <w:rPr>
                <w:spacing w:val="-23"/>
              </w:rPr>
              <w:t xml:space="preserve"> </w:t>
            </w:r>
            <w:r>
              <w:rPr>
                <w:rFonts w:ascii="Times New Roman" w:hAnsi="Times New Roman" w:eastAsia="Times New Roman" w:cs="Times New Roman"/>
                <w:spacing w:val="-3"/>
              </w:rPr>
              <w:t>1</w:t>
            </w:r>
            <w:r>
              <w:rPr>
                <w:rFonts w:ascii="Times New Roman" w:hAnsi="Times New Roman" w:eastAsia="Times New Roman" w:cs="Times New Roman"/>
                <w:spacing w:val="18"/>
              </w:rPr>
              <w:t xml:space="preserve"> </w:t>
            </w:r>
            <w:r>
              <w:rPr>
                <w:spacing w:val="-3"/>
              </w:rPr>
              <w:t>次</w:t>
            </w:r>
          </w:p>
        </w:tc>
      </w:tr>
      <w:tr>
        <w:trPr>
          <w:trHeight w:val="254" w:hRule="atLeast"/>
        </w:trPr>
        <w:tc>
          <w:tcPr>
            <w:tcW w:w="732" w:type="dxa"/>
            <w:vAlign w:val="top"/>
            <w:vMerge w:val="continue"/>
            <w:tcBorders>
              <w:top w:val="nil"/>
            </w:tcBorders>
          </w:tcPr>
          <w:p>
            <w:pPr>
              <w:rPr>
                <w:rFonts w:ascii="Arial"/>
                <w:sz w:val="21"/>
              </w:rPr>
            </w:pPr>
            <w:r/>
          </w:p>
        </w:tc>
        <w:tc>
          <w:tcPr>
            <w:tcW w:w="1614" w:type="dxa"/>
            <w:vAlign w:val="top"/>
            <w:vMerge w:val="continue"/>
            <w:tcBorders>
              <w:top w:val="nil"/>
            </w:tcBorders>
          </w:tcPr>
          <w:p>
            <w:pPr>
              <w:rPr>
                <w:rFonts w:ascii="Arial"/>
                <w:sz w:val="21"/>
              </w:rPr>
            </w:pPr>
            <w:r/>
          </w:p>
        </w:tc>
        <w:tc>
          <w:tcPr>
            <w:tcW w:w="1669" w:type="dxa"/>
            <w:vAlign w:val="top"/>
          </w:tcPr>
          <w:p>
            <w:pPr>
              <w:ind w:left="666"/>
              <w:spacing w:before="59" w:line="193"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H</w:t>
            </w:r>
            <w:r>
              <w:rPr>
                <w:rFonts w:ascii="Times New Roman" w:hAnsi="Times New Roman" w:eastAsia="Times New Roman" w:cs="Times New Roman"/>
                <w:sz w:val="13"/>
                <w:szCs w:val="13"/>
                <w:spacing w:val="3"/>
                <w:position w:val="-1"/>
              </w:rPr>
              <w:t>2</w:t>
            </w:r>
            <w:r>
              <w:rPr>
                <w:rFonts w:ascii="Times New Roman" w:hAnsi="Times New Roman" w:eastAsia="Times New Roman" w:cs="Times New Roman"/>
                <w:sz w:val="20"/>
                <w:szCs w:val="20"/>
                <w:spacing w:val="3"/>
              </w:rPr>
              <w:t>S</w:t>
            </w:r>
          </w:p>
        </w:tc>
        <w:tc>
          <w:tcPr>
            <w:tcW w:w="830" w:type="dxa"/>
            <w:vAlign w:val="top"/>
            <w:vMerge w:val="continue"/>
            <w:tcBorders>
              <w:top w:val="nil"/>
            </w:tcBorders>
          </w:tcPr>
          <w:p>
            <w:pPr>
              <w:rPr>
                <w:rFonts w:ascii="Arial"/>
                <w:sz w:val="21"/>
              </w:rPr>
            </w:pPr>
            <w:r/>
          </w:p>
        </w:tc>
        <w:tc>
          <w:tcPr>
            <w:tcW w:w="773" w:type="dxa"/>
            <w:vAlign w:val="top"/>
            <w:vMerge w:val="continue"/>
            <w:tcBorders>
              <w:top w:val="nil"/>
            </w:tcBorders>
          </w:tcPr>
          <w:p>
            <w:pPr>
              <w:rPr>
                <w:rFonts w:ascii="Arial"/>
                <w:sz w:val="21"/>
              </w:rPr>
            </w:pPr>
            <w:r/>
          </w:p>
        </w:tc>
        <w:tc>
          <w:tcPr>
            <w:tcW w:w="794" w:type="dxa"/>
            <w:vAlign w:val="top"/>
            <w:vMerge w:val="continue"/>
            <w:tcBorders>
              <w:top w:val="nil"/>
            </w:tcBorders>
          </w:tcPr>
          <w:p>
            <w:pPr>
              <w:rPr>
                <w:rFonts w:ascii="Arial"/>
                <w:sz w:val="21"/>
              </w:rPr>
            </w:pPr>
            <w:r/>
          </w:p>
        </w:tc>
        <w:tc>
          <w:tcPr>
            <w:tcW w:w="1067" w:type="dxa"/>
            <w:vAlign w:val="top"/>
            <w:vMerge w:val="continue"/>
            <w:tcBorders>
              <w:top w:val="nil"/>
            </w:tcBorders>
          </w:tcPr>
          <w:p>
            <w:pPr>
              <w:rPr>
                <w:rFonts w:ascii="Arial"/>
                <w:sz w:val="21"/>
              </w:rPr>
            </w:pPr>
            <w:r/>
          </w:p>
        </w:tc>
        <w:tc>
          <w:tcPr>
            <w:tcW w:w="1072" w:type="dxa"/>
            <w:vAlign w:val="top"/>
            <w:vMerge w:val="continue"/>
            <w:tcBorders>
              <w:top w:val="nil"/>
            </w:tcBorders>
          </w:tcPr>
          <w:p>
            <w:pPr>
              <w:rPr>
                <w:rFonts w:ascii="Arial"/>
                <w:sz w:val="21"/>
              </w:rPr>
            </w:pPr>
            <w:r/>
          </w:p>
        </w:tc>
      </w:tr>
      <w:tr>
        <w:trPr>
          <w:trHeight w:val="277" w:hRule="atLeast"/>
        </w:trPr>
        <w:tc>
          <w:tcPr>
            <w:tcW w:w="732" w:type="dxa"/>
            <w:vAlign w:val="top"/>
            <w:vMerge w:val="restart"/>
            <w:tcBorders>
              <w:bottom w:val="nil"/>
            </w:tcBorders>
          </w:tcPr>
          <w:p>
            <w:pPr>
              <w:spacing w:line="407" w:lineRule="auto"/>
              <w:rPr>
                <w:rFonts w:ascii="Arial"/>
                <w:sz w:val="21"/>
              </w:rPr>
            </w:pPr>
            <w:r/>
          </w:p>
          <w:p>
            <w:pPr>
              <w:ind w:left="58"/>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z w:val="20"/>
                <w:szCs w:val="20"/>
                <w:spacing w:val="8"/>
              </w:rPr>
              <w:t>004</w:t>
            </w:r>
          </w:p>
        </w:tc>
        <w:tc>
          <w:tcPr>
            <w:tcW w:w="1614" w:type="dxa"/>
            <w:vAlign w:val="top"/>
            <w:vMerge w:val="restart"/>
            <w:tcBorders>
              <w:bottom w:val="nil"/>
            </w:tcBorders>
          </w:tcPr>
          <w:p>
            <w:pPr>
              <w:spacing w:line="364" w:lineRule="auto"/>
              <w:rPr>
                <w:rFonts w:ascii="Arial"/>
                <w:sz w:val="21"/>
              </w:rPr>
            </w:pPr>
            <w:r/>
          </w:p>
          <w:p>
            <w:pPr>
              <w:pStyle w:val="TableText"/>
              <w:ind w:left="184"/>
              <w:spacing w:before="65" w:line="228" w:lineRule="auto"/>
              <w:rPr/>
            </w:pPr>
            <w:r>
              <w:rPr>
                <w:spacing w:val="7"/>
              </w:rPr>
              <w:t>沼气锅炉烟气</w:t>
            </w:r>
          </w:p>
        </w:tc>
        <w:tc>
          <w:tcPr>
            <w:tcW w:w="1669" w:type="dxa"/>
            <w:vAlign w:val="top"/>
          </w:tcPr>
          <w:p>
            <w:pPr>
              <w:pStyle w:val="TableText"/>
              <w:ind w:left="524"/>
              <w:spacing w:before="35" w:line="214" w:lineRule="auto"/>
              <w:rPr/>
            </w:pPr>
            <w:r>
              <w:rPr>
                <w:spacing w:val="7"/>
              </w:rPr>
              <w:t>颗粒物</w:t>
            </w:r>
          </w:p>
        </w:tc>
        <w:tc>
          <w:tcPr>
            <w:tcW w:w="830" w:type="dxa"/>
            <w:vAlign w:val="top"/>
            <w:vMerge w:val="restart"/>
            <w:tcBorders>
              <w:bottom w:val="nil"/>
            </w:tcBorders>
          </w:tcPr>
          <w:p>
            <w:pPr>
              <w:spacing w:line="407" w:lineRule="auto"/>
              <w:rPr>
                <w:rFonts w:ascii="Arial"/>
                <w:sz w:val="21"/>
              </w:rPr>
            </w:pPr>
            <w:r/>
          </w:p>
          <w:p>
            <w:pPr>
              <w:ind w:left="372"/>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773" w:type="dxa"/>
            <w:vAlign w:val="top"/>
            <w:vMerge w:val="restart"/>
            <w:tcBorders>
              <w:bottom w:val="nil"/>
            </w:tcBorders>
          </w:tcPr>
          <w:p>
            <w:pPr>
              <w:spacing w:line="407" w:lineRule="auto"/>
              <w:rPr>
                <w:rFonts w:ascii="Arial"/>
                <w:sz w:val="21"/>
              </w:rPr>
            </w:pPr>
            <w:r/>
          </w:p>
          <w:p>
            <w:pPr>
              <w:ind w:left="20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0.20</w:t>
            </w:r>
          </w:p>
        </w:tc>
        <w:tc>
          <w:tcPr>
            <w:tcW w:w="794" w:type="dxa"/>
            <w:vAlign w:val="top"/>
            <w:vMerge w:val="restart"/>
            <w:tcBorders>
              <w:bottom w:val="nil"/>
            </w:tcBorders>
          </w:tcPr>
          <w:p>
            <w:pPr>
              <w:spacing w:line="407" w:lineRule="auto"/>
              <w:rPr>
                <w:rFonts w:ascii="Arial"/>
                <w:sz w:val="21"/>
              </w:rPr>
            </w:pPr>
            <w:r/>
          </w:p>
          <w:p>
            <w:pPr>
              <w:ind w:left="262"/>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120</w:t>
            </w:r>
          </w:p>
        </w:tc>
        <w:tc>
          <w:tcPr>
            <w:tcW w:w="1067" w:type="dxa"/>
            <w:vAlign w:val="top"/>
            <w:vMerge w:val="restart"/>
            <w:tcBorders>
              <w:bottom w:val="nil"/>
            </w:tcBorders>
          </w:tcPr>
          <w:p>
            <w:pPr>
              <w:spacing w:line="363" w:lineRule="auto"/>
              <w:rPr>
                <w:rFonts w:ascii="Arial"/>
                <w:sz w:val="21"/>
              </w:rPr>
            </w:pPr>
            <w:r/>
          </w:p>
          <w:p>
            <w:pPr>
              <w:pStyle w:val="TableText"/>
              <w:ind w:left="15"/>
              <w:spacing w:before="65" w:line="228" w:lineRule="auto"/>
              <w:rPr/>
            </w:pPr>
            <w:r>
              <w:rPr>
                <w:spacing w:val="8"/>
              </w:rPr>
              <w:t>排气筒出口</w:t>
            </w:r>
          </w:p>
        </w:tc>
        <w:tc>
          <w:tcPr>
            <w:tcW w:w="1072" w:type="dxa"/>
            <w:vAlign w:val="top"/>
            <w:vMerge w:val="restart"/>
            <w:tcBorders>
              <w:bottom w:val="nil"/>
            </w:tcBorders>
          </w:tcPr>
          <w:p>
            <w:pPr>
              <w:pStyle w:val="TableText"/>
              <w:ind w:left="122"/>
              <w:spacing w:before="159" w:line="228" w:lineRule="auto"/>
              <w:rPr/>
            </w:pPr>
            <w:r>
              <w:rPr>
                <w:spacing w:val="-3"/>
              </w:rPr>
              <w:t>每年</w:t>
            </w:r>
            <w:r>
              <w:rPr>
                <w:spacing w:val="-23"/>
              </w:rPr>
              <w:t xml:space="preserve"> </w:t>
            </w:r>
            <w:r>
              <w:rPr>
                <w:rFonts w:ascii="Times New Roman" w:hAnsi="Times New Roman" w:eastAsia="Times New Roman" w:cs="Times New Roman"/>
                <w:spacing w:val="-3"/>
              </w:rPr>
              <w:t>1</w:t>
            </w:r>
            <w:r>
              <w:rPr>
                <w:rFonts w:ascii="Times New Roman" w:hAnsi="Times New Roman" w:eastAsia="Times New Roman" w:cs="Times New Roman"/>
                <w:spacing w:val="18"/>
              </w:rPr>
              <w:t xml:space="preserve"> </w:t>
            </w:r>
            <w:r>
              <w:rPr>
                <w:spacing w:val="-3"/>
              </w:rPr>
              <w:t>次</w:t>
            </w:r>
          </w:p>
        </w:tc>
      </w:tr>
      <w:tr>
        <w:trPr>
          <w:trHeight w:val="247" w:hRule="atLeast"/>
        </w:trPr>
        <w:tc>
          <w:tcPr>
            <w:tcW w:w="732" w:type="dxa"/>
            <w:vAlign w:val="top"/>
            <w:vMerge w:val="continue"/>
            <w:tcBorders>
              <w:top w:val="nil"/>
              <w:bottom w:val="nil"/>
            </w:tcBorders>
          </w:tcPr>
          <w:p>
            <w:pPr>
              <w:rPr>
                <w:rFonts w:ascii="Arial"/>
                <w:sz w:val="21"/>
              </w:rPr>
            </w:pPr>
            <w:r/>
          </w:p>
        </w:tc>
        <w:tc>
          <w:tcPr>
            <w:tcW w:w="1614" w:type="dxa"/>
            <w:vAlign w:val="top"/>
            <w:vMerge w:val="continue"/>
            <w:tcBorders>
              <w:top w:val="nil"/>
              <w:bottom w:val="nil"/>
            </w:tcBorders>
          </w:tcPr>
          <w:p>
            <w:pPr>
              <w:rPr>
                <w:rFonts w:ascii="Arial"/>
                <w:sz w:val="21"/>
              </w:rPr>
            </w:pPr>
            <w:r/>
          </w:p>
        </w:tc>
        <w:tc>
          <w:tcPr>
            <w:tcW w:w="1669" w:type="dxa"/>
            <w:vAlign w:val="top"/>
          </w:tcPr>
          <w:p>
            <w:pPr>
              <w:ind w:left="676"/>
              <w:spacing w:before="55" w:line="18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3"/>
                <w:position w:val="-1"/>
              </w:rPr>
              <w:t>2</w:t>
            </w:r>
          </w:p>
        </w:tc>
        <w:tc>
          <w:tcPr>
            <w:tcW w:w="830" w:type="dxa"/>
            <w:vAlign w:val="top"/>
            <w:vMerge w:val="continue"/>
            <w:tcBorders>
              <w:top w:val="nil"/>
              <w:bottom w:val="nil"/>
            </w:tcBorders>
          </w:tcPr>
          <w:p>
            <w:pPr>
              <w:rPr>
                <w:rFonts w:ascii="Arial"/>
                <w:sz w:val="21"/>
              </w:rPr>
            </w:pPr>
            <w:r/>
          </w:p>
        </w:tc>
        <w:tc>
          <w:tcPr>
            <w:tcW w:w="773" w:type="dxa"/>
            <w:vAlign w:val="top"/>
            <w:vMerge w:val="continue"/>
            <w:tcBorders>
              <w:top w:val="nil"/>
              <w:bottom w:val="nil"/>
            </w:tcBorders>
          </w:tcPr>
          <w:p>
            <w:pPr>
              <w:rPr>
                <w:rFonts w:ascii="Arial"/>
                <w:sz w:val="21"/>
              </w:rPr>
            </w:pPr>
            <w:r/>
          </w:p>
        </w:tc>
        <w:tc>
          <w:tcPr>
            <w:tcW w:w="794" w:type="dxa"/>
            <w:vAlign w:val="top"/>
            <w:vMerge w:val="continue"/>
            <w:tcBorders>
              <w:top w:val="nil"/>
              <w:bottom w:val="nil"/>
            </w:tcBorders>
          </w:tcPr>
          <w:p>
            <w:pPr>
              <w:rPr>
                <w:rFonts w:ascii="Arial"/>
                <w:sz w:val="21"/>
              </w:rPr>
            </w:pPr>
            <w:r/>
          </w:p>
        </w:tc>
        <w:tc>
          <w:tcPr>
            <w:tcW w:w="1067" w:type="dxa"/>
            <w:vAlign w:val="top"/>
            <w:vMerge w:val="continue"/>
            <w:tcBorders>
              <w:top w:val="nil"/>
              <w:bottom w:val="nil"/>
            </w:tcBorders>
          </w:tcPr>
          <w:p>
            <w:pPr>
              <w:rPr>
                <w:rFonts w:ascii="Arial"/>
                <w:sz w:val="21"/>
              </w:rPr>
            </w:pPr>
            <w:r/>
          </w:p>
        </w:tc>
        <w:tc>
          <w:tcPr>
            <w:tcW w:w="1072" w:type="dxa"/>
            <w:vAlign w:val="top"/>
            <w:vMerge w:val="continue"/>
            <w:tcBorders>
              <w:top w:val="nil"/>
            </w:tcBorders>
          </w:tcPr>
          <w:p>
            <w:pPr>
              <w:rPr>
                <w:rFonts w:ascii="Arial"/>
                <w:sz w:val="21"/>
              </w:rPr>
            </w:pPr>
            <w:r/>
          </w:p>
        </w:tc>
      </w:tr>
      <w:tr>
        <w:trPr>
          <w:trHeight w:val="255" w:hRule="atLeast"/>
        </w:trPr>
        <w:tc>
          <w:tcPr>
            <w:tcW w:w="732" w:type="dxa"/>
            <w:vAlign w:val="top"/>
            <w:vMerge w:val="continue"/>
            <w:tcBorders>
              <w:top w:val="nil"/>
              <w:bottom w:val="nil"/>
            </w:tcBorders>
          </w:tcPr>
          <w:p>
            <w:pPr>
              <w:rPr>
                <w:rFonts w:ascii="Arial"/>
                <w:sz w:val="21"/>
              </w:rPr>
            </w:pPr>
            <w:r/>
          </w:p>
        </w:tc>
        <w:tc>
          <w:tcPr>
            <w:tcW w:w="1614" w:type="dxa"/>
            <w:vAlign w:val="top"/>
            <w:vMerge w:val="continue"/>
            <w:tcBorders>
              <w:top w:val="nil"/>
              <w:bottom w:val="nil"/>
            </w:tcBorders>
          </w:tcPr>
          <w:p>
            <w:pPr>
              <w:rPr>
                <w:rFonts w:ascii="Arial"/>
                <w:sz w:val="21"/>
              </w:rPr>
            </w:pPr>
            <w:r/>
          </w:p>
        </w:tc>
        <w:tc>
          <w:tcPr>
            <w:tcW w:w="1669" w:type="dxa"/>
            <w:vAlign w:val="top"/>
          </w:tcPr>
          <w:p>
            <w:pPr>
              <w:ind w:left="644"/>
              <w:spacing w:before="58" w:line="195"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NO</w:t>
            </w:r>
            <w:r>
              <w:rPr>
                <w:rFonts w:ascii="Times New Roman" w:hAnsi="Times New Roman" w:eastAsia="Times New Roman" w:cs="Times New Roman"/>
                <w:sz w:val="13"/>
                <w:szCs w:val="13"/>
                <w:spacing w:val="6"/>
                <w:position w:val="-1"/>
              </w:rPr>
              <w:t>x</w:t>
            </w:r>
          </w:p>
        </w:tc>
        <w:tc>
          <w:tcPr>
            <w:tcW w:w="830" w:type="dxa"/>
            <w:vAlign w:val="top"/>
            <w:vMerge w:val="continue"/>
            <w:tcBorders>
              <w:top w:val="nil"/>
              <w:bottom w:val="nil"/>
            </w:tcBorders>
          </w:tcPr>
          <w:p>
            <w:pPr>
              <w:rPr>
                <w:rFonts w:ascii="Arial"/>
                <w:sz w:val="21"/>
              </w:rPr>
            </w:pPr>
            <w:r/>
          </w:p>
        </w:tc>
        <w:tc>
          <w:tcPr>
            <w:tcW w:w="773" w:type="dxa"/>
            <w:vAlign w:val="top"/>
            <w:vMerge w:val="continue"/>
            <w:tcBorders>
              <w:top w:val="nil"/>
              <w:bottom w:val="nil"/>
            </w:tcBorders>
          </w:tcPr>
          <w:p>
            <w:pPr>
              <w:rPr>
                <w:rFonts w:ascii="Arial"/>
                <w:sz w:val="21"/>
              </w:rPr>
            </w:pPr>
            <w:r/>
          </w:p>
        </w:tc>
        <w:tc>
          <w:tcPr>
            <w:tcW w:w="794" w:type="dxa"/>
            <w:vAlign w:val="top"/>
            <w:vMerge w:val="continue"/>
            <w:tcBorders>
              <w:top w:val="nil"/>
              <w:bottom w:val="nil"/>
            </w:tcBorders>
          </w:tcPr>
          <w:p>
            <w:pPr>
              <w:rPr>
                <w:rFonts w:ascii="Arial"/>
                <w:sz w:val="21"/>
              </w:rPr>
            </w:pPr>
            <w:r/>
          </w:p>
        </w:tc>
        <w:tc>
          <w:tcPr>
            <w:tcW w:w="1067" w:type="dxa"/>
            <w:vAlign w:val="top"/>
            <w:vMerge w:val="continue"/>
            <w:tcBorders>
              <w:top w:val="nil"/>
              <w:bottom w:val="nil"/>
            </w:tcBorders>
          </w:tcPr>
          <w:p>
            <w:pPr>
              <w:rPr>
                <w:rFonts w:ascii="Arial"/>
                <w:sz w:val="21"/>
              </w:rPr>
            </w:pPr>
            <w:r/>
          </w:p>
        </w:tc>
        <w:tc>
          <w:tcPr>
            <w:tcW w:w="1072" w:type="dxa"/>
            <w:vAlign w:val="top"/>
          </w:tcPr>
          <w:p>
            <w:pPr>
              <w:pStyle w:val="TableText"/>
              <w:ind w:left="122"/>
              <w:spacing w:before="21" w:line="206" w:lineRule="auto"/>
              <w:rPr/>
            </w:pPr>
            <w:r>
              <w:rPr>
                <w:spacing w:val="-3"/>
              </w:rPr>
              <w:t>每月</w:t>
            </w:r>
            <w:r>
              <w:rPr>
                <w:spacing w:val="-23"/>
              </w:rPr>
              <w:t xml:space="preserve"> </w:t>
            </w:r>
            <w:r>
              <w:rPr>
                <w:rFonts w:ascii="Times New Roman" w:hAnsi="Times New Roman" w:eastAsia="Times New Roman" w:cs="Times New Roman"/>
                <w:spacing w:val="-3"/>
              </w:rPr>
              <w:t>1</w:t>
            </w:r>
            <w:r>
              <w:rPr>
                <w:rFonts w:ascii="Times New Roman" w:hAnsi="Times New Roman" w:eastAsia="Times New Roman" w:cs="Times New Roman"/>
                <w:spacing w:val="18"/>
              </w:rPr>
              <w:t xml:space="preserve"> </w:t>
            </w:r>
            <w:r>
              <w:rPr>
                <w:spacing w:val="-3"/>
              </w:rPr>
              <w:t>次</w:t>
            </w:r>
          </w:p>
        </w:tc>
      </w:tr>
      <w:tr>
        <w:trPr>
          <w:trHeight w:val="277" w:hRule="atLeast"/>
        </w:trPr>
        <w:tc>
          <w:tcPr>
            <w:tcW w:w="732" w:type="dxa"/>
            <w:vAlign w:val="top"/>
            <w:vMerge w:val="continue"/>
            <w:tcBorders>
              <w:top w:val="nil"/>
            </w:tcBorders>
          </w:tcPr>
          <w:p>
            <w:pPr>
              <w:rPr>
                <w:rFonts w:ascii="Arial"/>
                <w:sz w:val="21"/>
              </w:rPr>
            </w:pPr>
            <w:r/>
          </w:p>
        </w:tc>
        <w:tc>
          <w:tcPr>
            <w:tcW w:w="1614" w:type="dxa"/>
            <w:vAlign w:val="top"/>
            <w:vMerge w:val="continue"/>
            <w:tcBorders>
              <w:top w:val="nil"/>
            </w:tcBorders>
          </w:tcPr>
          <w:p>
            <w:pPr>
              <w:rPr>
                <w:rFonts w:ascii="Arial"/>
                <w:sz w:val="21"/>
              </w:rPr>
            </w:pPr>
            <w:r/>
          </w:p>
        </w:tc>
        <w:tc>
          <w:tcPr>
            <w:tcW w:w="1669" w:type="dxa"/>
            <w:vAlign w:val="top"/>
          </w:tcPr>
          <w:p>
            <w:pPr>
              <w:pStyle w:val="TableText"/>
              <w:ind w:left="314"/>
              <w:spacing w:before="32" w:line="216" w:lineRule="auto"/>
              <w:rPr/>
            </w:pPr>
            <w:r>
              <w:rPr>
                <w:spacing w:val="7"/>
              </w:rPr>
              <w:t>林格曼黑度</w:t>
            </w:r>
          </w:p>
        </w:tc>
        <w:tc>
          <w:tcPr>
            <w:tcW w:w="830" w:type="dxa"/>
            <w:vAlign w:val="top"/>
            <w:vMerge w:val="continue"/>
            <w:tcBorders>
              <w:top w:val="nil"/>
            </w:tcBorders>
          </w:tcPr>
          <w:p>
            <w:pPr>
              <w:rPr>
                <w:rFonts w:ascii="Arial"/>
                <w:sz w:val="21"/>
              </w:rPr>
            </w:pPr>
            <w:r/>
          </w:p>
        </w:tc>
        <w:tc>
          <w:tcPr>
            <w:tcW w:w="773" w:type="dxa"/>
            <w:vAlign w:val="top"/>
            <w:vMerge w:val="continue"/>
            <w:tcBorders>
              <w:top w:val="nil"/>
            </w:tcBorders>
          </w:tcPr>
          <w:p>
            <w:pPr>
              <w:rPr>
                <w:rFonts w:ascii="Arial"/>
                <w:sz w:val="21"/>
              </w:rPr>
            </w:pPr>
            <w:r/>
          </w:p>
        </w:tc>
        <w:tc>
          <w:tcPr>
            <w:tcW w:w="794" w:type="dxa"/>
            <w:vAlign w:val="top"/>
            <w:vMerge w:val="continue"/>
            <w:tcBorders>
              <w:top w:val="nil"/>
            </w:tcBorders>
          </w:tcPr>
          <w:p>
            <w:pPr>
              <w:rPr>
                <w:rFonts w:ascii="Arial"/>
                <w:sz w:val="21"/>
              </w:rPr>
            </w:pPr>
            <w:r/>
          </w:p>
        </w:tc>
        <w:tc>
          <w:tcPr>
            <w:tcW w:w="1067" w:type="dxa"/>
            <w:vAlign w:val="top"/>
            <w:vMerge w:val="continue"/>
            <w:tcBorders>
              <w:top w:val="nil"/>
            </w:tcBorders>
          </w:tcPr>
          <w:p>
            <w:pPr>
              <w:rPr>
                <w:rFonts w:ascii="Arial"/>
                <w:sz w:val="21"/>
              </w:rPr>
            </w:pPr>
            <w:r/>
          </w:p>
        </w:tc>
        <w:tc>
          <w:tcPr>
            <w:tcW w:w="1072" w:type="dxa"/>
            <w:vAlign w:val="top"/>
          </w:tcPr>
          <w:p>
            <w:pPr>
              <w:pStyle w:val="TableText"/>
              <w:ind w:left="122"/>
              <w:spacing w:before="32" w:line="216" w:lineRule="auto"/>
              <w:rPr/>
            </w:pPr>
            <w:r>
              <w:rPr>
                <w:spacing w:val="-3"/>
              </w:rPr>
              <w:t>每年</w:t>
            </w:r>
            <w:r>
              <w:rPr>
                <w:spacing w:val="-23"/>
              </w:rPr>
              <w:t xml:space="preserve"> </w:t>
            </w:r>
            <w:r>
              <w:rPr>
                <w:rFonts w:ascii="Times New Roman" w:hAnsi="Times New Roman" w:eastAsia="Times New Roman" w:cs="Times New Roman"/>
                <w:spacing w:val="-3"/>
              </w:rPr>
              <w:t>1</w:t>
            </w:r>
            <w:r>
              <w:rPr>
                <w:rFonts w:ascii="Times New Roman" w:hAnsi="Times New Roman" w:eastAsia="Times New Roman" w:cs="Times New Roman"/>
                <w:spacing w:val="18"/>
              </w:rPr>
              <w:t xml:space="preserve"> </w:t>
            </w:r>
            <w:r>
              <w:rPr>
                <w:spacing w:val="-3"/>
              </w:rPr>
              <w:t>次</w:t>
            </w:r>
          </w:p>
        </w:tc>
      </w:tr>
      <w:tr>
        <w:trPr>
          <w:trHeight w:val="277" w:hRule="atLeast"/>
        </w:trPr>
        <w:tc>
          <w:tcPr>
            <w:tcW w:w="732" w:type="dxa"/>
            <w:vAlign w:val="top"/>
            <w:vMerge w:val="restart"/>
            <w:tcBorders>
              <w:bottom w:val="nil"/>
            </w:tcBorders>
          </w:tcPr>
          <w:p>
            <w:pPr>
              <w:spacing w:line="271" w:lineRule="auto"/>
              <w:rPr>
                <w:rFonts w:ascii="Arial"/>
                <w:sz w:val="21"/>
              </w:rPr>
            </w:pPr>
            <w:r/>
          </w:p>
          <w:p>
            <w:pPr>
              <w:spacing w:line="271" w:lineRule="auto"/>
              <w:rPr>
                <w:rFonts w:ascii="Arial"/>
                <w:sz w:val="21"/>
              </w:rPr>
            </w:pPr>
            <w:r/>
          </w:p>
          <w:p>
            <w:pPr>
              <w:ind w:left="58"/>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DA</w:t>
            </w:r>
            <w:r>
              <w:rPr>
                <w:rFonts w:ascii="Times New Roman" w:hAnsi="Times New Roman" w:eastAsia="Times New Roman" w:cs="Times New Roman"/>
                <w:sz w:val="20"/>
                <w:szCs w:val="20"/>
                <w:spacing w:val="8"/>
              </w:rPr>
              <w:t>005</w:t>
            </w:r>
          </w:p>
        </w:tc>
        <w:tc>
          <w:tcPr>
            <w:tcW w:w="1614" w:type="dxa"/>
            <w:vAlign w:val="top"/>
            <w:vMerge w:val="restart"/>
            <w:tcBorders>
              <w:bottom w:val="nil"/>
            </w:tcBorders>
          </w:tcPr>
          <w:p>
            <w:pPr>
              <w:spacing w:line="249" w:lineRule="auto"/>
              <w:rPr>
                <w:rFonts w:ascii="Arial"/>
                <w:sz w:val="21"/>
              </w:rPr>
            </w:pPr>
            <w:r/>
          </w:p>
          <w:p>
            <w:pPr>
              <w:spacing w:line="250" w:lineRule="auto"/>
              <w:rPr>
                <w:rFonts w:ascii="Arial"/>
                <w:sz w:val="21"/>
              </w:rPr>
            </w:pPr>
            <w:r/>
          </w:p>
          <w:p>
            <w:pPr>
              <w:pStyle w:val="TableText"/>
              <w:ind w:left="76"/>
              <w:spacing w:before="65" w:line="228" w:lineRule="auto"/>
              <w:rPr/>
            </w:pPr>
            <w:r>
              <w:rPr>
                <w:spacing w:val="8"/>
              </w:rPr>
              <w:t>生物质锅炉烟气</w:t>
            </w:r>
          </w:p>
        </w:tc>
        <w:tc>
          <w:tcPr>
            <w:tcW w:w="1669" w:type="dxa"/>
            <w:vAlign w:val="top"/>
          </w:tcPr>
          <w:p>
            <w:pPr>
              <w:pStyle w:val="TableText"/>
              <w:ind w:left="524"/>
              <w:spacing w:before="35" w:line="214" w:lineRule="auto"/>
              <w:rPr/>
            </w:pPr>
            <w:r>
              <w:rPr>
                <w:spacing w:val="7"/>
              </w:rPr>
              <w:t>颗粒物</w:t>
            </w:r>
          </w:p>
        </w:tc>
        <w:tc>
          <w:tcPr>
            <w:tcW w:w="830" w:type="dxa"/>
            <w:vAlign w:val="top"/>
            <w:vMerge w:val="restart"/>
            <w:tcBorders>
              <w:bottom w:val="nil"/>
            </w:tcBorders>
          </w:tcPr>
          <w:p>
            <w:pPr>
              <w:spacing w:line="271" w:lineRule="auto"/>
              <w:rPr>
                <w:rFonts w:ascii="Arial"/>
                <w:sz w:val="21"/>
              </w:rPr>
            </w:pPr>
            <w:r/>
          </w:p>
          <w:p>
            <w:pPr>
              <w:spacing w:line="271" w:lineRule="auto"/>
              <w:rPr>
                <w:rFonts w:ascii="Arial"/>
                <w:sz w:val="21"/>
              </w:rPr>
            </w:pPr>
            <w:r/>
          </w:p>
          <w:p>
            <w:pPr>
              <w:ind w:left="315"/>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35</w:t>
            </w:r>
          </w:p>
        </w:tc>
        <w:tc>
          <w:tcPr>
            <w:tcW w:w="773" w:type="dxa"/>
            <w:vAlign w:val="top"/>
            <w:vMerge w:val="restart"/>
            <w:tcBorders>
              <w:bottom w:val="nil"/>
            </w:tcBorders>
          </w:tcPr>
          <w:p>
            <w:pPr>
              <w:spacing w:line="271" w:lineRule="auto"/>
              <w:rPr>
                <w:rFonts w:ascii="Arial"/>
                <w:sz w:val="21"/>
              </w:rPr>
            </w:pPr>
            <w:r/>
          </w:p>
          <w:p>
            <w:pPr>
              <w:spacing w:line="271" w:lineRule="auto"/>
              <w:rPr>
                <w:rFonts w:ascii="Arial"/>
                <w:sz w:val="21"/>
              </w:rPr>
            </w:pPr>
            <w:r/>
          </w:p>
          <w:p>
            <w:pPr>
              <w:ind w:left="207"/>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0.45</w:t>
            </w:r>
          </w:p>
        </w:tc>
        <w:tc>
          <w:tcPr>
            <w:tcW w:w="794" w:type="dxa"/>
            <w:vAlign w:val="top"/>
            <w:vMerge w:val="restart"/>
            <w:tcBorders>
              <w:bottom w:val="nil"/>
            </w:tcBorders>
          </w:tcPr>
          <w:p>
            <w:pPr>
              <w:spacing w:line="271" w:lineRule="auto"/>
              <w:rPr>
                <w:rFonts w:ascii="Arial"/>
                <w:sz w:val="21"/>
              </w:rPr>
            </w:pPr>
            <w:r/>
          </w:p>
          <w:p>
            <w:pPr>
              <w:spacing w:line="271" w:lineRule="auto"/>
              <w:rPr>
                <w:rFonts w:ascii="Arial"/>
                <w:sz w:val="21"/>
              </w:rPr>
            </w:pPr>
            <w:r/>
          </w:p>
          <w:p>
            <w:pPr>
              <w:ind w:left="262"/>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120</w:t>
            </w:r>
          </w:p>
        </w:tc>
        <w:tc>
          <w:tcPr>
            <w:tcW w:w="1067" w:type="dxa"/>
            <w:vAlign w:val="top"/>
            <w:vMerge w:val="restart"/>
            <w:tcBorders>
              <w:bottom w:val="nil"/>
            </w:tcBorders>
          </w:tcPr>
          <w:p>
            <w:pPr>
              <w:spacing w:line="249" w:lineRule="auto"/>
              <w:rPr>
                <w:rFonts w:ascii="Arial"/>
                <w:sz w:val="21"/>
              </w:rPr>
            </w:pPr>
            <w:r/>
          </w:p>
          <w:p>
            <w:pPr>
              <w:spacing w:line="249" w:lineRule="auto"/>
              <w:rPr>
                <w:rFonts w:ascii="Arial"/>
                <w:sz w:val="21"/>
              </w:rPr>
            </w:pPr>
            <w:r/>
          </w:p>
          <w:p>
            <w:pPr>
              <w:pStyle w:val="TableText"/>
              <w:ind w:left="15"/>
              <w:spacing w:before="66" w:line="228" w:lineRule="auto"/>
              <w:rPr/>
            </w:pPr>
            <w:r>
              <w:rPr>
                <w:spacing w:val="8"/>
              </w:rPr>
              <w:t>排气筒出口</w:t>
            </w:r>
          </w:p>
        </w:tc>
        <w:tc>
          <w:tcPr>
            <w:tcW w:w="1072" w:type="dxa"/>
            <w:vAlign w:val="top"/>
            <w:vMerge w:val="restart"/>
            <w:tcBorders>
              <w:bottom w:val="nil"/>
            </w:tcBorders>
          </w:tcPr>
          <w:p>
            <w:pPr>
              <w:spacing w:line="249" w:lineRule="auto"/>
              <w:rPr>
                <w:rFonts w:ascii="Arial"/>
                <w:sz w:val="21"/>
              </w:rPr>
            </w:pPr>
            <w:r/>
          </w:p>
          <w:p>
            <w:pPr>
              <w:spacing w:line="249" w:lineRule="auto"/>
              <w:rPr>
                <w:rFonts w:ascii="Arial"/>
                <w:sz w:val="21"/>
              </w:rPr>
            </w:pPr>
            <w:r/>
          </w:p>
          <w:p>
            <w:pPr>
              <w:pStyle w:val="TableText"/>
              <w:ind w:left="122"/>
              <w:spacing w:before="66" w:line="228" w:lineRule="auto"/>
              <w:rPr/>
            </w:pPr>
            <w:r>
              <w:rPr>
                <w:spacing w:val="-3"/>
              </w:rPr>
              <w:t>每月</w:t>
            </w:r>
            <w:r>
              <w:rPr>
                <w:spacing w:val="-23"/>
              </w:rPr>
              <w:t xml:space="preserve"> </w:t>
            </w:r>
            <w:r>
              <w:rPr>
                <w:rFonts w:ascii="Times New Roman" w:hAnsi="Times New Roman" w:eastAsia="Times New Roman" w:cs="Times New Roman"/>
                <w:spacing w:val="-3"/>
              </w:rPr>
              <w:t>1</w:t>
            </w:r>
            <w:r>
              <w:rPr>
                <w:rFonts w:ascii="Times New Roman" w:hAnsi="Times New Roman" w:eastAsia="Times New Roman" w:cs="Times New Roman"/>
                <w:spacing w:val="18"/>
              </w:rPr>
              <w:t xml:space="preserve"> </w:t>
            </w:r>
            <w:r>
              <w:rPr>
                <w:spacing w:val="-3"/>
              </w:rPr>
              <w:t>次</w:t>
            </w:r>
          </w:p>
        </w:tc>
      </w:tr>
      <w:tr>
        <w:trPr>
          <w:trHeight w:val="246" w:hRule="atLeast"/>
        </w:trPr>
        <w:tc>
          <w:tcPr>
            <w:tcW w:w="732" w:type="dxa"/>
            <w:vAlign w:val="top"/>
            <w:vMerge w:val="continue"/>
            <w:tcBorders>
              <w:top w:val="nil"/>
              <w:bottom w:val="nil"/>
            </w:tcBorders>
          </w:tcPr>
          <w:p>
            <w:pPr>
              <w:rPr>
                <w:rFonts w:ascii="Arial"/>
                <w:sz w:val="21"/>
              </w:rPr>
            </w:pPr>
            <w:r/>
          </w:p>
        </w:tc>
        <w:tc>
          <w:tcPr>
            <w:tcW w:w="1614" w:type="dxa"/>
            <w:vAlign w:val="top"/>
            <w:vMerge w:val="continue"/>
            <w:tcBorders>
              <w:top w:val="nil"/>
              <w:bottom w:val="nil"/>
            </w:tcBorders>
          </w:tcPr>
          <w:p>
            <w:pPr>
              <w:rPr>
                <w:rFonts w:ascii="Arial"/>
                <w:sz w:val="21"/>
              </w:rPr>
            </w:pPr>
            <w:r/>
          </w:p>
        </w:tc>
        <w:tc>
          <w:tcPr>
            <w:tcW w:w="1669" w:type="dxa"/>
            <w:vAlign w:val="top"/>
          </w:tcPr>
          <w:p>
            <w:pPr>
              <w:ind w:left="676"/>
              <w:spacing w:before="54" w:line="189" w:lineRule="auto"/>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z w:val="13"/>
                <w:szCs w:val="13"/>
                <w:spacing w:val="3"/>
                <w:position w:val="-1"/>
              </w:rPr>
              <w:t>2</w:t>
            </w:r>
          </w:p>
        </w:tc>
        <w:tc>
          <w:tcPr>
            <w:tcW w:w="830" w:type="dxa"/>
            <w:vAlign w:val="top"/>
            <w:vMerge w:val="continue"/>
            <w:tcBorders>
              <w:top w:val="nil"/>
              <w:bottom w:val="nil"/>
            </w:tcBorders>
          </w:tcPr>
          <w:p>
            <w:pPr>
              <w:rPr>
                <w:rFonts w:ascii="Arial"/>
                <w:sz w:val="21"/>
              </w:rPr>
            </w:pPr>
            <w:r/>
          </w:p>
        </w:tc>
        <w:tc>
          <w:tcPr>
            <w:tcW w:w="773" w:type="dxa"/>
            <w:vAlign w:val="top"/>
            <w:vMerge w:val="continue"/>
            <w:tcBorders>
              <w:top w:val="nil"/>
              <w:bottom w:val="nil"/>
            </w:tcBorders>
          </w:tcPr>
          <w:p>
            <w:pPr>
              <w:rPr>
                <w:rFonts w:ascii="Arial"/>
                <w:sz w:val="21"/>
              </w:rPr>
            </w:pPr>
            <w:r/>
          </w:p>
        </w:tc>
        <w:tc>
          <w:tcPr>
            <w:tcW w:w="794" w:type="dxa"/>
            <w:vAlign w:val="top"/>
            <w:vMerge w:val="continue"/>
            <w:tcBorders>
              <w:top w:val="nil"/>
              <w:bottom w:val="nil"/>
            </w:tcBorders>
          </w:tcPr>
          <w:p>
            <w:pPr>
              <w:rPr>
                <w:rFonts w:ascii="Arial"/>
                <w:sz w:val="21"/>
              </w:rPr>
            </w:pPr>
            <w:r/>
          </w:p>
        </w:tc>
        <w:tc>
          <w:tcPr>
            <w:tcW w:w="1067" w:type="dxa"/>
            <w:vAlign w:val="top"/>
            <w:vMerge w:val="continue"/>
            <w:tcBorders>
              <w:top w:val="nil"/>
              <w:bottom w:val="nil"/>
            </w:tcBorders>
          </w:tcPr>
          <w:p>
            <w:pPr>
              <w:rPr>
                <w:rFonts w:ascii="Arial"/>
                <w:sz w:val="21"/>
              </w:rPr>
            </w:pPr>
            <w:r/>
          </w:p>
        </w:tc>
        <w:tc>
          <w:tcPr>
            <w:tcW w:w="1072" w:type="dxa"/>
            <w:vAlign w:val="top"/>
            <w:vMerge w:val="continue"/>
            <w:tcBorders>
              <w:top w:val="nil"/>
              <w:bottom w:val="nil"/>
            </w:tcBorders>
          </w:tcPr>
          <w:p>
            <w:pPr>
              <w:rPr>
                <w:rFonts w:ascii="Arial"/>
                <w:sz w:val="21"/>
              </w:rPr>
            </w:pPr>
            <w:r/>
          </w:p>
        </w:tc>
      </w:tr>
      <w:tr>
        <w:trPr>
          <w:trHeight w:val="246" w:hRule="atLeast"/>
        </w:trPr>
        <w:tc>
          <w:tcPr>
            <w:tcW w:w="732" w:type="dxa"/>
            <w:vAlign w:val="top"/>
            <w:vMerge w:val="continue"/>
            <w:tcBorders>
              <w:top w:val="nil"/>
              <w:bottom w:val="nil"/>
            </w:tcBorders>
          </w:tcPr>
          <w:p>
            <w:pPr>
              <w:rPr>
                <w:rFonts w:ascii="Arial"/>
                <w:sz w:val="21"/>
              </w:rPr>
            </w:pPr>
            <w:r/>
          </w:p>
        </w:tc>
        <w:tc>
          <w:tcPr>
            <w:tcW w:w="1614" w:type="dxa"/>
            <w:vAlign w:val="top"/>
            <w:vMerge w:val="continue"/>
            <w:tcBorders>
              <w:top w:val="nil"/>
              <w:bottom w:val="nil"/>
            </w:tcBorders>
          </w:tcPr>
          <w:p>
            <w:pPr>
              <w:rPr>
                <w:rFonts w:ascii="Arial"/>
                <w:sz w:val="21"/>
              </w:rPr>
            </w:pPr>
            <w:r/>
          </w:p>
        </w:tc>
        <w:tc>
          <w:tcPr>
            <w:tcW w:w="1669" w:type="dxa"/>
            <w:vAlign w:val="top"/>
          </w:tcPr>
          <w:p>
            <w:pPr>
              <w:ind w:left="644"/>
              <w:spacing w:before="55" w:line="188" w:lineRule="auto"/>
              <w:rPr>
                <w:rFonts w:ascii="Times New Roman" w:hAnsi="Times New Roman" w:eastAsia="Times New Roman" w:cs="Times New Roman"/>
                <w:sz w:val="13"/>
                <w:szCs w:val="13"/>
              </w:rPr>
            </w:pPr>
            <w:r>
              <w:rPr>
                <w:rFonts w:ascii="Times New Roman" w:hAnsi="Times New Roman" w:eastAsia="Times New Roman" w:cs="Times New Roman"/>
                <w:sz w:val="20"/>
                <w:szCs w:val="20"/>
                <w:spacing w:val="6"/>
              </w:rPr>
              <w:t>NO</w:t>
            </w:r>
            <w:r>
              <w:rPr>
                <w:rFonts w:ascii="Times New Roman" w:hAnsi="Times New Roman" w:eastAsia="Times New Roman" w:cs="Times New Roman"/>
                <w:sz w:val="13"/>
                <w:szCs w:val="13"/>
                <w:spacing w:val="6"/>
                <w:position w:val="-1"/>
              </w:rPr>
              <w:t>x</w:t>
            </w:r>
          </w:p>
        </w:tc>
        <w:tc>
          <w:tcPr>
            <w:tcW w:w="830" w:type="dxa"/>
            <w:vAlign w:val="top"/>
            <w:vMerge w:val="continue"/>
            <w:tcBorders>
              <w:top w:val="nil"/>
              <w:bottom w:val="nil"/>
            </w:tcBorders>
          </w:tcPr>
          <w:p>
            <w:pPr>
              <w:rPr>
                <w:rFonts w:ascii="Arial"/>
                <w:sz w:val="21"/>
              </w:rPr>
            </w:pPr>
            <w:r/>
          </w:p>
        </w:tc>
        <w:tc>
          <w:tcPr>
            <w:tcW w:w="773" w:type="dxa"/>
            <w:vAlign w:val="top"/>
            <w:vMerge w:val="continue"/>
            <w:tcBorders>
              <w:top w:val="nil"/>
              <w:bottom w:val="nil"/>
            </w:tcBorders>
          </w:tcPr>
          <w:p>
            <w:pPr>
              <w:rPr>
                <w:rFonts w:ascii="Arial"/>
                <w:sz w:val="21"/>
              </w:rPr>
            </w:pPr>
            <w:r/>
          </w:p>
        </w:tc>
        <w:tc>
          <w:tcPr>
            <w:tcW w:w="794" w:type="dxa"/>
            <w:vAlign w:val="top"/>
            <w:vMerge w:val="continue"/>
            <w:tcBorders>
              <w:top w:val="nil"/>
              <w:bottom w:val="nil"/>
            </w:tcBorders>
          </w:tcPr>
          <w:p>
            <w:pPr>
              <w:rPr>
                <w:rFonts w:ascii="Arial"/>
                <w:sz w:val="21"/>
              </w:rPr>
            </w:pPr>
            <w:r/>
          </w:p>
        </w:tc>
        <w:tc>
          <w:tcPr>
            <w:tcW w:w="1067" w:type="dxa"/>
            <w:vAlign w:val="top"/>
            <w:vMerge w:val="continue"/>
            <w:tcBorders>
              <w:top w:val="nil"/>
              <w:bottom w:val="nil"/>
            </w:tcBorders>
          </w:tcPr>
          <w:p>
            <w:pPr>
              <w:rPr>
                <w:rFonts w:ascii="Arial"/>
                <w:sz w:val="21"/>
              </w:rPr>
            </w:pPr>
            <w:r/>
          </w:p>
        </w:tc>
        <w:tc>
          <w:tcPr>
            <w:tcW w:w="1072" w:type="dxa"/>
            <w:vAlign w:val="top"/>
            <w:vMerge w:val="continue"/>
            <w:tcBorders>
              <w:top w:val="nil"/>
              <w:bottom w:val="nil"/>
            </w:tcBorders>
          </w:tcPr>
          <w:p>
            <w:pPr>
              <w:rPr>
                <w:rFonts w:ascii="Arial"/>
                <w:sz w:val="21"/>
              </w:rPr>
            </w:pPr>
            <w:r/>
          </w:p>
        </w:tc>
      </w:tr>
      <w:tr>
        <w:trPr>
          <w:trHeight w:val="277" w:hRule="atLeast"/>
        </w:trPr>
        <w:tc>
          <w:tcPr>
            <w:tcW w:w="732" w:type="dxa"/>
            <w:vAlign w:val="top"/>
            <w:vMerge w:val="continue"/>
            <w:tcBorders>
              <w:top w:val="nil"/>
              <w:bottom w:val="nil"/>
            </w:tcBorders>
          </w:tcPr>
          <w:p>
            <w:pPr>
              <w:rPr>
                <w:rFonts w:ascii="Arial"/>
                <w:sz w:val="21"/>
              </w:rPr>
            </w:pPr>
            <w:r/>
          </w:p>
        </w:tc>
        <w:tc>
          <w:tcPr>
            <w:tcW w:w="1614" w:type="dxa"/>
            <w:vAlign w:val="top"/>
            <w:vMerge w:val="continue"/>
            <w:tcBorders>
              <w:top w:val="nil"/>
              <w:bottom w:val="nil"/>
            </w:tcBorders>
          </w:tcPr>
          <w:p>
            <w:pPr>
              <w:rPr>
                <w:rFonts w:ascii="Arial"/>
                <w:sz w:val="21"/>
              </w:rPr>
            </w:pPr>
            <w:r/>
          </w:p>
        </w:tc>
        <w:tc>
          <w:tcPr>
            <w:tcW w:w="1669" w:type="dxa"/>
            <w:vAlign w:val="top"/>
          </w:tcPr>
          <w:p>
            <w:pPr>
              <w:pStyle w:val="TableText"/>
              <w:ind w:left="211"/>
              <w:spacing w:before="35" w:line="214" w:lineRule="auto"/>
              <w:rPr/>
            </w:pPr>
            <w:r>
              <w:rPr>
                <w:spacing w:val="8"/>
              </w:rPr>
              <w:t>汞及其化合物</w:t>
            </w:r>
          </w:p>
        </w:tc>
        <w:tc>
          <w:tcPr>
            <w:tcW w:w="830" w:type="dxa"/>
            <w:vAlign w:val="top"/>
            <w:vMerge w:val="continue"/>
            <w:tcBorders>
              <w:top w:val="nil"/>
              <w:bottom w:val="nil"/>
            </w:tcBorders>
          </w:tcPr>
          <w:p>
            <w:pPr>
              <w:rPr>
                <w:rFonts w:ascii="Arial"/>
                <w:sz w:val="21"/>
              </w:rPr>
            </w:pPr>
            <w:r/>
          </w:p>
        </w:tc>
        <w:tc>
          <w:tcPr>
            <w:tcW w:w="773" w:type="dxa"/>
            <w:vAlign w:val="top"/>
            <w:vMerge w:val="continue"/>
            <w:tcBorders>
              <w:top w:val="nil"/>
              <w:bottom w:val="nil"/>
            </w:tcBorders>
          </w:tcPr>
          <w:p>
            <w:pPr>
              <w:rPr>
                <w:rFonts w:ascii="Arial"/>
                <w:sz w:val="21"/>
              </w:rPr>
            </w:pPr>
            <w:r/>
          </w:p>
        </w:tc>
        <w:tc>
          <w:tcPr>
            <w:tcW w:w="794" w:type="dxa"/>
            <w:vAlign w:val="top"/>
            <w:vMerge w:val="continue"/>
            <w:tcBorders>
              <w:top w:val="nil"/>
              <w:bottom w:val="nil"/>
            </w:tcBorders>
          </w:tcPr>
          <w:p>
            <w:pPr>
              <w:rPr>
                <w:rFonts w:ascii="Arial"/>
                <w:sz w:val="21"/>
              </w:rPr>
            </w:pPr>
            <w:r/>
          </w:p>
        </w:tc>
        <w:tc>
          <w:tcPr>
            <w:tcW w:w="1067" w:type="dxa"/>
            <w:vAlign w:val="top"/>
            <w:vMerge w:val="continue"/>
            <w:tcBorders>
              <w:top w:val="nil"/>
              <w:bottom w:val="nil"/>
            </w:tcBorders>
          </w:tcPr>
          <w:p>
            <w:pPr>
              <w:rPr>
                <w:rFonts w:ascii="Arial"/>
                <w:sz w:val="21"/>
              </w:rPr>
            </w:pPr>
            <w:r/>
          </w:p>
        </w:tc>
        <w:tc>
          <w:tcPr>
            <w:tcW w:w="1072" w:type="dxa"/>
            <w:vAlign w:val="top"/>
            <w:vMerge w:val="continue"/>
            <w:tcBorders>
              <w:top w:val="nil"/>
              <w:bottom w:val="nil"/>
            </w:tcBorders>
          </w:tcPr>
          <w:p>
            <w:pPr>
              <w:rPr>
                <w:rFonts w:ascii="Arial"/>
                <w:sz w:val="21"/>
              </w:rPr>
            </w:pPr>
            <w:r/>
          </w:p>
        </w:tc>
      </w:tr>
      <w:tr>
        <w:trPr>
          <w:trHeight w:val="281" w:hRule="atLeast"/>
        </w:trPr>
        <w:tc>
          <w:tcPr>
            <w:tcW w:w="732" w:type="dxa"/>
            <w:vAlign w:val="top"/>
            <w:vMerge w:val="continue"/>
            <w:tcBorders>
              <w:top w:val="nil"/>
            </w:tcBorders>
          </w:tcPr>
          <w:p>
            <w:pPr>
              <w:rPr>
                <w:rFonts w:ascii="Arial"/>
                <w:sz w:val="21"/>
              </w:rPr>
            </w:pPr>
            <w:r/>
          </w:p>
        </w:tc>
        <w:tc>
          <w:tcPr>
            <w:tcW w:w="1614" w:type="dxa"/>
            <w:vAlign w:val="top"/>
            <w:vMerge w:val="continue"/>
            <w:tcBorders>
              <w:top w:val="nil"/>
            </w:tcBorders>
          </w:tcPr>
          <w:p>
            <w:pPr>
              <w:rPr>
                <w:rFonts w:ascii="Arial"/>
                <w:sz w:val="21"/>
              </w:rPr>
            </w:pPr>
            <w:r/>
          </w:p>
        </w:tc>
        <w:tc>
          <w:tcPr>
            <w:tcW w:w="1669" w:type="dxa"/>
            <w:vAlign w:val="top"/>
          </w:tcPr>
          <w:p>
            <w:pPr>
              <w:pStyle w:val="TableText"/>
              <w:ind w:left="314"/>
              <w:spacing w:before="33" w:line="219" w:lineRule="auto"/>
              <w:rPr/>
            </w:pPr>
            <w:r>
              <w:rPr>
                <w:spacing w:val="7"/>
              </w:rPr>
              <w:t>林格曼黑度</w:t>
            </w:r>
          </w:p>
        </w:tc>
        <w:tc>
          <w:tcPr>
            <w:tcW w:w="830" w:type="dxa"/>
            <w:vAlign w:val="top"/>
            <w:vMerge w:val="continue"/>
            <w:tcBorders>
              <w:top w:val="nil"/>
            </w:tcBorders>
          </w:tcPr>
          <w:p>
            <w:pPr>
              <w:rPr>
                <w:rFonts w:ascii="Arial"/>
                <w:sz w:val="21"/>
              </w:rPr>
            </w:pPr>
            <w:r/>
          </w:p>
        </w:tc>
        <w:tc>
          <w:tcPr>
            <w:tcW w:w="773" w:type="dxa"/>
            <w:vAlign w:val="top"/>
            <w:vMerge w:val="continue"/>
            <w:tcBorders>
              <w:top w:val="nil"/>
            </w:tcBorders>
          </w:tcPr>
          <w:p>
            <w:pPr>
              <w:rPr>
                <w:rFonts w:ascii="Arial"/>
                <w:sz w:val="21"/>
              </w:rPr>
            </w:pPr>
            <w:r/>
          </w:p>
        </w:tc>
        <w:tc>
          <w:tcPr>
            <w:tcW w:w="794" w:type="dxa"/>
            <w:vAlign w:val="top"/>
            <w:vMerge w:val="continue"/>
            <w:tcBorders>
              <w:top w:val="nil"/>
            </w:tcBorders>
          </w:tcPr>
          <w:p>
            <w:pPr>
              <w:rPr>
                <w:rFonts w:ascii="Arial"/>
                <w:sz w:val="21"/>
              </w:rPr>
            </w:pPr>
            <w:r/>
          </w:p>
        </w:tc>
        <w:tc>
          <w:tcPr>
            <w:tcW w:w="1067" w:type="dxa"/>
            <w:vAlign w:val="top"/>
            <w:vMerge w:val="continue"/>
            <w:tcBorders>
              <w:top w:val="nil"/>
            </w:tcBorders>
          </w:tcPr>
          <w:p>
            <w:pPr>
              <w:rPr>
                <w:rFonts w:ascii="Arial"/>
                <w:sz w:val="21"/>
              </w:rPr>
            </w:pPr>
            <w:r/>
          </w:p>
        </w:tc>
        <w:tc>
          <w:tcPr>
            <w:tcW w:w="1072" w:type="dxa"/>
            <w:vAlign w:val="top"/>
            <w:vMerge w:val="continue"/>
            <w:tcBorders>
              <w:top w:val="nil"/>
            </w:tcBorders>
          </w:tcPr>
          <w:p>
            <w:pPr>
              <w:rPr>
                <w:rFonts w:ascii="Arial"/>
                <w:sz w:val="21"/>
              </w:rPr>
            </w:pPr>
            <w:r/>
          </w:p>
        </w:tc>
      </w:tr>
    </w:tbl>
    <w:p>
      <w:pPr>
        <w:ind w:left="527"/>
        <w:spacing w:before="35" w:line="221"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）监测点位</w:t>
      </w:r>
    </w:p>
    <w:p>
      <w:pPr>
        <w:ind w:left="36" w:right="78" w:firstLine="479"/>
        <w:spacing w:before="180" w:line="359" w:lineRule="auto"/>
        <w:rPr>
          <w:rFonts w:ascii="SimSun" w:hAnsi="SimSun" w:eastAsia="SimSun" w:cs="SimSun"/>
          <w:sz w:val="24"/>
          <w:szCs w:val="24"/>
        </w:rPr>
      </w:pPr>
      <w:r>
        <w:rPr>
          <w:rFonts w:ascii="SimSun" w:hAnsi="SimSun" w:eastAsia="SimSun" w:cs="SimSun"/>
          <w:sz w:val="24"/>
          <w:szCs w:val="24"/>
          <w:spacing w:val="-3"/>
        </w:rPr>
        <w:t>排气筒上监测点位按照</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3"/>
        </w:rPr>
        <w:t>GB28662</w:t>
      </w:r>
      <w:r>
        <w:rPr>
          <w:rFonts w:ascii="SimSun" w:hAnsi="SimSun" w:eastAsia="SimSun" w:cs="SimSun"/>
          <w:sz w:val="24"/>
          <w:szCs w:val="24"/>
          <w:spacing w:val="-3"/>
        </w:rPr>
        <w:t>、</w:t>
      </w:r>
      <w:r>
        <w:rPr>
          <w:rFonts w:ascii="Times New Roman" w:hAnsi="Times New Roman" w:eastAsia="Times New Roman" w:cs="Times New Roman"/>
          <w:sz w:val="24"/>
          <w:szCs w:val="24"/>
          <w:spacing w:val="-3"/>
        </w:rPr>
        <w:t>GB28666</w:t>
      </w:r>
      <w:r>
        <w:rPr>
          <w:rFonts w:ascii="SimSun" w:hAnsi="SimSun" w:eastAsia="SimSun" w:cs="SimSun"/>
          <w:sz w:val="24"/>
          <w:szCs w:val="24"/>
          <w:spacing w:val="-3"/>
        </w:rPr>
        <w:t>、</w:t>
      </w:r>
      <w:r>
        <w:rPr>
          <w:rFonts w:ascii="Times New Roman" w:hAnsi="Times New Roman" w:eastAsia="Times New Roman" w:cs="Times New Roman"/>
          <w:sz w:val="24"/>
          <w:szCs w:val="24"/>
          <w:spacing w:val="-3"/>
        </w:rPr>
        <w:t>GB13223</w:t>
      </w:r>
      <w:r>
        <w:rPr>
          <w:rFonts w:ascii="SimSun" w:hAnsi="SimSun" w:eastAsia="SimSun" w:cs="SimSun"/>
          <w:sz w:val="24"/>
          <w:szCs w:val="24"/>
          <w:spacing w:val="-3"/>
        </w:rPr>
        <w:t>、</w:t>
      </w:r>
      <w:r>
        <w:rPr>
          <w:rFonts w:ascii="Times New Roman" w:hAnsi="Times New Roman" w:eastAsia="Times New Roman" w:cs="Times New Roman"/>
          <w:sz w:val="24"/>
          <w:szCs w:val="24"/>
          <w:spacing w:val="-3"/>
        </w:rPr>
        <w:t>HJ 75</w:t>
      </w:r>
      <w:r>
        <w:rPr>
          <w:rFonts w:ascii="SimSun" w:hAnsi="SimSun" w:eastAsia="SimSun" w:cs="SimSun"/>
          <w:sz w:val="24"/>
          <w:szCs w:val="24"/>
          <w:spacing w:val="-3"/>
        </w:rPr>
        <w:t>、</w:t>
      </w:r>
      <w:r>
        <w:rPr>
          <w:rFonts w:ascii="Times New Roman" w:hAnsi="Times New Roman" w:eastAsia="Times New Roman" w:cs="Times New Roman"/>
          <w:sz w:val="24"/>
          <w:szCs w:val="24"/>
          <w:spacing w:val="-3"/>
        </w:rPr>
        <w:t>HJ.76 </w:t>
      </w:r>
      <w:r>
        <w:rPr>
          <w:rFonts w:ascii="SimSun" w:hAnsi="SimSun" w:eastAsia="SimSun" w:cs="SimSun"/>
          <w:sz w:val="24"/>
          <w:szCs w:val="24"/>
          <w:spacing w:val="-3"/>
        </w:rPr>
        <w:t>等技术</w:t>
      </w:r>
      <w:r>
        <w:rPr>
          <w:rFonts w:ascii="SimSun" w:hAnsi="SimSun" w:eastAsia="SimSun" w:cs="SimSun"/>
          <w:sz w:val="24"/>
          <w:szCs w:val="24"/>
        </w:rPr>
        <w:t xml:space="preserve"> </w:t>
      </w:r>
      <w:r>
        <w:rPr>
          <w:rFonts w:ascii="SimSun" w:hAnsi="SimSun" w:eastAsia="SimSun" w:cs="SimSun"/>
          <w:sz w:val="24"/>
          <w:szCs w:val="24"/>
          <w:spacing w:val="3"/>
        </w:rPr>
        <w:t>规范的要求设置。当污染物排放标准中有污染物处理效</w:t>
      </w:r>
      <w:r>
        <w:rPr>
          <w:rFonts w:ascii="SimSun" w:hAnsi="SimSun" w:eastAsia="SimSun" w:cs="SimSun"/>
          <w:sz w:val="24"/>
          <w:szCs w:val="24"/>
          <w:spacing w:val="2"/>
        </w:rPr>
        <w:t>果要求时，可设置内部监</w:t>
      </w:r>
      <w:r>
        <w:rPr>
          <w:rFonts w:ascii="SimSun" w:hAnsi="SimSun" w:eastAsia="SimSun" w:cs="SimSun"/>
          <w:sz w:val="24"/>
          <w:szCs w:val="24"/>
        </w:rPr>
        <w:t xml:space="preserve"> </w:t>
      </w:r>
      <w:r>
        <w:rPr>
          <w:rFonts w:ascii="SimSun" w:hAnsi="SimSun" w:eastAsia="SimSun" w:cs="SimSun"/>
          <w:sz w:val="24"/>
          <w:szCs w:val="24"/>
          <w:spacing w:val="-1"/>
        </w:rPr>
        <w:t>测点位，在进入相应污染物处理设施单元的进出口设置监测点位。</w:t>
      </w:r>
    </w:p>
    <w:p>
      <w:pPr>
        <w:ind w:left="527"/>
        <w:spacing w:line="21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）采样及监测分析方法</w:t>
      </w:r>
    </w:p>
    <w:p>
      <w:pPr>
        <w:ind w:left="30" w:firstLine="491"/>
        <w:spacing w:before="185" w:line="359" w:lineRule="auto"/>
        <w:rPr>
          <w:rFonts w:ascii="SimSun" w:hAnsi="SimSun" w:eastAsia="SimSun" w:cs="SimSun"/>
          <w:sz w:val="24"/>
          <w:szCs w:val="24"/>
        </w:rPr>
      </w:pPr>
      <w:r>
        <w:rPr>
          <w:rFonts w:ascii="SimSun" w:hAnsi="SimSun" w:eastAsia="SimSun" w:cs="SimSun"/>
          <w:sz w:val="24"/>
          <w:szCs w:val="24"/>
          <w:spacing w:val="1"/>
        </w:rPr>
        <w:t>《大气污染物综合排放标准限值》（</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16297-1996</w:t>
      </w:r>
      <w:r>
        <w:rPr>
          <w:rFonts w:ascii="SimSun" w:hAnsi="SimSun" w:eastAsia="SimSun" w:cs="SimSun"/>
          <w:sz w:val="24"/>
          <w:szCs w:val="24"/>
          <w:spacing w:val="1"/>
        </w:rPr>
        <w:t>）、《恶臭污染</w:t>
      </w:r>
      <w:r>
        <w:rPr>
          <w:rFonts w:ascii="SimSun" w:hAnsi="SimSun" w:eastAsia="SimSun" w:cs="SimSun"/>
          <w:sz w:val="24"/>
          <w:szCs w:val="24"/>
        </w:rPr>
        <w:t>物排放标 </w:t>
      </w:r>
      <w:r>
        <w:rPr>
          <w:rFonts w:ascii="SimSun" w:hAnsi="SimSun" w:eastAsia="SimSun" w:cs="SimSun"/>
          <w:sz w:val="24"/>
          <w:szCs w:val="24"/>
          <w:spacing w:val="-16"/>
        </w:rPr>
        <w:t>准》（</w:t>
      </w:r>
      <w:r>
        <w:rPr>
          <w:rFonts w:ascii="Times New Roman" w:hAnsi="Times New Roman" w:eastAsia="Times New Roman" w:cs="Times New Roman"/>
          <w:sz w:val="24"/>
          <w:szCs w:val="24"/>
          <w:spacing w:val="-16"/>
        </w:rPr>
        <w:t>GB14554-93</w:t>
      </w:r>
      <w:r>
        <w:rPr>
          <w:rFonts w:ascii="SimSun" w:hAnsi="SimSun" w:eastAsia="SimSun" w:cs="SimSun"/>
          <w:sz w:val="24"/>
          <w:szCs w:val="24"/>
          <w:spacing w:val="-16"/>
        </w:rPr>
        <w:t>）、《锅炉大气污染物排放标准》（</w:t>
      </w:r>
      <w:r>
        <w:rPr>
          <w:rFonts w:ascii="Times New Roman" w:hAnsi="Times New Roman" w:eastAsia="Times New Roman" w:cs="Times New Roman"/>
          <w:sz w:val="24"/>
          <w:szCs w:val="24"/>
          <w:spacing w:val="-16"/>
        </w:rPr>
        <w:t>GB</w:t>
      </w:r>
      <w:r>
        <w:rPr>
          <w:rFonts w:ascii="Times New Roman" w:hAnsi="Times New Roman" w:eastAsia="Times New Roman" w:cs="Times New Roman"/>
          <w:sz w:val="24"/>
          <w:szCs w:val="24"/>
          <w:spacing w:val="36"/>
        </w:rPr>
        <w:t xml:space="preserve"> </w:t>
      </w:r>
      <w:r>
        <w:rPr>
          <w:rFonts w:ascii="Times New Roman" w:hAnsi="Times New Roman" w:eastAsia="Times New Roman" w:cs="Times New Roman"/>
          <w:sz w:val="24"/>
          <w:szCs w:val="24"/>
          <w:spacing w:val="-16"/>
        </w:rPr>
        <w:t>13271-2014</w:t>
      </w:r>
      <w:r>
        <w:rPr>
          <w:rFonts w:ascii="SimSun" w:hAnsi="SimSun" w:eastAsia="SimSun" w:cs="SimSun"/>
          <w:sz w:val="24"/>
          <w:szCs w:val="24"/>
          <w:spacing w:val="-16"/>
        </w:rPr>
        <w:t>）及</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6"/>
        </w:rPr>
        <w:t>GB/T</w:t>
      </w:r>
      <w:r>
        <w:rPr>
          <w:rFonts w:ascii="Times New Roman" w:hAnsi="Times New Roman" w:eastAsia="Times New Roman" w:cs="Times New Roman"/>
          <w:sz w:val="24"/>
          <w:szCs w:val="24"/>
          <w:spacing w:val="28"/>
          <w:w w:val="101"/>
        </w:rPr>
        <w:t xml:space="preserve"> </w:t>
      </w:r>
      <w:r>
        <w:rPr>
          <w:rFonts w:ascii="Times New Roman" w:hAnsi="Times New Roman" w:eastAsia="Times New Roman" w:cs="Times New Roman"/>
          <w:sz w:val="24"/>
          <w:szCs w:val="24"/>
          <w:spacing w:val="-16"/>
        </w:rPr>
        <w:t>16157</w:t>
      </w:r>
      <w:r>
        <w:rPr>
          <w:rFonts w:ascii="SimSun" w:hAnsi="SimSun" w:eastAsia="SimSun" w:cs="SimSun"/>
          <w:sz w:val="24"/>
          <w:szCs w:val="24"/>
          <w:spacing w:val="-16"/>
        </w:rPr>
        <w:t>、</w:t>
      </w:r>
      <w:r>
        <w:rPr>
          <w:rFonts w:ascii="SimSun" w:hAnsi="SimSun" w:eastAsia="SimSun" w:cs="SimSun"/>
          <w:sz w:val="24"/>
          <w:szCs w:val="24"/>
        </w:rPr>
        <w:t xml:space="preserve"> </w:t>
      </w:r>
      <w:r>
        <w:rPr>
          <w:rFonts w:ascii="Times New Roman" w:hAnsi="Times New Roman" w:eastAsia="Times New Roman" w:cs="Times New Roman"/>
          <w:sz w:val="24"/>
          <w:szCs w:val="24"/>
          <w:spacing w:val="-2"/>
        </w:rPr>
        <w:t>HJ/T 397</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2"/>
        </w:rPr>
        <w:t>等。</w:t>
      </w:r>
    </w:p>
    <w:p>
      <w:pPr>
        <w:ind w:left="33"/>
        <w:spacing w:line="220" w:lineRule="auto"/>
        <w:outlineLvl w:val="3"/>
        <w:rPr>
          <w:rFonts w:ascii="SimSun" w:hAnsi="SimSun" w:eastAsia="SimSun" w:cs="SimSun"/>
          <w:sz w:val="24"/>
          <w:szCs w:val="24"/>
        </w:rPr>
      </w:pPr>
      <w:r>
        <w:rPr>
          <w:rFonts w:ascii="Times New Roman" w:hAnsi="Times New Roman" w:eastAsia="Times New Roman" w:cs="Times New Roman"/>
          <w:sz w:val="24"/>
          <w:szCs w:val="24"/>
          <w:b/>
          <w:bCs/>
          <w:spacing w:val="-2"/>
        </w:rPr>
        <w:t>9.2.1.2 </w:t>
      </w:r>
      <w:r>
        <w:rPr>
          <w:rFonts w:ascii="SimSun" w:hAnsi="SimSun" w:eastAsia="SimSun" w:cs="SimSun"/>
          <w:sz w:val="24"/>
          <w:szCs w:val="24"/>
          <w:b/>
          <w:bCs/>
          <w:spacing w:val="-2"/>
        </w:rPr>
        <w:t>无组织排放监测</w:t>
      </w:r>
    </w:p>
    <w:p>
      <w:pPr>
        <w:ind w:left="527"/>
        <w:spacing w:before="179" w:line="221"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）监测点位</w:t>
      </w:r>
    </w:p>
    <w:p>
      <w:pPr>
        <w:ind w:left="35" w:right="80" w:firstLine="481"/>
        <w:spacing w:before="176" w:line="360" w:lineRule="auto"/>
        <w:rPr>
          <w:rFonts w:ascii="SimSun" w:hAnsi="SimSun" w:eastAsia="SimSun" w:cs="SimSun"/>
          <w:sz w:val="24"/>
          <w:szCs w:val="24"/>
        </w:rPr>
      </w:pPr>
      <w:r>
        <w:rPr>
          <w:rFonts w:ascii="SimSun" w:hAnsi="SimSun" w:eastAsia="SimSun" w:cs="SimSun"/>
          <w:sz w:val="24"/>
          <w:szCs w:val="24"/>
          <w:spacing w:val="1"/>
        </w:rPr>
        <w:t>按照《大气污染物综合排放标准限值》（</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16297-1996</w:t>
      </w:r>
      <w:r>
        <w:rPr>
          <w:rFonts w:ascii="SimSun" w:hAnsi="SimSun" w:eastAsia="SimSun" w:cs="SimSun"/>
          <w:sz w:val="24"/>
          <w:szCs w:val="24"/>
          <w:spacing w:val="1"/>
        </w:rPr>
        <w:t>）、《恶臭污染物排</w:t>
      </w:r>
      <w:r>
        <w:rPr>
          <w:rFonts w:ascii="SimSun" w:hAnsi="SimSun" w:eastAsia="SimSun" w:cs="SimSun"/>
          <w:sz w:val="24"/>
          <w:szCs w:val="24"/>
        </w:rPr>
        <w:t xml:space="preserve"> </w:t>
      </w:r>
      <w:r>
        <w:rPr>
          <w:rFonts w:ascii="SimSun" w:hAnsi="SimSun" w:eastAsia="SimSun" w:cs="SimSun"/>
          <w:sz w:val="24"/>
          <w:szCs w:val="24"/>
          <w:spacing w:val="-2"/>
        </w:rPr>
        <w:t>放标准》（</w:t>
      </w:r>
      <w:r>
        <w:rPr>
          <w:rFonts w:ascii="Times New Roman" w:hAnsi="Times New Roman" w:eastAsia="Times New Roman" w:cs="Times New Roman"/>
          <w:sz w:val="24"/>
          <w:szCs w:val="24"/>
          <w:spacing w:val="-2"/>
        </w:rPr>
        <w:t>GB14554-93</w:t>
      </w:r>
      <w:r>
        <w:rPr>
          <w:rFonts w:ascii="SimSun" w:hAnsi="SimSun" w:eastAsia="SimSun" w:cs="SimSun"/>
          <w:sz w:val="24"/>
          <w:szCs w:val="24"/>
          <w:spacing w:val="-2"/>
        </w:rPr>
        <w:t>）及</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HJ/T 55</w:t>
      </w:r>
      <w:r>
        <w:rPr>
          <w:rFonts w:ascii="SimSun" w:hAnsi="SimSun" w:eastAsia="SimSun" w:cs="SimSun"/>
          <w:sz w:val="24"/>
          <w:szCs w:val="24"/>
          <w:spacing w:val="-2"/>
        </w:rPr>
        <w:t>、</w:t>
      </w:r>
      <w:r>
        <w:rPr>
          <w:rFonts w:ascii="Times New Roman" w:hAnsi="Times New Roman" w:eastAsia="Times New Roman" w:cs="Times New Roman"/>
          <w:sz w:val="24"/>
          <w:szCs w:val="24"/>
          <w:spacing w:val="-2"/>
        </w:rPr>
        <w:t>HJ 733 </w:t>
      </w:r>
      <w:r>
        <w:rPr>
          <w:rFonts w:ascii="SimSun" w:hAnsi="SimSun" w:eastAsia="SimSun" w:cs="SimSun"/>
          <w:sz w:val="24"/>
          <w:szCs w:val="24"/>
          <w:spacing w:val="-3"/>
        </w:rPr>
        <w:t>等标准设置无组织排放监测点位。本</w:t>
      </w:r>
      <w:r>
        <w:rPr>
          <w:rFonts w:ascii="SimSun" w:hAnsi="SimSun" w:eastAsia="SimSun" w:cs="SimSun"/>
          <w:sz w:val="24"/>
          <w:szCs w:val="24"/>
        </w:rPr>
        <w:t xml:space="preserve"> </w:t>
      </w:r>
      <w:r>
        <w:rPr>
          <w:rFonts w:ascii="SimSun" w:hAnsi="SimSun" w:eastAsia="SimSun" w:cs="SimSun"/>
          <w:sz w:val="24"/>
          <w:szCs w:val="24"/>
          <w:spacing w:val="-1"/>
        </w:rPr>
        <w:t>项目在周界外</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1"/>
        </w:rPr>
        <w:t>10m</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1"/>
        </w:rPr>
        <w:t>范围内的浓度最高点设</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4 </w:t>
      </w:r>
      <w:r>
        <w:rPr>
          <w:rFonts w:ascii="SimSun" w:hAnsi="SimSun" w:eastAsia="SimSun" w:cs="SimSun"/>
          <w:sz w:val="24"/>
          <w:szCs w:val="24"/>
          <w:spacing w:val="-1"/>
        </w:rPr>
        <w:t>监控点，同时在厂区上风向设一个对</w:t>
      </w:r>
      <w:r>
        <w:rPr>
          <w:rFonts w:ascii="SimSun" w:hAnsi="SimSun" w:eastAsia="SimSun" w:cs="SimSun"/>
          <w:sz w:val="24"/>
          <w:szCs w:val="24"/>
        </w:rPr>
        <w:t xml:space="preserve"> </w:t>
      </w:r>
      <w:r>
        <w:rPr>
          <w:rFonts w:ascii="SimSun" w:hAnsi="SimSun" w:eastAsia="SimSun" w:cs="SimSun"/>
          <w:sz w:val="24"/>
          <w:szCs w:val="24"/>
          <w:spacing w:val="-4"/>
        </w:rPr>
        <w:t>照点。</w:t>
      </w:r>
    </w:p>
    <w:p>
      <w:pPr>
        <w:ind w:left="527"/>
        <w:spacing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）监测指标：</w:t>
      </w:r>
    </w:p>
    <w:p>
      <w:pPr>
        <w:ind w:left="514"/>
        <w:spacing w:before="180" w:line="219" w:lineRule="auto"/>
        <w:rPr>
          <w:rFonts w:ascii="SimSun" w:hAnsi="SimSun" w:eastAsia="SimSun" w:cs="SimSun"/>
          <w:sz w:val="24"/>
          <w:szCs w:val="24"/>
        </w:rPr>
      </w:pPr>
      <w:r>
        <w:rPr>
          <w:rFonts w:ascii="SimSun" w:hAnsi="SimSun" w:eastAsia="SimSun" w:cs="SimSun"/>
          <w:sz w:val="24"/>
          <w:szCs w:val="24"/>
          <w:spacing w:val="-1"/>
        </w:rPr>
        <w:t>颗粒物、硫化氢、氨、臭气浓度</w:t>
      </w:r>
    </w:p>
    <w:p>
      <w:pPr>
        <w:ind w:left="527"/>
        <w:spacing w:before="183"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）监测频次</w:t>
      </w:r>
    </w:p>
    <w:p>
      <w:pPr>
        <w:ind w:left="515"/>
        <w:spacing w:before="181" w:line="219" w:lineRule="auto"/>
        <w:rPr>
          <w:rFonts w:ascii="SimSun" w:hAnsi="SimSun" w:eastAsia="SimSun" w:cs="SimSun"/>
          <w:sz w:val="24"/>
          <w:szCs w:val="24"/>
        </w:rPr>
      </w:pPr>
      <w:r>
        <w:rPr>
          <w:rFonts w:ascii="SimSun" w:hAnsi="SimSun" w:eastAsia="SimSun" w:cs="SimSun"/>
          <w:sz w:val="24"/>
          <w:szCs w:val="24"/>
          <w:spacing w:val="-7"/>
        </w:rPr>
        <w:t>每半年开展</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7"/>
        </w:rPr>
        <w:t>次。</w:t>
      </w:r>
    </w:p>
    <w:p>
      <w:pPr>
        <w:spacing w:line="219" w:lineRule="auto"/>
        <w:sectPr>
          <w:headerReference w:type="default" r:id="rId52"/>
          <w:footerReference w:type="default" r:id="rId389"/>
          <w:pgSz w:w="11907" w:h="16840"/>
          <w:pgMar w:top="1567" w:right="1621" w:bottom="1921" w:left="1675" w:header="1221" w:footer="1247" w:gutter="0"/>
        </w:sectPr>
        <w:rPr>
          <w:rFonts w:ascii="SimSun" w:hAnsi="SimSun" w:eastAsia="SimSun" w:cs="SimSun"/>
          <w:sz w:val="24"/>
          <w:szCs w:val="24"/>
        </w:rPr>
      </w:pPr>
    </w:p>
    <w:p>
      <w:pPr>
        <w:ind w:left="501"/>
        <w:spacing w:before="187" w:line="219" w:lineRule="auto"/>
        <w:rPr>
          <w:rFonts w:ascii="SimSun" w:hAnsi="SimSun" w:eastAsia="SimSun" w:cs="SimSun"/>
          <w:sz w:val="24"/>
          <w:szCs w:val="24"/>
        </w:rPr>
      </w:pPr>
      <w:r>
        <w:pict>
          <v:shape id="_x0000_s1330" style="position:absolute;margin-left:85.05pt;margin-top:79.11pt;mso-position-vertical-relative:page;mso-position-horizontal-relative:page;width:425.25pt;height:0.75pt;z-index:252405760;" o:allowincell="f" fillcolor="#000000" filled="true" stroked="false" coordsize="8505,15" coordorigin="0,0" path="m,l8505,0l8505,14l0,14l0,0xe"/>
        </w:pict>
      </w:r>
      <w:r>
        <w:rPr>
          <w:rFonts w:ascii="SimSun" w:hAnsi="SimSun" w:eastAsia="SimSun" w:cs="SimSun"/>
          <w:sz w:val="24"/>
          <w:szCs w:val="24"/>
          <w:spacing w:val="-2"/>
        </w:rPr>
        <w:t>（</w:t>
      </w:r>
      <w:r>
        <w:rPr>
          <w:rFonts w:ascii="Times New Roman" w:hAnsi="Times New Roman" w:eastAsia="Times New Roman" w:cs="Times New Roman"/>
          <w:sz w:val="24"/>
          <w:szCs w:val="24"/>
          <w:spacing w:val="-2"/>
        </w:rPr>
        <w:t>4</w:t>
      </w:r>
      <w:r>
        <w:rPr>
          <w:rFonts w:ascii="SimSun" w:hAnsi="SimSun" w:eastAsia="SimSun" w:cs="SimSun"/>
          <w:sz w:val="24"/>
          <w:szCs w:val="24"/>
          <w:spacing w:val="-2"/>
        </w:rPr>
        <w:t>）采样及监测分析方法</w:t>
      </w:r>
    </w:p>
    <w:p>
      <w:pPr>
        <w:ind w:left="491"/>
        <w:spacing w:before="181" w:line="219" w:lineRule="auto"/>
        <w:rPr>
          <w:rFonts w:ascii="SimSun" w:hAnsi="SimSun" w:eastAsia="SimSun" w:cs="SimSun"/>
          <w:sz w:val="24"/>
          <w:szCs w:val="24"/>
        </w:rPr>
      </w:pPr>
      <w:r>
        <w:rPr>
          <w:rFonts w:ascii="SimSun" w:hAnsi="SimSun" w:eastAsia="SimSun" w:cs="SimSun"/>
          <w:sz w:val="24"/>
          <w:szCs w:val="24"/>
          <w:spacing w:val="1"/>
        </w:rPr>
        <w:t>按照《大气污染物综合排放标准限值》（</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16297-1996</w:t>
      </w:r>
      <w:r>
        <w:rPr>
          <w:rFonts w:ascii="SimSun" w:hAnsi="SimSun" w:eastAsia="SimSun" w:cs="SimSun"/>
          <w:sz w:val="24"/>
          <w:szCs w:val="24"/>
          <w:spacing w:val="1"/>
        </w:rPr>
        <w:t>）、《恶臭污染物排</w:t>
      </w:r>
    </w:p>
    <w:p>
      <w:pPr>
        <w:ind w:left="9"/>
        <w:spacing w:before="180" w:line="219" w:lineRule="auto"/>
        <w:rPr>
          <w:rFonts w:ascii="SimSun" w:hAnsi="SimSun" w:eastAsia="SimSun" w:cs="SimSun"/>
          <w:sz w:val="24"/>
          <w:szCs w:val="24"/>
        </w:rPr>
      </w:pPr>
      <w:r>
        <w:rPr>
          <w:rFonts w:ascii="SimSun" w:hAnsi="SimSun" w:eastAsia="SimSun" w:cs="SimSun"/>
          <w:sz w:val="24"/>
          <w:szCs w:val="24"/>
          <w:spacing w:val="-2"/>
        </w:rPr>
        <w:t>放标准》（</w:t>
      </w:r>
      <w:r>
        <w:rPr>
          <w:rFonts w:ascii="Times New Roman" w:hAnsi="Times New Roman" w:eastAsia="Times New Roman" w:cs="Times New Roman"/>
          <w:sz w:val="24"/>
          <w:szCs w:val="24"/>
          <w:spacing w:val="-2"/>
        </w:rPr>
        <w:t>GB14554-93</w:t>
      </w:r>
      <w:r>
        <w:rPr>
          <w:rFonts w:ascii="SimSun" w:hAnsi="SimSun" w:eastAsia="SimSun" w:cs="SimSun"/>
          <w:sz w:val="24"/>
          <w:szCs w:val="24"/>
          <w:spacing w:val="-2"/>
        </w:rPr>
        <w:t>）及</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GB/T</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2"/>
        </w:rPr>
        <w:t>16157</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HJ/T 397 </w:t>
      </w:r>
      <w:r>
        <w:rPr>
          <w:rFonts w:ascii="SimSun" w:hAnsi="SimSun" w:eastAsia="SimSun" w:cs="SimSun"/>
          <w:sz w:val="24"/>
          <w:szCs w:val="24"/>
          <w:spacing w:val="-2"/>
        </w:rPr>
        <w:t>等执行。</w:t>
      </w:r>
    </w:p>
    <w:p>
      <w:pPr>
        <w:pStyle w:val="BodyText"/>
        <w:spacing w:line="252" w:lineRule="auto"/>
        <w:rPr/>
      </w:pPr>
      <w:r/>
    </w:p>
    <w:p>
      <w:pPr>
        <w:ind w:left="11"/>
        <w:spacing w:before="91" w:line="222" w:lineRule="auto"/>
        <w:outlineLvl w:val="2"/>
        <w:rPr>
          <w:rFonts w:ascii="SimHei" w:hAnsi="SimHei" w:eastAsia="SimHei" w:cs="SimHei"/>
          <w:sz w:val="28"/>
          <w:szCs w:val="28"/>
        </w:rPr>
      </w:pPr>
      <w:bookmarkStart w:name="bookmark191" w:id="226"/>
      <w:bookmarkEnd w:id="226"/>
      <w:r>
        <w:rPr>
          <w:rFonts w:ascii="Times New Roman" w:hAnsi="Times New Roman" w:eastAsia="Times New Roman" w:cs="Times New Roman"/>
          <w:sz w:val="28"/>
          <w:szCs w:val="28"/>
          <w:spacing w:val="-1"/>
        </w:rPr>
        <w:t>9.2.2 </w:t>
      </w:r>
      <w:r>
        <w:rPr>
          <w:rFonts w:ascii="SimHei" w:hAnsi="SimHei" w:eastAsia="SimHei" w:cs="SimHei"/>
          <w:sz w:val="28"/>
          <w:szCs w:val="28"/>
          <w:spacing w:val="-1"/>
        </w:rPr>
        <w:t>废水排放监测</w:t>
      </w:r>
    </w:p>
    <w:p>
      <w:pPr>
        <w:pStyle w:val="BodyText"/>
        <w:spacing w:line="278" w:lineRule="auto"/>
        <w:rPr/>
      </w:pPr>
      <w:r/>
    </w:p>
    <w:p>
      <w:pPr>
        <w:ind w:left="501"/>
        <w:spacing w:before="78" w:line="221"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）监测点位</w:t>
      </w:r>
    </w:p>
    <w:p>
      <w:pPr>
        <w:ind w:left="491"/>
        <w:spacing w:before="181" w:line="219" w:lineRule="auto"/>
        <w:rPr>
          <w:rFonts w:ascii="SimSun" w:hAnsi="SimSun" w:eastAsia="SimSun" w:cs="SimSun"/>
          <w:sz w:val="24"/>
          <w:szCs w:val="24"/>
        </w:rPr>
      </w:pPr>
      <w:r>
        <w:rPr>
          <w:rFonts w:ascii="SimSun" w:hAnsi="SimSun" w:eastAsia="SimSun" w:cs="SimSun"/>
          <w:sz w:val="24"/>
          <w:szCs w:val="24"/>
          <w:spacing w:val="-1"/>
        </w:rPr>
        <w:t>生活污水出水口、雨水排放口设监测点位</w:t>
      </w:r>
    </w:p>
    <w:p>
      <w:pPr>
        <w:ind w:left="501"/>
        <w:spacing w:before="181"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）监测指标</w:t>
      </w:r>
    </w:p>
    <w:p>
      <w:pPr>
        <w:ind w:left="491"/>
        <w:spacing w:before="180" w:line="212" w:lineRule="auto"/>
        <w:rPr>
          <w:rFonts w:ascii="SimSun" w:hAnsi="SimSun" w:eastAsia="SimSun" w:cs="SimSun"/>
          <w:sz w:val="24"/>
          <w:szCs w:val="24"/>
        </w:rPr>
      </w:pPr>
      <w:r>
        <w:rPr>
          <w:rFonts w:ascii="SimSun" w:hAnsi="SimSun" w:eastAsia="SimSun" w:cs="SimSun"/>
          <w:sz w:val="24"/>
          <w:szCs w:val="24"/>
          <w:spacing w:val="-4"/>
        </w:rPr>
        <w:t>生活污水出水口：</w:t>
      </w:r>
      <w:r>
        <w:rPr>
          <w:rFonts w:ascii="Times New Roman" w:hAnsi="Times New Roman" w:eastAsia="Times New Roman" w:cs="Times New Roman"/>
          <w:sz w:val="24"/>
          <w:szCs w:val="24"/>
          <w:spacing w:val="-4"/>
        </w:rPr>
        <w:t>pH</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CODc</w:t>
      </w:r>
      <w:r>
        <w:rPr>
          <w:rFonts w:ascii="Times New Roman" w:hAnsi="Times New Roman" w:eastAsia="Times New Roman" w:cs="Times New Roman"/>
          <w:sz w:val="15"/>
          <w:szCs w:val="15"/>
          <w:spacing w:val="-4"/>
          <w:position w:val="-1"/>
        </w:rPr>
        <w:t>r</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BOD</w:t>
      </w:r>
      <w:r>
        <w:rPr>
          <w:rFonts w:ascii="Times New Roman" w:hAnsi="Times New Roman" w:eastAsia="Times New Roman" w:cs="Times New Roman"/>
          <w:sz w:val="15"/>
          <w:szCs w:val="15"/>
          <w:spacing w:val="-4"/>
          <w:position w:val="-1"/>
        </w:rPr>
        <w:t>5</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NH</w:t>
      </w:r>
      <w:r>
        <w:rPr>
          <w:rFonts w:ascii="Times New Roman" w:hAnsi="Times New Roman" w:eastAsia="Times New Roman" w:cs="Times New Roman"/>
          <w:sz w:val="15"/>
          <w:szCs w:val="15"/>
          <w:spacing w:val="-4"/>
        </w:rPr>
        <w:t>3</w:t>
      </w:r>
      <w:r>
        <w:rPr>
          <w:rFonts w:ascii="Times New Roman" w:hAnsi="Times New Roman" w:eastAsia="Times New Roman" w:cs="Times New Roman"/>
          <w:sz w:val="24"/>
          <w:szCs w:val="24"/>
          <w:spacing w:val="-4"/>
        </w:rPr>
        <w:t>-N</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SS</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4"/>
        </w:rPr>
        <w:t>、动植物油等；</w:t>
      </w:r>
    </w:p>
    <w:p>
      <w:pPr>
        <w:ind w:left="499"/>
        <w:spacing w:before="192" w:line="219" w:lineRule="auto"/>
        <w:rPr>
          <w:rFonts w:ascii="SimSun" w:hAnsi="SimSun" w:eastAsia="SimSun" w:cs="SimSun"/>
          <w:sz w:val="24"/>
          <w:szCs w:val="24"/>
        </w:rPr>
      </w:pPr>
      <w:r>
        <w:rPr>
          <w:rFonts w:ascii="SimSun" w:hAnsi="SimSun" w:eastAsia="SimSun" w:cs="SimSun"/>
          <w:sz w:val="24"/>
          <w:szCs w:val="24"/>
          <w:spacing w:val="-2"/>
        </w:rPr>
        <w:t>雨水排放口：</w:t>
      </w:r>
      <w:r>
        <w:rPr>
          <w:rFonts w:ascii="Times New Roman" w:hAnsi="Times New Roman" w:eastAsia="Times New Roman" w:cs="Times New Roman"/>
          <w:sz w:val="24"/>
          <w:szCs w:val="24"/>
          <w:spacing w:val="-2"/>
        </w:rPr>
        <w:t>CODc</w:t>
      </w:r>
      <w:r>
        <w:rPr>
          <w:rFonts w:ascii="Times New Roman" w:hAnsi="Times New Roman" w:eastAsia="Times New Roman" w:cs="Times New Roman"/>
          <w:sz w:val="15"/>
          <w:szCs w:val="15"/>
          <w:spacing w:val="-2"/>
          <w:position w:val="-1"/>
        </w:rPr>
        <w:t>r</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SS </w:t>
      </w:r>
      <w:r>
        <w:rPr>
          <w:rFonts w:ascii="SimSun" w:hAnsi="SimSun" w:eastAsia="SimSun" w:cs="SimSun"/>
          <w:sz w:val="24"/>
          <w:szCs w:val="24"/>
          <w:spacing w:val="-2"/>
        </w:rPr>
        <w:t>等</w:t>
      </w:r>
    </w:p>
    <w:p>
      <w:pPr>
        <w:ind w:left="501"/>
        <w:spacing w:before="184"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）监测频次</w:t>
      </w:r>
    </w:p>
    <w:p>
      <w:pPr>
        <w:ind w:left="491"/>
        <w:spacing w:before="181" w:line="219" w:lineRule="auto"/>
        <w:rPr>
          <w:rFonts w:ascii="SimSun" w:hAnsi="SimSun" w:eastAsia="SimSun" w:cs="SimSun"/>
          <w:sz w:val="24"/>
          <w:szCs w:val="24"/>
        </w:rPr>
      </w:pPr>
      <w:r>
        <w:rPr>
          <w:rFonts w:ascii="SimSun" w:hAnsi="SimSun" w:eastAsia="SimSun" w:cs="SimSun"/>
          <w:sz w:val="24"/>
          <w:szCs w:val="24"/>
          <w:spacing w:val="-3"/>
        </w:rPr>
        <w:t>生活污水出水口：每半年开展</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次</w:t>
      </w:r>
    </w:p>
    <w:p>
      <w:pPr>
        <w:ind w:left="499"/>
        <w:spacing w:before="183" w:line="219" w:lineRule="auto"/>
        <w:rPr>
          <w:rFonts w:ascii="SimSun" w:hAnsi="SimSun" w:eastAsia="SimSun" w:cs="SimSun"/>
          <w:sz w:val="24"/>
          <w:szCs w:val="24"/>
        </w:rPr>
      </w:pPr>
      <w:r>
        <w:rPr>
          <w:rFonts w:ascii="SimSun" w:hAnsi="SimSun" w:eastAsia="SimSun" w:cs="SimSun"/>
          <w:sz w:val="24"/>
          <w:szCs w:val="24"/>
          <w:spacing w:val="-2"/>
        </w:rPr>
        <w:t>雨水排放口：排放期间按日监测</w:t>
      </w:r>
    </w:p>
    <w:p>
      <w:pPr>
        <w:ind w:left="501"/>
        <w:spacing w:before="180"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）采样方法</w:t>
      </w:r>
    </w:p>
    <w:p>
      <w:pPr>
        <w:ind w:left="10" w:right="105" w:firstLine="480"/>
        <w:spacing w:before="183" w:line="359" w:lineRule="auto"/>
        <w:rPr>
          <w:rFonts w:ascii="SimSun" w:hAnsi="SimSun" w:eastAsia="SimSun" w:cs="SimSun"/>
          <w:sz w:val="24"/>
          <w:szCs w:val="24"/>
        </w:rPr>
      </w:pPr>
      <w:r>
        <w:rPr>
          <w:rFonts w:ascii="SimSun" w:hAnsi="SimSun" w:eastAsia="SimSun" w:cs="SimSun"/>
          <w:sz w:val="24"/>
          <w:szCs w:val="24"/>
          <w:spacing w:val="2"/>
        </w:rPr>
        <w:t>参照《污水综合排放标准》（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25"/>
        </w:rPr>
        <w:t xml:space="preserve"> </w:t>
      </w:r>
      <w:r>
        <w:rPr>
          <w:rFonts w:ascii="Times New Roman" w:hAnsi="Times New Roman" w:eastAsia="Times New Roman" w:cs="Times New Roman"/>
          <w:sz w:val="24"/>
          <w:szCs w:val="24"/>
          <w:spacing w:val="2"/>
        </w:rPr>
        <w:t>8978-1996</w:t>
      </w:r>
      <w:r>
        <w:rPr>
          <w:rFonts w:ascii="SimSun" w:hAnsi="SimSun" w:eastAsia="SimSun" w:cs="SimSun"/>
          <w:sz w:val="24"/>
          <w:szCs w:val="24"/>
          <w:spacing w:val="2"/>
        </w:rPr>
        <w:t>）、《污水排入城镇下水道水质</w:t>
      </w:r>
      <w:r>
        <w:rPr>
          <w:rFonts w:ascii="SimSun" w:hAnsi="SimSun" w:eastAsia="SimSun" w:cs="SimSun"/>
          <w:sz w:val="24"/>
          <w:szCs w:val="24"/>
        </w:rPr>
        <w:t xml:space="preserve"> </w:t>
      </w:r>
      <w:r>
        <w:rPr>
          <w:rFonts w:ascii="SimSun" w:hAnsi="SimSun" w:eastAsia="SimSun" w:cs="SimSun"/>
          <w:sz w:val="24"/>
          <w:szCs w:val="24"/>
          <w:spacing w:val="-3"/>
        </w:rPr>
        <w:t>标准》（</w:t>
      </w:r>
      <w:r>
        <w:rPr>
          <w:rFonts w:ascii="Times New Roman" w:hAnsi="Times New Roman" w:eastAsia="Times New Roman" w:cs="Times New Roman"/>
          <w:sz w:val="24"/>
          <w:szCs w:val="24"/>
          <w:spacing w:val="-3"/>
        </w:rPr>
        <w:t>GB/T31962-2015</w:t>
      </w:r>
      <w:r>
        <w:rPr>
          <w:rFonts w:ascii="SimSun" w:hAnsi="SimSun" w:eastAsia="SimSun" w:cs="SimSun"/>
          <w:sz w:val="24"/>
          <w:szCs w:val="24"/>
          <w:spacing w:val="-43"/>
        </w:rPr>
        <w:t>）（</w:t>
      </w:r>
      <w:r>
        <w:rPr>
          <w:rFonts w:ascii="SimSun" w:hAnsi="SimSun" w:eastAsia="SimSun" w:cs="SimSun"/>
          <w:sz w:val="24"/>
          <w:szCs w:val="24"/>
          <w:spacing w:val="-3"/>
        </w:rPr>
        <w:t>氨氮）及</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HJ/T 91</w:t>
      </w:r>
      <w:r>
        <w:rPr>
          <w:rFonts w:ascii="SimSun" w:hAnsi="SimSun" w:eastAsia="SimSun" w:cs="SimSun"/>
          <w:sz w:val="24"/>
          <w:szCs w:val="24"/>
          <w:spacing w:val="-3"/>
        </w:rPr>
        <w:t>、</w:t>
      </w:r>
      <w:r>
        <w:rPr>
          <w:rFonts w:ascii="Times New Roman" w:hAnsi="Times New Roman" w:eastAsia="Times New Roman" w:cs="Times New Roman"/>
          <w:sz w:val="24"/>
          <w:szCs w:val="24"/>
          <w:spacing w:val="-3"/>
        </w:rPr>
        <w:t>HJ/T 92</w:t>
      </w:r>
      <w:r>
        <w:rPr>
          <w:rFonts w:ascii="SimSun" w:hAnsi="SimSun" w:eastAsia="SimSun" w:cs="SimSun"/>
          <w:sz w:val="24"/>
          <w:szCs w:val="24"/>
          <w:spacing w:val="-3"/>
        </w:rPr>
        <w:t>、</w:t>
      </w:r>
      <w:r>
        <w:rPr>
          <w:rFonts w:ascii="Times New Roman" w:hAnsi="Times New Roman" w:eastAsia="Times New Roman" w:cs="Times New Roman"/>
          <w:sz w:val="24"/>
          <w:szCs w:val="24"/>
          <w:spacing w:val="-3"/>
        </w:rPr>
        <w:t>HJ 493</w:t>
      </w:r>
      <w:r>
        <w:rPr>
          <w:rFonts w:ascii="SimSun" w:hAnsi="SimSun" w:eastAsia="SimSun" w:cs="SimSun"/>
          <w:sz w:val="24"/>
          <w:szCs w:val="24"/>
          <w:spacing w:val="-3"/>
        </w:rPr>
        <w:t>、</w:t>
      </w:r>
      <w:r>
        <w:rPr>
          <w:rFonts w:ascii="Times New Roman" w:hAnsi="Times New Roman" w:eastAsia="Times New Roman" w:cs="Times New Roman"/>
          <w:sz w:val="24"/>
          <w:szCs w:val="24"/>
          <w:spacing w:val="-3"/>
        </w:rPr>
        <w:t>HJ 494</w:t>
      </w:r>
      <w:r>
        <w:rPr>
          <w:rFonts w:ascii="SimSun" w:hAnsi="SimSun" w:eastAsia="SimSun" w:cs="SimSun"/>
          <w:sz w:val="24"/>
          <w:szCs w:val="24"/>
          <w:spacing w:val="-3"/>
        </w:rPr>
        <w:t>、</w:t>
      </w:r>
      <w:r>
        <w:rPr>
          <w:rFonts w:ascii="Times New Roman" w:hAnsi="Times New Roman" w:eastAsia="Times New Roman" w:cs="Times New Roman"/>
          <w:sz w:val="24"/>
          <w:szCs w:val="24"/>
          <w:spacing w:val="-3"/>
        </w:rPr>
        <w:t>HJ 495</w:t>
      </w:r>
      <w:r>
        <w:rPr>
          <w:rFonts w:ascii="Times New Roman" w:hAnsi="Times New Roman" w:eastAsia="Times New Roman" w:cs="Times New Roman"/>
          <w:sz w:val="24"/>
          <w:szCs w:val="24"/>
        </w:rPr>
        <w:t xml:space="preserve"> </w:t>
      </w:r>
      <w:r>
        <w:rPr>
          <w:rFonts w:ascii="SimSun" w:hAnsi="SimSun" w:eastAsia="SimSun" w:cs="SimSun"/>
          <w:sz w:val="24"/>
          <w:szCs w:val="24"/>
          <w:spacing w:val="-2"/>
        </w:rPr>
        <w:t>等标准执行。</w:t>
      </w:r>
    </w:p>
    <w:p>
      <w:pPr>
        <w:ind w:left="501"/>
        <w:spacing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5</w:t>
      </w:r>
      <w:r>
        <w:rPr>
          <w:rFonts w:ascii="SimSun" w:hAnsi="SimSun" w:eastAsia="SimSun" w:cs="SimSun"/>
          <w:sz w:val="24"/>
          <w:szCs w:val="24"/>
          <w:spacing w:val="-3"/>
        </w:rPr>
        <w:t>）监测分析方法</w:t>
      </w:r>
    </w:p>
    <w:p>
      <w:pPr>
        <w:spacing w:before="182" w:line="219" w:lineRule="auto"/>
        <w:jc w:val="right"/>
        <w:rPr>
          <w:rFonts w:ascii="SimSun" w:hAnsi="SimSun" w:eastAsia="SimSun" w:cs="SimSun"/>
          <w:sz w:val="24"/>
          <w:szCs w:val="24"/>
        </w:rPr>
      </w:pPr>
      <w:r>
        <w:rPr>
          <w:rFonts w:ascii="SimSun" w:hAnsi="SimSun" w:eastAsia="SimSun" w:cs="SimSun"/>
          <w:sz w:val="24"/>
          <w:szCs w:val="24"/>
          <w:spacing w:val="-1"/>
        </w:rPr>
        <w:t>《污水综合排放标准》（</w:t>
      </w:r>
      <w:r>
        <w:rPr>
          <w:rFonts w:ascii="Times New Roman" w:hAnsi="Times New Roman" w:eastAsia="Times New Roman" w:cs="Times New Roman"/>
          <w:sz w:val="24"/>
          <w:szCs w:val="24"/>
          <w:spacing w:val="-1"/>
        </w:rPr>
        <w:t>GB</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spacing w:val="-1"/>
        </w:rPr>
        <w:t>8978-199</w:t>
      </w:r>
      <w:r>
        <w:rPr>
          <w:rFonts w:ascii="Times New Roman" w:hAnsi="Times New Roman" w:eastAsia="Times New Roman" w:cs="Times New Roman"/>
          <w:sz w:val="24"/>
          <w:szCs w:val="24"/>
          <w:spacing w:val="-2"/>
        </w:rPr>
        <w:t>6</w:t>
      </w:r>
      <w:r>
        <w:rPr>
          <w:rFonts w:ascii="SimSun" w:hAnsi="SimSun" w:eastAsia="SimSun" w:cs="SimSun"/>
          <w:sz w:val="24"/>
          <w:szCs w:val="24"/>
          <w:spacing w:val="-2"/>
        </w:rPr>
        <w:t>）、《污水排入城镇下水道水质标准》</w:t>
      </w:r>
    </w:p>
    <w:p>
      <w:pPr>
        <w:ind w:left="21"/>
        <w:spacing w:before="180" w:line="219"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GB/T 31962-2015</w:t>
      </w:r>
      <w:r>
        <w:rPr>
          <w:rFonts w:ascii="SimSun" w:hAnsi="SimSun" w:eastAsia="SimSun" w:cs="SimSun"/>
          <w:sz w:val="24"/>
          <w:szCs w:val="24"/>
          <w:spacing w:val="-12"/>
        </w:rPr>
        <w:t>）（</w:t>
      </w:r>
      <w:r>
        <w:rPr>
          <w:rFonts w:ascii="SimSun" w:hAnsi="SimSun" w:eastAsia="SimSun" w:cs="SimSun"/>
          <w:sz w:val="24"/>
          <w:szCs w:val="24"/>
        </w:rPr>
        <w:t>氨氮）中规定方法。</w:t>
      </w:r>
    </w:p>
    <w:p>
      <w:pPr>
        <w:pStyle w:val="BodyText"/>
        <w:spacing w:line="252" w:lineRule="auto"/>
        <w:rPr/>
      </w:pPr>
      <w:r/>
    </w:p>
    <w:p>
      <w:pPr>
        <w:ind w:left="11"/>
        <w:spacing w:before="91" w:line="222" w:lineRule="auto"/>
        <w:outlineLvl w:val="2"/>
        <w:rPr>
          <w:rFonts w:ascii="SimHei" w:hAnsi="SimHei" w:eastAsia="SimHei" w:cs="SimHei"/>
          <w:sz w:val="28"/>
          <w:szCs w:val="28"/>
        </w:rPr>
      </w:pPr>
      <w:bookmarkStart w:name="bookmark192" w:id="227"/>
      <w:bookmarkEnd w:id="227"/>
      <w:r>
        <w:rPr>
          <w:rFonts w:ascii="Times New Roman" w:hAnsi="Times New Roman" w:eastAsia="Times New Roman" w:cs="Times New Roman"/>
          <w:sz w:val="28"/>
          <w:szCs w:val="28"/>
          <w:spacing w:val="-1"/>
        </w:rPr>
        <w:t>9.2.3 </w:t>
      </w:r>
      <w:r>
        <w:rPr>
          <w:rFonts w:ascii="SimHei" w:hAnsi="SimHei" w:eastAsia="SimHei" w:cs="SimHei"/>
          <w:sz w:val="28"/>
          <w:szCs w:val="28"/>
          <w:spacing w:val="-1"/>
        </w:rPr>
        <w:t>厂界环境噪声监测</w:t>
      </w:r>
    </w:p>
    <w:p>
      <w:pPr>
        <w:pStyle w:val="BodyText"/>
        <w:spacing w:line="279" w:lineRule="auto"/>
        <w:rPr/>
      </w:pPr>
      <w:r/>
    </w:p>
    <w:p>
      <w:pPr>
        <w:ind w:left="501"/>
        <w:spacing w:before="78" w:line="221"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）监测点位</w:t>
      </w:r>
    </w:p>
    <w:p>
      <w:pPr>
        <w:ind w:left="492"/>
        <w:spacing w:before="181" w:line="219" w:lineRule="auto"/>
        <w:rPr>
          <w:rFonts w:ascii="SimSun" w:hAnsi="SimSun" w:eastAsia="SimSun" w:cs="SimSun"/>
          <w:sz w:val="24"/>
          <w:szCs w:val="24"/>
        </w:rPr>
      </w:pPr>
      <w:r>
        <w:rPr>
          <w:rFonts w:ascii="SimSun" w:hAnsi="SimSun" w:eastAsia="SimSun" w:cs="SimSun"/>
          <w:sz w:val="24"/>
          <w:szCs w:val="24"/>
          <w:spacing w:val="-1"/>
        </w:rPr>
        <w:t>厂界，布置方案同现状监测点位相同，共设</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8 </w:t>
      </w:r>
      <w:r>
        <w:rPr>
          <w:rFonts w:ascii="SimSun" w:hAnsi="SimSun" w:eastAsia="SimSun" w:cs="SimSun"/>
          <w:sz w:val="24"/>
          <w:szCs w:val="24"/>
          <w:spacing w:val="-1"/>
        </w:rPr>
        <w:t>个监测点位。</w:t>
      </w:r>
    </w:p>
    <w:p>
      <w:pPr>
        <w:ind w:left="501"/>
        <w:spacing w:before="181"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）监测指标</w:t>
      </w:r>
    </w:p>
    <w:p>
      <w:pPr>
        <w:ind w:left="490"/>
        <w:spacing w:before="180" w:line="219" w:lineRule="auto"/>
        <w:rPr>
          <w:rFonts w:ascii="SimSun" w:hAnsi="SimSun" w:eastAsia="SimSun" w:cs="SimSun"/>
          <w:sz w:val="24"/>
          <w:szCs w:val="24"/>
        </w:rPr>
      </w:pPr>
      <w:r>
        <w:rPr>
          <w:rFonts w:ascii="SimSun" w:hAnsi="SimSun" w:eastAsia="SimSun" w:cs="SimSun"/>
          <w:sz w:val="24"/>
          <w:szCs w:val="24"/>
          <w:spacing w:val="-2"/>
        </w:rPr>
        <w:t>连续等效噪声</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A </w:t>
      </w:r>
      <w:r>
        <w:rPr>
          <w:rFonts w:ascii="SimSun" w:hAnsi="SimSun" w:eastAsia="SimSun" w:cs="SimSun"/>
          <w:sz w:val="24"/>
          <w:szCs w:val="24"/>
          <w:spacing w:val="-2"/>
        </w:rPr>
        <w:t>声级。</w:t>
      </w:r>
    </w:p>
    <w:p>
      <w:pPr>
        <w:ind w:left="501"/>
        <w:spacing w:before="184"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）监测频次</w:t>
      </w:r>
    </w:p>
    <w:p>
      <w:pPr>
        <w:ind w:left="489"/>
        <w:spacing w:before="183" w:line="219" w:lineRule="auto"/>
        <w:rPr>
          <w:rFonts w:ascii="SimSun" w:hAnsi="SimSun" w:eastAsia="SimSun" w:cs="SimSun"/>
          <w:sz w:val="24"/>
          <w:szCs w:val="24"/>
        </w:rPr>
      </w:pPr>
      <w:r>
        <w:rPr>
          <w:rFonts w:ascii="SimSun" w:hAnsi="SimSun" w:eastAsia="SimSun" w:cs="SimSun"/>
          <w:sz w:val="24"/>
          <w:szCs w:val="24"/>
          <w:spacing w:val="-5"/>
        </w:rPr>
        <w:t>每季度开展</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5"/>
        </w:rPr>
        <w:t>1 </w:t>
      </w:r>
      <w:r>
        <w:rPr>
          <w:rFonts w:ascii="SimSun" w:hAnsi="SimSun" w:eastAsia="SimSun" w:cs="SimSun"/>
          <w:sz w:val="24"/>
          <w:szCs w:val="24"/>
          <w:spacing w:val="-5"/>
        </w:rPr>
        <w:t>期监测，昼夜各</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5"/>
        </w:rPr>
        <w:t>次。</w:t>
      </w:r>
    </w:p>
    <w:p>
      <w:pPr>
        <w:ind w:left="1451"/>
        <w:spacing w:before="181" w:line="219"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38"/>
        </w:rPr>
        <w:t xml:space="preserve"> </w:t>
      </w:r>
      <w:r>
        <w:rPr>
          <w:rFonts w:ascii="Times New Roman" w:hAnsi="Times New Roman" w:eastAsia="Times New Roman" w:cs="Times New Roman"/>
          <w:sz w:val="24"/>
          <w:szCs w:val="24"/>
          <w:b/>
          <w:bCs/>
          <w:spacing w:val="-2"/>
        </w:rPr>
        <w:t>9.2-2        </w:t>
      </w:r>
      <w:r>
        <w:rPr>
          <w:rFonts w:ascii="SimSun" w:hAnsi="SimSun" w:eastAsia="SimSun" w:cs="SimSun"/>
          <w:sz w:val="24"/>
          <w:szCs w:val="24"/>
          <w:b/>
          <w:bCs/>
          <w:spacing w:val="-2"/>
        </w:rPr>
        <w:t>无组织废气、废水、噪声跟踪监测一览表</w:t>
      </w:r>
    </w:p>
    <w:p>
      <w:pPr>
        <w:pStyle w:val="BodyText"/>
        <w:spacing w:line="337" w:lineRule="auto"/>
        <w:rPr/>
      </w:pPr>
      <w:r/>
    </w:p>
    <w:p>
      <w:pPr>
        <w:ind w:left="7"/>
        <w:spacing w:before="62" w:line="227" w:lineRule="auto"/>
        <w:rPr>
          <w:rFonts w:ascii="SimSun" w:hAnsi="SimSun" w:eastAsia="SimSun" w:cs="SimSun"/>
          <w:sz w:val="19"/>
          <w:szCs w:val="19"/>
        </w:rPr>
      </w:pPr>
      <w:r>
        <w:pict>
          <v:shape id="_x0000_s1332" style="position:absolute;margin-left:159.33pt;margin-top:2.08827pt;mso-position-vertical-relative:text;mso-position-horizontal-relative:text;width:61pt;height:13.75pt;z-index:25240473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2"/>
                    </w:rPr>
                    <w:t>任公司</w:t>
                  </w:r>
                  <w:r>
                    <w:rPr>
                      <w:rFonts w:ascii="SimSun" w:hAnsi="SimSun" w:eastAsia="SimSun" w:cs="SimSun"/>
                      <w:sz w:val="19"/>
                      <w:szCs w:val="19"/>
                      <w:spacing w:val="14"/>
                    </w:rPr>
                    <w:t xml:space="preserve">   </w:t>
                  </w:r>
                  <w:r>
                    <w:rPr>
                      <w:rFonts w:ascii="Times New Roman" w:hAnsi="Times New Roman" w:eastAsia="Times New Roman" w:cs="Times New Roman"/>
                      <w:sz w:val="18"/>
                      <w:szCs w:val="18"/>
                      <w:spacing w:val="2"/>
                      <w:position w:val="2"/>
                    </w:rPr>
                    <w:t>301</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40"/>
          <w:footerReference w:type="default" r:id="rId3"/>
          <w:pgSz w:w="11907" w:h="16840"/>
          <w:pgMar w:top="1567" w:right="1596" w:bottom="400" w:left="1701" w:header="1221" w:footer="0" w:gutter="0"/>
        </w:sectPr>
        <w:rPr>
          <w:rFonts w:ascii="SimSun" w:hAnsi="SimSun" w:eastAsia="SimSun" w:cs="SimSun"/>
          <w:sz w:val="19"/>
          <w:szCs w:val="19"/>
        </w:rPr>
      </w:pPr>
    </w:p>
    <w:p>
      <w:pPr>
        <w:spacing w:line="133" w:lineRule="exact"/>
        <w:rPr/>
      </w:pPr>
      <w:r>
        <w:pict>
          <v:shape id="_x0000_s1336" style="position:absolute;margin-left:85.05pt;margin-top:78.87pt;mso-position-vertical-relative:page;mso-position-horizontal-relative:page;width:425.25pt;height:0.75pt;z-index:252407808;" o:allowincell="f" fillcolor="#000000" filled="true" stroked="false" coordsize="8505,15" coordorigin="0,0" path="m,l8505,0l8505,14l0,14l0,0xe"/>
        </w:pict>
      </w:r>
      <w:r/>
    </w:p>
    <w:tbl>
      <w:tblPr>
        <w:tblStyle w:val="TableNormal"/>
        <w:tblW w:w="866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98"/>
        <w:gridCol w:w="548"/>
        <w:gridCol w:w="940"/>
        <w:gridCol w:w="3135"/>
        <w:gridCol w:w="1874"/>
        <w:gridCol w:w="1472"/>
      </w:tblGrid>
      <w:tr>
        <w:trPr>
          <w:trHeight w:val="281" w:hRule="atLeast"/>
        </w:trPr>
        <w:tc>
          <w:tcPr>
            <w:tcW w:w="698" w:type="dxa"/>
            <w:vAlign w:val="top"/>
          </w:tcPr>
          <w:p>
            <w:pPr>
              <w:pStyle w:val="TableText"/>
              <w:ind w:left="144"/>
              <w:spacing w:before="35" w:line="217" w:lineRule="auto"/>
              <w:rPr/>
            </w:pPr>
            <w:r>
              <w:rPr>
                <w:spacing w:val="5"/>
              </w:rPr>
              <w:t>序号</w:t>
            </w:r>
          </w:p>
        </w:tc>
        <w:tc>
          <w:tcPr>
            <w:tcW w:w="1488" w:type="dxa"/>
            <w:vAlign w:val="top"/>
            <w:gridSpan w:val="2"/>
          </w:tcPr>
          <w:p>
            <w:pPr>
              <w:pStyle w:val="TableText"/>
              <w:ind w:left="327"/>
              <w:spacing w:before="35" w:line="217" w:lineRule="auto"/>
              <w:rPr/>
            </w:pPr>
            <w:r>
              <w:rPr>
                <w:spacing w:val="7"/>
              </w:rPr>
              <w:t>环境要素</w:t>
            </w:r>
          </w:p>
        </w:tc>
        <w:tc>
          <w:tcPr>
            <w:tcW w:w="3135" w:type="dxa"/>
            <w:vAlign w:val="top"/>
          </w:tcPr>
          <w:p>
            <w:pPr>
              <w:pStyle w:val="TableText"/>
              <w:ind w:left="1154"/>
              <w:spacing w:before="35" w:line="217" w:lineRule="auto"/>
              <w:rPr/>
            </w:pPr>
            <w:r>
              <w:rPr>
                <w:spacing w:val="7"/>
              </w:rPr>
              <w:t>监测点位</w:t>
            </w:r>
          </w:p>
        </w:tc>
        <w:tc>
          <w:tcPr>
            <w:tcW w:w="1874" w:type="dxa"/>
            <w:vAlign w:val="top"/>
          </w:tcPr>
          <w:p>
            <w:pPr>
              <w:pStyle w:val="TableText"/>
              <w:ind w:left="524"/>
              <w:spacing w:before="35" w:line="217" w:lineRule="auto"/>
              <w:rPr/>
            </w:pPr>
            <w:r>
              <w:rPr>
                <w:spacing w:val="7"/>
              </w:rPr>
              <w:t>监测项目</w:t>
            </w:r>
          </w:p>
        </w:tc>
        <w:tc>
          <w:tcPr>
            <w:tcW w:w="1472" w:type="dxa"/>
            <w:vAlign w:val="top"/>
          </w:tcPr>
          <w:p>
            <w:pPr>
              <w:pStyle w:val="TableText"/>
              <w:ind w:left="323"/>
              <w:spacing w:before="35" w:line="217" w:lineRule="auto"/>
              <w:rPr/>
            </w:pPr>
            <w:r>
              <w:rPr>
                <w:spacing w:val="7"/>
              </w:rPr>
              <w:t>监测频次</w:t>
            </w:r>
          </w:p>
        </w:tc>
      </w:tr>
      <w:tr>
        <w:trPr>
          <w:trHeight w:val="820" w:hRule="atLeast"/>
        </w:trPr>
        <w:tc>
          <w:tcPr>
            <w:tcW w:w="698" w:type="dxa"/>
            <w:vAlign w:val="top"/>
          </w:tcPr>
          <w:p>
            <w:pPr>
              <w:spacing w:line="280" w:lineRule="auto"/>
              <w:rPr>
                <w:rFonts w:ascii="Arial"/>
                <w:sz w:val="21"/>
              </w:rPr>
            </w:pPr>
            <w:r/>
          </w:p>
          <w:p>
            <w:pPr>
              <w:ind w:left="317"/>
              <w:spacing w:before="58"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488" w:type="dxa"/>
            <w:vAlign w:val="top"/>
            <w:gridSpan w:val="2"/>
          </w:tcPr>
          <w:p>
            <w:pPr>
              <w:pStyle w:val="TableText"/>
              <w:ind w:left="224"/>
              <w:spacing w:before="304" w:line="228" w:lineRule="auto"/>
              <w:rPr/>
            </w:pPr>
            <w:r>
              <w:rPr>
                <w:spacing w:val="7"/>
              </w:rPr>
              <w:t>无组织废气</w:t>
            </w:r>
          </w:p>
        </w:tc>
        <w:tc>
          <w:tcPr>
            <w:tcW w:w="3135" w:type="dxa"/>
            <w:vAlign w:val="top"/>
          </w:tcPr>
          <w:p>
            <w:pPr>
              <w:pStyle w:val="TableText"/>
              <w:ind w:left="72"/>
              <w:spacing w:before="32" w:line="228" w:lineRule="auto"/>
              <w:rPr/>
            </w:pPr>
            <w:r>
              <w:rPr>
                <w:spacing w:val="6"/>
              </w:rPr>
              <w:t>在周界外</w:t>
            </w:r>
            <w:r>
              <w:rPr>
                <w:spacing w:val="-15"/>
              </w:rPr>
              <w:t xml:space="preserve"> </w:t>
            </w:r>
            <w:r>
              <w:rPr>
                <w:rFonts w:ascii="Times New Roman" w:hAnsi="Times New Roman" w:eastAsia="Times New Roman" w:cs="Times New Roman"/>
                <w:spacing w:val="6"/>
              </w:rPr>
              <w:t>10m </w:t>
            </w:r>
            <w:r>
              <w:rPr>
                <w:spacing w:val="6"/>
              </w:rPr>
              <w:t>范围内的浓度最高</w:t>
            </w:r>
          </w:p>
          <w:p>
            <w:pPr>
              <w:pStyle w:val="TableText"/>
              <w:ind w:left="19"/>
              <w:spacing w:before="25" w:line="228" w:lineRule="auto"/>
              <w:rPr/>
            </w:pPr>
            <w:r>
              <w:rPr>
                <w:spacing w:val="6"/>
              </w:rPr>
              <w:t>点设</w:t>
            </w:r>
            <w:r>
              <w:rPr>
                <w:spacing w:val="-41"/>
              </w:rPr>
              <w:t xml:space="preserve"> </w:t>
            </w:r>
            <w:r>
              <w:rPr>
                <w:rFonts w:ascii="Times New Roman" w:hAnsi="Times New Roman" w:eastAsia="Times New Roman" w:cs="Times New Roman"/>
                <w:spacing w:val="6"/>
              </w:rPr>
              <w:t>4 </w:t>
            </w:r>
            <w:r>
              <w:rPr>
                <w:spacing w:val="6"/>
              </w:rPr>
              <w:t>监控点，同时在厂区上风向</w:t>
            </w:r>
          </w:p>
          <w:p>
            <w:pPr>
              <w:pStyle w:val="TableText"/>
              <w:ind w:left="840"/>
              <w:spacing w:before="25" w:line="215" w:lineRule="auto"/>
              <w:rPr/>
            </w:pPr>
            <w:r>
              <w:rPr>
                <w:spacing w:val="6"/>
              </w:rPr>
              <w:t>设一个对照点。</w:t>
            </w:r>
          </w:p>
        </w:tc>
        <w:tc>
          <w:tcPr>
            <w:tcW w:w="1874" w:type="dxa"/>
            <w:vAlign w:val="top"/>
          </w:tcPr>
          <w:p>
            <w:pPr>
              <w:pStyle w:val="TableText"/>
              <w:ind w:left="505" w:hanging="493"/>
              <w:spacing w:before="168" w:line="252" w:lineRule="auto"/>
              <w:rPr/>
            </w:pPr>
            <w:r>
              <w:rPr>
                <w:spacing w:val="-15"/>
              </w:rPr>
              <w:t>颗粒物、硫化氢、氨、</w:t>
            </w:r>
            <w:r>
              <w:rPr>
                <w:spacing w:val="5"/>
              </w:rPr>
              <w:t xml:space="preserve"> </w:t>
            </w:r>
            <w:r>
              <w:rPr>
                <w:spacing w:val="-1"/>
              </w:rPr>
              <w:t>臭气浓度</w:t>
            </w:r>
          </w:p>
        </w:tc>
        <w:tc>
          <w:tcPr>
            <w:tcW w:w="1472" w:type="dxa"/>
            <w:vAlign w:val="top"/>
          </w:tcPr>
          <w:p>
            <w:pPr>
              <w:pStyle w:val="TableText"/>
              <w:spacing w:before="303" w:line="228" w:lineRule="auto"/>
              <w:jc w:val="right"/>
              <w:rPr/>
            </w:pPr>
            <w:r>
              <w:rPr>
                <w:spacing w:val="4"/>
              </w:rPr>
              <w:t>每半年开展</w:t>
            </w:r>
            <w:r>
              <w:rPr>
                <w:spacing w:val="-30"/>
              </w:rPr>
              <w:t xml:space="preserve"> </w:t>
            </w:r>
            <w:r>
              <w:rPr>
                <w:rFonts w:ascii="Times New Roman" w:hAnsi="Times New Roman" w:eastAsia="Times New Roman" w:cs="Times New Roman"/>
                <w:spacing w:val="4"/>
              </w:rPr>
              <w:t>1 </w:t>
            </w:r>
            <w:r>
              <w:rPr>
                <w:spacing w:val="4"/>
              </w:rPr>
              <w:t>次</w:t>
            </w:r>
          </w:p>
        </w:tc>
      </w:tr>
      <w:tr>
        <w:trPr>
          <w:trHeight w:val="821" w:hRule="atLeast"/>
        </w:trPr>
        <w:tc>
          <w:tcPr>
            <w:tcW w:w="698" w:type="dxa"/>
            <w:vAlign w:val="top"/>
            <w:vMerge w:val="restart"/>
            <w:tcBorders>
              <w:bottom w:val="nil"/>
            </w:tcBorders>
          </w:tcPr>
          <w:p>
            <w:pPr>
              <w:spacing w:line="443" w:lineRule="auto"/>
              <w:rPr>
                <w:rFonts w:ascii="Arial"/>
                <w:sz w:val="21"/>
              </w:rPr>
            </w:pPr>
            <w:r/>
          </w:p>
          <w:p>
            <w:pPr>
              <w:ind w:left="297"/>
              <w:spacing w:before="57"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548" w:type="dxa"/>
            <w:vAlign w:val="top"/>
            <w:vMerge w:val="restart"/>
            <w:tcBorders>
              <w:bottom w:val="nil"/>
            </w:tcBorders>
          </w:tcPr>
          <w:p>
            <w:pPr>
              <w:spacing w:line="399" w:lineRule="auto"/>
              <w:rPr>
                <w:rFonts w:ascii="Arial"/>
                <w:sz w:val="21"/>
              </w:rPr>
            </w:pPr>
            <w:r/>
          </w:p>
          <w:p>
            <w:pPr>
              <w:pStyle w:val="TableText"/>
              <w:ind w:left="67"/>
              <w:spacing w:before="65" w:line="228" w:lineRule="auto"/>
              <w:rPr/>
            </w:pPr>
            <w:r>
              <w:rPr>
                <w:spacing w:val="5"/>
              </w:rPr>
              <w:t>废水</w:t>
            </w:r>
          </w:p>
        </w:tc>
        <w:tc>
          <w:tcPr>
            <w:tcW w:w="940" w:type="dxa"/>
            <w:vAlign w:val="top"/>
          </w:tcPr>
          <w:p>
            <w:pPr>
              <w:pStyle w:val="TableText"/>
              <w:ind w:left="55"/>
              <w:spacing w:before="306" w:line="228" w:lineRule="auto"/>
              <w:rPr/>
            </w:pPr>
            <w:r>
              <w:rPr>
                <w:spacing w:val="6"/>
              </w:rPr>
              <w:t>生活污水</w:t>
            </w:r>
          </w:p>
        </w:tc>
        <w:tc>
          <w:tcPr>
            <w:tcW w:w="3135" w:type="dxa"/>
            <w:vAlign w:val="top"/>
          </w:tcPr>
          <w:p>
            <w:pPr>
              <w:pStyle w:val="TableText"/>
              <w:ind w:left="838"/>
              <w:spacing w:before="306" w:line="228" w:lineRule="auto"/>
              <w:rPr/>
            </w:pPr>
            <w:r>
              <w:rPr>
                <w:spacing w:val="8"/>
              </w:rPr>
              <w:t>生活污水出水口</w:t>
            </w:r>
          </w:p>
        </w:tc>
        <w:tc>
          <w:tcPr>
            <w:tcW w:w="1874" w:type="dxa"/>
            <w:vAlign w:val="top"/>
          </w:tcPr>
          <w:p>
            <w:pPr>
              <w:pStyle w:val="TableText"/>
              <w:spacing w:before="69" w:line="188" w:lineRule="auto"/>
              <w:jc w:val="right"/>
              <w:rPr/>
            </w:pPr>
            <w:r>
              <w:rPr>
                <w:rFonts w:ascii="Times New Roman" w:hAnsi="Times New Roman" w:eastAsia="Times New Roman" w:cs="Times New Roman"/>
                <w:spacing w:val="-6"/>
              </w:rPr>
              <w:t>pH</w:t>
            </w:r>
            <w:r>
              <w:rPr>
                <w:spacing w:val="-6"/>
              </w:rPr>
              <w:t>、</w:t>
            </w:r>
            <w:r>
              <w:rPr>
                <w:rFonts w:ascii="Times New Roman" w:hAnsi="Times New Roman" w:eastAsia="Times New Roman" w:cs="Times New Roman"/>
                <w:spacing w:val="-6"/>
              </w:rPr>
              <w:t>CODcr</w:t>
            </w:r>
            <w:r>
              <w:rPr>
                <w:spacing w:val="-6"/>
              </w:rPr>
              <w:t>、</w:t>
            </w:r>
            <w:r>
              <w:rPr>
                <w:rFonts w:ascii="Times New Roman" w:hAnsi="Times New Roman" w:eastAsia="Times New Roman" w:cs="Times New Roman"/>
                <w:spacing w:val="-6"/>
              </w:rPr>
              <w:t>BOD5</w:t>
            </w:r>
            <w:r>
              <w:rPr>
                <w:spacing w:val="-6"/>
              </w:rPr>
              <w:t>、</w:t>
            </w:r>
          </w:p>
          <w:p>
            <w:pPr>
              <w:pStyle w:val="TableText"/>
              <w:ind w:left="2"/>
              <w:spacing w:before="33" w:line="228" w:lineRule="auto"/>
              <w:rPr/>
            </w:pPr>
            <w:r>
              <w:rPr>
                <w:rFonts w:ascii="Times New Roman" w:hAnsi="Times New Roman" w:eastAsia="Times New Roman" w:cs="Times New Roman"/>
                <w:spacing w:val="-1"/>
              </w:rPr>
              <w:t>NH3-N</w:t>
            </w:r>
            <w:r>
              <w:rPr>
                <w:rFonts w:ascii="Times New Roman" w:hAnsi="Times New Roman" w:eastAsia="Times New Roman" w:cs="Times New Roman"/>
                <w:spacing w:val="-23"/>
              </w:rPr>
              <w:t xml:space="preserve"> </w:t>
            </w:r>
            <w:r>
              <w:rPr>
                <w:spacing w:val="-1"/>
              </w:rPr>
              <w:t>、</w:t>
            </w:r>
            <w:r>
              <w:rPr>
                <w:rFonts w:ascii="Times New Roman" w:hAnsi="Times New Roman" w:eastAsia="Times New Roman" w:cs="Times New Roman"/>
                <w:spacing w:val="-1"/>
              </w:rPr>
              <w:t>SS</w:t>
            </w:r>
            <w:r>
              <w:rPr>
                <w:rFonts w:ascii="Times New Roman" w:hAnsi="Times New Roman" w:eastAsia="Times New Roman" w:cs="Times New Roman"/>
                <w:spacing w:val="-24"/>
              </w:rPr>
              <w:t xml:space="preserve"> </w:t>
            </w:r>
            <w:r>
              <w:rPr>
                <w:spacing w:val="-1"/>
              </w:rPr>
              <w:t>、动植物</w:t>
            </w:r>
          </w:p>
          <w:p>
            <w:pPr>
              <w:pStyle w:val="TableText"/>
              <w:ind w:left="736"/>
              <w:spacing w:before="24" w:line="215" w:lineRule="auto"/>
              <w:rPr/>
            </w:pPr>
            <w:r>
              <w:rPr>
                <w:spacing w:val="3"/>
              </w:rPr>
              <w:t>油等</w:t>
            </w:r>
          </w:p>
        </w:tc>
        <w:tc>
          <w:tcPr>
            <w:tcW w:w="1472" w:type="dxa"/>
            <w:vAlign w:val="top"/>
            <w:vMerge w:val="restart"/>
            <w:tcBorders>
              <w:bottom w:val="nil"/>
            </w:tcBorders>
          </w:tcPr>
          <w:p>
            <w:pPr>
              <w:spacing w:line="397" w:lineRule="auto"/>
              <w:rPr>
                <w:rFonts w:ascii="Arial"/>
                <w:sz w:val="21"/>
              </w:rPr>
            </w:pPr>
            <w:r/>
          </w:p>
          <w:p>
            <w:pPr>
              <w:pStyle w:val="TableText"/>
              <w:spacing w:before="65" w:line="228" w:lineRule="auto"/>
              <w:jc w:val="right"/>
              <w:rPr/>
            </w:pPr>
            <w:r>
              <w:rPr>
                <w:spacing w:val="4"/>
              </w:rPr>
              <w:t>每半年开展</w:t>
            </w:r>
            <w:r>
              <w:rPr>
                <w:spacing w:val="-30"/>
              </w:rPr>
              <w:t xml:space="preserve"> </w:t>
            </w:r>
            <w:r>
              <w:rPr>
                <w:rFonts w:ascii="Times New Roman" w:hAnsi="Times New Roman" w:eastAsia="Times New Roman" w:cs="Times New Roman"/>
                <w:spacing w:val="4"/>
              </w:rPr>
              <w:t>1 </w:t>
            </w:r>
            <w:r>
              <w:rPr>
                <w:spacing w:val="4"/>
              </w:rPr>
              <w:t>次</w:t>
            </w:r>
          </w:p>
        </w:tc>
      </w:tr>
      <w:tr>
        <w:trPr>
          <w:trHeight w:val="316" w:hRule="atLeast"/>
        </w:trPr>
        <w:tc>
          <w:tcPr>
            <w:tcW w:w="698" w:type="dxa"/>
            <w:vAlign w:val="top"/>
            <w:vMerge w:val="continue"/>
            <w:tcBorders>
              <w:top w:val="nil"/>
            </w:tcBorders>
          </w:tcPr>
          <w:p>
            <w:pPr>
              <w:rPr>
                <w:rFonts w:ascii="Arial"/>
                <w:sz w:val="21"/>
              </w:rPr>
            </w:pPr>
            <w:r/>
          </w:p>
        </w:tc>
        <w:tc>
          <w:tcPr>
            <w:tcW w:w="548" w:type="dxa"/>
            <w:vAlign w:val="top"/>
            <w:vMerge w:val="continue"/>
            <w:tcBorders>
              <w:top w:val="nil"/>
            </w:tcBorders>
          </w:tcPr>
          <w:p>
            <w:pPr>
              <w:rPr>
                <w:rFonts w:ascii="Arial"/>
                <w:sz w:val="21"/>
              </w:rPr>
            </w:pPr>
            <w:r/>
          </w:p>
        </w:tc>
        <w:tc>
          <w:tcPr>
            <w:tcW w:w="940" w:type="dxa"/>
            <w:vAlign w:val="top"/>
          </w:tcPr>
          <w:p>
            <w:pPr>
              <w:pStyle w:val="TableText"/>
              <w:ind w:left="272"/>
              <w:spacing w:before="54" w:line="228" w:lineRule="auto"/>
              <w:rPr/>
            </w:pPr>
            <w:r>
              <w:rPr/>
              <w:t>雨水</w:t>
            </w:r>
          </w:p>
        </w:tc>
        <w:tc>
          <w:tcPr>
            <w:tcW w:w="3135" w:type="dxa"/>
            <w:vAlign w:val="top"/>
          </w:tcPr>
          <w:p>
            <w:pPr>
              <w:pStyle w:val="TableText"/>
              <w:ind w:left="1264"/>
              <w:spacing w:before="54" w:line="228" w:lineRule="auto"/>
              <w:rPr/>
            </w:pPr>
            <w:r>
              <w:rPr>
                <w:spacing w:val="4"/>
              </w:rPr>
              <w:t>雨水口</w:t>
            </w:r>
          </w:p>
        </w:tc>
        <w:tc>
          <w:tcPr>
            <w:tcW w:w="1874" w:type="dxa"/>
            <w:vAlign w:val="top"/>
          </w:tcPr>
          <w:p>
            <w:pPr>
              <w:pStyle w:val="TableText"/>
              <w:ind w:left="359"/>
              <w:spacing w:before="81" w:line="17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CODc</w:t>
            </w:r>
            <w:r>
              <w:rPr>
                <w:rFonts w:ascii="Times New Roman" w:hAnsi="Times New Roman" w:eastAsia="Times New Roman" w:cs="Times New Roman"/>
                <w:sz w:val="15"/>
                <w:szCs w:val="15"/>
                <w:spacing w:val="-5"/>
                <w:position w:val="-1"/>
              </w:rPr>
              <w:t>r</w:t>
            </w:r>
            <w:r>
              <w:rPr>
                <w:rFonts w:ascii="Times New Roman" w:hAnsi="Times New Roman" w:eastAsia="Times New Roman" w:cs="Times New Roman"/>
                <w:sz w:val="15"/>
                <w:szCs w:val="15"/>
                <w:spacing w:val="-8"/>
                <w:position w:val="-1"/>
              </w:rPr>
              <w:t xml:space="preserve"> </w:t>
            </w:r>
            <w:r>
              <w:rPr>
                <w:sz w:val="24"/>
                <w:szCs w:val="24"/>
                <w:spacing w:val="-5"/>
              </w:rPr>
              <w:t>、</w:t>
            </w:r>
            <w:r>
              <w:rPr>
                <w:rFonts w:ascii="Times New Roman" w:hAnsi="Times New Roman" w:eastAsia="Times New Roman" w:cs="Times New Roman"/>
                <w:sz w:val="24"/>
                <w:szCs w:val="24"/>
                <w:spacing w:val="-5"/>
              </w:rPr>
              <w:t>SS</w:t>
            </w:r>
          </w:p>
        </w:tc>
        <w:tc>
          <w:tcPr>
            <w:tcW w:w="1472" w:type="dxa"/>
            <w:vAlign w:val="top"/>
            <w:vMerge w:val="continue"/>
            <w:tcBorders>
              <w:top w:val="nil"/>
            </w:tcBorders>
          </w:tcPr>
          <w:p>
            <w:pPr>
              <w:rPr>
                <w:rFonts w:ascii="Arial"/>
                <w:sz w:val="21"/>
              </w:rPr>
            </w:pPr>
            <w:r/>
          </w:p>
        </w:tc>
      </w:tr>
      <w:tr>
        <w:trPr>
          <w:trHeight w:val="553" w:hRule="atLeast"/>
        </w:trPr>
        <w:tc>
          <w:tcPr>
            <w:tcW w:w="698" w:type="dxa"/>
            <w:vAlign w:val="top"/>
          </w:tcPr>
          <w:p>
            <w:pPr>
              <w:ind w:left="301"/>
              <w:spacing w:before="206" w:line="19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488" w:type="dxa"/>
            <w:vAlign w:val="top"/>
            <w:gridSpan w:val="2"/>
          </w:tcPr>
          <w:p>
            <w:pPr>
              <w:pStyle w:val="TableText"/>
              <w:ind w:left="546"/>
              <w:spacing w:before="170" w:line="228" w:lineRule="auto"/>
              <w:rPr/>
            </w:pPr>
            <w:r>
              <w:rPr>
                <w:spacing w:val="-1"/>
              </w:rPr>
              <w:t>噪声</w:t>
            </w:r>
          </w:p>
        </w:tc>
        <w:tc>
          <w:tcPr>
            <w:tcW w:w="3135" w:type="dxa"/>
            <w:vAlign w:val="top"/>
          </w:tcPr>
          <w:p>
            <w:pPr>
              <w:pStyle w:val="TableText"/>
              <w:ind w:left="542" w:right="4" w:hanging="531"/>
              <w:spacing w:before="36" w:line="234" w:lineRule="auto"/>
              <w:rPr/>
            </w:pPr>
            <w:r>
              <w:rPr>
                <w:spacing w:val="7"/>
              </w:rPr>
              <w:t>厂界，布置方案同现状监测点位相</w:t>
            </w:r>
            <w:r>
              <w:rPr>
                <w:spacing w:val="8"/>
              </w:rPr>
              <w:t xml:space="preserve"> </w:t>
            </w:r>
            <w:r>
              <w:rPr>
                <w:spacing w:val="4"/>
              </w:rPr>
              <w:t>同，共设</w:t>
            </w:r>
            <w:r>
              <w:rPr>
                <w:spacing w:val="-24"/>
              </w:rPr>
              <w:t xml:space="preserve"> </w:t>
            </w:r>
            <w:r>
              <w:rPr>
                <w:rFonts w:ascii="Times New Roman" w:hAnsi="Times New Roman" w:eastAsia="Times New Roman" w:cs="Times New Roman"/>
                <w:spacing w:val="4"/>
              </w:rPr>
              <w:t>8 </w:t>
            </w:r>
            <w:r>
              <w:rPr>
                <w:spacing w:val="4"/>
              </w:rPr>
              <w:t>个监测点位</w:t>
            </w:r>
          </w:p>
        </w:tc>
        <w:tc>
          <w:tcPr>
            <w:tcW w:w="1874" w:type="dxa"/>
            <w:vAlign w:val="top"/>
          </w:tcPr>
          <w:p>
            <w:pPr>
              <w:ind w:left="776"/>
              <w:spacing w:before="208" w:line="19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Leq</w:t>
            </w:r>
          </w:p>
        </w:tc>
        <w:tc>
          <w:tcPr>
            <w:tcW w:w="1472" w:type="dxa"/>
            <w:vAlign w:val="top"/>
          </w:tcPr>
          <w:p>
            <w:pPr>
              <w:pStyle w:val="TableText"/>
              <w:spacing w:before="169" w:line="228" w:lineRule="auto"/>
              <w:jc w:val="right"/>
              <w:rPr/>
            </w:pPr>
            <w:r>
              <w:rPr>
                <w:spacing w:val="4"/>
              </w:rPr>
              <w:t>每季度开展</w:t>
            </w:r>
            <w:r>
              <w:rPr>
                <w:spacing w:val="-30"/>
              </w:rPr>
              <w:t xml:space="preserve"> </w:t>
            </w:r>
            <w:r>
              <w:rPr>
                <w:rFonts w:ascii="Times New Roman" w:hAnsi="Times New Roman" w:eastAsia="Times New Roman" w:cs="Times New Roman"/>
                <w:spacing w:val="4"/>
              </w:rPr>
              <w:t>1 </w:t>
            </w:r>
            <w:r>
              <w:rPr>
                <w:spacing w:val="4"/>
              </w:rPr>
              <w:t>次</w:t>
            </w:r>
          </w:p>
        </w:tc>
      </w:tr>
    </w:tbl>
    <w:p>
      <w:pPr>
        <w:ind w:left="95"/>
        <w:spacing w:before="159" w:line="222" w:lineRule="auto"/>
        <w:outlineLvl w:val="2"/>
        <w:rPr>
          <w:rFonts w:ascii="SimHei" w:hAnsi="SimHei" w:eastAsia="SimHei" w:cs="SimHei"/>
          <w:sz w:val="28"/>
          <w:szCs w:val="28"/>
        </w:rPr>
      </w:pPr>
      <w:bookmarkStart w:name="bookmark193" w:id="228"/>
      <w:bookmarkEnd w:id="228"/>
      <w:r>
        <w:rPr>
          <w:rFonts w:ascii="Times New Roman" w:hAnsi="Times New Roman" w:eastAsia="Times New Roman" w:cs="Times New Roman"/>
          <w:sz w:val="28"/>
          <w:szCs w:val="28"/>
          <w:spacing w:val="-1"/>
        </w:rPr>
        <w:t>9.2.4 </w:t>
      </w:r>
      <w:r>
        <w:rPr>
          <w:rFonts w:ascii="SimHei" w:hAnsi="SimHei" w:eastAsia="SimHei" w:cs="SimHei"/>
          <w:sz w:val="28"/>
          <w:szCs w:val="28"/>
          <w:spacing w:val="-1"/>
        </w:rPr>
        <w:t>沼肥跟踪检验计划</w:t>
      </w:r>
    </w:p>
    <w:p>
      <w:pPr>
        <w:ind w:left="94" w:right="82" w:firstLine="479"/>
        <w:spacing w:before="198" w:line="385" w:lineRule="auto"/>
        <w:jc w:val="both"/>
        <w:rPr>
          <w:rFonts w:ascii="SimSun" w:hAnsi="SimSun" w:eastAsia="SimSun" w:cs="SimSun"/>
          <w:sz w:val="24"/>
          <w:szCs w:val="24"/>
        </w:rPr>
      </w:pPr>
      <w:r>
        <w:rPr>
          <w:rFonts w:ascii="SimSun" w:hAnsi="SimSun" w:eastAsia="SimSun" w:cs="SimSun"/>
          <w:sz w:val="24"/>
          <w:szCs w:val="24"/>
          <w:spacing w:val="-2"/>
        </w:rPr>
        <w:t>根据《沼肥》（</w:t>
      </w:r>
      <w:r>
        <w:rPr>
          <w:rFonts w:ascii="Times New Roman" w:hAnsi="Times New Roman" w:eastAsia="Times New Roman" w:cs="Times New Roman"/>
          <w:sz w:val="24"/>
          <w:szCs w:val="24"/>
          <w:spacing w:val="-2"/>
        </w:rPr>
        <w:t>NY/T2596-2022</w:t>
      </w:r>
      <w:r>
        <w:rPr>
          <w:rFonts w:ascii="SimSun" w:hAnsi="SimSun" w:eastAsia="SimSun" w:cs="SimSun"/>
          <w:sz w:val="24"/>
          <w:szCs w:val="24"/>
          <w:spacing w:val="-2"/>
        </w:rPr>
        <w:t>）、《农用沼液》（</w:t>
      </w:r>
      <w:r>
        <w:rPr>
          <w:rFonts w:ascii="Times New Roman" w:hAnsi="Times New Roman" w:eastAsia="Times New Roman" w:cs="Times New Roman"/>
          <w:sz w:val="24"/>
          <w:szCs w:val="24"/>
          <w:spacing w:val="-2"/>
        </w:rPr>
        <w:t>GB/T40750-2021</w:t>
      </w:r>
      <w:r>
        <w:rPr>
          <w:rFonts w:ascii="SimSun" w:hAnsi="SimSun" w:eastAsia="SimSun" w:cs="SimSun"/>
          <w:sz w:val="24"/>
          <w:szCs w:val="24"/>
          <w:spacing w:val="-2"/>
        </w:rPr>
        <w:t>）标准要</w:t>
      </w:r>
      <w:r>
        <w:rPr>
          <w:rFonts w:ascii="SimSun" w:hAnsi="SimSun" w:eastAsia="SimSun" w:cs="SimSun"/>
          <w:sz w:val="24"/>
          <w:szCs w:val="24"/>
        </w:rPr>
        <w:t xml:space="preserve"> </w:t>
      </w:r>
      <w:r>
        <w:rPr>
          <w:rFonts w:ascii="SimSun" w:hAnsi="SimSun" w:eastAsia="SimSun" w:cs="SimSun"/>
          <w:sz w:val="24"/>
          <w:szCs w:val="24"/>
          <w:spacing w:val="3"/>
        </w:rPr>
        <w:t>求，农用沼肥应定期检验，保证所有用于农田生产的沼</w:t>
      </w:r>
      <w:r>
        <w:rPr>
          <w:rFonts w:ascii="SimSun" w:hAnsi="SimSun" w:eastAsia="SimSun" w:cs="SimSun"/>
          <w:sz w:val="24"/>
          <w:szCs w:val="24"/>
          <w:spacing w:val="2"/>
        </w:rPr>
        <w:t>液符合标准要求，具体监</w:t>
      </w:r>
      <w:r>
        <w:rPr>
          <w:rFonts w:ascii="SimSun" w:hAnsi="SimSun" w:eastAsia="SimSun" w:cs="SimSun"/>
          <w:sz w:val="24"/>
          <w:szCs w:val="24"/>
        </w:rPr>
        <w:t xml:space="preserve"> </w:t>
      </w:r>
      <w:r>
        <w:rPr>
          <w:rFonts w:ascii="SimSun" w:hAnsi="SimSun" w:eastAsia="SimSun" w:cs="SimSun"/>
          <w:sz w:val="24"/>
          <w:szCs w:val="24"/>
          <w:spacing w:val="-2"/>
        </w:rPr>
        <w:t>测内容见下表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9.2-3</w:t>
      </w:r>
      <w:r>
        <w:rPr>
          <w:rFonts w:ascii="SimSun" w:hAnsi="SimSun" w:eastAsia="SimSun" w:cs="SimSun"/>
          <w:sz w:val="24"/>
          <w:szCs w:val="24"/>
          <w:spacing w:val="-2"/>
        </w:rPr>
        <w:t>。</w:t>
      </w:r>
    </w:p>
    <w:p>
      <w:pPr>
        <w:ind w:left="2619"/>
        <w:spacing w:line="218"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3"/>
        </w:rPr>
        <w:t xml:space="preserve"> </w:t>
      </w:r>
      <w:r>
        <w:rPr>
          <w:rFonts w:ascii="Times New Roman" w:hAnsi="Times New Roman" w:eastAsia="Times New Roman" w:cs="Times New Roman"/>
          <w:sz w:val="24"/>
          <w:szCs w:val="24"/>
          <w:b/>
          <w:bCs/>
          <w:spacing w:val="-2"/>
        </w:rPr>
        <w:t>9.2-3        </w:t>
      </w:r>
      <w:r>
        <w:rPr>
          <w:rFonts w:ascii="SimSun" w:hAnsi="SimSun" w:eastAsia="SimSun" w:cs="SimSun"/>
          <w:sz w:val="24"/>
          <w:szCs w:val="24"/>
          <w:b/>
          <w:bCs/>
          <w:spacing w:val="-2"/>
        </w:rPr>
        <w:t>沼液肥跟踪检验计划</w:t>
      </w:r>
    </w:p>
    <w:p>
      <w:pPr>
        <w:spacing w:line="20" w:lineRule="exact"/>
        <w:rPr/>
      </w:pPr>
      <w:r/>
    </w:p>
    <w:tbl>
      <w:tblPr>
        <w:tblStyle w:val="TableNormal"/>
        <w:tblW w:w="8628" w:type="dxa"/>
        <w:tblInd w:w="2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77"/>
        <w:gridCol w:w="1422"/>
        <w:gridCol w:w="4599"/>
        <w:gridCol w:w="1430"/>
      </w:tblGrid>
      <w:tr>
        <w:trPr>
          <w:trHeight w:val="282" w:hRule="atLeast"/>
        </w:trPr>
        <w:tc>
          <w:tcPr>
            <w:tcW w:w="1177" w:type="dxa"/>
            <w:vAlign w:val="top"/>
          </w:tcPr>
          <w:p>
            <w:pPr>
              <w:pStyle w:val="TableText"/>
              <w:ind w:left="383"/>
              <w:spacing w:before="36" w:line="217" w:lineRule="auto"/>
              <w:rPr/>
            </w:pPr>
            <w:r>
              <w:rPr>
                <w:spacing w:val="4"/>
              </w:rPr>
              <w:t>要素</w:t>
            </w:r>
          </w:p>
        </w:tc>
        <w:tc>
          <w:tcPr>
            <w:tcW w:w="1422" w:type="dxa"/>
            <w:vAlign w:val="top"/>
          </w:tcPr>
          <w:p>
            <w:pPr>
              <w:pStyle w:val="TableText"/>
              <w:ind w:left="296"/>
              <w:spacing w:before="36" w:line="217" w:lineRule="auto"/>
              <w:rPr/>
            </w:pPr>
            <w:r>
              <w:rPr>
                <w:spacing w:val="7"/>
              </w:rPr>
              <w:t>监测点位</w:t>
            </w:r>
          </w:p>
        </w:tc>
        <w:tc>
          <w:tcPr>
            <w:tcW w:w="4599" w:type="dxa"/>
            <w:vAlign w:val="top"/>
          </w:tcPr>
          <w:p>
            <w:pPr>
              <w:pStyle w:val="TableText"/>
              <w:ind w:left="1886"/>
              <w:spacing w:before="36" w:line="217" w:lineRule="auto"/>
              <w:rPr/>
            </w:pPr>
            <w:r>
              <w:rPr>
                <w:spacing w:val="7"/>
              </w:rPr>
              <w:t>监测项目</w:t>
            </w:r>
          </w:p>
        </w:tc>
        <w:tc>
          <w:tcPr>
            <w:tcW w:w="1430" w:type="dxa"/>
            <w:vAlign w:val="top"/>
          </w:tcPr>
          <w:p>
            <w:pPr>
              <w:pStyle w:val="TableText"/>
              <w:ind w:left="301"/>
              <w:spacing w:before="36" w:line="217" w:lineRule="auto"/>
              <w:rPr/>
            </w:pPr>
            <w:r>
              <w:rPr>
                <w:spacing w:val="7"/>
              </w:rPr>
              <w:t>监测频率</w:t>
            </w:r>
          </w:p>
        </w:tc>
      </w:tr>
      <w:tr>
        <w:trPr>
          <w:trHeight w:val="551" w:hRule="atLeast"/>
        </w:trPr>
        <w:tc>
          <w:tcPr>
            <w:tcW w:w="1177" w:type="dxa"/>
            <w:vAlign w:val="top"/>
            <w:vMerge w:val="restart"/>
            <w:tcBorders>
              <w:bottom w:val="nil"/>
            </w:tcBorders>
          </w:tcPr>
          <w:p>
            <w:pPr>
              <w:spacing w:line="380" w:lineRule="auto"/>
              <w:rPr>
                <w:rFonts w:ascii="Arial"/>
                <w:sz w:val="21"/>
              </w:rPr>
            </w:pPr>
            <w:r/>
          </w:p>
          <w:p>
            <w:pPr>
              <w:pStyle w:val="TableText"/>
              <w:ind w:left="387"/>
              <w:spacing w:before="65" w:line="227" w:lineRule="auto"/>
              <w:rPr/>
            </w:pPr>
            <w:r>
              <w:rPr>
                <w:spacing w:val="2"/>
              </w:rPr>
              <w:t>沼肥</w:t>
            </w:r>
          </w:p>
        </w:tc>
        <w:tc>
          <w:tcPr>
            <w:tcW w:w="1422" w:type="dxa"/>
            <w:vAlign w:val="top"/>
          </w:tcPr>
          <w:p>
            <w:pPr>
              <w:pStyle w:val="TableText"/>
              <w:ind w:left="88"/>
              <w:spacing w:before="32" w:line="227" w:lineRule="auto"/>
              <w:rPr/>
            </w:pPr>
            <w:r>
              <w:rPr>
                <w:spacing w:val="7"/>
              </w:rPr>
              <w:t>沼液池沼肥出</w:t>
            </w:r>
          </w:p>
          <w:p>
            <w:pPr>
              <w:pStyle w:val="TableText"/>
              <w:ind w:left="641"/>
              <w:spacing w:before="25" w:line="219" w:lineRule="auto"/>
              <w:rPr/>
            </w:pPr>
            <w:r>
              <w:rPr/>
              <w:t>口</w:t>
            </w:r>
          </w:p>
        </w:tc>
        <w:tc>
          <w:tcPr>
            <w:tcW w:w="4599" w:type="dxa"/>
            <w:vAlign w:val="top"/>
            <w:vMerge w:val="restart"/>
            <w:tcBorders>
              <w:bottom w:val="nil"/>
            </w:tcBorders>
          </w:tcPr>
          <w:p>
            <w:pPr>
              <w:pStyle w:val="TableText"/>
              <w:spacing w:before="174" w:line="228" w:lineRule="auto"/>
              <w:jc w:val="right"/>
              <w:rPr/>
            </w:pPr>
            <w:r>
              <w:rPr>
                <w:spacing w:val="-1"/>
              </w:rPr>
              <w:t>酸碱度、水不溶物、蛔虫卵死亡率、臭气排放浓度、</w:t>
            </w:r>
          </w:p>
          <w:p>
            <w:pPr>
              <w:pStyle w:val="TableText"/>
              <w:spacing w:before="26" w:line="227" w:lineRule="auto"/>
              <w:jc w:val="right"/>
              <w:rPr/>
            </w:pPr>
            <w:r>
              <w:rPr>
                <w:spacing w:val="8"/>
              </w:rPr>
              <w:t>总养分、有机质、腐植酸、粪大肠杆菌、总砷、总</w:t>
            </w:r>
          </w:p>
          <w:p>
            <w:pPr>
              <w:pStyle w:val="TableText"/>
              <w:ind w:left="257"/>
              <w:spacing w:before="24" w:line="228" w:lineRule="auto"/>
              <w:rPr/>
            </w:pPr>
            <w:r>
              <w:rPr>
                <w:spacing w:val="6"/>
              </w:rPr>
              <w:t>铬、总镉、总铅、总汞、总盐浓度共</w:t>
            </w:r>
            <w:r>
              <w:rPr>
                <w:spacing w:val="-11"/>
              </w:rPr>
              <w:t xml:space="preserve"> </w:t>
            </w:r>
            <w:r>
              <w:rPr>
                <w:rFonts w:ascii="Times New Roman" w:hAnsi="Times New Roman" w:eastAsia="Times New Roman" w:cs="Times New Roman"/>
                <w:spacing w:val="6"/>
              </w:rPr>
              <w:t>14</w:t>
            </w:r>
            <w:r>
              <w:rPr>
                <w:rFonts w:ascii="Times New Roman" w:hAnsi="Times New Roman" w:eastAsia="Times New Roman" w:cs="Times New Roman"/>
                <w:spacing w:val="16"/>
              </w:rPr>
              <w:t xml:space="preserve"> </w:t>
            </w:r>
            <w:r>
              <w:rPr>
                <w:spacing w:val="6"/>
              </w:rPr>
              <w:t>项。</w:t>
            </w:r>
          </w:p>
        </w:tc>
        <w:tc>
          <w:tcPr>
            <w:tcW w:w="1430" w:type="dxa"/>
            <w:vAlign w:val="top"/>
            <w:vMerge w:val="restart"/>
            <w:tcBorders>
              <w:bottom w:val="nil"/>
            </w:tcBorders>
          </w:tcPr>
          <w:p>
            <w:pPr>
              <w:spacing w:line="380" w:lineRule="auto"/>
              <w:rPr>
                <w:rFonts w:ascii="Arial"/>
                <w:sz w:val="21"/>
              </w:rPr>
            </w:pPr>
            <w:r/>
          </w:p>
          <w:p>
            <w:pPr>
              <w:pStyle w:val="TableText"/>
              <w:ind w:left="300"/>
              <w:spacing w:before="65" w:line="228" w:lineRule="auto"/>
              <w:rPr/>
            </w:pPr>
            <w:r>
              <w:rPr>
                <w:spacing w:val="-3"/>
              </w:rPr>
              <w:t>每年</w:t>
            </w:r>
            <w:r>
              <w:rPr>
                <w:spacing w:val="-20"/>
              </w:rPr>
              <w:t xml:space="preserve"> </w:t>
            </w:r>
            <w:r>
              <w:rPr>
                <w:rFonts w:ascii="Times New Roman" w:hAnsi="Times New Roman" w:eastAsia="Times New Roman" w:cs="Times New Roman"/>
                <w:spacing w:val="-3"/>
              </w:rPr>
              <w:t>1</w:t>
            </w:r>
            <w:r>
              <w:rPr>
                <w:rFonts w:ascii="Times New Roman" w:hAnsi="Times New Roman" w:eastAsia="Times New Roman" w:cs="Times New Roman"/>
                <w:spacing w:val="15"/>
              </w:rPr>
              <w:t xml:space="preserve"> </w:t>
            </w:r>
            <w:r>
              <w:rPr>
                <w:spacing w:val="-3"/>
              </w:rPr>
              <w:t>次</w:t>
            </w:r>
          </w:p>
        </w:tc>
      </w:tr>
      <w:tr>
        <w:trPr>
          <w:trHeight w:val="551" w:hRule="atLeast"/>
        </w:trPr>
        <w:tc>
          <w:tcPr>
            <w:tcW w:w="1177" w:type="dxa"/>
            <w:vAlign w:val="top"/>
            <w:vMerge w:val="continue"/>
            <w:tcBorders>
              <w:top w:val="nil"/>
            </w:tcBorders>
          </w:tcPr>
          <w:p>
            <w:pPr>
              <w:rPr>
                <w:rFonts w:ascii="Arial"/>
                <w:sz w:val="21"/>
              </w:rPr>
            </w:pPr>
            <w:r/>
          </w:p>
        </w:tc>
        <w:tc>
          <w:tcPr>
            <w:tcW w:w="1422" w:type="dxa"/>
            <w:vAlign w:val="top"/>
          </w:tcPr>
          <w:p>
            <w:pPr>
              <w:pStyle w:val="TableText"/>
              <w:ind w:left="94"/>
              <w:spacing w:before="170" w:line="227" w:lineRule="auto"/>
              <w:rPr/>
            </w:pPr>
            <w:r>
              <w:rPr>
                <w:spacing w:val="6"/>
              </w:rPr>
              <w:t>晾晒棚沼渣肥</w:t>
            </w:r>
          </w:p>
        </w:tc>
        <w:tc>
          <w:tcPr>
            <w:tcW w:w="4599" w:type="dxa"/>
            <w:vAlign w:val="top"/>
            <w:vMerge w:val="continue"/>
            <w:tcBorders>
              <w:top w:val="nil"/>
            </w:tcBorders>
          </w:tcPr>
          <w:p>
            <w:pPr>
              <w:rPr>
                <w:rFonts w:ascii="Arial"/>
                <w:sz w:val="21"/>
              </w:rPr>
            </w:pPr>
            <w:r/>
          </w:p>
        </w:tc>
        <w:tc>
          <w:tcPr>
            <w:tcW w:w="1430" w:type="dxa"/>
            <w:vAlign w:val="top"/>
            <w:vMerge w:val="continue"/>
            <w:tcBorders>
              <w:top w:val="nil"/>
            </w:tcBorders>
          </w:tcPr>
          <w:p>
            <w:pPr>
              <w:rPr>
                <w:rFonts w:ascii="Arial"/>
                <w:sz w:val="21"/>
              </w:rPr>
            </w:pPr>
            <w:r/>
          </w:p>
        </w:tc>
      </w:tr>
      <w:tr>
        <w:trPr>
          <w:trHeight w:val="444" w:hRule="atLeast"/>
        </w:trPr>
        <w:tc>
          <w:tcPr>
            <w:tcW w:w="8628" w:type="dxa"/>
            <w:vAlign w:val="top"/>
            <w:gridSpan w:val="4"/>
          </w:tcPr>
          <w:p>
            <w:pPr>
              <w:pStyle w:val="TableText"/>
              <w:ind w:left="13"/>
              <w:spacing w:before="116" w:line="221" w:lineRule="auto"/>
              <w:rPr/>
            </w:pPr>
            <w:r>
              <w:rPr>
                <w:spacing w:val="8"/>
              </w:rPr>
              <w:t>注：作物生长周期不足</w:t>
            </w:r>
            <w:r>
              <w:rPr>
                <w:spacing w:val="-20"/>
              </w:rPr>
              <w:t xml:space="preserve"> </w:t>
            </w:r>
            <w:r>
              <w:rPr>
                <w:rFonts w:ascii="Times New Roman" w:hAnsi="Times New Roman" w:eastAsia="Times New Roman" w:cs="Times New Roman"/>
                <w:spacing w:val="8"/>
              </w:rPr>
              <w:t>1 </w:t>
            </w:r>
            <w:r>
              <w:rPr>
                <w:spacing w:val="8"/>
              </w:rPr>
              <w:t>年的，采用批次检验，检验总养分、</w:t>
            </w:r>
            <w:r>
              <w:rPr>
                <w:rFonts w:ascii="Times New Roman" w:hAnsi="Times New Roman" w:eastAsia="Times New Roman" w:cs="Times New Roman"/>
              </w:rPr>
              <w:t>pH</w:t>
            </w:r>
            <w:r>
              <w:rPr>
                <w:rFonts w:ascii="Times New Roman" w:hAnsi="Times New Roman" w:eastAsia="Times New Roman" w:cs="Times New Roman"/>
                <w:spacing w:val="-27"/>
              </w:rPr>
              <w:t xml:space="preserve"> </w:t>
            </w:r>
            <w:r>
              <w:rPr>
                <w:spacing w:val="8"/>
              </w:rPr>
              <w:t>、有机质、腐植酸。</w:t>
            </w:r>
          </w:p>
        </w:tc>
      </w:tr>
    </w:tbl>
    <w:p>
      <w:pPr>
        <w:ind w:left="95"/>
        <w:spacing w:before="197" w:line="222" w:lineRule="auto"/>
        <w:outlineLvl w:val="2"/>
        <w:rPr>
          <w:rFonts w:ascii="SimHei" w:hAnsi="SimHei" w:eastAsia="SimHei" w:cs="SimHei"/>
          <w:sz w:val="28"/>
          <w:szCs w:val="28"/>
        </w:rPr>
      </w:pPr>
      <w:bookmarkStart w:name="bookmark194" w:id="229"/>
      <w:bookmarkEnd w:id="229"/>
      <w:r>
        <w:rPr>
          <w:rFonts w:ascii="Times New Roman" w:hAnsi="Times New Roman" w:eastAsia="Times New Roman" w:cs="Times New Roman"/>
          <w:sz w:val="28"/>
          <w:szCs w:val="28"/>
          <w:spacing w:val="-1"/>
        </w:rPr>
        <w:t>9.2.5 </w:t>
      </w:r>
      <w:r>
        <w:rPr>
          <w:rFonts w:ascii="SimHei" w:hAnsi="SimHei" w:eastAsia="SimHei" w:cs="SimHei"/>
          <w:sz w:val="28"/>
          <w:szCs w:val="28"/>
          <w:spacing w:val="-1"/>
        </w:rPr>
        <w:t>环境质量监测</w:t>
      </w:r>
    </w:p>
    <w:p>
      <w:pPr>
        <w:ind w:left="92" w:right="142" w:firstLine="600"/>
        <w:spacing w:before="204" w:line="359" w:lineRule="auto"/>
        <w:jc w:val="both"/>
        <w:rPr>
          <w:rFonts w:ascii="SimSun" w:hAnsi="SimSun" w:eastAsia="SimSun" w:cs="SimSun"/>
          <w:sz w:val="24"/>
          <w:szCs w:val="24"/>
        </w:rPr>
      </w:pPr>
      <w:r>
        <w:rPr>
          <w:rFonts w:ascii="SimSun" w:hAnsi="SimSun" w:eastAsia="SimSun" w:cs="SimSun"/>
          <w:sz w:val="24"/>
          <w:szCs w:val="24"/>
        </w:rPr>
        <w:t>根据《环境影响评价技术导则 大气环境》（</w:t>
      </w:r>
      <w:r>
        <w:rPr>
          <w:rFonts w:ascii="Times New Roman" w:hAnsi="Times New Roman" w:eastAsia="Times New Roman" w:cs="Times New Roman"/>
          <w:sz w:val="24"/>
          <w:szCs w:val="24"/>
        </w:rPr>
        <w:t>HJ 2.2-</w:t>
      </w:r>
      <w:r>
        <w:rPr>
          <w:rFonts w:ascii="Times New Roman" w:hAnsi="Times New Roman" w:eastAsia="Times New Roman" w:cs="Times New Roman"/>
          <w:sz w:val="24"/>
          <w:szCs w:val="24"/>
          <w:spacing w:val="-1"/>
        </w:rPr>
        <w:t>2018</w:t>
      </w:r>
      <w:r>
        <w:rPr>
          <w:rFonts w:ascii="SimSun" w:hAnsi="SimSun" w:eastAsia="SimSun" w:cs="SimSun"/>
          <w:sz w:val="24"/>
          <w:szCs w:val="24"/>
          <w:spacing w:val="-1"/>
        </w:rPr>
        <w:t>）》、《环境影响</w:t>
      </w:r>
      <w:r>
        <w:rPr>
          <w:rFonts w:ascii="SimSun" w:hAnsi="SimSun" w:eastAsia="SimSun" w:cs="SimSun"/>
          <w:sz w:val="24"/>
          <w:szCs w:val="24"/>
        </w:rPr>
        <w:t xml:space="preserve"> </w:t>
      </w:r>
      <w:r>
        <w:rPr>
          <w:rFonts w:ascii="SimSun" w:hAnsi="SimSun" w:eastAsia="SimSun" w:cs="SimSun"/>
          <w:sz w:val="24"/>
          <w:szCs w:val="24"/>
        </w:rPr>
        <w:t>评价技术导则 地下水环境》（</w:t>
      </w:r>
      <w:r>
        <w:rPr>
          <w:rFonts w:ascii="Times New Roman" w:hAnsi="Times New Roman" w:eastAsia="Times New Roman" w:cs="Times New Roman"/>
          <w:sz w:val="24"/>
          <w:szCs w:val="24"/>
        </w:rPr>
        <w:t>HJ 610-2016</w:t>
      </w:r>
      <w:r>
        <w:rPr>
          <w:rFonts w:ascii="SimSun" w:hAnsi="SimSun" w:eastAsia="SimSun" w:cs="SimSun"/>
          <w:sz w:val="24"/>
          <w:szCs w:val="24"/>
        </w:rPr>
        <w:t>）、《环境影</w:t>
      </w:r>
      <w:r>
        <w:rPr>
          <w:rFonts w:ascii="SimSun" w:hAnsi="SimSun" w:eastAsia="SimSun" w:cs="SimSun"/>
          <w:sz w:val="24"/>
          <w:szCs w:val="24"/>
          <w:spacing w:val="-1"/>
        </w:rPr>
        <w:t>响评价技术导则 土壤环</w:t>
      </w:r>
      <w:r>
        <w:rPr>
          <w:rFonts w:ascii="SimSun" w:hAnsi="SimSun" w:eastAsia="SimSun" w:cs="SimSun"/>
          <w:sz w:val="24"/>
          <w:szCs w:val="24"/>
        </w:rPr>
        <w:t xml:space="preserve"> </w:t>
      </w:r>
      <w:r>
        <w:rPr>
          <w:rFonts w:ascii="SimSun" w:hAnsi="SimSun" w:eastAsia="SimSun" w:cs="SimSun"/>
          <w:sz w:val="24"/>
          <w:szCs w:val="24"/>
        </w:rPr>
        <w:t>境（试行）》（</w:t>
      </w:r>
      <w:r>
        <w:rPr>
          <w:rFonts w:ascii="Times New Roman" w:hAnsi="Times New Roman" w:eastAsia="Times New Roman" w:cs="Times New Roman"/>
          <w:sz w:val="24"/>
          <w:szCs w:val="24"/>
        </w:rPr>
        <w:t>HJ 964-2018</w:t>
      </w:r>
      <w:r>
        <w:rPr>
          <w:rFonts w:ascii="SimSun" w:hAnsi="SimSun" w:eastAsia="SimSun" w:cs="SimSun"/>
          <w:sz w:val="24"/>
          <w:szCs w:val="24"/>
        </w:rPr>
        <w:t>）、</w:t>
      </w:r>
      <w:r>
        <w:rPr>
          <w:rFonts w:ascii="SimSun" w:hAnsi="SimSun" w:eastAsia="SimSun" w:cs="SimSun"/>
          <w:sz w:val="24"/>
          <w:szCs w:val="24"/>
          <w:spacing w:val="-1"/>
        </w:rPr>
        <w:t>《沼液施用 第</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 </w:t>
      </w:r>
      <w:r>
        <w:rPr>
          <w:rFonts w:ascii="SimSun" w:hAnsi="SimSun" w:eastAsia="SimSun" w:cs="SimSun"/>
          <w:sz w:val="24"/>
          <w:szCs w:val="24"/>
          <w:spacing w:val="-1"/>
        </w:rPr>
        <w:t>部分 土壤及地表水监测》</w:t>
      </w:r>
    </w:p>
    <w:p>
      <w:pPr>
        <w:ind w:left="93" w:right="85" w:firstLine="11"/>
        <w:spacing w:before="3" w:line="358" w:lineRule="auto"/>
        <w:jc w:val="both"/>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T/Cl378-2024</w:t>
      </w:r>
      <w:r>
        <w:rPr>
          <w:rFonts w:ascii="SimSun" w:hAnsi="SimSun" w:eastAsia="SimSun" w:cs="SimSun"/>
          <w:sz w:val="24"/>
          <w:szCs w:val="24"/>
          <w:spacing w:val="-2"/>
        </w:rPr>
        <w:t>）、《农田土壤环境质量监测技术规范》（</w:t>
      </w:r>
      <w:r>
        <w:rPr>
          <w:rFonts w:ascii="Times New Roman" w:hAnsi="Times New Roman" w:eastAsia="Times New Roman" w:cs="Times New Roman"/>
          <w:sz w:val="24"/>
          <w:szCs w:val="24"/>
          <w:spacing w:val="-2"/>
        </w:rPr>
        <w:t>NT/T395-2012</w:t>
      </w:r>
      <w:r>
        <w:rPr>
          <w:rFonts w:ascii="SimSun" w:hAnsi="SimSun" w:eastAsia="SimSun" w:cs="SimSun"/>
          <w:sz w:val="24"/>
          <w:szCs w:val="24"/>
          <w:spacing w:val="-2"/>
        </w:rPr>
        <w:t>）、《土</w:t>
      </w:r>
      <w:r>
        <w:rPr>
          <w:rFonts w:ascii="SimSun" w:hAnsi="SimSun" w:eastAsia="SimSun" w:cs="SimSun"/>
          <w:sz w:val="24"/>
          <w:szCs w:val="24"/>
          <w:spacing w:val="4"/>
        </w:rPr>
        <w:t xml:space="preserve"> </w:t>
      </w:r>
      <w:r>
        <w:rPr>
          <w:rFonts w:ascii="SimSun" w:hAnsi="SimSun" w:eastAsia="SimSun" w:cs="SimSun"/>
          <w:sz w:val="24"/>
          <w:szCs w:val="24"/>
          <w:spacing w:val="-2"/>
        </w:rPr>
        <w:t>壤环境质量 农用地土壤污染风险管控标准（试行）》（</w:t>
      </w:r>
      <w:r>
        <w:rPr>
          <w:rFonts w:ascii="Times New Roman" w:hAnsi="Times New Roman" w:eastAsia="Times New Roman" w:cs="Times New Roman"/>
          <w:sz w:val="24"/>
          <w:szCs w:val="24"/>
          <w:spacing w:val="-2"/>
        </w:rPr>
        <w:t>GB15618-2018</w:t>
      </w:r>
      <w:r>
        <w:rPr>
          <w:rFonts w:ascii="SimSun" w:hAnsi="SimSun" w:eastAsia="SimSun" w:cs="SimSun"/>
          <w:sz w:val="24"/>
          <w:szCs w:val="24"/>
          <w:spacing w:val="-1"/>
        </w:rPr>
        <w:t>），</w:t>
      </w:r>
      <w:r>
        <w:rPr>
          <w:rFonts w:ascii="SimSun" w:hAnsi="SimSun" w:eastAsia="SimSun" w:cs="SimSun"/>
          <w:sz w:val="24"/>
          <w:szCs w:val="24"/>
          <w:spacing w:val="-2"/>
        </w:rPr>
        <w:t>运营期</w:t>
      </w:r>
      <w:r>
        <w:rPr>
          <w:rFonts w:ascii="SimSun" w:hAnsi="SimSun" w:eastAsia="SimSun" w:cs="SimSun"/>
          <w:sz w:val="24"/>
          <w:szCs w:val="24"/>
          <w:spacing w:val="1"/>
        </w:rPr>
        <w:t xml:space="preserve"> </w:t>
      </w:r>
      <w:r>
        <w:rPr>
          <w:rFonts w:ascii="SimSun" w:hAnsi="SimSun" w:eastAsia="SimSun" w:cs="SimSun"/>
          <w:sz w:val="24"/>
          <w:szCs w:val="24"/>
          <w:spacing w:val="-2"/>
        </w:rPr>
        <w:t>环境质量监测计划详见表</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2"/>
        </w:rPr>
        <w:t>9.2-4</w:t>
      </w:r>
      <w:r>
        <w:rPr>
          <w:rFonts w:ascii="SimSun" w:hAnsi="SimSun" w:eastAsia="SimSun" w:cs="SimSun"/>
          <w:sz w:val="24"/>
          <w:szCs w:val="24"/>
          <w:spacing w:val="-2"/>
        </w:rPr>
        <w:t>。</w:t>
      </w:r>
    </w:p>
    <w:p>
      <w:pPr>
        <w:ind w:left="2379"/>
        <w:spacing w:line="212"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9.2-4        </w:t>
      </w:r>
      <w:r>
        <w:rPr>
          <w:rFonts w:ascii="SimSun" w:hAnsi="SimSun" w:eastAsia="SimSun" w:cs="SimSun"/>
          <w:sz w:val="24"/>
          <w:szCs w:val="24"/>
          <w:b/>
          <w:bCs/>
          <w:spacing w:val="-2"/>
        </w:rPr>
        <w:t>运营期环境质量监测计划</w:t>
      </w:r>
    </w:p>
    <w:tbl>
      <w:tblPr>
        <w:tblStyle w:val="TableNormal"/>
        <w:tblW w:w="8534" w:type="dxa"/>
        <w:tblInd w:w="68"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1"/>
        <w:gridCol w:w="3059"/>
        <w:gridCol w:w="1598"/>
        <w:gridCol w:w="2936"/>
      </w:tblGrid>
      <w:tr>
        <w:trPr>
          <w:trHeight w:val="281" w:hRule="atLeast"/>
        </w:trPr>
        <w:tc>
          <w:tcPr>
            <w:tcW w:w="941" w:type="dxa"/>
            <w:vAlign w:val="top"/>
          </w:tcPr>
          <w:p>
            <w:pPr>
              <w:pStyle w:val="TableText"/>
              <w:ind w:left="55"/>
              <w:spacing w:before="35" w:line="217" w:lineRule="auto"/>
              <w:rPr/>
            </w:pPr>
            <w:r>
              <w:rPr>
                <w:spacing w:val="7"/>
              </w:rPr>
              <w:t>环境要素</w:t>
            </w:r>
          </w:p>
        </w:tc>
        <w:tc>
          <w:tcPr>
            <w:tcW w:w="3059" w:type="dxa"/>
            <w:vAlign w:val="top"/>
          </w:tcPr>
          <w:p>
            <w:pPr>
              <w:pStyle w:val="TableText"/>
              <w:ind w:left="905"/>
              <w:spacing w:before="35" w:line="217" w:lineRule="auto"/>
              <w:rPr/>
            </w:pPr>
            <w:r>
              <w:rPr>
                <w:spacing w:val="8"/>
              </w:rPr>
              <w:t>监测点位布置</w:t>
            </w:r>
          </w:p>
        </w:tc>
        <w:tc>
          <w:tcPr>
            <w:tcW w:w="1598" w:type="dxa"/>
            <w:vAlign w:val="top"/>
          </w:tcPr>
          <w:p>
            <w:pPr>
              <w:pStyle w:val="TableText"/>
              <w:ind w:left="385"/>
              <w:spacing w:before="35" w:line="217" w:lineRule="auto"/>
              <w:rPr/>
            </w:pPr>
            <w:r>
              <w:rPr>
                <w:spacing w:val="7"/>
              </w:rPr>
              <w:t>监测频率</w:t>
            </w:r>
          </w:p>
        </w:tc>
        <w:tc>
          <w:tcPr>
            <w:tcW w:w="2936" w:type="dxa"/>
            <w:vAlign w:val="top"/>
          </w:tcPr>
          <w:p>
            <w:pPr>
              <w:pStyle w:val="TableText"/>
              <w:ind w:left="1053"/>
              <w:spacing w:before="35" w:line="217" w:lineRule="auto"/>
              <w:rPr/>
            </w:pPr>
            <w:r>
              <w:rPr>
                <w:spacing w:val="7"/>
              </w:rPr>
              <w:t>监测项目</w:t>
            </w:r>
          </w:p>
        </w:tc>
      </w:tr>
      <w:tr>
        <w:trPr>
          <w:trHeight w:val="551" w:hRule="atLeast"/>
        </w:trPr>
        <w:tc>
          <w:tcPr>
            <w:tcW w:w="941" w:type="dxa"/>
            <w:vAlign w:val="top"/>
          </w:tcPr>
          <w:p>
            <w:pPr>
              <w:pStyle w:val="TableText"/>
              <w:ind w:left="57"/>
              <w:spacing w:before="170" w:line="228" w:lineRule="auto"/>
              <w:rPr/>
            </w:pPr>
            <w:r>
              <w:rPr>
                <w:spacing w:val="6"/>
              </w:rPr>
              <w:t>大气环境</w:t>
            </w:r>
          </w:p>
        </w:tc>
        <w:tc>
          <w:tcPr>
            <w:tcW w:w="3059" w:type="dxa"/>
            <w:vAlign w:val="top"/>
          </w:tcPr>
          <w:p>
            <w:pPr>
              <w:pStyle w:val="TableText"/>
              <w:ind w:left="667"/>
              <w:spacing w:before="170" w:line="228" w:lineRule="auto"/>
              <w:rPr/>
            </w:pPr>
            <w:r>
              <w:rPr>
                <w:spacing w:val="5"/>
              </w:rPr>
              <w:t>厂区下风向</w:t>
            </w:r>
            <w:r>
              <w:rPr>
                <w:spacing w:val="-38"/>
              </w:rPr>
              <w:t xml:space="preserve"> </w:t>
            </w:r>
            <w:r>
              <w:rPr>
                <w:rFonts w:ascii="Times New Roman" w:hAnsi="Times New Roman" w:eastAsia="Times New Roman" w:cs="Times New Roman"/>
                <w:spacing w:val="5"/>
              </w:rPr>
              <w:t>50m</w:t>
            </w:r>
            <w:r>
              <w:rPr>
                <w:rFonts w:ascii="Times New Roman" w:hAnsi="Times New Roman" w:eastAsia="Times New Roman" w:cs="Times New Roman"/>
                <w:spacing w:val="16"/>
                <w:w w:val="101"/>
              </w:rPr>
              <w:t xml:space="preserve"> </w:t>
            </w:r>
            <w:r>
              <w:rPr>
                <w:spacing w:val="5"/>
              </w:rPr>
              <w:t>处</w:t>
            </w:r>
          </w:p>
        </w:tc>
        <w:tc>
          <w:tcPr>
            <w:tcW w:w="1598" w:type="dxa"/>
            <w:vAlign w:val="top"/>
          </w:tcPr>
          <w:p>
            <w:pPr>
              <w:pStyle w:val="TableText"/>
              <w:ind w:left="384"/>
              <w:spacing w:before="169" w:line="228" w:lineRule="auto"/>
              <w:rPr/>
            </w:pPr>
            <w:r>
              <w:rPr>
                <w:spacing w:val="-3"/>
              </w:rPr>
              <w:t>每年</w:t>
            </w:r>
            <w:r>
              <w:rPr>
                <w:spacing w:val="-20"/>
              </w:rPr>
              <w:t xml:space="preserve"> </w:t>
            </w:r>
            <w:r>
              <w:rPr>
                <w:rFonts w:ascii="Times New Roman" w:hAnsi="Times New Roman" w:eastAsia="Times New Roman" w:cs="Times New Roman"/>
                <w:spacing w:val="-3"/>
              </w:rPr>
              <w:t>1</w:t>
            </w:r>
            <w:r>
              <w:rPr>
                <w:rFonts w:ascii="Times New Roman" w:hAnsi="Times New Roman" w:eastAsia="Times New Roman" w:cs="Times New Roman"/>
                <w:spacing w:val="17"/>
                <w:w w:val="101"/>
              </w:rPr>
              <w:t xml:space="preserve"> </w:t>
            </w:r>
            <w:r>
              <w:rPr>
                <w:spacing w:val="-3"/>
              </w:rPr>
              <w:t>次</w:t>
            </w:r>
          </w:p>
        </w:tc>
        <w:tc>
          <w:tcPr>
            <w:tcW w:w="2936" w:type="dxa"/>
            <w:vAlign w:val="top"/>
          </w:tcPr>
          <w:p>
            <w:pPr>
              <w:pStyle w:val="TableText"/>
              <w:ind w:left="9"/>
              <w:spacing w:before="32" w:line="228" w:lineRule="auto"/>
              <w:rPr/>
            </w:pPr>
            <w:r>
              <w:rPr>
                <w:spacing w:val="8"/>
              </w:rPr>
              <w:t>颗粒物、硫化氢、氨、臭气浓度</w:t>
            </w:r>
          </w:p>
          <w:p>
            <w:pPr>
              <w:pStyle w:val="TableText"/>
              <w:ind w:left="1368"/>
              <w:spacing w:before="24" w:line="218" w:lineRule="auto"/>
              <w:rPr/>
            </w:pPr>
            <w:r>
              <w:rPr/>
              <w:t>等</w:t>
            </w:r>
          </w:p>
        </w:tc>
      </w:tr>
      <w:tr>
        <w:trPr>
          <w:trHeight w:val="1095" w:hRule="atLeast"/>
        </w:trPr>
        <w:tc>
          <w:tcPr>
            <w:tcW w:w="941" w:type="dxa"/>
            <w:vAlign w:val="top"/>
          </w:tcPr>
          <w:p>
            <w:pPr>
              <w:spacing w:line="374" w:lineRule="auto"/>
              <w:rPr>
                <w:rFonts w:ascii="Arial"/>
                <w:sz w:val="21"/>
              </w:rPr>
            </w:pPr>
            <w:r/>
          </w:p>
          <w:p>
            <w:pPr>
              <w:pStyle w:val="TableText"/>
              <w:ind w:left="160"/>
              <w:spacing w:before="65" w:line="228" w:lineRule="auto"/>
              <w:rPr/>
            </w:pPr>
            <w:r>
              <w:rPr>
                <w:spacing w:val="6"/>
              </w:rPr>
              <w:t>地下水</w:t>
            </w:r>
          </w:p>
        </w:tc>
        <w:tc>
          <w:tcPr>
            <w:tcW w:w="3059" w:type="dxa"/>
            <w:vAlign w:val="top"/>
          </w:tcPr>
          <w:p>
            <w:pPr>
              <w:pStyle w:val="TableText"/>
              <w:ind w:left="8" w:right="2" w:firstLine="3"/>
              <w:spacing w:before="31" w:line="243" w:lineRule="auto"/>
              <w:jc w:val="both"/>
              <w:rPr/>
            </w:pPr>
            <w:r>
              <w:rPr>
                <w:spacing w:val="9"/>
              </w:rPr>
              <w:t>根据《环境影响评价技术导则 地</w:t>
            </w:r>
            <w:r>
              <w:rPr/>
              <w:t xml:space="preserve"> </w:t>
            </w:r>
            <w:r>
              <w:rPr>
                <w:spacing w:val="9"/>
              </w:rPr>
              <w:t>下水环境》（</w:t>
            </w:r>
            <w:r>
              <w:rPr>
                <w:rFonts w:ascii="Times New Roman" w:hAnsi="Times New Roman" w:eastAsia="Times New Roman" w:cs="Times New Roman"/>
              </w:rPr>
              <w:t>HJ</w:t>
            </w:r>
            <w:r>
              <w:rPr>
                <w:rFonts w:ascii="Times New Roman" w:hAnsi="Times New Roman" w:eastAsia="Times New Roman" w:cs="Times New Roman"/>
                <w:spacing w:val="9"/>
              </w:rPr>
              <w:t xml:space="preserve"> 610-2016</w:t>
            </w:r>
            <w:r>
              <w:rPr>
                <w:spacing w:val="9"/>
              </w:rPr>
              <w:t>）一级</w:t>
            </w:r>
            <w:r>
              <w:rPr>
                <w:spacing w:val="3"/>
              </w:rPr>
              <w:t xml:space="preserve"> </w:t>
            </w:r>
            <w:r>
              <w:rPr>
                <w:spacing w:val="1"/>
              </w:rPr>
              <w:t>评价跟踪监测点不少于</w:t>
            </w:r>
            <w:r>
              <w:rPr>
                <w:spacing w:val="-27"/>
              </w:rPr>
              <w:t xml:space="preserve"> </w:t>
            </w:r>
            <w:r>
              <w:rPr>
                <w:rFonts w:ascii="Times New Roman" w:hAnsi="Times New Roman" w:eastAsia="Times New Roman" w:cs="Times New Roman"/>
                <w:spacing w:val="1"/>
              </w:rPr>
              <w:t>3 </w:t>
            </w:r>
            <w:r>
              <w:rPr>
                <w:spacing w:val="1"/>
              </w:rPr>
              <w:t>个，本项</w:t>
            </w:r>
            <w:r>
              <w:rPr/>
              <w:t xml:space="preserve"> </w:t>
            </w:r>
            <w:r>
              <w:rPr/>
              <w:t>目布置</w:t>
            </w:r>
            <w:r>
              <w:rPr>
                <w:spacing w:val="-33"/>
              </w:rPr>
              <w:t xml:space="preserve"> </w:t>
            </w:r>
            <w:r>
              <w:rPr>
                <w:rFonts w:ascii="Times New Roman" w:hAnsi="Times New Roman" w:eastAsia="Times New Roman" w:cs="Times New Roman"/>
              </w:rPr>
              <w:t>3</w:t>
            </w:r>
            <w:r>
              <w:rPr>
                <w:rFonts w:ascii="Times New Roman" w:hAnsi="Times New Roman" w:eastAsia="Times New Roman" w:cs="Times New Roman"/>
                <w:spacing w:val="25"/>
              </w:rPr>
              <w:t xml:space="preserve"> </w:t>
            </w:r>
            <w:r>
              <w:rPr/>
              <w:t>眼地下水跟踪监测井，点</w:t>
            </w:r>
          </w:p>
        </w:tc>
        <w:tc>
          <w:tcPr>
            <w:tcW w:w="1598" w:type="dxa"/>
            <w:vAlign w:val="top"/>
          </w:tcPr>
          <w:p>
            <w:pPr>
              <w:pStyle w:val="TableText"/>
              <w:ind w:left="11" w:firstLine="32"/>
              <w:spacing w:before="31" w:line="243" w:lineRule="auto"/>
              <w:jc w:val="both"/>
              <w:rPr/>
            </w:pPr>
            <w:r>
              <w:rPr>
                <w:spacing w:val="2"/>
              </w:rPr>
              <w:t>上游监测井</w:t>
            </w:r>
            <w:r>
              <w:rPr>
                <w:spacing w:val="-23"/>
              </w:rPr>
              <w:t xml:space="preserve"> </w:t>
            </w:r>
            <w:r>
              <w:rPr>
                <w:rFonts w:ascii="Times New Roman" w:hAnsi="Times New Roman" w:eastAsia="Times New Roman" w:cs="Times New Roman"/>
                <w:spacing w:val="2"/>
              </w:rPr>
              <w:t>1</w:t>
            </w:r>
            <w:r>
              <w:rPr>
                <w:rFonts w:ascii="Times New Roman" w:hAnsi="Times New Roman" w:eastAsia="Times New Roman" w:cs="Times New Roman"/>
                <w:spacing w:val="17"/>
                <w:w w:val="101"/>
              </w:rPr>
              <w:t xml:space="preserve"> </w:t>
            </w:r>
            <w:r>
              <w:rPr>
                <w:spacing w:val="2"/>
              </w:rPr>
              <w:t>次</w:t>
            </w:r>
            <w:r>
              <w:rPr>
                <w:rFonts w:ascii="Times New Roman" w:hAnsi="Times New Roman" w:eastAsia="Times New Roman" w:cs="Times New Roman"/>
                <w:spacing w:val="2"/>
              </w:rPr>
              <w:t>/</w:t>
            </w:r>
            <w:r>
              <w:rPr>
                <w:rFonts w:ascii="Times New Roman" w:hAnsi="Times New Roman" w:eastAsia="Times New Roman" w:cs="Times New Roman"/>
              </w:rPr>
              <w:t xml:space="preserve">  </w:t>
            </w:r>
            <w:r>
              <w:rPr/>
              <w:t>年，下游监测井</w:t>
            </w:r>
            <w:r>
              <w:rPr>
                <w:spacing w:val="-20"/>
              </w:rPr>
              <w:t xml:space="preserve"> </w:t>
            </w:r>
            <w:r>
              <w:rPr>
                <w:rFonts w:ascii="Times New Roman" w:hAnsi="Times New Roman" w:eastAsia="Times New Roman" w:cs="Times New Roman"/>
              </w:rPr>
              <w:t>1 </w:t>
            </w:r>
            <w:r>
              <w:rPr>
                <w:spacing w:val="11"/>
              </w:rPr>
              <w:t>次</w:t>
            </w:r>
            <w:r>
              <w:rPr>
                <w:rFonts w:ascii="Times New Roman" w:hAnsi="Times New Roman" w:eastAsia="Times New Roman" w:cs="Times New Roman"/>
                <w:spacing w:val="11"/>
              </w:rPr>
              <w:t>/</w:t>
            </w:r>
            <w:r>
              <w:rPr>
                <w:spacing w:val="11"/>
              </w:rPr>
              <w:t>半年。当厂区</w:t>
            </w:r>
            <w:r>
              <w:rPr>
                <w:spacing w:val="4"/>
              </w:rPr>
              <w:t xml:space="preserve"> </w:t>
            </w:r>
            <w:r>
              <w:rPr>
                <w:spacing w:val="17"/>
              </w:rPr>
              <w:t>发生泄漏事故或</w:t>
            </w:r>
          </w:p>
        </w:tc>
        <w:tc>
          <w:tcPr>
            <w:tcW w:w="2936" w:type="dxa"/>
            <w:vAlign w:val="top"/>
          </w:tcPr>
          <w:p>
            <w:pPr>
              <w:pStyle w:val="TableText"/>
              <w:ind w:left="13" w:right="5" w:hanging="4"/>
              <w:spacing w:before="31" w:line="243" w:lineRule="auto"/>
              <w:jc w:val="both"/>
              <w:rPr/>
            </w:pPr>
            <w:r>
              <w:rPr>
                <w:spacing w:val="3"/>
              </w:rPr>
              <w:t>初次监测</w:t>
            </w:r>
            <w:r>
              <w:rPr>
                <w:spacing w:val="-24"/>
              </w:rPr>
              <w:t xml:space="preserve"> </w:t>
            </w:r>
            <w:r>
              <w:rPr>
                <w:rFonts w:ascii="Times New Roman" w:hAnsi="Times New Roman" w:eastAsia="Times New Roman" w:cs="Times New Roman"/>
              </w:rPr>
              <w:t>GB</w:t>
            </w:r>
            <w:r>
              <w:rPr>
                <w:rFonts w:ascii="Times New Roman" w:hAnsi="Times New Roman" w:eastAsia="Times New Roman" w:cs="Times New Roman"/>
                <w:spacing w:val="3"/>
              </w:rPr>
              <w:t>/T14848</w:t>
            </w:r>
            <w:r>
              <w:rPr>
                <w:rFonts w:ascii="Times New Roman" w:hAnsi="Times New Roman" w:eastAsia="Times New Roman" w:cs="Times New Roman"/>
                <w:spacing w:val="19"/>
              </w:rPr>
              <w:t xml:space="preserve"> </w:t>
            </w:r>
            <w:r>
              <w:rPr>
                <w:spacing w:val="3"/>
              </w:rPr>
              <w:t>表 </w:t>
            </w:r>
            <w:r>
              <w:rPr>
                <w:rFonts w:ascii="Times New Roman" w:hAnsi="Times New Roman" w:eastAsia="Times New Roman" w:cs="Times New Roman"/>
                <w:spacing w:val="3"/>
              </w:rPr>
              <w:t>1</w:t>
            </w:r>
            <w:r>
              <w:rPr>
                <w:rFonts w:ascii="Times New Roman" w:hAnsi="Times New Roman" w:eastAsia="Times New Roman" w:cs="Times New Roman"/>
                <w:spacing w:val="41"/>
              </w:rPr>
              <w:t xml:space="preserve"> </w:t>
            </w:r>
            <w:r>
              <w:rPr>
                <w:spacing w:val="3"/>
              </w:rPr>
              <w:t>中</w:t>
            </w:r>
            <w:r>
              <w:rPr>
                <w:spacing w:val="-29"/>
              </w:rPr>
              <w:t xml:space="preserve"> </w:t>
            </w:r>
            <w:r>
              <w:rPr>
                <w:rFonts w:ascii="Times New Roman" w:hAnsi="Times New Roman" w:eastAsia="Times New Roman" w:cs="Times New Roman"/>
                <w:spacing w:val="3"/>
              </w:rPr>
              <w:t>35</w:t>
            </w:r>
            <w:r>
              <w:rPr>
                <w:rFonts w:ascii="Times New Roman" w:hAnsi="Times New Roman" w:eastAsia="Times New Roman" w:cs="Times New Roman"/>
              </w:rPr>
              <w:t xml:space="preserve"> </w:t>
            </w:r>
            <w:r>
              <w:rPr>
                <w:spacing w:val="7"/>
              </w:rPr>
              <w:t>项（微生物指标、放射性指标除</w:t>
            </w:r>
            <w:r>
              <w:rPr>
                <w:spacing w:val="10"/>
              </w:rPr>
              <w:t xml:space="preserve"> </w:t>
            </w:r>
            <w:r>
              <w:rPr>
                <w:spacing w:val="14"/>
              </w:rPr>
              <w:t>外）</w:t>
            </w:r>
            <w:r>
              <w:rPr>
                <w:rFonts w:ascii="Times New Roman" w:hAnsi="Times New Roman" w:eastAsia="Times New Roman" w:cs="Times New Roman"/>
                <w:spacing w:val="14"/>
              </w:rPr>
              <w:t>+</w:t>
            </w:r>
            <w:r>
              <w:rPr>
                <w:spacing w:val="14"/>
              </w:rPr>
              <w:t>石油类；后续监测因为为</w:t>
            </w:r>
            <w:r>
              <w:rPr>
                <w:spacing w:val="2"/>
              </w:rPr>
              <w:t xml:space="preserve"> </w:t>
            </w:r>
            <w:r>
              <w:rPr>
                <w:spacing w:val="23"/>
              </w:rPr>
              <w:t>前期监测中超标的污染因子及</w:t>
            </w:r>
          </w:p>
        </w:tc>
      </w:tr>
    </w:tbl>
    <w:p>
      <w:pPr>
        <w:pStyle w:val="BodyText"/>
        <w:rPr/>
      </w:pPr>
      <w:r/>
    </w:p>
    <w:p>
      <w:pPr>
        <w:sectPr>
          <w:headerReference w:type="default" r:id="rId390"/>
          <w:footerReference w:type="default" r:id="rId391"/>
          <w:pgSz w:w="11907" w:h="16840"/>
          <w:pgMar w:top="1567" w:right="1617" w:bottom="1921" w:left="1617" w:header="1221" w:footer="1247" w:gutter="0"/>
        </w:sectPr>
        <w:rPr/>
      </w:pPr>
    </w:p>
    <w:p>
      <w:pPr>
        <w:spacing w:line="151" w:lineRule="exact"/>
        <w:rPr/>
      </w:pPr>
      <w:r>
        <w:pict>
          <v:shape id="_x0000_s1338" style="position:absolute;margin-left:85.05pt;margin-top:79.11pt;mso-position-vertical-relative:page;mso-position-horizontal-relative:page;width:425.25pt;height:0.75pt;z-index:252412928;" o:allowincell="f" fillcolor="#000000" filled="true" stroked="false" coordsize="8505,15" coordorigin="0,0" path="m,l8505,0l8505,14l0,14l0,0xe"/>
        </w:pict>
      </w:r>
      <w:r>
        <w:drawing>
          <wp:anchor distT="0" distB="0" distL="0" distR="0" simplePos="0" relativeHeight="252410880" behindDoc="1" locked="0" layoutInCell="0" allowOverlap="1">
            <wp:simplePos x="0" y="0"/>
            <wp:positionH relativeFrom="page">
              <wp:posOffset>1080516</wp:posOffset>
            </wp:positionH>
            <wp:positionV relativeFrom="page">
              <wp:posOffset>4587239</wp:posOffset>
            </wp:positionV>
            <wp:extent cx="5399531" cy="4567428"/>
            <wp:effectExtent l="0" t="0" r="0" b="0"/>
            <wp:wrapNone/>
            <wp:docPr id="226" name="IM 226"/>
            <wp:cNvGraphicFramePr/>
            <a:graphic>
              <a:graphicData uri="http://schemas.openxmlformats.org/drawingml/2006/picture">
                <pic:pic>
                  <pic:nvPicPr>
                    <pic:cNvPr id="226" name="IM 226"/>
                    <pic:cNvPicPr/>
                  </pic:nvPicPr>
                  <pic:blipFill>
                    <a:blip r:embed="rId392"/>
                    <a:stretch>
                      <a:fillRect/>
                    </a:stretch>
                  </pic:blipFill>
                  <pic:spPr>
                    <a:xfrm rot="0">
                      <a:off x="0" y="0"/>
                      <a:ext cx="5399531" cy="4567428"/>
                    </a:xfrm>
                    <a:prstGeom prst="rect">
                      <a:avLst/>
                    </a:prstGeom>
                  </pic:spPr>
                </pic:pic>
              </a:graphicData>
            </a:graphic>
          </wp:anchor>
        </w:drawing>
      </w:r>
      <w:r/>
    </w:p>
    <w:tbl>
      <w:tblPr>
        <w:tblStyle w:val="TableNormal"/>
        <w:tblW w:w="853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1"/>
        <w:gridCol w:w="3059"/>
        <w:gridCol w:w="1598"/>
        <w:gridCol w:w="2936"/>
      </w:tblGrid>
      <w:tr>
        <w:trPr>
          <w:trHeight w:val="281" w:hRule="atLeast"/>
        </w:trPr>
        <w:tc>
          <w:tcPr>
            <w:tcW w:w="941" w:type="dxa"/>
            <w:vAlign w:val="top"/>
          </w:tcPr>
          <w:p>
            <w:pPr>
              <w:pStyle w:val="TableText"/>
              <w:ind w:left="55"/>
              <w:spacing w:before="36" w:line="216" w:lineRule="auto"/>
              <w:rPr/>
            </w:pPr>
            <w:r>
              <w:rPr>
                <w:spacing w:val="7"/>
              </w:rPr>
              <w:t>环境要素</w:t>
            </w:r>
          </w:p>
        </w:tc>
        <w:tc>
          <w:tcPr>
            <w:tcW w:w="3059" w:type="dxa"/>
            <w:vAlign w:val="top"/>
          </w:tcPr>
          <w:p>
            <w:pPr>
              <w:pStyle w:val="TableText"/>
              <w:ind w:left="905"/>
              <w:spacing w:before="36" w:line="216" w:lineRule="auto"/>
              <w:rPr/>
            </w:pPr>
            <w:r>
              <w:rPr>
                <w:spacing w:val="8"/>
              </w:rPr>
              <w:t>监测点位布置</w:t>
            </w:r>
          </w:p>
        </w:tc>
        <w:tc>
          <w:tcPr>
            <w:tcW w:w="1598" w:type="dxa"/>
            <w:vAlign w:val="top"/>
          </w:tcPr>
          <w:p>
            <w:pPr>
              <w:pStyle w:val="TableText"/>
              <w:ind w:left="385"/>
              <w:spacing w:before="36" w:line="216" w:lineRule="auto"/>
              <w:rPr/>
            </w:pPr>
            <w:r>
              <w:rPr>
                <w:spacing w:val="7"/>
              </w:rPr>
              <w:t>监测频率</w:t>
            </w:r>
          </w:p>
        </w:tc>
        <w:tc>
          <w:tcPr>
            <w:tcW w:w="2936" w:type="dxa"/>
            <w:vAlign w:val="top"/>
          </w:tcPr>
          <w:p>
            <w:pPr>
              <w:pStyle w:val="TableText"/>
              <w:ind w:left="1053"/>
              <w:spacing w:before="36" w:line="216" w:lineRule="auto"/>
              <w:rPr/>
            </w:pPr>
            <w:r>
              <w:rPr>
                <w:spacing w:val="7"/>
              </w:rPr>
              <w:t>监测项目</w:t>
            </w:r>
          </w:p>
        </w:tc>
      </w:tr>
      <w:tr>
        <w:trPr>
          <w:trHeight w:val="821" w:hRule="atLeast"/>
        </w:trPr>
        <w:tc>
          <w:tcPr>
            <w:tcW w:w="941" w:type="dxa"/>
            <w:vAlign w:val="top"/>
          </w:tcPr>
          <w:p>
            <w:pPr>
              <w:rPr>
                <w:rFonts w:ascii="Arial"/>
                <w:sz w:val="21"/>
              </w:rPr>
            </w:pPr>
            <w:r/>
          </w:p>
        </w:tc>
        <w:tc>
          <w:tcPr>
            <w:tcW w:w="3059" w:type="dxa"/>
            <w:vAlign w:val="top"/>
          </w:tcPr>
          <w:p>
            <w:pPr>
              <w:pStyle w:val="TableText"/>
              <w:ind w:left="458"/>
              <w:spacing w:before="31" w:line="227" w:lineRule="auto"/>
              <w:rPr/>
            </w:pPr>
            <w:r>
              <w:rPr>
                <w:spacing w:val="4"/>
              </w:rPr>
              <w:t>位布置详见</w:t>
            </w:r>
            <w:r>
              <w:rPr>
                <w:spacing w:val="-33"/>
              </w:rPr>
              <w:t xml:space="preserve"> </w:t>
            </w:r>
            <w:r>
              <w:rPr>
                <w:rFonts w:ascii="Times New Roman" w:hAnsi="Times New Roman" w:eastAsia="Times New Roman" w:cs="Times New Roman"/>
                <w:spacing w:val="4"/>
              </w:rPr>
              <w:t>7.2.2.3</w:t>
            </w:r>
            <w:r>
              <w:rPr>
                <w:rFonts w:ascii="Times New Roman" w:hAnsi="Times New Roman" w:eastAsia="Times New Roman" w:cs="Times New Roman"/>
                <w:spacing w:val="18"/>
              </w:rPr>
              <w:t xml:space="preserve"> </w:t>
            </w:r>
            <w:r>
              <w:rPr>
                <w:spacing w:val="4"/>
              </w:rPr>
              <w:t>小节</w:t>
            </w:r>
          </w:p>
        </w:tc>
        <w:tc>
          <w:tcPr>
            <w:tcW w:w="1598" w:type="dxa"/>
            <w:vAlign w:val="top"/>
          </w:tcPr>
          <w:p>
            <w:pPr>
              <w:pStyle w:val="TableText"/>
              <w:ind w:left="73"/>
              <w:spacing w:before="31" w:line="228" w:lineRule="auto"/>
              <w:rPr/>
            </w:pPr>
            <w:r>
              <w:rPr>
                <w:spacing w:val="8"/>
              </w:rPr>
              <w:t>发现地下水污染</w:t>
            </w:r>
          </w:p>
          <w:p>
            <w:pPr>
              <w:pStyle w:val="TableText"/>
              <w:ind w:left="12"/>
              <w:spacing w:before="26" w:line="228" w:lineRule="auto"/>
              <w:rPr/>
            </w:pPr>
            <w:r>
              <w:rPr>
                <w:spacing w:val="-3"/>
              </w:rPr>
              <w:t>现象时，应加大取</w:t>
            </w:r>
          </w:p>
          <w:p>
            <w:pPr>
              <w:pStyle w:val="TableText"/>
              <w:ind w:left="383"/>
              <w:spacing w:before="24" w:line="217" w:lineRule="auto"/>
              <w:rPr/>
            </w:pPr>
            <w:r>
              <w:rPr>
                <w:spacing w:val="5"/>
              </w:rPr>
              <w:t>样频率。</w:t>
            </w:r>
          </w:p>
        </w:tc>
        <w:tc>
          <w:tcPr>
            <w:tcW w:w="2936" w:type="dxa"/>
            <w:vAlign w:val="top"/>
          </w:tcPr>
          <w:p>
            <w:pPr>
              <w:pStyle w:val="TableText"/>
              <w:ind w:left="10"/>
              <w:spacing w:before="30"/>
              <w:jc w:val="both"/>
              <w:rPr/>
            </w:pPr>
            <w:r>
              <w:rPr>
                <w:spacing w:val="-8"/>
              </w:rPr>
              <w:t>本项目关注的因子（</w:t>
            </w:r>
            <w:r>
              <w:rPr>
                <w:rFonts w:ascii="Times New Roman" w:hAnsi="Times New Roman" w:eastAsia="Times New Roman" w:cs="Times New Roman"/>
                <w:spacing w:val="-8"/>
              </w:rPr>
              <w:t>pH</w:t>
            </w:r>
            <w:r>
              <w:rPr>
                <w:spacing w:val="-8"/>
              </w:rPr>
              <w:t>、耗氧量、</w:t>
            </w:r>
            <w:r>
              <w:rPr>
                <w:spacing w:val="1"/>
              </w:rPr>
              <w:t xml:space="preserve"> </w:t>
            </w:r>
            <w:r>
              <w:rPr>
                <w:spacing w:val="3"/>
              </w:rPr>
              <w:t>氨氮、阴离子表面活性剂、石油</w:t>
            </w:r>
            <w:r>
              <w:rPr>
                <w:spacing w:val="5"/>
              </w:rPr>
              <w:t xml:space="preserve"> </w:t>
            </w:r>
            <w:r>
              <w:rPr/>
              <w:t>类等）</w:t>
            </w:r>
          </w:p>
        </w:tc>
      </w:tr>
      <w:tr>
        <w:trPr>
          <w:trHeight w:val="2182" w:hRule="atLeast"/>
        </w:trPr>
        <w:tc>
          <w:tcPr>
            <w:tcW w:w="941" w:type="dxa"/>
            <w:vAlign w:val="top"/>
          </w:tcPr>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pStyle w:val="TableText"/>
              <w:ind w:left="57"/>
              <w:spacing w:before="65" w:line="228" w:lineRule="auto"/>
              <w:rPr/>
            </w:pPr>
            <w:r>
              <w:rPr>
                <w:spacing w:val="6"/>
              </w:rPr>
              <w:t>厂界周边</w:t>
            </w:r>
          </w:p>
          <w:p>
            <w:pPr>
              <w:pStyle w:val="TableText"/>
              <w:ind w:left="267"/>
              <w:spacing w:before="23" w:line="229" w:lineRule="auto"/>
              <w:rPr/>
            </w:pPr>
            <w:r>
              <w:rPr>
                <w:spacing w:val="4"/>
              </w:rPr>
              <w:t>土壤</w:t>
            </w:r>
          </w:p>
        </w:tc>
        <w:tc>
          <w:tcPr>
            <w:tcW w:w="3059" w:type="dxa"/>
            <w:vAlign w:val="top"/>
          </w:tcPr>
          <w:p>
            <w:pPr>
              <w:pStyle w:val="TableText"/>
              <w:ind w:left="8" w:right="2"/>
              <w:spacing w:before="31" w:line="247" w:lineRule="auto"/>
              <w:jc w:val="both"/>
              <w:rPr/>
            </w:pPr>
            <w:r>
              <w:rPr>
                <w:spacing w:val="2"/>
              </w:rPr>
              <w:t>在西厂区内设</w:t>
            </w:r>
            <w:r>
              <w:rPr>
                <w:spacing w:val="-43"/>
              </w:rPr>
              <w:t xml:space="preserve"> </w:t>
            </w:r>
            <w:r>
              <w:rPr>
                <w:rFonts w:ascii="Times New Roman" w:hAnsi="Times New Roman" w:eastAsia="Times New Roman" w:cs="Times New Roman"/>
                <w:spacing w:val="2"/>
              </w:rPr>
              <w:t>2 </w:t>
            </w:r>
            <w:r>
              <w:rPr>
                <w:spacing w:val="2"/>
              </w:rPr>
              <w:t>个监测点位（分别</w:t>
            </w:r>
            <w:r>
              <w:rPr/>
              <w:t xml:space="preserve"> </w:t>
            </w:r>
            <w:r>
              <w:rPr>
                <w:spacing w:val="2"/>
              </w:rPr>
              <w:t>位于洗毛车间附近、厌氧发酵罐区</w:t>
            </w:r>
            <w:r>
              <w:rPr>
                <w:spacing w:val="9"/>
              </w:rPr>
              <w:t xml:space="preserve"> </w:t>
            </w:r>
            <w:r>
              <w:rPr/>
              <w:t>附近）、东厂区内设</w:t>
            </w:r>
            <w:r>
              <w:rPr>
                <w:spacing w:val="-9"/>
              </w:rPr>
              <w:t xml:space="preserve"> </w:t>
            </w:r>
            <w:r>
              <w:rPr>
                <w:rFonts w:ascii="Times New Roman" w:hAnsi="Times New Roman" w:eastAsia="Times New Roman" w:cs="Times New Roman"/>
              </w:rPr>
              <w:t>1 </w:t>
            </w:r>
            <w:r>
              <w:rPr/>
              <w:t>个监测点位 </w:t>
            </w:r>
            <w:r>
              <w:rPr>
                <w:spacing w:val="8"/>
              </w:rPr>
              <w:t>（位于洗毛车间附近</w:t>
            </w:r>
            <w:r>
              <w:rPr>
                <w:spacing w:val="-33"/>
              </w:rPr>
              <w:t>），</w:t>
            </w:r>
            <w:r>
              <w:rPr>
                <w:spacing w:val="8"/>
              </w:rPr>
              <w:t>西厂区南</w:t>
            </w:r>
            <w:r>
              <w:rPr>
                <w:spacing w:val="1"/>
              </w:rPr>
              <w:t xml:space="preserve"> </w:t>
            </w:r>
            <w:r>
              <w:rPr/>
              <w:t>部东侧牧草地设</w:t>
            </w:r>
            <w:r>
              <w:rPr>
                <w:spacing w:val="-9"/>
              </w:rPr>
              <w:t xml:space="preserve"> </w:t>
            </w:r>
            <w:r>
              <w:rPr>
                <w:rFonts w:ascii="Times New Roman" w:hAnsi="Times New Roman" w:eastAsia="Times New Roman" w:cs="Times New Roman"/>
              </w:rPr>
              <w:t>1 </w:t>
            </w:r>
            <w:r>
              <w:rPr/>
              <w:t>个监测点位、东 </w:t>
            </w:r>
            <w:r>
              <w:rPr/>
              <w:t>厂区东侧耕地设</w:t>
            </w:r>
            <w:r>
              <w:rPr>
                <w:spacing w:val="-9"/>
              </w:rPr>
              <w:t xml:space="preserve"> </w:t>
            </w:r>
            <w:r>
              <w:rPr>
                <w:rFonts w:ascii="Times New Roman" w:hAnsi="Times New Roman" w:eastAsia="Times New Roman" w:cs="Times New Roman"/>
              </w:rPr>
              <w:t>1 </w:t>
            </w:r>
            <w:r>
              <w:rPr/>
              <w:t>个监测点位，共 </w:t>
            </w:r>
            <w:r>
              <w:rPr>
                <w:spacing w:val="14"/>
              </w:rPr>
              <w:t>计</w:t>
            </w:r>
            <w:r>
              <w:rPr>
                <w:spacing w:val="-24"/>
              </w:rPr>
              <w:t xml:space="preserve"> </w:t>
            </w:r>
            <w:r>
              <w:rPr>
                <w:rFonts w:ascii="Times New Roman" w:hAnsi="Times New Roman" w:eastAsia="Times New Roman" w:cs="Times New Roman"/>
                <w:spacing w:val="14"/>
              </w:rPr>
              <w:t>5</w:t>
            </w:r>
            <w:r>
              <w:rPr>
                <w:rFonts w:ascii="Times New Roman" w:hAnsi="Times New Roman" w:eastAsia="Times New Roman" w:cs="Times New Roman"/>
                <w:spacing w:val="19"/>
                <w:w w:val="101"/>
              </w:rPr>
              <w:t xml:space="preserve"> </w:t>
            </w:r>
            <w:r>
              <w:rPr>
                <w:spacing w:val="14"/>
              </w:rPr>
              <w:t>个监测点位。点位布置详见</w:t>
            </w:r>
            <w:r>
              <w:rPr/>
              <w:t xml:space="preserve"> </w:t>
            </w:r>
            <w:r>
              <w:rPr>
                <w:rFonts w:ascii="Times New Roman" w:hAnsi="Times New Roman" w:eastAsia="Times New Roman" w:cs="Times New Roman"/>
                <w:spacing w:val="2"/>
              </w:rPr>
              <w:t>7.5.3</w:t>
            </w:r>
            <w:r>
              <w:rPr>
                <w:rFonts w:ascii="Times New Roman" w:hAnsi="Times New Roman" w:eastAsia="Times New Roman" w:cs="Times New Roman"/>
                <w:spacing w:val="15"/>
              </w:rPr>
              <w:t xml:space="preserve"> </w:t>
            </w:r>
            <w:r>
              <w:rPr>
                <w:spacing w:val="2"/>
              </w:rPr>
              <w:t>小节</w:t>
            </w:r>
          </w:p>
        </w:tc>
        <w:tc>
          <w:tcPr>
            <w:tcW w:w="1598" w:type="dxa"/>
            <w:vAlign w:val="top"/>
          </w:tcPr>
          <w:p>
            <w:pPr>
              <w:spacing w:line="305" w:lineRule="auto"/>
              <w:rPr>
                <w:rFonts w:ascii="Arial"/>
                <w:sz w:val="21"/>
              </w:rPr>
            </w:pPr>
            <w:r/>
          </w:p>
          <w:p>
            <w:pPr>
              <w:spacing w:line="305" w:lineRule="auto"/>
              <w:rPr>
                <w:rFonts w:ascii="Arial"/>
                <w:sz w:val="21"/>
              </w:rPr>
            </w:pPr>
            <w:r/>
          </w:p>
          <w:p>
            <w:pPr>
              <w:spacing w:line="305" w:lineRule="auto"/>
              <w:rPr>
                <w:rFonts w:ascii="Arial"/>
                <w:sz w:val="21"/>
              </w:rPr>
            </w:pPr>
            <w:r/>
          </w:p>
          <w:p>
            <w:pPr>
              <w:pStyle w:val="TableText"/>
              <w:ind w:left="279"/>
              <w:spacing w:before="65" w:line="228" w:lineRule="auto"/>
              <w:rPr/>
            </w:pPr>
            <w:r>
              <w:rPr>
                <w:spacing w:val="-5"/>
              </w:rPr>
              <w:t>每</w:t>
            </w:r>
            <w:r>
              <w:rPr>
                <w:spacing w:val="-38"/>
              </w:rPr>
              <w:t xml:space="preserve"> </w:t>
            </w:r>
            <w:r>
              <w:rPr>
                <w:rFonts w:ascii="Times New Roman" w:hAnsi="Times New Roman" w:eastAsia="Times New Roman" w:cs="Times New Roman"/>
                <w:spacing w:val="-5"/>
              </w:rPr>
              <w:t>5</w:t>
            </w:r>
            <w:r>
              <w:rPr>
                <w:rFonts w:ascii="Times New Roman" w:hAnsi="Times New Roman" w:eastAsia="Times New Roman" w:cs="Times New Roman"/>
                <w:spacing w:val="12"/>
                <w:w w:val="101"/>
              </w:rPr>
              <w:t xml:space="preserve"> </w:t>
            </w:r>
            <w:r>
              <w:rPr>
                <w:spacing w:val="-5"/>
              </w:rPr>
              <w:t>年</w:t>
            </w:r>
            <w:r>
              <w:rPr>
                <w:spacing w:val="-23"/>
              </w:rPr>
              <w:t xml:space="preserve"> </w:t>
            </w:r>
            <w:r>
              <w:rPr>
                <w:rFonts w:ascii="Times New Roman" w:hAnsi="Times New Roman" w:eastAsia="Times New Roman" w:cs="Times New Roman"/>
                <w:spacing w:val="-5"/>
              </w:rPr>
              <w:t>1</w:t>
            </w:r>
            <w:r>
              <w:rPr>
                <w:rFonts w:ascii="Times New Roman" w:hAnsi="Times New Roman" w:eastAsia="Times New Roman" w:cs="Times New Roman"/>
                <w:spacing w:val="18"/>
              </w:rPr>
              <w:t xml:space="preserve"> </w:t>
            </w:r>
            <w:r>
              <w:rPr>
                <w:spacing w:val="-5"/>
              </w:rPr>
              <w:t>次</w:t>
            </w:r>
          </w:p>
        </w:tc>
        <w:tc>
          <w:tcPr>
            <w:tcW w:w="2936" w:type="dxa"/>
            <w:vAlign w:val="top"/>
          </w:tcPr>
          <w:p>
            <w:pPr>
              <w:spacing w:line="375" w:lineRule="auto"/>
              <w:rPr>
                <w:rFonts w:ascii="Arial"/>
                <w:sz w:val="21"/>
              </w:rPr>
            </w:pPr>
            <w:r/>
          </w:p>
          <w:p>
            <w:pPr>
              <w:pStyle w:val="TableText"/>
              <w:ind w:left="10" w:firstLine="2"/>
              <w:spacing w:before="65" w:line="250" w:lineRule="auto"/>
              <w:rPr/>
            </w:pPr>
            <w:r>
              <w:rPr/>
              <w:t>厂区内监测点：</w:t>
            </w:r>
            <w:r>
              <w:rPr>
                <w:rFonts w:ascii="Times New Roman" w:hAnsi="Times New Roman" w:eastAsia="Times New Roman" w:cs="Times New Roman"/>
              </w:rPr>
              <w:t>GB36600 </w:t>
            </w:r>
            <w:r>
              <w:rPr/>
              <w:t>基本因</w:t>
            </w:r>
            <w:r>
              <w:rPr>
                <w:spacing w:val="2"/>
              </w:rPr>
              <w:t xml:space="preserve">  </w:t>
            </w:r>
            <w:r>
              <w:rPr/>
              <w:t>子</w:t>
            </w:r>
            <w:r>
              <w:rPr>
                <w:rFonts w:ascii="Times New Roman" w:hAnsi="Times New Roman" w:eastAsia="Times New Roman" w:cs="Times New Roman"/>
              </w:rPr>
              <w:t>+pH</w:t>
            </w:r>
            <w:r>
              <w:rPr>
                <w:rFonts w:ascii="Times New Roman" w:hAnsi="Times New Roman" w:eastAsia="Times New Roman" w:cs="Times New Roman"/>
                <w:spacing w:val="-12"/>
              </w:rPr>
              <w:t xml:space="preserve"> </w:t>
            </w:r>
            <w:r>
              <w:rPr/>
              <w:t>、石油烃（</w:t>
            </w:r>
            <w:r>
              <w:rPr>
                <w:rFonts w:ascii="Times New Roman" w:hAnsi="Times New Roman" w:eastAsia="Times New Roman" w:cs="Times New Roman"/>
              </w:rPr>
              <w:t>C</w:t>
            </w:r>
            <w:r>
              <w:rPr>
                <w:rFonts w:ascii="Times New Roman" w:hAnsi="Times New Roman" w:eastAsia="Times New Roman" w:cs="Times New Roman"/>
                <w:sz w:val="13"/>
                <w:szCs w:val="13"/>
              </w:rPr>
              <w:t>10</w:t>
            </w:r>
            <w:r>
              <w:rPr>
                <w:rFonts w:ascii="Times New Roman" w:hAnsi="Times New Roman" w:eastAsia="Times New Roman" w:cs="Times New Roman"/>
              </w:rPr>
              <w:t>-C</w:t>
            </w:r>
            <w:r>
              <w:rPr>
                <w:rFonts w:ascii="Times New Roman" w:hAnsi="Times New Roman" w:eastAsia="Times New Roman" w:cs="Times New Roman"/>
                <w:sz w:val="13"/>
                <w:szCs w:val="13"/>
                <w:position w:val="-1"/>
              </w:rPr>
              <w:t>40 </w:t>
            </w:r>
            <w:r>
              <w:rPr/>
              <w:t>）等。  </w:t>
            </w:r>
            <w:r>
              <w:rPr>
                <w:spacing w:val="7"/>
              </w:rPr>
              <w:t>厂区外监测点：</w:t>
            </w:r>
            <w:r>
              <w:rPr>
                <w:spacing w:val="-31"/>
              </w:rPr>
              <w:t xml:space="preserve"> </w:t>
            </w:r>
            <w:r>
              <w:rPr>
                <w:rFonts w:ascii="Times New Roman" w:hAnsi="Times New Roman" w:eastAsia="Times New Roman" w:cs="Times New Roman"/>
              </w:rPr>
              <w:t>GB</w:t>
            </w:r>
            <w:r>
              <w:rPr>
                <w:rFonts w:ascii="Times New Roman" w:hAnsi="Times New Roman" w:eastAsia="Times New Roman" w:cs="Times New Roman"/>
                <w:spacing w:val="7"/>
              </w:rPr>
              <w:t>15618-2018</w:t>
            </w:r>
            <w:r>
              <w:rPr>
                <w:rFonts w:ascii="Times New Roman" w:hAnsi="Times New Roman" w:eastAsia="Times New Roman" w:cs="Times New Roman"/>
              </w:rPr>
              <w:t xml:space="preserve">   </w:t>
            </w:r>
            <w:r>
              <w:rPr>
                <w:spacing w:val="-2"/>
              </w:rPr>
              <w:t>基本因子</w:t>
            </w:r>
            <w:r>
              <w:rPr>
                <w:rFonts w:ascii="Times New Roman" w:hAnsi="Times New Roman" w:eastAsia="Times New Roman" w:cs="Times New Roman"/>
                <w:spacing w:val="-2"/>
              </w:rPr>
              <w:t>+pH</w:t>
            </w:r>
            <w:r>
              <w:rPr>
                <w:spacing w:val="-2"/>
              </w:rPr>
              <w:t>、石油烃（</w:t>
            </w:r>
            <w:r>
              <w:rPr>
                <w:rFonts w:ascii="Times New Roman" w:hAnsi="Times New Roman" w:eastAsia="Times New Roman" w:cs="Times New Roman"/>
                <w:spacing w:val="-2"/>
              </w:rPr>
              <w:t>C</w:t>
            </w:r>
            <w:r>
              <w:rPr>
                <w:rFonts w:ascii="Times New Roman" w:hAnsi="Times New Roman" w:eastAsia="Times New Roman" w:cs="Times New Roman"/>
                <w:sz w:val="13"/>
                <w:szCs w:val="13"/>
                <w:spacing w:val="-2"/>
              </w:rPr>
              <w:t>10</w:t>
            </w:r>
            <w:r>
              <w:rPr>
                <w:rFonts w:ascii="Times New Roman" w:hAnsi="Times New Roman" w:eastAsia="Times New Roman" w:cs="Times New Roman"/>
                <w:spacing w:val="-2"/>
              </w:rPr>
              <w:t>-C</w:t>
            </w:r>
            <w:r>
              <w:rPr>
                <w:rFonts w:ascii="Times New Roman" w:hAnsi="Times New Roman" w:eastAsia="Times New Roman" w:cs="Times New Roman"/>
                <w:sz w:val="13"/>
                <w:szCs w:val="13"/>
                <w:spacing w:val="-2"/>
                <w:position w:val="-1"/>
              </w:rPr>
              <w:t>40</w:t>
            </w:r>
            <w:r>
              <w:rPr>
                <w:spacing w:val="-2"/>
              </w:rPr>
              <w:t>）</w:t>
            </w:r>
            <w:r>
              <w:rPr>
                <w:spacing w:val="8"/>
              </w:rPr>
              <w:t xml:space="preserve"> </w:t>
            </w:r>
            <w:r>
              <w:rPr>
                <w:spacing w:val="-3"/>
              </w:rPr>
              <w:t>等。</w:t>
            </w:r>
          </w:p>
        </w:tc>
      </w:tr>
      <w:tr>
        <w:trPr>
          <w:trHeight w:val="821" w:hRule="atLeast"/>
        </w:trPr>
        <w:tc>
          <w:tcPr>
            <w:tcW w:w="941" w:type="dxa"/>
            <w:vAlign w:val="top"/>
          </w:tcPr>
          <w:p>
            <w:pPr>
              <w:pStyle w:val="TableText"/>
              <w:ind w:left="266" w:right="51" w:hanging="207"/>
              <w:spacing w:before="173" w:line="252" w:lineRule="auto"/>
              <w:rPr/>
            </w:pPr>
            <w:r>
              <w:rPr>
                <w:spacing w:val="6"/>
              </w:rPr>
              <w:t>沼肥施肥</w:t>
            </w:r>
            <w:r>
              <w:rPr/>
              <w:t xml:space="preserve"> </w:t>
            </w:r>
            <w:r>
              <w:rPr>
                <w:spacing w:val="4"/>
              </w:rPr>
              <w:t>土壤</w:t>
            </w:r>
          </w:p>
        </w:tc>
        <w:tc>
          <w:tcPr>
            <w:tcW w:w="3059" w:type="dxa"/>
            <w:vAlign w:val="top"/>
          </w:tcPr>
          <w:p>
            <w:pPr>
              <w:pStyle w:val="TableText"/>
              <w:ind w:left="12" w:right="4" w:hanging="4"/>
              <w:spacing w:before="172" w:line="251" w:lineRule="auto"/>
              <w:rPr/>
            </w:pPr>
            <w:r>
              <w:rPr>
                <w:spacing w:val="1"/>
              </w:rPr>
              <w:t>在施肥土壤区域布设</w:t>
            </w:r>
            <w:r>
              <w:rPr>
                <w:spacing w:val="-27"/>
              </w:rPr>
              <w:t xml:space="preserve"> </w:t>
            </w:r>
            <w:r>
              <w:rPr>
                <w:rFonts w:ascii="Times New Roman" w:hAnsi="Times New Roman" w:eastAsia="Times New Roman" w:cs="Times New Roman"/>
                <w:spacing w:val="1"/>
              </w:rPr>
              <w:t>3 </w:t>
            </w:r>
            <w:r>
              <w:rPr>
                <w:spacing w:val="1"/>
              </w:rPr>
              <w:t>个点，根据</w:t>
            </w:r>
            <w:r>
              <w:rPr/>
              <w:t xml:space="preserve"> </w:t>
            </w:r>
            <w:r>
              <w:rPr>
                <w:spacing w:val="7"/>
              </w:rPr>
              <w:t>不同作物，可增加布点。</w:t>
            </w:r>
          </w:p>
        </w:tc>
        <w:tc>
          <w:tcPr>
            <w:tcW w:w="1598" w:type="dxa"/>
            <w:vAlign w:val="top"/>
          </w:tcPr>
          <w:p>
            <w:pPr>
              <w:pStyle w:val="TableText"/>
              <w:ind w:left="69"/>
              <w:spacing w:before="35" w:line="227" w:lineRule="auto"/>
              <w:rPr/>
            </w:pPr>
            <w:r>
              <w:rPr>
                <w:spacing w:val="3"/>
              </w:rPr>
              <w:t>施肥前进行</w:t>
            </w:r>
            <w:r>
              <w:rPr>
                <w:spacing w:val="-23"/>
              </w:rPr>
              <w:t xml:space="preserve"> </w:t>
            </w:r>
            <w:r>
              <w:rPr>
                <w:rFonts w:ascii="Times New Roman" w:hAnsi="Times New Roman" w:eastAsia="Times New Roman" w:cs="Times New Roman"/>
                <w:spacing w:val="3"/>
              </w:rPr>
              <w:t>1</w:t>
            </w:r>
            <w:r>
              <w:rPr>
                <w:rFonts w:ascii="Times New Roman" w:hAnsi="Times New Roman" w:eastAsia="Times New Roman" w:cs="Times New Roman"/>
                <w:spacing w:val="17"/>
                <w:w w:val="101"/>
              </w:rPr>
              <w:t xml:space="preserve"> </w:t>
            </w:r>
            <w:r>
              <w:rPr>
                <w:spacing w:val="3"/>
              </w:rPr>
              <w:t>次</w:t>
            </w:r>
          </w:p>
          <w:p>
            <w:pPr>
              <w:pStyle w:val="TableText"/>
              <w:ind w:right="1"/>
              <w:spacing w:before="24" w:line="228" w:lineRule="auto"/>
              <w:jc w:val="right"/>
              <w:rPr/>
            </w:pPr>
            <w:r>
              <w:rPr>
                <w:spacing w:val="-3"/>
              </w:rPr>
              <w:t>土壤背景调查；施</w:t>
            </w:r>
          </w:p>
          <w:p>
            <w:pPr>
              <w:pStyle w:val="TableText"/>
              <w:ind w:left="175"/>
              <w:spacing w:before="27" w:line="213" w:lineRule="auto"/>
              <w:rPr/>
            </w:pPr>
            <w:r>
              <w:rPr>
                <w:spacing w:val="1"/>
              </w:rPr>
              <w:t>肥后每年</w:t>
            </w:r>
            <w:r>
              <w:rPr>
                <w:spacing w:val="-21"/>
              </w:rPr>
              <w:t xml:space="preserve"> </w:t>
            </w:r>
            <w:r>
              <w:rPr>
                <w:rFonts w:ascii="Times New Roman" w:hAnsi="Times New Roman" w:eastAsia="Times New Roman" w:cs="Times New Roman"/>
                <w:spacing w:val="1"/>
              </w:rPr>
              <w:t>1</w:t>
            </w:r>
            <w:r>
              <w:rPr>
                <w:rFonts w:ascii="Times New Roman" w:hAnsi="Times New Roman" w:eastAsia="Times New Roman" w:cs="Times New Roman"/>
                <w:spacing w:val="18"/>
              </w:rPr>
              <w:t xml:space="preserve"> </w:t>
            </w:r>
            <w:r>
              <w:rPr>
                <w:spacing w:val="1"/>
              </w:rPr>
              <w:t>次</w:t>
            </w:r>
          </w:p>
        </w:tc>
        <w:tc>
          <w:tcPr>
            <w:tcW w:w="2936" w:type="dxa"/>
            <w:vAlign w:val="top"/>
          </w:tcPr>
          <w:p>
            <w:pPr>
              <w:pStyle w:val="TableText"/>
              <w:ind w:left="9" w:hanging="7"/>
              <w:spacing w:before="34" w:line="239" w:lineRule="auto"/>
              <w:jc w:val="both"/>
              <w:rPr/>
            </w:pPr>
            <w:r>
              <w:rPr>
                <w:rFonts w:ascii="Times New Roman" w:hAnsi="Times New Roman" w:eastAsia="Times New Roman" w:cs="Times New Roman"/>
                <w:spacing w:val="-8"/>
              </w:rPr>
              <w:t>pH</w:t>
            </w:r>
            <w:r>
              <w:rPr>
                <w:spacing w:val="-8"/>
              </w:rPr>
              <w:t>、总盐浓度、镉、汞、砷、铅、</w:t>
            </w:r>
            <w:r>
              <w:rPr>
                <w:spacing w:val="11"/>
              </w:rPr>
              <w:t xml:space="preserve"> </w:t>
            </w:r>
            <w:r>
              <w:rPr>
                <w:spacing w:val="-6"/>
              </w:rPr>
              <w:t>铬、铜、镍、锌、有效磷、总氮、</w:t>
            </w:r>
            <w:r>
              <w:rPr>
                <w:spacing w:val="10"/>
              </w:rPr>
              <w:t xml:space="preserve"> </w:t>
            </w:r>
            <w:r>
              <w:rPr>
                <w:spacing w:val="4"/>
              </w:rPr>
              <w:t>电导率、水溶性盐、全量钠等。</w:t>
            </w:r>
          </w:p>
        </w:tc>
      </w:tr>
      <w:tr>
        <w:trPr>
          <w:trHeight w:val="1371" w:hRule="atLeast"/>
        </w:trPr>
        <w:tc>
          <w:tcPr>
            <w:tcW w:w="8534" w:type="dxa"/>
            <w:vAlign w:val="top"/>
            <w:gridSpan w:val="4"/>
          </w:tcPr>
          <w:p>
            <w:pPr>
              <w:pStyle w:val="TableText"/>
              <w:ind w:left="11" w:right="5"/>
              <w:spacing w:before="39" w:line="244" w:lineRule="auto"/>
              <w:jc w:val="both"/>
              <w:rPr/>
            </w:pPr>
            <w:r>
              <w:rPr>
                <w:spacing w:val="7"/>
              </w:rPr>
              <w:t>注：根据《农田土壤环境质量监测技术规范》（</w:t>
            </w:r>
            <w:r>
              <w:rPr>
                <w:rFonts w:ascii="Times New Roman" w:hAnsi="Times New Roman" w:eastAsia="Times New Roman" w:cs="Times New Roman"/>
              </w:rPr>
              <w:t>NT</w:t>
            </w:r>
            <w:r>
              <w:rPr>
                <w:rFonts w:ascii="Times New Roman" w:hAnsi="Times New Roman" w:eastAsia="Times New Roman" w:cs="Times New Roman"/>
                <w:spacing w:val="7"/>
              </w:rPr>
              <w:t>/T395-2012</w:t>
            </w:r>
            <w:r>
              <w:rPr>
                <w:spacing w:val="-1"/>
              </w:rPr>
              <w:t>），</w:t>
            </w:r>
            <w:r>
              <w:rPr>
                <w:spacing w:val="7"/>
              </w:rPr>
              <w:t>农田土壤背景值调查不超过</w:t>
            </w:r>
            <w:r>
              <w:rPr>
                <w:spacing w:val="1"/>
              </w:rPr>
              <w:t xml:space="preserve"> </w:t>
            </w:r>
            <w:r>
              <w:rPr>
                <w:rFonts w:ascii="Times New Roman" w:hAnsi="Times New Roman" w:eastAsia="Times New Roman" w:cs="Times New Roman"/>
                <w:spacing w:val="8"/>
              </w:rPr>
              <w:t>1000</w:t>
            </w:r>
            <w:r>
              <w:rPr>
                <w:rFonts w:ascii="Times New Roman" w:hAnsi="Times New Roman" w:eastAsia="Times New Roman" w:cs="Times New Roman"/>
              </w:rPr>
              <w:t>hm</w:t>
            </w:r>
            <w:r>
              <w:rPr>
                <w:rFonts w:ascii="Times New Roman" w:hAnsi="Times New Roman" w:eastAsia="Times New Roman" w:cs="Times New Roman"/>
                <w:sz w:val="13"/>
                <w:szCs w:val="13"/>
                <w:spacing w:val="8"/>
                <w:position w:val="6"/>
              </w:rPr>
              <w:t>2</w:t>
            </w:r>
            <w:r>
              <w:rPr>
                <w:rFonts w:ascii="Times New Roman" w:hAnsi="Times New Roman" w:eastAsia="Times New Roman" w:cs="Times New Roman"/>
                <w:sz w:val="13"/>
                <w:szCs w:val="13"/>
                <w:spacing w:val="10"/>
                <w:w w:val="102"/>
                <w:position w:val="6"/>
              </w:rPr>
              <w:t xml:space="preserve"> </w:t>
            </w:r>
            <w:r>
              <w:rPr>
                <w:spacing w:val="8"/>
              </w:rPr>
              <w:t>布设一个监测点位；本项目承包土地面</w:t>
            </w:r>
            <w:r>
              <w:rPr>
                <w:spacing w:val="7"/>
              </w:rPr>
              <w:t>积不超过</w:t>
            </w:r>
            <w:r>
              <w:rPr>
                <w:spacing w:val="-21"/>
              </w:rPr>
              <w:t xml:space="preserve"> </w:t>
            </w:r>
            <w:r>
              <w:rPr>
                <w:rFonts w:ascii="Times New Roman" w:hAnsi="Times New Roman" w:eastAsia="Times New Roman" w:cs="Times New Roman"/>
                <w:spacing w:val="7"/>
              </w:rPr>
              <w:t>1000</w:t>
            </w:r>
            <w:r>
              <w:rPr>
                <w:rFonts w:ascii="Times New Roman" w:hAnsi="Times New Roman" w:eastAsia="Times New Roman" w:cs="Times New Roman"/>
              </w:rPr>
              <w:t>hm</w:t>
            </w:r>
            <w:r>
              <w:rPr>
                <w:rFonts w:ascii="Times New Roman" w:hAnsi="Times New Roman" w:eastAsia="Times New Roman" w:cs="Times New Roman"/>
                <w:sz w:val="13"/>
                <w:szCs w:val="13"/>
                <w:spacing w:val="7"/>
                <w:position w:val="6"/>
              </w:rPr>
              <w:t>2</w:t>
            </w:r>
            <w:r>
              <w:rPr>
                <w:rFonts w:ascii="Times New Roman" w:hAnsi="Times New Roman" w:eastAsia="Times New Roman" w:cs="Times New Roman"/>
                <w:sz w:val="13"/>
                <w:szCs w:val="13"/>
                <w:spacing w:val="-8"/>
                <w:position w:val="6"/>
              </w:rPr>
              <w:t xml:space="preserve"> </w:t>
            </w:r>
            <w:r>
              <w:rPr>
                <w:spacing w:val="7"/>
              </w:rPr>
              <w:t>，通过查询国家土壤信息服</w:t>
            </w:r>
            <w:r>
              <w:rPr/>
              <w:t xml:space="preserve"> </w:t>
            </w:r>
            <w:r>
              <w:rPr>
                <w:spacing w:val="7"/>
              </w:rPr>
              <w:t>务平台，项目承包土地均为栗钙土，考虑承包土地整体布局，共布设</w:t>
            </w:r>
            <w:r>
              <w:rPr>
                <w:spacing w:val="-36"/>
              </w:rPr>
              <w:t xml:space="preserve"> </w:t>
            </w:r>
            <w:r>
              <w:rPr>
                <w:rFonts w:ascii="Times New Roman" w:hAnsi="Times New Roman" w:eastAsia="Times New Roman" w:cs="Times New Roman"/>
                <w:spacing w:val="7"/>
              </w:rPr>
              <w:t>3 </w:t>
            </w:r>
            <w:r>
              <w:rPr>
                <w:spacing w:val="7"/>
              </w:rPr>
              <w:t>个农田土壤背景值调查</w:t>
            </w:r>
            <w:r>
              <w:rPr/>
              <w:t xml:space="preserve"> </w:t>
            </w:r>
            <w:r>
              <w:rPr>
                <w:spacing w:val="12"/>
              </w:rPr>
              <w:t>点，其中正镶白旗星耀镇查干宝恩木村布设</w:t>
            </w:r>
            <w:r>
              <w:rPr/>
              <w:t xml:space="preserve"> </w:t>
            </w:r>
            <w:r>
              <w:rPr>
                <w:rFonts w:ascii="Times New Roman" w:hAnsi="Times New Roman" w:eastAsia="Times New Roman" w:cs="Times New Roman"/>
                <w:spacing w:val="12"/>
              </w:rPr>
              <w:t>1</w:t>
            </w:r>
            <w:r>
              <w:rPr>
                <w:rFonts w:ascii="Times New Roman" w:hAnsi="Times New Roman" w:eastAsia="Times New Roman" w:cs="Times New Roman"/>
                <w:spacing w:val="17"/>
                <w:w w:val="101"/>
              </w:rPr>
              <w:t xml:space="preserve"> </w:t>
            </w:r>
            <w:r>
              <w:rPr>
                <w:spacing w:val="12"/>
              </w:rPr>
              <w:t>各点，正镶白旗星耀镇新河村委会大棚布设</w:t>
            </w:r>
            <w:r>
              <w:rPr>
                <w:spacing w:val="-38"/>
              </w:rPr>
              <w:t xml:space="preserve"> </w:t>
            </w:r>
            <w:r>
              <w:rPr>
                <w:rFonts w:ascii="Times New Roman" w:hAnsi="Times New Roman" w:eastAsia="Times New Roman" w:cs="Times New Roman"/>
                <w:spacing w:val="12"/>
              </w:rPr>
              <w:t>2</w:t>
            </w:r>
            <w:r>
              <w:rPr>
                <w:rFonts w:ascii="Times New Roman" w:hAnsi="Times New Roman" w:eastAsia="Times New Roman" w:cs="Times New Roman"/>
              </w:rPr>
              <w:t xml:space="preserve"> </w:t>
            </w:r>
            <w:r>
              <w:rPr>
                <w:spacing w:val="9"/>
              </w:rPr>
              <w:t>个点。若沼肥施肥土壤位置发生变化，点位适当调整。</w:t>
            </w:r>
          </w:p>
        </w:tc>
      </w:tr>
    </w:tbl>
    <w:p>
      <w:pPr>
        <w:ind w:firstLine="4314"/>
        <w:spacing w:before="74" w:line="514" w:lineRule="exact"/>
        <w:rPr/>
      </w:pPr>
      <w:r>
        <w:rPr>
          <w:position w:val="-10"/>
        </w:rPr>
        <w:pict>
          <v:group id="_x0000_s1340" style="mso-position-vertical-relative:line;mso-position-horizontal-relative:char;width:121.7pt;height:25.75pt;" filled="false" stroked="false" coordsize="2433,515" coordorigin="0,0">
            <v:shape id="_x0000_s1342" style="position:absolute;left:0;top:0;width:2433;height:515;" fillcolor="#D7E4BD" filled="true" stroked="false" coordsize="2433,515" coordorigin="0,0" path="m0,84c0,38,38,0,86,0l991,0l1416,0l1615,0c1662,0,1700,38,1701,84l1701,300l2433,437l1700,428l1701,427c1700,475,1662,514,1615,514l1416,514l991,514l86,514c38,514,0,475,0,428l0,427l0,300l0,84e"/>
            <v:shape id="_x0000_s1344" style="position:absolute;left:-20;top:-20;width:2473;height:555;" filled="false" stroked="false" type="#_x0000_t202">
              <v:fill on="false"/>
              <v:stroke on="false"/>
              <v:path/>
              <v:imagedata o:title=""/>
              <o:lock v:ext="edit" aspectratio="false"/>
              <v:textbox inset="0mm,0mm,0mm,0mm">
                <w:txbxContent>
                  <w:p>
                    <w:pPr>
                      <w:ind w:left="277"/>
                      <w:spacing w:before="172" w:line="219" w:lineRule="auto"/>
                      <w:rPr>
                        <w:rFonts w:ascii="SimSun" w:hAnsi="SimSun" w:eastAsia="SimSun" w:cs="SimSun"/>
                        <w:sz w:val="24"/>
                        <w:szCs w:val="24"/>
                      </w:rPr>
                    </w:pPr>
                    <w:r>
                      <w:rPr>
                        <w:rFonts w:ascii="SimSun" w:hAnsi="SimSun" w:eastAsia="SimSun" w:cs="SimSun"/>
                        <w:sz w:val="24"/>
                        <w:szCs w:val="24"/>
                        <w:b/>
                        <w:bCs/>
                        <w:spacing w:val="-4"/>
                      </w:rPr>
                      <w:t>本项目厂区</w:t>
                    </w:r>
                  </w:p>
                </w:txbxContent>
              </v:textbox>
            </v:shape>
          </v:group>
        </w:pict>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ind w:left="2338"/>
        <w:spacing w:before="78"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3"/>
        </w:rPr>
        <w:t>9.2-1        </w:t>
      </w:r>
      <w:r>
        <w:rPr>
          <w:rFonts w:ascii="SimSun" w:hAnsi="SimSun" w:eastAsia="SimSun" w:cs="SimSun"/>
          <w:sz w:val="24"/>
          <w:szCs w:val="24"/>
          <w:b/>
          <w:bCs/>
          <w:spacing w:val="-3"/>
        </w:rPr>
        <w:t>沼肥施肥土壤跟踪监测点</w:t>
      </w:r>
    </w:p>
    <w:p>
      <w:pPr>
        <w:pStyle w:val="BodyText"/>
        <w:spacing w:line="397" w:lineRule="auto"/>
        <w:rPr/>
      </w:pPr>
      <w:r/>
    </w:p>
    <w:p>
      <w:pPr>
        <w:ind w:left="25"/>
        <w:spacing w:before="62" w:line="227" w:lineRule="auto"/>
        <w:rPr>
          <w:rFonts w:ascii="SimSun" w:hAnsi="SimSun" w:eastAsia="SimSun" w:cs="SimSun"/>
          <w:sz w:val="19"/>
          <w:szCs w:val="19"/>
        </w:rPr>
      </w:pPr>
      <w:r>
        <w:pict>
          <v:shape id="_x0000_s1346" style="position:absolute;margin-left:160.22pt;margin-top:2.11666pt;mso-position-vertical-relative:text;mso-position-horizontal-relative:text;width:61pt;height:13.75pt;z-index:252411904;"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2"/>
                    </w:rPr>
                    <w:t>任公司</w:t>
                  </w:r>
                  <w:r>
                    <w:rPr>
                      <w:rFonts w:ascii="SimSun" w:hAnsi="SimSun" w:eastAsia="SimSun" w:cs="SimSun"/>
                      <w:sz w:val="19"/>
                      <w:szCs w:val="19"/>
                      <w:spacing w:val="14"/>
                    </w:rPr>
                    <w:t xml:space="preserve">   </w:t>
                  </w:r>
                  <w:r>
                    <w:rPr>
                      <w:rFonts w:ascii="Times New Roman" w:hAnsi="Times New Roman" w:eastAsia="Times New Roman" w:cs="Times New Roman"/>
                      <w:sz w:val="18"/>
                      <w:szCs w:val="18"/>
                      <w:spacing w:val="2"/>
                      <w:position w:val="2"/>
                    </w:rPr>
                    <w:t>303</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47"/>
          <w:footerReference w:type="default" r:id="rId3"/>
          <w:pgSz w:w="11907" w:h="16840"/>
          <w:pgMar w:top="1567" w:right="1684" w:bottom="400" w:left="1683" w:header="1221" w:footer="0" w:gutter="0"/>
        </w:sectPr>
        <w:rPr>
          <w:rFonts w:ascii="SimSun" w:hAnsi="SimSun" w:eastAsia="SimSun" w:cs="SimSun"/>
          <w:sz w:val="19"/>
          <w:szCs w:val="19"/>
        </w:rPr>
      </w:pPr>
    </w:p>
    <w:p>
      <w:pPr>
        <w:pStyle w:val="BodyText"/>
        <w:spacing w:line="410" w:lineRule="auto"/>
        <w:rPr/>
      </w:pPr>
      <w:r>
        <w:pict>
          <v:shape id="_x0000_s1348" style="position:absolute;margin-left:0pt;margin-top:0.503479pt;mso-position-vertical-relative:text;mso-position-horizontal-relative:text;width:425.25pt;height:0.75pt;z-index:252414976;" fillcolor="#000000" filled="true" stroked="false" coordsize="8505,15" coordorigin="0,0" path="m,l8505,0l8505,14l0,14l0,0xe"/>
        </w:pict>
      </w:r>
      <w:r/>
    </w:p>
    <w:p>
      <w:pPr>
        <w:ind w:left="42"/>
        <w:spacing w:before="114" w:line="231" w:lineRule="auto"/>
        <w:outlineLvl w:val="0"/>
        <w:rPr>
          <w:rFonts w:ascii="SimHei" w:hAnsi="SimHei" w:eastAsia="SimHei" w:cs="SimHei"/>
          <w:sz w:val="35"/>
          <w:szCs w:val="35"/>
        </w:rPr>
      </w:pPr>
      <w:bookmarkStart w:name="bookmark195" w:id="230"/>
      <w:bookmarkEnd w:id="230"/>
      <w:bookmarkStart w:name="bookmark196" w:id="231"/>
      <w:bookmarkEnd w:id="231"/>
      <w:r>
        <w:rPr>
          <w:rFonts w:ascii="Times New Roman" w:hAnsi="Times New Roman" w:eastAsia="Times New Roman" w:cs="Times New Roman"/>
          <w:sz w:val="35"/>
          <w:szCs w:val="35"/>
          <w:spacing w:val="-7"/>
        </w:rPr>
        <w:t>10</w:t>
      </w:r>
      <w:r>
        <w:rPr>
          <w:rFonts w:ascii="Times New Roman" w:hAnsi="Times New Roman" w:eastAsia="Times New Roman" w:cs="Times New Roman"/>
          <w:sz w:val="35"/>
          <w:szCs w:val="35"/>
          <w:spacing w:val="16"/>
        </w:rPr>
        <w:t xml:space="preserve"> </w:t>
      </w:r>
      <w:r>
        <w:rPr>
          <w:rFonts w:ascii="SimHei" w:hAnsi="SimHei" w:eastAsia="SimHei" w:cs="SimHei"/>
          <w:sz w:val="35"/>
          <w:szCs w:val="35"/>
          <w:spacing w:val="-7"/>
        </w:rPr>
        <w:t>结论</w:t>
      </w:r>
    </w:p>
    <w:p>
      <w:pPr>
        <w:ind w:left="35"/>
        <w:spacing w:before="253" w:line="221" w:lineRule="auto"/>
        <w:outlineLvl w:val="1"/>
        <w:rPr>
          <w:rFonts w:ascii="SimHei" w:hAnsi="SimHei" w:eastAsia="SimHei" w:cs="SimHei"/>
          <w:sz w:val="30"/>
          <w:szCs w:val="30"/>
        </w:rPr>
      </w:pPr>
      <w:bookmarkStart w:name="bookmark249" w:id="232"/>
      <w:bookmarkEnd w:id="232"/>
      <w:r>
        <w:rPr>
          <w:rFonts w:ascii="Times New Roman" w:hAnsi="Times New Roman" w:eastAsia="Times New Roman" w:cs="Times New Roman"/>
          <w:sz w:val="30"/>
          <w:szCs w:val="30"/>
          <w:spacing w:val="-4"/>
        </w:rPr>
        <w:t>10.1 </w:t>
      </w:r>
      <w:r>
        <w:rPr>
          <w:rFonts w:ascii="SimHei" w:hAnsi="SimHei" w:eastAsia="SimHei" w:cs="SimHei"/>
          <w:sz w:val="30"/>
          <w:szCs w:val="30"/>
          <w:spacing w:val="-4"/>
        </w:rPr>
        <w:t>项目概况</w:t>
      </w:r>
    </w:p>
    <w:p>
      <w:pPr>
        <w:ind w:left="8" w:right="59" w:firstLine="510"/>
        <w:spacing w:before="216" w:line="359" w:lineRule="auto"/>
        <w:jc w:val="both"/>
        <w:rPr>
          <w:rFonts w:ascii="SimSun" w:hAnsi="SimSun" w:eastAsia="SimSun" w:cs="SimSun"/>
          <w:sz w:val="24"/>
          <w:szCs w:val="24"/>
        </w:rPr>
      </w:pPr>
      <w:r>
        <w:rPr>
          <w:rFonts w:ascii="SimSun" w:hAnsi="SimSun" w:eastAsia="SimSun" w:cs="SimSun"/>
          <w:sz w:val="24"/>
          <w:szCs w:val="24"/>
          <w:spacing w:val="2"/>
        </w:rPr>
        <w:t>内蒙古源浩羊绒制品有限公司废弃物高效循环利用项目拟建厂址位于</w:t>
      </w:r>
      <w:r>
        <w:rPr>
          <w:rFonts w:ascii="SimSun" w:hAnsi="SimSun" w:eastAsia="SimSun" w:cs="SimSun"/>
          <w:sz w:val="24"/>
          <w:szCs w:val="24"/>
          <w:spacing w:val="1"/>
        </w:rPr>
        <w:t>内蒙古</w:t>
      </w:r>
      <w:r>
        <w:rPr>
          <w:rFonts w:ascii="SimSun" w:hAnsi="SimSun" w:eastAsia="SimSun" w:cs="SimSun"/>
          <w:sz w:val="24"/>
          <w:szCs w:val="24"/>
        </w:rPr>
        <w:t xml:space="preserve"> </w:t>
      </w:r>
      <w:r>
        <w:rPr>
          <w:rFonts w:ascii="SimSun" w:hAnsi="SimSun" w:eastAsia="SimSun" w:cs="SimSun"/>
          <w:sz w:val="24"/>
          <w:szCs w:val="24"/>
          <w:spacing w:val="2"/>
        </w:rPr>
        <w:t>自治区锡林郭勒盟正镶白旗明安图镇乌宁巴图西街，建设洗毛生产线</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2 </w:t>
      </w:r>
      <w:r>
        <w:rPr>
          <w:rFonts w:ascii="SimSun" w:hAnsi="SimSun" w:eastAsia="SimSun" w:cs="SimSun"/>
          <w:sz w:val="24"/>
          <w:szCs w:val="24"/>
          <w:spacing w:val="2"/>
        </w:rPr>
        <w:t>条（年产</w:t>
      </w:r>
      <w:r>
        <w:rPr>
          <w:rFonts w:ascii="SimSun" w:hAnsi="SimSun" w:eastAsia="SimSun" w:cs="SimSun"/>
          <w:sz w:val="24"/>
          <w:szCs w:val="24"/>
        </w:rPr>
        <w:t xml:space="preserve"> </w:t>
      </w:r>
      <w:r>
        <w:rPr>
          <w:rFonts w:ascii="SimSun" w:hAnsi="SimSun" w:eastAsia="SimSun" w:cs="SimSun"/>
          <w:sz w:val="24"/>
          <w:szCs w:val="24"/>
          <w:spacing w:val="-5"/>
        </w:rPr>
        <w:t>洗净毛</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万吨）、梳绒生产线</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5"/>
        </w:rPr>
        <w:t>5 </w:t>
      </w:r>
      <w:r>
        <w:rPr>
          <w:rFonts w:ascii="SimSun" w:hAnsi="SimSun" w:eastAsia="SimSun" w:cs="SimSun"/>
          <w:sz w:val="24"/>
          <w:szCs w:val="24"/>
          <w:spacing w:val="-5"/>
        </w:rPr>
        <w:t>条（年产无毛绒</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300</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5"/>
        </w:rPr>
        <w:t>吨），配套建设</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 </w:t>
      </w:r>
      <w:r>
        <w:rPr>
          <w:rFonts w:ascii="SimSun" w:hAnsi="SimSun" w:eastAsia="SimSun" w:cs="SimSun"/>
          <w:sz w:val="24"/>
          <w:szCs w:val="24"/>
          <w:spacing w:val="-5"/>
        </w:rPr>
        <w:t>套厌氧发</w:t>
      </w:r>
      <w:r>
        <w:rPr>
          <w:rFonts w:ascii="SimSun" w:hAnsi="SimSun" w:eastAsia="SimSun" w:cs="SimSun"/>
          <w:sz w:val="24"/>
          <w:szCs w:val="24"/>
        </w:rPr>
        <w:t xml:space="preserve"> </w:t>
      </w:r>
      <w:r>
        <w:rPr>
          <w:rFonts w:ascii="SimSun" w:hAnsi="SimSun" w:eastAsia="SimSun" w:cs="SimSun"/>
          <w:sz w:val="24"/>
          <w:szCs w:val="24"/>
          <w:spacing w:val="3"/>
        </w:rPr>
        <w:t>酵装置对洗毛车间产生的废水进行资源化利用，产生的沼</w:t>
      </w:r>
      <w:r>
        <w:rPr>
          <w:rFonts w:ascii="SimSun" w:hAnsi="SimSun" w:eastAsia="SimSun" w:cs="SimSun"/>
          <w:sz w:val="24"/>
          <w:szCs w:val="24"/>
          <w:spacing w:val="2"/>
        </w:rPr>
        <w:t>气全部作为本次建设的</w:t>
      </w:r>
      <w:r>
        <w:rPr>
          <w:rFonts w:ascii="SimSun" w:hAnsi="SimSun" w:eastAsia="SimSun" w:cs="SimSun"/>
          <w:sz w:val="24"/>
          <w:szCs w:val="24"/>
        </w:rPr>
        <w:t xml:space="preserve"> </w:t>
      </w:r>
      <w:r>
        <w:rPr>
          <w:rFonts w:ascii="SimSun" w:hAnsi="SimSun" w:eastAsia="SimSun" w:cs="SimSun"/>
          <w:sz w:val="24"/>
          <w:szCs w:val="24"/>
          <w:spacing w:val="2"/>
        </w:rPr>
        <w:t>沼气锅炉燃料，沼渣和沼液作为有机肥产品还</w:t>
      </w:r>
      <w:r>
        <w:rPr>
          <w:rFonts w:ascii="SimSun" w:hAnsi="SimSun" w:eastAsia="SimSun" w:cs="SimSun"/>
          <w:sz w:val="24"/>
          <w:szCs w:val="24"/>
          <w:spacing w:val="1"/>
        </w:rPr>
        <w:t>田利用（自用</w:t>
      </w:r>
      <w:r>
        <w:rPr>
          <w:rFonts w:ascii="SimSun" w:hAnsi="SimSun" w:eastAsia="SimSun" w:cs="SimSun"/>
          <w:sz w:val="24"/>
          <w:szCs w:val="24"/>
          <w:spacing w:val="21"/>
        </w:rPr>
        <w:t>），</w:t>
      </w:r>
      <w:r>
        <w:rPr>
          <w:rFonts w:ascii="SimSun" w:hAnsi="SimSun" w:eastAsia="SimSun" w:cs="SimSun"/>
          <w:sz w:val="24"/>
          <w:szCs w:val="24"/>
          <w:spacing w:val="1"/>
        </w:rPr>
        <w:t>同时配套建设公</w:t>
      </w:r>
      <w:r>
        <w:rPr>
          <w:rFonts w:ascii="SimSun" w:hAnsi="SimSun" w:eastAsia="SimSun" w:cs="SimSun"/>
          <w:sz w:val="24"/>
          <w:szCs w:val="24"/>
        </w:rPr>
        <w:t xml:space="preserve"> </w:t>
      </w:r>
      <w:r>
        <w:rPr>
          <w:rFonts w:ascii="SimSun" w:hAnsi="SimSun" w:eastAsia="SimSun" w:cs="SimSun"/>
          <w:sz w:val="24"/>
          <w:szCs w:val="24"/>
          <w:spacing w:val="-3"/>
        </w:rPr>
        <w:t>辅设施。</w:t>
      </w:r>
    </w:p>
    <w:p>
      <w:pPr>
        <w:ind w:left="13" w:right="101" w:firstLine="477"/>
        <w:spacing w:line="360" w:lineRule="auto"/>
        <w:rPr>
          <w:rFonts w:ascii="SimSun" w:hAnsi="SimSun" w:eastAsia="SimSun" w:cs="SimSun"/>
          <w:sz w:val="24"/>
          <w:szCs w:val="24"/>
        </w:rPr>
      </w:pPr>
      <w:r>
        <w:rPr>
          <w:rFonts w:ascii="SimSun" w:hAnsi="SimSun" w:eastAsia="SimSun" w:cs="SimSun"/>
          <w:sz w:val="24"/>
          <w:szCs w:val="24"/>
          <w:spacing w:val="-4"/>
        </w:rPr>
        <w:t>本项目总投资为</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4"/>
        </w:rPr>
        <w:t>4000</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4"/>
        </w:rPr>
        <w:t>万元，环保投资为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306</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万元，</w:t>
      </w:r>
      <w:r>
        <w:rPr>
          <w:rFonts w:ascii="SimSun" w:hAnsi="SimSun" w:eastAsia="SimSun" w:cs="SimSun"/>
          <w:sz w:val="24"/>
          <w:szCs w:val="24"/>
          <w:spacing w:val="-72"/>
        </w:rPr>
        <w:t xml:space="preserve"> </w:t>
      </w:r>
      <w:r>
        <w:rPr>
          <w:rFonts w:ascii="SimSun" w:hAnsi="SimSun" w:eastAsia="SimSun" w:cs="SimSun"/>
          <w:sz w:val="24"/>
          <w:szCs w:val="24"/>
          <w:spacing w:val="-4"/>
        </w:rPr>
        <w:t>占总投资比例为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4"/>
        </w:rPr>
        <w:t>7.65%</w:t>
      </w:r>
      <w:r>
        <w:rPr>
          <w:rFonts w:ascii="SimSun" w:hAnsi="SimSun" w:eastAsia="SimSun" w:cs="SimSun"/>
          <w:sz w:val="24"/>
          <w:szCs w:val="24"/>
          <w:spacing w:val="-4"/>
        </w:rPr>
        <w:t>。</w:t>
      </w:r>
      <w:r>
        <w:rPr>
          <w:rFonts w:ascii="SimSun" w:hAnsi="SimSun" w:eastAsia="SimSun" w:cs="SimSun"/>
          <w:sz w:val="24"/>
          <w:szCs w:val="24"/>
        </w:rPr>
        <w:t xml:space="preserve"> </w:t>
      </w:r>
      <w:r>
        <w:rPr>
          <w:rFonts w:ascii="SimSun" w:hAnsi="SimSun" w:eastAsia="SimSun" w:cs="SimSun"/>
          <w:sz w:val="24"/>
          <w:szCs w:val="24"/>
          <w:spacing w:val="-2"/>
        </w:rPr>
        <w:t>项目建设期</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24 </w:t>
      </w:r>
      <w:r>
        <w:rPr>
          <w:rFonts w:ascii="SimSun" w:hAnsi="SimSun" w:eastAsia="SimSun" w:cs="SimSun"/>
          <w:sz w:val="24"/>
          <w:szCs w:val="24"/>
          <w:spacing w:val="-2"/>
        </w:rPr>
        <w:t>个月。</w:t>
      </w:r>
    </w:p>
    <w:p>
      <w:pPr>
        <w:ind w:left="35"/>
        <w:spacing w:before="160" w:line="222" w:lineRule="auto"/>
        <w:outlineLvl w:val="1"/>
        <w:rPr>
          <w:rFonts w:ascii="SimHei" w:hAnsi="SimHei" w:eastAsia="SimHei" w:cs="SimHei"/>
          <w:sz w:val="30"/>
          <w:szCs w:val="30"/>
        </w:rPr>
      </w:pPr>
      <w:bookmarkStart w:name="bookmark197" w:id="233"/>
      <w:bookmarkEnd w:id="233"/>
      <w:r>
        <w:rPr>
          <w:rFonts w:ascii="Times New Roman" w:hAnsi="Times New Roman" w:eastAsia="Times New Roman" w:cs="Times New Roman"/>
          <w:sz w:val="30"/>
          <w:szCs w:val="30"/>
          <w:spacing w:val="-2"/>
        </w:rPr>
        <w:t>10.2 </w:t>
      </w:r>
      <w:r>
        <w:rPr>
          <w:rFonts w:ascii="SimHei" w:hAnsi="SimHei" w:eastAsia="SimHei" w:cs="SimHei"/>
          <w:sz w:val="30"/>
          <w:szCs w:val="30"/>
          <w:spacing w:val="-2"/>
        </w:rPr>
        <w:t>产业政策符合性及选址合理性分析</w:t>
      </w:r>
    </w:p>
    <w:p>
      <w:pPr>
        <w:pStyle w:val="BodyText"/>
        <w:spacing w:line="294" w:lineRule="auto"/>
        <w:rPr/>
      </w:pPr>
      <w:r/>
    </w:p>
    <w:p>
      <w:pPr>
        <w:ind w:left="9" w:firstLine="480"/>
        <w:spacing w:before="79" w:line="359" w:lineRule="auto"/>
        <w:jc w:val="both"/>
        <w:rPr>
          <w:rFonts w:ascii="SimSun" w:hAnsi="SimSun" w:eastAsia="SimSun" w:cs="SimSun"/>
          <w:sz w:val="24"/>
          <w:szCs w:val="24"/>
        </w:rPr>
      </w:pPr>
      <w:r>
        <w:rPr>
          <w:rFonts w:ascii="SimSun" w:hAnsi="SimSun" w:eastAsia="SimSun" w:cs="SimSun"/>
          <w:sz w:val="24"/>
          <w:szCs w:val="24"/>
          <w:spacing w:val="1"/>
        </w:rPr>
        <w:t>根据《产业结构调整指导目录（</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年本）》，本项目洗毛生产线</w:t>
      </w:r>
      <w:r>
        <w:rPr>
          <w:rFonts w:ascii="SimSun" w:hAnsi="SimSun" w:eastAsia="SimSun" w:cs="SimSun"/>
          <w:sz w:val="24"/>
          <w:szCs w:val="24"/>
        </w:rPr>
        <w:t>不属于目 </w:t>
      </w:r>
      <w:r>
        <w:rPr>
          <w:rFonts w:ascii="SimSun" w:hAnsi="SimSun" w:eastAsia="SimSun" w:cs="SimSun"/>
          <w:sz w:val="24"/>
          <w:szCs w:val="24"/>
        </w:rPr>
        <w:t>录中“第二类</w:t>
      </w:r>
      <w:r>
        <w:rPr>
          <w:rFonts w:ascii="SimSun" w:hAnsi="SimSun" w:eastAsia="SimSun" w:cs="SimSun"/>
          <w:sz w:val="24"/>
          <w:szCs w:val="24"/>
          <w:spacing w:val="31"/>
        </w:rPr>
        <w:t xml:space="preserve"> </w:t>
      </w:r>
      <w:r>
        <w:rPr>
          <w:rFonts w:ascii="SimSun" w:hAnsi="SimSun" w:eastAsia="SimSun" w:cs="SimSun"/>
          <w:sz w:val="24"/>
          <w:szCs w:val="24"/>
        </w:rPr>
        <w:t>限制类，十三、纺织，</w:t>
      </w:r>
      <w:r>
        <w:rPr>
          <w:rFonts w:ascii="Times New Roman" w:hAnsi="Times New Roman" w:eastAsia="Times New Roman" w:cs="Times New Roman"/>
          <w:sz w:val="24"/>
          <w:szCs w:val="24"/>
        </w:rPr>
        <w:t>14</w:t>
      </w:r>
      <w:r>
        <w:rPr>
          <w:rFonts w:ascii="Times New Roman" w:hAnsi="Times New Roman" w:eastAsia="Times New Roman" w:cs="Times New Roman"/>
          <w:sz w:val="24"/>
          <w:szCs w:val="24"/>
          <w:spacing w:val="-29"/>
        </w:rPr>
        <w:t xml:space="preserve"> </w:t>
      </w:r>
      <w:r>
        <w:rPr>
          <w:rFonts w:ascii="SimSun" w:hAnsi="SimSun" w:eastAsia="SimSun" w:cs="SimSun"/>
          <w:sz w:val="24"/>
          <w:szCs w:val="24"/>
        </w:rPr>
        <w:t>、吨原毛洗毛用水超过</w:t>
      </w:r>
      <w:r>
        <w:rPr>
          <w:rFonts w:ascii="SimSun" w:hAnsi="SimSun" w:eastAsia="SimSun" w:cs="SimSun"/>
          <w:sz w:val="24"/>
          <w:szCs w:val="24"/>
          <w:spacing w:val="-53"/>
        </w:rPr>
        <w:t xml:space="preserve"> </w:t>
      </w:r>
      <w:r>
        <w:rPr>
          <w:rFonts w:ascii="Times New Roman" w:hAnsi="Times New Roman" w:eastAsia="Times New Roman" w:cs="Times New Roman"/>
          <w:sz w:val="24"/>
          <w:szCs w:val="24"/>
        </w:rPr>
        <w:t>20</w:t>
      </w:r>
      <w:r>
        <w:rPr>
          <w:rFonts w:ascii="Times New Roman" w:hAnsi="Times New Roman" w:eastAsia="Times New Roman" w:cs="Times New Roman"/>
          <w:sz w:val="24"/>
          <w:szCs w:val="24"/>
          <w:spacing w:val="23"/>
          <w:w w:val="101"/>
        </w:rPr>
        <w:t xml:space="preserve"> </w:t>
      </w:r>
      <w:r>
        <w:rPr>
          <w:rFonts w:ascii="SimSun" w:hAnsi="SimSun" w:eastAsia="SimSun" w:cs="SimSun"/>
          <w:sz w:val="24"/>
          <w:szCs w:val="24"/>
        </w:rPr>
        <w:t>吨的洗毛工艺 </w:t>
      </w:r>
      <w:r>
        <w:rPr>
          <w:rFonts w:ascii="SimSun" w:hAnsi="SimSun" w:eastAsia="SimSun" w:cs="SimSun"/>
          <w:sz w:val="24"/>
          <w:szCs w:val="24"/>
          <w:spacing w:val="2"/>
        </w:rPr>
        <w:t>与设备</w:t>
      </w:r>
      <w:r>
        <w:rPr>
          <w:rFonts w:ascii="SimSun" w:hAnsi="SimSun" w:eastAsia="SimSun" w:cs="SimSun"/>
          <w:sz w:val="24"/>
          <w:szCs w:val="24"/>
          <w:spacing w:val="-88"/>
        </w:rPr>
        <w:t xml:space="preserve"> </w:t>
      </w:r>
      <w:r>
        <w:rPr>
          <w:rFonts w:ascii="SimSun" w:hAnsi="SimSun" w:eastAsia="SimSun" w:cs="SimSun"/>
          <w:sz w:val="24"/>
          <w:szCs w:val="24"/>
          <w:spacing w:val="2"/>
        </w:rPr>
        <w:t>”和淘汰类，属于允许类；梳绒生产线及燃气锅炉建设不</w:t>
      </w:r>
      <w:r>
        <w:rPr>
          <w:rFonts w:ascii="SimSun" w:hAnsi="SimSun" w:eastAsia="SimSun" w:cs="SimSun"/>
          <w:sz w:val="24"/>
          <w:szCs w:val="24"/>
          <w:spacing w:val="1"/>
        </w:rPr>
        <w:t>属于目录中的限</w:t>
      </w:r>
      <w:r>
        <w:rPr>
          <w:rFonts w:ascii="SimSun" w:hAnsi="SimSun" w:eastAsia="SimSun" w:cs="SimSun"/>
          <w:sz w:val="24"/>
          <w:szCs w:val="24"/>
        </w:rPr>
        <w:t xml:space="preserve"> </w:t>
      </w:r>
      <w:r>
        <w:rPr>
          <w:rFonts w:ascii="SimSun" w:hAnsi="SimSun" w:eastAsia="SimSun" w:cs="SimSun"/>
          <w:sz w:val="24"/>
          <w:szCs w:val="24"/>
          <w:spacing w:val="-1"/>
        </w:rPr>
        <w:t>制类和淘汰类，属于允许类；厌氧发酵生产线属于“第一类 鼓励类，一、农林牧</w:t>
      </w:r>
      <w:r>
        <w:rPr>
          <w:rFonts w:ascii="SimSun" w:hAnsi="SimSun" w:eastAsia="SimSun" w:cs="SimSun"/>
          <w:sz w:val="24"/>
          <w:szCs w:val="24"/>
          <w:spacing w:val="8"/>
        </w:rPr>
        <w:t xml:space="preserve"> </w:t>
      </w:r>
      <w:r>
        <w:rPr>
          <w:rFonts w:ascii="SimSun" w:hAnsi="SimSun" w:eastAsia="SimSun" w:cs="SimSun"/>
          <w:sz w:val="24"/>
          <w:szCs w:val="24"/>
          <w:spacing w:val="-1"/>
        </w:rPr>
        <w:t>渔业，</w:t>
      </w:r>
      <w:r>
        <w:rPr>
          <w:rFonts w:ascii="Times New Roman" w:hAnsi="Times New Roman" w:eastAsia="Times New Roman" w:cs="Times New Roman"/>
          <w:sz w:val="24"/>
          <w:szCs w:val="24"/>
          <w:spacing w:val="-1"/>
        </w:rPr>
        <w:t>13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、绿色农业</w:t>
      </w:r>
      <w:r>
        <w:rPr>
          <w:rFonts w:ascii="Times New Roman" w:hAnsi="Times New Roman" w:eastAsia="Times New Roman" w:cs="Times New Roman"/>
          <w:sz w:val="24"/>
          <w:szCs w:val="24"/>
          <w:spacing w:val="-1"/>
        </w:rPr>
        <w:t>......</w:t>
      </w:r>
      <w:r>
        <w:rPr>
          <w:rFonts w:ascii="SimSun" w:hAnsi="SimSun" w:eastAsia="SimSun" w:cs="SimSun"/>
          <w:sz w:val="24"/>
          <w:szCs w:val="24"/>
          <w:spacing w:val="-1"/>
        </w:rPr>
        <w:t>有机废弃物无害化、价值化</w:t>
      </w:r>
      <w:r>
        <w:rPr>
          <w:rFonts w:ascii="SimSun" w:hAnsi="SimSun" w:eastAsia="SimSun" w:cs="SimSun"/>
          <w:sz w:val="24"/>
          <w:szCs w:val="24"/>
          <w:spacing w:val="-2"/>
        </w:rPr>
        <w:t>处理及有机肥料产业化技术开</w:t>
      </w:r>
      <w:r>
        <w:rPr>
          <w:rFonts w:ascii="SimSun" w:hAnsi="SimSun" w:eastAsia="SimSun" w:cs="SimSun"/>
          <w:sz w:val="24"/>
          <w:szCs w:val="24"/>
        </w:rPr>
        <w:t xml:space="preserve"> </w:t>
      </w:r>
      <w:r>
        <w:rPr>
          <w:rFonts w:ascii="SimSun" w:hAnsi="SimSun" w:eastAsia="SimSun" w:cs="SimSun"/>
          <w:sz w:val="24"/>
          <w:szCs w:val="24"/>
          <w:spacing w:val="1"/>
        </w:rPr>
        <w:t>发与应</w:t>
      </w:r>
      <w:r>
        <w:rPr>
          <w:rFonts w:ascii="Times New Roman" w:hAnsi="Times New Roman" w:eastAsia="Times New Roman" w:cs="Times New Roman"/>
          <w:sz w:val="24"/>
          <w:szCs w:val="24"/>
          <w:spacing w:val="1"/>
        </w:rPr>
        <w:t>......17</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1"/>
        </w:rPr>
        <w:t>、可再生资源综合利用</w:t>
      </w:r>
      <w:r>
        <w:rPr>
          <w:rFonts w:ascii="Times New Roman" w:hAnsi="Times New Roman" w:eastAsia="Times New Roman" w:cs="Times New Roman"/>
          <w:sz w:val="24"/>
          <w:szCs w:val="24"/>
          <w:spacing w:val="1"/>
        </w:rPr>
        <w:t>......</w:t>
      </w:r>
      <w:r>
        <w:rPr>
          <w:rFonts w:ascii="SimSun" w:hAnsi="SimSun" w:eastAsia="SimSun" w:cs="SimSun"/>
          <w:sz w:val="24"/>
          <w:szCs w:val="24"/>
          <w:spacing w:val="1"/>
        </w:rPr>
        <w:t>农村可再生资源综合利用开发工程（沼气</w:t>
      </w:r>
      <w:r>
        <w:rPr>
          <w:rFonts w:ascii="SimSun" w:hAnsi="SimSun" w:eastAsia="SimSun" w:cs="SimSun"/>
          <w:sz w:val="24"/>
          <w:szCs w:val="24"/>
        </w:rPr>
        <w:t xml:space="preserve"> </w:t>
      </w:r>
      <w:r>
        <w:rPr>
          <w:rFonts w:ascii="SimSun" w:hAnsi="SimSun" w:eastAsia="SimSun" w:cs="SimSun"/>
          <w:sz w:val="24"/>
          <w:szCs w:val="24"/>
          <w:spacing w:val="-2"/>
        </w:rPr>
        <w:t>工程</w:t>
      </w:r>
      <w:r>
        <w:rPr>
          <w:rFonts w:ascii="Times New Roman" w:hAnsi="Times New Roman" w:eastAsia="Times New Roman" w:cs="Times New Roman"/>
          <w:sz w:val="24"/>
          <w:szCs w:val="24"/>
          <w:spacing w:val="-2"/>
        </w:rPr>
        <w:t>......</w:t>
      </w:r>
      <w:r>
        <w:rPr>
          <w:rFonts w:ascii="SimSun" w:hAnsi="SimSun" w:eastAsia="SimSun" w:cs="SimSun"/>
          <w:sz w:val="24"/>
          <w:szCs w:val="24"/>
          <w:spacing w:val="-2"/>
        </w:rPr>
        <w:t>再生资源综合利用</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2"/>
        </w:rPr>
        <w:t>），四十二、环境保护与资源节约综合利用，</w:t>
      </w:r>
      <w:r>
        <w:rPr>
          <w:rFonts w:ascii="Times New Roman" w:hAnsi="Times New Roman" w:eastAsia="Times New Roman" w:cs="Times New Roman"/>
          <w:sz w:val="24"/>
          <w:szCs w:val="24"/>
          <w:spacing w:val="-2"/>
        </w:rPr>
        <w:t>8</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、废</w:t>
      </w:r>
      <w:r>
        <w:rPr>
          <w:rFonts w:ascii="SimSun" w:hAnsi="SimSun" w:eastAsia="SimSun" w:cs="SimSun"/>
          <w:sz w:val="24"/>
          <w:szCs w:val="24"/>
        </w:rPr>
        <w:t xml:space="preserve"> </w:t>
      </w:r>
      <w:r>
        <w:rPr>
          <w:rFonts w:ascii="SimSun" w:hAnsi="SimSun" w:eastAsia="SimSun" w:cs="SimSun"/>
          <w:sz w:val="24"/>
          <w:szCs w:val="24"/>
          <w:spacing w:val="-1"/>
        </w:rPr>
        <w:t>弃物循环利用</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36"/>
        </w:rPr>
        <w:t xml:space="preserve"> </w:t>
      </w:r>
      <w:r>
        <w:rPr>
          <w:rFonts w:ascii="SimSun" w:hAnsi="SimSun" w:eastAsia="SimSun" w:cs="SimSun"/>
          <w:sz w:val="24"/>
          <w:szCs w:val="24"/>
          <w:spacing w:val="-1"/>
        </w:rPr>
        <w:t>畜禽粪污</w:t>
      </w:r>
      <w:r>
        <w:rPr>
          <w:rFonts w:ascii="Times New Roman" w:hAnsi="Times New Roman" w:eastAsia="Times New Roman" w:cs="Times New Roman"/>
          <w:sz w:val="24"/>
          <w:szCs w:val="24"/>
          <w:spacing w:val="-1"/>
        </w:rPr>
        <w:t>......</w:t>
      </w:r>
      <w:r>
        <w:rPr>
          <w:rFonts w:ascii="SimSun" w:hAnsi="SimSun" w:eastAsia="SimSun" w:cs="SimSun"/>
          <w:sz w:val="24"/>
          <w:szCs w:val="24"/>
          <w:spacing w:val="-1"/>
        </w:rPr>
        <w:t>等农林废弃物循环利用，生物质能技术装备（</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2"/>
        </w:rPr>
        <w:t>..</w:t>
      </w:r>
      <w:r>
        <w:rPr>
          <w:rFonts w:ascii="SimSun" w:hAnsi="SimSun" w:eastAsia="SimSun" w:cs="SimSun"/>
          <w:sz w:val="24"/>
          <w:szCs w:val="24"/>
          <w:spacing w:val="-2"/>
        </w:rPr>
        <w:t>沼</w:t>
      </w:r>
      <w:r>
        <w:rPr>
          <w:rFonts w:ascii="SimSun" w:hAnsi="SimSun" w:eastAsia="SimSun" w:cs="SimSun"/>
          <w:sz w:val="24"/>
          <w:szCs w:val="24"/>
        </w:rPr>
        <w:t xml:space="preserve"> </w:t>
      </w:r>
      <w:r>
        <w:rPr>
          <w:rFonts w:ascii="SimSun" w:hAnsi="SimSun" w:eastAsia="SimSun" w:cs="SimSun"/>
          <w:sz w:val="24"/>
          <w:szCs w:val="24"/>
          <w:spacing w:val="-2"/>
        </w:rPr>
        <w:t>气）”；本次建设的生物质锅炉（</w:t>
      </w:r>
      <w:r>
        <w:rPr>
          <w:rFonts w:ascii="Times New Roman" w:hAnsi="Times New Roman" w:eastAsia="Times New Roman" w:cs="Times New Roman"/>
          <w:sz w:val="24"/>
          <w:szCs w:val="24"/>
          <w:spacing w:val="-2"/>
        </w:rPr>
        <w:t>6t/h</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2"/>
        </w:rPr>
        <w:t>，自动链条炉排）不属于目录中的“第二类</w:t>
      </w:r>
      <w:r>
        <w:rPr>
          <w:rFonts w:ascii="SimSun" w:hAnsi="SimSun" w:eastAsia="SimSun" w:cs="SimSun"/>
          <w:sz w:val="24"/>
          <w:szCs w:val="24"/>
        </w:rPr>
        <w:t xml:space="preserve"> </w:t>
      </w:r>
      <w:r>
        <w:rPr>
          <w:rFonts w:ascii="SimSun" w:hAnsi="SimSun" w:eastAsia="SimSun" w:cs="SimSun"/>
          <w:sz w:val="24"/>
          <w:szCs w:val="24"/>
          <w:spacing w:val="-3"/>
        </w:rPr>
        <w:t>限制类，十一、机械，</w:t>
      </w:r>
      <w:r>
        <w:rPr>
          <w:rFonts w:ascii="Times New Roman" w:hAnsi="Times New Roman" w:eastAsia="Times New Roman" w:cs="Times New Roman"/>
          <w:sz w:val="24"/>
          <w:szCs w:val="24"/>
          <w:spacing w:val="-3"/>
        </w:rPr>
        <w:t>57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、每小时</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35 </w:t>
      </w:r>
      <w:r>
        <w:rPr>
          <w:rFonts w:ascii="SimSun" w:hAnsi="SimSun" w:eastAsia="SimSun" w:cs="SimSun"/>
          <w:sz w:val="24"/>
          <w:szCs w:val="24"/>
          <w:spacing w:val="-3"/>
        </w:rPr>
        <w:t>蒸吨及以下固定炉排式生物质锅炉</w:t>
      </w:r>
      <w:r>
        <w:rPr>
          <w:rFonts w:ascii="SimSun" w:hAnsi="SimSun" w:eastAsia="SimSun" w:cs="SimSun"/>
          <w:sz w:val="24"/>
          <w:szCs w:val="24"/>
          <w:spacing w:val="-88"/>
        </w:rPr>
        <w:t xml:space="preserve"> </w:t>
      </w:r>
      <w:r>
        <w:rPr>
          <w:rFonts w:ascii="SimSun" w:hAnsi="SimSun" w:eastAsia="SimSun" w:cs="SimSun"/>
          <w:sz w:val="24"/>
          <w:szCs w:val="24"/>
          <w:spacing w:val="-3"/>
        </w:rPr>
        <w:t>”、“第</w:t>
      </w:r>
      <w:r>
        <w:rPr>
          <w:rFonts w:ascii="SimSun" w:hAnsi="SimSun" w:eastAsia="SimSun" w:cs="SimSun"/>
          <w:sz w:val="24"/>
          <w:szCs w:val="24"/>
        </w:rPr>
        <w:t xml:space="preserve"> </w:t>
      </w:r>
      <w:r>
        <w:rPr>
          <w:rFonts w:ascii="SimSun" w:hAnsi="SimSun" w:eastAsia="SimSun" w:cs="SimSun"/>
          <w:sz w:val="24"/>
          <w:szCs w:val="24"/>
          <w:spacing w:val="-10"/>
        </w:rPr>
        <w:t>三类 淘汰类，二、落后产品</w:t>
      </w:r>
      <w:r>
        <w:rPr>
          <w:rFonts w:ascii="SimSun" w:hAnsi="SimSun" w:eastAsia="SimSun" w:cs="SimSun"/>
          <w:sz w:val="24"/>
          <w:szCs w:val="24"/>
          <w:spacing w:val="-63"/>
        </w:rPr>
        <w:t>，（</w:t>
      </w:r>
      <w:r>
        <w:rPr>
          <w:rFonts w:ascii="SimSun" w:hAnsi="SimSun" w:eastAsia="SimSun" w:cs="SimSun"/>
          <w:sz w:val="24"/>
          <w:szCs w:val="24"/>
          <w:spacing w:val="-10"/>
        </w:rPr>
        <w:t>七）机械，</w:t>
      </w:r>
      <w:r>
        <w:rPr>
          <w:rFonts w:ascii="Times New Roman" w:hAnsi="Times New Roman" w:eastAsia="Times New Roman" w:cs="Times New Roman"/>
          <w:sz w:val="24"/>
          <w:szCs w:val="24"/>
          <w:spacing w:val="-10"/>
        </w:rPr>
        <w:t>66</w:t>
      </w:r>
      <w:r>
        <w:rPr>
          <w:rFonts w:ascii="SimSun" w:hAnsi="SimSun" w:eastAsia="SimSun" w:cs="SimSun"/>
          <w:sz w:val="24"/>
          <w:szCs w:val="24"/>
          <w:spacing w:val="-10"/>
        </w:rPr>
        <w:t>、每小时</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0"/>
        </w:rPr>
        <w:t>2</w:t>
      </w:r>
      <w:r>
        <w:rPr>
          <w:rFonts w:ascii="Times New Roman" w:hAnsi="Times New Roman" w:eastAsia="Times New Roman" w:cs="Times New Roman"/>
          <w:sz w:val="24"/>
          <w:szCs w:val="24"/>
          <w:spacing w:val="12"/>
        </w:rPr>
        <w:t xml:space="preserve"> </w:t>
      </w:r>
      <w:r>
        <w:rPr>
          <w:rFonts w:ascii="SimSun" w:hAnsi="SimSun" w:eastAsia="SimSun" w:cs="SimSun"/>
          <w:sz w:val="24"/>
          <w:szCs w:val="24"/>
          <w:spacing w:val="-10"/>
        </w:rPr>
        <w:t>蒸吨及以下生物质锅炉</w:t>
      </w:r>
      <w:r>
        <w:rPr>
          <w:rFonts w:ascii="SimSun" w:hAnsi="SimSun" w:eastAsia="SimSun" w:cs="SimSun"/>
          <w:sz w:val="24"/>
          <w:szCs w:val="24"/>
          <w:spacing w:val="-88"/>
        </w:rPr>
        <w:t xml:space="preserve"> </w:t>
      </w:r>
      <w:r>
        <w:rPr>
          <w:rFonts w:ascii="SimSun" w:hAnsi="SimSun" w:eastAsia="SimSun" w:cs="SimSun"/>
          <w:sz w:val="24"/>
          <w:szCs w:val="24"/>
          <w:spacing w:val="-10"/>
        </w:rPr>
        <w:t>”，</w:t>
      </w:r>
      <w:r>
        <w:rPr>
          <w:rFonts w:ascii="SimSun" w:hAnsi="SimSun" w:eastAsia="SimSun" w:cs="SimSun"/>
          <w:sz w:val="24"/>
          <w:szCs w:val="24"/>
        </w:rPr>
        <w:t xml:space="preserve"> </w:t>
      </w:r>
      <w:r>
        <w:rPr>
          <w:rFonts w:ascii="SimSun" w:hAnsi="SimSun" w:eastAsia="SimSun" w:cs="SimSun"/>
          <w:sz w:val="24"/>
          <w:szCs w:val="24"/>
          <w:spacing w:val="-2"/>
        </w:rPr>
        <w:t>属于允许类。</w:t>
      </w:r>
    </w:p>
    <w:p>
      <w:pPr>
        <w:ind w:left="14" w:right="59" w:firstLine="476"/>
        <w:spacing w:before="3" w:line="336" w:lineRule="auto"/>
        <w:jc w:val="both"/>
        <w:rPr>
          <w:rFonts w:ascii="SimSun" w:hAnsi="SimSun" w:eastAsia="SimSun" w:cs="SimSun"/>
          <w:sz w:val="24"/>
          <w:szCs w:val="24"/>
        </w:rPr>
      </w:pPr>
      <w:r>
        <w:rPr>
          <w:rFonts w:ascii="SimSun" w:hAnsi="SimSun" w:eastAsia="SimSun" w:cs="SimSun"/>
          <w:sz w:val="24"/>
          <w:szCs w:val="24"/>
          <w:spacing w:val="-1"/>
        </w:rPr>
        <w:t>本项目于</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
        </w:rPr>
        <w:t>12</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1"/>
        </w:rPr>
        <w:t>月</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5  </w:t>
      </w:r>
      <w:r>
        <w:rPr>
          <w:rFonts w:ascii="SimSun" w:hAnsi="SimSun" w:eastAsia="SimSun" w:cs="SimSun"/>
          <w:sz w:val="24"/>
          <w:szCs w:val="24"/>
          <w:spacing w:val="-1"/>
        </w:rPr>
        <w:t>日取得正镶白旗发展和改革委员会《项目备</w:t>
      </w:r>
      <w:r>
        <w:rPr>
          <w:rFonts w:ascii="SimSun" w:hAnsi="SimSun" w:eastAsia="SimSun" w:cs="SimSun"/>
          <w:sz w:val="24"/>
          <w:szCs w:val="24"/>
          <w:spacing w:val="-2"/>
        </w:rPr>
        <w:t>案告知</w:t>
      </w:r>
      <w:r>
        <w:rPr>
          <w:rFonts w:ascii="SimSun" w:hAnsi="SimSun" w:eastAsia="SimSun" w:cs="SimSun"/>
          <w:sz w:val="24"/>
          <w:szCs w:val="24"/>
        </w:rPr>
        <w:t xml:space="preserve"> </w:t>
      </w:r>
      <w:r>
        <w:rPr>
          <w:rFonts w:ascii="SimSun" w:hAnsi="SimSun" w:eastAsia="SimSun" w:cs="SimSun"/>
          <w:sz w:val="24"/>
          <w:szCs w:val="24"/>
        </w:rPr>
        <w:t>书》（项目编号：</w:t>
      </w:r>
      <w:r>
        <w:rPr>
          <w:rFonts w:ascii="Times New Roman" w:hAnsi="Times New Roman" w:eastAsia="Times New Roman" w:cs="Times New Roman"/>
          <w:sz w:val="24"/>
          <w:szCs w:val="24"/>
        </w:rPr>
        <w:t>2412-152529-04-01-719857</w:t>
      </w:r>
      <w:r>
        <w:rPr>
          <w:rFonts w:ascii="SimSun" w:hAnsi="SimSun" w:eastAsia="SimSun" w:cs="SimSun"/>
          <w:sz w:val="24"/>
          <w:szCs w:val="24"/>
        </w:rPr>
        <w:t>）备案文件。综上，本项目建设符合</w:t>
      </w:r>
      <w:r>
        <w:rPr>
          <w:rFonts w:ascii="SimSun" w:hAnsi="SimSun" w:eastAsia="SimSun" w:cs="SimSun"/>
          <w:sz w:val="24"/>
          <w:szCs w:val="24"/>
          <w:spacing w:val="8"/>
        </w:rPr>
        <w:t xml:space="preserve"> </w:t>
      </w:r>
      <w:r>
        <w:rPr>
          <w:rFonts w:ascii="SimSun" w:hAnsi="SimSun" w:eastAsia="SimSun" w:cs="SimSun"/>
          <w:sz w:val="24"/>
          <w:szCs w:val="24"/>
          <w:spacing w:val="-2"/>
        </w:rPr>
        <w:t>国家及地方产业政策要求。</w:t>
      </w:r>
    </w:p>
    <w:p>
      <w:pPr>
        <w:spacing w:line="336" w:lineRule="auto"/>
        <w:sectPr>
          <w:headerReference w:type="default" r:id="rId16"/>
          <w:footerReference w:type="default" r:id="rId393"/>
          <w:pgSz w:w="11907" w:h="16840"/>
          <w:pgMar w:top="1567" w:right="1640" w:bottom="1921" w:left="1701" w:header="1221" w:footer="1247" w:gutter="0"/>
        </w:sectPr>
        <w:rPr>
          <w:rFonts w:ascii="SimSun" w:hAnsi="SimSun" w:eastAsia="SimSun" w:cs="SimSun"/>
          <w:sz w:val="24"/>
          <w:szCs w:val="24"/>
        </w:rPr>
      </w:pPr>
    </w:p>
    <w:p>
      <w:pPr>
        <w:ind w:left="8" w:firstLine="481"/>
        <w:spacing w:before="185" w:line="360" w:lineRule="auto"/>
        <w:jc w:val="both"/>
        <w:rPr>
          <w:rFonts w:ascii="SimSun" w:hAnsi="SimSun" w:eastAsia="SimSun" w:cs="SimSun"/>
          <w:sz w:val="24"/>
          <w:szCs w:val="24"/>
        </w:rPr>
      </w:pPr>
      <w:r>
        <w:pict>
          <v:shape id="_x0000_s1352" style="position:absolute;margin-left:85.05pt;margin-top:79.11pt;mso-position-vertical-relative:page;mso-position-horizontal-relative:page;width:425.25pt;height:0.75pt;z-index:252419072;" o:allowincell="f" fillcolor="#000000" filled="true" stroked="false" coordsize="8505,15" coordorigin="0,0" path="m,l8505,0l8505,14l0,14l0,0xe"/>
        </w:pict>
      </w:r>
      <w:r>
        <w:rPr>
          <w:rFonts w:ascii="SimSun" w:hAnsi="SimSun" w:eastAsia="SimSun" w:cs="SimSun"/>
          <w:sz w:val="24"/>
          <w:szCs w:val="24"/>
          <w:spacing w:val="3"/>
        </w:rPr>
        <w:t>本项目位于锡林郭勒盟正镶白旗明安图镇乌宁巴图西街，</w:t>
      </w:r>
      <w:r>
        <w:rPr>
          <w:rFonts w:ascii="SimSun" w:hAnsi="SimSun" w:eastAsia="SimSun" w:cs="SimSun"/>
          <w:sz w:val="24"/>
          <w:szCs w:val="24"/>
          <w:spacing w:val="2"/>
        </w:rPr>
        <w:t>项目建设符合正镶</w:t>
      </w:r>
      <w:r>
        <w:rPr>
          <w:rFonts w:ascii="SimSun" w:hAnsi="SimSun" w:eastAsia="SimSun" w:cs="SimSun"/>
          <w:sz w:val="24"/>
          <w:szCs w:val="24"/>
        </w:rPr>
        <w:t xml:space="preserve"> </w:t>
      </w:r>
      <w:r>
        <w:rPr>
          <w:rFonts w:ascii="SimSun" w:hAnsi="SimSun" w:eastAsia="SimSun" w:cs="SimSun"/>
          <w:sz w:val="24"/>
          <w:szCs w:val="24"/>
          <w:spacing w:val="3"/>
        </w:rPr>
        <w:t>白旗产业规划；项目所在地满足供电、供水、通讯及运输的</w:t>
      </w:r>
      <w:r>
        <w:rPr>
          <w:rFonts w:ascii="SimSun" w:hAnsi="SimSun" w:eastAsia="SimSun" w:cs="SimSun"/>
          <w:sz w:val="24"/>
          <w:szCs w:val="24"/>
          <w:spacing w:val="2"/>
        </w:rPr>
        <w:t>要求，且建设条件相</w:t>
      </w:r>
      <w:r>
        <w:rPr>
          <w:rFonts w:ascii="SimSun" w:hAnsi="SimSun" w:eastAsia="SimSun" w:cs="SimSun"/>
          <w:sz w:val="24"/>
          <w:szCs w:val="24"/>
        </w:rPr>
        <w:t xml:space="preserve"> </w:t>
      </w:r>
      <w:r>
        <w:rPr>
          <w:rFonts w:ascii="SimSun" w:hAnsi="SimSun" w:eastAsia="SimSun" w:cs="SimSun"/>
          <w:sz w:val="24"/>
          <w:szCs w:val="24"/>
          <w:spacing w:val="3"/>
        </w:rPr>
        <w:t>对较好；项目选址不涉及自然保护区、重点风景名胜区、</w:t>
      </w:r>
      <w:r>
        <w:rPr>
          <w:rFonts w:ascii="SimSun" w:hAnsi="SimSun" w:eastAsia="SimSun" w:cs="SimSun"/>
          <w:sz w:val="24"/>
          <w:szCs w:val="24"/>
          <w:spacing w:val="2"/>
        </w:rPr>
        <w:t>饮用水水源保护区及其</w:t>
      </w:r>
      <w:r>
        <w:rPr>
          <w:rFonts w:ascii="SimSun" w:hAnsi="SimSun" w:eastAsia="SimSun" w:cs="SimSun"/>
          <w:sz w:val="24"/>
          <w:szCs w:val="24"/>
        </w:rPr>
        <w:t xml:space="preserve"> </w:t>
      </w:r>
      <w:r>
        <w:rPr>
          <w:rFonts w:ascii="SimSun" w:hAnsi="SimSun" w:eastAsia="SimSun" w:cs="SimSun"/>
          <w:sz w:val="24"/>
          <w:szCs w:val="24"/>
          <w:spacing w:val="3"/>
        </w:rPr>
        <w:t>他依法划定需要特别保护的环境敏感区；根据现场调</w:t>
      </w:r>
      <w:r>
        <w:rPr>
          <w:rFonts w:ascii="SimSun" w:hAnsi="SimSun" w:eastAsia="SimSun" w:cs="SimSun"/>
          <w:sz w:val="24"/>
          <w:szCs w:val="24"/>
          <w:spacing w:val="2"/>
        </w:rPr>
        <w:t>查，距离最近城镇明民安图</w:t>
      </w:r>
      <w:r>
        <w:rPr>
          <w:rFonts w:ascii="SimSun" w:hAnsi="SimSun" w:eastAsia="SimSun" w:cs="SimSun"/>
          <w:sz w:val="24"/>
          <w:szCs w:val="24"/>
        </w:rPr>
        <w:t xml:space="preserve"> </w:t>
      </w:r>
      <w:r>
        <w:rPr>
          <w:rFonts w:ascii="SimSun" w:hAnsi="SimSun" w:eastAsia="SimSun" w:cs="SimSun"/>
          <w:sz w:val="24"/>
          <w:szCs w:val="24"/>
          <w:spacing w:val="1"/>
        </w:rPr>
        <w:t>镇）</w:t>
      </w:r>
      <w:r>
        <w:rPr>
          <w:rFonts w:ascii="Times New Roman" w:hAnsi="Times New Roman" w:eastAsia="Times New Roman" w:cs="Times New Roman"/>
          <w:sz w:val="24"/>
          <w:szCs w:val="24"/>
          <w:spacing w:val="1"/>
        </w:rPr>
        <w:t>0.91</w:t>
      </w:r>
      <w:r>
        <w:rPr>
          <w:rFonts w:ascii="Times New Roman" w:hAnsi="Times New Roman" w:eastAsia="Times New Roman" w:cs="Times New Roman"/>
          <w:sz w:val="24"/>
          <w:szCs w:val="24"/>
        </w:rPr>
        <w:t>km</w:t>
      </w:r>
      <w:r>
        <w:rPr>
          <w:rFonts w:ascii="Times New Roman" w:hAnsi="Times New Roman" w:eastAsia="Times New Roman" w:cs="Times New Roman"/>
          <w:sz w:val="24"/>
          <w:szCs w:val="24"/>
          <w:spacing w:val="-9"/>
        </w:rPr>
        <w:t xml:space="preserve"> </w:t>
      </w:r>
      <w:r>
        <w:rPr>
          <w:rFonts w:ascii="SimSun" w:hAnsi="SimSun" w:eastAsia="SimSun" w:cs="SimSun"/>
          <w:sz w:val="24"/>
          <w:szCs w:val="24"/>
          <w:spacing w:val="1"/>
        </w:rPr>
        <w:t>，环境影响预测结果显示，本项目运营期在严加管理和措施到位情况</w:t>
      </w:r>
      <w:r>
        <w:rPr>
          <w:rFonts w:ascii="SimSun" w:hAnsi="SimSun" w:eastAsia="SimSun" w:cs="SimSun"/>
          <w:sz w:val="24"/>
          <w:szCs w:val="24"/>
        </w:rPr>
        <w:t xml:space="preserve"> </w:t>
      </w:r>
      <w:r>
        <w:rPr>
          <w:rFonts w:ascii="SimSun" w:hAnsi="SimSun" w:eastAsia="SimSun" w:cs="SimSun"/>
          <w:sz w:val="24"/>
          <w:szCs w:val="24"/>
          <w:spacing w:val="3"/>
        </w:rPr>
        <w:t>下，废水、废水、固废及环境风险等对周围环境的影</w:t>
      </w:r>
      <w:r>
        <w:rPr>
          <w:rFonts w:ascii="SimSun" w:hAnsi="SimSun" w:eastAsia="SimSun" w:cs="SimSun"/>
          <w:sz w:val="24"/>
          <w:szCs w:val="24"/>
          <w:spacing w:val="2"/>
        </w:rPr>
        <w:t>响是可以接受的。本项目在</w:t>
      </w:r>
      <w:r>
        <w:rPr>
          <w:rFonts w:ascii="SimSun" w:hAnsi="SimSun" w:eastAsia="SimSun" w:cs="SimSun"/>
          <w:sz w:val="24"/>
          <w:szCs w:val="24"/>
        </w:rPr>
        <w:t xml:space="preserve"> </w:t>
      </w:r>
      <w:r>
        <w:rPr>
          <w:rFonts w:ascii="SimSun" w:hAnsi="SimSun" w:eastAsia="SimSun" w:cs="SimSun"/>
          <w:sz w:val="24"/>
          <w:szCs w:val="24"/>
          <w:spacing w:val="-1"/>
        </w:rPr>
        <w:t>各项环保措施及跟踪监测落实到位的前提下，选址可行。</w:t>
      </w:r>
    </w:p>
    <w:p>
      <w:pPr>
        <w:ind w:left="35"/>
        <w:spacing w:before="158" w:line="222" w:lineRule="auto"/>
        <w:outlineLvl w:val="1"/>
        <w:rPr>
          <w:rFonts w:ascii="SimHei" w:hAnsi="SimHei" w:eastAsia="SimHei" w:cs="SimHei"/>
          <w:sz w:val="30"/>
          <w:szCs w:val="30"/>
        </w:rPr>
      </w:pPr>
      <w:bookmarkStart w:name="bookmark198" w:id="234"/>
      <w:bookmarkEnd w:id="234"/>
      <w:r>
        <w:rPr>
          <w:rFonts w:ascii="Times New Roman" w:hAnsi="Times New Roman" w:eastAsia="Times New Roman" w:cs="Times New Roman"/>
          <w:sz w:val="30"/>
          <w:szCs w:val="30"/>
          <w:spacing w:val="-4"/>
        </w:rPr>
        <w:t>10.3 </w:t>
      </w:r>
      <w:r>
        <w:rPr>
          <w:rFonts w:ascii="SimHei" w:hAnsi="SimHei" w:eastAsia="SimHei" w:cs="SimHei"/>
          <w:sz w:val="30"/>
          <w:szCs w:val="30"/>
          <w:spacing w:val="-4"/>
        </w:rPr>
        <w:t>环境质量现状</w:t>
      </w:r>
    </w:p>
    <w:p>
      <w:pPr>
        <w:pStyle w:val="BodyText"/>
        <w:spacing w:line="287" w:lineRule="auto"/>
        <w:rPr/>
      </w:pPr>
      <w:r/>
    </w:p>
    <w:p>
      <w:pPr>
        <w:ind w:left="8" w:right="2" w:firstLine="492"/>
        <w:spacing w:before="78" w:line="336"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）环境空气：根据内蒙古自治区生态环境厅发布的《内蒙古自</w:t>
      </w:r>
      <w:r>
        <w:rPr>
          <w:rFonts w:ascii="SimSun" w:hAnsi="SimSun" w:eastAsia="SimSun" w:cs="SimSun"/>
          <w:sz w:val="24"/>
          <w:szCs w:val="24"/>
          <w:spacing w:val="-2"/>
        </w:rPr>
        <w:t>治区生态环</w:t>
      </w:r>
      <w:r>
        <w:rPr>
          <w:rFonts w:ascii="SimSun" w:hAnsi="SimSun" w:eastAsia="SimSun" w:cs="SimSun"/>
          <w:sz w:val="24"/>
          <w:szCs w:val="24"/>
        </w:rPr>
        <w:t xml:space="preserve"> </w:t>
      </w:r>
      <w:r>
        <w:rPr>
          <w:rFonts w:ascii="SimSun" w:hAnsi="SimSun" w:eastAsia="SimSun" w:cs="SimSun"/>
          <w:sz w:val="24"/>
          <w:szCs w:val="24"/>
          <w:spacing w:val="-3"/>
        </w:rPr>
        <w:t>境状况公报</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2024</w:t>
      </w:r>
      <w:r>
        <w:rPr>
          <w:rFonts w:ascii="SimSun" w:hAnsi="SimSun" w:eastAsia="SimSun" w:cs="SimSun"/>
          <w:sz w:val="24"/>
          <w:szCs w:val="24"/>
          <w:spacing w:val="-3"/>
        </w:rPr>
        <w:t>》，全区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12 </w:t>
      </w:r>
      <w:r>
        <w:rPr>
          <w:rFonts w:ascii="SimSun" w:hAnsi="SimSun" w:eastAsia="SimSun" w:cs="SimSun"/>
          <w:sz w:val="24"/>
          <w:szCs w:val="24"/>
          <w:spacing w:val="-3"/>
        </w:rPr>
        <w:t>盟市环境空气质量均达标，故项目所在区域为</w:t>
      </w:r>
      <w:r>
        <w:rPr>
          <w:rFonts w:ascii="SimSun" w:hAnsi="SimSun" w:eastAsia="SimSun" w:cs="SimSun"/>
          <w:sz w:val="24"/>
          <w:szCs w:val="24"/>
          <w:spacing w:val="-4"/>
        </w:rPr>
        <w:t>环境空</w:t>
      </w:r>
      <w:r>
        <w:rPr>
          <w:rFonts w:ascii="SimSun" w:hAnsi="SimSun" w:eastAsia="SimSun" w:cs="SimSun"/>
          <w:sz w:val="24"/>
          <w:szCs w:val="24"/>
        </w:rPr>
        <w:t xml:space="preserve"> </w:t>
      </w:r>
      <w:r>
        <w:rPr>
          <w:rFonts w:ascii="SimSun" w:hAnsi="SimSun" w:eastAsia="SimSun" w:cs="SimSun"/>
          <w:sz w:val="24"/>
          <w:szCs w:val="24"/>
          <w:spacing w:val="1"/>
        </w:rPr>
        <w:t>气质量达标区；根据现状监测结果，本项目特征因子</w:t>
      </w:r>
      <w:r>
        <w:rPr>
          <w:rFonts w:ascii="SimSun" w:hAnsi="SimSun" w:eastAsia="SimSun" w:cs="SimSun"/>
          <w:sz w:val="24"/>
          <w:szCs w:val="24"/>
          <w:spacing w:val="-52"/>
        </w:rPr>
        <w:t xml:space="preserve"> </w:t>
      </w:r>
      <w:r>
        <w:rPr>
          <w:rFonts w:ascii="Times New Roman" w:hAnsi="Times New Roman" w:eastAsia="Times New Roman" w:cs="Times New Roman"/>
          <w:sz w:val="24"/>
          <w:szCs w:val="24"/>
        </w:rPr>
        <w:t>TSP</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满足《环境空气质</w:t>
      </w:r>
      <w:r>
        <w:rPr>
          <w:rFonts w:ascii="SimSun" w:hAnsi="SimSun" w:eastAsia="SimSun" w:cs="SimSun"/>
          <w:sz w:val="24"/>
          <w:szCs w:val="24"/>
        </w:rPr>
        <w:t>量标 </w:t>
      </w:r>
      <w:r>
        <w:rPr>
          <w:rFonts w:ascii="SimSun" w:hAnsi="SimSun" w:eastAsia="SimSun" w:cs="SimSun"/>
          <w:sz w:val="24"/>
          <w:szCs w:val="24"/>
        </w:rPr>
        <w:t>准》（</w:t>
      </w:r>
      <w:r>
        <w:rPr>
          <w:rFonts w:ascii="Times New Roman" w:hAnsi="Times New Roman" w:eastAsia="Times New Roman" w:cs="Times New Roman"/>
          <w:sz w:val="24"/>
          <w:szCs w:val="24"/>
        </w:rPr>
        <w:t>GB3095-2012</w:t>
      </w:r>
      <w:r>
        <w:rPr>
          <w:rFonts w:ascii="SimSun" w:hAnsi="SimSun" w:eastAsia="SimSun" w:cs="SimSun"/>
          <w:sz w:val="24"/>
          <w:szCs w:val="24"/>
        </w:rPr>
        <w:t>）中二级标准限值，</w:t>
      </w:r>
      <w:r>
        <w:rPr>
          <w:rFonts w:ascii="Times New Roman" w:hAnsi="Times New Roman" w:eastAsia="Times New Roman" w:cs="Times New Roman"/>
          <w:sz w:val="24"/>
          <w:szCs w:val="24"/>
        </w:rPr>
        <w:t>H</w:t>
      </w:r>
      <w:r>
        <w:rPr>
          <w:rFonts w:ascii="Times New Roman" w:hAnsi="Times New Roman" w:eastAsia="Times New Roman" w:cs="Times New Roman"/>
          <w:sz w:val="15"/>
          <w:szCs w:val="15"/>
          <w:position w:val="-1"/>
        </w:rPr>
        <w:t>2</w:t>
      </w:r>
      <w:r>
        <w:rPr>
          <w:rFonts w:ascii="Times New Roman" w:hAnsi="Times New Roman" w:eastAsia="Times New Roman" w:cs="Times New Roman"/>
          <w:sz w:val="24"/>
          <w:szCs w:val="24"/>
        </w:rPr>
        <w:t>S</w:t>
      </w:r>
      <w:r>
        <w:rPr>
          <w:rFonts w:ascii="Times New Roman" w:hAnsi="Times New Roman" w:eastAsia="Times New Roman" w:cs="Times New Roman"/>
          <w:sz w:val="24"/>
          <w:szCs w:val="24"/>
          <w:spacing w:val="-33"/>
        </w:rPr>
        <w:t xml:space="preserve"> </w:t>
      </w:r>
      <w:r>
        <w:rPr>
          <w:rFonts w:ascii="SimSun" w:hAnsi="SimSun" w:eastAsia="SimSun" w:cs="SimSun"/>
          <w:sz w:val="24"/>
          <w:szCs w:val="24"/>
        </w:rPr>
        <w:t>、</w:t>
      </w:r>
      <w:r>
        <w:rPr>
          <w:rFonts w:ascii="Times New Roman" w:hAnsi="Times New Roman" w:eastAsia="Times New Roman" w:cs="Times New Roman"/>
          <w:sz w:val="24"/>
          <w:szCs w:val="24"/>
        </w:rPr>
        <w:t>NH</w:t>
      </w:r>
      <w:r>
        <w:rPr>
          <w:rFonts w:ascii="Times New Roman" w:hAnsi="Times New Roman" w:eastAsia="Times New Roman" w:cs="Times New Roman"/>
          <w:sz w:val="15"/>
          <w:szCs w:val="15"/>
          <w:position w:val="-1"/>
        </w:rPr>
        <w:t>3</w:t>
      </w:r>
      <w:r>
        <w:rPr>
          <w:rFonts w:ascii="Times New Roman" w:hAnsi="Times New Roman" w:eastAsia="Times New Roman" w:cs="Times New Roman"/>
          <w:sz w:val="15"/>
          <w:szCs w:val="15"/>
          <w:spacing w:val="18"/>
          <w:w w:val="101"/>
          <w:position w:val="-1"/>
        </w:rPr>
        <w:t xml:space="preserve"> </w:t>
      </w:r>
      <w:r>
        <w:rPr>
          <w:rFonts w:ascii="SimSun" w:hAnsi="SimSun" w:eastAsia="SimSun" w:cs="SimSun"/>
          <w:sz w:val="24"/>
          <w:szCs w:val="24"/>
        </w:rPr>
        <w:t>小时监测值满足</w:t>
      </w:r>
      <w:r>
        <w:rPr>
          <w:rFonts w:ascii="SimSun" w:hAnsi="SimSun" w:eastAsia="SimSun" w:cs="SimSun"/>
          <w:sz w:val="24"/>
          <w:szCs w:val="24"/>
          <w:spacing w:val="-1"/>
        </w:rPr>
        <w:t>行《环境影响</w:t>
      </w:r>
      <w:r>
        <w:rPr>
          <w:rFonts w:ascii="SimSun" w:hAnsi="SimSun" w:eastAsia="SimSun" w:cs="SimSun"/>
          <w:sz w:val="24"/>
          <w:szCs w:val="24"/>
        </w:rPr>
        <w:t xml:space="preserve"> </w:t>
      </w:r>
      <w:r>
        <w:rPr>
          <w:rFonts w:ascii="SimSun" w:hAnsi="SimSun" w:eastAsia="SimSun" w:cs="SimSun"/>
          <w:sz w:val="24"/>
          <w:szCs w:val="24"/>
          <w:spacing w:val="-2"/>
        </w:rPr>
        <w:t>评价技术导则 大气环境》（</w:t>
      </w:r>
      <w:r>
        <w:rPr>
          <w:rFonts w:ascii="Times New Roman" w:hAnsi="Times New Roman" w:eastAsia="Times New Roman" w:cs="Times New Roman"/>
          <w:sz w:val="24"/>
          <w:szCs w:val="24"/>
          <w:spacing w:val="-2"/>
        </w:rPr>
        <w:t>HJ 2.2-2018</w:t>
      </w:r>
      <w:r>
        <w:rPr>
          <w:rFonts w:ascii="SimSun" w:hAnsi="SimSun" w:eastAsia="SimSun" w:cs="SimSun"/>
          <w:sz w:val="24"/>
          <w:szCs w:val="24"/>
          <w:spacing w:val="-2"/>
        </w:rPr>
        <w:t>）附录</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2"/>
        </w:rPr>
        <w:t>D </w:t>
      </w:r>
      <w:r>
        <w:rPr>
          <w:rFonts w:ascii="SimSun" w:hAnsi="SimSun" w:eastAsia="SimSun" w:cs="SimSun"/>
          <w:sz w:val="24"/>
          <w:szCs w:val="24"/>
          <w:spacing w:val="-2"/>
        </w:rPr>
        <w:t>其他污染物空气质量浓度参考限</w:t>
      </w:r>
      <w:r>
        <w:rPr>
          <w:rFonts w:ascii="SimSun" w:hAnsi="SimSun" w:eastAsia="SimSun" w:cs="SimSun"/>
          <w:sz w:val="24"/>
          <w:szCs w:val="24"/>
        </w:rPr>
        <w:t xml:space="preserve"> </w:t>
      </w:r>
      <w:r>
        <w:rPr>
          <w:rFonts w:ascii="SimSun" w:hAnsi="SimSun" w:eastAsia="SimSun" w:cs="SimSun"/>
          <w:sz w:val="24"/>
          <w:szCs w:val="24"/>
          <w:spacing w:val="-2"/>
        </w:rPr>
        <w:t>值表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D.1</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，臭气浓度无质量标准，仅作本底值监测。</w:t>
      </w:r>
    </w:p>
    <w:p>
      <w:pPr>
        <w:ind w:left="10" w:right="2" w:firstLine="490"/>
        <w:spacing w:before="183" w:line="32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）地下水环境：根据地下水现状监测结果可知，硫酸盐、氯化</w:t>
      </w:r>
      <w:r>
        <w:rPr>
          <w:rFonts w:ascii="SimSun" w:hAnsi="SimSun" w:eastAsia="SimSun" w:cs="SimSun"/>
          <w:sz w:val="24"/>
          <w:szCs w:val="24"/>
          <w:spacing w:val="-2"/>
        </w:rPr>
        <w:t>物、钠、氟</w:t>
      </w:r>
      <w:r>
        <w:rPr>
          <w:rFonts w:ascii="SimSun" w:hAnsi="SimSun" w:eastAsia="SimSun" w:cs="SimSun"/>
          <w:sz w:val="24"/>
          <w:szCs w:val="24"/>
        </w:rPr>
        <w:t xml:space="preserve"> </w:t>
      </w:r>
      <w:r>
        <w:rPr>
          <w:rFonts w:ascii="SimSun" w:hAnsi="SimSun" w:eastAsia="SimSun" w:cs="SimSun"/>
          <w:sz w:val="24"/>
          <w:szCs w:val="24"/>
          <w:spacing w:val="3"/>
        </w:rPr>
        <w:t>化物、总硬度及溶解性总固体出现超标，其余各</w:t>
      </w:r>
      <w:r>
        <w:rPr>
          <w:rFonts w:ascii="SimSun" w:hAnsi="SimSun" w:eastAsia="SimSun" w:cs="SimSun"/>
          <w:sz w:val="24"/>
          <w:szCs w:val="24"/>
          <w:spacing w:val="2"/>
        </w:rPr>
        <w:t>监测因子均满足《地下水质量标</w:t>
      </w:r>
      <w:r>
        <w:rPr>
          <w:rFonts w:ascii="SimSun" w:hAnsi="SimSun" w:eastAsia="SimSun" w:cs="SimSun"/>
          <w:sz w:val="24"/>
          <w:szCs w:val="24"/>
        </w:rPr>
        <w:t xml:space="preserve"> </w:t>
      </w:r>
      <w:r>
        <w:rPr>
          <w:rFonts w:ascii="SimSun" w:hAnsi="SimSun" w:eastAsia="SimSun" w:cs="SimSun"/>
          <w:sz w:val="24"/>
          <w:szCs w:val="24"/>
          <w:spacing w:val="4"/>
        </w:rPr>
        <w:t>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4"/>
        </w:rPr>
        <w:t>/T14848</w:t>
      </w:r>
      <w:r>
        <w:rPr>
          <w:rFonts w:ascii="SimSun" w:hAnsi="SimSun" w:eastAsia="SimSun" w:cs="SimSun"/>
          <w:sz w:val="24"/>
          <w:szCs w:val="24"/>
          <w:spacing w:val="4"/>
        </w:rPr>
        <w:t>－</w:t>
      </w:r>
      <w:r>
        <w:rPr>
          <w:rFonts w:ascii="Times New Roman" w:hAnsi="Times New Roman" w:eastAsia="Times New Roman" w:cs="Times New Roman"/>
          <w:sz w:val="24"/>
          <w:szCs w:val="24"/>
          <w:spacing w:val="4"/>
        </w:rPr>
        <w:t>2017</w:t>
      </w:r>
      <w:r>
        <w:rPr>
          <w:rFonts w:ascii="SimSun" w:hAnsi="SimSun" w:eastAsia="SimSun" w:cs="SimSun"/>
          <w:sz w:val="24"/>
          <w:szCs w:val="24"/>
          <w:spacing w:val="4"/>
        </w:rPr>
        <w:t>）</w:t>
      </w:r>
      <w:r>
        <w:rPr>
          <w:rFonts w:ascii="SimSun" w:hAnsi="SimSun" w:eastAsia="SimSun" w:cs="SimSun"/>
          <w:sz w:val="24"/>
          <w:szCs w:val="24"/>
          <w:spacing w:val="-51"/>
        </w:rPr>
        <w:t xml:space="preserve"> </w:t>
      </w:r>
      <w:r>
        <w:rPr>
          <w:rFonts w:ascii="SimSun" w:hAnsi="SimSun" w:eastAsia="SimSun" w:cs="SimSun"/>
          <w:sz w:val="24"/>
          <w:szCs w:val="24"/>
          <w:spacing w:val="4"/>
        </w:rPr>
        <w:t>中</w:t>
      </w:r>
      <w:r>
        <w:rPr>
          <w:rFonts w:ascii="SimSun" w:hAnsi="SimSun" w:eastAsia="SimSun" w:cs="SimSun"/>
          <w:sz w:val="24"/>
          <w:szCs w:val="24"/>
          <w:spacing w:val="-42"/>
        </w:rPr>
        <w:t xml:space="preserve"> </w:t>
      </w:r>
      <w:r>
        <w:rPr>
          <w:rFonts w:ascii="Times New Roman" w:hAnsi="Times New Roman" w:eastAsia="Times New Roman" w:cs="Times New Roman"/>
          <w:sz w:val="24"/>
          <w:szCs w:val="24"/>
        </w:rPr>
        <w:t>III</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4"/>
        </w:rPr>
        <w:t>类标准，石油类满足《地表水环境质量标准》</w:t>
      </w:r>
      <w:r>
        <w:rPr>
          <w:rFonts w:ascii="SimSun" w:hAnsi="SimSun" w:eastAsia="SimSun" w:cs="SimSun"/>
          <w:sz w:val="24"/>
          <w:szCs w:val="2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GB3838-2002</w:t>
      </w:r>
      <w:r>
        <w:rPr>
          <w:rFonts w:ascii="SimSun" w:hAnsi="SimSun" w:eastAsia="SimSun" w:cs="SimSun"/>
          <w:sz w:val="24"/>
          <w:szCs w:val="24"/>
          <w:spacing w:val="-1"/>
        </w:rPr>
        <w:t>）中</w:t>
      </w:r>
      <w:r>
        <w:rPr>
          <w:rFonts w:ascii="Times New Roman" w:hAnsi="Times New Roman" w:eastAsia="Times New Roman" w:cs="Times New Roman"/>
          <w:sz w:val="24"/>
          <w:szCs w:val="24"/>
          <w:spacing w:val="-1"/>
        </w:rPr>
        <w:t>Ⅲ</w:t>
      </w:r>
      <w:r>
        <w:rPr>
          <w:rFonts w:ascii="SimSun" w:hAnsi="SimSun" w:eastAsia="SimSun" w:cs="SimSun"/>
          <w:sz w:val="24"/>
          <w:szCs w:val="24"/>
          <w:spacing w:val="-1"/>
        </w:rPr>
        <w:t>类标准。</w:t>
      </w:r>
    </w:p>
    <w:p>
      <w:pPr>
        <w:ind w:left="9" w:right="2" w:firstLine="491"/>
        <w:spacing w:before="184" w:line="312"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）声环境：根据本次噪声现状监测结果，项目周围厂界各监测</w:t>
      </w:r>
      <w:r>
        <w:rPr>
          <w:rFonts w:ascii="SimSun" w:hAnsi="SimSun" w:eastAsia="SimSun" w:cs="SimSun"/>
          <w:sz w:val="24"/>
          <w:szCs w:val="24"/>
          <w:spacing w:val="-2"/>
        </w:rPr>
        <w:t>点昼间、夜</w:t>
      </w:r>
      <w:r>
        <w:rPr>
          <w:rFonts w:ascii="SimSun" w:hAnsi="SimSun" w:eastAsia="SimSun" w:cs="SimSun"/>
          <w:sz w:val="24"/>
          <w:szCs w:val="24"/>
        </w:rPr>
        <w:t xml:space="preserve"> </w:t>
      </w:r>
      <w:r>
        <w:rPr>
          <w:rFonts w:ascii="SimSun" w:hAnsi="SimSun" w:eastAsia="SimSun" w:cs="SimSun"/>
          <w:sz w:val="24"/>
          <w:szCs w:val="24"/>
        </w:rPr>
        <w:t>间噪声值均满足《声环境质量标准》（</w:t>
      </w:r>
      <w:r>
        <w:rPr>
          <w:rFonts w:ascii="Times New Roman" w:hAnsi="Times New Roman" w:eastAsia="Times New Roman" w:cs="Times New Roman"/>
          <w:sz w:val="24"/>
          <w:szCs w:val="24"/>
        </w:rPr>
        <w:t>GB30</w:t>
      </w:r>
      <w:r>
        <w:rPr>
          <w:rFonts w:ascii="Times New Roman" w:hAnsi="Times New Roman" w:eastAsia="Times New Roman" w:cs="Times New Roman"/>
          <w:sz w:val="24"/>
          <w:szCs w:val="24"/>
          <w:spacing w:val="-1"/>
        </w:rPr>
        <w:t>96-2008</w:t>
      </w:r>
      <w:r>
        <w:rPr>
          <w:rFonts w:ascii="SimSun" w:hAnsi="SimSun" w:eastAsia="SimSun" w:cs="SimSun"/>
          <w:sz w:val="24"/>
          <w:szCs w:val="24"/>
          <w:spacing w:val="-1"/>
        </w:rPr>
        <w:t>）</w:t>
      </w:r>
      <w:r>
        <w:rPr>
          <w:rFonts w:ascii="Times New Roman" w:hAnsi="Times New Roman" w:eastAsia="Times New Roman" w:cs="Times New Roman"/>
          <w:sz w:val="24"/>
          <w:szCs w:val="24"/>
          <w:spacing w:val="-1"/>
        </w:rPr>
        <w:t>2 </w:t>
      </w:r>
      <w:r>
        <w:rPr>
          <w:rFonts w:ascii="SimSun" w:hAnsi="SimSun" w:eastAsia="SimSun" w:cs="SimSun"/>
          <w:sz w:val="24"/>
          <w:szCs w:val="24"/>
          <w:spacing w:val="-1"/>
        </w:rPr>
        <w:t>类标准；声环境敏感点声</w:t>
      </w:r>
      <w:r>
        <w:rPr>
          <w:rFonts w:ascii="SimSun" w:hAnsi="SimSun" w:eastAsia="SimSun" w:cs="SimSun"/>
          <w:sz w:val="24"/>
          <w:szCs w:val="24"/>
        </w:rPr>
        <w:t xml:space="preserve"> </w:t>
      </w:r>
      <w:r>
        <w:rPr>
          <w:rFonts w:ascii="SimSun" w:hAnsi="SimSun" w:eastAsia="SimSun" w:cs="SimSun"/>
          <w:sz w:val="24"/>
          <w:szCs w:val="24"/>
        </w:rPr>
        <w:t>环境质量现状满足《声环境质量标准》（</w:t>
      </w:r>
      <w:r>
        <w:rPr>
          <w:rFonts w:ascii="Times New Roman" w:hAnsi="Times New Roman" w:eastAsia="Times New Roman" w:cs="Times New Roman"/>
          <w:sz w:val="24"/>
          <w:szCs w:val="24"/>
        </w:rPr>
        <w:t>GB3096-</w:t>
      </w:r>
      <w:r>
        <w:rPr>
          <w:rFonts w:ascii="Times New Roman" w:hAnsi="Times New Roman" w:eastAsia="Times New Roman" w:cs="Times New Roman"/>
          <w:sz w:val="24"/>
          <w:szCs w:val="24"/>
          <w:spacing w:val="-1"/>
        </w:rPr>
        <w:t>2008</w:t>
      </w:r>
      <w:r>
        <w:rPr>
          <w:rFonts w:ascii="SimSun" w:hAnsi="SimSun" w:eastAsia="SimSun" w:cs="SimSun"/>
          <w:sz w:val="24"/>
          <w:szCs w:val="24"/>
          <w:spacing w:val="-1"/>
        </w:rPr>
        <w:t>）</w:t>
      </w:r>
      <w:r>
        <w:rPr>
          <w:rFonts w:ascii="Times New Roman" w:hAnsi="Times New Roman" w:eastAsia="Times New Roman" w:cs="Times New Roman"/>
          <w:sz w:val="24"/>
          <w:szCs w:val="24"/>
          <w:spacing w:val="-1"/>
        </w:rPr>
        <w:t>2 </w:t>
      </w:r>
      <w:r>
        <w:rPr>
          <w:rFonts w:ascii="SimSun" w:hAnsi="SimSun" w:eastAsia="SimSun" w:cs="SimSun"/>
          <w:sz w:val="24"/>
          <w:szCs w:val="24"/>
          <w:spacing w:val="-1"/>
        </w:rPr>
        <w:t>类标准。</w:t>
      </w:r>
    </w:p>
    <w:p>
      <w:pPr>
        <w:ind w:left="9" w:right="2" w:firstLine="491"/>
        <w:spacing w:before="181" w:line="331"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）土壤环境：根据监测结果，各土壤环境质量现状监测点的监</w:t>
      </w:r>
      <w:r>
        <w:rPr>
          <w:rFonts w:ascii="SimSun" w:hAnsi="SimSun" w:eastAsia="SimSun" w:cs="SimSun"/>
          <w:sz w:val="24"/>
          <w:szCs w:val="24"/>
          <w:spacing w:val="-2"/>
        </w:rPr>
        <w:t>测指标均满</w:t>
      </w:r>
      <w:r>
        <w:rPr>
          <w:rFonts w:ascii="SimSun" w:hAnsi="SimSun" w:eastAsia="SimSun" w:cs="SimSun"/>
          <w:sz w:val="24"/>
          <w:szCs w:val="24"/>
        </w:rPr>
        <w:t xml:space="preserve"> </w:t>
      </w:r>
      <w:r>
        <w:rPr>
          <w:rFonts w:ascii="SimSun" w:hAnsi="SimSun" w:eastAsia="SimSun" w:cs="SimSun"/>
          <w:sz w:val="24"/>
          <w:szCs w:val="24"/>
          <w:spacing w:val="1"/>
        </w:rPr>
        <w:t>足《土壤环境质量 建设用地土壤污染风险管控标准》（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26"/>
          <w:w w:val="101"/>
        </w:rPr>
        <w:t xml:space="preserve"> </w:t>
      </w:r>
      <w:r>
        <w:rPr>
          <w:rFonts w:ascii="Times New Roman" w:hAnsi="Times New Roman" w:eastAsia="Times New Roman" w:cs="Times New Roman"/>
          <w:sz w:val="24"/>
          <w:szCs w:val="24"/>
          <w:spacing w:val="1"/>
        </w:rPr>
        <w:t>36600-2018</w:t>
      </w:r>
      <w:r>
        <w:rPr>
          <w:rFonts w:ascii="SimSun" w:hAnsi="SimSun" w:eastAsia="SimSun" w:cs="SimSun"/>
          <w:sz w:val="24"/>
          <w:szCs w:val="24"/>
          <w:spacing w:val="1"/>
        </w:rPr>
        <w:t>）表</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第</w:t>
      </w:r>
      <w:r>
        <w:rPr>
          <w:rFonts w:ascii="SimSun" w:hAnsi="SimSun" w:eastAsia="SimSun" w:cs="SimSun"/>
          <w:sz w:val="24"/>
          <w:szCs w:val="24"/>
        </w:rPr>
        <w:t xml:space="preserve"> </w:t>
      </w:r>
      <w:r>
        <w:rPr>
          <w:rFonts w:ascii="SimSun" w:hAnsi="SimSun" w:eastAsia="SimSun" w:cs="SimSun"/>
          <w:sz w:val="24"/>
          <w:szCs w:val="24"/>
          <w:spacing w:val="3"/>
        </w:rPr>
        <w:t>二类用地筛选值标准及《土壤环境质量农用地土壤</w:t>
      </w:r>
      <w:r>
        <w:rPr>
          <w:rFonts w:ascii="SimSun" w:hAnsi="SimSun" w:eastAsia="SimSun" w:cs="SimSun"/>
          <w:sz w:val="24"/>
          <w:szCs w:val="24"/>
          <w:spacing w:val="2"/>
        </w:rPr>
        <w:t>污染风险管控标准（试行）》</w:t>
      </w:r>
      <w:r>
        <w:rPr>
          <w:rFonts w:ascii="SimSun" w:hAnsi="SimSun" w:eastAsia="SimSun" w:cs="SimSun"/>
          <w:sz w:val="24"/>
          <w:szCs w:val="24"/>
        </w:rPr>
        <w:t xml:space="preserve"> </w:t>
      </w:r>
      <w:r>
        <w:rPr>
          <w:rFonts w:ascii="SimSun" w:hAnsi="SimSun" w:eastAsia="SimSun" w:cs="SimSun"/>
          <w:sz w:val="24"/>
          <w:szCs w:val="24"/>
        </w:rPr>
        <w:t>（</w:t>
      </w:r>
      <w:r>
        <w:rPr>
          <w:rFonts w:ascii="Times New Roman" w:hAnsi="Times New Roman" w:eastAsia="Times New Roman" w:cs="Times New Roman"/>
          <w:sz w:val="24"/>
          <w:szCs w:val="24"/>
        </w:rPr>
        <w:t>GB15618-2018</w:t>
      </w:r>
      <w:r>
        <w:rPr>
          <w:rFonts w:ascii="SimSun" w:hAnsi="SimSun" w:eastAsia="SimSun" w:cs="SimSun"/>
          <w:sz w:val="24"/>
          <w:szCs w:val="24"/>
        </w:rPr>
        <w:t>）中表</w:t>
      </w:r>
      <w:r>
        <w:rPr>
          <w:rFonts w:ascii="SimSun" w:hAnsi="SimSun" w:eastAsia="SimSun" w:cs="SimSun"/>
          <w:sz w:val="24"/>
          <w:szCs w:val="24"/>
          <w:spacing w:val="-21"/>
        </w:rPr>
        <w:t xml:space="preserve"> </w:t>
      </w:r>
      <w:r>
        <w:rPr>
          <w:rFonts w:ascii="Times New Roman" w:hAnsi="Times New Roman" w:eastAsia="Times New Roman" w:cs="Times New Roman"/>
          <w:sz w:val="24"/>
          <w:szCs w:val="24"/>
        </w:rPr>
        <w:t>1 </w:t>
      </w:r>
      <w:r>
        <w:rPr>
          <w:rFonts w:ascii="SimSun" w:hAnsi="SimSun" w:eastAsia="SimSun" w:cs="SimSun"/>
          <w:sz w:val="24"/>
          <w:szCs w:val="24"/>
        </w:rPr>
        <w:t>风险筛选值标准，表明评价区整体及各样点土壤中污染 </w:t>
      </w:r>
      <w:r>
        <w:rPr>
          <w:rFonts w:ascii="SimSun" w:hAnsi="SimSun" w:eastAsia="SimSun" w:cs="SimSun"/>
          <w:sz w:val="24"/>
          <w:szCs w:val="24"/>
          <w:spacing w:val="-1"/>
        </w:rPr>
        <w:t>物对人体健康的风险可以忽略。</w:t>
      </w:r>
    </w:p>
    <w:p>
      <w:pPr>
        <w:pStyle w:val="BodyText"/>
        <w:spacing w:line="287" w:lineRule="auto"/>
        <w:rPr/>
      </w:pPr>
      <w:r/>
    </w:p>
    <w:p>
      <w:pPr>
        <w:pStyle w:val="BodyText"/>
        <w:spacing w:line="287" w:lineRule="auto"/>
        <w:rPr/>
      </w:pPr>
      <w:r/>
    </w:p>
    <w:p>
      <w:pPr>
        <w:pStyle w:val="BodyText"/>
        <w:spacing w:line="288" w:lineRule="auto"/>
        <w:rPr/>
      </w:pPr>
      <w:r/>
    </w:p>
    <w:p>
      <w:pPr>
        <w:pStyle w:val="BodyText"/>
        <w:spacing w:line="288" w:lineRule="auto"/>
        <w:rPr/>
      </w:pPr>
      <w:r/>
    </w:p>
    <w:p>
      <w:pPr>
        <w:ind w:left="7"/>
        <w:spacing w:before="63" w:line="227" w:lineRule="auto"/>
        <w:rPr>
          <w:rFonts w:ascii="SimSun" w:hAnsi="SimSun" w:eastAsia="SimSun" w:cs="SimSun"/>
          <w:sz w:val="19"/>
          <w:szCs w:val="19"/>
        </w:rPr>
      </w:pPr>
      <w:r>
        <w:pict>
          <v:shape id="_x0000_s1354" style="position:absolute;margin-left:159.33pt;margin-top:2.10877pt;mso-position-vertical-relative:text;mso-position-horizontal-relative:text;width:61pt;height:13.75pt;z-index:252418048;"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2"/>
                    </w:rPr>
                    <w:t>任公司</w:t>
                  </w:r>
                  <w:r>
                    <w:rPr>
                      <w:rFonts w:ascii="SimSun" w:hAnsi="SimSun" w:eastAsia="SimSun" w:cs="SimSun"/>
                      <w:sz w:val="19"/>
                      <w:szCs w:val="19"/>
                      <w:spacing w:val="14"/>
                    </w:rPr>
                    <w:t xml:space="preserve">   </w:t>
                  </w:r>
                  <w:r>
                    <w:rPr>
                      <w:rFonts w:ascii="Times New Roman" w:hAnsi="Times New Roman" w:eastAsia="Times New Roman" w:cs="Times New Roman"/>
                      <w:sz w:val="18"/>
                      <w:szCs w:val="18"/>
                      <w:spacing w:val="2"/>
                      <w:position w:val="2"/>
                    </w:rPr>
                    <w:t>305</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394"/>
          <w:footerReference w:type="default" r:id="rId3"/>
          <w:pgSz w:w="11907" w:h="16840"/>
          <w:pgMar w:top="1567" w:right="1699" w:bottom="400" w:left="1701" w:header="1221" w:footer="0" w:gutter="0"/>
        </w:sectPr>
        <w:rPr>
          <w:rFonts w:ascii="SimSun" w:hAnsi="SimSun" w:eastAsia="SimSun" w:cs="SimSun"/>
          <w:sz w:val="19"/>
          <w:szCs w:val="19"/>
        </w:rPr>
      </w:pPr>
    </w:p>
    <w:p>
      <w:pPr>
        <w:ind w:left="35"/>
        <w:spacing w:before="178" w:line="222" w:lineRule="auto"/>
        <w:outlineLvl w:val="1"/>
        <w:rPr>
          <w:rFonts w:ascii="SimHei" w:hAnsi="SimHei" w:eastAsia="SimHei" w:cs="SimHei"/>
          <w:sz w:val="30"/>
          <w:szCs w:val="30"/>
        </w:rPr>
      </w:pPr>
      <w:r>
        <w:pict>
          <v:shape id="_x0000_s1356" style="position:absolute;margin-left:85.05pt;margin-top:78.87pt;mso-position-vertical-relative:page;mso-position-horizontal-relative:page;width:425.25pt;height:0.75pt;z-index:252421120;" o:allowincell="f" fillcolor="#000000" filled="true" stroked="false" coordsize="8505,15" coordorigin="0,0" path="m,l8505,0l8505,14l0,14l0,0xe"/>
        </w:pict>
      </w:r>
      <w:bookmarkStart w:name="bookmark199" w:id="235"/>
      <w:bookmarkEnd w:id="235"/>
      <w:r>
        <w:rPr>
          <w:rFonts w:ascii="Times New Roman" w:hAnsi="Times New Roman" w:eastAsia="Times New Roman" w:cs="Times New Roman"/>
          <w:sz w:val="30"/>
          <w:szCs w:val="30"/>
          <w:spacing w:val="-3"/>
        </w:rPr>
        <w:t>10.4 </w:t>
      </w:r>
      <w:r>
        <w:rPr>
          <w:rFonts w:ascii="SimHei" w:hAnsi="SimHei" w:eastAsia="SimHei" w:cs="SimHei"/>
          <w:sz w:val="30"/>
          <w:szCs w:val="30"/>
          <w:spacing w:val="-3"/>
        </w:rPr>
        <w:t>环境影响分析与评价</w:t>
      </w:r>
    </w:p>
    <w:p>
      <w:pPr>
        <w:pStyle w:val="BodyText"/>
        <w:spacing w:line="289" w:lineRule="auto"/>
        <w:rPr/>
      </w:pPr>
      <w:r/>
    </w:p>
    <w:p>
      <w:pPr>
        <w:ind w:left="10" w:right="61" w:firstLine="490"/>
        <w:spacing w:before="78" w:line="312"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）大气环境：本项目大气环境评价等级为二级，不进行进一步</w:t>
      </w:r>
      <w:r>
        <w:rPr>
          <w:rFonts w:ascii="SimSun" w:hAnsi="SimSun" w:eastAsia="SimSun" w:cs="SimSun"/>
          <w:sz w:val="24"/>
          <w:szCs w:val="24"/>
          <w:spacing w:val="-2"/>
        </w:rPr>
        <w:t>的预测与评</w:t>
      </w:r>
      <w:r>
        <w:rPr>
          <w:rFonts w:ascii="SimSun" w:hAnsi="SimSun" w:eastAsia="SimSun" w:cs="SimSun"/>
          <w:sz w:val="24"/>
          <w:szCs w:val="24"/>
        </w:rPr>
        <w:t xml:space="preserve"> </w:t>
      </w:r>
      <w:r>
        <w:rPr>
          <w:rFonts w:ascii="SimSun" w:hAnsi="SimSun" w:eastAsia="SimSun" w:cs="SimSun"/>
          <w:sz w:val="24"/>
          <w:szCs w:val="24"/>
          <w:spacing w:val="-3"/>
        </w:rPr>
        <w:t>价，根据估算结果可知，本项目污染最大落地浓度占标率为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5.06%</w:t>
      </w:r>
      <w:r>
        <w:rPr>
          <w:rFonts w:ascii="SimSun" w:hAnsi="SimSun" w:eastAsia="SimSun" w:cs="SimSun"/>
          <w:sz w:val="24"/>
          <w:szCs w:val="24"/>
          <w:spacing w:val="-3"/>
        </w:rPr>
        <w:t>，</w:t>
      </w:r>
      <w:r>
        <w:rPr>
          <w:rFonts w:ascii="SimSun" w:hAnsi="SimSun" w:eastAsia="SimSun" w:cs="SimSun"/>
          <w:sz w:val="24"/>
          <w:szCs w:val="24"/>
          <w:spacing w:val="-4"/>
        </w:rPr>
        <w:t>对环境影响较</w:t>
      </w:r>
      <w:r>
        <w:rPr>
          <w:rFonts w:ascii="SimSun" w:hAnsi="SimSun" w:eastAsia="SimSun" w:cs="SimSun"/>
          <w:sz w:val="24"/>
          <w:szCs w:val="24"/>
        </w:rPr>
        <w:t xml:space="preserve"> </w:t>
      </w:r>
      <w:r>
        <w:rPr>
          <w:rFonts w:ascii="SimSun" w:hAnsi="SimSun" w:eastAsia="SimSun" w:cs="SimSun"/>
          <w:sz w:val="24"/>
          <w:szCs w:val="24"/>
          <w:spacing w:val="-1"/>
        </w:rPr>
        <w:t>小，本项目大气环境影响可以接受。</w:t>
      </w:r>
    </w:p>
    <w:p>
      <w:pPr>
        <w:ind w:left="501"/>
        <w:spacing w:before="184"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）水环境：</w:t>
      </w:r>
    </w:p>
    <w:p>
      <w:pPr>
        <w:ind w:left="8" w:firstLine="482"/>
        <w:spacing w:before="182" w:line="359" w:lineRule="auto"/>
        <w:jc w:val="both"/>
        <w:rPr>
          <w:rFonts w:ascii="SimSun" w:hAnsi="SimSun" w:eastAsia="SimSun" w:cs="SimSun"/>
          <w:sz w:val="24"/>
          <w:szCs w:val="24"/>
        </w:rPr>
      </w:pPr>
      <w:r>
        <w:rPr>
          <w:rFonts w:ascii="SimSun" w:hAnsi="SimSun" w:eastAsia="SimSun" w:cs="SimSun"/>
          <w:sz w:val="24"/>
          <w:szCs w:val="24"/>
          <w:spacing w:val="4"/>
        </w:rPr>
        <w:t>本项目东厂区和西厂区员工洗浴废水通过独立管</w:t>
      </w:r>
      <w:r>
        <w:rPr>
          <w:rFonts w:ascii="SimSun" w:hAnsi="SimSun" w:eastAsia="SimSun" w:cs="SimSun"/>
          <w:sz w:val="24"/>
          <w:szCs w:val="24"/>
          <w:spacing w:val="3"/>
        </w:rPr>
        <w:t>道系统外排市政污水管网，</w:t>
      </w:r>
      <w:r>
        <w:rPr>
          <w:rFonts w:ascii="SimSun" w:hAnsi="SimSun" w:eastAsia="SimSun" w:cs="SimSun"/>
          <w:sz w:val="24"/>
          <w:szCs w:val="24"/>
        </w:rPr>
        <w:t xml:space="preserve"> </w:t>
      </w:r>
      <w:r>
        <w:rPr>
          <w:rFonts w:ascii="SimSun" w:hAnsi="SimSun" w:eastAsia="SimSun" w:cs="SimSun"/>
          <w:sz w:val="24"/>
          <w:szCs w:val="24"/>
          <w:spacing w:val="3"/>
        </w:rPr>
        <w:t>进入明安图镇污水处理厂。食堂废水经隔油池处理后，</w:t>
      </w:r>
      <w:r>
        <w:rPr>
          <w:rFonts w:ascii="SimSun" w:hAnsi="SimSun" w:eastAsia="SimSun" w:cs="SimSun"/>
          <w:sz w:val="24"/>
          <w:szCs w:val="24"/>
          <w:spacing w:val="2"/>
        </w:rPr>
        <w:t>与洗浴废水一同通过独立</w:t>
      </w:r>
      <w:r>
        <w:rPr>
          <w:rFonts w:ascii="SimSun" w:hAnsi="SimSun" w:eastAsia="SimSun" w:cs="SimSun"/>
          <w:sz w:val="24"/>
          <w:szCs w:val="24"/>
        </w:rPr>
        <w:t xml:space="preserve"> </w:t>
      </w:r>
      <w:r>
        <w:rPr>
          <w:rFonts w:ascii="SimSun" w:hAnsi="SimSun" w:eastAsia="SimSun" w:cs="SimSun"/>
          <w:sz w:val="24"/>
          <w:szCs w:val="24"/>
          <w:spacing w:val="3"/>
        </w:rPr>
        <w:t>管道系统外排市政污水管网，进入明安图镇污水处理厂。西厂</w:t>
      </w:r>
      <w:r>
        <w:rPr>
          <w:rFonts w:ascii="SimSun" w:hAnsi="SimSun" w:eastAsia="SimSun" w:cs="SimSun"/>
          <w:sz w:val="24"/>
          <w:szCs w:val="24"/>
          <w:spacing w:val="2"/>
        </w:rPr>
        <w:t>区冲厕水经独立管</w:t>
      </w:r>
      <w:r>
        <w:rPr>
          <w:rFonts w:ascii="SimSun" w:hAnsi="SimSun" w:eastAsia="SimSun" w:cs="SimSun"/>
          <w:sz w:val="24"/>
          <w:szCs w:val="24"/>
        </w:rPr>
        <w:t xml:space="preserve"> </w:t>
      </w:r>
      <w:r>
        <w:rPr>
          <w:rFonts w:ascii="SimSun" w:hAnsi="SimSun" w:eastAsia="SimSun" w:cs="SimSun"/>
          <w:sz w:val="24"/>
          <w:szCs w:val="24"/>
          <w:spacing w:val="1"/>
        </w:rPr>
        <w:t>道排入化粪池（容积</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30m</w:t>
      </w:r>
      <w:r>
        <w:rPr>
          <w:rFonts w:ascii="Times New Roman" w:hAnsi="Times New Roman" w:eastAsia="Times New Roman" w:cs="Times New Roman"/>
          <w:sz w:val="15"/>
          <w:szCs w:val="15"/>
          <w:spacing w:val="1"/>
          <w:position w:val="8"/>
        </w:rPr>
        <w:t>3 </w:t>
      </w:r>
      <w:r>
        <w:rPr>
          <w:rFonts w:ascii="SimSun" w:hAnsi="SimSun" w:eastAsia="SimSun" w:cs="SimSun"/>
          <w:sz w:val="24"/>
          <w:szCs w:val="24"/>
          <w:spacing w:val="1"/>
        </w:rPr>
        <w:t>）预处理后，输送至废水收集池，通过</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TS</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调</w:t>
      </w:r>
      <w:r>
        <w:rPr>
          <w:rFonts w:ascii="SimSun" w:hAnsi="SimSun" w:eastAsia="SimSun" w:cs="SimSun"/>
          <w:sz w:val="24"/>
          <w:szCs w:val="24"/>
        </w:rPr>
        <w:t>节池调质 </w:t>
      </w:r>
      <w:r>
        <w:rPr>
          <w:rFonts w:ascii="SimSun" w:hAnsi="SimSun" w:eastAsia="SimSun" w:cs="SimSun"/>
          <w:sz w:val="24"/>
          <w:szCs w:val="24"/>
          <w:spacing w:val="3"/>
        </w:rPr>
        <w:t>后进入厌氧发酵装置，厌氧发酵达到沼肥标准后还田利</w:t>
      </w:r>
      <w:r>
        <w:rPr>
          <w:rFonts w:ascii="SimSun" w:hAnsi="SimSun" w:eastAsia="SimSun" w:cs="SimSun"/>
          <w:sz w:val="24"/>
          <w:szCs w:val="24"/>
          <w:spacing w:val="2"/>
        </w:rPr>
        <w:t>用。东厂区冲厕水与洗毛</w:t>
      </w:r>
      <w:r>
        <w:rPr>
          <w:rFonts w:ascii="SimSun" w:hAnsi="SimSun" w:eastAsia="SimSun" w:cs="SimSun"/>
          <w:sz w:val="24"/>
          <w:szCs w:val="24"/>
        </w:rPr>
        <w:t xml:space="preserve"> </w:t>
      </w:r>
      <w:r>
        <w:rPr>
          <w:rFonts w:ascii="SimSun" w:hAnsi="SimSun" w:eastAsia="SimSun" w:cs="SimSun"/>
          <w:sz w:val="24"/>
          <w:szCs w:val="24"/>
          <w:spacing w:val="-3"/>
        </w:rPr>
        <w:t>废水一起进入洗毛废水收集池（</w:t>
      </w:r>
      <w:r>
        <w:rPr>
          <w:rFonts w:ascii="Times New Roman" w:hAnsi="Times New Roman" w:eastAsia="Times New Roman" w:cs="Times New Roman"/>
          <w:sz w:val="24"/>
          <w:szCs w:val="24"/>
          <w:spacing w:val="-3"/>
        </w:rPr>
        <w:t>10m</w:t>
      </w:r>
      <w:r>
        <w:rPr>
          <w:rFonts w:ascii="Times New Roman" w:hAnsi="Times New Roman" w:eastAsia="Times New Roman" w:cs="Times New Roman"/>
          <w:sz w:val="15"/>
          <w:szCs w:val="15"/>
          <w:spacing w:val="-3"/>
          <w:position w:val="8"/>
        </w:rPr>
        <w:t>3 </w:t>
      </w:r>
      <w:r>
        <w:rPr>
          <w:rFonts w:ascii="SimSun" w:hAnsi="SimSun" w:eastAsia="SimSun" w:cs="SimSun"/>
          <w:sz w:val="24"/>
          <w:szCs w:val="24"/>
          <w:spacing w:val="-16"/>
        </w:rPr>
        <w:t>），</w:t>
      </w:r>
      <w:r>
        <w:rPr>
          <w:rFonts w:ascii="SimSun" w:hAnsi="SimSun" w:eastAsia="SimSun" w:cs="SimSun"/>
          <w:sz w:val="24"/>
          <w:szCs w:val="24"/>
          <w:spacing w:val="-3"/>
        </w:rPr>
        <w:t>然后通过管道输送至西厂区废水收集池，</w:t>
      </w:r>
      <w:r>
        <w:rPr>
          <w:rFonts w:ascii="SimSun" w:hAnsi="SimSun" w:eastAsia="SimSun" w:cs="SimSun"/>
          <w:sz w:val="24"/>
          <w:szCs w:val="24"/>
        </w:rPr>
        <w:t xml:space="preserve"> </w:t>
      </w:r>
      <w:r>
        <w:rPr>
          <w:rFonts w:ascii="SimSun" w:hAnsi="SimSun" w:eastAsia="SimSun" w:cs="SimSun"/>
          <w:sz w:val="24"/>
          <w:szCs w:val="24"/>
          <w:spacing w:val="-1"/>
        </w:rPr>
        <w:t>通过</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1"/>
        </w:rPr>
        <w:t>TS </w:t>
      </w:r>
      <w:r>
        <w:rPr>
          <w:rFonts w:ascii="SimSun" w:hAnsi="SimSun" w:eastAsia="SimSun" w:cs="SimSun"/>
          <w:sz w:val="24"/>
          <w:szCs w:val="24"/>
          <w:spacing w:val="-1"/>
        </w:rPr>
        <w:t>调节池调质后进入厌氧发酵装置，厌氧发酵达到沼肥标准后还田利用。</w:t>
      </w:r>
    </w:p>
    <w:p>
      <w:pPr>
        <w:ind w:left="8" w:firstLine="480"/>
        <w:spacing w:before="1" w:line="359" w:lineRule="auto"/>
        <w:jc w:val="both"/>
        <w:rPr>
          <w:rFonts w:ascii="SimSun" w:hAnsi="SimSun" w:eastAsia="SimSun" w:cs="SimSun"/>
          <w:sz w:val="24"/>
          <w:szCs w:val="24"/>
        </w:rPr>
      </w:pPr>
      <w:r>
        <w:rPr>
          <w:rFonts w:ascii="SimSun" w:hAnsi="SimSun" w:eastAsia="SimSun" w:cs="SimSun"/>
          <w:sz w:val="24"/>
          <w:szCs w:val="24"/>
        </w:rPr>
        <w:t>洗毛废水、地面冲洗废水经废水收集池收集、</w:t>
      </w:r>
      <w:r>
        <w:rPr>
          <w:rFonts w:ascii="Times New Roman" w:hAnsi="Times New Roman" w:eastAsia="Times New Roman" w:cs="Times New Roman"/>
          <w:sz w:val="24"/>
          <w:szCs w:val="24"/>
        </w:rPr>
        <w:t>TS </w:t>
      </w:r>
      <w:r>
        <w:rPr>
          <w:rFonts w:ascii="SimSun" w:hAnsi="SimSun" w:eastAsia="SimSun" w:cs="SimSun"/>
          <w:sz w:val="24"/>
          <w:szCs w:val="24"/>
        </w:rPr>
        <w:t>调节池调质后进入</w:t>
      </w:r>
      <w:r>
        <w:rPr>
          <w:rFonts w:ascii="SimSun" w:hAnsi="SimSun" w:eastAsia="SimSun" w:cs="SimSun"/>
          <w:sz w:val="24"/>
          <w:szCs w:val="24"/>
          <w:spacing w:val="-1"/>
        </w:rPr>
        <w:t>厌氧发酵</w:t>
      </w:r>
      <w:r>
        <w:rPr>
          <w:rFonts w:ascii="SimSun" w:hAnsi="SimSun" w:eastAsia="SimSun" w:cs="SimSun"/>
          <w:sz w:val="24"/>
          <w:szCs w:val="24"/>
        </w:rPr>
        <w:t xml:space="preserve"> </w:t>
      </w:r>
      <w:r>
        <w:rPr>
          <w:rFonts w:ascii="SimSun" w:hAnsi="SimSun" w:eastAsia="SimSun" w:cs="SimSun"/>
          <w:sz w:val="24"/>
          <w:szCs w:val="24"/>
          <w:spacing w:val="2"/>
        </w:rPr>
        <w:t>装置，厌氧发酵达到沼肥标准后还田利用（自用</w:t>
      </w:r>
      <w:r>
        <w:rPr>
          <w:rFonts w:ascii="SimSun" w:hAnsi="SimSun" w:eastAsia="SimSun" w:cs="SimSun"/>
          <w:sz w:val="24"/>
          <w:szCs w:val="24"/>
          <w:spacing w:val="14"/>
        </w:rPr>
        <w:t>），</w:t>
      </w:r>
      <w:r>
        <w:rPr>
          <w:rFonts w:ascii="SimSun" w:hAnsi="SimSun" w:eastAsia="SimSun" w:cs="SimSun"/>
          <w:sz w:val="24"/>
          <w:szCs w:val="24"/>
          <w:spacing w:val="2"/>
        </w:rPr>
        <w:t>不外排；纯水制备排污及锅</w:t>
      </w:r>
      <w:r>
        <w:rPr>
          <w:rFonts w:ascii="SimSun" w:hAnsi="SimSun" w:eastAsia="SimSun" w:cs="SimSun"/>
          <w:sz w:val="24"/>
          <w:szCs w:val="24"/>
        </w:rPr>
        <w:t xml:space="preserve"> </w:t>
      </w:r>
      <w:r>
        <w:rPr>
          <w:rFonts w:ascii="SimSun" w:hAnsi="SimSun" w:eastAsia="SimSun" w:cs="SimSun"/>
          <w:sz w:val="24"/>
          <w:szCs w:val="24"/>
          <w:spacing w:val="-2"/>
        </w:rPr>
        <w:t>炉排污用作锅炉草木灰抑尘及厂区内道路抑尘用水，剩</w:t>
      </w:r>
      <w:r>
        <w:rPr>
          <w:rFonts w:ascii="SimSun" w:hAnsi="SimSun" w:eastAsia="SimSun" w:cs="SimSun"/>
          <w:sz w:val="24"/>
          <w:szCs w:val="24"/>
          <w:spacing w:val="-3"/>
        </w:rPr>
        <w:t>余部分排入市政污水管网，</w:t>
      </w:r>
      <w:r>
        <w:rPr>
          <w:rFonts w:ascii="SimSun" w:hAnsi="SimSun" w:eastAsia="SimSun" w:cs="SimSun"/>
          <w:sz w:val="24"/>
          <w:szCs w:val="24"/>
        </w:rPr>
        <w:t xml:space="preserve"> </w:t>
      </w:r>
      <w:r>
        <w:rPr>
          <w:rFonts w:ascii="SimSun" w:hAnsi="SimSun" w:eastAsia="SimSun" w:cs="SimSun"/>
          <w:sz w:val="24"/>
          <w:szCs w:val="24"/>
          <w:spacing w:val="3"/>
        </w:rPr>
        <w:t>进入明安图镇污水处理厂。废水不会直接进入当地的水体环境</w:t>
      </w:r>
      <w:r>
        <w:rPr>
          <w:rFonts w:ascii="SimSun" w:hAnsi="SimSun" w:eastAsia="SimSun" w:cs="SimSun"/>
          <w:sz w:val="24"/>
          <w:szCs w:val="24"/>
          <w:spacing w:val="2"/>
        </w:rPr>
        <w:t>，不会对地表水环</w:t>
      </w:r>
      <w:r>
        <w:rPr>
          <w:rFonts w:ascii="SimSun" w:hAnsi="SimSun" w:eastAsia="SimSun" w:cs="SimSun"/>
          <w:sz w:val="24"/>
          <w:szCs w:val="24"/>
        </w:rPr>
        <w:t xml:space="preserve"> </w:t>
      </w:r>
      <w:r>
        <w:rPr>
          <w:rFonts w:ascii="SimSun" w:hAnsi="SimSun" w:eastAsia="SimSun" w:cs="SimSun"/>
          <w:sz w:val="24"/>
          <w:szCs w:val="24"/>
          <w:spacing w:val="3"/>
        </w:rPr>
        <w:t>境产生较大的影响。同时在建设过程中，对厂内重点部</w:t>
      </w:r>
      <w:r>
        <w:rPr>
          <w:rFonts w:ascii="SimSun" w:hAnsi="SimSun" w:eastAsia="SimSun" w:cs="SimSun"/>
          <w:sz w:val="24"/>
          <w:szCs w:val="24"/>
          <w:spacing w:val="2"/>
        </w:rPr>
        <w:t>位均进行了防渗处理，可</w:t>
      </w:r>
      <w:r>
        <w:rPr>
          <w:rFonts w:ascii="SimSun" w:hAnsi="SimSun" w:eastAsia="SimSun" w:cs="SimSun"/>
          <w:sz w:val="24"/>
          <w:szCs w:val="24"/>
        </w:rPr>
        <w:t xml:space="preserve"> </w:t>
      </w:r>
      <w:r>
        <w:rPr>
          <w:rFonts w:ascii="SimSun" w:hAnsi="SimSun" w:eastAsia="SimSun" w:cs="SimSun"/>
          <w:sz w:val="24"/>
          <w:szCs w:val="24"/>
          <w:spacing w:val="3"/>
        </w:rPr>
        <w:t>防止污水的下渗对当地的地下水产生污染，本项目污水</w:t>
      </w:r>
      <w:r>
        <w:rPr>
          <w:rFonts w:ascii="SimSun" w:hAnsi="SimSun" w:eastAsia="SimSun" w:cs="SimSun"/>
          <w:sz w:val="24"/>
          <w:szCs w:val="24"/>
          <w:spacing w:val="2"/>
        </w:rPr>
        <w:t>对所在区域水环境的影响</w:t>
      </w:r>
      <w:r>
        <w:rPr>
          <w:rFonts w:ascii="SimSun" w:hAnsi="SimSun" w:eastAsia="SimSun" w:cs="SimSun"/>
          <w:sz w:val="24"/>
          <w:szCs w:val="24"/>
        </w:rPr>
        <w:t xml:space="preserve"> </w:t>
      </w:r>
      <w:r>
        <w:rPr>
          <w:rFonts w:ascii="SimSun" w:hAnsi="SimSun" w:eastAsia="SimSun" w:cs="SimSun"/>
          <w:sz w:val="24"/>
          <w:szCs w:val="24"/>
          <w:spacing w:val="-3"/>
        </w:rPr>
        <w:t>很小。</w:t>
      </w:r>
    </w:p>
    <w:p>
      <w:pPr>
        <w:ind w:left="8" w:right="59" w:firstLine="506"/>
        <w:spacing w:before="4" w:line="359" w:lineRule="auto"/>
        <w:jc w:val="both"/>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3</w:t>
      </w:r>
      <w:r>
        <w:rPr>
          <w:rFonts w:ascii="SimSun" w:hAnsi="SimSun" w:eastAsia="SimSun" w:cs="SimSun"/>
          <w:sz w:val="24"/>
          <w:szCs w:val="24"/>
          <w:spacing w:val="5"/>
        </w:rPr>
        <w:t>）固体废物：本项目废包装物外售废品回收企业综合利用；开松杂质根</w:t>
      </w:r>
      <w:r>
        <w:rPr>
          <w:rFonts w:ascii="SimSun" w:hAnsi="SimSun" w:eastAsia="SimSun" w:cs="SimSun"/>
          <w:sz w:val="24"/>
          <w:szCs w:val="24"/>
          <w:spacing w:val="14"/>
        </w:rPr>
        <w:t xml:space="preserve"> </w:t>
      </w:r>
      <w:r>
        <w:rPr>
          <w:rFonts w:ascii="SimSun" w:hAnsi="SimSun" w:eastAsia="SimSun" w:cs="SimSun"/>
          <w:sz w:val="24"/>
          <w:szCs w:val="24"/>
          <w:spacing w:val="10"/>
        </w:rPr>
        <w:t>据其成分特征，外运内蒙古盎然农业发展有限</w:t>
      </w:r>
      <w:r>
        <w:rPr>
          <w:rFonts w:ascii="SimSun" w:hAnsi="SimSun" w:eastAsia="SimSun" w:cs="SimSun"/>
          <w:sz w:val="24"/>
          <w:szCs w:val="24"/>
          <w:spacing w:val="9"/>
        </w:rPr>
        <w:t>公司有机肥厂做有机肥，待内蒙</w:t>
      </w:r>
      <w:r>
        <w:rPr>
          <w:rFonts w:ascii="SimSun" w:hAnsi="SimSun" w:eastAsia="SimSun" w:cs="SimSun"/>
          <w:sz w:val="24"/>
          <w:szCs w:val="24"/>
        </w:rPr>
        <w:t xml:space="preserve"> </w:t>
      </w:r>
      <w:r>
        <w:rPr>
          <w:rFonts w:ascii="SimSun" w:hAnsi="SimSun" w:eastAsia="SimSun" w:cs="SimSun"/>
          <w:sz w:val="24"/>
          <w:szCs w:val="24"/>
          <w:spacing w:val="10"/>
        </w:rPr>
        <w:t>古源浩羊绒制品有限公司废弃物高效循环利用</w:t>
      </w:r>
      <w:r>
        <w:rPr>
          <w:rFonts w:ascii="SimSun" w:hAnsi="SimSun" w:eastAsia="SimSun" w:cs="SimSun"/>
          <w:sz w:val="24"/>
          <w:szCs w:val="24"/>
          <w:spacing w:val="9"/>
        </w:rPr>
        <w:t>项目（二期）有机肥生产线建成</w:t>
      </w:r>
      <w:r>
        <w:rPr>
          <w:rFonts w:ascii="SimSun" w:hAnsi="SimSun" w:eastAsia="SimSun" w:cs="SimSun"/>
          <w:sz w:val="24"/>
          <w:szCs w:val="24"/>
        </w:rPr>
        <w:t xml:space="preserve"> </w:t>
      </w:r>
      <w:r>
        <w:rPr>
          <w:rFonts w:ascii="SimSun" w:hAnsi="SimSun" w:eastAsia="SimSun" w:cs="SimSun"/>
          <w:sz w:val="24"/>
          <w:szCs w:val="24"/>
          <w:spacing w:val="9"/>
        </w:rPr>
        <w:t>后用于生产有机肥；梳绒短纤维及杂毛外售综合利用（工业毛毡等</w:t>
      </w:r>
      <w:r>
        <w:rPr>
          <w:rFonts w:ascii="SimSun" w:hAnsi="SimSun" w:eastAsia="SimSun" w:cs="SimSun"/>
          <w:sz w:val="24"/>
          <w:szCs w:val="24"/>
          <w:spacing w:val="-6"/>
        </w:rPr>
        <w:t>）</w:t>
      </w:r>
      <w:r>
        <w:rPr>
          <w:rFonts w:ascii="SimSun" w:hAnsi="SimSun" w:eastAsia="SimSun" w:cs="SimSun"/>
          <w:sz w:val="24"/>
          <w:szCs w:val="24"/>
          <w:spacing w:val="-70"/>
        </w:rPr>
        <w:t xml:space="preserve"> </w:t>
      </w:r>
      <w:r>
        <w:rPr>
          <w:rFonts w:ascii="SimSun" w:hAnsi="SimSun" w:eastAsia="SimSun" w:cs="SimSun"/>
          <w:sz w:val="24"/>
          <w:szCs w:val="24"/>
          <w:spacing w:val="-6"/>
        </w:rPr>
        <w:t>；</w:t>
      </w:r>
      <w:r>
        <w:rPr>
          <w:rFonts w:ascii="SimSun" w:hAnsi="SimSun" w:eastAsia="SimSun" w:cs="SimSun"/>
          <w:sz w:val="24"/>
          <w:szCs w:val="24"/>
          <w:spacing w:val="9"/>
        </w:rPr>
        <w:t>废脱硫</w:t>
      </w:r>
      <w:r>
        <w:rPr>
          <w:rFonts w:ascii="SimSun" w:hAnsi="SimSun" w:eastAsia="SimSun" w:cs="SimSun"/>
          <w:sz w:val="24"/>
          <w:szCs w:val="24"/>
        </w:rPr>
        <w:t xml:space="preserve"> </w:t>
      </w:r>
      <w:r>
        <w:rPr>
          <w:rFonts w:ascii="SimSun" w:hAnsi="SimSun" w:eastAsia="SimSun" w:cs="SimSun"/>
          <w:sz w:val="24"/>
          <w:szCs w:val="24"/>
          <w:spacing w:val="10"/>
        </w:rPr>
        <w:t>剂、废</w:t>
      </w:r>
      <w:r>
        <w:rPr>
          <w:rFonts w:ascii="SimSun" w:hAnsi="SimSun" w:eastAsia="SimSun" w:cs="SimSun"/>
          <w:sz w:val="24"/>
          <w:szCs w:val="24"/>
          <w:spacing w:val="-44"/>
        </w:rPr>
        <w:t xml:space="preserve"> </w:t>
      </w:r>
      <w:r>
        <w:rPr>
          <w:rFonts w:ascii="Times New Roman" w:hAnsi="Times New Roman" w:eastAsia="Times New Roman" w:cs="Times New Roman"/>
          <w:sz w:val="24"/>
          <w:szCs w:val="24"/>
        </w:rPr>
        <w:t>RO</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10"/>
        </w:rPr>
        <w:t>膜、废过滤器组件由其生产厂家回收；锅炉草木灰外售作为</w:t>
      </w:r>
      <w:r>
        <w:rPr>
          <w:rFonts w:ascii="SimSun" w:hAnsi="SimSun" w:eastAsia="SimSun" w:cs="SimSun"/>
          <w:sz w:val="24"/>
          <w:szCs w:val="24"/>
          <w:spacing w:val="9"/>
        </w:rPr>
        <w:t>肥料还</w:t>
      </w:r>
      <w:r>
        <w:rPr>
          <w:rFonts w:ascii="SimSun" w:hAnsi="SimSun" w:eastAsia="SimSun" w:cs="SimSun"/>
          <w:sz w:val="24"/>
          <w:szCs w:val="24"/>
        </w:rPr>
        <w:t xml:space="preserve"> </w:t>
      </w:r>
      <w:r>
        <w:rPr>
          <w:rFonts w:ascii="SimSun" w:hAnsi="SimSun" w:eastAsia="SimSun" w:cs="SimSun"/>
          <w:sz w:val="24"/>
          <w:szCs w:val="24"/>
          <w:spacing w:val="10"/>
        </w:rPr>
        <w:t>田；废布袋由其生产厂家回收处理；废活性炭</w:t>
      </w:r>
      <w:r>
        <w:rPr>
          <w:rFonts w:ascii="SimSun" w:hAnsi="SimSun" w:eastAsia="SimSun" w:cs="SimSun"/>
          <w:sz w:val="24"/>
          <w:szCs w:val="24"/>
          <w:spacing w:val="9"/>
        </w:rPr>
        <w:t>、废矿物油、废油桶委托有资质</w:t>
      </w:r>
      <w:r>
        <w:rPr>
          <w:rFonts w:ascii="SimSun" w:hAnsi="SimSun" w:eastAsia="SimSun" w:cs="SimSun"/>
          <w:sz w:val="24"/>
          <w:szCs w:val="24"/>
        </w:rPr>
        <w:t xml:space="preserve"> </w:t>
      </w:r>
      <w:r>
        <w:rPr>
          <w:rFonts w:ascii="SimSun" w:hAnsi="SimSun" w:eastAsia="SimSun" w:cs="SimSun"/>
          <w:sz w:val="24"/>
          <w:szCs w:val="24"/>
          <w:spacing w:val="2"/>
        </w:rPr>
        <w:t>单位处理；生活垃圾集中收集，定期交由环卫部门处理，厂区内建</w:t>
      </w:r>
      <w:r>
        <w:rPr>
          <w:rFonts w:ascii="SimSun" w:hAnsi="SimSun" w:eastAsia="SimSun" w:cs="SimSun"/>
          <w:sz w:val="24"/>
          <w:szCs w:val="24"/>
          <w:spacing w:val="1"/>
        </w:rPr>
        <w:t>设了</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座一般</w:t>
      </w:r>
      <w:r>
        <w:rPr>
          <w:rFonts w:ascii="SimSun" w:hAnsi="SimSun" w:eastAsia="SimSun" w:cs="SimSun"/>
          <w:sz w:val="24"/>
          <w:szCs w:val="24"/>
        </w:rPr>
        <w:t xml:space="preserve"> </w:t>
      </w:r>
      <w:r>
        <w:rPr>
          <w:rFonts w:ascii="SimSun" w:hAnsi="SimSun" w:eastAsia="SimSun" w:cs="SimSun"/>
          <w:sz w:val="24"/>
          <w:szCs w:val="24"/>
          <w:spacing w:val="-2"/>
        </w:rPr>
        <w:t>固体废物暂存间、</w:t>
      </w:r>
      <w:r>
        <w:rPr>
          <w:rFonts w:ascii="Times New Roman" w:hAnsi="Times New Roman" w:eastAsia="Times New Roman" w:cs="Times New Roman"/>
          <w:sz w:val="24"/>
          <w:szCs w:val="24"/>
          <w:spacing w:val="-2"/>
        </w:rPr>
        <w:t>1 </w:t>
      </w:r>
      <w:r>
        <w:rPr>
          <w:rFonts w:ascii="SimSun" w:hAnsi="SimSun" w:eastAsia="SimSun" w:cs="SimSun"/>
          <w:sz w:val="24"/>
          <w:szCs w:val="24"/>
          <w:spacing w:val="-2"/>
        </w:rPr>
        <w:t>座危险废物暂存间，用于本项目</w:t>
      </w:r>
      <w:r>
        <w:rPr>
          <w:rFonts w:ascii="SimSun" w:hAnsi="SimSun" w:eastAsia="SimSun" w:cs="SimSun"/>
          <w:sz w:val="24"/>
          <w:szCs w:val="24"/>
          <w:spacing w:val="-3"/>
        </w:rPr>
        <w:t>工业固体废物在厂区内的临时</w:t>
      </w:r>
    </w:p>
    <w:p>
      <w:pPr>
        <w:spacing w:line="359" w:lineRule="auto"/>
        <w:sectPr>
          <w:headerReference w:type="default" r:id="rId16"/>
          <w:footerReference w:type="default" r:id="rId395"/>
          <w:pgSz w:w="11907" w:h="16840"/>
          <w:pgMar w:top="1567" w:right="1640" w:bottom="1921" w:left="1701" w:header="1221" w:footer="1247" w:gutter="0"/>
        </w:sectPr>
        <w:rPr>
          <w:rFonts w:ascii="SimSun" w:hAnsi="SimSun" w:eastAsia="SimSun" w:cs="SimSun"/>
          <w:sz w:val="24"/>
          <w:szCs w:val="24"/>
        </w:rPr>
      </w:pPr>
    </w:p>
    <w:p>
      <w:pPr>
        <w:ind w:left="10"/>
        <w:spacing w:before="188" w:line="219" w:lineRule="auto"/>
        <w:rPr>
          <w:rFonts w:ascii="SimSun" w:hAnsi="SimSun" w:eastAsia="SimSun" w:cs="SimSun"/>
          <w:sz w:val="24"/>
          <w:szCs w:val="24"/>
        </w:rPr>
      </w:pPr>
      <w:r>
        <w:pict>
          <v:shape id="_x0000_s1360" style="position:absolute;margin-left:85.05pt;margin-top:79.11pt;mso-position-vertical-relative:page;mso-position-horizontal-relative:page;width:425.25pt;height:0.75pt;z-index:252425216;" o:allowincell="f" fillcolor="#000000" filled="true" stroked="false" coordsize="8505,15" coordorigin="0,0" path="m,l8505,0l8505,14l0,14l0,0xe"/>
        </w:pict>
      </w:r>
      <w:r>
        <w:rPr>
          <w:rFonts w:ascii="SimSun" w:hAnsi="SimSun" w:eastAsia="SimSun" w:cs="SimSun"/>
          <w:sz w:val="24"/>
          <w:szCs w:val="24"/>
          <w:spacing w:val="-4"/>
        </w:rPr>
        <w:t>贮存。</w:t>
      </w:r>
    </w:p>
    <w:p>
      <w:pPr>
        <w:ind w:left="8" w:right="2" w:firstLine="492"/>
        <w:spacing w:before="182" w:line="32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）声环境：在采取相应的措施后，可保证操作环境中的设备噪</w:t>
      </w:r>
      <w:r>
        <w:rPr>
          <w:rFonts w:ascii="SimSun" w:hAnsi="SimSun" w:eastAsia="SimSun" w:cs="SimSun"/>
          <w:sz w:val="24"/>
          <w:szCs w:val="24"/>
          <w:spacing w:val="-2"/>
        </w:rPr>
        <w:t>声低于《中</w:t>
      </w:r>
      <w:r>
        <w:rPr>
          <w:rFonts w:ascii="SimSun" w:hAnsi="SimSun" w:eastAsia="SimSun" w:cs="SimSun"/>
          <w:sz w:val="24"/>
          <w:szCs w:val="24"/>
        </w:rPr>
        <w:t xml:space="preserve"> </w:t>
      </w:r>
      <w:r>
        <w:rPr>
          <w:rFonts w:ascii="SimSun" w:hAnsi="SimSun" w:eastAsia="SimSun" w:cs="SimSun"/>
          <w:sz w:val="24"/>
          <w:szCs w:val="24"/>
          <w:spacing w:val="-2"/>
        </w:rPr>
        <w:t>华人民共和国国家职业卫生标准》（</w:t>
      </w:r>
      <w:r>
        <w:rPr>
          <w:rFonts w:ascii="Times New Roman" w:hAnsi="Times New Roman" w:eastAsia="Times New Roman" w:cs="Times New Roman"/>
          <w:sz w:val="24"/>
          <w:szCs w:val="24"/>
          <w:spacing w:val="-2"/>
        </w:rPr>
        <w:t>GBZ2.2-2007</w:t>
      </w:r>
      <w:r>
        <w:rPr>
          <w:rFonts w:ascii="SimSun" w:hAnsi="SimSun" w:eastAsia="SimSun" w:cs="SimSun"/>
          <w:sz w:val="24"/>
          <w:szCs w:val="24"/>
          <w:spacing w:val="-2"/>
        </w:rPr>
        <w:t>）中规定的</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85</w:t>
      </w:r>
      <w:r>
        <w:rPr>
          <w:rFonts w:ascii="Times New Roman" w:hAnsi="Times New Roman" w:eastAsia="Times New Roman" w:cs="Times New Roman"/>
          <w:sz w:val="24"/>
          <w:szCs w:val="24"/>
          <w:spacing w:val="-3"/>
        </w:rPr>
        <w:t>dB</w:t>
      </w:r>
      <w:r>
        <w:rPr>
          <w:rFonts w:ascii="SimSun" w:hAnsi="SimSun" w:eastAsia="SimSun" w:cs="SimSun"/>
          <w:sz w:val="24"/>
          <w:szCs w:val="24"/>
          <w:spacing w:val="-3"/>
        </w:rPr>
        <w:t>（</w:t>
      </w:r>
      <w:r>
        <w:rPr>
          <w:rFonts w:ascii="Times New Roman" w:hAnsi="Times New Roman" w:eastAsia="Times New Roman" w:cs="Times New Roman"/>
          <w:sz w:val="24"/>
          <w:szCs w:val="24"/>
          <w:spacing w:val="-3"/>
        </w:rPr>
        <w:t>A</w:t>
      </w:r>
      <w:r>
        <w:rPr>
          <w:rFonts w:ascii="SimSun" w:hAnsi="SimSun" w:eastAsia="SimSun" w:cs="SimSun"/>
          <w:sz w:val="24"/>
          <w:szCs w:val="24"/>
          <w:spacing w:val="-3"/>
        </w:rPr>
        <w:t>）标准，从</w:t>
      </w:r>
      <w:r>
        <w:rPr>
          <w:rFonts w:ascii="SimSun" w:hAnsi="SimSun" w:eastAsia="SimSun" w:cs="SimSun"/>
          <w:sz w:val="24"/>
          <w:szCs w:val="24"/>
        </w:rPr>
        <w:t xml:space="preserve"> </w:t>
      </w:r>
      <w:r>
        <w:rPr>
          <w:rFonts w:ascii="SimSun" w:hAnsi="SimSun" w:eastAsia="SimSun" w:cs="SimSun"/>
          <w:sz w:val="24"/>
          <w:szCs w:val="24"/>
          <w:spacing w:val="-4"/>
        </w:rPr>
        <w:t>而对操作人员起到保护作用，同时通过距离衰减等，可保证厂界噪声不会超</w:t>
      </w:r>
      <w:r>
        <w:rPr>
          <w:rFonts w:ascii="SimSun" w:hAnsi="SimSun" w:eastAsia="SimSun" w:cs="SimSun"/>
          <w:sz w:val="24"/>
          <w:szCs w:val="24"/>
          <w:spacing w:val="-5"/>
        </w:rPr>
        <w:t>过《工</w:t>
      </w:r>
      <w:r>
        <w:rPr>
          <w:rFonts w:ascii="SimSun" w:hAnsi="SimSun" w:eastAsia="SimSun" w:cs="SimSun"/>
          <w:sz w:val="24"/>
          <w:szCs w:val="24"/>
        </w:rPr>
        <w:t xml:space="preserve"> </w:t>
      </w:r>
      <w:r>
        <w:rPr>
          <w:rFonts w:ascii="SimSun" w:hAnsi="SimSun" w:eastAsia="SimSun" w:cs="SimSun"/>
          <w:sz w:val="24"/>
          <w:szCs w:val="24"/>
          <w:spacing w:val="-1"/>
        </w:rPr>
        <w:t>业企业厂界环境噪声排放标准》中的</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类标准要求。</w:t>
      </w:r>
    </w:p>
    <w:p>
      <w:pPr>
        <w:ind w:left="10" w:firstLine="490"/>
        <w:spacing w:before="179" w:line="31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）生态环境：项目位于锡林郭勒盟正镶白旗明安图镇乌宁巴图</w:t>
      </w:r>
      <w:r>
        <w:rPr>
          <w:rFonts w:ascii="SimSun" w:hAnsi="SimSun" w:eastAsia="SimSun" w:cs="SimSun"/>
          <w:sz w:val="24"/>
          <w:szCs w:val="24"/>
          <w:spacing w:val="-2"/>
        </w:rPr>
        <w:t>西街，主要</w:t>
      </w:r>
      <w:r>
        <w:rPr>
          <w:rFonts w:ascii="SimSun" w:hAnsi="SimSun" w:eastAsia="SimSun" w:cs="SimSun"/>
          <w:sz w:val="24"/>
          <w:szCs w:val="24"/>
        </w:rPr>
        <w:t xml:space="preserve"> </w:t>
      </w:r>
      <w:r>
        <w:rPr>
          <w:rFonts w:ascii="SimSun" w:hAnsi="SimSun" w:eastAsia="SimSun" w:cs="SimSun"/>
          <w:sz w:val="24"/>
          <w:szCs w:val="24"/>
          <w:spacing w:val="1"/>
        </w:rPr>
        <w:t>利用现有的废弃厂区进行建设，</w:t>
      </w:r>
      <w:r>
        <w:rPr>
          <w:rFonts w:ascii="SimSun" w:hAnsi="SimSun" w:eastAsia="SimSun" w:cs="SimSun"/>
          <w:sz w:val="24"/>
          <w:szCs w:val="24"/>
          <w:spacing w:val="-61"/>
        </w:rPr>
        <w:t xml:space="preserve"> </w:t>
      </w:r>
      <w:r>
        <w:rPr>
          <w:rFonts w:ascii="SimSun" w:hAnsi="SimSun" w:eastAsia="SimSun" w:cs="SimSun"/>
          <w:sz w:val="24"/>
          <w:szCs w:val="24"/>
          <w:spacing w:val="1"/>
        </w:rPr>
        <w:t>占地性质属于工业用地，对土地利用影响很小对</w:t>
      </w:r>
      <w:r>
        <w:rPr>
          <w:rFonts w:ascii="SimSun" w:hAnsi="SimSun" w:eastAsia="SimSun" w:cs="SimSun"/>
          <w:sz w:val="24"/>
          <w:szCs w:val="24"/>
        </w:rPr>
        <w:t xml:space="preserve"> </w:t>
      </w:r>
      <w:r>
        <w:rPr>
          <w:rFonts w:ascii="SimSun" w:hAnsi="SimSun" w:eastAsia="SimSun" w:cs="SimSun"/>
          <w:sz w:val="24"/>
          <w:szCs w:val="24"/>
          <w:spacing w:val="-1"/>
        </w:rPr>
        <w:t>区域生态环境影响较小。</w:t>
      </w:r>
    </w:p>
    <w:p>
      <w:pPr>
        <w:ind w:left="501"/>
        <w:spacing w:before="181"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6</w:t>
      </w:r>
      <w:r>
        <w:rPr>
          <w:rFonts w:ascii="SimSun" w:hAnsi="SimSun" w:eastAsia="SimSun" w:cs="SimSun"/>
          <w:sz w:val="24"/>
          <w:szCs w:val="24"/>
          <w:spacing w:val="-3"/>
        </w:rPr>
        <w:t>）环境风险</w:t>
      </w:r>
    </w:p>
    <w:p>
      <w:pPr>
        <w:ind w:left="10" w:firstLine="482"/>
        <w:spacing w:before="181" w:line="358" w:lineRule="auto"/>
        <w:jc w:val="both"/>
        <w:rPr>
          <w:rFonts w:ascii="SimSun" w:hAnsi="SimSun" w:eastAsia="SimSun" w:cs="SimSun"/>
          <w:sz w:val="24"/>
          <w:szCs w:val="24"/>
        </w:rPr>
      </w:pPr>
      <w:r>
        <w:rPr>
          <w:rFonts w:ascii="SimSun" w:hAnsi="SimSun" w:eastAsia="SimSun" w:cs="SimSun"/>
          <w:sz w:val="24"/>
          <w:szCs w:val="24"/>
          <w:spacing w:val="-7"/>
        </w:rPr>
        <w:t>项目生产过程中涉及的危险物质主要为沼气（甲烷）、</w:t>
      </w:r>
      <w:r>
        <w:rPr>
          <w:rFonts w:ascii="Times New Roman" w:hAnsi="Times New Roman" w:eastAsia="Times New Roman" w:cs="Times New Roman"/>
          <w:sz w:val="24"/>
          <w:szCs w:val="24"/>
          <w:spacing w:val="-7"/>
        </w:rPr>
        <w:t>COD</w:t>
      </w:r>
      <w:r>
        <w:rPr>
          <w:rFonts w:ascii="Times New Roman" w:hAnsi="Times New Roman" w:eastAsia="Times New Roman" w:cs="Times New Roman"/>
          <w:sz w:val="15"/>
          <w:szCs w:val="15"/>
          <w:spacing w:val="-7"/>
          <w:position w:val="-1"/>
        </w:rPr>
        <w:t>Cr</w:t>
      </w:r>
      <w:r>
        <w:rPr>
          <w:rFonts w:ascii="Times New Roman" w:hAnsi="Times New Roman" w:eastAsia="Times New Roman" w:cs="Times New Roman"/>
          <w:sz w:val="15"/>
          <w:szCs w:val="15"/>
          <w:spacing w:val="10"/>
          <w:w w:val="102"/>
          <w:position w:val="-1"/>
        </w:rPr>
        <w:t xml:space="preserve"> </w:t>
      </w:r>
      <w:r>
        <w:rPr>
          <w:rFonts w:ascii="SimSun" w:hAnsi="SimSun" w:eastAsia="SimSun" w:cs="SimSun"/>
          <w:sz w:val="24"/>
          <w:szCs w:val="24"/>
          <w:spacing w:val="-7"/>
        </w:rPr>
        <w:t>浓度≥</w:t>
      </w:r>
      <w:r>
        <w:rPr>
          <w:rFonts w:ascii="Times New Roman" w:hAnsi="Times New Roman" w:eastAsia="Times New Roman" w:cs="Times New Roman"/>
          <w:sz w:val="24"/>
          <w:szCs w:val="24"/>
          <w:spacing w:val="-8"/>
        </w:rPr>
        <w:t>10000mg/L</w:t>
      </w:r>
      <w:r>
        <w:rPr>
          <w:rFonts w:ascii="Times New Roman" w:hAnsi="Times New Roman" w:eastAsia="Times New Roman" w:cs="Times New Roman"/>
          <w:sz w:val="24"/>
          <w:szCs w:val="24"/>
        </w:rPr>
        <w:t xml:space="preserve"> </w:t>
      </w:r>
      <w:r>
        <w:rPr>
          <w:rFonts w:ascii="SimSun" w:hAnsi="SimSun" w:eastAsia="SimSun" w:cs="SimSun"/>
          <w:sz w:val="24"/>
          <w:szCs w:val="24"/>
          <w:spacing w:val="3"/>
        </w:rPr>
        <w:t>有机废液、火灾事故次生</w:t>
      </w:r>
      <w:r>
        <w:rPr>
          <w:rFonts w:ascii="Times New Roman" w:hAnsi="Times New Roman" w:eastAsia="Times New Roman" w:cs="Times New Roman"/>
          <w:sz w:val="24"/>
          <w:szCs w:val="24"/>
          <w:spacing w:val="3"/>
        </w:rPr>
        <w:t>/</w:t>
      </w:r>
      <w:r>
        <w:rPr>
          <w:rFonts w:ascii="SimSun" w:hAnsi="SimSun" w:eastAsia="SimSun" w:cs="SimSun"/>
          <w:sz w:val="24"/>
          <w:szCs w:val="24"/>
          <w:spacing w:val="3"/>
        </w:rPr>
        <w:t>伴生环境风险物质</w:t>
      </w:r>
      <w:r>
        <w:rPr>
          <w:rFonts w:ascii="Times New Roman" w:hAnsi="Times New Roman" w:eastAsia="Times New Roman" w:cs="Times New Roman"/>
          <w:sz w:val="24"/>
          <w:szCs w:val="24"/>
        </w:rPr>
        <w:t>CO</w:t>
      </w:r>
      <w:r>
        <w:rPr>
          <w:rFonts w:ascii="Times New Roman" w:hAnsi="Times New Roman" w:eastAsia="Times New Roman" w:cs="Times New Roman"/>
          <w:sz w:val="24"/>
          <w:szCs w:val="24"/>
          <w:spacing w:val="3"/>
        </w:rPr>
        <w:t xml:space="preserve"> </w:t>
      </w:r>
      <w:r>
        <w:rPr>
          <w:rFonts w:ascii="SimSun" w:hAnsi="SimSun" w:eastAsia="SimSun" w:cs="SimSun"/>
          <w:sz w:val="24"/>
          <w:szCs w:val="24"/>
          <w:spacing w:val="3"/>
        </w:rPr>
        <w:t>等，其中沼气（甲烷）、火灾事</w:t>
      </w:r>
      <w:r>
        <w:rPr>
          <w:rFonts w:ascii="SimSun" w:hAnsi="SimSun" w:eastAsia="SimSun" w:cs="SimSun"/>
          <w:sz w:val="24"/>
          <w:szCs w:val="24"/>
          <w:spacing w:val="9"/>
        </w:rPr>
        <w:t xml:space="preserve"> </w:t>
      </w:r>
      <w:r>
        <w:rPr>
          <w:rFonts w:ascii="SimSun" w:hAnsi="SimSun" w:eastAsia="SimSun" w:cs="SimSun"/>
          <w:sz w:val="24"/>
          <w:szCs w:val="24"/>
          <w:spacing w:val="16"/>
        </w:rPr>
        <w:t>故次生</w:t>
      </w:r>
      <w:r>
        <w:rPr>
          <w:rFonts w:ascii="Times New Roman" w:hAnsi="Times New Roman" w:eastAsia="Times New Roman" w:cs="Times New Roman"/>
          <w:sz w:val="24"/>
          <w:szCs w:val="24"/>
          <w:spacing w:val="16"/>
        </w:rPr>
        <w:t>/</w:t>
      </w:r>
      <w:r>
        <w:rPr>
          <w:rFonts w:ascii="SimSun" w:hAnsi="SimSun" w:eastAsia="SimSun" w:cs="SimSun"/>
          <w:sz w:val="24"/>
          <w:szCs w:val="24"/>
          <w:spacing w:val="16"/>
        </w:rPr>
        <w:t>伴生环境风险物质</w:t>
      </w:r>
      <w:r>
        <w:rPr>
          <w:rFonts w:ascii="SimSun" w:hAnsi="SimSun" w:eastAsia="SimSun" w:cs="SimSun"/>
          <w:sz w:val="24"/>
          <w:szCs w:val="24"/>
          <w:spacing w:val="-26"/>
        </w:rPr>
        <w:t xml:space="preserve"> </w:t>
      </w:r>
      <w:r>
        <w:rPr>
          <w:rFonts w:ascii="Times New Roman" w:hAnsi="Times New Roman" w:eastAsia="Times New Roman" w:cs="Times New Roman"/>
          <w:sz w:val="24"/>
          <w:szCs w:val="24"/>
        </w:rPr>
        <w:t>CO</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6"/>
        </w:rPr>
        <w:t>发生泄漏后通过大气环境扩散；</w:t>
      </w:r>
      <w:r>
        <w:rPr>
          <w:rFonts w:ascii="Times New Roman" w:hAnsi="Times New Roman" w:eastAsia="Times New Roman" w:cs="Times New Roman"/>
          <w:sz w:val="24"/>
          <w:szCs w:val="24"/>
        </w:rPr>
        <w:t>COD</w:t>
      </w:r>
      <w:r>
        <w:rPr>
          <w:rFonts w:ascii="Times New Roman" w:hAnsi="Times New Roman" w:eastAsia="Times New Roman" w:cs="Times New Roman"/>
          <w:sz w:val="15"/>
          <w:szCs w:val="15"/>
          <w:position w:val="-1"/>
        </w:rPr>
        <w:t>Cr</w:t>
      </w:r>
      <w:r>
        <w:rPr>
          <w:rFonts w:ascii="Times New Roman" w:hAnsi="Times New Roman" w:eastAsia="Times New Roman" w:cs="Times New Roman"/>
          <w:sz w:val="15"/>
          <w:szCs w:val="15"/>
          <w:spacing w:val="27"/>
          <w:w w:val="101"/>
          <w:position w:val="-1"/>
        </w:rPr>
        <w:t xml:space="preserve"> </w:t>
      </w:r>
      <w:r>
        <w:rPr>
          <w:rFonts w:ascii="SimSun" w:hAnsi="SimSun" w:eastAsia="SimSun" w:cs="SimSun"/>
          <w:sz w:val="24"/>
          <w:szCs w:val="24"/>
          <w:spacing w:val="16"/>
        </w:rPr>
        <w:t>浓度≥</w:t>
      </w:r>
      <w:r>
        <w:rPr>
          <w:rFonts w:ascii="SimSun" w:hAnsi="SimSun" w:eastAsia="SimSun" w:cs="SimSun"/>
          <w:sz w:val="24"/>
          <w:szCs w:val="24"/>
        </w:rPr>
        <w:t xml:space="preserve"> </w:t>
      </w:r>
      <w:r>
        <w:rPr>
          <w:rFonts w:ascii="Times New Roman" w:hAnsi="Times New Roman" w:eastAsia="Times New Roman" w:cs="Times New Roman"/>
          <w:sz w:val="24"/>
          <w:szCs w:val="24"/>
          <w:spacing w:val="-1"/>
        </w:rPr>
        <w:t>10000mg/L </w:t>
      </w:r>
      <w:r>
        <w:rPr>
          <w:rFonts w:ascii="SimSun" w:hAnsi="SimSun" w:eastAsia="SimSun" w:cs="SimSun"/>
          <w:sz w:val="24"/>
          <w:szCs w:val="24"/>
          <w:spacing w:val="-1"/>
        </w:rPr>
        <w:t>有机废液等主要通过水环境及土壤环境扩散。</w:t>
      </w:r>
    </w:p>
    <w:p>
      <w:pPr>
        <w:ind w:left="9" w:firstLine="480"/>
        <w:spacing w:before="5" w:line="359" w:lineRule="auto"/>
        <w:jc w:val="both"/>
        <w:rPr>
          <w:rFonts w:ascii="SimSun" w:hAnsi="SimSun" w:eastAsia="SimSun" w:cs="SimSun"/>
          <w:sz w:val="24"/>
          <w:szCs w:val="24"/>
        </w:rPr>
      </w:pPr>
      <w:r>
        <w:rPr>
          <w:rFonts w:ascii="SimSun" w:hAnsi="SimSun" w:eastAsia="SimSun" w:cs="SimSun"/>
          <w:sz w:val="24"/>
          <w:szCs w:val="24"/>
          <w:spacing w:val="3"/>
        </w:rPr>
        <w:t>本次评价设定大气环境风险事故设定情形为沼气气柜发生泄漏，</w:t>
      </w:r>
      <w:r>
        <w:rPr>
          <w:rFonts w:ascii="SimSun" w:hAnsi="SimSun" w:eastAsia="SimSun" w:cs="SimSun"/>
          <w:sz w:val="24"/>
          <w:szCs w:val="24"/>
          <w:spacing w:val="2"/>
        </w:rPr>
        <w:t>环境风险物</w:t>
      </w:r>
      <w:r>
        <w:rPr>
          <w:rFonts w:ascii="SimSun" w:hAnsi="SimSun" w:eastAsia="SimSun" w:cs="SimSun"/>
          <w:sz w:val="24"/>
          <w:szCs w:val="24"/>
        </w:rPr>
        <w:t xml:space="preserve"> </w:t>
      </w:r>
      <w:r>
        <w:rPr>
          <w:rFonts w:ascii="SimSun" w:hAnsi="SimSun" w:eastAsia="SimSun" w:cs="SimSun"/>
          <w:sz w:val="24"/>
          <w:szCs w:val="24"/>
          <w:spacing w:val="3"/>
        </w:rPr>
        <w:t>质沼气（甲烷）在大气中扩散泄漏，发生火灾事故，次</w:t>
      </w:r>
      <w:r>
        <w:rPr>
          <w:rFonts w:ascii="SimSun" w:hAnsi="SimSun" w:eastAsia="SimSun" w:cs="SimSun"/>
          <w:sz w:val="24"/>
          <w:szCs w:val="24"/>
          <w:spacing w:val="2"/>
        </w:rPr>
        <w:t>生（不完全燃烧）环境风</w:t>
      </w:r>
      <w:r>
        <w:rPr>
          <w:rFonts w:ascii="SimSun" w:hAnsi="SimSun" w:eastAsia="SimSun" w:cs="SimSun"/>
          <w:sz w:val="24"/>
          <w:szCs w:val="24"/>
        </w:rPr>
        <w:t xml:space="preserve"> </w:t>
      </w:r>
      <w:r>
        <w:rPr>
          <w:rFonts w:ascii="SimSun" w:hAnsi="SimSun" w:eastAsia="SimSun" w:cs="SimSun"/>
          <w:sz w:val="24"/>
          <w:szCs w:val="24"/>
          <w:spacing w:val="-2"/>
        </w:rPr>
        <w:t>险物质</w:t>
      </w:r>
      <w:r>
        <w:rPr>
          <w:rFonts w:ascii="Times New Roman" w:hAnsi="Times New Roman" w:eastAsia="Times New Roman" w:cs="Times New Roman"/>
          <w:sz w:val="24"/>
          <w:szCs w:val="24"/>
          <w:spacing w:val="-2"/>
        </w:rPr>
        <w:t>CO </w:t>
      </w:r>
      <w:r>
        <w:rPr>
          <w:rFonts w:ascii="SimSun" w:hAnsi="SimSun" w:eastAsia="SimSun" w:cs="SimSun"/>
          <w:sz w:val="24"/>
          <w:szCs w:val="24"/>
          <w:spacing w:val="-2"/>
        </w:rPr>
        <w:t>在大气中扩散情影响。地下水环境风险事故情形设定为调节池底部防渗</w:t>
      </w:r>
      <w:r>
        <w:rPr>
          <w:rFonts w:ascii="SimSun" w:hAnsi="SimSun" w:eastAsia="SimSun" w:cs="SimSun"/>
          <w:sz w:val="24"/>
          <w:szCs w:val="24"/>
          <w:spacing w:val="13"/>
        </w:rPr>
        <w:t xml:space="preserve"> </w:t>
      </w:r>
      <w:r>
        <w:rPr>
          <w:rFonts w:ascii="SimSun" w:hAnsi="SimSun" w:eastAsia="SimSun" w:cs="SimSun"/>
          <w:sz w:val="24"/>
          <w:szCs w:val="24"/>
          <w:spacing w:val="1"/>
        </w:rPr>
        <w:t>层破损发生泄漏，废水中</w:t>
      </w:r>
      <w:r>
        <w:rPr>
          <w:rFonts w:ascii="SimSun" w:hAnsi="SimSun" w:eastAsia="SimSun" w:cs="SimSun"/>
          <w:sz w:val="24"/>
          <w:szCs w:val="24"/>
          <w:spacing w:val="-49"/>
        </w:rPr>
        <w:t xml:space="preserve"> </w:t>
      </w:r>
      <w:r>
        <w:rPr>
          <w:rFonts w:ascii="Times New Roman" w:hAnsi="Times New Roman" w:eastAsia="Times New Roman" w:cs="Times New Roman"/>
          <w:sz w:val="24"/>
          <w:szCs w:val="24"/>
        </w:rPr>
        <w:t>COD</w:t>
      </w:r>
      <w:r>
        <w:rPr>
          <w:rFonts w:ascii="Times New Roman" w:hAnsi="Times New Roman" w:eastAsia="Times New Roman" w:cs="Times New Roman"/>
          <w:sz w:val="15"/>
          <w:szCs w:val="15"/>
          <w:position w:val="-1"/>
        </w:rPr>
        <w:t>Cr</w:t>
      </w:r>
      <w:r>
        <w:rPr>
          <w:rFonts w:ascii="Times New Roman" w:hAnsi="Times New Roman" w:eastAsia="Times New Roman" w:cs="Times New Roman"/>
          <w:sz w:val="15"/>
          <w:szCs w:val="15"/>
          <w:spacing w:val="18"/>
          <w:w w:val="101"/>
          <w:position w:val="-1"/>
        </w:rPr>
        <w:t xml:space="preserve"> </w:t>
      </w:r>
      <w:r>
        <w:rPr>
          <w:rFonts w:ascii="SimSun" w:hAnsi="SimSun" w:eastAsia="SimSun" w:cs="SimSun"/>
          <w:sz w:val="24"/>
          <w:szCs w:val="24"/>
          <w:spacing w:val="1"/>
        </w:rPr>
        <w:t>下渗对下游厂区边界和环境敏感日标处地</w:t>
      </w:r>
      <w:r>
        <w:rPr>
          <w:rFonts w:ascii="SimSun" w:hAnsi="SimSun" w:eastAsia="SimSun" w:cs="SimSun"/>
          <w:sz w:val="24"/>
          <w:szCs w:val="24"/>
        </w:rPr>
        <w:t>下水环 </w:t>
      </w:r>
      <w:r>
        <w:rPr>
          <w:rFonts w:ascii="SimSun" w:hAnsi="SimSun" w:eastAsia="SimSun" w:cs="SimSun"/>
          <w:sz w:val="24"/>
          <w:szCs w:val="24"/>
          <w:spacing w:val="-2"/>
        </w:rPr>
        <w:t>境的影响。</w:t>
      </w:r>
    </w:p>
    <w:p>
      <w:pPr>
        <w:ind w:left="10" w:right="2" w:firstLine="479"/>
        <w:spacing w:before="1" w:line="359" w:lineRule="auto"/>
        <w:jc w:val="both"/>
        <w:rPr>
          <w:rFonts w:ascii="SimSun" w:hAnsi="SimSun" w:eastAsia="SimSun" w:cs="SimSun"/>
          <w:sz w:val="24"/>
          <w:szCs w:val="24"/>
        </w:rPr>
      </w:pPr>
      <w:r>
        <w:rPr>
          <w:rFonts w:ascii="SimSun" w:hAnsi="SimSun" w:eastAsia="SimSun" w:cs="SimSun"/>
          <w:sz w:val="24"/>
          <w:szCs w:val="24"/>
          <w:spacing w:val="-2"/>
        </w:rPr>
        <w:t>根据地下水环境风险预测可知，厌氧发酵装置</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TS </w:t>
      </w:r>
      <w:r>
        <w:rPr>
          <w:rFonts w:ascii="SimSun" w:hAnsi="SimSun" w:eastAsia="SimSun" w:cs="SimSun"/>
          <w:sz w:val="24"/>
          <w:szCs w:val="24"/>
          <w:spacing w:val="-2"/>
        </w:rPr>
        <w:t>调节池发生非正</w:t>
      </w:r>
      <w:r>
        <w:rPr>
          <w:rFonts w:ascii="SimSun" w:hAnsi="SimSun" w:eastAsia="SimSun" w:cs="SimSun"/>
          <w:sz w:val="24"/>
          <w:szCs w:val="24"/>
          <w:spacing w:val="-3"/>
        </w:rPr>
        <w:t>常状况泄漏</w:t>
      </w:r>
      <w:r>
        <w:rPr>
          <w:rFonts w:ascii="SimSun" w:hAnsi="SimSun" w:eastAsia="SimSun" w:cs="SimSun"/>
          <w:sz w:val="24"/>
          <w:szCs w:val="24"/>
        </w:rPr>
        <w:t xml:space="preserve"> </w:t>
      </w:r>
      <w:r>
        <w:rPr>
          <w:rFonts w:ascii="SimSun" w:hAnsi="SimSun" w:eastAsia="SimSun" w:cs="SimSun"/>
          <w:sz w:val="24"/>
          <w:szCs w:val="24"/>
        </w:rPr>
        <w:t>后，若能及时采取应急处置措施，在较短的时间内切</w:t>
      </w:r>
      <w:r>
        <w:rPr>
          <w:rFonts w:ascii="SimSun" w:hAnsi="SimSun" w:eastAsia="SimSun" w:cs="SimSun"/>
          <w:sz w:val="24"/>
          <w:szCs w:val="24"/>
          <w:spacing w:val="-1"/>
        </w:rPr>
        <w:t>断污染物下渗通道，下渗引</w:t>
      </w:r>
      <w:r>
        <w:rPr>
          <w:rFonts w:ascii="SimSun" w:hAnsi="SimSun" w:eastAsia="SimSun" w:cs="SimSun"/>
          <w:sz w:val="24"/>
          <w:szCs w:val="24"/>
        </w:rPr>
        <w:t xml:space="preserve">  </w:t>
      </w:r>
      <w:r>
        <w:rPr>
          <w:rFonts w:ascii="SimSun" w:hAnsi="SimSun" w:eastAsia="SimSun" w:cs="SimSun"/>
          <w:sz w:val="24"/>
          <w:szCs w:val="24"/>
        </w:rPr>
        <w:t>起的污染晕不会对含水层造成持续的污染，不会对周</w:t>
      </w:r>
      <w:r>
        <w:rPr>
          <w:rFonts w:ascii="SimSun" w:hAnsi="SimSun" w:eastAsia="SimSun" w:cs="SimSun"/>
          <w:sz w:val="24"/>
          <w:szCs w:val="24"/>
          <w:spacing w:val="-1"/>
        </w:rPr>
        <w:t>边的分散式饮用水源地造成</w:t>
      </w:r>
      <w:r>
        <w:rPr>
          <w:rFonts w:ascii="SimSun" w:hAnsi="SimSun" w:eastAsia="SimSun" w:cs="SimSun"/>
          <w:sz w:val="24"/>
          <w:szCs w:val="24"/>
        </w:rPr>
        <w:t xml:space="preserve">  </w:t>
      </w:r>
      <w:r>
        <w:rPr>
          <w:rFonts w:ascii="SimSun" w:hAnsi="SimSun" w:eastAsia="SimSun" w:cs="SimSun"/>
          <w:sz w:val="24"/>
          <w:szCs w:val="24"/>
          <w:spacing w:val="-4"/>
        </w:rPr>
        <w:t>污染。</w:t>
      </w:r>
    </w:p>
    <w:p>
      <w:pPr>
        <w:ind w:left="9" w:firstLine="479"/>
        <w:spacing w:line="359" w:lineRule="auto"/>
        <w:jc w:val="both"/>
        <w:rPr>
          <w:rFonts w:ascii="SimSun" w:hAnsi="SimSun" w:eastAsia="SimSun" w:cs="SimSun"/>
          <w:sz w:val="24"/>
          <w:szCs w:val="24"/>
        </w:rPr>
      </w:pPr>
      <w:r>
        <w:rPr>
          <w:rFonts w:ascii="SimSun" w:hAnsi="SimSun" w:eastAsia="SimSun" w:cs="SimSun"/>
          <w:sz w:val="24"/>
          <w:szCs w:val="24"/>
          <w:spacing w:val="3"/>
        </w:rPr>
        <w:t>在项目运营过程中，建设单位必须严格执行国家和地方的相应法律</w:t>
      </w:r>
      <w:r>
        <w:rPr>
          <w:rFonts w:ascii="SimSun" w:hAnsi="SimSun" w:eastAsia="SimSun" w:cs="SimSun"/>
          <w:sz w:val="24"/>
          <w:szCs w:val="24"/>
          <w:spacing w:val="2"/>
        </w:rPr>
        <w:t>法规和采</w:t>
      </w:r>
      <w:r>
        <w:rPr>
          <w:rFonts w:ascii="SimSun" w:hAnsi="SimSun" w:eastAsia="SimSun" w:cs="SimSun"/>
          <w:sz w:val="24"/>
          <w:szCs w:val="24"/>
        </w:rPr>
        <w:t xml:space="preserve"> </w:t>
      </w:r>
      <w:r>
        <w:rPr>
          <w:rFonts w:ascii="SimSun" w:hAnsi="SimSun" w:eastAsia="SimSun" w:cs="SimSun"/>
          <w:sz w:val="24"/>
          <w:szCs w:val="24"/>
          <w:spacing w:val="3"/>
        </w:rPr>
        <w:t>取的风险防范措施，减小事故发生的概率；一旦发生事</w:t>
      </w:r>
      <w:r>
        <w:rPr>
          <w:rFonts w:ascii="SimSun" w:hAnsi="SimSun" w:eastAsia="SimSun" w:cs="SimSun"/>
          <w:sz w:val="24"/>
          <w:szCs w:val="24"/>
          <w:spacing w:val="2"/>
        </w:rPr>
        <w:t>故，必须严格按照风险防</w:t>
      </w:r>
      <w:r>
        <w:rPr>
          <w:rFonts w:ascii="SimSun" w:hAnsi="SimSun" w:eastAsia="SimSun" w:cs="SimSun"/>
          <w:sz w:val="24"/>
          <w:szCs w:val="24"/>
        </w:rPr>
        <w:t xml:space="preserve"> </w:t>
      </w:r>
      <w:r>
        <w:rPr>
          <w:rFonts w:ascii="SimSun" w:hAnsi="SimSun" w:eastAsia="SimSun" w:cs="SimSun"/>
          <w:sz w:val="24"/>
          <w:szCs w:val="24"/>
          <w:spacing w:val="3"/>
        </w:rPr>
        <w:t>范措施和应急预案的要求及时作出应对措施，将事</w:t>
      </w:r>
      <w:r>
        <w:rPr>
          <w:rFonts w:ascii="SimSun" w:hAnsi="SimSun" w:eastAsia="SimSun" w:cs="SimSun"/>
          <w:sz w:val="24"/>
          <w:szCs w:val="24"/>
          <w:spacing w:val="2"/>
        </w:rPr>
        <w:t>故对周围环境和人群的影响降</w:t>
      </w:r>
      <w:r>
        <w:rPr>
          <w:rFonts w:ascii="SimSun" w:hAnsi="SimSun" w:eastAsia="SimSun" w:cs="SimSun"/>
          <w:sz w:val="24"/>
          <w:szCs w:val="24"/>
        </w:rPr>
        <w:t xml:space="preserve"> </w:t>
      </w:r>
      <w:r>
        <w:rPr>
          <w:rFonts w:ascii="SimSun" w:hAnsi="SimSun" w:eastAsia="SimSun" w:cs="SimSun"/>
          <w:sz w:val="24"/>
          <w:szCs w:val="24"/>
          <w:spacing w:val="3"/>
        </w:rPr>
        <w:t>到最低。建设单位应充分利用区域安全、环境保护等资</w:t>
      </w:r>
      <w:r>
        <w:rPr>
          <w:rFonts w:ascii="SimSun" w:hAnsi="SimSun" w:eastAsia="SimSun" w:cs="SimSun"/>
          <w:sz w:val="24"/>
          <w:szCs w:val="24"/>
          <w:spacing w:val="2"/>
        </w:rPr>
        <w:t>源，根据项目建设和运行</w:t>
      </w:r>
      <w:r>
        <w:rPr>
          <w:rFonts w:ascii="SimSun" w:hAnsi="SimSun" w:eastAsia="SimSun" w:cs="SimSun"/>
          <w:sz w:val="24"/>
          <w:szCs w:val="24"/>
        </w:rPr>
        <w:t xml:space="preserve"> </w:t>
      </w:r>
      <w:r>
        <w:rPr>
          <w:rFonts w:ascii="SimSun" w:hAnsi="SimSun" w:eastAsia="SimSun" w:cs="SimSun"/>
          <w:sz w:val="24"/>
          <w:szCs w:val="24"/>
          <w:spacing w:val="3"/>
        </w:rPr>
        <w:t>过程中的变化，不断完善风险防范措施、应急预案和应</w:t>
      </w:r>
      <w:r>
        <w:rPr>
          <w:rFonts w:ascii="SimSun" w:hAnsi="SimSun" w:eastAsia="SimSun" w:cs="SimSun"/>
          <w:sz w:val="24"/>
          <w:szCs w:val="24"/>
          <w:spacing w:val="2"/>
        </w:rPr>
        <w:t>急救援体系，确保其具有</w:t>
      </w:r>
      <w:r>
        <w:rPr>
          <w:rFonts w:ascii="SimSun" w:hAnsi="SimSun" w:eastAsia="SimSun" w:cs="SimSun"/>
          <w:sz w:val="24"/>
          <w:szCs w:val="24"/>
        </w:rPr>
        <w:t xml:space="preserve"> </w:t>
      </w:r>
      <w:r>
        <w:rPr>
          <w:rFonts w:ascii="SimSun" w:hAnsi="SimSun" w:eastAsia="SimSun" w:cs="SimSun"/>
          <w:sz w:val="24"/>
          <w:szCs w:val="24"/>
          <w:spacing w:val="-1"/>
        </w:rPr>
        <w:t>针对性和可操作性，以应对可能出现的环境风险。</w:t>
      </w:r>
    </w:p>
    <w:p>
      <w:pPr>
        <w:ind w:left="7" w:firstLine="483"/>
        <w:spacing w:before="1" w:line="424" w:lineRule="auto"/>
        <w:rPr>
          <w:rFonts w:ascii="SimSun" w:hAnsi="SimSun" w:eastAsia="SimSun" w:cs="SimSun"/>
          <w:sz w:val="19"/>
          <w:szCs w:val="19"/>
        </w:rPr>
      </w:pPr>
      <w:r>
        <w:pict>
          <v:shape id="_x0000_s1362" style="position:absolute;margin-left:159.33pt;margin-top:25.6098pt;mso-position-vertical-relative:text;mso-position-horizontal-relative:text;width:61pt;height:13.75pt;z-index:252424192;"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2"/>
                    </w:rPr>
                    <w:t>任公司</w:t>
                  </w:r>
                  <w:r>
                    <w:rPr>
                      <w:rFonts w:ascii="SimSun" w:hAnsi="SimSun" w:eastAsia="SimSun" w:cs="SimSun"/>
                      <w:sz w:val="19"/>
                      <w:szCs w:val="19"/>
                      <w:spacing w:val="14"/>
                    </w:rPr>
                    <w:t xml:space="preserve">   </w:t>
                  </w:r>
                  <w:r>
                    <w:rPr>
                      <w:rFonts w:ascii="Times New Roman" w:hAnsi="Times New Roman" w:eastAsia="Times New Roman" w:cs="Times New Roman"/>
                      <w:sz w:val="18"/>
                      <w:szCs w:val="18"/>
                      <w:spacing w:val="2"/>
                      <w:position w:val="2"/>
                    </w:rPr>
                    <w:t>307</w:t>
                  </w:r>
                </w:p>
              </w:txbxContent>
            </v:textbox>
          </v:shape>
        </w:pict>
      </w:r>
      <w:r>
        <w:rPr>
          <w:rFonts w:ascii="SimSun" w:hAnsi="SimSun" w:eastAsia="SimSun" w:cs="SimSun"/>
          <w:sz w:val="24"/>
          <w:szCs w:val="24"/>
          <w:spacing w:val="3"/>
        </w:rPr>
        <w:t>本项目在实施以上的风险减缓措施和应急预案后，企业的应急处</w:t>
      </w:r>
      <w:r>
        <w:rPr>
          <w:rFonts w:ascii="SimSun" w:hAnsi="SimSun" w:eastAsia="SimSun" w:cs="SimSun"/>
          <w:sz w:val="24"/>
          <w:szCs w:val="24"/>
          <w:spacing w:val="2"/>
        </w:rPr>
        <w:t>理事故能力</w:t>
      </w:r>
      <w:r>
        <w:rPr>
          <w:rFonts w:ascii="SimSun" w:hAnsi="SimSun" w:eastAsia="SimSun" w:cs="SimSun"/>
          <w:sz w:val="24"/>
          <w:szCs w:val="24"/>
        </w:rPr>
        <w:t xml:space="preserve"> </w:t>
      </w:r>
      <w:r>
        <w:rPr>
          <w:rFonts w:ascii="SimSun" w:hAnsi="SimSun" w:eastAsia="SimSun" w:cs="SimSun"/>
          <w:sz w:val="19"/>
          <w:szCs w:val="19"/>
          <w:spacing w:val="9"/>
        </w:rPr>
        <w:t>锡林郭勒盟中安环境技术咨询有限责</w:t>
      </w:r>
    </w:p>
    <w:p>
      <w:pPr>
        <w:spacing w:line="424" w:lineRule="auto"/>
        <w:sectPr>
          <w:headerReference w:type="default" r:id="rId396"/>
          <w:footerReference w:type="default" r:id="rId3"/>
          <w:pgSz w:w="11907" w:h="16840"/>
          <w:pgMar w:top="1567" w:right="1699" w:bottom="400" w:left="1701" w:header="1221" w:footer="0" w:gutter="0"/>
        </w:sectPr>
        <w:rPr>
          <w:rFonts w:ascii="SimSun" w:hAnsi="SimSun" w:eastAsia="SimSun" w:cs="SimSun"/>
          <w:sz w:val="19"/>
          <w:szCs w:val="19"/>
        </w:rPr>
      </w:pPr>
    </w:p>
    <w:p>
      <w:pPr>
        <w:ind w:left="54" w:right="78" w:hanging="46"/>
        <w:spacing w:before="168" w:line="360" w:lineRule="auto"/>
        <w:rPr>
          <w:rFonts w:ascii="SimSun" w:hAnsi="SimSun" w:eastAsia="SimSun" w:cs="SimSun"/>
          <w:sz w:val="24"/>
          <w:szCs w:val="24"/>
        </w:rPr>
      </w:pPr>
      <w:r>
        <w:pict>
          <v:shape id="_x0000_s1364" style="position:absolute;margin-left:85.05pt;margin-top:78.87pt;mso-position-vertical-relative:page;mso-position-horizontal-relative:page;width:425.25pt;height:0.75pt;z-index:252427264;" o:allowincell="f" fillcolor="#000000" filled="true" stroked="false" coordsize="8505,15" coordorigin="0,0" path="m,l8505,0l8505,14l0,14l0,0xe"/>
        </w:pict>
      </w:r>
      <w:r>
        <w:rPr>
          <w:rFonts w:ascii="SimSun" w:hAnsi="SimSun" w:eastAsia="SimSun" w:cs="SimSun"/>
          <w:sz w:val="24"/>
          <w:szCs w:val="24"/>
          <w:spacing w:val="3"/>
        </w:rPr>
        <w:t>对突发性事故是可以控制的，在严格执行本报告提出的防</w:t>
      </w:r>
      <w:r>
        <w:rPr>
          <w:rFonts w:ascii="SimSun" w:hAnsi="SimSun" w:eastAsia="SimSun" w:cs="SimSun"/>
          <w:sz w:val="24"/>
          <w:szCs w:val="24"/>
          <w:spacing w:val="2"/>
        </w:rPr>
        <w:t>治措施的前提下，本项</w:t>
      </w:r>
      <w:r>
        <w:rPr>
          <w:rFonts w:ascii="SimSun" w:hAnsi="SimSun" w:eastAsia="SimSun" w:cs="SimSun"/>
          <w:sz w:val="24"/>
          <w:szCs w:val="24"/>
        </w:rPr>
        <w:t xml:space="preserve"> </w:t>
      </w:r>
      <w:r>
        <w:rPr>
          <w:rFonts w:ascii="SimSun" w:hAnsi="SimSun" w:eastAsia="SimSun" w:cs="SimSun"/>
          <w:sz w:val="24"/>
          <w:szCs w:val="24"/>
          <w:spacing w:val="-2"/>
        </w:rPr>
        <w:t>目的事故所造成的风险是可接受的，本项目的环境风险是可以接受的。</w:t>
      </w:r>
    </w:p>
    <w:p>
      <w:pPr>
        <w:ind w:left="35"/>
        <w:spacing w:before="162" w:line="221" w:lineRule="auto"/>
        <w:outlineLvl w:val="1"/>
        <w:rPr>
          <w:rFonts w:ascii="SimHei" w:hAnsi="SimHei" w:eastAsia="SimHei" w:cs="SimHei"/>
          <w:sz w:val="30"/>
          <w:szCs w:val="30"/>
        </w:rPr>
      </w:pPr>
      <w:bookmarkStart w:name="bookmark200" w:id="236"/>
      <w:bookmarkEnd w:id="236"/>
      <w:r>
        <w:rPr>
          <w:rFonts w:ascii="Times New Roman" w:hAnsi="Times New Roman" w:eastAsia="Times New Roman" w:cs="Times New Roman"/>
          <w:sz w:val="30"/>
          <w:szCs w:val="30"/>
          <w:spacing w:val="-6"/>
        </w:rPr>
        <w:t>10.5</w:t>
      </w:r>
      <w:r>
        <w:rPr>
          <w:rFonts w:ascii="Times New Roman" w:hAnsi="Times New Roman" w:eastAsia="Times New Roman" w:cs="Times New Roman"/>
          <w:sz w:val="30"/>
          <w:szCs w:val="30"/>
          <w:spacing w:val="23"/>
          <w:w w:val="101"/>
        </w:rPr>
        <w:t xml:space="preserve"> </w:t>
      </w:r>
      <w:r>
        <w:rPr>
          <w:rFonts w:ascii="SimHei" w:hAnsi="SimHei" w:eastAsia="SimHei" w:cs="SimHei"/>
          <w:sz w:val="30"/>
          <w:szCs w:val="30"/>
          <w:spacing w:val="-6"/>
        </w:rPr>
        <w:t>污染防治措施</w:t>
      </w:r>
    </w:p>
    <w:p>
      <w:pPr>
        <w:pStyle w:val="BodyText"/>
        <w:spacing w:line="293" w:lineRule="auto"/>
        <w:rPr/>
      </w:pPr>
      <w:r/>
    </w:p>
    <w:p>
      <w:pPr>
        <w:ind w:left="5" w:firstLine="495"/>
        <w:spacing w:before="78" w:line="359" w:lineRule="auto"/>
        <w:jc w:val="both"/>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）废气：颗粒物、</w:t>
      </w:r>
      <w:r>
        <w:rPr>
          <w:rFonts w:ascii="Times New Roman" w:hAnsi="Times New Roman" w:eastAsia="Times New Roman" w:cs="Times New Roman"/>
          <w:sz w:val="24"/>
          <w:szCs w:val="24"/>
          <w:spacing w:val="-2"/>
        </w:rPr>
        <w:t>SO</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15"/>
          <w:szCs w:val="15"/>
          <w:spacing w:val="-10"/>
          <w:position w:val="-1"/>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NO</w:t>
      </w:r>
      <w:r>
        <w:rPr>
          <w:rFonts w:ascii="Times New Roman" w:hAnsi="Times New Roman" w:eastAsia="Times New Roman" w:cs="Times New Roman"/>
          <w:sz w:val="15"/>
          <w:szCs w:val="15"/>
          <w:spacing w:val="-2"/>
          <w:position w:val="-1"/>
        </w:rPr>
        <w:t>x</w:t>
      </w:r>
      <w:r>
        <w:rPr>
          <w:rFonts w:ascii="Times New Roman" w:hAnsi="Times New Roman" w:eastAsia="Times New Roman" w:cs="Times New Roman"/>
          <w:sz w:val="15"/>
          <w:szCs w:val="15"/>
          <w:spacing w:val="-10"/>
          <w:position w:val="-1"/>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H</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24"/>
          <w:szCs w:val="24"/>
          <w:spacing w:val="-2"/>
        </w:rPr>
        <w:t>S</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NH</w:t>
      </w:r>
      <w:r>
        <w:rPr>
          <w:rFonts w:ascii="Times New Roman" w:hAnsi="Times New Roman" w:eastAsia="Times New Roman" w:cs="Times New Roman"/>
          <w:sz w:val="15"/>
          <w:szCs w:val="15"/>
          <w:spacing w:val="-2"/>
          <w:position w:val="-1"/>
        </w:rPr>
        <w:t>3</w:t>
      </w:r>
      <w:r>
        <w:rPr>
          <w:rFonts w:ascii="Times New Roman" w:hAnsi="Times New Roman" w:eastAsia="Times New Roman" w:cs="Times New Roman"/>
          <w:sz w:val="15"/>
          <w:szCs w:val="15"/>
          <w:spacing w:val="-8"/>
          <w:position w:val="-1"/>
        </w:rPr>
        <w:t xml:space="preserve"> </w:t>
      </w:r>
      <w:r>
        <w:rPr>
          <w:rFonts w:ascii="SimSun" w:hAnsi="SimSun" w:eastAsia="SimSun" w:cs="SimSun"/>
          <w:sz w:val="24"/>
          <w:szCs w:val="24"/>
          <w:spacing w:val="-2"/>
        </w:rPr>
        <w:t>、臭气浓度等污染物经处理后满</w:t>
      </w:r>
      <w:r>
        <w:rPr>
          <w:rFonts w:ascii="SimSun" w:hAnsi="SimSun" w:eastAsia="SimSun" w:cs="SimSun"/>
          <w:sz w:val="24"/>
          <w:szCs w:val="24"/>
        </w:rPr>
        <w:t xml:space="preserve"> </w:t>
      </w:r>
      <w:r>
        <w:rPr>
          <w:rFonts w:ascii="SimSun" w:hAnsi="SimSun" w:eastAsia="SimSun" w:cs="SimSun"/>
          <w:sz w:val="24"/>
          <w:szCs w:val="24"/>
          <w:spacing w:val="1"/>
        </w:rPr>
        <w:t>足《大气污染物综合排放标准限值》（</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16297-1996</w:t>
      </w:r>
      <w:r>
        <w:rPr>
          <w:rFonts w:ascii="SimSun" w:hAnsi="SimSun" w:eastAsia="SimSun" w:cs="SimSun"/>
          <w:sz w:val="24"/>
          <w:szCs w:val="24"/>
          <w:spacing w:val="1"/>
        </w:rPr>
        <w:t>）中表</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新污染源</w:t>
      </w:r>
      <w:r>
        <w:rPr>
          <w:rFonts w:ascii="SimSun" w:hAnsi="SimSun" w:eastAsia="SimSun" w:cs="SimSun"/>
          <w:sz w:val="24"/>
          <w:szCs w:val="24"/>
        </w:rPr>
        <w:t>二级排放 </w:t>
      </w:r>
      <w:r>
        <w:rPr>
          <w:rFonts w:ascii="SimSun" w:hAnsi="SimSun" w:eastAsia="SimSun" w:cs="SimSun"/>
          <w:sz w:val="24"/>
          <w:szCs w:val="24"/>
          <w:spacing w:val="-1"/>
        </w:rPr>
        <w:t>限值、《恶臭污染物排放标准》（</w:t>
      </w:r>
      <w:r>
        <w:rPr>
          <w:rFonts w:ascii="Times New Roman" w:hAnsi="Times New Roman" w:eastAsia="Times New Roman" w:cs="Times New Roman"/>
          <w:sz w:val="24"/>
          <w:szCs w:val="24"/>
          <w:spacing w:val="-1"/>
        </w:rPr>
        <w:t>GB14554-93</w:t>
      </w:r>
      <w:r>
        <w:rPr>
          <w:rFonts w:ascii="SimSun" w:hAnsi="SimSun" w:eastAsia="SimSun" w:cs="SimSun"/>
          <w:sz w:val="24"/>
          <w:szCs w:val="24"/>
          <w:spacing w:val="-1"/>
        </w:rPr>
        <w:t>）表</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新改扩建二级标准限值和表</w:t>
      </w:r>
      <w:r>
        <w:rPr>
          <w:rFonts w:ascii="SimSun" w:hAnsi="SimSun" w:eastAsia="SimSun" w:cs="SimSun"/>
          <w:sz w:val="24"/>
          <w:szCs w:val="24"/>
        </w:rPr>
        <w:t xml:space="preserve">  </w:t>
      </w:r>
      <w:r>
        <w:rPr>
          <w:rFonts w:ascii="Times New Roman" w:hAnsi="Times New Roman" w:eastAsia="Times New Roman" w:cs="Times New Roman"/>
          <w:sz w:val="24"/>
          <w:szCs w:val="24"/>
        </w:rPr>
        <w:t>2 </w:t>
      </w:r>
      <w:r>
        <w:rPr>
          <w:rFonts w:ascii="SimSun" w:hAnsi="SimSun" w:eastAsia="SimSun" w:cs="SimSun"/>
          <w:sz w:val="24"/>
          <w:szCs w:val="24"/>
        </w:rPr>
        <w:t>排放标准、《锅炉大气污染物排放标准》（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38"/>
          <w:w w:val="101"/>
        </w:rPr>
        <w:t xml:space="preserve"> </w:t>
      </w:r>
      <w:r>
        <w:rPr>
          <w:rFonts w:ascii="Times New Roman" w:hAnsi="Times New Roman" w:eastAsia="Times New Roman" w:cs="Times New Roman"/>
          <w:sz w:val="24"/>
          <w:szCs w:val="24"/>
        </w:rPr>
        <w:t>13271-2014</w:t>
      </w:r>
      <w:r>
        <w:rPr>
          <w:rFonts w:ascii="SimSun" w:hAnsi="SimSun" w:eastAsia="SimSun" w:cs="SimSun"/>
          <w:sz w:val="24"/>
          <w:szCs w:val="24"/>
        </w:rPr>
        <w:t>）表</w:t>
      </w:r>
      <w:r>
        <w:rPr>
          <w:rFonts w:ascii="SimSun" w:hAnsi="SimSun" w:eastAsia="SimSun" w:cs="SimSun"/>
          <w:sz w:val="24"/>
          <w:szCs w:val="24"/>
          <w:spacing w:val="-55"/>
        </w:rPr>
        <w:t xml:space="preserve"> </w:t>
      </w:r>
      <w:r>
        <w:rPr>
          <w:rFonts w:ascii="Times New Roman" w:hAnsi="Times New Roman" w:eastAsia="Times New Roman" w:cs="Times New Roman"/>
          <w:sz w:val="24"/>
          <w:szCs w:val="24"/>
        </w:rPr>
        <w:t>2 </w:t>
      </w:r>
      <w:r>
        <w:rPr>
          <w:rFonts w:ascii="SimSun" w:hAnsi="SimSun" w:eastAsia="SimSun" w:cs="SimSun"/>
          <w:sz w:val="24"/>
          <w:szCs w:val="24"/>
        </w:rPr>
        <w:t>燃气和燃煤锅 </w:t>
      </w:r>
      <w:r>
        <w:rPr>
          <w:rFonts w:ascii="SimSun" w:hAnsi="SimSun" w:eastAsia="SimSun" w:cs="SimSun"/>
          <w:sz w:val="24"/>
          <w:szCs w:val="24"/>
          <w:spacing w:val="-3"/>
        </w:rPr>
        <w:t>炉标准限值及《饮食业油烟排放标准（试行）》（</w:t>
      </w:r>
      <w:r>
        <w:rPr>
          <w:rFonts w:ascii="Times New Roman" w:hAnsi="Times New Roman" w:eastAsia="Times New Roman" w:cs="Times New Roman"/>
          <w:sz w:val="24"/>
          <w:szCs w:val="24"/>
          <w:spacing w:val="-3"/>
        </w:rPr>
        <w:t>GB18483-2001</w:t>
      </w:r>
      <w:r>
        <w:rPr>
          <w:rFonts w:ascii="SimSun" w:hAnsi="SimSun" w:eastAsia="SimSun" w:cs="SimSun"/>
          <w:sz w:val="24"/>
          <w:szCs w:val="24"/>
          <w:spacing w:val="-3"/>
        </w:rPr>
        <w:t>）中型排放限值。</w:t>
      </w:r>
    </w:p>
    <w:p>
      <w:pPr>
        <w:ind w:left="8" w:firstLine="492"/>
        <w:spacing w:before="5" w:line="341"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）废水：本项目生活污水中的冲厕废水送往厌氧发酵装置，厌</w:t>
      </w:r>
      <w:r>
        <w:rPr>
          <w:rFonts w:ascii="SimSun" w:hAnsi="SimSun" w:eastAsia="SimSun" w:cs="SimSun"/>
          <w:sz w:val="24"/>
          <w:szCs w:val="24"/>
          <w:spacing w:val="-2"/>
        </w:rPr>
        <w:t>氧发酵达到</w:t>
      </w:r>
      <w:r>
        <w:rPr>
          <w:rFonts w:ascii="SimSun" w:hAnsi="SimSun" w:eastAsia="SimSun" w:cs="SimSun"/>
          <w:sz w:val="24"/>
          <w:szCs w:val="24"/>
        </w:rPr>
        <w:t xml:space="preserve"> </w:t>
      </w:r>
      <w:r>
        <w:rPr>
          <w:rFonts w:ascii="SimSun" w:hAnsi="SimSun" w:eastAsia="SimSun" w:cs="SimSun"/>
          <w:sz w:val="24"/>
          <w:szCs w:val="24"/>
          <w:spacing w:val="3"/>
        </w:rPr>
        <w:t>沼肥标准后还田利用；洗浴和食堂废水通过单独管道</w:t>
      </w:r>
      <w:r>
        <w:rPr>
          <w:rFonts w:ascii="SimSun" w:hAnsi="SimSun" w:eastAsia="SimSun" w:cs="SimSun"/>
          <w:sz w:val="24"/>
          <w:szCs w:val="24"/>
          <w:spacing w:val="2"/>
        </w:rPr>
        <w:t>排入市政污水管网，进入明</w:t>
      </w:r>
      <w:r>
        <w:rPr>
          <w:rFonts w:ascii="SimSun" w:hAnsi="SimSun" w:eastAsia="SimSun" w:cs="SimSun"/>
          <w:sz w:val="24"/>
          <w:szCs w:val="24"/>
        </w:rPr>
        <w:t xml:space="preserve"> </w:t>
      </w:r>
      <w:r>
        <w:rPr>
          <w:rFonts w:ascii="SimSun" w:hAnsi="SimSun" w:eastAsia="SimSun" w:cs="SimSun"/>
          <w:sz w:val="24"/>
          <w:szCs w:val="24"/>
        </w:rPr>
        <w:t>安图镇污水处理厂。洗毛废水、地面冲洗废水经废水收集池收集、</w:t>
      </w:r>
      <w:r>
        <w:rPr>
          <w:rFonts w:ascii="Times New Roman" w:hAnsi="Times New Roman" w:eastAsia="Times New Roman" w:cs="Times New Roman"/>
          <w:sz w:val="24"/>
          <w:szCs w:val="24"/>
        </w:rPr>
        <w:t>T</w:t>
      </w:r>
      <w:r>
        <w:rPr>
          <w:rFonts w:ascii="Times New Roman" w:hAnsi="Times New Roman" w:eastAsia="Times New Roman" w:cs="Times New Roman"/>
          <w:sz w:val="24"/>
          <w:szCs w:val="24"/>
          <w:spacing w:val="-1"/>
        </w:rPr>
        <w:t>S </w:t>
      </w:r>
      <w:r>
        <w:rPr>
          <w:rFonts w:ascii="SimSun" w:hAnsi="SimSun" w:eastAsia="SimSun" w:cs="SimSun"/>
          <w:sz w:val="24"/>
          <w:szCs w:val="24"/>
          <w:spacing w:val="-1"/>
        </w:rPr>
        <w:t>调节池调质</w:t>
      </w:r>
      <w:r>
        <w:rPr>
          <w:rFonts w:ascii="SimSun" w:hAnsi="SimSun" w:eastAsia="SimSun" w:cs="SimSun"/>
          <w:sz w:val="24"/>
          <w:szCs w:val="24"/>
        </w:rPr>
        <w:t xml:space="preserve"> </w:t>
      </w:r>
      <w:r>
        <w:rPr>
          <w:rFonts w:ascii="SimSun" w:hAnsi="SimSun" w:eastAsia="SimSun" w:cs="SimSun"/>
          <w:sz w:val="24"/>
          <w:szCs w:val="24"/>
          <w:spacing w:val="2"/>
        </w:rPr>
        <w:t>后进入厌氧发酵装置，厌氧发酵达到沼肥标准后还田利用（自用</w:t>
      </w:r>
      <w:r>
        <w:rPr>
          <w:rFonts w:ascii="SimSun" w:hAnsi="SimSun" w:eastAsia="SimSun" w:cs="SimSun"/>
          <w:sz w:val="24"/>
          <w:szCs w:val="24"/>
          <w:spacing w:val="13"/>
        </w:rPr>
        <w:t>），</w:t>
      </w:r>
      <w:r>
        <w:rPr>
          <w:rFonts w:ascii="SimSun" w:hAnsi="SimSun" w:eastAsia="SimSun" w:cs="SimSun"/>
          <w:sz w:val="24"/>
          <w:szCs w:val="24"/>
          <w:spacing w:val="2"/>
        </w:rPr>
        <w:t>不外排；纯</w:t>
      </w:r>
      <w:r>
        <w:rPr>
          <w:rFonts w:ascii="SimSun" w:hAnsi="SimSun" w:eastAsia="SimSun" w:cs="SimSun"/>
          <w:sz w:val="24"/>
          <w:szCs w:val="24"/>
          <w:spacing w:val="1"/>
        </w:rPr>
        <w:t xml:space="preserve"> </w:t>
      </w:r>
      <w:r>
        <w:rPr>
          <w:rFonts w:ascii="SimSun" w:hAnsi="SimSun" w:eastAsia="SimSun" w:cs="SimSun"/>
          <w:sz w:val="24"/>
          <w:szCs w:val="24"/>
          <w:spacing w:val="3"/>
        </w:rPr>
        <w:t>水制备排污及锅炉排污全部用作锅炉草木灰抑尘及厂区内道</w:t>
      </w:r>
      <w:r>
        <w:rPr>
          <w:rFonts w:ascii="SimSun" w:hAnsi="SimSun" w:eastAsia="SimSun" w:cs="SimSun"/>
          <w:sz w:val="24"/>
          <w:szCs w:val="24"/>
          <w:spacing w:val="2"/>
        </w:rPr>
        <w:t>路抑尘用水，部分外</w:t>
      </w:r>
      <w:r>
        <w:rPr>
          <w:rFonts w:ascii="SimSun" w:hAnsi="SimSun" w:eastAsia="SimSun" w:cs="SimSun"/>
          <w:sz w:val="24"/>
          <w:szCs w:val="24"/>
        </w:rPr>
        <w:t xml:space="preserve"> </w:t>
      </w:r>
      <w:r>
        <w:rPr>
          <w:rFonts w:ascii="SimSun" w:hAnsi="SimSun" w:eastAsia="SimSun" w:cs="SimSun"/>
          <w:sz w:val="24"/>
          <w:szCs w:val="24"/>
          <w:spacing w:val="3"/>
        </w:rPr>
        <w:t>排市政污水管网，进入明安图镇污水处理厂。因此本</w:t>
      </w:r>
      <w:r>
        <w:rPr>
          <w:rFonts w:ascii="SimSun" w:hAnsi="SimSun" w:eastAsia="SimSun" w:cs="SimSun"/>
          <w:sz w:val="24"/>
          <w:szCs w:val="24"/>
          <w:spacing w:val="2"/>
        </w:rPr>
        <w:t>项目的生产废水不会直接进</w:t>
      </w:r>
      <w:r>
        <w:rPr>
          <w:rFonts w:ascii="SimSun" w:hAnsi="SimSun" w:eastAsia="SimSun" w:cs="SimSun"/>
          <w:sz w:val="24"/>
          <w:szCs w:val="24"/>
        </w:rPr>
        <w:t xml:space="preserve"> </w:t>
      </w:r>
      <w:r>
        <w:rPr>
          <w:rFonts w:ascii="SimSun" w:hAnsi="SimSun" w:eastAsia="SimSun" w:cs="SimSun"/>
          <w:sz w:val="24"/>
          <w:szCs w:val="24"/>
          <w:spacing w:val="3"/>
        </w:rPr>
        <w:t>入当地的水体环境，不会对地下水产生大的影响。同</w:t>
      </w:r>
      <w:r>
        <w:rPr>
          <w:rFonts w:ascii="SimSun" w:hAnsi="SimSun" w:eastAsia="SimSun" w:cs="SimSun"/>
          <w:sz w:val="24"/>
          <w:szCs w:val="24"/>
          <w:spacing w:val="2"/>
        </w:rPr>
        <w:t>时在建设过程中，对于生产</w:t>
      </w:r>
      <w:r>
        <w:rPr>
          <w:rFonts w:ascii="SimSun" w:hAnsi="SimSun" w:eastAsia="SimSun" w:cs="SimSun"/>
          <w:sz w:val="24"/>
          <w:szCs w:val="24"/>
        </w:rPr>
        <w:t xml:space="preserve"> </w:t>
      </w:r>
      <w:r>
        <w:rPr>
          <w:rFonts w:ascii="SimSun" w:hAnsi="SimSun" w:eastAsia="SimSun" w:cs="SimSun"/>
          <w:sz w:val="24"/>
          <w:szCs w:val="24"/>
          <w:spacing w:val="-2"/>
        </w:rPr>
        <w:t>车间、各池体等均进行了防渗处理，可防止污水的下渗对当地的地下水产生污染。</w:t>
      </w:r>
    </w:p>
    <w:p>
      <w:pPr>
        <w:ind w:left="4" w:right="18" w:firstLine="496"/>
        <w:spacing w:before="187" w:line="341" w:lineRule="auto"/>
        <w:rPr>
          <w:rFonts w:ascii="SimSun" w:hAnsi="SimSun" w:eastAsia="SimSun" w:cs="SimSun"/>
          <w:sz w:val="24"/>
          <w:szCs w:val="24"/>
        </w:rPr>
      </w:pPr>
      <w:r>
        <w:rPr>
          <w:rFonts w:ascii="SimSun" w:hAnsi="SimSun" w:eastAsia="SimSun" w:cs="SimSun"/>
          <w:sz w:val="24"/>
          <w:szCs w:val="24"/>
          <w:spacing w:val="-6"/>
        </w:rPr>
        <w:t>（</w:t>
      </w:r>
      <w:r>
        <w:rPr>
          <w:rFonts w:ascii="Times New Roman" w:hAnsi="Times New Roman" w:eastAsia="Times New Roman" w:cs="Times New Roman"/>
          <w:sz w:val="24"/>
          <w:szCs w:val="24"/>
          <w:spacing w:val="-6"/>
        </w:rPr>
        <w:t>3</w:t>
      </w:r>
      <w:r>
        <w:rPr>
          <w:rFonts w:ascii="SimSun" w:hAnsi="SimSun" w:eastAsia="SimSun" w:cs="SimSun"/>
          <w:sz w:val="24"/>
          <w:szCs w:val="24"/>
          <w:spacing w:val="-6"/>
        </w:rPr>
        <w:t>）地下水：①进行源头控制，减少污水进入含水层；②采</w:t>
      </w:r>
      <w:r>
        <w:rPr>
          <w:rFonts w:ascii="SimSun" w:hAnsi="SimSun" w:eastAsia="SimSun" w:cs="SimSun"/>
          <w:sz w:val="24"/>
          <w:szCs w:val="24"/>
          <w:spacing w:val="-7"/>
        </w:rPr>
        <w:t>取分区防渗措施，</w:t>
      </w:r>
      <w:r>
        <w:rPr>
          <w:rFonts w:ascii="SimSun" w:hAnsi="SimSun" w:eastAsia="SimSun" w:cs="SimSun"/>
          <w:sz w:val="24"/>
          <w:szCs w:val="24"/>
        </w:rPr>
        <w:t xml:space="preserve"> </w:t>
      </w:r>
      <w:r>
        <w:rPr>
          <w:rFonts w:ascii="SimSun" w:hAnsi="SimSun" w:eastAsia="SimSun" w:cs="SimSun"/>
          <w:sz w:val="24"/>
          <w:szCs w:val="24"/>
          <w:spacing w:val="3"/>
        </w:rPr>
        <w:t>洗毛车间、厌氧发酵罐区、事故水池、危废暂存间、沼渣晾晒区等设</w:t>
      </w:r>
      <w:r>
        <w:rPr>
          <w:rFonts w:ascii="SimSun" w:hAnsi="SimSun" w:eastAsia="SimSun" w:cs="SimSun"/>
          <w:sz w:val="24"/>
          <w:szCs w:val="24"/>
          <w:spacing w:val="2"/>
        </w:rPr>
        <w:t>定为重点污</w:t>
      </w:r>
      <w:r>
        <w:rPr>
          <w:rFonts w:ascii="SimSun" w:hAnsi="SimSun" w:eastAsia="SimSun" w:cs="SimSun"/>
          <w:sz w:val="24"/>
          <w:szCs w:val="24"/>
        </w:rPr>
        <w:t xml:space="preserve"> </w:t>
      </w:r>
      <w:r>
        <w:rPr>
          <w:rFonts w:ascii="SimSun" w:hAnsi="SimSun" w:eastAsia="SimSun" w:cs="SimSun"/>
          <w:sz w:val="24"/>
          <w:szCs w:val="24"/>
          <w:spacing w:val="2"/>
        </w:rPr>
        <w:t>染防治区，防渗要求等效于</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M=6m</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2"/>
        </w:rPr>
        <w:t>厚粘土，渗透系数不大</w:t>
      </w:r>
      <w:r>
        <w:rPr>
          <w:rFonts w:ascii="SimSun" w:hAnsi="SimSun" w:eastAsia="SimSun" w:cs="SimSun"/>
          <w:sz w:val="24"/>
          <w:szCs w:val="24"/>
          <w:spacing w:val="1"/>
        </w:rPr>
        <w:t>于</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10</w:t>
      </w:r>
      <w:r>
        <w:rPr>
          <w:rFonts w:ascii="Times New Roman" w:hAnsi="Times New Roman" w:eastAsia="Times New Roman" w:cs="Times New Roman"/>
          <w:sz w:val="15"/>
          <w:szCs w:val="15"/>
          <w:spacing w:val="1"/>
          <w:position w:val="8"/>
        </w:rPr>
        <w:t>-7</w:t>
      </w:r>
      <w:r>
        <w:rPr>
          <w:rFonts w:ascii="Times New Roman" w:hAnsi="Times New Roman" w:eastAsia="Times New Roman" w:cs="Times New Roman"/>
          <w:sz w:val="24"/>
          <w:szCs w:val="24"/>
        </w:rPr>
        <w:t>cm</w:t>
      </w:r>
      <w:r>
        <w:rPr>
          <w:rFonts w:ascii="Times New Roman" w:hAnsi="Times New Roman" w:eastAsia="Times New Roman" w:cs="Times New Roman"/>
          <w:sz w:val="24"/>
          <w:szCs w:val="24"/>
          <w:spacing w:val="1"/>
        </w:rPr>
        <w:t>/s</w:t>
      </w:r>
      <w:r>
        <w:rPr>
          <w:rFonts w:ascii="SimSun" w:hAnsi="SimSun" w:eastAsia="SimSun" w:cs="SimSun"/>
          <w:sz w:val="24"/>
          <w:szCs w:val="24"/>
          <w:spacing w:val="1"/>
        </w:rPr>
        <w:t>；或等效于</w:t>
      </w:r>
      <w:r>
        <w:rPr>
          <w:rFonts w:ascii="SimSun" w:hAnsi="SimSun" w:eastAsia="SimSun" w:cs="SimSun"/>
          <w:sz w:val="24"/>
          <w:szCs w:val="24"/>
        </w:rPr>
        <w:t xml:space="preserve"> </w:t>
      </w:r>
      <w:r>
        <w:rPr>
          <w:rFonts w:ascii="Times New Roman" w:hAnsi="Times New Roman" w:eastAsia="Times New Roman" w:cs="Times New Roman"/>
          <w:sz w:val="24"/>
          <w:szCs w:val="24"/>
          <w:spacing w:val="-5"/>
        </w:rPr>
        <w:t>M=2mm</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厚高密度聚乙烯防渗层，渗透系数不大于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10</w:t>
      </w:r>
      <w:r>
        <w:rPr>
          <w:rFonts w:ascii="Times New Roman" w:hAnsi="Times New Roman" w:eastAsia="Times New Roman" w:cs="Times New Roman"/>
          <w:sz w:val="15"/>
          <w:szCs w:val="15"/>
          <w:spacing w:val="-5"/>
          <w:position w:val="7"/>
        </w:rPr>
        <w:t>-10</w:t>
      </w:r>
      <w:r>
        <w:rPr>
          <w:rFonts w:ascii="Times New Roman" w:hAnsi="Times New Roman" w:eastAsia="Times New Roman" w:cs="Times New Roman"/>
          <w:sz w:val="24"/>
          <w:szCs w:val="24"/>
          <w:spacing w:val="-5"/>
        </w:rPr>
        <w:t>cm/s</w:t>
      </w:r>
      <w:r>
        <w:rPr>
          <w:rFonts w:ascii="SimSun" w:hAnsi="SimSun" w:eastAsia="SimSun" w:cs="SimSun"/>
          <w:sz w:val="24"/>
          <w:szCs w:val="24"/>
          <w:spacing w:val="-5"/>
        </w:rPr>
        <w:t>，或参照</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5"/>
        </w:rPr>
        <w:t>GB18597-2</w:t>
      </w:r>
      <w:r>
        <w:rPr>
          <w:rFonts w:ascii="Times New Roman" w:hAnsi="Times New Roman" w:eastAsia="Times New Roman" w:cs="Times New Roman"/>
          <w:sz w:val="24"/>
          <w:szCs w:val="24"/>
          <w:spacing w:val="-6"/>
        </w:rPr>
        <w:t>001</w:t>
      </w:r>
      <w:r>
        <w:rPr>
          <w:rFonts w:ascii="Times New Roman" w:hAnsi="Times New Roman" w:eastAsia="Times New Roman" w:cs="Times New Roman"/>
          <w:sz w:val="24"/>
          <w:szCs w:val="24"/>
        </w:rPr>
        <w:t xml:space="preserve">  </w:t>
      </w:r>
      <w:r>
        <w:rPr>
          <w:rFonts w:ascii="SimSun" w:hAnsi="SimSun" w:eastAsia="SimSun" w:cs="SimSun"/>
          <w:sz w:val="24"/>
          <w:szCs w:val="24"/>
          <w:spacing w:val="3"/>
        </w:rPr>
        <w:t>设置防渗。原毛库房、燃料库房、锅炉房、梳绒车间、一般固体</w:t>
      </w:r>
      <w:r>
        <w:rPr>
          <w:rFonts w:ascii="SimSun" w:hAnsi="SimSun" w:eastAsia="SimSun" w:cs="SimSun"/>
          <w:sz w:val="24"/>
          <w:szCs w:val="24"/>
          <w:spacing w:val="2"/>
        </w:rPr>
        <w:t>废物暂存间、选</w:t>
      </w:r>
      <w:r>
        <w:rPr>
          <w:rFonts w:ascii="SimSun" w:hAnsi="SimSun" w:eastAsia="SimSun" w:cs="SimSun"/>
          <w:sz w:val="24"/>
          <w:szCs w:val="24"/>
        </w:rPr>
        <w:t xml:space="preserve"> </w:t>
      </w:r>
      <w:r>
        <w:rPr>
          <w:rFonts w:ascii="SimSun" w:hAnsi="SimSun" w:eastAsia="SimSun" w:cs="SimSun"/>
          <w:sz w:val="24"/>
          <w:szCs w:val="24"/>
          <w:spacing w:val="1"/>
        </w:rPr>
        <w:t>毛库房等设定为一般污染防渗区，防渗等级等效于</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24"/>
          <w:szCs w:val="24"/>
          <w:spacing w:val="-33"/>
        </w:rPr>
        <w:t xml:space="preserve"> </w:t>
      </w:r>
      <w:r>
        <w:rPr>
          <w:rFonts w:ascii="Times New Roman" w:hAnsi="Times New Roman" w:eastAsia="Times New Roman" w:cs="Times New Roman"/>
          <w:sz w:val="24"/>
          <w:szCs w:val="24"/>
          <w:spacing w:val="1"/>
        </w:rPr>
        <w:t>1.5m</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1"/>
        </w:rPr>
        <w:t>厚粘土，渗透系数不</w:t>
      </w:r>
      <w:r>
        <w:rPr>
          <w:rFonts w:ascii="SimSun" w:hAnsi="SimSun" w:eastAsia="SimSun" w:cs="SimSun"/>
          <w:sz w:val="24"/>
          <w:szCs w:val="24"/>
        </w:rPr>
        <w:t xml:space="preserve"> </w:t>
      </w:r>
      <w:r>
        <w:rPr>
          <w:rFonts w:ascii="SimSun" w:hAnsi="SimSun" w:eastAsia="SimSun" w:cs="SimSun"/>
          <w:sz w:val="24"/>
          <w:szCs w:val="24"/>
          <w:spacing w:val="-3"/>
        </w:rPr>
        <w:t>大于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w:t>
      </w:r>
      <w:r>
        <w:rPr>
          <w:rFonts w:ascii="Times New Roman" w:hAnsi="Times New Roman" w:eastAsia="Times New Roman" w:cs="Times New Roman"/>
          <w:sz w:val="15"/>
          <w:szCs w:val="15"/>
          <w:spacing w:val="-3"/>
          <w:position w:val="8"/>
        </w:rPr>
        <w:t>-7</w:t>
      </w:r>
      <w:r>
        <w:rPr>
          <w:rFonts w:ascii="Times New Roman" w:hAnsi="Times New Roman" w:eastAsia="Times New Roman" w:cs="Times New Roman"/>
          <w:sz w:val="24"/>
          <w:szCs w:val="24"/>
          <w:spacing w:val="-3"/>
        </w:rPr>
        <w:t>cm/s</w:t>
      </w:r>
      <w:r>
        <w:rPr>
          <w:rFonts w:ascii="SimSun" w:hAnsi="SimSun" w:eastAsia="SimSun" w:cs="SimSun"/>
          <w:sz w:val="24"/>
          <w:szCs w:val="24"/>
          <w:spacing w:val="-3"/>
        </w:rPr>
        <w:t>。其它区域设定为非污染防渗区，进行简单地面硬化。③建立</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24"/>
          <w:w w:val="101"/>
        </w:rPr>
        <w:t xml:space="preserve"> </w:t>
      </w:r>
      <w:r>
        <w:rPr>
          <w:rFonts w:ascii="SimSun" w:hAnsi="SimSun" w:eastAsia="SimSun" w:cs="SimSun"/>
          <w:sz w:val="24"/>
          <w:szCs w:val="24"/>
          <w:spacing w:val="-4"/>
        </w:rPr>
        <w:t>眼监</w:t>
      </w:r>
      <w:r>
        <w:rPr>
          <w:rFonts w:ascii="SimSun" w:hAnsi="SimSun" w:eastAsia="SimSun" w:cs="SimSun"/>
          <w:sz w:val="24"/>
          <w:szCs w:val="24"/>
        </w:rPr>
        <w:t xml:space="preserve"> </w:t>
      </w:r>
      <w:r>
        <w:rPr>
          <w:rFonts w:ascii="SimSun" w:hAnsi="SimSun" w:eastAsia="SimSun" w:cs="SimSun"/>
          <w:sz w:val="24"/>
          <w:szCs w:val="24"/>
        </w:rPr>
        <w:t>测井，进行跟踪监测和预警。④建立了地下水污染防</w:t>
      </w:r>
      <w:r>
        <w:rPr>
          <w:rFonts w:ascii="SimSun" w:hAnsi="SimSun" w:eastAsia="SimSun" w:cs="SimSun"/>
          <w:sz w:val="24"/>
          <w:szCs w:val="24"/>
          <w:spacing w:val="-1"/>
        </w:rPr>
        <w:t>控应急预案。</w:t>
      </w:r>
    </w:p>
    <w:p>
      <w:pPr>
        <w:ind w:left="13" w:right="78" w:firstLine="487"/>
        <w:spacing w:before="184" w:line="312"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）噪声：尽可能选择辐射噪声小、振动小的低噪声设备，从源</w:t>
      </w:r>
      <w:r>
        <w:rPr>
          <w:rFonts w:ascii="SimSun" w:hAnsi="SimSun" w:eastAsia="SimSun" w:cs="SimSun"/>
          <w:sz w:val="24"/>
          <w:szCs w:val="24"/>
          <w:spacing w:val="-2"/>
        </w:rPr>
        <w:t>头上控制噪</w:t>
      </w:r>
      <w:r>
        <w:rPr>
          <w:rFonts w:ascii="SimSun" w:hAnsi="SimSun" w:eastAsia="SimSun" w:cs="SimSun"/>
          <w:sz w:val="24"/>
          <w:szCs w:val="24"/>
        </w:rPr>
        <w:t xml:space="preserve"> </w:t>
      </w:r>
      <w:r>
        <w:rPr>
          <w:rFonts w:ascii="SimSun" w:hAnsi="SimSun" w:eastAsia="SimSun" w:cs="SimSun"/>
          <w:sz w:val="24"/>
          <w:szCs w:val="24"/>
          <w:spacing w:val="3"/>
        </w:rPr>
        <w:t>声产生的级别；合理安排平面布置，高噪声设备</w:t>
      </w:r>
      <w:r>
        <w:rPr>
          <w:rFonts w:ascii="SimSun" w:hAnsi="SimSun" w:eastAsia="SimSun" w:cs="SimSun"/>
          <w:sz w:val="24"/>
          <w:szCs w:val="24"/>
          <w:spacing w:val="2"/>
        </w:rPr>
        <w:t>应远离综合办公楼。运行中加强</w:t>
      </w:r>
      <w:r>
        <w:rPr>
          <w:rFonts w:ascii="SimSun" w:hAnsi="SimSun" w:eastAsia="SimSun" w:cs="SimSun"/>
          <w:sz w:val="24"/>
          <w:szCs w:val="24"/>
        </w:rPr>
        <w:t xml:space="preserve"> </w:t>
      </w:r>
      <w:r>
        <w:rPr>
          <w:rFonts w:ascii="SimSun" w:hAnsi="SimSun" w:eastAsia="SimSun" w:cs="SimSun"/>
          <w:sz w:val="24"/>
          <w:szCs w:val="24"/>
          <w:spacing w:val="3"/>
        </w:rPr>
        <w:t>设备的维护和保养，以降低噪声源噪声。对噪声</w:t>
      </w:r>
      <w:r>
        <w:rPr>
          <w:rFonts w:ascii="SimSun" w:hAnsi="SimSun" w:eastAsia="SimSun" w:cs="SimSun"/>
          <w:sz w:val="24"/>
          <w:szCs w:val="24"/>
          <w:spacing w:val="2"/>
        </w:rPr>
        <w:t>的传播途径进行控制，水泵等设</w:t>
      </w:r>
    </w:p>
    <w:p>
      <w:pPr>
        <w:spacing w:line="312" w:lineRule="auto"/>
        <w:sectPr>
          <w:headerReference w:type="default" r:id="rId11"/>
          <w:footerReference w:type="default" r:id="rId397"/>
          <w:pgSz w:w="11907" w:h="16840"/>
          <w:pgMar w:top="1567" w:right="1621" w:bottom="1921" w:left="1701" w:header="1221" w:footer="1247" w:gutter="0"/>
        </w:sectPr>
        <w:rPr>
          <w:rFonts w:ascii="SimSun" w:hAnsi="SimSun" w:eastAsia="SimSun" w:cs="SimSun"/>
          <w:sz w:val="24"/>
          <w:szCs w:val="24"/>
        </w:rPr>
      </w:pPr>
    </w:p>
    <w:p>
      <w:pPr>
        <w:ind w:left="12" w:hanging="4"/>
        <w:spacing w:before="187" w:line="359" w:lineRule="auto"/>
        <w:jc w:val="both"/>
        <w:rPr>
          <w:rFonts w:ascii="SimSun" w:hAnsi="SimSun" w:eastAsia="SimSun" w:cs="SimSun"/>
          <w:sz w:val="24"/>
          <w:szCs w:val="24"/>
        </w:rPr>
      </w:pPr>
      <w:r>
        <w:pict>
          <v:shape id="_x0000_s1366" style="position:absolute;margin-left:85.05pt;margin-top:79.11pt;mso-position-vertical-relative:page;mso-position-horizontal-relative:page;width:425.25pt;height:0.75pt;z-index:252431360;" o:allowincell="f" fillcolor="#000000" filled="true" stroked="false" coordsize="8505,15" coordorigin="0,0" path="m,l8505,0l8505,14l0,14l0,0xe"/>
        </w:pict>
      </w:r>
      <w:r>
        <w:rPr>
          <w:rFonts w:ascii="SimSun" w:hAnsi="SimSun" w:eastAsia="SimSun" w:cs="SimSun"/>
          <w:sz w:val="24"/>
          <w:szCs w:val="24"/>
          <w:spacing w:val="3"/>
        </w:rPr>
        <w:t>置在专门的隔声间内，以柔性接头代替刚性接头。电机、泵</w:t>
      </w:r>
      <w:r>
        <w:rPr>
          <w:rFonts w:ascii="SimSun" w:hAnsi="SimSun" w:eastAsia="SimSun" w:cs="SimSun"/>
          <w:sz w:val="24"/>
          <w:szCs w:val="24"/>
          <w:spacing w:val="2"/>
        </w:rPr>
        <w:t>类等因振动而产生噪</w:t>
      </w:r>
      <w:r>
        <w:rPr>
          <w:rFonts w:ascii="SimSun" w:hAnsi="SimSun" w:eastAsia="SimSun" w:cs="SimSun"/>
          <w:sz w:val="24"/>
          <w:szCs w:val="24"/>
        </w:rPr>
        <w:t xml:space="preserve"> </w:t>
      </w:r>
      <w:r>
        <w:rPr>
          <w:rFonts w:ascii="SimSun" w:hAnsi="SimSun" w:eastAsia="SimSun" w:cs="SimSun"/>
          <w:sz w:val="24"/>
          <w:szCs w:val="24"/>
          <w:spacing w:val="3"/>
        </w:rPr>
        <w:t>声的设备，考虑安装橡胶减振垫、弹簧减振器隔振</w:t>
      </w:r>
      <w:r>
        <w:rPr>
          <w:rFonts w:ascii="SimSun" w:hAnsi="SimSun" w:eastAsia="SimSun" w:cs="SimSun"/>
          <w:sz w:val="24"/>
          <w:szCs w:val="24"/>
          <w:spacing w:val="2"/>
        </w:rPr>
        <w:t>机座。各噪声设备建设在封闭</w:t>
      </w:r>
      <w:r>
        <w:rPr>
          <w:rFonts w:ascii="SimSun" w:hAnsi="SimSun" w:eastAsia="SimSun" w:cs="SimSun"/>
          <w:sz w:val="24"/>
          <w:szCs w:val="24"/>
        </w:rPr>
        <w:t xml:space="preserve"> </w:t>
      </w:r>
      <w:r>
        <w:rPr>
          <w:rFonts w:ascii="SimSun" w:hAnsi="SimSun" w:eastAsia="SimSun" w:cs="SimSun"/>
          <w:sz w:val="24"/>
          <w:szCs w:val="24"/>
          <w:spacing w:val="-2"/>
        </w:rPr>
        <w:t>厂房内，企业在实际运营生产中应保证车间的密闭性，以使其能很好地发挥防尘、</w:t>
      </w:r>
      <w:r>
        <w:rPr>
          <w:rFonts w:ascii="SimSun" w:hAnsi="SimSun" w:eastAsia="SimSun" w:cs="SimSun"/>
          <w:sz w:val="24"/>
          <w:szCs w:val="24"/>
          <w:spacing w:val="2"/>
        </w:rPr>
        <w:t xml:space="preserve"> </w:t>
      </w:r>
      <w:r>
        <w:rPr>
          <w:rFonts w:ascii="SimSun" w:hAnsi="SimSun" w:eastAsia="SimSun" w:cs="SimSun"/>
          <w:sz w:val="24"/>
          <w:szCs w:val="24"/>
          <w:spacing w:val="3"/>
        </w:rPr>
        <w:t>降噪的作用。对各种振动机械采用减振基础，对体</w:t>
      </w:r>
      <w:r>
        <w:rPr>
          <w:rFonts w:ascii="SimSun" w:hAnsi="SimSun" w:eastAsia="SimSun" w:cs="SimSun"/>
          <w:sz w:val="24"/>
          <w:szCs w:val="24"/>
          <w:spacing w:val="2"/>
        </w:rPr>
        <w:t>积较大的产噪设备，应考虑对</w:t>
      </w:r>
      <w:r>
        <w:rPr>
          <w:rFonts w:ascii="SimSun" w:hAnsi="SimSun" w:eastAsia="SimSun" w:cs="SimSun"/>
          <w:sz w:val="24"/>
          <w:szCs w:val="24"/>
        </w:rPr>
        <w:t xml:space="preserve"> </w:t>
      </w:r>
      <w:r>
        <w:rPr>
          <w:rFonts w:ascii="SimSun" w:hAnsi="SimSun" w:eastAsia="SimSun" w:cs="SimSun"/>
          <w:sz w:val="24"/>
          <w:szCs w:val="24"/>
          <w:spacing w:val="-1"/>
        </w:rPr>
        <w:t>设备厂房，墙壁进行吸声处理。措施成熟可行。</w:t>
      </w:r>
    </w:p>
    <w:p>
      <w:pPr>
        <w:ind w:left="8" w:right="78" w:firstLine="492"/>
        <w:spacing w:before="9" w:line="359" w:lineRule="auto"/>
        <w:rPr>
          <w:rFonts w:ascii="SimSun" w:hAnsi="SimSun" w:eastAsia="SimSun" w:cs="SimSun"/>
          <w:sz w:val="24"/>
          <w:szCs w:val="24"/>
        </w:rPr>
      </w:pPr>
      <w:r>
        <w:rPr>
          <w:rFonts w:ascii="SimSun" w:hAnsi="SimSun" w:eastAsia="SimSun" w:cs="SimSun"/>
          <w:sz w:val="24"/>
          <w:szCs w:val="24"/>
          <w:spacing w:val="6"/>
        </w:rPr>
        <w:t>（</w:t>
      </w:r>
      <w:r>
        <w:rPr>
          <w:rFonts w:ascii="Times New Roman" w:hAnsi="Times New Roman" w:eastAsia="Times New Roman" w:cs="Times New Roman"/>
          <w:sz w:val="24"/>
          <w:szCs w:val="24"/>
          <w:spacing w:val="6"/>
        </w:rPr>
        <w:t>5</w:t>
      </w:r>
      <w:r>
        <w:rPr>
          <w:rFonts w:ascii="SimSun" w:hAnsi="SimSun" w:eastAsia="SimSun" w:cs="SimSun"/>
          <w:sz w:val="24"/>
          <w:szCs w:val="24"/>
          <w:spacing w:val="6"/>
        </w:rPr>
        <w:t>）固废：本项目废包装物外售废品回收企业综合利用；分选杂</w:t>
      </w:r>
      <w:r>
        <w:rPr>
          <w:rFonts w:ascii="SimSun" w:hAnsi="SimSun" w:eastAsia="SimSun" w:cs="SimSun"/>
          <w:sz w:val="24"/>
          <w:szCs w:val="24"/>
          <w:spacing w:val="5"/>
        </w:rPr>
        <w:t>质定期交</w:t>
      </w:r>
      <w:r>
        <w:rPr>
          <w:rFonts w:ascii="SimSun" w:hAnsi="SimSun" w:eastAsia="SimSun" w:cs="SimSun"/>
          <w:sz w:val="24"/>
          <w:szCs w:val="24"/>
        </w:rPr>
        <w:t xml:space="preserve"> </w:t>
      </w:r>
      <w:r>
        <w:rPr>
          <w:rFonts w:ascii="SimSun" w:hAnsi="SimSun" w:eastAsia="SimSun" w:cs="SimSun"/>
          <w:sz w:val="24"/>
          <w:szCs w:val="24"/>
          <w:spacing w:val="10"/>
        </w:rPr>
        <w:t>由环卫部门处理；开松杂质外运内蒙古盎然农</w:t>
      </w:r>
      <w:r>
        <w:rPr>
          <w:rFonts w:ascii="SimSun" w:hAnsi="SimSun" w:eastAsia="SimSun" w:cs="SimSun"/>
          <w:sz w:val="24"/>
          <w:szCs w:val="24"/>
          <w:spacing w:val="9"/>
        </w:rPr>
        <w:t>业发展有限公司有机肥厂做有机</w:t>
      </w:r>
      <w:r>
        <w:rPr>
          <w:rFonts w:ascii="SimSun" w:hAnsi="SimSun" w:eastAsia="SimSun" w:cs="SimSun"/>
          <w:sz w:val="24"/>
          <w:szCs w:val="24"/>
        </w:rPr>
        <w:t xml:space="preserve"> </w:t>
      </w:r>
      <w:r>
        <w:rPr>
          <w:rFonts w:ascii="SimSun" w:hAnsi="SimSun" w:eastAsia="SimSun" w:cs="SimSun"/>
          <w:sz w:val="24"/>
          <w:szCs w:val="24"/>
          <w:spacing w:val="10"/>
        </w:rPr>
        <w:t>肥，待内蒙古源浩羊绒制品有限公司废弃物高</w:t>
      </w:r>
      <w:r>
        <w:rPr>
          <w:rFonts w:ascii="SimSun" w:hAnsi="SimSun" w:eastAsia="SimSun" w:cs="SimSun"/>
          <w:sz w:val="24"/>
          <w:szCs w:val="24"/>
          <w:spacing w:val="9"/>
        </w:rPr>
        <w:t>效循环利用项目（二期）有机肥</w:t>
      </w:r>
      <w:r>
        <w:rPr>
          <w:rFonts w:ascii="SimSun" w:hAnsi="SimSun" w:eastAsia="SimSun" w:cs="SimSun"/>
          <w:sz w:val="24"/>
          <w:szCs w:val="24"/>
        </w:rPr>
        <w:t xml:space="preserve"> </w:t>
      </w:r>
      <w:r>
        <w:rPr>
          <w:rFonts w:ascii="SimSun" w:hAnsi="SimSun" w:eastAsia="SimSun" w:cs="SimSun"/>
          <w:sz w:val="24"/>
          <w:szCs w:val="24"/>
          <w:spacing w:val="10"/>
        </w:rPr>
        <w:t>生产线建成后用于生产有机肥；开松除杂布袋</w:t>
      </w:r>
      <w:r>
        <w:rPr>
          <w:rFonts w:ascii="SimSun" w:hAnsi="SimSun" w:eastAsia="SimSun" w:cs="SimSun"/>
          <w:sz w:val="24"/>
          <w:szCs w:val="24"/>
          <w:spacing w:val="9"/>
        </w:rPr>
        <w:t>除尘器收集粉尘外运内蒙古盎然</w:t>
      </w:r>
      <w:r>
        <w:rPr>
          <w:rFonts w:ascii="SimSun" w:hAnsi="SimSun" w:eastAsia="SimSun" w:cs="SimSun"/>
          <w:sz w:val="24"/>
          <w:szCs w:val="24"/>
        </w:rPr>
        <w:t xml:space="preserve"> </w:t>
      </w:r>
      <w:r>
        <w:rPr>
          <w:rFonts w:ascii="SimSun" w:hAnsi="SimSun" w:eastAsia="SimSun" w:cs="SimSun"/>
          <w:sz w:val="24"/>
          <w:szCs w:val="24"/>
          <w:spacing w:val="10"/>
        </w:rPr>
        <w:t>农业发展有限公司有机肥厂做有机肥；梳绒短</w:t>
      </w:r>
      <w:r>
        <w:rPr>
          <w:rFonts w:ascii="SimSun" w:hAnsi="SimSun" w:eastAsia="SimSun" w:cs="SimSun"/>
          <w:sz w:val="24"/>
          <w:szCs w:val="24"/>
          <w:spacing w:val="9"/>
        </w:rPr>
        <w:t>纤维及杂毛外售综合利用（工业</w:t>
      </w:r>
      <w:r>
        <w:rPr>
          <w:rFonts w:ascii="SimSun" w:hAnsi="SimSun" w:eastAsia="SimSun" w:cs="SimSun"/>
          <w:sz w:val="24"/>
          <w:szCs w:val="24"/>
        </w:rPr>
        <w:t xml:space="preserve"> </w:t>
      </w:r>
      <w:r>
        <w:rPr>
          <w:rFonts w:ascii="SimSun" w:hAnsi="SimSun" w:eastAsia="SimSun" w:cs="SimSun"/>
          <w:sz w:val="24"/>
          <w:szCs w:val="24"/>
          <w:spacing w:val="9"/>
        </w:rPr>
        <w:t>毛毡等</w:t>
      </w:r>
      <w:r>
        <w:rPr>
          <w:rFonts w:ascii="SimSun" w:hAnsi="SimSun" w:eastAsia="SimSun" w:cs="SimSun"/>
          <w:sz w:val="24"/>
          <w:szCs w:val="24"/>
          <w:spacing w:val="2"/>
        </w:rPr>
        <w:t>）</w:t>
      </w:r>
      <w:r>
        <w:rPr>
          <w:rFonts w:ascii="SimSun" w:hAnsi="SimSun" w:eastAsia="SimSun" w:cs="SimSun"/>
          <w:sz w:val="24"/>
          <w:szCs w:val="24"/>
          <w:spacing w:val="-66"/>
        </w:rPr>
        <w:t xml:space="preserve"> </w:t>
      </w:r>
      <w:r>
        <w:rPr>
          <w:rFonts w:ascii="SimSun" w:hAnsi="SimSun" w:eastAsia="SimSun" w:cs="SimSun"/>
          <w:sz w:val="24"/>
          <w:szCs w:val="24"/>
          <w:spacing w:val="2"/>
        </w:rPr>
        <w:t>；</w:t>
      </w:r>
      <w:r>
        <w:rPr>
          <w:rFonts w:ascii="SimSun" w:hAnsi="SimSun" w:eastAsia="SimSun" w:cs="SimSun"/>
          <w:sz w:val="24"/>
          <w:szCs w:val="24"/>
          <w:spacing w:val="9"/>
        </w:rPr>
        <w:t>废脱硫剂、废</w:t>
      </w:r>
      <w:r>
        <w:rPr>
          <w:rFonts w:ascii="SimSun" w:hAnsi="SimSun" w:eastAsia="SimSun" w:cs="SimSun"/>
          <w:sz w:val="24"/>
          <w:szCs w:val="24"/>
          <w:spacing w:val="-44"/>
        </w:rPr>
        <w:t xml:space="preserve"> </w:t>
      </w:r>
      <w:r>
        <w:rPr>
          <w:rFonts w:ascii="Times New Roman" w:hAnsi="Times New Roman" w:eastAsia="Times New Roman" w:cs="Times New Roman"/>
          <w:sz w:val="24"/>
          <w:szCs w:val="24"/>
        </w:rPr>
        <w:t>RO</w:t>
      </w:r>
      <w:r>
        <w:rPr>
          <w:rFonts w:ascii="Times New Roman" w:hAnsi="Times New Roman" w:eastAsia="Times New Roman" w:cs="Times New Roman"/>
          <w:sz w:val="24"/>
          <w:szCs w:val="24"/>
          <w:spacing w:val="9"/>
        </w:rPr>
        <w:t xml:space="preserve"> </w:t>
      </w:r>
      <w:r>
        <w:rPr>
          <w:rFonts w:ascii="SimSun" w:hAnsi="SimSun" w:eastAsia="SimSun" w:cs="SimSun"/>
          <w:sz w:val="24"/>
          <w:szCs w:val="24"/>
          <w:spacing w:val="9"/>
        </w:rPr>
        <w:t>膜、废过滤器组件由其生产厂家回收；锅炉草木</w:t>
      </w:r>
      <w:r>
        <w:rPr>
          <w:rFonts w:ascii="SimSun" w:hAnsi="SimSun" w:eastAsia="SimSun" w:cs="SimSun"/>
          <w:sz w:val="24"/>
          <w:szCs w:val="24"/>
        </w:rPr>
        <w:t xml:space="preserve"> </w:t>
      </w:r>
      <w:r>
        <w:rPr>
          <w:rFonts w:ascii="SimSun" w:hAnsi="SimSun" w:eastAsia="SimSun" w:cs="SimSun"/>
          <w:sz w:val="24"/>
          <w:szCs w:val="24"/>
          <w:spacing w:val="10"/>
        </w:rPr>
        <w:t>灰外售作为肥料还田；废布袋由其生产厂家回收处理；废活性炭、</w:t>
      </w:r>
      <w:r>
        <w:rPr>
          <w:rFonts w:ascii="SimSun" w:hAnsi="SimSun" w:eastAsia="SimSun" w:cs="SimSun"/>
          <w:sz w:val="24"/>
          <w:szCs w:val="24"/>
          <w:spacing w:val="9"/>
        </w:rPr>
        <w:t>废矿物油、</w:t>
      </w:r>
      <w:r>
        <w:rPr>
          <w:rFonts w:ascii="SimSun" w:hAnsi="SimSun" w:eastAsia="SimSun" w:cs="SimSun"/>
          <w:sz w:val="24"/>
          <w:szCs w:val="24"/>
        </w:rPr>
        <w:t xml:space="preserve"> </w:t>
      </w:r>
      <w:r>
        <w:rPr>
          <w:rFonts w:ascii="SimSun" w:hAnsi="SimSun" w:eastAsia="SimSun" w:cs="SimSun"/>
          <w:sz w:val="24"/>
          <w:szCs w:val="24"/>
          <w:spacing w:val="10"/>
        </w:rPr>
        <w:t>废油桶委托有资质单位处理；生活垃圾集中收集，定期交由环</w:t>
      </w:r>
      <w:r>
        <w:rPr>
          <w:rFonts w:ascii="SimSun" w:hAnsi="SimSun" w:eastAsia="SimSun" w:cs="SimSun"/>
          <w:sz w:val="24"/>
          <w:szCs w:val="24"/>
          <w:spacing w:val="9"/>
        </w:rPr>
        <w:t>卫部门处理。采</w:t>
      </w:r>
      <w:r>
        <w:rPr>
          <w:rFonts w:ascii="SimSun" w:hAnsi="SimSun" w:eastAsia="SimSun" w:cs="SimSun"/>
          <w:sz w:val="24"/>
          <w:szCs w:val="24"/>
        </w:rPr>
        <w:t xml:space="preserve"> </w:t>
      </w:r>
      <w:r>
        <w:rPr>
          <w:rFonts w:ascii="SimSun" w:hAnsi="SimSun" w:eastAsia="SimSun" w:cs="SimSun"/>
          <w:sz w:val="24"/>
          <w:szCs w:val="24"/>
          <w:spacing w:val="3"/>
        </w:rPr>
        <w:t>取的固体废物处理处置方法是国内企业的普遍做法，</w:t>
      </w:r>
      <w:r>
        <w:rPr>
          <w:rFonts w:ascii="SimSun" w:hAnsi="SimSun" w:eastAsia="SimSun" w:cs="SimSun"/>
          <w:sz w:val="24"/>
          <w:szCs w:val="24"/>
          <w:spacing w:val="2"/>
        </w:rPr>
        <w:t>符合国情和当地实际，方法</w:t>
      </w:r>
      <w:r>
        <w:rPr>
          <w:rFonts w:ascii="SimSun" w:hAnsi="SimSun" w:eastAsia="SimSun" w:cs="SimSun"/>
          <w:sz w:val="24"/>
          <w:szCs w:val="24"/>
        </w:rPr>
        <w:t xml:space="preserve"> </w:t>
      </w:r>
      <w:r>
        <w:rPr>
          <w:rFonts w:ascii="SimSun" w:hAnsi="SimSun" w:eastAsia="SimSun" w:cs="SimSun"/>
          <w:sz w:val="24"/>
          <w:szCs w:val="24"/>
          <w:spacing w:val="3"/>
        </w:rPr>
        <w:t>可行。建议应进一步做好固废的堆存保管和防护，并设专</w:t>
      </w:r>
      <w:r>
        <w:rPr>
          <w:rFonts w:ascii="SimSun" w:hAnsi="SimSun" w:eastAsia="SimSun" w:cs="SimSun"/>
          <w:sz w:val="24"/>
          <w:szCs w:val="24"/>
          <w:spacing w:val="2"/>
        </w:rPr>
        <w:t>人严格管理，防止造成</w:t>
      </w:r>
      <w:r>
        <w:rPr>
          <w:rFonts w:ascii="SimSun" w:hAnsi="SimSun" w:eastAsia="SimSun" w:cs="SimSun"/>
          <w:sz w:val="24"/>
          <w:szCs w:val="24"/>
        </w:rPr>
        <w:t xml:space="preserve"> </w:t>
      </w:r>
      <w:r>
        <w:rPr>
          <w:rFonts w:ascii="SimSun" w:hAnsi="SimSun" w:eastAsia="SimSun" w:cs="SimSun"/>
          <w:sz w:val="24"/>
          <w:szCs w:val="24"/>
          <w:spacing w:val="-2"/>
        </w:rPr>
        <w:t>二次污染。</w:t>
      </w:r>
    </w:p>
    <w:p>
      <w:pPr>
        <w:ind w:left="35"/>
        <w:spacing w:before="160" w:line="223" w:lineRule="auto"/>
        <w:outlineLvl w:val="1"/>
        <w:rPr>
          <w:rFonts w:ascii="SimHei" w:hAnsi="SimHei" w:eastAsia="SimHei" w:cs="SimHei"/>
          <w:sz w:val="30"/>
          <w:szCs w:val="30"/>
        </w:rPr>
      </w:pPr>
      <w:bookmarkStart w:name="bookmark201" w:id="237"/>
      <w:bookmarkEnd w:id="237"/>
      <w:r>
        <w:rPr>
          <w:rFonts w:ascii="Times New Roman" w:hAnsi="Times New Roman" w:eastAsia="Times New Roman" w:cs="Times New Roman"/>
          <w:sz w:val="30"/>
          <w:szCs w:val="30"/>
          <w:spacing w:val="-7"/>
        </w:rPr>
        <w:t>10.6</w:t>
      </w:r>
      <w:r>
        <w:rPr>
          <w:rFonts w:ascii="Times New Roman" w:hAnsi="Times New Roman" w:eastAsia="Times New Roman" w:cs="Times New Roman"/>
          <w:sz w:val="30"/>
          <w:szCs w:val="30"/>
          <w:spacing w:val="19"/>
          <w:w w:val="101"/>
        </w:rPr>
        <w:t xml:space="preserve"> </w:t>
      </w:r>
      <w:r>
        <w:rPr>
          <w:rFonts w:ascii="SimHei" w:hAnsi="SimHei" w:eastAsia="SimHei" w:cs="SimHei"/>
          <w:sz w:val="30"/>
          <w:szCs w:val="30"/>
          <w:spacing w:val="-7"/>
        </w:rPr>
        <w:t>总量控制</w:t>
      </w:r>
    </w:p>
    <w:p>
      <w:pPr>
        <w:pStyle w:val="BodyText"/>
        <w:spacing w:line="286" w:lineRule="auto"/>
        <w:rPr/>
      </w:pPr>
      <w:r/>
    </w:p>
    <w:p>
      <w:pPr>
        <w:ind w:left="8" w:right="80" w:firstLine="482"/>
        <w:spacing w:before="78" w:line="359" w:lineRule="auto"/>
        <w:jc w:val="both"/>
        <w:rPr>
          <w:rFonts w:ascii="SimSun" w:hAnsi="SimSun" w:eastAsia="SimSun" w:cs="SimSun"/>
          <w:sz w:val="24"/>
          <w:szCs w:val="24"/>
        </w:rPr>
      </w:pPr>
      <w:r>
        <w:rPr>
          <w:rFonts w:ascii="SimSun" w:hAnsi="SimSun" w:eastAsia="SimSun" w:cs="SimSun"/>
          <w:sz w:val="24"/>
          <w:szCs w:val="24"/>
          <w:spacing w:val="3"/>
        </w:rPr>
        <w:t>本项目建成后，生产废水全部进入厌氧发酵装置，厌氧发</w:t>
      </w:r>
      <w:r>
        <w:rPr>
          <w:rFonts w:ascii="SimSun" w:hAnsi="SimSun" w:eastAsia="SimSun" w:cs="SimSun"/>
          <w:sz w:val="24"/>
          <w:szCs w:val="24"/>
          <w:spacing w:val="2"/>
        </w:rPr>
        <w:t>酵达到沼肥标准后</w:t>
      </w:r>
      <w:r>
        <w:rPr>
          <w:rFonts w:ascii="SimSun" w:hAnsi="SimSun" w:eastAsia="SimSun" w:cs="SimSun"/>
          <w:sz w:val="24"/>
          <w:szCs w:val="24"/>
        </w:rPr>
        <w:t xml:space="preserve"> </w:t>
      </w:r>
      <w:r>
        <w:rPr>
          <w:rFonts w:ascii="SimSun" w:hAnsi="SimSun" w:eastAsia="SimSun" w:cs="SimSun"/>
          <w:sz w:val="24"/>
          <w:szCs w:val="24"/>
          <w:spacing w:val="3"/>
        </w:rPr>
        <w:t>还田利用；部分生活污水和纯水装置排水通过独立管道</w:t>
      </w:r>
      <w:r>
        <w:rPr>
          <w:rFonts w:ascii="SimSun" w:hAnsi="SimSun" w:eastAsia="SimSun" w:cs="SimSun"/>
          <w:sz w:val="24"/>
          <w:szCs w:val="24"/>
          <w:spacing w:val="2"/>
        </w:rPr>
        <w:t>外排市政污水管网，最终</w:t>
      </w:r>
      <w:r>
        <w:rPr>
          <w:rFonts w:ascii="SimSun" w:hAnsi="SimSun" w:eastAsia="SimSun" w:cs="SimSun"/>
          <w:sz w:val="24"/>
          <w:szCs w:val="24"/>
        </w:rPr>
        <w:t xml:space="preserve"> </w:t>
      </w:r>
      <w:r>
        <w:rPr>
          <w:rFonts w:ascii="SimSun" w:hAnsi="SimSun" w:eastAsia="SimSun" w:cs="SimSun"/>
          <w:sz w:val="24"/>
          <w:szCs w:val="24"/>
          <w:spacing w:val="3"/>
        </w:rPr>
        <w:t>进入明安图镇污水处理厂，总量已包含在污水处理厂总</w:t>
      </w:r>
      <w:r>
        <w:rPr>
          <w:rFonts w:ascii="SimSun" w:hAnsi="SimSun" w:eastAsia="SimSun" w:cs="SimSun"/>
          <w:sz w:val="24"/>
          <w:szCs w:val="24"/>
          <w:spacing w:val="2"/>
        </w:rPr>
        <w:t>量指标中，不需要进行申</w:t>
      </w:r>
      <w:r>
        <w:rPr>
          <w:rFonts w:ascii="SimSun" w:hAnsi="SimSun" w:eastAsia="SimSun" w:cs="SimSun"/>
          <w:sz w:val="24"/>
          <w:szCs w:val="24"/>
        </w:rPr>
        <w:t xml:space="preserve"> </w:t>
      </w:r>
      <w:r>
        <w:rPr>
          <w:rFonts w:ascii="SimSun" w:hAnsi="SimSun" w:eastAsia="SimSun" w:cs="SimSun"/>
          <w:sz w:val="24"/>
          <w:szCs w:val="24"/>
          <w:spacing w:val="-4"/>
        </w:rPr>
        <w:t>请。</w:t>
      </w:r>
    </w:p>
    <w:p>
      <w:pPr>
        <w:ind w:left="493"/>
        <w:spacing w:line="218" w:lineRule="auto"/>
        <w:rPr>
          <w:rFonts w:ascii="SimSun" w:hAnsi="SimSun" w:eastAsia="SimSun" w:cs="SimSun"/>
          <w:sz w:val="24"/>
          <w:szCs w:val="24"/>
        </w:rPr>
      </w:pPr>
      <w:r>
        <w:rPr>
          <w:rFonts w:ascii="SimSun" w:hAnsi="SimSun" w:eastAsia="SimSun" w:cs="SimSun"/>
          <w:sz w:val="24"/>
          <w:szCs w:val="24"/>
          <w:spacing w:val="-1"/>
        </w:rPr>
        <w:t>本项目大气污染物排放总量指标为氮氧化物</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5.038t/a</w:t>
      </w:r>
      <w:r>
        <w:rPr>
          <w:rFonts w:ascii="SimSun" w:hAnsi="SimSun" w:eastAsia="SimSun" w:cs="SimSun"/>
          <w:sz w:val="24"/>
          <w:szCs w:val="24"/>
          <w:spacing w:val="-1"/>
        </w:rPr>
        <w:t>。</w:t>
      </w:r>
    </w:p>
    <w:p>
      <w:pPr>
        <w:pStyle w:val="BodyText"/>
        <w:spacing w:line="249" w:lineRule="auto"/>
        <w:rPr/>
      </w:pPr>
      <w:r/>
    </w:p>
    <w:p>
      <w:pPr>
        <w:ind w:left="35"/>
        <w:spacing w:before="97" w:line="223" w:lineRule="auto"/>
        <w:outlineLvl w:val="1"/>
        <w:rPr>
          <w:rFonts w:ascii="SimHei" w:hAnsi="SimHei" w:eastAsia="SimHei" w:cs="SimHei"/>
          <w:sz w:val="30"/>
          <w:szCs w:val="30"/>
        </w:rPr>
      </w:pPr>
      <w:bookmarkStart w:name="bookmark202" w:id="238"/>
      <w:bookmarkEnd w:id="238"/>
      <w:r>
        <w:rPr>
          <w:rFonts w:ascii="Times New Roman" w:hAnsi="Times New Roman" w:eastAsia="Times New Roman" w:cs="Times New Roman"/>
          <w:sz w:val="30"/>
          <w:szCs w:val="30"/>
          <w:spacing w:val="-7"/>
        </w:rPr>
        <w:t>10.7</w:t>
      </w:r>
      <w:r>
        <w:rPr>
          <w:rFonts w:ascii="Times New Roman" w:hAnsi="Times New Roman" w:eastAsia="Times New Roman" w:cs="Times New Roman"/>
          <w:sz w:val="30"/>
          <w:szCs w:val="30"/>
          <w:spacing w:val="19"/>
          <w:w w:val="101"/>
        </w:rPr>
        <w:t xml:space="preserve"> </w:t>
      </w:r>
      <w:r>
        <w:rPr>
          <w:rFonts w:ascii="SimHei" w:hAnsi="SimHei" w:eastAsia="SimHei" w:cs="SimHei"/>
          <w:sz w:val="30"/>
          <w:szCs w:val="30"/>
          <w:spacing w:val="-7"/>
        </w:rPr>
        <w:t>公众参与</w:t>
      </w:r>
    </w:p>
    <w:p>
      <w:pPr>
        <w:pStyle w:val="BodyText"/>
        <w:spacing w:line="290" w:lineRule="auto"/>
        <w:rPr/>
      </w:pPr>
      <w:r/>
    </w:p>
    <w:p>
      <w:pPr>
        <w:ind w:left="10" w:right="78" w:firstLine="479"/>
        <w:spacing w:before="78" w:line="359" w:lineRule="auto"/>
        <w:jc w:val="both"/>
        <w:rPr>
          <w:rFonts w:ascii="SimSun" w:hAnsi="SimSun" w:eastAsia="SimSun" w:cs="SimSun"/>
          <w:sz w:val="24"/>
          <w:szCs w:val="24"/>
        </w:rPr>
      </w:pPr>
      <w:r>
        <w:rPr>
          <w:rFonts w:ascii="SimSun" w:hAnsi="SimSun" w:eastAsia="SimSun" w:cs="SimSun"/>
          <w:sz w:val="24"/>
          <w:szCs w:val="24"/>
          <w:spacing w:val="-2"/>
        </w:rPr>
        <w:t>根据《建设项目环境影响评价技术导则总纲》（</w:t>
      </w:r>
      <w:r>
        <w:rPr>
          <w:rFonts w:ascii="Times New Roman" w:hAnsi="Times New Roman" w:eastAsia="Times New Roman" w:cs="Times New Roman"/>
          <w:sz w:val="24"/>
          <w:szCs w:val="24"/>
          <w:spacing w:val="-2"/>
        </w:rPr>
        <w:t>HJ2.</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3"/>
        </w:rPr>
        <w:t>2016</w:t>
      </w:r>
      <w:r>
        <w:rPr>
          <w:rFonts w:ascii="SimSun" w:hAnsi="SimSun" w:eastAsia="SimSun" w:cs="SimSun"/>
          <w:sz w:val="24"/>
          <w:szCs w:val="24"/>
          <w:spacing w:val="-9"/>
        </w:rPr>
        <w:t>），</w:t>
      </w:r>
      <w:r>
        <w:rPr>
          <w:rFonts w:ascii="SimSun" w:hAnsi="SimSun" w:eastAsia="SimSun" w:cs="SimSun"/>
          <w:sz w:val="24"/>
          <w:szCs w:val="24"/>
          <w:spacing w:val="-3"/>
        </w:rPr>
        <w:t>在环境影响评</w:t>
      </w:r>
      <w:r>
        <w:rPr>
          <w:rFonts w:ascii="SimSun" w:hAnsi="SimSun" w:eastAsia="SimSun" w:cs="SimSun"/>
          <w:sz w:val="24"/>
          <w:szCs w:val="24"/>
        </w:rPr>
        <w:t xml:space="preserve"> </w:t>
      </w:r>
      <w:r>
        <w:rPr>
          <w:rFonts w:ascii="SimSun" w:hAnsi="SimSun" w:eastAsia="SimSun" w:cs="SimSun"/>
          <w:sz w:val="24"/>
          <w:szCs w:val="24"/>
          <w:spacing w:val="3"/>
        </w:rPr>
        <w:t>价工作程序中，将公众参与和环境影响评价文件编制工</w:t>
      </w:r>
      <w:r>
        <w:rPr>
          <w:rFonts w:ascii="SimSun" w:hAnsi="SimSun" w:eastAsia="SimSun" w:cs="SimSun"/>
          <w:sz w:val="24"/>
          <w:szCs w:val="24"/>
          <w:spacing w:val="2"/>
        </w:rPr>
        <w:t>作分离，由建设单位自行</w:t>
      </w:r>
      <w:r>
        <w:rPr>
          <w:rFonts w:ascii="SimSun" w:hAnsi="SimSun" w:eastAsia="SimSun" w:cs="SimSun"/>
          <w:sz w:val="24"/>
          <w:szCs w:val="24"/>
        </w:rPr>
        <w:t xml:space="preserve"> </w:t>
      </w:r>
      <w:r>
        <w:rPr>
          <w:rFonts w:ascii="SimSun" w:hAnsi="SimSun" w:eastAsia="SimSun" w:cs="SimSun"/>
          <w:sz w:val="24"/>
          <w:szCs w:val="24"/>
          <w:spacing w:val="-1"/>
        </w:rPr>
        <w:t>负责。本次评价直接引用建设单位环境影响评价工作的结论意见。</w:t>
      </w:r>
    </w:p>
    <w:p>
      <w:pPr>
        <w:ind w:left="7" w:right="77" w:firstLine="484"/>
        <w:spacing w:before="1" w:line="482" w:lineRule="auto"/>
        <w:rPr>
          <w:rFonts w:ascii="SimSun" w:hAnsi="SimSun" w:eastAsia="SimSun" w:cs="SimSun"/>
          <w:sz w:val="19"/>
          <w:szCs w:val="19"/>
        </w:rPr>
      </w:pPr>
      <w:r>
        <w:pict>
          <v:shape id="_x0000_s1368" style="position:absolute;margin-left:159.33pt;margin-top:29.3767pt;mso-position-vertical-relative:text;mso-position-horizontal-relative:text;width:61pt;height:13.75pt;z-index:25243033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2"/>
                    </w:rPr>
                    <w:t>任公司</w:t>
                  </w:r>
                  <w:r>
                    <w:rPr>
                      <w:rFonts w:ascii="SimSun" w:hAnsi="SimSun" w:eastAsia="SimSun" w:cs="SimSun"/>
                      <w:sz w:val="19"/>
                      <w:szCs w:val="19"/>
                      <w:spacing w:val="14"/>
                    </w:rPr>
                    <w:t xml:space="preserve">   </w:t>
                  </w:r>
                  <w:r>
                    <w:rPr>
                      <w:rFonts w:ascii="Times New Roman" w:hAnsi="Times New Roman" w:eastAsia="Times New Roman" w:cs="Times New Roman"/>
                      <w:sz w:val="18"/>
                      <w:szCs w:val="18"/>
                      <w:spacing w:val="2"/>
                      <w:position w:val="2"/>
                    </w:rPr>
                    <w:t>309</w:t>
                  </w:r>
                </w:p>
              </w:txbxContent>
            </v:textbox>
          </v:shape>
        </w:pict>
      </w:r>
      <w:r>
        <w:rPr>
          <w:rFonts w:ascii="SimSun" w:hAnsi="SimSun" w:eastAsia="SimSun" w:cs="SimSun"/>
          <w:sz w:val="24"/>
          <w:szCs w:val="24"/>
          <w:spacing w:val="1"/>
        </w:rPr>
        <w:t>按照《环境影响评价公众参与办法》（生态环境部令第</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4</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1"/>
        </w:rPr>
        <w:t>号</w:t>
      </w:r>
      <w:r>
        <w:rPr>
          <w:rFonts w:ascii="SimSun" w:hAnsi="SimSun" w:eastAsia="SimSun" w:cs="SimSun"/>
          <w:sz w:val="24"/>
          <w:szCs w:val="24"/>
          <w:spacing w:val="17"/>
        </w:rPr>
        <w:t>），</w:t>
      </w:r>
      <w:r>
        <w:rPr>
          <w:rFonts w:ascii="SimSun" w:hAnsi="SimSun" w:eastAsia="SimSun" w:cs="SimSun"/>
          <w:sz w:val="24"/>
          <w:szCs w:val="24"/>
          <w:spacing w:val="1"/>
        </w:rPr>
        <w:t>建设单位在</w:t>
      </w:r>
      <w:r>
        <w:rPr>
          <w:rFonts w:ascii="SimSun" w:hAnsi="SimSun" w:eastAsia="SimSun" w:cs="SimSun"/>
          <w:sz w:val="24"/>
          <w:szCs w:val="24"/>
        </w:rPr>
        <w:t xml:space="preserve"> </w:t>
      </w:r>
      <w:r>
        <w:rPr>
          <w:rFonts w:ascii="SimSun" w:hAnsi="SimSun" w:eastAsia="SimSun" w:cs="SimSun"/>
          <w:sz w:val="19"/>
          <w:szCs w:val="19"/>
          <w:spacing w:val="9"/>
        </w:rPr>
        <w:t>锡林郭勒盟中安环境技术咨询有限责</w:t>
      </w:r>
    </w:p>
    <w:p>
      <w:pPr>
        <w:spacing w:line="482" w:lineRule="auto"/>
        <w:sectPr>
          <w:footerReference w:type="default" r:id="rId3"/>
          <w:pgSz w:w="11907" w:h="16840"/>
          <w:pgMar w:top="1567" w:right="1621" w:bottom="400" w:left="1701" w:header="1221" w:footer="0" w:gutter="0"/>
        </w:sectPr>
        <w:rPr>
          <w:rFonts w:ascii="SimSun" w:hAnsi="SimSun" w:eastAsia="SimSun" w:cs="SimSun"/>
          <w:sz w:val="19"/>
          <w:szCs w:val="19"/>
        </w:rPr>
      </w:pPr>
    </w:p>
    <w:p>
      <w:pPr>
        <w:ind w:left="8" w:right="77"/>
        <w:spacing w:before="170" w:line="359" w:lineRule="auto"/>
        <w:rPr>
          <w:rFonts w:ascii="SimSun" w:hAnsi="SimSun" w:eastAsia="SimSun" w:cs="SimSun"/>
          <w:sz w:val="24"/>
          <w:szCs w:val="24"/>
        </w:rPr>
      </w:pPr>
      <w:r>
        <w:pict>
          <v:shape id="_x0000_s1370" style="position:absolute;margin-left:85.05pt;margin-top:78.87pt;mso-position-vertical-relative:page;mso-position-horizontal-relative:page;width:425.25pt;height:0.75pt;z-index:252433408;" o:allowincell="f" fillcolor="#000000" filled="true" stroked="false" coordsize="8505,15" coordorigin="0,0" path="m,l8505,0l8505,14l0,14l0,0xe"/>
        </w:pict>
      </w:r>
      <w:r>
        <w:rPr>
          <w:rFonts w:ascii="SimSun" w:hAnsi="SimSun" w:eastAsia="SimSun" w:cs="SimSun"/>
          <w:sz w:val="24"/>
          <w:szCs w:val="24"/>
          <w:spacing w:val="3"/>
        </w:rPr>
        <w:t>委托锡林郭勒盟中安环境技术咨询有限责任公司承担</w:t>
      </w:r>
      <w:r>
        <w:rPr>
          <w:rFonts w:ascii="SimSun" w:hAnsi="SimSun" w:eastAsia="SimSun" w:cs="SimSun"/>
          <w:sz w:val="24"/>
          <w:szCs w:val="24"/>
          <w:spacing w:val="2"/>
        </w:rPr>
        <w:t>本项目环境影响评价报告书</w:t>
      </w:r>
      <w:r>
        <w:rPr>
          <w:rFonts w:ascii="SimSun" w:hAnsi="SimSun" w:eastAsia="SimSun" w:cs="SimSun"/>
          <w:sz w:val="24"/>
          <w:szCs w:val="24"/>
        </w:rPr>
        <w:t xml:space="preserve"> </w:t>
      </w:r>
      <w:r>
        <w:rPr>
          <w:rFonts w:ascii="SimSun" w:hAnsi="SimSun" w:eastAsia="SimSun" w:cs="SimSun"/>
          <w:sz w:val="24"/>
          <w:szCs w:val="24"/>
          <w:spacing w:val="-3"/>
        </w:rPr>
        <w:t>编制工作后，于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2025 </w:t>
      </w:r>
      <w:r>
        <w:rPr>
          <w:rFonts w:ascii="SimSun" w:hAnsi="SimSun" w:eastAsia="SimSun" w:cs="SimSun"/>
          <w:sz w:val="24"/>
          <w:szCs w:val="24"/>
          <w:spacing w:val="-3"/>
        </w:rPr>
        <w:t>年</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月</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5  </w:t>
      </w:r>
      <w:r>
        <w:rPr>
          <w:rFonts w:ascii="SimSun" w:hAnsi="SimSun" w:eastAsia="SimSun" w:cs="SimSun"/>
          <w:sz w:val="24"/>
          <w:szCs w:val="24"/>
          <w:spacing w:val="-3"/>
        </w:rPr>
        <w:t>日进行了第一次环境影响评价信息公示，公示</w:t>
      </w:r>
      <w:r>
        <w:rPr>
          <w:rFonts w:ascii="SimSun" w:hAnsi="SimSun" w:eastAsia="SimSun" w:cs="SimSun"/>
          <w:sz w:val="24"/>
          <w:szCs w:val="24"/>
          <w:spacing w:val="-4"/>
        </w:rPr>
        <w:t>方式</w:t>
      </w:r>
      <w:r>
        <w:rPr>
          <w:rFonts w:ascii="SimSun" w:hAnsi="SimSun" w:eastAsia="SimSun" w:cs="SimSun"/>
          <w:sz w:val="24"/>
          <w:szCs w:val="24"/>
        </w:rPr>
        <w:t xml:space="preserve"> </w:t>
      </w:r>
      <w:r>
        <w:rPr>
          <w:rFonts w:ascii="SimSun" w:hAnsi="SimSun" w:eastAsia="SimSun" w:cs="SimSun"/>
          <w:sz w:val="24"/>
          <w:szCs w:val="24"/>
          <w:spacing w:val="3"/>
        </w:rPr>
        <w:t>为网络公示，在环境影响报告征求意见稿编制期间，征询公</w:t>
      </w:r>
      <w:r>
        <w:rPr>
          <w:rFonts w:ascii="SimSun" w:hAnsi="SimSun" w:eastAsia="SimSun" w:cs="SimSun"/>
          <w:sz w:val="24"/>
          <w:szCs w:val="24"/>
          <w:spacing w:val="2"/>
        </w:rPr>
        <w:t>众意见；在环境影响</w:t>
      </w:r>
      <w:r>
        <w:rPr>
          <w:rFonts w:ascii="SimSun" w:hAnsi="SimSun" w:eastAsia="SimSun" w:cs="SimSun"/>
          <w:sz w:val="24"/>
          <w:szCs w:val="24"/>
        </w:rPr>
        <w:t xml:space="preserve"> </w:t>
      </w:r>
      <w:r>
        <w:rPr>
          <w:rFonts w:ascii="SimSun" w:hAnsi="SimSun" w:eastAsia="SimSun" w:cs="SimSun"/>
          <w:sz w:val="24"/>
          <w:szCs w:val="24"/>
          <w:spacing w:val="-3"/>
        </w:rPr>
        <w:t>报告征求意见稿编制完成后，建设单位在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2025 </w:t>
      </w:r>
      <w:r>
        <w:rPr>
          <w:rFonts w:ascii="SimSun" w:hAnsi="SimSun" w:eastAsia="SimSun" w:cs="SimSun"/>
          <w:sz w:val="24"/>
          <w:szCs w:val="24"/>
          <w:spacing w:val="-3"/>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3"/>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12</w:t>
      </w:r>
      <w:r>
        <w:rPr>
          <w:rFonts w:ascii="Times New Roman" w:hAnsi="Times New Roman" w:eastAsia="Times New Roman" w:cs="Times New Roman"/>
          <w:sz w:val="24"/>
          <w:szCs w:val="24"/>
          <w:spacing w:val="-4"/>
        </w:rPr>
        <w:t xml:space="preserve">  </w:t>
      </w:r>
      <w:r>
        <w:rPr>
          <w:rFonts w:ascii="SimSun" w:hAnsi="SimSun" w:eastAsia="SimSun" w:cs="SimSun"/>
          <w:sz w:val="24"/>
          <w:szCs w:val="24"/>
          <w:spacing w:val="-4"/>
        </w:rPr>
        <w:t>日～</w:t>
      </w:r>
      <w:r>
        <w:rPr>
          <w:rFonts w:ascii="Times New Roman" w:hAnsi="Times New Roman" w:eastAsia="Times New Roman" w:cs="Times New Roman"/>
          <w:sz w:val="24"/>
          <w:szCs w:val="24"/>
          <w:spacing w:val="-4"/>
        </w:rPr>
        <w:t>18  </w:t>
      </w:r>
      <w:r>
        <w:rPr>
          <w:rFonts w:ascii="SimSun" w:hAnsi="SimSun" w:eastAsia="SimSun" w:cs="SimSun"/>
          <w:sz w:val="24"/>
          <w:szCs w:val="24"/>
          <w:spacing w:val="-4"/>
        </w:rPr>
        <w:t>日进行了第二次</w:t>
      </w:r>
      <w:r>
        <w:rPr>
          <w:rFonts w:ascii="SimSun" w:hAnsi="SimSun" w:eastAsia="SimSun" w:cs="SimSun"/>
          <w:sz w:val="24"/>
          <w:szCs w:val="24"/>
        </w:rPr>
        <w:t xml:space="preserve"> </w:t>
      </w:r>
      <w:r>
        <w:rPr>
          <w:rFonts w:ascii="SimSun" w:hAnsi="SimSun" w:eastAsia="SimSun" w:cs="SimSun"/>
          <w:sz w:val="24"/>
          <w:szCs w:val="24"/>
          <w:spacing w:val="3"/>
        </w:rPr>
        <w:t>环境影响评价信息公示，环境影响报告征求意见稿行了公示，</w:t>
      </w:r>
      <w:r>
        <w:rPr>
          <w:rFonts w:ascii="SimSun" w:hAnsi="SimSun" w:eastAsia="SimSun" w:cs="SimSun"/>
          <w:sz w:val="24"/>
          <w:szCs w:val="24"/>
          <w:spacing w:val="2"/>
        </w:rPr>
        <w:t>公示方式为网络、</w:t>
      </w:r>
      <w:r>
        <w:rPr>
          <w:rFonts w:ascii="SimSun" w:hAnsi="SimSun" w:eastAsia="SimSun" w:cs="SimSun"/>
          <w:sz w:val="24"/>
          <w:szCs w:val="24"/>
        </w:rPr>
        <w:t xml:space="preserve"> </w:t>
      </w:r>
      <w:r>
        <w:rPr>
          <w:rFonts w:ascii="SimSun" w:hAnsi="SimSun" w:eastAsia="SimSun" w:cs="SimSun"/>
          <w:sz w:val="24"/>
          <w:szCs w:val="24"/>
          <w:spacing w:val="-2"/>
        </w:rPr>
        <w:t>当地报纸（两期</w:t>
      </w:r>
      <w:r>
        <w:rPr>
          <w:rFonts w:ascii="SimSun" w:hAnsi="SimSun" w:eastAsia="SimSun" w:cs="SimSun"/>
          <w:sz w:val="24"/>
          <w:szCs w:val="24"/>
          <w:spacing w:val="8"/>
        </w:rPr>
        <w:t>），</w:t>
      </w:r>
      <w:r>
        <w:rPr>
          <w:rFonts w:ascii="SimSun" w:hAnsi="SimSun" w:eastAsia="SimSun" w:cs="SimSun"/>
          <w:sz w:val="24"/>
          <w:szCs w:val="24"/>
          <w:spacing w:val="-2"/>
        </w:rPr>
        <w:t>公示时间为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 </w:t>
      </w:r>
      <w:r>
        <w:rPr>
          <w:rFonts w:ascii="SimSun" w:hAnsi="SimSun" w:eastAsia="SimSun" w:cs="SimSun"/>
          <w:sz w:val="24"/>
          <w:szCs w:val="24"/>
          <w:spacing w:val="-2"/>
        </w:rPr>
        <w:t>个工作日，并征求公众意见；完成环境影响评</w:t>
      </w:r>
      <w:r>
        <w:rPr>
          <w:rFonts w:ascii="SimSun" w:hAnsi="SimSun" w:eastAsia="SimSun" w:cs="SimSun"/>
          <w:sz w:val="24"/>
          <w:szCs w:val="24"/>
        </w:rPr>
        <w:t xml:space="preserve"> </w:t>
      </w:r>
      <w:r>
        <w:rPr>
          <w:rFonts w:ascii="SimSun" w:hAnsi="SimSun" w:eastAsia="SimSun" w:cs="SimSun"/>
          <w:sz w:val="24"/>
          <w:szCs w:val="24"/>
          <w:spacing w:val="3"/>
        </w:rPr>
        <w:t>价报告书的编制后，需进行报批前公示，将环境影响评价报告</w:t>
      </w:r>
      <w:r>
        <w:rPr>
          <w:rFonts w:ascii="SimSun" w:hAnsi="SimSun" w:eastAsia="SimSun" w:cs="SimSun"/>
          <w:sz w:val="24"/>
          <w:szCs w:val="24"/>
          <w:spacing w:val="2"/>
        </w:rPr>
        <w:t>书全本和第一次、</w:t>
      </w:r>
      <w:r>
        <w:rPr>
          <w:rFonts w:ascii="SimSun" w:hAnsi="SimSun" w:eastAsia="SimSun" w:cs="SimSun"/>
          <w:sz w:val="24"/>
          <w:szCs w:val="24"/>
        </w:rPr>
        <w:t xml:space="preserve"> </w:t>
      </w:r>
      <w:r>
        <w:rPr>
          <w:rFonts w:ascii="SimSun" w:hAnsi="SimSun" w:eastAsia="SimSun" w:cs="SimSun"/>
          <w:sz w:val="24"/>
          <w:szCs w:val="24"/>
          <w:spacing w:val="3"/>
        </w:rPr>
        <w:t>第二次公众参与说明进行公示，公示方式为网络公示，在此</w:t>
      </w:r>
      <w:r>
        <w:rPr>
          <w:rFonts w:ascii="SimSun" w:hAnsi="SimSun" w:eastAsia="SimSun" w:cs="SimSun"/>
          <w:sz w:val="24"/>
          <w:szCs w:val="24"/>
          <w:spacing w:val="2"/>
        </w:rPr>
        <w:t>期间，不征求公众意</w:t>
      </w:r>
      <w:r>
        <w:rPr>
          <w:rFonts w:ascii="SimSun" w:hAnsi="SimSun" w:eastAsia="SimSun" w:cs="SimSun"/>
          <w:sz w:val="24"/>
          <w:szCs w:val="24"/>
        </w:rPr>
        <w:t xml:space="preserve"> </w:t>
      </w:r>
      <w:r>
        <w:rPr>
          <w:rFonts w:ascii="SimSun" w:hAnsi="SimSun" w:eastAsia="SimSun" w:cs="SimSun"/>
          <w:sz w:val="24"/>
          <w:szCs w:val="24"/>
          <w:spacing w:val="-4"/>
        </w:rPr>
        <w:t>见。</w:t>
      </w:r>
    </w:p>
    <w:p>
      <w:pPr>
        <w:ind w:left="10" w:right="78" w:firstLine="478"/>
        <w:spacing w:before="2" w:line="359" w:lineRule="auto"/>
        <w:jc w:val="both"/>
        <w:rPr>
          <w:rFonts w:ascii="SimSun" w:hAnsi="SimSun" w:eastAsia="SimSun" w:cs="SimSun"/>
          <w:sz w:val="24"/>
          <w:szCs w:val="24"/>
        </w:rPr>
      </w:pPr>
      <w:r>
        <w:rPr>
          <w:rFonts w:ascii="SimSun" w:hAnsi="SimSun" w:eastAsia="SimSun" w:cs="SimSun"/>
          <w:sz w:val="24"/>
          <w:szCs w:val="24"/>
          <w:spacing w:val="3"/>
        </w:rPr>
        <w:t>在第一次、第二次公示期间，建设单位未收到公众反馈意见，建设</w:t>
      </w:r>
      <w:r>
        <w:rPr>
          <w:rFonts w:ascii="SimSun" w:hAnsi="SimSun" w:eastAsia="SimSun" w:cs="SimSun"/>
          <w:sz w:val="24"/>
          <w:szCs w:val="24"/>
          <w:spacing w:val="2"/>
        </w:rPr>
        <w:t>单位编制</w:t>
      </w:r>
      <w:r>
        <w:rPr>
          <w:rFonts w:ascii="SimSun" w:hAnsi="SimSun" w:eastAsia="SimSun" w:cs="SimSun"/>
          <w:sz w:val="24"/>
          <w:szCs w:val="24"/>
        </w:rPr>
        <w:t xml:space="preserve"> </w:t>
      </w:r>
      <w:r>
        <w:rPr>
          <w:rFonts w:ascii="SimSun" w:hAnsi="SimSun" w:eastAsia="SimSun" w:cs="SimSun"/>
          <w:sz w:val="24"/>
          <w:szCs w:val="24"/>
          <w:spacing w:val="3"/>
        </w:rPr>
        <w:t>了《内蒙古源浩羊绒制品有限公司废弃物高效循</w:t>
      </w:r>
      <w:r>
        <w:rPr>
          <w:rFonts w:ascii="SimSun" w:hAnsi="SimSun" w:eastAsia="SimSun" w:cs="SimSun"/>
          <w:sz w:val="24"/>
          <w:szCs w:val="24"/>
          <w:spacing w:val="2"/>
        </w:rPr>
        <w:t>环利用项目环境影响评价信息公</w:t>
      </w:r>
      <w:r>
        <w:rPr>
          <w:rFonts w:ascii="SimSun" w:hAnsi="SimSun" w:eastAsia="SimSun" w:cs="SimSun"/>
          <w:sz w:val="24"/>
          <w:szCs w:val="24"/>
        </w:rPr>
        <w:t xml:space="preserve"> </w:t>
      </w:r>
      <w:r>
        <w:rPr>
          <w:rFonts w:ascii="SimSun" w:hAnsi="SimSun" w:eastAsia="SimSun" w:cs="SimSun"/>
          <w:sz w:val="24"/>
          <w:szCs w:val="24"/>
          <w:spacing w:val="3"/>
        </w:rPr>
        <w:t>众参与说明》，将报批前公示情况及第一、二次</w:t>
      </w:r>
      <w:r>
        <w:rPr>
          <w:rFonts w:ascii="SimSun" w:hAnsi="SimSun" w:eastAsia="SimSun" w:cs="SimSun"/>
          <w:sz w:val="24"/>
          <w:szCs w:val="24"/>
          <w:spacing w:val="2"/>
        </w:rPr>
        <w:t>公示期间公众意见反馈情况进行</w:t>
      </w:r>
      <w:r>
        <w:rPr>
          <w:rFonts w:ascii="SimSun" w:hAnsi="SimSun" w:eastAsia="SimSun" w:cs="SimSun"/>
          <w:sz w:val="24"/>
          <w:szCs w:val="24"/>
        </w:rPr>
        <w:t xml:space="preserve"> </w:t>
      </w:r>
      <w:r>
        <w:rPr>
          <w:rFonts w:ascii="SimSun" w:hAnsi="SimSun" w:eastAsia="SimSun" w:cs="SimSun"/>
          <w:sz w:val="24"/>
          <w:szCs w:val="24"/>
          <w:spacing w:val="-1"/>
        </w:rPr>
        <w:t>了说明，与本报告一同提交生态环境主管部门审批。</w:t>
      </w:r>
    </w:p>
    <w:p>
      <w:pPr>
        <w:ind w:left="35"/>
        <w:spacing w:before="161" w:line="222" w:lineRule="auto"/>
        <w:outlineLvl w:val="1"/>
        <w:rPr>
          <w:rFonts w:ascii="SimHei" w:hAnsi="SimHei" w:eastAsia="SimHei" w:cs="SimHei"/>
          <w:sz w:val="30"/>
          <w:szCs w:val="30"/>
        </w:rPr>
      </w:pPr>
      <w:bookmarkStart w:name="bookmark203" w:id="239"/>
      <w:bookmarkEnd w:id="239"/>
      <w:r>
        <w:rPr>
          <w:rFonts w:ascii="Times New Roman" w:hAnsi="Times New Roman" w:eastAsia="Times New Roman" w:cs="Times New Roman"/>
          <w:sz w:val="30"/>
          <w:szCs w:val="30"/>
          <w:spacing w:val="-4"/>
        </w:rPr>
        <w:t>10.8 </w:t>
      </w:r>
      <w:r>
        <w:rPr>
          <w:rFonts w:ascii="SimHei" w:hAnsi="SimHei" w:eastAsia="SimHei" w:cs="SimHei"/>
          <w:sz w:val="30"/>
          <w:szCs w:val="30"/>
          <w:spacing w:val="-4"/>
        </w:rPr>
        <w:t>综合结论</w:t>
      </w:r>
    </w:p>
    <w:p>
      <w:pPr>
        <w:pStyle w:val="BodyText"/>
        <w:spacing w:line="291" w:lineRule="auto"/>
        <w:rPr/>
      </w:pPr>
      <w:r/>
    </w:p>
    <w:p>
      <w:pPr>
        <w:ind w:left="8" w:firstLine="481"/>
        <w:spacing w:before="78" w:line="359" w:lineRule="auto"/>
        <w:jc w:val="both"/>
        <w:rPr>
          <w:rFonts w:ascii="SimSun" w:hAnsi="SimSun" w:eastAsia="SimSun" w:cs="SimSun"/>
          <w:sz w:val="24"/>
          <w:szCs w:val="24"/>
        </w:rPr>
      </w:pPr>
      <w:r>
        <w:rPr>
          <w:rFonts w:ascii="SimSun" w:hAnsi="SimSun" w:eastAsia="SimSun" w:cs="SimSun"/>
          <w:sz w:val="24"/>
          <w:szCs w:val="24"/>
          <w:spacing w:val="3"/>
        </w:rPr>
        <w:t>本项目建设符合产业政策、符合正镶白旗总体规划。在设计中采</w:t>
      </w:r>
      <w:r>
        <w:rPr>
          <w:rFonts w:ascii="SimSun" w:hAnsi="SimSun" w:eastAsia="SimSun" w:cs="SimSun"/>
          <w:sz w:val="24"/>
          <w:szCs w:val="24"/>
          <w:spacing w:val="2"/>
        </w:rPr>
        <w:t>取了清洁生</w:t>
      </w:r>
      <w:r>
        <w:rPr>
          <w:rFonts w:ascii="SimSun" w:hAnsi="SimSun" w:eastAsia="SimSun" w:cs="SimSun"/>
          <w:sz w:val="24"/>
          <w:szCs w:val="24"/>
        </w:rPr>
        <w:t xml:space="preserve"> </w:t>
      </w:r>
      <w:r>
        <w:rPr>
          <w:rFonts w:ascii="SimSun" w:hAnsi="SimSun" w:eastAsia="SimSun" w:cs="SimSun"/>
          <w:sz w:val="24"/>
          <w:szCs w:val="24"/>
          <w:spacing w:val="-2"/>
        </w:rPr>
        <w:t>产、节水减排和各项环保措施，项目实施后经济效益、社会效益和环境效益明显。</w:t>
      </w:r>
      <w:r>
        <w:rPr>
          <w:rFonts w:ascii="SimSun" w:hAnsi="SimSun" w:eastAsia="SimSun" w:cs="SimSun"/>
          <w:sz w:val="24"/>
          <w:szCs w:val="24"/>
          <w:spacing w:val="6"/>
        </w:rPr>
        <w:t xml:space="preserve"> </w:t>
      </w:r>
      <w:r>
        <w:rPr>
          <w:rFonts w:ascii="SimSun" w:hAnsi="SimSun" w:eastAsia="SimSun" w:cs="SimSun"/>
          <w:sz w:val="24"/>
          <w:szCs w:val="24"/>
          <w:spacing w:val="3"/>
        </w:rPr>
        <w:t>项目建设对周围环境敏感目标的影响不大，不会改变区域</w:t>
      </w:r>
      <w:r>
        <w:rPr>
          <w:rFonts w:ascii="SimSun" w:hAnsi="SimSun" w:eastAsia="SimSun" w:cs="SimSun"/>
          <w:sz w:val="24"/>
          <w:szCs w:val="24"/>
          <w:spacing w:val="2"/>
        </w:rPr>
        <w:t>大气环境功能现状，在</w:t>
      </w:r>
      <w:r>
        <w:rPr>
          <w:rFonts w:ascii="SimSun" w:hAnsi="SimSun" w:eastAsia="SimSun" w:cs="SimSun"/>
          <w:sz w:val="24"/>
          <w:szCs w:val="24"/>
        </w:rPr>
        <w:t xml:space="preserve"> </w:t>
      </w:r>
      <w:r>
        <w:rPr>
          <w:rFonts w:ascii="SimSun" w:hAnsi="SimSun" w:eastAsia="SimSun" w:cs="SimSun"/>
          <w:sz w:val="24"/>
          <w:szCs w:val="24"/>
          <w:spacing w:val="3"/>
        </w:rPr>
        <w:t>采取合理可行的防渗措施后对地下水水质影响较小，在采</w:t>
      </w:r>
      <w:r>
        <w:rPr>
          <w:rFonts w:ascii="SimSun" w:hAnsi="SimSun" w:eastAsia="SimSun" w:cs="SimSun"/>
          <w:sz w:val="24"/>
          <w:szCs w:val="24"/>
          <w:spacing w:val="2"/>
        </w:rPr>
        <w:t>取相应环境风险防范和</w:t>
      </w:r>
      <w:r>
        <w:rPr>
          <w:rFonts w:ascii="SimSun" w:hAnsi="SimSun" w:eastAsia="SimSun" w:cs="SimSun"/>
          <w:sz w:val="24"/>
          <w:szCs w:val="24"/>
        </w:rPr>
        <w:t xml:space="preserve"> </w:t>
      </w:r>
      <w:r>
        <w:rPr>
          <w:rFonts w:ascii="SimSun" w:hAnsi="SimSun" w:eastAsia="SimSun" w:cs="SimSun"/>
          <w:sz w:val="24"/>
          <w:szCs w:val="24"/>
          <w:spacing w:val="3"/>
        </w:rPr>
        <w:t>应急管理措施后，环境风险程度处于可接受水平。项目建</w:t>
      </w:r>
      <w:r>
        <w:rPr>
          <w:rFonts w:ascii="SimSun" w:hAnsi="SimSun" w:eastAsia="SimSun" w:cs="SimSun"/>
          <w:sz w:val="24"/>
          <w:szCs w:val="24"/>
          <w:spacing w:val="2"/>
        </w:rPr>
        <w:t>设满足当地环境质量底</w:t>
      </w:r>
      <w:r>
        <w:rPr>
          <w:rFonts w:ascii="SimSun" w:hAnsi="SimSun" w:eastAsia="SimSun" w:cs="SimSun"/>
          <w:sz w:val="24"/>
          <w:szCs w:val="24"/>
        </w:rPr>
        <w:t xml:space="preserve"> </w:t>
      </w:r>
      <w:r>
        <w:rPr>
          <w:rFonts w:ascii="SimSun" w:hAnsi="SimSun" w:eastAsia="SimSun" w:cs="SimSun"/>
          <w:sz w:val="24"/>
          <w:szCs w:val="24"/>
          <w:spacing w:val="3"/>
        </w:rPr>
        <w:t>线、资源利用上线、生态保护红线及环境准入负面清单。</w:t>
      </w:r>
      <w:r>
        <w:rPr>
          <w:rFonts w:ascii="SimSun" w:hAnsi="SimSun" w:eastAsia="SimSun" w:cs="SimSun"/>
          <w:sz w:val="24"/>
          <w:szCs w:val="24"/>
          <w:spacing w:val="2"/>
        </w:rPr>
        <w:t>因此，项目在落实环境</w:t>
      </w:r>
      <w:r>
        <w:rPr>
          <w:rFonts w:ascii="SimSun" w:hAnsi="SimSun" w:eastAsia="SimSun" w:cs="SimSun"/>
          <w:sz w:val="24"/>
          <w:szCs w:val="24"/>
        </w:rPr>
        <w:t xml:space="preserve"> </w:t>
      </w:r>
      <w:r>
        <w:rPr>
          <w:rFonts w:ascii="SimSun" w:hAnsi="SimSun" w:eastAsia="SimSun" w:cs="SimSun"/>
          <w:sz w:val="24"/>
          <w:szCs w:val="24"/>
          <w:spacing w:val="3"/>
        </w:rPr>
        <w:t>影响报告书提出的环境保护措施、环境风险防范及应急管</w:t>
      </w:r>
      <w:r>
        <w:rPr>
          <w:rFonts w:ascii="SimSun" w:hAnsi="SimSun" w:eastAsia="SimSun" w:cs="SimSun"/>
          <w:sz w:val="24"/>
          <w:szCs w:val="24"/>
          <w:spacing w:val="2"/>
        </w:rPr>
        <w:t>理措施后，项目的建设</w:t>
      </w:r>
      <w:r>
        <w:rPr>
          <w:rFonts w:ascii="SimSun" w:hAnsi="SimSun" w:eastAsia="SimSun" w:cs="SimSun"/>
          <w:sz w:val="24"/>
          <w:szCs w:val="24"/>
        </w:rPr>
        <w:t xml:space="preserve"> </w:t>
      </w:r>
      <w:r>
        <w:rPr>
          <w:rFonts w:ascii="SimSun" w:hAnsi="SimSun" w:eastAsia="SimSun" w:cs="SimSun"/>
          <w:sz w:val="24"/>
          <w:szCs w:val="24"/>
          <w:spacing w:val="-2"/>
        </w:rPr>
        <w:t>具有环境可行性。</w:t>
      </w:r>
    </w:p>
    <w:p>
      <w:pPr>
        <w:ind w:left="18" w:right="78" w:firstLine="474"/>
        <w:spacing w:before="1" w:line="361" w:lineRule="auto"/>
        <w:rPr>
          <w:rFonts w:ascii="SimSun" w:hAnsi="SimSun" w:eastAsia="SimSun" w:cs="SimSun"/>
          <w:sz w:val="24"/>
          <w:szCs w:val="24"/>
        </w:rPr>
      </w:pPr>
      <w:r>
        <w:rPr>
          <w:rFonts w:ascii="SimSun" w:hAnsi="SimSun" w:eastAsia="SimSun" w:cs="SimSun"/>
          <w:sz w:val="24"/>
          <w:szCs w:val="24"/>
          <w:spacing w:val="3"/>
        </w:rPr>
        <w:t>综上所述，项目实施后具有良好的经济、社会和环境效益；</w:t>
      </w:r>
      <w:r>
        <w:rPr>
          <w:rFonts w:ascii="SimSun" w:hAnsi="SimSun" w:eastAsia="SimSun" w:cs="SimSun"/>
          <w:sz w:val="24"/>
          <w:szCs w:val="24"/>
          <w:spacing w:val="2"/>
        </w:rPr>
        <w:t>且项目的建设未</w:t>
      </w:r>
      <w:r>
        <w:rPr>
          <w:rFonts w:ascii="SimSun" w:hAnsi="SimSun" w:eastAsia="SimSun" w:cs="SimSun"/>
          <w:sz w:val="24"/>
          <w:szCs w:val="24"/>
        </w:rPr>
        <w:t xml:space="preserve"> </w:t>
      </w:r>
      <w:r>
        <w:rPr>
          <w:rFonts w:ascii="SimSun" w:hAnsi="SimSun" w:eastAsia="SimSun" w:cs="SimSun"/>
          <w:sz w:val="24"/>
          <w:szCs w:val="24"/>
          <w:spacing w:val="-1"/>
        </w:rPr>
        <w:t>收到公众的反对意见。因此，本评价认为本项目的建设从环保角度讲是可行的。</w:t>
      </w:r>
    </w:p>
    <w:p>
      <w:pPr>
        <w:spacing w:line="361" w:lineRule="auto"/>
        <w:sectPr>
          <w:footerReference w:type="default" r:id="rId398"/>
          <w:pgSz w:w="11907" w:h="16840"/>
          <w:pgMar w:top="1567" w:right="1621" w:bottom="1921" w:left="1701" w:header="1221" w:footer="1247" w:gutter="0"/>
        </w:sectPr>
        <w:rPr>
          <w:rFonts w:ascii="SimSun" w:hAnsi="SimSun" w:eastAsia="SimSun" w:cs="SimSun"/>
          <w:sz w:val="24"/>
          <w:szCs w:val="24"/>
        </w:rPr>
      </w:pPr>
    </w:p>
    <w:p>
      <w:pPr>
        <w:ind w:left="25"/>
        <w:spacing w:before="191" w:line="223" w:lineRule="auto"/>
        <w:outlineLvl w:val="0"/>
        <w:rPr>
          <w:rFonts w:ascii="SimHei" w:hAnsi="SimHei" w:eastAsia="SimHei" w:cs="SimHei"/>
          <w:sz w:val="28"/>
          <w:szCs w:val="28"/>
        </w:rPr>
      </w:pPr>
      <w:r>
        <w:pict>
          <v:shape id="_x0000_s1372" style="position:absolute;margin-left:56.7pt;margin-top:59.26pt;mso-position-vertical-relative:page;mso-position-horizontal-relative:page;width:728.6pt;height:0.75pt;z-index:252436480;" o:allowincell="f" fillcolor="#000000" filled="true" stroked="false" coordsize="14571,15" coordorigin="0,0" path="m,l14571,0l14571,14l0,14l0,0xe"/>
        </w:pict>
      </w:r>
      <w:bookmarkStart w:name="bookmark204" w:id="240"/>
      <w:bookmarkEnd w:id="240"/>
      <w:r>
        <w:rPr>
          <w:rFonts w:ascii="SimHei" w:hAnsi="SimHei" w:eastAsia="SimHei" w:cs="SimHei"/>
          <w:sz w:val="28"/>
          <w:szCs w:val="28"/>
          <w:spacing w:val="-9"/>
        </w:rPr>
        <w:t>附图：</w:t>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ind w:left="5"/>
        <w:spacing w:before="61" w:line="227" w:lineRule="auto"/>
        <w:rPr>
          <w:rFonts w:ascii="Times New Roman" w:hAnsi="Times New Roman" w:eastAsia="Times New Roman" w:cs="Times New Roman"/>
          <w:sz w:val="18"/>
          <w:szCs w:val="18"/>
        </w:rPr>
      </w:pPr>
      <w:r>
        <w:rPr>
          <w:rFonts w:ascii="SimSun" w:hAnsi="SimSun" w:eastAsia="SimSun" w:cs="SimSun"/>
          <w:sz w:val="19"/>
          <w:szCs w:val="19"/>
          <w:spacing w:val="8"/>
        </w:rPr>
        <w:t>锡林郭勒盟中安环境技术咨询有限责任公司</w:t>
      </w:r>
      <w:r>
        <w:rPr>
          <w:rFonts w:ascii="SimSun" w:hAnsi="SimSun" w:eastAsia="SimSun" w:cs="SimSun"/>
          <w:sz w:val="19"/>
          <w:szCs w:val="19"/>
          <w:spacing w:val="1"/>
        </w:rPr>
        <w:t xml:space="preserve">                                   </w:t>
      </w:r>
      <w:r>
        <w:rPr>
          <w:rFonts w:ascii="Times New Roman" w:hAnsi="Times New Roman" w:eastAsia="Times New Roman" w:cs="Times New Roman"/>
          <w:sz w:val="18"/>
          <w:szCs w:val="18"/>
          <w:spacing w:val="8"/>
          <w:position w:val="2"/>
        </w:rPr>
        <w:t>3</w:t>
      </w:r>
      <w:r>
        <w:rPr>
          <w:rFonts w:ascii="Times New Roman" w:hAnsi="Times New Roman" w:eastAsia="Times New Roman" w:cs="Times New Roman"/>
          <w:sz w:val="18"/>
          <w:szCs w:val="18"/>
          <w:spacing w:val="7"/>
          <w:position w:val="2"/>
        </w:rPr>
        <w:t>11</w:t>
      </w:r>
    </w:p>
    <w:p>
      <w:pPr>
        <w:spacing w:line="227" w:lineRule="auto"/>
        <w:sectPr>
          <w:headerReference w:type="default" r:id="rId70"/>
          <w:footerReference w:type="default" r:id="rId3"/>
          <w:pgSz w:w="16840" w:h="11907"/>
          <w:pgMar w:top="1170" w:right="1134" w:bottom="400" w:left="1134" w:header="825" w:footer="0" w:gutter="0"/>
        </w:sectPr>
        <w:rPr>
          <w:rFonts w:ascii="Times New Roman" w:hAnsi="Times New Roman" w:eastAsia="Times New Roman" w:cs="Times New Roman"/>
          <w:sz w:val="18"/>
          <w:szCs w:val="18"/>
        </w:rPr>
      </w:pPr>
    </w:p>
    <w:p>
      <w:pPr>
        <w:ind w:left="25"/>
        <w:spacing w:before="67" w:line="222" w:lineRule="auto"/>
        <w:outlineLvl w:val="0"/>
        <w:rPr>
          <w:rFonts w:ascii="SimHei" w:hAnsi="SimHei" w:eastAsia="SimHei" w:cs="SimHei"/>
          <w:sz w:val="28"/>
          <w:szCs w:val="28"/>
        </w:rPr>
      </w:pPr>
      <w:r>
        <w:pict>
          <v:shape id="_x0000_s1374" style="position:absolute;margin-left:56.7pt;margin-top:59.02pt;mso-position-vertical-relative:page;mso-position-horizontal-relative:page;width:728.6pt;height:0.75pt;z-index:252440576;" o:allowincell="f" fillcolor="#000000" filled="true" stroked="false" coordsize="14571,15" coordorigin="0,0" path="m,l14571,0l14571,14l0,14l0,0xe"/>
        </w:pict>
      </w:r>
      <w:bookmarkStart w:name="bookmark205" w:id="241"/>
      <w:bookmarkEnd w:id="241"/>
      <w:r>
        <w:rPr>
          <w:rFonts w:ascii="SimHei" w:hAnsi="SimHei" w:eastAsia="SimHei" w:cs="SimHei"/>
          <w:sz w:val="28"/>
          <w:szCs w:val="28"/>
          <w:spacing w:val="-10"/>
        </w:rPr>
        <w:t>附图</w:t>
      </w:r>
      <w:r>
        <w:rPr>
          <w:rFonts w:ascii="SimHei" w:hAnsi="SimHei" w:eastAsia="SimHei" w:cs="SimHei"/>
          <w:sz w:val="28"/>
          <w:szCs w:val="28"/>
          <w:spacing w:val="-37"/>
        </w:rPr>
        <w:t xml:space="preserve"> </w:t>
      </w:r>
      <w:r>
        <w:rPr>
          <w:rFonts w:ascii="Times New Roman" w:hAnsi="Times New Roman" w:eastAsia="Times New Roman" w:cs="Times New Roman"/>
          <w:sz w:val="28"/>
          <w:szCs w:val="28"/>
          <w:spacing w:val="-10"/>
        </w:rPr>
        <w:t>1</w:t>
      </w:r>
      <w:r>
        <w:rPr>
          <w:rFonts w:ascii="Times New Roman" w:hAnsi="Times New Roman" w:eastAsia="Times New Roman" w:cs="Times New Roman"/>
          <w:sz w:val="28"/>
          <w:szCs w:val="28"/>
          <w:spacing w:val="-19"/>
        </w:rPr>
        <w:t xml:space="preserve"> </w:t>
      </w:r>
      <w:r>
        <w:rPr>
          <w:rFonts w:ascii="SimHei" w:hAnsi="SimHei" w:eastAsia="SimHei" w:cs="SimHei"/>
          <w:sz w:val="28"/>
          <w:szCs w:val="28"/>
          <w:spacing w:val="-10"/>
        </w:rPr>
        <w:t>：项目地理位置图</w:t>
      </w:r>
    </w:p>
    <w:p>
      <w:pPr>
        <w:pStyle w:val="BodyText"/>
        <w:spacing w:line="249" w:lineRule="auto"/>
        <w:rPr/>
      </w:pPr>
      <w:r/>
    </w:p>
    <w:p>
      <w:pPr>
        <w:pStyle w:val="BodyText"/>
        <w:spacing w:line="249"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ind w:left="5077"/>
        <w:spacing w:before="78" w:line="219" w:lineRule="auto"/>
        <w:rPr>
          <w:rFonts w:ascii="SimSun" w:hAnsi="SimSun" w:eastAsia="SimSun" w:cs="SimSun"/>
          <w:sz w:val="24"/>
          <w:szCs w:val="24"/>
        </w:rPr>
      </w:pPr>
      <w:r>
        <w:drawing>
          <wp:anchor distT="0" distB="0" distL="0" distR="0" simplePos="0" relativeHeight="252439552" behindDoc="1" locked="0" layoutInCell="1" allowOverlap="1">
            <wp:simplePos x="0" y="0"/>
            <wp:positionH relativeFrom="column">
              <wp:posOffset>759713</wp:posOffset>
            </wp:positionH>
            <wp:positionV relativeFrom="paragraph">
              <wp:posOffset>-3203188</wp:posOffset>
            </wp:positionV>
            <wp:extent cx="7732776" cy="5413248"/>
            <wp:effectExtent l="0" t="0" r="0" b="0"/>
            <wp:wrapNone/>
            <wp:docPr id="228" name="IM 228"/>
            <wp:cNvGraphicFramePr/>
            <a:graphic>
              <a:graphicData uri="http://schemas.openxmlformats.org/drawingml/2006/picture">
                <pic:pic>
                  <pic:nvPicPr>
                    <pic:cNvPr id="228" name="IM 228"/>
                    <pic:cNvPicPr/>
                  </pic:nvPicPr>
                  <pic:blipFill>
                    <a:blip r:embed="rId399"/>
                    <a:stretch>
                      <a:fillRect/>
                    </a:stretch>
                  </pic:blipFill>
                  <pic:spPr>
                    <a:xfrm rot="0">
                      <a:off x="0" y="0"/>
                      <a:ext cx="7732776" cy="5413248"/>
                    </a:xfrm>
                    <a:prstGeom prst="rect">
                      <a:avLst/>
                    </a:prstGeom>
                  </pic:spPr>
                </pic:pic>
              </a:graphicData>
            </a:graphic>
          </wp:anchor>
        </w:drawing>
      </w:r>
      <w:r>
        <w:rPr>
          <w:rFonts w:ascii="SimSun" w:hAnsi="SimSun" w:eastAsia="SimSun" w:cs="SimSun"/>
          <w:sz w:val="24"/>
          <w:szCs w:val="24"/>
          <w:spacing w:val="-4"/>
        </w:rPr>
        <w:t>本项目</w:t>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ind w:left="7161"/>
        <w:spacing w:before="58"/>
        <w:rPr>
          <w:rFonts w:ascii="SimSun" w:hAnsi="SimSun" w:eastAsia="SimSun" w:cs="SimSun"/>
          <w:sz w:val="18"/>
          <w:szCs w:val="18"/>
        </w:rPr>
      </w:pPr>
      <w:r>
        <w:rPr>
          <w:rFonts w:ascii="SimSun" w:hAnsi="SimSun" w:eastAsia="SimSun" w:cs="SimSun"/>
          <w:sz w:val="18"/>
          <w:szCs w:val="18"/>
          <w:spacing w:val="-4"/>
        </w:rPr>
        <w:t>312</w:t>
      </w:r>
    </w:p>
    <w:p>
      <w:pPr>
        <w:spacing w:before="206" w:line="22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p>
      <w:pPr>
        <w:spacing w:line="227" w:lineRule="auto"/>
        <w:sectPr>
          <w:pgSz w:w="16840" w:h="11907"/>
          <w:pgMar w:top="1170" w:right="1134" w:bottom="400" w:left="1134" w:header="825" w:footer="0" w:gutter="0"/>
        </w:sectPr>
        <w:rPr>
          <w:rFonts w:ascii="SimSun" w:hAnsi="SimSun" w:eastAsia="SimSun" w:cs="SimSun"/>
          <w:sz w:val="19"/>
          <w:szCs w:val="19"/>
        </w:rPr>
      </w:pPr>
    </w:p>
    <w:p>
      <w:pPr>
        <w:ind w:left="27"/>
        <w:spacing w:before="193" w:line="212" w:lineRule="auto"/>
        <w:outlineLvl w:val="0"/>
        <w:rPr>
          <w:rFonts w:ascii="SimHei" w:hAnsi="SimHei" w:eastAsia="SimHei" w:cs="SimHei"/>
          <w:sz w:val="28"/>
          <w:szCs w:val="28"/>
        </w:rPr>
      </w:pPr>
      <w:r>
        <w:pict>
          <v:shape id="_x0000_s1376" style="position:absolute;margin-left:85.05pt;margin-top:79.11pt;mso-position-vertical-relative:page;mso-position-horizontal-relative:page;width:425.25pt;height:0.75pt;z-index:252443648;" o:allowincell="f" fillcolor="#000000" filled="true" stroked="false" coordsize="8505,15" coordorigin="0,0" path="m,l8505,0l8505,14l0,14l0,0xe"/>
        </w:pict>
      </w:r>
      <w:bookmarkStart w:name="bookmark206" w:id="242"/>
      <w:bookmarkEnd w:id="242"/>
      <w:r>
        <w:rPr>
          <w:rFonts w:ascii="SimHei" w:hAnsi="SimHei" w:eastAsia="SimHei" w:cs="SimHei"/>
          <w:sz w:val="28"/>
          <w:szCs w:val="28"/>
          <w:spacing w:val="-4"/>
        </w:rPr>
        <w:t>附图</w:t>
      </w:r>
      <w:r>
        <w:rPr>
          <w:rFonts w:ascii="SimHei" w:hAnsi="SimHei" w:eastAsia="SimHei" w:cs="SimHei"/>
          <w:sz w:val="28"/>
          <w:szCs w:val="28"/>
          <w:spacing w:val="-57"/>
        </w:rPr>
        <w:t xml:space="preserve"> </w:t>
      </w:r>
      <w:r>
        <w:rPr>
          <w:rFonts w:ascii="Times New Roman" w:hAnsi="Times New Roman" w:eastAsia="Times New Roman" w:cs="Times New Roman"/>
          <w:sz w:val="28"/>
          <w:szCs w:val="28"/>
          <w:spacing w:val="-4"/>
        </w:rPr>
        <w:t>2</w:t>
      </w:r>
      <w:r>
        <w:rPr>
          <w:rFonts w:ascii="SimHei" w:hAnsi="SimHei" w:eastAsia="SimHei" w:cs="SimHei"/>
          <w:sz w:val="28"/>
          <w:szCs w:val="28"/>
          <w:spacing w:val="-4"/>
        </w:rPr>
        <w:t>：声功能区划图</w:t>
      </w:r>
    </w:p>
    <w:p>
      <w:pPr>
        <w:pStyle w:val="BodyText"/>
        <w:spacing w:line="5947" w:lineRule="exact"/>
        <w:rPr/>
      </w:pPr>
      <w:r>
        <w:rPr>
          <w:position w:val="-118"/>
        </w:rPr>
        <w:pict>
          <v:group id="_x0000_s1378" style="mso-position-vertical-relative:line;mso-position-horizontal-relative:char;width:420.25pt;height:297.4pt;" filled="false" stroked="false" coordsize="8405,5947" coordorigin="0,0">
            <v:shape id="_x0000_s1380" style="position:absolute;left:0;top:0;width:8405;height:5947;" filled="false" stroked="false" type="#_x0000_t75">
              <v:imagedata o:title="" r:id="rId400"/>
            </v:shape>
            <v:shape id="_x0000_s1382" style="position:absolute;left:-20;top:-20;width:8445;height:5987;" filled="false" stroked="false" type="#_x0000_t202">
              <v:fill on="false"/>
              <v:stroke on="false"/>
              <v:path/>
              <v:imagedata o:title=""/>
              <o:lock v:ext="edit" aspectratio="false"/>
              <v:textbox inset="0mm,0mm,0mm,0mm">
                <w:txbxContent>
                  <w:p>
                    <w:pPr>
                      <w:spacing w:line="277" w:lineRule="auto"/>
                      <w:rPr>
                        <w:rFonts w:ascii="Arial"/>
                        <w:sz w:val="21"/>
                      </w:rPr>
                    </w:pPr>
                    <w:r/>
                  </w:p>
                  <w:p>
                    <w:pPr>
                      <w:spacing w:line="277" w:lineRule="auto"/>
                      <w:rPr>
                        <w:rFonts w:ascii="Arial"/>
                        <w:sz w:val="21"/>
                      </w:rPr>
                    </w:pPr>
                    <w:r/>
                  </w:p>
                  <w:p>
                    <w:pPr>
                      <w:spacing w:line="277" w:lineRule="auto"/>
                      <w:rPr>
                        <w:rFonts w:ascii="Arial"/>
                        <w:sz w:val="21"/>
                      </w:rPr>
                    </w:pPr>
                    <w:r/>
                  </w:p>
                  <w:p>
                    <w:pPr>
                      <w:spacing w:line="278" w:lineRule="auto"/>
                      <w:rPr>
                        <w:rFonts w:ascii="Arial"/>
                        <w:sz w:val="21"/>
                      </w:rPr>
                    </w:pPr>
                    <w:r/>
                  </w:p>
                  <w:p>
                    <w:pPr>
                      <w:ind w:left="956"/>
                      <w:spacing w:before="78" w:line="219" w:lineRule="auto"/>
                      <w:rPr>
                        <w:rFonts w:ascii="SimSun" w:hAnsi="SimSun" w:eastAsia="SimSun" w:cs="SimSun"/>
                        <w:sz w:val="24"/>
                        <w:szCs w:val="24"/>
                      </w:rPr>
                    </w:pPr>
                    <w:r>
                      <w:rPr>
                        <w:rFonts w:ascii="SimSun" w:hAnsi="SimSun" w:eastAsia="SimSun" w:cs="SimSun"/>
                        <w:sz w:val="24"/>
                        <w:szCs w:val="24"/>
                        <w:spacing w:val="-4"/>
                      </w:rPr>
                      <w:t>本项目</w:t>
                    </w:r>
                  </w:p>
                </w:txbxContent>
              </v:textbox>
            </v:shape>
          </v:group>
        </w:pict>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ind w:left="7"/>
        <w:spacing w:before="62" w:line="227" w:lineRule="auto"/>
        <w:rPr>
          <w:rFonts w:ascii="Times New Roman" w:hAnsi="Times New Roman" w:eastAsia="Times New Roman" w:cs="Times New Roman"/>
          <w:sz w:val="18"/>
          <w:szCs w:val="18"/>
        </w:rPr>
      </w:pPr>
      <w:r>
        <w:rPr>
          <w:rFonts w:ascii="SimSun" w:hAnsi="SimSun" w:eastAsia="SimSun" w:cs="SimSun"/>
          <w:sz w:val="19"/>
          <w:szCs w:val="19"/>
          <w:spacing w:val="8"/>
        </w:rPr>
        <w:t>锡林郭勒盟中安环境技术咨询有限责任公司   </w:t>
      </w:r>
      <w:r>
        <w:rPr>
          <w:rFonts w:ascii="Times New Roman" w:hAnsi="Times New Roman" w:eastAsia="Times New Roman" w:cs="Times New Roman"/>
          <w:sz w:val="18"/>
          <w:szCs w:val="18"/>
          <w:spacing w:val="8"/>
          <w:position w:val="2"/>
        </w:rPr>
        <w:t>313</w:t>
      </w:r>
    </w:p>
    <w:p>
      <w:pPr>
        <w:spacing w:line="227" w:lineRule="auto"/>
        <w:sectPr>
          <w:headerReference w:type="default" r:id="rId2"/>
          <w:pgSz w:w="11907" w:h="16840"/>
          <w:pgMar w:top="1567" w:right="1700" w:bottom="400" w:left="1701" w:header="1221" w:footer="0" w:gutter="0"/>
        </w:sectPr>
        <w:rPr>
          <w:rFonts w:ascii="Times New Roman" w:hAnsi="Times New Roman" w:eastAsia="Times New Roman" w:cs="Times New Roman"/>
          <w:sz w:val="18"/>
          <w:szCs w:val="18"/>
        </w:rPr>
      </w:pPr>
    </w:p>
    <w:p>
      <w:pPr>
        <w:ind w:left="27"/>
        <w:spacing w:before="174" w:line="225" w:lineRule="auto"/>
        <w:outlineLvl w:val="0"/>
        <w:rPr>
          <w:rFonts w:ascii="SimHei" w:hAnsi="SimHei" w:eastAsia="SimHei" w:cs="SimHei"/>
          <w:sz w:val="28"/>
          <w:szCs w:val="28"/>
        </w:rPr>
      </w:pPr>
      <w:r>
        <w:pict>
          <v:shape id="_x0000_s1384" style="position:absolute;margin-left:85.05pt;margin-top:78.87pt;mso-position-vertical-relative:page;mso-position-horizontal-relative:page;width:425.25pt;height:0.75pt;z-index:252446720;" o:allowincell="f" fillcolor="#000000" filled="true" stroked="false" coordsize="8505,15" coordorigin="0,0" path="m,l8505,0l8505,14l0,14l0,0xe"/>
        </w:pict>
      </w:r>
      <w:bookmarkStart w:name="bookmark207" w:id="243"/>
      <w:bookmarkEnd w:id="243"/>
      <w:r>
        <w:rPr>
          <w:rFonts w:ascii="SimHei" w:hAnsi="SimHei" w:eastAsia="SimHei" w:cs="SimHei"/>
          <w:sz w:val="28"/>
          <w:szCs w:val="28"/>
          <w:spacing w:val="-9"/>
        </w:rPr>
        <w:t>附件：</w:t>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ind w:left="4127"/>
        <w:spacing w:before="59"/>
        <w:rPr>
          <w:rFonts w:ascii="SimSun" w:hAnsi="SimSun" w:eastAsia="SimSun" w:cs="SimSun"/>
          <w:sz w:val="18"/>
          <w:szCs w:val="18"/>
        </w:rPr>
      </w:pPr>
      <w:r>
        <w:rPr>
          <w:rFonts w:ascii="SimSun" w:hAnsi="SimSun" w:eastAsia="SimSun" w:cs="SimSun"/>
          <w:sz w:val="18"/>
          <w:szCs w:val="18"/>
          <w:spacing w:val="-4"/>
        </w:rPr>
        <w:t>314</w:t>
      </w:r>
    </w:p>
    <w:p>
      <w:pPr>
        <w:ind w:right="1"/>
        <w:spacing w:before="206" w:line="22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p>
      <w:pPr>
        <w:spacing w:line="227" w:lineRule="auto"/>
        <w:sectPr>
          <w:pgSz w:w="11907" w:h="16840"/>
          <w:pgMar w:top="1567" w:right="1700" w:bottom="400" w:left="1701" w:header="1221" w:footer="0" w:gutter="0"/>
        </w:sectPr>
        <w:rPr>
          <w:rFonts w:ascii="SimSun" w:hAnsi="SimSun" w:eastAsia="SimSun" w:cs="SimSun"/>
          <w:sz w:val="19"/>
          <w:szCs w:val="19"/>
        </w:rPr>
      </w:pPr>
    </w:p>
    <w:p>
      <w:pPr>
        <w:ind w:left="27"/>
        <w:spacing w:before="193" w:line="222" w:lineRule="auto"/>
        <w:outlineLvl w:val="0"/>
        <w:rPr>
          <w:rFonts w:ascii="SimHei" w:hAnsi="SimHei" w:eastAsia="SimHei" w:cs="SimHei"/>
          <w:sz w:val="28"/>
          <w:szCs w:val="28"/>
        </w:rPr>
      </w:pPr>
      <w:r>
        <w:pict>
          <v:shape id="_x0000_s1388" style="position:absolute;margin-left:85.05pt;margin-top:79.11pt;mso-position-vertical-relative:page;mso-position-horizontal-relative:page;width:425.25pt;height:0.75pt;z-index:252450816;" o:allowincell="f" fillcolor="#000000" filled="true" stroked="false" coordsize="8505,15" coordorigin="0,0" path="m,l8505,0l8505,14l0,14l0,0xe"/>
        </w:pict>
      </w:r>
      <w:bookmarkStart w:name="bookmark250" w:id="244"/>
      <w:bookmarkEnd w:id="244"/>
      <w:r>
        <w:rPr>
          <w:rFonts w:ascii="SimHei" w:hAnsi="SimHei" w:eastAsia="SimHei" w:cs="SimHei"/>
          <w:sz w:val="28"/>
          <w:szCs w:val="28"/>
          <w:spacing w:val="-13"/>
        </w:rPr>
        <w:t>附件</w:t>
      </w:r>
      <w:r>
        <w:rPr>
          <w:rFonts w:ascii="SimHei" w:hAnsi="SimHei" w:eastAsia="SimHei" w:cs="SimHei"/>
          <w:sz w:val="28"/>
          <w:szCs w:val="28"/>
          <w:spacing w:val="-33"/>
        </w:rPr>
        <w:t xml:space="preserve"> </w:t>
      </w:r>
      <w:r>
        <w:rPr>
          <w:rFonts w:ascii="Times New Roman" w:hAnsi="Times New Roman" w:eastAsia="Times New Roman" w:cs="Times New Roman"/>
          <w:sz w:val="28"/>
          <w:szCs w:val="28"/>
          <w:spacing w:val="-13"/>
        </w:rPr>
        <w:t>1</w:t>
      </w:r>
      <w:r>
        <w:rPr>
          <w:rFonts w:ascii="Times New Roman" w:hAnsi="Times New Roman" w:eastAsia="Times New Roman" w:cs="Times New Roman"/>
          <w:sz w:val="28"/>
          <w:szCs w:val="28"/>
          <w:spacing w:val="-16"/>
        </w:rPr>
        <w:t xml:space="preserve"> </w:t>
      </w:r>
      <w:r>
        <w:rPr>
          <w:rFonts w:ascii="SimHei" w:hAnsi="SimHei" w:eastAsia="SimHei" w:cs="SimHei"/>
          <w:sz w:val="28"/>
          <w:szCs w:val="28"/>
          <w:spacing w:val="-13"/>
        </w:rPr>
        <w:t>：环评委托书</w:t>
      </w:r>
    </w:p>
    <w:p>
      <w:pPr>
        <w:pStyle w:val="BodyText"/>
        <w:spacing w:line="294" w:lineRule="auto"/>
        <w:rPr/>
      </w:pPr>
      <w:r/>
    </w:p>
    <w:p>
      <w:pPr>
        <w:pStyle w:val="BodyText"/>
        <w:spacing w:line="295" w:lineRule="auto"/>
        <w:rPr/>
      </w:pPr>
      <w:r/>
    </w:p>
    <w:p>
      <w:pPr>
        <w:pStyle w:val="BodyText"/>
        <w:spacing w:line="295" w:lineRule="auto"/>
        <w:rPr/>
      </w:pPr>
      <w:r/>
    </w:p>
    <w:p>
      <w:pPr>
        <w:ind w:left="3313"/>
        <w:spacing w:before="153" w:line="226" w:lineRule="auto"/>
        <w:rPr>
          <w:rFonts w:ascii="SimHei" w:hAnsi="SimHei" w:eastAsia="SimHei" w:cs="SimHei"/>
          <w:sz w:val="47"/>
          <w:szCs w:val="47"/>
        </w:rPr>
      </w:pPr>
      <w:bookmarkStart w:name="bookmark208" w:id="245"/>
      <w:bookmarkEnd w:id="245"/>
      <w:r>
        <w:rPr>
          <w:rFonts w:ascii="SimHei" w:hAnsi="SimHei" w:eastAsia="SimHei" w:cs="SimHei"/>
          <w:sz w:val="47"/>
          <w:szCs w:val="47"/>
          <w:spacing w:val="-8"/>
        </w:rPr>
        <w:t>委</w:t>
      </w:r>
      <w:r>
        <w:rPr>
          <w:rFonts w:ascii="SimHei" w:hAnsi="SimHei" w:eastAsia="SimHei" w:cs="SimHei"/>
          <w:sz w:val="47"/>
          <w:szCs w:val="47"/>
          <w:spacing w:val="25"/>
        </w:rPr>
        <w:t xml:space="preserve"> </w:t>
      </w:r>
      <w:r>
        <w:rPr>
          <w:rFonts w:ascii="SimHei" w:hAnsi="SimHei" w:eastAsia="SimHei" w:cs="SimHei"/>
          <w:sz w:val="47"/>
          <w:szCs w:val="47"/>
          <w:spacing w:val="-8"/>
        </w:rPr>
        <w:t>托</w:t>
      </w:r>
      <w:r>
        <w:rPr>
          <w:rFonts w:ascii="SimHei" w:hAnsi="SimHei" w:eastAsia="SimHei" w:cs="SimHei"/>
          <w:sz w:val="47"/>
          <w:szCs w:val="47"/>
          <w:spacing w:val="39"/>
        </w:rPr>
        <w:t xml:space="preserve"> </w:t>
      </w:r>
      <w:r>
        <w:rPr>
          <w:rFonts w:ascii="SimHei" w:hAnsi="SimHei" w:eastAsia="SimHei" w:cs="SimHei"/>
          <w:sz w:val="47"/>
          <w:szCs w:val="47"/>
          <w:spacing w:val="-8"/>
        </w:rPr>
        <w:t>书</w:t>
      </w:r>
    </w:p>
    <w:p>
      <w:pPr>
        <w:pStyle w:val="BodyText"/>
        <w:spacing w:line="430" w:lineRule="auto"/>
        <w:rPr/>
      </w:pPr>
      <w:r/>
    </w:p>
    <w:p>
      <w:pPr>
        <w:ind w:left="10"/>
        <w:spacing w:before="91" w:line="219" w:lineRule="auto"/>
        <w:rPr>
          <w:rFonts w:ascii="SimSun" w:hAnsi="SimSun" w:eastAsia="SimSun" w:cs="SimSun"/>
          <w:sz w:val="28"/>
          <w:szCs w:val="28"/>
        </w:rPr>
      </w:pPr>
      <w:r>
        <w:rPr>
          <w:rFonts w:ascii="SimSun" w:hAnsi="SimSun" w:eastAsia="SimSun" w:cs="SimSun"/>
          <w:sz w:val="28"/>
          <w:szCs w:val="28"/>
          <w:spacing w:val="-1"/>
        </w:rPr>
        <w:t>锡林郭勒盟中安环境技术咨询有限责任公司：</w:t>
      </w:r>
    </w:p>
    <w:p>
      <w:pPr>
        <w:ind w:left="11" w:firstLine="561"/>
        <w:spacing w:before="211" w:line="359" w:lineRule="auto"/>
        <w:rPr>
          <w:rFonts w:ascii="SimSun" w:hAnsi="SimSun" w:eastAsia="SimSun" w:cs="SimSun"/>
          <w:sz w:val="28"/>
          <w:szCs w:val="28"/>
        </w:rPr>
      </w:pPr>
      <w:r>
        <w:rPr>
          <w:rFonts w:ascii="SimSun" w:hAnsi="SimSun" w:eastAsia="SimSun" w:cs="SimSun"/>
          <w:sz w:val="28"/>
          <w:szCs w:val="28"/>
          <w:spacing w:val="3"/>
        </w:rPr>
        <w:t>我公司拟在内蒙古自治区锡林郭勒盟正镶白旗明安图镇乌宁巴图</w:t>
      </w:r>
      <w:r>
        <w:rPr>
          <w:rFonts w:ascii="SimSun" w:hAnsi="SimSun" w:eastAsia="SimSun" w:cs="SimSun"/>
          <w:sz w:val="28"/>
          <w:szCs w:val="28"/>
          <w:spacing w:val="5"/>
        </w:rPr>
        <w:t xml:space="preserve"> </w:t>
      </w:r>
      <w:r>
        <w:rPr>
          <w:rFonts w:ascii="SimSun" w:hAnsi="SimSun" w:eastAsia="SimSun" w:cs="SimSun"/>
          <w:sz w:val="28"/>
          <w:szCs w:val="28"/>
          <w:spacing w:val="3"/>
        </w:rPr>
        <w:t>西街建设</w:t>
      </w:r>
      <w:r>
        <w:rPr>
          <w:rFonts w:ascii="Times New Roman" w:hAnsi="Times New Roman" w:eastAsia="Times New Roman" w:cs="Times New Roman"/>
          <w:sz w:val="28"/>
          <w:szCs w:val="28"/>
          <w:spacing w:val="3"/>
        </w:rPr>
        <w:t>“</w:t>
      </w:r>
      <w:r>
        <w:rPr>
          <w:rFonts w:ascii="SimSun" w:hAnsi="SimSun" w:eastAsia="SimSun" w:cs="SimSun"/>
          <w:sz w:val="28"/>
          <w:szCs w:val="28"/>
          <w:spacing w:val="3"/>
        </w:rPr>
        <w:t>内蒙古源浩羊绒制品有限公司废弃物高</w:t>
      </w:r>
      <w:r>
        <w:rPr>
          <w:rFonts w:ascii="SimSun" w:hAnsi="SimSun" w:eastAsia="SimSun" w:cs="SimSun"/>
          <w:sz w:val="28"/>
          <w:szCs w:val="28"/>
          <w:spacing w:val="2"/>
        </w:rPr>
        <w:t>效循环利用项目</w:t>
      </w:r>
      <w:r>
        <w:rPr>
          <w:rFonts w:ascii="Times New Roman" w:hAnsi="Times New Roman" w:eastAsia="Times New Roman" w:cs="Times New Roman"/>
          <w:sz w:val="28"/>
          <w:szCs w:val="28"/>
          <w:spacing w:val="2"/>
        </w:rPr>
        <w:t>”</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2"/>
        </w:rPr>
        <w:t>。</w:t>
      </w:r>
      <w:r>
        <w:rPr>
          <w:rFonts w:ascii="SimSun" w:hAnsi="SimSun" w:eastAsia="SimSun" w:cs="SimSun"/>
          <w:sz w:val="28"/>
          <w:szCs w:val="28"/>
        </w:rPr>
        <w:t xml:space="preserve"> </w:t>
      </w:r>
      <w:r>
        <w:rPr>
          <w:rFonts w:ascii="SimSun" w:hAnsi="SimSun" w:eastAsia="SimSun" w:cs="SimSun"/>
          <w:sz w:val="28"/>
          <w:szCs w:val="28"/>
          <w:spacing w:val="3"/>
        </w:rPr>
        <w:t>根据《中华人民共和国环境影响评价法》和中华人民共和国国务院第 </w:t>
      </w:r>
      <w:r>
        <w:rPr>
          <w:rFonts w:ascii="Times New Roman" w:hAnsi="Times New Roman" w:eastAsia="Times New Roman" w:cs="Times New Roman"/>
          <w:sz w:val="28"/>
          <w:szCs w:val="28"/>
          <w:spacing w:val="-4"/>
        </w:rPr>
        <w:t>682 </w:t>
      </w:r>
      <w:r>
        <w:rPr>
          <w:rFonts w:ascii="SimSun" w:hAnsi="SimSun" w:eastAsia="SimSun" w:cs="SimSun"/>
          <w:sz w:val="28"/>
          <w:szCs w:val="28"/>
          <w:spacing w:val="-4"/>
        </w:rPr>
        <w:t>号令《建设项目环境保护管理条例》的有关规定，委托贵单位进行</w:t>
      </w:r>
      <w:r>
        <w:rPr>
          <w:rFonts w:ascii="SimSun" w:hAnsi="SimSun" w:eastAsia="SimSun" w:cs="SimSun"/>
          <w:sz w:val="28"/>
          <w:szCs w:val="28"/>
          <w:spacing w:val="15"/>
        </w:rPr>
        <w:t xml:space="preserve"> </w:t>
      </w:r>
      <w:r>
        <w:rPr>
          <w:rFonts w:ascii="SimSun" w:hAnsi="SimSun" w:eastAsia="SimSun" w:cs="SimSun"/>
          <w:sz w:val="28"/>
          <w:szCs w:val="28"/>
          <w:spacing w:val="-1"/>
        </w:rPr>
        <w:t>该项目的环境影响评价工作。</w:t>
      </w:r>
    </w:p>
    <w:p>
      <w:pPr>
        <w:ind w:left="570"/>
        <w:spacing w:before="1" w:line="219" w:lineRule="auto"/>
        <w:rPr>
          <w:rFonts w:ascii="SimSun" w:hAnsi="SimSun" w:eastAsia="SimSun" w:cs="SimSun"/>
          <w:sz w:val="28"/>
          <w:szCs w:val="28"/>
        </w:rPr>
      </w:pPr>
      <w:r>
        <w:rPr>
          <w:rFonts w:ascii="SimSun" w:hAnsi="SimSun" w:eastAsia="SimSun" w:cs="SimSun"/>
          <w:sz w:val="28"/>
          <w:szCs w:val="28"/>
          <w:spacing w:val="-3"/>
        </w:rPr>
        <w:t>特此委托</w:t>
      </w:r>
    </w:p>
    <w:p>
      <w:pPr>
        <w:pStyle w:val="BodyText"/>
        <w:spacing w:line="260" w:lineRule="auto"/>
        <w:rPr/>
      </w:pPr>
      <w:r/>
    </w:p>
    <w:p>
      <w:pPr>
        <w:pStyle w:val="BodyText"/>
        <w:spacing w:line="260" w:lineRule="auto"/>
        <w:rPr/>
      </w:pPr>
      <w:r/>
    </w:p>
    <w:p>
      <w:pPr>
        <w:pStyle w:val="BodyText"/>
        <w:spacing w:line="260" w:lineRule="auto"/>
        <w:rPr/>
      </w:pPr>
      <w:r/>
    </w:p>
    <w:p>
      <w:pPr>
        <w:pStyle w:val="BodyText"/>
        <w:spacing w:line="260" w:lineRule="auto"/>
        <w:rPr/>
      </w:pPr>
      <w:r/>
    </w:p>
    <w:p>
      <w:pPr>
        <w:pStyle w:val="BodyText"/>
        <w:spacing w:line="260" w:lineRule="auto"/>
        <w:rPr/>
      </w:pPr>
      <w:r/>
    </w:p>
    <w:p>
      <w:pPr>
        <w:pStyle w:val="BodyText"/>
        <w:spacing w:line="260" w:lineRule="auto"/>
        <w:rPr/>
      </w:pPr>
      <w:r/>
    </w:p>
    <w:p>
      <w:pPr>
        <w:spacing w:before="91" w:line="220" w:lineRule="auto"/>
        <w:jc w:val="right"/>
        <w:rPr>
          <w:rFonts w:ascii="SimSun" w:hAnsi="SimSun" w:eastAsia="SimSun" w:cs="SimSun"/>
          <w:sz w:val="28"/>
          <w:szCs w:val="28"/>
        </w:rPr>
      </w:pPr>
      <w:r>
        <w:rPr>
          <w:rFonts w:ascii="SimSun" w:hAnsi="SimSun" w:eastAsia="SimSun" w:cs="SimSun"/>
          <w:sz w:val="28"/>
          <w:szCs w:val="28"/>
          <w:spacing w:val="-4"/>
        </w:rPr>
        <w:t>内蒙古源浩羊绒制品有限公司</w:t>
      </w:r>
    </w:p>
    <w:p>
      <w:pPr>
        <w:spacing w:before="212" w:line="220" w:lineRule="auto"/>
        <w:jc w:val="right"/>
        <w:rPr>
          <w:rFonts w:ascii="SimSun" w:hAnsi="SimSun" w:eastAsia="SimSun" w:cs="SimSun"/>
          <w:sz w:val="28"/>
          <w:szCs w:val="28"/>
        </w:rPr>
      </w:pPr>
      <w:r>
        <w:rPr>
          <w:rFonts w:ascii="Times New Roman" w:hAnsi="Times New Roman" w:eastAsia="Times New Roman" w:cs="Times New Roman"/>
          <w:sz w:val="28"/>
          <w:szCs w:val="28"/>
          <w:spacing w:val="-14"/>
        </w:rPr>
        <w:t>2025</w:t>
      </w:r>
      <w:r>
        <w:rPr>
          <w:rFonts w:ascii="Times New Roman" w:hAnsi="Times New Roman" w:eastAsia="Times New Roman" w:cs="Times New Roman"/>
          <w:sz w:val="28"/>
          <w:szCs w:val="28"/>
          <w:spacing w:val="18"/>
        </w:rPr>
        <w:t xml:space="preserve"> </w:t>
      </w:r>
      <w:r>
        <w:rPr>
          <w:rFonts w:ascii="SimSun" w:hAnsi="SimSun" w:eastAsia="SimSun" w:cs="SimSun"/>
          <w:sz w:val="28"/>
          <w:szCs w:val="28"/>
          <w:spacing w:val="-14"/>
        </w:rPr>
        <w:t>年</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14"/>
        </w:rPr>
        <w:t>1</w:t>
      </w:r>
      <w:r>
        <w:rPr>
          <w:rFonts w:ascii="Times New Roman" w:hAnsi="Times New Roman" w:eastAsia="Times New Roman" w:cs="Times New Roman"/>
          <w:sz w:val="28"/>
          <w:szCs w:val="28"/>
          <w:spacing w:val="16"/>
        </w:rPr>
        <w:t xml:space="preserve"> </w:t>
      </w:r>
      <w:r>
        <w:rPr>
          <w:rFonts w:ascii="SimSun" w:hAnsi="SimSun" w:eastAsia="SimSun" w:cs="SimSun"/>
          <w:sz w:val="28"/>
          <w:szCs w:val="28"/>
          <w:spacing w:val="-14"/>
        </w:rPr>
        <w:t>月</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4"/>
        </w:rPr>
        <w:t>30</w:t>
      </w:r>
      <w:r>
        <w:rPr>
          <w:rFonts w:ascii="Times New Roman" w:hAnsi="Times New Roman" w:eastAsia="Times New Roman" w:cs="Times New Roman"/>
          <w:sz w:val="28"/>
          <w:szCs w:val="28"/>
          <w:spacing w:val="58"/>
        </w:rPr>
        <w:t xml:space="preserve"> </w:t>
      </w:r>
      <w:r>
        <w:rPr>
          <w:rFonts w:ascii="SimSun" w:hAnsi="SimSun" w:eastAsia="SimSun" w:cs="SimSun"/>
          <w:sz w:val="28"/>
          <w:szCs w:val="28"/>
          <w:spacing w:val="-14"/>
        </w:rPr>
        <w:t>日</w:t>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ind w:left="7"/>
        <w:spacing w:before="62" w:line="227" w:lineRule="auto"/>
        <w:rPr>
          <w:rFonts w:ascii="SimSun" w:hAnsi="SimSun" w:eastAsia="SimSun" w:cs="SimSun"/>
          <w:sz w:val="19"/>
          <w:szCs w:val="19"/>
        </w:rPr>
      </w:pPr>
      <w:r>
        <w:pict>
          <v:shape id="_x0000_s1390" style="position:absolute;margin-left:159.33pt;margin-top:2.13107pt;mso-position-vertical-relative:text;mso-position-horizontal-relative:text;width:61pt;height:13.75pt;z-index:252449792;"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2"/>
                    </w:rPr>
                    <w:t>任公司</w:t>
                  </w:r>
                  <w:r>
                    <w:rPr>
                      <w:rFonts w:ascii="SimSun" w:hAnsi="SimSun" w:eastAsia="SimSun" w:cs="SimSun"/>
                      <w:sz w:val="19"/>
                      <w:szCs w:val="19"/>
                      <w:spacing w:val="14"/>
                    </w:rPr>
                    <w:t xml:space="preserve">   </w:t>
                  </w:r>
                  <w:r>
                    <w:rPr>
                      <w:rFonts w:ascii="Times New Roman" w:hAnsi="Times New Roman" w:eastAsia="Times New Roman" w:cs="Times New Roman"/>
                      <w:sz w:val="18"/>
                      <w:szCs w:val="18"/>
                      <w:spacing w:val="2"/>
                      <w:position w:val="2"/>
                    </w:rPr>
                    <w:t>315</w:t>
                  </w:r>
                </w:p>
              </w:txbxContent>
            </v:textbox>
          </v:shape>
        </w:pict>
      </w:r>
      <w:r>
        <w:rPr>
          <w:rFonts w:ascii="SimSun" w:hAnsi="SimSun" w:eastAsia="SimSun" w:cs="SimSun"/>
          <w:sz w:val="19"/>
          <w:szCs w:val="19"/>
          <w:spacing w:val="9"/>
        </w:rPr>
        <w:t>锡林郭勒盟中安环境技术咨询有限责</w:t>
      </w:r>
    </w:p>
    <w:p>
      <w:pPr>
        <w:spacing w:line="227" w:lineRule="auto"/>
        <w:sectPr>
          <w:headerReference w:type="default" r:id="rId401"/>
          <w:pgSz w:w="11907" w:h="16840"/>
          <w:pgMar w:top="1567" w:right="1699" w:bottom="400" w:left="1701" w:header="1221" w:footer="0" w:gutter="0"/>
        </w:sectPr>
        <w:rPr>
          <w:rFonts w:ascii="SimSun" w:hAnsi="SimSun" w:eastAsia="SimSun" w:cs="SimSun"/>
          <w:sz w:val="19"/>
          <w:szCs w:val="19"/>
        </w:rPr>
      </w:pPr>
    </w:p>
    <w:p>
      <w:pPr>
        <w:ind w:left="27"/>
        <w:spacing w:before="174" w:line="212" w:lineRule="auto"/>
        <w:outlineLvl w:val="0"/>
        <w:rPr>
          <w:rFonts w:ascii="SimHei" w:hAnsi="SimHei" w:eastAsia="SimHei" w:cs="SimHei"/>
          <w:sz w:val="28"/>
          <w:szCs w:val="28"/>
        </w:rPr>
      </w:pPr>
      <w:r>
        <w:pict>
          <v:shape id="_x0000_s1392" style="position:absolute;margin-left:85.05pt;margin-top:78.87pt;mso-position-vertical-relative:page;mso-position-horizontal-relative:page;width:425.25pt;height:0.75pt;z-index:252452864;" o:allowincell="f" fillcolor="#000000" filled="true" stroked="false" coordsize="8505,15" coordorigin="0,0" path="m,l8505,0l8505,14l0,14l0,0xe"/>
        </w:pict>
      </w:r>
      <w:bookmarkStart w:name="bookmark209" w:id="246"/>
      <w:bookmarkEnd w:id="246"/>
      <w:r>
        <w:rPr>
          <w:rFonts w:ascii="SimHei" w:hAnsi="SimHei" w:eastAsia="SimHei" w:cs="SimHei"/>
          <w:sz w:val="28"/>
          <w:szCs w:val="28"/>
          <w:spacing w:val="-8"/>
        </w:rPr>
        <w:t>附件</w:t>
      </w:r>
      <w:r>
        <w:rPr>
          <w:rFonts w:ascii="SimHei" w:hAnsi="SimHei" w:eastAsia="SimHei" w:cs="SimHei"/>
          <w:sz w:val="28"/>
          <w:szCs w:val="28"/>
          <w:spacing w:val="-62"/>
        </w:rPr>
        <w:t xml:space="preserve"> </w:t>
      </w:r>
      <w:r>
        <w:rPr>
          <w:rFonts w:ascii="Times New Roman" w:hAnsi="Times New Roman" w:eastAsia="Times New Roman" w:cs="Times New Roman"/>
          <w:sz w:val="28"/>
          <w:szCs w:val="28"/>
          <w:spacing w:val="-8"/>
        </w:rPr>
        <w:t>2</w:t>
      </w:r>
      <w:r>
        <w:rPr>
          <w:rFonts w:ascii="Times New Roman" w:hAnsi="Times New Roman" w:eastAsia="Times New Roman" w:cs="Times New Roman"/>
          <w:sz w:val="28"/>
          <w:szCs w:val="28"/>
          <w:spacing w:val="-16"/>
        </w:rPr>
        <w:t xml:space="preserve"> </w:t>
      </w:r>
      <w:r>
        <w:rPr>
          <w:rFonts w:ascii="SimHei" w:hAnsi="SimHei" w:eastAsia="SimHei" w:cs="SimHei"/>
          <w:sz w:val="28"/>
          <w:szCs w:val="28"/>
          <w:spacing w:val="-8"/>
        </w:rPr>
        <w:t>：项目备案告知书</w:t>
      </w:r>
    </w:p>
    <w:p>
      <w:pPr>
        <w:spacing w:line="12000" w:lineRule="exact"/>
        <w:rPr/>
      </w:pPr>
      <w:r>
        <w:rPr>
          <w:position w:val="-240"/>
        </w:rPr>
        <w:drawing>
          <wp:inline distT="0" distB="0" distL="0" distR="0">
            <wp:extent cx="5399531" cy="7620000"/>
            <wp:effectExtent l="0" t="0" r="0" b="0"/>
            <wp:docPr id="230" name="IM 230"/>
            <wp:cNvGraphicFramePr/>
            <a:graphic>
              <a:graphicData uri="http://schemas.openxmlformats.org/drawingml/2006/picture">
                <pic:pic>
                  <pic:nvPicPr>
                    <pic:cNvPr id="230" name="IM 230"/>
                    <pic:cNvPicPr/>
                  </pic:nvPicPr>
                  <pic:blipFill>
                    <a:blip r:embed="rId403"/>
                    <a:stretch>
                      <a:fillRect/>
                    </a:stretch>
                  </pic:blipFill>
                  <pic:spPr>
                    <a:xfrm rot="0">
                      <a:off x="0" y="0"/>
                      <a:ext cx="5399531" cy="7620000"/>
                    </a:xfrm>
                    <a:prstGeom prst="rect">
                      <a:avLst/>
                    </a:prstGeom>
                  </pic:spPr>
                </pic:pic>
              </a:graphicData>
            </a:graphic>
          </wp:inline>
        </w:drawing>
      </w:r>
    </w:p>
    <w:p>
      <w:pPr>
        <w:spacing w:line="12000" w:lineRule="exact"/>
        <w:sectPr>
          <w:headerReference w:type="default" r:id="rId2"/>
          <w:footerReference w:type="default" r:id="rId402"/>
          <w:pgSz w:w="11907" w:h="16840"/>
          <w:pgMar w:top="1567" w:right="1700" w:bottom="1921" w:left="1701" w:header="1221" w:footer="1247" w:gutter="0"/>
        </w:sectPr>
        <w:rPr/>
      </w:pPr>
    </w:p>
    <w:p>
      <w:pPr>
        <w:ind w:left="27"/>
        <w:spacing w:before="194" w:line="224" w:lineRule="auto"/>
        <w:outlineLvl w:val="0"/>
        <w:rPr>
          <w:rFonts w:ascii="SimHei" w:hAnsi="SimHei" w:eastAsia="SimHei" w:cs="SimHei"/>
          <w:sz w:val="28"/>
          <w:szCs w:val="28"/>
        </w:rPr>
      </w:pPr>
      <w:r>
        <w:pict>
          <v:shape id="_x0000_s1394" style="position:absolute;margin-left:85.05pt;margin-top:79.11pt;mso-position-vertical-relative:page;mso-position-horizontal-relative:page;width:425.25pt;height:0.75pt;z-index:252456960;" o:allowincell="f" fillcolor="#000000" filled="true" stroked="false" coordsize="8505,15" coordorigin="0,0" path="m,l8505,0l8505,14l0,14l0,0xe"/>
        </w:pict>
      </w:r>
      <w:bookmarkStart w:name="bookmark251" w:id="247"/>
      <w:bookmarkEnd w:id="247"/>
      <w:r>
        <w:rPr>
          <w:rFonts w:ascii="SimHei" w:hAnsi="SimHei" w:eastAsia="SimHei" w:cs="SimHei"/>
          <w:sz w:val="28"/>
          <w:szCs w:val="28"/>
          <w:spacing w:val="-11"/>
        </w:rPr>
        <w:t>附件</w:t>
      </w:r>
      <w:r>
        <w:rPr>
          <w:rFonts w:ascii="SimHei" w:hAnsi="SimHei" w:eastAsia="SimHei" w:cs="SimHei"/>
          <w:sz w:val="28"/>
          <w:szCs w:val="28"/>
          <w:spacing w:val="-62"/>
        </w:rPr>
        <w:t xml:space="preserve"> </w:t>
      </w:r>
      <w:r>
        <w:rPr>
          <w:rFonts w:ascii="Times New Roman" w:hAnsi="Times New Roman" w:eastAsia="Times New Roman" w:cs="Times New Roman"/>
          <w:sz w:val="28"/>
          <w:szCs w:val="28"/>
          <w:spacing w:val="-11"/>
        </w:rPr>
        <w:t>3</w:t>
      </w:r>
      <w:r>
        <w:rPr>
          <w:rFonts w:ascii="Times New Roman" w:hAnsi="Times New Roman" w:eastAsia="Times New Roman" w:cs="Times New Roman"/>
          <w:sz w:val="28"/>
          <w:szCs w:val="28"/>
          <w:spacing w:val="-16"/>
        </w:rPr>
        <w:t xml:space="preserve"> </w:t>
      </w:r>
      <w:r>
        <w:rPr>
          <w:rFonts w:ascii="SimHei" w:hAnsi="SimHei" w:eastAsia="SimHei" w:cs="SimHei"/>
          <w:sz w:val="28"/>
          <w:szCs w:val="28"/>
          <w:spacing w:val="-11"/>
        </w:rPr>
        <w:t>：土地手续</w:t>
      </w:r>
    </w:p>
    <w:p>
      <w:pPr>
        <w:ind w:left="21"/>
        <w:spacing w:before="16" w:line="220" w:lineRule="auto"/>
        <w:rPr>
          <w:rFonts w:ascii="SimSun" w:hAnsi="SimSun" w:eastAsia="SimSun" w:cs="SimSun"/>
          <w:sz w:val="24"/>
          <w:szCs w:val="24"/>
        </w:rPr>
      </w:pPr>
      <w:bookmarkStart w:name="bookmark210" w:id="248"/>
      <w:bookmarkEnd w:id="248"/>
      <w:r>
        <w:rPr>
          <w:rFonts w:ascii="SimSun" w:hAnsi="SimSun" w:eastAsia="SimSun" w:cs="SimSun"/>
          <w:sz w:val="24"/>
          <w:szCs w:val="24"/>
          <w:b/>
          <w:bCs/>
          <w:spacing w:val="-6"/>
        </w:rPr>
        <w:t>（</w:t>
      </w:r>
      <w:r>
        <w:rPr>
          <w:rFonts w:ascii="Times New Roman" w:hAnsi="Times New Roman" w:eastAsia="Times New Roman" w:cs="Times New Roman"/>
          <w:sz w:val="24"/>
          <w:szCs w:val="24"/>
          <w:b/>
          <w:bCs/>
          <w:spacing w:val="-6"/>
        </w:rPr>
        <w:t>1</w:t>
      </w:r>
      <w:r>
        <w:rPr>
          <w:rFonts w:ascii="SimSun" w:hAnsi="SimSun" w:eastAsia="SimSun" w:cs="SimSun"/>
          <w:sz w:val="24"/>
          <w:szCs w:val="24"/>
          <w:b/>
          <w:bCs/>
          <w:spacing w:val="-6"/>
        </w:rPr>
        <w:t>）西厂区</w:t>
      </w:r>
    </w:p>
    <w:p>
      <w:pPr>
        <w:ind w:left="21"/>
        <w:spacing w:before="179" w:line="219" w:lineRule="auto"/>
        <w:rPr>
          <w:rFonts w:ascii="SimSun" w:hAnsi="SimSun" w:eastAsia="SimSun" w:cs="SimSun"/>
          <w:sz w:val="24"/>
          <w:szCs w:val="24"/>
        </w:rPr>
      </w:pPr>
      <w:r>
        <w:rPr>
          <w:rFonts w:ascii="SimSun" w:hAnsi="SimSun" w:eastAsia="SimSun" w:cs="SimSun"/>
          <w:sz w:val="24"/>
          <w:szCs w:val="24"/>
          <w:b/>
          <w:bCs/>
          <w:spacing w:val="-6"/>
        </w:rPr>
        <w:t>（</w:t>
      </w:r>
      <w:r>
        <w:rPr>
          <w:rFonts w:ascii="Times New Roman" w:hAnsi="Times New Roman" w:eastAsia="Times New Roman" w:cs="Times New Roman"/>
          <w:sz w:val="24"/>
          <w:szCs w:val="24"/>
          <w:b/>
          <w:bCs/>
          <w:spacing w:val="-6"/>
        </w:rPr>
        <w:t>2</w:t>
      </w:r>
      <w:r>
        <w:rPr>
          <w:rFonts w:ascii="SimSun" w:hAnsi="SimSun" w:eastAsia="SimSun" w:cs="SimSun"/>
          <w:sz w:val="24"/>
          <w:szCs w:val="24"/>
          <w:b/>
          <w:bCs/>
          <w:spacing w:val="-6"/>
        </w:rPr>
        <w:t>）东厂区</w:t>
      </w:r>
    </w:p>
    <w:p>
      <w:pPr>
        <w:ind w:left="8"/>
        <w:spacing w:before="183" w:line="217" w:lineRule="auto"/>
        <w:rPr>
          <w:rFonts w:ascii="SimSun" w:hAnsi="SimSun" w:eastAsia="SimSun" w:cs="SimSun"/>
          <w:sz w:val="24"/>
          <w:szCs w:val="24"/>
        </w:rPr>
      </w:pPr>
      <w:r>
        <w:rPr>
          <w:rFonts w:ascii="SimSun" w:hAnsi="SimSun" w:eastAsia="SimSun" w:cs="SimSun"/>
          <w:sz w:val="24"/>
          <w:szCs w:val="24"/>
          <w:b/>
          <w:bCs/>
          <w:spacing w:val="-2"/>
        </w:rPr>
        <w:t>①从正镶白旗鸿泰绒毛有限公司购买土地及房</w:t>
      </w:r>
      <w:r>
        <w:rPr>
          <w:rFonts w:ascii="SimSun" w:hAnsi="SimSun" w:eastAsia="SimSun" w:cs="SimSun"/>
          <w:sz w:val="24"/>
          <w:szCs w:val="24"/>
          <w:b/>
          <w:bCs/>
          <w:spacing w:val="-3"/>
        </w:rPr>
        <w:t>产文件</w:t>
      </w:r>
    </w:p>
    <w:p>
      <w:pPr>
        <w:pStyle w:val="BodyText"/>
        <w:spacing w:line="258" w:lineRule="auto"/>
        <w:rPr/>
      </w:pPr>
      <w:r/>
    </w:p>
    <w:p>
      <w:pPr>
        <w:pStyle w:val="BodyText"/>
        <w:spacing w:line="259" w:lineRule="auto"/>
        <w:rPr/>
      </w:pPr>
      <w:r/>
    </w:p>
    <w:p>
      <w:pPr>
        <w:ind w:left="9"/>
        <w:spacing w:before="78" w:line="219" w:lineRule="auto"/>
        <w:rPr>
          <w:rFonts w:ascii="SimSun" w:hAnsi="SimSun" w:eastAsia="SimSun" w:cs="SimSun"/>
          <w:sz w:val="24"/>
          <w:szCs w:val="24"/>
        </w:rPr>
      </w:pPr>
      <w:r>
        <w:rPr>
          <w:rFonts w:ascii="SimSun" w:hAnsi="SimSun" w:eastAsia="SimSun" w:cs="SimSun"/>
          <w:sz w:val="24"/>
          <w:szCs w:val="24"/>
          <w:b/>
          <w:bCs/>
          <w:spacing w:val="-3"/>
        </w:rPr>
        <w:t>注：原星跃街现在名称为乌宁巴图西街</w:t>
      </w:r>
    </w:p>
    <w:p>
      <w:pPr>
        <w:pStyle w:val="BodyText"/>
        <w:spacing w:line="308" w:lineRule="auto"/>
        <w:rPr/>
      </w:pPr>
      <w:r/>
    </w:p>
    <w:p>
      <w:pPr>
        <w:pStyle w:val="BodyText"/>
        <w:spacing w:line="308" w:lineRule="auto"/>
        <w:rPr/>
      </w:pPr>
      <w:r/>
    </w:p>
    <w:p>
      <w:pPr>
        <w:pStyle w:val="BodyText"/>
        <w:spacing w:line="308" w:lineRule="auto"/>
        <w:rPr/>
      </w:pPr>
      <w:r/>
    </w:p>
    <w:p>
      <w:pPr>
        <w:ind w:left="8"/>
        <w:spacing w:before="79" w:line="217" w:lineRule="auto"/>
        <w:rPr>
          <w:rFonts w:ascii="SimSun" w:hAnsi="SimSun" w:eastAsia="SimSun" w:cs="SimSun"/>
          <w:sz w:val="24"/>
          <w:szCs w:val="24"/>
        </w:rPr>
      </w:pPr>
      <w:r>
        <w:rPr>
          <w:rFonts w:ascii="SimSun" w:hAnsi="SimSun" w:eastAsia="SimSun" w:cs="SimSun"/>
          <w:sz w:val="24"/>
          <w:szCs w:val="24"/>
          <w:b/>
          <w:bCs/>
          <w:spacing w:val="-3"/>
        </w:rPr>
        <w:t>②从许东亮购买土地合同</w:t>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7"/>
        <w:spacing w:before="62" w:line="227" w:lineRule="auto"/>
        <w:rPr>
          <w:rFonts w:ascii="SimSun" w:hAnsi="SimSun" w:eastAsia="SimSun" w:cs="SimSun"/>
          <w:sz w:val="19"/>
          <w:szCs w:val="19"/>
        </w:rPr>
      </w:pPr>
      <w:r>
        <w:pict>
          <v:shape id="_x0000_s1396" style="position:absolute;margin-left:159.33pt;margin-top:2.10512pt;mso-position-vertical-relative:text;mso-position-horizontal-relative:text;width:61pt;height:13.75pt;z-index:252455936;"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2"/>
                    </w:rPr>
                    <w:t>任公司</w:t>
                  </w:r>
                  <w:r>
                    <w:rPr>
                      <w:rFonts w:ascii="SimSun" w:hAnsi="SimSun" w:eastAsia="SimSun" w:cs="SimSun"/>
                      <w:sz w:val="19"/>
                      <w:szCs w:val="19"/>
                      <w:spacing w:val="14"/>
                    </w:rPr>
                    <w:t xml:space="preserve">   </w:t>
                  </w:r>
                  <w:r>
                    <w:rPr>
                      <w:rFonts w:ascii="Times New Roman" w:hAnsi="Times New Roman" w:eastAsia="Times New Roman" w:cs="Times New Roman"/>
                      <w:sz w:val="18"/>
                      <w:szCs w:val="18"/>
                      <w:spacing w:val="2"/>
                      <w:position w:val="2"/>
                    </w:rPr>
                    <w:t>317</w:t>
                  </w:r>
                </w:p>
              </w:txbxContent>
            </v:textbox>
          </v:shape>
        </w:pict>
      </w:r>
      <w:r>
        <w:rPr>
          <w:rFonts w:ascii="SimSun" w:hAnsi="SimSun" w:eastAsia="SimSun" w:cs="SimSun"/>
          <w:sz w:val="19"/>
          <w:szCs w:val="19"/>
          <w:spacing w:val="9"/>
        </w:rPr>
        <w:t>锡林郭勒盟中安环境技术咨询有限责</w:t>
      </w:r>
    </w:p>
    <w:p>
      <w:pPr>
        <w:spacing w:line="227" w:lineRule="auto"/>
        <w:sectPr>
          <w:footerReference w:type="default" r:id="rId3"/>
          <w:pgSz w:w="11907" w:h="16840"/>
          <w:pgMar w:top="1567" w:right="1700" w:bottom="400" w:left="1701" w:header="1221" w:footer="0" w:gutter="0"/>
        </w:sectPr>
        <w:rPr>
          <w:rFonts w:ascii="SimSun" w:hAnsi="SimSun" w:eastAsia="SimSun" w:cs="SimSun"/>
          <w:sz w:val="19"/>
          <w:szCs w:val="19"/>
        </w:rPr>
      </w:pPr>
    </w:p>
    <w:p>
      <w:pPr>
        <w:ind w:left="27"/>
        <w:spacing w:before="174" w:line="222" w:lineRule="auto"/>
        <w:outlineLvl w:val="0"/>
        <w:rPr>
          <w:rFonts w:ascii="SimHei" w:hAnsi="SimHei" w:eastAsia="SimHei" w:cs="SimHei"/>
          <w:sz w:val="28"/>
          <w:szCs w:val="28"/>
        </w:rPr>
      </w:pPr>
      <w:r>
        <w:pict>
          <v:shape id="_x0000_s1398" style="position:absolute;margin-left:85.05pt;margin-top:78.87pt;mso-position-vertical-relative:page;mso-position-horizontal-relative:page;width:425.25pt;height:0.75pt;z-index:252459008;" o:allowincell="f" fillcolor="#000000" filled="true" stroked="false" coordsize="8505,15" coordorigin="0,0" path="m,l8505,0l8505,14l0,14l0,0xe"/>
        </w:pict>
      </w:r>
      <w:bookmarkStart w:name="bookmark252" w:id="249"/>
      <w:bookmarkEnd w:id="249"/>
      <w:r>
        <w:rPr>
          <w:rFonts w:ascii="SimHei" w:hAnsi="SimHei" w:eastAsia="SimHei" w:cs="SimHei"/>
          <w:sz w:val="28"/>
          <w:szCs w:val="28"/>
          <w:spacing w:val="-3"/>
        </w:rPr>
        <w:t>附件</w:t>
      </w:r>
      <w:r>
        <w:rPr>
          <w:rFonts w:ascii="SimHei" w:hAnsi="SimHei" w:eastAsia="SimHei" w:cs="SimHei"/>
          <w:sz w:val="28"/>
          <w:szCs w:val="28"/>
          <w:spacing w:val="-67"/>
        </w:rPr>
        <w:t xml:space="preserve"> </w:t>
      </w:r>
      <w:r>
        <w:rPr>
          <w:rFonts w:ascii="Times New Roman" w:hAnsi="Times New Roman" w:eastAsia="Times New Roman" w:cs="Times New Roman"/>
          <w:sz w:val="28"/>
          <w:szCs w:val="28"/>
          <w:spacing w:val="-3"/>
        </w:rPr>
        <w:t>4</w:t>
      </w:r>
      <w:r>
        <w:rPr>
          <w:rFonts w:ascii="SimHei" w:hAnsi="SimHei" w:eastAsia="SimHei" w:cs="SimHei"/>
          <w:sz w:val="28"/>
          <w:szCs w:val="28"/>
          <w:spacing w:val="-3"/>
        </w:rPr>
        <w:t>：土地租赁协议</w:t>
      </w:r>
    </w:p>
    <w:p>
      <w:pPr>
        <w:ind w:left="19"/>
        <w:spacing w:before="24" w:line="221" w:lineRule="auto"/>
        <w:rPr>
          <w:rFonts w:ascii="SimSun" w:hAnsi="SimSun" w:eastAsia="SimSun" w:cs="SimSun"/>
          <w:sz w:val="28"/>
          <w:szCs w:val="28"/>
        </w:rPr>
      </w:pPr>
      <w:bookmarkStart w:name="bookmark211" w:id="250"/>
      <w:bookmarkEnd w:id="250"/>
      <w:r>
        <w:rPr>
          <w:rFonts w:ascii="SimSun" w:hAnsi="SimSun" w:eastAsia="SimSun" w:cs="SimSun"/>
          <w:sz w:val="28"/>
          <w:szCs w:val="28"/>
          <w:b/>
          <w:bCs/>
          <w:spacing w:val="-4"/>
        </w:rPr>
        <w:t>（</w:t>
      </w:r>
      <w:r>
        <w:rPr>
          <w:rFonts w:ascii="Times New Roman" w:hAnsi="Times New Roman" w:eastAsia="Times New Roman" w:cs="Times New Roman"/>
          <w:sz w:val="28"/>
          <w:szCs w:val="28"/>
          <w:b/>
          <w:bCs/>
          <w:spacing w:val="-4"/>
        </w:rPr>
        <w:t>1</w:t>
      </w:r>
      <w:r>
        <w:rPr>
          <w:rFonts w:ascii="SimSun" w:hAnsi="SimSun" w:eastAsia="SimSun" w:cs="SimSun"/>
          <w:sz w:val="28"/>
          <w:szCs w:val="28"/>
          <w:b/>
          <w:bCs/>
          <w:spacing w:val="-4"/>
        </w:rPr>
        <w:t>）塑料大棚租赁协议</w:t>
      </w:r>
    </w:p>
    <w:p>
      <w:pPr>
        <w:ind w:left="34"/>
        <w:spacing w:before="19" w:line="227" w:lineRule="auto"/>
        <w:rPr>
          <w:rFonts w:ascii="SimSun" w:hAnsi="SimSun" w:eastAsia="SimSun" w:cs="SimSun"/>
          <w:sz w:val="20"/>
          <w:szCs w:val="20"/>
        </w:rPr>
      </w:pPr>
      <w:r>
        <w:rPr>
          <w:rFonts w:ascii="SimSun" w:hAnsi="SimSun" w:eastAsia="SimSun" w:cs="SimSun"/>
          <w:sz w:val="20"/>
          <w:szCs w:val="20"/>
          <w:spacing w:val="9"/>
        </w:rPr>
        <w:t>内蒙古源浩农业科技有限公司为内蒙古源浩羊绒制品有限公</w:t>
      </w:r>
      <w:r>
        <w:rPr>
          <w:rFonts w:ascii="SimSun" w:hAnsi="SimSun" w:eastAsia="SimSun" w:cs="SimSun"/>
          <w:sz w:val="20"/>
          <w:szCs w:val="20"/>
          <w:spacing w:val="8"/>
        </w:rPr>
        <w:t>司的子公司</w:t>
      </w:r>
    </w:p>
    <w:p>
      <w:pPr>
        <w:pStyle w:val="BodyText"/>
        <w:spacing w:line="383" w:lineRule="auto"/>
        <w:rPr/>
      </w:pPr>
      <w:r/>
    </w:p>
    <w:p>
      <w:pPr>
        <w:ind w:left="19"/>
        <w:spacing w:before="91" w:line="221" w:lineRule="auto"/>
        <w:rPr>
          <w:rFonts w:ascii="SimSun" w:hAnsi="SimSun" w:eastAsia="SimSun" w:cs="SimSun"/>
          <w:sz w:val="28"/>
          <w:szCs w:val="28"/>
        </w:rPr>
      </w:pPr>
      <w:r>
        <w:rPr>
          <w:rFonts w:ascii="SimSun" w:hAnsi="SimSun" w:eastAsia="SimSun" w:cs="SimSun"/>
          <w:sz w:val="28"/>
          <w:szCs w:val="28"/>
          <w:b/>
          <w:bCs/>
          <w:spacing w:val="-4"/>
        </w:rPr>
        <w:t>（</w:t>
      </w:r>
      <w:r>
        <w:rPr>
          <w:rFonts w:ascii="Times New Roman" w:hAnsi="Times New Roman" w:eastAsia="Times New Roman" w:cs="Times New Roman"/>
          <w:sz w:val="28"/>
          <w:szCs w:val="28"/>
          <w:b/>
          <w:bCs/>
          <w:spacing w:val="-4"/>
        </w:rPr>
        <w:t>2</w:t>
      </w:r>
      <w:r>
        <w:rPr>
          <w:rFonts w:ascii="SimSun" w:hAnsi="SimSun" w:eastAsia="SimSun" w:cs="SimSun"/>
          <w:sz w:val="28"/>
          <w:szCs w:val="28"/>
          <w:b/>
          <w:bCs/>
          <w:spacing w:val="-4"/>
        </w:rPr>
        <w:t>）土地租赁合同</w:t>
      </w:r>
    </w:p>
    <w:p>
      <w:pPr>
        <w:spacing w:line="221" w:lineRule="auto"/>
        <w:sectPr>
          <w:footerReference w:type="default" r:id="rId404"/>
          <w:pgSz w:w="11907" w:h="16840"/>
          <w:pgMar w:top="1567" w:right="1700" w:bottom="1921" w:left="1701" w:header="1221" w:footer="1247" w:gutter="0"/>
        </w:sectPr>
        <w:rPr>
          <w:rFonts w:ascii="SimSun" w:hAnsi="SimSun" w:eastAsia="SimSun" w:cs="SimSun"/>
          <w:sz w:val="28"/>
          <w:szCs w:val="28"/>
        </w:rPr>
      </w:pPr>
    </w:p>
    <w:p>
      <w:pPr>
        <w:ind w:left="27"/>
        <w:spacing w:before="193" w:line="222" w:lineRule="auto"/>
        <w:outlineLvl w:val="0"/>
        <w:rPr>
          <w:rFonts w:ascii="SimHei" w:hAnsi="SimHei" w:eastAsia="SimHei" w:cs="SimHei"/>
          <w:sz w:val="28"/>
          <w:szCs w:val="28"/>
        </w:rPr>
      </w:pPr>
      <w:r>
        <w:pict>
          <v:shape id="_x0000_s1400" style="position:absolute;margin-left:85.05pt;margin-top:79.11pt;mso-position-vertical-relative:page;mso-position-horizontal-relative:page;width:425.25pt;height:0.75pt;z-index:252463104;" o:allowincell="f" fillcolor="#000000" filled="true" stroked="false" coordsize="8505,15" coordorigin="0,0" path="m,l8505,0l8505,14l0,14l0,0xe"/>
        </w:pict>
      </w:r>
      <w:bookmarkStart w:name="bookmark212" w:id="251"/>
      <w:bookmarkEnd w:id="251"/>
      <w:r>
        <w:rPr>
          <w:rFonts w:ascii="SimHei" w:hAnsi="SimHei" w:eastAsia="SimHei" w:cs="SimHei"/>
          <w:sz w:val="28"/>
          <w:szCs w:val="28"/>
          <w:spacing w:val="-9"/>
        </w:rPr>
        <w:t>附件</w:t>
      </w:r>
      <w:r>
        <w:rPr>
          <w:rFonts w:ascii="SimHei" w:hAnsi="SimHei" w:eastAsia="SimHei" w:cs="SimHei"/>
          <w:sz w:val="28"/>
          <w:szCs w:val="28"/>
          <w:spacing w:val="-60"/>
        </w:rPr>
        <w:t xml:space="preserve"> </w:t>
      </w:r>
      <w:r>
        <w:rPr>
          <w:rFonts w:ascii="Times New Roman" w:hAnsi="Times New Roman" w:eastAsia="Times New Roman" w:cs="Times New Roman"/>
          <w:sz w:val="28"/>
          <w:szCs w:val="28"/>
          <w:spacing w:val="-9"/>
        </w:rPr>
        <w:t>5</w:t>
      </w:r>
      <w:r>
        <w:rPr>
          <w:rFonts w:ascii="Times New Roman" w:hAnsi="Times New Roman" w:eastAsia="Times New Roman" w:cs="Times New Roman"/>
          <w:sz w:val="28"/>
          <w:szCs w:val="28"/>
          <w:spacing w:val="-17"/>
        </w:rPr>
        <w:t xml:space="preserve"> </w:t>
      </w:r>
      <w:r>
        <w:rPr>
          <w:rFonts w:ascii="SimHei" w:hAnsi="SimHei" w:eastAsia="SimHei" w:cs="SimHei"/>
          <w:sz w:val="28"/>
          <w:szCs w:val="28"/>
          <w:spacing w:val="-9"/>
        </w:rPr>
        <w:t>：现状监测报告</w:t>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ind w:left="7"/>
        <w:spacing w:before="62" w:line="227" w:lineRule="auto"/>
        <w:rPr>
          <w:rFonts w:ascii="SimSun" w:hAnsi="SimSun" w:eastAsia="SimSun" w:cs="SimSun"/>
          <w:sz w:val="19"/>
          <w:szCs w:val="19"/>
        </w:rPr>
      </w:pPr>
      <w:r>
        <w:pict>
          <v:shape id="_x0000_s1402" style="position:absolute;margin-left:159.33pt;margin-top:2.11366pt;mso-position-vertical-relative:text;mso-position-horizontal-relative:text;width:61pt;height:13.75pt;z-index:252462080;" filled="false" stroked="false" type="#_x0000_t202">
            <v:fill on="false"/>
            <v:stroke on="false"/>
            <v:path/>
            <v:imagedata o:title=""/>
            <o:lock v:ext="edit" aspectratio="false"/>
            <v:textbox inset="0mm,0mm,0mm,0mm">
              <w:txbxContent>
                <w:p>
                  <w:pPr>
                    <w:ind w:left="20"/>
                    <w:spacing w:before="20" w:line="228" w:lineRule="auto"/>
                    <w:rPr>
                      <w:rFonts w:ascii="Times New Roman" w:hAnsi="Times New Roman" w:eastAsia="Times New Roman" w:cs="Times New Roman"/>
                      <w:sz w:val="18"/>
                      <w:szCs w:val="18"/>
                    </w:rPr>
                  </w:pPr>
                  <w:r>
                    <w:rPr>
                      <w:rFonts w:ascii="SimSun" w:hAnsi="SimSun" w:eastAsia="SimSun" w:cs="SimSun"/>
                      <w:sz w:val="19"/>
                      <w:szCs w:val="19"/>
                      <w:spacing w:val="2"/>
                    </w:rPr>
                    <w:t>任公司</w:t>
                  </w:r>
                  <w:r>
                    <w:rPr>
                      <w:rFonts w:ascii="SimSun" w:hAnsi="SimSun" w:eastAsia="SimSun" w:cs="SimSun"/>
                      <w:sz w:val="19"/>
                      <w:szCs w:val="19"/>
                      <w:spacing w:val="14"/>
                    </w:rPr>
                    <w:t xml:space="preserve">   </w:t>
                  </w:r>
                  <w:r>
                    <w:rPr>
                      <w:rFonts w:ascii="Times New Roman" w:hAnsi="Times New Roman" w:eastAsia="Times New Roman" w:cs="Times New Roman"/>
                      <w:sz w:val="18"/>
                      <w:szCs w:val="18"/>
                      <w:spacing w:val="2"/>
                      <w:position w:val="2"/>
                    </w:rPr>
                    <w:t>319</w:t>
                  </w:r>
                </w:p>
              </w:txbxContent>
            </v:textbox>
          </v:shape>
        </w:pict>
      </w:r>
      <w:r>
        <w:rPr>
          <w:rFonts w:ascii="SimSun" w:hAnsi="SimSun" w:eastAsia="SimSun" w:cs="SimSun"/>
          <w:sz w:val="19"/>
          <w:szCs w:val="19"/>
          <w:spacing w:val="9"/>
        </w:rPr>
        <w:t>锡林郭勒盟中安环境技术咨询有限责</w:t>
      </w:r>
    </w:p>
    <w:p>
      <w:pPr>
        <w:spacing w:line="227" w:lineRule="auto"/>
        <w:sectPr>
          <w:footerReference w:type="default" r:id="rId3"/>
          <w:pgSz w:w="11907" w:h="16840"/>
          <w:pgMar w:top="1567" w:right="1700" w:bottom="400" w:left="1701" w:header="1221" w:footer="0" w:gutter="0"/>
        </w:sectPr>
        <w:rPr>
          <w:rFonts w:ascii="SimSun" w:hAnsi="SimSun" w:eastAsia="SimSun" w:cs="SimSun"/>
          <w:sz w:val="19"/>
          <w:szCs w:val="19"/>
        </w:rPr>
      </w:pPr>
    </w:p>
    <w:p>
      <w:pPr>
        <w:ind w:left="27"/>
        <w:spacing w:before="174" w:line="223" w:lineRule="auto"/>
        <w:outlineLvl w:val="0"/>
        <w:rPr>
          <w:rFonts w:ascii="SimHei" w:hAnsi="SimHei" w:eastAsia="SimHei" w:cs="SimHei"/>
          <w:sz w:val="28"/>
          <w:szCs w:val="28"/>
        </w:rPr>
      </w:pPr>
      <w:r>
        <w:pict>
          <v:shape id="_x0000_s1404" style="position:absolute;margin-left:85.05pt;margin-top:78.87pt;mso-position-vertical-relative:page;mso-position-horizontal-relative:page;width:425.25pt;height:0.75pt;z-index:252465152;" o:allowincell="f" fillcolor="#000000" filled="true" stroked="false" coordsize="8505,15" coordorigin="0,0" path="m,l8505,0l8505,14l0,14l0,0xe"/>
        </w:pict>
      </w:r>
      <w:bookmarkStart w:name="bookmark213" w:id="252"/>
      <w:bookmarkEnd w:id="252"/>
      <w:r>
        <w:rPr>
          <w:rFonts w:ascii="SimHei" w:hAnsi="SimHei" w:eastAsia="SimHei" w:cs="SimHei"/>
          <w:sz w:val="28"/>
          <w:szCs w:val="28"/>
          <w:spacing w:val="-4"/>
        </w:rPr>
        <w:t>附件</w:t>
      </w:r>
      <w:r>
        <w:rPr>
          <w:rFonts w:ascii="SimHei" w:hAnsi="SimHei" w:eastAsia="SimHei" w:cs="SimHei"/>
          <w:sz w:val="28"/>
          <w:szCs w:val="28"/>
          <w:spacing w:val="-57"/>
        </w:rPr>
        <w:t xml:space="preserve"> </w:t>
      </w:r>
      <w:r>
        <w:rPr>
          <w:rFonts w:ascii="Times New Roman" w:hAnsi="Times New Roman" w:eastAsia="Times New Roman" w:cs="Times New Roman"/>
          <w:sz w:val="28"/>
          <w:szCs w:val="28"/>
          <w:spacing w:val="-4"/>
        </w:rPr>
        <w:t>6</w:t>
      </w:r>
      <w:r>
        <w:rPr>
          <w:rFonts w:ascii="SimHei" w:hAnsi="SimHei" w:eastAsia="SimHei" w:cs="SimHei"/>
          <w:sz w:val="28"/>
          <w:szCs w:val="28"/>
          <w:spacing w:val="-4"/>
        </w:rPr>
        <w:t>：沼液检测报告</w:t>
      </w:r>
    </w:p>
    <w:p>
      <w:pPr>
        <w:ind w:left="21"/>
        <w:spacing w:before="18"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）洗毛废水采样照片</w:t>
      </w:r>
    </w:p>
    <w:p>
      <w:pPr>
        <w:pStyle w:val="BodyText"/>
        <w:spacing w:line="249" w:lineRule="auto"/>
        <w:rPr/>
      </w:pPr>
      <w:r/>
    </w:p>
    <w:p>
      <w:pPr>
        <w:pStyle w:val="BodyText"/>
        <w:spacing w:line="249" w:lineRule="auto"/>
        <w:rPr/>
      </w:pPr>
      <w:r/>
    </w:p>
    <w:p>
      <w:pPr>
        <w:ind w:left="21"/>
        <w:spacing w:before="78"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）洗涤剂残留检测</w:t>
      </w:r>
    </w:p>
    <w:p>
      <w:pPr>
        <w:pStyle w:val="BodyText"/>
        <w:spacing w:line="257" w:lineRule="auto"/>
        <w:rPr/>
      </w:pPr>
      <w:r/>
    </w:p>
    <w:p>
      <w:pPr>
        <w:ind w:left="21"/>
        <w:spacing w:before="78"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）按照《沼肥》（</w:t>
      </w:r>
      <w:r>
        <w:rPr>
          <w:rFonts w:ascii="Times New Roman" w:hAnsi="Times New Roman" w:eastAsia="Times New Roman" w:cs="Times New Roman"/>
          <w:sz w:val="24"/>
          <w:szCs w:val="24"/>
          <w:spacing w:val="-1"/>
        </w:rPr>
        <w:t>NY/T2596-2022</w:t>
      </w:r>
      <w:r>
        <w:rPr>
          <w:rFonts w:ascii="SimSun" w:hAnsi="SimSun" w:eastAsia="SimSun" w:cs="SimSun"/>
          <w:sz w:val="24"/>
          <w:szCs w:val="24"/>
          <w:spacing w:val="-1"/>
        </w:rPr>
        <w:t>）检测</w:t>
      </w:r>
    </w:p>
    <w:p>
      <w:pPr>
        <w:pStyle w:val="BodyText"/>
        <w:spacing w:line="283" w:lineRule="auto"/>
        <w:rPr/>
      </w:pPr>
      <w:r/>
    </w:p>
    <w:p>
      <w:pPr>
        <w:pStyle w:val="BodyText"/>
        <w:spacing w:line="283" w:lineRule="auto"/>
        <w:rPr/>
      </w:pPr>
      <w:r/>
    </w:p>
    <w:p>
      <w:pPr>
        <w:pStyle w:val="BodyText"/>
        <w:spacing w:line="283" w:lineRule="auto"/>
        <w:rPr/>
      </w:pPr>
      <w:r/>
    </w:p>
    <w:p>
      <w:pPr>
        <w:pStyle w:val="BodyText"/>
        <w:spacing w:line="284" w:lineRule="auto"/>
        <w:rPr/>
      </w:pPr>
      <w:r/>
    </w:p>
    <w:p>
      <w:pPr>
        <w:ind w:left="21"/>
        <w:spacing w:before="78"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）按照《农用沼液》（</w:t>
      </w:r>
      <w:r>
        <w:rPr>
          <w:rFonts w:ascii="Times New Roman" w:hAnsi="Times New Roman" w:eastAsia="Times New Roman" w:cs="Times New Roman"/>
          <w:sz w:val="24"/>
          <w:szCs w:val="24"/>
          <w:spacing w:val="-1"/>
        </w:rPr>
        <w:t>GB/T40750-2021</w:t>
      </w:r>
      <w:r>
        <w:rPr>
          <w:rFonts w:ascii="SimSun" w:hAnsi="SimSun" w:eastAsia="SimSun" w:cs="SimSun"/>
          <w:sz w:val="24"/>
          <w:szCs w:val="24"/>
          <w:spacing w:val="-1"/>
        </w:rPr>
        <w:t>）检测</w:t>
      </w:r>
    </w:p>
    <w:sectPr>
      <w:footerReference w:type="default" r:id="rId405"/>
      <w:pgSz w:w="11907" w:h="16840"/>
      <w:pgMar w:top="1567" w:right="1700" w:bottom="1921" w:left="1701" w:header="1221" w:footer="1247"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Times New Roman">
    <w:panose1 w:val="02020603050405020304"/>
    <w:charset w:val="00"/>
    <w:family w:val="auto"/>
    <w:pitch w:val="variable"/>
    <w:sig w:usb0="E0002EFF" w:usb1="C000785B" w:usb2="00000009" w:usb3="00000000" w:csb0="400001FF" w:csb1="FFFF0000"/>
  </w:font>
  <w:font w:name="MS PGothic">
    <w:panose1 w:val="020B0600070205080204"/>
    <w:charset w:val="86"/>
    <w:family w:val="auto"/>
    <w:pitch w:val="variable"/>
    <w:sig w:usb0="E00002FF" w:usb1="6AC7FDFB" w:usb2="00000012" w:usb3="00000000" w:csb0="4002009F" w:csb1="DFD70000"/>
  </w:font>
  <w:font w:name="MS UI Gothic">
    <w:panose1 w:val="020B0600070205080204"/>
    <w:charset w:val="86"/>
    <w:family w:val="auto"/>
    <w:pitch w:val="variable"/>
    <w:sig w:usb0="E00002FF" w:usb1="6AC7FDFB" w:usb2="00000012" w:usb3="00000000" w:csb0="4002009F" w:csb1="DFD70000"/>
  </w:font>
  <w:font w:name="NSimSun">
    <w:panose1 w:val="02010609030101010101"/>
    <w:charset w:val="86"/>
    <w:family w:val="auto"/>
    <w:pitch w:val="default"/>
    <w:sig w:usb0="00000003" w:usb1="288F0000" w:usb2="00000006" w:usb3="00000000" w:csb0="00040001" w:csb1="00000000"/>
  </w:font>
  <w:font w:name="Microsoft YaHei">
    <w:panose1 w:val="020B0503020204020204"/>
    <w:charset w:val="86"/>
    <w:family w:val="auto"/>
    <w:pitch w:val="variable"/>
    <w:sig w:usb0="80000287" w:usb1="2ACF3C50" w:usb2="00000016" w:usb3="00000000" w:csb0="0004001F" w:csb1="00000000"/>
  </w:font>
  <w:font w:name="MS Gothic">
    <w:panose1 w:val="020B0609070205080204"/>
    <w:charset w:val="86"/>
    <w:family w:val="auto"/>
    <w:pitch w:val="default"/>
    <w:sig w:usb0="E00002FF" w:usb1="6AC7FDFB" w:usb2="08000012" w:usb3="00000000" w:csb0="4002009F" w:csb1="DFD70000"/>
  </w:font>
  <w:font w:name="Cambria Math">
    <w:panose1 w:val="02040503050406030204"/>
    <w:charset w:val="00"/>
    <w:family w:val="auto"/>
    <w:pitch w:val="variable"/>
    <w:sig w:usb0="E00002FF" w:usb1="420024FF" w:usb2="00000000" w:usb3="00000000" w:csb0="2000019F" w:csb1="0000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3"/>
      <w:spacing w:line="230" w:lineRule="auto"/>
      <w:rPr>
        <w:rFonts w:ascii="SimSun" w:hAnsi="SimSun" w:eastAsia="SimSun" w:cs="SimSun"/>
        <w:sz w:val="18"/>
        <w:szCs w:val="18"/>
      </w:rPr>
    </w:pPr>
    <w:r>
      <w:rPr>
        <w:rFonts w:ascii="SimSun" w:hAnsi="SimSun" w:eastAsia="SimSun" w:cs="SimSun"/>
        <w:sz w:val="18"/>
        <w:szCs w:val="18"/>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94"/>
      <w:spacing w:line="217" w:lineRule="auto"/>
      <w:rPr>
        <w:rFonts w:ascii="SimSun" w:hAnsi="SimSun" w:eastAsia="SimSun" w:cs="SimSun"/>
        <w:sz w:val="19"/>
        <w:szCs w:val="19"/>
      </w:rPr>
    </w:pPr>
    <w:r>
      <w:rPr>
        <w:rFonts w:ascii="Times New Roman" w:hAnsi="Times New Roman" w:eastAsia="Times New Roman" w:cs="Times New Roman"/>
        <w:sz w:val="18"/>
        <w:szCs w:val="18"/>
        <w:spacing w:val="4"/>
        <w:position w:val="2"/>
      </w:rPr>
      <w:t>16                                                   </w:t>
    </w:r>
    <w:r>
      <w:rPr>
        <w:rFonts w:ascii="Times New Roman" w:hAnsi="Times New Roman" w:eastAsia="Times New Roman" w:cs="Times New Roman"/>
        <w:sz w:val="18"/>
        <w:szCs w:val="18"/>
        <w:spacing w:val="3"/>
        <w:position w:val="2"/>
      </w:rPr>
      <w:t xml:space="preserve">         </w:t>
    </w:r>
    <w:r>
      <w:rPr>
        <w:rFonts w:ascii="SimSun" w:hAnsi="SimSun" w:eastAsia="SimSun" w:cs="SimSun"/>
        <w:sz w:val="19"/>
        <w:szCs w:val="19"/>
        <w:spacing w:val="3"/>
      </w:rPr>
      <w:t>锡林郭勒盟中安环境技术咨询有限责任公司</w:t>
    </w:r>
  </w:p>
</w:ftr>
</file>

<file path=word/footer10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248</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0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5"/>
      <w:spacing w:after="206" w:line="239" w:lineRule="auto"/>
      <w:rPr>
        <w:rFonts w:ascii="SimSun" w:hAnsi="SimSun" w:eastAsia="SimSun" w:cs="SimSun"/>
        <w:sz w:val="18"/>
        <w:szCs w:val="18"/>
      </w:rPr>
    </w:pPr>
    <w:r>
      <w:rPr>
        <w:rFonts w:ascii="SimSun" w:hAnsi="SimSun" w:eastAsia="SimSun" w:cs="SimSun"/>
        <w:sz w:val="18"/>
        <w:szCs w:val="18"/>
        <w:spacing w:val="-3"/>
      </w:rPr>
      <w:t>250</w:t>
    </w:r>
  </w:p>
  <w:p>
    <w:pPr>
      <w:ind w:left="472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0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252</w:t>
    </w:r>
  </w:p>
  <w:p>
    <w:pPr>
      <w:ind w:right="2"/>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0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254</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0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256</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0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0"/>
      <w:spacing w:after="206" w:line="239" w:lineRule="auto"/>
      <w:rPr>
        <w:rFonts w:ascii="SimSun" w:hAnsi="SimSun" w:eastAsia="SimSun" w:cs="SimSun"/>
        <w:sz w:val="18"/>
        <w:szCs w:val="18"/>
      </w:rPr>
    </w:pPr>
    <w:r>
      <w:rPr>
        <w:rFonts w:ascii="SimSun" w:hAnsi="SimSun" w:eastAsia="SimSun" w:cs="SimSun"/>
        <w:sz w:val="18"/>
        <w:szCs w:val="18"/>
        <w:spacing w:val="-3"/>
      </w:rPr>
      <w:t>258</w:t>
    </w:r>
  </w:p>
  <w:p>
    <w:pPr>
      <w:ind w:left="4716"/>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0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7"/>
      <w:spacing w:after="206" w:line="239" w:lineRule="auto"/>
      <w:rPr>
        <w:rFonts w:ascii="SimSun" w:hAnsi="SimSun" w:eastAsia="SimSun" w:cs="SimSun"/>
        <w:sz w:val="18"/>
        <w:szCs w:val="18"/>
      </w:rPr>
    </w:pPr>
    <w:r>
      <w:rPr>
        <w:rFonts w:ascii="SimSun" w:hAnsi="SimSun" w:eastAsia="SimSun" w:cs="SimSun"/>
        <w:sz w:val="18"/>
        <w:szCs w:val="18"/>
        <w:spacing w:val="-3"/>
      </w:rPr>
      <w:t>260</w:t>
    </w:r>
  </w:p>
  <w:p>
    <w:pPr>
      <w:ind w:right="23"/>
      <w:spacing w:line="215"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0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67"/>
      <w:spacing w:after="206" w:line="239" w:lineRule="auto"/>
      <w:rPr>
        <w:rFonts w:ascii="SimSun" w:hAnsi="SimSun" w:eastAsia="SimSun" w:cs="SimSun"/>
        <w:sz w:val="18"/>
        <w:szCs w:val="18"/>
      </w:rPr>
    </w:pPr>
    <w:r>
      <w:rPr>
        <w:rFonts w:ascii="SimSun" w:hAnsi="SimSun" w:eastAsia="SimSun" w:cs="SimSun"/>
        <w:sz w:val="18"/>
        <w:szCs w:val="18"/>
        <w:spacing w:val="-3"/>
      </w:rPr>
      <w:t>262</w:t>
    </w:r>
  </w:p>
  <w:p>
    <w:pPr>
      <w:ind w:left="4753"/>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0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264</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0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1"/>
      <w:spacing w:after="206" w:line="239" w:lineRule="auto"/>
      <w:rPr>
        <w:rFonts w:ascii="SimSun" w:hAnsi="SimSun" w:eastAsia="SimSun" w:cs="SimSun"/>
        <w:sz w:val="18"/>
        <w:szCs w:val="18"/>
      </w:rPr>
    </w:pPr>
    <w:r>
      <w:rPr>
        <w:rFonts w:ascii="SimSun" w:hAnsi="SimSun" w:eastAsia="SimSun" w:cs="SimSun"/>
        <w:sz w:val="18"/>
        <w:szCs w:val="18"/>
        <w:spacing w:val="-3"/>
      </w:rPr>
      <w:t>266</w:t>
    </w:r>
  </w:p>
  <w:p>
    <w:pPr>
      <w:ind w:left="4727"/>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
      <w:spacing w:line="21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rPr>
      <w:t xml:space="preserve">                              </w:t>
    </w:r>
    <w:r>
      <w:rPr>
        <w:rFonts w:ascii="Times New Roman" w:hAnsi="Times New Roman" w:eastAsia="Times New Roman" w:cs="Times New Roman"/>
        <w:sz w:val="18"/>
        <w:szCs w:val="18"/>
        <w:spacing w:val="7"/>
        <w:position w:val="2"/>
      </w:rPr>
      <w:t>17</w:t>
    </w:r>
  </w:p>
</w:ftr>
</file>

<file path=word/footer1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268</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8"/>
      <w:spacing w:after="206" w:line="239" w:lineRule="auto"/>
      <w:rPr>
        <w:rFonts w:ascii="SimSun" w:hAnsi="SimSun" w:eastAsia="SimSun" w:cs="SimSun"/>
        <w:sz w:val="18"/>
        <w:szCs w:val="18"/>
      </w:rPr>
    </w:pPr>
    <w:r>
      <w:rPr>
        <w:rFonts w:ascii="SimSun" w:hAnsi="SimSun" w:eastAsia="SimSun" w:cs="SimSun"/>
        <w:sz w:val="18"/>
        <w:szCs w:val="18"/>
        <w:spacing w:val="-3"/>
      </w:rPr>
      <w:t>270</w:t>
    </w:r>
  </w:p>
  <w:p>
    <w:pPr>
      <w:ind w:left="4713"/>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99"/>
      <w:spacing w:after="206" w:line="239" w:lineRule="auto"/>
      <w:rPr>
        <w:rFonts w:ascii="SimSun" w:hAnsi="SimSun" w:eastAsia="SimSun" w:cs="SimSun"/>
        <w:sz w:val="18"/>
        <w:szCs w:val="18"/>
      </w:rPr>
    </w:pPr>
    <w:r>
      <w:rPr>
        <w:rFonts w:ascii="SimSun" w:hAnsi="SimSun" w:eastAsia="SimSun" w:cs="SimSun"/>
        <w:sz w:val="18"/>
        <w:szCs w:val="18"/>
        <w:spacing w:val="-3"/>
      </w:rPr>
      <w:t>272</w:t>
    </w:r>
  </w:p>
  <w:p>
    <w:pPr>
      <w:ind w:left="4785"/>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233"/>
      <w:spacing w:after="206" w:line="239" w:lineRule="auto"/>
      <w:rPr>
        <w:rFonts w:ascii="SimSun" w:hAnsi="SimSun" w:eastAsia="SimSun" w:cs="SimSun"/>
        <w:sz w:val="18"/>
        <w:szCs w:val="18"/>
      </w:rPr>
    </w:pPr>
    <w:r>
      <w:rPr>
        <w:rFonts w:ascii="SimSun" w:hAnsi="SimSun" w:eastAsia="SimSun" w:cs="SimSun"/>
        <w:sz w:val="18"/>
        <w:szCs w:val="18"/>
        <w:spacing w:val="-3"/>
      </w:rPr>
      <w:t>274</w:t>
    </w:r>
  </w:p>
  <w:p>
    <w:pPr>
      <w:ind w:left="4819"/>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276</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278</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280</w:t>
    </w:r>
  </w:p>
  <w:p>
    <w:pPr>
      <w:ind w:right="3"/>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282</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284</w:t>
    </w:r>
  </w:p>
  <w:p>
    <w:pPr>
      <w:ind w:right="2"/>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286</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94"/>
      <w:spacing w:line="217" w:lineRule="auto"/>
      <w:rPr>
        <w:rFonts w:ascii="SimSun" w:hAnsi="SimSun" w:eastAsia="SimSun" w:cs="SimSun"/>
        <w:sz w:val="19"/>
        <w:szCs w:val="19"/>
      </w:rPr>
    </w:pPr>
    <w:r>
      <w:rPr>
        <w:rFonts w:ascii="Times New Roman" w:hAnsi="Times New Roman" w:eastAsia="Times New Roman" w:cs="Times New Roman"/>
        <w:sz w:val="18"/>
        <w:szCs w:val="18"/>
        <w:spacing w:val="4"/>
        <w:position w:val="2"/>
      </w:rPr>
      <w:t>18                                                   </w:t>
    </w:r>
    <w:r>
      <w:rPr>
        <w:rFonts w:ascii="Times New Roman" w:hAnsi="Times New Roman" w:eastAsia="Times New Roman" w:cs="Times New Roman"/>
        <w:sz w:val="18"/>
        <w:szCs w:val="18"/>
        <w:spacing w:val="3"/>
        <w:position w:val="2"/>
      </w:rPr>
      <w:t xml:space="preserve">         </w:t>
    </w:r>
    <w:r>
      <w:rPr>
        <w:rFonts w:ascii="SimSun" w:hAnsi="SimSun" w:eastAsia="SimSun" w:cs="SimSun"/>
        <w:sz w:val="19"/>
        <w:szCs w:val="19"/>
        <w:spacing w:val="3"/>
      </w:rPr>
      <w:t>锡林郭勒盟中安环境技术咨询有限责任公司</w:t>
    </w:r>
  </w:p>
</w:ftr>
</file>

<file path=word/footer1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288</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70"/>
      <w:spacing w:after="206" w:line="239" w:lineRule="auto"/>
      <w:rPr>
        <w:rFonts w:ascii="SimSun" w:hAnsi="SimSun" w:eastAsia="SimSun" w:cs="SimSun"/>
        <w:sz w:val="18"/>
        <w:szCs w:val="18"/>
      </w:rPr>
    </w:pPr>
    <w:r>
      <w:rPr>
        <w:rFonts w:ascii="SimSun" w:hAnsi="SimSun" w:eastAsia="SimSun" w:cs="SimSun"/>
        <w:sz w:val="18"/>
        <w:szCs w:val="18"/>
        <w:spacing w:val="-3"/>
      </w:rPr>
      <w:t>290</w:t>
    </w:r>
  </w:p>
  <w:p>
    <w:pPr>
      <w:ind w:left="4756"/>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292</w:t>
    </w:r>
  </w:p>
  <w:p>
    <w:pPr>
      <w:ind w:right="2"/>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294</w:t>
    </w:r>
  </w:p>
  <w:p>
    <w:pPr>
      <w:ind w:right="2"/>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296</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298</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53"/>
      <w:spacing w:after="206" w:line="239" w:lineRule="auto"/>
      <w:rPr>
        <w:rFonts w:ascii="SimSun" w:hAnsi="SimSun" w:eastAsia="SimSun" w:cs="SimSun"/>
        <w:sz w:val="18"/>
        <w:szCs w:val="18"/>
      </w:rPr>
    </w:pPr>
    <w:r>
      <w:rPr>
        <w:rFonts w:ascii="SimSun" w:hAnsi="SimSun" w:eastAsia="SimSun" w:cs="SimSun"/>
        <w:sz w:val="18"/>
        <w:szCs w:val="18"/>
        <w:spacing w:val="-4"/>
      </w:rPr>
      <w:t>300</w:t>
    </w:r>
  </w:p>
  <w:p>
    <w:pPr>
      <w:ind w:left="4737"/>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211"/>
      <w:spacing w:after="206" w:line="239" w:lineRule="auto"/>
      <w:rPr>
        <w:rFonts w:ascii="SimSun" w:hAnsi="SimSun" w:eastAsia="SimSun" w:cs="SimSun"/>
        <w:sz w:val="18"/>
        <w:szCs w:val="18"/>
      </w:rPr>
    </w:pPr>
    <w:r>
      <w:rPr>
        <w:rFonts w:ascii="SimSun" w:hAnsi="SimSun" w:eastAsia="SimSun" w:cs="SimSun"/>
        <w:sz w:val="18"/>
        <w:szCs w:val="18"/>
        <w:spacing w:val="-4"/>
      </w:rPr>
      <w:t>302</w:t>
    </w:r>
  </w:p>
  <w:p>
    <w:pPr>
      <w:ind w:left="4795"/>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7"/>
      <w:spacing w:after="206" w:line="239" w:lineRule="auto"/>
      <w:rPr>
        <w:rFonts w:ascii="SimSun" w:hAnsi="SimSun" w:eastAsia="SimSun" w:cs="SimSun"/>
        <w:sz w:val="18"/>
        <w:szCs w:val="18"/>
      </w:rPr>
    </w:pPr>
    <w:r>
      <w:rPr>
        <w:rFonts w:ascii="SimSun" w:hAnsi="SimSun" w:eastAsia="SimSun" w:cs="SimSun"/>
        <w:sz w:val="18"/>
        <w:szCs w:val="18"/>
        <w:spacing w:val="-4"/>
      </w:rPr>
      <w:t>304</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7"/>
      <w:spacing w:after="206" w:line="239" w:lineRule="auto"/>
      <w:rPr>
        <w:rFonts w:ascii="SimSun" w:hAnsi="SimSun" w:eastAsia="SimSun" w:cs="SimSun"/>
        <w:sz w:val="18"/>
        <w:szCs w:val="18"/>
      </w:rPr>
    </w:pPr>
    <w:r>
      <w:rPr>
        <w:rFonts w:ascii="SimSun" w:hAnsi="SimSun" w:eastAsia="SimSun" w:cs="SimSun"/>
        <w:sz w:val="18"/>
        <w:szCs w:val="18"/>
        <w:spacing w:val="-4"/>
      </w:rPr>
      <w:t>306</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
      <w:spacing w:line="21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rPr>
      <w:t xml:space="preserve">                              </w:t>
    </w:r>
    <w:r>
      <w:rPr>
        <w:rFonts w:ascii="Times New Roman" w:hAnsi="Times New Roman" w:eastAsia="Times New Roman" w:cs="Times New Roman"/>
        <w:sz w:val="18"/>
        <w:szCs w:val="18"/>
        <w:spacing w:val="7"/>
        <w:position w:val="2"/>
      </w:rPr>
      <w:t>19</w:t>
    </w:r>
  </w:p>
</w:ftr>
</file>

<file path=word/footer1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7"/>
      <w:spacing w:after="206" w:line="239" w:lineRule="auto"/>
      <w:rPr>
        <w:rFonts w:ascii="SimSun" w:hAnsi="SimSun" w:eastAsia="SimSun" w:cs="SimSun"/>
        <w:sz w:val="18"/>
        <w:szCs w:val="18"/>
      </w:rPr>
    </w:pPr>
    <w:r>
      <w:rPr>
        <w:rFonts w:ascii="SimSun" w:hAnsi="SimSun" w:eastAsia="SimSun" w:cs="SimSun"/>
        <w:sz w:val="18"/>
        <w:szCs w:val="18"/>
        <w:spacing w:val="-4"/>
      </w:rPr>
      <w:t>308</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7"/>
      <w:spacing w:after="206" w:line="239" w:lineRule="auto"/>
      <w:rPr>
        <w:rFonts w:ascii="SimSun" w:hAnsi="SimSun" w:eastAsia="SimSun" w:cs="SimSun"/>
        <w:sz w:val="18"/>
        <w:szCs w:val="18"/>
      </w:rPr>
    </w:pPr>
    <w:r>
      <w:rPr>
        <w:rFonts w:ascii="SimSun" w:hAnsi="SimSun" w:eastAsia="SimSun" w:cs="SimSun"/>
        <w:sz w:val="18"/>
        <w:szCs w:val="18"/>
        <w:spacing w:val="-4"/>
      </w:rPr>
      <w:t>310</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7"/>
      <w:spacing w:after="206" w:line="239" w:lineRule="auto"/>
      <w:rPr>
        <w:rFonts w:ascii="SimSun" w:hAnsi="SimSun" w:eastAsia="SimSun" w:cs="SimSun"/>
        <w:sz w:val="18"/>
        <w:szCs w:val="18"/>
      </w:rPr>
    </w:pPr>
    <w:r>
      <w:rPr>
        <w:rFonts w:ascii="SimSun" w:hAnsi="SimSun" w:eastAsia="SimSun" w:cs="SimSun"/>
        <w:sz w:val="18"/>
        <w:szCs w:val="18"/>
        <w:spacing w:val="-4"/>
      </w:rPr>
      <w:t>316</w:t>
    </w:r>
  </w:p>
  <w:p>
    <w:pPr>
      <w:ind w:right="1"/>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7"/>
      <w:spacing w:after="206" w:line="239" w:lineRule="auto"/>
      <w:rPr>
        <w:rFonts w:ascii="SimSun" w:hAnsi="SimSun" w:eastAsia="SimSun" w:cs="SimSun"/>
        <w:sz w:val="18"/>
        <w:szCs w:val="18"/>
      </w:rPr>
    </w:pPr>
    <w:r>
      <w:rPr>
        <w:rFonts w:ascii="SimSun" w:hAnsi="SimSun" w:eastAsia="SimSun" w:cs="SimSun"/>
        <w:sz w:val="18"/>
        <w:szCs w:val="18"/>
        <w:spacing w:val="-4"/>
      </w:rPr>
      <w:t>318</w:t>
    </w:r>
  </w:p>
  <w:p>
    <w:pPr>
      <w:ind w:right="1"/>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7"/>
      <w:spacing w:after="206" w:line="239" w:lineRule="auto"/>
      <w:rPr>
        <w:rFonts w:ascii="SimSun" w:hAnsi="SimSun" w:eastAsia="SimSun" w:cs="SimSun"/>
        <w:sz w:val="18"/>
        <w:szCs w:val="18"/>
      </w:rPr>
    </w:pPr>
    <w:r>
      <w:rPr>
        <w:rFonts w:ascii="SimSun" w:hAnsi="SimSun" w:eastAsia="SimSun" w:cs="SimSun"/>
        <w:sz w:val="18"/>
        <w:szCs w:val="18"/>
        <w:spacing w:val="-4"/>
      </w:rPr>
      <w:t>320</w:t>
    </w:r>
  </w:p>
  <w:p>
    <w:pPr>
      <w:ind w:right="1"/>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
      <w:spacing w:line="217" w:lineRule="auto"/>
      <w:rPr>
        <w:rFonts w:ascii="Times New Roman" w:hAnsi="Times New Roman" w:eastAsia="Times New Roman" w:cs="Times New Roman"/>
        <w:sz w:val="18"/>
        <w:szCs w:val="18"/>
      </w:rPr>
    </w:pPr>
    <w:r>
      <w:rPr>
        <w:rFonts w:ascii="SimSun" w:hAnsi="SimSun" w:eastAsia="SimSun" w:cs="SimSun"/>
        <w:sz w:val="19"/>
        <w:szCs w:val="19"/>
        <w:spacing w:val="8"/>
      </w:rPr>
      <w:t>锡林郭勒盟中安环境技术咨询有限责任公司</w:t>
    </w:r>
    <w:r>
      <w:rPr>
        <w:rFonts w:ascii="SimSun" w:hAnsi="SimSun" w:eastAsia="SimSun" w:cs="SimSun"/>
        <w:sz w:val="19"/>
        <w:szCs w:val="19"/>
        <w:spacing w:val="30"/>
      </w:rPr>
      <w:t xml:space="preserve">   </w:t>
    </w:r>
    <w:r>
      <w:rPr>
        <w:rFonts w:ascii="Times New Roman" w:hAnsi="Times New Roman" w:eastAsia="Times New Roman" w:cs="Times New Roman"/>
        <w:sz w:val="18"/>
        <w:szCs w:val="18"/>
        <w:spacing w:val="8"/>
        <w:position w:val="2"/>
      </w:rPr>
      <w:t>21</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84"/>
      <w:spacing w:line="215"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 </w:t>
    </w:r>
    <w:r>
      <w:rPr>
        <w:rFonts w:ascii="SimSun" w:hAnsi="SimSun" w:eastAsia="SimSun" w:cs="SimSun"/>
        <w:sz w:val="19"/>
        <w:szCs w:val="19"/>
        <w:spacing w:val="6"/>
      </w:rPr>
      <w:t xml:space="preserve">                                 </w:t>
    </w:r>
    <w:r>
      <w:rPr>
        <w:rFonts w:ascii="Times New Roman" w:hAnsi="Times New Roman" w:eastAsia="Times New Roman" w:cs="Times New Roman"/>
        <w:sz w:val="18"/>
        <w:szCs w:val="18"/>
        <w:spacing w:val="6"/>
        <w:position w:val="2"/>
      </w:rPr>
      <w:t>51</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483"/>
      <w:spacing w:line="215" w:lineRule="auto"/>
      <w:rPr>
        <w:rFonts w:ascii="SimSun" w:hAnsi="SimSun" w:eastAsia="SimSun" w:cs="SimSun"/>
        <w:sz w:val="19"/>
        <w:szCs w:val="19"/>
      </w:rPr>
    </w:pPr>
    <w:r>
      <w:rPr>
        <w:rFonts w:ascii="Times New Roman" w:hAnsi="Times New Roman" w:eastAsia="Times New Roman" w:cs="Times New Roman"/>
        <w:sz w:val="18"/>
        <w:szCs w:val="18"/>
        <w:spacing w:val="4"/>
        <w:position w:val="2"/>
      </w:rPr>
      <w:t>52                                                      </w:t>
    </w:r>
    <w:r>
      <w:rPr>
        <w:rFonts w:ascii="Times New Roman" w:hAnsi="Times New Roman" w:eastAsia="Times New Roman" w:cs="Times New Roman"/>
        <w:sz w:val="18"/>
        <w:szCs w:val="18"/>
        <w:spacing w:val="3"/>
        <w:position w:val="2"/>
      </w:rPr>
      <w:t xml:space="preserve">                  </w:t>
    </w:r>
    <w:r>
      <w:rPr>
        <w:rFonts w:ascii="SimSun" w:hAnsi="SimSun" w:eastAsia="SimSun" w:cs="SimSun"/>
        <w:sz w:val="19"/>
        <w:szCs w:val="19"/>
        <w:spacing w:val="3"/>
      </w:rPr>
      <w:t>锡林郭勒盟中安环境技术咨询有限责任公司</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84"/>
      <w:spacing w:line="215"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 </w:t>
    </w:r>
    <w:r>
      <w:rPr>
        <w:rFonts w:ascii="SimSun" w:hAnsi="SimSun" w:eastAsia="SimSun" w:cs="SimSun"/>
        <w:sz w:val="19"/>
        <w:szCs w:val="19"/>
        <w:spacing w:val="6"/>
      </w:rPr>
      <w:t xml:space="preserve">                                 </w:t>
    </w:r>
    <w:r>
      <w:rPr>
        <w:rFonts w:ascii="Times New Roman" w:hAnsi="Times New Roman" w:eastAsia="Times New Roman" w:cs="Times New Roman"/>
        <w:sz w:val="18"/>
        <w:szCs w:val="18"/>
        <w:spacing w:val="6"/>
        <w:position w:val="2"/>
      </w:rPr>
      <w:t>53</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483"/>
      <w:spacing w:line="215" w:lineRule="auto"/>
      <w:rPr>
        <w:rFonts w:ascii="SimSun" w:hAnsi="SimSun" w:eastAsia="SimSun" w:cs="SimSun"/>
        <w:sz w:val="19"/>
        <w:szCs w:val="19"/>
      </w:rPr>
    </w:pPr>
    <w:r>
      <w:rPr>
        <w:rFonts w:ascii="Times New Roman" w:hAnsi="Times New Roman" w:eastAsia="Times New Roman" w:cs="Times New Roman"/>
        <w:sz w:val="18"/>
        <w:szCs w:val="18"/>
        <w:spacing w:val="4"/>
        <w:position w:val="2"/>
      </w:rPr>
      <w:t>54                                                      </w:t>
    </w:r>
    <w:r>
      <w:rPr>
        <w:rFonts w:ascii="Times New Roman" w:hAnsi="Times New Roman" w:eastAsia="Times New Roman" w:cs="Times New Roman"/>
        <w:sz w:val="18"/>
        <w:szCs w:val="18"/>
        <w:spacing w:val="3"/>
        <w:position w:val="2"/>
      </w:rPr>
      <w:t xml:space="preserve">                  </w:t>
    </w:r>
    <w:r>
      <w:rPr>
        <w:rFonts w:ascii="SimSun" w:hAnsi="SimSun" w:eastAsia="SimSun" w:cs="SimSun"/>
        <w:sz w:val="19"/>
        <w:szCs w:val="19"/>
        <w:spacing w:val="3"/>
      </w:rPr>
      <w:t>锡林郭勒盟中安环境技术咨询有限责任公司</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line="217" w:lineRule="auto"/>
      <w:jc w:val="right"/>
      <w:rPr>
        <w:rFonts w:ascii="SimSun" w:hAnsi="SimSun" w:eastAsia="SimSun" w:cs="SimSun"/>
        <w:sz w:val="19"/>
        <w:szCs w:val="19"/>
      </w:rPr>
    </w:pPr>
    <w:r>
      <w:rPr>
        <w:rFonts w:ascii="Times New Roman" w:hAnsi="Times New Roman" w:eastAsia="Times New Roman" w:cs="Times New Roman"/>
        <w:sz w:val="18"/>
        <w:szCs w:val="18"/>
        <w:spacing w:val="8"/>
        <w:position w:val="2"/>
      </w:rPr>
      <w:t>56</w:t>
    </w:r>
    <w:r>
      <w:rPr>
        <w:rFonts w:ascii="Times New Roman" w:hAnsi="Times New Roman" w:eastAsia="Times New Roman" w:cs="Times New Roman"/>
        <w:sz w:val="18"/>
        <w:szCs w:val="18"/>
        <w:spacing w:val="1"/>
        <w:position w:val="2"/>
      </w:rPr>
      <w:t xml:space="preserve">        </w:t>
    </w:r>
    <w:r>
      <w:rPr>
        <w:rFonts w:ascii="SimSun" w:hAnsi="SimSun" w:eastAsia="SimSun" w:cs="SimSun"/>
        <w:sz w:val="19"/>
        <w:szCs w:val="19"/>
        <w:spacing w:val="8"/>
      </w:rPr>
      <w:t>锡林郭勒盟中安环境技术咨询有限责任公司</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226"/>
      <w:spacing w:line="217" w:lineRule="auto"/>
      <w:rPr>
        <w:rFonts w:ascii="SimSun" w:hAnsi="SimSun" w:eastAsia="SimSun" w:cs="SimSun"/>
        <w:sz w:val="19"/>
        <w:szCs w:val="19"/>
      </w:rPr>
    </w:pPr>
    <w:r>
      <w:rPr>
        <w:rFonts w:ascii="Times New Roman" w:hAnsi="Times New Roman" w:eastAsia="Times New Roman" w:cs="Times New Roman"/>
        <w:sz w:val="18"/>
        <w:szCs w:val="18"/>
        <w:spacing w:val="8"/>
        <w:position w:val="2"/>
      </w:rPr>
      <w:t>58</w:t>
    </w:r>
    <w:r>
      <w:rPr>
        <w:rFonts w:ascii="Times New Roman" w:hAnsi="Times New Roman" w:eastAsia="Times New Roman" w:cs="Times New Roman"/>
        <w:sz w:val="18"/>
        <w:szCs w:val="18"/>
        <w:spacing w:val="1"/>
        <w:position w:val="2"/>
      </w:rPr>
      <w:t xml:space="preserve">        </w:t>
    </w:r>
    <w:r>
      <w:rPr>
        <w:rFonts w:ascii="SimSun" w:hAnsi="SimSun" w:eastAsia="SimSun" w:cs="SimSun"/>
        <w:sz w:val="19"/>
        <w:szCs w:val="19"/>
        <w:spacing w:val="8"/>
      </w:rPr>
      <w:t>锡林郭勒盟中安环境技术咨询有限责任公司</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18"/>
      <w:spacing w:line="21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                            </w:t>
    </w:r>
    <w:r>
      <w:rPr>
        <w:rFonts w:ascii="Times New Roman" w:hAnsi="Times New Roman" w:eastAsia="Times New Roman" w:cs="Times New Roman"/>
        <w:sz w:val="18"/>
        <w:szCs w:val="18"/>
        <w:spacing w:val="7"/>
        <w:position w:val="2"/>
      </w:rPr>
      <w:t>99</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
      <w:spacing w:line="21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101</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5"/>
      <w:spacing w:line="217" w:lineRule="auto"/>
      <w:rPr>
        <w:rFonts w:ascii="Times New Roman" w:hAnsi="Times New Roman" w:eastAsia="Times New Roman" w:cs="Times New Roman"/>
        <w:sz w:val="18"/>
        <w:szCs w:val="18"/>
      </w:rPr>
    </w:pPr>
    <w:r>
      <w:rPr>
        <w:rFonts w:ascii="SimSun" w:hAnsi="SimSun" w:eastAsia="SimSun" w:cs="SimSun"/>
        <w:sz w:val="19"/>
        <w:szCs w:val="19"/>
        <w:spacing w:val="6"/>
      </w:rPr>
      <w:t>锡林郭勒盟中安环境技术咨询有限责任公司                            </w:t>
    </w:r>
    <w:r>
      <w:rPr>
        <w:rFonts w:ascii="Times New Roman" w:hAnsi="Times New Roman" w:eastAsia="Times New Roman" w:cs="Times New Roman"/>
        <w:sz w:val="18"/>
        <w:szCs w:val="18"/>
        <w:spacing w:val="6"/>
        <w:position w:val="2"/>
      </w:rPr>
      <w:t>103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6"/>
      <w:spacing w:line="215"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105</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9"/>
      <w:spacing w:line="217" w:lineRule="auto"/>
      <w:jc w:val="right"/>
      <w:rPr>
        <w:rFonts w:ascii="SimSun" w:hAnsi="SimSun" w:eastAsia="SimSun" w:cs="SimSun"/>
        <w:sz w:val="19"/>
        <w:szCs w:val="19"/>
      </w:rPr>
    </w:pPr>
    <w:r>
      <w:rPr>
        <w:rFonts w:ascii="Times New Roman" w:hAnsi="Times New Roman" w:eastAsia="Times New Roman" w:cs="Times New Roman"/>
        <w:sz w:val="18"/>
        <w:szCs w:val="18"/>
        <w:spacing w:val="4"/>
        <w:position w:val="2"/>
      </w:rPr>
      <w:t>120                                                  </w:t>
    </w:r>
    <w:r>
      <w:rPr>
        <w:rFonts w:ascii="Times New Roman" w:hAnsi="Times New Roman" w:eastAsia="Times New Roman" w:cs="Times New Roman"/>
        <w:sz w:val="18"/>
        <w:szCs w:val="18"/>
        <w:spacing w:val="3"/>
        <w:position w:val="2"/>
      </w:rPr>
      <w:t xml:space="preserve">         </w:t>
    </w:r>
    <w:r>
      <w:rPr>
        <w:rFonts w:ascii="SimSun" w:hAnsi="SimSun" w:eastAsia="SimSun" w:cs="SimSun"/>
        <w:sz w:val="19"/>
        <w:szCs w:val="19"/>
        <w:spacing w:val="3"/>
      </w:rPr>
      <w:t>锡林郭勒盟中安环境技术咨询有限责任公司</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3"/>
      <w:spacing w:line="217" w:lineRule="auto"/>
      <w:rPr>
        <w:rFonts w:ascii="Times New Roman" w:hAnsi="Times New Roman" w:eastAsia="Times New Roman" w:cs="Times New Roman"/>
        <w:sz w:val="18"/>
        <w:szCs w:val="18"/>
      </w:rPr>
    </w:pPr>
    <w:r>
      <w:rPr>
        <w:rFonts w:ascii="SimSun" w:hAnsi="SimSun" w:eastAsia="SimSun" w:cs="SimSun"/>
        <w:sz w:val="19"/>
        <w:szCs w:val="19"/>
        <w:spacing w:val="6"/>
      </w:rPr>
      <w:t>锡林郭勒盟中安环境技术咨询有限责任公司                            </w:t>
    </w:r>
    <w:r>
      <w:rPr>
        <w:rFonts w:ascii="Times New Roman" w:hAnsi="Times New Roman" w:eastAsia="Times New Roman" w:cs="Times New Roman"/>
        <w:sz w:val="18"/>
        <w:szCs w:val="18"/>
        <w:spacing w:val="6"/>
        <w:position w:val="2"/>
      </w:rPr>
      <w:t>129</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6"/>
      <w:spacing w:after="28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132</w:t>
    </w:r>
  </w:p>
  <w:p>
    <w:pPr>
      <w:ind w:left="4720"/>
      <w:spacing w:line="215"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
      <w:spacing w:line="215"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133</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6"/>
      <w:spacing w:after="28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134</w:t>
    </w:r>
  </w:p>
  <w:p>
    <w:pPr>
      <w:ind w:right="8"/>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1"/>
      <w:spacing w:line="211" w:lineRule="auto"/>
      <w:jc w:val="right"/>
      <w:rPr>
        <w:rFonts w:ascii="SimSun" w:hAnsi="SimSun" w:eastAsia="SimSun" w:cs="SimSun"/>
        <w:sz w:val="19"/>
        <w:szCs w:val="19"/>
      </w:rPr>
    </w:pPr>
    <w:r>
      <w:rPr>
        <w:rFonts w:ascii="Times New Roman" w:hAnsi="Times New Roman" w:eastAsia="Times New Roman" w:cs="Times New Roman"/>
        <w:sz w:val="18"/>
        <w:szCs w:val="18"/>
        <w:spacing w:val="8"/>
        <w:position w:val="3"/>
      </w:rPr>
      <w:t>4        </w:t>
    </w:r>
    <w:r>
      <w:rPr>
        <w:rFonts w:ascii="SimSun" w:hAnsi="SimSun" w:eastAsia="SimSun" w:cs="SimSun"/>
        <w:sz w:val="19"/>
        <w:szCs w:val="19"/>
        <w:spacing w:val="8"/>
      </w:rPr>
      <w:t>锡林郭勒盟中安环境技术咨询有限责任公司</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
      <w:spacing w:line="21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135</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62"/>
      <w:spacing w:after="28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136</w:t>
    </w:r>
  </w:p>
  <w:p>
    <w:pPr>
      <w:ind w:right="24"/>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3"/>
      <w:spacing w:line="21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137</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206"/>
      <w:spacing w:after="28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138</w:t>
    </w:r>
  </w:p>
  <w:p>
    <w:pPr>
      <w:ind w:left="4780"/>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2"/>
      <w:spacing w:line="21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139</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7"/>
      <w:spacing w:after="28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140</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
      <w:spacing w:line="21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141</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7"/>
      <w:spacing w:after="28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142</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25"/>
      <w:spacing w:line="21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143</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255"/>
      <w:spacing w:after="28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144</w:t>
    </w:r>
  </w:p>
  <w:p>
    <w:pPr>
      <w:ind w:left="4829"/>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1"/>
      <w:spacing w:line="211" w:lineRule="auto"/>
      <w:jc w:val="right"/>
      <w:rPr>
        <w:rFonts w:ascii="SimSun" w:hAnsi="SimSun" w:eastAsia="SimSun" w:cs="SimSun"/>
        <w:sz w:val="19"/>
        <w:szCs w:val="19"/>
      </w:rPr>
    </w:pPr>
    <w:r>
      <w:rPr>
        <w:rFonts w:ascii="Times New Roman" w:hAnsi="Times New Roman" w:eastAsia="Times New Roman" w:cs="Times New Roman"/>
        <w:sz w:val="18"/>
        <w:szCs w:val="18"/>
        <w:spacing w:val="8"/>
        <w:position w:val="3"/>
      </w:rPr>
      <w:t>6</w:t>
    </w:r>
    <w:r>
      <w:rPr>
        <w:rFonts w:ascii="Times New Roman" w:hAnsi="Times New Roman" w:eastAsia="Times New Roman" w:cs="Times New Roman"/>
        <w:sz w:val="18"/>
        <w:szCs w:val="18"/>
        <w:spacing w:val="2"/>
        <w:position w:val="3"/>
      </w:rPr>
      <w:t xml:space="preserve">         </w:t>
    </w:r>
    <w:r>
      <w:rPr>
        <w:rFonts w:ascii="SimSun" w:hAnsi="SimSun" w:eastAsia="SimSun" w:cs="SimSun"/>
        <w:sz w:val="19"/>
        <w:szCs w:val="19"/>
        <w:spacing w:val="8"/>
      </w:rPr>
      <w:t>锡林郭勒盟中安环境技术咨询有限责任公司</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9"/>
      <w:spacing w:line="21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145</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249"/>
      <w:spacing w:after="28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146</w:t>
    </w:r>
  </w:p>
  <w:p>
    <w:pPr>
      <w:ind w:left="4823"/>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
      <w:spacing w:line="21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147</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6"/>
      <w:spacing w:after="28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148</w:t>
    </w:r>
  </w:p>
  <w:p>
    <w:pPr>
      <w:ind w:left="4720"/>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
      <w:spacing w:line="21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149</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7"/>
      <w:spacing w:after="28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150</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
      <w:spacing w:line="21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151</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7"/>
      <w:spacing w:after="28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152</w:t>
    </w:r>
  </w:p>
  <w:p>
    <w:pPr>
      <w:ind w:left="472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2"/>
      <w:spacing w:line="21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153</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6"/>
      <w:spacing w:after="28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154</w:t>
    </w:r>
  </w:p>
  <w:p>
    <w:pPr>
      <w:ind w:right="9"/>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
      <w:spacing w:line="211" w:lineRule="auto"/>
      <w:rPr>
        <w:rFonts w:ascii="Times New Roman" w:hAnsi="Times New Roman" w:eastAsia="Times New Roman" w:cs="Times New Roman"/>
        <w:sz w:val="18"/>
        <w:szCs w:val="18"/>
      </w:rPr>
    </w:pPr>
    <w:r>
      <w:rPr>
        <w:rFonts w:ascii="SimSun" w:hAnsi="SimSun" w:eastAsia="SimSun" w:cs="SimSun"/>
        <w:sz w:val="19"/>
        <w:szCs w:val="19"/>
        <w:spacing w:val="9"/>
      </w:rPr>
      <w:t>锡林郭勒盟中安环境技术咨询有限责任公司    </w:t>
    </w:r>
    <w:r>
      <w:rPr>
        <w:rFonts w:ascii="Times New Roman" w:hAnsi="Times New Roman" w:eastAsia="Times New Roman" w:cs="Times New Roman"/>
        <w:sz w:val="18"/>
        <w:szCs w:val="18"/>
        <w:spacing w:val="9"/>
        <w:position w:val="3"/>
      </w:rPr>
      <w:t>3</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7"/>
      <w:spacing w:line="21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155</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6"/>
      <w:spacing w:after="28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156</w:t>
    </w:r>
  </w:p>
  <w:p>
    <w:pPr>
      <w:ind w:left="4720"/>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267"/>
      <w:spacing w:after="28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160</w:t>
    </w:r>
  </w:p>
  <w:p>
    <w:pPr>
      <w:ind w:left="10872"/>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282"/>
      <w:spacing w:after="28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162</w:t>
    </w:r>
  </w:p>
  <w:p>
    <w:pPr>
      <w:ind w:left="10887"/>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1"/>
      <w:spacing w:line="217" w:lineRule="auto"/>
      <w:rPr>
        <w:rFonts w:ascii="Times New Roman" w:hAnsi="Times New Roman" w:eastAsia="Times New Roman" w:cs="Times New Roman"/>
        <w:sz w:val="18"/>
        <w:szCs w:val="18"/>
      </w:rPr>
    </w:pPr>
    <w:r>
      <w:rPr>
        <w:rFonts w:ascii="SimSun" w:hAnsi="SimSun" w:eastAsia="SimSun" w:cs="SimSun"/>
        <w:sz w:val="19"/>
        <w:szCs w:val="19"/>
        <w:spacing w:val="6"/>
      </w:rPr>
      <w:t>锡林郭勒盟中安环境技术咨询有限责任公司      </w:t>
    </w:r>
    <w:r>
      <w:rPr>
        <w:rFonts w:ascii="SimSun" w:hAnsi="SimSun" w:eastAsia="SimSun" w:cs="SimSun"/>
        <w:sz w:val="19"/>
        <w:szCs w:val="19"/>
        <w:spacing w:val="5"/>
      </w:rPr>
      <w:t xml:space="preserve">                            </w:t>
    </w:r>
    <w:r>
      <w:rPr>
        <w:rFonts w:ascii="Times New Roman" w:hAnsi="Times New Roman" w:eastAsia="Times New Roman" w:cs="Times New Roman"/>
        <w:sz w:val="18"/>
        <w:szCs w:val="18"/>
        <w:spacing w:val="5"/>
        <w:position w:val="2"/>
      </w:rPr>
      <w:t>163</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2"/>
      <w:spacing w:after="28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166</w:t>
    </w:r>
  </w:p>
  <w:p>
    <w:pPr>
      <w:ind w:left="4716"/>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
      <w:spacing w:line="21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167</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7"/>
      <w:spacing w:after="28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168</w:t>
    </w:r>
  </w:p>
  <w:p>
    <w:pPr>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
      <w:spacing w:line="21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169</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7"/>
      <w:spacing w:after="28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170</w:t>
    </w:r>
  </w:p>
  <w:p>
    <w:pPr>
      <w:ind w:right="9"/>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9"/>
      <w:spacing w:line="211" w:lineRule="auto"/>
      <w:rPr>
        <w:rFonts w:ascii="Times New Roman" w:hAnsi="Times New Roman" w:eastAsia="Times New Roman" w:cs="Times New Roman"/>
        <w:sz w:val="18"/>
        <w:szCs w:val="18"/>
      </w:rPr>
    </w:pPr>
    <w:r>
      <w:rPr>
        <w:rFonts w:ascii="SimSun" w:hAnsi="SimSun" w:eastAsia="SimSun" w:cs="SimSun"/>
        <w:sz w:val="19"/>
        <w:szCs w:val="19"/>
        <w:spacing w:val="9"/>
      </w:rPr>
      <w:t>锡林郭勒盟中安环境技术咨询有限责任公司    </w:t>
    </w:r>
    <w:r>
      <w:rPr>
        <w:rFonts w:ascii="Times New Roman" w:hAnsi="Times New Roman" w:eastAsia="Times New Roman" w:cs="Times New Roman"/>
        <w:sz w:val="18"/>
        <w:szCs w:val="18"/>
        <w:spacing w:val="9"/>
        <w:position w:val="3"/>
      </w:rPr>
      <w:t>5</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7"/>
      <w:spacing w:line="21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171</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8"/>
      <w:spacing w:after="28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172</w:t>
    </w:r>
  </w:p>
  <w:p>
    <w:pPr>
      <w:ind w:left="4712"/>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
      <w:spacing w:line="217" w:lineRule="auto"/>
      <w:rPr>
        <w:rFonts w:ascii="Times New Roman" w:hAnsi="Times New Roman" w:eastAsia="Times New Roman" w:cs="Times New Roman"/>
        <w:sz w:val="18"/>
        <w:szCs w:val="18"/>
      </w:rPr>
    </w:pPr>
    <w:r>
      <w:rPr>
        <w:rFonts w:ascii="SimSun" w:hAnsi="SimSun" w:eastAsia="SimSun" w:cs="SimSun"/>
        <w:sz w:val="19"/>
        <w:szCs w:val="19"/>
        <w:spacing w:val="7"/>
      </w:rPr>
      <w:t>锡林郭勒盟中安环境技术咨询有限责任公司</w:t>
    </w:r>
    <w:r>
      <w:rPr>
        <w:rFonts w:ascii="SimSun" w:hAnsi="SimSun" w:eastAsia="SimSun" w:cs="SimSun"/>
        <w:sz w:val="19"/>
        <w:szCs w:val="19"/>
        <w:spacing w:val="20"/>
      </w:rPr>
      <w:t xml:space="preserve">   </w:t>
    </w:r>
    <w:r>
      <w:rPr>
        <w:rFonts w:ascii="Times New Roman" w:hAnsi="Times New Roman" w:eastAsia="Times New Roman" w:cs="Times New Roman"/>
        <w:sz w:val="18"/>
        <w:szCs w:val="18"/>
        <w:spacing w:val="7"/>
        <w:position w:val="2"/>
      </w:rPr>
      <w:t>173</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7"/>
      <w:spacing w:after="28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174</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7"/>
      <w:spacing w:after="28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176</w:t>
    </w:r>
  </w:p>
  <w:p>
    <w:pPr>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7"/>
      <w:spacing w:after="28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178</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7"/>
      <w:spacing w:after="28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180</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7"/>
      <w:spacing w:after="28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182</w:t>
    </w:r>
  </w:p>
  <w:p>
    <w:pPr>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6"/>
      <w:spacing w:after="206" w:line="239" w:lineRule="auto"/>
      <w:rPr>
        <w:rFonts w:ascii="SimSun" w:hAnsi="SimSun" w:eastAsia="SimSun" w:cs="SimSun"/>
        <w:sz w:val="18"/>
        <w:szCs w:val="18"/>
      </w:rPr>
    </w:pPr>
    <w:r>
      <w:rPr>
        <w:rFonts w:ascii="SimSun" w:hAnsi="SimSun" w:eastAsia="SimSun" w:cs="SimSun"/>
        <w:sz w:val="18"/>
        <w:szCs w:val="18"/>
        <w:spacing w:val="-7"/>
      </w:rPr>
      <w:t>184</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6"/>
      <w:spacing w:after="206" w:line="239" w:lineRule="auto"/>
      <w:rPr>
        <w:rFonts w:ascii="SimSun" w:hAnsi="SimSun" w:eastAsia="SimSun" w:cs="SimSun"/>
        <w:sz w:val="18"/>
        <w:szCs w:val="18"/>
      </w:rPr>
    </w:pPr>
    <w:r>
      <w:rPr>
        <w:rFonts w:ascii="SimSun" w:hAnsi="SimSun" w:eastAsia="SimSun" w:cs="SimSun"/>
        <w:sz w:val="18"/>
        <w:szCs w:val="18"/>
        <w:spacing w:val="-7"/>
      </w:rPr>
      <w:t>186</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
      <w:spacing w:line="211" w:lineRule="auto"/>
      <w:rPr>
        <w:rFonts w:ascii="Times New Roman" w:hAnsi="Times New Roman" w:eastAsia="Times New Roman" w:cs="Times New Roman"/>
        <w:sz w:val="18"/>
        <w:szCs w:val="18"/>
      </w:rPr>
    </w:pPr>
    <w:r>
      <w:rPr>
        <w:rFonts w:ascii="SimSun" w:hAnsi="SimSun" w:eastAsia="SimSun" w:cs="SimSun"/>
        <w:sz w:val="19"/>
        <w:szCs w:val="19"/>
        <w:spacing w:val="9"/>
      </w:rPr>
      <w:t>锡林郭勒盟中安环境技术咨询有限责任公司    </w:t>
    </w:r>
    <w:r>
      <w:rPr>
        <w:rFonts w:ascii="Times New Roman" w:hAnsi="Times New Roman" w:eastAsia="Times New Roman" w:cs="Times New Roman"/>
        <w:sz w:val="18"/>
        <w:szCs w:val="18"/>
        <w:spacing w:val="9"/>
        <w:position w:val="3"/>
      </w:rPr>
      <w:t>7</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6"/>
      <w:spacing w:after="206" w:line="239" w:lineRule="auto"/>
      <w:rPr>
        <w:rFonts w:ascii="SimSun" w:hAnsi="SimSun" w:eastAsia="SimSun" w:cs="SimSun"/>
        <w:sz w:val="18"/>
        <w:szCs w:val="18"/>
      </w:rPr>
    </w:pPr>
    <w:r>
      <w:rPr>
        <w:rFonts w:ascii="SimSun" w:hAnsi="SimSun" w:eastAsia="SimSun" w:cs="SimSun"/>
        <w:sz w:val="18"/>
        <w:szCs w:val="18"/>
        <w:spacing w:val="-7"/>
      </w:rPr>
      <w:t>188</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6"/>
      <w:spacing w:after="206" w:line="239" w:lineRule="auto"/>
      <w:rPr>
        <w:rFonts w:ascii="SimSun" w:hAnsi="SimSun" w:eastAsia="SimSun" w:cs="SimSun"/>
        <w:sz w:val="18"/>
        <w:szCs w:val="18"/>
      </w:rPr>
    </w:pPr>
    <w:r>
      <w:rPr>
        <w:rFonts w:ascii="SimSun" w:hAnsi="SimSun" w:eastAsia="SimSun" w:cs="SimSun"/>
        <w:sz w:val="18"/>
        <w:szCs w:val="18"/>
        <w:spacing w:val="-7"/>
      </w:rPr>
      <w:t>190</w:t>
    </w:r>
  </w:p>
  <w:p>
    <w:pPr>
      <w:ind w:right="2"/>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249"/>
      <w:spacing w:after="206" w:line="239" w:lineRule="auto"/>
      <w:rPr>
        <w:rFonts w:ascii="SimSun" w:hAnsi="SimSun" w:eastAsia="SimSun" w:cs="SimSun"/>
        <w:sz w:val="18"/>
        <w:szCs w:val="18"/>
      </w:rPr>
    </w:pPr>
    <w:r>
      <w:rPr>
        <w:rFonts w:ascii="SimSun" w:hAnsi="SimSun" w:eastAsia="SimSun" w:cs="SimSun"/>
        <w:sz w:val="18"/>
        <w:szCs w:val="18"/>
        <w:spacing w:val="-7"/>
      </w:rPr>
      <w:t>192</w:t>
    </w:r>
  </w:p>
  <w:p>
    <w:pPr>
      <w:ind w:left="4824"/>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249"/>
      <w:spacing w:after="206" w:line="239" w:lineRule="auto"/>
      <w:rPr>
        <w:rFonts w:ascii="SimSun" w:hAnsi="SimSun" w:eastAsia="SimSun" w:cs="SimSun"/>
        <w:sz w:val="18"/>
        <w:szCs w:val="18"/>
      </w:rPr>
    </w:pPr>
    <w:r>
      <w:rPr>
        <w:rFonts w:ascii="SimSun" w:hAnsi="SimSun" w:eastAsia="SimSun" w:cs="SimSun"/>
        <w:sz w:val="18"/>
        <w:szCs w:val="18"/>
        <w:spacing w:val="-7"/>
      </w:rPr>
      <w:t>194</w:t>
    </w:r>
  </w:p>
  <w:p>
    <w:pPr>
      <w:ind w:left="4824"/>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278"/>
      <w:spacing w:after="206" w:line="239" w:lineRule="auto"/>
      <w:rPr>
        <w:rFonts w:ascii="SimSun" w:hAnsi="SimSun" w:eastAsia="SimSun" w:cs="SimSun"/>
        <w:sz w:val="18"/>
        <w:szCs w:val="18"/>
      </w:rPr>
    </w:pPr>
    <w:r>
      <w:rPr>
        <w:rFonts w:ascii="SimSun" w:hAnsi="SimSun" w:eastAsia="SimSun" w:cs="SimSun"/>
        <w:sz w:val="18"/>
        <w:szCs w:val="18"/>
        <w:spacing w:val="-7"/>
      </w:rPr>
      <w:t>196</w:t>
    </w:r>
  </w:p>
  <w:p>
    <w:pPr>
      <w:ind w:left="4853"/>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248"/>
      <w:spacing w:after="206" w:line="239" w:lineRule="auto"/>
      <w:rPr>
        <w:rFonts w:ascii="SimSun" w:hAnsi="SimSun" w:eastAsia="SimSun" w:cs="SimSun"/>
        <w:sz w:val="18"/>
        <w:szCs w:val="18"/>
      </w:rPr>
    </w:pPr>
    <w:r>
      <w:rPr>
        <w:rFonts w:ascii="SimSun" w:hAnsi="SimSun" w:eastAsia="SimSun" w:cs="SimSun"/>
        <w:sz w:val="18"/>
        <w:szCs w:val="18"/>
        <w:spacing w:val="-7"/>
      </w:rPr>
      <w:t>198</w:t>
    </w:r>
  </w:p>
  <w:p>
    <w:pPr>
      <w:ind w:left="4823"/>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200</w:t>
    </w:r>
  </w:p>
  <w:p>
    <w:pPr>
      <w:ind w:right="1"/>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202</w:t>
    </w:r>
  </w:p>
  <w:p>
    <w:pPr>
      <w:ind w:right="1"/>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204</w:t>
    </w:r>
  </w:p>
  <w:p>
    <w:pPr>
      <w:ind w:right="1"/>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206</w:t>
    </w:r>
  </w:p>
  <w:p>
    <w:pPr>
      <w:ind w:right="17"/>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line="217" w:lineRule="auto"/>
      <w:jc w:val="right"/>
      <w:rPr>
        <w:rFonts w:ascii="SimSun" w:hAnsi="SimSun" w:eastAsia="SimSun" w:cs="SimSun"/>
        <w:sz w:val="19"/>
        <w:szCs w:val="19"/>
      </w:rPr>
    </w:pPr>
    <w:r>
      <w:rPr>
        <w:rFonts w:ascii="Times New Roman" w:hAnsi="Times New Roman" w:eastAsia="Times New Roman" w:cs="Times New Roman"/>
        <w:sz w:val="18"/>
        <w:szCs w:val="18"/>
        <w:spacing w:val="4"/>
        <w:position w:val="2"/>
      </w:rPr>
      <w:t>10                                                   </w:t>
    </w:r>
    <w:r>
      <w:rPr>
        <w:rFonts w:ascii="Times New Roman" w:hAnsi="Times New Roman" w:eastAsia="Times New Roman" w:cs="Times New Roman"/>
        <w:sz w:val="18"/>
        <w:szCs w:val="18"/>
        <w:spacing w:val="3"/>
        <w:position w:val="2"/>
      </w:rPr>
      <w:t xml:space="preserve">         </w:t>
    </w:r>
    <w:r>
      <w:rPr>
        <w:rFonts w:ascii="SimSun" w:hAnsi="SimSun" w:eastAsia="SimSun" w:cs="SimSun"/>
        <w:sz w:val="19"/>
        <w:szCs w:val="19"/>
        <w:spacing w:val="3"/>
      </w:rPr>
      <w:t>锡林郭勒盟中安环境技术咨询有限责任公司</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54"/>
      <w:spacing w:after="206" w:line="239" w:lineRule="auto"/>
      <w:rPr>
        <w:rFonts w:ascii="SimSun" w:hAnsi="SimSun" w:eastAsia="SimSun" w:cs="SimSun"/>
        <w:sz w:val="18"/>
        <w:szCs w:val="18"/>
      </w:rPr>
    </w:pPr>
    <w:r>
      <w:rPr>
        <w:rFonts w:ascii="SimSun" w:hAnsi="SimSun" w:eastAsia="SimSun" w:cs="SimSun"/>
        <w:sz w:val="18"/>
        <w:szCs w:val="18"/>
        <w:spacing w:val="-3"/>
      </w:rPr>
      <w:t>208</w:t>
    </w:r>
  </w:p>
  <w:p>
    <w:pPr>
      <w:ind w:left="4740"/>
      <w:spacing w:line="215"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210</w:t>
    </w:r>
  </w:p>
  <w:p>
    <w:pPr>
      <w:ind w:right="2"/>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4"/>
      <w:spacing w:after="204"/>
      <w:rPr>
        <w:rFonts w:ascii="SimSun" w:hAnsi="SimSun" w:eastAsia="SimSun" w:cs="SimSun"/>
        <w:sz w:val="18"/>
        <w:szCs w:val="18"/>
      </w:rPr>
    </w:pPr>
    <w:r>
      <w:rPr>
        <w:rFonts w:ascii="SimSun" w:hAnsi="SimSun" w:eastAsia="SimSun" w:cs="SimSun"/>
        <w:sz w:val="18"/>
        <w:szCs w:val="18"/>
        <w:spacing w:val="-3"/>
      </w:rPr>
      <w:t>212</w:t>
    </w:r>
  </w:p>
  <w:p>
    <w:pPr>
      <w:ind w:right="10"/>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4"/>
      <w:spacing w:after="204"/>
      <w:rPr>
        <w:rFonts w:ascii="SimSun" w:hAnsi="SimSun" w:eastAsia="SimSun" w:cs="SimSun"/>
        <w:sz w:val="18"/>
        <w:szCs w:val="18"/>
      </w:rPr>
    </w:pPr>
    <w:r>
      <w:rPr>
        <w:rFonts w:ascii="SimSun" w:hAnsi="SimSun" w:eastAsia="SimSun" w:cs="SimSun"/>
        <w:sz w:val="18"/>
        <w:szCs w:val="18"/>
        <w:spacing w:val="-3"/>
      </w:rPr>
      <w:t>214</w:t>
    </w:r>
  </w:p>
  <w:p>
    <w:pPr>
      <w:ind w:right="9"/>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3"/>
      <w:spacing w:after="206" w:line="239" w:lineRule="auto"/>
      <w:rPr>
        <w:rFonts w:ascii="SimSun" w:hAnsi="SimSun" w:eastAsia="SimSun" w:cs="SimSun"/>
        <w:sz w:val="18"/>
        <w:szCs w:val="18"/>
      </w:rPr>
    </w:pPr>
    <w:r>
      <w:rPr>
        <w:rFonts w:ascii="SimSun" w:hAnsi="SimSun" w:eastAsia="SimSun" w:cs="SimSun"/>
        <w:sz w:val="18"/>
        <w:szCs w:val="18"/>
        <w:spacing w:val="-3"/>
      </w:rPr>
      <w:t>216</w:t>
    </w:r>
  </w:p>
  <w:p>
    <w:pPr>
      <w:ind w:left="4719"/>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218</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220</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4"/>
      <w:rPr>
        <w:rFonts w:ascii="SimSun" w:hAnsi="SimSun" w:eastAsia="SimSun" w:cs="SimSun"/>
        <w:sz w:val="18"/>
        <w:szCs w:val="18"/>
      </w:rPr>
    </w:pPr>
    <w:r>
      <w:rPr>
        <w:rFonts w:ascii="SimSun" w:hAnsi="SimSun" w:eastAsia="SimSun" w:cs="SimSun"/>
        <w:sz w:val="18"/>
        <w:szCs w:val="18"/>
        <w:spacing w:val="-3"/>
      </w:rPr>
      <w:t>222</w:t>
    </w:r>
  </w:p>
  <w:p>
    <w:pPr>
      <w:ind w:right="4"/>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1"/>
      <w:spacing w:after="204"/>
      <w:rPr>
        <w:rFonts w:ascii="SimSun" w:hAnsi="SimSun" w:eastAsia="SimSun" w:cs="SimSun"/>
        <w:sz w:val="18"/>
        <w:szCs w:val="18"/>
      </w:rPr>
    </w:pPr>
    <w:r>
      <w:rPr>
        <w:rFonts w:ascii="SimSun" w:hAnsi="SimSun" w:eastAsia="SimSun" w:cs="SimSun"/>
        <w:sz w:val="18"/>
        <w:szCs w:val="18"/>
        <w:spacing w:val="-3"/>
      </w:rPr>
      <w:t>224</w:t>
    </w:r>
  </w:p>
  <w:p>
    <w:pPr>
      <w:ind w:left="4727"/>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0"/>
      <w:spacing w:after="206" w:line="239" w:lineRule="auto"/>
      <w:rPr>
        <w:rFonts w:ascii="SimSun" w:hAnsi="SimSun" w:eastAsia="SimSun" w:cs="SimSun"/>
        <w:sz w:val="18"/>
        <w:szCs w:val="18"/>
      </w:rPr>
    </w:pPr>
    <w:r>
      <w:rPr>
        <w:rFonts w:ascii="SimSun" w:hAnsi="SimSun" w:eastAsia="SimSun" w:cs="SimSun"/>
        <w:sz w:val="18"/>
        <w:szCs w:val="18"/>
        <w:spacing w:val="-3"/>
      </w:rPr>
      <w:t>226</w:t>
    </w:r>
  </w:p>
  <w:p>
    <w:pPr>
      <w:ind w:left="4716"/>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83"/>
      <w:spacing w:line="217" w:lineRule="auto"/>
      <w:rPr>
        <w:rFonts w:ascii="SimSun" w:hAnsi="SimSun" w:eastAsia="SimSun" w:cs="SimSun"/>
        <w:sz w:val="19"/>
        <w:szCs w:val="19"/>
      </w:rPr>
    </w:pPr>
    <w:r>
      <w:rPr>
        <w:rFonts w:ascii="Times New Roman" w:hAnsi="Times New Roman" w:eastAsia="Times New Roman" w:cs="Times New Roman"/>
        <w:sz w:val="18"/>
        <w:szCs w:val="18"/>
        <w:spacing w:val="7"/>
        <w:position w:val="2"/>
      </w:rPr>
      <w:t>12</w:t>
    </w:r>
    <w:r>
      <w:rPr>
        <w:rFonts w:ascii="Times New Roman" w:hAnsi="Times New Roman" w:eastAsia="Times New Roman" w:cs="Times New Roman"/>
        <w:sz w:val="18"/>
        <w:szCs w:val="18"/>
        <w:spacing w:val="2"/>
        <w:position w:val="2"/>
      </w:rPr>
      <w:t xml:space="preserve">        </w:t>
    </w:r>
    <w:r>
      <w:rPr>
        <w:rFonts w:ascii="SimSun" w:hAnsi="SimSun" w:eastAsia="SimSun" w:cs="SimSun"/>
        <w:sz w:val="19"/>
        <w:szCs w:val="19"/>
        <w:spacing w:val="7"/>
      </w:rPr>
      <w:t>锡林郭勒盟中安环境技术咨询有限责任公司</w:t>
    </w:r>
  </w:p>
</w:ftr>
</file>

<file path=word/footer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0"/>
      <w:spacing w:after="206" w:line="239" w:lineRule="auto"/>
      <w:rPr>
        <w:rFonts w:ascii="SimSun" w:hAnsi="SimSun" w:eastAsia="SimSun" w:cs="SimSun"/>
        <w:sz w:val="18"/>
        <w:szCs w:val="18"/>
      </w:rPr>
    </w:pPr>
    <w:r>
      <w:rPr>
        <w:rFonts w:ascii="SimSun" w:hAnsi="SimSun" w:eastAsia="SimSun" w:cs="SimSun"/>
        <w:sz w:val="18"/>
        <w:szCs w:val="18"/>
        <w:spacing w:val="-3"/>
      </w:rPr>
      <w:t>228</w:t>
    </w:r>
  </w:p>
  <w:p>
    <w:pPr>
      <w:ind w:left="4716"/>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0"/>
      <w:spacing w:after="206" w:line="239" w:lineRule="auto"/>
      <w:rPr>
        <w:rFonts w:ascii="SimSun" w:hAnsi="SimSun" w:eastAsia="SimSun" w:cs="SimSun"/>
        <w:sz w:val="18"/>
        <w:szCs w:val="18"/>
      </w:rPr>
    </w:pPr>
    <w:r>
      <w:rPr>
        <w:rFonts w:ascii="SimSun" w:hAnsi="SimSun" w:eastAsia="SimSun" w:cs="SimSun"/>
        <w:sz w:val="18"/>
        <w:szCs w:val="18"/>
        <w:spacing w:val="-3"/>
      </w:rPr>
      <w:t>230</w:t>
    </w:r>
  </w:p>
  <w:p>
    <w:pPr>
      <w:ind w:left="4716"/>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0"/>
      <w:spacing w:after="206" w:line="239" w:lineRule="auto"/>
      <w:rPr>
        <w:rFonts w:ascii="SimSun" w:hAnsi="SimSun" w:eastAsia="SimSun" w:cs="SimSun"/>
        <w:sz w:val="18"/>
        <w:szCs w:val="18"/>
      </w:rPr>
    </w:pPr>
    <w:r>
      <w:rPr>
        <w:rFonts w:ascii="SimSun" w:hAnsi="SimSun" w:eastAsia="SimSun" w:cs="SimSun"/>
        <w:sz w:val="18"/>
        <w:szCs w:val="18"/>
        <w:spacing w:val="-3"/>
      </w:rPr>
      <w:t>232</w:t>
    </w:r>
  </w:p>
  <w:p>
    <w:pPr>
      <w:ind w:right="6"/>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25"/>
      <w:spacing w:after="206" w:line="239" w:lineRule="auto"/>
      <w:rPr>
        <w:rFonts w:ascii="SimSun" w:hAnsi="SimSun" w:eastAsia="SimSun" w:cs="SimSun"/>
        <w:sz w:val="18"/>
        <w:szCs w:val="18"/>
      </w:rPr>
    </w:pPr>
    <w:r>
      <w:rPr>
        <w:rFonts w:ascii="SimSun" w:hAnsi="SimSun" w:eastAsia="SimSun" w:cs="SimSun"/>
        <w:sz w:val="18"/>
        <w:szCs w:val="18"/>
        <w:spacing w:val="-3"/>
      </w:rPr>
      <w:t>234</w:t>
    </w:r>
  </w:p>
  <w:p>
    <w:pPr>
      <w:ind w:left="4711"/>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7"/>
      <w:spacing w:after="206" w:line="239" w:lineRule="auto"/>
      <w:rPr>
        <w:rFonts w:ascii="SimSun" w:hAnsi="SimSun" w:eastAsia="SimSun" w:cs="SimSun"/>
        <w:sz w:val="18"/>
        <w:szCs w:val="18"/>
      </w:rPr>
    </w:pPr>
    <w:r>
      <w:rPr>
        <w:rFonts w:ascii="SimSun" w:hAnsi="SimSun" w:eastAsia="SimSun" w:cs="SimSun"/>
        <w:sz w:val="18"/>
        <w:szCs w:val="18"/>
        <w:spacing w:val="-3"/>
      </w:rPr>
      <w:t>236</w:t>
    </w:r>
  </w:p>
  <w:p>
    <w:pPr>
      <w:ind w:left="4733"/>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9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4"/>
      <w:spacing w:after="206" w:line="239" w:lineRule="auto"/>
      <w:rPr>
        <w:rFonts w:ascii="SimSun" w:hAnsi="SimSun" w:eastAsia="SimSun" w:cs="SimSun"/>
        <w:sz w:val="18"/>
        <w:szCs w:val="18"/>
      </w:rPr>
    </w:pPr>
    <w:r>
      <w:rPr>
        <w:rFonts w:ascii="SimSun" w:hAnsi="SimSun" w:eastAsia="SimSun" w:cs="SimSun"/>
        <w:sz w:val="18"/>
        <w:szCs w:val="18"/>
        <w:spacing w:val="-3"/>
      </w:rPr>
      <w:t>238</w:t>
    </w:r>
  </w:p>
  <w:p>
    <w:pPr>
      <w:ind w:right="10"/>
      <w:spacing w:line="217" w:lineRule="auto"/>
      <w:jc w:val="right"/>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9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73"/>
      <w:spacing w:after="206" w:line="239" w:lineRule="auto"/>
      <w:rPr>
        <w:rFonts w:ascii="SimSun" w:hAnsi="SimSun" w:eastAsia="SimSun" w:cs="SimSun"/>
        <w:sz w:val="18"/>
        <w:szCs w:val="18"/>
      </w:rPr>
    </w:pPr>
    <w:r>
      <w:rPr>
        <w:rFonts w:ascii="SimSun" w:hAnsi="SimSun" w:eastAsia="SimSun" w:cs="SimSun"/>
        <w:sz w:val="18"/>
        <w:szCs w:val="18"/>
        <w:spacing w:val="-3"/>
      </w:rPr>
      <w:t>240</w:t>
    </w:r>
  </w:p>
  <w:p>
    <w:pPr>
      <w:ind w:left="4759"/>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9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86"/>
      <w:spacing w:after="204"/>
      <w:rPr>
        <w:rFonts w:ascii="SimSun" w:hAnsi="SimSun" w:eastAsia="SimSun" w:cs="SimSun"/>
        <w:sz w:val="18"/>
        <w:szCs w:val="18"/>
      </w:rPr>
    </w:pPr>
    <w:r>
      <w:rPr>
        <w:rFonts w:ascii="SimSun" w:hAnsi="SimSun" w:eastAsia="SimSun" w:cs="SimSun"/>
        <w:sz w:val="18"/>
        <w:szCs w:val="18"/>
        <w:spacing w:val="-3"/>
      </w:rPr>
      <w:t>242</w:t>
    </w:r>
  </w:p>
  <w:p>
    <w:pPr>
      <w:ind w:left="4772"/>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9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3"/>
      <w:spacing w:after="204"/>
      <w:rPr>
        <w:rFonts w:ascii="SimSun" w:hAnsi="SimSun" w:eastAsia="SimSun" w:cs="SimSun"/>
        <w:sz w:val="18"/>
        <w:szCs w:val="18"/>
      </w:rPr>
    </w:pPr>
    <w:r>
      <w:rPr>
        <w:rFonts w:ascii="SimSun" w:hAnsi="SimSun" w:eastAsia="SimSun" w:cs="SimSun"/>
        <w:sz w:val="18"/>
        <w:szCs w:val="18"/>
        <w:spacing w:val="-3"/>
      </w:rPr>
      <w:t>244</w:t>
    </w:r>
  </w:p>
  <w:p>
    <w:pPr>
      <w:ind w:left="4729"/>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footer9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58"/>
      <w:spacing w:after="206" w:line="239" w:lineRule="auto"/>
      <w:rPr>
        <w:rFonts w:ascii="SimSun" w:hAnsi="SimSun" w:eastAsia="SimSun" w:cs="SimSun"/>
        <w:sz w:val="18"/>
        <w:szCs w:val="18"/>
      </w:rPr>
    </w:pPr>
    <w:r>
      <w:rPr>
        <w:rFonts w:ascii="SimSun" w:hAnsi="SimSun" w:eastAsia="SimSun" w:cs="SimSun"/>
        <w:sz w:val="18"/>
        <w:szCs w:val="18"/>
        <w:spacing w:val="-3"/>
      </w:rPr>
      <w:t>246</w:t>
    </w:r>
  </w:p>
  <w:p>
    <w:pPr>
      <w:ind w:left="4744"/>
      <w:spacing w:line="217" w:lineRule="auto"/>
      <w:rPr>
        <w:rFonts w:ascii="SimSun" w:hAnsi="SimSun" w:eastAsia="SimSun" w:cs="SimSun"/>
        <w:sz w:val="19"/>
        <w:szCs w:val="19"/>
      </w:rPr>
    </w:pPr>
    <w:r>
      <w:rPr>
        <w:rFonts w:ascii="SimSun" w:hAnsi="SimSun" w:eastAsia="SimSun" w:cs="SimSun"/>
        <w:sz w:val="19"/>
        <w:szCs w:val="19"/>
        <w:spacing w:val="9"/>
      </w:rPr>
      <w:t>锡林郭勒盟中安环境技术咨询有限责任公司</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2" style="mso-position-vertical-relative:line;mso-position-horizontal-relative:char;width:425.25pt;height:1.45pt;" fillcolor="#000000" filled="true" stroked="false" coordsize="8505,29" coordorigin="0,0" path="m,l8505,0l8505,28l0,28l0,0xe"/>
      </w:pict>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1"/>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
      <w:spacing w:before="15" w:line="19" w:lineRule="exact"/>
      <w:rPr/>
    </w:pPr>
    <w:r>
      <w:rPr>
        <w:position w:val="-1"/>
      </w:rPr>
      <w:pict>
        <v:shape id="_x0000_s48" style="mso-position-vertical-relative:line;mso-position-horizontal-relative:char;width:425.25pt;height:1.45pt;" fillcolor="#000000" filled="true" stroked="false" coordsize="8505,29" coordorigin="0,0" path="m,l8505,0l8505,28l0,28l0,0xe"/>
      </w:pict>
    </w:r>
  </w:p>
</w:hdr>
</file>

<file path=word/header10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896" style="mso-position-vertical-relative:line;mso-position-horizontal-relative:char;width:425.25pt;height:1.45pt;" fillcolor="#000000" filled="true" stroked="false" coordsize="8505,29" coordorigin="0,0" path="m,l8505,0l8505,28l0,28l0,0xe"/>
      </w:pict>
    </w:r>
  </w:p>
</w:hdr>
</file>

<file path=word/header10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904" style="mso-position-vertical-relative:line;mso-position-horizontal-relative:char;width:425.25pt;height:1.45pt;" fillcolor="#000000" filled="true" stroked="false" coordsize="8505,29" coordorigin="0,0" path="m,l8505,0l8505,28l0,28l0,0xe"/>
      </w:pict>
    </w:r>
  </w:p>
</w:hdr>
</file>

<file path=word/header10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42"/>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12"/>
      <w:spacing w:before="15" w:line="19" w:lineRule="exact"/>
      <w:rPr/>
    </w:pPr>
    <w:r>
      <w:rPr>
        <w:position w:val="-1"/>
      </w:rPr>
      <w:pict>
        <v:shape id="_x0000_s916" style="mso-position-vertical-relative:line;mso-position-horizontal-relative:char;width:425.25pt;height:1.45pt;" fillcolor="#000000" filled="true" stroked="false" coordsize="8505,29" coordorigin="0,0" path="m,l8505,0l8505,28l0,28l0,0xe"/>
      </w:pict>
    </w:r>
  </w:p>
</w:hdr>
</file>

<file path=word/header10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42"/>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12"/>
      <w:spacing w:before="15" w:line="19" w:lineRule="exact"/>
      <w:rPr/>
    </w:pPr>
    <w:r>
      <w:rPr>
        <w:position w:val="-1"/>
      </w:rPr>
      <w:pict>
        <v:shape id="_x0000_s920" style="mso-position-vertical-relative:line;mso-position-horizontal-relative:char;width:425.25pt;height:1.45pt;" fillcolor="#000000" filled="true" stroked="false" coordsize="8505,29" coordorigin="0,0" path="m,l8505,0l8505,28l0,28l0,0xe"/>
      </w:pict>
    </w:r>
  </w:p>
</w:hdr>
</file>

<file path=word/header10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71"/>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41"/>
      <w:spacing w:before="15" w:line="19" w:lineRule="exact"/>
      <w:rPr/>
    </w:pPr>
    <w:r>
      <w:rPr>
        <w:position w:val="-1"/>
      </w:rPr>
      <w:pict>
        <v:shape id="_x0000_s928" style="mso-position-vertical-relative:line;mso-position-horizontal-relative:char;width:425.25pt;height:1.45pt;" fillcolor="#000000" filled="true" stroked="false" coordsize="8505,29" coordorigin="0,0" path="m,l8505,0l8505,28l0,28l0,0xe"/>
      </w:pict>
    </w:r>
  </w:p>
</w:hdr>
</file>

<file path=word/header10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47"/>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7"/>
      <w:spacing w:before="15" w:line="19" w:lineRule="exact"/>
      <w:rPr/>
    </w:pPr>
    <w:r>
      <w:rPr>
        <w:position w:val="-1"/>
      </w:rPr>
      <w:pict>
        <v:shape id="_x0000_s938" style="mso-position-vertical-relative:line;mso-position-horizontal-relative:char;width:425.25pt;height:1.45pt;" fillcolor="#000000" filled="true" stroked="false" coordsize="8505,29" coordorigin="0,0" path="m,l8505,0l8505,28l0,28l0,0xe"/>
      </w:pict>
    </w:r>
  </w:p>
</w:hdr>
</file>

<file path=word/header10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41"/>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11"/>
      <w:spacing w:before="15" w:line="19" w:lineRule="exact"/>
      <w:rPr/>
    </w:pPr>
    <w:r>
      <w:rPr>
        <w:position w:val="-1"/>
      </w:rPr>
      <w:pict>
        <v:shape id="_x0000_s944" style="mso-position-vertical-relative:line;mso-position-horizontal-relative:char;width:425.25pt;height:1.45pt;" fillcolor="#000000" filled="true" stroked="false" coordsize="8505,29" coordorigin="0,0" path="m,l8505,0l8505,28l0,28l0,0xe"/>
      </w:pict>
    </w:r>
  </w:p>
</w:hdr>
</file>

<file path=word/header10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41"/>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11"/>
      <w:spacing w:before="15" w:line="19" w:lineRule="exact"/>
      <w:rPr/>
    </w:pPr>
    <w:r>
      <w:rPr>
        <w:position w:val="-1"/>
      </w:rPr>
      <w:pict>
        <v:shape id="_x0000_s948" style="mso-position-vertical-relative:line;mso-position-horizontal-relative:char;width:425.25pt;height:1.45pt;" fillcolor="#000000" filled="true" stroked="false" coordsize="8505,29" coordorigin="0,0" path="m,l8505,0l8505,28l0,28l0,0xe"/>
      </w:pict>
    </w:r>
  </w:p>
</w:hdr>
</file>

<file path=word/header10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956" style="mso-position-vertical-relative:line;mso-position-horizontal-relative:char;width:425.25pt;height:1.45pt;" fillcolor="#000000" filled="true" stroked="false" coordsize="8505,29" coordorigin="0,0" path="m,l8505,0l8505,28l0,28l0,0xe"/>
      </w:pict>
    </w:r>
  </w:p>
</w:hdr>
</file>

<file path=word/header10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58"/>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28"/>
      <w:spacing w:before="15" w:line="19" w:lineRule="exact"/>
      <w:rPr/>
    </w:pPr>
    <w:r>
      <w:rPr>
        <w:position w:val="-1"/>
      </w:rPr>
      <w:pict>
        <v:shape id="_x0000_s980" style="mso-position-vertical-relative:line;mso-position-horizontal-relative:char;width:425.25pt;height:1.45pt;" fillcolor="#000000" filled="true" stroked="false" coordsize="8505,29" coordorigin="0,0" path="m,l8505,0l8505,28l0,28l0,0xe"/>
      </w:pic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497"/>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68" style="mso-position-vertical-relative:line;mso-position-horizontal-relative:char;width:671.95pt;height:1.45pt;" fillcolor="#000000" filled="true" stroked="false" coordsize="13439,29" coordorigin="0,0" path="m,l13438,0l13438,28l0,28l0,0xe"/>
      </w:pict>
    </w:r>
  </w:p>
</w:hdr>
</file>

<file path=word/header1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988" style="mso-position-vertical-relative:line;mso-position-horizontal-relative:char;width:425.25pt;height:1.45pt;" fillcolor="#000000" filled="true" stroked="false" coordsize="8505,29" coordorigin="0,0" path="m,l8505,0l8505,28l0,28l0,0xe"/>
      </w:pict>
    </w:r>
  </w:p>
</w:hdr>
</file>

<file path=word/header1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8"/>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8"/>
      <w:spacing w:before="15" w:line="19" w:lineRule="exact"/>
      <w:rPr/>
    </w:pPr>
    <w:r>
      <w:rPr>
        <w:position w:val="-1"/>
      </w:rPr>
      <w:pict>
        <v:shape id="_x0000_s996" style="mso-position-vertical-relative:line;mso-position-horizontal-relative:char;width:425.25pt;height:1.45pt;" fillcolor="#000000" filled="true" stroked="false" coordsize="8505,29" coordorigin="0,0" path="m,l8505,0l8505,28l0,28l0,0xe"/>
      </w:pict>
    </w:r>
  </w:p>
</w:hdr>
</file>

<file path=word/header1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49"/>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9"/>
      <w:spacing w:before="15" w:line="19" w:lineRule="exact"/>
      <w:rPr/>
    </w:pPr>
    <w:r>
      <w:rPr>
        <w:position w:val="-1"/>
      </w:rPr>
      <w:pict>
        <v:shape id="_x0000_s1000" style="mso-position-vertical-relative:line;mso-position-horizontal-relative:char;width:425.25pt;height:1.45pt;" fillcolor="#000000" filled="true" stroked="false" coordsize="8505,29" coordorigin="0,0" path="m,l8505,0l8505,28l0,28l0,0xe"/>
      </w:pict>
    </w:r>
  </w:p>
</w:hdr>
</file>

<file path=word/header1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7"/>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7"/>
      <w:spacing w:before="15" w:line="19" w:lineRule="exact"/>
      <w:rPr/>
    </w:pPr>
    <w:r>
      <w:rPr>
        <w:position w:val="-1"/>
      </w:rPr>
      <w:pict>
        <v:shape id="_x0000_s1012" style="mso-position-vertical-relative:line;mso-position-horizontal-relative:char;width:425.25pt;height:1.45pt;" fillcolor="#000000" filled="true" stroked="false" coordsize="8505,29" coordorigin="0,0" path="m,l8505,0l8505,28l0,28l0,0xe"/>
      </w:pict>
    </w:r>
  </w:p>
</w:hdr>
</file>

<file path=word/header1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68"/>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38"/>
      <w:spacing w:before="15" w:line="19" w:lineRule="exact"/>
      <w:rPr/>
    </w:pPr>
    <w:r>
      <w:rPr>
        <w:position w:val="-1"/>
      </w:rPr>
      <w:pict>
        <v:shape id="_x0000_s1022" style="mso-position-vertical-relative:line;mso-position-horizontal-relative:char;width:425.25pt;height:1.45pt;" fillcolor="#000000" filled="true" stroked="false" coordsize="8505,29" coordorigin="0,0" path="m,l8505,0l8505,28l0,28l0,0xe"/>
      </w:pict>
    </w:r>
  </w:p>
</w:hdr>
</file>

<file path=word/header1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1034" style="mso-position-vertical-relative:line;mso-position-horizontal-relative:char;width:425.25pt;height:1.45pt;" fillcolor="#000000" filled="true" stroked="false" coordsize="8505,29" coordorigin="0,0" path="m,l8505,0l8505,28l0,28l0,0xe"/>
      </w:pict>
    </w:r>
  </w:p>
</w:hdr>
</file>

<file path=word/header1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45"/>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5"/>
      <w:spacing w:before="15" w:line="19" w:lineRule="exact"/>
      <w:rPr/>
    </w:pPr>
    <w:r>
      <w:rPr>
        <w:position w:val="-1"/>
      </w:rPr>
      <w:pict>
        <v:shape id="_x0000_s1042" style="mso-position-vertical-relative:line;mso-position-horizontal-relative:char;width:425.25pt;height:1.45pt;" fillcolor="#000000" filled="true" stroked="false" coordsize="8505,29" coordorigin="0,0" path="m,l8505,0l8505,28l0,28l0,0xe"/>
      </w:pict>
    </w:r>
  </w:p>
</w:hdr>
</file>

<file path=word/header1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43"/>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3"/>
      <w:spacing w:before="15" w:line="19" w:lineRule="exact"/>
      <w:rPr/>
    </w:pPr>
    <w:r>
      <w:rPr>
        <w:position w:val="-1"/>
      </w:rPr>
      <w:pict>
        <v:shape id="_x0000_s1046" style="mso-position-vertical-relative:line;mso-position-horizontal-relative:char;width:425.25pt;height:1.45pt;" fillcolor="#000000" filled="true" stroked="false" coordsize="8505,29" coordorigin="0,0" path="m,l8505,0l8505,28l0,28l0,0xe"/>
      </w:pict>
    </w:r>
  </w:p>
</w:hdr>
</file>

<file path=word/header1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4"/>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4"/>
      <w:spacing w:before="15" w:line="19" w:lineRule="exact"/>
      <w:rPr/>
    </w:pPr>
    <w:r>
      <w:rPr>
        <w:position w:val="-1"/>
      </w:rPr>
      <w:pict>
        <v:shape id="_x0000_s1052" style="mso-position-vertical-relative:line;mso-position-horizontal-relative:char;width:425.25pt;height:1.45pt;" fillcolor="#000000" filled="true" stroked="false" coordsize="8505,29" coordorigin="0,0" path="m,l8505,0l8505,28l0,28l0,0xe"/>
      </w:pict>
    </w:r>
  </w:p>
</w:hdr>
</file>

<file path=word/header1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4"/>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4"/>
      <w:spacing w:before="15" w:line="19" w:lineRule="exact"/>
      <w:rPr/>
    </w:pPr>
    <w:r>
      <w:rPr>
        <w:position w:val="-1"/>
      </w:rPr>
      <w:pict>
        <v:shape id="_x0000_s1060" style="mso-position-vertical-relative:line;mso-position-horizontal-relative:char;width:425.25pt;height:1.45pt;" fillcolor="#000000" filled="true" stroked="false" coordsize="8505,29" coordorigin="0,0" path="m,l8505,0l8505,28l0,28l0,0xe"/>
      </w:pic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88" style="mso-position-vertical-relative:line;mso-position-horizontal-relative:char;width:425.25pt;height:1.45pt;" fillcolor="#000000" filled="true" stroked="false" coordsize="8505,29" coordorigin="0,0" path="m,l8505,0l8505,28l0,28l0,0xe"/>
      </w:pict>
    </w:r>
  </w:p>
</w:hdr>
</file>

<file path=word/header1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5"/>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5"/>
      <w:spacing w:before="15" w:line="19" w:lineRule="exact"/>
      <w:rPr/>
    </w:pPr>
    <w:r>
      <w:rPr>
        <w:position w:val="-1"/>
      </w:rPr>
      <w:pict>
        <v:shape id="_x0000_s1064" style="mso-position-vertical-relative:line;mso-position-horizontal-relative:char;width:425.25pt;height:1.45pt;" fillcolor="#000000" filled="true" stroked="false" coordsize="8505,29" coordorigin="0,0" path="m,l8505,0l8505,28l0,28l0,0xe"/>
      </w:pict>
    </w:r>
  </w:p>
</w:hdr>
</file>

<file path=word/header1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4"/>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4"/>
      <w:spacing w:before="15" w:line="19" w:lineRule="exact"/>
      <w:rPr/>
    </w:pPr>
    <w:r>
      <w:rPr>
        <w:position w:val="-1"/>
      </w:rPr>
      <w:pict>
        <v:shape id="_x0000_s1076" style="mso-position-vertical-relative:line;mso-position-horizontal-relative:char;width:425.25pt;height:1.45pt;" fillcolor="#000000" filled="true" stroked="false" coordsize="8505,29" coordorigin="0,0" path="m,l8505,0l8505,28l0,28l0,0xe"/>
      </w:pict>
    </w:r>
  </w:p>
</w:hdr>
</file>

<file path=word/header1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51"/>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21"/>
      <w:spacing w:before="15" w:line="19" w:lineRule="exact"/>
      <w:rPr/>
    </w:pPr>
    <w:r>
      <w:rPr>
        <w:position w:val="-1"/>
      </w:rPr>
      <w:pict>
        <v:shape id="_x0000_s1090" style="mso-position-vertical-relative:line;mso-position-horizontal-relative:char;width:425.25pt;height:1.45pt;" fillcolor="#000000" filled="true" stroked="false" coordsize="8505,29" coordorigin="0,0" path="m,l8505,0l8505,28l0,28l0,0xe"/>
      </w:pict>
    </w:r>
  </w:p>
</w:hdr>
</file>

<file path=word/header12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77"/>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47"/>
      <w:spacing w:before="15" w:line="19" w:lineRule="exact"/>
      <w:rPr/>
    </w:pPr>
    <w:r>
      <w:rPr>
        <w:position w:val="-1"/>
      </w:rPr>
      <w:pict>
        <v:shape id="_x0000_s1100" style="mso-position-vertical-relative:line;mso-position-horizontal-relative:char;width:425.25pt;height:1.45pt;" fillcolor="#000000" filled="true" stroked="false" coordsize="8505,29" coordorigin="0,0" path="m,l8505,0l8505,28l0,28l0,0xe"/>
      </w:pict>
    </w:r>
  </w:p>
</w:hdr>
</file>

<file path=word/header12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9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60"/>
      <w:spacing w:before="15" w:line="19" w:lineRule="exact"/>
      <w:rPr/>
    </w:pPr>
    <w:r>
      <w:rPr>
        <w:position w:val="-1"/>
      </w:rPr>
      <w:pict>
        <v:shape id="_x0000_s1108" style="mso-position-vertical-relative:line;mso-position-horizontal-relative:char;width:425.25pt;height:1.45pt;" fillcolor="#000000" filled="true" stroked="false" coordsize="8505,29" coordorigin="0,0" path="m,l8505,0l8505,28l0,28l0,0xe"/>
      </w:pict>
    </w:r>
  </w:p>
</w:hdr>
</file>

<file path=word/header12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9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60"/>
      <w:spacing w:before="15" w:line="19" w:lineRule="exact"/>
      <w:rPr/>
    </w:pPr>
    <w:r>
      <w:rPr>
        <w:position w:val="-1"/>
      </w:rPr>
      <w:pict>
        <v:shape id="_x0000_s1118" style="mso-position-vertical-relative:line;mso-position-horizontal-relative:char;width:425.25pt;height:1.45pt;" fillcolor="#000000" filled="true" stroked="false" coordsize="8505,29" coordorigin="0,0" path="m,l8505,0l8505,28l0,28l0,0xe"/>
      </w:pict>
    </w:r>
  </w:p>
</w:hdr>
</file>

<file path=word/header12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41"/>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11"/>
      <w:spacing w:before="15" w:line="19" w:lineRule="exact"/>
      <w:rPr/>
    </w:pPr>
    <w:r>
      <w:rPr>
        <w:position w:val="-1"/>
      </w:rPr>
      <w:pict>
        <v:shape id="_x0000_s1122" style="mso-position-vertical-relative:line;mso-position-horizontal-relative:char;width:425.25pt;height:1.45pt;" fillcolor="#000000" filled="true" stroked="false" coordsize="8505,29" coordorigin="0,0" path="m,l8505,0l8505,28l0,28l0,0xe"/>
      </w:pict>
    </w:r>
  </w:p>
</w:hdr>
</file>

<file path=word/header12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47"/>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7"/>
      <w:spacing w:before="15" w:line="19" w:lineRule="exact"/>
      <w:rPr/>
    </w:pPr>
    <w:r>
      <w:rPr>
        <w:position w:val="-1"/>
      </w:rPr>
      <w:pict>
        <v:shape id="_x0000_s1128" style="mso-position-vertical-relative:line;mso-position-horizontal-relative:char;width:425.25pt;height:1.45pt;" fillcolor="#000000" filled="true" stroked="false" coordsize="8505,29" coordorigin="0,0" path="m,l8505,0l8505,28l0,28l0,0xe"/>
      </w:pict>
    </w:r>
  </w:p>
</w:hdr>
</file>

<file path=word/header12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77"/>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47"/>
      <w:spacing w:before="15" w:line="19" w:lineRule="exact"/>
      <w:rPr/>
    </w:pPr>
    <w:r>
      <w:rPr>
        <w:position w:val="-1"/>
      </w:rPr>
      <w:pict>
        <v:shape id="_x0000_s1132" style="mso-position-vertical-relative:line;mso-position-horizontal-relative:char;width:425.25pt;height:1.45pt;" fillcolor="#000000" filled="true" stroked="false" coordsize="8505,29" coordorigin="0,0" path="m,l8505,0l8505,28l0,28l0,0xe"/>
      </w:pict>
    </w:r>
  </w:p>
</w:hdr>
</file>

<file path=word/header12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62"/>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32"/>
      <w:spacing w:before="15" w:line="19" w:lineRule="exact"/>
      <w:rPr/>
    </w:pPr>
    <w:r>
      <w:rPr>
        <w:position w:val="-1"/>
      </w:rPr>
      <w:pict>
        <v:shape id="_x0000_s1138" style="mso-position-vertical-relative:line;mso-position-horizontal-relative:char;width:425.25pt;height:1.45pt;" fillcolor="#000000" filled="true" stroked="false" coordsize="8505,29" coordorigin="0,0" path="m,l8505,0l8505,28l0,28l0,0xe"/>
      </w:pic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541"/>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43"/>
      <w:spacing w:before="15" w:line="19" w:lineRule="exact"/>
      <w:rPr/>
    </w:pPr>
    <w:r>
      <w:rPr>
        <w:position w:val="-1"/>
      </w:rPr>
      <w:pict>
        <v:shape id="_x0000_s100" style="mso-position-vertical-relative:line;mso-position-horizontal-relative:char;width:671.95pt;height:1.45pt;" fillcolor="#000000" filled="true" stroked="false" coordsize="13439,29" coordorigin="0,0" path="m,l13438,0l13438,28l0,28l0,0xe"/>
      </w:pict>
    </w:r>
  </w:p>
</w:hdr>
</file>

<file path=word/header13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1172" style="mso-position-vertical-relative:line;mso-position-horizontal-relative:char;width:425.25pt;height:1.45pt;" fillcolor="#000000" filled="true" stroked="false" coordsize="8505,29" coordorigin="0,0" path="m,l8505,0l8505,28l0,28l0,0xe"/>
      </w:pict>
    </w:r>
  </w:p>
</w:hdr>
</file>

<file path=word/header13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51"/>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21"/>
      <w:spacing w:before="15" w:line="19" w:lineRule="exact"/>
      <w:rPr/>
    </w:pPr>
    <w:r>
      <w:rPr>
        <w:position w:val="-1"/>
      </w:rPr>
      <w:pict>
        <v:shape id="_x0000_s1180" style="mso-position-vertical-relative:line;mso-position-horizontal-relative:char;width:425.25pt;height:1.45pt;" fillcolor="#000000" filled="true" stroked="false" coordsize="8505,29" coordorigin="0,0" path="m,l8505,0l8505,28l0,28l0,0xe"/>
      </w:pict>
    </w:r>
  </w:p>
</w:hdr>
</file>

<file path=word/header13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51"/>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21"/>
      <w:spacing w:before="15" w:line="19" w:lineRule="exact"/>
      <w:rPr/>
    </w:pPr>
    <w:r>
      <w:rPr>
        <w:position w:val="-1"/>
      </w:rPr>
      <w:pict>
        <v:shape id="_x0000_s1186" style="mso-position-vertical-relative:line;mso-position-horizontal-relative:char;width:425.25pt;height:1.45pt;" fillcolor="#000000" filled="true" stroked="false" coordsize="8505,29" coordorigin="0,0" path="m,l8505,0l8505,28l0,28l0,0xe"/>
      </w:pict>
    </w:r>
  </w:p>
</w:hdr>
</file>

<file path=word/header13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71"/>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41"/>
      <w:spacing w:before="15" w:line="19" w:lineRule="exact"/>
      <w:rPr/>
    </w:pPr>
    <w:r>
      <w:rPr>
        <w:position w:val="-1"/>
      </w:rPr>
      <w:pict>
        <v:shape id="_x0000_s1194" style="mso-position-vertical-relative:line;mso-position-horizontal-relative:char;width:425.25pt;height:1.45pt;" fillcolor="#000000" filled="true" stroked="false" coordsize="8505,29" coordorigin="0,0" path="m,l8505,0l8505,28l0,28l0,0xe"/>
      </w:pict>
    </w:r>
  </w:p>
</w:hdr>
</file>

<file path=word/header13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45"/>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5"/>
      <w:spacing w:before="15" w:line="19" w:lineRule="exact"/>
      <w:rPr/>
    </w:pPr>
    <w:r>
      <w:rPr>
        <w:position w:val="-1"/>
      </w:rPr>
      <w:pict>
        <v:shape id="_x0000_s1208" style="mso-position-vertical-relative:line;mso-position-horizontal-relative:char;width:425.25pt;height:1.45pt;" fillcolor="#000000" filled="true" stroked="false" coordsize="8505,29" coordorigin="0,0" path="m,l8505,0l8505,28l0,28l0,0xe"/>
      </w:pict>
    </w:r>
  </w:p>
</w:hdr>
</file>

<file path=word/header13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2"/>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2"/>
      <w:spacing w:before="15" w:line="19" w:lineRule="exact"/>
      <w:rPr/>
    </w:pPr>
    <w:r>
      <w:rPr>
        <w:position w:val="-1"/>
      </w:rPr>
      <w:pict>
        <v:shape id="_x0000_s1222" style="mso-position-vertical-relative:line;mso-position-horizontal-relative:char;width:425.25pt;height:1.45pt;" fillcolor="#000000" filled="true" stroked="false" coordsize="8505,29" coordorigin="0,0" path="m,l8505,0l8505,28l0,28l0,0xe"/>
      </w:pict>
    </w:r>
  </w:p>
</w:hdr>
</file>

<file path=word/header13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03"/>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73"/>
      <w:spacing w:before="15" w:line="19" w:lineRule="exact"/>
      <w:rPr/>
    </w:pPr>
    <w:r>
      <w:rPr>
        <w:position w:val="-1"/>
      </w:rPr>
      <w:pict>
        <v:shape id="_x0000_s1230" style="mso-position-vertical-relative:line;mso-position-horizontal-relative:char;width:425.25pt;height:1.45pt;" fillcolor="#000000" filled="true" stroked="false" coordsize="8505,29" coordorigin="0,0" path="m,l8505,0l8505,28l0,28l0,0xe"/>
      </w:pict>
    </w:r>
  </w:p>
</w:hdr>
</file>

<file path=word/header13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37"/>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07"/>
      <w:spacing w:before="15" w:line="19" w:lineRule="exact"/>
      <w:rPr/>
    </w:pPr>
    <w:r>
      <w:rPr>
        <w:position w:val="-1"/>
      </w:rPr>
      <w:pict>
        <v:shape id="_x0000_s1234" style="mso-position-vertical-relative:line;mso-position-horizontal-relative:char;width:425.25pt;height:1.45pt;" fillcolor="#000000" filled="true" stroked="false" coordsize="8505,29" coordorigin="0,0" path="m,l8505,0l8505,28l0,28l0,0xe"/>
      </w:pict>
    </w:r>
  </w:p>
</w:hdr>
</file>

<file path=word/header13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37"/>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07"/>
      <w:spacing w:before="15" w:line="19" w:lineRule="exact"/>
      <w:rPr/>
    </w:pPr>
    <w:r>
      <w:rPr>
        <w:position w:val="-1"/>
      </w:rPr>
      <w:pict>
        <v:shape id="_x0000_s1240" style="mso-position-vertical-relative:line;mso-position-horizontal-relative:char;width:425.25pt;height:1.45pt;" fillcolor="#000000" filled="true" stroked="false" coordsize="8505,29" coordorigin="0,0" path="m,l8505,0l8505,28l0,28l0,0xe"/>
      </w:pict>
    </w:r>
  </w:p>
</w:hdr>
</file>

<file path=word/header13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7"/>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7"/>
      <w:spacing w:before="15" w:line="19" w:lineRule="exact"/>
      <w:rPr/>
    </w:pPr>
    <w:r>
      <w:rPr>
        <w:position w:val="-1"/>
      </w:rPr>
      <w:pict>
        <v:shape id="_x0000_s1244" style="mso-position-vertical-relative:line;mso-position-horizontal-relative:char;width:425.25pt;height:1.45pt;" fillcolor="#000000" filled="true" stroked="false" coordsize="8505,29" coordorigin="0,0" path="m,l8505,0l8505,28l0,28l0,0xe"/>
      </w:pic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116" style="mso-position-vertical-relative:line;mso-position-horizontal-relative:char;width:425.25pt;height:1.45pt;" fillcolor="#000000" filled="true" stroked="false" coordsize="8505,29" coordorigin="0,0" path="m,l8505,0l8505,28l0,28l0,0xe"/>
      </w:pict>
    </w:r>
  </w:p>
</w:hdr>
</file>

<file path=word/header14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1262" style="mso-position-vertical-relative:line;mso-position-horizontal-relative:char;width:425.25pt;height:1.45pt;" fillcolor="#000000" filled="true" stroked="false" coordsize="8505,29" coordorigin="0,0" path="m,l8505,0l8505,28l0,28l0,0xe"/>
      </w:pict>
    </w:r>
  </w:p>
</w:hdr>
</file>

<file path=word/header14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74"/>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44"/>
      <w:spacing w:before="15" w:line="19" w:lineRule="exact"/>
      <w:rPr/>
    </w:pPr>
    <w:r>
      <w:rPr>
        <w:position w:val="-1"/>
      </w:rPr>
      <w:pict>
        <v:shape id="_x0000_s1294" style="mso-position-vertical-relative:line;mso-position-horizontal-relative:char;width:425.25pt;height:1.45pt;" fillcolor="#000000" filled="true" stroked="false" coordsize="8505,29" coordorigin="0,0" path="m,l8505,0l8505,28l0,28l0,0xe"/>
      </w:pict>
    </w:r>
  </w:p>
</w:hdr>
</file>

<file path=word/header14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1322" style="mso-position-vertical-relative:line;mso-position-horizontal-relative:char;width:425.25pt;height:1.45pt;" fillcolor="#000000" filled="true" stroked="false" coordsize="8505,29" coordorigin="0,0" path="m,l8505,0l8505,28l0,28l0,0xe"/>
      </w:pict>
    </w:r>
  </w:p>
</w:hdr>
</file>

<file path=word/header14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13"/>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83"/>
      <w:spacing w:before="15" w:line="19" w:lineRule="exact"/>
      <w:rPr/>
    </w:pPr>
    <w:r>
      <w:rPr>
        <w:position w:val="-1"/>
      </w:rPr>
      <w:pict>
        <v:shape id="_x0000_s1334" style="mso-position-vertical-relative:line;mso-position-horizontal-relative:char;width:425.25pt;height:1.45pt;" fillcolor="#000000" filled="true" stroked="false" coordsize="8505,29" coordorigin="0,0" path="m,l8505,0l8505,28l0,28l0,0xe"/>
      </w:pict>
    </w:r>
  </w:p>
</w:hdr>
</file>

<file path=word/header14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1350" style="mso-position-vertical-relative:line;mso-position-horizontal-relative:char;width:425.25pt;height:1.45pt;" fillcolor="#000000" filled="true" stroked="false" coordsize="8505,29" coordorigin="0,0" path="m,l8505,0l8505,28l0,28l0,0xe"/>
      </w:pict>
    </w:r>
  </w:p>
</w:hdr>
</file>

<file path=word/header14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1358" style="mso-position-vertical-relative:line;mso-position-horizontal-relative:char;width:425.25pt;height:1.45pt;" fillcolor="#000000" filled="true" stroked="false" coordsize="8505,29" coordorigin="0,0" path="m,l8505,0l8505,28l0,28l0,0xe"/>
      </w:pict>
    </w:r>
  </w:p>
</w:hdr>
</file>

<file path=word/header14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1386" style="mso-position-vertical-relative:line;mso-position-horizontal-relative:char;width:425.25pt;height:1.45pt;" fillcolor="#000000" filled="true" stroked="false" coordsize="8505,29" coordorigin="0,0" path="m,l8505,0l8505,28l0,28l0,0xe"/>
      </w:pic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122" style="mso-position-vertical-relative:line;mso-position-horizontal-relative:char;width:425.25pt;height:1.45pt;" fillcolor="#000000" filled="true" stroked="false" coordsize="8505,29" coordorigin="0,0" path="m,l8505,0l8505,28l0,28l0,0xe"/>
      </w:pic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128" style="mso-position-vertical-relative:line;mso-position-horizontal-relative:char;width:425.25pt;height:1.45pt;" fillcolor="#000000" filled="true" stroked="false" coordsize="8505,29" coordorigin="0,0" path="m,l8505,0l8505,28l0,28l0,0xe"/>
      </w:pic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4"/>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4"/>
      <w:spacing w:before="15" w:line="19" w:lineRule="exact"/>
      <w:rPr/>
    </w:pPr>
    <w:r>
      <w:rPr>
        <w:position w:val="-1"/>
      </w:rPr>
      <w:pict>
        <v:shape id="_x0000_s142" style="mso-position-vertical-relative:line;mso-position-horizontal-relative:char;width:425.25pt;height:1.45pt;" fillcolor="#000000" filled="true" stroked="false" coordsize="8505,29" coordorigin="0,0" path="m,l8505,0l8505,28l0,28l0,0xe"/>
      </w:pict>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234"/>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204"/>
      <w:spacing w:before="15" w:line="19" w:lineRule="exact"/>
      <w:rPr/>
    </w:pPr>
    <w:r>
      <w:rPr>
        <w:position w:val="-1"/>
      </w:rPr>
      <w:pict>
        <v:shape id="_x0000_s148" style="mso-position-vertical-relative:line;mso-position-horizontal-relative:char;width:425.25pt;height:1.45pt;" fillcolor="#000000" filled="true" stroked="false" coordsize="8505,29" coordorigin="0,0" path="m,l8505,0l8505,28l0,28l0,0xe"/>
      </w:pict>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9"/>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9"/>
      <w:spacing w:before="15" w:line="19" w:lineRule="exact"/>
      <w:rPr/>
    </w:pPr>
    <w:r>
      <w:rPr>
        <w:position w:val="-1"/>
      </w:rPr>
      <w:pict>
        <v:shape id="_x0000_s158" style="mso-position-vertical-relative:line;mso-position-horizontal-relative:char;width:425.25pt;height:1.45pt;" fillcolor="#000000" filled="true" stroked="false" coordsize="8505,29" coordorigin="0,0" path="m,l8505,0l8505,28l0,28l0,0xe"/>
      </w:pic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6" style="mso-position-vertical-relative:line;mso-position-horizontal-relative:char;width:425.25pt;height:1.45pt;" fillcolor="#000000" filled="true" stroked="false" coordsize="8505,29" coordorigin="0,0" path="m,l8505,0l8505,28l0,28l0,0xe"/>
      </w:pict>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44"/>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4"/>
      <w:spacing w:before="15" w:line="19" w:lineRule="exact"/>
      <w:rPr/>
    </w:pPr>
    <w:r>
      <w:rPr>
        <w:position w:val="-1"/>
      </w:rPr>
      <w:pict>
        <v:shape id="_x0000_s170" style="mso-position-vertical-relative:line;mso-position-horizontal-relative:char;width:425.25pt;height:1.45pt;" fillcolor="#000000" filled="true" stroked="false" coordsize="8505,29" coordorigin="0,0" path="m,l8505,0l8505,28l0,28l0,0xe"/>
      </w:pict>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47"/>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7"/>
      <w:spacing w:before="15" w:line="19" w:lineRule="exact"/>
      <w:rPr/>
    </w:pPr>
    <w:r>
      <w:rPr>
        <w:position w:val="-1"/>
      </w:rPr>
      <w:pict>
        <v:shape id="_x0000_s176" style="mso-position-vertical-relative:line;mso-position-horizontal-relative:char;width:425.25pt;height:1.45pt;" fillcolor="#000000" filled="true" stroked="false" coordsize="8505,29" coordorigin="0,0" path="m,l8505,0l8505,28l0,28l0,0xe"/>
      </w:pict>
    </w:r>
  </w:p>
</w:hdr>
</file>

<file path=word/header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8"/>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8"/>
      <w:spacing w:before="15" w:line="19" w:lineRule="exact"/>
      <w:rPr/>
    </w:pPr>
    <w:r>
      <w:rPr>
        <w:position w:val="-1"/>
      </w:rPr>
      <w:pict>
        <v:shape id="_x0000_s182" style="mso-position-vertical-relative:line;mso-position-horizontal-relative:char;width:425.25pt;height:1.45pt;" fillcolor="#000000" filled="true" stroked="false" coordsize="8505,29" coordorigin="0,0" path="m,l8505,0l8505,28l0,28l0,0xe"/>
      </w:pict>
    </w:r>
  </w:p>
</w:hdr>
</file>

<file path=word/header2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64"/>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34"/>
      <w:spacing w:before="15" w:line="19" w:lineRule="exact"/>
      <w:rPr/>
    </w:pPr>
    <w:r>
      <w:rPr>
        <w:position w:val="-1"/>
      </w:rPr>
      <w:pict>
        <v:shape id="_x0000_s188" style="mso-position-vertical-relative:line;mso-position-horizontal-relative:char;width:425.25pt;height:1.45pt;" fillcolor="#000000" filled="true" stroked="false" coordsize="8505,29" coordorigin="0,0" path="m,l8505,0l8505,28l0,28l0,0xe"/>
      </w:pict>
    </w:r>
  </w:p>
</w:hdr>
</file>

<file path=word/header2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9"/>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9"/>
      <w:spacing w:before="15" w:line="19" w:lineRule="exact"/>
      <w:rPr/>
    </w:pPr>
    <w:r>
      <w:rPr>
        <w:position w:val="-1"/>
      </w:rPr>
      <w:pict>
        <v:shape id="_x0000_s198" style="mso-position-vertical-relative:line;mso-position-horizontal-relative:char;width:425.25pt;height:1.45pt;" fillcolor="#000000" filled="true" stroked="false" coordsize="8505,29" coordorigin="0,0" path="m,l8505,0l8505,28l0,28l0,0xe"/>
      </w:pict>
    </w:r>
  </w:p>
</w:hdr>
</file>

<file path=word/header2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55"/>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25"/>
      <w:spacing w:before="15" w:line="19" w:lineRule="exact"/>
      <w:rPr/>
    </w:pPr>
    <w:r>
      <w:rPr>
        <w:position w:val="-1"/>
      </w:rPr>
      <w:pict>
        <v:shape id="_x0000_s204" style="mso-position-vertical-relative:line;mso-position-horizontal-relative:char;width:425.25pt;height:1.45pt;" fillcolor="#000000" filled="true" stroked="false" coordsize="8505,29" coordorigin="0,0" path="m,l8505,0l8505,28l0,28l0,0xe"/>
      </w:pict>
    </w:r>
  </w:p>
</w:hdr>
</file>

<file path=word/header2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54"/>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24"/>
      <w:spacing w:before="15" w:line="19" w:lineRule="exact"/>
      <w:rPr/>
    </w:pPr>
    <w:r>
      <w:rPr>
        <w:position w:val="-1"/>
      </w:rPr>
      <w:pict>
        <v:shape id="_x0000_s218" style="mso-position-vertical-relative:line;mso-position-horizontal-relative:char;width:425.25pt;height:1.45pt;" fillcolor="#000000" filled="true" stroked="false" coordsize="8505,29" coordorigin="0,0" path="m,l8505,0l8505,28l0,28l0,0xe"/>
      </w:pict>
    </w:r>
  </w:p>
</w:hdr>
</file>

<file path=word/header2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42"/>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12"/>
      <w:spacing w:before="15" w:line="19" w:lineRule="exact"/>
      <w:rPr/>
    </w:pPr>
    <w:r>
      <w:rPr>
        <w:position w:val="-1"/>
      </w:rPr>
      <w:pict>
        <v:shape id="_x0000_s226" style="mso-position-vertical-relative:line;mso-position-horizontal-relative:char;width:425.25pt;height:1.45pt;" fillcolor="#000000" filled="true" stroked="false" coordsize="8505,29" coordorigin="0,0" path="m,l8505,0l8505,28l0,28l0,0xe"/>
      </w:pict>
    </w:r>
  </w:p>
</w:hdr>
</file>

<file path=word/header2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43"/>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3"/>
      <w:spacing w:before="15" w:line="19" w:lineRule="exact"/>
      <w:rPr/>
    </w:pPr>
    <w:r>
      <w:rPr>
        <w:position w:val="-1"/>
      </w:rPr>
      <w:pict>
        <v:shape id="_x0000_s236" style="mso-position-vertical-relative:line;mso-position-horizontal-relative:char;width:425.25pt;height:1.45pt;" fillcolor="#000000" filled="true" stroked="false" coordsize="8505,29" coordorigin="0,0" path="m,l8505,0l8505,28l0,28l0,0xe"/>
      </w:pict>
    </w:r>
  </w:p>
</w:hdr>
</file>

<file path=word/header2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64"/>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252" style="mso-position-vertical-relative:line;mso-position-horizontal-relative:char;width:728.6pt;height:1.45pt;" fillcolor="#000000" filled="true" stroked="false" coordsize="14571,29" coordorigin="0,0" path="m,l14571,0l14571,28l0,28l0,0xe"/>
      </w:pic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12" style="mso-position-vertical-relative:line;mso-position-horizontal-relative:char;width:425.25pt;height:1.45pt;" fillcolor="#000000" filled="true" stroked="false" coordsize="8505,29" coordorigin="0,0" path="m,l8505,0l8505,28l0,28l0,0xe"/>
      </w:pict>
    </w:r>
  </w:p>
</w:hdr>
</file>

<file path=word/header3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256" style="mso-position-vertical-relative:line;mso-position-horizontal-relative:char;width:425.25pt;height:1.45pt;" fillcolor="#000000" filled="true" stroked="false" coordsize="8505,29" coordorigin="0,0" path="m,l8505,0l8505,28l0,28l0,0xe"/>
      </w:pict>
    </w:r>
  </w:p>
</w:hdr>
</file>

<file path=word/header3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343"/>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278"/>
      <w:spacing w:before="15" w:line="19" w:lineRule="exact"/>
      <w:rPr/>
    </w:pPr>
    <w:r>
      <w:rPr>
        <w:position w:val="-1"/>
      </w:rPr>
      <w:pict>
        <v:shape id="_x0000_s270" style="mso-position-vertical-relative:line;mso-position-horizontal-relative:char;width:728.6pt;height:1.45pt;" fillcolor="#000000" filled="true" stroked="false" coordsize="14571,29" coordorigin="0,0" path="m,l14571,0l14571,28l0,28l0,0xe"/>
      </w:pict>
    </w:r>
  </w:p>
</w:hdr>
</file>

<file path=word/header3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280" style="mso-position-vertical-relative:line;mso-position-horizontal-relative:char;width:425.25pt;height:1.45pt;" fillcolor="#000000" filled="true" stroked="false" coordsize="8505,29" coordorigin="0,0" path="m,l8505,0l8505,28l0,28l0,0xe"/>
      </w:pict>
    </w:r>
  </w:p>
</w:hdr>
</file>

<file path=word/header3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064"/>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4" w:line="19" w:lineRule="exact"/>
      <w:rPr/>
    </w:pPr>
    <w:r>
      <w:rPr>
        <w:position w:val="-1"/>
      </w:rPr>
      <w:pict>
        <v:shape id="_x0000_s284" style="mso-position-vertical-relative:line;mso-position-horizontal-relative:char;width:728.6pt;height:1.45pt;" fillcolor="#000000" filled="true" stroked="false" coordsize="14571,29" coordorigin="0,0" path="m,l14571,0l14571,28l0,28l0,0xe"/>
      </w:pict>
    </w:r>
  </w:p>
</w:hdr>
</file>

<file path=word/header3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85"/>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55"/>
      <w:spacing w:before="15" w:line="19" w:lineRule="exact"/>
      <w:rPr/>
    </w:pPr>
    <w:r>
      <w:rPr>
        <w:position w:val="-1"/>
      </w:rPr>
      <w:pict>
        <v:shape id="_x0000_s288" style="mso-position-vertical-relative:line;mso-position-horizontal-relative:char;width:425.25pt;height:1.45pt;" fillcolor="#000000" filled="true" stroked="false" coordsize="8505,29" coordorigin="0,0" path="m,l8505,0l8505,28l0,28l0,0xe"/>
      </w:pict>
    </w:r>
  </w:p>
</w:hdr>
</file>

<file path=word/header3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9"/>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9"/>
      <w:spacing w:before="15" w:line="19" w:lineRule="exact"/>
      <w:rPr/>
    </w:pPr>
    <w:r>
      <w:rPr>
        <w:position w:val="-1"/>
      </w:rPr>
      <w:pict>
        <v:shape id="_x0000_s292" style="mso-position-vertical-relative:line;mso-position-horizontal-relative:char;width:425.25pt;height:1.45pt;" fillcolor="#000000" filled="true" stroked="false" coordsize="8505,29" coordorigin="0,0" path="m,l8505,0l8505,28l0,28l0,0xe"/>
      </w:pict>
    </w:r>
  </w:p>
</w:hdr>
</file>

<file path=word/header3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72"/>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42"/>
      <w:spacing w:before="15" w:line="19" w:lineRule="exact"/>
      <w:rPr/>
    </w:pPr>
    <w:r>
      <w:rPr>
        <w:position w:val="-1"/>
      </w:rPr>
      <w:pict>
        <v:shape id="_x0000_s300" style="mso-position-vertical-relative:line;mso-position-horizontal-relative:char;width:425.25pt;height:1.45pt;" fillcolor="#000000" filled="true" stroked="false" coordsize="8505,29" coordorigin="0,0" path="m,l8505,0l8505,28l0,28l0,0xe"/>
      </w:pict>
    </w:r>
  </w:p>
</w:hdr>
</file>

<file path=word/header3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66"/>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36"/>
      <w:spacing w:before="15" w:line="19" w:lineRule="exact"/>
      <w:rPr/>
    </w:pPr>
    <w:r>
      <w:rPr>
        <w:position w:val="-1"/>
      </w:rPr>
      <w:pict>
        <v:shape id="_x0000_s306" style="mso-position-vertical-relative:line;mso-position-horizontal-relative:char;width:425.25pt;height:1.45pt;" fillcolor="#000000" filled="true" stroked="false" coordsize="8505,29" coordorigin="0,0" path="m,l8505,0l8505,28l0,28l0,0xe"/>
      </w:pict>
    </w:r>
  </w:p>
</w:hdr>
</file>

<file path=word/header3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66"/>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36"/>
      <w:spacing w:before="15" w:line="19" w:lineRule="exact"/>
      <w:rPr/>
    </w:pPr>
    <w:r>
      <w:rPr>
        <w:position w:val="-1"/>
      </w:rPr>
      <w:pict>
        <v:shape id="_x0000_s312" style="mso-position-vertical-relative:line;mso-position-horizontal-relative:char;width:425.25pt;height:1.45pt;" fillcolor="#000000" filled="true" stroked="false" coordsize="8505,29" coordorigin="0,0" path="m,l8505,0l8505,28l0,28l0,0xe"/>
      </w:pict>
    </w:r>
  </w:p>
</w:hdr>
</file>

<file path=word/header3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55"/>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25"/>
      <w:spacing w:before="15" w:line="19" w:lineRule="exact"/>
      <w:rPr/>
    </w:pPr>
    <w:r>
      <w:rPr>
        <w:position w:val="-1"/>
      </w:rPr>
      <w:pict>
        <v:shape id="_x0000_s318" style="mso-position-vertical-relative:line;mso-position-horizontal-relative:char;width:425.25pt;height:1.45pt;" fillcolor="#000000" filled="true" stroked="false" coordsize="8505,29" coordorigin="0,0" path="m,l8505,0l8505,28l0,28l0,0xe"/>
      </w:pict>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16" style="mso-position-vertical-relative:line;mso-position-horizontal-relative:char;width:425.25pt;height:1.45pt;" fillcolor="#000000" filled="true" stroked="false" coordsize="8505,29" coordorigin="0,0" path="m,l8505,0l8505,28l0,28l0,0xe"/>
      </w:pict>
    </w:r>
  </w:p>
</w:hdr>
</file>

<file path=word/header4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46"/>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6"/>
      <w:spacing w:before="15" w:line="19" w:lineRule="exact"/>
      <w:rPr/>
    </w:pPr>
    <w:r>
      <w:rPr>
        <w:position w:val="-1"/>
      </w:rPr>
      <w:pict>
        <v:shape id="_x0000_s324" style="mso-position-vertical-relative:line;mso-position-horizontal-relative:char;width:425.25pt;height:1.45pt;" fillcolor="#000000" filled="true" stroked="false" coordsize="8505,29" coordorigin="0,0" path="m,l8505,0l8505,28l0,28l0,0xe"/>
      </w:pict>
    </w:r>
  </w:p>
</w:hdr>
</file>

<file path=word/header4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338" style="mso-position-vertical-relative:line;mso-position-horizontal-relative:char;width:425.25pt;height:1.45pt;" fillcolor="#000000" filled="true" stroked="false" coordsize="8505,29" coordorigin="0,0" path="m,l8505,0l8505,28l0,28l0,0xe"/>
      </w:pict>
    </w:r>
  </w:p>
</w:hdr>
</file>

<file path=word/header4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46"/>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6"/>
      <w:spacing w:before="15" w:line="19" w:lineRule="exact"/>
      <w:rPr/>
    </w:pPr>
    <w:r>
      <w:rPr>
        <w:position w:val="-1"/>
      </w:rPr>
      <w:pict>
        <v:shape id="_x0000_s344" style="mso-position-vertical-relative:line;mso-position-horizontal-relative:char;width:425.25pt;height:1.45pt;" fillcolor="#000000" filled="true" stroked="false" coordsize="8505,29" coordorigin="0,0" path="m,l8505,0l8505,28l0,28l0,0xe"/>
      </w:pict>
    </w:r>
  </w:p>
</w:hdr>
</file>

<file path=word/header4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pict>
        <v:shape id="WordPictureWatermark350" style="position:absolute;margin-left:90.7901pt;margin-top:91.7388pt;mso-position-vertical-relative:page;mso-position-horizontal-relative:page;width:409.2pt;height:284.8pt;z-index:-251658240;" o:allowincell="f" filled="false" stroked="false" type="#_x0000_t75">
          <v:imagedata o:title="" r:id="rId1"/>
        </v:shape>
      </w:pict>
    </w: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352" style="mso-position-vertical-relative:line;mso-position-horizontal-relative:char;width:425.25pt;height:1.45pt;" fillcolor="#000000" filled="true" stroked="false" coordsize="8505,29" coordorigin="0,0" path="m,l8505,0l8505,28l0,28l0,0xe"/>
      </w:pict>
    </w:r>
  </w:p>
</w:hdr>
</file>

<file path=word/header4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pict>
        <v:shape id="WordPictureWatermark382" style="position:absolute;margin-left:87.7955pt;margin-top:86.796pt;mso-position-vertical-relative:page;mso-position-horizontal-relative:page;width:419.1pt;height:364.55pt;z-index:-251657216;" o:allowincell="f" filled="false" stroked="false" type="#_x0000_t75">
          <v:imagedata o:title="" r:id="rId1"/>
        </v:shape>
      </w:pict>
    </w: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384" style="mso-position-vertical-relative:line;mso-position-horizontal-relative:char;width:425.25pt;height:1.45pt;" fillcolor="#000000" filled="true" stroked="false" coordsize="8505,29" coordorigin="0,0" path="m,l8505,0l8505,28l0,28l0,0xe"/>
      </w:pict>
    </w:r>
  </w:p>
</w:hdr>
</file>

<file path=word/header4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2"/>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2"/>
      <w:spacing w:before="15" w:line="19" w:lineRule="exact"/>
      <w:rPr/>
    </w:pPr>
    <w:r>
      <w:rPr>
        <w:position w:val="-1"/>
      </w:rPr>
      <w:pict>
        <v:shape id="_x0000_s394" style="mso-position-vertical-relative:line;mso-position-horizontal-relative:char;width:425.25pt;height:1.45pt;" fillcolor="#000000" filled="true" stroked="false" coordsize="8505,29" coordorigin="0,0" path="m,l8505,0l8505,28l0,28l0,0xe"/>
      </w:pict>
    </w:r>
  </w:p>
</w:hdr>
</file>

<file path=word/header4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66"/>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36"/>
      <w:spacing w:before="15" w:line="19" w:lineRule="exact"/>
      <w:rPr/>
    </w:pPr>
    <w:r>
      <w:rPr>
        <w:position w:val="-1"/>
      </w:rPr>
      <w:pict>
        <v:shape id="_x0000_s408" style="mso-position-vertical-relative:line;mso-position-horizontal-relative:char;width:425.25pt;height:1.45pt;" fillcolor="#000000" filled="true" stroked="false" coordsize="8505,29" coordorigin="0,0" path="m,l8505,0l8505,28l0,28l0,0xe"/>
      </w:pict>
    </w:r>
  </w:p>
</w:hdr>
</file>

<file path=word/header4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pict>
        <v:shape id="WordPictureWatermark418" style="position:absolute;margin-left:94.7719pt;margin-top:88.7531pt;mso-position-vertical-relative:page;mso-position-horizontal-relative:page;width:401.75pt;height:295pt;z-index:-251656192;" o:allowincell="f" filled="false" stroked="false" type="#_x0000_t75">
          <v:imagedata o:title="" r:id="rId1"/>
        </v:shape>
      </w:pict>
    </w: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420" style="mso-position-vertical-relative:line;mso-position-horizontal-relative:char;width:425.25pt;height:1.45pt;" fillcolor="#000000" filled="true" stroked="false" coordsize="8505,29" coordorigin="0,0" path="m,l8505,0l8505,28l0,28l0,0xe"/>
      </w:pict>
    </w:r>
  </w:p>
</w:hdr>
</file>

<file path=word/header4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32"/>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02"/>
      <w:spacing w:before="15" w:line="19" w:lineRule="exact"/>
      <w:rPr/>
    </w:pPr>
    <w:r>
      <w:rPr>
        <w:position w:val="-1"/>
      </w:rPr>
      <w:pict>
        <v:shape id="_x0000_s430" style="mso-position-vertical-relative:line;mso-position-horizontal-relative:char;width:425.25pt;height:1.45pt;" fillcolor="#000000" filled="true" stroked="false" coordsize="8505,29" coordorigin="0,0" path="m,l8505,0l8505,28l0,28l0,0xe"/>
      </w:pict>
    </w:r>
  </w:p>
</w:hdr>
</file>

<file path=word/header4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8"/>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8"/>
      <w:spacing w:before="15" w:line="19" w:lineRule="exact"/>
      <w:rPr/>
    </w:pPr>
    <w:r>
      <w:rPr>
        <w:position w:val="-1"/>
      </w:rPr>
      <w:pict>
        <v:shape id="_x0000_s444" style="mso-position-vertical-relative:line;mso-position-horizontal-relative:char;width:425.25pt;height:1.45pt;" fillcolor="#000000" filled="true" stroked="false" coordsize="8505,29" coordorigin="0,0" path="m,l8505,0l8505,28l0,28l0,0xe"/>
      </w:pic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
</w:hdr>
</file>

<file path=word/header5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7"/>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7"/>
      <w:spacing w:before="15" w:line="19" w:lineRule="exact"/>
      <w:rPr/>
    </w:pPr>
    <w:r>
      <w:rPr>
        <w:position w:val="-1"/>
      </w:rPr>
      <w:pict>
        <v:shape id="_x0000_s450" style="mso-position-vertical-relative:line;mso-position-horizontal-relative:char;width:425.25pt;height:1.45pt;" fillcolor="#000000" filled="true" stroked="false" coordsize="8505,29" coordorigin="0,0" path="m,l8505,0l8505,28l0,28l0,0xe"/>
      </w:pict>
    </w:r>
  </w:p>
</w:hdr>
</file>

<file path=word/header5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pict>
        <v:shape id="WordPictureWatermark456" style="position:absolute;margin-left:85.8pt;margin-top:87.7936pt;mso-position-vertical-relative:page;mso-position-horizontal-relative:page;width:415.95pt;height:354.9pt;z-index:-251655168;" o:allowincell="f" filled="false" stroked="false" type="#_x0000_t75">
          <v:imagedata o:title="" r:id="rId1"/>
        </v:shape>
      </w:pict>
    </w: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458" style="mso-position-vertical-relative:line;mso-position-horizontal-relative:char;width:425.25pt;height:1.45pt;" fillcolor="#000000" filled="true" stroked="false" coordsize="8505,29" coordorigin="0,0" path="m,l8505,0l8505,28l0,28l0,0xe"/>
      </w:pict>
    </w:r>
  </w:p>
</w:hdr>
</file>

<file path=word/header5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42"/>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12"/>
      <w:spacing w:before="15" w:line="19" w:lineRule="exact"/>
      <w:rPr/>
    </w:pPr>
    <w:r>
      <w:rPr>
        <w:position w:val="-1"/>
      </w:rPr>
      <w:pict>
        <v:shape id="_x0000_s464" style="mso-position-vertical-relative:line;mso-position-horizontal-relative:char;width:425.25pt;height:1.45pt;" fillcolor="#000000" filled="true" stroked="false" coordsize="8505,29" coordorigin="0,0" path="m,l8505,0l8505,28l0,28l0,0xe"/>
      </w:pict>
    </w:r>
  </w:p>
</w:hdr>
</file>

<file path=word/header5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470" style="mso-position-vertical-relative:line;mso-position-horizontal-relative:char;width:425.25pt;height:1.45pt;" fillcolor="#000000" filled="true" stroked="false" coordsize="8505,29" coordorigin="0,0" path="m,l8505,0l8505,28l0,28l0,0xe"/>
      </w:pict>
    </w:r>
  </w:p>
</w:hdr>
</file>

<file path=word/header5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8"/>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8"/>
      <w:spacing w:before="15" w:line="19" w:lineRule="exact"/>
      <w:rPr/>
    </w:pPr>
    <w:r>
      <w:rPr>
        <w:position w:val="-1"/>
      </w:rPr>
      <w:pict>
        <v:shape id="_x0000_s476" style="mso-position-vertical-relative:line;mso-position-horizontal-relative:char;width:425.25pt;height:1.45pt;" fillcolor="#000000" filled="true" stroked="false" coordsize="8505,29" coordorigin="0,0" path="m,l8505,0l8505,28l0,28l0,0xe"/>
      </w:pict>
    </w:r>
  </w:p>
</w:hdr>
</file>

<file path=word/header5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8"/>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8"/>
      <w:spacing w:before="15" w:line="19" w:lineRule="exact"/>
      <w:rPr/>
    </w:pPr>
    <w:r>
      <w:rPr>
        <w:position w:val="-1"/>
      </w:rPr>
      <w:pict>
        <v:shape id="_x0000_s482" style="mso-position-vertical-relative:line;mso-position-horizontal-relative:char;width:425.25pt;height:1.45pt;" fillcolor="#000000" filled="true" stroked="false" coordsize="8505,29" coordorigin="0,0" path="m,l8505,0l8505,28l0,28l0,0xe"/>
      </w:pict>
    </w:r>
  </w:p>
</w:hdr>
</file>

<file path=word/header5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42"/>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12"/>
      <w:spacing w:before="15" w:line="19" w:lineRule="exact"/>
      <w:rPr/>
    </w:pPr>
    <w:r>
      <w:rPr>
        <w:position w:val="-1"/>
      </w:rPr>
      <w:pict>
        <v:shape id="_x0000_s488" style="mso-position-vertical-relative:line;mso-position-horizontal-relative:char;width:425.25pt;height:1.45pt;" fillcolor="#000000" filled="true" stroked="false" coordsize="8505,29" coordorigin="0,0" path="m,l8505,0l8505,28l0,28l0,0xe"/>
      </w:pict>
    </w:r>
  </w:p>
</w:hdr>
</file>

<file path=word/header5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43"/>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3"/>
      <w:spacing w:before="15" w:line="19" w:lineRule="exact"/>
      <w:rPr/>
    </w:pPr>
    <w:r>
      <w:rPr>
        <w:position w:val="-1"/>
      </w:rPr>
      <w:pict>
        <v:shape id="_x0000_s498" style="mso-position-vertical-relative:line;mso-position-horizontal-relative:char;width:425.25pt;height:1.45pt;" fillcolor="#000000" filled="true" stroked="false" coordsize="8505,29" coordorigin="0,0" path="m,l8505,0l8505,28l0,28l0,0xe"/>
      </w:pict>
    </w:r>
  </w:p>
</w:hdr>
</file>

<file path=word/header5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808"/>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310"/>
      <w:spacing w:before="15" w:line="19" w:lineRule="exact"/>
      <w:rPr/>
    </w:pPr>
    <w:r>
      <w:rPr>
        <w:position w:val="-1"/>
      </w:rPr>
      <w:pict>
        <v:shape id="_x0000_s504" style="mso-position-vertical-relative:line;mso-position-horizontal-relative:char;width:671.8pt;height:1.45pt;" fillcolor="#000000" filled="true" stroked="false" coordsize="13435,29" coordorigin="0,0" path="m,l13435,0l13435,28l0,28l0,0xe"/>
      </w:pict>
    </w:r>
  </w:p>
</w:hdr>
</file>

<file path=word/header5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565"/>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67"/>
      <w:spacing w:before="15" w:line="19" w:lineRule="exact"/>
      <w:rPr/>
    </w:pPr>
    <w:r>
      <w:rPr>
        <w:position w:val="-1"/>
      </w:rPr>
      <w:pict>
        <v:shape id="_x0000_s514" style="mso-position-vertical-relative:line;mso-position-horizontal-relative:char;width:671.95pt;height:1.45pt;" fillcolor="#000000" filled="true" stroked="false" coordsize="13439,29" coordorigin="0,0" path="m,l13438,0l13438,28l0,28l0,0xe"/>
      </w:pic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28" style="mso-position-vertical-relative:line;mso-position-horizontal-relative:char;width:425.25pt;height:1.45pt;" fillcolor="#000000" filled="true" stroked="false" coordsize="8505,29" coordorigin="0,0" path="m,l8505,0l8505,28l0,28l0,0xe"/>
      </w:pict>
    </w:r>
  </w:p>
</w:hdr>
</file>

<file path=word/header6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58"/>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28"/>
      <w:spacing w:before="15" w:line="19" w:lineRule="exact"/>
      <w:rPr/>
    </w:pPr>
    <w:r>
      <w:rPr>
        <w:position w:val="-1"/>
      </w:rPr>
      <w:pict>
        <v:shape id="_x0000_s522" style="mso-position-vertical-relative:line;mso-position-horizontal-relative:char;width:425.25pt;height:1.45pt;" fillcolor="#000000" filled="true" stroked="false" coordsize="8505,29" coordorigin="0,0" path="m,l8505,0l8505,28l0,28l0,0xe"/>
      </w:pict>
    </w:r>
  </w:p>
</w:hdr>
</file>

<file path=word/header6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58"/>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28"/>
      <w:spacing w:before="15" w:line="19" w:lineRule="exact"/>
      <w:rPr/>
    </w:pPr>
    <w:r>
      <w:rPr>
        <w:position w:val="-1"/>
      </w:rPr>
      <w:pict>
        <v:shape id="_x0000_s526" style="mso-position-vertical-relative:line;mso-position-horizontal-relative:char;width:425.25pt;height:1.45pt;" fillcolor="#000000" filled="true" stroked="false" coordsize="8505,29" coordorigin="0,0" path="m,l8505,0l8505,28l0,28l0,0xe"/>
      </w:pict>
    </w:r>
  </w:p>
</w:hdr>
</file>

<file path=word/header6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215"/>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85"/>
      <w:spacing w:before="15" w:line="19" w:lineRule="exact"/>
      <w:rPr/>
    </w:pPr>
    <w:r>
      <w:rPr>
        <w:position w:val="-1"/>
      </w:rPr>
      <w:pict>
        <v:shape id="_x0000_s538" style="mso-position-vertical-relative:line;mso-position-horizontal-relative:char;width:425.25pt;height:1.45pt;" fillcolor="#000000" filled="true" stroked="false" coordsize="8505,29" coordorigin="0,0" path="m,l8505,0l8505,28l0,28l0,0xe"/>
      </w:pict>
    </w:r>
  </w:p>
</w:hdr>
</file>

<file path=word/header6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23"/>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93"/>
      <w:spacing w:before="15" w:line="19" w:lineRule="exact"/>
      <w:rPr/>
    </w:pPr>
    <w:r>
      <w:rPr>
        <w:position w:val="-1"/>
      </w:rPr>
      <w:pict>
        <v:shape id="_x0000_s544" style="mso-position-vertical-relative:line;mso-position-horizontal-relative:char;width:425.25pt;height:1.45pt;" fillcolor="#000000" filled="true" stroked="false" coordsize="8505,29" coordorigin="0,0" path="m,l8505,0l8505,28l0,28l0,0xe"/>
      </w:pict>
    </w:r>
  </w:p>
</w:hdr>
</file>

<file path=word/header6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564" style="mso-position-vertical-relative:line;mso-position-horizontal-relative:char;width:425.25pt;height:1.45pt;" fillcolor="#000000" filled="true" stroked="false" coordsize="8505,29" coordorigin="0,0" path="m,l8505,0l8505,28l0,28l0,0xe"/>
      </w:pict>
    </w:r>
  </w:p>
</w:hdr>
</file>

<file path=word/header6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44"/>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4"/>
      <w:spacing w:before="15" w:line="19" w:lineRule="exact"/>
      <w:rPr/>
    </w:pPr>
    <w:r>
      <w:rPr>
        <w:position w:val="-1"/>
      </w:rPr>
      <w:pict>
        <v:shape id="_x0000_s582" style="mso-position-vertical-relative:line;mso-position-horizontal-relative:char;width:425.25pt;height:1.45pt;" fillcolor="#000000" filled="true" stroked="false" coordsize="8505,29" coordorigin="0,0" path="m,l8505,0l8505,28l0,28l0,0xe"/>
      </w:pict>
    </w:r>
  </w:p>
</w:hdr>
</file>

<file path=word/header6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527"/>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29"/>
      <w:spacing w:before="15" w:line="43" w:lineRule="exact"/>
      <w:rPr/>
    </w:pPr>
    <w:r>
      <w:rPr>
        <w:position w:val="-1"/>
      </w:rPr>
      <w:pict>
        <v:shape id="_x0000_s598" style="mso-position-vertical-relative:line;mso-position-horizontal-relative:char;width:671.95pt;height:2.65pt;" fillcolor="#000000" filled="true" stroked="false" coordsize="13439,53" coordorigin="0,0" path="m,l13438,0l13438,28l0,28l0,0xem0,38l13438,38l13438,52l0,52l0,38xe"/>
      </w:pict>
    </w:r>
  </w:p>
</w:hdr>
</file>

<file path=word/header6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503"/>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5"/>
      <w:spacing w:before="15" w:line="19" w:lineRule="exact"/>
      <w:rPr/>
    </w:pPr>
    <w:r>
      <w:rPr>
        <w:position w:val="-1"/>
      </w:rPr>
      <w:pict>
        <v:shape id="_x0000_s628" style="mso-position-vertical-relative:line;mso-position-horizontal-relative:char;width:671.95pt;height:1.45pt;" fillcolor="#000000" filled="true" stroked="false" coordsize="13439,29" coordorigin="0,0" path="m,l13438,0l13438,28l0,28l0,0xe"/>
      </w:pict>
    </w:r>
  </w:p>
</w:hdr>
</file>

<file path=word/header6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54"/>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24"/>
      <w:spacing w:before="15" w:line="19" w:lineRule="exact"/>
      <w:rPr/>
    </w:pPr>
    <w:r>
      <w:rPr>
        <w:position w:val="-1"/>
      </w:rPr>
      <w:pict>
        <v:shape id="_x0000_s634" style="mso-position-vertical-relative:line;mso-position-horizontal-relative:char;width:425.25pt;height:1.45pt;" fillcolor="#000000" filled="true" stroked="false" coordsize="8505,29" coordorigin="0,0" path="m,l8504,0l8504,28l0,28l0,0xe"/>
      </w:pict>
    </w:r>
  </w:p>
</w:hdr>
</file>

<file path=word/header6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54"/>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24"/>
      <w:spacing w:before="15" w:line="19" w:lineRule="exact"/>
      <w:rPr/>
    </w:pPr>
    <w:r>
      <w:rPr>
        <w:position w:val="-1"/>
      </w:rPr>
      <w:pict>
        <v:shape id="_x0000_s638" style="mso-position-vertical-relative:line;mso-position-horizontal-relative:char;width:425.25pt;height:1.45pt;" fillcolor="#000000" filled="true" stroked="false" coordsize="8505,29" coordorigin="0,0" path="m,l8504,0l8504,28l0,28l0,0xe"/>
      </w:pic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34" style="mso-position-vertical-relative:line;mso-position-horizontal-relative:char;width:425.25pt;height:1.45pt;" fillcolor="#000000" filled="true" stroked="false" coordsize="8505,29" coordorigin="0,0" path="m,l8505,0l8505,28l0,28l0,0xe"/>
      </w:pict>
    </w:r>
  </w:p>
</w:hdr>
</file>

<file path=word/header7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8"/>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8"/>
      <w:spacing w:before="15" w:line="19" w:lineRule="exact"/>
      <w:rPr/>
    </w:pPr>
    <w:r>
      <w:rPr>
        <w:position w:val="-1"/>
      </w:rPr>
      <w:pict>
        <v:shape id="_x0000_s642" style="mso-position-vertical-relative:line;mso-position-horizontal-relative:char;width:425.25pt;height:1.45pt;" fillcolor="#000000" filled="true" stroked="false" coordsize="8505,29" coordorigin="0,0" path="m,l8504,0l8504,28l0,28l0,0xe"/>
      </w:pict>
    </w:r>
  </w:p>
</w:hdr>
</file>

<file path=word/header7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8"/>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8"/>
      <w:spacing w:before="15" w:line="19" w:lineRule="exact"/>
      <w:rPr/>
    </w:pPr>
    <w:r>
      <w:rPr>
        <w:position w:val="-1"/>
      </w:rPr>
      <w:pict>
        <v:shape id="_x0000_s646" style="mso-position-vertical-relative:line;mso-position-horizontal-relative:char;width:425.25pt;height:1.45pt;" fillcolor="#000000" filled="true" stroked="false" coordsize="8505,29" coordorigin="0,0" path="m,l8504,0l8504,28l0,28l0,0xe"/>
      </w:pict>
    </w:r>
  </w:p>
</w:hdr>
</file>

<file path=word/header7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54"/>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24"/>
      <w:spacing w:before="15" w:line="19" w:lineRule="exact"/>
      <w:rPr/>
    </w:pPr>
    <w:r>
      <w:rPr>
        <w:position w:val="-1"/>
      </w:rPr>
      <w:pict>
        <v:shape id="_x0000_s654" style="mso-position-vertical-relative:line;mso-position-horizontal-relative:char;width:425.25pt;height:1.45pt;" fillcolor="#000000" filled="true" stroked="false" coordsize="8505,29" coordorigin="0,0" path="m,l8504,0l8504,28l0,28l0,0xe"/>
      </w:pict>
    </w:r>
  </w:p>
</w:hdr>
</file>

<file path=word/header7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55"/>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25"/>
      <w:spacing w:before="15" w:line="19" w:lineRule="exact"/>
      <w:rPr/>
    </w:pPr>
    <w:r>
      <w:rPr>
        <w:position w:val="-1"/>
      </w:rPr>
      <w:pict>
        <v:shape id="_x0000_s658" style="mso-position-vertical-relative:line;mso-position-horizontal-relative:char;width:425.25pt;height:1.45pt;" fillcolor="#000000" filled="true" stroked="false" coordsize="8505,29" coordorigin="0,0" path="m,l8504,0l8504,28l0,28l0,0xe"/>
      </w:pict>
    </w:r>
  </w:p>
</w:hdr>
</file>

<file path=word/header7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98"/>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68"/>
      <w:spacing w:before="15" w:line="19" w:lineRule="exact"/>
      <w:rPr/>
    </w:pPr>
    <w:r>
      <w:rPr>
        <w:position w:val="-1"/>
      </w:rPr>
      <w:pict>
        <v:shape id="_x0000_s662" style="mso-position-vertical-relative:line;mso-position-horizontal-relative:char;width:425.25pt;height:1.45pt;" fillcolor="#000000" filled="true" stroked="false" coordsize="8505,29" coordorigin="0,0" path="m,l8504,0l8504,28l0,28l0,0xe"/>
      </w:pict>
    </w:r>
  </w:p>
</w:hdr>
</file>

<file path=word/header7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94"/>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64"/>
      <w:spacing w:before="15" w:line="19" w:lineRule="exact"/>
      <w:rPr/>
    </w:pPr>
    <w:r>
      <w:rPr>
        <w:position w:val="-1"/>
      </w:rPr>
      <w:pict>
        <v:shape id="_x0000_s666" style="mso-position-vertical-relative:line;mso-position-horizontal-relative:char;width:425.25pt;height:1.45pt;" fillcolor="#000000" filled="true" stroked="false" coordsize="8505,29" coordorigin="0,0" path="m,l8504,0l8504,28l0,28l0,0xe"/>
      </w:pict>
    </w:r>
  </w:p>
</w:hdr>
</file>

<file path=word/header7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670" style="mso-position-vertical-relative:line;mso-position-horizontal-relative:char;width:425.25pt;height:1.45pt;" fillcolor="#000000" filled="true" stroked="false" coordsize="8505,29" coordorigin="0,0" path="m,l8504,0l8504,28l0,28l0,0xe"/>
      </w:pict>
    </w:r>
  </w:p>
</w:hdr>
</file>

<file path=word/header7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680" style="mso-position-vertical-relative:line;mso-position-horizontal-relative:char;width:425.25pt;height:1.45pt;" fillcolor="#000000" filled="true" stroked="false" coordsize="8505,29" coordorigin="0,0" path="m,l8504,0l8504,28l0,28l0,0xe"/>
      </w:pict>
    </w:r>
  </w:p>
</w:hdr>
</file>

<file path=word/header7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47"/>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17"/>
      <w:spacing w:before="15" w:line="19" w:lineRule="exact"/>
      <w:rPr/>
    </w:pPr>
    <w:r>
      <w:rPr>
        <w:position w:val="-1"/>
      </w:rPr>
      <w:pict>
        <v:shape id="_x0000_s698" style="mso-position-vertical-relative:line;mso-position-horizontal-relative:char;width:425.25pt;height:1.45pt;" fillcolor="#000000" filled="true" stroked="false" coordsize="8505,29" coordorigin="0,0" path="m,l8504,0l8504,28l0,28l0,0xe"/>
      </w:pict>
    </w:r>
  </w:p>
</w:hdr>
</file>

<file path=word/header7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47"/>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17"/>
      <w:spacing w:before="15" w:line="19" w:lineRule="exact"/>
      <w:rPr/>
    </w:pPr>
    <w:r>
      <w:rPr>
        <w:position w:val="-1"/>
      </w:rPr>
      <w:pict>
        <v:shape id="_x0000_s702" style="mso-position-vertical-relative:line;mso-position-horizontal-relative:char;width:425.25pt;height:1.45pt;" fillcolor="#000000" filled="true" stroked="false" coordsize="8505,29" coordorigin="0,0" path="m,l8504,0l8504,28l0,28l0,0xe"/>
      </w:pic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38" style="mso-position-vertical-relative:line;mso-position-horizontal-relative:char;width:425.25pt;height:1.45pt;" fillcolor="#000000" filled="true" stroked="false" coordsize="8505,29" coordorigin="0,0" path="m,l8505,0l8505,28l0,28l0,0xe"/>
      </w:pict>
    </w:r>
  </w:p>
</w:hdr>
</file>

<file path=word/header8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41"/>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11"/>
      <w:spacing w:before="15" w:line="19" w:lineRule="exact"/>
      <w:rPr/>
    </w:pPr>
    <w:r>
      <w:rPr>
        <w:position w:val="-1"/>
      </w:rPr>
      <w:pict>
        <v:shape id="_x0000_s706" style="mso-position-vertical-relative:line;mso-position-horizontal-relative:char;width:425.25pt;height:1.45pt;" fillcolor="#000000" filled="true" stroked="false" coordsize="8505,29" coordorigin="0,0" path="m,l8504,0l8504,28l0,28l0,0xe"/>
      </w:pict>
    </w:r>
  </w:p>
</w:hdr>
</file>

<file path=word/header8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8"/>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8"/>
      <w:spacing w:before="15" w:line="19" w:lineRule="exact"/>
      <w:rPr/>
    </w:pPr>
    <w:r>
      <w:rPr>
        <w:position w:val="-1"/>
      </w:rPr>
      <w:pict>
        <v:shape id="_x0000_s714" style="mso-position-vertical-relative:line;mso-position-horizontal-relative:char;width:425.25pt;height:1.45pt;" fillcolor="#000000" filled="true" stroked="false" coordsize="8505,29" coordorigin="0,0" path="m,l8504,0l8504,28l0,28l0,0xe"/>
      </w:pict>
    </w:r>
  </w:p>
</w:hdr>
</file>

<file path=word/header8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9"/>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9"/>
      <w:spacing w:before="15" w:line="19" w:lineRule="exact"/>
      <w:rPr/>
    </w:pPr>
    <w:r>
      <w:rPr>
        <w:position w:val="-1"/>
      </w:rPr>
      <w:pict>
        <v:shape id="_x0000_s724" style="mso-position-vertical-relative:line;mso-position-horizontal-relative:char;width:425.25pt;height:1.45pt;" fillcolor="#000000" filled="true" stroked="false" coordsize="8505,29" coordorigin="0,0" path="m,l8504,0l8504,28l0,28l0,0xe"/>
      </w:pict>
    </w:r>
  </w:p>
</w:hdr>
</file>

<file path=word/header8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4"/>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4"/>
      <w:spacing w:before="15" w:line="19" w:lineRule="exact"/>
      <w:rPr/>
    </w:pPr>
    <w:r>
      <w:rPr>
        <w:position w:val="-1"/>
      </w:rPr>
      <w:pict>
        <v:shape id="_x0000_s728" style="mso-position-vertical-relative:line;mso-position-horizontal-relative:char;width:425.25pt;height:1.45pt;" fillcolor="#000000" filled="true" stroked="false" coordsize="8505,29" coordorigin="0,0" path="m,l8504,0l8504,28l0,28l0,0xe"/>
      </w:pict>
    </w:r>
  </w:p>
</w:hdr>
</file>

<file path=word/header8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8"/>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8"/>
      <w:spacing w:before="15" w:line="19" w:lineRule="exact"/>
      <w:rPr/>
    </w:pPr>
    <w:r>
      <w:rPr>
        <w:position w:val="-1"/>
      </w:rPr>
      <w:pict>
        <v:shape id="_x0000_s732" style="mso-position-vertical-relative:line;mso-position-horizontal-relative:char;width:425.25pt;height:1.45pt;" fillcolor="#000000" filled="true" stroked="false" coordsize="8505,29" coordorigin="0,0" path="m,l8504,0l8504,28l0,28l0,0xe"/>
      </w:pict>
    </w:r>
  </w:p>
</w:hdr>
</file>

<file path=word/header8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9"/>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9"/>
      <w:spacing w:before="15" w:line="19" w:lineRule="exact"/>
      <w:rPr/>
    </w:pPr>
    <w:r>
      <w:rPr>
        <w:position w:val="-1"/>
      </w:rPr>
      <w:pict>
        <v:shape id="_x0000_s736" style="mso-position-vertical-relative:line;mso-position-horizontal-relative:char;width:425.25pt;height:1.45pt;" fillcolor="#000000" filled="true" stroked="false" coordsize="8505,29" coordorigin="0,0" path="m,l8504,0l8504,28l0,28l0,0xe"/>
      </w:pict>
    </w:r>
  </w:p>
</w:hdr>
</file>

<file path=word/header8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8"/>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8"/>
      <w:spacing w:before="15" w:line="19" w:lineRule="exact"/>
      <w:rPr/>
    </w:pPr>
    <w:r>
      <w:rPr>
        <w:position w:val="-1"/>
      </w:rPr>
      <w:pict>
        <v:shape id="_x0000_s740" style="mso-position-vertical-relative:line;mso-position-horizontal-relative:char;width:425.25pt;height:1.45pt;" fillcolor="#000000" filled="true" stroked="false" coordsize="8505,29" coordorigin="0,0" path="m,l8504,0l8504,28l0,28l0,0xe"/>
      </w:pict>
    </w:r>
  </w:p>
</w:hdr>
</file>

<file path=word/header8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557"/>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59"/>
      <w:spacing w:before="15" w:line="19" w:lineRule="exact"/>
      <w:rPr/>
    </w:pPr>
    <w:r>
      <w:rPr>
        <w:position w:val="-1"/>
      </w:rPr>
      <w:pict>
        <v:shape id="_x0000_s744" style="mso-position-vertical-relative:line;mso-position-horizontal-relative:char;width:671.8pt;height:1.45pt;" fillcolor="#000000" filled="true" stroked="false" coordsize="13435,29" coordorigin="0,0" path="m,l13435,0l13435,28l0,28l0,0xe"/>
      </w:pict>
    </w:r>
  </w:p>
</w:hdr>
</file>

<file path=word/header8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559"/>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61"/>
      <w:spacing w:before="15" w:line="19" w:lineRule="exact"/>
      <w:rPr/>
    </w:pPr>
    <w:r>
      <w:rPr>
        <w:position w:val="-1"/>
      </w:rPr>
      <w:pict>
        <v:shape id="_x0000_s748" style="mso-position-vertical-relative:line;mso-position-horizontal-relative:char;width:671.8pt;height:1.45pt;" fillcolor="#000000" filled="true" stroked="false" coordsize="13435,29" coordorigin="0,0" path="m,l13435,0l13435,28l0,28l0,0xe"/>
      </w:pict>
    </w:r>
  </w:p>
</w:hdr>
</file>

<file path=word/header8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6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42" style="mso-position-vertical-relative:line;mso-position-horizontal-relative:char;width:425.25pt;height:1.45pt;" fillcolor="#000000" filled="true" stroked="false" coordsize="8505,29" coordorigin="0,0" path="m,l8505,0l8505,28l0,28l0,0xe"/>
      </w:pict>
    </w:r>
  </w:p>
</w:hdr>
</file>

<file path=word/header9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68"/>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hdr>
</file>

<file path=word/header9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75"/>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hdr>
</file>

<file path=word/header9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28"/>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98"/>
      <w:spacing w:before="15" w:line="19" w:lineRule="exact"/>
      <w:rPr/>
    </w:pPr>
    <w:r>
      <w:rPr>
        <w:position w:val="-1"/>
      </w:rPr>
      <w:pict>
        <v:shape id="_x0000_s832" style="mso-position-vertical-relative:line;mso-position-horizontal-relative:char;width:425.25pt;height:1.45pt;" fillcolor="#000000" filled="true" stroked="false" coordsize="8505,29" coordorigin="0,0" path="m,l8504,0l8504,28l0,28l0,0xe"/>
      </w:pict>
    </w:r>
  </w:p>
</w:hdr>
</file>

<file path=word/header9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4"/>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4"/>
      <w:spacing w:before="15" w:line="19" w:lineRule="exact"/>
      <w:rPr/>
    </w:pPr>
    <w:r>
      <w:rPr>
        <w:position w:val="-1"/>
      </w:rPr>
      <w:pict>
        <v:shape id="_x0000_s836" style="mso-position-vertical-relative:line;mso-position-horizontal-relative:char;width:425.25pt;height:1.45pt;" fillcolor="#000000" filled="true" stroked="false" coordsize="8505,29" coordorigin="0,0" path="m,l8504,0l8504,28l0,28l0,0xe"/>
      </w:pict>
    </w:r>
  </w:p>
</w:hdr>
</file>

<file path=word/header9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4"/>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4"/>
      <w:spacing w:before="15" w:line="19" w:lineRule="exact"/>
      <w:rPr/>
    </w:pPr>
    <w:r>
      <w:rPr>
        <w:position w:val="-1"/>
      </w:rPr>
      <w:pict>
        <v:shape id="_x0000_s840" style="mso-position-vertical-relative:line;mso-position-horizontal-relative:char;width:425.25pt;height:1.45pt;" fillcolor="#000000" filled="true" stroked="false" coordsize="8505,29" coordorigin="0,0" path="m,l8504,0l8504,28l0,28l0,0xe"/>
      </w:pict>
    </w:r>
  </w:p>
</w:hdr>
</file>

<file path=word/header9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9"/>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9"/>
      <w:spacing w:before="15" w:line="19" w:lineRule="exact"/>
      <w:rPr/>
    </w:pPr>
    <w:r>
      <w:rPr>
        <w:position w:val="-1"/>
      </w:rPr>
      <w:pict>
        <v:shape id="_x0000_s850" style="mso-position-vertical-relative:line;mso-position-horizontal-relative:char;width:425.25pt;height:1.45pt;" fillcolor="#000000" filled="true" stroked="false" coordsize="8505,29" coordorigin="0,0" path="m,l8504,0l8504,28l0,28l0,0xe"/>
      </w:pict>
    </w:r>
  </w:p>
</w:hdr>
</file>

<file path=word/header9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1"/>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ind w:firstLine="1"/>
      <w:spacing w:before="15" w:line="19" w:lineRule="exact"/>
      <w:rPr/>
    </w:pPr>
    <w:r>
      <w:rPr>
        <w:position w:val="-1"/>
      </w:rPr>
      <w:pict>
        <v:shape id="_x0000_s856" style="mso-position-vertical-relative:line;mso-position-horizontal-relative:char;width:425.25pt;height:1.45pt;" fillcolor="#000000" filled="true" stroked="false" coordsize="8505,29" coordorigin="0,0" path="m,l8504,0l8504,28l0,28l0,0xe"/>
      </w:pict>
    </w:r>
  </w:p>
</w:hdr>
</file>

<file path=word/header9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497"/>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864" style="mso-position-vertical-relative:line;mso-position-horizontal-relative:char;width:671.8pt;height:1.45pt;" fillcolor="#000000" filled="true" stroked="false" coordsize="13435,29" coordorigin="0,0" path="m,l13435,0l13435,28l0,28l0,0xe"/>
      </w:pict>
    </w:r>
  </w:p>
</w:hdr>
</file>

<file path=word/header9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30"/>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870" style="mso-position-vertical-relative:line;mso-position-horizontal-relative:char;width:425.25pt;height:1.45pt;" fillcolor="#000000" filled="true" stroked="false" coordsize="8505,29" coordorigin="0,0" path="m,l8504,0l8504,28l0,28l0,0xe"/>
      </w:pict>
    </w:r>
  </w:p>
</w:hdr>
</file>

<file path=word/header9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497"/>
      <w:spacing w:before="56" w:line="226" w:lineRule="auto"/>
      <w:rPr>
        <w:rFonts w:ascii="SimSun" w:hAnsi="SimSun" w:eastAsia="SimSun" w:cs="SimSun"/>
        <w:sz w:val="20"/>
        <w:szCs w:val="20"/>
      </w:rPr>
    </w:pPr>
    <w:r>
      <w:rPr>
        <w:rFonts w:ascii="SimSun" w:hAnsi="SimSun" w:eastAsia="SimSun" w:cs="SimSun"/>
        <w:sz w:val="20"/>
        <w:szCs w:val="20"/>
        <w:spacing w:val="9"/>
      </w:rPr>
      <w:t>内蒙古源浩羊绒制品有限公司废弃物高效循环利用项目环境</w:t>
    </w:r>
    <w:r>
      <w:rPr>
        <w:rFonts w:ascii="SimSun" w:hAnsi="SimSun" w:eastAsia="SimSun" w:cs="SimSun"/>
        <w:sz w:val="20"/>
        <w:szCs w:val="20"/>
        <w:spacing w:val="8"/>
      </w:rPr>
      <w:t>影响报告书</w:t>
    </w:r>
  </w:p>
  <w:p>
    <w:pPr>
      <w:spacing w:before="15" w:line="19" w:lineRule="exact"/>
      <w:rPr/>
    </w:pPr>
    <w:r>
      <w:rPr>
        <w:position w:val="-1"/>
      </w:rPr>
      <w:pict>
        <v:shape id="_x0000_s884" style="mso-position-vertical-relative:line;mso-position-horizontal-relative:char;width:671.8pt;height:1.45pt;" fillcolor="#000000" filled="true" stroked="false" coordsize="13435,29" coordorigin="0,0" path="m,l13435,0l13435,28l0,28l0,0xe"/>
      </w:pic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SimSun" w:hAnsi="SimSun" w:eastAsia="SimSun" w:cs="SimSun"/>
      <w:sz w:val="20"/>
      <w:szCs w:val="20"/>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32.png"/><Relationship Id="rId98" Type="http://schemas.openxmlformats.org/officeDocument/2006/relationships/image" Target="media/image31.png"/><Relationship Id="rId97" Type="http://schemas.openxmlformats.org/officeDocument/2006/relationships/header" Target="header51.xml"/><Relationship Id="rId96" Type="http://schemas.openxmlformats.org/officeDocument/2006/relationships/image" Target="media/image29.png"/><Relationship Id="rId95" Type="http://schemas.openxmlformats.org/officeDocument/2006/relationships/header" Target="header50.xml"/><Relationship Id="rId94" Type="http://schemas.openxmlformats.org/officeDocument/2006/relationships/image" Target="media/image28.png"/><Relationship Id="rId93" Type="http://schemas.openxmlformats.org/officeDocument/2006/relationships/header" Target="header49.xml"/><Relationship Id="rId92" Type="http://schemas.openxmlformats.org/officeDocument/2006/relationships/header" Target="header48.xml"/><Relationship Id="rId91" Type="http://schemas.openxmlformats.org/officeDocument/2006/relationships/image" Target="media/image27.png"/><Relationship Id="rId90" Type="http://schemas.openxmlformats.org/officeDocument/2006/relationships/header" Target="header47.xml"/><Relationship Id="rId9" Type="http://schemas.openxmlformats.org/officeDocument/2006/relationships/footer" Target="footer4.xml"/><Relationship Id="rId89" Type="http://schemas.openxmlformats.org/officeDocument/2006/relationships/header" Target="header46.xml"/><Relationship Id="rId88" Type="http://schemas.openxmlformats.org/officeDocument/2006/relationships/header" Target="header45.xml"/><Relationship Id="rId87" Type="http://schemas.openxmlformats.org/officeDocument/2006/relationships/image" Target="media/image25.png"/><Relationship Id="rId86" Type="http://schemas.openxmlformats.org/officeDocument/2006/relationships/header" Target="header44.xml"/><Relationship Id="rId85" Type="http://schemas.openxmlformats.org/officeDocument/2006/relationships/image" Target="media/image23.png"/><Relationship Id="rId84" Type="http://schemas.openxmlformats.org/officeDocument/2006/relationships/image" Target="media/image22.png"/><Relationship Id="rId83" Type="http://schemas.openxmlformats.org/officeDocument/2006/relationships/image" Target="media/image21.png"/><Relationship Id="rId82" Type="http://schemas.openxmlformats.org/officeDocument/2006/relationships/header" Target="header43.xml"/><Relationship Id="rId81" Type="http://schemas.openxmlformats.org/officeDocument/2006/relationships/header" Target="header42.xml"/><Relationship Id="rId80" Type="http://schemas.openxmlformats.org/officeDocument/2006/relationships/header" Target="header41.xml"/><Relationship Id="rId8" Type="http://schemas.openxmlformats.org/officeDocument/2006/relationships/header" Target="header4.xml"/><Relationship Id="rId79" Type="http://schemas.openxmlformats.org/officeDocument/2006/relationships/header" Target="header40.xml"/><Relationship Id="rId78" Type="http://schemas.openxmlformats.org/officeDocument/2006/relationships/header" Target="header39.xml"/><Relationship Id="rId77" Type="http://schemas.openxmlformats.org/officeDocument/2006/relationships/header" Target="header38.xml"/><Relationship Id="rId76" Type="http://schemas.openxmlformats.org/officeDocument/2006/relationships/header" Target="header37.xml"/><Relationship Id="rId75" Type="http://schemas.openxmlformats.org/officeDocument/2006/relationships/header" Target="header36.xml"/><Relationship Id="rId74" Type="http://schemas.openxmlformats.org/officeDocument/2006/relationships/header" Target="header35.xml"/><Relationship Id="rId73" Type="http://schemas.openxmlformats.org/officeDocument/2006/relationships/footer" Target="footer20.xml"/><Relationship Id="rId72" Type="http://schemas.openxmlformats.org/officeDocument/2006/relationships/header" Target="header34.xml"/><Relationship Id="rId71" Type="http://schemas.openxmlformats.org/officeDocument/2006/relationships/image" Target="media/image19.png"/><Relationship Id="rId70" Type="http://schemas.openxmlformats.org/officeDocument/2006/relationships/header" Target="header33.xml"/><Relationship Id="rId7" Type="http://schemas.openxmlformats.org/officeDocument/2006/relationships/footer" Target="footer3.xml"/><Relationship Id="rId69" Type="http://schemas.openxmlformats.org/officeDocument/2006/relationships/footer" Target="footer19.xml"/><Relationship Id="rId68" Type="http://schemas.openxmlformats.org/officeDocument/2006/relationships/header" Target="header32.xml"/><Relationship Id="rId67" Type="http://schemas.openxmlformats.org/officeDocument/2006/relationships/image" Target="media/image18.png"/><Relationship Id="rId66" Type="http://schemas.openxmlformats.org/officeDocument/2006/relationships/footer" Target="footer18.xml"/><Relationship Id="rId65" Type="http://schemas.openxmlformats.org/officeDocument/2006/relationships/footer" Target="footer17.xml"/><Relationship Id="rId64" Type="http://schemas.openxmlformats.org/officeDocument/2006/relationships/footer" Target="footer16.xml"/><Relationship Id="rId63" Type="http://schemas.openxmlformats.org/officeDocument/2006/relationships/footer" Target="footer15.xml"/><Relationship Id="rId62" Type="http://schemas.openxmlformats.org/officeDocument/2006/relationships/header" Target="header31.xml"/><Relationship Id="rId61" Type="http://schemas.openxmlformats.org/officeDocument/2006/relationships/image" Target="media/image17.jpeg"/><Relationship Id="rId60" Type="http://schemas.openxmlformats.org/officeDocument/2006/relationships/header" Target="header30.xml"/><Relationship Id="rId6" Type="http://schemas.openxmlformats.org/officeDocument/2006/relationships/header" Target="header3.xml"/><Relationship Id="rId59" Type="http://schemas.openxmlformats.org/officeDocument/2006/relationships/image" Target="media/image16.png"/><Relationship Id="rId58" Type="http://schemas.openxmlformats.org/officeDocument/2006/relationships/header" Target="header29.xml"/><Relationship Id="rId57" Type="http://schemas.openxmlformats.org/officeDocument/2006/relationships/image" Target="media/image15.png"/><Relationship Id="rId56" Type="http://schemas.openxmlformats.org/officeDocument/2006/relationships/image" Target="media/image14.jpeg"/><Relationship Id="rId55" Type="http://schemas.openxmlformats.org/officeDocument/2006/relationships/header" Target="header28.xml"/><Relationship Id="rId54" Type="http://schemas.openxmlformats.org/officeDocument/2006/relationships/header" Target="header27.xml"/><Relationship Id="rId53" Type="http://schemas.openxmlformats.org/officeDocument/2006/relationships/header" Target="header26.xml"/><Relationship Id="rId52" Type="http://schemas.openxmlformats.org/officeDocument/2006/relationships/header" Target="header25.xml"/><Relationship Id="rId51" Type="http://schemas.openxmlformats.org/officeDocument/2006/relationships/header" Target="header24.xml"/><Relationship Id="rId50" Type="http://schemas.openxmlformats.org/officeDocument/2006/relationships/image" Target="media/image13.png"/><Relationship Id="rId5" Type="http://schemas.openxmlformats.org/officeDocument/2006/relationships/header" Target="header2.xml"/><Relationship Id="rId49" Type="http://schemas.openxmlformats.org/officeDocument/2006/relationships/header" Target="header23.xml"/><Relationship Id="rId48" Type="http://schemas.openxmlformats.org/officeDocument/2006/relationships/header" Target="header22.xml"/><Relationship Id="rId47" Type="http://schemas.openxmlformats.org/officeDocument/2006/relationships/header" Target="header21.xml"/><Relationship Id="rId46" Type="http://schemas.openxmlformats.org/officeDocument/2006/relationships/header" Target="header20.xml"/><Relationship Id="rId45" Type="http://schemas.openxmlformats.org/officeDocument/2006/relationships/image" Target="media/image12.jpeg"/><Relationship Id="rId44" Type="http://schemas.openxmlformats.org/officeDocument/2006/relationships/header" Target="header19.xml"/><Relationship Id="rId43" Type="http://schemas.openxmlformats.org/officeDocument/2006/relationships/header" Target="header18.xml"/><Relationship Id="rId42" Type="http://schemas.openxmlformats.org/officeDocument/2006/relationships/image" Target="media/image11.jpeg"/><Relationship Id="rId41" Type="http://schemas.openxmlformats.org/officeDocument/2006/relationships/header" Target="header17.xml"/><Relationship Id="rId408" Type="http://schemas.openxmlformats.org/officeDocument/2006/relationships/fontTable" Target="fontTable.xml"/><Relationship Id="rId407" Type="http://schemas.openxmlformats.org/officeDocument/2006/relationships/styles" Target="styles.xml"/><Relationship Id="rId406" Type="http://schemas.openxmlformats.org/officeDocument/2006/relationships/settings" Target="settings.xml"/><Relationship Id="rId405" Type="http://schemas.openxmlformats.org/officeDocument/2006/relationships/footer" Target="footer134.xml"/><Relationship Id="rId404" Type="http://schemas.openxmlformats.org/officeDocument/2006/relationships/footer" Target="footer133.xml"/><Relationship Id="rId403" Type="http://schemas.openxmlformats.org/officeDocument/2006/relationships/image" Target="media/image128.jpeg"/><Relationship Id="rId402" Type="http://schemas.openxmlformats.org/officeDocument/2006/relationships/footer" Target="footer132.xml"/><Relationship Id="rId401" Type="http://schemas.openxmlformats.org/officeDocument/2006/relationships/header" Target="header146.xml"/><Relationship Id="rId400" Type="http://schemas.openxmlformats.org/officeDocument/2006/relationships/image" Target="media/image127.png"/><Relationship Id="rId40" Type="http://schemas.openxmlformats.org/officeDocument/2006/relationships/header" Target="header16.xml"/><Relationship Id="rId4" Type="http://schemas.openxmlformats.org/officeDocument/2006/relationships/image" Target="media/image1.png"/><Relationship Id="rId399" Type="http://schemas.openxmlformats.org/officeDocument/2006/relationships/image" Target="media/image126.png"/><Relationship Id="rId398" Type="http://schemas.openxmlformats.org/officeDocument/2006/relationships/footer" Target="footer131.xml"/><Relationship Id="rId397" Type="http://schemas.openxmlformats.org/officeDocument/2006/relationships/footer" Target="footer130.xml"/><Relationship Id="rId396" Type="http://schemas.openxmlformats.org/officeDocument/2006/relationships/header" Target="header145.xml"/><Relationship Id="rId395" Type="http://schemas.openxmlformats.org/officeDocument/2006/relationships/footer" Target="footer129.xml"/><Relationship Id="rId394" Type="http://schemas.openxmlformats.org/officeDocument/2006/relationships/header" Target="header144.xml"/><Relationship Id="rId393" Type="http://schemas.openxmlformats.org/officeDocument/2006/relationships/footer" Target="footer128.xml"/><Relationship Id="rId392" Type="http://schemas.openxmlformats.org/officeDocument/2006/relationships/image" Target="media/image125.png"/><Relationship Id="rId391" Type="http://schemas.openxmlformats.org/officeDocument/2006/relationships/footer" Target="footer127.xml"/><Relationship Id="rId390" Type="http://schemas.openxmlformats.org/officeDocument/2006/relationships/header" Target="header143.xml"/><Relationship Id="rId39" Type="http://schemas.openxmlformats.org/officeDocument/2006/relationships/header" Target="header15.xml"/><Relationship Id="rId389" Type="http://schemas.openxmlformats.org/officeDocument/2006/relationships/footer" Target="footer126.xml"/><Relationship Id="rId388" Type="http://schemas.openxmlformats.org/officeDocument/2006/relationships/header" Target="header142.xml"/><Relationship Id="rId387" Type="http://schemas.openxmlformats.org/officeDocument/2006/relationships/footer" Target="footer125.xml"/><Relationship Id="rId386" Type="http://schemas.openxmlformats.org/officeDocument/2006/relationships/footer" Target="footer124.xml"/><Relationship Id="rId385" Type="http://schemas.openxmlformats.org/officeDocument/2006/relationships/image" Target="media/image124.png"/><Relationship Id="rId384" Type="http://schemas.openxmlformats.org/officeDocument/2006/relationships/footer" Target="footer123.xml"/><Relationship Id="rId383" Type="http://schemas.openxmlformats.org/officeDocument/2006/relationships/footer" Target="footer122.xml"/><Relationship Id="rId382" Type="http://schemas.openxmlformats.org/officeDocument/2006/relationships/footer" Target="footer121.xml"/><Relationship Id="rId381" Type="http://schemas.openxmlformats.org/officeDocument/2006/relationships/header" Target="header141.xml"/><Relationship Id="rId380" Type="http://schemas.openxmlformats.org/officeDocument/2006/relationships/footer" Target="footer120.xml"/><Relationship Id="rId38" Type="http://schemas.openxmlformats.org/officeDocument/2006/relationships/header" Target="header14.xml"/><Relationship Id="rId379" Type="http://schemas.openxmlformats.org/officeDocument/2006/relationships/footer" Target="footer119.xml"/><Relationship Id="rId378" Type="http://schemas.openxmlformats.org/officeDocument/2006/relationships/image" Target="media/image123.png"/><Relationship Id="rId377" Type="http://schemas.openxmlformats.org/officeDocument/2006/relationships/footer" Target="footer118.xml"/><Relationship Id="rId376" Type="http://schemas.openxmlformats.org/officeDocument/2006/relationships/footer" Target="footer117.xml"/><Relationship Id="rId375" Type="http://schemas.openxmlformats.org/officeDocument/2006/relationships/footer" Target="footer116.xml"/><Relationship Id="rId374" Type="http://schemas.openxmlformats.org/officeDocument/2006/relationships/header" Target="header140.xml"/><Relationship Id="rId373" Type="http://schemas.openxmlformats.org/officeDocument/2006/relationships/footer" Target="footer115.xml"/><Relationship Id="rId372" Type="http://schemas.openxmlformats.org/officeDocument/2006/relationships/image" Target="media/image122.jpeg"/><Relationship Id="rId371" Type="http://schemas.openxmlformats.org/officeDocument/2006/relationships/image" Target="media/image121.jpeg"/><Relationship Id="rId370" Type="http://schemas.openxmlformats.org/officeDocument/2006/relationships/footer" Target="footer114.xml"/><Relationship Id="rId37" Type="http://schemas.openxmlformats.org/officeDocument/2006/relationships/footer" Target="footer14.xml"/><Relationship Id="rId369" Type="http://schemas.openxmlformats.org/officeDocument/2006/relationships/header" Target="header139.xml"/><Relationship Id="rId368" Type="http://schemas.openxmlformats.org/officeDocument/2006/relationships/image" Target="media/image120.png"/><Relationship Id="rId367" Type="http://schemas.openxmlformats.org/officeDocument/2006/relationships/footer" Target="footer113.xml"/><Relationship Id="rId366" Type="http://schemas.openxmlformats.org/officeDocument/2006/relationships/header" Target="header138.xml"/><Relationship Id="rId365" Type="http://schemas.openxmlformats.org/officeDocument/2006/relationships/header" Target="header137.xml"/><Relationship Id="rId364" Type="http://schemas.openxmlformats.org/officeDocument/2006/relationships/footer" Target="footer112.xml"/><Relationship Id="rId363" Type="http://schemas.openxmlformats.org/officeDocument/2006/relationships/header" Target="header136.xml"/><Relationship Id="rId362" Type="http://schemas.openxmlformats.org/officeDocument/2006/relationships/image" Target="media/image119.png"/><Relationship Id="rId361" Type="http://schemas.openxmlformats.org/officeDocument/2006/relationships/footer" Target="footer111.xml"/><Relationship Id="rId360" Type="http://schemas.openxmlformats.org/officeDocument/2006/relationships/header" Target="header135.xml"/><Relationship Id="rId36" Type="http://schemas.openxmlformats.org/officeDocument/2006/relationships/footer" Target="footer13.xml"/><Relationship Id="rId359" Type="http://schemas.openxmlformats.org/officeDocument/2006/relationships/footer" Target="footer110.xml"/><Relationship Id="rId358" Type="http://schemas.openxmlformats.org/officeDocument/2006/relationships/footer" Target="footer109.xml"/><Relationship Id="rId357" Type="http://schemas.openxmlformats.org/officeDocument/2006/relationships/header" Target="header134.xml"/><Relationship Id="rId356" Type="http://schemas.openxmlformats.org/officeDocument/2006/relationships/footer" Target="footer108.xml"/><Relationship Id="rId355" Type="http://schemas.openxmlformats.org/officeDocument/2006/relationships/footer" Target="footer107.xml"/><Relationship Id="rId354" Type="http://schemas.openxmlformats.org/officeDocument/2006/relationships/header" Target="header133.xml"/><Relationship Id="rId353" Type="http://schemas.openxmlformats.org/officeDocument/2006/relationships/footer" Target="footer106.xml"/><Relationship Id="rId352" Type="http://schemas.openxmlformats.org/officeDocument/2006/relationships/header" Target="header132.xml"/><Relationship Id="rId351" Type="http://schemas.openxmlformats.org/officeDocument/2006/relationships/header" Target="header131.xml"/><Relationship Id="rId350" Type="http://schemas.openxmlformats.org/officeDocument/2006/relationships/footer" Target="footer105.xml"/><Relationship Id="rId35" Type="http://schemas.openxmlformats.org/officeDocument/2006/relationships/footer" Target="footer12.xml"/><Relationship Id="rId349" Type="http://schemas.openxmlformats.org/officeDocument/2006/relationships/header" Target="header130.xml"/><Relationship Id="rId348" Type="http://schemas.openxmlformats.org/officeDocument/2006/relationships/footer" Target="footer104.xml"/><Relationship Id="rId347" Type="http://schemas.openxmlformats.org/officeDocument/2006/relationships/footer" Target="footer103.xml"/><Relationship Id="rId346" Type="http://schemas.openxmlformats.org/officeDocument/2006/relationships/footer" Target="footer102.xml"/><Relationship Id="rId345" Type="http://schemas.openxmlformats.org/officeDocument/2006/relationships/footer" Target="footer101.xml"/><Relationship Id="rId344" Type="http://schemas.openxmlformats.org/officeDocument/2006/relationships/footer" Target="footer100.xml"/><Relationship Id="rId343" Type="http://schemas.openxmlformats.org/officeDocument/2006/relationships/image" Target="media/image118.png"/><Relationship Id="rId342" Type="http://schemas.openxmlformats.org/officeDocument/2006/relationships/footer" Target="footer99.xml"/><Relationship Id="rId341" Type="http://schemas.openxmlformats.org/officeDocument/2006/relationships/header" Target="header129.xml"/><Relationship Id="rId340" Type="http://schemas.openxmlformats.org/officeDocument/2006/relationships/header" Target="header128.xml"/><Relationship Id="rId34" Type="http://schemas.openxmlformats.org/officeDocument/2006/relationships/footer" Target="footer11.xml"/><Relationship Id="rId339" Type="http://schemas.openxmlformats.org/officeDocument/2006/relationships/footer" Target="footer98.xml"/><Relationship Id="rId338" Type="http://schemas.openxmlformats.org/officeDocument/2006/relationships/header" Target="header127.xml"/><Relationship Id="rId337" Type="http://schemas.openxmlformats.org/officeDocument/2006/relationships/header" Target="header126.xml"/><Relationship Id="rId336" Type="http://schemas.openxmlformats.org/officeDocument/2006/relationships/footer" Target="footer97.xml"/><Relationship Id="rId335" Type="http://schemas.openxmlformats.org/officeDocument/2006/relationships/header" Target="header125.xml"/><Relationship Id="rId334" Type="http://schemas.openxmlformats.org/officeDocument/2006/relationships/header" Target="header124.xml"/><Relationship Id="rId333" Type="http://schemas.openxmlformats.org/officeDocument/2006/relationships/footer" Target="footer96.xml"/><Relationship Id="rId332" Type="http://schemas.openxmlformats.org/officeDocument/2006/relationships/image" Target="media/image117.jpeg"/><Relationship Id="rId331" Type="http://schemas.openxmlformats.org/officeDocument/2006/relationships/header" Target="header123.xml"/><Relationship Id="rId330" Type="http://schemas.openxmlformats.org/officeDocument/2006/relationships/footer" Target="footer95.xml"/><Relationship Id="rId33" Type="http://schemas.openxmlformats.org/officeDocument/2006/relationships/footer" Target="footer10.xml"/><Relationship Id="rId329" Type="http://schemas.openxmlformats.org/officeDocument/2006/relationships/footer" Target="footer94.xml"/><Relationship Id="rId328" Type="http://schemas.openxmlformats.org/officeDocument/2006/relationships/header" Target="header122.xml"/><Relationship Id="rId327" Type="http://schemas.openxmlformats.org/officeDocument/2006/relationships/footer" Target="footer93.xml"/><Relationship Id="rId326" Type="http://schemas.openxmlformats.org/officeDocument/2006/relationships/footer" Target="footer92.xml"/><Relationship Id="rId325" Type="http://schemas.openxmlformats.org/officeDocument/2006/relationships/header" Target="header121.xml"/><Relationship Id="rId324" Type="http://schemas.openxmlformats.org/officeDocument/2006/relationships/image" Target="media/image116.png"/><Relationship Id="rId323" Type="http://schemas.openxmlformats.org/officeDocument/2006/relationships/footer" Target="footer91.xml"/><Relationship Id="rId322" Type="http://schemas.openxmlformats.org/officeDocument/2006/relationships/header" Target="header120.xml"/><Relationship Id="rId321" Type="http://schemas.openxmlformats.org/officeDocument/2006/relationships/footer" Target="footer90.xml"/><Relationship Id="rId320" Type="http://schemas.openxmlformats.org/officeDocument/2006/relationships/header" Target="header119.xml"/><Relationship Id="rId32" Type="http://schemas.openxmlformats.org/officeDocument/2006/relationships/header" Target="header13.xml"/><Relationship Id="rId319" Type="http://schemas.openxmlformats.org/officeDocument/2006/relationships/footer" Target="footer89.xml"/><Relationship Id="rId318" Type="http://schemas.openxmlformats.org/officeDocument/2006/relationships/header" Target="header118.xml"/><Relationship Id="rId317" Type="http://schemas.openxmlformats.org/officeDocument/2006/relationships/image" Target="media/image115.jpeg"/><Relationship Id="rId316" Type="http://schemas.openxmlformats.org/officeDocument/2006/relationships/header" Target="header117.xml"/><Relationship Id="rId315" Type="http://schemas.openxmlformats.org/officeDocument/2006/relationships/footer" Target="footer88.xml"/><Relationship Id="rId314" Type="http://schemas.openxmlformats.org/officeDocument/2006/relationships/header" Target="header116.xml"/><Relationship Id="rId313" Type="http://schemas.openxmlformats.org/officeDocument/2006/relationships/image" Target="media/image114.png"/><Relationship Id="rId312" Type="http://schemas.openxmlformats.org/officeDocument/2006/relationships/image" Target="media/image113.png"/><Relationship Id="rId311" Type="http://schemas.openxmlformats.org/officeDocument/2006/relationships/image" Target="media/image112.png"/><Relationship Id="rId310" Type="http://schemas.openxmlformats.org/officeDocument/2006/relationships/image" Target="media/image111.png"/><Relationship Id="rId31" Type="http://schemas.openxmlformats.org/officeDocument/2006/relationships/image" Target="media/image10.jpeg"/><Relationship Id="rId309" Type="http://schemas.openxmlformats.org/officeDocument/2006/relationships/image" Target="media/image110.png"/><Relationship Id="rId308" Type="http://schemas.openxmlformats.org/officeDocument/2006/relationships/image" Target="media/image109.png"/><Relationship Id="rId307" Type="http://schemas.openxmlformats.org/officeDocument/2006/relationships/image" Target="media/image108.png"/><Relationship Id="rId306" Type="http://schemas.openxmlformats.org/officeDocument/2006/relationships/footer" Target="footer87.xml"/><Relationship Id="rId305" Type="http://schemas.openxmlformats.org/officeDocument/2006/relationships/header" Target="header115.xml"/><Relationship Id="rId304" Type="http://schemas.openxmlformats.org/officeDocument/2006/relationships/image" Target="media/image107.png"/><Relationship Id="rId303" Type="http://schemas.openxmlformats.org/officeDocument/2006/relationships/image" Target="media/image106.png"/><Relationship Id="rId302" Type="http://schemas.openxmlformats.org/officeDocument/2006/relationships/image" Target="media/image105.png"/><Relationship Id="rId301" Type="http://schemas.openxmlformats.org/officeDocument/2006/relationships/image" Target="media/image104.png"/><Relationship Id="rId300" Type="http://schemas.openxmlformats.org/officeDocument/2006/relationships/footer" Target="footer86.xml"/><Relationship Id="rId30" Type="http://schemas.openxmlformats.org/officeDocument/2006/relationships/footer" Target="footer9.xml"/><Relationship Id="rId3" Type="http://schemas.openxmlformats.org/officeDocument/2006/relationships/footer" Target="footer2.xml"/><Relationship Id="rId299" Type="http://schemas.openxmlformats.org/officeDocument/2006/relationships/header" Target="header114.xml"/><Relationship Id="rId298" Type="http://schemas.openxmlformats.org/officeDocument/2006/relationships/footer" Target="footer85.xml"/><Relationship Id="rId297" Type="http://schemas.openxmlformats.org/officeDocument/2006/relationships/footer" Target="footer84.xml"/><Relationship Id="rId296" Type="http://schemas.openxmlformats.org/officeDocument/2006/relationships/header" Target="header113.xml"/><Relationship Id="rId295" Type="http://schemas.openxmlformats.org/officeDocument/2006/relationships/image" Target="media/image103.png"/><Relationship Id="rId294" Type="http://schemas.openxmlformats.org/officeDocument/2006/relationships/footer" Target="footer83.xml"/><Relationship Id="rId293" Type="http://schemas.openxmlformats.org/officeDocument/2006/relationships/header" Target="header112.xml"/><Relationship Id="rId292" Type="http://schemas.openxmlformats.org/officeDocument/2006/relationships/image" Target="media/image102.jpeg"/><Relationship Id="rId291" Type="http://schemas.openxmlformats.org/officeDocument/2006/relationships/image" Target="media/image101.jpeg"/><Relationship Id="rId290" Type="http://schemas.openxmlformats.org/officeDocument/2006/relationships/footer" Target="footer82.xml"/><Relationship Id="rId29" Type="http://schemas.openxmlformats.org/officeDocument/2006/relationships/header" Target="header12.xml"/><Relationship Id="rId289" Type="http://schemas.openxmlformats.org/officeDocument/2006/relationships/header" Target="header111.xml"/><Relationship Id="rId288" Type="http://schemas.openxmlformats.org/officeDocument/2006/relationships/image" Target="media/image100.jpeg"/><Relationship Id="rId287" Type="http://schemas.openxmlformats.org/officeDocument/2006/relationships/image" Target="media/image99.jpeg"/><Relationship Id="rId286" Type="http://schemas.openxmlformats.org/officeDocument/2006/relationships/image" Target="media/image98.png"/><Relationship Id="rId285" Type="http://schemas.openxmlformats.org/officeDocument/2006/relationships/image" Target="media/image97.jpeg"/><Relationship Id="rId284" Type="http://schemas.openxmlformats.org/officeDocument/2006/relationships/footer" Target="footer81.xml"/><Relationship Id="rId283" Type="http://schemas.openxmlformats.org/officeDocument/2006/relationships/header" Target="header110.xml"/><Relationship Id="rId282" Type="http://schemas.openxmlformats.org/officeDocument/2006/relationships/footer" Target="footer80.xml"/><Relationship Id="rId281" Type="http://schemas.openxmlformats.org/officeDocument/2006/relationships/header" Target="header109.xml"/><Relationship Id="rId280" Type="http://schemas.openxmlformats.org/officeDocument/2006/relationships/image" Target="media/image96.jpeg"/><Relationship Id="rId28" Type="http://schemas.openxmlformats.org/officeDocument/2006/relationships/image" Target="media/image9.png"/><Relationship Id="rId279" Type="http://schemas.openxmlformats.org/officeDocument/2006/relationships/footer" Target="footer79.xml"/><Relationship Id="rId278" Type="http://schemas.openxmlformats.org/officeDocument/2006/relationships/image" Target="media/image95.jpeg"/><Relationship Id="rId277" Type="http://schemas.openxmlformats.org/officeDocument/2006/relationships/image" Target="media/image94.jpeg"/><Relationship Id="rId276" Type="http://schemas.openxmlformats.org/officeDocument/2006/relationships/footer" Target="footer78.xml"/><Relationship Id="rId275" Type="http://schemas.openxmlformats.org/officeDocument/2006/relationships/image" Target="media/image93.jpeg"/><Relationship Id="rId274" Type="http://schemas.openxmlformats.org/officeDocument/2006/relationships/footer" Target="footer77.xml"/><Relationship Id="rId273" Type="http://schemas.openxmlformats.org/officeDocument/2006/relationships/image" Target="media/image92.jpeg"/><Relationship Id="rId272" Type="http://schemas.openxmlformats.org/officeDocument/2006/relationships/header" Target="header108.xml"/><Relationship Id="rId271" Type="http://schemas.openxmlformats.org/officeDocument/2006/relationships/image" Target="media/image91.jpeg"/><Relationship Id="rId270" Type="http://schemas.openxmlformats.org/officeDocument/2006/relationships/footer" Target="footer76.xml"/><Relationship Id="rId27" Type="http://schemas.openxmlformats.org/officeDocument/2006/relationships/image" Target="media/image8.jpeg"/><Relationship Id="rId269" Type="http://schemas.openxmlformats.org/officeDocument/2006/relationships/image" Target="media/image90.jpeg"/><Relationship Id="rId268" Type="http://schemas.openxmlformats.org/officeDocument/2006/relationships/header" Target="header107.xml"/><Relationship Id="rId267" Type="http://schemas.openxmlformats.org/officeDocument/2006/relationships/footer" Target="footer75.xml"/><Relationship Id="rId266" Type="http://schemas.openxmlformats.org/officeDocument/2006/relationships/header" Target="header106.xml"/><Relationship Id="rId265" Type="http://schemas.openxmlformats.org/officeDocument/2006/relationships/header" Target="header105.xml"/><Relationship Id="rId264" Type="http://schemas.openxmlformats.org/officeDocument/2006/relationships/footer" Target="footer74.xml"/><Relationship Id="rId263" Type="http://schemas.openxmlformats.org/officeDocument/2006/relationships/header" Target="header104.xml"/><Relationship Id="rId262" Type="http://schemas.openxmlformats.org/officeDocument/2006/relationships/image" Target="media/image89.jpeg"/><Relationship Id="rId261" Type="http://schemas.openxmlformats.org/officeDocument/2006/relationships/image" Target="media/image88.jpeg"/><Relationship Id="rId260" Type="http://schemas.openxmlformats.org/officeDocument/2006/relationships/footer" Target="footer73.xml"/><Relationship Id="rId26" Type="http://schemas.openxmlformats.org/officeDocument/2006/relationships/footer" Target="footer8.xml"/><Relationship Id="rId259" Type="http://schemas.openxmlformats.org/officeDocument/2006/relationships/image" Target="media/image87.jpeg"/><Relationship Id="rId258" Type="http://schemas.openxmlformats.org/officeDocument/2006/relationships/image" Target="media/image86.jpeg"/><Relationship Id="rId257" Type="http://schemas.openxmlformats.org/officeDocument/2006/relationships/header" Target="header103.xml"/><Relationship Id="rId256" Type="http://schemas.openxmlformats.org/officeDocument/2006/relationships/footer" Target="footer72.xml"/><Relationship Id="rId255" Type="http://schemas.openxmlformats.org/officeDocument/2006/relationships/header" Target="header102.xml"/><Relationship Id="rId254" Type="http://schemas.openxmlformats.org/officeDocument/2006/relationships/image" Target="media/image85.jpeg"/><Relationship Id="rId253" Type="http://schemas.openxmlformats.org/officeDocument/2006/relationships/image" Target="media/image84.jpeg"/><Relationship Id="rId252" Type="http://schemas.openxmlformats.org/officeDocument/2006/relationships/footer" Target="footer71.xml"/><Relationship Id="rId251" Type="http://schemas.openxmlformats.org/officeDocument/2006/relationships/image" Target="media/image83.jpeg"/><Relationship Id="rId250" Type="http://schemas.openxmlformats.org/officeDocument/2006/relationships/header" Target="header101.xml"/><Relationship Id="rId25" Type="http://schemas.openxmlformats.org/officeDocument/2006/relationships/image" Target="media/image7.png"/><Relationship Id="rId249" Type="http://schemas.openxmlformats.org/officeDocument/2006/relationships/footer" Target="footer70.xml"/><Relationship Id="rId248" Type="http://schemas.openxmlformats.org/officeDocument/2006/relationships/header" Target="header100.xml"/><Relationship Id="rId247" Type="http://schemas.openxmlformats.org/officeDocument/2006/relationships/image" Target="media/image82.jpeg"/><Relationship Id="rId246" Type="http://schemas.openxmlformats.org/officeDocument/2006/relationships/footer" Target="footer69.xml"/><Relationship Id="rId245" Type="http://schemas.openxmlformats.org/officeDocument/2006/relationships/image" Target="media/image81.jpeg"/><Relationship Id="rId244" Type="http://schemas.openxmlformats.org/officeDocument/2006/relationships/footer" Target="footer68.xml"/><Relationship Id="rId243" Type="http://schemas.openxmlformats.org/officeDocument/2006/relationships/image" Target="media/image80.jpeg"/><Relationship Id="rId242" Type="http://schemas.openxmlformats.org/officeDocument/2006/relationships/header" Target="header99.xml"/><Relationship Id="rId241" Type="http://schemas.openxmlformats.org/officeDocument/2006/relationships/image" Target="media/image79.jpeg"/><Relationship Id="rId240" Type="http://schemas.openxmlformats.org/officeDocument/2006/relationships/footer" Target="footer67.xml"/><Relationship Id="rId24" Type="http://schemas.openxmlformats.org/officeDocument/2006/relationships/image" Target="media/image6.jpeg"/><Relationship Id="rId239" Type="http://schemas.openxmlformats.org/officeDocument/2006/relationships/footer" Target="footer66.xml"/><Relationship Id="rId238" Type="http://schemas.openxmlformats.org/officeDocument/2006/relationships/image" Target="media/image78.jpeg"/><Relationship Id="rId237" Type="http://schemas.openxmlformats.org/officeDocument/2006/relationships/footer" Target="footer65.xml"/><Relationship Id="rId236" Type="http://schemas.openxmlformats.org/officeDocument/2006/relationships/header" Target="header98.xml"/><Relationship Id="rId235" Type="http://schemas.openxmlformats.org/officeDocument/2006/relationships/image" Target="media/image77.jpeg"/><Relationship Id="rId234" Type="http://schemas.openxmlformats.org/officeDocument/2006/relationships/image" Target="media/image76.jpeg"/><Relationship Id="rId233" Type="http://schemas.openxmlformats.org/officeDocument/2006/relationships/footer" Target="footer64.xml"/><Relationship Id="rId232" Type="http://schemas.openxmlformats.org/officeDocument/2006/relationships/image" Target="media/image75.jpeg"/><Relationship Id="rId231" Type="http://schemas.openxmlformats.org/officeDocument/2006/relationships/header" Target="header97.xml"/><Relationship Id="rId230" Type="http://schemas.openxmlformats.org/officeDocument/2006/relationships/footer" Target="footer63.xml"/><Relationship Id="rId23" Type="http://schemas.openxmlformats.org/officeDocument/2006/relationships/header" Target="header11.xml"/><Relationship Id="rId229" Type="http://schemas.openxmlformats.org/officeDocument/2006/relationships/footer" Target="footer62.xml"/><Relationship Id="rId228" Type="http://schemas.openxmlformats.org/officeDocument/2006/relationships/footer" Target="footer61.xml"/><Relationship Id="rId227" Type="http://schemas.openxmlformats.org/officeDocument/2006/relationships/header" Target="header96.xml"/><Relationship Id="rId226" Type="http://schemas.openxmlformats.org/officeDocument/2006/relationships/footer" Target="footer60.xml"/><Relationship Id="rId225" Type="http://schemas.openxmlformats.org/officeDocument/2006/relationships/footer" Target="footer59.xml"/><Relationship Id="rId224" Type="http://schemas.openxmlformats.org/officeDocument/2006/relationships/header" Target="header95.xml"/><Relationship Id="rId223" Type="http://schemas.openxmlformats.org/officeDocument/2006/relationships/footer" Target="footer58.xml"/><Relationship Id="rId222" Type="http://schemas.openxmlformats.org/officeDocument/2006/relationships/footer" Target="footer57.xml"/><Relationship Id="rId221" Type="http://schemas.openxmlformats.org/officeDocument/2006/relationships/footer" Target="footer56.xml"/><Relationship Id="rId220" Type="http://schemas.openxmlformats.org/officeDocument/2006/relationships/footer" Target="footer55.xml"/><Relationship Id="rId22" Type="http://schemas.openxmlformats.org/officeDocument/2006/relationships/image" Target="media/image5.png"/><Relationship Id="rId219" Type="http://schemas.openxmlformats.org/officeDocument/2006/relationships/header" Target="header94.xml"/><Relationship Id="rId218" Type="http://schemas.openxmlformats.org/officeDocument/2006/relationships/header" Target="header93.xml"/><Relationship Id="rId217" Type="http://schemas.openxmlformats.org/officeDocument/2006/relationships/header" Target="header92.xml"/><Relationship Id="rId216" Type="http://schemas.openxmlformats.org/officeDocument/2006/relationships/footer" Target="footer54.xml"/><Relationship Id="rId215" Type="http://schemas.openxmlformats.org/officeDocument/2006/relationships/footer" Target="footer53.xml"/><Relationship Id="rId214" Type="http://schemas.openxmlformats.org/officeDocument/2006/relationships/header" Target="header91.xml"/><Relationship Id="rId213" Type="http://schemas.openxmlformats.org/officeDocument/2006/relationships/header" Target="header90.xml"/><Relationship Id="rId212" Type="http://schemas.openxmlformats.org/officeDocument/2006/relationships/footer" Target="footer52.xml"/><Relationship Id="rId211" Type="http://schemas.openxmlformats.org/officeDocument/2006/relationships/header" Target="header89.xml"/><Relationship Id="rId210" Type="http://schemas.openxmlformats.org/officeDocument/2006/relationships/header" Target="header88.xml"/><Relationship Id="rId21" Type="http://schemas.openxmlformats.org/officeDocument/2006/relationships/footer" Target="footer7.xml"/><Relationship Id="rId209" Type="http://schemas.openxmlformats.org/officeDocument/2006/relationships/header" Target="header87.xml"/><Relationship Id="rId208" Type="http://schemas.openxmlformats.org/officeDocument/2006/relationships/footer" Target="footer51.xml"/><Relationship Id="rId207" Type="http://schemas.openxmlformats.org/officeDocument/2006/relationships/header" Target="header86.xml"/><Relationship Id="rId206" Type="http://schemas.openxmlformats.org/officeDocument/2006/relationships/footer" Target="footer50.xml"/><Relationship Id="rId205" Type="http://schemas.openxmlformats.org/officeDocument/2006/relationships/header" Target="header85.xml"/><Relationship Id="rId204" Type="http://schemas.openxmlformats.org/officeDocument/2006/relationships/image" Target="media/image74.jpeg"/><Relationship Id="rId203" Type="http://schemas.openxmlformats.org/officeDocument/2006/relationships/image" Target="media/image73.jpeg"/><Relationship Id="rId202" Type="http://schemas.openxmlformats.org/officeDocument/2006/relationships/image" Target="media/image72.jpeg"/><Relationship Id="rId201" Type="http://schemas.openxmlformats.org/officeDocument/2006/relationships/image" Target="media/image71.jpeg"/><Relationship Id="rId200" Type="http://schemas.openxmlformats.org/officeDocument/2006/relationships/image" Target="media/image70.jpeg"/><Relationship Id="rId20" Type="http://schemas.openxmlformats.org/officeDocument/2006/relationships/image" Target="media/image4.png"/><Relationship Id="rId2" Type="http://schemas.openxmlformats.org/officeDocument/2006/relationships/header" Target="header1.xml"/><Relationship Id="rId199" Type="http://schemas.openxmlformats.org/officeDocument/2006/relationships/image" Target="media/image69.jpeg"/><Relationship Id="rId198" Type="http://schemas.openxmlformats.org/officeDocument/2006/relationships/image" Target="media/image68.jpeg"/><Relationship Id="rId197" Type="http://schemas.openxmlformats.org/officeDocument/2006/relationships/image" Target="media/image67.jpeg"/><Relationship Id="rId196" Type="http://schemas.openxmlformats.org/officeDocument/2006/relationships/image" Target="media/image66.jpeg"/><Relationship Id="rId195" Type="http://schemas.openxmlformats.org/officeDocument/2006/relationships/image" Target="media/image65.jpeg"/><Relationship Id="rId194" Type="http://schemas.openxmlformats.org/officeDocument/2006/relationships/image" Target="media/image64.jpeg"/><Relationship Id="rId193" Type="http://schemas.openxmlformats.org/officeDocument/2006/relationships/image" Target="media/image63.jpeg"/><Relationship Id="rId192" Type="http://schemas.openxmlformats.org/officeDocument/2006/relationships/footer" Target="footer49.xml"/><Relationship Id="rId191" Type="http://schemas.openxmlformats.org/officeDocument/2006/relationships/header" Target="header84.xml"/><Relationship Id="rId190" Type="http://schemas.openxmlformats.org/officeDocument/2006/relationships/image" Target="media/image62.jpeg"/><Relationship Id="rId19" Type="http://schemas.openxmlformats.org/officeDocument/2006/relationships/image" Target="media/image3.png"/><Relationship Id="rId189" Type="http://schemas.openxmlformats.org/officeDocument/2006/relationships/footer" Target="footer48.xml"/><Relationship Id="rId188" Type="http://schemas.openxmlformats.org/officeDocument/2006/relationships/header" Target="header83.xml"/><Relationship Id="rId187" Type="http://schemas.openxmlformats.org/officeDocument/2006/relationships/image" Target="media/image61.jpeg"/><Relationship Id="rId186" Type="http://schemas.openxmlformats.org/officeDocument/2006/relationships/image" Target="media/image60.jpeg"/><Relationship Id="rId185" Type="http://schemas.openxmlformats.org/officeDocument/2006/relationships/footer" Target="footer47.xml"/><Relationship Id="rId184" Type="http://schemas.openxmlformats.org/officeDocument/2006/relationships/header" Target="header82.xml"/><Relationship Id="rId183" Type="http://schemas.openxmlformats.org/officeDocument/2006/relationships/footer" Target="footer46.xml"/><Relationship Id="rId182" Type="http://schemas.openxmlformats.org/officeDocument/2006/relationships/footer" Target="footer45.xml"/><Relationship Id="rId181" Type="http://schemas.openxmlformats.org/officeDocument/2006/relationships/footer" Target="footer44.xml"/><Relationship Id="rId180" Type="http://schemas.openxmlformats.org/officeDocument/2006/relationships/footer" Target="footer43.xml"/><Relationship Id="rId18" Type="http://schemas.openxmlformats.org/officeDocument/2006/relationships/footer" Target="footer6.xml"/><Relationship Id="rId179" Type="http://schemas.openxmlformats.org/officeDocument/2006/relationships/header" Target="header81.xml"/><Relationship Id="rId178" Type="http://schemas.openxmlformats.org/officeDocument/2006/relationships/image" Target="media/image59.jpeg"/><Relationship Id="rId177" Type="http://schemas.openxmlformats.org/officeDocument/2006/relationships/footer" Target="footer42.xml"/><Relationship Id="rId176" Type="http://schemas.openxmlformats.org/officeDocument/2006/relationships/footer" Target="footer41.xml"/><Relationship Id="rId175" Type="http://schemas.openxmlformats.org/officeDocument/2006/relationships/footer" Target="footer40.xml"/><Relationship Id="rId174" Type="http://schemas.openxmlformats.org/officeDocument/2006/relationships/header" Target="header80.xml"/><Relationship Id="rId173" Type="http://schemas.openxmlformats.org/officeDocument/2006/relationships/image" Target="media/image58.jpeg"/><Relationship Id="rId172" Type="http://schemas.openxmlformats.org/officeDocument/2006/relationships/footer" Target="footer39.xml"/><Relationship Id="rId171" Type="http://schemas.openxmlformats.org/officeDocument/2006/relationships/header" Target="header79.xml"/><Relationship Id="rId170" Type="http://schemas.openxmlformats.org/officeDocument/2006/relationships/image" Target="media/image57.jpeg"/><Relationship Id="rId17" Type="http://schemas.openxmlformats.org/officeDocument/2006/relationships/header" Target="header10.xml"/><Relationship Id="rId169" Type="http://schemas.openxmlformats.org/officeDocument/2006/relationships/footer" Target="footer38.xml"/><Relationship Id="rId168" Type="http://schemas.openxmlformats.org/officeDocument/2006/relationships/header" Target="header78.xml"/><Relationship Id="rId167" Type="http://schemas.openxmlformats.org/officeDocument/2006/relationships/image" Target="media/image56.png"/><Relationship Id="rId166" Type="http://schemas.openxmlformats.org/officeDocument/2006/relationships/image" Target="media/image55.png"/><Relationship Id="rId165" Type="http://schemas.openxmlformats.org/officeDocument/2006/relationships/footer" Target="footer37.xml"/><Relationship Id="rId164" Type="http://schemas.openxmlformats.org/officeDocument/2006/relationships/image" Target="media/image54.png"/><Relationship Id="rId163" Type="http://schemas.openxmlformats.org/officeDocument/2006/relationships/image" Target="media/image53.png"/><Relationship Id="rId162" Type="http://schemas.openxmlformats.org/officeDocument/2006/relationships/footer" Target="footer36.xml"/><Relationship Id="rId161" Type="http://schemas.openxmlformats.org/officeDocument/2006/relationships/header" Target="header77.xml"/><Relationship Id="rId160" Type="http://schemas.openxmlformats.org/officeDocument/2006/relationships/image" Target="media/image52.png"/><Relationship Id="rId16" Type="http://schemas.openxmlformats.org/officeDocument/2006/relationships/header" Target="header9.xml"/><Relationship Id="rId159" Type="http://schemas.openxmlformats.org/officeDocument/2006/relationships/image" Target="media/image51.png"/><Relationship Id="rId158" Type="http://schemas.openxmlformats.org/officeDocument/2006/relationships/footer" Target="footer35.xml"/><Relationship Id="rId157" Type="http://schemas.openxmlformats.org/officeDocument/2006/relationships/header" Target="header76.xml"/><Relationship Id="rId156" Type="http://schemas.openxmlformats.org/officeDocument/2006/relationships/footer" Target="footer34.xml"/><Relationship Id="rId155" Type="http://schemas.openxmlformats.org/officeDocument/2006/relationships/header" Target="header75.xml"/><Relationship Id="rId154" Type="http://schemas.openxmlformats.org/officeDocument/2006/relationships/footer" Target="footer33.xml"/><Relationship Id="rId153" Type="http://schemas.openxmlformats.org/officeDocument/2006/relationships/header" Target="header74.xml"/><Relationship Id="rId152" Type="http://schemas.openxmlformats.org/officeDocument/2006/relationships/footer" Target="footer32.xml"/><Relationship Id="rId151" Type="http://schemas.openxmlformats.org/officeDocument/2006/relationships/header" Target="header73.xml"/><Relationship Id="rId150" Type="http://schemas.openxmlformats.org/officeDocument/2006/relationships/footer" Target="footer31.xml"/><Relationship Id="rId15" Type="http://schemas.openxmlformats.org/officeDocument/2006/relationships/image" Target="media/image2.jpeg"/><Relationship Id="rId149" Type="http://schemas.openxmlformats.org/officeDocument/2006/relationships/header" Target="header72.xml"/><Relationship Id="rId148" Type="http://schemas.openxmlformats.org/officeDocument/2006/relationships/footer" Target="footer30.xml"/><Relationship Id="rId147" Type="http://schemas.openxmlformats.org/officeDocument/2006/relationships/footer" Target="footer29.xml"/><Relationship Id="rId146" Type="http://schemas.openxmlformats.org/officeDocument/2006/relationships/footer" Target="footer28.xml"/><Relationship Id="rId145" Type="http://schemas.openxmlformats.org/officeDocument/2006/relationships/header" Target="header71.xml"/><Relationship Id="rId144" Type="http://schemas.openxmlformats.org/officeDocument/2006/relationships/footer" Target="footer27.xml"/><Relationship Id="rId143" Type="http://schemas.openxmlformats.org/officeDocument/2006/relationships/header" Target="header70.xml"/><Relationship Id="rId142" Type="http://schemas.openxmlformats.org/officeDocument/2006/relationships/image" Target="media/image50.jpeg"/><Relationship Id="rId141" Type="http://schemas.openxmlformats.org/officeDocument/2006/relationships/hyperlink" Target="http://www.soilinfo.cn/MAP/index.aspx" TargetMode="External"/><Relationship Id="rId140" Type="http://schemas.openxmlformats.org/officeDocument/2006/relationships/header" Target="header69.xml"/><Relationship Id="rId14" Type="http://schemas.openxmlformats.org/officeDocument/2006/relationships/footer" Target="footer5.xml"/><Relationship Id="rId139" Type="http://schemas.openxmlformats.org/officeDocument/2006/relationships/header" Target="header68.xml"/><Relationship Id="rId138" Type="http://schemas.openxmlformats.org/officeDocument/2006/relationships/footer" Target="footer26.xml"/><Relationship Id="rId137" Type="http://schemas.openxmlformats.org/officeDocument/2006/relationships/header" Target="header67.xml"/><Relationship Id="rId136" Type="http://schemas.openxmlformats.org/officeDocument/2006/relationships/image" Target="media/image49.png"/><Relationship Id="rId135" Type="http://schemas.openxmlformats.org/officeDocument/2006/relationships/image" Target="media/image48.png"/><Relationship Id="rId134" Type="http://schemas.openxmlformats.org/officeDocument/2006/relationships/image" Target="media/image47.png"/><Relationship Id="rId133" Type="http://schemas.openxmlformats.org/officeDocument/2006/relationships/image" Target="media/image46.png"/><Relationship Id="rId132" Type="http://schemas.openxmlformats.org/officeDocument/2006/relationships/image" Target="media/image45.png"/><Relationship Id="rId131" Type="http://schemas.openxmlformats.org/officeDocument/2006/relationships/image" Target="media/image44.png"/><Relationship Id="rId130" Type="http://schemas.openxmlformats.org/officeDocument/2006/relationships/image" Target="media/image43.png"/><Relationship Id="rId13" Type="http://schemas.openxmlformats.org/officeDocument/2006/relationships/header" Target="header8.xml"/><Relationship Id="rId129" Type="http://schemas.openxmlformats.org/officeDocument/2006/relationships/image" Target="media/image42.png"/><Relationship Id="rId128" Type="http://schemas.openxmlformats.org/officeDocument/2006/relationships/image" Target="media/image41.png"/><Relationship Id="rId127" Type="http://schemas.openxmlformats.org/officeDocument/2006/relationships/image" Target="media/image40.jpeg"/><Relationship Id="rId126" Type="http://schemas.openxmlformats.org/officeDocument/2006/relationships/image" Target="media/image39.jpeg"/><Relationship Id="rId125" Type="http://schemas.openxmlformats.org/officeDocument/2006/relationships/image" Target="media/image38.jpeg"/><Relationship Id="rId124" Type="http://schemas.openxmlformats.org/officeDocument/2006/relationships/footer" Target="footer25.xml"/><Relationship Id="rId123" Type="http://schemas.openxmlformats.org/officeDocument/2006/relationships/header" Target="header66.xml"/><Relationship Id="rId122" Type="http://schemas.openxmlformats.org/officeDocument/2006/relationships/image" Target="media/image37.png"/><Relationship Id="rId121" Type="http://schemas.openxmlformats.org/officeDocument/2006/relationships/header" Target="header65.xml"/><Relationship Id="rId120" Type="http://schemas.openxmlformats.org/officeDocument/2006/relationships/header" Target="header64.xml"/><Relationship Id="rId12" Type="http://schemas.openxmlformats.org/officeDocument/2006/relationships/header" Target="header7.xml"/><Relationship Id="rId119" Type="http://schemas.openxmlformats.org/officeDocument/2006/relationships/image" Target="media/image36.png"/><Relationship Id="rId118" Type="http://schemas.openxmlformats.org/officeDocument/2006/relationships/image" Target="media/image35.png"/><Relationship Id="rId117" Type="http://schemas.openxmlformats.org/officeDocument/2006/relationships/image" Target="media/image34.jpeg"/><Relationship Id="rId116" Type="http://schemas.openxmlformats.org/officeDocument/2006/relationships/header" Target="header63.xml"/><Relationship Id="rId115" Type="http://schemas.openxmlformats.org/officeDocument/2006/relationships/header" Target="header62.xml"/><Relationship Id="rId114" Type="http://schemas.openxmlformats.org/officeDocument/2006/relationships/footer" Target="footer24.xml"/><Relationship Id="rId113" Type="http://schemas.openxmlformats.org/officeDocument/2006/relationships/header" Target="header61.xml"/><Relationship Id="rId112" Type="http://schemas.openxmlformats.org/officeDocument/2006/relationships/header" Target="header60.xml"/><Relationship Id="rId111" Type="http://schemas.openxmlformats.org/officeDocument/2006/relationships/footer" Target="footer23.xml"/><Relationship Id="rId110" Type="http://schemas.openxmlformats.org/officeDocument/2006/relationships/header" Target="header59.xml"/><Relationship Id="rId11" Type="http://schemas.openxmlformats.org/officeDocument/2006/relationships/header" Target="header6.xml"/><Relationship Id="rId109" Type="http://schemas.openxmlformats.org/officeDocument/2006/relationships/footer" Target="footer22.xml"/><Relationship Id="rId108" Type="http://schemas.openxmlformats.org/officeDocument/2006/relationships/footer" Target="footer21.xml"/><Relationship Id="rId107" Type="http://schemas.openxmlformats.org/officeDocument/2006/relationships/header" Target="header58.xml"/><Relationship Id="rId106" Type="http://schemas.openxmlformats.org/officeDocument/2006/relationships/header" Target="header57.xml"/><Relationship Id="rId105" Type="http://schemas.openxmlformats.org/officeDocument/2006/relationships/header" Target="header56.xml"/><Relationship Id="rId104" Type="http://schemas.openxmlformats.org/officeDocument/2006/relationships/header" Target="header55.xml"/><Relationship Id="rId103" Type="http://schemas.openxmlformats.org/officeDocument/2006/relationships/header" Target="header54.xml"/><Relationship Id="rId102" Type="http://schemas.openxmlformats.org/officeDocument/2006/relationships/header" Target="header53.xml"/><Relationship Id="rId101" Type="http://schemas.openxmlformats.org/officeDocument/2006/relationships/image" Target="media/image33.png"/><Relationship Id="rId100" Type="http://schemas.openxmlformats.org/officeDocument/2006/relationships/header" Target="header52.xml"/><Relationship Id="rId10" Type="http://schemas.openxmlformats.org/officeDocument/2006/relationships/header" Target="header5.xml"/><Relationship Id="rId1" Type="http://schemas.openxmlformats.org/officeDocument/2006/relationships/footer" Target="footer1.xml"/></Relationships>
</file>

<file path=word/_rels/header43.xml.rels><?xml version="1.0" encoding="UTF-8" standalone="yes"?>
<Relationships xmlns="http://schemas.openxmlformats.org/package/2006/relationships"><Relationship Id="rId1" Type="http://schemas.openxmlformats.org/officeDocument/2006/relationships/image" Target="media/image20.png"/></Relationships>
</file>

<file path=word/_rels/header44.xml.rels><?xml version="1.0" encoding="UTF-8" standalone="yes"?>
<Relationships xmlns="http://schemas.openxmlformats.org/package/2006/relationships"><Relationship Id="rId1" Type="http://schemas.openxmlformats.org/officeDocument/2006/relationships/image" Target="media/image24.png"/></Relationships>
</file>

<file path=word/_rels/header47.xml.rels><?xml version="1.0" encoding="UTF-8" standalone="yes"?>
<Relationships xmlns="http://schemas.openxmlformats.org/package/2006/relationships"><Relationship Id="rId1" Type="http://schemas.openxmlformats.org/officeDocument/2006/relationships/image" Target="media/image26.png"/></Relationships>
</file>

<file path=word/_rels/header51.xml.rels><?xml version="1.0" encoding="UTF-8" standalone="yes"?>
<Relationships xmlns="http://schemas.openxmlformats.org/package/2006/relationships"><Relationship Id="rId1" Type="http://schemas.openxmlformats.org/officeDocument/2006/relationships/image" Target="media/image30.png"/></Relationships>
</file>

<file path=docProps/app.xml><?xml version="1.0" encoding="utf-8"?>
<ap:Properties xmlns:vt="http://schemas.openxmlformats.org/officeDocument/2006/docPropsVTypes" xmlns:ap="http://schemas.openxmlformats.org/officeDocument/2006/extended-properties">
  <ap:Application>WPS 文字</ap:Application>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目    录</dc:title>
  <dc:creator>hp848</dc:creator>
  <dcterms:created xsi:type="dcterms:W3CDTF">2025-06-24T17:23:11Z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2025-06-24T20:55:46</vt:filetime>
  </property>
</Properties>
</file>